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4.xml" ContentType="application/vnd.openxmlformats-officedocument.wordprocessingml.footer+xml"/>
  <Override PartName="/word/header2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footer1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3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2.xml" ContentType="application/vnd.openxmlformats-officedocument.wordprocessingml.header+xml"/>
  <Override PartName="/word/footer24.xml" ContentType="application/vnd.openxmlformats-officedocument.wordprocessingml.footer+xml"/>
  <Override PartName="/word/header3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4.xml" ContentType="application/vnd.openxmlformats-officedocument.wordprocessingml.header+xml"/>
  <Override PartName="/word/footer27.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28.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40.xml" ContentType="application/vnd.openxmlformats-officedocument.wordprocessingml.header+xml"/>
  <Override PartName="/word/footer31.xml" ContentType="application/vnd.openxmlformats-officedocument.wordprocessingml.footer+xml"/>
  <Override PartName="/word/header41.xml" ContentType="application/vnd.openxmlformats-officedocument.wordprocessingml.header+xml"/>
  <Override PartName="/word/footer32.xml" ContentType="application/vnd.openxmlformats-officedocument.wordprocessingml.footer+xml"/>
  <Override PartName="/word/header42.xml" ContentType="application/vnd.openxmlformats-officedocument.wordprocessingml.header+xml"/>
  <Override PartName="/word/footer33.xml" ContentType="application/vnd.openxmlformats-officedocument.wordprocessingml.footer+xml"/>
  <Override PartName="/word/header4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44.xml" ContentType="application/vnd.openxmlformats-officedocument.wordprocessingml.header+xml"/>
  <Override PartName="/word/footer37.xml" ContentType="application/vnd.openxmlformats-officedocument.wordprocessingml.footer+xml"/>
  <Override PartName="/word/header45.xml" ContentType="application/vnd.openxmlformats-officedocument.wordprocessingml.header+xml"/>
  <Override PartName="/word/footer38.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8.xml" ContentType="application/vnd.openxmlformats-officedocument.wordprocessingml.header+xml"/>
  <Override PartName="/word/footer41.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51.xml" ContentType="application/vnd.openxmlformats-officedocument.wordprocessingml.header+xml"/>
  <Override PartName="/word/footer44.xml" ContentType="application/vnd.openxmlformats-officedocument.wordprocessingml.footer+xml"/>
  <Override PartName="/word/header52.xml" ContentType="application/vnd.openxmlformats-officedocument.wordprocessingml.header+xml"/>
  <Override PartName="/word/footer45.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footer46.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58.xml" ContentType="application/vnd.openxmlformats-officedocument.wordprocessingml.header+xml"/>
  <Override PartName="/word/footer49.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61.xml" ContentType="application/vnd.openxmlformats-officedocument.wordprocessingml.header+xml"/>
  <Override PartName="/word/footer52.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oter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57346" w14:textId="77777777" w:rsidR="00A52A5D" w:rsidRDefault="00A52A5D" w:rsidP="00A52A5D">
      <w:pPr>
        <w:pStyle w:val="TPHeading1"/>
        <w:ind w:left="851"/>
        <w:rPr>
          <w:rFonts w:ascii="Garamond" w:hAnsi="Garamond"/>
          <w:sz w:val="56"/>
        </w:rPr>
      </w:pPr>
      <w:bookmarkStart w:id="0" w:name="_Toc23559331"/>
      <w:r w:rsidRPr="00E840EA">
        <w:rPr>
          <w:rFonts w:ascii="Garamond" w:hAnsi="Garamond"/>
          <w:sz w:val="56"/>
        </w:rPr>
        <w:t>Portfolio Additional</w:t>
      </w:r>
    </w:p>
    <w:p w14:paraId="18141847" w14:textId="77777777" w:rsidR="00A52A5D" w:rsidRPr="00E840EA" w:rsidRDefault="00A52A5D" w:rsidP="00A52A5D">
      <w:pPr>
        <w:pStyle w:val="TPHeading1"/>
        <w:ind w:left="0" w:right="56"/>
        <w:rPr>
          <w:rFonts w:ascii="Garamond" w:hAnsi="Garamond"/>
          <w:sz w:val="56"/>
        </w:rPr>
      </w:pPr>
      <w:r w:rsidRPr="00E840EA">
        <w:rPr>
          <w:rFonts w:ascii="Garamond" w:hAnsi="Garamond"/>
          <w:sz w:val="56"/>
        </w:rPr>
        <w:t>Estimates</w:t>
      </w:r>
      <w:bookmarkEnd w:id="0"/>
      <w:r>
        <w:rPr>
          <w:rFonts w:ascii="Garamond" w:hAnsi="Garamond"/>
          <w:sz w:val="56"/>
        </w:rPr>
        <w:t xml:space="preserve"> </w:t>
      </w:r>
      <w:r w:rsidRPr="00E840EA">
        <w:rPr>
          <w:rFonts w:ascii="Garamond" w:hAnsi="Garamond"/>
          <w:sz w:val="56"/>
        </w:rPr>
        <w:t>Statements</w:t>
      </w:r>
      <w:r>
        <w:rPr>
          <w:rFonts w:ascii="Garamond" w:hAnsi="Garamond"/>
          <w:sz w:val="56"/>
        </w:rPr>
        <w:t> </w:t>
      </w:r>
      <w:r w:rsidRPr="00E840EA">
        <w:rPr>
          <w:rFonts w:ascii="Garamond" w:hAnsi="Garamond"/>
          <w:sz w:val="56"/>
        </w:rPr>
        <w:t>2021–22</w:t>
      </w:r>
    </w:p>
    <w:p w14:paraId="55F41915" w14:textId="77777777" w:rsidR="00A52A5D" w:rsidRDefault="00A52A5D" w:rsidP="00A52A5D"/>
    <w:p w14:paraId="10732ACD" w14:textId="77777777" w:rsidR="00A52A5D" w:rsidRPr="00AC530C" w:rsidRDefault="00A52A5D" w:rsidP="00A52A5D"/>
    <w:p w14:paraId="2D3DAABA" w14:textId="77777777" w:rsidR="00A52A5D" w:rsidRPr="00E840EA" w:rsidRDefault="00A52A5D" w:rsidP="00A52A5D">
      <w:pPr>
        <w:pStyle w:val="TPHeading2"/>
        <w:ind w:left="567"/>
        <w:rPr>
          <w:rFonts w:ascii="Garamond" w:hAnsi="Garamond"/>
          <w:sz w:val="28"/>
        </w:rPr>
      </w:pPr>
      <w:r w:rsidRPr="00E840EA">
        <w:rPr>
          <w:rFonts w:ascii="Garamond" w:hAnsi="Garamond"/>
          <w:sz w:val="28"/>
        </w:rPr>
        <w:t>Infrastructure, Transport, Regional Development and Communications Portfolio</w:t>
      </w:r>
    </w:p>
    <w:p w14:paraId="31CB7A83" w14:textId="77777777" w:rsidR="00A52A5D" w:rsidRPr="00AC530C" w:rsidRDefault="00A52A5D" w:rsidP="00A52A5D"/>
    <w:p w14:paraId="6627BE5E" w14:textId="77777777" w:rsidR="00A52A5D" w:rsidRDefault="00A52A5D" w:rsidP="00A52A5D"/>
    <w:p w14:paraId="1DBF00A1" w14:textId="77777777" w:rsidR="00A52A5D" w:rsidRDefault="00A52A5D" w:rsidP="00A52A5D"/>
    <w:p w14:paraId="4387EA38" w14:textId="77777777" w:rsidR="00A52A5D" w:rsidRPr="00AC530C" w:rsidRDefault="00A52A5D" w:rsidP="00A52A5D"/>
    <w:p w14:paraId="503135FE" w14:textId="77777777" w:rsidR="00A52A5D" w:rsidRPr="00AC530C" w:rsidRDefault="00A52A5D" w:rsidP="00A52A5D"/>
    <w:p w14:paraId="0AF12E57" w14:textId="77777777" w:rsidR="00A52A5D" w:rsidRPr="00AC530C" w:rsidRDefault="00A52A5D" w:rsidP="00A52A5D"/>
    <w:p w14:paraId="618B63A5" w14:textId="77777777" w:rsidR="00A52A5D" w:rsidRPr="00AC530C" w:rsidRDefault="00A52A5D" w:rsidP="00A52A5D"/>
    <w:p w14:paraId="3B7A98F1" w14:textId="77777777" w:rsidR="00A52A5D" w:rsidRPr="00AC530C" w:rsidRDefault="00A52A5D" w:rsidP="00A52A5D"/>
    <w:p w14:paraId="694A33E2" w14:textId="77777777" w:rsidR="00A52A5D" w:rsidRPr="00AC530C" w:rsidRDefault="00A52A5D" w:rsidP="00A52A5D"/>
    <w:p w14:paraId="1D56D7DC" w14:textId="6BFC13FF" w:rsidR="002D78B8" w:rsidRPr="00084EF4" w:rsidRDefault="00A52A5D" w:rsidP="00A52A5D">
      <w:pPr>
        <w:pStyle w:val="TPHeading3"/>
        <w:rPr>
          <w:snapToGrid w:val="0"/>
        </w:rPr>
      </w:pPr>
      <w:r w:rsidRPr="00E840EA">
        <w:rPr>
          <w:rFonts w:ascii="Garamond" w:hAnsi="Garamond" w:cstheme="majorHAnsi"/>
          <w:caps w:val="0"/>
          <w:szCs w:val="18"/>
        </w:rPr>
        <w:t>Explanations of Additional Estimates 2021-22</w:t>
      </w:r>
    </w:p>
    <w:p w14:paraId="2604ED40" w14:textId="77777777" w:rsidR="00F51DAC" w:rsidRDefault="00F51DAC" w:rsidP="00F51DAC">
      <w:pPr>
        <w:pStyle w:val="OverviewParagraph"/>
        <w:rPr>
          <w:rFonts w:ascii="Arial" w:hAnsi="Arial"/>
        </w:rPr>
        <w:sectPr w:rsidR="00F51DAC" w:rsidSect="005A601A">
          <w:headerReference w:type="even" r:id="rId14"/>
          <w:headerReference w:type="default" r:id="rId15"/>
          <w:footerReference w:type="even" r:id="rId16"/>
          <w:footerReference w:type="default" r:id="rId17"/>
          <w:pgSz w:w="11907" w:h="16840" w:code="9"/>
          <w:pgMar w:top="2835" w:right="2098" w:bottom="2466" w:left="2098" w:header="1814" w:footer="1814" w:gutter="0"/>
          <w:pgNumType w:fmt="lowerRoman" w:start="1"/>
          <w:cols w:space="720"/>
          <w:vAlign w:val="bottom"/>
          <w:titlePg/>
        </w:sectPr>
      </w:pPr>
      <w:bookmarkStart w:id="1" w:name="_Toc491014608"/>
      <w:bookmarkStart w:id="2" w:name="_Toc491014750"/>
      <w:bookmarkStart w:id="3" w:name="_Toc491031921"/>
    </w:p>
    <w:p w14:paraId="260E7B8E" w14:textId="13D036D1" w:rsidR="003E5422" w:rsidRDefault="003E5422" w:rsidP="003E5422">
      <w:r>
        <w:lastRenderedPageBreak/>
        <w:t xml:space="preserve">© Commonwealth of Australia </w:t>
      </w:r>
      <w:r w:rsidR="007F19BF">
        <w:t>2021</w:t>
      </w:r>
    </w:p>
    <w:p w14:paraId="14A6BF1F" w14:textId="41744262" w:rsidR="003E5422" w:rsidRDefault="003E5422" w:rsidP="003E5422">
      <w:r>
        <w:t xml:space="preserve">ISBN </w:t>
      </w:r>
      <w:r w:rsidR="00B87CAB" w:rsidRPr="00B87CAB">
        <w:t>978-1-922521-57-6</w:t>
      </w:r>
    </w:p>
    <w:p w14:paraId="5BFEB524" w14:textId="71C5E251" w:rsidR="003E5422" w:rsidRPr="00DB3B0D" w:rsidRDefault="003E5422" w:rsidP="000577E6">
      <w:pPr>
        <w:tabs>
          <w:tab w:val="left" w:pos="1650"/>
        </w:tabs>
        <w:spacing w:before="100" w:beforeAutospacing="1" w:after="100" w:afterAutospacing="1"/>
        <w:jc w:val="left"/>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8" w:history="1">
        <w:r>
          <w:rPr>
            <w:rStyle w:val="Hyperlink"/>
          </w:rPr>
          <w:t>Creative Commons BY Attribution 3.0 Australia</w:t>
        </w:r>
      </w:hyperlink>
      <w:r w:rsidRPr="00DB3B0D">
        <w:rPr>
          <w:rStyle w:val="A5"/>
          <w:rFonts w:ascii="Calibri" w:hAnsi="Calibri" w:cs="Calibri"/>
          <w:sz w:val="24"/>
          <w:szCs w:val="24"/>
        </w:rPr>
        <w:t xml:space="preserve"> </w:t>
      </w:r>
      <w:r>
        <w:t xml:space="preserve">licence, with the exception of the Commonwealth Coat of Arms, the </w:t>
      </w:r>
      <w:r w:rsidR="000577E6">
        <w:t xml:space="preserve">Department of </w:t>
      </w:r>
      <w:r w:rsidR="00A82F91" w:rsidRPr="00A82F91">
        <w:t xml:space="preserve">Infrastructure, Transport, Regional Development and Communications </w:t>
      </w:r>
      <w:r w:rsidR="00A82F91">
        <w:t xml:space="preserve">(the </w:t>
      </w:r>
      <w:r w:rsidR="008863D9">
        <w:t>Department</w:t>
      </w:r>
      <w:r w:rsidR="00A82F91">
        <w:t xml:space="preserve">) </w:t>
      </w:r>
      <w:r>
        <w:t>logo, photographs, images, signatures and where otherwise stated. The full licence terms are available from</w:t>
      </w:r>
      <w:r w:rsidR="00B100D4">
        <w:t>:</w:t>
      </w:r>
      <w:r w:rsidRPr="00DB3B0D">
        <w:rPr>
          <w:rStyle w:val="A5"/>
          <w:rFonts w:ascii="Calibri" w:hAnsi="Calibri" w:cs="Calibri"/>
          <w:sz w:val="24"/>
          <w:szCs w:val="24"/>
        </w:rPr>
        <w:t xml:space="preserve"> </w:t>
      </w:r>
      <w:hyperlink r:id="rId19" w:history="1">
        <w:r w:rsidRPr="00A537A2">
          <w:rPr>
            <w:rStyle w:val="Hyperlink"/>
            <w:u w:val="single"/>
          </w:rPr>
          <w:t>http://creativecommons.org/licenses/by/3.0/au/legalcode</w:t>
        </w:r>
      </w:hyperlink>
      <w:r>
        <w:rPr>
          <w:rStyle w:val="Hyperlink"/>
        </w:rPr>
        <w:t>.</w:t>
      </w:r>
      <w:r>
        <w:rPr>
          <w:color w:val="000000"/>
          <w:sz w:val="24"/>
          <w:szCs w:val="24"/>
        </w:rPr>
        <w:t xml:space="preserve"> </w:t>
      </w:r>
    </w:p>
    <w:p w14:paraId="55781EB6" w14:textId="77777777" w:rsidR="003E5422" w:rsidRPr="00DB3B0D" w:rsidRDefault="002D394D" w:rsidP="00B40DFE">
      <w:pPr>
        <w:tabs>
          <w:tab w:val="left" w:pos="1650"/>
        </w:tabs>
        <w:spacing w:before="100" w:beforeAutospacing="1" w:after="100" w:afterAutospacing="1" w:line="240" w:lineRule="auto"/>
        <w:rPr>
          <w:rFonts w:cs="Calibri"/>
        </w:rPr>
      </w:pPr>
      <w:r>
        <w:rPr>
          <w:rFonts w:cs="Calibri"/>
          <w:noProof/>
          <w:color w:val="000000"/>
          <w:sz w:val="24"/>
          <w:szCs w:val="24"/>
        </w:rPr>
        <w:drawing>
          <wp:inline distT="0" distB="0" distL="0" distR="0" wp14:anchorId="6074F849" wp14:editId="0265EC41">
            <wp:extent cx="810895" cy="284480"/>
            <wp:effectExtent l="0" t="0" r="0" b="0"/>
            <wp:docPr id="78"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0895" cy="284480"/>
                    </a:xfrm>
                    <a:prstGeom prst="rect">
                      <a:avLst/>
                    </a:prstGeom>
                    <a:noFill/>
                    <a:ln>
                      <a:noFill/>
                    </a:ln>
                  </pic:spPr>
                </pic:pic>
              </a:graphicData>
            </a:graphic>
          </wp:inline>
        </w:drawing>
      </w:r>
    </w:p>
    <w:p w14:paraId="7C3F16E3" w14:textId="4F884040" w:rsidR="003E5422" w:rsidRPr="00DB3B0D" w:rsidRDefault="003E5422" w:rsidP="00061093">
      <w:pPr>
        <w:tabs>
          <w:tab w:val="left" w:pos="1650"/>
        </w:tabs>
        <w:spacing w:before="100" w:beforeAutospacing="1" w:after="100" w:afterAutospacing="1"/>
        <w:jc w:val="left"/>
        <w:rPr>
          <w:sz w:val="22"/>
          <w:szCs w:val="22"/>
        </w:rPr>
      </w:pPr>
      <w:r>
        <w:t xml:space="preserve">Use of </w:t>
      </w:r>
      <w:r w:rsidR="00A82F91">
        <w:t xml:space="preserve">the </w:t>
      </w:r>
      <w:r w:rsidR="008863D9">
        <w:t>Department</w:t>
      </w:r>
      <w:r w:rsidR="00A82F91">
        <w:t xml:space="preserve">’s </w:t>
      </w:r>
      <w:r>
        <w:t>material under a</w:t>
      </w:r>
      <w:r w:rsidRPr="00DB3B0D">
        <w:rPr>
          <w:rFonts w:cs="Calibri"/>
          <w:color w:val="000000"/>
          <w:sz w:val="24"/>
          <w:szCs w:val="24"/>
        </w:rPr>
        <w:t xml:space="preserve"> </w:t>
      </w:r>
      <w:hyperlink r:id="rId21" w:history="1">
        <w:r>
          <w:rPr>
            <w:rStyle w:val="Hyperlink"/>
          </w:rPr>
          <w:t>Creative Commons BY Attribution 3.0 Australia</w:t>
        </w:r>
      </w:hyperlink>
      <w:r>
        <w:rPr>
          <w:rStyle w:val="Hyperlink"/>
        </w:rPr>
        <w:t xml:space="preserve"> </w:t>
      </w:r>
      <w:r>
        <w:t xml:space="preserve">licence requires you to attribute the work (but not in any way that suggests that the </w:t>
      </w:r>
      <w:r w:rsidR="008863D9">
        <w:t>Department</w:t>
      </w:r>
      <w:r w:rsidRPr="007660BE">
        <w:t xml:space="preserve"> </w:t>
      </w:r>
      <w:r>
        <w:t xml:space="preserve">endorses you or your use of the work). </w:t>
      </w:r>
    </w:p>
    <w:p w14:paraId="709D0C39" w14:textId="4DE4D4BB" w:rsidR="007660BE" w:rsidRPr="00C602FB" w:rsidRDefault="007660BE" w:rsidP="007660BE">
      <w:pPr>
        <w:ind w:left="567"/>
        <w:jc w:val="left"/>
        <w:rPr>
          <w:i/>
        </w:rPr>
      </w:pPr>
      <w:r w:rsidRPr="00C602FB">
        <w:rPr>
          <w:i/>
        </w:rPr>
        <w:t xml:space="preserve">The </w:t>
      </w:r>
      <w:r>
        <w:rPr>
          <w:i/>
        </w:rPr>
        <w:t xml:space="preserve">Australian Government </w:t>
      </w:r>
      <w:r w:rsidR="008863D9">
        <w:rPr>
          <w:i/>
        </w:rPr>
        <w:t>Department</w:t>
      </w:r>
      <w:r w:rsidRPr="00C602FB">
        <w:rPr>
          <w:i/>
        </w:rPr>
        <w:t xml:space="preserve"> of Infrastructure, Transport, Regional Development and Communications material used 'as supplied'.</w:t>
      </w:r>
    </w:p>
    <w:p w14:paraId="7FAA9686" w14:textId="6B8CD39A" w:rsidR="003E5422" w:rsidRDefault="003E5422" w:rsidP="00061093">
      <w:pPr>
        <w:jc w:val="left"/>
      </w:pPr>
      <w:r>
        <w:t xml:space="preserve">Provided you have not modified or transformed </w:t>
      </w:r>
      <w:r w:rsidR="007660BE">
        <w:t xml:space="preserve">the </w:t>
      </w:r>
      <w:r w:rsidR="008863D9">
        <w:t>Department</w:t>
      </w:r>
      <w:r w:rsidR="007660BE">
        <w:t xml:space="preserve">’s </w:t>
      </w:r>
      <w:r>
        <w:t xml:space="preserve">material in any way including, for example, by changing the </w:t>
      </w:r>
      <w:r w:rsidR="008863D9">
        <w:t>Department</w:t>
      </w:r>
      <w:r w:rsidR="007660BE" w:rsidRPr="00C602FB">
        <w:t xml:space="preserve">’s text; calculating percentage changes; graphing or charting data; or deriving new statistics from published </w:t>
      </w:r>
      <w:r w:rsidR="008863D9">
        <w:t>Department</w:t>
      </w:r>
      <w:r w:rsidR="007660BE" w:rsidRPr="00C602FB">
        <w:t xml:space="preserve"> statistics – then the </w:t>
      </w:r>
      <w:r w:rsidR="008863D9">
        <w:t>Department</w:t>
      </w:r>
      <w:r w:rsidR="007660BE" w:rsidRPr="00C602FB">
        <w:t xml:space="preserve"> prefers the following attribution</w:t>
      </w:r>
      <w:r>
        <w:t xml:space="preserve">: </w:t>
      </w:r>
    </w:p>
    <w:p w14:paraId="4E5D8F36" w14:textId="23AD4A1C" w:rsidR="003E5422" w:rsidRDefault="007660BE" w:rsidP="00734D3F">
      <w:pPr>
        <w:ind w:left="567"/>
        <w:jc w:val="left"/>
      </w:pPr>
      <w:r w:rsidRPr="00C602FB">
        <w:rPr>
          <w:i/>
        </w:rPr>
        <w:t xml:space="preserve">Source: The </w:t>
      </w:r>
      <w:r w:rsidRPr="00C602FB">
        <w:rPr>
          <w:i/>
          <w:iCs/>
        </w:rPr>
        <w:t>Australian Government </w:t>
      </w:r>
      <w:r w:rsidR="008863D9">
        <w:rPr>
          <w:i/>
        </w:rPr>
        <w:t>Department</w:t>
      </w:r>
      <w:r w:rsidRPr="00C602FB">
        <w:rPr>
          <w:i/>
        </w:rPr>
        <w:t xml:space="preserve"> of Infrastructure, Transport, Regional Development and Communications</w:t>
      </w:r>
      <w:r>
        <w:rPr>
          <w:i/>
        </w:rPr>
        <w:t>.</w:t>
      </w:r>
    </w:p>
    <w:p w14:paraId="764BE042" w14:textId="77777777" w:rsidR="003E5422" w:rsidRPr="00257363" w:rsidRDefault="003E5422" w:rsidP="00257363">
      <w:pPr>
        <w:spacing w:after="40"/>
        <w:rPr>
          <w:b/>
          <w:bCs/>
        </w:rPr>
      </w:pPr>
      <w:r w:rsidRPr="00257363">
        <w:rPr>
          <w:b/>
          <w:bCs/>
        </w:rPr>
        <w:t>Derivative material</w:t>
      </w:r>
    </w:p>
    <w:p w14:paraId="57E7356B" w14:textId="5C9AF9D2" w:rsidR="003E5422" w:rsidRDefault="003E5422" w:rsidP="00061093">
      <w:pPr>
        <w:jc w:val="left"/>
      </w:pPr>
      <w:r>
        <w:t xml:space="preserve">If you have modified or transformed </w:t>
      </w:r>
      <w:r w:rsidR="007660BE" w:rsidRPr="00C602FB">
        <w:t xml:space="preserve">the </w:t>
      </w:r>
      <w:r w:rsidR="008863D9">
        <w:t>Department</w:t>
      </w:r>
      <w:r w:rsidR="007660BE" w:rsidRPr="00C602FB">
        <w:t xml:space="preserve">’s material, or derived new material from those of the </w:t>
      </w:r>
      <w:r w:rsidR="008863D9">
        <w:t>Department</w:t>
      </w:r>
      <w:r w:rsidR="00F0022A">
        <w:t xml:space="preserve">’s in any way, then the </w:t>
      </w:r>
      <w:r w:rsidR="008863D9">
        <w:t>Department</w:t>
      </w:r>
      <w:r w:rsidR="007660BE" w:rsidRPr="00C602FB">
        <w:t xml:space="preserve"> prefers the following attribution</w:t>
      </w:r>
      <w:r>
        <w:t xml:space="preserve">: </w:t>
      </w:r>
    </w:p>
    <w:p w14:paraId="5BF92402" w14:textId="754749BE" w:rsidR="003E5422" w:rsidRDefault="007660BE" w:rsidP="00734D3F">
      <w:pPr>
        <w:ind w:left="567"/>
        <w:jc w:val="left"/>
      </w:pPr>
      <w:r>
        <w:rPr>
          <w:i/>
        </w:rPr>
        <w:t>Based on t</w:t>
      </w:r>
      <w:r w:rsidRPr="00C602FB">
        <w:rPr>
          <w:i/>
        </w:rPr>
        <w:t xml:space="preserve">he Australian Government </w:t>
      </w:r>
      <w:r w:rsidR="008863D9">
        <w:rPr>
          <w:i/>
        </w:rPr>
        <w:t>Department</w:t>
      </w:r>
      <w:r w:rsidRPr="00C602FB">
        <w:rPr>
          <w:i/>
        </w:rPr>
        <w:t xml:space="preserve"> of Infrastructure, Transport, </w:t>
      </w:r>
      <w:proofErr w:type="gramStart"/>
      <w:r w:rsidRPr="00C602FB">
        <w:rPr>
          <w:i/>
        </w:rPr>
        <w:t>Regional</w:t>
      </w:r>
      <w:proofErr w:type="gramEnd"/>
      <w:r w:rsidRPr="00C602FB">
        <w:rPr>
          <w:i/>
        </w:rPr>
        <w:t xml:space="preserve"> Development and Communications data.</w:t>
      </w:r>
    </w:p>
    <w:p w14:paraId="7FE74E45" w14:textId="77777777" w:rsidR="003E5422" w:rsidRDefault="003E5422" w:rsidP="003E5422">
      <w:pPr>
        <w:spacing w:after="40"/>
        <w:rPr>
          <w:b/>
        </w:rPr>
      </w:pPr>
      <w:r>
        <w:rPr>
          <w:b/>
        </w:rPr>
        <w:t>Use of the Coat of Arms</w:t>
      </w:r>
    </w:p>
    <w:p w14:paraId="67B29C55" w14:textId="4D6FCF06" w:rsidR="00CA6362" w:rsidRDefault="003E5422" w:rsidP="00061093">
      <w:pPr>
        <w:spacing w:after="0"/>
        <w:jc w:val="left"/>
      </w:pPr>
      <w:r>
        <w:t xml:space="preserve">The terms under which the Coat of Arms can be used are set out on the </w:t>
      </w:r>
      <w:r w:rsidR="008863D9">
        <w:t>Department</w:t>
      </w:r>
      <w:r w:rsidR="00CA6362">
        <w:t xml:space="preserve"> of the Prime Minister and Cabinet website</w:t>
      </w:r>
    </w:p>
    <w:p w14:paraId="4A245F0A" w14:textId="3915B6C9" w:rsidR="003E5422" w:rsidRDefault="003E5422" w:rsidP="003E5422">
      <w:r>
        <w:t>(</w:t>
      </w:r>
      <w:proofErr w:type="gramStart"/>
      <w:r>
        <w:t>see</w:t>
      </w:r>
      <w:proofErr w:type="gramEnd"/>
      <w:r w:rsidR="00CA6362">
        <w:t xml:space="preserve"> </w:t>
      </w:r>
      <w:hyperlink r:id="rId22" w:history="1">
        <w:r w:rsidR="007660BE" w:rsidRPr="00A537A2">
          <w:rPr>
            <w:rStyle w:val="Hyperlink"/>
            <w:u w:val="single"/>
          </w:rPr>
          <w:t>www.pmc.gov.au/government/commonwealth-coat-arms</w:t>
        </w:r>
      </w:hyperlink>
      <w:r>
        <w:t>)</w:t>
      </w:r>
    </w:p>
    <w:p w14:paraId="2376051E" w14:textId="77777777" w:rsidR="007660BE" w:rsidRDefault="007660BE" w:rsidP="003E5422"/>
    <w:p w14:paraId="705EEDA1" w14:textId="77777777" w:rsidR="003E5422" w:rsidRDefault="003E5422" w:rsidP="003E5422">
      <w:pPr>
        <w:spacing w:after="40"/>
        <w:rPr>
          <w:b/>
        </w:rPr>
      </w:pPr>
      <w:r>
        <w:rPr>
          <w:b/>
        </w:rPr>
        <w:lastRenderedPageBreak/>
        <w:t>Other Uses</w:t>
      </w:r>
    </w:p>
    <w:p w14:paraId="4DA8CF72" w14:textId="77777777" w:rsidR="00734D3F" w:rsidRDefault="003E5422" w:rsidP="00061093">
      <w:pPr>
        <w:jc w:val="left"/>
      </w:pPr>
      <w:r>
        <w:t>Inquiries regarding this licence and any other use of this document are welcome at:</w:t>
      </w:r>
      <w:r w:rsidR="00941438">
        <w:t xml:space="preserve"> </w:t>
      </w:r>
    </w:p>
    <w:p w14:paraId="716A0907" w14:textId="0EA89492" w:rsidR="007660BE" w:rsidRPr="00723F7F" w:rsidRDefault="007660BE" w:rsidP="00061093">
      <w:pPr>
        <w:spacing w:after="0"/>
        <w:jc w:val="left"/>
      </w:pPr>
      <w:r w:rsidRPr="00723F7F">
        <w:t>Chief Financial Officer</w:t>
      </w:r>
    </w:p>
    <w:p w14:paraId="0BE95532" w14:textId="4508E2E4" w:rsidR="007660BE" w:rsidRPr="00723F7F" w:rsidRDefault="008863D9" w:rsidP="00061093">
      <w:pPr>
        <w:spacing w:after="0"/>
        <w:jc w:val="left"/>
      </w:pPr>
      <w:r>
        <w:t>Department</w:t>
      </w:r>
      <w:r w:rsidR="007660BE" w:rsidRPr="00723F7F">
        <w:t xml:space="preserve"> of Infrastructure, Transport, Regional Development and Communications</w:t>
      </w:r>
    </w:p>
    <w:p w14:paraId="11761830" w14:textId="77777777" w:rsidR="007660BE" w:rsidRPr="00723F7F" w:rsidRDefault="007660BE" w:rsidP="00061093">
      <w:pPr>
        <w:spacing w:after="0"/>
        <w:jc w:val="left"/>
      </w:pPr>
      <w:r w:rsidRPr="00723F7F">
        <w:t xml:space="preserve">Telephone: 02 6274 7111 </w:t>
      </w:r>
    </w:p>
    <w:p w14:paraId="6CA1150A" w14:textId="11120734" w:rsidR="00B100D4" w:rsidRDefault="007660BE" w:rsidP="00061093">
      <w:pPr>
        <w:spacing w:after="0"/>
        <w:jc w:val="left"/>
        <w:rPr>
          <w:color w:val="000000"/>
        </w:rPr>
      </w:pPr>
      <w:r w:rsidRPr="00723F7F">
        <w:t xml:space="preserve">Email: </w:t>
      </w:r>
      <w:hyperlink r:id="rId23" w:history="1">
        <w:r w:rsidRPr="00061093">
          <w:rPr>
            <w:u w:val="single"/>
          </w:rPr>
          <w:t>helpbudgets@infrastructure.gov.au</w:t>
        </w:r>
      </w:hyperlink>
      <w:r>
        <w:rPr>
          <w:color w:val="000000"/>
        </w:rPr>
        <w:t xml:space="preserve"> </w:t>
      </w:r>
    </w:p>
    <w:p w14:paraId="5442BE77" w14:textId="77777777" w:rsidR="00B100D4" w:rsidRDefault="00B100D4" w:rsidP="00061093">
      <w:pPr>
        <w:spacing w:after="0"/>
        <w:jc w:val="left"/>
        <w:rPr>
          <w:color w:val="000000"/>
        </w:rPr>
      </w:pPr>
    </w:p>
    <w:p w14:paraId="0FBF1343" w14:textId="77777777" w:rsidR="00B100D4" w:rsidRDefault="00B100D4" w:rsidP="00061093">
      <w:pPr>
        <w:spacing w:after="0"/>
        <w:jc w:val="left"/>
        <w:sectPr w:rsidR="00B100D4" w:rsidSect="005A601A">
          <w:headerReference w:type="even" r:id="rId24"/>
          <w:headerReference w:type="default" r:id="rId25"/>
          <w:headerReference w:type="first" r:id="rId26"/>
          <w:footerReference w:type="first" r:id="rId27"/>
          <w:pgSz w:w="11907" w:h="16840" w:code="9"/>
          <w:pgMar w:top="2835" w:right="2098" w:bottom="2466" w:left="2098" w:header="1814" w:footer="1814" w:gutter="0"/>
          <w:pgNumType w:fmt="lowerRoman"/>
          <w:cols w:space="720"/>
          <w:titlePg/>
        </w:sectPr>
      </w:pPr>
    </w:p>
    <w:p w14:paraId="2281E0CC" w14:textId="56A7CB99" w:rsidR="0004258C" w:rsidRDefault="0004258C" w:rsidP="0004258C">
      <w:pPr>
        <w:tabs>
          <w:tab w:val="center" w:pos="4153"/>
          <w:tab w:val="right" w:pos="8306"/>
        </w:tabs>
        <w:overflowPunct w:val="0"/>
        <w:autoSpaceDE w:val="0"/>
        <w:autoSpaceDN w:val="0"/>
        <w:adjustRightInd w:val="0"/>
        <w:spacing w:after="0" w:line="240" w:lineRule="auto"/>
        <w:ind w:left="142"/>
        <w:jc w:val="center"/>
        <w:textAlignment w:val="baseline"/>
        <w:rPr>
          <w:rFonts w:ascii="Garamond" w:hAnsi="Garamond"/>
          <w:b/>
          <w:spacing w:val="50"/>
          <w:sz w:val="28"/>
          <w:szCs w:val="28"/>
        </w:rPr>
      </w:pPr>
      <w:r>
        <w:rPr>
          <w:rFonts w:ascii="Garamond" w:hAnsi="Garamond"/>
          <w:b/>
          <w:noProof/>
          <w:spacing w:val="50"/>
          <w:sz w:val="28"/>
          <w:szCs w:val="28"/>
        </w:rPr>
        <w:lastRenderedPageBreak/>
        <w:drawing>
          <wp:inline distT="0" distB="0" distL="0" distR="0" wp14:anchorId="53168890" wp14:editId="48771EF0">
            <wp:extent cx="906145" cy="659765"/>
            <wp:effectExtent l="0" t="0" r="8255" b="6985"/>
            <wp:docPr id="1" name="Picture 1" descr="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06145" cy="659765"/>
                    </a:xfrm>
                    <a:prstGeom prst="rect">
                      <a:avLst/>
                    </a:prstGeom>
                    <a:noFill/>
                    <a:ln>
                      <a:noFill/>
                    </a:ln>
                  </pic:spPr>
                </pic:pic>
              </a:graphicData>
            </a:graphic>
          </wp:inline>
        </w:drawing>
      </w:r>
    </w:p>
    <w:p w14:paraId="6B99AC7A" w14:textId="77777777" w:rsidR="0004258C" w:rsidRDefault="0004258C" w:rsidP="0004258C">
      <w:pPr>
        <w:tabs>
          <w:tab w:val="center" w:pos="4153"/>
          <w:tab w:val="right" w:pos="8306"/>
        </w:tabs>
        <w:overflowPunct w:val="0"/>
        <w:autoSpaceDE w:val="0"/>
        <w:autoSpaceDN w:val="0"/>
        <w:adjustRightInd w:val="0"/>
        <w:spacing w:before="120" w:after="0" w:line="240" w:lineRule="auto"/>
        <w:ind w:left="142"/>
        <w:jc w:val="center"/>
        <w:textAlignment w:val="baseline"/>
        <w:rPr>
          <w:rFonts w:ascii="Garamond" w:hAnsi="Garamond"/>
          <w:b/>
          <w:spacing w:val="56"/>
          <w:sz w:val="28"/>
          <w:szCs w:val="28"/>
        </w:rPr>
      </w:pPr>
      <w:r>
        <w:rPr>
          <w:rFonts w:ascii="Garamond" w:hAnsi="Garamond"/>
          <w:b/>
          <w:spacing w:val="56"/>
          <w:sz w:val="28"/>
          <w:szCs w:val="28"/>
        </w:rPr>
        <w:t>The Hon Barnaby Joyce MP</w:t>
      </w:r>
    </w:p>
    <w:p w14:paraId="017AB145" w14:textId="008BF567" w:rsidR="0004258C" w:rsidRDefault="0004258C" w:rsidP="0004258C">
      <w:pPr>
        <w:tabs>
          <w:tab w:val="center" w:pos="4153"/>
          <w:tab w:val="right" w:pos="8306"/>
        </w:tabs>
        <w:overflowPunct w:val="0"/>
        <w:autoSpaceDE w:val="0"/>
        <w:autoSpaceDN w:val="0"/>
        <w:adjustRightInd w:val="0"/>
        <w:spacing w:after="0" w:line="240" w:lineRule="auto"/>
        <w:ind w:left="142"/>
        <w:jc w:val="center"/>
        <w:textAlignment w:val="baseline"/>
        <w:rPr>
          <w:rFonts w:ascii="Garamond" w:hAnsi="Garamond"/>
          <w:b/>
          <w:spacing w:val="8"/>
          <w:sz w:val="24"/>
        </w:rPr>
      </w:pPr>
      <w:r>
        <w:rPr>
          <w:noProof/>
        </w:rPr>
        <mc:AlternateContent>
          <mc:Choice Requires="wps">
            <w:drawing>
              <wp:anchor distT="0" distB="0" distL="114300" distR="114300" simplePos="0" relativeHeight="251659264" behindDoc="0" locked="0" layoutInCell="1" allowOverlap="1" wp14:anchorId="3395545C" wp14:editId="30DBEFD1">
                <wp:simplePos x="0" y="0"/>
                <wp:positionH relativeFrom="column">
                  <wp:posOffset>106680</wp:posOffset>
                </wp:positionH>
                <wp:positionV relativeFrom="paragraph">
                  <wp:posOffset>74930</wp:posOffset>
                </wp:positionV>
                <wp:extent cx="47148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875" cy="0"/>
                        </a:xfrm>
                        <a:prstGeom prst="line">
                          <a:avLst/>
                        </a:prstGeom>
                        <a:noFill/>
                        <a:ln w="6350">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ABFF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5.9pt" to="379.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" strokecolor="windowText" strokeweight=".5pt"/>
            </w:pict>
          </mc:Fallback>
        </mc:AlternateContent>
      </w:r>
    </w:p>
    <w:p w14:paraId="5AEF5BBD" w14:textId="77777777" w:rsidR="0004258C" w:rsidRDefault="0004258C" w:rsidP="0004258C">
      <w:pPr>
        <w:tabs>
          <w:tab w:val="center" w:pos="4153"/>
          <w:tab w:val="right" w:pos="8306"/>
        </w:tabs>
        <w:overflowPunct w:val="0"/>
        <w:autoSpaceDE w:val="0"/>
        <w:autoSpaceDN w:val="0"/>
        <w:adjustRightInd w:val="0"/>
        <w:spacing w:after="40" w:line="240" w:lineRule="auto"/>
        <w:ind w:left="142"/>
        <w:jc w:val="center"/>
        <w:textAlignment w:val="baseline"/>
        <w:rPr>
          <w:rFonts w:ascii="Garamond" w:hAnsi="Garamond"/>
          <w:b/>
          <w:sz w:val="22"/>
        </w:rPr>
      </w:pPr>
      <w:r>
        <w:rPr>
          <w:rFonts w:ascii="Garamond" w:hAnsi="Garamond"/>
          <w:b/>
          <w:sz w:val="22"/>
        </w:rPr>
        <w:t>Deputy Prime Minister</w:t>
      </w:r>
    </w:p>
    <w:p w14:paraId="2B9F39EE" w14:textId="77777777" w:rsidR="0004258C" w:rsidRDefault="0004258C" w:rsidP="0004258C">
      <w:pPr>
        <w:spacing w:after="0" w:line="240" w:lineRule="auto"/>
        <w:ind w:left="142"/>
        <w:jc w:val="center"/>
        <w:rPr>
          <w:rFonts w:ascii="Garamond" w:hAnsi="Garamond"/>
          <w:b/>
          <w:sz w:val="22"/>
        </w:rPr>
      </w:pPr>
      <w:r>
        <w:rPr>
          <w:rFonts w:ascii="Garamond" w:hAnsi="Garamond"/>
          <w:b/>
          <w:sz w:val="22"/>
        </w:rPr>
        <w:t>Minister for Infrastructure, Transport and Regional Development</w:t>
      </w:r>
    </w:p>
    <w:p w14:paraId="167E1D5B" w14:textId="77777777" w:rsidR="0004258C" w:rsidRDefault="0004258C" w:rsidP="0004258C">
      <w:pPr>
        <w:spacing w:after="0" w:line="240" w:lineRule="auto"/>
        <w:ind w:left="142"/>
        <w:jc w:val="center"/>
        <w:rPr>
          <w:rFonts w:ascii="Garamond" w:hAnsi="Garamond"/>
          <w:b/>
          <w:sz w:val="22"/>
        </w:rPr>
      </w:pPr>
      <w:r>
        <w:rPr>
          <w:rFonts w:ascii="Garamond" w:hAnsi="Garamond"/>
          <w:b/>
          <w:sz w:val="22"/>
        </w:rPr>
        <w:t xml:space="preserve">Leader of </w:t>
      </w:r>
      <w:proofErr w:type="gramStart"/>
      <w:r>
        <w:rPr>
          <w:rFonts w:ascii="Garamond" w:hAnsi="Garamond"/>
          <w:b/>
          <w:sz w:val="22"/>
        </w:rPr>
        <w:t>The</w:t>
      </w:r>
      <w:proofErr w:type="gramEnd"/>
      <w:r>
        <w:rPr>
          <w:rFonts w:ascii="Garamond" w:hAnsi="Garamond"/>
          <w:b/>
          <w:sz w:val="22"/>
        </w:rPr>
        <w:t xml:space="preserve"> Nationals</w:t>
      </w:r>
    </w:p>
    <w:p w14:paraId="7F38E0E1" w14:textId="1A727298" w:rsidR="0004258C" w:rsidRDefault="0004258C" w:rsidP="0004258C">
      <w:pPr>
        <w:tabs>
          <w:tab w:val="center" w:pos="4153"/>
          <w:tab w:val="right" w:pos="8306"/>
        </w:tabs>
        <w:overflowPunct w:val="0"/>
        <w:autoSpaceDE w:val="0"/>
        <w:autoSpaceDN w:val="0"/>
        <w:adjustRightInd w:val="0"/>
        <w:spacing w:after="40" w:line="240" w:lineRule="auto"/>
        <w:ind w:left="142"/>
        <w:jc w:val="center"/>
        <w:textAlignment w:val="baseline"/>
        <w:rPr>
          <w:rFonts w:ascii="Garamond" w:hAnsi="Garamond"/>
          <w:b/>
          <w:sz w:val="22"/>
        </w:rPr>
      </w:pPr>
      <w:r>
        <w:rPr>
          <w:rFonts w:ascii="Garamond" w:hAnsi="Garamond"/>
          <w:b/>
          <w:sz w:val="22"/>
        </w:rPr>
        <w:t>Federal Member for New England</w:t>
      </w:r>
    </w:p>
    <w:p w14:paraId="0F8B339F" w14:textId="77777777" w:rsidR="00D71136" w:rsidRDefault="00D71136" w:rsidP="0004258C">
      <w:pPr>
        <w:tabs>
          <w:tab w:val="center" w:pos="4153"/>
          <w:tab w:val="right" w:pos="8306"/>
        </w:tabs>
        <w:overflowPunct w:val="0"/>
        <w:autoSpaceDE w:val="0"/>
        <w:autoSpaceDN w:val="0"/>
        <w:adjustRightInd w:val="0"/>
        <w:spacing w:after="40" w:line="240" w:lineRule="auto"/>
        <w:ind w:left="142"/>
        <w:jc w:val="center"/>
        <w:textAlignment w:val="baseline"/>
        <w:rPr>
          <w:rFonts w:ascii="Times New Roman" w:hAnsi="Times New Roman"/>
          <w:sz w:val="24"/>
        </w:rPr>
      </w:pPr>
    </w:p>
    <w:p w14:paraId="44181A1D" w14:textId="5438F1F4" w:rsidR="0004258C" w:rsidRDefault="00D71136" w:rsidP="0004258C">
      <w:pPr>
        <w:pStyle w:val="SinglePara"/>
        <w:spacing w:line="240" w:lineRule="auto"/>
      </w:pPr>
      <w:r>
        <w:rPr>
          <w:noProof/>
        </w:rPr>
        <w:drawing>
          <wp:inline distT="0" distB="0" distL="0" distR="0" wp14:anchorId="27A70C9C" wp14:editId="575D97DF">
            <wp:extent cx="4896485" cy="4682490"/>
            <wp:effectExtent l="0" t="0" r="0" b="381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896485" cy="4682490"/>
                    </a:xfrm>
                    <a:prstGeom prst="rect">
                      <a:avLst/>
                    </a:prstGeom>
                  </pic:spPr>
                </pic:pic>
              </a:graphicData>
            </a:graphic>
          </wp:inline>
        </w:drawing>
      </w:r>
    </w:p>
    <w:p w14:paraId="2A834990" w14:textId="1A95ACD2" w:rsidR="0004258C" w:rsidRDefault="0004258C" w:rsidP="005A6A00">
      <w:pPr>
        <w:tabs>
          <w:tab w:val="center" w:pos="4153"/>
          <w:tab w:val="right" w:pos="8306"/>
        </w:tabs>
        <w:overflowPunct w:val="0"/>
        <w:autoSpaceDE w:val="0"/>
        <w:autoSpaceDN w:val="0"/>
        <w:adjustRightInd w:val="0"/>
        <w:spacing w:after="0" w:line="240" w:lineRule="auto"/>
        <w:jc w:val="left"/>
        <w:textAlignment w:val="baseline"/>
        <w:rPr>
          <w:rFonts w:ascii="Garamond" w:eastAsia="Calibri" w:hAnsi="Garamond"/>
          <w:caps/>
          <w:sz w:val="24"/>
        </w:rPr>
      </w:pPr>
      <w:r>
        <w:rPr>
          <w:noProof/>
        </w:rPr>
        <mc:AlternateContent>
          <mc:Choice Requires="wps">
            <w:drawing>
              <wp:anchor distT="0" distB="0" distL="114300" distR="114300" simplePos="0" relativeHeight="251658240" behindDoc="0" locked="0" layoutInCell="1" allowOverlap="1" wp14:anchorId="02D2265E" wp14:editId="11D77888">
                <wp:simplePos x="0" y="0"/>
                <wp:positionH relativeFrom="column">
                  <wp:posOffset>35560</wp:posOffset>
                </wp:positionH>
                <wp:positionV relativeFrom="paragraph">
                  <wp:posOffset>134620</wp:posOffset>
                </wp:positionV>
                <wp:extent cx="478663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22445"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0.6pt" to="379.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0TD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" strokeweight=".5pt"/>
            </w:pict>
          </mc:Fallback>
        </mc:AlternateContent>
      </w:r>
    </w:p>
    <w:p w14:paraId="09A9F22E" w14:textId="77777777" w:rsidR="0004258C" w:rsidRDefault="0004258C" w:rsidP="0004258C">
      <w:pPr>
        <w:tabs>
          <w:tab w:val="center" w:pos="4153"/>
          <w:tab w:val="right" w:pos="8306"/>
        </w:tabs>
        <w:overflowPunct w:val="0"/>
        <w:autoSpaceDE w:val="0"/>
        <w:autoSpaceDN w:val="0"/>
        <w:adjustRightInd w:val="0"/>
        <w:spacing w:after="0" w:line="240" w:lineRule="auto"/>
        <w:jc w:val="center"/>
        <w:textAlignment w:val="baseline"/>
        <w:rPr>
          <w:rFonts w:ascii="Garamond" w:eastAsia="Calibri" w:hAnsi="Garamond"/>
          <w:sz w:val="18"/>
          <w:szCs w:val="22"/>
        </w:rPr>
      </w:pPr>
      <w:r>
        <w:rPr>
          <w:rFonts w:ascii="Garamond" w:eastAsia="Calibri" w:hAnsi="Garamond"/>
          <w:sz w:val="18"/>
          <w:szCs w:val="22"/>
        </w:rPr>
        <w:t xml:space="preserve">The Hon Barnaby Joyce MP </w:t>
      </w:r>
    </w:p>
    <w:p w14:paraId="57BC9285" w14:textId="77777777" w:rsidR="0004258C" w:rsidRDefault="0004258C" w:rsidP="0004258C">
      <w:pPr>
        <w:tabs>
          <w:tab w:val="center" w:pos="4153"/>
          <w:tab w:val="right" w:pos="8306"/>
        </w:tabs>
        <w:overflowPunct w:val="0"/>
        <w:autoSpaceDE w:val="0"/>
        <w:autoSpaceDN w:val="0"/>
        <w:adjustRightInd w:val="0"/>
        <w:spacing w:after="0" w:line="240" w:lineRule="auto"/>
        <w:jc w:val="center"/>
        <w:textAlignment w:val="baseline"/>
        <w:rPr>
          <w:rFonts w:ascii="Garamond" w:eastAsia="Calibri" w:hAnsi="Garamond"/>
          <w:sz w:val="18"/>
          <w:szCs w:val="22"/>
        </w:rPr>
      </w:pPr>
      <w:r>
        <w:rPr>
          <w:rFonts w:ascii="Garamond" w:eastAsia="Calibri" w:hAnsi="Garamond"/>
          <w:sz w:val="18"/>
          <w:szCs w:val="22"/>
        </w:rPr>
        <w:t>Parliament House Canberra| (02) 6277 7520 | minister.joyce@infrastructure.gov.au</w:t>
      </w:r>
    </w:p>
    <w:p w14:paraId="443E0D08" w14:textId="5C2FA532" w:rsidR="00F51DAC" w:rsidRDefault="0004258C" w:rsidP="0004258C">
      <w:pPr>
        <w:tabs>
          <w:tab w:val="center" w:pos="4153"/>
          <w:tab w:val="right" w:pos="8306"/>
        </w:tabs>
        <w:overflowPunct w:val="0"/>
        <w:autoSpaceDE w:val="0"/>
        <w:autoSpaceDN w:val="0"/>
        <w:adjustRightInd w:val="0"/>
        <w:spacing w:after="0" w:line="240" w:lineRule="auto"/>
        <w:jc w:val="center"/>
        <w:textAlignment w:val="baseline"/>
      </w:pPr>
      <w:r>
        <w:rPr>
          <w:rFonts w:ascii="Garamond" w:eastAsia="Calibri" w:hAnsi="Garamond"/>
          <w:sz w:val="18"/>
          <w:szCs w:val="22"/>
        </w:rPr>
        <w:t xml:space="preserve">PO Box 963, Tamworth NSW 2340 </w:t>
      </w:r>
    </w:p>
    <w:bookmarkEnd w:id="1"/>
    <w:bookmarkEnd w:id="2"/>
    <w:bookmarkEnd w:id="3"/>
    <w:p w14:paraId="1B86BA35" w14:textId="77777777" w:rsidR="00F51DAC" w:rsidRDefault="00F51DAC" w:rsidP="00F51DAC">
      <w:pPr>
        <w:sectPr w:rsidR="00F51DAC" w:rsidSect="00B100D4">
          <w:type w:val="oddPage"/>
          <w:pgSz w:w="11907" w:h="16840" w:code="9"/>
          <w:pgMar w:top="2835" w:right="2098" w:bottom="2466" w:left="2098" w:header="1814" w:footer="1814" w:gutter="0"/>
          <w:pgNumType w:fmt="lowerRoman"/>
          <w:cols w:space="720"/>
          <w:titlePg/>
        </w:sectPr>
      </w:pPr>
    </w:p>
    <w:p w14:paraId="1AA255FA" w14:textId="77777777" w:rsidR="00F51DAC" w:rsidRPr="00447D46" w:rsidRDefault="00F51DAC" w:rsidP="00ED5D96">
      <w:pPr>
        <w:pStyle w:val="Heading1-NoTOC"/>
      </w:pPr>
      <w:r>
        <w:lastRenderedPageBreak/>
        <w:t>Abbreviations and</w:t>
      </w:r>
      <w:r w:rsidRPr="00447D46">
        <w:t xml:space="preserve"> conventions </w:t>
      </w:r>
    </w:p>
    <w:p w14:paraId="60C91FAD" w14:textId="77777777" w:rsidR="00F51DAC" w:rsidRDefault="00F51DAC" w:rsidP="00F51DAC">
      <w:pPr>
        <w:tabs>
          <w:tab w:val="left" w:pos="567"/>
        </w:tabs>
      </w:pPr>
      <w:r>
        <w:t>The following notations may be used:</w:t>
      </w:r>
    </w:p>
    <w:p w14:paraId="1ED1111B" w14:textId="77777777" w:rsidR="00F51DAC" w:rsidRDefault="00F51DAC" w:rsidP="00F51DAC">
      <w:pPr>
        <w:tabs>
          <w:tab w:val="left" w:pos="567"/>
          <w:tab w:val="left" w:pos="1701"/>
        </w:tabs>
        <w:spacing w:after="60"/>
        <w:ind w:left="567"/>
      </w:pPr>
      <w:r>
        <w:t>NEC/</w:t>
      </w:r>
      <w:proofErr w:type="spellStart"/>
      <w:r>
        <w:t>nec</w:t>
      </w:r>
      <w:proofErr w:type="spellEnd"/>
      <w:r>
        <w:tab/>
        <w:t>not elsewhere classified</w:t>
      </w:r>
    </w:p>
    <w:p w14:paraId="558A09CE" w14:textId="77777777" w:rsidR="00F51DAC" w:rsidRDefault="00E15CF3" w:rsidP="00F51DAC">
      <w:pPr>
        <w:tabs>
          <w:tab w:val="left" w:pos="567"/>
          <w:tab w:val="left" w:pos="1701"/>
        </w:tabs>
        <w:spacing w:after="60"/>
        <w:ind w:left="567"/>
      </w:pPr>
      <w:r>
        <w:noBreakHyphen/>
      </w:r>
      <w:r w:rsidR="00F51DAC">
        <w:tab/>
      </w:r>
      <w:proofErr w:type="gramStart"/>
      <w:r w:rsidR="00F51DAC">
        <w:t>nil</w:t>
      </w:r>
      <w:proofErr w:type="gramEnd"/>
    </w:p>
    <w:p w14:paraId="2BA70B3D" w14:textId="77777777" w:rsidR="00F51DAC" w:rsidRDefault="00F51DAC" w:rsidP="00F51DAC">
      <w:pPr>
        <w:tabs>
          <w:tab w:val="left" w:pos="567"/>
          <w:tab w:val="left" w:pos="1701"/>
        </w:tabs>
        <w:spacing w:after="60"/>
        <w:ind w:left="567"/>
      </w:pPr>
      <w:r>
        <w:t>..</w:t>
      </w:r>
      <w:r>
        <w:tab/>
      </w:r>
      <w:proofErr w:type="gramStart"/>
      <w:r>
        <w:t>not</w:t>
      </w:r>
      <w:proofErr w:type="gramEnd"/>
      <w:r>
        <w:t xml:space="preserve"> zero, but rounded to zero</w:t>
      </w:r>
    </w:p>
    <w:p w14:paraId="4266F01D" w14:textId="77777777" w:rsidR="00F51DAC" w:rsidRDefault="00F51DAC" w:rsidP="00F51DAC">
      <w:pPr>
        <w:tabs>
          <w:tab w:val="left" w:pos="567"/>
          <w:tab w:val="left" w:pos="1701"/>
        </w:tabs>
        <w:spacing w:after="60"/>
        <w:ind w:left="567"/>
      </w:pPr>
      <w:proofErr w:type="spellStart"/>
      <w:proofErr w:type="gramStart"/>
      <w:r>
        <w:t>na</w:t>
      </w:r>
      <w:proofErr w:type="spellEnd"/>
      <w:proofErr w:type="gramEnd"/>
      <w:r>
        <w:tab/>
        <w:t>not applicable (unless otherwise specified)</w:t>
      </w:r>
    </w:p>
    <w:p w14:paraId="021650EC" w14:textId="77777777" w:rsidR="00F51DAC" w:rsidRDefault="00F51DAC" w:rsidP="00F51DAC">
      <w:pPr>
        <w:tabs>
          <w:tab w:val="left" w:pos="567"/>
          <w:tab w:val="left" w:pos="1701"/>
        </w:tabs>
        <w:spacing w:after="60"/>
        <w:ind w:left="567"/>
      </w:pPr>
      <w:proofErr w:type="spellStart"/>
      <w:proofErr w:type="gramStart"/>
      <w:r>
        <w:t>nfp</w:t>
      </w:r>
      <w:proofErr w:type="spellEnd"/>
      <w:proofErr w:type="gramEnd"/>
      <w:r>
        <w:tab/>
        <w:t>not for publication</w:t>
      </w:r>
    </w:p>
    <w:p w14:paraId="2D2B0CAE" w14:textId="77777777" w:rsidR="00F51DAC" w:rsidRDefault="00F51DAC" w:rsidP="00F51DAC">
      <w:pPr>
        <w:tabs>
          <w:tab w:val="left" w:pos="567"/>
          <w:tab w:val="left" w:pos="1701"/>
        </w:tabs>
        <w:spacing w:after="60"/>
        <w:ind w:left="567"/>
      </w:pPr>
      <w:r>
        <w:t>$m</w:t>
      </w:r>
      <w:r>
        <w:tab/>
        <w:t>$ million</w:t>
      </w:r>
    </w:p>
    <w:p w14:paraId="0B25AD9E" w14:textId="38A708A9" w:rsidR="00734D3F" w:rsidRDefault="00734D3F" w:rsidP="00734D3F">
      <w:pPr>
        <w:tabs>
          <w:tab w:val="left" w:pos="567"/>
          <w:tab w:val="left" w:pos="1701"/>
        </w:tabs>
        <w:spacing w:after="60"/>
        <w:ind w:left="567"/>
      </w:pPr>
      <w:r>
        <w:t>$b</w:t>
      </w:r>
      <w:r>
        <w:tab/>
        <w:t>$ billion</w:t>
      </w:r>
    </w:p>
    <w:p w14:paraId="679249B9" w14:textId="77777777" w:rsidR="00FC5CDE" w:rsidRDefault="00F51DAC" w:rsidP="00061093">
      <w:pPr>
        <w:jc w:val="left"/>
      </w:pPr>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14:paraId="72233F3B" w14:textId="77777777" w:rsidR="00F51DAC" w:rsidRPr="004C0BD7" w:rsidRDefault="00F51DAC" w:rsidP="004C0BD7">
      <w:pPr>
        <w:pStyle w:val="Heading2-NoTOC"/>
      </w:pPr>
      <w:bookmarkStart w:id="4" w:name="_Toc210646442"/>
      <w:bookmarkStart w:id="5" w:name="_Toc210698421"/>
      <w:bookmarkStart w:id="6" w:name="_Toc210700992"/>
      <w:bookmarkStart w:id="7" w:name="_Toc210703165"/>
      <w:bookmarkStart w:id="8" w:name="_Toc210703206"/>
      <w:bookmarkStart w:id="9" w:name="_Toc531094581"/>
      <w:bookmarkStart w:id="10" w:name="_Toc531095060"/>
      <w:r w:rsidRPr="004C0BD7">
        <w:t>Enquiries</w:t>
      </w:r>
      <w:bookmarkEnd w:id="4"/>
      <w:bookmarkEnd w:id="5"/>
      <w:bookmarkEnd w:id="6"/>
      <w:bookmarkEnd w:id="7"/>
      <w:bookmarkEnd w:id="8"/>
      <w:bookmarkEnd w:id="9"/>
      <w:bookmarkEnd w:id="10"/>
    </w:p>
    <w:p w14:paraId="4D3DB265" w14:textId="56EE348F" w:rsidR="00F51DAC" w:rsidRDefault="00F51DAC" w:rsidP="00061093">
      <w:pPr>
        <w:jc w:val="left"/>
      </w:pPr>
      <w:r>
        <w:t xml:space="preserve">Should you have any enquiries regarding this publication please contact </w:t>
      </w:r>
      <w:r w:rsidR="007D378F">
        <w:t xml:space="preserve">the </w:t>
      </w:r>
      <w:r w:rsidR="00726A60">
        <w:t>Chief Financ</w:t>
      </w:r>
      <w:r w:rsidR="00A537A2">
        <w:t>ial</w:t>
      </w:r>
      <w:r>
        <w:t xml:space="preserve"> Officer in the </w:t>
      </w:r>
      <w:r w:rsidR="008863D9">
        <w:t>Department</w:t>
      </w:r>
      <w:r>
        <w:t xml:space="preserve"> of </w:t>
      </w:r>
      <w:r w:rsidR="007D378F">
        <w:t>Infrastructure, Transport, Regional Development and Communications</w:t>
      </w:r>
      <w:r w:rsidR="007D378F">
        <w:rPr>
          <w:rFonts w:ascii="Palatino" w:hAnsi="Palatino"/>
          <w:color w:val="FF0000"/>
        </w:rPr>
        <w:t xml:space="preserve"> </w:t>
      </w:r>
      <w:r>
        <w:t>on (02)</w:t>
      </w:r>
      <w:r w:rsidR="007D378F">
        <w:t xml:space="preserve"> 6274 </w:t>
      </w:r>
      <w:proofErr w:type="gramStart"/>
      <w:r w:rsidR="007D378F">
        <w:t>7111</w:t>
      </w:r>
      <w:r>
        <w:t>.</w:t>
      </w:r>
      <w:proofErr w:type="gramEnd"/>
    </w:p>
    <w:p w14:paraId="52F19F30" w14:textId="3D852373" w:rsidR="00F51DAC" w:rsidRDefault="0051350D" w:rsidP="00061093">
      <w:pPr>
        <w:jc w:val="left"/>
      </w:pPr>
      <w:r>
        <w:t xml:space="preserve">Links to Portfolio Budget Statements (including Portfolio Additional Estimates Statements and Portfolio Supplementary Additional Estimates Statements) can be located on the Australian Government Budget website at </w:t>
      </w:r>
      <w:hyperlink r:id="rId30" w:history="1">
        <w:r w:rsidRPr="00A537A2">
          <w:rPr>
            <w:rStyle w:val="Hyperlink"/>
            <w:u w:val="single"/>
          </w:rPr>
          <w:t>www.budget.gov.au</w:t>
        </w:r>
      </w:hyperlink>
      <w:r>
        <w:t>.</w:t>
      </w:r>
    </w:p>
    <w:p w14:paraId="1A74CDC1" w14:textId="77777777" w:rsidR="00F51DAC" w:rsidRDefault="00F51DAC" w:rsidP="00F51DAC">
      <w:pPr>
        <w:pStyle w:val="ContentsHeading"/>
        <w:rPr>
          <w:snapToGrid w:val="0"/>
        </w:rPr>
        <w:sectPr w:rsidR="00F51DAC" w:rsidSect="005A601A">
          <w:headerReference w:type="even" r:id="rId31"/>
          <w:headerReference w:type="default" r:id="rId32"/>
          <w:footerReference w:type="even" r:id="rId33"/>
          <w:footerReference w:type="default" r:id="rId34"/>
          <w:headerReference w:type="first" r:id="rId35"/>
          <w:footerReference w:type="first" r:id="rId36"/>
          <w:pgSz w:w="11907" w:h="16840" w:code="9"/>
          <w:pgMar w:top="2835" w:right="2098" w:bottom="2466" w:left="2098" w:header="1814" w:footer="1814" w:gutter="0"/>
          <w:pgNumType w:fmt="lowerRoman"/>
          <w:cols w:space="720"/>
          <w:titlePg/>
        </w:sectPr>
      </w:pPr>
    </w:p>
    <w:p w14:paraId="0E062C60" w14:textId="77777777" w:rsidR="00F51DAC" w:rsidRPr="00EE330C" w:rsidRDefault="00F51DAC" w:rsidP="00ED5D96">
      <w:pPr>
        <w:pStyle w:val="PartHeading-NoTOC"/>
        <w:rPr>
          <w:szCs w:val="52"/>
        </w:rPr>
      </w:pPr>
      <w:bookmarkStart w:id="11" w:name="_Toc112211948"/>
      <w:bookmarkStart w:id="12" w:name="_Toc112212042"/>
      <w:bookmarkStart w:id="13" w:name="_Toc112137860"/>
      <w:bookmarkStart w:id="14" w:name="_Toc112224367"/>
      <w:bookmarkStart w:id="15" w:name="_Toc210646443"/>
      <w:bookmarkStart w:id="16" w:name="_Toc210698422"/>
      <w:r w:rsidRPr="005E5C4A">
        <w:rPr>
          <w:szCs w:val="52"/>
        </w:rPr>
        <w:lastRenderedPageBreak/>
        <w:t xml:space="preserve">User </w:t>
      </w:r>
      <w:r w:rsidR="00C10DE5" w:rsidRPr="005E5C4A">
        <w:rPr>
          <w:szCs w:val="52"/>
        </w:rPr>
        <w:t>guide</w:t>
      </w:r>
      <w:r w:rsidRPr="005E5C4A">
        <w:rPr>
          <w:szCs w:val="52"/>
        </w:rPr>
        <w:br/>
        <w:t>to the</w:t>
      </w:r>
      <w:r w:rsidRPr="00EE330C">
        <w:rPr>
          <w:szCs w:val="52"/>
        </w:rPr>
        <w:br/>
        <w:t>Portfolio Additional</w:t>
      </w:r>
      <w:r w:rsidRPr="00EE330C">
        <w:rPr>
          <w:szCs w:val="52"/>
        </w:rPr>
        <w:br/>
        <w:t>Estimate Statements</w:t>
      </w:r>
    </w:p>
    <w:p w14:paraId="1DE10863" w14:textId="77777777" w:rsidR="00F51DAC" w:rsidRDefault="00F51DAC" w:rsidP="00ED5D96">
      <w:pPr>
        <w:pStyle w:val="PartHeading-NoTOC"/>
        <w:rPr>
          <w:lang w:val="en-US"/>
        </w:rPr>
        <w:sectPr w:rsidR="00F51DAC" w:rsidSect="005A601A">
          <w:headerReference w:type="even" r:id="rId37"/>
          <w:headerReference w:type="default" r:id="rId38"/>
          <w:footerReference w:type="default" r:id="rId39"/>
          <w:headerReference w:type="first" r:id="rId40"/>
          <w:footerReference w:type="first" r:id="rId41"/>
          <w:pgSz w:w="11907" w:h="16840" w:code="9"/>
          <w:pgMar w:top="2835" w:right="2098" w:bottom="2466" w:left="2098" w:header="1814" w:footer="1814" w:gutter="0"/>
          <w:pgNumType w:fmt="lowerRoman"/>
          <w:cols w:space="720"/>
          <w:vAlign w:val="center"/>
          <w:titlePg/>
        </w:sectPr>
      </w:pPr>
    </w:p>
    <w:p w14:paraId="5D0B8991" w14:textId="77777777" w:rsidR="00F51DAC" w:rsidRDefault="00F51DAC" w:rsidP="00ED5D96">
      <w:pPr>
        <w:pStyle w:val="Heading1-NoTOC"/>
      </w:pPr>
      <w:r>
        <w:lastRenderedPageBreak/>
        <w:t>User Guide</w:t>
      </w:r>
      <w:bookmarkEnd w:id="11"/>
      <w:bookmarkEnd w:id="12"/>
      <w:bookmarkEnd w:id="13"/>
      <w:bookmarkEnd w:id="14"/>
      <w:bookmarkEnd w:id="15"/>
      <w:bookmarkEnd w:id="16"/>
    </w:p>
    <w:p w14:paraId="1EA96415" w14:textId="16A4D50A" w:rsidR="00F51DAC" w:rsidRDefault="00F51DAC" w:rsidP="00061093">
      <w:pPr>
        <w:tabs>
          <w:tab w:val="right" w:pos="7088"/>
        </w:tabs>
        <w:jc w:val="left"/>
      </w:pPr>
      <w:r>
        <w:t xml:space="preserve">The purpose of the </w:t>
      </w:r>
      <w:r w:rsidR="00374AD3">
        <w:t>2021</w:t>
      </w:r>
      <w:r w:rsidR="007F19BF">
        <w:t>-</w:t>
      </w:r>
      <w:r w:rsidR="00374AD3">
        <w:t xml:space="preserve">22 </w:t>
      </w:r>
      <w:r>
        <w:t xml:space="preserve">Portfolio Additional Estimates Statements (PAES), like that of the Portfolio Budget Statements (PB Statements), is to inform Senators and Members of Parliament of the proposed allocation of resources to Government outcomes by </w:t>
      </w:r>
      <w:r w:rsidR="00726A60">
        <w:t>entities</w:t>
      </w:r>
      <w:r>
        <w:t xml:space="preserve"> within the portfolio. The focus of the PAES differs from the PB Statements in one important aspect</w:t>
      </w:r>
      <w:r w:rsidR="00E15CF3">
        <w:t xml:space="preserve">. </w:t>
      </w:r>
      <w:r>
        <w:t xml:space="preserve">While the PAES include an </w:t>
      </w:r>
      <w:r w:rsidR="00726A60">
        <w:t>Entity</w:t>
      </w:r>
      <w:r>
        <w:t xml:space="preserve"> Resource Statement to inform Parliament of the revised estimate of the total resources available to an </w:t>
      </w:r>
      <w:r w:rsidR="00726A60">
        <w:t>entity</w:t>
      </w:r>
      <w:r>
        <w:t>, the focus of the PAES is on explaining the changes in resourcing by outcome(s) since the Budget</w:t>
      </w:r>
      <w:r w:rsidR="00E15CF3">
        <w:t xml:space="preserve">. </w:t>
      </w:r>
      <w:r>
        <w:t>As such, the PAES provides information on new measures and their impact on the financial and/or non</w:t>
      </w:r>
      <w:r w:rsidR="00E15CF3">
        <w:noBreakHyphen/>
      </w:r>
      <w:r>
        <w:t xml:space="preserve">financial planned performance of </w:t>
      </w:r>
      <w:r w:rsidR="009F015F">
        <w:t>program</w:t>
      </w:r>
      <w:r w:rsidR="009D4B20">
        <w:t>s</w:t>
      </w:r>
      <w:r>
        <w:t xml:space="preserve"> supporting those outcomes.</w:t>
      </w:r>
    </w:p>
    <w:p w14:paraId="63713C63" w14:textId="3DE59D50" w:rsidR="00F51DAC" w:rsidRDefault="00F51DAC" w:rsidP="00061093">
      <w:pPr>
        <w:tabs>
          <w:tab w:val="right" w:pos="7088"/>
        </w:tabs>
        <w:jc w:val="left"/>
      </w:pPr>
      <w:r>
        <w:t xml:space="preserve">The PAES facilitate understanding of the proposed appropriations in </w:t>
      </w:r>
      <w:r w:rsidRPr="00B94BE6">
        <w:t>Appropriation Bills (</w:t>
      </w:r>
      <w:r w:rsidR="00A1234B" w:rsidRPr="00B94BE6">
        <w:t xml:space="preserve">Nos. </w:t>
      </w:r>
      <w:r w:rsidR="00A1234B" w:rsidRPr="00F65BC3">
        <w:t xml:space="preserve">3 </w:t>
      </w:r>
      <w:r w:rsidR="001A1C55" w:rsidRPr="00F65BC3">
        <w:t>and</w:t>
      </w:r>
      <w:r w:rsidR="00A1234B" w:rsidRPr="00F65BC3">
        <w:t xml:space="preserve"> 4</w:t>
      </w:r>
      <w:r w:rsidRPr="00B94BE6">
        <w:t>)</w:t>
      </w:r>
      <w:r w:rsidRPr="00A94F3F">
        <w:rPr>
          <w:i/>
        </w:rPr>
        <w:t xml:space="preserve"> </w:t>
      </w:r>
      <w:r w:rsidR="00DD620A" w:rsidRPr="00DD620A">
        <w:t xml:space="preserve">and Appropriation (Parliamentary </w:t>
      </w:r>
      <w:r w:rsidR="008863D9">
        <w:t>Department</w:t>
      </w:r>
      <w:r w:rsidR="00DD620A" w:rsidRPr="00DD620A">
        <w:t>s) Bill</w:t>
      </w:r>
      <w:r w:rsidR="00DD620A">
        <w:t xml:space="preserve"> </w:t>
      </w:r>
      <w:r w:rsidR="00DD620A" w:rsidRPr="00DD620A">
        <w:t>(No. 2</w:t>
      </w:r>
      <w:r w:rsidR="00DD620A">
        <w:rPr>
          <w:i/>
        </w:rPr>
        <w:t>)</w:t>
      </w:r>
      <w:r w:rsidR="00842C17">
        <w:rPr>
          <w:i/>
        </w:rPr>
        <w:t xml:space="preserve"> </w:t>
      </w:r>
      <w:r w:rsidR="00374AD3" w:rsidRPr="00E40CA3">
        <w:t>2021</w:t>
      </w:r>
      <w:r w:rsidR="007F19BF" w:rsidRPr="00E40CA3">
        <w:t>-</w:t>
      </w:r>
      <w:r w:rsidR="00E40CA3">
        <w:t> </w:t>
      </w:r>
      <w:r w:rsidR="00374AD3" w:rsidRPr="00E40CA3">
        <w:t>22</w:t>
      </w:r>
      <w:r w:rsidRPr="00E40CA3">
        <w:t>.</w:t>
      </w:r>
      <w:r>
        <w:t xml:space="preserve"> In this </w:t>
      </w:r>
      <w:r w:rsidR="00BA1B7B">
        <w:t xml:space="preserve">sense, the PAES is </w:t>
      </w:r>
      <w:r>
        <w:t xml:space="preserve">declared by the Additional Estimates Appropriation Bills to be a ‘relevant document’ to the interpretation of the Bills according to section 15AB of the </w:t>
      </w:r>
      <w:r>
        <w:rPr>
          <w:i/>
        </w:rPr>
        <w:t>Acts Interpretation Act 1901</w:t>
      </w:r>
      <w:r>
        <w:t>.</w:t>
      </w:r>
    </w:p>
    <w:p w14:paraId="0A269C1A" w14:textId="2ADF00EE" w:rsidR="00F51DAC" w:rsidRDefault="00F51DAC" w:rsidP="00061093">
      <w:pPr>
        <w:tabs>
          <w:tab w:val="right" w:pos="7088"/>
        </w:tabs>
        <w:jc w:val="left"/>
      </w:pPr>
      <w:r>
        <w:t xml:space="preserve">Whereas the </w:t>
      </w:r>
      <w:r w:rsidRPr="00F0022A">
        <w:t>Mid</w:t>
      </w:r>
      <w:r w:rsidR="00E15CF3" w:rsidRPr="00F0022A">
        <w:noBreakHyphen/>
      </w:r>
      <w:r w:rsidRPr="00F0022A">
        <w:t xml:space="preserve">Year Economic and Fiscal Outlook </w:t>
      </w:r>
      <w:r w:rsidR="0092657C" w:rsidRPr="00F0022A">
        <w:t xml:space="preserve">(MYEFO) </w:t>
      </w:r>
      <w:r w:rsidR="00374AD3" w:rsidRPr="00F0022A">
        <w:t>2021</w:t>
      </w:r>
      <w:r w:rsidR="007F19BF" w:rsidRPr="00F0022A">
        <w:t>-</w:t>
      </w:r>
      <w:r w:rsidR="00374AD3" w:rsidRPr="00F0022A">
        <w:t>22</w:t>
      </w:r>
      <w:r w:rsidR="00374AD3">
        <w:rPr>
          <w:i/>
        </w:rPr>
        <w:t xml:space="preserve"> </w:t>
      </w:r>
      <w:r>
        <w:t>is a mid</w:t>
      </w:r>
      <w:r w:rsidR="00E15CF3">
        <w:noBreakHyphen/>
      </w:r>
      <w:r>
        <w:t xml:space="preserve">year budget report which provides updated information to allow the assessment of the Government’s fiscal performance against its fiscal strategy, the PAES update the most recent budget appropriations for </w:t>
      </w:r>
      <w:r w:rsidR="00726A60">
        <w:t>entities</w:t>
      </w:r>
      <w:r>
        <w:t xml:space="preserve"> within the portfolio.</w:t>
      </w:r>
    </w:p>
    <w:p w14:paraId="063F47C6" w14:textId="77777777" w:rsidR="00F51DAC" w:rsidRPr="004C0BD7" w:rsidRDefault="00F51DAC" w:rsidP="004C0BD7">
      <w:pPr>
        <w:pStyle w:val="Heading2-NoTOC"/>
      </w:pPr>
      <w:r>
        <w:br w:type="page"/>
      </w:r>
      <w:bookmarkStart w:id="17" w:name="_Toc450201413"/>
      <w:bookmarkStart w:id="18" w:name="_Toc492796965"/>
      <w:bookmarkStart w:id="19" w:name="_Toc492797089"/>
      <w:bookmarkStart w:id="20" w:name="_Toc492799505"/>
      <w:bookmarkStart w:id="21" w:name="_Toc492799660"/>
      <w:bookmarkStart w:id="22" w:name="_Toc533505720"/>
      <w:bookmarkStart w:id="23" w:name="_Toc533505944"/>
      <w:bookmarkStart w:id="24" w:name="_Toc77997684"/>
      <w:bookmarkStart w:id="25" w:name="_Toc77998670"/>
      <w:bookmarkStart w:id="26" w:name="_Toc78339819"/>
      <w:bookmarkStart w:id="27" w:name="_Toc79405325"/>
      <w:bookmarkStart w:id="28" w:name="_Toc79405368"/>
      <w:bookmarkStart w:id="29" w:name="_Toc112045573"/>
      <w:bookmarkStart w:id="30" w:name="_Toc112211950"/>
      <w:bookmarkStart w:id="31" w:name="_Toc112212044"/>
      <w:bookmarkStart w:id="32" w:name="_Toc112137862"/>
      <w:bookmarkStart w:id="33" w:name="_Toc112137887"/>
      <w:bookmarkStart w:id="34" w:name="_Toc112224369"/>
      <w:bookmarkStart w:id="35" w:name="_Toc210611950"/>
      <w:bookmarkStart w:id="36" w:name="_Toc210646444"/>
      <w:bookmarkStart w:id="37" w:name="_Toc210698423"/>
      <w:bookmarkStart w:id="38" w:name="_Toc210700993"/>
      <w:bookmarkStart w:id="39" w:name="_Toc210703166"/>
      <w:bookmarkStart w:id="40" w:name="_Toc210703207"/>
      <w:bookmarkStart w:id="41" w:name="_Toc531094582"/>
      <w:bookmarkStart w:id="42" w:name="_Toc531095061"/>
      <w:r w:rsidRPr="004C0BD7">
        <w:lastRenderedPageBreak/>
        <w:t>Structure of the Portfolio Additional Estimates Statements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4B11E7E" w14:textId="77777777" w:rsidR="00F51DAC" w:rsidRDefault="00F51DAC" w:rsidP="00F51DAC">
      <w:pPr>
        <w:tabs>
          <w:tab w:val="right" w:pos="7088"/>
        </w:tabs>
        <w:jc w:val="left"/>
      </w:pPr>
      <w:r>
        <w:t>The PAES are presented in three parts with subsections.</w:t>
      </w:r>
    </w:p>
    <w:tbl>
      <w:tblPr>
        <w:tblW w:w="0" w:type="auto"/>
        <w:jc w:val="center"/>
        <w:tblLayout w:type="fixed"/>
        <w:tblLook w:val="0000" w:firstRow="0" w:lastRow="0" w:firstColumn="0" w:lastColumn="0" w:noHBand="0" w:noVBand="0"/>
      </w:tblPr>
      <w:tblGrid>
        <w:gridCol w:w="2268"/>
        <w:gridCol w:w="5443"/>
      </w:tblGrid>
      <w:tr w:rsidR="00F51DAC" w14:paraId="3F19DBEA" w14:textId="77777777" w:rsidTr="004C04CB">
        <w:trPr>
          <w:cantSplit/>
          <w:jc w:val="center"/>
        </w:trPr>
        <w:tc>
          <w:tcPr>
            <w:tcW w:w="7711" w:type="dxa"/>
            <w:gridSpan w:val="2"/>
            <w:shd w:val="clear" w:color="auto" w:fill="E6E6E6"/>
          </w:tcPr>
          <w:p w14:paraId="59EB9E04"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User </w:t>
            </w:r>
            <w:r w:rsidR="00C10DE5" w:rsidRPr="009D4B20">
              <w:rPr>
                <w:rFonts w:ascii="Book Antiqua" w:hAnsi="Book Antiqua"/>
              </w:rPr>
              <w:t>guide</w:t>
            </w:r>
          </w:p>
        </w:tc>
      </w:tr>
      <w:tr w:rsidR="00F51DAC" w14:paraId="202201F0" w14:textId="77777777" w:rsidTr="004C04CB">
        <w:trPr>
          <w:cantSplit/>
          <w:jc w:val="center"/>
        </w:trPr>
        <w:tc>
          <w:tcPr>
            <w:tcW w:w="7711" w:type="dxa"/>
            <w:gridSpan w:val="2"/>
          </w:tcPr>
          <w:p w14:paraId="5E167F64" w14:textId="77777777" w:rsidR="00F51DAC" w:rsidRPr="009D4B20" w:rsidRDefault="00F51DAC" w:rsidP="004C04CB">
            <w:pPr>
              <w:pStyle w:val="Tabletextjustified"/>
              <w:rPr>
                <w:rFonts w:ascii="Book Antiqua" w:hAnsi="Book Antiqua"/>
              </w:rPr>
            </w:pPr>
            <w:r w:rsidRPr="009D4B20">
              <w:rPr>
                <w:rFonts w:ascii="Book Antiqua" w:hAnsi="Book Antiqua"/>
              </w:rPr>
              <w:t>Provides a brief introduction explaining the purpose of the PAES.</w:t>
            </w:r>
          </w:p>
        </w:tc>
      </w:tr>
      <w:tr w:rsidR="00F51DAC" w14:paraId="65D25929" w14:textId="77777777" w:rsidTr="004C04CB">
        <w:trPr>
          <w:cantSplit/>
          <w:jc w:val="center"/>
        </w:trPr>
        <w:tc>
          <w:tcPr>
            <w:tcW w:w="2268" w:type="dxa"/>
            <w:shd w:val="clear" w:color="auto" w:fill="E6E6E6"/>
          </w:tcPr>
          <w:p w14:paraId="53B10929"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Portfolio </w:t>
            </w:r>
            <w:r w:rsidR="00C10DE5" w:rsidRPr="009D4B20">
              <w:rPr>
                <w:rFonts w:ascii="Book Antiqua" w:hAnsi="Book Antiqua"/>
              </w:rPr>
              <w:t>overview</w:t>
            </w:r>
          </w:p>
        </w:tc>
        <w:tc>
          <w:tcPr>
            <w:tcW w:w="5443" w:type="dxa"/>
            <w:shd w:val="clear" w:color="auto" w:fill="E6E6E6"/>
          </w:tcPr>
          <w:p w14:paraId="49B953D8" w14:textId="77777777" w:rsidR="00F51DAC" w:rsidRPr="009D4B20" w:rsidRDefault="00F51DAC" w:rsidP="004C04CB"/>
        </w:tc>
      </w:tr>
      <w:tr w:rsidR="00F51DAC" w14:paraId="6CC1C9DD" w14:textId="77777777" w:rsidTr="004C04CB">
        <w:trPr>
          <w:cantSplit/>
          <w:jc w:val="center"/>
        </w:trPr>
        <w:tc>
          <w:tcPr>
            <w:tcW w:w="7711" w:type="dxa"/>
            <w:gridSpan w:val="2"/>
          </w:tcPr>
          <w:p w14:paraId="51B375FA"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Provides an overview of the portfolio, including a chart that outlines the outcomes for </w:t>
            </w:r>
            <w:r w:rsidR="00726A60" w:rsidRPr="009D4B20">
              <w:rPr>
                <w:rFonts w:ascii="Book Antiqua" w:hAnsi="Book Antiqua"/>
              </w:rPr>
              <w:t>entities</w:t>
            </w:r>
            <w:r w:rsidRPr="009D4B20">
              <w:rPr>
                <w:rFonts w:ascii="Book Antiqua" w:hAnsi="Book Antiqua"/>
              </w:rPr>
              <w:t xml:space="preserve"> in the portfolio.</w:t>
            </w:r>
          </w:p>
        </w:tc>
      </w:tr>
      <w:tr w:rsidR="00F51DAC" w14:paraId="3F47EB16" w14:textId="77777777" w:rsidTr="004C04CB">
        <w:trPr>
          <w:cantSplit/>
          <w:jc w:val="center"/>
        </w:trPr>
        <w:tc>
          <w:tcPr>
            <w:tcW w:w="7711" w:type="dxa"/>
            <w:gridSpan w:val="2"/>
            <w:shd w:val="clear" w:color="auto" w:fill="E6E6E6"/>
          </w:tcPr>
          <w:p w14:paraId="616A1F84" w14:textId="77777777" w:rsidR="00F51DAC" w:rsidRPr="009D4B20" w:rsidRDefault="00726A60" w:rsidP="00755EB5">
            <w:pPr>
              <w:pStyle w:val="TableHeading2ndLevelWord"/>
              <w:rPr>
                <w:rFonts w:ascii="Book Antiqua" w:hAnsi="Book Antiqua"/>
              </w:rPr>
            </w:pPr>
            <w:r w:rsidRPr="009D4B20">
              <w:rPr>
                <w:rFonts w:ascii="Book Antiqua" w:hAnsi="Book Antiqua"/>
              </w:rPr>
              <w:t>Entity</w:t>
            </w:r>
            <w:r w:rsidR="00F51DAC" w:rsidRPr="009D4B20">
              <w:rPr>
                <w:rFonts w:ascii="Book Antiqua" w:hAnsi="Book Antiqua"/>
              </w:rPr>
              <w:t xml:space="preserve"> </w:t>
            </w:r>
            <w:r w:rsidR="00755EB5" w:rsidRPr="009D4B20">
              <w:rPr>
                <w:rFonts w:ascii="Book Antiqua" w:hAnsi="Book Antiqua"/>
              </w:rPr>
              <w:t>A</w:t>
            </w:r>
            <w:r w:rsidR="00F51DAC" w:rsidRPr="009D4B20">
              <w:rPr>
                <w:rFonts w:ascii="Book Antiqua" w:hAnsi="Book Antiqua"/>
              </w:rPr>
              <w:t xml:space="preserve">dditional </w:t>
            </w:r>
            <w:r w:rsidR="00755EB5" w:rsidRPr="009D4B20">
              <w:rPr>
                <w:rFonts w:ascii="Book Antiqua" w:hAnsi="Book Antiqua"/>
              </w:rPr>
              <w:t>E</w:t>
            </w:r>
            <w:r w:rsidR="00F51DAC" w:rsidRPr="009D4B20">
              <w:rPr>
                <w:rFonts w:ascii="Book Antiqua" w:hAnsi="Book Antiqua"/>
              </w:rPr>
              <w:t xml:space="preserve">stimates </w:t>
            </w:r>
            <w:r w:rsidR="00755EB5" w:rsidRPr="009D4B20">
              <w:rPr>
                <w:rFonts w:ascii="Book Antiqua" w:hAnsi="Book Antiqua"/>
              </w:rPr>
              <w:t>S</w:t>
            </w:r>
            <w:r w:rsidR="00F51DAC" w:rsidRPr="009D4B20">
              <w:rPr>
                <w:rFonts w:ascii="Book Antiqua" w:hAnsi="Book Antiqua"/>
              </w:rPr>
              <w:t>tatements</w:t>
            </w:r>
          </w:p>
        </w:tc>
      </w:tr>
      <w:tr w:rsidR="00F51DAC" w14:paraId="72C0CE13" w14:textId="77777777" w:rsidTr="004C04CB">
        <w:trPr>
          <w:cantSplit/>
          <w:jc w:val="center"/>
        </w:trPr>
        <w:tc>
          <w:tcPr>
            <w:tcW w:w="7711" w:type="dxa"/>
            <w:gridSpan w:val="2"/>
            <w:tcBorders>
              <w:bottom w:val="single" w:sz="2" w:space="0" w:color="999999"/>
            </w:tcBorders>
          </w:tcPr>
          <w:p w14:paraId="4512868E"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A statement (under the name of the </w:t>
            </w:r>
            <w:r w:rsidR="00726A60" w:rsidRPr="009D4B20">
              <w:rPr>
                <w:rFonts w:ascii="Book Antiqua" w:hAnsi="Book Antiqua"/>
              </w:rPr>
              <w:t>entity</w:t>
            </w:r>
            <w:r w:rsidRPr="009D4B20">
              <w:rPr>
                <w:rFonts w:ascii="Book Antiqua" w:hAnsi="Book Antiqua"/>
              </w:rPr>
              <w:t xml:space="preserve">) for each </w:t>
            </w:r>
            <w:r w:rsidR="00726A60" w:rsidRPr="009D4B20">
              <w:rPr>
                <w:rFonts w:ascii="Book Antiqua" w:hAnsi="Book Antiqua"/>
              </w:rPr>
              <w:t>entity</w:t>
            </w:r>
            <w:r w:rsidRPr="009D4B20">
              <w:rPr>
                <w:rFonts w:ascii="Book Antiqua" w:hAnsi="Book Antiqua"/>
              </w:rPr>
              <w:t xml:space="preserve"> affected by Additional Estimates.</w:t>
            </w:r>
          </w:p>
        </w:tc>
      </w:tr>
      <w:tr w:rsidR="00F51DAC" w14:paraId="0D77CD15" w14:textId="77777777" w:rsidTr="004C04CB">
        <w:trPr>
          <w:cantSplit/>
          <w:jc w:val="center"/>
        </w:trPr>
        <w:tc>
          <w:tcPr>
            <w:tcW w:w="2268" w:type="dxa"/>
            <w:tcBorders>
              <w:top w:val="single" w:sz="2" w:space="0" w:color="999999"/>
              <w:bottom w:val="single" w:sz="2" w:space="0" w:color="999999"/>
            </w:tcBorders>
          </w:tcPr>
          <w:p w14:paraId="69AE9C98" w14:textId="77777777" w:rsidR="00F51DAC" w:rsidRPr="009D4B20" w:rsidRDefault="00F51DAC" w:rsidP="00523531">
            <w:pPr>
              <w:pStyle w:val="TableSideHeading"/>
              <w:rPr>
                <w:rFonts w:ascii="Book Antiqua" w:hAnsi="Book Antiqua"/>
              </w:rPr>
            </w:pPr>
            <w:r w:rsidRPr="009D4B20">
              <w:rPr>
                <w:rFonts w:ascii="Book Antiqua" w:hAnsi="Book Antiqua"/>
              </w:rPr>
              <w:t xml:space="preserve">Section 1: </w:t>
            </w:r>
            <w:r w:rsidR="00726A60" w:rsidRPr="009D4B20">
              <w:rPr>
                <w:rFonts w:ascii="Book Antiqua" w:hAnsi="Book Antiqua"/>
              </w:rPr>
              <w:t>Entity</w:t>
            </w:r>
            <w:r w:rsidRPr="009D4B20">
              <w:rPr>
                <w:rFonts w:ascii="Book Antiqua" w:hAnsi="Book Antiqua"/>
              </w:rPr>
              <w:t xml:space="preserve"> </w:t>
            </w:r>
            <w:r w:rsidR="00C10DE5" w:rsidRPr="009D4B20">
              <w:rPr>
                <w:rFonts w:ascii="Book Antiqua" w:hAnsi="Book Antiqua"/>
              </w:rPr>
              <w:t xml:space="preserve">overview </w:t>
            </w:r>
            <w:r w:rsidRPr="009D4B20">
              <w:rPr>
                <w:rFonts w:ascii="Book Antiqua" w:hAnsi="Book Antiqua"/>
              </w:rPr>
              <w:t xml:space="preserve">and </w:t>
            </w:r>
            <w:r w:rsidR="00C10DE5" w:rsidRPr="009D4B20">
              <w:rPr>
                <w:rFonts w:ascii="Book Antiqua" w:hAnsi="Book Antiqua"/>
              </w:rPr>
              <w:t>resources</w:t>
            </w:r>
          </w:p>
        </w:tc>
        <w:tc>
          <w:tcPr>
            <w:tcW w:w="5443" w:type="dxa"/>
            <w:tcBorders>
              <w:top w:val="single" w:sz="2" w:space="0" w:color="999999"/>
              <w:bottom w:val="single" w:sz="2" w:space="0" w:color="999999"/>
            </w:tcBorders>
          </w:tcPr>
          <w:p w14:paraId="6ABA706C" w14:textId="77777777" w:rsidR="00F51DAC" w:rsidRPr="009D4B20" w:rsidRDefault="00F51DAC" w:rsidP="001D4623">
            <w:pPr>
              <w:pStyle w:val="Tabletextjustified"/>
              <w:jc w:val="left"/>
              <w:rPr>
                <w:rFonts w:ascii="Book Antiqua" w:hAnsi="Book Antiqua"/>
              </w:rPr>
            </w:pPr>
            <w:r w:rsidRPr="009D4B20">
              <w:rPr>
                <w:rFonts w:ascii="Book Antiqua" w:hAnsi="Book Antiqua"/>
              </w:rPr>
              <w:t xml:space="preserve">This section details the </w:t>
            </w:r>
            <w:r w:rsidR="003962BF">
              <w:rPr>
                <w:rFonts w:ascii="Book Antiqua" w:hAnsi="Book Antiqua"/>
              </w:rPr>
              <w:t xml:space="preserve">changes in </w:t>
            </w:r>
            <w:r w:rsidRPr="009D4B20">
              <w:rPr>
                <w:rFonts w:ascii="Book Antiqua" w:hAnsi="Book Antiqua"/>
              </w:rPr>
              <w:t xml:space="preserve">total resources available to an </w:t>
            </w:r>
            <w:r w:rsidR="00726A60" w:rsidRPr="009D4B20">
              <w:rPr>
                <w:rFonts w:ascii="Book Antiqua" w:hAnsi="Book Antiqua"/>
              </w:rPr>
              <w:t>entity</w:t>
            </w:r>
            <w:r w:rsidRPr="009D4B20">
              <w:rPr>
                <w:rFonts w:ascii="Book Antiqua" w:hAnsi="Book Antiqua"/>
              </w:rPr>
              <w:t>, the impact of any meas</w:t>
            </w:r>
            <w:r w:rsidR="00D72565">
              <w:rPr>
                <w:rFonts w:ascii="Book Antiqua" w:hAnsi="Book Antiqua"/>
              </w:rPr>
              <w:t>ures since Budget, and impact of</w:t>
            </w:r>
            <w:r w:rsidRPr="009D4B20">
              <w:rPr>
                <w:rFonts w:ascii="Book Antiqua" w:hAnsi="Book Antiqua"/>
              </w:rPr>
              <w:t xml:space="preserve"> </w:t>
            </w:r>
            <w:r w:rsidRPr="00B94BE6">
              <w:rPr>
                <w:rFonts w:ascii="Book Antiqua" w:hAnsi="Book Antiqua"/>
              </w:rPr>
              <w:t xml:space="preserve">Appropriation Bills </w:t>
            </w:r>
            <w:r w:rsidR="00A1234B" w:rsidRPr="00B94BE6">
              <w:rPr>
                <w:rFonts w:ascii="Book Antiqua" w:hAnsi="Book Antiqua"/>
              </w:rPr>
              <w:t>Nos</w:t>
            </w:r>
            <w:r w:rsidR="00A1234B" w:rsidRPr="00F65BC3">
              <w:rPr>
                <w:rFonts w:ascii="Book Antiqua" w:hAnsi="Book Antiqua"/>
              </w:rPr>
              <w:t xml:space="preserve">. 3 </w:t>
            </w:r>
            <w:r w:rsidR="001A1C55" w:rsidRPr="00F65BC3">
              <w:rPr>
                <w:rFonts w:ascii="Book Antiqua" w:hAnsi="Book Antiqua"/>
              </w:rPr>
              <w:t>and</w:t>
            </w:r>
            <w:r w:rsidR="00A1234B" w:rsidRPr="00F65BC3">
              <w:rPr>
                <w:rFonts w:ascii="Book Antiqua" w:hAnsi="Book Antiqua"/>
              </w:rPr>
              <w:t xml:space="preserve"> 4</w:t>
            </w:r>
            <w:r w:rsidRPr="00F65BC3">
              <w:rPr>
                <w:rFonts w:ascii="Book Antiqua" w:hAnsi="Book Antiqua"/>
              </w:rPr>
              <w:t>.</w:t>
            </w:r>
          </w:p>
        </w:tc>
      </w:tr>
      <w:tr w:rsidR="00F51DAC" w14:paraId="015B571D" w14:textId="77777777" w:rsidTr="004C04CB">
        <w:trPr>
          <w:cantSplit/>
          <w:jc w:val="center"/>
        </w:trPr>
        <w:tc>
          <w:tcPr>
            <w:tcW w:w="2268" w:type="dxa"/>
            <w:tcBorders>
              <w:top w:val="single" w:sz="2" w:space="0" w:color="999999"/>
              <w:bottom w:val="single" w:sz="2" w:space="0" w:color="999999"/>
            </w:tcBorders>
          </w:tcPr>
          <w:p w14:paraId="48035D0B" w14:textId="77777777" w:rsidR="00F51DAC" w:rsidRPr="009D4B20" w:rsidRDefault="009F015F" w:rsidP="009E6C51">
            <w:pPr>
              <w:pStyle w:val="TableSideHeading"/>
              <w:rPr>
                <w:rFonts w:ascii="Book Antiqua" w:hAnsi="Book Antiqua"/>
              </w:rPr>
            </w:pPr>
            <w:r>
              <w:rPr>
                <w:rFonts w:ascii="Book Antiqua" w:hAnsi="Book Antiqua"/>
              </w:rPr>
              <w:t>S</w:t>
            </w:r>
            <w:r w:rsidR="00C10DE5" w:rsidRPr="009D4B20">
              <w:rPr>
                <w:rFonts w:ascii="Book Antiqua" w:hAnsi="Book Antiqua"/>
              </w:rPr>
              <w:t xml:space="preserve">ection 2: </w:t>
            </w:r>
            <w:r w:rsidR="009E6C51">
              <w:rPr>
                <w:rFonts w:ascii="Book Antiqua" w:hAnsi="Book Antiqua"/>
              </w:rPr>
              <w:t>R</w:t>
            </w:r>
            <w:r w:rsidR="00C10DE5" w:rsidRPr="009D4B20">
              <w:rPr>
                <w:rFonts w:ascii="Book Antiqua" w:hAnsi="Book Antiqua"/>
              </w:rPr>
              <w:t>evisions to outcomes and planned performance</w:t>
            </w:r>
          </w:p>
        </w:tc>
        <w:tc>
          <w:tcPr>
            <w:tcW w:w="5443" w:type="dxa"/>
            <w:tcBorders>
              <w:top w:val="single" w:sz="2" w:space="0" w:color="999999"/>
              <w:bottom w:val="single" w:sz="2" w:space="0" w:color="999999"/>
            </w:tcBorders>
          </w:tcPr>
          <w:p w14:paraId="44155499" w14:textId="77777777" w:rsidR="00F51DAC" w:rsidRPr="009D4B20" w:rsidRDefault="00F51DAC" w:rsidP="001D4623">
            <w:pPr>
              <w:pStyle w:val="Tabletextjustified"/>
              <w:jc w:val="left"/>
              <w:rPr>
                <w:rFonts w:ascii="Book Antiqua" w:hAnsi="Book Antiqua"/>
              </w:rPr>
            </w:pPr>
            <w:r w:rsidRPr="009D4B20">
              <w:rPr>
                <w:rFonts w:ascii="Book Antiqua" w:hAnsi="Book Antiqua"/>
              </w:rPr>
              <w:t xml:space="preserve">This section details </w:t>
            </w:r>
            <w:r w:rsidRPr="009D4B20">
              <w:rPr>
                <w:rFonts w:ascii="Book Antiqua" w:hAnsi="Book Antiqua"/>
                <w:b/>
              </w:rPr>
              <w:t>changes</w:t>
            </w:r>
            <w:r w:rsidRPr="009D4B20">
              <w:rPr>
                <w:rFonts w:ascii="Book Antiqua" w:hAnsi="Book Antiqua"/>
              </w:rPr>
              <w:t xml:space="preserve"> to Government outcomes and/or </w:t>
            </w:r>
            <w:r w:rsidRPr="009D4B20">
              <w:rPr>
                <w:rFonts w:ascii="Book Antiqua" w:hAnsi="Book Antiqua"/>
                <w:b/>
              </w:rPr>
              <w:t>changes</w:t>
            </w:r>
            <w:r w:rsidRPr="009D4B20">
              <w:rPr>
                <w:rFonts w:ascii="Book Antiqua" w:hAnsi="Book Antiqua"/>
              </w:rPr>
              <w:t xml:space="preserve"> to the planned performance of </w:t>
            </w:r>
            <w:r w:rsidR="00726A60" w:rsidRPr="009D4B20">
              <w:rPr>
                <w:rFonts w:ascii="Book Antiqua" w:hAnsi="Book Antiqua"/>
              </w:rPr>
              <w:t>entity</w:t>
            </w:r>
            <w:r w:rsidRPr="009D4B20">
              <w:rPr>
                <w:rFonts w:ascii="Book Antiqua" w:hAnsi="Book Antiqua"/>
              </w:rPr>
              <w:t xml:space="preserve"> </w:t>
            </w:r>
            <w:r w:rsidR="009F015F">
              <w:rPr>
                <w:rFonts w:ascii="Book Antiqua" w:hAnsi="Book Antiqua"/>
              </w:rPr>
              <w:t>program</w:t>
            </w:r>
            <w:r w:rsidR="009D4B20" w:rsidRPr="009D4B20">
              <w:rPr>
                <w:rFonts w:ascii="Book Antiqua" w:hAnsi="Book Antiqua"/>
              </w:rPr>
              <w:t>s</w:t>
            </w:r>
            <w:r w:rsidRPr="009D4B20">
              <w:rPr>
                <w:rFonts w:ascii="Book Antiqua" w:hAnsi="Book Antiqua"/>
              </w:rPr>
              <w:t>.</w:t>
            </w:r>
          </w:p>
        </w:tc>
      </w:tr>
      <w:tr w:rsidR="00F51DAC" w14:paraId="6C66FFD7" w14:textId="77777777" w:rsidTr="00DD620A">
        <w:trPr>
          <w:cantSplit/>
          <w:jc w:val="center"/>
        </w:trPr>
        <w:tc>
          <w:tcPr>
            <w:tcW w:w="2268" w:type="dxa"/>
            <w:tcBorders>
              <w:top w:val="single" w:sz="2" w:space="0" w:color="999999"/>
            </w:tcBorders>
          </w:tcPr>
          <w:p w14:paraId="2829ABBC" w14:textId="77777777" w:rsidR="00F51DAC" w:rsidRPr="009D4B20" w:rsidRDefault="00F51DAC" w:rsidP="00F561A3">
            <w:pPr>
              <w:pStyle w:val="TableSideHeading"/>
              <w:rPr>
                <w:rFonts w:ascii="Book Antiqua" w:hAnsi="Book Antiqua"/>
              </w:rPr>
            </w:pPr>
            <w:r w:rsidRPr="009D4B20">
              <w:rPr>
                <w:rFonts w:ascii="Book Antiqua" w:hAnsi="Book Antiqua"/>
              </w:rPr>
              <w:t xml:space="preserve">Section 3: </w:t>
            </w:r>
            <w:r w:rsidR="00F561A3">
              <w:rPr>
                <w:rFonts w:ascii="Book Antiqua" w:hAnsi="Book Antiqua"/>
              </w:rPr>
              <w:t xml:space="preserve">Special account flows </w:t>
            </w:r>
            <w:r w:rsidRPr="009D4B20">
              <w:rPr>
                <w:rFonts w:ascii="Book Antiqua" w:hAnsi="Book Antiqua"/>
              </w:rPr>
              <w:t xml:space="preserve">and </w:t>
            </w:r>
            <w:r w:rsidR="00C10DE5" w:rsidRPr="009D4B20">
              <w:rPr>
                <w:rFonts w:ascii="Book Antiqua" w:hAnsi="Book Antiqua"/>
              </w:rPr>
              <w:t>budgeted financial statements</w:t>
            </w:r>
          </w:p>
        </w:tc>
        <w:tc>
          <w:tcPr>
            <w:tcW w:w="5443" w:type="dxa"/>
            <w:tcBorders>
              <w:top w:val="single" w:sz="2" w:space="0" w:color="999999"/>
            </w:tcBorders>
          </w:tcPr>
          <w:p w14:paraId="61AE079D" w14:textId="77777777" w:rsidR="00F51DAC" w:rsidRPr="009D4B20" w:rsidRDefault="00F51DAC" w:rsidP="001D4623">
            <w:pPr>
              <w:pStyle w:val="Tabletextjustified"/>
              <w:jc w:val="left"/>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tc>
      </w:tr>
      <w:tr w:rsidR="00DD620A" w14:paraId="1733EBD4" w14:textId="77777777" w:rsidTr="008B7C04">
        <w:trPr>
          <w:cantSplit/>
          <w:jc w:val="center"/>
        </w:trPr>
        <w:tc>
          <w:tcPr>
            <w:tcW w:w="7711" w:type="dxa"/>
            <w:gridSpan w:val="2"/>
            <w:shd w:val="clear" w:color="auto" w:fill="E7E6E6"/>
          </w:tcPr>
          <w:p w14:paraId="4671CF8B" w14:textId="77777777" w:rsidR="00DD620A" w:rsidRPr="00DD620A" w:rsidRDefault="00DD620A" w:rsidP="00DD620A">
            <w:pPr>
              <w:pStyle w:val="TableHeading2ndLevelWord"/>
              <w:rPr>
                <w:rFonts w:ascii="Book Antiqua" w:hAnsi="Book Antiqua"/>
                <w:b w:val="0"/>
              </w:rPr>
            </w:pPr>
            <w:r w:rsidRPr="00DD620A">
              <w:rPr>
                <w:rFonts w:ascii="Book Antiqua" w:hAnsi="Book Antiqua"/>
              </w:rPr>
              <w:t>Portfolio glossary</w:t>
            </w:r>
          </w:p>
        </w:tc>
      </w:tr>
      <w:tr w:rsidR="00DD620A" w14:paraId="7698E016" w14:textId="77777777" w:rsidTr="00A156A3">
        <w:trPr>
          <w:cantSplit/>
          <w:jc w:val="center"/>
        </w:trPr>
        <w:tc>
          <w:tcPr>
            <w:tcW w:w="7711" w:type="dxa"/>
            <w:gridSpan w:val="2"/>
          </w:tcPr>
          <w:p w14:paraId="3DEADFCF" w14:textId="77777777" w:rsidR="00DD620A" w:rsidRPr="009D4B20" w:rsidRDefault="00DD620A" w:rsidP="004C04CB">
            <w:pPr>
              <w:pStyle w:val="Tabletextjustified"/>
              <w:rPr>
                <w:rFonts w:ascii="Book Antiqua" w:hAnsi="Book Antiqua"/>
              </w:rPr>
            </w:pPr>
            <w:r w:rsidRPr="009D4B20">
              <w:rPr>
                <w:rFonts w:ascii="Book Antiqua" w:hAnsi="Book Antiqua"/>
              </w:rPr>
              <w:t>Explains key terms relevant to the Portfolio.</w:t>
            </w:r>
          </w:p>
        </w:tc>
      </w:tr>
      <w:tr w:rsidR="00DD620A" w14:paraId="770EA791" w14:textId="77777777" w:rsidTr="008B7C04">
        <w:trPr>
          <w:cantSplit/>
          <w:jc w:val="center"/>
        </w:trPr>
        <w:tc>
          <w:tcPr>
            <w:tcW w:w="7711" w:type="dxa"/>
            <w:gridSpan w:val="2"/>
            <w:shd w:val="clear" w:color="auto" w:fill="E7E6E6"/>
          </w:tcPr>
          <w:p w14:paraId="61D9AEAA" w14:textId="29CA5043" w:rsidR="00DD620A" w:rsidRPr="00421B72" w:rsidRDefault="00D54858" w:rsidP="004C04CB">
            <w:pPr>
              <w:pStyle w:val="Tabletextjustified"/>
              <w:rPr>
                <w:rFonts w:ascii="Book Antiqua" w:hAnsi="Book Antiqua"/>
                <w:b/>
                <w:highlight w:val="yellow"/>
              </w:rPr>
            </w:pPr>
            <w:r w:rsidRPr="00D54858">
              <w:rPr>
                <w:rFonts w:ascii="Book Antiqua" w:hAnsi="Book Antiqua"/>
                <w:b/>
              </w:rPr>
              <w:t>Acronyms</w:t>
            </w:r>
          </w:p>
        </w:tc>
      </w:tr>
      <w:tr w:rsidR="00DD620A" w14:paraId="0000FF6C" w14:textId="77777777" w:rsidTr="00A156A3">
        <w:trPr>
          <w:cantSplit/>
          <w:jc w:val="center"/>
        </w:trPr>
        <w:tc>
          <w:tcPr>
            <w:tcW w:w="7711" w:type="dxa"/>
            <w:gridSpan w:val="2"/>
            <w:tcBorders>
              <w:bottom w:val="single" w:sz="2" w:space="0" w:color="999999"/>
            </w:tcBorders>
          </w:tcPr>
          <w:p w14:paraId="083F5087" w14:textId="4166D6E4" w:rsidR="00DD620A" w:rsidRPr="00421B72" w:rsidRDefault="00D54858" w:rsidP="004C04CB">
            <w:pPr>
              <w:pStyle w:val="Tabletextjustified"/>
              <w:rPr>
                <w:rFonts w:ascii="Book Antiqua" w:hAnsi="Book Antiqua"/>
                <w:highlight w:val="yellow"/>
              </w:rPr>
            </w:pPr>
            <w:r w:rsidRPr="00D54858">
              <w:rPr>
                <w:rFonts w:ascii="Book Antiqua" w:hAnsi="Book Antiqua"/>
              </w:rPr>
              <w:t>Defines any acronyms that may be used in the Statements.</w:t>
            </w:r>
          </w:p>
        </w:tc>
      </w:tr>
    </w:tbl>
    <w:p w14:paraId="41538470" w14:textId="710A7900" w:rsidR="00F045E6" w:rsidRPr="00421B72" w:rsidRDefault="00F045E6" w:rsidP="00F045E6">
      <w:pPr>
        <w:rPr>
          <w:color w:val="FF0000"/>
        </w:rPr>
      </w:pPr>
      <w:bookmarkStart w:id="43" w:name="_Toc450201414"/>
      <w:bookmarkStart w:id="44" w:name="_Toc492796966"/>
      <w:bookmarkStart w:id="45" w:name="_Toc492797090"/>
      <w:bookmarkStart w:id="46" w:name="_Toc492799506"/>
      <w:bookmarkStart w:id="47" w:name="_Toc492799661"/>
      <w:bookmarkStart w:id="48" w:name="_Toc533505725"/>
      <w:bookmarkStart w:id="49" w:name="_Toc533505945"/>
      <w:bookmarkStart w:id="50" w:name="_Toc77997685"/>
      <w:bookmarkStart w:id="51" w:name="_Toc77998671"/>
      <w:bookmarkStart w:id="52" w:name="_Toc78339820"/>
      <w:bookmarkStart w:id="53" w:name="_Toc79405326"/>
      <w:bookmarkStart w:id="54" w:name="_Toc79405369"/>
      <w:bookmarkStart w:id="55" w:name="_Toc112045574"/>
    </w:p>
    <w:p w14:paraId="3C0C8AFD" w14:textId="77777777" w:rsidR="00F51DAC" w:rsidRDefault="00F51DAC" w:rsidP="00F045E6">
      <w:pPr>
        <w:pStyle w:val="ContentsHeading"/>
        <w:rPr>
          <w:snapToGrid w:val="0"/>
        </w:rPr>
      </w:pPr>
      <w:r w:rsidRPr="00F045E6">
        <w:br w:type="page"/>
      </w:r>
      <w:bookmarkEnd w:id="43"/>
      <w:bookmarkEnd w:id="44"/>
      <w:bookmarkEnd w:id="45"/>
      <w:bookmarkEnd w:id="46"/>
      <w:bookmarkEnd w:id="47"/>
      <w:bookmarkEnd w:id="48"/>
      <w:bookmarkEnd w:id="49"/>
      <w:bookmarkEnd w:id="50"/>
      <w:bookmarkEnd w:id="51"/>
      <w:bookmarkEnd w:id="52"/>
      <w:bookmarkEnd w:id="53"/>
      <w:bookmarkEnd w:id="54"/>
      <w:bookmarkEnd w:id="55"/>
      <w:r>
        <w:lastRenderedPageBreak/>
        <w:t>C</w:t>
      </w:r>
      <w:r>
        <w:rPr>
          <w:snapToGrid w:val="0"/>
        </w:rPr>
        <w:t>ontents</w:t>
      </w:r>
    </w:p>
    <w:p w14:paraId="0B05566D" w14:textId="14AEE52D" w:rsidR="004C3C58" w:rsidRDefault="00050FE6">
      <w:pPr>
        <w:pStyle w:val="TOC1"/>
        <w:rPr>
          <w:rFonts w:asciiTheme="minorHAnsi" w:eastAsiaTheme="minorEastAsia" w:hAnsiTheme="minorHAnsi" w:cstheme="minorBidi"/>
          <w:b w:val="0"/>
          <w:noProof/>
          <w:sz w:val="22"/>
          <w:szCs w:val="22"/>
        </w:rPr>
      </w:pPr>
      <w:r>
        <w:fldChar w:fldCharType="begin"/>
      </w:r>
      <w:r>
        <w:instrText xml:space="preserve"> TOC \h \z \t "Heading 1,1,Heading 2,2,Title,1,Part Heading,1,Heading 1 - LVL2,2" </w:instrText>
      </w:r>
      <w:r>
        <w:fldChar w:fldCharType="separate"/>
      </w:r>
      <w:hyperlink w:anchor="_Toc94198470" w:history="1">
        <w:r w:rsidR="004C3C58" w:rsidRPr="00CF738F">
          <w:rPr>
            <w:rStyle w:val="Hyperlink"/>
            <w:noProof/>
          </w:rPr>
          <w:t>Portfolio overview</w:t>
        </w:r>
        <w:r w:rsidR="004C3C58">
          <w:rPr>
            <w:noProof/>
            <w:webHidden/>
          </w:rPr>
          <w:tab/>
        </w:r>
        <w:r w:rsidR="004C3C58">
          <w:rPr>
            <w:noProof/>
            <w:webHidden/>
          </w:rPr>
          <w:fldChar w:fldCharType="begin"/>
        </w:r>
        <w:r w:rsidR="004C3C58">
          <w:rPr>
            <w:noProof/>
            <w:webHidden/>
          </w:rPr>
          <w:instrText xml:space="preserve"> PAGEREF _Toc94198470 \h </w:instrText>
        </w:r>
        <w:r w:rsidR="004C3C58">
          <w:rPr>
            <w:noProof/>
            <w:webHidden/>
          </w:rPr>
        </w:r>
        <w:r w:rsidR="004C3C58">
          <w:rPr>
            <w:noProof/>
            <w:webHidden/>
          </w:rPr>
          <w:fldChar w:fldCharType="separate"/>
        </w:r>
        <w:r w:rsidR="003B5862">
          <w:rPr>
            <w:noProof/>
            <w:webHidden/>
          </w:rPr>
          <w:t>1</w:t>
        </w:r>
        <w:r w:rsidR="004C3C58">
          <w:rPr>
            <w:noProof/>
            <w:webHidden/>
          </w:rPr>
          <w:fldChar w:fldCharType="end"/>
        </w:r>
      </w:hyperlink>
    </w:p>
    <w:p w14:paraId="66D1414D" w14:textId="09E6FB87" w:rsidR="004C3C58" w:rsidRDefault="005616C5">
      <w:pPr>
        <w:pStyle w:val="TOC2"/>
        <w:rPr>
          <w:rFonts w:asciiTheme="minorHAnsi" w:eastAsiaTheme="minorEastAsia" w:hAnsiTheme="minorHAnsi" w:cstheme="minorBidi"/>
          <w:noProof/>
          <w:sz w:val="22"/>
          <w:szCs w:val="22"/>
        </w:rPr>
      </w:pPr>
      <w:hyperlink w:anchor="_Toc94198471" w:history="1">
        <w:r w:rsidR="004C3C58" w:rsidRPr="00CF738F">
          <w:rPr>
            <w:rStyle w:val="Hyperlink"/>
            <w:noProof/>
          </w:rPr>
          <w:t>Department of Infrastructure, Transport, Regional Development and Communications</w:t>
        </w:r>
        <w:r w:rsidR="004C3C58">
          <w:rPr>
            <w:noProof/>
            <w:webHidden/>
          </w:rPr>
          <w:tab/>
        </w:r>
        <w:r w:rsidR="004C3C58">
          <w:rPr>
            <w:noProof/>
            <w:webHidden/>
          </w:rPr>
          <w:fldChar w:fldCharType="begin"/>
        </w:r>
        <w:r w:rsidR="004C3C58">
          <w:rPr>
            <w:noProof/>
            <w:webHidden/>
          </w:rPr>
          <w:instrText xml:space="preserve"> PAGEREF _Toc94198471 \h </w:instrText>
        </w:r>
        <w:r w:rsidR="004C3C58">
          <w:rPr>
            <w:noProof/>
            <w:webHidden/>
          </w:rPr>
        </w:r>
        <w:r w:rsidR="004C3C58">
          <w:rPr>
            <w:noProof/>
            <w:webHidden/>
          </w:rPr>
          <w:fldChar w:fldCharType="separate"/>
        </w:r>
        <w:r w:rsidR="003B5862">
          <w:rPr>
            <w:noProof/>
            <w:webHidden/>
          </w:rPr>
          <w:t>19</w:t>
        </w:r>
        <w:r w:rsidR="004C3C58">
          <w:rPr>
            <w:noProof/>
            <w:webHidden/>
          </w:rPr>
          <w:fldChar w:fldCharType="end"/>
        </w:r>
      </w:hyperlink>
    </w:p>
    <w:p w14:paraId="04C31F89" w14:textId="6DAA96C0" w:rsidR="004C3C58" w:rsidRDefault="005616C5">
      <w:pPr>
        <w:pStyle w:val="TOC2"/>
        <w:rPr>
          <w:rFonts w:asciiTheme="minorHAnsi" w:eastAsiaTheme="minorEastAsia" w:hAnsiTheme="minorHAnsi" w:cstheme="minorBidi"/>
          <w:noProof/>
          <w:sz w:val="22"/>
          <w:szCs w:val="22"/>
        </w:rPr>
      </w:pPr>
      <w:hyperlink w:anchor="_Toc94198472" w:history="1">
        <w:r w:rsidR="004C3C58" w:rsidRPr="00CF738F">
          <w:rPr>
            <w:rStyle w:val="Hyperlink"/>
            <w:noProof/>
            <w:lang w:val="en-US"/>
          </w:rPr>
          <w:t>Australian Communications and Media Authority</w:t>
        </w:r>
        <w:r w:rsidR="004C3C58">
          <w:rPr>
            <w:noProof/>
            <w:webHidden/>
          </w:rPr>
          <w:tab/>
        </w:r>
        <w:r w:rsidR="004C3C58">
          <w:rPr>
            <w:noProof/>
            <w:webHidden/>
          </w:rPr>
          <w:fldChar w:fldCharType="begin"/>
        </w:r>
        <w:r w:rsidR="004C3C58">
          <w:rPr>
            <w:noProof/>
            <w:webHidden/>
          </w:rPr>
          <w:instrText xml:space="preserve"> PAGEREF _Toc94198472 \h </w:instrText>
        </w:r>
        <w:r w:rsidR="004C3C58">
          <w:rPr>
            <w:noProof/>
            <w:webHidden/>
          </w:rPr>
        </w:r>
        <w:r w:rsidR="004C3C58">
          <w:rPr>
            <w:noProof/>
            <w:webHidden/>
          </w:rPr>
          <w:fldChar w:fldCharType="separate"/>
        </w:r>
        <w:r w:rsidR="003B5862">
          <w:rPr>
            <w:noProof/>
            <w:webHidden/>
          </w:rPr>
          <w:t>81</w:t>
        </w:r>
        <w:r w:rsidR="004C3C58">
          <w:rPr>
            <w:noProof/>
            <w:webHidden/>
          </w:rPr>
          <w:fldChar w:fldCharType="end"/>
        </w:r>
      </w:hyperlink>
    </w:p>
    <w:p w14:paraId="4C9D8836" w14:textId="2163C3BC" w:rsidR="004C3C58" w:rsidRDefault="005616C5">
      <w:pPr>
        <w:pStyle w:val="TOC2"/>
        <w:rPr>
          <w:rFonts w:asciiTheme="minorHAnsi" w:eastAsiaTheme="minorEastAsia" w:hAnsiTheme="minorHAnsi" w:cstheme="minorBidi"/>
          <w:noProof/>
          <w:sz w:val="22"/>
          <w:szCs w:val="22"/>
        </w:rPr>
      </w:pPr>
      <w:hyperlink w:anchor="_Toc94198473" w:history="1">
        <w:r w:rsidR="004C3C58" w:rsidRPr="00CF738F">
          <w:rPr>
            <w:rStyle w:val="Hyperlink"/>
            <w:noProof/>
            <w:lang w:val="en-US"/>
          </w:rPr>
          <w:t>Civil Aviation Safety Authority</w:t>
        </w:r>
        <w:r w:rsidR="004C3C58">
          <w:rPr>
            <w:noProof/>
            <w:webHidden/>
          </w:rPr>
          <w:tab/>
        </w:r>
        <w:r w:rsidR="004C3C58">
          <w:rPr>
            <w:noProof/>
            <w:webHidden/>
          </w:rPr>
          <w:fldChar w:fldCharType="begin"/>
        </w:r>
        <w:r w:rsidR="004C3C58">
          <w:rPr>
            <w:noProof/>
            <w:webHidden/>
          </w:rPr>
          <w:instrText xml:space="preserve"> PAGEREF _Toc94198473 \h </w:instrText>
        </w:r>
        <w:r w:rsidR="004C3C58">
          <w:rPr>
            <w:noProof/>
            <w:webHidden/>
          </w:rPr>
        </w:r>
        <w:r w:rsidR="004C3C58">
          <w:rPr>
            <w:noProof/>
            <w:webHidden/>
          </w:rPr>
          <w:fldChar w:fldCharType="separate"/>
        </w:r>
        <w:r w:rsidR="003B5862">
          <w:rPr>
            <w:noProof/>
            <w:webHidden/>
          </w:rPr>
          <w:t>103</w:t>
        </w:r>
        <w:r w:rsidR="004C3C58">
          <w:rPr>
            <w:noProof/>
            <w:webHidden/>
          </w:rPr>
          <w:fldChar w:fldCharType="end"/>
        </w:r>
      </w:hyperlink>
    </w:p>
    <w:p w14:paraId="527F575B" w14:textId="69CC8908" w:rsidR="004C3C58" w:rsidRDefault="005616C5">
      <w:pPr>
        <w:pStyle w:val="TOC2"/>
        <w:rPr>
          <w:rFonts w:asciiTheme="minorHAnsi" w:eastAsiaTheme="minorEastAsia" w:hAnsiTheme="minorHAnsi" w:cstheme="minorBidi"/>
          <w:noProof/>
          <w:sz w:val="22"/>
          <w:szCs w:val="22"/>
        </w:rPr>
      </w:pPr>
      <w:hyperlink w:anchor="_Toc94198474" w:history="1">
        <w:r w:rsidR="004C3C58" w:rsidRPr="00CF738F">
          <w:rPr>
            <w:rStyle w:val="Hyperlink"/>
            <w:noProof/>
            <w:lang w:val="en-US"/>
          </w:rPr>
          <w:t>National Capital Authority</w:t>
        </w:r>
        <w:r w:rsidR="004C3C58">
          <w:rPr>
            <w:noProof/>
            <w:webHidden/>
          </w:rPr>
          <w:tab/>
        </w:r>
        <w:r w:rsidR="004C3C58">
          <w:rPr>
            <w:noProof/>
            <w:webHidden/>
          </w:rPr>
          <w:fldChar w:fldCharType="begin"/>
        </w:r>
        <w:r w:rsidR="004C3C58">
          <w:rPr>
            <w:noProof/>
            <w:webHidden/>
          </w:rPr>
          <w:instrText xml:space="preserve"> PAGEREF _Toc94198474 \h </w:instrText>
        </w:r>
        <w:r w:rsidR="004C3C58">
          <w:rPr>
            <w:noProof/>
            <w:webHidden/>
          </w:rPr>
        </w:r>
        <w:r w:rsidR="004C3C58">
          <w:rPr>
            <w:noProof/>
            <w:webHidden/>
          </w:rPr>
          <w:fldChar w:fldCharType="separate"/>
        </w:r>
        <w:r w:rsidR="003B5862">
          <w:rPr>
            <w:noProof/>
            <w:webHidden/>
          </w:rPr>
          <w:t>119</w:t>
        </w:r>
        <w:r w:rsidR="004C3C58">
          <w:rPr>
            <w:noProof/>
            <w:webHidden/>
          </w:rPr>
          <w:fldChar w:fldCharType="end"/>
        </w:r>
      </w:hyperlink>
    </w:p>
    <w:p w14:paraId="7A4732CB" w14:textId="5473FCC0" w:rsidR="004C3C58" w:rsidRDefault="005616C5">
      <w:pPr>
        <w:pStyle w:val="TOC2"/>
        <w:rPr>
          <w:rFonts w:asciiTheme="minorHAnsi" w:eastAsiaTheme="minorEastAsia" w:hAnsiTheme="minorHAnsi" w:cstheme="minorBidi"/>
          <w:noProof/>
          <w:sz w:val="22"/>
          <w:szCs w:val="22"/>
        </w:rPr>
      </w:pPr>
      <w:hyperlink w:anchor="_Toc94198475" w:history="1">
        <w:r w:rsidR="004C3C58" w:rsidRPr="00CF738F">
          <w:rPr>
            <w:rStyle w:val="Hyperlink"/>
            <w:noProof/>
          </w:rPr>
          <w:t>National Film and Sound Archive of Australia</w:t>
        </w:r>
        <w:r w:rsidR="004C3C58">
          <w:rPr>
            <w:noProof/>
            <w:webHidden/>
          </w:rPr>
          <w:tab/>
        </w:r>
        <w:r w:rsidR="004C3C58">
          <w:rPr>
            <w:noProof/>
            <w:webHidden/>
          </w:rPr>
          <w:fldChar w:fldCharType="begin"/>
        </w:r>
        <w:r w:rsidR="004C3C58">
          <w:rPr>
            <w:noProof/>
            <w:webHidden/>
          </w:rPr>
          <w:instrText xml:space="preserve"> PAGEREF _Toc94198475 \h </w:instrText>
        </w:r>
        <w:r w:rsidR="004C3C58">
          <w:rPr>
            <w:noProof/>
            <w:webHidden/>
          </w:rPr>
        </w:r>
        <w:r w:rsidR="004C3C58">
          <w:rPr>
            <w:noProof/>
            <w:webHidden/>
          </w:rPr>
          <w:fldChar w:fldCharType="separate"/>
        </w:r>
        <w:r w:rsidR="003B5862">
          <w:rPr>
            <w:noProof/>
            <w:webHidden/>
          </w:rPr>
          <w:t>143</w:t>
        </w:r>
        <w:r w:rsidR="004C3C58">
          <w:rPr>
            <w:noProof/>
            <w:webHidden/>
          </w:rPr>
          <w:fldChar w:fldCharType="end"/>
        </w:r>
      </w:hyperlink>
    </w:p>
    <w:p w14:paraId="187495CD" w14:textId="197AC2BB" w:rsidR="004C3C58" w:rsidRDefault="005616C5">
      <w:pPr>
        <w:pStyle w:val="TOC2"/>
        <w:rPr>
          <w:rFonts w:asciiTheme="minorHAnsi" w:eastAsiaTheme="minorEastAsia" w:hAnsiTheme="minorHAnsi" w:cstheme="minorBidi"/>
          <w:noProof/>
          <w:sz w:val="22"/>
          <w:szCs w:val="22"/>
        </w:rPr>
      </w:pPr>
      <w:hyperlink w:anchor="_Toc94198476" w:history="1">
        <w:r w:rsidR="004C3C58" w:rsidRPr="00CF738F">
          <w:rPr>
            <w:rStyle w:val="Hyperlink"/>
            <w:noProof/>
          </w:rPr>
          <w:t>National Library of Australia</w:t>
        </w:r>
        <w:r w:rsidR="004C3C58">
          <w:rPr>
            <w:noProof/>
            <w:webHidden/>
          </w:rPr>
          <w:tab/>
        </w:r>
        <w:r w:rsidR="004C3C58">
          <w:rPr>
            <w:noProof/>
            <w:webHidden/>
          </w:rPr>
          <w:fldChar w:fldCharType="begin"/>
        </w:r>
        <w:r w:rsidR="004C3C58">
          <w:rPr>
            <w:noProof/>
            <w:webHidden/>
          </w:rPr>
          <w:instrText xml:space="preserve"> PAGEREF _Toc94198476 \h </w:instrText>
        </w:r>
        <w:r w:rsidR="004C3C58">
          <w:rPr>
            <w:noProof/>
            <w:webHidden/>
          </w:rPr>
        </w:r>
        <w:r w:rsidR="004C3C58">
          <w:rPr>
            <w:noProof/>
            <w:webHidden/>
          </w:rPr>
          <w:fldChar w:fldCharType="separate"/>
        </w:r>
        <w:r w:rsidR="003B5862">
          <w:rPr>
            <w:noProof/>
            <w:webHidden/>
          </w:rPr>
          <w:t>161</w:t>
        </w:r>
        <w:r w:rsidR="004C3C58">
          <w:rPr>
            <w:noProof/>
            <w:webHidden/>
          </w:rPr>
          <w:fldChar w:fldCharType="end"/>
        </w:r>
      </w:hyperlink>
    </w:p>
    <w:p w14:paraId="4BA39D48" w14:textId="668F6E15" w:rsidR="004C3C58" w:rsidRDefault="005616C5">
      <w:pPr>
        <w:pStyle w:val="TOC2"/>
        <w:rPr>
          <w:rFonts w:asciiTheme="minorHAnsi" w:eastAsiaTheme="minorEastAsia" w:hAnsiTheme="minorHAnsi" w:cstheme="minorBidi"/>
          <w:noProof/>
          <w:sz w:val="22"/>
          <w:szCs w:val="22"/>
        </w:rPr>
      </w:pPr>
      <w:hyperlink w:anchor="_Toc94198477" w:history="1">
        <w:r w:rsidR="004C3C58" w:rsidRPr="00CF738F">
          <w:rPr>
            <w:rStyle w:val="Hyperlink"/>
            <w:noProof/>
          </w:rPr>
          <w:t>National Transport Commission</w:t>
        </w:r>
        <w:r w:rsidR="004C3C58">
          <w:rPr>
            <w:noProof/>
            <w:webHidden/>
          </w:rPr>
          <w:tab/>
        </w:r>
        <w:r w:rsidR="004C3C58">
          <w:rPr>
            <w:noProof/>
            <w:webHidden/>
          </w:rPr>
          <w:fldChar w:fldCharType="begin"/>
        </w:r>
        <w:r w:rsidR="004C3C58">
          <w:rPr>
            <w:noProof/>
            <w:webHidden/>
          </w:rPr>
          <w:instrText xml:space="preserve"> PAGEREF _Toc94198477 \h </w:instrText>
        </w:r>
        <w:r w:rsidR="004C3C58">
          <w:rPr>
            <w:noProof/>
            <w:webHidden/>
          </w:rPr>
        </w:r>
        <w:r w:rsidR="004C3C58">
          <w:rPr>
            <w:noProof/>
            <w:webHidden/>
          </w:rPr>
          <w:fldChar w:fldCharType="separate"/>
        </w:r>
        <w:r w:rsidR="003B5862">
          <w:rPr>
            <w:noProof/>
            <w:webHidden/>
          </w:rPr>
          <w:t>179</w:t>
        </w:r>
        <w:r w:rsidR="004C3C58">
          <w:rPr>
            <w:noProof/>
            <w:webHidden/>
          </w:rPr>
          <w:fldChar w:fldCharType="end"/>
        </w:r>
      </w:hyperlink>
    </w:p>
    <w:p w14:paraId="5ED5BBC1" w14:textId="4DE4EF6B" w:rsidR="004C3C58" w:rsidRDefault="005616C5">
      <w:pPr>
        <w:pStyle w:val="TOC1"/>
        <w:rPr>
          <w:rFonts w:asciiTheme="minorHAnsi" w:eastAsiaTheme="minorEastAsia" w:hAnsiTheme="minorHAnsi" w:cstheme="minorBidi"/>
          <w:b w:val="0"/>
          <w:noProof/>
          <w:sz w:val="22"/>
          <w:szCs w:val="22"/>
        </w:rPr>
      </w:pPr>
      <w:hyperlink w:anchor="_Toc94198478" w:history="1">
        <w:r w:rsidR="004C3C58" w:rsidRPr="00CF738F">
          <w:rPr>
            <w:rStyle w:val="Hyperlink"/>
            <w:noProof/>
          </w:rPr>
          <w:t>Portfolio glossary</w:t>
        </w:r>
        <w:r w:rsidR="004C3C58">
          <w:rPr>
            <w:noProof/>
            <w:webHidden/>
          </w:rPr>
          <w:tab/>
        </w:r>
        <w:r w:rsidR="004C3C58">
          <w:rPr>
            <w:noProof/>
            <w:webHidden/>
          </w:rPr>
          <w:fldChar w:fldCharType="begin"/>
        </w:r>
        <w:r w:rsidR="004C3C58">
          <w:rPr>
            <w:noProof/>
            <w:webHidden/>
          </w:rPr>
          <w:instrText xml:space="preserve"> PAGEREF _Toc94198478 \h </w:instrText>
        </w:r>
        <w:r w:rsidR="004C3C58">
          <w:rPr>
            <w:noProof/>
            <w:webHidden/>
          </w:rPr>
        </w:r>
        <w:r w:rsidR="004C3C58">
          <w:rPr>
            <w:noProof/>
            <w:webHidden/>
          </w:rPr>
          <w:fldChar w:fldCharType="separate"/>
        </w:r>
        <w:r w:rsidR="003B5862">
          <w:rPr>
            <w:noProof/>
            <w:webHidden/>
          </w:rPr>
          <w:t>191</w:t>
        </w:r>
        <w:r w:rsidR="004C3C58">
          <w:rPr>
            <w:noProof/>
            <w:webHidden/>
          </w:rPr>
          <w:fldChar w:fldCharType="end"/>
        </w:r>
      </w:hyperlink>
    </w:p>
    <w:p w14:paraId="4890CAD5" w14:textId="3FD47137" w:rsidR="004C3C58" w:rsidRDefault="005616C5">
      <w:pPr>
        <w:pStyle w:val="TOC1"/>
        <w:rPr>
          <w:rFonts w:asciiTheme="minorHAnsi" w:eastAsiaTheme="minorEastAsia" w:hAnsiTheme="minorHAnsi" w:cstheme="minorBidi"/>
          <w:b w:val="0"/>
          <w:noProof/>
          <w:sz w:val="22"/>
          <w:szCs w:val="22"/>
        </w:rPr>
      </w:pPr>
      <w:hyperlink w:anchor="_Toc94198479" w:history="1">
        <w:r w:rsidR="004C3C58" w:rsidRPr="00CF738F">
          <w:rPr>
            <w:rStyle w:val="Hyperlink"/>
            <w:noProof/>
          </w:rPr>
          <w:t>Acronyms</w:t>
        </w:r>
        <w:r w:rsidR="004C3C58">
          <w:rPr>
            <w:noProof/>
            <w:webHidden/>
          </w:rPr>
          <w:tab/>
        </w:r>
        <w:r w:rsidR="004C3C58">
          <w:rPr>
            <w:noProof/>
            <w:webHidden/>
          </w:rPr>
          <w:fldChar w:fldCharType="begin"/>
        </w:r>
        <w:r w:rsidR="004C3C58">
          <w:rPr>
            <w:noProof/>
            <w:webHidden/>
          </w:rPr>
          <w:instrText xml:space="preserve"> PAGEREF _Toc94198479 \h </w:instrText>
        </w:r>
        <w:r w:rsidR="004C3C58">
          <w:rPr>
            <w:noProof/>
            <w:webHidden/>
          </w:rPr>
        </w:r>
        <w:r w:rsidR="004C3C58">
          <w:rPr>
            <w:noProof/>
            <w:webHidden/>
          </w:rPr>
          <w:fldChar w:fldCharType="separate"/>
        </w:r>
        <w:r w:rsidR="003B5862">
          <w:rPr>
            <w:noProof/>
            <w:webHidden/>
          </w:rPr>
          <w:t>199</w:t>
        </w:r>
        <w:r w:rsidR="004C3C58">
          <w:rPr>
            <w:noProof/>
            <w:webHidden/>
          </w:rPr>
          <w:fldChar w:fldCharType="end"/>
        </w:r>
      </w:hyperlink>
    </w:p>
    <w:p w14:paraId="52EEED13" w14:textId="5F8EF978" w:rsidR="00ED5D96" w:rsidRDefault="00050FE6" w:rsidP="00ED5D96">
      <w:r>
        <w:rPr>
          <w:rFonts w:ascii="Arial" w:hAnsi="Arial"/>
        </w:rPr>
        <w:fldChar w:fldCharType="end"/>
      </w:r>
    </w:p>
    <w:p w14:paraId="3309D9AE" w14:textId="77777777" w:rsidR="00ED5D96" w:rsidRDefault="00ED5D96" w:rsidP="00ED5D96"/>
    <w:p w14:paraId="1BF0B1A5" w14:textId="77777777" w:rsidR="00F045E6" w:rsidRPr="00F045E6" w:rsidRDefault="00F045E6" w:rsidP="00F045E6"/>
    <w:p w14:paraId="7BDBBAB7" w14:textId="77777777" w:rsidR="00F045E6" w:rsidRPr="00F045E6" w:rsidRDefault="00F045E6" w:rsidP="00F045E6">
      <w:pPr>
        <w:sectPr w:rsidR="00F045E6" w:rsidRPr="00F045E6" w:rsidSect="005A601A">
          <w:headerReference w:type="even" r:id="rId42"/>
          <w:headerReference w:type="first" r:id="rId43"/>
          <w:footerReference w:type="first" r:id="rId44"/>
          <w:type w:val="oddPage"/>
          <w:pgSz w:w="11907" w:h="16840" w:code="9"/>
          <w:pgMar w:top="2835" w:right="2098" w:bottom="2466" w:left="2098" w:header="1814" w:footer="1814" w:gutter="0"/>
          <w:pgNumType w:fmt="lowerRoman"/>
          <w:cols w:space="720"/>
          <w:titlePg/>
        </w:sectPr>
      </w:pPr>
    </w:p>
    <w:p w14:paraId="3DBEA45D" w14:textId="6DBA4C85" w:rsidR="00DC15CD" w:rsidRPr="00DC15CD" w:rsidRDefault="00F51DAC" w:rsidP="00F37CD1">
      <w:pPr>
        <w:pStyle w:val="PartHeading"/>
      </w:pPr>
      <w:bookmarkStart w:id="56" w:name="_Toc94198470"/>
      <w:r w:rsidRPr="006E442F">
        <w:lastRenderedPageBreak/>
        <w:t xml:space="preserve">Portfolio </w:t>
      </w:r>
      <w:r w:rsidR="00B100D4">
        <w:t>O</w:t>
      </w:r>
      <w:r w:rsidR="00AE6133" w:rsidRPr="006E442F">
        <w:t>verview</w:t>
      </w:r>
      <w:bookmarkStart w:id="57" w:name="_Toc436626774"/>
      <w:bookmarkStart w:id="58" w:name="_Toc490972396"/>
      <w:bookmarkStart w:id="59" w:name="_Toc491014610"/>
      <w:bookmarkStart w:id="60" w:name="_Toc491014752"/>
      <w:bookmarkStart w:id="61" w:name="_Toc491014932"/>
      <w:bookmarkStart w:id="62" w:name="_Toc491015079"/>
      <w:bookmarkStart w:id="63" w:name="_Toc491029227"/>
      <w:bookmarkStart w:id="64" w:name="_Toc491030315"/>
      <w:bookmarkStart w:id="65" w:name="_Toc491030774"/>
      <w:bookmarkStart w:id="66" w:name="_Toc449255755"/>
      <w:bookmarkStart w:id="67" w:name="_Toc491031337"/>
      <w:bookmarkStart w:id="68" w:name="_Toc491031925"/>
      <w:bookmarkStart w:id="69" w:name="_Toc491032095"/>
      <w:bookmarkStart w:id="70" w:name="_Toc491032207"/>
      <w:bookmarkStart w:id="71" w:name="_Toc491032314"/>
      <w:bookmarkStart w:id="72" w:name="_Toc491771701"/>
      <w:bookmarkStart w:id="73" w:name="_Toc491773276"/>
      <w:bookmarkStart w:id="74" w:name="_Toc23559336"/>
      <w:bookmarkStart w:id="75" w:name="_Toc23559370"/>
      <w:bookmarkStart w:id="76" w:name="_Toc23559660"/>
      <w:bookmarkStart w:id="77" w:name="_Toc23560123"/>
      <w:bookmarkStart w:id="78" w:name="_Toc23563419"/>
      <w:bookmarkStart w:id="79" w:name="_Toc77998672"/>
      <w:bookmarkStart w:id="80" w:name="_Toc79399713"/>
      <w:bookmarkStart w:id="81" w:name="_Toc112211952"/>
      <w:bookmarkStart w:id="82" w:name="_Toc112212046"/>
      <w:bookmarkStart w:id="83" w:name="_Toc112137864"/>
      <w:bookmarkStart w:id="84" w:name="_Toc112224371"/>
      <w:bookmarkStart w:id="85" w:name="_Toc210646445"/>
      <w:bookmarkStart w:id="86" w:name="_Toc210698424"/>
      <w:bookmarkEnd w:id="56"/>
    </w:p>
    <w:p w14:paraId="33E99199" w14:textId="77777777" w:rsidR="00F51DAC" w:rsidRDefault="00F51DAC" w:rsidP="00F51DAC">
      <w:pPr>
        <w:pStyle w:val="PartHeading"/>
        <w:sectPr w:rsidR="00F51DAC" w:rsidSect="005A601A">
          <w:headerReference w:type="even" r:id="rId45"/>
          <w:headerReference w:type="default" r:id="rId46"/>
          <w:headerReference w:type="first" r:id="rId47"/>
          <w:footerReference w:type="first" r:id="rId48"/>
          <w:type w:val="oddPage"/>
          <w:pgSz w:w="11907" w:h="16840" w:code="9"/>
          <w:pgMar w:top="2835" w:right="2098" w:bottom="2466" w:left="2098" w:header="1814" w:footer="1814" w:gutter="0"/>
          <w:pgNumType w:start="1"/>
          <w:cols w:space="708"/>
          <w:vAlign w:val="center"/>
          <w:titlePg/>
          <w:docGrid w:linePitch="360"/>
        </w:sectPr>
      </w:pPr>
    </w:p>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14:paraId="2FF04589" w14:textId="27A7E619" w:rsidR="002844F7" w:rsidRPr="00B351A2" w:rsidRDefault="00B100D4" w:rsidP="002844F7">
      <w:pPr>
        <w:pStyle w:val="Heading1-NoTOC"/>
        <w:rPr>
          <w:rFonts w:ascii="Book Antiqua" w:hAnsi="Book Antiqua"/>
        </w:rPr>
      </w:pPr>
      <w:r>
        <w:rPr>
          <w:lang w:val="en-AU"/>
        </w:rPr>
        <w:lastRenderedPageBreak/>
        <w:t xml:space="preserve">Infrastructure, Transport, Regional Development and Communications </w:t>
      </w:r>
      <w:r w:rsidR="002844F7" w:rsidRPr="00934DA0">
        <w:t>Portfolio</w:t>
      </w:r>
      <w:bookmarkStart w:id="87" w:name="_Toc436626775"/>
      <w:r w:rsidR="002844F7">
        <w:rPr>
          <w:lang w:val="en-US"/>
        </w:rPr>
        <w:t> </w:t>
      </w:r>
      <w:bookmarkEnd w:id="87"/>
      <w:r w:rsidR="002844F7">
        <w:rPr>
          <w:lang w:val="en-US"/>
        </w:rPr>
        <w:t>Overview</w:t>
      </w:r>
    </w:p>
    <w:p w14:paraId="2FA876A8" w14:textId="77777777" w:rsidR="002844F7" w:rsidRPr="00F045E6" w:rsidRDefault="002844F7" w:rsidP="002844F7">
      <w:pPr>
        <w:pStyle w:val="Heading2-NoTOC"/>
      </w:pPr>
      <w:r>
        <w:t>Ministers and Portfolio responsibilities</w:t>
      </w:r>
    </w:p>
    <w:p w14:paraId="6CDCD55C" w14:textId="2F2BB078" w:rsidR="002844F7" w:rsidRDefault="00394808" w:rsidP="002844F7">
      <w:pPr>
        <w:jc w:val="left"/>
      </w:pPr>
      <w:r>
        <w:rPr>
          <w:lang w:eastAsia="x-none"/>
        </w:rPr>
        <w:t xml:space="preserve">On </w:t>
      </w:r>
      <w:r w:rsidR="005B5820">
        <w:rPr>
          <w:lang w:eastAsia="x-none"/>
        </w:rPr>
        <w:t xml:space="preserve">8 October </w:t>
      </w:r>
      <w:r>
        <w:rPr>
          <w:lang w:eastAsia="x-none"/>
        </w:rPr>
        <w:t>2021, the Prime Minister</w:t>
      </w:r>
      <w:r w:rsidR="00F82DB9">
        <w:rPr>
          <w:lang w:eastAsia="x-none"/>
        </w:rPr>
        <w:t>’s</w:t>
      </w:r>
      <w:r w:rsidR="005B5820">
        <w:rPr>
          <w:lang w:eastAsia="x-none"/>
        </w:rPr>
        <w:t xml:space="preserve"> second Ministry</w:t>
      </w:r>
      <w:r w:rsidR="00F82DB9">
        <w:rPr>
          <w:lang w:eastAsia="x-none"/>
        </w:rPr>
        <w:t xml:space="preserve"> was sworn in. </w:t>
      </w:r>
      <w:r w:rsidR="00421B72">
        <w:t xml:space="preserve">There are </w:t>
      </w:r>
      <w:r w:rsidR="00F82DB9">
        <w:t xml:space="preserve">currently </w:t>
      </w:r>
      <w:r w:rsidR="005B5820">
        <w:t>seven</w:t>
      </w:r>
      <w:r w:rsidR="00421B72">
        <w:t xml:space="preserve"> M</w:t>
      </w:r>
      <w:r w:rsidR="002844F7">
        <w:t xml:space="preserve">inisters </w:t>
      </w:r>
      <w:r w:rsidR="00421B72">
        <w:t xml:space="preserve">with responsibility for </w:t>
      </w:r>
      <w:r w:rsidR="002844F7">
        <w:t>the Infrastructure, Transport, Regional Development and Communications Portfolio:</w:t>
      </w:r>
    </w:p>
    <w:p w14:paraId="6EF20B74" w14:textId="16DC3EB5" w:rsidR="002844F7" w:rsidRPr="00C602FB" w:rsidRDefault="002844F7" w:rsidP="009B54D8">
      <w:pPr>
        <w:pStyle w:val="ListParagraph"/>
        <w:numPr>
          <w:ilvl w:val="0"/>
          <w:numId w:val="7"/>
        </w:numPr>
        <w:spacing w:after="120"/>
        <w:contextualSpacing w:val="0"/>
        <w:rPr>
          <w:rFonts w:ascii="Book Antiqua" w:hAnsi="Book Antiqua"/>
          <w:sz w:val="20"/>
          <w:szCs w:val="20"/>
          <w:lang w:eastAsia="x-none"/>
        </w:rPr>
      </w:pPr>
      <w:r w:rsidRPr="00C602FB">
        <w:rPr>
          <w:rFonts w:ascii="Book Antiqua" w:hAnsi="Book Antiqua"/>
          <w:sz w:val="20"/>
          <w:szCs w:val="20"/>
          <w:lang w:eastAsia="x-none"/>
        </w:rPr>
        <w:t xml:space="preserve">The </w:t>
      </w:r>
      <w:r w:rsidRPr="009B006E">
        <w:rPr>
          <w:rFonts w:ascii="Book Antiqua" w:hAnsi="Book Antiqua"/>
          <w:sz w:val="20"/>
          <w:szCs w:val="20"/>
          <w:lang w:eastAsia="x-none"/>
        </w:rPr>
        <w:t xml:space="preserve">Hon </w:t>
      </w:r>
      <w:r w:rsidR="009B006E" w:rsidRPr="009B006E">
        <w:rPr>
          <w:rFonts w:ascii="Book Antiqua" w:hAnsi="Book Antiqua"/>
          <w:sz w:val="20"/>
          <w:szCs w:val="20"/>
          <w:lang w:eastAsia="x-none"/>
        </w:rPr>
        <w:t>Barnaby Joyce</w:t>
      </w:r>
      <w:r w:rsidRPr="009B006E">
        <w:rPr>
          <w:rFonts w:ascii="Book Antiqua" w:hAnsi="Book Antiqua"/>
          <w:sz w:val="20"/>
          <w:szCs w:val="20"/>
          <w:lang w:eastAsia="x-none"/>
        </w:rPr>
        <w:t xml:space="preserve"> MP,</w:t>
      </w:r>
      <w:r w:rsidRPr="00C602FB">
        <w:rPr>
          <w:rFonts w:ascii="Book Antiqua" w:hAnsi="Book Antiqua"/>
          <w:sz w:val="20"/>
          <w:szCs w:val="20"/>
          <w:lang w:eastAsia="x-none"/>
        </w:rPr>
        <w:t xml:space="preserve"> Deputy Prime Minister and Minister for Infrastructure, Transport and Regional Development</w:t>
      </w:r>
    </w:p>
    <w:p w14:paraId="56AE43AC" w14:textId="1C6D9035" w:rsidR="002844F7" w:rsidRPr="00227283" w:rsidRDefault="002844F7" w:rsidP="009B54D8">
      <w:pPr>
        <w:pStyle w:val="ListParagraph"/>
        <w:numPr>
          <w:ilvl w:val="0"/>
          <w:numId w:val="7"/>
        </w:numPr>
        <w:spacing w:after="120"/>
        <w:contextualSpacing w:val="0"/>
        <w:rPr>
          <w:rFonts w:ascii="Book Antiqua" w:hAnsi="Book Antiqua"/>
          <w:sz w:val="20"/>
          <w:szCs w:val="20"/>
          <w:lang w:eastAsia="x-none"/>
        </w:rPr>
      </w:pPr>
      <w:r w:rsidRPr="00227283">
        <w:rPr>
          <w:rFonts w:ascii="Book Antiqua" w:hAnsi="Book Antiqua"/>
          <w:sz w:val="20"/>
          <w:szCs w:val="20"/>
          <w:lang w:eastAsia="x-none"/>
        </w:rPr>
        <w:t xml:space="preserve">The Hon David </w:t>
      </w:r>
      <w:proofErr w:type="spellStart"/>
      <w:r w:rsidRPr="00227283">
        <w:rPr>
          <w:rFonts w:ascii="Book Antiqua" w:hAnsi="Book Antiqua"/>
          <w:sz w:val="20"/>
          <w:szCs w:val="20"/>
          <w:lang w:eastAsia="x-none"/>
        </w:rPr>
        <w:t>Littleproud</w:t>
      </w:r>
      <w:proofErr w:type="spellEnd"/>
      <w:r w:rsidRPr="00227283">
        <w:rPr>
          <w:rFonts w:ascii="Book Antiqua" w:hAnsi="Book Antiqua"/>
          <w:sz w:val="20"/>
          <w:szCs w:val="20"/>
          <w:lang w:eastAsia="x-none"/>
        </w:rPr>
        <w:t xml:space="preserve"> MP, </w:t>
      </w:r>
      <w:r w:rsidRPr="009B006E">
        <w:rPr>
          <w:rFonts w:ascii="Book Antiqua" w:hAnsi="Book Antiqua"/>
          <w:sz w:val="20"/>
          <w:szCs w:val="20"/>
          <w:lang w:eastAsia="x-none"/>
        </w:rPr>
        <w:t>Minister for Agriculture</w:t>
      </w:r>
      <w:r w:rsidR="009B006E" w:rsidRPr="009B006E">
        <w:rPr>
          <w:rFonts w:ascii="Book Antiqua" w:hAnsi="Book Antiqua"/>
          <w:sz w:val="20"/>
          <w:szCs w:val="20"/>
          <w:lang w:eastAsia="x-none"/>
        </w:rPr>
        <w:t xml:space="preserve"> </w:t>
      </w:r>
      <w:r w:rsidRPr="009B006E">
        <w:rPr>
          <w:rFonts w:ascii="Book Antiqua" w:hAnsi="Book Antiqua"/>
          <w:sz w:val="20"/>
          <w:szCs w:val="20"/>
          <w:lang w:eastAsia="x-none"/>
        </w:rPr>
        <w:t xml:space="preserve">and </w:t>
      </w:r>
      <w:r w:rsidR="009B006E">
        <w:rPr>
          <w:rFonts w:ascii="Book Antiqua" w:hAnsi="Book Antiqua"/>
          <w:sz w:val="20"/>
          <w:szCs w:val="20"/>
          <w:lang w:eastAsia="x-none"/>
        </w:rPr>
        <w:t>Northern Australia</w:t>
      </w:r>
    </w:p>
    <w:p w14:paraId="7666F1ED" w14:textId="77777777" w:rsidR="002844F7" w:rsidRPr="00C602FB" w:rsidRDefault="002844F7" w:rsidP="009B54D8">
      <w:pPr>
        <w:pStyle w:val="ListParagraph"/>
        <w:numPr>
          <w:ilvl w:val="0"/>
          <w:numId w:val="7"/>
        </w:numPr>
        <w:spacing w:after="120"/>
        <w:contextualSpacing w:val="0"/>
        <w:rPr>
          <w:rFonts w:ascii="Book Antiqua" w:hAnsi="Book Antiqua"/>
          <w:sz w:val="20"/>
          <w:szCs w:val="20"/>
          <w:lang w:eastAsia="x-none"/>
        </w:rPr>
      </w:pPr>
      <w:r w:rsidRPr="00C602FB">
        <w:rPr>
          <w:rFonts w:ascii="Book Antiqua" w:hAnsi="Book Antiqua"/>
          <w:sz w:val="20"/>
          <w:szCs w:val="20"/>
          <w:lang w:eastAsia="x-none"/>
        </w:rPr>
        <w:t>The Hon Paul Fletcher MP, Minister for Communications, Urban Infrastructure</w:t>
      </w:r>
      <w:r>
        <w:rPr>
          <w:rFonts w:ascii="Book Antiqua" w:hAnsi="Book Antiqua"/>
          <w:sz w:val="20"/>
          <w:szCs w:val="20"/>
          <w:lang w:eastAsia="x-none"/>
        </w:rPr>
        <w:t>, Cities</w:t>
      </w:r>
      <w:r w:rsidRPr="00C602FB">
        <w:rPr>
          <w:rFonts w:ascii="Book Antiqua" w:hAnsi="Book Antiqua"/>
          <w:sz w:val="20"/>
          <w:szCs w:val="20"/>
          <w:lang w:eastAsia="x-none"/>
        </w:rPr>
        <w:t xml:space="preserve"> and the Arts</w:t>
      </w:r>
    </w:p>
    <w:p w14:paraId="1634FFE6" w14:textId="0686C880" w:rsidR="009B006E" w:rsidRPr="009B006E" w:rsidRDefault="001D4623" w:rsidP="009B54D8">
      <w:pPr>
        <w:pStyle w:val="ListParagraph"/>
        <w:numPr>
          <w:ilvl w:val="0"/>
          <w:numId w:val="7"/>
        </w:numPr>
        <w:spacing w:after="120"/>
        <w:contextualSpacing w:val="0"/>
        <w:rPr>
          <w:rFonts w:ascii="Book Antiqua" w:hAnsi="Book Antiqua"/>
          <w:sz w:val="20"/>
          <w:szCs w:val="20"/>
          <w:lang w:eastAsia="x-none"/>
        </w:rPr>
      </w:pPr>
      <w:r>
        <w:rPr>
          <w:rFonts w:ascii="Book Antiqua" w:hAnsi="Book Antiqua"/>
          <w:sz w:val="20"/>
          <w:szCs w:val="20"/>
          <w:lang w:eastAsia="x-none"/>
        </w:rPr>
        <w:t>Senator t</w:t>
      </w:r>
      <w:r w:rsidR="002844F7" w:rsidRPr="009B006E">
        <w:rPr>
          <w:rFonts w:ascii="Book Antiqua" w:hAnsi="Book Antiqua"/>
          <w:sz w:val="20"/>
          <w:szCs w:val="20"/>
          <w:lang w:eastAsia="x-none"/>
        </w:rPr>
        <w:t>he Hon</w:t>
      </w:r>
      <w:r w:rsidR="009B006E" w:rsidRPr="009B006E">
        <w:rPr>
          <w:rFonts w:ascii="Book Antiqua" w:hAnsi="Book Antiqua"/>
          <w:sz w:val="20"/>
          <w:szCs w:val="20"/>
          <w:lang w:eastAsia="x-none"/>
        </w:rPr>
        <w:t xml:space="preserve"> Bridget McKenzie</w:t>
      </w:r>
      <w:r w:rsidR="002844F7" w:rsidRPr="009B006E">
        <w:rPr>
          <w:rFonts w:ascii="Book Antiqua" w:hAnsi="Book Antiqua"/>
          <w:sz w:val="20"/>
          <w:szCs w:val="20"/>
          <w:lang w:eastAsia="x-none"/>
        </w:rPr>
        <w:t xml:space="preserve">, Minister for </w:t>
      </w:r>
      <w:proofErr w:type="spellStart"/>
      <w:r w:rsidR="009B006E">
        <w:rPr>
          <w:rFonts w:ascii="Book Antiqua" w:hAnsi="Book Antiqua"/>
          <w:sz w:val="20"/>
          <w:szCs w:val="20"/>
          <w:lang w:eastAsia="x-none"/>
        </w:rPr>
        <w:t>Regionalisation</w:t>
      </w:r>
      <w:proofErr w:type="spellEnd"/>
      <w:r w:rsidR="009B006E">
        <w:rPr>
          <w:rFonts w:ascii="Book Antiqua" w:hAnsi="Book Antiqua"/>
          <w:sz w:val="20"/>
          <w:szCs w:val="20"/>
          <w:lang w:eastAsia="x-none"/>
        </w:rPr>
        <w:t xml:space="preserve">, </w:t>
      </w:r>
      <w:r w:rsidR="002844F7" w:rsidRPr="009B006E">
        <w:rPr>
          <w:rFonts w:ascii="Book Antiqua" w:hAnsi="Book Antiqua"/>
          <w:sz w:val="20"/>
          <w:szCs w:val="20"/>
          <w:lang w:eastAsia="x-none"/>
        </w:rPr>
        <w:t xml:space="preserve">Regional Communications and </w:t>
      </w:r>
      <w:r w:rsidR="009B006E" w:rsidRPr="009B006E">
        <w:rPr>
          <w:rFonts w:ascii="Book Antiqua" w:hAnsi="Book Antiqua"/>
          <w:sz w:val="20"/>
          <w:szCs w:val="20"/>
          <w:lang w:eastAsia="x-none"/>
        </w:rPr>
        <w:t>Regional Education</w:t>
      </w:r>
      <w:r w:rsidR="009B006E" w:rsidRPr="009B006E" w:rsidDel="009B006E">
        <w:rPr>
          <w:rFonts w:ascii="Book Antiqua" w:hAnsi="Book Antiqua"/>
          <w:sz w:val="20"/>
          <w:szCs w:val="20"/>
          <w:lang w:eastAsia="x-none"/>
        </w:rPr>
        <w:t xml:space="preserve"> </w:t>
      </w:r>
    </w:p>
    <w:p w14:paraId="6761195D" w14:textId="77777777" w:rsidR="002844F7" w:rsidRPr="00C602FB" w:rsidRDefault="002844F7" w:rsidP="009B54D8">
      <w:pPr>
        <w:pStyle w:val="ListParagraph"/>
        <w:numPr>
          <w:ilvl w:val="0"/>
          <w:numId w:val="7"/>
        </w:numPr>
        <w:spacing w:after="120"/>
        <w:contextualSpacing w:val="0"/>
        <w:rPr>
          <w:rFonts w:ascii="Book Antiqua" w:hAnsi="Book Antiqua"/>
          <w:sz w:val="20"/>
          <w:szCs w:val="20"/>
          <w:lang w:eastAsia="x-none"/>
        </w:rPr>
      </w:pPr>
      <w:r w:rsidRPr="00C602FB">
        <w:rPr>
          <w:rFonts w:ascii="Book Antiqua" w:hAnsi="Book Antiqua"/>
          <w:sz w:val="20"/>
          <w:szCs w:val="20"/>
          <w:lang w:eastAsia="x-none"/>
        </w:rPr>
        <w:t>The Hon Scott Buchholz MP, Assistant Minister for Road Safety and Freight Transport</w:t>
      </w:r>
    </w:p>
    <w:p w14:paraId="5CDDA739" w14:textId="5BCB92D5" w:rsidR="00F0022A" w:rsidRPr="009B006E" w:rsidRDefault="00F0022A" w:rsidP="009B54D8">
      <w:pPr>
        <w:pStyle w:val="ListParagraph"/>
        <w:numPr>
          <w:ilvl w:val="0"/>
          <w:numId w:val="7"/>
        </w:numPr>
        <w:spacing w:after="120"/>
        <w:contextualSpacing w:val="0"/>
        <w:rPr>
          <w:rFonts w:ascii="Book Antiqua" w:hAnsi="Book Antiqua"/>
          <w:sz w:val="20"/>
          <w:szCs w:val="20"/>
          <w:lang w:eastAsia="x-none"/>
        </w:rPr>
      </w:pPr>
      <w:r w:rsidRPr="00C602FB">
        <w:rPr>
          <w:rFonts w:ascii="Book Antiqua" w:hAnsi="Book Antiqua"/>
          <w:sz w:val="20"/>
          <w:szCs w:val="20"/>
          <w:lang w:eastAsia="x-none"/>
        </w:rPr>
        <w:t xml:space="preserve">The Hon Kevin Hogan MP, </w:t>
      </w:r>
      <w:r w:rsidRPr="009B006E">
        <w:rPr>
          <w:rFonts w:ascii="Book Antiqua" w:hAnsi="Book Antiqua"/>
          <w:sz w:val="20"/>
          <w:szCs w:val="20"/>
          <w:lang w:eastAsia="x-none"/>
        </w:rPr>
        <w:t xml:space="preserve">Assistant Minister to the Deputy Prime Minister and </w:t>
      </w:r>
      <w:r>
        <w:rPr>
          <w:rFonts w:ascii="Book Antiqua" w:hAnsi="Book Antiqua"/>
          <w:sz w:val="20"/>
          <w:szCs w:val="20"/>
          <w:lang w:eastAsia="x-none"/>
        </w:rPr>
        <w:t xml:space="preserve">Assistant Minister for </w:t>
      </w:r>
      <w:r w:rsidRPr="009B006E">
        <w:rPr>
          <w:rFonts w:ascii="Book Antiqua" w:hAnsi="Book Antiqua"/>
          <w:sz w:val="20"/>
          <w:szCs w:val="20"/>
          <w:lang w:eastAsia="x-none"/>
        </w:rPr>
        <w:t>Local Government</w:t>
      </w:r>
    </w:p>
    <w:p w14:paraId="1316DFD3" w14:textId="4A9E363A" w:rsidR="002844F7" w:rsidRPr="00C602FB" w:rsidRDefault="002844F7" w:rsidP="009B54D8">
      <w:pPr>
        <w:pStyle w:val="ListParagraph"/>
        <w:numPr>
          <w:ilvl w:val="0"/>
          <w:numId w:val="7"/>
        </w:numPr>
        <w:spacing w:after="120"/>
        <w:contextualSpacing w:val="0"/>
        <w:rPr>
          <w:rFonts w:ascii="Book Antiqua" w:hAnsi="Book Antiqua"/>
          <w:sz w:val="20"/>
          <w:szCs w:val="20"/>
          <w:lang w:eastAsia="x-none"/>
        </w:rPr>
      </w:pPr>
      <w:r w:rsidRPr="00C602FB">
        <w:rPr>
          <w:rFonts w:ascii="Book Antiqua" w:hAnsi="Book Antiqua"/>
          <w:sz w:val="20"/>
          <w:szCs w:val="20"/>
          <w:lang w:eastAsia="x-none"/>
        </w:rPr>
        <w:t>The Hon Nola Marino MP, Assistant Minister for Regional Development and Territories</w:t>
      </w:r>
      <w:r w:rsidR="00F0022A">
        <w:rPr>
          <w:rFonts w:ascii="Book Antiqua" w:hAnsi="Book Antiqua"/>
          <w:sz w:val="20"/>
          <w:szCs w:val="20"/>
          <w:lang w:eastAsia="x-none"/>
        </w:rPr>
        <w:t>.</w:t>
      </w:r>
    </w:p>
    <w:p w14:paraId="07842FD9" w14:textId="04A21D0A" w:rsidR="00394808" w:rsidRDefault="00394808" w:rsidP="002844F7">
      <w:pPr>
        <w:jc w:val="left"/>
        <w:rPr>
          <w:lang w:eastAsia="x-none"/>
        </w:rPr>
      </w:pPr>
      <w:r>
        <w:rPr>
          <w:lang w:eastAsia="x-none"/>
        </w:rPr>
        <w:t xml:space="preserve">On </w:t>
      </w:r>
      <w:r w:rsidR="00F82DB9">
        <w:rPr>
          <w:lang w:eastAsia="x-none"/>
        </w:rPr>
        <w:t>2 July 2021, amendments were made to the Administrative Arrangement Orders which transferred res</w:t>
      </w:r>
      <w:r w:rsidR="00620E56">
        <w:rPr>
          <w:lang w:eastAsia="x-none"/>
        </w:rPr>
        <w:t>ponsibility for</w:t>
      </w:r>
      <w:r w:rsidR="00F82DB9">
        <w:rPr>
          <w:lang w:eastAsia="x-none"/>
        </w:rPr>
        <w:t xml:space="preserve"> Northern Australia policy from the </w:t>
      </w:r>
      <w:r w:rsidR="008863D9">
        <w:rPr>
          <w:lang w:eastAsia="x-none"/>
        </w:rPr>
        <w:t>Department</w:t>
      </w:r>
      <w:r w:rsidR="00F82DB9">
        <w:rPr>
          <w:lang w:eastAsia="x-none"/>
        </w:rPr>
        <w:t xml:space="preserve"> of Industry, Science, Energy and Resources to the </w:t>
      </w:r>
      <w:r w:rsidR="008863D9">
        <w:rPr>
          <w:lang w:eastAsia="x-none"/>
        </w:rPr>
        <w:t>Department</w:t>
      </w:r>
      <w:r w:rsidR="00F82DB9">
        <w:rPr>
          <w:lang w:eastAsia="x-none"/>
        </w:rPr>
        <w:t xml:space="preserve"> of </w:t>
      </w:r>
      <w:r w:rsidR="00F82DB9" w:rsidRPr="00C602FB">
        <w:rPr>
          <w:lang w:eastAsia="x-none"/>
        </w:rPr>
        <w:t>Infrastructure, Transport, Regional Development and Communications</w:t>
      </w:r>
      <w:r w:rsidR="00F0022A">
        <w:rPr>
          <w:lang w:eastAsia="x-none"/>
        </w:rPr>
        <w:t xml:space="preserve"> (the </w:t>
      </w:r>
      <w:r w:rsidR="008863D9">
        <w:rPr>
          <w:lang w:eastAsia="x-none"/>
        </w:rPr>
        <w:t>Department</w:t>
      </w:r>
      <w:r w:rsidR="00F0022A">
        <w:rPr>
          <w:lang w:eastAsia="x-none"/>
        </w:rPr>
        <w:t>)</w:t>
      </w:r>
      <w:r w:rsidR="00F82DB9">
        <w:rPr>
          <w:lang w:eastAsia="x-none"/>
        </w:rPr>
        <w:t xml:space="preserve">. The Northern Australia Infrastructure Facility also transferred to the </w:t>
      </w:r>
      <w:r w:rsidR="00F82DB9" w:rsidRPr="00C602FB">
        <w:rPr>
          <w:lang w:eastAsia="x-none"/>
        </w:rPr>
        <w:t>Infrastructure, Transport, Regional Development and Communications</w:t>
      </w:r>
      <w:r w:rsidR="00F82DB9">
        <w:rPr>
          <w:lang w:eastAsia="x-none"/>
        </w:rPr>
        <w:t xml:space="preserve"> Portfolio. </w:t>
      </w:r>
    </w:p>
    <w:p w14:paraId="554FC4F5" w14:textId="327DF879" w:rsidR="0037476F" w:rsidRDefault="0037476F" w:rsidP="002844F7">
      <w:pPr>
        <w:jc w:val="left"/>
        <w:rPr>
          <w:lang w:eastAsia="x-none"/>
        </w:rPr>
      </w:pPr>
      <w:r w:rsidRPr="008B7A1A">
        <w:rPr>
          <w:lang w:eastAsia="x-none"/>
        </w:rPr>
        <w:t xml:space="preserve">On 16 December 2021, the </w:t>
      </w:r>
      <w:r w:rsidR="008B7A1A" w:rsidRPr="008B7A1A">
        <w:rPr>
          <w:lang w:eastAsia="x-none"/>
        </w:rPr>
        <w:t>Governor General approved regulations to change the name of the Moorebank Intermodal Company Limited, to the National Intermodal Corporation Limited.</w:t>
      </w:r>
    </w:p>
    <w:p w14:paraId="52EC16C0" w14:textId="49ADC77F" w:rsidR="002844F7" w:rsidRPr="00C602FB" w:rsidRDefault="001D4623" w:rsidP="001D4623">
      <w:pPr>
        <w:keepNext/>
        <w:spacing w:after="80"/>
        <w:jc w:val="left"/>
        <w:rPr>
          <w:lang w:eastAsia="x-none"/>
        </w:rPr>
      </w:pPr>
      <w:r>
        <w:rPr>
          <w:lang w:eastAsia="x-none"/>
        </w:rPr>
        <w:lastRenderedPageBreak/>
        <w:t>Following these changes, t</w:t>
      </w:r>
      <w:r w:rsidR="002844F7" w:rsidRPr="00C602FB">
        <w:rPr>
          <w:lang w:eastAsia="x-none"/>
        </w:rPr>
        <w:t xml:space="preserve">he Infrastructure, Transport, Regional Development and Communications Portfolio comprises the </w:t>
      </w:r>
      <w:r w:rsidR="008863D9">
        <w:rPr>
          <w:lang w:eastAsia="x-none"/>
        </w:rPr>
        <w:t>Department</w:t>
      </w:r>
      <w:r w:rsidR="0086382B">
        <w:rPr>
          <w:lang w:eastAsia="x-none"/>
        </w:rPr>
        <w:t xml:space="preserve"> </w:t>
      </w:r>
      <w:r w:rsidR="002844F7" w:rsidRPr="00C602FB">
        <w:rPr>
          <w:lang w:eastAsia="x-none"/>
        </w:rPr>
        <w:t xml:space="preserve">and </w:t>
      </w:r>
      <w:r w:rsidR="00AA7A4A">
        <w:rPr>
          <w:lang w:eastAsia="x-none"/>
        </w:rPr>
        <w:t xml:space="preserve">29 </w:t>
      </w:r>
      <w:r w:rsidR="002844F7" w:rsidRPr="00C602FB">
        <w:rPr>
          <w:lang w:eastAsia="x-none"/>
        </w:rPr>
        <w:t>other entities as outlined below:</w:t>
      </w:r>
    </w:p>
    <w:p w14:paraId="77A2C518" w14:textId="77777777"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proofErr w:type="spellStart"/>
      <w:r w:rsidRPr="00307EE4">
        <w:rPr>
          <w:rFonts w:ascii="Book Antiqua" w:hAnsi="Book Antiqua"/>
          <w:sz w:val="20"/>
          <w:szCs w:val="20"/>
          <w:lang w:eastAsia="x-none"/>
        </w:rPr>
        <w:t>Airservices</w:t>
      </w:r>
      <w:proofErr w:type="spellEnd"/>
      <w:r w:rsidRPr="00307EE4">
        <w:rPr>
          <w:rFonts w:ascii="Book Antiqua" w:hAnsi="Book Antiqua"/>
          <w:sz w:val="20"/>
          <w:szCs w:val="20"/>
          <w:lang w:eastAsia="x-none"/>
        </w:rPr>
        <w:t xml:space="preserve"> Australia</w:t>
      </w:r>
    </w:p>
    <w:p w14:paraId="3A702786" w14:textId="77777777"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 xml:space="preserve">Australia Council </w:t>
      </w:r>
    </w:p>
    <w:p w14:paraId="7BA9189E" w14:textId="77777777"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Australian Broadcasting Corporation (ABC)</w:t>
      </w:r>
    </w:p>
    <w:p w14:paraId="2122568B" w14:textId="77777777"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Australian Communications and Media Authority (ACMA)</w:t>
      </w:r>
    </w:p>
    <w:p w14:paraId="3D5ED0C3" w14:textId="77777777"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Australian Film, Television and Radio School (AFTRS)</w:t>
      </w:r>
    </w:p>
    <w:p w14:paraId="797BA081" w14:textId="77777777" w:rsidR="002844F7" w:rsidRPr="00307EE4" w:rsidRDefault="002844F7" w:rsidP="001D4623">
      <w:pPr>
        <w:pStyle w:val="ListParagraph"/>
        <w:keepLines/>
        <w:numPr>
          <w:ilvl w:val="0"/>
          <w:numId w:val="8"/>
        </w:numPr>
        <w:spacing w:after="60"/>
        <w:ind w:left="360"/>
        <w:contextualSpacing w:val="0"/>
        <w:rPr>
          <w:rFonts w:ascii="Book Antiqua" w:hAnsi="Book Antiqua"/>
          <w:sz w:val="20"/>
          <w:szCs w:val="20"/>
          <w:lang w:eastAsia="x-none"/>
        </w:rPr>
      </w:pPr>
      <w:r w:rsidRPr="00307EE4">
        <w:rPr>
          <w:rFonts w:ascii="Book Antiqua" w:hAnsi="Book Antiqua"/>
          <w:sz w:val="20"/>
          <w:szCs w:val="20"/>
          <w:lang w:eastAsia="x-none"/>
        </w:rPr>
        <w:t>Australian Maritime Safety Authority (AMSA)</w:t>
      </w:r>
    </w:p>
    <w:p w14:paraId="16C962A3" w14:textId="77777777"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Australian National Maritime Museum (ANMM)</w:t>
      </w:r>
    </w:p>
    <w:p w14:paraId="46D9BEBD" w14:textId="77777777"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Australian Postal Corporation (Australia Post)</w:t>
      </w:r>
    </w:p>
    <w:p w14:paraId="2A7722FE" w14:textId="77777777"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Australian Rail Track Corporation Limited (ARTC)</w:t>
      </w:r>
    </w:p>
    <w:p w14:paraId="378624F1" w14:textId="77777777"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Australian Transport Safety Bureau (ATSB)</w:t>
      </w:r>
    </w:p>
    <w:p w14:paraId="30441402" w14:textId="77777777"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Bundanon Trust</w:t>
      </w:r>
    </w:p>
    <w:p w14:paraId="3EC05E21" w14:textId="77777777"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 xml:space="preserve">Civil Aviation Safety Authority (CASA) </w:t>
      </w:r>
    </w:p>
    <w:p w14:paraId="74E7E3D0" w14:textId="618777B2"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 xml:space="preserve">Creative Partnerships Australia </w:t>
      </w:r>
    </w:p>
    <w:p w14:paraId="7F1B9BDE" w14:textId="77777777"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Infrastructure Australia (IA)</w:t>
      </w:r>
    </w:p>
    <w:p w14:paraId="2CA2DEC5" w14:textId="77777777" w:rsidR="002844F7" w:rsidRPr="00307EE4" w:rsidRDefault="002844F7" w:rsidP="001D4623">
      <w:pPr>
        <w:pStyle w:val="ListParagraph"/>
        <w:keepLines/>
        <w:numPr>
          <w:ilvl w:val="0"/>
          <w:numId w:val="8"/>
        </w:numPr>
        <w:spacing w:after="60"/>
        <w:ind w:left="360"/>
        <w:contextualSpacing w:val="0"/>
        <w:rPr>
          <w:rFonts w:ascii="Book Antiqua" w:hAnsi="Book Antiqua"/>
          <w:sz w:val="20"/>
          <w:szCs w:val="20"/>
          <w:lang w:eastAsia="x-none"/>
        </w:rPr>
      </w:pPr>
      <w:r w:rsidRPr="00307EE4">
        <w:rPr>
          <w:rFonts w:ascii="Book Antiqua" w:hAnsi="Book Antiqua"/>
          <w:sz w:val="20"/>
          <w:szCs w:val="20"/>
          <w:lang w:eastAsia="x-none"/>
        </w:rPr>
        <w:t>National Capital Authority (NCA)</w:t>
      </w:r>
    </w:p>
    <w:p w14:paraId="7F490088" w14:textId="77777777" w:rsidR="002844F7" w:rsidRPr="00307EE4" w:rsidRDefault="002844F7" w:rsidP="001D4623">
      <w:pPr>
        <w:pStyle w:val="ListParagraph"/>
        <w:keepLines/>
        <w:numPr>
          <w:ilvl w:val="0"/>
          <w:numId w:val="8"/>
        </w:numPr>
        <w:spacing w:after="60"/>
        <w:ind w:left="360"/>
        <w:contextualSpacing w:val="0"/>
        <w:rPr>
          <w:rFonts w:ascii="Book Antiqua" w:hAnsi="Book Antiqua"/>
          <w:sz w:val="20"/>
          <w:szCs w:val="20"/>
          <w:lang w:eastAsia="x-none"/>
        </w:rPr>
      </w:pPr>
      <w:r w:rsidRPr="00307EE4">
        <w:rPr>
          <w:rFonts w:ascii="Book Antiqua" w:hAnsi="Book Antiqua"/>
          <w:sz w:val="20"/>
          <w:szCs w:val="20"/>
          <w:lang w:eastAsia="x-none"/>
        </w:rPr>
        <w:t>National Faster Rail Agency (NFRA)</w:t>
      </w:r>
    </w:p>
    <w:p w14:paraId="2EA660DC" w14:textId="77777777"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National Film and Sound Archive of Australia (NFSA)</w:t>
      </w:r>
    </w:p>
    <w:p w14:paraId="3FDEB0B6" w14:textId="77777777"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National Gallery of Australia (the National Gallery)</w:t>
      </w:r>
    </w:p>
    <w:p w14:paraId="57C2275C" w14:textId="48B94DA3" w:rsidR="00AA7A4A" w:rsidRPr="008B7A1A" w:rsidRDefault="00AA7A4A"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8B7A1A">
        <w:rPr>
          <w:rFonts w:ascii="Book Antiqua" w:hAnsi="Book Antiqua"/>
          <w:sz w:val="20"/>
          <w:szCs w:val="20"/>
          <w:lang w:eastAsia="x-none"/>
        </w:rPr>
        <w:t xml:space="preserve">National Intermodal Corporation Limited </w:t>
      </w:r>
    </w:p>
    <w:p w14:paraId="5D2E1952" w14:textId="77777777"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National Library of Australia (NLA)</w:t>
      </w:r>
    </w:p>
    <w:p w14:paraId="4C8E4B82" w14:textId="77777777"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National Museum of Australia (NMA)</w:t>
      </w:r>
    </w:p>
    <w:p w14:paraId="09F3A993" w14:textId="77777777"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National Portrait Gallery of Australia (NPGA)</w:t>
      </w:r>
    </w:p>
    <w:p w14:paraId="63BD1CBB" w14:textId="77777777"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National Transport Commission (NTC)</w:t>
      </w:r>
    </w:p>
    <w:p w14:paraId="690411D7" w14:textId="2FAAC2E9" w:rsidR="002844F7"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NBN Co Limited (NBN Co)</w:t>
      </w:r>
    </w:p>
    <w:p w14:paraId="45042B60" w14:textId="76630290" w:rsidR="00622F24" w:rsidRPr="00622F24" w:rsidRDefault="00622F24" w:rsidP="001D4623">
      <w:pPr>
        <w:pStyle w:val="ListParagraph"/>
        <w:keepLines/>
        <w:numPr>
          <w:ilvl w:val="0"/>
          <w:numId w:val="8"/>
        </w:numPr>
        <w:spacing w:after="60"/>
        <w:ind w:left="357" w:hanging="357"/>
        <w:contextualSpacing w:val="0"/>
        <w:rPr>
          <w:rFonts w:ascii="Book Antiqua" w:hAnsi="Book Antiqua"/>
          <w:sz w:val="20"/>
          <w:szCs w:val="20"/>
          <w:lang w:eastAsia="x-none"/>
        </w:rPr>
      </w:pPr>
      <w:r>
        <w:rPr>
          <w:rFonts w:ascii="Book Antiqua" w:hAnsi="Book Antiqua"/>
          <w:sz w:val="20"/>
          <w:szCs w:val="20"/>
          <w:lang w:eastAsia="x-none"/>
        </w:rPr>
        <w:t>Northern Australia Infrastructure Facility (NAIF)</w:t>
      </w:r>
    </w:p>
    <w:p w14:paraId="5C2D5220" w14:textId="1B6B7917" w:rsidR="002844F7"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 xml:space="preserve">North Queensland Water Infrastructure Authority (NQWIA) </w:t>
      </w:r>
    </w:p>
    <w:p w14:paraId="51B47A7A" w14:textId="77777777"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Screen Australia</w:t>
      </w:r>
    </w:p>
    <w:p w14:paraId="13CB86E5" w14:textId="77777777" w:rsidR="002844F7" w:rsidRPr="00307EE4" w:rsidRDefault="002844F7" w:rsidP="001D4623">
      <w:pPr>
        <w:pStyle w:val="ListParagraph"/>
        <w:keepLines/>
        <w:numPr>
          <w:ilvl w:val="0"/>
          <w:numId w:val="8"/>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Special Broadcasting Service Corporation (SBS)</w:t>
      </w:r>
    </w:p>
    <w:p w14:paraId="0202BA3D" w14:textId="3113651D" w:rsidR="002844F7" w:rsidRPr="00307EE4" w:rsidRDefault="002844F7" w:rsidP="009B54D8">
      <w:pPr>
        <w:pStyle w:val="ListParagraph"/>
        <w:keepLines/>
        <w:numPr>
          <w:ilvl w:val="0"/>
          <w:numId w:val="8"/>
        </w:numPr>
        <w:spacing w:after="12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WSA Co Limit</w:t>
      </w:r>
      <w:r w:rsidR="003914AF">
        <w:rPr>
          <w:rFonts w:ascii="Book Antiqua" w:hAnsi="Book Antiqua"/>
          <w:sz w:val="20"/>
          <w:szCs w:val="20"/>
          <w:lang w:eastAsia="x-none"/>
        </w:rPr>
        <w:t>ed</w:t>
      </w:r>
      <w:r w:rsidR="001D4623">
        <w:rPr>
          <w:rFonts w:ascii="Book Antiqua" w:hAnsi="Book Antiqua"/>
          <w:sz w:val="20"/>
          <w:szCs w:val="20"/>
          <w:lang w:eastAsia="x-none"/>
        </w:rPr>
        <w:t>.</w:t>
      </w:r>
    </w:p>
    <w:p w14:paraId="3DAF6EBB" w14:textId="302588BD" w:rsidR="002844F7" w:rsidRPr="00C602FB" w:rsidRDefault="002844F7" w:rsidP="002844F7">
      <w:pPr>
        <w:rPr>
          <w:lang w:eastAsia="x-none"/>
        </w:rPr>
      </w:pPr>
      <w:proofErr w:type="spellStart"/>
      <w:r w:rsidRPr="00C602FB">
        <w:rPr>
          <w:lang w:eastAsia="x-none"/>
        </w:rPr>
        <w:lastRenderedPageBreak/>
        <w:t>Airservices</w:t>
      </w:r>
      <w:proofErr w:type="spellEnd"/>
      <w:r w:rsidRPr="00C602FB">
        <w:rPr>
          <w:lang w:eastAsia="x-none"/>
        </w:rPr>
        <w:t xml:space="preserve"> Australia; Australia Post; </w:t>
      </w:r>
      <w:r>
        <w:rPr>
          <w:lang w:eastAsia="x-none"/>
        </w:rPr>
        <w:t>ARTC</w:t>
      </w:r>
      <w:r w:rsidRPr="00C602FB">
        <w:rPr>
          <w:lang w:eastAsia="x-none"/>
        </w:rPr>
        <w:t xml:space="preserve">; Bundanon Trust; Creative Partnerships Australia; </w:t>
      </w:r>
      <w:r w:rsidR="008B7A1A" w:rsidRPr="008B7A1A">
        <w:rPr>
          <w:lang w:eastAsia="x-none"/>
        </w:rPr>
        <w:t>National Intermodal Corporation Limited</w:t>
      </w:r>
      <w:r w:rsidR="00620E56">
        <w:rPr>
          <w:lang w:eastAsia="x-none"/>
        </w:rPr>
        <w:t>; NBN Co</w:t>
      </w:r>
      <w:r w:rsidRPr="00C602FB">
        <w:rPr>
          <w:lang w:eastAsia="x-none"/>
        </w:rPr>
        <w:t>; and WSA Co Limited do not appear in the P</w:t>
      </w:r>
      <w:r>
        <w:rPr>
          <w:lang w:eastAsia="x-none"/>
        </w:rPr>
        <w:t>B S</w:t>
      </w:r>
      <w:r w:rsidRPr="00C602FB">
        <w:rPr>
          <w:lang w:eastAsia="x-none"/>
        </w:rPr>
        <w:t xml:space="preserve">tatements </w:t>
      </w:r>
      <w:r>
        <w:rPr>
          <w:lang w:eastAsia="x-none"/>
        </w:rPr>
        <w:t xml:space="preserve">or PAES </w:t>
      </w:r>
      <w:r w:rsidRPr="00C602FB">
        <w:rPr>
          <w:lang w:eastAsia="x-none"/>
        </w:rPr>
        <w:t xml:space="preserve">as these entities do not receive direct funding through the annual appropriation acts. </w:t>
      </w:r>
    </w:p>
    <w:p w14:paraId="0E37DB19" w14:textId="74D224FB" w:rsidR="002844F7" w:rsidRPr="009B5F07" w:rsidRDefault="002844F7" w:rsidP="002844F7">
      <w:pPr>
        <w:jc w:val="left"/>
      </w:pPr>
      <w:r w:rsidRPr="009B5F07">
        <w:t xml:space="preserve">A full outline of the </w:t>
      </w:r>
      <w:r>
        <w:t>P</w:t>
      </w:r>
      <w:r w:rsidRPr="009B5F07">
        <w:t xml:space="preserve">ortfolio Overview can be found in the </w:t>
      </w:r>
      <w:r>
        <w:t>202</w:t>
      </w:r>
      <w:r w:rsidR="00AE32BC">
        <w:t>1-22</w:t>
      </w:r>
      <w:r w:rsidRPr="009B5F07">
        <w:t xml:space="preserve"> PB</w:t>
      </w:r>
      <w:r>
        <w:t> </w:t>
      </w:r>
      <w:r w:rsidRPr="009B5F07">
        <w:t>Statements</w:t>
      </w:r>
      <w:r w:rsidR="00F82DB9">
        <w:t xml:space="preserve"> for </w:t>
      </w:r>
      <w:r w:rsidR="0084653B">
        <w:t xml:space="preserve">the Infrastructure, Transport, Regional Development and </w:t>
      </w:r>
      <w:r w:rsidR="006A053E">
        <w:t>Communications</w:t>
      </w:r>
      <w:r w:rsidR="0084653B">
        <w:t xml:space="preserve"> Portfolio, and the </w:t>
      </w:r>
      <w:r w:rsidR="003914AF">
        <w:t xml:space="preserve">2021-22 </w:t>
      </w:r>
      <w:r w:rsidR="0084653B">
        <w:rPr>
          <w:lang w:eastAsia="x-none"/>
        </w:rPr>
        <w:t>Industry, Science, Energy and Resources</w:t>
      </w:r>
      <w:r w:rsidR="0084653B" w:rsidRPr="00C602FB">
        <w:rPr>
          <w:lang w:eastAsia="x-none"/>
        </w:rPr>
        <w:t xml:space="preserve"> </w:t>
      </w:r>
      <w:r w:rsidR="0084653B">
        <w:rPr>
          <w:lang w:eastAsia="x-none"/>
        </w:rPr>
        <w:t>PB Statements for NAIF</w:t>
      </w:r>
      <w:r>
        <w:t>.</w:t>
      </w:r>
    </w:p>
    <w:p w14:paraId="0FDD0C6D" w14:textId="1D9B8CBC" w:rsidR="002844F7" w:rsidRDefault="002844F7" w:rsidP="003914AF">
      <w:pPr>
        <w:spacing w:after="120"/>
        <w:jc w:val="left"/>
      </w:pPr>
      <w:r>
        <w:t>A summary of the changes for 202</w:t>
      </w:r>
      <w:r w:rsidR="00AE32BC">
        <w:t>1-22</w:t>
      </w:r>
      <w:r>
        <w:t xml:space="preserve"> reflected through the 202</w:t>
      </w:r>
      <w:r w:rsidR="00AE32BC">
        <w:t>1-22</w:t>
      </w:r>
      <w:r>
        <w:t xml:space="preserve"> Additional Estimates appropriations for the Portfolio follows, with details relating to the additional funding being contained within the relevant agency chapter:</w:t>
      </w:r>
    </w:p>
    <w:p w14:paraId="3AEDC015" w14:textId="4A3F3E09" w:rsidR="00AF69FA" w:rsidRPr="00CB518B" w:rsidRDefault="00AF69FA" w:rsidP="009B54D8">
      <w:pPr>
        <w:pStyle w:val="ListParagraph"/>
        <w:keepLines/>
        <w:numPr>
          <w:ilvl w:val="0"/>
          <w:numId w:val="8"/>
        </w:numPr>
        <w:spacing w:after="120"/>
        <w:ind w:left="357" w:hanging="357"/>
        <w:contextualSpacing w:val="0"/>
        <w:rPr>
          <w:rFonts w:ascii="Book Antiqua" w:hAnsi="Book Antiqua"/>
          <w:sz w:val="20"/>
          <w:szCs w:val="20"/>
          <w:lang w:eastAsia="x-none"/>
        </w:rPr>
      </w:pPr>
      <w:r w:rsidRPr="00CB518B">
        <w:rPr>
          <w:rFonts w:ascii="Book Antiqua" w:hAnsi="Book Antiqua"/>
          <w:sz w:val="20"/>
          <w:szCs w:val="20"/>
          <w:lang w:eastAsia="x-none"/>
        </w:rPr>
        <w:t>The Department – a net increase in funding of $</w:t>
      </w:r>
      <w:r w:rsidR="00CB518B" w:rsidRPr="00CB518B">
        <w:rPr>
          <w:rFonts w:ascii="Book Antiqua" w:hAnsi="Book Antiqua"/>
          <w:sz w:val="20"/>
          <w:szCs w:val="20"/>
          <w:lang w:eastAsia="x-none"/>
        </w:rPr>
        <w:t>793.4</w:t>
      </w:r>
      <w:r w:rsidRPr="00CB518B">
        <w:rPr>
          <w:rFonts w:ascii="Book Antiqua" w:hAnsi="Book Antiqua"/>
          <w:sz w:val="20"/>
          <w:szCs w:val="20"/>
          <w:lang w:eastAsia="x-none"/>
        </w:rPr>
        <w:t> million through Appropriation Bill (No. 3) and $</w:t>
      </w:r>
      <w:r w:rsidR="00CB518B" w:rsidRPr="00CB518B">
        <w:rPr>
          <w:rFonts w:ascii="Book Antiqua" w:hAnsi="Book Antiqua"/>
          <w:sz w:val="20"/>
          <w:szCs w:val="20"/>
          <w:lang w:eastAsia="x-none"/>
        </w:rPr>
        <w:t>99.1</w:t>
      </w:r>
      <w:r w:rsidRPr="00CB518B">
        <w:rPr>
          <w:rFonts w:ascii="Book Antiqua" w:hAnsi="Book Antiqua"/>
          <w:sz w:val="20"/>
          <w:szCs w:val="20"/>
          <w:lang w:eastAsia="x-none"/>
        </w:rPr>
        <w:t xml:space="preserve"> million through Appropriation Bill (No. 4). </w:t>
      </w:r>
    </w:p>
    <w:p w14:paraId="5F14534C" w14:textId="5BF757BC" w:rsidR="002844F7" w:rsidRPr="00BD4C77" w:rsidRDefault="002844F7" w:rsidP="009B54D8">
      <w:pPr>
        <w:pStyle w:val="ListParagraph"/>
        <w:keepLines/>
        <w:numPr>
          <w:ilvl w:val="0"/>
          <w:numId w:val="8"/>
        </w:numPr>
        <w:spacing w:after="120"/>
        <w:ind w:left="357" w:hanging="357"/>
        <w:contextualSpacing w:val="0"/>
        <w:rPr>
          <w:rFonts w:ascii="Book Antiqua" w:hAnsi="Book Antiqua"/>
          <w:sz w:val="20"/>
          <w:szCs w:val="20"/>
          <w:lang w:eastAsia="x-none"/>
        </w:rPr>
      </w:pPr>
      <w:r>
        <w:rPr>
          <w:rFonts w:ascii="Book Antiqua" w:hAnsi="Book Antiqua"/>
          <w:sz w:val="20"/>
          <w:szCs w:val="20"/>
          <w:lang w:eastAsia="x-none"/>
        </w:rPr>
        <w:t xml:space="preserve">ACMA </w:t>
      </w:r>
      <w:r w:rsidR="001A6D37">
        <w:rPr>
          <w:rFonts w:ascii="Book Antiqua" w:hAnsi="Book Antiqua"/>
          <w:sz w:val="20"/>
          <w:szCs w:val="20"/>
          <w:lang w:eastAsia="x-none"/>
        </w:rPr>
        <w:t xml:space="preserve">– an </w:t>
      </w:r>
      <w:r w:rsidRPr="00FD1E01">
        <w:rPr>
          <w:rFonts w:ascii="Book Antiqua" w:hAnsi="Book Antiqua"/>
          <w:sz w:val="20"/>
          <w:szCs w:val="20"/>
          <w:lang w:eastAsia="x-none"/>
        </w:rPr>
        <w:t xml:space="preserve">increase in </w:t>
      </w:r>
      <w:r w:rsidRPr="00BD4C77">
        <w:rPr>
          <w:rFonts w:ascii="Book Antiqua" w:hAnsi="Book Antiqua"/>
          <w:sz w:val="20"/>
          <w:szCs w:val="20"/>
          <w:lang w:eastAsia="x-none"/>
        </w:rPr>
        <w:t>funding of $</w:t>
      </w:r>
      <w:r w:rsidR="001A6D37" w:rsidRPr="00BD4C77">
        <w:rPr>
          <w:rFonts w:ascii="Book Antiqua" w:hAnsi="Book Antiqua"/>
          <w:sz w:val="20"/>
          <w:szCs w:val="20"/>
          <w:lang w:eastAsia="x-none"/>
        </w:rPr>
        <w:t>1.5</w:t>
      </w:r>
      <w:r w:rsidRPr="00BD4C77">
        <w:rPr>
          <w:rFonts w:ascii="Book Antiqua" w:hAnsi="Book Antiqua"/>
          <w:sz w:val="20"/>
          <w:szCs w:val="20"/>
          <w:lang w:eastAsia="x-none"/>
        </w:rPr>
        <w:t> million through Appropriation Bill (No. 3).</w:t>
      </w:r>
    </w:p>
    <w:p w14:paraId="2AE9A825" w14:textId="02688B0C" w:rsidR="00DB2EAA" w:rsidRDefault="00DB2EAA" w:rsidP="009B54D8">
      <w:pPr>
        <w:pStyle w:val="ListParagraph"/>
        <w:keepLines/>
        <w:numPr>
          <w:ilvl w:val="0"/>
          <w:numId w:val="8"/>
        </w:numPr>
        <w:spacing w:after="120"/>
        <w:ind w:left="357" w:hanging="357"/>
        <w:contextualSpacing w:val="0"/>
        <w:rPr>
          <w:rFonts w:ascii="Book Antiqua" w:hAnsi="Book Antiqua"/>
          <w:sz w:val="20"/>
          <w:szCs w:val="20"/>
          <w:lang w:eastAsia="x-none"/>
        </w:rPr>
      </w:pPr>
      <w:r>
        <w:rPr>
          <w:rFonts w:ascii="Book Antiqua" w:hAnsi="Book Antiqua"/>
          <w:sz w:val="20"/>
          <w:szCs w:val="20"/>
          <w:lang w:eastAsia="x-none"/>
        </w:rPr>
        <w:t xml:space="preserve">CASA – an </w:t>
      </w:r>
      <w:r w:rsidRPr="00FD1E01">
        <w:rPr>
          <w:rFonts w:ascii="Book Antiqua" w:hAnsi="Book Antiqua"/>
          <w:sz w:val="20"/>
          <w:szCs w:val="20"/>
          <w:lang w:eastAsia="x-none"/>
        </w:rPr>
        <w:t xml:space="preserve">increase in </w:t>
      </w:r>
      <w:r w:rsidRPr="00BD4C77">
        <w:rPr>
          <w:rFonts w:ascii="Book Antiqua" w:hAnsi="Book Antiqua"/>
          <w:sz w:val="20"/>
          <w:szCs w:val="20"/>
          <w:lang w:eastAsia="x-none"/>
        </w:rPr>
        <w:t>funding of $</w:t>
      </w:r>
      <w:r>
        <w:rPr>
          <w:rFonts w:ascii="Book Antiqua" w:hAnsi="Book Antiqua"/>
          <w:sz w:val="20"/>
          <w:szCs w:val="20"/>
          <w:lang w:eastAsia="x-none"/>
        </w:rPr>
        <w:t>20.0</w:t>
      </w:r>
      <w:r w:rsidRPr="00BD4C77">
        <w:rPr>
          <w:rFonts w:ascii="Book Antiqua" w:hAnsi="Book Antiqua"/>
          <w:sz w:val="20"/>
          <w:szCs w:val="20"/>
          <w:lang w:eastAsia="x-none"/>
        </w:rPr>
        <w:t> million through Appropriation Bill (No. 3).</w:t>
      </w:r>
    </w:p>
    <w:p w14:paraId="21DD19F3" w14:textId="11F8CFEB" w:rsidR="002844F7" w:rsidRPr="00BD4C77" w:rsidRDefault="002844F7" w:rsidP="009B54D8">
      <w:pPr>
        <w:pStyle w:val="ListParagraph"/>
        <w:keepLines/>
        <w:numPr>
          <w:ilvl w:val="0"/>
          <w:numId w:val="8"/>
        </w:numPr>
        <w:spacing w:after="120"/>
        <w:ind w:left="357" w:hanging="357"/>
        <w:contextualSpacing w:val="0"/>
        <w:rPr>
          <w:rFonts w:ascii="Book Antiqua" w:hAnsi="Book Antiqua"/>
          <w:sz w:val="20"/>
          <w:szCs w:val="20"/>
          <w:lang w:eastAsia="x-none"/>
        </w:rPr>
      </w:pPr>
      <w:r w:rsidRPr="00BD4C77">
        <w:rPr>
          <w:rFonts w:ascii="Book Antiqua" w:hAnsi="Book Antiqua"/>
          <w:sz w:val="20"/>
          <w:szCs w:val="20"/>
          <w:lang w:eastAsia="x-none"/>
        </w:rPr>
        <w:t>NCA – a</w:t>
      </w:r>
      <w:r w:rsidR="001A6D37" w:rsidRPr="00BD4C77">
        <w:rPr>
          <w:rFonts w:ascii="Book Antiqua" w:hAnsi="Book Antiqua"/>
          <w:sz w:val="20"/>
          <w:szCs w:val="20"/>
          <w:lang w:eastAsia="x-none"/>
        </w:rPr>
        <w:t xml:space="preserve">n increase </w:t>
      </w:r>
      <w:r w:rsidRPr="00BD4C77">
        <w:rPr>
          <w:rFonts w:ascii="Book Antiqua" w:hAnsi="Book Antiqua"/>
          <w:sz w:val="20"/>
          <w:szCs w:val="20"/>
          <w:lang w:eastAsia="x-none"/>
        </w:rPr>
        <w:t xml:space="preserve">in </w:t>
      </w:r>
      <w:r w:rsidR="008863D9">
        <w:rPr>
          <w:rFonts w:ascii="Book Antiqua" w:hAnsi="Book Antiqua"/>
          <w:sz w:val="20"/>
          <w:szCs w:val="20"/>
          <w:lang w:eastAsia="x-none"/>
        </w:rPr>
        <w:t>Department</w:t>
      </w:r>
      <w:r w:rsidR="001A6D37" w:rsidRPr="00BD4C77">
        <w:rPr>
          <w:rFonts w:ascii="Book Antiqua" w:hAnsi="Book Antiqua"/>
          <w:sz w:val="20"/>
          <w:szCs w:val="20"/>
          <w:lang w:eastAsia="x-none"/>
        </w:rPr>
        <w:t xml:space="preserve">al </w:t>
      </w:r>
      <w:r w:rsidRPr="00BD4C77">
        <w:rPr>
          <w:rFonts w:ascii="Book Antiqua" w:hAnsi="Book Antiqua"/>
          <w:sz w:val="20"/>
          <w:szCs w:val="20"/>
          <w:lang w:eastAsia="x-none"/>
        </w:rPr>
        <w:t xml:space="preserve">funding of </w:t>
      </w:r>
      <w:r w:rsidR="00AE32BC" w:rsidRPr="00BD4C77">
        <w:rPr>
          <w:rFonts w:ascii="Book Antiqua" w:hAnsi="Book Antiqua"/>
          <w:sz w:val="20"/>
          <w:szCs w:val="20"/>
          <w:lang w:eastAsia="x-none"/>
        </w:rPr>
        <w:t>$</w:t>
      </w:r>
      <w:r w:rsidR="001A6D37" w:rsidRPr="00BD4C77">
        <w:rPr>
          <w:rFonts w:ascii="Book Antiqua" w:hAnsi="Book Antiqua"/>
          <w:sz w:val="20"/>
          <w:szCs w:val="20"/>
          <w:lang w:eastAsia="x-none"/>
        </w:rPr>
        <w:t>3.5</w:t>
      </w:r>
      <w:r w:rsidR="00AE32BC" w:rsidRPr="00BD4C77">
        <w:rPr>
          <w:rFonts w:ascii="Book Antiqua" w:hAnsi="Book Antiqua"/>
          <w:sz w:val="20"/>
          <w:szCs w:val="20"/>
          <w:lang w:eastAsia="x-none"/>
        </w:rPr>
        <w:t> million</w:t>
      </w:r>
      <w:r w:rsidR="001A6D37" w:rsidRPr="00BD4C77">
        <w:rPr>
          <w:rFonts w:ascii="Book Antiqua" w:hAnsi="Book Antiqua"/>
          <w:sz w:val="20"/>
          <w:szCs w:val="20"/>
          <w:lang w:eastAsia="x-none"/>
        </w:rPr>
        <w:t xml:space="preserve"> and an equal reduction in </w:t>
      </w:r>
      <w:r w:rsidR="00C11261" w:rsidRPr="00BD4C77">
        <w:rPr>
          <w:rFonts w:ascii="Book Antiqua" w:hAnsi="Book Antiqua"/>
          <w:sz w:val="20"/>
          <w:szCs w:val="20"/>
          <w:lang w:eastAsia="x-none"/>
        </w:rPr>
        <w:t>Administered</w:t>
      </w:r>
      <w:r w:rsidR="001A6D37" w:rsidRPr="00BD4C77">
        <w:rPr>
          <w:rFonts w:ascii="Book Antiqua" w:hAnsi="Book Antiqua"/>
          <w:sz w:val="20"/>
          <w:szCs w:val="20"/>
          <w:lang w:eastAsia="x-none"/>
        </w:rPr>
        <w:t xml:space="preserve"> funding </w:t>
      </w:r>
      <w:r w:rsidR="00AE32BC" w:rsidRPr="00BD4C77">
        <w:rPr>
          <w:rFonts w:ascii="Book Antiqua" w:hAnsi="Book Antiqua"/>
          <w:sz w:val="20"/>
          <w:szCs w:val="20"/>
          <w:lang w:eastAsia="x-none"/>
        </w:rPr>
        <w:t xml:space="preserve">through Appropriation Bill (No. 3) and </w:t>
      </w:r>
      <w:r w:rsidR="00603CAD">
        <w:rPr>
          <w:rFonts w:ascii="Book Antiqua" w:hAnsi="Book Antiqua"/>
          <w:sz w:val="20"/>
          <w:szCs w:val="20"/>
          <w:lang w:eastAsia="x-none"/>
        </w:rPr>
        <w:t xml:space="preserve">an increase in funding of </w:t>
      </w:r>
      <w:r w:rsidR="00AE32BC" w:rsidRPr="00BD4C77">
        <w:rPr>
          <w:rFonts w:ascii="Book Antiqua" w:hAnsi="Book Antiqua"/>
          <w:sz w:val="20"/>
          <w:szCs w:val="20"/>
          <w:lang w:eastAsia="x-none"/>
        </w:rPr>
        <w:t>$</w:t>
      </w:r>
      <w:r w:rsidR="001A6D37" w:rsidRPr="00BD4C77">
        <w:rPr>
          <w:rFonts w:ascii="Book Antiqua" w:hAnsi="Book Antiqua"/>
          <w:sz w:val="20"/>
          <w:szCs w:val="20"/>
          <w:lang w:eastAsia="x-none"/>
        </w:rPr>
        <w:t>1.3</w:t>
      </w:r>
      <w:r w:rsidR="00AE32BC" w:rsidRPr="00BD4C77">
        <w:rPr>
          <w:rFonts w:ascii="Book Antiqua" w:hAnsi="Book Antiqua"/>
          <w:sz w:val="20"/>
          <w:szCs w:val="20"/>
          <w:lang w:eastAsia="x-none"/>
        </w:rPr>
        <w:t> million through Appropriation Bill (No. 4).</w:t>
      </w:r>
    </w:p>
    <w:p w14:paraId="75572730" w14:textId="085631DE" w:rsidR="00AE32BC" w:rsidRDefault="00620E56" w:rsidP="009B54D8">
      <w:pPr>
        <w:pStyle w:val="ListParagraph"/>
        <w:keepLines/>
        <w:numPr>
          <w:ilvl w:val="0"/>
          <w:numId w:val="8"/>
        </w:numPr>
        <w:spacing w:after="120"/>
        <w:ind w:left="357" w:hanging="357"/>
        <w:contextualSpacing w:val="0"/>
        <w:rPr>
          <w:rFonts w:ascii="Book Antiqua" w:hAnsi="Book Antiqua"/>
          <w:sz w:val="20"/>
          <w:szCs w:val="20"/>
          <w:lang w:eastAsia="x-none"/>
        </w:rPr>
      </w:pPr>
      <w:r>
        <w:rPr>
          <w:rFonts w:ascii="Book Antiqua" w:hAnsi="Book Antiqua"/>
          <w:sz w:val="20"/>
          <w:szCs w:val="20"/>
          <w:lang w:eastAsia="x-none"/>
        </w:rPr>
        <w:t>NFSA – an</w:t>
      </w:r>
      <w:r w:rsidR="00AE32BC" w:rsidRPr="00BD4C77">
        <w:rPr>
          <w:rFonts w:ascii="Book Antiqua" w:hAnsi="Book Antiqua"/>
          <w:sz w:val="20"/>
          <w:szCs w:val="20"/>
          <w:lang w:eastAsia="x-none"/>
        </w:rPr>
        <w:t xml:space="preserve"> increase in funding of $</w:t>
      </w:r>
      <w:r w:rsidR="00BD4C77" w:rsidRPr="00BD4C77">
        <w:rPr>
          <w:rFonts w:ascii="Book Antiqua" w:hAnsi="Book Antiqua"/>
          <w:sz w:val="20"/>
          <w:szCs w:val="20"/>
          <w:lang w:eastAsia="x-none"/>
        </w:rPr>
        <w:t>2.9</w:t>
      </w:r>
      <w:r w:rsidR="00AE32BC" w:rsidRPr="00BD4C77">
        <w:rPr>
          <w:rFonts w:ascii="Book Antiqua" w:hAnsi="Book Antiqua"/>
          <w:sz w:val="20"/>
          <w:szCs w:val="20"/>
          <w:lang w:eastAsia="x-none"/>
        </w:rPr>
        <w:t> million through Appropriation Bill (No. 3) and $</w:t>
      </w:r>
      <w:r w:rsidR="00BD4C77" w:rsidRPr="00BD4C77">
        <w:rPr>
          <w:rFonts w:ascii="Book Antiqua" w:hAnsi="Book Antiqua"/>
          <w:sz w:val="20"/>
          <w:szCs w:val="20"/>
          <w:lang w:eastAsia="x-none"/>
        </w:rPr>
        <w:t>3.5</w:t>
      </w:r>
      <w:r w:rsidR="00AE32BC" w:rsidRPr="00BD4C77">
        <w:rPr>
          <w:rFonts w:ascii="Book Antiqua" w:hAnsi="Book Antiqua"/>
          <w:sz w:val="20"/>
          <w:szCs w:val="20"/>
          <w:lang w:eastAsia="x-none"/>
        </w:rPr>
        <w:t> million through Appropriation Bill (No</w:t>
      </w:r>
      <w:r w:rsidR="00AE32BC" w:rsidRPr="00FD1E01">
        <w:rPr>
          <w:rFonts w:ascii="Book Antiqua" w:hAnsi="Book Antiqua"/>
          <w:sz w:val="20"/>
          <w:szCs w:val="20"/>
          <w:lang w:eastAsia="x-none"/>
        </w:rPr>
        <w:t>. 4).</w:t>
      </w:r>
    </w:p>
    <w:p w14:paraId="67263508" w14:textId="73C53813" w:rsidR="00AE32BC" w:rsidRPr="00094820" w:rsidRDefault="00AE32BC" w:rsidP="009B54D8">
      <w:pPr>
        <w:pStyle w:val="ListParagraph"/>
        <w:keepLines/>
        <w:numPr>
          <w:ilvl w:val="0"/>
          <w:numId w:val="8"/>
        </w:numPr>
        <w:spacing w:after="120"/>
        <w:ind w:left="357" w:hanging="357"/>
        <w:contextualSpacing w:val="0"/>
        <w:rPr>
          <w:rFonts w:ascii="Book Antiqua" w:hAnsi="Book Antiqua"/>
          <w:sz w:val="20"/>
          <w:szCs w:val="20"/>
          <w:lang w:eastAsia="x-none"/>
        </w:rPr>
      </w:pPr>
      <w:r w:rsidRPr="00094820">
        <w:rPr>
          <w:rFonts w:ascii="Book Antiqua" w:hAnsi="Book Antiqua"/>
          <w:sz w:val="20"/>
          <w:szCs w:val="20"/>
          <w:lang w:eastAsia="x-none"/>
        </w:rPr>
        <w:t xml:space="preserve">NLA – </w:t>
      </w:r>
      <w:r w:rsidR="00620E56">
        <w:rPr>
          <w:rFonts w:ascii="Book Antiqua" w:hAnsi="Book Antiqua"/>
          <w:sz w:val="20"/>
          <w:szCs w:val="20"/>
          <w:lang w:eastAsia="x-none"/>
        </w:rPr>
        <w:t>an</w:t>
      </w:r>
      <w:r w:rsidRPr="00094820">
        <w:rPr>
          <w:rFonts w:ascii="Book Antiqua" w:hAnsi="Book Antiqua"/>
          <w:sz w:val="20"/>
          <w:szCs w:val="20"/>
          <w:lang w:eastAsia="x-none"/>
        </w:rPr>
        <w:t xml:space="preserve"> increase in funding of $</w:t>
      </w:r>
      <w:r w:rsidR="00094820" w:rsidRPr="00094820">
        <w:rPr>
          <w:rFonts w:ascii="Book Antiqua" w:hAnsi="Book Antiqua"/>
          <w:sz w:val="20"/>
          <w:szCs w:val="20"/>
          <w:lang w:eastAsia="x-none"/>
        </w:rPr>
        <w:t>0.7</w:t>
      </w:r>
      <w:r w:rsidRPr="00094820">
        <w:rPr>
          <w:rFonts w:ascii="Book Antiqua" w:hAnsi="Book Antiqua"/>
          <w:sz w:val="20"/>
          <w:szCs w:val="20"/>
          <w:lang w:eastAsia="x-none"/>
        </w:rPr>
        <w:t> million through Appropriation Bill (No. 3).</w:t>
      </w:r>
    </w:p>
    <w:p w14:paraId="063323AF" w14:textId="4FA5736D" w:rsidR="00AE32BC" w:rsidRDefault="00AE32BC" w:rsidP="009B54D8">
      <w:pPr>
        <w:pStyle w:val="ListParagraph"/>
        <w:keepLines/>
        <w:numPr>
          <w:ilvl w:val="0"/>
          <w:numId w:val="8"/>
        </w:numPr>
        <w:spacing w:after="120"/>
        <w:ind w:left="357" w:hanging="357"/>
        <w:contextualSpacing w:val="0"/>
        <w:rPr>
          <w:rFonts w:ascii="Book Antiqua" w:hAnsi="Book Antiqua"/>
          <w:sz w:val="20"/>
          <w:szCs w:val="20"/>
          <w:lang w:eastAsia="x-none"/>
        </w:rPr>
      </w:pPr>
      <w:r>
        <w:rPr>
          <w:rFonts w:ascii="Book Antiqua" w:hAnsi="Book Antiqua"/>
          <w:sz w:val="20"/>
          <w:szCs w:val="20"/>
          <w:lang w:eastAsia="x-none"/>
        </w:rPr>
        <w:t xml:space="preserve">NTC </w:t>
      </w:r>
      <w:r w:rsidRPr="00FD1E01">
        <w:rPr>
          <w:rFonts w:ascii="Book Antiqua" w:hAnsi="Book Antiqua"/>
          <w:sz w:val="20"/>
          <w:szCs w:val="20"/>
          <w:lang w:eastAsia="x-none"/>
        </w:rPr>
        <w:t xml:space="preserve">– </w:t>
      </w:r>
      <w:r w:rsidR="00620E56">
        <w:rPr>
          <w:rFonts w:ascii="Book Antiqua" w:hAnsi="Book Antiqua"/>
          <w:sz w:val="20"/>
          <w:szCs w:val="20"/>
          <w:lang w:eastAsia="x-none"/>
        </w:rPr>
        <w:t>an</w:t>
      </w:r>
      <w:r w:rsidR="00620E56" w:rsidRPr="00FD1E01">
        <w:rPr>
          <w:rFonts w:ascii="Book Antiqua" w:hAnsi="Book Antiqua"/>
          <w:sz w:val="20"/>
          <w:szCs w:val="20"/>
          <w:lang w:eastAsia="x-none"/>
        </w:rPr>
        <w:t xml:space="preserve"> </w:t>
      </w:r>
      <w:r w:rsidRPr="00FD1E01">
        <w:rPr>
          <w:rFonts w:ascii="Book Antiqua" w:hAnsi="Book Antiqua"/>
          <w:sz w:val="20"/>
          <w:szCs w:val="20"/>
          <w:lang w:eastAsia="x-none"/>
        </w:rPr>
        <w:t xml:space="preserve">increase in funding </w:t>
      </w:r>
      <w:r w:rsidRPr="00C01AF1">
        <w:rPr>
          <w:rFonts w:ascii="Book Antiqua" w:hAnsi="Book Antiqua"/>
          <w:sz w:val="20"/>
          <w:szCs w:val="20"/>
          <w:lang w:eastAsia="x-none"/>
        </w:rPr>
        <w:t xml:space="preserve">of </w:t>
      </w:r>
      <w:r w:rsidRPr="0084653B">
        <w:rPr>
          <w:rFonts w:ascii="Book Antiqua" w:hAnsi="Book Antiqua"/>
          <w:sz w:val="20"/>
          <w:szCs w:val="20"/>
          <w:lang w:eastAsia="x-none"/>
        </w:rPr>
        <w:t>$</w:t>
      </w:r>
      <w:r w:rsidR="0084653B" w:rsidRPr="0084653B">
        <w:rPr>
          <w:rFonts w:ascii="Book Antiqua" w:hAnsi="Book Antiqua"/>
          <w:sz w:val="20"/>
          <w:szCs w:val="20"/>
          <w:lang w:eastAsia="x-none"/>
        </w:rPr>
        <w:t>0.9</w:t>
      </w:r>
      <w:r w:rsidRPr="0084653B">
        <w:rPr>
          <w:rFonts w:ascii="Book Antiqua" w:hAnsi="Book Antiqua"/>
          <w:sz w:val="20"/>
          <w:szCs w:val="20"/>
          <w:lang w:eastAsia="x-none"/>
        </w:rPr>
        <w:t> million</w:t>
      </w:r>
      <w:r w:rsidRPr="00FD1E01">
        <w:rPr>
          <w:rFonts w:ascii="Book Antiqua" w:hAnsi="Book Antiqua"/>
          <w:sz w:val="20"/>
          <w:szCs w:val="20"/>
          <w:lang w:eastAsia="x-none"/>
        </w:rPr>
        <w:t xml:space="preserve"> through Appropriation Bill (No.</w:t>
      </w:r>
      <w:r>
        <w:rPr>
          <w:rFonts w:ascii="Book Antiqua" w:hAnsi="Book Antiqua"/>
          <w:sz w:val="20"/>
          <w:szCs w:val="20"/>
          <w:lang w:eastAsia="x-none"/>
        </w:rPr>
        <w:t> </w:t>
      </w:r>
      <w:r w:rsidRPr="00FD1E01">
        <w:rPr>
          <w:rFonts w:ascii="Book Antiqua" w:hAnsi="Book Antiqua"/>
          <w:sz w:val="20"/>
          <w:szCs w:val="20"/>
          <w:lang w:eastAsia="x-none"/>
        </w:rPr>
        <w:t>3).</w:t>
      </w:r>
    </w:p>
    <w:p w14:paraId="43B8359B" w14:textId="12076549" w:rsidR="002844F7" w:rsidRPr="00C602FB" w:rsidRDefault="002844F7" w:rsidP="002844F7">
      <w:pPr>
        <w:jc w:val="left"/>
        <w:rPr>
          <w:lang w:eastAsia="x-none"/>
        </w:rPr>
      </w:pPr>
      <w:r w:rsidRPr="00C602FB">
        <w:rPr>
          <w:lang w:eastAsia="x-none"/>
        </w:rPr>
        <w:t>A summary of the Portfolio structure is at Figure 1. Further detail about the responsibilities of each agency appears in individual agency chapters</w:t>
      </w:r>
      <w:r>
        <w:rPr>
          <w:lang w:eastAsia="x-none"/>
        </w:rPr>
        <w:t xml:space="preserve"> of the 202</w:t>
      </w:r>
      <w:r w:rsidR="00AE32BC">
        <w:rPr>
          <w:lang w:eastAsia="x-none"/>
        </w:rPr>
        <w:t>1-22</w:t>
      </w:r>
      <w:r>
        <w:rPr>
          <w:lang w:eastAsia="x-none"/>
        </w:rPr>
        <w:t xml:space="preserve"> </w:t>
      </w:r>
      <w:r w:rsidRPr="00C602FB">
        <w:rPr>
          <w:lang w:eastAsia="x-none"/>
        </w:rPr>
        <w:t xml:space="preserve">Infrastructure, Transport, Regional Development and Communications </w:t>
      </w:r>
      <w:r>
        <w:rPr>
          <w:lang w:eastAsia="x-none"/>
        </w:rPr>
        <w:t>PB Statements</w:t>
      </w:r>
      <w:r w:rsidR="00AE32BC">
        <w:rPr>
          <w:lang w:eastAsia="x-none"/>
        </w:rPr>
        <w:t xml:space="preserve"> and the 2021-22 </w:t>
      </w:r>
      <w:r w:rsidR="00D20070">
        <w:rPr>
          <w:lang w:eastAsia="x-none"/>
        </w:rPr>
        <w:t>Industry, Science, Energy and Resources</w:t>
      </w:r>
      <w:r w:rsidR="00AE32BC" w:rsidRPr="00C602FB">
        <w:rPr>
          <w:lang w:eastAsia="x-none"/>
        </w:rPr>
        <w:t xml:space="preserve"> </w:t>
      </w:r>
      <w:r w:rsidR="00AE32BC">
        <w:rPr>
          <w:lang w:eastAsia="x-none"/>
        </w:rPr>
        <w:t>PB Statements for NAIF</w:t>
      </w:r>
      <w:r>
        <w:rPr>
          <w:lang w:eastAsia="x-none"/>
        </w:rPr>
        <w:t>.</w:t>
      </w:r>
    </w:p>
    <w:p w14:paraId="54584116" w14:textId="6C7997C2" w:rsidR="00F51DAC" w:rsidRDefault="00F51DAC" w:rsidP="002844F7">
      <w:pPr>
        <w:pStyle w:val="FigureHeading"/>
        <w:jc w:val="both"/>
      </w:pPr>
      <w:r>
        <w:br w:type="page"/>
      </w:r>
    </w:p>
    <w:p w14:paraId="568FC49E" w14:textId="0316510E" w:rsidR="00622F24" w:rsidRPr="00770C95" w:rsidRDefault="00622F24" w:rsidP="00622F24">
      <w:pPr>
        <w:keepNext/>
        <w:spacing w:after="120" w:line="240" w:lineRule="auto"/>
        <w:jc w:val="center"/>
        <w:rPr>
          <w:rFonts w:ascii="Arial" w:hAnsi="Arial"/>
          <w:b/>
        </w:rPr>
      </w:pPr>
      <w:r w:rsidRPr="00770C95">
        <w:rPr>
          <w:rFonts w:ascii="Arial" w:hAnsi="Arial"/>
          <w:b/>
        </w:rPr>
        <w:lastRenderedPageBreak/>
        <w:t xml:space="preserve">Figure 1: Infrastructure, Transport, Regional </w:t>
      </w:r>
      <w:r w:rsidR="00A00D08">
        <w:rPr>
          <w:rFonts w:ascii="Arial" w:hAnsi="Arial"/>
          <w:b/>
        </w:rPr>
        <w:t>Development and Communications P</w:t>
      </w:r>
      <w:r w:rsidRPr="00770C95">
        <w:rPr>
          <w:rFonts w:ascii="Arial" w:hAnsi="Arial"/>
          <w:b/>
        </w:rPr>
        <w:t>ortfolio structure and outcomes</w:t>
      </w:r>
    </w:p>
    <w:tbl>
      <w:tblPr>
        <w:tblStyle w:val="TableGrid"/>
        <w:tblW w:w="0" w:type="auto"/>
        <w:tblLook w:val="04A0" w:firstRow="1" w:lastRow="0" w:firstColumn="1" w:lastColumn="0" w:noHBand="0" w:noVBand="1"/>
      </w:tblPr>
      <w:tblGrid>
        <w:gridCol w:w="7700"/>
      </w:tblGrid>
      <w:tr w:rsidR="00622F24" w:rsidRPr="00770C95" w14:paraId="3815234B" w14:textId="77777777" w:rsidTr="00622F24">
        <w:tc>
          <w:tcPr>
            <w:tcW w:w="7700" w:type="dxa"/>
            <w:shd w:val="clear" w:color="auto" w:fill="F2F2F2" w:themeFill="background1" w:themeFillShade="F2"/>
          </w:tcPr>
          <w:p w14:paraId="6476BE02" w14:textId="5884E503" w:rsidR="00622F24" w:rsidRPr="00770C95" w:rsidRDefault="00065B37" w:rsidP="00622F24">
            <w:pPr>
              <w:spacing w:before="240" w:after="0"/>
              <w:jc w:val="center"/>
              <w:rPr>
                <w:b/>
              </w:rPr>
            </w:pPr>
            <w:r>
              <w:rPr>
                <w:b/>
              </w:rPr>
              <w:t>Deputy Prime Minister and</w:t>
            </w:r>
            <w:r w:rsidR="00622F24">
              <w:rPr>
                <w:b/>
              </w:rPr>
              <w:t xml:space="preserve"> </w:t>
            </w:r>
            <w:r w:rsidR="00622F24" w:rsidRPr="00770C95">
              <w:rPr>
                <w:b/>
              </w:rPr>
              <w:t>Minister for Infrastructure, Transport and Regional Development</w:t>
            </w:r>
          </w:p>
          <w:p w14:paraId="3A64400C" w14:textId="77777777" w:rsidR="00622F24" w:rsidRPr="00770C95" w:rsidRDefault="00622F24" w:rsidP="00622F24">
            <w:pPr>
              <w:spacing w:after="0"/>
              <w:jc w:val="center"/>
            </w:pPr>
            <w:r>
              <w:t>The Hon Barnaby Joyce</w:t>
            </w:r>
            <w:r w:rsidRPr="00770C95">
              <w:t xml:space="preserve"> MP</w:t>
            </w:r>
          </w:p>
          <w:p w14:paraId="32F9E6B9" w14:textId="77777777" w:rsidR="00622F24" w:rsidRPr="00770C95" w:rsidRDefault="00622F24" w:rsidP="00622F24">
            <w:pPr>
              <w:spacing w:after="0"/>
              <w:jc w:val="center"/>
            </w:pPr>
          </w:p>
        </w:tc>
      </w:tr>
    </w:tbl>
    <w:p w14:paraId="1DF7D727" w14:textId="012E5462" w:rsidR="00622F24" w:rsidRDefault="00622F24" w:rsidP="00622F24">
      <w:pPr>
        <w:spacing w:after="0" w:line="240" w:lineRule="auto"/>
        <w:rPr>
          <w:sz w:val="10"/>
          <w:szCs w:val="10"/>
        </w:rPr>
      </w:pPr>
    </w:p>
    <w:tbl>
      <w:tblPr>
        <w:tblStyle w:val="TableGrid"/>
        <w:tblpPr w:leftFromText="180" w:rightFromText="180" w:vertAnchor="text" w:horzAnchor="margin" w:tblpY="22"/>
        <w:tblW w:w="0" w:type="auto"/>
        <w:tblLook w:val="04A0" w:firstRow="1" w:lastRow="0" w:firstColumn="1" w:lastColumn="0" w:noHBand="0" w:noVBand="1"/>
      </w:tblPr>
      <w:tblGrid>
        <w:gridCol w:w="7700"/>
      </w:tblGrid>
      <w:tr w:rsidR="003B6DAE" w:rsidRPr="00770C95" w14:paraId="02CE9464" w14:textId="77777777" w:rsidTr="003B6DAE">
        <w:tc>
          <w:tcPr>
            <w:tcW w:w="7700" w:type="dxa"/>
            <w:shd w:val="clear" w:color="auto" w:fill="F2F2F2" w:themeFill="background1" w:themeFillShade="F2"/>
          </w:tcPr>
          <w:p w14:paraId="53AC627F" w14:textId="77777777" w:rsidR="003B6DAE" w:rsidRPr="00770C95" w:rsidRDefault="003B6DAE" w:rsidP="003B6DAE">
            <w:pPr>
              <w:spacing w:before="240" w:after="0"/>
              <w:jc w:val="center"/>
              <w:rPr>
                <w:b/>
              </w:rPr>
            </w:pPr>
            <w:r w:rsidRPr="00770C95">
              <w:rPr>
                <w:b/>
              </w:rPr>
              <w:t xml:space="preserve">Minister for </w:t>
            </w:r>
            <w:r>
              <w:rPr>
                <w:b/>
              </w:rPr>
              <w:t>Agriculture and Northern Australia</w:t>
            </w:r>
            <w:r w:rsidRPr="00770C95">
              <w:rPr>
                <w:b/>
              </w:rPr>
              <w:t xml:space="preserve"> </w:t>
            </w:r>
          </w:p>
          <w:p w14:paraId="174B856B" w14:textId="77777777" w:rsidR="003B6DAE" w:rsidRPr="00770C95" w:rsidRDefault="003B6DAE" w:rsidP="003B6DAE">
            <w:pPr>
              <w:spacing w:after="0"/>
              <w:jc w:val="center"/>
            </w:pPr>
            <w:r>
              <w:t xml:space="preserve">The Hon David </w:t>
            </w:r>
            <w:proofErr w:type="spellStart"/>
            <w:r>
              <w:t>Littleproud</w:t>
            </w:r>
            <w:proofErr w:type="spellEnd"/>
            <w:r>
              <w:t xml:space="preserve"> </w:t>
            </w:r>
            <w:r w:rsidRPr="00770C95">
              <w:t>MP</w:t>
            </w:r>
          </w:p>
          <w:p w14:paraId="474A2732" w14:textId="77777777" w:rsidR="003B6DAE" w:rsidRPr="00770C95" w:rsidRDefault="003B6DAE" w:rsidP="003B6DAE">
            <w:pPr>
              <w:spacing w:after="0"/>
            </w:pPr>
          </w:p>
        </w:tc>
      </w:tr>
    </w:tbl>
    <w:p w14:paraId="6967E49A" w14:textId="0CE9EE83" w:rsidR="003B6DAE" w:rsidRDefault="003B6DAE" w:rsidP="00622F24">
      <w:pPr>
        <w:spacing w:after="0" w:line="240" w:lineRule="auto"/>
        <w:rPr>
          <w:sz w:val="10"/>
          <w:szCs w:val="10"/>
        </w:rPr>
      </w:pPr>
    </w:p>
    <w:tbl>
      <w:tblPr>
        <w:tblStyle w:val="TableGrid"/>
        <w:tblW w:w="0" w:type="auto"/>
        <w:tblLook w:val="04A0" w:firstRow="1" w:lastRow="0" w:firstColumn="1" w:lastColumn="0" w:noHBand="0" w:noVBand="1"/>
      </w:tblPr>
      <w:tblGrid>
        <w:gridCol w:w="7700"/>
      </w:tblGrid>
      <w:tr w:rsidR="00622F24" w:rsidRPr="00770C95" w14:paraId="4B54344F" w14:textId="77777777" w:rsidTr="00622F24">
        <w:tc>
          <w:tcPr>
            <w:tcW w:w="7700" w:type="dxa"/>
            <w:shd w:val="clear" w:color="auto" w:fill="F2F2F2" w:themeFill="background1" w:themeFillShade="F2"/>
          </w:tcPr>
          <w:p w14:paraId="4805C404" w14:textId="77777777" w:rsidR="00622F24" w:rsidRDefault="00622F24" w:rsidP="00622F24">
            <w:pPr>
              <w:spacing w:before="240" w:after="0"/>
              <w:jc w:val="center"/>
              <w:rPr>
                <w:b/>
              </w:rPr>
            </w:pPr>
            <w:r w:rsidRPr="00910CBE">
              <w:rPr>
                <w:b/>
              </w:rPr>
              <w:t>Minister for Communications, Urban Infra</w:t>
            </w:r>
            <w:r>
              <w:rPr>
                <w:b/>
              </w:rPr>
              <w:t xml:space="preserve">structure, Cities and the Arts </w:t>
            </w:r>
          </w:p>
          <w:p w14:paraId="203DA6EB" w14:textId="77777777" w:rsidR="00622F24" w:rsidRDefault="00622F24" w:rsidP="00622F24">
            <w:pPr>
              <w:spacing w:after="0"/>
              <w:jc w:val="center"/>
            </w:pPr>
            <w:r w:rsidRPr="00910CBE">
              <w:t xml:space="preserve">The Hon Paul Fletcher </w:t>
            </w:r>
            <w:r>
              <w:t>MP</w:t>
            </w:r>
          </w:p>
          <w:p w14:paraId="78395A90" w14:textId="77777777" w:rsidR="00622F24" w:rsidRPr="00910CBE" w:rsidRDefault="00622F24" w:rsidP="00622F24">
            <w:pPr>
              <w:spacing w:after="0"/>
              <w:jc w:val="center"/>
            </w:pPr>
          </w:p>
        </w:tc>
      </w:tr>
    </w:tbl>
    <w:p w14:paraId="7867870C" w14:textId="77777777" w:rsidR="00622F24" w:rsidRPr="00770C95" w:rsidRDefault="00622F24" w:rsidP="00622F24">
      <w:pPr>
        <w:spacing w:after="0" w:line="240" w:lineRule="auto"/>
        <w:rPr>
          <w:sz w:val="10"/>
          <w:szCs w:val="10"/>
        </w:rPr>
      </w:pPr>
    </w:p>
    <w:tbl>
      <w:tblPr>
        <w:tblStyle w:val="TableGrid"/>
        <w:tblW w:w="0" w:type="auto"/>
        <w:tblLook w:val="04A0" w:firstRow="1" w:lastRow="0" w:firstColumn="1" w:lastColumn="0" w:noHBand="0" w:noVBand="1"/>
      </w:tblPr>
      <w:tblGrid>
        <w:gridCol w:w="7700"/>
      </w:tblGrid>
      <w:tr w:rsidR="00622F24" w:rsidRPr="00770C95" w14:paraId="135D7EBA" w14:textId="77777777" w:rsidTr="00622F24">
        <w:tc>
          <w:tcPr>
            <w:tcW w:w="7700" w:type="dxa"/>
            <w:shd w:val="clear" w:color="auto" w:fill="F2F2F2" w:themeFill="background1" w:themeFillShade="F2"/>
          </w:tcPr>
          <w:p w14:paraId="36B4DB16" w14:textId="77777777" w:rsidR="00622F24" w:rsidRPr="00910CBE" w:rsidRDefault="00622F24" w:rsidP="00622F24">
            <w:pPr>
              <w:spacing w:before="240" w:after="0"/>
              <w:jc w:val="center"/>
              <w:rPr>
                <w:b/>
              </w:rPr>
            </w:pPr>
            <w:r>
              <w:rPr>
                <w:b/>
              </w:rPr>
              <w:t>Minister for Regionalisation</w:t>
            </w:r>
            <w:r w:rsidRPr="00910CBE">
              <w:rPr>
                <w:b/>
              </w:rPr>
              <w:t xml:space="preserve">, </w:t>
            </w:r>
            <w:r>
              <w:rPr>
                <w:b/>
              </w:rPr>
              <w:t>Regional Communications and Regional Education</w:t>
            </w:r>
            <w:r w:rsidRPr="00910CBE">
              <w:rPr>
                <w:b/>
              </w:rPr>
              <w:t xml:space="preserve"> </w:t>
            </w:r>
          </w:p>
          <w:p w14:paraId="53459B0E" w14:textId="77777777" w:rsidR="00622F24" w:rsidRPr="00910CBE" w:rsidRDefault="00622F24" w:rsidP="00622F24">
            <w:pPr>
              <w:spacing w:after="0"/>
              <w:jc w:val="center"/>
            </w:pPr>
            <w:r w:rsidRPr="00910CBE">
              <w:t>Senator the Hon Bridget McKenzie</w:t>
            </w:r>
          </w:p>
          <w:p w14:paraId="305A4D8A" w14:textId="77777777" w:rsidR="00622F24" w:rsidRPr="00770C95" w:rsidRDefault="00622F24" w:rsidP="00622F24">
            <w:pPr>
              <w:spacing w:after="0"/>
              <w:jc w:val="center"/>
            </w:pPr>
          </w:p>
        </w:tc>
      </w:tr>
    </w:tbl>
    <w:p w14:paraId="04D36603" w14:textId="77777777" w:rsidR="00622F24" w:rsidRPr="00770C95" w:rsidRDefault="00622F24" w:rsidP="00622F24">
      <w:pPr>
        <w:keepNext/>
        <w:spacing w:after="0" w:line="240" w:lineRule="auto"/>
        <w:rPr>
          <w:rFonts w:ascii="Arial" w:hAnsi="Arial"/>
          <w:sz w:val="10"/>
          <w:szCs w:val="10"/>
        </w:rPr>
      </w:pPr>
    </w:p>
    <w:tbl>
      <w:tblPr>
        <w:tblStyle w:val="TableGrid"/>
        <w:tblW w:w="0" w:type="auto"/>
        <w:tblLook w:val="04A0" w:firstRow="1" w:lastRow="0" w:firstColumn="1" w:lastColumn="0" w:noHBand="0" w:noVBand="1"/>
      </w:tblPr>
      <w:tblGrid>
        <w:gridCol w:w="7700"/>
      </w:tblGrid>
      <w:tr w:rsidR="00622F24" w:rsidRPr="00770C95" w14:paraId="5BE56054" w14:textId="77777777" w:rsidTr="00622F24">
        <w:tc>
          <w:tcPr>
            <w:tcW w:w="7700" w:type="dxa"/>
            <w:shd w:val="clear" w:color="auto" w:fill="F2F2F2" w:themeFill="background1" w:themeFillShade="F2"/>
          </w:tcPr>
          <w:p w14:paraId="3CFD3CA9" w14:textId="77777777" w:rsidR="00622F24" w:rsidRPr="00770C95" w:rsidRDefault="00622F24" w:rsidP="00622F24">
            <w:pPr>
              <w:spacing w:before="240" w:after="0"/>
              <w:jc w:val="center"/>
              <w:rPr>
                <w:b/>
              </w:rPr>
            </w:pPr>
            <w:r w:rsidRPr="00770C95">
              <w:rPr>
                <w:b/>
              </w:rPr>
              <w:t>Assistant Minister for Road Safety and Freight Transport</w:t>
            </w:r>
          </w:p>
          <w:p w14:paraId="5A0CE261" w14:textId="77777777" w:rsidR="00622F24" w:rsidRPr="00770C95" w:rsidRDefault="00622F24" w:rsidP="00622F24">
            <w:pPr>
              <w:spacing w:after="0"/>
              <w:jc w:val="center"/>
            </w:pPr>
            <w:r w:rsidRPr="00770C95">
              <w:t>The Hon Scott Buchholz MP</w:t>
            </w:r>
          </w:p>
          <w:p w14:paraId="3B558BEA" w14:textId="77777777" w:rsidR="00622F24" w:rsidRPr="00770C95" w:rsidRDefault="00622F24" w:rsidP="00622F24">
            <w:pPr>
              <w:spacing w:after="0"/>
              <w:jc w:val="center"/>
            </w:pPr>
          </w:p>
        </w:tc>
      </w:tr>
    </w:tbl>
    <w:p w14:paraId="09AD6BEF" w14:textId="77777777" w:rsidR="00622F24" w:rsidRPr="00770C95" w:rsidRDefault="00622F24" w:rsidP="00622F24">
      <w:pPr>
        <w:keepNext/>
        <w:spacing w:after="0" w:line="240" w:lineRule="auto"/>
        <w:rPr>
          <w:rFonts w:ascii="Arial" w:hAnsi="Arial"/>
          <w:sz w:val="10"/>
          <w:szCs w:val="10"/>
        </w:rPr>
      </w:pPr>
    </w:p>
    <w:tbl>
      <w:tblPr>
        <w:tblStyle w:val="TableGrid"/>
        <w:tblW w:w="0" w:type="auto"/>
        <w:tblLook w:val="04A0" w:firstRow="1" w:lastRow="0" w:firstColumn="1" w:lastColumn="0" w:noHBand="0" w:noVBand="1"/>
      </w:tblPr>
      <w:tblGrid>
        <w:gridCol w:w="7700"/>
      </w:tblGrid>
      <w:tr w:rsidR="00622F24" w:rsidRPr="00770C95" w14:paraId="0A3D1DC9" w14:textId="77777777" w:rsidTr="00622F24">
        <w:tc>
          <w:tcPr>
            <w:tcW w:w="7700" w:type="dxa"/>
            <w:shd w:val="clear" w:color="auto" w:fill="F2F2F2" w:themeFill="background1" w:themeFillShade="F2"/>
          </w:tcPr>
          <w:p w14:paraId="1DE659D9" w14:textId="77777777" w:rsidR="00304684" w:rsidRPr="00770C95" w:rsidRDefault="00622F24" w:rsidP="00304684">
            <w:pPr>
              <w:spacing w:before="240" w:after="0"/>
              <w:jc w:val="center"/>
              <w:rPr>
                <w:b/>
              </w:rPr>
            </w:pPr>
            <w:r w:rsidRPr="00770C95">
              <w:rPr>
                <w:b/>
              </w:rPr>
              <w:t xml:space="preserve">Assistant Minister to the Deputy Prime Minister </w:t>
            </w:r>
            <w:r w:rsidR="00304684">
              <w:rPr>
                <w:b/>
              </w:rPr>
              <w:t>and Assistant Minister</w:t>
            </w:r>
            <w:r w:rsidR="00304684" w:rsidRPr="00770C95">
              <w:rPr>
                <w:b/>
              </w:rPr>
              <w:t xml:space="preserve"> </w:t>
            </w:r>
            <w:r w:rsidR="00304684">
              <w:rPr>
                <w:b/>
              </w:rPr>
              <w:t>for Local Government</w:t>
            </w:r>
            <w:r w:rsidR="00304684" w:rsidRPr="00770C95">
              <w:rPr>
                <w:b/>
              </w:rPr>
              <w:t xml:space="preserve"> </w:t>
            </w:r>
          </w:p>
          <w:p w14:paraId="23590B17" w14:textId="77777777" w:rsidR="00622F24" w:rsidRPr="00770C95" w:rsidRDefault="00622F24" w:rsidP="00622F24">
            <w:pPr>
              <w:spacing w:after="20"/>
              <w:jc w:val="center"/>
            </w:pPr>
            <w:r w:rsidRPr="00770C95">
              <w:t>The Hon Kevin Hogan MP</w:t>
            </w:r>
          </w:p>
          <w:p w14:paraId="2A0B2FFF" w14:textId="77777777" w:rsidR="00622F24" w:rsidRPr="00770C95" w:rsidRDefault="00622F24" w:rsidP="00622F24">
            <w:pPr>
              <w:spacing w:after="0"/>
              <w:jc w:val="center"/>
            </w:pPr>
          </w:p>
        </w:tc>
      </w:tr>
    </w:tbl>
    <w:p w14:paraId="74D7936B" w14:textId="6DC1FC92" w:rsidR="00622F24" w:rsidRPr="00770C95" w:rsidRDefault="00622F24" w:rsidP="00622F24">
      <w:pPr>
        <w:keepNext/>
        <w:spacing w:after="0" w:line="240" w:lineRule="auto"/>
        <w:rPr>
          <w:rFonts w:ascii="Arial" w:hAnsi="Arial"/>
          <w:sz w:val="10"/>
          <w:szCs w:val="10"/>
        </w:rPr>
      </w:pPr>
    </w:p>
    <w:tbl>
      <w:tblPr>
        <w:tblStyle w:val="TableGrid"/>
        <w:tblW w:w="0" w:type="auto"/>
        <w:tblLook w:val="04A0" w:firstRow="1" w:lastRow="0" w:firstColumn="1" w:lastColumn="0" w:noHBand="0" w:noVBand="1"/>
      </w:tblPr>
      <w:tblGrid>
        <w:gridCol w:w="7700"/>
      </w:tblGrid>
      <w:tr w:rsidR="00622F24" w:rsidRPr="00770C95" w14:paraId="3B953969" w14:textId="77777777" w:rsidTr="00622F24">
        <w:tc>
          <w:tcPr>
            <w:tcW w:w="7700" w:type="dxa"/>
            <w:shd w:val="clear" w:color="auto" w:fill="F2F2F2" w:themeFill="background1" w:themeFillShade="F2"/>
          </w:tcPr>
          <w:p w14:paraId="0D3F6643" w14:textId="77777777" w:rsidR="00622F24" w:rsidRPr="00770C95" w:rsidRDefault="00622F24" w:rsidP="00622F24">
            <w:pPr>
              <w:spacing w:before="240" w:after="0"/>
              <w:jc w:val="center"/>
              <w:rPr>
                <w:b/>
              </w:rPr>
            </w:pPr>
            <w:r w:rsidRPr="00770C95">
              <w:rPr>
                <w:b/>
              </w:rPr>
              <w:t xml:space="preserve">Assistant Minister for Regional Development and Territories </w:t>
            </w:r>
          </w:p>
          <w:p w14:paraId="5442CB84" w14:textId="77777777" w:rsidR="00622F24" w:rsidRPr="00770C95" w:rsidRDefault="00622F24" w:rsidP="00622F24">
            <w:pPr>
              <w:spacing w:after="0"/>
              <w:jc w:val="center"/>
            </w:pPr>
            <w:r w:rsidRPr="00770C95">
              <w:t>The Hon Nola Marino MP</w:t>
            </w:r>
          </w:p>
          <w:p w14:paraId="2186631E" w14:textId="77777777" w:rsidR="00622F24" w:rsidRPr="00770C95" w:rsidRDefault="00622F24" w:rsidP="00622F24">
            <w:pPr>
              <w:spacing w:after="0"/>
            </w:pPr>
          </w:p>
        </w:tc>
      </w:tr>
    </w:tbl>
    <w:p w14:paraId="66C83DDE" w14:textId="77777777" w:rsidR="00622F24" w:rsidRPr="00B91ABD" w:rsidRDefault="00622F24" w:rsidP="00622F24">
      <w:pPr>
        <w:spacing w:after="0" w:line="240" w:lineRule="auto"/>
        <w:rPr>
          <w:rFonts w:ascii="Arial" w:hAnsi="Arial"/>
          <w:sz w:val="10"/>
          <w:szCs w:val="10"/>
        </w:rPr>
      </w:pPr>
    </w:p>
    <w:p w14:paraId="6F33EA7A" w14:textId="77777777" w:rsidR="00ED0991" w:rsidRPr="00C602FB" w:rsidRDefault="00ED0991" w:rsidP="00ED0991">
      <w:pPr>
        <w:pStyle w:val="ChartGraphic"/>
        <w:jc w:val="both"/>
        <w:rPr>
          <w:sz w:val="10"/>
          <w:szCs w:val="10"/>
        </w:rPr>
      </w:pPr>
    </w:p>
    <w:p w14:paraId="35B74F8B" w14:textId="0874EA03" w:rsidR="00ED0991" w:rsidRDefault="00ED0991" w:rsidP="00ED0991">
      <w:pPr>
        <w:spacing w:after="0" w:line="240" w:lineRule="auto"/>
        <w:jc w:val="left"/>
        <w:rPr>
          <w:rFonts w:ascii="Arial" w:hAnsi="Arial"/>
        </w:rPr>
      </w:pPr>
      <w:r>
        <w:br w:type="page"/>
      </w:r>
    </w:p>
    <w:p w14:paraId="116276B5" w14:textId="7253632A" w:rsidR="00E4014C" w:rsidRPr="00770C95" w:rsidRDefault="00E4014C" w:rsidP="00E4014C">
      <w:pPr>
        <w:keepNext/>
        <w:spacing w:after="120" w:line="240" w:lineRule="auto"/>
        <w:jc w:val="center"/>
        <w:rPr>
          <w:rFonts w:ascii="Arial" w:hAnsi="Arial"/>
          <w:b/>
        </w:rPr>
      </w:pPr>
      <w:r w:rsidRPr="00770C95">
        <w:rPr>
          <w:rFonts w:ascii="Arial" w:hAnsi="Arial"/>
          <w:b/>
        </w:rPr>
        <w:lastRenderedPageBreak/>
        <w:t>Figure 1: Infrastructure, Transport, Regional Development</w:t>
      </w:r>
      <w:r w:rsidR="00A00D08">
        <w:rPr>
          <w:rFonts w:ascii="Arial" w:hAnsi="Arial"/>
          <w:b/>
        </w:rPr>
        <w:t xml:space="preserve"> and Communications P</w:t>
      </w:r>
      <w:r w:rsidRPr="00770C95">
        <w:rPr>
          <w:rFonts w:ascii="Arial" w:hAnsi="Arial"/>
          <w:b/>
        </w:rPr>
        <w:t>ortfolio structure and outcomes (continued)</w:t>
      </w:r>
    </w:p>
    <w:tbl>
      <w:tblPr>
        <w:tblStyle w:val="TableGrid"/>
        <w:tblW w:w="0" w:type="auto"/>
        <w:tblLook w:val="04A0" w:firstRow="1" w:lastRow="0" w:firstColumn="1" w:lastColumn="0" w:noHBand="0" w:noVBand="1"/>
      </w:tblPr>
      <w:tblGrid>
        <w:gridCol w:w="7700"/>
      </w:tblGrid>
      <w:tr w:rsidR="00E4014C" w:rsidRPr="00770C95" w14:paraId="615D1567" w14:textId="77777777" w:rsidTr="00024FB3">
        <w:trPr>
          <w:trHeight w:val="6357"/>
        </w:trPr>
        <w:tc>
          <w:tcPr>
            <w:tcW w:w="7700" w:type="dxa"/>
            <w:tcBorders>
              <w:bottom w:val="single" w:sz="4" w:space="0" w:color="auto"/>
            </w:tcBorders>
            <w:shd w:val="clear" w:color="auto" w:fill="auto"/>
          </w:tcPr>
          <w:p w14:paraId="0970AD43" w14:textId="74F6837D" w:rsidR="00E4014C" w:rsidRPr="00770C95" w:rsidRDefault="008863D9" w:rsidP="00024FB3">
            <w:pPr>
              <w:spacing w:before="40" w:after="40"/>
              <w:jc w:val="center"/>
              <w:rPr>
                <w:b/>
              </w:rPr>
            </w:pPr>
            <w:r>
              <w:rPr>
                <w:b/>
              </w:rPr>
              <w:t>Department</w:t>
            </w:r>
            <w:r w:rsidR="00E4014C" w:rsidRPr="00770C95">
              <w:rPr>
                <w:b/>
              </w:rPr>
              <w:t xml:space="preserve"> of Infrastructure, Transport, Regional Development and Communications</w:t>
            </w:r>
          </w:p>
          <w:p w14:paraId="42B39CF6" w14:textId="77777777" w:rsidR="00E4014C" w:rsidRPr="00770C95" w:rsidRDefault="00E4014C" w:rsidP="00024FB3">
            <w:pPr>
              <w:spacing w:before="40" w:after="40"/>
              <w:jc w:val="center"/>
              <w:rPr>
                <w:b/>
              </w:rPr>
            </w:pPr>
            <w:r w:rsidRPr="00E4014C">
              <w:t>Secretary: Mr Simon Atkinson</w:t>
            </w:r>
          </w:p>
          <w:p w14:paraId="7F9956FD" w14:textId="77777777" w:rsidR="00E4014C" w:rsidRPr="00770C95" w:rsidRDefault="00E4014C" w:rsidP="008B7A1A">
            <w:pPr>
              <w:spacing w:before="40" w:after="40"/>
              <w:jc w:val="left"/>
              <w:rPr>
                <w:b/>
              </w:rPr>
            </w:pPr>
            <w:r w:rsidRPr="00770C95">
              <w:rPr>
                <w:b/>
              </w:rPr>
              <w:t>Outcome 1:</w:t>
            </w:r>
          </w:p>
          <w:p w14:paraId="38AB2F02" w14:textId="77777777" w:rsidR="00E4014C" w:rsidRPr="00770C95" w:rsidRDefault="00E4014C" w:rsidP="008B7A1A">
            <w:pPr>
              <w:spacing w:before="40" w:after="40"/>
              <w:jc w:val="left"/>
            </w:pPr>
            <w:r w:rsidRPr="00770C95">
              <w:t>Improved infrastructure across Australia through investment in and coordination of transport and other infrastructure</w:t>
            </w:r>
          </w:p>
          <w:p w14:paraId="1A372663" w14:textId="77777777" w:rsidR="00E4014C" w:rsidRPr="00770C95" w:rsidRDefault="00E4014C" w:rsidP="008B7A1A">
            <w:pPr>
              <w:spacing w:before="40" w:after="40"/>
              <w:jc w:val="left"/>
              <w:rPr>
                <w:b/>
              </w:rPr>
            </w:pPr>
            <w:r w:rsidRPr="00770C95">
              <w:rPr>
                <w:b/>
              </w:rPr>
              <w:t>Outcome 2:</w:t>
            </w:r>
          </w:p>
          <w:p w14:paraId="50C86274" w14:textId="77777777" w:rsidR="00E4014C" w:rsidRPr="00770C95" w:rsidRDefault="00E4014C" w:rsidP="008B7A1A">
            <w:pPr>
              <w:spacing w:before="40" w:after="40"/>
              <w:jc w:val="left"/>
            </w:pPr>
            <w:r w:rsidRPr="00770C95">
              <w:t>An efficient, sustainable, competitive, safe and secure transport system for all transport users through regulation, financial assistance and safety investigations</w:t>
            </w:r>
          </w:p>
          <w:p w14:paraId="3275E8B6" w14:textId="77777777" w:rsidR="00E4014C" w:rsidRPr="00770C95" w:rsidRDefault="00E4014C" w:rsidP="008B7A1A">
            <w:pPr>
              <w:spacing w:before="40" w:after="40"/>
              <w:jc w:val="left"/>
              <w:rPr>
                <w:b/>
              </w:rPr>
            </w:pPr>
            <w:r w:rsidRPr="00770C95">
              <w:rPr>
                <w:b/>
              </w:rPr>
              <w:t>Outcome 3:</w:t>
            </w:r>
          </w:p>
          <w:p w14:paraId="706D6F85" w14:textId="5DD65A32" w:rsidR="00E4014C" w:rsidRPr="00770C95" w:rsidRDefault="00E4014C" w:rsidP="008B7A1A">
            <w:pPr>
              <w:spacing w:before="40" w:after="40"/>
              <w:jc w:val="left"/>
            </w:pPr>
            <w:r w:rsidRPr="00770C95">
              <w:t>Strengthening the sustainability, capacity and dive</w:t>
            </w:r>
            <w:r>
              <w:t xml:space="preserve">rsity of </w:t>
            </w:r>
            <w:r w:rsidR="00A66C67" w:rsidRPr="00DC15CD">
              <w:t>Australia’s</w:t>
            </w:r>
            <w:r w:rsidRPr="00A66C67">
              <w:t xml:space="preserve"> cities and regions</w:t>
            </w:r>
            <w:r w:rsidRPr="00770C95">
              <w:t xml:space="preserve"> including through facilitating local partnerships between all levels of government and local communities; through </w:t>
            </w:r>
            <w:r>
              <w:t>investment</w:t>
            </w:r>
            <w:r w:rsidRPr="00770C95">
              <w:t xml:space="preserve"> </w:t>
            </w:r>
            <w:r>
              <w:t>in water infrastructure and measures that stimulate economic growth; and providing grants and financial assistance</w:t>
            </w:r>
          </w:p>
          <w:p w14:paraId="315C469D" w14:textId="77777777" w:rsidR="00E4014C" w:rsidRPr="00770C95" w:rsidRDefault="00E4014C" w:rsidP="008B7A1A">
            <w:pPr>
              <w:spacing w:before="40" w:after="40"/>
              <w:jc w:val="left"/>
              <w:rPr>
                <w:b/>
              </w:rPr>
            </w:pPr>
            <w:r w:rsidRPr="00770C95">
              <w:rPr>
                <w:b/>
              </w:rPr>
              <w:t>Outcome 4:</w:t>
            </w:r>
          </w:p>
          <w:p w14:paraId="3C0DD445" w14:textId="77777777" w:rsidR="00E4014C" w:rsidRPr="00770C95" w:rsidRDefault="00E4014C" w:rsidP="008B7A1A">
            <w:pPr>
              <w:spacing w:before="40" w:after="40"/>
            </w:pPr>
            <w:r w:rsidRPr="00770C95">
              <w:t xml:space="preserve">Good governance </w:t>
            </w:r>
            <w:r>
              <w:t>and service delivery</w:t>
            </w:r>
            <w:r w:rsidRPr="00770C95">
              <w:t xml:space="preserve"> </w:t>
            </w:r>
            <w:r>
              <w:t xml:space="preserve">in </w:t>
            </w:r>
            <w:r w:rsidRPr="00770C95">
              <w:t xml:space="preserve">the Australian territories </w:t>
            </w:r>
            <w:r>
              <w:t xml:space="preserve">including </w:t>
            </w:r>
            <w:r w:rsidRPr="00770C95">
              <w:t xml:space="preserve">through the maintenance and improvement of the </w:t>
            </w:r>
            <w:r>
              <w:t xml:space="preserve">laws and services </w:t>
            </w:r>
            <w:r w:rsidRPr="00770C95">
              <w:t xml:space="preserve">for </w:t>
            </w:r>
            <w:r>
              <w:t>non-</w:t>
            </w:r>
            <w:r w:rsidRPr="00770C95">
              <w:t xml:space="preserve">self-governing territories, and </w:t>
            </w:r>
            <w:r>
              <w:t xml:space="preserve">the overarching legislative framework </w:t>
            </w:r>
            <w:r w:rsidRPr="00770C95">
              <w:t>for self-governing territories</w:t>
            </w:r>
          </w:p>
          <w:p w14:paraId="79952FBB" w14:textId="77777777" w:rsidR="00E4014C" w:rsidRPr="00770C95" w:rsidRDefault="00E4014C" w:rsidP="008B7A1A">
            <w:pPr>
              <w:spacing w:before="40" w:after="40"/>
              <w:jc w:val="left"/>
            </w:pPr>
            <w:r w:rsidRPr="00770C95">
              <w:rPr>
                <w:b/>
              </w:rPr>
              <w:t>Outcome 5:</w:t>
            </w:r>
          </w:p>
          <w:p w14:paraId="6B5522E0" w14:textId="77777777" w:rsidR="00E4014C" w:rsidRPr="00770C95" w:rsidRDefault="00E4014C" w:rsidP="008B7A1A">
            <w:pPr>
              <w:spacing w:before="40" w:after="40"/>
              <w:jc w:val="left"/>
            </w:pPr>
            <w:r w:rsidRPr="00770C95">
              <w:t xml:space="preserve">Promote an innovative and competitive communications sector, through policy development, advice and program delivery, so all Australians can realise the full potential of digital technologies and communications services </w:t>
            </w:r>
          </w:p>
          <w:p w14:paraId="3C27D4A6" w14:textId="77777777" w:rsidR="00E4014C" w:rsidRPr="00770C95" w:rsidRDefault="00E4014C" w:rsidP="008B7A1A">
            <w:pPr>
              <w:spacing w:before="40" w:after="40"/>
              <w:jc w:val="left"/>
            </w:pPr>
            <w:r w:rsidRPr="00770C95">
              <w:rPr>
                <w:b/>
              </w:rPr>
              <w:t>Outcome 6:</w:t>
            </w:r>
          </w:p>
          <w:p w14:paraId="5F15C616" w14:textId="77777777" w:rsidR="00E4014C" w:rsidRPr="00770C95" w:rsidRDefault="00E4014C" w:rsidP="008B7A1A">
            <w:pPr>
              <w:spacing w:before="40" w:after="40"/>
              <w:jc w:val="left"/>
            </w:pPr>
            <w:r w:rsidRPr="00770C95">
              <w:t>Participation in, and access to, Australia’s arts and culture through developing and supporting cultural expression</w:t>
            </w:r>
          </w:p>
        </w:tc>
      </w:tr>
    </w:tbl>
    <w:p w14:paraId="4B0B0156" w14:textId="77777777" w:rsidR="00E4014C" w:rsidRPr="00770C95" w:rsidRDefault="00E4014C" w:rsidP="00E4014C">
      <w:pPr>
        <w:keepNext/>
        <w:spacing w:after="0" w:line="240" w:lineRule="auto"/>
        <w:rPr>
          <w:sz w:val="12"/>
          <w:szCs w:val="12"/>
        </w:rPr>
      </w:pPr>
    </w:p>
    <w:tbl>
      <w:tblPr>
        <w:tblStyle w:val="TableGrid1"/>
        <w:tblW w:w="0" w:type="auto"/>
        <w:tblLook w:val="04A0" w:firstRow="1" w:lastRow="0" w:firstColumn="1" w:lastColumn="0" w:noHBand="0" w:noVBand="1"/>
      </w:tblPr>
      <w:tblGrid>
        <w:gridCol w:w="7700"/>
      </w:tblGrid>
      <w:tr w:rsidR="00E4014C" w:rsidRPr="00770C95" w14:paraId="58B940C4" w14:textId="77777777" w:rsidTr="00024FB3">
        <w:trPr>
          <w:trHeight w:val="971"/>
        </w:trPr>
        <w:tc>
          <w:tcPr>
            <w:tcW w:w="7700" w:type="dxa"/>
            <w:tcBorders>
              <w:bottom w:val="single" w:sz="4" w:space="0" w:color="auto"/>
            </w:tcBorders>
          </w:tcPr>
          <w:p w14:paraId="003F0FD2" w14:textId="77777777" w:rsidR="00E4014C" w:rsidRPr="00770C95" w:rsidRDefault="00E4014C" w:rsidP="00E4014C">
            <w:pPr>
              <w:spacing w:after="0"/>
              <w:jc w:val="center"/>
              <w:rPr>
                <w:b/>
                <w:sz w:val="20"/>
                <w:szCs w:val="20"/>
              </w:rPr>
            </w:pPr>
            <w:proofErr w:type="spellStart"/>
            <w:r w:rsidRPr="00770C95">
              <w:rPr>
                <w:b/>
                <w:sz w:val="20"/>
                <w:szCs w:val="20"/>
              </w:rPr>
              <w:t>Airservices</w:t>
            </w:r>
            <w:proofErr w:type="spellEnd"/>
            <w:r w:rsidRPr="00770C95">
              <w:rPr>
                <w:b/>
                <w:sz w:val="20"/>
                <w:szCs w:val="20"/>
              </w:rPr>
              <w:t xml:space="preserve"> Australia</w:t>
            </w:r>
          </w:p>
          <w:p w14:paraId="0E4E9B06" w14:textId="77777777" w:rsidR="00E4014C" w:rsidRPr="00E4014C" w:rsidRDefault="00E4014C" w:rsidP="00E4014C">
            <w:pPr>
              <w:spacing w:after="0"/>
              <w:jc w:val="center"/>
              <w:rPr>
                <w:sz w:val="20"/>
                <w:szCs w:val="20"/>
              </w:rPr>
            </w:pPr>
            <w:r w:rsidRPr="00E4014C">
              <w:rPr>
                <w:sz w:val="20"/>
                <w:szCs w:val="20"/>
              </w:rPr>
              <w:t>Chair: Mr John Weber</w:t>
            </w:r>
          </w:p>
          <w:p w14:paraId="789DDD57" w14:textId="77777777" w:rsidR="00E4014C" w:rsidRPr="00770C95" w:rsidRDefault="00E4014C" w:rsidP="00E4014C">
            <w:pPr>
              <w:spacing w:after="0"/>
              <w:jc w:val="center"/>
              <w:rPr>
                <w:b/>
                <w:sz w:val="20"/>
                <w:szCs w:val="20"/>
              </w:rPr>
            </w:pPr>
            <w:r w:rsidRPr="00E4014C">
              <w:rPr>
                <w:sz w:val="20"/>
                <w:szCs w:val="20"/>
              </w:rPr>
              <w:t xml:space="preserve">Chief Executive Officer: Mr Jason </w:t>
            </w:r>
            <w:proofErr w:type="spellStart"/>
            <w:r w:rsidRPr="00E4014C">
              <w:rPr>
                <w:sz w:val="20"/>
                <w:szCs w:val="20"/>
              </w:rPr>
              <w:t>Harfield</w:t>
            </w:r>
            <w:proofErr w:type="spellEnd"/>
          </w:p>
          <w:p w14:paraId="5B414899" w14:textId="77777777" w:rsidR="00E4014C" w:rsidRPr="00770C95" w:rsidRDefault="00E4014C" w:rsidP="008B7A1A">
            <w:pPr>
              <w:spacing w:after="0"/>
              <w:jc w:val="left"/>
              <w:rPr>
                <w:b/>
                <w:sz w:val="20"/>
                <w:szCs w:val="20"/>
              </w:rPr>
            </w:pPr>
            <w:r w:rsidRPr="00770C95">
              <w:rPr>
                <w:b/>
                <w:sz w:val="20"/>
                <w:szCs w:val="20"/>
              </w:rPr>
              <w:t xml:space="preserve">Mission: </w:t>
            </w:r>
          </w:p>
          <w:p w14:paraId="728AFA82" w14:textId="77777777" w:rsidR="00E4014C" w:rsidRPr="00770C95" w:rsidRDefault="00E4014C" w:rsidP="008B7A1A">
            <w:pPr>
              <w:spacing w:after="0"/>
              <w:jc w:val="left"/>
            </w:pPr>
            <w:r w:rsidRPr="00770C95">
              <w:rPr>
                <w:sz w:val="20"/>
                <w:szCs w:val="20"/>
              </w:rPr>
              <w:t>Provide air navigation and aviation rescue fire-fighting services for the aviation industry and community</w:t>
            </w:r>
            <w:r w:rsidRPr="00770C95">
              <w:rPr>
                <w:b/>
                <w:sz w:val="20"/>
                <w:szCs w:val="20"/>
              </w:rPr>
              <w:t xml:space="preserve"> </w:t>
            </w:r>
          </w:p>
        </w:tc>
      </w:tr>
    </w:tbl>
    <w:p w14:paraId="55F67CA3" w14:textId="77777777" w:rsidR="00E4014C" w:rsidRPr="00770C95" w:rsidRDefault="00E4014C" w:rsidP="00E4014C">
      <w:pPr>
        <w:keepNext/>
        <w:spacing w:after="0" w:line="240" w:lineRule="auto"/>
        <w:rPr>
          <w:sz w:val="12"/>
          <w:szCs w:val="12"/>
        </w:rPr>
      </w:pPr>
    </w:p>
    <w:tbl>
      <w:tblPr>
        <w:tblStyle w:val="TableGrid1"/>
        <w:tblW w:w="7714" w:type="dxa"/>
        <w:tblLook w:val="04A0" w:firstRow="1" w:lastRow="0" w:firstColumn="1" w:lastColumn="0" w:noHBand="0" w:noVBand="1"/>
      </w:tblPr>
      <w:tblGrid>
        <w:gridCol w:w="7714"/>
      </w:tblGrid>
      <w:tr w:rsidR="00E4014C" w:rsidRPr="00770C95" w14:paraId="7F6E6BB2" w14:textId="77777777" w:rsidTr="00E4014C">
        <w:trPr>
          <w:trHeight w:val="258"/>
        </w:trPr>
        <w:tc>
          <w:tcPr>
            <w:tcW w:w="7714" w:type="dxa"/>
            <w:tcBorders>
              <w:bottom w:val="single" w:sz="4" w:space="0" w:color="auto"/>
            </w:tcBorders>
          </w:tcPr>
          <w:p w14:paraId="6C186675" w14:textId="77777777" w:rsidR="00E4014C" w:rsidRPr="00770C95" w:rsidRDefault="00E4014C" w:rsidP="00E4014C">
            <w:pPr>
              <w:spacing w:after="0"/>
              <w:jc w:val="center"/>
              <w:rPr>
                <w:b/>
                <w:sz w:val="20"/>
                <w:szCs w:val="20"/>
              </w:rPr>
            </w:pPr>
            <w:r w:rsidRPr="00770C95">
              <w:rPr>
                <w:b/>
                <w:sz w:val="20"/>
                <w:szCs w:val="20"/>
              </w:rPr>
              <w:t xml:space="preserve">Australia Council </w:t>
            </w:r>
          </w:p>
          <w:p w14:paraId="7F1F9042" w14:textId="77777777" w:rsidR="00E4014C" w:rsidRPr="00E4014C" w:rsidRDefault="00E4014C" w:rsidP="00E4014C">
            <w:pPr>
              <w:spacing w:after="0"/>
              <w:jc w:val="center"/>
              <w:rPr>
                <w:sz w:val="20"/>
                <w:szCs w:val="20"/>
              </w:rPr>
            </w:pPr>
            <w:r w:rsidRPr="00E4014C">
              <w:rPr>
                <w:sz w:val="20"/>
                <w:szCs w:val="20"/>
              </w:rPr>
              <w:t>Chair: Mr Robert Morgan</w:t>
            </w:r>
          </w:p>
          <w:p w14:paraId="78EE3A9F" w14:textId="77777777" w:rsidR="00E4014C" w:rsidRPr="00770C95" w:rsidRDefault="00E4014C" w:rsidP="00E4014C">
            <w:pPr>
              <w:spacing w:after="0"/>
              <w:jc w:val="center"/>
              <w:rPr>
                <w:b/>
                <w:sz w:val="20"/>
                <w:szCs w:val="20"/>
              </w:rPr>
            </w:pPr>
            <w:r w:rsidRPr="00E4014C">
              <w:rPr>
                <w:sz w:val="20"/>
                <w:szCs w:val="20"/>
              </w:rPr>
              <w:t>Chief Executive Officer: Mr Adrian Collette AM</w:t>
            </w:r>
          </w:p>
          <w:p w14:paraId="664BCF55" w14:textId="77777777" w:rsidR="00E4014C" w:rsidRPr="00770C95" w:rsidRDefault="00E4014C" w:rsidP="00E4014C">
            <w:pPr>
              <w:spacing w:after="0"/>
              <w:rPr>
                <w:b/>
                <w:sz w:val="20"/>
                <w:szCs w:val="20"/>
              </w:rPr>
            </w:pPr>
            <w:r w:rsidRPr="00770C95">
              <w:rPr>
                <w:b/>
                <w:sz w:val="20"/>
                <w:szCs w:val="20"/>
              </w:rPr>
              <w:t xml:space="preserve">Outcome 1: </w:t>
            </w:r>
          </w:p>
          <w:p w14:paraId="055DED8A" w14:textId="77777777" w:rsidR="00E4014C" w:rsidRPr="00770C95" w:rsidRDefault="00E4014C" w:rsidP="00E4014C">
            <w:pPr>
              <w:spacing w:after="0"/>
            </w:pPr>
            <w:r w:rsidRPr="00770C95">
              <w:rPr>
                <w:sz w:val="20"/>
                <w:szCs w:val="20"/>
              </w:rPr>
              <w:t>Supporting Australian artists and arts organisations to create and present excellent art that is accessed by audiences across Australia and abroad</w:t>
            </w:r>
            <w:r w:rsidRPr="00770C95">
              <w:rPr>
                <w:b/>
                <w:sz w:val="20"/>
                <w:szCs w:val="20"/>
              </w:rPr>
              <w:t xml:space="preserve"> </w:t>
            </w:r>
          </w:p>
        </w:tc>
      </w:tr>
    </w:tbl>
    <w:p w14:paraId="7D42286C" w14:textId="0104CD8C" w:rsidR="00ED0991" w:rsidRPr="00C602FB" w:rsidRDefault="00ED0991" w:rsidP="00ED0991">
      <w:pPr>
        <w:pStyle w:val="FigureHeading"/>
      </w:pPr>
      <w:r w:rsidRPr="00C602FB">
        <w:lastRenderedPageBreak/>
        <w:t xml:space="preserve">Figure 1: Infrastructure, Transport, Regional </w:t>
      </w:r>
      <w:r w:rsidR="00A00D08">
        <w:t>Development and Communications P</w:t>
      </w:r>
      <w:r w:rsidRPr="00C602FB">
        <w:t>ortfolio structure and outcomes (continued)</w:t>
      </w:r>
    </w:p>
    <w:tbl>
      <w:tblPr>
        <w:tblStyle w:val="TableGrid1"/>
        <w:tblW w:w="0" w:type="auto"/>
        <w:tblLook w:val="04A0" w:firstRow="1" w:lastRow="0" w:firstColumn="1" w:lastColumn="0" w:noHBand="0" w:noVBand="1"/>
      </w:tblPr>
      <w:tblGrid>
        <w:gridCol w:w="7700"/>
      </w:tblGrid>
      <w:tr w:rsidR="00ED0991" w:rsidRPr="00C602FB" w14:paraId="5A5E3BAA" w14:textId="77777777" w:rsidTr="00ED0991">
        <w:trPr>
          <w:trHeight w:val="971"/>
        </w:trPr>
        <w:tc>
          <w:tcPr>
            <w:tcW w:w="7700" w:type="dxa"/>
            <w:tcBorders>
              <w:bottom w:val="single" w:sz="4" w:space="0" w:color="auto"/>
            </w:tcBorders>
          </w:tcPr>
          <w:p w14:paraId="6E15A3F4" w14:textId="77777777" w:rsidR="00ED0991" w:rsidRPr="00C602FB" w:rsidRDefault="00ED0991" w:rsidP="00ED0991">
            <w:pPr>
              <w:spacing w:after="0" w:line="240" w:lineRule="auto"/>
              <w:jc w:val="center"/>
              <w:rPr>
                <w:b/>
                <w:sz w:val="20"/>
                <w:szCs w:val="20"/>
              </w:rPr>
            </w:pPr>
            <w:r w:rsidRPr="00C602FB">
              <w:rPr>
                <w:b/>
                <w:sz w:val="20"/>
                <w:szCs w:val="20"/>
              </w:rPr>
              <w:t>Australian Broadcasting Corporation</w:t>
            </w:r>
          </w:p>
          <w:p w14:paraId="4F3FB70F" w14:textId="54E53BBD" w:rsidR="00ED0991" w:rsidRPr="00C602FB" w:rsidRDefault="00ED0991" w:rsidP="00ED0991">
            <w:pPr>
              <w:spacing w:after="0" w:line="240" w:lineRule="auto"/>
              <w:jc w:val="center"/>
              <w:rPr>
                <w:sz w:val="20"/>
                <w:szCs w:val="20"/>
              </w:rPr>
            </w:pPr>
            <w:r w:rsidRPr="00C602FB">
              <w:rPr>
                <w:sz w:val="20"/>
                <w:szCs w:val="20"/>
              </w:rPr>
              <w:t>Non-Executive Director and</w:t>
            </w:r>
            <w:r>
              <w:rPr>
                <w:sz w:val="20"/>
                <w:szCs w:val="20"/>
              </w:rPr>
              <w:t xml:space="preserve"> Chair: Ms </w:t>
            </w:r>
            <w:proofErr w:type="spellStart"/>
            <w:r>
              <w:rPr>
                <w:sz w:val="20"/>
                <w:szCs w:val="20"/>
              </w:rPr>
              <w:t>Ita</w:t>
            </w:r>
            <w:proofErr w:type="spellEnd"/>
            <w:r>
              <w:rPr>
                <w:sz w:val="20"/>
                <w:szCs w:val="20"/>
              </w:rPr>
              <w:t xml:space="preserve"> </w:t>
            </w:r>
            <w:proofErr w:type="spellStart"/>
            <w:r>
              <w:rPr>
                <w:sz w:val="20"/>
                <w:szCs w:val="20"/>
              </w:rPr>
              <w:t>Buttrose</w:t>
            </w:r>
            <w:proofErr w:type="spellEnd"/>
            <w:r>
              <w:rPr>
                <w:sz w:val="20"/>
                <w:szCs w:val="20"/>
              </w:rPr>
              <w:t xml:space="preserve"> AO</w:t>
            </w:r>
            <w:r w:rsidRPr="00C602FB">
              <w:rPr>
                <w:sz w:val="20"/>
                <w:szCs w:val="20"/>
              </w:rPr>
              <w:t xml:space="preserve"> OBE</w:t>
            </w:r>
          </w:p>
          <w:p w14:paraId="5A5E982F" w14:textId="77777777" w:rsidR="00ED0991" w:rsidRPr="00C602FB" w:rsidRDefault="00ED0991" w:rsidP="00ED0991">
            <w:pPr>
              <w:spacing w:after="0" w:line="240" w:lineRule="auto"/>
              <w:jc w:val="center"/>
              <w:rPr>
                <w:b/>
                <w:sz w:val="20"/>
                <w:szCs w:val="20"/>
              </w:rPr>
            </w:pPr>
            <w:r w:rsidRPr="00C602FB">
              <w:rPr>
                <w:sz w:val="20"/>
                <w:szCs w:val="20"/>
              </w:rPr>
              <w:t>Managing Director: Mr David Anderson</w:t>
            </w:r>
          </w:p>
          <w:p w14:paraId="7A0125D4" w14:textId="77777777" w:rsidR="00ED0991" w:rsidRPr="00C602FB" w:rsidRDefault="00ED0991" w:rsidP="00ED0991">
            <w:pPr>
              <w:spacing w:after="0" w:line="240" w:lineRule="auto"/>
              <w:jc w:val="left"/>
              <w:rPr>
                <w:b/>
                <w:sz w:val="20"/>
                <w:szCs w:val="20"/>
              </w:rPr>
            </w:pPr>
            <w:r w:rsidRPr="00C602FB">
              <w:rPr>
                <w:b/>
                <w:sz w:val="20"/>
                <w:szCs w:val="20"/>
              </w:rPr>
              <w:t xml:space="preserve">Outcome 1: </w:t>
            </w:r>
          </w:p>
          <w:p w14:paraId="19151F4B" w14:textId="77777777" w:rsidR="00ED0991" w:rsidRPr="00C602FB" w:rsidRDefault="00ED0991" w:rsidP="00ED0991">
            <w:pPr>
              <w:spacing w:after="40" w:line="240" w:lineRule="auto"/>
              <w:jc w:val="left"/>
            </w:pPr>
            <w:r w:rsidRPr="00C602FB">
              <w:rPr>
                <w:sz w:val="20"/>
                <w:szCs w:val="20"/>
              </w:rPr>
              <w:t>Informed, educated and entertained audiences—throughout Australia and overseas—through innovative and comprehensive media and related services</w:t>
            </w:r>
          </w:p>
        </w:tc>
      </w:tr>
    </w:tbl>
    <w:p w14:paraId="6C23C42B" w14:textId="77777777" w:rsidR="00ED0991" w:rsidRPr="00C602FB" w:rsidRDefault="00ED0991" w:rsidP="00ED0991">
      <w:pPr>
        <w:spacing w:after="0" w:line="240" w:lineRule="auto"/>
        <w:rPr>
          <w:sz w:val="12"/>
          <w:szCs w:val="12"/>
        </w:rPr>
      </w:pPr>
    </w:p>
    <w:tbl>
      <w:tblPr>
        <w:tblStyle w:val="TableGrid2"/>
        <w:tblW w:w="0" w:type="auto"/>
        <w:tblLook w:val="04A0" w:firstRow="1" w:lastRow="0" w:firstColumn="1" w:lastColumn="0" w:noHBand="0" w:noVBand="1"/>
      </w:tblPr>
      <w:tblGrid>
        <w:gridCol w:w="7700"/>
      </w:tblGrid>
      <w:tr w:rsidR="00ED0991" w:rsidRPr="00C602FB" w14:paraId="6E3EF3CC" w14:textId="77777777" w:rsidTr="00ED0991">
        <w:trPr>
          <w:trHeight w:val="853"/>
        </w:trPr>
        <w:tc>
          <w:tcPr>
            <w:tcW w:w="7700" w:type="dxa"/>
            <w:tcBorders>
              <w:bottom w:val="single" w:sz="4" w:space="0" w:color="auto"/>
            </w:tcBorders>
          </w:tcPr>
          <w:p w14:paraId="3329968A" w14:textId="77777777" w:rsidR="00ED0991" w:rsidRPr="00C602FB" w:rsidRDefault="00ED0991" w:rsidP="00ED0991">
            <w:pPr>
              <w:spacing w:after="0" w:line="240" w:lineRule="auto"/>
              <w:jc w:val="center"/>
              <w:rPr>
                <w:b/>
                <w:sz w:val="20"/>
                <w:szCs w:val="20"/>
              </w:rPr>
            </w:pPr>
            <w:r w:rsidRPr="00C602FB">
              <w:rPr>
                <w:b/>
                <w:sz w:val="20"/>
                <w:szCs w:val="20"/>
              </w:rPr>
              <w:t>Australian Communications and Media Authority</w:t>
            </w:r>
          </w:p>
          <w:p w14:paraId="5D80FBC8" w14:textId="77777777" w:rsidR="00ED0991" w:rsidRPr="00C602FB" w:rsidRDefault="00ED0991" w:rsidP="00ED0991">
            <w:pPr>
              <w:spacing w:after="0" w:line="240" w:lineRule="auto"/>
              <w:jc w:val="center"/>
              <w:rPr>
                <w:sz w:val="20"/>
                <w:szCs w:val="20"/>
              </w:rPr>
            </w:pPr>
            <w:r w:rsidRPr="00C602FB">
              <w:rPr>
                <w:sz w:val="20"/>
                <w:szCs w:val="20"/>
              </w:rPr>
              <w:t xml:space="preserve">Chair and Agency Head: Ms </w:t>
            </w:r>
            <w:proofErr w:type="spellStart"/>
            <w:r w:rsidRPr="00C602FB">
              <w:rPr>
                <w:sz w:val="20"/>
                <w:szCs w:val="20"/>
              </w:rPr>
              <w:t>Nerida</w:t>
            </w:r>
            <w:proofErr w:type="spellEnd"/>
            <w:r w:rsidRPr="00C602FB">
              <w:rPr>
                <w:sz w:val="20"/>
                <w:szCs w:val="20"/>
              </w:rPr>
              <w:t xml:space="preserve"> O’Loughlin PSM</w:t>
            </w:r>
          </w:p>
          <w:p w14:paraId="384804B8" w14:textId="77777777" w:rsidR="00ED0991" w:rsidRPr="00C602FB" w:rsidRDefault="00ED0991" w:rsidP="00ED0991">
            <w:pPr>
              <w:spacing w:after="0" w:line="240" w:lineRule="auto"/>
              <w:jc w:val="center"/>
              <w:rPr>
                <w:b/>
                <w:sz w:val="20"/>
                <w:szCs w:val="20"/>
              </w:rPr>
            </w:pPr>
            <w:r w:rsidRPr="00C602FB">
              <w:rPr>
                <w:sz w:val="20"/>
                <w:szCs w:val="20"/>
              </w:rPr>
              <w:t xml:space="preserve">Deputy Chair and Chief Executive Officer: Ms </w:t>
            </w:r>
            <w:proofErr w:type="spellStart"/>
            <w:r w:rsidRPr="00C602FB">
              <w:rPr>
                <w:sz w:val="20"/>
                <w:szCs w:val="20"/>
              </w:rPr>
              <w:t>Creina</w:t>
            </w:r>
            <w:proofErr w:type="spellEnd"/>
            <w:r w:rsidRPr="00C602FB">
              <w:rPr>
                <w:sz w:val="20"/>
                <w:szCs w:val="20"/>
              </w:rPr>
              <w:t xml:space="preserve"> Chapman</w:t>
            </w:r>
          </w:p>
          <w:p w14:paraId="3DE9D13F" w14:textId="77777777" w:rsidR="00ED0991" w:rsidRPr="00C602FB" w:rsidRDefault="00ED0991" w:rsidP="00ED0991">
            <w:pPr>
              <w:spacing w:after="0" w:line="240" w:lineRule="auto"/>
              <w:jc w:val="left"/>
              <w:rPr>
                <w:b/>
                <w:sz w:val="20"/>
                <w:szCs w:val="20"/>
              </w:rPr>
            </w:pPr>
            <w:r w:rsidRPr="00C602FB">
              <w:rPr>
                <w:b/>
                <w:sz w:val="20"/>
                <w:szCs w:val="20"/>
              </w:rPr>
              <w:t xml:space="preserve">Outcome 1: </w:t>
            </w:r>
          </w:p>
          <w:p w14:paraId="4E0D45E3" w14:textId="77777777" w:rsidR="00ED0991" w:rsidRPr="00C602FB" w:rsidRDefault="00ED0991" w:rsidP="00ED0991">
            <w:pPr>
              <w:spacing w:after="40" w:line="240" w:lineRule="auto"/>
              <w:jc w:val="left"/>
            </w:pPr>
            <w:r w:rsidRPr="00C602FB">
              <w:rPr>
                <w:sz w:val="20"/>
                <w:szCs w:val="20"/>
              </w:rPr>
              <w:t>A communications and media environment that balances the needs of the industry and the Australian community through regulation, education and advice</w:t>
            </w:r>
          </w:p>
        </w:tc>
      </w:tr>
    </w:tbl>
    <w:p w14:paraId="001BCD41" w14:textId="77777777" w:rsidR="00ED0991" w:rsidRPr="00C602FB" w:rsidRDefault="00ED0991" w:rsidP="00ED0991">
      <w:pPr>
        <w:spacing w:after="0" w:line="240" w:lineRule="auto"/>
        <w:jc w:val="left"/>
        <w:rPr>
          <w:rFonts w:eastAsiaTheme="minorEastAsia"/>
          <w:sz w:val="12"/>
          <w:szCs w:val="12"/>
          <w:lang w:eastAsia="en-US"/>
        </w:rPr>
      </w:pPr>
    </w:p>
    <w:tbl>
      <w:tblPr>
        <w:tblStyle w:val="TableGrid2"/>
        <w:tblW w:w="0" w:type="auto"/>
        <w:tblLook w:val="04A0" w:firstRow="1" w:lastRow="0" w:firstColumn="1" w:lastColumn="0" w:noHBand="0" w:noVBand="1"/>
      </w:tblPr>
      <w:tblGrid>
        <w:gridCol w:w="7700"/>
      </w:tblGrid>
      <w:tr w:rsidR="00ED0991" w:rsidRPr="00C602FB" w14:paraId="17A814F0" w14:textId="77777777" w:rsidTr="00ED0991">
        <w:trPr>
          <w:trHeight w:val="1287"/>
        </w:trPr>
        <w:tc>
          <w:tcPr>
            <w:tcW w:w="7700" w:type="dxa"/>
            <w:tcBorders>
              <w:bottom w:val="single" w:sz="4" w:space="0" w:color="auto"/>
            </w:tcBorders>
          </w:tcPr>
          <w:p w14:paraId="459DD8B5" w14:textId="77777777" w:rsidR="00ED0991" w:rsidRPr="00C602FB" w:rsidRDefault="00ED0991" w:rsidP="00ED0991">
            <w:pPr>
              <w:spacing w:after="0" w:line="240" w:lineRule="auto"/>
              <w:jc w:val="center"/>
              <w:rPr>
                <w:b/>
                <w:sz w:val="20"/>
                <w:szCs w:val="20"/>
              </w:rPr>
            </w:pPr>
            <w:r w:rsidRPr="00C602FB">
              <w:rPr>
                <w:b/>
                <w:sz w:val="20"/>
                <w:szCs w:val="20"/>
              </w:rPr>
              <w:t>Australian Film, Television and Radio School</w:t>
            </w:r>
          </w:p>
          <w:p w14:paraId="538F6408" w14:textId="77777777" w:rsidR="00ED0991" w:rsidRPr="00C602FB" w:rsidRDefault="00ED0991" w:rsidP="00ED0991">
            <w:pPr>
              <w:spacing w:after="0" w:line="240" w:lineRule="auto"/>
              <w:jc w:val="center"/>
              <w:rPr>
                <w:sz w:val="20"/>
                <w:szCs w:val="20"/>
              </w:rPr>
            </w:pPr>
            <w:r w:rsidRPr="00C602FB">
              <w:rPr>
                <w:sz w:val="20"/>
                <w:szCs w:val="20"/>
              </w:rPr>
              <w:t xml:space="preserve">Chair and Member: Mr Russel </w:t>
            </w:r>
            <w:proofErr w:type="spellStart"/>
            <w:r w:rsidRPr="00C602FB">
              <w:rPr>
                <w:sz w:val="20"/>
                <w:szCs w:val="20"/>
              </w:rPr>
              <w:t>Howcroft</w:t>
            </w:r>
            <w:proofErr w:type="spellEnd"/>
          </w:p>
          <w:p w14:paraId="3EFD6BAF" w14:textId="2CFCCBB4" w:rsidR="00ED0991" w:rsidRPr="00C602FB" w:rsidRDefault="00ED0991" w:rsidP="00ED0991">
            <w:pPr>
              <w:spacing w:after="0" w:line="240" w:lineRule="auto"/>
              <w:jc w:val="center"/>
              <w:rPr>
                <w:b/>
                <w:sz w:val="20"/>
                <w:szCs w:val="20"/>
              </w:rPr>
            </w:pPr>
            <w:r w:rsidRPr="00C602FB">
              <w:rPr>
                <w:sz w:val="20"/>
                <w:szCs w:val="20"/>
              </w:rPr>
              <w:t xml:space="preserve">Director:  </w:t>
            </w:r>
            <w:r w:rsidR="00065B37">
              <w:rPr>
                <w:sz w:val="20"/>
                <w:szCs w:val="20"/>
              </w:rPr>
              <w:t>D</w:t>
            </w:r>
            <w:r w:rsidRPr="00C602FB">
              <w:rPr>
                <w:sz w:val="20"/>
                <w:szCs w:val="20"/>
              </w:rPr>
              <w:t>r Nell Greenwood</w:t>
            </w:r>
          </w:p>
          <w:p w14:paraId="1B18FE2E" w14:textId="77777777" w:rsidR="00ED0991" w:rsidRPr="00C602FB" w:rsidRDefault="00ED0991" w:rsidP="00ED0991">
            <w:pPr>
              <w:spacing w:after="0" w:line="240" w:lineRule="auto"/>
              <w:jc w:val="left"/>
              <w:rPr>
                <w:b/>
                <w:sz w:val="20"/>
                <w:szCs w:val="20"/>
              </w:rPr>
            </w:pPr>
            <w:r w:rsidRPr="00C602FB">
              <w:rPr>
                <w:b/>
                <w:sz w:val="20"/>
                <w:szCs w:val="20"/>
              </w:rPr>
              <w:t xml:space="preserve">Outcome 1: </w:t>
            </w:r>
          </w:p>
          <w:p w14:paraId="28DBE9E1" w14:textId="77777777" w:rsidR="00ED0991" w:rsidRPr="00C602FB" w:rsidRDefault="00ED0991" w:rsidP="00ED0991">
            <w:pPr>
              <w:spacing w:after="40" w:line="240" w:lineRule="auto"/>
              <w:jc w:val="left"/>
            </w:pPr>
            <w:r w:rsidRPr="00C602FB">
              <w:rPr>
                <w:sz w:val="20"/>
                <w:szCs w:val="20"/>
              </w:rPr>
              <w:t>Support the development of a professional screen arts and broadcast culture in Australia including thro</w:t>
            </w:r>
            <w:bookmarkStart w:id="88" w:name="_GoBack"/>
            <w:bookmarkEnd w:id="88"/>
            <w:r w:rsidRPr="00C602FB">
              <w:rPr>
                <w:sz w:val="20"/>
                <w:szCs w:val="20"/>
              </w:rPr>
              <w:t>ugh the provision of specialist industry-focused education, training and research</w:t>
            </w:r>
          </w:p>
        </w:tc>
      </w:tr>
    </w:tbl>
    <w:p w14:paraId="2637F782" w14:textId="77777777" w:rsidR="00ED0991" w:rsidRPr="00C602FB" w:rsidRDefault="00ED0991" w:rsidP="00ED0991">
      <w:pPr>
        <w:spacing w:after="0" w:line="240" w:lineRule="auto"/>
        <w:jc w:val="left"/>
        <w:rPr>
          <w:rFonts w:eastAsiaTheme="minorEastAsia"/>
          <w:sz w:val="12"/>
          <w:szCs w:val="12"/>
          <w:lang w:eastAsia="en-US"/>
        </w:rPr>
      </w:pPr>
    </w:p>
    <w:tbl>
      <w:tblPr>
        <w:tblStyle w:val="TableGrid2"/>
        <w:tblW w:w="0" w:type="auto"/>
        <w:tblLook w:val="04A0" w:firstRow="1" w:lastRow="0" w:firstColumn="1" w:lastColumn="0" w:noHBand="0" w:noVBand="1"/>
      </w:tblPr>
      <w:tblGrid>
        <w:gridCol w:w="7700"/>
      </w:tblGrid>
      <w:tr w:rsidR="00ED0991" w:rsidRPr="00C602FB" w14:paraId="0B18E906" w14:textId="77777777" w:rsidTr="00ED0991">
        <w:trPr>
          <w:trHeight w:val="1613"/>
        </w:trPr>
        <w:tc>
          <w:tcPr>
            <w:tcW w:w="7700" w:type="dxa"/>
            <w:tcBorders>
              <w:bottom w:val="single" w:sz="4" w:space="0" w:color="auto"/>
            </w:tcBorders>
          </w:tcPr>
          <w:p w14:paraId="4C1EF22B" w14:textId="77777777" w:rsidR="00ED0991" w:rsidRPr="00C602FB" w:rsidRDefault="00ED0991" w:rsidP="00ED0991">
            <w:pPr>
              <w:spacing w:after="0" w:line="240" w:lineRule="auto"/>
              <w:jc w:val="center"/>
              <w:rPr>
                <w:b/>
                <w:sz w:val="20"/>
                <w:szCs w:val="20"/>
              </w:rPr>
            </w:pPr>
            <w:r w:rsidRPr="00C602FB">
              <w:rPr>
                <w:b/>
                <w:sz w:val="20"/>
                <w:szCs w:val="20"/>
              </w:rPr>
              <w:t>Australian Maritime Safety Authority</w:t>
            </w:r>
          </w:p>
          <w:p w14:paraId="5A3D4173" w14:textId="77777777" w:rsidR="00ED0991" w:rsidRPr="00C602FB" w:rsidRDefault="00ED0991" w:rsidP="00ED0991">
            <w:pPr>
              <w:spacing w:after="0" w:line="240" w:lineRule="auto"/>
              <w:jc w:val="center"/>
              <w:rPr>
                <w:sz w:val="20"/>
                <w:szCs w:val="20"/>
              </w:rPr>
            </w:pPr>
            <w:r w:rsidRPr="00C602FB">
              <w:rPr>
                <w:sz w:val="20"/>
                <w:szCs w:val="20"/>
              </w:rPr>
              <w:t>Chair: Mr Stuart Richey AM</w:t>
            </w:r>
          </w:p>
          <w:p w14:paraId="7B04ACD8" w14:textId="77777777" w:rsidR="00ED0991" w:rsidRPr="00C602FB" w:rsidRDefault="00ED0991" w:rsidP="00ED0991">
            <w:pPr>
              <w:spacing w:after="0" w:line="240" w:lineRule="auto"/>
              <w:jc w:val="center"/>
              <w:rPr>
                <w:b/>
                <w:sz w:val="20"/>
                <w:szCs w:val="20"/>
              </w:rPr>
            </w:pPr>
            <w:r w:rsidRPr="00C602FB">
              <w:rPr>
                <w:sz w:val="20"/>
                <w:szCs w:val="20"/>
              </w:rPr>
              <w:t>Chief Executive Officer: Mr Mick Kinley</w:t>
            </w:r>
          </w:p>
          <w:p w14:paraId="7D67D306" w14:textId="77777777" w:rsidR="00ED0991" w:rsidRPr="00C602FB" w:rsidRDefault="00ED0991" w:rsidP="00ED0991">
            <w:pPr>
              <w:spacing w:after="0" w:line="240" w:lineRule="auto"/>
              <w:jc w:val="left"/>
              <w:rPr>
                <w:b/>
                <w:sz w:val="20"/>
                <w:szCs w:val="20"/>
              </w:rPr>
            </w:pPr>
            <w:r w:rsidRPr="00C602FB">
              <w:rPr>
                <w:b/>
                <w:sz w:val="20"/>
                <w:szCs w:val="20"/>
              </w:rPr>
              <w:t xml:space="preserve">Outcome 1: </w:t>
            </w:r>
          </w:p>
          <w:p w14:paraId="1317976D" w14:textId="77777777" w:rsidR="00ED0991" w:rsidRPr="00C602FB" w:rsidRDefault="00ED0991" w:rsidP="00ED0991">
            <w:pPr>
              <w:spacing w:after="40" w:line="240" w:lineRule="auto"/>
              <w:jc w:val="left"/>
            </w:pPr>
            <w:r w:rsidRPr="00C602FB">
              <w:rPr>
                <w:sz w:val="20"/>
                <w:szCs w:val="20"/>
              </w:rPr>
              <w:t>Minimise the risk of shipping incidents and pollution in Australian waters through ship safety and environment protection regulation and services and maximise people saved from maritime and aviation incidents through search and rescue coordination</w:t>
            </w:r>
          </w:p>
        </w:tc>
      </w:tr>
    </w:tbl>
    <w:p w14:paraId="55B0360A" w14:textId="77777777" w:rsidR="00ED0991" w:rsidRPr="00C602FB" w:rsidRDefault="00ED0991" w:rsidP="00ED0991">
      <w:pPr>
        <w:spacing w:after="0" w:line="240" w:lineRule="auto"/>
        <w:jc w:val="left"/>
        <w:rPr>
          <w:rFonts w:eastAsiaTheme="minorEastAsia"/>
          <w:sz w:val="12"/>
          <w:szCs w:val="12"/>
          <w:lang w:eastAsia="en-US"/>
        </w:rPr>
      </w:pPr>
    </w:p>
    <w:tbl>
      <w:tblPr>
        <w:tblStyle w:val="TableGrid2"/>
        <w:tblW w:w="0" w:type="auto"/>
        <w:tblLook w:val="04A0" w:firstRow="1" w:lastRow="0" w:firstColumn="1" w:lastColumn="0" w:noHBand="0" w:noVBand="1"/>
      </w:tblPr>
      <w:tblGrid>
        <w:gridCol w:w="7700"/>
      </w:tblGrid>
      <w:tr w:rsidR="00ED0991" w:rsidRPr="00C602FB" w14:paraId="5FE754F6" w14:textId="77777777" w:rsidTr="00ED0991">
        <w:trPr>
          <w:trHeight w:val="1417"/>
        </w:trPr>
        <w:tc>
          <w:tcPr>
            <w:tcW w:w="7700" w:type="dxa"/>
            <w:tcBorders>
              <w:bottom w:val="single" w:sz="4" w:space="0" w:color="auto"/>
            </w:tcBorders>
          </w:tcPr>
          <w:p w14:paraId="6415F393" w14:textId="77777777" w:rsidR="00ED0991" w:rsidRPr="00C602FB" w:rsidRDefault="00ED0991" w:rsidP="00ED0991">
            <w:pPr>
              <w:spacing w:after="0" w:line="240" w:lineRule="auto"/>
              <w:jc w:val="center"/>
              <w:rPr>
                <w:b/>
                <w:sz w:val="20"/>
                <w:szCs w:val="20"/>
              </w:rPr>
            </w:pPr>
            <w:r w:rsidRPr="00C602FB">
              <w:rPr>
                <w:b/>
                <w:sz w:val="20"/>
                <w:szCs w:val="20"/>
              </w:rPr>
              <w:t>Australian National Maritime Museum</w:t>
            </w:r>
          </w:p>
          <w:p w14:paraId="392E355B" w14:textId="77777777" w:rsidR="00ED0991" w:rsidRPr="00C602FB" w:rsidRDefault="00ED0991" w:rsidP="00ED0991">
            <w:pPr>
              <w:spacing w:after="0" w:line="240" w:lineRule="auto"/>
              <w:jc w:val="center"/>
              <w:rPr>
                <w:sz w:val="20"/>
                <w:szCs w:val="20"/>
              </w:rPr>
            </w:pPr>
            <w:r w:rsidRPr="00C602FB">
              <w:rPr>
                <w:sz w:val="20"/>
                <w:szCs w:val="20"/>
              </w:rPr>
              <w:t>Chair: Mr John Mullen AM</w:t>
            </w:r>
          </w:p>
          <w:p w14:paraId="3CC1AD90" w14:textId="77777777" w:rsidR="00ED0991" w:rsidRPr="00C602FB" w:rsidRDefault="00ED0991" w:rsidP="00ED0991">
            <w:pPr>
              <w:spacing w:after="0" w:line="240" w:lineRule="auto"/>
              <w:jc w:val="center"/>
              <w:rPr>
                <w:b/>
                <w:sz w:val="20"/>
                <w:szCs w:val="20"/>
              </w:rPr>
            </w:pPr>
            <w:r w:rsidRPr="00C602FB">
              <w:rPr>
                <w:sz w:val="20"/>
                <w:szCs w:val="20"/>
              </w:rPr>
              <w:t xml:space="preserve">Director and Chief Executive Officer: Mr Kevin </w:t>
            </w:r>
            <w:proofErr w:type="spellStart"/>
            <w:r w:rsidRPr="00C602FB">
              <w:rPr>
                <w:sz w:val="20"/>
                <w:szCs w:val="20"/>
              </w:rPr>
              <w:t>Sumption</w:t>
            </w:r>
            <w:proofErr w:type="spellEnd"/>
            <w:r w:rsidRPr="00C602FB">
              <w:rPr>
                <w:sz w:val="20"/>
                <w:szCs w:val="20"/>
              </w:rPr>
              <w:t xml:space="preserve"> PSM</w:t>
            </w:r>
          </w:p>
          <w:p w14:paraId="6D2C4E6B" w14:textId="77777777" w:rsidR="00ED0991" w:rsidRPr="00C602FB" w:rsidRDefault="00ED0991" w:rsidP="00ED0991">
            <w:pPr>
              <w:spacing w:after="0" w:line="240" w:lineRule="auto"/>
              <w:jc w:val="left"/>
              <w:rPr>
                <w:b/>
                <w:sz w:val="20"/>
                <w:szCs w:val="20"/>
              </w:rPr>
            </w:pPr>
            <w:r w:rsidRPr="00C602FB">
              <w:rPr>
                <w:b/>
                <w:sz w:val="20"/>
                <w:szCs w:val="20"/>
              </w:rPr>
              <w:t xml:space="preserve">Outcome 1: </w:t>
            </w:r>
          </w:p>
          <w:p w14:paraId="57C9484B" w14:textId="77777777" w:rsidR="00ED0991" w:rsidRPr="00C602FB" w:rsidRDefault="00ED0991" w:rsidP="00ED0991">
            <w:pPr>
              <w:spacing w:after="40" w:line="240" w:lineRule="auto"/>
              <w:jc w:val="left"/>
            </w:pPr>
            <w:r w:rsidRPr="00C602FB">
              <w:rPr>
                <w:sz w:val="20"/>
                <w:szCs w:val="20"/>
              </w:rPr>
              <w:t>Increased knowledge, appreciation and enjoyment of Australia’s maritime heritage by managing the National Maritime Collection and staging programs, exhibitions and events</w:t>
            </w:r>
          </w:p>
        </w:tc>
      </w:tr>
    </w:tbl>
    <w:p w14:paraId="48B35AE7" w14:textId="6D388C61" w:rsidR="004F5BBE" w:rsidRDefault="004F5BBE" w:rsidP="00ED0991">
      <w:pPr>
        <w:spacing w:after="0" w:line="240" w:lineRule="auto"/>
        <w:jc w:val="left"/>
        <w:rPr>
          <w:rFonts w:eastAsiaTheme="minorEastAsia"/>
          <w:sz w:val="12"/>
          <w:szCs w:val="12"/>
          <w:lang w:eastAsia="en-US"/>
        </w:rPr>
      </w:pPr>
    </w:p>
    <w:p w14:paraId="2D6E4ED0" w14:textId="77777777" w:rsidR="004F5BBE" w:rsidRDefault="004F5BBE">
      <w:pPr>
        <w:spacing w:after="0" w:line="240" w:lineRule="auto"/>
        <w:jc w:val="left"/>
        <w:rPr>
          <w:rFonts w:eastAsiaTheme="minorEastAsia"/>
          <w:sz w:val="12"/>
          <w:szCs w:val="12"/>
          <w:lang w:eastAsia="en-US"/>
        </w:rPr>
      </w:pPr>
      <w:r>
        <w:rPr>
          <w:rFonts w:eastAsiaTheme="minorEastAsia"/>
          <w:sz w:val="12"/>
          <w:szCs w:val="12"/>
          <w:lang w:eastAsia="en-US"/>
        </w:rPr>
        <w:br w:type="page"/>
      </w:r>
    </w:p>
    <w:p w14:paraId="05F64593" w14:textId="203F8E7B" w:rsidR="004F5BBE" w:rsidRPr="00C602FB" w:rsidRDefault="004F5BBE" w:rsidP="004F5BBE">
      <w:pPr>
        <w:pStyle w:val="FigureHeading"/>
      </w:pPr>
      <w:r w:rsidRPr="00C602FB">
        <w:lastRenderedPageBreak/>
        <w:t xml:space="preserve">Figure 1: Infrastructure, Transport, Regional </w:t>
      </w:r>
      <w:r w:rsidR="00A00D08">
        <w:t>Development and Communications P</w:t>
      </w:r>
      <w:r w:rsidRPr="00C602FB">
        <w:t>ortfolio structure and outcomes (continued)</w:t>
      </w:r>
    </w:p>
    <w:tbl>
      <w:tblPr>
        <w:tblStyle w:val="TableGrid2"/>
        <w:tblW w:w="0" w:type="auto"/>
        <w:tblLook w:val="04A0" w:firstRow="1" w:lastRow="0" w:firstColumn="1" w:lastColumn="0" w:noHBand="0" w:noVBand="1"/>
      </w:tblPr>
      <w:tblGrid>
        <w:gridCol w:w="7700"/>
      </w:tblGrid>
      <w:tr w:rsidR="00ED0991" w:rsidRPr="00C602FB" w14:paraId="434161C2" w14:textId="77777777" w:rsidTr="008F1F4D">
        <w:trPr>
          <w:trHeight w:val="841"/>
        </w:trPr>
        <w:tc>
          <w:tcPr>
            <w:tcW w:w="7700" w:type="dxa"/>
            <w:tcBorders>
              <w:bottom w:val="single" w:sz="4" w:space="0" w:color="auto"/>
            </w:tcBorders>
          </w:tcPr>
          <w:p w14:paraId="23B31B39" w14:textId="702F2A32" w:rsidR="00ED0991" w:rsidRPr="00C602FB" w:rsidRDefault="00ED0991" w:rsidP="00E4014C">
            <w:pPr>
              <w:spacing w:after="0" w:line="240" w:lineRule="auto"/>
              <w:jc w:val="center"/>
              <w:rPr>
                <w:b/>
                <w:sz w:val="20"/>
                <w:szCs w:val="20"/>
              </w:rPr>
            </w:pPr>
            <w:r w:rsidRPr="00C602FB">
              <w:rPr>
                <w:b/>
                <w:sz w:val="20"/>
                <w:szCs w:val="20"/>
              </w:rPr>
              <w:t>Australian Postal Corporation</w:t>
            </w:r>
            <w:r w:rsidR="008F1F4D">
              <w:rPr>
                <w:b/>
                <w:sz w:val="20"/>
                <w:szCs w:val="20"/>
              </w:rPr>
              <w:t xml:space="preserve"> </w:t>
            </w:r>
          </w:p>
          <w:p w14:paraId="135D2B35" w14:textId="486F5019" w:rsidR="00E4014C" w:rsidRPr="00E4014C" w:rsidRDefault="00E4014C" w:rsidP="00E4014C">
            <w:pPr>
              <w:spacing w:after="0"/>
              <w:jc w:val="center"/>
              <w:rPr>
                <w:sz w:val="20"/>
                <w:szCs w:val="20"/>
              </w:rPr>
            </w:pPr>
            <w:r w:rsidRPr="00E4014C">
              <w:rPr>
                <w:sz w:val="20"/>
                <w:szCs w:val="20"/>
              </w:rPr>
              <w:t>Chair: Mr Lucio Di Bartolomeo</w:t>
            </w:r>
          </w:p>
          <w:p w14:paraId="784F3E8E" w14:textId="77777777" w:rsidR="00E4014C" w:rsidRPr="00770C95" w:rsidRDefault="00E4014C" w:rsidP="00E4014C">
            <w:pPr>
              <w:spacing w:after="0"/>
              <w:jc w:val="center"/>
              <w:rPr>
                <w:b/>
                <w:sz w:val="20"/>
                <w:szCs w:val="20"/>
              </w:rPr>
            </w:pPr>
            <w:r w:rsidRPr="00E4014C">
              <w:rPr>
                <w:sz w:val="20"/>
                <w:szCs w:val="20"/>
              </w:rPr>
              <w:t>Chief Executive Officer and Managing Director: Mr Paul Graham</w:t>
            </w:r>
          </w:p>
          <w:p w14:paraId="045DD50E" w14:textId="77777777" w:rsidR="00ED0991" w:rsidRPr="00C602FB" w:rsidRDefault="00ED0991" w:rsidP="00E4014C">
            <w:pPr>
              <w:spacing w:after="0" w:line="240" w:lineRule="auto"/>
              <w:jc w:val="left"/>
              <w:rPr>
                <w:b/>
                <w:sz w:val="20"/>
                <w:szCs w:val="20"/>
              </w:rPr>
            </w:pPr>
            <w:r w:rsidRPr="00C602FB">
              <w:rPr>
                <w:b/>
                <w:sz w:val="20"/>
                <w:szCs w:val="20"/>
              </w:rPr>
              <w:t xml:space="preserve">Mission: </w:t>
            </w:r>
          </w:p>
          <w:p w14:paraId="1EC33E7F" w14:textId="77777777" w:rsidR="00ED0991" w:rsidRPr="00C602FB" w:rsidRDefault="00ED0991" w:rsidP="00E4014C">
            <w:pPr>
              <w:spacing w:after="0" w:line="240" w:lineRule="auto"/>
              <w:jc w:val="left"/>
            </w:pPr>
            <w:r w:rsidRPr="00C602FB">
              <w:rPr>
                <w:sz w:val="20"/>
                <w:szCs w:val="20"/>
              </w:rPr>
              <w:t>Australia Post is required by law to provide a universal letter service which is reasonably accessible to all people in Australia and, in addition, to provide a standard letter service at a uniform price from anywhere to anywhere in the country</w:t>
            </w:r>
          </w:p>
        </w:tc>
      </w:tr>
    </w:tbl>
    <w:p w14:paraId="594C1457" w14:textId="77777777" w:rsidR="00EC28BF" w:rsidRPr="004F5BBE" w:rsidRDefault="00EC28BF" w:rsidP="004F5BBE">
      <w:pPr>
        <w:pStyle w:val="FigureHeading"/>
        <w:spacing w:after="0"/>
        <w:jc w:val="both"/>
        <w:rPr>
          <w:rFonts w:ascii="Book Antiqua" w:hAnsi="Book Antiqua"/>
          <w:sz w:val="12"/>
        </w:rPr>
      </w:pPr>
    </w:p>
    <w:tbl>
      <w:tblPr>
        <w:tblStyle w:val="TableGrid2"/>
        <w:tblW w:w="0" w:type="auto"/>
        <w:tblLook w:val="04A0" w:firstRow="1" w:lastRow="0" w:firstColumn="1" w:lastColumn="0" w:noHBand="0" w:noVBand="1"/>
      </w:tblPr>
      <w:tblGrid>
        <w:gridCol w:w="7700"/>
      </w:tblGrid>
      <w:tr w:rsidR="00ED0991" w:rsidRPr="00C602FB" w14:paraId="3E4ECA4C" w14:textId="77777777" w:rsidTr="00ED0991">
        <w:trPr>
          <w:trHeight w:val="1550"/>
        </w:trPr>
        <w:tc>
          <w:tcPr>
            <w:tcW w:w="7700" w:type="dxa"/>
            <w:tcBorders>
              <w:bottom w:val="single" w:sz="4" w:space="0" w:color="auto"/>
            </w:tcBorders>
          </w:tcPr>
          <w:p w14:paraId="22A46D3D" w14:textId="77777777" w:rsidR="00ED0991" w:rsidRPr="00C602FB" w:rsidRDefault="00ED0991" w:rsidP="00ED0991">
            <w:pPr>
              <w:spacing w:after="0" w:line="240" w:lineRule="auto"/>
              <w:jc w:val="center"/>
              <w:rPr>
                <w:b/>
                <w:sz w:val="20"/>
                <w:szCs w:val="20"/>
              </w:rPr>
            </w:pPr>
            <w:r w:rsidRPr="00C602FB">
              <w:rPr>
                <w:b/>
                <w:sz w:val="20"/>
                <w:szCs w:val="20"/>
              </w:rPr>
              <w:t>Australian Rail Track Corporation Limited</w:t>
            </w:r>
          </w:p>
          <w:p w14:paraId="18FF92A8" w14:textId="77777777" w:rsidR="00ED0991" w:rsidRPr="00C602FB" w:rsidRDefault="00ED0991" w:rsidP="00ED0991">
            <w:pPr>
              <w:spacing w:after="0" w:line="240" w:lineRule="auto"/>
              <w:jc w:val="center"/>
              <w:rPr>
                <w:sz w:val="20"/>
                <w:szCs w:val="20"/>
              </w:rPr>
            </w:pPr>
            <w:r w:rsidRPr="00C602FB">
              <w:rPr>
                <w:sz w:val="20"/>
                <w:szCs w:val="20"/>
              </w:rPr>
              <w:t>Chair: The Hon Warren Truss AC</w:t>
            </w:r>
          </w:p>
          <w:p w14:paraId="1FA9F42D" w14:textId="77777777" w:rsidR="00ED0991" w:rsidRPr="00C602FB" w:rsidRDefault="00ED0991" w:rsidP="00ED0991">
            <w:pPr>
              <w:spacing w:after="0" w:line="240" w:lineRule="auto"/>
              <w:jc w:val="center"/>
              <w:rPr>
                <w:b/>
                <w:sz w:val="20"/>
                <w:szCs w:val="20"/>
              </w:rPr>
            </w:pPr>
            <w:r w:rsidRPr="00C602FB">
              <w:rPr>
                <w:sz w:val="20"/>
                <w:szCs w:val="20"/>
              </w:rPr>
              <w:t xml:space="preserve">Managing Director and Chief Executive Officer: Mr Mark Campbell </w:t>
            </w:r>
          </w:p>
          <w:p w14:paraId="56091E37" w14:textId="77777777" w:rsidR="00ED0991" w:rsidRPr="00C602FB" w:rsidRDefault="00ED0991" w:rsidP="00ED0991">
            <w:pPr>
              <w:spacing w:after="40" w:line="240" w:lineRule="auto"/>
              <w:jc w:val="left"/>
              <w:rPr>
                <w:b/>
                <w:sz w:val="20"/>
                <w:szCs w:val="20"/>
              </w:rPr>
            </w:pPr>
            <w:r w:rsidRPr="00C602FB">
              <w:rPr>
                <w:b/>
                <w:sz w:val="20"/>
                <w:szCs w:val="20"/>
              </w:rPr>
              <w:t xml:space="preserve">Mission: </w:t>
            </w:r>
          </w:p>
          <w:p w14:paraId="36D902D7" w14:textId="77777777" w:rsidR="00ED0991" w:rsidRPr="00C602FB" w:rsidRDefault="00ED0991" w:rsidP="00ED0991">
            <w:pPr>
              <w:spacing w:after="40" w:line="240" w:lineRule="auto"/>
              <w:jc w:val="left"/>
            </w:pPr>
            <w:r w:rsidRPr="00C602FB">
              <w:rPr>
                <w:sz w:val="20"/>
                <w:szCs w:val="20"/>
                <w:lang w:val="en"/>
              </w:rPr>
              <w:t>To manage the seamless, safe transit of trains across the national rail network through the building, maintenance and operating of rail infrastructure including the inland rail route between Melbourne and Brisbane</w:t>
            </w:r>
          </w:p>
        </w:tc>
      </w:tr>
    </w:tbl>
    <w:p w14:paraId="6FB3976E" w14:textId="77777777" w:rsidR="00ED0991" w:rsidRPr="00C602FB" w:rsidRDefault="00ED0991" w:rsidP="00ED0991">
      <w:pPr>
        <w:spacing w:after="0" w:line="240" w:lineRule="auto"/>
        <w:jc w:val="left"/>
        <w:rPr>
          <w:sz w:val="12"/>
          <w:szCs w:val="12"/>
        </w:rPr>
      </w:pPr>
    </w:p>
    <w:tbl>
      <w:tblPr>
        <w:tblStyle w:val="TableGrid3"/>
        <w:tblW w:w="0" w:type="auto"/>
        <w:tblLook w:val="04A0" w:firstRow="1" w:lastRow="0" w:firstColumn="1" w:lastColumn="0" w:noHBand="0" w:noVBand="1"/>
      </w:tblPr>
      <w:tblGrid>
        <w:gridCol w:w="7700"/>
      </w:tblGrid>
      <w:tr w:rsidR="00ED0991" w:rsidRPr="00C602FB" w14:paraId="03775FB0" w14:textId="77777777" w:rsidTr="00ED0991">
        <w:trPr>
          <w:trHeight w:val="1602"/>
        </w:trPr>
        <w:tc>
          <w:tcPr>
            <w:tcW w:w="7700" w:type="dxa"/>
            <w:tcBorders>
              <w:bottom w:val="single" w:sz="4" w:space="0" w:color="auto"/>
            </w:tcBorders>
          </w:tcPr>
          <w:p w14:paraId="57C53E49" w14:textId="77777777" w:rsidR="00ED0991" w:rsidRPr="00DC15CD" w:rsidRDefault="00ED0991" w:rsidP="00ED0991">
            <w:pPr>
              <w:spacing w:after="0" w:line="240" w:lineRule="auto"/>
              <w:jc w:val="center"/>
              <w:rPr>
                <w:b/>
                <w:sz w:val="20"/>
                <w:szCs w:val="20"/>
              </w:rPr>
            </w:pPr>
            <w:r w:rsidRPr="00DC15CD">
              <w:rPr>
                <w:b/>
                <w:sz w:val="20"/>
                <w:szCs w:val="20"/>
              </w:rPr>
              <w:t>Australian Transport Safety Bureau</w:t>
            </w:r>
          </w:p>
          <w:p w14:paraId="44F362F1" w14:textId="4A0EE8B2" w:rsidR="00ED0991" w:rsidRPr="00DC15CD" w:rsidRDefault="00ED0991" w:rsidP="00ED0991">
            <w:pPr>
              <w:spacing w:after="0" w:line="240" w:lineRule="auto"/>
              <w:jc w:val="center"/>
              <w:rPr>
                <w:b/>
                <w:sz w:val="20"/>
                <w:szCs w:val="20"/>
              </w:rPr>
            </w:pPr>
            <w:r w:rsidRPr="00DC15CD">
              <w:rPr>
                <w:sz w:val="20"/>
                <w:szCs w:val="20"/>
              </w:rPr>
              <w:t xml:space="preserve">Chief Commissioner and Chief Executive Officer: </w:t>
            </w:r>
            <w:r w:rsidR="004842C6" w:rsidRPr="00DC15CD">
              <w:rPr>
                <w:sz w:val="20"/>
                <w:szCs w:val="20"/>
              </w:rPr>
              <w:t>Mr Angus Mitchell</w:t>
            </w:r>
          </w:p>
          <w:p w14:paraId="48278B05" w14:textId="77777777" w:rsidR="00ED0991" w:rsidRPr="00DC15CD" w:rsidRDefault="00ED0991" w:rsidP="00ED0991">
            <w:pPr>
              <w:spacing w:after="40" w:line="240" w:lineRule="auto"/>
              <w:jc w:val="left"/>
              <w:rPr>
                <w:b/>
                <w:sz w:val="20"/>
                <w:szCs w:val="20"/>
              </w:rPr>
            </w:pPr>
            <w:r w:rsidRPr="00DC15CD">
              <w:rPr>
                <w:b/>
                <w:sz w:val="20"/>
                <w:szCs w:val="20"/>
              </w:rPr>
              <w:t xml:space="preserve">Outcome 1: </w:t>
            </w:r>
          </w:p>
          <w:p w14:paraId="300D25FE" w14:textId="294290E6" w:rsidR="00ED0991" w:rsidRPr="00DC15CD" w:rsidRDefault="004F5BBE" w:rsidP="00ED0991">
            <w:pPr>
              <w:spacing w:after="40" w:line="240" w:lineRule="auto"/>
              <w:jc w:val="left"/>
            </w:pPr>
            <w:r w:rsidRPr="00DC15CD">
              <w:rPr>
                <w:sz w:val="20"/>
                <w:szCs w:val="20"/>
              </w:rPr>
              <w:t>Improved transport safety in Australia including through: Independent ‘no blame’ investigation of transport accidents and other safety occurrences; safety data recording, analysis and research; and influencing safety action</w:t>
            </w:r>
          </w:p>
        </w:tc>
      </w:tr>
    </w:tbl>
    <w:p w14:paraId="159E9152" w14:textId="77777777" w:rsidR="00ED0991" w:rsidRPr="00C602FB" w:rsidRDefault="00ED0991" w:rsidP="00ED0991">
      <w:pPr>
        <w:spacing w:after="0" w:line="240" w:lineRule="auto"/>
        <w:jc w:val="left"/>
        <w:rPr>
          <w:rFonts w:eastAsiaTheme="minorEastAsia"/>
          <w:sz w:val="12"/>
          <w:szCs w:val="12"/>
          <w:lang w:eastAsia="en-US"/>
        </w:rPr>
      </w:pPr>
    </w:p>
    <w:tbl>
      <w:tblPr>
        <w:tblStyle w:val="TableGrid3"/>
        <w:tblW w:w="0" w:type="auto"/>
        <w:tblLook w:val="04A0" w:firstRow="1" w:lastRow="0" w:firstColumn="1" w:lastColumn="0" w:noHBand="0" w:noVBand="1"/>
      </w:tblPr>
      <w:tblGrid>
        <w:gridCol w:w="7700"/>
      </w:tblGrid>
      <w:tr w:rsidR="00ED0991" w:rsidRPr="00C602FB" w14:paraId="11611E4D" w14:textId="77777777" w:rsidTr="00ED0991">
        <w:trPr>
          <w:trHeight w:val="1459"/>
        </w:trPr>
        <w:tc>
          <w:tcPr>
            <w:tcW w:w="7700" w:type="dxa"/>
            <w:tcBorders>
              <w:bottom w:val="single" w:sz="4" w:space="0" w:color="auto"/>
            </w:tcBorders>
          </w:tcPr>
          <w:p w14:paraId="7F39BAF8" w14:textId="77777777" w:rsidR="00ED0991" w:rsidRPr="00C602FB" w:rsidRDefault="00ED0991" w:rsidP="00ED0991">
            <w:pPr>
              <w:spacing w:after="0" w:line="240" w:lineRule="auto"/>
              <w:jc w:val="center"/>
              <w:rPr>
                <w:b/>
                <w:sz w:val="20"/>
                <w:szCs w:val="20"/>
              </w:rPr>
            </w:pPr>
            <w:r w:rsidRPr="00C602FB">
              <w:rPr>
                <w:b/>
                <w:sz w:val="20"/>
                <w:szCs w:val="20"/>
              </w:rPr>
              <w:t>Bundanon Trust</w:t>
            </w:r>
          </w:p>
          <w:p w14:paraId="64C6C789" w14:textId="77777777" w:rsidR="00ED0991" w:rsidRPr="00C602FB" w:rsidRDefault="00ED0991" w:rsidP="00ED0991">
            <w:pPr>
              <w:spacing w:after="0" w:line="240" w:lineRule="auto"/>
              <w:jc w:val="center"/>
              <w:rPr>
                <w:sz w:val="20"/>
                <w:szCs w:val="20"/>
              </w:rPr>
            </w:pPr>
            <w:r w:rsidRPr="00C602FB">
              <w:rPr>
                <w:sz w:val="20"/>
                <w:szCs w:val="20"/>
              </w:rPr>
              <w:t xml:space="preserve">Chair: Ms Jennifer </w:t>
            </w:r>
            <w:proofErr w:type="spellStart"/>
            <w:r w:rsidRPr="00C602FB">
              <w:rPr>
                <w:sz w:val="20"/>
                <w:szCs w:val="20"/>
              </w:rPr>
              <w:t>Bott</w:t>
            </w:r>
            <w:proofErr w:type="spellEnd"/>
            <w:r w:rsidRPr="00C602FB">
              <w:rPr>
                <w:sz w:val="20"/>
                <w:szCs w:val="20"/>
              </w:rPr>
              <w:t xml:space="preserve"> AO</w:t>
            </w:r>
          </w:p>
          <w:p w14:paraId="38E1ADF5" w14:textId="0E626884" w:rsidR="00ED0991" w:rsidRPr="00C602FB" w:rsidRDefault="00ED0991" w:rsidP="00ED0991">
            <w:pPr>
              <w:spacing w:after="0" w:line="240" w:lineRule="auto"/>
              <w:jc w:val="center"/>
              <w:rPr>
                <w:b/>
                <w:sz w:val="20"/>
                <w:szCs w:val="20"/>
              </w:rPr>
            </w:pPr>
            <w:r w:rsidRPr="00C602FB">
              <w:rPr>
                <w:sz w:val="20"/>
                <w:szCs w:val="20"/>
              </w:rPr>
              <w:t xml:space="preserve">Chief Executive Officer: </w:t>
            </w:r>
            <w:r w:rsidR="004842C6" w:rsidRPr="004842C6">
              <w:rPr>
                <w:sz w:val="20"/>
                <w:szCs w:val="20"/>
              </w:rPr>
              <w:t>Ms Rachel Kent</w:t>
            </w:r>
          </w:p>
          <w:p w14:paraId="44DB6C04" w14:textId="77777777" w:rsidR="00ED0991" w:rsidRPr="00C602FB" w:rsidRDefault="00ED0991" w:rsidP="00ED0991">
            <w:pPr>
              <w:spacing w:after="40" w:line="240" w:lineRule="auto"/>
              <w:jc w:val="left"/>
              <w:rPr>
                <w:b/>
                <w:sz w:val="20"/>
                <w:szCs w:val="20"/>
              </w:rPr>
            </w:pPr>
            <w:r w:rsidRPr="00C602FB">
              <w:rPr>
                <w:b/>
                <w:sz w:val="20"/>
                <w:szCs w:val="20"/>
              </w:rPr>
              <w:t xml:space="preserve">Mission: </w:t>
            </w:r>
          </w:p>
          <w:p w14:paraId="30CBB164" w14:textId="77777777" w:rsidR="00ED0991" w:rsidRPr="00C602FB" w:rsidRDefault="00ED0991" w:rsidP="00ED0991">
            <w:pPr>
              <w:spacing w:after="40" w:line="240" w:lineRule="auto"/>
              <w:jc w:val="left"/>
            </w:pPr>
            <w:r w:rsidRPr="00C602FB">
              <w:rPr>
                <w:sz w:val="20"/>
                <w:szCs w:val="20"/>
              </w:rPr>
              <w:t>Bundanon Trust supports arts practice and engagement with the arts through its residency, education, exhibition and performance programs. In preserving the natural and cultural heritage of its site Bundanon promotes the value of landscape in all our lives</w:t>
            </w:r>
          </w:p>
        </w:tc>
      </w:tr>
    </w:tbl>
    <w:p w14:paraId="55D422B3" w14:textId="77777777" w:rsidR="00ED0991" w:rsidRPr="00C602FB" w:rsidRDefault="00ED0991" w:rsidP="00ED0991">
      <w:pPr>
        <w:spacing w:after="0" w:line="240" w:lineRule="auto"/>
        <w:jc w:val="left"/>
        <w:rPr>
          <w:rFonts w:eastAsiaTheme="minorEastAsia"/>
          <w:sz w:val="12"/>
          <w:szCs w:val="12"/>
          <w:lang w:eastAsia="en-US"/>
        </w:rPr>
      </w:pPr>
    </w:p>
    <w:tbl>
      <w:tblPr>
        <w:tblStyle w:val="TableGrid3"/>
        <w:tblW w:w="0" w:type="auto"/>
        <w:tblLook w:val="04A0" w:firstRow="1" w:lastRow="0" w:firstColumn="1" w:lastColumn="0" w:noHBand="0" w:noVBand="1"/>
      </w:tblPr>
      <w:tblGrid>
        <w:gridCol w:w="7700"/>
      </w:tblGrid>
      <w:tr w:rsidR="00ED0991" w:rsidRPr="00C602FB" w14:paraId="2A476CEF" w14:textId="77777777" w:rsidTr="00ED0991">
        <w:trPr>
          <w:trHeight w:val="1647"/>
        </w:trPr>
        <w:tc>
          <w:tcPr>
            <w:tcW w:w="7700" w:type="dxa"/>
            <w:tcBorders>
              <w:bottom w:val="single" w:sz="4" w:space="0" w:color="auto"/>
            </w:tcBorders>
          </w:tcPr>
          <w:p w14:paraId="464405BE" w14:textId="77777777" w:rsidR="00ED0991" w:rsidRPr="00C602FB" w:rsidRDefault="00ED0991" w:rsidP="00ED0991">
            <w:pPr>
              <w:spacing w:after="0" w:line="240" w:lineRule="auto"/>
              <w:jc w:val="center"/>
              <w:rPr>
                <w:b/>
                <w:sz w:val="20"/>
                <w:szCs w:val="20"/>
              </w:rPr>
            </w:pPr>
            <w:r w:rsidRPr="00C602FB">
              <w:rPr>
                <w:b/>
                <w:sz w:val="20"/>
                <w:szCs w:val="20"/>
              </w:rPr>
              <w:t>Civil Aviation Safety Authority</w:t>
            </w:r>
          </w:p>
          <w:p w14:paraId="77F907FC" w14:textId="77777777" w:rsidR="004842C6" w:rsidRPr="004842C6" w:rsidRDefault="004842C6" w:rsidP="004842C6">
            <w:pPr>
              <w:spacing w:after="0"/>
              <w:jc w:val="center"/>
              <w:rPr>
                <w:sz w:val="20"/>
                <w:szCs w:val="20"/>
              </w:rPr>
            </w:pPr>
            <w:r w:rsidRPr="004842C6">
              <w:rPr>
                <w:sz w:val="20"/>
                <w:szCs w:val="20"/>
              </w:rPr>
              <w:t xml:space="preserve">Chair: Air Chief Marshal (Ret) Mark </w:t>
            </w:r>
            <w:proofErr w:type="spellStart"/>
            <w:r w:rsidRPr="004842C6">
              <w:rPr>
                <w:sz w:val="20"/>
                <w:szCs w:val="20"/>
              </w:rPr>
              <w:t>Binskin</w:t>
            </w:r>
            <w:proofErr w:type="spellEnd"/>
          </w:p>
          <w:p w14:paraId="27B44DED" w14:textId="2148F23C" w:rsidR="004842C6" w:rsidRPr="00770C95" w:rsidRDefault="004842C6" w:rsidP="004842C6">
            <w:pPr>
              <w:spacing w:after="0"/>
              <w:jc w:val="center"/>
              <w:rPr>
                <w:b/>
                <w:sz w:val="20"/>
                <w:szCs w:val="20"/>
              </w:rPr>
            </w:pPr>
            <w:r w:rsidRPr="004842C6">
              <w:rPr>
                <w:sz w:val="20"/>
                <w:szCs w:val="20"/>
              </w:rPr>
              <w:t>Chief Executive Officer: Ms Pip Spence</w:t>
            </w:r>
            <w:r w:rsidR="006E7183">
              <w:rPr>
                <w:sz w:val="20"/>
                <w:szCs w:val="20"/>
              </w:rPr>
              <w:t xml:space="preserve"> </w:t>
            </w:r>
            <w:r w:rsidR="006E7183" w:rsidRPr="00DC15CD">
              <w:rPr>
                <w:sz w:val="20"/>
                <w:szCs w:val="20"/>
              </w:rPr>
              <w:t>PSM</w:t>
            </w:r>
          </w:p>
          <w:p w14:paraId="3A601AE5" w14:textId="77777777" w:rsidR="00ED0991" w:rsidRPr="00C602FB" w:rsidRDefault="00ED0991" w:rsidP="00ED0991">
            <w:pPr>
              <w:spacing w:after="40" w:line="240" w:lineRule="auto"/>
              <w:jc w:val="left"/>
              <w:rPr>
                <w:b/>
                <w:sz w:val="20"/>
                <w:szCs w:val="20"/>
              </w:rPr>
            </w:pPr>
            <w:r w:rsidRPr="00C602FB">
              <w:rPr>
                <w:b/>
                <w:sz w:val="20"/>
                <w:szCs w:val="20"/>
              </w:rPr>
              <w:t xml:space="preserve">Outcome 1: </w:t>
            </w:r>
          </w:p>
          <w:p w14:paraId="13F49D68" w14:textId="77777777" w:rsidR="00ED0991" w:rsidRPr="00C602FB" w:rsidRDefault="00ED0991" w:rsidP="00ED0991">
            <w:pPr>
              <w:spacing w:after="40" w:line="240" w:lineRule="auto"/>
              <w:jc w:val="left"/>
            </w:pPr>
            <w:r w:rsidRPr="00C602FB">
              <w:rPr>
                <w:sz w:val="20"/>
                <w:szCs w:val="20"/>
              </w:rPr>
              <w:t>Maximise aviation safety through a regulatory regime, detailed technical material on safety standards, comprehensive aviation industry oversight, risk analysis, industry consultation, education and training</w:t>
            </w:r>
          </w:p>
        </w:tc>
      </w:tr>
    </w:tbl>
    <w:p w14:paraId="112AD19D" w14:textId="40031E78" w:rsidR="004F5BBE" w:rsidRDefault="004F5BBE" w:rsidP="00ED0991">
      <w:pPr>
        <w:spacing w:after="0" w:line="240" w:lineRule="auto"/>
        <w:jc w:val="left"/>
        <w:rPr>
          <w:rFonts w:eastAsiaTheme="minorEastAsia"/>
          <w:sz w:val="12"/>
          <w:szCs w:val="12"/>
          <w:lang w:eastAsia="en-US"/>
        </w:rPr>
      </w:pPr>
    </w:p>
    <w:p w14:paraId="52B4BC2E" w14:textId="77777777" w:rsidR="004F5BBE" w:rsidRDefault="004F5BBE">
      <w:pPr>
        <w:spacing w:after="0" w:line="240" w:lineRule="auto"/>
        <w:jc w:val="left"/>
        <w:rPr>
          <w:rFonts w:eastAsiaTheme="minorEastAsia"/>
          <w:sz w:val="12"/>
          <w:szCs w:val="12"/>
          <w:lang w:eastAsia="en-US"/>
        </w:rPr>
      </w:pPr>
      <w:r>
        <w:rPr>
          <w:rFonts w:eastAsiaTheme="minorEastAsia"/>
          <w:sz w:val="12"/>
          <w:szCs w:val="12"/>
          <w:lang w:eastAsia="en-US"/>
        </w:rPr>
        <w:br w:type="page"/>
      </w:r>
    </w:p>
    <w:p w14:paraId="55EEAA2B" w14:textId="309DE208" w:rsidR="00ED0991" w:rsidRPr="004F5BBE" w:rsidRDefault="004F5BBE" w:rsidP="002F265C">
      <w:pPr>
        <w:spacing w:after="120" w:line="240" w:lineRule="auto"/>
        <w:jc w:val="center"/>
        <w:rPr>
          <w:rFonts w:ascii="Arial" w:eastAsiaTheme="minorEastAsia" w:hAnsi="Arial" w:cs="Arial"/>
          <w:b/>
          <w:sz w:val="12"/>
          <w:szCs w:val="12"/>
          <w:lang w:eastAsia="en-US"/>
        </w:rPr>
      </w:pPr>
      <w:r w:rsidRPr="004F5BBE">
        <w:rPr>
          <w:rFonts w:ascii="Arial" w:hAnsi="Arial" w:cs="Arial"/>
          <w:b/>
        </w:rPr>
        <w:lastRenderedPageBreak/>
        <w:t xml:space="preserve">Figure 1: Infrastructure, Transport, Regional Development and Communications </w:t>
      </w:r>
      <w:r w:rsidR="00A00D08">
        <w:rPr>
          <w:rFonts w:ascii="Arial" w:hAnsi="Arial" w:cs="Arial"/>
          <w:b/>
        </w:rPr>
        <w:t>P</w:t>
      </w:r>
      <w:r w:rsidRPr="004F5BBE">
        <w:rPr>
          <w:rFonts w:ascii="Arial" w:hAnsi="Arial" w:cs="Arial"/>
          <w:b/>
        </w:rPr>
        <w:t>ortfolio structure and outcomes (continued)</w:t>
      </w:r>
    </w:p>
    <w:tbl>
      <w:tblPr>
        <w:tblStyle w:val="TableGrid3"/>
        <w:tblW w:w="0" w:type="auto"/>
        <w:tblLook w:val="04A0" w:firstRow="1" w:lastRow="0" w:firstColumn="1" w:lastColumn="0" w:noHBand="0" w:noVBand="1"/>
      </w:tblPr>
      <w:tblGrid>
        <w:gridCol w:w="7700"/>
      </w:tblGrid>
      <w:tr w:rsidR="00ED0991" w:rsidRPr="00C602FB" w14:paraId="68F8C371" w14:textId="77777777" w:rsidTr="00ED0991">
        <w:trPr>
          <w:trHeight w:val="1222"/>
        </w:trPr>
        <w:tc>
          <w:tcPr>
            <w:tcW w:w="7700" w:type="dxa"/>
            <w:tcBorders>
              <w:bottom w:val="single" w:sz="4" w:space="0" w:color="auto"/>
            </w:tcBorders>
          </w:tcPr>
          <w:p w14:paraId="32B81DC5" w14:textId="77777777" w:rsidR="00ED0991" w:rsidRPr="00C602FB" w:rsidRDefault="00ED0991" w:rsidP="00ED0991">
            <w:pPr>
              <w:spacing w:after="0" w:line="240" w:lineRule="auto"/>
              <w:jc w:val="center"/>
              <w:rPr>
                <w:b/>
                <w:sz w:val="20"/>
                <w:szCs w:val="20"/>
              </w:rPr>
            </w:pPr>
            <w:r w:rsidRPr="00C602FB">
              <w:rPr>
                <w:b/>
                <w:sz w:val="20"/>
                <w:szCs w:val="20"/>
              </w:rPr>
              <w:t>Creative Partnerships Australia</w:t>
            </w:r>
          </w:p>
          <w:p w14:paraId="137C5BD7" w14:textId="37AEEE05" w:rsidR="004842C6" w:rsidRPr="004842C6" w:rsidRDefault="004842C6" w:rsidP="004842C6">
            <w:pPr>
              <w:spacing w:after="0"/>
              <w:jc w:val="center"/>
              <w:rPr>
                <w:sz w:val="20"/>
                <w:szCs w:val="20"/>
              </w:rPr>
            </w:pPr>
            <w:r w:rsidRPr="004842C6">
              <w:rPr>
                <w:sz w:val="20"/>
                <w:szCs w:val="20"/>
              </w:rPr>
              <w:t xml:space="preserve">Director and Chair: Dr Richard </w:t>
            </w:r>
            <w:proofErr w:type="spellStart"/>
            <w:r w:rsidRPr="004842C6">
              <w:rPr>
                <w:sz w:val="20"/>
                <w:szCs w:val="20"/>
              </w:rPr>
              <w:t>Dammery</w:t>
            </w:r>
            <w:proofErr w:type="spellEnd"/>
          </w:p>
          <w:p w14:paraId="24DC024D" w14:textId="1CA77A39" w:rsidR="004842C6" w:rsidRPr="00770C95" w:rsidRDefault="00F21614" w:rsidP="004842C6">
            <w:pPr>
              <w:spacing w:after="0"/>
              <w:jc w:val="center"/>
              <w:rPr>
                <w:b/>
                <w:sz w:val="20"/>
                <w:szCs w:val="20"/>
              </w:rPr>
            </w:pPr>
            <w:r w:rsidRPr="00F21614">
              <w:rPr>
                <w:sz w:val="20"/>
                <w:szCs w:val="20"/>
              </w:rPr>
              <w:t>Chief Executive Officer:  Ms Fiona Menzies</w:t>
            </w:r>
          </w:p>
          <w:p w14:paraId="3ADC9ECD" w14:textId="5BDC8C6E" w:rsidR="00ED0991" w:rsidRPr="00C602FB" w:rsidRDefault="00ED0991" w:rsidP="00ED0991">
            <w:pPr>
              <w:spacing w:after="40" w:line="240" w:lineRule="auto"/>
              <w:jc w:val="left"/>
              <w:rPr>
                <w:b/>
                <w:sz w:val="20"/>
                <w:szCs w:val="20"/>
              </w:rPr>
            </w:pPr>
            <w:r w:rsidRPr="00C602FB">
              <w:rPr>
                <w:b/>
                <w:sz w:val="20"/>
                <w:szCs w:val="20"/>
              </w:rPr>
              <w:t xml:space="preserve">Mission: </w:t>
            </w:r>
          </w:p>
          <w:p w14:paraId="3CC4E7AE" w14:textId="40001689" w:rsidR="00ED0991" w:rsidRPr="00C602FB" w:rsidRDefault="00ED0991" w:rsidP="00ED0991">
            <w:pPr>
              <w:spacing w:after="40" w:line="240" w:lineRule="auto"/>
              <w:jc w:val="left"/>
            </w:pPr>
            <w:r>
              <w:rPr>
                <w:sz w:val="20"/>
                <w:szCs w:val="20"/>
              </w:rPr>
              <w:t xml:space="preserve"> </w:t>
            </w:r>
            <w:r w:rsidRPr="00C602FB">
              <w:rPr>
                <w:sz w:val="20"/>
                <w:szCs w:val="20"/>
              </w:rPr>
              <w:t>To foster a culture of private sector support for the arts in Australia; to grow a more sustainable, vibrant and ambitious cultural sector for the benefit of all Australians</w:t>
            </w:r>
          </w:p>
        </w:tc>
      </w:tr>
    </w:tbl>
    <w:p w14:paraId="75C70825" w14:textId="7067B5B3" w:rsidR="00ED0991" w:rsidRPr="004F5BBE" w:rsidRDefault="00ED0991" w:rsidP="004F5BBE">
      <w:pPr>
        <w:pStyle w:val="FigureHeading"/>
        <w:spacing w:after="0"/>
        <w:jc w:val="left"/>
        <w:rPr>
          <w:rFonts w:ascii="Book Antiqua" w:hAnsi="Book Antiqua"/>
          <w:b w:val="0"/>
          <w:sz w:val="12"/>
        </w:rPr>
      </w:pPr>
    </w:p>
    <w:tbl>
      <w:tblPr>
        <w:tblStyle w:val="TableGrid3"/>
        <w:tblW w:w="0" w:type="auto"/>
        <w:tblLook w:val="04A0" w:firstRow="1" w:lastRow="0" w:firstColumn="1" w:lastColumn="0" w:noHBand="0" w:noVBand="1"/>
      </w:tblPr>
      <w:tblGrid>
        <w:gridCol w:w="7700"/>
      </w:tblGrid>
      <w:tr w:rsidR="00ED0991" w:rsidRPr="00C602FB" w14:paraId="767CE9D7" w14:textId="77777777" w:rsidTr="00ED0991">
        <w:trPr>
          <w:trHeight w:val="558"/>
        </w:trPr>
        <w:tc>
          <w:tcPr>
            <w:tcW w:w="7700" w:type="dxa"/>
            <w:tcBorders>
              <w:bottom w:val="single" w:sz="4" w:space="0" w:color="auto"/>
            </w:tcBorders>
          </w:tcPr>
          <w:p w14:paraId="6F907417" w14:textId="77777777" w:rsidR="00ED0991" w:rsidRPr="00C602FB" w:rsidRDefault="00ED0991" w:rsidP="00ED0991">
            <w:pPr>
              <w:spacing w:after="0" w:line="240" w:lineRule="auto"/>
              <w:jc w:val="center"/>
              <w:rPr>
                <w:b/>
                <w:sz w:val="20"/>
                <w:szCs w:val="20"/>
              </w:rPr>
            </w:pPr>
            <w:r w:rsidRPr="00C602FB">
              <w:rPr>
                <w:b/>
                <w:sz w:val="20"/>
                <w:szCs w:val="20"/>
              </w:rPr>
              <w:t>Infrastructure Australia</w:t>
            </w:r>
          </w:p>
          <w:p w14:paraId="429C216A" w14:textId="77777777" w:rsidR="004842C6" w:rsidRPr="00770C95" w:rsidRDefault="004842C6" w:rsidP="004842C6">
            <w:pPr>
              <w:spacing w:after="0"/>
              <w:jc w:val="center"/>
              <w:rPr>
                <w:sz w:val="20"/>
                <w:szCs w:val="20"/>
              </w:rPr>
            </w:pPr>
            <w:r w:rsidRPr="004842C6">
              <w:rPr>
                <w:sz w:val="20"/>
                <w:szCs w:val="20"/>
              </w:rPr>
              <w:t>Chair: Cr Colin Murray</w:t>
            </w:r>
          </w:p>
          <w:p w14:paraId="2A6485B7" w14:textId="77777777" w:rsidR="00ED0991" w:rsidRPr="00C602FB" w:rsidRDefault="00ED0991" w:rsidP="00ED0991">
            <w:pPr>
              <w:spacing w:after="0" w:line="240" w:lineRule="auto"/>
              <w:jc w:val="center"/>
              <w:rPr>
                <w:b/>
                <w:sz w:val="20"/>
                <w:szCs w:val="20"/>
              </w:rPr>
            </w:pPr>
            <w:r w:rsidRPr="00C602FB">
              <w:rPr>
                <w:sz w:val="20"/>
                <w:szCs w:val="20"/>
              </w:rPr>
              <w:t xml:space="preserve">Chief Executive Officer: Ms </w:t>
            </w:r>
            <w:proofErr w:type="spellStart"/>
            <w:r w:rsidRPr="00C602FB">
              <w:rPr>
                <w:sz w:val="20"/>
                <w:szCs w:val="20"/>
              </w:rPr>
              <w:t>Romilly</w:t>
            </w:r>
            <w:proofErr w:type="spellEnd"/>
            <w:r w:rsidRPr="00C602FB">
              <w:rPr>
                <w:sz w:val="20"/>
                <w:szCs w:val="20"/>
              </w:rPr>
              <w:t xml:space="preserve"> </w:t>
            </w:r>
            <w:proofErr w:type="spellStart"/>
            <w:r w:rsidRPr="00C602FB">
              <w:rPr>
                <w:sz w:val="20"/>
                <w:szCs w:val="20"/>
              </w:rPr>
              <w:t>Madew</w:t>
            </w:r>
            <w:proofErr w:type="spellEnd"/>
            <w:r w:rsidRPr="00C602FB">
              <w:rPr>
                <w:sz w:val="20"/>
                <w:szCs w:val="20"/>
              </w:rPr>
              <w:t xml:space="preserve"> AO</w:t>
            </w:r>
            <w:r>
              <w:rPr>
                <w:sz w:val="20"/>
                <w:szCs w:val="20"/>
              </w:rPr>
              <w:t xml:space="preserve"> FTSE</w:t>
            </w:r>
          </w:p>
          <w:p w14:paraId="6D6A90CC" w14:textId="77777777" w:rsidR="00ED0991" w:rsidRPr="00C602FB" w:rsidRDefault="00ED0991" w:rsidP="00ED0991">
            <w:pPr>
              <w:spacing w:after="40" w:line="240" w:lineRule="auto"/>
              <w:jc w:val="left"/>
              <w:rPr>
                <w:b/>
                <w:sz w:val="20"/>
                <w:szCs w:val="20"/>
              </w:rPr>
            </w:pPr>
            <w:r w:rsidRPr="00C602FB">
              <w:rPr>
                <w:b/>
                <w:sz w:val="20"/>
                <w:szCs w:val="20"/>
              </w:rPr>
              <w:t xml:space="preserve">Outcome 1: </w:t>
            </w:r>
          </w:p>
          <w:p w14:paraId="2C41E1B7" w14:textId="77777777" w:rsidR="00ED0991" w:rsidRPr="00C602FB" w:rsidRDefault="00ED0991" w:rsidP="00ED0991">
            <w:pPr>
              <w:spacing w:after="40" w:line="240" w:lineRule="auto"/>
              <w:jc w:val="left"/>
            </w:pPr>
            <w:r w:rsidRPr="00C602FB">
              <w:rPr>
                <w:sz w:val="20"/>
                <w:szCs w:val="20"/>
              </w:rPr>
              <w:t>Improve decision-making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p>
        </w:tc>
      </w:tr>
    </w:tbl>
    <w:p w14:paraId="3123DE6F" w14:textId="77777777" w:rsidR="00ED0991" w:rsidRPr="00C602FB" w:rsidRDefault="00ED0991" w:rsidP="00ED0991">
      <w:pPr>
        <w:spacing w:after="0" w:line="240" w:lineRule="auto"/>
        <w:jc w:val="left"/>
        <w:rPr>
          <w:rFonts w:eastAsiaTheme="minorEastAsia"/>
          <w:sz w:val="12"/>
          <w:szCs w:val="12"/>
          <w:lang w:eastAsia="en-US"/>
        </w:rPr>
      </w:pPr>
    </w:p>
    <w:tbl>
      <w:tblPr>
        <w:tblStyle w:val="TableGrid4"/>
        <w:tblW w:w="0" w:type="auto"/>
        <w:tblLook w:val="04A0" w:firstRow="1" w:lastRow="0" w:firstColumn="1" w:lastColumn="0" w:noHBand="0" w:noVBand="1"/>
      </w:tblPr>
      <w:tblGrid>
        <w:gridCol w:w="7700"/>
      </w:tblGrid>
      <w:tr w:rsidR="00ED0991" w:rsidRPr="00C602FB" w14:paraId="7F25004E" w14:textId="77777777" w:rsidTr="00ED0991">
        <w:trPr>
          <w:trHeight w:val="1649"/>
        </w:trPr>
        <w:tc>
          <w:tcPr>
            <w:tcW w:w="7700" w:type="dxa"/>
            <w:tcBorders>
              <w:bottom w:val="single" w:sz="4" w:space="0" w:color="auto"/>
            </w:tcBorders>
          </w:tcPr>
          <w:p w14:paraId="1D612BAA" w14:textId="77777777" w:rsidR="00ED0991" w:rsidRPr="00C602FB" w:rsidRDefault="00ED0991" w:rsidP="00ED0991">
            <w:pPr>
              <w:spacing w:after="0" w:line="240" w:lineRule="auto"/>
              <w:jc w:val="center"/>
              <w:rPr>
                <w:b/>
                <w:sz w:val="20"/>
                <w:szCs w:val="20"/>
              </w:rPr>
            </w:pPr>
            <w:r w:rsidRPr="00C602FB">
              <w:rPr>
                <w:b/>
                <w:sz w:val="20"/>
                <w:szCs w:val="20"/>
              </w:rPr>
              <w:t>National Capital Authority</w:t>
            </w:r>
          </w:p>
          <w:p w14:paraId="33D4E6C2" w14:textId="77777777" w:rsidR="00ED0991" w:rsidRPr="00C602FB" w:rsidRDefault="00ED0991" w:rsidP="00ED0991">
            <w:pPr>
              <w:spacing w:after="0" w:line="240" w:lineRule="auto"/>
              <w:jc w:val="center"/>
              <w:rPr>
                <w:sz w:val="20"/>
                <w:szCs w:val="20"/>
              </w:rPr>
            </w:pPr>
            <w:r w:rsidRPr="00C602FB">
              <w:rPr>
                <w:sz w:val="20"/>
                <w:szCs w:val="20"/>
              </w:rPr>
              <w:t>Chair: Mr Terry Weber</w:t>
            </w:r>
          </w:p>
          <w:p w14:paraId="09A57DB1" w14:textId="77777777" w:rsidR="00ED0991" w:rsidRPr="00C602FB" w:rsidRDefault="00ED0991" w:rsidP="00ED0991">
            <w:pPr>
              <w:spacing w:after="0" w:line="240" w:lineRule="auto"/>
              <w:jc w:val="center"/>
              <w:rPr>
                <w:b/>
                <w:sz w:val="20"/>
                <w:szCs w:val="20"/>
              </w:rPr>
            </w:pPr>
            <w:r>
              <w:rPr>
                <w:sz w:val="20"/>
                <w:szCs w:val="20"/>
              </w:rPr>
              <w:t>Chief Executive</w:t>
            </w:r>
            <w:r w:rsidRPr="00C602FB">
              <w:rPr>
                <w:sz w:val="20"/>
                <w:szCs w:val="20"/>
              </w:rPr>
              <w:t>: Ms Sally Barnes</w:t>
            </w:r>
          </w:p>
          <w:p w14:paraId="2CD3A148" w14:textId="473A9782" w:rsidR="00ED0991" w:rsidRPr="00C602FB" w:rsidRDefault="00ED0991" w:rsidP="00ED0991">
            <w:pPr>
              <w:spacing w:after="40" w:line="240" w:lineRule="auto"/>
              <w:jc w:val="left"/>
              <w:rPr>
                <w:b/>
                <w:sz w:val="20"/>
                <w:szCs w:val="20"/>
              </w:rPr>
            </w:pPr>
            <w:r w:rsidRPr="00C602FB">
              <w:rPr>
                <w:b/>
                <w:sz w:val="20"/>
                <w:szCs w:val="20"/>
              </w:rPr>
              <w:t xml:space="preserve">Outcome 1: </w:t>
            </w:r>
          </w:p>
          <w:p w14:paraId="4DDF008D" w14:textId="77777777" w:rsidR="00ED0991" w:rsidRPr="00C602FB" w:rsidRDefault="00ED0991" w:rsidP="00ED0991">
            <w:pPr>
              <w:spacing w:after="40" w:line="240" w:lineRule="auto"/>
              <w:jc w:val="left"/>
            </w:pPr>
            <w:r w:rsidRPr="00C602FB">
              <w:rPr>
                <w:sz w:val="20"/>
                <w:szCs w:val="20"/>
              </w:rPr>
              <w:t>Manage the strategic planning, promotion and enhancement of Canberra as the National Capital for all Australians through the development and administrati</w:t>
            </w:r>
            <w:r>
              <w:rPr>
                <w:sz w:val="20"/>
                <w:szCs w:val="20"/>
              </w:rPr>
              <w:t>on of the National Capital Plan,</w:t>
            </w:r>
            <w:r w:rsidRPr="00C602FB">
              <w:rPr>
                <w:sz w:val="20"/>
                <w:szCs w:val="20"/>
              </w:rPr>
              <w:t xml:space="preserve"> operation of </w:t>
            </w:r>
            <w:r>
              <w:rPr>
                <w:sz w:val="20"/>
                <w:szCs w:val="20"/>
              </w:rPr>
              <w:t>the National Capital Exhibition,</w:t>
            </w:r>
            <w:r w:rsidRPr="00C602FB">
              <w:rPr>
                <w:sz w:val="20"/>
                <w:szCs w:val="20"/>
              </w:rPr>
              <w:t xml:space="preserve"> delivery of e</w:t>
            </w:r>
            <w:r>
              <w:rPr>
                <w:sz w:val="20"/>
                <w:szCs w:val="20"/>
              </w:rPr>
              <w:t>ducation and awareness programs</w:t>
            </w:r>
            <w:r w:rsidRPr="00C602FB">
              <w:rPr>
                <w:sz w:val="20"/>
                <w:szCs w:val="20"/>
              </w:rPr>
              <w:t xml:space="preserve"> and works to enhance the character of the National Capital</w:t>
            </w:r>
          </w:p>
        </w:tc>
      </w:tr>
    </w:tbl>
    <w:p w14:paraId="49899D6E" w14:textId="77777777" w:rsidR="00ED0991" w:rsidRPr="00C602FB" w:rsidRDefault="00ED0991" w:rsidP="00ED0991">
      <w:pPr>
        <w:spacing w:after="0" w:line="240" w:lineRule="auto"/>
        <w:jc w:val="left"/>
        <w:rPr>
          <w:rFonts w:eastAsiaTheme="minorEastAsia"/>
          <w:sz w:val="12"/>
          <w:szCs w:val="12"/>
          <w:lang w:eastAsia="en-US"/>
        </w:rPr>
      </w:pPr>
    </w:p>
    <w:tbl>
      <w:tblPr>
        <w:tblStyle w:val="TableGrid4"/>
        <w:tblW w:w="0" w:type="auto"/>
        <w:tblLook w:val="04A0" w:firstRow="1" w:lastRow="0" w:firstColumn="1" w:lastColumn="0" w:noHBand="0" w:noVBand="1"/>
      </w:tblPr>
      <w:tblGrid>
        <w:gridCol w:w="7700"/>
      </w:tblGrid>
      <w:tr w:rsidR="00ED0991" w:rsidRPr="00C602FB" w14:paraId="7969179E" w14:textId="77777777" w:rsidTr="00ED0991">
        <w:trPr>
          <w:trHeight w:val="1018"/>
        </w:trPr>
        <w:tc>
          <w:tcPr>
            <w:tcW w:w="7700" w:type="dxa"/>
            <w:tcBorders>
              <w:bottom w:val="single" w:sz="4" w:space="0" w:color="auto"/>
            </w:tcBorders>
          </w:tcPr>
          <w:p w14:paraId="3F6970C8" w14:textId="77777777" w:rsidR="00ED0991" w:rsidRPr="00C602FB" w:rsidRDefault="00ED0991" w:rsidP="00ED0991">
            <w:pPr>
              <w:spacing w:after="0" w:line="240" w:lineRule="auto"/>
              <w:jc w:val="center"/>
              <w:rPr>
                <w:b/>
                <w:sz w:val="20"/>
                <w:szCs w:val="20"/>
              </w:rPr>
            </w:pPr>
            <w:r w:rsidRPr="00C602FB">
              <w:rPr>
                <w:b/>
                <w:sz w:val="20"/>
                <w:szCs w:val="20"/>
              </w:rPr>
              <w:t>National Faster Rail Agency</w:t>
            </w:r>
          </w:p>
          <w:p w14:paraId="4B18911B" w14:textId="77777777" w:rsidR="00ED0991" w:rsidRPr="00C602FB" w:rsidRDefault="00ED0991" w:rsidP="00ED0991">
            <w:pPr>
              <w:spacing w:after="0" w:line="240" w:lineRule="auto"/>
              <w:jc w:val="center"/>
              <w:rPr>
                <w:b/>
                <w:sz w:val="20"/>
                <w:szCs w:val="20"/>
              </w:rPr>
            </w:pPr>
            <w:r w:rsidRPr="00C602FB">
              <w:rPr>
                <w:sz w:val="20"/>
                <w:szCs w:val="20"/>
              </w:rPr>
              <w:t xml:space="preserve">Chief Executive Officer: Mr Barry </w:t>
            </w:r>
            <w:proofErr w:type="spellStart"/>
            <w:r w:rsidRPr="00C602FB">
              <w:rPr>
                <w:sz w:val="20"/>
                <w:szCs w:val="20"/>
              </w:rPr>
              <w:t>Broe</w:t>
            </w:r>
            <w:proofErr w:type="spellEnd"/>
          </w:p>
          <w:p w14:paraId="08839A98" w14:textId="77777777" w:rsidR="00ED0991" w:rsidRPr="00C602FB" w:rsidRDefault="00ED0991" w:rsidP="00ED0991">
            <w:pPr>
              <w:spacing w:after="40" w:line="240" w:lineRule="auto"/>
              <w:jc w:val="left"/>
              <w:rPr>
                <w:b/>
                <w:sz w:val="20"/>
                <w:szCs w:val="20"/>
              </w:rPr>
            </w:pPr>
            <w:r w:rsidRPr="00C602FB">
              <w:rPr>
                <w:b/>
                <w:sz w:val="20"/>
                <w:szCs w:val="20"/>
              </w:rPr>
              <w:t xml:space="preserve">Outcome 1: </w:t>
            </w:r>
          </w:p>
          <w:p w14:paraId="3BCE6E45" w14:textId="77777777" w:rsidR="00ED0991" w:rsidRPr="00C602FB" w:rsidRDefault="00ED0991" w:rsidP="00ED0991">
            <w:pPr>
              <w:spacing w:after="40" w:line="240" w:lineRule="auto"/>
              <w:jc w:val="left"/>
            </w:pPr>
            <w:r w:rsidRPr="00C602FB">
              <w:rPr>
                <w:sz w:val="20"/>
                <w:szCs w:val="20"/>
              </w:rPr>
              <w:t>Improved rail infrastructure between our capital cities and their surrounding regional centres by providing coordination, strategic advice and the identification of investments that improve reliability and travel speeds</w:t>
            </w:r>
          </w:p>
        </w:tc>
      </w:tr>
    </w:tbl>
    <w:p w14:paraId="4FBBFE56" w14:textId="77777777" w:rsidR="00ED0991" w:rsidRPr="00C602FB" w:rsidRDefault="00ED0991" w:rsidP="00ED0991">
      <w:pPr>
        <w:spacing w:after="0" w:line="240" w:lineRule="auto"/>
        <w:jc w:val="left"/>
        <w:rPr>
          <w:rFonts w:eastAsiaTheme="minorEastAsia"/>
          <w:sz w:val="12"/>
          <w:szCs w:val="12"/>
          <w:lang w:eastAsia="en-US"/>
        </w:rPr>
      </w:pPr>
    </w:p>
    <w:tbl>
      <w:tblPr>
        <w:tblStyle w:val="TableGrid4"/>
        <w:tblW w:w="0" w:type="auto"/>
        <w:tblLook w:val="04A0" w:firstRow="1" w:lastRow="0" w:firstColumn="1" w:lastColumn="0" w:noHBand="0" w:noVBand="1"/>
      </w:tblPr>
      <w:tblGrid>
        <w:gridCol w:w="7700"/>
      </w:tblGrid>
      <w:tr w:rsidR="00ED0991" w:rsidRPr="00C602FB" w14:paraId="25795058" w14:textId="77777777" w:rsidTr="00ED0991">
        <w:trPr>
          <w:trHeight w:val="1411"/>
        </w:trPr>
        <w:tc>
          <w:tcPr>
            <w:tcW w:w="7700" w:type="dxa"/>
            <w:tcBorders>
              <w:bottom w:val="single" w:sz="4" w:space="0" w:color="auto"/>
            </w:tcBorders>
          </w:tcPr>
          <w:p w14:paraId="7A18FF7B" w14:textId="77777777" w:rsidR="00ED0991" w:rsidRPr="00C602FB" w:rsidRDefault="00ED0991" w:rsidP="00ED0991">
            <w:pPr>
              <w:spacing w:after="0" w:line="240" w:lineRule="auto"/>
              <w:jc w:val="center"/>
              <w:rPr>
                <w:b/>
                <w:sz w:val="20"/>
                <w:szCs w:val="20"/>
              </w:rPr>
            </w:pPr>
            <w:r w:rsidRPr="00C602FB">
              <w:rPr>
                <w:b/>
                <w:sz w:val="20"/>
                <w:szCs w:val="20"/>
              </w:rPr>
              <w:t>National Film and Sound Archive of Australia</w:t>
            </w:r>
          </w:p>
          <w:p w14:paraId="71041A1C" w14:textId="77777777" w:rsidR="004842C6" w:rsidRPr="004842C6" w:rsidRDefault="004842C6" w:rsidP="004842C6">
            <w:pPr>
              <w:spacing w:after="0" w:line="240" w:lineRule="auto"/>
              <w:jc w:val="center"/>
              <w:rPr>
                <w:sz w:val="20"/>
                <w:szCs w:val="20"/>
              </w:rPr>
            </w:pPr>
            <w:r w:rsidRPr="004842C6">
              <w:rPr>
                <w:sz w:val="20"/>
                <w:szCs w:val="20"/>
              </w:rPr>
              <w:t>Chair: Ms Caroline Elliot</w:t>
            </w:r>
          </w:p>
          <w:p w14:paraId="33359EC3" w14:textId="65FD8E93" w:rsidR="00ED0991" w:rsidRPr="00C602FB" w:rsidRDefault="004842C6" w:rsidP="004842C6">
            <w:pPr>
              <w:spacing w:after="0" w:line="240" w:lineRule="auto"/>
              <w:jc w:val="center"/>
              <w:rPr>
                <w:b/>
                <w:sz w:val="20"/>
                <w:szCs w:val="20"/>
              </w:rPr>
            </w:pPr>
            <w:r w:rsidRPr="004842C6">
              <w:rPr>
                <w:sz w:val="20"/>
                <w:szCs w:val="20"/>
              </w:rPr>
              <w:t xml:space="preserve">Chief Executive Officer: </w:t>
            </w:r>
            <w:r w:rsidR="00F21614">
              <w:rPr>
                <w:sz w:val="20"/>
                <w:szCs w:val="20"/>
              </w:rPr>
              <w:t xml:space="preserve">Mr </w:t>
            </w:r>
            <w:r w:rsidRPr="004842C6">
              <w:rPr>
                <w:sz w:val="20"/>
                <w:szCs w:val="20"/>
              </w:rPr>
              <w:t>Patrick McIntyre</w:t>
            </w:r>
          </w:p>
          <w:p w14:paraId="2B186905" w14:textId="77777777" w:rsidR="00ED0991" w:rsidRPr="00C602FB" w:rsidRDefault="00ED0991" w:rsidP="00ED0991">
            <w:pPr>
              <w:spacing w:after="40" w:line="240" w:lineRule="auto"/>
              <w:jc w:val="left"/>
              <w:rPr>
                <w:b/>
                <w:sz w:val="20"/>
                <w:szCs w:val="20"/>
              </w:rPr>
            </w:pPr>
            <w:r w:rsidRPr="00C602FB">
              <w:rPr>
                <w:b/>
                <w:sz w:val="20"/>
                <w:szCs w:val="20"/>
              </w:rPr>
              <w:t>Outcome 1:</w:t>
            </w:r>
          </w:p>
          <w:p w14:paraId="6281B7E9" w14:textId="7D9C17E1" w:rsidR="00ED0991" w:rsidRPr="00C602FB" w:rsidRDefault="00ED0991" w:rsidP="00AF69FA">
            <w:pPr>
              <w:spacing w:after="40" w:line="240" w:lineRule="auto"/>
              <w:jc w:val="left"/>
            </w:pPr>
            <w:r w:rsidRPr="00C602FB">
              <w:rPr>
                <w:sz w:val="20"/>
                <w:szCs w:val="20"/>
              </w:rPr>
              <w:t xml:space="preserve">Increased engagement with Australia’s </w:t>
            </w:r>
            <w:r w:rsidR="00C11261" w:rsidRPr="00C602FB">
              <w:rPr>
                <w:sz w:val="20"/>
                <w:szCs w:val="20"/>
              </w:rPr>
              <w:t>audiovisual</w:t>
            </w:r>
            <w:r w:rsidRPr="00C602FB">
              <w:rPr>
                <w:sz w:val="20"/>
                <w:szCs w:val="20"/>
              </w:rPr>
              <w:t xml:space="preserve"> culture past and present through developing, preserving, maintaining and promoting the national </w:t>
            </w:r>
            <w:r w:rsidR="00C11261" w:rsidRPr="00C602FB">
              <w:rPr>
                <w:sz w:val="20"/>
                <w:szCs w:val="20"/>
              </w:rPr>
              <w:t>audio-visual</w:t>
            </w:r>
            <w:r w:rsidRPr="00C602FB">
              <w:rPr>
                <w:sz w:val="20"/>
                <w:szCs w:val="20"/>
              </w:rPr>
              <w:t xml:space="preserve"> collection of historic and cultural significance</w:t>
            </w:r>
          </w:p>
        </w:tc>
      </w:tr>
    </w:tbl>
    <w:p w14:paraId="3A0C0C9F" w14:textId="77777777" w:rsidR="00ED0991" w:rsidRPr="00C602FB" w:rsidRDefault="00ED0991" w:rsidP="00ED0991">
      <w:pPr>
        <w:pStyle w:val="ChartGraphic"/>
        <w:jc w:val="both"/>
      </w:pPr>
      <w:r w:rsidRPr="00C602FB">
        <w:br w:type="page"/>
      </w:r>
    </w:p>
    <w:p w14:paraId="7B4D02A1" w14:textId="0210A14B" w:rsidR="00ED0991" w:rsidRPr="00C602FB" w:rsidRDefault="00ED0991" w:rsidP="00ED0991">
      <w:pPr>
        <w:pStyle w:val="FigureHeading"/>
      </w:pPr>
      <w:r w:rsidRPr="00C602FB">
        <w:lastRenderedPageBreak/>
        <w:t xml:space="preserve">Figure 1: Infrastructure, Transport, Regional Development and Communications </w:t>
      </w:r>
      <w:r w:rsidR="00A00D08">
        <w:t>P</w:t>
      </w:r>
      <w:r w:rsidRPr="00C602FB">
        <w:t>ortfolio structure and outcomes (continued)</w:t>
      </w:r>
    </w:p>
    <w:tbl>
      <w:tblPr>
        <w:tblStyle w:val="TableGrid4"/>
        <w:tblW w:w="0" w:type="auto"/>
        <w:tblLook w:val="04A0" w:firstRow="1" w:lastRow="0" w:firstColumn="1" w:lastColumn="0" w:noHBand="0" w:noVBand="1"/>
      </w:tblPr>
      <w:tblGrid>
        <w:gridCol w:w="7700"/>
      </w:tblGrid>
      <w:tr w:rsidR="00ED0991" w:rsidRPr="00C602FB" w14:paraId="533F214A" w14:textId="77777777" w:rsidTr="00ED0991">
        <w:trPr>
          <w:trHeight w:val="1297"/>
        </w:trPr>
        <w:tc>
          <w:tcPr>
            <w:tcW w:w="7700" w:type="dxa"/>
            <w:tcBorders>
              <w:bottom w:val="single" w:sz="4" w:space="0" w:color="auto"/>
            </w:tcBorders>
          </w:tcPr>
          <w:p w14:paraId="546AD6A5" w14:textId="77777777" w:rsidR="00ED0991" w:rsidRPr="00C602FB" w:rsidRDefault="00ED0991" w:rsidP="00ED0991">
            <w:pPr>
              <w:spacing w:after="0" w:line="240" w:lineRule="auto"/>
              <w:jc w:val="center"/>
              <w:rPr>
                <w:b/>
                <w:sz w:val="20"/>
                <w:szCs w:val="20"/>
              </w:rPr>
            </w:pPr>
            <w:r w:rsidRPr="00C602FB">
              <w:rPr>
                <w:b/>
                <w:sz w:val="20"/>
                <w:szCs w:val="20"/>
              </w:rPr>
              <w:t>National Gallery of Australia</w:t>
            </w:r>
          </w:p>
          <w:p w14:paraId="21B95109" w14:textId="77777777" w:rsidR="00ED0991" w:rsidRPr="00C602FB" w:rsidRDefault="00ED0991" w:rsidP="00ED0991">
            <w:pPr>
              <w:spacing w:after="0" w:line="240" w:lineRule="auto"/>
              <w:jc w:val="center"/>
              <w:rPr>
                <w:sz w:val="20"/>
                <w:szCs w:val="20"/>
              </w:rPr>
            </w:pPr>
            <w:r w:rsidRPr="00C602FB">
              <w:rPr>
                <w:sz w:val="20"/>
                <w:szCs w:val="20"/>
              </w:rPr>
              <w:t>Chair: Mr Ryan Stokes AO</w:t>
            </w:r>
          </w:p>
          <w:p w14:paraId="5D66789F" w14:textId="77777777" w:rsidR="00ED0991" w:rsidRPr="00C602FB" w:rsidRDefault="00ED0991" w:rsidP="00ED0991">
            <w:pPr>
              <w:spacing w:after="0" w:line="240" w:lineRule="auto"/>
              <w:jc w:val="center"/>
              <w:rPr>
                <w:b/>
                <w:sz w:val="20"/>
                <w:szCs w:val="20"/>
              </w:rPr>
            </w:pPr>
            <w:r w:rsidRPr="00C602FB">
              <w:rPr>
                <w:sz w:val="20"/>
                <w:szCs w:val="20"/>
              </w:rPr>
              <w:t xml:space="preserve">Director: Mr Nick </w:t>
            </w:r>
            <w:proofErr w:type="spellStart"/>
            <w:r w:rsidRPr="00C602FB">
              <w:rPr>
                <w:sz w:val="20"/>
                <w:szCs w:val="20"/>
              </w:rPr>
              <w:t>Mitzevich</w:t>
            </w:r>
            <w:proofErr w:type="spellEnd"/>
          </w:p>
          <w:p w14:paraId="3F2E4800" w14:textId="77777777" w:rsidR="00ED0991" w:rsidRPr="00C602FB" w:rsidRDefault="00ED0991" w:rsidP="00ED0991">
            <w:pPr>
              <w:spacing w:after="40" w:line="240" w:lineRule="auto"/>
              <w:jc w:val="left"/>
              <w:rPr>
                <w:b/>
                <w:sz w:val="20"/>
                <w:szCs w:val="20"/>
              </w:rPr>
            </w:pPr>
            <w:r w:rsidRPr="00C602FB">
              <w:rPr>
                <w:b/>
                <w:sz w:val="20"/>
                <w:szCs w:val="20"/>
              </w:rPr>
              <w:t>Outcome 1:</w:t>
            </w:r>
          </w:p>
          <w:p w14:paraId="6D8CF27A" w14:textId="77777777" w:rsidR="00ED0991" w:rsidRPr="00C602FB" w:rsidRDefault="00ED0991" w:rsidP="00ED0991">
            <w:pPr>
              <w:spacing w:after="40" w:line="240" w:lineRule="auto"/>
              <w:jc w:val="left"/>
            </w:pPr>
            <w:r w:rsidRPr="00C602FB">
              <w:rPr>
                <w:sz w:val="20"/>
                <w:szCs w:val="20"/>
              </w:rPr>
              <w:t>Increased understanding, knowledge and enjoyment of the visual arts by providing access to, and information about, works of art locally, nationally and internationally</w:t>
            </w:r>
          </w:p>
        </w:tc>
      </w:tr>
    </w:tbl>
    <w:p w14:paraId="37ECEE2C" w14:textId="3673FD83" w:rsidR="00ED0991" w:rsidRDefault="00ED0991" w:rsidP="002F265C">
      <w:pPr>
        <w:spacing w:after="0" w:line="240" w:lineRule="auto"/>
        <w:jc w:val="left"/>
        <w:rPr>
          <w:rFonts w:eastAsiaTheme="minorEastAsia"/>
          <w:sz w:val="12"/>
          <w:szCs w:val="12"/>
          <w:lang w:eastAsia="en-US"/>
        </w:rPr>
      </w:pPr>
    </w:p>
    <w:tbl>
      <w:tblPr>
        <w:tblStyle w:val="TableGrid3"/>
        <w:tblpPr w:leftFromText="180" w:rightFromText="180" w:vertAnchor="text" w:horzAnchor="margin" w:tblpY="66"/>
        <w:tblW w:w="0" w:type="auto"/>
        <w:tblLook w:val="04A0" w:firstRow="1" w:lastRow="0" w:firstColumn="1" w:lastColumn="0" w:noHBand="0" w:noVBand="1"/>
      </w:tblPr>
      <w:tblGrid>
        <w:gridCol w:w="7700"/>
      </w:tblGrid>
      <w:tr w:rsidR="00AA7A4A" w:rsidRPr="00C602FB" w:rsidDel="00AA7A4A" w14:paraId="1236B783" w14:textId="77777777" w:rsidTr="00AA7A4A">
        <w:trPr>
          <w:trHeight w:val="1100"/>
        </w:trPr>
        <w:tc>
          <w:tcPr>
            <w:tcW w:w="7700" w:type="dxa"/>
            <w:tcBorders>
              <w:bottom w:val="single" w:sz="4" w:space="0" w:color="auto"/>
            </w:tcBorders>
          </w:tcPr>
          <w:p w14:paraId="5F664A60" w14:textId="7E718791" w:rsidR="00AA7A4A" w:rsidRPr="00AA7A4A" w:rsidDel="00AA7A4A" w:rsidRDefault="00AA7A4A" w:rsidP="00AA7A4A">
            <w:pPr>
              <w:spacing w:after="0" w:line="240" w:lineRule="auto"/>
              <w:jc w:val="center"/>
              <w:rPr>
                <w:b/>
                <w:sz w:val="20"/>
                <w:szCs w:val="20"/>
              </w:rPr>
            </w:pPr>
            <w:r w:rsidRPr="00AA7A4A" w:rsidDel="00AA7A4A">
              <w:rPr>
                <w:b/>
                <w:sz w:val="20"/>
                <w:szCs w:val="20"/>
              </w:rPr>
              <w:t xml:space="preserve">National Intermodal Corporation Limited </w:t>
            </w:r>
          </w:p>
          <w:p w14:paraId="72403903" w14:textId="77777777" w:rsidR="00AA7A4A" w:rsidRPr="00BE5611" w:rsidDel="00AA7A4A" w:rsidRDefault="00AA7A4A" w:rsidP="00AA7A4A">
            <w:pPr>
              <w:spacing w:after="0" w:line="240" w:lineRule="auto"/>
              <w:jc w:val="center"/>
              <w:rPr>
                <w:sz w:val="20"/>
                <w:szCs w:val="20"/>
              </w:rPr>
            </w:pPr>
            <w:r w:rsidRPr="00BE5611" w:rsidDel="00AA7A4A">
              <w:rPr>
                <w:sz w:val="20"/>
                <w:szCs w:val="20"/>
              </w:rPr>
              <w:t>Chair: Ms Erin Flaherty</w:t>
            </w:r>
          </w:p>
          <w:p w14:paraId="24D816C3" w14:textId="77777777" w:rsidR="00AA7A4A" w:rsidRPr="00BE5611" w:rsidDel="00AA7A4A" w:rsidRDefault="00AA7A4A" w:rsidP="00AA7A4A">
            <w:pPr>
              <w:spacing w:after="0" w:line="240" w:lineRule="auto"/>
              <w:jc w:val="center"/>
              <w:rPr>
                <w:b/>
                <w:sz w:val="20"/>
                <w:szCs w:val="20"/>
              </w:rPr>
            </w:pPr>
            <w:r w:rsidRPr="002C3E0F" w:rsidDel="00AA7A4A">
              <w:rPr>
                <w:sz w:val="20"/>
                <w:szCs w:val="20"/>
              </w:rPr>
              <w:t xml:space="preserve">Chief Executive Officer: </w:t>
            </w:r>
            <w:r w:rsidRPr="00AA7A4A" w:rsidDel="00AA7A4A">
              <w:rPr>
                <w:sz w:val="20"/>
                <w:szCs w:val="20"/>
              </w:rPr>
              <w:t xml:space="preserve">Mr James </w:t>
            </w:r>
            <w:proofErr w:type="spellStart"/>
            <w:r w:rsidRPr="00AA7A4A" w:rsidDel="00AA7A4A">
              <w:rPr>
                <w:sz w:val="20"/>
                <w:szCs w:val="20"/>
              </w:rPr>
              <w:t>Baulderstone</w:t>
            </w:r>
            <w:proofErr w:type="spellEnd"/>
          </w:p>
          <w:p w14:paraId="10EDF542" w14:textId="77777777" w:rsidR="00AA7A4A" w:rsidRPr="002C3E0F" w:rsidDel="00AA7A4A" w:rsidRDefault="00AA7A4A" w:rsidP="00AA7A4A">
            <w:pPr>
              <w:spacing w:after="40" w:line="240" w:lineRule="auto"/>
              <w:jc w:val="left"/>
              <w:rPr>
                <w:b/>
                <w:sz w:val="20"/>
                <w:szCs w:val="20"/>
              </w:rPr>
            </w:pPr>
            <w:r w:rsidRPr="002C3E0F" w:rsidDel="00AA7A4A">
              <w:rPr>
                <w:b/>
                <w:sz w:val="20"/>
                <w:szCs w:val="20"/>
              </w:rPr>
              <w:t xml:space="preserve">Mission: </w:t>
            </w:r>
          </w:p>
          <w:p w14:paraId="13E6A438" w14:textId="77777777" w:rsidR="00AA7A4A" w:rsidRPr="00AA7A4A" w:rsidDel="00AA7A4A" w:rsidRDefault="00AA7A4A" w:rsidP="00AA7A4A">
            <w:pPr>
              <w:spacing w:after="40" w:line="240" w:lineRule="auto"/>
              <w:jc w:val="left"/>
            </w:pPr>
            <w:r w:rsidRPr="00AA7A4A" w:rsidDel="00AA7A4A">
              <w:rPr>
                <w:sz w:val="20"/>
                <w:szCs w:val="20"/>
              </w:rPr>
              <w:t>To facilitate the development and operation of intermodal freight terminals</w:t>
            </w:r>
          </w:p>
        </w:tc>
      </w:tr>
    </w:tbl>
    <w:p w14:paraId="12C7FC5F" w14:textId="77777777" w:rsidR="00AA7A4A" w:rsidRPr="00C602FB" w:rsidRDefault="00AA7A4A" w:rsidP="00ED0991">
      <w:pPr>
        <w:spacing w:after="0" w:line="240" w:lineRule="auto"/>
        <w:jc w:val="left"/>
        <w:rPr>
          <w:rFonts w:eastAsiaTheme="minorEastAsia"/>
          <w:sz w:val="12"/>
          <w:szCs w:val="12"/>
          <w:lang w:eastAsia="en-US"/>
        </w:rPr>
      </w:pPr>
    </w:p>
    <w:tbl>
      <w:tblPr>
        <w:tblStyle w:val="TableGrid4"/>
        <w:tblW w:w="0" w:type="auto"/>
        <w:tblLook w:val="04A0" w:firstRow="1" w:lastRow="0" w:firstColumn="1" w:lastColumn="0" w:noHBand="0" w:noVBand="1"/>
      </w:tblPr>
      <w:tblGrid>
        <w:gridCol w:w="7700"/>
      </w:tblGrid>
      <w:tr w:rsidR="00ED0991" w:rsidRPr="00C602FB" w14:paraId="72B6103C" w14:textId="77777777" w:rsidTr="00ED0991">
        <w:trPr>
          <w:trHeight w:val="416"/>
        </w:trPr>
        <w:tc>
          <w:tcPr>
            <w:tcW w:w="7700" w:type="dxa"/>
            <w:tcBorders>
              <w:bottom w:val="single" w:sz="4" w:space="0" w:color="auto"/>
            </w:tcBorders>
          </w:tcPr>
          <w:p w14:paraId="1779E31B" w14:textId="77777777" w:rsidR="00ED0991" w:rsidRPr="00C602FB" w:rsidRDefault="00ED0991" w:rsidP="00ED0991">
            <w:pPr>
              <w:spacing w:after="0" w:line="240" w:lineRule="auto"/>
              <w:jc w:val="center"/>
              <w:rPr>
                <w:b/>
                <w:sz w:val="20"/>
                <w:szCs w:val="20"/>
              </w:rPr>
            </w:pPr>
            <w:r w:rsidRPr="00C602FB">
              <w:rPr>
                <w:b/>
                <w:sz w:val="20"/>
                <w:szCs w:val="20"/>
              </w:rPr>
              <w:t>National Library of Australia</w:t>
            </w:r>
          </w:p>
          <w:p w14:paraId="3A0A4379" w14:textId="77777777" w:rsidR="00ED0991" w:rsidRPr="00C602FB" w:rsidRDefault="00ED0991" w:rsidP="00ED0991">
            <w:pPr>
              <w:spacing w:after="0" w:line="240" w:lineRule="auto"/>
              <w:jc w:val="center"/>
              <w:rPr>
                <w:sz w:val="20"/>
                <w:szCs w:val="20"/>
              </w:rPr>
            </w:pPr>
            <w:r w:rsidRPr="00C602FB">
              <w:rPr>
                <w:sz w:val="20"/>
                <w:szCs w:val="20"/>
              </w:rPr>
              <w:t>Chair: The Hon Dr Brett Mason</w:t>
            </w:r>
          </w:p>
          <w:p w14:paraId="36CB496E" w14:textId="4DB08C3B" w:rsidR="00ED0991" w:rsidRPr="00C602FB" w:rsidRDefault="004842C6" w:rsidP="00ED0991">
            <w:pPr>
              <w:spacing w:after="0" w:line="240" w:lineRule="auto"/>
              <w:jc w:val="center"/>
              <w:rPr>
                <w:b/>
                <w:sz w:val="20"/>
                <w:szCs w:val="20"/>
              </w:rPr>
            </w:pPr>
            <w:r w:rsidRPr="004842C6">
              <w:rPr>
                <w:sz w:val="20"/>
                <w:szCs w:val="20"/>
              </w:rPr>
              <w:t xml:space="preserve">Managing Director and CEO: </w:t>
            </w:r>
            <w:r w:rsidR="00ED0991" w:rsidRPr="00C602FB">
              <w:rPr>
                <w:sz w:val="20"/>
                <w:szCs w:val="20"/>
              </w:rPr>
              <w:t>Dr Marie-Louise Ayres</w:t>
            </w:r>
          </w:p>
          <w:p w14:paraId="2FCCDDF3" w14:textId="77777777" w:rsidR="00ED0991" w:rsidRPr="00C602FB" w:rsidRDefault="00ED0991" w:rsidP="00ED0991">
            <w:pPr>
              <w:spacing w:after="40" w:line="240" w:lineRule="auto"/>
              <w:jc w:val="left"/>
              <w:rPr>
                <w:b/>
                <w:sz w:val="20"/>
                <w:szCs w:val="20"/>
              </w:rPr>
            </w:pPr>
            <w:r w:rsidRPr="00C602FB">
              <w:rPr>
                <w:b/>
                <w:sz w:val="20"/>
                <w:szCs w:val="20"/>
              </w:rPr>
              <w:t>Outcome 1:</w:t>
            </w:r>
          </w:p>
          <w:p w14:paraId="616B76B6" w14:textId="77777777" w:rsidR="00ED0991" w:rsidRPr="00C602FB" w:rsidRDefault="00ED0991" w:rsidP="00ED0991">
            <w:pPr>
              <w:spacing w:after="40" w:line="240" w:lineRule="auto"/>
              <w:jc w:val="left"/>
            </w:pPr>
            <w:r w:rsidRPr="00C602FB">
              <w:rPr>
                <w:sz w:val="20"/>
                <w:szCs w:val="20"/>
              </w:rPr>
              <w:t>Enhanced learning, knowledge creation, enjoyment and understanding of Australian life and society by providing access to a national collection of library material</w:t>
            </w:r>
          </w:p>
        </w:tc>
      </w:tr>
    </w:tbl>
    <w:p w14:paraId="4D99D21F" w14:textId="77777777" w:rsidR="00ED0991" w:rsidRPr="00C602FB" w:rsidRDefault="00ED0991" w:rsidP="00ED0991">
      <w:pPr>
        <w:spacing w:after="0" w:line="240" w:lineRule="auto"/>
        <w:jc w:val="left"/>
        <w:rPr>
          <w:rFonts w:eastAsiaTheme="minorEastAsia"/>
          <w:sz w:val="12"/>
          <w:szCs w:val="12"/>
          <w:lang w:eastAsia="en-US"/>
        </w:rPr>
      </w:pPr>
    </w:p>
    <w:tbl>
      <w:tblPr>
        <w:tblStyle w:val="TableGrid4"/>
        <w:tblW w:w="0" w:type="auto"/>
        <w:tblLook w:val="04A0" w:firstRow="1" w:lastRow="0" w:firstColumn="1" w:lastColumn="0" w:noHBand="0" w:noVBand="1"/>
      </w:tblPr>
      <w:tblGrid>
        <w:gridCol w:w="7700"/>
      </w:tblGrid>
      <w:tr w:rsidR="00ED0991" w:rsidRPr="00C602FB" w14:paraId="3F79F48E" w14:textId="77777777" w:rsidTr="00ED0991">
        <w:trPr>
          <w:trHeight w:val="70"/>
        </w:trPr>
        <w:tc>
          <w:tcPr>
            <w:tcW w:w="7700" w:type="dxa"/>
            <w:tcBorders>
              <w:bottom w:val="single" w:sz="4" w:space="0" w:color="auto"/>
            </w:tcBorders>
          </w:tcPr>
          <w:p w14:paraId="211EC0B6" w14:textId="77777777" w:rsidR="00ED0991" w:rsidRPr="00C602FB" w:rsidRDefault="00ED0991" w:rsidP="00ED0991">
            <w:pPr>
              <w:spacing w:after="0" w:line="240" w:lineRule="auto"/>
              <w:jc w:val="center"/>
              <w:rPr>
                <w:b/>
                <w:sz w:val="20"/>
                <w:szCs w:val="20"/>
              </w:rPr>
            </w:pPr>
            <w:r w:rsidRPr="00C602FB">
              <w:rPr>
                <w:b/>
                <w:sz w:val="20"/>
                <w:szCs w:val="20"/>
              </w:rPr>
              <w:t>National Museum of Australia</w:t>
            </w:r>
          </w:p>
          <w:p w14:paraId="2CF12F1F" w14:textId="76657B68" w:rsidR="004842C6" w:rsidRPr="004842C6" w:rsidRDefault="004842C6" w:rsidP="004842C6">
            <w:pPr>
              <w:spacing w:after="0" w:line="240" w:lineRule="auto"/>
              <w:jc w:val="center"/>
              <w:rPr>
                <w:sz w:val="20"/>
                <w:szCs w:val="20"/>
              </w:rPr>
            </w:pPr>
            <w:r w:rsidRPr="004842C6">
              <w:rPr>
                <w:sz w:val="20"/>
                <w:szCs w:val="20"/>
              </w:rPr>
              <w:t xml:space="preserve">Chair: </w:t>
            </w:r>
            <w:r w:rsidR="00F21614">
              <w:rPr>
                <w:sz w:val="20"/>
                <w:szCs w:val="20"/>
              </w:rPr>
              <w:t xml:space="preserve">The </w:t>
            </w:r>
            <w:r w:rsidRPr="004842C6">
              <w:rPr>
                <w:sz w:val="20"/>
                <w:szCs w:val="20"/>
              </w:rPr>
              <w:t>Hon Warwick Smith AO</w:t>
            </w:r>
          </w:p>
          <w:p w14:paraId="5F105088" w14:textId="3BA97AB9" w:rsidR="00ED0991" w:rsidRPr="00C602FB" w:rsidRDefault="004842C6" w:rsidP="004842C6">
            <w:pPr>
              <w:spacing w:after="0" w:line="240" w:lineRule="auto"/>
              <w:jc w:val="center"/>
              <w:rPr>
                <w:b/>
                <w:sz w:val="20"/>
                <w:szCs w:val="20"/>
              </w:rPr>
            </w:pPr>
            <w:r w:rsidRPr="004842C6">
              <w:rPr>
                <w:sz w:val="20"/>
                <w:szCs w:val="20"/>
              </w:rPr>
              <w:t xml:space="preserve">Managing Director and CEO: Dr Mathew </w:t>
            </w:r>
            <w:proofErr w:type="spellStart"/>
            <w:r w:rsidRPr="004842C6">
              <w:rPr>
                <w:sz w:val="20"/>
                <w:szCs w:val="20"/>
              </w:rPr>
              <w:t>Trinca</w:t>
            </w:r>
            <w:proofErr w:type="spellEnd"/>
            <w:r w:rsidRPr="004842C6">
              <w:rPr>
                <w:sz w:val="20"/>
                <w:szCs w:val="20"/>
              </w:rPr>
              <w:t xml:space="preserve"> AM</w:t>
            </w:r>
          </w:p>
          <w:p w14:paraId="0FEE6267" w14:textId="77777777" w:rsidR="00ED0991" w:rsidRPr="00C602FB" w:rsidRDefault="00ED0991" w:rsidP="00ED0991">
            <w:pPr>
              <w:spacing w:after="40" w:line="240" w:lineRule="auto"/>
              <w:jc w:val="left"/>
              <w:rPr>
                <w:b/>
                <w:sz w:val="20"/>
                <w:szCs w:val="20"/>
              </w:rPr>
            </w:pPr>
            <w:r w:rsidRPr="00C602FB">
              <w:rPr>
                <w:b/>
                <w:sz w:val="20"/>
                <w:szCs w:val="20"/>
              </w:rPr>
              <w:t>Outcome 1:</w:t>
            </w:r>
          </w:p>
          <w:p w14:paraId="4741B999" w14:textId="77777777" w:rsidR="00ED0991" w:rsidRPr="00C602FB" w:rsidRDefault="00ED0991" w:rsidP="00ED0991">
            <w:pPr>
              <w:spacing w:after="40" w:line="240" w:lineRule="auto"/>
              <w:jc w:val="left"/>
            </w:pPr>
            <w:r w:rsidRPr="00C602FB">
              <w:rPr>
                <w:sz w:val="20"/>
                <w:szCs w:val="20"/>
              </w:rPr>
              <w:t>Increased awareness and understanding of Australia’s history and culture by managing the National Museum’s collections and providing access through public programs and exhibitions</w:t>
            </w:r>
          </w:p>
        </w:tc>
      </w:tr>
    </w:tbl>
    <w:p w14:paraId="44A7BA7C" w14:textId="77777777" w:rsidR="00ED0991" w:rsidRPr="00C602FB" w:rsidRDefault="00ED0991" w:rsidP="00ED0991">
      <w:pPr>
        <w:spacing w:after="0" w:line="240" w:lineRule="auto"/>
        <w:jc w:val="left"/>
        <w:rPr>
          <w:sz w:val="12"/>
          <w:szCs w:val="12"/>
        </w:rPr>
      </w:pPr>
    </w:p>
    <w:tbl>
      <w:tblPr>
        <w:tblStyle w:val="TableGrid5"/>
        <w:tblW w:w="0" w:type="auto"/>
        <w:tblLook w:val="04A0" w:firstRow="1" w:lastRow="0" w:firstColumn="1" w:lastColumn="0" w:noHBand="0" w:noVBand="1"/>
      </w:tblPr>
      <w:tblGrid>
        <w:gridCol w:w="7700"/>
      </w:tblGrid>
      <w:tr w:rsidR="00ED0991" w:rsidRPr="00C602FB" w14:paraId="6FB5998B" w14:textId="77777777" w:rsidTr="00873A49">
        <w:trPr>
          <w:trHeight w:val="1173"/>
        </w:trPr>
        <w:tc>
          <w:tcPr>
            <w:tcW w:w="7700" w:type="dxa"/>
            <w:tcBorders>
              <w:bottom w:val="single" w:sz="4" w:space="0" w:color="auto"/>
            </w:tcBorders>
          </w:tcPr>
          <w:p w14:paraId="71AA0B26" w14:textId="77777777" w:rsidR="00ED0991" w:rsidRPr="00C602FB" w:rsidRDefault="00ED0991" w:rsidP="00ED0991">
            <w:pPr>
              <w:spacing w:after="0" w:line="240" w:lineRule="auto"/>
              <w:jc w:val="center"/>
              <w:rPr>
                <w:b/>
                <w:sz w:val="20"/>
                <w:szCs w:val="20"/>
              </w:rPr>
            </w:pPr>
            <w:r w:rsidRPr="00C602FB">
              <w:rPr>
                <w:b/>
                <w:sz w:val="20"/>
                <w:szCs w:val="20"/>
              </w:rPr>
              <w:t>National Portrait Gallery of Australia</w:t>
            </w:r>
          </w:p>
          <w:p w14:paraId="237AA46C" w14:textId="474DF7E9" w:rsidR="00ED0991" w:rsidRPr="00DC15CD" w:rsidRDefault="00ED0991" w:rsidP="00ED0991">
            <w:pPr>
              <w:spacing w:after="0" w:line="240" w:lineRule="auto"/>
              <w:jc w:val="center"/>
              <w:rPr>
                <w:sz w:val="20"/>
                <w:szCs w:val="20"/>
              </w:rPr>
            </w:pPr>
            <w:r w:rsidRPr="00DC15CD">
              <w:rPr>
                <w:sz w:val="20"/>
                <w:szCs w:val="20"/>
              </w:rPr>
              <w:t xml:space="preserve">Chair: </w:t>
            </w:r>
            <w:r w:rsidR="005479CB" w:rsidRPr="00DC15CD">
              <w:rPr>
                <w:sz w:val="20"/>
                <w:szCs w:val="20"/>
              </w:rPr>
              <w:t>Mrs Penny Fowler</w:t>
            </w:r>
          </w:p>
          <w:p w14:paraId="33028134" w14:textId="4102E20E" w:rsidR="00ED0991" w:rsidRPr="00C602FB" w:rsidRDefault="004842C6" w:rsidP="00ED0991">
            <w:pPr>
              <w:spacing w:after="0" w:line="240" w:lineRule="auto"/>
              <w:jc w:val="center"/>
              <w:rPr>
                <w:b/>
                <w:sz w:val="20"/>
                <w:szCs w:val="20"/>
              </w:rPr>
            </w:pPr>
            <w:r w:rsidRPr="004842C6">
              <w:rPr>
                <w:sz w:val="20"/>
                <w:szCs w:val="20"/>
              </w:rPr>
              <w:t>Deputy Chair: Mr Sydney Myer AM</w:t>
            </w:r>
          </w:p>
          <w:p w14:paraId="022363B0" w14:textId="77777777" w:rsidR="00ED0991" w:rsidRPr="00C602FB" w:rsidRDefault="00ED0991" w:rsidP="00ED0991">
            <w:pPr>
              <w:spacing w:after="40" w:line="240" w:lineRule="auto"/>
              <w:jc w:val="left"/>
              <w:rPr>
                <w:b/>
                <w:sz w:val="20"/>
                <w:szCs w:val="20"/>
              </w:rPr>
            </w:pPr>
            <w:r w:rsidRPr="00C602FB">
              <w:rPr>
                <w:b/>
                <w:sz w:val="20"/>
                <w:szCs w:val="20"/>
              </w:rPr>
              <w:t>Outcome 1:</w:t>
            </w:r>
          </w:p>
          <w:p w14:paraId="22B40878" w14:textId="77777777" w:rsidR="00ED0991" w:rsidRPr="00C602FB" w:rsidRDefault="00ED0991" w:rsidP="00ED0991">
            <w:pPr>
              <w:spacing w:after="40" w:line="240" w:lineRule="auto"/>
              <w:jc w:val="left"/>
            </w:pPr>
            <w:r w:rsidRPr="00C602FB">
              <w:rPr>
                <w:sz w:val="20"/>
                <w:szCs w:val="20"/>
              </w:rPr>
              <w:t>Enhanced understanding and appreciation of Australian identity, culture and diversity through portraiture by engaging the public in education programs and exhibitions, and by developing and preserving the national portrait collection</w:t>
            </w:r>
          </w:p>
        </w:tc>
      </w:tr>
    </w:tbl>
    <w:p w14:paraId="24D051F3" w14:textId="2D80BFFA" w:rsidR="002F265C" w:rsidRDefault="002F265C" w:rsidP="00ED0991">
      <w:pPr>
        <w:spacing w:after="0" w:line="240" w:lineRule="auto"/>
        <w:jc w:val="left"/>
        <w:rPr>
          <w:rFonts w:eastAsiaTheme="minorEastAsia"/>
          <w:sz w:val="12"/>
          <w:szCs w:val="12"/>
          <w:lang w:eastAsia="en-US"/>
        </w:rPr>
      </w:pPr>
    </w:p>
    <w:p w14:paraId="3F51B77B" w14:textId="77777777" w:rsidR="002F265C" w:rsidRDefault="002F265C">
      <w:pPr>
        <w:spacing w:after="0" w:line="240" w:lineRule="auto"/>
        <w:jc w:val="left"/>
        <w:rPr>
          <w:rFonts w:eastAsiaTheme="minorEastAsia"/>
          <w:sz w:val="12"/>
          <w:szCs w:val="12"/>
          <w:lang w:eastAsia="en-US"/>
        </w:rPr>
      </w:pPr>
      <w:r>
        <w:rPr>
          <w:rFonts w:eastAsiaTheme="minorEastAsia"/>
          <w:sz w:val="12"/>
          <w:szCs w:val="12"/>
          <w:lang w:eastAsia="en-US"/>
        </w:rPr>
        <w:br w:type="page"/>
      </w:r>
    </w:p>
    <w:p w14:paraId="4E910BDB" w14:textId="796F3702" w:rsidR="00ED0991" w:rsidRPr="002F265C" w:rsidRDefault="002F265C" w:rsidP="002F265C">
      <w:pPr>
        <w:spacing w:after="120" w:line="240" w:lineRule="auto"/>
        <w:jc w:val="center"/>
        <w:rPr>
          <w:rFonts w:ascii="Arial" w:eastAsiaTheme="minorEastAsia" w:hAnsi="Arial" w:cs="Arial"/>
          <w:b/>
          <w:lang w:eastAsia="en-US"/>
        </w:rPr>
      </w:pPr>
      <w:r w:rsidRPr="002F265C">
        <w:rPr>
          <w:rFonts w:ascii="Arial" w:hAnsi="Arial" w:cs="Arial"/>
          <w:b/>
        </w:rPr>
        <w:lastRenderedPageBreak/>
        <w:t xml:space="preserve">Figure 1: Infrastructure, Transport, Regional Development and Communications </w:t>
      </w:r>
      <w:r w:rsidR="00A00D08">
        <w:rPr>
          <w:rFonts w:ascii="Arial" w:hAnsi="Arial" w:cs="Arial"/>
          <w:b/>
        </w:rPr>
        <w:t>P</w:t>
      </w:r>
      <w:r w:rsidRPr="002F265C">
        <w:rPr>
          <w:rFonts w:ascii="Arial" w:hAnsi="Arial" w:cs="Arial"/>
          <w:b/>
        </w:rPr>
        <w:t>ortfolio structure and outcomes (continued)</w:t>
      </w:r>
    </w:p>
    <w:tbl>
      <w:tblPr>
        <w:tblStyle w:val="TableGrid5"/>
        <w:tblW w:w="0" w:type="auto"/>
        <w:tblLook w:val="04A0" w:firstRow="1" w:lastRow="0" w:firstColumn="1" w:lastColumn="0" w:noHBand="0" w:noVBand="1"/>
      </w:tblPr>
      <w:tblGrid>
        <w:gridCol w:w="7700"/>
      </w:tblGrid>
      <w:tr w:rsidR="00ED0991" w:rsidRPr="00C602FB" w14:paraId="50285F93" w14:textId="77777777" w:rsidTr="00873A49">
        <w:trPr>
          <w:trHeight w:val="1613"/>
        </w:trPr>
        <w:tc>
          <w:tcPr>
            <w:tcW w:w="7700" w:type="dxa"/>
            <w:tcBorders>
              <w:bottom w:val="single" w:sz="4" w:space="0" w:color="auto"/>
            </w:tcBorders>
          </w:tcPr>
          <w:p w14:paraId="66E492D8" w14:textId="77777777" w:rsidR="00ED0991" w:rsidRPr="00C602FB" w:rsidRDefault="00ED0991" w:rsidP="00ED0991">
            <w:pPr>
              <w:spacing w:after="0" w:line="240" w:lineRule="auto"/>
              <w:jc w:val="center"/>
              <w:rPr>
                <w:b/>
                <w:sz w:val="20"/>
                <w:szCs w:val="20"/>
              </w:rPr>
            </w:pPr>
            <w:r w:rsidRPr="00C602FB">
              <w:rPr>
                <w:b/>
                <w:sz w:val="20"/>
                <w:szCs w:val="20"/>
              </w:rPr>
              <w:t>National Transport Commission</w:t>
            </w:r>
          </w:p>
          <w:p w14:paraId="69E251D1" w14:textId="77777777" w:rsidR="00ED0991" w:rsidRPr="00C602FB" w:rsidRDefault="00ED0991" w:rsidP="00ED0991">
            <w:pPr>
              <w:spacing w:after="0" w:line="240" w:lineRule="auto"/>
              <w:jc w:val="center"/>
              <w:rPr>
                <w:sz w:val="20"/>
                <w:szCs w:val="20"/>
              </w:rPr>
            </w:pPr>
            <w:r w:rsidRPr="00C602FB">
              <w:rPr>
                <w:sz w:val="20"/>
                <w:szCs w:val="20"/>
              </w:rPr>
              <w:t>Chair and Ordinary Member: Ms Carolyn Walsh</w:t>
            </w:r>
          </w:p>
          <w:p w14:paraId="2A69A79A" w14:textId="77777777" w:rsidR="00ED0991" w:rsidRPr="00C602FB" w:rsidRDefault="00ED0991" w:rsidP="00ED0991">
            <w:pPr>
              <w:spacing w:after="0" w:line="240" w:lineRule="auto"/>
              <w:jc w:val="center"/>
              <w:rPr>
                <w:b/>
                <w:sz w:val="20"/>
                <w:szCs w:val="20"/>
              </w:rPr>
            </w:pPr>
            <w:r w:rsidRPr="00C602FB">
              <w:rPr>
                <w:sz w:val="20"/>
                <w:szCs w:val="20"/>
              </w:rPr>
              <w:t>Chief Executive Officer: Dr Gillian Miles</w:t>
            </w:r>
          </w:p>
          <w:p w14:paraId="324F8F45" w14:textId="77777777" w:rsidR="00ED0991" w:rsidRPr="00C602FB" w:rsidRDefault="00ED0991" w:rsidP="00ED0991">
            <w:pPr>
              <w:spacing w:after="40" w:line="240" w:lineRule="auto"/>
              <w:jc w:val="left"/>
              <w:rPr>
                <w:b/>
                <w:sz w:val="20"/>
                <w:szCs w:val="20"/>
              </w:rPr>
            </w:pPr>
            <w:r w:rsidRPr="00C602FB">
              <w:rPr>
                <w:b/>
                <w:sz w:val="20"/>
                <w:szCs w:val="20"/>
              </w:rPr>
              <w:t>Outcome 1:</w:t>
            </w:r>
          </w:p>
          <w:p w14:paraId="3138191E" w14:textId="32052434" w:rsidR="00ED0991" w:rsidRPr="00C602FB" w:rsidRDefault="00ED0991" w:rsidP="000672C0">
            <w:pPr>
              <w:spacing w:after="40" w:line="240" w:lineRule="auto"/>
              <w:jc w:val="left"/>
            </w:pPr>
            <w:r w:rsidRPr="00C602FB">
              <w:rPr>
                <w:sz w:val="20"/>
                <w:szCs w:val="20"/>
              </w:rPr>
              <w:t>Improved transport productivity, efficiency, safety and environmental performance and regulatory efficiency in Australia through developing, monitoring and</w:t>
            </w:r>
            <w:r w:rsidR="004F5BBE">
              <w:rPr>
                <w:sz w:val="20"/>
                <w:szCs w:val="20"/>
              </w:rPr>
              <w:t> </w:t>
            </w:r>
            <w:r w:rsidRPr="00C602FB">
              <w:rPr>
                <w:sz w:val="20"/>
                <w:szCs w:val="20"/>
              </w:rPr>
              <w:t>maintaining nationally consistent regulatory and operational arrangements relating to road, rail and intermodal transport</w:t>
            </w:r>
          </w:p>
        </w:tc>
      </w:tr>
    </w:tbl>
    <w:p w14:paraId="37E775C7" w14:textId="18E97EA4" w:rsidR="00873A49" w:rsidRDefault="00873A49" w:rsidP="002F265C">
      <w:pPr>
        <w:pStyle w:val="FigureHeading"/>
        <w:spacing w:after="0"/>
        <w:jc w:val="left"/>
        <w:rPr>
          <w:rFonts w:ascii="Book Antiqua" w:hAnsi="Book Antiqua"/>
          <w:sz w:val="12"/>
        </w:rPr>
      </w:pPr>
    </w:p>
    <w:tbl>
      <w:tblPr>
        <w:tblStyle w:val="TableGrid5"/>
        <w:tblW w:w="0" w:type="auto"/>
        <w:tblLook w:val="04A0" w:firstRow="1" w:lastRow="0" w:firstColumn="1" w:lastColumn="0" w:noHBand="0" w:noVBand="1"/>
      </w:tblPr>
      <w:tblGrid>
        <w:gridCol w:w="7700"/>
      </w:tblGrid>
      <w:tr w:rsidR="00ED0991" w:rsidRPr="00C602FB" w14:paraId="200BD672" w14:textId="77777777" w:rsidTr="00ED0991">
        <w:trPr>
          <w:trHeight w:val="1234"/>
        </w:trPr>
        <w:tc>
          <w:tcPr>
            <w:tcW w:w="7700" w:type="dxa"/>
            <w:tcBorders>
              <w:bottom w:val="single" w:sz="4" w:space="0" w:color="auto"/>
            </w:tcBorders>
          </w:tcPr>
          <w:p w14:paraId="459E11EF" w14:textId="77777777" w:rsidR="00ED0991" w:rsidRPr="00C602FB" w:rsidRDefault="00ED0991" w:rsidP="00ED0991">
            <w:pPr>
              <w:spacing w:after="0" w:line="240" w:lineRule="auto"/>
              <w:jc w:val="center"/>
              <w:rPr>
                <w:b/>
                <w:sz w:val="20"/>
                <w:szCs w:val="20"/>
              </w:rPr>
            </w:pPr>
            <w:r w:rsidRPr="00C602FB">
              <w:rPr>
                <w:b/>
                <w:sz w:val="20"/>
                <w:szCs w:val="20"/>
              </w:rPr>
              <w:t>NBN Co Limited</w:t>
            </w:r>
          </w:p>
          <w:p w14:paraId="5C22D1F8" w14:textId="69D59099" w:rsidR="00ED0991" w:rsidRPr="00C602FB" w:rsidRDefault="00BF1483" w:rsidP="00ED0991">
            <w:pPr>
              <w:spacing w:after="0" w:line="240" w:lineRule="auto"/>
              <w:jc w:val="center"/>
              <w:rPr>
                <w:sz w:val="20"/>
                <w:szCs w:val="20"/>
              </w:rPr>
            </w:pPr>
            <w:r w:rsidRPr="003E0081">
              <w:rPr>
                <w:sz w:val="20"/>
                <w:szCs w:val="20"/>
              </w:rPr>
              <w:t>Chair</w:t>
            </w:r>
            <w:r w:rsidR="00ED0991" w:rsidRPr="003E0081">
              <w:rPr>
                <w:sz w:val="20"/>
                <w:szCs w:val="20"/>
              </w:rPr>
              <w:t xml:space="preserve">: </w:t>
            </w:r>
            <w:r w:rsidR="005479CB" w:rsidRPr="005479CB">
              <w:rPr>
                <w:sz w:val="20"/>
                <w:szCs w:val="20"/>
              </w:rPr>
              <w:t>Ms Kate McKenzie</w:t>
            </w:r>
          </w:p>
          <w:p w14:paraId="3EDDF042" w14:textId="2AD172B9" w:rsidR="00ED0991" w:rsidRPr="00C602FB" w:rsidRDefault="00ED0991" w:rsidP="00ED0991">
            <w:pPr>
              <w:spacing w:after="0" w:line="240" w:lineRule="auto"/>
              <w:jc w:val="center"/>
              <w:rPr>
                <w:b/>
                <w:sz w:val="20"/>
                <w:szCs w:val="20"/>
              </w:rPr>
            </w:pPr>
            <w:r w:rsidRPr="00C602FB">
              <w:rPr>
                <w:sz w:val="20"/>
                <w:szCs w:val="20"/>
              </w:rPr>
              <w:t>Chief Executive Officer: Mr Stephen Rue</w:t>
            </w:r>
          </w:p>
          <w:p w14:paraId="6356F3A8" w14:textId="77777777" w:rsidR="00ED0991" w:rsidRPr="003E0081" w:rsidRDefault="00ED0991" w:rsidP="00ED0991">
            <w:pPr>
              <w:spacing w:after="40" w:line="240" w:lineRule="auto"/>
              <w:jc w:val="left"/>
              <w:rPr>
                <w:b/>
                <w:sz w:val="20"/>
                <w:szCs w:val="20"/>
              </w:rPr>
            </w:pPr>
            <w:r w:rsidRPr="003E0081">
              <w:rPr>
                <w:b/>
                <w:sz w:val="20"/>
                <w:szCs w:val="20"/>
              </w:rPr>
              <w:t>Mission:</w:t>
            </w:r>
          </w:p>
          <w:p w14:paraId="19CE7283" w14:textId="080B346E" w:rsidR="00ED0991" w:rsidRPr="00C602FB" w:rsidRDefault="003E0081" w:rsidP="003E0081">
            <w:pPr>
              <w:spacing w:after="40" w:line="240" w:lineRule="auto"/>
              <w:jc w:val="left"/>
            </w:pPr>
            <w:r w:rsidRPr="003E0081">
              <w:rPr>
                <w:sz w:val="20"/>
                <w:szCs w:val="20"/>
              </w:rPr>
              <w:t>To maximise the economic and social benefits of the National Broadband Network, support retailers to reliably and affordably meet the current and future broadband needs of households and businesses, and to operate as a sustainable, commercial busi</w:t>
            </w:r>
            <w:r w:rsidR="00EA28AF">
              <w:rPr>
                <w:sz w:val="20"/>
                <w:szCs w:val="20"/>
              </w:rPr>
              <w:t>ness</w:t>
            </w:r>
          </w:p>
        </w:tc>
      </w:tr>
    </w:tbl>
    <w:p w14:paraId="012E9881" w14:textId="77777777" w:rsidR="00ED0991" w:rsidRPr="00C602FB" w:rsidRDefault="00ED0991" w:rsidP="00ED0991">
      <w:pPr>
        <w:spacing w:after="0" w:line="240" w:lineRule="auto"/>
        <w:jc w:val="left"/>
        <w:rPr>
          <w:rFonts w:eastAsiaTheme="minorEastAsia"/>
          <w:sz w:val="12"/>
          <w:szCs w:val="12"/>
          <w:lang w:eastAsia="en-US"/>
        </w:rPr>
      </w:pPr>
    </w:p>
    <w:tbl>
      <w:tblPr>
        <w:tblStyle w:val="TableGrid5"/>
        <w:tblW w:w="0" w:type="auto"/>
        <w:tblLook w:val="04A0" w:firstRow="1" w:lastRow="0" w:firstColumn="1" w:lastColumn="0" w:noHBand="0" w:noVBand="1"/>
      </w:tblPr>
      <w:tblGrid>
        <w:gridCol w:w="7700"/>
      </w:tblGrid>
      <w:tr w:rsidR="00BF1483" w:rsidRPr="00770C95" w14:paraId="239CDEE2" w14:textId="77777777" w:rsidTr="00024FB3">
        <w:trPr>
          <w:trHeight w:val="1234"/>
        </w:trPr>
        <w:tc>
          <w:tcPr>
            <w:tcW w:w="7700" w:type="dxa"/>
            <w:tcBorders>
              <w:bottom w:val="single" w:sz="4" w:space="0" w:color="auto"/>
            </w:tcBorders>
          </w:tcPr>
          <w:p w14:paraId="2383ADE8" w14:textId="1613F1D1" w:rsidR="00BF1483" w:rsidRPr="001A7230" w:rsidRDefault="00BF1483" w:rsidP="00BF1483">
            <w:pPr>
              <w:spacing w:after="0"/>
              <w:jc w:val="center"/>
              <w:rPr>
                <w:b/>
                <w:sz w:val="20"/>
                <w:szCs w:val="20"/>
              </w:rPr>
            </w:pPr>
            <w:r w:rsidRPr="001A7230">
              <w:rPr>
                <w:b/>
                <w:sz w:val="20"/>
                <w:szCs w:val="20"/>
              </w:rPr>
              <w:t xml:space="preserve">Northern Australia Infrastructure Facility </w:t>
            </w:r>
          </w:p>
          <w:p w14:paraId="0DB36DC2" w14:textId="77777777" w:rsidR="00BF1483" w:rsidRPr="001A7230" w:rsidRDefault="00BF1483" w:rsidP="00BF1483">
            <w:pPr>
              <w:spacing w:after="0"/>
              <w:jc w:val="center"/>
              <w:rPr>
                <w:sz w:val="20"/>
                <w:szCs w:val="20"/>
              </w:rPr>
            </w:pPr>
            <w:r w:rsidRPr="001A7230">
              <w:rPr>
                <w:sz w:val="20"/>
                <w:szCs w:val="20"/>
              </w:rPr>
              <w:t>Chair: Ms Tracey Hayes</w:t>
            </w:r>
          </w:p>
          <w:p w14:paraId="3786621A" w14:textId="77777777" w:rsidR="00BF1483" w:rsidRPr="001A7230" w:rsidRDefault="00BF1483" w:rsidP="00BF1483">
            <w:pPr>
              <w:spacing w:after="0"/>
              <w:jc w:val="center"/>
              <w:rPr>
                <w:b/>
                <w:sz w:val="20"/>
                <w:szCs w:val="20"/>
              </w:rPr>
            </w:pPr>
            <w:r w:rsidRPr="001A7230">
              <w:rPr>
                <w:sz w:val="20"/>
                <w:szCs w:val="20"/>
              </w:rPr>
              <w:t>Chief Executive Officer: Ms Amanda Copping</w:t>
            </w:r>
          </w:p>
          <w:p w14:paraId="2477BA71" w14:textId="73119F96" w:rsidR="00BE5611" w:rsidRPr="001A7230" w:rsidRDefault="00065B37" w:rsidP="00BF1483">
            <w:pPr>
              <w:spacing w:after="0"/>
              <w:rPr>
                <w:b/>
                <w:sz w:val="20"/>
                <w:szCs w:val="20"/>
              </w:rPr>
            </w:pPr>
            <w:r>
              <w:rPr>
                <w:b/>
                <w:sz w:val="20"/>
                <w:szCs w:val="20"/>
              </w:rPr>
              <w:t>Outcome 1:</w:t>
            </w:r>
          </w:p>
          <w:p w14:paraId="56089DDC" w14:textId="6AEDD56E" w:rsidR="00AA7A4A" w:rsidRPr="001A7230" w:rsidRDefault="00AA7A4A" w:rsidP="00065B37">
            <w:pPr>
              <w:spacing w:after="0"/>
              <w:jc w:val="left"/>
              <w:rPr>
                <w:sz w:val="20"/>
                <w:szCs w:val="20"/>
              </w:rPr>
            </w:pPr>
            <w:r w:rsidRPr="001A7230">
              <w:rPr>
                <w:sz w:val="20"/>
                <w:szCs w:val="20"/>
              </w:rPr>
              <w:t>Enable economic growth in northern Australia, by facilitating private sector investment in economic infrastructure through the provision of concessional f</w:t>
            </w:r>
            <w:r w:rsidR="00065B37">
              <w:rPr>
                <w:sz w:val="20"/>
                <w:szCs w:val="20"/>
              </w:rPr>
              <w:t>inancing delivered through the S</w:t>
            </w:r>
            <w:r w:rsidRPr="001A7230">
              <w:rPr>
                <w:sz w:val="20"/>
                <w:szCs w:val="20"/>
              </w:rPr>
              <w:t xml:space="preserve">tate and </w:t>
            </w:r>
            <w:r w:rsidR="00065B37">
              <w:rPr>
                <w:sz w:val="20"/>
                <w:szCs w:val="20"/>
              </w:rPr>
              <w:t>T</w:t>
            </w:r>
            <w:r w:rsidRPr="001A7230">
              <w:rPr>
                <w:sz w:val="20"/>
                <w:szCs w:val="20"/>
              </w:rPr>
              <w:t xml:space="preserve">erritory </w:t>
            </w:r>
            <w:r w:rsidR="00065B37">
              <w:rPr>
                <w:sz w:val="20"/>
                <w:szCs w:val="20"/>
              </w:rPr>
              <w:t>G</w:t>
            </w:r>
            <w:r w:rsidRPr="001A7230">
              <w:rPr>
                <w:sz w:val="20"/>
                <w:szCs w:val="20"/>
              </w:rPr>
              <w:t>overnments</w:t>
            </w:r>
          </w:p>
        </w:tc>
      </w:tr>
    </w:tbl>
    <w:p w14:paraId="541F5566" w14:textId="77777777" w:rsidR="00BF1483" w:rsidRPr="00770C95" w:rsidRDefault="00BF1483" w:rsidP="00BF1483">
      <w:pPr>
        <w:spacing w:after="0" w:line="240" w:lineRule="auto"/>
        <w:rPr>
          <w:rFonts w:eastAsiaTheme="minorEastAsia"/>
          <w:sz w:val="12"/>
          <w:szCs w:val="12"/>
        </w:rPr>
      </w:pPr>
    </w:p>
    <w:tbl>
      <w:tblPr>
        <w:tblStyle w:val="TableGrid5"/>
        <w:tblW w:w="0" w:type="auto"/>
        <w:tblLook w:val="04A0" w:firstRow="1" w:lastRow="0" w:firstColumn="1" w:lastColumn="0" w:noHBand="0" w:noVBand="1"/>
      </w:tblPr>
      <w:tblGrid>
        <w:gridCol w:w="7700"/>
      </w:tblGrid>
      <w:tr w:rsidR="00BF1483" w:rsidRPr="00770C95" w14:paraId="14A71DC9" w14:textId="77777777" w:rsidTr="00024FB3">
        <w:trPr>
          <w:trHeight w:val="1233"/>
        </w:trPr>
        <w:tc>
          <w:tcPr>
            <w:tcW w:w="7700" w:type="dxa"/>
            <w:tcBorders>
              <w:bottom w:val="single" w:sz="4" w:space="0" w:color="auto"/>
            </w:tcBorders>
          </w:tcPr>
          <w:p w14:paraId="511C06F7" w14:textId="77777777" w:rsidR="00BF1483" w:rsidRPr="00770C95" w:rsidRDefault="00BF1483" w:rsidP="00BF1483">
            <w:pPr>
              <w:spacing w:after="0"/>
              <w:jc w:val="center"/>
              <w:rPr>
                <w:b/>
                <w:sz w:val="20"/>
                <w:szCs w:val="20"/>
              </w:rPr>
            </w:pPr>
            <w:r w:rsidRPr="00770C95">
              <w:rPr>
                <w:b/>
                <w:sz w:val="20"/>
                <w:szCs w:val="20"/>
              </w:rPr>
              <w:t>North Queensland Water Infrastructure Authority</w:t>
            </w:r>
          </w:p>
          <w:p w14:paraId="3B441490" w14:textId="664F054D" w:rsidR="00BF1483" w:rsidRPr="001B57C7" w:rsidRDefault="00BF1483" w:rsidP="00BF1483">
            <w:pPr>
              <w:spacing w:after="0"/>
              <w:jc w:val="center"/>
              <w:rPr>
                <w:sz w:val="20"/>
                <w:szCs w:val="20"/>
              </w:rPr>
            </w:pPr>
            <w:r w:rsidRPr="00BF1483">
              <w:rPr>
                <w:sz w:val="20"/>
                <w:szCs w:val="20"/>
              </w:rPr>
              <w:t xml:space="preserve">Chief Executive Officer: </w:t>
            </w:r>
            <w:r w:rsidR="001B57C7" w:rsidRPr="001B57C7">
              <w:rPr>
                <w:sz w:val="20"/>
                <w:szCs w:val="20"/>
              </w:rPr>
              <w:t xml:space="preserve">Mr James </w:t>
            </w:r>
            <w:proofErr w:type="spellStart"/>
            <w:r w:rsidR="001B57C7" w:rsidRPr="001B57C7">
              <w:rPr>
                <w:sz w:val="20"/>
                <w:szCs w:val="20"/>
              </w:rPr>
              <w:t>Pruss</w:t>
            </w:r>
            <w:proofErr w:type="spellEnd"/>
            <w:r w:rsidR="001B57C7" w:rsidRPr="001B57C7">
              <w:rPr>
                <w:sz w:val="20"/>
                <w:szCs w:val="20"/>
              </w:rPr>
              <w:t xml:space="preserve"> </w:t>
            </w:r>
          </w:p>
          <w:p w14:paraId="3DD5A231" w14:textId="77777777" w:rsidR="00BF1483" w:rsidRPr="00770C95" w:rsidRDefault="00BF1483" w:rsidP="00BF1483">
            <w:pPr>
              <w:spacing w:after="0"/>
              <w:rPr>
                <w:b/>
                <w:sz w:val="20"/>
                <w:szCs w:val="20"/>
              </w:rPr>
            </w:pPr>
            <w:r w:rsidRPr="00770C95">
              <w:rPr>
                <w:b/>
                <w:sz w:val="20"/>
                <w:szCs w:val="20"/>
              </w:rPr>
              <w:t>Outcome 1:</w:t>
            </w:r>
          </w:p>
          <w:p w14:paraId="47BC0F63" w14:textId="77777777" w:rsidR="00BF1483" w:rsidRPr="00770C95" w:rsidRDefault="00BF1483" w:rsidP="00E53168">
            <w:pPr>
              <w:spacing w:after="0"/>
              <w:jc w:val="left"/>
            </w:pPr>
            <w:r w:rsidRPr="00770C95">
              <w:rPr>
                <w:sz w:val="20"/>
                <w:szCs w:val="20"/>
              </w:rPr>
              <w:t>Progress the development of water resource projects in North Queensland, through strategic planning and coordination of information sharing among relevant regulatory authorities and stakeholders</w:t>
            </w:r>
          </w:p>
        </w:tc>
      </w:tr>
    </w:tbl>
    <w:p w14:paraId="70B32C03" w14:textId="40A908A4" w:rsidR="00632091" w:rsidRPr="00C602FB" w:rsidRDefault="00632091" w:rsidP="00ED0991">
      <w:pPr>
        <w:spacing w:after="0" w:line="240" w:lineRule="auto"/>
        <w:jc w:val="left"/>
        <w:rPr>
          <w:rFonts w:eastAsiaTheme="minorEastAsia"/>
          <w:sz w:val="12"/>
          <w:szCs w:val="12"/>
          <w:lang w:eastAsia="en-US"/>
        </w:rPr>
      </w:pPr>
    </w:p>
    <w:tbl>
      <w:tblPr>
        <w:tblStyle w:val="TableGrid5"/>
        <w:tblW w:w="0" w:type="auto"/>
        <w:tblLook w:val="04A0" w:firstRow="1" w:lastRow="0" w:firstColumn="1" w:lastColumn="0" w:noHBand="0" w:noVBand="1"/>
      </w:tblPr>
      <w:tblGrid>
        <w:gridCol w:w="7700"/>
      </w:tblGrid>
      <w:tr w:rsidR="00ED0991" w:rsidRPr="00C602FB" w14:paraId="74C10B2D" w14:textId="77777777" w:rsidTr="00ED0991">
        <w:trPr>
          <w:trHeight w:val="1368"/>
        </w:trPr>
        <w:tc>
          <w:tcPr>
            <w:tcW w:w="7700" w:type="dxa"/>
            <w:tcBorders>
              <w:bottom w:val="single" w:sz="4" w:space="0" w:color="auto"/>
            </w:tcBorders>
          </w:tcPr>
          <w:p w14:paraId="2BD33625" w14:textId="77777777" w:rsidR="00ED0991" w:rsidRPr="00C602FB" w:rsidRDefault="00ED0991" w:rsidP="00ED0991">
            <w:pPr>
              <w:spacing w:after="0" w:line="240" w:lineRule="auto"/>
              <w:jc w:val="center"/>
              <w:rPr>
                <w:b/>
                <w:sz w:val="20"/>
                <w:szCs w:val="20"/>
              </w:rPr>
            </w:pPr>
            <w:r w:rsidRPr="00C602FB">
              <w:rPr>
                <w:b/>
                <w:sz w:val="20"/>
                <w:szCs w:val="20"/>
              </w:rPr>
              <w:t>Screen Australia</w:t>
            </w:r>
          </w:p>
          <w:p w14:paraId="60D0E322" w14:textId="77777777" w:rsidR="00ED0991" w:rsidRPr="00C602FB" w:rsidRDefault="00ED0991" w:rsidP="00ED0991">
            <w:pPr>
              <w:spacing w:after="0" w:line="240" w:lineRule="auto"/>
              <w:jc w:val="center"/>
              <w:rPr>
                <w:sz w:val="20"/>
                <w:szCs w:val="20"/>
              </w:rPr>
            </w:pPr>
            <w:r w:rsidRPr="00C602FB">
              <w:rPr>
                <w:sz w:val="20"/>
                <w:szCs w:val="20"/>
              </w:rPr>
              <w:t>Chair: Mr Nicholas Moore</w:t>
            </w:r>
          </w:p>
          <w:p w14:paraId="48A68A4F" w14:textId="751A6710" w:rsidR="00ED0991" w:rsidRPr="00C602FB" w:rsidRDefault="00BF1483" w:rsidP="00ED0991">
            <w:pPr>
              <w:spacing w:after="0" w:line="240" w:lineRule="auto"/>
              <w:jc w:val="center"/>
              <w:rPr>
                <w:b/>
                <w:sz w:val="20"/>
                <w:szCs w:val="20"/>
              </w:rPr>
            </w:pPr>
            <w:r w:rsidRPr="00BF1483">
              <w:rPr>
                <w:sz w:val="20"/>
                <w:szCs w:val="20"/>
              </w:rPr>
              <w:t>Deputy Chair: Ms Megan Brownlow</w:t>
            </w:r>
          </w:p>
          <w:p w14:paraId="3814D550" w14:textId="77777777" w:rsidR="00ED0991" w:rsidRPr="00C602FB" w:rsidRDefault="00ED0991" w:rsidP="00ED0991">
            <w:pPr>
              <w:spacing w:after="40" w:line="240" w:lineRule="auto"/>
              <w:jc w:val="left"/>
              <w:rPr>
                <w:b/>
                <w:sz w:val="20"/>
                <w:szCs w:val="20"/>
              </w:rPr>
            </w:pPr>
            <w:r w:rsidRPr="00C602FB">
              <w:rPr>
                <w:b/>
                <w:sz w:val="20"/>
                <w:szCs w:val="20"/>
              </w:rPr>
              <w:t>Outcome 1:</w:t>
            </w:r>
          </w:p>
          <w:p w14:paraId="12482506" w14:textId="77777777" w:rsidR="00ED0991" w:rsidRPr="00C602FB" w:rsidRDefault="00ED0991" w:rsidP="00ED0991">
            <w:pPr>
              <w:spacing w:after="40" w:line="240" w:lineRule="auto"/>
              <w:jc w:val="left"/>
            </w:pPr>
            <w:r w:rsidRPr="00C602FB">
              <w:rPr>
                <w:sz w:val="20"/>
                <w:szCs w:val="20"/>
              </w:rPr>
              <w:t>Promote engaged audiences and support a creative, innovative and commercially sustainable screen industry through the funding and promotion of diverse Australian screen product</w:t>
            </w:r>
          </w:p>
        </w:tc>
      </w:tr>
    </w:tbl>
    <w:p w14:paraId="2CD6BFCD" w14:textId="6EE72D66" w:rsidR="002F265C" w:rsidRDefault="002F265C" w:rsidP="00ED0991">
      <w:pPr>
        <w:spacing w:after="0" w:line="240" w:lineRule="auto"/>
        <w:jc w:val="left"/>
        <w:rPr>
          <w:rFonts w:eastAsiaTheme="minorEastAsia"/>
          <w:sz w:val="12"/>
          <w:szCs w:val="12"/>
          <w:lang w:eastAsia="en-US"/>
        </w:rPr>
      </w:pPr>
    </w:p>
    <w:p w14:paraId="35C594FF" w14:textId="77777777" w:rsidR="002F265C" w:rsidRDefault="002F265C">
      <w:pPr>
        <w:spacing w:after="0" w:line="240" w:lineRule="auto"/>
        <w:jc w:val="left"/>
        <w:rPr>
          <w:rFonts w:eastAsiaTheme="minorEastAsia"/>
          <w:sz w:val="12"/>
          <w:szCs w:val="12"/>
          <w:lang w:eastAsia="en-US"/>
        </w:rPr>
      </w:pPr>
      <w:r>
        <w:rPr>
          <w:rFonts w:eastAsiaTheme="minorEastAsia"/>
          <w:sz w:val="12"/>
          <w:szCs w:val="12"/>
          <w:lang w:eastAsia="en-US"/>
        </w:rPr>
        <w:br w:type="page"/>
      </w:r>
    </w:p>
    <w:p w14:paraId="04814956" w14:textId="5A283870" w:rsidR="00ED0991" w:rsidRPr="00C602FB" w:rsidRDefault="002F265C" w:rsidP="002F265C">
      <w:pPr>
        <w:spacing w:after="120" w:line="240" w:lineRule="auto"/>
        <w:jc w:val="center"/>
        <w:rPr>
          <w:rFonts w:eastAsiaTheme="minorEastAsia"/>
          <w:sz w:val="12"/>
          <w:szCs w:val="12"/>
          <w:lang w:eastAsia="en-US"/>
        </w:rPr>
      </w:pPr>
      <w:r w:rsidRPr="00D54858">
        <w:rPr>
          <w:rFonts w:ascii="Arial" w:hAnsi="Arial" w:cs="Arial"/>
          <w:b/>
        </w:rPr>
        <w:lastRenderedPageBreak/>
        <w:t xml:space="preserve">Figure 1: Infrastructure, Transport, Regional Development and Communications </w:t>
      </w:r>
      <w:r w:rsidR="00E40CA3">
        <w:rPr>
          <w:rFonts w:ascii="Arial" w:hAnsi="Arial" w:cs="Arial"/>
          <w:b/>
        </w:rPr>
        <w:t>P</w:t>
      </w:r>
      <w:r w:rsidRPr="00D54858">
        <w:rPr>
          <w:rFonts w:ascii="Arial" w:hAnsi="Arial" w:cs="Arial"/>
          <w:b/>
        </w:rPr>
        <w:t>ortfolio structure and outcomes (continued)</w:t>
      </w:r>
    </w:p>
    <w:tbl>
      <w:tblPr>
        <w:tblStyle w:val="TableGrid5"/>
        <w:tblW w:w="0" w:type="auto"/>
        <w:tblLook w:val="04A0" w:firstRow="1" w:lastRow="0" w:firstColumn="1" w:lastColumn="0" w:noHBand="0" w:noVBand="1"/>
      </w:tblPr>
      <w:tblGrid>
        <w:gridCol w:w="7700"/>
      </w:tblGrid>
      <w:tr w:rsidR="00ED0991" w:rsidRPr="00C602FB" w14:paraId="11E3E28F" w14:textId="77777777" w:rsidTr="00ED0991">
        <w:trPr>
          <w:trHeight w:val="1084"/>
        </w:trPr>
        <w:tc>
          <w:tcPr>
            <w:tcW w:w="7700" w:type="dxa"/>
            <w:tcBorders>
              <w:bottom w:val="single" w:sz="4" w:space="0" w:color="auto"/>
            </w:tcBorders>
          </w:tcPr>
          <w:p w14:paraId="4588D817" w14:textId="77777777" w:rsidR="00ED0991" w:rsidRPr="00C602FB" w:rsidRDefault="00ED0991" w:rsidP="00ED0991">
            <w:pPr>
              <w:spacing w:after="0" w:line="240" w:lineRule="auto"/>
              <w:jc w:val="center"/>
              <w:rPr>
                <w:b/>
                <w:sz w:val="20"/>
                <w:szCs w:val="20"/>
              </w:rPr>
            </w:pPr>
            <w:r w:rsidRPr="00C602FB">
              <w:rPr>
                <w:b/>
                <w:sz w:val="20"/>
                <w:szCs w:val="20"/>
              </w:rPr>
              <w:t>Special Broadcasting Service Corporation</w:t>
            </w:r>
          </w:p>
          <w:p w14:paraId="2DD6C22C" w14:textId="315DBEC1" w:rsidR="00ED0991" w:rsidRPr="00C602FB" w:rsidRDefault="00ED0991" w:rsidP="00ED0991">
            <w:pPr>
              <w:spacing w:after="0" w:line="240" w:lineRule="auto"/>
              <w:jc w:val="center"/>
              <w:rPr>
                <w:sz w:val="20"/>
                <w:szCs w:val="20"/>
              </w:rPr>
            </w:pPr>
            <w:r w:rsidRPr="00C602FB">
              <w:rPr>
                <w:sz w:val="20"/>
                <w:szCs w:val="20"/>
              </w:rPr>
              <w:t xml:space="preserve">Chair: Mr George </w:t>
            </w:r>
            <w:proofErr w:type="spellStart"/>
            <w:r w:rsidRPr="00C602FB">
              <w:rPr>
                <w:sz w:val="20"/>
                <w:szCs w:val="20"/>
              </w:rPr>
              <w:t>Savvides</w:t>
            </w:r>
            <w:proofErr w:type="spellEnd"/>
            <w:r w:rsidRPr="00C602FB">
              <w:rPr>
                <w:sz w:val="20"/>
                <w:szCs w:val="20"/>
              </w:rPr>
              <w:t xml:space="preserve"> AM</w:t>
            </w:r>
          </w:p>
          <w:p w14:paraId="22E3E754" w14:textId="336B7B86" w:rsidR="00ED0991" w:rsidRPr="00C602FB" w:rsidRDefault="00BF1483" w:rsidP="00ED0991">
            <w:pPr>
              <w:spacing w:after="0" w:line="240" w:lineRule="auto"/>
              <w:jc w:val="center"/>
              <w:rPr>
                <w:b/>
                <w:sz w:val="20"/>
                <w:szCs w:val="20"/>
              </w:rPr>
            </w:pPr>
            <w:r w:rsidRPr="00BF1483">
              <w:rPr>
                <w:sz w:val="20"/>
                <w:szCs w:val="20"/>
              </w:rPr>
              <w:t xml:space="preserve">Chief Executive Officer: </w:t>
            </w:r>
            <w:r w:rsidR="00ED0991" w:rsidRPr="00C602FB">
              <w:rPr>
                <w:sz w:val="20"/>
                <w:szCs w:val="20"/>
              </w:rPr>
              <w:t>Mr James Taylor</w:t>
            </w:r>
          </w:p>
          <w:p w14:paraId="1C2E5716" w14:textId="77777777" w:rsidR="00ED0991" w:rsidRPr="00C602FB" w:rsidRDefault="00ED0991" w:rsidP="00ED0991">
            <w:pPr>
              <w:spacing w:after="40" w:line="240" w:lineRule="auto"/>
              <w:jc w:val="left"/>
              <w:rPr>
                <w:b/>
                <w:sz w:val="20"/>
                <w:szCs w:val="20"/>
              </w:rPr>
            </w:pPr>
            <w:r w:rsidRPr="00C602FB">
              <w:rPr>
                <w:b/>
                <w:sz w:val="20"/>
                <w:szCs w:val="20"/>
              </w:rPr>
              <w:t>Outcome 1:</w:t>
            </w:r>
          </w:p>
          <w:p w14:paraId="38CFAB1A" w14:textId="77777777" w:rsidR="00ED0991" w:rsidRPr="00C602FB" w:rsidRDefault="00ED0991" w:rsidP="00ED0991">
            <w:pPr>
              <w:spacing w:after="40" w:line="240" w:lineRule="auto"/>
              <w:jc w:val="left"/>
            </w:pPr>
            <w:r w:rsidRPr="00C602FB">
              <w:rPr>
                <w:sz w:val="20"/>
                <w:szCs w:val="20"/>
              </w:rPr>
              <w:t>Provide multilingual and multicultural services that inform, educate and entertain all Australians and in so doing reflect Australia’s multicultural society</w:t>
            </w:r>
          </w:p>
        </w:tc>
      </w:tr>
    </w:tbl>
    <w:p w14:paraId="0182CC34" w14:textId="1B88B787" w:rsidR="00D54858" w:rsidRPr="00D54858" w:rsidRDefault="00D54858" w:rsidP="002F265C">
      <w:pPr>
        <w:spacing w:after="0" w:line="240" w:lineRule="auto"/>
        <w:rPr>
          <w:rFonts w:ascii="Arial" w:hAnsi="Arial" w:cs="Arial"/>
          <w:b/>
          <w:sz w:val="12"/>
          <w:szCs w:val="12"/>
        </w:rPr>
      </w:pPr>
    </w:p>
    <w:tbl>
      <w:tblPr>
        <w:tblStyle w:val="TableGrid6"/>
        <w:tblW w:w="0" w:type="auto"/>
        <w:tblLook w:val="04A0" w:firstRow="1" w:lastRow="0" w:firstColumn="1" w:lastColumn="0" w:noHBand="0" w:noVBand="1"/>
      </w:tblPr>
      <w:tblGrid>
        <w:gridCol w:w="7700"/>
      </w:tblGrid>
      <w:tr w:rsidR="00ED0991" w:rsidRPr="00C602FB" w14:paraId="3FC56FF4" w14:textId="77777777" w:rsidTr="00ED0991">
        <w:trPr>
          <w:trHeight w:val="1208"/>
        </w:trPr>
        <w:tc>
          <w:tcPr>
            <w:tcW w:w="7700" w:type="dxa"/>
            <w:tcBorders>
              <w:bottom w:val="single" w:sz="4" w:space="0" w:color="auto"/>
            </w:tcBorders>
          </w:tcPr>
          <w:p w14:paraId="6FFE8CF5" w14:textId="77777777" w:rsidR="00ED0991" w:rsidRPr="00C602FB" w:rsidRDefault="00ED0991" w:rsidP="00ED0991">
            <w:pPr>
              <w:spacing w:after="0" w:line="240" w:lineRule="auto"/>
              <w:jc w:val="center"/>
              <w:rPr>
                <w:b/>
                <w:sz w:val="20"/>
                <w:szCs w:val="20"/>
              </w:rPr>
            </w:pPr>
            <w:r w:rsidRPr="00C602FB">
              <w:rPr>
                <w:b/>
                <w:sz w:val="20"/>
                <w:szCs w:val="20"/>
              </w:rPr>
              <w:t>WSA Co Limited</w:t>
            </w:r>
          </w:p>
          <w:p w14:paraId="137276BD" w14:textId="77777777" w:rsidR="00ED0991" w:rsidRPr="00C602FB" w:rsidRDefault="00ED0991" w:rsidP="00ED0991">
            <w:pPr>
              <w:spacing w:after="0" w:line="240" w:lineRule="auto"/>
              <w:jc w:val="center"/>
              <w:rPr>
                <w:sz w:val="20"/>
                <w:szCs w:val="20"/>
              </w:rPr>
            </w:pPr>
            <w:r w:rsidRPr="00C602FB">
              <w:rPr>
                <w:sz w:val="20"/>
                <w:szCs w:val="20"/>
              </w:rPr>
              <w:t>Chair: Mr Paul O’Sullivan</w:t>
            </w:r>
          </w:p>
          <w:p w14:paraId="2941DB25" w14:textId="77777777" w:rsidR="00ED0991" w:rsidRPr="00C602FB" w:rsidRDefault="00ED0991" w:rsidP="00ED0991">
            <w:pPr>
              <w:spacing w:after="0" w:line="240" w:lineRule="auto"/>
              <w:jc w:val="center"/>
              <w:rPr>
                <w:b/>
                <w:sz w:val="20"/>
                <w:szCs w:val="20"/>
              </w:rPr>
            </w:pPr>
            <w:r w:rsidRPr="00C602FB">
              <w:rPr>
                <w:sz w:val="20"/>
                <w:szCs w:val="20"/>
              </w:rPr>
              <w:t xml:space="preserve">Chief Executive Officer: Mr Simon Hickey </w:t>
            </w:r>
          </w:p>
          <w:p w14:paraId="5E80F3E7" w14:textId="77777777" w:rsidR="00ED0991" w:rsidRPr="00C602FB" w:rsidRDefault="00ED0991" w:rsidP="00ED0991">
            <w:pPr>
              <w:spacing w:after="40" w:line="240" w:lineRule="auto"/>
              <w:jc w:val="left"/>
              <w:rPr>
                <w:b/>
                <w:sz w:val="20"/>
                <w:szCs w:val="20"/>
              </w:rPr>
            </w:pPr>
            <w:r w:rsidRPr="00C602FB">
              <w:rPr>
                <w:b/>
                <w:sz w:val="20"/>
                <w:szCs w:val="20"/>
              </w:rPr>
              <w:t>Mission:</w:t>
            </w:r>
          </w:p>
          <w:p w14:paraId="1419E07A" w14:textId="69C4F5D5" w:rsidR="00ED0991" w:rsidRPr="00C602FB" w:rsidRDefault="00ED0991" w:rsidP="00AF69FA">
            <w:pPr>
              <w:spacing w:after="40" w:line="240" w:lineRule="auto"/>
              <w:jc w:val="left"/>
            </w:pPr>
            <w:r w:rsidRPr="00C602FB">
              <w:rPr>
                <w:sz w:val="20"/>
                <w:szCs w:val="20"/>
              </w:rPr>
              <w:t>Establish and build the Western Sydney Airpo</w:t>
            </w:r>
            <w:r w:rsidR="009D63B8">
              <w:rPr>
                <w:sz w:val="20"/>
                <w:szCs w:val="20"/>
              </w:rPr>
              <w:t xml:space="preserve">rt at </w:t>
            </w:r>
            <w:proofErr w:type="spellStart"/>
            <w:r w:rsidR="009D63B8">
              <w:rPr>
                <w:sz w:val="20"/>
                <w:szCs w:val="20"/>
              </w:rPr>
              <w:t>Badgery’s</w:t>
            </w:r>
            <w:proofErr w:type="spellEnd"/>
            <w:r w:rsidR="009D63B8">
              <w:rPr>
                <w:sz w:val="20"/>
                <w:szCs w:val="20"/>
              </w:rPr>
              <w:t xml:space="preserve"> Creek, in south</w:t>
            </w:r>
            <w:r w:rsidR="00AF69FA">
              <w:rPr>
                <w:sz w:val="20"/>
                <w:szCs w:val="20"/>
              </w:rPr>
              <w:noBreakHyphen/>
            </w:r>
            <w:r w:rsidRPr="00C602FB">
              <w:rPr>
                <w:sz w:val="20"/>
                <w:szCs w:val="20"/>
              </w:rPr>
              <w:t>western Sydney</w:t>
            </w:r>
          </w:p>
        </w:tc>
      </w:tr>
    </w:tbl>
    <w:p w14:paraId="6A800AC0" w14:textId="77777777" w:rsidR="0035086F" w:rsidRPr="0035086F" w:rsidRDefault="0035086F" w:rsidP="0035086F">
      <w:bookmarkStart w:id="89" w:name="_Toc97433671"/>
      <w:bookmarkStart w:id="90" w:name="_Toc97433760"/>
      <w:bookmarkStart w:id="91" w:name="_Toc97433860"/>
      <w:bookmarkStart w:id="92" w:name="_Toc97434209"/>
      <w:bookmarkStart w:id="93" w:name="_Toc97528986"/>
      <w:bookmarkStart w:id="94" w:name="_Toc97529025"/>
      <w:bookmarkStart w:id="95" w:name="_Toc112224373"/>
    </w:p>
    <w:p w14:paraId="4D294ACE" w14:textId="5E97C578" w:rsidR="00F51DAC" w:rsidRPr="0035086F" w:rsidRDefault="00F51DAC" w:rsidP="0035086F">
      <w:pPr>
        <w:sectPr w:rsidR="00F51DAC" w:rsidRPr="0035086F" w:rsidSect="005A601A">
          <w:headerReference w:type="even" r:id="rId49"/>
          <w:headerReference w:type="default" r:id="rId50"/>
          <w:footerReference w:type="default" r:id="rId51"/>
          <w:headerReference w:type="first" r:id="rId52"/>
          <w:footerReference w:type="first" r:id="rId53"/>
          <w:type w:val="oddPage"/>
          <w:pgSz w:w="11907" w:h="16840" w:code="9"/>
          <w:pgMar w:top="2835" w:right="2098" w:bottom="2466" w:left="2098" w:header="1814" w:footer="1814" w:gutter="0"/>
          <w:cols w:space="720"/>
          <w:titlePg/>
        </w:sectPr>
      </w:pPr>
    </w:p>
    <w:p w14:paraId="422F2DC8" w14:textId="3B1EB4E3" w:rsidR="00625914" w:rsidRDefault="008863D9" w:rsidP="00625914">
      <w:pPr>
        <w:pStyle w:val="PartHeading-NoTOC"/>
      </w:pPr>
      <w:r>
        <w:lastRenderedPageBreak/>
        <w:t>Department</w:t>
      </w:r>
      <w:r w:rsidR="00625914">
        <w:t xml:space="preserve"> of </w:t>
      </w:r>
      <w:r w:rsidR="00625914" w:rsidRPr="00BD2124">
        <w:t>Infrastructure, Transport, Regional Development and Communications</w:t>
      </w:r>
    </w:p>
    <w:p w14:paraId="0653BD3F" w14:textId="77777777" w:rsidR="00625914" w:rsidRDefault="00625914" w:rsidP="00625914">
      <w:pPr>
        <w:pStyle w:val="PartHeading-NoTOC"/>
      </w:pPr>
    </w:p>
    <w:p w14:paraId="7A850B8F" w14:textId="7B9C9C90" w:rsidR="00625914" w:rsidRDefault="00625914" w:rsidP="00625914">
      <w:pPr>
        <w:pStyle w:val="PartHeading-NoTOC"/>
      </w:pPr>
      <w:r>
        <w:t xml:space="preserve"> Additional Estimates Statements</w:t>
      </w:r>
    </w:p>
    <w:p w14:paraId="36228498" w14:textId="77777777" w:rsidR="00BE5611" w:rsidRDefault="00BE5611" w:rsidP="0035086F">
      <w:pPr>
        <w:sectPr w:rsidR="00BE5611" w:rsidSect="005A601A">
          <w:headerReference w:type="first" r:id="rId54"/>
          <w:footerReference w:type="first" r:id="rId55"/>
          <w:type w:val="oddPage"/>
          <w:pgSz w:w="11907" w:h="16840" w:code="9"/>
          <w:pgMar w:top="2835" w:right="2098" w:bottom="2466" w:left="2098" w:header="1814" w:footer="1814" w:gutter="0"/>
          <w:cols w:space="720"/>
          <w:vAlign w:val="center"/>
          <w:titlePg/>
        </w:sectPr>
      </w:pPr>
      <w:bookmarkStart w:id="96" w:name="_Toc210646446"/>
      <w:bookmarkStart w:id="97" w:name="_Toc210698425"/>
      <w:bookmarkEnd w:id="89"/>
      <w:bookmarkEnd w:id="90"/>
      <w:bookmarkEnd w:id="91"/>
      <w:bookmarkEnd w:id="92"/>
      <w:bookmarkEnd w:id="93"/>
      <w:bookmarkEnd w:id="94"/>
      <w:bookmarkEnd w:id="95"/>
    </w:p>
    <w:p w14:paraId="039A487F" w14:textId="53460E2B" w:rsidR="00FE1F21" w:rsidRDefault="008863D9" w:rsidP="00FE1F21">
      <w:pPr>
        <w:pStyle w:val="Heading1-NoTOC"/>
        <w:jc w:val="left"/>
      </w:pPr>
      <w:bookmarkStart w:id="98" w:name="_Toc23559338"/>
      <w:bookmarkStart w:id="99" w:name="_Toc23559372"/>
      <w:bookmarkStart w:id="100" w:name="_Toc23559663"/>
      <w:bookmarkStart w:id="101" w:name="_Toc23560126"/>
      <w:bookmarkStart w:id="102" w:name="_Toc23563421"/>
      <w:bookmarkStart w:id="103" w:name="_Toc77998675"/>
      <w:bookmarkStart w:id="104" w:name="_Toc436624136"/>
      <w:bookmarkStart w:id="105" w:name="_Toc436625437"/>
      <w:bookmarkStart w:id="106" w:name="_Toc449255757"/>
      <w:bookmarkEnd w:id="96"/>
      <w:bookmarkEnd w:id="97"/>
      <w:r>
        <w:lastRenderedPageBreak/>
        <w:t>Department</w:t>
      </w:r>
      <w:r w:rsidR="00FE1F21" w:rsidRPr="00BD2124">
        <w:t xml:space="preserve"> of Infrastructure, Transport, Regional Development and Communications</w:t>
      </w:r>
    </w:p>
    <w:p w14:paraId="23678B6A" w14:textId="4DA9821B" w:rsidR="009C398A" w:rsidRDefault="002F265C">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\h \z \t "Heading 2 - TOC DITRDC,1,Heading 3 DITRDC,2" </w:instrText>
      </w:r>
      <w:r>
        <w:rPr>
          <w:b w:val="0"/>
        </w:rPr>
        <w:fldChar w:fldCharType="separate"/>
      </w:r>
      <w:hyperlink w:anchor="_Toc94854636" w:history="1">
        <w:r w:rsidR="009C398A" w:rsidRPr="0063686F">
          <w:rPr>
            <w:rStyle w:val="Hyperlink"/>
            <w:noProof/>
          </w:rPr>
          <w:t>Section 1: Entity overview and resources</w:t>
        </w:r>
        <w:r w:rsidR="009C398A">
          <w:rPr>
            <w:noProof/>
            <w:webHidden/>
          </w:rPr>
          <w:tab/>
        </w:r>
        <w:r w:rsidR="009C398A">
          <w:rPr>
            <w:noProof/>
            <w:webHidden/>
          </w:rPr>
          <w:fldChar w:fldCharType="begin"/>
        </w:r>
        <w:r w:rsidR="009C398A">
          <w:rPr>
            <w:noProof/>
            <w:webHidden/>
          </w:rPr>
          <w:instrText xml:space="preserve"> PAGEREF _Toc94854636 \h </w:instrText>
        </w:r>
        <w:r w:rsidR="009C398A">
          <w:rPr>
            <w:noProof/>
            <w:webHidden/>
          </w:rPr>
        </w:r>
        <w:r w:rsidR="009C398A">
          <w:rPr>
            <w:noProof/>
            <w:webHidden/>
          </w:rPr>
          <w:fldChar w:fldCharType="separate"/>
        </w:r>
        <w:r w:rsidR="003B5862">
          <w:rPr>
            <w:noProof/>
            <w:webHidden/>
          </w:rPr>
          <w:t>19</w:t>
        </w:r>
        <w:r w:rsidR="009C398A">
          <w:rPr>
            <w:noProof/>
            <w:webHidden/>
          </w:rPr>
          <w:fldChar w:fldCharType="end"/>
        </w:r>
      </w:hyperlink>
    </w:p>
    <w:p w14:paraId="565C3055" w14:textId="1218354B" w:rsidR="009C398A" w:rsidRDefault="009C398A">
      <w:pPr>
        <w:pStyle w:val="TOC2"/>
        <w:tabs>
          <w:tab w:val="left" w:pos="660"/>
        </w:tabs>
        <w:rPr>
          <w:rFonts w:asciiTheme="minorHAnsi" w:eastAsiaTheme="minorEastAsia" w:hAnsiTheme="minorHAnsi" w:cstheme="minorBidi"/>
          <w:noProof/>
          <w:sz w:val="22"/>
          <w:szCs w:val="22"/>
        </w:rPr>
      </w:pPr>
      <w:hyperlink w:anchor="_Toc94854637" w:history="1">
        <w:r w:rsidRPr="0063686F">
          <w:rPr>
            <w:rStyle w:val="Hyperlink"/>
            <w:noProof/>
          </w:rPr>
          <w:t>1.1</w:t>
        </w:r>
        <w:r>
          <w:rPr>
            <w:rFonts w:asciiTheme="minorHAnsi" w:eastAsiaTheme="minorEastAsia" w:hAnsiTheme="minorHAnsi" w:cstheme="minorBidi"/>
            <w:noProof/>
            <w:sz w:val="22"/>
            <w:szCs w:val="22"/>
          </w:rPr>
          <w:tab/>
        </w:r>
        <w:r w:rsidRPr="0063686F">
          <w:rPr>
            <w:rStyle w:val="Hyperlink"/>
            <w:noProof/>
          </w:rPr>
          <w:t>Strategic direction statement</w:t>
        </w:r>
        <w:r>
          <w:rPr>
            <w:noProof/>
            <w:webHidden/>
          </w:rPr>
          <w:tab/>
        </w:r>
        <w:r>
          <w:rPr>
            <w:noProof/>
            <w:webHidden/>
          </w:rPr>
          <w:fldChar w:fldCharType="begin"/>
        </w:r>
        <w:r>
          <w:rPr>
            <w:noProof/>
            <w:webHidden/>
          </w:rPr>
          <w:instrText xml:space="preserve"> PAGEREF _Toc94854637 \h </w:instrText>
        </w:r>
        <w:r>
          <w:rPr>
            <w:noProof/>
            <w:webHidden/>
          </w:rPr>
        </w:r>
        <w:r>
          <w:rPr>
            <w:noProof/>
            <w:webHidden/>
          </w:rPr>
          <w:fldChar w:fldCharType="separate"/>
        </w:r>
        <w:r w:rsidR="003B5862">
          <w:rPr>
            <w:noProof/>
            <w:webHidden/>
          </w:rPr>
          <w:t>19</w:t>
        </w:r>
        <w:r>
          <w:rPr>
            <w:noProof/>
            <w:webHidden/>
          </w:rPr>
          <w:fldChar w:fldCharType="end"/>
        </w:r>
      </w:hyperlink>
    </w:p>
    <w:p w14:paraId="29B70A04" w14:textId="237A2B65" w:rsidR="009C398A" w:rsidRDefault="009C398A">
      <w:pPr>
        <w:pStyle w:val="TOC2"/>
        <w:tabs>
          <w:tab w:val="left" w:pos="660"/>
        </w:tabs>
        <w:rPr>
          <w:rFonts w:asciiTheme="minorHAnsi" w:eastAsiaTheme="minorEastAsia" w:hAnsiTheme="minorHAnsi" w:cstheme="minorBidi"/>
          <w:noProof/>
          <w:sz w:val="22"/>
          <w:szCs w:val="22"/>
        </w:rPr>
      </w:pPr>
      <w:hyperlink w:anchor="_Toc94854638" w:history="1">
        <w:r w:rsidRPr="0063686F">
          <w:rPr>
            <w:rStyle w:val="Hyperlink"/>
            <w:noProof/>
          </w:rPr>
          <w:t>1.2</w:t>
        </w:r>
        <w:r>
          <w:rPr>
            <w:rFonts w:asciiTheme="minorHAnsi" w:eastAsiaTheme="minorEastAsia" w:hAnsiTheme="minorHAnsi" w:cstheme="minorBidi"/>
            <w:noProof/>
            <w:sz w:val="22"/>
            <w:szCs w:val="22"/>
          </w:rPr>
          <w:tab/>
        </w:r>
        <w:r w:rsidRPr="0063686F">
          <w:rPr>
            <w:rStyle w:val="Hyperlink"/>
            <w:noProof/>
          </w:rPr>
          <w:t>Entity resource statement</w:t>
        </w:r>
        <w:r>
          <w:rPr>
            <w:noProof/>
            <w:webHidden/>
          </w:rPr>
          <w:tab/>
        </w:r>
        <w:r>
          <w:rPr>
            <w:noProof/>
            <w:webHidden/>
          </w:rPr>
          <w:fldChar w:fldCharType="begin"/>
        </w:r>
        <w:r>
          <w:rPr>
            <w:noProof/>
            <w:webHidden/>
          </w:rPr>
          <w:instrText xml:space="preserve"> PAGEREF _Toc94854638 \h </w:instrText>
        </w:r>
        <w:r>
          <w:rPr>
            <w:noProof/>
            <w:webHidden/>
          </w:rPr>
        </w:r>
        <w:r>
          <w:rPr>
            <w:noProof/>
            <w:webHidden/>
          </w:rPr>
          <w:fldChar w:fldCharType="separate"/>
        </w:r>
        <w:r w:rsidR="003B5862">
          <w:rPr>
            <w:noProof/>
            <w:webHidden/>
          </w:rPr>
          <w:t>20</w:t>
        </w:r>
        <w:r>
          <w:rPr>
            <w:noProof/>
            <w:webHidden/>
          </w:rPr>
          <w:fldChar w:fldCharType="end"/>
        </w:r>
      </w:hyperlink>
    </w:p>
    <w:p w14:paraId="6E080CD3" w14:textId="37D281F7" w:rsidR="009C398A" w:rsidRDefault="009C398A">
      <w:pPr>
        <w:pStyle w:val="TOC2"/>
        <w:tabs>
          <w:tab w:val="left" w:pos="660"/>
        </w:tabs>
        <w:rPr>
          <w:rFonts w:asciiTheme="minorHAnsi" w:eastAsiaTheme="minorEastAsia" w:hAnsiTheme="minorHAnsi" w:cstheme="minorBidi"/>
          <w:noProof/>
          <w:sz w:val="22"/>
          <w:szCs w:val="22"/>
        </w:rPr>
      </w:pPr>
      <w:hyperlink w:anchor="_Toc94854639" w:history="1">
        <w:r w:rsidRPr="0063686F">
          <w:rPr>
            <w:rStyle w:val="Hyperlink"/>
            <w:noProof/>
          </w:rPr>
          <w:t>1.3</w:t>
        </w:r>
        <w:r>
          <w:rPr>
            <w:rFonts w:asciiTheme="minorHAnsi" w:eastAsiaTheme="minorEastAsia" w:hAnsiTheme="minorHAnsi" w:cstheme="minorBidi"/>
            <w:noProof/>
            <w:sz w:val="22"/>
            <w:szCs w:val="22"/>
          </w:rPr>
          <w:tab/>
        </w:r>
        <w:r w:rsidRPr="0063686F">
          <w:rPr>
            <w:rStyle w:val="Hyperlink"/>
            <w:noProof/>
          </w:rPr>
          <w:t>Entity measures</w:t>
        </w:r>
        <w:r>
          <w:rPr>
            <w:noProof/>
            <w:webHidden/>
          </w:rPr>
          <w:tab/>
        </w:r>
        <w:r>
          <w:rPr>
            <w:noProof/>
            <w:webHidden/>
          </w:rPr>
          <w:fldChar w:fldCharType="begin"/>
        </w:r>
        <w:r>
          <w:rPr>
            <w:noProof/>
            <w:webHidden/>
          </w:rPr>
          <w:instrText xml:space="preserve"> PAGEREF _Toc94854639 \h </w:instrText>
        </w:r>
        <w:r>
          <w:rPr>
            <w:noProof/>
            <w:webHidden/>
          </w:rPr>
        </w:r>
        <w:r>
          <w:rPr>
            <w:noProof/>
            <w:webHidden/>
          </w:rPr>
          <w:fldChar w:fldCharType="separate"/>
        </w:r>
        <w:r w:rsidR="003B5862">
          <w:rPr>
            <w:noProof/>
            <w:webHidden/>
          </w:rPr>
          <w:t>24</w:t>
        </w:r>
        <w:r>
          <w:rPr>
            <w:noProof/>
            <w:webHidden/>
          </w:rPr>
          <w:fldChar w:fldCharType="end"/>
        </w:r>
      </w:hyperlink>
    </w:p>
    <w:p w14:paraId="45E0DE88" w14:textId="5FE2C117" w:rsidR="009C398A" w:rsidRDefault="009C398A">
      <w:pPr>
        <w:pStyle w:val="TOC2"/>
        <w:tabs>
          <w:tab w:val="left" w:pos="660"/>
        </w:tabs>
        <w:rPr>
          <w:rFonts w:asciiTheme="minorHAnsi" w:eastAsiaTheme="minorEastAsia" w:hAnsiTheme="minorHAnsi" w:cstheme="minorBidi"/>
          <w:noProof/>
          <w:sz w:val="22"/>
          <w:szCs w:val="22"/>
        </w:rPr>
      </w:pPr>
      <w:hyperlink w:anchor="_Toc94854640" w:history="1">
        <w:r w:rsidRPr="0063686F">
          <w:rPr>
            <w:rStyle w:val="Hyperlink"/>
            <w:noProof/>
          </w:rPr>
          <w:t>1.4</w:t>
        </w:r>
        <w:r>
          <w:rPr>
            <w:rFonts w:asciiTheme="minorHAnsi" w:eastAsiaTheme="minorEastAsia" w:hAnsiTheme="minorHAnsi" w:cstheme="minorBidi"/>
            <w:noProof/>
            <w:sz w:val="22"/>
            <w:szCs w:val="22"/>
          </w:rPr>
          <w:tab/>
        </w:r>
        <w:r w:rsidRPr="0063686F">
          <w:rPr>
            <w:rStyle w:val="Hyperlink"/>
            <w:noProof/>
          </w:rPr>
          <w:t>Additional estimates, resourcing and variations to outcomes</w:t>
        </w:r>
        <w:r>
          <w:rPr>
            <w:noProof/>
            <w:webHidden/>
          </w:rPr>
          <w:tab/>
        </w:r>
        <w:r>
          <w:rPr>
            <w:noProof/>
            <w:webHidden/>
          </w:rPr>
          <w:fldChar w:fldCharType="begin"/>
        </w:r>
        <w:r>
          <w:rPr>
            <w:noProof/>
            <w:webHidden/>
          </w:rPr>
          <w:instrText xml:space="preserve"> PAGEREF _Toc94854640 \h </w:instrText>
        </w:r>
        <w:r>
          <w:rPr>
            <w:noProof/>
            <w:webHidden/>
          </w:rPr>
        </w:r>
        <w:r>
          <w:rPr>
            <w:noProof/>
            <w:webHidden/>
          </w:rPr>
          <w:fldChar w:fldCharType="separate"/>
        </w:r>
        <w:r w:rsidR="003B5862">
          <w:rPr>
            <w:noProof/>
            <w:webHidden/>
          </w:rPr>
          <w:t>26</w:t>
        </w:r>
        <w:r>
          <w:rPr>
            <w:noProof/>
            <w:webHidden/>
          </w:rPr>
          <w:fldChar w:fldCharType="end"/>
        </w:r>
      </w:hyperlink>
    </w:p>
    <w:p w14:paraId="5EC5E630" w14:textId="0BB1B622" w:rsidR="009C398A" w:rsidRDefault="009C398A">
      <w:pPr>
        <w:pStyle w:val="TOC2"/>
        <w:tabs>
          <w:tab w:val="left" w:pos="660"/>
        </w:tabs>
        <w:rPr>
          <w:rFonts w:asciiTheme="minorHAnsi" w:eastAsiaTheme="minorEastAsia" w:hAnsiTheme="minorHAnsi" w:cstheme="minorBidi"/>
          <w:noProof/>
          <w:sz w:val="22"/>
          <w:szCs w:val="22"/>
        </w:rPr>
      </w:pPr>
      <w:hyperlink w:anchor="_Toc94854641" w:history="1">
        <w:r w:rsidRPr="0063686F">
          <w:rPr>
            <w:rStyle w:val="Hyperlink"/>
            <w:noProof/>
          </w:rPr>
          <w:t>1.5</w:t>
        </w:r>
        <w:r>
          <w:rPr>
            <w:rFonts w:asciiTheme="minorHAnsi" w:eastAsiaTheme="minorEastAsia" w:hAnsiTheme="minorHAnsi" w:cstheme="minorBidi"/>
            <w:noProof/>
            <w:sz w:val="22"/>
            <w:szCs w:val="22"/>
          </w:rPr>
          <w:tab/>
        </w:r>
        <w:r w:rsidRPr="0063686F">
          <w:rPr>
            <w:rStyle w:val="Hyperlink"/>
            <w:noProof/>
          </w:rPr>
          <w:t>Breakdown of additional estimates by appropriation bill</w:t>
        </w:r>
        <w:r>
          <w:rPr>
            <w:noProof/>
            <w:webHidden/>
          </w:rPr>
          <w:tab/>
        </w:r>
        <w:r>
          <w:rPr>
            <w:noProof/>
            <w:webHidden/>
          </w:rPr>
          <w:fldChar w:fldCharType="begin"/>
        </w:r>
        <w:r>
          <w:rPr>
            <w:noProof/>
            <w:webHidden/>
          </w:rPr>
          <w:instrText xml:space="preserve"> PAGEREF _Toc94854641 \h </w:instrText>
        </w:r>
        <w:r>
          <w:rPr>
            <w:noProof/>
            <w:webHidden/>
          </w:rPr>
        </w:r>
        <w:r>
          <w:rPr>
            <w:noProof/>
            <w:webHidden/>
          </w:rPr>
          <w:fldChar w:fldCharType="separate"/>
        </w:r>
        <w:r w:rsidR="003B5862">
          <w:rPr>
            <w:noProof/>
            <w:webHidden/>
          </w:rPr>
          <w:t>30</w:t>
        </w:r>
        <w:r>
          <w:rPr>
            <w:noProof/>
            <w:webHidden/>
          </w:rPr>
          <w:fldChar w:fldCharType="end"/>
        </w:r>
      </w:hyperlink>
    </w:p>
    <w:p w14:paraId="691CB705" w14:textId="4107378D" w:rsidR="009C398A" w:rsidRDefault="009C398A">
      <w:pPr>
        <w:pStyle w:val="TOC1"/>
        <w:rPr>
          <w:rFonts w:asciiTheme="minorHAnsi" w:eastAsiaTheme="minorEastAsia" w:hAnsiTheme="minorHAnsi" w:cstheme="minorBidi"/>
          <w:b w:val="0"/>
          <w:noProof/>
          <w:sz w:val="22"/>
          <w:szCs w:val="22"/>
        </w:rPr>
      </w:pPr>
      <w:hyperlink w:anchor="_Toc94854642" w:history="1">
        <w:r w:rsidRPr="0063686F">
          <w:rPr>
            <w:rStyle w:val="Hyperlink"/>
            <w:noProof/>
          </w:rPr>
          <w:t>Section 2: Revisions to outcomes and planned performance</w:t>
        </w:r>
        <w:r>
          <w:rPr>
            <w:noProof/>
            <w:webHidden/>
          </w:rPr>
          <w:tab/>
        </w:r>
        <w:r>
          <w:rPr>
            <w:noProof/>
            <w:webHidden/>
          </w:rPr>
          <w:fldChar w:fldCharType="begin"/>
        </w:r>
        <w:r>
          <w:rPr>
            <w:noProof/>
            <w:webHidden/>
          </w:rPr>
          <w:instrText xml:space="preserve"> PAGEREF _Toc94854642 \h </w:instrText>
        </w:r>
        <w:r>
          <w:rPr>
            <w:noProof/>
            <w:webHidden/>
          </w:rPr>
        </w:r>
        <w:r>
          <w:rPr>
            <w:noProof/>
            <w:webHidden/>
          </w:rPr>
          <w:fldChar w:fldCharType="separate"/>
        </w:r>
        <w:r w:rsidR="003B5862">
          <w:rPr>
            <w:noProof/>
            <w:webHidden/>
          </w:rPr>
          <w:t>33</w:t>
        </w:r>
        <w:r>
          <w:rPr>
            <w:noProof/>
            <w:webHidden/>
          </w:rPr>
          <w:fldChar w:fldCharType="end"/>
        </w:r>
      </w:hyperlink>
    </w:p>
    <w:p w14:paraId="0DA63720" w14:textId="6A59733A" w:rsidR="009C398A" w:rsidRDefault="009C398A">
      <w:pPr>
        <w:pStyle w:val="TOC2"/>
        <w:tabs>
          <w:tab w:val="left" w:pos="660"/>
        </w:tabs>
        <w:rPr>
          <w:rFonts w:asciiTheme="minorHAnsi" w:eastAsiaTheme="minorEastAsia" w:hAnsiTheme="minorHAnsi" w:cstheme="minorBidi"/>
          <w:noProof/>
          <w:sz w:val="22"/>
          <w:szCs w:val="22"/>
        </w:rPr>
      </w:pPr>
      <w:hyperlink w:anchor="_Toc94854643" w:history="1">
        <w:r w:rsidRPr="0063686F">
          <w:rPr>
            <w:rStyle w:val="Hyperlink"/>
            <w:noProof/>
          </w:rPr>
          <w:t>2.1</w:t>
        </w:r>
        <w:r>
          <w:rPr>
            <w:rFonts w:asciiTheme="minorHAnsi" w:eastAsiaTheme="minorEastAsia" w:hAnsiTheme="minorHAnsi" w:cstheme="minorBidi"/>
            <w:noProof/>
            <w:sz w:val="22"/>
            <w:szCs w:val="22"/>
          </w:rPr>
          <w:tab/>
        </w:r>
        <w:r w:rsidRPr="0063686F">
          <w:rPr>
            <w:rStyle w:val="Hyperlink"/>
            <w:noProof/>
          </w:rPr>
          <w:t>Changes to outcome and program structures</w:t>
        </w:r>
        <w:r>
          <w:rPr>
            <w:noProof/>
            <w:webHidden/>
          </w:rPr>
          <w:tab/>
        </w:r>
        <w:r>
          <w:rPr>
            <w:noProof/>
            <w:webHidden/>
          </w:rPr>
          <w:fldChar w:fldCharType="begin"/>
        </w:r>
        <w:r>
          <w:rPr>
            <w:noProof/>
            <w:webHidden/>
          </w:rPr>
          <w:instrText xml:space="preserve"> PAGEREF _Toc94854643 \h </w:instrText>
        </w:r>
        <w:r>
          <w:rPr>
            <w:noProof/>
            <w:webHidden/>
          </w:rPr>
        </w:r>
        <w:r>
          <w:rPr>
            <w:noProof/>
            <w:webHidden/>
          </w:rPr>
          <w:fldChar w:fldCharType="separate"/>
        </w:r>
        <w:r w:rsidR="003B5862">
          <w:rPr>
            <w:noProof/>
            <w:webHidden/>
          </w:rPr>
          <w:t>33</w:t>
        </w:r>
        <w:r>
          <w:rPr>
            <w:noProof/>
            <w:webHidden/>
          </w:rPr>
          <w:fldChar w:fldCharType="end"/>
        </w:r>
      </w:hyperlink>
    </w:p>
    <w:p w14:paraId="3C9D8737" w14:textId="7FA07B46" w:rsidR="009C398A" w:rsidRDefault="009C398A">
      <w:pPr>
        <w:pStyle w:val="TOC2"/>
        <w:tabs>
          <w:tab w:val="left" w:pos="660"/>
        </w:tabs>
        <w:rPr>
          <w:rFonts w:asciiTheme="minorHAnsi" w:eastAsiaTheme="minorEastAsia" w:hAnsiTheme="minorHAnsi" w:cstheme="minorBidi"/>
          <w:noProof/>
          <w:sz w:val="22"/>
          <w:szCs w:val="22"/>
        </w:rPr>
      </w:pPr>
      <w:hyperlink w:anchor="_Toc94854644" w:history="1">
        <w:r w:rsidRPr="0063686F">
          <w:rPr>
            <w:rStyle w:val="Hyperlink"/>
            <w:noProof/>
          </w:rPr>
          <w:t>2.2</w:t>
        </w:r>
        <w:r>
          <w:rPr>
            <w:rFonts w:asciiTheme="minorHAnsi" w:eastAsiaTheme="minorEastAsia" w:hAnsiTheme="minorHAnsi" w:cstheme="minorBidi"/>
            <w:noProof/>
            <w:sz w:val="22"/>
            <w:szCs w:val="22"/>
          </w:rPr>
          <w:tab/>
        </w:r>
        <w:r w:rsidRPr="0063686F">
          <w:rPr>
            <w:rStyle w:val="Hyperlink"/>
            <w:noProof/>
          </w:rPr>
          <w:t>Budgeted expenses and performance for Outcome 1</w:t>
        </w:r>
        <w:r>
          <w:rPr>
            <w:noProof/>
            <w:webHidden/>
          </w:rPr>
          <w:tab/>
        </w:r>
        <w:r>
          <w:rPr>
            <w:noProof/>
            <w:webHidden/>
          </w:rPr>
          <w:fldChar w:fldCharType="begin"/>
        </w:r>
        <w:r>
          <w:rPr>
            <w:noProof/>
            <w:webHidden/>
          </w:rPr>
          <w:instrText xml:space="preserve"> PAGEREF _Toc94854644 \h </w:instrText>
        </w:r>
        <w:r>
          <w:rPr>
            <w:noProof/>
            <w:webHidden/>
          </w:rPr>
        </w:r>
        <w:r>
          <w:rPr>
            <w:noProof/>
            <w:webHidden/>
          </w:rPr>
          <w:fldChar w:fldCharType="separate"/>
        </w:r>
        <w:r w:rsidR="003B5862">
          <w:rPr>
            <w:noProof/>
            <w:webHidden/>
          </w:rPr>
          <w:t>34</w:t>
        </w:r>
        <w:r>
          <w:rPr>
            <w:noProof/>
            <w:webHidden/>
          </w:rPr>
          <w:fldChar w:fldCharType="end"/>
        </w:r>
      </w:hyperlink>
    </w:p>
    <w:p w14:paraId="0259127D" w14:textId="62956569" w:rsidR="009C398A" w:rsidRDefault="009C398A">
      <w:pPr>
        <w:pStyle w:val="TOC2"/>
        <w:tabs>
          <w:tab w:val="left" w:pos="660"/>
        </w:tabs>
        <w:rPr>
          <w:rFonts w:asciiTheme="minorHAnsi" w:eastAsiaTheme="minorEastAsia" w:hAnsiTheme="minorHAnsi" w:cstheme="minorBidi"/>
          <w:noProof/>
          <w:sz w:val="22"/>
          <w:szCs w:val="22"/>
        </w:rPr>
      </w:pPr>
      <w:hyperlink w:anchor="_Toc94854645" w:history="1">
        <w:r w:rsidRPr="0063686F">
          <w:rPr>
            <w:rStyle w:val="Hyperlink"/>
            <w:noProof/>
          </w:rPr>
          <w:t>2.3</w:t>
        </w:r>
        <w:r>
          <w:rPr>
            <w:rFonts w:asciiTheme="minorHAnsi" w:eastAsiaTheme="minorEastAsia" w:hAnsiTheme="minorHAnsi" w:cstheme="minorBidi"/>
            <w:noProof/>
            <w:sz w:val="22"/>
            <w:szCs w:val="22"/>
          </w:rPr>
          <w:tab/>
        </w:r>
        <w:r w:rsidRPr="0063686F">
          <w:rPr>
            <w:rStyle w:val="Hyperlink"/>
            <w:noProof/>
          </w:rPr>
          <w:t>Budgeted expenses and performance for Outcome 2</w:t>
        </w:r>
        <w:r>
          <w:rPr>
            <w:noProof/>
            <w:webHidden/>
          </w:rPr>
          <w:tab/>
        </w:r>
        <w:r>
          <w:rPr>
            <w:noProof/>
            <w:webHidden/>
          </w:rPr>
          <w:fldChar w:fldCharType="begin"/>
        </w:r>
        <w:r>
          <w:rPr>
            <w:noProof/>
            <w:webHidden/>
          </w:rPr>
          <w:instrText xml:space="preserve"> PAGEREF _Toc94854645 \h </w:instrText>
        </w:r>
        <w:r>
          <w:rPr>
            <w:noProof/>
            <w:webHidden/>
          </w:rPr>
        </w:r>
        <w:r>
          <w:rPr>
            <w:noProof/>
            <w:webHidden/>
          </w:rPr>
          <w:fldChar w:fldCharType="separate"/>
        </w:r>
        <w:r w:rsidR="003B5862">
          <w:rPr>
            <w:noProof/>
            <w:webHidden/>
          </w:rPr>
          <w:t>37</w:t>
        </w:r>
        <w:r>
          <w:rPr>
            <w:noProof/>
            <w:webHidden/>
          </w:rPr>
          <w:fldChar w:fldCharType="end"/>
        </w:r>
      </w:hyperlink>
    </w:p>
    <w:p w14:paraId="2E270028" w14:textId="41565A4C" w:rsidR="009C398A" w:rsidRDefault="009C398A">
      <w:pPr>
        <w:pStyle w:val="TOC2"/>
        <w:tabs>
          <w:tab w:val="left" w:pos="660"/>
        </w:tabs>
        <w:rPr>
          <w:rFonts w:asciiTheme="minorHAnsi" w:eastAsiaTheme="minorEastAsia" w:hAnsiTheme="minorHAnsi" w:cstheme="minorBidi"/>
          <w:noProof/>
          <w:sz w:val="22"/>
          <w:szCs w:val="22"/>
        </w:rPr>
      </w:pPr>
      <w:hyperlink w:anchor="_Toc94854646" w:history="1">
        <w:r w:rsidRPr="0063686F">
          <w:rPr>
            <w:rStyle w:val="Hyperlink"/>
            <w:noProof/>
          </w:rPr>
          <w:t>2.4</w:t>
        </w:r>
        <w:r>
          <w:rPr>
            <w:rFonts w:asciiTheme="minorHAnsi" w:eastAsiaTheme="minorEastAsia" w:hAnsiTheme="minorHAnsi" w:cstheme="minorBidi"/>
            <w:noProof/>
            <w:sz w:val="22"/>
            <w:szCs w:val="22"/>
          </w:rPr>
          <w:tab/>
        </w:r>
        <w:r w:rsidRPr="0063686F">
          <w:rPr>
            <w:rStyle w:val="Hyperlink"/>
            <w:noProof/>
          </w:rPr>
          <w:t>Budgeted expenses and performance for Outcome 3</w:t>
        </w:r>
        <w:r>
          <w:rPr>
            <w:noProof/>
            <w:webHidden/>
          </w:rPr>
          <w:tab/>
        </w:r>
        <w:r>
          <w:rPr>
            <w:noProof/>
            <w:webHidden/>
          </w:rPr>
          <w:fldChar w:fldCharType="begin"/>
        </w:r>
        <w:r>
          <w:rPr>
            <w:noProof/>
            <w:webHidden/>
          </w:rPr>
          <w:instrText xml:space="preserve"> PAGEREF _Toc94854646 \h </w:instrText>
        </w:r>
        <w:r>
          <w:rPr>
            <w:noProof/>
            <w:webHidden/>
          </w:rPr>
        </w:r>
        <w:r>
          <w:rPr>
            <w:noProof/>
            <w:webHidden/>
          </w:rPr>
          <w:fldChar w:fldCharType="separate"/>
        </w:r>
        <w:r w:rsidR="003B5862">
          <w:rPr>
            <w:noProof/>
            <w:webHidden/>
          </w:rPr>
          <w:t>45</w:t>
        </w:r>
        <w:r>
          <w:rPr>
            <w:noProof/>
            <w:webHidden/>
          </w:rPr>
          <w:fldChar w:fldCharType="end"/>
        </w:r>
      </w:hyperlink>
    </w:p>
    <w:p w14:paraId="293DC199" w14:textId="3CC91C83" w:rsidR="009C398A" w:rsidRDefault="009C398A">
      <w:pPr>
        <w:pStyle w:val="TOC2"/>
        <w:tabs>
          <w:tab w:val="left" w:pos="660"/>
        </w:tabs>
        <w:rPr>
          <w:rFonts w:asciiTheme="minorHAnsi" w:eastAsiaTheme="minorEastAsia" w:hAnsiTheme="minorHAnsi" w:cstheme="minorBidi"/>
          <w:noProof/>
          <w:sz w:val="22"/>
          <w:szCs w:val="22"/>
        </w:rPr>
      </w:pPr>
      <w:hyperlink w:anchor="_Toc94854647" w:history="1">
        <w:r w:rsidRPr="0063686F">
          <w:rPr>
            <w:rStyle w:val="Hyperlink"/>
            <w:noProof/>
          </w:rPr>
          <w:t>2.5</w:t>
        </w:r>
        <w:r>
          <w:rPr>
            <w:rFonts w:asciiTheme="minorHAnsi" w:eastAsiaTheme="minorEastAsia" w:hAnsiTheme="minorHAnsi" w:cstheme="minorBidi"/>
            <w:noProof/>
            <w:sz w:val="22"/>
            <w:szCs w:val="22"/>
          </w:rPr>
          <w:tab/>
        </w:r>
        <w:r w:rsidRPr="0063686F">
          <w:rPr>
            <w:rStyle w:val="Hyperlink"/>
            <w:noProof/>
          </w:rPr>
          <w:t>Budgeted expenses and performance for Outcome 4</w:t>
        </w:r>
        <w:r>
          <w:rPr>
            <w:noProof/>
            <w:webHidden/>
          </w:rPr>
          <w:tab/>
        </w:r>
        <w:r>
          <w:rPr>
            <w:noProof/>
            <w:webHidden/>
          </w:rPr>
          <w:fldChar w:fldCharType="begin"/>
        </w:r>
        <w:r>
          <w:rPr>
            <w:noProof/>
            <w:webHidden/>
          </w:rPr>
          <w:instrText xml:space="preserve"> PAGEREF _Toc94854647 \h </w:instrText>
        </w:r>
        <w:r>
          <w:rPr>
            <w:noProof/>
            <w:webHidden/>
          </w:rPr>
        </w:r>
        <w:r>
          <w:rPr>
            <w:noProof/>
            <w:webHidden/>
          </w:rPr>
          <w:fldChar w:fldCharType="separate"/>
        </w:r>
        <w:r w:rsidR="003B5862">
          <w:rPr>
            <w:noProof/>
            <w:webHidden/>
          </w:rPr>
          <w:t>50</w:t>
        </w:r>
        <w:r>
          <w:rPr>
            <w:noProof/>
            <w:webHidden/>
          </w:rPr>
          <w:fldChar w:fldCharType="end"/>
        </w:r>
      </w:hyperlink>
    </w:p>
    <w:p w14:paraId="4138C480" w14:textId="6176C4D8" w:rsidR="009C398A" w:rsidRDefault="009C398A">
      <w:pPr>
        <w:pStyle w:val="TOC2"/>
        <w:tabs>
          <w:tab w:val="left" w:pos="660"/>
        </w:tabs>
        <w:rPr>
          <w:rFonts w:asciiTheme="minorHAnsi" w:eastAsiaTheme="minorEastAsia" w:hAnsiTheme="minorHAnsi" w:cstheme="minorBidi"/>
          <w:noProof/>
          <w:sz w:val="22"/>
          <w:szCs w:val="22"/>
        </w:rPr>
      </w:pPr>
      <w:hyperlink w:anchor="_Toc94854648" w:history="1">
        <w:r w:rsidRPr="0063686F">
          <w:rPr>
            <w:rStyle w:val="Hyperlink"/>
            <w:noProof/>
          </w:rPr>
          <w:t>2.</w:t>
        </w:r>
        <w:r w:rsidRPr="0063686F">
          <w:rPr>
            <w:rStyle w:val="Hyperlink"/>
            <w:noProof/>
            <w:lang w:val="en-US"/>
          </w:rPr>
          <w:t>6</w:t>
        </w:r>
        <w:r>
          <w:rPr>
            <w:rFonts w:asciiTheme="minorHAnsi" w:eastAsiaTheme="minorEastAsia" w:hAnsiTheme="minorHAnsi" w:cstheme="minorBidi"/>
            <w:noProof/>
            <w:sz w:val="22"/>
            <w:szCs w:val="22"/>
          </w:rPr>
          <w:tab/>
        </w:r>
        <w:r w:rsidRPr="0063686F">
          <w:rPr>
            <w:rStyle w:val="Hyperlink"/>
            <w:noProof/>
          </w:rPr>
          <w:t>Budgeted expenses and performance for Outcome 5</w:t>
        </w:r>
        <w:r>
          <w:rPr>
            <w:noProof/>
            <w:webHidden/>
          </w:rPr>
          <w:tab/>
        </w:r>
        <w:r>
          <w:rPr>
            <w:noProof/>
            <w:webHidden/>
          </w:rPr>
          <w:fldChar w:fldCharType="begin"/>
        </w:r>
        <w:r>
          <w:rPr>
            <w:noProof/>
            <w:webHidden/>
          </w:rPr>
          <w:instrText xml:space="preserve"> PAGEREF _Toc94854648 \h </w:instrText>
        </w:r>
        <w:r>
          <w:rPr>
            <w:noProof/>
            <w:webHidden/>
          </w:rPr>
        </w:r>
        <w:r>
          <w:rPr>
            <w:noProof/>
            <w:webHidden/>
          </w:rPr>
          <w:fldChar w:fldCharType="separate"/>
        </w:r>
        <w:r w:rsidR="003B5862">
          <w:rPr>
            <w:noProof/>
            <w:webHidden/>
          </w:rPr>
          <w:t>53</w:t>
        </w:r>
        <w:r>
          <w:rPr>
            <w:noProof/>
            <w:webHidden/>
          </w:rPr>
          <w:fldChar w:fldCharType="end"/>
        </w:r>
      </w:hyperlink>
    </w:p>
    <w:p w14:paraId="39D74C00" w14:textId="24F75FC6" w:rsidR="009C398A" w:rsidRDefault="009C398A">
      <w:pPr>
        <w:pStyle w:val="TOC2"/>
        <w:tabs>
          <w:tab w:val="left" w:pos="660"/>
        </w:tabs>
        <w:rPr>
          <w:rFonts w:asciiTheme="minorHAnsi" w:eastAsiaTheme="minorEastAsia" w:hAnsiTheme="minorHAnsi" w:cstheme="minorBidi"/>
          <w:noProof/>
          <w:sz w:val="22"/>
          <w:szCs w:val="22"/>
        </w:rPr>
      </w:pPr>
      <w:hyperlink w:anchor="_Toc94854649" w:history="1">
        <w:r w:rsidRPr="0063686F">
          <w:rPr>
            <w:rStyle w:val="Hyperlink"/>
            <w:noProof/>
          </w:rPr>
          <w:t>2.7</w:t>
        </w:r>
        <w:r>
          <w:rPr>
            <w:rFonts w:asciiTheme="minorHAnsi" w:eastAsiaTheme="minorEastAsia" w:hAnsiTheme="minorHAnsi" w:cstheme="minorBidi"/>
            <w:noProof/>
            <w:sz w:val="22"/>
            <w:szCs w:val="22"/>
          </w:rPr>
          <w:tab/>
        </w:r>
        <w:r w:rsidRPr="0063686F">
          <w:rPr>
            <w:rStyle w:val="Hyperlink"/>
            <w:noProof/>
          </w:rPr>
          <w:t>Budgeted expenses and performance for Outcome 6</w:t>
        </w:r>
        <w:r>
          <w:rPr>
            <w:noProof/>
            <w:webHidden/>
          </w:rPr>
          <w:tab/>
        </w:r>
        <w:r>
          <w:rPr>
            <w:noProof/>
            <w:webHidden/>
          </w:rPr>
          <w:fldChar w:fldCharType="begin"/>
        </w:r>
        <w:r>
          <w:rPr>
            <w:noProof/>
            <w:webHidden/>
          </w:rPr>
          <w:instrText xml:space="preserve"> PAGEREF _Toc94854649 \h </w:instrText>
        </w:r>
        <w:r>
          <w:rPr>
            <w:noProof/>
            <w:webHidden/>
          </w:rPr>
        </w:r>
        <w:r>
          <w:rPr>
            <w:noProof/>
            <w:webHidden/>
          </w:rPr>
          <w:fldChar w:fldCharType="separate"/>
        </w:r>
        <w:r w:rsidR="003B5862">
          <w:rPr>
            <w:noProof/>
            <w:webHidden/>
          </w:rPr>
          <w:t>59</w:t>
        </w:r>
        <w:r>
          <w:rPr>
            <w:noProof/>
            <w:webHidden/>
          </w:rPr>
          <w:fldChar w:fldCharType="end"/>
        </w:r>
      </w:hyperlink>
    </w:p>
    <w:p w14:paraId="138B6C40" w14:textId="4F58BA87" w:rsidR="009C398A" w:rsidRDefault="009C398A">
      <w:pPr>
        <w:pStyle w:val="TOC1"/>
        <w:rPr>
          <w:rFonts w:asciiTheme="minorHAnsi" w:eastAsiaTheme="minorEastAsia" w:hAnsiTheme="minorHAnsi" w:cstheme="minorBidi"/>
          <w:b w:val="0"/>
          <w:noProof/>
          <w:sz w:val="22"/>
          <w:szCs w:val="22"/>
        </w:rPr>
      </w:pPr>
      <w:hyperlink w:anchor="_Toc94854650" w:history="1">
        <w:r w:rsidRPr="0063686F">
          <w:rPr>
            <w:rStyle w:val="Hyperlink"/>
            <w:noProof/>
          </w:rPr>
          <w:t>Section 3: Special account flows and budgeted financial statements</w:t>
        </w:r>
        <w:r>
          <w:rPr>
            <w:noProof/>
            <w:webHidden/>
          </w:rPr>
          <w:tab/>
        </w:r>
        <w:r>
          <w:rPr>
            <w:noProof/>
            <w:webHidden/>
          </w:rPr>
          <w:fldChar w:fldCharType="begin"/>
        </w:r>
        <w:r>
          <w:rPr>
            <w:noProof/>
            <w:webHidden/>
          </w:rPr>
          <w:instrText xml:space="preserve"> PAGEREF _Toc94854650 \h </w:instrText>
        </w:r>
        <w:r>
          <w:rPr>
            <w:noProof/>
            <w:webHidden/>
          </w:rPr>
        </w:r>
        <w:r>
          <w:rPr>
            <w:noProof/>
            <w:webHidden/>
          </w:rPr>
          <w:fldChar w:fldCharType="separate"/>
        </w:r>
        <w:r w:rsidR="003B5862">
          <w:rPr>
            <w:noProof/>
            <w:webHidden/>
          </w:rPr>
          <w:t>62</w:t>
        </w:r>
        <w:r>
          <w:rPr>
            <w:noProof/>
            <w:webHidden/>
          </w:rPr>
          <w:fldChar w:fldCharType="end"/>
        </w:r>
      </w:hyperlink>
    </w:p>
    <w:p w14:paraId="66C49B54" w14:textId="712A34A9" w:rsidR="009C398A" w:rsidRDefault="009C398A">
      <w:pPr>
        <w:pStyle w:val="TOC2"/>
        <w:tabs>
          <w:tab w:val="left" w:pos="660"/>
        </w:tabs>
        <w:rPr>
          <w:rFonts w:asciiTheme="minorHAnsi" w:eastAsiaTheme="minorEastAsia" w:hAnsiTheme="minorHAnsi" w:cstheme="minorBidi"/>
          <w:noProof/>
          <w:sz w:val="22"/>
          <w:szCs w:val="22"/>
        </w:rPr>
      </w:pPr>
      <w:hyperlink w:anchor="_Toc94854651" w:history="1">
        <w:r w:rsidRPr="0063686F">
          <w:rPr>
            <w:rStyle w:val="Hyperlink"/>
            <w:noProof/>
          </w:rPr>
          <w:t>3.1</w:t>
        </w:r>
        <w:r>
          <w:rPr>
            <w:rFonts w:asciiTheme="minorHAnsi" w:eastAsiaTheme="minorEastAsia" w:hAnsiTheme="minorHAnsi" w:cstheme="minorBidi"/>
            <w:noProof/>
            <w:sz w:val="22"/>
            <w:szCs w:val="22"/>
          </w:rPr>
          <w:tab/>
        </w:r>
        <w:r w:rsidRPr="0063686F">
          <w:rPr>
            <w:rStyle w:val="Hyperlink"/>
            <w:noProof/>
          </w:rPr>
          <w:t>Special account flows</w:t>
        </w:r>
        <w:r>
          <w:rPr>
            <w:noProof/>
            <w:webHidden/>
          </w:rPr>
          <w:tab/>
        </w:r>
        <w:r>
          <w:rPr>
            <w:noProof/>
            <w:webHidden/>
          </w:rPr>
          <w:fldChar w:fldCharType="begin"/>
        </w:r>
        <w:r>
          <w:rPr>
            <w:noProof/>
            <w:webHidden/>
          </w:rPr>
          <w:instrText xml:space="preserve"> PAGEREF _Toc94854651 \h </w:instrText>
        </w:r>
        <w:r>
          <w:rPr>
            <w:noProof/>
            <w:webHidden/>
          </w:rPr>
        </w:r>
        <w:r>
          <w:rPr>
            <w:noProof/>
            <w:webHidden/>
          </w:rPr>
          <w:fldChar w:fldCharType="separate"/>
        </w:r>
        <w:r w:rsidR="003B5862">
          <w:rPr>
            <w:noProof/>
            <w:webHidden/>
          </w:rPr>
          <w:t>62</w:t>
        </w:r>
        <w:r>
          <w:rPr>
            <w:noProof/>
            <w:webHidden/>
          </w:rPr>
          <w:fldChar w:fldCharType="end"/>
        </w:r>
      </w:hyperlink>
    </w:p>
    <w:p w14:paraId="1F87DBAE" w14:textId="76EB9A1F" w:rsidR="009C398A" w:rsidRDefault="009C398A">
      <w:pPr>
        <w:pStyle w:val="TOC2"/>
        <w:tabs>
          <w:tab w:val="left" w:pos="660"/>
        </w:tabs>
        <w:rPr>
          <w:rFonts w:asciiTheme="minorHAnsi" w:eastAsiaTheme="minorEastAsia" w:hAnsiTheme="minorHAnsi" w:cstheme="minorBidi"/>
          <w:noProof/>
          <w:sz w:val="22"/>
          <w:szCs w:val="22"/>
        </w:rPr>
      </w:pPr>
      <w:hyperlink w:anchor="_Toc94854652" w:history="1">
        <w:r w:rsidRPr="0063686F">
          <w:rPr>
            <w:rStyle w:val="Hyperlink"/>
            <w:noProof/>
          </w:rPr>
          <w:t>3.2</w:t>
        </w:r>
        <w:r>
          <w:rPr>
            <w:rFonts w:asciiTheme="minorHAnsi" w:eastAsiaTheme="minorEastAsia" w:hAnsiTheme="minorHAnsi" w:cstheme="minorBidi"/>
            <w:noProof/>
            <w:sz w:val="22"/>
            <w:szCs w:val="22"/>
          </w:rPr>
          <w:tab/>
        </w:r>
        <w:r w:rsidRPr="0063686F">
          <w:rPr>
            <w:rStyle w:val="Hyperlink"/>
            <w:noProof/>
          </w:rPr>
          <w:t>Budgeted financial statements</w:t>
        </w:r>
        <w:r>
          <w:rPr>
            <w:noProof/>
            <w:webHidden/>
          </w:rPr>
          <w:tab/>
        </w:r>
        <w:r>
          <w:rPr>
            <w:noProof/>
            <w:webHidden/>
          </w:rPr>
          <w:fldChar w:fldCharType="begin"/>
        </w:r>
        <w:r>
          <w:rPr>
            <w:noProof/>
            <w:webHidden/>
          </w:rPr>
          <w:instrText xml:space="preserve"> PAGEREF _Toc94854652 \h </w:instrText>
        </w:r>
        <w:r>
          <w:rPr>
            <w:noProof/>
            <w:webHidden/>
          </w:rPr>
        </w:r>
        <w:r>
          <w:rPr>
            <w:noProof/>
            <w:webHidden/>
          </w:rPr>
          <w:fldChar w:fldCharType="separate"/>
        </w:r>
        <w:r w:rsidR="003B5862">
          <w:rPr>
            <w:noProof/>
            <w:webHidden/>
          </w:rPr>
          <w:t>63</w:t>
        </w:r>
        <w:r>
          <w:rPr>
            <w:noProof/>
            <w:webHidden/>
          </w:rPr>
          <w:fldChar w:fldCharType="end"/>
        </w:r>
      </w:hyperlink>
    </w:p>
    <w:p w14:paraId="2D405B0B" w14:textId="4D111536" w:rsidR="00050FE6" w:rsidRDefault="002F265C" w:rsidP="00A102BB">
      <w:pPr>
        <w:pStyle w:val="TOC1"/>
      </w:pPr>
      <w:r>
        <w:rPr>
          <w:b w:val="0"/>
        </w:rPr>
        <w:fldChar w:fldCharType="end"/>
      </w:r>
    </w:p>
    <w:p w14:paraId="18F19249" w14:textId="77777777" w:rsidR="006F7895" w:rsidRPr="0035086F" w:rsidRDefault="006F7895" w:rsidP="0035086F"/>
    <w:p w14:paraId="0685B378" w14:textId="77777777" w:rsidR="0035086F" w:rsidRPr="0035086F" w:rsidRDefault="0035086F" w:rsidP="0035086F"/>
    <w:p w14:paraId="13B9F098" w14:textId="77777777" w:rsidR="00BE5611" w:rsidRDefault="00BE5611" w:rsidP="0035086F">
      <w:pPr>
        <w:sectPr w:rsidR="00BE5611" w:rsidSect="005A601A">
          <w:headerReference w:type="even" r:id="rId56"/>
          <w:headerReference w:type="default" r:id="rId57"/>
          <w:footerReference w:type="even" r:id="rId58"/>
          <w:headerReference w:type="first" r:id="rId59"/>
          <w:footerReference w:type="first" r:id="rId60"/>
          <w:type w:val="oddPage"/>
          <w:pgSz w:w="11907" w:h="16840" w:code="9"/>
          <w:pgMar w:top="2835" w:right="2098" w:bottom="2466" w:left="2098" w:header="1814" w:footer="1814" w:gutter="0"/>
          <w:cols w:space="720"/>
          <w:titlePg/>
        </w:sectPr>
      </w:pPr>
    </w:p>
    <w:p w14:paraId="64949F1B" w14:textId="5D70FCD1" w:rsidR="00F51DAC" w:rsidRDefault="008863D9" w:rsidP="00E95DE7">
      <w:pPr>
        <w:pStyle w:val="Heading1-LVL2"/>
      </w:pPr>
      <w:bookmarkStart w:id="107" w:name="_Toc63841396"/>
      <w:bookmarkStart w:id="108" w:name="_Toc94198471"/>
      <w:bookmarkStart w:id="109" w:name="OLE_LINK12"/>
      <w:bookmarkStart w:id="110" w:name="OLE_LINK13"/>
      <w:bookmarkEnd w:id="98"/>
      <w:bookmarkEnd w:id="99"/>
      <w:bookmarkEnd w:id="100"/>
      <w:bookmarkEnd w:id="101"/>
      <w:bookmarkEnd w:id="102"/>
      <w:bookmarkEnd w:id="103"/>
      <w:r>
        <w:lastRenderedPageBreak/>
        <w:t>Department</w:t>
      </w:r>
      <w:r w:rsidR="00EC28BF" w:rsidRPr="00BD2124">
        <w:t xml:space="preserve"> of Infrastructure, Transport, Regional Development and Communications</w:t>
      </w:r>
      <w:bookmarkEnd w:id="107"/>
      <w:bookmarkEnd w:id="108"/>
    </w:p>
    <w:p w14:paraId="34A8B862" w14:textId="77777777" w:rsidR="0090206F" w:rsidRPr="00F045E6" w:rsidRDefault="0090206F" w:rsidP="00B87CAB">
      <w:pPr>
        <w:pStyle w:val="Heading2-TOCDITRDC"/>
      </w:pPr>
      <w:bookmarkStart w:id="111" w:name="_Toc92992106"/>
      <w:bookmarkStart w:id="112" w:name="_Toc93405031"/>
      <w:bookmarkStart w:id="113" w:name="_Toc490972399"/>
      <w:bookmarkStart w:id="114" w:name="_Toc491014616"/>
      <w:bookmarkStart w:id="115" w:name="_Toc491014758"/>
      <w:bookmarkStart w:id="116" w:name="_Toc491014938"/>
      <w:bookmarkStart w:id="117" w:name="_Toc491015085"/>
      <w:bookmarkStart w:id="118" w:name="_Toc491029232"/>
      <w:bookmarkStart w:id="119" w:name="_Toc491030321"/>
      <w:bookmarkStart w:id="120" w:name="_Toc491030781"/>
      <w:bookmarkStart w:id="121" w:name="_Toc491031344"/>
      <w:bookmarkStart w:id="122" w:name="_Toc491031931"/>
      <w:bookmarkStart w:id="123" w:name="_Toc491032101"/>
      <w:bookmarkStart w:id="124" w:name="_Toc491032212"/>
      <w:bookmarkStart w:id="125" w:name="_Toc491032319"/>
      <w:bookmarkStart w:id="126" w:name="_Toc491771706"/>
      <w:bookmarkStart w:id="127" w:name="_Toc491773281"/>
      <w:bookmarkStart w:id="128" w:name="_Toc23559340"/>
      <w:bookmarkStart w:id="129" w:name="_Toc23559374"/>
      <w:bookmarkStart w:id="130" w:name="_Toc23559665"/>
      <w:bookmarkStart w:id="131" w:name="_Toc23560128"/>
      <w:bookmarkStart w:id="132" w:name="_Toc23563423"/>
      <w:bookmarkStart w:id="133" w:name="_Toc77998677"/>
      <w:bookmarkStart w:id="134" w:name="_Toc79399716"/>
      <w:bookmarkStart w:id="135" w:name="_Toc112211956"/>
      <w:bookmarkStart w:id="136" w:name="_Toc112212050"/>
      <w:bookmarkStart w:id="137" w:name="_Toc112137868"/>
      <w:bookmarkStart w:id="138" w:name="_Toc112137890"/>
      <w:bookmarkStart w:id="139" w:name="_Toc210646448"/>
      <w:bookmarkStart w:id="140" w:name="_Toc210698427"/>
      <w:bookmarkStart w:id="141" w:name="_Toc210703208"/>
      <w:bookmarkStart w:id="142" w:name="_Toc436624138"/>
      <w:bookmarkStart w:id="143" w:name="_Toc436625439"/>
      <w:bookmarkStart w:id="144" w:name="_Toc449255759"/>
      <w:bookmarkStart w:id="145" w:name="_Toc490972400"/>
      <w:bookmarkStart w:id="146" w:name="_Toc491014617"/>
      <w:bookmarkStart w:id="147" w:name="_Toc491014759"/>
      <w:bookmarkStart w:id="148" w:name="_Toc491014939"/>
      <w:bookmarkStart w:id="149" w:name="_Toc491015086"/>
      <w:bookmarkStart w:id="150" w:name="_Toc491029233"/>
      <w:bookmarkStart w:id="151" w:name="_Toc491030322"/>
      <w:bookmarkStart w:id="152" w:name="_Toc491030782"/>
      <w:bookmarkStart w:id="153" w:name="_Toc491031345"/>
      <w:bookmarkStart w:id="154" w:name="_Toc491031932"/>
      <w:bookmarkStart w:id="155" w:name="_Toc491032102"/>
      <w:bookmarkStart w:id="156" w:name="_Toc491032213"/>
      <w:bookmarkStart w:id="157" w:name="_Toc491032320"/>
      <w:bookmarkStart w:id="158" w:name="_Toc491771707"/>
      <w:bookmarkStart w:id="159" w:name="_Toc491773282"/>
      <w:bookmarkStart w:id="160" w:name="_Toc23559341"/>
      <w:bookmarkStart w:id="161" w:name="_Toc23559375"/>
      <w:bookmarkStart w:id="162" w:name="_Toc23559666"/>
      <w:bookmarkStart w:id="163" w:name="_Toc23560129"/>
      <w:bookmarkStart w:id="164" w:name="_Toc23563424"/>
      <w:bookmarkStart w:id="165" w:name="_Toc77998678"/>
      <w:bookmarkStart w:id="166" w:name="_Toc79406107"/>
      <w:bookmarkStart w:id="167" w:name="_Toc79467809"/>
      <w:bookmarkStart w:id="168" w:name="_Toc112211957"/>
      <w:bookmarkStart w:id="169" w:name="_Toc112212051"/>
      <w:bookmarkStart w:id="170" w:name="_Toc112137869"/>
      <w:bookmarkStart w:id="171" w:name="_Toc112137891"/>
      <w:bookmarkStart w:id="172" w:name="_Toc94854636"/>
      <w:bookmarkEnd w:id="104"/>
      <w:bookmarkEnd w:id="105"/>
      <w:bookmarkEnd w:id="106"/>
      <w:r w:rsidRPr="00F045E6">
        <w:t xml:space="preserve">Section 1: </w:t>
      </w:r>
      <w:r w:rsidR="00726A60" w:rsidRPr="00F045E6">
        <w:t>Entity</w:t>
      </w:r>
      <w:r w:rsidRPr="00F045E6">
        <w:t xml:space="preserve"> </w:t>
      </w:r>
      <w:r w:rsidR="002322E9" w:rsidRPr="00F045E6">
        <w:t>overview and resources</w:t>
      </w:r>
      <w:bookmarkEnd w:id="111"/>
      <w:bookmarkEnd w:id="112"/>
      <w:bookmarkEnd w:id="172"/>
    </w:p>
    <w:p w14:paraId="3A606240" w14:textId="77777777" w:rsidR="00F51DAC" w:rsidRPr="002322E9" w:rsidRDefault="00F51DAC" w:rsidP="00B87CAB">
      <w:pPr>
        <w:pStyle w:val="Heading3DITRDC"/>
        <w:rPr>
          <w:lang w:val="en-AU"/>
        </w:rPr>
      </w:pPr>
      <w:bookmarkStart w:id="173" w:name="_Toc210703209"/>
      <w:bookmarkStart w:id="174" w:name="_Toc531094583"/>
      <w:bookmarkStart w:id="175" w:name="_Toc531095062"/>
      <w:bookmarkStart w:id="176" w:name="_Toc92992107"/>
      <w:bookmarkStart w:id="177" w:name="_Toc93405032"/>
      <w:bookmarkStart w:id="178" w:name="_Toc94854637"/>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t>1.1</w:t>
      </w:r>
      <w:r>
        <w:tab/>
      </w:r>
      <w:bookmarkStart w:id="179" w:name="_Toc210646449"/>
      <w:bookmarkStart w:id="180" w:name="_Toc21069842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4928FF">
        <w:t xml:space="preserve">Strategic </w:t>
      </w:r>
      <w:r w:rsidR="002322E9" w:rsidRPr="004928FF">
        <w:t>direction</w:t>
      </w:r>
      <w:bookmarkEnd w:id="173"/>
      <w:bookmarkEnd w:id="179"/>
      <w:bookmarkEnd w:id="180"/>
      <w:r w:rsidR="002322E9">
        <w:rPr>
          <w:lang w:val="en-AU"/>
        </w:rPr>
        <w:t xml:space="preserve"> statement</w:t>
      </w:r>
      <w:bookmarkEnd w:id="174"/>
      <w:bookmarkEnd w:id="175"/>
      <w:bookmarkEnd w:id="176"/>
      <w:bookmarkEnd w:id="177"/>
      <w:bookmarkEnd w:id="178"/>
    </w:p>
    <w:p w14:paraId="38339692" w14:textId="2825D60C" w:rsidR="00BF1483" w:rsidRDefault="00BF1483" w:rsidP="00BF1483">
      <w:pPr>
        <w:jc w:val="left"/>
      </w:pPr>
      <w:bookmarkStart w:id="181" w:name="_Toc210703210"/>
      <w:bookmarkStart w:id="182" w:name="_Toc436624139"/>
      <w:bookmarkStart w:id="183" w:name="_Toc436625440"/>
      <w:bookmarkStart w:id="184" w:name="_Toc449255760"/>
      <w:bookmarkStart w:id="185" w:name="_Toc531094584"/>
      <w:bookmarkStart w:id="186" w:name="_Toc531095063"/>
      <w:bookmarkEnd w:id="109"/>
      <w:bookmarkEnd w:id="110"/>
      <w:r>
        <w:t xml:space="preserve">The work of the </w:t>
      </w:r>
      <w:r w:rsidR="008863D9">
        <w:t>Department</w:t>
      </w:r>
      <w:r>
        <w:t xml:space="preserve"> of Infrastructure, Transport, Regional Development and Communications touches every Australian community and underpins our economy and society. In our work</w:t>
      </w:r>
      <w:r w:rsidR="009D63B8">
        <w:t>,</w:t>
      </w:r>
      <w:r>
        <w:t xml:space="preserve"> we are guided by three key activities: Connecting </w:t>
      </w:r>
      <w:r w:rsidR="001B57C7">
        <w:t xml:space="preserve">and linking </w:t>
      </w:r>
      <w:r>
        <w:t xml:space="preserve">Australians; </w:t>
      </w:r>
      <w:proofErr w:type="gramStart"/>
      <w:r>
        <w:t>Enriching</w:t>
      </w:r>
      <w:proofErr w:type="gramEnd"/>
      <w:r>
        <w:t xml:space="preserve"> </w:t>
      </w:r>
      <w:r w:rsidR="001B57C7">
        <w:t xml:space="preserve">our </w:t>
      </w:r>
      <w:r>
        <w:t xml:space="preserve">Communities; and Empowering </w:t>
      </w:r>
      <w:r w:rsidR="001B57C7">
        <w:t xml:space="preserve">our </w:t>
      </w:r>
      <w:r>
        <w:t xml:space="preserve">Regions. We provide strategic policy advice to government, fit for purpose regulation, and delivery of programs, projects and services in the major infrastructure, transport, communications and arts sectors, supporting our regions, our cities and our territories. </w:t>
      </w:r>
    </w:p>
    <w:p w14:paraId="2E243D27" w14:textId="77777777" w:rsidR="00BF1483" w:rsidRDefault="00BF1483" w:rsidP="00BF1483">
      <w:pPr>
        <w:jc w:val="left"/>
      </w:pPr>
      <w:r>
        <w:t xml:space="preserve">Natural disasters, extreme weather, the COVID-19 pandemic and other global shocks continue to impact Australian communities and our economy. We will take a consultative approach to continue to support the Australian Government’s recovery agenda. </w:t>
      </w:r>
    </w:p>
    <w:p w14:paraId="5AF1AE49" w14:textId="3F4ABA0A" w:rsidR="00FE1F21" w:rsidRPr="00C602FB" w:rsidRDefault="00BF1483" w:rsidP="00625914">
      <w:pPr>
        <w:spacing w:after="120"/>
        <w:jc w:val="left"/>
        <w:rPr>
          <w:lang w:val="en-US"/>
        </w:rPr>
      </w:pPr>
      <w:r>
        <w:t>We will monitor, measure and deliver through our six purposes, which are:</w:t>
      </w:r>
    </w:p>
    <w:p w14:paraId="17749C44" w14:textId="77777777" w:rsidR="00BF1483" w:rsidRPr="00D7792D" w:rsidRDefault="00BF1483" w:rsidP="009B54D8">
      <w:pPr>
        <w:pStyle w:val="ListParagraph"/>
        <w:numPr>
          <w:ilvl w:val="0"/>
          <w:numId w:val="6"/>
        </w:numPr>
        <w:spacing w:before="120" w:after="120" w:line="240" w:lineRule="auto"/>
        <w:contextualSpacing w:val="0"/>
        <w:rPr>
          <w:rFonts w:ascii="Book Antiqua" w:hAnsi="Book Antiqua" w:cstheme="minorHAnsi"/>
          <w:sz w:val="20"/>
        </w:rPr>
      </w:pPr>
      <w:r w:rsidRPr="00D7792D">
        <w:rPr>
          <w:rFonts w:ascii="Book Antiqua" w:hAnsi="Book Antiqua" w:cstheme="minorHAnsi"/>
          <w:b/>
          <w:sz w:val="20"/>
        </w:rPr>
        <w:t>Transport Connectivity</w:t>
      </w:r>
      <w:r w:rsidRPr="00D7792D">
        <w:rPr>
          <w:rFonts w:ascii="Book Antiqua" w:hAnsi="Book Antiqua" w:cstheme="minorHAnsi"/>
          <w:sz w:val="20"/>
        </w:rPr>
        <w:br/>
        <w:t>Supporting an efficient, sustainable, safe and accessible transport system and supporting jobs through infrastructure investment</w:t>
      </w:r>
    </w:p>
    <w:p w14:paraId="6F9BA874" w14:textId="41235F94" w:rsidR="00BF1483" w:rsidRPr="00D7792D" w:rsidRDefault="00BF1483" w:rsidP="009B54D8">
      <w:pPr>
        <w:pStyle w:val="ListParagraph"/>
        <w:numPr>
          <w:ilvl w:val="0"/>
          <w:numId w:val="6"/>
        </w:numPr>
        <w:spacing w:before="120" w:after="120" w:line="240" w:lineRule="auto"/>
        <w:ind w:left="357" w:hanging="357"/>
        <w:contextualSpacing w:val="0"/>
        <w:rPr>
          <w:rFonts w:ascii="Book Antiqua" w:hAnsi="Book Antiqua" w:cstheme="minorHAnsi"/>
          <w:sz w:val="20"/>
        </w:rPr>
      </w:pPr>
      <w:r w:rsidRPr="00D7792D">
        <w:rPr>
          <w:rFonts w:ascii="Book Antiqua" w:hAnsi="Book Antiqua" w:cstheme="minorHAnsi"/>
          <w:b/>
          <w:sz w:val="20"/>
        </w:rPr>
        <w:t>Regional Development</w:t>
      </w:r>
      <w:r w:rsidR="001B57C7">
        <w:rPr>
          <w:rFonts w:ascii="Book Antiqua" w:hAnsi="Book Antiqua" w:cstheme="minorHAnsi"/>
          <w:b/>
          <w:sz w:val="20"/>
        </w:rPr>
        <w:t>, northern Australia</w:t>
      </w:r>
      <w:r w:rsidRPr="00D7792D">
        <w:rPr>
          <w:rFonts w:ascii="Book Antiqua" w:hAnsi="Book Antiqua" w:cstheme="minorHAnsi"/>
          <w:b/>
          <w:sz w:val="20"/>
        </w:rPr>
        <w:t xml:space="preserve"> and Cities</w:t>
      </w:r>
      <w:r w:rsidRPr="00D7792D">
        <w:rPr>
          <w:rFonts w:ascii="Book Antiqua" w:hAnsi="Book Antiqua" w:cstheme="minorHAnsi"/>
          <w:sz w:val="20"/>
        </w:rPr>
        <w:br/>
        <w:t>Improving living standards and facilitating economic growth in cities and regions</w:t>
      </w:r>
      <w:r w:rsidR="009D63B8">
        <w:rPr>
          <w:rFonts w:ascii="Book Antiqua" w:hAnsi="Book Antiqua" w:cstheme="minorHAnsi"/>
          <w:sz w:val="20"/>
        </w:rPr>
        <w:t>, including northern Australia</w:t>
      </w:r>
      <w:r w:rsidR="001B57C7">
        <w:rPr>
          <w:rFonts w:ascii="Book Antiqua" w:hAnsi="Book Antiqua" w:cstheme="minorHAnsi"/>
          <w:sz w:val="20"/>
        </w:rPr>
        <w:t xml:space="preserve"> </w:t>
      </w:r>
    </w:p>
    <w:p w14:paraId="419A67FC" w14:textId="77777777" w:rsidR="00BF1483" w:rsidRPr="00D7792D" w:rsidRDefault="00BF1483" w:rsidP="009B54D8">
      <w:pPr>
        <w:pStyle w:val="ListParagraph"/>
        <w:numPr>
          <w:ilvl w:val="0"/>
          <w:numId w:val="6"/>
        </w:numPr>
        <w:spacing w:before="120" w:after="120" w:line="240" w:lineRule="auto"/>
        <w:ind w:left="357" w:hanging="357"/>
        <w:contextualSpacing w:val="0"/>
        <w:rPr>
          <w:rFonts w:ascii="Book Antiqua" w:hAnsi="Book Antiqua" w:cstheme="minorHAnsi"/>
          <w:sz w:val="20"/>
        </w:rPr>
      </w:pPr>
      <w:r w:rsidRPr="00D7792D">
        <w:rPr>
          <w:rFonts w:ascii="Book Antiqua" w:hAnsi="Book Antiqua" w:cstheme="minorHAnsi"/>
          <w:b/>
          <w:sz w:val="20"/>
        </w:rPr>
        <w:t>Water Infrastructure</w:t>
      </w:r>
      <w:r w:rsidRPr="00D7792D">
        <w:rPr>
          <w:rFonts w:ascii="Book Antiqua" w:hAnsi="Book Antiqua" w:cstheme="minorHAnsi"/>
          <w:b/>
          <w:sz w:val="20"/>
        </w:rPr>
        <w:br/>
      </w:r>
      <w:r w:rsidRPr="00D7792D">
        <w:rPr>
          <w:rFonts w:ascii="Book Antiqua" w:hAnsi="Book Antiqua" w:cstheme="minorHAnsi"/>
          <w:sz w:val="20"/>
        </w:rPr>
        <w:t>Supporting regional growth and resilience through building water infrastructure that improves water availability, connectivity, reliability and security for agricultural and other primary industry users</w:t>
      </w:r>
    </w:p>
    <w:p w14:paraId="5B93F7C0" w14:textId="77777777" w:rsidR="00BF1483" w:rsidRPr="00D7792D" w:rsidRDefault="00BF1483" w:rsidP="009B54D8">
      <w:pPr>
        <w:pStyle w:val="ListParagraph"/>
        <w:numPr>
          <w:ilvl w:val="0"/>
          <w:numId w:val="6"/>
        </w:numPr>
        <w:spacing w:before="120" w:after="120" w:line="240" w:lineRule="auto"/>
        <w:ind w:left="357" w:hanging="357"/>
        <w:contextualSpacing w:val="0"/>
        <w:rPr>
          <w:rFonts w:ascii="Book Antiqua" w:hAnsi="Book Antiqua" w:cstheme="minorHAnsi"/>
          <w:sz w:val="20"/>
        </w:rPr>
      </w:pPr>
      <w:r w:rsidRPr="00D7792D">
        <w:rPr>
          <w:rFonts w:ascii="Book Antiqua" w:hAnsi="Book Antiqua" w:cstheme="minorHAnsi"/>
          <w:b/>
          <w:sz w:val="20"/>
        </w:rPr>
        <w:t>Territories</w:t>
      </w:r>
      <w:r w:rsidRPr="00D7792D">
        <w:rPr>
          <w:rFonts w:ascii="Book Antiqua" w:hAnsi="Book Antiqua" w:cstheme="minorHAnsi"/>
          <w:sz w:val="20"/>
        </w:rPr>
        <w:br/>
        <w:t>Providing governance frameworks and services to support communities in the territories</w:t>
      </w:r>
    </w:p>
    <w:p w14:paraId="56946C59" w14:textId="77777777" w:rsidR="00BF1483" w:rsidRPr="00D7792D" w:rsidRDefault="00BF1483" w:rsidP="009B54D8">
      <w:pPr>
        <w:pStyle w:val="ListParagraph"/>
        <w:numPr>
          <w:ilvl w:val="0"/>
          <w:numId w:val="6"/>
        </w:numPr>
        <w:spacing w:before="120" w:after="120" w:line="240" w:lineRule="auto"/>
        <w:ind w:left="357" w:hanging="357"/>
        <w:contextualSpacing w:val="0"/>
        <w:rPr>
          <w:rFonts w:ascii="Book Antiqua" w:hAnsi="Book Antiqua" w:cstheme="minorHAnsi"/>
          <w:sz w:val="20"/>
        </w:rPr>
      </w:pPr>
      <w:r w:rsidRPr="00D7792D">
        <w:rPr>
          <w:rFonts w:ascii="Book Antiqua" w:hAnsi="Book Antiqua" w:cstheme="minorHAnsi"/>
          <w:b/>
          <w:sz w:val="20"/>
        </w:rPr>
        <w:t>Communications Connectivity</w:t>
      </w:r>
      <w:r w:rsidRPr="00D7792D">
        <w:rPr>
          <w:rFonts w:ascii="Book Antiqua" w:hAnsi="Book Antiqua" w:cstheme="minorHAnsi"/>
          <w:sz w:val="20"/>
        </w:rPr>
        <w:br/>
        <w:t>Enabling people in Australia to connect to effective, safe communications services and enabling investment in communication technologies, for inclusiveness and sustainable economic growth</w:t>
      </w:r>
    </w:p>
    <w:p w14:paraId="170D65E1" w14:textId="77777777" w:rsidR="00BF1483" w:rsidRPr="00D7792D" w:rsidRDefault="00BF1483" w:rsidP="009B54D8">
      <w:pPr>
        <w:pStyle w:val="ListParagraph"/>
        <w:numPr>
          <w:ilvl w:val="0"/>
          <w:numId w:val="6"/>
        </w:numPr>
        <w:spacing w:before="120" w:after="120" w:line="240" w:lineRule="auto"/>
        <w:ind w:left="357" w:hanging="357"/>
        <w:contextualSpacing w:val="0"/>
        <w:rPr>
          <w:rFonts w:ascii="Book Antiqua" w:hAnsi="Book Antiqua" w:cstheme="minorHAnsi"/>
          <w:sz w:val="20"/>
        </w:rPr>
      </w:pPr>
      <w:r w:rsidRPr="00D7792D">
        <w:rPr>
          <w:rFonts w:ascii="Book Antiqua" w:hAnsi="Book Antiqua" w:cstheme="minorHAnsi"/>
          <w:b/>
          <w:sz w:val="20"/>
        </w:rPr>
        <w:lastRenderedPageBreak/>
        <w:t>Creativity and culture</w:t>
      </w:r>
      <w:r w:rsidRPr="00D7792D">
        <w:rPr>
          <w:rFonts w:ascii="Book Antiqua" w:hAnsi="Book Antiqua" w:cstheme="minorHAnsi"/>
          <w:sz w:val="20"/>
        </w:rPr>
        <w:br/>
      </w:r>
      <w:proofErr w:type="gramStart"/>
      <w:r w:rsidRPr="00D7792D">
        <w:rPr>
          <w:rFonts w:ascii="Book Antiqua" w:hAnsi="Book Antiqua" w:cstheme="minorHAnsi"/>
          <w:sz w:val="20"/>
        </w:rPr>
        <w:t>Supporting</w:t>
      </w:r>
      <w:proofErr w:type="gramEnd"/>
      <w:r w:rsidRPr="00D7792D">
        <w:rPr>
          <w:rFonts w:ascii="Book Antiqua" w:hAnsi="Book Antiqua" w:cstheme="minorHAnsi"/>
          <w:sz w:val="20"/>
        </w:rPr>
        <w:t xml:space="preserve"> sustainable and inclusive creative and cultural sectors, and protecting and promoting Australian content and culture.</w:t>
      </w:r>
    </w:p>
    <w:p w14:paraId="26B572D1" w14:textId="4332BB3D" w:rsidR="00BF1483" w:rsidRPr="00BF1483" w:rsidRDefault="00BF1483" w:rsidP="00BF1483">
      <w:pPr>
        <w:spacing w:after="160" w:line="240" w:lineRule="auto"/>
        <w:jc w:val="left"/>
        <w:rPr>
          <w:lang w:val="en-US"/>
        </w:rPr>
      </w:pPr>
      <w:r w:rsidRPr="00BF1483">
        <w:rPr>
          <w:lang w:val="en-US"/>
        </w:rPr>
        <w:t>To achieve our purposes, we collaborate closely with others — portfolio entities, other governments, industry and the community</w:t>
      </w:r>
      <w:r w:rsidR="009D63B8">
        <w:rPr>
          <w:lang w:val="en-US"/>
        </w:rPr>
        <w:t>,</w:t>
      </w:r>
      <w:r w:rsidRPr="00BF1483">
        <w:rPr>
          <w:lang w:val="en-US"/>
        </w:rPr>
        <w:t xml:space="preserve"> as well as international </w:t>
      </w:r>
      <w:proofErr w:type="spellStart"/>
      <w:r w:rsidRPr="00BF1483">
        <w:rPr>
          <w:lang w:val="en-US"/>
        </w:rPr>
        <w:t>organisations</w:t>
      </w:r>
      <w:proofErr w:type="spellEnd"/>
      <w:r w:rsidRPr="00BF1483">
        <w:rPr>
          <w:lang w:val="en-US"/>
        </w:rPr>
        <w:t>.</w:t>
      </w:r>
    </w:p>
    <w:p w14:paraId="67D92252" w14:textId="4BBA518A" w:rsidR="00BE5611" w:rsidRDefault="00BF1483" w:rsidP="00BF1483">
      <w:pPr>
        <w:spacing w:after="160" w:line="240" w:lineRule="auto"/>
        <w:jc w:val="left"/>
        <w:rPr>
          <w:lang w:val="en-US"/>
        </w:rPr>
      </w:pPr>
      <w:r w:rsidRPr="00BF1483">
        <w:rPr>
          <w:lang w:val="en-US"/>
        </w:rPr>
        <w:t xml:space="preserve">For more information on our strategic direction and performance, please refer to our Corporate Plan, online at: </w:t>
      </w:r>
      <w:hyperlink r:id="rId61" w:history="1">
        <w:r w:rsidR="00BE5611" w:rsidRPr="00061093">
          <w:rPr>
            <w:rStyle w:val="Hyperlink"/>
            <w:u w:val="single"/>
            <w:lang w:val="en-US"/>
          </w:rPr>
          <w:t>www.infrastructure.gov.au/</w:t>
        </w:r>
        <w:r w:rsidR="008863D9">
          <w:rPr>
            <w:rStyle w:val="Hyperlink"/>
            <w:u w:val="single"/>
            <w:lang w:val="en-US"/>
          </w:rPr>
          <w:t>Department</w:t>
        </w:r>
        <w:r w:rsidR="00BE5611" w:rsidRPr="00061093">
          <w:rPr>
            <w:rStyle w:val="Hyperlink"/>
            <w:u w:val="single"/>
            <w:lang w:val="en-US"/>
          </w:rPr>
          <w:t>/about/corporate-plan</w:t>
        </w:r>
      </w:hyperlink>
      <w:r w:rsidR="00061093" w:rsidRPr="00061093">
        <w:rPr>
          <w:rStyle w:val="Hyperlink"/>
          <w:lang w:val="en-US"/>
        </w:rPr>
        <w:t>.</w:t>
      </w:r>
    </w:p>
    <w:p w14:paraId="619173B5" w14:textId="02A18390" w:rsidR="00F51DAC" w:rsidRPr="004928FF" w:rsidRDefault="00F51DAC" w:rsidP="00B87CAB">
      <w:pPr>
        <w:pStyle w:val="Heading3DITRDC"/>
      </w:pPr>
      <w:bookmarkStart w:id="187" w:name="_Toc92992108"/>
      <w:bookmarkStart w:id="188" w:name="_Toc93405033"/>
      <w:bookmarkStart w:id="189" w:name="_Toc94854638"/>
      <w:r>
        <w:t>1.2</w:t>
      </w:r>
      <w:bookmarkEnd w:id="181"/>
      <w:r>
        <w:tab/>
      </w:r>
      <w:bookmarkStart w:id="190" w:name="_Toc490972403"/>
      <w:bookmarkStart w:id="191" w:name="_Toc491014620"/>
      <w:bookmarkStart w:id="192" w:name="_Toc491014762"/>
      <w:bookmarkStart w:id="193" w:name="_Toc491014942"/>
      <w:bookmarkStart w:id="194" w:name="_Toc491015089"/>
      <w:bookmarkStart w:id="195" w:name="_Toc491032105"/>
      <w:bookmarkEnd w:id="182"/>
      <w:bookmarkEnd w:id="183"/>
      <w:bookmarkEnd w:id="184"/>
      <w:r w:rsidR="00726A60">
        <w:t>Entity</w:t>
      </w:r>
      <w:r>
        <w:t xml:space="preserve"> </w:t>
      </w:r>
      <w:r w:rsidR="002322E9">
        <w:t>resource statement</w:t>
      </w:r>
      <w:bookmarkEnd w:id="185"/>
      <w:bookmarkEnd w:id="186"/>
      <w:bookmarkEnd w:id="187"/>
      <w:bookmarkEnd w:id="188"/>
      <w:bookmarkEnd w:id="189"/>
    </w:p>
    <w:p w14:paraId="2410E10A" w14:textId="24504AE0" w:rsidR="00F51DAC" w:rsidRDefault="00F51DAC" w:rsidP="00BE5611">
      <w:pPr>
        <w:jc w:val="left"/>
      </w:pPr>
      <w:r>
        <w:t xml:space="preserve">The </w:t>
      </w:r>
      <w:r w:rsidR="00E40CA3">
        <w:t>e</w:t>
      </w:r>
      <w:r w:rsidR="00726A60">
        <w:t>ntity</w:t>
      </w:r>
      <w:r w:rsidR="00E40CA3">
        <w:t xml:space="preserve"> resources s</w:t>
      </w:r>
      <w:r>
        <w:t>tatement details the resourcing for</w:t>
      </w:r>
      <w:r w:rsidR="00E53168">
        <w:t xml:space="preserve"> the</w:t>
      </w:r>
      <w:r>
        <w:t xml:space="preserve"> </w:t>
      </w:r>
      <w:r w:rsidR="008863D9">
        <w:t>Department</w:t>
      </w:r>
      <w:r w:rsidR="00680E59">
        <w:t xml:space="preserve"> of Infrastructure, Transport, Regional Development and Communications</w:t>
      </w:r>
      <w:r>
        <w:t xml:space="preserve"> at Additional Estimates</w:t>
      </w:r>
      <w:r w:rsidR="00E15CF3">
        <w:t xml:space="preserve">. </w:t>
      </w:r>
      <w:r>
        <w:t xml:space="preserve">Table 1.1 outlines the total resourcing available from all sources for the </w:t>
      </w:r>
      <w:r w:rsidR="007C0692">
        <w:t>202</w:t>
      </w:r>
      <w:r w:rsidR="00426D9F">
        <w:t>1</w:t>
      </w:r>
      <w:r w:rsidR="007D74C9">
        <w:noBreakHyphen/>
      </w:r>
      <w:r w:rsidR="007C0692">
        <w:t>2</w:t>
      </w:r>
      <w:r w:rsidR="00426D9F">
        <w:t>2</w:t>
      </w:r>
      <w:r>
        <w:t xml:space="preserve"> Budget year, including variations through </w:t>
      </w:r>
      <w:r w:rsidRPr="00B94BE6">
        <w:t>Appropriation Bill</w:t>
      </w:r>
      <w:r w:rsidR="00A156A3">
        <w:t>s</w:t>
      </w:r>
      <w:r w:rsidRPr="00B94BE6">
        <w:t xml:space="preserve"> No.</w:t>
      </w:r>
      <w:r w:rsidR="00B7550E" w:rsidRPr="00B94BE6">
        <w:t xml:space="preserve"> </w:t>
      </w:r>
      <w:r w:rsidRPr="00B94BE6">
        <w:t xml:space="preserve">3 </w:t>
      </w:r>
      <w:r w:rsidR="001A1C55" w:rsidRPr="00B94BE6">
        <w:t>and</w:t>
      </w:r>
      <w:r w:rsidR="00B7550E" w:rsidRPr="00B94BE6">
        <w:t xml:space="preserve"> </w:t>
      </w:r>
      <w:r w:rsidRPr="00B94BE6">
        <w:t>No.</w:t>
      </w:r>
      <w:r w:rsidR="00B7550E" w:rsidRPr="00B94BE6">
        <w:t xml:space="preserve"> </w:t>
      </w:r>
      <w:r w:rsidRPr="00B94BE6">
        <w:t>4</w:t>
      </w:r>
      <w:r w:rsidRPr="00B94BE6">
        <w:rPr>
          <w:i/>
        </w:rPr>
        <w:t>,</w:t>
      </w:r>
      <w:r>
        <w:t xml:space="preserve"> </w:t>
      </w:r>
      <w:r w:rsidR="00272B20">
        <w:t>S</w:t>
      </w:r>
      <w:r>
        <w:t xml:space="preserve">pecial </w:t>
      </w:r>
      <w:r w:rsidR="00272B20">
        <w:t>A</w:t>
      </w:r>
      <w:r>
        <w:t xml:space="preserve">ppropriations and </w:t>
      </w:r>
      <w:r w:rsidR="00272B20">
        <w:t>S</w:t>
      </w:r>
      <w:r>
        <w:t xml:space="preserve">pecial </w:t>
      </w:r>
      <w:r w:rsidR="00272B20">
        <w:t>A</w:t>
      </w:r>
      <w:r>
        <w:t>ccounts.</w:t>
      </w:r>
    </w:p>
    <w:p w14:paraId="33AD16E0" w14:textId="3F0E43FD" w:rsidR="00C12315" w:rsidRPr="00D1451B" w:rsidRDefault="00F51DAC" w:rsidP="00D1451B">
      <w:pPr>
        <w:pStyle w:val="TableHeading"/>
        <w:rPr>
          <w:lang w:val="en-AU"/>
        </w:rPr>
      </w:pPr>
      <w:bookmarkStart w:id="196" w:name="OLE_LINK9"/>
      <w:r w:rsidRPr="00897F19">
        <w:t xml:space="preserve">Table 1.1: </w:t>
      </w:r>
      <w:r w:rsidR="008863D9">
        <w:t>Department</w:t>
      </w:r>
      <w:r w:rsidR="00E53168" w:rsidRPr="00897F19">
        <w:t xml:space="preserve"> of Infrastructure, Transport, Regional Development and Communications </w:t>
      </w:r>
      <w:r w:rsidR="0039259E" w:rsidRPr="00897F19">
        <w:t xml:space="preserve">resource statement </w:t>
      </w:r>
      <w:r w:rsidR="001732D6">
        <w:t>-</w:t>
      </w:r>
      <w:r w:rsidR="00E15CF3" w:rsidRPr="00897F19">
        <w:t xml:space="preserve"> </w:t>
      </w:r>
      <w:r w:rsidRPr="00897F19">
        <w:t xml:space="preserve">Additional </w:t>
      </w:r>
      <w:r w:rsidR="00B7550E" w:rsidRPr="00897F19">
        <w:t>E</w:t>
      </w:r>
      <w:r w:rsidRPr="00897F19">
        <w:t xml:space="preserve">stimates for </w:t>
      </w:r>
      <w:r w:rsidR="00374AD3" w:rsidRPr="00897F19">
        <w:rPr>
          <w:lang w:val="en-AU"/>
        </w:rPr>
        <w:t>2021</w:t>
      </w:r>
      <w:r w:rsidR="008A6813" w:rsidRPr="00897F19">
        <w:rPr>
          <w:lang w:val="en-AU"/>
        </w:rPr>
        <w:t>-</w:t>
      </w:r>
      <w:r w:rsidR="00374AD3" w:rsidRPr="00897F19">
        <w:rPr>
          <w:lang w:val="en-AU"/>
        </w:rPr>
        <w:t>22</w:t>
      </w:r>
      <w:r w:rsidR="00374AD3" w:rsidRPr="00897F19">
        <w:t xml:space="preserve"> </w:t>
      </w:r>
      <w:r w:rsidRPr="00897F19">
        <w:t xml:space="preserve">as at </w:t>
      </w:r>
      <w:r w:rsidR="00195563" w:rsidRPr="00897F19">
        <w:t>February</w:t>
      </w:r>
      <w:r w:rsidRPr="00897F19">
        <w:t xml:space="preserve"> </w:t>
      </w:r>
      <w:bookmarkEnd w:id="196"/>
      <w:r w:rsidR="00374AD3" w:rsidRPr="00897F19">
        <w:rPr>
          <w:lang w:val="en-AU"/>
        </w:rPr>
        <w:t>2022</w:t>
      </w:r>
    </w:p>
    <w:tbl>
      <w:tblPr>
        <w:tblW w:w="0" w:type="auto"/>
        <w:tblLayout w:type="fixed"/>
        <w:tblLook w:val="04A0" w:firstRow="1" w:lastRow="0" w:firstColumn="1" w:lastColumn="0" w:noHBand="0" w:noVBand="1"/>
      </w:tblPr>
      <w:tblGrid>
        <w:gridCol w:w="3119"/>
        <w:gridCol w:w="1150"/>
        <w:gridCol w:w="1096"/>
        <w:gridCol w:w="979"/>
        <w:gridCol w:w="1077"/>
      </w:tblGrid>
      <w:tr w:rsidR="009D3766" w:rsidRPr="00081844" w14:paraId="192850EE" w14:textId="77777777" w:rsidTr="009D3766">
        <w:trPr>
          <w:trHeight w:val="603"/>
        </w:trPr>
        <w:tc>
          <w:tcPr>
            <w:tcW w:w="3119" w:type="dxa"/>
            <w:tcBorders>
              <w:top w:val="single" w:sz="4" w:space="0" w:color="auto"/>
              <w:left w:val="nil"/>
              <w:right w:val="nil"/>
            </w:tcBorders>
            <w:shd w:val="clear" w:color="auto" w:fill="auto"/>
            <w:noWrap/>
            <w:hideMark/>
          </w:tcPr>
          <w:p w14:paraId="3A34844A" w14:textId="77777777" w:rsidR="009D3766" w:rsidRPr="00081844" w:rsidRDefault="009D3766" w:rsidP="00081844">
            <w:pPr>
              <w:spacing w:after="0" w:line="240" w:lineRule="auto"/>
              <w:jc w:val="left"/>
              <w:rPr>
                <w:rFonts w:ascii="Arial" w:hAnsi="Arial" w:cs="Arial"/>
                <w:sz w:val="16"/>
                <w:szCs w:val="16"/>
              </w:rPr>
            </w:pPr>
            <w:r w:rsidRPr="00081844">
              <w:rPr>
                <w:rFonts w:ascii="Arial" w:hAnsi="Arial" w:cs="Arial"/>
                <w:sz w:val="16"/>
                <w:szCs w:val="16"/>
              </w:rPr>
              <w:t> </w:t>
            </w:r>
          </w:p>
        </w:tc>
        <w:tc>
          <w:tcPr>
            <w:tcW w:w="1150" w:type="dxa"/>
            <w:tcBorders>
              <w:top w:val="single" w:sz="4" w:space="0" w:color="auto"/>
              <w:left w:val="nil"/>
              <w:bottom w:val="single" w:sz="4" w:space="0" w:color="auto"/>
              <w:right w:val="nil"/>
            </w:tcBorders>
            <w:shd w:val="clear" w:color="auto" w:fill="auto"/>
            <w:vAlign w:val="bottom"/>
            <w:hideMark/>
          </w:tcPr>
          <w:p w14:paraId="5D0F82A5"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Actual</w:t>
            </w:r>
          </w:p>
          <w:p w14:paraId="3713DABE"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available</w:t>
            </w:r>
          </w:p>
          <w:p w14:paraId="0FBB8CF5" w14:textId="3C7FB3B0" w:rsidR="009D3766" w:rsidRDefault="009D3766" w:rsidP="00081844">
            <w:pPr>
              <w:spacing w:after="0" w:line="240" w:lineRule="auto"/>
              <w:jc w:val="right"/>
              <w:rPr>
                <w:rFonts w:ascii="Arial" w:hAnsi="Arial" w:cs="Arial"/>
                <w:sz w:val="16"/>
                <w:szCs w:val="16"/>
              </w:rPr>
            </w:pPr>
            <w:r w:rsidRPr="00081844">
              <w:rPr>
                <w:rFonts w:ascii="Arial" w:hAnsi="Arial" w:cs="Arial"/>
                <w:sz w:val="16"/>
                <w:szCs w:val="16"/>
              </w:rPr>
              <w:t>appropriation</w:t>
            </w:r>
          </w:p>
          <w:p w14:paraId="0A1D3E88" w14:textId="77777777" w:rsidR="009D3766" w:rsidRPr="00081844" w:rsidRDefault="009D3766" w:rsidP="00081844">
            <w:pPr>
              <w:spacing w:after="0" w:line="240" w:lineRule="auto"/>
              <w:jc w:val="right"/>
              <w:rPr>
                <w:rFonts w:ascii="Arial" w:hAnsi="Arial" w:cs="Arial"/>
                <w:sz w:val="16"/>
                <w:szCs w:val="16"/>
              </w:rPr>
            </w:pPr>
          </w:p>
          <w:p w14:paraId="291B55FE"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2020-21</w:t>
            </w:r>
          </w:p>
          <w:p w14:paraId="0BC3D956" w14:textId="18BEB396"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$'000</w:t>
            </w:r>
          </w:p>
        </w:tc>
        <w:tc>
          <w:tcPr>
            <w:tcW w:w="1096" w:type="dxa"/>
            <w:tcBorders>
              <w:top w:val="single" w:sz="4" w:space="0" w:color="auto"/>
              <w:left w:val="nil"/>
              <w:bottom w:val="single" w:sz="4" w:space="0" w:color="auto"/>
              <w:right w:val="nil"/>
            </w:tcBorders>
            <w:shd w:val="clear" w:color="auto" w:fill="auto"/>
            <w:vAlign w:val="bottom"/>
            <w:hideMark/>
          </w:tcPr>
          <w:p w14:paraId="5B50068F"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Estimate</w:t>
            </w:r>
          </w:p>
          <w:p w14:paraId="28187FAE"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as at</w:t>
            </w:r>
          </w:p>
          <w:p w14:paraId="4EE706FC"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 xml:space="preserve">Budget </w:t>
            </w:r>
            <w:r w:rsidRPr="000B7D3B">
              <w:rPr>
                <w:rFonts w:ascii="Arial" w:hAnsi="Arial" w:cs="Arial"/>
                <w:sz w:val="16"/>
                <w:szCs w:val="16"/>
                <w:vertAlign w:val="superscript"/>
              </w:rPr>
              <w:t>(a)</w:t>
            </w:r>
          </w:p>
          <w:p w14:paraId="1CA81954" w14:textId="77777777" w:rsidR="009D3766" w:rsidRDefault="009D3766" w:rsidP="00081844">
            <w:pPr>
              <w:spacing w:after="0" w:line="240" w:lineRule="auto"/>
              <w:jc w:val="right"/>
              <w:rPr>
                <w:rFonts w:ascii="Arial" w:hAnsi="Arial" w:cs="Arial"/>
                <w:sz w:val="16"/>
                <w:szCs w:val="16"/>
              </w:rPr>
            </w:pPr>
          </w:p>
          <w:p w14:paraId="1003C40C" w14:textId="5B0652EC"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2021-22</w:t>
            </w:r>
          </w:p>
          <w:p w14:paraId="73757289" w14:textId="7B84B34F"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$'000</w:t>
            </w:r>
          </w:p>
        </w:tc>
        <w:tc>
          <w:tcPr>
            <w:tcW w:w="979" w:type="dxa"/>
            <w:tcBorders>
              <w:top w:val="single" w:sz="4" w:space="0" w:color="auto"/>
              <w:left w:val="nil"/>
              <w:bottom w:val="single" w:sz="4" w:space="0" w:color="auto"/>
              <w:right w:val="nil"/>
            </w:tcBorders>
            <w:shd w:val="clear" w:color="auto" w:fill="auto"/>
            <w:vAlign w:val="bottom"/>
            <w:hideMark/>
          </w:tcPr>
          <w:p w14:paraId="09ECBBD3"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Proposed</w:t>
            </w:r>
          </w:p>
          <w:p w14:paraId="59EE5342"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 xml:space="preserve">Additional </w:t>
            </w:r>
          </w:p>
          <w:p w14:paraId="26FD015D" w14:textId="6060E13B" w:rsidR="009D3766" w:rsidRDefault="009D3766" w:rsidP="00081844">
            <w:pPr>
              <w:spacing w:after="0" w:line="240" w:lineRule="auto"/>
              <w:jc w:val="right"/>
              <w:rPr>
                <w:rFonts w:ascii="Arial" w:hAnsi="Arial" w:cs="Arial"/>
                <w:sz w:val="16"/>
                <w:szCs w:val="16"/>
              </w:rPr>
            </w:pPr>
            <w:r w:rsidRPr="00081844">
              <w:rPr>
                <w:rFonts w:ascii="Arial" w:hAnsi="Arial" w:cs="Arial"/>
                <w:sz w:val="16"/>
                <w:szCs w:val="16"/>
              </w:rPr>
              <w:t>Estimates</w:t>
            </w:r>
          </w:p>
          <w:p w14:paraId="7FAD7610" w14:textId="77777777" w:rsidR="009D3766" w:rsidRPr="00081844" w:rsidRDefault="009D3766" w:rsidP="00081844">
            <w:pPr>
              <w:spacing w:after="0" w:line="240" w:lineRule="auto"/>
              <w:jc w:val="right"/>
              <w:rPr>
                <w:rFonts w:ascii="Arial" w:hAnsi="Arial" w:cs="Arial"/>
                <w:sz w:val="16"/>
                <w:szCs w:val="16"/>
              </w:rPr>
            </w:pPr>
          </w:p>
          <w:p w14:paraId="532A2653"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2021-22</w:t>
            </w:r>
          </w:p>
          <w:p w14:paraId="56DC9C77" w14:textId="130D1A51"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$'000</w:t>
            </w:r>
          </w:p>
        </w:tc>
        <w:tc>
          <w:tcPr>
            <w:tcW w:w="1077" w:type="dxa"/>
            <w:tcBorders>
              <w:top w:val="single" w:sz="4" w:space="0" w:color="auto"/>
              <w:left w:val="nil"/>
              <w:bottom w:val="single" w:sz="4" w:space="0" w:color="auto"/>
              <w:right w:val="nil"/>
            </w:tcBorders>
            <w:shd w:val="clear" w:color="auto" w:fill="E6E6E6"/>
            <w:vAlign w:val="bottom"/>
            <w:hideMark/>
          </w:tcPr>
          <w:p w14:paraId="5F646168"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Total</w:t>
            </w:r>
          </w:p>
          <w:p w14:paraId="28F9A97A"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estimate at</w:t>
            </w:r>
          </w:p>
          <w:p w14:paraId="0CE766DE"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Additional</w:t>
            </w:r>
          </w:p>
          <w:p w14:paraId="2462194F"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Estimates</w:t>
            </w:r>
          </w:p>
          <w:p w14:paraId="6271AA30" w14:textId="77777777"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2021-22</w:t>
            </w:r>
          </w:p>
          <w:p w14:paraId="7DFE2041" w14:textId="3D9AE002" w:rsidR="009D3766" w:rsidRPr="00081844" w:rsidRDefault="009D3766" w:rsidP="00081844">
            <w:pPr>
              <w:spacing w:after="0" w:line="240" w:lineRule="auto"/>
              <w:jc w:val="right"/>
              <w:rPr>
                <w:rFonts w:ascii="Arial" w:hAnsi="Arial" w:cs="Arial"/>
                <w:sz w:val="16"/>
                <w:szCs w:val="16"/>
              </w:rPr>
            </w:pPr>
            <w:r w:rsidRPr="00081844">
              <w:rPr>
                <w:rFonts w:ascii="Arial" w:hAnsi="Arial" w:cs="Arial"/>
                <w:sz w:val="16"/>
                <w:szCs w:val="16"/>
              </w:rPr>
              <w:t>$'000</w:t>
            </w:r>
          </w:p>
        </w:tc>
      </w:tr>
      <w:tr w:rsidR="009D3766" w:rsidRPr="00081844" w14:paraId="1BF8C240" w14:textId="77777777" w:rsidTr="009D3766">
        <w:trPr>
          <w:trHeight w:val="204"/>
        </w:trPr>
        <w:tc>
          <w:tcPr>
            <w:tcW w:w="3119" w:type="dxa"/>
            <w:tcBorders>
              <w:top w:val="nil"/>
              <w:left w:val="nil"/>
              <w:bottom w:val="nil"/>
              <w:right w:val="nil"/>
            </w:tcBorders>
            <w:shd w:val="clear" w:color="auto" w:fill="auto"/>
            <w:noWrap/>
            <w:vAlign w:val="bottom"/>
            <w:hideMark/>
          </w:tcPr>
          <w:p w14:paraId="14EABD22" w14:textId="58F3E8AC" w:rsidR="009D3766" w:rsidRPr="009D3766" w:rsidRDefault="009D3766" w:rsidP="00081844">
            <w:pPr>
              <w:spacing w:after="0" w:line="240" w:lineRule="auto"/>
              <w:jc w:val="left"/>
              <w:rPr>
                <w:rFonts w:ascii="Arial" w:hAnsi="Arial" w:cs="Arial"/>
                <w:b/>
                <w:bCs/>
                <w:sz w:val="16"/>
                <w:szCs w:val="16"/>
              </w:rPr>
            </w:pPr>
            <w:r w:rsidRPr="009D3766">
              <w:rPr>
                <w:rFonts w:ascii="Arial" w:hAnsi="Arial" w:cs="Arial"/>
                <w:b/>
                <w:bCs/>
                <w:sz w:val="16"/>
                <w:szCs w:val="16"/>
              </w:rPr>
              <w:t>Departmental</w:t>
            </w:r>
          </w:p>
        </w:tc>
        <w:tc>
          <w:tcPr>
            <w:tcW w:w="1150" w:type="dxa"/>
            <w:tcBorders>
              <w:top w:val="single" w:sz="4" w:space="0" w:color="auto"/>
              <w:left w:val="nil"/>
              <w:bottom w:val="nil"/>
              <w:right w:val="nil"/>
            </w:tcBorders>
            <w:shd w:val="clear" w:color="auto" w:fill="auto"/>
            <w:noWrap/>
            <w:vAlign w:val="bottom"/>
            <w:hideMark/>
          </w:tcPr>
          <w:p w14:paraId="0C667D39" w14:textId="77777777" w:rsidR="009D3766" w:rsidRPr="009D3766" w:rsidRDefault="009D3766" w:rsidP="00BE272C">
            <w:pPr>
              <w:spacing w:after="0" w:line="240" w:lineRule="auto"/>
              <w:jc w:val="right"/>
              <w:rPr>
                <w:rFonts w:ascii="Arial" w:hAnsi="Arial" w:cs="Arial"/>
                <w:b/>
                <w:bCs/>
                <w:sz w:val="16"/>
                <w:szCs w:val="16"/>
              </w:rPr>
            </w:pPr>
          </w:p>
        </w:tc>
        <w:tc>
          <w:tcPr>
            <w:tcW w:w="1096" w:type="dxa"/>
            <w:tcBorders>
              <w:top w:val="single" w:sz="4" w:space="0" w:color="auto"/>
              <w:left w:val="nil"/>
              <w:bottom w:val="nil"/>
              <w:right w:val="nil"/>
            </w:tcBorders>
            <w:shd w:val="clear" w:color="auto" w:fill="auto"/>
            <w:noWrap/>
            <w:vAlign w:val="bottom"/>
            <w:hideMark/>
          </w:tcPr>
          <w:p w14:paraId="52DEAC34" w14:textId="77777777" w:rsidR="009D3766" w:rsidRPr="009D3766" w:rsidRDefault="009D3766" w:rsidP="00BE272C">
            <w:pPr>
              <w:spacing w:after="0" w:line="240" w:lineRule="auto"/>
              <w:jc w:val="right"/>
              <w:rPr>
                <w:rFonts w:ascii="Arial" w:hAnsi="Arial" w:cs="Arial"/>
                <w:sz w:val="16"/>
                <w:szCs w:val="16"/>
              </w:rPr>
            </w:pPr>
          </w:p>
        </w:tc>
        <w:tc>
          <w:tcPr>
            <w:tcW w:w="979" w:type="dxa"/>
            <w:tcBorders>
              <w:top w:val="single" w:sz="4" w:space="0" w:color="auto"/>
              <w:left w:val="nil"/>
              <w:bottom w:val="nil"/>
              <w:right w:val="nil"/>
            </w:tcBorders>
            <w:shd w:val="clear" w:color="auto" w:fill="auto"/>
            <w:noWrap/>
            <w:vAlign w:val="bottom"/>
            <w:hideMark/>
          </w:tcPr>
          <w:p w14:paraId="4B923A73" w14:textId="77777777" w:rsidR="009D3766" w:rsidRPr="009D3766" w:rsidRDefault="009D3766" w:rsidP="00BE272C">
            <w:pPr>
              <w:spacing w:after="0" w:line="240" w:lineRule="auto"/>
              <w:jc w:val="right"/>
              <w:rPr>
                <w:rFonts w:ascii="Arial" w:hAnsi="Arial" w:cs="Arial"/>
                <w:sz w:val="16"/>
                <w:szCs w:val="16"/>
              </w:rPr>
            </w:pPr>
          </w:p>
        </w:tc>
        <w:tc>
          <w:tcPr>
            <w:tcW w:w="1077" w:type="dxa"/>
            <w:tcBorders>
              <w:top w:val="single" w:sz="4" w:space="0" w:color="auto"/>
              <w:left w:val="nil"/>
              <w:bottom w:val="nil"/>
              <w:right w:val="nil"/>
            </w:tcBorders>
            <w:shd w:val="clear" w:color="auto" w:fill="E6E6E6"/>
            <w:noWrap/>
            <w:vAlign w:val="bottom"/>
            <w:hideMark/>
          </w:tcPr>
          <w:p w14:paraId="7ED712CA" w14:textId="5E20A243" w:rsidR="009D3766" w:rsidRPr="009D3766" w:rsidRDefault="009D3766" w:rsidP="00BE272C">
            <w:pPr>
              <w:spacing w:after="0" w:line="240" w:lineRule="auto"/>
              <w:jc w:val="right"/>
              <w:rPr>
                <w:rFonts w:ascii="Arial" w:hAnsi="Arial" w:cs="Arial"/>
                <w:sz w:val="16"/>
                <w:szCs w:val="16"/>
              </w:rPr>
            </w:pPr>
          </w:p>
        </w:tc>
      </w:tr>
      <w:tr w:rsidR="009D3766" w:rsidRPr="00081844" w14:paraId="2449C6AC" w14:textId="77777777" w:rsidTr="009D3766">
        <w:trPr>
          <w:trHeight w:val="204"/>
        </w:trPr>
        <w:tc>
          <w:tcPr>
            <w:tcW w:w="3119" w:type="dxa"/>
            <w:tcBorders>
              <w:top w:val="nil"/>
              <w:left w:val="nil"/>
              <w:bottom w:val="nil"/>
              <w:right w:val="nil"/>
            </w:tcBorders>
            <w:shd w:val="clear" w:color="auto" w:fill="auto"/>
            <w:noWrap/>
            <w:vAlign w:val="bottom"/>
            <w:hideMark/>
          </w:tcPr>
          <w:p w14:paraId="3140D643" w14:textId="77777777" w:rsidR="009D3766" w:rsidRPr="009D3766" w:rsidRDefault="009D3766" w:rsidP="00081844">
            <w:pPr>
              <w:spacing w:after="0" w:line="240" w:lineRule="auto"/>
              <w:jc w:val="left"/>
              <w:rPr>
                <w:rFonts w:ascii="Arial" w:hAnsi="Arial" w:cs="Arial"/>
                <w:sz w:val="16"/>
                <w:szCs w:val="16"/>
              </w:rPr>
            </w:pPr>
            <w:r w:rsidRPr="009D3766">
              <w:rPr>
                <w:rFonts w:ascii="Arial" w:hAnsi="Arial" w:cs="Arial"/>
                <w:sz w:val="16"/>
                <w:szCs w:val="16"/>
              </w:rPr>
              <w:t xml:space="preserve">Annual appropriations - ordinary annual services </w:t>
            </w:r>
            <w:r w:rsidRPr="009D3766">
              <w:rPr>
                <w:rFonts w:ascii="Arial" w:hAnsi="Arial" w:cs="Arial"/>
                <w:sz w:val="16"/>
                <w:szCs w:val="16"/>
                <w:vertAlign w:val="superscript"/>
              </w:rPr>
              <w:t>(b)</w:t>
            </w:r>
          </w:p>
        </w:tc>
        <w:tc>
          <w:tcPr>
            <w:tcW w:w="1150" w:type="dxa"/>
            <w:tcBorders>
              <w:top w:val="nil"/>
              <w:left w:val="nil"/>
              <w:bottom w:val="nil"/>
              <w:right w:val="nil"/>
            </w:tcBorders>
            <w:shd w:val="clear" w:color="auto" w:fill="auto"/>
            <w:noWrap/>
            <w:vAlign w:val="bottom"/>
            <w:hideMark/>
          </w:tcPr>
          <w:p w14:paraId="1F6886FB" w14:textId="77777777" w:rsidR="009D3766" w:rsidRPr="009D3766" w:rsidRDefault="009D3766" w:rsidP="00BE272C">
            <w:pPr>
              <w:spacing w:after="0" w:line="240" w:lineRule="auto"/>
              <w:jc w:val="right"/>
              <w:rPr>
                <w:rFonts w:ascii="Arial" w:hAnsi="Arial" w:cs="Arial"/>
                <w:sz w:val="16"/>
                <w:szCs w:val="16"/>
              </w:rPr>
            </w:pPr>
          </w:p>
        </w:tc>
        <w:tc>
          <w:tcPr>
            <w:tcW w:w="1096" w:type="dxa"/>
            <w:tcBorders>
              <w:top w:val="nil"/>
              <w:left w:val="nil"/>
              <w:bottom w:val="nil"/>
              <w:right w:val="nil"/>
            </w:tcBorders>
            <w:shd w:val="clear" w:color="auto" w:fill="auto"/>
            <w:noWrap/>
            <w:vAlign w:val="bottom"/>
            <w:hideMark/>
          </w:tcPr>
          <w:p w14:paraId="080F1F55" w14:textId="77777777" w:rsidR="009D3766" w:rsidRPr="009D3766" w:rsidRDefault="009D3766" w:rsidP="00BE272C">
            <w:pPr>
              <w:spacing w:after="0" w:line="240" w:lineRule="auto"/>
              <w:jc w:val="right"/>
              <w:rPr>
                <w:rFonts w:ascii="Arial" w:hAnsi="Arial" w:cs="Arial"/>
                <w:sz w:val="16"/>
                <w:szCs w:val="16"/>
              </w:rPr>
            </w:pPr>
          </w:p>
        </w:tc>
        <w:tc>
          <w:tcPr>
            <w:tcW w:w="979" w:type="dxa"/>
            <w:tcBorders>
              <w:top w:val="nil"/>
              <w:left w:val="nil"/>
              <w:bottom w:val="nil"/>
              <w:right w:val="nil"/>
            </w:tcBorders>
            <w:shd w:val="clear" w:color="auto" w:fill="auto"/>
            <w:noWrap/>
            <w:vAlign w:val="bottom"/>
            <w:hideMark/>
          </w:tcPr>
          <w:p w14:paraId="58A09CE5" w14:textId="77777777" w:rsidR="009D3766" w:rsidRPr="009D3766" w:rsidRDefault="009D3766" w:rsidP="00BE272C">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E6E6E6"/>
            <w:noWrap/>
            <w:vAlign w:val="bottom"/>
            <w:hideMark/>
          </w:tcPr>
          <w:p w14:paraId="0897028E" w14:textId="24FDCC31" w:rsidR="009D3766" w:rsidRPr="009D3766" w:rsidRDefault="009D3766" w:rsidP="00BE272C">
            <w:pPr>
              <w:spacing w:after="0" w:line="240" w:lineRule="auto"/>
              <w:jc w:val="right"/>
              <w:rPr>
                <w:rFonts w:ascii="Arial" w:hAnsi="Arial" w:cs="Arial"/>
                <w:sz w:val="16"/>
                <w:szCs w:val="16"/>
              </w:rPr>
            </w:pPr>
          </w:p>
        </w:tc>
      </w:tr>
      <w:tr w:rsidR="00724C2D" w:rsidRPr="00081844" w14:paraId="310215FA" w14:textId="77777777" w:rsidTr="009D3766">
        <w:trPr>
          <w:trHeight w:val="204"/>
        </w:trPr>
        <w:tc>
          <w:tcPr>
            <w:tcW w:w="3119" w:type="dxa"/>
            <w:tcBorders>
              <w:top w:val="nil"/>
              <w:left w:val="nil"/>
              <w:bottom w:val="nil"/>
              <w:right w:val="nil"/>
            </w:tcBorders>
            <w:shd w:val="clear" w:color="auto" w:fill="auto"/>
            <w:noWrap/>
            <w:vAlign w:val="bottom"/>
            <w:hideMark/>
          </w:tcPr>
          <w:p w14:paraId="3D577A18" w14:textId="77777777"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Prior year appropriations available </w:t>
            </w:r>
            <w:r w:rsidRPr="009D3766">
              <w:rPr>
                <w:rFonts w:ascii="Arial" w:hAnsi="Arial" w:cs="Arial"/>
                <w:sz w:val="16"/>
                <w:szCs w:val="16"/>
                <w:vertAlign w:val="superscript"/>
              </w:rPr>
              <w:t>(c)</w:t>
            </w:r>
          </w:p>
        </w:tc>
        <w:tc>
          <w:tcPr>
            <w:tcW w:w="1150" w:type="dxa"/>
            <w:tcBorders>
              <w:top w:val="nil"/>
              <w:left w:val="nil"/>
              <w:bottom w:val="nil"/>
              <w:right w:val="nil"/>
            </w:tcBorders>
            <w:shd w:val="clear" w:color="auto" w:fill="auto"/>
            <w:noWrap/>
            <w:vAlign w:val="bottom"/>
            <w:hideMark/>
          </w:tcPr>
          <w:p w14:paraId="5FF3BABE" w14:textId="26CF1BF3"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157,005 </w:t>
            </w:r>
          </w:p>
        </w:tc>
        <w:tc>
          <w:tcPr>
            <w:tcW w:w="1096" w:type="dxa"/>
            <w:tcBorders>
              <w:top w:val="nil"/>
              <w:left w:val="nil"/>
              <w:bottom w:val="nil"/>
              <w:right w:val="nil"/>
            </w:tcBorders>
            <w:shd w:val="clear" w:color="auto" w:fill="auto"/>
            <w:noWrap/>
            <w:vAlign w:val="bottom"/>
            <w:hideMark/>
          </w:tcPr>
          <w:p w14:paraId="244FE491" w14:textId="79F2B52D"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132,006 </w:t>
            </w:r>
          </w:p>
        </w:tc>
        <w:tc>
          <w:tcPr>
            <w:tcW w:w="979" w:type="dxa"/>
            <w:tcBorders>
              <w:top w:val="nil"/>
              <w:left w:val="nil"/>
              <w:bottom w:val="nil"/>
              <w:right w:val="nil"/>
            </w:tcBorders>
            <w:shd w:val="clear" w:color="auto" w:fill="auto"/>
            <w:noWrap/>
            <w:vAlign w:val="bottom"/>
            <w:hideMark/>
          </w:tcPr>
          <w:p w14:paraId="2D4FBFD5" w14:textId="55F3012A"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 </w:t>
            </w:r>
          </w:p>
        </w:tc>
        <w:tc>
          <w:tcPr>
            <w:tcW w:w="1077" w:type="dxa"/>
            <w:tcBorders>
              <w:top w:val="nil"/>
              <w:left w:val="nil"/>
              <w:bottom w:val="nil"/>
              <w:right w:val="nil"/>
            </w:tcBorders>
            <w:shd w:val="clear" w:color="auto" w:fill="E6E6E6"/>
            <w:noWrap/>
            <w:vAlign w:val="bottom"/>
            <w:hideMark/>
          </w:tcPr>
          <w:p w14:paraId="123FB4A7" w14:textId="6B568764"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132,006 </w:t>
            </w:r>
          </w:p>
        </w:tc>
      </w:tr>
      <w:tr w:rsidR="00724C2D" w:rsidRPr="00081844" w14:paraId="0E6483A0" w14:textId="77777777" w:rsidTr="009D3766">
        <w:trPr>
          <w:trHeight w:val="204"/>
        </w:trPr>
        <w:tc>
          <w:tcPr>
            <w:tcW w:w="3119" w:type="dxa"/>
            <w:tcBorders>
              <w:top w:val="nil"/>
              <w:left w:val="nil"/>
              <w:bottom w:val="nil"/>
              <w:right w:val="nil"/>
            </w:tcBorders>
            <w:shd w:val="clear" w:color="auto" w:fill="auto"/>
            <w:noWrap/>
            <w:vAlign w:val="bottom"/>
            <w:hideMark/>
          </w:tcPr>
          <w:p w14:paraId="3811F136" w14:textId="218EBA3E"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Departmental appropriation </w:t>
            </w:r>
            <w:r w:rsidRPr="009D3766">
              <w:rPr>
                <w:rFonts w:ascii="Arial" w:hAnsi="Arial" w:cs="Arial"/>
                <w:sz w:val="16"/>
                <w:szCs w:val="16"/>
                <w:vertAlign w:val="superscript"/>
              </w:rPr>
              <w:t>(d) (p)</w:t>
            </w:r>
          </w:p>
        </w:tc>
        <w:tc>
          <w:tcPr>
            <w:tcW w:w="1150" w:type="dxa"/>
            <w:tcBorders>
              <w:top w:val="nil"/>
              <w:left w:val="nil"/>
              <w:bottom w:val="nil"/>
              <w:right w:val="nil"/>
            </w:tcBorders>
            <w:shd w:val="clear" w:color="auto" w:fill="auto"/>
            <w:noWrap/>
            <w:vAlign w:val="bottom"/>
            <w:hideMark/>
          </w:tcPr>
          <w:p w14:paraId="235F72D8" w14:textId="0C1350C1"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366,953 </w:t>
            </w:r>
          </w:p>
        </w:tc>
        <w:tc>
          <w:tcPr>
            <w:tcW w:w="1096" w:type="dxa"/>
            <w:tcBorders>
              <w:top w:val="nil"/>
              <w:left w:val="nil"/>
              <w:bottom w:val="nil"/>
              <w:right w:val="nil"/>
            </w:tcBorders>
            <w:shd w:val="clear" w:color="auto" w:fill="auto"/>
            <w:noWrap/>
            <w:vAlign w:val="bottom"/>
            <w:hideMark/>
          </w:tcPr>
          <w:p w14:paraId="1FC59439" w14:textId="78AE736F"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404,778 </w:t>
            </w:r>
          </w:p>
        </w:tc>
        <w:tc>
          <w:tcPr>
            <w:tcW w:w="979" w:type="dxa"/>
            <w:tcBorders>
              <w:top w:val="nil"/>
              <w:left w:val="nil"/>
              <w:bottom w:val="nil"/>
              <w:right w:val="nil"/>
            </w:tcBorders>
            <w:shd w:val="clear" w:color="auto" w:fill="auto"/>
            <w:noWrap/>
            <w:vAlign w:val="bottom"/>
            <w:hideMark/>
          </w:tcPr>
          <w:p w14:paraId="59108C75" w14:textId="3088D78E"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9,525 </w:t>
            </w:r>
          </w:p>
        </w:tc>
        <w:tc>
          <w:tcPr>
            <w:tcW w:w="1077" w:type="dxa"/>
            <w:tcBorders>
              <w:top w:val="nil"/>
              <w:left w:val="nil"/>
              <w:bottom w:val="nil"/>
              <w:right w:val="nil"/>
            </w:tcBorders>
            <w:shd w:val="clear" w:color="auto" w:fill="E6E6E6"/>
            <w:noWrap/>
            <w:vAlign w:val="bottom"/>
            <w:hideMark/>
          </w:tcPr>
          <w:p w14:paraId="104050B2" w14:textId="0FEBB1EC"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414,303 </w:t>
            </w:r>
          </w:p>
        </w:tc>
      </w:tr>
      <w:tr w:rsidR="00724C2D" w:rsidRPr="00081844" w14:paraId="2D3DE248" w14:textId="77777777" w:rsidTr="009D3766">
        <w:trPr>
          <w:trHeight w:val="204"/>
        </w:trPr>
        <w:tc>
          <w:tcPr>
            <w:tcW w:w="3119" w:type="dxa"/>
            <w:tcBorders>
              <w:top w:val="nil"/>
              <w:left w:val="nil"/>
              <w:bottom w:val="nil"/>
              <w:right w:val="nil"/>
            </w:tcBorders>
            <w:shd w:val="clear" w:color="auto" w:fill="auto"/>
            <w:noWrap/>
            <w:vAlign w:val="bottom"/>
            <w:hideMark/>
          </w:tcPr>
          <w:p w14:paraId="411A4520" w14:textId="77777777"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s74 external revenue </w:t>
            </w:r>
            <w:r w:rsidRPr="009D3766">
              <w:rPr>
                <w:rFonts w:ascii="Arial" w:hAnsi="Arial" w:cs="Arial"/>
                <w:sz w:val="16"/>
                <w:szCs w:val="16"/>
                <w:vertAlign w:val="superscript"/>
              </w:rPr>
              <w:t>(e)</w:t>
            </w:r>
          </w:p>
        </w:tc>
        <w:tc>
          <w:tcPr>
            <w:tcW w:w="1150" w:type="dxa"/>
            <w:tcBorders>
              <w:top w:val="nil"/>
              <w:left w:val="nil"/>
              <w:bottom w:val="nil"/>
              <w:right w:val="nil"/>
            </w:tcBorders>
            <w:shd w:val="clear" w:color="auto" w:fill="auto"/>
            <w:noWrap/>
            <w:vAlign w:val="bottom"/>
            <w:hideMark/>
          </w:tcPr>
          <w:p w14:paraId="27DAB8B7" w14:textId="6AB8BD29"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7,481 </w:t>
            </w:r>
          </w:p>
        </w:tc>
        <w:tc>
          <w:tcPr>
            <w:tcW w:w="1096" w:type="dxa"/>
            <w:tcBorders>
              <w:top w:val="nil"/>
              <w:left w:val="nil"/>
              <w:bottom w:val="nil"/>
              <w:right w:val="nil"/>
            </w:tcBorders>
            <w:shd w:val="clear" w:color="auto" w:fill="auto"/>
            <w:noWrap/>
            <w:vAlign w:val="bottom"/>
            <w:hideMark/>
          </w:tcPr>
          <w:p w14:paraId="0CED0107" w14:textId="315E51AD"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7,608 </w:t>
            </w:r>
          </w:p>
        </w:tc>
        <w:tc>
          <w:tcPr>
            <w:tcW w:w="979" w:type="dxa"/>
            <w:tcBorders>
              <w:top w:val="nil"/>
              <w:left w:val="nil"/>
              <w:bottom w:val="nil"/>
              <w:right w:val="nil"/>
            </w:tcBorders>
            <w:shd w:val="clear" w:color="auto" w:fill="auto"/>
            <w:noWrap/>
            <w:vAlign w:val="bottom"/>
            <w:hideMark/>
          </w:tcPr>
          <w:p w14:paraId="57062A02" w14:textId="09F80118"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 </w:t>
            </w:r>
          </w:p>
        </w:tc>
        <w:tc>
          <w:tcPr>
            <w:tcW w:w="1077" w:type="dxa"/>
            <w:tcBorders>
              <w:top w:val="nil"/>
              <w:left w:val="nil"/>
              <w:bottom w:val="nil"/>
              <w:right w:val="nil"/>
            </w:tcBorders>
            <w:shd w:val="clear" w:color="auto" w:fill="E6E6E6"/>
            <w:noWrap/>
            <w:vAlign w:val="bottom"/>
            <w:hideMark/>
          </w:tcPr>
          <w:p w14:paraId="18B9DC1C" w14:textId="0481AE93"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7,608 </w:t>
            </w:r>
          </w:p>
        </w:tc>
      </w:tr>
      <w:tr w:rsidR="00724C2D" w:rsidRPr="00081844" w14:paraId="2B614525" w14:textId="77777777" w:rsidTr="009D3766">
        <w:trPr>
          <w:trHeight w:val="204"/>
        </w:trPr>
        <w:tc>
          <w:tcPr>
            <w:tcW w:w="3119" w:type="dxa"/>
            <w:tcBorders>
              <w:top w:val="nil"/>
              <w:left w:val="nil"/>
              <w:bottom w:val="nil"/>
              <w:right w:val="nil"/>
            </w:tcBorders>
            <w:shd w:val="clear" w:color="auto" w:fill="auto"/>
            <w:noWrap/>
            <w:vAlign w:val="bottom"/>
            <w:hideMark/>
          </w:tcPr>
          <w:p w14:paraId="3A1EC244" w14:textId="5D5EACB0"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Departmental capital budget </w:t>
            </w:r>
            <w:r w:rsidRPr="009D3766">
              <w:rPr>
                <w:rFonts w:ascii="Arial" w:hAnsi="Arial" w:cs="Arial"/>
                <w:sz w:val="16"/>
                <w:szCs w:val="16"/>
                <w:vertAlign w:val="superscript"/>
              </w:rPr>
              <w:t>(f)</w:t>
            </w:r>
          </w:p>
        </w:tc>
        <w:tc>
          <w:tcPr>
            <w:tcW w:w="1150" w:type="dxa"/>
            <w:tcBorders>
              <w:top w:val="nil"/>
              <w:left w:val="nil"/>
              <w:bottom w:val="nil"/>
              <w:right w:val="nil"/>
            </w:tcBorders>
            <w:shd w:val="clear" w:color="auto" w:fill="auto"/>
            <w:noWrap/>
            <w:vAlign w:val="bottom"/>
            <w:hideMark/>
          </w:tcPr>
          <w:p w14:paraId="490F89F0" w14:textId="4EBFC542"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21,040 </w:t>
            </w:r>
          </w:p>
        </w:tc>
        <w:tc>
          <w:tcPr>
            <w:tcW w:w="1096" w:type="dxa"/>
            <w:tcBorders>
              <w:top w:val="nil"/>
              <w:left w:val="nil"/>
              <w:bottom w:val="nil"/>
              <w:right w:val="nil"/>
            </w:tcBorders>
            <w:shd w:val="clear" w:color="auto" w:fill="auto"/>
            <w:noWrap/>
            <w:vAlign w:val="bottom"/>
            <w:hideMark/>
          </w:tcPr>
          <w:p w14:paraId="742B90DB" w14:textId="39C9413A"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20,989 </w:t>
            </w:r>
          </w:p>
        </w:tc>
        <w:tc>
          <w:tcPr>
            <w:tcW w:w="979" w:type="dxa"/>
            <w:tcBorders>
              <w:top w:val="nil"/>
              <w:left w:val="nil"/>
              <w:bottom w:val="nil"/>
              <w:right w:val="nil"/>
            </w:tcBorders>
            <w:shd w:val="clear" w:color="auto" w:fill="auto"/>
            <w:noWrap/>
            <w:vAlign w:val="bottom"/>
            <w:hideMark/>
          </w:tcPr>
          <w:p w14:paraId="130EF8FE" w14:textId="16F02DC9"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 </w:t>
            </w:r>
          </w:p>
        </w:tc>
        <w:tc>
          <w:tcPr>
            <w:tcW w:w="1077" w:type="dxa"/>
            <w:tcBorders>
              <w:top w:val="nil"/>
              <w:left w:val="nil"/>
              <w:bottom w:val="nil"/>
              <w:right w:val="nil"/>
            </w:tcBorders>
            <w:shd w:val="clear" w:color="auto" w:fill="E6E6E6"/>
            <w:noWrap/>
            <w:vAlign w:val="bottom"/>
            <w:hideMark/>
          </w:tcPr>
          <w:p w14:paraId="1292F8D9" w14:textId="3DB76103"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20,989 </w:t>
            </w:r>
          </w:p>
        </w:tc>
      </w:tr>
      <w:tr w:rsidR="00724C2D" w:rsidRPr="009D63B8" w14:paraId="0EAF77FF" w14:textId="77777777" w:rsidTr="009D3766">
        <w:trPr>
          <w:trHeight w:val="204"/>
        </w:trPr>
        <w:tc>
          <w:tcPr>
            <w:tcW w:w="3119" w:type="dxa"/>
            <w:tcBorders>
              <w:top w:val="nil"/>
              <w:left w:val="nil"/>
              <w:bottom w:val="nil"/>
              <w:right w:val="nil"/>
            </w:tcBorders>
            <w:shd w:val="clear" w:color="auto" w:fill="auto"/>
            <w:noWrap/>
            <w:vAlign w:val="bottom"/>
            <w:hideMark/>
          </w:tcPr>
          <w:p w14:paraId="4DA66BA4" w14:textId="529ECB8F" w:rsidR="00724C2D" w:rsidRPr="009D3766" w:rsidRDefault="00724C2D" w:rsidP="00724C2D">
            <w:pPr>
              <w:spacing w:after="0" w:line="240" w:lineRule="auto"/>
              <w:jc w:val="left"/>
              <w:rPr>
                <w:rFonts w:ascii="Arial" w:hAnsi="Arial" w:cs="Arial"/>
                <w:iCs/>
                <w:sz w:val="16"/>
                <w:szCs w:val="16"/>
              </w:rPr>
            </w:pPr>
            <w:r w:rsidRPr="009D3766">
              <w:rPr>
                <w:rFonts w:ascii="Arial" w:hAnsi="Arial" w:cs="Arial"/>
                <w:iCs/>
                <w:sz w:val="16"/>
                <w:szCs w:val="16"/>
              </w:rPr>
              <w:t>Total Departmental annual appropriations</w:t>
            </w:r>
          </w:p>
        </w:tc>
        <w:tc>
          <w:tcPr>
            <w:tcW w:w="1150" w:type="dxa"/>
            <w:tcBorders>
              <w:top w:val="single" w:sz="4" w:space="0" w:color="auto"/>
              <w:left w:val="nil"/>
              <w:bottom w:val="single" w:sz="4" w:space="0" w:color="auto"/>
              <w:right w:val="nil"/>
            </w:tcBorders>
            <w:shd w:val="clear" w:color="auto" w:fill="auto"/>
            <w:noWrap/>
            <w:vAlign w:val="bottom"/>
            <w:hideMark/>
          </w:tcPr>
          <w:p w14:paraId="047C4C32" w14:textId="6497B3D2" w:rsidR="00724C2D" w:rsidRPr="009D3766" w:rsidRDefault="00724C2D" w:rsidP="00724C2D">
            <w:pPr>
              <w:spacing w:after="0" w:line="240" w:lineRule="auto"/>
              <w:jc w:val="right"/>
              <w:rPr>
                <w:rFonts w:ascii="Arial" w:hAnsi="Arial" w:cs="Arial"/>
                <w:iCs/>
                <w:sz w:val="16"/>
                <w:szCs w:val="16"/>
              </w:rPr>
            </w:pPr>
            <w:r w:rsidRPr="009D3766">
              <w:rPr>
                <w:rFonts w:ascii="Arial" w:hAnsi="Arial" w:cs="Arial"/>
                <w:iCs/>
                <w:sz w:val="16"/>
                <w:szCs w:val="16"/>
              </w:rPr>
              <w:t xml:space="preserve">552,479 </w:t>
            </w:r>
          </w:p>
        </w:tc>
        <w:tc>
          <w:tcPr>
            <w:tcW w:w="1096" w:type="dxa"/>
            <w:tcBorders>
              <w:top w:val="single" w:sz="4" w:space="0" w:color="auto"/>
              <w:left w:val="nil"/>
              <w:bottom w:val="single" w:sz="4" w:space="0" w:color="auto"/>
              <w:right w:val="nil"/>
            </w:tcBorders>
            <w:shd w:val="clear" w:color="auto" w:fill="auto"/>
            <w:noWrap/>
            <w:vAlign w:val="bottom"/>
            <w:hideMark/>
          </w:tcPr>
          <w:p w14:paraId="2F83D6EF" w14:textId="202CF264" w:rsidR="00724C2D" w:rsidRPr="00724C2D" w:rsidRDefault="00724C2D" w:rsidP="00724C2D">
            <w:pPr>
              <w:spacing w:after="0" w:line="240" w:lineRule="auto"/>
              <w:jc w:val="right"/>
              <w:rPr>
                <w:rFonts w:ascii="Arial" w:hAnsi="Arial" w:cs="Arial"/>
                <w:iCs/>
                <w:sz w:val="16"/>
                <w:szCs w:val="16"/>
              </w:rPr>
            </w:pPr>
            <w:r w:rsidRPr="00724C2D">
              <w:rPr>
                <w:rFonts w:ascii="Arial" w:hAnsi="Arial" w:cs="Arial"/>
                <w:iCs/>
                <w:sz w:val="16"/>
                <w:szCs w:val="16"/>
              </w:rPr>
              <w:t xml:space="preserve">565,381 </w:t>
            </w:r>
          </w:p>
        </w:tc>
        <w:tc>
          <w:tcPr>
            <w:tcW w:w="979" w:type="dxa"/>
            <w:tcBorders>
              <w:top w:val="single" w:sz="4" w:space="0" w:color="auto"/>
              <w:left w:val="nil"/>
              <w:bottom w:val="single" w:sz="4" w:space="0" w:color="auto"/>
              <w:right w:val="nil"/>
            </w:tcBorders>
            <w:shd w:val="clear" w:color="auto" w:fill="auto"/>
            <w:noWrap/>
            <w:vAlign w:val="bottom"/>
            <w:hideMark/>
          </w:tcPr>
          <w:p w14:paraId="7E9A6114" w14:textId="146C945E" w:rsidR="00724C2D" w:rsidRPr="00724C2D" w:rsidRDefault="00724C2D" w:rsidP="00724C2D">
            <w:pPr>
              <w:spacing w:after="0" w:line="240" w:lineRule="auto"/>
              <w:jc w:val="right"/>
              <w:rPr>
                <w:rFonts w:ascii="Arial" w:hAnsi="Arial" w:cs="Arial"/>
                <w:iCs/>
                <w:sz w:val="16"/>
                <w:szCs w:val="16"/>
              </w:rPr>
            </w:pPr>
            <w:r w:rsidRPr="00724C2D">
              <w:rPr>
                <w:rFonts w:ascii="Arial" w:hAnsi="Arial" w:cs="Arial"/>
                <w:iCs/>
                <w:sz w:val="16"/>
                <w:szCs w:val="16"/>
              </w:rPr>
              <w:t xml:space="preserve">9,525 </w:t>
            </w:r>
          </w:p>
        </w:tc>
        <w:tc>
          <w:tcPr>
            <w:tcW w:w="1077" w:type="dxa"/>
            <w:tcBorders>
              <w:top w:val="single" w:sz="4" w:space="0" w:color="auto"/>
              <w:left w:val="nil"/>
              <w:bottom w:val="single" w:sz="4" w:space="0" w:color="auto"/>
              <w:right w:val="nil"/>
            </w:tcBorders>
            <w:shd w:val="clear" w:color="auto" w:fill="E6E6E6"/>
            <w:noWrap/>
            <w:vAlign w:val="bottom"/>
            <w:hideMark/>
          </w:tcPr>
          <w:p w14:paraId="0F175F4B" w14:textId="0D36F96B" w:rsidR="00724C2D" w:rsidRPr="00724C2D" w:rsidRDefault="00724C2D" w:rsidP="00724C2D">
            <w:pPr>
              <w:spacing w:after="0" w:line="240" w:lineRule="auto"/>
              <w:jc w:val="right"/>
              <w:rPr>
                <w:rFonts w:ascii="Arial" w:hAnsi="Arial" w:cs="Arial"/>
                <w:iCs/>
                <w:sz w:val="16"/>
                <w:szCs w:val="16"/>
              </w:rPr>
            </w:pPr>
            <w:r w:rsidRPr="00724C2D">
              <w:rPr>
                <w:rFonts w:ascii="Arial" w:hAnsi="Arial" w:cs="Arial"/>
                <w:iCs/>
                <w:sz w:val="16"/>
                <w:szCs w:val="16"/>
              </w:rPr>
              <w:t xml:space="preserve">574,906 </w:t>
            </w:r>
          </w:p>
        </w:tc>
      </w:tr>
      <w:tr w:rsidR="009D3766" w:rsidRPr="00081844" w14:paraId="5A71B435" w14:textId="77777777" w:rsidTr="009D3766">
        <w:trPr>
          <w:trHeight w:val="204"/>
        </w:trPr>
        <w:tc>
          <w:tcPr>
            <w:tcW w:w="3119" w:type="dxa"/>
            <w:tcBorders>
              <w:top w:val="nil"/>
              <w:left w:val="nil"/>
              <w:bottom w:val="nil"/>
              <w:right w:val="nil"/>
            </w:tcBorders>
            <w:shd w:val="clear" w:color="auto" w:fill="auto"/>
            <w:noWrap/>
            <w:vAlign w:val="bottom"/>
            <w:hideMark/>
          </w:tcPr>
          <w:p w14:paraId="7C9B2A81" w14:textId="77777777" w:rsidR="009D3766" w:rsidRPr="009D3766" w:rsidRDefault="009D3766" w:rsidP="002570EE">
            <w:pPr>
              <w:spacing w:after="0" w:line="240" w:lineRule="auto"/>
              <w:jc w:val="left"/>
              <w:rPr>
                <w:rFonts w:ascii="Arial" w:hAnsi="Arial" w:cs="Arial"/>
                <w:sz w:val="16"/>
                <w:szCs w:val="16"/>
              </w:rPr>
            </w:pPr>
            <w:r w:rsidRPr="009D3766">
              <w:rPr>
                <w:rFonts w:ascii="Arial" w:hAnsi="Arial" w:cs="Arial"/>
                <w:sz w:val="16"/>
                <w:szCs w:val="16"/>
              </w:rPr>
              <w:t>Special accounts</w:t>
            </w:r>
          </w:p>
        </w:tc>
        <w:tc>
          <w:tcPr>
            <w:tcW w:w="1150" w:type="dxa"/>
            <w:tcBorders>
              <w:top w:val="nil"/>
              <w:left w:val="nil"/>
              <w:bottom w:val="nil"/>
              <w:right w:val="nil"/>
            </w:tcBorders>
            <w:shd w:val="clear" w:color="auto" w:fill="auto"/>
            <w:noWrap/>
            <w:vAlign w:val="bottom"/>
            <w:hideMark/>
          </w:tcPr>
          <w:p w14:paraId="67BA91E5" w14:textId="77777777" w:rsidR="009D3766" w:rsidRPr="009D3766" w:rsidRDefault="009D3766" w:rsidP="002570EE">
            <w:pPr>
              <w:spacing w:after="0" w:line="240" w:lineRule="auto"/>
              <w:jc w:val="right"/>
              <w:rPr>
                <w:rFonts w:ascii="Arial" w:hAnsi="Arial" w:cs="Arial"/>
                <w:sz w:val="16"/>
                <w:szCs w:val="16"/>
              </w:rPr>
            </w:pPr>
          </w:p>
        </w:tc>
        <w:tc>
          <w:tcPr>
            <w:tcW w:w="1096" w:type="dxa"/>
            <w:tcBorders>
              <w:top w:val="nil"/>
              <w:left w:val="nil"/>
              <w:bottom w:val="nil"/>
              <w:right w:val="nil"/>
            </w:tcBorders>
            <w:shd w:val="clear" w:color="auto" w:fill="auto"/>
            <w:noWrap/>
            <w:vAlign w:val="bottom"/>
            <w:hideMark/>
          </w:tcPr>
          <w:p w14:paraId="7B7BE1EB" w14:textId="77777777" w:rsidR="009D3766" w:rsidRPr="009D3766" w:rsidRDefault="009D3766" w:rsidP="002570EE">
            <w:pPr>
              <w:spacing w:after="0" w:line="240" w:lineRule="auto"/>
              <w:jc w:val="right"/>
              <w:rPr>
                <w:rFonts w:ascii="Arial" w:hAnsi="Arial" w:cs="Arial"/>
                <w:sz w:val="16"/>
                <w:szCs w:val="16"/>
              </w:rPr>
            </w:pPr>
          </w:p>
        </w:tc>
        <w:tc>
          <w:tcPr>
            <w:tcW w:w="979" w:type="dxa"/>
            <w:tcBorders>
              <w:top w:val="nil"/>
              <w:left w:val="nil"/>
              <w:bottom w:val="nil"/>
              <w:right w:val="nil"/>
            </w:tcBorders>
            <w:shd w:val="clear" w:color="auto" w:fill="auto"/>
            <w:noWrap/>
            <w:vAlign w:val="bottom"/>
            <w:hideMark/>
          </w:tcPr>
          <w:p w14:paraId="6AD5ACDF" w14:textId="77777777" w:rsidR="009D3766" w:rsidRPr="009D3766" w:rsidRDefault="009D3766" w:rsidP="002570EE">
            <w:pPr>
              <w:spacing w:after="0" w:line="240" w:lineRule="auto"/>
              <w:jc w:val="right"/>
              <w:rPr>
                <w:rFonts w:ascii="Arial" w:hAnsi="Arial" w:cs="Arial"/>
                <w:sz w:val="16"/>
                <w:szCs w:val="16"/>
              </w:rPr>
            </w:pPr>
          </w:p>
        </w:tc>
        <w:tc>
          <w:tcPr>
            <w:tcW w:w="1077" w:type="dxa"/>
            <w:tcBorders>
              <w:top w:val="nil"/>
              <w:left w:val="nil"/>
              <w:bottom w:val="nil"/>
              <w:right w:val="nil"/>
            </w:tcBorders>
            <w:shd w:val="clear" w:color="auto" w:fill="E6E6E6"/>
            <w:noWrap/>
            <w:vAlign w:val="bottom"/>
            <w:hideMark/>
          </w:tcPr>
          <w:p w14:paraId="50D6C5DE" w14:textId="132D6381" w:rsidR="009D3766" w:rsidRPr="009D3766" w:rsidRDefault="009D3766" w:rsidP="002570EE">
            <w:pPr>
              <w:spacing w:after="0" w:line="240" w:lineRule="auto"/>
              <w:jc w:val="right"/>
              <w:rPr>
                <w:rFonts w:ascii="Arial" w:hAnsi="Arial" w:cs="Arial"/>
                <w:iCs/>
                <w:sz w:val="16"/>
                <w:szCs w:val="16"/>
              </w:rPr>
            </w:pPr>
            <w:r w:rsidRPr="009D3766">
              <w:rPr>
                <w:rFonts w:ascii="Arial" w:hAnsi="Arial" w:cs="Arial"/>
                <w:iCs/>
                <w:sz w:val="16"/>
                <w:szCs w:val="16"/>
              </w:rPr>
              <w:t> </w:t>
            </w:r>
          </w:p>
        </w:tc>
      </w:tr>
      <w:tr w:rsidR="009D3766" w:rsidRPr="00081844" w14:paraId="5FED2760" w14:textId="77777777" w:rsidTr="009D3766">
        <w:trPr>
          <w:trHeight w:val="204"/>
        </w:trPr>
        <w:tc>
          <w:tcPr>
            <w:tcW w:w="3119" w:type="dxa"/>
            <w:tcBorders>
              <w:top w:val="nil"/>
              <w:left w:val="nil"/>
              <w:bottom w:val="nil"/>
              <w:right w:val="nil"/>
            </w:tcBorders>
            <w:shd w:val="clear" w:color="auto" w:fill="auto"/>
            <w:noWrap/>
            <w:vAlign w:val="bottom"/>
            <w:hideMark/>
          </w:tcPr>
          <w:p w14:paraId="571B37EF" w14:textId="77777777" w:rsidR="009D3766" w:rsidRPr="009D3766" w:rsidRDefault="009D3766" w:rsidP="002570EE">
            <w:pPr>
              <w:spacing w:after="0" w:line="240" w:lineRule="auto"/>
              <w:ind w:left="113"/>
              <w:jc w:val="left"/>
              <w:rPr>
                <w:rFonts w:ascii="Arial" w:hAnsi="Arial" w:cs="Arial"/>
                <w:sz w:val="16"/>
                <w:szCs w:val="16"/>
              </w:rPr>
            </w:pPr>
            <w:r w:rsidRPr="009D3766">
              <w:rPr>
                <w:rFonts w:ascii="Arial" w:hAnsi="Arial" w:cs="Arial"/>
                <w:sz w:val="16"/>
                <w:szCs w:val="16"/>
              </w:rPr>
              <w:t>Opening balance</w:t>
            </w:r>
          </w:p>
        </w:tc>
        <w:tc>
          <w:tcPr>
            <w:tcW w:w="1150" w:type="dxa"/>
            <w:tcBorders>
              <w:top w:val="nil"/>
              <w:left w:val="nil"/>
              <w:bottom w:val="nil"/>
              <w:right w:val="nil"/>
            </w:tcBorders>
            <w:shd w:val="clear" w:color="auto" w:fill="auto"/>
            <w:noWrap/>
            <w:vAlign w:val="bottom"/>
            <w:hideMark/>
          </w:tcPr>
          <w:p w14:paraId="4A3DAE21" w14:textId="140D7E06"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5,667 </w:t>
            </w:r>
          </w:p>
        </w:tc>
        <w:tc>
          <w:tcPr>
            <w:tcW w:w="1096" w:type="dxa"/>
            <w:tcBorders>
              <w:top w:val="nil"/>
              <w:left w:val="nil"/>
              <w:bottom w:val="nil"/>
              <w:right w:val="nil"/>
            </w:tcBorders>
            <w:shd w:val="clear" w:color="auto" w:fill="auto"/>
            <w:noWrap/>
            <w:vAlign w:val="bottom"/>
            <w:hideMark/>
          </w:tcPr>
          <w:p w14:paraId="3B4E0DD1" w14:textId="29900B89"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4,301 </w:t>
            </w:r>
          </w:p>
        </w:tc>
        <w:tc>
          <w:tcPr>
            <w:tcW w:w="979" w:type="dxa"/>
            <w:tcBorders>
              <w:top w:val="nil"/>
              <w:left w:val="nil"/>
              <w:bottom w:val="nil"/>
              <w:right w:val="nil"/>
            </w:tcBorders>
            <w:shd w:val="clear" w:color="auto" w:fill="auto"/>
            <w:noWrap/>
            <w:vAlign w:val="bottom"/>
            <w:hideMark/>
          </w:tcPr>
          <w:p w14:paraId="6A9BAED5" w14:textId="677FB602"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2,375 </w:t>
            </w:r>
          </w:p>
        </w:tc>
        <w:tc>
          <w:tcPr>
            <w:tcW w:w="1077" w:type="dxa"/>
            <w:tcBorders>
              <w:top w:val="nil"/>
              <w:left w:val="nil"/>
              <w:bottom w:val="nil"/>
              <w:right w:val="nil"/>
            </w:tcBorders>
            <w:shd w:val="clear" w:color="auto" w:fill="E6E6E6"/>
            <w:noWrap/>
            <w:vAlign w:val="bottom"/>
            <w:hideMark/>
          </w:tcPr>
          <w:p w14:paraId="16C6B3D1" w14:textId="2735E0CB"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6,676 </w:t>
            </w:r>
          </w:p>
        </w:tc>
      </w:tr>
      <w:tr w:rsidR="009D3766" w:rsidRPr="00081844" w14:paraId="5008A06B" w14:textId="77777777" w:rsidTr="009D3766">
        <w:trPr>
          <w:trHeight w:val="204"/>
        </w:trPr>
        <w:tc>
          <w:tcPr>
            <w:tcW w:w="3119" w:type="dxa"/>
            <w:tcBorders>
              <w:top w:val="nil"/>
              <w:left w:val="nil"/>
              <w:bottom w:val="nil"/>
              <w:right w:val="nil"/>
            </w:tcBorders>
            <w:shd w:val="clear" w:color="auto" w:fill="auto"/>
            <w:noWrap/>
            <w:vAlign w:val="bottom"/>
            <w:hideMark/>
          </w:tcPr>
          <w:p w14:paraId="280C6E89" w14:textId="77777777" w:rsidR="009D3766" w:rsidRPr="009D3766" w:rsidRDefault="009D3766" w:rsidP="002570EE">
            <w:pPr>
              <w:spacing w:after="0" w:line="240" w:lineRule="auto"/>
              <w:ind w:left="113"/>
              <w:jc w:val="left"/>
              <w:rPr>
                <w:rFonts w:ascii="Arial" w:hAnsi="Arial" w:cs="Arial"/>
                <w:sz w:val="16"/>
                <w:szCs w:val="16"/>
              </w:rPr>
            </w:pPr>
            <w:r w:rsidRPr="009D3766">
              <w:rPr>
                <w:rFonts w:ascii="Arial" w:hAnsi="Arial" w:cs="Arial"/>
                <w:sz w:val="16"/>
                <w:szCs w:val="16"/>
              </w:rPr>
              <w:t>Appropriation receipts</w:t>
            </w:r>
          </w:p>
        </w:tc>
        <w:tc>
          <w:tcPr>
            <w:tcW w:w="1150" w:type="dxa"/>
            <w:tcBorders>
              <w:top w:val="nil"/>
              <w:left w:val="nil"/>
              <w:bottom w:val="nil"/>
              <w:right w:val="nil"/>
            </w:tcBorders>
            <w:shd w:val="clear" w:color="auto" w:fill="auto"/>
            <w:noWrap/>
            <w:vAlign w:val="bottom"/>
            <w:hideMark/>
          </w:tcPr>
          <w:p w14:paraId="7FF93D61" w14:textId="15028A79"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4,997 </w:t>
            </w:r>
          </w:p>
        </w:tc>
        <w:tc>
          <w:tcPr>
            <w:tcW w:w="1096" w:type="dxa"/>
            <w:tcBorders>
              <w:top w:val="nil"/>
              <w:left w:val="nil"/>
              <w:bottom w:val="nil"/>
              <w:right w:val="nil"/>
            </w:tcBorders>
            <w:shd w:val="clear" w:color="auto" w:fill="auto"/>
            <w:noWrap/>
            <w:vAlign w:val="bottom"/>
            <w:hideMark/>
          </w:tcPr>
          <w:p w14:paraId="17B4BA9C" w14:textId="615006A5"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5,011 </w:t>
            </w:r>
          </w:p>
        </w:tc>
        <w:tc>
          <w:tcPr>
            <w:tcW w:w="979" w:type="dxa"/>
            <w:tcBorders>
              <w:top w:val="nil"/>
              <w:left w:val="nil"/>
              <w:bottom w:val="nil"/>
              <w:right w:val="nil"/>
            </w:tcBorders>
            <w:shd w:val="clear" w:color="auto" w:fill="auto"/>
            <w:noWrap/>
            <w:vAlign w:val="bottom"/>
            <w:hideMark/>
          </w:tcPr>
          <w:p w14:paraId="25BC2AAE" w14:textId="3E4D2581"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 </w:t>
            </w:r>
          </w:p>
        </w:tc>
        <w:tc>
          <w:tcPr>
            <w:tcW w:w="1077" w:type="dxa"/>
            <w:tcBorders>
              <w:top w:val="nil"/>
              <w:left w:val="nil"/>
              <w:bottom w:val="nil"/>
              <w:right w:val="nil"/>
            </w:tcBorders>
            <w:shd w:val="clear" w:color="auto" w:fill="E6E6E6"/>
            <w:noWrap/>
            <w:vAlign w:val="bottom"/>
            <w:hideMark/>
          </w:tcPr>
          <w:p w14:paraId="1FC1272D" w14:textId="12E09E88"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5,011 </w:t>
            </w:r>
          </w:p>
        </w:tc>
      </w:tr>
      <w:tr w:rsidR="009D3766" w:rsidRPr="00081844" w14:paraId="623D1016" w14:textId="77777777" w:rsidTr="009D3766">
        <w:trPr>
          <w:trHeight w:val="204"/>
        </w:trPr>
        <w:tc>
          <w:tcPr>
            <w:tcW w:w="3119" w:type="dxa"/>
            <w:tcBorders>
              <w:top w:val="nil"/>
              <w:left w:val="nil"/>
              <w:bottom w:val="nil"/>
              <w:right w:val="nil"/>
            </w:tcBorders>
            <w:shd w:val="clear" w:color="auto" w:fill="auto"/>
            <w:noWrap/>
            <w:vAlign w:val="bottom"/>
            <w:hideMark/>
          </w:tcPr>
          <w:p w14:paraId="75FF161D" w14:textId="77777777" w:rsidR="009D3766" w:rsidRPr="009D3766" w:rsidRDefault="009D3766" w:rsidP="002570EE">
            <w:pPr>
              <w:spacing w:after="0" w:line="240" w:lineRule="auto"/>
              <w:ind w:left="113"/>
              <w:jc w:val="left"/>
              <w:rPr>
                <w:rFonts w:ascii="Arial" w:hAnsi="Arial" w:cs="Arial"/>
                <w:sz w:val="16"/>
                <w:szCs w:val="16"/>
              </w:rPr>
            </w:pPr>
            <w:r w:rsidRPr="009D3766">
              <w:rPr>
                <w:rFonts w:ascii="Arial" w:hAnsi="Arial" w:cs="Arial"/>
                <w:sz w:val="16"/>
                <w:szCs w:val="16"/>
              </w:rPr>
              <w:t>Non-appropriation receipts</w:t>
            </w:r>
          </w:p>
        </w:tc>
        <w:tc>
          <w:tcPr>
            <w:tcW w:w="1150" w:type="dxa"/>
            <w:tcBorders>
              <w:top w:val="nil"/>
              <w:left w:val="nil"/>
              <w:bottom w:val="nil"/>
              <w:right w:val="nil"/>
            </w:tcBorders>
            <w:shd w:val="clear" w:color="auto" w:fill="auto"/>
            <w:noWrap/>
            <w:vAlign w:val="bottom"/>
            <w:hideMark/>
          </w:tcPr>
          <w:p w14:paraId="5600504B" w14:textId="049D8809"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3,821 </w:t>
            </w:r>
          </w:p>
        </w:tc>
        <w:tc>
          <w:tcPr>
            <w:tcW w:w="1096" w:type="dxa"/>
            <w:tcBorders>
              <w:top w:val="nil"/>
              <w:left w:val="nil"/>
              <w:bottom w:val="nil"/>
              <w:right w:val="nil"/>
            </w:tcBorders>
            <w:shd w:val="clear" w:color="auto" w:fill="auto"/>
            <w:noWrap/>
            <w:vAlign w:val="bottom"/>
            <w:hideMark/>
          </w:tcPr>
          <w:p w14:paraId="65152D87" w14:textId="6A181593"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3,892 </w:t>
            </w:r>
          </w:p>
        </w:tc>
        <w:tc>
          <w:tcPr>
            <w:tcW w:w="979" w:type="dxa"/>
            <w:tcBorders>
              <w:top w:val="nil"/>
              <w:left w:val="nil"/>
              <w:bottom w:val="nil"/>
              <w:right w:val="nil"/>
            </w:tcBorders>
            <w:shd w:val="clear" w:color="auto" w:fill="auto"/>
            <w:noWrap/>
            <w:vAlign w:val="bottom"/>
            <w:hideMark/>
          </w:tcPr>
          <w:p w14:paraId="745D0DBE" w14:textId="373366B1"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 </w:t>
            </w:r>
          </w:p>
        </w:tc>
        <w:tc>
          <w:tcPr>
            <w:tcW w:w="1077" w:type="dxa"/>
            <w:tcBorders>
              <w:top w:val="nil"/>
              <w:left w:val="nil"/>
              <w:bottom w:val="nil"/>
              <w:right w:val="nil"/>
            </w:tcBorders>
            <w:shd w:val="clear" w:color="auto" w:fill="E6E6E6"/>
            <w:noWrap/>
            <w:vAlign w:val="bottom"/>
            <w:hideMark/>
          </w:tcPr>
          <w:p w14:paraId="611E4B56" w14:textId="6C37D337" w:rsidR="009D3766" w:rsidRPr="009D3766" w:rsidRDefault="009D3766" w:rsidP="002570EE">
            <w:pPr>
              <w:spacing w:after="0" w:line="240" w:lineRule="auto"/>
              <w:jc w:val="right"/>
              <w:rPr>
                <w:rFonts w:ascii="Arial" w:hAnsi="Arial" w:cs="Arial"/>
                <w:sz w:val="16"/>
                <w:szCs w:val="16"/>
              </w:rPr>
            </w:pPr>
            <w:r w:rsidRPr="009D3766">
              <w:rPr>
                <w:rFonts w:ascii="Arial" w:hAnsi="Arial" w:cs="Arial"/>
                <w:sz w:val="16"/>
                <w:szCs w:val="16"/>
              </w:rPr>
              <w:t xml:space="preserve">3,892 </w:t>
            </w:r>
          </w:p>
        </w:tc>
      </w:tr>
      <w:tr w:rsidR="009D3766" w:rsidRPr="00081844" w14:paraId="48E88905" w14:textId="77777777" w:rsidTr="009D3766">
        <w:trPr>
          <w:trHeight w:val="204"/>
        </w:trPr>
        <w:tc>
          <w:tcPr>
            <w:tcW w:w="3119" w:type="dxa"/>
            <w:tcBorders>
              <w:top w:val="nil"/>
              <w:left w:val="nil"/>
              <w:bottom w:val="nil"/>
              <w:right w:val="nil"/>
            </w:tcBorders>
            <w:shd w:val="clear" w:color="auto" w:fill="auto"/>
            <w:noWrap/>
            <w:vAlign w:val="bottom"/>
            <w:hideMark/>
          </w:tcPr>
          <w:p w14:paraId="5B9F00C5" w14:textId="77777777" w:rsidR="009D3766" w:rsidRPr="009D3766" w:rsidRDefault="009D3766" w:rsidP="002570EE">
            <w:pPr>
              <w:spacing w:after="0" w:line="240" w:lineRule="auto"/>
              <w:jc w:val="left"/>
              <w:rPr>
                <w:rFonts w:ascii="Arial" w:hAnsi="Arial" w:cs="Arial"/>
                <w:iCs/>
                <w:sz w:val="16"/>
                <w:szCs w:val="16"/>
              </w:rPr>
            </w:pPr>
            <w:r w:rsidRPr="009D3766">
              <w:rPr>
                <w:rFonts w:ascii="Arial" w:hAnsi="Arial" w:cs="Arial"/>
                <w:iCs/>
                <w:sz w:val="16"/>
                <w:szCs w:val="16"/>
              </w:rPr>
              <w:t>Total special accounts</w:t>
            </w:r>
          </w:p>
        </w:tc>
        <w:tc>
          <w:tcPr>
            <w:tcW w:w="1150" w:type="dxa"/>
            <w:tcBorders>
              <w:top w:val="single" w:sz="4" w:space="0" w:color="auto"/>
              <w:left w:val="nil"/>
              <w:bottom w:val="single" w:sz="4" w:space="0" w:color="auto"/>
              <w:right w:val="nil"/>
            </w:tcBorders>
            <w:shd w:val="clear" w:color="auto" w:fill="auto"/>
            <w:noWrap/>
            <w:vAlign w:val="bottom"/>
            <w:hideMark/>
          </w:tcPr>
          <w:p w14:paraId="7DED6B2A" w14:textId="65F87A84" w:rsidR="009D3766" w:rsidRPr="009D3766" w:rsidRDefault="009D3766" w:rsidP="002570EE">
            <w:pPr>
              <w:spacing w:after="0" w:line="240" w:lineRule="auto"/>
              <w:jc w:val="right"/>
              <w:rPr>
                <w:rFonts w:ascii="Arial" w:hAnsi="Arial" w:cs="Arial"/>
                <w:iCs/>
                <w:sz w:val="16"/>
                <w:szCs w:val="16"/>
              </w:rPr>
            </w:pPr>
            <w:r w:rsidRPr="009D3766">
              <w:rPr>
                <w:rFonts w:ascii="Arial" w:hAnsi="Arial" w:cs="Arial"/>
                <w:iCs/>
                <w:sz w:val="16"/>
                <w:szCs w:val="16"/>
              </w:rPr>
              <w:t xml:space="preserve">14,485 </w:t>
            </w:r>
          </w:p>
        </w:tc>
        <w:tc>
          <w:tcPr>
            <w:tcW w:w="1096" w:type="dxa"/>
            <w:tcBorders>
              <w:top w:val="single" w:sz="4" w:space="0" w:color="auto"/>
              <w:left w:val="nil"/>
              <w:bottom w:val="single" w:sz="4" w:space="0" w:color="auto"/>
              <w:right w:val="nil"/>
            </w:tcBorders>
            <w:shd w:val="clear" w:color="auto" w:fill="auto"/>
            <w:noWrap/>
            <w:vAlign w:val="bottom"/>
            <w:hideMark/>
          </w:tcPr>
          <w:p w14:paraId="18353627" w14:textId="5BD54234" w:rsidR="009D3766" w:rsidRPr="009D3766" w:rsidRDefault="009D3766" w:rsidP="002570EE">
            <w:pPr>
              <w:spacing w:after="0" w:line="240" w:lineRule="auto"/>
              <w:jc w:val="right"/>
              <w:rPr>
                <w:rFonts w:ascii="Arial" w:hAnsi="Arial" w:cs="Arial"/>
                <w:iCs/>
                <w:sz w:val="16"/>
                <w:szCs w:val="16"/>
              </w:rPr>
            </w:pPr>
            <w:r w:rsidRPr="009D3766">
              <w:rPr>
                <w:rFonts w:ascii="Arial" w:hAnsi="Arial" w:cs="Arial"/>
                <w:iCs/>
                <w:sz w:val="16"/>
                <w:szCs w:val="16"/>
              </w:rPr>
              <w:t xml:space="preserve">13,204 </w:t>
            </w:r>
          </w:p>
        </w:tc>
        <w:tc>
          <w:tcPr>
            <w:tcW w:w="979" w:type="dxa"/>
            <w:tcBorders>
              <w:top w:val="single" w:sz="4" w:space="0" w:color="auto"/>
              <w:left w:val="nil"/>
              <w:bottom w:val="single" w:sz="4" w:space="0" w:color="auto"/>
              <w:right w:val="nil"/>
            </w:tcBorders>
            <w:shd w:val="clear" w:color="auto" w:fill="auto"/>
            <w:noWrap/>
            <w:vAlign w:val="bottom"/>
            <w:hideMark/>
          </w:tcPr>
          <w:p w14:paraId="46E16856" w14:textId="3382D5AD" w:rsidR="009D3766" w:rsidRPr="009D3766" w:rsidRDefault="009D3766" w:rsidP="002570EE">
            <w:pPr>
              <w:spacing w:after="0" w:line="240" w:lineRule="auto"/>
              <w:jc w:val="right"/>
              <w:rPr>
                <w:rFonts w:ascii="Arial" w:hAnsi="Arial" w:cs="Arial"/>
                <w:iCs/>
                <w:sz w:val="16"/>
                <w:szCs w:val="16"/>
              </w:rPr>
            </w:pPr>
            <w:r w:rsidRPr="009D3766">
              <w:rPr>
                <w:rFonts w:ascii="Arial" w:hAnsi="Arial" w:cs="Arial"/>
                <w:iCs/>
                <w:sz w:val="16"/>
                <w:szCs w:val="16"/>
              </w:rPr>
              <w:t xml:space="preserve">2,375 </w:t>
            </w:r>
          </w:p>
        </w:tc>
        <w:tc>
          <w:tcPr>
            <w:tcW w:w="1077" w:type="dxa"/>
            <w:tcBorders>
              <w:top w:val="single" w:sz="4" w:space="0" w:color="auto"/>
              <w:left w:val="nil"/>
              <w:bottom w:val="single" w:sz="4" w:space="0" w:color="auto"/>
              <w:right w:val="nil"/>
            </w:tcBorders>
            <w:shd w:val="clear" w:color="auto" w:fill="E6E6E6"/>
            <w:noWrap/>
            <w:vAlign w:val="bottom"/>
            <w:hideMark/>
          </w:tcPr>
          <w:p w14:paraId="6EE100CC" w14:textId="30ACFB16" w:rsidR="009D3766" w:rsidRPr="009D3766" w:rsidRDefault="009D3766" w:rsidP="002570EE">
            <w:pPr>
              <w:spacing w:after="0" w:line="240" w:lineRule="auto"/>
              <w:jc w:val="right"/>
              <w:rPr>
                <w:rFonts w:ascii="Arial" w:hAnsi="Arial" w:cs="Arial"/>
                <w:iCs/>
                <w:sz w:val="16"/>
                <w:szCs w:val="16"/>
              </w:rPr>
            </w:pPr>
            <w:r w:rsidRPr="009D3766">
              <w:rPr>
                <w:rFonts w:ascii="Arial" w:hAnsi="Arial" w:cs="Arial"/>
                <w:iCs/>
                <w:sz w:val="16"/>
                <w:szCs w:val="16"/>
              </w:rPr>
              <w:t xml:space="preserve">15,579 </w:t>
            </w:r>
          </w:p>
        </w:tc>
      </w:tr>
      <w:tr w:rsidR="009D3766" w:rsidRPr="00081844" w14:paraId="7DE9109E" w14:textId="77777777" w:rsidTr="009D3766">
        <w:trPr>
          <w:trHeight w:val="204"/>
        </w:trPr>
        <w:tc>
          <w:tcPr>
            <w:tcW w:w="3119" w:type="dxa"/>
            <w:tcBorders>
              <w:top w:val="nil"/>
              <w:left w:val="nil"/>
              <w:right w:val="nil"/>
            </w:tcBorders>
            <w:shd w:val="clear" w:color="auto" w:fill="auto"/>
            <w:vAlign w:val="bottom"/>
            <w:hideMark/>
          </w:tcPr>
          <w:p w14:paraId="1BDD68D9" w14:textId="1F644626" w:rsidR="009D3766" w:rsidRPr="009D3766" w:rsidRDefault="009D3766" w:rsidP="002570EE">
            <w:pPr>
              <w:spacing w:after="0" w:line="240" w:lineRule="auto"/>
              <w:ind w:left="113"/>
              <w:jc w:val="left"/>
              <w:rPr>
                <w:rFonts w:ascii="Arial" w:hAnsi="Arial" w:cs="Arial"/>
                <w:iCs/>
                <w:sz w:val="16"/>
                <w:szCs w:val="16"/>
              </w:rPr>
            </w:pPr>
            <w:r w:rsidRPr="009D3766">
              <w:rPr>
                <w:rFonts w:ascii="Arial" w:hAnsi="Arial" w:cs="Arial"/>
                <w:iCs/>
                <w:sz w:val="16"/>
                <w:szCs w:val="16"/>
              </w:rPr>
              <w:t>less Departmental appropriations drawn from annual/special appropriations and credited to special accounts</w:t>
            </w:r>
          </w:p>
        </w:tc>
        <w:tc>
          <w:tcPr>
            <w:tcW w:w="1150" w:type="dxa"/>
            <w:tcBorders>
              <w:top w:val="nil"/>
              <w:left w:val="nil"/>
              <w:bottom w:val="single" w:sz="4" w:space="0" w:color="auto"/>
              <w:right w:val="nil"/>
            </w:tcBorders>
            <w:shd w:val="clear" w:color="auto" w:fill="auto"/>
            <w:noWrap/>
            <w:vAlign w:val="bottom"/>
            <w:hideMark/>
          </w:tcPr>
          <w:p w14:paraId="180C131E" w14:textId="4C19FE62" w:rsidR="009D3766" w:rsidRPr="009D3766" w:rsidRDefault="009D3766" w:rsidP="002570EE">
            <w:pPr>
              <w:spacing w:after="0" w:line="240" w:lineRule="auto"/>
              <w:jc w:val="right"/>
              <w:rPr>
                <w:rFonts w:ascii="Arial" w:hAnsi="Arial" w:cs="Arial"/>
                <w:iCs/>
                <w:sz w:val="16"/>
                <w:szCs w:val="16"/>
              </w:rPr>
            </w:pPr>
            <w:r w:rsidRPr="009D3766">
              <w:rPr>
                <w:rFonts w:ascii="Arial" w:hAnsi="Arial" w:cs="Arial"/>
                <w:iCs/>
                <w:sz w:val="16"/>
                <w:szCs w:val="16"/>
              </w:rPr>
              <w:t>(4,242)</w:t>
            </w:r>
          </w:p>
        </w:tc>
        <w:tc>
          <w:tcPr>
            <w:tcW w:w="1096" w:type="dxa"/>
            <w:tcBorders>
              <w:top w:val="nil"/>
              <w:left w:val="nil"/>
              <w:bottom w:val="single" w:sz="4" w:space="0" w:color="auto"/>
              <w:right w:val="nil"/>
            </w:tcBorders>
            <w:shd w:val="clear" w:color="auto" w:fill="auto"/>
            <w:noWrap/>
            <w:vAlign w:val="bottom"/>
            <w:hideMark/>
          </w:tcPr>
          <w:p w14:paraId="224627EA" w14:textId="7B468C08" w:rsidR="009D3766" w:rsidRPr="009D3766" w:rsidRDefault="009D3766" w:rsidP="002570EE">
            <w:pPr>
              <w:spacing w:after="0" w:line="240" w:lineRule="auto"/>
              <w:jc w:val="right"/>
              <w:rPr>
                <w:rFonts w:ascii="Arial" w:hAnsi="Arial" w:cs="Arial"/>
                <w:iCs/>
                <w:sz w:val="16"/>
                <w:szCs w:val="16"/>
              </w:rPr>
            </w:pPr>
            <w:r w:rsidRPr="009D3766">
              <w:rPr>
                <w:rFonts w:ascii="Arial" w:hAnsi="Arial" w:cs="Arial"/>
                <w:iCs/>
                <w:sz w:val="16"/>
                <w:szCs w:val="16"/>
              </w:rPr>
              <w:t>(4,242)</w:t>
            </w:r>
          </w:p>
        </w:tc>
        <w:tc>
          <w:tcPr>
            <w:tcW w:w="979" w:type="dxa"/>
            <w:tcBorders>
              <w:top w:val="nil"/>
              <w:left w:val="nil"/>
              <w:bottom w:val="single" w:sz="4" w:space="0" w:color="auto"/>
              <w:right w:val="nil"/>
            </w:tcBorders>
            <w:shd w:val="clear" w:color="auto" w:fill="auto"/>
            <w:noWrap/>
            <w:vAlign w:val="bottom"/>
            <w:hideMark/>
          </w:tcPr>
          <w:p w14:paraId="5F969809" w14:textId="2A28E450" w:rsidR="009D3766" w:rsidRPr="009D3766" w:rsidRDefault="009D3766" w:rsidP="002570EE">
            <w:pPr>
              <w:spacing w:after="0" w:line="240" w:lineRule="auto"/>
              <w:jc w:val="right"/>
              <w:rPr>
                <w:rFonts w:ascii="Arial" w:hAnsi="Arial" w:cs="Arial"/>
                <w:iCs/>
                <w:sz w:val="16"/>
                <w:szCs w:val="16"/>
              </w:rPr>
            </w:pPr>
            <w:r w:rsidRPr="009D3766">
              <w:rPr>
                <w:rFonts w:ascii="Arial" w:hAnsi="Arial" w:cs="Arial"/>
                <w:iCs/>
                <w:sz w:val="16"/>
                <w:szCs w:val="16"/>
              </w:rPr>
              <w:t xml:space="preserve">- </w:t>
            </w:r>
          </w:p>
        </w:tc>
        <w:tc>
          <w:tcPr>
            <w:tcW w:w="1077" w:type="dxa"/>
            <w:tcBorders>
              <w:top w:val="nil"/>
              <w:left w:val="nil"/>
              <w:bottom w:val="nil"/>
              <w:right w:val="nil"/>
            </w:tcBorders>
            <w:shd w:val="clear" w:color="auto" w:fill="E6E6E6"/>
            <w:noWrap/>
            <w:vAlign w:val="bottom"/>
            <w:hideMark/>
          </w:tcPr>
          <w:p w14:paraId="31AABB88" w14:textId="06523072" w:rsidR="009D3766" w:rsidRPr="009D3766" w:rsidRDefault="009D3766" w:rsidP="002570EE">
            <w:pPr>
              <w:spacing w:after="0" w:line="240" w:lineRule="auto"/>
              <w:jc w:val="right"/>
              <w:rPr>
                <w:rFonts w:ascii="Arial" w:hAnsi="Arial" w:cs="Arial"/>
                <w:iCs/>
                <w:sz w:val="16"/>
                <w:szCs w:val="16"/>
              </w:rPr>
            </w:pPr>
            <w:r w:rsidRPr="009D3766">
              <w:rPr>
                <w:rFonts w:ascii="Arial" w:hAnsi="Arial" w:cs="Arial"/>
                <w:iCs/>
                <w:sz w:val="16"/>
                <w:szCs w:val="16"/>
              </w:rPr>
              <w:t>(4,242)</w:t>
            </w:r>
          </w:p>
        </w:tc>
      </w:tr>
      <w:tr w:rsidR="00724C2D" w:rsidRPr="00683276" w14:paraId="6685C218" w14:textId="77777777" w:rsidTr="009D3766">
        <w:trPr>
          <w:trHeight w:val="204"/>
        </w:trPr>
        <w:tc>
          <w:tcPr>
            <w:tcW w:w="3119" w:type="dxa"/>
            <w:tcBorders>
              <w:top w:val="nil"/>
              <w:left w:val="nil"/>
              <w:bottom w:val="single" w:sz="4" w:space="0" w:color="auto"/>
              <w:right w:val="nil"/>
            </w:tcBorders>
            <w:shd w:val="clear" w:color="auto" w:fill="auto"/>
            <w:noWrap/>
            <w:vAlign w:val="bottom"/>
            <w:hideMark/>
          </w:tcPr>
          <w:p w14:paraId="712F70C9" w14:textId="14FC0E02" w:rsidR="00724C2D" w:rsidRPr="009D3766" w:rsidRDefault="00724C2D" w:rsidP="00724C2D">
            <w:pPr>
              <w:spacing w:after="0" w:line="240" w:lineRule="auto"/>
              <w:jc w:val="left"/>
              <w:rPr>
                <w:rFonts w:ascii="Arial" w:hAnsi="Arial" w:cs="Arial"/>
                <w:b/>
                <w:bCs/>
                <w:iCs/>
                <w:sz w:val="16"/>
                <w:szCs w:val="16"/>
              </w:rPr>
            </w:pPr>
            <w:r w:rsidRPr="009D3766">
              <w:rPr>
                <w:rFonts w:ascii="Arial" w:hAnsi="Arial" w:cs="Arial"/>
                <w:b/>
                <w:bCs/>
                <w:iCs/>
                <w:sz w:val="16"/>
                <w:szCs w:val="16"/>
              </w:rPr>
              <w:t>Total Departmental resourcing</w:t>
            </w:r>
          </w:p>
        </w:tc>
        <w:tc>
          <w:tcPr>
            <w:tcW w:w="1150" w:type="dxa"/>
            <w:tcBorders>
              <w:top w:val="nil"/>
              <w:left w:val="nil"/>
              <w:bottom w:val="single" w:sz="4" w:space="0" w:color="auto"/>
              <w:right w:val="nil"/>
            </w:tcBorders>
            <w:shd w:val="clear" w:color="auto" w:fill="auto"/>
            <w:noWrap/>
            <w:vAlign w:val="bottom"/>
            <w:hideMark/>
          </w:tcPr>
          <w:p w14:paraId="4406C4BB" w14:textId="5F99AAC3" w:rsidR="00724C2D" w:rsidRPr="009D3766" w:rsidRDefault="00724C2D" w:rsidP="00724C2D">
            <w:pPr>
              <w:spacing w:after="0" w:line="240" w:lineRule="auto"/>
              <w:jc w:val="right"/>
              <w:rPr>
                <w:rFonts w:ascii="Arial" w:hAnsi="Arial" w:cs="Arial"/>
                <w:b/>
                <w:bCs/>
                <w:iCs/>
                <w:sz w:val="16"/>
                <w:szCs w:val="16"/>
              </w:rPr>
            </w:pPr>
            <w:r w:rsidRPr="009D3766">
              <w:rPr>
                <w:rFonts w:ascii="Arial" w:hAnsi="Arial" w:cs="Arial"/>
                <w:b/>
                <w:bCs/>
                <w:iCs/>
                <w:sz w:val="16"/>
                <w:szCs w:val="16"/>
              </w:rPr>
              <w:t xml:space="preserve">562,722 </w:t>
            </w:r>
          </w:p>
        </w:tc>
        <w:tc>
          <w:tcPr>
            <w:tcW w:w="1096" w:type="dxa"/>
            <w:tcBorders>
              <w:top w:val="nil"/>
              <w:left w:val="nil"/>
              <w:bottom w:val="single" w:sz="4" w:space="0" w:color="auto"/>
              <w:right w:val="nil"/>
            </w:tcBorders>
            <w:shd w:val="clear" w:color="auto" w:fill="auto"/>
            <w:noWrap/>
            <w:vAlign w:val="bottom"/>
            <w:hideMark/>
          </w:tcPr>
          <w:p w14:paraId="52B6218F" w14:textId="76F3548A" w:rsidR="00724C2D" w:rsidRPr="00724C2D" w:rsidRDefault="00724C2D" w:rsidP="00724C2D">
            <w:pPr>
              <w:spacing w:after="0" w:line="240" w:lineRule="auto"/>
              <w:jc w:val="right"/>
              <w:rPr>
                <w:rFonts w:ascii="Arial" w:hAnsi="Arial" w:cs="Arial"/>
                <w:b/>
                <w:bCs/>
                <w:iCs/>
                <w:sz w:val="16"/>
                <w:szCs w:val="16"/>
              </w:rPr>
            </w:pPr>
            <w:r w:rsidRPr="00724C2D">
              <w:rPr>
                <w:rFonts w:ascii="Arial" w:hAnsi="Arial" w:cs="Arial"/>
                <w:b/>
                <w:bCs/>
                <w:iCs/>
                <w:sz w:val="16"/>
                <w:szCs w:val="16"/>
              </w:rPr>
              <w:t xml:space="preserve">574,343 </w:t>
            </w:r>
          </w:p>
        </w:tc>
        <w:tc>
          <w:tcPr>
            <w:tcW w:w="979" w:type="dxa"/>
            <w:tcBorders>
              <w:top w:val="nil"/>
              <w:left w:val="nil"/>
              <w:bottom w:val="single" w:sz="4" w:space="0" w:color="auto"/>
              <w:right w:val="nil"/>
            </w:tcBorders>
            <w:shd w:val="clear" w:color="auto" w:fill="auto"/>
            <w:noWrap/>
            <w:vAlign w:val="bottom"/>
            <w:hideMark/>
          </w:tcPr>
          <w:p w14:paraId="14B95D38" w14:textId="2C4EFE29" w:rsidR="00724C2D" w:rsidRPr="00724C2D" w:rsidRDefault="00724C2D" w:rsidP="00724C2D">
            <w:pPr>
              <w:spacing w:after="0" w:line="240" w:lineRule="auto"/>
              <w:jc w:val="right"/>
              <w:rPr>
                <w:rFonts w:ascii="Arial" w:hAnsi="Arial" w:cs="Arial"/>
                <w:b/>
                <w:bCs/>
                <w:iCs/>
                <w:sz w:val="16"/>
                <w:szCs w:val="16"/>
              </w:rPr>
            </w:pPr>
            <w:r w:rsidRPr="00724C2D">
              <w:rPr>
                <w:rFonts w:ascii="Arial" w:hAnsi="Arial" w:cs="Arial"/>
                <w:b/>
                <w:bCs/>
                <w:iCs/>
                <w:sz w:val="16"/>
                <w:szCs w:val="16"/>
              </w:rPr>
              <w:t xml:space="preserve">11,900 </w:t>
            </w:r>
          </w:p>
        </w:tc>
        <w:tc>
          <w:tcPr>
            <w:tcW w:w="1077" w:type="dxa"/>
            <w:tcBorders>
              <w:top w:val="single" w:sz="4" w:space="0" w:color="auto"/>
              <w:left w:val="nil"/>
              <w:bottom w:val="single" w:sz="4" w:space="0" w:color="auto"/>
              <w:right w:val="nil"/>
            </w:tcBorders>
            <w:shd w:val="clear" w:color="auto" w:fill="E6E6E6"/>
            <w:noWrap/>
            <w:vAlign w:val="bottom"/>
            <w:hideMark/>
          </w:tcPr>
          <w:p w14:paraId="1849E93F" w14:textId="5E044C5A" w:rsidR="00724C2D" w:rsidRPr="00724C2D" w:rsidRDefault="00724C2D" w:rsidP="00724C2D">
            <w:pPr>
              <w:spacing w:after="0" w:line="240" w:lineRule="auto"/>
              <w:jc w:val="right"/>
              <w:rPr>
                <w:rFonts w:ascii="Arial" w:hAnsi="Arial" w:cs="Arial"/>
                <w:b/>
                <w:bCs/>
                <w:iCs/>
                <w:sz w:val="16"/>
                <w:szCs w:val="16"/>
              </w:rPr>
            </w:pPr>
            <w:r w:rsidRPr="00724C2D">
              <w:rPr>
                <w:rFonts w:ascii="Arial" w:hAnsi="Arial" w:cs="Arial"/>
                <w:b/>
                <w:bCs/>
                <w:iCs/>
                <w:sz w:val="16"/>
                <w:szCs w:val="16"/>
              </w:rPr>
              <w:t xml:space="preserve">586,243 </w:t>
            </w:r>
          </w:p>
        </w:tc>
      </w:tr>
    </w:tbl>
    <w:p w14:paraId="0254F065" w14:textId="08A37B98" w:rsidR="00D1451B" w:rsidRDefault="00D1451B">
      <w:r>
        <w:br w:type="page"/>
      </w:r>
    </w:p>
    <w:p w14:paraId="285C3083" w14:textId="63070CA6" w:rsidR="00D1451B" w:rsidRDefault="00D1451B" w:rsidP="00D1451B">
      <w:pPr>
        <w:pStyle w:val="TableHeading"/>
        <w:rPr>
          <w:lang w:val="en-AU"/>
        </w:rPr>
      </w:pPr>
      <w:r w:rsidRPr="00897F19">
        <w:lastRenderedPageBreak/>
        <w:t xml:space="preserve">Table 1.1: </w:t>
      </w:r>
      <w:r w:rsidR="008863D9">
        <w:t>Department</w:t>
      </w:r>
      <w:r w:rsidRPr="00897F19">
        <w:t xml:space="preserve"> of Infrastructure, Transport, Regional Development and Communications resource statement — Additional Estimates for </w:t>
      </w:r>
      <w:r w:rsidRPr="00897F19">
        <w:rPr>
          <w:lang w:val="en-AU"/>
        </w:rPr>
        <w:t>2021-22</w:t>
      </w:r>
      <w:r w:rsidRPr="00897F19">
        <w:t xml:space="preserve"> as at February </w:t>
      </w:r>
      <w:r w:rsidRPr="00897F19">
        <w:rPr>
          <w:lang w:val="en-AU"/>
        </w:rPr>
        <w:t>2022</w:t>
      </w:r>
      <w:r>
        <w:rPr>
          <w:lang w:val="en-AU"/>
        </w:rPr>
        <w:t xml:space="preserve"> (continued)</w:t>
      </w:r>
    </w:p>
    <w:tbl>
      <w:tblPr>
        <w:tblW w:w="0" w:type="auto"/>
        <w:tblLayout w:type="fixed"/>
        <w:tblLook w:val="04A0" w:firstRow="1" w:lastRow="0" w:firstColumn="1" w:lastColumn="0" w:noHBand="0" w:noVBand="1"/>
      </w:tblPr>
      <w:tblGrid>
        <w:gridCol w:w="3119"/>
        <w:gridCol w:w="1150"/>
        <w:gridCol w:w="1035"/>
        <w:gridCol w:w="1122"/>
        <w:gridCol w:w="13"/>
        <w:gridCol w:w="1074"/>
      </w:tblGrid>
      <w:tr w:rsidR="009D63B8" w:rsidRPr="00A175D8" w14:paraId="377BA8CE" w14:textId="77777777" w:rsidTr="00524C94">
        <w:trPr>
          <w:trHeight w:val="698"/>
        </w:trPr>
        <w:tc>
          <w:tcPr>
            <w:tcW w:w="3119" w:type="dxa"/>
            <w:tcBorders>
              <w:top w:val="single" w:sz="4" w:space="0" w:color="auto"/>
              <w:left w:val="nil"/>
              <w:right w:val="nil"/>
            </w:tcBorders>
            <w:shd w:val="clear" w:color="auto" w:fill="auto"/>
            <w:noWrap/>
            <w:vAlign w:val="bottom"/>
            <w:hideMark/>
          </w:tcPr>
          <w:p w14:paraId="445160CD" w14:textId="77777777" w:rsidR="009D63B8" w:rsidRPr="00A175D8" w:rsidRDefault="009D63B8" w:rsidP="001670C2">
            <w:pPr>
              <w:spacing w:after="0" w:line="240" w:lineRule="auto"/>
              <w:jc w:val="left"/>
              <w:rPr>
                <w:rFonts w:ascii="Arial" w:hAnsi="Arial" w:cs="Arial"/>
                <w:b/>
                <w:bCs/>
                <w:sz w:val="16"/>
                <w:szCs w:val="16"/>
              </w:rPr>
            </w:pPr>
            <w:r w:rsidRPr="00A175D8">
              <w:rPr>
                <w:rFonts w:ascii="Arial" w:hAnsi="Arial" w:cs="Arial"/>
                <w:b/>
                <w:bCs/>
                <w:sz w:val="16"/>
                <w:szCs w:val="16"/>
              </w:rPr>
              <w:t> </w:t>
            </w:r>
          </w:p>
        </w:tc>
        <w:tc>
          <w:tcPr>
            <w:tcW w:w="1150" w:type="dxa"/>
            <w:tcBorders>
              <w:top w:val="single" w:sz="4" w:space="0" w:color="auto"/>
              <w:left w:val="nil"/>
              <w:right w:val="nil"/>
            </w:tcBorders>
            <w:shd w:val="clear" w:color="auto" w:fill="auto"/>
            <w:noWrap/>
            <w:vAlign w:val="bottom"/>
            <w:hideMark/>
          </w:tcPr>
          <w:p w14:paraId="1FC96421" w14:textId="77777777" w:rsidR="009D63B8" w:rsidRPr="00A175D8" w:rsidRDefault="009D63B8" w:rsidP="000F670D">
            <w:pPr>
              <w:spacing w:after="0" w:line="240" w:lineRule="auto"/>
              <w:jc w:val="right"/>
              <w:rPr>
                <w:rFonts w:ascii="Arial" w:hAnsi="Arial" w:cs="Arial"/>
                <w:bCs/>
                <w:sz w:val="16"/>
                <w:szCs w:val="16"/>
              </w:rPr>
            </w:pPr>
            <w:r w:rsidRPr="00A175D8">
              <w:rPr>
                <w:rFonts w:ascii="Arial" w:hAnsi="Arial" w:cs="Arial"/>
                <w:bCs/>
                <w:sz w:val="16"/>
                <w:szCs w:val="16"/>
              </w:rPr>
              <w:t>Actual</w:t>
            </w:r>
          </w:p>
          <w:p w14:paraId="0C12FC77" w14:textId="77777777" w:rsidR="009D63B8" w:rsidRPr="00A175D8" w:rsidRDefault="009D63B8" w:rsidP="000F670D">
            <w:pPr>
              <w:spacing w:after="0" w:line="240" w:lineRule="auto"/>
              <w:jc w:val="right"/>
              <w:rPr>
                <w:rFonts w:ascii="Arial" w:hAnsi="Arial" w:cs="Arial"/>
                <w:bCs/>
                <w:sz w:val="16"/>
                <w:szCs w:val="16"/>
              </w:rPr>
            </w:pPr>
            <w:r w:rsidRPr="00A175D8">
              <w:rPr>
                <w:rFonts w:ascii="Arial" w:hAnsi="Arial" w:cs="Arial"/>
                <w:bCs/>
                <w:sz w:val="16"/>
                <w:szCs w:val="16"/>
              </w:rPr>
              <w:t>available</w:t>
            </w:r>
          </w:p>
          <w:p w14:paraId="4F6C16BB" w14:textId="52D44BC3" w:rsidR="009D63B8" w:rsidRDefault="009D63B8" w:rsidP="000F670D">
            <w:pPr>
              <w:spacing w:after="0" w:line="240" w:lineRule="auto"/>
              <w:jc w:val="right"/>
              <w:rPr>
                <w:rFonts w:ascii="Arial" w:hAnsi="Arial" w:cs="Arial"/>
                <w:bCs/>
                <w:sz w:val="16"/>
                <w:szCs w:val="16"/>
              </w:rPr>
            </w:pPr>
            <w:r w:rsidRPr="00A175D8">
              <w:rPr>
                <w:rFonts w:ascii="Arial" w:hAnsi="Arial" w:cs="Arial"/>
                <w:bCs/>
                <w:sz w:val="16"/>
                <w:szCs w:val="16"/>
              </w:rPr>
              <w:t>appropriation</w:t>
            </w:r>
          </w:p>
          <w:p w14:paraId="356B4AC9" w14:textId="77777777" w:rsidR="009D3766" w:rsidRPr="00A175D8" w:rsidRDefault="009D3766" w:rsidP="000F670D">
            <w:pPr>
              <w:spacing w:after="0" w:line="240" w:lineRule="auto"/>
              <w:jc w:val="right"/>
              <w:rPr>
                <w:rFonts w:ascii="Arial" w:hAnsi="Arial" w:cs="Arial"/>
                <w:bCs/>
                <w:sz w:val="16"/>
                <w:szCs w:val="16"/>
              </w:rPr>
            </w:pPr>
          </w:p>
          <w:p w14:paraId="00B0D1F0" w14:textId="77777777" w:rsidR="009D63B8" w:rsidRPr="00A175D8" w:rsidRDefault="009D63B8" w:rsidP="000F670D">
            <w:pPr>
              <w:spacing w:after="0" w:line="240" w:lineRule="auto"/>
              <w:jc w:val="right"/>
              <w:rPr>
                <w:rFonts w:ascii="Arial" w:hAnsi="Arial" w:cs="Arial"/>
                <w:bCs/>
                <w:sz w:val="16"/>
                <w:szCs w:val="16"/>
              </w:rPr>
            </w:pPr>
            <w:r w:rsidRPr="00A175D8">
              <w:rPr>
                <w:rFonts w:ascii="Arial" w:hAnsi="Arial" w:cs="Arial"/>
                <w:bCs/>
                <w:sz w:val="16"/>
                <w:szCs w:val="16"/>
              </w:rPr>
              <w:t>2020-21</w:t>
            </w:r>
          </w:p>
          <w:p w14:paraId="00FB7610" w14:textId="1A729B0A" w:rsidR="009D63B8" w:rsidRPr="00A175D8" w:rsidRDefault="009D63B8" w:rsidP="000F670D">
            <w:pPr>
              <w:spacing w:after="0" w:line="240" w:lineRule="auto"/>
              <w:jc w:val="right"/>
              <w:rPr>
                <w:rFonts w:ascii="Arial" w:hAnsi="Arial" w:cs="Arial"/>
                <w:bCs/>
                <w:sz w:val="16"/>
                <w:szCs w:val="16"/>
              </w:rPr>
            </w:pPr>
            <w:r w:rsidRPr="00A175D8">
              <w:rPr>
                <w:rFonts w:ascii="Arial" w:hAnsi="Arial" w:cs="Arial"/>
                <w:bCs/>
                <w:sz w:val="16"/>
                <w:szCs w:val="16"/>
              </w:rPr>
              <w:t>$'000</w:t>
            </w:r>
          </w:p>
        </w:tc>
        <w:tc>
          <w:tcPr>
            <w:tcW w:w="1035" w:type="dxa"/>
            <w:tcBorders>
              <w:top w:val="single" w:sz="4" w:space="0" w:color="auto"/>
              <w:left w:val="nil"/>
              <w:right w:val="nil"/>
            </w:tcBorders>
            <w:shd w:val="clear" w:color="auto" w:fill="auto"/>
            <w:noWrap/>
            <w:vAlign w:val="bottom"/>
            <w:hideMark/>
          </w:tcPr>
          <w:p w14:paraId="7D01F882"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Estimate</w:t>
            </w:r>
          </w:p>
          <w:p w14:paraId="4FA78D23"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as at</w:t>
            </w:r>
          </w:p>
          <w:p w14:paraId="69DE567F" w14:textId="14941968" w:rsidR="009D63B8" w:rsidRDefault="009D63B8" w:rsidP="000F670D">
            <w:pPr>
              <w:spacing w:after="0" w:line="240" w:lineRule="auto"/>
              <w:jc w:val="right"/>
              <w:rPr>
                <w:rFonts w:ascii="Arial" w:hAnsi="Arial" w:cs="Arial"/>
                <w:sz w:val="16"/>
                <w:szCs w:val="16"/>
                <w:vertAlign w:val="superscript"/>
              </w:rPr>
            </w:pPr>
            <w:r w:rsidRPr="00A175D8">
              <w:rPr>
                <w:rFonts w:ascii="Arial" w:hAnsi="Arial" w:cs="Arial"/>
                <w:sz w:val="16"/>
                <w:szCs w:val="16"/>
              </w:rPr>
              <w:t xml:space="preserve">Budget </w:t>
            </w:r>
            <w:r w:rsidRPr="00A175D8">
              <w:rPr>
                <w:rFonts w:ascii="Arial" w:hAnsi="Arial" w:cs="Arial"/>
                <w:sz w:val="16"/>
                <w:szCs w:val="16"/>
                <w:vertAlign w:val="superscript"/>
              </w:rPr>
              <w:t>(a)</w:t>
            </w:r>
          </w:p>
          <w:p w14:paraId="109F709E" w14:textId="77777777" w:rsidR="009D3766" w:rsidRPr="00A175D8" w:rsidRDefault="009D3766" w:rsidP="000F670D">
            <w:pPr>
              <w:spacing w:after="0" w:line="240" w:lineRule="auto"/>
              <w:jc w:val="right"/>
              <w:rPr>
                <w:rFonts w:ascii="Arial" w:hAnsi="Arial" w:cs="Arial"/>
                <w:sz w:val="16"/>
                <w:szCs w:val="16"/>
              </w:rPr>
            </w:pPr>
          </w:p>
          <w:p w14:paraId="11A93DBA"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2021-22</w:t>
            </w:r>
          </w:p>
          <w:p w14:paraId="49ECF245" w14:textId="24B1B82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$'000</w:t>
            </w:r>
          </w:p>
        </w:tc>
        <w:tc>
          <w:tcPr>
            <w:tcW w:w="1122" w:type="dxa"/>
            <w:tcBorders>
              <w:top w:val="single" w:sz="4" w:space="0" w:color="auto"/>
              <w:left w:val="nil"/>
              <w:right w:val="nil"/>
            </w:tcBorders>
            <w:shd w:val="clear" w:color="auto" w:fill="auto"/>
            <w:noWrap/>
            <w:vAlign w:val="bottom"/>
            <w:hideMark/>
          </w:tcPr>
          <w:p w14:paraId="1B12A6E3"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Proposed</w:t>
            </w:r>
          </w:p>
          <w:p w14:paraId="3599038B"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 xml:space="preserve">Additional </w:t>
            </w:r>
          </w:p>
          <w:p w14:paraId="4A29C45C" w14:textId="5289255F" w:rsidR="009D63B8" w:rsidRDefault="009D63B8" w:rsidP="000F670D">
            <w:pPr>
              <w:spacing w:after="0" w:line="240" w:lineRule="auto"/>
              <w:jc w:val="right"/>
              <w:rPr>
                <w:rFonts w:ascii="Arial" w:hAnsi="Arial" w:cs="Arial"/>
                <w:sz w:val="16"/>
                <w:szCs w:val="16"/>
              </w:rPr>
            </w:pPr>
            <w:r w:rsidRPr="00A175D8">
              <w:rPr>
                <w:rFonts w:ascii="Arial" w:hAnsi="Arial" w:cs="Arial"/>
                <w:sz w:val="16"/>
                <w:szCs w:val="16"/>
              </w:rPr>
              <w:t>Estimates</w:t>
            </w:r>
          </w:p>
          <w:p w14:paraId="726B9476" w14:textId="77777777" w:rsidR="009D3766" w:rsidRPr="00A175D8" w:rsidRDefault="009D3766" w:rsidP="000F670D">
            <w:pPr>
              <w:spacing w:after="0" w:line="240" w:lineRule="auto"/>
              <w:jc w:val="right"/>
              <w:rPr>
                <w:rFonts w:ascii="Arial" w:hAnsi="Arial" w:cs="Arial"/>
                <w:sz w:val="16"/>
                <w:szCs w:val="16"/>
              </w:rPr>
            </w:pPr>
          </w:p>
          <w:p w14:paraId="3F5EE798"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2021-22</w:t>
            </w:r>
          </w:p>
          <w:p w14:paraId="693CACC3" w14:textId="36E79AD2"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$'000</w:t>
            </w:r>
          </w:p>
        </w:tc>
        <w:tc>
          <w:tcPr>
            <w:tcW w:w="1087" w:type="dxa"/>
            <w:gridSpan w:val="2"/>
            <w:tcBorders>
              <w:top w:val="single" w:sz="4" w:space="0" w:color="auto"/>
              <w:left w:val="nil"/>
              <w:right w:val="nil"/>
            </w:tcBorders>
            <w:shd w:val="clear" w:color="auto" w:fill="E6E6E6"/>
            <w:noWrap/>
            <w:vAlign w:val="bottom"/>
            <w:hideMark/>
          </w:tcPr>
          <w:p w14:paraId="10AA1588"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Total</w:t>
            </w:r>
          </w:p>
          <w:p w14:paraId="6808C072"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estimate at</w:t>
            </w:r>
          </w:p>
          <w:p w14:paraId="32CBBE8A"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Additional</w:t>
            </w:r>
          </w:p>
          <w:p w14:paraId="4D5987E7"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Estimates</w:t>
            </w:r>
          </w:p>
          <w:p w14:paraId="7EBF859A" w14:textId="77777777"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2021-22</w:t>
            </w:r>
          </w:p>
          <w:p w14:paraId="7C85E3A8" w14:textId="1475593D" w:rsidR="009D63B8" w:rsidRPr="00A175D8" w:rsidRDefault="009D63B8" w:rsidP="000F670D">
            <w:pPr>
              <w:spacing w:after="0" w:line="240" w:lineRule="auto"/>
              <w:jc w:val="right"/>
              <w:rPr>
                <w:rFonts w:ascii="Arial" w:hAnsi="Arial" w:cs="Arial"/>
                <w:sz w:val="16"/>
                <w:szCs w:val="16"/>
              </w:rPr>
            </w:pPr>
            <w:r w:rsidRPr="00A175D8">
              <w:rPr>
                <w:rFonts w:ascii="Arial" w:hAnsi="Arial" w:cs="Arial"/>
                <w:sz w:val="16"/>
                <w:szCs w:val="16"/>
              </w:rPr>
              <w:t>$'000</w:t>
            </w:r>
          </w:p>
        </w:tc>
      </w:tr>
      <w:tr w:rsidR="000F670D" w:rsidRPr="00A175D8" w14:paraId="7E30C75C" w14:textId="77777777" w:rsidTr="009D3766">
        <w:trPr>
          <w:trHeight w:val="204"/>
        </w:trPr>
        <w:tc>
          <w:tcPr>
            <w:tcW w:w="3119" w:type="dxa"/>
            <w:tcBorders>
              <w:top w:val="nil"/>
              <w:left w:val="nil"/>
              <w:bottom w:val="nil"/>
              <w:right w:val="nil"/>
            </w:tcBorders>
            <w:shd w:val="clear" w:color="auto" w:fill="auto"/>
            <w:noWrap/>
            <w:vAlign w:val="bottom"/>
            <w:hideMark/>
          </w:tcPr>
          <w:p w14:paraId="05BBF395" w14:textId="3FA399ED" w:rsidR="000F670D" w:rsidRPr="009D3766" w:rsidRDefault="000F670D" w:rsidP="00081844">
            <w:pPr>
              <w:spacing w:after="0" w:line="240" w:lineRule="auto"/>
              <w:jc w:val="left"/>
              <w:rPr>
                <w:rFonts w:ascii="Arial" w:hAnsi="Arial" w:cs="Arial"/>
                <w:b/>
                <w:bCs/>
                <w:sz w:val="16"/>
                <w:szCs w:val="16"/>
              </w:rPr>
            </w:pPr>
            <w:r w:rsidRPr="009D3766">
              <w:rPr>
                <w:rFonts w:ascii="Arial" w:hAnsi="Arial" w:cs="Arial"/>
                <w:b/>
                <w:bCs/>
                <w:sz w:val="16"/>
                <w:szCs w:val="16"/>
              </w:rPr>
              <w:t>Administered</w:t>
            </w:r>
          </w:p>
        </w:tc>
        <w:tc>
          <w:tcPr>
            <w:tcW w:w="1150" w:type="dxa"/>
            <w:tcBorders>
              <w:top w:val="single" w:sz="4" w:space="0" w:color="auto"/>
              <w:left w:val="nil"/>
              <w:bottom w:val="nil"/>
              <w:right w:val="nil"/>
            </w:tcBorders>
            <w:shd w:val="clear" w:color="auto" w:fill="auto"/>
            <w:noWrap/>
            <w:vAlign w:val="bottom"/>
            <w:hideMark/>
          </w:tcPr>
          <w:p w14:paraId="167C5F17" w14:textId="77777777" w:rsidR="000F670D" w:rsidRPr="009D3766" w:rsidRDefault="000F670D" w:rsidP="00BE272C">
            <w:pPr>
              <w:spacing w:after="0" w:line="240" w:lineRule="auto"/>
              <w:jc w:val="right"/>
              <w:rPr>
                <w:rFonts w:ascii="Arial" w:hAnsi="Arial" w:cs="Arial"/>
                <w:b/>
                <w:bCs/>
                <w:sz w:val="16"/>
                <w:szCs w:val="16"/>
              </w:rPr>
            </w:pPr>
          </w:p>
        </w:tc>
        <w:tc>
          <w:tcPr>
            <w:tcW w:w="1035" w:type="dxa"/>
            <w:tcBorders>
              <w:top w:val="single" w:sz="4" w:space="0" w:color="auto"/>
              <w:left w:val="nil"/>
              <w:bottom w:val="nil"/>
              <w:right w:val="nil"/>
            </w:tcBorders>
            <w:shd w:val="clear" w:color="auto" w:fill="auto"/>
            <w:noWrap/>
            <w:vAlign w:val="bottom"/>
            <w:hideMark/>
          </w:tcPr>
          <w:p w14:paraId="3C58C587" w14:textId="77777777" w:rsidR="000F670D" w:rsidRPr="009D3766" w:rsidRDefault="000F670D" w:rsidP="00BE272C">
            <w:pPr>
              <w:spacing w:after="0" w:line="240" w:lineRule="auto"/>
              <w:jc w:val="right"/>
              <w:rPr>
                <w:rFonts w:ascii="Arial" w:hAnsi="Arial" w:cs="Arial"/>
                <w:sz w:val="16"/>
                <w:szCs w:val="16"/>
              </w:rPr>
            </w:pPr>
          </w:p>
        </w:tc>
        <w:tc>
          <w:tcPr>
            <w:tcW w:w="1122" w:type="dxa"/>
            <w:tcBorders>
              <w:top w:val="single" w:sz="4" w:space="0" w:color="auto"/>
              <w:left w:val="nil"/>
              <w:bottom w:val="nil"/>
              <w:right w:val="nil"/>
            </w:tcBorders>
            <w:shd w:val="clear" w:color="auto" w:fill="auto"/>
            <w:noWrap/>
            <w:vAlign w:val="bottom"/>
            <w:hideMark/>
          </w:tcPr>
          <w:p w14:paraId="4759C93C" w14:textId="77777777" w:rsidR="000F670D" w:rsidRPr="009D3766" w:rsidRDefault="000F670D" w:rsidP="00BE272C">
            <w:pPr>
              <w:spacing w:after="0" w:line="240" w:lineRule="auto"/>
              <w:jc w:val="right"/>
              <w:rPr>
                <w:rFonts w:ascii="Arial" w:hAnsi="Arial" w:cs="Arial"/>
                <w:sz w:val="16"/>
                <w:szCs w:val="16"/>
              </w:rPr>
            </w:pPr>
          </w:p>
        </w:tc>
        <w:tc>
          <w:tcPr>
            <w:tcW w:w="1087" w:type="dxa"/>
            <w:gridSpan w:val="2"/>
            <w:tcBorders>
              <w:top w:val="single" w:sz="4" w:space="0" w:color="auto"/>
              <w:left w:val="nil"/>
              <w:bottom w:val="nil"/>
              <w:right w:val="nil"/>
            </w:tcBorders>
            <w:shd w:val="clear" w:color="auto" w:fill="E6E6E6"/>
            <w:noWrap/>
            <w:vAlign w:val="bottom"/>
            <w:hideMark/>
          </w:tcPr>
          <w:p w14:paraId="78660DEA" w14:textId="7857156B" w:rsidR="000F670D" w:rsidRPr="009D3766" w:rsidRDefault="000F670D" w:rsidP="00BE272C">
            <w:pPr>
              <w:spacing w:after="0" w:line="240" w:lineRule="auto"/>
              <w:jc w:val="right"/>
              <w:rPr>
                <w:rFonts w:ascii="Arial" w:hAnsi="Arial" w:cs="Arial"/>
                <w:sz w:val="16"/>
                <w:szCs w:val="16"/>
              </w:rPr>
            </w:pPr>
          </w:p>
        </w:tc>
      </w:tr>
      <w:tr w:rsidR="000F670D" w:rsidRPr="00A175D8" w14:paraId="747AB103" w14:textId="77777777" w:rsidTr="009D3766">
        <w:trPr>
          <w:trHeight w:val="204"/>
        </w:trPr>
        <w:tc>
          <w:tcPr>
            <w:tcW w:w="3119" w:type="dxa"/>
            <w:tcBorders>
              <w:top w:val="nil"/>
              <w:left w:val="nil"/>
              <w:bottom w:val="nil"/>
              <w:right w:val="nil"/>
            </w:tcBorders>
            <w:shd w:val="clear" w:color="auto" w:fill="auto"/>
            <w:noWrap/>
            <w:vAlign w:val="bottom"/>
            <w:hideMark/>
          </w:tcPr>
          <w:p w14:paraId="305D1048" w14:textId="77777777" w:rsidR="000F670D" w:rsidRPr="009D3766" w:rsidRDefault="000F670D" w:rsidP="00081844">
            <w:pPr>
              <w:spacing w:after="0" w:line="240" w:lineRule="auto"/>
              <w:jc w:val="left"/>
              <w:rPr>
                <w:rFonts w:ascii="Arial" w:hAnsi="Arial" w:cs="Arial"/>
                <w:sz w:val="16"/>
                <w:szCs w:val="16"/>
              </w:rPr>
            </w:pPr>
            <w:r w:rsidRPr="009D3766">
              <w:rPr>
                <w:rFonts w:ascii="Arial" w:hAnsi="Arial" w:cs="Arial"/>
                <w:sz w:val="16"/>
                <w:szCs w:val="16"/>
              </w:rPr>
              <w:t xml:space="preserve">Annual appropriations - ordinary annual services </w:t>
            </w:r>
            <w:r w:rsidRPr="009D3766">
              <w:rPr>
                <w:rFonts w:ascii="Arial" w:hAnsi="Arial" w:cs="Arial"/>
                <w:sz w:val="16"/>
                <w:szCs w:val="16"/>
                <w:vertAlign w:val="superscript"/>
              </w:rPr>
              <w:t>(b)</w:t>
            </w:r>
          </w:p>
        </w:tc>
        <w:tc>
          <w:tcPr>
            <w:tcW w:w="1150" w:type="dxa"/>
            <w:tcBorders>
              <w:top w:val="nil"/>
              <w:left w:val="nil"/>
              <w:bottom w:val="nil"/>
              <w:right w:val="nil"/>
            </w:tcBorders>
            <w:shd w:val="clear" w:color="auto" w:fill="auto"/>
            <w:noWrap/>
            <w:vAlign w:val="bottom"/>
            <w:hideMark/>
          </w:tcPr>
          <w:p w14:paraId="7D46575F" w14:textId="77777777" w:rsidR="000F670D" w:rsidRPr="009D3766" w:rsidRDefault="000F670D" w:rsidP="00A175D8">
            <w:pPr>
              <w:spacing w:after="0" w:line="240" w:lineRule="auto"/>
              <w:jc w:val="right"/>
              <w:rPr>
                <w:rFonts w:ascii="Arial" w:hAnsi="Arial" w:cs="Arial"/>
                <w:sz w:val="16"/>
                <w:szCs w:val="16"/>
              </w:rPr>
            </w:pPr>
          </w:p>
        </w:tc>
        <w:tc>
          <w:tcPr>
            <w:tcW w:w="1035" w:type="dxa"/>
            <w:tcBorders>
              <w:top w:val="nil"/>
              <w:left w:val="nil"/>
              <w:bottom w:val="nil"/>
              <w:right w:val="nil"/>
            </w:tcBorders>
            <w:shd w:val="clear" w:color="auto" w:fill="auto"/>
            <w:noWrap/>
            <w:vAlign w:val="bottom"/>
            <w:hideMark/>
          </w:tcPr>
          <w:p w14:paraId="0E92C0B7" w14:textId="77777777" w:rsidR="000F670D" w:rsidRPr="009D3766" w:rsidRDefault="000F670D" w:rsidP="00A175D8">
            <w:pPr>
              <w:spacing w:after="0" w:line="240" w:lineRule="auto"/>
              <w:jc w:val="right"/>
              <w:rPr>
                <w:rFonts w:ascii="Arial" w:hAnsi="Arial" w:cs="Arial"/>
                <w:sz w:val="16"/>
                <w:szCs w:val="16"/>
              </w:rPr>
            </w:pPr>
          </w:p>
        </w:tc>
        <w:tc>
          <w:tcPr>
            <w:tcW w:w="1122" w:type="dxa"/>
            <w:tcBorders>
              <w:top w:val="nil"/>
              <w:left w:val="nil"/>
              <w:bottom w:val="nil"/>
              <w:right w:val="nil"/>
            </w:tcBorders>
            <w:shd w:val="clear" w:color="auto" w:fill="auto"/>
            <w:noWrap/>
            <w:vAlign w:val="bottom"/>
            <w:hideMark/>
          </w:tcPr>
          <w:p w14:paraId="767A0A1F" w14:textId="77777777" w:rsidR="000F670D" w:rsidRPr="009D3766" w:rsidRDefault="000F670D" w:rsidP="00A175D8">
            <w:pPr>
              <w:spacing w:after="0" w:line="240" w:lineRule="auto"/>
              <w:jc w:val="right"/>
              <w:rPr>
                <w:rFonts w:ascii="Arial" w:hAnsi="Arial" w:cs="Arial"/>
                <w:sz w:val="16"/>
                <w:szCs w:val="16"/>
              </w:rPr>
            </w:pPr>
          </w:p>
        </w:tc>
        <w:tc>
          <w:tcPr>
            <w:tcW w:w="1087" w:type="dxa"/>
            <w:gridSpan w:val="2"/>
            <w:tcBorders>
              <w:top w:val="nil"/>
              <w:left w:val="nil"/>
              <w:bottom w:val="nil"/>
              <w:right w:val="nil"/>
            </w:tcBorders>
            <w:shd w:val="clear" w:color="auto" w:fill="E6E6E6"/>
            <w:noWrap/>
            <w:vAlign w:val="bottom"/>
            <w:hideMark/>
          </w:tcPr>
          <w:p w14:paraId="227EC5E5" w14:textId="3FDDAF05" w:rsidR="000F670D" w:rsidRPr="009D3766" w:rsidRDefault="000F670D" w:rsidP="00A175D8">
            <w:pPr>
              <w:spacing w:after="0" w:line="240" w:lineRule="auto"/>
              <w:jc w:val="right"/>
              <w:rPr>
                <w:rFonts w:ascii="Arial" w:hAnsi="Arial" w:cs="Arial"/>
                <w:sz w:val="16"/>
                <w:szCs w:val="16"/>
              </w:rPr>
            </w:pPr>
          </w:p>
        </w:tc>
      </w:tr>
      <w:tr w:rsidR="00724C2D" w:rsidRPr="00A175D8" w14:paraId="03F94B6D" w14:textId="77777777" w:rsidTr="00724C2D">
        <w:trPr>
          <w:trHeight w:val="204"/>
        </w:trPr>
        <w:tc>
          <w:tcPr>
            <w:tcW w:w="3119" w:type="dxa"/>
            <w:tcBorders>
              <w:top w:val="nil"/>
              <w:left w:val="nil"/>
              <w:bottom w:val="nil"/>
              <w:right w:val="nil"/>
            </w:tcBorders>
            <w:shd w:val="clear" w:color="auto" w:fill="auto"/>
            <w:noWrap/>
            <w:vAlign w:val="bottom"/>
            <w:hideMark/>
          </w:tcPr>
          <w:p w14:paraId="21E5C397" w14:textId="3F2F57BF"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Prior year appropriations available </w:t>
            </w:r>
            <w:r w:rsidRPr="009D3766">
              <w:rPr>
                <w:rFonts w:ascii="Arial" w:hAnsi="Arial" w:cs="Arial"/>
                <w:sz w:val="16"/>
                <w:szCs w:val="16"/>
                <w:vertAlign w:val="superscript"/>
              </w:rPr>
              <w:t>(c)</w:t>
            </w:r>
          </w:p>
        </w:tc>
        <w:tc>
          <w:tcPr>
            <w:tcW w:w="1150" w:type="dxa"/>
            <w:tcBorders>
              <w:top w:val="nil"/>
              <w:left w:val="nil"/>
              <w:bottom w:val="nil"/>
              <w:right w:val="nil"/>
            </w:tcBorders>
            <w:shd w:val="clear" w:color="auto" w:fill="auto"/>
            <w:noWrap/>
            <w:vAlign w:val="bottom"/>
            <w:hideMark/>
          </w:tcPr>
          <w:p w14:paraId="068D494E" w14:textId="3A0E8FAC"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1,852,486 </w:t>
            </w:r>
          </w:p>
        </w:tc>
        <w:tc>
          <w:tcPr>
            <w:tcW w:w="1035" w:type="dxa"/>
            <w:tcBorders>
              <w:top w:val="nil"/>
              <w:left w:val="nil"/>
              <w:bottom w:val="nil"/>
              <w:right w:val="nil"/>
            </w:tcBorders>
            <w:shd w:val="clear" w:color="auto" w:fill="auto"/>
            <w:noWrap/>
            <w:vAlign w:val="bottom"/>
            <w:hideMark/>
          </w:tcPr>
          <w:p w14:paraId="7541F9D1" w14:textId="65570305"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1,551,941 </w:t>
            </w:r>
          </w:p>
        </w:tc>
        <w:tc>
          <w:tcPr>
            <w:tcW w:w="1122" w:type="dxa"/>
            <w:tcBorders>
              <w:top w:val="nil"/>
              <w:left w:val="nil"/>
              <w:bottom w:val="nil"/>
              <w:right w:val="nil"/>
            </w:tcBorders>
            <w:shd w:val="clear" w:color="auto" w:fill="auto"/>
            <w:noWrap/>
            <w:vAlign w:val="bottom"/>
            <w:hideMark/>
          </w:tcPr>
          <w:p w14:paraId="1B15CD72" w14:textId="04B01105"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 </w:t>
            </w:r>
          </w:p>
        </w:tc>
        <w:tc>
          <w:tcPr>
            <w:tcW w:w="1087" w:type="dxa"/>
            <w:gridSpan w:val="2"/>
            <w:tcBorders>
              <w:top w:val="nil"/>
              <w:left w:val="nil"/>
              <w:bottom w:val="nil"/>
              <w:right w:val="nil"/>
            </w:tcBorders>
            <w:shd w:val="clear" w:color="auto" w:fill="E6E6E6"/>
            <w:noWrap/>
            <w:vAlign w:val="bottom"/>
            <w:hideMark/>
          </w:tcPr>
          <w:p w14:paraId="30B75309" w14:textId="46645F9A"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1,551,941 </w:t>
            </w:r>
          </w:p>
        </w:tc>
      </w:tr>
      <w:tr w:rsidR="00724C2D" w:rsidRPr="00A175D8" w14:paraId="62801FA8" w14:textId="77777777" w:rsidTr="00724C2D">
        <w:trPr>
          <w:trHeight w:val="204"/>
        </w:trPr>
        <w:tc>
          <w:tcPr>
            <w:tcW w:w="3119" w:type="dxa"/>
            <w:tcBorders>
              <w:top w:val="nil"/>
              <w:left w:val="nil"/>
              <w:bottom w:val="nil"/>
              <w:right w:val="nil"/>
            </w:tcBorders>
            <w:shd w:val="clear" w:color="auto" w:fill="auto"/>
            <w:noWrap/>
            <w:vAlign w:val="bottom"/>
            <w:hideMark/>
          </w:tcPr>
          <w:p w14:paraId="0DCF4F32" w14:textId="77777777"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Outcome 1</w:t>
            </w:r>
          </w:p>
        </w:tc>
        <w:tc>
          <w:tcPr>
            <w:tcW w:w="1150" w:type="dxa"/>
            <w:tcBorders>
              <w:top w:val="nil"/>
              <w:left w:val="nil"/>
              <w:bottom w:val="nil"/>
              <w:right w:val="nil"/>
            </w:tcBorders>
            <w:shd w:val="clear" w:color="auto" w:fill="auto"/>
            <w:noWrap/>
            <w:vAlign w:val="bottom"/>
            <w:hideMark/>
          </w:tcPr>
          <w:p w14:paraId="651DE649" w14:textId="39C47A38"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299,900 </w:t>
            </w:r>
          </w:p>
        </w:tc>
        <w:tc>
          <w:tcPr>
            <w:tcW w:w="1035" w:type="dxa"/>
            <w:tcBorders>
              <w:top w:val="nil"/>
              <w:left w:val="nil"/>
              <w:bottom w:val="nil"/>
              <w:right w:val="nil"/>
            </w:tcBorders>
            <w:shd w:val="clear" w:color="auto" w:fill="auto"/>
            <w:noWrap/>
            <w:vAlign w:val="bottom"/>
            <w:hideMark/>
          </w:tcPr>
          <w:p w14:paraId="47187668" w14:textId="0B776AC8"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346,788 </w:t>
            </w:r>
          </w:p>
        </w:tc>
        <w:tc>
          <w:tcPr>
            <w:tcW w:w="1122" w:type="dxa"/>
            <w:tcBorders>
              <w:top w:val="nil"/>
              <w:left w:val="nil"/>
              <w:bottom w:val="nil"/>
              <w:right w:val="nil"/>
            </w:tcBorders>
            <w:shd w:val="clear" w:color="auto" w:fill="auto"/>
            <w:noWrap/>
            <w:vAlign w:val="bottom"/>
            <w:hideMark/>
          </w:tcPr>
          <w:p w14:paraId="161DB744" w14:textId="113B07B7"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(21)</w:t>
            </w:r>
          </w:p>
        </w:tc>
        <w:tc>
          <w:tcPr>
            <w:tcW w:w="1087" w:type="dxa"/>
            <w:gridSpan w:val="2"/>
            <w:tcBorders>
              <w:top w:val="nil"/>
              <w:left w:val="nil"/>
              <w:bottom w:val="nil"/>
              <w:right w:val="nil"/>
            </w:tcBorders>
            <w:shd w:val="clear" w:color="auto" w:fill="E6E6E6"/>
            <w:noWrap/>
            <w:vAlign w:val="bottom"/>
            <w:hideMark/>
          </w:tcPr>
          <w:p w14:paraId="3232D0C7" w14:textId="40B75820"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346,767 </w:t>
            </w:r>
          </w:p>
        </w:tc>
      </w:tr>
      <w:tr w:rsidR="00724C2D" w:rsidRPr="00A175D8" w14:paraId="6F5A2AA1" w14:textId="77777777" w:rsidTr="00724C2D">
        <w:trPr>
          <w:trHeight w:val="204"/>
        </w:trPr>
        <w:tc>
          <w:tcPr>
            <w:tcW w:w="3119" w:type="dxa"/>
            <w:tcBorders>
              <w:top w:val="nil"/>
              <w:left w:val="nil"/>
              <w:bottom w:val="nil"/>
              <w:right w:val="nil"/>
            </w:tcBorders>
            <w:shd w:val="clear" w:color="auto" w:fill="auto"/>
            <w:noWrap/>
            <w:vAlign w:val="bottom"/>
            <w:hideMark/>
          </w:tcPr>
          <w:p w14:paraId="684B672A" w14:textId="77777777"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Outcome 2</w:t>
            </w:r>
          </w:p>
        </w:tc>
        <w:tc>
          <w:tcPr>
            <w:tcW w:w="1150" w:type="dxa"/>
            <w:tcBorders>
              <w:top w:val="nil"/>
              <w:left w:val="nil"/>
              <w:bottom w:val="nil"/>
              <w:right w:val="nil"/>
            </w:tcBorders>
            <w:shd w:val="clear" w:color="auto" w:fill="auto"/>
            <w:noWrap/>
            <w:vAlign w:val="bottom"/>
            <w:hideMark/>
          </w:tcPr>
          <w:p w14:paraId="2FC1AF1E" w14:textId="0985DF0B"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1,149,821 </w:t>
            </w:r>
          </w:p>
        </w:tc>
        <w:tc>
          <w:tcPr>
            <w:tcW w:w="1035" w:type="dxa"/>
            <w:tcBorders>
              <w:top w:val="nil"/>
              <w:left w:val="nil"/>
              <w:bottom w:val="nil"/>
              <w:right w:val="nil"/>
            </w:tcBorders>
            <w:shd w:val="clear" w:color="auto" w:fill="auto"/>
            <w:noWrap/>
            <w:vAlign w:val="bottom"/>
            <w:hideMark/>
          </w:tcPr>
          <w:p w14:paraId="3467EB37" w14:textId="63DD654C"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1,104,484 </w:t>
            </w:r>
          </w:p>
        </w:tc>
        <w:tc>
          <w:tcPr>
            <w:tcW w:w="1122" w:type="dxa"/>
            <w:tcBorders>
              <w:top w:val="nil"/>
              <w:left w:val="nil"/>
              <w:bottom w:val="nil"/>
              <w:right w:val="nil"/>
            </w:tcBorders>
            <w:shd w:val="clear" w:color="auto" w:fill="auto"/>
            <w:noWrap/>
            <w:vAlign w:val="bottom"/>
            <w:hideMark/>
          </w:tcPr>
          <w:p w14:paraId="438D4809" w14:textId="4467F78D"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685,522 </w:t>
            </w:r>
          </w:p>
        </w:tc>
        <w:tc>
          <w:tcPr>
            <w:tcW w:w="1087" w:type="dxa"/>
            <w:gridSpan w:val="2"/>
            <w:tcBorders>
              <w:top w:val="nil"/>
              <w:left w:val="nil"/>
              <w:bottom w:val="nil"/>
              <w:right w:val="nil"/>
            </w:tcBorders>
            <w:shd w:val="clear" w:color="auto" w:fill="E6E6E6"/>
            <w:noWrap/>
            <w:vAlign w:val="bottom"/>
            <w:hideMark/>
          </w:tcPr>
          <w:p w14:paraId="18BEEB6B" w14:textId="42408E80"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1,790,006 </w:t>
            </w:r>
          </w:p>
        </w:tc>
      </w:tr>
      <w:tr w:rsidR="00724C2D" w:rsidRPr="00A175D8" w14:paraId="6E50F15E" w14:textId="77777777" w:rsidTr="00724C2D">
        <w:trPr>
          <w:trHeight w:val="204"/>
        </w:trPr>
        <w:tc>
          <w:tcPr>
            <w:tcW w:w="3119" w:type="dxa"/>
            <w:tcBorders>
              <w:top w:val="nil"/>
              <w:left w:val="nil"/>
              <w:bottom w:val="nil"/>
              <w:right w:val="nil"/>
            </w:tcBorders>
            <w:shd w:val="clear" w:color="auto" w:fill="auto"/>
            <w:noWrap/>
            <w:vAlign w:val="bottom"/>
            <w:hideMark/>
          </w:tcPr>
          <w:p w14:paraId="71225C9E" w14:textId="1C3E3B1B"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Outcome 3</w:t>
            </w:r>
            <w:r w:rsidRPr="009D3766">
              <w:rPr>
                <w:rFonts w:ascii="Arial" w:hAnsi="Arial" w:cs="Arial"/>
                <w:sz w:val="16"/>
                <w:szCs w:val="16"/>
                <w:vertAlign w:val="superscript"/>
              </w:rPr>
              <w:t xml:space="preserve"> (p)</w:t>
            </w:r>
          </w:p>
        </w:tc>
        <w:tc>
          <w:tcPr>
            <w:tcW w:w="1150" w:type="dxa"/>
            <w:tcBorders>
              <w:top w:val="nil"/>
              <w:left w:val="nil"/>
              <w:bottom w:val="nil"/>
              <w:right w:val="nil"/>
            </w:tcBorders>
            <w:shd w:val="clear" w:color="auto" w:fill="auto"/>
            <w:noWrap/>
            <w:vAlign w:val="bottom"/>
            <w:hideMark/>
          </w:tcPr>
          <w:p w14:paraId="4E481C99" w14:textId="3EFFFA03"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655,608 </w:t>
            </w:r>
          </w:p>
        </w:tc>
        <w:tc>
          <w:tcPr>
            <w:tcW w:w="1035" w:type="dxa"/>
            <w:tcBorders>
              <w:top w:val="nil"/>
              <w:left w:val="nil"/>
              <w:bottom w:val="nil"/>
              <w:right w:val="nil"/>
            </w:tcBorders>
            <w:shd w:val="clear" w:color="auto" w:fill="auto"/>
            <w:noWrap/>
            <w:vAlign w:val="bottom"/>
            <w:hideMark/>
          </w:tcPr>
          <w:p w14:paraId="3F7DF585" w14:textId="578634DC"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637,924 </w:t>
            </w:r>
          </w:p>
        </w:tc>
        <w:tc>
          <w:tcPr>
            <w:tcW w:w="1122" w:type="dxa"/>
            <w:tcBorders>
              <w:top w:val="nil"/>
              <w:left w:val="nil"/>
              <w:bottom w:val="nil"/>
              <w:right w:val="nil"/>
            </w:tcBorders>
            <w:shd w:val="clear" w:color="auto" w:fill="auto"/>
            <w:noWrap/>
            <w:vAlign w:val="bottom"/>
            <w:hideMark/>
          </w:tcPr>
          <w:p w14:paraId="75B6FD9B" w14:textId="647A5EC3"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3,000 </w:t>
            </w:r>
          </w:p>
        </w:tc>
        <w:tc>
          <w:tcPr>
            <w:tcW w:w="1087" w:type="dxa"/>
            <w:gridSpan w:val="2"/>
            <w:tcBorders>
              <w:top w:val="nil"/>
              <w:left w:val="nil"/>
              <w:bottom w:val="nil"/>
              <w:right w:val="nil"/>
            </w:tcBorders>
            <w:shd w:val="clear" w:color="auto" w:fill="E6E6E6"/>
            <w:noWrap/>
            <w:vAlign w:val="bottom"/>
            <w:hideMark/>
          </w:tcPr>
          <w:p w14:paraId="20300C34" w14:textId="1A4C8692"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640,924 </w:t>
            </w:r>
          </w:p>
        </w:tc>
      </w:tr>
      <w:tr w:rsidR="00724C2D" w:rsidRPr="00A175D8" w14:paraId="3B200882" w14:textId="77777777" w:rsidTr="00724C2D">
        <w:trPr>
          <w:trHeight w:val="204"/>
        </w:trPr>
        <w:tc>
          <w:tcPr>
            <w:tcW w:w="3119" w:type="dxa"/>
            <w:tcBorders>
              <w:top w:val="nil"/>
              <w:left w:val="nil"/>
              <w:bottom w:val="nil"/>
              <w:right w:val="nil"/>
            </w:tcBorders>
            <w:shd w:val="clear" w:color="auto" w:fill="auto"/>
            <w:noWrap/>
            <w:vAlign w:val="bottom"/>
            <w:hideMark/>
          </w:tcPr>
          <w:p w14:paraId="3248921E" w14:textId="3DF51B37"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Outcome 4 </w:t>
            </w:r>
          </w:p>
        </w:tc>
        <w:tc>
          <w:tcPr>
            <w:tcW w:w="1150" w:type="dxa"/>
            <w:tcBorders>
              <w:top w:val="nil"/>
              <w:left w:val="nil"/>
              <w:bottom w:val="nil"/>
              <w:right w:val="nil"/>
            </w:tcBorders>
            <w:shd w:val="clear" w:color="auto" w:fill="auto"/>
            <w:noWrap/>
            <w:vAlign w:val="bottom"/>
            <w:hideMark/>
          </w:tcPr>
          <w:p w14:paraId="251A6330" w14:textId="60506857"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222,303 </w:t>
            </w:r>
          </w:p>
        </w:tc>
        <w:tc>
          <w:tcPr>
            <w:tcW w:w="1035" w:type="dxa"/>
            <w:tcBorders>
              <w:top w:val="nil"/>
              <w:left w:val="nil"/>
              <w:bottom w:val="nil"/>
              <w:right w:val="nil"/>
            </w:tcBorders>
            <w:shd w:val="clear" w:color="auto" w:fill="auto"/>
            <w:noWrap/>
            <w:vAlign w:val="bottom"/>
            <w:hideMark/>
          </w:tcPr>
          <w:p w14:paraId="005BFD8F" w14:textId="36EDDC29"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175,709 </w:t>
            </w:r>
          </w:p>
        </w:tc>
        <w:tc>
          <w:tcPr>
            <w:tcW w:w="1122" w:type="dxa"/>
            <w:tcBorders>
              <w:top w:val="nil"/>
              <w:left w:val="nil"/>
              <w:bottom w:val="nil"/>
              <w:right w:val="nil"/>
            </w:tcBorders>
            <w:shd w:val="clear" w:color="auto" w:fill="auto"/>
            <w:noWrap/>
            <w:vAlign w:val="bottom"/>
            <w:hideMark/>
          </w:tcPr>
          <w:p w14:paraId="7E65B282" w14:textId="2363FACC"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39,672 </w:t>
            </w:r>
          </w:p>
        </w:tc>
        <w:tc>
          <w:tcPr>
            <w:tcW w:w="1087" w:type="dxa"/>
            <w:gridSpan w:val="2"/>
            <w:tcBorders>
              <w:top w:val="nil"/>
              <w:left w:val="nil"/>
              <w:bottom w:val="nil"/>
              <w:right w:val="nil"/>
            </w:tcBorders>
            <w:shd w:val="clear" w:color="auto" w:fill="E6E6E6"/>
            <w:noWrap/>
            <w:vAlign w:val="bottom"/>
            <w:hideMark/>
          </w:tcPr>
          <w:p w14:paraId="654FA2A9" w14:textId="09243963"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215,381 </w:t>
            </w:r>
          </w:p>
        </w:tc>
      </w:tr>
      <w:tr w:rsidR="00724C2D" w:rsidRPr="00A175D8" w14:paraId="47C23028" w14:textId="77777777" w:rsidTr="00724C2D">
        <w:trPr>
          <w:trHeight w:val="204"/>
        </w:trPr>
        <w:tc>
          <w:tcPr>
            <w:tcW w:w="3119" w:type="dxa"/>
            <w:tcBorders>
              <w:top w:val="nil"/>
              <w:left w:val="nil"/>
              <w:bottom w:val="nil"/>
              <w:right w:val="nil"/>
            </w:tcBorders>
            <w:shd w:val="clear" w:color="auto" w:fill="auto"/>
            <w:noWrap/>
            <w:vAlign w:val="bottom"/>
            <w:hideMark/>
          </w:tcPr>
          <w:p w14:paraId="56F33845" w14:textId="6246B332"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Outcome 5 </w:t>
            </w:r>
          </w:p>
        </w:tc>
        <w:tc>
          <w:tcPr>
            <w:tcW w:w="1150" w:type="dxa"/>
            <w:tcBorders>
              <w:top w:val="nil"/>
              <w:left w:val="nil"/>
              <w:bottom w:val="nil"/>
              <w:right w:val="nil"/>
            </w:tcBorders>
            <w:shd w:val="clear" w:color="auto" w:fill="auto"/>
            <w:noWrap/>
            <w:vAlign w:val="bottom"/>
            <w:hideMark/>
          </w:tcPr>
          <w:p w14:paraId="4BC28F20" w14:textId="5FFB7C41"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294,817 </w:t>
            </w:r>
          </w:p>
        </w:tc>
        <w:tc>
          <w:tcPr>
            <w:tcW w:w="1035" w:type="dxa"/>
            <w:tcBorders>
              <w:top w:val="nil"/>
              <w:left w:val="nil"/>
              <w:bottom w:val="nil"/>
              <w:right w:val="nil"/>
            </w:tcBorders>
            <w:shd w:val="clear" w:color="auto" w:fill="auto"/>
            <w:noWrap/>
            <w:vAlign w:val="bottom"/>
            <w:hideMark/>
          </w:tcPr>
          <w:p w14:paraId="01F99339" w14:textId="7CC0C94E"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309,369 </w:t>
            </w:r>
          </w:p>
        </w:tc>
        <w:tc>
          <w:tcPr>
            <w:tcW w:w="1122" w:type="dxa"/>
            <w:tcBorders>
              <w:top w:val="nil"/>
              <w:left w:val="nil"/>
              <w:bottom w:val="nil"/>
              <w:right w:val="nil"/>
            </w:tcBorders>
            <w:shd w:val="clear" w:color="auto" w:fill="auto"/>
            <w:noWrap/>
            <w:vAlign w:val="bottom"/>
            <w:hideMark/>
          </w:tcPr>
          <w:p w14:paraId="14E528F7" w14:textId="5CC577D3"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4,874 </w:t>
            </w:r>
          </w:p>
        </w:tc>
        <w:tc>
          <w:tcPr>
            <w:tcW w:w="1087" w:type="dxa"/>
            <w:gridSpan w:val="2"/>
            <w:tcBorders>
              <w:top w:val="nil"/>
              <w:left w:val="nil"/>
              <w:bottom w:val="nil"/>
              <w:right w:val="nil"/>
            </w:tcBorders>
            <w:shd w:val="clear" w:color="auto" w:fill="E6E6E6"/>
            <w:noWrap/>
            <w:vAlign w:val="bottom"/>
            <w:hideMark/>
          </w:tcPr>
          <w:p w14:paraId="4F493D51" w14:textId="00B9EF62"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314,243 </w:t>
            </w:r>
          </w:p>
        </w:tc>
      </w:tr>
      <w:tr w:rsidR="00724C2D" w:rsidRPr="00A175D8" w14:paraId="415EF57C" w14:textId="77777777" w:rsidTr="00724C2D">
        <w:trPr>
          <w:trHeight w:val="204"/>
        </w:trPr>
        <w:tc>
          <w:tcPr>
            <w:tcW w:w="3119" w:type="dxa"/>
            <w:tcBorders>
              <w:top w:val="nil"/>
              <w:left w:val="nil"/>
              <w:bottom w:val="nil"/>
              <w:right w:val="nil"/>
            </w:tcBorders>
            <w:shd w:val="clear" w:color="auto" w:fill="auto"/>
            <w:noWrap/>
            <w:vAlign w:val="bottom"/>
            <w:hideMark/>
          </w:tcPr>
          <w:p w14:paraId="7FBE3F4D" w14:textId="77777777"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Outcome 6</w:t>
            </w:r>
          </w:p>
        </w:tc>
        <w:tc>
          <w:tcPr>
            <w:tcW w:w="1150" w:type="dxa"/>
            <w:tcBorders>
              <w:top w:val="nil"/>
              <w:left w:val="nil"/>
              <w:bottom w:val="nil"/>
              <w:right w:val="nil"/>
            </w:tcBorders>
            <w:shd w:val="clear" w:color="auto" w:fill="auto"/>
            <w:noWrap/>
            <w:vAlign w:val="bottom"/>
            <w:hideMark/>
          </w:tcPr>
          <w:p w14:paraId="408F65D5" w14:textId="5C7A743C"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425,769 </w:t>
            </w:r>
          </w:p>
        </w:tc>
        <w:tc>
          <w:tcPr>
            <w:tcW w:w="1035" w:type="dxa"/>
            <w:tcBorders>
              <w:top w:val="nil"/>
              <w:left w:val="nil"/>
              <w:bottom w:val="nil"/>
              <w:right w:val="nil"/>
            </w:tcBorders>
            <w:shd w:val="clear" w:color="auto" w:fill="auto"/>
            <w:noWrap/>
            <w:vAlign w:val="bottom"/>
            <w:hideMark/>
          </w:tcPr>
          <w:p w14:paraId="584275C4" w14:textId="2E638096"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430,263 </w:t>
            </w:r>
          </w:p>
        </w:tc>
        <w:tc>
          <w:tcPr>
            <w:tcW w:w="1122" w:type="dxa"/>
            <w:tcBorders>
              <w:top w:val="nil"/>
              <w:left w:val="nil"/>
              <w:bottom w:val="nil"/>
              <w:right w:val="nil"/>
            </w:tcBorders>
            <w:shd w:val="clear" w:color="auto" w:fill="auto"/>
            <w:noWrap/>
            <w:vAlign w:val="bottom"/>
            <w:hideMark/>
          </w:tcPr>
          <w:p w14:paraId="696C3B7F" w14:textId="13633C75"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48,600 </w:t>
            </w:r>
          </w:p>
        </w:tc>
        <w:tc>
          <w:tcPr>
            <w:tcW w:w="1087" w:type="dxa"/>
            <w:gridSpan w:val="2"/>
            <w:tcBorders>
              <w:top w:val="nil"/>
              <w:left w:val="nil"/>
              <w:bottom w:val="nil"/>
              <w:right w:val="nil"/>
            </w:tcBorders>
            <w:shd w:val="clear" w:color="auto" w:fill="E6E6E6"/>
            <w:noWrap/>
            <w:vAlign w:val="bottom"/>
            <w:hideMark/>
          </w:tcPr>
          <w:p w14:paraId="67624E33" w14:textId="30F54791"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478,863 </w:t>
            </w:r>
          </w:p>
        </w:tc>
      </w:tr>
      <w:tr w:rsidR="00724C2D" w:rsidRPr="00A175D8" w14:paraId="1D56A917" w14:textId="77777777" w:rsidTr="00724C2D">
        <w:trPr>
          <w:trHeight w:val="204"/>
        </w:trPr>
        <w:tc>
          <w:tcPr>
            <w:tcW w:w="3119" w:type="dxa"/>
            <w:tcBorders>
              <w:top w:val="nil"/>
              <w:left w:val="nil"/>
              <w:bottom w:val="nil"/>
              <w:right w:val="nil"/>
            </w:tcBorders>
            <w:shd w:val="clear" w:color="auto" w:fill="auto"/>
            <w:noWrap/>
            <w:vAlign w:val="bottom"/>
            <w:hideMark/>
          </w:tcPr>
          <w:p w14:paraId="72FC72A8" w14:textId="32D9D2A8"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Administered capital budget </w:t>
            </w:r>
            <w:r w:rsidRPr="009D3766">
              <w:rPr>
                <w:rFonts w:ascii="Arial" w:hAnsi="Arial" w:cs="Arial"/>
                <w:sz w:val="16"/>
                <w:szCs w:val="16"/>
                <w:vertAlign w:val="superscript"/>
              </w:rPr>
              <w:t>(g)</w:t>
            </w:r>
          </w:p>
        </w:tc>
        <w:tc>
          <w:tcPr>
            <w:tcW w:w="1150" w:type="dxa"/>
            <w:tcBorders>
              <w:top w:val="nil"/>
              <w:left w:val="nil"/>
              <w:bottom w:val="nil"/>
              <w:right w:val="nil"/>
            </w:tcBorders>
            <w:shd w:val="clear" w:color="auto" w:fill="auto"/>
            <w:noWrap/>
            <w:vAlign w:val="bottom"/>
            <w:hideMark/>
          </w:tcPr>
          <w:p w14:paraId="59C7845A" w14:textId="438D426F"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18,946 </w:t>
            </w:r>
          </w:p>
        </w:tc>
        <w:tc>
          <w:tcPr>
            <w:tcW w:w="1035" w:type="dxa"/>
            <w:tcBorders>
              <w:top w:val="nil"/>
              <w:left w:val="nil"/>
              <w:bottom w:val="nil"/>
              <w:right w:val="nil"/>
            </w:tcBorders>
            <w:shd w:val="clear" w:color="auto" w:fill="auto"/>
            <w:noWrap/>
            <w:vAlign w:val="bottom"/>
            <w:hideMark/>
          </w:tcPr>
          <w:p w14:paraId="562D4B22" w14:textId="14104603"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17,758 </w:t>
            </w:r>
          </w:p>
        </w:tc>
        <w:tc>
          <w:tcPr>
            <w:tcW w:w="1122" w:type="dxa"/>
            <w:tcBorders>
              <w:top w:val="nil"/>
              <w:left w:val="nil"/>
              <w:bottom w:val="nil"/>
              <w:right w:val="nil"/>
            </w:tcBorders>
            <w:shd w:val="clear" w:color="auto" w:fill="auto"/>
            <w:noWrap/>
            <w:vAlign w:val="bottom"/>
            <w:hideMark/>
          </w:tcPr>
          <w:p w14:paraId="2AD58691" w14:textId="6318F84B"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2,099 </w:t>
            </w:r>
          </w:p>
        </w:tc>
        <w:tc>
          <w:tcPr>
            <w:tcW w:w="1087" w:type="dxa"/>
            <w:gridSpan w:val="2"/>
            <w:tcBorders>
              <w:top w:val="nil"/>
              <w:left w:val="nil"/>
              <w:bottom w:val="nil"/>
              <w:right w:val="nil"/>
            </w:tcBorders>
            <w:shd w:val="clear" w:color="auto" w:fill="E6E6E6"/>
            <w:noWrap/>
            <w:vAlign w:val="bottom"/>
            <w:hideMark/>
          </w:tcPr>
          <w:p w14:paraId="56F2027F" w14:textId="4BF8B025"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19,857 </w:t>
            </w:r>
          </w:p>
        </w:tc>
      </w:tr>
      <w:tr w:rsidR="00724C2D" w:rsidRPr="00A175D8" w14:paraId="2329BAA4" w14:textId="77777777" w:rsidTr="00724C2D">
        <w:trPr>
          <w:trHeight w:val="204"/>
        </w:trPr>
        <w:tc>
          <w:tcPr>
            <w:tcW w:w="3119" w:type="dxa"/>
            <w:tcBorders>
              <w:top w:val="nil"/>
              <w:left w:val="nil"/>
              <w:bottom w:val="nil"/>
              <w:right w:val="nil"/>
            </w:tcBorders>
            <w:shd w:val="clear" w:color="auto" w:fill="auto"/>
            <w:noWrap/>
            <w:vAlign w:val="bottom"/>
            <w:hideMark/>
          </w:tcPr>
          <w:p w14:paraId="20A1A0DD" w14:textId="7D38E34E"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Payments to corporate entities </w:t>
            </w:r>
            <w:r w:rsidRPr="009D3766">
              <w:rPr>
                <w:rFonts w:ascii="Arial" w:hAnsi="Arial" w:cs="Arial"/>
                <w:sz w:val="16"/>
                <w:szCs w:val="16"/>
                <w:vertAlign w:val="superscript"/>
              </w:rPr>
              <w:t>(h)</w:t>
            </w:r>
          </w:p>
        </w:tc>
        <w:tc>
          <w:tcPr>
            <w:tcW w:w="1150" w:type="dxa"/>
            <w:tcBorders>
              <w:top w:val="nil"/>
              <w:left w:val="nil"/>
              <w:bottom w:val="nil"/>
              <w:right w:val="nil"/>
            </w:tcBorders>
            <w:shd w:val="clear" w:color="auto" w:fill="auto"/>
            <w:noWrap/>
            <w:vAlign w:val="bottom"/>
            <w:hideMark/>
          </w:tcPr>
          <w:p w14:paraId="73A4F907" w14:textId="6638C1E9"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2,060,440 </w:t>
            </w:r>
          </w:p>
        </w:tc>
        <w:tc>
          <w:tcPr>
            <w:tcW w:w="1035" w:type="dxa"/>
            <w:tcBorders>
              <w:top w:val="nil"/>
              <w:left w:val="nil"/>
              <w:bottom w:val="nil"/>
              <w:right w:val="nil"/>
            </w:tcBorders>
            <w:shd w:val="clear" w:color="auto" w:fill="auto"/>
            <w:noWrap/>
            <w:vAlign w:val="bottom"/>
            <w:hideMark/>
          </w:tcPr>
          <w:p w14:paraId="1AF26AF8" w14:textId="3F2C97D7"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2,079,427 </w:t>
            </w:r>
          </w:p>
        </w:tc>
        <w:tc>
          <w:tcPr>
            <w:tcW w:w="1122" w:type="dxa"/>
            <w:tcBorders>
              <w:top w:val="nil"/>
              <w:left w:val="nil"/>
              <w:bottom w:val="nil"/>
              <w:right w:val="nil"/>
            </w:tcBorders>
            <w:shd w:val="clear" w:color="auto" w:fill="auto"/>
            <w:noWrap/>
            <w:vAlign w:val="bottom"/>
            <w:hideMark/>
          </w:tcPr>
          <w:p w14:paraId="1CEC8FF3" w14:textId="5B1ABFFF"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37,211 </w:t>
            </w:r>
          </w:p>
        </w:tc>
        <w:tc>
          <w:tcPr>
            <w:tcW w:w="1087" w:type="dxa"/>
            <w:gridSpan w:val="2"/>
            <w:tcBorders>
              <w:top w:val="nil"/>
              <w:left w:val="nil"/>
              <w:bottom w:val="nil"/>
              <w:right w:val="nil"/>
            </w:tcBorders>
            <w:shd w:val="clear" w:color="auto" w:fill="E6E6E6"/>
            <w:noWrap/>
            <w:vAlign w:val="bottom"/>
            <w:hideMark/>
          </w:tcPr>
          <w:p w14:paraId="5630A4A9" w14:textId="5B3C87E7"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2,116,638 </w:t>
            </w:r>
          </w:p>
        </w:tc>
      </w:tr>
      <w:tr w:rsidR="00724C2D" w:rsidRPr="00A175D8" w14:paraId="16C910DE" w14:textId="77777777" w:rsidTr="00724C2D">
        <w:trPr>
          <w:trHeight w:val="204"/>
        </w:trPr>
        <w:tc>
          <w:tcPr>
            <w:tcW w:w="3119" w:type="dxa"/>
            <w:tcBorders>
              <w:top w:val="nil"/>
              <w:left w:val="nil"/>
              <w:bottom w:val="nil"/>
              <w:right w:val="nil"/>
            </w:tcBorders>
            <w:shd w:val="clear" w:color="auto" w:fill="auto"/>
            <w:noWrap/>
            <w:vAlign w:val="bottom"/>
          </w:tcPr>
          <w:p w14:paraId="57363692" w14:textId="76191507" w:rsidR="00724C2D" w:rsidRPr="009D3766" w:rsidRDefault="00724C2D" w:rsidP="00724C2D">
            <w:pPr>
              <w:spacing w:after="0" w:line="240" w:lineRule="auto"/>
              <w:jc w:val="left"/>
              <w:rPr>
                <w:rFonts w:ascii="Arial" w:hAnsi="Arial" w:cs="Arial"/>
                <w:sz w:val="16"/>
                <w:szCs w:val="16"/>
              </w:rPr>
            </w:pPr>
            <w:r w:rsidRPr="009D3766">
              <w:rPr>
                <w:rFonts w:ascii="Arial" w:hAnsi="Arial" w:cs="Arial"/>
                <w:sz w:val="16"/>
                <w:szCs w:val="16"/>
              </w:rPr>
              <w:t xml:space="preserve">Annual appropriations - other services - non-operating </w:t>
            </w:r>
            <w:r w:rsidRPr="009D3766">
              <w:rPr>
                <w:rFonts w:ascii="Arial" w:hAnsi="Arial" w:cs="Arial"/>
                <w:sz w:val="16"/>
                <w:szCs w:val="16"/>
                <w:vertAlign w:val="superscript"/>
              </w:rPr>
              <w:t>(</w:t>
            </w:r>
            <w:proofErr w:type="spellStart"/>
            <w:r w:rsidRPr="009D3766">
              <w:rPr>
                <w:rFonts w:ascii="Arial" w:hAnsi="Arial" w:cs="Arial"/>
                <w:sz w:val="16"/>
                <w:szCs w:val="16"/>
                <w:vertAlign w:val="superscript"/>
              </w:rPr>
              <w:t>i</w:t>
            </w:r>
            <w:proofErr w:type="spellEnd"/>
            <w:r w:rsidRPr="009D3766">
              <w:rPr>
                <w:rFonts w:ascii="Arial" w:hAnsi="Arial" w:cs="Arial"/>
                <w:sz w:val="16"/>
                <w:szCs w:val="16"/>
                <w:vertAlign w:val="superscript"/>
              </w:rPr>
              <w:t>)</w:t>
            </w:r>
          </w:p>
        </w:tc>
        <w:tc>
          <w:tcPr>
            <w:tcW w:w="1150" w:type="dxa"/>
            <w:tcBorders>
              <w:top w:val="nil"/>
              <w:left w:val="nil"/>
              <w:bottom w:val="nil"/>
              <w:right w:val="nil"/>
            </w:tcBorders>
            <w:shd w:val="clear" w:color="auto" w:fill="auto"/>
            <w:noWrap/>
            <w:vAlign w:val="bottom"/>
          </w:tcPr>
          <w:p w14:paraId="55D86D55" w14:textId="77777777" w:rsidR="00724C2D" w:rsidRPr="009D3766" w:rsidRDefault="00724C2D" w:rsidP="00724C2D">
            <w:pPr>
              <w:spacing w:after="0" w:line="240" w:lineRule="auto"/>
              <w:jc w:val="right"/>
              <w:rPr>
                <w:rFonts w:ascii="Arial" w:hAnsi="Arial" w:cs="Arial"/>
                <w:sz w:val="16"/>
                <w:szCs w:val="16"/>
              </w:rPr>
            </w:pPr>
          </w:p>
        </w:tc>
        <w:tc>
          <w:tcPr>
            <w:tcW w:w="1035" w:type="dxa"/>
            <w:tcBorders>
              <w:top w:val="nil"/>
              <w:left w:val="nil"/>
              <w:bottom w:val="nil"/>
              <w:right w:val="nil"/>
            </w:tcBorders>
            <w:shd w:val="clear" w:color="auto" w:fill="auto"/>
            <w:noWrap/>
            <w:vAlign w:val="bottom"/>
          </w:tcPr>
          <w:p w14:paraId="6AE73E1A" w14:textId="77777777" w:rsidR="00724C2D" w:rsidRPr="00724C2D" w:rsidRDefault="00724C2D" w:rsidP="00724C2D">
            <w:pPr>
              <w:spacing w:after="0" w:line="240" w:lineRule="auto"/>
              <w:jc w:val="right"/>
              <w:rPr>
                <w:rFonts w:ascii="Arial" w:hAnsi="Arial" w:cs="Arial"/>
                <w:sz w:val="16"/>
                <w:szCs w:val="16"/>
              </w:rPr>
            </w:pPr>
          </w:p>
        </w:tc>
        <w:tc>
          <w:tcPr>
            <w:tcW w:w="1122" w:type="dxa"/>
            <w:tcBorders>
              <w:top w:val="nil"/>
              <w:left w:val="nil"/>
              <w:bottom w:val="nil"/>
              <w:right w:val="nil"/>
            </w:tcBorders>
            <w:shd w:val="clear" w:color="auto" w:fill="auto"/>
            <w:noWrap/>
            <w:vAlign w:val="bottom"/>
          </w:tcPr>
          <w:p w14:paraId="5AAB4780" w14:textId="77777777" w:rsidR="00724C2D" w:rsidRPr="00724C2D" w:rsidRDefault="00724C2D" w:rsidP="00724C2D">
            <w:pPr>
              <w:spacing w:after="0" w:line="240" w:lineRule="auto"/>
              <w:jc w:val="right"/>
              <w:rPr>
                <w:rFonts w:ascii="Arial" w:hAnsi="Arial" w:cs="Arial"/>
                <w:sz w:val="16"/>
                <w:szCs w:val="16"/>
              </w:rPr>
            </w:pPr>
          </w:p>
        </w:tc>
        <w:tc>
          <w:tcPr>
            <w:tcW w:w="1087" w:type="dxa"/>
            <w:gridSpan w:val="2"/>
            <w:tcBorders>
              <w:top w:val="nil"/>
              <w:left w:val="nil"/>
              <w:bottom w:val="nil"/>
              <w:right w:val="nil"/>
            </w:tcBorders>
            <w:shd w:val="clear" w:color="auto" w:fill="E6E6E6"/>
            <w:noWrap/>
            <w:vAlign w:val="bottom"/>
          </w:tcPr>
          <w:p w14:paraId="5373A68B" w14:textId="131D9453" w:rsidR="00724C2D" w:rsidRPr="00724C2D" w:rsidRDefault="00724C2D" w:rsidP="00724C2D">
            <w:pPr>
              <w:spacing w:after="0" w:line="240" w:lineRule="auto"/>
              <w:jc w:val="right"/>
              <w:rPr>
                <w:rFonts w:ascii="Arial" w:hAnsi="Arial" w:cs="Arial"/>
                <w:sz w:val="16"/>
                <w:szCs w:val="16"/>
              </w:rPr>
            </w:pPr>
            <w:r w:rsidRPr="00724C2D">
              <w:rPr>
                <w:rFonts w:ascii="Arial" w:hAnsi="Arial" w:cs="Arial"/>
                <w:color w:val="FF0000"/>
                <w:sz w:val="16"/>
                <w:szCs w:val="16"/>
              </w:rPr>
              <w:t> </w:t>
            </w:r>
          </w:p>
        </w:tc>
      </w:tr>
      <w:tr w:rsidR="00724C2D" w:rsidRPr="00A175D8" w14:paraId="5F7AB586" w14:textId="77777777" w:rsidTr="00724C2D">
        <w:trPr>
          <w:trHeight w:val="204"/>
        </w:trPr>
        <w:tc>
          <w:tcPr>
            <w:tcW w:w="3119" w:type="dxa"/>
            <w:tcBorders>
              <w:top w:val="nil"/>
              <w:left w:val="nil"/>
              <w:bottom w:val="nil"/>
              <w:right w:val="nil"/>
            </w:tcBorders>
            <w:shd w:val="clear" w:color="auto" w:fill="auto"/>
            <w:noWrap/>
            <w:vAlign w:val="bottom"/>
            <w:hideMark/>
          </w:tcPr>
          <w:p w14:paraId="5844ECF3" w14:textId="1827132A"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Prior year appropriations available </w:t>
            </w:r>
            <w:r w:rsidRPr="009D3766">
              <w:rPr>
                <w:rFonts w:ascii="Arial" w:hAnsi="Arial" w:cs="Arial"/>
                <w:sz w:val="16"/>
                <w:szCs w:val="16"/>
                <w:vertAlign w:val="superscript"/>
              </w:rPr>
              <w:t>(c)</w:t>
            </w:r>
          </w:p>
        </w:tc>
        <w:tc>
          <w:tcPr>
            <w:tcW w:w="1150" w:type="dxa"/>
            <w:tcBorders>
              <w:top w:val="nil"/>
              <w:left w:val="nil"/>
              <w:bottom w:val="nil"/>
              <w:right w:val="nil"/>
            </w:tcBorders>
            <w:shd w:val="clear" w:color="auto" w:fill="auto"/>
            <w:noWrap/>
            <w:vAlign w:val="bottom"/>
            <w:hideMark/>
          </w:tcPr>
          <w:p w14:paraId="67430522" w14:textId="3F276F79"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1,814,382 </w:t>
            </w:r>
          </w:p>
        </w:tc>
        <w:tc>
          <w:tcPr>
            <w:tcW w:w="1035" w:type="dxa"/>
            <w:tcBorders>
              <w:top w:val="nil"/>
              <w:left w:val="nil"/>
              <w:bottom w:val="nil"/>
              <w:right w:val="nil"/>
            </w:tcBorders>
            <w:shd w:val="clear" w:color="auto" w:fill="auto"/>
            <w:noWrap/>
            <w:vAlign w:val="bottom"/>
            <w:hideMark/>
          </w:tcPr>
          <w:p w14:paraId="1128E7E9" w14:textId="71F328CC"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1,541,109 </w:t>
            </w:r>
          </w:p>
        </w:tc>
        <w:tc>
          <w:tcPr>
            <w:tcW w:w="1122" w:type="dxa"/>
            <w:tcBorders>
              <w:top w:val="nil"/>
              <w:left w:val="nil"/>
              <w:bottom w:val="nil"/>
              <w:right w:val="nil"/>
            </w:tcBorders>
            <w:shd w:val="clear" w:color="auto" w:fill="auto"/>
            <w:noWrap/>
            <w:vAlign w:val="bottom"/>
            <w:hideMark/>
          </w:tcPr>
          <w:p w14:paraId="1046A9C6" w14:textId="44115792"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 </w:t>
            </w:r>
          </w:p>
        </w:tc>
        <w:tc>
          <w:tcPr>
            <w:tcW w:w="1087" w:type="dxa"/>
            <w:gridSpan w:val="2"/>
            <w:tcBorders>
              <w:top w:val="nil"/>
              <w:left w:val="nil"/>
              <w:bottom w:val="nil"/>
              <w:right w:val="nil"/>
            </w:tcBorders>
            <w:shd w:val="clear" w:color="auto" w:fill="E6E6E6"/>
            <w:noWrap/>
            <w:vAlign w:val="bottom"/>
            <w:hideMark/>
          </w:tcPr>
          <w:p w14:paraId="4FA09B82" w14:textId="46B0855E"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1,541,109 </w:t>
            </w:r>
          </w:p>
        </w:tc>
      </w:tr>
      <w:tr w:rsidR="00724C2D" w:rsidRPr="00A175D8" w14:paraId="3A9E6BBB" w14:textId="77777777" w:rsidTr="00724C2D">
        <w:trPr>
          <w:trHeight w:val="204"/>
        </w:trPr>
        <w:tc>
          <w:tcPr>
            <w:tcW w:w="3119" w:type="dxa"/>
            <w:tcBorders>
              <w:top w:val="nil"/>
              <w:left w:val="nil"/>
              <w:bottom w:val="nil"/>
              <w:right w:val="nil"/>
            </w:tcBorders>
            <w:shd w:val="clear" w:color="auto" w:fill="auto"/>
            <w:noWrap/>
            <w:vAlign w:val="bottom"/>
            <w:hideMark/>
          </w:tcPr>
          <w:p w14:paraId="0192CAB9" w14:textId="040FA1DE"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Administered assets and liabilities</w:t>
            </w:r>
          </w:p>
        </w:tc>
        <w:tc>
          <w:tcPr>
            <w:tcW w:w="1150" w:type="dxa"/>
            <w:tcBorders>
              <w:top w:val="nil"/>
              <w:left w:val="nil"/>
              <w:bottom w:val="nil"/>
              <w:right w:val="nil"/>
            </w:tcBorders>
            <w:shd w:val="clear" w:color="auto" w:fill="auto"/>
            <w:noWrap/>
            <w:vAlign w:val="bottom"/>
            <w:hideMark/>
          </w:tcPr>
          <w:p w14:paraId="7777C40A" w14:textId="103C14F1"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1,713,325 </w:t>
            </w:r>
          </w:p>
        </w:tc>
        <w:tc>
          <w:tcPr>
            <w:tcW w:w="1035" w:type="dxa"/>
            <w:tcBorders>
              <w:top w:val="nil"/>
              <w:left w:val="nil"/>
              <w:bottom w:val="nil"/>
              <w:right w:val="nil"/>
            </w:tcBorders>
            <w:shd w:val="clear" w:color="auto" w:fill="auto"/>
            <w:noWrap/>
            <w:vAlign w:val="bottom"/>
            <w:hideMark/>
          </w:tcPr>
          <w:p w14:paraId="48A8B39C" w14:textId="0016E8E8"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2,065,192 </w:t>
            </w:r>
          </w:p>
        </w:tc>
        <w:tc>
          <w:tcPr>
            <w:tcW w:w="1122" w:type="dxa"/>
            <w:tcBorders>
              <w:top w:val="nil"/>
              <w:left w:val="nil"/>
              <w:bottom w:val="nil"/>
              <w:right w:val="nil"/>
            </w:tcBorders>
            <w:shd w:val="clear" w:color="auto" w:fill="auto"/>
            <w:noWrap/>
            <w:vAlign w:val="bottom"/>
            <w:hideMark/>
          </w:tcPr>
          <w:p w14:paraId="00A02C50" w14:textId="1AA6C388"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65,975 </w:t>
            </w:r>
          </w:p>
        </w:tc>
        <w:tc>
          <w:tcPr>
            <w:tcW w:w="1087" w:type="dxa"/>
            <w:gridSpan w:val="2"/>
            <w:tcBorders>
              <w:top w:val="nil"/>
              <w:left w:val="nil"/>
              <w:bottom w:val="nil"/>
              <w:right w:val="nil"/>
            </w:tcBorders>
            <w:shd w:val="clear" w:color="auto" w:fill="E6E6E6"/>
            <w:noWrap/>
            <w:vAlign w:val="bottom"/>
            <w:hideMark/>
          </w:tcPr>
          <w:p w14:paraId="302FF388" w14:textId="6900307F"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2,131,167 </w:t>
            </w:r>
          </w:p>
        </w:tc>
      </w:tr>
      <w:tr w:rsidR="00724C2D" w:rsidRPr="00A175D8" w14:paraId="22895821" w14:textId="77777777" w:rsidTr="00724C2D">
        <w:trPr>
          <w:trHeight w:val="204"/>
        </w:trPr>
        <w:tc>
          <w:tcPr>
            <w:tcW w:w="3119" w:type="dxa"/>
            <w:tcBorders>
              <w:top w:val="nil"/>
              <w:left w:val="nil"/>
              <w:bottom w:val="nil"/>
              <w:right w:val="nil"/>
            </w:tcBorders>
            <w:shd w:val="clear" w:color="auto" w:fill="auto"/>
            <w:noWrap/>
            <w:vAlign w:val="bottom"/>
            <w:hideMark/>
          </w:tcPr>
          <w:p w14:paraId="6A97B36B" w14:textId="3274233F"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Payments to corporate entities </w:t>
            </w:r>
            <w:r w:rsidRPr="009D3766">
              <w:rPr>
                <w:rFonts w:ascii="Arial" w:hAnsi="Arial" w:cs="Arial"/>
                <w:sz w:val="16"/>
                <w:szCs w:val="16"/>
                <w:vertAlign w:val="superscript"/>
              </w:rPr>
              <w:t>(h)</w:t>
            </w:r>
          </w:p>
        </w:tc>
        <w:tc>
          <w:tcPr>
            <w:tcW w:w="1150" w:type="dxa"/>
            <w:tcBorders>
              <w:top w:val="nil"/>
              <w:left w:val="nil"/>
              <w:bottom w:val="nil"/>
              <w:right w:val="nil"/>
            </w:tcBorders>
            <w:shd w:val="clear" w:color="auto" w:fill="auto"/>
            <w:noWrap/>
            <w:vAlign w:val="bottom"/>
            <w:hideMark/>
          </w:tcPr>
          <w:p w14:paraId="58CB0728" w14:textId="43E45B01"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42,328 </w:t>
            </w:r>
          </w:p>
        </w:tc>
        <w:tc>
          <w:tcPr>
            <w:tcW w:w="1035" w:type="dxa"/>
            <w:tcBorders>
              <w:top w:val="nil"/>
              <w:left w:val="nil"/>
              <w:bottom w:val="nil"/>
              <w:right w:val="nil"/>
            </w:tcBorders>
            <w:shd w:val="clear" w:color="auto" w:fill="auto"/>
            <w:noWrap/>
            <w:vAlign w:val="bottom"/>
            <w:hideMark/>
          </w:tcPr>
          <w:p w14:paraId="7FDE69F6" w14:textId="171C5DED"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72,002 </w:t>
            </w:r>
          </w:p>
        </w:tc>
        <w:tc>
          <w:tcPr>
            <w:tcW w:w="1122" w:type="dxa"/>
            <w:tcBorders>
              <w:top w:val="nil"/>
              <w:left w:val="nil"/>
              <w:bottom w:val="nil"/>
              <w:right w:val="nil"/>
            </w:tcBorders>
            <w:shd w:val="clear" w:color="auto" w:fill="auto"/>
            <w:noWrap/>
            <w:vAlign w:val="bottom"/>
            <w:hideMark/>
          </w:tcPr>
          <w:p w14:paraId="51E31BFE" w14:textId="1CE43765"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3,715 </w:t>
            </w:r>
          </w:p>
        </w:tc>
        <w:tc>
          <w:tcPr>
            <w:tcW w:w="1087" w:type="dxa"/>
            <w:gridSpan w:val="2"/>
            <w:tcBorders>
              <w:top w:val="nil"/>
              <w:left w:val="nil"/>
              <w:bottom w:val="nil"/>
              <w:right w:val="nil"/>
            </w:tcBorders>
            <w:shd w:val="clear" w:color="auto" w:fill="E6E6E6"/>
            <w:noWrap/>
            <w:vAlign w:val="bottom"/>
            <w:hideMark/>
          </w:tcPr>
          <w:p w14:paraId="26158483" w14:textId="4E25291B"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75,717 </w:t>
            </w:r>
          </w:p>
        </w:tc>
      </w:tr>
      <w:tr w:rsidR="00724C2D" w:rsidRPr="00A175D8" w14:paraId="12E73D39" w14:textId="77777777" w:rsidTr="00724C2D">
        <w:trPr>
          <w:trHeight w:val="204"/>
        </w:trPr>
        <w:tc>
          <w:tcPr>
            <w:tcW w:w="3119" w:type="dxa"/>
            <w:tcBorders>
              <w:top w:val="nil"/>
              <w:left w:val="nil"/>
              <w:bottom w:val="nil"/>
              <w:right w:val="nil"/>
            </w:tcBorders>
            <w:shd w:val="clear" w:color="auto" w:fill="auto"/>
            <w:vAlign w:val="bottom"/>
            <w:hideMark/>
          </w:tcPr>
          <w:p w14:paraId="0A06A8DB" w14:textId="74AE1ABE" w:rsidR="00724C2D" w:rsidRPr="009D3766" w:rsidRDefault="00724C2D" w:rsidP="00724C2D">
            <w:pPr>
              <w:spacing w:after="0" w:line="240" w:lineRule="auto"/>
              <w:jc w:val="left"/>
              <w:rPr>
                <w:rFonts w:ascii="Arial" w:hAnsi="Arial" w:cs="Arial"/>
                <w:sz w:val="16"/>
                <w:szCs w:val="16"/>
              </w:rPr>
            </w:pPr>
            <w:r w:rsidRPr="009D3766">
              <w:rPr>
                <w:rFonts w:ascii="Arial" w:hAnsi="Arial" w:cs="Arial"/>
                <w:sz w:val="16"/>
                <w:szCs w:val="16"/>
              </w:rPr>
              <w:t xml:space="preserve">Annual appropriations - other services - specific payments to States, ACT, NT and local government </w:t>
            </w:r>
            <w:r w:rsidRPr="009D3766">
              <w:rPr>
                <w:rFonts w:ascii="Arial" w:hAnsi="Arial" w:cs="Arial"/>
                <w:sz w:val="16"/>
                <w:szCs w:val="16"/>
                <w:vertAlign w:val="superscript"/>
              </w:rPr>
              <w:t>(</w:t>
            </w:r>
            <w:proofErr w:type="spellStart"/>
            <w:r w:rsidRPr="009D3766">
              <w:rPr>
                <w:rFonts w:ascii="Arial" w:hAnsi="Arial" w:cs="Arial"/>
                <w:sz w:val="16"/>
                <w:szCs w:val="16"/>
                <w:vertAlign w:val="superscript"/>
              </w:rPr>
              <w:t>i</w:t>
            </w:r>
            <w:proofErr w:type="spellEnd"/>
            <w:r w:rsidRPr="009D3766">
              <w:rPr>
                <w:rFonts w:ascii="Arial" w:hAnsi="Arial" w:cs="Arial"/>
                <w:sz w:val="16"/>
                <w:szCs w:val="16"/>
                <w:vertAlign w:val="superscript"/>
              </w:rPr>
              <w:t>)</w:t>
            </w:r>
          </w:p>
        </w:tc>
        <w:tc>
          <w:tcPr>
            <w:tcW w:w="1150" w:type="dxa"/>
            <w:tcBorders>
              <w:top w:val="nil"/>
              <w:left w:val="nil"/>
              <w:bottom w:val="nil"/>
              <w:right w:val="nil"/>
            </w:tcBorders>
            <w:shd w:val="clear" w:color="auto" w:fill="auto"/>
            <w:vAlign w:val="bottom"/>
            <w:hideMark/>
          </w:tcPr>
          <w:p w14:paraId="3C889C3F" w14:textId="77777777" w:rsidR="00724C2D" w:rsidRPr="009D3766" w:rsidRDefault="00724C2D" w:rsidP="00724C2D">
            <w:pPr>
              <w:spacing w:after="0" w:line="240" w:lineRule="auto"/>
              <w:jc w:val="right"/>
              <w:rPr>
                <w:rFonts w:ascii="Arial" w:hAnsi="Arial" w:cs="Arial"/>
                <w:sz w:val="16"/>
                <w:szCs w:val="16"/>
              </w:rPr>
            </w:pPr>
          </w:p>
        </w:tc>
        <w:tc>
          <w:tcPr>
            <w:tcW w:w="1035" w:type="dxa"/>
            <w:tcBorders>
              <w:top w:val="nil"/>
              <w:left w:val="nil"/>
              <w:bottom w:val="nil"/>
              <w:right w:val="nil"/>
            </w:tcBorders>
            <w:shd w:val="clear" w:color="auto" w:fill="auto"/>
            <w:vAlign w:val="bottom"/>
            <w:hideMark/>
          </w:tcPr>
          <w:p w14:paraId="5FDEE9B0" w14:textId="77777777" w:rsidR="00724C2D" w:rsidRPr="00724C2D" w:rsidRDefault="00724C2D" w:rsidP="00724C2D">
            <w:pPr>
              <w:spacing w:after="0" w:line="240" w:lineRule="auto"/>
              <w:jc w:val="right"/>
              <w:rPr>
                <w:rFonts w:ascii="Arial" w:hAnsi="Arial" w:cs="Arial"/>
                <w:sz w:val="16"/>
                <w:szCs w:val="16"/>
              </w:rPr>
            </w:pPr>
          </w:p>
        </w:tc>
        <w:tc>
          <w:tcPr>
            <w:tcW w:w="1122" w:type="dxa"/>
            <w:tcBorders>
              <w:top w:val="nil"/>
              <w:left w:val="nil"/>
              <w:bottom w:val="nil"/>
              <w:right w:val="nil"/>
            </w:tcBorders>
            <w:shd w:val="clear" w:color="auto" w:fill="auto"/>
            <w:vAlign w:val="bottom"/>
            <w:hideMark/>
          </w:tcPr>
          <w:p w14:paraId="7AF59DEF" w14:textId="77777777" w:rsidR="00724C2D" w:rsidRPr="00724C2D" w:rsidRDefault="00724C2D" w:rsidP="00724C2D">
            <w:pPr>
              <w:spacing w:after="0" w:line="240" w:lineRule="auto"/>
              <w:jc w:val="right"/>
              <w:rPr>
                <w:rFonts w:ascii="Arial" w:hAnsi="Arial" w:cs="Arial"/>
                <w:sz w:val="16"/>
                <w:szCs w:val="16"/>
              </w:rPr>
            </w:pPr>
          </w:p>
        </w:tc>
        <w:tc>
          <w:tcPr>
            <w:tcW w:w="1087" w:type="dxa"/>
            <w:gridSpan w:val="2"/>
            <w:tcBorders>
              <w:top w:val="nil"/>
              <w:left w:val="nil"/>
              <w:bottom w:val="nil"/>
              <w:right w:val="nil"/>
            </w:tcBorders>
            <w:shd w:val="clear" w:color="auto" w:fill="E6E6E6"/>
            <w:vAlign w:val="bottom"/>
            <w:hideMark/>
          </w:tcPr>
          <w:p w14:paraId="3D8E307F" w14:textId="5642B6BF" w:rsidR="00724C2D" w:rsidRPr="00724C2D" w:rsidRDefault="00724C2D" w:rsidP="00724C2D">
            <w:pPr>
              <w:spacing w:after="0" w:line="240" w:lineRule="auto"/>
              <w:jc w:val="right"/>
              <w:rPr>
                <w:rFonts w:ascii="Arial" w:hAnsi="Arial" w:cs="Arial"/>
                <w:sz w:val="16"/>
                <w:szCs w:val="16"/>
              </w:rPr>
            </w:pPr>
            <w:r w:rsidRPr="00724C2D">
              <w:rPr>
                <w:rFonts w:ascii="Arial" w:hAnsi="Arial" w:cs="Arial"/>
                <w:color w:val="FF0000"/>
                <w:sz w:val="16"/>
                <w:szCs w:val="16"/>
              </w:rPr>
              <w:t> </w:t>
            </w:r>
          </w:p>
        </w:tc>
      </w:tr>
      <w:tr w:rsidR="00724C2D" w:rsidRPr="00A175D8" w14:paraId="68159CA6" w14:textId="77777777" w:rsidTr="00724C2D">
        <w:trPr>
          <w:trHeight w:val="204"/>
        </w:trPr>
        <w:tc>
          <w:tcPr>
            <w:tcW w:w="3119" w:type="dxa"/>
            <w:tcBorders>
              <w:top w:val="nil"/>
              <w:left w:val="nil"/>
              <w:bottom w:val="nil"/>
              <w:right w:val="nil"/>
            </w:tcBorders>
            <w:shd w:val="clear" w:color="auto" w:fill="auto"/>
            <w:noWrap/>
            <w:vAlign w:val="bottom"/>
            <w:hideMark/>
          </w:tcPr>
          <w:p w14:paraId="4C247951" w14:textId="1E6A93C7"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Outcome 1 </w:t>
            </w:r>
            <w:r w:rsidRPr="009D3766">
              <w:rPr>
                <w:rFonts w:ascii="Arial" w:hAnsi="Arial" w:cs="Arial"/>
                <w:sz w:val="16"/>
                <w:szCs w:val="16"/>
                <w:vertAlign w:val="superscript"/>
              </w:rPr>
              <w:t>(j)</w:t>
            </w:r>
          </w:p>
        </w:tc>
        <w:tc>
          <w:tcPr>
            <w:tcW w:w="1150" w:type="dxa"/>
            <w:tcBorders>
              <w:top w:val="nil"/>
              <w:left w:val="nil"/>
              <w:right w:val="nil"/>
            </w:tcBorders>
            <w:shd w:val="clear" w:color="auto" w:fill="auto"/>
            <w:noWrap/>
            <w:vAlign w:val="bottom"/>
            <w:hideMark/>
          </w:tcPr>
          <w:p w14:paraId="2E4EE873" w14:textId="26C99541"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591,693 </w:t>
            </w:r>
          </w:p>
        </w:tc>
        <w:tc>
          <w:tcPr>
            <w:tcW w:w="1035" w:type="dxa"/>
            <w:tcBorders>
              <w:top w:val="nil"/>
              <w:left w:val="nil"/>
              <w:right w:val="nil"/>
            </w:tcBorders>
            <w:shd w:val="clear" w:color="auto" w:fill="auto"/>
            <w:noWrap/>
            <w:vAlign w:val="bottom"/>
            <w:hideMark/>
          </w:tcPr>
          <w:p w14:paraId="24385D52" w14:textId="0C1A6D1B"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499,495 </w:t>
            </w:r>
          </w:p>
        </w:tc>
        <w:tc>
          <w:tcPr>
            <w:tcW w:w="1122" w:type="dxa"/>
            <w:tcBorders>
              <w:top w:val="nil"/>
              <w:left w:val="nil"/>
              <w:right w:val="nil"/>
            </w:tcBorders>
            <w:shd w:val="clear" w:color="auto" w:fill="auto"/>
            <w:noWrap/>
            <w:vAlign w:val="bottom"/>
            <w:hideMark/>
          </w:tcPr>
          <w:p w14:paraId="18FC0C5E" w14:textId="5A2385F9"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21 </w:t>
            </w:r>
          </w:p>
        </w:tc>
        <w:tc>
          <w:tcPr>
            <w:tcW w:w="1087" w:type="dxa"/>
            <w:gridSpan w:val="2"/>
            <w:tcBorders>
              <w:top w:val="nil"/>
              <w:left w:val="nil"/>
              <w:right w:val="nil"/>
            </w:tcBorders>
            <w:shd w:val="clear" w:color="auto" w:fill="E6E6E6"/>
            <w:noWrap/>
            <w:vAlign w:val="bottom"/>
            <w:hideMark/>
          </w:tcPr>
          <w:p w14:paraId="183FF137" w14:textId="29E3D5CC"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499,516 </w:t>
            </w:r>
          </w:p>
        </w:tc>
      </w:tr>
      <w:tr w:rsidR="00724C2D" w:rsidRPr="00A175D8" w14:paraId="022CC49C" w14:textId="77777777" w:rsidTr="00724C2D">
        <w:trPr>
          <w:trHeight w:val="204"/>
        </w:trPr>
        <w:tc>
          <w:tcPr>
            <w:tcW w:w="3119" w:type="dxa"/>
            <w:tcBorders>
              <w:top w:val="nil"/>
              <w:left w:val="nil"/>
              <w:bottom w:val="nil"/>
              <w:right w:val="nil"/>
            </w:tcBorders>
            <w:shd w:val="clear" w:color="auto" w:fill="auto"/>
            <w:noWrap/>
            <w:vAlign w:val="bottom"/>
            <w:hideMark/>
          </w:tcPr>
          <w:p w14:paraId="20278C0F" w14:textId="5DEF0D2E" w:rsidR="00724C2D" w:rsidRPr="009D3766" w:rsidRDefault="00724C2D" w:rsidP="00724C2D">
            <w:pPr>
              <w:spacing w:after="0" w:line="240" w:lineRule="auto"/>
              <w:ind w:left="113"/>
              <w:jc w:val="left"/>
              <w:rPr>
                <w:rFonts w:ascii="Arial" w:hAnsi="Arial" w:cs="Arial"/>
                <w:sz w:val="16"/>
                <w:szCs w:val="16"/>
              </w:rPr>
            </w:pPr>
            <w:r w:rsidRPr="009D3766">
              <w:rPr>
                <w:rFonts w:ascii="Arial" w:hAnsi="Arial" w:cs="Arial"/>
                <w:sz w:val="16"/>
                <w:szCs w:val="16"/>
              </w:rPr>
              <w:t xml:space="preserve">Outcome 3 </w:t>
            </w:r>
            <w:r w:rsidRPr="009D3766">
              <w:rPr>
                <w:rFonts w:ascii="Arial" w:hAnsi="Arial" w:cs="Arial"/>
                <w:sz w:val="16"/>
                <w:szCs w:val="16"/>
                <w:vertAlign w:val="superscript"/>
              </w:rPr>
              <w:t>(k)</w:t>
            </w:r>
          </w:p>
        </w:tc>
        <w:tc>
          <w:tcPr>
            <w:tcW w:w="1150" w:type="dxa"/>
            <w:tcBorders>
              <w:top w:val="nil"/>
              <w:left w:val="nil"/>
              <w:bottom w:val="single" w:sz="4" w:space="0" w:color="auto"/>
              <w:right w:val="nil"/>
            </w:tcBorders>
            <w:shd w:val="clear" w:color="auto" w:fill="auto"/>
            <w:noWrap/>
            <w:vAlign w:val="bottom"/>
            <w:hideMark/>
          </w:tcPr>
          <w:p w14:paraId="2834E9AD" w14:textId="3D605EB2" w:rsidR="00724C2D" w:rsidRPr="009D3766" w:rsidRDefault="00724C2D" w:rsidP="00724C2D">
            <w:pPr>
              <w:spacing w:after="0" w:line="240" w:lineRule="auto"/>
              <w:jc w:val="right"/>
              <w:rPr>
                <w:rFonts w:ascii="Arial" w:hAnsi="Arial" w:cs="Arial"/>
                <w:sz w:val="16"/>
                <w:szCs w:val="16"/>
              </w:rPr>
            </w:pPr>
            <w:r w:rsidRPr="009D3766">
              <w:rPr>
                <w:rFonts w:ascii="Arial" w:hAnsi="Arial" w:cs="Arial"/>
                <w:sz w:val="16"/>
                <w:szCs w:val="16"/>
              </w:rPr>
              <w:t xml:space="preserve">1,020,775 </w:t>
            </w:r>
          </w:p>
        </w:tc>
        <w:tc>
          <w:tcPr>
            <w:tcW w:w="1035" w:type="dxa"/>
            <w:tcBorders>
              <w:top w:val="nil"/>
              <w:left w:val="nil"/>
              <w:bottom w:val="single" w:sz="4" w:space="0" w:color="auto"/>
              <w:right w:val="nil"/>
            </w:tcBorders>
            <w:shd w:val="clear" w:color="auto" w:fill="auto"/>
            <w:noWrap/>
            <w:vAlign w:val="bottom"/>
            <w:hideMark/>
          </w:tcPr>
          <w:p w14:paraId="10F55D9A" w14:textId="6EBD1ACB"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991,227 </w:t>
            </w:r>
          </w:p>
        </w:tc>
        <w:tc>
          <w:tcPr>
            <w:tcW w:w="1122" w:type="dxa"/>
            <w:tcBorders>
              <w:top w:val="nil"/>
              <w:left w:val="nil"/>
              <w:bottom w:val="single" w:sz="4" w:space="0" w:color="auto"/>
              <w:right w:val="nil"/>
            </w:tcBorders>
            <w:shd w:val="clear" w:color="auto" w:fill="auto"/>
            <w:noWrap/>
            <w:vAlign w:val="bottom"/>
            <w:hideMark/>
          </w:tcPr>
          <w:p w14:paraId="23A1469E" w14:textId="5CCA2FF5"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(60,244)</w:t>
            </w:r>
          </w:p>
        </w:tc>
        <w:tc>
          <w:tcPr>
            <w:tcW w:w="1087" w:type="dxa"/>
            <w:gridSpan w:val="2"/>
            <w:tcBorders>
              <w:top w:val="nil"/>
              <w:left w:val="nil"/>
              <w:bottom w:val="single" w:sz="4" w:space="0" w:color="auto"/>
              <w:right w:val="nil"/>
            </w:tcBorders>
            <w:shd w:val="clear" w:color="auto" w:fill="E6E6E6"/>
            <w:noWrap/>
            <w:vAlign w:val="bottom"/>
            <w:hideMark/>
          </w:tcPr>
          <w:p w14:paraId="26E6E004" w14:textId="0CCBCFEC" w:rsidR="00724C2D" w:rsidRPr="00724C2D" w:rsidRDefault="00724C2D" w:rsidP="00724C2D">
            <w:pPr>
              <w:spacing w:after="0" w:line="240" w:lineRule="auto"/>
              <w:jc w:val="right"/>
              <w:rPr>
                <w:rFonts w:ascii="Arial" w:hAnsi="Arial" w:cs="Arial"/>
                <w:sz w:val="16"/>
                <w:szCs w:val="16"/>
              </w:rPr>
            </w:pPr>
            <w:r w:rsidRPr="00724C2D">
              <w:rPr>
                <w:rFonts w:ascii="Arial" w:hAnsi="Arial" w:cs="Arial"/>
                <w:sz w:val="16"/>
                <w:szCs w:val="16"/>
              </w:rPr>
              <w:t xml:space="preserve">930,983 </w:t>
            </w:r>
          </w:p>
        </w:tc>
      </w:tr>
      <w:tr w:rsidR="00724C2D" w:rsidRPr="009D63B8" w14:paraId="76D58B42" w14:textId="77777777" w:rsidTr="00724C2D">
        <w:trPr>
          <w:trHeight w:val="204"/>
        </w:trPr>
        <w:tc>
          <w:tcPr>
            <w:tcW w:w="3119" w:type="dxa"/>
            <w:tcBorders>
              <w:top w:val="nil"/>
              <w:left w:val="nil"/>
              <w:right w:val="nil"/>
            </w:tcBorders>
            <w:shd w:val="clear" w:color="auto" w:fill="auto"/>
            <w:noWrap/>
            <w:vAlign w:val="bottom"/>
            <w:hideMark/>
          </w:tcPr>
          <w:p w14:paraId="0A7F4F45" w14:textId="77777777" w:rsidR="00724C2D" w:rsidRPr="009D3766" w:rsidRDefault="00724C2D" w:rsidP="00724C2D">
            <w:pPr>
              <w:spacing w:after="0" w:line="240" w:lineRule="auto"/>
              <w:jc w:val="left"/>
              <w:rPr>
                <w:rFonts w:ascii="Arial" w:hAnsi="Arial" w:cs="Arial"/>
                <w:iCs/>
                <w:sz w:val="16"/>
                <w:szCs w:val="16"/>
              </w:rPr>
            </w:pPr>
            <w:r w:rsidRPr="009D3766">
              <w:rPr>
                <w:rFonts w:ascii="Arial" w:hAnsi="Arial" w:cs="Arial"/>
                <w:iCs/>
                <w:sz w:val="16"/>
                <w:szCs w:val="16"/>
              </w:rPr>
              <w:t>Total administered annual appropriations</w:t>
            </w:r>
          </w:p>
        </w:tc>
        <w:tc>
          <w:tcPr>
            <w:tcW w:w="1150" w:type="dxa"/>
            <w:tcBorders>
              <w:top w:val="single" w:sz="4" w:space="0" w:color="auto"/>
              <w:left w:val="nil"/>
              <w:bottom w:val="single" w:sz="4" w:space="0" w:color="auto"/>
              <w:right w:val="nil"/>
            </w:tcBorders>
            <w:shd w:val="clear" w:color="auto" w:fill="auto"/>
            <w:noWrap/>
            <w:vAlign w:val="bottom"/>
            <w:hideMark/>
          </w:tcPr>
          <w:p w14:paraId="5110BF31" w14:textId="4C8CB843" w:rsidR="00724C2D" w:rsidRPr="009D3766" w:rsidRDefault="00724C2D" w:rsidP="00724C2D">
            <w:pPr>
              <w:spacing w:after="0" w:line="240" w:lineRule="auto"/>
              <w:jc w:val="right"/>
              <w:rPr>
                <w:rFonts w:ascii="Arial" w:hAnsi="Arial" w:cs="Arial"/>
                <w:iCs/>
                <w:sz w:val="16"/>
                <w:szCs w:val="16"/>
              </w:rPr>
            </w:pPr>
            <w:r w:rsidRPr="009D3766">
              <w:rPr>
                <w:rFonts w:ascii="Arial" w:hAnsi="Arial" w:cs="Arial"/>
                <w:iCs/>
                <w:color w:val="000000"/>
                <w:sz w:val="16"/>
                <w:szCs w:val="16"/>
              </w:rPr>
              <w:t xml:space="preserve">12,162,593 </w:t>
            </w:r>
          </w:p>
        </w:tc>
        <w:tc>
          <w:tcPr>
            <w:tcW w:w="1035" w:type="dxa"/>
            <w:tcBorders>
              <w:top w:val="single" w:sz="4" w:space="0" w:color="auto"/>
              <w:left w:val="nil"/>
              <w:bottom w:val="single" w:sz="4" w:space="0" w:color="auto"/>
              <w:right w:val="nil"/>
            </w:tcBorders>
            <w:shd w:val="clear" w:color="auto" w:fill="auto"/>
            <w:noWrap/>
            <w:vAlign w:val="bottom"/>
            <w:hideMark/>
          </w:tcPr>
          <w:p w14:paraId="0A83A352" w14:textId="1398F567" w:rsidR="00724C2D" w:rsidRPr="00724C2D" w:rsidRDefault="00724C2D" w:rsidP="00724C2D">
            <w:pPr>
              <w:spacing w:after="0" w:line="240" w:lineRule="auto"/>
              <w:jc w:val="right"/>
              <w:rPr>
                <w:rFonts w:ascii="Arial" w:hAnsi="Arial" w:cs="Arial"/>
                <w:iCs/>
                <w:sz w:val="16"/>
                <w:szCs w:val="16"/>
              </w:rPr>
            </w:pPr>
            <w:r w:rsidRPr="00724C2D">
              <w:rPr>
                <w:rFonts w:ascii="Arial" w:hAnsi="Arial" w:cs="Arial"/>
                <w:iCs/>
                <w:color w:val="000000"/>
                <w:sz w:val="16"/>
                <w:szCs w:val="16"/>
              </w:rPr>
              <w:t xml:space="preserve">11,822,688 </w:t>
            </w:r>
          </w:p>
        </w:tc>
        <w:tc>
          <w:tcPr>
            <w:tcW w:w="1122" w:type="dxa"/>
            <w:tcBorders>
              <w:top w:val="single" w:sz="4" w:space="0" w:color="auto"/>
              <w:left w:val="nil"/>
              <w:bottom w:val="single" w:sz="4" w:space="0" w:color="auto"/>
              <w:right w:val="nil"/>
            </w:tcBorders>
            <w:shd w:val="clear" w:color="auto" w:fill="auto"/>
            <w:noWrap/>
            <w:vAlign w:val="bottom"/>
            <w:hideMark/>
          </w:tcPr>
          <w:p w14:paraId="365C8706" w14:textId="3EEDF407" w:rsidR="00724C2D" w:rsidRPr="00724C2D" w:rsidRDefault="00724C2D" w:rsidP="00724C2D">
            <w:pPr>
              <w:spacing w:after="0" w:line="240" w:lineRule="auto"/>
              <w:jc w:val="right"/>
              <w:rPr>
                <w:rFonts w:ascii="Arial" w:hAnsi="Arial" w:cs="Arial"/>
                <w:iCs/>
                <w:sz w:val="16"/>
                <w:szCs w:val="16"/>
              </w:rPr>
            </w:pPr>
            <w:r w:rsidRPr="00724C2D">
              <w:rPr>
                <w:rFonts w:ascii="Arial" w:hAnsi="Arial" w:cs="Arial"/>
                <w:iCs/>
                <w:sz w:val="16"/>
                <w:szCs w:val="16"/>
              </w:rPr>
              <w:t xml:space="preserve">830,424 </w:t>
            </w:r>
          </w:p>
        </w:tc>
        <w:tc>
          <w:tcPr>
            <w:tcW w:w="1087" w:type="dxa"/>
            <w:gridSpan w:val="2"/>
            <w:tcBorders>
              <w:top w:val="single" w:sz="4" w:space="0" w:color="auto"/>
              <w:left w:val="nil"/>
              <w:bottom w:val="single" w:sz="4" w:space="0" w:color="auto"/>
              <w:right w:val="nil"/>
            </w:tcBorders>
            <w:shd w:val="clear" w:color="auto" w:fill="E6E6E6"/>
            <w:noWrap/>
            <w:vAlign w:val="bottom"/>
            <w:hideMark/>
          </w:tcPr>
          <w:p w14:paraId="2E25AFC9" w14:textId="2019B0BA" w:rsidR="00724C2D" w:rsidRPr="00724C2D" w:rsidRDefault="00724C2D" w:rsidP="00724C2D">
            <w:pPr>
              <w:spacing w:after="0" w:line="240" w:lineRule="auto"/>
              <w:jc w:val="right"/>
              <w:rPr>
                <w:rFonts w:ascii="Arial" w:hAnsi="Arial" w:cs="Arial"/>
                <w:iCs/>
                <w:sz w:val="16"/>
                <w:szCs w:val="16"/>
              </w:rPr>
            </w:pPr>
            <w:r w:rsidRPr="00724C2D">
              <w:rPr>
                <w:rFonts w:ascii="Arial" w:hAnsi="Arial" w:cs="Arial"/>
                <w:iCs/>
                <w:sz w:val="16"/>
                <w:szCs w:val="16"/>
              </w:rPr>
              <w:t xml:space="preserve">12,653,112 </w:t>
            </w:r>
          </w:p>
        </w:tc>
      </w:tr>
      <w:tr w:rsidR="00724C2D" w:rsidRPr="009D63B8" w14:paraId="216B1631" w14:textId="77777777" w:rsidTr="00724C2D">
        <w:trPr>
          <w:trHeight w:val="204"/>
        </w:trPr>
        <w:tc>
          <w:tcPr>
            <w:tcW w:w="3119" w:type="dxa"/>
            <w:tcBorders>
              <w:top w:val="nil"/>
              <w:left w:val="nil"/>
              <w:right w:val="nil"/>
            </w:tcBorders>
            <w:shd w:val="clear" w:color="auto" w:fill="auto"/>
            <w:noWrap/>
            <w:vAlign w:val="bottom"/>
            <w:hideMark/>
          </w:tcPr>
          <w:p w14:paraId="794C49A0" w14:textId="424007C9" w:rsidR="00724C2D" w:rsidRPr="009D3766" w:rsidRDefault="00724C2D" w:rsidP="00724C2D">
            <w:pPr>
              <w:spacing w:after="0" w:line="240" w:lineRule="auto"/>
              <w:jc w:val="left"/>
              <w:rPr>
                <w:rFonts w:ascii="Arial" w:hAnsi="Arial" w:cs="Arial"/>
                <w:iCs/>
                <w:sz w:val="16"/>
                <w:szCs w:val="16"/>
              </w:rPr>
            </w:pPr>
            <w:r w:rsidRPr="009D3766">
              <w:rPr>
                <w:rFonts w:ascii="Arial" w:hAnsi="Arial" w:cs="Arial"/>
                <w:iCs/>
                <w:sz w:val="16"/>
                <w:szCs w:val="16"/>
              </w:rPr>
              <w:t>Total administered special appropriations</w:t>
            </w:r>
          </w:p>
        </w:tc>
        <w:tc>
          <w:tcPr>
            <w:tcW w:w="1150" w:type="dxa"/>
            <w:tcBorders>
              <w:top w:val="nil"/>
              <w:left w:val="nil"/>
              <w:bottom w:val="single" w:sz="4" w:space="0" w:color="auto"/>
              <w:right w:val="nil"/>
            </w:tcBorders>
            <w:shd w:val="clear" w:color="auto" w:fill="auto"/>
            <w:noWrap/>
            <w:vAlign w:val="bottom"/>
            <w:hideMark/>
          </w:tcPr>
          <w:p w14:paraId="7EB179A1" w14:textId="1EC4C00F" w:rsidR="00724C2D" w:rsidRPr="009D3766" w:rsidRDefault="00724C2D" w:rsidP="00724C2D">
            <w:pPr>
              <w:spacing w:after="0" w:line="240" w:lineRule="auto"/>
              <w:jc w:val="right"/>
              <w:rPr>
                <w:rFonts w:ascii="Arial" w:hAnsi="Arial" w:cs="Arial"/>
                <w:iCs/>
                <w:sz w:val="16"/>
                <w:szCs w:val="16"/>
              </w:rPr>
            </w:pPr>
            <w:r w:rsidRPr="009D3766">
              <w:rPr>
                <w:rFonts w:ascii="Arial" w:hAnsi="Arial" w:cs="Arial"/>
                <w:iCs/>
                <w:sz w:val="16"/>
                <w:szCs w:val="16"/>
              </w:rPr>
              <w:t xml:space="preserve">2,887,568 </w:t>
            </w:r>
          </w:p>
        </w:tc>
        <w:tc>
          <w:tcPr>
            <w:tcW w:w="1035" w:type="dxa"/>
            <w:tcBorders>
              <w:top w:val="nil"/>
              <w:left w:val="nil"/>
              <w:bottom w:val="single" w:sz="4" w:space="0" w:color="auto"/>
              <w:right w:val="nil"/>
            </w:tcBorders>
            <w:shd w:val="clear" w:color="auto" w:fill="auto"/>
            <w:noWrap/>
            <w:vAlign w:val="bottom"/>
            <w:hideMark/>
          </w:tcPr>
          <w:p w14:paraId="79941517" w14:textId="7AA4EA6C" w:rsidR="00724C2D" w:rsidRPr="00724C2D" w:rsidRDefault="00724C2D" w:rsidP="00724C2D">
            <w:pPr>
              <w:spacing w:after="0" w:line="240" w:lineRule="auto"/>
              <w:jc w:val="right"/>
              <w:rPr>
                <w:rFonts w:ascii="Arial" w:hAnsi="Arial" w:cs="Arial"/>
                <w:iCs/>
                <w:sz w:val="16"/>
                <w:szCs w:val="16"/>
              </w:rPr>
            </w:pPr>
            <w:r w:rsidRPr="00724C2D">
              <w:rPr>
                <w:rFonts w:ascii="Arial" w:hAnsi="Arial" w:cs="Arial"/>
                <w:iCs/>
                <w:sz w:val="16"/>
                <w:szCs w:val="16"/>
              </w:rPr>
              <w:t xml:space="preserve">1,558,593 </w:t>
            </w:r>
          </w:p>
        </w:tc>
        <w:tc>
          <w:tcPr>
            <w:tcW w:w="1122" w:type="dxa"/>
            <w:tcBorders>
              <w:top w:val="nil"/>
              <w:left w:val="nil"/>
              <w:bottom w:val="single" w:sz="4" w:space="0" w:color="auto"/>
              <w:right w:val="nil"/>
            </w:tcBorders>
            <w:shd w:val="clear" w:color="auto" w:fill="auto"/>
            <w:noWrap/>
            <w:vAlign w:val="bottom"/>
            <w:hideMark/>
          </w:tcPr>
          <w:p w14:paraId="50FBD2AB" w14:textId="6CF7DB89" w:rsidR="00724C2D" w:rsidRPr="00724C2D" w:rsidRDefault="00724C2D" w:rsidP="00724C2D">
            <w:pPr>
              <w:spacing w:after="0" w:line="240" w:lineRule="auto"/>
              <w:jc w:val="right"/>
              <w:rPr>
                <w:rFonts w:ascii="Arial" w:hAnsi="Arial" w:cs="Arial"/>
                <w:iCs/>
                <w:sz w:val="16"/>
                <w:szCs w:val="16"/>
              </w:rPr>
            </w:pPr>
            <w:r w:rsidRPr="00724C2D">
              <w:rPr>
                <w:rFonts w:ascii="Arial" w:hAnsi="Arial" w:cs="Arial"/>
                <w:iCs/>
                <w:sz w:val="16"/>
                <w:szCs w:val="16"/>
              </w:rPr>
              <w:t xml:space="preserve">529,240 </w:t>
            </w:r>
          </w:p>
        </w:tc>
        <w:tc>
          <w:tcPr>
            <w:tcW w:w="1087" w:type="dxa"/>
            <w:gridSpan w:val="2"/>
            <w:tcBorders>
              <w:top w:val="nil"/>
              <w:left w:val="nil"/>
              <w:bottom w:val="single" w:sz="4" w:space="0" w:color="auto"/>
              <w:right w:val="nil"/>
            </w:tcBorders>
            <w:shd w:val="clear" w:color="auto" w:fill="E6E6E6"/>
            <w:noWrap/>
            <w:vAlign w:val="bottom"/>
            <w:hideMark/>
          </w:tcPr>
          <w:p w14:paraId="5A203A58" w14:textId="5C9AEF7B" w:rsidR="00724C2D" w:rsidRPr="00724C2D" w:rsidRDefault="00724C2D" w:rsidP="00724C2D">
            <w:pPr>
              <w:spacing w:after="0" w:line="240" w:lineRule="auto"/>
              <w:jc w:val="right"/>
              <w:rPr>
                <w:rFonts w:ascii="Arial" w:hAnsi="Arial" w:cs="Arial"/>
                <w:iCs/>
                <w:sz w:val="16"/>
                <w:szCs w:val="16"/>
              </w:rPr>
            </w:pPr>
            <w:r w:rsidRPr="00724C2D">
              <w:rPr>
                <w:rFonts w:ascii="Arial" w:hAnsi="Arial" w:cs="Arial"/>
                <w:iCs/>
                <w:sz w:val="16"/>
                <w:szCs w:val="16"/>
              </w:rPr>
              <w:t xml:space="preserve">2,087,833 </w:t>
            </w:r>
          </w:p>
        </w:tc>
      </w:tr>
      <w:tr w:rsidR="000F670D" w:rsidRPr="00A175D8" w14:paraId="74497109" w14:textId="77777777" w:rsidTr="009D3766">
        <w:trPr>
          <w:trHeight w:val="204"/>
        </w:trPr>
        <w:tc>
          <w:tcPr>
            <w:tcW w:w="3119" w:type="dxa"/>
            <w:tcBorders>
              <w:top w:val="nil"/>
              <w:left w:val="nil"/>
              <w:bottom w:val="nil"/>
              <w:right w:val="nil"/>
            </w:tcBorders>
            <w:shd w:val="clear" w:color="auto" w:fill="auto"/>
            <w:noWrap/>
            <w:vAlign w:val="bottom"/>
            <w:hideMark/>
          </w:tcPr>
          <w:p w14:paraId="48798291" w14:textId="5FD4775B" w:rsidR="000F670D" w:rsidRPr="009D3766" w:rsidRDefault="000F670D" w:rsidP="00736B08">
            <w:pPr>
              <w:spacing w:after="0" w:line="240" w:lineRule="auto"/>
              <w:jc w:val="left"/>
              <w:rPr>
                <w:rFonts w:ascii="Arial" w:hAnsi="Arial" w:cs="Arial"/>
                <w:sz w:val="16"/>
                <w:szCs w:val="16"/>
              </w:rPr>
            </w:pPr>
            <w:r w:rsidRPr="009D3766">
              <w:rPr>
                <w:rFonts w:ascii="Arial" w:hAnsi="Arial" w:cs="Arial"/>
                <w:sz w:val="16"/>
                <w:szCs w:val="16"/>
              </w:rPr>
              <w:t xml:space="preserve">Special accounts </w:t>
            </w:r>
            <w:r w:rsidRPr="009D3766">
              <w:rPr>
                <w:rFonts w:ascii="Arial" w:hAnsi="Arial" w:cs="Arial"/>
                <w:sz w:val="16"/>
                <w:szCs w:val="16"/>
                <w:vertAlign w:val="superscript"/>
              </w:rPr>
              <w:t>(</w:t>
            </w:r>
            <w:r w:rsidR="00736B08" w:rsidRPr="009D3766">
              <w:rPr>
                <w:rFonts w:ascii="Arial" w:hAnsi="Arial" w:cs="Arial"/>
                <w:sz w:val="16"/>
                <w:szCs w:val="16"/>
                <w:vertAlign w:val="superscript"/>
              </w:rPr>
              <w:t>l</w:t>
            </w:r>
            <w:r w:rsidRPr="009D3766">
              <w:rPr>
                <w:rFonts w:ascii="Arial" w:hAnsi="Arial" w:cs="Arial"/>
                <w:sz w:val="16"/>
                <w:szCs w:val="16"/>
                <w:vertAlign w:val="superscript"/>
              </w:rPr>
              <w:t>)(</w:t>
            </w:r>
            <w:r w:rsidR="00736B08" w:rsidRPr="009D3766">
              <w:rPr>
                <w:rFonts w:ascii="Arial" w:hAnsi="Arial" w:cs="Arial"/>
                <w:sz w:val="16"/>
                <w:szCs w:val="16"/>
                <w:vertAlign w:val="superscript"/>
              </w:rPr>
              <w:t>m</w:t>
            </w:r>
            <w:r w:rsidRPr="009D3766">
              <w:rPr>
                <w:rFonts w:ascii="Arial" w:hAnsi="Arial" w:cs="Arial"/>
                <w:sz w:val="16"/>
                <w:szCs w:val="16"/>
                <w:vertAlign w:val="superscript"/>
              </w:rPr>
              <w:t>)</w:t>
            </w:r>
          </w:p>
        </w:tc>
        <w:tc>
          <w:tcPr>
            <w:tcW w:w="1150" w:type="dxa"/>
            <w:tcBorders>
              <w:top w:val="nil"/>
              <w:left w:val="nil"/>
              <w:bottom w:val="nil"/>
              <w:right w:val="nil"/>
            </w:tcBorders>
            <w:shd w:val="clear" w:color="auto" w:fill="auto"/>
            <w:noWrap/>
            <w:vAlign w:val="bottom"/>
            <w:hideMark/>
          </w:tcPr>
          <w:p w14:paraId="7892C5E5" w14:textId="77777777" w:rsidR="000F670D" w:rsidRPr="009D3766" w:rsidRDefault="000F670D" w:rsidP="00A175D8">
            <w:pPr>
              <w:spacing w:after="0" w:line="240" w:lineRule="auto"/>
              <w:jc w:val="right"/>
              <w:rPr>
                <w:rFonts w:ascii="Arial" w:hAnsi="Arial" w:cs="Arial"/>
                <w:sz w:val="16"/>
                <w:szCs w:val="16"/>
              </w:rPr>
            </w:pPr>
          </w:p>
        </w:tc>
        <w:tc>
          <w:tcPr>
            <w:tcW w:w="1035" w:type="dxa"/>
            <w:tcBorders>
              <w:top w:val="nil"/>
              <w:left w:val="nil"/>
              <w:bottom w:val="nil"/>
              <w:right w:val="nil"/>
            </w:tcBorders>
            <w:shd w:val="clear" w:color="auto" w:fill="auto"/>
            <w:noWrap/>
            <w:vAlign w:val="bottom"/>
            <w:hideMark/>
          </w:tcPr>
          <w:p w14:paraId="31BEDE80" w14:textId="77777777" w:rsidR="000F670D" w:rsidRPr="009D3766" w:rsidRDefault="000F670D" w:rsidP="00A175D8">
            <w:pPr>
              <w:spacing w:after="0" w:line="240" w:lineRule="auto"/>
              <w:jc w:val="right"/>
              <w:rPr>
                <w:rFonts w:ascii="Arial" w:hAnsi="Arial" w:cs="Arial"/>
                <w:sz w:val="16"/>
                <w:szCs w:val="16"/>
              </w:rPr>
            </w:pPr>
          </w:p>
        </w:tc>
        <w:tc>
          <w:tcPr>
            <w:tcW w:w="1135" w:type="dxa"/>
            <w:gridSpan w:val="2"/>
            <w:tcBorders>
              <w:top w:val="nil"/>
              <w:left w:val="nil"/>
              <w:bottom w:val="nil"/>
              <w:right w:val="nil"/>
            </w:tcBorders>
            <w:shd w:val="clear" w:color="auto" w:fill="auto"/>
            <w:noWrap/>
            <w:vAlign w:val="bottom"/>
            <w:hideMark/>
          </w:tcPr>
          <w:p w14:paraId="4DE93CBB" w14:textId="77777777" w:rsidR="000F670D" w:rsidRPr="009D3766" w:rsidRDefault="000F670D" w:rsidP="00A175D8">
            <w:pPr>
              <w:spacing w:after="0" w:line="240" w:lineRule="auto"/>
              <w:jc w:val="right"/>
              <w:rPr>
                <w:rFonts w:ascii="Arial" w:hAnsi="Arial" w:cs="Arial"/>
                <w:sz w:val="16"/>
                <w:szCs w:val="16"/>
              </w:rPr>
            </w:pPr>
          </w:p>
        </w:tc>
        <w:tc>
          <w:tcPr>
            <w:tcW w:w="1074" w:type="dxa"/>
            <w:tcBorders>
              <w:top w:val="nil"/>
              <w:left w:val="nil"/>
              <w:bottom w:val="nil"/>
              <w:right w:val="nil"/>
            </w:tcBorders>
            <w:shd w:val="clear" w:color="auto" w:fill="E6E6E6"/>
            <w:noWrap/>
            <w:vAlign w:val="bottom"/>
            <w:hideMark/>
          </w:tcPr>
          <w:p w14:paraId="2C026E2D" w14:textId="2FE98C49" w:rsidR="000F670D" w:rsidRPr="009D3766" w:rsidRDefault="000F670D" w:rsidP="00A175D8">
            <w:pPr>
              <w:spacing w:after="0" w:line="240" w:lineRule="auto"/>
              <w:jc w:val="right"/>
              <w:rPr>
                <w:rFonts w:ascii="Arial" w:hAnsi="Arial" w:cs="Arial"/>
                <w:sz w:val="16"/>
                <w:szCs w:val="16"/>
              </w:rPr>
            </w:pPr>
          </w:p>
        </w:tc>
      </w:tr>
      <w:tr w:rsidR="002570EE" w:rsidRPr="00A175D8" w14:paraId="3CF68AAF" w14:textId="77777777" w:rsidTr="009D3766">
        <w:trPr>
          <w:trHeight w:val="204"/>
        </w:trPr>
        <w:tc>
          <w:tcPr>
            <w:tcW w:w="3119" w:type="dxa"/>
            <w:tcBorders>
              <w:top w:val="nil"/>
              <w:left w:val="nil"/>
              <w:bottom w:val="nil"/>
              <w:right w:val="nil"/>
            </w:tcBorders>
            <w:shd w:val="clear" w:color="auto" w:fill="auto"/>
            <w:noWrap/>
            <w:vAlign w:val="bottom"/>
            <w:hideMark/>
          </w:tcPr>
          <w:p w14:paraId="40826B6B" w14:textId="77777777" w:rsidR="002570EE" w:rsidRPr="009D3766" w:rsidRDefault="002570EE" w:rsidP="002570EE">
            <w:pPr>
              <w:spacing w:after="0" w:line="240" w:lineRule="auto"/>
              <w:ind w:left="113"/>
              <w:jc w:val="left"/>
              <w:rPr>
                <w:rFonts w:ascii="Arial" w:hAnsi="Arial" w:cs="Arial"/>
                <w:sz w:val="16"/>
                <w:szCs w:val="16"/>
              </w:rPr>
            </w:pPr>
            <w:r w:rsidRPr="009D3766">
              <w:rPr>
                <w:rFonts w:ascii="Arial" w:hAnsi="Arial" w:cs="Arial"/>
                <w:sz w:val="16"/>
                <w:szCs w:val="16"/>
              </w:rPr>
              <w:t>Opening balance</w:t>
            </w:r>
          </w:p>
        </w:tc>
        <w:tc>
          <w:tcPr>
            <w:tcW w:w="1150" w:type="dxa"/>
            <w:tcBorders>
              <w:top w:val="nil"/>
              <w:left w:val="nil"/>
              <w:bottom w:val="nil"/>
              <w:right w:val="nil"/>
            </w:tcBorders>
            <w:shd w:val="clear" w:color="auto" w:fill="auto"/>
            <w:noWrap/>
            <w:vAlign w:val="bottom"/>
            <w:hideMark/>
          </w:tcPr>
          <w:p w14:paraId="665FB92B" w14:textId="6084A121"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27,140 </w:t>
            </w:r>
          </w:p>
        </w:tc>
        <w:tc>
          <w:tcPr>
            <w:tcW w:w="1035" w:type="dxa"/>
            <w:tcBorders>
              <w:top w:val="nil"/>
              <w:left w:val="nil"/>
              <w:bottom w:val="nil"/>
              <w:right w:val="nil"/>
            </w:tcBorders>
            <w:shd w:val="clear" w:color="auto" w:fill="auto"/>
            <w:noWrap/>
            <w:vAlign w:val="bottom"/>
            <w:hideMark/>
          </w:tcPr>
          <w:p w14:paraId="014F8389" w14:textId="69D586D8"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27,345 </w:t>
            </w:r>
          </w:p>
        </w:tc>
        <w:tc>
          <w:tcPr>
            <w:tcW w:w="1135" w:type="dxa"/>
            <w:gridSpan w:val="2"/>
            <w:tcBorders>
              <w:top w:val="nil"/>
              <w:left w:val="nil"/>
              <w:bottom w:val="nil"/>
              <w:right w:val="nil"/>
            </w:tcBorders>
            <w:shd w:val="clear" w:color="auto" w:fill="auto"/>
            <w:noWrap/>
            <w:vAlign w:val="bottom"/>
            <w:hideMark/>
          </w:tcPr>
          <w:p w14:paraId="5E687D0A" w14:textId="08BFA602"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14,889 </w:t>
            </w:r>
          </w:p>
        </w:tc>
        <w:tc>
          <w:tcPr>
            <w:tcW w:w="1074" w:type="dxa"/>
            <w:tcBorders>
              <w:top w:val="nil"/>
              <w:left w:val="nil"/>
              <w:bottom w:val="nil"/>
              <w:right w:val="nil"/>
            </w:tcBorders>
            <w:shd w:val="clear" w:color="auto" w:fill="E6E6E6"/>
            <w:noWrap/>
            <w:vAlign w:val="bottom"/>
            <w:hideMark/>
          </w:tcPr>
          <w:p w14:paraId="1A25F361" w14:textId="040D1CC6"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42,234 </w:t>
            </w:r>
          </w:p>
        </w:tc>
      </w:tr>
      <w:tr w:rsidR="002570EE" w:rsidRPr="00A175D8" w14:paraId="7FDAE799" w14:textId="77777777" w:rsidTr="009D3766">
        <w:trPr>
          <w:trHeight w:val="204"/>
        </w:trPr>
        <w:tc>
          <w:tcPr>
            <w:tcW w:w="3119" w:type="dxa"/>
            <w:tcBorders>
              <w:top w:val="nil"/>
              <w:left w:val="nil"/>
              <w:bottom w:val="nil"/>
              <w:right w:val="nil"/>
            </w:tcBorders>
            <w:shd w:val="clear" w:color="auto" w:fill="auto"/>
            <w:noWrap/>
            <w:vAlign w:val="bottom"/>
            <w:hideMark/>
          </w:tcPr>
          <w:p w14:paraId="59332920" w14:textId="7A058C33" w:rsidR="002570EE" w:rsidRPr="009D3766" w:rsidRDefault="002570EE" w:rsidP="002570EE">
            <w:pPr>
              <w:spacing w:after="0" w:line="240" w:lineRule="auto"/>
              <w:ind w:left="113"/>
              <w:jc w:val="left"/>
              <w:rPr>
                <w:rFonts w:ascii="Arial" w:hAnsi="Arial" w:cs="Arial"/>
                <w:sz w:val="16"/>
                <w:szCs w:val="16"/>
              </w:rPr>
            </w:pPr>
            <w:r w:rsidRPr="009D3766">
              <w:rPr>
                <w:rFonts w:ascii="Arial" w:hAnsi="Arial" w:cs="Arial"/>
                <w:sz w:val="16"/>
                <w:szCs w:val="16"/>
              </w:rPr>
              <w:t xml:space="preserve">Appropriation receipts </w:t>
            </w:r>
            <w:r w:rsidRPr="009D3766">
              <w:rPr>
                <w:rFonts w:ascii="Arial" w:hAnsi="Arial" w:cs="Arial"/>
                <w:sz w:val="16"/>
                <w:szCs w:val="16"/>
                <w:vertAlign w:val="superscript"/>
              </w:rPr>
              <w:t>(n)</w:t>
            </w:r>
          </w:p>
        </w:tc>
        <w:tc>
          <w:tcPr>
            <w:tcW w:w="1150" w:type="dxa"/>
            <w:tcBorders>
              <w:top w:val="nil"/>
              <w:left w:val="nil"/>
              <w:bottom w:val="nil"/>
              <w:right w:val="nil"/>
            </w:tcBorders>
            <w:shd w:val="clear" w:color="auto" w:fill="auto"/>
            <w:noWrap/>
            <w:vAlign w:val="bottom"/>
            <w:hideMark/>
          </w:tcPr>
          <w:p w14:paraId="1ABD8A64" w14:textId="6A05185D"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95,954 </w:t>
            </w:r>
          </w:p>
        </w:tc>
        <w:tc>
          <w:tcPr>
            <w:tcW w:w="1035" w:type="dxa"/>
            <w:tcBorders>
              <w:top w:val="nil"/>
              <w:left w:val="nil"/>
              <w:bottom w:val="nil"/>
              <w:right w:val="nil"/>
            </w:tcBorders>
            <w:shd w:val="clear" w:color="auto" w:fill="auto"/>
            <w:noWrap/>
            <w:vAlign w:val="bottom"/>
            <w:hideMark/>
          </w:tcPr>
          <w:p w14:paraId="7472E907" w14:textId="5C8F222F"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337,694 </w:t>
            </w:r>
          </w:p>
        </w:tc>
        <w:tc>
          <w:tcPr>
            <w:tcW w:w="1135" w:type="dxa"/>
            <w:gridSpan w:val="2"/>
            <w:tcBorders>
              <w:top w:val="nil"/>
              <w:left w:val="nil"/>
              <w:bottom w:val="nil"/>
              <w:right w:val="nil"/>
            </w:tcBorders>
            <w:shd w:val="clear" w:color="auto" w:fill="auto"/>
            <w:noWrap/>
            <w:vAlign w:val="bottom"/>
            <w:hideMark/>
          </w:tcPr>
          <w:p w14:paraId="20D697B9" w14:textId="14E30666"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500 </w:t>
            </w:r>
          </w:p>
        </w:tc>
        <w:tc>
          <w:tcPr>
            <w:tcW w:w="1074" w:type="dxa"/>
            <w:tcBorders>
              <w:top w:val="nil"/>
              <w:left w:val="nil"/>
              <w:bottom w:val="nil"/>
              <w:right w:val="nil"/>
            </w:tcBorders>
            <w:shd w:val="clear" w:color="auto" w:fill="E6E6E6"/>
            <w:noWrap/>
            <w:vAlign w:val="bottom"/>
            <w:hideMark/>
          </w:tcPr>
          <w:p w14:paraId="5C032623" w14:textId="020DD7EB"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338,194 </w:t>
            </w:r>
          </w:p>
        </w:tc>
      </w:tr>
      <w:tr w:rsidR="002570EE" w:rsidRPr="00A175D8" w14:paraId="37B024E6" w14:textId="77777777" w:rsidTr="009D3766">
        <w:trPr>
          <w:trHeight w:val="204"/>
        </w:trPr>
        <w:tc>
          <w:tcPr>
            <w:tcW w:w="3119" w:type="dxa"/>
            <w:tcBorders>
              <w:top w:val="nil"/>
              <w:left w:val="nil"/>
              <w:bottom w:val="nil"/>
              <w:right w:val="nil"/>
            </w:tcBorders>
            <w:shd w:val="clear" w:color="auto" w:fill="auto"/>
            <w:noWrap/>
            <w:vAlign w:val="bottom"/>
            <w:hideMark/>
          </w:tcPr>
          <w:p w14:paraId="0BF3E573" w14:textId="77777777" w:rsidR="002570EE" w:rsidRPr="009D3766" w:rsidRDefault="002570EE" w:rsidP="002570EE">
            <w:pPr>
              <w:spacing w:after="0" w:line="240" w:lineRule="auto"/>
              <w:ind w:left="113"/>
              <w:jc w:val="left"/>
              <w:rPr>
                <w:rFonts w:ascii="Arial" w:hAnsi="Arial" w:cs="Arial"/>
                <w:sz w:val="16"/>
                <w:szCs w:val="16"/>
              </w:rPr>
            </w:pPr>
            <w:r w:rsidRPr="009D3766">
              <w:rPr>
                <w:rFonts w:ascii="Arial" w:hAnsi="Arial" w:cs="Arial"/>
                <w:sz w:val="16"/>
                <w:szCs w:val="16"/>
              </w:rPr>
              <w:t>Non-appropriation receipts</w:t>
            </w:r>
          </w:p>
        </w:tc>
        <w:tc>
          <w:tcPr>
            <w:tcW w:w="1150" w:type="dxa"/>
            <w:tcBorders>
              <w:top w:val="nil"/>
              <w:left w:val="nil"/>
              <w:bottom w:val="nil"/>
              <w:right w:val="nil"/>
            </w:tcBorders>
            <w:shd w:val="clear" w:color="auto" w:fill="auto"/>
            <w:noWrap/>
            <w:vAlign w:val="bottom"/>
            <w:hideMark/>
          </w:tcPr>
          <w:p w14:paraId="26B632D6" w14:textId="1DABD270"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264,201 </w:t>
            </w:r>
          </w:p>
        </w:tc>
        <w:tc>
          <w:tcPr>
            <w:tcW w:w="1035" w:type="dxa"/>
            <w:tcBorders>
              <w:top w:val="nil"/>
              <w:left w:val="nil"/>
              <w:bottom w:val="nil"/>
              <w:right w:val="nil"/>
            </w:tcBorders>
            <w:shd w:val="clear" w:color="auto" w:fill="auto"/>
            <w:noWrap/>
            <w:vAlign w:val="bottom"/>
            <w:hideMark/>
          </w:tcPr>
          <w:p w14:paraId="36C90F37" w14:textId="2C19E8CA"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19,425 </w:t>
            </w:r>
          </w:p>
        </w:tc>
        <w:tc>
          <w:tcPr>
            <w:tcW w:w="1135" w:type="dxa"/>
            <w:gridSpan w:val="2"/>
            <w:tcBorders>
              <w:top w:val="nil"/>
              <w:left w:val="nil"/>
              <w:bottom w:val="nil"/>
              <w:right w:val="nil"/>
            </w:tcBorders>
            <w:shd w:val="clear" w:color="auto" w:fill="auto"/>
            <w:noWrap/>
            <w:vAlign w:val="bottom"/>
            <w:hideMark/>
          </w:tcPr>
          <w:p w14:paraId="346F5728" w14:textId="1B7AA5E0"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 </w:t>
            </w:r>
          </w:p>
        </w:tc>
        <w:tc>
          <w:tcPr>
            <w:tcW w:w="1074" w:type="dxa"/>
            <w:tcBorders>
              <w:top w:val="nil"/>
              <w:left w:val="nil"/>
              <w:bottom w:val="nil"/>
              <w:right w:val="nil"/>
            </w:tcBorders>
            <w:shd w:val="clear" w:color="auto" w:fill="E6E6E6"/>
            <w:noWrap/>
            <w:vAlign w:val="bottom"/>
            <w:hideMark/>
          </w:tcPr>
          <w:p w14:paraId="03E65DFB" w14:textId="52FBE942" w:rsidR="002570EE" w:rsidRPr="009D3766" w:rsidRDefault="002570EE" w:rsidP="002570EE">
            <w:pPr>
              <w:spacing w:after="0" w:line="240" w:lineRule="auto"/>
              <w:jc w:val="right"/>
              <w:rPr>
                <w:rFonts w:ascii="Arial" w:hAnsi="Arial" w:cs="Arial"/>
                <w:sz w:val="16"/>
                <w:szCs w:val="16"/>
              </w:rPr>
            </w:pPr>
            <w:r w:rsidRPr="009D3766">
              <w:rPr>
                <w:rFonts w:ascii="Arial" w:hAnsi="Arial" w:cs="Arial"/>
                <w:sz w:val="16"/>
                <w:szCs w:val="16"/>
              </w:rPr>
              <w:t xml:space="preserve">19,425 </w:t>
            </w:r>
          </w:p>
        </w:tc>
      </w:tr>
      <w:tr w:rsidR="002570EE" w:rsidRPr="00A175D8" w14:paraId="397B4498" w14:textId="77777777" w:rsidTr="009D3766">
        <w:trPr>
          <w:trHeight w:val="204"/>
        </w:trPr>
        <w:tc>
          <w:tcPr>
            <w:tcW w:w="3119" w:type="dxa"/>
            <w:tcBorders>
              <w:top w:val="nil"/>
              <w:left w:val="nil"/>
              <w:bottom w:val="nil"/>
              <w:right w:val="nil"/>
            </w:tcBorders>
            <w:shd w:val="clear" w:color="auto" w:fill="auto"/>
            <w:noWrap/>
            <w:vAlign w:val="bottom"/>
            <w:hideMark/>
          </w:tcPr>
          <w:p w14:paraId="7B8466AA" w14:textId="77777777" w:rsidR="002570EE" w:rsidRPr="009D3766" w:rsidRDefault="002570EE" w:rsidP="002570EE">
            <w:pPr>
              <w:spacing w:after="0" w:line="240" w:lineRule="auto"/>
              <w:jc w:val="left"/>
              <w:rPr>
                <w:rFonts w:ascii="Arial" w:hAnsi="Arial" w:cs="Arial"/>
                <w:iCs/>
                <w:sz w:val="16"/>
                <w:szCs w:val="16"/>
              </w:rPr>
            </w:pPr>
            <w:r w:rsidRPr="009D3766">
              <w:rPr>
                <w:rFonts w:ascii="Arial" w:hAnsi="Arial" w:cs="Arial"/>
                <w:iCs/>
                <w:sz w:val="16"/>
                <w:szCs w:val="16"/>
              </w:rPr>
              <w:t>Total special accounts receipts</w:t>
            </w:r>
          </w:p>
        </w:tc>
        <w:tc>
          <w:tcPr>
            <w:tcW w:w="1150" w:type="dxa"/>
            <w:tcBorders>
              <w:top w:val="single" w:sz="4" w:space="0" w:color="auto"/>
              <w:left w:val="nil"/>
              <w:bottom w:val="single" w:sz="4" w:space="0" w:color="auto"/>
              <w:right w:val="nil"/>
            </w:tcBorders>
            <w:shd w:val="clear" w:color="auto" w:fill="auto"/>
            <w:noWrap/>
            <w:vAlign w:val="bottom"/>
            <w:hideMark/>
          </w:tcPr>
          <w:p w14:paraId="2163832B" w14:textId="36D69FF4" w:rsidR="002570EE" w:rsidRPr="009D3766" w:rsidRDefault="002570EE" w:rsidP="002570EE">
            <w:pPr>
              <w:spacing w:after="0" w:line="240" w:lineRule="auto"/>
              <w:jc w:val="right"/>
              <w:rPr>
                <w:rFonts w:ascii="Arial" w:hAnsi="Arial" w:cs="Arial"/>
                <w:iCs/>
                <w:sz w:val="16"/>
                <w:szCs w:val="16"/>
              </w:rPr>
            </w:pPr>
            <w:r w:rsidRPr="009D3766">
              <w:rPr>
                <w:rFonts w:ascii="Arial" w:hAnsi="Arial" w:cs="Arial"/>
                <w:iCs/>
                <w:sz w:val="16"/>
                <w:szCs w:val="16"/>
              </w:rPr>
              <w:t xml:space="preserve">387,295 </w:t>
            </w:r>
          </w:p>
        </w:tc>
        <w:tc>
          <w:tcPr>
            <w:tcW w:w="1035" w:type="dxa"/>
            <w:tcBorders>
              <w:top w:val="single" w:sz="4" w:space="0" w:color="auto"/>
              <w:left w:val="nil"/>
              <w:bottom w:val="single" w:sz="4" w:space="0" w:color="auto"/>
              <w:right w:val="nil"/>
            </w:tcBorders>
            <w:shd w:val="clear" w:color="auto" w:fill="auto"/>
            <w:noWrap/>
            <w:vAlign w:val="bottom"/>
            <w:hideMark/>
          </w:tcPr>
          <w:p w14:paraId="01ABC265" w14:textId="713F412F" w:rsidR="002570EE" w:rsidRPr="009D3766" w:rsidRDefault="002570EE" w:rsidP="002570EE">
            <w:pPr>
              <w:spacing w:after="0" w:line="240" w:lineRule="auto"/>
              <w:jc w:val="right"/>
              <w:rPr>
                <w:rFonts w:ascii="Arial" w:hAnsi="Arial" w:cs="Arial"/>
                <w:iCs/>
                <w:sz w:val="16"/>
                <w:szCs w:val="16"/>
              </w:rPr>
            </w:pPr>
            <w:r w:rsidRPr="009D3766">
              <w:rPr>
                <w:rFonts w:ascii="Arial" w:hAnsi="Arial" w:cs="Arial"/>
                <w:iCs/>
                <w:sz w:val="16"/>
                <w:szCs w:val="16"/>
              </w:rPr>
              <w:t xml:space="preserve">384,464 </w:t>
            </w:r>
          </w:p>
        </w:tc>
        <w:tc>
          <w:tcPr>
            <w:tcW w:w="1135" w:type="dxa"/>
            <w:gridSpan w:val="2"/>
            <w:tcBorders>
              <w:top w:val="single" w:sz="4" w:space="0" w:color="auto"/>
              <w:left w:val="nil"/>
              <w:bottom w:val="single" w:sz="4" w:space="0" w:color="auto"/>
              <w:right w:val="nil"/>
            </w:tcBorders>
            <w:shd w:val="clear" w:color="auto" w:fill="auto"/>
            <w:noWrap/>
            <w:vAlign w:val="bottom"/>
            <w:hideMark/>
          </w:tcPr>
          <w:p w14:paraId="724B7051" w14:textId="17ABAA45" w:rsidR="002570EE" w:rsidRPr="009D3766" w:rsidRDefault="002570EE" w:rsidP="002570EE">
            <w:pPr>
              <w:spacing w:after="0" w:line="240" w:lineRule="auto"/>
              <w:jc w:val="right"/>
              <w:rPr>
                <w:rFonts w:ascii="Arial" w:hAnsi="Arial" w:cs="Arial"/>
                <w:iCs/>
                <w:sz w:val="16"/>
                <w:szCs w:val="16"/>
              </w:rPr>
            </w:pPr>
            <w:r w:rsidRPr="009D3766">
              <w:rPr>
                <w:rFonts w:ascii="Arial" w:hAnsi="Arial" w:cs="Arial"/>
                <w:iCs/>
                <w:sz w:val="16"/>
                <w:szCs w:val="16"/>
              </w:rPr>
              <w:t xml:space="preserve">15,389 </w:t>
            </w:r>
          </w:p>
        </w:tc>
        <w:tc>
          <w:tcPr>
            <w:tcW w:w="1074" w:type="dxa"/>
            <w:tcBorders>
              <w:top w:val="single" w:sz="4" w:space="0" w:color="auto"/>
              <w:left w:val="nil"/>
              <w:bottom w:val="single" w:sz="4" w:space="0" w:color="auto"/>
              <w:right w:val="nil"/>
            </w:tcBorders>
            <w:shd w:val="clear" w:color="auto" w:fill="E6E6E6"/>
            <w:noWrap/>
            <w:vAlign w:val="bottom"/>
            <w:hideMark/>
          </w:tcPr>
          <w:p w14:paraId="2E10117A" w14:textId="4FE39436" w:rsidR="002570EE" w:rsidRPr="009D3766" w:rsidRDefault="002570EE" w:rsidP="002570EE">
            <w:pPr>
              <w:spacing w:after="0" w:line="240" w:lineRule="auto"/>
              <w:jc w:val="right"/>
              <w:rPr>
                <w:rFonts w:ascii="Arial" w:hAnsi="Arial" w:cs="Arial"/>
                <w:iCs/>
                <w:sz w:val="16"/>
                <w:szCs w:val="16"/>
              </w:rPr>
            </w:pPr>
            <w:r w:rsidRPr="009D3766">
              <w:rPr>
                <w:rFonts w:ascii="Arial" w:hAnsi="Arial" w:cs="Arial"/>
                <w:iCs/>
                <w:sz w:val="16"/>
                <w:szCs w:val="16"/>
              </w:rPr>
              <w:t xml:space="preserve">399,853 </w:t>
            </w:r>
          </w:p>
        </w:tc>
      </w:tr>
      <w:tr w:rsidR="00724C2D" w:rsidRPr="00A175D8" w14:paraId="3F3A7851" w14:textId="77777777" w:rsidTr="009D3766">
        <w:trPr>
          <w:trHeight w:val="204"/>
        </w:trPr>
        <w:tc>
          <w:tcPr>
            <w:tcW w:w="3119" w:type="dxa"/>
            <w:tcBorders>
              <w:top w:val="nil"/>
              <w:left w:val="nil"/>
              <w:bottom w:val="nil"/>
              <w:right w:val="nil"/>
            </w:tcBorders>
            <w:shd w:val="clear" w:color="auto" w:fill="auto"/>
            <w:vAlign w:val="bottom"/>
            <w:hideMark/>
          </w:tcPr>
          <w:p w14:paraId="1CCA949C" w14:textId="77777777" w:rsidR="00724C2D" w:rsidRPr="009D3766" w:rsidRDefault="00724C2D" w:rsidP="00724C2D">
            <w:pPr>
              <w:spacing w:after="0" w:line="240" w:lineRule="auto"/>
              <w:ind w:left="113"/>
              <w:jc w:val="left"/>
              <w:rPr>
                <w:rFonts w:ascii="Arial" w:hAnsi="Arial" w:cs="Arial"/>
                <w:iCs/>
                <w:sz w:val="16"/>
                <w:szCs w:val="16"/>
              </w:rPr>
            </w:pPr>
            <w:r w:rsidRPr="009D3766">
              <w:rPr>
                <w:rFonts w:ascii="Arial" w:hAnsi="Arial" w:cs="Arial"/>
                <w:iCs/>
                <w:sz w:val="16"/>
                <w:szCs w:val="16"/>
              </w:rPr>
              <w:t xml:space="preserve">less administered appropriations drawn </w:t>
            </w:r>
            <w:r w:rsidRPr="009D3766">
              <w:rPr>
                <w:rFonts w:ascii="Arial" w:hAnsi="Arial" w:cs="Arial"/>
                <w:sz w:val="16"/>
                <w:szCs w:val="16"/>
              </w:rPr>
              <w:t>from</w:t>
            </w:r>
            <w:r w:rsidRPr="009D3766">
              <w:rPr>
                <w:rFonts w:ascii="Arial" w:hAnsi="Arial" w:cs="Arial"/>
                <w:iCs/>
                <w:sz w:val="16"/>
                <w:szCs w:val="16"/>
              </w:rPr>
              <w:t xml:space="preserve"> annual/ special appropriations and credited to special accounts</w:t>
            </w:r>
          </w:p>
        </w:tc>
        <w:tc>
          <w:tcPr>
            <w:tcW w:w="1150" w:type="dxa"/>
            <w:tcBorders>
              <w:top w:val="nil"/>
              <w:left w:val="nil"/>
              <w:right w:val="nil"/>
            </w:tcBorders>
            <w:shd w:val="clear" w:color="auto" w:fill="auto"/>
            <w:noWrap/>
            <w:vAlign w:val="bottom"/>
            <w:hideMark/>
          </w:tcPr>
          <w:p w14:paraId="22B3F18D" w14:textId="71ABD0D3" w:rsidR="00724C2D" w:rsidRPr="009D3766" w:rsidRDefault="00724C2D" w:rsidP="00724C2D">
            <w:pPr>
              <w:spacing w:after="0" w:line="240" w:lineRule="auto"/>
              <w:jc w:val="right"/>
              <w:rPr>
                <w:rFonts w:ascii="Arial" w:hAnsi="Arial" w:cs="Arial"/>
                <w:iCs/>
                <w:sz w:val="16"/>
                <w:szCs w:val="16"/>
              </w:rPr>
            </w:pPr>
            <w:r w:rsidRPr="009D3766">
              <w:rPr>
                <w:rFonts w:ascii="Arial" w:hAnsi="Arial" w:cs="Arial"/>
                <w:iCs/>
                <w:sz w:val="16"/>
                <w:szCs w:val="16"/>
              </w:rPr>
              <w:t>(345,483)</w:t>
            </w:r>
          </w:p>
        </w:tc>
        <w:tc>
          <w:tcPr>
            <w:tcW w:w="1035" w:type="dxa"/>
            <w:tcBorders>
              <w:top w:val="nil"/>
              <w:left w:val="nil"/>
              <w:right w:val="nil"/>
            </w:tcBorders>
            <w:shd w:val="clear" w:color="auto" w:fill="auto"/>
            <w:noWrap/>
            <w:vAlign w:val="bottom"/>
            <w:hideMark/>
          </w:tcPr>
          <w:p w14:paraId="6C466FA2" w14:textId="4F668ECE" w:rsidR="00724C2D" w:rsidRPr="009D3766" w:rsidRDefault="00724C2D" w:rsidP="00724C2D">
            <w:pPr>
              <w:spacing w:after="0" w:line="240" w:lineRule="auto"/>
              <w:jc w:val="right"/>
              <w:rPr>
                <w:rFonts w:ascii="Arial" w:hAnsi="Arial" w:cs="Arial"/>
                <w:iCs/>
                <w:sz w:val="16"/>
                <w:szCs w:val="16"/>
              </w:rPr>
            </w:pPr>
            <w:r>
              <w:rPr>
                <w:rFonts w:ascii="Arial" w:hAnsi="Arial" w:cs="Arial"/>
                <w:sz w:val="16"/>
                <w:szCs w:val="16"/>
              </w:rPr>
              <w:t>(337,694)</w:t>
            </w:r>
          </w:p>
        </w:tc>
        <w:tc>
          <w:tcPr>
            <w:tcW w:w="1135" w:type="dxa"/>
            <w:gridSpan w:val="2"/>
            <w:tcBorders>
              <w:top w:val="nil"/>
              <w:left w:val="nil"/>
              <w:right w:val="nil"/>
            </w:tcBorders>
            <w:shd w:val="clear" w:color="auto" w:fill="auto"/>
            <w:noWrap/>
            <w:vAlign w:val="bottom"/>
            <w:hideMark/>
          </w:tcPr>
          <w:p w14:paraId="51EE5914" w14:textId="79FB9A43" w:rsidR="00724C2D" w:rsidRPr="009D3766" w:rsidRDefault="00724C2D" w:rsidP="00724C2D">
            <w:pPr>
              <w:spacing w:after="0" w:line="240" w:lineRule="auto"/>
              <w:jc w:val="right"/>
              <w:rPr>
                <w:rFonts w:ascii="Arial" w:hAnsi="Arial" w:cs="Arial"/>
                <w:iCs/>
                <w:sz w:val="16"/>
                <w:szCs w:val="16"/>
              </w:rPr>
            </w:pPr>
            <w:r>
              <w:rPr>
                <w:rFonts w:ascii="Arial" w:hAnsi="Arial" w:cs="Arial"/>
                <w:sz w:val="16"/>
                <w:szCs w:val="16"/>
              </w:rPr>
              <w:t>(500)</w:t>
            </w:r>
          </w:p>
        </w:tc>
        <w:tc>
          <w:tcPr>
            <w:tcW w:w="1074" w:type="dxa"/>
            <w:tcBorders>
              <w:top w:val="nil"/>
              <w:left w:val="nil"/>
              <w:right w:val="nil"/>
            </w:tcBorders>
            <w:shd w:val="clear" w:color="auto" w:fill="E6E6E6"/>
            <w:noWrap/>
            <w:vAlign w:val="bottom"/>
            <w:hideMark/>
          </w:tcPr>
          <w:p w14:paraId="7FD59177" w14:textId="4C458624" w:rsidR="00724C2D" w:rsidRPr="009D3766" w:rsidRDefault="00724C2D" w:rsidP="00724C2D">
            <w:pPr>
              <w:spacing w:after="0" w:line="240" w:lineRule="auto"/>
              <w:jc w:val="right"/>
              <w:rPr>
                <w:rFonts w:ascii="Arial" w:hAnsi="Arial" w:cs="Arial"/>
                <w:iCs/>
                <w:sz w:val="16"/>
                <w:szCs w:val="16"/>
              </w:rPr>
            </w:pPr>
            <w:r>
              <w:rPr>
                <w:rFonts w:ascii="Arial" w:hAnsi="Arial" w:cs="Arial"/>
                <w:sz w:val="16"/>
                <w:szCs w:val="16"/>
              </w:rPr>
              <w:t>(338,194)</w:t>
            </w:r>
          </w:p>
        </w:tc>
      </w:tr>
      <w:tr w:rsidR="00724C2D" w:rsidRPr="00A175D8" w14:paraId="750273C6" w14:textId="77777777" w:rsidTr="009D3766">
        <w:trPr>
          <w:trHeight w:val="204"/>
        </w:trPr>
        <w:tc>
          <w:tcPr>
            <w:tcW w:w="3119" w:type="dxa"/>
            <w:tcBorders>
              <w:top w:val="nil"/>
              <w:left w:val="nil"/>
              <w:bottom w:val="nil"/>
              <w:right w:val="nil"/>
            </w:tcBorders>
            <w:shd w:val="clear" w:color="auto" w:fill="auto"/>
            <w:vAlign w:val="bottom"/>
            <w:hideMark/>
          </w:tcPr>
          <w:p w14:paraId="41269F75" w14:textId="77777777" w:rsidR="00724C2D" w:rsidRPr="009D3766" w:rsidRDefault="00724C2D" w:rsidP="00724C2D">
            <w:pPr>
              <w:spacing w:after="0" w:line="240" w:lineRule="auto"/>
              <w:ind w:left="113"/>
              <w:jc w:val="left"/>
              <w:rPr>
                <w:rFonts w:ascii="Arial" w:hAnsi="Arial" w:cs="Arial"/>
                <w:iCs/>
                <w:sz w:val="16"/>
                <w:szCs w:val="16"/>
              </w:rPr>
            </w:pPr>
            <w:r w:rsidRPr="009D3766">
              <w:rPr>
                <w:rFonts w:ascii="Arial" w:hAnsi="Arial" w:cs="Arial"/>
                <w:iCs/>
                <w:sz w:val="16"/>
                <w:szCs w:val="16"/>
              </w:rPr>
              <w:t xml:space="preserve">less payments to corporate entities from </w:t>
            </w:r>
            <w:r w:rsidRPr="009D3766">
              <w:rPr>
                <w:rFonts w:ascii="Arial" w:hAnsi="Arial" w:cs="Arial"/>
                <w:sz w:val="16"/>
                <w:szCs w:val="16"/>
              </w:rPr>
              <w:t>annual</w:t>
            </w:r>
            <w:r w:rsidRPr="009D3766">
              <w:rPr>
                <w:rFonts w:ascii="Arial" w:hAnsi="Arial" w:cs="Arial"/>
                <w:iCs/>
                <w:sz w:val="16"/>
                <w:szCs w:val="16"/>
              </w:rPr>
              <w:t>/special appropriations</w:t>
            </w:r>
          </w:p>
        </w:tc>
        <w:tc>
          <w:tcPr>
            <w:tcW w:w="1150" w:type="dxa"/>
            <w:tcBorders>
              <w:top w:val="nil"/>
              <w:left w:val="nil"/>
              <w:bottom w:val="single" w:sz="4" w:space="0" w:color="auto"/>
              <w:right w:val="nil"/>
            </w:tcBorders>
            <w:shd w:val="clear" w:color="auto" w:fill="auto"/>
            <w:noWrap/>
            <w:vAlign w:val="bottom"/>
            <w:hideMark/>
          </w:tcPr>
          <w:p w14:paraId="01C011CA" w14:textId="609E2CB4" w:rsidR="00724C2D" w:rsidRPr="009D3766" w:rsidRDefault="00724C2D" w:rsidP="00724C2D">
            <w:pPr>
              <w:spacing w:after="0" w:line="240" w:lineRule="auto"/>
              <w:jc w:val="right"/>
              <w:rPr>
                <w:rFonts w:ascii="Arial" w:hAnsi="Arial" w:cs="Arial"/>
                <w:iCs/>
                <w:sz w:val="16"/>
                <w:szCs w:val="16"/>
              </w:rPr>
            </w:pPr>
            <w:r w:rsidRPr="009D3766">
              <w:rPr>
                <w:rFonts w:ascii="Arial" w:hAnsi="Arial" w:cs="Arial"/>
                <w:iCs/>
                <w:sz w:val="16"/>
                <w:szCs w:val="16"/>
              </w:rPr>
              <w:t>(2,302,411)</w:t>
            </w:r>
          </w:p>
        </w:tc>
        <w:tc>
          <w:tcPr>
            <w:tcW w:w="1035" w:type="dxa"/>
            <w:tcBorders>
              <w:top w:val="nil"/>
              <w:left w:val="nil"/>
              <w:bottom w:val="single" w:sz="4" w:space="0" w:color="auto"/>
              <w:right w:val="nil"/>
            </w:tcBorders>
            <w:shd w:val="clear" w:color="auto" w:fill="auto"/>
            <w:noWrap/>
            <w:vAlign w:val="bottom"/>
            <w:hideMark/>
          </w:tcPr>
          <w:p w14:paraId="40773465" w14:textId="5685E52C" w:rsidR="00724C2D" w:rsidRPr="009D3766" w:rsidRDefault="00724C2D" w:rsidP="00724C2D">
            <w:pPr>
              <w:spacing w:after="0" w:line="240" w:lineRule="auto"/>
              <w:jc w:val="right"/>
              <w:rPr>
                <w:rFonts w:ascii="Arial" w:hAnsi="Arial" w:cs="Arial"/>
                <w:iCs/>
                <w:sz w:val="16"/>
                <w:szCs w:val="16"/>
              </w:rPr>
            </w:pPr>
            <w:r>
              <w:rPr>
                <w:rFonts w:ascii="Arial" w:hAnsi="Arial" w:cs="Arial"/>
                <w:sz w:val="16"/>
                <w:szCs w:val="16"/>
              </w:rPr>
              <w:t>(2,398,083)</w:t>
            </w:r>
          </w:p>
        </w:tc>
        <w:tc>
          <w:tcPr>
            <w:tcW w:w="1135" w:type="dxa"/>
            <w:gridSpan w:val="2"/>
            <w:tcBorders>
              <w:top w:val="nil"/>
              <w:left w:val="nil"/>
              <w:bottom w:val="single" w:sz="4" w:space="0" w:color="auto"/>
              <w:right w:val="nil"/>
            </w:tcBorders>
            <w:shd w:val="clear" w:color="auto" w:fill="auto"/>
            <w:noWrap/>
            <w:vAlign w:val="bottom"/>
            <w:hideMark/>
          </w:tcPr>
          <w:p w14:paraId="06D50867" w14:textId="78C123FC" w:rsidR="00724C2D" w:rsidRPr="009D3766" w:rsidRDefault="00724C2D" w:rsidP="00724C2D">
            <w:pPr>
              <w:spacing w:after="0" w:line="240" w:lineRule="auto"/>
              <w:jc w:val="right"/>
              <w:rPr>
                <w:rFonts w:ascii="Arial" w:hAnsi="Arial" w:cs="Arial"/>
                <w:iCs/>
                <w:sz w:val="16"/>
                <w:szCs w:val="16"/>
              </w:rPr>
            </w:pPr>
            <w:r>
              <w:rPr>
                <w:rFonts w:ascii="Arial" w:hAnsi="Arial" w:cs="Arial"/>
                <w:sz w:val="16"/>
                <w:szCs w:val="16"/>
              </w:rPr>
              <w:t>(5,323)</w:t>
            </w:r>
          </w:p>
        </w:tc>
        <w:tc>
          <w:tcPr>
            <w:tcW w:w="1074" w:type="dxa"/>
            <w:tcBorders>
              <w:top w:val="nil"/>
              <w:left w:val="nil"/>
              <w:bottom w:val="single" w:sz="4" w:space="0" w:color="auto"/>
              <w:right w:val="nil"/>
            </w:tcBorders>
            <w:shd w:val="clear" w:color="auto" w:fill="E6E6E6"/>
            <w:noWrap/>
            <w:vAlign w:val="bottom"/>
            <w:hideMark/>
          </w:tcPr>
          <w:p w14:paraId="3FA9ED54" w14:textId="07729BCF" w:rsidR="00724C2D" w:rsidRPr="009D3766" w:rsidRDefault="00724C2D" w:rsidP="00724C2D">
            <w:pPr>
              <w:spacing w:after="0" w:line="240" w:lineRule="auto"/>
              <w:jc w:val="right"/>
              <w:rPr>
                <w:rFonts w:ascii="Arial" w:hAnsi="Arial" w:cs="Arial"/>
                <w:iCs/>
                <w:sz w:val="16"/>
                <w:szCs w:val="16"/>
              </w:rPr>
            </w:pPr>
            <w:r>
              <w:rPr>
                <w:rFonts w:ascii="Arial" w:hAnsi="Arial" w:cs="Arial"/>
                <w:sz w:val="16"/>
                <w:szCs w:val="16"/>
              </w:rPr>
              <w:t>(2,403,406)</w:t>
            </w:r>
          </w:p>
        </w:tc>
      </w:tr>
      <w:tr w:rsidR="00724C2D" w:rsidRPr="00A175D8" w14:paraId="07EF81DB" w14:textId="77777777" w:rsidTr="009D3766">
        <w:trPr>
          <w:trHeight w:val="204"/>
        </w:trPr>
        <w:tc>
          <w:tcPr>
            <w:tcW w:w="3119" w:type="dxa"/>
            <w:tcBorders>
              <w:top w:val="nil"/>
              <w:left w:val="nil"/>
              <w:bottom w:val="nil"/>
              <w:right w:val="nil"/>
            </w:tcBorders>
            <w:shd w:val="clear" w:color="auto" w:fill="auto"/>
            <w:noWrap/>
            <w:vAlign w:val="bottom"/>
            <w:hideMark/>
          </w:tcPr>
          <w:p w14:paraId="3D4CCF65" w14:textId="77777777" w:rsidR="00724C2D" w:rsidRPr="009D3766" w:rsidRDefault="00724C2D" w:rsidP="00724C2D">
            <w:pPr>
              <w:spacing w:after="0" w:line="240" w:lineRule="auto"/>
              <w:jc w:val="left"/>
              <w:rPr>
                <w:rFonts w:ascii="Arial" w:hAnsi="Arial" w:cs="Arial"/>
                <w:b/>
                <w:bCs/>
                <w:iCs/>
                <w:sz w:val="16"/>
                <w:szCs w:val="16"/>
              </w:rPr>
            </w:pPr>
            <w:r w:rsidRPr="009D3766">
              <w:rPr>
                <w:rFonts w:ascii="Arial" w:hAnsi="Arial" w:cs="Arial"/>
                <w:b/>
                <w:bCs/>
                <w:iCs/>
                <w:sz w:val="16"/>
                <w:szCs w:val="16"/>
              </w:rPr>
              <w:t>Total administered resourcing</w:t>
            </w:r>
          </w:p>
        </w:tc>
        <w:tc>
          <w:tcPr>
            <w:tcW w:w="1150" w:type="dxa"/>
            <w:tcBorders>
              <w:top w:val="single" w:sz="4" w:space="0" w:color="auto"/>
              <w:left w:val="nil"/>
              <w:bottom w:val="single" w:sz="4" w:space="0" w:color="auto"/>
              <w:right w:val="nil"/>
            </w:tcBorders>
            <w:shd w:val="clear" w:color="auto" w:fill="auto"/>
            <w:noWrap/>
            <w:vAlign w:val="bottom"/>
            <w:hideMark/>
          </w:tcPr>
          <w:p w14:paraId="46BD3048" w14:textId="09B4E87B" w:rsidR="00724C2D" w:rsidRPr="009D3766" w:rsidRDefault="00724C2D" w:rsidP="00724C2D">
            <w:pPr>
              <w:spacing w:after="0" w:line="240" w:lineRule="auto"/>
              <w:jc w:val="right"/>
              <w:rPr>
                <w:rFonts w:ascii="Arial" w:hAnsi="Arial" w:cs="Arial"/>
                <w:b/>
                <w:bCs/>
                <w:iCs/>
                <w:sz w:val="16"/>
                <w:szCs w:val="16"/>
              </w:rPr>
            </w:pPr>
            <w:r w:rsidRPr="009D3766">
              <w:rPr>
                <w:rFonts w:ascii="Arial" w:hAnsi="Arial" w:cs="Arial"/>
                <w:b/>
                <w:bCs/>
                <w:iCs/>
                <w:sz w:val="16"/>
                <w:szCs w:val="16"/>
              </w:rPr>
              <w:t xml:space="preserve">12,789,562 </w:t>
            </w:r>
          </w:p>
        </w:tc>
        <w:tc>
          <w:tcPr>
            <w:tcW w:w="1035" w:type="dxa"/>
            <w:tcBorders>
              <w:top w:val="single" w:sz="4" w:space="0" w:color="auto"/>
              <w:left w:val="nil"/>
              <w:bottom w:val="single" w:sz="4" w:space="0" w:color="auto"/>
              <w:right w:val="nil"/>
            </w:tcBorders>
            <w:shd w:val="clear" w:color="auto" w:fill="auto"/>
            <w:noWrap/>
            <w:vAlign w:val="bottom"/>
            <w:hideMark/>
          </w:tcPr>
          <w:p w14:paraId="62F204C8" w14:textId="14A0488B" w:rsidR="00724C2D" w:rsidRPr="009D3766" w:rsidRDefault="00724C2D" w:rsidP="00724C2D">
            <w:pPr>
              <w:spacing w:after="0" w:line="240" w:lineRule="auto"/>
              <w:jc w:val="right"/>
              <w:rPr>
                <w:rFonts w:ascii="Arial" w:hAnsi="Arial" w:cs="Arial"/>
                <w:b/>
                <w:bCs/>
                <w:iCs/>
                <w:sz w:val="16"/>
                <w:szCs w:val="16"/>
              </w:rPr>
            </w:pPr>
            <w:r>
              <w:rPr>
                <w:rFonts w:ascii="Arial" w:hAnsi="Arial" w:cs="Arial"/>
                <w:b/>
                <w:bCs/>
                <w:sz w:val="16"/>
                <w:szCs w:val="16"/>
              </w:rPr>
              <w:t xml:space="preserve">11,029,968 </w:t>
            </w:r>
          </w:p>
        </w:tc>
        <w:tc>
          <w:tcPr>
            <w:tcW w:w="1135" w:type="dxa"/>
            <w:gridSpan w:val="2"/>
            <w:tcBorders>
              <w:top w:val="single" w:sz="4" w:space="0" w:color="auto"/>
              <w:left w:val="nil"/>
              <w:bottom w:val="single" w:sz="4" w:space="0" w:color="auto"/>
              <w:right w:val="nil"/>
            </w:tcBorders>
            <w:shd w:val="clear" w:color="auto" w:fill="auto"/>
            <w:noWrap/>
            <w:vAlign w:val="bottom"/>
            <w:hideMark/>
          </w:tcPr>
          <w:p w14:paraId="33148B49" w14:textId="32D76DB0" w:rsidR="00724C2D" w:rsidRPr="009D3766" w:rsidRDefault="00724C2D" w:rsidP="00724C2D">
            <w:pPr>
              <w:spacing w:after="0" w:line="240" w:lineRule="auto"/>
              <w:jc w:val="right"/>
              <w:rPr>
                <w:rFonts w:ascii="Arial" w:hAnsi="Arial" w:cs="Arial"/>
                <w:b/>
                <w:bCs/>
                <w:iCs/>
                <w:sz w:val="16"/>
                <w:szCs w:val="16"/>
              </w:rPr>
            </w:pPr>
            <w:r>
              <w:rPr>
                <w:rFonts w:ascii="Arial" w:hAnsi="Arial" w:cs="Arial"/>
                <w:b/>
                <w:bCs/>
                <w:sz w:val="16"/>
                <w:szCs w:val="16"/>
              </w:rPr>
              <w:t xml:space="preserve">1,369,230 </w:t>
            </w:r>
          </w:p>
        </w:tc>
        <w:tc>
          <w:tcPr>
            <w:tcW w:w="1074" w:type="dxa"/>
            <w:tcBorders>
              <w:top w:val="single" w:sz="4" w:space="0" w:color="auto"/>
              <w:left w:val="nil"/>
              <w:bottom w:val="single" w:sz="4" w:space="0" w:color="auto"/>
              <w:right w:val="nil"/>
            </w:tcBorders>
            <w:shd w:val="clear" w:color="auto" w:fill="E6E6E6"/>
            <w:noWrap/>
            <w:vAlign w:val="bottom"/>
            <w:hideMark/>
          </w:tcPr>
          <w:p w14:paraId="73DD32B7" w14:textId="1008C14F" w:rsidR="00724C2D" w:rsidRPr="009D3766" w:rsidRDefault="00724C2D" w:rsidP="00724C2D">
            <w:pPr>
              <w:spacing w:after="0" w:line="240" w:lineRule="auto"/>
              <w:jc w:val="right"/>
              <w:rPr>
                <w:rFonts w:ascii="Arial" w:hAnsi="Arial" w:cs="Arial"/>
                <w:b/>
                <w:bCs/>
                <w:iCs/>
                <w:sz w:val="16"/>
                <w:szCs w:val="16"/>
              </w:rPr>
            </w:pPr>
            <w:r>
              <w:rPr>
                <w:rFonts w:ascii="Arial" w:hAnsi="Arial" w:cs="Arial"/>
                <w:b/>
                <w:bCs/>
                <w:sz w:val="16"/>
                <w:szCs w:val="16"/>
              </w:rPr>
              <w:t xml:space="preserve">12,399,198 </w:t>
            </w:r>
          </w:p>
        </w:tc>
      </w:tr>
      <w:tr w:rsidR="00724C2D" w:rsidRPr="00A175D8" w14:paraId="33D7E72F" w14:textId="77777777" w:rsidTr="009D3766">
        <w:trPr>
          <w:trHeight w:val="204"/>
        </w:trPr>
        <w:tc>
          <w:tcPr>
            <w:tcW w:w="3119" w:type="dxa"/>
            <w:tcBorders>
              <w:top w:val="nil"/>
              <w:left w:val="nil"/>
              <w:bottom w:val="single" w:sz="4" w:space="0" w:color="auto"/>
              <w:right w:val="nil"/>
            </w:tcBorders>
            <w:shd w:val="clear" w:color="auto" w:fill="auto"/>
            <w:noWrap/>
            <w:vAlign w:val="bottom"/>
            <w:hideMark/>
          </w:tcPr>
          <w:p w14:paraId="7849385D" w14:textId="77777777" w:rsidR="00724C2D" w:rsidRPr="009D3766" w:rsidRDefault="00724C2D" w:rsidP="00724C2D">
            <w:pPr>
              <w:spacing w:after="0" w:line="240" w:lineRule="auto"/>
              <w:jc w:val="left"/>
              <w:rPr>
                <w:rFonts w:ascii="Arial" w:hAnsi="Arial" w:cs="Arial"/>
                <w:b/>
                <w:bCs/>
                <w:sz w:val="16"/>
                <w:szCs w:val="16"/>
              </w:rPr>
            </w:pPr>
            <w:r w:rsidRPr="009D3766">
              <w:rPr>
                <w:rFonts w:ascii="Arial" w:hAnsi="Arial" w:cs="Arial"/>
                <w:b/>
                <w:bCs/>
                <w:sz w:val="16"/>
                <w:szCs w:val="16"/>
              </w:rPr>
              <w:t>Total resourcing</w:t>
            </w:r>
          </w:p>
        </w:tc>
        <w:tc>
          <w:tcPr>
            <w:tcW w:w="1150" w:type="dxa"/>
            <w:tcBorders>
              <w:top w:val="nil"/>
              <w:left w:val="nil"/>
              <w:bottom w:val="single" w:sz="4" w:space="0" w:color="auto"/>
              <w:right w:val="nil"/>
            </w:tcBorders>
            <w:shd w:val="clear" w:color="auto" w:fill="auto"/>
            <w:noWrap/>
            <w:vAlign w:val="bottom"/>
            <w:hideMark/>
          </w:tcPr>
          <w:p w14:paraId="2C044A16" w14:textId="0AF8FFF4" w:rsidR="00724C2D" w:rsidRPr="009D3766" w:rsidRDefault="00724C2D" w:rsidP="00724C2D">
            <w:pPr>
              <w:spacing w:after="0" w:line="240" w:lineRule="auto"/>
              <w:jc w:val="right"/>
              <w:rPr>
                <w:rFonts w:ascii="Arial" w:hAnsi="Arial" w:cs="Arial"/>
                <w:b/>
                <w:bCs/>
                <w:sz w:val="16"/>
                <w:szCs w:val="16"/>
              </w:rPr>
            </w:pPr>
            <w:r w:rsidRPr="009D3766">
              <w:rPr>
                <w:rFonts w:ascii="Arial" w:hAnsi="Arial" w:cs="Arial"/>
                <w:b/>
                <w:bCs/>
                <w:sz w:val="16"/>
                <w:szCs w:val="16"/>
              </w:rPr>
              <w:t xml:space="preserve">13,352,284 </w:t>
            </w:r>
          </w:p>
        </w:tc>
        <w:tc>
          <w:tcPr>
            <w:tcW w:w="1035" w:type="dxa"/>
            <w:tcBorders>
              <w:top w:val="nil"/>
              <w:left w:val="nil"/>
              <w:bottom w:val="single" w:sz="4" w:space="0" w:color="auto"/>
              <w:right w:val="nil"/>
            </w:tcBorders>
            <w:shd w:val="clear" w:color="auto" w:fill="auto"/>
            <w:noWrap/>
            <w:vAlign w:val="bottom"/>
            <w:hideMark/>
          </w:tcPr>
          <w:p w14:paraId="3B9B0309" w14:textId="277C70FE" w:rsidR="00724C2D" w:rsidRPr="009D3766" w:rsidRDefault="00724C2D" w:rsidP="00724C2D">
            <w:pPr>
              <w:spacing w:after="0" w:line="240" w:lineRule="auto"/>
              <w:jc w:val="right"/>
              <w:rPr>
                <w:rFonts w:ascii="Arial" w:hAnsi="Arial" w:cs="Arial"/>
                <w:b/>
                <w:bCs/>
                <w:sz w:val="16"/>
                <w:szCs w:val="16"/>
              </w:rPr>
            </w:pPr>
            <w:r>
              <w:rPr>
                <w:rFonts w:ascii="Arial" w:hAnsi="Arial" w:cs="Arial"/>
                <w:b/>
                <w:bCs/>
                <w:sz w:val="16"/>
                <w:szCs w:val="16"/>
              </w:rPr>
              <w:t xml:space="preserve">11,604,311 </w:t>
            </w:r>
          </w:p>
        </w:tc>
        <w:tc>
          <w:tcPr>
            <w:tcW w:w="1135" w:type="dxa"/>
            <w:gridSpan w:val="2"/>
            <w:tcBorders>
              <w:top w:val="nil"/>
              <w:left w:val="nil"/>
              <w:bottom w:val="single" w:sz="4" w:space="0" w:color="auto"/>
              <w:right w:val="nil"/>
            </w:tcBorders>
            <w:shd w:val="clear" w:color="auto" w:fill="auto"/>
            <w:noWrap/>
            <w:vAlign w:val="bottom"/>
            <w:hideMark/>
          </w:tcPr>
          <w:p w14:paraId="06A67B1D" w14:textId="75607960" w:rsidR="00724C2D" w:rsidRPr="009D3766" w:rsidRDefault="00724C2D" w:rsidP="00724C2D">
            <w:pPr>
              <w:spacing w:after="0" w:line="240" w:lineRule="auto"/>
              <w:jc w:val="right"/>
              <w:rPr>
                <w:rFonts w:ascii="Arial" w:hAnsi="Arial" w:cs="Arial"/>
                <w:b/>
                <w:bCs/>
                <w:sz w:val="16"/>
                <w:szCs w:val="16"/>
              </w:rPr>
            </w:pPr>
            <w:r>
              <w:rPr>
                <w:rFonts w:ascii="Arial" w:hAnsi="Arial" w:cs="Arial"/>
                <w:b/>
                <w:bCs/>
                <w:sz w:val="16"/>
                <w:szCs w:val="16"/>
              </w:rPr>
              <w:t xml:space="preserve">1,381,130 </w:t>
            </w:r>
          </w:p>
        </w:tc>
        <w:tc>
          <w:tcPr>
            <w:tcW w:w="1074" w:type="dxa"/>
            <w:tcBorders>
              <w:top w:val="nil"/>
              <w:left w:val="nil"/>
              <w:bottom w:val="single" w:sz="4" w:space="0" w:color="auto"/>
              <w:right w:val="nil"/>
            </w:tcBorders>
            <w:shd w:val="clear" w:color="auto" w:fill="E6E6E6"/>
            <w:noWrap/>
            <w:vAlign w:val="bottom"/>
            <w:hideMark/>
          </w:tcPr>
          <w:p w14:paraId="5EF68EFA" w14:textId="2CA39635" w:rsidR="00724C2D" w:rsidRPr="009D3766" w:rsidRDefault="00724C2D" w:rsidP="00724C2D">
            <w:pPr>
              <w:spacing w:after="0" w:line="240" w:lineRule="auto"/>
              <w:jc w:val="right"/>
              <w:rPr>
                <w:rFonts w:ascii="Arial" w:hAnsi="Arial" w:cs="Arial"/>
                <w:b/>
                <w:bCs/>
                <w:sz w:val="16"/>
                <w:szCs w:val="16"/>
              </w:rPr>
            </w:pPr>
            <w:r>
              <w:rPr>
                <w:rFonts w:ascii="Arial" w:hAnsi="Arial" w:cs="Arial"/>
                <w:b/>
                <w:bCs/>
                <w:sz w:val="16"/>
                <w:szCs w:val="16"/>
              </w:rPr>
              <w:t xml:space="preserve">12,985,441 </w:t>
            </w:r>
          </w:p>
        </w:tc>
      </w:tr>
    </w:tbl>
    <w:p w14:paraId="08CFFFEB" w14:textId="5513E27A" w:rsidR="00081844" w:rsidRPr="009D63B8" w:rsidRDefault="00081844" w:rsidP="008132A9">
      <w:pPr>
        <w:spacing w:after="0" w:line="240" w:lineRule="auto"/>
        <w:rPr>
          <w:rFonts w:ascii="Arial" w:hAnsi="Arial" w:cs="Arial"/>
          <w:sz w:val="16"/>
        </w:rPr>
      </w:pPr>
    </w:p>
    <w:tbl>
      <w:tblPr>
        <w:tblW w:w="0" w:type="auto"/>
        <w:tblLayout w:type="fixed"/>
        <w:tblLook w:val="04A0" w:firstRow="1" w:lastRow="0" w:firstColumn="1" w:lastColumn="0" w:noHBand="0" w:noVBand="1"/>
      </w:tblPr>
      <w:tblGrid>
        <w:gridCol w:w="3119"/>
        <w:gridCol w:w="1134"/>
        <w:gridCol w:w="1096"/>
        <w:gridCol w:w="1104"/>
        <w:gridCol w:w="1060"/>
      </w:tblGrid>
      <w:tr w:rsidR="000F670D" w:rsidRPr="00081844" w14:paraId="1F084390" w14:textId="77777777" w:rsidTr="00736B08">
        <w:trPr>
          <w:trHeight w:val="204"/>
        </w:trPr>
        <w:tc>
          <w:tcPr>
            <w:tcW w:w="3119" w:type="dxa"/>
            <w:tcBorders>
              <w:top w:val="single" w:sz="4" w:space="0" w:color="auto"/>
              <w:left w:val="nil"/>
              <w:bottom w:val="nil"/>
              <w:right w:val="nil"/>
            </w:tcBorders>
            <w:shd w:val="clear" w:color="auto" w:fill="auto"/>
            <w:noWrap/>
            <w:hideMark/>
          </w:tcPr>
          <w:p w14:paraId="2AB8EB65" w14:textId="77777777" w:rsidR="000F670D" w:rsidRPr="00081844" w:rsidRDefault="000F670D" w:rsidP="00D07110">
            <w:pPr>
              <w:spacing w:after="0" w:line="240" w:lineRule="auto"/>
              <w:jc w:val="right"/>
              <w:outlineLvl w:val="0"/>
              <w:rPr>
                <w:rFonts w:ascii="Arial" w:hAnsi="Arial" w:cs="Arial"/>
                <w:sz w:val="16"/>
                <w:szCs w:val="16"/>
              </w:rPr>
            </w:pPr>
          </w:p>
        </w:tc>
        <w:tc>
          <w:tcPr>
            <w:tcW w:w="1134" w:type="dxa"/>
            <w:tcBorders>
              <w:top w:val="single" w:sz="4" w:space="0" w:color="auto"/>
              <w:left w:val="nil"/>
              <w:right w:val="nil"/>
            </w:tcBorders>
            <w:shd w:val="clear" w:color="auto" w:fill="auto"/>
            <w:noWrap/>
            <w:vAlign w:val="bottom"/>
          </w:tcPr>
          <w:p w14:paraId="132B5A42" w14:textId="77777777" w:rsidR="000F670D" w:rsidRPr="00EB1C78" w:rsidRDefault="000F670D" w:rsidP="00D07110">
            <w:pPr>
              <w:spacing w:after="0" w:line="240" w:lineRule="auto"/>
              <w:jc w:val="right"/>
              <w:rPr>
                <w:rFonts w:ascii="Arial" w:hAnsi="Arial" w:cs="Arial"/>
                <w:sz w:val="16"/>
                <w:szCs w:val="16"/>
              </w:rPr>
            </w:pPr>
          </w:p>
        </w:tc>
        <w:tc>
          <w:tcPr>
            <w:tcW w:w="1096" w:type="dxa"/>
            <w:tcBorders>
              <w:top w:val="single" w:sz="4" w:space="0" w:color="auto"/>
              <w:left w:val="nil"/>
              <w:right w:val="nil"/>
            </w:tcBorders>
            <w:shd w:val="clear" w:color="auto" w:fill="auto"/>
            <w:noWrap/>
            <w:vAlign w:val="bottom"/>
            <w:hideMark/>
          </w:tcPr>
          <w:p w14:paraId="01326448" w14:textId="7CA9656E" w:rsidR="000F670D" w:rsidRPr="00EB1C78" w:rsidRDefault="000F670D" w:rsidP="009D63B8">
            <w:pPr>
              <w:spacing w:after="0" w:line="240" w:lineRule="auto"/>
              <w:jc w:val="right"/>
              <w:rPr>
                <w:rFonts w:ascii="Arial" w:hAnsi="Arial" w:cs="Arial"/>
                <w:sz w:val="16"/>
                <w:szCs w:val="16"/>
              </w:rPr>
            </w:pPr>
          </w:p>
        </w:tc>
        <w:tc>
          <w:tcPr>
            <w:tcW w:w="1104" w:type="dxa"/>
            <w:tcBorders>
              <w:top w:val="single" w:sz="4" w:space="0" w:color="auto"/>
              <w:left w:val="nil"/>
              <w:bottom w:val="single" w:sz="4" w:space="0" w:color="auto"/>
              <w:right w:val="nil"/>
            </w:tcBorders>
            <w:shd w:val="clear" w:color="auto" w:fill="auto"/>
            <w:noWrap/>
            <w:vAlign w:val="bottom"/>
            <w:hideMark/>
          </w:tcPr>
          <w:p w14:paraId="2F4F5EE0" w14:textId="77777777" w:rsidR="000F670D" w:rsidRPr="00EB1C78" w:rsidRDefault="000F670D" w:rsidP="009D63B8">
            <w:pPr>
              <w:spacing w:after="0" w:line="240" w:lineRule="auto"/>
              <w:jc w:val="right"/>
              <w:rPr>
                <w:rFonts w:ascii="Arial" w:hAnsi="Arial" w:cs="Arial"/>
                <w:sz w:val="16"/>
                <w:szCs w:val="16"/>
              </w:rPr>
            </w:pPr>
            <w:r w:rsidRPr="00EB1C78">
              <w:rPr>
                <w:rFonts w:ascii="Arial" w:hAnsi="Arial" w:cs="Arial"/>
                <w:sz w:val="16"/>
                <w:szCs w:val="16"/>
              </w:rPr>
              <w:t xml:space="preserve">Actual </w:t>
            </w:r>
          </w:p>
          <w:p w14:paraId="2E8EF1D0" w14:textId="32458014" w:rsidR="000F670D" w:rsidRPr="00EB1C78" w:rsidRDefault="000F670D" w:rsidP="009D63B8">
            <w:pPr>
              <w:spacing w:after="0" w:line="240" w:lineRule="auto"/>
              <w:jc w:val="right"/>
              <w:rPr>
                <w:rFonts w:ascii="Arial" w:hAnsi="Arial" w:cs="Arial"/>
                <w:sz w:val="16"/>
                <w:szCs w:val="16"/>
              </w:rPr>
            </w:pPr>
            <w:r w:rsidRPr="00EB1C78">
              <w:rPr>
                <w:rFonts w:ascii="Arial" w:hAnsi="Arial" w:cs="Arial"/>
                <w:sz w:val="16"/>
                <w:szCs w:val="16"/>
              </w:rPr>
              <w:t>2020-21</w:t>
            </w:r>
          </w:p>
        </w:tc>
        <w:tc>
          <w:tcPr>
            <w:tcW w:w="1060" w:type="dxa"/>
            <w:tcBorders>
              <w:top w:val="single" w:sz="4" w:space="0" w:color="auto"/>
              <w:left w:val="nil"/>
              <w:bottom w:val="single" w:sz="4" w:space="0" w:color="auto"/>
              <w:right w:val="nil"/>
            </w:tcBorders>
            <w:shd w:val="clear" w:color="auto" w:fill="E6E6E6"/>
            <w:noWrap/>
            <w:vAlign w:val="bottom"/>
            <w:hideMark/>
          </w:tcPr>
          <w:p w14:paraId="65162EA4" w14:textId="77777777" w:rsidR="000F670D" w:rsidRPr="00081844" w:rsidRDefault="000F670D" w:rsidP="009D63B8">
            <w:pPr>
              <w:spacing w:after="0" w:line="240" w:lineRule="auto"/>
              <w:jc w:val="right"/>
              <w:rPr>
                <w:rFonts w:ascii="Arial" w:hAnsi="Arial" w:cs="Arial"/>
                <w:sz w:val="16"/>
                <w:szCs w:val="16"/>
              </w:rPr>
            </w:pPr>
            <w:r w:rsidRPr="00081844">
              <w:rPr>
                <w:rFonts w:ascii="Arial" w:hAnsi="Arial" w:cs="Arial"/>
                <w:sz w:val="16"/>
                <w:szCs w:val="16"/>
              </w:rPr>
              <w:t>2021-22</w:t>
            </w:r>
          </w:p>
        </w:tc>
      </w:tr>
      <w:tr w:rsidR="000F670D" w:rsidRPr="00081844" w14:paraId="28D4BEB0" w14:textId="77777777" w:rsidTr="00736B08">
        <w:trPr>
          <w:trHeight w:val="204"/>
        </w:trPr>
        <w:tc>
          <w:tcPr>
            <w:tcW w:w="3119" w:type="dxa"/>
            <w:tcBorders>
              <w:top w:val="nil"/>
              <w:left w:val="nil"/>
              <w:bottom w:val="single" w:sz="4" w:space="0" w:color="auto"/>
              <w:right w:val="nil"/>
            </w:tcBorders>
            <w:shd w:val="clear" w:color="auto" w:fill="auto"/>
            <w:noWrap/>
            <w:hideMark/>
          </w:tcPr>
          <w:p w14:paraId="68BECC4E" w14:textId="77777777" w:rsidR="000F670D" w:rsidRPr="00081844" w:rsidRDefault="000F670D" w:rsidP="00D07110">
            <w:pPr>
              <w:spacing w:after="0" w:line="240" w:lineRule="auto"/>
              <w:jc w:val="left"/>
              <w:rPr>
                <w:rFonts w:ascii="Arial" w:hAnsi="Arial" w:cs="Arial"/>
                <w:b/>
                <w:bCs/>
                <w:sz w:val="16"/>
                <w:szCs w:val="16"/>
              </w:rPr>
            </w:pPr>
            <w:r w:rsidRPr="00081844">
              <w:rPr>
                <w:rFonts w:ascii="Arial" w:hAnsi="Arial" w:cs="Arial"/>
                <w:b/>
                <w:bCs/>
                <w:sz w:val="16"/>
                <w:szCs w:val="16"/>
              </w:rPr>
              <w:t>Average staffing level (number)</w:t>
            </w:r>
          </w:p>
        </w:tc>
        <w:tc>
          <w:tcPr>
            <w:tcW w:w="1134" w:type="dxa"/>
            <w:tcBorders>
              <w:top w:val="nil"/>
              <w:left w:val="nil"/>
              <w:bottom w:val="single" w:sz="4" w:space="0" w:color="auto"/>
              <w:right w:val="nil"/>
            </w:tcBorders>
            <w:shd w:val="clear" w:color="auto" w:fill="auto"/>
            <w:noWrap/>
            <w:vAlign w:val="bottom"/>
          </w:tcPr>
          <w:p w14:paraId="7AB0B8C1" w14:textId="77777777" w:rsidR="000F670D" w:rsidRPr="00EB1C78" w:rsidRDefault="000F670D" w:rsidP="00D07110">
            <w:pPr>
              <w:spacing w:after="0" w:line="240" w:lineRule="auto"/>
              <w:jc w:val="right"/>
              <w:rPr>
                <w:rFonts w:ascii="Arial" w:hAnsi="Arial" w:cs="Arial"/>
                <w:sz w:val="16"/>
                <w:szCs w:val="16"/>
              </w:rPr>
            </w:pPr>
          </w:p>
        </w:tc>
        <w:tc>
          <w:tcPr>
            <w:tcW w:w="1096" w:type="dxa"/>
            <w:tcBorders>
              <w:top w:val="nil"/>
              <w:left w:val="nil"/>
              <w:bottom w:val="single" w:sz="4" w:space="0" w:color="auto"/>
              <w:right w:val="nil"/>
            </w:tcBorders>
            <w:shd w:val="clear" w:color="auto" w:fill="auto"/>
            <w:noWrap/>
            <w:vAlign w:val="bottom"/>
            <w:hideMark/>
          </w:tcPr>
          <w:p w14:paraId="68ACBDF2" w14:textId="38C87745" w:rsidR="000F670D" w:rsidRPr="00EB1C78" w:rsidRDefault="000F670D" w:rsidP="009D63B8">
            <w:pPr>
              <w:spacing w:after="0" w:line="240" w:lineRule="auto"/>
              <w:jc w:val="right"/>
              <w:rPr>
                <w:rFonts w:ascii="Arial" w:hAnsi="Arial" w:cs="Arial"/>
                <w:sz w:val="16"/>
                <w:szCs w:val="16"/>
              </w:rPr>
            </w:pPr>
          </w:p>
        </w:tc>
        <w:tc>
          <w:tcPr>
            <w:tcW w:w="1104" w:type="dxa"/>
            <w:tcBorders>
              <w:top w:val="nil"/>
              <w:left w:val="nil"/>
              <w:bottom w:val="single" w:sz="4" w:space="0" w:color="auto"/>
              <w:right w:val="nil"/>
            </w:tcBorders>
            <w:shd w:val="clear" w:color="auto" w:fill="auto"/>
            <w:noWrap/>
            <w:vAlign w:val="bottom"/>
            <w:hideMark/>
          </w:tcPr>
          <w:p w14:paraId="027E1483" w14:textId="11AEA421" w:rsidR="000F670D" w:rsidRPr="00EB1C78" w:rsidRDefault="000F670D" w:rsidP="009D63B8">
            <w:pPr>
              <w:spacing w:after="0" w:line="240" w:lineRule="auto"/>
              <w:jc w:val="right"/>
              <w:rPr>
                <w:rFonts w:ascii="Arial" w:hAnsi="Arial" w:cs="Arial"/>
                <w:sz w:val="16"/>
                <w:szCs w:val="16"/>
              </w:rPr>
            </w:pPr>
            <w:r w:rsidRPr="00EB1C78">
              <w:rPr>
                <w:rFonts w:ascii="Arial" w:hAnsi="Arial" w:cs="Arial"/>
                <w:sz w:val="16"/>
                <w:szCs w:val="16"/>
              </w:rPr>
              <w:t>1,482</w:t>
            </w:r>
          </w:p>
        </w:tc>
        <w:tc>
          <w:tcPr>
            <w:tcW w:w="1060" w:type="dxa"/>
            <w:tcBorders>
              <w:top w:val="nil"/>
              <w:left w:val="nil"/>
              <w:bottom w:val="single" w:sz="4" w:space="0" w:color="auto"/>
              <w:right w:val="nil"/>
            </w:tcBorders>
            <w:shd w:val="clear" w:color="auto" w:fill="E6E6E6"/>
            <w:noWrap/>
            <w:vAlign w:val="bottom"/>
            <w:hideMark/>
          </w:tcPr>
          <w:p w14:paraId="362E49DF" w14:textId="216C28A3" w:rsidR="000F670D" w:rsidRPr="00491587" w:rsidRDefault="000F670D" w:rsidP="00724C2D">
            <w:pPr>
              <w:spacing w:after="0" w:line="240" w:lineRule="auto"/>
              <w:jc w:val="right"/>
              <w:rPr>
                <w:rFonts w:ascii="Arial" w:hAnsi="Arial" w:cs="Arial"/>
                <w:sz w:val="16"/>
                <w:szCs w:val="16"/>
              </w:rPr>
            </w:pPr>
            <w:r w:rsidRPr="00491587">
              <w:rPr>
                <w:rFonts w:ascii="Arial" w:hAnsi="Arial" w:cs="Arial"/>
                <w:sz w:val="16"/>
                <w:szCs w:val="16"/>
              </w:rPr>
              <w:t>1,66</w:t>
            </w:r>
            <w:r w:rsidR="00724C2D">
              <w:rPr>
                <w:rFonts w:ascii="Arial" w:hAnsi="Arial" w:cs="Arial"/>
                <w:sz w:val="16"/>
                <w:szCs w:val="16"/>
              </w:rPr>
              <w:t>5</w:t>
            </w:r>
          </w:p>
        </w:tc>
      </w:tr>
    </w:tbl>
    <w:p w14:paraId="6B510DC6" w14:textId="1E275223" w:rsidR="00634F1A" w:rsidRDefault="00634F1A" w:rsidP="00634F1A">
      <w:pPr>
        <w:pStyle w:val="TableHeading"/>
        <w:rPr>
          <w:lang w:val="en-AU"/>
        </w:rPr>
      </w:pPr>
      <w:r w:rsidRPr="00897F19">
        <w:lastRenderedPageBreak/>
        <w:t xml:space="preserve">Table 1.1: </w:t>
      </w:r>
      <w:r w:rsidR="008863D9">
        <w:t>Department</w:t>
      </w:r>
      <w:r w:rsidRPr="00897F19">
        <w:t xml:space="preserve"> of Infrastructure, Transport, Regional Development and Com</w:t>
      </w:r>
      <w:r w:rsidR="001732D6">
        <w:t xml:space="preserve">munications resource statement </w:t>
      </w:r>
      <w:r w:rsidR="00D37DFC">
        <w:t>–</w:t>
      </w:r>
      <w:r w:rsidRPr="00897F19">
        <w:t xml:space="preserve"> Additional Estimates for </w:t>
      </w:r>
      <w:r w:rsidR="001732D6">
        <w:rPr>
          <w:lang w:val="en-AU"/>
        </w:rPr>
        <w:t>2021</w:t>
      </w:r>
      <w:r w:rsidRPr="00897F19">
        <w:rPr>
          <w:lang w:val="en-AU"/>
        </w:rPr>
        <w:t>-22</w:t>
      </w:r>
      <w:r w:rsidRPr="00897F19">
        <w:t xml:space="preserve"> as at February </w:t>
      </w:r>
      <w:r w:rsidRPr="00897F19">
        <w:rPr>
          <w:lang w:val="en-AU"/>
        </w:rPr>
        <w:t>2022</w:t>
      </w:r>
      <w:r>
        <w:rPr>
          <w:lang w:val="en-AU"/>
        </w:rPr>
        <w:t xml:space="preserve"> (continued)</w:t>
      </w:r>
    </w:p>
    <w:p w14:paraId="28C9A572" w14:textId="48984C36" w:rsidR="0068707D" w:rsidRDefault="0068707D" w:rsidP="0068707D">
      <w:pPr>
        <w:pStyle w:val="TableHeading"/>
      </w:pPr>
      <w:r w:rsidRPr="00897F19">
        <w:t>Third party payments from and on behalf of other entities</w:t>
      </w:r>
    </w:p>
    <w:tbl>
      <w:tblPr>
        <w:tblW w:w="7299" w:type="dxa"/>
        <w:tblLayout w:type="fixed"/>
        <w:tblLook w:val="04A0" w:firstRow="1" w:lastRow="0" w:firstColumn="1" w:lastColumn="0" w:noHBand="0" w:noVBand="1"/>
      </w:tblPr>
      <w:tblGrid>
        <w:gridCol w:w="2835"/>
        <w:gridCol w:w="1332"/>
        <w:gridCol w:w="1090"/>
        <w:gridCol w:w="971"/>
        <w:gridCol w:w="1071"/>
      </w:tblGrid>
      <w:tr w:rsidR="009D63B8" w:rsidRPr="0068707D" w14:paraId="3B84E6BA" w14:textId="77777777" w:rsidTr="00524C94">
        <w:trPr>
          <w:trHeight w:val="773"/>
        </w:trPr>
        <w:tc>
          <w:tcPr>
            <w:tcW w:w="2835" w:type="dxa"/>
            <w:tcBorders>
              <w:top w:val="single" w:sz="4" w:space="0" w:color="auto"/>
              <w:left w:val="nil"/>
              <w:right w:val="nil"/>
            </w:tcBorders>
            <w:shd w:val="clear" w:color="auto" w:fill="auto"/>
            <w:noWrap/>
            <w:hideMark/>
          </w:tcPr>
          <w:p w14:paraId="7EF2F9E1" w14:textId="77777777" w:rsidR="009D63B8" w:rsidRPr="0068707D" w:rsidRDefault="009D63B8" w:rsidP="0068707D">
            <w:pPr>
              <w:spacing w:after="0" w:line="240" w:lineRule="auto"/>
              <w:jc w:val="left"/>
              <w:rPr>
                <w:rFonts w:ascii="Arial" w:hAnsi="Arial" w:cs="Arial"/>
                <w:sz w:val="16"/>
                <w:szCs w:val="16"/>
              </w:rPr>
            </w:pPr>
            <w:r w:rsidRPr="0068707D">
              <w:rPr>
                <w:rFonts w:ascii="Arial" w:hAnsi="Arial" w:cs="Arial"/>
                <w:sz w:val="16"/>
                <w:szCs w:val="16"/>
              </w:rPr>
              <w:t> </w:t>
            </w:r>
          </w:p>
        </w:tc>
        <w:tc>
          <w:tcPr>
            <w:tcW w:w="1332" w:type="dxa"/>
            <w:tcBorders>
              <w:top w:val="single" w:sz="4" w:space="0" w:color="auto"/>
              <w:left w:val="nil"/>
              <w:bottom w:val="single" w:sz="4" w:space="0" w:color="auto"/>
              <w:right w:val="nil"/>
            </w:tcBorders>
            <w:shd w:val="clear" w:color="auto" w:fill="auto"/>
            <w:vAlign w:val="bottom"/>
            <w:hideMark/>
          </w:tcPr>
          <w:p w14:paraId="7FB1DAD7"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Actual</w:t>
            </w:r>
          </w:p>
          <w:p w14:paraId="652562BD"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available</w:t>
            </w:r>
          </w:p>
          <w:p w14:paraId="6649D795" w14:textId="7D5ADB7A" w:rsidR="009D63B8" w:rsidRDefault="009D63B8" w:rsidP="0068707D">
            <w:pPr>
              <w:spacing w:after="0" w:line="240" w:lineRule="auto"/>
              <w:jc w:val="right"/>
              <w:rPr>
                <w:rFonts w:ascii="Arial" w:hAnsi="Arial" w:cs="Arial"/>
                <w:sz w:val="16"/>
                <w:szCs w:val="16"/>
              </w:rPr>
            </w:pPr>
            <w:r w:rsidRPr="0068707D">
              <w:rPr>
                <w:rFonts w:ascii="Arial" w:hAnsi="Arial" w:cs="Arial"/>
                <w:sz w:val="16"/>
                <w:szCs w:val="16"/>
              </w:rPr>
              <w:t>appropriation</w:t>
            </w:r>
          </w:p>
          <w:p w14:paraId="21A2CAF0" w14:textId="77777777" w:rsidR="00736B08" w:rsidRPr="0068707D" w:rsidRDefault="00736B08" w:rsidP="0068707D">
            <w:pPr>
              <w:spacing w:after="0" w:line="240" w:lineRule="auto"/>
              <w:jc w:val="right"/>
              <w:rPr>
                <w:rFonts w:ascii="Arial" w:hAnsi="Arial" w:cs="Arial"/>
                <w:sz w:val="16"/>
                <w:szCs w:val="16"/>
              </w:rPr>
            </w:pPr>
          </w:p>
          <w:p w14:paraId="39E050B0"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2020-21</w:t>
            </w:r>
          </w:p>
          <w:p w14:paraId="4A692C0B" w14:textId="6D843671"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$'000</w:t>
            </w:r>
          </w:p>
        </w:tc>
        <w:tc>
          <w:tcPr>
            <w:tcW w:w="1090" w:type="dxa"/>
            <w:tcBorders>
              <w:top w:val="single" w:sz="4" w:space="0" w:color="auto"/>
              <w:left w:val="nil"/>
              <w:bottom w:val="single" w:sz="4" w:space="0" w:color="auto"/>
              <w:right w:val="nil"/>
            </w:tcBorders>
            <w:shd w:val="clear" w:color="auto" w:fill="auto"/>
            <w:vAlign w:val="bottom"/>
            <w:hideMark/>
          </w:tcPr>
          <w:p w14:paraId="26CA0974"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Estimate</w:t>
            </w:r>
          </w:p>
          <w:p w14:paraId="2FD963FC"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as at</w:t>
            </w:r>
          </w:p>
          <w:p w14:paraId="41DD80E8" w14:textId="10802B0C" w:rsidR="009D63B8" w:rsidRDefault="009D63B8" w:rsidP="0068707D">
            <w:pPr>
              <w:spacing w:after="0" w:line="240" w:lineRule="auto"/>
              <w:jc w:val="right"/>
              <w:rPr>
                <w:rFonts w:ascii="Arial" w:hAnsi="Arial" w:cs="Arial"/>
                <w:sz w:val="16"/>
                <w:szCs w:val="16"/>
                <w:vertAlign w:val="superscript"/>
              </w:rPr>
            </w:pPr>
            <w:r w:rsidRPr="0068707D">
              <w:rPr>
                <w:rFonts w:ascii="Arial" w:hAnsi="Arial" w:cs="Arial"/>
                <w:sz w:val="16"/>
                <w:szCs w:val="16"/>
              </w:rPr>
              <w:t>Budget</w:t>
            </w:r>
            <w:r>
              <w:rPr>
                <w:rFonts w:ascii="Arial" w:hAnsi="Arial" w:cs="Arial"/>
                <w:sz w:val="16"/>
                <w:szCs w:val="16"/>
              </w:rPr>
              <w:t xml:space="preserve"> </w:t>
            </w:r>
            <w:r w:rsidRPr="000B7D3B">
              <w:rPr>
                <w:rFonts w:ascii="Arial" w:hAnsi="Arial" w:cs="Arial"/>
                <w:sz w:val="16"/>
                <w:szCs w:val="16"/>
                <w:vertAlign w:val="superscript"/>
              </w:rPr>
              <w:t>(a)</w:t>
            </w:r>
          </w:p>
          <w:p w14:paraId="2000267B" w14:textId="77777777" w:rsidR="00736B08" w:rsidRPr="0068707D" w:rsidRDefault="00736B08" w:rsidP="0068707D">
            <w:pPr>
              <w:spacing w:after="0" w:line="240" w:lineRule="auto"/>
              <w:jc w:val="right"/>
              <w:rPr>
                <w:rFonts w:ascii="Arial" w:hAnsi="Arial" w:cs="Arial"/>
                <w:sz w:val="16"/>
                <w:szCs w:val="16"/>
              </w:rPr>
            </w:pPr>
          </w:p>
          <w:p w14:paraId="69A70D42"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2021-22</w:t>
            </w:r>
          </w:p>
          <w:p w14:paraId="3FCB6CDA" w14:textId="48B49A08"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$'000</w:t>
            </w:r>
          </w:p>
        </w:tc>
        <w:tc>
          <w:tcPr>
            <w:tcW w:w="971" w:type="dxa"/>
            <w:tcBorders>
              <w:top w:val="single" w:sz="4" w:space="0" w:color="auto"/>
              <w:left w:val="nil"/>
              <w:bottom w:val="single" w:sz="4" w:space="0" w:color="auto"/>
              <w:right w:val="nil"/>
            </w:tcBorders>
            <w:shd w:val="clear" w:color="auto" w:fill="auto"/>
            <w:vAlign w:val="bottom"/>
            <w:hideMark/>
          </w:tcPr>
          <w:p w14:paraId="7DC64D2A"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Proposed</w:t>
            </w:r>
          </w:p>
          <w:p w14:paraId="3B8B45E2"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 xml:space="preserve">Additional </w:t>
            </w:r>
          </w:p>
          <w:p w14:paraId="6904D23B" w14:textId="140D76E2" w:rsidR="009D63B8" w:rsidRDefault="009D63B8" w:rsidP="0068707D">
            <w:pPr>
              <w:spacing w:after="0" w:line="240" w:lineRule="auto"/>
              <w:jc w:val="right"/>
              <w:rPr>
                <w:rFonts w:ascii="Arial" w:hAnsi="Arial" w:cs="Arial"/>
                <w:sz w:val="16"/>
                <w:szCs w:val="16"/>
              </w:rPr>
            </w:pPr>
            <w:r w:rsidRPr="0068707D">
              <w:rPr>
                <w:rFonts w:ascii="Arial" w:hAnsi="Arial" w:cs="Arial"/>
                <w:sz w:val="16"/>
                <w:szCs w:val="16"/>
              </w:rPr>
              <w:t>Estimates</w:t>
            </w:r>
          </w:p>
          <w:p w14:paraId="639677F8" w14:textId="77777777" w:rsidR="00736B08" w:rsidRPr="0068707D" w:rsidRDefault="00736B08" w:rsidP="0068707D">
            <w:pPr>
              <w:spacing w:after="0" w:line="240" w:lineRule="auto"/>
              <w:jc w:val="right"/>
              <w:rPr>
                <w:rFonts w:ascii="Arial" w:hAnsi="Arial" w:cs="Arial"/>
                <w:sz w:val="16"/>
                <w:szCs w:val="16"/>
              </w:rPr>
            </w:pPr>
          </w:p>
          <w:p w14:paraId="7902072F"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2021-22</w:t>
            </w:r>
          </w:p>
          <w:p w14:paraId="12AD0BC5" w14:textId="5DDA898A"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$'000</w:t>
            </w:r>
          </w:p>
        </w:tc>
        <w:tc>
          <w:tcPr>
            <w:tcW w:w="1071" w:type="dxa"/>
            <w:tcBorders>
              <w:top w:val="single" w:sz="4" w:space="0" w:color="auto"/>
              <w:left w:val="nil"/>
              <w:bottom w:val="single" w:sz="4" w:space="0" w:color="auto"/>
              <w:right w:val="nil"/>
            </w:tcBorders>
            <w:shd w:val="clear" w:color="auto" w:fill="E6E6E6"/>
            <w:vAlign w:val="bottom"/>
            <w:hideMark/>
          </w:tcPr>
          <w:p w14:paraId="24E5190C"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Total</w:t>
            </w:r>
          </w:p>
          <w:p w14:paraId="03FE9B82"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estimate at</w:t>
            </w:r>
          </w:p>
          <w:p w14:paraId="59A07BE7"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Additional</w:t>
            </w:r>
          </w:p>
          <w:p w14:paraId="7CBE372A"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Estimates</w:t>
            </w:r>
          </w:p>
          <w:p w14:paraId="285735D4" w14:textId="77777777"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2021-22</w:t>
            </w:r>
          </w:p>
          <w:p w14:paraId="5C62207B" w14:textId="34B8CB53" w:rsidR="009D63B8" w:rsidRPr="0068707D" w:rsidRDefault="009D63B8" w:rsidP="0068707D">
            <w:pPr>
              <w:spacing w:after="0" w:line="240" w:lineRule="auto"/>
              <w:jc w:val="right"/>
              <w:rPr>
                <w:rFonts w:ascii="Arial" w:hAnsi="Arial" w:cs="Arial"/>
                <w:sz w:val="16"/>
                <w:szCs w:val="16"/>
              </w:rPr>
            </w:pPr>
            <w:r w:rsidRPr="0068707D">
              <w:rPr>
                <w:rFonts w:ascii="Arial" w:hAnsi="Arial" w:cs="Arial"/>
                <w:sz w:val="16"/>
                <w:szCs w:val="16"/>
              </w:rPr>
              <w:t>$'000</w:t>
            </w:r>
          </w:p>
        </w:tc>
      </w:tr>
      <w:tr w:rsidR="009D63B8" w:rsidRPr="0068707D" w14:paraId="59848CF6" w14:textId="77777777" w:rsidTr="009D63B8">
        <w:trPr>
          <w:trHeight w:val="204"/>
        </w:trPr>
        <w:tc>
          <w:tcPr>
            <w:tcW w:w="2835" w:type="dxa"/>
            <w:tcBorders>
              <w:top w:val="nil"/>
              <w:left w:val="nil"/>
              <w:bottom w:val="nil"/>
              <w:right w:val="nil"/>
            </w:tcBorders>
            <w:shd w:val="clear" w:color="auto" w:fill="auto"/>
            <w:vAlign w:val="bottom"/>
            <w:hideMark/>
          </w:tcPr>
          <w:p w14:paraId="2D62C10D" w14:textId="77777777" w:rsidR="009D63B8" w:rsidRPr="0068707D" w:rsidRDefault="009D63B8" w:rsidP="0068707D">
            <w:pPr>
              <w:spacing w:after="0" w:line="240" w:lineRule="auto"/>
              <w:jc w:val="left"/>
              <w:rPr>
                <w:rFonts w:ascii="Arial" w:hAnsi="Arial" w:cs="Arial"/>
                <w:sz w:val="16"/>
                <w:szCs w:val="16"/>
              </w:rPr>
            </w:pPr>
            <w:r w:rsidRPr="0068707D">
              <w:rPr>
                <w:rFonts w:ascii="Arial" w:hAnsi="Arial" w:cs="Arial"/>
                <w:sz w:val="16"/>
                <w:szCs w:val="16"/>
              </w:rPr>
              <w:t xml:space="preserve">Receipts received from other entities for the provision of services (disclosed above in s74 external revenue section above) </w:t>
            </w:r>
          </w:p>
        </w:tc>
        <w:tc>
          <w:tcPr>
            <w:tcW w:w="1332" w:type="dxa"/>
            <w:tcBorders>
              <w:top w:val="single" w:sz="4" w:space="0" w:color="auto"/>
              <w:left w:val="nil"/>
              <w:bottom w:val="nil"/>
              <w:right w:val="nil"/>
            </w:tcBorders>
            <w:shd w:val="clear" w:color="auto" w:fill="auto"/>
            <w:vAlign w:val="bottom"/>
            <w:hideMark/>
          </w:tcPr>
          <w:p w14:paraId="4094E48B" w14:textId="77777777" w:rsidR="009D63B8" w:rsidRPr="0068707D" w:rsidRDefault="009D63B8" w:rsidP="00D61A8C">
            <w:pPr>
              <w:spacing w:after="0" w:line="240" w:lineRule="auto"/>
              <w:jc w:val="right"/>
              <w:rPr>
                <w:rFonts w:ascii="Arial" w:hAnsi="Arial" w:cs="Arial"/>
                <w:sz w:val="16"/>
                <w:szCs w:val="16"/>
              </w:rPr>
            </w:pPr>
          </w:p>
        </w:tc>
        <w:tc>
          <w:tcPr>
            <w:tcW w:w="1090" w:type="dxa"/>
            <w:tcBorders>
              <w:top w:val="single" w:sz="4" w:space="0" w:color="auto"/>
              <w:left w:val="nil"/>
              <w:bottom w:val="nil"/>
              <w:right w:val="nil"/>
            </w:tcBorders>
            <w:shd w:val="clear" w:color="auto" w:fill="auto"/>
            <w:vAlign w:val="bottom"/>
            <w:hideMark/>
          </w:tcPr>
          <w:p w14:paraId="2B1073A7" w14:textId="77777777" w:rsidR="009D63B8" w:rsidRPr="0068707D" w:rsidRDefault="009D63B8" w:rsidP="00D61A8C">
            <w:pPr>
              <w:spacing w:after="0" w:line="240" w:lineRule="auto"/>
              <w:jc w:val="right"/>
              <w:rPr>
                <w:rFonts w:ascii="Arial" w:hAnsi="Arial" w:cs="Arial"/>
                <w:sz w:val="16"/>
                <w:szCs w:val="16"/>
              </w:rPr>
            </w:pPr>
          </w:p>
        </w:tc>
        <w:tc>
          <w:tcPr>
            <w:tcW w:w="971" w:type="dxa"/>
            <w:tcBorders>
              <w:top w:val="single" w:sz="4" w:space="0" w:color="auto"/>
              <w:left w:val="nil"/>
              <w:bottom w:val="nil"/>
              <w:right w:val="nil"/>
            </w:tcBorders>
            <w:shd w:val="clear" w:color="auto" w:fill="auto"/>
            <w:vAlign w:val="bottom"/>
            <w:hideMark/>
          </w:tcPr>
          <w:p w14:paraId="54454DD4" w14:textId="77777777" w:rsidR="009D63B8" w:rsidRPr="0068707D" w:rsidRDefault="009D63B8" w:rsidP="00D61A8C">
            <w:pPr>
              <w:spacing w:after="0" w:line="240" w:lineRule="auto"/>
              <w:jc w:val="right"/>
              <w:rPr>
                <w:rFonts w:ascii="Arial" w:hAnsi="Arial" w:cs="Arial"/>
                <w:sz w:val="16"/>
                <w:szCs w:val="16"/>
              </w:rPr>
            </w:pPr>
          </w:p>
        </w:tc>
        <w:tc>
          <w:tcPr>
            <w:tcW w:w="1071" w:type="dxa"/>
            <w:tcBorders>
              <w:top w:val="single" w:sz="4" w:space="0" w:color="auto"/>
              <w:left w:val="nil"/>
              <w:bottom w:val="nil"/>
              <w:right w:val="nil"/>
            </w:tcBorders>
            <w:shd w:val="clear" w:color="auto" w:fill="E6E6E6"/>
            <w:vAlign w:val="bottom"/>
            <w:hideMark/>
          </w:tcPr>
          <w:p w14:paraId="5FDA6C96" w14:textId="708C2817" w:rsidR="009D63B8" w:rsidRPr="0068707D" w:rsidRDefault="009D63B8" w:rsidP="00D61A8C">
            <w:pPr>
              <w:spacing w:after="0" w:line="240" w:lineRule="auto"/>
              <w:jc w:val="right"/>
              <w:rPr>
                <w:rFonts w:ascii="Arial" w:hAnsi="Arial" w:cs="Arial"/>
                <w:sz w:val="16"/>
                <w:szCs w:val="16"/>
              </w:rPr>
            </w:pPr>
          </w:p>
        </w:tc>
      </w:tr>
      <w:tr w:rsidR="002570EE" w:rsidRPr="0068707D" w14:paraId="58EA6368" w14:textId="77777777" w:rsidTr="009D63B8">
        <w:trPr>
          <w:trHeight w:val="204"/>
        </w:trPr>
        <w:tc>
          <w:tcPr>
            <w:tcW w:w="2835" w:type="dxa"/>
            <w:tcBorders>
              <w:top w:val="nil"/>
              <w:left w:val="nil"/>
              <w:bottom w:val="nil"/>
              <w:right w:val="nil"/>
            </w:tcBorders>
            <w:shd w:val="clear" w:color="auto" w:fill="auto"/>
            <w:noWrap/>
            <w:vAlign w:val="bottom"/>
            <w:hideMark/>
          </w:tcPr>
          <w:p w14:paraId="4D209B5F"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Australian Transport Safety Bureau</w:t>
            </w:r>
          </w:p>
        </w:tc>
        <w:tc>
          <w:tcPr>
            <w:tcW w:w="1332" w:type="dxa"/>
            <w:tcBorders>
              <w:top w:val="nil"/>
              <w:left w:val="nil"/>
              <w:bottom w:val="nil"/>
              <w:right w:val="nil"/>
            </w:tcBorders>
            <w:shd w:val="clear" w:color="auto" w:fill="auto"/>
            <w:noWrap/>
            <w:vAlign w:val="bottom"/>
            <w:hideMark/>
          </w:tcPr>
          <w:p w14:paraId="76F57BD4" w14:textId="7DBFB345"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1,308 </w:t>
            </w:r>
          </w:p>
        </w:tc>
        <w:tc>
          <w:tcPr>
            <w:tcW w:w="1090" w:type="dxa"/>
            <w:tcBorders>
              <w:top w:val="nil"/>
              <w:left w:val="nil"/>
              <w:bottom w:val="nil"/>
              <w:right w:val="nil"/>
            </w:tcBorders>
            <w:shd w:val="clear" w:color="auto" w:fill="auto"/>
            <w:noWrap/>
            <w:vAlign w:val="bottom"/>
            <w:hideMark/>
          </w:tcPr>
          <w:p w14:paraId="429C5892" w14:textId="3A797F8E"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1,782 </w:t>
            </w:r>
          </w:p>
        </w:tc>
        <w:tc>
          <w:tcPr>
            <w:tcW w:w="971" w:type="dxa"/>
            <w:tcBorders>
              <w:top w:val="nil"/>
              <w:left w:val="nil"/>
              <w:bottom w:val="nil"/>
              <w:right w:val="nil"/>
            </w:tcBorders>
            <w:shd w:val="clear" w:color="auto" w:fill="auto"/>
            <w:noWrap/>
            <w:vAlign w:val="bottom"/>
            <w:hideMark/>
          </w:tcPr>
          <w:p w14:paraId="7EC842ED" w14:textId="61A85CC3"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509400AA" w14:textId="59E09536"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1,782 </w:t>
            </w:r>
          </w:p>
        </w:tc>
      </w:tr>
      <w:tr w:rsidR="002570EE" w:rsidRPr="0068707D" w14:paraId="424D7765" w14:textId="77777777" w:rsidTr="009D63B8">
        <w:trPr>
          <w:trHeight w:val="204"/>
        </w:trPr>
        <w:tc>
          <w:tcPr>
            <w:tcW w:w="2835" w:type="dxa"/>
            <w:tcBorders>
              <w:top w:val="nil"/>
              <w:left w:val="nil"/>
              <w:bottom w:val="nil"/>
              <w:right w:val="nil"/>
            </w:tcBorders>
            <w:shd w:val="clear" w:color="auto" w:fill="auto"/>
            <w:vAlign w:val="bottom"/>
            <w:hideMark/>
          </w:tcPr>
          <w:p w14:paraId="32F46AF8" w14:textId="0CD14F5F" w:rsidR="002570EE" w:rsidRPr="0068707D" w:rsidRDefault="002570EE" w:rsidP="002570EE">
            <w:pPr>
              <w:spacing w:after="0" w:line="240" w:lineRule="auto"/>
              <w:jc w:val="left"/>
              <w:rPr>
                <w:rFonts w:ascii="Arial" w:hAnsi="Arial" w:cs="Arial"/>
                <w:sz w:val="16"/>
                <w:szCs w:val="16"/>
              </w:rPr>
            </w:pPr>
            <w:r w:rsidRPr="0068707D">
              <w:rPr>
                <w:rFonts w:ascii="Arial" w:hAnsi="Arial" w:cs="Arial"/>
                <w:sz w:val="16"/>
                <w:szCs w:val="16"/>
              </w:rPr>
              <w:t xml:space="preserve">Payments made by other entities on behalf of the </w:t>
            </w:r>
            <w:r>
              <w:rPr>
                <w:rFonts w:ascii="Arial" w:hAnsi="Arial" w:cs="Arial"/>
                <w:sz w:val="16"/>
                <w:szCs w:val="16"/>
              </w:rPr>
              <w:t>Department</w:t>
            </w:r>
            <w:r w:rsidRPr="0068707D">
              <w:rPr>
                <w:rFonts w:ascii="Arial" w:hAnsi="Arial" w:cs="Arial"/>
                <w:sz w:val="16"/>
                <w:szCs w:val="16"/>
              </w:rPr>
              <w:t xml:space="preserve"> (disclosed above within administered appropriations)</w:t>
            </w:r>
          </w:p>
        </w:tc>
        <w:tc>
          <w:tcPr>
            <w:tcW w:w="1332" w:type="dxa"/>
            <w:tcBorders>
              <w:top w:val="nil"/>
              <w:left w:val="nil"/>
              <w:bottom w:val="nil"/>
              <w:right w:val="nil"/>
            </w:tcBorders>
            <w:shd w:val="clear" w:color="auto" w:fill="auto"/>
            <w:vAlign w:val="bottom"/>
            <w:hideMark/>
          </w:tcPr>
          <w:p w14:paraId="65B86BEE" w14:textId="77777777" w:rsidR="002570EE" w:rsidRPr="002570EE" w:rsidRDefault="002570EE" w:rsidP="002570EE">
            <w:pPr>
              <w:spacing w:after="0" w:line="240" w:lineRule="auto"/>
              <w:jc w:val="right"/>
              <w:rPr>
                <w:rFonts w:ascii="Arial" w:hAnsi="Arial" w:cs="Arial"/>
                <w:sz w:val="16"/>
                <w:szCs w:val="16"/>
              </w:rPr>
            </w:pPr>
          </w:p>
        </w:tc>
        <w:tc>
          <w:tcPr>
            <w:tcW w:w="1090" w:type="dxa"/>
            <w:tcBorders>
              <w:top w:val="nil"/>
              <w:left w:val="nil"/>
              <w:bottom w:val="nil"/>
              <w:right w:val="nil"/>
            </w:tcBorders>
            <w:shd w:val="clear" w:color="auto" w:fill="auto"/>
            <w:vAlign w:val="bottom"/>
            <w:hideMark/>
          </w:tcPr>
          <w:p w14:paraId="6F11805F" w14:textId="77777777" w:rsidR="002570EE" w:rsidRPr="002570EE" w:rsidRDefault="002570EE" w:rsidP="002570EE">
            <w:pPr>
              <w:spacing w:after="0" w:line="240" w:lineRule="auto"/>
              <w:jc w:val="right"/>
              <w:rPr>
                <w:rFonts w:ascii="Arial" w:hAnsi="Arial" w:cs="Arial"/>
                <w:sz w:val="16"/>
                <w:szCs w:val="16"/>
              </w:rPr>
            </w:pPr>
          </w:p>
        </w:tc>
        <w:tc>
          <w:tcPr>
            <w:tcW w:w="971" w:type="dxa"/>
            <w:tcBorders>
              <w:top w:val="nil"/>
              <w:left w:val="nil"/>
              <w:bottom w:val="nil"/>
              <w:right w:val="nil"/>
            </w:tcBorders>
            <w:shd w:val="clear" w:color="auto" w:fill="auto"/>
            <w:vAlign w:val="bottom"/>
            <w:hideMark/>
          </w:tcPr>
          <w:p w14:paraId="1AF6DB10" w14:textId="77777777" w:rsidR="002570EE" w:rsidRPr="002570EE" w:rsidRDefault="002570EE" w:rsidP="002570EE">
            <w:pPr>
              <w:spacing w:after="0" w:line="240" w:lineRule="auto"/>
              <w:jc w:val="right"/>
              <w:rPr>
                <w:rFonts w:ascii="Arial" w:hAnsi="Arial" w:cs="Arial"/>
                <w:sz w:val="16"/>
                <w:szCs w:val="16"/>
              </w:rPr>
            </w:pPr>
          </w:p>
        </w:tc>
        <w:tc>
          <w:tcPr>
            <w:tcW w:w="1071" w:type="dxa"/>
            <w:tcBorders>
              <w:top w:val="nil"/>
              <w:left w:val="nil"/>
              <w:bottom w:val="nil"/>
              <w:right w:val="nil"/>
            </w:tcBorders>
            <w:shd w:val="clear" w:color="auto" w:fill="E6E6E6"/>
            <w:vAlign w:val="bottom"/>
            <w:hideMark/>
          </w:tcPr>
          <w:p w14:paraId="7CED9A82" w14:textId="17C9221E" w:rsidR="002570EE" w:rsidRPr="002570EE" w:rsidRDefault="002570EE" w:rsidP="002570EE">
            <w:pPr>
              <w:spacing w:after="0" w:line="240" w:lineRule="auto"/>
              <w:jc w:val="right"/>
              <w:rPr>
                <w:rFonts w:ascii="Arial" w:hAnsi="Arial" w:cs="Arial"/>
                <w:sz w:val="16"/>
                <w:szCs w:val="16"/>
              </w:rPr>
            </w:pPr>
            <w:r w:rsidRPr="002570EE">
              <w:rPr>
                <w:rFonts w:ascii="Arial" w:hAnsi="Arial" w:cs="Arial"/>
                <w:color w:val="FF0000"/>
                <w:sz w:val="16"/>
                <w:szCs w:val="16"/>
              </w:rPr>
              <w:t> </w:t>
            </w:r>
          </w:p>
        </w:tc>
      </w:tr>
      <w:tr w:rsidR="002570EE" w:rsidRPr="0068707D" w14:paraId="7A92C9B7" w14:textId="77777777" w:rsidTr="009D63B8">
        <w:trPr>
          <w:trHeight w:val="204"/>
        </w:trPr>
        <w:tc>
          <w:tcPr>
            <w:tcW w:w="2835" w:type="dxa"/>
            <w:tcBorders>
              <w:top w:val="nil"/>
              <w:left w:val="nil"/>
              <w:bottom w:val="nil"/>
              <w:right w:val="nil"/>
            </w:tcBorders>
            <w:shd w:val="clear" w:color="auto" w:fill="auto"/>
            <w:noWrap/>
            <w:vAlign w:val="bottom"/>
            <w:hideMark/>
          </w:tcPr>
          <w:p w14:paraId="30EA356F" w14:textId="640C7C91"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 xml:space="preserve">Services Australia </w:t>
            </w:r>
            <w:r w:rsidRPr="005F4BD2">
              <w:rPr>
                <w:rFonts w:ascii="Arial" w:hAnsi="Arial" w:cs="Arial"/>
                <w:sz w:val="16"/>
                <w:szCs w:val="16"/>
                <w:vertAlign w:val="superscript"/>
              </w:rPr>
              <w:t>(</w:t>
            </w:r>
            <w:r w:rsidRPr="00615D54">
              <w:rPr>
                <w:rFonts w:ascii="Arial" w:hAnsi="Arial" w:cs="Arial"/>
                <w:sz w:val="16"/>
                <w:szCs w:val="16"/>
                <w:vertAlign w:val="superscript"/>
              </w:rPr>
              <w:t>o</w:t>
            </w:r>
            <w:r w:rsidRPr="005F4BD2">
              <w:rPr>
                <w:rFonts w:ascii="Arial" w:hAnsi="Arial" w:cs="Arial"/>
                <w:sz w:val="16"/>
                <w:szCs w:val="16"/>
                <w:vertAlign w:val="superscript"/>
              </w:rPr>
              <w:t>)</w:t>
            </w:r>
          </w:p>
        </w:tc>
        <w:tc>
          <w:tcPr>
            <w:tcW w:w="1332" w:type="dxa"/>
            <w:tcBorders>
              <w:top w:val="nil"/>
              <w:left w:val="nil"/>
              <w:bottom w:val="nil"/>
              <w:right w:val="nil"/>
            </w:tcBorders>
            <w:shd w:val="clear" w:color="auto" w:fill="auto"/>
            <w:noWrap/>
            <w:vAlign w:val="bottom"/>
            <w:hideMark/>
          </w:tcPr>
          <w:p w14:paraId="2410B1B4" w14:textId="0B1BDEE4"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227,013 </w:t>
            </w:r>
          </w:p>
        </w:tc>
        <w:tc>
          <w:tcPr>
            <w:tcW w:w="1090" w:type="dxa"/>
            <w:tcBorders>
              <w:top w:val="nil"/>
              <w:left w:val="nil"/>
              <w:bottom w:val="nil"/>
              <w:right w:val="nil"/>
            </w:tcBorders>
            <w:shd w:val="clear" w:color="auto" w:fill="auto"/>
            <w:noWrap/>
            <w:vAlign w:val="bottom"/>
            <w:hideMark/>
          </w:tcPr>
          <w:p w14:paraId="2F7DF9B8" w14:textId="5C594756"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229,186 </w:t>
            </w:r>
          </w:p>
        </w:tc>
        <w:tc>
          <w:tcPr>
            <w:tcW w:w="971" w:type="dxa"/>
            <w:tcBorders>
              <w:top w:val="nil"/>
              <w:left w:val="nil"/>
              <w:bottom w:val="nil"/>
              <w:right w:val="nil"/>
            </w:tcBorders>
            <w:shd w:val="clear" w:color="auto" w:fill="auto"/>
            <w:noWrap/>
            <w:vAlign w:val="bottom"/>
            <w:hideMark/>
          </w:tcPr>
          <w:p w14:paraId="074BCE67" w14:textId="2C2EC5F4"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0333F035" w14:textId="0496B3C2"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229,186 </w:t>
            </w:r>
          </w:p>
        </w:tc>
      </w:tr>
      <w:tr w:rsidR="002570EE" w:rsidRPr="0068707D" w14:paraId="7903A961" w14:textId="77777777" w:rsidTr="009D63B8">
        <w:trPr>
          <w:trHeight w:val="204"/>
        </w:trPr>
        <w:tc>
          <w:tcPr>
            <w:tcW w:w="2835" w:type="dxa"/>
            <w:tcBorders>
              <w:top w:val="nil"/>
              <w:left w:val="nil"/>
              <w:bottom w:val="nil"/>
              <w:right w:val="nil"/>
            </w:tcBorders>
            <w:shd w:val="clear" w:color="auto" w:fill="auto"/>
            <w:vAlign w:val="bottom"/>
            <w:hideMark/>
          </w:tcPr>
          <w:p w14:paraId="3334C140" w14:textId="7EDDFFBF" w:rsidR="002570EE" w:rsidRPr="0068707D" w:rsidRDefault="002570EE" w:rsidP="002570EE">
            <w:pPr>
              <w:spacing w:before="120" w:after="0" w:line="240" w:lineRule="auto"/>
              <w:jc w:val="left"/>
              <w:rPr>
                <w:rFonts w:ascii="Arial" w:hAnsi="Arial" w:cs="Arial"/>
                <w:sz w:val="16"/>
                <w:szCs w:val="16"/>
              </w:rPr>
            </w:pPr>
            <w:r w:rsidRPr="0068707D">
              <w:rPr>
                <w:rFonts w:ascii="Arial" w:hAnsi="Arial" w:cs="Arial"/>
                <w:sz w:val="16"/>
                <w:szCs w:val="16"/>
              </w:rPr>
              <w:t xml:space="preserve">Payments made to corporate entities within the portfolio </w:t>
            </w:r>
            <w:r w:rsidRPr="005F4BD2">
              <w:rPr>
                <w:rFonts w:ascii="Arial" w:hAnsi="Arial" w:cs="Arial"/>
                <w:sz w:val="16"/>
                <w:szCs w:val="16"/>
                <w:vertAlign w:val="superscript"/>
              </w:rPr>
              <w:t>(h)</w:t>
            </w:r>
          </w:p>
        </w:tc>
        <w:tc>
          <w:tcPr>
            <w:tcW w:w="1332" w:type="dxa"/>
            <w:tcBorders>
              <w:top w:val="nil"/>
              <w:left w:val="nil"/>
              <w:bottom w:val="nil"/>
              <w:right w:val="nil"/>
            </w:tcBorders>
            <w:shd w:val="clear" w:color="auto" w:fill="auto"/>
            <w:noWrap/>
            <w:vAlign w:val="bottom"/>
            <w:hideMark/>
          </w:tcPr>
          <w:p w14:paraId="09E6773D" w14:textId="77777777" w:rsidR="002570EE" w:rsidRPr="002570EE" w:rsidRDefault="002570EE" w:rsidP="002570EE">
            <w:pPr>
              <w:spacing w:after="0" w:line="240" w:lineRule="auto"/>
              <w:jc w:val="right"/>
              <w:rPr>
                <w:rFonts w:ascii="Arial" w:hAnsi="Arial" w:cs="Arial"/>
                <w:sz w:val="16"/>
                <w:szCs w:val="16"/>
              </w:rPr>
            </w:pPr>
          </w:p>
        </w:tc>
        <w:tc>
          <w:tcPr>
            <w:tcW w:w="1090" w:type="dxa"/>
            <w:tcBorders>
              <w:top w:val="nil"/>
              <w:left w:val="nil"/>
              <w:bottom w:val="nil"/>
              <w:right w:val="nil"/>
            </w:tcBorders>
            <w:shd w:val="clear" w:color="auto" w:fill="auto"/>
            <w:noWrap/>
            <w:vAlign w:val="bottom"/>
            <w:hideMark/>
          </w:tcPr>
          <w:p w14:paraId="69792178" w14:textId="77777777" w:rsidR="002570EE" w:rsidRPr="002570EE" w:rsidRDefault="002570EE" w:rsidP="002570EE">
            <w:pPr>
              <w:spacing w:after="0" w:line="240" w:lineRule="auto"/>
              <w:jc w:val="right"/>
              <w:rPr>
                <w:rFonts w:ascii="Arial" w:hAnsi="Arial" w:cs="Arial"/>
                <w:sz w:val="16"/>
                <w:szCs w:val="16"/>
              </w:rPr>
            </w:pPr>
          </w:p>
        </w:tc>
        <w:tc>
          <w:tcPr>
            <w:tcW w:w="971" w:type="dxa"/>
            <w:tcBorders>
              <w:top w:val="nil"/>
              <w:left w:val="nil"/>
              <w:bottom w:val="nil"/>
              <w:right w:val="nil"/>
            </w:tcBorders>
            <w:shd w:val="clear" w:color="auto" w:fill="auto"/>
            <w:noWrap/>
            <w:vAlign w:val="bottom"/>
            <w:hideMark/>
          </w:tcPr>
          <w:p w14:paraId="69B96C34" w14:textId="77777777" w:rsidR="002570EE" w:rsidRPr="002570EE" w:rsidRDefault="002570EE" w:rsidP="002570EE">
            <w:pPr>
              <w:spacing w:after="0" w:line="240" w:lineRule="auto"/>
              <w:jc w:val="right"/>
              <w:rPr>
                <w:rFonts w:ascii="Arial" w:hAnsi="Arial" w:cs="Arial"/>
                <w:sz w:val="16"/>
                <w:szCs w:val="16"/>
              </w:rPr>
            </w:pPr>
          </w:p>
        </w:tc>
        <w:tc>
          <w:tcPr>
            <w:tcW w:w="1071" w:type="dxa"/>
            <w:tcBorders>
              <w:top w:val="nil"/>
              <w:left w:val="nil"/>
              <w:bottom w:val="nil"/>
              <w:right w:val="nil"/>
            </w:tcBorders>
            <w:shd w:val="clear" w:color="auto" w:fill="E6E6E6"/>
            <w:noWrap/>
            <w:vAlign w:val="bottom"/>
            <w:hideMark/>
          </w:tcPr>
          <w:p w14:paraId="00F2ADD6" w14:textId="247ABF2B"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w:t>
            </w:r>
          </w:p>
        </w:tc>
      </w:tr>
      <w:tr w:rsidR="002570EE" w:rsidRPr="0068707D" w14:paraId="173CAD68" w14:textId="77777777" w:rsidTr="009D63B8">
        <w:trPr>
          <w:trHeight w:val="204"/>
        </w:trPr>
        <w:tc>
          <w:tcPr>
            <w:tcW w:w="2835" w:type="dxa"/>
            <w:tcBorders>
              <w:top w:val="nil"/>
              <w:left w:val="nil"/>
              <w:bottom w:val="nil"/>
              <w:right w:val="nil"/>
            </w:tcBorders>
            <w:shd w:val="clear" w:color="auto" w:fill="auto"/>
            <w:noWrap/>
            <w:vAlign w:val="bottom"/>
            <w:hideMark/>
          </w:tcPr>
          <w:p w14:paraId="1C85E8C0"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Australia Council</w:t>
            </w:r>
          </w:p>
        </w:tc>
        <w:tc>
          <w:tcPr>
            <w:tcW w:w="1332" w:type="dxa"/>
            <w:tcBorders>
              <w:top w:val="nil"/>
              <w:left w:val="nil"/>
              <w:bottom w:val="nil"/>
              <w:right w:val="nil"/>
            </w:tcBorders>
            <w:shd w:val="clear" w:color="auto" w:fill="auto"/>
            <w:noWrap/>
            <w:vAlign w:val="bottom"/>
            <w:hideMark/>
          </w:tcPr>
          <w:p w14:paraId="583ECC2A" w14:textId="0EFF8093"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214,883 </w:t>
            </w:r>
          </w:p>
        </w:tc>
        <w:tc>
          <w:tcPr>
            <w:tcW w:w="1090" w:type="dxa"/>
            <w:tcBorders>
              <w:top w:val="nil"/>
              <w:left w:val="nil"/>
              <w:bottom w:val="nil"/>
              <w:right w:val="nil"/>
            </w:tcBorders>
            <w:shd w:val="clear" w:color="auto" w:fill="auto"/>
            <w:noWrap/>
            <w:vAlign w:val="bottom"/>
            <w:hideMark/>
          </w:tcPr>
          <w:p w14:paraId="7C2B4CDB" w14:textId="05F10202"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219,794 </w:t>
            </w:r>
          </w:p>
        </w:tc>
        <w:tc>
          <w:tcPr>
            <w:tcW w:w="971" w:type="dxa"/>
            <w:tcBorders>
              <w:top w:val="nil"/>
              <w:left w:val="nil"/>
              <w:bottom w:val="nil"/>
              <w:right w:val="nil"/>
            </w:tcBorders>
            <w:shd w:val="clear" w:color="auto" w:fill="auto"/>
            <w:noWrap/>
            <w:vAlign w:val="bottom"/>
            <w:hideMark/>
          </w:tcPr>
          <w:p w14:paraId="72B00F69" w14:textId="76340F85"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6D600214" w14:textId="498EAF5B"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219,794 </w:t>
            </w:r>
          </w:p>
        </w:tc>
      </w:tr>
      <w:tr w:rsidR="002570EE" w:rsidRPr="0068707D" w14:paraId="4C9479B9" w14:textId="77777777" w:rsidTr="009D63B8">
        <w:trPr>
          <w:trHeight w:val="204"/>
        </w:trPr>
        <w:tc>
          <w:tcPr>
            <w:tcW w:w="2835" w:type="dxa"/>
            <w:tcBorders>
              <w:top w:val="nil"/>
              <w:left w:val="nil"/>
              <w:bottom w:val="nil"/>
              <w:right w:val="nil"/>
            </w:tcBorders>
            <w:shd w:val="clear" w:color="auto" w:fill="auto"/>
            <w:noWrap/>
            <w:vAlign w:val="bottom"/>
            <w:hideMark/>
          </w:tcPr>
          <w:p w14:paraId="0DD5373E"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Australian Broadcasting Corporation</w:t>
            </w:r>
          </w:p>
        </w:tc>
        <w:tc>
          <w:tcPr>
            <w:tcW w:w="1332" w:type="dxa"/>
            <w:tcBorders>
              <w:top w:val="nil"/>
              <w:left w:val="nil"/>
              <w:bottom w:val="nil"/>
              <w:right w:val="nil"/>
            </w:tcBorders>
            <w:shd w:val="clear" w:color="auto" w:fill="auto"/>
            <w:noWrap/>
            <w:vAlign w:val="bottom"/>
            <w:hideMark/>
          </w:tcPr>
          <w:p w14:paraId="47B4EB70" w14:textId="0A31AA96"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1,065,354 </w:t>
            </w:r>
          </w:p>
        </w:tc>
        <w:tc>
          <w:tcPr>
            <w:tcW w:w="1090" w:type="dxa"/>
            <w:tcBorders>
              <w:top w:val="nil"/>
              <w:left w:val="nil"/>
              <w:bottom w:val="nil"/>
              <w:right w:val="nil"/>
            </w:tcBorders>
            <w:shd w:val="clear" w:color="auto" w:fill="auto"/>
            <w:noWrap/>
            <w:vAlign w:val="bottom"/>
            <w:hideMark/>
          </w:tcPr>
          <w:p w14:paraId="02B8FE15" w14:textId="30A68B95"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1,070,097 </w:t>
            </w:r>
          </w:p>
        </w:tc>
        <w:tc>
          <w:tcPr>
            <w:tcW w:w="971" w:type="dxa"/>
            <w:tcBorders>
              <w:top w:val="nil"/>
              <w:left w:val="nil"/>
              <w:bottom w:val="nil"/>
              <w:right w:val="nil"/>
            </w:tcBorders>
            <w:shd w:val="clear" w:color="auto" w:fill="auto"/>
            <w:noWrap/>
            <w:vAlign w:val="bottom"/>
            <w:hideMark/>
          </w:tcPr>
          <w:p w14:paraId="054963E8" w14:textId="075F1D81"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37E7A43D" w14:textId="5CB73E92"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1,070,097 </w:t>
            </w:r>
          </w:p>
        </w:tc>
      </w:tr>
      <w:tr w:rsidR="002570EE" w:rsidRPr="0068707D" w14:paraId="1C023116" w14:textId="77777777" w:rsidTr="009D63B8">
        <w:trPr>
          <w:trHeight w:val="204"/>
        </w:trPr>
        <w:tc>
          <w:tcPr>
            <w:tcW w:w="2835" w:type="dxa"/>
            <w:tcBorders>
              <w:top w:val="nil"/>
              <w:left w:val="nil"/>
              <w:bottom w:val="nil"/>
              <w:right w:val="nil"/>
            </w:tcBorders>
            <w:shd w:val="clear" w:color="auto" w:fill="auto"/>
            <w:noWrap/>
            <w:vAlign w:val="bottom"/>
            <w:hideMark/>
          </w:tcPr>
          <w:p w14:paraId="770E8592"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Australian Film, Television and Radio School</w:t>
            </w:r>
          </w:p>
        </w:tc>
        <w:tc>
          <w:tcPr>
            <w:tcW w:w="1332" w:type="dxa"/>
            <w:tcBorders>
              <w:top w:val="nil"/>
              <w:left w:val="nil"/>
              <w:bottom w:val="nil"/>
              <w:right w:val="nil"/>
            </w:tcBorders>
            <w:shd w:val="clear" w:color="auto" w:fill="auto"/>
            <w:noWrap/>
            <w:vAlign w:val="bottom"/>
            <w:hideMark/>
          </w:tcPr>
          <w:p w14:paraId="03272A4E" w14:textId="768098B9"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25,059 </w:t>
            </w:r>
          </w:p>
        </w:tc>
        <w:tc>
          <w:tcPr>
            <w:tcW w:w="1090" w:type="dxa"/>
            <w:tcBorders>
              <w:top w:val="nil"/>
              <w:left w:val="nil"/>
              <w:bottom w:val="nil"/>
              <w:right w:val="nil"/>
            </w:tcBorders>
            <w:shd w:val="clear" w:color="auto" w:fill="auto"/>
            <w:noWrap/>
            <w:vAlign w:val="bottom"/>
            <w:hideMark/>
          </w:tcPr>
          <w:p w14:paraId="108E93FB" w14:textId="68509218"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22,738 </w:t>
            </w:r>
          </w:p>
        </w:tc>
        <w:tc>
          <w:tcPr>
            <w:tcW w:w="971" w:type="dxa"/>
            <w:tcBorders>
              <w:top w:val="nil"/>
              <w:left w:val="nil"/>
              <w:bottom w:val="nil"/>
              <w:right w:val="nil"/>
            </w:tcBorders>
            <w:shd w:val="clear" w:color="auto" w:fill="auto"/>
            <w:noWrap/>
            <w:vAlign w:val="bottom"/>
            <w:hideMark/>
          </w:tcPr>
          <w:p w14:paraId="66F8F236" w14:textId="370DB255"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40692020" w14:textId="60730C16"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22,738 </w:t>
            </w:r>
          </w:p>
        </w:tc>
      </w:tr>
      <w:tr w:rsidR="002570EE" w:rsidRPr="0068707D" w14:paraId="14554D39" w14:textId="77777777" w:rsidTr="009D63B8">
        <w:trPr>
          <w:trHeight w:val="204"/>
        </w:trPr>
        <w:tc>
          <w:tcPr>
            <w:tcW w:w="2835" w:type="dxa"/>
            <w:tcBorders>
              <w:top w:val="nil"/>
              <w:left w:val="nil"/>
              <w:bottom w:val="nil"/>
              <w:right w:val="nil"/>
            </w:tcBorders>
            <w:shd w:val="clear" w:color="auto" w:fill="auto"/>
            <w:noWrap/>
            <w:vAlign w:val="bottom"/>
            <w:hideMark/>
          </w:tcPr>
          <w:p w14:paraId="1B21DB15"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Australian Maritime Safety Authority</w:t>
            </w:r>
          </w:p>
        </w:tc>
        <w:tc>
          <w:tcPr>
            <w:tcW w:w="1332" w:type="dxa"/>
            <w:tcBorders>
              <w:top w:val="nil"/>
              <w:left w:val="nil"/>
              <w:bottom w:val="nil"/>
              <w:right w:val="nil"/>
            </w:tcBorders>
            <w:shd w:val="clear" w:color="auto" w:fill="auto"/>
            <w:noWrap/>
            <w:vAlign w:val="bottom"/>
            <w:hideMark/>
          </w:tcPr>
          <w:p w14:paraId="7CDE700B" w14:textId="78A96125" w:rsidR="002570EE" w:rsidRPr="002570EE" w:rsidRDefault="002570EE" w:rsidP="002570EE">
            <w:pPr>
              <w:spacing w:after="0" w:line="240" w:lineRule="auto"/>
              <w:jc w:val="right"/>
              <w:rPr>
                <w:rFonts w:ascii="Arial" w:hAnsi="Arial" w:cs="Arial"/>
                <w:sz w:val="16"/>
                <w:szCs w:val="16"/>
                <w:highlight w:val="yellow"/>
              </w:rPr>
            </w:pPr>
            <w:r w:rsidRPr="002570EE">
              <w:rPr>
                <w:rFonts w:ascii="Arial" w:hAnsi="Arial" w:cs="Arial"/>
                <w:sz w:val="16"/>
                <w:szCs w:val="16"/>
              </w:rPr>
              <w:t xml:space="preserve">216,850 </w:t>
            </w:r>
          </w:p>
        </w:tc>
        <w:tc>
          <w:tcPr>
            <w:tcW w:w="1090" w:type="dxa"/>
            <w:tcBorders>
              <w:top w:val="nil"/>
              <w:left w:val="nil"/>
              <w:bottom w:val="nil"/>
              <w:right w:val="nil"/>
            </w:tcBorders>
            <w:shd w:val="clear" w:color="auto" w:fill="auto"/>
            <w:noWrap/>
            <w:vAlign w:val="bottom"/>
            <w:hideMark/>
          </w:tcPr>
          <w:p w14:paraId="7C7D57C5" w14:textId="5886060D"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217,904 </w:t>
            </w:r>
          </w:p>
        </w:tc>
        <w:tc>
          <w:tcPr>
            <w:tcW w:w="971" w:type="dxa"/>
            <w:tcBorders>
              <w:top w:val="nil"/>
              <w:left w:val="nil"/>
              <w:bottom w:val="nil"/>
              <w:right w:val="nil"/>
            </w:tcBorders>
            <w:shd w:val="clear" w:color="auto" w:fill="auto"/>
            <w:noWrap/>
            <w:vAlign w:val="bottom"/>
            <w:hideMark/>
          </w:tcPr>
          <w:p w14:paraId="77B491B1" w14:textId="11E2FBEC"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(2,902)</w:t>
            </w:r>
          </w:p>
        </w:tc>
        <w:tc>
          <w:tcPr>
            <w:tcW w:w="1071" w:type="dxa"/>
            <w:tcBorders>
              <w:top w:val="nil"/>
              <w:left w:val="nil"/>
              <w:bottom w:val="nil"/>
              <w:right w:val="nil"/>
            </w:tcBorders>
            <w:shd w:val="clear" w:color="auto" w:fill="E6E6E6"/>
            <w:noWrap/>
            <w:vAlign w:val="bottom"/>
            <w:hideMark/>
          </w:tcPr>
          <w:p w14:paraId="51B127EB" w14:textId="057C9C6B"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215,002 </w:t>
            </w:r>
          </w:p>
        </w:tc>
      </w:tr>
      <w:tr w:rsidR="002570EE" w:rsidRPr="0068707D" w14:paraId="3C39CDDD" w14:textId="77777777" w:rsidTr="009D63B8">
        <w:trPr>
          <w:trHeight w:val="204"/>
        </w:trPr>
        <w:tc>
          <w:tcPr>
            <w:tcW w:w="2835" w:type="dxa"/>
            <w:tcBorders>
              <w:top w:val="nil"/>
              <w:left w:val="nil"/>
              <w:bottom w:val="nil"/>
              <w:right w:val="nil"/>
            </w:tcBorders>
            <w:shd w:val="clear" w:color="auto" w:fill="auto"/>
            <w:noWrap/>
            <w:vAlign w:val="bottom"/>
            <w:hideMark/>
          </w:tcPr>
          <w:p w14:paraId="278037EF"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Australian National Maritime Museum</w:t>
            </w:r>
          </w:p>
        </w:tc>
        <w:tc>
          <w:tcPr>
            <w:tcW w:w="1332" w:type="dxa"/>
            <w:tcBorders>
              <w:top w:val="nil"/>
              <w:left w:val="nil"/>
              <w:bottom w:val="nil"/>
              <w:right w:val="nil"/>
            </w:tcBorders>
            <w:shd w:val="clear" w:color="auto" w:fill="auto"/>
            <w:noWrap/>
            <w:vAlign w:val="bottom"/>
            <w:hideMark/>
          </w:tcPr>
          <w:p w14:paraId="7CEE9673" w14:textId="68CE6303" w:rsidR="002570EE" w:rsidRPr="002570EE" w:rsidRDefault="002570EE" w:rsidP="002570EE">
            <w:pPr>
              <w:spacing w:after="0" w:line="240" w:lineRule="auto"/>
              <w:jc w:val="right"/>
              <w:rPr>
                <w:rFonts w:ascii="Arial" w:hAnsi="Arial" w:cs="Arial"/>
                <w:sz w:val="16"/>
                <w:szCs w:val="16"/>
                <w:highlight w:val="yellow"/>
              </w:rPr>
            </w:pPr>
            <w:r w:rsidRPr="002570EE">
              <w:rPr>
                <w:rFonts w:ascii="Arial" w:hAnsi="Arial" w:cs="Arial"/>
                <w:sz w:val="16"/>
                <w:szCs w:val="16"/>
              </w:rPr>
              <w:t xml:space="preserve">24,242 </w:t>
            </w:r>
          </w:p>
        </w:tc>
        <w:tc>
          <w:tcPr>
            <w:tcW w:w="1090" w:type="dxa"/>
            <w:tcBorders>
              <w:top w:val="nil"/>
              <w:left w:val="nil"/>
              <w:bottom w:val="nil"/>
              <w:right w:val="nil"/>
            </w:tcBorders>
            <w:shd w:val="clear" w:color="auto" w:fill="auto"/>
            <w:noWrap/>
            <w:vAlign w:val="bottom"/>
            <w:hideMark/>
          </w:tcPr>
          <w:p w14:paraId="680EB6AE" w14:textId="72EABF87"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25,820 </w:t>
            </w:r>
          </w:p>
        </w:tc>
        <w:tc>
          <w:tcPr>
            <w:tcW w:w="971" w:type="dxa"/>
            <w:tcBorders>
              <w:top w:val="nil"/>
              <w:left w:val="nil"/>
              <w:bottom w:val="nil"/>
              <w:right w:val="nil"/>
            </w:tcBorders>
            <w:shd w:val="clear" w:color="auto" w:fill="auto"/>
            <w:noWrap/>
            <w:vAlign w:val="bottom"/>
            <w:hideMark/>
          </w:tcPr>
          <w:p w14:paraId="1DE08EA2" w14:textId="6FF88026"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25B56D96" w14:textId="17E8E82A"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25,820 </w:t>
            </w:r>
          </w:p>
        </w:tc>
      </w:tr>
      <w:tr w:rsidR="002570EE" w:rsidRPr="0068707D" w14:paraId="07290C00" w14:textId="77777777" w:rsidTr="009D63B8">
        <w:trPr>
          <w:trHeight w:val="204"/>
        </w:trPr>
        <w:tc>
          <w:tcPr>
            <w:tcW w:w="2835" w:type="dxa"/>
            <w:tcBorders>
              <w:top w:val="nil"/>
              <w:left w:val="nil"/>
              <w:bottom w:val="nil"/>
              <w:right w:val="nil"/>
            </w:tcBorders>
            <w:shd w:val="clear" w:color="auto" w:fill="auto"/>
            <w:noWrap/>
            <w:vAlign w:val="bottom"/>
            <w:hideMark/>
          </w:tcPr>
          <w:p w14:paraId="109B5DDF"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Civil Aviation Safety Authority</w:t>
            </w:r>
          </w:p>
        </w:tc>
        <w:tc>
          <w:tcPr>
            <w:tcW w:w="1332" w:type="dxa"/>
            <w:tcBorders>
              <w:top w:val="nil"/>
              <w:left w:val="nil"/>
              <w:bottom w:val="nil"/>
              <w:right w:val="nil"/>
            </w:tcBorders>
            <w:shd w:val="clear" w:color="auto" w:fill="auto"/>
            <w:noWrap/>
            <w:vAlign w:val="bottom"/>
            <w:hideMark/>
          </w:tcPr>
          <w:p w14:paraId="336CEB89" w14:textId="14148A08" w:rsidR="002570EE" w:rsidRPr="002570EE" w:rsidRDefault="002570EE" w:rsidP="002570EE">
            <w:pPr>
              <w:spacing w:after="0" w:line="240" w:lineRule="auto"/>
              <w:jc w:val="right"/>
              <w:rPr>
                <w:rFonts w:ascii="Arial" w:hAnsi="Arial" w:cs="Arial"/>
                <w:sz w:val="16"/>
                <w:szCs w:val="16"/>
                <w:highlight w:val="yellow"/>
              </w:rPr>
            </w:pPr>
            <w:r w:rsidRPr="002570EE">
              <w:rPr>
                <w:rFonts w:ascii="Arial" w:hAnsi="Arial" w:cs="Arial"/>
                <w:sz w:val="16"/>
                <w:szCs w:val="16"/>
              </w:rPr>
              <w:t xml:space="preserve">195,789 </w:t>
            </w:r>
          </w:p>
        </w:tc>
        <w:tc>
          <w:tcPr>
            <w:tcW w:w="1090" w:type="dxa"/>
            <w:tcBorders>
              <w:top w:val="nil"/>
              <w:left w:val="nil"/>
              <w:bottom w:val="nil"/>
              <w:right w:val="nil"/>
            </w:tcBorders>
            <w:shd w:val="clear" w:color="auto" w:fill="auto"/>
            <w:noWrap/>
            <w:vAlign w:val="bottom"/>
            <w:hideMark/>
          </w:tcPr>
          <w:p w14:paraId="7494B118" w14:textId="65793050"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220,136 </w:t>
            </w:r>
          </w:p>
        </w:tc>
        <w:tc>
          <w:tcPr>
            <w:tcW w:w="971" w:type="dxa"/>
            <w:tcBorders>
              <w:top w:val="nil"/>
              <w:left w:val="nil"/>
              <w:bottom w:val="nil"/>
              <w:right w:val="nil"/>
            </w:tcBorders>
            <w:shd w:val="clear" w:color="auto" w:fill="auto"/>
            <w:noWrap/>
            <w:vAlign w:val="bottom"/>
            <w:hideMark/>
          </w:tcPr>
          <w:p w14:paraId="46475411" w14:textId="190B4C86"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(14,006)</w:t>
            </w:r>
          </w:p>
        </w:tc>
        <w:tc>
          <w:tcPr>
            <w:tcW w:w="1071" w:type="dxa"/>
            <w:tcBorders>
              <w:top w:val="nil"/>
              <w:left w:val="nil"/>
              <w:bottom w:val="nil"/>
              <w:right w:val="nil"/>
            </w:tcBorders>
            <w:shd w:val="clear" w:color="auto" w:fill="E6E6E6"/>
            <w:noWrap/>
            <w:vAlign w:val="bottom"/>
            <w:hideMark/>
          </w:tcPr>
          <w:p w14:paraId="3AFC9691" w14:textId="0792309F"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206,130 </w:t>
            </w:r>
          </w:p>
        </w:tc>
      </w:tr>
      <w:tr w:rsidR="002570EE" w:rsidRPr="0068707D" w14:paraId="3AD0B108" w14:textId="77777777" w:rsidTr="009D63B8">
        <w:trPr>
          <w:trHeight w:val="204"/>
        </w:trPr>
        <w:tc>
          <w:tcPr>
            <w:tcW w:w="2835" w:type="dxa"/>
            <w:tcBorders>
              <w:top w:val="nil"/>
              <w:left w:val="nil"/>
              <w:bottom w:val="nil"/>
              <w:right w:val="nil"/>
            </w:tcBorders>
            <w:shd w:val="clear" w:color="auto" w:fill="auto"/>
            <w:noWrap/>
            <w:vAlign w:val="bottom"/>
            <w:hideMark/>
          </w:tcPr>
          <w:p w14:paraId="4CBE0EE0"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Infrastructure Australia</w:t>
            </w:r>
          </w:p>
        </w:tc>
        <w:tc>
          <w:tcPr>
            <w:tcW w:w="1332" w:type="dxa"/>
            <w:tcBorders>
              <w:top w:val="nil"/>
              <w:left w:val="nil"/>
              <w:bottom w:val="nil"/>
              <w:right w:val="nil"/>
            </w:tcBorders>
            <w:shd w:val="clear" w:color="auto" w:fill="auto"/>
            <w:noWrap/>
            <w:vAlign w:val="bottom"/>
            <w:hideMark/>
          </w:tcPr>
          <w:p w14:paraId="324D8E07" w14:textId="14575CEB"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15,419 </w:t>
            </w:r>
          </w:p>
        </w:tc>
        <w:tc>
          <w:tcPr>
            <w:tcW w:w="1090" w:type="dxa"/>
            <w:tcBorders>
              <w:top w:val="nil"/>
              <w:left w:val="nil"/>
              <w:bottom w:val="nil"/>
              <w:right w:val="nil"/>
            </w:tcBorders>
            <w:shd w:val="clear" w:color="auto" w:fill="auto"/>
            <w:noWrap/>
            <w:vAlign w:val="bottom"/>
            <w:hideMark/>
          </w:tcPr>
          <w:p w14:paraId="644E7689" w14:textId="3663F705"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12,853 </w:t>
            </w:r>
          </w:p>
        </w:tc>
        <w:tc>
          <w:tcPr>
            <w:tcW w:w="971" w:type="dxa"/>
            <w:tcBorders>
              <w:top w:val="nil"/>
              <w:left w:val="nil"/>
              <w:bottom w:val="nil"/>
              <w:right w:val="nil"/>
            </w:tcBorders>
            <w:shd w:val="clear" w:color="auto" w:fill="auto"/>
            <w:noWrap/>
            <w:vAlign w:val="bottom"/>
            <w:hideMark/>
          </w:tcPr>
          <w:p w14:paraId="26F24C59" w14:textId="3BC4A3D0"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00B1A9EE" w14:textId="36A1EEF9"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12,853 </w:t>
            </w:r>
          </w:p>
        </w:tc>
      </w:tr>
      <w:tr w:rsidR="002570EE" w:rsidRPr="0068707D" w14:paraId="04EB0EA1" w14:textId="77777777" w:rsidTr="009D63B8">
        <w:trPr>
          <w:trHeight w:val="204"/>
        </w:trPr>
        <w:tc>
          <w:tcPr>
            <w:tcW w:w="2835" w:type="dxa"/>
            <w:tcBorders>
              <w:top w:val="nil"/>
              <w:left w:val="nil"/>
              <w:bottom w:val="nil"/>
              <w:right w:val="nil"/>
            </w:tcBorders>
            <w:shd w:val="clear" w:color="auto" w:fill="auto"/>
            <w:noWrap/>
            <w:vAlign w:val="bottom"/>
            <w:hideMark/>
          </w:tcPr>
          <w:p w14:paraId="732441C4"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National Film and Sound Archive of Australia</w:t>
            </w:r>
          </w:p>
        </w:tc>
        <w:tc>
          <w:tcPr>
            <w:tcW w:w="1332" w:type="dxa"/>
            <w:tcBorders>
              <w:top w:val="nil"/>
              <w:left w:val="nil"/>
              <w:bottom w:val="nil"/>
              <w:right w:val="nil"/>
            </w:tcBorders>
            <w:shd w:val="clear" w:color="auto" w:fill="auto"/>
            <w:noWrap/>
            <w:vAlign w:val="bottom"/>
            <w:hideMark/>
          </w:tcPr>
          <w:p w14:paraId="50FBFAE8" w14:textId="732AE37D" w:rsidR="002570EE" w:rsidRPr="002570EE" w:rsidRDefault="002570EE" w:rsidP="002570EE">
            <w:pPr>
              <w:spacing w:after="0" w:line="240" w:lineRule="auto"/>
              <w:jc w:val="right"/>
              <w:rPr>
                <w:rFonts w:ascii="Arial" w:hAnsi="Arial" w:cs="Arial"/>
                <w:sz w:val="16"/>
                <w:szCs w:val="16"/>
                <w:highlight w:val="yellow"/>
              </w:rPr>
            </w:pPr>
            <w:r w:rsidRPr="002570EE">
              <w:rPr>
                <w:rFonts w:ascii="Arial" w:hAnsi="Arial" w:cs="Arial"/>
                <w:sz w:val="16"/>
                <w:szCs w:val="16"/>
              </w:rPr>
              <w:t xml:space="preserve">27,344 </w:t>
            </w:r>
          </w:p>
        </w:tc>
        <w:tc>
          <w:tcPr>
            <w:tcW w:w="1090" w:type="dxa"/>
            <w:tcBorders>
              <w:top w:val="nil"/>
              <w:left w:val="nil"/>
              <w:bottom w:val="nil"/>
              <w:right w:val="nil"/>
            </w:tcBorders>
            <w:shd w:val="clear" w:color="auto" w:fill="auto"/>
            <w:noWrap/>
            <w:vAlign w:val="bottom"/>
            <w:hideMark/>
          </w:tcPr>
          <w:p w14:paraId="6DD5761D" w14:textId="1B85E741"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25,893 </w:t>
            </w:r>
          </w:p>
        </w:tc>
        <w:tc>
          <w:tcPr>
            <w:tcW w:w="971" w:type="dxa"/>
            <w:tcBorders>
              <w:top w:val="nil"/>
              <w:left w:val="nil"/>
              <w:bottom w:val="nil"/>
              <w:right w:val="nil"/>
            </w:tcBorders>
            <w:shd w:val="clear" w:color="auto" w:fill="auto"/>
            <w:noWrap/>
            <w:vAlign w:val="bottom"/>
            <w:hideMark/>
          </w:tcPr>
          <w:p w14:paraId="5E528F9D" w14:textId="1A53F161"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6,460 </w:t>
            </w:r>
          </w:p>
        </w:tc>
        <w:tc>
          <w:tcPr>
            <w:tcW w:w="1071" w:type="dxa"/>
            <w:tcBorders>
              <w:top w:val="nil"/>
              <w:left w:val="nil"/>
              <w:bottom w:val="nil"/>
              <w:right w:val="nil"/>
            </w:tcBorders>
            <w:shd w:val="clear" w:color="auto" w:fill="E6E6E6"/>
            <w:noWrap/>
            <w:vAlign w:val="bottom"/>
            <w:hideMark/>
          </w:tcPr>
          <w:p w14:paraId="15E1724F" w14:textId="75D81FF9"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32,353 </w:t>
            </w:r>
          </w:p>
        </w:tc>
      </w:tr>
      <w:tr w:rsidR="002570EE" w:rsidRPr="0068707D" w14:paraId="32922B6F" w14:textId="77777777" w:rsidTr="009D63B8">
        <w:trPr>
          <w:trHeight w:val="204"/>
        </w:trPr>
        <w:tc>
          <w:tcPr>
            <w:tcW w:w="2835" w:type="dxa"/>
            <w:tcBorders>
              <w:top w:val="nil"/>
              <w:left w:val="nil"/>
              <w:bottom w:val="nil"/>
              <w:right w:val="nil"/>
            </w:tcBorders>
            <w:shd w:val="clear" w:color="auto" w:fill="auto"/>
            <w:noWrap/>
            <w:vAlign w:val="bottom"/>
            <w:hideMark/>
          </w:tcPr>
          <w:p w14:paraId="489CE65E" w14:textId="3DE82862" w:rsidR="002570EE" w:rsidRPr="001D65DB" w:rsidRDefault="002570EE" w:rsidP="002570EE">
            <w:pPr>
              <w:spacing w:after="0" w:line="240" w:lineRule="auto"/>
              <w:ind w:left="113"/>
              <w:jc w:val="left"/>
              <w:rPr>
                <w:rFonts w:ascii="Arial" w:hAnsi="Arial" w:cs="Arial"/>
                <w:sz w:val="16"/>
                <w:szCs w:val="16"/>
              </w:rPr>
            </w:pPr>
            <w:r w:rsidRPr="001D65DB">
              <w:rPr>
                <w:rFonts w:ascii="Arial" w:hAnsi="Arial" w:cs="Arial"/>
                <w:sz w:val="16"/>
                <w:szCs w:val="16"/>
              </w:rPr>
              <w:t>National Gallery of Australia</w:t>
            </w:r>
          </w:p>
        </w:tc>
        <w:tc>
          <w:tcPr>
            <w:tcW w:w="1332" w:type="dxa"/>
            <w:tcBorders>
              <w:top w:val="nil"/>
              <w:left w:val="nil"/>
              <w:bottom w:val="nil"/>
              <w:right w:val="nil"/>
            </w:tcBorders>
            <w:shd w:val="clear" w:color="auto" w:fill="auto"/>
            <w:noWrap/>
            <w:vAlign w:val="bottom"/>
            <w:hideMark/>
          </w:tcPr>
          <w:p w14:paraId="463E809C" w14:textId="298D5B67" w:rsidR="002570EE" w:rsidRPr="002570EE" w:rsidRDefault="002570EE" w:rsidP="002570EE">
            <w:pPr>
              <w:spacing w:after="0" w:line="240" w:lineRule="auto"/>
              <w:jc w:val="right"/>
              <w:rPr>
                <w:rFonts w:ascii="Arial" w:hAnsi="Arial" w:cs="Arial"/>
                <w:sz w:val="16"/>
                <w:szCs w:val="16"/>
                <w:highlight w:val="yellow"/>
              </w:rPr>
            </w:pPr>
            <w:r w:rsidRPr="002570EE">
              <w:rPr>
                <w:rFonts w:ascii="Arial" w:hAnsi="Arial" w:cs="Arial"/>
                <w:sz w:val="16"/>
                <w:szCs w:val="16"/>
              </w:rPr>
              <w:t xml:space="preserve">77,719 </w:t>
            </w:r>
          </w:p>
        </w:tc>
        <w:tc>
          <w:tcPr>
            <w:tcW w:w="1090" w:type="dxa"/>
            <w:tcBorders>
              <w:top w:val="nil"/>
              <w:left w:val="nil"/>
              <w:bottom w:val="nil"/>
              <w:right w:val="nil"/>
            </w:tcBorders>
            <w:shd w:val="clear" w:color="auto" w:fill="auto"/>
            <w:noWrap/>
            <w:vAlign w:val="bottom"/>
            <w:hideMark/>
          </w:tcPr>
          <w:p w14:paraId="66D8C00E" w14:textId="077E77BD"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107,407 </w:t>
            </w:r>
          </w:p>
        </w:tc>
        <w:tc>
          <w:tcPr>
            <w:tcW w:w="971" w:type="dxa"/>
            <w:tcBorders>
              <w:top w:val="nil"/>
              <w:left w:val="nil"/>
              <w:bottom w:val="nil"/>
              <w:right w:val="nil"/>
            </w:tcBorders>
            <w:shd w:val="clear" w:color="auto" w:fill="auto"/>
            <w:noWrap/>
            <w:vAlign w:val="bottom"/>
            <w:hideMark/>
          </w:tcPr>
          <w:p w14:paraId="2EC950A4" w14:textId="1B201513"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0EAD89F5" w14:textId="69C9BF67"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107,407 </w:t>
            </w:r>
          </w:p>
        </w:tc>
      </w:tr>
      <w:tr w:rsidR="002570EE" w:rsidRPr="0068707D" w14:paraId="5734EFB2" w14:textId="77777777" w:rsidTr="009D63B8">
        <w:trPr>
          <w:trHeight w:val="204"/>
        </w:trPr>
        <w:tc>
          <w:tcPr>
            <w:tcW w:w="2835" w:type="dxa"/>
            <w:tcBorders>
              <w:top w:val="nil"/>
              <w:left w:val="nil"/>
              <w:bottom w:val="nil"/>
              <w:right w:val="nil"/>
            </w:tcBorders>
            <w:shd w:val="clear" w:color="auto" w:fill="auto"/>
            <w:noWrap/>
            <w:vAlign w:val="bottom"/>
            <w:hideMark/>
          </w:tcPr>
          <w:p w14:paraId="2C991A57" w14:textId="0E621CA5" w:rsidR="002570EE" w:rsidRPr="001D65DB" w:rsidRDefault="002570EE" w:rsidP="002570EE">
            <w:pPr>
              <w:spacing w:after="0" w:line="240" w:lineRule="auto"/>
              <w:ind w:left="113"/>
              <w:jc w:val="left"/>
              <w:rPr>
                <w:rFonts w:ascii="Arial" w:hAnsi="Arial" w:cs="Arial"/>
                <w:sz w:val="16"/>
                <w:szCs w:val="16"/>
              </w:rPr>
            </w:pPr>
            <w:r w:rsidRPr="001D65DB">
              <w:rPr>
                <w:rFonts w:ascii="Arial" w:hAnsi="Arial" w:cs="Arial"/>
                <w:sz w:val="16"/>
                <w:szCs w:val="16"/>
              </w:rPr>
              <w:t>National Library of Australia</w:t>
            </w:r>
          </w:p>
        </w:tc>
        <w:tc>
          <w:tcPr>
            <w:tcW w:w="1332" w:type="dxa"/>
            <w:tcBorders>
              <w:top w:val="nil"/>
              <w:left w:val="nil"/>
              <w:bottom w:val="nil"/>
              <w:right w:val="nil"/>
            </w:tcBorders>
            <w:shd w:val="clear" w:color="auto" w:fill="auto"/>
            <w:noWrap/>
            <w:vAlign w:val="bottom"/>
            <w:hideMark/>
          </w:tcPr>
          <w:p w14:paraId="08944D5B" w14:textId="2BC518D2" w:rsidR="002570EE" w:rsidRPr="002570EE" w:rsidRDefault="002570EE" w:rsidP="002570EE">
            <w:pPr>
              <w:spacing w:after="0" w:line="240" w:lineRule="auto"/>
              <w:jc w:val="right"/>
              <w:rPr>
                <w:rFonts w:ascii="Arial" w:hAnsi="Arial" w:cs="Arial"/>
                <w:sz w:val="16"/>
                <w:szCs w:val="16"/>
                <w:highlight w:val="yellow"/>
              </w:rPr>
            </w:pPr>
            <w:r w:rsidRPr="002570EE">
              <w:rPr>
                <w:rFonts w:ascii="Arial" w:hAnsi="Arial" w:cs="Arial"/>
                <w:sz w:val="16"/>
                <w:szCs w:val="16"/>
              </w:rPr>
              <w:t xml:space="preserve">68,344 </w:t>
            </w:r>
          </w:p>
        </w:tc>
        <w:tc>
          <w:tcPr>
            <w:tcW w:w="1090" w:type="dxa"/>
            <w:tcBorders>
              <w:top w:val="nil"/>
              <w:left w:val="nil"/>
              <w:bottom w:val="nil"/>
              <w:right w:val="nil"/>
            </w:tcBorders>
            <w:shd w:val="clear" w:color="auto" w:fill="auto"/>
            <w:noWrap/>
            <w:vAlign w:val="bottom"/>
            <w:hideMark/>
          </w:tcPr>
          <w:p w14:paraId="3C68560E" w14:textId="532C0F90"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66,376 </w:t>
            </w:r>
          </w:p>
        </w:tc>
        <w:tc>
          <w:tcPr>
            <w:tcW w:w="971" w:type="dxa"/>
            <w:tcBorders>
              <w:top w:val="nil"/>
              <w:left w:val="nil"/>
              <w:bottom w:val="nil"/>
              <w:right w:val="nil"/>
            </w:tcBorders>
            <w:shd w:val="clear" w:color="auto" w:fill="auto"/>
            <w:noWrap/>
            <w:vAlign w:val="bottom"/>
            <w:hideMark/>
          </w:tcPr>
          <w:p w14:paraId="449820EE" w14:textId="1762B48D"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683 </w:t>
            </w:r>
          </w:p>
        </w:tc>
        <w:tc>
          <w:tcPr>
            <w:tcW w:w="1071" w:type="dxa"/>
            <w:tcBorders>
              <w:top w:val="nil"/>
              <w:left w:val="nil"/>
              <w:bottom w:val="nil"/>
              <w:right w:val="nil"/>
            </w:tcBorders>
            <w:shd w:val="clear" w:color="auto" w:fill="E6E6E6"/>
            <w:noWrap/>
            <w:vAlign w:val="bottom"/>
            <w:hideMark/>
          </w:tcPr>
          <w:p w14:paraId="37C68DA6" w14:textId="0574E3DF"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67,059 </w:t>
            </w:r>
          </w:p>
        </w:tc>
      </w:tr>
      <w:tr w:rsidR="002570EE" w:rsidRPr="0068707D" w14:paraId="18F6EC33" w14:textId="77777777" w:rsidTr="009D63B8">
        <w:trPr>
          <w:trHeight w:val="204"/>
        </w:trPr>
        <w:tc>
          <w:tcPr>
            <w:tcW w:w="2835" w:type="dxa"/>
            <w:tcBorders>
              <w:top w:val="nil"/>
              <w:left w:val="nil"/>
              <w:bottom w:val="nil"/>
              <w:right w:val="nil"/>
            </w:tcBorders>
            <w:shd w:val="clear" w:color="auto" w:fill="auto"/>
            <w:noWrap/>
            <w:vAlign w:val="bottom"/>
            <w:hideMark/>
          </w:tcPr>
          <w:p w14:paraId="24DC6A10"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National Museum of Australia</w:t>
            </w:r>
          </w:p>
        </w:tc>
        <w:tc>
          <w:tcPr>
            <w:tcW w:w="1332" w:type="dxa"/>
            <w:tcBorders>
              <w:top w:val="nil"/>
              <w:left w:val="nil"/>
              <w:bottom w:val="nil"/>
              <w:right w:val="nil"/>
            </w:tcBorders>
            <w:shd w:val="clear" w:color="auto" w:fill="auto"/>
            <w:noWrap/>
            <w:vAlign w:val="bottom"/>
            <w:hideMark/>
          </w:tcPr>
          <w:p w14:paraId="36DDBEF4" w14:textId="46C85607" w:rsidR="002570EE" w:rsidRPr="002570EE" w:rsidRDefault="002570EE" w:rsidP="002570EE">
            <w:pPr>
              <w:spacing w:after="0" w:line="240" w:lineRule="auto"/>
              <w:jc w:val="right"/>
              <w:rPr>
                <w:rFonts w:ascii="Arial" w:hAnsi="Arial" w:cs="Arial"/>
                <w:sz w:val="16"/>
                <w:szCs w:val="16"/>
                <w:highlight w:val="yellow"/>
              </w:rPr>
            </w:pPr>
            <w:r w:rsidRPr="002570EE">
              <w:rPr>
                <w:rFonts w:ascii="Arial" w:hAnsi="Arial" w:cs="Arial"/>
                <w:sz w:val="16"/>
                <w:szCs w:val="16"/>
              </w:rPr>
              <w:t xml:space="preserve">44,277 </w:t>
            </w:r>
          </w:p>
        </w:tc>
        <w:tc>
          <w:tcPr>
            <w:tcW w:w="1090" w:type="dxa"/>
            <w:tcBorders>
              <w:top w:val="nil"/>
              <w:left w:val="nil"/>
              <w:bottom w:val="nil"/>
              <w:right w:val="nil"/>
            </w:tcBorders>
            <w:shd w:val="clear" w:color="auto" w:fill="auto"/>
            <w:noWrap/>
            <w:vAlign w:val="bottom"/>
            <w:hideMark/>
          </w:tcPr>
          <w:p w14:paraId="73F379FE" w14:textId="242114C2"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43,307 </w:t>
            </w:r>
          </w:p>
        </w:tc>
        <w:tc>
          <w:tcPr>
            <w:tcW w:w="971" w:type="dxa"/>
            <w:tcBorders>
              <w:top w:val="nil"/>
              <w:left w:val="nil"/>
              <w:bottom w:val="nil"/>
              <w:right w:val="nil"/>
            </w:tcBorders>
            <w:shd w:val="clear" w:color="auto" w:fill="auto"/>
            <w:noWrap/>
            <w:vAlign w:val="bottom"/>
            <w:hideMark/>
          </w:tcPr>
          <w:p w14:paraId="21B634A4" w14:textId="658EC253"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4945E1DE" w14:textId="160FA75C"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43,307 </w:t>
            </w:r>
          </w:p>
        </w:tc>
      </w:tr>
      <w:tr w:rsidR="002570EE" w:rsidRPr="0068707D" w14:paraId="1DA6317F" w14:textId="77777777" w:rsidTr="009D63B8">
        <w:trPr>
          <w:trHeight w:val="204"/>
        </w:trPr>
        <w:tc>
          <w:tcPr>
            <w:tcW w:w="2835" w:type="dxa"/>
            <w:tcBorders>
              <w:top w:val="nil"/>
              <w:left w:val="nil"/>
              <w:bottom w:val="nil"/>
              <w:right w:val="nil"/>
            </w:tcBorders>
            <w:shd w:val="clear" w:color="auto" w:fill="auto"/>
            <w:noWrap/>
            <w:vAlign w:val="bottom"/>
            <w:hideMark/>
          </w:tcPr>
          <w:p w14:paraId="53D01F3E"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National Portrait Gallery of Australia</w:t>
            </w:r>
          </w:p>
        </w:tc>
        <w:tc>
          <w:tcPr>
            <w:tcW w:w="1332" w:type="dxa"/>
            <w:tcBorders>
              <w:top w:val="nil"/>
              <w:left w:val="nil"/>
              <w:bottom w:val="nil"/>
              <w:right w:val="nil"/>
            </w:tcBorders>
            <w:shd w:val="clear" w:color="auto" w:fill="auto"/>
            <w:noWrap/>
            <w:vAlign w:val="bottom"/>
            <w:hideMark/>
          </w:tcPr>
          <w:p w14:paraId="724B68A2" w14:textId="5DF91B23" w:rsidR="002570EE" w:rsidRPr="002570EE" w:rsidRDefault="002570EE" w:rsidP="002570EE">
            <w:pPr>
              <w:spacing w:after="0" w:line="240" w:lineRule="auto"/>
              <w:jc w:val="right"/>
              <w:rPr>
                <w:rFonts w:ascii="Arial" w:hAnsi="Arial" w:cs="Arial"/>
                <w:sz w:val="16"/>
                <w:szCs w:val="16"/>
                <w:highlight w:val="yellow"/>
              </w:rPr>
            </w:pPr>
            <w:r w:rsidRPr="002570EE">
              <w:rPr>
                <w:rFonts w:ascii="Arial" w:hAnsi="Arial" w:cs="Arial"/>
                <w:sz w:val="16"/>
                <w:szCs w:val="16"/>
              </w:rPr>
              <w:t xml:space="preserve">13,038 </w:t>
            </w:r>
          </w:p>
        </w:tc>
        <w:tc>
          <w:tcPr>
            <w:tcW w:w="1090" w:type="dxa"/>
            <w:tcBorders>
              <w:top w:val="nil"/>
              <w:left w:val="nil"/>
              <w:bottom w:val="nil"/>
              <w:right w:val="nil"/>
            </w:tcBorders>
            <w:shd w:val="clear" w:color="auto" w:fill="auto"/>
            <w:noWrap/>
            <w:vAlign w:val="bottom"/>
            <w:hideMark/>
          </w:tcPr>
          <w:p w14:paraId="51FA0A42" w14:textId="77A47A6D"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12,668 </w:t>
            </w:r>
          </w:p>
        </w:tc>
        <w:tc>
          <w:tcPr>
            <w:tcW w:w="971" w:type="dxa"/>
            <w:tcBorders>
              <w:top w:val="nil"/>
              <w:left w:val="nil"/>
              <w:bottom w:val="nil"/>
              <w:right w:val="nil"/>
            </w:tcBorders>
            <w:shd w:val="clear" w:color="auto" w:fill="auto"/>
            <w:noWrap/>
            <w:vAlign w:val="bottom"/>
            <w:hideMark/>
          </w:tcPr>
          <w:p w14:paraId="40221BBC" w14:textId="32A480DC"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3D5FC21A" w14:textId="7C91C21D"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12,668 </w:t>
            </w:r>
          </w:p>
        </w:tc>
      </w:tr>
      <w:tr w:rsidR="002570EE" w:rsidRPr="0068707D" w14:paraId="2F90E83B" w14:textId="77777777" w:rsidTr="009D63B8">
        <w:trPr>
          <w:trHeight w:val="204"/>
        </w:trPr>
        <w:tc>
          <w:tcPr>
            <w:tcW w:w="2835" w:type="dxa"/>
            <w:tcBorders>
              <w:top w:val="nil"/>
              <w:left w:val="nil"/>
              <w:bottom w:val="nil"/>
              <w:right w:val="nil"/>
            </w:tcBorders>
            <w:shd w:val="clear" w:color="auto" w:fill="auto"/>
            <w:noWrap/>
            <w:vAlign w:val="bottom"/>
            <w:hideMark/>
          </w:tcPr>
          <w:p w14:paraId="0BC584A5"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National Transport Commission</w:t>
            </w:r>
          </w:p>
        </w:tc>
        <w:tc>
          <w:tcPr>
            <w:tcW w:w="1332" w:type="dxa"/>
            <w:tcBorders>
              <w:top w:val="nil"/>
              <w:left w:val="nil"/>
              <w:bottom w:val="nil"/>
              <w:right w:val="nil"/>
            </w:tcBorders>
            <w:shd w:val="clear" w:color="auto" w:fill="auto"/>
            <w:noWrap/>
            <w:vAlign w:val="bottom"/>
            <w:hideMark/>
          </w:tcPr>
          <w:p w14:paraId="337E6790" w14:textId="2B067BDC"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3,629 </w:t>
            </w:r>
          </w:p>
        </w:tc>
        <w:tc>
          <w:tcPr>
            <w:tcW w:w="1090" w:type="dxa"/>
            <w:tcBorders>
              <w:top w:val="nil"/>
              <w:left w:val="nil"/>
              <w:bottom w:val="nil"/>
              <w:right w:val="nil"/>
            </w:tcBorders>
            <w:shd w:val="clear" w:color="auto" w:fill="auto"/>
            <w:noWrap/>
            <w:vAlign w:val="bottom"/>
            <w:hideMark/>
          </w:tcPr>
          <w:p w14:paraId="1357CCF1" w14:textId="19F4B5F8"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3,603 </w:t>
            </w:r>
          </w:p>
        </w:tc>
        <w:tc>
          <w:tcPr>
            <w:tcW w:w="971" w:type="dxa"/>
            <w:tcBorders>
              <w:top w:val="nil"/>
              <w:left w:val="nil"/>
              <w:bottom w:val="nil"/>
              <w:right w:val="nil"/>
            </w:tcBorders>
            <w:shd w:val="clear" w:color="auto" w:fill="auto"/>
            <w:noWrap/>
            <w:vAlign w:val="bottom"/>
            <w:hideMark/>
          </w:tcPr>
          <w:p w14:paraId="71636B50" w14:textId="7949D347"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861 </w:t>
            </w:r>
          </w:p>
        </w:tc>
        <w:tc>
          <w:tcPr>
            <w:tcW w:w="1071" w:type="dxa"/>
            <w:tcBorders>
              <w:top w:val="nil"/>
              <w:left w:val="nil"/>
              <w:bottom w:val="nil"/>
              <w:right w:val="nil"/>
            </w:tcBorders>
            <w:shd w:val="clear" w:color="auto" w:fill="E6E6E6"/>
            <w:noWrap/>
            <w:vAlign w:val="bottom"/>
            <w:hideMark/>
          </w:tcPr>
          <w:p w14:paraId="6B622777" w14:textId="1AB68D0C"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4,464 </w:t>
            </w:r>
          </w:p>
        </w:tc>
      </w:tr>
      <w:tr w:rsidR="002570EE" w:rsidRPr="0068707D" w14:paraId="0AFAC18A" w14:textId="77777777" w:rsidTr="009D63B8">
        <w:trPr>
          <w:trHeight w:val="204"/>
        </w:trPr>
        <w:tc>
          <w:tcPr>
            <w:tcW w:w="2835" w:type="dxa"/>
            <w:tcBorders>
              <w:top w:val="nil"/>
              <w:left w:val="nil"/>
              <w:bottom w:val="nil"/>
              <w:right w:val="nil"/>
            </w:tcBorders>
            <w:shd w:val="clear" w:color="auto" w:fill="auto"/>
            <w:noWrap/>
            <w:vAlign w:val="bottom"/>
            <w:hideMark/>
          </w:tcPr>
          <w:p w14:paraId="6529FDC4" w14:textId="3E53514C"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Northern Australia Infrastructure Facility</w:t>
            </w:r>
            <w:r>
              <w:rPr>
                <w:rFonts w:ascii="Arial" w:hAnsi="Arial" w:cs="Arial"/>
                <w:sz w:val="16"/>
                <w:szCs w:val="16"/>
              </w:rPr>
              <w:t xml:space="preserve"> </w:t>
            </w:r>
            <w:r>
              <w:rPr>
                <w:rFonts w:ascii="Arial" w:hAnsi="Arial" w:cs="Arial"/>
                <w:sz w:val="16"/>
                <w:szCs w:val="16"/>
                <w:vertAlign w:val="superscript"/>
              </w:rPr>
              <w:t>(q</w:t>
            </w:r>
            <w:r w:rsidRPr="00634F1A">
              <w:rPr>
                <w:rFonts w:ascii="Arial" w:hAnsi="Arial" w:cs="Arial"/>
                <w:sz w:val="16"/>
                <w:szCs w:val="16"/>
                <w:vertAlign w:val="superscript"/>
              </w:rPr>
              <w:t>)</w:t>
            </w:r>
          </w:p>
        </w:tc>
        <w:tc>
          <w:tcPr>
            <w:tcW w:w="1332" w:type="dxa"/>
            <w:tcBorders>
              <w:top w:val="nil"/>
              <w:left w:val="nil"/>
              <w:bottom w:val="nil"/>
              <w:right w:val="nil"/>
            </w:tcBorders>
            <w:shd w:val="clear" w:color="auto" w:fill="auto"/>
            <w:noWrap/>
            <w:vAlign w:val="bottom"/>
            <w:hideMark/>
          </w:tcPr>
          <w:p w14:paraId="16F93C58" w14:textId="087C5E22" w:rsidR="002570EE" w:rsidRPr="002570EE" w:rsidRDefault="002570EE" w:rsidP="002570EE">
            <w:pPr>
              <w:spacing w:after="0" w:line="240" w:lineRule="auto"/>
              <w:jc w:val="right"/>
              <w:outlineLvl w:val="0"/>
              <w:rPr>
                <w:rFonts w:ascii="Arial" w:hAnsi="Arial" w:cs="Arial"/>
                <w:sz w:val="16"/>
                <w:szCs w:val="16"/>
              </w:rPr>
            </w:pPr>
            <w:r w:rsidRPr="002570EE">
              <w:rPr>
                <w:rFonts w:ascii="Arial" w:hAnsi="Arial" w:cs="Arial"/>
                <w:sz w:val="16"/>
                <w:szCs w:val="16"/>
              </w:rPr>
              <w:t xml:space="preserve">- </w:t>
            </w:r>
          </w:p>
        </w:tc>
        <w:tc>
          <w:tcPr>
            <w:tcW w:w="1090" w:type="dxa"/>
            <w:tcBorders>
              <w:top w:val="nil"/>
              <w:left w:val="nil"/>
              <w:bottom w:val="nil"/>
              <w:right w:val="nil"/>
            </w:tcBorders>
            <w:shd w:val="clear" w:color="auto" w:fill="auto"/>
            <w:noWrap/>
            <w:vAlign w:val="bottom"/>
            <w:hideMark/>
          </w:tcPr>
          <w:p w14:paraId="728CC446" w14:textId="33387386" w:rsidR="002570EE" w:rsidRPr="002570EE" w:rsidRDefault="002570EE" w:rsidP="002570EE">
            <w:pPr>
              <w:spacing w:after="0" w:line="240" w:lineRule="auto"/>
              <w:jc w:val="right"/>
              <w:outlineLvl w:val="0"/>
              <w:rPr>
                <w:rFonts w:ascii="Arial" w:hAnsi="Arial" w:cs="Arial"/>
                <w:sz w:val="16"/>
                <w:szCs w:val="16"/>
              </w:rPr>
            </w:pPr>
            <w:r w:rsidRPr="002570EE">
              <w:rPr>
                <w:rFonts w:ascii="Arial" w:hAnsi="Arial" w:cs="Arial"/>
                <w:sz w:val="16"/>
                <w:szCs w:val="16"/>
              </w:rPr>
              <w:t xml:space="preserve">14,227 </w:t>
            </w:r>
          </w:p>
        </w:tc>
        <w:tc>
          <w:tcPr>
            <w:tcW w:w="971" w:type="dxa"/>
            <w:tcBorders>
              <w:top w:val="nil"/>
              <w:left w:val="nil"/>
              <w:bottom w:val="nil"/>
              <w:right w:val="nil"/>
            </w:tcBorders>
            <w:shd w:val="clear" w:color="auto" w:fill="auto"/>
            <w:noWrap/>
            <w:vAlign w:val="bottom"/>
            <w:hideMark/>
          </w:tcPr>
          <w:p w14:paraId="045674FD" w14:textId="081DBE17" w:rsidR="002570EE" w:rsidRPr="002570EE" w:rsidRDefault="002570EE" w:rsidP="002570EE">
            <w:pPr>
              <w:spacing w:after="0" w:line="240" w:lineRule="auto"/>
              <w:jc w:val="right"/>
              <w:outlineLvl w:val="0"/>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49B04959" w14:textId="6D113193" w:rsidR="002570EE" w:rsidRPr="002570EE" w:rsidRDefault="002570EE" w:rsidP="002570EE">
            <w:pPr>
              <w:spacing w:after="0" w:line="240" w:lineRule="auto"/>
              <w:jc w:val="right"/>
              <w:outlineLvl w:val="0"/>
              <w:rPr>
                <w:rFonts w:ascii="Arial" w:hAnsi="Arial" w:cs="Arial"/>
                <w:sz w:val="16"/>
                <w:szCs w:val="16"/>
              </w:rPr>
            </w:pPr>
            <w:r w:rsidRPr="002570EE">
              <w:rPr>
                <w:rFonts w:ascii="Arial" w:hAnsi="Arial" w:cs="Arial"/>
                <w:sz w:val="16"/>
                <w:szCs w:val="16"/>
              </w:rPr>
              <w:t xml:space="preserve">14,227 </w:t>
            </w:r>
          </w:p>
        </w:tc>
      </w:tr>
      <w:tr w:rsidR="002570EE" w:rsidRPr="0068707D" w14:paraId="62BFF1D0" w14:textId="77777777" w:rsidTr="009D63B8">
        <w:trPr>
          <w:trHeight w:val="204"/>
        </w:trPr>
        <w:tc>
          <w:tcPr>
            <w:tcW w:w="2835" w:type="dxa"/>
            <w:tcBorders>
              <w:top w:val="nil"/>
              <w:left w:val="nil"/>
              <w:bottom w:val="nil"/>
              <w:right w:val="nil"/>
            </w:tcBorders>
            <w:shd w:val="clear" w:color="auto" w:fill="auto"/>
            <w:noWrap/>
            <w:vAlign w:val="bottom"/>
            <w:hideMark/>
          </w:tcPr>
          <w:p w14:paraId="50DF7551" w14:textId="77777777" w:rsidR="002570EE" w:rsidRPr="000C3C37" w:rsidRDefault="002570EE" w:rsidP="002570EE">
            <w:pPr>
              <w:spacing w:after="0" w:line="240" w:lineRule="auto"/>
              <w:ind w:left="113"/>
              <w:jc w:val="left"/>
              <w:rPr>
                <w:rFonts w:ascii="Arial" w:hAnsi="Arial" w:cs="Arial"/>
                <w:sz w:val="16"/>
                <w:szCs w:val="16"/>
              </w:rPr>
            </w:pPr>
            <w:r w:rsidRPr="000C3C37">
              <w:rPr>
                <w:rFonts w:ascii="Arial" w:hAnsi="Arial" w:cs="Arial"/>
                <w:sz w:val="16"/>
                <w:szCs w:val="16"/>
              </w:rPr>
              <w:t>Screen Australia</w:t>
            </w:r>
          </w:p>
        </w:tc>
        <w:tc>
          <w:tcPr>
            <w:tcW w:w="1332" w:type="dxa"/>
            <w:tcBorders>
              <w:top w:val="nil"/>
              <w:left w:val="nil"/>
              <w:bottom w:val="nil"/>
              <w:right w:val="nil"/>
            </w:tcBorders>
            <w:shd w:val="clear" w:color="auto" w:fill="auto"/>
            <w:noWrap/>
            <w:vAlign w:val="bottom"/>
            <w:hideMark/>
          </w:tcPr>
          <w:p w14:paraId="27A48862" w14:textId="087DBF22"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13,531 </w:t>
            </w:r>
          </w:p>
        </w:tc>
        <w:tc>
          <w:tcPr>
            <w:tcW w:w="1090" w:type="dxa"/>
            <w:tcBorders>
              <w:top w:val="nil"/>
              <w:left w:val="nil"/>
              <w:bottom w:val="nil"/>
              <w:right w:val="nil"/>
            </w:tcBorders>
            <w:shd w:val="clear" w:color="auto" w:fill="auto"/>
            <w:noWrap/>
            <w:vAlign w:val="bottom"/>
            <w:hideMark/>
          </w:tcPr>
          <w:p w14:paraId="6E10D6EA" w14:textId="1812DAB7"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39,466 </w:t>
            </w:r>
          </w:p>
        </w:tc>
        <w:tc>
          <w:tcPr>
            <w:tcW w:w="971" w:type="dxa"/>
            <w:tcBorders>
              <w:top w:val="nil"/>
              <w:left w:val="nil"/>
              <w:bottom w:val="nil"/>
              <w:right w:val="nil"/>
            </w:tcBorders>
            <w:shd w:val="clear" w:color="auto" w:fill="auto"/>
            <w:noWrap/>
            <w:vAlign w:val="bottom"/>
            <w:hideMark/>
          </w:tcPr>
          <w:p w14:paraId="1E531E4E" w14:textId="657151EC"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21841254" w14:textId="669B5343"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39,466 </w:t>
            </w:r>
          </w:p>
        </w:tc>
      </w:tr>
      <w:tr w:rsidR="002570EE" w:rsidRPr="0068707D" w14:paraId="01AEED9D" w14:textId="77777777" w:rsidTr="009D63B8">
        <w:trPr>
          <w:trHeight w:val="204"/>
        </w:trPr>
        <w:tc>
          <w:tcPr>
            <w:tcW w:w="2835" w:type="dxa"/>
            <w:tcBorders>
              <w:top w:val="nil"/>
              <w:left w:val="nil"/>
              <w:right w:val="nil"/>
            </w:tcBorders>
            <w:shd w:val="clear" w:color="auto" w:fill="auto"/>
            <w:noWrap/>
            <w:vAlign w:val="bottom"/>
            <w:hideMark/>
          </w:tcPr>
          <w:p w14:paraId="78AC9578" w14:textId="77777777" w:rsidR="002570EE" w:rsidRPr="0068707D" w:rsidRDefault="002570EE" w:rsidP="002570EE">
            <w:pPr>
              <w:spacing w:after="0" w:line="240" w:lineRule="auto"/>
              <w:ind w:left="113"/>
              <w:jc w:val="left"/>
              <w:rPr>
                <w:rFonts w:ascii="Arial" w:hAnsi="Arial" w:cs="Arial"/>
                <w:sz w:val="16"/>
                <w:szCs w:val="16"/>
              </w:rPr>
            </w:pPr>
            <w:r w:rsidRPr="0068707D">
              <w:rPr>
                <w:rFonts w:ascii="Arial" w:hAnsi="Arial" w:cs="Arial"/>
                <w:sz w:val="16"/>
                <w:szCs w:val="16"/>
              </w:rPr>
              <w:t>Special Broadcasting Service Corporation</w:t>
            </w:r>
          </w:p>
        </w:tc>
        <w:tc>
          <w:tcPr>
            <w:tcW w:w="1332" w:type="dxa"/>
            <w:tcBorders>
              <w:top w:val="nil"/>
              <w:left w:val="nil"/>
              <w:bottom w:val="nil"/>
              <w:right w:val="nil"/>
            </w:tcBorders>
            <w:shd w:val="clear" w:color="auto" w:fill="auto"/>
            <w:noWrap/>
            <w:vAlign w:val="bottom"/>
            <w:hideMark/>
          </w:tcPr>
          <w:p w14:paraId="0FEF25CA" w14:textId="070C551D"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296,933 </w:t>
            </w:r>
          </w:p>
        </w:tc>
        <w:tc>
          <w:tcPr>
            <w:tcW w:w="1090" w:type="dxa"/>
            <w:tcBorders>
              <w:top w:val="nil"/>
              <w:left w:val="nil"/>
              <w:bottom w:val="nil"/>
              <w:right w:val="nil"/>
            </w:tcBorders>
            <w:shd w:val="clear" w:color="auto" w:fill="auto"/>
            <w:noWrap/>
            <w:vAlign w:val="bottom"/>
            <w:hideMark/>
          </w:tcPr>
          <w:p w14:paraId="64898056" w14:textId="042BF826"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310,021 </w:t>
            </w:r>
          </w:p>
        </w:tc>
        <w:tc>
          <w:tcPr>
            <w:tcW w:w="971" w:type="dxa"/>
            <w:tcBorders>
              <w:top w:val="nil"/>
              <w:left w:val="nil"/>
              <w:bottom w:val="nil"/>
              <w:right w:val="nil"/>
            </w:tcBorders>
            <w:shd w:val="clear" w:color="auto" w:fill="auto"/>
            <w:noWrap/>
            <w:vAlign w:val="bottom"/>
            <w:hideMark/>
          </w:tcPr>
          <w:p w14:paraId="3A882DCF" w14:textId="6FD80B08"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 </w:t>
            </w:r>
          </w:p>
        </w:tc>
        <w:tc>
          <w:tcPr>
            <w:tcW w:w="1071" w:type="dxa"/>
            <w:tcBorders>
              <w:top w:val="nil"/>
              <w:left w:val="nil"/>
              <w:bottom w:val="nil"/>
              <w:right w:val="nil"/>
            </w:tcBorders>
            <w:shd w:val="clear" w:color="auto" w:fill="E6E6E6"/>
            <w:noWrap/>
            <w:vAlign w:val="bottom"/>
            <w:hideMark/>
          </w:tcPr>
          <w:p w14:paraId="0C17A202" w14:textId="115FE45A" w:rsidR="002570EE" w:rsidRPr="002570EE" w:rsidRDefault="002570EE" w:rsidP="002570EE">
            <w:pPr>
              <w:spacing w:after="0" w:line="240" w:lineRule="auto"/>
              <w:jc w:val="right"/>
              <w:rPr>
                <w:rFonts w:ascii="Arial" w:hAnsi="Arial" w:cs="Arial"/>
                <w:sz w:val="16"/>
                <w:szCs w:val="16"/>
              </w:rPr>
            </w:pPr>
            <w:r w:rsidRPr="002570EE">
              <w:rPr>
                <w:rFonts w:ascii="Arial" w:hAnsi="Arial" w:cs="Arial"/>
                <w:sz w:val="16"/>
                <w:szCs w:val="16"/>
              </w:rPr>
              <w:t xml:space="preserve">310,021 </w:t>
            </w:r>
          </w:p>
        </w:tc>
      </w:tr>
      <w:tr w:rsidR="002570EE" w:rsidRPr="0068707D" w14:paraId="25D0990B" w14:textId="77777777" w:rsidTr="009D63B8">
        <w:trPr>
          <w:trHeight w:val="204"/>
        </w:trPr>
        <w:tc>
          <w:tcPr>
            <w:tcW w:w="2835" w:type="dxa"/>
            <w:tcBorders>
              <w:top w:val="nil"/>
              <w:left w:val="nil"/>
              <w:bottom w:val="single" w:sz="4" w:space="0" w:color="auto"/>
              <w:right w:val="nil"/>
            </w:tcBorders>
            <w:shd w:val="clear" w:color="auto" w:fill="auto"/>
            <w:noWrap/>
            <w:vAlign w:val="bottom"/>
            <w:hideMark/>
          </w:tcPr>
          <w:p w14:paraId="2EDE4D12" w14:textId="4941B891" w:rsidR="002570EE" w:rsidRPr="0068707D" w:rsidRDefault="002570EE" w:rsidP="002570EE">
            <w:pPr>
              <w:spacing w:after="0" w:line="240" w:lineRule="auto"/>
              <w:jc w:val="left"/>
              <w:rPr>
                <w:rFonts w:ascii="Arial" w:hAnsi="Arial" w:cs="Arial"/>
                <w:b/>
                <w:bCs/>
                <w:sz w:val="16"/>
                <w:szCs w:val="16"/>
              </w:rPr>
            </w:pPr>
            <w:r w:rsidRPr="0068707D">
              <w:rPr>
                <w:rFonts w:ascii="Arial" w:hAnsi="Arial" w:cs="Arial"/>
                <w:b/>
                <w:bCs/>
                <w:sz w:val="16"/>
                <w:szCs w:val="16"/>
              </w:rPr>
              <w:t>Total payments to corporate entities</w:t>
            </w:r>
          </w:p>
        </w:tc>
        <w:tc>
          <w:tcPr>
            <w:tcW w:w="1332" w:type="dxa"/>
            <w:tcBorders>
              <w:top w:val="single" w:sz="4" w:space="0" w:color="auto"/>
              <w:left w:val="nil"/>
              <w:bottom w:val="single" w:sz="4" w:space="0" w:color="auto"/>
              <w:right w:val="nil"/>
            </w:tcBorders>
            <w:shd w:val="clear" w:color="auto" w:fill="auto"/>
            <w:noWrap/>
            <w:vAlign w:val="bottom"/>
            <w:hideMark/>
          </w:tcPr>
          <w:p w14:paraId="213F6563" w14:textId="6399AF0A" w:rsidR="002570EE" w:rsidRPr="002570EE" w:rsidRDefault="002570EE" w:rsidP="002570EE">
            <w:pPr>
              <w:spacing w:after="0" w:line="240" w:lineRule="auto"/>
              <w:jc w:val="right"/>
              <w:rPr>
                <w:rFonts w:ascii="Arial" w:hAnsi="Arial" w:cs="Arial"/>
                <w:b/>
                <w:bCs/>
                <w:sz w:val="16"/>
                <w:szCs w:val="16"/>
                <w:highlight w:val="yellow"/>
              </w:rPr>
            </w:pPr>
            <w:r w:rsidRPr="002570EE">
              <w:rPr>
                <w:rFonts w:ascii="Arial" w:hAnsi="Arial" w:cs="Arial"/>
                <w:b/>
                <w:bCs/>
                <w:sz w:val="16"/>
                <w:szCs w:val="16"/>
              </w:rPr>
              <w:t xml:space="preserve">2,302,411 </w:t>
            </w:r>
          </w:p>
        </w:tc>
        <w:tc>
          <w:tcPr>
            <w:tcW w:w="1090" w:type="dxa"/>
            <w:tcBorders>
              <w:top w:val="single" w:sz="4" w:space="0" w:color="auto"/>
              <w:left w:val="nil"/>
              <w:bottom w:val="single" w:sz="4" w:space="0" w:color="auto"/>
              <w:right w:val="nil"/>
            </w:tcBorders>
            <w:shd w:val="clear" w:color="auto" w:fill="auto"/>
            <w:noWrap/>
            <w:vAlign w:val="bottom"/>
            <w:hideMark/>
          </w:tcPr>
          <w:p w14:paraId="18215A23" w14:textId="504B175F" w:rsidR="002570EE" w:rsidRPr="002570EE" w:rsidRDefault="002570EE" w:rsidP="002570EE">
            <w:pPr>
              <w:spacing w:after="0" w:line="240" w:lineRule="auto"/>
              <w:jc w:val="right"/>
              <w:rPr>
                <w:rFonts w:ascii="Arial" w:hAnsi="Arial" w:cs="Arial"/>
                <w:b/>
                <w:bCs/>
                <w:sz w:val="16"/>
                <w:szCs w:val="16"/>
              </w:rPr>
            </w:pPr>
            <w:r w:rsidRPr="002570EE">
              <w:rPr>
                <w:rFonts w:ascii="Arial" w:hAnsi="Arial" w:cs="Arial"/>
                <w:b/>
                <w:bCs/>
                <w:sz w:val="16"/>
                <w:szCs w:val="16"/>
              </w:rPr>
              <w:t xml:space="preserve">2,412,310 </w:t>
            </w:r>
          </w:p>
        </w:tc>
        <w:tc>
          <w:tcPr>
            <w:tcW w:w="971" w:type="dxa"/>
            <w:tcBorders>
              <w:top w:val="single" w:sz="4" w:space="0" w:color="auto"/>
              <w:left w:val="nil"/>
              <w:bottom w:val="single" w:sz="4" w:space="0" w:color="auto"/>
              <w:right w:val="nil"/>
            </w:tcBorders>
            <w:shd w:val="clear" w:color="auto" w:fill="auto"/>
            <w:noWrap/>
            <w:vAlign w:val="bottom"/>
            <w:hideMark/>
          </w:tcPr>
          <w:p w14:paraId="55B8D459" w14:textId="1EA3AA2B" w:rsidR="002570EE" w:rsidRPr="002570EE" w:rsidRDefault="002570EE" w:rsidP="002570EE">
            <w:pPr>
              <w:spacing w:after="0" w:line="240" w:lineRule="auto"/>
              <w:jc w:val="right"/>
              <w:rPr>
                <w:rFonts w:ascii="Arial" w:hAnsi="Arial" w:cs="Arial"/>
                <w:b/>
                <w:bCs/>
                <w:sz w:val="16"/>
                <w:szCs w:val="16"/>
              </w:rPr>
            </w:pPr>
            <w:r w:rsidRPr="002570EE">
              <w:rPr>
                <w:rFonts w:ascii="Arial" w:hAnsi="Arial" w:cs="Arial"/>
                <w:b/>
                <w:bCs/>
                <w:sz w:val="16"/>
                <w:szCs w:val="16"/>
              </w:rPr>
              <w:t>(8,904)</w:t>
            </w:r>
          </w:p>
        </w:tc>
        <w:tc>
          <w:tcPr>
            <w:tcW w:w="1071" w:type="dxa"/>
            <w:tcBorders>
              <w:top w:val="single" w:sz="4" w:space="0" w:color="auto"/>
              <w:left w:val="nil"/>
              <w:bottom w:val="single" w:sz="4" w:space="0" w:color="auto"/>
              <w:right w:val="nil"/>
            </w:tcBorders>
            <w:shd w:val="clear" w:color="auto" w:fill="E6E6E6"/>
            <w:noWrap/>
            <w:vAlign w:val="bottom"/>
            <w:hideMark/>
          </w:tcPr>
          <w:p w14:paraId="445C5909" w14:textId="05904D33" w:rsidR="002570EE" w:rsidRPr="002570EE" w:rsidRDefault="002570EE" w:rsidP="002570EE">
            <w:pPr>
              <w:spacing w:after="0" w:line="240" w:lineRule="auto"/>
              <w:jc w:val="right"/>
              <w:rPr>
                <w:rFonts w:ascii="Arial" w:hAnsi="Arial" w:cs="Arial"/>
                <w:b/>
                <w:bCs/>
                <w:sz w:val="16"/>
                <w:szCs w:val="16"/>
              </w:rPr>
            </w:pPr>
            <w:r w:rsidRPr="002570EE">
              <w:rPr>
                <w:rFonts w:ascii="Arial" w:hAnsi="Arial" w:cs="Arial"/>
                <w:b/>
                <w:bCs/>
                <w:sz w:val="16"/>
                <w:szCs w:val="16"/>
              </w:rPr>
              <w:t xml:space="preserve">2,403,406 </w:t>
            </w:r>
          </w:p>
        </w:tc>
      </w:tr>
    </w:tbl>
    <w:p w14:paraId="1CDD1947" w14:textId="77777777" w:rsidR="00500554" w:rsidRDefault="00500554" w:rsidP="000F1F7C">
      <w:pPr>
        <w:pStyle w:val="Source"/>
        <w:spacing w:before="60"/>
        <w:jc w:val="left"/>
      </w:pPr>
      <w:bookmarkStart w:id="197" w:name="OLE_LINK10"/>
      <w:bookmarkStart w:id="198" w:name="OLE_LINK11"/>
      <w:r w:rsidRPr="00E83AB7">
        <w:t>Prepared on a resourcing (i.e. appropriations available) basis.</w:t>
      </w:r>
    </w:p>
    <w:p w14:paraId="691F6A05" w14:textId="77777777" w:rsidR="00136507" w:rsidRDefault="00500554" w:rsidP="000F1F7C">
      <w:pPr>
        <w:pStyle w:val="Source"/>
        <w:jc w:val="left"/>
      </w:pPr>
      <w:r w:rsidRPr="00E83AB7">
        <w:t>All figures shown above are GST exclusive - these may not match figures in the cash flow statement.</w:t>
      </w:r>
    </w:p>
    <w:p w14:paraId="1AD7536E" w14:textId="74649516" w:rsidR="00C5442C" w:rsidRPr="00C5442C" w:rsidRDefault="00C5442C" w:rsidP="000F1F7C">
      <w:pPr>
        <w:pStyle w:val="ChartandTableFootnote"/>
        <w:numPr>
          <w:ilvl w:val="0"/>
          <w:numId w:val="9"/>
        </w:numPr>
        <w:tabs>
          <w:tab w:val="clear" w:pos="454"/>
          <w:tab w:val="left" w:pos="284"/>
        </w:tabs>
        <w:spacing w:before="60"/>
        <w:ind w:left="284" w:hanging="284"/>
        <w:jc w:val="left"/>
      </w:pPr>
      <w:r>
        <w:t>‘Estimate at B</w:t>
      </w:r>
      <w:r w:rsidR="00462239">
        <w:t>u</w:t>
      </w:r>
      <w:r>
        <w:t>dget’ includes measures included in the Explanatory Memorandum to the 2021</w:t>
      </w:r>
      <w:r>
        <w:noBreakHyphen/>
        <w:t xml:space="preserve">22 </w:t>
      </w:r>
      <w:r w:rsidR="00C11261">
        <w:t>Appropriation</w:t>
      </w:r>
      <w:r>
        <w:t xml:space="preserve"> Acts No. 1 and 2.</w:t>
      </w:r>
    </w:p>
    <w:p w14:paraId="1006F493" w14:textId="4A8CE919" w:rsidR="0068707D" w:rsidRPr="00C602FB" w:rsidRDefault="0068707D" w:rsidP="00861611">
      <w:pPr>
        <w:pStyle w:val="ChartandTableFootnote"/>
        <w:numPr>
          <w:ilvl w:val="0"/>
          <w:numId w:val="9"/>
        </w:numPr>
        <w:tabs>
          <w:tab w:val="clear" w:pos="454"/>
          <w:tab w:val="left" w:pos="284"/>
        </w:tabs>
        <w:ind w:left="284" w:hanging="284"/>
        <w:jc w:val="left"/>
      </w:pPr>
      <w:r w:rsidRPr="00C602FB">
        <w:rPr>
          <w:rFonts w:cs="Arial"/>
          <w:szCs w:val="16"/>
        </w:rPr>
        <w:t xml:space="preserve">Appropriation </w:t>
      </w:r>
      <w:r w:rsidR="00D1451B">
        <w:rPr>
          <w:rFonts w:cs="Arial"/>
          <w:szCs w:val="16"/>
        </w:rPr>
        <w:t>Act</w:t>
      </w:r>
      <w:r w:rsidRPr="00C602FB">
        <w:rPr>
          <w:rFonts w:cs="Arial"/>
          <w:szCs w:val="16"/>
        </w:rPr>
        <w:t xml:space="preserve"> (No. 1) </w:t>
      </w:r>
      <w:r>
        <w:rPr>
          <w:rFonts w:cs="Arial"/>
          <w:szCs w:val="16"/>
        </w:rPr>
        <w:t>2021-22</w:t>
      </w:r>
      <w:r w:rsidR="00D1451B" w:rsidRPr="00D1451B">
        <w:rPr>
          <w:rFonts w:cs="Arial"/>
          <w:szCs w:val="16"/>
        </w:rPr>
        <w:t xml:space="preserve"> </w:t>
      </w:r>
      <w:r w:rsidR="00D1451B">
        <w:rPr>
          <w:rFonts w:cs="Arial"/>
          <w:szCs w:val="16"/>
        </w:rPr>
        <w:t xml:space="preserve">and </w:t>
      </w:r>
      <w:r w:rsidR="00D1451B" w:rsidRPr="00C602FB">
        <w:rPr>
          <w:rFonts w:cs="Arial"/>
          <w:szCs w:val="16"/>
        </w:rPr>
        <w:t xml:space="preserve">Appropriation Bill (No. </w:t>
      </w:r>
      <w:r w:rsidR="00D1451B">
        <w:rPr>
          <w:rFonts w:cs="Arial"/>
          <w:szCs w:val="16"/>
        </w:rPr>
        <w:t>3</w:t>
      </w:r>
      <w:r w:rsidR="00D1451B" w:rsidRPr="00C602FB">
        <w:rPr>
          <w:rFonts w:cs="Arial"/>
          <w:szCs w:val="16"/>
        </w:rPr>
        <w:t xml:space="preserve">) </w:t>
      </w:r>
      <w:r w:rsidR="00D1451B">
        <w:rPr>
          <w:rFonts w:cs="Arial"/>
          <w:szCs w:val="16"/>
        </w:rPr>
        <w:t>2021-22</w:t>
      </w:r>
      <w:r w:rsidRPr="00C602FB">
        <w:rPr>
          <w:rFonts w:cs="Arial"/>
          <w:szCs w:val="16"/>
        </w:rPr>
        <w:t>.</w:t>
      </w:r>
    </w:p>
    <w:p w14:paraId="75E1780D" w14:textId="0F93A522" w:rsidR="0068707D" w:rsidRPr="00C602FB" w:rsidRDefault="0068707D" w:rsidP="000F1F7C">
      <w:pPr>
        <w:numPr>
          <w:ilvl w:val="0"/>
          <w:numId w:val="9"/>
        </w:numPr>
        <w:spacing w:after="0" w:line="240" w:lineRule="auto"/>
        <w:ind w:left="284" w:hanging="284"/>
        <w:jc w:val="left"/>
        <w:rPr>
          <w:rFonts w:ascii="Arial" w:hAnsi="Arial" w:cs="Arial"/>
          <w:sz w:val="16"/>
          <w:szCs w:val="16"/>
        </w:rPr>
      </w:pPr>
      <w:r w:rsidRPr="00C602FB">
        <w:rPr>
          <w:rFonts w:ascii="Arial" w:hAnsi="Arial" w:cs="Arial"/>
          <w:sz w:val="16"/>
          <w:szCs w:val="16"/>
        </w:rPr>
        <w:t xml:space="preserve">Excludes amounts subject to administrative quarantine by </w:t>
      </w:r>
      <w:r>
        <w:rPr>
          <w:rFonts w:ascii="Arial" w:hAnsi="Arial" w:cs="Arial"/>
          <w:sz w:val="16"/>
          <w:szCs w:val="16"/>
        </w:rPr>
        <w:t xml:space="preserve">the </w:t>
      </w:r>
      <w:r w:rsidR="008863D9">
        <w:rPr>
          <w:rFonts w:ascii="Arial" w:hAnsi="Arial" w:cs="Arial"/>
          <w:sz w:val="16"/>
          <w:szCs w:val="16"/>
        </w:rPr>
        <w:t>Department</w:t>
      </w:r>
      <w:r>
        <w:rPr>
          <w:rFonts w:ascii="Arial" w:hAnsi="Arial" w:cs="Arial"/>
          <w:sz w:val="16"/>
          <w:szCs w:val="16"/>
        </w:rPr>
        <w:t xml:space="preserve"> of </w:t>
      </w:r>
      <w:r w:rsidRPr="00C602FB">
        <w:rPr>
          <w:rFonts w:ascii="Arial" w:hAnsi="Arial" w:cs="Arial"/>
          <w:sz w:val="16"/>
          <w:szCs w:val="16"/>
        </w:rPr>
        <w:t xml:space="preserve">Finance or withheld under section 51 of the </w:t>
      </w:r>
      <w:r w:rsidRPr="00037CB2">
        <w:rPr>
          <w:rFonts w:ascii="Arial" w:hAnsi="Arial" w:cs="Arial"/>
          <w:i/>
          <w:iCs/>
          <w:sz w:val="16"/>
          <w:szCs w:val="16"/>
        </w:rPr>
        <w:t>Public Governance, Performance and Accountability Act 2013</w:t>
      </w:r>
      <w:r w:rsidRPr="00C602FB">
        <w:rPr>
          <w:rFonts w:ascii="Arial" w:hAnsi="Arial" w:cs="Arial"/>
          <w:iCs/>
          <w:sz w:val="16"/>
          <w:szCs w:val="16"/>
        </w:rPr>
        <w:t xml:space="preserve"> (PGPA Act).</w:t>
      </w:r>
    </w:p>
    <w:p w14:paraId="65C783F4" w14:textId="6D0CB0F8" w:rsidR="0068707D" w:rsidRPr="00C602FB" w:rsidRDefault="0068707D" w:rsidP="000F1F7C">
      <w:pPr>
        <w:numPr>
          <w:ilvl w:val="0"/>
          <w:numId w:val="9"/>
        </w:numPr>
        <w:spacing w:after="0" w:line="240" w:lineRule="auto"/>
        <w:ind w:left="284" w:hanging="284"/>
        <w:jc w:val="left"/>
        <w:rPr>
          <w:rFonts w:ascii="Arial" w:hAnsi="Arial" w:cs="Arial"/>
          <w:sz w:val="16"/>
          <w:szCs w:val="16"/>
        </w:rPr>
      </w:pPr>
      <w:r w:rsidRPr="00C602FB">
        <w:rPr>
          <w:rFonts w:ascii="Arial" w:hAnsi="Arial" w:cs="Arial"/>
          <w:sz w:val="16"/>
          <w:szCs w:val="16"/>
        </w:rPr>
        <w:t xml:space="preserve">Excludes </w:t>
      </w:r>
      <w:r w:rsidR="008863D9">
        <w:rPr>
          <w:rFonts w:ascii="Arial" w:hAnsi="Arial" w:cs="Arial"/>
          <w:sz w:val="16"/>
          <w:szCs w:val="16"/>
        </w:rPr>
        <w:t>Department</w:t>
      </w:r>
      <w:r w:rsidRPr="00C602FB">
        <w:rPr>
          <w:rFonts w:ascii="Arial" w:hAnsi="Arial" w:cs="Arial"/>
          <w:sz w:val="16"/>
          <w:szCs w:val="16"/>
        </w:rPr>
        <w:t>al capital budget (DCB).</w:t>
      </w:r>
    </w:p>
    <w:p w14:paraId="321E23F3" w14:textId="77777777" w:rsidR="0068707D" w:rsidRPr="00C602FB" w:rsidRDefault="0068707D" w:rsidP="000F1F7C">
      <w:pPr>
        <w:numPr>
          <w:ilvl w:val="0"/>
          <w:numId w:val="9"/>
        </w:numPr>
        <w:spacing w:after="0" w:line="240" w:lineRule="auto"/>
        <w:ind w:left="284" w:hanging="284"/>
        <w:jc w:val="left"/>
        <w:rPr>
          <w:rFonts w:ascii="Arial" w:hAnsi="Arial" w:cs="Arial"/>
          <w:sz w:val="16"/>
          <w:szCs w:val="16"/>
        </w:rPr>
      </w:pPr>
      <w:r w:rsidRPr="00C602FB">
        <w:rPr>
          <w:rFonts w:ascii="Arial" w:hAnsi="Arial" w:cs="Arial"/>
          <w:sz w:val="16"/>
          <w:szCs w:val="16"/>
        </w:rPr>
        <w:t>Estimated External Revenue receipts under section 74 of the PGPA Act.</w:t>
      </w:r>
    </w:p>
    <w:p w14:paraId="4955E1DE" w14:textId="15298F5D" w:rsidR="0068707D" w:rsidRPr="00C602FB" w:rsidRDefault="008863D9" w:rsidP="000F1F7C">
      <w:pPr>
        <w:numPr>
          <w:ilvl w:val="0"/>
          <w:numId w:val="9"/>
        </w:numPr>
        <w:spacing w:after="0" w:line="240" w:lineRule="auto"/>
        <w:ind w:left="284" w:hanging="284"/>
        <w:jc w:val="left"/>
        <w:rPr>
          <w:rFonts w:ascii="Arial" w:hAnsi="Arial" w:cs="Arial"/>
          <w:sz w:val="16"/>
          <w:szCs w:val="16"/>
        </w:rPr>
      </w:pPr>
      <w:r>
        <w:rPr>
          <w:rFonts w:ascii="Arial" w:hAnsi="Arial" w:cs="Arial"/>
          <w:sz w:val="16"/>
          <w:szCs w:val="16"/>
        </w:rPr>
        <w:lastRenderedPageBreak/>
        <w:t>Department</w:t>
      </w:r>
      <w:r w:rsidR="0068707D" w:rsidRPr="00C602FB">
        <w:rPr>
          <w:rFonts w:ascii="Arial" w:hAnsi="Arial" w:cs="Arial"/>
          <w:sz w:val="16"/>
          <w:szCs w:val="16"/>
        </w:rPr>
        <w:t>al capital budgets are not separately identified in Appropriation Bill (No.</w:t>
      </w:r>
      <w:r w:rsidR="00615D54">
        <w:rPr>
          <w:rFonts w:ascii="Arial" w:hAnsi="Arial" w:cs="Arial"/>
          <w:sz w:val="16"/>
          <w:szCs w:val="16"/>
        </w:rPr>
        <w:t xml:space="preserve"> </w:t>
      </w:r>
      <w:r w:rsidR="0068707D" w:rsidRPr="00C602FB">
        <w:rPr>
          <w:rFonts w:ascii="Arial" w:hAnsi="Arial" w:cs="Arial"/>
          <w:sz w:val="16"/>
          <w:szCs w:val="16"/>
        </w:rPr>
        <w:t xml:space="preserve">1) and form part of </w:t>
      </w:r>
      <w:r w:rsidR="00EE366A">
        <w:rPr>
          <w:rFonts w:ascii="Arial" w:hAnsi="Arial" w:cs="Arial"/>
          <w:sz w:val="16"/>
          <w:szCs w:val="16"/>
        </w:rPr>
        <w:t>o</w:t>
      </w:r>
      <w:r w:rsidR="0068707D" w:rsidRPr="00C602FB">
        <w:rPr>
          <w:rFonts w:ascii="Arial" w:hAnsi="Arial" w:cs="Arial"/>
          <w:sz w:val="16"/>
          <w:szCs w:val="16"/>
        </w:rPr>
        <w:t>rdinary annual services items. Please refer to Table 3.</w:t>
      </w:r>
      <w:r w:rsidR="00D33553">
        <w:rPr>
          <w:rFonts w:ascii="Arial" w:hAnsi="Arial" w:cs="Arial"/>
          <w:sz w:val="16"/>
          <w:szCs w:val="16"/>
        </w:rPr>
        <w:t>6</w:t>
      </w:r>
      <w:r w:rsidR="0068707D" w:rsidRPr="00C602FB">
        <w:rPr>
          <w:rFonts w:ascii="Arial" w:hAnsi="Arial" w:cs="Arial"/>
          <w:sz w:val="16"/>
          <w:szCs w:val="16"/>
        </w:rPr>
        <w:t xml:space="preserve"> for further details. For accounting purposes, this amount has been designated as a 'contribution by owner'.</w:t>
      </w:r>
    </w:p>
    <w:p w14:paraId="7EC6CB26" w14:textId="544402CE" w:rsidR="0068707D" w:rsidRPr="00C602FB" w:rsidRDefault="0068707D" w:rsidP="000F1F7C">
      <w:pPr>
        <w:numPr>
          <w:ilvl w:val="0"/>
          <w:numId w:val="9"/>
        </w:numPr>
        <w:spacing w:after="0" w:line="240" w:lineRule="auto"/>
        <w:ind w:left="284" w:hanging="284"/>
        <w:jc w:val="left"/>
        <w:rPr>
          <w:rFonts w:ascii="Arial" w:hAnsi="Arial" w:cs="Arial"/>
          <w:sz w:val="16"/>
          <w:szCs w:val="16"/>
        </w:rPr>
      </w:pPr>
      <w:r w:rsidRPr="00C602FB">
        <w:rPr>
          <w:rFonts w:ascii="Arial" w:hAnsi="Arial" w:cs="Arial"/>
          <w:sz w:val="16"/>
          <w:szCs w:val="16"/>
        </w:rPr>
        <w:t>Administered capital budgets are not separately identified in Appropriation Bill (No. 1) and form part of ordinary annual services items. Please refer to Table 3.1</w:t>
      </w:r>
      <w:r w:rsidR="00D33553">
        <w:rPr>
          <w:rFonts w:ascii="Arial" w:hAnsi="Arial" w:cs="Arial"/>
          <w:sz w:val="16"/>
          <w:szCs w:val="16"/>
        </w:rPr>
        <w:t>1</w:t>
      </w:r>
      <w:r w:rsidRPr="00C602FB">
        <w:rPr>
          <w:rFonts w:ascii="Arial" w:hAnsi="Arial" w:cs="Arial"/>
          <w:sz w:val="16"/>
          <w:szCs w:val="16"/>
        </w:rPr>
        <w:t xml:space="preserve"> for further details. For accounting purposes, this amount is designated as a 'contribution by owner'.</w:t>
      </w:r>
    </w:p>
    <w:p w14:paraId="2B6C7847" w14:textId="6D95A0FB" w:rsidR="0068707D" w:rsidRPr="00C602FB" w:rsidRDefault="0068707D" w:rsidP="000F1F7C">
      <w:pPr>
        <w:numPr>
          <w:ilvl w:val="0"/>
          <w:numId w:val="9"/>
        </w:numPr>
        <w:spacing w:after="0" w:line="240" w:lineRule="auto"/>
        <w:ind w:left="284" w:hanging="284"/>
        <w:jc w:val="left"/>
        <w:rPr>
          <w:rFonts w:ascii="Arial" w:hAnsi="Arial" w:cs="Arial"/>
          <w:sz w:val="16"/>
          <w:szCs w:val="16"/>
        </w:rPr>
      </w:pPr>
      <w:r w:rsidRPr="00C602FB">
        <w:rPr>
          <w:rFonts w:ascii="Arial" w:hAnsi="Arial" w:cs="Arial"/>
          <w:sz w:val="16"/>
          <w:szCs w:val="16"/>
        </w:rPr>
        <w:t xml:space="preserve">'Corporate entities' are </w:t>
      </w:r>
      <w:r>
        <w:rPr>
          <w:rFonts w:ascii="Arial" w:hAnsi="Arial" w:cs="Arial"/>
          <w:sz w:val="16"/>
          <w:szCs w:val="16"/>
        </w:rPr>
        <w:t>C</w:t>
      </w:r>
      <w:r w:rsidRPr="00C602FB">
        <w:rPr>
          <w:rFonts w:ascii="Arial" w:hAnsi="Arial" w:cs="Arial"/>
          <w:sz w:val="16"/>
          <w:szCs w:val="16"/>
        </w:rPr>
        <w:t xml:space="preserve">orporate Commonwealth </w:t>
      </w:r>
      <w:r>
        <w:rPr>
          <w:rFonts w:ascii="Arial" w:hAnsi="Arial" w:cs="Arial"/>
          <w:sz w:val="16"/>
          <w:szCs w:val="16"/>
        </w:rPr>
        <w:t>E</w:t>
      </w:r>
      <w:r w:rsidRPr="00C602FB">
        <w:rPr>
          <w:rFonts w:ascii="Arial" w:hAnsi="Arial" w:cs="Arial"/>
          <w:sz w:val="16"/>
          <w:szCs w:val="16"/>
        </w:rPr>
        <w:t xml:space="preserve">ntities and Commonwealth </w:t>
      </w:r>
      <w:r w:rsidR="00462239">
        <w:rPr>
          <w:rFonts w:ascii="Arial" w:hAnsi="Arial" w:cs="Arial"/>
          <w:sz w:val="16"/>
          <w:szCs w:val="16"/>
        </w:rPr>
        <w:t>C</w:t>
      </w:r>
      <w:r w:rsidRPr="00C602FB">
        <w:rPr>
          <w:rFonts w:ascii="Arial" w:hAnsi="Arial" w:cs="Arial"/>
          <w:sz w:val="16"/>
          <w:szCs w:val="16"/>
        </w:rPr>
        <w:t>ompanies as defined under the PGPA Act.</w:t>
      </w:r>
    </w:p>
    <w:p w14:paraId="7B4EFEDA" w14:textId="33CECA7F" w:rsidR="0068707D" w:rsidRPr="00C602FB" w:rsidRDefault="0068707D" w:rsidP="000F1F7C">
      <w:pPr>
        <w:numPr>
          <w:ilvl w:val="0"/>
          <w:numId w:val="9"/>
        </w:numPr>
        <w:spacing w:after="0" w:line="240" w:lineRule="auto"/>
        <w:ind w:left="284" w:hanging="284"/>
        <w:jc w:val="left"/>
        <w:rPr>
          <w:rFonts w:ascii="Arial" w:hAnsi="Arial" w:cs="Arial"/>
          <w:sz w:val="16"/>
          <w:szCs w:val="16"/>
        </w:rPr>
      </w:pPr>
      <w:r>
        <w:rPr>
          <w:rFonts w:ascii="Arial" w:hAnsi="Arial" w:cs="Arial"/>
          <w:sz w:val="16"/>
          <w:szCs w:val="16"/>
        </w:rPr>
        <w:t xml:space="preserve">Appropriation </w:t>
      </w:r>
      <w:r w:rsidR="00D33553">
        <w:rPr>
          <w:rFonts w:ascii="Arial" w:hAnsi="Arial" w:cs="Arial"/>
          <w:sz w:val="16"/>
          <w:szCs w:val="16"/>
        </w:rPr>
        <w:t>Act</w:t>
      </w:r>
      <w:r>
        <w:rPr>
          <w:rFonts w:ascii="Arial" w:hAnsi="Arial" w:cs="Arial"/>
          <w:sz w:val="16"/>
          <w:szCs w:val="16"/>
        </w:rPr>
        <w:t xml:space="preserve"> (No. 2) 2021-22</w:t>
      </w:r>
      <w:r w:rsidR="00D33553" w:rsidRPr="00D33553">
        <w:rPr>
          <w:rFonts w:ascii="Arial" w:hAnsi="Arial" w:cs="Arial"/>
          <w:sz w:val="16"/>
          <w:szCs w:val="16"/>
        </w:rPr>
        <w:t xml:space="preserve"> </w:t>
      </w:r>
      <w:r w:rsidR="00D33553">
        <w:rPr>
          <w:rFonts w:ascii="Arial" w:hAnsi="Arial" w:cs="Arial"/>
          <w:sz w:val="16"/>
          <w:szCs w:val="16"/>
        </w:rPr>
        <w:t>and Appropriation Bill (No. 4) 2021-22</w:t>
      </w:r>
      <w:r w:rsidRPr="00C602FB">
        <w:rPr>
          <w:rFonts w:ascii="Arial" w:hAnsi="Arial" w:cs="Arial"/>
          <w:sz w:val="16"/>
          <w:szCs w:val="16"/>
        </w:rPr>
        <w:t>.</w:t>
      </w:r>
    </w:p>
    <w:p w14:paraId="2093E0D7" w14:textId="3FFB53A0" w:rsidR="0068707D" w:rsidRPr="0059103D" w:rsidRDefault="0068707D" w:rsidP="009C398A">
      <w:pPr>
        <w:numPr>
          <w:ilvl w:val="0"/>
          <w:numId w:val="9"/>
        </w:numPr>
        <w:spacing w:after="0" w:line="240" w:lineRule="auto"/>
        <w:ind w:left="284" w:hanging="284"/>
        <w:jc w:val="left"/>
        <w:rPr>
          <w:rFonts w:ascii="Arial" w:hAnsi="Arial" w:cs="Arial"/>
          <w:sz w:val="16"/>
          <w:szCs w:val="16"/>
        </w:rPr>
      </w:pPr>
      <w:r w:rsidRPr="0059103D">
        <w:rPr>
          <w:rFonts w:ascii="Arial" w:hAnsi="Arial" w:cs="Arial"/>
          <w:sz w:val="16"/>
          <w:szCs w:val="16"/>
        </w:rPr>
        <w:t>Relates to appropriat</w:t>
      </w:r>
      <w:r w:rsidR="00615D54">
        <w:rPr>
          <w:rFonts w:ascii="Arial" w:hAnsi="Arial" w:cs="Arial"/>
          <w:sz w:val="16"/>
          <w:szCs w:val="16"/>
        </w:rPr>
        <w:t>ions sought for payment to the s</w:t>
      </w:r>
      <w:r w:rsidRPr="0059103D">
        <w:rPr>
          <w:rFonts w:ascii="Arial" w:hAnsi="Arial" w:cs="Arial"/>
          <w:sz w:val="16"/>
          <w:szCs w:val="16"/>
        </w:rPr>
        <w:t>tates, ACT, NT and local governments</w:t>
      </w:r>
      <w:r>
        <w:rPr>
          <w:rFonts w:ascii="Arial" w:hAnsi="Arial" w:cs="Arial"/>
          <w:sz w:val="16"/>
          <w:szCs w:val="16"/>
        </w:rPr>
        <w:t xml:space="preserve"> in Appropriation Bill No.2 2021-22</w:t>
      </w:r>
      <w:r w:rsidRPr="0059103D">
        <w:rPr>
          <w:rFonts w:ascii="Arial" w:hAnsi="Arial" w:cs="Arial"/>
          <w:sz w:val="16"/>
          <w:szCs w:val="16"/>
        </w:rPr>
        <w:t>. Outcome 1 – Program 1.1</w:t>
      </w:r>
      <w:r>
        <w:rPr>
          <w:rFonts w:ascii="Arial" w:hAnsi="Arial" w:cs="Arial"/>
          <w:sz w:val="16"/>
          <w:szCs w:val="16"/>
        </w:rPr>
        <w:t>:</w:t>
      </w:r>
      <w:r w:rsidRPr="0059103D">
        <w:rPr>
          <w:rFonts w:ascii="Arial" w:hAnsi="Arial" w:cs="Arial"/>
          <w:sz w:val="16"/>
          <w:szCs w:val="16"/>
        </w:rPr>
        <w:t xml:space="preserve"> Infrastructure Investment includes the Roads to Recovery program under the Roads to Recovery Funding Conditions 2014. Information on the terms and conditions can be found in the determination, Roads to Recovery fu</w:t>
      </w:r>
      <w:r w:rsidR="001C344B">
        <w:rPr>
          <w:rFonts w:ascii="Arial" w:hAnsi="Arial" w:cs="Arial"/>
          <w:sz w:val="16"/>
          <w:szCs w:val="16"/>
        </w:rPr>
        <w:t xml:space="preserve">nding Conditions 2014 at </w:t>
      </w:r>
      <w:r w:rsidR="009C3395" w:rsidRPr="001C344B">
        <w:rPr>
          <w:rFonts w:ascii="Arial" w:hAnsi="Arial" w:cs="Arial"/>
          <w:sz w:val="16"/>
          <w:szCs w:val="16"/>
          <w:u w:val="single"/>
        </w:rPr>
        <w:t>https://investment.infrastructure.gov.au/files/roads_to_recovery_funding_conditions/R2R_Funding Conditions_November_2019.pdf</w:t>
      </w:r>
      <w:r w:rsidRPr="00037CB2">
        <w:rPr>
          <w:rFonts w:ascii="Arial" w:hAnsi="Arial" w:cs="Arial"/>
          <w:sz w:val="16"/>
          <w:szCs w:val="16"/>
          <w:u w:val="single"/>
        </w:rPr>
        <w:t>.</w:t>
      </w:r>
      <w:r w:rsidRPr="0059103D">
        <w:rPr>
          <w:rFonts w:ascii="Arial" w:hAnsi="Arial" w:cs="Arial"/>
          <w:sz w:val="16"/>
          <w:szCs w:val="16"/>
        </w:rPr>
        <w:t xml:space="preserve"> For state splits ple</w:t>
      </w:r>
      <w:r>
        <w:rPr>
          <w:rFonts w:ascii="Arial" w:hAnsi="Arial" w:cs="Arial"/>
          <w:sz w:val="16"/>
          <w:szCs w:val="16"/>
        </w:rPr>
        <w:t xml:space="preserve">ase refer to </w:t>
      </w:r>
      <w:r w:rsidR="00EE366A">
        <w:rPr>
          <w:rFonts w:ascii="Arial" w:hAnsi="Arial" w:cs="Arial"/>
          <w:sz w:val="16"/>
          <w:szCs w:val="16"/>
        </w:rPr>
        <w:t>Annex A to the 2021-22 Mid</w:t>
      </w:r>
      <w:r w:rsidR="00EE366A">
        <w:rPr>
          <w:rFonts w:ascii="Arial" w:hAnsi="Arial" w:cs="Arial"/>
          <w:sz w:val="16"/>
          <w:szCs w:val="16"/>
        </w:rPr>
        <w:noBreakHyphen/>
      </w:r>
      <w:r w:rsidR="00984236" w:rsidRPr="00984236">
        <w:rPr>
          <w:rFonts w:ascii="Arial" w:hAnsi="Arial" w:cs="Arial"/>
          <w:sz w:val="16"/>
          <w:szCs w:val="16"/>
        </w:rPr>
        <w:t xml:space="preserve">Year Economic and Fiscal Outlook at </w:t>
      </w:r>
      <w:r w:rsidR="00984236">
        <w:rPr>
          <w:rFonts w:ascii="Arial" w:hAnsi="Arial" w:cs="Arial"/>
          <w:sz w:val="16"/>
          <w:szCs w:val="16"/>
          <w:u w:val="single"/>
        </w:rPr>
        <w:t>https://budget.gov.au/2021</w:t>
      </w:r>
      <w:r w:rsidR="00984236">
        <w:rPr>
          <w:rFonts w:ascii="Arial" w:hAnsi="Arial" w:cs="Arial"/>
          <w:sz w:val="16"/>
          <w:szCs w:val="16"/>
          <w:u w:val="single"/>
        </w:rPr>
        <w:noBreakHyphen/>
      </w:r>
      <w:r w:rsidR="00984236" w:rsidRPr="00984236">
        <w:rPr>
          <w:rFonts w:ascii="Arial" w:hAnsi="Arial" w:cs="Arial"/>
          <w:sz w:val="16"/>
          <w:szCs w:val="16"/>
          <w:u w:val="single"/>
        </w:rPr>
        <w:t>22/content/myefo/download/13_appendix_c_annex_a.pdf</w:t>
      </w:r>
    </w:p>
    <w:p w14:paraId="64256475" w14:textId="26F8B64F" w:rsidR="0068707D" w:rsidRPr="009C398A" w:rsidRDefault="0068707D" w:rsidP="009C398A">
      <w:pPr>
        <w:numPr>
          <w:ilvl w:val="0"/>
          <w:numId w:val="9"/>
        </w:numPr>
        <w:spacing w:after="0" w:line="240" w:lineRule="auto"/>
        <w:ind w:left="284" w:hanging="284"/>
        <w:jc w:val="left"/>
        <w:rPr>
          <w:rFonts w:ascii="Arial" w:hAnsi="Arial" w:cs="Arial"/>
          <w:sz w:val="16"/>
          <w:szCs w:val="16"/>
          <w:u w:val="single"/>
        </w:rPr>
      </w:pPr>
      <w:r w:rsidRPr="0059103D">
        <w:rPr>
          <w:rFonts w:ascii="Arial" w:hAnsi="Arial" w:cs="Arial"/>
          <w:sz w:val="16"/>
          <w:szCs w:val="16"/>
        </w:rPr>
        <w:t>Relates to appropriat</w:t>
      </w:r>
      <w:r w:rsidR="00615D54">
        <w:rPr>
          <w:rFonts w:ascii="Arial" w:hAnsi="Arial" w:cs="Arial"/>
          <w:sz w:val="16"/>
          <w:szCs w:val="16"/>
        </w:rPr>
        <w:t>ions sought for payment to the s</w:t>
      </w:r>
      <w:r w:rsidRPr="0059103D">
        <w:rPr>
          <w:rFonts w:ascii="Arial" w:hAnsi="Arial" w:cs="Arial"/>
          <w:sz w:val="16"/>
          <w:szCs w:val="16"/>
        </w:rPr>
        <w:t>tates, ACT, NT and local governments</w:t>
      </w:r>
      <w:r>
        <w:rPr>
          <w:rFonts w:ascii="Arial" w:hAnsi="Arial" w:cs="Arial"/>
          <w:sz w:val="16"/>
          <w:szCs w:val="16"/>
        </w:rPr>
        <w:t xml:space="preserve"> in Appropriation Bill No.2 2021-22</w:t>
      </w:r>
      <w:r w:rsidRPr="0059103D">
        <w:rPr>
          <w:rFonts w:ascii="Arial" w:hAnsi="Arial" w:cs="Arial"/>
          <w:sz w:val="16"/>
          <w:szCs w:val="16"/>
        </w:rPr>
        <w:t>. Outcome 3 – Program 3.1: Regional Development includes the</w:t>
      </w:r>
      <w:r>
        <w:rPr>
          <w:rFonts w:ascii="Arial" w:hAnsi="Arial" w:cs="Arial"/>
          <w:sz w:val="16"/>
          <w:szCs w:val="16"/>
        </w:rPr>
        <w:t xml:space="preserve"> Drought Communities Programme and Program 3.2: Local Government includes Local Roads and Community Infrastructure. </w:t>
      </w:r>
      <w:r w:rsidRPr="00CB1682">
        <w:rPr>
          <w:rFonts w:ascii="Arial" w:hAnsi="Arial" w:cs="Arial"/>
          <w:sz w:val="16"/>
          <w:szCs w:val="16"/>
        </w:rPr>
        <w:t>For state splits ple</w:t>
      </w:r>
      <w:r>
        <w:rPr>
          <w:rFonts w:ascii="Arial" w:hAnsi="Arial" w:cs="Arial"/>
          <w:sz w:val="16"/>
          <w:szCs w:val="16"/>
        </w:rPr>
        <w:t>ase refer to</w:t>
      </w:r>
      <w:r w:rsidR="00984236" w:rsidRPr="00984236">
        <w:rPr>
          <w:rFonts w:ascii="Arial" w:hAnsi="Arial" w:cs="Arial"/>
          <w:i/>
          <w:sz w:val="16"/>
          <w:szCs w:val="16"/>
        </w:rPr>
        <w:t xml:space="preserve"> </w:t>
      </w:r>
      <w:r w:rsidR="00984236" w:rsidRPr="00984236">
        <w:rPr>
          <w:rFonts w:ascii="Arial" w:hAnsi="Arial" w:cs="Arial"/>
          <w:sz w:val="16"/>
          <w:szCs w:val="16"/>
        </w:rPr>
        <w:t>Annex A to the 2021-22 Mid</w:t>
      </w:r>
      <w:r w:rsidR="00EE366A">
        <w:rPr>
          <w:rFonts w:ascii="Arial" w:hAnsi="Arial" w:cs="Arial"/>
          <w:sz w:val="16"/>
          <w:szCs w:val="16"/>
        </w:rPr>
        <w:t>-</w:t>
      </w:r>
      <w:r w:rsidR="00984236" w:rsidRPr="00984236">
        <w:rPr>
          <w:rFonts w:ascii="Arial" w:hAnsi="Arial" w:cs="Arial"/>
          <w:sz w:val="16"/>
          <w:szCs w:val="16"/>
        </w:rPr>
        <w:t>Year Economic and Fiscal Outloo</w:t>
      </w:r>
      <w:r w:rsidR="00984236">
        <w:rPr>
          <w:rFonts w:ascii="Arial" w:hAnsi="Arial" w:cs="Arial"/>
          <w:sz w:val="16"/>
          <w:szCs w:val="16"/>
        </w:rPr>
        <w:t xml:space="preserve">k at </w:t>
      </w:r>
      <w:r w:rsidR="00984236" w:rsidRPr="009C398A">
        <w:rPr>
          <w:rFonts w:ascii="Arial" w:hAnsi="Arial" w:cs="Arial"/>
          <w:sz w:val="16"/>
          <w:szCs w:val="16"/>
          <w:u w:val="single"/>
        </w:rPr>
        <w:t>https://budget.gov.au/2021</w:t>
      </w:r>
      <w:r w:rsidR="00984236" w:rsidRPr="009C398A">
        <w:rPr>
          <w:rFonts w:ascii="Arial" w:hAnsi="Arial" w:cs="Arial"/>
          <w:sz w:val="16"/>
          <w:szCs w:val="16"/>
          <w:u w:val="single"/>
        </w:rPr>
        <w:noBreakHyphen/>
        <w:t>22/content/myefo/download/13_appendix_c_annex_a.pdf</w:t>
      </w:r>
    </w:p>
    <w:p w14:paraId="098BB9DE" w14:textId="0F70A055" w:rsidR="0068707D" w:rsidRPr="0059103D" w:rsidRDefault="0068707D" w:rsidP="000F1F7C">
      <w:pPr>
        <w:numPr>
          <w:ilvl w:val="0"/>
          <w:numId w:val="9"/>
        </w:numPr>
        <w:spacing w:after="0" w:line="240" w:lineRule="auto"/>
        <w:ind w:left="284" w:hanging="284"/>
        <w:jc w:val="left"/>
        <w:rPr>
          <w:rFonts w:ascii="Arial" w:hAnsi="Arial" w:cs="Arial"/>
          <w:sz w:val="16"/>
          <w:szCs w:val="16"/>
        </w:rPr>
      </w:pPr>
      <w:r w:rsidRPr="0059103D">
        <w:rPr>
          <w:rFonts w:ascii="Arial" w:hAnsi="Arial" w:cs="Arial"/>
          <w:sz w:val="16"/>
          <w:szCs w:val="16"/>
        </w:rPr>
        <w:t xml:space="preserve">For further information on special accounts, please refer to </w:t>
      </w:r>
      <w:r w:rsidR="00736B08">
        <w:rPr>
          <w:rFonts w:ascii="Arial" w:hAnsi="Arial" w:cs="Arial"/>
          <w:sz w:val="16"/>
          <w:szCs w:val="16"/>
        </w:rPr>
        <w:t>Table 3.1</w:t>
      </w:r>
      <w:r w:rsidRPr="0059103D">
        <w:rPr>
          <w:rFonts w:ascii="Arial" w:hAnsi="Arial" w:cs="Arial"/>
          <w:sz w:val="16"/>
          <w:szCs w:val="16"/>
        </w:rPr>
        <w:t>. Please also see Section 2 for further information on outcome and program expenses broken down by various funding sources, for example annual appropriations, special appropriations and special accounts.</w:t>
      </w:r>
    </w:p>
    <w:p w14:paraId="50663990" w14:textId="77777777" w:rsidR="0068707D" w:rsidRPr="00C602FB" w:rsidRDefault="0068707D" w:rsidP="000F1F7C">
      <w:pPr>
        <w:numPr>
          <w:ilvl w:val="0"/>
          <w:numId w:val="9"/>
        </w:numPr>
        <w:spacing w:after="0" w:line="240" w:lineRule="auto"/>
        <w:ind w:left="284" w:hanging="284"/>
        <w:jc w:val="left"/>
        <w:rPr>
          <w:rFonts w:ascii="Arial" w:hAnsi="Arial" w:cs="Arial"/>
          <w:sz w:val="16"/>
          <w:szCs w:val="16"/>
        </w:rPr>
      </w:pPr>
      <w:r w:rsidRPr="00C602FB">
        <w:rPr>
          <w:rFonts w:ascii="Arial" w:hAnsi="Arial" w:cs="Arial"/>
          <w:sz w:val="16"/>
          <w:szCs w:val="16"/>
        </w:rPr>
        <w:t>Excludes trust moneys held in Services for Other Entities and Trust Moneys (SOE</w:t>
      </w:r>
      <w:r>
        <w:rPr>
          <w:rFonts w:ascii="Arial" w:hAnsi="Arial" w:cs="Arial"/>
          <w:sz w:val="16"/>
          <w:szCs w:val="16"/>
        </w:rPr>
        <w:t>TM) and other special accounts.</w:t>
      </w:r>
    </w:p>
    <w:p w14:paraId="7CBB20D3" w14:textId="77777777" w:rsidR="0068707D" w:rsidRPr="00C602FB" w:rsidRDefault="0068707D" w:rsidP="000F1F7C">
      <w:pPr>
        <w:numPr>
          <w:ilvl w:val="0"/>
          <w:numId w:val="9"/>
        </w:numPr>
        <w:spacing w:after="0" w:line="240" w:lineRule="auto"/>
        <w:ind w:left="284" w:hanging="284"/>
        <w:jc w:val="left"/>
        <w:rPr>
          <w:rFonts w:ascii="Arial" w:hAnsi="Arial" w:cs="Arial"/>
          <w:sz w:val="16"/>
          <w:szCs w:val="16"/>
        </w:rPr>
      </w:pPr>
      <w:r w:rsidRPr="00C602FB">
        <w:rPr>
          <w:rFonts w:ascii="Arial" w:hAnsi="Arial" w:cs="Arial"/>
          <w:sz w:val="16"/>
          <w:szCs w:val="16"/>
        </w:rPr>
        <w:t>Amounts credited to the special accounts from annual and special appropriations.</w:t>
      </w:r>
    </w:p>
    <w:p w14:paraId="4066C98D" w14:textId="77777777" w:rsidR="006E592F" w:rsidRDefault="0068707D" w:rsidP="000F1F7C">
      <w:pPr>
        <w:numPr>
          <w:ilvl w:val="0"/>
          <w:numId w:val="9"/>
        </w:numPr>
        <w:spacing w:after="0" w:line="240" w:lineRule="auto"/>
        <w:ind w:left="284" w:hanging="284"/>
        <w:jc w:val="left"/>
        <w:rPr>
          <w:rFonts w:ascii="Arial" w:hAnsi="Arial" w:cs="Arial"/>
          <w:sz w:val="16"/>
          <w:szCs w:val="16"/>
        </w:rPr>
      </w:pPr>
      <w:r w:rsidRPr="00C602FB">
        <w:rPr>
          <w:rFonts w:ascii="Arial" w:hAnsi="Arial" w:cs="Arial"/>
          <w:sz w:val="16"/>
          <w:szCs w:val="16"/>
        </w:rPr>
        <w:t>Payments relate to the Tasmanian Freight Equalisation Scheme and the Bass Strait Passenger Vehicle Equalisation Scheme administered items.</w:t>
      </w:r>
    </w:p>
    <w:p w14:paraId="33C6AB0A" w14:textId="3CB8687A" w:rsidR="006E592F" w:rsidRDefault="006E592F" w:rsidP="000F1F7C">
      <w:pPr>
        <w:numPr>
          <w:ilvl w:val="0"/>
          <w:numId w:val="9"/>
        </w:numPr>
        <w:spacing w:after="0" w:line="240" w:lineRule="auto"/>
        <w:ind w:left="284" w:hanging="284"/>
        <w:jc w:val="left"/>
        <w:rPr>
          <w:rFonts w:ascii="Arial" w:hAnsi="Arial" w:cs="Arial"/>
          <w:sz w:val="16"/>
          <w:szCs w:val="16"/>
        </w:rPr>
      </w:pPr>
      <w:r w:rsidRPr="006E592F">
        <w:rPr>
          <w:rFonts w:ascii="Arial" w:hAnsi="Arial" w:cs="Arial"/>
          <w:sz w:val="16"/>
          <w:szCs w:val="16"/>
        </w:rPr>
        <w:t xml:space="preserve">This reflects the transfer of responsibility for Northern Australia </w:t>
      </w:r>
      <w:r w:rsidR="00736B08">
        <w:rPr>
          <w:rFonts w:ascii="Arial" w:hAnsi="Arial" w:cs="Arial"/>
          <w:sz w:val="16"/>
          <w:szCs w:val="16"/>
        </w:rPr>
        <w:t>policy</w:t>
      </w:r>
      <w:r w:rsidRPr="006E592F">
        <w:rPr>
          <w:rFonts w:ascii="Arial" w:hAnsi="Arial" w:cs="Arial"/>
          <w:sz w:val="16"/>
          <w:szCs w:val="16"/>
        </w:rPr>
        <w:t xml:space="preserve"> from the </w:t>
      </w:r>
      <w:r w:rsidR="00736B08">
        <w:rPr>
          <w:rFonts w:ascii="Arial" w:hAnsi="Arial" w:cs="Arial"/>
          <w:sz w:val="16"/>
          <w:szCs w:val="16"/>
        </w:rPr>
        <w:t xml:space="preserve">Department of </w:t>
      </w:r>
      <w:r w:rsidRPr="006E592F">
        <w:rPr>
          <w:rFonts w:ascii="Arial" w:hAnsi="Arial" w:cs="Arial"/>
          <w:sz w:val="16"/>
          <w:szCs w:val="16"/>
        </w:rPr>
        <w:t xml:space="preserve">Industry, Science, Energy and Resources to the </w:t>
      </w:r>
      <w:r w:rsidR="00736B08">
        <w:rPr>
          <w:rFonts w:ascii="Arial" w:hAnsi="Arial" w:cs="Arial"/>
          <w:sz w:val="16"/>
          <w:szCs w:val="16"/>
        </w:rPr>
        <w:t>Department</w:t>
      </w:r>
      <w:r w:rsidRPr="006E592F">
        <w:rPr>
          <w:rFonts w:ascii="Arial" w:hAnsi="Arial" w:cs="Arial"/>
          <w:sz w:val="16"/>
          <w:szCs w:val="16"/>
        </w:rPr>
        <w:t xml:space="preserve"> resulting from the Administrative Arrangement Orders of 2 July 2021.</w:t>
      </w:r>
    </w:p>
    <w:p w14:paraId="2AA9B0EA" w14:textId="3C389F06" w:rsidR="00736B08" w:rsidRDefault="00736B08" w:rsidP="00736B08">
      <w:pPr>
        <w:numPr>
          <w:ilvl w:val="0"/>
          <w:numId w:val="9"/>
        </w:numPr>
        <w:spacing w:after="0" w:line="240" w:lineRule="auto"/>
        <w:ind w:left="284" w:hanging="284"/>
        <w:jc w:val="left"/>
        <w:rPr>
          <w:rFonts w:ascii="Arial" w:hAnsi="Arial" w:cs="Arial"/>
          <w:sz w:val="16"/>
          <w:szCs w:val="16"/>
        </w:rPr>
      </w:pPr>
      <w:r w:rsidRPr="006E592F">
        <w:rPr>
          <w:rFonts w:ascii="Arial" w:hAnsi="Arial" w:cs="Arial"/>
          <w:sz w:val="16"/>
          <w:szCs w:val="16"/>
        </w:rPr>
        <w:t>This reflects the transfer of responsibility for the Northern Australia Infrastructure Facility from the Industry, Science, Energy and Resources Portfolio to the Infrastructure, Transport, Regional Development and Communications Portfolio resulting from the Administrative Arrangement Orders of 2</w:t>
      </w:r>
      <w:r>
        <w:rPr>
          <w:rFonts w:ascii="Arial" w:hAnsi="Arial" w:cs="Arial"/>
          <w:sz w:val="16"/>
          <w:szCs w:val="16"/>
        </w:rPr>
        <w:t> </w:t>
      </w:r>
      <w:r w:rsidRPr="006E592F">
        <w:rPr>
          <w:rFonts w:ascii="Arial" w:hAnsi="Arial" w:cs="Arial"/>
          <w:sz w:val="16"/>
          <w:szCs w:val="16"/>
        </w:rPr>
        <w:t>July 2021.</w:t>
      </w:r>
    </w:p>
    <w:p w14:paraId="3E44E934" w14:textId="77777777" w:rsidR="003E6876" w:rsidRPr="003E6876" w:rsidRDefault="003E6876" w:rsidP="007E57DC"/>
    <w:p w14:paraId="3A63125D" w14:textId="77777777" w:rsidR="00776C93" w:rsidRDefault="00776C93">
      <w:pPr>
        <w:spacing w:after="0" w:line="240" w:lineRule="auto"/>
        <w:jc w:val="left"/>
        <w:rPr>
          <w:rFonts w:ascii="Arial" w:hAnsi="Arial"/>
          <w:b/>
          <w:lang w:val="x-none"/>
        </w:rPr>
      </w:pPr>
      <w:r>
        <w:br w:type="page"/>
      </w:r>
    </w:p>
    <w:p w14:paraId="21538D43" w14:textId="326C3C90" w:rsidR="00F51DAC" w:rsidRPr="00643B7D" w:rsidRDefault="00E15CF3" w:rsidP="00B87CAB">
      <w:pPr>
        <w:pStyle w:val="Heading3DITRDC"/>
        <w:rPr>
          <w:lang w:val="en-AU"/>
        </w:rPr>
      </w:pPr>
      <w:bookmarkStart w:id="199" w:name="_Toc531094585"/>
      <w:bookmarkStart w:id="200" w:name="_Toc531095064"/>
      <w:bookmarkStart w:id="201" w:name="_Toc92992109"/>
      <w:bookmarkStart w:id="202" w:name="_Toc93405034"/>
      <w:bookmarkStart w:id="203" w:name="OLE_LINK14"/>
      <w:bookmarkStart w:id="204" w:name="OLE_LINK15"/>
      <w:bookmarkStart w:id="205" w:name="_Toc94854639"/>
      <w:bookmarkEnd w:id="197"/>
      <w:bookmarkEnd w:id="198"/>
      <w:r>
        <w:lastRenderedPageBreak/>
        <w:t>1.3</w:t>
      </w:r>
      <w:r>
        <w:tab/>
      </w:r>
      <w:r w:rsidR="00726A60">
        <w:t>Entity</w:t>
      </w:r>
      <w:r w:rsidR="00643B7D">
        <w:t xml:space="preserve"> </w:t>
      </w:r>
      <w:r w:rsidR="004825D1">
        <w:rPr>
          <w:lang w:val="en-AU"/>
        </w:rPr>
        <w:t>m</w:t>
      </w:r>
      <w:r w:rsidR="00A73170">
        <w:rPr>
          <w:lang w:val="en-AU"/>
        </w:rPr>
        <w:t>easures</w:t>
      </w:r>
      <w:bookmarkEnd w:id="199"/>
      <w:bookmarkEnd w:id="200"/>
      <w:bookmarkEnd w:id="201"/>
      <w:bookmarkEnd w:id="202"/>
      <w:bookmarkEnd w:id="205"/>
    </w:p>
    <w:p w14:paraId="1D5F146A" w14:textId="2CC47F49" w:rsidR="00F51DAC" w:rsidRPr="00486E77" w:rsidRDefault="00F51DAC" w:rsidP="00F51DAC">
      <w:r>
        <w:t xml:space="preserve">Table 1.2 summarises new Government measures taken since the </w:t>
      </w:r>
      <w:r w:rsidR="00374AD3">
        <w:t>2021</w:t>
      </w:r>
      <w:r w:rsidR="00654B5B">
        <w:t>-2</w:t>
      </w:r>
      <w:r w:rsidR="00374AD3">
        <w:t>2</w:t>
      </w:r>
      <w:r>
        <w:t xml:space="preserve"> Budget</w:t>
      </w:r>
      <w:r w:rsidR="00E15CF3">
        <w:t xml:space="preserve">. </w:t>
      </w:r>
      <w:r>
        <w:t xml:space="preserve">The table is split into </w:t>
      </w:r>
      <w:r w:rsidR="006030AA">
        <w:t xml:space="preserve">receipt </w:t>
      </w:r>
      <w:r>
        <w:t xml:space="preserve">and </w:t>
      </w:r>
      <w:r w:rsidR="006030AA">
        <w:t xml:space="preserve">payment </w:t>
      </w:r>
      <w:r>
        <w:t xml:space="preserve">measures, with the affected </w:t>
      </w:r>
      <w:r w:rsidR="00A81E21">
        <w:t>program</w:t>
      </w:r>
      <w:r w:rsidR="009D4B20">
        <w:t xml:space="preserve"> </w:t>
      </w:r>
      <w:r w:rsidRPr="00486E77">
        <w:t>identified.</w:t>
      </w:r>
    </w:p>
    <w:p w14:paraId="479EE302" w14:textId="6F03F77E" w:rsidR="00897F19" w:rsidRDefault="00F51DAC" w:rsidP="003F22B1">
      <w:pPr>
        <w:pStyle w:val="TableHeading"/>
      </w:pPr>
      <w:r w:rsidRPr="00897F19">
        <w:t xml:space="preserve">Table 1.2: </w:t>
      </w:r>
      <w:r w:rsidR="008863D9">
        <w:t>Department</w:t>
      </w:r>
      <w:r w:rsidR="00E53168" w:rsidRPr="00897F19">
        <w:t xml:space="preserve"> of Infrastructure, Transport, Regional Development and Communications</w:t>
      </w:r>
      <w:r w:rsidR="00E53168" w:rsidRPr="00897F19">
        <w:rPr>
          <w:lang w:val="en-AU"/>
        </w:rPr>
        <w:t xml:space="preserve"> </w:t>
      </w:r>
      <w:r w:rsidR="00654B5B" w:rsidRPr="00897F19">
        <w:rPr>
          <w:lang w:val="en-AU"/>
        </w:rPr>
        <w:t>202</w:t>
      </w:r>
      <w:r w:rsidR="00374AD3" w:rsidRPr="00897F19">
        <w:rPr>
          <w:lang w:val="en-AU"/>
        </w:rPr>
        <w:t>1</w:t>
      </w:r>
      <w:r w:rsidR="00654B5B" w:rsidRPr="00897F19">
        <w:rPr>
          <w:lang w:val="en-AU"/>
        </w:rPr>
        <w:t>-2</w:t>
      </w:r>
      <w:r w:rsidR="00374AD3" w:rsidRPr="00897F19">
        <w:rPr>
          <w:lang w:val="en-AU"/>
        </w:rPr>
        <w:t>2</w:t>
      </w:r>
      <w:r w:rsidRPr="00897F19">
        <w:t xml:space="preserve"> </w:t>
      </w:r>
      <w:r w:rsidR="00643B7D" w:rsidRPr="00897F19">
        <w:t xml:space="preserve">measures </w:t>
      </w:r>
      <w:r w:rsidRPr="00897F19">
        <w:t>since Budget</w:t>
      </w:r>
    </w:p>
    <w:tbl>
      <w:tblPr>
        <w:tblW w:w="0" w:type="auto"/>
        <w:tblLayout w:type="fixed"/>
        <w:tblCellMar>
          <w:left w:w="0" w:type="dxa"/>
          <w:right w:w="0" w:type="dxa"/>
        </w:tblCellMar>
        <w:tblLook w:val="04A0" w:firstRow="1" w:lastRow="0" w:firstColumn="1" w:lastColumn="0" w:noHBand="0" w:noVBand="1"/>
      </w:tblPr>
      <w:tblGrid>
        <w:gridCol w:w="2977"/>
        <w:gridCol w:w="1085"/>
        <w:gridCol w:w="860"/>
        <w:gridCol w:w="890"/>
        <w:gridCol w:w="851"/>
        <w:gridCol w:w="850"/>
      </w:tblGrid>
      <w:tr w:rsidR="00DC32E8" w:rsidRPr="003F22B1" w14:paraId="2D579AB0" w14:textId="77777777" w:rsidTr="00DC05FF">
        <w:trPr>
          <w:trHeight w:val="356"/>
        </w:trPr>
        <w:tc>
          <w:tcPr>
            <w:tcW w:w="2977" w:type="dxa"/>
            <w:tcBorders>
              <w:top w:val="single" w:sz="4" w:space="0" w:color="auto"/>
              <w:left w:val="nil"/>
              <w:right w:val="nil"/>
            </w:tcBorders>
            <w:shd w:val="clear" w:color="auto" w:fill="auto"/>
            <w:noWrap/>
            <w:hideMark/>
          </w:tcPr>
          <w:p w14:paraId="207D53E7" w14:textId="77777777" w:rsidR="0033098C" w:rsidRPr="003F22B1" w:rsidRDefault="0033098C" w:rsidP="0033098C">
            <w:pPr>
              <w:spacing w:after="0" w:line="240" w:lineRule="auto"/>
              <w:jc w:val="center"/>
              <w:rPr>
                <w:rFonts w:ascii="Arial" w:hAnsi="Arial" w:cs="Arial"/>
                <w:sz w:val="16"/>
                <w:szCs w:val="16"/>
              </w:rPr>
            </w:pPr>
            <w:r w:rsidRPr="003F22B1">
              <w:rPr>
                <w:rFonts w:ascii="Arial" w:hAnsi="Arial" w:cs="Arial"/>
                <w:sz w:val="16"/>
                <w:szCs w:val="16"/>
              </w:rPr>
              <w:t> </w:t>
            </w:r>
          </w:p>
        </w:tc>
        <w:tc>
          <w:tcPr>
            <w:tcW w:w="1085" w:type="dxa"/>
            <w:tcBorders>
              <w:top w:val="single" w:sz="4" w:space="0" w:color="auto"/>
              <w:left w:val="nil"/>
              <w:bottom w:val="single" w:sz="4" w:space="0" w:color="auto"/>
              <w:right w:val="nil"/>
            </w:tcBorders>
            <w:shd w:val="clear" w:color="auto" w:fill="auto"/>
            <w:vAlign w:val="bottom"/>
            <w:hideMark/>
          </w:tcPr>
          <w:p w14:paraId="03089086" w14:textId="77777777" w:rsidR="0033098C" w:rsidRPr="003F22B1" w:rsidRDefault="0033098C" w:rsidP="0033098C">
            <w:pPr>
              <w:spacing w:after="0"/>
              <w:jc w:val="center"/>
              <w:rPr>
                <w:rFonts w:ascii="Arial" w:hAnsi="Arial" w:cs="Arial"/>
                <w:sz w:val="16"/>
                <w:szCs w:val="16"/>
              </w:rPr>
            </w:pPr>
            <w:r w:rsidRPr="003F22B1">
              <w:rPr>
                <w:rFonts w:ascii="Arial" w:hAnsi="Arial" w:cs="Arial"/>
                <w:sz w:val="16"/>
                <w:szCs w:val="16"/>
              </w:rPr>
              <w:t>Program</w:t>
            </w:r>
          </w:p>
        </w:tc>
        <w:tc>
          <w:tcPr>
            <w:tcW w:w="860" w:type="dxa"/>
            <w:tcBorders>
              <w:top w:val="single" w:sz="4" w:space="0" w:color="auto"/>
              <w:left w:val="nil"/>
              <w:bottom w:val="single" w:sz="4" w:space="0" w:color="auto"/>
              <w:right w:val="nil"/>
            </w:tcBorders>
            <w:shd w:val="clear" w:color="auto" w:fill="E6E6E6"/>
            <w:vAlign w:val="bottom"/>
            <w:hideMark/>
          </w:tcPr>
          <w:p w14:paraId="7A9D22B8" w14:textId="4AD97458" w:rsidR="0033098C" w:rsidRPr="003F22B1" w:rsidRDefault="0033098C" w:rsidP="00DC05FF">
            <w:pPr>
              <w:spacing w:after="0" w:line="240" w:lineRule="auto"/>
              <w:ind w:right="57"/>
              <w:jc w:val="right"/>
              <w:rPr>
                <w:rFonts w:ascii="Arial" w:hAnsi="Arial" w:cs="Arial"/>
                <w:sz w:val="16"/>
                <w:szCs w:val="16"/>
              </w:rPr>
            </w:pPr>
            <w:r w:rsidRPr="003F22B1">
              <w:rPr>
                <w:rFonts w:ascii="Arial" w:hAnsi="Arial" w:cs="Arial"/>
                <w:sz w:val="16"/>
                <w:szCs w:val="16"/>
              </w:rPr>
              <w:t>2021-22 $'000</w:t>
            </w:r>
          </w:p>
        </w:tc>
        <w:tc>
          <w:tcPr>
            <w:tcW w:w="890" w:type="dxa"/>
            <w:tcBorders>
              <w:top w:val="single" w:sz="4" w:space="0" w:color="auto"/>
              <w:left w:val="nil"/>
              <w:bottom w:val="single" w:sz="4" w:space="0" w:color="auto"/>
              <w:right w:val="nil"/>
            </w:tcBorders>
            <w:shd w:val="clear" w:color="auto" w:fill="auto"/>
            <w:vAlign w:val="bottom"/>
            <w:hideMark/>
          </w:tcPr>
          <w:p w14:paraId="7949D5F8" w14:textId="2D992163" w:rsidR="0033098C" w:rsidRPr="003F22B1" w:rsidRDefault="0033098C" w:rsidP="00DC05FF">
            <w:pPr>
              <w:spacing w:after="0" w:line="240" w:lineRule="auto"/>
              <w:ind w:right="57"/>
              <w:jc w:val="right"/>
              <w:rPr>
                <w:rFonts w:ascii="Arial" w:hAnsi="Arial" w:cs="Arial"/>
                <w:sz w:val="16"/>
                <w:szCs w:val="16"/>
              </w:rPr>
            </w:pPr>
            <w:r w:rsidRPr="003F22B1">
              <w:rPr>
                <w:rFonts w:ascii="Arial" w:hAnsi="Arial" w:cs="Arial"/>
                <w:sz w:val="16"/>
                <w:szCs w:val="16"/>
              </w:rPr>
              <w:t>2022-23 $'000</w:t>
            </w:r>
          </w:p>
        </w:tc>
        <w:tc>
          <w:tcPr>
            <w:tcW w:w="851" w:type="dxa"/>
            <w:tcBorders>
              <w:top w:val="single" w:sz="4" w:space="0" w:color="auto"/>
              <w:left w:val="nil"/>
              <w:bottom w:val="single" w:sz="4" w:space="0" w:color="auto"/>
              <w:right w:val="nil"/>
            </w:tcBorders>
            <w:shd w:val="clear" w:color="auto" w:fill="E6E6E6"/>
            <w:vAlign w:val="bottom"/>
            <w:hideMark/>
          </w:tcPr>
          <w:p w14:paraId="20A275DE" w14:textId="098CEF5B" w:rsidR="0033098C" w:rsidRPr="003F22B1" w:rsidRDefault="0033098C" w:rsidP="00DC05FF">
            <w:pPr>
              <w:spacing w:after="0" w:line="240" w:lineRule="auto"/>
              <w:ind w:right="57"/>
              <w:jc w:val="right"/>
              <w:rPr>
                <w:rFonts w:ascii="Arial" w:hAnsi="Arial" w:cs="Arial"/>
                <w:sz w:val="16"/>
                <w:szCs w:val="16"/>
              </w:rPr>
            </w:pPr>
            <w:r w:rsidRPr="003F22B1">
              <w:rPr>
                <w:rFonts w:ascii="Arial" w:hAnsi="Arial" w:cs="Arial"/>
                <w:sz w:val="16"/>
                <w:szCs w:val="16"/>
              </w:rPr>
              <w:t>2023-24 $'000</w:t>
            </w:r>
          </w:p>
        </w:tc>
        <w:tc>
          <w:tcPr>
            <w:tcW w:w="850" w:type="dxa"/>
            <w:tcBorders>
              <w:top w:val="single" w:sz="4" w:space="0" w:color="auto"/>
              <w:left w:val="nil"/>
              <w:bottom w:val="single" w:sz="4" w:space="0" w:color="auto"/>
              <w:right w:val="nil"/>
            </w:tcBorders>
            <w:shd w:val="clear" w:color="auto" w:fill="auto"/>
            <w:vAlign w:val="bottom"/>
            <w:hideMark/>
          </w:tcPr>
          <w:p w14:paraId="13909959" w14:textId="7036978C" w:rsidR="0033098C" w:rsidRPr="003F22B1" w:rsidRDefault="0033098C" w:rsidP="00DC05FF">
            <w:pPr>
              <w:spacing w:after="0" w:line="240" w:lineRule="auto"/>
              <w:ind w:right="57"/>
              <w:jc w:val="right"/>
              <w:rPr>
                <w:rFonts w:ascii="Arial" w:hAnsi="Arial" w:cs="Arial"/>
                <w:sz w:val="16"/>
                <w:szCs w:val="16"/>
              </w:rPr>
            </w:pPr>
            <w:r w:rsidRPr="003F22B1">
              <w:rPr>
                <w:rFonts w:ascii="Arial" w:hAnsi="Arial" w:cs="Arial"/>
                <w:sz w:val="16"/>
                <w:szCs w:val="16"/>
              </w:rPr>
              <w:t>202</w:t>
            </w:r>
            <w:r>
              <w:rPr>
                <w:rFonts w:ascii="Arial" w:hAnsi="Arial" w:cs="Arial"/>
                <w:sz w:val="16"/>
                <w:szCs w:val="16"/>
              </w:rPr>
              <w:t>4-25</w:t>
            </w:r>
            <w:r w:rsidRPr="003F22B1">
              <w:rPr>
                <w:rFonts w:ascii="Arial" w:hAnsi="Arial" w:cs="Arial"/>
                <w:sz w:val="16"/>
                <w:szCs w:val="16"/>
              </w:rPr>
              <w:t xml:space="preserve"> $'000</w:t>
            </w:r>
          </w:p>
        </w:tc>
      </w:tr>
      <w:tr w:rsidR="00C36772" w:rsidRPr="003F22B1" w14:paraId="6CFB003E" w14:textId="77777777" w:rsidTr="00C36772">
        <w:trPr>
          <w:trHeight w:val="204"/>
        </w:trPr>
        <w:tc>
          <w:tcPr>
            <w:tcW w:w="2977" w:type="dxa"/>
            <w:tcBorders>
              <w:left w:val="nil"/>
              <w:right w:val="nil"/>
            </w:tcBorders>
            <w:shd w:val="clear" w:color="auto" w:fill="auto"/>
            <w:noWrap/>
            <w:vAlign w:val="bottom"/>
          </w:tcPr>
          <w:p w14:paraId="213D8DB5" w14:textId="1FBBE2FE" w:rsidR="00C36772" w:rsidRPr="00313889" w:rsidRDefault="00C36772" w:rsidP="00313889">
            <w:pPr>
              <w:spacing w:after="0" w:line="240" w:lineRule="auto"/>
              <w:jc w:val="left"/>
              <w:rPr>
                <w:rFonts w:ascii="Arial" w:hAnsi="Arial" w:cs="Arial"/>
                <w:b/>
                <w:bCs/>
                <w:sz w:val="16"/>
                <w:szCs w:val="16"/>
              </w:rPr>
            </w:pPr>
            <w:r w:rsidRPr="00313889">
              <w:rPr>
                <w:rFonts w:ascii="Arial" w:hAnsi="Arial" w:cs="Arial"/>
                <w:b/>
                <w:bCs/>
                <w:sz w:val="16"/>
                <w:szCs w:val="16"/>
              </w:rPr>
              <w:t xml:space="preserve">Receipt </w:t>
            </w:r>
            <w:r w:rsidR="00313889" w:rsidRPr="00313889">
              <w:rPr>
                <w:rFonts w:ascii="Arial" w:hAnsi="Arial" w:cs="Arial"/>
                <w:b/>
                <w:bCs/>
                <w:sz w:val="16"/>
                <w:szCs w:val="16"/>
              </w:rPr>
              <w:t>measures</w:t>
            </w:r>
          </w:p>
        </w:tc>
        <w:tc>
          <w:tcPr>
            <w:tcW w:w="1085" w:type="dxa"/>
            <w:tcBorders>
              <w:top w:val="single" w:sz="4" w:space="0" w:color="auto"/>
              <w:left w:val="nil"/>
              <w:right w:val="nil"/>
            </w:tcBorders>
            <w:shd w:val="clear" w:color="auto" w:fill="auto"/>
            <w:noWrap/>
            <w:vAlign w:val="bottom"/>
          </w:tcPr>
          <w:p w14:paraId="51722E2C" w14:textId="77777777" w:rsidR="00C36772" w:rsidRPr="003F22B1" w:rsidRDefault="00C36772" w:rsidP="00F62270">
            <w:pPr>
              <w:spacing w:after="0" w:line="240" w:lineRule="auto"/>
              <w:jc w:val="right"/>
              <w:rPr>
                <w:rFonts w:ascii="Arial" w:hAnsi="Arial" w:cs="Arial"/>
                <w:b/>
                <w:bCs/>
                <w:sz w:val="16"/>
                <w:szCs w:val="16"/>
              </w:rPr>
            </w:pPr>
          </w:p>
        </w:tc>
        <w:tc>
          <w:tcPr>
            <w:tcW w:w="860" w:type="dxa"/>
            <w:tcBorders>
              <w:top w:val="single" w:sz="4" w:space="0" w:color="auto"/>
              <w:left w:val="nil"/>
              <w:right w:val="nil"/>
            </w:tcBorders>
            <w:shd w:val="clear" w:color="auto" w:fill="E6E6E6"/>
            <w:noWrap/>
            <w:vAlign w:val="bottom"/>
          </w:tcPr>
          <w:p w14:paraId="24622A86" w14:textId="77777777" w:rsidR="00C36772" w:rsidRPr="003F22B1" w:rsidRDefault="00C36772" w:rsidP="0010271A">
            <w:pPr>
              <w:spacing w:after="0" w:line="240" w:lineRule="auto"/>
              <w:ind w:right="57"/>
              <w:jc w:val="right"/>
              <w:rPr>
                <w:rFonts w:ascii="Arial" w:hAnsi="Arial" w:cs="Arial"/>
                <w:sz w:val="16"/>
                <w:szCs w:val="16"/>
              </w:rPr>
            </w:pPr>
          </w:p>
        </w:tc>
        <w:tc>
          <w:tcPr>
            <w:tcW w:w="890" w:type="dxa"/>
            <w:tcBorders>
              <w:top w:val="single" w:sz="4" w:space="0" w:color="auto"/>
              <w:left w:val="nil"/>
              <w:right w:val="nil"/>
            </w:tcBorders>
            <w:shd w:val="clear" w:color="auto" w:fill="auto"/>
            <w:noWrap/>
            <w:vAlign w:val="bottom"/>
          </w:tcPr>
          <w:p w14:paraId="650616AB" w14:textId="77777777" w:rsidR="00C36772" w:rsidRPr="003F22B1" w:rsidRDefault="00C36772" w:rsidP="0010271A">
            <w:pPr>
              <w:spacing w:after="0" w:line="240" w:lineRule="auto"/>
              <w:ind w:right="57"/>
              <w:jc w:val="right"/>
              <w:rPr>
                <w:rFonts w:ascii="Arial" w:hAnsi="Arial" w:cs="Arial"/>
                <w:sz w:val="16"/>
                <w:szCs w:val="16"/>
              </w:rPr>
            </w:pPr>
          </w:p>
        </w:tc>
        <w:tc>
          <w:tcPr>
            <w:tcW w:w="851" w:type="dxa"/>
            <w:tcBorders>
              <w:top w:val="single" w:sz="4" w:space="0" w:color="auto"/>
              <w:left w:val="nil"/>
              <w:right w:val="nil"/>
            </w:tcBorders>
            <w:shd w:val="clear" w:color="auto" w:fill="E6E6E6"/>
            <w:noWrap/>
            <w:vAlign w:val="bottom"/>
          </w:tcPr>
          <w:p w14:paraId="35A07C9B" w14:textId="77777777" w:rsidR="00C36772" w:rsidRPr="003F22B1" w:rsidRDefault="00C36772" w:rsidP="0010271A">
            <w:pPr>
              <w:spacing w:after="0" w:line="240" w:lineRule="auto"/>
              <w:ind w:right="57"/>
              <w:jc w:val="right"/>
              <w:rPr>
                <w:rFonts w:ascii="Arial" w:hAnsi="Arial" w:cs="Arial"/>
                <w:sz w:val="16"/>
                <w:szCs w:val="16"/>
              </w:rPr>
            </w:pPr>
          </w:p>
        </w:tc>
        <w:tc>
          <w:tcPr>
            <w:tcW w:w="850" w:type="dxa"/>
            <w:tcBorders>
              <w:top w:val="single" w:sz="4" w:space="0" w:color="auto"/>
              <w:left w:val="nil"/>
              <w:right w:val="nil"/>
            </w:tcBorders>
            <w:shd w:val="clear" w:color="auto" w:fill="auto"/>
            <w:noWrap/>
            <w:vAlign w:val="bottom"/>
          </w:tcPr>
          <w:p w14:paraId="68D92205" w14:textId="77777777" w:rsidR="00C36772" w:rsidRPr="003F22B1" w:rsidRDefault="00C36772" w:rsidP="0010271A">
            <w:pPr>
              <w:spacing w:after="0" w:line="240" w:lineRule="auto"/>
              <w:ind w:right="57"/>
              <w:jc w:val="right"/>
              <w:rPr>
                <w:rFonts w:ascii="Arial" w:hAnsi="Arial" w:cs="Arial"/>
                <w:sz w:val="16"/>
                <w:szCs w:val="16"/>
              </w:rPr>
            </w:pPr>
          </w:p>
        </w:tc>
      </w:tr>
      <w:tr w:rsidR="00C36772" w:rsidRPr="003F22B1" w14:paraId="7C199382" w14:textId="77777777" w:rsidTr="00C36772">
        <w:trPr>
          <w:trHeight w:val="204"/>
        </w:trPr>
        <w:tc>
          <w:tcPr>
            <w:tcW w:w="2977" w:type="dxa"/>
            <w:tcBorders>
              <w:left w:val="nil"/>
              <w:bottom w:val="nil"/>
              <w:right w:val="nil"/>
            </w:tcBorders>
            <w:shd w:val="clear" w:color="auto" w:fill="auto"/>
            <w:noWrap/>
          </w:tcPr>
          <w:p w14:paraId="0C506C0A" w14:textId="3F7B6DD0" w:rsidR="00C36772" w:rsidRPr="00C36772" w:rsidRDefault="00C36772" w:rsidP="00C36772">
            <w:pPr>
              <w:spacing w:after="0" w:line="240" w:lineRule="auto"/>
              <w:ind w:left="57"/>
              <w:jc w:val="left"/>
              <w:rPr>
                <w:rFonts w:ascii="Arial" w:hAnsi="Arial" w:cs="Arial"/>
                <w:bCs/>
                <w:sz w:val="16"/>
                <w:szCs w:val="16"/>
              </w:rPr>
            </w:pPr>
            <w:r>
              <w:rPr>
                <w:rFonts w:ascii="Arial" w:hAnsi="Arial" w:cs="Arial"/>
                <w:sz w:val="16"/>
                <w:szCs w:val="16"/>
              </w:rPr>
              <w:t>Northern Australia Infrastructure Facility - Increased Appropriation</w:t>
            </w:r>
          </w:p>
        </w:tc>
        <w:tc>
          <w:tcPr>
            <w:tcW w:w="1085" w:type="dxa"/>
            <w:tcBorders>
              <w:left w:val="nil"/>
              <w:bottom w:val="nil"/>
              <w:right w:val="nil"/>
            </w:tcBorders>
            <w:shd w:val="clear" w:color="auto" w:fill="auto"/>
            <w:noWrap/>
            <w:vAlign w:val="bottom"/>
          </w:tcPr>
          <w:p w14:paraId="044D6B71" w14:textId="7D309AF4" w:rsidR="00C36772" w:rsidRPr="003F22B1" w:rsidRDefault="00C36772" w:rsidP="00C36772">
            <w:pPr>
              <w:spacing w:after="0" w:line="240" w:lineRule="auto"/>
              <w:jc w:val="center"/>
              <w:rPr>
                <w:rFonts w:ascii="Arial" w:hAnsi="Arial" w:cs="Arial"/>
                <w:b/>
                <w:bCs/>
                <w:sz w:val="16"/>
                <w:szCs w:val="16"/>
              </w:rPr>
            </w:pPr>
            <w:r>
              <w:rPr>
                <w:rFonts w:ascii="Arial" w:hAnsi="Arial" w:cs="Arial"/>
                <w:sz w:val="16"/>
                <w:szCs w:val="16"/>
              </w:rPr>
              <w:t>3.4</w:t>
            </w:r>
          </w:p>
        </w:tc>
        <w:tc>
          <w:tcPr>
            <w:tcW w:w="860" w:type="dxa"/>
            <w:tcBorders>
              <w:left w:val="nil"/>
              <w:bottom w:val="nil"/>
              <w:right w:val="nil"/>
            </w:tcBorders>
            <w:shd w:val="clear" w:color="auto" w:fill="E6E6E6"/>
            <w:noWrap/>
            <w:vAlign w:val="bottom"/>
          </w:tcPr>
          <w:p w14:paraId="291F7D2F" w14:textId="77777777" w:rsidR="00C36772" w:rsidRPr="003F22B1" w:rsidRDefault="00C36772" w:rsidP="0010271A">
            <w:pPr>
              <w:spacing w:after="0" w:line="240" w:lineRule="auto"/>
              <w:ind w:right="57"/>
              <w:jc w:val="right"/>
              <w:rPr>
                <w:rFonts w:ascii="Arial" w:hAnsi="Arial" w:cs="Arial"/>
                <w:sz w:val="16"/>
                <w:szCs w:val="16"/>
              </w:rPr>
            </w:pPr>
          </w:p>
        </w:tc>
        <w:tc>
          <w:tcPr>
            <w:tcW w:w="890" w:type="dxa"/>
            <w:tcBorders>
              <w:left w:val="nil"/>
              <w:bottom w:val="nil"/>
              <w:right w:val="nil"/>
            </w:tcBorders>
            <w:shd w:val="clear" w:color="auto" w:fill="auto"/>
            <w:noWrap/>
            <w:vAlign w:val="bottom"/>
          </w:tcPr>
          <w:p w14:paraId="38123137" w14:textId="77777777" w:rsidR="00C36772" w:rsidRPr="003F22B1" w:rsidRDefault="00C36772" w:rsidP="0010271A">
            <w:pPr>
              <w:spacing w:after="0" w:line="240" w:lineRule="auto"/>
              <w:ind w:right="57"/>
              <w:jc w:val="right"/>
              <w:rPr>
                <w:rFonts w:ascii="Arial" w:hAnsi="Arial" w:cs="Arial"/>
                <w:sz w:val="16"/>
                <w:szCs w:val="16"/>
              </w:rPr>
            </w:pPr>
          </w:p>
        </w:tc>
        <w:tc>
          <w:tcPr>
            <w:tcW w:w="851" w:type="dxa"/>
            <w:tcBorders>
              <w:left w:val="nil"/>
              <w:bottom w:val="nil"/>
              <w:right w:val="nil"/>
            </w:tcBorders>
            <w:shd w:val="clear" w:color="auto" w:fill="E6E6E6"/>
            <w:noWrap/>
            <w:vAlign w:val="bottom"/>
          </w:tcPr>
          <w:p w14:paraId="2CF6ED37" w14:textId="77777777" w:rsidR="00C36772" w:rsidRPr="003F22B1" w:rsidRDefault="00C36772" w:rsidP="0010271A">
            <w:pPr>
              <w:spacing w:after="0" w:line="240" w:lineRule="auto"/>
              <w:ind w:right="57"/>
              <w:jc w:val="right"/>
              <w:rPr>
                <w:rFonts w:ascii="Arial" w:hAnsi="Arial" w:cs="Arial"/>
                <w:sz w:val="16"/>
                <w:szCs w:val="16"/>
              </w:rPr>
            </w:pPr>
          </w:p>
        </w:tc>
        <w:tc>
          <w:tcPr>
            <w:tcW w:w="850" w:type="dxa"/>
            <w:tcBorders>
              <w:left w:val="nil"/>
              <w:bottom w:val="nil"/>
              <w:right w:val="nil"/>
            </w:tcBorders>
            <w:shd w:val="clear" w:color="auto" w:fill="auto"/>
            <w:noWrap/>
            <w:vAlign w:val="bottom"/>
          </w:tcPr>
          <w:p w14:paraId="17F70F7B" w14:textId="77777777" w:rsidR="00C36772" w:rsidRPr="003F22B1" w:rsidRDefault="00C36772" w:rsidP="0010271A">
            <w:pPr>
              <w:spacing w:after="0" w:line="240" w:lineRule="auto"/>
              <w:ind w:right="57"/>
              <w:jc w:val="right"/>
              <w:rPr>
                <w:rFonts w:ascii="Arial" w:hAnsi="Arial" w:cs="Arial"/>
                <w:sz w:val="16"/>
                <w:szCs w:val="16"/>
              </w:rPr>
            </w:pPr>
          </w:p>
        </w:tc>
      </w:tr>
      <w:tr w:rsidR="00C36772" w:rsidRPr="003F22B1" w14:paraId="0D29ABD2" w14:textId="77777777" w:rsidTr="00313889">
        <w:trPr>
          <w:trHeight w:val="204"/>
        </w:trPr>
        <w:tc>
          <w:tcPr>
            <w:tcW w:w="2977" w:type="dxa"/>
            <w:tcBorders>
              <w:left w:val="nil"/>
              <w:right w:val="nil"/>
            </w:tcBorders>
            <w:shd w:val="clear" w:color="auto" w:fill="auto"/>
            <w:noWrap/>
          </w:tcPr>
          <w:p w14:paraId="5C0FF5CB" w14:textId="4CB56D0A" w:rsidR="00C36772" w:rsidRPr="00C36772" w:rsidRDefault="00C36772" w:rsidP="00C36772">
            <w:pPr>
              <w:spacing w:after="0" w:line="240" w:lineRule="auto"/>
              <w:ind w:left="113"/>
              <w:jc w:val="left"/>
              <w:rPr>
                <w:rFonts w:ascii="Arial" w:hAnsi="Arial" w:cs="Arial"/>
                <w:bCs/>
                <w:sz w:val="16"/>
                <w:szCs w:val="16"/>
              </w:rPr>
            </w:pPr>
            <w:r>
              <w:rPr>
                <w:rFonts w:ascii="Arial" w:hAnsi="Arial" w:cs="Arial"/>
                <w:sz w:val="16"/>
                <w:szCs w:val="16"/>
              </w:rPr>
              <w:t>Administered receipts</w:t>
            </w:r>
          </w:p>
        </w:tc>
        <w:tc>
          <w:tcPr>
            <w:tcW w:w="1085" w:type="dxa"/>
            <w:tcBorders>
              <w:left w:val="nil"/>
              <w:right w:val="nil"/>
            </w:tcBorders>
            <w:shd w:val="clear" w:color="auto" w:fill="auto"/>
            <w:noWrap/>
            <w:vAlign w:val="bottom"/>
          </w:tcPr>
          <w:p w14:paraId="6B554ADB" w14:textId="77777777" w:rsidR="00C36772" w:rsidRPr="003F22B1" w:rsidRDefault="00C36772" w:rsidP="00C36772">
            <w:pPr>
              <w:spacing w:after="0" w:line="240" w:lineRule="auto"/>
              <w:jc w:val="right"/>
              <w:rPr>
                <w:rFonts w:ascii="Arial" w:hAnsi="Arial" w:cs="Arial"/>
                <w:b/>
                <w:bCs/>
                <w:sz w:val="16"/>
                <w:szCs w:val="16"/>
              </w:rPr>
            </w:pPr>
          </w:p>
        </w:tc>
        <w:tc>
          <w:tcPr>
            <w:tcW w:w="860" w:type="dxa"/>
            <w:tcBorders>
              <w:left w:val="nil"/>
              <w:right w:val="nil"/>
            </w:tcBorders>
            <w:shd w:val="clear" w:color="auto" w:fill="E6E6E6"/>
            <w:noWrap/>
            <w:vAlign w:val="bottom"/>
          </w:tcPr>
          <w:p w14:paraId="422592CB" w14:textId="6090CC6A" w:rsidR="00C36772" w:rsidRPr="003F22B1"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9,000 </w:t>
            </w:r>
          </w:p>
        </w:tc>
        <w:tc>
          <w:tcPr>
            <w:tcW w:w="890" w:type="dxa"/>
            <w:tcBorders>
              <w:left w:val="nil"/>
              <w:right w:val="nil"/>
            </w:tcBorders>
            <w:shd w:val="clear" w:color="auto" w:fill="auto"/>
            <w:noWrap/>
            <w:vAlign w:val="bottom"/>
          </w:tcPr>
          <w:p w14:paraId="367D4A7E" w14:textId="2DFEF725" w:rsidR="00C36772" w:rsidRPr="003F22B1"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27,000 </w:t>
            </w:r>
          </w:p>
        </w:tc>
        <w:tc>
          <w:tcPr>
            <w:tcW w:w="851" w:type="dxa"/>
            <w:tcBorders>
              <w:left w:val="nil"/>
              <w:right w:val="nil"/>
            </w:tcBorders>
            <w:shd w:val="clear" w:color="auto" w:fill="E6E6E6"/>
            <w:noWrap/>
            <w:vAlign w:val="bottom"/>
          </w:tcPr>
          <w:p w14:paraId="7F9F87F4" w14:textId="295C0ADA" w:rsidR="00C36772" w:rsidRPr="003F22B1"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40,829 </w:t>
            </w:r>
          </w:p>
        </w:tc>
        <w:tc>
          <w:tcPr>
            <w:tcW w:w="850" w:type="dxa"/>
            <w:tcBorders>
              <w:left w:val="nil"/>
              <w:right w:val="nil"/>
            </w:tcBorders>
            <w:shd w:val="clear" w:color="auto" w:fill="auto"/>
            <w:noWrap/>
            <w:vAlign w:val="bottom"/>
          </w:tcPr>
          <w:p w14:paraId="262FA716" w14:textId="4B1920D1" w:rsidR="00C36772" w:rsidRPr="003F22B1"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89,637 </w:t>
            </w:r>
          </w:p>
        </w:tc>
      </w:tr>
      <w:tr w:rsidR="00C36772" w:rsidRPr="003F22B1" w14:paraId="20147E04" w14:textId="77777777" w:rsidTr="00313889">
        <w:trPr>
          <w:trHeight w:val="204"/>
        </w:trPr>
        <w:tc>
          <w:tcPr>
            <w:tcW w:w="2977" w:type="dxa"/>
            <w:tcBorders>
              <w:left w:val="nil"/>
              <w:right w:val="nil"/>
            </w:tcBorders>
            <w:shd w:val="clear" w:color="auto" w:fill="auto"/>
            <w:noWrap/>
          </w:tcPr>
          <w:p w14:paraId="37C21A3A" w14:textId="6724EFC6" w:rsidR="00C36772" w:rsidRPr="00C36772" w:rsidRDefault="00C36772" w:rsidP="00C36772">
            <w:pPr>
              <w:spacing w:after="0" w:line="240" w:lineRule="auto"/>
              <w:jc w:val="left"/>
              <w:rPr>
                <w:rFonts w:ascii="Arial" w:hAnsi="Arial" w:cs="Arial"/>
                <w:bCs/>
                <w:sz w:val="16"/>
                <w:szCs w:val="16"/>
              </w:rPr>
            </w:pPr>
            <w:r>
              <w:rPr>
                <w:rFonts w:ascii="Arial" w:hAnsi="Arial" w:cs="Arial"/>
                <w:b/>
                <w:bCs/>
                <w:sz w:val="16"/>
                <w:szCs w:val="16"/>
              </w:rPr>
              <w:t>Total</w:t>
            </w:r>
          </w:p>
        </w:tc>
        <w:tc>
          <w:tcPr>
            <w:tcW w:w="1085" w:type="dxa"/>
            <w:tcBorders>
              <w:left w:val="nil"/>
              <w:right w:val="nil"/>
            </w:tcBorders>
            <w:shd w:val="clear" w:color="auto" w:fill="auto"/>
            <w:noWrap/>
            <w:vAlign w:val="bottom"/>
          </w:tcPr>
          <w:p w14:paraId="2C74ECA7" w14:textId="77777777" w:rsidR="00C36772" w:rsidRPr="003F22B1" w:rsidRDefault="00C36772" w:rsidP="00C36772">
            <w:pPr>
              <w:spacing w:after="0" w:line="240" w:lineRule="auto"/>
              <w:jc w:val="right"/>
              <w:rPr>
                <w:rFonts w:ascii="Arial" w:hAnsi="Arial" w:cs="Arial"/>
                <w:b/>
                <w:bCs/>
                <w:sz w:val="16"/>
                <w:szCs w:val="16"/>
              </w:rPr>
            </w:pPr>
          </w:p>
        </w:tc>
        <w:tc>
          <w:tcPr>
            <w:tcW w:w="860" w:type="dxa"/>
            <w:tcBorders>
              <w:left w:val="nil"/>
              <w:bottom w:val="single" w:sz="4" w:space="0" w:color="auto"/>
              <w:right w:val="nil"/>
            </w:tcBorders>
            <w:shd w:val="clear" w:color="auto" w:fill="E6E6E6"/>
            <w:noWrap/>
            <w:vAlign w:val="bottom"/>
          </w:tcPr>
          <w:p w14:paraId="1CA78462" w14:textId="1E0CC0AE" w:rsidR="00C36772" w:rsidRPr="003F22B1" w:rsidRDefault="00C36772" w:rsidP="0010271A">
            <w:pPr>
              <w:spacing w:after="0" w:line="240" w:lineRule="auto"/>
              <w:ind w:right="57"/>
              <w:jc w:val="right"/>
              <w:rPr>
                <w:rFonts w:ascii="Arial" w:hAnsi="Arial" w:cs="Arial"/>
                <w:sz w:val="16"/>
                <w:szCs w:val="16"/>
              </w:rPr>
            </w:pPr>
            <w:r>
              <w:rPr>
                <w:rFonts w:ascii="Arial" w:hAnsi="Arial" w:cs="Arial"/>
                <w:b/>
                <w:bCs/>
                <w:sz w:val="16"/>
                <w:szCs w:val="16"/>
              </w:rPr>
              <w:t xml:space="preserve">9,000 </w:t>
            </w:r>
          </w:p>
        </w:tc>
        <w:tc>
          <w:tcPr>
            <w:tcW w:w="890" w:type="dxa"/>
            <w:tcBorders>
              <w:left w:val="nil"/>
              <w:bottom w:val="single" w:sz="4" w:space="0" w:color="auto"/>
              <w:right w:val="nil"/>
            </w:tcBorders>
            <w:shd w:val="clear" w:color="auto" w:fill="auto"/>
            <w:noWrap/>
            <w:vAlign w:val="bottom"/>
          </w:tcPr>
          <w:p w14:paraId="618E628A" w14:textId="6A488303" w:rsidR="00C36772" w:rsidRPr="003F22B1" w:rsidRDefault="00C36772" w:rsidP="0010271A">
            <w:pPr>
              <w:spacing w:after="0" w:line="240" w:lineRule="auto"/>
              <w:ind w:right="57"/>
              <w:jc w:val="right"/>
              <w:rPr>
                <w:rFonts w:ascii="Arial" w:hAnsi="Arial" w:cs="Arial"/>
                <w:sz w:val="16"/>
                <w:szCs w:val="16"/>
              </w:rPr>
            </w:pPr>
            <w:r>
              <w:rPr>
                <w:rFonts w:ascii="Arial" w:hAnsi="Arial" w:cs="Arial"/>
                <w:b/>
                <w:bCs/>
                <w:sz w:val="16"/>
                <w:szCs w:val="16"/>
              </w:rPr>
              <w:t xml:space="preserve">27,000 </w:t>
            </w:r>
          </w:p>
        </w:tc>
        <w:tc>
          <w:tcPr>
            <w:tcW w:w="851" w:type="dxa"/>
            <w:tcBorders>
              <w:left w:val="nil"/>
              <w:bottom w:val="single" w:sz="4" w:space="0" w:color="auto"/>
              <w:right w:val="nil"/>
            </w:tcBorders>
            <w:shd w:val="clear" w:color="auto" w:fill="E6E6E6"/>
            <w:noWrap/>
            <w:vAlign w:val="bottom"/>
          </w:tcPr>
          <w:p w14:paraId="2E673827" w14:textId="7AD705F1" w:rsidR="00C36772" w:rsidRPr="003F22B1" w:rsidRDefault="00C36772" w:rsidP="0010271A">
            <w:pPr>
              <w:spacing w:after="0" w:line="240" w:lineRule="auto"/>
              <w:ind w:right="57"/>
              <w:jc w:val="right"/>
              <w:rPr>
                <w:rFonts w:ascii="Arial" w:hAnsi="Arial" w:cs="Arial"/>
                <w:sz w:val="16"/>
                <w:szCs w:val="16"/>
              </w:rPr>
            </w:pPr>
            <w:r>
              <w:rPr>
                <w:rFonts w:ascii="Arial" w:hAnsi="Arial" w:cs="Arial"/>
                <w:b/>
                <w:bCs/>
                <w:sz w:val="16"/>
                <w:szCs w:val="16"/>
              </w:rPr>
              <w:t xml:space="preserve">40,829 </w:t>
            </w:r>
          </w:p>
        </w:tc>
        <w:tc>
          <w:tcPr>
            <w:tcW w:w="850" w:type="dxa"/>
            <w:tcBorders>
              <w:left w:val="nil"/>
              <w:bottom w:val="single" w:sz="4" w:space="0" w:color="auto"/>
              <w:right w:val="nil"/>
            </w:tcBorders>
            <w:shd w:val="clear" w:color="auto" w:fill="auto"/>
            <w:noWrap/>
            <w:vAlign w:val="bottom"/>
          </w:tcPr>
          <w:p w14:paraId="48E1F8D9" w14:textId="260BF86C" w:rsidR="00C36772" w:rsidRPr="003F22B1" w:rsidRDefault="00C36772" w:rsidP="0010271A">
            <w:pPr>
              <w:spacing w:after="0" w:line="240" w:lineRule="auto"/>
              <w:ind w:right="57"/>
              <w:jc w:val="right"/>
              <w:rPr>
                <w:rFonts w:ascii="Arial" w:hAnsi="Arial" w:cs="Arial"/>
                <w:sz w:val="16"/>
                <w:szCs w:val="16"/>
              </w:rPr>
            </w:pPr>
            <w:r>
              <w:rPr>
                <w:rFonts w:ascii="Arial" w:hAnsi="Arial" w:cs="Arial"/>
                <w:b/>
                <w:bCs/>
                <w:sz w:val="16"/>
                <w:szCs w:val="16"/>
              </w:rPr>
              <w:t xml:space="preserve">89,637 </w:t>
            </w:r>
          </w:p>
        </w:tc>
      </w:tr>
      <w:tr w:rsidR="00C36772" w:rsidRPr="00C36772" w14:paraId="4BC9E235" w14:textId="77777777" w:rsidTr="00313889">
        <w:trPr>
          <w:trHeight w:val="204"/>
        </w:trPr>
        <w:tc>
          <w:tcPr>
            <w:tcW w:w="2977" w:type="dxa"/>
            <w:tcBorders>
              <w:left w:val="nil"/>
              <w:right w:val="nil"/>
            </w:tcBorders>
            <w:shd w:val="clear" w:color="auto" w:fill="auto"/>
            <w:noWrap/>
          </w:tcPr>
          <w:p w14:paraId="16DDA81F" w14:textId="7353D0FC" w:rsidR="00C36772" w:rsidRPr="00C36772" w:rsidRDefault="00C36772" w:rsidP="00C36772">
            <w:pPr>
              <w:spacing w:after="0" w:line="240" w:lineRule="auto"/>
              <w:jc w:val="left"/>
              <w:rPr>
                <w:rFonts w:ascii="Arial" w:hAnsi="Arial" w:cs="Arial"/>
                <w:b/>
                <w:bCs/>
                <w:sz w:val="16"/>
                <w:szCs w:val="16"/>
              </w:rPr>
            </w:pPr>
            <w:r w:rsidRPr="00C36772">
              <w:rPr>
                <w:rFonts w:ascii="Arial" w:hAnsi="Arial" w:cs="Arial"/>
                <w:b/>
                <w:bCs/>
                <w:sz w:val="16"/>
                <w:szCs w:val="16"/>
              </w:rPr>
              <w:t>Total receipt measures</w:t>
            </w:r>
          </w:p>
        </w:tc>
        <w:tc>
          <w:tcPr>
            <w:tcW w:w="1085" w:type="dxa"/>
            <w:tcBorders>
              <w:left w:val="nil"/>
              <w:right w:val="nil"/>
            </w:tcBorders>
            <w:shd w:val="clear" w:color="auto" w:fill="auto"/>
            <w:noWrap/>
            <w:vAlign w:val="bottom"/>
          </w:tcPr>
          <w:p w14:paraId="50876BAD" w14:textId="77777777" w:rsidR="00C36772" w:rsidRPr="00C36772" w:rsidRDefault="00C36772" w:rsidP="00C36772">
            <w:pPr>
              <w:spacing w:after="0" w:line="240" w:lineRule="auto"/>
              <w:jc w:val="right"/>
              <w:rPr>
                <w:rFonts w:ascii="Arial" w:hAnsi="Arial" w:cs="Arial"/>
                <w:bCs/>
                <w:sz w:val="16"/>
                <w:szCs w:val="16"/>
              </w:rPr>
            </w:pPr>
          </w:p>
        </w:tc>
        <w:tc>
          <w:tcPr>
            <w:tcW w:w="860" w:type="dxa"/>
            <w:tcBorders>
              <w:top w:val="single" w:sz="4" w:space="0" w:color="auto"/>
              <w:left w:val="nil"/>
              <w:right w:val="nil"/>
            </w:tcBorders>
            <w:shd w:val="clear" w:color="auto" w:fill="E6E6E6"/>
            <w:noWrap/>
            <w:vAlign w:val="bottom"/>
          </w:tcPr>
          <w:p w14:paraId="763AB173" w14:textId="4B42FAA9" w:rsidR="00C36772" w:rsidRPr="00C36772" w:rsidRDefault="00C36772" w:rsidP="0010271A">
            <w:pPr>
              <w:spacing w:after="0" w:line="240" w:lineRule="auto"/>
              <w:ind w:right="57"/>
              <w:jc w:val="right"/>
              <w:rPr>
                <w:rFonts w:ascii="Arial" w:hAnsi="Arial" w:cs="Arial"/>
                <w:bCs/>
                <w:sz w:val="16"/>
                <w:szCs w:val="16"/>
              </w:rPr>
            </w:pPr>
            <w:r>
              <w:rPr>
                <w:rFonts w:ascii="Arial" w:hAnsi="Arial" w:cs="Arial"/>
                <w:sz w:val="16"/>
                <w:szCs w:val="16"/>
              </w:rPr>
              <w:t> </w:t>
            </w:r>
          </w:p>
        </w:tc>
        <w:tc>
          <w:tcPr>
            <w:tcW w:w="890" w:type="dxa"/>
            <w:tcBorders>
              <w:top w:val="single" w:sz="4" w:space="0" w:color="auto"/>
              <w:left w:val="nil"/>
              <w:right w:val="nil"/>
            </w:tcBorders>
            <w:shd w:val="clear" w:color="auto" w:fill="auto"/>
            <w:noWrap/>
            <w:vAlign w:val="bottom"/>
          </w:tcPr>
          <w:p w14:paraId="44B66E4E" w14:textId="6396F617" w:rsidR="00C36772" w:rsidRPr="00C36772" w:rsidRDefault="00C36772" w:rsidP="0010271A">
            <w:pPr>
              <w:spacing w:after="0" w:line="240" w:lineRule="auto"/>
              <w:ind w:right="57"/>
              <w:jc w:val="right"/>
              <w:rPr>
                <w:rFonts w:ascii="Arial" w:hAnsi="Arial" w:cs="Arial"/>
                <w:bCs/>
                <w:sz w:val="16"/>
                <w:szCs w:val="16"/>
              </w:rPr>
            </w:pPr>
            <w:r>
              <w:rPr>
                <w:rFonts w:ascii="Arial" w:hAnsi="Arial" w:cs="Arial"/>
                <w:sz w:val="16"/>
                <w:szCs w:val="16"/>
              </w:rPr>
              <w:t> </w:t>
            </w:r>
          </w:p>
        </w:tc>
        <w:tc>
          <w:tcPr>
            <w:tcW w:w="851" w:type="dxa"/>
            <w:tcBorders>
              <w:top w:val="single" w:sz="4" w:space="0" w:color="auto"/>
              <w:left w:val="nil"/>
              <w:right w:val="nil"/>
            </w:tcBorders>
            <w:shd w:val="clear" w:color="auto" w:fill="E6E6E6"/>
            <w:noWrap/>
            <w:vAlign w:val="bottom"/>
          </w:tcPr>
          <w:p w14:paraId="25B284F9" w14:textId="316BC23F" w:rsidR="00C36772" w:rsidRPr="00C36772" w:rsidRDefault="00C36772" w:rsidP="0010271A">
            <w:pPr>
              <w:spacing w:after="0" w:line="240" w:lineRule="auto"/>
              <w:ind w:right="57"/>
              <w:jc w:val="right"/>
              <w:rPr>
                <w:rFonts w:ascii="Arial" w:hAnsi="Arial" w:cs="Arial"/>
                <w:bCs/>
                <w:sz w:val="16"/>
                <w:szCs w:val="16"/>
              </w:rPr>
            </w:pPr>
            <w:r>
              <w:rPr>
                <w:rFonts w:ascii="Arial" w:hAnsi="Arial" w:cs="Arial"/>
                <w:sz w:val="16"/>
                <w:szCs w:val="16"/>
              </w:rPr>
              <w:t> </w:t>
            </w:r>
          </w:p>
        </w:tc>
        <w:tc>
          <w:tcPr>
            <w:tcW w:w="850" w:type="dxa"/>
            <w:tcBorders>
              <w:top w:val="single" w:sz="4" w:space="0" w:color="auto"/>
              <w:left w:val="nil"/>
              <w:right w:val="nil"/>
            </w:tcBorders>
            <w:shd w:val="clear" w:color="auto" w:fill="auto"/>
            <w:noWrap/>
            <w:vAlign w:val="bottom"/>
          </w:tcPr>
          <w:p w14:paraId="4CA407BE" w14:textId="0E07C853" w:rsidR="00C36772" w:rsidRPr="00C36772" w:rsidRDefault="00C36772" w:rsidP="0010271A">
            <w:pPr>
              <w:spacing w:after="0" w:line="240" w:lineRule="auto"/>
              <w:ind w:right="57"/>
              <w:jc w:val="right"/>
              <w:rPr>
                <w:rFonts w:ascii="Arial" w:hAnsi="Arial" w:cs="Arial"/>
                <w:bCs/>
                <w:sz w:val="16"/>
                <w:szCs w:val="16"/>
              </w:rPr>
            </w:pPr>
            <w:r>
              <w:rPr>
                <w:rFonts w:ascii="Arial" w:hAnsi="Arial" w:cs="Arial"/>
                <w:sz w:val="16"/>
                <w:szCs w:val="16"/>
              </w:rPr>
              <w:t> </w:t>
            </w:r>
          </w:p>
        </w:tc>
      </w:tr>
      <w:tr w:rsidR="00C36772" w:rsidRPr="003F22B1" w14:paraId="218142B9" w14:textId="77777777" w:rsidTr="00313889">
        <w:trPr>
          <w:trHeight w:val="204"/>
        </w:trPr>
        <w:tc>
          <w:tcPr>
            <w:tcW w:w="2977" w:type="dxa"/>
            <w:tcBorders>
              <w:left w:val="nil"/>
              <w:right w:val="nil"/>
            </w:tcBorders>
            <w:shd w:val="clear" w:color="auto" w:fill="auto"/>
            <w:noWrap/>
          </w:tcPr>
          <w:p w14:paraId="22BCA44A" w14:textId="718554DF" w:rsidR="00C36772" w:rsidRPr="00C36772" w:rsidRDefault="00C36772" w:rsidP="00B9799F">
            <w:pPr>
              <w:spacing w:after="0" w:line="240" w:lineRule="auto"/>
              <w:ind w:left="113"/>
              <w:jc w:val="left"/>
              <w:rPr>
                <w:rFonts w:ascii="Arial" w:hAnsi="Arial" w:cs="Arial"/>
                <w:bCs/>
                <w:sz w:val="16"/>
                <w:szCs w:val="16"/>
              </w:rPr>
            </w:pPr>
            <w:r w:rsidRPr="00C36772">
              <w:rPr>
                <w:rFonts w:ascii="Arial" w:hAnsi="Arial" w:cs="Arial"/>
                <w:sz w:val="16"/>
                <w:szCs w:val="16"/>
              </w:rPr>
              <w:t>Administered</w:t>
            </w:r>
          </w:p>
        </w:tc>
        <w:tc>
          <w:tcPr>
            <w:tcW w:w="1085" w:type="dxa"/>
            <w:tcBorders>
              <w:left w:val="nil"/>
              <w:right w:val="nil"/>
            </w:tcBorders>
            <w:shd w:val="clear" w:color="auto" w:fill="auto"/>
            <w:noWrap/>
            <w:vAlign w:val="bottom"/>
          </w:tcPr>
          <w:p w14:paraId="39F76ACC" w14:textId="77777777" w:rsidR="00C36772" w:rsidRPr="00C36772" w:rsidRDefault="00C36772" w:rsidP="00C36772">
            <w:pPr>
              <w:spacing w:after="0" w:line="240" w:lineRule="auto"/>
              <w:jc w:val="right"/>
              <w:rPr>
                <w:rFonts w:ascii="Arial" w:hAnsi="Arial" w:cs="Arial"/>
                <w:bCs/>
                <w:sz w:val="16"/>
                <w:szCs w:val="16"/>
              </w:rPr>
            </w:pPr>
          </w:p>
        </w:tc>
        <w:tc>
          <w:tcPr>
            <w:tcW w:w="860" w:type="dxa"/>
            <w:tcBorders>
              <w:left w:val="nil"/>
              <w:right w:val="nil"/>
            </w:tcBorders>
            <w:shd w:val="clear" w:color="auto" w:fill="E6E6E6"/>
            <w:noWrap/>
            <w:vAlign w:val="bottom"/>
          </w:tcPr>
          <w:p w14:paraId="63C8EBA0" w14:textId="5B9CDF08" w:rsidR="00C36772" w:rsidRPr="00C36772" w:rsidRDefault="00C36772" w:rsidP="0010271A">
            <w:pPr>
              <w:spacing w:after="0" w:line="240" w:lineRule="auto"/>
              <w:ind w:right="57"/>
              <w:jc w:val="right"/>
              <w:rPr>
                <w:rFonts w:ascii="Arial" w:hAnsi="Arial" w:cs="Arial"/>
                <w:bCs/>
                <w:sz w:val="16"/>
                <w:szCs w:val="16"/>
              </w:rPr>
            </w:pPr>
            <w:r>
              <w:rPr>
                <w:rFonts w:ascii="Arial" w:hAnsi="Arial" w:cs="Arial"/>
                <w:sz w:val="16"/>
                <w:szCs w:val="16"/>
              </w:rPr>
              <w:t xml:space="preserve">9,000 </w:t>
            </w:r>
          </w:p>
        </w:tc>
        <w:tc>
          <w:tcPr>
            <w:tcW w:w="890" w:type="dxa"/>
            <w:tcBorders>
              <w:left w:val="nil"/>
              <w:right w:val="nil"/>
            </w:tcBorders>
            <w:shd w:val="clear" w:color="auto" w:fill="auto"/>
            <w:noWrap/>
            <w:vAlign w:val="bottom"/>
          </w:tcPr>
          <w:p w14:paraId="2E0438F6" w14:textId="2C252FAB" w:rsidR="00C36772" w:rsidRPr="00C36772" w:rsidRDefault="00C36772" w:rsidP="0010271A">
            <w:pPr>
              <w:spacing w:after="0" w:line="240" w:lineRule="auto"/>
              <w:ind w:right="57"/>
              <w:jc w:val="right"/>
              <w:rPr>
                <w:rFonts w:ascii="Arial" w:hAnsi="Arial" w:cs="Arial"/>
                <w:bCs/>
                <w:sz w:val="16"/>
                <w:szCs w:val="16"/>
              </w:rPr>
            </w:pPr>
            <w:r>
              <w:rPr>
                <w:rFonts w:ascii="Arial" w:hAnsi="Arial" w:cs="Arial"/>
                <w:sz w:val="16"/>
                <w:szCs w:val="16"/>
              </w:rPr>
              <w:t xml:space="preserve">27,000 </w:t>
            </w:r>
          </w:p>
        </w:tc>
        <w:tc>
          <w:tcPr>
            <w:tcW w:w="851" w:type="dxa"/>
            <w:tcBorders>
              <w:left w:val="nil"/>
              <w:right w:val="nil"/>
            </w:tcBorders>
            <w:shd w:val="clear" w:color="auto" w:fill="E6E6E6"/>
            <w:noWrap/>
            <w:vAlign w:val="bottom"/>
          </w:tcPr>
          <w:p w14:paraId="7309F50E" w14:textId="29A26CF8" w:rsidR="00C36772" w:rsidRPr="00C36772" w:rsidRDefault="00C36772" w:rsidP="0010271A">
            <w:pPr>
              <w:spacing w:after="0" w:line="240" w:lineRule="auto"/>
              <w:ind w:right="57"/>
              <w:jc w:val="right"/>
              <w:rPr>
                <w:rFonts w:ascii="Arial" w:hAnsi="Arial" w:cs="Arial"/>
                <w:bCs/>
                <w:sz w:val="16"/>
                <w:szCs w:val="16"/>
              </w:rPr>
            </w:pPr>
            <w:r>
              <w:rPr>
                <w:rFonts w:ascii="Arial" w:hAnsi="Arial" w:cs="Arial"/>
                <w:sz w:val="16"/>
                <w:szCs w:val="16"/>
              </w:rPr>
              <w:t xml:space="preserve">40,829 </w:t>
            </w:r>
          </w:p>
        </w:tc>
        <w:tc>
          <w:tcPr>
            <w:tcW w:w="850" w:type="dxa"/>
            <w:tcBorders>
              <w:left w:val="nil"/>
              <w:right w:val="nil"/>
            </w:tcBorders>
            <w:shd w:val="clear" w:color="auto" w:fill="auto"/>
            <w:noWrap/>
            <w:vAlign w:val="bottom"/>
          </w:tcPr>
          <w:p w14:paraId="600B030F" w14:textId="573B2243" w:rsidR="00C36772" w:rsidRPr="00C36772" w:rsidRDefault="00C36772" w:rsidP="0010271A">
            <w:pPr>
              <w:spacing w:after="0" w:line="240" w:lineRule="auto"/>
              <w:ind w:right="57"/>
              <w:jc w:val="right"/>
              <w:rPr>
                <w:rFonts w:ascii="Arial" w:hAnsi="Arial" w:cs="Arial"/>
                <w:bCs/>
                <w:sz w:val="16"/>
                <w:szCs w:val="16"/>
              </w:rPr>
            </w:pPr>
            <w:r>
              <w:rPr>
                <w:rFonts w:ascii="Arial" w:hAnsi="Arial" w:cs="Arial"/>
                <w:sz w:val="16"/>
                <w:szCs w:val="16"/>
              </w:rPr>
              <w:t xml:space="preserve">89,637 </w:t>
            </w:r>
          </w:p>
        </w:tc>
      </w:tr>
      <w:tr w:rsidR="00C36772" w:rsidRPr="003F22B1" w14:paraId="67CAD766" w14:textId="77777777" w:rsidTr="00313889">
        <w:trPr>
          <w:trHeight w:val="204"/>
        </w:trPr>
        <w:tc>
          <w:tcPr>
            <w:tcW w:w="2977" w:type="dxa"/>
            <w:tcBorders>
              <w:left w:val="nil"/>
              <w:right w:val="nil"/>
            </w:tcBorders>
            <w:shd w:val="clear" w:color="auto" w:fill="auto"/>
            <w:noWrap/>
          </w:tcPr>
          <w:p w14:paraId="61F86A07" w14:textId="2315DCA2" w:rsidR="00C36772" w:rsidRPr="00C36772" w:rsidRDefault="00C36772" w:rsidP="00C36772">
            <w:pPr>
              <w:spacing w:after="0" w:line="240" w:lineRule="auto"/>
              <w:jc w:val="left"/>
              <w:rPr>
                <w:rFonts w:ascii="Arial" w:hAnsi="Arial" w:cs="Arial"/>
                <w:b/>
                <w:bCs/>
                <w:sz w:val="16"/>
                <w:szCs w:val="16"/>
              </w:rPr>
            </w:pPr>
            <w:r w:rsidRPr="00C36772">
              <w:rPr>
                <w:rFonts w:ascii="Arial" w:hAnsi="Arial" w:cs="Arial"/>
                <w:b/>
                <w:bCs/>
                <w:sz w:val="16"/>
                <w:szCs w:val="16"/>
              </w:rPr>
              <w:t>Total</w:t>
            </w:r>
          </w:p>
        </w:tc>
        <w:tc>
          <w:tcPr>
            <w:tcW w:w="1085" w:type="dxa"/>
            <w:tcBorders>
              <w:left w:val="nil"/>
              <w:right w:val="nil"/>
            </w:tcBorders>
            <w:shd w:val="clear" w:color="auto" w:fill="auto"/>
            <w:noWrap/>
            <w:vAlign w:val="bottom"/>
          </w:tcPr>
          <w:p w14:paraId="12088648" w14:textId="77777777" w:rsidR="00C36772" w:rsidRPr="00C36772" w:rsidRDefault="00C36772" w:rsidP="00C36772">
            <w:pPr>
              <w:spacing w:after="0" w:line="240" w:lineRule="auto"/>
              <w:jc w:val="right"/>
              <w:rPr>
                <w:rFonts w:ascii="Arial" w:hAnsi="Arial" w:cs="Arial"/>
                <w:bCs/>
                <w:sz w:val="16"/>
                <w:szCs w:val="16"/>
              </w:rPr>
            </w:pPr>
          </w:p>
        </w:tc>
        <w:tc>
          <w:tcPr>
            <w:tcW w:w="860" w:type="dxa"/>
            <w:tcBorders>
              <w:left w:val="nil"/>
              <w:bottom w:val="single" w:sz="4" w:space="0" w:color="auto"/>
              <w:right w:val="nil"/>
            </w:tcBorders>
            <w:shd w:val="clear" w:color="auto" w:fill="E6E6E6"/>
            <w:noWrap/>
            <w:vAlign w:val="bottom"/>
          </w:tcPr>
          <w:p w14:paraId="6C1435AC" w14:textId="129E38B6" w:rsidR="00C36772" w:rsidRPr="00C36772" w:rsidRDefault="00C36772" w:rsidP="0010271A">
            <w:pPr>
              <w:spacing w:after="0" w:line="240" w:lineRule="auto"/>
              <w:ind w:right="57"/>
              <w:jc w:val="right"/>
              <w:rPr>
                <w:rFonts w:ascii="Arial" w:hAnsi="Arial" w:cs="Arial"/>
                <w:bCs/>
                <w:sz w:val="16"/>
                <w:szCs w:val="16"/>
              </w:rPr>
            </w:pPr>
            <w:r>
              <w:rPr>
                <w:rFonts w:ascii="Arial" w:hAnsi="Arial" w:cs="Arial"/>
                <w:b/>
                <w:bCs/>
                <w:sz w:val="16"/>
                <w:szCs w:val="16"/>
              </w:rPr>
              <w:t xml:space="preserve">9,000 </w:t>
            </w:r>
          </w:p>
        </w:tc>
        <w:tc>
          <w:tcPr>
            <w:tcW w:w="890" w:type="dxa"/>
            <w:tcBorders>
              <w:left w:val="nil"/>
              <w:bottom w:val="single" w:sz="4" w:space="0" w:color="auto"/>
              <w:right w:val="nil"/>
            </w:tcBorders>
            <w:shd w:val="clear" w:color="auto" w:fill="auto"/>
            <w:noWrap/>
            <w:vAlign w:val="bottom"/>
          </w:tcPr>
          <w:p w14:paraId="5E5BE631" w14:textId="5AF265D2" w:rsidR="00C36772" w:rsidRPr="00C36772" w:rsidRDefault="00C36772" w:rsidP="0010271A">
            <w:pPr>
              <w:spacing w:after="0" w:line="240" w:lineRule="auto"/>
              <w:ind w:right="57"/>
              <w:jc w:val="right"/>
              <w:rPr>
                <w:rFonts w:ascii="Arial" w:hAnsi="Arial" w:cs="Arial"/>
                <w:bCs/>
                <w:sz w:val="16"/>
                <w:szCs w:val="16"/>
              </w:rPr>
            </w:pPr>
            <w:r>
              <w:rPr>
                <w:rFonts w:ascii="Arial" w:hAnsi="Arial" w:cs="Arial"/>
                <w:b/>
                <w:bCs/>
                <w:sz w:val="16"/>
                <w:szCs w:val="16"/>
              </w:rPr>
              <w:t xml:space="preserve">27,000 </w:t>
            </w:r>
          </w:p>
        </w:tc>
        <w:tc>
          <w:tcPr>
            <w:tcW w:w="851" w:type="dxa"/>
            <w:tcBorders>
              <w:left w:val="nil"/>
              <w:bottom w:val="single" w:sz="4" w:space="0" w:color="auto"/>
              <w:right w:val="nil"/>
            </w:tcBorders>
            <w:shd w:val="clear" w:color="auto" w:fill="E6E6E6"/>
            <w:noWrap/>
            <w:vAlign w:val="bottom"/>
          </w:tcPr>
          <w:p w14:paraId="069AD66C" w14:textId="203922FA" w:rsidR="00C36772" w:rsidRPr="00C36772" w:rsidRDefault="00C36772" w:rsidP="0010271A">
            <w:pPr>
              <w:spacing w:after="0" w:line="240" w:lineRule="auto"/>
              <w:ind w:right="57"/>
              <w:jc w:val="right"/>
              <w:rPr>
                <w:rFonts w:ascii="Arial" w:hAnsi="Arial" w:cs="Arial"/>
                <w:bCs/>
                <w:sz w:val="16"/>
                <w:szCs w:val="16"/>
              </w:rPr>
            </w:pPr>
            <w:r>
              <w:rPr>
                <w:rFonts w:ascii="Arial" w:hAnsi="Arial" w:cs="Arial"/>
                <w:b/>
                <w:bCs/>
                <w:sz w:val="16"/>
                <w:szCs w:val="16"/>
              </w:rPr>
              <w:t xml:space="preserve">40,829 </w:t>
            </w:r>
          </w:p>
        </w:tc>
        <w:tc>
          <w:tcPr>
            <w:tcW w:w="850" w:type="dxa"/>
            <w:tcBorders>
              <w:left w:val="nil"/>
              <w:bottom w:val="single" w:sz="4" w:space="0" w:color="auto"/>
              <w:right w:val="nil"/>
            </w:tcBorders>
            <w:shd w:val="clear" w:color="auto" w:fill="auto"/>
            <w:noWrap/>
            <w:vAlign w:val="bottom"/>
          </w:tcPr>
          <w:p w14:paraId="7D20A0EE" w14:textId="4AFF83B2" w:rsidR="00C36772" w:rsidRPr="00C36772" w:rsidRDefault="00C36772" w:rsidP="0010271A">
            <w:pPr>
              <w:spacing w:after="0" w:line="240" w:lineRule="auto"/>
              <w:ind w:right="57"/>
              <w:jc w:val="right"/>
              <w:rPr>
                <w:rFonts w:ascii="Arial" w:hAnsi="Arial" w:cs="Arial"/>
                <w:bCs/>
                <w:sz w:val="16"/>
                <w:szCs w:val="16"/>
              </w:rPr>
            </w:pPr>
            <w:r>
              <w:rPr>
                <w:rFonts w:ascii="Arial" w:hAnsi="Arial" w:cs="Arial"/>
                <w:b/>
                <w:bCs/>
                <w:sz w:val="16"/>
                <w:szCs w:val="16"/>
              </w:rPr>
              <w:t xml:space="preserve">89,637 </w:t>
            </w:r>
          </w:p>
        </w:tc>
      </w:tr>
      <w:tr w:rsidR="00DC32E8" w:rsidRPr="003F22B1" w14:paraId="3FFA0654" w14:textId="77777777" w:rsidTr="00313889">
        <w:trPr>
          <w:trHeight w:val="204"/>
        </w:trPr>
        <w:tc>
          <w:tcPr>
            <w:tcW w:w="2977" w:type="dxa"/>
            <w:tcBorders>
              <w:left w:val="nil"/>
              <w:bottom w:val="nil"/>
              <w:right w:val="nil"/>
            </w:tcBorders>
            <w:shd w:val="clear" w:color="auto" w:fill="auto"/>
            <w:noWrap/>
            <w:vAlign w:val="bottom"/>
            <w:hideMark/>
          </w:tcPr>
          <w:p w14:paraId="71C6C518" w14:textId="57C0543E" w:rsidR="0033098C" w:rsidRPr="003F22B1" w:rsidRDefault="0033098C" w:rsidP="00313889">
            <w:pPr>
              <w:spacing w:before="120" w:after="0" w:line="240" w:lineRule="auto"/>
              <w:jc w:val="left"/>
              <w:rPr>
                <w:rFonts w:ascii="Arial" w:hAnsi="Arial" w:cs="Arial"/>
                <w:b/>
                <w:bCs/>
                <w:sz w:val="16"/>
                <w:szCs w:val="16"/>
              </w:rPr>
            </w:pPr>
            <w:r>
              <w:rPr>
                <w:rFonts w:ascii="Arial" w:hAnsi="Arial" w:cs="Arial"/>
                <w:b/>
                <w:bCs/>
                <w:sz w:val="16"/>
                <w:szCs w:val="16"/>
              </w:rPr>
              <w:t>Payment measures</w:t>
            </w:r>
          </w:p>
        </w:tc>
        <w:tc>
          <w:tcPr>
            <w:tcW w:w="1085" w:type="dxa"/>
            <w:tcBorders>
              <w:left w:val="nil"/>
              <w:bottom w:val="nil"/>
              <w:right w:val="nil"/>
            </w:tcBorders>
            <w:shd w:val="clear" w:color="auto" w:fill="auto"/>
            <w:noWrap/>
            <w:vAlign w:val="bottom"/>
            <w:hideMark/>
          </w:tcPr>
          <w:p w14:paraId="71841C82" w14:textId="77777777" w:rsidR="0033098C" w:rsidRPr="003F22B1" w:rsidRDefault="0033098C" w:rsidP="00F62270">
            <w:pPr>
              <w:spacing w:after="0" w:line="240" w:lineRule="auto"/>
              <w:jc w:val="right"/>
              <w:rPr>
                <w:rFonts w:ascii="Arial" w:hAnsi="Arial" w:cs="Arial"/>
                <w:b/>
                <w:bCs/>
                <w:sz w:val="16"/>
                <w:szCs w:val="16"/>
              </w:rPr>
            </w:pPr>
          </w:p>
        </w:tc>
        <w:tc>
          <w:tcPr>
            <w:tcW w:w="860" w:type="dxa"/>
            <w:tcBorders>
              <w:top w:val="single" w:sz="4" w:space="0" w:color="auto"/>
              <w:left w:val="nil"/>
              <w:bottom w:val="nil"/>
              <w:right w:val="nil"/>
            </w:tcBorders>
            <w:shd w:val="clear" w:color="auto" w:fill="E6E6E6"/>
            <w:noWrap/>
            <w:vAlign w:val="bottom"/>
            <w:hideMark/>
          </w:tcPr>
          <w:p w14:paraId="74468B8D" w14:textId="1D0AAD45" w:rsidR="0033098C" w:rsidRPr="003F22B1" w:rsidRDefault="0033098C" w:rsidP="0010271A">
            <w:pPr>
              <w:spacing w:after="0" w:line="240" w:lineRule="auto"/>
              <w:ind w:right="57"/>
              <w:jc w:val="right"/>
              <w:rPr>
                <w:rFonts w:ascii="Arial" w:hAnsi="Arial" w:cs="Arial"/>
                <w:sz w:val="16"/>
                <w:szCs w:val="16"/>
              </w:rPr>
            </w:pPr>
          </w:p>
        </w:tc>
        <w:tc>
          <w:tcPr>
            <w:tcW w:w="890" w:type="dxa"/>
            <w:tcBorders>
              <w:top w:val="single" w:sz="4" w:space="0" w:color="auto"/>
              <w:left w:val="nil"/>
              <w:bottom w:val="nil"/>
              <w:right w:val="nil"/>
            </w:tcBorders>
            <w:shd w:val="clear" w:color="auto" w:fill="auto"/>
            <w:noWrap/>
            <w:vAlign w:val="bottom"/>
            <w:hideMark/>
          </w:tcPr>
          <w:p w14:paraId="5164A8D1" w14:textId="77777777" w:rsidR="0033098C" w:rsidRPr="003F22B1" w:rsidRDefault="0033098C" w:rsidP="0010271A">
            <w:pPr>
              <w:spacing w:after="0" w:line="240" w:lineRule="auto"/>
              <w:ind w:right="57"/>
              <w:jc w:val="right"/>
              <w:rPr>
                <w:rFonts w:ascii="Arial" w:hAnsi="Arial" w:cs="Arial"/>
                <w:sz w:val="16"/>
                <w:szCs w:val="16"/>
              </w:rPr>
            </w:pPr>
          </w:p>
        </w:tc>
        <w:tc>
          <w:tcPr>
            <w:tcW w:w="851" w:type="dxa"/>
            <w:tcBorders>
              <w:top w:val="single" w:sz="4" w:space="0" w:color="auto"/>
              <w:left w:val="nil"/>
              <w:bottom w:val="nil"/>
              <w:right w:val="nil"/>
            </w:tcBorders>
            <w:shd w:val="clear" w:color="auto" w:fill="E6E6E6"/>
            <w:noWrap/>
            <w:vAlign w:val="bottom"/>
            <w:hideMark/>
          </w:tcPr>
          <w:p w14:paraId="1DAD38DD" w14:textId="3DA5E50B" w:rsidR="0033098C" w:rsidRPr="003F22B1" w:rsidRDefault="0033098C" w:rsidP="0010271A">
            <w:pPr>
              <w:spacing w:after="0" w:line="240" w:lineRule="auto"/>
              <w:ind w:right="57"/>
              <w:jc w:val="right"/>
              <w:rPr>
                <w:rFonts w:ascii="Arial" w:hAnsi="Arial" w:cs="Arial"/>
                <w:sz w:val="16"/>
                <w:szCs w:val="16"/>
              </w:rPr>
            </w:pPr>
          </w:p>
        </w:tc>
        <w:tc>
          <w:tcPr>
            <w:tcW w:w="850" w:type="dxa"/>
            <w:tcBorders>
              <w:top w:val="single" w:sz="4" w:space="0" w:color="auto"/>
              <w:left w:val="nil"/>
              <w:bottom w:val="nil"/>
              <w:right w:val="nil"/>
            </w:tcBorders>
            <w:shd w:val="clear" w:color="auto" w:fill="auto"/>
            <w:noWrap/>
            <w:vAlign w:val="bottom"/>
            <w:hideMark/>
          </w:tcPr>
          <w:p w14:paraId="196B2F15" w14:textId="77777777" w:rsidR="0033098C" w:rsidRPr="003F22B1" w:rsidRDefault="0033098C" w:rsidP="0010271A">
            <w:pPr>
              <w:spacing w:after="0" w:line="240" w:lineRule="auto"/>
              <w:ind w:right="57"/>
              <w:jc w:val="right"/>
              <w:rPr>
                <w:rFonts w:ascii="Arial" w:hAnsi="Arial" w:cs="Arial"/>
                <w:sz w:val="16"/>
                <w:szCs w:val="16"/>
              </w:rPr>
            </w:pPr>
          </w:p>
        </w:tc>
      </w:tr>
      <w:tr w:rsidR="00DC32E8" w:rsidRPr="003F22B1" w14:paraId="7C988B48" w14:textId="77777777" w:rsidTr="00C36772">
        <w:trPr>
          <w:trHeight w:val="204"/>
        </w:trPr>
        <w:tc>
          <w:tcPr>
            <w:tcW w:w="2977" w:type="dxa"/>
            <w:tcBorders>
              <w:top w:val="nil"/>
              <w:left w:val="nil"/>
              <w:bottom w:val="nil"/>
              <w:right w:val="nil"/>
            </w:tcBorders>
            <w:shd w:val="clear" w:color="000000" w:fill="FFFFFF"/>
            <w:vAlign w:val="bottom"/>
            <w:hideMark/>
          </w:tcPr>
          <w:p w14:paraId="7B3A799F" w14:textId="2B29C935" w:rsidR="00E903AC" w:rsidRPr="003F22B1" w:rsidRDefault="00E903AC" w:rsidP="00E903AC">
            <w:pPr>
              <w:spacing w:after="0" w:line="240" w:lineRule="auto"/>
              <w:jc w:val="left"/>
              <w:rPr>
                <w:rFonts w:ascii="Arial" w:hAnsi="Arial" w:cs="Arial"/>
                <w:sz w:val="16"/>
                <w:szCs w:val="16"/>
              </w:rPr>
            </w:pPr>
            <w:r w:rsidRPr="0033098C">
              <w:rPr>
                <w:rFonts w:ascii="Arial" w:hAnsi="Arial" w:cs="Arial"/>
                <w:sz w:val="16"/>
                <w:szCs w:val="16"/>
              </w:rPr>
              <w:t>Australian Trade System Support</w:t>
            </w:r>
          </w:p>
        </w:tc>
        <w:tc>
          <w:tcPr>
            <w:tcW w:w="1085" w:type="dxa"/>
            <w:tcBorders>
              <w:top w:val="nil"/>
              <w:left w:val="nil"/>
              <w:bottom w:val="nil"/>
              <w:right w:val="nil"/>
            </w:tcBorders>
            <w:shd w:val="clear" w:color="auto" w:fill="auto"/>
            <w:noWrap/>
            <w:vAlign w:val="bottom"/>
            <w:hideMark/>
          </w:tcPr>
          <w:p w14:paraId="0D58D448" w14:textId="38B29CD1" w:rsidR="00E903AC" w:rsidRPr="00E903AC" w:rsidRDefault="00E903AC" w:rsidP="00E903AC">
            <w:pPr>
              <w:spacing w:after="0" w:line="240" w:lineRule="auto"/>
              <w:jc w:val="center"/>
              <w:rPr>
                <w:rFonts w:ascii="Arial" w:hAnsi="Arial" w:cs="Arial"/>
                <w:sz w:val="16"/>
                <w:szCs w:val="16"/>
              </w:rPr>
            </w:pPr>
            <w:r w:rsidRPr="00E903AC">
              <w:rPr>
                <w:rFonts w:ascii="Arial" w:hAnsi="Arial" w:cs="Arial"/>
                <w:sz w:val="16"/>
                <w:szCs w:val="16"/>
              </w:rPr>
              <w:t>1.1</w:t>
            </w:r>
          </w:p>
        </w:tc>
        <w:tc>
          <w:tcPr>
            <w:tcW w:w="860" w:type="dxa"/>
            <w:tcBorders>
              <w:top w:val="nil"/>
              <w:left w:val="nil"/>
              <w:bottom w:val="nil"/>
              <w:right w:val="nil"/>
            </w:tcBorders>
            <w:shd w:val="clear" w:color="auto" w:fill="E6E6E6"/>
            <w:noWrap/>
            <w:vAlign w:val="bottom"/>
            <w:hideMark/>
          </w:tcPr>
          <w:p w14:paraId="23D48A07" w14:textId="1E454F20" w:rsidR="00E903AC" w:rsidRPr="00E903AC" w:rsidRDefault="00E903AC" w:rsidP="0010271A">
            <w:pPr>
              <w:spacing w:after="0" w:line="240" w:lineRule="auto"/>
              <w:ind w:right="57"/>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2BBFE70A" w14:textId="77777777" w:rsidR="00E903AC" w:rsidRPr="00E903AC" w:rsidRDefault="00E903AC" w:rsidP="0010271A">
            <w:pPr>
              <w:spacing w:after="0" w:line="240" w:lineRule="auto"/>
              <w:ind w:right="57"/>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7C0F42D2" w14:textId="63F93732" w:rsidR="00E903AC" w:rsidRPr="00E903AC" w:rsidRDefault="00E903AC" w:rsidP="0010271A">
            <w:pPr>
              <w:spacing w:after="0" w:line="240" w:lineRule="auto"/>
              <w:ind w:right="57"/>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70836A79" w14:textId="77777777" w:rsidR="00E903AC" w:rsidRPr="00E903AC" w:rsidRDefault="00E903AC" w:rsidP="0010271A">
            <w:pPr>
              <w:spacing w:after="0" w:line="240" w:lineRule="auto"/>
              <w:ind w:right="57"/>
              <w:jc w:val="right"/>
              <w:rPr>
                <w:rFonts w:ascii="Arial" w:hAnsi="Arial" w:cs="Arial"/>
                <w:sz w:val="16"/>
                <w:szCs w:val="16"/>
              </w:rPr>
            </w:pPr>
          </w:p>
        </w:tc>
      </w:tr>
      <w:tr w:rsidR="00DC32E8" w:rsidRPr="003F22B1" w14:paraId="32493AC3"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03243595" w14:textId="1AC0E836" w:rsidR="00E903AC" w:rsidRPr="003F22B1" w:rsidRDefault="00E903AC" w:rsidP="00E903AC">
            <w:pPr>
              <w:spacing w:after="0" w:line="240" w:lineRule="auto"/>
              <w:jc w:val="left"/>
              <w:rPr>
                <w:rFonts w:ascii="Arial" w:hAnsi="Arial" w:cs="Arial"/>
                <w:sz w:val="16"/>
                <w:szCs w:val="16"/>
              </w:rPr>
            </w:pPr>
            <w:r w:rsidRPr="0033098C">
              <w:rPr>
                <w:rFonts w:ascii="Arial" w:hAnsi="Arial" w:cs="Arial"/>
                <w:sz w:val="16"/>
                <w:szCs w:val="16"/>
              </w:rPr>
              <w:t xml:space="preserve">Administered </w:t>
            </w:r>
            <w:r>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1F284250" w14:textId="77777777" w:rsidR="00E903AC" w:rsidRPr="00E903AC" w:rsidRDefault="00E903AC" w:rsidP="00E903AC">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vAlign w:val="bottom"/>
            <w:hideMark/>
          </w:tcPr>
          <w:p w14:paraId="6684BED8" w14:textId="6AC75852"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w:t>
            </w:r>
          </w:p>
        </w:tc>
        <w:tc>
          <w:tcPr>
            <w:tcW w:w="890" w:type="dxa"/>
            <w:tcBorders>
              <w:top w:val="nil"/>
              <w:left w:val="nil"/>
              <w:bottom w:val="nil"/>
              <w:right w:val="nil"/>
            </w:tcBorders>
            <w:shd w:val="clear" w:color="auto" w:fill="auto"/>
            <w:noWrap/>
            <w:vAlign w:val="bottom"/>
            <w:hideMark/>
          </w:tcPr>
          <w:p w14:paraId="0D9A55C4" w14:textId="7C9435DA"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w:t>
            </w:r>
          </w:p>
        </w:tc>
        <w:tc>
          <w:tcPr>
            <w:tcW w:w="851" w:type="dxa"/>
            <w:tcBorders>
              <w:top w:val="nil"/>
              <w:left w:val="nil"/>
              <w:bottom w:val="nil"/>
              <w:right w:val="nil"/>
            </w:tcBorders>
            <w:shd w:val="clear" w:color="auto" w:fill="E6E6E6"/>
            <w:noWrap/>
            <w:vAlign w:val="bottom"/>
            <w:hideMark/>
          </w:tcPr>
          <w:p w14:paraId="74D8E5E4" w14:textId="5CE2D3F8"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3FF843AE" w14:textId="04EAC0F7"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w:t>
            </w:r>
          </w:p>
        </w:tc>
      </w:tr>
      <w:tr w:rsidR="00DC32E8" w:rsidRPr="003F22B1" w14:paraId="55DB0302"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hideMark/>
          </w:tcPr>
          <w:p w14:paraId="3E60086E" w14:textId="7CE127C0" w:rsidR="00E903AC" w:rsidRPr="003F22B1" w:rsidRDefault="00E903AC" w:rsidP="00E903AC">
            <w:pPr>
              <w:spacing w:after="0" w:line="240" w:lineRule="auto"/>
              <w:jc w:val="left"/>
              <w:rPr>
                <w:rFonts w:ascii="Arial" w:hAnsi="Arial" w:cs="Arial"/>
                <w:b/>
                <w:bCs/>
                <w:sz w:val="16"/>
                <w:szCs w:val="16"/>
              </w:rPr>
            </w:pPr>
            <w:r w:rsidRPr="0033098C">
              <w:rPr>
                <w:rFonts w:ascii="Arial" w:hAnsi="Arial" w:cs="Arial"/>
                <w:b/>
                <w:bCs/>
                <w:sz w:val="16"/>
                <w:szCs w:val="16"/>
              </w:rPr>
              <w:t>Total</w:t>
            </w:r>
          </w:p>
        </w:tc>
        <w:tc>
          <w:tcPr>
            <w:tcW w:w="1085" w:type="dxa"/>
            <w:tcBorders>
              <w:top w:val="nil"/>
              <w:left w:val="nil"/>
              <w:bottom w:val="nil"/>
              <w:right w:val="nil"/>
            </w:tcBorders>
            <w:shd w:val="clear" w:color="auto" w:fill="auto"/>
            <w:noWrap/>
            <w:vAlign w:val="bottom"/>
            <w:hideMark/>
          </w:tcPr>
          <w:p w14:paraId="053049A4" w14:textId="77777777" w:rsidR="00E903AC" w:rsidRPr="00E903AC" w:rsidRDefault="00E903AC" w:rsidP="00E903AC">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auto" w:fill="E6E6E6"/>
            <w:noWrap/>
            <w:vAlign w:val="bottom"/>
            <w:hideMark/>
          </w:tcPr>
          <w:p w14:paraId="2885DEB6" w14:textId="3CF97E7A"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w:t>
            </w:r>
          </w:p>
        </w:tc>
        <w:tc>
          <w:tcPr>
            <w:tcW w:w="890" w:type="dxa"/>
            <w:tcBorders>
              <w:top w:val="nil"/>
              <w:left w:val="nil"/>
              <w:bottom w:val="nil"/>
              <w:right w:val="nil"/>
            </w:tcBorders>
            <w:shd w:val="clear" w:color="auto" w:fill="auto"/>
            <w:noWrap/>
            <w:vAlign w:val="bottom"/>
            <w:hideMark/>
          </w:tcPr>
          <w:p w14:paraId="32BDC68F" w14:textId="4A75D161"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w:t>
            </w:r>
          </w:p>
        </w:tc>
        <w:tc>
          <w:tcPr>
            <w:tcW w:w="851" w:type="dxa"/>
            <w:tcBorders>
              <w:top w:val="nil"/>
              <w:left w:val="nil"/>
              <w:bottom w:val="nil"/>
              <w:right w:val="nil"/>
            </w:tcBorders>
            <w:shd w:val="clear" w:color="auto" w:fill="E6E6E6"/>
            <w:noWrap/>
            <w:vAlign w:val="bottom"/>
            <w:hideMark/>
          </w:tcPr>
          <w:p w14:paraId="357718A4" w14:textId="24EE65E2"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w:t>
            </w:r>
          </w:p>
        </w:tc>
        <w:tc>
          <w:tcPr>
            <w:tcW w:w="850" w:type="dxa"/>
            <w:tcBorders>
              <w:top w:val="nil"/>
              <w:left w:val="nil"/>
              <w:bottom w:val="nil"/>
              <w:right w:val="nil"/>
            </w:tcBorders>
            <w:shd w:val="clear" w:color="auto" w:fill="auto"/>
            <w:noWrap/>
            <w:vAlign w:val="bottom"/>
            <w:hideMark/>
          </w:tcPr>
          <w:p w14:paraId="34F92A5D" w14:textId="68C75B4D"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w:t>
            </w:r>
          </w:p>
        </w:tc>
      </w:tr>
      <w:tr w:rsidR="00DC32E8" w:rsidRPr="003F22B1" w14:paraId="1E3C9FA6" w14:textId="77777777" w:rsidTr="00C36772">
        <w:trPr>
          <w:trHeight w:val="204"/>
        </w:trPr>
        <w:tc>
          <w:tcPr>
            <w:tcW w:w="2977" w:type="dxa"/>
            <w:tcBorders>
              <w:top w:val="nil"/>
              <w:left w:val="nil"/>
              <w:bottom w:val="nil"/>
              <w:right w:val="nil"/>
            </w:tcBorders>
            <w:shd w:val="clear" w:color="auto" w:fill="auto"/>
            <w:vAlign w:val="bottom"/>
            <w:hideMark/>
          </w:tcPr>
          <w:p w14:paraId="3780D94D" w14:textId="2C401D0A" w:rsidR="00E903AC" w:rsidRPr="003F22B1" w:rsidRDefault="00E903AC" w:rsidP="00E903AC">
            <w:pPr>
              <w:spacing w:after="0" w:line="240" w:lineRule="auto"/>
              <w:jc w:val="left"/>
              <w:rPr>
                <w:rFonts w:ascii="Arial" w:hAnsi="Arial" w:cs="Arial"/>
                <w:sz w:val="16"/>
                <w:szCs w:val="16"/>
              </w:rPr>
            </w:pPr>
            <w:r w:rsidRPr="0033098C">
              <w:rPr>
                <w:rFonts w:ascii="Arial" w:hAnsi="Arial" w:cs="Arial"/>
                <w:sz w:val="16"/>
                <w:szCs w:val="16"/>
              </w:rPr>
              <w:t>Aviation Recovery Framework</w:t>
            </w:r>
          </w:p>
        </w:tc>
        <w:tc>
          <w:tcPr>
            <w:tcW w:w="1085" w:type="dxa"/>
            <w:tcBorders>
              <w:top w:val="nil"/>
              <w:left w:val="nil"/>
              <w:bottom w:val="nil"/>
              <w:right w:val="nil"/>
            </w:tcBorders>
            <w:shd w:val="clear" w:color="auto" w:fill="auto"/>
            <w:noWrap/>
            <w:vAlign w:val="bottom"/>
            <w:hideMark/>
          </w:tcPr>
          <w:p w14:paraId="651D2720" w14:textId="43068EC3" w:rsidR="00E903AC" w:rsidRPr="00E903AC" w:rsidRDefault="00E903AC" w:rsidP="00E903AC">
            <w:pPr>
              <w:spacing w:after="0" w:line="240" w:lineRule="auto"/>
              <w:jc w:val="center"/>
              <w:rPr>
                <w:rFonts w:ascii="Arial" w:hAnsi="Arial" w:cs="Arial"/>
                <w:sz w:val="16"/>
                <w:szCs w:val="16"/>
              </w:rPr>
            </w:pPr>
            <w:r w:rsidRPr="00E903AC">
              <w:rPr>
                <w:rFonts w:ascii="Arial" w:hAnsi="Arial" w:cs="Arial"/>
                <w:sz w:val="16"/>
                <w:szCs w:val="16"/>
              </w:rPr>
              <w:t>2.3,2.4</w:t>
            </w:r>
          </w:p>
        </w:tc>
        <w:tc>
          <w:tcPr>
            <w:tcW w:w="860" w:type="dxa"/>
            <w:tcBorders>
              <w:top w:val="nil"/>
              <w:left w:val="nil"/>
              <w:bottom w:val="nil"/>
              <w:right w:val="nil"/>
            </w:tcBorders>
            <w:shd w:val="clear" w:color="auto" w:fill="E6E6E6"/>
            <w:noWrap/>
            <w:vAlign w:val="bottom"/>
            <w:hideMark/>
          </w:tcPr>
          <w:p w14:paraId="2A72F3C2" w14:textId="6D9F96FE" w:rsidR="00E903AC" w:rsidRPr="00E903AC" w:rsidRDefault="00E903AC" w:rsidP="0010271A">
            <w:pPr>
              <w:spacing w:after="0" w:line="240" w:lineRule="auto"/>
              <w:ind w:right="57"/>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16FE19FE" w14:textId="77777777" w:rsidR="00E903AC" w:rsidRPr="00E903AC" w:rsidRDefault="00E903AC" w:rsidP="0010271A">
            <w:pPr>
              <w:spacing w:after="0" w:line="240" w:lineRule="auto"/>
              <w:ind w:right="57"/>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2D37E7D0" w14:textId="1E708B68" w:rsidR="00E903AC" w:rsidRPr="00E903AC" w:rsidRDefault="00E903AC" w:rsidP="0010271A">
            <w:pPr>
              <w:spacing w:after="0" w:line="240" w:lineRule="auto"/>
              <w:ind w:right="57"/>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54C4D56D" w14:textId="77777777" w:rsidR="00E903AC" w:rsidRPr="00E903AC" w:rsidRDefault="00E903AC" w:rsidP="0010271A">
            <w:pPr>
              <w:spacing w:after="0" w:line="240" w:lineRule="auto"/>
              <w:ind w:right="57"/>
              <w:jc w:val="right"/>
              <w:rPr>
                <w:rFonts w:ascii="Arial" w:hAnsi="Arial" w:cs="Arial"/>
                <w:sz w:val="16"/>
                <w:szCs w:val="16"/>
              </w:rPr>
            </w:pPr>
          </w:p>
        </w:tc>
      </w:tr>
      <w:tr w:rsidR="00C36772" w:rsidRPr="003F22B1" w14:paraId="32E8B5FC"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16C5701C" w14:textId="0356C463" w:rsidR="00C36772" w:rsidRPr="003F22B1" w:rsidRDefault="00C36772" w:rsidP="00C36772">
            <w:pPr>
              <w:spacing w:after="0" w:line="240" w:lineRule="auto"/>
              <w:jc w:val="left"/>
              <w:rPr>
                <w:rFonts w:ascii="Arial" w:hAnsi="Arial" w:cs="Arial"/>
                <w:sz w:val="16"/>
                <w:szCs w:val="16"/>
              </w:rPr>
            </w:pPr>
            <w:r w:rsidRPr="0033098C">
              <w:rPr>
                <w:rFonts w:ascii="Arial" w:hAnsi="Arial" w:cs="Arial"/>
                <w:sz w:val="16"/>
                <w:szCs w:val="16"/>
              </w:rPr>
              <w:t xml:space="preserve">Administered </w:t>
            </w:r>
            <w:r>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2F6A9C9E" w14:textId="77777777" w:rsidR="00C36772" w:rsidRPr="00E903AC" w:rsidRDefault="00C36772" w:rsidP="00C36772">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hideMark/>
          </w:tcPr>
          <w:p w14:paraId="280726F3" w14:textId="6154B2E7"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12,100 </w:t>
            </w:r>
          </w:p>
        </w:tc>
        <w:tc>
          <w:tcPr>
            <w:tcW w:w="890" w:type="dxa"/>
            <w:tcBorders>
              <w:top w:val="nil"/>
              <w:left w:val="nil"/>
              <w:bottom w:val="nil"/>
              <w:right w:val="nil"/>
            </w:tcBorders>
            <w:shd w:val="clear" w:color="auto" w:fill="auto"/>
            <w:noWrap/>
            <w:hideMark/>
          </w:tcPr>
          <w:p w14:paraId="356E120B" w14:textId="4BFB331C"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13,967 </w:t>
            </w:r>
          </w:p>
        </w:tc>
        <w:tc>
          <w:tcPr>
            <w:tcW w:w="851" w:type="dxa"/>
            <w:tcBorders>
              <w:top w:val="nil"/>
              <w:left w:val="nil"/>
              <w:bottom w:val="nil"/>
              <w:right w:val="nil"/>
            </w:tcBorders>
            <w:shd w:val="clear" w:color="auto" w:fill="E6E6E6"/>
            <w:noWrap/>
            <w:hideMark/>
          </w:tcPr>
          <w:p w14:paraId="5AB6FAB3" w14:textId="2072FC94"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15,496 </w:t>
            </w:r>
          </w:p>
        </w:tc>
        <w:tc>
          <w:tcPr>
            <w:tcW w:w="850" w:type="dxa"/>
            <w:tcBorders>
              <w:top w:val="nil"/>
              <w:left w:val="nil"/>
              <w:bottom w:val="nil"/>
              <w:right w:val="nil"/>
            </w:tcBorders>
            <w:shd w:val="clear" w:color="auto" w:fill="auto"/>
            <w:noWrap/>
            <w:hideMark/>
          </w:tcPr>
          <w:p w14:paraId="38BC828A" w14:textId="0636B84E"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12,527 </w:t>
            </w:r>
          </w:p>
        </w:tc>
      </w:tr>
      <w:tr w:rsidR="00C36772" w:rsidRPr="003F22B1" w14:paraId="4E97DA22"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249A53D3" w14:textId="63044FFF" w:rsidR="00C36772" w:rsidRPr="003F22B1" w:rsidRDefault="00C36772" w:rsidP="00C36772">
            <w:pPr>
              <w:spacing w:after="0" w:line="240" w:lineRule="auto"/>
              <w:jc w:val="left"/>
              <w:rPr>
                <w:rFonts w:ascii="Arial" w:hAnsi="Arial" w:cs="Arial"/>
                <w:sz w:val="16"/>
                <w:szCs w:val="16"/>
              </w:rPr>
            </w:pPr>
            <w:r>
              <w:rPr>
                <w:rFonts w:ascii="Arial" w:hAnsi="Arial" w:cs="Arial"/>
                <w:sz w:val="16"/>
                <w:szCs w:val="16"/>
              </w:rPr>
              <w:t>Department</w:t>
            </w:r>
            <w:r w:rsidRPr="0033098C">
              <w:rPr>
                <w:rFonts w:ascii="Arial" w:hAnsi="Arial" w:cs="Arial"/>
                <w:sz w:val="16"/>
                <w:szCs w:val="16"/>
              </w:rPr>
              <w:t xml:space="preserve">al </w:t>
            </w:r>
            <w:r>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4F8E7FDF" w14:textId="77777777" w:rsidR="00C36772" w:rsidRPr="00E903AC" w:rsidRDefault="00C36772" w:rsidP="00C36772">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vAlign w:val="bottom"/>
            <w:hideMark/>
          </w:tcPr>
          <w:p w14:paraId="28CC6D06" w14:textId="1E1008B0"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3,032 </w:t>
            </w:r>
          </w:p>
        </w:tc>
        <w:tc>
          <w:tcPr>
            <w:tcW w:w="890" w:type="dxa"/>
            <w:tcBorders>
              <w:top w:val="nil"/>
              <w:left w:val="nil"/>
              <w:bottom w:val="nil"/>
              <w:right w:val="nil"/>
            </w:tcBorders>
            <w:shd w:val="clear" w:color="auto" w:fill="auto"/>
            <w:noWrap/>
            <w:vAlign w:val="bottom"/>
            <w:hideMark/>
          </w:tcPr>
          <w:p w14:paraId="457F3EF2" w14:textId="3136B9CC"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4,954 </w:t>
            </w:r>
          </w:p>
        </w:tc>
        <w:tc>
          <w:tcPr>
            <w:tcW w:w="851" w:type="dxa"/>
            <w:tcBorders>
              <w:top w:val="nil"/>
              <w:left w:val="nil"/>
              <w:bottom w:val="nil"/>
              <w:right w:val="nil"/>
            </w:tcBorders>
            <w:shd w:val="clear" w:color="auto" w:fill="E6E6E6"/>
            <w:noWrap/>
            <w:vAlign w:val="bottom"/>
            <w:hideMark/>
          </w:tcPr>
          <w:p w14:paraId="3D9E937E" w14:textId="7B2C358D"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1,656 </w:t>
            </w:r>
          </w:p>
        </w:tc>
        <w:tc>
          <w:tcPr>
            <w:tcW w:w="850" w:type="dxa"/>
            <w:tcBorders>
              <w:top w:val="nil"/>
              <w:left w:val="nil"/>
              <w:bottom w:val="nil"/>
              <w:right w:val="nil"/>
            </w:tcBorders>
            <w:shd w:val="clear" w:color="auto" w:fill="auto"/>
            <w:noWrap/>
            <w:vAlign w:val="bottom"/>
            <w:hideMark/>
          </w:tcPr>
          <w:p w14:paraId="078D30DA" w14:textId="6CBB3045"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159 </w:t>
            </w:r>
          </w:p>
        </w:tc>
      </w:tr>
      <w:tr w:rsidR="00C36772" w:rsidRPr="003F22B1" w14:paraId="63898EC0"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hideMark/>
          </w:tcPr>
          <w:p w14:paraId="32983A5F" w14:textId="0FA4011A" w:rsidR="00C36772" w:rsidRPr="003F22B1" w:rsidRDefault="00C36772" w:rsidP="00C36772">
            <w:pPr>
              <w:spacing w:after="0" w:line="240" w:lineRule="auto"/>
              <w:jc w:val="left"/>
              <w:rPr>
                <w:rFonts w:ascii="Arial" w:hAnsi="Arial" w:cs="Arial"/>
                <w:b/>
                <w:bCs/>
                <w:sz w:val="16"/>
                <w:szCs w:val="16"/>
              </w:rPr>
            </w:pPr>
            <w:r w:rsidRPr="0033098C">
              <w:rPr>
                <w:rFonts w:ascii="Arial" w:hAnsi="Arial" w:cs="Arial"/>
                <w:b/>
                <w:bCs/>
                <w:sz w:val="16"/>
                <w:szCs w:val="16"/>
              </w:rPr>
              <w:t>Total</w:t>
            </w:r>
          </w:p>
        </w:tc>
        <w:tc>
          <w:tcPr>
            <w:tcW w:w="1085" w:type="dxa"/>
            <w:tcBorders>
              <w:top w:val="nil"/>
              <w:left w:val="nil"/>
              <w:bottom w:val="nil"/>
              <w:right w:val="nil"/>
            </w:tcBorders>
            <w:shd w:val="clear" w:color="auto" w:fill="auto"/>
            <w:noWrap/>
            <w:vAlign w:val="bottom"/>
            <w:hideMark/>
          </w:tcPr>
          <w:p w14:paraId="15041732" w14:textId="77777777" w:rsidR="00C36772" w:rsidRPr="00E903AC" w:rsidRDefault="00C36772" w:rsidP="00C36772">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auto" w:fill="E6E6E6"/>
            <w:noWrap/>
            <w:vAlign w:val="bottom"/>
            <w:hideMark/>
          </w:tcPr>
          <w:p w14:paraId="58FA93FB" w14:textId="4AD61489" w:rsidR="00C36772" w:rsidRPr="00E903AC" w:rsidRDefault="00C36772" w:rsidP="0010271A">
            <w:pPr>
              <w:spacing w:after="0" w:line="240" w:lineRule="auto"/>
              <w:ind w:right="57"/>
              <w:jc w:val="right"/>
              <w:rPr>
                <w:rFonts w:ascii="Arial" w:hAnsi="Arial" w:cs="Arial"/>
                <w:b/>
                <w:bCs/>
                <w:sz w:val="16"/>
                <w:szCs w:val="16"/>
              </w:rPr>
            </w:pPr>
            <w:r>
              <w:rPr>
                <w:rFonts w:ascii="Arial" w:hAnsi="Arial" w:cs="Arial"/>
                <w:b/>
                <w:bCs/>
                <w:sz w:val="16"/>
                <w:szCs w:val="16"/>
              </w:rPr>
              <w:t xml:space="preserve">15,132 </w:t>
            </w:r>
          </w:p>
        </w:tc>
        <w:tc>
          <w:tcPr>
            <w:tcW w:w="890" w:type="dxa"/>
            <w:tcBorders>
              <w:top w:val="nil"/>
              <w:left w:val="nil"/>
              <w:bottom w:val="nil"/>
              <w:right w:val="nil"/>
            </w:tcBorders>
            <w:shd w:val="clear" w:color="auto" w:fill="auto"/>
            <w:noWrap/>
            <w:vAlign w:val="bottom"/>
            <w:hideMark/>
          </w:tcPr>
          <w:p w14:paraId="200BF494" w14:textId="24E04AB8" w:rsidR="00C36772" w:rsidRPr="00E903AC" w:rsidRDefault="00C36772" w:rsidP="0010271A">
            <w:pPr>
              <w:spacing w:after="0" w:line="240" w:lineRule="auto"/>
              <w:ind w:right="57"/>
              <w:jc w:val="right"/>
              <w:rPr>
                <w:rFonts w:ascii="Arial" w:hAnsi="Arial" w:cs="Arial"/>
                <w:b/>
                <w:bCs/>
                <w:sz w:val="16"/>
                <w:szCs w:val="16"/>
              </w:rPr>
            </w:pPr>
            <w:r>
              <w:rPr>
                <w:rFonts w:ascii="Arial" w:hAnsi="Arial" w:cs="Arial"/>
                <w:b/>
                <w:bCs/>
                <w:sz w:val="16"/>
                <w:szCs w:val="16"/>
              </w:rPr>
              <w:t xml:space="preserve">18,921 </w:t>
            </w:r>
          </w:p>
        </w:tc>
        <w:tc>
          <w:tcPr>
            <w:tcW w:w="851" w:type="dxa"/>
            <w:tcBorders>
              <w:top w:val="nil"/>
              <w:left w:val="nil"/>
              <w:bottom w:val="nil"/>
              <w:right w:val="nil"/>
            </w:tcBorders>
            <w:shd w:val="clear" w:color="auto" w:fill="E6E6E6"/>
            <w:noWrap/>
            <w:vAlign w:val="bottom"/>
            <w:hideMark/>
          </w:tcPr>
          <w:p w14:paraId="05B296EE" w14:textId="347E7C17" w:rsidR="00C36772" w:rsidRPr="00E903AC" w:rsidRDefault="00C36772" w:rsidP="0010271A">
            <w:pPr>
              <w:spacing w:after="0" w:line="240" w:lineRule="auto"/>
              <w:ind w:right="57"/>
              <w:jc w:val="right"/>
              <w:rPr>
                <w:rFonts w:ascii="Arial" w:hAnsi="Arial" w:cs="Arial"/>
                <w:b/>
                <w:bCs/>
                <w:sz w:val="16"/>
                <w:szCs w:val="16"/>
              </w:rPr>
            </w:pPr>
            <w:r>
              <w:rPr>
                <w:rFonts w:ascii="Arial" w:hAnsi="Arial" w:cs="Arial"/>
                <w:b/>
                <w:bCs/>
                <w:sz w:val="16"/>
                <w:szCs w:val="16"/>
              </w:rPr>
              <w:t xml:space="preserve">17,152 </w:t>
            </w:r>
          </w:p>
        </w:tc>
        <w:tc>
          <w:tcPr>
            <w:tcW w:w="850" w:type="dxa"/>
            <w:tcBorders>
              <w:top w:val="nil"/>
              <w:left w:val="nil"/>
              <w:bottom w:val="nil"/>
              <w:right w:val="nil"/>
            </w:tcBorders>
            <w:shd w:val="clear" w:color="auto" w:fill="auto"/>
            <w:noWrap/>
            <w:vAlign w:val="bottom"/>
            <w:hideMark/>
          </w:tcPr>
          <w:p w14:paraId="2F54CEAD" w14:textId="775CF0C2" w:rsidR="00C36772" w:rsidRPr="00E903AC" w:rsidRDefault="00C36772" w:rsidP="0010271A">
            <w:pPr>
              <w:spacing w:after="0" w:line="240" w:lineRule="auto"/>
              <w:ind w:right="57"/>
              <w:jc w:val="right"/>
              <w:rPr>
                <w:rFonts w:ascii="Arial" w:hAnsi="Arial" w:cs="Arial"/>
                <w:b/>
                <w:bCs/>
                <w:sz w:val="16"/>
                <w:szCs w:val="16"/>
              </w:rPr>
            </w:pPr>
            <w:r>
              <w:rPr>
                <w:rFonts w:ascii="Arial" w:hAnsi="Arial" w:cs="Arial"/>
                <w:b/>
                <w:bCs/>
                <w:sz w:val="16"/>
                <w:szCs w:val="16"/>
              </w:rPr>
              <w:t xml:space="preserve">12,686 </w:t>
            </w:r>
          </w:p>
        </w:tc>
      </w:tr>
      <w:tr w:rsidR="00DC32E8" w:rsidRPr="003F22B1" w14:paraId="181E9350" w14:textId="77777777" w:rsidTr="00C36772">
        <w:trPr>
          <w:trHeight w:val="204"/>
        </w:trPr>
        <w:tc>
          <w:tcPr>
            <w:tcW w:w="2977" w:type="dxa"/>
            <w:tcBorders>
              <w:top w:val="nil"/>
              <w:left w:val="nil"/>
              <w:bottom w:val="nil"/>
              <w:right w:val="nil"/>
            </w:tcBorders>
            <w:shd w:val="clear" w:color="auto" w:fill="auto"/>
            <w:vAlign w:val="bottom"/>
            <w:hideMark/>
          </w:tcPr>
          <w:p w14:paraId="397BD8DE" w14:textId="77777777" w:rsidR="00E903AC" w:rsidRPr="003F22B1" w:rsidRDefault="00E903AC" w:rsidP="00E903AC">
            <w:pPr>
              <w:spacing w:after="0" w:line="240" w:lineRule="auto"/>
              <w:jc w:val="left"/>
              <w:rPr>
                <w:rFonts w:ascii="Arial" w:hAnsi="Arial" w:cs="Arial"/>
                <w:sz w:val="16"/>
                <w:szCs w:val="16"/>
              </w:rPr>
            </w:pPr>
            <w:r w:rsidRPr="003F22B1">
              <w:rPr>
                <w:rFonts w:ascii="Arial" w:hAnsi="Arial" w:cs="Arial"/>
                <w:sz w:val="16"/>
                <w:szCs w:val="16"/>
              </w:rPr>
              <w:t>Building Better Regions Fund - round five additional funding</w:t>
            </w:r>
          </w:p>
        </w:tc>
        <w:tc>
          <w:tcPr>
            <w:tcW w:w="1085" w:type="dxa"/>
            <w:tcBorders>
              <w:top w:val="nil"/>
              <w:left w:val="nil"/>
              <w:bottom w:val="nil"/>
              <w:right w:val="nil"/>
            </w:tcBorders>
            <w:shd w:val="clear" w:color="auto" w:fill="auto"/>
            <w:noWrap/>
            <w:vAlign w:val="bottom"/>
            <w:hideMark/>
          </w:tcPr>
          <w:p w14:paraId="5F3B8600" w14:textId="2497F7E3" w:rsidR="00E903AC" w:rsidRPr="00E903AC" w:rsidRDefault="00E903AC" w:rsidP="00E903AC">
            <w:pPr>
              <w:spacing w:after="0" w:line="240" w:lineRule="auto"/>
              <w:jc w:val="center"/>
              <w:rPr>
                <w:rFonts w:ascii="Arial" w:hAnsi="Arial" w:cs="Arial"/>
                <w:sz w:val="16"/>
                <w:szCs w:val="16"/>
              </w:rPr>
            </w:pPr>
            <w:r w:rsidRPr="00E903AC">
              <w:rPr>
                <w:rFonts w:ascii="Arial" w:hAnsi="Arial" w:cs="Arial"/>
                <w:sz w:val="16"/>
                <w:szCs w:val="16"/>
              </w:rPr>
              <w:t>3.1</w:t>
            </w:r>
          </w:p>
        </w:tc>
        <w:tc>
          <w:tcPr>
            <w:tcW w:w="860" w:type="dxa"/>
            <w:tcBorders>
              <w:top w:val="nil"/>
              <w:left w:val="nil"/>
              <w:bottom w:val="nil"/>
              <w:right w:val="nil"/>
            </w:tcBorders>
            <w:shd w:val="clear" w:color="auto" w:fill="E6E6E6"/>
            <w:noWrap/>
            <w:vAlign w:val="bottom"/>
            <w:hideMark/>
          </w:tcPr>
          <w:p w14:paraId="0990A78A" w14:textId="798FBB64" w:rsidR="00E903AC" w:rsidRPr="00E903AC" w:rsidRDefault="00E903AC" w:rsidP="0010271A">
            <w:pPr>
              <w:spacing w:after="0" w:line="240" w:lineRule="auto"/>
              <w:ind w:right="57"/>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0D77FE13" w14:textId="77777777" w:rsidR="00E903AC" w:rsidRPr="00E903AC" w:rsidRDefault="00E903AC" w:rsidP="0010271A">
            <w:pPr>
              <w:spacing w:after="0" w:line="240" w:lineRule="auto"/>
              <w:ind w:right="57"/>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4F5AE76F" w14:textId="1A14F5CD" w:rsidR="00E903AC" w:rsidRPr="00E903AC" w:rsidRDefault="00E903AC" w:rsidP="0010271A">
            <w:pPr>
              <w:spacing w:after="0" w:line="240" w:lineRule="auto"/>
              <w:ind w:right="57"/>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D6D6091" w14:textId="77777777" w:rsidR="00E903AC" w:rsidRPr="00E903AC" w:rsidRDefault="00E903AC" w:rsidP="0010271A">
            <w:pPr>
              <w:spacing w:after="0" w:line="240" w:lineRule="auto"/>
              <w:ind w:right="57"/>
              <w:jc w:val="right"/>
              <w:rPr>
                <w:rFonts w:ascii="Arial" w:hAnsi="Arial" w:cs="Arial"/>
                <w:sz w:val="16"/>
                <w:szCs w:val="16"/>
              </w:rPr>
            </w:pPr>
          </w:p>
        </w:tc>
      </w:tr>
      <w:tr w:rsidR="00C36772" w:rsidRPr="003F22B1" w14:paraId="18BB77D0"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6806289F" w14:textId="4304EE9D" w:rsidR="00C36772" w:rsidRPr="003F22B1" w:rsidRDefault="00C36772" w:rsidP="00C36772">
            <w:pPr>
              <w:spacing w:after="0" w:line="240" w:lineRule="auto"/>
              <w:jc w:val="left"/>
              <w:rPr>
                <w:rFonts w:ascii="Arial" w:hAnsi="Arial" w:cs="Arial"/>
                <w:sz w:val="16"/>
                <w:szCs w:val="16"/>
              </w:rPr>
            </w:pPr>
            <w:r w:rsidRPr="003F22B1">
              <w:rPr>
                <w:rFonts w:ascii="Arial" w:hAnsi="Arial" w:cs="Arial"/>
                <w:sz w:val="16"/>
                <w:szCs w:val="16"/>
              </w:rPr>
              <w:t xml:space="preserve">Administered </w:t>
            </w:r>
            <w:r>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4F513D51" w14:textId="77777777" w:rsidR="00C36772" w:rsidRPr="00E903AC" w:rsidRDefault="00C36772" w:rsidP="00C36772">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vAlign w:val="bottom"/>
            <w:hideMark/>
          </w:tcPr>
          <w:p w14:paraId="7AAA394B" w14:textId="038C5F9F"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 </w:t>
            </w:r>
          </w:p>
        </w:tc>
        <w:tc>
          <w:tcPr>
            <w:tcW w:w="890" w:type="dxa"/>
            <w:tcBorders>
              <w:top w:val="nil"/>
              <w:left w:val="nil"/>
              <w:bottom w:val="nil"/>
              <w:right w:val="nil"/>
            </w:tcBorders>
            <w:shd w:val="clear" w:color="auto" w:fill="auto"/>
            <w:noWrap/>
            <w:vAlign w:val="bottom"/>
            <w:hideMark/>
          </w:tcPr>
          <w:p w14:paraId="6F64EF86" w14:textId="3070CFD1"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50,000 </w:t>
            </w:r>
          </w:p>
        </w:tc>
        <w:tc>
          <w:tcPr>
            <w:tcW w:w="851" w:type="dxa"/>
            <w:tcBorders>
              <w:top w:val="nil"/>
              <w:left w:val="nil"/>
              <w:bottom w:val="nil"/>
              <w:right w:val="nil"/>
            </w:tcBorders>
            <w:shd w:val="clear" w:color="auto" w:fill="E6E6E6"/>
            <w:noWrap/>
            <w:vAlign w:val="bottom"/>
            <w:hideMark/>
          </w:tcPr>
          <w:p w14:paraId="0E45DC7F" w14:textId="4720835D"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50,090 </w:t>
            </w:r>
          </w:p>
        </w:tc>
        <w:tc>
          <w:tcPr>
            <w:tcW w:w="850" w:type="dxa"/>
            <w:tcBorders>
              <w:top w:val="nil"/>
              <w:left w:val="nil"/>
              <w:bottom w:val="nil"/>
              <w:right w:val="nil"/>
            </w:tcBorders>
            <w:shd w:val="clear" w:color="auto" w:fill="auto"/>
            <w:noWrap/>
            <w:vAlign w:val="bottom"/>
            <w:hideMark/>
          </w:tcPr>
          <w:p w14:paraId="2928AE82" w14:textId="03A32F6C" w:rsidR="00C36772" w:rsidRPr="00E903AC" w:rsidRDefault="00C36772" w:rsidP="0010271A">
            <w:pPr>
              <w:spacing w:after="0" w:line="240" w:lineRule="auto"/>
              <w:ind w:right="57"/>
              <w:jc w:val="right"/>
              <w:rPr>
                <w:rFonts w:ascii="Arial" w:hAnsi="Arial" w:cs="Arial"/>
                <w:sz w:val="16"/>
                <w:szCs w:val="16"/>
              </w:rPr>
            </w:pPr>
            <w:r>
              <w:rPr>
                <w:rFonts w:ascii="Arial" w:hAnsi="Arial" w:cs="Arial"/>
                <w:sz w:val="16"/>
                <w:szCs w:val="16"/>
              </w:rPr>
              <w:t xml:space="preserve">- </w:t>
            </w:r>
          </w:p>
        </w:tc>
      </w:tr>
      <w:tr w:rsidR="00C36772" w:rsidRPr="003F22B1" w14:paraId="048D0F59"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6AF01E15" w14:textId="77777777" w:rsidR="00C36772" w:rsidRPr="003F22B1" w:rsidRDefault="00C36772" w:rsidP="00C36772">
            <w:pPr>
              <w:spacing w:after="0" w:line="240" w:lineRule="auto"/>
              <w:jc w:val="left"/>
              <w:rPr>
                <w:rFonts w:ascii="Arial" w:hAnsi="Arial" w:cs="Arial"/>
                <w:b/>
                <w:bCs/>
                <w:sz w:val="16"/>
                <w:szCs w:val="16"/>
              </w:rPr>
            </w:pPr>
            <w:r w:rsidRPr="003F22B1">
              <w:rPr>
                <w:rFonts w:ascii="Arial" w:hAnsi="Arial" w:cs="Arial"/>
                <w:b/>
                <w:bCs/>
                <w:sz w:val="16"/>
                <w:szCs w:val="16"/>
              </w:rPr>
              <w:t>Total</w:t>
            </w:r>
          </w:p>
        </w:tc>
        <w:tc>
          <w:tcPr>
            <w:tcW w:w="1085" w:type="dxa"/>
            <w:tcBorders>
              <w:top w:val="nil"/>
              <w:left w:val="nil"/>
              <w:bottom w:val="nil"/>
              <w:right w:val="nil"/>
            </w:tcBorders>
            <w:shd w:val="clear" w:color="auto" w:fill="auto"/>
            <w:noWrap/>
            <w:vAlign w:val="bottom"/>
            <w:hideMark/>
          </w:tcPr>
          <w:p w14:paraId="18BEFC53" w14:textId="77777777" w:rsidR="00C36772" w:rsidRPr="00E903AC" w:rsidRDefault="00C36772" w:rsidP="00C36772">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auto" w:fill="E6E6E6"/>
            <w:noWrap/>
            <w:vAlign w:val="bottom"/>
            <w:hideMark/>
          </w:tcPr>
          <w:p w14:paraId="71E2B6D2" w14:textId="23FF590D" w:rsidR="00C36772" w:rsidRPr="00E903AC" w:rsidRDefault="00C36772" w:rsidP="0010271A">
            <w:pPr>
              <w:spacing w:after="0" w:line="240" w:lineRule="auto"/>
              <w:ind w:right="57"/>
              <w:jc w:val="right"/>
              <w:rPr>
                <w:rFonts w:ascii="Arial" w:hAnsi="Arial" w:cs="Arial"/>
                <w:b/>
                <w:bCs/>
                <w:sz w:val="16"/>
                <w:szCs w:val="16"/>
              </w:rPr>
            </w:pPr>
            <w:r>
              <w:rPr>
                <w:rFonts w:ascii="Arial" w:hAnsi="Arial" w:cs="Arial"/>
                <w:b/>
                <w:bCs/>
                <w:sz w:val="16"/>
                <w:szCs w:val="16"/>
              </w:rPr>
              <w:t xml:space="preserve">- </w:t>
            </w:r>
          </w:p>
        </w:tc>
        <w:tc>
          <w:tcPr>
            <w:tcW w:w="890" w:type="dxa"/>
            <w:tcBorders>
              <w:top w:val="nil"/>
              <w:left w:val="nil"/>
              <w:bottom w:val="nil"/>
              <w:right w:val="nil"/>
            </w:tcBorders>
            <w:shd w:val="clear" w:color="auto" w:fill="auto"/>
            <w:noWrap/>
            <w:vAlign w:val="bottom"/>
            <w:hideMark/>
          </w:tcPr>
          <w:p w14:paraId="218C78BF" w14:textId="4C6797C0" w:rsidR="00C36772" w:rsidRPr="00E903AC" w:rsidRDefault="00C36772" w:rsidP="0010271A">
            <w:pPr>
              <w:spacing w:after="0" w:line="240" w:lineRule="auto"/>
              <w:ind w:right="57"/>
              <w:jc w:val="right"/>
              <w:rPr>
                <w:rFonts w:ascii="Arial" w:hAnsi="Arial" w:cs="Arial"/>
                <w:b/>
                <w:bCs/>
                <w:sz w:val="16"/>
                <w:szCs w:val="16"/>
              </w:rPr>
            </w:pPr>
            <w:r>
              <w:rPr>
                <w:rFonts w:ascii="Arial" w:hAnsi="Arial" w:cs="Arial"/>
                <w:b/>
                <w:bCs/>
                <w:sz w:val="16"/>
                <w:szCs w:val="16"/>
              </w:rPr>
              <w:t xml:space="preserve">50,000 </w:t>
            </w:r>
          </w:p>
        </w:tc>
        <w:tc>
          <w:tcPr>
            <w:tcW w:w="851" w:type="dxa"/>
            <w:tcBorders>
              <w:top w:val="nil"/>
              <w:left w:val="nil"/>
              <w:bottom w:val="nil"/>
              <w:right w:val="nil"/>
            </w:tcBorders>
            <w:shd w:val="clear" w:color="auto" w:fill="E6E6E6"/>
            <w:noWrap/>
            <w:vAlign w:val="bottom"/>
            <w:hideMark/>
          </w:tcPr>
          <w:p w14:paraId="250104F1" w14:textId="469E90AF" w:rsidR="00C36772" w:rsidRPr="00E903AC" w:rsidRDefault="00C36772" w:rsidP="0010271A">
            <w:pPr>
              <w:spacing w:after="0" w:line="240" w:lineRule="auto"/>
              <w:ind w:right="57"/>
              <w:jc w:val="right"/>
              <w:rPr>
                <w:rFonts w:ascii="Arial" w:hAnsi="Arial" w:cs="Arial"/>
                <w:b/>
                <w:bCs/>
                <w:sz w:val="16"/>
                <w:szCs w:val="16"/>
              </w:rPr>
            </w:pPr>
            <w:r>
              <w:rPr>
                <w:rFonts w:ascii="Arial" w:hAnsi="Arial" w:cs="Arial"/>
                <w:b/>
                <w:bCs/>
                <w:sz w:val="16"/>
                <w:szCs w:val="16"/>
              </w:rPr>
              <w:t xml:space="preserve">50,090 </w:t>
            </w:r>
          </w:p>
        </w:tc>
        <w:tc>
          <w:tcPr>
            <w:tcW w:w="850" w:type="dxa"/>
            <w:tcBorders>
              <w:top w:val="nil"/>
              <w:left w:val="nil"/>
              <w:bottom w:val="nil"/>
              <w:right w:val="nil"/>
            </w:tcBorders>
            <w:shd w:val="clear" w:color="auto" w:fill="auto"/>
            <w:noWrap/>
            <w:vAlign w:val="bottom"/>
            <w:hideMark/>
          </w:tcPr>
          <w:p w14:paraId="332744F4" w14:textId="386E257D" w:rsidR="00C36772" w:rsidRPr="00E903AC" w:rsidRDefault="00C36772" w:rsidP="0010271A">
            <w:pPr>
              <w:spacing w:after="0" w:line="240" w:lineRule="auto"/>
              <w:ind w:right="57"/>
              <w:jc w:val="right"/>
              <w:rPr>
                <w:rFonts w:ascii="Arial" w:hAnsi="Arial" w:cs="Arial"/>
                <w:b/>
                <w:bCs/>
                <w:sz w:val="16"/>
                <w:szCs w:val="16"/>
              </w:rPr>
            </w:pPr>
            <w:r>
              <w:rPr>
                <w:rFonts w:ascii="Arial" w:hAnsi="Arial" w:cs="Arial"/>
                <w:b/>
                <w:bCs/>
                <w:sz w:val="16"/>
                <w:szCs w:val="16"/>
              </w:rPr>
              <w:t xml:space="preserve">- </w:t>
            </w:r>
          </w:p>
        </w:tc>
      </w:tr>
      <w:tr w:rsidR="00DC32E8" w:rsidRPr="003F22B1" w14:paraId="0B6EA3B8" w14:textId="77777777" w:rsidTr="00C36772">
        <w:trPr>
          <w:trHeight w:val="204"/>
        </w:trPr>
        <w:tc>
          <w:tcPr>
            <w:tcW w:w="2977" w:type="dxa"/>
            <w:tcBorders>
              <w:top w:val="nil"/>
              <w:left w:val="nil"/>
              <w:bottom w:val="nil"/>
              <w:right w:val="nil"/>
            </w:tcBorders>
            <w:shd w:val="clear" w:color="auto" w:fill="auto"/>
            <w:vAlign w:val="bottom"/>
            <w:hideMark/>
          </w:tcPr>
          <w:p w14:paraId="128B1EB8" w14:textId="77777777" w:rsidR="00E903AC" w:rsidRPr="003F22B1" w:rsidRDefault="00E903AC" w:rsidP="00E903AC">
            <w:pPr>
              <w:spacing w:after="0" w:line="240" w:lineRule="auto"/>
              <w:jc w:val="left"/>
              <w:rPr>
                <w:rFonts w:ascii="Arial" w:hAnsi="Arial" w:cs="Arial"/>
                <w:sz w:val="16"/>
                <w:szCs w:val="16"/>
              </w:rPr>
            </w:pPr>
            <w:r w:rsidRPr="003F22B1">
              <w:rPr>
                <w:rFonts w:ascii="Arial" w:hAnsi="Arial" w:cs="Arial"/>
                <w:sz w:val="16"/>
                <w:szCs w:val="16"/>
              </w:rPr>
              <w:t>Closing the Gap Package</w:t>
            </w:r>
          </w:p>
        </w:tc>
        <w:tc>
          <w:tcPr>
            <w:tcW w:w="1085" w:type="dxa"/>
            <w:tcBorders>
              <w:top w:val="nil"/>
              <w:left w:val="nil"/>
              <w:bottom w:val="nil"/>
              <w:right w:val="nil"/>
            </w:tcBorders>
            <w:shd w:val="clear" w:color="auto" w:fill="auto"/>
            <w:noWrap/>
            <w:vAlign w:val="bottom"/>
            <w:hideMark/>
          </w:tcPr>
          <w:p w14:paraId="7E262546" w14:textId="791F099E" w:rsidR="00E903AC" w:rsidRPr="00E903AC" w:rsidRDefault="00E903AC" w:rsidP="00E903AC">
            <w:pPr>
              <w:spacing w:after="0" w:line="240" w:lineRule="auto"/>
              <w:jc w:val="center"/>
              <w:rPr>
                <w:rFonts w:ascii="Arial" w:hAnsi="Arial" w:cs="Arial"/>
                <w:sz w:val="16"/>
                <w:szCs w:val="16"/>
              </w:rPr>
            </w:pPr>
            <w:r w:rsidRPr="00E903AC">
              <w:rPr>
                <w:rFonts w:ascii="Arial" w:hAnsi="Arial" w:cs="Arial"/>
                <w:sz w:val="16"/>
                <w:szCs w:val="16"/>
              </w:rPr>
              <w:t>6.1</w:t>
            </w:r>
          </w:p>
        </w:tc>
        <w:tc>
          <w:tcPr>
            <w:tcW w:w="860" w:type="dxa"/>
            <w:tcBorders>
              <w:top w:val="nil"/>
              <w:left w:val="nil"/>
              <w:bottom w:val="nil"/>
              <w:right w:val="nil"/>
            </w:tcBorders>
            <w:shd w:val="clear" w:color="auto" w:fill="E6E6E6"/>
            <w:noWrap/>
            <w:vAlign w:val="bottom"/>
            <w:hideMark/>
          </w:tcPr>
          <w:p w14:paraId="1870E39F" w14:textId="636DDCD0" w:rsidR="00E903AC" w:rsidRPr="00E903AC" w:rsidRDefault="00E903AC" w:rsidP="0010271A">
            <w:pPr>
              <w:spacing w:after="0" w:line="240" w:lineRule="auto"/>
              <w:ind w:right="57"/>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3DD90189" w14:textId="77777777" w:rsidR="00E903AC" w:rsidRPr="00E903AC" w:rsidRDefault="00E903AC" w:rsidP="0010271A">
            <w:pPr>
              <w:spacing w:after="0" w:line="240" w:lineRule="auto"/>
              <w:ind w:right="57"/>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491CB624" w14:textId="08BD0BC8" w:rsidR="00E903AC" w:rsidRPr="00E903AC" w:rsidRDefault="00E903AC" w:rsidP="0010271A">
            <w:pPr>
              <w:spacing w:after="0" w:line="240" w:lineRule="auto"/>
              <w:ind w:right="57"/>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D8466F5" w14:textId="77777777" w:rsidR="00E903AC" w:rsidRPr="00E903AC" w:rsidRDefault="00E903AC" w:rsidP="0010271A">
            <w:pPr>
              <w:spacing w:after="0" w:line="240" w:lineRule="auto"/>
              <w:ind w:right="57"/>
              <w:jc w:val="right"/>
              <w:rPr>
                <w:rFonts w:ascii="Arial" w:hAnsi="Arial" w:cs="Arial"/>
                <w:sz w:val="16"/>
                <w:szCs w:val="16"/>
              </w:rPr>
            </w:pPr>
          </w:p>
        </w:tc>
      </w:tr>
      <w:tr w:rsidR="00DC32E8" w:rsidRPr="003F22B1" w14:paraId="0002C521"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2E8B6DBC" w14:textId="35470CD3" w:rsidR="00E903AC" w:rsidRPr="003F22B1" w:rsidRDefault="00E903AC" w:rsidP="00E903AC">
            <w:pPr>
              <w:spacing w:after="0" w:line="240" w:lineRule="auto"/>
              <w:jc w:val="left"/>
              <w:rPr>
                <w:rFonts w:ascii="Arial" w:hAnsi="Arial" w:cs="Arial"/>
                <w:sz w:val="16"/>
                <w:szCs w:val="16"/>
              </w:rPr>
            </w:pPr>
            <w:r w:rsidRPr="003F22B1">
              <w:rPr>
                <w:rFonts w:ascii="Arial" w:hAnsi="Arial" w:cs="Arial"/>
                <w:sz w:val="16"/>
                <w:szCs w:val="16"/>
              </w:rPr>
              <w:t xml:space="preserve">Administered </w:t>
            </w:r>
            <w:r>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35FD9F5D" w14:textId="77777777" w:rsidR="00E903AC" w:rsidRPr="00E903AC" w:rsidRDefault="00E903AC" w:rsidP="00E903AC">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vAlign w:val="bottom"/>
            <w:hideMark/>
          </w:tcPr>
          <w:p w14:paraId="5DD772FF" w14:textId="5779A091"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4,600</w:t>
            </w:r>
          </w:p>
        </w:tc>
        <w:tc>
          <w:tcPr>
            <w:tcW w:w="890" w:type="dxa"/>
            <w:tcBorders>
              <w:top w:val="nil"/>
              <w:left w:val="nil"/>
              <w:bottom w:val="nil"/>
              <w:right w:val="nil"/>
            </w:tcBorders>
            <w:shd w:val="clear" w:color="auto" w:fill="auto"/>
            <w:noWrap/>
            <w:vAlign w:val="bottom"/>
            <w:hideMark/>
          </w:tcPr>
          <w:p w14:paraId="2D639407" w14:textId="7011BB41"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6,198</w:t>
            </w:r>
          </w:p>
        </w:tc>
        <w:tc>
          <w:tcPr>
            <w:tcW w:w="851" w:type="dxa"/>
            <w:tcBorders>
              <w:top w:val="nil"/>
              <w:left w:val="nil"/>
              <w:bottom w:val="nil"/>
              <w:right w:val="nil"/>
            </w:tcBorders>
            <w:shd w:val="clear" w:color="auto" w:fill="E6E6E6"/>
            <w:noWrap/>
            <w:vAlign w:val="bottom"/>
            <w:hideMark/>
          </w:tcPr>
          <w:p w14:paraId="60329FE4" w14:textId="7349B1FC"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7,033</w:t>
            </w:r>
          </w:p>
        </w:tc>
        <w:tc>
          <w:tcPr>
            <w:tcW w:w="850" w:type="dxa"/>
            <w:tcBorders>
              <w:top w:val="nil"/>
              <w:left w:val="nil"/>
              <w:bottom w:val="nil"/>
              <w:right w:val="nil"/>
            </w:tcBorders>
            <w:shd w:val="clear" w:color="auto" w:fill="auto"/>
            <w:noWrap/>
            <w:vAlign w:val="bottom"/>
            <w:hideMark/>
          </w:tcPr>
          <w:p w14:paraId="112CD562" w14:textId="6D3DF6AC"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4,954</w:t>
            </w:r>
          </w:p>
        </w:tc>
      </w:tr>
      <w:tr w:rsidR="00DC32E8" w:rsidRPr="003F22B1" w14:paraId="64DDAC72"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05514321" w14:textId="77777777" w:rsidR="00E903AC" w:rsidRPr="003F22B1" w:rsidRDefault="00E903AC" w:rsidP="00E903AC">
            <w:pPr>
              <w:spacing w:after="0" w:line="240" w:lineRule="auto"/>
              <w:jc w:val="left"/>
              <w:rPr>
                <w:rFonts w:ascii="Arial" w:hAnsi="Arial" w:cs="Arial"/>
                <w:b/>
                <w:bCs/>
                <w:sz w:val="16"/>
                <w:szCs w:val="16"/>
              </w:rPr>
            </w:pPr>
            <w:r w:rsidRPr="003F22B1">
              <w:rPr>
                <w:rFonts w:ascii="Arial" w:hAnsi="Arial" w:cs="Arial"/>
                <w:b/>
                <w:bCs/>
                <w:sz w:val="16"/>
                <w:szCs w:val="16"/>
              </w:rPr>
              <w:t>Total</w:t>
            </w:r>
          </w:p>
        </w:tc>
        <w:tc>
          <w:tcPr>
            <w:tcW w:w="1085" w:type="dxa"/>
            <w:tcBorders>
              <w:top w:val="nil"/>
              <w:left w:val="nil"/>
              <w:bottom w:val="nil"/>
              <w:right w:val="nil"/>
            </w:tcBorders>
            <w:shd w:val="clear" w:color="auto" w:fill="auto"/>
            <w:noWrap/>
            <w:vAlign w:val="bottom"/>
            <w:hideMark/>
          </w:tcPr>
          <w:p w14:paraId="19890F0D" w14:textId="77777777" w:rsidR="00E903AC" w:rsidRPr="00E903AC" w:rsidRDefault="00E903AC" w:rsidP="00E903AC">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auto" w:fill="E6E6E6"/>
            <w:noWrap/>
            <w:vAlign w:val="bottom"/>
            <w:hideMark/>
          </w:tcPr>
          <w:p w14:paraId="3A1320AA" w14:textId="7D2D1480"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4,600</w:t>
            </w:r>
          </w:p>
        </w:tc>
        <w:tc>
          <w:tcPr>
            <w:tcW w:w="890" w:type="dxa"/>
            <w:tcBorders>
              <w:top w:val="nil"/>
              <w:left w:val="nil"/>
              <w:bottom w:val="nil"/>
              <w:right w:val="nil"/>
            </w:tcBorders>
            <w:shd w:val="clear" w:color="auto" w:fill="auto"/>
            <w:noWrap/>
            <w:vAlign w:val="bottom"/>
            <w:hideMark/>
          </w:tcPr>
          <w:p w14:paraId="0AD8EA4F" w14:textId="4578619E"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6,198</w:t>
            </w:r>
          </w:p>
        </w:tc>
        <w:tc>
          <w:tcPr>
            <w:tcW w:w="851" w:type="dxa"/>
            <w:tcBorders>
              <w:top w:val="nil"/>
              <w:left w:val="nil"/>
              <w:bottom w:val="nil"/>
              <w:right w:val="nil"/>
            </w:tcBorders>
            <w:shd w:val="clear" w:color="auto" w:fill="E6E6E6"/>
            <w:noWrap/>
            <w:vAlign w:val="bottom"/>
            <w:hideMark/>
          </w:tcPr>
          <w:p w14:paraId="3EA1964A" w14:textId="3645D2A0"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7,033</w:t>
            </w:r>
          </w:p>
        </w:tc>
        <w:tc>
          <w:tcPr>
            <w:tcW w:w="850" w:type="dxa"/>
            <w:tcBorders>
              <w:top w:val="nil"/>
              <w:left w:val="nil"/>
              <w:bottom w:val="nil"/>
              <w:right w:val="nil"/>
            </w:tcBorders>
            <w:shd w:val="clear" w:color="auto" w:fill="auto"/>
            <w:noWrap/>
            <w:vAlign w:val="bottom"/>
            <w:hideMark/>
          </w:tcPr>
          <w:p w14:paraId="580F7A8F" w14:textId="2FAE1101"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4,954</w:t>
            </w:r>
          </w:p>
        </w:tc>
      </w:tr>
      <w:tr w:rsidR="00DC32E8" w:rsidRPr="003F22B1" w14:paraId="1DA0AFEB" w14:textId="77777777" w:rsidTr="00C36772">
        <w:trPr>
          <w:trHeight w:val="204"/>
        </w:trPr>
        <w:tc>
          <w:tcPr>
            <w:tcW w:w="2977" w:type="dxa"/>
            <w:tcBorders>
              <w:top w:val="nil"/>
              <w:left w:val="nil"/>
              <w:bottom w:val="nil"/>
              <w:right w:val="nil"/>
            </w:tcBorders>
            <w:shd w:val="clear" w:color="auto" w:fill="auto"/>
            <w:vAlign w:val="bottom"/>
            <w:hideMark/>
          </w:tcPr>
          <w:p w14:paraId="76C0701F" w14:textId="77777777"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Community Development Grants Program - new projects</w:t>
            </w:r>
          </w:p>
        </w:tc>
        <w:tc>
          <w:tcPr>
            <w:tcW w:w="1085" w:type="dxa"/>
            <w:tcBorders>
              <w:top w:val="nil"/>
              <w:left w:val="nil"/>
              <w:bottom w:val="nil"/>
              <w:right w:val="nil"/>
            </w:tcBorders>
            <w:shd w:val="clear" w:color="auto" w:fill="auto"/>
            <w:noWrap/>
            <w:vAlign w:val="bottom"/>
            <w:hideMark/>
          </w:tcPr>
          <w:p w14:paraId="4F9A3EAF" w14:textId="02DF0136" w:rsidR="00E903AC" w:rsidRPr="00E903AC" w:rsidRDefault="00E903AC" w:rsidP="00E903AC">
            <w:pPr>
              <w:spacing w:after="0" w:line="240" w:lineRule="auto"/>
              <w:jc w:val="center"/>
              <w:rPr>
                <w:rFonts w:ascii="Arial" w:hAnsi="Arial" w:cs="Arial"/>
                <w:sz w:val="16"/>
                <w:szCs w:val="16"/>
              </w:rPr>
            </w:pPr>
            <w:r w:rsidRPr="00E903AC">
              <w:rPr>
                <w:rFonts w:ascii="Arial" w:hAnsi="Arial" w:cs="Arial"/>
                <w:sz w:val="16"/>
                <w:szCs w:val="16"/>
              </w:rPr>
              <w:t>3.1</w:t>
            </w:r>
          </w:p>
        </w:tc>
        <w:tc>
          <w:tcPr>
            <w:tcW w:w="860" w:type="dxa"/>
            <w:tcBorders>
              <w:top w:val="nil"/>
              <w:left w:val="nil"/>
              <w:bottom w:val="nil"/>
              <w:right w:val="nil"/>
            </w:tcBorders>
            <w:shd w:val="clear" w:color="auto" w:fill="E6E6E6"/>
            <w:noWrap/>
            <w:vAlign w:val="bottom"/>
            <w:hideMark/>
          </w:tcPr>
          <w:p w14:paraId="6B63AF4A" w14:textId="43CF14C7" w:rsidR="00E903AC" w:rsidRPr="00E903AC" w:rsidRDefault="00E903AC" w:rsidP="0010271A">
            <w:pPr>
              <w:spacing w:after="0" w:line="240" w:lineRule="auto"/>
              <w:ind w:right="57"/>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6A48A36A" w14:textId="77777777" w:rsidR="00E903AC" w:rsidRPr="00E903AC" w:rsidRDefault="00E903AC" w:rsidP="0010271A">
            <w:pPr>
              <w:spacing w:after="0" w:line="240" w:lineRule="auto"/>
              <w:ind w:right="57"/>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7FB20B52" w14:textId="7A5CDFB8" w:rsidR="00E903AC" w:rsidRPr="00E903AC" w:rsidRDefault="00E903AC" w:rsidP="0010271A">
            <w:pPr>
              <w:spacing w:after="0" w:line="240" w:lineRule="auto"/>
              <w:ind w:right="57"/>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C69459E" w14:textId="77777777" w:rsidR="00E903AC" w:rsidRPr="00E903AC" w:rsidRDefault="00E903AC" w:rsidP="0010271A">
            <w:pPr>
              <w:spacing w:after="0" w:line="240" w:lineRule="auto"/>
              <w:ind w:right="57"/>
              <w:jc w:val="right"/>
              <w:rPr>
                <w:rFonts w:ascii="Arial" w:hAnsi="Arial" w:cs="Arial"/>
                <w:sz w:val="16"/>
                <w:szCs w:val="16"/>
              </w:rPr>
            </w:pPr>
          </w:p>
        </w:tc>
      </w:tr>
      <w:tr w:rsidR="00DC32E8" w:rsidRPr="003F22B1" w14:paraId="5D089122"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3889850A" w14:textId="109A6856"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 xml:space="preserve">Administered </w:t>
            </w:r>
            <w:r>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0EC1B318" w14:textId="77777777" w:rsidR="00E903AC" w:rsidRPr="00E903AC" w:rsidRDefault="00E903AC" w:rsidP="00E903AC">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vAlign w:val="bottom"/>
            <w:hideMark/>
          </w:tcPr>
          <w:p w14:paraId="380046C2" w14:textId="57FF9658"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2,000</w:t>
            </w:r>
          </w:p>
        </w:tc>
        <w:tc>
          <w:tcPr>
            <w:tcW w:w="890" w:type="dxa"/>
            <w:tcBorders>
              <w:top w:val="nil"/>
              <w:left w:val="nil"/>
              <w:bottom w:val="nil"/>
              <w:right w:val="nil"/>
            </w:tcBorders>
            <w:shd w:val="clear" w:color="auto" w:fill="auto"/>
            <w:noWrap/>
            <w:vAlign w:val="bottom"/>
            <w:hideMark/>
          </w:tcPr>
          <w:p w14:paraId="7DA74C4D" w14:textId="03379B98"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3,000</w:t>
            </w:r>
          </w:p>
        </w:tc>
        <w:tc>
          <w:tcPr>
            <w:tcW w:w="851" w:type="dxa"/>
            <w:tcBorders>
              <w:top w:val="nil"/>
              <w:left w:val="nil"/>
              <w:bottom w:val="nil"/>
              <w:right w:val="nil"/>
            </w:tcBorders>
            <w:shd w:val="clear" w:color="auto" w:fill="E6E6E6"/>
            <w:noWrap/>
            <w:vAlign w:val="bottom"/>
            <w:hideMark/>
          </w:tcPr>
          <w:p w14:paraId="16271F49" w14:textId="0758BFBC"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2,000</w:t>
            </w:r>
          </w:p>
        </w:tc>
        <w:tc>
          <w:tcPr>
            <w:tcW w:w="850" w:type="dxa"/>
            <w:tcBorders>
              <w:top w:val="nil"/>
              <w:left w:val="nil"/>
              <w:bottom w:val="nil"/>
              <w:right w:val="nil"/>
            </w:tcBorders>
            <w:shd w:val="clear" w:color="auto" w:fill="auto"/>
            <w:noWrap/>
            <w:vAlign w:val="bottom"/>
            <w:hideMark/>
          </w:tcPr>
          <w:p w14:paraId="75E7E9FD" w14:textId="72C03489"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7,000</w:t>
            </w:r>
          </w:p>
        </w:tc>
      </w:tr>
      <w:tr w:rsidR="00DC32E8" w:rsidRPr="003F22B1" w14:paraId="341E9B05"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2CB4B9DE" w14:textId="77777777" w:rsidR="00E903AC" w:rsidRPr="00876162" w:rsidRDefault="00E903AC" w:rsidP="00E903AC">
            <w:pPr>
              <w:spacing w:after="0" w:line="240" w:lineRule="auto"/>
              <w:jc w:val="left"/>
              <w:rPr>
                <w:rFonts w:ascii="Arial" w:hAnsi="Arial" w:cs="Arial"/>
                <w:b/>
                <w:bCs/>
                <w:sz w:val="16"/>
                <w:szCs w:val="16"/>
              </w:rPr>
            </w:pPr>
            <w:r w:rsidRPr="00876162">
              <w:rPr>
                <w:rFonts w:ascii="Arial" w:hAnsi="Arial" w:cs="Arial"/>
                <w:b/>
                <w:bCs/>
                <w:sz w:val="16"/>
                <w:szCs w:val="16"/>
              </w:rPr>
              <w:t>Total</w:t>
            </w:r>
          </w:p>
        </w:tc>
        <w:tc>
          <w:tcPr>
            <w:tcW w:w="1085" w:type="dxa"/>
            <w:tcBorders>
              <w:top w:val="nil"/>
              <w:left w:val="nil"/>
              <w:bottom w:val="nil"/>
              <w:right w:val="nil"/>
            </w:tcBorders>
            <w:shd w:val="clear" w:color="auto" w:fill="auto"/>
            <w:noWrap/>
            <w:vAlign w:val="bottom"/>
            <w:hideMark/>
          </w:tcPr>
          <w:p w14:paraId="2C4B3E6F" w14:textId="77777777" w:rsidR="00E903AC" w:rsidRPr="00E903AC" w:rsidRDefault="00E903AC" w:rsidP="00E903AC">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auto" w:fill="E6E6E6"/>
            <w:noWrap/>
            <w:vAlign w:val="bottom"/>
            <w:hideMark/>
          </w:tcPr>
          <w:p w14:paraId="5DA6F86C" w14:textId="52AC672B"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2,000</w:t>
            </w:r>
          </w:p>
        </w:tc>
        <w:tc>
          <w:tcPr>
            <w:tcW w:w="890" w:type="dxa"/>
            <w:tcBorders>
              <w:top w:val="nil"/>
              <w:left w:val="nil"/>
              <w:bottom w:val="nil"/>
              <w:right w:val="nil"/>
            </w:tcBorders>
            <w:shd w:val="clear" w:color="auto" w:fill="auto"/>
            <w:noWrap/>
            <w:vAlign w:val="bottom"/>
            <w:hideMark/>
          </w:tcPr>
          <w:p w14:paraId="699527BD" w14:textId="3AFEAD78"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3,000</w:t>
            </w:r>
          </w:p>
        </w:tc>
        <w:tc>
          <w:tcPr>
            <w:tcW w:w="851" w:type="dxa"/>
            <w:tcBorders>
              <w:top w:val="nil"/>
              <w:left w:val="nil"/>
              <w:bottom w:val="nil"/>
              <w:right w:val="nil"/>
            </w:tcBorders>
            <w:shd w:val="clear" w:color="auto" w:fill="E6E6E6"/>
            <w:noWrap/>
            <w:vAlign w:val="bottom"/>
            <w:hideMark/>
          </w:tcPr>
          <w:p w14:paraId="1A227C11" w14:textId="5751AE0F"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2,000</w:t>
            </w:r>
          </w:p>
        </w:tc>
        <w:tc>
          <w:tcPr>
            <w:tcW w:w="850" w:type="dxa"/>
            <w:tcBorders>
              <w:top w:val="nil"/>
              <w:left w:val="nil"/>
              <w:bottom w:val="nil"/>
              <w:right w:val="nil"/>
            </w:tcBorders>
            <w:shd w:val="clear" w:color="auto" w:fill="auto"/>
            <w:noWrap/>
            <w:vAlign w:val="bottom"/>
            <w:hideMark/>
          </w:tcPr>
          <w:p w14:paraId="37FE5C10" w14:textId="738F4AA4"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7,000</w:t>
            </w:r>
          </w:p>
        </w:tc>
      </w:tr>
      <w:tr w:rsidR="00DC32E8" w:rsidRPr="003F22B1" w14:paraId="38CAA658" w14:textId="77777777" w:rsidTr="00C36772">
        <w:trPr>
          <w:trHeight w:val="204"/>
        </w:trPr>
        <w:tc>
          <w:tcPr>
            <w:tcW w:w="2977" w:type="dxa"/>
            <w:tcBorders>
              <w:top w:val="nil"/>
              <w:left w:val="nil"/>
              <w:bottom w:val="nil"/>
              <w:right w:val="nil"/>
            </w:tcBorders>
            <w:shd w:val="clear" w:color="auto" w:fill="auto"/>
            <w:vAlign w:val="bottom"/>
            <w:hideMark/>
          </w:tcPr>
          <w:p w14:paraId="5BAC3934" w14:textId="77777777"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COVID-19 Response Package - additional arts sector support</w:t>
            </w:r>
          </w:p>
        </w:tc>
        <w:tc>
          <w:tcPr>
            <w:tcW w:w="1085" w:type="dxa"/>
            <w:tcBorders>
              <w:top w:val="nil"/>
              <w:left w:val="nil"/>
              <w:bottom w:val="nil"/>
              <w:right w:val="nil"/>
            </w:tcBorders>
            <w:shd w:val="clear" w:color="auto" w:fill="auto"/>
            <w:noWrap/>
            <w:vAlign w:val="bottom"/>
            <w:hideMark/>
          </w:tcPr>
          <w:p w14:paraId="791B6591" w14:textId="6D9C04BE" w:rsidR="00E903AC" w:rsidRPr="00E903AC" w:rsidRDefault="00E903AC" w:rsidP="00E903AC">
            <w:pPr>
              <w:spacing w:after="0" w:line="240" w:lineRule="auto"/>
              <w:jc w:val="center"/>
              <w:rPr>
                <w:rFonts w:ascii="Arial" w:hAnsi="Arial" w:cs="Arial"/>
                <w:sz w:val="16"/>
                <w:szCs w:val="16"/>
              </w:rPr>
            </w:pPr>
            <w:r w:rsidRPr="00E903AC">
              <w:rPr>
                <w:rFonts w:ascii="Arial" w:hAnsi="Arial" w:cs="Arial"/>
                <w:sz w:val="16"/>
                <w:szCs w:val="16"/>
              </w:rPr>
              <w:t>6.1</w:t>
            </w:r>
          </w:p>
        </w:tc>
        <w:tc>
          <w:tcPr>
            <w:tcW w:w="860" w:type="dxa"/>
            <w:tcBorders>
              <w:top w:val="nil"/>
              <w:left w:val="nil"/>
              <w:bottom w:val="nil"/>
              <w:right w:val="nil"/>
            </w:tcBorders>
            <w:shd w:val="clear" w:color="auto" w:fill="E6E6E6"/>
            <w:noWrap/>
            <w:vAlign w:val="bottom"/>
            <w:hideMark/>
          </w:tcPr>
          <w:p w14:paraId="2B14582C" w14:textId="5B2F6392" w:rsidR="00E903AC" w:rsidRPr="00E903AC" w:rsidRDefault="00E903AC" w:rsidP="0010271A">
            <w:pPr>
              <w:spacing w:after="0" w:line="240" w:lineRule="auto"/>
              <w:ind w:right="57"/>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46876A6C" w14:textId="77777777" w:rsidR="00E903AC" w:rsidRPr="00E903AC" w:rsidRDefault="00E903AC" w:rsidP="0010271A">
            <w:pPr>
              <w:spacing w:after="0" w:line="240" w:lineRule="auto"/>
              <w:ind w:right="57"/>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540A944A" w14:textId="440BCAC1" w:rsidR="00E903AC" w:rsidRPr="00E903AC" w:rsidRDefault="00E903AC" w:rsidP="0010271A">
            <w:pPr>
              <w:spacing w:after="0" w:line="240" w:lineRule="auto"/>
              <w:ind w:right="57"/>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4E7B9AB" w14:textId="77777777" w:rsidR="00E903AC" w:rsidRPr="00E903AC" w:rsidRDefault="00E903AC" w:rsidP="0010271A">
            <w:pPr>
              <w:spacing w:after="0" w:line="240" w:lineRule="auto"/>
              <w:ind w:right="57"/>
              <w:jc w:val="right"/>
              <w:rPr>
                <w:rFonts w:ascii="Arial" w:hAnsi="Arial" w:cs="Arial"/>
                <w:sz w:val="16"/>
                <w:szCs w:val="16"/>
              </w:rPr>
            </w:pPr>
          </w:p>
        </w:tc>
      </w:tr>
      <w:tr w:rsidR="00DC32E8" w:rsidRPr="003F22B1" w14:paraId="3786A34D"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515C53E9" w14:textId="43871459"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 xml:space="preserve">Administered </w:t>
            </w:r>
            <w:r>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5E0BF898" w14:textId="77777777" w:rsidR="00E903AC" w:rsidRPr="00E903AC" w:rsidRDefault="00E903AC" w:rsidP="00E903AC">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vAlign w:val="bottom"/>
            <w:hideMark/>
          </w:tcPr>
          <w:p w14:paraId="0C4CCF17" w14:textId="136E2B7A"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44,000</w:t>
            </w:r>
          </w:p>
        </w:tc>
        <w:tc>
          <w:tcPr>
            <w:tcW w:w="890" w:type="dxa"/>
            <w:tcBorders>
              <w:top w:val="nil"/>
              <w:left w:val="nil"/>
              <w:bottom w:val="nil"/>
              <w:right w:val="nil"/>
            </w:tcBorders>
            <w:shd w:val="clear" w:color="auto" w:fill="auto"/>
            <w:noWrap/>
            <w:vAlign w:val="bottom"/>
            <w:hideMark/>
          </w:tcPr>
          <w:p w14:paraId="79B16019" w14:textId="0486A73D"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w:t>
            </w:r>
          </w:p>
        </w:tc>
        <w:tc>
          <w:tcPr>
            <w:tcW w:w="851" w:type="dxa"/>
            <w:tcBorders>
              <w:top w:val="nil"/>
              <w:left w:val="nil"/>
              <w:bottom w:val="nil"/>
              <w:right w:val="nil"/>
            </w:tcBorders>
            <w:shd w:val="clear" w:color="auto" w:fill="E6E6E6"/>
            <w:noWrap/>
            <w:vAlign w:val="bottom"/>
            <w:hideMark/>
          </w:tcPr>
          <w:p w14:paraId="24C08882" w14:textId="3CCA8050"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0941AC96" w14:textId="3FA95CE5" w:rsidR="00E903AC" w:rsidRPr="00E903AC" w:rsidRDefault="00E903AC" w:rsidP="0010271A">
            <w:pPr>
              <w:spacing w:after="0" w:line="240" w:lineRule="auto"/>
              <w:ind w:right="57"/>
              <w:jc w:val="right"/>
              <w:rPr>
                <w:rFonts w:ascii="Arial" w:hAnsi="Arial" w:cs="Arial"/>
                <w:sz w:val="16"/>
                <w:szCs w:val="16"/>
              </w:rPr>
            </w:pPr>
            <w:r w:rsidRPr="00E903AC">
              <w:rPr>
                <w:rFonts w:ascii="Arial" w:hAnsi="Arial" w:cs="Arial"/>
                <w:sz w:val="16"/>
                <w:szCs w:val="16"/>
              </w:rPr>
              <w:t>-</w:t>
            </w:r>
          </w:p>
        </w:tc>
      </w:tr>
      <w:tr w:rsidR="00DC32E8" w:rsidRPr="003F22B1" w14:paraId="11FC8899"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43338C47" w14:textId="77777777" w:rsidR="00E903AC" w:rsidRPr="00876162" w:rsidRDefault="00E903AC" w:rsidP="00E903AC">
            <w:pPr>
              <w:spacing w:after="0" w:line="240" w:lineRule="auto"/>
              <w:jc w:val="left"/>
              <w:rPr>
                <w:rFonts w:ascii="Arial" w:hAnsi="Arial" w:cs="Arial"/>
                <w:b/>
                <w:bCs/>
                <w:sz w:val="16"/>
                <w:szCs w:val="16"/>
              </w:rPr>
            </w:pPr>
            <w:r w:rsidRPr="00876162">
              <w:rPr>
                <w:rFonts w:ascii="Arial" w:hAnsi="Arial" w:cs="Arial"/>
                <w:b/>
                <w:bCs/>
                <w:sz w:val="16"/>
                <w:szCs w:val="16"/>
              </w:rPr>
              <w:t>Total</w:t>
            </w:r>
          </w:p>
        </w:tc>
        <w:tc>
          <w:tcPr>
            <w:tcW w:w="1085" w:type="dxa"/>
            <w:tcBorders>
              <w:top w:val="nil"/>
              <w:left w:val="nil"/>
              <w:bottom w:val="nil"/>
              <w:right w:val="nil"/>
            </w:tcBorders>
            <w:shd w:val="clear" w:color="auto" w:fill="auto"/>
            <w:noWrap/>
            <w:vAlign w:val="bottom"/>
            <w:hideMark/>
          </w:tcPr>
          <w:p w14:paraId="2B994853" w14:textId="77777777" w:rsidR="00E903AC" w:rsidRPr="00E903AC" w:rsidRDefault="00E903AC" w:rsidP="00E903AC">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auto" w:fill="E6E6E6"/>
            <w:noWrap/>
            <w:vAlign w:val="bottom"/>
            <w:hideMark/>
          </w:tcPr>
          <w:p w14:paraId="32786B66" w14:textId="5F5DA33E"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44,000</w:t>
            </w:r>
          </w:p>
        </w:tc>
        <w:tc>
          <w:tcPr>
            <w:tcW w:w="890" w:type="dxa"/>
            <w:tcBorders>
              <w:top w:val="nil"/>
              <w:left w:val="nil"/>
              <w:bottom w:val="nil"/>
              <w:right w:val="nil"/>
            </w:tcBorders>
            <w:shd w:val="clear" w:color="auto" w:fill="auto"/>
            <w:noWrap/>
            <w:vAlign w:val="bottom"/>
            <w:hideMark/>
          </w:tcPr>
          <w:p w14:paraId="50BCFA53" w14:textId="264C6A80"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w:t>
            </w:r>
          </w:p>
        </w:tc>
        <w:tc>
          <w:tcPr>
            <w:tcW w:w="851" w:type="dxa"/>
            <w:tcBorders>
              <w:top w:val="nil"/>
              <w:left w:val="nil"/>
              <w:bottom w:val="nil"/>
              <w:right w:val="nil"/>
            </w:tcBorders>
            <w:shd w:val="clear" w:color="auto" w:fill="E6E6E6"/>
            <w:noWrap/>
            <w:vAlign w:val="bottom"/>
            <w:hideMark/>
          </w:tcPr>
          <w:p w14:paraId="7CDC2CEC" w14:textId="5C9E7655"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w:t>
            </w:r>
          </w:p>
        </w:tc>
        <w:tc>
          <w:tcPr>
            <w:tcW w:w="850" w:type="dxa"/>
            <w:tcBorders>
              <w:top w:val="nil"/>
              <w:left w:val="nil"/>
              <w:bottom w:val="nil"/>
              <w:right w:val="nil"/>
            </w:tcBorders>
            <w:shd w:val="clear" w:color="auto" w:fill="auto"/>
            <w:noWrap/>
            <w:vAlign w:val="bottom"/>
            <w:hideMark/>
          </w:tcPr>
          <w:p w14:paraId="25B453B8" w14:textId="462E7FCF" w:rsidR="00E903AC" w:rsidRPr="00E903AC" w:rsidRDefault="00E903AC" w:rsidP="0010271A">
            <w:pPr>
              <w:spacing w:after="0" w:line="240" w:lineRule="auto"/>
              <w:ind w:right="57"/>
              <w:jc w:val="right"/>
              <w:rPr>
                <w:rFonts w:ascii="Arial" w:hAnsi="Arial" w:cs="Arial"/>
                <w:b/>
                <w:bCs/>
                <w:sz w:val="16"/>
                <w:szCs w:val="16"/>
              </w:rPr>
            </w:pPr>
            <w:r w:rsidRPr="00E903AC">
              <w:rPr>
                <w:rFonts w:ascii="Arial" w:hAnsi="Arial" w:cs="Arial"/>
                <w:b/>
                <w:bCs/>
                <w:sz w:val="16"/>
                <w:szCs w:val="16"/>
              </w:rPr>
              <w:t>-</w:t>
            </w:r>
          </w:p>
        </w:tc>
      </w:tr>
      <w:tr w:rsidR="00DC32E8" w:rsidRPr="003F22B1" w14:paraId="23679F62" w14:textId="77777777" w:rsidTr="00C36772">
        <w:trPr>
          <w:trHeight w:val="204"/>
        </w:trPr>
        <w:tc>
          <w:tcPr>
            <w:tcW w:w="2977" w:type="dxa"/>
            <w:tcBorders>
              <w:top w:val="nil"/>
              <w:left w:val="nil"/>
              <w:bottom w:val="nil"/>
              <w:right w:val="nil"/>
            </w:tcBorders>
            <w:shd w:val="clear" w:color="auto" w:fill="auto"/>
            <w:vAlign w:val="bottom"/>
            <w:hideMark/>
          </w:tcPr>
          <w:p w14:paraId="4403837A" w14:textId="3BDACADE"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 xml:space="preserve">COVID-19 Response Package - additional aviation support </w:t>
            </w:r>
            <w:r>
              <w:rPr>
                <w:rFonts w:ascii="Arial" w:hAnsi="Arial" w:cs="Arial"/>
                <w:sz w:val="16"/>
                <w:szCs w:val="16"/>
              </w:rPr>
              <w:t>–</w:t>
            </w:r>
            <w:r w:rsidRPr="00876162">
              <w:rPr>
                <w:rFonts w:ascii="Arial" w:hAnsi="Arial" w:cs="Arial"/>
                <w:sz w:val="16"/>
                <w:szCs w:val="16"/>
              </w:rPr>
              <w:t xml:space="preserve"> continued</w:t>
            </w:r>
            <w:r>
              <w:rPr>
                <w:rFonts w:ascii="Arial" w:hAnsi="Arial" w:cs="Arial"/>
                <w:sz w:val="16"/>
                <w:szCs w:val="16"/>
              </w:rPr>
              <w:t xml:space="preserve"> </w:t>
            </w:r>
            <w:r w:rsidRPr="00EF48BF">
              <w:rPr>
                <w:rFonts w:ascii="Arial" w:hAnsi="Arial" w:cs="Arial"/>
                <w:sz w:val="16"/>
                <w:szCs w:val="16"/>
                <w:vertAlign w:val="superscript"/>
              </w:rPr>
              <w:t>(a)</w:t>
            </w:r>
          </w:p>
        </w:tc>
        <w:tc>
          <w:tcPr>
            <w:tcW w:w="1085" w:type="dxa"/>
            <w:tcBorders>
              <w:top w:val="nil"/>
              <w:left w:val="nil"/>
              <w:bottom w:val="nil"/>
              <w:right w:val="nil"/>
            </w:tcBorders>
            <w:shd w:val="clear" w:color="auto" w:fill="auto"/>
            <w:noWrap/>
            <w:vAlign w:val="bottom"/>
            <w:hideMark/>
          </w:tcPr>
          <w:p w14:paraId="55D7ACDF" w14:textId="43CBCAFF" w:rsidR="00E903AC" w:rsidRPr="00876162" w:rsidRDefault="00E903AC" w:rsidP="00E903AC">
            <w:pPr>
              <w:spacing w:after="0" w:line="240" w:lineRule="auto"/>
              <w:jc w:val="center"/>
              <w:rPr>
                <w:rFonts w:ascii="Arial" w:hAnsi="Arial" w:cs="Arial"/>
                <w:sz w:val="16"/>
                <w:szCs w:val="16"/>
              </w:rPr>
            </w:pPr>
            <w:r>
              <w:rPr>
                <w:rFonts w:ascii="Arial" w:hAnsi="Arial" w:cs="Arial"/>
                <w:sz w:val="16"/>
                <w:szCs w:val="16"/>
              </w:rPr>
              <w:t>2.3</w:t>
            </w:r>
          </w:p>
        </w:tc>
        <w:tc>
          <w:tcPr>
            <w:tcW w:w="860" w:type="dxa"/>
            <w:tcBorders>
              <w:top w:val="nil"/>
              <w:left w:val="nil"/>
              <w:bottom w:val="nil"/>
              <w:right w:val="nil"/>
            </w:tcBorders>
            <w:shd w:val="clear" w:color="auto" w:fill="E6E6E6"/>
            <w:noWrap/>
            <w:vAlign w:val="bottom"/>
            <w:hideMark/>
          </w:tcPr>
          <w:p w14:paraId="4E0FC0C6" w14:textId="00E9F561" w:rsidR="00E903AC" w:rsidRPr="00876162" w:rsidRDefault="00E903AC" w:rsidP="0010271A">
            <w:pPr>
              <w:spacing w:after="0" w:line="240" w:lineRule="auto"/>
              <w:ind w:right="57"/>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4D635CFF" w14:textId="77777777" w:rsidR="00E903AC" w:rsidRPr="00876162" w:rsidRDefault="00E903AC" w:rsidP="0010271A">
            <w:pPr>
              <w:spacing w:after="0" w:line="240" w:lineRule="auto"/>
              <w:ind w:right="57"/>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77F38025" w14:textId="2A77412A" w:rsidR="00E903AC" w:rsidRPr="00876162" w:rsidRDefault="00E903AC" w:rsidP="0010271A">
            <w:pPr>
              <w:spacing w:after="0" w:line="240" w:lineRule="auto"/>
              <w:ind w:right="57"/>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5387FFA8" w14:textId="77777777" w:rsidR="00E903AC" w:rsidRPr="00876162" w:rsidRDefault="00E903AC" w:rsidP="0010271A">
            <w:pPr>
              <w:spacing w:after="0" w:line="240" w:lineRule="auto"/>
              <w:ind w:right="57"/>
              <w:jc w:val="right"/>
              <w:rPr>
                <w:rFonts w:ascii="Arial" w:hAnsi="Arial" w:cs="Arial"/>
                <w:sz w:val="16"/>
                <w:szCs w:val="16"/>
              </w:rPr>
            </w:pPr>
          </w:p>
        </w:tc>
      </w:tr>
      <w:tr w:rsidR="00DC32E8" w:rsidRPr="003F22B1" w14:paraId="58CA5C77"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595A33CA" w14:textId="34DB3C17"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 xml:space="preserve">Administered </w:t>
            </w:r>
            <w:r>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7481A745" w14:textId="77777777" w:rsidR="00E903AC" w:rsidRPr="00876162" w:rsidRDefault="00E903AC" w:rsidP="00E903AC">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vAlign w:val="bottom"/>
            <w:hideMark/>
          </w:tcPr>
          <w:p w14:paraId="2CFAE892" w14:textId="39F4721F" w:rsidR="00E903AC" w:rsidRPr="00876162" w:rsidRDefault="00E903AC" w:rsidP="0010271A">
            <w:pPr>
              <w:spacing w:after="0" w:line="240" w:lineRule="auto"/>
              <w:ind w:right="57"/>
              <w:jc w:val="right"/>
              <w:rPr>
                <w:rFonts w:ascii="Arial" w:hAnsi="Arial" w:cs="Arial"/>
                <w:sz w:val="16"/>
                <w:szCs w:val="16"/>
              </w:rPr>
            </w:pPr>
            <w:proofErr w:type="spellStart"/>
            <w:r>
              <w:rPr>
                <w:rFonts w:ascii="Arial" w:hAnsi="Arial" w:cs="Arial"/>
                <w:sz w:val="16"/>
                <w:szCs w:val="16"/>
              </w:rPr>
              <w:t>nfp</w:t>
            </w:r>
            <w:proofErr w:type="spellEnd"/>
          </w:p>
        </w:tc>
        <w:tc>
          <w:tcPr>
            <w:tcW w:w="890" w:type="dxa"/>
            <w:tcBorders>
              <w:top w:val="nil"/>
              <w:left w:val="nil"/>
              <w:bottom w:val="nil"/>
              <w:right w:val="nil"/>
            </w:tcBorders>
            <w:shd w:val="clear" w:color="auto" w:fill="auto"/>
            <w:noWrap/>
            <w:vAlign w:val="bottom"/>
            <w:hideMark/>
          </w:tcPr>
          <w:p w14:paraId="30B8EF19" w14:textId="3C0BA134"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E6E6E6"/>
            <w:noWrap/>
            <w:vAlign w:val="bottom"/>
            <w:hideMark/>
          </w:tcPr>
          <w:p w14:paraId="41B9658D" w14:textId="25342F08"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0079B967" w14:textId="5DFD0DB0"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r>
      <w:tr w:rsidR="00DC32E8" w:rsidRPr="003F22B1" w14:paraId="5B033F2F"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664A15F9" w14:textId="77777777" w:rsidR="00E903AC" w:rsidRPr="0074668F" w:rsidRDefault="00E903AC" w:rsidP="00E903AC">
            <w:pPr>
              <w:spacing w:after="0" w:line="240" w:lineRule="auto"/>
              <w:jc w:val="left"/>
              <w:rPr>
                <w:rFonts w:ascii="Arial" w:hAnsi="Arial" w:cs="Arial"/>
                <w:b/>
                <w:sz w:val="16"/>
                <w:szCs w:val="16"/>
              </w:rPr>
            </w:pPr>
            <w:r w:rsidRPr="0074668F">
              <w:rPr>
                <w:rFonts w:ascii="Arial" w:hAnsi="Arial" w:cs="Arial"/>
                <w:b/>
                <w:sz w:val="16"/>
                <w:szCs w:val="16"/>
              </w:rPr>
              <w:t>Total</w:t>
            </w:r>
          </w:p>
        </w:tc>
        <w:tc>
          <w:tcPr>
            <w:tcW w:w="1085" w:type="dxa"/>
            <w:tcBorders>
              <w:top w:val="nil"/>
              <w:left w:val="nil"/>
              <w:bottom w:val="nil"/>
              <w:right w:val="nil"/>
            </w:tcBorders>
            <w:shd w:val="clear" w:color="auto" w:fill="auto"/>
            <w:noWrap/>
            <w:vAlign w:val="bottom"/>
            <w:hideMark/>
          </w:tcPr>
          <w:p w14:paraId="4339E778" w14:textId="77777777" w:rsidR="00E903AC" w:rsidRPr="00876162" w:rsidRDefault="00E903AC" w:rsidP="00E903AC">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auto" w:fill="E6E6E6"/>
            <w:noWrap/>
            <w:vAlign w:val="bottom"/>
            <w:hideMark/>
          </w:tcPr>
          <w:p w14:paraId="1F71C3A8" w14:textId="07A39F55" w:rsidR="00E903AC" w:rsidRPr="00876162" w:rsidRDefault="006D6148" w:rsidP="0010271A">
            <w:pPr>
              <w:spacing w:after="0" w:line="240" w:lineRule="auto"/>
              <w:ind w:right="57"/>
              <w:jc w:val="right"/>
              <w:rPr>
                <w:rFonts w:ascii="Arial" w:hAnsi="Arial" w:cs="Arial"/>
                <w:b/>
                <w:bCs/>
                <w:sz w:val="16"/>
                <w:szCs w:val="16"/>
              </w:rPr>
            </w:pPr>
            <w:proofErr w:type="spellStart"/>
            <w:r>
              <w:rPr>
                <w:rFonts w:ascii="Arial" w:hAnsi="Arial" w:cs="Arial"/>
                <w:b/>
                <w:bCs/>
                <w:sz w:val="16"/>
                <w:szCs w:val="16"/>
              </w:rPr>
              <w:t>nfp</w:t>
            </w:r>
            <w:proofErr w:type="spellEnd"/>
          </w:p>
        </w:tc>
        <w:tc>
          <w:tcPr>
            <w:tcW w:w="890" w:type="dxa"/>
            <w:tcBorders>
              <w:top w:val="nil"/>
              <w:left w:val="nil"/>
              <w:bottom w:val="nil"/>
              <w:right w:val="nil"/>
            </w:tcBorders>
            <w:shd w:val="clear" w:color="auto" w:fill="auto"/>
            <w:noWrap/>
            <w:vAlign w:val="bottom"/>
            <w:hideMark/>
          </w:tcPr>
          <w:p w14:paraId="6A6BCE6F" w14:textId="1C39CD31"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851" w:type="dxa"/>
            <w:tcBorders>
              <w:top w:val="nil"/>
              <w:left w:val="nil"/>
              <w:bottom w:val="nil"/>
              <w:right w:val="nil"/>
            </w:tcBorders>
            <w:shd w:val="clear" w:color="auto" w:fill="E6E6E6"/>
            <w:noWrap/>
            <w:vAlign w:val="bottom"/>
            <w:hideMark/>
          </w:tcPr>
          <w:p w14:paraId="44DB6053" w14:textId="70819176"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850" w:type="dxa"/>
            <w:tcBorders>
              <w:top w:val="nil"/>
              <w:left w:val="nil"/>
              <w:bottom w:val="nil"/>
              <w:right w:val="nil"/>
            </w:tcBorders>
            <w:shd w:val="clear" w:color="auto" w:fill="auto"/>
            <w:noWrap/>
            <w:vAlign w:val="bottom"/>
            <w:hideMark/>
          </w:tcPr>
          <w:p w14:paraId="2F0B2E7D" w14:textId="35B652B4"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r>
      <w:tr w:rsidR="00DC32E8" w:rsidRPr="003F22B1" w14:paraId="0E2AC36F" w14:textId="77777777" w:rsidTr="00C36772">
        <w:trPr>
          <w:trHeight w:val="204"/>
        </w:trPr>
        <w:tc>
          <w:tcPr>
            <w:tcW w:w="2977" w:type="dxa"/>
            <w:tcBorders>
              <w:top w:val="nil"/>
              <w:left w:val="nil"/>
              <w:bottom w:val="nil"/>
              <w:right w:val="nil"/>
            </w:tcBorders>
            <w:shd w:val="clear" w:color="auto" w:fill="auto"/>
            <w:vAlign w:val="bottom"/>
            <w:hideMark/>
          </w:tcPr>
          <w:p w14:paraId="096E924D" w14:textId="77777777"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Developing Australia's Parks</w:t>
            </w:r>
          </w:p>
        </w:tc>
        <w:tc>
          <w:tcPr>
            <w:tcW w:w="1085" w:type="dxa"/>
            <w:tcBorders>
              <w:top w:val="nil"/>
              <w:left w:val="nil"/>
              <w:bottom w:val="nil"/>
              <w:right w:val="nil"/>
            </w:tcBorders>
            <w:shd w:val="clear" w:color="auto" w:fill="auto"/>
            <w:noWrap/>
            <w:vAlign w:val="bottom"/>
            <w:hideMark/>
          </w:tcPr>
          <w:p w14:paraId="71EF5A41" w14:textId="31D5CFC0" w:rsidR="00E903AC" w:rsidRPr="00876162" w:rsidRDefault="00E903AC" w:rsidP="00E903AC">
            <w:pPr>
              <w:spacing w:after="0" w:line="240" w:lineRule="auto"/>
              <w:jc w:val="center"/>
              <w:rPr>
                <w:rFonts w:ascii="Arial" w:hAnsi="Arial" w:cs="Arial"/>
                <w:sz w:val="16"/>
                <w:szCs w:val="16"/>
              </w:rPr>
            </w:pPr>
            <w:r>
              <w:rPr>
                <w:rFonts w:ascii="Arial" w:hAnsi="Arial" w:cs="Arial"/>
                <w:sz w:val="16"/>
                <w:szCs w:val="16"/>
              </w:rPr>
              <w:t>6.1</w:t>
            </w:r>
          </w:p>
        </w:tc>
        <w:tc>
          <w:tcPr>
            <w:tcW w:w="860" w:type="dxa"/>
            <w:tcBorders>
              <w:top w:val="nil"/>
              <w:left w:val="nil"/>
              <w:bottom w:val="nil"/>
              <w:right w:val="nil"/>
            </w:tcBorders>
            <w:shd w:val="clear" w:color="auto" w:fill="E6E6E6"/>
            <w:noWrap/>
            <w:vAlign w:val="bottom"/>
            <w:hideMark/>
          </w:tcPr>
          <w:p w14:paraId="0666637E" w14:textId="2E8FA087" w:rsidR="00E903AC" w:rsidRPr="00876162" w:rsidRDefault="00E903AC" w:rsidP="0010271A">
            <w:pPr>
              <w:spacing w:after="0" w:line="240" w:lineRule="auto"/>
              <w:ind w:right="57"/>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21039BFD" w14:textId="77777777" w:rsidR="00E903AC" w:rsidRPr="00876162" w:rsidRDefault="00E903AC" w:rsidP="0010271A">
            <w:pPr>
              <w:spacing w:after="0" w:line="240" w:lineRule="auto"/>
              <w:ind w:right="57"/>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2283E9C4" w14:textId="570E2C6A" w:rsidR="00E903AC" w:rsidRPr="00876162" w:rsidRDefault="00E903AC" w:rsidP="0010271A">
            <w:pPr>
              <w:spacing w:after="0" w:line="240" w:lineRule="auto"/>
              <w:ind w:right="57"/>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9ABC82A" w14:textId="77777777" w:rsidR="00E903AC" w:rsidRPr="00876162" w:rsidRDefault="00E903AC" w:rsidP="0010271A">
            <w:pPr>
              <w:spacing w:after="0" w:line="240" w:lineRule="auto"/>
              <w:ind w:right="57"/>
              <w:jc w:val="right"/>
              <w:rPr>
                <w:rFonts w:ascii="Arial" w:hAnsi="Arial" w:cs="Arial"/>
                <w:sz w:val="16"/>
                <w:szCs w:val="16"/>
              </w:rPr>
            </w:pPr>
          </w:p>
        </w:tc>
      </w:tr>
      <w:tr w:rsidR="00DC32E8" w:rsidRPr="003F22B1" w14:paraId="5966DC7A"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19983A71" w14:textId="7941BC9C"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 xml:space="preserve">Administered </w:t>
            </w:r>
            <w:r>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0006AE9D" w14:textId="77777777" w:rsidR="00E903AC" w:rsidRPr="00876162" w:rsidRDefault="00E903AC" w:rsidP="00E903AC">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vAlign w:val="bottom"/>
            <w:hideMark/>
          </w:tcPr>
          <w:p w14:paraId="1B655AEF" w14:textId="55CAC263"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c>
          <w:tcPr>
            <w:tcW w:w="890" w:type="dxa"/>
            <w:tcBorders>
              <w:top w:val="nil"/>
              <w:left w:val="nil"/>
              <w:bottom w:val="nil"/>
              <w:right w:val="nil"/>
            </w:tcBorders>
            <w:shd w:val="clear" w:color="auto" w:fill="auto"/>
            <w:noWrap/>
            <w:vAlign w:val="bottom"/>
            <w:hideMark/>
          </w:tcPr>
          <w:p w14:paraId="1A5E4883" w14:textId="5E902EAC"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c>
          <w:tcPr>
            <w:tcW w:w="851" w:type="dxa"/>
            <w:tcBorders>
              <w:top w:val="nil"/>
              <w:left w:val="nil"/>
              <w:bottom w:val="nil"/>
              <w:right w:val="nil"/>
            </w:tcBorders>
            <w:shd w:val="clear" w:color="auto" w:fill="E6E6E6"/>
            <w:noWrap/>
            <w:vAlign w:val="bottom"/>
            <w:hideMark/>
          </w:tcPr>
          <w:p w14:paraId="2E1087DB" w14:textId="5C5B6D1A"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4B38B439" w14:textId="3A755883"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r>
      <w:tr w:rsidR="00DC32E8" w:rsidRPr="003F22B1" w14:paraId="178B8270"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5A251221" w14:textId="77777777" w:rsidR="00E903AC" w:rsidRPr="0074668F" w:rsidRDefault="00E903AC" w:rsidP="00E903AC">
            <w:pPr>
              <w:spacing w:after="0" w:line="240" w:lineRule="auto"/>
              <w:jc w:val="left"/>
              <w:rPr>
                <w:rFonts w:ascii="Arial" w:hAnsi="Arial" w:cs="Arial"/>
                <w:b/>
                <w:sz w:val="16"/>
                <w:szCs w:val="16"/>
              </w:rPr>
            </w:pPr>
            <w:r w:rsidRPr="0074668F">
              <w:rPr>
                <w:rFonts w:ascii="Arial" w:hAnsi="Arial" w:cs="Arial"/>
                <w:b/>
                <w:sz w:val="16"/>
                <w:szCs w:val="16"/>
              </w:rPr>
              <w:t>Total</w:t>
            </w:r>
          </w:p>
        </w:tc>
        <w:tc>
          <w:tcPr>
            <w:tcW w:w="1085" w:type="dxa"/>
            <w:tcBorders>
              <w:top w:val="nil"/>
              <w:left w:val="nil"/>
              <w:bottom w:val="nil"/>
              <w:right w:val="nil"/>
            </w:tcBorders>
            <w:shd w:val="clear" w:color="auto" w:fill="auto"/>
            <w:noWrap/>
            <w:vAlign w:val="bottom"/>
            <w:hideMark/>
          </w:tcPr>
          <w:p w14:paraId="5B3565B6" w14:textId="77777777" w:rsidR="00E903AC" w:rsidRPr="00876162" w:rsidRDefault="00E903AC" w:rsidP="00E903AC">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auto" w:fill="E6E6E6"/>
            <w:noWrap/>
            <w:vAlign w:val="bottom"/>
            <w:hideMark/>
          </w:tcPr>
          <w:p w14:paraId="2A8BDC46" w14:textId="42D159CE"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890" w:type="dxa"/>
            <w:tcBorders>
              <w:top w:val="nil"/>
              <w:left w:val="nil"/>
              <w:bottom w:val="nil"/>
              <w:right w:val="nil"/>
            </w:tcBorders>
            <w:shd w:val="clear" w:color="auto" w:fill="auto"/>
            <w:noWrap/>
            <w:vAlign w:val="bottom"/>
            <w:hideMark/>
          </w:tcPr>
          <w:p w14:paraId="528E2526" w14:textId="746F00DC"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851" w:type="dxa"/>
            <w:tcBorders>
              <w:top w:val="nil"/>
              <w:left w:val="nil"/>
              <w:bottom w:val="nil"/>
              <w:right w:val="nil"/>
            </w:tcBorders>
            <w:shd w:val="clear" w:color="auto" w:fill="E6E6E6"/>
            <w:noWrap/>
            <w:vAlign w:val="bottom"/>
            <w:hideMark/>
          </w:tcPr>
          <w:p w14:paraId="3233F3BA" w14:textId="6180EDA2"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850" w:type="dxa"/>
            <w:tcBorders>
              <w:top w:val="nil"/>
              <w:left w:val="nil"/>
              <w:bottom w:val="nil"/>
              <w:right w:val="nil"/>
            </w:tcBorders>
            <w:shd w:val="clear" w:color="auto" w:fill="auto"/>
            <w:noWrap/>
            <w:vAlign w:val="bottom"/>
            <w:hideMark/>
          </w:tcPr>
          <w:p w14:paraId="0E1A0702" w14:textId="2A29477B"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r>
      <w:tr w:rsidR="00DC32E8" w:rsidRPr="003F22B1" w14:paraId="247CE7FD" w14:textId="77777777" w:rsidTr="00C36772">
        <w:trPr>
          <w:trHeight w:val="204"/>
        </w:trPr>
        <w:tc>
          <w:tcPr>
            <w:tcW w:w="2977" w:type="dxa"/>
            <w:tcBorders>
              <w:top w:val="nil"/>
              <w:left w:val="nil"/>
              <w:bottom w:val="nil"/>
              <w:right w:val="nil"/>
            </w:tcBorders>
            <w:shd w:val="clear" w:color="auto" w:fill="auto"/>
            <w:vAlign w:val="bottom"/>
            <w:hideMark/>
          </w:tcPr>
          <w:p w14:paraId="0F78CA31" w14:textId="77777777"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Digital Economy Strategy - additional funding</w:t>
            </w:r>
          </w:p>
        </w:tc>
        <w:tc>
          <w:tcPr>
            <w:tcW w:w="1085" w:type="dxa"/>
            <w:tcBorders>
              <w:top w:val="nil"/>
              <w:left w:val="nil"/>
              <w:bottom w:val="nil"/>
              <w:right w:val="nil"/>
            </w:tcBorders>
            <w:shd w:val="clear" w:color="auto" w:fill="auto"/>
            <w:noWrap/>
            <w:vAlign w:val="bottom"/>
            <w:hideMark/>
          </w:tcPr>
          <w:p w14:paraId="27F1682F" w14:textId="0CA7F52E" w:rsidR="00E903AC" w:rsidRPr="00876162" w:rsidRDefault="00E903AC" w:rsidP="00E903AC">
            <w:pPr>
              <w:spacing w:after="0" w:line="240" w:lineRule="auto"/>
              <w:jc w:val="center"/>
              <w:rPr>
                <w:rFonts w:ascii="Arial" w:hAnsi="Arial" w:cs="Arial"/>
                <w:sz w:val="16"/>
                <w:szCs w:val="16"/>
              </w:rPr>
            </w:pPr>
            <w:r>
              <w:rPr>
                <w:rFonts w:ascii="Arial" w:hAnsi="Arial" w:cs="Arial"/>
                <w:sz w:val="16"/>
                <w:szCs w:val="16"/>
              </w:rPr>
              <w:t>5.1,5.2</w:t>
            </w:r>
          </w:p>
        </w:tc>
        <w:tc>
          <w:tcPr>
            <w:tcW w:w="860" w:type="dxa"/>
            <w:tcBorders>
              <w:top w:val="nil"/>
              <w:left w:val="nil"/>
              <w:bottom w:val="nil"/>
              <w:right w:val="nil"/>
            </w:tcBorders>
            <w:shd w:val="clear" w:color="auto" w:fill="E6E6E6"/>
            <w:noWrap/>
            <w:vAlign w:val="bottom"/>
            <w:hideMark/>
          </w:tcPr>
          <w:p w14:paraId="73369742" w14:textId="2275A1BB" w:rsidR="00E903AC" w:rsidRPr="00876162" w:rsidRDefault="00E903AC" w:rsidP="0010271A">
            <w:pPr>
              <w:spacing w:after="0" w:line="240" w:lineRule="auto"/>
              <w:ind w:right="57"/>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1055A40F" w14:textId="77777777" w:rsidR="00E903AC" w:rsidRPr="00876162" w:rsidRDefault="00E903AC" w:rsidP="0010271A">
            <w:pPr>
              <w:spacing w:after="0" w:line="240" w:lineRule="auto"/>
              <w:ind w:right="57"/>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40838846" w14:textId="15CA495E" w:rsidR="00E903AC" w:rsidRPr="00876162" w:rsidRDefault="00E903AC" w:rsidP="0010271A">
            <w:pPr>
              <w:spacing w:after="0" w:line="240" w:lineRule="auto"/>
              <w:ind w:right="57"/>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110FC172" w14:textId="77777777" w:rsidR="00E903AC" w:rsidRPr="00876162" w:rsidRDefault="00E903AC" w:rsidP="0010271A">
            <w:pPr>
              <w:spacing w:after="0" w:line="240" w:lineRule="auto"/>
              <w:ind w:right="57"/>
              <w:jc w:val="right"/>
              <w:rPr>
                <w:rFonts w:ascii="Arial" w:hAnsi="Arial" w:cs="Arial"/>
                <w:sz w:val="16"/>
                <w:szCs w:val="16"/>
              </w:rPr>
            </w:pPr>
          </w:p>
        </w:tc>
      </w:tr>
      <w:tr w:rsidR="00DC32E8" w:rsidRPr="003F22B1" w14:paraId="0EDD0EC7"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66DCA9E0" w14:textId="16454702"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 xml:space="preserve">Administered </w:t>
            </w:r>
            <w:r>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3A6DF5D4" w14:textId="77777777" w:rsidR="00E903AC" w:rsidRPr="00876162" w:rsidRDefault="00E903AC" w:rsidP="00E903AC">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vAlign w:val="bottom"/>
            <w:hideMark/>
          </w:tcPr>
          <w:p w14:paraId="277C9EBC" w14:textId="0C6D6B1A"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c>
          <w:tcPr>
            <w:tcW w:w="890" w:type="dxa"/>
            <w:tcBorders>
              <w:top w:val="nil"/>
              <w:left w:val="nil"/>
              <w:bottom w:val="nil"/>
              <w:right w:val="nil"/>
            </w:tcBorders>
            <w:shd w:val="clear" w:color="auto" w:fill="auto"/>
            <w:noWrap/>
            <w:vAlign w:val="bottom"/>
            <w:hideMark/>
          </w:tcPr>
          <w:p w14:paraId="72E2482B" w14:textId="5CB270A7"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8,000</w:t>
            </w:r>
          </w:p>
        </w:tc>
        <w:tc>
          <w:tcPr>
            <w:tcW w:w="851" w:type="dxa"/>
            <w:tcBorders>
              <w:top w:val="nil"/>
              <w:left w:val="nil"/>
              <w:bottom w:val="nil"/>
              <w:right w:val="nil"/>
            </w:tcBorders>
            <w:shd w:val="clear" w:color="auto" w:fill="E6E6E6"/>
            <w:noWrap/>
            <w:vAlign w:val="bottom"/>
            <w:hideMark/>
          </w:tcPr>
          <w:p w14:paraId="6DF78A76" w14:textId="449896F3"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8,000</w:t>
            </w:r>
          </w:p>
        </w:tc>
        <w:tc>
          <w:tcPr>
            <w:tcW w:w="850" w:type="dxa"/>
            <w:tcBorders>
              <w:top w:val="nil"/>
              <w:left w:val="nil"/>
              <w:bottom w:val="nil"/>
              <w:right w:val="nil"/>
            </w:tcBorders>
            <w:shd w:val="clear" w:color="auto" w:fill="auto"/>
            <w:noWrap/>
            <w:vAlign w:val="bottom"/>
            <w:hideMark/>
          </w:tcPr>
          <w:p w14:paraId="4C87BFFC" w14:textId="2CE3D1C7"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4,000</w:t>
            </w:r>
          </w:p>
        </w:tc>
      </w:tr>
      <w:tr w:rsidR="00DC32E8" w:rsidRPr="003F22B1" w14:paraId="1D7173C4"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518C8ECE" w14:textId="73E855A1" w:rsidR="00E903AC" w:rsidRPr="00876162" w:rsidRDefault="008863D9" w:rsidP="00E903AC">
            <w:pPr>
              <w:spacing w:after="0" w:line="240" w:lineRule="auto"/>
              <w:jc w:val="left"/>
              <w:rPr>
                <w:rFonts w:ascii="Arial" w:hAnsi="Arial" w:cs="Arial"/>
                <w:sz w:val="16"/>
                <w:szCs w:val="16"/>
              </w:rPr>
            </w:pPr>
            <w:r>
              <w:rPr>
                <w:rFonts w:ascii="Arial" w:hAnsi="Arial" w:cs="Arial"/>
                <w:sz w:val="16"/>
                <w:szCs w:val="16"/>
              </w:rPr>
              <w:t>Department</w:t>
            </w:r>
            <w:r w:rsidR="00E903AC" w:rsidRPr="00876162">
              <w:rPr>
                <w:rFonts w:ascii="Arial" w:hAnsi="Arial" w:cs="Arial"/>
                <w:sz w:val="16"/>
                <w:szCs w:val="16"/>
              </w:rPr>
              <w:t xml:space="preserve">al </w:t>
            </w:r>
            <w:r w:rsidR="00E903AC">
              <w:rPr>
                <w:rFonts w:ascii="Arial" w:hAnsi="Arial" w:cs="Arial"/>
                <w:sz w:val="16"/>
                <w:szCs w:val="16"/>
              </w:rPr>
              <w:t>payments</w:t>
            </w:r>
          </w:p>
        </w:tc>
        <w:tc>
          <w:tcPr>
            <w:tcW w:w="1085" w:type="dxa"/>
            <w:tcBorders>
              <w:top w:val="nil"/>
              <w:left w:val="nil"/>
              <w:bottom w:val="nil"/>
              <w:right w:val="nil"/>
            </w:tcBorders>
            <w:shd w:val="clear" w:color="auto" w:fill="auto"/>
            <w:noWrap/>
            <w:vAlign w:val="bottom"/>
            <w:hideMark/>
          </w:tcPr>
          <w:p w14:paraId="184F5C9D" w14:textId="77777777" w:rsidR="00E903AC" w:rsidRPr="00876162" w:rsidRDefault="00E903AC" w:rsidP="00E903AC">
            <w:pPr>
              <w:spacing w:after="0" w:line="240" w:lineRule="auto"/>
              <w:ind w:firstLineChars="100" w:firstLine="160"/>
              <w:jc w:val="right"/>
              <w:rPr>
                <w:rFonts w:ascii="Arial" w:hAnsi="Arial" w:cs="Arial"/>
                <w:sz w:val="16"/>
                <w:szCs w:val="16"/>
              </w:rPr>
            </w:pPr>
          </w:p>
        </w:tc>
        <w:tc>
          <w:tcPr>
            <w:tcW w:w="860" w:type="dxa"/>
            <w:tcBorders>
              <w:top w:val="nil"/>
              <w:left w:val="nil"/>
              <w:bottom w:val="nil"/>
              <w:right w:val="nil"/>
            </w:tcBorders>
            <w:shd w:val="clear" w:color="auto" w:fill="E6E6E6"/>
            <w:noWrap/>
            <w:vAlign w:val="bottom"/>
            <w:hideMark/>
          </w:tcPr>
          <w:p w14:paraId="37A0BC77" w14:textId="3AF38F8B"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560</w:t>
            </w:r>
          </w:p>
        </w:tc>
        <w:tc>
          <w:tcPr>
            <w:tcW w:w="890" w:type="dxa"/>
            <w:tcBorders>
              <w:top w:val="nil"/>
              <w:left w:val="nil"/>
              <w:bottom w:val="nil"/>
              <w:right w:val="nil"/>
            </w:tcBorders>
            <w:shd w:val="clear" w:color="auto" w:fill="auto"/>
            <w:noWrap/>
            <w:vAlign w:val="bottom"/>
            <w:hideMark/>
          </w:tcPr>
          <w:p w14:paraId="2C6AFB5F" w14:textId="2CD68F94"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918</w:t>
            </w:r>
          </w:p>
        </w:tc>
        <w:tc>
          <w:tcPr>
            <w:tcW w:w="851" w:type="dxa"/>
            <w:tcBorders>
              <w:top w:val="nil"/>
              <w:left w:val="nil"/>
              <w:bottom w:val="nil"/>
              <w:right w:val="nil"/>
            </w:tcBorders>
            <w:shd w:val="clear" w:color="auto" w:fill="E6E6E6"/>
            <w:noWrap/>
            <w:vAlign w:val="bottom"/>
            <w:hideMark/>
          </w:tcPr>
          <w:p w14:paraId="1F3A32B2" w14:textId="3E4EF091"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640</w:t>
            </w:r>
          </w:p>
        </w:tc>
        <w:tc>
          <w:tcPr>
            <w:tcW w:w="850" w:type="dxa"/>
            <w:tcBorders>
              <w:top w:val="nil"/>
              <w:left w:val="nil"/>
              <w:bottom w:val="nil"/>
              <w:right w:val="nil"/>
            </w:tcBorders>
            <w:shd w:val="clear" w:color="auto" w:fill="auto"/>
            <w:noWrap/>
            <w:vAlign w:val="bottom"/>
            <w:hideMark/>
          </w:tcPr>
          <w:p w14:paraId="16B79F92" w14:textId="756FAF4F"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540</w:t>
            </w:r>
          </w:p>
        </w:tc>
      </w:tr>
      <w:tr w:rsidR="00DC32E8" w:rsidRPr="003F22B1" w14:paraId="2E53BF65" w14:textId="77777777" w:rsidTr="00C36772">
        <w:trPr>
          <w:trHeight w:val="204"/>
        </w:trPr>
        <w:tc>
          <w:tcPr>
            <w:tcW w:w="2977" w:type="dxa"/>
            <w:tcBorders>
              <w:top w:val="nil"/>
              <w:left w:val="nil"/>
              <w:bottom w:val="nil"/>
              <w:right w:val="nil"/>
            </w:tcBorders>
            <w:shd w:val="clear" w:color="auto" w:fill="auto"/>
            <w:noWrap/>
            <w:tcMar>
              <w:top w:w="0" w:type="dxa"/>
              <w:left w:w="135" w:type="dxa"/>
              <w:bottom w:w="0" w:type="dxa"/>
              <w:right w:w="0" w:type="dxa"/>
            </w:tcMar>
            <w:vAlign w:val="bottom"/>
            <w:hideMark/>
          </w:tcPr>
          <w:p w14:paraId="2472E3DF" w14:textId="77777777" w:rsidR="00E903AC" w:rsidRPr="00876162" w:rsidRDefault="00E903AC" w:rsidP="00E903AC">
            <w:pPr>
              <w:spacing w:after="0" w:line="240" w:lineRule="auto"/>
              <w:jc w:val="left"/>
              <w:rPr>
                <w:rFonts w:ascii="Arial" w:hAnsi="Arial" w:cs="Arial"/>
                <w:b/>
                <w:bCs/>
                <w:sz w:val="16"/>
                <w:szCs w:val="16"/>
              </w:rPr>
            </w:pPr>
            <w:r w:rsidRPr="0074668F">
              <w:rPr>
                <w:rFonts w:ascii="Arial" w:hAnsi="Arial" w:cs="Arial"/>
                <w:b/>
                <w:sz w:val="16"/>
                <w:szCs w:val="16"/>
              </w:rPr>
              <w:t>Total</w:t>
            </w:r>
          </w:p>
        </w:tc>
        <w:tc>
          <w:tcPr>
            <w:tcW w:w="1085" w:type="dxa"/>
            <w:tcBorders>
              <w:top w:val="nil"/>
              <w:left w:val="nil"/>
              <w:bottom w:val="nil"/>
              <w:right w:val="nil"/>
            </w:tcBorders>
            <w:shd w:val="clear" w:color="auto" w:fill="auto"/>
            <w:noWrap/>
            <w:vAlign w:val="bottom"/>
            <w:hideMark/>
          </w:tcPr>
          <w:p w14:paraId="669CA84B" w14:textId="77777777" w:rsidR="00E903AC" w:rsidRPr="00876162" w:rsidRDefault="00E903AC" w:rsidP="00E903AC">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auto" w:fill="E6E6E6"/>
            <w:noWrap/>
            <w:vAlign w:val="bottom"/>
            <w:hideMark/>
          </w:tcPr>
          <w:p w14:paraId="22F12DA0" w14:textId="58A55239"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560</w:t>
            </w:r>
          </w:p>
        </w:tc>
        <w:tc>
          <w:tcPr>
            <w:tcW w:w="890" w:type="dxa"/>
            <w:tcBorders>
              <w:top w:val="nil"/>
              <w:left w:val="nil"/>
              <w:bottom w:val="nil"/>
              <w:right w:val="nil"/>
            </w:tcBorders>
            <w:shd w:val="clear" w:color="auto" w:fill="auto"/>
            <w:noWrap/>
            <w:vAlign w:val="bottom"/>
            <w:hideMark/>
          </w:tcPr>
          <w:p w14:paraId="19700794" w14:textId="59503D88"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8,918</w:t>
            </w:r>
          </w:p>
        </w:tc>
        <w:tc>
          <w:tcPr>
            <w:tcW w:w="851" w:type="dxa"/>
            <w:tcBorders>
              <w:top w:val="nil"/>
              <w:left w:val="nil"/>
              <w:bottom w:val="nil"/>
              <w:right w:val="nil"/>
            </w:tcBorders>
            <w:shd w:val="clear" w:color="auto" w:fill="E6E6E6"/>
            <w:noWrap/>
            <w:vAlign w:val="bottom"/>
            <w:hideMark/>
          </w:tcPr>
          <w:p w14:paraId="79DF71EF" w14:textId="765568AA"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8,640</w:t>
            </w:r>
          </w:p>
        </w:tc>
        <w:tc>
          <w:tcPr>
            <w:tcW w:w="850" w:type="dxa"/>
            <w:tcBorders>
              <w:top w:val="nil"/>
              <w:left w:val="nil"/>
              <w:bottom w:val="nil"/>
              <w:right w:val="nil"/>
            </w:tcBorders>
            <w:shd w:val="clear" w:color="auto" w:fill="auto"/>
            <w:noWrap/>
            <w:vAlign w:val="bottom"/>
            <w:hideMark/>
          </w:tcPr>
          <w:p w14:paraId="0C22CE5F" w14:textId="459D2EEE"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4,540</w:t>
            </w:r>
          </w:p>
        </w:tc>
      </w:tr>
      <w:tr w:rsidR="00DC32E8" w:rsidRPr="003F22B1" w14:paraId="18C141FC" w14:textId="77777777" w:rsidTr="00C36772">
        <w:trPr>
          <w:trHeight w:val="204"/>
        </w:trPr>
        <w:tc>
          <w:tcPr>
            <w:tcW w:w="2977" w:type="dxa"/>
            <w:tcBorders>
              <w:top w:val="nil"/>
              <w:left w:val="nil"/>
              <w:bottom w:val="nil"/>
              <w:right w:val="nil"/>
            </w:tcBorders>
            <w:shd w:val="clear" w:color="auto" w:fill="auto"/>
            <w:vAlign w:val="bottom"/>
            <w:hideMark/>
          </w:tcPr>
          <w:p w14:paraId="57CDC254" w14:textId="77777777"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Digital Games Tax Offset - expansion</w:t>
            </w:r>
          </w:p>
        </w:tc>
        <w:tc>
          <w:tcPr>
            <w:tcW w:w="1085" w:type="dxa"/>
            <w:tcBorders>
              <w:top w:val="nil"/>
              <w:left w:val="nil"/>
              <w:bottom w:val="nil"/>
              <w:right w:val="nil"/>
            </w:tcBorders>
            <w:shd w:val="clear" w:color="auto" w:fill="auto"/>
            <w:noWrap/>
            <w:vAlign w:val="bottom"/>
            <w:hideMark/>
          </w:tcPr>
          <w:p w14:paraId="0BA4EF61" w14:textId="2C7031B9" w:rsidR="00E903AC" w:rsidRPr="00876162" w:rsidRDefault="00E903AC" w:rsidP="00E903AC">
            <w:pPr>
              <w:spacing w:after="0" w:line="240" w:lineRule="auto"/>
              <w:jc w:val="center"/>
              <w:rPr>
                <w:rFonts w:ascii="Arial" w:hAnsi="Arial" w:cs="Arial"/>
                <w:sz w:val="16"/>
                <w:szCs w:val="16"/>
              </w:rPr>
            </w:pPr>
            <w:r>
              <w:rPr>
                <w:rFonts w:ascii="Arial" w:hAnsi="Arial" w:cs="Arial"/>
                <w:sz w:val="16"/>
                <w:szCs w:val="16"/>
              </w:rPr>
              <w:t>6.1</w:t>
            </w:r>
          </w:p>
        </w:tc>
        <w:tc>
          <w:tcPr>
            <w:tcW w:w="860" w:type="dxa"/>
            <w:tcBorders>
              <w:top w:val="nil"/>
              <w:left w:val="nil"/>
              <w:bottom w:val="nil"/>
              <w:right w:val="nil"/>
            </w:tcBorders>
            <w:shd w:val="clear" w:color="auto" w:fill="E6E6E6"/>
            <w:noWrap/>
            <w:vAlign w:val="bottom"/>
            <w:hideMark/>
          </w:tcPr>
          <w:p w14:paraId="51800E11" w14:textId="3A1E2CF7" w:rsidR="00E903AC" w:rsidRPr="00876162" w:rsidRDefault="00E903AC" w:rsidP="0010271A">
            <w:pPr>
              <w:spacing w:after="0" w:line="240" w:lineRule="auto"/>
              <w:ind w:right="57"/>
              <w:jc w:val="right"/>
              <w:rPr>
                <w:rFonts w:ascii="Arial" w:hAnsi="Arial" w:cs="Arial"/>
                <w:sz w:val="16"/>
                <w:szCs w:val="16"/>
              </w:rPr>
            </w:pPr>
          </w:p>
        </w:tc>
        <w:tc>
          <w:tcPr>
            <w:tcW w:w="890" w:type="dxa"/>
            <w:tcBorders>
              <w:top w:val="nil"/>
              <w:left w:val="nil"/>
              <w:bottom w:val="nil"/>
              <w:right w:val="nil"/>
            </w:tcBorders>
            <w:shd w:val="clear" w:color="auto" w:fill="auto"/>
            <w:noWrap/>
            <w:vAlign w:val="bottom"/>
            <w:hideMark/>
          </w:tcPr>
          <w:p w14:paraId="38A87400" w14:textId="77777777" w:rsidR="00E903AC" w:rsidRPr="00876162" w:rsidRDefault="00E903AC" w:rsidP="0010271A">
            <w:pPr>
              <w:spacing w:after="0" w:line="240" w:lineRule="auto"/>
              <w:ind w:right="57"/>
              <w:jc w:val="right"/>
              <w:rPr>
                <w:rFonts w:ascii="Arial" w:hAnsi="Arial" w:cs="Arial"/>
                <w:sz w:val="16"/>
                <w:szCs w:val="16"/>
              </w:rPr>
            </w:pPr>
          </w:p>
        </w:tc>
        <w:tc>
          <w:tcPr>
            <w:tcW w:w="851" w:type="dxa"/>
            <w:tcBorders>
              <w:top w:val="nil"/>
              <w:left w:val="nil"/>
              <w:bottom w:val="nil"/>
              <w:right w:val="nil"/>
            </w:tcBorders>
            <w:shd w:val="clear" w:color="auto" w:fill="E6E6E6"/>
            <w:noWrap/>
            <w:vAlign w:val="bottom"/>
            <w:hideMark/>
          </w:tcPr>
          <w:p w14:paraId="3176E4F7" w14:textId="32AFC4AA" w:rsidR="00E903AC" w:rsidRPr="00876162" w:rsidRDefault="00E903AC" w:rsidP="0010271A">
            <w:pPr>
              <w:spacing w:after="0" w:line="240" w:lineRule="auto"/>
              <w:ind w:right="57"/>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93A9DB7" w14:textId="77777777" w:rsidR="00E903AC" w:rsidRPr="00876162" w:rsidRDefault="00E903AC" w:rsidP="0010271A">
            <w:pPr>
              <w:spacing w:after="0" w:line="240" w:lineRule="auto"/>
              <w:ind w:right="57"/>
              <w:jc w:val="right"/>
              <w:rPr>
                <w:rFonts w:ascii="Arial" w:hAnsi="Arial" w:cs="Arial"/>
                <w:sz w:val="16"/>
                <w:szCs w:val="16"/>
              </w:rPr>
            </w:pPr>
          </w:p>
        </w:tc>
      </w:tr>
      <w:tr w:rsidR="00DC32E8" w:rsidRPr="003F22B1" w14:paraId="235FC0D2" w14:textId="77777777" w:rsidTr="00313889">
        <w:trPr>
          <w:trHeight w:val="204"/>
        </w:trPr>
        <w:tc>
          <w:tcPr>
            <w:tcW w:w="2977" w:type="dxa"/>
            <w:tcBorders>
              <w:top w:val="nil"/>
              <w:left w:val="nil"/>
              <w:right w:val="nil"/>
            </w:tcBorders>
            <w:shd w:val="clear" w:color="auto" w:fill="auto"/>
            <w:noWrap/>
            <w:tcMar>
              <w:top w:w="0" w:type="dxa"/>
              <w:left w:w="135" w:type="dxa"/>
              <w:bottom w:w="0" w:type="dxa"/>
              <w:right w:w="0" w:type="dxa"/>
            </w:tcMar>
            <w:vAlign w:val="bottom"/>
            <w:hideMark/>
          </w:tcPr>
          <w:p w14:paraId="490D257B" w14:textId="0236AFA2" w:rsidR="00E903AC" w:rsidRPr="00876162" w:rsidRDefault="00E903AC" w:rsidP="00E903AC">
            <w:pPr>
              <w:spacing w:after="0" w:line="240" w:lineRule="auto"/>
              <w:jc w:val="left"/>
              <w:rPr>
                <w:rFonts w:ascii="Arial" w:hAnsi="Arial" w:cs="Arial"/>
                <w:sz w:val="16"/>
                <w:szCs w:val="16"/>
              </w:rPr>
            </w:pPr>
            <w:r w:rsidRPr="00876162">
              <w:rPr>
                <w:rFonts w:ascii="Arial" w:hAnsi="Arial" w:cs="Arial"/>
                <w:sz w:val="16"/>
                <w:szCs w:val="16"/>
              </w:rPr>
              <w:t xml:space="preserve">Administered </w:t>
            </w:r>
            <w:r>
              <w:rPr>
                <w:rFonts w:ascii="Arial" w:hAnsi="Arial" w:cs="Arial"/>
                <w:sz w:val="16"/>
                <w:szCs w:val="16"/>
              </w:rPr>
              <w:t>payments</w:t>
            </w:r>
          </w:p>
        </w:tc>
        <w:tc>
          <w:tcPr>
            <w:tcW w:w="1085" w:type="dxa"/>
            <w:tcBorders>
              <w:top w:val="nil"/>
              <w:left w:val="nil"/>
              <w:right w:val="nil"/>
            </w:tcBorders>
            <w:shd w:val="clear" w:color="auto" w:fill="auto"/>
            <w:noWrap/>
            <w:vAlign w:val="bottom"/>
            <w:hideMark/>
          </w:tcPr>
          <w:p w14:paraId="1863BDB9" w14:textId="77777777" w:rsidR="00E903AC" w:rsidRPr="00876162" w:rsidRDefault="00E903AC" w:rsidP="00E903AC">
            <w:pPr>
              <w:spacing w:after="0" w:line="240" w:lineRule="auto"/>
              <w:ind w:firstLineChars="100" w:firstLine="160"/>
              <w:jc w:val="right"/>
              <w:rPr>
                <w:rFonts w:ascii="Arial" w:hAnsi="Arial" w:cs="Arial"/>
                <w:sz w:val="16"/>
                <w:szCs w:val="16"/>
              </w:rPr>
            </w:pPr>
          </w:p>
        </w:tc>
        <w:tc>
          <w:tcPr>
            <w:tcW w:w="860" w:type="dxa"/>
            <w:tcBorders>
              <w:top w:val="nil"/>
              <w:left w:val="nil"/>
              <w:right w:val="nil"/>
            </w:tcBorders>
            <w:shd w:val="clear" w:color="auto" w:fill="E6E6E6"/>
            <w:noWrap/>
            <w:vAlign w:val="bottom"/>
            <w:hideMark/>
          </w:tcPr>
          <w:p w14:paraId="4572141C" w14:textId="1C188BCC"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c>
          <w:tcPr>
            <w:tcW w:w="890" w:type="dxa"/>
            <w:tcBorders>
              <w:top w:val="nil"/>
              <w:left w:val="nil"/>
              <w:right w:val="nil"/>
            </w:tcBorders>
            <w:shd w:val="clear" w:color="auto" w:fill="auto"/>
            <w:noWrap/>
            <w:vAlign w:val="bottom"/>
            <w:hideMark/>
          </w:tcPr>
          <w:p w14:paraId="447A4EF6" w14:textId="74B7C302"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c>
          <w:tcPr>
            <w:tcW w:w="851" w:type="dxa"/>
            <w:tcBorders>
              <w:top w:val="nil"/>
              <w:left w:val="nil"/>
              <w:right w:val="nil"/>
            </w:tcBorders>
            <w:shd w:val="clear" w:color="auto" w:fill="E6E6E6"/>
            <w:noWrap/>
            <w:vAlign w:val="bottom"/>
            <w:hideMark/>
          </w:tcPr>
          <w:p w14:paraId="23341693" w14:textId="48C122E1"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c>
          <w:tcPr>
            <w:tcW w:w="850" w:type="dxa"/>
            <w:tcBorders>
              <w:top w:val="nil"/>
              <w:left w:val="nil"/>
              <w:right w:val="nil"/>
            </w:tcBorders>
            <w:shd w:val="clear" w:color="auto" w:fill="auto"/>
            <w:noWrap/>
            <w:vAlign w:val="bottom"/>
            <w:hideMark/>
          </w:tcPr>
          <w:p w14:paraId="2052CBC3" w14:textId="3463F505" w:rsidR="00E903AC" w:rsidRPr="00876162" w:rsidRDefault="00E903AC" w:rsidP="0010271A">
            <w:pPr>
              <w:spacing w:after="0" w:line="240" w:lineRule="auto"/>
              <w:ind w:right="57"/>
              <w:jc w:val="right"/>
              <w:rPr>
                <w:rFonts w:ascii="Arial" w:hAnsi="Arial" w:cs="Arial"/>
                <w:sz w:val="16"/>
                <w:szCs w:val="16"/>
              </w:rPr>
            </w:pPr>
            <w:r>
              <w:rPr>
                <w:rFonts w:ascii="Arial" w:hAnsi="Arial" w:cs="Arial"/>
                <w:sz w:val="16"/>
                <w:szCs w:val="16"/>
              </w:rPr>
              <w:t>-</w:t>
            </w:r>
          </w:p>
        </w:tc>
      </w:tr>
      <w:tr w:rsidR="00DC32E8" w:rsidRPr="003F22B1" w14:paraId="6B46EAC3" w14:textId="77777777" w:rsidTr="00313889">
        <w:trPr>
          <w:trHeight w:val="204"/>
        </w:trPr>
        <w:tc>
          <w:tcPr>
            <w:tcW w:w="2977" w:type="dxa"/>
            <w:tcBorders>
              <w:top w:val="nil"/>
              <w:left w:val="nil"/>
              <w:bottom w:val="single" w:sz="4" w:space="0" w:color="auto"/>
              <w:right w:val="nil"/>
            </w:tcBorders>
            <w:shd w:val="clear" w:color="auto" w:fill="auto"/>
            <w:noWrap/>
            <w:tcMar>
              <w:top w:w="0" w:type="dxa"/>
              <w:left w:w="135" w:type="dxa"/>
              <w:bottom w:w="0" w:type="dxa"/>
              <w:right w:w="0" w:type="dxa"/>
            </w:tcMar>
            <w:vAlign w:val="bottom"/>
            <w:hideMark/>
          </w:tcPr>
          <w:p w14:paraId="2B750EFC" w14:textId="77777777" w:rsidR="00E903AC" w:rsidRPr="00876162" w:rsidRDefault="00E903AC" w:rsidP="00E903AC">
            <w:pPr>
              <w:spacing w:after="0" w:line="240" w:lineRule="auto"/>
              <w:jc w:val="left"/>
              <w:rPr>
                <w:rFonts w:ascii="Arial" w:hAnsi="Arial" w:cs="Arial"/>
                <w:b/>
                <w:bCs/>
                <w:sz w:val="16"/>
                <w:szCs w:val="16"/>
              </w:rPr>
            </w:pPr>
            <w:r w:rsidRPr="00876162">
              <w:rPr>
                <w:rFonts w:ascii="Arial" w:hAnsi="Arial" w:cs="Arial"/>
                <w:b/>
                <w:bCs/>
                <w:sz w:val="16"/>
                <w:szCs w:val="16"/>
              </w:rPr>
              <w:t>Total</w:t>
            </w:r>
          </w:p>
        </w:tc>
        <w:tc>
          <w:tcPr>
            <w:tcW w:w="1085" w:type="dxa"/>
            <w:tcBorders>
              <w:top w:val="nil"/>
              <w:left w:val="nil"/>
              <w:bottom w:val="single" w:sz="4" w:space="0" w:color="auto"/>
              <w:right w:val="nil"/>
            </w:tcBorders>
            <w:shd w:val="clear" w:color="auto" w:fill="auto"/>
            <w:noWrap/>
            <w:vAlign w:val="bottom"/>
            <w:hideMark/>
          </w:tcPr>
          <w:p w14:paraId="44CC9318" w14:textId="77777777" w:rsidR="00E903AC" w:rsidRPr="00876162" w:rsidRDefault="00E903AC" w:rsidP="00E903AC">
            <w:pPr>
              <w:spacing w:after="0" w:line="240" w:lineRule="auto"/>
              <w:ind w:firstLineChars="100" w:firstLine="160"/>
              <w:jc w:val="right"/>
              <w:rPr>
                <w:rFonts w:ascii="Arial" w:hAnsi="Arial" w:cs="Arial"/>
                <w:b/>
                <w:bCs/>
                <w:sz w:val="16"/>
                <w:szCs w:val="16"/>
              </w:rPr>
            </w:pPr>
          </w:p>
        </w:tc>
        <w:tc>
          <w:tcPr>
            <w:tcW w:w="860" w:type="dxa"/>
            <w:tcBorders>
              <w:top w:val="nil"/>
              <w:left w:val="nil"/>
              <w:bottom w:val="single" w:sz="4" w:space="0" w:color="auto"/>
              <w:right w:val="nil"/>
            </w:tcBorders>
            <w:shd w:val="clear" w:color="auto" w:fill="E6E6E6"/>
            <w:noWrap/>
            <w:vAlign w:val="bottom"/>
            <w:hideMark/>
          </w:tcPr>
          <w:p w14:paraId="7733C660" w14:textId="79BB8E24"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890" w:type="dxa"/>
            <w:tcBorders>
              <w:top w:val="nil"/>
              <w:left w:val="nil"/>
              <w:bottom w:val="single" w:sz="4" w:space="0" w:color="auto"/>
              <w:right w:val="nil"/>
            </w:tcBorders>
            <w:shd w:val="clear" w:color="auto" w:fill="auto"/>
            <w:noWrap/>
            <w:vAlign w:val="bottom"/>
            <w:hideMark/>
          </w:tcPr>
          <w:p w14:paraId="184E35BB" w14:textId="2B48E64D"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851" w:type="dxa"/>
            <w:tcBorders>
              <w:top w:val="nil"/>
              <w:left w:val="nil"/>
              <w:bottom w:val="single" w:sz="4" w:space="0" w:color="auto"/>
              <w:right w:val="nil"/>
            </w:tcBorders>
            <w:shd w:val="clear" w:color="auto" w:fill="E6E6E6"/>
            <w:noWrap/>
            <w:vAlign w:val="bottom"/>
            <w:hideMark/>
          </w:tcPr>
          <w:p w14:paraId="0B700D4B" w14:textId="26B7EF1E"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850" w:type="dxa"/>
            <w:tcBorders>
              <w:top w:val="nil"/>
              <w:left w:val="nil"/>
              <w:bottom w:val="single" w:sz="4" w:space="0" w:color="auto"/>
              <w:right w:val="nil"/>
            </w:tcBorders>
            <w:shd w:val="clear" w:color="auto" w:fill="auto"/>
            <w:noWrap/>
            <w:vAlign w:val="bottom"/>
            <w:hideMark/>
          </w:tcPr>
          <w:p w14:paraId="64BABF39" w14:textId="795D0EE3" w:rsidR="00E903AC" w:rsidRPr="00876162" w:rsidRDefault="00E903AC" w:rsidP="0010271A">
            <w:pPr>
              <w:spacing w:after="0" w:line="240" w:lineRule="auto"/>
              <w:ind w:right="57"/>
              <w:jc w:val="right"/>
              <w:rPr>
                <w:rFonts w:ascii="Arial" w:hAnsi="Arial" w:cs="Arial"/>
                <w:b/>
                <w:bCs/>
                <w:sz w:val="16"/>
                <w:szCs w:val="16"/>
              </w:rPr>
            </w:pPr>
            <w:r>
              <w:rPr>
                <w:rFonts w:ascii="Arial" w:hAnsi="Arial" w:cs="Arial"/>
                <w:b/>
                <w:bCs/>
                <w:sz w:val="16"/>
                <w:szCs w:val="16"/>
              </w:rPr>
              <w:t>-</w:t>
            </w:r>
          </w:p>
        </w:tc>
      </w:tr>
    </w:tbl>
    <w:p w14:paraId="0C310575" w14:textId="58E050D9" w:rsidR="00876162" w:rsidRDefault="00876162" w:rsidP="00876162">
      <w:pPr>
        <w:pStyle w:val="TableHeading"/>
        <w:rPr>
          <w:lang w:val="en-AU"/>
        </w:rPr>
      </w:pPr>
      <w:r>
        <w:br w:type="page"/>
      </w:r>
      <w:r w:rsidRPr="00897F19">
        <w:lastRenderedPageBreak/>
        <w:t xml:space="preserve">Table 1.2: </w:t>
      </w:r>
      <w:r w:rsidR="008863D9">
        <w:t>Department</w:t>
      </w:r>
      <w:r w:rsidRPr="00897F19">
        <w:t xml:space="preserve"> of Infrastructure, Transport, Regional Development and Communications</w:t>
      </w:r>
      <w:r w:rsidRPr="00897F19">
        <w:rPr>
          <w:lang w:val="en-AU"/>
        </w:rPr>
        <w:t xml:space="preserve"> 2021-22</w:t>
      </w:r>
      <w:r w:rsidRPr="00897F19">
        <w:t xml:space="preserve"> measures since Budget</w:t>
      </w:r>
      <w:r>
        <w:rPr>
          <w:lang w:val="en-AU"/>
        </w:rPr>
        <w:t xml:space="preserve"> (continued)</w:t>
      </w:r>
    </w:p>
    <w:tbl>
      <w:tblPr>
        <w:tblW w:w="7580" w:type="dxa"/>
        <w:tblLook w:val="04A0" w:firstRow="1" w:lastRow="0" w:firstColumn="1" w:lastColumn="0" w:noHBand="0" w:noVBand="1"/>
      </w:tblPr>
      <w:tblGrid>
        <w:gridCol w:w="2835"/>
        <w:gridCol w:w="882"/>
        <w:gridCol w:w="979"/>
        <w:gridCol w:w="941"/>
        <w:gridCol w:w="996"/>
        <w:gridCol w:w="947"/>
      </w:tblGrid>
      <w:tr w:rsidR="00F0600C" w:rsidRPr="001D26AC" w14:paraId="351D6222" w14:textId="77777777" w:rsidTr="001D26AC">
        <w:trPr>
          <w:trHeight w:val="204"/>
        </w:trPr>
        <w:tc>
          <w:tcPr>
            <w:tcW w:w="2835" w:type="dxa"/>
            <w:tcBorders>
              <w:top w:val="single" w:sz="4" w:space="0" w:color="auto"/>
              <w:left w:val="nil"/>
              <w:bottom w:val="nil"/>
              <w:right w:val="nil"/>
            </w:tcBorders>
            <w:shd w:val="clear" w:color="auto" w:fill="auto"/>
            <w:noWrap/>
            <w:hideMark/>
          </w:tcPr>
          <w:p w14:paraId="45D95A19" w14:textId="61CA81AB" w:rsidR="00F0600C" w:rsidRPr="001D26AC" w:rsidRDefault="00F0600C" w:rsidP="00F0600C">
            <w:pPr>
              <w:spacing w:after="0" w:line="240" w:lineRule="auto"/>
              <w:jc w:val="center"/>
              <w:outlineLvl w:val="0"/>
              <w:rPr>
                <w:rFonts w:ascii="Arial" w:hAnsi="Arial" w:cs="Arial"/>
                <w:sz w:val="16"/>
                <w:szCs w:val="16"/>
              </w:rPr>
            </w:pPr>
            <w:r w:rsidRPr="001D26AC">
              <w:rPr>
                <w:rFonts w:ascii="Arial" w:hAnsi="Arial" w:cs="Arial"/>
                <w:sz w:val="16"/>
                <w:szCs w:val="16"/>
              </w:rPr>
              <w:t> </w:t>
            </w:r>
          </w:p>
        </w:tc>
        <w:tc>
          <w:tcPr>
            <w:tcW w:w="882" w:type="dxa"/>
            <w:tcBorders>
              <w:top w:val="single" w:sz="4" w:space="0" w:color="auto"/>
              <w:left w:val="nil"/>
              <w:bottom w:val="single" w:sz="4" w:space="0" w:color="auto"/>
              <w:right w:val="nil"/>
            </w:tcBorders>
            <w:shd w:val="clear" w:color="auto" w:fill="auto"/>
            <w:vAlign w:val="bottom"/>
            <w:hideMark/>
          </w:tcPr>
          <w:p w14:paraId="3E6238CA" w14:textId="36668CA7" w:rsidR="00F0600C" w:rsidRPr="001D26AC" w:rsidRDefault="00F0600C" w:rsidP="00F0600C">
            <w:pPr>
              <w:spacing w:after="0" w:line="240" w:lineRule="auto"/>
              <w:jc w:val="center"/>
              <w:outlineLvl w:val="0"/>
              <w:rPr>
                <w:rFonts w:ascii="Arial" w:hAnsi="Arial" w:cs="Arial"/>
                <w:sz w:val="16"/>
                <w:szCs w:val="16"/>
              </w:rPr>
            </w:pPr>
            <w:r w:rsidRPr="001D26AC">
              <w:rPr>
                <w:rFonts w:ascii="Arial" w:hAnsi="Arial" w:cs="Arial"/>
                <w:sz w:val="16"/>
                <w:szCs w:val="16"/>
              </w:rPr>
              <w:t>Program</w:t>
            </w:r>
          </w:p>
        </w:tc>
        <w:tc>
          <w:tcPr>
            <w:tcW w:w="979" w:type="dxa"/>
            <w:tcBorders>
              <w:top w:val="single" w:sz="4" w:space="0" w:color="auto"/>
              <w:left w:val="nil"/>
              <w:bottom w:val="single" w:sz="4" w:space="0" w:color="auto"/>
              <w:right w:val="nil"/>
            </w:tcBorders>
            <w:shd w:val="clear" w:color="auto" w:fill="E6E6E6"/>
            <w:vAlign w:val="bottom"/>
            <w:hideMark/>
          </w:tcPr>
          <w:p w14:paraId="75170F03" w14:textId="77777777" w:rsidR="00F0600C" w:rsidRPr="001D26AC" w:rsidRDefault="00F0600C" w:rsidP="00F0600C">
            <w:pPr>
              <w:spacing w:after="0" w:line="240" w:lineRule="auto"/>
              <w:jc w:val="right"/>
              <w:outlineLvl w:val="0"/>
              <w:rPr>
                <w:rFonts w:ascii="Arial" w:hAnsi="Arial" w:cs="Arial"/>
                <w:sz w:val="16"/>
                <w:szCs w:val="16"/>
              </w:rPr>
            </w:pPr>
            <w:r w:rsidRPr="001D26AC">
              <w:rPr>
                <w:rFonts w:ascii="Arial" w:hAnsi="Arial" w:cs="Arial"/>
                <w:sz w:val="16"/>
                <w:szCs w:val="16"/>
              </w:rPr>
              <w:t>2021-22</w:t>
            </w:r>
          </w:p>
          <w:p w14:paraId="592970B4" w14:textId="10A7CDA5" w:rsidR="00F0600C" w:rsidRPr="001D26AC" w:rsidRDefault="00F0600C" w:rsidP="00F0600C">
            <w:pPr>
              <w:spacing w:after="0" w:line="240" w:lineRule="auto"/>
              <w:jc w:val="right"/>
              <w:outlineLvl w:val="0"/>
              <w:rPr>
                <w:rFonts w:ascii="Arial" w:hAnsi="Arial" w:cs="Arial"/>
                <w:sz w:val="16"/>
                <w:szCs w:val="16"/>
              </w:rPr>
            </w:pPr>
            <w:r w:rsidRPr="001D26AC">
              <w:rPr>
                <w:rFonts w:ascii="Arial" w:hAnsi="Arial" w:cs="Arial"/>
                <w:sz w:val="16"/>
                <w:szCs w:val="16"/>
              </w:rPr>
              <w:t>$'000</w:t>
            </w:r>
          </w:p>
        </w:tc>
        <w:tc>
          <w:tcPr>
            <w:tcW w:w="941" w:type="dxa"/>
            <w:tcBorders>
              <w:top w:val="single" w:sz="4" w:space="0" w:color="auto"/>
              <w:left w:val="nil"/>
              <w:bottom w:val="single" w:sz="4" w:space="0" w:color="auto"/>
              <w:right w:val="nil"/>
            </w:tcBorders>
            <w:shd w:val="clear" w:color="auto" w:fill="auto"/>
            <w:vAlign w:val="bottom"/>
            <w:hideMark/>
          </w:tcPr>
          <w:p w14:paraId="6F2A6679" w14:textId="77777777" w:rsidR="00F0600C" w:rsidRPr="001D26AC" w:rsidRDefault="00F0600C" w:rsidP="00F0600C">
            <w:pPr>
              <w:spacing w:after="0" w:line="240" w:lineRule="auto"/>
              <w:jc w:val="right"/>
              <w:outlineLvl w:val="0"/>
              <w:rPr>
                <w:rFonts w:ascii="Arial" w:hAnsi="Arial" w:cs="Arial"/>
                <w:sz w:val="16"/>
                <w:szCs w:val="16"/>
              </w:rPr>
            </w:pPr>
            <w:r w:rsidRPr="001D26AC">
              <w:rPr>
                <w:rFonts w:ascii="Arial" w:hAnsi="Arial" w:cs="Arial"/>
                <w:sz w:val="16"/>
                <w:szCs w:val="16"/>
              </w:rPr>
              <w:t>2022-23</w:t>
            </w:r>
          </w:p>
          <w:p w14:paraId="25D582A2" w14:textId="48AA1423" w:rsidR="00F0600C" w:rsidRPr="001D26AC" w:rsidRDefault="00F0600C" w:rsidP="00F0600C">
            <w:pPr>
              <w:spacing w:after="0" w:line="240" w:lineRule="auto"/>
              <w:jc w:val="right"/>
              <w:outlineLvl w:val="0"/>
              <w:rPr>
                <w:rFonts w:ascii="Arial" w:hAnsi="Arial" w:cs="Arial"/>
                <w:sz w:val="16"/>
                <w:szCs w:val="16"/>
              </w:rPr>
            </w:pPr>
            <w:r w:rsidRPr="001D26AC">
              <w:rPr>
                <w:rFonts w:ascii="Arial" w:hAnsi="Arial" w:cs="Arial"/>
                <w:sz w:val="16"/>
                <w:szCs w:val="16"/>
              </w:rPr>
              <w:t>$'000</w:t>
            </w:r>
          </w:p>
        </w:tc>
        <w:tc>
          <w:tcPr>
            <w:tcW w:w="996" w:type="dxa"/>
            <w:tcBorders>
              <w:top w:val="single" w:sz="4" w:space="0" w:color="auto"/>
              <w:left w:val="nil"/>
              <w:bottom w:val="single" w:sz="4" w:space="0" w:color="auto"/>
              <w:right w:val="nil"/>
            </w:tcBorders>
            <w:shd w:val="clear" w:color="auto" w:fill="E6E6E6"/>
            <w:vAlign w:val="bottom"/>
            <w:hideMark/>
          </w:tcPr>
          <w:p w14:paraId="29BDCED4" w14:textId="77777777" w:rsidR="00F0600C" w:rsidRPr="001D26AC" w:rsidRDefault="00F0600C" w:rsidP="00F0600C">
            <w:pPr>
              <w:spacing w:after="0" w:line="240" w:lineRule="auto"/>
              <w:jc w:val="right"/>
              <w:outlineLvl w:val="0"/>
              <w:rPr>
                <w:rFonts w:ascii="Arial" w:hAnsi="Arial" w:cs="Arial"/>
                <w:sz w:val="16"/>
                <w:szCs w:val="16"/>
              </w:rPr>
            </w:pPr>
            <w:r w:rsidRPr="001D26AC">
              <w:rPr>
                <w:rFonts w:ascii="Arial" w:hAnsi="Arial" w:cs="Arial"/>
                <w:sz w:val="16"/>
                <w:szCs w:val="16"/>
              </w:rPr>
              <w:t>2023-24</w:t>
            </w:r>
          </w:p>
          <w:p w14:paraId="0B014125" w14:textId="71B47274" w:rsidR="00F0600C" w:rsidRPr="001D26AC" w:rsidRDefault="00F0600C" w:rsidP="00F0600C">
            <w:pPr>
              <w:spacing w:after="0" w:line="240" w:lineRule="auto"/>
              <w:jc w:val="right"/>
              <w:outlineLvl w:val="0"/>
              <w:rPr>
                <w:rFonts w:ascii="Arial" w:hAnsi="Arial" w:cs="Arial"/>
                <w:sz w:val="16"/>
                <w:szCs w:val="16"/>
              </w:rPr>
            </w:pPr>
            <w:r w:rsidRPr="001D26AC">
              <w:rPr>
                <w:rFonts w:ascii="Arial" w:hAnsi="Arial" w:cs="Arial"/>
                <w:sz w:val="16"/>
                <w:szCs w:val="16"/>
              </w:rPr>
              <w:t>$'000</w:t>
            </w:r>
          </w:p>
        </w:tc>
        <w:tc>
          <w:tcPr>
            <w:tcW w:w="947" w:type="dxa"/>
            <w:tcBorders>
              <w:top w:val="single" w:sz="4" w:space="0" w:color="auto"/>
              <w:left w:val="nil"/>
              <w:bottom w:val="single" w:sz="4" w:space="0" w:color="auto"/>
              <w:right w:val="nil"/>
            </w:tcBorders>
            <w:shd w:val="clear" w:color="auto" w:fill="auto"/>
            <w:vAlign w:val="bottom"/>
            <w:hideMark/>
          </w:tcPr>
          <w:p w14:paraId="0461BF7A" w14:textId="77777777" w:rsidR="00F0600C" w:rsidRPr="001D26AC" w:rsidRDefault="00F0600C" w:rsidP="00F0600C">
            <w:pPr>
              <w:spacing w:after="0" w:line="240" w:lineRule="auto"/>
              <w:jc w:val="right"/>
              <w:outlineLvl w:val="0"/>
              <w:rPr>
                <w:rFonts w:ascii="Arial" w:hAnsi="Arial" w:cs="Arial"/>
                <w:sz w:val="16"/>
                <w:szCs w:val="16"/>
              </w:rPr>
            </w:pPr>
            <w:r w:rsidRPr="001D26AC">
              <w:rPr>
                <w:rFonts w:ascii="Arial" w:hAnsi="Arial" w:cs="Arial"/>
                <w:sz w:val="16"/>
                <w:szCs w:val="16"/>
              </w:rPr>
              <w:t>2024-25</w:t>
            </w:r>
          </w:p>
          <w:p w14:paraId="4A2CD613" w14:textId="34FB5522" w:rsidR="00F0600C" w:rsidRPr="001D26AC" w:rsidRDefault="00F0600C" w:rsidP="00F0600C">
            <w:pPr>
              <w:spacing w:after="0" w:line="240" w:lineRule="auto"/>
              <w:jc w:val="right"/>
              <w:outlineLvl w:val="0"/>
              <w:rPr>
                <w:rFonts w:ascii="Arial" w:hAnsi="Arial" w:cs="Arial"/>
                <w:sz w:val="16"/>
                <w:szCs w:val="16"/>
              </w:rPr>
            </w:pPr>
            <w:r w:rsidRPr="001D26AC">
              <w:rPr>
                <w:rFonts w:ascii="Arial" w:hAnsi="Arial" w:cs="Arial"/>
                <w:sz w:val="16"/>
                <w:szCs w:val="16"/>
              </w:rPr>
              <w:t>$'000</w:t>
            </w:r>
          </w:p>
        </w:tc>
      </w:tr>
      <w:tr w:rsidR="00335D19" w:rsidRPr="001D26AC" w14:paraId="7C54F8ED" w14:textId="77777777" w:rsidTr="001D26AC">
        <w:trPr>
          <w:trHeight w:val="204"/>
        </w:trPr>
        <w:tc>
          <w:tcPr>
            <w:tcW w:w="2835" w:type="dxa"/>
            <w:tcBorders>
              <w:top w:val="nil"/>
              <w:left w:val="nil"/>
              <w:bottom w:val="nil"/>
              <w:right w:val="nil"/>
            </w:tcBorders>
            <w:shd w:val="clear" w:color="auto" w:fill="auto"/>
            <w:noWrap/>
            <w:vAlign w:val="bottom"/>
            <w:hideMark/>
          </w:tcPr>
          <w:p w14:paraId="51F9F157" w14:textId="77777777" w:rsidR="00335D19" w:rsidRPr="001D26AC" w:rsidRDefault="00335D19" w:rsidP="00335D19">
            <w:pPr>
              <w:spacing w:after="0" w:line="240" w:lineRule="auto"/>
              <w:jc w:val="left"/>
              <w:outlineLvl w:val="0"/>
              <w:rPr>
                <w:rFonts w:ascii="Arial" w:hAnsi="Arial" w:cs="Arial"/>
                <w:b/>
                <w:bCs/>
                <w:sz w:val="16"/>
                <w:szCs w:val="16"/>
              </w:rPr>
            </w:pPr>
            <w:r w:rsidRPr="001D26AC">
              <w:rPr>
                <w:rFonts w:ascii="Arial" w:hAnsi="Arial" w:cs="Arial"/>
                <w:b/>
                <w:bCs/>
                <w:sz w:val="16"/>
                <w:szCs w:val="16"/>
              </w:rPr>
              <w:t>Payment measures (continued)</w:t>
            </w:r>
          </w:p>
        </w:tc>
        <w:tc>
          <w:tcPr>
            <w:tcW w:w="882" w:type="dxa"/>
            <w:tcBorders>
              <w:top w:val="single" w:sz="4" w:space="0" w:color="auto"/>
              <w:left w:val="nil"/>
              <w:bottom w:val="nil"/>
              <w:right w:val="nil"/>
            </w:tcBorders>
            <w:shd w:val="clear" w:color="auto" w:fill="auto"/>
            <w:noWrap/>
            <w:vAlign w:val="bottom"/>
            <w:hideMark/>
          </w:tcPr>
          <w:p w14:paraId="7CAC7C48" w14:textId="77777777" w:rsidR="00335D19" w:rsidRPr="001D26AC" w:rsidRDefault="00335D19" w:rsidP="00335D19">
            <w:pPr>
              <w:spacing w:after="0" w:line="240" w:lineRule="auto"/>
              <w:jc w:val="right"/>
              <w:outlineLvl w:val="0"/>
              <w:rPr>
                <w:rFonts w:ascii="Arial" w:hAnsi="Arial" w:cs="Arial"/>
                <w:b/>
                <w:bCs/>
                <w:sz w:val="16"/>
                <w:szCs w:val="16"/>
              </w:rPr>
            </w:pPr>
          </w:p>
        </w:tc>
        <w:tc>
          <w:tcPr>
            <w:tcW w:w="979" w:type="dxa"/>
            <w:tcBorders>
              <w:top w:val="single" w:sz="4" w:space="0" w:color="auto"/>
              <w:left w:val="nil"/>
              <w:bottom w:val="nil"/>
              <w:right w:val="nil"/>
            </w:tcBorders>
            <w:shd w:val="clear" w:color="auto" w:fill="E6E6E6"/>
            <w:noWrap/>
            <w:vAlign w:val="bottom"/>
            <w:hideMark/>
          </w:tcPr>
          <w:p w14:paraId="0028C2A8" w14:textId="2F4FBD3B" w:rsidR="00335D19" w:rsidRPr="001D26AC" w:rsidRDefault="00335D19" w:rsidP="00335D19">
            <w:pPr>
              <w:spacing w:after="0" w:line="240" w:lineRule="auto"/>
              <w:jc w:val="right"/>
              <w:outlineLvl w:val="0"/>
              <w:rPr>
                <w:rFonts w:ascii="Arial" w:hAnsi="Arial" w:cs="Arial"/>
                <w:sz w:val="16"/>
                <w:szCs w:val="16"/>
              </w:rPr>
            </w:pPr>
          </w:p>
        </w:tc>
        <w:tc>
          <w:tcPr>
            <w:tcW w:w="941" w:type="dxa"/>
            <w:tcBorders>
              <w:top w:val="single" w:sz="4" w:space="0" w:color="auto"/>
              <w:left w:val="nil"/>
              <w:bottom w:val="nil"/>
              <w:right w:val="nil"/>
            </w:tcBorders>
            <w:shd w:val="clear" w:color="auto" w:fill="auto"/>
            <w:noWrap/>
            <w:vAlign w:val="bottom"/>
            <w:hideMark/>
          </w:tcPr>
          <w:p w14:paraId="36C05B1B" w14:textId="77777777" w:rsidR="00335D19" w:rsidRPr="001D26AC" w:rsidRDefault="00335D19" w:rsidP="00335D19">
            <w:pPr>
              <w:spacing w:after="0" w:line="240" w:lineRule="auto"/>
              <w:jc w:val="right"/>
              <w:outlineLvl w:val="0"/>
              <w:rPr>
                <w:rFonts w:ascii="Arial" w:hAnsi="Arial" w:cs="Arial"/>
                <w:sz w:val="16"/>
                <w:szCs w:val="16"/>
              </w:rPr>
            </w:pPr>
          </w:p>
        </w:tc>
        <w:tc>
          <w:tcPr>
            <w:tcW w:w="996" w:type="dxa"/>
            <w:tcBorders>
              <w:top w:val="single" w:sz="4" w:space="0" w:color="auto"/>
              <w:left w:val="nil"/>
              <w:bottom w:val="nil"/>
              <w:right w:val="nil"/>
            </w:tcBorders>
            <w:shd w:val="clear" w:color="auto" w:fill="E6E6E6"/>
            <w:noWrap/>
            <w:vAlign w:val="bottom"/>
            <w:hideMark/>
          </w:tcPr>
          <w:p w14:paraId="0C73FDDE" w14:textId="211B45E5" w:rsidR="00335D19" w:rsidRPr="001D26AC" w:rsidRDefault="00335D19" w:rsidP="00335D19">
            <w:pPr>
              <w:spacing w:after="0" w:line="240" w:lineRule="auto"/>
              <w:jc w:val="right"/>
              <w:outlineLvl w:val="0"/>
              <w:rPr>
                <w:rFonts w:ascii="Arial" w:hAnsi="Arial" w:cs="Arial"/>
                <w:sz w:val="16"/>
                <w:szCs w:val="16"/>
              </w:rPr>
            </w:pPr>
          </w:p>
        </w:tc>
        <w:tc>
          <w:tcPr>
            <w:tcW w:w="947" w:type="dxa"/>
            <w:tcBorders>
              <w:top w:val="single" w:sz="4" w:space="0" w:color="auto"/>
              <w:left w:val="nil"/>
              <w:bottom w:val="nil"/>
              <w:right w:val="nil"/>
            </w:tcBorders>
            <w:shd w:val="clear" w:color="auto" w:fill="auto"/>
            <w:noWrap/>
            <w:vAlign w:val="bottom"/>
            <w:hideMark/>
          </w:tcPr>
          <w:p w14:paraId="58DEF474" w14:textId="77777777" w:rsidR="00335D19" w:rsidRPr="001D26AC" w:rsidRDefault="00335D19" w:rsidP="00335D19">
            <w:pPr>
              <w:spacing w:after="0" w:line="240" w:lineRule="auto"/>
              <w:jc w:val="right"/>
              <w:outlineLvl w:val="0"/>
              <w:rPr>
                <w:rFonts w:ascii="Arial" w:hAnsi="Arial" w:cs="Arial"/>
                <w:sz w:val="16"/>
                <w:szCs w:val="16"/>
              </w:rPr>
            </w:pPr>
          </w:p>
        </w:tc>
      </w:tr>
      <w:tr w:rsidR="00313889" w:rsidRPr="001D26AC" w14:paraId="125137F3" w14:textId="77777777" w:rsidTr="001D26AC">
        <w:trPr>
          <w:trHeight w:val="204"/>
        </w:trPr>
        <w:tc>
          <w:tcPr>
            <w:tcW w:w="2835" w:type="dxa"/>
            <w:tcBorders>
              <w:top w:val="nil"/>
              <w:left w:val="nil"/>
              <w:bottom w:val="nil"/>
              <w:right w:val="nil"/>
            </w:tcBorders>
            <w:shd w:val="clear" w:color="auto" w:fill="auto"/>
            <w:vAlign w:val="bottom"/>
          </w:tcPr>
          <w:p w14:paraId="2B98F3FC" w14:textId="391A5DB9" w:rsidR="00313889" w:rsidRPr="001D26AC" w:rsidRDefault="00313889" w:rsidP="00313889">
            <w:pPr>
              <w:spacing w:after="0" w:line="240" w:lineRule="auto"/>
              <w:jc w:val="left"/>
              <w:rPr>
                <w:rFonts w:ascii="Arial" w:hAnsi="Arial" w:cs="Arial"/>
                <w:sz w:val="16"/>
                <w:szCs w:val="16"/>
              </w:rPr>
            </w:pPr>
            <w:r w:rsidRPr="001D26AC">
              <w:rPr>
                <w:rFonts w:ascii="Arial" w:hAnsi="Arial" w:cs="Arial"/>
                <w:sz w:val="16"/>
                <w:szCs w:val="16"/>
              </w:rPr>
              <w:t xml:space="preserve">Infrastructure Investment </w:t>
            </w:r>
            <w:r w:rsidRPr="001D26AC">
              <w:rPr>
                <w:rFonts w:ascii="Arial" w:hAnsi="Arial" w:cs="Arial"/>
                <w:sz w:val="16"/>
                <w:szCs w:val="16"/>
                <w:vertAlign w:val="superscript"/>
              </w:rPr>
              <w:t>(a)</w:t>
            </w:r>
          </w:p>
        </w:tc>
        <w:tc>
          <w:tcPr>
            <w:tcW w:w="882" w:type="dxa"/>
            <w:tcBorders>
              <w:top w:val="nil"/>
              <w:left w:val="nil"/>
              <w:bottom w:val="nil"/>
              <w:right w:val="nil"/>
            </w:tcBorders>
            <w:shd w:val="clear" w:color="auto" w:fill="auto"/>
            <w:noWrap/>
            <w:vAlign w:val="bottom"/>
          </w:tcPr>
          <w:p w14:paraId="25D4CB5D" w14:textId="438A456B" w:rsidR="00313889" w:rsidRPr="001D26AC" w:rsidRDefault="00313889" w:rsidP="00313889">
            <w:pPr>
              <w:spacing w:after="0" w:line="240" w:lineRule="auto"/>
              <w:jc w:val="center"/>
              <w:rPr>
                <w:rFonts w:ascii="Arial" w:hAnsi="Arial" w:cs="Arial"/>
                <w:sz w:val="16"/>
                <w:szCs w:val="16"/>
              </w:rPr>
            </w:pPr>
            <w:r w:rsidRPr="001D26AC">
              <w:rPr>
                <w:rFonts w:ascii="Arial" w:hAnsi="Arial" w:cs="Arial"/>
                <w:sz w:val="16"/>
                <w:szCs w:val="16"/>
              </w:rPr>
              <w:t>1.1,1.2</w:t>
            </w:r>
          </w:p>
        </w:tc>
        <w:tc>
          <w:tcPr>
            <w:tcW w:w="979" w:type="dxa"/>
            <w:tcBorders>
              <w:top w:val="nil"/>
              <w:left w:val="nil"/>
              <w:bottom w:val="nil"/>
              <w:right w:val="nil"/>
            </w:tcBorders>
            <w:shd w:val="clear" w:color="auto" w:fill="E6E6E6"/>
            <w:noWrap/>
            <w:vAlign w:val="bottom"/>
          </w:tcPr>
          <w:p w14:paraId="6F8A66D4" w14:textId="08D977D2" w:rsidR="00313889" w:rsidRPr="001D26AC" w:rsidRDefault="00313889" w:rsidP="00313889">
            <w:pPr>
              <w:spacing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tcPr>
          <w:p w14:paraId="2B97CE20" w14:textId="77777777" w:rsidR="00313889" w:rsidRPr="001D26AC" w:rsidRDefault="00313889" w:rsidP="00313889">
            <w:pPr>
              <w:spacing w:after="0" w:line="240" w:lineRule="auto"/>
              <w:jc w:val="right"/>
              <w:rPr>
                <w:rFonts w:ascii="Arial" w:hAnsi="Arial" w:cs="Arial"/>
                <w:sz w:val="16"/>
                <w:szCs w:val="16"/>
              </w:rPr>
            </w:pPr>
          </w:p>
        </w:tc>
        <w:tc>
          <w:tcPr>
            <w:tcW w:w="996" w:type="dxa"/>
            <w:tcBorders>
              <w:top w:val="nil"/>
              <w:left w:val="nil"/>
              <w:bottom w:val="nil"/>
              <w:right w:val="nil"/>
            </w:tcBorders>
            <w:shd w:val="clear" w:color="auto" w:fill="E6E6E6"/>
            <w:noWrap/>
            <w:vAlign w:val="bottom"/>
          </w:tcPr>
          <w:p w14:paraId="79CB65E2" w14:textId="19D6577B" w:rsidR="00313889" w:rsidRPr="001D26AC" w:rsidRDefault="00313889" w:rsidP="00313889">
            <w:pPr>
              <w:spacing w:after="0" w:line="240" w:lineRule="auto"/>
              <w:jc w:val="right"/>
              <w:rPr>
                <w:rFonts w:ascii="Arial" w:hAnsi="Arial" w:cs="Arial"/>
                <w:sz w:val="16"/>
                <w:szCs w:val="16"/>
              </w:rPr>
            </w:pPr>
          </w:p>
        </w:tc>
        <w:tc>
          <w:tcPr>
            <w:tcW w:w="947" w:type="dxa"/>
            <w:tcBorders>
              <w:top w:val="nil"/>
              <w:left w:val="nil"/>
              <w:bottom w:val="nil"/>
              <w:right w:val="nil"/>
            </w:tcBorders>
            <w:shd w:val="clear" w:color="auto" w:fill="auto"/>
            <w:noWrap/>
            <w:vAlign w:val="bottom"/>
          </w:tcPr>
          <w:p w14:paraId="0B107B27" w14:textId="77777777" w:rsidR="00313889" w:rsidRPr="001D26AC" w:rsidRDefault="00313889" w:rsidP="00313889">
            <w:pPr>
              <w:spacing w:after="0" w:line="240" w:lineRule="auto"/>
              <w:jc w:val="right"/>
              <w:rPr>
                <w:rFonts w:ascii="Arial" w:hAnsi="Arial" w:cs="Arial"/>
                <w:sz w:val="16"/>
                <w:szCs w:val="16"/>
              </w:rPr>
            </w:pPr>
          </w:p>
        </w:tc>
      </w:tr>
      <w:tr w:rsidR="00313889" w:rsidRPr="001D26AC" w14:paraId="1D045674" w14:textId="77777777" w:rsidTr="001D26AC">
        <w:trPr>
          <w:trHeight w:val="204"/>
        </w:trPr>
        <w:tc>
          <w:tcPr>
            <w:tcW w:w="2835" w:type="dxa"/>
            <w:tcBorders>
              <w:top w:val="nil"/>
              <w:left w:val="nil"/>
              <w:bottom w:val="nil"/>
              <w:right w:val="nil"/>
            </w:tcBorders>
            <w:shd w:val="clear" w:color="auto" w:fill="auto"/>
            <w:noWrap/>
            <w:vAlign w:val="bottom"/>
          </w:tcPr>
          <w:p w14:paraId="50DC2245" w14:textId="2A95F117" w:rsidR="00313889" w:rsidRPr="001D26AC" w:rsidRDefault="00313889" w:rsidP="00313889">
            <w:pPr>
              <w:spacing w:after="0" w:line="240" w:lineRule="auto"/>
              <w:ind w:left="113"/>
              <w:jc w:val="left"/>
              <w:rPr>
                <w:rFonts w:ascii="Arial" w:hAnsi="Arial" w:cs="Arial"/>
                <w:sz w:val="16"/>
                <w:szCs w:val="16"/>
              </w:rPr>
            </w:pPr>
            <w:r w:rsidRPr="001D26AC">
              <w:rPr>
                <w:rFonts w:ascii="Arial" w:hAnsi="Arial" w:cs="Arial"/>
                <w:sz w:val="16"/>
                <w:szCs w:val="16"/>
              </w:rPr>
              <w:t>Administered payments</w:t>
            </w:r>
          </w:p>
        </w:tc>
        <w:tc>
          <w:tcPr>
            <w:tcW w:w="882" w:type="dxa"/>
            <w:tcBorders>
              <w:top w:val="nil"/>
              <w:left w:val="nil"/>
              <w:bottom w:val="nil"/>
              <w:right w:val="nil"/>
            </w:tcBorders>
            <w:shd w:val="clear" w:color="auto" w:fill="auto"/>
            <w:noWrap/>
            <w:vAlign w:val="bottom"/>
          </w:tcPr>
          <w:p w14:paraId="281B855D" w14:textId="77777777" w:rsidR="00313889" w:rsidRPr="001D26AC" w:rsidRDefault="00313889" w:rsidP="00313889">
            <w:pPr>
              <w:spacing w:after="0" w:line="240" w:lineRule="auto"/>
              <w:ind w:firstLineChars="100" w:firstLine="160"/>
              <w:jc w:val="right"/>
              <w:rPr>
                <w:rFonts w:ascii="Arial" w:hAnsi="Arial" w:cs="Arial"/>
                <w:sz w:val="16"/>
                <w:szCs w:val="16"/>
              </w:rPr>
            </w:pPr>
          </w:p>
        </w:tc>
        <w:tc>
          <w:tcPr>
            <w:tcW w:w="979" w:type="dxa"/>
            <w:tcBorders>
              <w:top w:val="nil"/>
              <w:left w:val="nil"/>
              <w:bottom w:val="nil"/>
              <w:right w:val="nil"/>
            </w:tcBorders>
            <w:shd w:val="clear" w:color="auto" w:fill="E6E6E6"/>
            <w:noWrap/>
            <w:vAlign w:val="bottom"/>
          </w:tcPr>
          <w:p w14:paraId="42D80186" w14:textId="554EC351" w:rsidR="00313889" w:rsidRPr="001D26AC" w:rsidRDefault="00313889" w:rsidP="00313889">
            <w:pPr>
              <w:spacing w:after="0" w:line="240" w:lineRule="auto"/>
              <w:jc w:val="right"/>
              <w:rPr>
                <w:rFonts w:ascii="Arial" w:hAnsi="Arial" w:cs="Arial"/>
                <w:sz w:val="16"/>
                <w:szCs w:val="16"/>
              </w:rPr>
            </w:pPr>
            <w:proofErr w:type="spellStart"/>
            <w:r w:rsidRPr="001D26AC">
              <w:rPr>
                <w:rFonts w:ascii="Arial" w:hAnsi="Arial" w:cs="Arial"/>
                <w:sz w:val="16"/>
                <w:szCs w:val="16"/>
              </w:rPr>
              <w:t>nfp</w:t>
            </w:r>
            <w:proofErr w:type="spellEnd"/>
          </w:p>
        </w:tc>
        <w:tc>
          <w:tcPr>
            <w:tcW w:w="941" w:type="dxa"/>
            <w:tcBorders>
              <w:top w:val="nil"/>
              <w:left w:val="nil"/>
              <w:bottom w:val="nil"/>
              <w:right w:val="nil"/>
            </w:tcBorders>
            <w:shd w:val="clear" w:color="auto" w:fill="auto"/>
            <w:noWrap/>
            <w:vAlign w:val="bottom"/>
          </w:tcPr>
          <w:p w14:paraId="73BF491E" w14:textId="49A7CA99" w:rsidR="00313889" w:rsidRPr="001D26AC" w:rsidRDefault="00313889" w:rsidP="00313889">
            <w:pPr>
              <w:spacing w:after="0" w:line="240" w:lineRule="auto"/>
              <w:jc w:val="right"/>
              <w:rPr>
                <w:rFonts w:ascii="Arial" w:hAnsi="Arial" w:cs="Arial"/>
                <w:sz w:val="16"/>
                <w:szCs w:val="16"/>
              </w:rPr>
            </w:pPr>
            <w:proofErr w:type="spellStart"/>
            <w:r w:rsidRPr="001D26AC">
              <w:rPr>
                <w:rFonts w:ascii="Arial" w:hAnsi="Arial" w:cs="Arial"/>
                <w:sz w:val="16"/>
                <w:szCs w:val="16"/>
              </w:rPr>
              <w:t>nfp</w:t>
            </w:r>
            <w:proofErr w:type="spellEnd"/>
          </w:p>
        </w:tc>
        <w:tc>
          <w:tcPr>
            <w:tcW w:w="996" w:type="dxa"/>
            <w:tcBorders>
              <w:top w:val="nil"/>
              <w:left w:val="nil"/>
              <w:bottom w:val="nil"/>
              <w:right w:val="nil"/>
            </w:tcBorders>
            <w:shd w:val="clear" w:color="auto" w:fill="E6E6E6"/>
            <w:noWrap/>
            <w:vAlign w:val="bottom"/>
          </w:tcPr>
          <w:p w14:paraId="0C650321" w14:textId="4514370F" w:rsidR="00313889" w:rsidRPr="001D26AC" w:rsidRDefault="00313889" w:rsidP="00313889">
            <w:pPr>
              <w:spacing w:after="0" w:line="240" w:lineRule="auto"/>
              <w:jc w:val="right"/>
              <w:rPr>
                <w:rFonts w:ascii="Arial" w:hAnsi="Arial" w:cs="Arial"/>
                <w:sz w:val="16"/>
                <w:szCs w:val="16"/>
              </w:rPr>
            </w:pPr>
            <w:proofErr w:type="spellStart"/>
            <w:r w:rsidRPr="001D26AC">
              <w:rPr>
                <w:rFonts w:ascii="Arial" w:hAnsi="Arial" w:cs="Arial"/>
                <w:sz w:val="16"/>
                <w:szCs w:val="16"/>
              </w:rPr>
              <w:t>nfp</w:t>
            </w:r>
            <w:proofErr w:type="spellEnd"/>
          </w:p>
        </w:tc>
        <w:tc>
          <w:tcPr>
            <w:tcW w:w="947" w:type="dxa"/>
            <w:tcBorders>
              <w:top w:val="nil"/>
              <w:left w:val="nil"/>
              <w:bottom w:val="nil"/>
              <w:right w:val="nil"/>
            </w:tcBorders>
            <w:shd w:val="clear" w:color="auto" w:fill="auto"/>
            <w:noWrap/>
            <w:vAlign w:val="bottom"/>
          </w:tcPr>
          <w:p w14:paraId="1A35CCF3" w14:textId="33910E5F" w:rsidR="00313889" w:rsidRPr="001D26AC" w:rsidRDefault="00313889" w:rsidP="00313889">
            <w:pPr>
              <w:spacing w:after="0" w:line="240" w:lineRule="auto"/>
              <w:jc w:val="right"/>
              <w:rPr>
                <w:rFonts w:ascii="Arial" w:hAnsi="Arial" w:cs="Arial"/>
                <w:sz w:val="16"/>
                <w:szCs w:val="16"/>
              </w:rPr>
            </w:pPr>
            <w:proofErr w:type="spellStart"/>
            <w:r w:rsidRPr="001D26AC">
              <w:rPr>
                <w:rFonts w:ascii="Arial" w:hAnsi="Arial" w:cs="Arial"/>
                <w:sz w:val="16"/>
                <w:szCs w:val="16"/>
              </w:rPr>
              <w:t>nfp</w:t>
            </w:r>
            <w:proofErr w:type="spellEnd"/>
          </w:p>
        </w:tc>
      </w:tr>
      <w:tr w:rsidR="00313889" w:rsidRPr="001D26AC" w14:paraId="1F0F2ECA" w14:textId="77777777" w:rsidTr="001D26AC">
        <w:trPr>
          <w:trHeight w:val="204"/>
        </w:trPr>
        <w:tc>
          <w:tcPr>
            <w:tcW w:w="2835" w:type="dxa"/>
            <w:tcBorders>
              <w:top w:val="nil"/>
              <w:left w:val="nil"/>
              <w:bottom w:val="nil"/>
              <w:right w:val="nil"/>
            </w:tcBorders>
            <w:shd w:val="clear" w:color="auto" w:fill="auto"/>
            <w:noWrap/>
            <w:vAlign w:val="bottom"/>
          </w:tcPr>
          <w:p w14:paraId="4A756141" w14:textId="5EE116C5" w:rsidR="00313889" w:rsidRPr="001D26AC" w:rsidRDefault="00313889" w:rsidP="00313889">
            <w:pPr>
              <w:spacing w:after="0" w:line="240" w:lineRule="auto"/>
              <w:ind w:left="113"/>
              <w:jc w:val="left"/>
              <w:rPr>
                <w:rFonts w:ascii="Arial" w:hAnsi="Arial" w:cs="Arial"/>
                <w:b/>
                <w:sz w:val="16"/>
                <w:szCs w:val="16"/>
              </w:rPr>
            </w:pPr>
            <w:r w:rsidRPr="001D26AC">
              <w:rPr>
                <w:rFonts w:ascii="Arial" w:hAnsi="Arial" w:cs="Arial"/>
                <w:sz w:val="16"/>
                <w:szCs w:val="16"/>
              </w:rPr>
              <w:t>Departmental payments</w:t>
            </w:r>
          </w:p>
        </w:tc>
        <w:tc>
          <w:tcPr>
            <w:tcW w:w="882" w:type="dxa"/>
            <w:tcBorders>
              <w:top w:val="nil"/>
              <w:left w:val="nil"/>
              <w:bottom w:val="nil"/>
              <w:right w:val="nil"/>
            </w:tcBorders>
            <w:shd w:val="clear" w:color="auto" w:fill="auto"/>
            <w:noWrap/>
            <w:vAlign w:val="bottom"/>
          </w:tcPr>
          <w:p w14:paraId="1420CE89" w14:textId="77777777" w:rsidR="00313889" w:rsidRPr="001D26AC" w:rsidRDefault="00313889" w:rsidP="00313889">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tcPr>
          <w:p w14:paraId="49A02207" w14:textId="7C336F9C"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sz w:val="16"/>
                <w:szCs w:val="16"/>
              </w:rPr>
              <w:t>nfp</w:t>
            </w:r>
            <w:proofErr w:type="spellEnd"/>
          </w:p>
        </w:tc>
        <w:tc>
          <w:tcPr>
            <w:tcW w:w="941" w:type="dxa"/>
            <w:tcBorders>
              <w:top w:val="nil"/>
              <w:left w:val="nil"/>
              <w:bottom w:val="nil"/>
              <w:right w:val="nil"/>
            </w:tcBorders>
            <w:shd w:val="clear" w:color="auto" w:fill="auto"/>
            <w:noWrap/>
            <w:vAlign w:val="bottom"/>
          </w:tcPr>
          <w:p w14:paraId="1F465298" w14:textId="5C4DB107"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sz w:val="16"/>
                <w:szCs w:val="16"/>
              </w:rPr>
              <w:t>nfp</w:t>
            </w:r>
            <w:proofErr w:type="spellEnd"/>
          </w:p>
        </w:tc>
        <w:tc>
          <w:tcPr>
            <w:tcW w:w="996" w:type="dxa"/>
            <w:tcBorders>
              <w:top w:val="nil"/>
              <w:left w:val="nil"/>
              <w:bottom w:val="nil"/>
              <w:right w:val="nil"/>
            </w:tcBorders>
            <w:shd w:val="clear" w:color="auto" w:fill="E6E6E6"/>
            <w:noWrap/>
            <w:vAlign w:val="bottom"/>
          </w:tcPr>
          <w:p w14:paraId="67DB41D8" w14:textId="2B8D2F0A"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sz w:val="16"/>
                <w:szCs w:val="16"/>
              </w:rPr>
              <w:t>nfp</w:t>
            </w:r>
            <w:proofErr w:type="spellEnd"/>
          </w:p>
        </w:tc>
        <w:tc>
          <w:tcPr>
            <w:tcW w:w="947" w:type="dxa"/>
            <w:tcBorders>
              <w:top w:val="nil"/>
              <w:left w:val="nil"/>
              <w:bottom w:val="nil"/>
              <w:right w:val="nil"/>
            </w:tcBorders>
            <w:shd w:val="clear" w:color="auto" w:fill="auto"/>
            <w:noWrap/>
            <w:vAlign w:val="bottom"/>
          </w:tcPr>
          <w:p w14:paraId="6179F740" w14:textId="62524FC6"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sz w:val="16"/>
                <w:szCs w:val="16"/>
              </w:rPr>
              <w:t>nfp</w:t>
            </w:r>
            <w:proofErr w:type="spellEnd"/>
          </w:p>
        </w:tc>
      </w:tr>
      <w:tr w:rsidR="00313889" w:rsidRPr="001D26AC" w14:paraId="694B0828" w14:textId="77777777" w:rsidTr="001D26AC">
        <w:trPr>
          <w:trHeight w:val="204"/>
        </w:trPr>
        <w:tc>
          <w:tcPr>
            <w:tcW w:w="2835" w:type="dxa"/>
            <w:tcBorders>
              <w:top w:val="nil"/>
              <w:left w:val="nil"/>
              <w:bottom w:val="nil"/>
              <w:right w:val="nil"/>
            </w:tcBorders>
            <w:shd w:val="clear" w:color="auto" w:fill="auto"/>
            <w:noWrap/>
            <w:vAlign w:val="bottom"/>
          </w:tcPr>
          <w:p w14:paraId="2397FB64" w14:textId="0ACB412A" w:rsidR="00313889" w:rsidRPr="001D26AC" w:rsidRDefault="00313889" w:rsidP="00313889">
            <w:pPr>
              <w:spacing w:after="0" w:line="240" w:lineRule="auto"/>
              <w:ind w:left="113"/>
              <w:jc w:val="left"/>
              <w:rPr>
                <w:rFonts w:ascii="Arial" w:hAnsi="Arial" w:cs="Arial"/>
                <w:b/>
                <w:sz w:val="16"/>
                <w:szCs w:val="16"/>
              </w:rPr>
            </w:pPr>
            <w:r w:rsidRPr="001D26AC">
              <w:rPr>
                <w:rFonts w:ascii="Arial" w:hAnsi="Arial" w:cs="Arial"/>
                <w:b/>
                <w:sz w:val="16"/>
                <w:szCs w:val="16"/>
              </w:rPr>
              <w:t>Total</w:t>
            </w:r>
          </w:p>
        </w:tc>
        <w:tc>
          <w:tcPr>
            <w:tcW w:w="882" w:type="dxa"/>
            <w:tcBorders>
              <w:top w:val="nil"/>
              <w:left w:val="nil"/>
              <w:bottom w:val="nil"/>
              <w:right w:val="nil"/>
            </w:tcBorders>
            <w:shd w:val="clear" w:color="auto" w:fill="auto"/>
            <w:noWrap/>
            <w:vAlign w:val="bottom"/>
          </w:tcPr>
          <w:p w14:paraId="1893E926" w14:textId="77777777" w:rsidR="00313889" w:rsidRPr="001D26AC" w:rsidRDefault="00313889" w:rsidP="00313889">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tcPr>
          <w:p w14:paraId="7D6404A8" w14:textId="328FA0C1"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b/>
                <w:bCs/>
                <w:sz w:val="16"/>
                <w:szCs w:val="16"/>
              </w:rPr>
              <w:t>nfp</w:t>
            </w:r>
            <w:proofErr w:type="spellEnd"/>
          </w:p>
        </w:tc>
        <w:tc>
          <w:tcPr>
            <w:tcW w:w="941" w:type="dxa"/>
            <w:tcBorders>
              <w:top w:val="nil"/>
              <w:left w:val="nil"/>
              <w:bottom w:val="nil"/>
              <w:right w:val="nil"/>
            </w:tcBorders>
            <w:shd w:val="clear" w:color="auto" w:fill="auto"/>
            <w:noWrap/>
            <w:vAlign w:val="bottom"/>
          </w:tcPr>
          <w:p w14:paraId="0113A788" w14:textId="4B16E44E"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b/>
                <w:bCs/>
                <w:sz w:val="16"/>
                <w:szCs w:val="16"/>
              </w:rPr>
              <w:t>nfp</w:t>
            </w:r>
            <w:proofErr w:type="spellEnd"/>
          </w:p>
        </w:tc>
        <w:tc>
          <w:tcPr>
            <w:tcW w:w="996" w:type="dxa"/>
            <w:tcBorders>
              <w:top w:val="nil"/>
              <w:left w:val="nil"/>
              <w:bottom w:val="nil"/>
              <w:right w:val="nil"/>
            </w:tcBorders>
            <w:shd w:val="clear" w:color="auto" w:fill="E6E6E6"/>
            <w:noWrap/>
            <w:vAlign w:val="bottom"/>
          </w:tcPr>
          <w:p w14:paraId="6A0EC1AE" w14:textId="48415628"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b/>
                <w:bCs/>
                <w:sz w:val="16"/>
                <w:szCs w:val="16"/>
              </w:rPr>
              <w:t>nfp</w:t>
            </w:r>
            <w:proofErr w:type="spellEnd"/>
          </w:p>
        </w:tc>
        <w:tc>
          <w:tcPr>
            <w:tcW w:w="947" w:type="dxa"/>
            <w:tcBorders>
              <w:top w:val="nil"/>
              <w:left w:val="nil"/>
              <w:bottom w:val="nil"/>
              <w:right w:val="nil"/>
            </w:tcBorders>
            <w:shd w:val="clear" w:color="auto" w:fill="auto"/>
            <w:noWrap/>
            <w:vAlign w:val="bottom"/>
          </w:tcPr>
          <w:p w14:paraId="53290FAB" w14:textId="0D9323DC"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b/>
                <w:bCs/>
                <w:sz w:val="16"/>
                <w:szCs w:val="16"/>
              </w:rPr>
              <w:t>nfp</w:t>
            </w:r>
            <w:proofErr w:type="spellEnd"/>
          </w:p>
        </w:tc>
      </w:tr>
      <w:tr w:rsidR="00313889" w:rsidRPr="001D26AC" w14:paraId="14041D2D" w14:textId="77777777" w:rsidTr="001D26AC">
        <w:trPr>
          <w:trHeight w:val="204"/>
        </w:trPr>
        <w:tc>
          <w:tcPr>
            <w:tcW w:w="2835" w:type="dxa"/>
            <w:tcBorders>
              <w:top w:val="nil"/>
              <w:left w:val="nil"/>
              <w:bottom w:val="nil"/>
              <w:right w:val="nil"/>
            </w:tcBorders>
            <w:shd w:val="clear" w:color="auto" w:fill="auto"/>
            <w:noWrap/>
            <w:vAlign w:val="bottom"/>
          </w:tcPr>
          <w:p w14:paraId="0DAE95BF" w14:textId="00393C8B" w:rsidR="00313889" w:rsidRPr="001D26AC" w:rsidRDefault="00313889" w:rsidP="00313889">
            <w:pPr>
              <w:spacing w:after="0" w:line="240" w:lineRule="auto"/>
              <w:jc w:val="left"/>
              <w:rPr>
                <w:rFonts w:ascii="Arial" w:hAnsi="Arial" w:cs="Arial"/>
                <w:b/>
                <w:sz w:val="16"/>
                <w:szCs w:val="16"/>
              </w:rPr>
            </w:pPr>
            <w:r w:rsidRPr="001D26AC">
              <w:rPr>
                <w:rFonts w:ascii="Arial" w:hAnsi="Arial" w:cs="Arial"/>
                <w:sz w:val="16"/>
                <w:szCs w:val="16"/>
              </w:rPr>
              <w:t>Media Sector Reforms</w:t>
            </w:r>
            <w:r w:rsidR="005615BC" w:rsidRPr="001D26AC">
              <w:rPr>
                <w:rFonts w:ascii="Arial" w:hAnsi="Arial" w:cs="Arial"/>
                <w:sz w:val="16"/>
                <w:szCs w:val="16"/>
              </w:rPr>
              <w:t xml:space="preserve"> </w:t>
            </w:r>
            <w:r w:rsidR="005615BC" w:rsidRPr="001D26AC">
              <w:rPr>
                <w:rFonts w:ascii="Arial" w:hAnsi="Arial" w:cs="Arial"/>
                <w:sz w:val="16"/>
                <w:szCs w:val="16"/>
                <w:vertAlign w:val="superscript"/>
              </w:rPr>
              <w:t>(b)</w:t>
            </w:r>
          </w:p>
        </w:tc>
        <w:tc>
          <w:tcPr>
            <w:tcW w:w="882" w:type="dxa"/>
            <w:tcBorders>
              <w:top w:val="nil"/>
              <w:left w:val="nil"/>
              <w:bottom w:val="nil"/>
              <w:right w:val="nil"/>
            </w:tcBorders>
            <w:shd w:val="clear" w:color="auto" w:fill="auto"/>
            <w:noWrap/>
            <w:vAlign w:val="bottom"/>
          </w:tcPr>
          <w:p w14:paraId="7DB37DF9" w14:textId="31A2AE7D" w:rsidR="00313889" w:rsidRPr="001D26AC" w:rsidRDefault="00313889" w:rsidP="00313889">
            <w:pPr>
              <w:spacing w:after="0" w:line="240" w:lineRule="auto"/>
              <w:jc w:val="center"/>
              <w:rPr>
                <w:rFonts w:ascii="Arial" w:hAnsi="Arial" w:cs="Arial"/>
                <w:b/>
                <w:bCs/>
                <w:sz w:val="16"/>
                <w:szCs w:val="16"/>
              </w:rPr>
            </w:pPr>
            <w:r w:rsidRPr="001D26AC">
              <w:rPr>
                <w:rFonts w:ascii="Arial" w:hAnsi="Arial" w:cs="Arial"/>
                <w:sz w:val="16"/>
                <w:szCs w:val="16"/>
              </w:rPr>
              <w:t>5.1, 5.2</w:t>
            </w:r>
          </w:p>
        </w:tc>
        <w:tc>
          <w:tcPr>
            <w:tcW w:w="979" w:type="dxa"/>
            <w:tcBorders>
              <w:top w:val="nil"/>
              <w:left w:val="nil"/>
              <w:bottom w:val="nil"/>
              <w:right w:val="nil"/>
            </w:tcBorders>
            <w:shd w:val="clear" w:color="auto" w:fill="E6E6E6"/>
            <w:noWrap/>
            <w:vAlign w:val="bottom"/>
          </w:tcPr>
          <w:p w14:paraId="69F4C57F" w14:textId="490CB2AC"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 </w:t>
            </w:r>
          </w:p>
        </w:tc>
        <w:tc>
          <w:tcPr>
            <w:tcW w:w="941" w:type="dxa"/>
            <w:tcBorders>
              <w:top w:val="nil"/>
              <w:left w:val="nil"/>
              <w:bottom w:val="nil"/>
              <w:right w:val="nil"/>
            </w:tcBorders>
            <w:shd w:val="clear" w:color="auto" w:fill="auto"/>
            <w:noWrap/>
            <w:vAlign w:val="bottom"/>
          </w:tcPr>
          <w:p w14:paraId="6E4985B5" w14:textId="77777777" w:rsidR="00313889" w:rsidRPr="001D26AC" w:rsidRDefault="00313889" w:rsidP="00313889">
            <w:pPr>
              <w:spacing w:after="0" w:line="240" w:lineRule="auto"/>
              <w:jc w:val="right"/>
              <w:rPr>
                <w:rFonts w:ascii="Arial" w:hAnsi="Arial" w:cs="Arial"/>
                <w:b/>
                <w:bCs/>
                <w:sz w:val="16"/>
                <w:szCs w:val="16"/>
              </w:rPr>
            </w:pPr>
          </w:p>
        </w:tc>
        <w:tc>
          <w:tcPr>
            <w:tcW w:w="996" w:type="dxa"/>
            <w:tcBorders>
              <w:top w:val="nil"/>
              <w:left w:val="nil"/>
              <w:bottom w:val="nil"/>
              <w:right w:val="nil"/>
            </w:tcBorders>
            <w:shd w:val="clear" w:color="auto" w:fill="E6E6E6"/>
            <w:noWrap/>
            <w:vAlign w:val="bottom"/>
          </w:tcPr>
          <w:p w14:paraId="159B522A" w14:textId="072F5258"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 </w:t>
            </w:r>
          </w:p>
        </w:tc>
        <w:tc>
          <w:tcPr>
            <w:tcW w:w="947" w:type="dxa"/>
            <w:tcBorders>
              <w:top w:val="nil"/>
              <w:left w:val="nil"/>
              <w:bottom w:val="nil"/>
              <w:right w:val="nil"/>
            </w:tcBorders>
            <w:shd w:val="clear" w:color="auto" w:fill="auto"/>
            <w:noWrap/>
            <w:vAlign w:val="bottom"/>
          </w:tcPr>
          <w:p w14:paraId="02ABCDD5" w14:textId="77777777" w:rsidR="00313889" w:rsidRPr="001D26AC" w:rsidRDefault="00313889" w:rsidP="00313889">
            <w:pPr>
              <w:spacing w:after="0" w:line="240" w:lineRule="auto"/>
              <w:jc w:val="right"/>
              <w:rPr>
                <w:rFonts w:ascii="Arial" w:hAnsi="Arial" w:cs="Arial"/>
                <w:b/>
                <w:bCs/>
                <w:sz w:val="16"/>
                <w:szCs w:val="16"/>
              </w:rPr>
            </w:pPr>
          </w:p>
        </w:tc>
      </w:tr>
      <w:tr w:rsidR="00313889" w:rsidRPr="001D26AC" w14:paraId="1A23E29D" w14:textId="77777777" w:rsidTr="001D26AC">
        <w:trPr>
          <w:trHeight w:val="204"/>
        </w:trPr>
        <w:tc>
          <w:tcPr>
            <w:tcW w:w="2835" w:type="dxa"/>
            <w:tcBorders>
              <w:top w:val="nil"/>
              <w:left w:val="nil"/>
              <w:bottom w:val="nil"/>
              <w:right w:val="nil"/>
            </w:tcBorders>
            <w:shd w:val="clear" w:color="auto" w:fill="auto"/>
            <w:noWrap/>
            <w:vAlign w:val="bottom"/>
          </w:tcPr>
          <w:p w14:paraId="04AD4CFC" w14:textId="397C47F4" w:rsidR="00313889" w:rsidRPr="001D26AC" w:rsidRDefault="00313889" w:rsidP="00313889">
            <w:pPr>
              <w:spacing w:after="0" w:line="240" w:lineRule="auto"/>
              <w:ind w:left="113"/>
              <w:jc w:val="left"/>
              <w:rPr>
                <w:rFonts w:ascii="Arial" w:hAnsi="Arial" w:cs="Arial"/>
                <w:b/>
                <w:sz w:val="16"/>
                <w:szCs w:val="16"/>
              </w:rPr>
            </w:pPr>
            <w:r w:rsidRPr="001D26AC">
              <w:rPr>
                <w:rFonts w:ascii="Arial" w:hAnsi="Arial" w:cs="Arial"/>
                <w:sz w:val="16"/>
                <w:szCs w:val="16"/>
              </w:rPr>
              <w:t>Administered payments</w:t>
            </w:r>
          </w:p>
        </w:tc>
        <w:tc>
          <w:tcPr>
            <w:tcW w:w="882" w:type="dxa"/>
            <w:tcBorders>
              <w:top w:val="nil"/>
              <w:left w:val="nil"/>
              <w:bottom w:val="nil"/>
              <w:right w:val="nil"/>
            </w:tcBorders>
            <w:shd w:val="clear" w:color="auto" w:fill="auto"/>
            <w:noWrap/>
            <w:vAlign w:val="bottom"/>
          </w:tcPr>
          <w:p w14:paraId="076F04F1" w14:textId="77777777" w:rsidR="00313889" w:rsidRPr="001D26AC" w:rsidRDefault="00313889" w:rsidP="00313889">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tcPr>
          <w:p w14:paraId="491D372A" w14:textId="0E307159"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 xml:space="preserve">5,000 </w:t>
            </w:r>
          </w:p>
        </w:tc>
        <w:tc>
          <w:tcPr>
            <w:tcW w:w="941" w:type="dxa"/>
            <w:tcBorders>
              <w:top w:val="nil"/>
              <w:left w:val="nil"/>
              <w:bottom w:val="nil"/>
              <w:right w:val="nil"/>
            </w:tcBorders>
            <w:shd w:val="clear" w:color="auto" w:fill="auto"/>
            <w:noWrap/>
            <w:vAlign w:val="bottom"/>
          </w:tcPr>
          <w:p w14:paraId="00DA2725" w14:textId="05F165F2"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 xml:space="preserve">5,000 </w:t>
            </w:r>
          </w:p>
        </w:tc>
        <w:tc>
          <w:tcPr>
            <w:tcW w:w="996" w:type="dxa"/>
            <w:tcBorders>
              <w:top w:val="nil"/>
              <w:left w:val="nil"/>
              <w:bottom w:val="nil"/>
              <w:right w:val="nil"/>
            </w:tcBorders>
            <w:shd w:val="clear" w:color="auto" w:fill="E6E6E6"/>
            <w:noWrap/>
            <w:vAlign w:val="bottom"/>
          </w:tcPr>
          <w:p w14:paraId="4C1C6499" w14:textId="7EA5CA9E"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 xml:space="preserve">- </w:t>
            </w:r>
          </w:p>
        </w:tc>
        <w:tc>
          <w:tcPr>
            <w:tcW w:w="947" w:type="dxa"/>
            <w:tcBorders>
              <w:top w:val="nil"/>
              <w:left w:val="nil"/>
              <w:bottom w:val="nil"/>
              <w:right w:val="nil"/>
            </w:tcBorders>
            <w:shd w:val="clear" w:color="auto" w:fill="auto"/>
            <w:noWrap/>
            <w:vAlign w:val="bottom"/>
          </w:tcPr>
          <w:p w14:paraId="784C1739" w14:textId="72C63778"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 xml:space="preserve">- </w:t>
            </w:r>
          </w:p>
        </w:tc>
      </w:tr>
      <w:tr w:rsidR="00313889" w:rsidRPr="001D26AC" w14:paraId="47422C18" w14:textId="77777777" w:rsidTr="001D26AC">
        <w:trPr>
          <w:trHeight w:val="204"/>
        </w:trPr>
        <w:tc>
          <w:tcPr>
            <w:tcW w:w="2835" w:type="dxa"/>
            <w:tcBorders>
              <w:top w:val="nil"/>
              <w:left w:val="nil"/>
              <w:bottom w:val="nil"/>
              <w:right w:val="nil"/>
            </w:tcBorders>
            <w:shd w:val="clear" w:color="auto" w:fill="auto"/>
            <w:noWrap/>
            <w:vAlign w:val="bottom"/>
          </w:tcPr>
          <w:p w14:paraId="6C51EC8A" w14:textId="5851658F" w:rsidR="00313889" w:rsidRPr="001D26AC" w:rsidRDefault="00313889" w:rsidP="00313889">
            <w:pPr>
              <w:spacing w:after="0" w:line="240" w:lineRule="auto"/>
              <w:ind w:left="113"/>
              <w:jc w:val="left"/>
              <w:rPr>
                <w:rFonts w:ascii="Arial" w:hAnsi="Arial" w:cs="Arial"/>
                <w:b/>
                <w:sz w:val="16"/>
                <w:szCs w:val="16"/>
              </w:rPr>
            </w:pPr>
            <w:r w:rsidRPr="001D26AC">
              <w:rPr>
                <w:rFonts w:ascii="Arial" w:hAnsi="Arial" w:cs="Arial"/>
                <w:sz w:val="16"/>
                <w:szCs w:val="16"/>
              </w:rPr>
              <w:t>Departmental payments</w:t>
            </w:r>
          </w:p>
        </w:tc>
        <w:tc>
          <w:tcPr>
            <w:tcW w:w="882" w:type="dxa"/>
            <w:tcBorders>
              <w:top w:val="nil"/>
              <w:left w:val="nil"/>
              <w:bottom w:val="nil"/>
              <w:right w:val="nil"/>
            </w:tcBorders>
            <w:shd w:val="clear" w:color="auto" w:fill="auto"/>
            <w:noWrap/>
            <w:vAlign w:val="bottom"/>
          </w:tcPr>
          <w:p w14:paraId="1DEC623F" w14:textId="77777777" w:rsidR="00313889" w:rsidRPr="001D26AC" w:rsidRDefault="00313889" w:rsidP="00313889">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tcPr>
          <w:p w14:paraId="1081C4F6" w14:textId="0A66B33E"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 xml:space="preserve">2,146 </w:t>
            </w:r>
          </w:p>
        </w:tc>
        <w:tc>
          <w:tcPr>
            <w:tcW w:w="941" w:type="dxa"/>
            <w:tcBorders>
              <w:top w:val="nil"/>
              <w:left w:val="nil"/>
              <w:bottom w:val="nil"/>
              <w:right w:val="nil"/>
            </w:tcBorders>
            <w:shd w:val="clear" w:color="auto" w:fill="auto"/>
            <w:noWrap/>
            <w:vAlign w:val="bottom"/>
          </w:tcPr>
          <w:p w14:paraId="5D6DBC13" w14:textId="42592236"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 xml:space="preserve">1,557 </w:t>
            </w:r>
          </w:p>
        </w:tc>
        <w:tc>
          <w:tcPr>
            <w:tcW w:w="996" w:type="dxa"/>
            <w:tcBorders>
              <w:top w:val="nil"/>
              <w:left w:val="nil"/>
              <w:bottom w:val="nil"/>
              <w:right w:val="nil"/>
            </w:tcBorders>
            <w:shd w:val="clear" w:color="auto" w:fill="E6E6E6"/>
            <w:noWrap/>
            <w:vAlign w:val="bottom"/>
          </w:tcPr>
          <w:p w14:paraId="55D51345" w14:textId="51BAF77E"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 xml:space="preserve">1,367 </w:t>
            </w:r>
          </w:p>
        </w:tc>
        <w:tc>
          <w:tcPr>
            <w:tcW w:w="947" w:type="dxa"/>
            <w:tcBorders>
              <w:top w:val="nil"/>
              <w:left w:val="nil"/>
              <w:bottom w:val="nil"/>
              <w:right w:val="nil"/>
            </w:tcBorders>
            <w:shd w:val="clear" w:color="auto" w:fill="auto"/>
            <w:noWrap/>
            <w:vAlign w:val="bottom"/>
          </w:tcPr>
          <w:p w14:paraId="6A512D42" w14:textId="2BFE0F65"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 xml:space="preserve">- </w:t>
            </w:r>
          </w:p>
        </w:tc>
      </w:tr>
      <w:tr w:rsidR="00313889" w:rsidRPr="001D26AC" w14:paraId="7FCD9B90" w14:textId="77777777" w:rsidTr="001D26AC">
        <w:trPr>
          <w:trHeight w:val="204"/>
        </w:trPr>
        <w:tc>
          <w:tcPr>
            <w:tcW w:w="2835" w:type="dxa"/>
            <w:tcBorders>
              <w:top w:val="nil"/>
              <w:left w:val="nil"/>
              <w:bottom w:val="nil"/>
              <w:right w:val="nil"/>
            </w:tcBorders>
            <w:shd w:val="clear" w:color="auto" w:fill="auto"/>
            <w:noWrap/>
            <w:vAlign w:val="bottom"/>
          </w:tcPr>
          <w:p w14:paraId="59431F36" w14:textId="40938E47" w:rsidR="00313889" w:rsidRPr="001D26AC" w:rsidRDefault="00313889" w:rsidP="00313889">
            <w:pPr>
              <w:spacing w:after="0" w:line="240" w:lineRule="auto"/>
              <w:ind w:left="113"/>
              <w:jc w:val="left"/>
              <w:rPr>
                <w:rFonts w:ascii="Arial" w:hAnsi="Arial" w:cs="Arial"/>
                <w:b/>
                <w:sz w:val="16"/>
                <w:szCs w:val="16"/>
              </w:rPr>
            </w:pPr>
            <w:r w:rsidRPr="001D26AC">
              <w:rPr>
                <w:rFonts w:ascii="Arial" w:hAnsi="Arial" w:cs="Arial"/>
                <w:b/>
                <w:sz w:val="16"/>
                <w:szCs w:val="16"/>
              </w:rPr>
              <w:t>Total</w:t>
            </w:r>
          </w:p>
        </w:tc>
        <w:tc>
          <w:tcPr>
            <w:tcW w:w="882" w:type="dxa"/>
            <w:tcBorders>
              <w:top w:val="nil"/>
              <w:left w:val="nil"/>
              <w:bottom w:val="nil"/>
              <w:right w:val="nil"/>
            </w:tcBorders>
            <w:shd w:val="clear" w:color="auto" w:fill="auto"/>
            <w:noWrap/>
            <w:vAlign w:val="bottom"/>
          </w:tcPr>
          <w:p w14:paraId="7F11386D" w14:textId="77777777" w:rsidR="00313889" w:rsidRPr="001D26AC" w:rsidRDefault="00313889" w:rsidP="00313889">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tcPr>
          <w:p w14:paraId="52AE9752" w14:textId="6469724E"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b/>
                <w:bCs/>
                <w:sz w:val="16"/>
                <w:szCs w:val="16"/>
              </w:rPr>
              <w:t xml:space="preserve">7,146 </w:t>
            </w:r>
          </w:p>
        </w:tc>
        <w:tc>
          <w:tcPr>
            <w:tcW w:w="941" w:type="dxa"/>
            <w:tcBorders>
              <w:top w:val="nil"/>
              <w:left w:val="nil"/>
              <w:bottom w:val="nil"/>
              <w:right w:val="nil"/>
            </w:tcBorders>
            <w:shd w:val="clear" w:color="auto" w:fill="auto"/>
            <w:noWrap/>
            <w:vAlign w:val="bottom"/>
          </w:tcPr>
          <w:p w14:paraId="0EF00A05" w14:textId="599B83E9"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b/>
                <w:bCs/>
                <w:sz w:val="16"/>
                <w:szCs w:val="16"/>
              </w:rPr>
              <w:t xml:space="preserve">6,557 </w:t>
            </w:r>
          </w:p>
        </w:tc>
        <w:tc>
          <w:tcPr>
            <w:tcW w:w="996" w:type="dxa"/>
            <w:tcBorders>
              <w:top w:val="nil"/>
              <w:left w:val="nil"/>
              <w:bottom w:val="nil"/>
              <w:right w:val="nil"/>
            </w:tcBorders>
            <w:shd w:val="clear" w:color="auto" w:fill="E6E6E6"/>
            <w:noWrap/>
            <w:vAlign w:val="bottom"/>
          </w:tcPr>
          <w:p w14:paraId="29BD2481" w14:textId="7A8AB3E8"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b/>
                <w:bCs/>
                <w:sz w:val="16"/>
                <w:szCs w:val="16"/>
              </w:rPr>
              <w:t xml:space="preserve">1,367 </w:t>
            </w:r>
          </w:p>
        </w:tc>
        <w:tc>
          <w:tcPr>
            <w:tcW w:w="947" w:type="dxa"/>
            <w:tcBorders>
              <w:top w:val="nil"/>
              <w:left w:val="nil"/>
              <w:bottom w:val="nil"/>
              <w:right w:val="nil"/>
            </w:tcBorders>
            <w:shd w:val="clear" w:color="auto" w:fill="auto"/>
            <w:noWrap/>
            <w:vAlign w:val="bottom"/>
          </w:tcPr>
          <w:p w14:paraId="582E35AA" w14:textId="39A847F0"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b/>
                <w:bCs/>
                <w:sz w:val="16"/>
                <w:szCs w:val="16"/>
              </w:rPr>
              <w:t xml:space="preserve">- </w:t>
            </w:r>
          </w:p>
        </w:tc>
      </w:tr>
      <w:tr w:rsidR="00313889" w:rsidRPr="001D26AC" w14:paraId="7CF2B7C8" w14:textId="77777777" w:rsidTr="001D26AC">
        <w:trPr>
          <w:trHeight w:val="204"/>
        </w:trPr>
        <w:tc>
          <w:tcPr>
            <w:tcW w:w="2835" w:type="dxa"/>
            <w:tcBorders>
              <w:top w:val="nil"/>
              <w:left w:val="nil"/>
              <w:bottom w:val="nil"/>
              <w:right w:val="nil"/>
            </w:tcBorders>
            <w:shd w:val="clear" w:color="auto" w:fill="auto"/>
            <w:noWrap/>
            <w:vAlign w:val="bottom"/>
          </w:tcPr>
          <w:p w14:paraId="6C375224" w14:textId="6CF47421" w:rsidR="00313889" w:rsidRPr="001D26AC" w:rsidRDefault="00313889" w:rsidP="00313889">
            <w:pPr>
              <w:spacing w:after="0" w:line="240" w:lineRule="auto"/>
              <w:jc w:val="left"/>
              <w:rPr>
                <w:rFonts w:ascii="Arial" w:hAnsi="Arial" w:cs="Arial"/>
                <w:b/>
                <w:sz w:val="16"/>
                <w:szCs w:val="16"/>
              </w:rPr>
            </w:pPr>
            <w:r w:rsidRPr="001D26AC">
              <w:rPr>
                <w:rFonts w:ascii="Arial" w:hAnsi="Arial" w:cs="Arial"/>
                <w:sz w:val="16"/>
                <w:szCs w:val="16"/>
              </w:rPr>
              <w:t>National Collecting Institutions - preserving Australia's cultural heritage</w:t>
            </w:r>
            <w:r w:rsidR="00FB18CA" w:rsidRPr="001D26AC">
              <w:rPr>
                <w:rFonts w:ascii="Arial" w:hAnsi="Arial" w:cs="Arial"/>
                <w:sz w:val="16"/>
                <w:szCs w:val="16"/>
              </w:rPr>
              <w:t> </w:t>
            </w:r>
            <w:r w:rsidRPr="001D26AC">
              <w:rPr>
                <w:rFonts w:ascii="Arial" w:hAnsi="Arial" w:cs="Arial"/>
                <w:sz w:val="16"/>
                <w:szCs w:val="16"/>
                <w:vertAlign w:val="superscript"/>
              </w:rPr>
              <w:t>(a)</w:t>
            </w:r>
          </w:p>
        </w:tc>
        <w:tc>
          <w:tcPr>
            <w:tcW w:w="882" w:type="dxa"/>
            <w:tcBorders>
              <w:top w:val="nil"/>
              <w:left w:val="nil"/>
              <w:bottom w:val="nil"/>
              <w:right w:val="nil"/>
            </w:tcBorders>
            <w:shd w:val="clear" w:color="auto" w:fill="auto"/>
            <w:noWrap/>
            <w:vAlign w:val="bottom"/>
          </w:tcPr>
          <w:p w14:paraId="21573115" w14:textId="7A60D4D2" w:rsidR="00313889" w:rsidRPr="001D26AC" w:rsidRDefault="00313889" w:rsidP="00313889">
            <w:pPr>
              <w:spacing w:after="0" w:line="240" w:lineRule="auto"/>
              <w:ind w:firstLineChars="100" w:firstLine="160"/>
              <w:jc w:val="right"/>
              <w:rPr>
                <w:rFonts w:ascii="Arial" w:hAnsi="Arial" w:cs="Arial"/>
                <w:b/>
                <w:bCs/>
                <w:sz w:val="16"/>
                <w:szCs w:val="16"/>
              </w:rPr>
            </w:pPr>
            <w:r w:rsidRPr="001D26AC">
              <w:rPr>
                <w:rFonts w:ascii="Arial" w:hAnsi="Arial" w:cs="Arial"/>
                <w:sz w:val="16"/>
                <w:szCs w:val="16"/>
              </w:rPr>
              <w:t>6.1</w:t>
            </w:r>
          </w:p>
        </w:tc>
        <w:tc>
          <w:tcPr>
            <w:tcW w:w="979" w:type="dxa"/>
            <w:tcBorders>
              <w:top w:val="nil"/>
              <w:left w:val="nil"/>
              <w:bottom w:val="nil"/>
              <w:right w:val="nil"/>
            </w:tcBorders>
            <w:shd w:val="clear" w:color="auto" w:fill="E6E6E6"/>
            <w:noWrap/>
            <w:vAlign w:val="bottom"/>
          </w:tcPr>
          <w:p w14:paraId="2902ABCD" w14:textId="77777777" w:rsidR="00313889" w:rsidRPr="001D26AC" w:rsidRDefault="00313889" w:rsidP="00313889">
            <w:pPr>
              <w:spacing w:after="0" w:line="240" w:lineRule="auto"/>
              <w:jc w:val="right"/>
              <w:rPr>
                <w:rFonts w:ascii="Arial" w:hAnsi="Arial" w:cs="Arial"/>
                <w:b/>
                <w:bCs/>
                <w:sz w:val="16"/>
                <w:szCs w:val="16"/>
              </w:rPr>
            </w:pPr>
          </w:p>
        </w:tc>
        <w:tc>
          <w:tcPr>
            <w:tcW w:w="941" w:type="dxa"/>
            <w:tcBorders>
              <w:top w:val="nil"/>
              <w:left w:val="nil"/>
              <w:bottom w:val="nil"/>
              <w:right w:val="nil"/>
            </w:tcBorders>
            <w:shd w:val="clear" w:color="auto" w:fill="auto"/>
            <w:noWrap/>
            <w:vAlign w:val="bottom"/>
          </w:tcPr>
          <w:p w14:paraId="6685A1A6" w14:textId="77777777" w:rsidR="00313889" w:rsidRPr="001D26AC" w:rsidRDefault="00313889" w:rsidP="00313889">
            <w:pPr>
              <w:spacing w:after="0" w:line="240" w:lineRule="auto"/>
              <w:jc w:val="right"/>
              <w:rPr>
                <w:rFonts w:ascii="Arial" w:hAnsi="Arial" w:cs="Arial"/>
                <w:b/>
                <w:bCs/>
                <w:sz w:val="16"/>
                <w:szCs w:val="16"/>
              </w:rPr>
            </w:pPr>
          </w:p>
        </w:tc>
        <w:tc>
          <w:tcPr>
            <w:tcW w:w="996" w:type="dxa"/>
            <w:tcBorders>
              <w:top w:val="nil"/>
              <w:left w:val="nil"/>
              <w:bottom w:val="nil"/>
              <w:right w:val="nil"/>
            </w:tcBorders>
            <w:shd w:val="clear" w:color="auto" w:fill="E6E6E6"/>
            <w:noWrap/>
            <w:vAlign w:val="bottom"/>
          </w:tcPr>
          <w:p w14:paraId="2F9756C4" w14:textId="77777777" w:rsidR="00313889" w:rsidRPr="001D26AC" w:rsidRDefault="00313889" w:rsidP="00313889">
            <w:pPr>
              <w:spacing w:after="0" w:line="240" w:lineRule="auto"/>
              <w:jc w:val="right"/>
              <w:rPr>
                <w:rFonts w:ascii="Arial" w:hAnsi="Arial" w:cs="Arial"/>
                <w:b/>
                <w:bCs/>
                <w:sz w:val="16"/>
                <w:szCs w:val="16"/>
              </w:rPr>
            </w:pPr>
          </w:p>
        </w:tc>
        <w:tc>
          <w:tcPr>
            <w:tcW w:w="947" w:type="dxa"/>
            <w:tcBorders>
              <w:top w:val="nil"/>
              <w:left w:val="nil"/>
              <w:bottom w:val="nil"/>
              <w:right w:val="nil"/>
            </w:tcBorders>
            <w:shd w:val="clear" w:color="auto" w:fill="auto"/>
            <w:noWrap/>
            <w:vAlign w:val="bottom"/>
          </w:tcPr>
          <w:p w14:paraId="5BE86189" w14:textId="77777777" w:rsidR="00313889" w:rsidRPr="001D26AC" w:rsidRDefault="00313889" w:rsidP="00313889">
            <w:pPr>
              <w:spacing w:after="0" w:line="240" w:lineRule="auto"/>
              <w:jc w:val="right"/>
              <w:rPr>
                <w:rFonts w:ascii="Arial" w:hAnsi="Arial" w:cs="Arial"/>
                <w:b/>
                <w:bCs/>
                <w:sz w:val="16"/>
                <w:szCs w:val="16"/>
              </w:rPr>
            </w:pPr>
          </w:p>
        </w:tc>
      </w:tr>
      <w:tr w:rsidR="00313889" w:rsidRPr="001D26AC" w14:paraId="7292DB97" w14:textId="77777777" w:rsidTr="001D26AC">
        <w:trPr>
          <w:trHeight w:val="204"/>
        </w:trPr>
        <w:tc>
          <w:tcPr>
            <w:tcW w:w="2835" w:type="dxa"/>
            <w:tcBorders>
              <w:top w:val="nil"/>
              <w:left w:val="nil"/>
              <w:bottom w:val="nil"/>
              <w:right w:val="nil"/>
            </w:tcBorders>
            <w:shd w:val="clear" w:color="auto" w:fill="auto"/>
            <w:noWrap/>
            <w:vAlign w:val="bottom"/>
          </w:tcPr>
          <w:p w14:paraId="64013786" w14:textId="6FD16350" w:rsidR="00313889" w:rsidRPr="001D26AC" w:rsidRDefault="00313889" w:rsidP="00313889">
            <w:pPr>
              <w:spacing w:after="0" w:line="240" w:lineRule="auto"/>
              <w:ind w:left="113"/>
              <w:jc w:val="left"/>
              <w:rPr>
                <w:rFonts w:ascii="Arial" w:hAnsi="Arial" w:cs="Arial"/>
                <w:b/>
                <w:sz w:val="16"/>
                <w:szCs w:val="16"/>
              </w:rPr>
            </w:pPr>
            <w:r w:rsidRPr="001D26AC">
              <w:rPr>
                <w:rFonts w:ascii="Arial" w:hAnsi="Arial" w:cs="Arial"/>
                <w:sz w:val="16"/>
                <w:szCs w:val="16"/>
              </w:rPr>
              <w:t>Administered payments</w:t>
            </w:r>
          </w:p>
        </w:tc>
        <w:tc>
          <w:tcPr>
            <w:tcW w:w="882" w:type="dxa"/>
            <w:tcBorders>
              <w:top w:val="nil"/>
              <w:left w:val="nil"/>
              <w:bottom w:val="nil"/>
              <w:right w:val="nil"/>
            </w:tcBorders>
            <w:shd w:val="clear" w:color="auto" w:fill="auto"/>
            <w:noWrap/>
            <w:vAlign w:val="bottom"/>
          </w:tcPr>
          <w:p w14:paraId="1DBC0ACA" w14:textId="77777777" w:rsidR="00313889" w:rsidRPr="001D26AC" w:rsidRDefault="00313889" w:rsidP="00313889">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tcPr>
          <w:p w14:paraId="51F6AB91" w14:textId="4EDBEAF9"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sz w:val="16"/>
                <w:szCs w:val="16"/>
              </w:rPr>
              <w:t>nfp</w:t>
            </w:r>
            <w:proofErr w:type="spellEnd"/>
          </w:p>
        </w:tc>
        <w:tc>
          <w:tcPr>
            <w:tcW w:w="941" w:type="dxa"/>
            <w:tcBorders>
              <w:top w:val="nil"/>
              <w:left w:val="nil"/>
              <w:bottom w:val="nil"/>
              <w:right w:val="nil"/>
            </w:tcBorders>
            <w:shd w:val="clear" w:color="auto" w:fill="auto"/>
            <w:noWrap/>
            <w:vAlign w:val="bottom"/>
          </w:tcPr>
          <w:p w14:paraId="7F20BEC0" w14:textId="65D2367C"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sz w:val="16"/>
                <w:szCs w:val="16"/>
              </w:rPr>
              <w:t>nfp</w:t>
            </w:r>
            <w:proofErr w:type="spellEnd"/>
          </w:p>
        </w:tc>
        <w:tc>
          <w:tcPr>
            <w:tcW w:w="996" w:type="dxa"/>
            <w:tcBorders>
              <w:top w:val="nil"/>
              <w:left w:val="nil"/>
              <w:bottom w:val="nil"/>
              <w:right w:val="nil"/>
            </w:tcBorders>
            <w:shd w:val="clear" w:color="auto" w:fill="E6E6E6"/>
            <w:noWrap/>
            <w:vAlign w:val="bottom"/>
          </w:tcPr>
          <w:p w14:paraId="2642CD3A" w14:textId="4C811FB1"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w:t>
            </w:r>
          </w:p>
        </w:tc>
        <w:tc>
          <w:tcPr>
            <w:tcW w:w="947" w:type="dxa"/>
            <w:tcBorders>
              <w:top w:val="nil"/>
              <w:left w:val="nil"/>
              <w:bottom w:val="nil"/>
              <w:right w:val="nil"/>
            </w:tcBorders>
            <w:shd w:val="clear" w:color="auto" w:fill="auto"/>
            <w:noWrap/>
            <w:vAlign w:val="bottom"/>
          </w:tcPr>
          <w:p w14:paraId="6BC7FF1D" w14:textId="10A9B1AE"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sz w:val="16"/>
                <w:szCs w:val="16"/>
              </w:rPr>
              <w:t>-</w:t>
            </w:r>
          </w:p>
        </w:tc>
      </w:tr>
      <w:tr w:rsidR="00313889" w:rsidRPr="001D26AC" w14:paraId="33D0E27B" w14:textId="77777777" w:rsidTr="001D26AC">
        <w:trPr>
          <w:trHeight w:val="204"/>
        </w:trPr>
        <w:tc>
          <w:tcPr>
            <w:tcW w:w="2835" w:type="dxa"/>
            <w:tcBorders>
              <w:top w:val="nil"/>
              <w:left w:val="nil"/>
              <w:bottom w:val="nil"/>
              <w:right w:val="nil"/>
            </w:tcBorders>
            <w:shd w:val="clear" w:color="auto" w:fill="auto"/>
            <w:noWrap/>
          </w:tcPr>
          <w:p w14:paraId="417F017D" w14:textId="591214A9" w:rsidR="00313889" w:rsidRPr="001D26AC" w:rsidRDefault="00313889" w:rsidP="00313889">
            <w:pPr>
              <w:spacing w:after="0" w:line="240" w:lineRule="auto"/>
              <w:ind w:left="113"/>
              <w:jc w:val="left"/>
              <w:rPr>
                <w:rFonts w:ascii="Arial" w:hAnsi="Arial" w:cs="Arial"/>
                <w:b/>
                <w:sz w:val="16"/>
                <w:szCs w:val="16"/>
              </w:rPr>
            </w:pPr>
            <w:r w:rsidRPr="001D26AC">
              <w:rPr>
                <w:rFonts w:ascii="Arial" w:hAnsi="Arial" w:cs="Arial"/>
                <w:b/>
                <w:sz w:val="16"/>
                <w:szCs w:val="16"/>
              </w:rPr>
              <w:t>Total</w:t>
            </w:r>
          </w:p>
        </w:tc>
        <w:tc>
          <w:tcPr>
            <w:tcW w:w="882" w:type="dxa"/>
            <w:tcBorders>
              <w:top w:val="nil"/>
              <w:left w:val="nil"/>
              <w:bottom w:val="nil"/>
              <w:right w:val="nil"/>
            </w:tcBorders>
            <w:shd w:val="clear" w:color="auto" w:fill="auto"/>
            <w:noWrap/>
            <w:vAlign w:val="bottom"/>
          </w:tcPr>
          <w:p w14:paraId="4069007C" w14:textId="77777777" w:rsidR="00313889" w:rsidRPr="001D26AC" w:rsidRDefault="00313889" w:rsidP="00313889">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tcPr>
          <w:p w14:paraId="17447A5A" w14:textId="25AF76EE"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b/>
                <w:bCs/>
                <w:sz w:val="16"/>
                <w:szCs w:val="16"/>
              </w:rPr>
              <w:t>nfp</w:t>
            </w:r>
            <w:proofErr w:type="spellEnd"/>
          </w:p>
        </w:tc>
        <w:tc>
          <w:tcPr>
            <w:tcW w:w="941" w:type="dxa"/>
            <w:tcBorders>
              <w:top w:val="nil"/>
              <w:left w:val="nil"/>
              <w:bottom w:val="nil"/>
              <w:right w:val="nil"/>
            </w:tcBorders>
            <w:shd w:val="clear" w:color="auto" w:fill="auto"/>
            <w:noWrap/>
            <w:vAlign w:val="bottom"/>
          </w:tcPr>
          <w:p w14:paraId="3916985A" w14:textId="577252A4" w:rsidR="00313889" w:rsidRPr="001D26AC" w:rsidRDefault="00313889" w:rsidP="00313889">
            <w:pPr>
              <w:spacing w:after="0" w:line="240" w:lineRule="auto"/>
              <w:jc w:val="right"/>
              <w:rPr>
                <w:rFonts w:ascii="Arial" w:hAnsi="Arial" w:cs="Arial"/>
                <w:b/>
                <w:bCs/>
                <w:sz w:val="16"/>
                <w:szCs w:val="16"/>
              </w:rPr>
            </w:pPr>
            <w:proofErr w:type="spellStart"/>
            <w:r w:rsidRPr="001D26AC">
              <w:rPr>
                <w:rFonts w:ascii="Arial" w:hAnsi="Arial" w:cs="Arial"/>
                <w:b/>
                <w:bCs/>
                <w:sz w:val="16"/>
                <w:szCs w:val="16"/>
              </w:rPr>
              <w:t>nfp</w:t>
            </w:r>
            <w:proofErr w:type="spellEnd"/>
          </w:p>
        </w:tc>
        <w:tc>
          <w:tcPr>
            <w:tcW w:w="996" w:type="dxa"/>
            <w:tcBorders>
              <w:top w:val="nil"/>
              <w:left w:val="nil"/>
              <w:bottom w:val="nil"/>
              <w:right w:val="nil"/>
            </w:tcBorders>
            <w:shd w:val="clear" w:color="auto" w:fill="E6E6E6"/>
            <w:noWrap/>
            <w:vAlign w:val="bottom"/>
          </w:tcPr>
          <w:p w14:paraId="32DF7D60" w14:textId="57D930AC"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b/>
                <w:bCs/>
                <w:sz w:val="16"/>
                <w:szCs w:val="16"/>
              </w:rPr>
              <w:t>-</w:t>
            </w:r>
          </w:p>
        </w:tc>
        <w:tc>
          <w:tcPr>
            <w:tcW w:w="947" w:type="dxa"/>
            <w:tcBorders>
              <w:top w:val="nil"/>
              <w:left w:val="nil"/>
              <w:bottom w:val="nil"/>
              <w:right w:val="nil"/>
            </w:tcBorders>
            <w:shd w:val="clear" w:color="auto" w:fill="auto"/>
            <w:noWrap/>
            <w:vAlign w:val="bottom"/>
          </w:tcPr>
          <w:p w14:paraId="42D9AD0F" w14:textId="422D212F"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b/>
                <w:bCs/>
                <w:sz w:val="16"/>
                <w:szCs w:val="16"/>
              </w:rPr>
              <w:t>-</w:t>
            </w:r>
          </w:p>
        </w:tc>
      </w:tr>
      <w:tr w:rsidR="00313889" w:rsidRPr="001D26AC" w14:paraId="08B21D1F" w14:textId="77777777" w:rsidTr="001D26AC">
        <w:trPr>
          <w:trHeight w:val="204"/>
        </w:trPr>
        <w:tc>
          <w:tcPr>
            <w:tcW w:w="2835" w:type="dxa"/>
            <w:tcBorders>
              <w:top w:val="nil"/>
              <w:left w:val="nil"/>
              <w:bottom w:val="nil"/>
              <w:right w:val="nil"/>
            </w:tcBorders>
            <w:shd w:val="clear" w:color="auto" w:fill="auto"/>
            <w:vAlign w:val="bottom"/>
            <w:hideMark/>
          </w:tcPr>
          <w:p w14:paraId="4DD8379C" w14:textId="77777777" w:rsidR="00313889" w:rsidRPr="001D26AC" w:rsidRDefault="00313889" w:rsidP="00313889">
            <w:pPr>
              <w:spacing w:after="0" w:line="240" w:lineRule="auto"/>
              <w:jc w:val="left"/>
              <w:rPr>
                <w:rFonts w:ascii="Arial" w:hAnsi="Arial" w:cs="Arial"/>
                <w:sz w:val="16"/>
                <w:szCs w:val="16"/>
              </w:rPr>
            </w:pPr>
            <w:r w:rsidRPr="001D26AC">
              <w:rPr>
                <w:rFonts w:ascii="Arial" w:hAnsi="Arial" w:cs="Arial"/>
                <w:sz w:val="16"/>
                <w:szCs w:val="16"/>
              </w:rPr>
              <w:t>National Water Grid Fund - project funding</w:t>
            </w:r>
          </w:p>
        </w:tc>
        <w:tc>
          <w:tcPr>
            <w:tcW w:w="882" w:type="dxa"/>
            <w:tcBorders>
              <w:top w:val="nil"/>
              <w:left w:val="nil"/>
              <w:bottom w:val="nil"/>
              <w:right w:val="nil"/>
            </w:tcBorders>
            <w:shd w:val="clear" w:color="auto" w:fill="auto"/>
            <w:noWrap/>
            <w:vAlign w:val="bottom"/>
            <w:hideMark/>
          </w:tcPr>
          <w:p w14:paraId="7ADA4505" w14:textId="77777777" w:rsidR="00313889" w:rsidRPr="001D26AC" w:rsidRDefault="00313889" w:rsidP="00313889">
            <w:pPr>
              <w:spacing w:after="0" w:line="240" w:lineRule="auto"/>
              <w:jc w:val="center"/>
              <w:rPr>
                <w:rFonts w:ascii="Arial" w:hAnsi="Arial" w:cs="Arial"/>
                <w:sz w:val="16"/>
                <w:szCs w:val="16"/>
              </w:rPr>
            </w:pPr>
            <w:r w:rsidRPr="001D26AC">
              <w:rPr>
                <w:rFonts w:ascii="Arial" w:hAnsi="Arial" w:cs="Arial"/>
                <w:sz w:val="16"/>
                <w:szCs w:val="16"/>
              </w:rPr>
              <w:t>3.1</w:t>
            </w:r>
          </w:p>
        </w:tc>
        <w:tc>
          <w:tcPr>
            <w:tcW w:w="979" w:type="dxa"/>
            <w:tcBorders>
              <w:top w:val="nil"/>
              <w:left w:val="nil"/>
              <w:bottom w:val="nil"/>
              <w:right w:val="nil"/>
            </w:tcBorders>
            <w:shd w:val="clear" w:color="auto" w:fill="E6E6E6"/>
            <w:noWrap/>
            <w:vAlign w:val="bottom"/>
            <w:hideMark/>
          </w:tcPr>
          <w:p w14:paraId="2296B97E" w14:textId="2717F166" w:rsidR="00313889" w:rsidRPr="001D26AC" w:rsidRDefault="00313889" w:rsidP="00313889">
            <w:pPr>
              <w:spacing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hideMark/>
          </w:tcPr>
          <w:p w14:paraId="0B56E72D" w14:textId="77777777" w:rsidR="00313889" w:rsidRPr="001D26AC" w:rsidRDefault="00313889" w:rsidP="00313889">
            <w:pPr>
              <w:spacing w:after="0" w:line="240" w:lineRule="auto"/>
              <w:jc w:val="right"/>
              <w:rPr>
                <w:rFonts w:ascii="Arial" w:hAnsi="Arial" w:cs="Arial"/>
                <w:sz w:val="16"/>
                <w:szCs w:val="16"/>
              </w:rPr>
            </w:pPr>
          </w:p>
        </w:tc>
        <w:tc>
          <w:tcPr>
            <w:tcW w:w="996" w:type="dxa"/>
            <w:tcBorders>
              <w:top w:val="nil"/>
              <w:left w:val="nil"/>
              <w:bottom w:val="nil"/>
              <w:right w:val="nil"/>
            </w:tcBorders>
            <w:shd w:val="clear" w:color="auto" w:fill="E6E6E6"/>
            <w:noWrap/>
            <w:vAlign w:val="bottom"/>
            <w:hideMark/>
          </w:tcPr>
          <w:p w14:paraId="1FEF5901" w14:textId="5C948FF9" w:rsidR="00313889" w:rsidRPr="001D26AC" w:rsidRDefault="00313889" w:rsidP="00313889">
            <w:pPr>
              <w:spacing w:after="0" w:line="240" w:lineRule="auto"/>
              <w:jc w:val="right"/>
              <w:rPr>
                <w:rFonts w:ascii="Arial" w:hAnsi="Arial" w:cs="Arial"/>
                <w:sz w:val="16"/>
                <w:szCs w:val="16"/>
              </w:rPr>
            </w:pPr>
          </w:p>
        </w:tc>
        <w:tc>
          <w:tcPr>
            <w:tcW w:w="947" w:type="dxa"/>
            <w:tcBorders>
              <w:top w:val="nil"/>
              <w:left w:val="nil"/>
              <w:bottom w:val="nil"/>
              <w:right w:val="nil"/>
            </w:tcBorders>
            <w:shd w:val="clear" w:color="auto" w:fill="auto"/>
            <w:noWrap/>
            <w:vAlign w:val="bottom"/>
            <w:hideMark/>
          </w:tcPr>
          <w:p w14:paraId="3C3642EC" w14:textId="77777777" w:rsidR="00313889" w:rsidRPr="001D26AC" w:rsidRDefault="00313889" w:rsidP="00313889">
            <w:pPr>
              <w:spacing w:after="0" w:line="240" w:lineRule="auto"/>
              <w:jc w:val="right"/>
              <w:rPr>
                <w:rFonts w:ascii="Arial" w:hAnsi="Arial" w:cs="Arial"/>
                <w:sz w:val="16"/>
                <w:szCs w:val="16"/>
              </w:rPr>
            </w:pPr>
          </w:p>
        </w:tc>
      </w:tr>
      <w:tr w:rsidR="00313889" w:rsidRPr="001D26AC" w14:paraId="4835ED8D" w14:textId="77777777" w:rsidTr="001D26AC">
        <w:trPr>
          <w:trHeight w:val="204"/>
        </w:trPr>
        <w:tc>
          <w:tcPr>
            <w:tcW w:w="2835" w:type="dxa"/>
            <w:tcBorders>
              <w:top w:val="nil"/>
              <w:left w:val="nil"/>
              <w:bottom w:val="nil"/>
              <w:right w:val="nil"/>
            </w:tcBorders>
            <w:shd w:val="clear" w:color="auto" w:fill="auto"/>
            <w:noWrap/>
            <w:vAlign w:val="bottom"/>
            <w:hideMark/>
          </w:tcPr>
          <w:p w14:paraId="3413E962" w14:textId="2A0B396A" w:rsidR="00313889" w:rsidRPr="001D26AC" w:rsidRDefault="00313889" w:rsidP="00313889">
            <w:pPr>
              <w:spacing w:after="0" w:line="240" w:lineRule="auto"/>
              <w:ind w:left="113"/>
              <w:jc w:val="left"/>
              <w:rPr>
                <w:rFonts w:ascii="Arial" w:hAnsi="Arial" w:cs="Arial"/>
                <w:sz w:val="16"/>
                <w:szCs w:val="16"/>
              </w:rPr>
            </w:pPr>
            <w:r w:rsidRPr="001D26AC">
              <w:rPr>
                <w:rFonts w:ascii="Arial" w:hAnsi="Arial" w:cs="Arial"/>
                <w:sz w:val="16"/>
                <w:szCs w:val="16"/>
              </w:rPr>
              <w:t>Administered payments</w:t>
            </w:r>
          </w:p>
        </w:tc>
        <w:tc>
          <w:tcPr>
            <w:tcW w:w="882" w:type="dxa"/>
            <w:tcBorders>
              <w:top w:val="nil"/>
              <w:left w:val="nil"/>
              <w:bottom w:val="nil"/>
              <w:right w:val="nil"/>
            </w:tcBorders>
            <w:shd w:val="clear" w:color="auto" w:fill="auto"/>
            <w:noWrap/>
            <w:vAlign w:val="bottom"/>
            <w:hideMark/>
          </w:tcPr>
          <w:p w14:paraId="7AED1423" w14:textId="77777777" w:rsidR="00313889" w:rsidRPr="001D26AC" w:rsidRDefault="00313889" w:rsidP="00313889">
            <w:pPr>
              <w:spacing w:after="0" w:line="240" w:lineRule="auto"/>
              <w:ind w:firstLineChars="100" w:firstLine="160"/>
              <w:jc w:val="right"/>
              <w:rPr>
                <w:rFonts w:ascii="Arial" w:hAnsi="Arial" w:cs="Arial"/>
                <w:sz w:val="16"/>
                <w:szCs w:val="16"/>
              </w:rPr>
            </w:pPr>
          </w:p>
        </w:tc>
        <w:tc>
          <w:tcPr>
            <w:tcW w:w="979" w:type="dxa"/>
            <w:tcBorders>
              <w:top w:val="nil"/>
              <w:left w:val="nil"/>
              <w:bottom w:val="nil"/>
              <w:right w:val="nil"/>
            </w:tcBorders>
            <w:shd w:val="clear" w:color="auto" w:fill="E6E6E6"/>
            <w:noWrap/>
            <w:vAlign w:val="bottom"/>
            <w:hideMark/>
          </w:tcPr>
          <w:p w14:paraId="742A841D" w14:textId="4A642CF5" w:rsidR="00313889" w:rsidRPr="001D26AC" w:rsidRDefault="00313889" w:rsidP="00313889">
            <w:pPr>
              <w:spacing w:after="0" w:line="240" w:lineRule="auto"/>
              <w:jc w:val="right"/>
              <w:rPr>
                <w:rFonts w:ascii="Arial" w:hAnsi="Arial" w:cs="Arial"/>
                <w:sz w:val="16"/>
                <w:szCs w:val="16"/>
              </w:rPr>
            </w:pPr>
            <w:r w:rsidRPr="001D26AC">
              <w:rPr>
                <w:rFonts w:ascii="Arial" w:hAnsi="Arial" w:cs="Arial"/>
                <w:sz w:val="16"/>
                <w:szCs w:val="16"/>
              </w:rPr>
              <w:t>-</w:t>
            </w:r>
          </w:p>
        </w:tc>
        <w:tc>
          <w:tcPr>
            <w:tcW w:w="941" w:type="dxa"/>
            <w:tcBorders>
              <w:top w:val="nil"/>
              <w:left w:val="nil"/>
              <w:bottom w:val="nil"/>
              <w:right w:val="nil"/>
            </w:tcBorders>
            <w:shd w:val="clear" w:color="auto" w:fill="auto"/>
            <w:noWrap/>
            <w:vAlign w:val="bottom"/>
            <w:hideMark/>
          </w:tcPr>
          <w:p w14:paraId="1E1B410D" w14:textId="001D8342" w:rsidR="00313889" w:rsidRPr="001D26AC" w:rsidRDefault="00313889" w:rsidP="00313889">
            <w:pPr>
              <w:spacing w:after="0" w:line="240" w:lineRule="auto"/>
              <w:jc w:val="right"/>
              <w:rPr>
                <w:rFonts w:ascii="Arial" w:hAnsi="Arial" w:cs="Arial"/>
                <w:sz w:val="16"/>
                <w:szCs w:val="16"/>
              </w:rPr>
            </w:pPr>
            <w:r w:rsidRPr="001D26AC">
              <w:rPr>
                <w:rFonts w:ascii="Arial" w:hAnsi="Arial" w:cs="Arial"/>
                <w:sz w:val="16"/>
                <w:szCs w:val="16"/>
              </w:rPr>
              <w:t>-</w:t>
            </w:r>
          </w:p>
        </w:tc>
        <w:tc>
          <w:tcPr>
            <w:tcW w:w="996" w:type="dxa"/>
            <w:tcBorders>
              <w:top w:val="nil"/>
              <w:left w:val="nil"/>
              <w:bottom w:val="nil"/>
              <w:right w:val="nil"/>
            </w:tcBorders>
            <w:shd w:val="clear" w:color="auto" w:fill="E6E6E6"/>
            <w:noWrap/>
            <w:vAlign w:val="bottom"/>
            <w:hideMark/>
          </w:tcPr>
          <w:p w14:paraId="169B5496" w14:textId="07411CB3" w:rsidR="00313889" w:rsidRPr="001D26AC" w:rsidRDefault="00313889" w:rsidP="00313889">
            <w:pPr>
              <w:spacing w:after="0" w:line="240" w:lineRule="auto"/>
              <w:jc w:val="right"/>
              <w:rPr>
                <w:rFonts w:ascii="Arial" w:hAnsi="Arial" w:cs="Arial"/>
                <w:sz w:val="16"/>
                <w:szCs w:val="16"/>
              </w:rPr>
            </w:pPr>
            <w:r w:rsidRPr="001D26AC">
              <w:rPr>
                <w:rFonts w:ascii="Arial" w:hAnsi="Arial" w:cs="Arial"/>
                <w:sz w:val="16"/>
                <w:szCs w:val="16"/>
              </w:rPr>
              <w:t>-</w:t>
            </w:r>
          </w:p>
        </w:tc>
        <w:tc>
          <w:tcPr>
            <w:tcW w:w="947" w:type="dxa"/>
            <w:tcBorders>
              <w:top w:val="nil"/>
              <w:left w:val="nil"/>
              <w:bottom w:val="nil"/>
              <w:right w:val="nil"/>
            </w:tcBorders>
            <w:shd w:val="clear" w:color="auto" w:fill="auto"/>
            <w:noWrap/>
            <w:vAlign w:val="bottom"/>
            <w:hideMark/>
          </w:tcPr>
          <w:p w14:paraId="6008AF32" w14:textId="67F6A876" w:rsidR="00313889" w:rsidRPr="001D26AC" w:rsidRDefault="00313889" w:rsidP="00313889">
            <w:pPr>
              <w:spacing w:after="0" w:line="240" w:lineRule="auto"/>
              <w:jc w:val="right"/>
              <w:rPr>
                <w:rFonts w:ascii="Arial" w:hAnsi="Arial" w:cs="Arial"/>
                <w:sz w:val="16"/>
                <w:szCs w:val="16"/>
              </w:rPr>
            </w:pPr>
            <w:r w:rsidRPr="001D26AC">
              <w:rPr>
                <w:rFonts w:ascii="Arial" w:hAnsi="Arial" w:cs="Arial"/>
                <w:sz w:val="16"/>
                <w:szCs w:val="16"/>
              </w:rPr>
              <w:t>-</w:t>
            </w:r>
          </w:p>
        </w:tc>
      </w:tr>
      <w:tr w:rsidR="00313889" w:rsidRPr="001D26AC" w14:paraId="0B76BAE0" w14:textId="77777777" w:rsidTr="001D26AC">
        <w:trPr>
          <w:trHeight w:val="204"/>
        </w:trPr>
        <w:tc>
          <w:tcPr>
            <w:tcW w:w="2835" w:type="dxa"/>
            <w:tcBorders>
              <w:top w:val="nil"/>
              <w:left w:val="nil"/>
              <w:bottom w:val="nil"/>
              <w:right w:val="nil"/>
            </w:tcBorders>
            <w:shd w:val="clear" w:color="auto" w:fill="auto"/>
            <w:noWrap/>
            <w:hideMark/>
          </w:tcPr>
          <w:p w14:paraId="57E712A3" w14:textId="77777777" w:rsidR="00313889" w:rsidRPr="001D26AC" w:rsidRDefault="00313889" w:rsidP="00313889">
            <w:pPr>
              <w:spacing w:after="0" w:line="240" w:lineRule="auto"/>
              <w:ind w:left="113"/>
              <w:jc w:val="left"/>
              <w:rPr>
                <w:rFonts w:ascii="Arial" w:hAnsi="Arial" w:cs="Arial"/>
                <w:b/>
                <w:sz w:val="16"/>
                <w:szCs w:val="16"/>
              </w:rPr>
            </w:pPr>
            <w:r w:rsidRPr="001D26AC">
              <w:rPr>
                <w:rFonts w:ascii="Arial" w:hAnsi="Arial" w:cs="Arial"/>
                <w:b/>
                <w:sz w:val="16"/>
                <w:szCs w:val="16"/>
              </w:rPr>
              <w:t>Total</w:t>
            </w:r>
          </w:p>
        </w:tc>
        <w:tc>
          <w:tcPr>
            <w:tcW w:w="882" w:type="dxa"/>
            <w:tcBorders>
              <w:top w:val="nil"/>
              <w:left w:val="nil"/>
              <w:bottom w:val="nil"/>
              <w:right w:val="nil"/>
            </w:tcBorders>
            <w:shd w:val="clear" w:color="auto" w:fill="auto"/>
            <w:noWrap/>
            <w:vAlign w:val="bottom"/>
            <w:hideMark/>
          </w:tcPr>
          <w:p w14:paraId="56C2DDF1" w14:textId="77777777" w:rsidR="00313889" w:rsidRPr="001D26AC" w:rsidRDefault="00313889" w:rsidP="00313889">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hideMark/>
          </w:tcPr>
          <w:p w14:paraId="0CC94184" w14:textId="7CA9B03D"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b/>
                <w:bCs/>
                <w:sz w:val="16"/>
                <w:szCs w:val="16"/>
              </w:rPr>
              <w:t>-</w:t>
            </w:r>
          </w:p>
        </w:tc>
        <w:tc>
          <w:tcPr>
            <w:tcW w:w="941" w:type="dxa"/>
            <w:tcBorders>
              <w:top w:val="nil"/>
              <w:left w:val="nil"/>
              <w:bottom w:val="nil"/>
              <w:right w:val="nil"/>
            </w:tcBorders>
            <w:shd w:val="clear" w:color="auto" w:fill="auto"/>
            <w:noWrap/>
            <w:vAlign w:val="bottom"/>
            <w:hideMark/>
          </w:tcPr>
          <w:p w14:paraId="1FE32C10" w14:textId="14DB0EF8"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b/>
                <w:bCs/>
                <w:sz w:val="16"/>
                <w:szCs w:val="16"/>
              </w:rPr>
              <w:t>-</w:t>
            </w:r>
          </w:p>
        </w:tc>
        <w:tc>
          <w:tcPr>
            <w:tcW w:w="996" w:type="dxa"/>
            <w:tcBorders>
              <w:top w:val="nil"/>
              <w:left w:val="nil"/>
              <w:bottom w:val="nil"/>
              <w:right w:val="nil"/>
            </w:tcBorders>
            <w:shd w:val="clear" w:color="auto" w:fill="E6E6E6"/>
            <w:noWrap/>
            <w:vAlign w:val="bottom"/>
            <w:hideMark/>
          </w:tcPr>
          <w:p w14:paraId="691E23BF" w14:textId="32DA0ED8"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b/>
                <w:bCs/>
                <w:sz w:val="16"/>
                <w:szCs w:val="16"/>
              </w:rPr>
              <w:t>-</w:t>
            </w:r>
          </w:p>
        </w:tc>
        <w:tc>
          <w:tcPr>
            <w:tcW w:w="947" w:type="dxa"/>
            <w:tcBorders>
              <w:top w:val="nil"/>
              <w:left w:val="nil"/>
              <w:bottom w:val="nil"/>
              <w:right w:val="nil"/>
            </w:tcBorders>
            <w:shd w:val="clear" w:color="auto" w:fill="auto"/>
            <w:noWrap/>
            <w:vAlign w:val="bottom"/>
            <w:hideMark/>
          </w:tcPr>
          <w:p w14:paraId="444E5098" w14:textId="72784AA2" w:rsidR="00313889" w:rsidRPr="001D26AC" w:rsidRDefault="00313889" w:rsidP="00313889">
            <w:pPr>
              <w:spacing w:after="0" w:line="240" w:lineRule="auto"/>
              <w:jc w:val="right"/>
              <w:rPr>
                <w:rFonts w:ascii="Arial" w:hAnsi="Arial" w:cs="Arial"/>
                <w:b/>
                <w:bCs/>
                <w:sz w:val="16"/>
                <w:szCs w:val="16"/>
              </w:rPr>
            </w:pPr>
            <w:r w:rsidRPr="001D26AC">
              <w:rPr>
                <w:rFonts w:ascii="Arial" w:hAnsi="Arial" w:cs="Arial"/>
                <w:b/>
                <w:bCs/>
                <w:sz w:val="16"/>
                <w:szCs w:val="16"/>
              </w:rPr>
              <w:t>-</w:t>
            </w:r>
          </w:p>
        </w:tc>
      </w:tr>
      <w:tr w:rsidR="00313889" w:rsidRPr="001D26AC" w14:paraId="3D77E5B2" w14:textId="77777777" w:rsidTr="001D26AC">
        <w:trPr>
          <w:trHeight w:val="204"/>
        </w:trPr>
        <w:tc>
          <w:tcPr>
            <w:tcW w:w="2835" w:type="dxa"/>
            <w:tcBorders>
              <w:top w:val="nil"/>
              <w:left w:val="nil"/>
              <w:bottom w:val="nil"/>
              <w:right w:val="nil"/>
            </w:tcBorders>
            <w:shd w:val="clear" w:color="auto" w:fill="auto"/>
            <w:hideMark/>
          </w:tcPr>
          <w:p w14:paraId="1FD55E60" w14:textId="731C2169" w:rsidR="00313889" w:rsidRPr="001D26AC" w:rsidRDefault="00313889" w:rsidP="00313889">
            <w:pPr>
              <w:spacing w:after="0" w:line="240" w:lineRule="auto"/>
              <w:jc w:val="left"/>
              <w:rPr>
                <w:rFonts w:ascii="Arial" w:hAnsi="Arial" w:cs="Arial"/>
                <w:sz w:val="16"/>
                <w:szCs w:val="16"/>
              </w:rPr>
            </w:pPr>
            <w:r w:rsidRPr="001D26AC">
              <w:rPr>
                <w:rFonts w:ascii="Arial" w:hAnsi="Arial" w:cs="Arial"/>
                <w:sz w:val="16"/>
                <w:szCs w:val="16"/>
              </w:rPr>
              <w:t>Northern Australia Infrastructure Facility - increased appropriation</w:t>
            </w:r>
          </w:p>
        </w:tc>
        <w:tc>
          <w:tcPr>
            <w:tcW w:w="882" w:type="dxa"/>
            <w:tcBorders>
              <w:top w:val="nil"/>
              <w:left w:val="nil"/>
              <w:bottom w:val="nil"/>
              <w:right w:val="nil"/>
            </w:tcBorders>
            <w:shd w:val="clear" w:color="auto" w:fill="auto"/>
            <w:noWrap/>
            <w:vAlign w:val="bottom"/>
            <w:hideMark/>
          </w:tcPr>
          <w:p w14:paraId="57925347" w14:textId="77777777" w:rsidR="00313889" w:rsidRPr="001D26AC" w:rsidRDefault="00313889" w:rsidP="00313889">
            <w:pPr>
              <w:spacing w:after="0" w:line="240" w:lineRule="auto"/>
              <w:jc w:val="center"/>
              <w:rPr>
                <w:rFonts w:ascii="Arial" w:hAnsi="Arial" w:cs="Arial"/>
                <w:sz w:val="16"/>
                <w:szCs w:val="16"/>
              </w:rPr>
            </w:pPr>
            <w:r w:rsidRPr="001D26AC">
              <w:rPr>
                <w:rFonts w:ascii="Arial" w:hAnsi="Arial" w:cs="Arial"/>
                <w:sz w:val="16"/>
                <w:szCs w:val="16"/>
              </w:rPr>
              <w:t>3.4</w:t>
            </w:r>
          </w:p>
        </w:tc>
        <w:tc>
          <w:tcPr>
            <w:tcW w:w="979" w:type="dxa"/>
            <w:tcBorders>
              <w:top w:val="nil"/>
              <w:left w:val="nil"/>
              <w:bottom w:val="nil"/>
              <w:right w:val="nil"/>
            </w:tcBorders>
            <w:shd w:val="clear" w:color="auto" w:fill="E6E6E6"/>
            <w:noWrap/>
            <w:vAlign w:val="bottom"/>
            <w:hideMark/>
          </w:tcPr>
          <w:p w14:paraId="2391B2CC" w14:textId="2D390114" w:rsidR="00313889" w:rsidRPr="001D26AC" w:rsidRDefault="00313889" w:rsidP="00313889">
            <w:pPr>
              <w:spacing w:after="0" w:line="240" w:lineRule="auto"/>
              <w:jc w:val="right"/>
              <w:rPr>
                <w:rFonts w:ascii="Arial" w:hAnsi="Arial" w:cs="Arial"/>
                <w:b/>
                <w:bCs/>
                <w:sz w:val="16"/>
                <w:szCs w:val="16"/>
              </w:rPr>
            </w:pPr>
          </w:p>
        </w:tc>
        <w:tc>
          <w:tcPr>
            <w:tcW w:w="941" w:type="dxa"/>
            <w:tcBorders>
              <w:top w:val="nil"/>
              <w:left w:val="nil"/>
              <w:bottom w:val="nil"/>
              <w:right w:val="nil"/>
            </w:tcBorders>
            <w:shd w:val="clear" w:color="auto" w:fill="auto"/>
            <w:noWrap/>
            <w:vAlign w:val="bottom"/>
            <w:hideMark/>
          </w:tcPr>
          <w:p w14:paraId="2784F415" w14:textId="7EEB3700" w:rsidR="00313889" w:rsidRPr="001D26AC" w:rsidRDefault="00313889" w:rsidP="00313889">
            <w:pPr>
              <w:spacing w:after="0" w:line="240" w:lineRule="auto"/>
              <w:jc w:val="right"/>
              <w:rPr>
                <w:rFonts w:ascii="Arial" w:hAnsi="Arial" w:cs="Arial"/>
                <w:b/>
                <w:bCs/>
                <w:sz w:val="16"/>
                <w:szCs w:val="16"/>
              </w:rPr>
            </w:pPr>
          </w:p>
        </w:tc>
        <w:tc>
          <w:tcPr>
            <w:tcW w:w="996" w:type="dxa"/>
            <w:tcBorders>
              <w:top w:val="nil"/>
              <w:left w:val="nil"/>
              <w:bottom w:val="nil"/>
              <w:right w:val="nil"/>
            </w:tcBorders>
            <w:shd w:val="clear" w:color="auto" w:fill="E6E6E6"/>
            <w:noWrap/>
            <w:vAlign w:val="bottom"/>
            <w:hideMark/>
          </w:tcPr>
          <w:p w14:paraId="32949768" w14:textId="20A9F9EE" w:rsidR="00313889" w:rsidRPr="001D26AC" w:rsidRDefault="00313889" w:rsidP="00313889">
            <w:pPr>
              <w:spacing w:after="0" w:line="240" w:lineRule="auto"/>
              <w:jc w:val="right"/>
              <w:rPr>
                <w:rFonts w:ascii="Arial" w:hAnsi="Arial" w:cs="Arial"/>
                <w:b/>
                <w:bCs/>
                <w:sz w:val="16"/>
                <w:szCs w:val="16"/>
              </w:rPr>
            </w:pPr>
          </w:p>
        </w:tc>
        <w:tc>
          <w:tcPr>
            <w:tcW w:w="947" w:type="dxa"/>
            <w:tcBorders>
              <w:top w:val="nil"/>
              <w:left w:val="nil"/>
              <w:bottom w:val="nil"/>
              <w:right w:val="nil"/>
            </w:tcBorders>
            <w:shd w:val="clear" w:color="auto" w:fill="auto"/>
            <w:noWrap/>
            <w:vAlign w:val="bottom"/>
            <w:hideMark/>
          </w:tcPr>
          <w:p w14:paraId="09813917" w14:textId="33E5EDE9" w:rsidR="00313889" w:rsidRPr="001D26AC" w:rsidRDefault="00313889" w:rsidP="00313889">
            <w:pPr>
              <w:spacing w:after="0" w:line="240" w:lineRule="auto"/>
              <w:jc w:val="right"/>
              <w:rPr>
                <w:rFonts w:ascii="Arial" w:hAnsi="Arial" w:cs="Arial"/>
                <w:b/>
                <w:bCs/>
                <w:sz w:val="16"/>
                <w:szCs w:val="16"/>
              </w:rPr>
            </w:pPr>
          </w:p>
        </w:tc>
      </w:tr>
      <w:tr w:rsidR="00313889" w:rsidRPr="001D26AC" w14:paraId="1C4CC6E0" w14:textId="77777777" w:rsidTr="001D26AC">
        <w:trPr>
          <w:trHeight w:val="204"/>
        </w:trPr>
        <w:tc>
          <w:tcPr>
            <w:tcW w:w="2835" w:type="dxa"/>
            <w:tcBorders>
              <w:top w:val="nil"/>
              <w:left w:val="nil"/>
              <w:bottom w:val="nil"/>
              <w:right w:val="nil"/>
            </w:tcBorders>
            <w:shd w:val="clear" w:color="auto" w:fill="auto"/>
            <w:noWrap/>
            <w:vAlign w:val="bottom"/>
            <w:hideMark/>
          </w:tcPr>
          <w:p w14:paraId="695B1C6F" w14:textId="500C14C0" w:rsidR="00313889" w:rsidRPr="001D26AC" w:rsidRDefault="00313889" w:rsidP="00313889">
            <w:pPr>
              <w:spacing w:after="0" w:line="240" w:lineRule="auto"/>
              <w:ind w:left="113"/>
              <w:jc w:val="left"/>
              <w:rPr>
                <w:rFonts w:ascii="Arial" w:hAnsi="Arial" w:cs="Arial"/>
                <w:sz w:val="16"/>
                <w:szCs w:val="16"/>
              </w:rPr>
            </w:pPr>
            <w:r w:rsidRPr="001D26AC">
              <w:rPr>
                <w:rFonts w:ascii="Arial" w:hAnsi="Arial" w:cs="Arial"/>
                <w:sz w:val="16"/>
                <w:szCs w:val="16"/>
              </w:rPr>
              <w:t>Departmental payments</w:t>
            </w:r>
          </w:p>
        </w:tc>
        <w:tc>
          <w:tcPr>
            <w:tcW w:w="882" w:type="dxa"/>
            <w:tcBorders>
              <w:top w:val="nil"/>
              <w:left w:val="nil"/>
              <w:bottom w:val="nil"/>
              <w:right w:val="nil"/>
            </w:tcBorders>
            <w:shd w:val="clear" w:color="auto" w:fill="auto"/>
            <w:noWrap/>
            <w:vAlign w:val="bottom"/>
            <w:hideMark/>
          </w:tcPr>
          <w:p w14:paraId="675EBA98" w14:textId="6485D949" w:rsidR="00313889" w:rsidRPr="001D26AC" w:rsidRDefault="00313889" w:rsidP="00313889">
            <w:pPr>
              <w:spacing w:after="0" w:line="240" w:lineRule="auto"/>
              <w:jc w:val="right"/>
              <w:rPr>
                <w:rFonts w:ascii="Arial" w:hAnsi="Arial" w:cs="Arial"/>
                <w:sz w:val="16"/>
                <w:szCs w:val="16"/>
              </w:rPr>
            </w:pPr>
          </w:p>
        </w:tc>
        <w:tc>
          <w:tcPr>
            <w:tcW w:w="979" w:type="dxa"/>
            <w:tcBorders>
              <w:top w:val="nil"/>
              <w:left w:val="nil"/>
              <w:bottom w:val="nil"/>
              <w:right w:val="nil"/>
            </w:tcBorders>
            <w:shd w:val="clear" w:color="auto" w:fill="E6E6E6"/>
            <w:noWrap/>
            <w:vAlign w:val="bottom"/>
            <w:hideMark/>
          </w:tcPr>
          <w:p w14:paraId="3829451E" w14:textId="42B38B83" w:rsidR="00313889" w:rsidRPr="001D26AC" w:rsidRDefault="00C02E56" w:rsidP="00313889">
            <w:pPr>
              <w:spacing w:after="0" w:line="240" w:lineRule="auto"/>
              <w:jc w:val="right"/>
              <w:rPr>
                <w:rFonts w:ascii="Arial" w:hAnsi="Arial" w:cs="Arial"/>
                <w:sz w:val="16"/>
                <w:szCs w:val="16"/>
              </w:rPr>
            </w:pPr>
            <w:r w:rsidRPr="001D26AC">
              <w:rPr>
                <w:rFonts w:ascii="Arial" w:hAnsi="Arial" w:cs="Arial"/>
                <w:sz w:val="16"/>
                <w:szCs w:val="16"/>
              </w:rPr>
              <w:t>500</w:t>
            </w:r>
          </w:p>
        </w:tc>
        <w:tc>
          <w:tcPr>
            <w:tcW w:w="941" w:type="dxa"/>
            <w:tcBorders>
              <w:top w:val="nil"/>
              <w:left w:val="nil"/>
              <w:bottom w:val="nil"/>
              <w:right w:val="nil"/>
            </w:tcBorders>
            <w:shd w:val="clear" w:color="auto" w:fill="auto"/>
            <w:noWrap/>
            <w:vAlign w:val="bottom"/>
            <w:hideMark/>
          </w:tcPr>
          <w:p w14:paraId="224D58F5" w14:textId="23A21495" w:rsidR="00313889" w:rsidRPr="001D26AC" w:rsidRDefault="00313889" w:rsidP="00313889">
            <w:pPr>
              <w:spacing w:after="0" w:line="240" w:lineRule="auto"/>
              <w:jc w:val="right"/>
              <w:rPr>
                <w:rFonts w:ascii="Arial" w:hAnsi="Arial" w:cs="Arial"/>
                <w:sz w:val="16"/>
                <w:szCs w:val="16"/>
              </w:rPr>
            </w:pPr>
            <w:r w:rsidRPr="001D26AC">
              <w:rPr>
                <w:rFonts w:ascii="Arial" w:hAnsi="Arial" w:cs="Arial"/>
                <w:sz w:val="16"/>
                <w:szCs w:val="16"/>
              </w:rPr>
              <w:t>800</w:t>
            </w:r>
          </w:p>
        </w:tc>
        <w:tc>
          <w:tcPr>
            <w:tcW w:w="996" w:type="dxa"/>
            <w:tcBorders>
              <w:top w:val="nil"/>
              <w:left w:val="nil"/>
              <w:bottom w:val="nil"/>
              <w:right w:val="nil"/>
            </w:tcBorders>
            <w:shd w:val="clear" w:color="auto" w:fill="E6E6E6"/>
            <w:noWrap/>
            <w:vAlign w:val="bottom"/>
            <w:hideMark/>
          </w:tcPr>
          <w:p w14:paraId="0C5A664E" w14:textId="1BFC5F17" w:rsidR="00313889" w:rsidRPr="001D26AC" w:rsidRDefault="00313889" w:rsidP="00313889">
            <w:pPr>
              <w:spacing w:after="0" w:line="240" w:lineRule="auto"/>
              <w:jc w:val="right"/>
              <w:rPr>
                <w:rFonts w:ascii="Arial" w:hAnsi="Arial" w:cs="Arial"/>
                <w:sz w:val="16"/>
                <w:szCs w:val="16"/>
              </w:rPr>
            </w:pPr>
            <w:r w:rsidRPr="001D26AC">
              <w:rPr>
                <w:rFonts w:ascii="Arial" w:hAnsi="Arial" w:cs="Arial"/>
                <w:sz w:val="16"/>
                <w:szCs w:val="16"/>
              </w:rPr>
              <w:t>800</w:t>
            </w:r>
          </w:p>
        </w:tc>
        <w:tc>
          <w:tcPr>
            <w:tcW w:w="947" w:type="dxa"/>
            <w:tcBorders>
              <w:top w:val="nil"/>
              <w:left w:val="nil"/>
              <w:bottom w:val="nil"/>
              <w:right w:val="nil"/>
            </w:tcBorders>
            <w:shd w:val="clear" w:color="auto" w:fill="auto"/>
            <w:noWrap/>
            <w:vAlign w:val="bottom"/>
            <w:hideMark/>
          </w:tcPr>
          <w:p w14:paraId="031373C4" w14:textId="3BD8A95B" w:rsidR="00313889" w:rsidRPr="001D26AC" w:rsidRDefault="00313889" w:rsidP="00313889">
            <w:pPr>
              <w:spacing w:after="0" w:line="240" w:lineRule="auto"/>
              <w:jc w:val="right"/>
              <w:rPr>
                <w:rFonts w:ascii="Arial" w:hAnsi="Arial" w:cs="Arial"/>
                <w:sz w:val="16"/>
                <w:szCs w:val="16"/>
              </w:rPr>
            </w:pPr>
            <w:r w:rsidRPr="001D26AC">
              <w:rPr>
                <w:rFonts w:ascii="Arial" w:hAnsi="Arial" w:cs="Arial"/>
                <w:sz w:val="16"/>
                <w:szCs w:val="16"/>
              </w:rPr>
              <w:t>800</w:t>
            </w:r>
          </w:p>
        </w:tc>
      </w:tr>
      <w:tr w:rsidR="004656EB" w:rsidRPr="001D26AC" w14:paraId="52AE6B42" w14:textId="77777777" w:rsidTr="001D26AC">
        <w:trPr>
          <w:trHeight w:val="204"/>
        </w:trPr>
        <w:tc>
          <w:tcPr>
            <w:tcW w:w="2835" w:type="dxa"/>
            <w:tcBorders>
              <w:top w:val="nil"/>
              <w:left w:val="nil"/>
              <w:bottom w:val="nil"/>
              <w:right w:val="nil"/>
            </w:tcBorders>
            <w:shd w:val="clear" w:color="auto" w:fill="auto"/>
            <w:noWrap/>
            <w:vAlign w:val="bottom"/>
            <w:hideMark/>
          </w:tcPr>
          <w:p w14:paraId="48763A59" w14:textId="77777777" w:rsidR="004656EB" w:rsidRPr="001D26AC" w:rsidRDefault="004656EB" w:rsidP="004656EB">
            <w:pPr>
              <w:spacing w:after="0" w:line="240" w:lineRule="auto"/>
              <w:ind w:left="113"/>
              <w:jc w:val="left"/>
              <w:rPr>
                <w:rFonts w:ascii="Arial" w:hAnsi="Arial" w:cs="Arial"/>
                <w:b/>
                <w:sz w:val="16"/>
                <w:szCs w:val="16"/>
              </w:rPr>
            </w:pPr>
            <w:r w:rsidRPr="001D26AC">
              <w:rPr>
                <w:rFonts w:ascii="Arial" w:hAnsi="Arial" w:cs="Arial"/>
                <w:b/>
                <w:sz w:val="16"/>
                <w:szCs w:val="16"/>
              </w:rPr>
              <w:t>Total</w:t>
            </w:r>
          </w:p>
        </w:tc>
        <w:tc>
          <w:tcPr>
            <w:tcW w:w="882" w:type="dxa"/>
            <w:tcBorders>
              <w:top w:val="nil"/>
              <w:left w:val="nil"/>
              <w:bottom w:val="nil"/>
              <w:right w:val="nil"/>
            </w:tcBorders>
            <w:shd w:val="clear" w:color="auto" w:fill="auto"/>
            <w:noWrap/>
            <w:vAlign w:val="bottom"/>
            <w:hideMark/>
          </w:tcPr>
          <w:p w14:paraId="7AA930EF" w14:textId="01E5E426" w:rsidR="004656EB" w:rsidRPr="001D26AC" w:rsidRDefault="004656EB" w:rsidP="004656EB">
            <w:pPr>
              <w:spacing w:after="0" w:line="240" w:lineRule="auto"/>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hideMark/>
          </w:tcPr>
          <w:p w14:paraId="47C74167" w14:textId="223FA810" w:rsidR="004656EB" w:rsidRPr="001D26AC" w:rsidRDefault="00C02E56" w:rsidP="004656EB">
            <w:pPr>
              <w:spacing w:after="0" w:line="240" w:lineRule="auto"/>
              <w:jc w:val="right"/>
              <w:rPr>
                <w:rFonts w:ascii="Arial" w:hAnsi="Arial" w:cs="Arial"/>
                <w:b/>
                <w:bCs/>
                <w:sz w:val="16"/>
                <w:szCs w:val="16"/>
              </w:rPr>
            </w:pPr>
            <w:r w:rsidRPr="001D26AC">
              <w:rPr>
                <w:rFonts w:ascii="Arial" w:hAnsi="Arial" w:cs="Arial"/>
                <w:b/>
                <w:bCs/>
                <w:sz w:val="16"/>
                <w:szCs w:val="16"/>
              </w:rPr>
              <w:t>500</w:t>
            </w:r>
          </w:p>
        </w:tc>
        <w:tc>
          <w:tcPr>
            <w:tcW w:w="941" w:type="dxa"/>
            <w:tcBorders>
              <w:top w:val="nil"/>
              <w:left w:val="nil"/>
              <w:bottom w:val="nil"/>
              <w:right w:val="nil"/>
            </w:tcBorders>
            <w:shd w:val="clear" w:color="auto" w:fill="auto"/>
            <w:noWrap/>
            <w:vAlign w:val="bottom"/>
            <w:hideMark/>
          </w:tcPr>
          <w:p w14:paraId="4224DA92" w14:textId="092C8E40"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sz w:val="16"/>
                <w:szCs w:val="16"/>
              </w:rPr>
              <w:t>800</w:t>
            </w:r>
          </w:p>
        </w:tc>
        <w:tc>
          <w:tcPr>
            <w:tcW w:w="996" w:type="dxa"/>
            <w:tcBorders>
              <w:top w:val="nil"/>
              <w:left w:val="nil"/>
              <w:bottom w:val="nil"/>
              <w:right w:val="nil"/>
            </w:tcBorders>
            <w:shd w:val="clear" w:color="auto" w:fill="E6E6E6"/>
            <w:noWrap/>
            <w:vAlign w:val="bottom"/>
            <w:hideMark/>
          </w:tcPr>
          <w:p w14:paraId="1AE1D7D3" w14:textId="4D036640"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sz w:val="16"/>
                <w:szCs w:val="16"/>
              </w:rPr>
              <w:t>800</w:t>
            </w:r>
          </w:p>
        </w:tc>
        <w:tc>
          <w:tcPr>
            <w:tcW w:w="947" w:type="dxa"/>
            <w:tcBorders>
              <w:top w:val="nil"/>
              <w:left w:val="nil"/>
              <w:bottom w:val="nil"/>
              <w:right w:val="nil"/>
            </w:tcBorders>
            <w:shd w:val="clear" w:color="auto" w:fill="auto"/>
            <w:noWrap/>
            <w:vAlign w:val="bottom"/>
            <w:hideMark/>
          </w:tcPr>
          <w:p w14:paraId="652189C0" w14:textId="5A249078"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sz w:val="16"/>
                <w:szCs w:val="16"/>
              </w:rPr>
              <w:t>800</w:t>
            </w:r>
          </w:p>
        </w:tc>
      </w:tr>
      <w:tr w:rsidR="004656EB" w:rsidRPr="001D26AC" w14:paraId="751959D9" w14:textId="77777777" w:rsidTr="001D26AC">
        <w:trPr>
          <w:trHeight w:val="204"/>
        </w:trPr>
        <w:tc>
          <w:tcPr>
            <w:tcW w:w="2835" w:type="dxa"/>
            <w:tcBorders>
              <w:top w:val="nil"/>
              <w:left w:val="nil"/>
              <w:bottom w:val="nil"/>
              <w:right w:val="nil"/>
            </w:tcBorders>
            <w:shd w:val="clear" w:color="auto" w:fill="auto"/>
            <w:vAlign w:val="bottom"/>
            <w:hideMark/>
          </w:tcPr>
          <w:p w14:paraId="4C625365" w14:textId="77777777" w:rsidR="004656EB" w:rsidRPr="001D26AC" w:rsidRDefault="004656EB" w:rsidP="004656EB">
            <w:pPr>
              <w:spacing w:after="0" w:line="240" w:lineRule="auto"/>
              <w:jc w:val="left"/>
              <w:rPr>
                <w:rFonts w:ascii="Arial" w:hAnsi="Arial" w:cs="Arial"/>
                <w:sz w:val="16"/>
                <w:szCs w:val="16"/>
              </w:rPr>
            </w:pPr>
            <w:r w:rsidRPr="001D26AC">
              <w:rPr>
                <w:rFonts w:ascii="Arial" w:hAnsi="Arial" w:cs="Arial"/>
                <w:sz w:val="16"/>
                <w:szCs w:val="16"/>
              </w:rPr>
              <w:t>Remote Roads Upgrade Pilot Program</w:t>
            </w:r>
          </w:p>
        </w:tc>
        <w:tc>
          <w:tcPr>
            <w:tcW w:w="882" w:type="dxa"/>
            <w:tcBorders>
              <w:top w:val="nil"/>
              <w:left w:val="nil"/>
              <w:bottom w:val="nil"/>
              <w:right w:val="nil"/>
            </w:tcBorders>
            <w:shd w:val="clear" w:color="auto" w:fill="auto"/>
            <w:noWrap/>
            <w:vAlign w:val="bottom"/>
            <w:hideMark/>
          </w:tcPr>
          <w:p w14:paraId="732630B7" w14:textId="77777777" w:rsidR="004656EB" w:rsidRPr="001D26AC" w:rsidRDefault="004656EB" w:rsidP="004656EB">
            <w:pPr>
              <w:spacing w:after="0" w:line="240" w:lineRule="auto"/>
              <w:jc w:val="center"/>
              <w:rPr>
                <w:rFonts w:ascii="Arial" w:hAnsi="Arial" w:cs="Arial"/>
                <w:sz w:val="16"/>
                <w:szCs w:val="16"/>
              </w:rPr>
            </w:pPr>
            <w:r w:rsidRPr="001D26AC">
              <w:rPr>
                <w:rFonts w:ascii="Arial" w:hAnsi="Arial" w:cs="Arial"/>
                <w:sz w:val="16"/>
                <w:szCs w:val="16"/>
              </w:rPr>
              <w:t>1.2</w:t>
            </w:r>
          </w:p>
        </w:tc>
        <w:tc>
          <w:tcPr>
            <w:tcW w:w="979" w:type="dxa"/>
            <w:tcBorders>
              <w:top w:val="nil"/>
              <w:left w:val="nil"/>
              <w:bottom w:val="nil"/>
              <w:right w:val="nil"/>
            </w:tcBorders>
            <w:shd w:val="clear" w:color="auto" w:fill="E6E6E6"/>
            <w:vAlign w:val="bottom"/>
            <w:hideMark/>
          </w:tcPr>
          <w:p w14:paraId="1B27D352" w14:textId="7D868972" w:rsidR="004656EB" w:rsidRPr="001D26AC" w:rsidRDefault="004656EB" w:rsidP="004656EB">
            <w:pPr>
              <w:spacing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vAlign w:val="bottom"/>
            <w:hideMark/>
          </w:tcPr>
          <w:p w14:paraId="61E2A78F" w14:textId="77777777" w:rsidR="004656EB" w:rsidRPr="001D26AC" w:rsidRDefault="004656EB" w:rsidP="004656EB">
            <w:pPr>
              <w:spacing w:after="0" w:line="240" w:lineRule="auto"/>
              <w:jc w:val="right"/>
              <w:rPr>
                <w:rFonts w:ascii="Arial" w:hAnsi="Arial" w:cs="Arial"/>
                <w:sz w:val="16"/>
                <w:szCs w:val="16"/>
              </w:rPr>
            </w:pPr>
          </w:p>
        </w:tc>
        <w:tc>
          <w:tcPr>
            <w:tcW w:w="996" w:type="dxa"/>
            <w:tcBorders>
              <w:top w:val="nil"/>
              <w:left w:val="nil"/>
              <w:bottom w:val="nil"/>
              <w:right w:val="nil"/>
            </w:tcBorders>
            <w:shd w:val="clear" w:color="auto" w:fill="E6E6E6"/>
            <w:vAlign w:val="bottom"/>
            <w:hideMark/>
          </w:tcPr>
          <w:p w14:paraId="4F4310AF" w14:textId="2D53E7A8" w:rsidR="004656EB" w:rsidRPr="001D26AC" w:rsidRDefault="004656EB" w:rsidP="004656EB">
            <w:pPr>
              <w:spacing w:after="0" w:line="240" w:lineRule="auto"/>
              <w:jc w:val="right"/>
              <w:rPr>
                <w:rFonts w:ascii="Arial" w:hAnsi="Arial" w:cs="Arial"/>
                <w:sz w:val="16"/>
                <w:szCs w:val="16"/>
              </w:rPr>
            </w:pPr>
          </w:p>
        </w:tc>
        <w:tc>
          <w:tcPr>
            <w:tcW w:w="947" w:type="dxa"/>
            <w:tcBorders>
              <w:top w:val="nil"/>
              <w:left w:val="nil"/>
              <w:bottom w:val="nil"/>
              <w:right w:val="nil"/>
            </w:tcBorders>
            <w:shd w:val="clear" w:color="auto" w:fill="auto"/>
            <w:vAlign w:val="bottom"/>
            <w:hideMark/>
          </w:tcPr>
          <w:p w14:paraId="5AE3ED74" w14:textId="77777777" w:rsidR="004656EB" w:rsidRPr="001D26AC" w:rsidRDefault="004656EB" w:rsidP="004656EB">
            <w:pPr>
              <w:spacing w:after="0" w:line="240" w:lineRule="auto"/>
              <w:jc w:val="right"/>
              <w:rPr>
                <w:rFonts w:ascii="Arial" w:hAnsi="Arial" w:cs="Arial"/>
                <w:sz w:val="16"/>
                <w:szCs w:val="16"/>
              </w:rPr>
            </w:pPr>
          </w:p>
        </w:tc>
      </w:tr>
      <w:tr w:rsidR="004656EB" w:rsidRPr="001D26AC" w14:paraId="4E1EC5E7" w14:textId="77777777" w:rsidTr="001D26AC">
        <w:trPr>
          <w:trHeight w:val="204"/>
        </w:trPr>
        <w:tc>
          <w:tcPr>
            <w:tcW w:w="2835" w:type="dxa"/>
            <w:tcBorders>
              <w:top w:val="nil"/>
              <w:left w:val="nil"/>
              <w:bottom w:val="nil"/>
              <w:right w:val="nil"/>
            </w:tcBorders>
            <w:shd w:val="clear" w:color="auto" w:fill="auto"/>
            <w:noWrap/>
            <w:hideMark/>
          </w:tcPr>
          <w:p w14:paraId="6898CA72" w14:textId="1C0D3B42" w:rsidR="004656EB" w:rsidRPr="001D26AC" w:rsidRDefault="004656EB" w:rsidP="004656EB">
            <w:pPr>
              <w:spacing w:after="0" w:line="240" w:lineRule="auto"/>
              <w:ind w:left="113"/>
              <w:jc w:val="left"/>
              <w:rPr>
                <w:rFonts w:ascii="Arial" w:hAnsi="Arial" w:cs="Arial"/>
                <w:sz w:val="16"/>
                <w:szCs w:val="16"/>
              </w:rPr>
            </w:pPr>
            <w:r w:rsidRPr="001D26AC">
              <w:rPr>
                <w:rFonts w:ascii="Arial" w:hAnsi="Arial" w:cs="Arial"/>
                <w:sz w:val="16"/>
                <w:szCs w:val="16"/>
              </w:rPr>
              <w:t>Departmental payments</w:t>
            </w:r>
          </w:p>
        </w:tc>
        <w:tc>
          <w:tcPr>
            <w:tcW w:w="882" w:type="dxa"/>
            <w:tcBorders>
              <w:top w:val="nil"/>
              <w:left w:val="nil"/>
              <w:bottom w:val="nil"/>
              <w:right w:val="nil"/>
            </w:tcBorders>
            <w:shd w:val="clear" w:color="auto" w:fill="auto"/>
            <w:noWrap/>
            <w:vAlign w:val="bottom"/>
            <w:hideMark/>
          </w:tcPr>
          <w:p w14:paraId="489B77EA" w14:textId="77777777" w:rsidR="004656EB" w:rsidRPr="001D26AC" w:rsidRDefault="004656EB" w:rsidP="004656EB">
            <w:pPr>
              <w:spacing w:after="0" w:line="240" w:lineRule="auto"/>
              <w:ind w:firstLineChars="100" w:firstLine="160"/>
              <w:jc w:val="right"/>
              <w:rPr>
                <w:rFonts w:ascii="Arial" w:hAnsi="Arial" w:cs="Arial"/>
                <w:sz w:val="16"/>
                <w:szCs w:val="16"/>
              </w:rPr>
            </w:pPr>
          </w:p>
        </w:tc>
        <w:tc>
          <w:tcPr>
            <w:tcW w:w="979" w:type="dxa"/>
            <w:tcBorders>
              <w:top w:val="nil"/>
              <w:left w:val="nil"/>
              <w:bottom w:val="nil"/>
              <w:right w:val="nil"/>
            </w:tcBorders>
            <w:shd w:val="clear" w:color="auto" w:fill="E6E6E6"/>
            <w:noWrap/>
            <w:vAlign w:val="bottom"/>
            <w:hideMark/>
          </w:tcPr>
          <w:p w14:paraId="0F54398E" w14:textId="06EADAA5"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389</w:t>
            </w:r>
          </w:p>
        </w:tc>
        <w:tc>
          <w:tcPr>
            <w:tcW w:w="941" w:type="dxa"/>
            <w:tcBorders>
              <w:top w:val="nil"/>
              <w:left w:val="nil"/>
              <w:bottom w:val="nil"/>
              <w:right w:val="nil"/>
            </w:tcBorders>
            <w:shd w:val="clear" w:color="auto" w:fill="auto"/>
            <w:noWrap/>
            <w:vAlign w:val="bottom"/>
            <w:hideMark/>
          </w:tcPr>
          <w:p w14:paraId="2D30C57E" w14:textId="7AD2B1C5"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2,311</w:t>
            </w:r>
          </w:p>
        </w:tc>
        <w:tc>
          <w:tcPr>
            <w:tcW w:w="996" w:type="dxa"/>
            <w:tcBorders>
              <w:top w:val="nil"/>
              <w:left w:val="nil"/>
              <w:bottom w:val="nil"/>
              <w:right w:val="nil"/>
            </w:tcBorders>
            <w:shd w:val="clear" w:color="auto" w:fill="E6E6E6"/>
            <w:noWrap/>
            <w:vAlign w:val="bottom"/>
            <w:hideMark/>
          </w:tcPr>
          <w:p w14:paraId="4315427F" w14:textId="7FFADDDB"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807</w:t>
            </w:r>
          </w:p>
        </w:tc>
        <w:tc>
          <w:tcPr>
            <w:tcW w:w="947" w:type="dxa"/>
            <w:tcBorders>
              <w:top w:val="nil"/>
              <w:left w:val="nil"/>
              <w:bottom w:val="nil"/>
              <w:right w:val="nil"/>
            </w:tcBorders>
            <w:shd w:val="clear" w:color="auto" w:fill="auto"/>
            <w:noWrap/>
            <w:vAlign w:val="bottom"/>
            <w:hideMark/>
          </w:tcPr>
          <w:p w14:paraId="21A4E62B" w14:textId="561E0E2C"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w:t>
            </w:r>
          </w:p>
        </w:tc>
      </w:tr>
      <w:tr w:rsidR="004656EB" w:rsidRPr="001D26AC" w14:paraId="61982127" w14:textId="77777777" w:rsidTr="001D26AC">
        <w:trPr>
          <w:trHeight w:val="204"/>
        </w:trPr>
        <w:tc>
          <w:tcPr>
            <w:tcW w:w="2835" w:type="dxa"/>
            <w:tcBorders>
              <w:top w:val="nil"/>
              <w:left w:val="nil"/>
              <w:bottom w:val="nil"/>
              <w:right w:val="nil"/>
            </w:tcBorders>
            <w:shd w:val="clear" w:color="auto" w:fill="auto"/>
            <w:noWrap/>
            <w:hideMark/>
          </w:tcPr>
          <w:p w14:paraId="0D9B174C" w14:textId="77777777" w:rsidR="004656EB" w:rsidRPr="001D26AC" w:rsidRDefault="004656EB" w:rsidP="004656EB">
            <w:pPr>
              <w:spacing w:after="0" w:line="240" w:lineRule="auto"/>
              <w:ind w:left="113"/>
              <w:jc w:val="left"/>
              <w:rPr>
                <w:rFonts w:ascii="Arial" w:hAnsi="Arial" w:cs="Arial"/>
                <w:b/>
                <w:sz w:val="16"/>
                <w:szCs w:val="16"/>
              </w:rPr>
            </w:pPr>
            <w:r w:rsidRPr="001D26AC">
              <w:rPr>
                <w:rFonts w:ascii="Arial" w:hAnsi="Arial" w:cs="Arial"/>
                <w:b/>
                <w:sz w:val="16"/>
                <w:szCs w:val="16"/>
              </w:rPr>
              <w:t>Total</w:t>
            </w:r>
          </w:p>
        </w:tc>
        <w:tc>
          <w:tcPr>
            <w:tcW w:w="882" w:type="dxa"/>
            <w:tcBorders>
              <w:top w:val="nil"/>
              <w:left w:val="nil"/>
              <w:bottom w:val="nil"/>
              <w:right w:val="nil"/>
            </w:tcBorders>
            <w:shd w:val="clear" w:color="auto" w:fill="auto"/>
            <w:noWrap/>
            <w:vAlign w:val="bottom"/>
            <w:hideMark/>
          </w:tcPr>
          <w:p w14:paraId="11D97310" w14:textId="77777777" w:rsidR="004656EB" w:rsidRPr="001D26AC" w:rsidRDefault="004656EB" w:rsidP="004656EB">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hideMark/>
          </w:tcPr>
          <w:p w14:paraId="5E1FE5FB" w14:textId="5A129250"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bCs/>
                <w:sz w:val="16"/>
                <w:szCs w:val="16"/>
              </w:rPr>
              <w:t>389</w:t>
            </w:r>
          </w:p>
        </w:tc>
        <w:tc>
          <w:tcPr>
            <w:tcW w:w="941" w:type="dxa"/>
            <w:tcBorders>
              <w:top w:val="nil"/>
              <w:left w:val="nil"/>
              <w:bottom w:val="nil"/>
              <w:right w:val="nil"/>
            </w:tcBorders>
            <w:shd w:val="clear" w:color="auto" w:fill="auto"/>
            <w:noWrap/>
            <w:vAlign w:val="bottom"/>
            <w:hideMark/>
          </w:tcPr>
          <w:p w14:paraId="08C6BEBB" w14:textId="1583E939"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bCs/>
                <w:sz w:val="16"/>
                <w:szCs w:val="16"/>
              </w:rPr>
              <w:t>2,311</w:t>
            </w:r>
          </w:p>
        </w:tc>
        <w:tc>
          <w:tcPr>
            <w:tcW w:w="996" w:type="dxa"/>
            <w:tcBorders>
              <w:top w:val="nil"/>
              <w:left w:val="nil"/>
              <w:bottom w:val="nil"/>
              <w:right w:val="nil"/>
            </w:tcBorders>
            <w:shd w:val="clear" w:color="auto" w:fill="E6E6E6"/>
            <w:noWrap/>
            <w:vAlign w:val="bottom"/>
            <w:hideMark/>
          </w:tcPr>
          <w:p w14:paraId="4B8FB8AA" w14:textId="0096E13D"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bCs/>
                <w:sz w:val="16"/>
                <w:szCs w:val="16"/>
              </w:rPr>
              <w:t>807</w:t>
            </w:r>
          </w:p>
        </w:tc>
        <w:tc>
          <w:tcPr>
            <w:tcW w:w="947" w:type="dxa"/>
            <w:tcBorders>
              <w:top w:val="nil"/>
              <w:left w:val="nil"/>
              <w:bottom w:val="nil"/>
              <w:right w:val="nil"/>
            </w:tcBorders>
            <w:shd w:val="clear" w:color="auto" w:fill="auto"/>
            <w:noWrap/>
            <w:vAlign w:val="bottom"/>
            <w:hideMark/>
          </w:tcPr>
          <w:p w14:paraId="63AC3C74" w14:textId="374B971C"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bCs/>
                <w:sz w:val="16"/>
                <w:szCs w:val="16"/>
              </w:rPr>
              <w:t>-</w:t>
            </w:r>
          </w:p>
        </w:tc>
      </w:tr>
      <w:tr w:rsidR="004656EB" w:rsidRPr="001D26AC" w14:paraId="7C8A07C0" w14:textId="77777777" w:rsidTr="001D26AC">
        <w:trPr>
          <w:trHeight w:val="204"/>
        </w:trPr>
        <w:tc>
          <w:tcPr>
            <w:tcW w:w="2835" w:type="dxa"/>
            <w:tcBorders>
              <w:top w:val="nil"/>
              <w:left w:val="nil"/>
              <w:bottom w:val="nil"/>
              <w:right w:val="nil"/>
            </w:tcBorders>
            <w:shd w:val="clear" w:color="auto" w:fill="auto"/>
            <w:vAlign w:val="bottom"/>
            <w:hideMark/>
          </w:tcPr>
          <w:p w14:paraId="3A942D5A" w14:textId="77777777" w:rsidR="004656EB" w:rsidRPr="001D26AC" w:rsidRDefault="004656EB" w:rsidP="004656EB">
            <w:pPr>
              <w:spacing w:after="0" w:line="240" w:lineRule="auto"/>
              <w:jc w:val="left"/>
              <w:rPr>
                <w:rFonts w:ascii="Arial" w:hAnsi="Arial" w:cs="Arial"/>
                <w:sz w:val="16"/>
                <w:szCs w:val="16"/>
              </w:rPr>
            </w:pPr>
            <w:r w:rsidRPr="001D26AC">
              <w:rPr>
                <w:rFonts w:ascii="Arial" w:hAnsi="Arial" w:cs="Arial"/>
                <w:sz w:val="16"/>
                <w:szCs w:val="16"/>
              </w:rPr>
              <w:t>Services to Territories - additional funding</w:t>
            </w:r>
          </w:p>
        </w:tc>
        <w:tc>
          <w:tcPr>
            <w:tcW w:w="882" w:type="dxa"/>
            <w:tcBorders>
              <w:top w:val="nil"/>
              <w:left w:val="nil"/>
              <w:bottom w:val="nil"/>
              <w:right w:val="nil"/>
            </w:tcBorders>
            <w:shd w:val="clear" w:color="auto" w:fill="auto"/>
            <w:noWrap/>
            <w:vAlign w:val="bottom"/>
            <w:hideMark/>
          </w:tcPr>
          <w:p w14:paraId="619CA20C" w14:textId="0BAD9DB1" w:rsidR="004656EB" w:rsidRPr="001D26AC" w:rsidRDefault="004656EB" w:rsidP="004656EB">
            <w:pPr>
              <w:spacing w:after="0" w:line="240" w:lineRule="auto"/>
              <w:jc w:val="center"/>
              <w:rPr>
                <w:rFonts w:ascii="Arial" w:hAnsi="Arial" w:cs="Arial"/>
                <w:sz w:val="16"/>
                <w:szCs w:val="16"/>
              </w:rPr>
            </w:pPr>
            <w:r w:rsidRPr="001D26AC">
              <w:rPr>
                <w:rFonts w:ascii="Arial" w:hAnsi="Arial" w:cs="Arial"/>
                <w:sz w:val="16"/>
                <w:szCs w:val="16"/>
              </w:rPr>
              <w:t>4.1,4.2</w:t>
            </w:r>
          </w:p>
        </w:tc>
        <w:tc>
          <w:tcPr>
            <w:tcW w:w="979" w:type="dxa"/>
            <w:tcBorders>
              <w:top w:val="nil"/>
              <w:left w:val="nil"/>
              <w:bottom w:val="nil"/>
              <w:right w:val="nil"/>
            </w:tcBorders>
            <w:shd w:val="clear" w:color="auto" w:fill="E6E6E6"/>
            <w:noWrap/>
            <w:vAlign w:val="bottom"/>
            <w:hideMark/>
          </w:tcPr>
          <w:p w14:paraId="510183B8" w14:textId="1E874939" w:rsidR="004656EB" w:rsidRPr="001D26AC" w:rsidRDefault="004656EB" w:rsidP="004656EB">
            <w:pPr>
              <w:spacing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hideMark/>
          </w:tcPr>
          <w:p w14:paraId="4227101F" w14:textId="77777777" w:rsidR="004656EB" w:rsidRPr="001D26AC" w:rsidRDefault="004656EB" w:rsidP="004656EB">
            <w:pPr>
              <w:spacing w:after="0" w:line="240" w:lineRule="auto"/>
              <w:jc w:val="right"/>
              <w:rPr>
                <w:rFonts w:ascii="Arial" w:hAnsi="Arial" w:cs="Arial"/>
                <w:sz w:val="16"/>
                <w:szCs w:val="16"/>
              </w:rPr>
            </w:pPr>
          </w:p>
        </w:tc>
        <w:tc>
          <w:tcPr>
            <w:tcW w:w="996" w:type="dxa"/>
            <w:tcBorders>
              <w:top w:val="nil"/>
              <w:left w:val="nil"/>
              <w:bottom w:val="nil"/>
              <w:right w:val="nil"/>
            </w:tcBorders>
            <w:shd w:val="clear" w:color="auto" w:fill="E6E6E6"/>
            <w:noWrap/>
            <w:vAlign w:val="bottom"/>
            <w:hideMark/>
          </w:tcPr>
          <w:p w14:paraId="6FA24CC6" w14:textId="4710D2D8" w:rsidR="004656EB" w:rsidRPr="001D26AC" w:rsidRDefault="004656EB" w:rsidP="004656EB">
            <w:pPr>
              <w:spacing w:after="0" w:line="240" w:lineRule="auto"/>
              <w:jc w:val="right"/>
              <w:rPr>
                <w:rFonts w:ascii="Arial" w:hAnsi="Arial" w:cs="Arial"/>
                <w:sz w:val="16"/>
                <w:szCs w:val="16"/>
              </w:rPr>
            </w:pPr>
          </w:p>
        </w:tc>
        <w:tc>
          <w:tcPr>
            <w:tcW w:w="947" w:type="dxa"/>
            <w:tcBorders>
              <w:top w:val="nil"/>
              <w:left w:val="nil"/>
              <w:bottom w:val="nil"/>
              <w:right w:val="nil"/>
            </w:tcBorders>
            <w:shd w:val="clear" w:color="auto" w:fill="auto"/>
            <w:noWrap/>
            <w:vAlign w:val="bottom"/>
            <w:hideMark/>
          </w:tcPr>
          <w:p w14:paraId="40684E20" w14:textId="77777777" w:rsidR="004656EB" w:rsidRPr="001D26AC" w:rsidRDefault="004656EB" w:rsidP="004656EB">
            <w:pPr>
              <w:spacing w:after="0" w:line="240" w:lineRule="auto"/>
              <w:jc w:val="right"/>
              <w:rPr>
                <w:rFonts w:ascii="Arial" w:hAnsi="Arial" w:cs="Arial"/>
                <w:sz w:val="16"/>
                <w:szCs w:val="16"/>
              </w:rPr>
            </w:pPr>
          </w:p>
        </w:tc>
      </w:tr>
      <w:tr w:rsidR="004656EB" w:rsidRPr="001D26AC" w14:paraId="1732D45F" w14:textId="77777777" w:rsidTr="001D26AC">
        <w:trPr>
          <w:trHeight w:val="204"/>
        </w:trPr>
        <w:tc>
          <w:tcPr>
            <w:tcW w:w="2835" w:type="dxa"/>
            <w:tcBorders>
              <w:top w:val="nil"/>
              <w:left w:val="nil"/>
              <w:bottom w:val="nil"/>
              <w:right w:val="nil"/>
            </w:tcBorders>
            <w:shd w:val="clear" w:color="auto" w:fill="auto"/>
            <w:noWrap/>
            <w:hideMark/>
          </w:tcPr>
          <w:p w14:paraId="565840B1" w14:textId="0471EFA8" w:rsidR="004656EB" w:rsidRPr="001D26AC" w:rsidRDefault="004656EB" w:rsidP="004656EB">
            <w:pPr>
              <w:spacing w:after="0" w:line="240" w:lineRule="auto"/>
              <w:ind w:left="113"/>
              <w:jc w:val="left"/>
              <w:rPr>
                <w:rFonts w:ascii="Arial" w:hAnsi="Arial" w:cs="Arial"/>
                <w:sz w:val="16"/>
                <w:szCs w:val="16"/>
              </w:rPr>
            </w:pPr>
            <w:r w:rsidRPr="001D26AC">
              <w:rPr>
                <w:rFonts w:ascii="Arial" w:hAnsi="Arial" w:cs="Arial"/>
                <w:sz w:val="16"/>
                <w:szCs w:val="16"/>
              </w:rPr>
              <w:t>Administered payments</w:t>
            </w:r>
          </w:p>
        </w:tc>
        <w:tc>
          <w:tcPr>
            <w:tcW w:w="882" w:type="dxa"/>
            <w:tcBorders>
              <w:top w:val="nil"/>
              <w:left w:val="nil"/>
              <w:bottom w:val="nil"/>
              <w:right w:val="nil"/>
            </w:tcBorders>
            <w:shd w:val="clear" w:color="auto" w:fill="auto"/>
            <w:noWrap/>
            <w:vAlign w:val="bottom"/>
            <w:hideMark/>
          </w:tcPr>
          <w:p w14:paraId="12B6AE87" w14:textId="77777777" w:rsidR="004656EB" w:rsidRPr="001D26AC" w:rsidRDefault="004656EB" w:rsidP="004656EB">
            <w:pPr>
              <w:spacing w:after="0" w:line="240" w:lineRule="auto"/>
              <w:ind w:firstLineChars="100" w:firstLine="160"/>
              <w:jc w:val="right"/>
              <w:rPr>
                <w:rFonts w:ascii="Arial" w:hAnsi="Arial" w:cs="Arial"/>
                <w:sz w:val="16"/>
                <w:szCs w:val="16"/>
              </w:rPr>
            </w:pPr>
          </w:p>
        </w:tc>
        <w:tc>
          <w:tcPr>
            <w:tcW w:w="979" w:type="dxa"/>
            <w:tcBorders>
              <w:top w:val="nil"/>
              <w:left w:val="nil"/>
              <w:bottom w:val="nil"/>
              <w:right w:val="nil"/>
            </w:tcBorders>
            <w:shd w:val="clear" w:color="auto" w:fill="E6E6E6"/>
            <w:noWrap/>
            <w:vAlign w:val="bottom"/>
            <w:hideMark/>
          </w:tcPr>
          <w:p w14:paraId="05523DEC" w14:textId="6B7578B7"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4,379</w:t>
            </w:r>
          </w:p>
        </w:tc>
        <w:tc>
          <w:tcPr>
            <w:tcW w:w="941" w:type="dxa"/>
            <w:tcBorders>
              <w:top w:val="nil"/>
              <w:left w:val="nil"/>
              <w:bottom w:val="nil"/>
              <w:right w:val="nil"/>
            </w:tcBorders>
            <w:shd w:val="clear" w:color="auto" w:fill="auto"/>
            <w:noWrap/>
            <w:vAlign w:val="bottom"/>
            <w:hideMark/>
          </w:tcPr>
          <w:p w14:paraId="3F1E4826" w14:textId="14A4F2EE"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27,471</w:t>
            </w:r>
          </w:p>
        </w:tc>
        <w:tc>
          <w:tcPr>
            <w:tcW w:w="996" w:type="dxa"/>
            <w:tcBorders>
              <w:top w:val="nil"/>
              <w:left w:val="nil"/>
              <w:bottom w:val="nil"/>
              <w:right w:val="nil"/>
            </w:tcBorders>
            <w:shd w:val="clear" w:color="auto" w:fill="E6E6E6"/>
            <w:noWrap/>
            <w:vAlign w:val="bottom"/>
            <w:hideMark/>
          </w:tcPr>
          <w:p w14:paraId="07C2A33D" w14:textId="17083E0D"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8,760</w:t>
            </w:r>
          </w:p>
        </w:tc>
        <w:tc>
          <w:tcPr>
            <w:tcW w:w="947" w:type="dxa"/>
            <w:tcBorders>
              <w:top w:val="nil"/>
              <w:left w:val="nil"/>
              <w:bottom w:val="nil"/>
              <w:right w:val="nil"/>
            </w:tcBorders>
            <w:shd w:val="clear" w:color="auto" w:fill="auto"/>
            <w:noWrap/>
            <w:vAlign w:val="bottom"/>
            <w:hideMark/>
          </w:tcPr>
          <w:p w14:paraId="50FD0EEF" w14:textId="324124EE"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3,946</w:t>
            </w:r>
          </w:p>
        </w:tc>
      </w:tr>
      <w:tr w:rsidR="004656EB" w:rsidRPr="001D26AC" w14:paraId="16A91821" w14:textId="77777777" w:rsidTr="001D26AC">
        <w:trPr>
          <w:trHeight w:val="204"/>
        </w:trPr>
        <w:tc>
          <w:tcPr>
            <w:tcW w:w="2835" w:type="dxa"/>
            <w:tcBorders>
              <w:top w:val="nil"/>
              <w:left w:val="nil"/>
              <w:bottom w:val="nil"/>
              <w:right w:val="nil"/>
            </w:tcBorders>
            <w:shd w:val="clear" w:color="auto" w:fill="auto"/>
            <w:noWrap/>
            <w:hideMark/>
          </w:tcPr>
          <w:p w14:paraId="140A096C" w14:textId="17F283D2" w:rsidR="004656EB" w:rsidRPr="001D26AC" w:rsidRDefault="004656EB" w:rsidP="004656EB">
            <w:pPr>
              <w:spacing w:after="0" w:line="240" w:lineRule="auto"/>
              <w:ind w:left="113"/>
              <w:jc w:val="left"/>
              <w:rPr>
                <w:rFonts w:ascii="Arial" w:hAnsi="Arial" w:cs="Arial"/>
                <w:sz w:val="16"/>
                <w:szCs w:val="16"/>
              </w:rPr>
            </w:pPr>
            <w:r w:rsidRPr="001D26AC">
              <w:rPr>
                <w:rFonts w:ascii="Arial" w:hAnsi="Arial" w:cs="Arial"/>
                <w:sz w:val="16"/>
                <w:szCs w:val="16"/>
              </w:rPr>
              <w:t>Departmental payments</w:t>
            </w:r>
          </w:p>
        </w:tc>
        <w:tc>
          <w:tcPr>
            <w:tcW w:w="882" w:type="dxa"/>
            <w:tcBorders>
              <w:top w:val="nil"/>
              <w:left w:val="nil"/>
              <w:bottom w:val="nil"/>
              <w:right w:val="nil"/>
            </w:tcBorders>
            <w:shd w:val="clear" w:color="auto" w:fill="auto"/>
            <w:noWrap/>
            <w:vAlign w:val="bottom"/>
            <w:hideMark/>
          </w:tcPr>
          <w:p w14:paraId="60181D98" w14:textId="77777777" w:rsidR="004656EB" w:rsidRPr="001D26AC" w:rsidRDefault="004656EB" w:rsidP="004656EB">
            <w:pPr>
              <w:spacing w:after="0" w:line="240" w:lineRule="auto"/>
              <w:ind w:firstLineChars="100" w:firstLine="160"/>
              <w:jc w:val="right"/>
              <w:rPr>
                <w:rFonts w:ascii="Arial" w:hAnsi="Arial" w:cs="Arial"/>
                <w:sz w:val="16"/>
                <w:szCs w:val="16"/>
              </w:rPr>
            </w:pPr>
          </w:p>
        </w:tc>
        <w:tc>
          <w:tcPr>
            <w:tcW w:w="979" w:type="dxa"/>
            <w:tcBorders>
              <w:top w:val="nil"/>
              <w:left w:val="nil"/>
              <w:bottom w:val="nil"/>
              <w:right w:val="nil"/>
            </w:tcBorders>
            <w:shd w:val="clear" w:color="auto" w:fill="E6E6E6"/>
            <w:noWrap/>
            <w:vAlign w:val="bottom"/>
            <w:hideMark/>
          </w:tcPr>
          <w:p w14:paraId="18343440" w14:textId="08329EBF"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239</w:t>
            </w:r>
          </w:p>
        </w:tc>
        <w:tc>
          <w:tcPr>
            <w:tcW w:w="941" w:type="dxa"/>
            <w:tcBorders>
              <w:top w:val="nil"/>
              <w:left w:val="nil"/>
              <w:bottom w:val="nil"/>
              <w:right w:val="nil"/>
            </w:tcBorders>
            <w:shd w:val="clear" w:color="auto" w:fill="auto"/>
            <w:noWrap/>
            <w:vAlign w:val="bottom"/>
            <w:hideMark/>
          </w:tcPr>
          <w:p w14:paraId="25C54189" w14:textId="1900C886"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240</w:t>
            </w:r>
          </w:p>
        </w:tc>
        <w:tc>
          <w:tcPr>
            <w:tcW w:w="996" w:type="dxa"/>
            <w:tcBorders>
              <w:top w:val="nil"/>
              <w:left w:val="nil"/>
              <w:bottom w:val="nil"/>
              <w:right w:val="nil"/>
            </w:tcBorders>
            <w:shd w:val="clear" w:color="auto" w:fill="E6E6E6"/>
            <w:noWrap/>
            <w:vAlign w:val="bottom"/>
            <w:hideMark/>
          </w:tcPr>
          <w:p w14:paraId="1B6FE6C9" w14:textId="4E198CED"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192</w:t>
            </w:r>
          </w:p>
        </w:tc>
        <w:tc>
          <w:tcPr>
            <w:tcW w:w="947" w:type="dxa"/>
            <w:tcBorders>
              <w:top w:val="nil"/>
              <w:left w:val="nil"/>
              <w:bottom w:val="nil"/>
              <w:right w:val="nil"/>
            </w:tcBorders>
            <w:shd w:val="clear" w:color="auto" w:fill="auto"/>
            <w:noWrap/>
            <w:vAlign w:val="bottom"/>
            <w:hideMark/>
          </w:tcPr>
          <w:p w14:paraId="2EF56179" w14:textId="45404E8B" w:rsidR="004656EB" w:rsidRPr="001D26AC" w:rsidRDefault="004656EB" w:rsidP="004656EB">
            <w:pPr>
              <w:spacing w:after="0" w:line="240" w:lineRule="auto"/>
              <w:jc w:val="right"/>
              <w:rPr>
                <w:rFonts w:ascii="Arial" w:hAnsi="Arial" w:cs="Arial"/>
                <w:sz w:val="16"/>
                <w:szCs w:val="16"/>
              </w:rPr>
            </w:pPr>
            <w:r w:rsidRPr="001D26AC">
              <w:rPr>
                <w:rFonts w:ascii="Arial" w:hAnsi="Arial" w:cs="Arial"/>
                <w:sz w:val="16"/>
                <w:szCs w:val="16"/>
              </w:rPr>
              <w:t>-</w:t>
            </w:r>
          </w:p>
        </w:tc>
      </w:tr>
      <w:tr w:rsidR="004656EB" w:rsidRPr="001D26AC" w14:paraId="30471F0A" w14:textId="77777777" w:rsidTr="001D26AC">
        <w:trPr>
          <w:trHeight w:val="204"/>
        </w:trPr>
        <w:tc>
          <w:tcPr>
            <w:tcW w:w="2835" w:type="dxa"/>
            <w:tcBorders>
              <w:top w:val="nil"/>
              <w:left w:val="nil"/>
              <w:bottom w:val="nil"/>
              <w:right w:val="nil"/>
            </w:tcBorders>
            <w:shd w:val="clear" w:color="auto" w:fill="auto"/>
            <w:noWrap/>
            <w:hideMark/>
          </w:tcPr>
          <w:p w14:paraId="700F742A" w14:textId="77777777" w:rsidR="004656EB" w:rsidRPr="001D26AC" w:rsidRDefault="004656EB" w:rsidP="004656EB">
            <w:pPr>
              <w:spacing w:after="0" w:line="240" w:lineRule="auto"/>
              <w:ind w:left="113"/>
              <w:jc w:val="left"/>
              <w:rPr>
                <w:rFonts w:ascii="Arial" w:hAnsi="Arial" w:cs="Arial"/>
                <w:b/>
                <w:sz w:val="16"/>
                <w:szCs w:val="16"/>
              </w:rPr>
            </w:pPr>
            <w:r w:rsidRPr="001D26AC">
              <w:rPr>
                <w:rFonts w:ascii="Arial" w:hAnsi="Arial" w:cs="Arial"/>
                <w:b/>
                <w:sz w:val="16"/>
                <w:szCs w:val="16"/>
              </w:rPr>
              <w:t>Total</w:t>
            </w:r>
          </w:p>
        </w:tc>
        <w:tc>
          <w:tcPr>
            <w:tcW w:w="882" w:type="dxa"/>
            <w:tcBorders>
              <w:top w:val="nil"/>
              <w:left w:val="nil"/>
              <w:bottom w:val="nil"/>
              <w:right w:val="nil"/>
            </w:tcBorders>
            <w:shd w:val="clear" w:color="auto" w:fill="auto"/>
            <w:noWrap/>
            <w:vAlign w:val="bottom"/>
            <w:hideMark/>
          </w:tcPr>
          <w:p w14:paraId="1BE868B8" w14:textId="77777777" w:rsidR="004656EB" w:rsidRPr="001D26AC" w:rsidRDefault="004656EB" w:rsidP="004656EB">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hideMark/>
          </w:tcPr>
          <w:p w14:paraId="3E061F41" w14:textId="4F11FA4B"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bCs/>
                <w:sz w:val="16"/>
                <w:szCs w:val="16"/>
              </w:rPr>
              <w:t>4,618</w:t>
            </w:r>
          </w:p>
        </w:tc>
        <w:tc>
          <w:tcPr>
            <w:tcW w:w="941" w:type="dxa"/>
            <w:tcBorders>
              <w:top w:val="nil"/>
              <w:left w:val="nil"/>
              <w:bottom w:val="nil"/>
              <w:right w:val="nil"/>
            </w:tcBorders>
            <w:shd w:val="clear" w:color="auto" w:fill="auto"/>
            <w:noWrap/>
            <w:vAlign w:val="bottom"/>
            <w:hideMark/>
          </w:tcPr>
          <w:p w14:paraId="0BE9D43D" w14:textId="7FBBFA3D"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bCs/>
                <w:sz w:val="16"/>
                <w:szCs w:val="16"/>
              </w:rPr>
              <w:t>27,711</w:t>
            </w:r>
          </w:p>
        </w:tc>
        <w:tc>
          <w:tcPr>
            <w:tcW w:w="996" w:type="dxa"/>
            <w:tcBorders>
              <w:top w:val="nil"/>
              <w:left w:val="nil"/>
              <w:bottom w:val="nil"/>
              <w:right w:val="nil"/>
            </w:tcBorders>
            <w:shd w:val="clear" w:color="auto" w:fill="E6E6E6"/>
            <w:noWrap/>
            <w:vAlign w:val="bottom"/>
            <w:hideMark/>
          </w:tcPr>
          <w:p w14:paraId="247FD08C" w14:textId="697C050C"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bCs/>
                <w:sz w:val="16"/>
                <w:szCs w:val="16"/>
              </w:rPr>
              <w:t>8,952</w:t>
            </w:r>
          </w:p>
        </w:tc>
        <w:tc>
          <w:tcPr>
            <w:tcW w:w="947" w:type="dxa"/>
            <w:tcBorders>
              <w:top w:val="nil"/>
              <w:left w:val="nil"/>
              <w:bottom w:val="nil"/>
              <w:right w:val="nil"/>
            </w:tcBorders>
            <w:shd w:val="clear" w:color="auto" w:fill="auto"/>
            <w:noWrap/>
            <w:vAlign w:val="bottom"/>
            <w:hideMark/>
          </w:tcPr>
          <w:p w14:paraId="56706107" w14:textId="55DA862F" w:rsidR="004656EB" w:rsidRPr="001D26AC" w:rsidRDefault="004656EB" w:rsidP="004656EB">
            <w:pPr>
              <w:spacing w:after="0" w:line="240" w:lineRule="auto"/>
              <w:jc w:val="right"/>
              <w:rPr>
                <w:rFonts w:ascii="Arial" w:hAnsi="Arial" w:cs="Arial"/>
                <w:b/>
                <w:bCs/>
                <w:sz w:val="16"/>
                <w:szCs w:val="16"/>
              </w:rPr>
            </w:pPr>
            <w:r w:rsidRPr="001D26AC">
              <w:rPr>
                <w:rFonts w:ascii="Arial" w:hAnsi="Arial" w:cs="Arial"/>
                <w:b/>
                <w:bCs/>
                <w:sz w:val="16"/>
                <w:szCs w:val="16"/>
              </w:rPr>
              <w:t>3,946</w:t>
            </w:r>
          </w:p>
        </w:tc>
      </w:tr>
      <w:tr w:rsidR="004656EB" w:rsidRPr="001D26AC" w14:paraId="53347368" w14:textId="77777777" w:rsidTr="001D26AC">
        <w:trPr>
          <w:trHeight w:val="204"/>
        </w:trPr>
        <w:tc>
          <w:tcPr>
            <w:tcW w:w="2835" w:type="dxa"/>
            <w:tcBorders>
              <w:top w:val="nil"/>
              <w:left w:val="nil"/>
              <w:bottom w:val="nil"/>
              <w:right w:val="nil"/>
            </w:tcBorders>
            <w:shd w:val="clear" w:color="auto" w:fill="auto"/>
            <w:vAlign w:val="bottom"/>
            <w:hideMark/>
          </w:tcPr>
          <w:p w14:paraId="2EBE791C" w14:textId="759F0CC8" w:rsidR="004656EB" w:rsidRPr="001D26AC" w:rsidRDefault="004656EB" w:rsidP="004656EB">
            <w:pPr>
              <w:spacing w:after="0" w:line="240" w:lineRule="auto"/>
              <w:jc w:val="left"/>
              <w:rPr>
                <w:rFonts w:ascii="Arial" w:hAnsi="Arial" w:cs="Arial"/>
                <w:sz w:val="16"/>
                <w:szCs w:val="16"/>
              </w:rPr>
            </w:pPr>
            <w:r w:rsidRPr="001D26AC">
              <w:rPr>
                <w:rFonts w:ascii="Arial" w:hAnsi="Arial" w:cs="Arial"/>
                <w:sz w:val="16"/>
                <w:szCs w:val="16"/>
              </w:rPr>
              <w:t xml:space="preserve">WSA Co Limited - equity injection </w:t>
            </w:r>
            <w:r w:rsidRPr="001D26AC">
              <w:rPr>
                <w:rFonts w:ascii="Arial" w:hAnsi="Arial" w:cs="Arial"/>
                <w:sz w:val="16"/>
                <w:szCs w:val="16"/>
                <w:vertAlign w:val="superscript"/>
              </w:rPr>
              <w:t>(a)</w:t>
            </w:r>
          </w:p>
        </w:tc>
        <w:tc>
          <w:tcPr>
            <w:tcW w:w="882" w:type="dxa"/>
            <w:tcBorders>
              <w:top w:val="nil"/>
              <w:left w:val="nil"/>
              <w:bottom w:val="nil"/>
              <w:right w:val="nil"/>
            </w:tcBorders>
            <w:shd w:val="clear" w:color="auto" w:fill="auto"/>
            <w:noWrap/>
            <w:vAlign w:val="bottom"/>
            <w:hideMark/>
          </w:tcPr>
          <w:p w14:paraId="5C38F47F" w14:textId="77777777" w:rsidR="004656EB" w:rsidRPr="001D26AC" w:rsidRDefault="004656EB" w:rsidP="004656EB">
            <w:pPr>
              <w:spacing w:after="0" w:line="240" w:lineRule="auto"/>
              <w:jc w:val="center"/>
              <w:rPr>
                <w:rFonts w:ascii="Arial" w:hAnsi="Arial" w:cs="Arial"/>
                <w:sz w:val="16"/>
                <w:szCs w:val="16"/>
              </w:rPr>
            </w:pPr>
            <w:r w:rsidRPr="001D26AC">
              <w:rPr>
                <w:rFonts w:ascii="Arial" w:hAnsi="Arial" w:cs="Arial"/>
                <w:sz w:val="16"/>
                <w:szCs w:val="16"/>
              </w:rPr>
              <w:t>2.3</w:t>
            </w:r>
          </w:p>
        </w:tc>
        <w:tc>
          <w:tcPr>
            <w:tcW w:w="979" w:type="dxa"/>
            <w:tcBorders>
              <w:top w:val="nil"/>
              <w:left w:val="nil"/>
              <w:bottom w:val="nil"/>
              <w:right w:val="nil"/>
            </w:tcBorders>
            <w:shd w:val="clear" w:color="auto" w:fill="E6E6E6"/>
            <w:noWrap/>
            <w:vAlign w:val="bottom"/>
            <w:hideMark/>
          </w:tcPr>
          <w:p w14:paraId="1008975D" w14:textId="419F1DB3" w:rsidR="004656EB" w:rsidRPr="001D26AC" w:rsidRDefault="004656EB" w:rsidP="004656EB">
            <w:pPr>
              <w:spacing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hideMark/>
          </w:tcPr>
          <w:p w14:paraId="34A37B7D" w14:textId="77777777" w:rsidR="004656EB" w:rsidRPr="001D26AC" w:rsidRDefault="004656EB" w:rsidP="004656EB">
            <w:pPr>
              <w:spacing w:after="0" w:line="240" w:lineRule="auto"/>
              <w:jc w:val="right"/>
              <w:rPr>
                <w:rFonts w:ascii="Arial" w:hAnsi="Arial" w:cs="Arial"/>
                <w:sz w:val="16"/>
                <w:szCs w:val="16"/>
              </w:rPr>
            </w:pPr>
          </w:p>
        </w:tc>
        <w:tc>
          <w:tcPr>
            <w:tcW w:w="996" w:type="dxa"/>
            <w:tcBorders>
              <w:top w:val="nil"/>
              <w:left w:val="nil"/>
              <w:bottom w:val="nil"/>
              <w:right w:val="nil"/>
            </w:tcBorders>
            <w:shd w:val="clear" w:color="auto" w:fill="E6E6E6"/>
            <w:noWrap/>
            <w:vAlign w:val="bottom"/>
            <w:hideMark/>
          </w:tcPr>
          <w:p w14:paraId="7EC546CB" w14:textId="104330B3" w:rsidR="004656EB" w:rsidRPr="001D26AC" w:rsidRDefault="004656EB" w:rsidP="004656EB">
            <w:pPr>
              <w:spacing w:after="0" w:line="240" w:lineRule="auto"/>
              <w:jc w:val="right"/>
              <w:rPr>
                <w:rFonts w:ascii="Arial" w:hAnsi="Arial" w:cs="Arial"/>
                <w:sz w:val="16"/>
                <w:szCs w:val="16"/>
              </w:rPr>
            </w:pPr>
          </w:p>
        </w:tc>
        <w:tc>
          <w:tcPr>
            <w:tcW w:w="947" w:type="dxa"/>
            <w:tcBorders>
              <w:top w:val="nil"/>
              <w:left w:val="nil"/>
              <w:bottom w:val="nil"/>
              <w:right w:val="nil"/>
            </w:tcBorders>
            <w:shd w:val="clear" w:color="auto" w:fill="auto"/>
            <w:noWrap/>
            <w:vAlign w:val="bottom"/>
            <w:hideMark/>
          </w:tcPr>
          <w:p w14:paraId="7139D886" w14:textId="77777777" w:rsidR="004656EB" w:rsidRPr="001D26AC" w:rsidRDefault="004656EB" w:rsidP="004656EB">
            <w:pPr>
              <w:spacing w:after="0" w:line="240" w:lineRule="auto"/>
              <w:jc w:val="right"/>
              <w:rPr>
                <w:rFonts w:ascii="Arial" w:hAnsi="Arial" w:cs="Arial"/>
                <w:sz w:val="16"/>
                <w:szCs w:val="16"/>
              </w:rPr>
            </w:pPr>
          </w:p>
        </w:tc>
      </w:tr>
      <w:tr w:rsidR="004656EB" w:rsidRPr="001D26AC" w14:paraId="51FC9065" w14:textId="77777777" w:rsidTr="001D26AC">
        <w:trPr>
          <w:trHeight w:val="204"/>
        </w:trPr>
        <w:tc>
          <w:tcPr>
            <w:tcW w:w="2835" w:type="dxa"/>
            <w:tcBorders>
              <w:top w:val="nil"/>
              <w:left w:val="nil"/>
              <w:bottom w:val="nil"/>
              <w:right w:val="nil"/>
            </w:tcBorders>
            <w:shd w:val="clear" w:color="auto" w:fill="auto"/>
            <w:noWrap/>
            <w:hideMark/>
          </w:tcPr>
          <w:p w14:paraId="1E3C37D2" w14:textId="421A27BB" w:rsidR="004656EB" w:rsidRPr="001D26AC" w:rsidRDefault="004656EB" w:rsidP="004656EB">
            <w:pPr>
              <w:spacing w:after="0" w:line="240" w:lineRule="auto"/>
              <w:ind w:left="113"/>
              <w:jc w:val="left"/>
              <w:rPr>
                <w:rFonts w:ascii="Arial" w:hAnsi="Arial" w:cs="Arial"/>
                <w:sz w:val="16"/>
                <w:szCs w:val="16"/>
              </w:rPr>
            </w:pPr>
            <w:r w:rsidRPr="001D26AC">
              <w:rPr>
                <w:rFonts w:ascii="Arial" w:hAnsi="Arial" w:cs="Arial"/>
                <w:sz w:val="16"/>
                <w:szCs w:val="16"/>
              </w:rPr>
              <w:t xml:space="preserve">Administered payments </w:t>
            </w:r>
          </w:p>
        </w:tc>
        <w:tc>
          <w:tcPr>
            <w:tcW w:w="882" w:type="dxa"/>
            <w:tcBorders>
              <w:top w:val="nil"/>
              <w:left w:val="nil"/>
              <w:bottom w:val="nil"/>
              <w:right w:val="nil"/>
            </w:tcBorders>
            <w:shd w:val="clear" w:color="auto" w:fill="auto"/>
            <w:noWrap/>
            <w:vAlign w:val="bottom"/>
            <w:hideMark/>
          </w:tcPr>
          <w:p w14:paraId="0736415E" w14:textId="77777777" w:rsidR="004656EB" w:rsidRPr="001D26AC" w:rsidRDefault="004656EB" w:rsidP="004656EB">
            <w:pPr>
              <w:spacing w:after="0" w:line="240" w:lineRule="auto"/>
              <w:ind w:firstLineChars="100" w:firstLine="160"/>
              <w:jc w:val="right"/>
              <w:rPr>
                <w:rFonts w:ascii="Arial" w:hAnsi="Arial" w:cs="Arial"/>
                <w:sz w:val="16"/>
                <w:szCs w:val="16"/>
              </w:rPr>
            </w:pPr>
          </w:p>
        </w:tc>
        <w:tc>
          <w:tcPr>
            <w:tcW w:w="979" w:type="dxa"/>
            <w:tcBorders>
              <w:top w:val="nil"/>
              <w:left w:val="nil"/>
              <w:bottom w:val="nil"/>
              <w:right w:val="nil"/>
            </w:tcBorders>
            <w:shd w:val="clear" w:color="auto" w:fill="E6E6E6"/>
            <w:noWrap/>
            <w:vAlign w:val="bottom"/>
            <w:hideMark/>
          </w:tcPr>
          <w:p w14:paraId="477670F7" w14:textId="77777777" w:rsidR="004656EB" w:rsidRPr="001D26AC" w:rsidRDefault="004656EB" w:rsidP="004656EB">
            <w:pPr>
              <w:spacing w:after="0" w:line="240" w:lineRule="auto"/>
              <w:jc w:val="right"/>
              <w:rPr>
                <w:rFonts w:ascii="Arial" w:hAnsi="Arial" w:cs="Arial"/>
                <w:sz w:val="16"/>
                <w:szCs w:val="16"/>
              </w:rPr>
            </w:pPr>
            <w:proofErr w:type="spellStart"/>
            <w:r w:rsidRPr="001D26AC">
              <w:rPr>
                <w:rFonts w:ascii="Arial" w:hAnsi="Arial" w:cs="Arial"/>
                <w:sz w:val="16"/>
                <w:szCs w:val="16"/>
              </w:rPr>
              <w:t>nfp</w:t>
            </w:r>
            <w:proofErr w:type="spellEnd"/>
          </w:p>
        </w:tc>
        <w:tc>
          <w:tcPr>
            <w:tcW w:w="941" w:type="dxa"/>
            <w:tcBorders>
              <w:top w:val="nil"/>
              <w:left w:val="nil"/>
              <w:bottom w:val="nil"/>
              <w:right w:val="nil"/>
            </w:tcBorders>
            <w:shd w:val="clear" w:color="auto" w:fill="auto"/>
            <w:noWrap/>
            <w:vAlign w:val="bottom"/>
            <w:hideMark/>
          </w:tcPr>
          <w:p w14:paraId="25D887F4" w14:textId="77777777" w:rsidR="004656EB" w:rsidRPr="001D26AC" w:rsidRDefault="004656EB" w:rsidP="004656EB">
            <w:pPr>
              <w:spacing w:after="0" w:line="240" w:lineRule="auto"/>
              <w:jc w:val="right"/>
              <w:rPr>
                <w:rFonts w:ascii="Arial" w:hAnsi="Arial" w:cs="Arial"/>
                <w:sz w:val="16"/>
                <w:szCs w:val="16"/>
              </w:rPr>
            </w:pPr>
            <w:proofErr w:type="spellStart"/>
            <w:r w:rsidRPr="001D26AC">
              <w:rPr>
                <w:rFonts w:ascii="Arial" w:hAnsi="Arial" w:cs="Arial"/>
                <w:sz w:val="16"/>
                <w:szCs w:val="16"/>
              </w:rPr>
              <w:t>nfp</w:t>
            </w:r>
            <w:proofErr w:type="spellEnd"/>
          </w:p>
        </w:tc>
        <w:tc>
          <w:tcPr>
            <w:tcW w:w="996" w:type="dxa"/>
            <w:tcBorders>
              <w:top w:val="nil"/>
              <w:left w:val="nil"/>
              <w:bottom w:val="nil"/>
              <w:right w:val="nil"/>
            </w:tcBorders>
            <w:shd w:val="clear" w:color="auto" w:fill="E6E6E6"/>
            <w:noWrap/>
            <w:vAlign w:val="bottom"/>
            <w:hideMark/>
          </w:tcPr>
          <w:p w14:paraId="7EE45568" w14:textId="77777777" w:rsidR="004656EB" w:rsidRPr="001D26AC" w:rsidRDefault="004656EB" w:rsidP="004656EB">
            <w:pPr>
              <w:spacing w:after="0" w:line="240" w:lineRule="auto"/>
              <w:jc w:val="right"/>
              <w:rPr>
                <w:rFonts w:ascii="Arial" w:hAnsi="Arial" w:cs="Arial"/>
                <w:sz w:val="16"/>
                <w:szCs w:val="16"/>
              </w:rPr>
            </w:pPr>
            <w:proofErr w:type="spellStart"/>
            <w:r w:rsidRPr="001D26AC">
              <w:rPr>
                <w:rFonts w:ascii="Arial" w:hAnsi="Arial" w:cs="Arial"/>
                <w:sz w:val="16"/>
                <w:szCs w:val="16"/>
              </w:rPr>
              <w:t>nfp</w:t>
            </w:r>
            <w:proofErr w:type="spellEnd"/>
          </w:p>
        </w:tc>
        <w:tc>
          <w:tcPr>
            <w:tcW w:w="947" w:type="dxa"/>
            <w:tcBorders>
              <w:top w:val="nil"/>
              <w:left w:val="nil"/>
              <w:bottom w:val="nil"/>
              <w:right w:val="nil"/>
            </w:tcBorders>
            <w:shd w:val="clear" w:color="auto" w:fill="auto"/>
            <w:noWrap/>
            <w:vAlign w:val="bottom"/>
            <w:hideMark/>
          </w:tcPr>
          <w:p w14:paraId="18AD78B6" w14:textId="77777777" w:rsidR="004656EB" w:rsidRPr="001D26AC" w:rsidRDefault="004656EB" w:rsidP="004656EB">
            <w:pPr>
              <w:spacing w:after="0" w:line="240" w:lineRule="auto"/>
              <w:jc w:val="right"/>
              <w:rPr>
                <w:rFonts w:ascii="Arial" w:hAnsi="Arial" w:cs="Arial"/>
                <w:sz w:val="16"/>
                <w:szCs w:val="16"/>
              </w:rPr>
            </w:pPr>
            <w:proofErr w:type="spellStart"/>
            <w:r w:rsidRPr="001D26AC">
              <w:rPr>
                <w:rFonts w:ascii="Arial" w:hAnsi="Arial" w:cs="Arial"/>
                <w:sz w:val="16"/>
                <w:szCs w:val="16"/>
              </w:rPr>
              <w:t>nfp</w:t>
            </w:r>
            <w:proofErr w:type="spellEnd"/>
          </w:p>
        </w:tc>
      </w:tr>
      <w:tr w:rsidR="004656EB" w:rsidRPr="001D26AC" w14:paraId="779B4F1B" w14:textId="77777777" w:rsidTr="001D26AC">
        <w:trPr>
          <w:trHeight w:val="204"/>
        </w:trPr>
        <w:tc>
          <w:tcPr>
            <w:tcW w:w="2835" w:type="dxa"/>
            <w:tcBorders>
              <w:top w:val="nil"/>
              <w:left w:val="nil"/>
              <w:bottom w:val="nil"/>
              <w:right w:val="nil"/>
            </w:tcBorders>
            <w:shd w:val="clear" w:color="auto" w:fill="auto"/>
            <w:noWrap/>
            <w:hideMark/>
          </w:tcPr>
          <w:p w14:paraId="613C47F5" w14:textId="77777777" w:rsidR="004656EB" w:rsidRPr="001D26AC" w:rsidRDefault="004656EB" w:rsidP="004656EB">
            <w:pPr>
              <w:spacing w:after="0" w:line="240" w:lineRule="auto"/>
              <w:ind w:left="113"/>
              <w:jc w:val="left"/>
              <w:rPr>
                <w:rFonts w:ascii="Arial" w:hAnsi="Arial" w:cs="Arial"/>
                <w:b/>
                <w:bCs/>
                <w:sz w:val="16"/>
                <w:szCs w:val="16"/>
              </w:rPr>
            </w:pPr>
            <w:r w:rsidRPr="001D26AC">
              <w:rPr>
                <w:rFonts w:ascii="Arial" w:hAnsi="Arial" w:cs="Arial"/>
                <w:b/>
                <w:bCs/>
                <w:sz w:val="16"/>
                <w:szCs w:val="16"/>
              </w:rPr>
              <w:t>Total</w:t>
            </w:r>
          </w:p>
        </w:tc>
        <w:tc>
          <w:tcPr>
            <w:tcW w:w="882" w:type="dxa"/>
            <w:tcBorders>
              <w:top w:val="nil"/>
              <w:left w:val="nil"/>
              <w:bottom w:val="nil"/>
              <w:right w:val="nil"/>
            </w:tcBorders>
            <w:shd w:val="clear" w:color="auto" w:fill="auto"/>
            <w:noWrap/>
            <w:vAlign w:val="bottom"/>
            <w:hideMark/>
          </w:tcPr>
          <w:p w14:paraId="60A176F7" w14:textId="77777777" w:rsidR="004656EB" w:rsidRPr="001D26AC" w:rsidRDefault="004656EB" w:rsidP="004656EB">
            <w:pPr>
              <w:spacing w:after="0" w:line="240" w:lineRule="auto"/>
              <w:ind w:firstLineChars="100" w:firstLine="160"/>
              <w:jc w:val="right"/>
              <w:rPr>
                <w:rFonts w:ascii="Arial" w:hAnsi="Arial" w:cs="Arial"/>
                <w:b/>
                <w:bCs/>
                <w:sz w:val="16"/>
                <w:szCs w:val="16"/>
              </w:rPr>
            </w:pPr>
          </w:p>
        </w:tc>
        <w:tc>
          <w:tcPr>
            <w:tcW w:w="979" w:type="dxa"/>
            <w:tcBorders>
              <w:top w:val="nil"/>
              <w:left w:val="nil"/>
              <w:bottom w:val="nil"/>
              <w:right w:val="nil"/>
            </w:tcBorders>
            <w:shd w:val="clear" w:color="auto" w:fill="E6E6E6"/>
            <w:noWrap/>
            <w:vAlign w:val="bottom"/>
            <w:hideMark/>
          </w:tcPr>
          <w:p w14:paraId="2D5DD053" w14:textId="3156D007" w:rsidR="004656EB" w:rsidRPr="001D26AC" w:rsidRDefault="004656EB" w:rsidP="004656EB">
            <w:pPr>
              <w:spacing w:after="0" w:line="240" w:lineRule="auto"/>
              <w:jc w:val="right"/>
              <w:rPr>
                <w:rFonts w:ascii="Arial" w:hAnsi="Arial" w:cs="Arial"/>
                <w:b/>
                <w:bCs/>
                <w:sz w:val="16"/>
                <w:szCs w:val="16"/>
              </w:rPr>
            </w:pPr>
            <w:proofErr w:type="spellStart"/>
            <w:r w:rsidRPr="001D26AC">
              <w:rPr>
                <w:rFonts w:ascii="Arial" w:hAnsi="Arial" w:cs="Arial"/>
                <w:b/>
                <w:bCs/>
                <w:sz w:val="16"/>
                <w:szCs w:val="16"/>
              </w:rPr>
              <w:t>nfp</w:t>
            </w:r>
            <w:proofErr w:type="spellEnd"/>
          </w:p>
        </w:tc>
        <w:tc>
          <w:tcPr>
            <w:tcW w:w="941" w:type="dxa"/>
            <w:tcBorders>
              <w:top w:val="nil"/>
              <w:left w:val="nil"/>
              <w:bottom w:val="nil"/>
              <w:right w:val="nil"/>
            </w:tcBorders>
            <w:shd w:val="clear" w:color="auto" w:fill="auto"/>
            <w:noWrap/>
            <w:vAlign w:val="bottom"/>
            <w:hideMark/>
          </w:tcPr>
          <w:p w14:paraId="030DDDE4" w14:textId="56CFFF89" w:rsidR="004656EB" w:rsidRPr="001D26AC" w:rsidRDefault="004656EB" w:rsidP="004656EB">
            <w:pPr>
              <w:spacing w:after="0" w:line="240" w:lineRule="auto"/>
              <w:jc w:val="right"/>
              <w:rPr>
                <w:rFonts w:ascii="Arial" w:hAnsi="Arial" w:cs="Arial"/>
                <w:b/>
                <w:bCs/>
                <w:sz w:val="16"/>
                <w:szCs w:val="16"/>
              </w:rPr>
            </w:pPr>
            <w:proofErr w:type="spellStart"/>
            <w:r w:rsidRPr="001D26AC">
              <w:rPr>
                <w:rFonts w:ascii="Arial" w:hAnsi="Arial" w:cs="Arial"/>
                <w:b/>
                <w:bCs/>
                <w:sz w:val="16"/>
                <w:szCs w:val="16"/>
              </w:rPr>
              <w:t>nfp</w:t>
            </w:r>
            <w:proofErr w:type="spellEnd"/>
          </w:p>
        </w:tc>
        <w:tc>
          <w:tcPr>
            <w:tcW w:w="996" w:type="dxa"/>
            <w:tcBorders>
              <w:top w:val="nil"/>
              <w:left w:val="nil"/>
              <w:bottom w:val="nil"/>
              <w:right w:val="nil"/>
            </w:tcBorders>
            <w:shd w:val="clear" w:color="auto" w:fill="E6E6E6"/>
            <w:noWrap/>
            <w:vAlign w:val="bottom"/>
            <w:hideMark/>
          </w:tcPr>
          <w:p w14:paraId="46063038" w14:textId="16942343" w:rsidR="004656EB" w:rsidRPr="001D26AC" w:rsidRDefault="004656EB" w:rsidP="004656EB">
            <w:pPr>
              <w:spacing w:after="0" w:line="240" w:lineRule="auto"/>
              <w:jc w:val="right"/>
              <w:rPr>
                <w:rFonts w:ascii="Arial" w:hAnsi="Arial" w:cs="Arial"/>
                <w:b/>
                <w:bCs/>
                <w:sz w:val="16"/>
                <w:szCs w:val="16"/>
              </w:rPr>
            </w:pPr>
            <w:proofErr w:type="spellStart"/>
            <w:r w:rsidRPr="001D26AC">
              <w:rPr>
                <w:rFonts w:ascii="Arial" w:hAnsi="Arial" w:cs="Arial"/>
                <w:b/>
                <w:bCs/>
                <w:sz w:val="16"/>
                <w:szCs w:val="16"/>
              </w:rPr>
              <w:t>nfp</w:t>
            </w:r>
            <w:proofErr w:type="spellEnd"/>
          </w:p>
        </w:tc>
        <w:tc>
          <w:tcPr>
            <w:tcW w:w="947" w:type="dxa"/>
            <w:tcBorders>
              <w:top w:val="nil"/>
              <w:left w:val="nil"/>
              <w:bottom w:val="nil"/>
              <w:right w:val="nil"/>
            </w:tcBorders>
            <w:shd w:val="clear" w:color="auto" w:fill="auto"/>
            <w:noWrap/>
            <w:vAlign w:val="bottom"/>
            <w:hideMark/>
          </w:tcPr>
          <w:p w14:paraId="7674BD9E" w14:textId="1D737222" w:rsidR="004656EB" w:rsidRPr="001D26AC" w:rsidRDefault="004656EB" w:rsidP="004656EB">
            <w:pPr>
              <w:spacing w:after="0" w:line="240" w:lineRule="auto"/>
              <w:jc w:val="right"/>
              <w:rPr>
                <w:rFonts w:ascii="Arial" w:hAnsi="Arial" w:cs="Arial"/>
                <w:b/>
                <w:bCs/>
                <w:sz w:val="16"/>
                <w:szCs w:val="16"/>
              </w:rPr>
            </w:pPr>
            <w:proofErr w:type="spellStart"/>
            <w:r w:rsidRPr="001D26AC">
              <w:rPr>
                <w:rFonts w:ascii="Arial" w:hAnsi="Arial" w:cs="Arial"/>
                <w:b/>
                <w:bCs/>
                <w:sz w:val="16"/>
                <w:szCs w:val="16"/>
              </w:rPr>
              <w:t>nfp</w:t>
            </w:r>
            <w:proofErr w:type="spellEnd"/>
          </w:p>
        </w:tc>
      </w:tr>
      <w:tr w:rsidR="004656EB" w:rsidRPr="001D26AC" w14:paraId="1B99009D" w14:textId="77777777" w:rsidTr="001D26AC">
        <w:trPr>
          <w:trHeight w:val="204"/>
        </w:trPr>
        <w:tc>
          <w:tcPr>
            <w:tcW w:w="2835" w:type="dxa"/>
            <w:tcBorders>
              <w:top w:val="nil"/>
              <w:left w:val="nil"/>
              <w:bottom w:val="nil"/>
              <w:right w:val="nil"/>
            </w:tcBorders>
            <w:shd w:val="clear" w:color="auto" w:fill="auto"/>
            <w:vAlign w:val="bottom"/>
            <w:hideMark/>
          </w:tcPr>
          <w:p w14:paraId="22A52313" w14:textId="60AA48CC" w:rsidR="004656EB" w:rsidRPr="001D26AC" w:rsidRDefault="004656EB" w:rsidP="004656EB">
            <w:pPr>
              <w:spacing w:after="0" w:line="240" w:lineRule="auto"/>
              <w:jc w:val="left"/>
              <w:rPr>
                <w:rFonts w:ascii="Arial" w:hAnsi="Arial" w:cs="Arial"/>
                <w:b/>
                <w:bCs/>
                <w:sz w:val="16"/>
                <w:szCs w:val="16"/>
              </w:rPr>
            </w:pPr>
            <w:r w:rsidRPr="001D26AC">
              <w:rPr>
                <w:rFonts w:ascii="Arial" w:hAnsi="Arial" w:cs="Arial"/>
                <w:b/>
                <w:bCs/>
                <w:sz w:val="16"/>
                <w:szCs w:val="16"/>
              </w:rPr>
              <w:t xml:space="preserve">Total payment measures </w:t>
            </w:r>
            <w:r w:rsidRPr="001D26AC">
              <w:rPr>
                <w:rFonts w:ascii="Arial" w:hAnsi="Arial" w:cs="Arial"/>
                <w:b/>
                <w:bCs/>
                <w:sz w:val="16"/>
                <w:szCs w:val="16"/>
                <w:vertAlign w:val="superscript"/>
              </w:rPr>
              <w:t>(a)</w:t>
            </w:r>
          </w:p>
        </w:tc>
        <w:tc>
          <w:tcPr>
            <w:tcW w:w="882" w:type="dxa"/>
            <w:tcBorders>
              <w:top w:val="nil"/>
              <w:left w:val="nil"/>
              <w:bottom w:val="nil"/>
              <w:right w:val="nil"/>
            </w:tcBorders>
            <w:shd w:val="clear" w:color="auto" w:fill="auto"/>
            <w:noWrap/>
            <w:vAlign w:val="bottom"/>
            <w:hideMark/>
          </w:tcPr>
          <w:p w14:paraId="343F6133" w14:textId="77777777" w:rsidR="004656EB" w:rsidRPr="001D26AC" w:rsidRDefault="004656EB" w:rsidP="004656EB">
            <w:pPr>
              <w:spacing w:after="0" w:line="240" w:lineRule="auto"/>
              <w:jc w:val="right"/>
              <w:rPr>
                <w:rFonts w:ascii="Arial" w:hAnsi="Arial" w:cs="Arial"/>
                <w:b/>
                <w:bCs/>
                <w:sz w:val="16"/>
                <w:szCs w:val="16"/>
              </w:rPr>
            </w:pPr>
          </w:p>
        </w:tc>
        <w:tc>
          <w:tcPr>
            <w:tcW w:w="979" w:type="dxa"/>
            <w:tcBorders>
              <w:top w:val="single" w:sz="4" w:space="0" w:color="auto"/>
              <w:left w:val="nil"/>
              <w:bottom w:val="nil"/>
              <w:right w:val="nil"/>
            </w:tcBorders>
            <w:shd w:val="clear" w:color="auto" w:fill="E6E6E6"/>
            <w:noWrap/>
            <w:vAlign w:val="bottom"/>
            <w:hideMark/>
          </w:tcPr>
          <w:p w14:paraId="7E80BE6F" w14:textId="3E77D2FC" w:rsidR="004656EB" w:rsidRPr="001D26AC" w:rsidRDefault="004656EB" w:rsidP="004656EB">
            <w:pPr>
              <w:spacing w:after="0" w:line="240" w:lineRule="auto"/>
              <w:jc w:val="right"/>
              <w:rPr>
                <w:rFonts w:ascii="Arial" w:hAnsi="Arial" w:cs="Arial"/>
                <w:sz w:val="16"/>
                <w:szCs w:val="16"/>
              </w:rPr>
            </w:pPr>
          </w:p>
        </w:tc>
        <w:tc>
          <w:tcPr>
            <w:tcW w:w="941" w:type="dxa"/>
            <w:tcBorders>
              <w:top w:val="single" w:sz="4" w:space="0" w:color="auto"/>
              <w:left w:val="nil"/>
              <w:bottom w:val="nil"/>
              <w:right w:val="nil"/>
            </w:tcBorders>
            <w:shd w:val="clear" w:color="auto" w:fill="auto"/>
            <w:noWrap/>
            <w:vAlign w:val="bottom"/>
            <w:hideMark/>
          </w:tcPr>
          <w:p w14:paraId="2C16B185" w14:textId="15E5E045" w:rsidR="004656EB" w:rsidRPr="001D26AC" w:rsidRDefault="004656EB" w:rsidP="004656EB">
            <w:pPr>
              <w:spacing w:after="0" w:line="240" w:lineRule="auto"/>
              <w:jc w:val="right"/>
              <w:rPr>
                <w:rFonts w:ascii="Arial" w:hAnsi="Arial" w:cs="Arial"/>
                <w:sz w:val="16"/>
                <w:szCs w:val="16"/>
              </w:rPr>
            </w:pPr>
          </w:p>
        </w:tc>
        <w:tc>
          <w:tcPr>
            <w:tcW w:w="996" w:type="dxa"/>
            <w:tcBorders>
              <w:top w:val="single" w:sz="4" w:space="0" w:color="auto"/>
              <w:left w:val="nil"/>
              <w:bottom w:val="nil"/>
              <w:right w:val="nil"/>
            </w:tcBorders>
            <w:shd w:val="clear" w:color="auto" w:fill="E6E6E6"/>
            <w:noWrap/>
            <w:vAlign w:val="bottom"/>
            <w:hideMark/>
          </w:tcPr>
          <w:p w14:paraId="7DA50544" w14:textId="2ED97EED" w:rsidR="004656EB" w:rsidRPr="001D26AC" w:rsidRDefault="004656EB" w:rsidP="004656EB">
            <w:pPr>
              <w:spacing w:after="0" w:line="240" w:lineRule="auto"/>
              <w:jc w:val="right"/>
              <w:rPr>
                <w:rFonts w:ascii="Arial" w:hAnsi="Arial" w:cs="Arial"/>
                <w:sz w:val="16"/>
                <w:szCs w:val="16"/>
              </w:rPr>
            </w:pPr>
          </w:p>
        </w:tc>
        <w:tc>
          <w:tcPr>
            <w:tcW w:w="947" w:type="dxa"/>
            <w:tcBorders>
              <w:top w:val="single" w:sz="4" w:space="0" w:color="auto"/>
              <w:left w:val="nil"/>
              <w:bottom w:val="nil"/>
              <w:right w:val="nil"/>
            </w:tcBorders>
            <w:shd w:val="clear" w:color="auto" w:fill="auto"/>
            <w:noWrap/>
            <w:vAlign w:val="bottom"/>
            <w:hideMark/>
          </w:tcPr>
          <w:p w14:paraId="3EC80C9F" w14:textId="68E704FD" w:rsidR="004656EB" w:rsidRPr="001D26AC" w:rsidRDefault="004656EB" w:rsidP="004656EB">
            <w:pPr>
              <w:spacing w:after="0" w:line="240" w:lineRule="auto"/>
              <w:jc w:val="right"/>
              <w:rPr>
                <w:rFonts w:ascii="Arial" w:hAnsi="Arial" w:cs="Arial"/>
                <w:sz w:val="16"/>
                <w:szCs w:val="16"/>
              </w:rPr>
            </w:pPr>
          </w:p>
        </w:tc>
      </w:tr>
      <w:tr w:rsidR="004656EB" w:rsidRPr="001D26AC" w14:paraId="1F1B6E58" w14:textId="77777777" w:rsidTr="001D26AC">
        <w:trPr>
          <w:trHeight w:val="204"/>
        </w:trPr>
        <w:tc>
          <w:tcPr>
            <w:tcW w:w="2835" w:type="dxa"/>
            <w:tcBorders>
              <w:top w:val="nil"/>
              <w:left w:val="nil"/>
              <w:bottom w:val="nil"/>
              <w:right w:val="nil"/>
            </w:tcBorders>
            <w:shd w:val="clear" w:color="auto" w:fill="auto"/>
            <w:noWrap/>
            <w:vAlign w:val="bottom"/>
            <w:hideMark/>
          </w:tcPr>
          <w:p w14:paraId="57B93A23" w14:textId="77777777" w:rsidR="004656EB" w:rsidRPr="001D26AC" w:rsidRDefault="004656EB" w:rsidP="004656EB">
            <w:pPr>
              <w:spacing w:after="0" w:line="240" w:lineRule="auto"/>
              <w:ind w:left="113"/>
              <w:jc w:val="left"/>
              <w:rPr>
                <w:rFonts w:ascii="Arial" w:hAnsi="Arial" w:cs="Arial"/>
                <w:sz w:val="16"/>
                <w:szCs w:val="16"/>
              </w:rPr>
            </w:pPr>
            <w:r w:rsidRPr="001D26AC">
              <w:rPr>
                <w:rFonts w:ascii="Arial" w:hAnsi="Arial" w:cs="Arial"/>
                <w:sz w:val="16"/>
                <w:szCs w:val="16"/>
              </w:rPr>
              <w:t>Administered</w:t>
            </w:r>
          </w:p>
        </w:tc>
        <w:tc>
          <w:tcPr>
            <w:tcW w:w="882" w:type="dxa"/>
            <w:tcBorders>
              <w:top w:val="nil"/>
              <w:left w:val="nil"/>
              <w:bottom w:val="nil"/>
              <w:right w:val="nil"/>
            </w:tcBorders>
            <w:shd w:val="clear" w:color="auto" w:fill="auto"/>
            <w:noWrap/>
            <w:vAlign w:val="bottom"/>
            <w:hideMark/>
          </w:tcPr>
          <w:p w14:paraId="77F825E8" w14:textId="77777777" w:rsidR="004656EB" w:rsidRPr="001D26AC" w:rsidRDefault="004656EB" w:rsidP="004656EB">
            <w:pPr>
              <w:spacing w:after="0" w:line="240" w:lineRule="auto"/>
              <w:ind w:firstLineChars="100" w:firstLine="160"/>
              <w:jc w:val="right"/>
              <w:rPr>
                <w:rFonts w:ascii="Arial" w:hAnsi="Arial" w:cs="Arial"/>
                <w:sz w:val="16"/>
                <w:szCs w:val="16"/>
              </w:rPr>
            </w:pPr>
          </w:p>
        </w:tc>
        <w:tc>
          <w:tcPr>
            <w:tcW w:w="979" w:type="dxa"/>
            <w:tcBorders>
              <w:top w:val="nil"/>
              <w:left w:val="nil"/>
              <w:bottom w:val="nil"/>
              <w:right w:val="nil"/>
            </w:tcBorders>
            <w:shd w:val="clear" w:color="auto" w:fill="E6E6E6"/>
            <w:noWrap/>
            <w:vAlign w:val="bottom"/>
            <w:hideMark/>
          </w:tcPr>
          <w:p w14:paraId="05D32348" w14:textId="3E13471D" w:rsidR="004656EB" w:rsidRPr="001D26AC" w:rsidRDefault="004656EB" w:rsidP="004656EB">
            <w:pPr>
              <w:spacing w:after="0" w:line="240" w:lineRule="auto"/>
              <w:jc w:val="right"/>
              <w:rPr>
                <w:rFonts w:ascii="Arial" w:hAnsi="Arial" w:cs="Arial"/>
                <w:sz w:val="16"/>
                <w:szCs w:val="16"/>
                <w:highlight w:val="yellow"/>
              </w:rPr>
            </w:pPr>
            <w:r w:rsidRPr="001D26AC">
              <w:rPr>
                <w:rFonts w:ascii="Arial" w:hAnsi="Arial" w:cs="Arial"/>
                <w:sz w:val="16"/>
                <w:szCs w:val="16"/>
              </w:rPr>
              <w:t xml:space="preserve">72,079 </w:t>
            </w:r>
          </w:p>
        </w:tc>
        <w:tc>
          <w:tcPr>
            <w:tcW w:w="941" w:type="dxa"/>
            <w:tcBorders>
              <w:top w:val="nil"/>
              <w:left w:val="nil"/>
              <w:bottom w:val="nil"/>
              <w:right w:val="nil"/>
            </w:tcBorders>
            <w:shd w:val="clear" w:color="auto" w:fill="auto"/>
            <w:noWrap/>
            <w:vAlign w:val="bottom"/>
            <w:hideMark/>
          </w:tcPr>
          <w:p w14:paraId="0FFD2726" w14:textId="3977B077" w:rsidR="004656EB" w:rsidRPr="001D26AC" w:rsidRDefault="004656EB" w:rsidP="00C02E56">
            <w:pPr>
              <w:spacing w:after="0" w:line="240" w:lineRule="auto"/>
              <w:jc w:val="right"/>
              <w:rPr>
                <w:rFonts w:ascii="Arial" w:hAnsi="Arial" w:cs="Arial"/>
                <w:sz w:val="16"/>
                <w:szCs w:val="16"/>
                <w:highlight w:val="yellow"/>
              </w:rPr>
            </w:pPr>
            <w:r w:rsidRPr="001D26AC">
              <w:rPr>
                <w:rFonts w:ascii="Arial" w:hAnsi="Arial" w:cs="Arial"/>
                <w:sz w:val="16"/>
                <w:szCs w:val="16"/>
              </w:rPr>
              <w:t>11</w:t>
            </w:r>
            <w:r w:rsidR="00C02E56" w:rsidRPr="001D26AC">
              <w:rPr>
                <w:rFonts w:ascii="Arial" w:hAnsi="Arial" w:cs="Arial"/>
                <w:sz w:val="16"/>
                <w:szCs w:val="16"/>
              </w:rPr>
              <w:t>3</w:t>
            </w:r>
            <w:r w:rsidRPr="001D26AC">
              <w:rPr>
                <w:rFonts w:ascii="Arial" w:hAnsi="Arial" w:cs="Arial"/>
                <w:sz w:val="16"/>
                <w:szCs w:val="16"/>
              </w:rPr>
              <w:t>,</w:t>
            </w:r>
            <w:r w:rsidR="00C02E56" w:rsidRPr="001D26AC">
              <w:rPr>
                <w:rFonts w:ascii="Arial" w:hAnsi="Arial" w:cs="Arial"/>
                <w:sz w:val="16"/>
                <w:szCs w:val="16"/>
              </w:rPr>
              <w:t>636</w:t>
            </w:r>
            <w:r w:rsidRPr="001D26AC">
              <w:rPr>
                <w:rFonts w:ascii="Arial" w:hAnsi="Arial" w:cs="Arial"/>
                <w:sz w:val="16"/>
                <w:szCs w:val="16"/>
              </w:rPr>
              <w:t xml:space="preserve"> </w:t>
            </w:r>
          </w:p>
        </w:tc>
        <w:tc>
          <w:tcPr>
            <w:tcW w:w="996" w:type="dxa"/>
            <w:tcBorders>
              <w:top w:val="nil"/>
              <w:left w:val="nil"/>
              <w:bottom w:val="nil"/>
              <w:right w:val="nil"/>
            </w:tcBorders>
            <w:shd w:val="clear" w:color="auto" w:fill="E6E6E6"/>
            <w:noWrap/>
            <w:vAlign w:val="bottom"/>
            <w:hideMark/>
          </w:tcPr>
          <w:p w14:paraId="7DD393CC" w14:textId="5BB9E66E" w:rsidR="004656EB" w:rsidRPr="001D26AC" w:rsidRDefault="00C02E56" w:rsidP="004656EB">
            <w:pPr>
              <w:spacing w:after="0" w:line="240" w:lineRule="auto"/>
              <w:jc w:val="right"/>
              <w:rPr>
                <w:rFonts w:ascii="Arial" w:hAnsi="Arial" w:cs="Arial"/>
                <w:sz w:val="16"/>
                <w:szCs w:val="16"/>
                <w:highlight w:val="yellow"/>
              </w:rPr>
            </w:pPr>
            <w:r w:rsidRPr="001D26AC">
              <w:rPr>
                <w:rFonts w:ascii="Arial" w:hAnsi="Arial" w:cs="Arial"/>
                <w:sz w:val="16"/>
                <w:szCs w:val="16"/>
              </w:rPr>
              <w:t>91,379</w:t>
            </w:r>
            <w:r w:rsidR="004656EB" w:rsidRPr="001D26AC">
              <w:rPr>
                <w:rFonts w:ascii="Arial" w:hAnsi="Arial" w:cs="Arial"/>
                <w:sz w:val="16"/>
                <w:szCs w:val="16"/>
              </w:rPr>
              <w:t xml:space="preserve"> </w:t>
            </w:r>
          </w:p>
        </w:tc>
        <w:tc>
          <w:tcPr>
            <w:tcW w:w="947" w:type="dxa"/>
            <w:tcBorders>
              <w:top w:val="nil"/>
              <w:left w:val="nil"/>
              <w:bottom w:val="nil"/>
              <w:right w:val="nil"/>
            </w:tcBorders>
            <w:shd w:val="clear" w:color="auto" w:fill="auto"/>
            <w:noWrap/>
            <w:vAlign w:val="bottom"/>
            <w:hideMark/>
          </w:tcPr>
          <w:p w14:paraId="38DA05C0" w14:textId="73A3C86D" w:rsidR="004656EB" w:rsidRPr="001D26AC" w:rsidRDefault="00C02E56" w:rsidP="004656EB">
            <w:pPr>
              <w:spacing w:after="0" w:line="240" w:lineRule="auto"/>
              <w:jc w:val="right"/>
              <w:rPr>
                <w:rFonts w:ascii="Arial" w:hAnsi="Arial" w:cs="Arial"/>
                <w:sz w:val="16"/>
                <w:szCs w:val="16"/>
                <w:highlight w:val="yellow"/>
              </w:rPr>
            </w:pPr>
            <w:r w:rsidRPr="001D26AC">
              <w:rPr>
                <w:rFonts w:ascii="Arial" w:hAnsi="Arial" w:cs="Arial"/>
                <w:sz w:val="16"/>
                <w:szCs w:val="16"/>
              </w:rPr>
              <w:t>32,427</w:t>
            </w:r>
            <w:r w:rsidR="004656EB" w:rsidRPr="001D26AC">
              <w:rPr>
                <w:rFonts w:ascii="Arial" w:hAnsi="Arial" w:cs="Arial"/>
                <w:sz w:val="16"/>
                <w:szCs w:val="16"/>
              </w:rPr>
              <w:t xml:space="preserve"> </w:t>
            </w:r>
          </w:p>
        </w:tc>
      </w:tr>
      <w:tr w:rsidR="004656EB" w:rsidRPr="001D26AC" w14:paraId="14399679" w14:textId="77777777" w:rsidTr="001D26AC">
        <w:trPr>
          <w:trHeight w:val="204"/>
        </w:trPr>
        <w:tc>
          <w:tcPr>
            <w:tcW w:w="2835" w:type="dxa"/>
            <w:tcBorders>
              <w:top w:val="nil"/>
              <w:left w:val="nil"/>
              <w:right w:val="nil"/>
            </w:tcBorders>
            <w:shd w:val="clear" w:color="auto" w:fill="auto"/>
            <w:noWrap/>
            <w:vAlign w:val="bottom"/>
            <w:hideMark/>
          </w:tcPr>
          <w:p w14:paraId="7A64E667" w14:textId="77777777" w:rsidR="004656EB" w:rsidRPr="001D26AC" w:rsidRDefault="004656EB" w:rsidP="004656EB">
            <w:pPr>
              <w:spacing w:after="0" w:line="240" w:lineRule="auto"/>
              <w:ind w:left="113"/>
              <w:jc w:val="left"/>
              <w:rPr>
                <w:rFonts w:ascii="Arial" w:hAnsi="Arial" w:cs="Arial"/>
                <w:sz w:val="16"/>
                <w:szCs w:val="16"/>
              </w:rPr>
            </w:pPr>
            <w:r w:rsidRPr="001D26AC">
              <w:rPr>
                <w:rFonts w:ascii="Arial" w:hAnsi="Arial" w:cs="Arial"/>
                <w:sz w:val="16"/>
                <w:szCs w:val="16"/>
              </w:rPr>
              <w:t>Departmental</w:t>
            </w:r>
          </w:p>
        </w:tc>
        <w:tc>
          <w:tcPr>
            <w:tcW w:w="882" w:type="dxa"/>
            <w:tcBorders>
              <w:top w:val="nil"/>
              <w:left w:val="nil"/>
              <w:right w:val="nil"/>
            </w:tcBorders>
            <w:shd w:val="clear" w:color="auto" w:fill="auto"/>
            <w:noWrap/>
            <w:vAlign w:val="bottom"/>
            <w:hideMark/>
          </w:tcPr>
          <w:p w14:paraId="0BE805B7" w14:textId="77777777" w:rsidR="004656EB" w:rsidRPr="001D26AC" w:rsidRDefault="004656EB" w:rsidP="004656EB">
            <w:pPr>
              <w:spacing w:after="0" w:line="240" w:lineRule="auto"/>
              <w:ind w:firstLineChars="100" w:firstLine="160"/>
              <w:jc w:val="right"/>
              <w:rPr>
                <w:rFonts w:ascii="Arial" w:hAnsi="Arial" w:cs="Arial"/>
                <w:sz w:val="16"/>
                <w:szCs w:val="16"/>
              </w:rPr>
            </w:pPr>
          </w:p>
        </w:tc>
        <w:tc>
          <w:tcPr>
            <w:tcW w:w="979" w:type="dxa"/>
            <w:tcBorders>
              <w:top w:val="nil"/>
              <w:left w:val="nil"/>
              <w:right w:val="nil"/>
            </w:tcBorders>
            <w:shd w:val="clear" w:color="auto" w:fill="E6E6E6"/>
            <w:noWrap/>
            <w:vAlign w:val="bottom"/>
            <w:hideMark/>
          </w:tcPr>
          <w:p w14:paraId="5F30008A" w14:textId="3EC1DE15" w:rsidR="004656EB" w:rsidRPr="001D26AC" w:rsidRDefault="00C02E56" w:rsidP="004656EB">
            <w:pPr>
              <w:spacing w:after="0" w:line="240" w:lineRule="auto"/>
              <w:jc w:val="right"/>
              <w:rPr>
                <w:rFonts w:ascii="Arial" w:hAnsi="Arial" w:cs="Arial"/>
                <w:sz w:val="16"/>
                <w:szCs w:val="16"/>
                <w:highlight w:val="yellow"/>
              </w:rPr>
            </w:pPr>
            <w:r w:rsidRPr="001D26AC">
              <w:rPr>
                <w:rFonts w:ascii="Arial" w:hAnsi="Arial" w:cs="Arial"/>
                <w:sz w:val="16"/>
                <w:szCs w:val="16"/>
              </w:rPr>
              <w:t>6,477</w:t>
            </w:r>
            <w:r w:rsidR="004656EB" w:rsidRPr="001D26AC">
              <w:rPr>
                <w:rFonts w:ascii="Arial" w:hAnsi="Arial" w:cs="Arial"/>
                <w:sz w:val="16"/>
                <w:szCs w:val="16"/>
              </w:rPr>
              <w:t xml:space="preserve"> </w:t>
            </w:r>
          </w:p>
        </w:tc>
        <w:tc>
          <w:tcPr>
            <w:tcW w:w="941" w:type="dxa"/>
            <w:tcBorders>
              <w:top w:val="nil"/>
              <w:left w:val="nil"/>
              <w:right w:val="nil"/>
            </w:tcBorders>
            <w:shd w:val="clear" w:color="auto" w:fill="auto"/>
            <w:noWrap/>
            <w:vAlign w:val="bottom"/>
            <w:hideMark/>
          </w:tcPr>
          <w:p w14:paraId="4F919DC6" w14:textId="12281195" w:rsidR="004656EB" w:rsidRPr="001D26AC" w:rsidRDefault="00C02E56" w:rsidP="004656EB">
            <w:pPr>
              <w:spacing w:after="0" w:line="240" w:lineRule="auto"/>
              <w:jc w:val="right"/>
              <w:rPr>
                <w:rFonts w:ascii="Arial" w:hAnsi="Arial" w:cs="Arial"/>
                <w:sz w:val="16"/>
                <w:szCs w:val="16"/>
                <w:highlight w:val="yellow"/>
              </w:rPr>
            </w:pPr>
            <w:r w:rsidRPr="001D26AC">
              <w:rPr>
                <w:rFonts w:ascii="Arial" w:hAnsi="Arial" w:cs="Arial"/>
                <w:sz w:val="16"/>
                <w:szCs w:val="16"/>
              </w:rPr>
              <w:t>8,469</w:t>
            </w:r>
            <w:r w:rsidR="004656EB" w:rsidRPr="001D26AC">
              <w:rPr>
                <w:rFonts w:ascii="Arial" w:hAnsi="Arial" w:cs="Arial"/>
                <w:sz w:val="16"/>
                <w:szCs w:val="16"/>
              </w:rPr>
              <w:t xml:space="preserve"> </w:t>
            </w:r>
          </w:p>
        </w:tc>
        <w:tc>
          <w:tcPr>
            <w:tcW w:w="996" w:type="dxa"/>
            <w:tcBorders>
              <w:top w:val="nil"/>
              <w:left w:val="nil"/>
              <w:right w:val="nil"/>
            </w:tcBorders>
            <w:shd w:val="clear" w:color="auto" w:fill="E6E6E6"/>
            <w:noWrap/>
            <w:vAlign w:val="bottom"/>
            <w:hideMark/>
          </w:tcPr>
          <w:p w14:paraId="205EA77F" w14:textId="7000B1EF" w:rsidR="004656EB" w:rsidRPr="001D26AC" w:rsidRDefault="00C02E56" w:rsidP="004656EB">
            <w:pPr>
              <w:spacing w:after="0" w:line="240" w:lineRule="auto"/>
              <w:jc w:val="right"/>
              <w:rPr>
                <w:rFonts w:ascii="Arial" w:hAnsi="Arial" w:cs="Arial"/>
                <w:sz w:val="16"/>
                <w:szCs w:val="16"/>
                <w:highlight w:val="yellow"/>
              </w:rPr>
            </w:pPr>
            <w:r w:rsidRPr="001D26AC">
              <w:rPr>
                <w:rFonts w:ascii="Arial" w:hAnsi="Arial" w:cs="Arial"/>
                <w:sz w:val="16"/>
                <w:szCs w:val="16"/>
              </w:rPr>
              <w:t>4,655</w:t>
            </w:r>
            <w:r w:rsidR="004656EB" w:rsidRPr="001D26AC">
              <w:rPr>
                <w:rFonts w:ascii="Arial" w:hAnsi="Arial" w:cs="Arial"/>
                <w:sz w:val="16"/>
                <w:szCs w:val="16"/>
              </w:rPr>
              <w:t xml:space="preserve"> </w:t>
            </w:r>
          </w:p>
        </w:tc>
        <w:tc>
          <w:tcPr>
            <w:tcW w:w="947" w:type="dxa"/>
            <w:tcBorders>
              <w:top w:val="nil"/>
              <w:left w:val="nil"/>
              <w:right w:val="nil"/>
            </w:tcBorders>
            <w:shd w:val="clear" w:color="auto" w:fill="auto"/>
            <w:noWrap/>
            <w:vAlign w:val="bottom"/>
            <w:hideMark/>
          </w:tcPr>
          <w:p w14:paraId="6A4C828F" w14:textId="7A42BAF6" w:rsidR="004656EB" w:rsidRPr="001D26AC" w:rsidRDefault="00C02E56" w:rsidP="004656EB">
            <w:pPr>
              <w:spacing w:after="0" w:line="240" w:lineRule="auto"/>
              <w:jc w:val="right"/>
              <w:rPr>
                <w:rFonts w:ascii="Arial" w:hAnsi="Arial" w:cs="Arial"/>
                <w:sz w:val="16"/>
                <w:szCs w:val="16"/>
                <w:highlight w:val="yellow"/>
              </w:rPr>
            </w:pPr>
            <w:r w:rsidRPr="001D26AC">
              <w:rPr>
                <w:rFonts w:ascii="Arial" w:hAnsi="Arial" w:cs="Arial"/>
                <w:sz w:val="16"/>
                <w:szCs w:val="16"/>
              </w:rPr>
              <w:t>1,499</w:t>
            </w:r>
            <w:r w:rsidR="004656EB" w:rsidRPr="001D26AC">
              <w:rPr>
                <w:rFonts w:ascii="Arial" w:hAnsi="Arial" w:cs="Arial"/>
                <w:sz w:val="16"/>
                <w:szCs w:val="16"/>
              </w:rPr>
              <w:t xml:space="preserve"> </w:t>
            </w:r>
          </w:p>
        </w:tc>
      </w:tr>
      <w:tr w:rsidR="004656EB" w:rsidRPr="001D26AC" w14:paraId="66DD7E6C" w14:textId="77777777" w:rsidTr="001D26AC">
        <w:trPr>
          <w:trHeight w:val="204"/>
        </w:trPr>
        <w:tc>
          <w:tcPr>
            <w:tcW w:w="2835" w:type="dxa"/>
            <w:tcBorders>
              <w:top w:val="nil"/>
              <w:left w:val="nil"/>
              <w:bottom w:val="single" w:sz="4" w:space="0" w:color="auto"/>
              <w:right w:val="nil"/>
            </w:tcBorders>
            <w:shd w:val="clear" w:color="auto" w:fill="auto"/>
            <w:noWrap/>
            <w:vAlign w:val="bottom"/>
            <w:hideMark/>
          </w:tcPr>
          <w:p w14:paraId="004E505D" w14:textId="365E88C1" w:rsidR="004656EB" w:rsidRPr="001D26AC" w:rsidRDefault="004656EB" w:rsidP="004656EB">
            <w:pPr>
              <w:spacing w:after="0" w:line="240" w:lineRule="auto"/>
              <w:ind w:left="113"/>
              <w:jc w:val="left"/>
              <w:rPr>
                <w:rFonts w:ascii="Arial" w:hAnsi="Arial" w:cs="Arial"/>
                <w:b/>
                <w:bCs/>
                <w:sz w:val="16"/>
                <w:szCs w:val="16"/>
              </w:rPr>
            </w:pPr>
            <w:r w:rsidRPr="001D26AC">
              <w:rPr>
                <w:rFonts w:ascii="Arial" w:hAnsi="Arial" w:cs="Arial"/>
                <w:b/>
                <w:bCs/>
                <w:sz w:val="16"/>
                <w:szCs w:val="16"/>
              </w:rPr>
              <w:t xml:space="preserve">Total </w:t>
            </w:r>
            <w:r w:rsidRPr="001D26AC">
              <w:rPr>
                <w:rFonts w:ascii="Arial" w:hAnsi="Arial" w:cs="Arial"/>
                <w:b/>
                <w:bCs/>
                <w:sz w:val="16"/>
                <w:szCs w:val="16"/>
                <w:vertAlign w:val="superscript"/>
              </w:rPr>
              <w:t>(a)</w:t>
            </w:r>
          </w:p>
        </w:tc>
        <w:tc>
          <w:tcPr>
            <w:tcW w:w="882" w:type="dxa"/>
            <w:tcBorders>
              <w:top w:val="nil"/>
              <w:left w:val="nil"/>
              <w:bottom w:val="single" w:sz="4" w:space="0" w:color="auto"/>
              <w:right w:val="nil"/>
            </w:tcBorders>
            <w:shd w:val="clear" w:color="auto" w:fill="auto"/>
            <w:noWrap/>
            <w:vAlign w:val="bottom"/>
            <w:hideMark/>
          </w:tcPr>
          <w:p w14:paraId="576DC04C" w14:textId="77777777" w:rsidR="004656EB" w:rsidRPr="001D26AC" w:rsidRDefault="004656EB" w:rsidP="004656EB">
            <w:pPr>
              <w:spacing w:after="0" w:line="240" w:lineRule="auto"/>
              <w:ind w:firstLineChars="100" w:firstLine="160"/>
              <w:jc w:val="right"/>
              <w:rPr>
                <w:rFonts w:ascii="Arial" w:hAnsi="Arial" w:cs="Arial"/>
                <w:b/>
                <w:bCs/>
                <w:sz w:val="16"/>
                <w:szCs w:val="16"/>
              </w:rPr>
            </w:pPr>
          </w:p>
        </w:tc>
        <w:tc>
          <w:tcPr>
            <w:tcW w:w="979" w:type="dxa"/>
            <w:tcBorders>
              <w:top w:val="nil"/>
              <w:left w:val="nil"/>
              <w:bottom w:val="single" w:sz="4" w:space="0" w:color="auto"/>
              <w:right w:val="nil"/>
            </w:tcBorders>
            <w:shd w:val="clear" w:color="auto" w:fill="E6E6E6"/>
            <w:noWrap/>
            <w:vAlign w:val="bottom"/>
            <w:hideMark/>
          </w:tcPr>
          <w:p w14:paraId="28770C83" w14:textId="5801BB88" w:rsidR="004656EB" w:rsidRPr="001D26AC" w:rsidRDefault="00C02E56" w:rsidP="004656EB">
            <w:pPr>
              <w:spacing w:after="0" w:line="240" w:lineRule="auto"/>
              <w:jc w:val="right"/>
              <w:rPr>
                <w:rFonts w:ascii="Arial" w:hAnsi="Arial" w:cs="Arial"/>
                <w:b/>
                <w:bCs/>
                <w:sz w:val="16"/>
                <w:szCs w:val="16"/>
                <w:highlight w:val="yellow"/>
              </w:rPr>
            </w:pPr>
            <w:r w:rsidRPr="001D26AC">
              <w:rPr>
                <w:rFonts w:ascii="Arial" w:hAnsi="Arial" w:cs="Arial"/>
                <w:b/>
                <w:bCs/>
                <w:sz w:val="16"/>
                <w:szCs w:val="16"/>
              </w:rPr>
              <w:t>78,556</w:t>
            </w:r>
            <w:r w:rsidR="004656EB" w:rsidRPr="001D26AC">
              <w:rPr>
                <w:rFonts w:ascii="Arial" w:hAnsi="Arial" w:cs="Arial"/>
                <w:b/>
                <w:bCs/>
                <w:sz w:val="16"/>
                <w:szCs w:val="16"/>
              </w:rPr>
              <w:t xml:space="preserve"> </w:t>
            </w:r>
          </w:p>
        </w:tc>
        <w:tc>
          <w:tcPr>
            <w:tcW w:w="941" w:type="dxa"/>
            <w:tcBorders>
              <w:top w:val="nil"/>
              <w:left w:val="nil"/>
              <w:bottom w:val="single" w:sz="4" w:space="0" w:color="auto"/>
              <w:right w:val="nil"/>
            </w:tcBorders>
            <w:shd w:val="clear" w:color="auto" w:fill="auto"/>
            <w:noWrap/>
            <w:vAlign w:val="bottom"/>
            <w:hideMark/>
          </w:tcPr>
          <w:p w14:paraId="7A27CAD6" w14:textId="59215FE3" w:rsidR="004656EB" w:rsidRPr="001D26AC" w:rsidRDefault="00C02E56" w:rsidP="004656EB">
            <w:pPr>
              <w:spacing w:after="0" w:line="240" w:lineRule="auto"/>
              <w:jc w:val="right"/>
              <w:rPr>
                <w:rFonts w:ascii="Arial" w:hAnsi="Arial" w:cs="Arial"/>
                <w:b/>
                <w:bCs/>
                <w:sz w:val="16"/>
                <w:szCs w:val="16"/>
                <w:highlight w:val="yellow"/>
              </w:rPr>
            </w:pPr>
            <w:r w:rsidRPr="001D26AC">
              <w:rPr>
                <w:rFonts w:ascii="Arial" w:hAnsi="Arial" w:cs="Arial"/>
                <w:b/>
                <w:bCs/>
                <w:sz w:val="16"/>
                <w:szCs w:val="16"/>
              </w:rPr>
              <w:t>122,105</w:t>
            </w:r>
            <w:r w:rsidR="004656EB" w:rsidRPr="001D26AC">
              <w:rPr>
                <w:rFonts w:ascii="Arial" w:hAnsi="Arial" w:cs="Arial"/>
                <w:b/>
                <w:bCs/>
                <w:sz w:val="16"/>
                <w:szCs w:val="16"/>
              </w:rPr>
              <w:t xml:space="preserve"> </w:t>
            </w:r>
          </w:p>
        </w:tc>
        <w:tc>
          <w:tcPr>
            <w:tcW w:w="996" w:type="dxa"/>
            <w:tcBorders>
              <w:top w:val="nil"/>
              <w:left w:val="nil"/>
              <w:bottom w:val="single" w:sz="4" w:space="0" w:color="auto"/>
              <w:right w:val="nil"/>
            </w:tcBorders>
            <w:shd w:val="clear" w:color="auto" w:fill="E6E6E6"/>
            <w:noWrap/>
            <w:vAlign w:val="bottom"/>
            <w:hideMark/>
          </w:tcPr>
          <w:p w14:paraId="639D7E5C" w14:textId="50D1205D" w:rsidR="004656EB" w:rsidRPr="001D26AC" w:rsidRDefault="00C02E56" w:rsidP="004656EB">
            <w:pPr>
              <w:spacing w:after="0" w:line="240" w:lineRule="auto"/>
              <w:jc w:val="right"/>
              <w:rPr>
                <w:rFonts w:ascii="Arial" w:hAnsi="Arial" w:cs="Arial"/>
                <w:b/>
                <w:bCs/>
                <w:sz w:val="16"/>
                <w:szCs w:val="16"/>
                <w:highlight w:val="yellow"/>
              </w:rPr>
            </w:pPr>
            <w:r w:rsidRPr="001D26AC">
              <w:rPr>
                <w:rFonts w:ascii="Arial" w:hAnsi="Arial" w:cs="Arial"/>
                <w:b/>
                <w:bCs/>
                <w:sz w:val="16"/>
                <w:szCs w:val="16"/>
              </w:rPr>
              <w:t>96,034</w:t>
            </w:r>
            <w:r w:rsidR="004656EB" w:rsidRPr="001D26AC">
              <w:rPr>
                <w:rFonts w:ascii="Arial" w:hAnsi="Arial" w:cs="Arial"/>
                <w:b/>
                <w:bCs/>
                <w:sz w:val="16"/>
                <w:szCs w:val="16"/>
              </w:rPr>
              <w:t xml:space="preserve"> </w:t>
            </w:r>
          </w:p>
        </w:tc>
        <w:tc>
          <w:tcPr>
            <w:tcW w:w="947" w:type="dxa"/>
            <w:tcBorders>
              <w:top w:val="nil"/>
              <w:left w:val="nil"/>
              <w:bottom w:val="single" w:sz="4" w:space="0" w:color="auto"/>
              <w:right w:val="nil"/>
            </w:tcBorders>
            <w:shd w:val="clear" w:color="auto" w:fill="auto"/>
            <w:noWrap/>
            <w:vAlign w:val="bottom"/>
            <w:hideMark/>
          </w:tcPr>
          <w:p w14:paraId="2C056AC3" w14:textId="4E467E9F" w:rsidR="004656EB" w:rsidRPr="001D26AC" w:rsidRDefault="00C02E56" w:rsidP="004656EB">
            <w:pPr>
              <w:spacing w:after="0" w:line="240" w:lineRule="auto"/>
              <w:jc w:val="right"/>
              <w:rPr>
                <w:rFonts w:ascii="Arial" w:hAnsi="Arial" w:cs="Arial"/>
                <w:b/>
                <w:bCs/>
                <w:sz w:val="16"/>
                <w:szCs w:val="16"/>
                <w:highlight w:val="yellow"/>
              </w:rPr>
            </w:pPr>
            <w:r w:rsidRPr="001D26AC">
              <w:rPr>
                <w:rFonts w:ascii="Arial" w:hAnsi="Arial" w:cs="Arial"/>
                <w:b/>
                <w:bCs/>
                <w:sz w:val="16"/>
                <w:szCs w:val="16"/>
              </w:rPr>
              <w:t>33,926</w:t>
            </w:r>
            <w:r w:rsidR="004656EB" w:rsidRPr="001D26AC">
              <w:rPr>
                <w:rFonts w:ascii="Arial" w:hAnsi="Arial" w:cs="Arial"/>
                <w:b/>
                <w:bCs/>
                <w:sz w:val="16"/>
                <w:szCs w:val="16"/>
              </w:rPr>
              <w:t xml:space="preserve"> </w:t>
            </w:r>
          </w:p>
        </w:tc>
      </w:tr>
    </w:tbl>
    <w:p w14:paraId="545F2CB0" w14:textId="1ED3116A" w:rsidR="0073762B" w:rsidRDefault="008846DB" w:rsidP="00D54D63">
      <w:pPr>
        <w:pStyle w:val="Source"/>
        <w:spacing w:before="60"/>
      </w:pPr>
      <w:bookmarkStart w:id="206" w:name="OLE_LINK2"/>
      <w:r w:rsidRPr="00643B7D">
        <w:t>Prepared on a Government Financial Statistics (</w:t>
      </w:r>
      <w:r w:rsidR="00654B5B">
        <w:t>Underlying Cash</w:t>
      </w:r>
      <w:r w:rsidRPr="00643B7D">
        <w:t>) basis</w:t>
      </w:r>
      <w:r w:rsidR="00136507">
        <w:t>.</w:t>
      </w:r>
      <w:r w:rsidR="00654B5B">
        <w:t xml:space="preserve"> Fi</w:t>
      </w:r>
      <w:r w:rsidR="00B45396">
        <w:t>gures displayed as a negative (</w:t>
      </w:r>
      <w:r w:rsidR="00B45396">
        <w:noBreakHyphen/>
        <w:t>)</w:t>
      </w:r>
      <w:r w:rsidR="00654B5B">
        <w:t xml:space="preserve"> represent a decrease in funds and a positive (+) represent an increase in funds</w:t>
      </w:r>
      <w:bookmarkEnd w:id="206"/>
      <w:r w:rsidR="00EF0627">
        <w:t>.</w:t>
      </w:r>
    </w:p>
    <w:p w14:paraId="7714EC18" w14:textId="77777777" w:rsidR="005615BC" w:rsidRDefault="00EF48BF" w:rsidP="005615BC">
      <w:pPr>
        <w:pStyle w:val="ChartandTableFootnote"/>
        <w:numPr>
          <w:ilvl w:val="0"/>
          <w:numId w:val="51"/>
        </w:numPr>
        <w:tabs>
          <w:tab w:val="clear" w:pos="454"/>
          <w:tab w:val="left" w:pos="284"/>
        </w:tabs>
        <w:jc w:val="left"/>
        <w:rPr>
          <w:rFonts w:cs="Arial"/>
          <w:szCs w:val="16"/>
        </w:rPr>
      </w:pPr>
      <w:r>
        <w:rPr>
          <w:rFonts w:cs="Arial"/>
          <w:szCs w:val="16"/>
        </w:rPr>
        <w:t>‘</w:t>
      </w:r>
      <w:proofErr w:type="spellStart"/>
      <w:proofErr w:type="gramStart"/>
      <w:r>
        <w:rPr>
          <w:rFonts w:cs="Arial"/>
          <w:szCs w:val="16"/>
        </w:rPr>
        <w:t>nfp</w:t>
      </w:r>
      <w:proofErr w:type="spellEnd"/>
      <w:proofErr w:type="gramEnd"/>
      <w:r>
        <w:rPr>
          <w:rFonts w:cs="Arial"/>
          <w:szCs w:val="16"/>
        </w:rPr>
        <w:t>’ figures are not for publication due to commercial sensitivities and are not included in totals.</w:t>
      </w:r>
    </w:p>
    <w:p w14:paraId="106C210F" w14:textId="655B3534" w:rsidR="005615BC" w:rsidRPr="005615BC" w:rsidRDefault="005615BC" w:rsidP="005615BC">
      <w:pPr>
        <w:pStyle w:val="ChartandTableFootnote"/>
        <w:numPr>
          <w:ilvl w:val="0"/>
          <w:numId w:val="51"/>
        </w:numPr>
        <w:tabs>
          <w:tab w:val="clear" w:pos="454"/>
          <w:tab w:val="left" w:pos="284"/>
        </w:tabs>
        <w:ind w:left="284" w:hanging="284"/>
        <w:jc w:val="left"/>
        <w:rPr>
          <w:rFonts w:cs="Arial"/>
          <w:szCs w:val="16"/>
        </w:rPr>
      </w:pPr>
      <w:r w:rsidRPr="005615BC">
        <w:rPr>
          <w:rFonts w:cs="Arial"/>
          <w:color w:val="000000"/>
          <w:szCs w:val="16"/>
          <w:lang w:eastAsia="x-none"/>
        </w:rPr>
        <w:t>Measure relates to a decision announced after the 2021-22 Mid-Year Economic and Fiscal Outlook (MYEFO) statement.</w:t>
      </w:r>
    </w:p>
    <w:p w14:paraId="40D8FE99" w14:textId="77777777" w:rsidR="005615BC" w:rsidRPr="005615BC" w:rsidRDefault="005615BC" w:rsidP="005615BC"/>
    <w:p w14:paraId="7D9CCC41" w14:textId="77777777" w:rsidR="00EF48BF" w:rsidRDefault="00EF48BF" w:rsidP="00D54D63">
      <w:pPr>
        <w:pStyle w:val="Source"/>
        <w:spacing w:before="60"/>
      </w:pPr>
    </w:p>
    <w:p w14:paraId="0432DA70" w14:textId="77777777" w:rsidR="00F51DAC" w:rsidRPr="001E1BB6" w:rsidRDefault="00693269" w:rsidP="008F6E4B">
      <w:pPr>
        <w:pStyle w:val="Heading3DITRDC"/>
        <w:rPr>
          <w:lang w:val="en-AU"/>
        </w:rPr>
      </w:pPr>
      <w:r>
        <w:br w:type="page"/>
      </w:r>
      <w:bookmarkStart w:id="207" w:name="_Toc531095065"/>
      <w:bookmarkStart w:id="208" w:name="_Toc92992110"/>
      <w:bookmarkStart w:id="209" w:name="_Toc93405035"/>
      <w:bookmarkStart w:id="210" w:name="_Toc94854640"/>
      <w:r w:rsidR="000B5844">
        <w:lastRenderedPageBreak/>
        <w:t>1.4</w:t>
      </w:r>
      <w:r w:rsidR="000B5844">
        <w:tab/>
        <w:t xml:space="preserve">Additional </w:t>
      </w:r>
      <w:r w:rsidR="000D06B5">
        <w:t>estimates</w:t>
      </w:r>
      <w:r w:rsidR="001E1BB6">
        <w:rPr>
          <w:lang w:val="en-AU"/>
        </w:rPr>
        <w:t>, resourcing</w:t>
      </w:r>
      <w:r w:rsidR="000D06B5">
        <w:t xml:space="preserve"> </w:t>
      </w:r>
      <w:r w:rsidR="000B5844">
        <w:t>and v</w:t>
      </w:r>
      <w:r w:rsidR="00F51DAC" w:rsidRPr="00597122">
        <w:t>ariations</w:t>
      </w:r>
      <w:r w:rsidR="001E1BB6">
        <w:rPr>
          <w:lang w:val="en-AU"/>
        </w:rPr>
        <w:t xml:space="preserve"> to outcomes</w:t>
      </w:r>
      <w:bookmarkEnd w:id="207"/>
      <w:bookmarkEnd w:id="208"/>
      <w:bookmarkEnd w:id="209"/>
      <w:bookmarkEnd w:id="210"/>
    </w:p>
    <w:p w14:paraId="2DF2B0F0" w14:textId="3AD9CFAF" w:rsidR="00F51DAC" w:rsidRPr="00A533E5" w:rsidRDefault="00F51DAC" w:rsidP="00B40A5F">
      <w:pPr>
        <w:spacing w:after="120" w:line="240" w:lineRule="auto"/>
        <w:jc w:val="left"/>
      </w:pPr>
      <w:r>
        <w:t>The following table detail</w:t>
      </w:r>
      <w:r w:rsidR="003101EC">
        <w:t>s</w:t>
      </w:r>
      <w:r>
        <w:t xml:space="preserve"> the changes to the resourcing for </w:t>
      </w:r>
      <w:r w:rsidR="00D32752">
        <w:t xml:space="preserve">the </w:t>
      </w:r>
      <w:r w:rsidR="008863D9">
        <w:t>Department</w:t>
      </w:r>
      <w:r>
        <w:t xml:space="preserve"> at Additional Estimates, by outcome</w:t>
      </w:r>
      <w:r w:rsidR="00E15CF3">
        <w:t xml:space="preserve">. </w:t>
      </w:r>
      <w:r>
        <w:t xml:space="preserve">Table 1.3 details the Additional Estimates resulting from </w:t>
      </w:r>
      <w:r w:rsidRPr="00C73746">
        <w:t>new</w:t>
      </w:r>
      <w:r>
        <w:t xml:space="preserve"> measures </w:t>
      </w:r>
      <w:r w:rsidR="00541613">
        <w:t xml:space="preserve">and other variations </w:t>
      </w:r>
      <w:r>
        <w:t xml:space="preserve">since the </w:t>
      </w:r>
      <w:r w:rsidR="00A411EE">
        <w:t>2021</w:t>
      </w:r>
      <w:r w:rsidR="00A920F2">
        <w:t>-</w:t>
      </w:r>
      <w:r w:rsidR="00A411EE">
        <w:t xml:space="preserve">22 </w:t>
      </w:r>
      <w:r>
        <w:t xml:space="preserve">Budget </w:t>
      </w:r>
      <w:r w:rsidRPr="00A533E5">
        <w:t>in Appropriation Bills No</w:t>
      </w:r>
      <w:r w:rsidR="007644BB" w:rsidRPr="00A533E5">
        <w:t>s</w:t>
      </w:r>
      <w:r w:rsidRPr="00A533E5">
        <w:t>.</w:t>
      </w:r>
      <w:r w:rsidR="00BF696F" w:rsidRPr="00A533E5">
        <w:t xml:space="preserve"> </w:t>
      </w:r>
      <w:r w:rsidRPr="00A533E5">
        <w:t xml:space="preserve">3 </w:t>
      </w:r>
      <w:r w:rsidR="001A1C55" w:rsidRPr="00A533E5">
        <w:t>and</w:t>
      </w:r>
      <w:r w:rsidR="00A533E5">
        <w:t xml:space="preserve"> </w:t>
      </w:r>
      <w:r w:rsidRPr="00A533E5">
        <w:t>4</w:t>
      </w:r>
      <w:r w:rsidR="00F045E6" w:rsidRPr="00A533E5">
        <w:t>.</w:t>
      </w:r>
    </w:p>
    <w:p w14:paraId="527AAE25" w14:textId="544BA566" w:rsidR="00F51DAC" w:rsidRDefault="00F51DAC" w:rsidP="00B40A5F">
      <w:pPr>
        <w:pStyle w:val="TableHeading"/>
        <w:spacing w:before="240"/>
      </w:pPr>
      <w:r w:rsidRPr="00897F19">
        <w:t xml:space="preserve">Table 1.3: Additional </w:t>
      </w:r>
      <w:r w:rsidR="00447FEF" w:rsidRPr="00897F19">
        <w:t>estimates</w:t>
      </w:r>
      <w:r w:rsidR="00F95E91" w:rsidRPr="00897F19">
        <w:rPr>
          <w:lang w:val="en-AU"/>
        </w:rPr>
        <w:t xml:space="preserve"> </w:t>
      </w:r>
      <w:r w:rsidRPr="00897F19">
        <w:t xml:space="preserve">and </w:t>
      </w:r>
      <w:r w:rsidR="00F95E91" w:rsidRPr="00897F19">
        <w:rPr>
          <w:lang w:val="en-AU"/>
        </w:rPr>
        <w:t xml:space="preserve">other </w:t>
      </w:r>
      <w:r w:rsidR="00447FEF" w:rsidRPr="00897F19">
        <w:t xml:space="preserve">variations </w:t>
      </w:r>
      <w:r w:rsidRPr="00897F19">
        <w:t xml:space="preserve">to </w:t>
      </w:r>
      <w:r w:rsidR="00447FEF" w:rsidRPr="00897F19">
        <w:t xml:space="preserve">outcomes </w:t>
      </w:r>
      <w:r w:rsidRPr="00897F19">
        <w:t xml:space="preserve">since </w:t>
      </w:r>
      <w:r w:rsidR="00A411EE" w:rsidRPr="00897F19">
        <w:rPr>
          <w:lang w:val="en-AU"/>
        </w:rPr>
        <w:t>2021</w:t>
      </w:r>
      <w:r w:rsidR="00A920F2" w:rsidRPr="00897F19">
        <w:rPr>
          <w:lang w:val="en-AU"/>
        </w:rPr>
        <w:t>-</w:t>
      </w:r>
      <w:r w:rsidR="00A411EE" w:rsidRPr="00897F19">
        <w:rPr>
          <w:lang w:val="en-AU"/>
        </w:rPr>
        <w:t>22</w:t>
      </w:r>
      <w:r w:rsidR="00A411EE" w:rsidRPr="00897F19">
        <w:t xml:space="preserve"> </w:t>
      </w:r>
      <w:r w:rsidRPr="00897F19">
        <w:t>Budget</w:t>
      </w:r>
    </w:p>
    <w:tbl>
      <w:tblPr>
        <w:tblW w:w="0" w:type="auto"/>
        <w:tblLayout w:type="fixed"/>
        <w:tblLook w:val="04A0" w:firstRow="1" w:lastRow="0" w:firstColumn="1" w:lastColumn="0" w:noHBand="0" w:noVBand="1"/>
      </w:tblPr>
      <w:tblGrid>
        <w:gridCol w:w="3119"/>
        <w:gridCol w:w="992"/>
        <w:gridCol w:w="851"/>
        <w:gridCol w:w="850"/>
        <w:gridCol w:w="851"/>
        <w:gridCol w:w="850"/>
      </w:tblGrid>
      <w:tr w:rsidR="00B55E61" w:rsidRPr="00B55E61" w14:paraId="5740E938" w14:textId="77777777" w:rsidTr="004F1EFA">
        <w:trPr>
          <w:trHeight w:val="204"/>
        </w:trPr>
        <w:tc>
          <w:tcPr>
            <w:tcW w:w="3119" w:type="dxa"/>
            <w:tcBorders>
              <w:top w:val="single" w:sz="4" w:space="0" w:color="auto"/>
              <w:left w:val="nil"/>
              <w:bottom w:val="nil"/>
              <w:right w:val="nil"/>
            </w:tcBorders>
            <w:shd w:val="clear" w:color="auto" w:fill="auto"/>
            <w:noWrap/>
            <w:vAlign w:val="bottom"/>
            <w:hideMark/>
          </w:tcPr>
          <w:p w14:paraId="3E2731BF" w14:textId="77777777" w:rsidR="00B55E61" w:rsidRPr="00B55E61" w:rsidRDefault="00B55E61" w:rsidP="00B55E61">
            <w:pPr>
              <w:spacing w:after="0" w:line="240" w:lineRule="auto"/>
              <w:jc w:val="left"/>
              <w:rPr>
                <w:rFonts w:ascii="Arial" w:hAnsi="Arial" w:cs="Arial"/>
                <w:sz w:val="16"/>
                <w:szCs w:val="16"/>
              </w:rPr>
            </w:pPr>
            <w:r w:rsidRPr="00B55E61">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00AC3479" w14:textId="4211D42A" w:rsidR="00B55E61" w:rsidRPr="00B55E61" w:rsidRDefault="00B55E61" w:rsidP="00B55E61">
            <w:pPr>
              <w:spacing w:after="0" w:line="240" w:lineRule="auto"/>
              <w:jc w:val="center"/>
              <w:rPr>
                <w:rFonts w:ascii="Arial" w:hAnsi="Arial" w:cs="Arial"/>
                <w:sz w:val="16"/>
                <w:szCs w:val="16"/>
              </w:rPr>
            </w:pPr>
            <w:r w:rsidRPr="00B55E61">
              <w:rPr>
                <w:rFonts w:ascii="Arial" w:hAnsi="Arial" w:cs="Arial"/>
                <w:sz w:val="16"/>
                <w:szCs w:val="16"/>
              </w:rPr>
              <w:t>Program</w:t>
            </w:r>
            <w:r w:rsidR="00EB3776" w:rsidRPr="00B55E61">
              <w:rPr>
                <w:rFonts w:ascii="Arial" w:hAnsi="Arial" w:cs="Arial"/>
                <w:sz w:val="16"/>
                <w:szCs w:val="16"/>
              </w:rPr>
              <w:t xml:space="preserve"> impacted</w:t>
            </w:r>
          </w:p>
        </w:tc>
        <w:tc>
          <w:tcPr>
            <w:tcW w:w="851" w:type="dxa"/>
            <w:tcBorders>
              <w:top w:val="single" w:sz="4" w:space="0" w:color="auto"/>
              <w:left w:val="nil"/>
              <w:bottom w:val="single" w:sz="4" w:space="0" w:color="auto"/>
              <w:right w:val="nil"/>
            </w:tcBorders>
            <w:shd w:val="clear" w:color="000000" w:fill="E6E6E6"/>
            <w:vAlign w:val="bottom"/>
            <w:hideMark/>
          </w:tcPr>
          <w:p w14:paraId="6965AF64" w14:textId="5655DD40" w:rsidR="00B55E61" w:rsidRPr="00B55E61" w:rsidRDefault="00B55E61" w:rsidP="00B55E61">
            <w:pPr>
              <w:spacing w:after="0" w:line="240" w:lineRule="auto"/>
              <w:jc w:val="right"/>
              <w:rPr>
                <w:rFonts w:ascii="Arial" w:hAnsi="Arial" w:cs="Arial"/>
                <w:sz w:val="16"/>
                <w:szCs w:val="16"/>
              </w:rPr>
            </w:pPr>
            <w:r w:rsidRPr="00B55E61">
              <w:rPr>
                <w:rFonts w:ascii="Arial" w:hAnsi="Arial" w:cs="Arial"/>
                <w:sz w:val="16"/>
                <w:szCs w:val="16"/>
              </w:rPr>
              <w:t>2021-22</w:t>
            </w:r>
            <w:r w:rsidR="00EB3776">
              <w:rPr>
                <w:rFonts w:ascii="Arial" w:hAnsi="Arial" w:cs="Arial"/>
                <w:sz w:val="16"/>
                <w:szCs w:val="16"/>
              </w:rPr>
              <w:t xml:space="preserve"> </w:t>
            </w:r>
            <w:r w:rsidR="00EB3776" w:rsidRPr="00B55E61">
              <w:rPr>
                <w:rFonts w:ascii="Arial" w:hAnsi="Arial" w:cs="Arial"/>
                <w:sz w:val="16"/>
                <w:szCs w:val="16"/>
              </w:rPr>
              <w:t>$'000</w:t>
            </w:r>
          </w:p>
        </w:tc>
        <w:tc>
          <w:tcPr>
            <w:tcW w:w="850" w:type="dxa"/>
            <w:tcBorders>
              <w:top w:val="single" w:sz="4" w:space="0" w:color="auto"/>
              <w:left w:val="nil"/>
              <w:bottom w:val="single" w:sz="4" w:space="0" w:color="auto"/>
              <w:right w:val="nil"/>
            </w:tcBorders>
            <w:shd w:val="clear" w:color="auto" w:fill="auto"/>
            <w:vAlign w:val="bottom"/>
            <w:hideMark/>
          </w:tcPr>
          <w:p w14:paraId="7D067A53" w14:textId="69A90464" w:rsidR="00B55E61" w:rsidRPr="00B55E61" w:rsidRDefault="00B55E61" w:rsidP="00B55E61">
            <w:pPr>
              <w:spacing w:after="0" w:line="240" w:lineRule="auto"/>
              <w:jc w:val="right"/>
              <w:rPr>
                <w:rFonts w:ascii="Arial" w:hAnsi="Arial" w:cs="Arial"/>
                <w:sz w:val="16"/>
                <w:szCs w:val="16"/>
              </w:rPr>
            </w:pPr>
            <w:r w:rsidRPr="00B55E61">
              <w:rPr>
                <w:rFonts w:ascii="Arial" w:hAnsi="Arial" w:cs="Arial"/>
                <w:sz w:val="16"/>
                <w:szCs w:val="16"/>
              </w:rPr>
              <w:t>2022-23</w:t>
            </w:r>
            <w:r w:rsidR="00EB3776">
              <w:rPr>
                <w:rFonts w:ascii="Arial" w:hAnsi="Arial" w:cs="Arial"/>
                <w:sz w:val="16"/>
                <w:szCs w:val="16"/>
              </w:rPr>
              <w:t xml:space="preserve"> </w:t>
            </w:r>
            <w:r w:rsidR="00EB3776" w:rsidRPr="00B55E61">
              <w:rPr>
                <w:rFonts w:ascii="Arial" w:hAnsi="Arial" w:cs="Arial"/>
                <w:sz w:val="16"/>
                <w:szCs w:val="16"/>
              </w:rPr>
              <w:t>$'000</w:t>
            </w:r>
          </w:p>
        </w:tc>
        <w:tc>
          <w:tcPr>
            <w:tcW w:w="851" w:type="dxa"/>
            <w:tcBorders>
              <w:top w:val="single" w:sz="4" w:space="0" w:color="auto"/>
              <w:left w:val="nil"/>
              <w:bottom w:val="single" w:sz="4" w:space="0" w:color="auto"/>
              <w:right w:val="nil"/>
            </w:tcBorders>
            <w:shd w:val="clear" w:color="auto" w:fill="auto"/>
            <w:vAlign w:val="bottom"/>
            <w:hideMark/>
          </w:tcPr>
          <w:p w14:paraId="7C8FB623" w14:textId="68D44190" w:rsidR="00B55E61" w:rsidRPr="00B55E61" w:rsidRDefault="00B55E61" w:rsidP="00B55E61">
            <w:pPr>
              <w:spacing w:after="0" w:line="240" w:lineRule="auto"/>
              <w:jc w:val="right"/>
              <w:rPr>
                <w:rFonts w:ascii="Arial" w:hAnsi="Arial" w:cs="Arial"/>
                <w:sz w:val="16"/>
                <w:szCs w:val="16"/>
              </w:rPr>
            </w:pPr>
            <w:r w:rsidRPr="00B55E61">
              <w:rPr>
                <w:rFonts w:ascii="Arial" w:hAnsi="Arial" w:cs="Arial"/>
                <w:sz w:val="16"/>
                <w:szCs w:val="16"/>
              </w:rPr>
              <w:t>2023-24</w:t>
            </w:r>
            <w:r w:rsidR="00EB3776">
              <w:rPr>
                <w:rFonts w:ascii="Arial" w:hAnsi="Arial" w:cs="Arial"/>
                <w:sz w:val="16"/>
                <w:szCs w:val="16"/>
              </w:rPr>
              <w:t xml:space="preserve"> </w:t>
            </w:r>
            <w:r w:rsidR="00EB3776" w:rsidRPr="00B55E61">
              <w:rPr>
                <w:rFonts w:ascii="Arial" w:hAnsi="Arial" w:cs="Arial"/>
                <w:sz w:val="16"/>
                <w:szCs w:val="16"/>
              </w:rPr>
              <w:t>$'000</w:t>
            </w:r>
          </w:p>
        </w:tc>
        <w:tc>
          <w:tcPr>
            <w:tcW w:w="850" w:type="dxa"/>
            <w:tcBorders>
              <w:top w:val="single" w:sz="4" w:space="0" w:color="auto"/>
              <w:left w:val="nil"/>
              <w:bottom w:val="single" w:sz="4" w:space="0" w:color="auto"/>
              <w:right w:val="nil"/>
            </w:tcBorders>
            <w:shd w:val="clear" w:color="auto" w:fill="auto"/>
            <w:vAlign w:val="bottom"/>
            <w:hideMark/>
          </w:tcPr>
          <w:p w14:paraId="304B63D0" w14:textId="2EBF07EA" w:rsidR="00B55E61" w:rsidRPr="00B55E61" w:rsidRDefault="00B55E61" w:rsidP="00B55E61">
            <w:pPr>
              <w:spacing w:after="0" w:line="240" w:lineRule="auto"/>
              <w:jc w:val="right"/>
              <w:rPr>
                <w:rFonts w:ascii="Arial" w:hAnsi="Arial" w:cs="Arial"/>
                <w:sz w:val="16"/>
                <w:szCs w:val="16"/>
              </w:rPr>
            </w:pPr>
            <w:r w:rsidRPr="00B55E61">
              <w:rPr>
                <w:rFonts w:ascii="Arial" w:hAnsi="Arial" w:cs="Arial"/>
                <w:sz w:val="16"/>
                <w:szCs w:val="16"/>
              </w:rPr>
              <w:t>2024-25</w:t>
            </w:r>
            <w:r w:rsidR="00EB3776">
              <w:rPr>
                <w:rFonts w:ascii="Arial" w:hAnsi="Arial" w:cs="Arial"/>
                <w:sz w:val="16"/>
                <w:szCs w:val="16"/>
              </w:rPr>
              <w:t xml:space="preserve"> </w:t>
            </w:r>
            <w:r w:rsidR="00EB3776" w:rsidRPr="00B55E61">
              <w:rPr>
                <w:rFonts w:ascii="Arial" w:hAnsi="Arial" w:cs="Arial"/>
                <w:sz w:val="16"/>
                <w:szCs w:val="16"/>
              </w:rPr>
              <w:t>$'000</w:t>
            </w:r>
          </w:p>
        </w:tc>
      </w:tr>
      <w:tr w:rsidR="00B55E61" w:rsidRPr="00B55E61" w14:paraId="06ED9DC3" w14:textId="77777777" w:rsidTr="004F1EFA">
        <w:trPr>
          <w:trHeight w:val="204"/>
        </w:trPr>
        <w:tc>
          <w:tcPr>
            <w:tcW w:w="3119" w:type="dxa"/>
            <w:tcBorders>
              <w:top w:val="nil"/>
              <w:left w:val="nil"/>
              <w:bottom w:val="nil"/>
              <w:right w:val="nil"/>
            </w:tcBorders>
            <w:shd w:val="clear" w:color="auto" w:fill="auto"/>
            <w:noWrap/>
            <w:vAlign w:val="bottom"/>
            <w:hideMark/>
          </w:tcPr>
          <w:p w14:paraId="22BF75E6" w14:textId="77777777" w:rsidR="00B55E61" w:rsidRPr="00B55E61" w:rsidRDefault="00B55E61" w:rsidP="00B55E61">
            <w:pPr>
              <w:spacing w:after="0" w:line="240" w:lineRule="auto"/>
              <w:jc w:val="left"/>
              <w:rPr>
                <w:rFonts w:ascii="Arial" w:hAnsi="Arial" w:cs="Arial"/>
                <w:b/>
                <w:bCs/>
                <w:sz w:val="16"/>
                <w:szCs w:val="16"/>
              </w:rPr>
            </w:pPr>
            <w:r w:rsidRPr="00B55E61">
              <w:rPr>
                <w:rFonts w:ascii="Arial" w:hAnsi="Arial" w:cs="Arial"/>
                <w:b/>
                <w:bCs/>
                <w:sz w:val="16"/>
                <w:szCs w:val="16"/>
              </w:rPr>
              <w:t>Outcome 1</w:t>
            </w:r>
          </w:p>
        </w:tc>
        <w:tc>
          <w:tcPr>
            <w:tcW w:w="992" w:type="dxa"/>
            <w:tcBorders>
              <w:top w:val="single" w:sz="4" w:space="0" w:color="auto"/>
              <w:left w:val="nil"/>
              <w:bottom w:val="nil"/>
              <w:right w:val="nil"/>
            </w:tcBorders>
            <w:shd w:val="clear" w:color="auto" w:fill="auto"/>
            <w:noWrap/>
            <w:vAlign w:val="bottom"/>
            <w:hideMark/>
          </w:tcPr>
          <w:p w14:paraId="261AB95F" w14:textId="77777777" w:rsidR="00B55E61" w:rsidRPr="000025D5" w:rsidRDefault="00B55E61" w:rsidP="000025D5">
            <w:pPr>
              <w:spacing w:after="0" w:line="240" w:lineRule="auto"/>
              <w:jc w:val="right"/>
              <w:rPr>
                <w:rFonts w:ascii="Arial" w:hAnsi="Arial" w:cs="Arial"/>
                <w:b/>
                <w:bCs/>
                <w:sz w:val="16"/>
                <w:szCs w:val="16"/>
              </w:rPr>
            </w:pPr>
          </w:p>
        </w:tc>
        <w:tc>
          <w:tcPr>
            <w:tcW w:w="851" w:type="dxa"/>
            <w:tcBorders>
              <w:top w:val="single" w:sz="4" w:space="0" w:color="auto"/>
              <w:left w:val="nil"/>
              <w:bottom w:val="nil"/>
              <w:right w:val="nil"/>
            </w:tcBorders>
            <w:shd w:val="clear" w:color="000000" w:fill="E6E6E6"/>
            <w:noWrap/>
            <w:vAlign w:val="bottom"/>
            <w:hideMark/>
          </w:tcPr>
          <w:p w14:paraId="6A46298E" w14:textId="66E7111E" w:rsidR="00B55E61" w:rsidRPr="000025D5" w:rsidRDefault="00B55E61" w:rsidP="000025D5">
            <w:pPr>
              <w:spacing w:after="0" w:line="240" w:lineRule="auto"/>
              <w:jc w:val="right"/>
              <w:rPr>
                <w:rFonts w:ascii="Arial" w:hAnsi="Arial" w:cs="Arial"/>
                <w:sz w:val="16"/>
                <w:szCs w:val="16"/>
              </w:rPr>
            </w:pPr>
          </w:p>
        </w:tc>
        <w:tc>
          <w:tcPr>
            <w:tcW w:w="850" w:type="dxa"/>
            <w:tcBorders>
              <w:top w:val="single" w:sz="4" w:space="0" w:color="auto"/>
              <w:left w:val="nil"/>
              <w:bottom w:val="nil"/>
              <w:right w:val="nil"/>
            </w:tcBorders>
            <w:shd w:val="clear" w:color="auto" w:fill="auto"/>
            <w:noWrap/>
            <w:vAlign w:val="bottom"/>
            <w:hideMark/>
          </w:tcPr>
          <w:p w14:paraId="20B527B2" w14:textId="77777777" w:rsidR="00B55E61" w:rsidRPr="000025D5" w:rsidRDefault="00B55E61" w:rsidP="000025D5">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auto" w:fill="auto"/>
            <w:noWrap/>
            <w:vAlign w:val="bottom"/>
            <w:hideMark/>
          </w:tcPr>
          <w:p w14:paraId="60C09BD9" w14:textId="77777777" w:rsidR="00B55E61" w:rsidRPr="000025D5" w:rsidRDefault="00B55E61" w:rsidP="000025D5">
            <w:pPr>
              <w:spacing w:after="0" w:line="240" w:lineRule="auto"/>
              <w:jc w:val="right"/>
              <w:rPr>
                <w:rFonts w:ascii="Times New Roman" w:hAnsi="Times New Roman"/>
                <w:sz w:val="16"/>
                <w:szCs w:val="16"/>
              </w:rPr>
            </w:pPr>
          </w:p>
        </w:tc>
        <w:tc>
          <w:tcPr>
            <w:tcW w:w="850" w:type="dxa"/>
            <w:tcBorders>
              <w:top w:val="single" w:sz="4" w:space="0" w:color="auto"/>
              <w:left w:val="nil"/>
              <w:bottom w:val="nil"/>
              <w:right w:val="nil"/>
            </w:tcBorders>
            <w:shd w:val="clear" w:color="auto" w:fill="auto"/>
            <w:noWrap/>
            <w:vAlign w:val="bottom"/>
            <w:hideMark/>
          </w:tcPr>
          <w:p w14:paraId="5827B8E9" w14:textId="77777777" w:rsidR="00B55E61" w:rsidRPr="000025D5" w:rsidRDefault="00B55E61" w:rsidP="000025D5">
            <w:pPr>
              <w:spacing w:after="0" w:line="240" w:lineRule="auto"/>
              <w:jc w:val="right"/>
              <w:rPr>
                <w:rFonts w:ascii="Times New Roman" w:hAnsi="Times New Roman"/>
                <w:sz w:val="16"/>
                <w:szCs w:val="16"/>
              </w:rPr>
            </w:pPr>
          </w:p>
        </w:tc>
      </w:tr>
      <w:tr w:rsidR="00B55E61" w:rsidRPr="00B55E61" w14:paraId="54C2C36B" w14:textId="77777777" w:rsidTr="004F1EFA">
        <w:trPr>
          <w:trHeight w:val="204"/>
        </w:trPr>
        <w:tc>
          <w:tcPr>
            <w:tcW w:w="3119" w:type="dxa"/>
            <w:tcBorders>
              <w:top w:val="nil"/>
              <w:left w:val="nil"/>
              <w:bottom w:val="nil"/>
              <w:right w:val="nil"/>
            </w:tcBorders>
            <w:shd w:val="clear" w:color="auto" w:fill="auto"/>
            <w:noWrap/>
            <w:vAlign w:val="bottom"/>
            <w:hideMark/>
          </w:tcPr>
          <w:p w14:paraId="64C9F085" w14:textId="77777777" w:rsidR="00B55E61" w:rsidRPr="00B55E61" w:rsidRDefault="00B55E61" w:rsidP="00B55E61">
            <w:pPr>
              <w:spacing w:after="0" w:line="240" w:lineRule="auto"/>
              <w:jc w:val="left"/>
              <w:rPr>
                <w:rFonts w:ascii="Arial" w:hAnsi="Arial" w:cs="Arial"/>
                <w:b/>
                <w:bCs/>
                <w:sz w:val="16"/>
                <w:szCs w:val="16"/>
              </w:rPr>
            </w:pPr>
            <w:r w:rsidRPr="00B55E61">
              <w:rPr>
                <w:rFonts w:ascii="Arial" w:hAnsi="Arial" w:cs="Arial"/>
                <w:b/>
                <w:bCs/>
                <w:sz w:val="16"/>
                <w:szCs w:val="16"/>
              </w:rPr>
              <w:t>Administered</w:t>
            </w:r>
          </w:p>
        </w:tc>
        <w:tc>
          <w:tcPr>
            <w:tcW w:w="992" w:type="dxa"/>
            <w:tcBorders>
              <w:top w:val="nil"/>
              <w:left w:val="nil"/>
              <w:bottom w:val="nil"/>
              <w:right w:val="nil"/>
            </w:tcBorders>
            <w:shd w:val="clear" w:color="auto" w:fill="auto"/>
            <w:noWrap/>
            <w:vAlign w:val="bottom"/>
            <w:hideMark/>
          </w:tcPr>
          <w:p w14:paraId="321CFE60" w14:textId="77777777" w:rsidR="00B55E61" w:rsidRPr="000025D5" w:rsidRDefault="00B55E61" w:rsidP="000025D5">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1D577D79" w14:textId="4988A5A8" w:rsidR="00B55E61" w:rsidRPr="000025D5" w:rsidRDefault="00B55E61"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0754135" w14:textId="77777777" w:rsidR="00B55E61" w:rsidRPr="000025D5" w:rsidRDefault="00B55E61" w:rsidP="000025D5">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6D535535" w14:textId="77777777" w:rsidR="00B55E61" w:rsidRPr="000025D5" w:rsidRDefault="00B55E61"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14:paraId="30F8D2FB" w14:textId="77777777" w:rsidR="00B55E61" w:rsidRPr="000025D5" w:rsidRDefault="00B55E61" w:rsidP="000025D5">
            <w:pPr>
              <w:spacing w:after="0" w:line="240" w:lineRule="auto"/>
              <w:jc w:val="right"/>
              <w:rPr>
                <w:rFonts w:ascii="Times New Roman" w:hAnsi="Times New Roman"/>
                <w:sz w:val="16"/>
                <w:szCs w:val="16"/>
              </w:rPr>
            </w:pPr>
          </w:p>
        </w:tc>
      </w:tr>
      <w:tr w:rsidR="00B55E61" w:rsidRPr="00B55E61" w14:paraId="30B6E454" w14:textId="77777777" w:rsidTr="004F1EFA">
        <w:trPr>
          <w:trHeight w:val="204"/>
        </w:trPr>
        <w:tc>
          <w:tcPr>
            <w:tcW w:w="3119" w:type="dxa"/>
            <w:tcBorders>
              <w:top w:val="nil"/>
              <w:left w:val="nil"/>
              <w:bottom w:val="nil"/>
              <w:right w:val="nil"/>
            </w:tcBorders>
            <w:shd w:val="clear" w:color="auto" w:fill="auto"/>
            <w:noWrap/>
            <w:vAlign w:val="bottom"/>
            <w:hideMark/>
          </w:tcPr>
          <w:p w14:paraId="4ECFD0B6" w14:textId="11B352EB" w:rsidR="00B55E61" w:rsidRPr="00B55E61" w:rsidRDefault="00B55E61" w:rsidP="00B55E61">
            <w:pPr>
              <w:spacing w:after="0" w:line="240" w:lineRule="auto"/>
              <w:ind w:left="113"/>
              <w:jc w:val="left"/>
              <w:rPr>
                <w:rFonts w:ascii="Arial" w:hAnsi="Arial" w:cs="Arial"/>
                <w:b/>
                <w:bCs/>
                <w:sz w:val="16"/>
                <w:szCs w:val="16"/>
              </w:rPr>
            </w:pPr>
            <w:r w:rsidRPr="00B55E61">
              <w:rPr>
                <w:rFonts w:ascii="Arial" w:hAnsi="Arial" w:cs="Arial"/>
                <w:b/>
                <w:bCs/>
                <w:sz w:val="16"/>
                <w:szCs w:val="16"/>
              </w:rPr>
              <w:t>Measures</w:t>
            </w:r>
          </w:p>
        </w:tc>
        <w:tc>
          <w:tcPr>
            <w:tcW w:w="992" w:type="dxa"/>
            <w:tcBorders>
              <w:top w:val="nil"/>
              <w:left w:val="nil"/>
              <w:bottom w:val="nil"/>
              <w:right w:val="nil"/>
            </w:tcBorders>
            <w:shd w:val="clear" w:color="auto" w:fill="auto"/>
            <w:noWrap/>
            <w:vAlign w:val="bottom"/>
            <w:hideMark/>
          </w:tcPr>
          <w:p w14:paraId="1586C517" w14:textId="77777777" w:rsidR="00B55E61" w:rsidRPr="000025D5" w:rsidRDefault="00B55E61" w:rsidP="000025D5">
            <w:pPr>
              <w:spacing w:after="0" w:line="240" w:lineRule="auto"/>
              <w:ind w:firstLineChars="100" w:firstLine="160"/>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6E43B734" w14:textId="1A47FE3E" w:rsidR="00B55E61" w:rsidRPr="000025D5" w:rsidRDefault="00B55E61"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36D83A68" w14:textId="77777777" w:rsidR="00B55E61" w:rsidRPr="000025D5" w:rsidRDefault="00B55E61" w:rsidP="000025D5">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20456CA5" w14:textId="77777777" w:rsidR="00B55E61" w:rsidRPr="000025D5" w:rsidRDefault="00B55E61"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14:paraId="2265A6A6" w14:textId="77777777" w:rsidR="00B55E61" w:rsidRPr="000025D5" w:rsidRDefault="00B55E61" w:rsidP="000025D5">
            <w:pPr>
              <w:spacing w:after="0" w:line="240" w:lineRule="auto"/>
              <w:jc w:val="right"/>
              <w:rPr>
                <w:rFonts w:ascii="Times New Roman" w:hAnsi="Times New Roman"/>
                <w:sz w:val="16"/>
                <w:szCs w:val="16"/>
              </w:rPr>
            </w:pPr>
          </w:p>
        </w:tc>
      </w:tr>
      <w:tr w:rsidR="00B55E61" w:rsidRPr="00B55E61" w14:paraId="33533991" w14:textId="77777777" w:rsidTr="004F1EFA">
        <w:trPr>
          <w:trHeight w:val="204"/>
        </w:trPr>
        <w:tc>
          <w:tcPr>
            <w:tcW w:w="3119" w:type="dxa"/>
            <w:tcBorders>
              <w:top w:val="nil"/>
              <w:left w:val="nil"/>
              <w:bottom w:val="nil"/>
              <w:right w:val="nil"/>
            </w:tcBorders>
            <w:shd w:val="clear" w:color="auto" w:fill="auto"/>
            <w:vAlign w:val="bottom"/>
            <w:hideMark/>
          </w:tcPr>
          <w:p w14:paraId="736242EE" w14:textId="77777777" w:rsidR="00B55E61" w:rsidRPr="00B55E61" w:rsidRDefault="00B55E61" w:rsidP="005F6D89">
            <w:pPr>
              <w:spacing w:after="0" w:line="240" w:lineRule="auto"/>
              <w:ind w:left="227"/>
              <w:jc w:val="left"/>
              <w:rPr>
                <w:rFonts w:ascii="Arial" w:hAnsi="Arial" w:cs="Arial"/>
                <w:sz w:val="16"/>
                <w:szCs w:val="16"/>
              </w:rPr>
            </w:pPr>
            <w:r w:rsidRPr="00B55E61">
              <w:rPr>
                <w:rFonts w:ascii="Arial" w:hAnsi="Arial" w:cs="Arial"/>
                <w:sz w:val="16"/>
                <w:szCs w:val="16"/>
              </w:rPr>
              <w:t>Australian Trade System Support</w:t>
            </w:r>
          </w:p>
        </w:tc>
        <w:tc>
          <w:tcPr>
            <w:tcW w:w="992" w:type="dxa"/>
            <w:tcBorders>
              <w:top w:val="nil"/>
              <w:left w:val="nil"/>
              <w:bottom w:val="nil"/>
              <w:right w:val="nil"/>
            </w:tcBorders>
            <w:shd w:val="clear" w:color="auto" w:fill="auto"/>
            <w:noWrap/>
            <w:vAlign w:val="bottom"/>
            <w:hideMark/>
          </w:tcPr>
          <w:p w14:paraId="1BAE8B31" w14:textId="77777777" w:rsidR="00B55E61" w:rsidRPr="000025D5" w:rsidRDefault="00B55E61" w:rsidP="000025D5">
            <w:pPr>
              <w:spacing w:after="0" w:line="240" w:lineRule="auto"/>
              <w:jc w:val="center"/>
              <w:rPr>
                <w:rFonts w:ascii="Arial" w:hAnsi="Arial" w:cs="Arial"/>
                <w:sz w:val="16"/>
                <w:szCs w:val="16"/>
              </w:rPr>
            </w:pPr>
            <w:r w:rsidRPr="000025D5">
              <w:rPr>
                <w:rFonts w:ascii="Arial" w:hAnsi="Arial" w:cs="Arial"/>
                <w:sz w:val="16"/>
                <w:szCs w:val="16"/>
              </w:rPr>
              <w:t>1.1</w:t>
            </w:r>
          </w:p>
        </w:tc>
        <w:tc>
          <w:tcPr>
            <w:tcW w:w="851" w:type="dxa"/>
            <w:tcBorders>
              <w:top w:val="nil"/>
              <w:left w:val="nil"/>
              <w:bottom w:val="nil"/>
              <w:right w:val="nil"/>
            </w:tcBorders>
            <w:shd w:val="clear" w:color="000000" w:fill="E6E6E6"/>
            <w:noWrap/>
            <w:vAlign w:val="bottom"/>
            <w:hideMark/>
          </w:tcPr>
          <w:p w14:paraId="121E8B7A" w14:textId="56F14CB1" w:rsidR="00B55E61" w:rsidRPr="000025D5" w:rsidRDefault="00B55E61"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38D99565" w14:textId="0217F6AD" w:rsidR="00B55E61" w:rsidRPr="000025D5" w:rsidRDefault="00B55E61"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0E4527E0" w14:textId="6C5EEC30" w:rsidR="00B55E61" w:rsidRPr="000025D5" w:rsidRDefault="00B55E61"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0E176A3C" w14:textId="1097E720" w:rsidR="00B55E61" w:rsidRPr="000025D5" w:rsidRDefault="00B55E61" w:rsidP="000025D5">
            <w:pPr>
              <w:spacing w:after="0" w:line="240" w:lineRule="auto"/>
              <w:jc w:val="right"/>
              <w:rPr>
                <w:rFonts w:ascii="Arial" w:hAnsi="Arial" w:cs="Arial"/>
                <w:sz w:val="16"/>
                <w:szCs w:val="16"/>
              </w:rPr>
            </w:pPr>
            <w:r w:rsidRPr="000025D5">
              <w:rPr>
                <w:rFonts w:ascii="Arial" w:hAnsi="Arial" w:cs="Arial"/>
                <w:sz w:val="16"/>
                <w:szCs w:val="16"/>
              </w:rPr>
              <w:t>-</w:t>
            </w:r>
          </w:p>
        </w:tc>
      </w:tr>
      <w:tr w:rsidR="00B55E61" w:rsidRPr="00B55E61" w14:paraId="25012395" w14:textId="77777777" w:rsidTr="004F1EFA">
        <w:trPr>
          <w:trHeight w:val="204"/>
        </w:trPr>
        <w:tc>
          <w:tcPr>
            <w:tcW w:w="3119" w:type="dxa"/>
            <w:tcBorders>
              <w:top w:val="nil"/>
              <w:left w:val="nil"/>
              <w:bottom w:val="nil"/>
              <w:right w:val="nil"/>
            </w:tcBorders>
            <w:shd w:val="clear" w:color="auto" w:fill="auto"/>
            <w:vAlign w:val="bottom"/>
            <w:hideMark/>
          </w:tcPr>
          <w:p w14:paraId="1AD44B3E" w14:textId="20661F71" w:rsidR="00B55E61" w:rsidRPr="00B55E61" w:rsidRDefault="00B55E61" w:rsidP="005F6D89">
            <w:pPr>
              <w:spacing w:after="0" w:line="240" w:lineRule="auto"/>
              <w:ind w:left="227"/>
              <w:jc w:val="left"/>
              <w:rPr>
                <w:rFonts w:ascii="Arial" w:hAnsi="Arial" w:cs="Arial"/>
                <w:sz w:val="16"/>
                <w:szCs w:val="16"/>
              </w:rPr>
            </w:pPr>
            <w:r w:rsidRPr="00B55E61">
              <w:rPr>
                <w:rFonts w:ascii="Arial" w:hAnsi="Arial" w:cs="Arial"/>
                <w:sz w:val="16"/>
                <w:szCs w:val="16"/>
              </w:rPr>
              <w:t>Infrastructure Investment</w:t>
            </w:r>
            <w:r w:rsidR="006F462C">
              <w:rPr>
                <w:rFonts w:ascii="Arial" w:hAnsi="Arial" w:cs="Arial"/>
                <w:sz w:val="16"/>
                <w:szCs w:val="16"/>
              </w:rPr>
              <w:t xml:space="preserve"> </w:t>
            </w:r>
            <w:r w:rsidR="006F462C" w:rsidRPr="006F462C">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hideMark/>
          </w:tcPr>
          <w:p w14:paraId="5D573BA6" w14:textId="77777777" w:rsidR="00B55E61" w:rsidRPr="000025D5" w:rsidRDefault="00B55E61" w:rsidP="000025D5">
            <w:pPr>
              <w:spacing w:after="0" w:line="240" w:lineRule="auto"/>
              <w:jc w:val="center"/>
              <w:rPr>
                <w:rFonts w:ascii="Arial" w:hAnsi="Arial" w:cs="Arial"/>
                <w:sz w:val="16"/>
                <w:szCs w:val="16"/>
              </w:rPr>
            </w:pPr>
            <w:r w:rsidRPr="000025D5">
              <w:rPr>
                <w:rFonts w:ascii="Arial" w:hAnsi="Arial" w:cs="Arial"/>
                <w:sz w:val="16"/>
                <w:szCs w:val="16"/>
              </w:rPr>
              <w:t>1.1</w:t>
            </w:r>
          </w:p>
        </w:tc>
        <w:tc>
          <w:tcPr>
            <w:tcW w:w="851" w:type="dxa"/>
            <w:tcBorders>
              <w:top w:val="nil"/>
              <w:left w:val="nil"/>
              <w:bottom w:val="nil"/>
              <w:right w:val="nil"/>
            </w:tcBorders>
            <w:shd w:val="clear" w:color="000000" w:fill="E6E6E6"/>
            <w:noWrap/>
            <w:vAlign w:val="bottom"/>
            <w:hideMark/>
          </w:tcPr>
          <w:p w14:paraId="76983CFF" w14:textId="77777777" w:rsidR="00B55E61" w:rsidRPr="000025D5" w:rsidRDefault="00B55E61"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c>
          <w:tcPr>
            <w:tcW w:w="850" w:type="dxa"/>
            <w:tcBorders>
              <w:top w:val="nil"/>
              <w:left w:val="nil"/>
              <w:bottom w:val="nil"/>
              <w:right w:val="nil"/>
            </w:tcBorders>
            <w:shd w:val="clear" w:color="auto" w:fill="auto"/>
            <w:noWrap/>
            <w:vAlign w:val="bottom"/>
            <w:hideMark/>
          </w:tcPr>
          <w:p w14:paraId="4968FFD7" w14:textId="77777777" w:rsidR="00B55E61" w:rsidRPr="000025D5" w:rsidRDefault="00B55E61"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c>
          <w:tcPr>
            <w:tcW w:w="851" w:type="dxa"/>
            <w:tcBorders>
              <w:top w:val="nil"/>
              <w:left w:val="nil"/>
              <w:bottom w:val="nil"/>
              <w:right w:val="nil"/>
            </w:tcBorders>
            <w:shd w:val="clear" w:color="auto" w:fill="auto"/>
            <w:noWrap/>
            <w:vAlign w:val="bottom"/>
            <w:hideMark/>
          </w:tcPr>
          <w:p w14:paraId="5C2BC906" w14:textId="77777777" w:rsidR="00B55E61" w:rsidRPr="000025D5" w:rsidRDefault="00B55E61"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c>
          <w:tcPr>
            <w:tcW w:w="850" w:type="dxa"/>
            <w:tcBorders>
              <w:top w:val="nil"/>
              <w:left w:val="nil"/>
              <w:bottom w:val="nil"/>
              <w:right w:val="nil"/>
            </w:tcBorders>
            <w:shd w:val="clear" w:color="auto" w:fill="auto"/>
            <w:noWrap/>
            <w:vAlign w:val="bottom"/>
            <w:hideMark/>
          </w:tcPr>
          <w:p w14:paraId="16CBD6EE" w14:textId="77777777" w:rsidR="00B55E61" w:rsidRPr="000025D5" w:rsidRDefault="00B55E61"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r>
      <w:tr w:rsidR="00B55E61" w:rsidRPr="00B55E61" w14:paraId="0AE56E41" w14:textId="77777777" w:rsidTr="004F1EFA">
        <w:trPr>
          <w:trHeight w:val="204"/>
        </w:trPr>
        <w:tc>
          <w:tcPr>
            <w:tcW w:w="3119" w:type="dxa"/>
            <w:tcBorders>
              <w:top w:val="nil"/>
              <w:left w:val="nil"/>
              <w:right w:val="nil"/>
            </w:tcBorders>
            <w:shd w:val="clear" w:color="auto" w:fill="auto"/>
            <w:noWrap/>
            <w:vAlign w:val="bottom"/>
            <w:hideMark/>
          </w:tcPr>
          <w:p w14:paraId="37BECAAB" w14:textId="77777777" w:rsidR="00B55E61" w:rsidRPr="00B55E61" w:rsidRDefault="00B55E61" w:rsidP="00B55E61">
            <w:pPr>
              <w:spacing w:after="0" w:line="240" w:lineRule="auto"/>
              <w:ind w:left="113"/>
              <w:jc w:val="left"/>
              <w:rPr>
                <w:rFonts w:ascii="Arial" w:hAnsi="Arial" w:cs="Arial"/>
                <w:b/>
                <w:bCs/>
                <w:sz w:val="16"/>
                <w:szCs w:val="16"/>
              </w:rPr>
            </w:pPr>
            <w:r w:rsidRPr="00B55E61">
              <w:rPr>
                <w:rFonts w:ascii="Arial" w:hAnsi="Arial" w:cs="Arial"/>
                <w:b/>
                <w:bCs/>
                <w:sz w:val="16"/>
                <w:szCs w:val="16"/>
              </w:rPr>
              <w:t>Other Variations</w:t>
            </w:r>
          </w:p>
        </w:tc>
        <w:tc>
          <w:tcPr>
            <w:tcW w:w="992" w:type="dxa"/>
            <w:tcBorders>
              <w:top w:val="nil"/>
              <w:left w:val="nil"/>
              <w:bottom w:val="nil"/>
              <w:right w:val="nil"/>
            </w:tcBorders>
            <w:shd w:val="clear" w:color="auto" w:fill="auto"/>
            <w:noWrap/>
            <w:vAlign w:val="bottom"/>
            <w:hideMark/>
          </w:tcPr>
          <w:p w14:paraId="2D71DD29" w14:textId="77777777" w:rsidR="00B55E61" w:rsidRPr="000025D5" w:rsidRDefault="00B55E61" w:rsidP="000025D5">
            <w:pPr>
              <w:spacing w:after="0" w:line="240" w:lineRule="auto"/>
              <w:ind w:firstLineChars="100" w:firstLine="160"/>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043E3BF9" w14:textId="2E8A8095" w:rsidR="00B55E61" w:rsidRPr="000025D5" w:rsidRDefault="00B55E61"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28F7D45" w14:textId="77777777" w:rsidR="00B55E61" w:rsidRPr="000025D5" w:rsidRDefault="00B55E61" w:rsidP="000025D5">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35C5BAA6" w14:textId="77777777" w:rsidR="00B55E61" w:rsidRPr="000025D5" w:rsidRDefault="00B55E61"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14:paraId="7D96526F" w14:textId="77777777" w:rsidR="00B55E61" w:rsidRPr="000025D5" w:rsidRDefault="00B55E61" w:rsidP="000025D5">
            <w:pPr>
              <w:spacing w:after="0" w:line="240" w:lineRule="auto"/>
              <w:jc w:val="right"/>
              <w:rPr>
                <w:rFonts w:ascii="Times New Roman" w:hAnsi="Times New Roman"/>
                <w:sz w:val="16"/>
                <w:szCs w:val="16"/>
              </w:rPr>
            </w:pPr>
          </w:p>
        </w:tc>
      </w:tr>
      <w:tr w:rsidR="00B55E61" w:rsidRPr="00B55E61" w14:paraId="2254A6E5" w14:textId="77777777" w:rsidTr="004F1EFA">
        <w:trPr>
          <w:trHeight w:val="204"/>
        </w:trPr>
        <w:tc>
          <w:tcPr>
            <w:tcW w:w="3119" w:type="dxa"/>
            <w:tcBorders>
              <w:top w:val="nil"/>
              <w:left w:val="nil"/>
              <w:bottom w:val="nil"/>
              <w:right w:val="nil"/>
            </w:tcBorders>
            <w:shd w:val="clear" w:color="auto" w:fill="auto"/>
            <w:vAlign w:val="bottom"/>
            <w:hideMark/>
          </w:tcPr>
          <w:p w14:paraId="1EC365E4" w14:textId="77777777" w:rsidR="00B55E61" w:rsidRPr="00B55E61" w:rsidRDefault="00B55E61" w:rsidP="005F6D89">
            <w:pPr>
              <w:spacing w:after="0" w:line="240" w:lineRule="auto"/>
              <w:ind w:left="227"/>
              <w:jc w:val="left"/>
              <w:rPr>
                <w:rFonts w:ascii="Arial" w:hAnsi="Arial" w:cs="Arial"/>
                <w:sz w:val="16"/>
                <w:szCs w:val="16"/>
              </w:rPr>
            </w:pPr>
            <w:r w:rsidRPr="00B55E61">
              <w:rPr>
                <w:rFonts w:ascii="Arial" w:hAnsi="Arial" w:cs="Arial"/>
                <w:sz w:val="16"/>
                <w:szCs w:val="16"/>
              </w:rPr>
              <w:t>Movement of funds</w:t>
            </w:r>
          </w:p>
        </w:tc>
        <w:tc>
          <w:tcPr>
            <w:tcW w:w="992" w:type="dxa"/>
            <w:tcBorders>
              <w:top w:val="nil"/>
              <w:left w:val="nil"/>
              <w:bottom w:val="nil"/>
              <w:right w:val="nil"/>
            </w:tcBorders>
            <w:shd w:val="clear" w:color="auto" w:fill="auto"/>
            <w:noWrap/>
            <w:vAlign w:val="bottom"/>
            <w:hideMark/>
          </w:tcPr>
          <w:p w14:paraId="4928B119" w14:textId="77777777" w:rsidR="00B55E61" w:rsidRPr="000025D5" w:rsidRDefault="00B55E61" w:rsidP="000025D5">
            <w:pPr>
              <w:spacing w:after="0" w:line="240" w:lineRule="auto"/>
              <w:jc w:val="center"/>
              <w:rPr>
                <w:rFonts w:ascii="Arial" w:hAnsi="Arial" w:cs="Arial"/>
                <w:sz w:val="16"/>
                <w:szCs w:val="16"/>
              </w:rPr>
            </w:pPr>
            <w:r w:rsidRPr="000025D5">
              <w:rPr>
                <w:rFonts w:ascii="Arial" w:hAnsi="Arial" w:cs="Arial"/>
                <w:sz w:val="16"/>
                <w:szCs w:val="16"/>
              </w:rPr>
              <w:t>1.1</w:t>
            </w:r>
          </w:p>
        </w:tc>
        <w:tc>
          <w:tcPr>
            <w:tcW w:w="851" w:type="dxa"/>
            <w:tcBorders>
              <w:top w:val="nil"/>
              <w:left w:val="nil"/>
              <w:right w:val="nil"/>
            </w:tcBorders>
            <w:shd w:val="clear" w:color="000000" w:fill="E6E6E6"/>
            <w:noWrap/>
            <w:vAlign w:val="bottom"/>
            <w:hideMark/>
          </w:tcPr>
          <w:p w14:paraId="391EDAAF" w14:textId="12739253" w:rsidR="00B55E61" w:rsidRPr="000025D5" w:rsidRDefault="00B55E61" w:rsidP="000025D5">
            <w:pPr>
              <w:spacing w:after="0" w:line="240" w:lineRule="auto"/>
              <w:jc w:val="right"/>
              <w:rPr>
                <w:rFonts w:ascii="Arial" w:hAnsi="Arial" w:cs="Arial"/>
                <w:sz w:val="16"/>
                <w:szCs w:val="16"/>
              </w:rPr>
            </w:pPr>
            <w:r w:rsidRPr="000025D5">
              <w:rPr>
                <w:rFonts w:ascii="Arial" w:hAnsi="Arial" w:cs="Arial"/>
                <w:sz w:val="16"/>
                <w:szCs w:val="16"/>
              </w:rPr>
              <w:t>10,898</w:t>
            </w:r>
          </w:p>
        </w:tc>
        <w:tc>
          <w:tcPr>
            <w:tcW w:w="850" w:type="dxa"/>
            <w:tcBorders>
              <w:top w:val="nil"/>
              <w:left w:val="nil"/>
              <w:right w:val="nil"/>
            </w:tcBorders>
            <w:shd w:val="clear" w:color="auto" w:fill="auto"/>
            <w:noWrap/>
            <w:vAlign w:val="bottom"/>
            <w:hideMark/>
          </w:tcPr>
          <w:p w14:paraId="6FB833CD" w14:textId="77777777" w:rsidR="00B55E61" w:rsidRPr="000025D5" w:rsidRDefault="00B55E61" w:rsidP="000025D5">
            <w:pPr>
              <w:spacing w:after="0" w:line="240" w:lineRule="auto"/>
              <w:jc w:val="right"/>
              <w:rPr>
                <w:rFonts w:ascii="Arial" w:hAnsi="Arial" w:cs="Arial"/>
                <w:sz w:val="16"/>
                <w:szCs w:val="16"/>
              </w:rPr>
            </w:pPr>
            <w:r w:rsidRPr="000025D5">
              <w:rPr>
                <w:rFonts w:ascii="Arial" w:hAnsi="Arial" w:cs="Arial"/>
                <w:sz w:val="16"/>
                <w:szCs w:val="16"/>
              </w:rPr>
              <w:t>(6,243)</w:t>
            </w:r>
          </w:p>
        </w:tc>
        <w:tc>
          <w:tcPr>
            <w:tcW w:w="851" w:type="dxa"/>
            <w:tcBorders>
              <w:top w:val="nil"/>
              <w:left w:val="nil"/>
              <w:right w:val="nil"/>
            </w:tcBorders>
            <w:shd w:val="clear" w:color="auto" w:fill="auto"/>
            <w:noWrap/>
            <w:vAlign w:val="bottom"/>
            <w:hideMark/>
          </w:tcPr>
          <w:p w14:paraId="08A84393" w14:textId="76C1247C" w:rsidR="00B55E61" w:rsidRPr="000025D5" w:rsidRDefault="00B55E61" w:rsidP="000025D5">
            <w:pPr>
              <w:spacing w:after="0" w:line="240" w:lineRule="auto"/>
              <w:jc w:val="right"/>
              <w:rPr>
                <w:rFonts w:ascii="Arial" w:hAnsi="Arial" w:cs="Arial"/>
                <w:sz w:val="16"/>
                <w:szCs w:val="16"/>
              </w:rPr>
            </w:pPr>
            <w:r w:rsidRPr="000025D5">
              <w:rPr>
                <w:rFonts w:ascii="Arial" w:hAnsi="Arial" w:cs="Arial"/>
                <w:sz w:val="16"/>
                <w:szCs w:val="16"/>
              </w:rPr>
              <w:t>10,436</w:t>
            </w:r>
          </w:p>
        </w:tc>
        <w:tc>
          <w:tcPr>
            <w:tcW w:w="850" w:type="dxa"/>
            <w:tcBorders>
              <w:top w:val="nil"/>
              <w:left w:val="nil"/>
              <w:right w:val="nil"/>
            </w:tcBorders>
            <w:shd w:val="clear" w:color="auto" w:fill="auto"/>
            <w:noWrap/>
            <w:vAlign w:val="bottom"/>
            <w:hideMark/>
          </w:tcPr>
          <w:p w14:paraId="3A351ADF" w14:textId="6AA19AF0" w:rsidR="00B55E61" w:rsidRPr="000025D5" w:rsidRDefault="00B55E61" w:rsidP="000025D5">
            <w:pPr>
              <w:spacing w:after="0" w:line="240" w:lineRule="auto"/>
              <w:jc w:val="right"/>
              <w:rPr>
                <w:rFonts w:ascii="Arial" w:hAnsi="Arial" w:cs="Arial"/>
                <w:sz w:val="16"/>
                <w:szCs w:val="16"/>
              </w:rPr>
            </w:pPr>
            <w:r w:rsidRPr="000025D5">
              <w:rPr>
                <w:rFonts w:ascii="Arial" w:hAnsi="Arial" w:cs="Arial"/>
                <w:sz w:val="16"/>
                <w:szCs w:val="16"/>
              </w:rPr>
              <w:t>-</w:t>
            </w:r>
          </w:p>
        </w:tc>
      </w:tr>
      <w:tr w:rsidR="005F6D89" w:rsidRPr="00B55E61" w14:paraId="3248728A" w14:textId="77777777" w:rsidTr="004F1EFA">
        <w:trPr>
          <w:trHeight w:val="204"/>
        </w:trPr>
        <w:tc>
          <w:tcPr>
            <w:tcW w:w="3119" w:type="dxa"/>
            <w:tcBorders>
              <w:top w:val="nil"/>
              <w:left w:val="nil"/>
              <w:bottom w:val="nil"/>
              <w:right w:val="nil"/>
            </w:tcBorders>
            <w:shd w:val="clear" w:color="auto" w:fill="auto"/>
            <w:vAlign w:val="bottom"/>
            <w:hideMark/>
          </w:tcPr>
          <w:p w14:paraId="2493566A"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Estimates variations</w:t>
            </w:r>
          </w:p>
        </w:tc>
        <w:tc>
          <w:tcPr>
            <w:tcW w:w="992" w:type="dxa"/>
            <w:tcBorders>
              <w:top w:val="nil"/>
              <w:left w:val="nil"/>
              <w:bottom w:val="nil"/>
              <w:right w:val="nil"/>
            </w:tcBorders>
            <w:shd w:val="clear" w:color="auto" w:fill="auto"/>
            <w:noWrap/>
            <w:vAlign w:val="bottom"/>
            <w:hideMark/>
          </w:tcPr>
          <w:p w14:paraId="4366F554" w14:textId="77777777" w:rsidR="005F6D89" w:rsidRPr="000025D5" w:rsidRDefault="005F6D89" w:rsidP="000025D5">
            <w:pPr>
              <w:spacing w:after="0" w:line="240" w:lineRule="auto"/>
              <w:jc w:val="center"/>
              <w:rPr>
                <w:rFonts w:ascii="Arial" w:hAnsi="Arial" w:cs="Arial"/>
                <w:sz w:val="16"/>
                <w:szCs w:val="16"/>
              </w:rPr>
            </w:pPr>
            <w:r w:rsidRPr="000025D5">
              <w:rPr>
                <w:rFonts w:ascii="Arial" w:hAnsi="Arial" w:cs="Arial"/>
                <w:sz w:val="16"/>
                <w:szCs w:val="16"/>
              </w:rPr>
              <w:t>1.1</w:t>
            </w:r>
          </w:p>
        </w:tc>
        <w:tc>
          <w:tcPr>
            <w:tcW w:w="851" w:type="dxa"/>
            <w:tcBorders>
              <w:top w:val="nil"/>
              <w:left w:val="nil"/>
              <w:bottom w:val="single" w:sz="4" w:space="0" w:color="auto"/>
              <w:right w:val="nil"/>
            </w:tcBorders>
            <w:shd w:val="clear" w:color="000000" w:fill="E6E6E6"/>
            <w:noWrap/>
            <w:vAlign w:val="bottom"/>
            <w:hideMark/>
          </w:tcPr>
          <w:p w14:paraId="5FDE62AB" w14:textId="54C1C69F"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80</w:t>
            </w:r>
          </w:p>
        </w:tc>
        <w:tc>
          <w:tcPr>
            <w:tcW w:w="850" w:type="dxa"/>
            <w:tcBorders>
              <w:top w:val="nil"/>
              <w:left w:val="nil"/>
              <w:bottom w:val="single" w:sz="4" w:space="0" w:color="auto"/>
              <w:right w:val="nil"/>
            </w:tcBorders>
            <w:shd w:val="clear" w:color="auto" w:fill="auto"/>
            <w:noWrap/>
            <w:vAlign w:val="bottom"/>
            <w:hideMark/>
          </w:tcPr>
          <w:p w14:paraId="717C1B13" w14:textId="28EDAF02"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1" w:type="dxa"/>
            <w:tcBorders>
              <w:top w:val="nil"/>
              <w:left w:val="nil"/>
              <w:bottom w:val="single" w:sz="4" w:space="0" w:color="auto"/>
              <w:right w:val="nil"/>
            </w:tcBorders>
            <w:shd w:val="clear" w:color="auto" w:fill="auto"/>
            <w:noWrap/>
            <w:vAlign w:val="bottom"/>
            <w:hideMark/>
          </w:tcPr>
          <w:p w14:paraId="4127A9C1" w14:textId="415FB31F" w:rsidR="005F6D89" w:rsidRPr="000025D5" w:rsidRDefault="005F6D89" w:rsidP="000025D5">
            <w:pPr>
              <w:spacing w:after="0" w:line="240" w:lineRule="auto"/>
              <w:jc w:val="right"/>
              <w:rPr>
                <w:rFonts w:ascii="Times New Roman" w:hAnsi="Times New Roman"/>
                <w:sz w:val="16"/>
                <w:szCs w:val="16"/>
              </w:rPr>
            </w:pPr>
            <w:r w:rsidRPr="000025D5">
              <w:rPr>
                <w:rFonts w:ascii="Arial" w:hAnsi="Arial" w:cs="Arial"/>
                <w:sz w:val="16"/>
                <w:szCs w:val="16"/>
              </w:rPr>
              <w:t>-</w:t>
            </w:r>
          </w:p>
        </w:tc>
        <w:tc>
          <w:tcPr>
            <w:tcW w:w="850" w:type="dxa"/>
            <w:tcBorders>
              <w:top w:val="nil"/>
              <w:left w:val="nil"/>
              <w:bottom w:val="single" w:sz="4" w:space="0" w:color="auto"/>
              <w:right w:val="nil"/>
            </w:tcBorders>
            <w:shd w:val="clear" w:color="auto" w:fill="auto"/>
            <w:noWrap/>
            <w:vAlign w:val="bottom"/>
            <w:hideMark/>
          </w:tcPr>
          <w:p w14:paraId="29A822B6" w14:textId="0F678C79" w:rsidR="005F6D89" w:rsidRPr="000025D5" w:rsidRDefault="005F6D89" w:rsidP="000025D5">
            <w:pPr>
              <w:spacing w:after="0" w:line="240" w:lineRule="auto"/>
              <w:jc w:val="right"/>
              <w:rPr>
                <w:rFonts w:ascii="Times New Roman" w:hAnsi="Times New Roman"/>
                <w:sz w:val="16"/>
                <w:szCs w:val="16"/>
              </w:rPr>
            </w:pPr>
            <w:r w:rsidRPr="000025D5">
              <w:rPr>
                <w:rFonts w:ascii="Arial" w:hAnsi="Arial" w:cs="Arial"/>
                <w:sz w:val="16"/>
                <w:szCs w:val="16"/>
              </w:rPr>
              <w:t>-</w:t>
            </w:r>
          </w:p>
        </w:tc>
      </w:tr>
      <w:tr w:rsidR="005F6D89" w:rsidRPr="00B55E61" w14:paraId="0B413A53" w14:textId="77777777" w:rsidTr="004F1EFA">
        <w:trPr>
          <w:trHeight w:val="204"/>
        </w:trPr>
        <w:tc>
          <w:tcPr>
            <w:tcW w:w="3119" w:type="dxa"/>
            <w:tcBorders>
              <w:top w:val="nil"/>
              <w:left w:val="nil"/>
              <w:right w:val="nil"/>
            </w:tcBorders>
            <w:shd w:val="clear" w:color="auto" w:fill="auto"/>
            <w:vAlign w:val="bottom"/>
            <w:hideMark/>
          </w:tcPr>
          <w:p w14:paraId="205EEA7B" w14:textId="1DB58F52" w:rsidR="005F6D89" w:rsidRPr="00B55E61" w:rsidRDefault="005F6D89" w:rsidP="006F462C">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Net impact on appropriations for</w:t>
            </w:r>
            <w:r w:rsidR="006F462C">
              <w:rPr>
                <w:rFonts w:ascii="Arial" w:hAnsi="Arial" w:cs="Arial"/>
                <w:b/>
                <w:bCs/>
                <w:color w:val="000000"/>
                <w:sz w:val="16"/>
                <w:szCs w:val="16"/>
              </w:rPr>
              <w:t xml:space="preserve"> </w:t>
            </w:r>
            <w:r w:rsidR="00D37DFC">
              <w:rPr>
                <w:rFonts w:ascii="Arial" w:hAnsi="Arial" w:cs="Arial"/>
                <w:b/>
                <w:bCs/>
                <w:color w:val="000000"/>
                <w:sz w:val="16"/>
                <w:szCs w:val="16"/>
              </w:rPr>
              <w:t>Outcome 1 (A</w:t>
            </w:r>
            <w:r w:rsidRPr="00B55E61">
              <w:rPr>
                <w:rFonts w:ascii="Arial" w:hAnsi="Arial" w:cs="Arial"/>
                <w:b/>
                <w:bCs/>
                <w:color w:val="000000"/>
                <w:sz w:val="16"/>
                <w:szCs w:val="16"/>
              </w:rPr>
              <w:t>dministered)</w:t>
            </w:r>
          </w:p>
        </w:tc>
        <w:tc>
          <w:tcPr>
            <w:tcW w:w="992" w:type="dxa"/>
            <w:tcBorders>
              <w:top w:val="nil"/>
              <w:left w:val="nil"/>
              <w:bottom w:val="nil"/>
              <w:right w:val="nil"/>
            </w:tcBorders>
            <w:shd w:val="clear" w:color="auto" w:fill="auto"/>
            <w:noWrap/>
            <w:vAlign w:val="bottom"/>
            <w:hideMark/>
          </w:tcPr>
          <w:p w14:paraId="74563C0F" w14:textId="77777777" w:rsidR="005F6D89" w:rsidRPr="000025D5" w:rsidRDefault="005F6D89" w:rsidP="000025D5">
            <w:pPr>
              <w:spacing w:after="0" w:line="240" w:lineRule="auto"/>
              <w:jc w:val="right"/>
              <w:rPr>
                <w:rFonts w:ascii="Arial" w:hAnsi="Arial" w:cs="Arial"/>
                <w:b/>
                <w:bCs/>
                <w:sz w:val="16"/>
                <w:szCs w:val="16"/>
              </w:rPr>
            </w:pPr>
          </w:p>
        </w:tc>
        <w:tc>
          <w:tcPr>
            <w:tcW w:w="851" w:type="dxa"/>
            <w:tcBorders>
              <w:top w:val="single" w:sz="4" w:space="0" w:color="auto"/>
              <w:left w:val="nil"/>
              <w:bottom w:val="single" w:sz="4" w:space="0" w:color="auto"/>
              <w:right w:val="nil"/>
            </w:tcBorders>
            <w:shd w:val="clear" w:color="000000" w:fill="E6E6E6"/>
            <w:noWrap/>
            <w:vAlign w:val="bottom"/>
            <w:hideMark/>
          </w:tcPr>
          <w:p w14:paraId="2B4B0150" w14:textId="1284BA21"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10,978</w:t>
            </w:r>
          </w:p>
        </w:tc>
        <w:tc>
          <w:tcPr>
            <w:tcW w:w="850" w:type="dxa"/>
            <w:tcBorders>
              <w:top w:val="single" w:sz="4" w:space="0" w:color="auto"/>
              <w:left w:val="nil"/>
              <w:bottom w:val="single" w:sz="4" w:space="0" w:color="auto"/>
              <w:right w:val="nil"/>
            </w:tcBorders>
            <w:shd w:val="clear" w:color="auto" w:fill="auto"/>
            <w:noWrap/>
            <w:vAlign w:val="bottom"/>
            <w:hideMark/>
          </w:tcPr>
          <w:p w14:paraId="777E2942" w14:textId="77777777"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(6,243)</w:t>
            </w:r>
          </w:p>
        </w:tc>
        <w:tc>
          <w:tcPr>
            <w:tcW w:w="851" w:type="dxa"/>
            <w:tcBorders>
              <w:top w:val="single" w:sz="4" w:space="0" w:color="auto"/>
              <w:left w:val="nil"/>
              <w:bottom w:val="single" w:sz="4" w:space="0" w:color="auto"/>
              <w:right w:val="nil"/>
            </w:tcBorders>
            <w:shd w:val="clear" w:color="auto" w:fill="auto"/>
            <w:noWrap/>
            <w:vAlign w:val="bottom"/>
            <w:hideMark/>
          </w:tcPr>
          <w:p w14:paraId="3E01C8F4" w14:textId="08E531FF"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10,436</w:t>
            </w:r>
          </w:p>
        </w:tc>
        <w:tc>
          <w:tcPr>
            <w:tcW w:w="850" w:type="dxa"/>
            <w:tcBorders>
              <w:top w:val="single" w:sz="4" w:space="0" w:color="auto"/>
              <w:left w:val="nil"/>
              <w:bottom w:val="single" w:sz="4" w:space="0" w:color="auto"/>
              <w:right w:val="nil"/>
            </w:tcBorders>
            <w:shd w:val="clear" w:color="auto" w:fill="auto"/>
            <w:noWrap/>
            <w:vAlign w:val="bottom"/>
            <w:hideMark/>
          </w:tcPr>
          <w:p w14:paraId="65871BC5" w14:textId="5BBBCB57"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w:t>
            </w:r>
          </w:p>
        </w:tc>
      </w:tr>
      <w:tr w:rsidR="005F6D89" w:rsidRPr="00B55E61" w14:paraId="3E65C960" w14:textId="77777777" w:rsidTr="004F1EFA">
        <w:trPr>
          <w:trHeight w:val="204"/>
        </w:trPr>
        <w:tc>
          <w:tcPr>
            <w:tcW w:w="3119" w:type="dxa"/>
            <w:tcBorders>
              <w:top w:val="nil"/>
              <w:left w:val="nil"/>
              <w:bottom w:val="nil"/>
              <w:right w:val="nil"/>
            </w:tcBorders>
            <w:shd w:val="clear" w:color="auto" w:fill="auto"/>
            <w:noWrap/>
            <w:vAlign w:val="bottom"/>
            <w:hideMark/>
          </w:tcPr>
          <w:p w14:paraId="63AC450D" w14:textId="7C3E9299" w:rsidR="005F6D89" w:rsidRPr="00B55E61" w:rsidRDefault="008863D9" w:rsidP="005F6D89">
            <w:pPr>
              <w:spacing w:after="0" w:line="240" w:lineRule="auto"/>
              <w:jc w:val="left"/>
              <w:rPr>
                <w:rFonts w:ascii="Arial" w:hAnsi="Arial" w:cs="Arial"/>
                <w:b/>
                <w:bCs/>
                <w:sz w:val="16"/>
                <w:szCs w:val="16"/>
              </w:rPr>
            </w:pPr>
            <w:r>
              <w:rPr>
                <w:rFonts w:ascii="Arial" w:hAnsi="Arial" w:cs="Arial"/>
                <w:b/>
                <w:bCs/>
                <w:sz w:val="16"/>
                <w:szCs w:val="16"/>
              </w:rPr>
              <w:t>Department</w:t>
            </w:r>
            <w:r w:rsidR="005F6D89" w:rsidRPr="00B55E61">
              <w:rPr>
                <w:rFonts w:ascii="Arial" w:hAnsi="Arial" w:cs="Arial"/>
                <w:b/>
                <w:bCs/>
                <w:sz w:val="16"/>
                <w:szCs w:val="16"/>
              </w:rPr>
              <w:t>al</w:t>
            </w:r>
          </w:p>
        </w:tc>
        <w:tc>
          <w:tcPr>
            <w:tcW w:w="992" w:type="dxa"/>
            <w:tcBorders>
              <w:top w:val="nil"/>
              <w:left w:val="nil"/>
              <w:bottom w:val="nil"/>
              <w:right w:val="nil"/>
            </w:tcBorders>
            <w:shd w:val="clear" w:color="auto" w:fill="auto"/>
            <w:noWrap/>
            <w:vAlign w:val="bottom"/>
            <w:hideMark/>
          </w:tcPr>
          <w:p w14:paraId="62E1FFF4" w14:textId="77777777" w:rsidR="005F6D89" w:rsidRPr="000025D5" w:rsidRDefault="005F6D89" w:rsidP="000025D5">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132513A0" w14:textId="4E74C24A" w:rsidR="005F6D89" w:rsidRPr="000025D5" w:rsidRDefault="005F6D89" w:rsidP="000025D5">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106EAEC1" w14:textId="77777777" w:rsidR="005F6D89" w:rsidRPr="000025D5" w:rsidRDefault="005F6D89" w:rsidP="000025D5">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auto" w:fill="auto"/>
            <w:noWrap/>
            <w:vAlign w:val="bottom"/>
            <w:hideMark/>
          </w:tcPr>
          <w:p w14:paraId="0132DC7D" w14:textId="77777777" w:rsidR="005F6D89" w:rsidRPr="000025D5" w:rsidRDefault="005F6D89"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14:paraId="174147A2" w14:textId="77777777" w:rsidR="005F6D89" w:rsidRPr="000025D5" w:rsidRDefault="005F6D89" w:rsidP="000025D5">
            <w:pPr>
              <w:spacing w:after="0" w:line="240" w:lineRule="auto"/>
              <w:jc w:val="right"/>
              <w:rPr>
                <w:rFonts w:ascii="Times New Roman" w:hAnsi="Times New Roman"/>
                <w:sz w:val="16"/>
                <w:szCs w:val="16"/>
              </w:rPr>
            </w:pPr>
          </w:p>
        </w:tc>
      </w:tr>
      <w:tr w:rsidR="005F6D89" w:rsidRPr="00B55E61" w14:paraId="7C3AD966" w14:textId="77777777" w:rsidTr="004F1EFA">
        <w:trPr>
          <w:trHeight w:val="204"/>
        </w:trPr>
        <w:tc>
          <w:tcPr>
            <w:tcW w:w="3119" w:type="dxa"/>
            <w:tcBorders>
              <w:top w:val="nil"/>
              <w:left w:val="nil"/>
              <w:bottom w:val="nil"/>
              <w:right w:val="nil"/>
            </w:tcBorders>
            <w:shd w:val="clear" w:color="auto" w:fill="auto"/>
            <w:noWrap/>
            <w:vAlign w:val="bottom"/>
            <w:hideMark/>
          </w:tcPr>
          <w:p w14:paraId="61EB3DB4" w14:textId="5A0DA2B6" w:rsidR="005F6D89" w:rsidRPr="00B55E61" w:rsidRDefault="005F6D89" w:rsidP="005F6D89">
            <w:pPr>
              <w:spacing w:after="0" w:line="240" w:lineRule="auto"/>
              <w:ind w:left="113"/>
              <w:jc w:val="left"/>
              <w:rPr>
                <w:rFonts w:ascii="Arial" w:hAnsi="Arial" w:cs="Arial"/>
                <w:b/>
                <w:bCs/>
                <w:sz w:val="16"/>
                <w:szCs w:val="16"/>
              </w:rPr>
            </w:pPr>
            <w:r w:rsidRPr="00B55E61">
              <w:rPr>
                <w:rFonts w:ascii="Arial" w:hAnsi="Arial" w:cs="Arial"/>
                <w:b/>
                <w:bCs/>
                <w:sz w:val="16"/>
                <w:szCs w:val="16"/>
              </w:rPr>
              <w:t>Measures</w:t>
            </w:r>
          </w:p>
        </w:tc>
        <w:tc>
          <w:tcPr>
            <w:tcW w:w="992" w:type="dxa"/>
            <w:tcBorders>
              <w:top w:val="nil"/>
              <w:left w:val="nil"/>
              <w:bottom w:val="nil"/>
              <w:right w:val="nil"/>
            </w:tcBorders>
            <w:shd w:val="clear" w:color="auto" w:fill="auto"/>
            <w:noWrap/>
            <w:vAlign w:val="bottom"/>
            <w:hideMark/>
          </w:tcPr>
          <w:p w14:paraId="18AB1209" w14:textId="77777777" w:rsidR="005F6D89" w:rsidRPr="000025D5" w:rsidRDefault="005F6D89" w:rsidP="000025D5">
            <w:pPr>
              <w:spacing w:after="0" w:line="240" w:lineRule="auto"/>
              <w:ind w:firstLineChars="100" w:firstLine="160"/>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75DFAF78" w14:textId="704E6A1F" w:rsidR="005F6D89" w:rsidRPr="000025D5" w:rsidRDefault="005F6D89" w:rsidP="000025D5">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215B8462" w14:textId="77777777" w:rsidR="005F6D89" w:rsidRPr="000025D5" w:rsidRDefault="005F6D89" w:rsidP="000025D5">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auto" w:fill="auto"/>
            <w:noWrap/>
            <w:vAlign w:val="bottom"/>
            <w:hideMark/>
          </w:tcPr>
          <w:p w14:paraId="4EF26BC2" w14:textId="77777777" w:rsidR="005F6D89" w:rsidRPr="000025D5" w:rsidRDefault="005F6D89"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14:paraId="451CC83E" w14:textId="77777777" w:rsidR="005F6D89" w:rsidRPr="000025D5" w:rsidRDefault="005F6D89" w:rsidP="000025D5">
            <w:pPr>
              <w:spacing w:after="0" w:line="240" w:lineRule="auto"/>
              <w:jc w:val="right"/>
              <w:rPr>
                <w:rFonts w:ascii="Times New Roman" w:hAnsi="Times New Roman"/>
                <w:sz w:val="16"/>
                <w:szCs w:val="16"/>
              </w:rPr>
            </w:pPr>
          </w:p>
        </w:tc>
      </w:tr>
      <w:tr w:rsidR="005F6D89" w:rsidRPr="00B55E61" w14:paraId="4E9C0406" w14:textId="77777777" w:rsidTr="004F1EFA">
        <w:trPr>
          <w:trHeight w:val="204"/>
        </w:trPr>
        <w:tc>
          <w:tcPr>
            <w:tcW w:w="3119" w:type="dxa"/>
            <w:tcBorders>
              <w:top w:val="nil"/>
              <w:left w:val="nil"/>
              <w:bottom w:val="nil"/>
              <w:right w:val="nil"/>
            </w:tcBorders>
            <w:shd w:val="clear" w:color="auto" w:fill="auto"/>
            <w:vAlign w:val="bottom"/>
            <w:hideMark/>
          </w:tcPr>
          <w:p w14:paraId="78B306F3" w14:textId="29FD9475"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Infrastructure Investment</w:t>
            </w:r>
            <w:r w:rsidR="003101EC">
              <w:rPr>
                <w:rFonts w:ascii="Arial" w:hAnsi="Arial" w:cs="Arial"/>
                <w:sz w:val="16"/>
                <w:szCs w:val="16"/>
              </w:rPr>
              <w:t xml:space="preserve"> </w:t>
            </w:r>
            <w:r w:rsidR="003101EC" w:rsidRPr="003101EC">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hideMark/>
          </w:tcPr>
          <w:p w14:paraId="071EA3DF" w14:textId="77777777" w:rsidR="005F6D89" w:rsidRPr="000025D5" w:rsidRDefault="005F6D89" w:rsidP="000025D5">
            <w:pPr>
              <w:spacing w:after="0" w:line="240" w:lineRule="auto"/>
              <w:jc w:val="center"/>
              <w:rPr>
                <w:rFonts w:ascii="Arial" w:hAnsi="Arial" w:cs="Arial"/>
                <w:sz w:val="16"/>
                <w:szCs w:val="16"/>
              </w:rPr>
            </w:pPr>
            <w:r w:rsidRPr="000025D5">
              <w:rPr>
                <w:rFonts w:ascii="Arial" w:hAnsi="Arial" w:cs="Arial"/>
                <w:sz w:val="16"/>
                <w:szCs w:val="16"/>
              </w:rPr>
              <w:t>1.2</w:t>
            </w:r>
          </w:p>
        </w:tc>
        <w:tc>
          <w:tcPr>
            <w:tcW w:w="851" w:type="dxa"/>
            <w:tcBorders>
              <w:top w:val="nil"/>
              <w:left w:val="nil"/>
              <w:bottom w:val="nil"/>
              <w:right w:val="nil"/>
            </w:tcBorders>
            <w:shd w:val="clear" w:color="000000" w:fill="E6E6E6"/>
            <w:noWrap/>
            <w:vAlign w:val="bottom"/>
            <w:hideMark/>
          </w:tcPr>
          <w:p w14:paraId="3D8164C6" w14:textId="77777777" w:rsidR="005F6D89" w:rsidRPr="000025D5" w:rsidRDefault="005F6D89"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c>
          <w:tcPr>
            <w:tcW w:w="850" w:type="dxa"/>
            <w:tcBorders>
              <w:top w:val="nil"/>
              <w:left w:val="nil"/>
              <w:bottom w:val="nil"/>
              <w:right w:val="nil"/>
            </w:tcBorders>
            <w:shd w:val="clear" w:color="auto" w:fill="auto"/>
            <w:noWrap/>
            <w:vAlign w:val="bottom"/>
            <w:hideMark/>
          </w:tcPr>
          <w:p w14:paraId="2803D3B4" w14:textId="77777777" w:rsidR="005F6D89" w:rsidRPr="000025D5" w:rsidRDefault="005F6D89"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c>
          <w:tcPr>
            <w:tcW w:w="851" w:type="dxa"/>
            <w:tcBorders>
              <w:top w:val="nil"/>
              <w:left w:val="nil"/>
              <w:bottom w:val="nil"/>
              <w:right w:val="nil"/>
            </w:tcBorders>
            <w:shd w:val="clear" w:color="auto" w:fill="auto"/>
            <w:noWrap/>
            <w:vAlign w:val="bottom"/>
            <w:hideMark/>
          </w:tcPr>
          <w:p w14:paraId="35DD56B7" w14:textId="77777777" w:rsidR="005F6D89" w:rsidRPr="000025D5" w:rsidRDefault="005F6D89"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c>
          <w:tcPr>
            <w:tcW w:w="850" w:type="dxa"/>
            <w:tcBorders>
              <w:top w:val="nil"/>
              <w:left w:val="nil"/>
              <w:bottom w:val="nil"/>
              <w:right w:val="nil"/>
            </w:tcBorders>
            <w:shd w:val="clear" w:color="auto" w:fill="auto"/>
            <w:noWrap/>
            <w:vAlign w:val="bottom"/>
            <w:hideMark/>
          </w:tcPr>
          <w:p w14:paraId="07547869" w14:textId="77777777" w:rsidR="005F6D89" w:rsidRPr="000025D5" w:rsidRDefault="005F6D89"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r>
      <w:tr w:rsidR="005F6D89" w:rsidRPr="00B55E61" w14:paraId="26A68925" w14:textId="77777777" w:rsidTr="004F1EFA">
        <w:trPr>
          <w:trHeight w:val="204"/>
        </w:trPr>
        <w:tc>
          <w:tcPr>
            <w:tcW w:w="3119" w:type="dxa"/>
            <w:tcBorders>
              <w:top w:val="nil"/>
              <w:left w:val="nil"/>
              <w:bottom w:val="nil"/>
              <w:right w:val="nil"/>
            </w:tcBorders>
            <w:shd w:val="clear" w:color="auto" w:fill="auto"/>
            <w:vAlign w:val="bottom"/>
            <w:hideMark/>
          </w:tcPr>
          <w:p w14:paraId="525336A4"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Remote Roads Upgrade Pilot Program</w:t>
            </w:r>
          </w:p>
        </w:tc>
        <w:tc>
          <w:tcPr>
            <w:tcW w:w="992" w:type="dxa"/>
            <w:tcBorders>
              <w:top w:val="nil"/>
              <w:left w:val="nil"/>
              <w:bottom w:val="nil"/>
              <w:right w:val="nil"/>
            </w:tcBorders>
            <w:shd w:val="clear" w:color="auto" w:fill="auto"/>
            <w:noWrap/>
            <w:vAlign w:val="bottom"/>
            <w:hideMark/>
          </w:tcPr>
          <w:p w14:paraId="5D6410F6" w14:textId="77777777" w:rsidR="005F6D89" w:rsidRPr="000025D5" w:rsidRDefault="005F6D89" w:rsidP="000025D5">
            <w:pPr>
              <w:spacing w:after="0" w:line="240" w:lineRule="auto"/>
              <w:jc w:val="center"/>
              <w:rPr>
                <w:rFonts w:ascii="Arial" w:hAnsi="Arial" w:cs="Arial"/>
                <w:sz w:val="16"/>
                <w:szCs w:val="16"/>
              </w:rPr>
            </w:pPr>
            <w:r w:rsidRPr="000025D5">
              <w:rPr>
                <w:rFonts w:ascii="Arial" w:hAnsi="Arial" w:cs="Arial"/>
                <w:sz w:val="16"/>
                <w:szCs w:val="16"/>
              </w:rPr>
              <w:t>1.2</w:t>
            </w:r>
          </w:p>
        </w:tc>
        <w:tc>
          <w:tcPr>
            <w:tcW w:w="851" w:type="dxa"/>
            <w:tcBorders>
              <w:top w:val="nil"/>
              <w:left w:val="nil"/>
              <w:bottom w:val="nil"/>
              <w:right w:val="nil"/>
            </w:tcBorders>
            <w:shd w:val="clear" w:color="000000" w:fill="E6E6E6"/>
            <w:noWrap/>
            <w:vAlign w:val="bottom"/>
            <w:hideMark/>
          </w:tcPr>
          <w:p w14:paraId="62EB8FF9" w14:textId="0B4A0DEB"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389</w:t>
            </w:r>
          </w:p>
        </w:tc>
        <w:tc>
          <w:tcPr>
            <w:tcW w:w="850" w:type="dxa"/>
            <w:tcBorders>
              <w:top w:val="nil"/>
              <w:left w:val="nil"/>
              <w:bottom w:val="nil"/>
              <w:right w:val="nil"/>
            </w:tcBorders>
            <w:shd w:val="clear" w:color="auto" w:fill="auto"/>
            <w:noWrap/>
            <w:vAlign w:val="bottom"/>
            <w:hideMark/>
          </w:tcPr>
          <w:p w14:paraId="01FF1ECC" w14:textId="33049E27"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2,311</w:t>
            </w:r>
          </w:p>
        </w:tc>
        <w:tc>
          <w:tcPr>
            <w:tcW w:w="851" w:type="dxa"/>
            <w:tcBorders>
              <w:top w:val="nil"/>
              <w:left w:val="nil"/>
              <w:bottom w:val="nil"/>
              <w:right w:val="nil"/>
            </w:tcBorders>
            <w:shd w:val="clear" w:color="auto" w:fill="auto"/>
            <w:noWrap/>
            <w:vAlign w:val="bottom"/>
            <w:hideMark/>
          </w:tcPr>
          <w:p w14:paraId="334D3BB2" w14:textId="53341755"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807</w:t>
            </w:r>
          </w:p>
        </w:tc>
        <w:tc>
          <w:tcPr>
            <w:tcW w:w="850" w:type="dxa"/>
            <w:tcBorders>
              <w:top w:val="nil"/>
              <w:left w:val="nil"/>
              <w:bottom w:val="nil"/>
              <w:right w:val="nil"/>
            </w:tcBorders>
            <w:shd w:val="clear" w:color="auto" w:fill="auto"/>
            <w:noWrap/>
            <w:vAlign w:val="bottom"/>
            <w:hideMark/>
          </w:tcPr>
          <w:p w14:paraId="34F7EF5D" w14:textId="106FF791"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w:t>
            </w:r>
          </w:p>
        </w:tc>
      </w:tr>
      <w:tr w:rsidR="005F6D89" w:rsidRPr="00B55E61" w14:paraId="262CADB2" w14:textId="77777777" w:rsidTr="004F1EFA">
        <w:trPr>
          <w:trHeight w:val="204"/>
        </w:trPr>
        <w:tc>
          <w:tcPr>
            <w:tcW w:w="3119" w:type="dxa"/>
            <w:tcBorders>
              <w:top w:val="nil"/>
              <w:left w:val="nil"/>
              <w:bottom w:val="nil"/>
              <w:right w:val="nil"/>
            </w:tcBorders>
            <w:shd w:val="clear" w:color="auto" w:fill="auto"/>
            <w:noWrap/>
            <w:vAlign w:val="bottom"/>
            <w:hideMark/>
          </w:tcPr>
          <w:p w14:paraId="5DE8196C" w14:textId="77777777" w:rsidR="005F6D89" w:rsidRPr="00B55E61" w:rsidRDefault="005F6D89" w:rsidP="005F6D89">
            <w:pPr>
              <w:spacing w:after="0" w:line="240" w:lineRule="auto"/>
              <w:ind w:left="113"/>
              <w:jc w:val="left"/>
              <w:rPr>
                <w:rFonts w:ascii="Arial" w:hAnsi="Arial" w:cs="Arial"/>
                <w:b/>
                <w:bCs/>
                <w:sz w:val="16"/>
                <w:szCs w:val="16"/>
              </w:rPr>
            </w:pPr>
            <w:r w:rsidRPr="00B55E61">
              <w:rPr>
                <w:rFonts w:ascii="Arial" w:hAnsi="Arial" w:cs="Arial"/>
                <w:b/>
                <w:bCs/>
                <w:sz w:val="16"/>
                <w:szCs w:val="16"/>
              </w:rPr>
              <w:t>Other Variations</w:t>
            </w:r>
          </w:p>
        </w:tc>
        <w:tc>
          <w:tcPr>
            <w:tcW w:w="992" w:type="dxa"/>
            <w:tcBorders>
              <w:top w:val="nil"/>
              <w:left w:val="nil"/>
              <w:bottom w:val="nil"/>
              <w:right w:val="nil"/>
            </w:tcBorders>
            <w:shd w:val="clear" w:color="auto" w:fill="auto"/>
            <w:noWrap/>
            <w:vAlign w:val="bottom"/>
            <w:hideMark/>
          </w:tcPr>
          <w:p w14:paraId="2C241AEE" w14:textId="77777777" w:rsidR="005F6D89" w:rsidRPr="000025D5" w:rsidRDefault="005F6D89" w:rsidP="000025D5">
            <w:pPr>
              <w:spacing w:after="0" w:line="240" w:lineRule="auto"/>
              <w:ind w:firstLineChars="100" w:firstLine="160"/>
              <w:jc w:val="right"/>
              <w:rPr>
                <w:rFonts w:ascii="Arial" w:hAnsi="Arial" w:cs="Arial"/>
                <w:b/>
                <w:bCs/>
                <w:sz w:val="16"/>
                <w:szCs w:val="16"/>
              </w:rPr>
            </w:pPr>
          </w:p>
        </w:tc>
        <w:tc>
          <w:tcPr>
            <w:tcW w:w="851" w:type="dxa"/>
            <w:tcBorders>
              <w:top w:val="nil"/>
              <w:left w:val="nil"/>
              <w:right w:val="nil"/>
            </w:tcBorders>
            <w:shd w:val="clear" w:color="000000" w:fill="E6E6E6"/>
            <w:noWrap/>
            <w:vAlign w:val="bottom"/>
            <w:hideMark/>
          </w:tcPr>
          <w:p w14:paraId="0029D603" w14:textId="3279276E" w:rsidR="005F6D89" w:rsidRPr="000025D5" w:rsidRDefault="005F6D89" w:rsidP="000025D5">
            <w:pPr>
              <w:spacing w:after="0" w:line="240" w:lineRule="auto"/>
              <w:jc w:val="right"/>
              <w:rPr>
                <w:rFonts w:ascii="Arial" w:hAnsi="Arial" w:cs="Arial"/>
                <w:sz w:val="16"/>
                <w:szCs w:val="16"/>
              </w:rPr>
            </w:pPr>
          </w:p>
        </w:tc>
        <w:tc>
          <w:tcPr>
            <w:tcW w:w="850" w:type="dxa"/>
            <w:tcBorders>
              <w:top w:val="nil"/>
              <w:left w:val="nil"/>
              <w:right w:val="nil"/>
            </w:tcBorders>
            <w:shd w:val="clear" w:color="auto" w:fill="auto"/>
            <w:noWrap/>
            <w:vAlign w:val="bottom"/>
            <w:hideMark/>
          </w:tcPr>
          <w:p w14:paraId="6003D162" w14:textId="77777777" w:rsidR="005F6D89" w:rsidRPr="000025D5" w:rsidRDefault="005F6D89" w:rsidP="000025D5">
            <w:pPr>
              <w:spacing w:after="0" w:line="240" w:lineRule="auto"/>
              <w:jc w:val="right"/>
              <w:rPr>
                <w:rFonts w:ascii="Arial" w:hAnsi="Arial" w:cs="Arial"/>
                <w:sz w:val="16"/>
                <w:szCs w:val="16"/>
              </w:rPr>
            </w:pPr>
          </w:p>
        </w:tc>
        <w:tc>
          <w:tcPr>
            <w:tcW w:w="851" w:type="dxa"/>
            <w:tcBorders>
              <w:top w:val="nil"/>
              <w:left w:val="nil"/>
              <w:right w:val="nil"/>
            </w:tcBorders>
            <w:shd w:val="clear" w:color="auto" w:fill="auto"/>
            <w:noWrap/>
            <w:vAlign w:val="bottom"/>
            <w:hideMark/>
          </w:tcPr>
          <w:p w14:paraId="0D848176" w14:textId="77777777" w:rsidR="005F6D89" w:rsidRPr="000025D5" w:rsidRDefault="005F6D89" w:rsidP="000025D5">
            <w:pPr>
              <w:spacing w:after="0" w:line="240" w:lineRule="auto"/>
              <w:jc w:val="right"/>
              <w:rPr>
                <w:rFonts w:ascii="Times New Roman" w:hAnsi="Times New Roman"/>
                <w:sz w:val="16"/>
                <w:szCs w:val="16"/>
              </w:rPr>
            </w:pPr>
          </w:p>
        </w:tc>
        <w:tc>
          <w:tcPr>
            <w:tcW w:w="850" w:type="dxa"/>
            <w:tcBorders>
              <w:top w:val="nil"/>
              <w:left w:val="nil"/>
              <w:right w:val="nil"/>
            </w:tcBorders>
            <w:shd w:val="clear" w:color="auto" w:fill="auto"/>
            <w:noWrap/>
            <w:vAlign w:val="bottom"/>
            <w:hideMark/>
          </w:tcPr>
          <w:p w14:paraId="2F673A19" w14:textId="77777777" w:rsidR="005F6D89" w:rsidRPr="000025D5" w:rsidRDefault="005F6D89" w:rsidP="000025D5">
            <w:pPr>
              <w:spacing w:after="0" w:line="240" w:lineRule="auto"/>
              <w:jc w:val="right"/>
              <w:rPr>
                <w:rFonts w:ascii="Times New Roman" w:hAnsi="Times New Roman"/>
                <w:sz w:val="16"/>
                <w:szCs w:val="16"/>
              </w:rPr>
            </w:pPr>
          </w:p>
        </w:tc>
      </w:tr>
      <w:tr w:rsidR="005F6D89" w:rsidRPr="00B55E61" w14:paraId="5F9D04EB" w14:textId="77777777" w:rsidTr="004F1EFA">
        <w:trPr>
          <w:trHeight w:val="204"/>
        </w:trPr>
        <w:tc>
          <w:tcPr>
            <w:tcW w:w="3119" w:type="dxa"/>
            <w:tcBorders>
              <w:top w:val="nil"/>
              <w:left w:val="nil"/>
              <w:bottom w:val="nil"/>
              <w:right w:val="nil"/>
            </w:tcBorders>
            <w:shd w:val="clear" w:color="auto" w:fill="auto"/>
            <w:vAlign w:val="bottom"/>
            <w:hideMark/>
          </w:tcPr>
          <w:p w14:paraId="1B104CA0"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Changes in parameters</w:t>
            </w:r>
          </w:p>
        </w:tc>
        <w:tc>
          <w:tcPr>
            <w:tcW w:w="992" w:type="dxa"/>
            <w:tcBorders>
              <w:top w:val="nil"/>
              <w:left w:val="nil"/>
              <w:bottom w:val="nil"/>
              <w:right w:val="nil"/>
            </w:tcBorders>
            <w:shd w:val="clear" w:color="auto" w:fill="auto"/>
            <w:noWrap/>
            <w:vAlign w:val="bottom"/>
            <w:hideMark/>
          </w:tcPr>
          <w:p w14:paraId="5B584A20" w14:textId="77777777" w:rsidR="005F6D89" w:rsidRPr="000025D5" w:rsidRDefault="005F6D89" w:rsidP="000025D5">
            <w:pPr>
              <w:spacing w:after="0" w:line="240" w:lineRule="auto"/>
              <w:ind w:firstLineChars="200" w:firstLine="320"/>
              <w:jc w:val="right"/>
              <w:rPr>
                <w:rFonts w:ascii="Arial" w:hAnsi="Arial" w:cs="Arial"/>
                <w:sz w:val="16"/>
                <w:szCs w:val="16"/>
              </w:rPr>
            </w:pPr>
          </w:p>
        </w:tc>
        <w:tc>
          <w:tcPr>
            <w:tcW w:w="851" w:type="dxa"/>
            <w:tcBorders>
              <w:top w:val="nil"/>
              <w:left w:val="nil"/>
              <w:bottom w:val="single" w:sz="4" w:space="0" w:color="auto"/>
              <w:right w:val="nil"/>
            </w:tcBorders>
            <w:shd w:val="clear" w:color="000000" w:fill="E6E6E6"/>
            <w:noWrap/>
            <w:vAlign w:val="bottom"/>
            <w:hideMark/>
          </w:tcPr>
          <w:p w14:paraId="652089B6" w14:textId="6CEA71D0"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0" w:type="dxa"/>
            <w:tcBorders>
              <w:top w:val="nil"/>
              <w:left w:val="nil"/>
              <w:bottom w:val="single" w:sz="4" w:space="0" w:color="auto"/>
              <w:right w:val="nil"/>
            </w:tcBorders>
            <w:shd w:val="clear" w:color="auto" w:fill="auto"/>
            <w:noWrap/>
            <w:vAlign w:val="bottom"/>
            <w:hideMark/>
          </w:tcPr>
          <w:p w14:paraId="2C4FEE06" w14:textId="77777777"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(9)</w:t>
            </w:r>
          </w:p>
        </w:tc>
        <w:tc>
          <w:tcPr>
            <w:tcW w:w="851" w:type="dxa"/>
            <w:tcBorders>
              <w:top w:val="nil"/>
              <w:left w:val="nil"/>
              <w:bottom w:val="single" w:sz="4" w:space="0" w:color="auto"/>
              <w:right w:val="nil"/>
            </w:tcBorders>
            <w:shd w:val="clear" w:color="auto" w:fill="auto"/>
            <w:noWrap/>
            <w:vAlign w:val="bottom"/>
            <w:hideMark/>
          </w:tcPr>
          <w:p w14:paraId="116B2D08" w14:textId="77777777"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(27)</w:t>
            </w:r>
          </w:p>
        </w:tc>
        <w:tc>
          <w:tcPr>
            <w:tcW w:w="850" w:type="dxa"/>
            <w:tcBorders>
              <w:top w:val="nil"/>
              <w:left w:val="nil"/>
              <w:bottom w:val="single" w:sz="4" w:space="0" w:color="auto"/>
              <w:right w:val="nil"/>
            </w:tcBorders>
            <w:shd w:val="clear" w:color="auto" w:fill="auto"/>
            <w:noWrap/>
            <w:vAlign w:val="bottom"/>
            <w:hideMark/>
          </w:tcPr>
          <w:p w14:paraId="57AB3F02" w14:textId="791D2402"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43</w:t>
            </w:r>
          </w:p>
        </w:tc>
      </w:tr>
      <w:tr w:rsidR="005F6D89" w:rsidRPr="00B55E61" w14:paraId="7B79D424" w14:textId="77777777" w:rsidTr="004F1EFA">
        <w:trPr>
          <w:trHeight w:val="204"/>
        </w:trPr>
        <w:tc>
          <w:tcPr>
            <w:tcW w:w="3119" w:type="dxa"/>
            <w:tcBorders>
              <w:top w:val="nil"/>
              <w:left w:val="nil"/>
              <w:bottom w:val="nil"/>
              <w:right w:val="nil"/>
            </w:tcBorders>
            <w:shd w:val="clear" w:color="auto" w:fill="auto"/>
            <w:vAlign w:val="bottom"/>
            <w:hideMark/>
          </w:tcPr>
          <w:p w14:paraId="25D2995E" w14:textId="646D0556" w:rsidR="005F6D89" w:rsidRPr="00B55E61" w:rsidRDefault="005F6D89" w:rsidP="006F462C">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Net impact on appropriations for</w:t>
            </w:r>
            <w:r w:rsidR="006F462C">
              <w:rPr>
                <w:rFonts w:ascii="Arial" w:hAnsi="Arial" w:cs="Arial"/>
                <w:b/>
                <w:bCs/>
                <w:color w:val="000000"/>
                <w:sz w:val="16"/>
                <w:szCs w:val="16"/>
              </w:rPr>
              <w:t xml:space="preserve"> </w:t>
            </w:r>
            <w:r w:rsidRPr="00B55E61">
              <w:rPr>
                <w:rFonts w:ascii="Arial" w:hAnsi="Arial" w:cs="Arial"/>
                <w:b/>
                <w:bCs/>
                <w:color w:val="000000"/>
                <w:sz w:val="16"/>
                <w:szCs w:val="16"/>
              </w:rPr>
              <w:t>Outcome 1 (</w:t>
            </w:r>
            <w:r w:rsidR="00D37DFC">
              <w:rPr>
                <w:rFonts w:ascii="Arial" w:hAnsi="Arial" w:cs="Arial"/>
                <w:b/>
                <w:bCs/>
                <w:color w:val="000000"/>
                <w:sz w:val="16"/>
                <w:szCs w:val="16"/>
              </w:rPr>
              <w:t>D</w:t>
            </w:r>
            <w:r w:rsidR="008863D9">
              <w:rPr>
                <w:rFonts w:ascii="Arial" w:hAnsi="Arial" w:cs="Arial"/>
                <w:b/>
                <w:bCs/>
                <w:color w:val="000000"/>
                <w:sz w:val="16"/>
                <w:szCs w:val="16"/>
              </w:rPr>
              <w:t>epartment</w:t>
            </w:r>
            <w:r w:rsidRPr="00B55E61">
              <w:rPr>
                <w:rFonts w:ascii="Arial" w:hAnsi="Arial" w:cs="Arial"/>
                <w:b/>
                <w:bCs/>
                <w:color w:val="000000"/>
                <w:sz w:val="16"/>
                <w:szCs w:val="16"/>
              </w:rPr>
              <w:t>al)</w:t>
            </w:r>
          </w:p>
        </w:tc>
        <w:tc>
          <w:tcPr>
            <w:tcW w:w="992" w:type="dxa"/>
            <w:tcBorders>
              <w:top w:val="nil"/>
              <w:left w:val="nil"/>
              <w:bottom w:val="nil"/>
              <w:right w:val="nil"/>
            </w:tcBorders>
            <w:shd w:val="clear" w:color="auto" w:fill="auto"/>
            <w:noWrap/>
            <w:vAlign w:val="bottom"/>
            <w:hideMark/>
          </w:tcPr>
          <w:p w14:paraId="1B527781" w14:textId="77777777" w:rsidR="005F6D89" w:rsidRPr="000025D5" w:rsidRDefault="005F6D89" w:rsidP="000025D5">
            <w:pPr>
              <w:spacing w:after="0" w:line="240" w:lineRule="auto"/>
              <w:jc w:val="right"/>
              <w:rPr>
                <w:rFonts w:ascii="Arial" w:hAnsi="Arial" w:cs="Arial"/>
                <w:b/>
                <w:bCs/>
                <w:sz w:val="16"/>
                <w:szCs w:val="16"/>
              </w:rPr>
            </w:pPr>
          </w:p>
        </w:tc>
        <w:tc>
          <w:tcPr>
            <w:tcW w:w="851" w:type="dxa"/>
            <w:tcBorders>
              <w:top w:val="single" w:sz="4" w:space="0" w:color="auto"/>
              <w:left w:val="nil"/>
              <w:bottom w:val="single" w:sz="4" w:space="0" w:color="auto"/>
              <w:right w:val="nil"/>
            </w:tcBorders>
            <w:shd w:val="clear" w:color="000000" w:fill="E6E6E6"/>
            <w:noWrap/>
            <w:vAlign w:val="bottom"/>
            <w:hideMark/>
          </w:tcPr>
          <w:p w14:paraId="45BF46DC" w14:textId="6DFB4CD8"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389</w:t>
            </w:r>
          </w:p>
        </w:tc>
        <w:tc>
          <w:tcPr>
            <w:tcW w:w="850" w:type="dxa"/>
            <w:tcBorders>
              <w:top w:val="single" w:sz="4" w:space="0" w:color="auto"/>
              <w:left w:val="nil"/>
              <w:bottom w:val="single" w:sz="4" w:space="0" w:color="auto"/>
              <w:right w:val="nil"/>
            </w:tcBorders>
            <w:shd w:val="clear" w:color="auto" w:fill="auto"/>
            <w:noWrap/>
            <w:vAlign w:val="bottom"/>
            <w:hideMark/>
          </w:tcPr>
          <w:p w14:paraId="560E4C33" w14:textId="5CBFFEDE"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2,302</w:t>
            </w:r>
          </w:p>
        </w:tc>
        <w:tc>
          <w:tcPr>
            <w:tcW w:w="851" w:type="dxa"/>
            <w:tcBorders>
              <w:top w:val="single" w:sz="4" w:space="0" w:color="auto"/>
              <w:left w:val="nil"/>
              <w:bottom w:val="single" w:sz="4" w:space="0" w:color="auto"/>
              <w:right w:val="nil"/>
            </w:tcBorders>
            <w:shd w:val="clear" w:color="auto" w:fill="auto"/>
            <w:noWrap/>
            <w:vAlign w:val="bottom"/>
            <w:hideMark/>
          </w:tcPr>
          <w:p w14:paraId="7D8E180A" w14:textId="4CA162FD"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780</w:t>
            </w:r>
          </w:p>
        </w:tc>
        <w:tc>
          <w:tcPr>
            <w:tcW w:w="850" w:type="dxa"/>
            <w:tcBorders>
              <w:top w:val="single" w:sz="4" w:space="0" w:color="auto"/>
              <w:left w:val="nil"/>
              <w:bottom w:val="single" w:sz="4" w:space="0" w:color="auto"/>
              <w:right w:val="nil"/>
            </w:tcBorders>
            <w:shd w:val="clear" w:color="auto" w:fill="auto"/>
            <w:noWrap/>
            <w:vAlign w:val="bottom"/>
            <w:hideMark/>
          </w:tcPr>
          <w:p w14:paraId="4F3D3DD4" w14:textId="665F63AB"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43</w:t>
            </w:r>
          </w:p>
        </w:tc>
      </w:tr>
      <w:tr w:rsidR="005F6D89" w:rsidRPr="00B55E61" w14:paraId="253ABE69" w14:textId="77777777" w:rsidTr="004F1EFA">
        <w:trPr>
          <w:trHeight w:val="204"/>
        </w:trPr>
        <w:tc>
          <w:tcPr>
            <w:tcW w:w="3119" w:type="dxa"/>
            <w:tcBorders>
              <w:top w:val="nil"/>
              <w:left w:val="nil"/>
              <w:right w:val="nil"/>
            </w:tcBorders>
            <w:shd w:val="clear" w:color="auto" w:fill="auto"/>
            <w:vAlign w:val="bottom"/>
            <w:hideMark/>
          </w:tcPr>
          <w:p w14:paraId="0BCC5906" w14:textId="5C3EE9DB" w:rsidR="005F6D89" w:rsidRPr="00B55E61" w:rsidRDefault="005F6D89" w:rsidP="006F462C">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Total net impact on appropriations</w:t>
            </w:r>
            <w:r w:rsidR="006F462C">
              <w:rPr>
                <w:rFonts w:ascii="Arial" w:hAnsi="Arial" w:cs="Arial"/>
                <w:b/>
                <w:bCs/>
                <w:color w:val="000000"/>
                <w:sz w:val="16"/>
                <w:szCs w:val="16"/>
              </w:rPr>
              <w:t xml:space="preserve"> </w:t>
            </w:r>
            <w:r w:rsidRPr="00B55E61">
              <w:rPr>
                <w:rFonts w:ascii="Arial" w:hAnsi="Arial" w:cs="Arial"/>
                <w:b/>
                <w:bCs/>
                <w:color w:val="000000"/>
                <w:sz w:val="16"/>
                <w:szCs w:val="16"/>
              </w:rPr>
              <w:t>for Outcome 1</w:t>
            </w:r>
          </w:p>
        </w:tc>
        <w:tc>
          <w:tcPr>
            <w:tcW w:w="992" w:type="dxa"/>
            <w:tcBorders>
              <w:top w:val="nil"/>
              <w:left w:val="nil"/>
              <w:bottom w:val="nil"/>
              <w:right w:val="nil"/>
            </w:tcBorders>
            <w:shd w:val="clear" w:color="auto" w:fill="auto"/>
            <w:noWrap/>
            <w:vAlign w:val="bottom"/>
            <w:hideMark/>
          </w:tcPr>
          <w:p w14:paraId="397FFD0B" w14:textId="77777777" w:rsidR="005F6D89" w:rsidRPr="000025D5" w:rsidRDefault="005F6D89" w:rsidP="000025D5">
            <w:pPr>
              <w:spacing w:after="0" w:line="240" w:lineRule="auto"/>
              <w:jc w:val="right"/>
              <w:rPr>
                <w:rFonts w:ascii="Arial" w:hAnsi="Arial" w:cs="Arial"/>
                <w:b/>
                <w:bCs/>
                <w:sz w:val="16"/>
                <w:szCs w:val="16"/>
              </w:rPr>
            </w:pPr>
          </w:p>
        </w:tc>
        <w:tc>
          <w:tcPr>
            <w:tcW w:w="851" w:type="dxa"/>
            <w:tcBorders>
              <w:top w:val="nil"/>
              <w:left w:val="nil"/>
              <w:bottom w:val="single" w:sz="4" w:space="0" w:color="auto"/>
              <w:right w:val="nil"/>
            </w:tcBorders>
            <w:shd w:val="clear" w:color="000000" w:fill="E6E6E6"/>
            <w:noWrap/>
            <w:vAlign w:val="bottom"/>
            <w:hideMark/>
          </w:tcPr>
          <w:p w14:paraId="7E1B5BDE" w14:textId="747F7634"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11,367</w:t>
            </w:r>
          </w:p>
        </w:tc>
        <w:tc>
          <w:tcPr>
            <w:tcW w:w="850" w:type="dxa"/>
            <w:tcBorders>
              <w:top w:val="nil"/>
              <w:left w:val="nil"/>
              <w:bottom w:val="single" w:sz="4" w:space="0" w:color="auto"/>
              <w:right w:val="nil"/>
            </w:tcBorders>
            <w:shd w:val="clear" w:color="auto" w:fill="auto"/>
            <w:noWrap/>
            <w:vAlign w:val="bottom"/>
            <w:hideMark/>
          </w:tcPr>
          <w:p w14:paraId="7AA061C9" w14:textId="77777777"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(3,941)</w:t>
            </w:r>
          </w:p>
        </w:tc>
        <w:tc>
          <w:tcPr>
            <w:tcW w:w="851" w:type="dxa"/>
            <w:tcBorders>
              <w:top w:val="nil"/>
              <w:left w:val="nil"/>
              <w:bottom w:val="single" w:sz="4" w:space="0" w:color="auto"/>
              <w:right w:val="nil"/>
            </w:tcBorders>
            <w:shd w:val="clear" w:color="auto" w:fill="auto"/>
            <w:noWrap/>
            <w:vAlign w:val="bottom"/>
            <w:hideMark/>
          </w:tcPr>
          <w:p w14:paraId="75D44BE2" w14:textId="58E695FC"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11,216</w:t>
            </w:r>
          </w:p>
        </w:tc>
        <w:tc>
          <w:tcPr>
            <w:tcW w:w="850" w:type="dxa"/>
            <w:tcBorders>
              <w:top w:val="nil"/>
              <w:left w:val="nil"/>
              <w:bottom w:val="single" w:sz="4" w:space="0" w:color="auto"/>
              <w:right w:val="nil"/>
            </w:tcBorders>
            <w:shd w:val="clear" w:color="auto" w:fill="auto"/>
            <w:noWrap/>
            <w:vAlign w:val="bottom"/>
            <w:hideMark/>
          </w:tcPr>
          <w:p w14:paraId="6C7024A5" w14:textId="2114D05F" w:rsidR="005F6D89" w:rsidRPr="000025D5" w:rsidRDefault="005F6D89" w:rsidP="000025D5">
            <w:pPr>
              <w:spacing w:after="0" w:line="240" w:lineRule="auto"/>
              <w:jc w:val="right"/>
              <w:rPr>
                <w:rFonts w:ascii="Arial" w:hAnsi="Arial" w:cs="Arial"/>
                <w:b/>
                <w:bCs/>
                <w:sz w:val="16"/>
                <w:szCs w:val="16"/>
              </w:rPr>
            </w:pPr>
            <w:r w:rsidRPr="000025D5">
              <w:rPr>
                <w:rFonts w:ascii="Arial" w:hAnsi="Arial" w:cs="Arial"/>
                <w:b/>
                <w:bCs/>
                <w:sz w:val="16"/>
                <w:szCs w:val="16"/>
              </w:rPr>
              <w:t>43</w:t>
            </w:r>
          </w:p>
        </w:tc>
      </w:tr>
      <w:tr w:rsidR="005F6D89" w:rsidRPr="00D37DFC" w14:paraId="5DCE853E" w14:textId="77777777" w:rsidTr="004F1EFA">
        <w:trPr>
          <w:trHeight w:val="204"/>
        </w:trPr>
        <w:tc>
          <w:tcPr>
            <w:tcW w:w="3119" w:type="dxa"/>
            <w:tcBorders>
              <w:top w:val="nil"/>
              <w:left w:val="nil"/>
              <w:bottom w:val="nil"/>
              <w:right w:val="nil"/>
            </w:tcBorders>
            <w:shd w:val="clear" w:color="auto" w:fill="auto"/>
            <w:noWrap/>
            <w:vAlign w:val="bottom"/>
            <w:hideMark/>
          </w:tcPr>
          <w:p w14:paraId="6AADCD25" w14:textId="77777777" w:rsidR="005F6D89" w:rsidRPr="00D37DFC" w:rsidRDefault="005F6D89" w:rsidP="003B3179">
            <w:pPr>
              <w:spacing w:after="0" w:line="240" w:lineRule="auto"/>
              <w:jc w:val="left"/>
              <w:rPr>
                <w:rFonts w:ascii="Arial" w:hAnsi="Arial" w:cs="Arial"/>
                <w:b/>
                <w:bCs/>
                <w:sz w:val="16"/>
                <w:szCs w:val="16"/>
              </w:rPr>
            </w:pPr>
            <w:r w:rsidRPr="00D37DFC">
              <w:rPr>
                <w:rFonts w:ascii="Arial" w:hAnsi="Arial" w:cs="Arial"/>
                <w:b/>
                <w:bCs/>
                <w:sz w:val="16"/>
                <w:szCs w:val="16"/>
              </w:rPr>
              <w:t>Outcome 2</w:t>
            </w:r>
          </w:p>
        </w:tc>
        <w:tc>
          <w:tcPr>
            <w:tcW w:w="992" w:type="dxa"/>
            <w:tcBorders>
              <w:top w:val="nil"/>
              <w:left w:val="nil"/>
              <w:bottom w:val="nil"/>
              <w:right w:val="nil"/>
            </w:tcBorders>
            <w:shd w:val="clear" w:color="auto" w:fill="auto"/>
            <w:noWrap/>
            <w:vAlign w:val="bottom"/>
            <w:hideMark/>
          </w:tcPr>
          <w:p w14:paraId="28A3FEA7" w14:textId="77777777" w:rsidR="005F6D89" w:rsidRPr="00D37DFC" w:rsidRDefault="005F6D89" w:rsidP="000025D5">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366D09F6" w14:textId="368A8E99" w:rsidR="005F6D89" w:rsidRPr="00D37DFC" w:rsidRDefault="005F6D89"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1023EC2D" w14:textId="77777777" w:rsidR="005F6D89" w:rsidRPr="00D37DFC" w:rsidRDefault="005F6D89" w:rsidP="000025D5">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4D282A9A" w14:textId="77777777" w:rsidR="005F6D89" w:rsidRPr="00D37DFC" w:rsidRDefault="005F6D89"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14:paraId="18F72EE3" w14:textId="77777777" w:rsidR="005F6D89" w:rsidRPr="00D37DFC" w:rsidRDefault="005F6D89" w:rsidP="000025D5">
            <w:pPr>
              <w:spacing w:after="0" w:line="240" w:lineRule="auto"/>
              <w:jc w:val="right"/>
              <w:rPr>
                <w:rFonts w:ascii="Times New Roman" w:hAnsi="Times New Roman"/>
                <w:sz w:val="16"/>
                <w:szCs w:val="16"/>
              </w:rPr>
            </w:pPr>
          </w:p>
        </w:tc>
      </w:tr>
      <w:tr w:rsidR="005F6D89" w:rsidRPr="00B55E61" w14:paraId="0157A444" w14:textId="77777777" w:rsidTr="004F1EFA">
        <w:trPr>
          <w:trHeight w:val="204"/>
        </w:trPr>
        <w:tc>
          <w:tcPr>
            <w:tcW w:w="3119" w:type="dxa"/>
            <w:tcBorders>
              <w:top w:val="nil"/>
              <w:left w:val="nil"/>
              <w:bottom w:val="nil"/>
              <w:right w:val="nil"/>
            </w:tcBorders>
            <w:shd w:val="clear" w:color="auto" w:fill="auto"/>
            <w:noWrap/>
            <w:vAlign w:val="bottom"/>
            <w:hideMark/>
          </w:tcPr>
          <w:p w14:paraId="56DA8000" w14:textId="77777777" w:rsidR="005F6D89" w:rsidRPr="00B55E61" w:rsidRDefault="005F6D89" w:rsidP="005F6D89">
            <w:pPr>
              <w:spacing w:after="0" w:line="240" w:lineRule="auto"/>
              <w:jc w:val="left"/>
              <w:rPr>
                <w:rFonts w:ascii="Arial" w:hAnsi="Arial" w:cs="Arial"/>
                <w:b/>
                <w:bCs/>
                <w:sz w:val="16"/>
                <w:szCs w:val="16"/>
              </w:rPr>
            </w:pPr>
            <w:r w:rsidRPr="00B55E61">
              <w:rPr>
                <w:rFonts w:ascii="Arial" w:hAnsi="Arial" w:cs="Arial"/>
                <w:b/>
                <w:bCs/>
                <w:sz w:val="16"/>
                <w:szCs w:val="16"/>
              </w:rPr>
              <w:t>Administered</w:t>
            </w:r>
          </w:p>
        </w:tc>
        <w:tc>
          <w:tcPr>
            <w:tcW w:w="992" w:type="dxa"/>
            <w:tcBorders>
              <w:top w:val="nil"/>
              <w:left w:val="nil"/>
              <w:bottom w:val="nil"/>
              <w:right w:val="nil"/>
            </w:tcBorders>
            <w:shd w:val="clear" w:color="auto" w:fill="auto"/>
            <w:noWrap/>
            <w:vAlign w:val="bottom"/>
            <w:hideMark/>
          </w:tcPr>
          <w:p w14:paraId="176D7018" w14:textId="77777777" w:rsidR="005F6D89" w:rsidRPr="000025D5" w:rsidRDefault="005F6D89" w:rsidP="000025D5">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5C72185E" w14:textId="7C8D655C" w:rsidR="005F6D89" w:rsidRPr="000025D5" w:rsidRDefault="005F6D89"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01DAB36" w14:textId="77777777" w:rsidR="005F6D89" w:rsidRPr="000025D5" w:rsidRDefault="005F6D89" w:rsidP="000025D5">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2D3E0106" w14:textId="77777777" w:rsidR="005F6D89" w:rsidRPr="000025D5" w:rsidRDefault="005F6D89"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14:paraId="3EBA04D1" w14:textId="77777777" w:rsidR="005F6D89" w:rsidRPr="000025D5" w:rsidRDefault="005F6D89" w:rsidP="000025D5">
            <w:pPr>
              <w:spacing w:after="0" w:line="240" w:lineRule="auto"/>
              <w:jc w:val="right"/>
              <w:rPr>
                <w:rFonts w:ascii="Times New Roman" w:hAnsi="Times New Roman"/>
                <w:sz w:val="16"/>
                <w:szCs w:val="16"/>
              </w:rPr>
            </w:pPr>
          </w:p>
        </w:tc>
      </w:tr>
      <w:tr w:rsidR="005F6D89" w:rsidRPr="00B55E61" w14:paraId="07780102" w14:textId="77777777" w:rsidTr="004F1EFA">
        <w:trPr>
          <w:trHeight w:val="204"/>
        </w:trPr>
        <w:tc>
          <w:tcPr>
            <w:tcW w:w="3119" w:type="dxa"/>
            <w:tcBorders>
              <w:top w:val="nil"/>
              <w:left w:val="nil"/>
              <w:bottom w:val="nil"/>
              <w:right w:val="nil"/>
            </w:tcBorders>
            <w:shd w:val="clear" w:color="auto" w:fill="auto"/>
            <w:noWrap/>
            <w:vAlign w:val="bottom"/>
            <w:hideMark/>
          </w:tcPr>
          <w:p w14:paraId="1A456C1E" w14:textId="536E6172" w:rsidR="005F6D89" w:rsidRPr="00B55E61" w:rsidRDefault="005F6D89" w:rsidP="005F6D89">
            <w:pPr>
              <w:spacing w:after="0" w:line="240" w:lineRule="auto"/>
              <w:ind w:left="113"/>
              <w:jc w:val="left"/>
              <w:rPr>
                <w:rFonts w:ascii="Arial" w:hAnsi="Arial" w:cs="Arial"/>
                <w:b/>
                <w:bCs/>
                <w:sz w:val="16"/>
                <w:szCs w:val="16"/>
              </w:rPr>
            </w:pPr>
            <w:r w:rsidRPr="00B55E61">
              <w:rPr>
                <w:rFonts w:ascii="Arial" w:hAnsi="Arial" w:cs="Arial"/>
                <w:b/>
                <w:bCs/>
                <w:sz w:val="16"/>
                <w:szCs w:val="16"/>
              </w:rPr>
              <w:t>Measures</w:t>
            </w:r>
          </w:p>
        </w:tc>
        <w:tc>
          <w:tcPr>
            <w:tcW w:w="992" w:type="dxa"/>
            <w:tcBorders>
              <w:top w:val="nil"/>
              <w:left w:val="nil"/>
              <w:bottom w:val="nil"/>
              <w:right w:val="nil"/>
            </w:tcBorders>
            <w:shd w:val="clear" w:color="auto" w:fill="auto"/>
            <w:noWrap/>
            <w:vAlign w:val="bottom"/>
            <w:hideMark/>
          </w:tcPr>
          <w:p w14:paraId="74518334" w14:textId="77777777" w:rsidR="005F6D89" w:rsidRPr="000025D5" w:rsidRDefault="005F6D89" w:rsidP="000025D5">
            <w:pPr>
              <w:spacing w:after="0" w:line="240" w:lineRule="auto"/>
              <w:ind w:firstLineChars="100" w:firstLine="160"/>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76235218" w14:textId="57767C32" w:rsidR="005F6D89" w:rsidRPr="000025D5" w:rsidRDefault="005F6D89"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411500A" w14:textId="77777777" w:rsidR="005F6D89" w:rsidRPr="000025D5" w:rsidRDefault="005F6D89" w:rsidP="000025D5">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67386A12" w14:textId="77777777" w:rsidR="005F6D89" w:rsidRPr="000025D5" w:rsidRDefault="005F6D89"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14:paraId="7A4A1797" w14:textId="77777777" w:rsidR="005F6D89" w:rsidRPr="000025D5" w:rsidRDefault="005F6D89" w:rsidP="000025D5">
            <w:pPr>
              <w:spacing w:after="0" w:line="240" w:lineRule="auto"/>
              <w:jc w:val="right"/>
              <w:rPr>
                <w:rFonts w:ascii="Times New Roman" w:hAnsi="Times New Roman"/>
                <w:sz w:val="16"/>
                <w:szCs w:val="16"/>
              </w:rPr>
            </w:pPr>
          </w:p>
        </w:tc>
      </w:tr>
      <w:tr w:rsidR="005F6D89" w:rsidRPr="00B55E61" w14:paraId="1DBCA480" w14:textId="77777777" w:rsidTr="004F1EFA">
        <w:trPr>
          <w:trHeight w:val="204"/>
        </w:trPr>
        <w:tc>
          <w:tcPr>
            <w:tcW w:w="3119" w:type="dxa"/>
            <w:tcBorders>
              <w:top w:val="nil"/>
              <w:left w:val="nil"/>
              <w:bottom w:val="nil"/>
              <w:right w:val="nil"/>
            </w:tcBorders>
            <w:shd w:val="clear" w:color="auto" w:fill="auto"/>
            <w:vAlign w:val="bottom"/>
            <w:hideMark/>
          </w:tcPr>
          <w:p w14:paraId="21CB54AA"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Aviation Recovery Framework</w:t>
            </w:r>
          </w:p>
        </w:tc>
        <w:tc>
          <w:tcPr>
            <w:tcW w:w="992" w:type="dxa"/>
            <w:tcBorders>
              <w:top w:val="nil"/>
              <w:left w:val="nil"/>
              <w:bottom w:val="nil"/>
              <w:right w:val="nil"/>
            </w:tcBorders>
            <w:shd w:val="clear" w:color="auto" w:fill="auto"/>
            <w:noWrap/>
            <w:vAlign w:val="bottom"/>
            <w:hideMark/>
          </w:tcPr>
          <w:p w14:paraId="107BB44F" w14:textId="77777777" w:rsidR="005F6D89" w:rsidRPr="000025D5" w:rsidRDefault="005F6D89" w:rsidP="000025D5">
            <w:pPr>
              <w:spacing w:after="0" w:line="240" w:lineRule="auto"/>
              <w:jc w:val="center"/>
              <w:rPr>
                <w:rFonts w:ascii="Arial" w:hAnsi="Arial" w:cs="Arial"/>
                <w:sz w:val="16"/>
                <w:szCs w:val="16"/>
              </w:rPr>
            </w:pPr>
            <w:r w:rsidRPr="000025D5">
              <w:rPr>
                <w:rFonts w:ascii="Arial" w:hAnsi="Arial" w:cs="Arial"/>
                <w:sz w:val="16"/>
                <w:szCs w:val="16"/>
              </w:rPr>
              <w:t>2.3</w:t>
            </w:r>
          </w:p>
        </w:tc>
        <w:tc>
          <w:tcPr>
            <w:tcW w:w="851" w:type="dxa"/>
            <w:tcBorders>
              <w:top w:val="nil"/>
              <w:left w:val="nil"/>
              <w:bottom w:val="nil"/>
              <w:right w:val="nil"/>
            </w:tcBorders>
            <w:shd w:val="clear" w:color="000000" w:fill="E6E6E6"/>
            <w:noWrap/>
            <w:vAlign w:val="bottom"/>
            <w:hideMark/>
          </w:tcPr>
          <w:p w14:paraId="74C0F72A" w14:textId="77877B14"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12,100</w:t>
            </w:r>
          </w:p>
        </w:tc>
        <w:tc>
          <w:tcPr>
            <w:tcW w:w="850" w:type="dxa"/>
            <w:tcBorders>
              <w:top w:val="nil"/>
              <w:left w:val="nil"/>
              <w:bottom w:val="nil"/>
              <w:right w:val="nil"/>
            </w:tcBorders>
            <w:shd w:val="clear" w:color="auto" w:fill="auto"/>
            <w:noWrap/>
            <w:vAlign w:val="bottom"/>
            <w:hideMark/>
          </w:tcPr>
          <w:p w14:paraId="29D6F681" w14:textId="2389A434"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13,967</w:t>
            </w:r>
          </w:p>
        </w:tc>
        <w:tc>
          <w:tcPr>
            <w:tcW w:w="851" w:type="dxa"/>
            <w:tcBorders>
              <w:top w:val="nil"/>
              <w:left w:val="nil"/>
              <w:bottom w:val="nil"/>
              <w:right w:val="nil"/>
            </w:tcBorders>
            <w:shd w:val="clear" w:color="auto" w:fill="auto"/>
            <w:noWrap/>
            <w:vAlign w:val="bottom"/>
            <w:hideMark/>
          </w:tcPr>
          <w:p w14:paraId="36BB6A3C" w14:textId="726D3521"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15,496</w:t>
            </w:r>
          </w:p>
        </w:tc>
        <w:tc>
          <w:tcPr>
            <w:tcW w:w="850" w:type="dxa"/>
            <w:tcBorders>
              <w:top w:val="nil"/>
              <w:left w:val="nil"/>
              <w:bottom w:val="nil"/>
              <w:right w:val="nil"/>
            </w:tcBorders>
            <w:shd w:val="clear" w:color="auto" w:fill="auto"/>
            <w:noWrap/>
            <w:vAlign w:val="bottom"/>
            <w:hideMark/>
          </w:tcPr>
          <w:p w14:paraId="4EE7628D" w14:textId="629C35D0"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12,527</w:t>
            </w:r>
          </w:p>
        </w:tc>
      </w:tr>
      <w:tr w:rsidR="005F6D89" w:rsidRPr="00B55E61" w14:paraId="7E77F62C" w14:textId="77777777" w:rsidTr="004F1EFA">
        <w:trPr>
          <w:trHeight w:val="204"/>
        </w:trPr>
        <w:tc>
          <w:tcPr>
            <w:tcW w:w="3119" w:type="dxa"/>
            <w:tcBorders>
              <w:top w:val="nil"/>
              <w:left w:val="nil"/>
              <w:bottom w:val="nil"/>
              <w:right w:val="nil"/>
            </w:tcBorders>
            <w:shd w:val="clear" w:color="auto" w:fill="auto"/>
            <w:vAlign w:val="bottom"/>
            <w:hideMark/>
          </w:tcPr>
          <w:p w14:paraId="68FF7DD7" w14:textId="332DECC9"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 xml:space="preserve">COVID-19 Response Package - additional aviation support </w:t>
            </w:r>
            <w:r w:rsidR="003101EC">
              <w:rPr>
                <w:rFonts w:ascii="Arial" w:hAnsi="Arial" w:cs="Arial"/>
                <w:sz w:val="16"/>
                <w:szCs w:val="16"/>
              </w:rPr>
              <w:t>–</w:t>
            </w:r>
            <w:r w:rsidRPr="00B55E61">
              <w:rPr>
                <w:rFonts w:ascii="Arial" w:hAnsi="Arial" w:cs="Arial"/>
                <w:sz w:val="16"/>
                <w:szCs w:val="16"/>
              </w:rPr>
              <w:t xml:space="preserve"> continued</w:t>
            </w:r>
            <w:r w:rsidR="003101EC">
              <w:rPr>
                <w:rFonts w:ascii="Arial" w:hAnsi="Arial" w:cs="Arial"/>
                <w:sz w:val="16"/>
                <w:szCs w:val="16"/>
              </w:rPr>
              <w:t xml:space="preserve"> </w:t>
            </w:r>
            <w:r w:rsidR="003101EC" w:rsidRPr="003101EC">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hideMark/>
          </w:tcPr>
          <w:p w14:paraId="2C8B9BEA" w14:textId="77777777" w:rsidR="005F6D89" w:rsidRPr="000025D5" w:rsidRDefault="005F6D89" w:rsidP="000025D5">
            <w:pPr>
              <w:spacing w:after="0" w:line="240" w:lineRule="auto"/>
              <w:jc w:val="center"/>
              <w:rPr>
                <w:rFonts w:ascii="Arial" w:hAnsi="Arial" w:cs="Arial"/>
                <w:sz w:val="16"/>
                <w:szCs w:val="16"/>
              </w:rPr>
            </w:pPr>
            <w:r w:rsidRPr="000025D5">
              <w:rPr>
                <w:rFonts w:ascii="Arial" w:hAnsi="Arial" w:cs="Arial"/>
                <w:sz w:val="16"/>
                <w:szCs w:val="16"/>
              </w:rPr>
              <w:t>2.3</w:t>
            </w:r>
          </w:p>
        </w:tc>
        <w:tc>
          <w:tcPr>
            <w:tcW w:w="851" w:type="dxa"/>
            <w:tcBorders>
              <w:top w:val="nil"/>
              <w:left w:val="nil"/>
              <w:bottom w:val="nil"/>
              <w:right w:val="nil"/>
            </w:tcBorders>
            <w:shd w:val="clear" w:color="000000" w:fill="E6E6E6"/>
            <w:noWrap/>
            <w:vAlign w:val="bottom"/>
            <w:hideMark/>
          </w:tcPr>
          <w:p w14:paraId="02E92EB0" w14:textId="77777777" w:rsidR="005F6D89" w:rsidRPr="000025D5" w:rsidRDefault="005F6D89"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c>
          <w:tcPr>
            <w:tcW w:w="850" w:type="dxa"/>
            <w:tcBorders>
              <w:top w:val="nil"/>
              <w:left w:val="nil"/>
              <w:bottom w:val="nil"/>
              <w:right w:val="nil"/>
            </w:tcBorders>
            <w:shd w:val="clear" w:color="auto" w:fill="auto"/>
            <w:noWrap/>
            <w:vAlign w:val="bottom"/>
            <w:hideMark/>
          </w:tcPr>
          <w:p w14:paraId="46B0BEC6" w14:textId="1DC94C19"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05938B8D" w14:textId="4E792543"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085D4DA2" w14:textId="18974E70"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w:t>
            </w:r>
          </w:p>
        </w:tc>
      </w:tr>
      <w:tr w:rsidR="005F6D89" w:rsidRPr="00B55E61" w14:paraId="0258E999" w14:textId="77777777" w:rsidTr="004F1EFA">
        <w:trPr>
          <w:trHeight w:val="204"/>
        </w:trPr>
        <w:tc>
          <w:tcPr>
            <w:tcW w:w="3119" w:type="dxa"/>
            <w:tcBorders>
              <w:top w:val="nil"/>
              <w:left w:val="nil"/>
              <w:bottom w:val="nil"/>
              <w:right w:val="nil"/>
            </w:tcBorders>
            <w:shd w:val="clear" w:color="auto" w:fill="auto"/>
            <w:vAlign w:val="bottom"/>
            <w:hideMark/>
          </w:tcPr>
          <w:p w14:paraId="5B2BEA46" w14:textId="11DBEA6E" w:rsidR="005F6D89" w:rsidRPr="00B55E61" w:rsidRDefault="005F6D89" w:rsidP="003101EC">
            <w:pPr>
              <w:spacing w:after="0" w:line="240" w:lineRule="auto"/>
              <w:ind w:left="227"/>
              <w:jc w:val="left"/>
              <w:rPr>
                <w:rFonts w:ascii="Arial" w:hAnsi="Arial" w:cs="Arial"/>
                <w:sz w:val="16"/>
                <w:szCs w:val="16"/>
              </w:rPr>
            </w:pPr>
            <w:r w:rsidRPr="00B55E61">
              <w:rPr>
                <w:rFonts w:ascii="Arial" w:hAnsi="Arial" w:cs="Arial"/>
                <w:sz w:val="16"/>
                <w:szCs w:val="16"/>
              </w:rPr>
              <w:t>WSA Co Limited - equity injection</w:t>
            </w:r>
            <w:r w:rsidR="003101EC">
              <w:rPr>
                <w:rFonts w:ascii="Arial" w:hAnsi="Arial" w:cs="Arial"/>
                <w:sz w:val="16"/>
                <w:szCs w:val="16"/>
              </w:rPr>
              <w:t xml:space="preserve">  </w:t>
            </w:r>
            <w:r w:rsidR="003101EC" w:rsidRPr="003101EC">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hideMark/>
          </w:tcPr>
          <w:p w14:paraId="3EC755AC" w14:textId="77777777" w:rsidR="005F6D89" w:rsidRPr="000025D5" w:rsidRDefault="005F6D89" w:rsidP="000025D5">
            <w:pPr>
              <w:spacing w:after="0" w:line="240" w:lineRule="auto"/>
              <w:jc w:val="center"/>
              <w:rPr>
                <w:rFonts w:ascii="Arial" w:hAnsi="Arial" w:cs="Arial"/>
                <w:sz w:val="16"/>
                <w:szCs w:val="16"/>
              </w:rPr>
            </w:pPr>
            <w:r w:rsidRPr="000025D5">
              <w:rPr>
                <w:rFonts w:ascii="Arial" w:hAnsi="Arial" w:cs="Arial"/>
                <w:sz w:val="16"/>
                <w:szCs w:val="16"/>
              </w:rPr>
              <w:t>2.3</w:t>
            </w:r>
          </w:p>
        </w:tc>
        <w:tc>
          <w:tcPr>
            <w:tcW w:w="851" w:type="dxa"/>
            <w:tcBorders>
              <w:top w:val="nil"/>
              <w:left w:val="nil"/>
              <w:bottom w:val="nil"/>
              <w:right w:val="nil"/>
            </w:tcBorders>
            <w:shd w:val="clear" w:color="000000" w:fill="E6E6E6"/>
            <w:noWrap/>
            <w:vAlign w:val="bottom"/>
            <w:hideMark/>
          </w:tcPr>
          <w:p w14:paraId="002E83F3" w14:textId="04CDB84D" w:rsidR="005F6D89" w:rsidRPr="000025D5" w:rsidRDefault="003101EC" w:rsidP="000025D5">
            <w:pPr>
              <w:spacing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850" w:type="dxa"/>
            <w:tcBorders>
              <w:top w:val="nil"/>
              <w:left w:val="nil"/>
              <w:bottom w:val="nil"/>
              <w:right w:val="nil"/>
            </w:tcBorders>
            <w:shd w:val="clear" w:color="auto" w:fill="auto"/>
            <w:noWrap/>
            <w:vAlign w:val="bottom"/>
            <w:hideMark/>
          </w:tcPr>
          <w:p w14:paraId="1388BA4D" w14:textId="77777777" w:rsidR="005F6D89" w:rsidRPr="000025D5" w:rsidRDefault="005F6D89"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c>
          <w:tcPr>
            <w:tcW w:w="851" w:type="dxa"/>
            <w:tcBorders>
              <w:top w:val="nil"/>
              <w:left w:val="nil"/>
              <w:bottom w:val="nil"/>
              <w:right w:val="nil"/>
            </w:tcBorders>
            <w:shd w:val="clear" w:color="auto" w:fill="auto"/>
            <w:noWrap/>
            <w:vAlign w:val="bottom"/>
            <w:hideMark/>
          </w:tcPr>
          <w:p w14:paraId="7F5FD837" w14:textId="77777777" w:rsidR="005F6D89" w:rsidRPr="000025D5" w:rsidRDefault="005F6D89"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c>
          <w:tcPr>
            <w:tcW w:w="850" w:type="dxa"/>
            <w:tcBorders>
              <w:top w:val="nil"/>
              <w:left w:val="nil"/>
              <w:bottom w:val="nil"/>
              <w:right w:val="nil"/>
            </w:tcBorders>
            <w:shd w:val="clear" w:color="auto" w:fill="auto"/>
            <w:noWrap/>
            <w:vAlign w:val="bottom"/>
            <w:hideMark/>
          </w:tcPr>
          <w:p w14:paraId="1AF69FB0" w14:textId="77777777" w:rsidR="005F6D89" w:rsidRPr="000025D5" w:rsidRDefault="005F6D89" w:rsidP="000025D5">
            <w:pPr>
              <w:spacing w:after="0" w:line="240" w:lineRule="auto"/>
              <w:jc w:val="right"/>
              <w:rPr>
                <w:rFonts w:ascii="Arial" w:hAnsi="Arial" w:cs="Arial"/>
                <w:sz w:val="16"/>
                <w:szCs w:val="16"/>
              </w:rPr>
            </w:pPr>
            <w:proofErr w:type="spellStart"/>
            <w:r w:rsidRPr="000025D5">
              <w:rPr>
                <w:rFonts w:ascii="Arial" w:hAnsi="Arial" w:cs="Arial"/>
                <w:sz w:val="16"/>
                <w:szCs w:val="16"/>
              </w:rPr>
              <w:t>nfp</w:t>
            </w:r>
            <w:proofErr w:type="spellEnd"/>
          </w:p>
        </w:tc>
      </w:tr>
      <w:tr w:rsidR="005F6D89" w:rsidRPr="00B55E61" w14:paraId="230FED20" w14:textId="77777777" w:rsidTr="004F1EFA">
        <w:trPr>
          <w:trHeight w:val="204"/>
        </w:trPr>
        <w:tc>
          <w:tcPr>
            <w:tcW w:w="3119" w:type="dxa"/>
            <w:tcBorders>
              <w:top w:val="nil"/>
              <w:left w:val="nil"/>
              <w:bottom w:val="nil"/>
              <w:right w:val="nil"/>
            </w:tcBorders>
            <w:shd w:val="clear" w:color="auto" w:fill="auto"/>
            <w:noWrap/>
            <w:vAlign w:val="bottom"/>
            <w:hideMark/>
          </w:tcPr>
          <w:p w14:paraId="6D3515AF" w14:textId="77777777" w:rsidR="005F6D89" w:rsidRPr="00B55E61" w:rsidRDefault="005F6D89" w:rsidP="005F6D89">
            <w:pPr>
              <w:spacing w:after="0" w:line="240" w:lineRule="auto"/>
              <w:ind w:left="113"/>
              <w:jc w:val="left"/>
              <w:rPr>
                <w:rFonts w:ascii="Arial" w:hAnsi="Arial" w:cs="Arial"/>
                <w:b/>
                <w:bCs/>
                <w:sz w:val="16"/>
                <w:szCs w:val="16"/>
              </w:rPr>
            </w:pPr>
            <w:r w:rsidRPr="00B55E61">
              <w:rPr>
                <w:rFonts w:ascii="Arial" w:hAnsi="Arial" w:cs="Arial"/>
                <w:b/>
                <w:bCs/>
                <w:sz w:val="16"/>
                <w:szCs w:val="16"/>
              </w:rPr>
              <w:t>Other Variations</w:t>
            </w:r>
          </w:p>
        </w:tc>
        <w:tc>
          <w:tcPr>
            <w:tcW w:w="992" w:type="dxa"/>
            <w:tcBorders>
              <w:top w:val="nil"/>
              <w:left w:val="nil"/>
              <w:bottom w:val="nil"/>
              <w:right w:val="nil"/>
            </w:tcBorders>
            <w:shd w:val="clear" w:color="auto" w:fill="auto"/>
            <w:noWrap/>
            <w:vAlign w:val="bottom"/>
            <w:hideMark/>
          </w:tcPr>
          <w:p w14:paraId="288DBF6E" w14:textId="77777777" w:rsidR="005F6D89" w:rsidRPr="000025D5" w:rsidRDefault="005F6D89" w:rsidP="000025D5">
            <w:pPr>
              <w:spacing w:after="0" w:line="240" w:lineRule="auto"/>
              <w:ind w:firstLineChars="100" w:firstLine="160"/>
              <w:jc w:val="right"/>
              <w:rPr>
                <w:rFonts w:ascii="Arial" w:hAnsi="Arial" w:cs="Arial"/>
                <w:b/>
                <w:bCs/>
                <w:sz w:val="16"/>
                <w:szCs w:val="16"/>
              </w:rPr>
            </w:pPr>
          </w:p>
        </w:tc>
        <w:tc>
          <w:tcPr>
            <w:tcW w:w="851" w:type="dxa"/>
            <w:tcBorders>
              <w:top w:val="nil"/>
              <w:left w:val="nil"/>
              <w:bottom w:val="nil"/>
              <w:right w:val="nil"/>
            </w:tcBorders>
            <w:shd w:val="clear" w:color="000000" w:fill="E6E6E6"/>
            <w:noWrap/>
            <w:vAlign w:val="bottom"/>
            <w:hideMark/>
          </w:tcPr>
          <w:p w14:paraId="60F5A551" w14:textId="0D1A29D6" w:rsidR="005F6D89" w:rsidRPr="000025D5" w:rsidRDefault="005F6D89"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AD403C5" w14:textId="77777777" w:rsidR="005F6D89" w:rsidRPr="000025D5" w:rsidRDefault="005F6D89" w:rsidP="000025D5">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42A17342" w14:textId="77777777" w:rsidR="005F6D89" w:rsidRPr="000025D5" w:rsidRDefault="005F6D89"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14:paraId="46CF8AE2" w14:textId="77777777" w:rsidR="005F6D89" w:rsidRPr="000025D5" w:rsidRDefault="005F6D89" w:rsidP="000025D5">
            <w:pPr>
              <w:spacing w:after="0" w:line="240" w:lineRule="auto"/>
              <w:jc w:val="right"/>
              <w:rPr>
                <w:rFonts w:ascii="Times New Roman" w:hAnsi="Times New Roman"/>
                <w:sz w:val="16"/>
                <w:szCs w:val="16"/>
              </w:rPr>
            </w:pPr>
          </w:p>
        </w:tc>
      </w:tr>
      <w:tr w:rsidR="005F6D89" w:rsidRPr="00B55E61" w14:paraId="3FAB597D" w14:textId="77777777" w:rsidTr="004F1EFA">
        <w:trPr>
          <w:trHeight w:val="204"/>
        </w:trPr>
        <w:tc>
          <w:tcPr>
            <w:tcW w:w="3119" w:type="dxa"/>
            <w:tcBorders>
              <w:top w:val="nil"/>
              <w:left w:val="nil"/>
              <w:bottom w:val="nil"/>
              <w:right w:val="nil"/>
            </w:tcBorders>
            <w:shd w:val="clear" w:color="auto" w:fill="auto"/>
            <w:vAlign w:val="bottom"/>
            <w:hideMark/>
          </w:tcPr>
          <w:p w14:paraId="3508A31E"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Movement of funds</w:t>
            </w:r>
          </w:p>
        </w:tc>
        <w:tc>
          <w:tcPr>
            <w:tcW w:w="992" w:type="dxa"/>
            <w:tcBorders>
              <w:top w:val="nil"/>
              <w:left w:val="nil"/>
              <w:bottom w:val="nil"/>
              <w:right w:val="nil"/>
            </w:tcBorders>
            <w:shd w:val="clear" w:color="auto" w:fill="auto"/>
            <w:noWrap/>
            <w:vAlign w:val="bottom"/>
            <w:hideMark/>
          </w:tcPr>
          <w:p w14:paraId="27667C1C" w14:textId="34FDCC33" w:rsidR="005F6D89" w:rsidRPr="000025D5" w:rsidRDefault="005F6D89" w:rsidP="000025D5">
            <w:pPr>
              <w:spacing w:after="0" w:line="240" w:lineRule="auto"/>
              <w:jc w:val="center"/>
              <w:rPr>
                <w:rFonts w:ascii="Arial" w:hAnsi="Arial" w:cs="Arial"/>
                <w:sz w:val="16"/>
                <w:szCs w:val="16"/>
              </w:rPr>
            </w:pPr>
            <w:r w:rsidRPr="000025D5">
              <w:rPr>
                <w:rFonts w:ascii="Arial" w:hAnsi="Arial" w:cs="Arial"/>
                <w:sz w:val="16"/>
                <w:szCs w:val="16"/>
              </w:rPr>
              <w:t>2.1</w:t>
            </w:r>
            <w:r w:rsidR="000025D5">
              <w:rPr>
                <w:rFonts w:ascii="Arial" w:hAnsi="Arial" w:cs="Arial"/>
                <w:sz w:val="16"/>
                <w:szCs w:val="16"/>
              </w:rPr>
              <w:t xml:space="preserve"> </w:t>
            </w:r>
            <w:r w:rsidRPr="000025D5">
              <w:rPr>
                <w:rFonts w:ascii="Arial" w:hAnsi="Arial" w:cs="Arial"/>
                <w:sz w:val="16"/>
                <w:szCs w:val="16"/>
              </w:rPr>
              <w:t>to</w:t>
            </w:r>
            <w:r w:rsidR="000025D5">
              <w:rPr>
                <w:rFonts w:ascii="Arial" w:hAnsi="Arial" w:cs="Arial"/>
                <w:sz w:val="16"/>
                <w:szCs w:val="16"/>
              </w:rPr>
              <w:t xml:space="preserve"> </w:t>
            </w:r>
            <w:r w:rsidRPr="000025D5">
              <w:rPr>
                <w:rFonts w:ascii="Arial" w:hAnsi="Arial" w:cs="Arial"/>
                <w:sz w:val="16"/>
                <w:szCs w:val="16"/>
              </w:rPr>
              <w:t>2.3</w:t>
            </w:r>
          </w:p>
        </w:tc>
        <w:tc>
          <w:tcPr>
            <w:tcW w:w="851" w:type="dxa"/>
            <w:tcBorders>
              <w:top w:val="nil"/>
              <w:left w:val="nil"/>
              <w:bottom w:val="nil"/>
              <w:right w:val="nil"/>
            </w:tcBorders>
            <w:shd w:val="clear" w:color="000000" w:fill="E6E6E6"/>
            <w:noWrap/>
            <w:vAlign w:val="bottom"/>
            <w:hideMark/>
          </w:tcPr>
          <w:p w14:paraId="21B3F938" w14:textId="519A7CE7"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181,039</w:t>
            </w:r>
          </w:p>
        </w:tc>
        <w:tc>
          <w:tcPr>
            <w:tcW w:w="850" w:type="dxa"/>
            <w:tcBorders>
              <w:top w:val="nil"/>
              <w:left w:val="nil"/>
              <w:bottom w:val="nil"/>
              <w:right w:val="nil"/>
            </w:tcBorders>
            <w:shd w:val="clear" w:color="auto" w:fill="auto"/>
            <w:noWrap/>
            <w:vAlign w:val="bottom"/>
            <w:hideMark/>
          </w:tcPr>
          <w:p w14:paraId="106C91EB" w14:textId="2EB67C0A"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40,455</w:t>
            </w:r>
          </w:p>
        </w:tc>
        <w:tc>
          <w:tcPr>
            <w:tcW w:w="851" w:type="dxa"/>
            <w:tcBorders>
              <w:top w:val="nil"/>
              <w:left w:val="nil"/>
              <w:bottom w:val="nil"/>
              <w:right w:val="nil"/>
            </w:tcBorders>
            <w:shd w:val="clear" w:color="auto" w:fill="auto"/>
            <w:noWrap/>
            <w:vAlign w:val="bottom"/>
            <w:hideMark/>
          </w:tcPr>
          <w:p w14:paraId="30269D2B" w14:textId="29C16878"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12,350</w:t>
            </w:r>
          </w:p>
        </w:tc>
        <w:tc>
          <w:tcPr>
            <w:tcW w:w="850" w:type="dxa"/>
            <w:tcBorders>
              <w:top w:val="nil"/>
              <w:left w:val="nil"/>
              <w:bottom w:val="nil"/>
              <w:right w:val="nil"/>
            </w:tcBorders>
            <w:shd w:val="clear" w:color="auto" w:fill="auto"/>
            <w:noWrap/>
            <w:vAlign w:val="bottom"/>
            <w:hideMark/>
          </w:tcPr>
          <w:p w14:paraId="54684852" w14:textId="7BD19F74"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w:t>
            </w:r>
          </w:p>
        </w:tc>
      </w:tr>
      <w:tr w:rsidR="005F6D89" w:rsidRPr="00B55E61" w14:paraId="47280763" w14:textId="77777777" w:rsidTr="004F1EFA">
        <w:trPr>
          <w:trHeight w:val="204"/>
        </w:trPr>
        <w:tc>
          <w:tcPr>
            <w:tcW w:w="3119" w:type="dxa"/>
            <w:tcBorders>
              <w:top w:val="nil"/>
              <w:left w:val="nil"/>
              <w:bottom w:val="nil"/>
              <w:right w:val="nil"/>
            </w:tcBorders>
            <w:shd w:val="clear" w:color="auto" w:fill="auto"/>
            <w:vAlign w:val="bottom"/>
            <w:hideMark/>
          </w:tcPr>
          <w:p w14:paraId="2B94F93D"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Changes in parameters</w:t>
            </w:r>
          </w:p>
        </w:tc>
        <w:tc>
          <w:tcPr>
            <w:tcW w:w="992" w:type="dxa"/>
            <w:tcBorders>
              <w:top w:val="nil"/>
              <w:left w:val="nil"/>
              <w:bottom w:val="nil"/>
              <w:right w:val="nil"/>
            </w:tcBorders>
            <w:shd w:val="clear" w:color="auto" w:fill="auto"/>
            <w:noWrap/>
            <w:vAlign w:val="bottom"/>
            <w:hideMark/>
          </w:tcPr>
          <w:p w14:paraId="0D2A510F" w14:textId="561E9D89" w:rsidR="005F6D89" w:rsidRPr="000025D5" w:rsidRDefault="005F6D89" w:rsidP="000025D5">
            <w:pPr>
              <w:spacing w:after="0" w:line="240" w:lineRule="auto"/>
              <w:jc w:val="center"/>
              <w:rPr>
                <w:rFonts w:ascii="Arial" w:hAnsi="Arial" w:cs="Arial"/>
                <w:sz w:val="16"/>
                <w:szCs w:val="16"/>
              </w:rPr>
            </w:pPr>
            <w:r w:rsidRPr="000025D5">
              <w:rPr>
                <w:rFonts w:ascii="Arial" w:hAnsi="Arial" w:cs="Arial"/>
                <w:sz w:val="16"/>
                <w:szCs w:val="16"/>
              </w:rPr>
              <w:t>2.1</w:t>
            </w:r>
            <w:r w:rsidR="000025D5">
              <w:rPr>
                <w:rFonts w:ascii="Arial" w:hAnsi="Arial" w:cs="Arial"/>
                <w:sz w:val="16"/>
                <w:szCs w:val="16"/>
              </w:rPr>
              <w:t xml:space="preserve"> </w:t>
            </w:r>
            <w:r w:rsidRPr="000025D5">
              <w:rPr>
                <w:rFonts w:ascii="Arial" w:hAnsi="Arial" w:cs="Arial"/>
                <w:sz w:val="16"/>
                <w:szCs w:val="16"/>
              </w:rPr>
              <w:t>to</w:t>
            </w:r>
            <w:r w:rsidR="000025D5">
              <w:rPr>
                <w:rFonts w:ascii="Arial" w:hAnsi="Arial" w:cs="Arial"/>
                <w:sz w:val="16"/>
                <w:szCs w:val="16"/>
              </w:rPr>
              <w:t xml:space="preserve"> </w:t>
            </w:r>
            <w:r w:rsidRPr="000025D5">
              <w:rPr>
                <w:rFonts w:ascii="Arial" w:hAnsi="Arial" w:cs="Arial"/>
                <w:sz w:val="16"/>
                <w:szCs w:val="16"/>
              </w:rPr>
              <w:t>2.3</w:t>
            </w:r>
          </w:p>
        </w:tc>
        <w:tc>
          <w:tcPr>
            <w:tcW w:w="851" w:type="dxa"/>
            <w:tcBorders>
              <w:top w:val="nil"/>
              <w:left w:val="nil"/>
              <w:bottom w:val="nil"/>
              <w:right w:val="nil"/>
            </w:tcBorders>
            <w:shd w:val="clear" w:color="000000" w:fill="E6E6E6"/>
            <w:noWrap/>
            <w:vAlign w:val="bottom"/>
            <w:hideMark/>
          </w:tcPr>
          <w:p w14:paraId="2B747342" w14:textId="53D05C1D"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2D767768" w14:textId="7B6AA02B"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404</w:t>
            </w:r>
          </w:p>
        </w:tc>
        <w:tc>
          <w:tcPr>
            <w:tcW w:w="851" w:type="dxa"/>
            <w:tcBorders>
              <w:top w:val="nil"/>
              <w:left w:val="nil"/>
              <w:bottom w:val="nil"/>
              <w:right w:val="nil"/>
            </w:tcBorders>
            <w:shd w:val="clear" w:color="auto" w:fill="auto"/>
            <w:noWrap/>
            <w:vAlign w:val="bottom"/>
            <w:hideMark/>
          </w:tcPr>
          <w:p w14:paraId="34CF8EBF" w14:textId="448F9771"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854</w:t>
            </w:r>
          </w:p>
        </w:tc>
        <w:tc>
          <w:tcPr>
            <w:tcW w:w="850" w:type="dxa"/>
            <w:tcBorders>
              <w:top w:val="nil"/>
              <w:left w:val="nil"/>
              <w:bottom w:val="nil"/>
              <w:right w:val="nil"/>
            </w:tcBorders>
            <w:shd w:val="clear" w:color="auto" w:fill="auto"/>
            <w:noWrap/>
            <w:vAlign w:val="bottom"/>
            <w:hideMark/>
          </w:tcPr>
          <w:p w14:paraId="19A4178C" w14:textId="53B1B3C6"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1,128</w:t>
            </w:r>
          </w:p>
        </w:tc>
      </w:tr>
      <w:tr w:rsidR="005F6D89" w:rsidRPr="00B55E61" w14:paraId="5C82EB89" w14:textId="77777777" w:rsidTr="004F1EFA">
        <w:trPr>
          <w:trHeight w:val="204"/>
        </w:trPr>
        <w:tc>
          <w:tcPr>
            <w:tcW w:w="3119" w:type="dxa"/>
            <w:tcBorders>
              <w:top w:val="nil"/>
              <w:left w:val="nil"/>
              <w:bottom w:val="nil"/>
              <w:right w:val="nil"/>
            </w:tcBorders>
            <w:shd w:val="clear" w:color="auto" w:fill="auto"/>
            <w:vAlign w:val="bottom"/>
            <w:hideMark/>
          </w:tcPr>
          <w:p w14:paraId="65B03D46"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Changes in foreign exchange rate</w:t>
            </w:r>
          </w:p>
        </w:tc>
        <w:tc>
          <w:tcPr>
            <w:tcW w:w="992" w:type="dxa"/>
            <w:tcBorders>
              <w:top w:val="nil"/>
              <w:left w:val="nil"/>
              <w:bottom w:val="nil"/>
              <w:right w:val="nil"/>
            </w:tcBorders>
            <w:shd w:val="clear" w:color="auto" w:fill="auto"/>
            <w:noWrap/>
            <w:vAlign w:val="bottom"/>
            <w:hideMark/>
          </w:tcPr>
          <w:p w14:paraId="352B9E3E" w14:textId="67754C42" w:rsidR="005F6D89" w:rsidRPr="000025D5" w:rsidRDefault="005F6D89" w:rsidP="000025D5">
            <w:pPr>
              <w:spacing w:after="0" w:line="240" w:lineRule="auto"/>
              <w:jc w:val="center"/>
              <w:rPr>
                <w:rFonts w:ascii="Arial" w:hAnsi="Arial" w:cs="Arial"/>
                <w:sz w:val="16"/>
                <w:szCs w:val="16"/>
              </w:rPr>
            </w:pPr>
            <w:r w:rsidRPr="000025D5">
              <w:rPr>
                <w:rFonts w:ascii="Arial" w:hAnsi="Arial" w:cs="Arial"/>
                <w:sz w:val="16"/>
                <w:szCs w:val="16"/>
              </w:rPr>
              <w:t>2.1</w:t>
            </w:r>
            <w:r w:rsidR="000025D5">
              <w:rPr>
                <w:rFonts w:ascii="Arial" w:hAnsi="Arial" w:cs="Arial"/>
                <w:sz w:val="16"/>
                <w:szCs w:val="16"/>
              </w:rPr>
              <w:t xml:space="preserve"> </w:t>
            </w:r>
            <w:r w:rsidRPr="000025D5">
              <w:rPr>
                <w:rFonts w:ascii="Arial" w:hAnsi="Arial" w:cs="Arial"/>
                <w:sz w:val="16"/>
                <w:szCs w:val="16"/>
              </w:rPr>
              <w:t>to</w:t>
            </w:r>
            <w:r w:rsidR="000025D5">
              <w:rPr>
                <w:rFonts w:ascii="Arial" w:hAnsi="Arial" w:cs="Arial"/>
                <w:sz w:val="16"/>
                <w:szCs w:val="16"/>
              </w:rPr>
              <w:t xml:space="preserve"> </w:t>
            </w:r>
            <w:r w:rsidRPr="000025D5">
              <w:rPr>
                <w:rFonts w:ascii="Arial" w:hAnsi="Arial" w:cs="Arial"/>
                <w:sz w:val="16"/>
                <w:szCs w:val="16"/>
              </w:rPr>
              <w:t>2.3</w:t>
            </w:r>
          </w:p>
        </w:tc>
        <w:tc>
          <w:tcPr>
            <w:tcW w:w="851" w:type="dxa"/>
            <w:tcBorders>
              <w:top w:val="nil"/>
              <w:left w:val="nil"/>
              <w:right w:val="nil"/>
            </w:tcBorders>
            <w:shd w:val="clear" w:color="000000" w:fill="E6E6E6"/>
            <w:noWrap/>
            <w:vAlign w:val="bottom"/>
            <w:hideMark/>
          </w:tcPr>
          <w:p w14:paraId="65627502" w14:textId="40CDFA0A"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591</w:t>
            </w:r>
          </w:p>
        </w:tc>
        <w:tc>
          <w:tcPr>
            <w:tcW w:w="850" w:type="dxa"/>
            <w:tcBorders>
              <w:top w:val="nil"/>
              <w:left w:val="nil"/>
              <w:right w:val="nil"/>
            </w:tcBorders>
            <w:shd w:val="clear" w:color="auto" w:fill="auto"/>
            <w:noWrap/>
            <w:vAlign w:val="bottom"/>
            <w:hideMark/>
          </w:tcPr>
          <w:p w14:paraId="0D2FA851" w14:textId="38FE3211"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674</w:t>
            </w:r>
          </w:p>
        </w:tc>
        <w:tc>
          <w:tcPr>
            <w:tcW w:w="851" w:type="dxa"/>
            <w:tcBorders>
              <w:top w:val="nil"/>
              <w:left w:val="nil"/>
              <w:right w:val="nil"/>
            </w:tcBorders>
            <w:shd w:val="clear" w:color="auto" w:fill="auto"/>
            <w:noWrap/>
            <w:vAlign w:val="bottom"/>
            <w:hideMark/>
          </w:tcPr>
          <w:p w14:paraId="7858F60D" w14:textId="0AD38740"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655</w:t>
            </w:r>
          </w:p>
        </w:tc>
        <w:tc>
          <w:tcPr>
            <w:tcW w:w="850" w:type="dxa"/>
            <w:tcBorders>
              <w:top w:val="nil"/>
              <w:left w:val="nil"/>
              <w:right w:val="nil"/>
            </w:tcBorders>
            <w:shd w:val="clear" w:color="auto" w:fill="auto"/>
            <w:noWrap/>
            <w:vAlign w:val="bottom"/>
            <w:hideMark/>
          </w:tcPr>
          <w:p w14:paraId="07E44DA2" w14:textId="6FF86A41" w:rsidR="005F6D89" w:rsidRPr="000025D5" w:rsidRDefault="005F6D89" w:rsidP="000025D5">
            <w:pPr>
              <w:spacing w:after="0" w:line="240" w:lineRule="auto"/>
              <w:jc w:val="right"/>
              <w:rPr>
                <w:rFonts w:ascii="Arial" w:hAnsi="Arial" w:cs="Arial"/>
                <w:sz w:val="16"/>
                <w:szCs w:val="16"/>
              </w:rPr>
            </w:pPr>
            <w:r w:rsidRPr="000025D5">
              <w:rPr>
                <w:rFonts w:ascii="Arial" w:hAnsi="Arial" w:cs="Arial"/>
                <w:sz w:val="16"/>
                <w:szCs w:val="16"/>
              </w:rPr>
              <w:t>643</w:t>
            </w:r>
          </w:p>
        </w:tc>
      </w:tr>
      <w:tr w:rsidR="001D65DB" w:rsidRPr="00B55E61" w14:paraId="7966CF5E" w14:textId="77777777" w:rsidTr="004F1EFA">
        <w:trPr>
          <w:trHeight w:val="204"/>
        </w:trPr>
        <w:tc>
          <w:tcPr>
            <w:tcW w:w="3119" w:type="dxa"/>
            <w:tcBorders>
              <w:top w:val="nil"/>
              <w:left w:val="nil"/>
              <w:bottom w:val="nil"/>
              <w:right w:val="nil"/>
            </w:tcBorders>
            <w:shd w:val="clear" w:color="auto" w:fill="auto"/>
            <w:vAlign w:val="bottom"/>
            <w:hideMark/>
          </w:tcPr>
          <w:p w14:paraId="2592BCA4" w14:textId="70054DDC" w:rsidR="001D65DB" w:rsidRPr="00B55E61" w:rsidRDefault="00D37DFC" w:rsidP="001D65DB">
            <w:pPr>
              <w:spacing w:after="0" w:line="240" w:lineRule="auto"/>
              <w:ind w:left="227"/>
              <w:jc w:val="left"/>
              <w:rPr>
                <w:rFonts w:ascii="Arial" w:hAnsi="Arial" w:cs="Arial"/>
                <w:sz w:val="16"/>
                <w:szCs w:val="16"/>
              </w:rPr>
            </w:pPr>
            <w:r>
              <w:rPr>
                <w:rFonts w:ascii="Arial" w:hAnsi="Arial" w:cs="Arial"/>
                <w:sz w:val="16"/>
                <w:szCs w:val="16"/>
              </w:rPr>
              <w:t>Estimates v</w:t>
            </w:r>
            <w:r w:rsidR="001D65DB" w:rsidRPr="00B55E61">
              <w:rPr>
                <w:rFonts w:ascii="Arial" w:hAnsi="Arial" w:cs="Arial"/>
                <w:sz w:val="16"/>
                <w:szCs w:val="16"/>
              </w:rPr>
              <w:t>ariations</w:t>
            </w:r>
          </w:p>
        </w:tc>
        <w:tc>
          <w:tcPr>
            <w:tcW w:w="992" w:type="dxa"/>
            <w:tcBorders>
              <w:top w:val="nil"/>
              <w:left w:val="nil"/>
              <w:bottom w:val="nil"/>
              <w:right w:val="nil"/>
            </w:tcBorders>
            <w:shd w:val="clear" w:color="auto" w:fill="auto"/>
            <w:noWrap/>
            <w:vAlign w:val="bottom"/>
            <w:hideMark/>
          </w:tcPr>
          <w:p w14:paraId="095B9934" w14:textId="54B82CD5" w:rsidR="001D65DB" w:rsidRPr="000025D5" w:rsidRDefault="001D65DB" w:rsidP="000025D5">
            <w:pPr>
              <w:spacing w:after="0" w:line="240" w:lineRule="auto"/>
              <w:ind w:firstLineChars="100" w:firstLine="160"/>
              <w:jc w:val="center"/>
              <w:rPr>
                <w:rFonts w:ascii="Arial" w:hAnsi="Arial" w:cs="Arial"/>
                <w:sz w:val="16"/>
                <w:szCs w:val="16"/>
              </w:rPr>
            </w:pPr>
            <w:r w:rsidRPr="000025D5">
              <w:rPr>
                <w:rFonts w:ascii="Arial" w:hAnsi="Arial" w:cs="Arial"/>
                <w:sz w:val="16"/>
                <w:szCs w:val="16"/>
              </w:rPr>
              <w:t>2.1</w:t>
            </w:r>
          </w:p>
        </w:tc>
        <w:tc>
          <w:tcPr>
            <w:tcW w:w="851" w:type="dxa"/>
            <w:tcBorders>
              <w:top w:val="nil"/>
              <w:left w:val="nil"/>
              <w:bottom w:val="single" w:sz="4" w:space="0" w:color="auto"/>
              <w:right w:val="nil"/>
            </w:tcBorders>
            <w:shd w:val="clear" w:color="000000" w:fill="E6E6E6"/>
            <w:noWrap/>
            <w:vAlign w:val="bottom"/>
            <w:hideMark/>
          </w:tcPr>
          <w:p w14:paraId="1A110728" w14:textId="28112ECF"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11,030</w:t>
            </w:r>
          </w:p>
        </w:tc>
        <w:tc>
          <w:tcPr>
            <w:tcW w:w="850" w:type="dxa"/>
            <w:tcBorders>
              <w:top w:val="nil"/>
              <w:left w:val="nil"/>
              <w:bottom w:val="single" w:sz="4" w:space="0" w:color="auto"/>
              <w:right w:val="nil"/>
            </w:tcBorders>
            <w:shd w:val="clear" w:color="auto" w:fill="auto"/>
            <w:noWrap/>
            <w:vAlign w:val="bottom"/>
            <w:hideMark/>
          </w:tcPr>
          <w:p w14:paraId="1A4C43E7" w14:textId="363D83F5"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1" w:type="dxa"/>
            <w:tcBorders>
              <w:top w:val="nil"/>
              <w:left w:val="nil"/>
              <w:bottom w:val="single" w:sz="4" w:space="0" w:color="auto"/>
              <w:right w:val="nil"/>
            </w:tcBorders>
            <w:shd w:val="clear" w:color="auto" w:fill="auto"/>
            <w:noWrap/>
            <w:vAlign w:val="bottom"/>
            <w:hideMark/>
          </w:tcPr>
          <w:p w14:paraId="7AD5BB7F" w14:textId="70FC0FCA"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0" w:type="dxa"/>
            <w:tcBorders>
              <w:top w:val="nil"/>
              <w:left w:val="nil"/>
              <w:bottom w:val="single" w:sz="4" w:space="0" w:color="auto"/>
              <w:right w:val="nil"/>
            </w:tcBorders>
            <w:shd w:val="clear" w:color="auto" w:fill="auto"/>
            <w:noWrap/>
            <w:vAlign w:val="bottom"/>
            <w:hideMark/>
          </w:tcPr>
          <w:p w14:paraId="7486FB62" w14:textId="10F6A4A8"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w:t>
            </w:r>
          </w:p>
        </w:tc>
      </w:tr>
      <w:tr w:rsidR="001D65DB" w:rsidRPr="00B55E61" w14:paraId="3CADEC73" w14:textId="77777777" w:rsidTr="004F1EFA">
        <w:trPr>
          <w:trHeight w:val="204"/>
        </w:trPr>
        <w:tc>
          <w:tcPr>
            <w:tcW w:w="3119" w:type="dxa"/>
            <w:tcBorders>
              <w:top w:val="nil"/>
              <w:left w:val="nil"/>
              <w:right w:val="nil"/>
            </w:tcBorders>
            <w:shd w:val="clear" w:color="auto" w:fill="auto"/>
            <w:vAlign w:val="bottom"/>
            <w:hideMark/>
          </w:tcPr>
          <w:p w14:paraId="1D77505D" w14:textId="142DD531" w:rsidR="001D65DB" w:rsidRPr="005F6D89" w:rsidRDefault="001D65DB" w:rsidP="00D37DFC">
            <w:pPr>
              <w:spacing w:after="0" w:line="240" w:lineRule="auto"/>
              <w:jc w:val="left"/>
              <w:rPr>
                <w:rFonts w:ascii="Arial" w:hAnsi="Arial" w:cs="Arial"/>
                <w:b/>
                <w:bCs/>
                <w:color w:val="000000"/>
                <w:sz w:val="16"/>
                <w:szCs w:val="16"/>
              </w:rPr>
            </w:pPr>
            <w:r w:rsidRPr="005F6D89">
              <w:rPr>
                <w:rFonts w:ascii="Arial" w:hAnsi="Arial" w:cs="Arial"/>
                <w:b/>
                <w:bCs/>
                <w:color w:val="000000"/>
                <w:sz w:val="16"/>
                <w:szCs w:val="16"/>
              </w:rPr>
              <w:t>Net impact on appropriations for</w:t>
            </w:r>
            <w:r w:rsidR="006F462C">
              <w:rPr>
                <w:rFonts w:ascii="Arial" w:hAnsi="Arial" w:cs="Arial"/>
                <w:b/>
                <w:bCs/>
                <w:color w:val="000000"/>
                <w:sz w:val="16"/>
                <w:szCs w:val="16"/>
              </w:rPr>
              <w:t xml:space="preserve"> </w:t>
            </w:r>
            <w:r w:rsidRPr="005F6D89">
              <w:rPr>
                <w:rFonts w:ascii="Arial" w:hAnsi="Arial" w:cs="Arial"/>
                <w:b/>
                <w:bCs/>
                <w:color w:val="000000"/>
                <w:sz w:val="16"/>
                <w:szCs w:val="16"/>
              </w:rPr>
              <w:t>Outcome 2 (</w:t>
            </w:r>
            <w:r w:rsidR="00D37DFC">
              <w:rPr>
                <w:rFonts w:ascii="Arial" w:hAnsi="Arial" w:cs="Arial"/>
                <w:b/>
                <w:bCs/>
                <w:color w:val="000000"/>
                <w:sz w:val="16"/>
                <w:szCs w:val="16"/>
              </w:rPr>
              <w:t>A</w:t>
            </w:r>
            <w:r w:rsidRPr="005F6D89">
              <w:rPr>
                <w:rFonts w:ascii="Arial" w:hAnsi="Arial" w:cs="Arial"/>
                <w:b/>
                <w:bCs/>
                <w:color w:val="000000"/>
                <w:sz w:val="16"/>
                <w:szCs w:val="16"/>
              </w:rPr>
              <w:t>dministered)</w:t>
            </w:r>
          </w:p>
        </w:tc>
        <w:tc>
          <w:tcPr>
            <w:tcW w:w="992" w:type="dxa"/>
            <w:tcBorders>
              <w:top w:val="nil"/>
              <w:left w:val="nil"/>
              <w:bottom w:val="nil"/>
              <w:right w:val="nil"/>
            </w:tcBorders>
            <w:shd w:val="clear" w:color="auto" w:fill="auto"/>
            <w:noWrap/>
            <w:vAlign w:val="bottom"/>
            <w:hideMark/>
          </w:tcPr>
          <w:p w14:paraId="0552B6F0" w14:textId="21A561EB" w:rsidR="001D65DB" w:rsidRPr="000025D5" w:rsidRDefault="001D65DB" w:rsidP="000025D5">
            <w:pPr>
              <w:spacing w:after="0" w:line="240" w:lineRule="auto"/>
              <w:jc w:val="right"/>
              <w:rPr>
                <w:rFonts w:ascii="Arial" w:hAnsi="Arial" w:cs="Arial"/>
                <w:b/>
                <w:bCs/>
                <w:sz w:val="16"/>
                <w:szCs w:val="16"/>
              </w:rPr>
            </w:pPr>
          </w:p>
        </w:tc>
        <w:tc>
          <w:tcPr>
            <w:tcW w:w="851" w:type="dxa"/>
            <w:tcBorders>
              <w:top w:val="single" w:sz="4" w:space="0" w:color="auto"/>
              <w:left w:val="nil"/>
              <w:bottom w:val="single" w:sz="4" w:space="0" w:color="auto"/>
              <w:right w:val="nil"/>
            </w:tcBorders>
            <w:shd w:val="clear" w:color="000000" w:fill="E6E6E6"/>
            <w:noWrap/>
            <w:vAlign w:val="bottom"/>
            <w:hideMark/>
          </w:tcPr>
          <w:p w14:paraId="5140BCAD" w14:textId="611786A3" w:rsidR="001D65DB" w:rsidRPr="000025D5" w:rsidRDefault="001D65DB" w:rsidP="000025D5">
            <w:pPr>
              <w:spacing w:after="0" w:line="240" w:lineRule="auto"/>
              <w:jc w:val="right"/>
              <w:rPr>
                <w:rFonts w:ascii="Arial" w:hAnsi="Arial" w:cs="Arial"/>
                <w:b/>
                <w:sz w:val="16"/>
                <w:szCs w:val="16"/>
              </w:rPr>
            </w:pPr>
            <w:r w:rsidRPr="000025D5">
              <w:rPr>
                <w:rFonts w:ascii="Arial" w:hAnsi="Arial" w:cs="Arial"/>
                <w:b/>
                <w:sz w:val="16"/>
                <w:szCs w:val="16"/>
              </w:rPr>
              <w:t>204,760</w:t>
            </w:r>
          </w:p>
        </w:tc>
        <w:tc>
          <w:tcPr>
            <w:tcW w:w="850" w:type="dxa"/>
            <w:tcBorders>
              <w:top w:val="single" w:sz="4" w:space="0" w:color="auto"/>
              <w:left w:val="nil"/>
              <w:bottom w:val="single" w:sz="4" w:space="0" w:color="auto"/>
              <w:right w:val="nil"/>
            </w:tcBorders>
            <w:shd w:val="clear" w:color="auto" w:fill="auto"/>
            <w:noWrap/>
            <w:vAlign w:val="bottom"/>
            <w:hideMark/>
          </w:tcPr>
          <w:p w14:paraId="3B93081F" w14:textId="5E95119A" w:rsidR="001D65DB" w:rsidRPr="000025D5" w:rsidRDefault="001D65DB" w:rsidP="000025D5">
            <w:pPr>
              <w:spacing w:after="0" w:line="240" w:lineRule="auto"/>
              <w:jc w:val="right"/>
              <w:rPr>
                <w:rFonts w:ascii="Arial" w:hAnsi="Arial" w:cs="Arial"/>
                <w:b/>
                <w:sz w:val="16"/>
                <w:szCs w:val="16"/>
              </w:rPr>
            </w:pPr>
            <w:r w:rsidRPr="000025D5">
              <w:rPr>
                <w:rFonts w:ascii="Arial" w:hAnsi="Arial" w:cs="Arial"/>
                <w:b/>
                <w:sz w:val="16"/>
                <w:szCs w:val="16"/>
              </w:rPr>
              <w:t>55,500</w:t>
            </w:r>
          </w:p>
        </w:tc>
        <w:tc>
          <w:tcPr>
            <w:tcW w:w="851" w:type="dxa"/>
            <w:tcBorders>
              <w:top w:val="single" w:sz="4" w:space="0" w:color="auto"/>
              <w:left w:val="nil"/>
              <w:bottom w:val="single" w:sz="4" w:space="0" w:color="auto"/>
              <w:right w:val="nil"/>
            </w:tcBorders>
            <w:shd w:val="clear" w:color="auto" w:fill="auto"/>
            <w:noWrap/>
            <w:vAlign w:val="bottom"/>
            <w:hideMark/>
          </w:tcPr>
          <w:p w14:paraId="12AB6DD9" w14:textId="17D11A7D" w:rsidR="001D65DB" w:rsidRPr="000025D5" w:rsidRDefault="001D65DB" w:rsidP="000025D5">
            <w:pPr>
              <w:spacing w:after="0" w:line="240" w:lineRule="auto"/>
              <w:jc w:val="right"/>
              <w:rPr>
                <w:rFonts w:ascii="Arial" w:hAnsi="Arial" w:cs="Arial"/>
                <w:b/>
                <w:sz w:val="16"/>
                <w:szCs w:val="16"/>
              </w:rPr>
            </w:pPr>
            <w:r w:rsidRPr="000025D5">
              <w:rPr>
                <w:rFonts w:ascii="Arial" w:hAnsi="Arial" w:cs="Arial"/>
                <w:b/>
                <w:sz w:val="16"/>
                <w:szCs w:val="16"/>
              </w:rPr>
              <w:t>29,355</w:t>
            </w:r>
          </w:p>
        </w:tc>
        <w:tc>
          <w:tcPr>
            <w:tcW w:w="850" w:type="dxa"/>
            <w:tcBorders>
              <w:top w:val="single" w:sz="4" w:space="0" w:color="auto"/>
              <w:left w:val="nil"/>
              <w:bottom w:val="single" w:sz="4" w:space="0" w:color="auto"/>
              <w:right w:val="nil"/>
            </w:tcBorders>
            <w:shd w:val="clear" w:color="auto" w:fill="auto"/>
            <w:noWrap/>
            <w:vAlign w:val="bottom"/>
            <w:hideMark/>
          </w:tcPr>
          <w:p w14:paraId="55A1D67A" w14:textId="4BF1E335" w:rsidR="001D65DB" w:rsidRPr="000025D5" w:rsidRDefault="001D65DB" w:rsidP="000025D5">
            <w:pPr>
              <w:spacing w:after="0" w:line="240" w:lineRule="auto"/>
              <w:jc w:val="right"/>
              <w:rPr>
                <w:rFonts w:ascii="Arial" w:hAnsi="Arial" w:cs="Arial"/>
                <w:b/>
                <w:sz w:val="16"/>
                <w:szCs w:val="16"/>
              </w:rPr>
            </w:pPr>
            <w:r w:rsidRPr="000025D5">
              <w:rPr>
                <w:rFonts w:ascii="Arial" w:hAnsi="Arial" w:cs="Arial"/>
                <w:b/>
                <w:sz w:val="16"/>
                <w:szCs w:val="16"/>
              </w:rPr>
              <w:t>14,298</w:t>
            </w:r>
          </w:p>
        </w:tc>
      </w:tr>
      <w:tr w:rsidR="001D65DB" w:rsidRPr="00B55E61" w14:paraId="2CC8FA4B" w14:textId="77777777" w:rsidTr="004F1EFA">
        <w:trPr>
          <w:trHeight w:val="204"/>
        </w:trPr>
        <w:tc>
          <w:tcPr>
            <w:tcW w:w="3119" w:type="dxa"/>
            <w:tcBorders>
              <w:top w:val="nil"/>
              <w:left w:val="nil"/>
              <w:bottom w:val="nil"/>
              <w:right w:val="nil"/>
            </w:tcBorders>
            <w:shd w:val="clear" w:color="auto" w:fill="auto"/>
            <w:noWrap/>
            <w:vAlign w:val="bottom"/>
            <w:hideMark/>
          </w:tcPr>
          <w:p w14:paraId="15B1CFF6" w14:textId="6F1129CC" w:rsidR="001D65DB" w:rsidRPr="00B55E61" w:rsidRDefault="008863D9" w:rsidP="001D65DB">
            <w:pPr>
              <w:spacing w:after="0" w:line="240" w:lineRule="auto"/>
              <w:jc w:val="left"/>
              <w:rPr>
                <w:rFonts w:ascii="Arial" w:hAnsi="Arial" w:cs="Arial"/>
                <w:b/>
                <w:bCs/>
                <w:sz w:val="16"/>
                <w:szCs w:val="16"/>
              </w:rPr>
            </w:pPr>
            <w:r>
              <w:rPr>
                <w:rFonts w:ascii="Arial" w:hAnsi="Arial" w:cs="Arial"/>
                <w:b/>
                <w:bCs/>
                <w:sz w:val="16"/>
                <w:szCs w:val="16"/>
              </w:rPr>
              <w:t>Department</w:t>
            </w:r>
            <w:r w:rsidR="001D65DB" w:rsidRPr="00B55E61">
              <w:rPr>
                <w:rFonts w:ascii="Arial" w:hAnsi="Arial" w:cs="Arial"/>
                <w:b/>
                <w:bCs/>
                <w:sz w:val="16"/>
                <w:szCs w:val="16"/>
              </w:rPr>
              <w:t>al</w:t>
            </w:r>
          </w:p>
        </w:tc>
        <w:tc>
          <w:tcPr>
            <w:tcW w:w="992" w:type="dxa"/>
            <w:tcBorders>
              <w:top w:val="nil"/>
              <w:left w:val="nil"/>
              <w:bottom w:val="nil"/>
              <w:right w:val="nil"/>
            </w:tcBorders>
            <w:shd w:val="clear" w:color="auto" w:fill="auto"/>
            <w:vAlign w:val="bottom"/>
            <w:hideMark/>
          </w:tcPr>
          <w:p w14:paraId="6183DED1" w14:textId="77777777" w:rsidR="001D65DB" w:rsidRPr="000025D5" w:rsidRDefault="001D65DB" w:rsidP="000025D5">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000000" w:fill="E6E6E6"/>
            <w:vAlign w:val="bottom"/>
            <w:hideMark/>
          </w:tcPr>
          <w:p w14:paraId="1B07D896" w14:textId="19A65221" w:rsidR="001D65DB" w:rsidRPr="000025D5" w:rsidRDefault="001D65DB"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vAlign w:val="bottom"/>
            <w:hideMark/>
          </w:tcPr>
          <w:p w14:paraId="170CB21C" w14:textId="77777777" w:rsidR="001D65DB" w:rsidRPr="000025D5" w:rsidRDefault="001D65DB" w:rsidP="000025D5">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vAlign w:val="bottom"/>
            <w:hideMark/>
          </w:tcPr>
          <w:p w14:paraId="5D1997D0" w14:textId="77777777" w:rsidR="001D65DB" w:rsidRPr="000025D5" w:rsidRDefault="001D65DB"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vAlign w:val="bottom"/>
            <w:hideMark/>
          </w:tcPr>
          <w:p w14:paraId="39E1F6E1" w14:textId="77777777" w:rsidR="001D65DB" w:rsidRPr="000025D5" w:rsidRDefault="001D65DB" w:rsidP="000025D5">
            <w:pPr>
              <w:spacing w:after="0" w:line="240" w:lineRule="auto"/>
              <w:jc w:val="right"/>
              <w:rPr>
                <w:rFonts w:ascii="Times New Roman" w:hAnsi="Times New Roman"/>
                <w:sz w:val="16"/>
                <w:szCs w:val="16"/>
              </w:rPr>
            </w:pPr>
          </w:p>
        </w:tc>
      </w:tr>
      <w:tr w:rsidR="001D65DB" w:rsidRPr="00B55E61" w14:paraId="50A8EC55" w14:textId="77777777" w:rsidTr="004F1EFA">
        <w:trPr>
          <w:trHeight w:val="204"/>
        </w:trPr>
        <w:tc>
          <w:tcPr>
            <w:tcW w:w="3119" w:type="dxa"/>
            <w:tcBorders>
              <w:top w:val="nil"/>
              <w:left w:val="nil"/>
              <w:bottom w:val="nil"/>
              <w:right w:val="nil"/>
            </w:tcBorders>
            <w:shd w:val="clear" w:color="auto" w:fill="auto"/>
            <w:noWrap/>
            <w:vAlign w:val="bottom"/>
            <w:hideMark/>
          </w:tcPr>
          <w:p w14:paraId="3536DFF2" w14:textId="497FC660" w:rsidR="001D65DB" w:rsidRPr="00B55E61" w:rsidRDefault="00395E20" w:rsidP="001D65DB">
            <w:pPr>
              <w:spacing w:after="0" w:line="240" w:lineRule="auto"/>
              <w:ind w:left="113"/>
              <w:jc w:val="left"/>
              <w:rPr>
                <w:rFonts w:ascii="Arial" w:hAnsi="Arial" w:cs="Arial"/>
                <w:b/>
                <w:bCs/>
                <w:sz w:val="16"/>
                <w:szCs w:val="16"/>
              </w:rPr>
            </w:pPr>
            <w:r>
              <w:rPr>
                <w:rFonts w:ascii="Arial" w:hAnsi="Arial" w:cs="Arial"/>
                <w:b/>
                <w:bCs/>
                <w:sz w:val="16"/>
                <w:szCs w:val="16"/>
              </w:rPr>
              <w:t xml:space="preserve">New </w:t>
            </w:r>
            <w:r w:rsidR="001D65DB" w:rsidRPr="00B55E61">
              <w:rPr>
                <w:rFonts w:ascii="Arial" w:hAnsi="Arial" w:cs="Arial"/>
                <w:b/>
                <w:bCs/>
                <w:sz w:val="16"/>
                <w:szCs w:val="16"/>
              </w:rPr>
              <w:t>Measures</w:t>
            </w:r>
          </w:p>
        </w:tc>
        <w:tc>
          <w:tcPr>
            <w:tcW w:w="992" w:type="dxa"/>
            <w:tcBorders>
              <w:top w:val="nil"/>
              <w:left w:val="nil"/>
              <w:bottom w:val="nil"/>
              <w:right w:val="nil"/>
            </w:tcBorders>
            <w:shd w:val="clear" w:color="auto" w:fill="auto"/>
            <w:vAlign w:val="bottom"/>
            <w:hideMark/>
          </w:tcPr>
          <w:p w14:paraId="153A1272" w14:textId="77777777" w:rsidR="001D65DB" w:rsidRPr="000025D5" w:rsidRDefault="001D65DB" w:rsidP="000025D5">
            <w:pPr>
              <w:spacing w:after="0" w:line="240" w:lineRule="auto"/>
              <w:ind w:firstLineChars="100" w:firstLine="160"/>
              <w:jc w:val="right"/>
              <w:rPr>
                <w:rFonts w:ascii="Arial" w:hAnsi="Arial" w:cs="Arial"/>
                <w:b/>
                <w:bCs/>
                <w:sz w:val="16"/>
                <w:szCs w:val="16"/>
              </w:rPr>
            </w:pPr>
          </w:p>
        </w:tc>
        <w:tc>
          <w:tcPr>
            <w:tcW w:w="851" w:type="dxa"/>
            <w:tcBorders>
              <w:top w:val="nil"/>
              <w:left w:val="nil"/>
              <w:bottom w:val="nil"/>
              <w:right w:val="nil"/>
            </w:tcBorders>
            <w:shd w:val="clear" w:color="000000" w:fill="E6E6E6"/>
            <w:vAlign w:val="bottom"/>
            <w:hideMark/>
          </w:tcPr>
          <w:p w14:paraId="6FE2567C" w14:textId="1CA988B8" w:rsidR="001D65DB" w:rsidRPr="000025D5" w:rsidRDefault="001D65DB"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vAlign w:val="bottom"/>
            <w:hideMark/>
          </w:tcPr>
          <w:p w14:paraId="591CC04B" w14:textId="77777777" w:rsidR="001D65DB" w:rsidRPr="000025D5" w:rsidRDefault="001D65DB" w:rsidP="000025D5">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vAlign w:val="bottom"/>
            <w:hideMark/>
          </w:tcPr>
          <w:p w14:paraId="3F09D0CB" w14:textId="77777777" w:rsidR="001D65DB" w:rsidRPr="000025D5" w:rsidRDefault="001D65DB" w:rsidP="000025D5">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vAlign w:val="bottom"/>
            <w:hideMark/>
          </w:tcPr>
          <w:p w14:paraId="769BC386" w14:textId="77777777" w:rsidR="001D65DB" w:rsidRPr="000025D5" w:rsidRDefault="001D65DB" w:rsidP="000025D5">
            <w:pPr>
              <w:spacing w:after="0" w:line="240" w:lineRule="auto"/>
              <w:jc w:val="right"/>
              <w:rPr>
                <w:rFonts w:ascii="Times New Roman" w:hAnsi="Times New Roman"/>
                <w:sz w:val="16"/>
                <w:szCs w:val="16"/>
              </w:rPr>
            </w:pPr>
          </w:p>
        </w:tc>
      </w:tr>
      <w:tr w:rsidR="001D65DB" w:rsidRPr="00B55E61" w14:paraId="790912A3" w14:textId="77777777" w:rsidTr="004F1EFA">
        <w:trPr>
          <w:trHeight w:val="204"/>
        </w:trPr>
        <w:tc>
          <w:tcPr>
            <w:tcW w:w="3119" w:type="dxa"/>
            <w:tcBorders>
              <w:top w:val="nil"/>
              <w:left w:val="nil"/>
              <w:bottom w:val="nil"/>
              <w:right w:val="nil"/>
            </w:tcBorders>
            <w:shd w:val="clear" w:color="auto" w:fill="auto"/>
            <w:vAlign w:val="bottom"/>
            <w:hideMark/>
          </w:tcPr>
          <w:p w14:paraId="7B7F4E12" w14:textId="77777777" w:rsidR="001D65DB" w:rsidRPr="00B55E61" w:rsidRDefault="001D65DB" w:rsidP="001D65DB">
            <w:pPr>
              <w:spacing w:after="0" w:line="240" w:lineRule="auto"/>
              <w:ind w:left="227"/>
              <w:jc w:val="left"/>
              <w:rPr>
                <w:rFonts w:ascii="Arial" w:hAnsi="Arial" w:cs="Arial"/>
                <w:sz w:val="16"/>
                <w:szCs w:val="16"/>
              </w:rPr>
            </w:pPr>
            <w:r w:rsidRPr="00B55E61">
              <w:rPr>
                <w:rFonts w:ascii="Arial" w:hAnsi="Arial" w:cs="Arial"/>
                <w:sz w:val="16"/>
                <w:szCs w:val="16"/>
              </w:rPr>
              <w:t>Aviation Recovery Framework</w:t>
            </w:r>
          </w:p>
        </w:tc>
        <w:tc>
          <w:tcPr>
            <w:tcW w:w="992" w:type="dxa"/>
            <w:tcBorders>
              <w:top w:val="nil"/>
              <w:left w:val="nil"/>
              <w:bottom w:val="nil"/>
              <w:right w:val="nil"/>
            </w:tcBorders>
            <w:shd w:val="clear" w:color="auto" w:fill="auto"/>
            <w:noWrap/>
            <w:vAlign w:val="bottom"/>
            <w:hideMark/>
          </w:tcPr>
          <w:p w14:paraId="5DE2F688" w14:textId="77777777" w:rsidR="001D65DB" w:rsidRPr="000025D5" w:rsidRDefault="001D65DB" w:rsidP="000025D5">
            <w:pPr>
              <w:spacing w:after="0" w:line="240" w:lineRule="auto"/>
              <w:jc w:val="center"/>
              <w:rPr>
                <w:rFonts w:ascii="Arial" w:hAnsi="Arial" w:cs="Arial"/>
                <w:sz w:val="16"/>
                <w:szCs w:val="16"/>
              </w:rPr>
            </w:pPr>
            <w:r w:rsidRPr="000025D5">
              <w:rPr>
                <w:rFonts w:ascii="Arial" w:hAnsi="Arial" w:cs="Arial"/>
                <w:sz w:val="16"/>
                <w:szCs w:val="16"/>
              </w:rPr>
              <w:t>2.4</w:t>
            </w:r>
          </w:p>
        </w:tc>
        <w:tc>
          <w:tcPr>
            <w:tcW w:w="851" w:type="dxa"/>
            <w:tcBorders>
              <w:top w:val="nil"/>
              <w:left w:val="nil"/>
              <w:bottom w:val="nil"/>
              <w:right w:val="nil"/>
            </w:tcBorders>
            <w:shd w:val="clear" w:color="000000" w:fill="E6E6E6"/>
            <w:noWrap/>
            <w:vAlign w:val="bottom"/>
            <w:hideMark/>
          </w:tcPr>
          <w:p w14:paraId="6718B21F" w14:textId="2EEEAE52"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3,032</w:t>
            </w:r>
          </w:p>
        </w:tc>
        <w:tc>
          <w:tcPr>
            <w:tcW w:w="850" w:type="dxa"/>
            <w:tcBorders>
              <w:top w:val="nil"/>
              <w:left w:val="nil"/>
              <w:bottom w:val="nil"/>
              <w:right w:val="nil"/>
            </w:tcBorders>
            <w:shd w:val="clear" w:color="auto" w:fill="auto"/>
            <w:noWrap/>
            <w:vAlign w:val="bottom"/>
            <w:hideMark/>
          </w:tcPr>
          <w:p w14:paraId="39762CA0" w14:textId="15A25177"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4,954</w:t>
            </w:r>
          </w:p>
        </w:tc>
        <w:tc>
          <w:tcPr>
            <w:tcW w:w="851" w:type="dxa"/>
            <w:tcBorders>
              <w:top w:val="nil"/>
              <w:left w:val="nil"/>
              <w:bottom w:val="nil"/>
              <w:right w:val="nil"/>
            </w:tcBorders>
            <w:shd w:val="clear" w:color="auto" w:fill="auto"/>
            <w:noWrap/>
            <w:vAlign w:val="bottom"/>
            <w:hideMark/>
          </w:tcPr>
          <w:p w14:paraId="059AB60B" w14:textId="0F1BF543"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1,656</w:t>
            </w:r>
          </w:p>
        </w:tc>
        <w:tc>
          <w:tcPr>
            <w:tcW w:w="850" w:type="dxa"/>
            <w:tcBorders>
              <w:top w:val="nil"/>
              <w:left w:val="nil"/>
              <w:bottom w:val="nil"/>
              <w:right w:val="nil"/>
            </w:tcBorders>
            <w:shd w:val="clear" w:color="auto" w:fill="auto"/>
            <w:noWrap/>
            <w:vAlign w:val="bottom"/>
            <w:hideMark/>
          </w:tcPr>
          <w:p w14:paraId="1B467527" w14:textId="3E9CB334"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159</w:t>
            </w:r>
          </w:p>
        </w:tc>
      </w:tr>
      <w:tr w:rsidR="001D65DB" w:rsidRPr="00B55E61" w14:paraId="3AF55CC1" w14:textId="77777777" w:rsidTr="004F1EFA">
        <w:trPr>
          <w:trHeight w:val="204"/>
        </w:trPr>
        <w:tc>
          <w:tcPr>
            <w:tcW w:w="3119" w:type="dxa"/>
            <w:tcBorders>
              <w:top w:val="nil"/>
              <w:left w:val="nil"/>
              <w:bottom w:val="nil"/>
              <w:right w:val="nil"/>
            </w:tcBorders>
            <w:shd w:val="clear" w:color="auto" w:fill="auto"/>
            <w:noWrap/>
            <w:vAlign w:val="bottom"/>
            <w:hideMark/>
          </w:tcPr>
          <w:p w14:paraId="6C1CDD44" w14:textId="77777777" w:rsidR="001D65DB" w:rsidRPr="00B55E61" w:rsidRDefault="001D65DB" w:rsidP="001D65DB">
            <w:pPr>
              <w:spacing w:after="0" w:line="240" w:lineRule="auto"/>
              <w:ind w:left="113"/>
              <w:jc w:val="left"/>
              <w:rPr>
                <w:rFonts w:ascii="Arial" w:hAnsi="Arial" w:cs="Arial"/>
                <w:b/>
                <w:bCs/>
                <w:color w:val="000000"/>
                <w:sz w:val="16"/>
                <w:szCs w:val="16"/>
              </w:rPr>
            </w:pPr>
            <w:r w:rsidRPr="00B55E61">
              <w:rPr>
                <w:rFonts w:ascii="Arial" w:hAnsi="Arial" w:cs="Arial"/>
                <w:b/>
                <w:bCs/>
                <w:sz w:val="16"/>
                <w:szCs w:val="16"/>
              </w:rPr>
              <w:t>Other</w:t>
            </w:r>
            <w:r w:rsidRPr="00B55E61">
              <w:rPr>
                <w:rFonts w:ascii="Arial" w:hAnsi="Arial" w:cs="Arial"/>
                <w:b/>
                <w:bCs/>
                <w:color w:val="000000"/>
                <w:sz w:val="16"/>
                <w:szCs w:val="16"/>
              </w:rPr>
              <w:t xml:space="preserve"> Variations</w:t>
            </w:r>
          </w:p>
        </w:tc>
        <w:tc>
          <w:tcPr>
            <w:tcW w:w="992" w:type="dxa"/>
            <w:tcBorders>
              <w:top w:val="nil"/>
              <w:left w:val="nil"/>
              <w:bottom w:val="nil"/>
              <w:right w:val="nil"/>
            </w:tcBorders>
            <w:shd w:val="clear" w:color="auto" w:fill="auto"/>
            <w:vAlign w:val="bottom"/>
            <w:hideMark/>
          </w:tcPr>
          <w:p w14:paraId="2A6162D4" w14:textId="77777777" w:rsidR="001D65DB" w:rsidRPr="000025D5" w:rsidRDefault="001D65DB" w:rsidP="000025D5">
            <w:pPr>
              <w:spacing w:after="0" w:line="240" w:lineRule="auto"/>
              <w:ind w:firstLineChars="100" w:firstLine="160"/>
              <w:jc w:val="right"/>
              <w:rPr>
                <w:rFonts w:ascii="Arial" w:hAnsi="Arial" w:cs="Arial"/>
                <w:b/>
                <w:bCs/>
                <w:sz w:val="16"/>
                <w:szCs w:val="16"/>
              </w:rPr>
            </w:pPr>
          </w:p>
        </w:tc>
        <w:tc>
          <w:tcPr>
            <w:tcW w:w="851" w:type="dxa"/>
            <w:tcBorders>
              <w:top w:val="nil"/>
              <w:left w:val="nil"/>
              <w:right w:val="nil"/>
            </w:tcBorders>
            <w:shd w:val="clear" w:color="000000" w:fill="E6E6E6"/>
            <w:vAlign w:val="bottom"/>
            <w:hideMark/>
          </w:tcPr>
          <w:p w14:paraId="751932DC" w14:textId="1C939DA5" w:rsidR="001D65DB" w:rsidRPr="000025D5" w:rsidRDefault="001D65DB" w:rsidP="000025D5">
            <w:pPr>
              <w:spacing w:after="0" w:line="240" w:lineRule="auto"/>
              <w:jc w:val="right"/>
              <w:rPr>
                <w:rFonts w:ascii="Arial" w:hAnsi="Arial" w:cs="Arial"/>
                <w:sz w:val="16"/>
                <w:szCs w:val="16"/>
              </w:rPr>
            </w:pPr>
          </w:p>
        </w:tc>
        <w:tc>
          <w:tcPr>
            <w:tcW w:w="850" w:type="dxa"/>
            <w:tcBorders>
              <w:top w:val="nil"/>
              <w:left w:val="nil"/>
              <w:right w:val="nil"/>
            </w:tcBorders>
            <w:shd w:val="clear" w:color="auto" w:fill="auto"/>
            <w:vAlign w:val="bottom"/>
            <w:hideMark/>
          </w:tcPr>
          <w:p w14:paraId="62C10593" w14:textId="77777777" w:rsidR="001D65DB" w:rsidRPr="000025D5" w:rsidRDefault="001D65DB" w:rsidP="000025D5">
            <w:pPr>
              <w:spacing w:after="0" w:line="240" w:lineRule="auto"/>
              <w:jc w:val="right"/>
              <w:rPr>
                <w:rFonts w:ascii="Arial" w:hAnsi="Arial" w:cs="Arial"/>
                <w:sz w:val="16"/>
                <w:szCs w:val="16"/>
              </w:rPr>
            </w:pPr>
          </w:p>
        </w:tc>
        <w:tc>
          <w:tcPr>
            <w:tcW w:w="851" w:type="dxa"/>
            <w:tcBorders>
              <w:top w:val="nil"/>
              <w:left w:val="nil"/>
              <w:right w:val="nil"/>
            </w:tcBorders>
            <w:shd w:val="clear" w:color="auto" w:fill="auto"/>
            <w:vAlign w:val="bottom"/>
            <w:hideMark/>
          </w:tcPr>
          <w:p w14:paraId="21FFC8B9" w14:textId="77777777" w:rsidR="001D65DB" w:rsidRPr="000025D5" w:rsidRDefault="001D65DB" w:rsidP="000025D5">
            <w:pPr>
              <w:spacing w:after="0" w:line="240" w:lineRule="auto"/>
              <w:jc w:val="right"/>
              <w:rPr>
                <w:rFonts w:ascii="Times New Roman" w:hAnsi="Times New Roman"/>
                <w:sz w:val="16"/>
                <w:szCs w:val="16"/>
              </w:rPr>
            </w:pPr>
          </w:p>
        </w:tc>
        <w:tc>
          <w:tcPr>
            <w:tcW w:w="850" w:type="dxa"/>
            <w:tcBorders>
              <w:top w:val="nil"/>
              <w:left w:val="nil"/>
              <w:right w:val="nil"/>
            </w:tcBorders>
            <w:shd w:val="clear" w:color="auto" w:fill="auto"/>
            <w:vAlign w:val="bottom"/>
            <w:hideMark/>
          </w:tcPr>
          <w:p w14:paraId="6CC41F65" w14:textId="77777777" w:rsidR="001D65DB" w:rsidRPr="000025D5" w:rsidRDefault="001D65DB" w:rsidP="000025D5">
            <w:pPr>
              <w:spacing w:after="0" w:line="240" w:lineRule="auto"/>
              <w:jc w:val="right"/>
              <w:rPr>
                <w:rFonts w:ascii="Times New Roman" w:hAnsi="Times New Roman"/>
                <w:sz w:val="16"/>
                <w:szCs w:val="16"/>
              </w:rPr>
            </w:pPr>
          </w:p>
        </w:tc>
      </w:tr>
      <w:tr w:rsidR="001D65DB" w:rsidRPr="00B55E61" w14:paraId="3F9F973B" w14:textId="77777777" w:rsidTr="004F1EFA">
        <w:trPr>
          <w:trHeight w:val="204"/>
        </w:trPr>
        <w:tc>
          <w:tcPr>
            <w:tcW w:w="3119" w:type="dxa"/>
            <w:tcBorders>
              <w:top w:val="nil"/>
              <w:left w:val="nil"/>
              <w:bottom w:val="nil"/>
              <w:right w:val="nil"/>
            </w:tcBorders>
            <w:shd w:val="clear" w:color="auto" w:fill="auto"/>
            <w:vAlign w:val="bottom"/>
            <w:hideMark/>
          </w:tcPr>
          <w:p w14:paraId="71F423B7" w14:textId="77777777" w:rsidR="001D65DB" w:rsidRPr="00B55E61" w:rsidRDefault="001D65DB" w:rsidP="001D65DB">
            <w:pPr>
              <w:spacing w:after="0" w:line="240" w:lineRule="auto"/>
              <w:ind w:left="227"/>
              <w:jc w:val="left"/>
              <w:rPr>
                <w:rFonts w:ascii="Arial" w:hAnsi="Arial" w:cs="Arial"/>
                <w:sz w:val="16"/>
                <w:szCs w:val="16"/>
              </w:rPr>
            </w:pPr>
            <w:r w:rsidRPr="00B55E61">
              <w:rPr>
                <w:rFonts w:ascii="Arial" w:hAnsi="Arial" w:cs="Arial"/>
                <w:sz w:val="16"/>
                <w:szCs w:val="16"/>
              </w:rPr>
              <w:t>Changes in parameters</w:t>
            </w:r>
          </w:p>
        </w:tc>
        <w:tc>
          <w:tcPr>
            <w:tcW w:w="992" w:type="dxa"/>
            <w:tcBorders>
              <w:top w:val="nil"/>
              <w:left w:val="nil"/>
              <w:bottom w:val="nil"/>
              <w:right w:val="nil"/>
            </w:tcBorders>
            <w:shd w:val="clear" w:color="auto" w:fill="auto"/>
            <w:vAlign w:val="bottom"/>
            <w:hideMark/>
          </w:tcPr>
          <w:p w14:paraId="3E0B07E3" w14:textId="77777777" w:rsidR="001D65DB" w:rsidRPr="000025D5" w:rsidRDefault="001D65DB" w:rsidP="000025D5">
            <w:pPr>
              <w:spacing w:after="0" w:line="240" w:lineRule="auto"/>
              <w:jc w:val="center"/>
              <w:rPr>
                <w:rFonts w:ascii="Arial" w:hAnsi="Arial" w:cs="Arial"/>
                <w:sz w:val="16"/>
                <w:szCs w:val="16"/>
              </w:rPr>
            </w:pPr>
            <w:r w:rsidRPr="000025D5">
              <w:rPr>
                <w:rFonts w:ascii="Arial" w:hAnsi="Arial" w:cs="Arial"/>
                <w:sz w:val="16"/>
                <w:szCs w:val="16"/>
              </w:rPr>
              <w:t>2.4</w:t>
            </w:r>
          </w:p>
        </w:tc>
        <w:tc>
          <w:tcPr>
            <w:tcW w:w="851" w:type="dxa"/>
            <w:tcBorders>
              <w:top w:val="nil"/>
              <w:left w:val="nil"/>
              <w:bottom w:val="single" w:sz="4" w:space="0" w:color="auto"/>
              <w:right w:val="nil"/>
            </w:tcBorders>
            <w:shd w:val="clear" w:color="000000" w:fill="E6E6E6"/>
            <w:noWrap/>
            <w:vAlign w:val="bottom"/>
            <w:hideMark/>
          </w:tcPr>
          <w:p w14:paraId="483A523A" w14:textId="66138EEB"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w:t>
            </w:r>
          </w:p>
        </w:tc>
        <w:tc>
          <w:tcPr>
            <w:tcW w:w="850" w:type="dxa"/>
            <w:tcBorders>
              <w:top w:val="nil"/>
              <w:left w:val="nil"/>
              <w:bottom w:val="single" w:sz="4" w:space="0" w:color="auto"/>
              <w:right w:val="nil"/>
            </w:tcBorders>
            <w:shd w:val="clear" w:color="auto" w:fill="auto"/>
            <w:vAlign w:val="bottom"/>
            <w:hideMark/>
          </w:tcPr>
          <w:p w14:paraId="00714ED8" w14:textId="77777777"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147</w:t>
            </w:r>
          </w:p>
        </w:tc>
        <w:tc>
          <w:tcPr>
            <w:tcW w:w="851" w:type="dxa"/>
            <w:tcBorders>
              <w:top w:val="nil"/>
              <w:left w:val="nil"/>
              <w:bottom w:val="single" w:sz="4" w:space="0" w:color="auto"/>
              <w:right w:val="nil"/>
            </w:tcBorders>
            <w:shd w:val="clear" w:color="auto" w:fill="auto"/>
            <w:vAlign w:val="bottom"/>
            <w:hideMark/>
          </w:tcPr>
          <w:p w14:paraId="15EA6ACB" w14:textId="77777777"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455</w:t>
            </w:r>
          </w:p>
        </w:tc>
        <w:tc>
          <w:tcPr>
            <w:tcW w:w="850" w:type="dxa"/>
            <w:tcBorders>
              <w:top w:val="nil"/>
              <w:left w:val="nil"/>
              <w:bottom w:val="single" w:sz="4" w:space="0" w:color="auto"/>
              <w:right w:val="nil"/>
            </w:tcBorders>
            <w:shd w:val="clear" w:color="auto" w:fill="auto"/>
            <w:vAlign w:val="bottom"/>
            <w:hideMark/>
          </w:tcPr>
          <w:p w14:paraId="5D0FBBAC" w14:textId="77777777" w:rsidR="001D65DB" w:rsidRPr="000025D5" w:rsidRDefault="001D65DB" w:rsidP="000025D5">
            <w:pPr>
              <w:spacing w:after="0" w:line="240" w:lineRule="auto"/>
              <w:jc w:val="right"/>
              <w:rPr>
                <w:rFonts w:ascii="Arial" w:hAnsi="Arial" w:cs="Arial"/>
                <w:sz w:val="16"/>
                <w:szCs w:val="16"/>
              </w:rPr>
            </w:pPr>
            <w:r w:rsidRPr="000025D5">
              <w:rPr>
                <w:rFonts w:ascii="Arial" w:hAnsi="Arial" w:cs="Arial"/>
                <w:sz w:val="16"/>
                <w:szCs w:val="16"/>
              </w:rPr>
              <w:t>834</w:t>
            </w:r>
          </w:p>
        </w:tc>
      </w:tr>
      <w:tr w:rsidR="001D65DB" w:rsidRPr="00B55E61" w14:paraId="3041AFAE" w14:textId="77777777" w:rsidTr="004F1EFA">
        <w:trPr>
          <w:trHeight w:val="204"/>
        </w:trPr>
        <w:tc>
          <w:tcPr>
            <w:tcW w:w="3119" w:type="dxa"/>
            <w:tcBorders>
              <w:top w:val="nil"/>
              <w:left w:val="nil"/>
              <w:bottom w:val="nil"/>
              <w:right w:val="nil"/>
            </w:tcBorders>
            <w:shd w:val="clear" w:color="auto" w:fill="auto"/>
            <w:vAlign w:val="bottom"/>
            <w:hideMark/>
          </w:tcPr>
          <w:p w14:paraId="68797737" w14:textId="2319D65C" w:rsidR="001D65DB" w:rsidRPr="00B55E61" w:rsidRDefault="001D65DB" w:rsidP="009E5C83">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Net</w:t>
            </w:r>
            <w:r w:rsidR="000672C0">
              <w:rPr>
                <w:rFonts w:ascii="Arial" w:hAnsi="Arial" w:cs="Arial"/>
                <w:b/>
                <w:bCs/>
                <w:color w:val="000000"/>
                <w:sz w:val="16"/>
                <w:szCs w:val="16"/>
              </w:rPr>
              <w:t xml:space="preserve"> impact on appropriations for</w:t>
            </w:r>
            <w:r w:rsidR="009E5C83">
              <w:rPr>
                <w:rFonts w:ascii="Arial" w:hAnsi="Arial" w:cs="Arial"/>
                <w:b/>
                <w:bCs/>
                <w:color w:val="000000"/>
                <w:sz w:val="16"/>
                <w:szCs w:val="16"/>
              </w:rPr>
              <w:t xml:space="preserve"> </w:t>
            </w:r>
            <w:r w:rsidRPr="00B55E61">
              <w:rPr>
                <w:rFonts w:ascii="Arial" w:hAnsi="Arial" w:cs="Arial"/>
                <w:b/>
                <w:bCs/>
                <w:color w:val="000000"/>
                <w:sz w:val="16"/>
                <w:szCs w:val="16"/>
              </w:rPr>
              <w:t>Outcome 2 (</w:t>
            </w:r>
            <w:r w:rsidR="00D37DFC">
              <w:rPr>
                <w:rFonts w:ascii="Arial" w:hAnsi="Arial" w:cs="Arial"/>
                <w:b/>
                <w:bCs/>
                <w:color w:val="000000"/>
                <w:sz w:val="16"/>
                <w:szCs w:val="16"/>
              </w:rPr>
              <w:t>D</w:t>
            </w:r>
            <w:r w:rsidR="008863D9">
              <w:rPr>
                <w:rFonts w:ascii="Arial" w:hAnsi="Arial" w:cs="Arial"/>
                <w:b/>
                <w:bCs/>
                <w:color w:val="000000"/>
                <w:sz w:val="16"/>
                <w:szCs w:val="16"/>
              </w:rPr>
              <w:t>epartment</w:t>
            </w:r>
            <w:r w:rsidRPr="00B55E61">
              <w:rPr>
                <w:rFonts w:ascii="Arial" w:hAnsi="Arial" w:cs="Arial"/>
                <w:b/>
                <w:bCs/>
                <w:color w:val="000000"/>
                <w:sz w:val="16"/>
                <w:szCs w:val="16"/>
              </w:rPr>
              <w:t>al)</w:t>
            </w:r>
          </w:p>
        </w:tc>
        <w:tc>
          <w:tcPr>
            <w:tcW w:w="992" w:type="dxa"/>
            <w:tcBorders>
              <w:top w:val="nil"/>
              <w:left w:val="nil"/>
              <w:bottom w:val="nil"/>
              <w:right w:val="nil"/>
            </w:tcBorders>
            <w:shd w:val="clear" w:color="auto" w:fill="auto"/>
            <w:noWrap/>
            <w:vAlign w:val="bottom"/>
            <w:hideMark/>
          </w:tcPr>
          <w:p w14:paraId="16DF6F72" w14:textId="77777777" w:rsidR="001D65DB" w:rsidRPr="000025D5" w:rsidRDefault="001D65DB" w:rsidP="000025D5">
            <w:pPr>
              <w:spacing w:after="0" w:line="240" w:lineRule="auto"/>
              <w:jc w:val="right"/>
              <w:rPr>
                <w:rFonts w:ascii="Arial" w:hAnsi="Arial" w:cs="Arial"/>
                <w:b/>
                <w:bCs/>
                <w:sz w:val="16"/>
                <w:szCs w:val="16"/>
              </w:rPr>
            </w:pPr>
          </w:p>
        </w:tc>
        <w:tc>
          <w:tcPr>
            <w:tcW w:w="851" w:type="dxa"/>
            <w:tcBorders>
              <w:top w:val="single" w:sz="4" w:space="0" w:color="auto"/>
              <w:left w:val="nil"/>
              <w:bottom w:val="single" w:sz="4" w:space="0" w:color="auto"/>
              <w:right w:val="nil"/>
            </w:tcBorders>
            <w:shd w:val="clear" w:color="000000" w:fill="E6E6E6"/>
            <w:noWrap/>
            <w:vAlign w:val="bottom"/>
            <w:hideMark/>
          </w:tcPr>
          <w:p w14:paraId="14C32290" w14:textId="175EAE42" w:rsidR="001D65DB" w:rsidRPr="000025D5" w:rsidRDefault="001D65DB" w:rsidP="000025D5">
            <w:pPr>
              <w:spacing w:after="0" w:line="240" w:lineRule="auto"/>
              <w:jc w:val="right"/>
              <w:rPr>
                <w:rFonts w:ascii="Arial" w:hAnsi="Arial" w:cs="Arial"/>
                <w:b/>
                <w:bCs/>
                <w:sz w:val="16"/>
                <w:szCs w:val="16"/>
              </w:rPr>
            </w:pPr>
            <w:r w:rsidRPr="000025D5">
              <w:rPr>
                <w:rFonts w:ascii="Arial" w:hAnsi="Arial" w:cs="Arial"/>
                <w:b/>
                <w:bCs/>
                <w:sz w:val="16"/>
                <w:szCs w:val="16"/>
              </w:rPr>
              <w:t>3,032</w:t>
            </w:r>
          </w:p>
        </w:tc>
        <w:tc>
          <w:tcPr>
            <w:tcW w:w="850" w:type="dxa"/>
            <w:tcBorders>
              <w:top w:val="single" w:sz="4" w:space="0" w:color="auto"/>
              <w:left w:val="nil"/>
              <w:bottom w:val="single" w:sz="4" w:space="0" w:color="auto"/>
              <w:right w:val="nil"/>
            </w:tcBorders>
            <w:shd w:val="clear" w:color="auto" w:fill="auto"/>
            <w:noWrap/>
            <w:vAlign w:val="bottom"/>
            <w:hideMark/>
          </w:tcPr>
          <w:p w14:paraId="1D119FFE" w14:textId="264FC822" w:rsidR="001D65DB" w:rsidRPr="000025D5" w:rsidRDefault="001D65DB" w:rsidP="000025D5">
            <w:pPr>
              <w:spacing w:after="0" w:line="240" w:lineRule="auto"/>
              <w:jc w:val="right"/>
              <w:rPr>
                <w:rFonts w:ascii="Arial" w:hAnsi="Arial" w:cs="Arial"/>
                <w:b/>
                <w:bCs/>
                <w:sz w:val="16"/>
                <w:szCs w:val="16"/>
              </w:rPr>
            </w:pPr>
            <w:r w:rsidRPr="000025D5">
              <w:rPr>
                <w:rFonts w:ascii="Arial" w:hAnsi="Arial" w:cs="Arial"/>
                <w:b/>
                <w:bCs/>
                <w:sz w:val="16"/>
                <w:szCs w:val="16"/>
              </w:rPr>
              <w:t>5,101</w:t>
            </w:r>
          </w:p>
        </w:tc>
        <w:tc>
          <w:tcPr>
            <w:tcW w:w="851" w:type="dxa"/>
            <w:tcBorders>
              <w:top w:val="single" w:sz="4" w:space="0" w:color="auto"/>
              <w:left w:val="nil"/>
              <w:bottom w:val="single" w:sz="4" w:space="0" w:color="auto"/>
              <w:right w:val="nil"/>
            </w:tcBorders>
            <w:shd w:val="clear" w:color="auto" w:fill="auto"/>
            <w:noWrap/>
            <w:vAlign w:val="bottom"/>
            <w:hideMark/>
          </w:tcPr>
          <w:p w14:paraId="48339729" w14:textId="5DBD95FE" w:rsidR="001D65DB" w:rsidRPr="000025D5" w:rsidRDefault="001D65DB" w:rsidP="000025D5">
            <w:pPr>
              <w:spacing w:after="0" w:line="240" w:lineRule="auto"/>
              <w:jc w:val="right"/>
              <w:rPr>
                <w:rFonts w:ascii="Arial" w:hAnsi="Arial" w:cs="Arial"/>
                <w:b/>
                <w:bCs/>
                <w:sz w:val="16"/>
                <w:szCs w:val="16"/>
              </w:rPr>
            </w:pPr>
            <w:r w:rsidRPr="000025D5">
              <w:rPr>
                <w:rFonts w:ascii="Arial" w:hAnsi="Arial" w:cs="Arial"/>
                <w:b/>
                <w:bCs/>
                <w:sz w:val="16"/>
                <w:szCs w:val="16"/>
              </w:rPr>
              <w:t>2,111</w:t>
            </w:r>
          </w:p>
        </w:tc>
        <w:tc>
          <w:tcPr>
            <w:tcW w:w="850" w:type="dxa"/>
            <w:tcBorders>
              <w:top w:val="single" w:sz="4" w:space="0" w:color="auto"/>
              <w:left w:val="nil"/>
              <w:bottom w:val="single" w:sz="4" w:space="0" w:color="auto"/>
              <w:right w:val="nil"/>
            </w:tcBorders>
            <w:shd w:val="clear" w:color="auto" w:fill="auto"/>
            <w:noWrap/>
            <w:vAlign w:val="bottom"/>
            <w:hideMark/>
          </w:tcPr>
          <w:p w14:paraId="7E3AC919" w14:textId="4D3022B7" w:rsidR="001D65DB" w:rsidRPr="000025D5" w:rsidRDefault="001D65DB" w:rsidP="000025D5">
            <w:pPr>
              <w:spacing w:after="0" w:line="240" w:lineRule="auto"/>
              <w:jc w:val="right"/>
              <w:rPr>
                <w:rFonts w:ascii="Arial" w:hAnsi="Arial" w:cs="Arial"/>
                <w:b/>
                <w:bCs/>
                <w:sz w:val="16"/>
                <w:szCs w:val="16"/>
              </w:rPr>
            </w:pPr>
            <w:r w:rsidRPr="000025D5">
              <w:rPr>
                <w:rFonts w:ascii="Arial" w:hAnsi="Arial" w:cs="Arial"/>
                <w:b/>
                <w:bCs/>
                <w:sz w:val="16"/>
                <w:szCs w:val="16"/>
              </w:rPr>
              <w:t>993</w:t>
            </w:r>
          </w:p>
        </w:tc>
      </w:tr>
      <w:tr w:rsidR="001D65DB" w:rsidRPr="00B55E61" w14:paraId="4E910C8B" w14:textId="77777777" w:rsidTr="004F1EFA">
        <w:trPr>
          <w:trHeight w:val="204"/>
        </w:trPr>
        <w:tc>
          <w:tcPr>
            <w:tcW w:w="3119" w:type="dxa"/>
            <w:tcBorders>
              <w:top w:val="nil"/>
              <w:left w:val="nil"/>
              <w:bottom w:val="single" w:sz="4" w:space="0" w:color="auto"/>
              <w:right w:val="nil"/>
            </w:tcBorders>
            <w:shd w:val="clear" w:color="auto" w:fill="auto"/>
            <w:vAlign w:val="bottom"/>
            <w:hideMark/>
          </w:tcPr>
          <w:p w14:paraId="62FD79C1" w14:textId="60ECBC16" w:rsidR="001D65DB" w:rsidRPr="00B55E61" w:rsidRDefault="001D65DB" w:rsidP="00395E20">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Total net impact on appropriations</w:t>
            </w:r>
            <w:r w:rsidR="00395E20">
              <w:rPr>
                <w:rFonts w:ascii="Arial" w:hAnsi="Arial" w:cs="Arial"/>
                <w:b/>
                <w:bCs/>
                <w:color w:val="000000"/>
                <w:sz w:val="16"/>
                <w:szCs w:val="16"/>
              </w:rPr>
              <w:t xml:space="preserve"> </w:t>
            </w:r>
            <w:r w:rsidR="000672C0">
              <w:rPr>
                <w:rFonts w:ascii="Arial" w:hAnsi="Arial" w:cs="Arial"/>
                <w:b/>
                <w:bCs/>
                <w:color w:val="000000"/>
                <w:sz w:val="16"/>
                <w:szCs w:val="16"/>
              </w:rPr>
              <w:t>f</w:t>
            </w:r>
            <w:r w:rsidRPr="00B55E61">
              <w:rPr>
                <w:rFonts w:ascii="Arial" w:hAnsi="Arial" w:cs="Arial"/>
                <w:b/>
                <w:bCs/>
                <w:color w:val="000000"/>
                <w:sz w:val="16"/>
                <w:szCs w:val="16"/>
              </w:rPr>
              <w:t>or Outcome 2</w:t>
            </w:r>
          </w:p>
        </w:tc>
        <w:tc>
          <w:tcPr>
            <w:tcW w:w="992" w:type="dxa"/>
            <w:tcBorders>
              <w:top w:val="nil"/>
              <w:left w:val="nil"/>
              <w:bottom w:val="single" w:sz="4" w:space="0" w:color="auto"/>
              <w:right w:val="nil"/>
            </w:tcBorders>
            <w:shd w:val="clear" w:color="auto" w:fill="auto"/>
            <w:noWrap/>
            <w:vAlign w:val="bottom"/>
            <w:hideMark/>
          </w:tcPr>
          <w:p w14:paraId="3134CF42" w14:textId="77777777" w:rsidR="001D65DB" w:rsidRPr="000025D5" w:rsidRDefault="001D65DB" w:rsidP="000025D5">
            <w:pPr>
              <w:spacing w:after="0" w:line="240" w:lineRule="auto"/>
              <w:jc w:val="right"/>
              <w:rPr>
                <w:rFonts w:ascii="Arial" w:hAnsi="Arial" w:cs="Arial"/>
                <w:b/>
                <w:bCs/>
                <w:sz w:val="16"/>
                <w:szCs w:val="16"/>
              </w:rPr>
            </w:pPr>
          </w:p>
        </w:tc>
        <w:tc>
          <w:tcPr>
            <w:tcW w:w="851" w:type="dxa"/>
            <w:tcBorders>
              <w:top w:val="nil"/>
              <w:left w:val="nil"/>
              <w:bottom w:val="single" w:sz="4" w:space="0" w:color="auto"/>
              <w:right w:val="nil"/>
            </w:tcBorders>
            <w:shd w:val="clear" w:color="000000" w:fill="E6E6E6"/>
            <w:noWrap/>
            <w:vAlign w:val="bottom"/>
            <w:hideMark/>
          </w:tcPr>
          <w:p w14:paraId="51FFF144" w14:textId="4AB0A078" w:rsidR="001D65DB" w:rsidRPr="000025D5" w:rsidRDefault="001D65DB" w:rsidP="000025D5">
            <w:pPr>
              <w:spacing w:after="0" w:line="240" w:lineRule="auto"/>
              <w:jc w:val="right"/>
              <w:rPr>
                <w:rFonts w:ascii="Arial" w:hAnsi="Arial" w:cs="Arial"/>
                <w:b/>
                <w:bCs/>
                <w:sz w:val="16"/>
                <w:szCs w:val="16"/>
              </w:rPr>
            </w:pPr>
            <w:r w:rsidRPr="000025D5">
              <w:rPr>
                <w:rFonts w:ascii="Arial" w:hAnsi="Arial" w:cs="Arial"/>
                <w:b/>
                <w:bCs/>
                <w:sz w:val="16"/>
                <w:szCs w:val="16"/>
              </w:rPr>
              <w:t>207,792</w:t>
            </w:r>
          </w:p>
        </w:tc>
        <w:tc>
          <w:tcPr>
            <w:tcW w:w="850" w:type="dxa"/>
            <w:tcBorders>
              <w:top w:val="nil"/>
              <w:left w:val="nil"/>
              <w:bottom w:val="single" w:sz="4" w:space="0" w:color="auto"/>
              <w:right w:val="nil"/>
            </w:tcBorders>
            <w:shd w:val="clear" w:color="auto" w:fill="auto"/>
            <w:noWrap/>
            <w:vAlign w:val="bottom"/>
            <w:hideMark/>
          </w:tcPr>
          <w:p w14:paraId="62D792D2" w14:textId="7508FB33" w:rsidR="001D65DB" w:rsidRPr="000025D5" w:rsidRDefault="001D65DB" w:rsidP="000025D5">
            <w:pPr>
              <w:spacing w:after="0" w:line="240" w:lineRule="auto"/>
              <w:jc w:val="right"/>
              <w:rPr>
                <w:rFonts w:ascii="Arial" w:hAnsi="Arial" w:cs="Arial"/>
                <w:b/>
                <w:bCs/>
                <w:sz w:val="16"/>
                <w:szCs w:val="16"/>
              </w:rPr>
            </w:pPr>
            <w:r w:rsidRPr="000025D5">
              <w:rPr>
                <w:rFonts w:ascii="Arial" w:hAnsi="Arial" w:cs="Arial"/>
                <w:b/>
                <w:bCs/>
                <w:sz w:val="16"/>
                <w:szCs w:val="16"/>
              </w:rPr>
              <w:t>60,601</w:t>
            </w:r>
          </w:p>
        </w:tc>
        <w:tc>
          <w:tcPr>
            <w:tcW w:w="851" w:type="dxa"/>
            <w:tcBorders>
              <w:top w:val="nil"/>
              <w:left w:val="nil"/>
              <w:bottom w:val="single" w:sz="4" w:space="0" w:color="auto"/>
              <w:right w:val="nil"/>
            </w:tcBorders>
            <w:shd w:val="clear" w:color="auto" w:fill="auto"/>
            <w:noWrap/>
            <w:vAlign w:val="bottom"/>
            <w:hideMark/>
          </w:tcPr>
          <w:p w14:paraId="03286952" w14:textId="7499CB09" w:rsidR="001D65DB" w:rsidRPr="000025D5" w:rsidRDefault="001D65DB" w:rsidP="000025D5">
            <w:pPr>
              <w:spacing w:after="0" w:line="240" w:lineRule="auto"/>
              <w:jc w:val="right"/>
              <w:rPr>
                <w:rFonts w:ascii="Arial" w:hAnsi="Arial" w:cs="Arial"/>
                <w:b/>
                <w:bCs/>
                <w:sz w:val="16"/>
                <w:szCs w:val="16"/>
              </w:rPr>
            </w:pPr>
            <w:r w:rsidRPr="000025D5">
              <w:rPr>
                <w:rFonts w:ascii="Arial" w:hAnsi="Arial" w:cs="Arial"/>
                <w:b/>
                <w:bCs/>
                <w:sz w:val="16"/>
                <w:szCs w:val="16"/>
              </w:rPr>
              <w:t>31,466</w:t>
            </w:r>
          </w:p>
        </w:tc>
        <w:tc>
          <w:tcPr>
            <w:tcW w:w="850" w:type="dxa"/>
            <w:tcBorders>
              <w:top w:val="nil"/>
              <w:left w:val="nil"/>
              <w:bottom w:val="single" w:sz="4" w:space="0" w:color="auto"/>
              <w:right w:val="nil"/>
            </w:tcBorders>
            <w:shd w:val="clear" w:color="auto" w:fill="auto"/>
            <w:noWrap/>
            <w:vAlign w:val="bottom"/>
            <w:hideMark/>
          </w:tcPr>
          <w:p w14:paraId="405D18E6" w14:textId="4B0F0DAF" w:rsidR="001D65DB" w:rsidRPr="000025D5" w:rsidRDefault="001D65DB" w:rsidP="000025D5">
            <w:pPr>
              <w:spacing w:after="0" w:line="240" w:lineRule="auto"/>
              <w:jc w:val="right"/>
              <w:rPr>
                <w:rFonts w:ascii="Arial" w:hAnsi="Arial" w:cs="Arial"/>
                <w:b/>
                <w:bCs/>
                <w:sz w:val="16"/>
                <w:szCs w:val="16"/>
              </w:rPr>
            </w:pPr>
            <w:r w:rsidRPr="000025D5">
              <w:rPr>
                <w:rFonts w:ascii="Arial" w:hAnsi="Arial" w:cs="Arial"/>
                <w:b/>
                <w:bCs/>
                <w:sz w:val="16"/>
                <w:szCs w:val="16"/>
              </w:rPr>
              <w:t>15,291</w:t>
            </w:r>
          </w:p>
        </w:tc>
      </w:tr>
    </w:tbl>
    <w:p w14:paraId="41C34C2E" w14:textId="6A011B25" w:rsidR="008C60EB" w:rsidRDefault="008C60EB" w:rsidP="008C60EB">
      <w:pPr>
        <w:pStyle w:val="TableHeading"/>
      </w:pPr>
      <w:r w:rsidRPr="00897F19">
        <w:lastRenderedPageBreak/>
        <w:t>Table 1.3: Additional estimates</w:t>
      </w:r>
      <w:r w:rsidRPr="00897F19">
        <w:rPr>
          <w:lang w:val="en-AU"/>
        </w:rPr>
        <w:t xml:space="preserve"> </w:t>
      </w:r>
      <w:r w:rsidRPr="00897F19">
        <w:t xml:space="preserve">and </w:t>
      </w:r>
      <w:r w:rsidRPr="00897F19">
        <w:rPr>
          <w:lang w:val="en-AU"/>
        </w:rPr>
        <w:t xml:space="preserve">other </w:t>
      </w:r>
      <w:r w:rsidRPr="00897F19">
        <w:t xml:space="preserve">variations to outcomes since </w:t>
      </w:r>
      <w:r w:rsidRPr="00897F19">
        <w:rPr>
          <w:lang w:val="en-AU"/>
        </w:rPr>
        <w:t>2021-22</w:t>
      </w:r>
      <w:r w:rsidRPr="00897F19">
        <w:t xml:space="preserve"> Budget</w:t>
      </w:r>
      <w:r>
        <w:rPr>
          <w:lang w:val="en-AU"/>
        </w:rPr>
        <w:t xml:space="preserve"> (continued)</w:t>
      </w:r>
    </w:p>
    <w:tbl>
      <w:tblPr>
        <w:tblW w:w="0" w:type="auto"/>
        <w:tblLayout w:type="fixed"/>
        <w:tblLook w:val="04A0" w:firstRow="1" w:lastRow="0" w:firstColumn="1" w:lastColumn="0" w:noHBand="0" w:noVBand="1"/>
      </w:tblPr>
      <w:tblGrid>
        <w:gridCol w:w="2977"/>
        <w:gridCol w:w="992"/>
        <w:gridCol w:w="903"/>
        <w:gridCol w:w="928"/>
        <w:gridCol w:w="928"/>
        <w:gridCol w:w="903"/>
      </w:tblGrid>
      <w:tr w:rsidR="008C60EB" w:rsidRPr="00B55E61" w14:paraId="77ACABA2" w14:textId="77777777" w:rsidTr="009E5C83">
        <w:trPr>
          <w:trHeight w:val="204"/>
        </w:trPr>
        <w:tc>
          <w:tcPr>
            <w:tcW w:w="2977" w:type="dxa"/>
            <w:tcBorders>
              <w:top w:val="single" w:sz="4" w:space="0" w:color="auto"/>
              <w:left w:val="nil"/>
              <w:bottom w:val="nil"/>
              <w:right w:val="nil"/>
            </w:tcBorders>
            <w:shd w:val="clear" w:color="auto" w:fill="auto"/>
            <w:noWrap/>
            <w:vAlign w:val="bottom"/>
            <w:hideMark/>
          </w:tcPr>
          <w:p w14:paraId="5155AA49" w14:textId="77777777" w:rsidR="008C60EB" w:rsidRPr="00B55E61" w:rsidRDefault="008C60EB" w:rsidP="001670C2">
            <w:pPr>
              <w:spacing w:after="0" w:line="240" w:lineRule="auto"/>
              <w:jc w:val="left"/>
              <w:rPr>
                <w:rFonts w:ascii="Arial" w:hAnsi="Arial" w:cs="Arial"/>
                <w:sz w:val="16"/>
                <w:szCs w:val="16"/>
              </w:rPr>
            </w:pPr>
            <w:r w:rsidRPr="00B55E61">
              <w:rPr>
                <w:rFonts w:ascii="Arial" w:hAnsi="Arial" w:cs="Arial"/>
                <w:sz w:val="16"/>
                <w:szCs w:val="16"/>
              </w:rPr>
              <w:t> </w:t>
            </w:r>
          </w:p>
        </w:tc>
        <w:tc>
          <w:tcPr>
            <w:tcW w:w="992" w:type="dxa"/>
            <w:tcBorders>
              <w:top w:val="single" w:sz="4" w:space="0" w:color="auto"/>
              <w:left w:val="nil"/>
              <w:bottom w:val="nil"/>
              <w:right w:val="nil"/>
            </w:tcBorders>
            <w:shd w:val="clear" w:color="auto" w:fill="auto"/>
            <w:vAlign w:val="bottom"/>
            <w:hideMark/>
          </w:tcPr>
          <w:p w14:paraId="5E728E4E" w14:textId="77777777" w:rsidR="008C60EB" w:rsidRPr="00B55E61" w:rsidRDefault="008C60EB" w:rsidP="001670C2">
            <w:pPr>
              <w:spacing w:after="0" w:line="240" w:lineRule="auto"/>
              <w:jc w:val="center"/>
              <w:rPr>
                <w:rFonts w:ascii="Arial" w:hAnsi="Arial" w:cs="Arial"/>
                <w:sz w:val="16"/>
                <w:szCs w:val="16"/>
              </w:rPr>
            </w:pPr>
            <w:r w:rsidRPr="00B55E61">
              <w:rPr>
                <w:rFonts w:ascii="Arial" w:hAnsi="Arial" w:cs="Arial"/>
                <w:sz w:val="16"/>
                <w:szCs w:val="16"/>
              </w:rPr>
              <w:t>Program</w:t>
            </w:r>
          </w:p>
        </w:tc>
        <w:tc>
          <w:tcPr>
            <w:tcW w:w="903" w:type="dxa"/>
            <w:tcBorders>
              <w:top w:val="single" w:sz="4" w:space="0" w:color="auto"/>
              <w:left w:val="nil"/>
              <w:bottom w:val="nil"/>
              <w:right w:val="nil"/>
            </w:tcBorders>
            <w:shd w:val="clear" w:color="000000" w:fill="E6E6E6"/>
            <w:vAlign w:val="bottom"/>
            <w:hideMark/>
          </w:tcPr>
          <w:p w14:paraId="6BCA33BB"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2021-22</w:t>
            </w:r>
          </w:p>
        </w:tc>
        <w:tc>
          <w:tcPr>
            <w:tcW w:w="928" w:type="dxa"/>
            <w:tcBorders>
              <w:top w:val="single" w:sz="4" w:space="0" w:color="auto"/>
              <w:left w:val="nil"/>
              <w:bottom w:val="nil"/>
              <w:right w:val="nil"/>
            </w:tcBorders>
            <w:shd w:val="clear" w:color="auto" w:fill="auto"/>
            <w:vAlign w:val="bottom"/>
            <w:hideMark/>
          </w:tcPr>
          <w:p w14:paraId="472F6E44"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2022-23</w:t>
            </w:r>
          </w:p>
        </w:tc>
        <w:tc>
          <w:tcPr>
            <w:tcW w:w="928" w:type="dxa"/>
            <w:tcBorders>
              <w:top w:val="single" w:sz="4" w:space="0" w:color="auto"/>
              <w:left w:val="nil"/>
              <w:bottom w:val="nil"/>
              <w:right w:val="nil"/>
            </w:tcBorders>
            <w:shd w:val="clear" w:color="auto" w:fill="auto"/>
            <w:vAlign w:val="bottom"/>
            <w:hideMark/>
          </w:tcPr>
          <w:p w14:paraId="01A5FEBF"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2023-24</w:t>
            </w:r>
          </w:p>
        </w:tc>
        <w:tc>
          <w:tcPr>
            <w:tcW w:w="903" w:type="dxa"/>
            <w:tcBorders>
              <w:top w:val="single" w:sz="4" w:space="0" w:color="auto"/>
              <w:left w:val="nil"/>
              <w:bottom w:val="nil"/>
              <w:right w:val="nil"/>
            </w:tcBorders>
            <w:shd w:val="clear" w:color="auto" w:fill="auto"/>
            <w:vAlign w:val="bottom"/>
            <w:hideMark/>
          </w:tcPr>
          <w:p w14:paraId="582AA945"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2024-25</w:t>
            </w:r>
          </w:p>
        </w:tc>
      </w:tr>
      <w:tr w:rsidR="008C60EB" w:rsidRPr="00B55E61" w14:paraId="68EA0FAC" w14:textId="77777777" w:rsidTr="009E5C83">
        <w:trPr>
          <w:trHeight w:val="204"/>
        </w:trPr>
        <w:tc>
          <w:tcPr>
            <w:tcW w:w="2977" w:type="dxa"/>
            <w:tcBorders>
              <w:top w:val="nil"/>
              <w:left w:val="nil"/>
              <w:bottom w:val="single" w:sz="4" w:space="0" w:color="auto"/>
              <w:right w:val="nil"/>
            </w:tcBorders>
            <w:shd w:val="clear" w:color="auto" w:fill="auto"/>
            <w:noWrap/>
            <w:vAlign w:val="bottom"/>
            <w:hideMark/>
          </w:tcPr>
          <w:p w14:paraId="36415CEA" w14:textId="77777777" w:rsidR="008C60EB" w:rsidRPr="00B55E61" w:rsidRDefault="008C60EB" w:rsidP="001670C2">
            <w:pPr>
              <w:spacing w:after="0" w:line="240" w:lineRule="auto"/>
              <w:jc w:val="left"/>
              <w:rPr>
                <w:rFonts w:ascii="Arial" w:hAnsi="Arial" w:cs="Arial"/>
                <w:sz w:val="16"/>
                <w:szCs w:val="16"/>
              </w:rPr>
            </w:pPr>
            <w:r w:rsidRPr="00B55E61">
              <w:rPr>
                <w:rFonts w:ascii="Arial" w:hAnsi="Arial" w:cs="Arial"/>
                <w:sz w:val="16"/>
                <w:szCs w:val="16"/>
              </w:rPr>
              <w:t> </w:t>
            </w:r>
          </w:p>
        </w:tc>
        <w:tc>
          <w:tcPr>
            <w:tcW w:w="992" w:type="dxa"/>
            <w:tcBorders>
              <w:top w:val="nil"/>
              <w:left w:val="nil"/>
              <w:bottom w:val="single" w:sz="4" w:space="0" w:color="auto"/>
              <w:right w:val="nil"/>
            </w:tcBorders>
            <w:shd w:val="clear" w:color="auto" w:fill="auto"/>
            <w:vAlign w:val="bottom"/>
            <w:hideMark/>
          </w:tcPr>
          <w:p w14:paraId="0496489D" w14:textId="77777777" w:rsidR="008C60EB" w:rsidRPr="00B55E61" w:rsidRDefault="008C60EB" w:rsidP="001670C2">
            <w:pPr>
              <w:spacing w:after="0" w:line="240" w:lineRule="auto"/>
              <w:jc w:val="center"/>
              <w:rPr>
                <w:rFonts w:ascii="Arial" w:hAnsi="Arial" w:cs="Arial"/>
                <w:sz w:val="16"/>
                <w:szCs w:val="16"/>
              </w:rPr>
            </w:pPr>
            <w:r w:rsidRPr="00B55E61">
              <w:rPr>
                <w:rFonts w:ascii="Arial" w:hAnsi="Arial" w:cs="Arial"/>
                <w:sz w:val="16"/>
                <w:szCs w:val="16"/>
              </w:rPr>
              <w:t>impacted</w:t>
            </w:r>
          </w:p>
        </w:tc>
        <w:tc>
          <w:tcPr>
            <w:tcW w:w="903" w:type="dxa"/>
            <w:tcBorders>
              <w:top w:val="nil"/>
              <w:left w:val="nil"/>
              <w:bottom w:val="single" w:sz="4" w:space="0" w:color="auto"/>
              <w:right w:val="nil"/>
            </w:tcBorders>
            <w:shd w:val="clear" w:color="000000" w:fill="E6E6E6"/>
            <w:vAlign w:val="bottom"/>
            <w:hideMark/>
          </w:tcPr>
          <w:p w14:paraId="146C6D14"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$'000</w:t>
            </w:r>
          </w:p>
        </w:tc>
        <w:tc>
          <w:tcPr>
            <w:tcW w:w="928" w:type="dxa"/>
            <w:tcBorders>
              <w:top w:val="nil"/>
              <w:left w:val="nil"/>
              <w:bottom w:val="single" w:sz="4" w:space="0" w:color="auto"/>
              <w:right w:val="nil"/>
            </w:tcBorders>
            <w:shd w:val="clear" w:color="auto" w:fill="auto"/>
            <w:vAlign w:val="bottom"/>
            <w:hideMark/>
          </w:tcPr>
          <w:p w14:paraId="1EA15B07"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$'000</w:t>
            </w:r>
          </w:p>
        </w:tc>
        <w:tc>
          <w:tcPr>
            <w:tcW w:w="928" w:type="dxa"/>
            <w:tcBorders>
              <w:top w:val="nil"/>
              <w:left w:val="nil"/>
              <w:bottom w:val="single" w:sz="4" w:space="0" w:color="auto"/>
              <w:right w:val="nil"/>
            </w:tcBorders>
            <w:shd w:val="clear" w:color="auto" w:fill="auto"/>
            <w:vAlign w:val="bottom"/>
            <w:hideMark/>
          </w:tcPr>
          <w:p w14:paraId="2F2DEF50"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$'000</w:t>
            </w:r>
          </w:p>
        </w:tc>
        <w:tc>
          <w:tcPr>
            <w:tcW w:w="903" w:type="dxa"/>
            <w:tcBorders>
              <w:top w:val="nil"/>
              <w:left w:val="nil"/>
              <w:bottom w:val="single" w:sz="4" w:space="0" w:color="auto"/>
              <w:right w:val="nil"/>
            </w:tcBorders>
            <w:shd w:val="clear" w:color="auto" w:fill="auto"/>
            <w:vAlign w:val="bottom"/>
            <w:hideMark/>
          </w:tcPr>
          <w:p w14:paraId="1042ACC1"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$'000</w:t>
            </w:r>
          </w:p>
        </w:tc>
      </w:tr>
      <w:tr w:rsidR="005F6D89" w:rsidRPr="00B55E61" w14:paraId="3E2505BB" w14:textId="77777777" w:rsidTr="00D53118">
        <w:trPr>
          <w:trHeight w:val="204"/>
        </w:trPr>
        <w:tc>
          <w:tcPr>
            <w:tcW w:w="2977" w:type="dxa"/>
            <w:tcBorders>
              <w:top w:val="nil"/>
              <w:left w:val="nil"/>
              <w:bottom w:val="nil"/>
              <w:right w:val="nil"/>
            </w:tcBorders>
            <w:shd w:val="clear" w:color="auto" w:fill="auto"/>
            <w:noWrap/>
            <w:vAlign w:val="bottom"/>
            <w:hideMark/>
          </w:tcPr>
          <w:p w14:paraId="3B10A3EE" w14:textId="3C9C9B51" w:rsidR="005F6D89" w:rsidRPr="00B55E61" w:rsidRDefault="005F6D89" w:rsidP="005F6D89">
            <w:pPr>
              <w:spacing w:after="0" w:line="240" w:lineRule="auto"/>
              <w:jc w:val="left"/>
              <w:rPr>
                <w:rFonts w:ascii="Arial" w:hAnsi="Arial" w:cs="Arial"/>
                <w:b/>
                <w:bCs/>
                <w:sz w:val="16"/>
                <w:szCs w:val="16"/>
              </w:rPr>
            </w:pPr>
            <w:r w:rsidRPr="00B55E61">
              <w:rPr>
                <w:rFonts w:ascii="Arial" w:hAnsi="Arial" w:cs="Arial"/>
                <w:b/>
                <w:bCs/>
                <w:sz w:val="16"/>
                <w:szCs w:val="16"/>
              </w:rPr>
              <w:t>Outcome 3</w:t>
            </w:r>
          </w:p>
        </w:tc>
        <w:tc>
          <w:tcPr>
            <w:tcW w:w="992" w:type="dxa"/>
            <w:tcBorders>
              <w:top w:val="nil"/>
              <w:left w:val="nil"/>
              <w:bottom w:val="nil"/>
              <w:right w:val="nil"/>
            </w:tcBorders>
            <w:shd w:val="clear" w:color="auto" w:fill="auto"/>
            <w:noWrap/>
            <w:vAlign w:val="bottom"/>
            <w:hideMark/>
          </w:tcPr>
          <w:p w14:paraId="086DB60F" w14:textId="77777777" w:rsidR="005F6D89" w:rsidRPr="000025D5" w:rsidRDefault="005F6D89" w:rsidP="003E041F">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73EE13B2" w14:textId="53BC0BB3" w:rsidR="005F6D89" w:rsidRPr="000025D5" w:rsidRDefault="005F6D89" w:rsidP="003E041F">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0F7680FD" w14:textId="77777777" w:rsidR="005F6D89" w:rsidRPr="000025D5" w:rsidRDefault="005F6D89" w:rsidP="003E041F">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03F1DFC" w14:textId="77777777" w:rsidR="005F6D89" w:rsidRPr="000025D5" w:rsidRDefault="005F6D89" w:rsidP="003E041F">
            <w:pPr>
              <w:spacing w:after="0" w:line="240" w:lineRule="auto"/>
              <w:jc w:val="right"/>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206E2F9B" w14:textId="77777777" w:rsidR="005F6D89" w:rsidRPr="000025D5" w:rsidRDefault="005F6D89" w:rsidP="003E041F">
            <w:pPr>
              <w:spacing w:after="0" w:line="240" w:lineRule="auto"/>
              <w:jc w:val="right"/>
              <w:rPr>
                <w:rFonts w:ascii="Times New Roman" w:hAnsi="Times New Roman"/>
                <w:sz w:val="16"/>
                <w:szCs w:val="16"/>
              </w:rPr>
            </w:pPr>
          </w:p>
        </w:tc>
      </w:tr>
      <w:tr w:rsidR="005F6D89" w:rsidRPr="00B55E61" w14:paraId="4DC1D9D2" w14:textId="77777777" w:rsidTr="00D53118">
        <w:trPr>
          <w:trHeight w:val="204"/>
        </w:trPr>
        <w:tc>
          <w:tcPr>
            <w:tcW w:w="2977" w:type="dxa"/>
            <w:tcBorders>
              <w:top w:val="nil"/>
              <w:left w:val="nil"/>
              <w:bottom w:val="nil"/>
              <w:right w:val="nil"/>
            </w:tcBorders>
            <w:shd w:val="clear" w:color="auto" w:fill="auto"/>
            <w:noWrap/>
            <w:vAlign w:val="bottom"/>
            <w:hideMark/>
          </w:tcPr>
          <w:p w14:paraId="2D59A828" w14:textId="77777777" w:rsidR="005F6D89" w:rsidRPr="00B55E61" w:rsidRDefault="005F6D89" w:rsidP="005F6D89">
            <w:pPr>
              <w:spacing w:after="0" w:line="240" w:lineRule="auto"/>
              <w:jc w:val="left"/>
              <w:rPr>
                <w:rFonts w:ascii="Arial" w:hAnsi="Arial" w:cs="Arial"/>
                <w:b/>
                <w:bCs/>
                <w:sz w:val="16"/>
                <w:szCs w:val="16"/>
              </w:rPr>
            </w:pPr>
            <w:r w:rsidRPr="00B55E61">
              <w:rPr>
                <w:rFonts w:ascii="Arial" w:hAnsi="Arial" w:cs="Arial"/>
                <w:b/>
                <w:bCs/>
                <w:sz w:val="16"/>
                <w:szCs w:val="16"/>
              </w:rPr>
              <w:t>Administered</w:t>
            </w:r>
          </w:p>
        </w:tc>
        <w:tc>
          <w:tcPr>
            <w:tcW w:w="992" w:type="dxa"/>
            <w:tcBorders>
              <w:top w:val="nil"/>
              <w:left w:val="nil"/>
              <w:bottom w:val="nil"/>
              <w:right w:val="nil"/>
            </w:tcBorders>
            <w:shd w:val="clear" w:color="auto" w:fill="auto"/>
            <w:noWrap/>
            <w:vAlign w:val="bottom"/>
            <w:hideMark/>
          </w:tcPr>
          <w:p w14:paraId="6394DC79" w14:textId="77777777" w:rsidR="005F6D89" w:rsidRPr="000025D5" w:rsidRDefault="005F6D89" w:rsidP="003E041F">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60DAF4E8" w14:textId="7019AC77" w:rsidR="005F6D89" w:rsidRPr="000025D5" w:rsidRDefault="005F6D89" w:rsidP="003E041F">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AF25826" w14:textId="77777777" w:rsidR="005F6D89" w:rsidRPr="000025D5" w:rsidRDefault="005F6D89" w:rsidP="003E041F">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E2C8AE9" w14:textId="77777777" w:rsidR="005F6D89" w:rsidRPr="000025D5" w:rsidRDefault="005F6D89" w:rsidP="003E041F">
            <w:pPr>
              <w:spacing w:after="0" w:line="240" w:lineRule="auto"/>
              <w:jc w:val="right"/>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1DD9F612" w14:textId="77777777" w:rsidR="005F6D89" w:rsidRPr="000025D5" w:rsidRDefault="005F6D89" w:rsidP="003E041F">
            <w:pPr>
              <w:spacing w:after="0" w:line="240" w:lineRule="auto"/>
              <w:jc w:val="right"/>
              <w:rPr>
                <w:rFonts w:ascii="Times New Roman" w:hAnsi="Times New Roman"/>
                <w:sz w:val="16"/>
                <w:szCs w:val="16"/>
              </w:rPr>
            </w:pPr>
          </w:p>
        </w:tc>
      </w:tr>
      <w:tr w:rsidR="005F6D89" w:rsidRPr="00B55E61" w14:paraId="7F26EE39" w14:textId="77777777" w:rsidTr="00D53118">
        <w:trPr>
          <w:trHeight w:val="204"/>
        </w:trPr>
        <w:tc>
          <w:tcPr>
            <w:tcW w:w="2977" w:type="dxa"/>
            <w:tcBorders>
              <w:top w:val="nil"/>
              <w:left w:val="nil"/>
              <w:bottom w:val="nil"/>
              <w:right w:val="nil"/>
            </w:tcBorders>
            <w:shd w:val="clear" w:color="auto" w:fill="auto"/>
            <w:noWrap/>
            <w:vAlign w:val="bottom"/>
            <w:hideMark/>
          </w:tcPr>
          <w:p w14:paraId="20CE197E" w14:textId="2AA3C654" w:rsidR="005F6D89" w:rsidRPr="00B55E61" w:rsidRDefault="005F6D89" w:rsidP="005F6D89">
            <w:pPr>
              <w:spacing w:after="0" w:line="240" w:lineRule="auto"/>
              <w:ind w:left="113"/>
              <w:jc w:val="left"/>
              <w:rPr>
                <w:rFonts w:ascii="Arial" w:hAnsi="Arial" w:cs="Arial"/>
                <w:b/>
                <w:bCs/>
                <w:sz w:val="16"/>
                <w:szCs w:val="16"/>
              </w:rPr>
            </w:pPr>
            <w:r w:rsidRPr="00B55E61">
              <w:rPr>
                <w:rFonts w:ascii="Arial" w:hAnsi="Arial" w:cs="Arial"/>
                <w:b/>
                <w:bCs/>
                <w:sz w:val="16"/>
                <w:szCs w:val="16"/>
              </w:rPr>
              <w:t>Measures</w:t>
            </w:r>
          </w:p>
        </w:tc>
        <w:tc>
          <w:tcPr>
            <w:tcW w:w="992" w:type="dxa"/>
            <w:tcBorders>
              <w:top w:val="nil"/>
              <w:left w:val="nil"/>
              <w:bottom w:val="nil"/>
              <w:right w:val="nil"/>
            </w:tcBorders>
            <w:shd w:val="clear" w:color="auto" w:fill="auto"/>
            <w:noWrap/>
            <w:vAlign w:val="bottom"/>
            <w:hideMark/>
          </w:tcPr>
          <w:p w14:paraId="1DB4C633" w14:textId="77777777" w:rsidR="005F6D89" w:rsidRPr="000025D5" w:rsidRDefault="005F6D89" w:rsidP="003E041F">
            <w:pPr>
              <w:spacing w:after="0" w:line="240" w:lineRule="auto"/>
              <w:ind w:firstLineChars="100" w:firstLine="160"/>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3B245AAF" w14:textId="23FA344A" w:rsidR="005F6D89" w:rsidRPr="000025D5" w:rsidRDefault="005F6D89" w:rsidP="003E041F">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CB7C256" w14:textId="77777777" w:rsidR="005F6D89" w:rsidRPr="000025D5" w:rsidRDefault="005F6D89" w:rsidP="003E041F">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30A76A7C" w14:textId="77777777" w:rsidR="005F6D89" w:rsidRPr="000025D5" w:rsidRDefault="005F6D89" w:rsidP="003E041F">
            <w:pPr>
              <w:spacing w:after="0" w:line="240" w:lineRule="auto"/>
              <w:jc w:val="right"/>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21ACD9A9" w14:textId="77777777" w:rsidR="005F6D89" w:rsidRPr="000025D5" w:rsidRDefault="005F6D89" w:rsidP="003E041F">
            <w:pPr>
              <w:spacing w:after="0" w:line="240" w:lineRule="auto"/>
              <w:jc w:val="right"/>
              <w:rPr>
                <w:rFonts w:ascii="Times New Roman" w:hAnsi="Times New Roman"/>
                <w:sz w:val="16"/>
                <w:szCs w:val="16"/>
              </w:rPr>
            </w:pPr>
          </w:p>
        </w:tc>
      </w:tr>
      <w:tr w:rsidR="005F6D89" w:rsidRPr="00B55E61" w14:paraId="0E534137" w14:textId="77777777" w:rsidTr="00D53118">
        <w:trPr>
          <w:trHeight w:val="204"/>
        </w:trPr>
        <w:tc>
          <w:tcPr>
            <w:tcW w:w="2977" w:type="dxa"/>
            <w:tcBorders>
              <w:top w:val="nil"/>
              <w:left w:val="nil"/>
              <w:bottom w:val="nil"/>
              <w:right w:val="nil"/>
            </w:tcBorders>
            <w:shd w:val="clear" w:color="auto" w:fill="auto"/>
            <w:vAlign w:val="bottom"/>
            <w:hideMark/>
          </w:tcPr>
          <w:p w14:paraId="138E0C00"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Building Better Regions Fund - round five additional funding</w:t>
            </w:r>
          </w:p>
        </w:tc>
        <w:tc>
          <w:tcPr>
            <w:tcW w:w="992" w:type="dxa"/>
            <w:tcBorders>
              <w:top w:val="nil"/>
              <w:left w:val="nil"/>
              <w:bottom w:val="nil"/>
              <w:right w:val="nil"/>
            </w:tcBorders>
            <w:shd w:val="clear" w:color="auto" w:fill="auto"/>
            <w:noWrap/>
            <w:vAlign w:val="bottom"/>
            <w:hideMark/>
          </w:tcPr>
          <w:p w14:paraId="4B6F2940" w14:textId="77777777" w:rsidR="005F6D89" w:rsidRPr="000025D5" w:rsidRDefault="005F6D89" w:rsidP="003E041F">
            <w:pPr>
              <w:spacing w:after="0" w:line="240" w:lineRule="auto"/>
              <w:jc w:val="center"/>
              <w:rPr>
                <w:rFonts w:ascii="Arial" w:hAnsi="Arial" w:cs="Arial"/>
                <w:sz w:val="16"/>
                <w:szCs w:val="16"/>
              </w:rPr>
            </w:pPr>
            <w:r w:rsidRPr="000025D5">
              <w:rPr>
                <w:rFonts w:ascii="Arial" w:hAnsi="Arial" w:cs="Arial"/>
                <w:sz w:val="16"/>
                <w:szCs w:val="16"/>
              </w:rPr>
              <w:t>3.1</w:t>
            </w:r>
          </w:p>
        </w:tc>
        <w:tc>
          <w:tcPr>
            <w:tcW w:w="903" w:type="dxa"/>
            <w:tcBorders>
              <w:top w:val="nil"/>
              <w:left w:val="nil"/>
              <w:bottom w:val="nil"/>
              <w:right w:val="nil"/>
            </w:tcBorders>
            <w:shd w:val="clear" w:color="000000" w:fill="E6E6E6"/>
            <w:noWrap/>
            <w:vAlign w:val="bottom"/>
            <w:hideMark/>
          </w:tcPr>
          <w:p w14:paraId="028E6082" w14:textId="50B4B374" w:rsidR="005F6D89" w:rsidRPr="000025D5" w:rsidRDefault="005F6D89" w:rsidP="003E041F">
            <w:pPr>
              <w:spacing w:after="0" w:line="240" w:lineRule="auto"/>
              <w:jc w:val="right"/>
              <w:rPr>
                <w:rFonts w:ascii="Arial" w:hAnsi="Arial" w:cs="Arial"/>
                <w:sz w:val="16"/>
                <w:szCs w:val="16"/>
              </w:rPr>
            </w:pPr>
            <w:r w:rsidRPr="000025D5">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2B19100D" w14:textId="3F55484D" w:rsidR="005F6D89" w:rsidRPr="000025D5" w:rsidRDefault="005F6D89" w:rsidP="003E041F">
            <w:pPr>
              <w:spacing w:after="0" w:line="240" w:lineRule="auto"/>
              <w:jc w:val="right"/>
              <w:rPr>
                <w:rFonts w:ascii="Arial" w:hAnsi="Arial" w:cs="Arial"/>
                <w:sz w:val="16"/>
                <w:szCs w:val="16"/>
              </w:rPr>
            </w:pPr>
            <w:r w:rsidRPr="000025D5">
              <w:rPr>
                <w:rFonts w:ascii="Arial" w:hAnsi="Arial" w:cs="Arial"/>
                <w:sz w:val="16"/>
                <w:szCs w:val="16"/>
              </w:rPr>
              <w:t>50,000</w:t>
            </w:r>
          </w:p>
        </w:tc>
        <w:tc>
          <w:tcPr>
            <w:tcW w:w="928" w:type="dxa"/>
            <w:tcBorders>
              <w:top w:val="nil"/>
              <w:left w:val="nil"/>
              <w:bottom w:val="nil"/>
              <w:right w:val="nil"/>
            </w:tcBorders>
            <w:shd w:val="clear" w:color="auto" w:fill="auto"/>
            <w:noWrap/>
            <w:vAlign w:val="bottom"/>
            <w:hideMark/>
          </w:tcPr>
          <w:p w14:paraId="7B899EBC" w14:textId="45C37FAC" w:rsidR="005F6D89" w:rsidRPr="000025D5" w:rsidRDefault="005F6D89" w:rsidP="003E041F">
            <w:pPr>
              <w:spacing w:after="0" w:line="240" w:lineRule="auto"/>
              <w:jc w:val="right"/>
              <w:rPr>
                <w:rFonts w:ascii="Arial" w:hAnsi="Arial" w:cs="Arial"/>
                <w:sz w:val="16"/>
                <w:szCs w:val="16"/>
              </w:rPr>
            </w:pPr>
            <w:r w:rsidRPr="000025D5">
              <w:rPr>
                <w:rFonts w:ascii="Arial" w:hAnsi="Arial" w:cs="Arial"/>
                <w:sz w:val="16"/>
                <w:szCs w:val="16"/>
              </w:rPr>
              <w:t>50,090</w:t>
            </w:r>
          </w:p>
        </w:tc>
        <w:tc>
          <w:tcPr>
            <w:tcW w:w="903" w:type="dxa"/>
            <w:tcBorders>
              <w:top w:val="nil"/>
              <w:left w:val="nil"/>
              <w:bottom w:val="nil"/>
              <w:right w:val="nil"/>
            </w:tcBorders>
            <w:shd w:val="clear" w:color="auto" w:fill="auto"/>
            <w:noWrap/>
            <w:vAlign w:val="bottom"/>
            <w:hideMark/>
          </w:tcPr>
          <w:p w14:paraId="699B853C" w14:textId="7805D12F" w:rsidR="005F6D89" w:rsidRPr="000025D5" w:rsidRDefault="005F6D89" w:rsidP="003E041F">
            <w:pPr>
              <w:spacing w:after="0" w:line="240" w:lineRule="auto"/>
              <w:jc w:val="right"/>
              <w:rPr>
                <w:rFonts w:ascii="Arial" w:hAnsi="Arial" w:cs="Arial"/>
                <w:sz w:val="16"/>
                <w:szCs w:val="16"/>
              </w:rPr>
            </w:pPr>
            <w:r w:rsidRPr="000025D5">
              <w:rPr>
                <w:rFonts w:ascii="Arial" w:hAnsi="Arial" w:cs="Arial"/>
                <w:sz w:val="16"/>
                <w:szCs w:val="16"/>
              </w:rPr>
              <w:t>-</w:t>
            </w:r>
          </w:p>
        </w:tc>
      </w:tr>
      <w:tr w:rsidR="005F6D89" w:rsidRPr="00B55E61" w14:paraId="372BA864" w14:textId="77777777" w:rsidTr="00D53118">
        <w:trPr>
          <w:trHeight w:val="204"/>
        </w:trPr>
        <w:tc>
          <w:tcPr>
            <w:tcW w:w="2977" w:type="dxa"/>
            <w:tcBorders>
              <w:top w:val="nil"/>
              <w:left w:val="nil"/>
              <w:bottom w:val="nil"/>
              <w:right w:val="nil"/>
            </w:tcBorders>
            <w:shd w:val="clear" w:color="auto" w:fill="auto"/>
            <w:vAlign w:val="bottom"/>
            <w:hideMark/>
          </w:tcPr>
          <w:p w14:paraId="2AF99C78"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Community Development Grants Program - new projects</w:t>
            </w:r>
          </w:p>
        </w:tc>
        <w:tc>
          <w:tcPr>
            <w:tcW w:w="992" w:type="dxa"/>
            <w:tcBorders>
              <w:top w:val="nil"/>
              <w:left w:val="nil"/>
              <w:bottom w:val="nil"/>
              <w:right w:val="nil"/>
            </w:tcBorders>
            <w:shd w:val="clear" w:color="auto" w:fill="auto"/>
            <w:noWrap/>
            <w:vAlign w:val="bottom"/>
            <w:hideMark/>
          </w:tcPr>
          <w:p w14:paraId="44F477FE" w14:textId="77777777"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3.1</w:t>
            </w:r>
          </w:p>
        </w:tc>
        <w:tc>
          <w:tcPr>
            <w:tcW w:w="903" w:type="dxa"/>
            <w:tcBorders>
              <w:top w:val="nil"/>
              <w:left w:val="nil"/>
              <w:bottom w:val="nil"/>
              <w:right w:val="nil"/>
            </w:tcBorders>
            <w:shd w:val="clear" w:color="000000" w:fill="E6E6E6"/>
            <w:noWrap/>
            <w:vAlign w:val="bottom"/>
            <w:hideMark/>
          </w:tcPr>
          <w:p w14:paraId="71AC214A" w14:textId="1236E0E7"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2,000</w:t>
            </w:r>
          </w:p>
        </w:tc>
        <w:tc>
          <w:tcPr>
            <w:tcW w:w="928" w:type="dxa"/>
            <w:tcBorders>
              <w:top w:val="nil"/>
              <w:left w:val="nil"/>
              <w:bottom w:val="nil"/>
              <w:right w:val="nil"/>
            </w:tcBorders>
            <w:shd w:val="clear" w:color="auto" w:fill="auto"/>
            <w:noWrap/>
            <w:vAlign w:val="bottom"/>
            <w:hideMark/>
          </w:tcPr>
          <w:p w14:paraId="738601CD" w14:textId="5E5EB5E3"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3,000</w:t>
            </w:r>
          </w:p>
        </w:tc>
        <w:tc>
          <w:tcPr>
            <w:tcW w:w="928" w:type="dxa"/>
            <w:tcBorders>
              <w:top w:val="nil"/>
              <w:left w:val="nil"/>
              <w:bottom w:val="nil"/>
              <w:right w:val="nil"/>
            </w:tcBorders>
            <w:shd w:val="clear" w:color="auto" w:fill="auto"/>
            <w:noWrap/>
            <w:vAlign w:val="bottom"/>
            <w:hideMark/>
          </w:tcPr>
          <w:p w14:paraId="7700014B" w14:textId="7274B99A"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2,000</w:t>
            </w:r>
          </w:p>
        </w:tc>
        <w:tc>
          <w:tcPr>
            <w:tcW w:w="903" w:type="dxa"/>
            <w:tcBorders>
              <w:top w:val="nil"/>
              <w:left w:val="nil"/>
              <w:bottom w:val="nil"/>
              <w:right w:val="nil"/>
            </w:tcBorders>
            <w:shd w:val="clear" w:color="auto" w:fill="auto"/>
            <w:noWrap/>
            <w:vAlign w:val="bottom"/>
            <w:hideMark/>
          </w:tcPr>
          <w:p w14:paraId="563E82C5" w14:textId="0301379E"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7,000</w:t>
            </w:r>
          </w:p>
        </w:tc>
      </w:tr>
      <w:tr w:rsidR="005F6D89" w:rsidRPr="00B55E61" w14:paraId="5519F38F" w14:textId="77777777" w:rsidTr="00D53118">
        <w:trPr>
          <w:trHeight w:val="204"/>
        </w:trPr>
        <w:tc>
          <w:tcPr>
            <w:tcW w:w="2977" w:type="dxa"/>
            <w:tcBorders>
              <w:top w:val="nil"/>
              <w:left w:val="nil"/>
              <w:bottom w:val="nil"/>
              <w:right w:val="nil"/>
            </w:tcBorders>
            <w:shd w:val="clear" w:color="auto" w:fill="auto"/>
            <w:vAlign w:val="bottom"/>
            <w:hideMark/>
          </w:tcPr>
          <w:p w14:paraId="20E7E297"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National Water Grid Fund - project funding</w:t>
            </w:r>
          </w:p>
        </w:tc>
        <w:tc>
          <w:tcPr>
            <w:tcW w:w="992" w:type="dxa"/>
            <w:tcBorders>
              <w:top w:val="nil"/>
              <w:left w:val="nil"/>
              <w:bottom w:val="nil"/>
              <w:right w:val="nil"/>
            </w:tcBorders>
            <w:shd w:val="clear" w:color="auto" w:fill="auto"/>
            <w:noWrap/>
            <w:vAlign w:val="bottom"/>
            <w:hideMark/>
          </w:tcPr>
          <w:p w14:paraId="7AEC81A9" w14:textId="27850D51" w:rsidR="005F6D89" w:rsidRPr="000025D5" w:rsidRDefault="005F6D89" w:rsidP="00427B5C">
            <w:pPr>
              <w:spacing w:after="0" w:line="240" w:lineRule="auto"/>
              <w:jc w:val="center"/>
              <w:outlineLvl w:val="0"/>
              <w:rPr>
                <w:rFonts w:ascii="Arial" w:hAnsi="Arial" w:cs="Arial"/>
                <w:sz w:val="16"/>
                <w:szCs w:val="16"/>
              </w:rPr>
            </w:pPr>
            <w:r w:rsidRPr="000025D5">
              <w:rPr>
                <w:rFonts w:ascii="Arial" w:hAnsi="Arial" w:cs="Arial"/>
                <w:sz w:val="16"/>
                <w:szCs w:val="16"/>
              </w:rPr>
              <w:t>3.</w:t>
            </w:r>
            <w:r w:rsidR="00427B5C">
              <w:rPr>
                <w:rFonts w:ascii="Arial" w:hAnsi="Arial" w:cs="Arial"/>
                <w:sz w:val="16"/>
                <w:szCs w:val="16"/>
              </w:rPr>
              <w:t>1</w:t>
            </w:r>
          </w:p>
        </w:tc>
        <w:tc>
          <w:tcPr>
            <w:tcW w:w="903" w:type="dxa"/>
            <w:tcBorders>
              <w:top w:val="nil"/>
              <w:left w:val="nil"/>
              <w:bottom w:val="nil"/>
              <w:right w:val="nil"/>
            </w:tcBorders>
            <w:shd w:val="clear" w:color="000000" w:fill="E6E6E6"/>
            <w:noWrap/>
            <w:vAlign w:val="bottom"/>
            <w:hideMark/>
          </w:tcPr>
          <w:p w14:paraId="5E37232F" w14:textId="60BF66D0"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044DA668" w14:textId="29D81F2B"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31F59F93" w14:textId="63308AC9"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c>
          <w:tcPr>
            <w:tcW w:w="903" w:type="dxa"/>
            <w:tcBorders>
              <w:top w:val="nil"/>
              <w:left w:val="nil"/>
              <w:bottom w:val="nil"/>
              <w:right w:val="nil"/>
            </w:tcBorders>
            <w:shd w:val="clear" w:color="auto" w:fill="auto"/>
            <w:noWrap/>
            <w:vAlign w:val="bottom"/>
            <w:hideMark/>
          </w:tcPr>
          <w:p w14:paraId="36F7A24B" w14:textId="58493CE0"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r>
      <w:tr w:rsidR="005F6D89" w:rsidRPr="00B55E61" w14:paraId="147C08D3" w14:textId="77777777" w:rsidTr="00D53118">
        <w:trPr>
          <w:trHeight w:val="204"/>
        </w:trPr>
        <w:tc>
          <w:tcPr>
            <w:tcW w:w="2977" w:type="dxa"/>
            <w:tcBorders>
              <w:top w:val="nil"/>
              <w:left w:val="nil"/>
              <w:bottom w:val="nil"/>
              <w:right w:val="nil"/>
            </w:tcBorders>
            <w:shd w:val="clear" w:color="auto" w:fill="auto"/>
            <w:noWrap/>
            <w:vAlign w:val="bottom"/>
            <w:hideMark/>
          </w:tcPr>
          <w:p w14:paraId="5FA18665" w14:textId="77777777" w:rsidR="005F6D89" w:rsidRPr="00B55E61" w:rsidRDefault="005F6D89" w:rsidP="005F6D89">
            <w:pPr>
              <w:spacing w:after="0" w:line="240" w:lineRule="auto"/>
              <w:ind w:left="113"/>
              <w:jc w:val="left"/>
              <w:rPr>
                <w:rFonts w:ascii="Arial" w:hAnsi="Arial" w:cs="Arial"/>
                <w:b/>
                <w:bCs/>
                <w:color w:val="000000"/>
                <w:sz w:val="16"/>
                <w:szCs w:val="16"/>
              </w:rPr>
            </w:pPr>
            <w:r w:rsidRPr="00B55E61">
              <w:rPr>
                <w:rFonts w:ascii="Arial" w:hAnsi="Arial" w:cs="Arial"/>
                <w:b/>
                <w:bCs/>
                <w:sz w:val="16"/>
                <w:szCs w:val="16"/>
              </w:rPr>
              <w:t>Other</w:t>
            </w:r>
            <w:r w:rsidRPr="00B55E61">
              <w:rPr>
                <w:rFonts w:ascii="Arial" w:hAnsi="Arial" w:cs="Arial"/>
                <w:b/>
                <w:bCs/>
                <w:color w:val="000000"/>
                <w:sz w:val="16"/>
                <w:szCs w:val="16"/>
              </w:rPr>
              <w:t xml:space="preserve"> Variations</w:t>
            </w:r>
          </w:p>
        </w:tc>
        <w:tc>
          <w:tcPr>
            <w:tcW w:w="992" w:type="dxa"/>
            <w:tcBorders>
              <w:top w:val="nil"/>
              <w:left w:val="nil"/>
              <w:bottom w:val="nil"/>
              <w:right w:val="nil"/>
            </w:tcBorders>
            <w:shd w:val="clear" w:color="auto" w:fill="auto"/>
            <w:noWrap/>
            <w:vAlign w:val="bottom"/>
            <w:hideMark/>
          </w:tcPr>
          <w:p w14:paraId="52ADBB8A" w14:textId="77777777" w:rsidR="005F6D89" w:rsidRPr="000025D5" w:rsidRDefault="005F6D89" w:rsidP="003E041F">
            <w:pPr>
              <w:spacing w:after="0" w:line="240" w:lineRule="auto"/>
              <w:ind w:firstLineChars="100" w:firstLine="160"/>
              <w:jc w:val="right"/>
              <w:outlineLvl w:val="0"/>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6E0077B8" w14:textId="0CB140E2"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22FDBED6" w14:textId="77777777"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7B8EEE48" w14:textId="77777777" w:rsidR="005F6D89" w:rsidRPr="000025D5" w:rsidRDefault="005F6D89" w:rsidP="003E041F">
            <w:pPr>
              <w:spacing w:after="0" w:line="240" w:lineRule="auto"/>
              <w:jc w:val="right"/>
              <w:outlineLvl w:val="0"/>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3558387E" w14:textId="77777777" w:rsidR="005F6D89" w:rsidRPr="000025D5" w:rsidRDefault="005F6D89" w:rsidP="003E041F">
            <w:pPr>
              <w:spacing w:after="0" w:line="240" w:lineRule="auto"/>
              <w:jc w:val="right"/>
              <w:outlineLvl w:val="0"/>
              <w:rPr>
                <w:rFonts w:ascii="Times New Roman" w:hAnsi="Times New Roman"/>
                <w:sz w:val="16"/>
                <w:szCs w:val="16"/>
              </w:rPr>
            </w:pPr>
          </w:p>
        </w:tc>
      </w:tr>
      <w:tr w:rsidR="005F6D89" w:rsidRPr="00B55E61" w14:paraId="137ACEBB" w14:textId="77777777" w:rsidTr="00D53118">
        <w:trPr>
          <w:trHeight w:val="204"/>
        </w:trPr>
        <w:tc>
          <w:tcPr>
            <w:tcW w:w="2977" w:type="dxa"/>
            <w:tcBorders>
              <w:top w:val="nil"/>
              <w:left w:val="nil"/>
              <w:bottom w:val="nil"/>
              <w:right w:val="nil"/>
            </w:tcBorders>
            <w:shd w:val="clear" w:color="auto" w:fill="auto"/>
            <w:vAlign w:val="bottom"/>
            <w:hideMark/>
          </w:tcPr>
          <w:p w14:paraId="756B5254"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Movement of funds</w:t>
            </w:r>
          </w:p>
        </w:tc>
        <w:tc>
          <w:tcPr>
            <w:tcW w:w="992" w:type="dxa"/>
            <w:tcBorders>
              <w:top w:val="nil"/>
              <w:left w:val="nil"/>
              <w:bottom w:val="nil"/>
              <w:right w:val="nil"/>
            </w:tcBorders>
            <w:shd w:val="clear" w:color="auto" w:fill="auto"/>
            <w:noWrap/>
            <w:vAlign w:val="bottom"/>
            <w:hideMark/>
          </w:tcPr>
          <w:p w14:paraId="31424BE4" w14:textId="3ABD3BFD"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3.1</w:t>
            </w:r>
            <w:r w:rsidR="008C60EB" w:rsidRPr="000025D5">
              <w:rPr>
                <w:rFonts w:ascii="Arial" w:hAnsi="Arial" w:cs="Arial"/>
                <w:sz w:val="16"/>
                <w:szCs w:val="16"/>
              </w:rPr>
              <w:t xml:space="preserve"> to </w:t>
            </w:r>
            <w:r w:rsidRPr="000025D5">
              <w:rPr>
                <w:rFonts w:ascii="Arial" w:hAnsi="Arial" w:cs="Arial"/>
                <w:sz w:val="16"/>
                <w:szCs w:val="16"/>
              </w:rPr>
              <w:t>3.3</w:t>
            </w:r>
          </w:p>
        </w:tc>
        <w:tc>
          <w:tcPr>
            <w:tcW w:w="903" w:type="dxa"/>
            <w:tcBorders>
              <w:top w:val="nil"/>
              <w:left w:val="nil"/>
              <w:bottom w:val="nil"/>
              <w:right w:val="nil"/>
            </w:tcBorders>
            <w:shd w:val="clear" w:color="000000" w:fill="E6E6E6"/>
            <w:noWrap/>
            <w:vAlign w:val="bottom"/>
            <w:hideMark/>
          </w:tcPr>
          <w:p w14:paraId="5766288B" w14:textId="77777777"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(140,973)</w:t>
            </w:r>
          </w:p>
        </w:tc>
        <w:tc>
          <w:tcPr>
            <w:tcW w:w="928" w:type="dxa"/>
            <w:tcBorders>
              <w:top w:val="nil"/>
              <w:left w:val="nil"/>
              <w:bottom w:val="nil"/>
              <w:right w:val="nil"/>
            </w:tcBorders>
            <w:shd w:val="clear" w:color="auto" w:fill="auto"/>
            <w:noWrap/>
            <w:vAlign w:val="bottom"/>
            <w:hideMark/>
          </w:tcPr>
          <w:p w14:paraId="052E379D" w14:textId="0712D9F9"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87,049</w:t>
            </w:r>
          </w:p>
        </w:tc>
        <w:tc>
          <w:tcPr>
            <w:tcW w:w="928" w:type="dxa"/>
            <w:tcBorders>
              <w:top w:val="nil"/>
              <w:left w:val="nil"/>
              <w:bottom w:val="nil"/>
              <w:right w:val="nil"/>
            </w:tcBorders>
            <w:shd w:val="clear" w:color="auto" w:fill="auto"/>
            <w:noWrap/>
            <w:vAlign w:val="bottom"/>
            <w:hideMark/>
          </w:tcPr>
          <w:p w14:paraId="591830B7" w14:textId="7940DDF3"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90,975</w:t>
            </w:r>
          </w:p>
        </w:tc>
        <w:tc>
          <w:tcPr>
            <w:tcW w:w="903" w:type="dxa"/>
            <w:tcBorders>
              <w:top w:val="nil"/>
              <w:left w:val="nil"/>
              <w:bottom w:val="nil"/>
              <w:right w:val="nil"/>
            </w:tcBorders>
            <w:shd w:val="clear" w:color="auto" w:fill="auto"/>
            <w:noWrap/>
            <w:vAlign w:val="bottom"/>
            <w:hideMark/>
          </w:tcPr>
          <w:p w14:paraId="1011BC8B" w14:textId="488FB1D5"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56,852</w:t>
            </w:r>
          </w:p>
        </w:tc>
      </w:tr>
      <w:tr w:rsidR="005F6D89" w:rsidRPr="00B55E61" w14:paraId="31A41F37" w14:textId="77777777" w:rsidTr="00D53118">
        <w:trPr>
          <w:trHeight w:val="204"/>
        </w:trPr>
        <w:tc>
          <w:tcPr>
            <w:tcW w:w="2977" w:type="dxa"/>
            <w:tcBorders>
              <w:top w:val="nil"/>
              <w:left w:val="nil"/>
              <w:bottom w:val="nil"/>
              <w:right w:val="nil"/>
            </w:tcBorders>
            <w:shd w:val="clear" w:color="auto" w:fill="auto"/>
            <w:vAlign w:val="bottom"/>
            <w:hideMark/>
          </w:tcPr>
          <w:p w14:paraId="6959922E"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Changes in parameters</w:t>
            </w:r>
          </w:p>
        </w:tc>
        <w:tc>
          <w:tcPr>
            <w:tcW w:w="992" w:type="dxa"/>
            <w:tcBorders>
              <w:top w:val="nil"/>
              <w:left w:val="nil"/>
              <w:bottom w:val="nil"/>
              <w:right w:val="nil"/>
            </w:tcBorders>
            <w:shd w:val="clear" w:color="auto" w:fill="auto"/>
            <w:noWrap/>
            <w:vAlign w:val="bottom"/>
            <w:hideMark/>
          </w:tcPr>
          <w:p w14:paraId="2C49DC08" w14:textId="386803FF"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3.1</w:t>
            </w:r>
            <w:r w:rsidR="008C60EB" w:rsidRPr="000025D5">
              <w:rPr>
                <w:rFonts w:ascii="Arial" w:hAnsi="Arial" w:cs="Arial"/>
                <w:sz w:val="16"/>
                <w:szCs w:val="16"/>
              </w:rPr>
              <w:t xml:space="preserve"> to </w:t>
            </w:r>
            <w:r w:rsidRPr="000025D5">
              <w:rPr>
                <w:rFonts w:ascii="Arial" w:hAnsi="Arial" w:cs="Arial"/>
                <w:sz w:val="16"/>
                <w:szCs w:val="16"/>
              </w:rPr>
              <w:t>3.3</w:t>
            </w:r>
          </w:p>
        </w:tc>
        <w:tc>
          <w:tcPr>
            <w:tcW w:w="903" w:type="dxa"/>
            <w:tcBorders>
              <w:top w:val="nil"/>
              <w:left w:val="nil"/>
              <w:bottom w:val="nil"/>
              <w:right w:val="nil"/>
            </w:tcBorders>
            <w:shd w:val="clear" w:color="000000" w:fill="E6E6E6"/>
            <w:noWrap/>
            <w:vAlign w:val="bottom"/>
            <w:hideMark/>
          </w:tcPr>
          <w:p w14:paraId="288AF946" w14:textId="4BA60A46"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7689A826" w14:textId="3BE50DBA"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38</w:t>
            </w:r>
          </w:p>
        </w:tc>
        <w:tc>
          <w:tcPr>
            <w:tcW w:w="928" w:type="dxa"/>
            <w:tcBorders>
              <w:top w:val="nil"/>
              <w:left w:val="nil"/>
              <w:bottom w:val="nil"/>
              <w:right w:val="nil"/>
            </w:tcBorders>
            <w:shd w:val="clear" w:color="auto" w:fill="auto"/>
            <w:noWrap/>
            <w:vAlign w:val="bottom"/>
            <w:hideMark/>
          </w:tcPr>
          <w:p w14:paraId="1A04C313" w14:textId="5D4C5A6E"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117</w:t>
            </w:r>
          </w:p>
        </w:tc>
        <w:tc>
          <w:tcPr>
            <w:tcW w:w="903" w:type="dxa"/>
            <w:tcBorders>
              <w:top w:val="nil"/>
              <w:left w:val="nil"/>
              <w:bottom w:val="nil"/>
              <w:right w:val="nil"/>
            </w:tcBorders>
            <w:shd w:val="clear" w:color="auto" w:fill="auto"/>
            <w:noWrap/>
            <w:vAlign w:val="bottom"/>
            <w:hideMark/>
          </w:tcPr>
          <w:p w14:paraId="43BC80C0" w14:textId="55362133"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218</w:t>
            </w:r>
          </w:p>
        </w:tc>
      </w:tr>
      <w:tr w:rsidR="005F6D89" w:rsidRPr="00B55E61" w14:paraId="0E9703FB" w14:textId="77777777" w:rsidTr="00D53118">
        <w:trPr>
          <w:trHeight w:val="204"/>
        </w:trPr>
        <w:tc>
          <w:tcPr>
            <w:tcW w:w="2977" w:type="dxa"/>
            <w:tcBorders>
              <w:top w:val="nil"/>
              <w:left w:val="nil"/>
              <w:bottom w:val="nil"/>
              <w:right w:val="nil"/>
            </w:tcBorders>
            <w:shd w:val="clear" w:color="auto" w:fill="auto"/>
            <w:vAlign w:val="bottom"/>
            <w:hideMark/>
          </w:tcPr>
          <w:p w14:paraId="004E562E" w14:textId="3AAA5BB2" w:rsidR="005F6D89" w:rsidRPr="00B55E61" w:rsidRDefault="00D37DFC" w:rsidP="005F6D89">
            <w:pPr>
              <w:spacing w:after="0" w:line="240" w:lineRule="auto"/>
              <w:ind w:left="227"/>
              <w:jc w:val="left"/>
              <w:rPr>
                <w:rFonts w:ascii="Arial" w:hAnsi="Arial" w:cs="Arial"/>
                <w:sz w:val="16"/>
                <w:szCs w:val="16"/>
              </w:rPr>
            </w:pPr>
            <w:r>
              <w:rPr>
                <w:rFonts w:ascii="Arial" w:hAnsi="Arial" w:cs="Arial"/>
                <w:sz w:val="16"/>
                <w:szCs w:val="16"/>
              </w:rPr>
              <w:t>Estimates v</w:t>
            </w:r>
            <w:r w:rsidR="005F6D89" w:rsidRPr="00B55E61">
              <w:rPr>
                <w:rFonts w:ascii="Arial" w:hAnsi="Arial" w:cs="Arial"/>
                <w:sz w:val="16"/>
                <w:szCs w:val="16"/>
              </w:rPr>
              <w:t>ariations</w:t>
            </w:r>
          </w:p>
        </w:tc>
        <w:tc>
          <w:tcPr>
            <w:tcW w:w="992" w:type="dxa"/>
            <w:tcBorders>
              <w:top w:val="nil"/>
              <w:left w:val="nil"/>
              <w:bottom w:val="nil"/>
              <w:right w:val="nil"/>
            </w:tcBorders>
            <w:shd w:val="clear" w:color="auto" w:fill="auto"/>
            <w:noWrap/>
            <w:vAlign w:val="bottom"/>
            <w:hideMark/>
          </w:tcPr>
          <w:p w14:paraId="584CC3FA" w14:textId="77777777"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3.3</w:t>
            </w:r>
          </w:p>
        </w:tc>
        <w:tc>
          <w:tcPr>
            <w:tcW w:w="903" w:type="dxa"/>
            <w:tcBorders>
              <w:top w:val="nil"/>
              <w:left w:val="nil"/>
              <w:right w:val="nil"/>
            </w:tcBorders>
            <w:shd w:val="clear" w:color="000000" w:fill="E6E6E6"/>
            <w:noWrap/>
            <w:vAlign w:val="bottom"/>
            <w:hideMark/>
          </w:tcPr>
          <w:p w14:paraId="1407408A" w14:textId="18A4894E"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1,000</w:t>
            </w:r>
          </w:p>
        </w:tc>
        <w:tc>
          <w:tcPr>
            <w:tcW w:w="928" w:type="dxa"/>
            <w:tcBorders>
              <w:top w:val="nil"/>
              <w:left w:val="nil"/>
              <w:right w:val="nil"/>
            </w:tcBorders>
            <w:shd w:val="clear" w:color="auto" w:fill="auto"/>
            <w:noWrap/>
            <w:vAlign w:val="bottom"/>
            <w:hideMark/>
          </w:tcPr>
          <w:p w14:paraId="7543B383" w14:textId="7B343EC3"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5,000</w:t>
            </w:r>
          </w:p>
        </w:tc>
        <w:tc>
          <w:tcPr>
            <w:tcW w:w="928" w:type="dxa"/>
            <w:tcBorders>
              <w:top w:val="nil"/>
              <w:left w:val="nil"/>
              <w:right w:val="nil"/>
            </w:tcBorders>
            <w:shd w:val="clear" w:color="auto" w:fill="auto"/>
            <w:noWrap/>
            <w:vAlign w:val="bottom"/>
            <w:hideMark/>
          </w:tcPr>
          <w:p w14:paraId="414AB06F" w14:textId="1E58BF58"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5,000</w:t>
            </w:r>
          </w:p>
        </w:tc>
        <w:tc>
          <w:tcPr>
            <w:tcW w:w="903" w:type="dxa"/>
            <w:tcBorders>
              <w:top w:val="nil"/>
              <w:left w:val="nil"/>
              <w:right w:val="nil"/>
            </w:tcBorders>
            <w:shd w:val="clear" w:color="auto" w:fill="auto"/>
            <w:noWrap/>
            <w:vAlign w:val="bottom"/>
            <w:hideMark/>
          </w:tcPr>
          <w:p w14:paraId="695F784D" w14:textId="4DB15A3A"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r>
      <w:tr w:rsidR="005F6D89" w:rsidRPr="00B55E61" w14:paraId="51B785F5" w14:textId="77777777" w:rsidTr="00D53118">
        <w:trPr>
          <w:trHeight w:val="204"/>
        </w:trPr>
        <w:tc>
          <w:tcPr>
            <w:tcW w:w="2977" w:type="dxa"/>
            <w:tcBorders>
              <w:top w:val="nil"/>
              <w:left w:val="nil"/>
              <w:bottom w:val="nil"/>
              <w:right w:val="nil"/>
            </w:tcBorders>
            <w:shd w:val="clear" w:color="auto" w:fill="auto"/>
            <w:vAlign w:val="bottom"/>
            <w:hideMark/>
          </w:tcPr>
          <w:p w14:paraId="52807E23"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Transfers from DISER</w:t>
            </w:r>
          </w:p>
        </w:tc>
        <w:tc>
          <w:tcPr>
            <w:tcW w:w="992" w:type="dxa"/>
            <w:tcBorders>
              <w:top w:val="nil"/>
              <w:left w:val="nil"/>
              <w:bottom w:val="nil"/>
              <w:right w:val="nil"/>
            </w:tcBorders>
            <w:shd w:val="clear" w:color="auto" w:fill="auto"/>
            <w:noWrap/>
            <w:vAlign w:val="bottom"/>
            <w:hideMark/>
          </w:tcPr>
          <w:p w14:paraId="2673E945" w14:textId="77777777"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3.4</w:t>
            </w:r>
          </w:p>
        </w:tc>
        <w:tc>
          <w:tcPr>
            <w:tcW w:w="903" w:type="dxa"/>
            <w:tcBorders>
              <w:top w:val="nil"/>
              <w:left w:val="nil"/>
              <w:bottom w:val="single" w:sz="4" w:space="0" w:color="auto"/>
              <w:right w:val="nil"/>
            </w:tcBorders>
            <w:shd w:val="clear" w:color="000000" w:fill="E6E6E6"/>
            <w:noWrap/>
            <w:vAlign w:val="bottom"/>
            <w:hideMark/>
          </w:tcPr>
          <w:p w14:paraId="47C8CCC4" w14:textId="27DF32F2"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30,777</w:t>
            </w:r>
          </w:p>
        </w:tc>
        <w:tc>
          <w:tcPr>
            <w:tcW w:w="928" w:type="dxa"/>
            <w:tcBorders>
              <w:top w:val="nil"/>
              <w:left w:val="nil"/>
              <w:bottom w:val="single" w:sz="4" w:space="0" w:color="auto"/>
              <w:right w:val="nil"/>
            </w:tcBorders>
            <w:shd w:val="clear" w:color="auto" w:fill="auto"/>
            <w:noWrap/>
            <w:vAlign w:val="bottom"/>
            <w:hideMark/>
          </w:tcPr>
          <w:p w14:paraId="7D6446BA" w14:textId="38B23984" w:rsidR="005F6D89" w:rsidRPr="000025D5" w:rsidRDefault="00D53118" w:rsidP="003E041F">
            <w:pPr>
              <w:spacing w:after="0" w:line="240" w:lineRule="auto"/>
              <w:jc w:val="right"/>
              <w:outlineLvl w:val="0"/>
              <w:rPr>
                <w:rFonts w:ascii="Arial" w:hAnsi="Arial" w:cs="Arial"/>
                <w:sz w:val="16"/>
                <w:szCs w:val="16"/>
              </w:rPr>
            </w:pPr>
            <w:r>
              <w:rPr>
                <w:rFonts w:ascii="Arial" w:hAnsi="Arial" w:cs="Arial"/>
                <w:sz w:val="16"/>
                <w:szCs w:val="16"/>
              </w:rPr>
              <w:t>30,7</w:t>
            </w:r>
            <w:r w:rsidR="005F6D89" w:rsidRPr="000025D5">
              <w:rPr>
                <w:rFonts w:ascii="Arial" w:hAnsi="Arial" w:cs="Arial"/>
                <w:sz w:val="16"/>
                <w:szCs w:val="16"/>
              </w:rPr>
              <w:t>77</w:t>
            </w:r>
          </w:p>
        </w:tc>
        <w:tc>
          <w:tcPr>
            <w:tcW w:w="928" w:type="dxa"/>
            <w:tcBorders>
              <w:top w:val="nil"/>
              <w:left w:val="nil"/>
              <w:bottom w:val="single" w:sz="4" w:space="0" w:color="auto"/>
              <w:right w:val="nil"/>
            </w:tcBorders>
            <w:shd w:val="clear" w:color="auto" w:fill="auto"/>
            <w:noWrap/>
            <w:vAlign w:val="bottom"/>
            <w:hideMark/>
          </w:tcPr>
          <w:p w14:paraId="0AFA515F" w14:textId="2855615C"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30,777</w:t>
            </w:r>
          </w:p>
        </w:tc>
        <w:tc>
          <w:tcPr>
            <w:tcW w:w="903" w:type="dxa"/>
            <w:tcBorders>
              <w:top w:val="nil"/>
              <w:left w:val="nil"/>
              <w:bottom w:val="single" w:sz="4" w:space="0" w:color="auto"/>
              <w:right w:val="nil"/>
            </w:tcBorders>
            <w:shd w:val="clear" w:color="auto" w:fill="auto"/>
            <w:noWrap/>
            <w:vAlign w:val="bottom"/>
            <w:hideMark/>
          </w:tcPr>
          <w:p w14:paraId="40107078" w14:textId="6E84C92E"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4,110</w:t>
            </w:r>
          </w:p>
        </w:tc>
      </w:tr>
      <w:tr w:rsidR="00D53118" w:rsidRPr="00B55E61" w14:paraId="3C191AF9" w14:textId="77777777" w:rsidTr="00D53118">
        <w:trPr>
          <w:trHeight w:val="204"/>
        </w:trPr>
        <w:tc>
          <w:tcPr>
            <w:tcW w:w="2977" w:type="dxa"/>
            <w:tcBorders>
              <w:top w:val="nil"/>
              <w:left w:val="nil"/>
              <w:bottom w:val="nil"/>
              <w:right w:val="nil"/>
            </w:tcBorders>
            <w:shd w:val="clear" w:color="auto" w:fill="auto"/>
            <w:vAlign w:val="bottom"/>
            <w:hideMark/>
          </w:tcPr>
          <w:p w14:paraId="089AE418" w14:textId="78FA0E3C" w:rsidR="00D53118" w:rsidRPr="00B55E61" w:rsidRDefault="00D53118" w:rsidP="00D53118">
            <w:pPr>
              <w:spacing w:after="0" w:line="240" w:lineRule="auto"/>
              <w:jc w:val="left"/>
              <w:outlineLvl w:val="0"/>
              <w:rPr>
                <w:rFonts w:ascii="Arial" w:hAnsi="Arial" w:cs="Arial"/>
                <w:b/>
                <w:bCs/>
                <w:color w:val="000000"/>
                <w:sz w:val="16"/>
                <w:szCs w:val="16"/>
              </w:rPr>
            </w:pPr>
            <w:r w:rsidRPr="00B55E61">
              <w:rPr>
                <w:rFonts w:ascii="Arial" w:hAnsi="Arial" w:cs="Arial"/>
                <w:b/>
                <w:bCs/>
                <w:color w:val="000000"/>
                <w:sz w:val="16"/>
                <w:szCs w:val="16"/>
              </w:rPr>
              <w:t>Net impact on appropriations for</w:t>
            </w:r>
            <w:r>
              <w:rPr>
                <w:rFonts w:ascii="Arial" w:hAnsi="Arial" w:cs="Arial"/>
                <w:b/>
                <w:bCs/>
                <w:color w:val="000000"/>
                <w:sz w:val="16"/>
                <w:szCs w:val="16"/>
              </w:rPr>
              <w:t xml:space="preserve"> </w:t>
            </w:r>
            <w:r w:rsidR="00D37DFC">
              <w:rPr>
                <w:rFonts w:ascii="Arial" w:hAnsi="Arial" w:cs="Arial"/>
                <w:b/>
                <w:bCs/>
                <w:color w:val="000000"/>
                <w:sz w:val="16"/>
                <w:szCs w:val="16"/>
              </w:rPr>
              <w:t>Outcome 3 (A</w:t>
            </w:r>
            <w:r w:rsidRPr="00B55E61">
              <w:rPr>
                <w:rFonts w:ascii="Arial" w:hAnsi="Arial" w:cs="Arial"/>
                <w:b/>
                <w:bCs/>
                <w:color w:val="000000"/>
                <w:sz w:val="16"/>
                <w:szCs w:val="16"/>
              </w:rPr>
              <w:t>dministered)</w:t>
            </w:r>
          </w:p>
        </w:tc>
        <w:tc>
          <w:tcPr>
            <w:tcW w:w="992" w:type="dxa"/>
            <w:tcBorders>
              <w:top w:val="nil"/>
              <w:left w:val="nil"/>
              <w:bottom w:val="nil"/>
              <w:right w:val="nil"/>
            </w:tcBorders>
            <w:shd w:val="clear" w:color="auto" w:fill="auto"/>
            <w:noWrap/>
            <w:vAlign w:val="bottom"/>
            <w:hideMark/>
          </w:tcPr>
          <w:p w14:paraId="392D2943" w14:textId="77777777" w:rsidR="00D53118" w:rsidRPr="000025D5" w:rsidRDefault="00D53118" w:rsidP="00D53118">
            <w:pPr>
              <w:spacing w:after="0" w:line="240" w:lineRule="auto"/>
              <w:jc w:val="right"/>
              <w:outlineLvl w:val="0"/>
              <w:rPr>
                <w:rFonts w:ascii="Arial" w:hAnsi="Arial" w:cs="Arial"/>
                <w:b/>
                <w:bCs/>
                <w:sz w:val="16"/>
                <w:szCs w:val="16"/>
              </w:rPr>
            </w:pPr>
          </w:p>
        </w:tc>
        <w:tc>
          <w:tcPr>
            <w:tcW w:w="903" w:type="dxa"/>
            <w:tcBorders>
              <w:top w:val="single" w:sz="4" w:space="0" w:color="auto"/>
              <w:left w:val="nil"/>
              <w:bottom w:val="single" w:sz="4" w:space="0" w:color="auto"/>
              <w:right w:val="nil"/>
            </w:tcBorders>
            <w:shd w:val="clear" w:color="000000" w:fill="E6E6E6"/>
            <w:noWrap/>
            <w:vAlign w:val="bottom"/>
            <w:hideMark/>
          </w:tcPr>
          <w:p w14:paraId="1494C031" w14:textId="728AF8A2" w:rsidR="00D53118" w:rsidRPr="000025D5" w:rsidRDefault="00D53118" w:rsidP="00D53118">
            <w:pPr>
              <w:spacing w:after="0" w:line="240" w:lineRule="auto"/>
              <w:jc w:val="right"/>
              <w:outlineLvl w:val="0"/>
              <w:rPr>
                <w:rFonts w:ascii="Arial" w:hAnsi="Arial" w:cs="Arial"/>
                <w:b/>
                <w:bCs/>
                <w:sz w:val="16"/>
                <w:szCs w:val="16"/>
              </w:rPr>
            </w:pPr>
            <w:r>
              <w:rPr>
                <w:rFonts w:ascii="Arial" w:hAnsi="Arial" w:cs="Arial"/>
                <w:b/>
                <w:bCs/>
                <w:sz w:val="16"/>
                <w:szCs w:val="16"/>
              </w:rPr>
              <w:t>(107,196)</w:t>
            </w:r>
          </w:p>
        </w:tc>
        <w:tc>
          <w:tcPr>
            <w:tcW w:w="928" w:type="dxa"/>
            <w:tcBorders>
              <w:top w:val="single" w:sz="4" w:space="0" w:color="auto"/>
              <w:left w:val="nil"/>
              <w:bottom w:val="single" w:sz="4" w:space="0" w:color="auto"/>
              <w:right w:val="nil"/>
            </w:tcBorders>
            <w:shd w:val="clear" w:color="auto" w:fill="auto"/>
            <w:noWrap/>
            <w:vAlign w:val="bottom"/>
            <w:hideMark/>
          </w:tcPr>
          <w:p w14:paraId="299DCAE7" w14:textId="7726E3D7" w:rsidR="00D53118" w:rsidRPr="000025D5" w:rsidRDefault="00D53118" w:rsidP="00D53118">
            <w:pPr>
              <w:spacing w:after="0" w:line="240" w:lineRule="auto"/>
              <w:jc w:val="right"/>
              <w:outlineLvl w:val="0"/>
              <w:rPr>
                <w:rFonts w:ascii="Arial" w:hAnsi="Arial" w:cs="Arial"/>
                <w:b/>
                <w:bCs/>
                <w:sz w:val="16"/>
                <w:szCs w:val="16"/>
              </w:rPr>
            </w:pPr>
            <w:r>
              <w:rPr>
                <w:rFonts w:ascii="Arial" w:hAnsi="Arial" w:cs="Arial"/>
                <w:b/>
                <w:bCs/>
                <w:sz w:val="16"/>
                <w:szCs w:val="16"/>
              </w:rPr>
              <w:t>175,864</w:t>
            </w:r>
          </w:p>
        </w:tc>
        <w:tc>
          <w:tcPr>
            <w:tcW w:w="928" w:type="dxa"/>
            <w:tcBorders>
              <w:top w:val="single" w:sz="4" w:space="0" w:color="auto"/>
              <w:left w:val="nil"/>
              <w:bottom w:val="single" w:sz="4" w:space="0" w:color="auto"/>
              <w:right w:val="nil"/>
            </w:tcBorders>
            <w:shd w:val="clear" w:color="auto" w:fill="auto"/>
            <w:noWrap/>
            <w:vAlign w:val="bottom"/>
            <w:hideMark/>
          </w:tcPr>
          <w:p w14:paraId="257DD51D" w14:textId="29FFB24E" w:rsidR="00D53118" w:rsidRPr="000025D5" w:rsidRDefault="00D53118" w:rsidP="00D53118">
            <w:pPr>
              <w:spacing w:after="0" w:line="240" w:lineRule="auto"/>
              <w:jc w:val="right"/>
              <w:outlineLvl w:val="0"/>
              <w:rPr>
                <w:rFonts w:ascii="Arial" w:hAnsi="Arial" w:cs="Arial"/>
                <w:b/>
                <w:bCs/>
                <w:sz w:val="16"/>
                <w:szCs w:val="16"/>
              </w:rPr>
            </w:pPr>
            <w:r w:rsidRPr="000025D5">
              <w:rPr>
                <w:rFonts w:ascii="Arial" w:hAnsi="Arial" w:cs="Arial"/>
                <w:b/>
                <w:bCs/>
                <w:sz w:val="16"/>
                <w:szCs w:val="16"/>
              </w:rPr>
              <w:t>178,959</w:t>
            </w:r>
          </w:p>
        </w:tc>
        <w:tc>
          <w:tcPr>
            <w:tcW w:w="903" w:type="dxa"/>
            <w:tcBorders>
              <w:top w:val="single" w:sz="4" w:space="0" w:color="auto"/>
              <w:left w:val="nil"/>
              <w:bottom w:val="single" w:sz="4" w:space="0" w:color="auto"/>
              <w:right w:val="nil"/>
            </w:tcBorders>
            <w:shd w:val="clear" w:color="auto" w:fill="auto"/>
            <w:noWrap/>
            <w:vAlign w:val="bottom"/>
            <w:hideMark/>
          </w:tcPr>
          <w:p w14:paraId="6765812A" w14:textId="51683646" w:rsidR="00D53118" w:rsidRPr="000025D5" w:rsidRDefault="00D53118" w:rsidP="00D53118">
            <w:pPr>
              <w:spacing w:after="0" w:line="240" w:lineRule="auto"/>
              <w:jc w:val="right"/>
              <w:outlineLvl w:val="0"/>
              <w:rPr>
                <w:rFonts w:ascii="Arial" w:hAnsi="Arial" w:cs="Arial"/>
                <w:b/>
                <w:bCs/>
                <w:sz w:val="16"/>
                <w:szCs w:val="16"/>
              </w:rPr>
            </w:pPr>
            <w:r w:rsidRPr="000025D5">
              <w:rPr>
                <w:rFonts w:ascii="Arial" w:hAnsi="Arial" w:cs="Arial"/>
                <w:b/>
                <w:bCs/>
                <w:sz w:val="16"/>
                <w:szCs w:val="16"/>
              </w:rPr>
              <w:t>68,180</w:t>
            </w:r>
          </w:p>
        </w:tc>
      </w:tr>
      <w:tr w:rsidR="005F6D89" w:rsidRPr="00B55E61" w14:paraId="7A169550" w14:textId="77777777" w:rsidTr="00D53118">
        <w:trPr>
          <w:trHeight w:val="204"/>
        </w:trPr>
        <w:tc>
          <w:tcPr>
            <w:tcW w:w="2977" w:type="dxa"/>
            <w:tcBorders>
              <w:top w:val="nil"/>
              <w:left w:val="nil"/>
              <w:bottom w:val="nil"/>
              <w:right w:val="nil"/>
            </w:tcBorders>
            <w:shd w:val="clear" w:color="auto" w:fill="auto"/>
            <w:noWrap/>
            <w:vAlign w:val="bottom"/>
            <w:hideMark/>
          </w:tcPr>
          <w:p w14:paraId="2F6E6F37" w14:textId="211BAC2F" w:rsidR="005F6D89" w:rsidRPr="00B55E61" w:rsidRDefault="008863D9" w:rsidP="005F6D89">
            <w:pPr>
              <w:spacing w:after="0" w:line="240" w:lineRule="auto"/>
              <w:jc w:val="left"/>
              <w:outlineLvl w:val="0"/>
              <w:rPr>
                <w:rFonts w:ascii="Arial" w:hAnsi="Arial" w:cs="Arial"/>
                <w:b/>
                <w:bCs/>
                <w:sz w:val="16"/>
                <w:szCs w:val="16"/>
              </w:rPr>
            </w:pPr>
            <w:r>
              <w:rPr>
                <w:rFonts w:ascii="Arial" w:hAnsi="Arial" w:cs="Arial"/>
                <w:b/>
                <w:bCs/>
                <w:sz w:val="16"/>
                <w:szCs w:val="16"/>
              </w:rPr>
              <w:t>Department</w:t>
            </w:r>
            <w:r w:rsidR="005F6D89" w:rsidRPr="00B55E61">
              <w:rPr>
                <w:rFonts w:ascii="Arial" w:hAnsi="Arial" w:cs="Arial"/>
                <w:b/>
                <w:bCs/>
                <w:sz w:val="16"/>
                <w:szCs w:val="16"/>
              </w:rPr>
              <w:t>al</w:t>
            </w:r>
          </w:p>
        </w:tc>
        <w:tc>
          <w:tcPr>
            <w:tcW w:w="992" w:type="dxa"/>
            <w:tcBorders>
              <w:top w:val="nil"/>
              <w:left w:val="nil"/>
              <w:bottom w:val="nil"/>
              <w:right w:val="nil"/>
            </w:tcBorders>
            <w:shd w:val="clear" w:color="auto" w:fill="auto"/>
            <w:noWrap/>
            <w:vAlign w:val="bottom"/>
            <w:hideMark/>
          </w:tcPr>
          <w:p w14:paraId="3AAD4EDF" w14:textId="77777777" w:rsidR="005F6D89" w:rsidRPr="000025D5" w:rsidRDefault="005F6D89" w:rsidP="003E041F">
            <w:pPr>
              <w:spacing w:after="0" w:line="240" w:lineRule="auto"/>
              <w:jc w:val="right"/>
              <w:outlineLvl w:val="0"/>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25B79C34" w14:textId="25F6F066"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0FF02C8B" w14:textId="77777777"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0BE98613" w14:textId="77777777" w:rsidR="005F6D89" w:rsidRPr="000025D5" w:rsidRDefault="005F6D89" w:rsidP="003E041F">
            <w:pPr>
              <w:spacing w:after="0" w:line="240" w:lineRule="auto"/>
              <w:jc w:val="right"/>
              <w:outlineLvl w:val="0"/>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18C93583" w14:textId="77777777" w:rsidR="005F6D89" w:rsidRPr="000025D5" w:rsidRDefault="005F6D89" w:rsidP="003E041F">
            <w:pPr>
              <w:spacing w:after="0" w:line="240" w:lineRule="auto"/>
              <w:jc w:val="right"/>
              <w:outlineLvl w:val="0"/>
              <w:rPr>
                <w:rFonts w:ascii="Times New Roman" w:hAnsi="Times New Roman"/>
                <w:sz w:val="16"/>
                <w:szCs w:val="16"/>
              </w:rPr>
            </w:pPr>
          </w:p>
        </w:tc>
      </w:tr>
      <w:tr w:rsidR="00D53118" w:rsidRPr="00B55E61" w14:paraId="1F38C130" w14:textId="77777777" w:rsidTr="00D53118">
        <w:trPr>
          <w:trHeight w:val="204"/>
        </w:trPr>
        <w:tc>
          <w:tcPr>
            <w:tcW w:w="2977" w:type="dxa"/>
            <w:tcBorders>
              <w:top w:val="nil"/>
              <w:left w:val="nil"/>
              <w:bottom w:val="nil"/>
              <w:right w:val="nil"/>
            </w:tcBorders>
            <w:shd w:val="clear" w:color="auto" w:fill="auto"/>
            <w:noWrap/>
          </w:tcPr>
          <w:p w14:paraId="3FC99549" w14:textId="667965AE" w:rsidR="00D53118" w:rsidRDefault="00D53118" w:rsidP="00D53118">
            <w:pPr>
              <w:spacing w:after="0" w:line="240" w:lineRule="auto"/>
              <w:jc w:val="left"/>
              <w:outlineLvl w:val="0"/>
              <w:rPr>
                <w:rFonts w:ascii="Arial" w:hAnsi="Arial" w:cs="Arial"/>
                <w:b/>
                <w:bCs/>
                <w:sz w:val="16"/>
                <w:szCs w:val="16"/>
              </w:rPr>
            </w:pPr>
            <w:r>
              <w:rPr>
                <w:rFonts w:ascii="Arial" w:hAnsi="Arial" w:cs="Arial"/>
                <w:b/>
                <w:bCs/>
                <w:sz w:val="16"/>
                <w:szCs w:val="16"/>
              </w:rPr>
              <w:t>Annual Appropriations</w:t>
            </w:r>
          </w:p>
        </w:tc>
        <w:tc>
          <w:tcPr>
            <w:tcW w:w="992" w:type="dxa"/>
            <w:tcBorders>
              <w:top w:val="nil"/>
              <w:left w:val="nil"/>
              <w:bottom w:val="nil"/>
              <w:right w:val="nil"/>
            </w:tcBorders>
            <w:shd w:val="clear" w:color="auto" w:fill="auto"/>
            <w:noWrap/>
            <w:vAlign w:val="bottom"/>
          </w:tcPr>
          <w:p w14:paraId="3370D688" w14:textId="77777777" w:rsidR="00D53118" w:rsidRPr="000025D5" w:rsidRDefault="00D53118" w:rsidP="00D53118">
            <w:pPr>
              <w:spacing w:after="0" w:line="240" w:lineRule="auto"/>
              <w:jc w:val="right"/>
              <w:outlineLvl w:val="0"/>
              <w:rPr>
                <w:rFonts w:ascii="Arial" w:hAnsi="Arial" w:cs="Arial"/>
                <w:b/>
                <w:bCs/>
                <w:sz w:val="16"/>
                <w:szCs w:val="16"/>
              </w:rPr>
            </w:pPr>
          </w:p>
        </w:tc>
        <w:tc>
          <w:tcPr>
            <w:tcW w:w="903" w:type="dxa"/>
            <w:tcBorders>
              <w:top w:val="nil"/>
              <w:left w:val="nil"/>
              <w:bottom w:val="nil"/>
              <w:right w:val="nil"/>
            </w:tcBorders>
            <w:shd w:val="clear" w:color="000000" w:fill="E6E6E6"/>
            <w:noWrap/>
            <w:vAlign w:val="bottom"/>
          </w:tcPr>
          <w:p w14:paraId="0AE2DE0D" w14:textId="77777777" w:rsidR="00D53118" w:rsidRPr="000025D5" w:rsidRDefault="00D53118" w:rsidP="00D53118">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tcPr>
          <w:p w14:paraId="3C6D4681" w14:textId="77777777" w:rsidR="00D53118" w:rsidRPr="000025D5" w:rsidRDefault="00D53118" w:rsidP="00D53118">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tcPr>
          <w:p w14:paraId="47369C07" w14:textId="77777777" w:rsidR="00D53118" w:rsidRPr="000025D5" w:rsidRDefault="00D53118" w:rsidP="00D53118">
            <w:pPr>
              <w:spacing w:after="0" w:line="240" w:lineRule="auto"/>
              <w:jc w:val="right"/>
              <w:outlineLvl w:val="0"/>
              <w:rPr>
                <w:rFonts w:ascii="Times New Roman" w:hAnsi="Times New Roman"/>
                <w:sz w:val="16"/>
                <w:szCs w:val="16"/>
              </w:rPr>
            </w:pPr>
          </w:p>
        </w:tc>
        <w:tc>
          <w:tcPr>
            <w:tcW w:w="903" w:type="dxa"/>
            <w:tcBorders>
              <w:top w:val="nil"/>
              <w:left w:val="nil"/>
              <w:bottom w:val="nil"/>
              <w:right w:val="nil"/>
            </w:tcBorders>
            <w:shd w:val="clear" w:color="auto" w:fill="auto"/>
            <w:noWrap/>
            <w:vAlign w:val="bottom"/>
          </w:tcPr>
          <w:p w14:paraId="150C983B" w14:textId="77777777" w:rsidR="00D53118" w:rsidRPr="000025D5" w:rsidRDefault="00D53118" w:rsidP="00D53118">
            <w:pPr>
              <w:spacing w:after="0" w:line="240" w:lineRule="auto"/>
              <w:jc w:val="right"/>
              <w:outlineLvl w:val="0"/>
              <w:rPr>
                <w:rFonts w:ascii="Times New Roman" w:hAnsi="Times New Roman"/>
                <w:sz w:val="16"/>
                <w:szCs w:val="16"/>
              </w:rPr>
            </w:pPr>
          </w:p>
        </w:tc>
      </w:tr>
      <w:tr w:rsidR="00D53118" w:rsidRPr="00B55E61" w14:paraId="64841264" w14:textId="77777777" w:rsidTr="00D53118">
        <w:trPr>
          <w:trHeight w:val="204"/>
        </w:trPr>
        <w:tc>
          <w:tcPr>
            <w:tcW w:w="2977" w:type="dxa"/>
            <w:tcBorders>
              <w:top w:val="nil"/>
              <w:left w:val="nil"/>
              <w:bottom w:val="nil"/>
              <w:right w:val="nil"/>
            </w:tcBorders>
            <w:shd w:val="clear" w:color="auto" w:fill="auto"/>
            <w:noWrap/>
          </w:tcPr>
          <w:p w14:paraId="7347E9A4" w14:textId="360E5EED" w:rsidR="00D53118" w:rsidRDefault="00D53118" w:rsidP="00A9455B">
            <w:pPr>
              <w:spacing w:after="0" w:line="240" w:lineRule="auto"/>
              <w:ind w:left="113"/>
              <w:jc w:val="left"/>
              <w:outlineLvl w:val="0"/>
              <w:rPr>
                <w:rFonts w:ascii="Arial" w:hAnsi="Arial" w:cs="Arial"/>
                <w:b/>
                <w:bCs/>
                <w:sz w:val="16"/>
                <w:szCs w:val="16"/>
              </w:rPr>
            </w:pPr>
            <w:r>
              <w:rPr>
                <w:rFonts w:ascii="Arial" w:hAnsi="Arial" w:cs="Arial"/>
                <w:b/>
                <w:bCs/>
                <w:sz w:val="16"/>
                <w:szCs w:val="16"/>
              </w:rPr>
              <w:t>Measures</w:t>
            </w:r>
          </w:p>
        </w:tc>
        <w:tc>
          <w:tcPr>
            <w:tcW w:w="992" w:type="dxa"/>
            <w:tcBorders>
              <w:top w:val="nil"/>
              <w:left w:val="nil"/>
              <w:bottom w:val="nil"/>
              <w:right w:val="nil"/>
            </w:tcBorders>
            <w:shd w:val="clear" w:color="auto" w:fill="auto"/>
            <w:noWrap/>
            <w:vAlign w:val="bottom"/>
          </w:tcPr>
          <w:p w14:paraId="28DB1E68" w14:textId="77777777" w:rsidR="00D53118" w:rsidRPr="000025D5" w:rsidRDefault="00D53118" w:rsidP="00D53118">
            <w:pPr>
              <w:spacing w:after="0" w:line="240" w:lineRule="auto"/>
              <w:jc w:val="right"/>
              <w:outlineLvl w:val="0"/>
              <w:rPr>
                <w:rFonts w:ascii="Arial" w:hAnsi="Arial" w:cs="Arial"/>
                <w:b/>
                <w:bCs/>
                <w:sz w:val="16"/>
                <w:szCs w:val="16"/>
              </w:rPr>
            </w:pPr>
          </w:p>
        </w:tc>
        <w:tc>
          <w:tcPr>
            <w:tcW w:w="903" w:type="dxa"/>
            <w:tcBorders>
              <w:top w:val="nil"/>
              <w:left w:val="nil"/>
              <w:bottom w:val="nil"/>
              <w:right w:val="nil"/>
            </w:tcBorders>
            <w:shd w:val="clear" w:color="000000" w:fill="E6E6E6"/>
            <w:noWrap/>
            <w:vAlign w:val="bottom"/>
          </w:tcPr>
          <w:p w14:paraId="792A4FEC" w14:textId="77777777" w:rsidR="00D53118" w:rsidRPr="000025D5" w:rsidRDefault="00D53118" w:rsidP="00D53118">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tcPr>
          <w:p w14:paraId="67491043" w14:textId="77777777" w:rsidR="00D53118" w:rsidRPr="000025D5" w:rsidRDefault="00D53118" w:rsidP="00D53118">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tcPr>
          <w:p w14:paraId="7901BA2C" w14:textId="77777777" w:rsidR="00D53118" w:rsidRPr="000025D5" w:rsidRDefault="00D53118" w:rsidP="00D53118">
            <w:pPr>
              <w:spacing w:after="0" w:line="240" w:lineRule="auto"/>
              <w:jc w:val="right"/>
              <w:outlineLvl w:val="0"/>
              <w:rPr>
                <w:rFonts w:ascii="Times New Roman" w:hAnsi="Times New Roman"/>
                <w:sz w:val="16"/>
                <w:szCs w:val="16"/>
              </w:rPr>
            </w:pPr>
          </w:p>
        </w:tc>
        <w:tc>
          <w:tcPr>
            <w:tcW w:w="903" w:type="dxa"/>
            <w:tcBorders>
              <w:top w:val="nil"/>
              <w:left w:val="nil"/>
              <w:bottom w:val="nil"/>
              <w:right w:val="nil"/>
            </w:tcBorders>
            <w:shd w:val="clear" w:color="auto" w:fill="auto"/>
            <w:noWrap/>
            <w:vAlign w:val="bottom"/>
          </w:tcPr>
          <w:p w14:paraId="52501009" w14:textId="77777777" w:rsidR="00D53118" w:rsidRPr="000025D5" w:rsidRDefault="00D53118" w:rsidP="00D53118">
            <w:pPr>
              <w:spacing w:after="0" w:line="240" w:lineRule="auto"/>
              <w:jc w:val="right"/>
              <w:outlineLvl w:val="0"/>
              <w:rPr>
                <w:rFonts w:ascii="Times New Roman" w:hAnsi="Times New Roman"/>
                <w:sz w:val="16"/>
                <w:szCs w:val="16"/>
              </w:rPr>
            </w:pPr>
          </w:p>
        </w:tc>
      </w:tr>
      <w:tr w:rsidR="00D53118" w:rsidRPr="00B55E61" w14:paraId="7C342AF8" w14:textId="77777777" w:rsidTr="00D53118">
        <w:trPr>
          <w:trHeight w:val="204"/>
        </w:trPr>
        <w:tc>
          <w:tcPr>
            <w:tcW w:w="2977" w:type="dxa"/>
            <w:tcBorders>
              <w:top w:val="nil"/>
              <w:left w:val="nil"/>
              <w:bottom w:val="nil"/>
              <w:right w:val="nil"/>
            </w:tcBorders>
            <w:shd w:val="clear" w:color="auto" w:fill="auto"/>
            <w:noWrap/>
            <w:vAlign w:val="bottom"/>
          </w:tcPr>
          <w:p w14:paraId="3C1E5ACF" w14:textId="0EBA8C23" w:rsidR="00D53118" w:rsidRDefault="00D53118" w:rsidP="00EB3776">
            <w:pPr>
              <w:spacing w:after="0" w:line="240" w:lineRule="auto"/>
              <w:ind w:left="227"/>
              <w:jc w:val="left"/>
              <w:outlineLvl w:val="0"/>
              <w:rPr>
                <w:rFonts w:ascii="Arial" w:hAnsi="Arial" w:cs="Arial"/>
                <w:b/>
                <w:bCs/>
                <w:sz w:val="16"/>
                <w:szCs w:val="16"/>
              </w:rPr>
            </w:pPr>
            <w:r>
              <w:rPr>
                <w:rFonts w:ascii="Arial" w:hAnsi="Arial" w:cs="Arial"/>
                <w:sz w:val="16"/>
                <w:szCs w:val="16"/>
              </w:rPr>
              <w:t xml:space="preserve">Northern Australia Infrastructure Facility - </w:t>
            </w:r>
            <w:r w:rsidR="00EB3776">
              <w:rPr>
                <w:rFonts w:ascii="Arial" w:hAnsi="Arial" w:cs="Arial"/>
                <w:sz w:val="16"/>
                <w:szCs w:val="16"/>
              </w:rPr>
              <w:t>i</w:t>
            </w:r>
            <w:r>
              <w:rPr>
                <w:rFonts w:ascii="Arial" w:hAnsi="Arial" w:cs="Arial"/>
                <w:sz w:val="16"/>
                <w:szCs w:val="16"/>
              </w:rPr>
              <w:t xml:space="preserve">ncreased </w:t>
            </w:r>
            <w:r w:rsidR="00EB3776">
              <w:rPr>
                <w:rFonts w:ascii="Arial" w:hAnsi="Arial" w:cs="Arial"/>
                <w:sz w:val="16"/>
                <w:szCs w:val="16"/>
              </w:rPr>
              <w:t>a</w:t>
            </w:r>
            <w:r>
              <w:rPr>
                <w:rFonts w:ascii="Arial" w:hAnsi="Arial" w:cs="Arial"/>
                <w:sz w:val="16"/>
                <w:szCs w:val="16"/>
              </w:rPr>
              <w:t>ppropriation</w:t>
            </w:r>
          </w:p>
        </w:tc>
        <w:tc>
          <w:tcPr>
            <w:tcW w:w="992" w:type="dxa"/>
            <w:tcBorders>
              <w:top w:val="nil"/>
              <w:left w:val="nil"/>
              <w:bottom w:val="nil"/>
              <w:right w:val="nil"/>
            </w:tcBorders>
            <w:shd w:val="clear" w:color="auto" w:fill="auto"/>
            <w:noWrap/>
            <w:vAlign w:val="bottom"/>
          </w:tcPr>
          <w:p w14:paraId="738E7F81" w14:textId="26C9FD64" w:rsidR="00D53118" w:rsidRPr="00D53118" w:rsidRDefault="00D53118" w:rsidP="00D53118">
            <w:pPr>
              <w:spacing w:after="0" w:line="240" w:lineRule="auto"/>
              <w:jc w:val="center"/>
              <w:outlineLvl w:val="0"/>
              <w:rPr>
                <w:rFonts w:ascii="Arial" w:hAnsi="Arial" w:cs="Arial"/>
                <w:bCs/>
                <w:sz w:val="16"/>
                <w:szCs w:val="16"/>
              </w:rPr>
            </w:pPr>
            <w:r w:rsidRPr="00D53118">
              <w:rPr>
                <w:rFonts w:ascii="Arial" w:hAnsi="Arial" w:cs="Arial"/>
                <w:bCs/>
                <w:sz w:val="16"/>
                <w:szCs w:val="16"/>
              </w:rPr>
              <w:t>3.5</w:t>
            </w:r>
          </w:p>
        </w:tc>
        <w:tc>
          <w:tcPr>
            <w:tcW w:w="903" w:type="dxa"/>
            <w:tcBorders>
              <w:top w:val="nil"/>
              <w:left w:val="nil"/>
              <w:bottom w:val="nil"/>
              <w:right w:val="nil"/>
            </w:tcBorders>
            <w:shd w:val="clear" w:color="000000" w:fill="E6E6E6"/>
            <w:noWrap/>
            <w:vAlign w:val="bottom"/>
          </w:tcPr>
          <w:p w14:paraId="3CBE5C91" w14:textId="5B3EC274" w:rsidR="00D53118" w:rsidRPr="000025D5" w:rsidRDefault="003B3179" w:rsidP="00D53118">
            <w:pPr>
              <w:spacing w:after="0" w:line="240" w:lineRule="auto"/>
              <w:jc w:val="right"/>
              <w:outlineLvl w:val="0"/>
              <w:rPr>
                <w:rFonts w:ascii="Arial" w:hAnsi="Arial" w:cs="Arial"/>
                <w:b/>
                <w:bCs/>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tcPr>
          <w:p w14:paraId="6DF2054F" w14:textId="4F692E28" w:rsidR="00D53118" w:rsidRPr="000025D5" w:rsidRDefault="00D53118" w:rsidP="00D53118">
            <w:pPr>
              <w:spacing w:after="0" w:line="240" w:lineRule="auto"/>
              <w:jc w:val="right"/>
              <w:outlineLvl w:val="0"/>
              <w:rPr>
                <w:rFonts w:ascii="Arial" w:hAnsi="Arial" w:cs="Arial"/>
                <w:b/>
                <w:bCs/>
                <w:sz w:val="16"/>
                <w:szCs w:val="16"/>
              </w:rPr>
            </w:pPr>
            <w:r>
              <w:rPr>
                <w:rFonts w:ascii="Arial" w:hAnsi="Arial" w:cs="Arial"/>
                <w:sz w:val="16"/>
                <w:szCs w:val="16"/>
              </w:rPr>
              <w:t>800</w:t>
            </w:r>
          </w:p>
        </w:tc>
        <w:tc>
          <w:tcPr>
            <w:tcW w:w="928" w:type="dxa"/>
            <w:tcBorders>
              <w:top w:val="nil"/>
              <w:left w:val="nil"/>
              <w:bottom w:val="nil"/>
              <w:right w:val="nil"/>
            </w:tcBorders>
            <w:shd w:val="clear" w:color="auto" w:fill="auto"/>
            <w:noWrap/>
            <w:vAlign w:val="bottom"/>
          </w:tcPr>
          <w:p w14:paraId="78C29158" w14:textId="111C90C5" w:rsidR="00D53118" w:rsidRPr="000025D5" w:rsidRDefault="00D53118" w:rsidP="00D53118">
            <w:pPr>
              <w:spacing w:after="0" w:line="240" w:lineRule="auto"/>
              <w:jc w:val="right"/>
              <w:outlineLvl w:val="0"/>
              <w:rPr>
                <w:rFonts w:ascii="Times New Roman" w:hAnsi="Times New Roman"/>
                <w:sz w:val="16"/>
                <w:szCs w:val="16"/>
              </w:rPr>
            </w:pPr>
            <w:r>
              <w:rPr>
                <w:rFonts w:ascii="Arial" w:hAnsi="Arial" w:cs="Arial"/>
                <w:sz w:val="16"/>
                <w:szCs w:val="16"/>
              </w:rPr>
              <w:t>800</w:t>
            </w:r>
          </w:p>
        </w:tc>
        <w:tc>
          <w:tcPr>
            <w:tcW w:w="903" w:type="dxa"/>
            <w:tcBorders>
              <w:top w:val="nil"/>
              <w:left w:val="nil"/>
              <w:bottom w:val="nil"/>
              <w:right w:val="nil"/>
            </w:tcBorders>
            <w:shd w:val="clear" w:color="auto" w:fill="auto"/>
            <w:noWrap/>
            <w:vAlign w:val="bottom"/>
          </w:tcPr>
          <w:p w14:paraId="5B4EE1AA" w14:textId="0FEAA00C" w:rsidR="00D53118" w:rsidRPr="000025D5" w:rsidRDefault="00D53118" w:rsidP="00D53118">
            <w:pPr>
              <w:spacing w:after="0" w:line="240" w:lineRule="auto"/>
              <w:jc w:val="right"/>
              <w:outlineLvl w:val="0"/>
              <w:rPr>
                <w:rFonts w:ascii="Times New Roman" w:hAnsi="Times New Roman"/>
                <w:sz w:val="16"/>
                <w:szCs w:val="16"/>
              </w:rPr>
            </w:pPr>
            <w:r>
              <w:rPr>
                <w:rFonts w:ascii="Arial" w:hAnsi="Arial" w:cs="Arial"/>
                <w:sz w:val="16"/>
                <w:szCs w:val="16"/>
              </w:rPr>
              <w:t>800</w:t>
            </w:r>
          </w:p>
        </w:tc>
      </w:tr>
      <w:tr w:rsidR="005F6D89" w:rsidRPr="00B55E61" w14:paraId="28FCFAA5" w14:textId="77777777" w:rsidTr="00D53118">
        <w:trPr>
          <w:trHeight w:val="204"/>
        </w:trPr>
        <w:tc>
          <w:tcPr>
            <w:tcW w:w="2977" w:type="dxa"/>
            <w:tcBorders>
              <w:top w:val="nil"/>
              <w:left w:val="nil"/>
              <w:bottom w:val="nil"/>
              <w:right w:val="nil"/>
            </w:tcBorders>
            <w:shd w:val="clear" w:color="auto" w:fill="auto"/>
            <w:noWrap/>
            <w:vAlign w:val="bottom"/>
            <w:hideMark/>
          </w:tcPr>
          <w:p w14:paraId="4F6B1D24" w14:textId="77777777" w:rsidR="005F6D89" w:rsidRPr="00B55E61" w:rsidRDefault="005F6D89" w:rsidP="005F6D89">
            <w:pPr>
              <w:spacing w:after="0" w:line="240" w:lineRule="auto"/>
              <w:ind w:left="113"/>
              <w:jc w:val="left"/>
              <w:rPr>
                <w:rFonts w:ascii="Arial" w:hAnsi="Arial" w:cs="Arial"/>
                <w:b/>
                <w:bCs/>
                <w:color w:val="000000"/>
                <w:sz w:val="16"/>
                <w:szCs w:val="16"/>
              </w:rPr>
            </w:pPr>
            <w:r w:rsidRPr="00B55E61">
              <w:rPr>
                <w:rFonts w:ascii="Arial" w:hAnsi="Arial" w:cs="Arial"/>
                <w:b/>
                <w:bCs/>
                <w:sz w:val="16"/>
                <w:szCs w:val="16"/>
              </w:rPr>
              <w:t>Other</w:t>
            </w:r>
            <w:r w:rsidRPr="00B55E61">
              <w:rPr>
                <w:rFonts w:ascii="Arial" w:hAnsi="Arial" w:cs="Arial"/>
                <w:b/>
                <w:bCs/>
                <w:color w:val="000000"/>
                <w:sz w:val="16"/>
                <w:szCs w:val="16"/>
              </w:rPr>
              <w:t xml:space="preserve"> Variations</w:t>
            </w:r>
          </w:p>
        </w:tc>
        <w:tc>
          <w:tcPr>
            <w:tcW w:w="992" w:type="dxa"/>
            <w:tcBorders>
              <w:top w:val="nil"/>
              <w:left w:val="nil"/>
              <w:bottom w:val="nil"/>
              <w:right w:val="nil"/>
            </w:tcBorders>
            <w:shd w:val="clear" w:color="auto" w:fill="auto"/>
            <w:noWrap/>
            <w:vAlign w:val="bottom"/>
            <w:hideMark/>
          </w:tcPr>
          <w:p w14:paraId="5B49CA50" w14:textId="77777777" w:rsidR="005F6D89" w:rsidRPr="000025D5" w:rsidRDefault="005F6D89" w:rsidP="003E041F">
            <w:pPr>
              <w:spacing w:after="0" w:line="240" w:lineRule="auto"/>
              <w:ind w:firstLineChars="100" w:firstLine="160"/>
              <w:jc w:val="right"/>
              <w:outlineLvl w:val="0"/>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38E34FE8" w14:textId="370AB4F7"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037D3FE4" w14:textId="77777777"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7708C1AD" w14:textId="77777777" w:rsidR="005F6D89" w:rsidRPr="000025D5" w:rsidRDefault="005F6D89" w:rsidP="003E041F">
            <w:pPr>
              <w:spacing w:after="0" w:line="240" w:lineRule="auto"/>
              <w:jc w:val="right"/>
              <w:outlineLvl w:val="0"/>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25FAFE5D" w14:textId="77777777" w:rsidR="005F6D89" w:rsidRPr="000025D5" w:rsidRDefault="005F6D89" w:rsidP="003E041F">
            <w:pPr>
              <w:spacing w:after="0" w:line="240" w:lineRule="auto"/>
              <w:jc w:val="right"/>
              <w:outlineLvl w:val="0"/>
              <w:rPr>
                <w:rFonts w:ascii="Times New Roman" w:hAnsi="Times New Roman"/>
                <w:sz w:val="16"/>
                <w:szCs w:val="16"/>
              </w:rPr>
            </w:pPr>
          </w:p>
        </w:tc>
      </w:tr>
      <w:tr w:rsidR="005F6D89" w:rsidRPr="00B55E61" w14:paraId="256572CE" w14:textId="77777777" w:rsidTr="00D53118">
        <w:trPr>
          <w:trHeight w:val="204"/>
        </w:trPr>
        <w:tc>
          <w:tcPr>
            <w:tcW w:w="2977" w:type="dxa"/>
            <w:tcBorders>
              <w:top w:val="nil"/>
              <w:left w:val="nil"/>
              <w:bottom w:val="nil"/>
              <w:right w:val="nil"/>
            </w:tcBorders>
            <w:shd w:val="clear" w:color="auto" w:fill="auto"/>
            <w:vAlign w:val="bottom"/>
            <w:hideMark/>
          </w:tcPr>
          <w:p w14:paraId="0C286303"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Changes in parameters</w:t>
            </w:r>
          </w:p>
        </w:tc>
        <w:tc>
          <w:tcPr>
            <w:tcW w:w="992" w:type="dxa"/>
            <w:tcBorders>
              <w:top w:val="nil"/>
              <w:left w:val="nil"/>
              <w:bottom w:val="nil"/>
              <w:right w:val="nil"/>
            </w:tcBorders>
            <w:shd w:val="clear" w:color="auto" w:fill="auto"/>
            <w:noWrap/>
            <w:vAlign w:val="bottom"/>
            <w:hideMark/>
          </w:tcPr>
          <w:p w14:paraId="046B201E" w14:textId="77777777"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3.5</w:t>
            </w:r>
          </w:p>
        </w:tc>
        <w:tc>
          <w:tcPr>
            <w:tcW w:w="903" w:type="dxa"/>
            <w:tcBorders>
              <w:top w:val="nil"/>
              <w:left w:val="nil"/>
              <w:bottom w:val="nil"/>
              <w:right w:val="nil"/>
            </w:tcBorders>
            <w:shd w:val="clear" w:color="000000" w:fill="E6E6E6"/>
            <w:noWrap/>
            <w:vAlign w:val="bottom"/>
            <w:hideMark/>
          </w:tcPr>
          <w:p w14:paraId="1CBBD0F4" w14:textId="30CD41F2" w:rsidR="005F6D89" w:rsidRPr="000025D5" w:rsidRDefault="005F6D89" w:rsidP="003E041F">
            <w:pPr>
              <w:spacing w:after="0" w:line="240" w:lineRule="auto"/>
              <w:jc w:val="right"/>
              <w:outlineLvl w:val="0"/>
              <w:rPr>
                <w:rFonts w:ascii="Arial" w:hAnsi="Arial" w:cs="Arial"/>
                <w:bCs/>
                <w:sz w:val="16"/>
                <w:szCs w:val="16"/>
              </w:rPr>
            </w:pPr>
            <w:r w:rsidRPr="000025D5">
              <w:rPr>
                <w:rFonts w:ascii="Arial" w:hAnsi="Arial" w:cs="Arial"/>
                <w:bCs/>
                <w:sz w:val="16"/>
                <w:szCs w:val="16"/>
              </w:rPr>
              <w:t>-</w:t>
            </w:r>
          </w:p>
        </w:tc>
        <w:tc>
          <w:tcPr>
            <w:tcW w:w="928" w:type="dxa"/>
            <w:tcBorders>
              <w:top w:val="nil"/>
              <w:left w:val="nil"/>
              <w:bottom w:val="nil"/>
              <w:right w:val="nil"/>
            </w:tcBorders>
            <w:shd w:val="clear" w:color="auto" w:fill="auto"/>
            <w:noWrap/>
            <w:vAlign w:val="bottom"/>
            <w:hideMark/>
          </w:tcPr>
          <w:p w14:paraId="6C4BE100" w14:textId="4D67AF10"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15</w:t>
            </w:r>
          </w:p>
        </w:tc>
        <w:tc>
          <w:tcPr>
            <w:tcW w:w="928" w:type="dxa"/>
            <w:tcBorders>
              <w:top w:val="nil"/>
              <w:left w:val="nil"/>
              <w:bottom w:val="nil"/>
              <w:right w:val="nil"/>
            </w:tcBorders>
            <w:shd w:val="clear" w:color="auto" w:fill="auto"/>
            <w:noWrap/>
            <w:vAlign w:val="bottom"/>
            <w:hideMark/>
          </w:tcPr>
          <w:p w14:paraId="3603BE54" w14:textId="1DB3E3F6"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40</w:t>
            </w:r>
          </w:p>
        </w:tc>
        <w:tc>
          <w:tcPr>
            <w:tcW w:w="903" w:type="dxa"/>
            <w:tcBorders>
              <w:top w:val="nil"/>
              <w:left w:val="nil"/>
              <w:bottom w:val="nil"/>
              <w:right w:val="nil"/>
            </w:tcBorders>
            <w:shd w:val="clear" w:color="auto" w:fill="auto"/>
            <w:noWrap/>
            <w:vAlign w:val="bottom"/>
            <w:hideMark/>
          </w:tcPr>
          <w:p w14:paraId="48A963C6" w14:textId="193D2478"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251</w:t>
            </w:r>
          </w:p>
        </w:tc>
      </w:tr>
      <w:tr w:rsidR="005F6D89" w:rsidRPr="00B55E61" w14:paraId="2D223DAA" w14:textId="77777777" w:rsidTr="003B3179">
        <w:trPr>
          <w:trHeight w:val="204"/>
        </w:trPr>
        <w:tc>
          <w:tcPr>
            <w:tcW w:w="2977" w:type="dxa"/>
            <w:tcBorders>
              <w:top w:val="nil"/>
              <w:left w:val="nil"/>
              <w:bottom w:val="nil"/>
              <w:right w:val="nil"/>
            </w:tcBorders>
            <w:shd w:val="clear" w:color="auto" w:fill="auto"/>
            <w:vAlign w:val="bottom"/>
            <w:hideMark/>
          </w:tcPr>
          <w:p w14:paraId="3FF21470"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Transfers from DISER</w:t>
            </w:r>
          </w:p>
        </w:tc>
        <w:tc>
          <w:tcPr>
            <w:tcW w:w="992" w:type="dxa"/>
            <w:tcBorders>
              <w:top w:val="nil"/>
              <w:left w:val="nil"/>
              <w:bottom w:val="nil"/>
              <w:right w:val="nil"/>
            </w:tcBorders>
            <w:shd w:val="clear" w:color="auto" w:fill="auto"/>
            <w:noWrap/>
            <w:vAlign w:val="bottom"/>
            <w:hideMark/>
          </w:tcPr>
          <w:p w14:paraId="4506F117" w14:textId="77777777"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3.5</w:t>
            </w:r>
          </w:p>
        </w:tc>
        <w:tc>
          <w:tcPr>
            <w:tcW w:w="903" w:type="dxa"/>
            <w:tcBorders>
              <w:top w:val="nil"/>
              <w:left w:val="nil"/>
              <w:right w:val="nil"/>
            </w:tcBorders>
            <w:shd w:val="clear" w:color="000000" w:fill="E6E6E6"/>
            <w:noWrap/>
            <w:vAlign w:val="bottom"/>
            <w:hideMark/>
          </w:tcPr>
          <w:p w14:paraId="365BE87B" w14:textId="59ACC9BD"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8,856</w:t>
            </w:r>
          </w:p>
        </w:tc>
        <w:tc>
          <w:tcPr>
            <w:tcW w:w="928" w:type="dxa"/>
            <w:tcBorders>
              <w:top w:val="nil"/>
              <w:left w:val="nil"/>
              <w:right w:val="nil"/>
            </w:tcBorders>
            <w:shd w:val="clear" w:color="auto" w:fill="auto"/>
            <w:noWrap/>
            <w:vAlign w:val="bottom"/>
            <w:hideMark/>
          </w:tcPr>
          <w:p w14:paraId="7EF28A73" w14:textId="54C42FB3"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8,326</w:t>
            </w:r>
          </w:p>
        </w:tc>
        <w:tc>
          <w:tcPr>
            <w:tcW w:w="928" w:type="dxa"/>
            <w:tcBorders>
              <w:top w:val="nil"/>
              <w:left w:val="nil"/>
              <w:right w:val="nil"/>
            </w:tcBorders>
            <w:shd w:val="clear" w:color="auto" w:fill="auto"/>
            <w:noWrap/>
            <w:vAlign w:val="bottom"/>
            <w:hideMark/>
          </w:tcPr>
          <w:p w14:paraId="39B660D4" w14:textId="0566D048"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8,315</w:t>
            </w:r>
          </w:p>
        </w:tc>
        <w:tc>
          <w:tcPr>
            <w:tcW w:w="903" w:type="dxa"/>
            <w:tcBorders>
              <w:top w:val="nil"/>
              <w:left w:val="nil"/>
              <w:right w:val="nil"/>
            </w:tcBorders>
            <w:shd w:val="clear" w:color="auto" w:fill="auto"/>
            <w:noWrap/>
            <w:vAlign w:val="bottom"/>
            <w:hideMark/>
          </w:tcPr>
          <w:p w14:paraId="24AD7305" w14:textId="5450FCFF"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6,636</w:t>
            </w:r>
          </w:p>
        </w:tc>
      </w:tr>
      <w:tr w:rsidR="00D53118" w:rsidRPr="00B55E61" w14:paraId="4F9103A3" w14:textId="77777777" w:rsidTr="003B3179">
        <w:trPr>
          <w:trHeight w:val="204"/>
        </w:trPr>
        <w:tc>
          <w:tcPr>
            <w:tcW w:w="2977" w:type="dxa"/>
            <w:tcBorders>
              <w:top w:val="nil"/>
              <w:left w:val="nil"/>
              <w:bottom w:val="nil"/>
              <w:right w:val="nil"/>
            </w:tcBorders>
            <w:shd w:val="clear" w:color="auto" w:fill="auto"/>
            <w:vAlign w:val="bottom"/>
          </w:tcPr>
          <w:p w14:paraId="31A34DA2" w14:textId="4A91B59E" w:rsidR="00D53118" w:rsidRPr="00B55E61" w:rsidRDefault="00D53118" w:rsidP="005F6D89">
            <w:pPr>
              <w:spacing w:after="0" w:line="240" w:lineRule="auto"/>
              <w:ind w:left="227"/>
              <w:jc w:val="left"/>
              <w:rPr>
                <w:rFonts w:ascii="Arial" w:hAnsi="Arial" w:cs="Arial"/>
                <w:sz w:val="16"/>
                <w:szCs w:val="16"/>
              </w:rPr>
            </w:pPr>
            <w:r w:rsidRPr="00B55E61">
              <w:rPr>
                <w:rFonts w:ascii="Arial" w:hAnsi="Arial" w:cs="Arial"/>
                <w:sz w:val="16"/>
                <w:szCs w:val="16"/>
              </w:rPr>
              <w:t>Estimates Variations</w:t>
            </w:r>
          </w:p>
        </w:tc>
        <w:tc>
          <w:tcPr>
            <w:tcW w:w="992" w:type="dxa"/>
            <w:tcBorders>
              <w:top w:val="nil"/>
              <w:left w:val="nil"/>
              <w:bottom w:val="nil"/>
              <w:right w:val="nil"/>
            </w:tcBorders>
            <w:shd w:val="clear" w:color="auto" w:fill="auto"/>
            <w:noWrap/>
            <w:vAlign w:val="bottom"/>
          </w:tcPr>
          <w:p w14:paraId="60E5FC3E" w14:textId="77777777" w:rsidR="00D53118" w:rsidRPr="000025D5" w:rsidRDefault="00D53118" w:rsidP="003E041F">
            <w:pPr>
              <w:spacing w:after="0" w:line="240" w:lineRule="auto"/>
              <w:jc w:val="center"/>
              <w:outlineLvl w:val="0"/>
              <w:rPr>
                <w:rFonts w:ascii="Arial" w:hAnsi="Arial" w:cs="Arial"/>
                <w:sz w:val="16"/>
                <w:szCs w:val="16"/>
              </w:rPr>
            </w:pPr>
          </w:p>
        </w:tc>
        <w:tc>
          <w:tcPr>
            <w:tcW w:w="903" w:type="dxa"/>
            <w:tcBorders>
              <w:top w:val="nil"/>
              <w:left w:val="nil"/>
              <w:bottom w:val="single" w:sz="4" w:space="0" w:color="auto"/>
              <w:right w:val="nil"/>
            </w:tcBorders>
            <w:shd w:val="clear" w:color="000000" w:fill="E6E6E6"/>
            <w:noWrap/>
            <w:vAlign w:val="bottom"/>
          </w:tcPr>
          <w:p w14:paraId="720ABFCC" w14:textId="0EA1B6E3" w:rsidR="00D53118" w:rsidRPr="000025D5" w:rsidRDefault="00D53118" w:rsidP="003E041F">
            <w:pPr>
              <w:spacing w:after="0" w:line="240" w:lineRule="auto"/>
              <w:jc w:val="right"/>
              <w:outlineLvl w:val="0"/>
              <w:rPr>
                <w:rFonts w:ascii="Arial" w:hAnsi="Arial" w:cs="Arial"/>
                <w:sz w:val="16"/>
                <w:szCs w:val="16"/>
              </w:rPr>
            </w:pPr>
            <w:r>
              <w:rPr>
                <w:rFonts w:ascii="Arial" w:hAnsi="Arial" w:cs="Arial"/>
                <w:sz w:val="16"/>
                <w:szCs w:val="16"/>
              </w:rPr>
              <w:t>(84)</w:t>
            </w:r>
          </w:p>
        </w:tc>
        <w:tc>
          <w:tcPr>
            <w:tcW w:w="928" w:type="dxa"/>
            <w:tcBorders>
              <w:top w:val="nil"/>
              <w:left w:val="nil"/>
              <w:bottom w:val="single" w:sz="4" w:space="0" w:color="auto"/>
              <w:right w:val="nil"/>
            </w:tcBorders>
            <w:shd w:val="clear" w:color="auto" w:fill="auto"/>
            <w:noWrap/>
            <w:vAlign w:val="bottom"/>
          </w:tcPr>
          <w:p w14:paraId="216CD6D1" w14:textId="344EE9E0" w:rsidR="00D53118" w:rsidRPr="000025D5" w:rsidRDefault="00D53118" w:rsidP="003E041F">
            <w:pPr>
              <w:spacing w:after="0" w:line="240" w:lineRule="auto"/>
              <w:jc w:val="right"/>
              <w:outlineLvl w:val="0"/>
              <w:rPr>
                <w:rFonts w:ascii="Arial" w:hAnsi="Arial" w:cs="Arial"/>
                <w:sz w:val="16"/>
                <w:szCs w:val="16"/>
              </w:rPr>
            </w:pPr>
            <w:r>
              <w:rPr>
                <w:rFonts w:ascii="Arial" w:hAnsi="Arial" w:cs="Arial"/>
                <w:sz w:val="16"/>
                <w:szCs w:val="16"/>
              </w:rPr>
              <w:t>4,255</w:t>
            </w:r>
          </w:p>
        </w:tc>
        <w:tc>
          <w:tcPr>
            <w:tcW w:w="928" w:type="dxa"/>
            <w:tcBorders>
              <w:top w:val="nil"/>
              <w:left w:val="nil"/>
              <w:bottom w:val="single" w:sz="4" w:space="0" w:color="auto"/>
              <w:right w:val="nil"/>
            </w:tcBorders>
            <w:shd w:val="clear" w:color="auto" w:fill="auto"/>
            <w:noWrap/>
            <w:vAlign w:val="bottom"/>
          </w:tcPr>
          <w:p w14:paraId="6779E45E" w14:textId="5810853B" w:rsidR="00D53118" w:rsidRPr="000025D5" w:rsidRDefault="00D53118" w:rsidP="003E041F">
            <w:pPr>
              <w:spacing w:after="0" w:line="240" w:lineRule="auto"/>
              <w:jc w:val="right"/>
              <w:outlineLvl w:val="0"/>
              <w:rPr>
                <w:rFonts w:ascii="Arial" w:hAnsi="Arial" w:cs="Arial"/>
                <w:sz w:val="16"/>
                <w:szCs w:val="16"/>
              </w:rPr>
            </w:pPr>
            <w:r>
              <w:rPr>
                <w:rFonts w:ascii="Arial" w:hAnsi="Arial" w:cs="Arial"/>
                <w:sz w:val="16"/>
                <w:szCs w:val="16"/>
              </w:rPr>
              <w:t>(1,904)</w:t>
            </w:r>
          </w:p>
        </w:tc>
        <w:tc>
          <w:tcPr>
            <w:tcW w:w="903" w:type="dxa"/>
            <w:tcBorders>
              <w:top w:val="nil"/>
              <w:left w:val="nil"/>
              <w:bottom w:val="single" w:sz="4" w:space="0" w:color="auto"/>
              <w:right w:val="nil"/>
            </w:tcBorders>
            <w:shd w:val="clear" w:color="auto" w:fill="auto"/>
            <w:noWrap/>
            <w:vAlign w:val="bottom"/>
          </w:tcPr>
          <w:p w14:paraId="4A3ADF30" w14:textId="40375BD0" w:rsidR="00D53118" w:rsidRPr="000025D5" w:rsidRDefault="00D53118" w:rsidP="003E041F">
            <w:pPr>
              <w:spacing w:after="0" w:line="240" w:lineRule="auto"/>
              <w:jc w:val="right"/>
              <w:outlineLvl w:val="0"/>
              <w:rPr>
                <w:rFonts w:ascii="Arial" w:hAnsi="Arial" w:cs="Arial"/>
                <w:sz w:val="16"/>
                <w:szCs w:val="16"/>
              </w:rPr>
            </w:pPr>
            <w:r>
              <w:rPr>
                <w:rFonts w:ascii="Arial" w:hAnsi="Arial" w:cs="Arial"/>
                <w:sz w:val="16"/>
                <w:szCs w:val="16"/>
              </w:rPr>
              <w:t>(1,361)</w:t>
            </w:r>
          </w:p>
        </w:tc>
      </w:tr>
      <w:tr w:rsidR="00D53118" w:rsidRPr="00B55E61" w14:paraId="77FD8018" w14:textId="77777777" w:rsidTr="003B3179">
        <w:trPr>
          <w:trHeight w:val="204"/>
        </w:trPr>
        <w:tc>
          <w:tcPr>
            <w:tcW w:w="2977" w:type="dxa"/>
            <w:tcBorders>
              <w:top w:val="nil"/>
              <w:left w:val="nil"/>
              <w:right w:val="nil"/>
            </w:tcBorders>
            <w:shd w:val="clear" w:color="auto" w:fill="auto"/>
            <w:vAlign w:val="bottom"/>
            <w:hideMark/>
          </w:tcPr>
          <w:p w14:paraId="15A47B1A" w14:textId="4955000F" w:rsidR="00D53118" w:rsidRPr="00B55E61" w:rsidRDefault="00D53118" w:rsidP="00D53118">
            <w:pPr>
              <w:spacing w:after="0" w:line="240" w:lineRule="auto"/>
              <w:jc w:val="left"/>
              <w:outlineLvl w:val="0"/>
              <w:rPr>
                <w:rFonts w:ascii="Arial" w:hAnsi="Arial" w:cs="Arial"/>
                <w:b/>
                <w:bCs/>
                <w:color w:val="000000"/>
                <w:sz w:val="16"/>
                <w:szCs w:val="16"/>
              </w:rPr>
            </w:pPr>
            <w:r w:rsidRPr="00B55E61">
              <w:rPr>
                <w:rFonts w:ascii="Arial" w:hAnsi="Arial" w:cs="Arial"/>
                <w:b/>
                <w:bCs/>
                <w:color w:val="000000"/>
                <w:sz w:val="16"/>
                <w:szCs w:val="16"/>
              </w:rPr>
              <w:t>Net impact on appropriations for</w:t>
            </w:r>
            <w:r>
              <w:rPr>
                <w:rFonts w:ascii="Arial" w:hAnsi="Arial" w:cs="Arial"/>
                <w:b/>
                <w:bCs/>
                <w:color w:val="000000"/>
                <w:sz w:val="16"/>
                <w:szCs w:val="16"/>
              </w:rPr>
              <w:t xml:space="preserve"> </w:t>
            </w:r>
            <w:r w:rsidRPr="00B55E61">
              <w:rPr>
                <w:rFonts w:ascii="Arial" w:hAnsi="Arial" w:cs="Arial"/>
                <w:b/>
                <w:bCs/>
                <w:color w:val="000000"/>
                <w:sz w:val="16"/>
                <w:szCs w:val="16"/>
              </w:rPr>
              <w:t>Outcome 3 (</w:t>
            </w:r>
            <w:r>
              <w:rPr>
                <w:rFonts w:ascii="Arial" w:hAnsi="Arial" w:cs="Arial"/>
                <w:b/>
                <w:bCs/>
                <w:color w:val="000000"/>
                <w:sz w:val="16"/>
                <w:szCs w:val="16"/>
              </w:rPr>
              <w:t>Department</w:t>
            </w:r>
            <w:r w:rsidRPr="00B55E61">
              <w:rPr>
                <w:rFonts w:ascii="Arial" w:hAnsi="Arial" w:cs="Arial"/>
                <w:b/>
                <w:bCs/>
                <w:color w:val="000000"/>
                <w:sz w:val="16"/>
                <w:szCs w:val="16"/>
              </w:rPr>
              <w:t>al)</w:t>
            </w:r>
          </w:p>
        </w:tc>
        <w:tc>
          <w:tcPr>
            <w:tcW w:w="992" w:type="dxa"/>
            <w:tcBorders>
              <w:top w:val="nil"/>
              <w:left w:val="nil"/>
              <w:bottom w:val="nil"/>
              <w:right w:val="nil"/>
            </w:tcBorders>
            <w:shd w:val="clear" w:color="auto" w:fill="auto"/>
            <w:noWrap/>
            <w:vAlign w:val="bottom"/>
            <w:hideMark/>
          </w:tcPr>
          <w:p w14:paraId="62134DD7" w14:textId="77777777" w:rsidR="00D53118" w:rsidRPr="000025D5" w:rsidRDefault="00D53118" w:rsidP="00D53118">
            <w:pPr>
              <w:spacing w:after="0" w:line="240" w:lineRule="auto"/>
              <w:jc w:val="right"/>
              <w:outlineLvl w:val="0"/>
              <w:rPr>
                <w:rFonts w:ascii="Arial" w:hAnsi="Arial" w:cs="Arial"/>
                <w:b/>
                <w:bCs/>
                <w:sz w:val="16"/>
                <w:szCs w:val="16"/>
              </w:rPr>
            </w:pPr>
          </w:p>
        </w:tc>
        <w:tc>
          <w:tcPr>
            <w:tcW w:w="903" w:type="dxa"/>
            <w:tcBorders>
              <w:top w:val="single" w:sz="4" w:space="0" w:color="auto"/>
              <w:left w:val="nil"/>
              <w:bottom w:val="single" w:sz="4" w:space="0" w:color="auto"/>
              <w:right w:val="nil"/>
            </w:tcBorders>
            <w:shd w:val="clear" w:color="000000" w:fill="E6E6E6"/>
            <w:noWrap/>
            <w:vAlign w:val="bottom"/>
            <w:hideMark/>
          </w:tcPr>
          <w:p w14:paraId="199E1031" w14:textId="37A97F2F" w:rsidR="00D53118" w:rsidRPr="000025D5" w:rsidRDefault="003B3179" w:rsidP="00D71269">
            <w:pPr>
              <w:spacing w:after="0" w:line="240" w:lineRule="auto"/>
              <w:jc w:val="right"/>
              <w:rPr>
                <w:rFonts w:ascii="Arial" w:hAnsi="Arial" w:cs="Arial"/>
                <w:b/>
                <w:bCs/>
                <w:sz w:val="16"/>
                <w:szCs w:val="16"/>
              </w:rPr>
            </w:pPr>
            <w:r>
              <w:rPr>
                <w:rFonts w:ascii="Arial" w:hAnsi="Arial" w:cs="Arial"/>
                <w:b/>
                <w:bCs/>
                <w:sz w:val="16"/>
                <w:szCs w:val="16"/>
              </w:rPr>
              <w:t>8,</w:t>
            </w:r>
            <w:r w:rsidR="00D71269">
              <w:rPr>
                <w:rFonts w:ascii="Arial" w:hAnsi="Arial" w:cs="Arial"/>
                <w:b/>
                <w:bCs/>
                <w:sz w:val="16"/>
                <w:szCs w:val="16"/>
              </w:rPr>
              <w:t>772</w:t>
            </w:r>
            <w:r>
              <w:rPr>
                <w:rFonts w:ascii="Arial" w:hAnsi="Arial" w:cs="Arial"/>
                <w:b/>
                <w:bCs/>
                <w:sz w:val="16"/>
                <w:szCs w:val="16"/>
              </w:rPr>
              <w:t xml:space="preserve"> </w:t>
            </w:r>
          </w:p>
        </w:tc>
        <w:tc>
          <w:tcPr>
            <w:tcW w:w="928" w:type="dxa"/>
            <w:tcBorders>
              <w:top w:val="single" w:sz="4" w:space="0" w:color="auto"/>
              <w:left w:val="nil"/>
              <w:bottom w:val="single" w:sz="4" w:space="0" w:color="auto"/>
              <w:right w:val="nil"/>
            </w:tcBorders>
            <w:shd w:val="clear" w:color="auto" w:fill="auto"/>
            <w:noWrap/>
            <w:vAlign w:val="bottom"/>
            <w:hideMark/>
          </w:tcPr>
          <w:p w14:paraId="5FDFEE88" w14:textId="42E78D7E" w:rsidR="00D53118" w:rsidRPr="000025D5" w:rsidRDefault="00D53118" w:rsidP="00D53118">
            <w:pPr>
              <w:spacing w:after="0" w:line="240" w:lineRule="auto"/>
              <w:jc w:val="right"/>
              <w:outlineLvl w:val="0"/>
              <w:rPr>
                <w:rFonts w:ascii="Arial" w:hAnsi="Arial" w:cs="Arial"/>
                <w:b/>
                <w:bCs/>
                <w:sz w:val="16"/>
                <w:szCs w:val="16"/>
              </w:rPr>
            </w:pPr>
            <w:r>
              <w:rPr>
                <w:rFonts w:ascii="Arial" w:hAnsi="Arial" w:cs="Arial"/>
                <w:b/>
                <w:bCs/>
                <w:sz w:val="16"/>
                <w:szCs w:val="16"/>
              </w:rPr>
              <w:t>13,396</w:t>
            </w:r>
          </w:p>
        </w:tc>
        <w:tc>
          <w:tcPr>
            <w:tcW w:w="928" w:type="dxa"/>
            <w:tcBorders>
              <w:top w:val="single" w:sz="4" w:space="0" w:color="auto"/>
              <w:left w:val="nil"/>
              <w:bottom w:val="single" w:sz="4" w:space="0" w:color="auto"/>
              <w:right w:val="nil"/>
            </w:tcBorders>
            <w:shd w:val="clear" w:color="auto" w:fill="auto"/>
            <w:noWrap/>
            <w:vAlign w:val="bottom"/>
            <w:hideMark/>
          </w:tcPr>
          <w:p w14:paraId="2CCEC33B" w14:textId="482BF057" w:rsidR="00D53118" w:rsidRPr="000025D5" w:rsidRDefault="00D53118" w:rsidP="00D53118">
            <w:pPr>
              <w:spacing w:after="0" w:line="240" w:lineRule="auto"/>
              <w:jc w:val="right"/>
              <w:outlineLvl w:val="0"/>
              <w:rPr>
                <w:rFonts w:ascii="Arial" w:hAnsi="Arial" w:cs="Arial"/>
                <w:b/>
                <w:bCs/>
                <w:sz w:val="16"/>
                <w:szCs w:val="16"/>
              </w:rPr>
            </w:pPr>
            <w:r>
              <w:rPr>
                <w:rFonts w:ascii="Arial" w:hAnsi="Arial" w:cs="Arial"/>
                <w:b/>
                <w:bCs/>
                <w:sz w:val="16"/>
                <w:szCs w:val="16"/>
              </w:rPr>
              <w:t>7,251</w:t>
            </w:r>
          </w:p>
        </w:tc>
        <w:tc>
          <w:tcPr>
            <w:tcW w:w="903" w:type="dxa"/>
            <w:tcBorders>
              <w:top w:val="single" w:sz="4" w:space="0" w:color="auto"/>
              <w:left w:val="nil"/>
              <w:bottom w:val="single" w:sz="4" w:space="0" w:color="auto"/>
              <w:right w:val="nil"/>
            </w:tcBorders>
            <w:shd w:val="clear" w:color="auto" w:fill="auto"/>
            <w:noWrap/>
            <w:vAlign w:val="bottom"/>
            <w:hideMark/>
          </w:tcPr>
          <w:p w14:paraId="13247086" w14:textId="58B02414" w:rsidR="00D53118" w:rsidRPr="000025D5" w:rsidRDefault="00D53118" w:rsidP="00D53118">
            <w:pPr>
              <w:spacing w:after="0" w:line="240" w:lineRule="auto"/>
              <w:jc w:val="right"/>
              <w:outlineLvl w:val="0"/>
              <w:rPr>
                <w:rFonts w:ascii="Arial" w:hAnsi="Arial" w:cs="Arial"/>
                <w:b/>
                <w:bCs/>
                <w:sz w:val="16"/>
                <w:szCs w:val="16"/>
              </w:rPr>
            </w:pPr>
            <w:r>
              <w:rPr>
                <w:rFonts w:ascii="Arial" w:hAnsi="Arial" w:cs="Arial"/>
                <w:b/>
                <w:bCs/>
                <w:sz w:val="16"/>
                <w:szCs w:val="16"/>
              </w:rPr>
              <w:t>6,326</w:t>
            </w:r>
          </w:p>
        </w:tc>
      </w:tr>
      <w:tr w:rsidR="00D53118" w:rsidRPr="00B55E61" w14:paraId="6893646D" w14:textId="77777777" w:rsidTr="00D53118">
        <w:trPr>
          <w:trHeight w:val="204"/>
        </w:trPr>
        <w:tc>
          <w:tcPr>
            <w:tcW w:w="2977" w:type="dxa"/>
            <w:tcBorders>
              <w:top w:val="nil"/>
              <w:left w:val="nil"/>
              <w:right w:val="nil"/>
            </w:tcBorders>
            <w:shd w:val="clear" w:color="auto" w:fill="auto"/>
            <w:vAlign w:val="bottom"/>
            <w:hideMark/>
          </w:tcPr>
          <w:p w14:paraId="53281A7E" w14:textId="09082EFE" w:rsidR="00D53118" w:rsidRPr="00B55E61" w:rsidRDefault="00D53118" w:rsidP="00D53118">
            <w:pPr>
              <w:spacing w:after="0" w:line="240" w:lineRule="auto"/>
              <w:jc w:val="left"/>
              <w:outlineLvl w:val="0"/>
              <w:rPr>
                <w:rFonts w:ascii="Arial" w:hAnsi="Arial" w:cs="Arial"/>
                <w:b/>
                <w:bCs/>
                <w:color w:val="000000"/>
                <w:sz w:val="16"/>
                <w:szCs w:val="16"/>
              </w:rPr>
            </w:pPr>
            <w:r w:rsidRPr="00B55E61">
              <w:rPr>
                <w:rFonts w:ascii="Arial" w:hAnsi="Arial" w:cs="Arial"/>
                <w:b/>
                <w:bCs/>
                <w:color w:val="000000"/>
                <w:sz w:val="16"/>
                <w:szCs w:val="16"/>
              </w:rPr>
              <w:t>Tot</w:t>
            </w:r>
            <w:r>
              <w:rPr>
                <w:rFonts w:ascii="Arial" w:hAnsi="Arial" w:cs="Arial"/>
                <w:b/>
                <w:bCs/>
                <w:color w:val="000000"/>
                <w:sz w:val="16"/>
                <w:szCs w:val="16"/>
              </w:rPr>
              <w:t>al net impact on appropriations</w:t>
            </w:r>
            <w:r w:rsidRPr="00B55E61">
              <w:rPr>
                <w:rFonts w:ascii="Arial" w:hAnsi="Arial" w:cs="Arial"/>
                <w:b/>
                <w:bCs/>
                <w:color w:val="000000"/>
                <w:sz w:val="16"/>
                <w:szCs w:val="16"/>
              </w:rPr>
              <w:t xml:space="preserve"> for Outcome 3</w:t>
            </w:r>
          </w:p>
        </w:tc>
        <w:tc>
          <w:tcPr>
            <w:tcW w:w="992" w:type="dxa"/>
            <w:tcBorders>
              <w:top w:val="nil"/>
              <w:left w:val="nil"/>
              <w:bottom w:val="nil"/>
              <w:right w:val="nil"/>
            </w:tcBorders>
            <w:shd w:val="clear" w:color="auto" w:fill="auto"/>
            <w:noWrap/>
            <w:vAlign w:val="bottom"/>
            <w:hideMark/>
          </w:tcPr>
          <w:p w14:paraId="448D44B1" w14:textId="77777777" w:rsidR="00D53118" w:rsidRPr="000025D5" w:rsidRDefault="00D53118" w:rsidP="00D53118">
            <w:pPr>
              <w:spacing w:after="0" w:line="240" w:lineRule="auto"/>
              <w:jc w:val="right"/>
              <w:outlineLvl w:val="0"/>
              <w:rPr>
                <w:rFonts w:ascii="Arial" w:hAnsi="Arial" w:cs="Arial"/>
                <w:b/>
                <w:bCs/>
                <w:sz w:val="16"/>
                <w:szCs w:val="16"/>
              </w:rPr>
            </w:pPr>
          </w:p>
        </w:tc>
        <w:tc>
          <w:tcPr>
            <w:tcW w:w="903" w:type="dxa"/>
            <w:tcBorders>
              <w:top w:val="nil"/>
              <w:left w:val="nil"/>
              <w:bottom w:val="single" w:sz="4" w:space="0" w:color="auto"/>
              <w:right w:val="nil"/>
            </w:tcBorders>
            <w:shd w:val="clear" w:color="000000" w:fill="E6E6E6"/>
            <w:noWrap/>
            <w:vAlign w:val="bottom"/>
            <w:hideMark/>
          </w:tcPr>
          <w:p w14:paraId="7A9109DF" w14:textId="120DD263" w:rsidR="00D53118" w:rsidRPr="000025D5" w:rsidRDefault="003B3179" w:rsidP="00D71269">
            <w:pPr>
              <w:spacing w:after="0" w:line="240" w:lineRule="auto"/>
              <w:jc w:val="right"/>
              <w:rPr>
                <w:rFonts w:ascii="Arial" w:hAnsi="Arial" w:cs="Arial"/>
                <w:b/>
                <w:bCs/>
                <w:sz w:val="16"/>
                <w:szCs w:val="16"/>
              </w:rPr>
            </w:pPr>
            <w:r>
              <w:rPr>
                <w:rFonts w:ascii="Arial" w:hAnsi="Arial" w:cs="Arial"/>
                <w:b/>
                <w:bCs/>
                <w:sz w:val="16"/>
                <w:szCs w:val="16"/>
              </w:rPr>
              <w:t>(98,</w:t>
            </w:r>
            <w:r w:rsidR="00D71269">
              <w:rPr>
                <w:rFonts w:ascii="Arial" w:hAnsi="Arial" w:cs="Arial"/>
                <w:b/>
                <w:bCs/>
                <w:sz w:val="16"/>
                <w:szCs w:val="16"/>
              </w:rPr>
              <w:t>424</w:t>
            </w:r>
            <w:r>
              <w:rPr>
                <w:rFonts w:ascii="Arial" w:hAnsi="Arial" w:cs="Arial"/>
                <w:b/>
                <w:bCs/>
                <w:sz w:val="16"/>
                <w:szCs w:val="16"/>
              </w:rPr>
              <w:t>)</w:t>
            </w:r>
          </w:p>
        </w:tc>
        <w:tc>
          <w:tcPr>
            <w:tcW w:w="928" w:type="dxa"/>
            <w:tcBorders>
              <w:top w:val="nil"/>
              <w:left w:val="nil"/>
              <w:bottom w:val="single" w:sz="4" w:space="0" w:color="auto"/>
              <w:right w:val="nil"/>
            </w:tcBorders>
            <w:shd w:val="clear" w:color="auto" w:fill="auto"/>
            <w:noWrap/>
            <w:vAlign w:val="bottom"/>
            <w:hideMark/>
          </w:tcPr>
          <w:p w14:paraId="2934AC78" w14:textId="7864F15F" w:rsidR="00D53118" w:rsidRPr="000025D5" w:rsidRDefault="00D53118" w:rsidP="00D53118">
            <w:pPr>
              <w:spacing w:after="0" w:line="240" w:lineRule="auto"/>
              <w:jc w:val="right"/>
              <w:outlineLvl w:val="0"/>
              <w:rPr>
                <w:rFonts w:ascii="Arial" w:hAnsi="Arial" w:cs="Arial"/>
                <w:b/>
                <w:bCs/>
                <w:sz w:val="16"/>
                <w:szCs w:val="16"/>
              </w:rPr>
            </w:pPr>
            <w:r>
              <w:rPr>
                <w:rFonts w:ascii="Arial" w:hAnsi="Arial" w:cs="Arial"/>
                <w:b/>
                <w:bCs/>
                <w:sz w:val="16"/>
                <w:szCs w:val="16"/>
              </w:rPr>
              <w:t>189,260</w:t>
            </w:r>
          </w:p>
        </w:tc>
        <w:tc>
          <w:tcPr>
            <w:tcW w:w="928" w:type="dxa"/>
            <w:tcBorders>
              <w:top w:val="nil"/>
              <w:left w:val="nil"/>
              <w:bottom w:val="single" w:sz="4" w:space="0" w:color="auto"/>
              <w:right w:val="nil"/>
            </w:tcBorders>
            <w:shd w:val="clear" w:color="auto" w:fill="auto"/>
            <w:noWrap/>
            <w:vAlign w:val="bottom"/>
            <w:hideMark/>
          </w:tcPr>
          <w:p w14:paraId="64C94631" w14:textId="538CCF1C" w:rsidR="00D53118" w:rsidRPr="000025D5" w:rsidRDefault="00D53118" w:rsidP="00D53118">
            <w:pPr>
              <w:spacing w:after="0" w:line="240" w:lineRule="auto"/>
              <w:jc w:val="right"/>
              <w:outlineLvl w:val="0"/>
              <w:rPr>
                <w:rFonts w:ascii="Arial" w:hAnsi="Arial" w:cs="Arial"/>
                <w:b/>
                <w:bCs/>
                <w:sz w:val="16"/>
                <w:szCs w:val="16"/>
              </w:rPr>
            </w:pPr>
            <w:r>
              <w:rPr>
                <w:rFonts w:ascii="Arial" w:hAnsi="Arial" w:cs="Arial"/>
                <w:b/>
                <w:bCs/>
                <w:sz w:val="16"/>
                <w:szCs w:val="16"/>
              </w:rPr>
              <w:t>186,210</w:t>
            </w:r>
          </w:p>
        </w:tc>
        <w:tc>
          <w:tcPr>
            <w:tcW w:w="903" w:type="dxa"/>
            <w:tcBorders>
              <w:top w:val="nil"/>
              <w:left w:val="nil"/>
              <w:bottom w:val="single" w:sz="4" w:space="0" w:color="auto"/>
              <w:right w:val="nil"/>
            </w:tcBorders>
            <w:shd w:val="clear" w:color="auto" w:fill="auto"/>
            <w:noWrap/>
            <w:vAlign w:val="bottom"/>
            <w:hideMark/>
          </w:tcPr>
          <w:p w14:paraId="1896B466" w14:textId="5BF239EA" w:rsidR="00D53118" w:rsidRPr="000025D5" w:rsidRDefault="00D53118" w:rsidP="00D53118">
            <w:pPr>
              <w:spacing w:after="0" w:line="240" w:lineRule="auto"/>
              <w:jc w:val="right"/>
              <w:outlineLvl w:val="0"/>
              <w:rPr>
                <w:rFonts w:ascii="Arial" w:hAnsi="Arial" w:cs="Arial"/>
                <w:b/>
                <w:bCs/>
                <w:sz w:val="16"/>
                <w:szCs w:val="16"/>
              </w:rPr>
            </w:pPr>
            <w:r>
              <w:rPr>
                <w:rFonts w:ascii="Arial" w:hAnsi="Arial" w:cs="Arial"/>
                <w:b/>
                <w:bCs/>
                <w:sz w:val="16"/>
                <w:szCs w:val="16"/>
              </w:rPr>
              <w:t>74,506</w:t>
            </w:r>
          </w:p>
        </w:tc>
      </w:tr>
      <w:tr w:rsidR="005F6D89" w:rsidRPr="00B55E61" w14:paraId="55F7786A" w14:textId="77777777" w:rsidTr="00D53118">
        <w:trPr>
          <w:trHeight w:val="204"/>
        </w:trPr>
        <w:tc>
          <w:tcPr>
            <w:tcW w:w="2977" w:type="dxa"/>
            <w:tcBorders>
              <w:top w:val="nil"/>
              <w:left w:val="nil"/>
              <w:bottom w:val="nil"/>
              <w:right w:val="nil"/>
            </w:tcBorders>
            <w:shd w:val="clear" w:color="auto" w:fill="auto"/>
            <w:noWrap/>
            <w:vAlign w:val="bottom"/>
            <w:hideMark/>
          </w:tcPr>
          <w:p w14:paraId="4EBA2A59" w14:textId="77777777" w:rsidR="005F6D89" w:rsidRPr="00B55E61" w:rsidRDefault="005F6D89" w:rsidP="008C60EB">
            <w:pPr>
              <w:spacing w:before="120" w:after="0" w:line="240" w:lineRule="auto"/>
              <w:jc w:val="left"/>
              <w:outlineLvl w:val="0"/>
              <w:rPr>
                <w:rFonts w:ascii="Arial" w:hAnsi="Arial" w:cs="Arial"/>
                <w:b/>
                <w:bCs/>
                <w:sz w:val="16"/>
                <w:szCs w:val="16"/>
              </w:rPr>
            </w:pPr>
            <w:r w:rsidRPr="00B55E61">
              <w:rPr>
                <w:rFonts w:ascii="Arial" w:hAnsi="Arial" w:cs="Arial"/>
                <w:b/>
                <w:bCs/>
                <w:sz w:val="16"/>
                <w:szCs w:val="16"/>
              </w:rPr>
              <w:t>Outcome 4</w:t>
            </w:r>
          </w:p>
        </w:tc>
        <w:tc>
          <w:tcPr>
            <w:tcW w:w="992" w:type="dxa"/>
            <w:tcBorders>
              <w:top w:val="nil"/>
              <w:left w:val="nil"/>
              <w:bottom w:val="nil"/>
              <w:right w:val="nil"/>
            </w:tcBorders>
            <w:shd w:val="clear" w:color="auto" w:fill="auto"/>
            <w:noWrap/>
            <w:vAlign w:val="bottom"/>
            <w:hideMark/>
          </w:tcPr>
          <w:p w14:paraId="56F77FF5" w14:textId="77777777" w:rsidR="005F6D89" w:rsidRPr="000025D5" w:rsidRDefault="005F6D89" w:rsidP="003E041F">
            <w:pPr>
              <w:spacing w:after="0" w:line="240" w:lineRule="auto"/>
              <w:jc w:val="right"/>
              <w:outlineLvl w:val="0"/>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6FF4BBDC" w14:textId="1347C031"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1AD7C94E" w14:textId="77777777"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63527BD7" w14:textId="77777777" w:rsidR="005F6D89" w:rsidRPr="000025D5" w:rsidRDefault="005F6D89" w:rsidP="003E041F">
            <w:pPr>
              <w:spacing w:after="0" w:line="240" w:lineRule="auto"/>
              <w:jc w:val="right"/>
              <w:outlineLvl w:val="0"/>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6E65E462" w14:textId="77777777" w:rsidR="005F6D89" w:rsidRPr="000025D5" w:rsidRDefault="005F6D89" w:rsidP="003E041F">
            <w:pPr>
              <w:spacing w:after="0" w:line="240" w:lineRule="auto"/>
              <w:jc w:val="right"/>
              <w:outlineLvl w:val="0"/>
              <w:rPr>
                <w:rFonts w:ascii="Times New Roman" w:hAnsi="Times New Roman"/>
                <w:sz w:val="16"/>
                <w:szCs w:val="16"/>
              </w:rPr>
            </w:pPr>
          </w:p>
        </w:tc>
      </w:tr>
      <w:tr w:rsidR="005F6D89" w:rsidRPr="00B55E61" w14:paraId="1AFCF35A" w14:textId="77777777" w:rsidTr="00D53118">
        <w:trPr>
          <w:trHeight w:val="204"/>
        </w:trPr>
        <w:tc>
          <w:tcPr>
            <w:tcW w:w="2977" w:type="dxa"/>
            <w:tcBorders>
              <w:top w:val="nil"/>
              <w:left w:val="nil"/>
              <w:bottom w:val="nil"/>
              <w:right w:val="nil"/>
            </w:tcBorders>
            <w:shd w:val="clear" w:color="auto" w:fill="auto"/>
            <w:noWrap/>
            <w:vAlign w:val="bottom"/>
            <w:hideMark/>
          </w:tcPr>
          <w:p w14:paraId="11D35B3E" w14:textId="77777777" w:rsidR="005F6D89" w:rsidRPr="00B55E61" w:rsidRDefault="005F6D89" w:rsidP="005F6D89">
            <w:pPr>
              <w:spacing w:after="0" w:line="240" w:lineRule="auto"/>
              <w:jc w:val="left"/>
              <w:outlineLvl w:val="0"/>
              <w:rPr>
                <w:rFonts w:ascii="Arial" w:hAnsi="Arial" w:cs="Arial"/>
                <w:b/>
                <w:bCs/>
                <w:sz w:val="16"/>
                <w:szCs w:val="16"/>
              </w:rPr>
            </w:pPr>
            <w:r w:rsidRPr="00B55E61">
              <w:rPr>
                <w:rFonts w:ascii="Arial" w:hAnsi="Arial" w:cs="Arial"/>
                <w:b/>
                <w:bCs/>
                <w:sz w:val="16"/>
                <w:szCs w:val="16"/>
              </w:rPr>
              <w:t>Administered</w:t>
            </w:r>
          </w:p>
        </w:tc>
        <w:tc>
          <w:tcPr>
            <w:tcW w:w="992" w:type="dxa"/>
            <w:tcBorders>
              <w:top w:val="nil"/>
              <w:left w:val="nil"/>
              <w:bottom w:val="nil"/>
              <w:right w:val="nil"/>
            </w:tcBorders>
            <w:shd w:val="clear" w:color="auto" w:fill="auto"/>
            <w:noWrap/>
            <w:vAlign w:val="bottom"/>
            <w:hideMark/>
          </w:tcPr>
          <w:p w14:paraId="7460201A" w14:textId="77777777" w:rsidR="005F6D89" w:rsidRPr="000025D5" w:rsidRDefault="005F6D89" w:rsidP="003E041F">
            <w:pPr>
              <w:spacing w:after="0" w:line="240" w:lineRule="auto"/>
              <w:jc w:val="right"/>
              <w:outlineLvl w:val="0"/>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26BC89B2" w14:textId="42A4DB50"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29FB3C12" w14:textId="77777777"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263C402E" w14:textId="77777777" w:rsidR="005F6D89" w:rsidRPr="000025D5" w:rsidRDefault="005F6D89" w:rsidP="003E041F">
            <w:pPr>
              <w:spacing w:after="0" w:line="240" w:lineRule="auto"/>
              <w:jc w:val="right"/>
              <w:outlineLvl w:val="0"/>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7076DCAE" w14:textId="77777777" w:rsidR="005F6D89" w:rsidRPr="000025D5" w:rsidRDefault="005F6D89" w:rsidP="003E041F">
            <w:pPr>
              <w:spacing w:after="0" w:line="240" w:lineRule="auto"/>
              <w:jc w:val="right"/>
              <w:outlineLvl w:val="0"/>
              <w:rPr>
                <w:rFonts w:ascii="Times New Roman" w:hAnsi="Times New Roman"/>
                <w:sz w:val="16"/>
                <w:szCs w:val="16"/>
              </w:rPr>
            </w:pPr>
          </w:p>
        </w:tc>
      </w:tr>
      <w:tr w:rsidR="005F6D89" w:rsidRPr="00B55E61" w14:paraId="21124588" w14:textId="77777777" w:rsidTr="00D53118">
        <w:trPr>
          <w:trHeight w:val="204"/>
        </w:trPr>
        <w:tc>
          <w:tcPr>
            <w:tcW w:w="2977" w:type="dxa"/>
            <w:tcBorders>
              <w:top w:val="nil"/>
              <w:left w:val="nil"/>
              <w:bottom w:val="nil"/>
              <w:right w:val="nil"/>
            </w:tcBorders>
            <w:shd w:val="clear" w:color="auto" w:fill="auto"/>
            <w:noWrap/>
            <w:vAlign w:val="bottom"/>
            <w:hideMark/>
          </w:tcPr>
          <w:p w14:paraId="75108C26" w14:textId="29308EDC" w:rsidR="005F6D89" w:rsidRPr="00B55E61" w:rsidRDefault="005F6D89" w:rsidP="005F6D89">
            <w:pPr>
              <w:spacing w:after="0" w:line="240" w:lineRule="auto"/>
              <w:ind w:left="113"/>
              <w:jc w:val="left"/>
              <w:rPr>
                <w:rFonts w:ascii="Arial" w:hAnsi="Arial" w:cs="Arial"/>
                <w:b/>
                <w:bCs/>
                <w:sz w:val="16"/>
                <w:szCs w:val="16"/>
              </w:rPr>
            </w:pPr>
            <w:r w:rsidRPr="00B55E61">
              <w:rPr>
                <w:rFonts w:ascii="Arial" w:hAnsi="Arial" w:cs="Arial"/>
                <w:b/>
                <w:bCs/>
                <w:sz w:val="16"/>
                <w:szCs w:val="16"/>
              </w:rPr>
              <w:t>Measures</w:t>
            </w:r>
          </w:p>
        </w:tc>
        <w:tc>
          <w:tcPr>
            <w:tcW w:w="992" w:type="dxa"/>
            <w:tcBorders>
              <w:top w:val="nil"/>
              <w:left w:val="nil"/>
              <w:bottom w:val="nil"/>
              <w:right w:val="nil"/>
            </w:tcBorders>
            <w:shd w:val="clear" w:color="auto" w:fill="auto"/>
            <w:noWrap/>
            <w:vAlign w:val="bottom"/>
            <w:hideMark/>
          </w:tcPr>
          <w:p w14:paraId="16DD8073" w14:textId="77777777" w:rsidR="005F6D89" w:rsidRPr="000025D5" w:rsidRDefault="005F6D89" w:rsidP="003E041F">
            <w:pPr>
              <w:spacing w:after="0" w:line="240" w:lineRule="auto"/>
              <w:ind w:firstLineChars="100" w:firstLine="160"/>
              <w:jc w:val="right"/>
              <w:outlineLvl w:val="0"/>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4A956BF5" w14:textId="497E58CA"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615B67F9" w14:textId="77777777"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0AB0B0B9" w14:textId="77777777" w:rsidR="005F6D89" w:rsidRPr="000025D5" w:rsidRDefault="005F6D89" w:rsidP="003E041F">
            <w:pPr>
              <w:spacing w:after="0" w:line="240" w:lineRule="auto"/>
              <w:jc w:val="right"/>
              <w:outlineLvl w:val="0"/>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377866F3" w14:textId="77777777" w:rsidR="005F6D89" w:rsidRPr="000025D5" w:rsidRDefault="005F6D89" w:rsidP="003E041F">
            <w:pPr>
              <w:spacing w:after="0" w:line="240" w:lineRule="auto"/>
              <w:jc w:val="right"/>
              <w:outlineLvl w:val="0"/>
              <w:rPr>
                <w:rFonts w:ascii="Times New Roman" w:hAnsi="Times New Roman"/>
                <w:sz w:val="16"/>
                <w:szCs w:val="16"/>
              </w:rPr>
            </w:pPr>
          </w:p>
        </w:tc>
      </w:tr>
      <w:tr w:rsidR="005F6D89" w:rsidRPr="00B55E61" w14:paraId="527EB0C9" w14:textId="77777777" w:rsidTr="00D53118">
        <w:trPr>
          <w:trHeight w:val="204"/>
        </w:trPr>
        <w:tc>
          <w:tcPr>
            <w:tcW w:w="2977" w:type="dxa"/>
            <w:tcBorders>
              <w:top w:val="nil"/>
              <w:left w:val="nil"/>
              <w:bottom w:val="nil"/>
              <w:right w:val="nil"/>
            </w:tcBorders>
            <w:shd w:val="clear" w:color="auto" w:fill="auto"/>
            <w:vAlign w:val="bottom"/>
            <w:hideMark/>
          </w:tcPr>
          <w:p w14:paraId="5502304C"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Services to Territories - additional funding</w:t>
            </w:r>
          </w:p>
        </w:tc>
        <w:tc>
          <w:tcPr>
            <w:tcW w:w="992" w:type="dxa"/>
            <w:tcBorders>
              <w:top w:val="nil"/>
              <w:left w:val="nil"/>
              <w:bottom w:val="nil"/>
              <w:right w:val="nil"/>
            </w:tcBorders>
            <w:shd w:val="clear" w:color="auto" w:fill="auto"/>
            <w:noWrap/>
            <w:vAlign w:val="bottom"/>
            <w:hideMark/>
          </w:tcPr>
          <w:p w14:paraId="5003AECC" w14:textId="77777777"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4.1</w:t>
            </w:r>
          </w:p>
        </w:tc>
        <w:tc>
          <w:tcPr>
            <w:tcW w:w="903" w:type="dxa"/>
            <w:tcBorders>
              <w:top w:val="nil"/>
              <w:left w:val="nil"/>
              <w:bottom w:val="nil"/>
              <w:right w:val="nil"/>
            </w:tcBorders>
            <w:shd w:val="clear" w:color="000000" w:fill="E6E6E6"/>
            <w:noWrap/>
            <w:vAlign w:val="bottom"/>
            <w:hideMark/>
          </w:tcPr>
          <w:p w14:paraId="3855A41F" w14:textId="0F21173A"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4,379</w:t>
            </w:r>
          </w:p>
        </w:tc>
        <w:tc>
          <w:tcPr>
            <w:tcW w:w="928" w:type="dxa"/>
            <w:tcBorders>
              <w:top w:val="nil"/>
              <w:left w:val="nil"/>
              <w:bottom w:val="nil"/>
              <w:right w:val="nil"/>
            </w:tcBorders>
            <w:shd w:val="clear" w:color="auto" w:fill="auto"/>
            <w:noWrap/>
            <w:vAlign w:val="bottom"/>
            <w:hideMark/>
          </w:tcPr>
          <w:p w14:paraId="48861533" w14:textId="0384B762"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27,471</w:t>
            </w:r>
          </w:p>
        </w:tc>
        <w:tc>
          <w:tcPr>
            <w:tcW w:w="928" w:type="dxa"/>
            <w:tcBorders>
              <w:top w:val="nil"/>
              <w:left w:val="nil"/>
              <w:bottom w:val="nil"/>
              <w:right w:val="nil"/>
            </w:tcBorders>
            <w:shd w:val="clear" w:color="auto" w:fill="auto"/>
            <w:noWrap/>
            <w:vAlign w:val="bottom"/>
            <w:hideMark/>
          </w:tcPr>
          <w:p w14:paraId="5AE81A7F" w14:textId="157BDDA1"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8,760</w:t>
            </w:r>
          </w:p>
        </w:tc>
        <w:tc>
          <w:tcPr>
            <w:tcW w:w="903" w:type="dxa"/>
            <w:tcBorders>
              <w:top w:val="nil"/>
              <w:left w:val="nil"/>
              <w:bottom w:val="nil"/>
              <w:right w:val="nil"/>
            </w:tcBorders>
            <w:shd w:val="clear" w:color="auto" w:fill="auto"/>
            <w:noWrap/>
            <w:vAlign w:val="bottom"/>
            <w:hideMark/>
          </w:tcPr>
          <w:p w14:paraId="154D533B" w14:textId="4BF237B7"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3,946</w:t>
            </w:r>
          </w:p>
        </w:tc>
      </w:tr>
      <w:tr w:rsidR="005F6D89" w:rsidRPr="00B55E61" w14:paraId="1A1CDAE1" w14:textId="77777777" w:rsidTr="00D53118">
        <w:trPr>
          <w:trHeight w:val="204"/>
        </w:trPr>
        <w:tc>
          <w:tcPr>
            <w:tcW w:w="2977" w:type="dxa"/>
            <w:tcBorders>
              <w:top w:val="nil"/>
              <w:left w:val="nil"/>
              <w:bottom w:val="nil"/>
              <w:right w:val="nil"/>
            </w:tcBorders>
            <w:shd w:val="clear" w:color="auto" w:fill="auto"/>
            <w:noWrap/>
            <w:vAlign w:val="bottom"/>
            <w:hideMark/>
          </w:tcPr>
          <w:p w14:paraId="6150EB41" w14:textId="77777777" w:rsidR="005F6D89" w:rsidRPr="00B55E61" w:rsidRDefault="005F6D89" w:rsidP="005F6D89">
            <w:pPr>
              <w:spacing w:after="0" w:line="240" w:lineRule="auto"/>
              <w:ind w:left="113"/>
              <w:jc w:val="left"/>
              <w:rPr>
                <w:rFonts w:ascii="Arial" w:hAnsi="Arial" w:cs="Arial"/>
                <w:b/>
                <w:bCs/>
                <w:color w:val="000000"/>
                <w:sz w:val="16"/>
                <w:szCs w:val="16"/>
              </w:rPr>
            </w:pPr>
            <w:r w:rsidRPr="005F6D89">
              <w:rPr>
                <w:rFonts w:ascii="Arial" w:hAnsi="Arial" w:cs="Arial"/>
                <w:b/>
                <w:bCs/>
                <w:sz w:val="16"/>
                <w:szCs w:val="16"/>
              </w:rPr>
              <w:t>Other</w:t>
            </w:r>
            <w:r w:rsidRPr="00B55E61">
              <w:rPr>
                <w:rFonts w:ascii="Arial" w:hAnsi="Arial" w:cs="Arial"/>
                <w:b/>
                <w:bCs/>
                <w:color w:val="000000"/>
                <w:sz w:val="16"/>
                <w:szCs w:val="16"/>
              </w:rPr>
              <w:t xml:space="preserve"> Variations</w:t>
            </w:r>
          </w:p>
        </w:tc>
        <w:tc>
          <w:tcPr>
            <w:tcW w:w="992" w:type="dxa"/>
            <w:tcBorders>
              <w:top w:val="nil"/>
              <w:left w:val="nil"/>
              <w:bottom w:val="nil"/>
              <w:right w:val="nil"/>
            </w:tcBorders>
            <w:shd w:val="clear" w:color="auto" w:fill="auto"/>
            <w:noWrap/>
            <w:vAlign w:val="bottom"/>
            <w:hideMark/>
          </w:tcPr>
          <w:p w14:paraId="785E0D74" w14:textId="77777777" w:rsidR="005F6D89" w:rsidRPr="000025D5" w:rsidRDefault="005F6D89" w:rsidP="003E041F">
            <w:pPr>
              <w:spacing w:after="0" w:line="240" w:lineRule="auto"/>
              <w:ind w:firstLineChars="100" w:firstLine="160"/>
              <w:jc w:val="right"/>
              <w:outlineLvl w:val="0"/>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4B370A1C" w14:textId="2650333C"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198BAE77" w14:textId="77777777" w:rsidR="005F6D89" w:rsidRPr="000025D5" w:rsidRDefault="005F6D89" w:rsidP="003E041F">
            <w:pPr>
              <w:spacing w:after="0" w:line="240" w:lineRule="auto"/>
              <w:jc w:val="right"/>
              <w:outlineLvl w:val="0"/>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1EB0B9FD" w14:textId="77777777" w:rsidR="005F6D89" w:rsidRPr="000025D5" w:rsidRDefault="005F6D89" w:rsidP="003E041F">
            <w:pPr>
              <w:spacing w:after="0" w:line="240" w:lineRule="auto"/>
              <w:jc w:val="right"/>
              <w:outlineLvl w:val="0"/>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7CDBDF92" w14:textId="77777777" w:rsidR="005F6D89" w:rsidRPr="000025D5" w:rsidRDefault="005F6D89" w:rsidP="003E041F">
            <w:pPr>
              <w:spacing w:after="0" w:line="240" w:lineRule="auto"/>
              <w:jc w:val="right"/>
              <w:outlineLvl w:val="0"/>
              <w:rPr>
                <w:rFonts w:ascii="Times New Roman" w:hAnsi="Times New Roman"/>
                <w:sz w:val="16"/>
                <w:szCs w:val="16"/>
              </w:rPr>
            </w:pPr>
          </w:p>
        </w:tc>
      </w:tr>
      <w:tr w:rsidR="005F6D89" w:rsidRPr="00B55E61" w14:paraId="4540196A" w14:textId="77777777" w:rsidTr="00D53118">
        <w:trPr>
          <w:trHeight w:val="204"/>
        </w:trPr>
        <w:tc>
          <w:tcPr>
            <w:tcW w:w="2977" w:type="dxa"/>
            <w:tcBorders>
              <w:top w:val="nil"/>
              <w:left w:val="nil"/>
              <w:bottom w:val="nil"/>
              <w:right w:val="nil"/>
            </w:tcBorders>
            <w:shd w:val="clear" w:color="auto" w:fill="auto"/>
            <w:vAlign w:val="bottom"/>
            <w:hideMark/>
          </w:tcPr>
          <w:p w14:paraId="6005A082"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Movement of funds</w:t>
            </w:r>
          </w:p>
        </w:tc>
        <w:tc>
          <w:tcPr>
            <w:tcW w:w="992" w:type="dxa"/>
            <w:tcBorders>
              <w:top w:val="nil"/>
              <w:left w:val="nil"/>
              <w:bottom w:val="nil"/>
              <w:right w:val="nil"/>
            </w:tcBorders>
            <w:shd w:val="clear" w:color="auto" w:fill="auto"/>
            <w:noWrap/>
            <w:vAlign w:val="bottom"/>
            <w:hideMark/>
          </w:tcPr>
          <w:p w14:paraId="52EB92F6" w14:textId="77777777"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4.1</w:t>
            </w:r>
          </w:p>
        </w:tc>
        <w:tc>
          <w:tcPr>
            <w:tcW w:w="903" w:type="dxa"/>
            <w:tcBorders>
              <w:top w:val="nil"/>
              <w:left w:val="nil"/>
              <w:bottom w:val="nil"/>
              <w:right w:val="nil"/>
            </w:tcBorders>
            <w:shd w:val="clear" w:color="000000" w:fill="E6E6E6"/>
            <w:noWrap/>
            <w:vAlign w:val="bottom"/>
            <w:hideMark/>
          </w:tcPr>
          <w:p w14:paraId="3271CB3F" w14:textId="6DCA50C6"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15,581</w:t>
            </w:r>
          </w:p>
        </w:tc>
        <w:tc>
          <w:tcPr>
            <w:tcW w:w="928" w:type="dxa"/>
            <w:tcBorders>
              <w:top w:val="nil"/>
              <w:left w:val="nil"/>
              <w:bottom w:val="nil"/>
              <w:right w:val="nil"/>
            </w:tcBorders>
            <w:shd w:val="clear" w:color="auto" w:fill="auto"/>
            <w:noWrap/>
            <w:vAlign w:val="bottom"/>
            <w:hideMark/>
          </w:tcPr>
          <w:p w14:paraId="528F0E98" w14:textId="05899CD1"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552FCDD6" w14:textId="0B51AC29"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c>
          <w:tcPr>
            <w:tcW w:w="903" w:type="dxa"/>
            <w:tcBorders>
              <w:top w:val="nil"/>
              <w:left w:val="nil"/>
              <w:bottom w:val="nil"/>
              <w:right w:val="nil"/>
            </w:tcBorders>
            <w:shd w:val="clear" w:color="auto" w:fill="auto"/>
            <w:noWrap/>
            <w:vAlign w:val="bottom"/>
            <w:hideMark/>
          </w:tcPr>
          <w:p w14:paraId="25F864CF" w14:textId="57465724"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r>
      <w:tr w:rsidR="005F6D89" w:rsidRPr="00B55E61" w14:paraId="1E4CB94A" w14:textId="77777777" w:rsidTr="00D53118">
        <w:trPr>
          <w:trHeight w:val="204"/>
        </w:trPr>
        <w:tc>
          <w:tcPr>
            <w:tcW w:w="2977" w:type="dxa"/>
            <w:tcBorders>
              <w:top w:val="nil"/>
              <w:left w:val="nil"/>
              <w:bottom w:val="nil"/>
              <w:right w:val="nil"/>
            </w:tcBorders>
            <w:shd w:val="clear" w:color="auto" w:fill="auto"/>
            <w:vAlign w:val="bottom"/>
            <w:hideMark/>
          </w:tcPr>
          <w:p w14:paraId="471BC489"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Changes in parameters</w:t>
            </w:r>
          </w:p>
        </w:tc>
        <w:tc>
          <w:tcPr>
            <w:tcW w:w="992" w:type="dxa"/>
            <w:tcBorders>
              <w:top w:val="nil"/>
              <w:left w:val="nil"/>
              <w:bottom w:val="nil"/>
              <w:right w:val="nil"/>
            </w:tcBorders>
            <w:shd w:val="clear" w:color="auto" w:fill="auto"/>
            <w:noWrap/>
            <w:vAlign w:val="bottom"/>
            <w:hideMark/>
          </w:tcPr>
          <w:p w14:paraId="0F4F8B1F" w14:textId="77777777"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4.1</w:t>
            </w:r>
          </w:p>
        </w:tc>
        <w:tc>
          <w:tcPr>
            <w:tcW w:w="903" w:type="dxa"/>
            <w:tcBorders>
              <w:top w:val="nil"/>
              <w:left w:val="nil"/>
              <w:right w:val="nil"/>
            </w:tcBorders>
            <w:shd w:val="clear" w:color="000000" w:fill="E6E6E6"/>
            <w:noWrap/>
            <w:vAlign w:val="bottom"/>
            <w:hideMark/>
          </w:tcPr>
          <w:p w14:paraId="7998E572" w14:textId="4089ED66" w:rsidR="005F6D89" w:rsidRPr="000025D5" w:rsidRDefault="005F6D89" w:rsidP="003E041F">
            <w:pPr>
              <w:spacing w:after="0" w:line="240" w:lineRule="auto"/>
              <w:jc w:val="right"/>
              <w:outlineLvl w:val="0"/>
              <w:rPr>
                <w:rFonts w:ascii="Arial" w:hAnsi="Arial" w:cs="Arial"/>
                <w:bCs/>
                <w:sz w:val="16"/>
                <w:szCs w:val="16"/>
              </w:rPr>
            </w:pPr>
            <w:r w:rsidRPr="000025D5">
              <w:rPr>
                <w:rFonts w:ascii="Arial" w:hAnsi="Arial" w:cs="Arial"/>
                <w:bCs/>
                <w:sz w:val="16"/>
                <w:szCs w:val="16"/>
              </w:rPr>
              <w:t>-</w:t>
            </w:r>
          </w:p>
        </w:tc>
        <w:tc>
          <w:tcPr>
            <w:tcW w:w="928" w:type="dxa"/>
            <w:tcBorders>
              <w:top w:val="nil"/>
              <w:left w:val="nil"/>
              <w:right w:val="nil"/>
            </w:tcBorders>
            <w:shd w:val="clear" w:color="auto" w:fill="auto"/>
            <w:noWrap/>
            <w:vAlign w:val="bottom"/>
            <w:hideMark/>
          </w:tcPr>
          <w:p w14:paraId="79A747AA" w14:textId="06653C6C"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c>
          <w:tcPr>
            <w:tcW w:w="928" w:type="dxa"/>
            <w:tcBorders>
              <w:top w:val="nil"/>
              <w:left w:val="nil"/>
              <w:right w:val="nil"/>
            </w:tcBorders>
            <w:shd w:val="clear" w:color="auto" w:fill="auto"/>
            <w:noWrap/>
            <w:vAlign w:val="bottom"/>
            <w:hideMark/>
          </w:tcPr>
          <w:p w14:paraId="21752B56" w14:textId="74CBB0F4"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145</w:t>
            </w:r>
          </w:p>
        </w:tc>
        <w:tc>
          <w:tcPr>
            <w:tcW w:w="903" w:type="dxa"/>
            <w:tcBorders>
              <w:top w:val="nil"/>
              <w:left w:val="nil"/>
              <w:right w:val="nil"/>
            </w:tcBorders>
            <w:shd w:val="clear" w:color="auto" w:fill="auto"/>
            <w:noWrap/>
            <w:vAlign w:val="bottom"/>
            <w:hideMark/>
          </w:tcPr>
          <w:p w14:paraId="270C4F58" w14:textId="455089E9"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598</w:t>
            </w:r>
          </w:p>
        </w:tc>
      </w:tr>
      <w:tr w:rsidR="005F6D89" w:rsidRPr="00B55E61" w14:paraId="4A591B2C" w14:textId="77777777" w:rsidTr="00D53118">
        <w:trPr>
          <w:trHeight w:val="204"/>
        </w:trPr>
        <w:tc>
          <w:tcPr>
            <w:tcW w:w="2977" w:type="dxa"/>
            <w:tcBorders>
              <w:top w:val="nil"/>
              <w:left w:val="nil"/>
              <w:bottom w:val="nil"/>
              <w:right w:val="nil"/>
            </w:tcBorders>
            <w:shd w:val="clear" w:color="auto" w:fill="auto"/>
            <w:vAlign w:val="bottom"/>
            <w:hideMark/>
          </w:tcPr>
          <w:p w14:paraId="006D08F4" w14:textId="77777777" w:rsidR="005F6D89" w:rsidRPr="00B55E61" w:rsidRDefault="005F6D89" w:rsidP="005F6D89">
            <w:pPr>
              <w:spacing w:after="0" w:line="240" w:lineRule="auto"/>
              <w:ind w:left="227"/>
              <w:jc w:val="left"/>
              <w:rPr>
                <w:rFonts w:ascii="Arial" w:hAnsi="Arial" w:cs="Arial"/>
                <w:sz w:val="16"/>
                <w:szCs w:val="16"/>
              </w:rPr>
            </w:pPr>
            <w:r w:rsidRPr="00B55E61">
              <w:rPr>
                <w:rFonts w:ascii="Arial" w:hAnsi="Arial" w:cs="Arial"/>
                <w:sz w:val="16"/>
                <w:szCs w:val="16"/>
              </w:rPr>
              <w:t>Estimates Variations</w:t>
            </w:r>
          </w:p>
        </w:tc>
        <w:tc>
          <w:tcPr>
            <w:tcW w:w="992" w:type="dxa"/>
            <w:tcBorders>
              <w:top w:val="nil"/>
              <w:left w:val="nil"/>
              <w:bottom w:val="nil"/>
              <w:right w:val="nil"/>
            </w:tcBorders>
            <w:shd w:val="clear" w:color="auto" w:fill="auto"/>
            <w:noWrap/>
            <w:vAlign w:val="bottom"/>
            <w:hideMark/>
          </w:tcPr>
          <w:p w14:paraId="71FD2D8A" w14:textId="77777777" w:rsidR="005F6D89" w:rsidRPr="000025D5" w:rsidRDefault="005F6D89" w:rsidP="003E041F">
            <w:pPr>
              <w:spacing w:after="0" w:line="240" w:lineRule="auto"/>
              <w:jc w:val="center"/>
              <w:outlineLvl w:val="0"/>
              <w:rPr>
                <w:rFonts w:ascii="Arial" w:hAnsi="Arial" w:cs="Arial"/>
                <w:sz w:val="16"/>
                <w:szCs w:val="16"/>
              </w:rPr>
            </w:pPr>
            <w:r w:rsidRPr="000025D5">
              <w:rPr>
                <w:rFonts w:ascii="Arial" w:hAnsi="Arial" w:cs="Arial"/>
                <w:sz w:val="16"/>
                <w:szCs w:val="16"/>
              </w:rPr>
              <w:t>4.1</w:t>
            </w:r>
          </w:p>
        </w:tc>
        <w:tc>
          <w:tcPr>
            <w:tcW w:w="903" w:type="dxa"/>
            <w:tcBorders>
              <w:top w:val="nil"/>
              <w:left w:val="nil"/>
              <w:bottom w:val="single" w:sz="4" w:space="0" w:color="auto"/>
              <w:right w:val="nil"/>
            </w:tcBorders>
            <w:shd w:val="clear" w:color="000000" w:fill="E6E6E6"/>
            <w:noWrap/>
            <w:vAlign w:val="bottom"/>
            <w:hideMark/>
          </w:tcPr>
          <w:p w14:paraId="18C8EA1E" w14:textId="3DC7807E"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34,388</w:t>
            </w:r>
          </w:p>
        </w:tc>
        <w:tc>
          <w:tcPr>
            <w:tcW w:w="928" w:type="dxa"/>
            <w:tcBorders>
              <w:top w:val="nil"/>
              <w:left w:val="nil"/>
              <w:bottom w:val="single" w:sz="4" w:space="0" w:color="auto"/>
              <w:right w:val="nil"/>
            </w:tcBorders>
            <w:shd w:val="clear" w:color="auto" w:fill="auto"/>
            <w:noWrap/>
            <w:vAlign w:val="bottom"/>
            <w:hideMark/>
          </w:tcPr>
          <w:p w14:paraId="6ECA3DF6" w14:textId="29993B3D"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c>
          <w:tcPr>
            <w:tcW w:w="928" w:type="dxa"/>
            <w:tcBorders>
              <w:top w:val="nil"/>
              <w:left w:val="nil"/>
              <w:bottom w:val="single" w:sz="4" w:space="0" w:color="auto"/>
              <w:right w:val="nil"/>
            </w:tcBorders>
            <w:shd w:val="clear" w:color="auto" w:fill="auto"/>
            <w:noWrap/>
            <w:vAlign w:val="bottom"/>
            <w:hideMark/>
          </w:tcPr>
          <w:p w14:paraId="5FB807FE" w14:textId="7682685A"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c>
          <w:tcPr>
            <w:tcW w:w="903" w:type="dxa"/>
            <w:tcBorders>
              <w:top w:val="nil"/>
              <w:left w:val="nil"/>
              <w:bottom w:val="single" w:sz="4" w:space="0" w:color="auto"/>
              <w:right w:val="nil"/>
            </w:tcBorders>
            <w:shd w:val="clear" w:color="auto" w:fill="auto"/>
            <w:noWrap/>
            <w:vAlign w:val="bottom"/>
            <w:hideMark/>
          </w:tcPr>
          <w:p w14:paraId="32177E68" w14:textId="03EA32B2" w:rsidR="005F6D89" w:rsidRPr="000025D5" w:rsidRDefault="005F6D89" w:rsidP="003E041F">
            <w:pPr>
              <w:spacing w:after="0" w:line="240" w:lineRule="auto"/>
              <w:jc w:val="right"/>
              <w:outlineLvl w:val="0"/>
              <w:rPr>
                <w:rFonts w:ascii="Arial" w:hAnsi="Arial" w:cs="Arial"/>
                <w:sz w:val="16"/>
                <w:szCs w:val="16"/>
              </w:rPr>
            </w:pPr>
            <w:r w:rsidRPr="000025D5">
              <w:rPr>
                <w:rFonts w:ascii="Arial" w:hAnsi="Arial" w:cs="Arial"/>
                <w:sz w:val="16"/>
                <w:szCs w:val="16"/>
              </w:rPr>
              <w:t>-</w:t>
            </w:r>
          </w:p>
        </w:tc>
      </w:tr>
      <w:tr w:rsidR="005F6D89" w:rsidRPr="00B55E61" w14:paraId="40B31277" w14:textId="77777777" w:rsidTr="00D53118">
        <w:trPr>
          <w:trHeight w:val="204"/>
        </w:trPr>
        <w:tc>
          <w:tcPr>
            <w:tcW w:w="2977" w:type="dxa"/>
            <w:tcBorders>
              <w:top w:val="nil"/>
              <w:left w:val="nil"/>
              <w:bottom w:val="nil"/>
              <w:right w:val="nil"/>
            </w:tcBorders>
            <w:shd w:val="clear" w:color="auto" w:fill="auto"/>
            <w:vAlign w:val="bottom"/>
            <w:hideMark/>
          </w:tcPr>
          <w:p w14:paraId="57743416" w14:textId="14A84035" w:rsidR="005F6D89" w:rsidRPr="00B55E61" w:rsidRDefault="005F6D89" w:rsidP="006F462C">
            <w:pPr>
              <w:spacing w:after="0" w:line="240" w:lineRule="auto"/>
              <w:jc w:val="left"/>
              <w:outlineLvl w:val="0"/>
              <w:rPr>
                <w:rFonts w:ascii="Arial" w:hAnsi="Arial" w:cs="Arial"/>
                <w:b/>
                <w:bCs/>
                <w:color w:val="000000"/>
                <w:sz w:val="16"/>
                <w:szCs w:val="16"/>
              </w:rPr>
            </w:pPr>
            <w:r w:rsidRPr="00B55E61">
              <w:rPr>
                <w:rFonts w:ascii="Arial" w:hAnsi="Arial" w:cs="Arial"/>
                <w:b/>
                <w:bCs/>
                <w:color w:val="000000"/>
                <w:sz w:val="16"/>
                <w:szCs w:val="16"/>
              </w:rPr>
              <w:t>Net impact on appropriations for</w:t>
            </w:r>
            <w:r w:rsidR="006F462C">
              <w:rPr>
                <w:rFonts w:ascii="Arial" w:hAnsi="Arial" w:cs="Arial"/>
                <w:b/>
                <w:bCs/>
                <w:color w:val="000000"/>
                <w:sz w:val="16"/>
                <w:szCs w:val="16"/>
              </w:rPr>
              <w:t xml:space="preserve"> </w:t>
            </w:r>
            <w:r w:rsidR="00D37DFC">
              <w:rPr>
                <w:rFonts w:ascii="Arial" w:hAnsi="Arial" w:cs="Arial"/>
                <w:b/>
                <w:bCs/>
                <w:color w:val="000000"/>
                <w:sz w:val="16"/>
                <w:szCs w:val="16"/>
              </w:rPr>
              <w:t>Outcome 4 (A</w:t>
            </w:r>
            <w:r w:rsidRPr="00B55E61">
              <w:rPr>
                <w:rFonts w:ascii="Arial" w:hAnsi="Arial" w:cs="Arial"/>
                <w:b/>
                <w:bCs/>
                <w:color w:val="000000"/>
                <w:sz w:val="16"/>
                <w:szCs w:val="16"/>
              </w:rPr>
              <w:t>dministered)</w:t>
            </w:r>
          </w:p>
        </w:tc>
        <w:tc>
          <w:tcPr>
            <w:tcW w:w="992" w:type="dxa"/>
            <w:tcBorders>
              <w:top w:val="nil"/>
              <w:left w:val="nil"/>
              <w:bottom w:val="nil"/>
              <w:right w:val="nil"/>
            </w:tcBorders>
            <w:shd w:val="clear" w:color="auto" w:fill="auto"/>
            <w:noWrap/>
            <w:vAlign w:val="bottom"/>
            <w:hideMark/>
          </w:tcPr>
          <w:p w14:paraId="1FFF0650" w14:textId="77777777" w:rsidR="005F6D89" w:rsidRPr="000025D5" w:rsidRDefault="005F6D89" w:rsidP="003E041F">
            <w:pPr>
              <w:spacing w:after="0" w:line="240" w:lineRule="auto"/>
              <w:jc w:val="right"/>
              <w:outlineLvl w:val="0"/>
              <w:rPr>
                <w:rFonts w:ascii="Arial" w:hAnsi="Arial" w:cs="Arial"/>
                <w:b/>
                <w:bCs/>
                <w:sz w:val="16"/>
                <w:szCs w:val="16"/>
              </w:rPr>
            </w:pPr>
          </w:p>
        </w:tc>
        <w:tc>
          <w:tcPr>
            <w:tcW w:w="903" w:type="dxa"/>
            <w:tcBorders>
              <w:top w:val="single" w:sz="4" w:space="0" w:color="auto"/>
              <w:left w:val="nil"/>
              <w:bottom w:val="single" w:sz="4" w:space="0" w:color="auto"/>
              <w:right w:val="nil"/>
            </w:tcBorders>
            <w:shd w:val="clear" w:color="000000" w:fill="E6E6E6"/>
            <w:noWrap/>
            <w:vAlign w:val="bottom"/>
            <w:hideMark/>
          </w:tcPr>
          <w:p w14:paraId="15A1E822" w14:textId="4AA77CA7" w:rsidR="005F6D89" w:rsidRPr="000025D5" w:rsidRDefault="005F6D89" w:rsidP="003E041F">
            <w:pPr>
              <w:spacing w:after="0" w:line="240" w:lineRule="auto"/>
              <w:jc w:val="right"/>
              <w:outlineLvl w:val="0"/>
              <w:rPr>
                <w:rFonts w:ascii="Arial" w:hAnsi="Arial" w:cs="Arial"/>
                <w:b/>
                <w:bCs/>
                <w:sz w:val="16"/>
                <w:szCs w:val="16"/>
              </w:rPr>
            </w:pPr>
            <w:r w:rsidRPr="000025D5">
              <w:rPr>
                <w:rFonts w:ascii="Arial" w:hAnsi="Arial" w:cs="Arial"/>
                <w:b/>
                <w:bCs/>
                <w:sz w:val="16"/>
                <w:szCs w:val="16"/>
              </w:rPr>
              <w:t>54,348</w:t>
            </w:r>
          </w:p>
        </w:tc>
        <w:tc>
          <w:tcPr>
            <w:tcW w:w="928" w:type="dxa"/>
            <w:tcBorders>
              <w:top w:val="single" w:sz="4" w:space="0" w:color="auto"/>
              <w:left w:val="nil"/>
              <w:bottom w:val="single" w:sz="4" w:space="0" w:color="auto"/>
              <w:right w:val="nil"/>
            </w:tcBorders>
            <w:shd w:val="clear" w:color="auto" w:fill="auto"/>
            <w:noWrap/>
            <w:vAlign w:val="bottom"/>
            <w:hideMark/>
          </w:tcPr>
          <w:p w14:paraId="7F53153F" w14:textId="1665F008" w:rsidR="005F6D89" w:rsidRPr="000025D5" w:rsidRDefault="005F6D89" w:rsidP="003E041F">
            <w:pPr>
              <w:spacing w:after="0" w:line="240" w:lineRule="auto"/>
              <w:jc w:val="right"/>
              <w:outlineLvl w:val="0"/>
              <w:rPr>
                <w:rFonts w:ascii="Arial" w:hAnsi="Arial" w:cs="Arial"/>
                <w:b/>
                <w:bCs/>
                <w:sz w:val="16"/>
                <w:szCs w:val="16"/>
              </w:rPr>
            </w:pPr>
            <w:r w:rsidRPr="000025D5">
              <w:rPr>
                <w:rFonts w:ascii="Arial" w:hAnsi="Arial" w:cs="Arial"/>
                <w:b/>
                <w:bCs/>
                <w:sz w:val="16"/>
                <w:szCs w:val="16"/>
              </w:rPr>
              <w:t>27,471</w:t>
            </w:r>
          </w:p>
        </w:tc>
        <w:tc>
          <w:tcPr>
            <w:tcW w:w="928" w:type="dxa"/>
            <w:tcBorders>
              <w:top w:val="single" w:sz="4" w:space="0" w:color="auto"/>
              <w:left w:val="nil"/>
              <w:bottom w:val="single" w:sz="4" w:space="0" w:color="auto"/>
              <w:right w:val="nil"/>
            </w:tcBorders>
            <w:shd w:val="clear" w:color="auto" w:fill="auto"/>
            <w:noWrap/>
            <w:vAlign w:val="bottom"/>
            <w:hideMark/>
          </w:tcPr>
          <w:p w14:paraId="31631B3B" w14:textId="5FB622D2" w:rsidR="005F6D89" w:rsidRPr="000025D5" w:rsidRDefault="005F6D89" w:rsidP="003E041F">
            <w:pPr>
              <w:spacing w:after="0" w:line="240" w:lineRule="auto"/>
              <w:jc w:val="right"/>
              <w:outlineLvl w:val="0"/>
              <w:rPr>
                <w:rFonts w:ascii="Arial" w:hAnsi="Arial" w:cs="Arial"/>
                <w:b/>
                <w:bCs/>
                <w:sz w:val="16"/>
                <w:szCs w:val="16"/>
              </w:rPr>
            </w:pPr>
            <w:r w:rsidRPr="000025D5">
              <w:rPr>
                <w:rFonts w:ascii="Arial" w:hAnsi="Arial" w:cs="Arial"/>
                <w:b/>
                <w:bCs/>
                <w:sz w:val="16"/>
                <w:szCs w:val="16"/>
              </w:rPr>
              <w:t>8,905</w:t>
            </w:r>
          </w:p>
        </w:tc>
        <w:tc>
          <w:tcPr>
            <w:tcW w:w="903" w:type="dxa"/>
            <w:tcBorders>
              <w:top w:val="single" w:sz="4" w:space="0" w:color="auto"/>
              <w:left w:val="nil"/>
              <w:bottom w:val="single" w:sz="4" w:space="0" w:color="auto"/>
              <w:right w:val="nil"/>
            </w:tcBorders>
            <w:shd w:val="clear" w:color="auto" w:fill="auto"/>
            <w:noWrap/>
            <w:vAlign w:val="bottom"/>
            <w:hideMark/>
          </w:tcPr>
          <w:p w14:paraId="42187E53" w14:textId="6962A9CE" w:rsidR="005F6D89" w:rsidRPr="000025D5" w:rsidRDefault="005F6D89" w:rsidP="003E041F">
            <w:pPr>
              <w:spacing w:after="0" w:line="240" w:lineRule="auto"/>
              <w:jc w:val="right"/>
              <w:outlineLvl w:val="0"/>
              <w:rPr>
                <w:rFonts w:ascii="Arial" w:hAnsi="Arial" w:cs="Arial"/>
                <w:b/>
                <w:bCs/>
                <w:sz w:val="16"/>
                <w:szCs w:val="16"/>
              </w:rPr>
            </w:pPr>
            <w:r w:rsidRPr="000025D5">
              <w:rPr>
                <w:rFonts w:ascii="Arial" w:hAnsi="Arial" w:cs="Arial"/>
                <w:b/>
                <w:bCs/>
                <w:sz w:val="16"/>
                <w:szCs w:val="16"/>
              </w:rPr>
              <w:t>4,544</w:t>
            </w:r>
          </w:p>
        </w:tc>
      </w:tr>
      <w:tr w:rsidR="005F6D89" w:rsidRPr="00B55E61" w14:paraId="6492118C" w14:textId="77777777" w:rsidTr="00D53118">
        <w:trPr>
          <w:trHeight w:val="204"/>
        </w:trPr>
        <w:tc>
          <w:tcPr>
            <w:tcW w:w="2977" w:type="dxa"/>
            <w:tcBorders>
              <w:top w:val="nil"/>
              <w:left w:val="nil"/>
              <w:bottom w:val="nil"/>
              <w:right w:val="nil"/>
            </w:tcBorders>
            <w:shd w:val="clear" w:color="auto" w:fill="auto"/>
            <w:noWrap/>
            <w:vAlign w:val="bottom"/>
            <w:hideMark/>
          </w:tcPr>
          <w:p w14:paraId="4F4B67F6" w14:textId="79326CE3" w:rsidR="005F6D89" w:rsidRPr="00B55E61" w:rsidRDefault="008863D9" w:rsidP="005F6D89">
            <w:pPr>
              <w:spacing w:after="0" w:line="240" w:lineRule="auto"/>
              <w:jc w:val="left"/>
              <w:rPr>
                <w:rFonts w:ascii="Arial" w:hAnsi="Arial" w:cs="Arial"/>
                <w:b/>
                <w:bCs/>
                <w:sz w:val="16"/>
                <w:szCs w:val="16"/>
              </w:rPr>
            </w:pPr>
            <w:r>
              <w:rPr>
                <w:rFonts w:ascii="Arial" w:hAnsi="Arial" w:cs="Arial"/>
                <w:b/>
                <w:bCs/>
                <w:sz w:val="16"/>
                <w:szCs w:val="16"/>
              </w:rPr>
              <w:t>Department</w:t>
            </w:r>
            <w:r w:rsidR="005F6D89" w:rsidRPr="00B55E61">
              <w:rPr>
                <w:rFonts w:ascii="Arial" w:hAnsi="Arial" w:cs="Arial"/>
                <w:b/>
                <w:bCs/>
                <w:sz w:val="16"/>
                <w:szCs w:val="16"/>
              </w:rPr>
              <w:t>al</w:t>
            </w:r>
          </w:p>
        </w:tc>
        <w:tc>
          <w:tcPr>
            <w:tcW w:w="992" w:type="dxa"/>
            <w:tcBorders>
              <w:top w:val="nil"/>
              <w:left w:val="nil"/>
              <w:bottom w:val="nil"/>
              <w:right w:val="nil"/>
            </w:tcBorders>
            <w:shd w:val="clear" w:color="auto" w:fill="auto"/>
            <w:noWrap/>
            <w:vAlign w:val="bottom"/>
            <w:hideMark/>
          </w:tcPr>
          <w:p w14:paraId="1AE02821" w14:textId="77777777" w:rsidR="005F6D89" w:rsidRPr="000025D5" w:rsidRDefault="005F6D89" w:rsidP="003E041F">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247032B6" w14:textId="091923AC" w:rsidR="005F6D89" w:rsidRPr="000025D5" w:rsidRDefault="005F6D89" w:rsidP="003E041F">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F5636D9" w14:textId="77777777" w:rsidR="005F6D89" w:rsidRPr="000025D5" w:rsidRDefault="005F6D89" w:rsidP="003E041F">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29830EA8" w14:textId="77777777" w:rsidR="005F6D89" w:rsidRPr="000025D5" w:rsidRDefault="005F6D89" w:rsidP="003E041F">
            <w:pPr>
              <w:spacing w:after="0" w:line="240" w:lineRule="auto"/>
              <w:jc w:val="right"/>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23D60532" w14:textId="77777777" w:rsidR="005F6D89" w:rsidRPr="000025D5" w:rsidRDefault="005F6D89" w:rsidP="003E041F">
            <w:pPr>
              <w:spacing w:after="0" w:line="240" w:lineRule="auto"/>
              <w:jc w:val="right"/>
              <w:rPr>
                <w:rFonts w:ascii="Times New Roman" w:hAnsi="Times New Roman"/>
                <w:sz w:val="16"/>
                <w:szCs w:val="16"/>
              </w:rPr>
            </w:pPr>
          </w:p>
        </w:tc>
      </w:tr>
      <w:tr w:rsidR="005F6D89" w:rsidRPr="00B55E61" w14:paraId="1B36BCC3" w14:textId="77777777" w:rsidTr="00D53118">
        <w:trPr>
          <w:trHeight w:val="204"/>
        </w:trPr>
        <w:tc>
          <w:tcPr>
            <w:tcW w:w="2977" w:type="dxa"/>
            <w:tcBorders>
              <w:top w:val="nil"/>
              <w:left w:val="nil"/>
              <w:bottom w:val="nil"/>
              <w:right w:val="nil"/>
            </w:tcBorders>
            <w:shd w:val="clear" w:color="auto" w:fill="auto"/>
            <w:noWrap/>
            <w:vAlign w:val="bottom"/>
            <w:hideMark/>
          </w:tcPr>
          <w:p w14:paraId="52B82583" w14:textId="0F0016E8" w:rsidR="005F6D89" w:rsidRPr="00B55E61" w:rsidRDefault="005F6D89" w:rsidP="005F6D89">
            <w:pPr>
              <w:spacing w:after="0" w:line="240" w:lineRule="auto"/>
              <w:ind w:left="113"/>
              <w:jc w:val="left"/>
              <w:rPr>
                <w:rFonts w:ascii="Arial" w:hAnsi="Arial" w:cs="Arial"/>
                <w:b/>
                <w:bCs/>
                <w:sz w:val="16"/>
                <w:szCs w:val="16"/>
              </w:rPr>
            </w:pPr>
            <w:r w:rsidRPr="00B55E61">
              <w:rPr>
                <w:rFonts w:ascii="Arial" w:hAnsi="Arial" w:cs="Arial"/>
                <w:b/>
                <w:bCs/>
                <w:sz w:val="16"/>
                <w:szCs w:val="16"/>
              </w:rPr>
              <w:t>Measures</w:t>
            </w:r>
          </w:p>
        </w:tc>
        <w:tc>
          <w:tcPr>
            <w:tcW w:w="992" w:type="dxa"/>
            <w:tcBorders>
              <w:top w:val="nil"/>
              <w:left w:val="nil"/>
              <w:bottom w:val="nil"/>
              <w:right w:val="nil"/>
            </w:tcBorders>
            <w:shd w:val="clear" w:color="auto" w:fill="auto"/>
            <w:noWrap/>
            <w:vAlign w:val="bottom"/>
            <w:hideMark/>
          </w:tcPr>
          <w:p w14:paraId="7D8403E1" w14:textId="77777777" w:rsidR="005F6D89" w:rsidRPr="000025D5" w:rsidRDefault="005F6D89" w:rsidP="003E041F">
            <w:pPr>
              <w:spacing w:after="0" w:line="240" w:lineRule="auto"/>
              <w:ind w:firstLineChars="100" w:firstLine="160"/>
              <w:jc w:val="right"/>
              <w:rPr>
                <w:rFonts w:ascii="Arial" w:hAnsi="Arial" w:cs="Arial"/>
                <w:b/>
                <w:bCs/>
                <w:sz w:val="16"/>
                <w:szCs w:val="16"/>
              </w:rPr>
            </w:pPr>
          </w:p>
        </w:tc>
        <w:tc>
          <w:tcPr>
            <w:tcW w:w="903" w:type="dxa"/>
            <w:tcBorders>
              <w:top w:val="nil"/>
              <w:left w:val="nil"/>
              <w:right w:val="nil"/>
            </w:tcBorders>
            <w:shd w:val="clear" w:color="000000" w:fill="E6E6E6"/>
            <w:noWrap/>
            <w:vAlign w:val="bottom"/>
            <w:hideMark/>
          </w:tcPr>
          <w:p w14:paraId="4C95C127" w14:textId="247A3D2D" w:rsidR="005F6D89" w:rsidRPr="000025D5" w:rsidRDefault="005F6D89" w:rsidP="003E041F">
            <w:pPr>
              <w:spacing w:after="0" w:line="240" w:lineRule="auto"/>
              <w:jc w:val="right"/>
              <w:rPr>
                <w:rFonts w:ascii="Arial" w:hAnsi="Arial" w:cs="Arial"/>
                <w:sz w:val="16"/>
                <w:szCs w:val="16"/>
              </w:rPr>
            </w:pPr>
          </w:p>
        </w:tc>
        <w:tc>
          <w:tcPr>
            <w:tcW w:w="928" w:type="dxa"/>
            <w:tcBorders>
              <w:top w:val="nil"/>
              <w:left w:val="nil"/>
              <w:right w:val="nil"/>
            </w:tcBorders>
            <w:shd w:val="clear" w:color="auto" w:fill="auto"/>
            <w:noWrap/>
            <w:vAlign w:val="bottom"/>
            <w:hideMark/>
          </w:tcPr>
          <w:p w14:paraId="281FDD18" w14:textId="77777777" w:rsidR="005F6D89" w:rsidRPr="000025D5" w:rsidRDefault="005F6D89" w:rsidP="003E041F">
            <w:pPr>
              <w:spacing w:after="0" w:line="240" w:lineRule="auto"/>
              <w:jc w:val="right"/>
              <w:rPr>
                <w:rFonts w:ascii="Arial" w:hAnsi="Arial" w:cs="Arial"/>
                <w:sz w:val="16"/>
                <w:szCs w:val="16"/>
              </w:rPr>
            </w:pPr>
          </w:p>
        </w:tc>
        <w:tc>
          <w:tcPr>
            <w:tcW w:w="928" w:type="dxa"/>
            <w:tcBorders>
              <w:top w:val="nil"/>
              <w:left w:val="nil"/>
              <w:right w:val="nil"/>
            </w:tcBorders>
            <w:shd w:val="clear" w:color="auto" w:fill="auto"/>
            <w:noWrap/>
            <w:vAlign w:val="bottom"/>
            <w:hideMark/>
          </w:tcPr>
          <w:p w14:paraId="6971B915" w14:textId="77777777" w:rsidR="005F6D89" w:rsidRPr="000025D5" w:rsidRDefault="005F6D89" w:rsidP="003E041F">
            <w:pPr>
              <w:spacing w:after="0" w:line="240" w:lineRule="auto"/>
              <w:jc w:val="right"/>
              <w:rPr>
                <w:rFonts w:ascii="Times New Roman" w:hAnsi="Times New Roman"/>
                <w:sz w:val="16"/>
                <w:szCs w:val="16"/>
              </w:rPr>
            </w:pPr>
          </w:p>
        </w:tc>
        <w:tc>
          <w:tcPr>
            <w:tcW w:w="903" w:type="dxa"/>
            <w:tcBorders>
              <w:top w:val="nil"/>
              <w:left w:val="nil"/>
              <w:right w:val="nil"/>
            </w:tcBorders>
            <w:shd w:val="clear" w:color="auto" w:fill="auto"/>
            <w:noWrap/>
            <w:vAlign w:val="bottom"/>
            <w:hideMark/>
          </w:tcPr>
          <w:p w14:paraId="4AD652E3" w14:textId="77777777" w:rsidR="005F6D89" w:rsidRPr="000025D5" w:rsidRDefault="005F6D89" w:rsidP="003E041F">
            <w:pPr>
              <w:spacing w:after="0" w:line="240" w:lineRule="auto"/>
              <w:jc w:val="right"/>
              <w:rPr>
                <w:rFonts w:ascii="Times New Roman" w:hAnsi="Times New Roman"/>
                <w:sz w:val="16"/>
                <w:szCs w:val="16"/>
              </w:rPr>
            </w:pPr>
          </w:p>
        </w:tc>
      </w:tr>
      <w:tr w:rsidR="00FF4D50" w:rsidRPr="00B55E61" w14:paraId="241375D0" w14:textId="77777777" w:rsidTr="00D53118">
        <w:trPr>
          <w:trHeight w:val="204"/>
        </w:trPr>
        <w:tc>
          <w:tcPr>
            <w:tcW w:w="2977" w:type="dxa"/>
            <w:tcBorders>
              <w:top w:val="nil"/>
              <w:left w:val="nil"/>
              <w:bottom w:val="nil"/>
              <w:right w:val="nil"/>
            </w:tcBorders>
            <w:shd w:val="clear" w:color="auto" w:fill="auto"/>
            <w:vAlign w:val="bottom"/>
            <w:hideMark/>
          </w:tcPr>
          <w:p w14:paraId="1DF446B4" w14:textId="77777777" w:rsidR="00FF4D50" w:rsidRPr="00B55E61" w:rsidRDefault="00FF4D50" w:rsidP="00FF4D50">
            <w:pPr>
              <w:spacing w:after="0" w:line="240" w:lineRule="auto"/>
              <w:ind w:left="227"/>
              <w:jc w:val="left"/>
              <w:rPr>
                <w:rFonts w:ascii="Arial" w:hAnsi="Arial" w:cs="Arial"/>
                <w:sz w:val="16"/>
                <w:szCs w:val="16"/>
              </w:rPr>
            </w:pPr>
            <w:r w:rsidRPr="00B55E61">
              <w:rPr>
                <w:rFonts w:ascii="Arial" w:hAnsi="Arial" w:cs="Arial"/>
                <w:sz w:val="16"/>
                <w:szCs w:val="16"/>
              </w:rPr>
              <w:t>Services to Territories - additional funding</w:t>
            </w:r>
          </w:p>
        </w:tc>
        <w:tc>
          <w:tcPr>
            <w:tcW w:w="992" w:type="dxa"/>
            <w:tcBorders>
              <w:top w:val="nil"/>
              <w:left w:val="nil"/>
              <w:bottom w:val="nil"/>
              <w:right w:val="nil"/>
            </w:tcBorders>
            <w:shd w:val="clear" w:color="auto" w:fill="auto"/>
            <w:noWrap/>
            <w:vAlign w:val="bottom"/>
            <w:hideMark/>
          </w:tcPr>
          <w:p w14:paraId="3F493444" w14:textId="77777777" w:rsidR="00FF4D50" w:rsidRPr="000025D5" w:rsidRDefault="00FF4D50" w:rsidP="003E041F">
            <w:pPr>
              <w:spacing w:after="0" w:line="240" w:lineRule="auto"/>
              <w:jc w:val="center"/>
              <w:rPr>
                <w:rFonts w:ascii="Arial" w:hAnsi="Arial" w:cs="Arial"/>
                <w:sz w:val="16"/>
                <w:szCs w:val="16"/>
              </w:rPr>
            </w:pPr>
            <w:r w:rsidRPr="000025D5">
              <w:rPr>
                <w:rFonts w:ascii="Arial" w:hAnsi="Arial" w:cs="Arial"/>
                <w:sz w:val="16"/>
                <w:szCs w:val="16"/>
              </w:rPr>
              <w:t>4.2</w:t>
            </w:r>
          </w:p>
        </w:tc>
        <w:tc>
          <w:tcPr>
            <w:tcW w:w="903" w:type="dxa"/>
            <w:tcBorders>
              <w:top w:val="nil"/>
              <w:left w:val="nil"/>
              <w:bottom w:val="single" w:sz="4" w:space="0" w:color="auto"/>
              <w:right w:val="nil"/>
            </w:tcBorders>
            <w:shd w:val="clear" w:color="000000" w:fill="E6E6E6"/>
            <w:noWrap/>
            <w:vAlign w:val="bottom"/>
            <w:hideMark/>
          </w:tcPr>
          <w:p w14:paraId="7666FC7A" w14:textId="0089A9F7" w:rsidR="00FF4D50" w:rsidRPr="000025D5" w:rsidRDefault="00FF4D50" w:rsidP="003E041F">
            <w:pPr>
              <w:spacing w:after="0" w:line="240" w:lineRule="auto"/>
              <w:jc w:val="right"/>
              <w:rPr>
                <w:rFonts w:ascii="Arial" w:hAnsi="Arial" w:cs="Arial"/>
                <w:sz w:val="16"/>
                <w:szCs w:val="16"/>
              </w:rPr>
            </w:pPr>
            <w:r w:rsidRPr="000025D5">
              <w:rPr>
                <w:rFonts w:ascii="Arial" w:hAnsi="Arial" w:cs="Arial"/>
                <w:sz w:val="16"/>
                <w:szCs w:val="16"/>
              </w:rPr>
              <w:t>239</w:t>
            </w:r>
          </w:p>
        </w:tc>
        <w:tc>
          <w:tcPr>
            <w:tcW w:w="928" w:type="dxa"/>
            <w:tcBorders>
              <w:top w:val="nil"/>
              <w:left w:val="nil"/>
              <w:bottom w:val="single" w:sz="4" w:space="0" w:color="auto"/>
              <w:right w:val="nil"/>
            </w:tcBorders>
            <w:shd w:val="clear" w:color="auto" w:fill="auto"/>
            <w:noWrap/>
            <w:vAlign w:val="bottom"/>
            <w:hideMark/>
          </w:tcPr>
          <w:p w14:paraId="67F0C41C" w14:textId="3C4A0833" w:rsidR="00FF4D50" w:rsidRPr="000025D5" w:rsidRDefault="00FF4D50" w:rsidP="003E041F">
            <w:pPr>
              <w:spacing w:after="0" w:line="240" w:lineRule="auto"/>
              <w:jc w:val="right"/>
              <w:rPr>
                <w:rFonts w:ascii="Arial" w:hAnsi="Arial" w:cs="Arial"/>
                <w:sz w:val="16"/>
                <w:szCs w:val="16"/>
              </w:rPr>
            </w:pPr>
            <w:r w:rsidRPr="000025D5">
              <w:rPr>
                <w:rFonts w:ascii="Arial" w:hAnsi="Arial" w:cs="Arial"/>
                <w:sz w:val="16"/>
                <w:szCs w:val="16"/>
              </w:rPr>
              <w:t>240</w:t>
            </w:r>
          </w:p>
        </w:tc>
        <w:tc>
          <w:tcPr>
            <w:tcW w:w="928" w:type="dxa"/>
            <w:tcBorders>
              <w:top w:val="nil"/>
              <w:left w:val="nil"/>
              <w:bottom w:val="single" w:sz="4" w:space="0" w:color="auto"/>
              <w:right w:val="nil"/>
            </w:tcBorders>
            <w:shd w:val="clear" w:color="auto" w:fill="auto"/>
            <w:noWrap/>
            <w:vAlign w:val="bottom"/>
            <w:hideMark/>
          </w:tcPr>
          <w:p w14:paraId="1AA066AD" w14:textId="7F297174" w:rsidR="00FF4D50" w:rsidRPr="000025D5" w:rsidRDefault="00FF4D50" w:rsidP="003E041F">
            <w:pPr>
              <w:spacing w:after="0" w:line="240" w:lineRule="auto"/>
              <w:jc w:val="right"/>
              <w:rPr>
                <w:rFonts w:ascii="Arial" w:hAnsi="Arial" w:cs="Arial"/>
                <w:sz w:val="16"/>
                <w:szCs w:val="16"/>
              </w:rPr>
            </w:pPr>
            <w:r w:rsidRPr="000025D5">
              <w:rPr>
                <w:rFonts w:ascii="Arial" w:hAnsi="Arial" w:cs="Arial"/>
                <w:sz w:val="16"/>
                <w:szCs w:val="16"/>
              </w:rPr>
              <w:t>192</w:t>
            </w:r>
          </w:p>
        </w:tc>
        <w:tc>
          <w:tcPr>
            <w:tcW w:w="903" w:type="dxa"/>
            <w:tcBorders>
              <w:top w:val="nil"/>
              <w:left w:val="nil"/>
              <w:bottom w:val="single" w:sz="4" w:space="0" w:color="auto"/>
              <w:right w:val="nil"/>
            </w:tcBorders>
            <w:shd w:val="clear" w:color="auto" w:fill="auto"/>
            <w:noWrap/>
            <w:vAlign w:val="bottom"/>
            <w:hideMark/>
          </w:tcPr>
          <w:p w14:paraId="168FC208" w14:textId="73F26E24" w:rsidR="00FF4D50" w:rsidRPr="000025D5" w:rsidRDefault="00FF4D50" w:rsidP="003E041F">
            <w:pPr>
              <w:spacing w:after="0" w:line="240" w:lineRule="auto"/>
              <w:jc w:val="right"/>
              <w:rPr>
                <w:rFonts w:ascii="Arial" w:hAnsi="Arial" w:cs="Arial"/>
                <w:sz w:val="16"/>
                <w:szCs w:val="16"/>
              </w:rPr>
            </w:pPr>
            <w:r w:rsidRPr="000025D5">
              <w:rPr>
                <w:rFonts w:ascii="Arial" w:hAnsi="Arial" w:cs="Arial"/>
                <w:sz w:val="16"/>
                <w:szCs w:val="16"/>
              </w:rPr>
              <w:t>-</w:t>
            </w:r>
          </w:p>
        </w:tc>
      </w:tr>
      <w:tr w:rsidR="00FF4D50" w:rsidRPr="00B55E61" w14:paraId="0F6123DC" w14:textId="77777777" w:rsidTr="00D53118">
        <w:trPr>
          <w:trHeight w:val="204"/>
        </w:trPr>
        <w:tc>
          <w:tcPr>
            <w:tcW w:w="2977" w:type="dxa"/>
            <w:tcBorders>
              <w:top w:val="nil"/>
              <w:left w:val="nil"/>
              <w:right w:val="nil"/>
            </w:tcBorders>
            <w:shd w:val="clear" w:color="auto" w:fill="auto"/>
            <w:vAlign w:val="bottom"/>
            <w:hideMark/>
          </w:tcPr>
          <w:p w14:paraId="199B7C4A" w14:textId="175510C1" w:rsidR="00FF4D50" w:rsidRPr="00B55E61" w:rsidRDefault="00FF4D50" w:rsidP="006F462C">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Net impact on appropriations for</w:t>
            </w:r>
            <w:r w:rsidR="006F462C">
              <w:rPr>
                <w:rFonts w:ascii="Arial" w:hAnsi="Arial" w:cs="Arial"/>
                <w:b/>
                <w:bCs/>
                <w:color w:val="000000"/>
                <w:sz w:val="16"/>
                <w:szCs w:val="16"/>
              </w:rPr>
              <w:t xml:space="preserve"> </w:t>
            </w:r>
            <w:r w:rsidRPr="00B55E61">
              <w:rPr>
                <w:rFonts w:ascii="Arial" w:hAnsi="Arial" w:cs="Arial"/>
                <w:b/>
                <w:bCs/>
                <w:color w:val="000000"/>
                <w:sz w:val="16"/>
                <w:szCs w:val="16"/>
              </w:rPr>
              <w:t>Outcome 4 (</w:t>
            </w:r>
            <w:r w:rsidR="008863D9">
              <w:rPr>
                <w:rFonts w:ascii="Arial" w:hAnsi="Arial" w:cs="Arial"/>
                <w:b/>
                <w:bCs/>
                <w:color w:val="000000"/>
                <w:sz w:val="16"/>
                <w:szCs w:val="16"/>
              </w:rPr>
              <w:t>Department</w:t>
            </w:r>
            <w:r w:rsidRPr="00B55E61">
              <w:rPr>
                <w:rFonts w:ascii="Arial" w:hAnsi="Arial" w:cs="Arial"/>
                <w:b/>
                <w:bCs/>
                <w:color w:val="000000"/>
                <w:sz w:val="16"/>
                <w:szCs w:val="16"/>
              </w:rPr>
              <w:t>al)</w:t>
            </w:r>
          </w:p>
        </w:tc>
        <w:tc>
          <w:tcPr>
            <w:tcW w:w="992" w:type="dxa"/>
            <w:tcBorders>
              <w:top w:val="nil"/>
              <w:left w:val="nil"/>
              <w:right w:val="nil"/>
            </w:tcBorders>
            <w:shd w:val="clear" w:color="auto" w:fill="auto"/>
            <w:noWrap/>
            <w:vAlign w:val="bottom"/>
            <w:hideMark/>
          </w:tcPr>
          <w:p w14:paraId="7CFBE08C" w14:textId="77777777" w:rsidR="00FF4D50" w:rsidRPr="000025D5" w:rsidRDefault="00FF4D50" w:rsidP="003E041F">
            <w:pPr>
              <w:spacing w:after="0" w:line="240" w:lineRule="auto"/>
              <w:jc w:val="right"/>
              <w:rPr>
                <w:rFonts w:ascii="Arial" w:hAnsi="Arial" w:cs="Arial"/>
                <w:b/>
                <w:bCs/>
                <w:sz w:val="16"/>
                <w:szCs w:val="16"/>
              </w:rPr>
            </w:pPr>
          </w:p>
        </w:tc>
        <w:tc>
          <w:tcPr>
            <w:tcW w:w="903" w:type="dxa"/>
            <w:tcBorders>
              <w:top w:val="single" w:sz="4" w:space="0" w:color="auto"/>
              <w:left w:val="nil"/>
              <w:bottom w:val="single" w:sz="4" w:space="0" w:color="auto"/>
              <w:right w:val="nil"/>
            </w:tcBorders>
            <w:shd w:val="clear" w:color="000000" w:fill="E6E6E6"/>
            <w:noWrap/>
            <w:vAlign w:val="bottom"/>
            <w:hideMark/>
          </w:tcPr>
          <w:p w14:paraId="65E24781" w14:textId="367856C9" w:rsidR="00FF4D50" w:rsidRPr="000025D5" w:rsidRDefault="00FF4D50" w:rsidP="003E041F">
            <w:pPr>
              <w:spacing w:after="0" w:line="240" w:lineRule="auto"/>
              <w:jc w:val="right"/>
              <w:rPr>
                <w:rFonts w:ascii="Arial" w:hAnsi="Arial" w:cs="Arial"/>
                <w:b/>
                <w:bCs/>
                <w:sz w:val="16"/>
                <w:szCs w:val="16"/>
              </w:rPr>
            </w:pPr>
            <w:r w:rsidRPr="000025D5">
              <w:rPr>
                <w:rFonts w:ascii="Arial" w:hAnsi="Arial" w:cs="Arial"/>
                <w:b/>
                <w:bCs/>
                <w:sz w:val="16"/>
                <w:szCs w:val="16"/>
              </w:rPr>
              <w:t>239</w:t>
            </w:r>
          </w:p>
        </w:tc>
        <w:tc>
          <w:tcPr>
            <w:tcW w:w="928" w:type="dxa"/>
            <w:tcBorders>
              <w:top w:val="single" w:sz="4" w:space="0" w:color="auto"/>
              <w:left w:val="nil"/>
              <w:bottom w:val="single" w:sz="4" w:space="0" w:color="auto"/>
              <w:right w:val="nil"/>
            </w:tcBorders>
            <w:shd w:val="clear" w:color="auto" w:fill="auto"/>
            <w:noWrap/>
            <w:vAlign w:val="bottom"/>
            <w:hideMark/>
          </w:tcPr>
          <w:p w14:paraId="34DE0864" w14:textId="41A632AA" w:rsidR="00FF4D50" w:rsidRPr="000025D5" w:rsidRDefault="00FF4D50" w:rsidP="003E041F">
            <w:pPr>
              <w:spacing w:after="0" w:line="240" w:lineRule="auto"/>
              <w:jc w:val="right"/>
              <w:rPr>
                <w:rFonts w:ascii="Arial" w:hAnsi="Arial" w:cs="Arial"/>
                <w:b/>
                <w:bCs/>
                <w:sz w:val="16"/>
                <w:szCs w:val="16"/>
              </w:rPr>
            </w:pPr>
            <w:r w:rsidRPr="000025D5">
              <w:rPr>
                <w:rFonts w:ascii="Arial" w:hAnsi="Arial" w:cs="Arial"/>
                <w:b/>
                <w:bCs/>
                <w:sz w:val="16"/>
                <w:szCs w:val="16"/>
              </w:rPr>
              <w:t>240</w:t>
            </w:r>
          </w:p>
        </w:tc>
        <w:tc>
          <w:tcPr>
            <w:tcW w:w="928" w:type="dxa"/>
            <w:tcBorders>
              <w:top w:val="single" w:sz="4" w:space="0" w:color="auto"/>
              <w:left w:val="nil"/>
              <w:bottom w:val="single" w:sz="4" w:space="0" w:color="auto"/>
              <w:right w:val="nil"/>
            </w:tcBorders>
            <w:shd w:val="clear" w:color="auto" w:fill="auto"/>
            <w:noWrap/>
            <w:vAlign w:val="bottom"/>
            <w:hideMark/>
          </w:tcPr>
          <w:p w14:paraId="44F4A6B7" w14:textId="1FF26ED7" w:rsidR="00FF4D50" w:rsidRPr="000025D5" w:rsidRDefault="00FF4D50" w:rsidP="003E041F">
            <w:pPr>
              <w:spacing w:after="0" w:line="240" w:lineRule="auto"/>
              <w:jc w:val="right"/>
              <w:rPr>
                <w:rFonts w:ascii="Arial" w:hAnsi="Arial" w:cs="Arial"/>
                <w:b/>
                <w:bCs/>
                <w:sz w:val="16"/>
                <w:szCs w:val="16"/>
              </w:rPr>
            </w:pPr>
            <w:r w:rsidRPr="000025D5">
              <w:rPr>
                <w:rFonts w:ascii="Arial" w:hAnsi="Arial" w:cs="Arial"/>
                <w:b/>
                <w:bCs/>
                <w:sz w:val="16"/>
                <w:szCs w:val="16"/>
              </w:rPr>
              <w:t>192</w:t>
            </w:r>
          </w:p>
        </w:tc>
        <w:tc>
          <w:tcPr>
            <w:tcW w:w="903" w:type="dxa"/>
            <w:tcBorders>
              <w:top w:val="single" w:sz="4" w:space="0" w:color="auto"/>
              <w:left w:val="nil"/>
              <w:bottom w:val="single" w:sz="4" w:space="0" w:color="auto"/>
              <w:right w:val="nil"/>
            </w:tcBorders>
            <w:shd w:val="clear" w:color="auto" w:fill="auto"/>
            <w:noWrap/>
            <w:vAlign w:val="bottom"/>
            <w:hideMark/>
          </w:tcPr>
          <w:p w14:paraId="78AC91C5" w14:textId="3292E1BB" w:rsidR="00FF4D50" w:rsidRPr="000025D5" w:rsidRDefault="00FF4D50" w:rsidP="003E041F">
            <w:pPr>
              <w:spacing w:after="0" w:line="240" w:lineRule="auto"/>
              <w:jc w:val="right"/>
              <w:rPr>
                <w:rFonts w:ascii="Arial" w:hAnsi="Arial" w:cs="Arial"/>
                <w:b/>
                <w:bCs/>
                <w:sz w:val="16"/>
                <w:szCs w:val="16"/>
              </w:rPr>
            </w:pPr>
            <w:r w:rsidRPr="000025D5">
              <w:rPr>
                <w:rFonts w:ascii="Arial" w:hAnsi="Arial" w:cs="Arial"/>
                <w:b/>
                <w:bCs/>
                <w:sz w:val="16"/>
                <w:szCs w:val="16"/>
              </w:rPr>
              <w:t>-</w:t>
            </w:r>
          </w:p>
        </w:tc>
      </w:tr>
      <w:tr w:rsidR="00FF4D50" w:rsidRPr="00B55E61" w14:paraId="31E4B6DF" w14:textId="77777777" w:rsidTr="00D53118">
        <w:trPr>
          <w:trHeight w:val="204"/>
        </w:trPr>
        <w:tc>
          <w:tcPr>
            <w:tcW w:w="2977" w:type="dxa"/>
            <w:tcBorders>
              <w:top w:val="nil"/>
              <w:left w:val="nil"/>
              <w:bottom w:val="single" w:sz="4" w:space="0" w:color="auto"/>
              <w:right w:val="nil"/>
            </w:tcBorders>
            <w:shd w:val="clear" w:color="auto" w:fill="auto"/>
            <w:vAlign w:val="bottom"/>
            <w:hideMark/>
          </w:tcPr>
          <w:p w14:paraId="1CA97AFA" w14:textId="6FA74494" w:rsidR="00FF4D50" w:rsidRPr="00B55E61" w:rsidRDefault="00FF4D50" w:rsidP="006F462C">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Total net impact on appropriations</w:t>
            </w:r>
            <w:r w:rsidR="006F462C">
              <w:rPr>
                <w:rFonts w:ascii="Arial" w:hAnsi="Arial" w:cs="Arial"/>
                <w:b/>
                <w:bCs/>
                <w:color w:val="000000"/>
                <w:sz w:val="16"/>
                <w:szCs w:val="16"/>
              </w:rPr>
              <w:t xml:space="preserve"> </w:t>
            </w:r>
            <w:r w:rsidRPr="00B55E61">
              <w:rPr>
                <w:rFonts w:ascii="Arial" w:hAnsi="Arial" w:cs="Arial"/>
                <w:b/>
                <w:bCs/>
                <w:color w:val="000000"/>
                <w:sz w:val="16"/>
                <w:szCs w:val="16"/>
              </w:rPr>
              <w:t>for Outcome 4</w:t>
            </w:r>
          </w:p>
        </w:tc>
        <w:tc>
          <w:tcPr>
            <w:tcW w:w="992" w:type="dxa"/>
            <w:tcBorders>
              <w:top w:val="nil"/>
              <w:left w:val="nil"/>
              <w:bottom w:val="single" w:sz="4" w:space="0" w:color="auto"/>
              <w:right w:val="nil"/>
            </w:tcBorders>
            <w:shd w:val="clear" w:color="auto" w:fill="auto"/>
            <w:noWrap/>
            <w:vAlign w:val="bottom"/>
            <w:hideMark/>
          </w:tcPr>
          <w:p w14:paraId="2CDF8A4F" w14:textId="77777777" w:rsidR="00FF4D50" w:rsidRPr="000025D5" w:rsidRDefault="00FF4D50" w:rsidP="003E041F">
            <w:pPr>
              <w:spacing w:after="0" w:line="240" w:lineRule="auto"/>
              <w:jc w:val="right"/>
              <w:rPr>
                <w:rFonts w:ascii="Arial" w:hAnsi="Arial" w:cs="Arial"/>
                <w:b/>
                <w:bCs/>
                <w:sz w:val="16"/>
                <w:szCs w:val="16"/>
              </w:rPr>
            </w:pPr>
          </w:p>
        </w:tc>
        <w:tc>
          <w:tcPr>
            <w:tcW w:w="903" w:type="dxa"/>
            <w:tcBorders>
              <w:top w:val="nil"/>
              <w:left w:val="nil"/>
              <w:bottom w:val="single" w:sz="4" w:space="0" w:color="auto"/>
              <w:right w:val="nil"/>
            </w:tcBorders>
            <w:shd w:val="clear" w:color="000000" w:fill="E6E6E6"/>
            <w:noWrap/>
            <w:vAlign w:val="bottom"/>
            <w:hideMark/>
          </w:tcPr>
          <w:p w14:paraId="16C9C91A" w14:textId="47EAA28B" w:rsidR="00FF4D50" w:rsidRPr="000025D5" w:rsidRDefault="00FF4D50" w:rsidP="003E041F">
            <w:pPr>
              <w:spacing w:after="0" w:line="240" w:lineRule="auto"/>
              <w:jc w:val="right"/>
              <w:rPr>
                <w:rFonts w:ascii="Arial" w:hAnsi="Arial" w:cs="Arial"/>
                <w:b/>
                <w:bCs/>
                <w:sz w:val="16"/>
                <w:szCs w:val="16"/>
              </w:rPr>
            </w:pPr>
            <w:r w:rsidRPr="000025D5">
              <w:rPr>
                <w:rFonts w:ascii="Arial" w:hAnsi="Arial" w:cs="Arial"/>
                <w:b/>
                <w:bCs/>
                <w:sz w:val="16"/>
                <w:szCs w:val="16"/>
              </w:rPr>
              <w:t>54,587</w:t>
            </w:r>
          </w:p>
        </w:tc>
        <w:tc>
          <w:tcPr>
            <w:tcW w:w="928" w:type="dxa"/>
            <w:tcBorders>
              <w:top w:val="nil"/>
              <w:left w:val="nil"/>
              <w:bottom w:val="single" w:sz="4" w:space="0" w:color="auto"/>
              <w:right w:val="nil"/>
            </w:tcBorders>
            <w:shd w:val="clear" w:color="auto" w:fill="auto"/>
            <w:noWrap/>
            <w:vAlign w:val="bottom"/>
            <w:hideMark/>
          </w:tcPr>
          <w:p w14:paraId="56349A19" w14:textId="0F6A7FA6" w:rsidR="00FF4D50" w:rsidRPr="000025D5" w:rsidRDefault="00FF4D50" w:rsidP="003E041F">
            <w:pPr>
              <w:spacing w:after="0" w:line="240" w:lineRule="auto"/>
              <w:jc w:val="right"/>
              <w:rPr>
                <w:rFonts w:ascii="Arial" w:hAnsi="Arial" w:cs="Arial"/>
                <w:b/>
                <w:bCs/>
                <w:sz w:val="16"/>
                <w:szCs w:val="16"/>
              </w:rPr>
            </w:pPr>
            <w:r w:rsidRPr="000025D5">
              <w:rPr>
                <w:rFonts w:ascii="Arial" w:hAnsi="Arial" w:cs="Arial"/>
                <w:b/>
                <w:bCs/>
                <w:sz w:val="16"/>
                <w:szCs w:val="16"/>
              </w:rPr>
              <w:t>27,711</w:t>
            </w:r>
          </w:p>
        </w:tc>
        <w:tc>
          <w:tcPr>
            <w:tcW w:w="928" w:type="dxa"/>
            <w:tcBorders>
              <w:top w:val="nil"/>
              <w:left w:val="nil"/>
              <w:bottom w:val="single" w:sz="4" w:space="0" w:color="auto"/>
              <w:right w:val="nil"/>
            </w:tcBorders>
            <w:shd w:val="clear" w:color="auto" w:fill="auto"/>
            <w:noWrap/>
            <w:vAlign w:val="bottom"/>
            <w:hideMark/>
          </w:tcPr>
          <w:p w14:paraId="3B089F01" w14:textId="03AFABEB" w:rsidR="00FF4D50" w:rsidRPr="000025D5" w:rsidRDefault="00FF4D50" w:rsidP="003E041F">
            <w:pPr>
              <w:spacing w:after="0" w:line="240" w:lineRule="auto"/>
              <w:jc w:val="right"/>
              <w:rPr>
                <w:rFonts w:ascii="Arial" w:hAnsi="Arial" w:cs="Arial"/>
                <w:b/>
                <w:bCs/>
                <w:sz w:val="16"/>
                <w:szCs w:val="16"/>
              </w:rPr>
            </w:pPr>
            <w:r w:rsidRPr="000025D5">
              <w:rPr>
                <w:rFonts w:ascii="Arial" w:hAnsi="Arial" w:cs="Arial"/>
                <w:b/>
                <w:bCs/>
                <w:sz w:val="16"/>
                <w:szCs w:val="16"/>
              </w:rPr>
              <w:t>9,097</w:t>
            </w:r>
          </w:p>
        </w:tc>
        <w:tc>
          <w:tcPr>
            <w:tcW w:w="903" w:type="dxa"/>
            <w:tcBorders>
              <w:top w:val="nil"/>
              <w:left w:val="nil"/>
              <w:bottom w:val="single" w:sz="4" w:space="0" w:color="auto"/>
              <w:right w:val="nil"/>
            </w:tcBorders>
            <w:shd w:val="clear" w:color="auto" w:fill="auto"/>
            <w:noWrap/>
            <w:vAlign w:val="bottom"/>
            <w:hideMark/>
          </w:tcPr>
          <w:p w14:paraId="54C8AEBF" w14:textId="05631B16" w:rsidR="00FF4D50" w:rsidRPr="000025D5" w:rsidRDefault="00FF4D50" w:rsidP="003E041F">
            <w:pPr>
              <w:spacing w:after="0" w:line="240" w:lineRule="auto"/>
              <w:jc w:val="right"/>
              <w:rPr>
                <w:rFonts w:ascii="Arial" w:hAnsi="Arial" w:cs="Arial"/>
                <w:b/>
                <w:bCs/>
                <w:sz w:val="16"/>
                <w:szCs w:val="16"/>
              </w:rPr>
            </w:pPr>
            <w:r w:rsidRPr="000025D5">
              <w:rPr>
                <w:rFonts w:ascii="Arial" w:hAnsi="Arial" w:cs="Arial"/>
                <w:b/>
                <w:bCs/>
                <w:sz w:val="16"/>
                <w:szCs w:val="16"/>
              </w:rPr>
              <w:t>4,544</w:t>
            </w:r>
          </w:p>
        </w:tc>
      </w:tr>
    </w:tbl>
    <w:p w14:paraId="31FE0C85" w14:textId="2367D900" w:rsidR="008C60EB" w:rsidRDefault="008C60EB" w:rsidP="008C60EB">
      <w:pPr>
        <w:pStyle w:val="TableHeading"/>
      </w:pPr>
      <w:r>
        <w:br w:type="page"/>
      </w:r>
      <w:r w:rsidRPr="00897F19">
        <w:lastRenderedPageBreak/>
        <w:t>Table 1.3: Additional estimates</w:t>
      </w:r>
      <w:r w:rsidRPr="008C60EB">
        <w:t xml:space="preserve"> </w:t>
      </w:r>
      <w:r w:rsidRPr="00897F19">
        <w:t xml:space="preserve">and </w:t>
      </w:r>
      <w:r w:rsidRPr="008C60EB">
        <w:t xml:space="preserve">other </w:t>
      </w:r>
      <w:r w:rsidRPr="00897F19">
        <w:t xml:space="preserve">variations to outcomes since </w:t>
      </w:r>
      <w:r w:rsidRPr="008C60EB">
        <w:t>2021-22</w:t>
      </w:r>
      <w:r w:rsidRPr="00897F19">
        <w:t xml:space="preserve"> Budget</w:t>
      </w:r>
      <w:r w:rsidRPr="008C60EB">
        <w:t xml:space="preserve"> (continued)</w:t>
      </w:r>
    </w:p>
    <w:tbl>
      <w:tblPr>
        <w:tblW w:w="7797" w:type="dxa"/>
        <w:tblLayout w:type="fixed"/>
        <w:tblLook w:val="04A0" w:firstRow="1" w:lastRow="0" w:firstColumn="1" w:lastColumn="0" w:noHBand="0" w:noVBand="1"/>
      </w:tblPr>
      <w:tblGrid>
        <w:gridCol w:w="3402"/>
        <w:gridCol w:w="866"/>
        <w:gridCol w:w="903"/>
        <w:gridCol w:w="925"/>
        <w:gridCol w:w="850"/>
        <w:gridCol w:w="851"/>
      </w:tblGrid>
      <w:tr w:rsidR="008C60EB" w:rsidRPr="00B55E61" w14:paraId="1FC1119A" w14:textId="77777777" w:rsidTr="00264B4E">
        <w:trPr>
          <w:trHeight w:val="204"/>
        </w:trPr>
        <w:tc>
          <w:tcPr>
            <w:tcW w:w="3402" w:type="dxa"/>
            <w:tcBorders>
              <w:top w:val="single" w:sz="4" w:space="0" w:color="auto"/>
              <w:left w:val="nil"/>
              <w:bottom w:val="nil"/>
              <w:right w:val="nil"/>
            </w:tcBorders>
            <w:shd w:val="clear" w:color="auto" w:fill="auto"/>
            <w:noWrap/>
            <w:vAlign w:val="bottom"/>
            <w:hideMark/>
          </w:tcPr>
          <w:p w14:paraId="764C9893" w14:textId="77777777" w:rsidR="008C60EB" w:rsidRPr="00B55E61" w:rsidRDefault="008C60EB" w:rsidP="001670C2">
            <w:pPr>
              <w:spacing w:after="0" w:line="240" w:lineRule="auto"/>
              <w:jc w:val="left"/>
              <w:rPr>
                <w:rFonts w:ascii="Arial" w:hAnsi="Arial" w:cs="Arial"/>
                <w:sz w:val="16"/>
                <w:szCs w:val="16"/>
              </w:rPr>
            </w:pPr>
            <w:r w:rsidRPr="00B55E61">
              <w:rPr>
                <w:rFonts w:ascii="Arial" w:hAnsi="Arial" w:cs="Arial"/>
                <w:sz w:val="16"/>
                <w:szCs w:val="16"/>
              </w:rPr>
              <w:t> </w:t>
            </w:r>
          </w:p>
        </w:tc>
        <w:tc>
          <w:tcPr>
            <w:tcW w:w="866" w:type="dxa"/>
            <w:tcBorders>
              <w:top w:val="single" w:sz="4" w:space="0" w:color="auto"/>
              <w:left w:val="nil"/>
              <w:bottom w:val="nil"/>
              <w:right w:val="nil"/>
            </w:tcBorders>
            <w:shd w:val="clear" w:color="auto" w:fill="auto"/>
            <w:vAlign w:val="bottom"/>
            <w:hideMark/>
          </w:tcPr>
          <w:p w14:paraId="73863530" w14:textId="77777777" w:rsidR="008C60EB" w:rsidRPr="00B55E61" w:rsidRDefault="008C60EB" w:rsidP="001670C2">
            <w:pPr>
              <w:spacing w:after="0" w:line="240" w:lineRule="auto"/>
              <w:jc w:val="center"/>
              <w:rPr>
                <w:rFonts w:ascii="Arial" w:hAnsi="Arial" w:cs="Arial"/>
                <w:sz w:val="16"/>
                <w:szCs w:val="16"/>
              </w:rPr>
            </w:pPr>
            <w:r w:rsidRPr="00B55E61">
              <w:rPr>
                <w:rFonts w:ascii="Arial" w:hAnsi="Arial" w:cs="Arial"/>
                <w:sz w:val="16"/>
                <w:szCs w:val="16"/>
              </w:rPr>
              <w:t>Program</w:t>
            </w:r>
          </w:p>
        </w:tc>
        <w:tc>
          <w:tcPr>
            <w:tcW w:w="903" w:type="dxa"/>
            <w:tcBorders>
              <w:top w:val="single" w:sz="4" w:space="0" w:color="auto"/>
              <w:left w:val="nil"/>
              <w:bottom w:val="nil"/>
              <w:right w:val="nil"/>
            </w:tcBorders>
            <w:shd w:val="clear" w:color="000000" w:fill="E6E6E6"/>
            <w:vAlign w:val="bottom"/>
            <w:hideMark/>
          </w:tcPr>
          <w:p w14:paraId="7EB360F4"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2021-22</w:t>
            </w:r>
          </w:p>
        </w:tc>
        <w:tc>
          <w:tcPr>
            <w:tcW w:w="925" w:type="dxa"/>
            <w:tcBorders>
              <w:top w:val="single" w:sz="4" w:space="0" w:color="auto"/>
              <w:left w:val="nil"/>
              <w:bottom w:val="nil"/>
              <w:right w:val="nil"/>
            </w:tcBorders>
            <w:shd w:val="clear" w:color="auto" w:fill="auto"/>
            <w:vAlign w:val="bottom"/>
            <w:hideMark/>
          </w:tcPr>
          <w:p w14:paraId="429B6DD9"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2022-23</w:t>
            </w:r>
          </w:p>
        </w:tc>
        <w:tc>
          <w:tcPr>
            <w:tcW w:w="850" w:type="dxa"/>
            <w:tcBorders>
              <w:top w:val="single" w:sz="4" w:space="0" w:color="auto"/>
              <w:left w:val="nil"/>
              <w:bottom w:val="nil"/>
              <w:right w:val="nil"/>
            </w:tcBorders>
            <w:shd w:val="clear" w:color="auto" w:fill="auto"/>
            <w:vAlign w:val="bottom"/>
            <w:hideMark/>
          </w:tcPr>
          <w:p w14:paraId="5FD1E563"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2023-24</w:t>
            </w:r>
          </w:p>
        </w:tc>
        <w:tc>
          <w:tcPr>
            <w:tcW w:w="851" w:type="dxa"/>
            <w:tcBorders>
              <w:top w:val="single" w:sz="4" w:space="0" w:color="auto"/>
              <w:left w:val="nil"/>
              <w:bottom w:val="nil"/>
              <w:right w:val="nil"/>
            </w:tcBorders>
            <w:shd w:val="clear" w:color="auto" w:fill="auto"/>
            <w:vAlign w:val="bottom"/>
            <w:hideMark/>
          </w:tcPr>
          <w:p w14:paraId="1259F2B7"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2024-25</w:t>
            </w:r>
          </w:p>
        </w:tc>
      </w:tr>
      <w:tr w:rsidR="008C60EB" w:rsidRPr="00B55E61" w14:paraId="2D302011" w14:textId="77777777" w:rsidTr="00264B4E">
        <w:trPr>
          <w:trHeight w:val="204"/>
        </w:trPr>
        <w:tc>
          <w:tcPr>
            <w:tcW w:w="3402" w:type="dxa"/>
            <w:tcBorders>
              <w:top w:val="nil"/>
              <w:left w:val="nil"/>
              <w:bottom w:val="single" w:sz="4" w:space="0" w:color="auto"/>
              <w:right w:val="nil"/>
            </w:tcBorders>
            <w:shd w:val="clear" w:color="auto" w:fill="auto"/>
            <w:noWrap/>
            <w:vAlign w:val="bottom"/>
            <w:hideMark/>
          </w:tcPr>
          <w:p w14:paraId="4CCD007C" w14:textId="77777777" w:rsidR="008C60EB" w:rsidRPr="00B55E61" w:rsidRDefault="008C60EB" w:rsidP="001670C2">
            <w:pPr>
              <w:spacing w:after="0" w:line="240" w:lineRule="auto"/>
              <w:jc w:val="left"/>
              <w:rPr>
                <w:rFonts w:ascii="Arial" w:hAnsi="Arial" w:cs="Arial"/>
                <w:sz w:val="16"/>
                <w:szCs w:val="16"/>
              </w:rPr>
            </w:pPr>
            <w:r w:rsidRPr="00B55E61">
              <w:rPr>
                <w:rFonts w:ascii="Arial" w:hAnsi="Arial" w:cs="Arial"/>
                <w:sz w:val="16"/>
                <w:szCs w:val="16"/>
              </w:rPr>
              <w:t> </w:t>
            </w:r>
          </w:p>
        </w:tc>
        <w:tc>
          <w:tcPr>
            <w:tcW w:w="866" w:type="dxa"/>
            <w:tcBorders>
              <w:top w:val="nil"/>
              <w:left w:val="nil"/>
              <w:bottom w:val="single" w:sz="4" w:space="0" w:color="auto"/>
              <w:right w:val="nil"/>
            </w:tcBorders>
            <w:shd w:val="clear" w:color="auto" w:fill="auto"/>
            <w:vAlign w:val="bottom"/>
            <w:hideMark/>
          </w:tcPr>
          <w:p w14:paraId="6F987015" w14:textId="77777777" w:rsidR="008C60EB" w:rsidRPr="00B55E61" w:rsidRDefault="008C60EB" w:rsidP="001670C2">
            <w:pPr>
              <w:spacing w:after="0" w:line="240" w:lineRule="auto"/>
              <w:jc w:val="center"/>
              <w:rPr>
                <w:rFonts w:ascii="Arial" w:hAnsi="Arial" w:cs="Arial"/>
                <w:sz w:val="16"/>
                <w:szCs w:val="16"/>
              </w:rPr>
            </w:pPr>
            <w:r w:rsidRPr="00B55E61">
              <w:rPr>
                <w:rFonts w:ascii="Arial" w:hAnsi="Arial" w:cs="Arial"/>
                <w:sz w:val="16"/>
                <w:szCs w:val="16"/>
              </w:rPr>
              <w:t>impacted</w:t>
            </w:r>
          </w:p>
        </w:tc>
        <w:tc>
          <w:tcPr>
            <w:tcW w:w="903" w:type="dxa"/>
            <w:tcBorders>
              <w:top w:val="nil"/>
              <w:left w:val="nil"/>
              <w:bottom w:val="single" w:sz="4" w:space="0" w:color="auto"/>
              <w:right w:val="nil"/>
            </w:tcBorders>
            <w:shd w:val="clear" w:color="000000" w:fill="E6E6E6"/>
            <w:vAlign w:val="bottom"/>
            <w:hideMark/>
          </w:tcPr>
          <w:p w14:paraId="4610CA11"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$'000</w:t>
            </w:r>
          </w:p>
        </w:tc>
        <w:tc>
          <w:tcPr>
            <w:tcW w:w="925" w:type="dxa"/>
            <w:tcBorders>
              <w:top w:val="nil"/>
              <w:left w:val="nil"/>
              <w:bottom w:val="single" w:sz="4" w:space="0" w:color="auto"/>
              <w:right w:val="nil"/>
            </w:tcBorders>
            <w:shd w:val="clear" w:color="auto" w:fill="auto"/>
            <w:vAlign w:val="bottom"/>
            <w:hideMark/>
          </w:tcPr>
          <w:p w14:paraId="0D24D282"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$'000</w:t>
            </w:r>
          </w:p>
        </w:tc>
        <w:tc>
          <w:tcPr>
            <w:tcW w:w="850" w:type="dxa"/>
            <w:tcBorders>
              <w:top w:val="nil"/>
              <w:left w:val="nil"/>
              <w:bottom w:val="single" w:sz="4" w:space="0" w:color="auto"/>
              <w:right w:val="nil"/>
            </w:tcBorders>
            <w:shd w:val="clear" w:color="auto" w:fill="auto"/>
            <w:vAlign w:val="bottom"/>
            <w:hideMark/>
          </w:tcPr>
          <w:p w14:paraId="58AC8105"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$'000</w:t>
            </w:r>
          </w:p>
        </w:tc>
        <w:tc>
          <w:tcPr>
            <w:tcW w:w="851" w:type="dxa"/>
            <w:tcBorders>
              <w:top w:val="nil"/>
              <w:left w:val="nil"/>
              <w:bottom w:val="single" w:sz="4" w:space="0" w:color="auto"/>
              <w:right w:val="nil"/>
            </w:tcBorders>
            <w:shd w:val="clear" w:color="auto" w:fill="auto"/>
            <w:vAlign w:val="bottom"/>
            <w:hideMark/>
          </w:tcPr>
          <w:p w14:paraId="6CDE74B4" w14:textId="77777777" w:rsidR="008C60EB" w:rsidRPr="00B55E61" w:rsidRDefault="008C60EB" w:rsidP="001670C2">
            <w:pPr>
              <w:spacing w:after="0" w:line="240" w:lineRule="auto"/>
              <w:jc w:val="right"/>
              <w:rPr>
                <w:rFonts w:ascii="Arial" w:hAnsi="Arial" w:cs="Arial"/>
                <w:sz w:val="16"/>
                <w:szCs w:val="16"/>
              </w:rPr>
            </w:pPr>
            <w:r w:rsidRPr="00B55E61">
              <w:rPr>
                <w:rFonts w:ascii="Arial" w:hAnsi="Arial" w:cs="Arial"/>
                <w:sz w:val="16"/>
                <w:szCs w:val="16"/>
              </w:rPr>
              <w:t>$'000</w:t>
            </w:r>
          </w:p>
        </w:tc>
      </w:tr>
      <w:tr w:rsidR="003630A8" w:rsidRPr="00B55E61" w14:paraId="7534296B" w14:textId="77777777" w:rsidTr="00264B4E">
        <w:trPr>
          <w:trHeight w:val="204"/>
        </w:trPr>
        <w:tc>
          <w:tcPr>
            <w:tcW w:w="3402" w:type="dxa"/>
            <w:tcBorders>
              <w:top w:val="nil"/>
              <w:left w:val="nil"/>
              <w:bottom w:val="nil"/>
              <w:right w:val="nil"/>
            </w:tcBorders>
            <w:shd w:val="clear" w:color="auto" w:fill="auto"/>
            <w:noWrap/>
            <w:vAlign w:val="bottom"/>
            <w:hideMark/>
          </w:tcPr>
          <w:p w14:paraId="02979E68" w14:textId="77777777" w:rsidR="003630A8" w:rsidRPr="00B55E61" w:rsidRDefault="003630A8" w:rsidP="00264B4E">
            <w:pPr>
              <w:spacing w:after="0" w:line="240" w:lineRule="auto"/>
              <w:jc w:val="left"/>
              <w:rPr>
                <w:rFonts w:ascii="Arial" w:hAnsi="Arial" w:cs="Arial"/>
                <w:b/>
                <w:bCs/>
                <w:sz w:val="16"/>
                <w:szCs w:val="16"/>
              </w:rPr>
            </w:pPr>
            <w:r w:rsidRPr="00B55E61">
              <w:rPr>
                <w:rFonts w:ascii="Arial" w:hAnsi="Arial" w:cs="Arial"/>
                <w:b/>
                <w:bCs/>
                <w:sz w:val="16"/>
                <w:szCs w:val="16"/>
              </w:rPr>
              <w:t>Outcome 5</w:t>
            </w:r>
          </w:p>
        </w:tc>
        <w:tc>
          <w:tcPr>
            <w:tcW w:w="866" w:type="dxa"/>
            <w:tcBorders>
              <w:top w:val="nil"/>
              <w:left w:val="nil"/>
              <w:bottom w:val="nil"/>
              <w:right w:val="nil"/>
            </w:tcBorders>
            <w:shd w:val="clear" w:color="auto" w:fill="auto"/>
            <w:noWrap/>
            <w:vAlign w:val="bottom"/>
            <w:hideMark/>
          </w:tcPr>
          <w:p w14:paraId="0DA4BCD3" w14:textId="77777777" w:rsidR="003630A8" w:rsidRPr="00B55E61" w:rsidRDefault="003630A8" w:rsidP="000025D5">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03EC913F" w14:textId="097F0D6A" w:rsidR="003630A8" w:rsidRPr="00B55E61" w:rsidRDefault="003630A8" w:rsidP="000025D5">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vAlign w:val="bottom"/>
            <w:hideMark/>
          </w:tcPr>
          <w:p w14:paraId="258CD6E9" w14:textId="77777777" w:rsidR="003630A8" w:rsidRPr="00B55E61" w:rsidRDefault="003630A8"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71D64E4" w14:textId="77777777" w:rsidR="003630A8" w:rsidRPr="00B55E61" w:rsidRDefault="003630A8" w:rsidP="000025D5">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2DB433CE" w14:textId="77777777" w:rsidR="003630A8" w:rsidRPr="00B55E61" w:rsidRDefault="003630A8" w:rsidP="000025D5">
            <w:pPr>
              <w:spacing w:after="0" w:line="240" w:lineRule="auto"/>
              <w:jc w:val="right"/>
              <w:rPr>
                <w:rFonts w:ascii="Times New Roman" w:hAnsi="Times New Roman"/>
                <w:sz w:val="16"/>
                <w:szCs w:val="16"/>
              </w:rPr>
            </w:pPr>
          </w:p>
        </w:tc>
      </w:tr>
      <w:tr w:rsidR="003630A8" w:rsidRPr="00B55E61" w14:paraId="5C3745B6" w14:textId="77777777" w:rsidTr="00264B4E">
        <w:trPr>
          <w:trHeight w:val="204"/>
        </w:trPr>
        <w:tc>
          <w:tcPr>
            <w:tcW w:w="3402" w:type="dxa"/>
            <w:tcBorders>
              <w:top w:val="nil"/>
              <w:left w:val="nil"/>
              <w:bottom w:val="nil"/>
              <w:right w:val="nil"/>
            </w:tcBorders>
            <w:shd w:val="clear" w:color="auto" w:fill="auto"/>
            <w:noWrap/>
            <w:vAlign w:val="bottom"/>
            <w:hideMark/>
          </w:tcPr>
          <w:p w14:paraId="6D25E7ED" w14:textId="77777777" w:rsidR="003630A8" w:rsidRPr="00B55E61" w:rsidRDefault="003630A8" w:rsidP="001670C2">
            <w:pPr>
              <w:spacing w:after="0" w:line="240" w:lineRule="auto"/>
              <w:jc w:val="left"/>
              <w:rPr>
                <w:rFonts w:ascii="Arial" w:hAnsi="Arial" w:cs="Arial"/>
                <w:b/>
                <w:bCs/>
                <w:sz w:val="16"/>
                <w:szCs w:val="16"/>
              </w:rPr>
            </w:pPr>
            <w:r w:rsidRPr="00B55E61">
              <w:rPr>
                <w:rFonts w:ascii="Arial" w:hAnsi="Arial" w:cs="Arial"/>
                <w:b/>
                <w:bCs/>
                <w:sz w:val="16"/>
                <w:szCs w:val="16"/>
              </w:rPr>
              <w:t>Administered</w:t>
            </w:r>
          </w:p>
        </w:tc>
        <w:tc>
          <w:tcPr>
            <w:tcW w:w="866" w:type="dxa"/>
            <w:tcBorders>
              <w:top w:val="nil"/>
              <w:left w:val="nil"/>
              <w:bottom w:val="nil"/>
              <w:right w:val="nil"/>
            </w:tcBorders>
            <w:shd w:val="clear" w:color="auto" w:fill="auto"/>
            <w:noWrap/>
            <w:vAlign w:val="bottom"/>
            <w:hideMark/>
          </w:tcPr>
          <w:p w14:paraId="623F6B41" w14:textId="77777777" w:rsidR="003630A8" w:rsidRPr="00B55E61" w:rsidRDefault="003630A8" w:rsidP="000025D5">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360275B4" w14:textId="6A32429E" w:rsidR="003630A8" w:rsidRPr="00B55E61" w:rsidRDefault="003630A8" w:rsidP="000025D5">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vAlign w:val="bottom"/>
            <w:hideMark/>
          </w:tcPr>
          <w:p w14:paraId="176A531C" w14:textId="77777777" w:rsidR="003630A8" w:rsidRPr="00B55E61" w:rsidRDefault="003630A8" w:rsidP="000025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5030F0B" w14:textId="77777777" w:rsidR="003630A8" w:rsidRPr="00B55E61" w:rsidRDefault="003630A8" w:rsidP="000025D5">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416509D7" w14:textId="77777777" w:rsidR="003630A8" w:rsidRPr="00B55E61" w:rsidRDefault="003630A8" w:rsidP="000025D5">
            <w:pPr>
              <w:spacing w:after="0" w:line="240" w:lineRule="auto"/>
              <w:jc w:val="right"/>
              <w:rPr>
                <w:rFonts w:ascii="Times New Roman" w:hAnsi="Times New Roman"/>
                <w:sz w:val="16"/>
                <w:szCs w:val="16"/>
              </w:rPr>
            </w:pPr>
          </w:p>
        </w:tc>
      </w:tr>
      <w:tr w:rsidR="003630A8" w:rsidRPr="00B55E61" w14:paraId="4939A0F2" w14:textId="77777777" w:rsidTr="00264B4E">
        <w:trPr>
          <w:trHeight w:val="204"/>
        </w:trPr>
        <w:tc>
          <w:tcPr>
            <w:tcW w:w="3402" w:type="dxa"/>
            <w:tcBorders>
              <w:top w:val="nil"/>
              <w:left w:val="nil"/>
              <w:right w:val="nil"/>
            </w:tcBorders>
            <w:shd w:val="clear" w:color="auto" w:fill="auto"/>
            <w:noWrap/>
            <w:vAlign w:val="bottom"/>
            <w:hideMark/>
          </w:tcPr>
          <w:p w14:paraId="4F7A3155" w14:textId="77777777" w:rsidR="003630A8" w:rsidRPr="00B55E61" w:rsidRDefault="003630A8" w:rsidP="001670C2">
            <w:pPr>
              <w:spacing w:after="0" w:line="240" w:lineRule="auto"/>
              <w:ind w:left="113"/>
              <w:jc w:val="left"/>
              <w:rPr>
                <w:rFonts w:ascii="Arial" w:hAnsi="Arial" w:cs="Arial"/>
                <w:b/>
                <w:bCs/>
                <w:sz w:val="16"/>
                <w:szCs w:val="16"/>
              </w:rPr>
            </w:pPr>
            <w:r w:rsidRPr="00B55E61">
              <w:rPr>
                <w:rFonts w:ascii="Arial" w:hAnsi="Arial" w:cs="Arial"/>
                <w:b/>
                <w:bCs/>
                <w:sz w:val="16"/>
                <w:szCs w:val="16"/>
              </w:rPr>
              <w:t>Measures</w:t>
            </w:r>
          </w:p>
        </w:tc>
        <w:tc>
          <w:tcPr>
            <w:tcW w:w="866" w:type="dxa"/>
            <w:tcBorders>
              <w:top w:val="nil"/>
              <w:left w:val="nil"/>
              <w:right w:val="nil"/>
            </w:tcBorders>
            <w:shd w:val="clear" w:color="auto" w:fill="auto"/>
            <w:noWrap/>
            <w:vAlign w:val="bottom"/>
            <w:hideMark/>
          </w:tcPr>
          <w:p w14:paraId="1DC35808" w14:textId="77777777" w:rsidR="003630A8" w:rsidRPr="00B55E61" w:rsidRDefault="003630A8" w:rsidP="000025D5">
            <w:pPr>
              <w:spacing w:after="0" w:line="240" w:lineRule="auto"/>
              <w:ind w:firstLineChars="100" w:firstLine="160"/>
              <w:jc w:val="right"/>
              <w:rPr>
                <w:rFonts w:ascii="Arial" w:hAnsi="Arial" w:cs="Arial"/>
                <w:b/>
                <w:bCs/>
                <w:sz w:val="16"/>
                <w:szCs w:val="16"/>
              </w:rPr>
            </w:pPr>
          </w:p>
        </w:tc>
        <w:tc>
          <w:tcPr>
            <w:tcW w:w="903" w:type="dxa"/>
            <w:tcBorders>
              <w:top w:val="nil"/>
              <w:left w:val="nil"/>
              <w:right w:val="nil"/>
            </w:tcBorders>
            <w:shd w:val="clear" w:color="000000" w:fill="E6E6E6"/>
            <w:noWrap/>
            <w:vAlign w:val="bottom"/>
            <w:hideMark/>
          </w:tcPr>
          <w:p w14:paraId="6A14EFB0" w14:textId="2532A08F" w:rsidR="003630A8" w:rsidRPr="00B55E61" w:rsidRDefault="003630A8" w:rsidP="000025D5">
            <w:pPr>
              <w:spacing w:after="0" w:line="240" w:lineRule="auto"/>
              <w:jc w:val="right"/>
              <w:rPr>
                <w:rFonts w:ascii="Arial" w:hAnsi="Arial" w:cs="Arial"/>
                <w:sz w:val="16"/>
                <w:szCs w:val="16"/>
              </w:rPr>
            </w:pPr>
          </w:p>
        </w:tc>
        <w:tc>
          <w:tcPr>
            <w:tcW w:w="925" w:type="dxa"/>
            <w:tcBorders>
              <w:top w:val="nil"/>
              <w:left w:val="nil"/>
              <w:right w:val="nil"/>
            </w:tcBorders>
            <w:shd w:val="clear" w:color="auto" w:fill="auto"/>
            <w:noWrap/>
            <w:vAlign w:val="bottom"/>
            <w:hideMark/>
          </w:tcPr>
          <w:p w14:paraId="403C2966" w14:textId="77777777" w:rsidR="003630A8" w:rsidRPr="00B55E61" w:rsidRDefault="003630A8" w:rsidP="000025D5">
            <w:pPr>
              <w:spacing w:after="0" w:line="240" w:lineRule="auto"/>
              <w:jc w:val="right"/>
              <w:rPr>
                <w:rFonts w:ascii="Arial" w:hAnsi="Arial" w:cs="Arial"/>
                <w:sz w:val="16"/>
                <w:szCs w:val="16"/>
              </w:rPr>
            </w:pPr>
          </w:p>
        </w:tc>
        <w:tc>
          <w:tcPr>
            <w:tcW w:w="850" w:type="dxa"/>
            <w:tcBorders>
              <w:top w:val="nil"/>
              <w:left w:val="nil"/>
              <w:right w:val="nil"/>
            </w:tcBorders>
            <w:shd w:val="clear" w:color="auto" w:fill="auto"/>
            <w:noWrap/>
            <w:vAlign w:val="bottom"/>
            <w:hideMark/>
          </w:tcPr>
          <w:p w14:paraId="5F0D0E90" w14:textId="77777777" w:rsidR="003630A8" w:rsidRPr="00B55E61" w:rsidRDefault="003630A8" w:rsidP="000025D5">
            <w:pPr>
              <w:spacing w:after="0" w:line="240" w:lineRule="auto"/>
              <w:jc w:val="right"/>
              <w:rPr>
                <w:rFonts w:ascii="Times New Roman" w:hAnsi="Times New Roman"/>
                <w:sz w:val="16"/>
                <w:szCs w:val="16"/>
              </w:rPr>
            </w:pPr>
          </w:p>
        </w:tc>
        <w:tc>
          <w:tcPr>
            <w:tcW w:w="851" w:type="dxa"/>
            <w:tcBorders>
              <w:top w:val="nil"/>
              <w:left w:val="nil"/>
              <w:right w:val="nil"/>
            </w:tcBorders>
            <w:shd w:val="clear" w:color="auto" w:fill="auto"/>
            <w:noWrap/>
            <w:vAlign w:val="bottom"/>
            <w:hideMark/>
          </w:tcPr>
          <w:p w14:paraId="12F4825B" w14:textId="77777777" w:rsidR="003630A8" w:rsidRPr="00B55E61" w:rsidRDefault="003630A8" w:rsidP="000025D5">
            <w:pPr>
              <w:spacing w:after="0" w:line="240" w:lineRule="auto"/>
              <w:jc w:val="right"/>
              <w:rPr>
                <w:rFonts w:ascii="Times New Roman" w:hAnsi="Times New Roman"/>
                <w:sz w:val="16"/>
                <w:szCs w:val="16"/>
              </w:rPr>
            </w:pPr>
          </w:p>
        </w:tc>
      </w:tr>
      <w:tr w:rsidR="003B3179" w:rsidRPr="00B55E61" w14:paraId="0B2C3DCF" w14:textId="77777777" w:rsidTr="00264B4E">
        <w:trPr>
          <w:trHeight w:val="204"/>
        </w:trPr>
        <w:tc>
          <w:tcPr>
            <w:tcW w:w="3402" w:type="dxa"/>
            <w:tcBorders>
              <w:top w:val="nil"/>
              <w:left w:val="nil"/>
              <w:right w:val="nil"/>
            </w:tcBorders>
            <w:shd w:val="clear" w:color="auto" w:fill="auto"/>
            <w:vAlign w:val="bottom"/>
            <w:hideMark/>
          </w:tcPr>
          <w:p w14:paraId="42E02D1F" w14:textId="77777777"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Digital Economy Strategy - additional funding</w:t>
            </w:r>
          </w:p>
        </w:tc>
        <w:tc>
          <w:tcPr>
            <w:tcW w:w="866" w:type="dxa"/>
            <w:tcBorders>
              <w:top w:val="nil"/>
              <w:left w:val="nil"/>
              <w:right w:val="nil"/>
            </w:tcBorders>
            <w:shd w:val="clear" w:color="auto" w:fill="auto"/>
            <w:noWrap/>
            <w:vAlign w:val="bottom"/>
            <w:hideMark/>
          </w:tcPr>
          <w:p w14:paraId="2D2FC37F"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5.1</w:t>
            </w:r>
          </w:p>
        </w:tc>
        <w:tc>
          <w:tcPr>
            <w:tcW w:w="903" w:type="dxa"/>
            <w:tcBorders>
              <w:top w:val="nil"/>
              <w:left w:val="nil"/>
              <w:right w:val="nil"/>
            </w:tcBorders>
            <w:shd w:val="clear" w:color="000000" w:fill="E6E6E6"/>
            <w:noWrap/>
            <w:vAlign w:val="bottom"/>
            <w:hideMark/>
          </w:tcPr>
          <w:p w14:paraId="1C6BB2AF" w14:textId="192DE59B" w:rsidR="003B3179" w:rsidRPr="00B55E61" w:rsidRDefault="003B3179" w:rsidP="003B3179">
            <w:pPr>
              <w:spacing w:after="0" w:line="240" w:lineRule="auto"/>
              <w:jc w:val="right"/>
              <w:rPr>
                <w:rFonts w:ascii="Arial" w:hAnsi="Arial" w:cs="Arial"/>
                <w:sz w:val="16"/>
                <w:szCs w:val="16"/>
              </w:rPr>
            </w:pPr>
            <w:r>
              <w:rPr>
                <w:rFonts w:ascii="Arial" w:hAnsi="Arial" w:cs="Arial"/>
                <w:sz w:val="16"/>
                <w:szCs w:val="16"/>
              </w:rPr>
              <w:t xml:space="preserve">- </w:t>
            </w:r>
          </w:p>
        </w:tc>
        <w:tc>
          <w:tcPr>
            <w:tcW w:w="925" w:type="dxa"/>
            <w:tcBorders>
              <w:top w:val="nil"/>
              <w:left w:val="nil"/>
              <w:right w:val="nil"/>
            </w:tcBorders>
            <w:shd w:val="clear" w:color="auto" w:fill="auto"/>
            <w:noWrap/>
            <w:vAlign w:val="bottom"/>
            <w:hideMark/>
          </w:tcPr>
          <w:p w14:paraId="6AB2AB5A" w14:textId="4DDEDDEF" w:rsidR="003B3179" w:rsidRPr="00B55E61" w:rsidRDefault="003B3179" w:rsidP="003B3179">
            <w:pPr>
              <w:spacing w:after="0" w:line="240" w:lineRule="auto"/>
              <w:jc w:val="right"/>
              <w:rPr>
                <w:rFonts w:ascii="Arial" w:hAnsi="Arial" w:cs="Arial"/>
                <w:sz w:val="16"/>
                <w:szCs w:val="16"/>
              </w:rPr>
            </w:pPr>
            <w:r>
              <w:rPr>
                <w:rFonts w:ascii="Arial" w:hAnsi="Arial" w:cs="Arial"/>
                <w:sz w:val="16"/>
                <w:szCs w:val="16"/>
              </w:rPr>
              <w:t xml:space="preserve">8,000 </w:t>
            </w:r>
          </w:p>
        </w:tc>
        <w:tc>
          <w:tcPr>
            <w:tcW w:w="850" w:type="dxa"/>
            <w:tcBorders>
              <w:top w:val="nil"/>
              <w:left w:val="nil"/>
              <w:right w:val="nil"/>
            </w:tcBorders>
            <w:shd w:val="clear" w:color="auto" w:fill="auto"/>
            <w:noWrap/>
            <w:vAlign w:val="bottom"/>
            <w:hideMark/>
          </w:tcPr>
          <w:p w14:paraId="63649C58" w14:textId="453A522C" w:rsidR="003B3179" w:rsidRPr="00B55E61" w:rsidRDefault="003B3179" w:rsidP="003B3179">
            <w:pPr>
              <w:spacing w:after="0" w:line="240" w:lineRule="auto"/>
              <w:jc w:val="right"/>
              <w:rPr>
                <w:rFonts w:ascii="Arial" w:hAnsi="Arial" w:cs="Arial"/>
                <w:sz w:val="16"/>
                <w:szCs w:val="16"/>
              </w:rPr>
            </w:pPr>
            <w:r>
              <w:rPr>
                <w:rFonts w:ascii="Arial" w:hAnsi="Arial" w:cs="Arial"/>
                <w:sz w:val="16"/>
                <w:szCs w:val="16"/>
              </w:rPr>
              <w:t xml:space="preserve">8,000 </w:t>
            </w:r>
          </w:p>
        </w:tc>
        <w:tc>
          <w:tcPr>
            <w:tcW w:w="851" w:type="dxa"/>
            <w:tcBorders>
              <w:top w:val="nil"/>
              <w:left w:val="nil"/>
              <w:right w:val="nil"/>
            </w:tcBorders>
            <w:shd w:val="clear" w:color="auto" w:fill="auto"/>
            <w:noWrap/>
            <w:vAlign w:val="bottom"/>
            <w:hideMark/>
          </w:tcPr>
          <w:p w14:paraId="25CED774" w14:textId="6A096E53" w:rsidR="003B3179" w:rsidRPr="00B55E61" w:rsidRDefault="003B3179" w:rsidP="003B3179">
            <w:pPr>
              <w:spacing w:after="0" w:line="240" w:lineRule="auto"/>
              <w:jc w:val="right"/>
              <w:rPr>
                <w:rFonts w:ascii="Arial" w:hAnsi="Arial" w:cs="Arial"/>
                <w:sz w:val="16"/>
                <w:szCs w:val="16"/>
              </w:rPr>
            </w:pPr>
            <w:r>
              <w:rPr>
                <w:rFonts w:ascii="Arial" w:hAnsi="Arial" w:cs="Arial"/>
                <w:sz w:val="16"/>
                <w:szCs w:val="16"/>
              </w:rPr>
              <w:t xml:space="preserve">4,000 </w:t>
            </w:r>
          </w:p>
        </w:tc>
      </w:tr>
      <w:tr w:rsidR="003B3179" w:rsidRPr="00B55E61" w14:paraId="24610638" w14:textId="77777777" w:rsidTr="00264B4E">
        <w:trPr>
          <w:trHeight w:val="204"/>
        </w:trPr>
        <w:tc>
          <w:tcPr>
            <w:tcW w:w="3402" w:type="dxa"/>
            <w:tcBorders>
              <w:top w:val="nil"/>
              <w:left w:val="nil"/>
              <w:right w:val="nil"/>
            </w:tcBorders>
            <w:shd w:val="clear" w:color="auto" w:fill="auto"/>
            <w:vAlign w:val="bottom"/>
          </w:tcPr>
          <w:p w14:paraId="7966985C" w14:textId="1339B7EF" w:rsidR="003B3179" w:rsidRPr="003B3179" w:rsidRDefault="003B3179" w:rsidP="003B3179">
            <w:pPr>
              <w:spacing w:after="0" w:line="240" w:lineRule="auto"/>
              <w:ind w:left="227"/>
              <w:jc w:val="left"/>
              <w:rPr>
                <w:rFonts w:ascii="Arial" w:hAnsi="Arial" w:cs="Arial"/>
                <w:sz w:val="16"/>
                <w:szCs w:val="16"/>
              </w:rPr>
            </w:pPr>
            <w:r w:rsidRPr="003B3179">
              <w:rPr>
                <w:rFonts w:ascii="Arial" w:hAnsi="Arial" w:cs="Arial"/>
                <w:sz w:val="16"/>
                <w:szCs w:val="16"/>
              </w:rPr>
              <w:t>Media Sector Reforms</w:t>
            </w:r>
          </w:p>
        </w:tc>
        <w:tc>
          <w:tcPr>
            <w:tcW w:w="866" w:type="dxa"/>
            <w:tcBorders>
              <w:top w:val="nil"/>
              <w:left w:val="nil"/>
              <w:right w:val="nil"/>
            </w:tcBorders>
            <w:shd w:val="clear" w:color="auto" w:fill="auto"/>
            <w:noWrap/>
            <w:vAlign w:val="bottom"/>
          </w:tcPr>
          <w:p w14:paraId="6FF0079E" w14:textId="1019345C"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5.1</w:t>
            </w:r>
          </w:p>
        </w:tc>
        <w:tc>
          <w:tcPr>
            <w:tcW w:w="903" w:type="dxa"/>
            <w:tcBorders>
              <w:top w:val="nil"/>
              <w:left w:val="nil"/>
              <w:right w:val="nil"/>
            </w:tcBorders>
            <w:shd w:val="clear" w:color="000000" w:fill="E6E6E6"/>
            <w:noWrap/>
            <w:vAlign w:val="bottom"/>
          </w:tcPr>
          <w:p w14:paraId="66611E86" w14:textId="06DA513B" w:rsidR="003B3179" w:rsidRPr="00B55E61" w:rsidRDefault="003B3179" w:rsidP="003B3179">
            <w:pPr>
              <w:spacing w:after="0" w:line="240" w:lineRule="auto"/>
              <w:jc w:val="right"/>
              <w:rPr>
                <w:rFonts w:ascii="Arial" w:hAnsi="Arial" w:cs="Arial"/>
                <w:sz w:val="16"/>
                <w:szCs w:val="16"/>
              </w:rPr>
            </w:pPr>
            <w:r>
              <w:rPr>
                <w:rFonts w:ascii="Arial" w:hAnsi="Arial" w:cs="Arial"/>
                <w:sz w:val="16"/>
                <w:szCs w:val="16"/>
              </w:rPr>
              <w:t xml:space="preserve">5,000 </w:t>
            </w:r>
          </w:p>
        </w:tc>
        <w:tc>
          <w:tcPr>
            <w:tcW w:w="925" w:type="dxa"/>
            <w:tcBorders>
              <w:top w:val="nil"/>
              <w:left w:val="nil"/>
              <w:right w:val="nil"/>
            </w:tcBorders>
            <w:shd w:val="clear" w:color="auto" w:fill="auto"/>
            <w:noWrap/>
            <w:vAlign w:val="bottom"/>
          </w:tcPr>
          <w:p w14:paraId="36DCEAB3" w14:textId="006AE734" w:rsidR="003B3179" w:rsidRPr="00B55E61" w:rsidRDefault="003B3179" w:rsidP="003B3179">
            <w:pPr>
              <w:spacing w:after="0" w:line="240" w:lineRule="auto"/>
              <w:jc w:val="right"/>
              <w:rPr>
                <w:rFonts w:ascii="Arial" w:hAnsi="Arial" w:cs="Arial"/>
                <w:sz w:val="16"/>
                <w:szCs w:val="16"/>
              </w:rPr>
            </w:pPr>
            <w:r>
              <w:rPr>
                <w:rFonts w:ascii="Arial" w:hAnsi="Arial" w:cs="Arial"/>
                <w:sz w:val="16"/>
                <w:szCs w:val="16"/>
              </w:rPr>
              <w:t xml:space="preserve">5,000 </w:t>
            </w:r>
          </w:p>
        </w:tc>
        <w:tc>
          <w:tcPr>
            <w:tcW w:w="850" w:type="dxa"/>
            <w:tcBorders>
              <w:top w:val="nil"/>
              <w:left w:val="nil"/>
              <w:right w:val="nil"/>
            </w:tcBorders>
            <w:shd w:val="clear" w:color="auto" w:fill="auto"/>
            <w:noWrap/>
            <w:vAlign w:val="bottom"/>
          </w:tcPr>
          <w:p w14:paraId="54249DB5" w14:textId="54526046"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851" w:type="dxa"/>
            <w:tcBorders>
              <w:top w:val="nil"/>
              <w:left w:val="nil"/>
              <w:right w:val="nil"/>
            </w:tcBorders>
            <w:shd w:val="clear" w:color="auto" w:fill="auto"/>
            <w:noWrap/>
            <w:vAlign w:val="bottom"/>
          </w:tcPr>
          <w:p w14:paraId="1BC309F0" w14:textId="18474804"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r>
      <w:tr w:rsidR="003B3179" w:rsidRPr="00B55E61" w14:paraId="59A91EFA" w14:textId="77777777" w:rsidTr="00264B4E">
        <w:trPr>
          <w:trHeight w:val="204"/>
        </w:trPr>
        <w:tc>
          <w:tcPr>
            <w:tcW w:w="3402" w:type="dxa"/>
            <w:tcBorders>
              <w:top w:val="nil"/>
              <w:left w:val="nil"/>
              <w:bottom w:val="nil"/>
              <w:right w:val="nil"/>
            </w:tcBorders>
            <w:shd w:val="clear" w:color="auto" w:fill="auto"/>
            <w:noWrap/>
            <w:vAlign w:val="bottom"/>
            <w:hideMark/>
          </w:tcPr>
          <w:p w14:paraId="610D7034" w14:textId="72C95CE7" w:rsidR="003B3179" w:rsidRPr="00B55E61" w:rsidRDefault="003B3179" w:rsidP="003B3179">
            <w:pPr>
              <w:spacing w:after="0" w:line="240" w:lineRule="auto"/>
              <w:ind w:left="113"/>
              <w:jc w:val="left"/>
              <w:rPr>
                <w:rFonts w:ascii="Arial" w:hAnsi="Arial" w:cs="Arial"/>
                <w:b/>
                <w:bCs/>
                <w:color w:val="000000"/>
                <w:sz w:val="16"/>
                <w:szCs w:val="16"/>
              </w:rPr>
            </w:pPr>
            <w:r w:rsidRPr="005F6D89">
              <w:rPr>
                <w:rFonts w:ascii="Arial" w:hAnsi="Arial" w:cs="Arial"/>
                <w:b/>
                <w:bCs/>
                <w:sz w:val="16"/>
                <w:szCs w:val="16"/>
              </w:rPr>
              <w:t>Other</w:t>
            </w:r>
            <w:r w:rsidRPr="00B55E61">
              <w:rPr>
                <w:rFonts w:ascii="Arial" w:hAnsi="Arial" w:cs="Arial"/>
                <w:b/>
                <w:bCs/>
                <w:color w:val="000000"/>
                <w:sz w:val="16"/>
                <w:szCs w:val="16"/>
              </w:rPr>
              <w:t xml:space="preserve"> Variations</w:t>
            </w:r>
          </w:p>
        </w:tc>
        <w:tc>
          <w:tcPr>
            <w:tcW w:w="866" w:type="dxa"/>
            <w:tcBorders>
              <w:top w:val="nil"/>
              <w:left w:val="nil"/>
              <w:bottom w:val="nil"/>
              <w:right w:val="nil"/>
            </w:tcBorders>
            <w:shd w:val="clear" w:color="auto" w:fill="auto"/>
            <w:noWrap/>
            <w:vAlign w:val="bottom"/>
            <w:hideMark/>
          </w:tcPr>
          <w:p w14:paraId="5B967014" w14:textId="77777777" w:rsidR="003B3179" w:rsidRPr="00B55E61" w:rsidRDefault="003B3179" w:rsidP="003B3179">
            <w:pPr>
              <w:spacing w:after="0" w:line="240" w:lineRule="auto"/>
              <w:ind w:firstLineChars="100" w:firstLine="160"/>
              <w:jc w:val="right"/>
              <w:rPr>
                <w:rFonts w:ascii="Arial" w:hAnsi="Arial" w:cs="Arial"/>
                <w:b/>
                <w:bCs/>
                <w:color w:val="000000"/>
                <w:sz w:val="16"/>
                <w:szCs w:val="16"/>
              </w:rPr>
            </w:pPr>
          </w:p>
        </w:tc>
        <w:tc>
          <w:tcPr>
            <w:tcW w:w="903" w:type="dxa"/>
            <w:tcBorders>
              <w:top w:val="nil"/>
              <w:left w:val="nil"/>
              <w:bottom w:val="nil"/>
              <w:right w:val="nil"/>
            </w:tcBorders>
            <w:shd w:val="clear" w:color="000000" w:fill="E6E6E6"/>
            <w:noWrap/>
            <w:vAlign w:val="bottom"/>
            <w:hideMark/>
          </w:tcPr>
          <w:p w14:paraId="35568C67" w14:textId="6F75B3C1" w:rsidR="003B3179" w:rsidRPr="00B55E61" w:rsidRDefault="003B3179" w:rsidP="003B3179">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vAlign w:val="bottom"/>
            <w:hideMark/>
          </w:tcPr>
          <w:p w14:paraId="54551CCA" w14:textId="117DDEF0" w:rsidR="003B3179" w:rsidRPr="00B55E61" w:rsidRDefault="003B3179" w:rsidP="003B3179">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603E5543" w14:textId="6FB7FFC7" w:rsidR="003B3179" w:rsidRPr="00B55E61" w:rsidRDefault="003B3179" w:rsidP="003B3179">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5259CA0C" w14:textId="59E8D40B" w:rsidR="003B3179" w:rsidRPr="00B55E61" w:rsidRDefault="003B3179" w:rsidP="003B3179">
            <w:pPr>
              <w:spacing w:after="0" w:line="240" w:lineRule="auto"/>
              <w:jc w:val="right"/>
              <w:rPr>
                <w:rFonts w:ascii="Arial" w:hAnsi="Arial" w:cs="Arial"/>
                <w:sz w:val="16"/>
                <w:szCs w:val="16"/>
              </w:rPr>
            </w:pPr>
          </w:p>
        </w:tc>
      </w:tr>
      <w:tr w:rsidR="003B3179" w:rsidRPr="00B55E61" w14:paraId="4572EF4A" w14:textId="77777777" w:rsidTr="00264B4E">
        <w:trPr>
          <w:trHeight w:val="204"/>
        </w:trPr>
        <w:tc>
          <w:tcPr>
            <w:tcW w:w="3402" w:type="dxa"/>
            <w:tcBorders>
              <w:top w:val="nil"/>
              <w:left w:val="nil"/>
              <w:bottom w:val="nil"/>
              <w:right w:val="nil"/>
            </w:tcBorders>
            <w:shd w:val="clear" w:color="auto" w:fill="auto"/>
            <w:vAlign w:val="bottom"/>
            <w:hideMark/>
          </w:tcPr>
          <w:p w14:paraId="481636E2" w14:textId="77777777"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Movement of funds</w:t>
            </w:r>
          </w:p>
        </w:tc>
        <w:tc>
          <w:tcPr>
            <w:tcW w:w="866" w:type="dxa"/>
            <w:tcBorders>
              <w:top w:val="nil"/>
              <w:left w:val="nil"/>
              <w:bottom w:val="nil"/>
              <w:right w:val="nil"/>
            </w:tcBorders>
            <w:shd w:val="clear" w:color="auto" w:fill="auto"/>
            <w:noWrap/>
            <w:vAlign w:val="bottom"/>
            <w:hideMark/>
          </w:tcPr>
          <w:p w14:paraId="174462AE"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5.1</w:t>
            </w:r>
          </w:p>
        </w:tc>
        <w:tc>
          <w:tcPr>
            <w:tcW w:w="903" w:type="dxa"/>
            <w:tcBorders>
              <w:top w:val="nil"/>
              <w:left w:val="nil"/>
              <w:bottom w:val="nil"/>
              <w:right w:val="nil"/>
            </w:tcBorders>
            <w:shd w:val="clear" w:color="000000" w:fill="E6E6E6"/>
            <w:noWrap/>
            <w:vAlign w:val="bottom"/>
            <w:hideMark/>
          </w:tcPr>
          <w:p w14:paraId="358A7A3D" w14:textId="7777777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(8,070)</w:t>
            </w:r>
          </w:p>
        </w:tc>
        <w:tc>
          <w:tcPr>
            <w:tcW w:w="925" w:type="dxa"/>
            <w:tcBorders>
              <w:top w:val="nil"/>
              <w:left w:val="nil"/>
              <w:bottom w:val="nil"/>
              <w:right w:val="nil"/>
            </w:tcBorders>
            <w:shd w:val="clear" w:color="auto" w:fill="auto"/>
            <w:noWrap/>
            <w:vAlign w:val="bottom"/>
            <w:hideMark/>
          </w:tcPr>
          <w:p w14:paraId="1C804583" w14:textId="58AE76EB"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56,374</w:t>
            </w:r>
          </w:p>
        </w:tc>
        <w:tc>
          <w:tcPr>
            <w:tcW w:w="850" w:type="dxa"/>
            <w:tcBorders>
              <w:top w:val="nil"/>
              <w:left w:val="nil"/>
              <w:bottom w:val="nil"/>
              <w:right w:val="nil"/>
            </w:tcBorders>
            <w:shd w:val="clear" w:color="auto" w:fill="auto"/>
            <w:noWrap/>
            <w:vAlign w:val="bottom"/>
            <w:hideMark/>
          </w:tcPr>
          <w:p w14:paraId="7FF773C6" w14:textId="381506AA"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1,160</w:t>
            </w:r>
          </w:p>
        </w:tc>
        <w:tc>
          <w:tcPr>
            <w:tcW w:w="851" w:type="dxa"/>
            <w:tcBorders>
              <w:top w:val="nil"/>
              <w:left w:val="nil"/>
              <w:bottom w:val="nil"/>
              <w:right w:val="nil"/>
            </w:tcBorders>
            <w:shd w:val="clear" w:color="auto" w:fill="auto"/>
            <w:noWrap/>
            <w:vAlign w:val="bottom"/>
            <w:hideMark/>
          </w:tcPr>
          <w:p w14:paraId="5321742E" w14:textId="19AD8AD1"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r>
      <w:tr w:rsidR="003B3179" w:rsidRPr="00B55E61" w14:paraId="227584CB" w14:textId="77777777" w:rsidTr="00264B4E">
        <w:trPr>
          <w:trHeight w:val="204"/>
        </w:trPr>
        <w:tc>
          <w:tcPr>
            <w:tcW w:w="3402" w:type="dxa"/>
            <w:tcBorders>
              <w:top w:val="nil"/>
              <w:left w:val="nil"/>
              <w:bottom w:val="nil"/>
              <w:right w:val="nil"/>
            </w:tcBorders>
            <w:shd w:val="clear" w:color="auto" w:fill="auto"/>
            <w:vAlign w:val="bottom"/>
            <w:hideMark/>
          </w:tcPr>
          <w:p w14:paraId="6552B6E8" w14:textId="77777777"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Changes in parameters</w:t>
            </w:r>
          </w:p>
        </w:tc>
        <w:tc>
          <w:tcPr>
            <w:tcW w:w="866" w:type="dxa"/>
            <w:tcBorders>
              <w:top w:val="nil"/>
              <w:left w:val="nil"/>
              <w:bottom w:val="nil"/>
              <w:right w:val="nil"/>
            </w:tcBorders>
            <w:shd w:val="clear" w:color="auto" w:fill="auto"/>
            <w:noWrap/>
            <w:vAlign w:val="bottom"/>
            <w:hideMark/>
          </w:tcPr>
          <w:p w14:paraId="313FD7FF"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5.1</w:t>
            </w:r>
          </w:p>
        </w:tc>
        <w:tc>
          <w:tcPr>
            <w:tcW w:w="903" w:type="dxa"/>
            <w:tcBorders>
              <w:top w:val="nil"/>
              <w:left w:val="nil"/>
              <w:bottom w:val="nil"/>
              <w:right w:val="nil"/>
            </w:tcBorders>
            <w:shd w:val="clear" w:color="000000" w:fill="E6E6E6"/>
            <w:noWrap/>
            <w:vAlign w:val="bottom"/>
            <w:hideMark/>
          </w:tcPr>
          <w:p w14:paraId="794E12D2" w14:textId="31B32C59"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925" w:type="dxa"/>
            <w:tcBorders>
              <w:top w:val="nil"/>
              <w:left w:val="nil"/>
              <w:bottom w:val="nil"/>
              <w:right w:val="nil"/>
            </w:tcBorders>
            <w:shd w:val="clear" w:color="auto" w:fill="auto"/>
            <w:noWrap/>
            <w:vAlign w:val="bottom"/>
            <w:hideMark/>
          </w:tcPr>
          <w:p w14:paraId="4335038A" w14:textId="41B9238E"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45</w:t>
            </w:r>
          </w:p>
        </w:tc>
        <w:tc>
          <w:tcPr>
            <w:tcW w:w="850" w:type="dxa"/>
            <w:tcBorders>
              <w:top w:val="nil"/>
              <w:left w:val="nil"/>
              <w:bottom w:val="nil"/>
              <w:right w:val="nil"/>
            </w:tcBorders>
            <w:shd w:val="clear" w:color="auto" w:fill="auto"/>
            <w:noWrap/>
            <w:vAlign w:val="bottom"/>
            <w:hideMark/>
          </w:tcPr>
          <w:p w14:paraId="63D5ABB5" w14:textId="7695D48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113</w:t>
            </w:r>
          </w:p>
        </w:tc>
        <w:tc>
          <w:tcPr>
            <w:tcW w:w="851" w:type="dxa"/>
            <w:tcBorders>
              <w:top w:val="nil"/>
              <w:left w:val="nil"/>
              <w:bottom w:val="nil"/>
              <w:right w:val="nil"/>
            </w:tcBorders>
            <w:shd w:val="clear" w:color="auto" w:fill="auto"/>
            <w:noWrap/>
            <w:vAlign w:val="bottom"/>
            <w:hideMark/>
          </w:tcPr>
          <w:p w14:paraId="17293225" w14:textId="6D0725FE"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211</w:t>
            </w:r>
          </w:p>
        </w:tc>
      </w:tr>
      <w:tr w:rsidR="003B3179" w:rsidRPr="00B55E61" w14:paraId="14399515" w14:textId="77777777" w:rsidTr="00264B4E">
        <w:trPr>
          <w:trHeight w:val="204"/>
        </w:trPr>
        <w:tc>
          <w:tcPr>
            <w:tcW w:w="3402" w:type="dxa"/>
            <w:tcBorders>
              <w:top w:val="nil"/>
              <w:left w:val="nil"/>
              <w:bottom w:val="nil"/>
              <w:right w:val="nil"/>
            </w:tcBorders>
            <w:shd w:val="clear" w:color="auto" w:fill="auto"/>
            <w:vAlign w:val="bottom"/>
            <w:hideMark/>
          </w:tcPr>
          <w:p w14:paraId="117420F0" w14:textId="77777777"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Changes in foreign exchange rate</w:t>
            </w:r>
          </w:p>
        </w:tc>
        <w:tc>
          <w:tcPr>
            <w:tcW w:w="866" w:type="dxa"/>
            <w:tcBorders>
              <w:top w:val="nil"/>
              <w:left w:val="nil"/>
              <w:bottom w:val="nil"/>
              <w:right w:val="nil"/>
            </w:tcBorders>
            <w:shd w:val="clear" w:color="auto" w:fill="auto"/>
            <w:noWrap/>
            <w:vAlign w:val="bottom"/>
            <w:hideMark/>
          </w:tcPr>
          <w:p w14:paraId="2F204BB7"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5.1</w:t>
            </w:r>
          </w:p>
        </w:tc>
        <w:tc>
          <w:tcPr>
            <w:tcW w:w="903" w:type="dxa"/>
            <w:tcBorders>
              <w:top w:val="nil"/>
              <w:left w:val="nil"/>
              <w:right w:val="nil"/>
            </w:tcBorders>
            <w:shd w:val="clear" w:color="000000" w:fill="E6E6E6"/>
            <w:noWrap/>
            <w:vAlign w:val="bottom"/>
            <w:hideMark/>
          </w:tcPr>
          <w:p w14:paraId="05056B9F" w14:textId="7777777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(126)</w:t>
            </w:r>
          </w:p>
        </w:tc>
        <w:tc>
          <w:tcPr>
            <w:tcW w:w="925" w:type="dxa"/>
            <w:tcBorders>
              <w:top w:val="nil"/>
              <w:left w:val="nil"/>
              <w:right w:val="nil"/>
            </w:tcBorders>
            <w:shd w:val="clear" w:color="auto" w:fill="auto"/>
            <w:noWrap/>
            <w:vAlign w:val="bottom"/>
            <w:hideMark/>
          </w:tcPr>
          <w:p w14:paraId="3BFE78D2" w14:textId="4649714B"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9</w:t>
            </w:r>
          </w:p>
        </w:tc>
        <w:tc>
          <w:tcPr>
            <w:tcW w:w="850" w:type="dxa"/>
            <w:tcBorders>
              <w:top w:val="nil"/>
              <w:left w:val="nil"/>
              <w:right w:val="nil"/>
            </w:tcBorders>
            <w:shd w:val="clear" w:color="auto" w:fill="auto"/>
            <w:noWrap/>
            <w:vAlign w:val="bottom"/>
            <w:hideMark/>
          </w:tcPr>
          <w:p w14:paraId="2C6DE3C3" w14:textId="0A8C1301"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159</w:t>
            </w:r>
          </w:p>
        </w:tc>
        <w:tc>
          <w:tcPr>
            <w:tcW w:w="851" w:type="dxa"/>
            <w:tcBorders>
              <w:top w:val="nil"/>
              <w:left w:val="nil"/>
              <w:right w:val="nil"/>
            </w:tcBorders>
            <w:shd w:val="clear" w:color="auto" w:fill="auto"/>
            <w:noWrap/>
            <w:vAlign w:val="bottom"/>
            <w:hideMark/>
          </w:tcPr>
          <w:p w14:paraId="0EC770A8" w14:textId="7777777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(3)</w:t>
            </w:r>
          </w:p>
        </w:tc>
      </w:tr>
      <w:tr w:rsidR="003B3179" w:rsidRPr="00B55E61" w14:paraId="143E5F49" w14:textId="77777777" w:rsidTr="00264B4E">
        <w:trPr>
          <w:trHeight w:val="204"/>
        </w:trPr>
        <w:tc>
          <w:tcPr>
            <w:tcW w:w="3402" w:type="dxa"/>
            <w:tcBorders>
              <w:top w:val="nil"/>
              <w:left w:val="nil"/>
              <w:bottom w:val="nil"/>
              <w:right w:val="nil"/>
            </w:tcBorders>
            <w:shd w:val="clear" w:color="auto" w:fill="auto"/>
            <w:vAlign w:val="bottom"/>
            <w:hideMark/>
          </w:tcPr>
          <w:p w14:paraId="0018F504" w14:textId="2411998F" w:rsidR="003B3179" w:rsidRPr="00B55E61" w:rsidRDefault="003B3179" w:rsidP="003B3179">
            <w:pPr>
              <w:spacing w:after="0" w:line="240" w:lineRule="auto"/>
              <w:ind w:left="227"/>
              <w:jc w:val="left"/>
              <w:rPr>
                <w:rFonts w:ascii="Arial" w:hAnsi="Arial" w:cs="Arial"/>
                <w:sz w:val="16"/>
                <w:szCs w:val="16"/>
              </w:rPr>
            </w:pPr>
            <w:r>
              <w:rPr>
                <w:rFonts w:ascii="Arial" w:hAnsi="Arial" w:cs="Arial"/>
                <w:sz w:val="16"/>
                <w:szCs w:val="16"/>
              </w:rPr>
              <w:t>Estimates v</w:t>
            </w:r>
            <w:r w:rsidRPr="00B55E61">
              <w:rPr>
                <w:rFonts w:ascii="Arial" w:hAnsi="Arial" w:cs="Arial"/>
                <w:sz w:val="16"/>
                <w:szCs w:val="16"/>
              </w:rPr>
              <w:t>ariations</w:t>
            </w:r>
          </w:p>
        </w:tc>
        <w:tc>
          <w:tcPr>
            <w:tcW w:w="866" w:type="dxa"/>
            <w:tcBorders>
              <w:top w:val="nil"/>
              <w:left w:val="nil"/>
              <w:bottom w:val="nil"/>
              <w:right w:val="nil"/>
            </w:tcBorders>
            <w:shd w:val="clear" w:color="auto" w:fill="auto"/>
            <w:noWrap/>
            <w:vAlign w:val="bottom"/>
            <w:hideMark/>
          </w:tcPr>
          <w:p w14:paraId="587C3846"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5.1</w:t>
            </w:r>
          </w:p>
        </w:tc>
        <w:tc>
          <w:tcPr>
            <w:tcW w:w="903" w:type="dxa"/>
            <w:tcBorders>
              <w:top w:val="nil"/>
              <w:left w:val="nil"/>
              <w:bottom w:val="single" w:sz="4" w:space="0" w:color="auto"/>
              <w:right w:val="nil"/>
            </w:tcBorders>
            <w:shd w:val="clear" w:color="000000" w:fill="E6E6E6"/>
            <w:noWrap/>
            <w:vAlign w:val="bottom"/>
            <w:hideMark/>
          </w:tcPr>
          <w:p w14:paraId="3087BA83" w14:textId="7777777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(4,236)</w:t>
            </w:r>
          </w:p>
        </w:tc>
        <w:tc>
          <w:tcPr>
            <w:tcW w:w="925" w:type="dxa"/>
            <w:tcBorders>
              <w:top w:val="nil"/>
              <w:left w:val="nil"/>
              <w:bottom w:val="single" w:sz="4" w:space="0" w:color="auto"/>
              <w:right w:val="nil"/>
            </w:tcBorders>
            <w:shd w:val="clear" w:color="auto" w:fill="auto"/>
            <w:noWrap/>
            <w:vAlign w:val="bottom"/>
            <w:hideMark/>
          </w:tcPr>
          <w:p w14:paraId="620AF5F9" w14:textId="3AC1CF2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850" w:type="dxa"/>
            <w:tcBorders>
              <w:top w:val="nil"/>
              <w:left w:val="nil"/>
              <w:bottom w:val="single" w:sz="4" w:space="0" w:color="auto"/>
              <w:right w:val="nil"/>
            </w:tcBorders>
            <w:shd w:val="clear" w:color="auto" w:fill="auto"/>
            <w:noWrap/>
            <w:vAlign w:val="bottom"/>
            <w:hideMark/>
          </w:tcPr>
          <w:p w14:paraId="598B4F1C" w14:textId="3834D114"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851" w:type="dxa"/>
            <w:tcBorders>
              <w:top w:val="nil"/>
              <w:left w:val="nil"/>
              <w:bottom w:val="single" w:sz="4" w:space="0" w:color="auto"/>
              <w:right w:val="nil"/>
            </w:tcBorders>
            <w:shd w:val="clear" w:color="auto" w:fill="auto"/>
            <w:noWrap/>
            <w:vAlign w:val="bottom"/>
            <w:hideMark/>
          </w:tcPr>
          <w:p w14:paraId="5066D676" w14:textId="5D45B1CC"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r>
      <w:tr w:rsidR="003B3179" w:rsidRPr="00B55E61" w14:paraId="3E736408" w14:textId="77777777" w:rsidTr="00264B4E">
        <w:trPr>
          <w:trHeight w:val="204"/>
        </w:trPr>
        <w:tc>
          <w:tcPr>
            <w:tcW w:w="3402" w:type="dxa"/>
            <w:tcBorders>
              <w:top w:val="nil"/>
              <w:left w:val="nil"/>
              <w:bottom w:val="nil"/>
              <w:right w:val="nil"/>
            </w:tcBorders>
            <w:shd w:val="clear" w:color="auto" w:fill="auto"/>
            <w:vAlign w:val="bottom"/>
            <w:hideMark/>
          </w:tcPr>
          <w:p w14:paraId="37DA3502" w14:textId="7F0BADE4" w:rsidR="003B3179" w:rsidRPr="00B55E61" w:rsidRDefault="003B3179" w:rsidP="003B3179">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Net impact on appropriations for</w:t>
            </w:r>
            <w:r>
              <w:rPr>
                <w:rFonts w:ascii="Arial" w:hAnsi="Arial" w:cs="Arial"/>
                <w:b/>
                <w:bCs/>
                <w:color w:val="000000"/>
                <w:sz w:val="16"/>
                <w:szCs w:val="16"/>
              </w:rPr>
              <w:t xml:space="preserve"> Outcome 5 (A</w:t>
            </w:r>
            <w:r w:rsidRPr="00B55E61">
              <w:rPr>
                <w:rFonts w:ascii="Arial" w:hAnsi="Arial" w:cs="Arial"/>
                <w:b/>
                <w:bCs/>
                <w:color w:val="000000"/>
                <w:sz w:val="16"/>
                <w:szCs w:val="16"/>
              </w:rPr>
              <w:t>dministered)</w:t>
            </w:r>
          </w:p>
        </w:tc>
        <w:tc>
          <w:tcPr>
            <w:tcW w:w="866" w:type="dxa"/>
            <w:tcBorders>
              <w:top w:val="nil"/>
              <w:left w:val="nil"/>
              <w:bottom w:val="nil"/>
              <w:right w:val="nil"/>
            </w:tcBorders>
            <w:shd w:val="clear" w:color="auto" w:fill="auto"/>
            <w:noWrap/>
            <w:vAlign w:val="bottom"/>
            <w:hideMark/>
          </w:tcPr>
          <w:p w14:paraId="49305E20" w14:textId="77777777" w:rsidR="003B3179" w:rsidRPr="00B55E61" w:rsidRDefault="003B3179" w:rsidP="003B3179">
            <w:pPr>
              <w:spacing w:after="0" w:line="240" w:lineRule="auto"/>
              <w:jc w:val="right"/>
              <w:rPr>
                <w:rFonts w:ascii="Arial" w:hAnsi="Arial" w:cs="Arial"/>
                <w:b/>
                <w:bCs/>
                <w:color w:val="000000"/>
                <w:sz w:val="16"/>
                <w:szCs w:val="16"/>
              </w:rPr>
            </w:pPr>
          </w:p>
        </w:tc>
        <w:tc>
          <w:tcPr>
            <w:tcW w:w="903" w:type="dxa"/>
            <w:tcBorders>
              <w:top w:val="single" w:sz="4" w:space="0" w:color="auto"/>
              <w:left w:val="nil"/>
              <w:bottom w:val="single" w:sz="4" w:space="0" w:color="auto"/>
              <w:right w:val="nil"/>
            </w:tcBorders>
            <w:shd w:val="clear" w:color="000000" w:fill="E6E6E6"/>
            <w:noWrap/>
            <w:vAlign w:val="bottom"/>
            <w:hideMark/>
          </w:tcPr>
          <w:p w14:paraId="5F97C7A4" w14:textId="2B33BB7B"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(7,432)</w:t>
            </w:r>
          </w:p>
        </w:tc>
        <w:tc>
          <w:tcPr>
            <w:tcW w:w="925" w:type="dxa"/>
            <w:tcBorders>
              <w:top w:val="single" w:sz="4" w:space="0" w:color="auto"/>
              <w:left w:val="nil"/>
              <w:bottom w:val="single" w:sz="4" w:space="0" w:color="auto"/>
              <w:right w:val="nil"/>
            </w:tcBorders>
            <w:shd w:val="clear" w:color="auto" w:fill="auto"/>
            <w:noWrap/>
            <w:vAlign w:val="bottom"/>
            <w:hideMark/>
          </w:tcPr>
          <w:p w14:paraId="5CD2CC7F" w14:textId="37153851"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 xml:space="preserve">69,428 </w:t>
            </w:r>
          </w:p>
        </w:tc>
        <w:tc>
          <w:tcPr>
            <w:tcW w:w="850" w:type="dxa"/>
            <w:tcBorders>
              <w:top w:val="single" w:sz="4" w:space="0" w:color="auto"/>
              <w:left w:val="nil"/>
              <w:bottom w:val="single" w:sz="4" w:space="0" w:color="auto"/>
              <w:right w:val="nil"/>
            </w:tcBorders>
            <w:shd w:val="clear" w:color="auto" w:fill="auto"/>
            <w:noWrap/>
            <w:vAlign w:val="bottom"/>
            <w:hideMark/>
          </w:tcPr>
          <w:p w14:paraId="1DFC0FE3" w14:textId="58AEBAE9"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 xml:space="preserve">9,432 </w:t>
            </w:r>
          </w:p>
        </w:tc>
        <w:tc>
          <w:tcPr>
            <w:tcW w:w="851" w:type="dxa"/>
            <w:tcBorders>
              <w:top w:val="single" w:sz="4" w:space="0" w:color="auto"/>
              <w:left w:val="nil"/>
              <w:bottom w:val="single" w:sz="4" w:space="0" w:color="auto"/>
              <w:right w:val="nil"/>
            </w:tcBorders>
            <w:shd w:val="clear" w:color="auto" w:fill="auto"/>
            <w:noWrap/>
            <w:vAlign w:val="bottom"/>
            <w:hideMark/>
          </w:tcPr>
          <w:p w14:paraId="69FA3295" w14:textId="7C2D0105"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 xml:space="preserve">4,208 </w:t>
            </w:r>
          </w:p>
        </w:tc>
      </w:tr>
      <w:tr w:rsidR="003B3179" w:rsidRPr="00B55E61" w14:paraId="07AC3BFB" w14:textId="77777777" w:rsidTr="00264B4E">
        <w:trPr>
          <w:trHeight w:val="204"/>
        </w:trPr>
        <w:tc>
          <w:tcPr>
            <w:tcW w:w="3402" w:type="dxa"/>
            <w:tcBorders>
              <w:top w:val="nil"/>
              <w:left w:val="nil"/>
              <w:bottom w:val="nil"/>
              <w:right w:val="nil"/>
            </w:tcBorders>
            <w:shd w:val="clear" w:color="auto" w:fill="auto"/>
            <w:noWrap/>
            <w:vAlign w:val="bottom"/>
            <w:hideMark/>
          </w:tcPr>
          <w:p w14:paraId="6BD161F1" w14:textId="065C37E0" w:rsidR="003B3179" w:rsidRPr="00B55E61" w:rsidRDefault="003B3179" w:rsidP="003B3179">
            <w:pPr>
              <w:spacing w:after="0" w:line="240" w:lineRule="auto"/>
              <w:jc w:val="left"/>
              <w:rPr>
                <w:rFonts w:ascii="Arial" w:hAnsi="Arial" w:cs="Arial"/>
                <w:b/>
                <w:bCs/>
                <w:sz w:val="16"/>
                <w:szCs w:val="16"/>
              </w:rPr>
            </w:pPr>
            <w:r>
              <w:rPr>
                <w:rFonts w:ascii="Arial" w:hAnsi="Arial" w:cs="Arial"/>
                <w:b/>
                <w:bCs/>
                <w:sz w:val="16"/>
                <w:szCs w:val="16"/>
              </w:rPr>
              <w:t>Department</w:t>
            </w:r>
            <w:r w:rsidRPr="00B55E61">
              <w:rPr>
                <w:rFonts w:ascii="Arial" w:hAnsi="Arial" w:cs="Arial"/>
                <w:b/>
                <w:bCs/>
                <w:sz w:val="16"/>
                <w:szCs w:val="16"/>
              </w:rPr>
              <w:t>al</w:t>
            </w:r>
          </w:p>
        </w:tc>
        <w:tc>
          <w:tcPr>
            <w:tcW w:w="866" w:type="dxa"/>
            <w:tcBorders>
              <w:top w:val="nil"/>
              <w:left w:val="nil"/>
              <w:bottom w:val="nil"/>
              <w:right w:val="nil"/>
            </w:tcBorders>
            <w:shd w:val="clear" w:color="auto" w:fill="auto"/>
            <w:noWrap/>
            <w:vAlign w:val="bottom"/>
            <w:hideMark/>
          </w:tcPr>
          <w:p w14:paraId="5AA74EFD" w14:textId="77777777" w:rsidR="003B3179" w:rsidRPr="00B55E61" w:rsidRDefault="003B3179" w:rsidP="003B3179">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5F8E243D" w14:textId="2D9BEABF" w:rsidR="003B3179" w:rsidRPr="00B55E61" w:rsidRDefault="003B3179" w:rsidP="003B3179">
            <w:pPr>
              <w:spacing w:after="0" w:line="240" w:lineRule="auto"/>
              <w:jc w:val="right"/>
              <w:rPr>
                <w:rFonts w:ascii="Arial" w:hAnsi="Arial" w:cs="Arial"/>
                <w:b/>
                <w:bCs/>
                <w:sz w:val="16"/>
                <w:szCs w:val="16"/>
              </w:rPr>
            </w:pPr>
          </w:p>
        </w:tc>
        <w:tc>
          <w:tcPr>
            <w:tcW w:w="925" w:type="dxa"/>
            <w:tcBorders>
              <w:top w:val="nil"/>
              <w:left w:val="nil"/>
              <w:bottom w:val="nil"/>
              <w:right w:val="nil"/>
            </w:tcBorders>
            <w:shd w:val="clear" w:color="auto" w:fill="auto"/>
            <w:noWrap/>
            <w:vAlign w:val="bottom"/>
            <w:hideMark/>
          </w:tcPr>
          <w:p w14:paraId="6B111A50" w14:textId="77777777" w:rsidR="003B3179" w:rsidRPr="00B55E61" w:rsidRDefault="003B3179" w:rsidP="003B3179">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0A2B6D52" w14:textId="77777777" w:rsidR="003B3179" w:rsidRPr="00B55E61" w:rsidRDefault="003B3179" w:rsidP="003B3179">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3F0D98D0" w14:textId="77777777" w:rsidR="003B3179" w:rsidRPr="00B55E61" w:rsidRDefault="003B3179" w:rsidP="003B3179">
            <w:pPr>
              <w:spacing w:after="0" w:line="240" w:lineRule="auto"/>
              <w:jc w:val="right"/>
              <w:rPr>
                <w:rFonts w:ascii="Times New Roman" w:hAnsi="Times New Roman"/>
                <w:sz w:val="16"/>
                <w:szCs w:val="16"/>
              </w:rPr>
            </w:pPr>
          </w:p>
        </w:tc>
      </w:tr>
      <w:tr w:rsidR="003B3179" w:rsidRPr="00B55E61" w14:paraId="4F9BD90E" w14:textId="77777777" w:rsidTr="00264B4E">
        <w:trPr>
          <w:trHeight w:val="204"/>
        </w:trPr>
        <w:tc>
          <w:tcPr>
            <w:tcW w:w="3402" w:type="dxa"/>
            <w:tcBorders>
              <w:top w:val="nil"/>
              <w:left w:val="nil"/>
              <w:bottom w:val="nil"/>
              <w:right w:val="nil"/>
            </w:tcBorders>
            <w:shd w:val="clear" w:color="auto" w:fill="auto"/>
            <w:noWrap/>
            <w:vAlign w:val="bottom"/>
            <w:hideMark/>
          </w:tcPr>
          <w:p w14:paraId="7585CC8B" w14:textId="49DB7B2F" w:rsidR="003B3179" w:rsidRPr="00B55E61" w:rsidRDefault="003B3179" w:rsidP="003B3179">
            <w:pPr>
              <w:spacing w:after="0" w:line="240" w:lineRule="auto"/>
              <w:ind w:left="113"/>
              <w:jc w:val="left"/>
              <w:rPr>
                <w:rFonts w:ascii="Arial" w:hAnsi="Arial" w:cs="Arial"/>
                <w:b/>
                <w:bCs/>
                <w:sz w:val="16"/>
                <w:szCs w:val="16"/>
              </w:rPr>
            </w:pPr>
            <w:r w:rsidRPr="00B55E61">
              <w:rPr>
                <w:rFonts w:ascii="Arial" w:hAnsi="Arial" w:cs="Arial"/>
                <w:b/>
                <w:bCs/>
                <w:sz w:val="16"/>
                <w:szCs w:val="16"/>
              </w:rPr>
              <w:t>Measures</w:t>
            </w:r>
          </w:p>
        </w:tc>
        <w:tc>
          <w:tcPr>
            <w:tcW w:w="866" w:type="dxa"/>
            <w:tcBorders>
              <w:top w:val="nil"/>
              <w:left w:val="nil"/>
              <w:bottom w:val="nil"/>
              <w:right w:val="nil"/>
            </w:tcBorders>
            <w:shd w:val="clear" w:color="auto" w:fill="auto"/>
            <w:noWrap/>
            <w:vAlign w:val="bottom"/>
            <w:hideMark/>
          </w:tcPr>
          <w:p w14:paraId="2904F1D3" w14:textId="77777777" w:rsidR="003B3179" w:rsidRPr="00B55E61" w:rsidRDefault="003B3179" w:rsidP="003B3179">
            <w:pPr>
              <w:spacing w:after="0" w:line="240" w:lineRule="auto"/>
              <w:ind w:firstLineChars="100" w:firstLine="160"/>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3DBDF2E9" w14:textId="51895C5B" w:rsidR="003B3179" w:rsidRPr="00B55E61" w:rsidRDefault="003B3179" w:rsidP="003B3179">
            <w:pPr>
              <w:spacing w:after="0" w:line="240" w:lineRule="auto"/>
              <w:jc w:val="right"/>
              <w:rPr>
                <w:rFonts w:ascii="Arial" w:hAnsi="Arial" w:cs="Arial"/>
                <w:b/>
                <w:bCs/>
                <w:sz w:val="16"/>
                <w:szCs w:val="16"/>
              </w:rPr>
            </w:pPr>
          </w:p>
        </w:tc>
        <w:tc>
          <w:tcPr>
            <w:tcW w:w="925" w:type="dxa"/>
            <w:tcBorders>
              <w:top w:val="nil"/>
              <w:left w:val="nil"/>
              <w:bottom w:val="nil"/>
              <w:right w:val="nil"/>
            </w:tcBorders>
            <w:shd w:val="clear" w:color="auto" w:fill="auto"/>
            <w:noWrap/>
            <w:vAlign w:val="bottom"/>
            <w:hideMark/>
          </w:tcPr>
          <w:p w14:paraId="3B1CA485" w14:textId="77777777" w:rsidR="003B3179" w:rsidRPr="00B55E61" w:rsidRDefault="003B3179" w:rsidP="003B3179">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54E04DEB" w14:textId="77777777" w:rsidR="003B3179" w:rsidRPr="00B55E61" w:rsidRDefault="003B3179" w:rsidP="003B3179">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3C1A14C7" w14:textId="77777777" w:rsidR="003B3179" w:rsidRPr="00B55E61" w:rsidRDefault="003B3179" w:rsidP="003B3179">
            <w:pPr>
              <w:spacing w:after="0" w:line="240" w:lineRule="auto"/>
              <w:jc w:val="right"/>
              <w:rPr>
                <w:rFonts w:ascii="Times New Roman" w:hAnsi="Times New Roman"/>
                <w:sz w:val="16"/>
                <w:szCs w:val="16"/>
              </w:rPr>
            </w:pPr>
          </w:p>
        </w:tc>
      </w:tr>
      <w:tr w:rsidR="003B3179" w:rsidRPr="00B55E61" w14:paraId="34F951E1" w14:textId="77777777" w:rsidTr="00264B4E">
        <w:trPr>
          <w:trHeight w:val="204"/>
        </w:trPr>
        <w:tc>
          <w:tcPr>
            <w:tcW w:w="3402" w:type="dxa"/>
            <w:tcBorders>
              <w:top w:val="nil"/>
              <w:left w:val="nil"/>
              <w:bottom w:val="nil"/>
              <w:right w:val="nil"/>
            </w:tcBorders>
            <w:shd w:val="clear" w:color="auto" w:fill="auto"/>
            <w:vAlign w:val="bottom"/>
            <w:hideMark/>
          </w:tcPr>
          <w:p w14:paraId="28E2C1DC" w14:textId="77777777"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Digital Economy Strategy - additional funding</w:t>
            </w:r>
          </w:p>
        </w:tc>
        <w:tc>
          <w:tcPr>
            <w:tcW w:w="866" w:type="dxa"/>
            <w:tcBorders>
              <w:top w:val="nil"/>
              <w:left w:val="nil"/>
              <w:bottom w:val="nil"/>
              <w:right w:val="nil"/>
            </w:tcBorders>
            <w:shd w:val="clear" w:color="auto" w:fill="auto"/>
            <w:noWrap/>
            <w:vAlign w:val="bottom"/>
            <w:hideMark/>
          </w:tcPr>
          <w:p w14:paraId="1E33CB3F"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5.2</w:t>
            </w:r>
          </w:p>
        </w:tc>
        <w:tc>
          <w:tcPr>
            <w:tcW w:w="903" w:type="dxa"/>
            <w:tcBorders>
              <w:top w:val="nil"/>
              <w:left w:val="nil"/>
              <w:bottom w:val="nil"/>
              <w:right w:val="nil"/>
            </w:tcBorders>
            <w:shd w:val="clear" w:color="000000" w:fill="E6E6E6"/>
            <w:noWrap/>
            <w:vAlign w:val="bottom"/>
            <w:hideMark/>
          </w:tcPr>
          <w:p w14:paraId="4408FDD0" w14:textId="1DA8E70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560</w:t>
            </w:r>
          </w:p>
        </w:tc>
        <w:tc>
          <w:tcPr>
            <w:tcW w:w="925" w:type="dxa"/>
            <w:tcBorders>
              <w:top w:val="nil"/>
              <w:left w:val="nil"/>
              <w:bottom w:val="nil"/>
              <w:right w:val="nil"/>
            </w:tcBorders>
            <w:shd w:val="clear" w:color="auto" w:fill="auto"/>
            <w:noWrap/>
            <w:vAlign w:val="bottom"/>
            <w:hideMark/>
          </w:tcPr>
          <w:p w14:paraId="27FDEACF" w14:textId="73B3B475"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918</w:t>
            </w:r>
          </w:p>
        </w:tc>
        <w:tc>
          <w:tcPr>
            <w:tcW w:w="850" w:type="dxa"/>
            <w:tcBorders>
              <w:top w:val="nil"/>
              <w:left w:val="nil"/>
              <w:bottom w:val="nil"/>
              <w:right w:val="nil"/>
            </w:tcBorders>
            <w:shd w:val="clear" w:color="auto" w:fill="auto"/>
            <w:noWrap/>
            <w:vAlign w:val="bottom"/>
            <w:hideMark/>
          </w:tcPr>
          <w:p w14:paraId="5325BD4C" w14:textId="501EE031"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640</w:t>
            </w:r>
          </w:p>
        </w:tc>
        <w:tc>
          <w:tcPr>
            <w:tcW w:w="851" w:type="dxa"/>
            <w:tcBorders>
              <w:top w:val="nil"/>
              <w:left w:val="nil"/>
              <w:bottom w:val="nil"/>
              <w:right w:val="nil"/>
            </w:tcBorders>
            <w:shd w:val="clear" w:color="auto" w:fill="auto"/>
            <w:noWrap/>
            <w:vAlign w:val="bottom"/>
            <w:hideMark/>
          </w:tcPr>
          <w:p w14:paraId="69DBEBFE" w14:textId="4B8BA306"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540</w:t>
            </w:r>
          </w:p>
        </w:tc>
      </w:tr>
      <w:tr w:rsidR="003B3179" w:rsidRPr="00B55E61" w14:paraId="5B382B7E" w14:textId="77777777" w:rsidTr="00264B4E">
        <w:trPr>
          <w:trHeight w:val="204"/>
        </w:trPr>
        <w:tc>
          <w:tcPr>
            <w:tcW w:w="3402" w:type="dxa"/>
            <w:tcBorders>
              <w:top w:val="nil"/>
              <w:left w:val="nil"/>
              <w:bottom w:val="nil"/>
              <w:right w:val="nil"/>
            </w:tcBorders>
            <w:shd w:val="clear" w:color="auto" w:fill="auto"/>
            <w:vAlign w:val="bottom"/>
          </w:tcPr>
          <w:p w14:paraId="148719B7" w14:textId="6FA6752C" w:rsidR="003B3179" w:rsidRPr="003B3179" w:rsidRDefault="003B3179" w:rsidP="003B3179">
            <w:pPr>
              <w:spacing w:after="0" w:line="240" w:lineRule="auto"/>
              <w:ind w:left="227"/>
              <w:jc w:val="left"/>
              <w:rPr>
                <w:rFonts w:ascii="Arial" w:hAnsi="Arial" w:cs="Arial"/>
                <w:sz w:val="16"/>
                <w:szCs w:val="16"/>
              </w:rPr>
            </w:pPr>
            <w:r w:rsidRPr="003B3179">
              <w:rPr>
                <w:rFonts w:ascii="Arial" w:hAnsi="Arial" w:cs="Arial"/>
                <w:sz w:val="16"/>
                <w:szCs w:val="16"/>
              </w:rPr>
              <w:t>Media Sector Reforms</w:t>
            </w:r>
          </w:p>
        </w:tc>
        <w:tc>
          <w:tcPr>
            <w:tcW w:w="866" w:type="dxa"/>
            <w:tcBorders>
              <w:top w:val="nil"/>
              <w:left w:val="nil"/>
              <w:bottom w:val="nil"/>
              <w:right w:val="nil"/>
            </w:tcBorders>
            <w:shd w:val="clear" w:color="auto" w:fill="auto"/>
            <w:noWrap/>
            <w:vAlign w:val="bottom"/>
          </w:tcPr>
          <w:p w14:paraId="1DF23EB3" w14:textId="72A3FF8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5.2</w:t>
            </w:r>
          </w:p>
        </w:tc>
        <w:tc>
          <w:tcPr>
            <w:tcW w:w="903" w:type="dxa"/>
            <w:tcBorders>
              <w:top w:val="nil"/>
              <w:left w:val="nil"/>
              <w:bottom w:val="nil"/>
              <w:right w:val="nil"/>
            </w:tcBorders>
            <w:shd w:val="clear" w:color="000000" w:fill="E6E6E6"/>
            <w:noWrap/>
            <w:vAlign w:val="bottom"/>
          </w:tcPr>
          <w:p w14:paraId="715C1BDC" w14:textId="68FD212A" w:rsidR="003B3179" w:rsidRPr="00B55E61" w:rsidRDefault="003B3179" w:rsidP="003B3179">
            <w:pPr>
              <w:spacing w:after="0" w:line="240" w:lineRule="auto"/>
              <w:jc w:val="right"/>
              <w:rPr>
                <w:rFonts w:ascii="Arial" w:hAnsi="Arial" w:cs="Arial"/>
                <w:sz w:val="16"/>
                <w:szCs w:val="16"/>
              </w:rPr>
            </w:pPr>
            <w:r>
              <w:rPr>
                <w:rFonts w:ascii="Arial" w:hAnsi="Arial" w:cs="Arial"/>
                <w:sz w:val="16"/>
                <w:szCs w:val="16"/>
              </w:rPr>
              <w:t xml:space="preserve">2,146 </w:t>
            </w:r>
          </w:p>
        </w:tc>
        <w:tc>
          <w:tcPr>
            <w:tcW w:w="925" w:type="dxa"/>
            <w:tcBorders>
              <w:top w:val="nil"/>
              <w:left w:val="nil"/>
              <w:bottom w:val="nil"/>
              <w:right w:val="nil"/>
            </w:tcBorders>
            <w:shd w:val="clear" w:color="auto" w:fill="auto"/>
            <w:noWrap/>
            <w:vAlign w:val="bottom"/>
          </w:tcPr>
          <w:p w14:paraId="75A5C805" w14:textId="51EE2F49" w:rsidR="003B3179" w:rsidRPr="00B55E61" w:rsidRDefault="003B3179" w:rsidP="003B3179">
            <w:pPr>
              <w:spacing w:after="0" w:line="240" w:lineRule="auto"/>
              <w:jc w:val="right"/>
              <w:rPr>
                <w:rFonts w:ascii="Arial" w:hAnsi="Arial" w:cs="Arial"/>
                <w:sz w:val="16"/>
                <w:szCs w:val="16"/>
              </w:rPr>
            </w:pPr>
            <w:r>
              <w:rPr>
                <w:rFonts w:ascii="Arial" w:hAnsi="Arial" w:cs="Arial"/>
                <w:sz w:val="16"/>
                <w:szCs w:val="16"/>
              </w:rPr>
              <w:t xml:space="preserve">1,557 </w:t>
            </w:r>
          </w:p>
        </w:tc>
        <w:tc>
          <w:tcPr>
            <w:tcW w:w="850" w:type="dxa"/>
            <w:tcBorders>
              <w:top w:val="nil"/>
              <w:left w:val="nil"/>
              <w:bottom w:val="nil"/>
              <w:right w:val="nil"/>
            </w:tcBorders>
            <w:shd w:val="clear" w:color="auto" w:fill="auto"/>
            <w:noWrap/>
            <w:vAlign w:val="bottom"/>
          </w:tcPr>
          <w:p w14:paraId="73F766D1" w14:textId="3998D3FE" w:rsidR="003B3179" w:rsidRPr="00B55E61" w:rsidRDefault="003B3179" w:rsidP="003B3179">
            <w:pPr>
              <w:spacing w:after="0" w:line="240" w:lineRule="auto"/>
              <w:jc w:val="right"/>
              <w:rPr>
                <w:rFonts w:ascii="Arial" w:hAnsi="Arial" w:cs="Arial"/>
                <w:sz w:val="16"/>
                <w:szCs w:val="16"/>
              </w:rPr>
            </w:pPr>
            <w:r>
              <w:rPr>
                <w:rFonts w:ascii="Arial" w:hAnsi="Arial" w:cs="Arial"/>
                <w:sz w:val="16"/>
                <w:szCs w:val="16"/>
              </w:rPr>
              <w:t xml:space="preserve">1,367 </w:t>
            </w:r>
          </w:p>
        </w:tc>
        <w:tc>
          <w:tcPr>
            <w:tcW w:w="851" w:type="dxa"/>
            <w:tcBorders>
              <w:top w:val="nil"/>
              <w:left w:val="nil"/>
              <w:bottom w:val="nil"/>
              <w:right w:val="nil"/>
            </w:tcBorders>
            <w:shd w:val="clear" w:color="auto" w:fill="auto"/>
            <w:noWrap/>
            <w:vAlign w:val="bottom"/>
          </w:tcPr>
          <w:p w14:paraId="75305BA1" w14:textId="319C3CAA"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r>
      <w:tr w:rsidR="003B3179" w:rsidRPr="00B55E61" w14:paraId="24E977FE" w14:textId="77777777" w:rsidTr="00264B4E">
        <w:trPr>
          <w:trHeight w:val="204"/>
        </w:trPr>
        <w:tc>
          <w:tcPr>
            <w:tcW w:w="3402" w:type="dxa"/>
            <w:tcBorders>
              <w:top w:val="nil"/>
              <w:left w:val="nil"/>
              <w:bottom w:val="nil"/>
              <w:right w:val="nil"/>
            </w:tcBorders>
            <w:shd w:val="clear" w:color="auto" w:fill="auto"/>
            <w:noWrap/>
            <w:vAlign w:val="bottom"/>
            <w:hideMark/>
          </w:tcPr>
          <w:p w14:paraId="5BC70013" w14:textId="77777777" w:rsidR="003B3179" w:rsidRPr="00B55E61" w:rsidRDefault="003B3179" w:rsidP="003B3179">
            <w:pPr>
              <w:spacing w:after="0" w:line="240" w:lineRule="auto"/>
              <w:ind w:left="113"/>
              <w:jc w:val="left"/>
              <w:rPr>
                <w:rFonts w:ascii="Arial" w:hAnsi="Arial" w:cs="Arial"/>
                <w:b/>
                <w:bCs/>
                <w:color w:val="000000"/>
                <w:sz w:val="16"/>
                <w:szCs w:val="16"/>
              </w:rPr>
            </w:pPr>
            <w:r w:rsidRPr="005F6D89">
              <w:rPr>
                <w:rFonts w:ascii="Arial" w:hAnsi="Arial" w:cs="Arial"/>
                <w:b/>
                <w:bCs/>
                <w:sz w:val="16"/>
                <w:szCs w:val="16"/>
              </w:rPr>
              <w:t>Other</w:t>
            </w:r>
            <w:r w:rsidRPr="00B55E61">
              <w:rPr>
                <w:rFonts w:ascii="Arial" w:hAnsi="Arial" w:cs="Arial"/>
                <w:b/>
                <w:bCs/>
                <w:color w:val="000000"/>
                <w:sz w:val="16"/>
                <w:szCs w:val="16"/>
              </w:rPr>
              <w:t xml:space="preserve"> Variations</w:t>
            </w:r>
          </w:p>
        </w:tc>
        <w:tc>
          <w:tcPr>
            <w:tcW w:w="866" w:type="dxa"/>
            <w:tcBorders>
              <w:top w:val="nil"/>
              <w:left w:val="nil"/>
              <w:bottom w:val="nil"/>
              <w:right w:val="nil"/>
            </w:tcBorders>
            <w:shd w:val="clear" w:color="auto" w:fill="auto"/>
            <w:noWrap/>
            <w:vAlign w:val="bottom"/>
            <w:hideMark/>
          </w:tcPr>
          <w:p w14:paraId="7C5AC2D9" w14:textId="77777777" w:rsidR="003B3179" w:rsidRPr="00B55E61" w:rsidRDefault="003B3179" w:rsidP="003B3179">
            <w:pPr>
              <w:spacing w:after="0" w:line="240" w:lineRule="auto"/>
              <w:ind w:firstLineChars="100" w:firstLine="160"/>
              <w:jc w:val="right"/>
              <w:rPr>
                <w:rFonts w:ascii="Arial" w:hAnsi="Arial" w:cs="Arial"/>
                <w:b/>
                <w:bCs/>
                <w:color w:val="000000"/>
                <w:sz w:val="16"/>
                <w:szCs w:val="16"/>
              </w:rPr>
            </w:pPr>
          </w:p>
        </w:tc>
        <w:tc>
          <w:tcPr>
            <w:tcW w:w="903" w:type="dxa"/>
            <w:tcBorders>
              <w:top w:val="nil"/>
              <w:left w:val="nil"/>
              <w:bottom w:val="nil"/>
              <w:right w:val="nil"/>
            </w:tcBorders>
            <w:shd w:val="clear" w:color="000000" w:fill="E6E6E6"/>
            <w:noWrap/>
            <w:vAlign w:val="bottom"/>
            <w:hideMark/>
          </w:tcPr>
          <w:p w14:paraId="40F1F8E4" w14:textId="46F9F43F" w:rsidR="003B3179" w:rsidRPr="00B55E61" w:rsidRDefault="003B3179" w:rsidP="003B3179">
            <w:pPr>
              <w:spacing w:after="0" w:line="240" w:lineRule="auto"/>
              <w:jc w:val="right"/>
              <w:rPr>
                <w:rFonts w:ascii="Arial" w:hAnsi="Arial" w:cs="Arial"/>
                <w:b/>
                <w:bCs/>
                <w:sz w:val="16"/>
                <w:szCs w:val="16"/>
              </w:rPr>
            </w:pPr>
          </w:p>
        </w:tc>
        <w:tc>
          <w:tcPr>
            <w:tcW w:w="925" w:type="dxa"/>
            <w:tcBorders>
              <w:top w:val="nil"/>
              <w:left w:val="nil"/>
              <w:bottom w:val="nil"/>
              <w:right w:val="nil"/>
            </w:tcBorders>
            <w:shd w:val="clear" w:color="auto" w:fill="auto"/>
            <w:noWrap/>
            <w:vAlign w:val="bottom"/>
            <w:hideMark/>
          </w:tcPr>
          <w:p w14:paraId="1DE618A0" w14:textId="77777777" w:rsidR="003B3179" w:rsidRPr="00B55E61" w:rsidRDefault="003B3179" w:rsidP="003B3179">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1F4B64C7" w14:textId="77777777" w:rsidR="003B3179" w:rsidRPr="00B55E61" w:rsidRDefault="003B3179" w:rsidP="003B3179">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2A65F80B" w14:textId="77777777" w:rsidR="003B3179" w:rsidRPr="00B55E61" w:rsidRDefault="003B3179" w:rsidP="003B3179">
            <w:pPr>
              <w:spacing w:after="0" w:line="240" w:lineRule="auto"/>
              <w:jc w:val="right"/>
              <w:rPr>
                <w:rFonts w:ascii="Times New Roman" w:hAnsi="Times New Roman"/>
                <w:sz w:val="16"/>
                <w:szCs w:val="16"/>
              </w:rPr>
            </w:pPr>
          </w:p>
        </w:tc>
      </w:tr>
      <w:tr w:rsidR="003B3179" w:rsidRPr="00B55E61" w14:paraId="0AEE97A5" w14:textId="77777777" w:rsidTr="00264B4E">
        <w:trPr>
          <w:trHeight w:val="204"/>
        </w:trPr>
        <w:tc>
          <w:tcPr>
            <w:tcW w:w="3402" w:type="dxa"/>
            <w:tcBorders>
              <w:top w:val="nil"/>
              <w:left w:val="nil"/>
              <w:bottom w:val="nil"/>
              <w:right w:val="nil"/>
            </w:tcBorders>
            <w:shd w:val="clear" w:color="auto" w:fill="auto"/>
            <w:vAlign w:val="bottom"/>
            <w:hideMark/>
          </w:tcPr>
          <w:p w14:paraId="2BAD1561" w14:textId="77777777"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Changes in parameters</w:t>
            </w:r>
          </w:p>
        </w:tc>
        <w:tc>
          <w:tcPr>
            <w:tcW w:w="866" w:type="dxa"/>
            <w:tcBorders>
              <w:top w:val="nil"/>
              <w:left w:val="nil"/>
              <w:bottom w:val="nil"/>
              <w:right w:val="nil"/>
            </w:tcBorders>
            <w:shd w:val="clear" w:color="auto" w:fill="auto"/>
            <w:noWrap/>
            <w:vAlign w:val="bottom"/>
            <w:hideMark/>
          </w:tcPr>
          <w:p w14:paraId="2A19F65E" w14:textId="77777777" w:rsidR="003B3179" w:rsidRPr="00B55E61" w:rsidRDefault="003B3179" w:rsidP="003B3179">
            <w:pPr>
              <w:spacing w:after="0" w:line="240" w:lineRule="auto"/>
              <w:ind w:firstLineChars="200" w:firstLine="320"/>
              <w:jc w:val="right"/>
              <w:rPr>
                <w:rFonts w:ascii="Arial" w:hAnsi="Arial" w:cs="Arial"/>
                <w:sz w:val="16"/>
                <w:szCs w:val="16"/>
              </w:rPr>
            </w:pPr>
          </w:p>
        </w:tc>
        <w:tc>
          <w:tcPr>
            <w:tcW w:w="903" w:type="dxa"/>
            <w:tcBorders>
              <w:top w:val="nil"/>
              <w:left w:val="nil"/>
              <w:right w:val="nil"/>
            </w:tcBorders>
            <w:shd w:val="clear" w:color="000000" w:fill="E6E6E6"/>
            <w:noWrap/>
            <w:vAlign w:val="bottom"/>
            <w:hideMark/>
          </w:tcPr>
          <w:p w14:paraId="410D3C9B" w14:textId="7E1BF145" w:rsidR="003B3179" w:rsidRPr="008C60EB" w:rsidRDefault="003B3179" w:rsidP="003B3179">
            <w:pPr>
              <w:spacing w:after="0" w:line="240" w:lineRule="auto"/>
              <w:jc w:val="right"/>
              <w:rPr>
                <w:rFonts w:ascii="Arial" w:hAnsi="Arial" w:cs="Arial"/>
                <w:bCs/>
                <w:sz w:val="16"/>
                <w:szCs w:val="16"/>
              </w:rPr>
            </w:pPr>
            <w:r w:rsidRPr="008C60EB">
              <w:rPr>
                <w:rFonts w:ascii="Arial" w:hAnsi="Arial" w:cs="Arial"/>
                <w:bCs/>
                <w:sz w:val="16"/>
                <w:szCs w:val="16"/>
              </w:rPr>
              <w:t>-</w:t>
            </w:r>
          </w:p>
        </w:tc>
        <w:tc>
          <w:tcPr>
            <w:tcW w:w="925" w:type="dxa"/>
            <w:tcBorders>
              <w:top w:val="nil"/>
              <w:left w:val="nil"/>
              <w:right w:val="nil"/>
            </w:tcBorders>
            <w:shd w:val="clear" w:color="auto" w:fill="auto"/>
            <w:noWrap/>
            <w:vAlign w:val="bottom"/>
            <w:hideMark/>
          </w:tcPr>
          <w:p w14:paraId="33DAD296" w14:textId="1103E2D9"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155</w:t>
            </w:r>
          </w:p>
        </w:tc>
        <w:tc>
          <w:tcPr>
            <w:tcW w:w="850" w:type="dxa"/>
            <w:tcBorders>
              <w:top w:val="nil"/>
              <w:left w:val="nil"/>
              <w:right w:val="nil"/>
            </w:tcBorders>
            <w:shd w:val="clear" w:color="auto" w:fill="auto"/>
            <w:noWrap/>
            <w:vAlign w:val="bottom"/>
            <w:hideMark/>
          </w:tcPr>
          <w:p w14:paraId="6CCD9AE2" w14:textId="5D225F32"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470</w:t>
            </w:r>
          </w:p>
        </w:tc>
        <w:tc>
          <w:tcPr>
            <w:tcW w:w="851" w:type="dxa"/>
            <w:tcBorders>
              <w:top w:val="nil"/>
              <w:left w:val="nil"/>
              <w:right w:val="nil"/>
            </w:tcBorders>
            <w:shd w:val="clear" w:color="auto" w:fill="auto"/>
            <w:noWrap/>
            <w:vAlign w:val="bottom"/>
            <w:hideMark/>
          </w:tcPr>
          <w:p w14:paraId="26BBBA80" w14:textId="0AAADC21"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795</w:t>
            </w:r>
          </w:p>
        </w:tc>
      </w:tr>
      <w:tr w:rsidR="003B3179" w:rsidRPr="00B55E61" w14:paraId="775C85F4" w14:textId="77777777" w:rsidTr="00264B4E">
        <w:trPr>
          <w:trHeight w:val="204"/>
        </w:trPr>
        <w:tc>
          <w:tcPr>
            <w:tcW w:w="3402" w:type="dxa"/>
            <w:tcBorders>
              <w:top w:val="nil"/>
              <w:left w:val="nil"/>
              <w:bottom w:val="nil"/>
              <w:right w:val="nil"/>
            </w:tcBorders>
            <w:shd w:val="clear" w:color="auto" w:fill="auto"/>
            <w:vAlign w:val="bottom"/>
            <w:hideMark/>
          </w:tcPr>
          <w:p w14:paraId="7E3C51EE" w14:textId="248F2002" w:rsidR="003B3179" w:rsidRPr="00B55E61" w:rsidRDefault="003B3179" w:rsidP="003B3179">
            <w:pPr>
              <w:spacing w:after="0" w:line="240" w:lineRule="auto"/>
              <w:ind w:left="227"/>
              <w:jc w:val="left"/>
              <w:rPr>
                <w:rFonts w:ascii="Arial" w:hAnsi="Arial" w:cs="Arial"/>
                <w:sz w:val="16"/>
                <w:szCs w:val="16"/>
              </w:rPr>
            </w:pPr>
            <w:r>
              <w:rPr>
                <w:rFonts w:ascii="Arial" w:hAnsi="Arial" w:cs="Arial"/>
                <w:sz w:val="16"/>
                <w:szCs w:val="16"/>
              </w:rPr>
              <w:t>Estimates v</w:t>
            </w:r>
            <w:r w:rsidRPr="00B55E61">
              <w:rPr>
                <w:rFonts w:ascii="Arial" w:hAnsi="Arial" w:cs="Arial"/>
                <w:sz w:val="16"/>
                <w:szCs w:val="16"/>
              </w:rPr>
              <w:t>ariations</w:t>
            </w:r>
          </w:p>
        </w:tc>
        <w:tc>
          <w:tcPr>
            <w:tcW w:w="866" w:type="dxa"/>
            <w:tcBorders>
              <w:top w:val="nil"/>
              <w:left w:val="nil"/>
              <w:bottom w:val="nil"/>
              <w:right w:val="nil"/>
            </w:tcBorders>
            <w:shd w:val="clear" w:color="auto" w:fill="auto"/>
            <w:noWrap/>
            <w:vAlign w:val="bottom"/>
            <w:hideMark/>
          </w:tcPr>
          <w:p w14:paraId="6B20121E" w14:textId="77777777" w:rsidR="003B3179" w:rsidRPr="00B55E61" w:rsidRDefault="003B3179" w:rsidP="003B3179">
            <w:pPr>
              <w:spacing w:after="0" w:line="240" w:lineRule="auto"/>
              <w:ind w:firstLineChars="200" w:firstLine="320"/>
              <w:jc w:val="right"/>
              <w:rPr>
                <w:rFonts w:ascii="Arial" w:hAnsi="Arial" w:cs="Arial"/>
                <w:sz w:val="16"/>
                <w:szCs w:val="16"/>
              </w:rPr>
            </w:pPr>
          </w:p>
        </w:tc>
        <w:tc>
          <w:tcPr>
            <w:tcW w:w="903" w:type="dxa"/>
            <w:tcBorders>
              <w:top w:val="nil"/>
              <w:left w:val="nil"/>
              <w:bottom w:val="single" w:sz="4" w:space="0" w:color="auto"/>
              <w:right w:val="nil"/>
            </w:tcBorders>
            <w:shd w:val="clear" w:color="000000" w:fill="E6E6E6"/>
            <w:noWrap/>
            <w:vAlign w:val="bottom"/>
            <w:hideMark/>
          </w:tcPr>
          <w:p w14:paraId="4863F013" w14:textId="7777777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(5)</w:t>
            </w:r>
          </w:p>
        </w:tc>
        <w:tc>
          <w:tcPr>
            <w:tcW w:w="925" w:type="dxa"/>
            <w:tcBorders>
              <w:top w:val="nil"/>
              <w:left w:val="nil"/>
              <w:bottom w:val="single" w:sz="4" w:space="0" w:color="auto"/>
              <w:right w:val="nil"/>
            </w:tcBorders>
            <w:shd w:val="clear" w:color="auto" w:fill="auto"/>
            <w:noWrap/>
            <w:vAlign w:val="bottom"/>
            <w:hideMark/>
          </w:tcPr>
          <w:p w14:paraId="3CFDE763" w14:textId="72181426" w:rsidR="003B3179" w:rsidRPr="00B55E61" w:rsidRDefault="003B3179" w:rsidP="003B3179">
            <w:pPr>
              <w:spacing w:after="0" w:line="240" w:lineRule="auto"/>
              <w:jc w:val="right"/>
              <w:rPr>
                <w:rFonts w:ascii="Arial" w:hAnsi="Arial" w:cs="Arial"/>
                <w:sz w:val="16"/>
                <w:szCs w:val="16"/>
              </w:rPr>
            </w:pPr>
            <w:r w:rsidRPr="008C60EB">
              <w:rPr>
                <w:rFonts w:ascii="Arial" w:hAnsi="Arial" w:cs="Arial"/>
                <w:bCs/>
                <w:sz w:val="16"/>
                <w:szCs w:val="16"/>
              </w:rPr>
              <w:t>-</w:t>
            </w:r>
          </w:p>
        </w:tc>
        <w:tc>
          <w:tcPr>
            <w:tcW w:w="850" w:type="dxa"/>
            <w:tcBorders>
              <w:top w:val="nil"/>
              <w:left w:val="nil"/>
              <w:bottom w:val="single" w:sz="4" w:space="0" w:color="auto"/>
              <w:right w:val="nil"/>
            </w:tcBorders>
            <w:shd w:val="clear" w:color="auto" w:fill="auto"/>
            <w:noWrap/>
            <w:vAlign w:val="bottom"/>
            <w:hideMark/>
          </w:tcPr>
          <w:p w14:paraId="73A29CAD" w14:textId="2599CE77" w:rsidR="003B3179" w:rsidRPr="00B55E61" w:rsidRDefault="003B3179" w:rsidP="003B3179">
            <w:pPr>
              <w:spacing w:after="0" w:line="240" w:lineRule="auto"/>
              <w:jc w:val="right"/>
              <w:rPr>
                <w:rFonts w:ascii="Times New Roman" w:hAnsi="Times New Roman"/>
                <w:sz w:val="16"/>
                <w:szCs w:val="16"/>
              </w:rPr>
            </w:pPr>
            <w:r w:rsidRPr="008C60EB">
              <w:rPr>
                <w:rFonts w:ascii="Arial" w:hAnsi="Arial" w:cs="Arial"/>
                <w:bCs/>
                <w:sz w:val="16"/>
                <w:szCs w:val="16"/>
              </w:rPr>
              <w:t>-</w:t>
            </w:r>
          </w:p>
        </w:tc>
        <w:tc>
          <w:tcPr>
            <w:tcW w:w="851" w:type="dxa"/>
            <w:tcBorders>
              <w:top w:val="nil"/>
              <w:left w:val="nil"/>
              <w:bottom w:val="single" w:sz="4" w:space="0" w:color="auto"/>
              <w:right w:val="nil"/>
            </w:tcBorders>
            <w:shd w:val="clear" w:color="auto" w:fill="auto"/>
            <w:noWrap/>
            <w:vAlign w:val="bottom"/>
            <w:hideMark/>
          </w:tcPr>
          <w:p w14:paraId="40617F46" w14:textId="25221E90" w:rsidR="003B3179" w:rsidRPr="00B55E61" w:rsidRDefault="003B3179" w:rsidP="003B3179">
            <w:pPr>
              <w:spacing w:after="0" w:line="240" w:lineRule="auto"/>
              <w:jc w:val="right"/>
              <w:rPr>
                <w:rFonts w:ascii="Times New Roman" w:hAnsi="Times New Roman"/>
                <w:sz w:val="16"/>
                <w:szCs w:val="16"/>
              </w:rPr>
            </w:pPr>
            <w:r w:rsidRPr="008C60EB">
              <w:rPr>
                <w:rFonts w:ascii="Arial" w:hAnsi="Arial" w:cs="Arial"/>
                <w:bCs/>
                <w:sz w:val="16"/>
                <w:szCs w:val="16"/>
              </w:rPr>
              <w:t>-</w:t>
            </w:r>
          </w:p>
        </w:tc>
      </w:tr>
      <w:tr w:rsidR="003B3179" w:rsidRPr="00B55E61" w14:paraId="1A61CFC7" w14:textId="77777777" w:rsidTr="00264B4E">
        <w:trPr>
          <w:trHeight w:val="204"/>
        </w:trPr>
        <w:tc>
          <w:tcPr>
            <w:tcW w:w="3402" w:type="dxa"/>
            <w:tcBorders>
              <w:top w:val="nil"/>
              <w:left w:val="nil"/>
              <w:right w:val="nil"/>
            </w:tcBorders>
            <w:shd w:val="clear" w:color="auto" w:fill="auto"/>
            <w:vAlign w:val="bottom"/>
            <w:hideMark/>
          </w:tcPr>
          <w:p w14:paraId="338BE691" w14:textId="39DB7C93" w:rsidR="003B3179" w:rsidRPr="00B55E61" w:rsidRDefault="003B3179" w:rsidP="003B3179">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Net impact on appropriations for</w:t>
            </w:r>
            <w:r>
              <w:rPr>
                <w:rFonts w:ascii="Arial" w:hAnsi="Arial" w:cs="Arial"/>
                <w:b/>
                <w:bCs/>
                <w:color w:val="000000"/>
                <w:sz w:val="16"/>
                <w:szCs w:val="16"/>
              </w:rPr>
              <w:t xml:space="preserve"> </w:t>
            </w:r>
            <w:r w:rsidRPr="00B55E61">
              <w:rPr>
                <w:rFonts w:ascii="Arial" w:hAnsi="Arial" w:cs="Arial"/>
                <w:b/>
                <w:bCs/>
                <w:color w:val="000000"/>
                <w:sz w:val="16"/>
                <w:szCs w:val="16"/>
              </w:rPr>
              <w:t>Outcome 5 (</w:t>
            </w:r>
            <w:r>
              <w:rPr>
                <w:rFonts w:ascii="Arial" w:hAnsi="Arial" w:cs="Arial"/>
                <w:b/>
                <w:bCs/>
                <w:color w:val="000000"/>
                <w:sz w:val="16"/>
                <w:szCs w:val="16"/>
              </w:rPr>
              <w:t>Department</w:t>
            </w:r>
            <w:r w:rsidRPr="00B55E61">
              <w:rPr>
                <w:rFonts w:ascii="Arial" w:hAnsi="Arial" w:cs="Arial"/>
                <w:b/>
                <w:bCs/>
                <w:color w:val="000000"/>
                <w:sz w:val="16"/>
                <w:szCs w:val="16"/>
              </w:rPr>
              <w:t>al)</w:t>
            </w:r>
          </w:p>
        </w:tc>
        <w:tc>
          <w:tcPr>
            <w:tcW w:w="866" w:type="dxa"/>
            <w:tcBorders>
              <w:top w:val="nil"/>
              <w:left w:val="nil"/>
              <w:bottom w:val="nil"/>
              <w:right w:val="nil"/>
            </w:tcBorders>
            <w:shd w:val="clear" w:color="auto" w:fill="auto"/>
            <w:noWrap/>
            <w:vAlign w:val="bottom"/>
            <w:hideMark/>
          </w:tcPr>
          <w:p w14:paraId="19190525" w14:textId="77777777" w:rsidR="003B3179" w:rsidRPr="00B55E61" w:rsidRDefault="003B3179" w:rsidP="003B3179">
            <w:pPr>
              <w:spacing w:after="0" w:line="240" w:lineRule="auto"/>
              <w:jc w:val="right"/>
              <w:rPr>
                <w:rFonts w:ascii="Arial" w:hAnsi="Arial" w:cs="Arial"/>
                <w:b/>
                <w:bCs/>
                <w:color w:val="000000"/>
                <w:sz w:val="16"/>
                <w:szCs w:val="16"/>
              </w:rPr>
            </w:pPr>
          </w:p>
        </w:tc>
        <w:tc>
          <w:tcPr>
            <w:tcW w:w="903" w:type="dxa"/>
            <w:tcBorders>
              <w:top w:val="single" w:sz="4" w:space="0" w:color="auto"/>
              <w:left w:val="nil"/>
              <w:bottom w:val="single" w:sz="4" w:space="0" w:color="auto"/>
              <w:right w:val="nil"/>
            </w:tcBorders>
            <w:shd w:val="clear" w:color="000000" w:fill="E6E6E6"/>
            <w:noWrap/>
            <w:vAlign w:val="bottom"/>
            <w:hideMark/>
          </w:tcPr>
          <w:p w14:paraId="6FE72651" w14:textId="33682E17"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 xml:space="preserve">2,701 </w:t>
            </w:r>
          </w:p>
        </w:tc>
        <w:tc>
          <w:tcPr>
            <w:tcW w:w="925" w:type="dxa"/>
            <w:tcBorders>
              <w:top w:val="single" w:sz="4" w:space="0" w:color="auto"/>
              <w:left w:val="nil"/>
              <w:bottom w:val="single" w:sz="4" w:space="0" w:color="auto"/>
              <w:right w:val="nil"/>
            </w:tcBorders>
            <w:shd w:val="clear" w:color="auto" w:fill="auto"/>
            <w:noWrap/>
            <w:vAlign w:val="bottom"/>
            <w:hideMark/>
          </w:tcPr>
          <w:p w14:paraId="11B5F561" w14:textId="72357EEA"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 xml:space="preserve">2,630 </w:t>
            </w:r>
          </w:p>
        </w:tc>
        <w:tc>
          <w:tcPr>
            <w:tcW w:w="850" w:type="dxa"/>
            <w:tcBorders>
              <w:top w:val="single" w:sz="4" w:space="0" w:color="auto"/>
              <w:left w:val="nil"/>
              <w:bottom w:val="single" w:sz="4" w:space="0" w:color="auto"/>
              <w:right w:val="nil"/>
            </w:tcBorders>
            <w:shd w:val="clear" w:color="auto" w:fill="auto"/>
            <w:noWrap/>
            <w:vAlign w:val="bottom"/>
            <w:hideMark/>
          </w:tcPr>
          <w:p w14:paraId="0C9338C6" w14:textId="473445AD"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 xml:space="preserve">2,477 </w:t>
            </w:r>
          </w:p>
        </w:tc>
        <w:tc>
          <w:tcPr>
            <w:tcW w:w="851" w:type="dxa"/>
            <w:tcBorders>
              <w:top w:val="single" w:sz="4" w:space="0" w:color="auto"/>
              <w:left w:val="nil"/>
              <w:bottom w:val="single" w:sz="4" w:space="0" w:color="auto"/>
              <w:right w:val="nil"/>
            </w:tcBorders>
            <w:shd w:val="clear" w:color="auto" w:fill="auto"/>
            <w:noWrap/>
            <w:vAlign w:val="bottom"/>
            <w:hideMark/>
          </w:tcPr>
          <w:p w14:paraId="06F5AFB1" w14:textId="335FEF54"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 xml:space="preserve">1,335 </w:t>
            </w:r>
          </w:p>
        </w:tc>
      </w:tr>
      <w:tr w:rsidR="003B3179" w:rsidRPr="00B55E61" w14:paraId="2F1A67A8" w14:textId="77777777" w:rsidTr="00264B4E">
        <w:trPr>
          <w:trHeight w:val="204"/>
        </w:trPr>
        <w:tc>
          <w:tcPr>
            <w:tcW w:w="3402" w:type="dxa"/>
            <w:tcBorders>
              <w:top w:val="nil"/>
              <w:left w:val="nil"/>
              <w:right w:val="nil"/>
            </w:tcBorders>
            <w:shd w:val="clear" w:color="auto" w:fill="auto"/>
            <w:vAlign w:val="bottom"/>
            <w:hideMark/>
          </w:tcPr>
          <w:p w14:paraId="356CBACB" w14:textId="2E7C4A09" w:rsidR="003B3179" w:rsidRPr="00B55E61" w:rsidRDefault="003B3179" w:rsidP="003B3179">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Total net impact on appropriations</w:t>
            </w:r>
            <w:r>
              <w:rPr>
                <w:rFonts w:ascii="Arial" w:hAnsi="Arial" w:cs="Arial"/>
                <w:b/>
                <w:bCs/>
                <w:color w:val="000000"/>
                <w:sz w:val="16"/>
                <w:szCs w:val="16"/>
              </w:rPr>
              <w:t xml:space="preserve"> </w:t>
            </w:r>
            <w:r w:rsidRPr="00B55E61">
              <w:rPr>
                <w:rFonts w:ascii="Arial" w:hAnsi="Arial" w:cs="Arial"/>
                <w:b/>
                <w:bCs/>
                <w:color w:val="000000"/>
                <w:sz w:val="16"/>
                <w:szCs w:val="16"/>
              </w:rPr>
              <w:t>for Outcome 5</w:t>
            </w:r>
          </w:p>
        </w:tc>
        <w:tc>
          <w:tcPr>
            <w:tcW w:w="866" w:type="dxa"/>
            <w:tcBorders>
              <w:top w:val="nil"/>
              <w:left w:val="nil"/>
              <w:bottom w:val="nil"/>
              <w:right w:val="nil"/>
            </w:tcBorders>
            <w:shd w:val="clear" w:color="auto" w:fill="auto"/>
            <w:noWrap/>
            <w:vAlign w:val="bottom"/>
            <w:hideMark/>
          </w:tcPr>
          <w:p w14:paraId="2746CBC0" w14:textId="77777777" w:rsidR="003B3179" w:rsidRPr="00B55E61" w:rsidRDefault="003B3179" w:rsidP="003B3179">
            <w:pPr>
              <w:spacing w:after="0" w:line="240" w:lineRule="auto"/>
              <w:jc w:val="right"/>
              <w:rPr>
                <w:rFonts w:ascii="Arial" w:hAnsi="Arial" w:cs="Arial"/>
                <w:b/>
                <w:bCs/>
                <w:color w:val="000000"/>
                <w:sz w:val="16"/>
                <w:szCs w:val="16"/>
              </w:rPr>
            </w:pPr>
          </w:p>
        </w:tc>
        <w:tc>
          <w:tcPr>
            <w:tcW w:w="903" w:type="dxa"/>
            <w:tcBorders>
              <w:top w:val="nil"/>
              <w:left w:val="nil"/>
              <w:bottom w:val="single" w:sz="4" w:space="0" w:color="auto"/>
              <w:right w:val="nil"/>
            </w:tcBorders>
            <w:shd w:val="clear" w:color="000000" w:fill="E6E6E6"/>
            <w:noWrap/>
            <w:vAlign w:val="bottom"/>
            <w:hideMark/>
          </w:tcPr>
          <w:p w14:paraId="62033B99" w14:textId="5E37CB8F"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(4,731)</w:t>
            </w:r>
          </w:p>
        </w:tc>
        <w:tc>
          <w:tcPr>
            <w:tcW w:w="925" w:type="dxa"/>
            <w:tcBorders>
              <w:top w:val="nil"/>
              <w:left w:val="nil"/>
              <w:bottom w:val="single" w:sz="4" w:space="0" w:color="auto"/>
              <w:right w:val="nil"/>
            </w:tcBorders>
            <w:shd w:val="clear" w:color="auto" w:fill="auto"/>
            <w:noWrap/>
            <w:vAlign w:val="bottom"/>
            <w:hideMark/>
          </w:tcPr>
          <w:p w14:paraId="311234EC" w14:textId="31962E5A"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 xml:space="preserve">72,058 </w:t>
            </w:r>
          </w:p>
        </w:tc>
        <w:tc>
          <w:tcPr>
            <w:tcW w:w="850" w:type="dxa"/>
            <w:tcBorders>
              <w:top w:val="nil"/>
              <w:left w:val="nil"/>
              <w:bottom w:val="single" w:sz="4" w:space="0" w:color="auto"/>
              <w:right w:val="nil"/>
            </w:tcBorders>
            <w:shd w:val="clear" w:color="auto" w:fill="auto"/>
            <w:noWrap/>
            <w:vAlign w:val="bottom"/>
            <w:hideMark/>
          </w:tcPr>
          <w:p w14:paraId="2285217F" w14:textId="7ABEB350"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 xml:space="preserve">11,909 </w:t>
            </w:r>
          </w:p>
        </w:tc>
        <w:tc>
          <w:tcPr>
            <w:tcW w:w="851" w:type="dxa"/>
            <w:tcBorders>
              <w:top w:val="nil"/>
              <w:left w:val="nil"/>
              <w:bottom w:val="single" w:sz="4" w:space="0" w:color="auto"/>
              <w:right w:val="nil"/>
            </w:tcBorders>
            <w:shd w:val="clear" w:color="auto" w:fill="auto"/>
            <w:noWrap/>
            <w:vAlign w:val="bottom"/>
            <w:hideMark/>
          </w:tcPr>
          <w:p w14:paraId="6862BDDB" w14:textId="5E782396" w:rsidR="003B3179" w:rsidRPr="00B55E61" w:rsidRDefault="003B3179" w:rsidP="003B3179">
            <w:pPr>
              <w:spacing w:after="0" w:line="240" w:lineRule="auto"/>
              <w:jc w:val="right"/>
              <w:rPr>
                <w:rFonts w:ascii="Arial" w:hAnsi="Arial" w:cs="Arial"/>
                <w:b/>
                <w:bCs/>
                <w:sz w:val="16"/>
                <w:szCs w:val="16"/>
              </w:rPr>
            </w:pPr>
            <w:r>
              <w:rPr>
                <w:rFonts w:ascii="Arial" w:hAnsi="Arial" w:cs="Arial"/>
                <w:b/>
                <w:bCs/>
                <w:sz w:val="16"/>
                <w:szCs w:val="16"/>
              </w:rPr>
              <w:t xml:space="preserve">5,543 </w:t>
            </w:r>
          </w:p>
        </w:tc>
      </w:tr>
      <w:tr w:rsidR="003B3179" w:rsidRPr="00B55E61" w14:paraId="481821E3" w14:textId="77777777" w:rsidTr="00264B4E">
        <w:trPr>
          <w:trHeight w:val="204"/>
        </w:trPr>
        <w:tc>
          <w:tcPr>
            <w:tcW w:w="3402" w:type="dxa"/>
            <w:tcBorders>
              <w:top w:val="nil"/>
              <w:left w:val="nil"/>
              <w:bottom w:val="nil"/>
              <w:right w:val="nil"/>
            </w:tcBorders>
            <w:shd w:val="clear" w:color="auto" w:fill="auto"/>
            <w:noWrap/>
            <w:vAlign w:val="bottom"/>
            <w:hideMark/>
          </w:tcPr>
          <w:p w14:paraId="7575C22F" w14:textId="77777777" w:rsidR="003B3179" w:rsidRPr="00B55E61" w:rsidRDefault="003B3179" w:rsidP="006629E5">
            <w:pPr>
              <w:spacing w:before="120" w:after="0" w:line="240" w:lineRule="auto"/>
              <w:jc w:val="left"/>
              <w:rPr>
                <w:rFonts w:ascii="Arial" w:hAnsi="Arial" w:cs="Arial"/>
                <w:b/>
                <w:bCs/>
                <w:sz w:val="16"/>
                <w:szCs w:val="16"/>
              </w:rPr>
            </w:pPr>
            <w:r w:rsidRPr="00B55E61">
              <w:rPr>
                <w:rFonts w:ascii="Arial" w:hAnsi="Arial" w:cs="Arial"/>
                <w:b/>
                <w:bCs/>
                <w:sz w:val="16"/>
                <w:szCs w:val="16"/>
              </w:rPr>
              <w:t>Outcome 6</w:t>
            </w:r>
          </w:p>
        </w:tc>
        <w:tc>
          <w:tcPr>
            <w:tcW w:w="866" w:type="dxa"/>
            <w:tcBorders>
              <w:top w:val="nil"/>
              <w:left w:val="nil"/>
              <w:bottom w:val="nil"/>
              <w:right w:val="nil"/>
            </w:tcBorders>
            <w:shd w:val="clear" w:color="auto" w:fill="auto"/>
            <w:noWrap/>
            <w:vAlign w:val="bottom"/>
            <w:hideMark/>
          </w:tcPr>
          <w:p w14:paraId="41A77AF0" w14:textId="77777777" w:rsidR="003B3179" w:rsidRPr="00B55E61" w:rsidRDefault="003B3179" w:rsidP="003B3179">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51241863" w14:textId="6A5838E9" w:rsidR="003B3179" w:rsidRPr="00B55E61" w:rsidRDefault="003B3179" w:rsidP="003B3179">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vAlign w:val="bottom"/>
            <w:hideMark/>
          </w:tcPr>
          <w:p w14:paraId="70C86794" w14:textId="77777777" w:rsidR="003B3179" w:rsidRPr="00B55E61" w:rsidRDefault="003B3179" w:rsidP="003B3179">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533A7BE5" w14:textId="77777777" w:rsidR="003B3179" w:rsidRPr="00B55E61" w:rsidRDefault="003B3179" w:rsidP="003B3179">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05AFE606" w14:textId="77777777" w:rsidR="003B3179" w:rsidRPr="00B55E61" w:rsidRDefault="003B3179" w:rsidP="003B3179">
            <w:pPr>
              <w:spacing w:after="0" w:line="240" w:lineRule="auto"/>
              <w:jc w:val="right"/>
              <w:rPr>
                <w:rFonts w:ascii="Times New Roman" w:hAnsi="Times New Roman"/>
                <w:sz w:val="16"/>
                <w:szCs w:val="16"/>
              </w:rPr>
            </w:pPr>
          </w:p>
        </w:tc>
      </w:tr>
      <w:tr w:rsidR="003B3179" w:rsidRPr="00B55E61" w14:paraId="63BD934F" w14:textId="77777777" w:rsidTr="00264B4E">
        <w:trPr>
          <w:trHeight w:val="204"/>
        </w:trPr>
        <w:tc>
          <w:tcPr>
            <w:tcW w:w="3402" w:type="dxa"/>
            <w:tcBorders>
              <w:top w:val="nil"/>
              <w:left w:val="nil"/>
              <w:bottom w:val="nil"/>
              <w:right w:val="nil"/>
            </w:tcBorders>
            <w:shd w:val="clear" w:color="auto" w:fill="auto"/>
            <w:noWrap/>
            <w:vAlign w:val="bottom"/>
            <w:hideMark/>
          </w:tcPr>
          <w:p w14:paraId="60D8D3A9" w14:textId="77777777" w:rsidR="003B3179" w:rsidRPr="00B55E61" w:rsidRDefault="003B3179" w:rsidP="003B3179">
            <w:pPr>
              <w:spacing w:after="0" w:line="240" w:lineRule="auto"/>
              <w:jc w:val="left"/>
              <w:rPr>
                <w:rFonts w:ascii="Arial" w:hAnsi="Arial" w:cs="Arial"/>
                <w:b/>
                <w:bCs/>
                <w:sz w:val="16"/>
                <w:szCs w:val="16"/>
              </w:rPr>
            </w:pPr>
            <w:r w:rsidRPr="00B55E61">
              <w:rPr>
                <w:rFonts w:ascii="Arial" w:hAnsi="Arial" w:cs="Arial"/>
                <w:b/>
                <w:bCs/>
                <w:sz w:val="16"/>
                <w:szCs w:val="16"/>
              </w:rPr>
              <w:t>Administered</w:t>
            </w:r>
          </w:p>
        </w:tc>
        <w:tc>
          <w:tcPr>
            <w:tcW w:w="866" w:type="dxa"/>
            <w:tcBorders>
              <w:top w:val="nil"/>
              <w:left w:val="nil"/>
              <w:bottom w:val="nil"/>
              <w:right w:val="nil"/>
            </w:tcBorders>
            <w:shd w:val="clear" w:color="auto" w:fill="auto"/>
            <w:noWrap/>
            <w:vAlign w:val="bottom"/>
            <w:hideMark/>
          </w:tcPr>
          <w:p w14:paraId="793CDE32" w14:textId="77777777" w:rsidR="003B3179" w:rsidRPr="00B55E61" w:rsidRDefault="003B3179" w:rsidP="003B3179">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2F252245" w14:textId="558C2780" w:rsidR="003B3179" w:rsidRPr="00B55E61" w:rsidRDefault="003B3179" w:rsidP="003B3179">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vAlign w:val="bottom"/>
            <w:hideMark/>
          </w:tcPr>
          <w:p w14:paraId="3EA07F84" w14:textId="77777777" w:rsidR="003B3179" w:rsidRPr="00B55E61" w:rsidRDefault="003B3179" w:rsidP="003B3179">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E48CB9D" w14:textId="77777777" w:rsidR="003B3179" w:rsidRPr="00B55E61" w:rsidRDefault="003B3179" w:rsidP="003B3179">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39B805A6" w14:textId="77777777" w:rsidR="003B3179" w:rsidRPr="00B55E61" w:rsidRDefault="003B3179" w:rsidP="003B3179">
            <w:pPr>
              <w:spacing w:after="0" w:line="240" w:lineRule="auto"/>
              <w:jc w:val="right"/>
              <w:rPr>
                <w:rFonts w:ascii="Times New Roman" w:hAnsi="Times New Roman"/>
                <w:sz w:val="16"/>
                <w:szCs w:val="16"/>
              </w:rPr>
            </w:pPr>
          </w:p>
        </w:tc>
      </w:tr>
      <w:tr w:rsidR="003B3179" w:rsidRPr="00B55E61" w14:paraId="08DB51CD" w14:textId="77777777" w:rsidTr="00264B4E">
        <w:trPr>
          <w:trHeight w:val="204"/>
        </w:trPr>
        <w:tc>
          <w:tcPr>
            <w:tcW w:w="3402" w:type="dxa"/>
            <w:tcBorders>
              <w:top w:val="nil"/>
              <w:left w:val="nil"/>
              <w:bottom w:val="nil"/>
              <w:right w:val="nil"/>
            </w:tcBorders>
            <w:shd w:val="clear" w:color="auto" w:fill="auto"/>
            <w:noWrap/>
            <w:vAlign w:val="bottom"/>
            <w:hideMark/>
          </w:tcPr>
          <w:p w14:paraId="7AC92E03" w14:textId="762FA26F" w:rsidR="003B3179" w:rsidRPr="00B55E61" w:rsidRDefault="003B3179" w:rsidP="003B3179">
            <w:pPr>
              <w:spacing w:after="0" w:line="240" w:lineRule="auto"/>
              <w:ind w:left="113"/>
              <w:jc w:val="left"/>
              <w:rPr>
                <w:rFonts w:ascii="Arial" w:hAnsi="Arial" w:cs="Arial"/>
                <w:b/>
                <w:bCs/>
                <w:sz w:val="16"/>
                <w:szCs w:val="16"/>
              </w:rPr>
            </w:pPr>
            <w:r w:rsidRPr="00B55E61">
              <w:rPr>
                <w:rFonts w:ascii="Arial" w:hAnsi="Arial" w:cs="Arial"/>
                <w:b/>
                <w:bCs/>
                <w:sz w:val="16"/>
                <w:szCs w:val="16"/>
              </w:rPr>
              <w:t>Measures</w:t>
            </w:r>
          </w:p>
        </w:tc>
        <w:tc>
          <w:tcPr>
            <w:tcW w:w="866" w:type="dxa"/>
            <w:tcBorders>
              <w:top w:val="nil"/>
              <w:left w:val="nil"/>
              <w:bottom w:val="nil"/>
              <w:right w:val="nil"/>
            </w:tcBorders>
            <w:shd w:val="clear" w:color="auto" w:fill="auto"/>
            <w:noWrap/>
            <w:vAlign w:val="bottom"/>
            <w:hideMark/>
          </w:tcPr>
          <w:p w14:paraId="12F73403" w14:textId="77777777" w:rsidR="003B3179" w:rsidRPr="00B55E61" w:rsidRDefault="003B3179" w:rsidP="003B3179">
            <w:pPr>
              <w:spacing w:after="0" w:line="240" w:lineRule="auto"/>
              <w:ind w:firstLineChars="100" w:firstLine="160"/>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30930193" w14:textId="7CD436B5" w:rsidR="003B3179" w:rsidRPr="00B55E61" w:rsidRDefault="003B3179" w:rsidP="003B3179">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vAlign w:val="bottom"/>
            <w:hideMark/>
          </w:tcPr>
          <w:p w14:paraId="12B03DDF" w14:textId="77777777" w:rsidR="003B3179" w:rsidRPr="00B55E61" w:rsidRDefault="003B3179" w:rsidP="003B3179">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0E4242D8" w14:textId="77777777" w:rsidR="003B3179" w:rsidRPr="00B55E61" w:rsidRDefault="003B3179" w:rsidP="003B3179">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1F0B201A" w14:textId="77777777" w:rsidR="003B3179" w:rsidRPr="00B55E61" w:rsidRDefault="003B3179" w:rsidP="003B3179">
            <w:pPr>
              <w:spacing w:after="0" w:line="240" w:lineRule="auto"/>
              <w:jc w:val="right"/>
              <w:rPr>
                <w:rFonts w:ascii="Times New Roman" w:hAnsi="Times New Roman"/>
                <w:sz w:val="16"/>
                <w:szCs w:val="16"/>
              </w:rPr>
            </w:pPr>
          </w:p>
        </w:tc>
      </w:tr>
      <w:tr w:rsidR="003B3179" w:rsidRPr="00B55E61" w14:paraId="2C8F906B" w14:textId="77777777" w:rsidTr="00264B4E">
        <w:trPr>
          <w:trHeight w:val="204"/>
        </w:trPr>
        <w:tc>
          <w:tcPr>
            <w:tcW w:w="3402" w:type="dxa"/>
            <w:tcBorders>
              <w:top w:val="nil"/>
              <w:left w:val="nil"/>
              <w:bottom w:val="nil"/>
              <w:right w:val="nil"/>
            </w:tcBorders>
            <w:shd w:val="clear" w:color="auto" w:fill="auto"/>
            <w:vAlign w:val="bottom"/>
            <w:hideMark/>
          </w:tcPr>
          <w:p w14:paraId="47C57127" w14:textId="77777777"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Closing the Gap Package</w:t>
            </w:r>
          </w:p>
        </w:tc>
        <w:tc>
          <w:tcPr>
            <w:tcW w:w="866" w:type="dxa"/>
            <w:tcBorders>
              <w:top w:val="nil"/>
              <w:left w:val="nil"/>
              <w:bottom w:val="nil"/>
              <w:right w:val="nil"/>
            </w:tcBorders>
            <w:shd w:val="clear" w:color="auto" w:fill="auto"/>
            <w:noWrap/>
            <w:vAlign w:val="bottom"/>
            <w:hideMark/>
          </w:tcPr>
          <w:p w14:paraId="7C92CA18"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6.1</w:t>
            </w:r>
          </w:p>
        </w:tc>
        <w:tc>
          <w:tcPr>
            <w:tcW w:w="903" w:type="dxa"/>
            <w:tcBorders>
              <w:top w:val="nil"/>
              <w:left w:val="nil"/>
              <w:bottom w:val="nil"/>
              <w:right w:val="nil"/>
            </w:tcBorders>
            <w:shd w:val="clear" w:color="000000" w:fill="E6E6E6"/>
            <w:noWrap/>
            <w:vAlign w:val="bottom"/>
            <w:hideMark/>
          </w:tcPr>
          <w:p w14:paraId="265FEE43" w14:textId="7777777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4,600</w:t>
            </w:r>
          </w:p>
        </w:tc>
        <w:tc>
          <w:tcPr>
            <w:tcW w:w="925" w:type="dxa"/>
            <w:tcBorders>
              <w:top w:val="nil"/>
              <w:left w:val="nil"/>
              <w:bottom w:val="nil"/>
              <w:right w:val="nil"/>
            </w:tcBorders>
            <w:shd w:val="clear" w:color="auto" w:fill="auto"/>
            <w:noWrap/>
            <w:vAlign w:val="bottom"/>
            <w:hideMark/>
          </w:tcPr>
          <w:p w14:paraId="49443769" w14:textId="7777777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6,198</w:t>
            </w:r>
          </w:p>
        </w:tc>
        <w:tc>
          <w:tcPr>
            <w:tcW w:w="850" w:type="dxa"/>
            <w:tcBorders>
              <w:top w:val="nil"/>
              <w:left w:val="nil"/>
              <w:bottom w:val="nil"/>
              <w:right w:val="nil"/>
            </w:tcBorders>
            <w:shd w:val="clear" w:color="auto" w:fill="auto"/>
            <w:noWrap/>
            <w:vAlign w:val="bottom"/>
            <w:hideMark/>
          </w:tcPr>
          <w:p w14:paraId="590EA464" w14:textId="7777777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7,033</w:t>
            </w:r>
          </w:p>
        </w:tc>
        <w:tc>
          <w:tcPr>
            <w:tcW w:w="851" w:type="dxa"/>
            <w:tcBorders>
              <w:top w:val="nil"/>
              <w:left w:val="nil"/>
              <w:bottom w:val="nil"/>
              <w:right w:val="nil"/>
            </w:tcBorders>
            <w:shd w:val="clear" w:color="auto" w:fill="auto"/>
            <w:noWrap/>
            <w:vAlign w:val="bottom"/>
            <w:hideMark/>
          </w:tcPr>
          <w:p w14:paraId="21C563BA" w14:textId="7777777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4,954</w:t>
            </w:r>
          </w:p>
        </w:tc>
      </w:tr>
      <w:tr w:rsidR="003B3179" w:rsidRPr="00B55E61" w14:paraId="54D0EF3C" w14:textId="77777777" w:rsidTr="00264B4E">
        <w:trPr>
          <w:trHeight w:val="204"/>
        </w:trPr>
        <w:tc>
          <w:tcPr>
            <w:tcW w:w="3402" w:type="dxa"/>
            <w:tcBorders>
              <w:top w:val="nil"/>
              <w:left w:val="nil"/>
              <w:bottom w:val="nil"/>
              <w:right w:val="nil"/>
            </w:tcBorders>
            <w:shd w:val="clear" w:color="auto" w:fill="auto"/>
            <w:vAlign w:val="bottom"/>
            <w:hideMark/>
          </w:tcPr>
          <w:p w14:paraId="60DDDC78" w14:textId="77777777"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COVID-19 Response Package - additional arts sector support</w:t>
            </w:r>
          </w:p>
        </w:tc>
        <w:tc>
          <w:tcPr>
            <w:tcW w:w="866" w:type="dxa"/>
            <w:tcBorders>
              <w:top w:val="nil"/>
              <w:left w:val="nil"/>
              <w:bottom w:val="nil"/>
              <w:right w:val="nil"/>
            </w:tcBorders>
            <w:shd w:val="clear" w:color="auto" w:fill="auto"/>
            <w:noWrap/>
            <w:vAlign w:val="bottom"/>
            <w:hideMark/>
          </w:tcPr>
          <w:p w14:paraId="3A5FCDDF"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6.1</w:t>
            </w:r>
          </w:p>
        </w:tc>
        <w:tc>
          <w:tcPr>
            <w:tcW w:w="903" w:type="dxa"/>
            <w:tcBorders>
              <w:top w:val="nil"/>
              <w:left w:val="nil"/>
              <w:bottom w:val="nil"/>
              <w:right w:val="nil"/>
            </w:tcBorders>
            <w:shd w:val="clear" w:color="000000" w:fill="E6E6E6"/>
            <w:noWrap/>
            <w:vAlign w:val="bottom"/>
            <w:hideMark/>
          </w:tcPr>
          <w:p w14:paraId="0869BB88" w14:textId="7443BC74"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44,000</w:t>
            </w:r>
          </w:p>
        </w:tc>
        <w:tc>
          <w:tcPr>
            <w:tcW w:w="925" w:type="dxa"/>
            <w:tcBorders>
              <w:top w:val="nil"/>
              <w:left w:val="nil"/>
              <w:bottom w:val="nil"/>
              <w:right w:val="nil"/>
            </w:tcBorders>
            <w:shd w:val="clear" w:color="auto" w:fill="auto"/>
            <w:noWrap/>
            <w:vAlign w:val="bottom"/>
            <w:hideMark/>
          </w:tcPr>
          <w:p w14:paraId="5B4C09E0" w14:textId="65A1B456"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0F23BC6E" w14:textId="07902D60"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69008A92" w14:textId="41295F17"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r>
      <w:tr w:rsidR="003B3179" w:rsidRPr="00B55E61" w14:paraId="0E0FB33B" w14:textId="77777777" w:rsidTr="00264B4E">
        <w:trPr>
          <w:trHeight w:val="204"/>
        </w:trPr>
        <w:tc>
          <w:tcPr>
            <w:tcW w:w="3402" w:type="dxa"/>
            <w:tcBorders>
              <w:top w:val="nil"/>
              <w:left w:val="nil"/>
              <w:bottom w:val="nil"/>
              <w:right w:val="nil"/>
            </w:tcBorders>
            <w:shd w:val="clear" w:color="auto" w:fill="auto"/>
            <w:vAlign w:val="bottom"/>
            <w:hideMark/>
          </w:tcPr>
          <w:p w14:paraId="7149989D" w14:textId="77777777"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Developing Australia's Parks</w:t>
            </w:r>
          </w:p>
        </w:tc>
        <w:tc>
          <w:tcPr>
            <w:tcW w:w="866" w:type="dxa"/>
            <w:tcBorders>
              <w:top w:val="nil"/>
              <w:left w:val="nil"/>
              <w:bottom w:val="nil"/>
              <w:right w:val="nil"/>
            </w:tcBorders>
            <w:shd w:val="clear" w:color="auto" w:fill="auto"/>
            <w:noWrap/>
            <w:vAlign w:val="bottom"/>
            <w:hideMark/>
          </w:tcPr>
          <w:p w14:paraId="2F70A610"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6.1</w:t>
            </w:r>
          </w:p>
        </w:tc>
        <w:tc>
          <w:tcPr>
            <w:tcW w:w="903" w:type="dxa"/>
            <w:tcBorders>
              <w:top w:val="nil"/>
              <w:left w:val="nil"/>
              <w:bottom w:val="nil"/>
              <w:right w:val="nil"/>
            </w:tcBorders>
            <w:shd w:val="clear" w:color="000000" w:fill="E6E6E6"/>
            <w:noWrap/>
            <w:vAlign w:val="bottom"/>
            <w:hideMark/>
          </w:tcPr>
          <w:p w14:paraId="0F9F845D" w14:textId="48FE4C7F"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925" w:type="dxa"/>
            <w:tcBorders>
              <w:top w:val="nil"/>
              <w:left w:val="nil"/>
              <w:bottom w:val="nil"/>
              <w:right w:val="nil"/>
            </w:tcBorders>
            <w:shd w:val="clear" w:color="auto" w:fill="auto"/>
            <w:noWrap/>
            <w:vAlign w:val="bottom"/>
            <w:hideMark/>
          </w:tcPr>
          <w:p w14:paraId="75A5A160" w14:textId="5EC99068"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6E2CC58D" w14:textId="75B5D1AD"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46A39ECB" w14:textId="5B39C944"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r>
      <w:tr w:rsidR="003B3179" w:rsidRPr="00B55E61" w14:paraId="106B70F2" w14:textId="77777777" w:rsidTr="00264B4E">
        <w:trPr>
          <w:trHeight w:val="204"/>
        </w:trPr>
        <w:tc>
          <w:tcPr>
            <w:tcW w:w="3402" w:type="dxa"/>
            <w:tcBorders>
              <w:top w:val="nil"/>
              <w:left w:val="nil"/>
              <w:bottom w:val="nil"/>
              <w:right w:val="nil"/>
            </w:tcBorders>
            <w:shd w:val="clear" w:color="auto" w:fill="auto"/>
            <w:vAlign w:val="bottom"/>
            <w:hideMark/>
          </w:tcPr>
          <w:p w14:paraId="0B5B9DFA" w14:textId="77777777"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Digital Games Tax Offset - expansion</w:t>
            </w:r>
          </w:p>
        </w:tc>
        <w:tc>
          <w:tcPr>
            <w:tcW w:w="866" w:type="dxa"/>
            <w:tcBorders>
              <w:top w:val="nil"/>
              <w:left w:val="nil"/>
              <w:bottom w:val="nil"/>
              <w:right w:val="nil"/>
            </w:tcBorders>
            <w:shd w:val="clear" w:color="auto" w:fill="auto"/>
            <w:noWrap/>
            <w:vAlign w:val="bottom"/>
            <w:hideMark/>
          </w:tcPr>
          <w:p w14:paraId="54C8347E"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6.1</w:t>
            </w:r>
          </w:p>
        </w:tc>
        <w:tc>
          <w:tcPr>
            <w:tcW w:w="903" w:type="dxa"/>
            <w:tcBorders>
              <w:top w:val="nil"/>
              <w:left w:val="nil"/>
              <w:bottom w:val="nil"/>
              <w:right w:val="nil"/>
            </w:tcBorders>
            <w:shd w:val="clear" w:color="000000" w:fill="E6E6E6"/>
            <w:noWrap/>
            <w:vAlign w:val="bottom"/>
            <w:hideMark/>
          </w:tcPr>
          <w:p w14:paraId="1F92BA37" w14:textId="52EB1370"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925" w:type="dxa"/>
            <w:tcBorders>
              <w:top w:val="nil"/>
              <w:left w:val="nil"/>
              <w:bottom w:val="nil"/>
              <w:right w:val="nil"/>
            </w:tcBorders>
            <w:shd w:val="clear" w:color="auto" w:fill="auto"/>
            <w:noWrap/>
            <w:vAlign w:val="bottom"/>
            <w:hideMark/>
          </w:tcPr>
          <w:p w14:paraId="5AFE8DCC" w14:textId="1F559272"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72929F53" w14:textId="30DFE254"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7DF739A5" w14:textId="17FA6BDD"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r>
      <w:tr w:rsidR="003B3179" w:rsidRPr="00B55E61" w14:paraId="5E19ACC0" w14:textId="77777777" w:rsidTr="00264B4E">
        <w:trPr>
          <w:trHeight w:val="204"/>
        </w:trPr>
        <w:tc>
          <w:tcPr>
            <w:tcW w:w="3402" w:type="dxa"/>
            <w:tcBorders>
              <w:top w:val="nil"/>
              <w:left w:val="nil"/>
              <w:bottom w:val="nil"/>
              <w:right w:val="nil"/>
            </w:tcBorders>
            <w:shd w:val="clear" w:color="auto" w:fill="auto"/>
            <w:vAlign w:val="bottom"/>
            <w:hideMark/>
          </w:tcPr>
          <w:p w14:paraId="04D8AD17" w14:textId="288FF7BB" w:rsidR="003B3179" w:rsidRPr="00B55E61" w:rsidRDefault="003B3179" w:rsidP="003B3179">
            <w:pPr>
              <w:spacing w:after="0" w:line="240" w:lineRule="auto"/>
              <w:ind w:left="227"/>
              <w:jc w:val="left"/>
              <w:rPr>
                <w:rFonts w:ascii="Arial" w:hAnsi="Arial" w:cs="Arial"/>
                <w:sz w:val="16"/>
                <w:szCs w:val="16"/>
              </w:rPr>
            </w:pPr>
            <w:r w:rsidRPr="00B55E61">
              <w:rPr>
                <w:rFonts w:ascii="Arial" w:hAnsi="Arial" w:cs="Arial"/>
                <w:sz w:val="16"/>
                <w:szCs w:val="16"/>
              </w:rPr>
              <w:t>National Collecting Institutions - preserving Australia's cultural heritage</w:t>
            </w:r>
            <w:r>
              <w:rPr>
                <w:rFonts w:ascii="Arial" w:hAnsi="Arial" w:cs="Arial"/>
                <w:sz w:val="16"/>
                <w:szCs w:val="16"/>
              </w:rPr>
              <w:t xml:space="preserve"> </w:t>
            </w:r>
            <w:r w:rsidRPr="0056024E">
              <w:rPr>
                <w:rFonts w:ascii="Arial" w:hAnsi="Arial" w:cs="Arial"/>
                <w:sz w:val="16"/>
                <w:szCs w:val="16"/>
                <w:vertAlign w:val="superscript"/>
              </w:rPr>
              <w:t>(a)</w:t>
            </w:r>
          </w:p>
        </w:tc>
        <w:tc>
          <w:tcPr>
            <w:tcW w:w="866" w:type="dxa"/>
            <w:tcBorders>
              <w:top w:val="nil"/>
              <w:left w:val="nil"/>
              <w:bottom w:val="nil"/>
              <w:right w:val="nil"/>
            </w:tcBorders>
            <w:shd w:val="clear" w:color="auto" w:fill="auto"/>
            <w:noWrap/>
            <w:vAlign w:val="bottom"/>
            <w:hideMark/>
          </w:tcPr>
          <w:p w14:paraId="0774EF2D" w14:textId="77777777" w:rsidR="003B3179" w:rsidRPr="00B55E61" w:rsidRDefault="003B3179" w:rsidP="003B3179">
            <w:pPr>
              <w:spacing w:after="0" w:line="240" w:lineRule="auto"/>
              <w:jc w:val="center"/>
              <w:rPr>
                <w:rFonts w:ascii="Arial" w:hAnsi="Arial" w:cs="Arial"/>
                <w:sz w:val="16"/>
                <w:szCs w:val="16"/>
              </w:rPr>
            </w:pPr>
            <w:r w:rsidRPr="00B55E61">
              <w:rPr>
                <w:rFonts w:ascii="Arial" w:hAnsi="Arial" w:cs="Arial"/>
                <w:sz w:val="16"/>
                <w:szCs w:val="16"/>
              </w:rPr>
              <w:t>6.1</w:t>
            </w:r>
          </w:p>
        </w:tc>
        <w:tc>
          <w:tcPr>
            <w:tcW w:w="903" w:type="dxa"/>
            <w:tcBorders>
              <w:top w:val="nil"/>
              <w:left w:val="nil"/>
              <w:bottom w:val="nil"/>
              <w:right w:val="nil"/>
            </w:tcBorders>
            <w:shd w:val="clear" w:color="000000" w:fill="E6E6E6"/>
            <w:noWrap/>
            <w:vAlign w:val="bottom"/>
            <w:hideMark/>
          </w:tcPr>
          <w:p w14:paraId="2C083E15" w14:textId="77777777" w:rsidR="003B3179" w:rsidRPr="00B55E61" w:rsidRDefault="003B3179" w:rsidP="003B3179">
            <w:pPr>
              <w:spacing w:after="0" w:line="240" w:lineRule="auto"/>
              <w:jc w:val="right"/>
              <w:rPr>
                <w:rFonts w:ascii="Arial" w:hAnsi="Arial" w:cs="Arial"/>
                <w:sz w:val="16"/>
                <w:szCs w:val="16"/>
              </w:rPr>
            </w:pPr>
            <w:proofErr w:type="spellStart"/>
            <w:r w:rsidRPr="00B55E61">
              <w:rPr>
                <w:rFonts w:ascii="Arial" w:hAnsi="Arial" w:cs="Arial"/>
                <w:sz w:val="16"/>
                <w:szCs w:val="16"/>
              </w:rPr>
              <w:t>nfp</w:t>
            </w:r>
            <w:proofErr w:type="spellEnd"/>
          </w:p>
        </w:tc>
        <w:tc>
          <w:tcPr>
            <w:tcW w:w="925" w:type="dxa"/>
            <w:tcBorders>
              <w:top w:val="nil"/>
              <w:left w:val="nil"/>
              <w:bottom w:val="nil"/>
              <w:right w:val="nil"/>
            </w:tcBorders>
            <w:shd w:val="clear" w:color="auto" w:fill="auto"/>
            <w:noWrap/>
            <w:vAlign w:val="bottom"/>
            <w:hideMark/>
          </w:tcPr>
          <w:p w14:paraId="53426FF6" w14:textId="77777777" w:rsidR="003B3179" w:rsidRPr="00B55E61" w:rsidRDefault="003B3179" w:rsidP="003B3179">
            <w:pPr>
              <w:spacing w:after="0" w:line="240" w:lineRule="auto"/>
              <w:jc w:val="right"/>
              <w:rPr>
                <w:rFonts w:ascii="Arial" w:hAnsi="Arial" w:cs="Arial"/>
                <w:sz w:val="16"/>
                <w:szCs w:val="16"/>
              </w:rPr>
            </w:pPr>
            <w:proofErr w:type="spellStart"/>
            <w:r w:rsidRPr="00B55E61">
              <w:rPr>
                <w:rFonts w:ascii="Arial" w:hAnsi="Arial" w:cs="Arial"/>
                <w:sz w:val="16"/>
                <w:szCs w:val="16"/>
              </w:rPr>
              <w:t>nfp</w:t>
            </w:r>
            <w:proofErr w:type="spellEnd"/>
          </w:p>
        </w:tc>
        <w:tc>
          <w:tcPr>
            <w:tcW w:w="850" w:type="dxa"/>
            <w:tcBorders>
              <w:top w:val="nil"/>
              <w:left w:val="nil"/>
              <w:bottom w:val="nil"/>
              <w:right w:val="nil"/>
            </w:tcBorders>
            <w:shd w:val="clear" w:color="auto" w:fill="auto"/>
            <w:noWrap/>
            <w:vAlign w:val="bottom"/>
            <w:hideMark/>
          </w:tcPr>
          <w:p w14:paraId="36CE2362" w14:textId="7D08AB5D"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1D30397A" w14:textId="50A303D3" w:rsidR="003B3179" w:rsidRPr="00B55E61" w:rsidRDefault="003B3179" w:rsidP="003B3179">
            <w:pPr>
              <w:spacing w:after="0" w:line="240" w:lineRule="auto"/>
              <w:jc w:val="right"/>
              <w:rPr>
                <w:rFonts w:ascii="Arial" w:hAnsi="Arial" w:cs="Arial"/>
                <w:sz w:val="16"/>
                <w:szCs w:val="16"/>
              </w:rPr>
            </w:pPr>
            <w:r w:rsidRPr="00B55E61">
              <w:rPr>
                <w:rFonts w:ascii="Arial" w:hAnsi="Arial" w:cs="Arial"/>
                <w:sz w:val="16"/>
                <w:szCs w:val="16"/>
              </w:rPr>
              <w:t>-</w:t>
            </w:r>
          </w:p>
        </w:tc>
      </w:tr>
      <w:tr w:rsidR="003B3179" w:rsidRPr="00B55E61" w14:paraId="3C4C3F49" w14:textId="77777777" w:rsidTr="00264B4E">
        <w:trPr>
          <w:trHeight w:val="204"/>
        </w:trPr>
        <w:tc>
          <w:tcPr>
            <w:tcW w:w="3402" w:type="dxa"/>
            <w:tcBorders>
              <w:top w:val="nil"/>
              <w:left w:val="nil"/>
              <w:bottom w:val="nil"/>
              <w:right w:val="nil"/>
            </w:tcBorders>
            <w:shd w:val="clear" w:color="auto" w:fill="auto"/>
            <w:noWrap/>
            <w:vAlign w:val="bottom"/>
            <w:hideMark/>
          </w:tcPr>
          <w:p w14:paraId="1A051AC4" w14:textId="77777777" w:rsidR="003B3179" w:rsidRPr="00B55E61" w:rsidRDefault="003B3179" w:rsidP="003B3179">
            <w:pPr>
              <w:spacing w:after="0" w:line="240" w:lineRule="auto"/>
              <w:ind w:left="113"/>
              <w:jc w:val="left"/>
              <w:rPr>
                <w:rFonts w:ascii="Arial" w:hAnsi="Arial" w:cs="Arial"/>
                <w:b/>
                <w:bCs/>
                <w:color w:val="000000"/>
                <w:sz w:val="16"/>
                <w:szCs w:val="16"/>
              </w:rPr>
            </w:pPr>
            <w:r w:rsidRPr="005F6D89">
              <w:rPr>
                <w:rFonts w:ascii="Arial" w:hAnsi="Arial" w:cs="Arial"/>
                <w:b/>
                <w:bCs/>
                <w:sz w:val="16"/>
                <w:szCs w:val="16"/>
              </w:rPr>
              <w:t>Other</w:t>
            </w:r>
            <w:r w:rsidRPr="00B55E61">
              <w:rPr>
                <w:rFonts w:ascii="Arial" w:hAnsi="Arial" w:cs="Arial"/>
                <w:b/>
                <w:bCs/>
                <w:color w:val="000000"/>
                <w:sz w:val="16"/>
                <w:szCs w:val="16"/>
              </w:rPr>
              <w:t xml:space="preserve"> Variations</w:t>
            </w:r>
          </w:p>
        </w:tc>
        <w:tc>
          <w:tcPr>
            <w:tcW w:w="866" w:type="dxa"/>
            <w:tcBorders>
              <w:top w:val="nil"/>
              <w:left w:val="nil"/>
              <w:bottom w:val="nil"/>
              <w:right w:val="nil"/>
            </w:tcBorders>
            <w:shd w:val="clear" w:color="auto" w:fill="auto"/>
            <w:noWrap/>
            <w:vAlign w:val="bottom"/>
            <w:hideMark/>
          </w:tcPr>
          <w:p w14:paraId="50E0A2F3" w14:textId="77777777" w:rsidR="003B3179" w:rsidRPr="00B55E61" w:rsidRDefault="003B3179" w:rsidP="003B3179">
            <w:pPr>
              <w:spacing w:after="0" w:line="240" w:lineRule="auto"/>
              <w:ind w:firstLineChars="100" w:firstLine="160"/>
              <w:jc w:val="right"/>
              <w:rPr>
                <w:rFonts w:ascii="Arial" w:hAnsi="Arial" w:cs="Arial"/>
                <w:b/>
                <w:bCs/>
                <w:color w:val="000000"/>
                <w:sz w:val="16"/>
                <w:szCs w:val="16"/>
              </w:rPr>
            </w:pPr>
          </w:p>
        </w:tc>
        <w:tc>
          <w:tcPr>
            <w:tcW w:w="903" w:type="dxa"/>
            <w:tcBorders>
              <w:top w:val="nil"/>
              <w:left w:val="nil"/>
              <w:bottom w:val="nil"/>
              <w:right w:val="nil"/>
            </w:tcBorders>
            <w:shd w:val="clear" w:color="000000" w:fill="E6E6E6"/>
            <w:noWrap/>
            <w:vAlign w:val="bottom"/>
            <w:hideMark/>
          </w:tcPr>
          <w:p w14:paraId="54D824A2" w14:textId="18D68501" w:rsidR="003B3179" w:rsidRPr="00B55E61" w:rsidRDefault="003B3179" w:rsidP="003B3179">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vAlign w:val="bottom"/>
            <w:hideMark/>
          </w:tcPr>
          <w:p w14:paraId="03024B53" w14:textId="78B9388C" w:rsidR="003B3179" w:rsidRPr="00B55E61" w:rsidRDefault="003B3179" w:rsidP="003B3179">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0A1054EB" w14:textId="74BB541C" w:rsidR="003B3179" w:rsidRPr="00B55E61" w:rsidRDefault="003B3179" w:rsidP="003B3179">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2F9683D5" w14:textId="51969CBF" w:rsidR="003B3179" w:rsidRPr="00B55E61" w:rsidRDefault="003B3179" w:rsidP="003B3179">
            <w:pPr>
              <w:spacing w:after="0" w:line="240" w:lineRule="auto"/>
              <w:jc w:val="right"/>
              <w:rPr>
                <w:rFonts w:ascii="Arial" w:hAnsi="Arial" w:cs="Arial"/>
                <w:sz w:val="16"/>
                <w:szCs w:val="16"/>
              </w:rPr>
            </w:pPr>
          </w:p>
        </w:tc>
      </w:tr>
      <w:tr w:rsidR="00264B4E" w:rsidRPr="00B55E61" w14:paraId="76A463E6" w14:textId="77777777" w:rsidTr="00264B4E">
        <w:trPr>
          <w:trHeight w:val="204"/>
        </w:trPr>
        <w:tc>
          <w:tcPr>
            <w:tcW w:w="3402" w:type="dxa"/>
            <w:tcBorders>
              <w:top w:val="nil"/>
              <w:left w:val="nil"/>
              <w:bottom w:val="nil"/>
              <w:right w:val="nil"/>
            </w:tcBorders>
            <w:shd w:val="clear" w:color="auto" w:fill="auto"/>
            <w:vAlign w:val="bottom"/>
          </w:tcPr>
          <w:p w14:paraId="4997EC55" w14:textId="2DD72F3C" w:rsidR="00264B4E" w:rsidRPr="00B55E61" w:rsidRDefault="00264B4E" w:rsidP="00264B4E">
            <w:pPr>
              <w:spacing w:after="0" w:line="240" w:lineRule="auto"/>
              <w:ind w:left="227"/>
              <w:jc w:val="left"/>
              <w:rPr>
                <w:rFonts w:ascii="Arial" w:hAnsi="Arial" w:cs="Arial"/>
                <w:sz w:val="16"/>
                <w:szCs w:val="16"/>
              </w:rPr>
            </w:pPr>
            <w:r w:rsidRPr="00B55E61">
              <w:rPr>
                <w:rFonts w:ascii="Arial" w:hAnsi="Arial" w:cs="Arial"/>
                <w:sz w:val="16"/>
                <w:szCs w:val="16"/>
              </w:rPr>
              <w:t>Changes in parameters</w:t>
            </w:r>
          </w:p>
        </w:tc>
        <w:tc>
          <w:tcPr>
            <w:tcW w:w="866" w:type="dxa"/>
            <w:tcBorders>
              <w:top w:val="nil"/>
              <w:left w:val="nil"/>
              <w:bottom w:val="nil"/>
              <w:right w:val="nil"/>
            </w:tcBorders>
            <w:shd w:val="clear" w:color="auto" w:fill="auto"/>
            <w:noWrap/>
            <w:vAlign w:val="bottom"/>
          </w:tcPr>
          <w:p w14:paraId="64524A53" w14:textId="333BED8F" w:rsidR="00264B4E" w:rsidRPr="00B55E61" w:rsidRDefault="00264B4E" w:rsidP="00264B4E">
            <w:pPr>
              <w:spacing w:after="0" w:line="240" w:lineRule="auto"/>
              <w:jc w:val="center"/>
              <w:rPr>
                <w:rFonts w:ascii="Arial" w:hAnsi="Arial" w:cs="Arial"/>
                <w:sz w:val="16"/>
                <w:szCs w:val="16"/>
              </w:rPr>
            </w:pPr>
            <w:r w:rsidRPr="00B55E61">
              <w:rPr>
                <w:rFonts w:ascii="Arial" w:hAnsi="Arial" w:cs="Arial"/>
                <w:sz w:val="16"/>
                <w:szCs w:val="16"/>
              </w:rPr>
              <w:t>6.1</w:t>
            </w:r>
          </w:p>
        </w:tc>
        <w:tc>
          <w:tcPr>
            <w:tcW w:w="903" w:type="dxa"/>
            <w:tcBorders>
              <w:top w:val="nil"/>
              <w:left w:val="nil"/>
              <w:right w:val="nil"/>
            </w:tcBorders>
            <w:shd w:val="clear" w:color="000000" w:fill="E6E6E6"/>
            <w:noWrap/>
            <w:vAlign w:val="bottom"/>
          </w:tcPr>
          <w:p w14:paraId="43FA3D00" w14:textId="1D155BD8" w:rsidR="00264B4E" w:rsidRPr="00B55E61" w:rsidRDefault="00264B4E" w:rsidP="00264B4E">
            <w:pPr>
              <w:spacing w:after="0" w:line="240" w:lineRule="auto"/>
              <w:jc w:val="right"/>
              <w:rPr>
                <w:rFonts w:ascii="Arial" w:hAnsi="Arial" w:cs="Arial"/>
                <w:sz w:val="16"/>
                <w:szCs w:val="16"/>
              </w:rPr>
            </w:pPr>
            <w:r w:rsidRPr="00B55E61">
              <w:rPr>
                <w:rFonts w:ascii="Arial" w:hAnsi="Arial" w:cs="Arial"/>
                <w:sz w:val="16"/>
                <w:szCs w:val="16"/>
              </w:rPr>
              <w:t>-</w:t>
            </w:r>
          </w:p>
        </w:tc>
        <w:tc>
          <w:tcPr>
            <w:tcW w:w="925" w:type="dxa"/>
            <w:tcBorders>
              <w:top w:val="nil"/>
              <w:left w:val="nil"/>
              <w:right w:val="nil"/>
            </w:tcBorders>
            <w:shd w:val="clear" w:color="auto" w:fill="auto"/>
            <w:noWrap/>
            <w:vAlign w:val="bottom"/>
          </w:tcPr>
          <w:p w14:paraId="72030396" w14:textId="57713F97" w:rsidR="00264B4E" w:rsidRPr="00B55E61" w:rsidRDefault="00264B4E" w:rsidP="00264B4E">
            <w:pPr>
              <w:spacing w:after="0" w:line="240" w:lineRule="auto"/>
              <w:jc w:val="right"/>
              <w:rPr>
                <w:rFonts w:ascii="Arial" w:hAnsi="Arial" w:cs="Arial"/>
                <w:sz w:val="16"/>
                <w:szCs w:val="16"/>
              </w:rPr>
            </w:pPr>
            <w:r w:rsidRPr="00B55E61">
              <w:rPr>
                <w:rFonts w:ascii="Arial" w:hAnsi="Arial" w:cs="Arial"/>
                <w:sz w:val="16"/>
                <w:szCs w:val="16"/>
              </w:rPr>
              <w:t>225</w:t>
            </w:r>
          </w:p>
        </w:tc>
        <w:tc>
          <w:tcPr>
            <w:tcW w:w="850" w:type="dxa"/>
            <w:tcBorders>
              <w:top w:val="nil"/>
              <w:left w:val="nil"/>
              <w:right w:val="nil"/>
            </w:tcBorders>
            <w:shd w:val="clear" w:color="auto" w:fill="auto"/>
            <w:noWrap/>
            <w:vAlign w:val="bottom"/>
          </w:tcPr>
          <w:p w14:paraId="78AD827B" w14:textId="2EA160B1" w:rsidR="00264B4E" w:rsidRPr="00B55E61" w:rsidRDefault="00264B4E" w:rsidP="00264B4E">
            <w:pPr>
              <w:spacing w:after="0" w:line="240" w:lineRule="auto"/>
              <w:jc w:val="right"/>
              <w:rPr>
                <w:rFonts w:ascii="Arial" w:hAnsi="Arial" w:cs="Arial"/>
                <w:sz w:val="16"/>
                <w:szCs w:val="16"/>
              </w:rPr>
            </w:pPr>
            <w:r w:rsidRPr="00B55E61">
              <w:rPr>
                <w:rFonts w:ascii="Arial" w:hAnsi="Arial" w:cs="Arial"/>
                <w:sz w:val="16"/>
                <w:szCs w:val="16"/>
              </w:rPr>
              <w:t>668</w:t>
            </w:r>
          </w:p>
        </w:tc>
        <w:tc>
          <w:tcPr>
            <w:tcW w:w="851" w:type="dxa"/>
            <w:tcBorders>
              <w:top w:val="nil"/>
              <w:left w:val="nil"/>
              <w:right w:val="nil"/>
            </w:tcBorders>
            <w:shd w:val="clear" w:color="auto" w:fill="auto"/>
            <w:noWrap/>
            <w:vAlign w:val="bottom"/>
          </w:tcPr>
          <w:p w14:paraId="3373A597" w14:textId="0007422B" w:rsidR="00264B4E" w:rsidRPr="00B55E61" w:rsidRDefault="00264B4E" w:rsidP="00264B4E">
            <w:pPr>
              <w:spacing w:after="0" w:line="240" w:lineRule="auto"/>
              <w:jc w:val="right"/>
              <w:rPr>
                <w:rFonts w:ascii="Arial" w:hAnsi="Arial" w:cs="Arial"/>
                <w:sz w:val="16"/>
                <w:szCs w:val="16"/>
              </w:rPr>
            </w:pPr>
            <w:r w:rsidRPr="00B55E61">
              <w:rPr>
                <w:rFonts w:ascii="Arial" w:hAnsi="Arial" w:cs="Arial"/>
                <w:sz w:val="16"/>
                <w:szCs w:val="16"/>
              </w:rPr>
              <w:t>1,243</w:t>
            </w:r>
          </w:p>
        </w:tc>
      </w:tr>
      <w:tr w:rsidR="00264B4E" w:rsidRPr="00B55E61" w14:paraId="4AFB4475" w14:textId="77777777" w:rsidTr="00264B4E">
        <w:trPr>
          <w:trHeight w:val="204"/>
        </w:trPr>
        <w:tc>
          <w:tcPr>
            <w:tcW w:w="3402" w:type="dxa"/>
            <w:tcBorders>
              <w:top w:val="nil"/>
              <w:left w:val="nil"/>
              <w:bottom w:val="nil"/>
              <w:right w:val="nil"/>
            </w:tcBorders>
            <w:shd w:val="clear" w:color="auto" w:fill="auto"/>
            <w:vAlign w:val="bottom"/>
            <w:hideMark/>
          </w:tcPr>
          <w:p w14:paraId="772BFE76" w14:textId="386A5F80" w:rsidR="00264B4E" w:rsidRPr="00B55E61" w:rsidRDefault="00264B4E" w:rsidP="00264B4E">
            <w:pPr>
              <w:spacing w:after="0" w:line="240" w:lineRule="auto"/>
              <w:ind w:left="227"/>
              <w:jc w:val="left"/>
              <w:rPr>
                <w:rFonts w:ascii="Arial" w:hAnsi="Arial" w:cs="Arial"/>
                <w:sz w:val="16"/>
                <w:szCs w:val="16"/>
              </w:rPr>
            </w:pPr>
            <w:r>
              <w:rPr>
                <w:rFonts w:ascii="Arial" w:hAnsi="Arial" w:cs="Arial"/>
                <w:sz w:val="16"/>
                <w:szCs w:val="16"/>
              </w:rPr>
              <w:t>Estimates v</w:t>
            </w:r>
            <w:r w:rsidRPr="00B55E61">
              <w:rPr>
                <w:rFonts w:ascii="Arial" w:hAnsi="Arial" w:cs="Arial"/>
                <w:sz w:val="16"/>
                <w:szCs w:val="16"/>
              </w:rPr>
              <w:t>ariations</w:t>
            </w:r>
          </w:p>
        </w:tc>
        <w:tc>
          <w:tcPr>
            <w:tcW w:w="866" w:type="dxa"/>
            <w:tcBorders>
              <w:top w:val="nil"/>
              <w:left w:val="nil"/>
              <w:bottom w:val="nil"/>
              <w:right w:val="nil"/>
            </w:tcBorders>
            <w:shd w:val="clear" w:color="auto" w:fill="auto"/>
            <w:noWrap/>
            <w:vAlign w:val="bottom"/>
            <w:hideMark/>
          </w:tcPr>
          <w:p w14:paraId="6DCDF9CA" w14:textId="77777777" w:rsidR="00264B4E" w:rsidRPr="00B55E61" w:rsidRDefault="00264B4E" w:rsidP="00264B4E">
            <w:pPr>
              <w:spacing w:after="0" w:line="240" w:lineRule="auto"/>
              <w:jc w:val="center"/>
              <w:rPr>
                <w:rFonts w:ascii="Arial" w:hAnsi="Arial" w:cs="Arial"/>
                <w:sz w:val="16"/>
                <w:szCs w:val="16"/>
              </w:rPr>
            </w:pPr>
            <w:r w:rsidRPr="00B55E61">
              <w:rPr>
                <w:rFonts w:ascii="Arial" w:hAnsi="Arial" w:cs="Arial"/>
                <w:sz w:val="16"/>
                <w:szCs w:val="16"/>
              </w:rPr>
              <w:t>6.1</w:t>
            </w:r>
          </w:p>
        </w:tc>
        <w:tc>
          <w:tcPr>
            <w:tcW w:w="903" w:type="dxa"/>
            <w:tcBorders>
              <w:top w:val="nil"/>
              <w:left w:val="nil"/>
              <w:bottom w:val="single" w:sz="4" w:space="0" w:color="auto"/>
              <w:right w:val="nil"/>
            </w:tcBorders>
            <w:shd w:val="clear" w:color="000000" w:fill="E6E6E6"/>
            <w:noWrap/>
            <w:vAlign w:val="bottom"/>
            <w:hideMark/>
          </w:tcPr>
          <w:p w14:paraId="11F49D37" w14:textId="77777777" w:rsidR="00264B4E" w:rsidRPr="00B55E61" w:rsidRDefault="00264B4E" w:rsidP="00264B4E">
            <w:pPr>
              <w:spacing w:after="0" w:line="240" w:lineRule="auto"/>
              <w:jc w:val="right"/>
              <w:rPr>
                <w:rFonts w:ascii="Arial" w:hAnsi="Arial" w:cs="Arial"/>
                <w:sz w:val="16"/>
                <w:szCs w:val="16"/>
              </w:rPr>
            </w:pPr>
            <w:r w:rsidRPr="00B55E61">
              <w:rPr>
                <w:rFonts w:ascii="Arial" w:hAnsi="Arial" w:cs="Arial"/>
                <w:sz w:val="16"/>
                <w:szCs w:val="16"/>
              </w:rPr>
              <w:t>(9,000)</w:t>
            </w:r>
          </w:p>
        </w:tc>
        <w:tc>
          <w:tcPr>
            <w:tcW w:w="925" w:type="dxa"/>
            <w:tcBorders>
              <w:top w:val="nil"/>
              <w:left w:val="nil"/>
              <w:bottom w:val="single" w:sz="4" w:space="0" w:color="auto"/>
              <w:right w:val="nil"/>
            </w:tcBorders>
            <w:shd w:val="clear" w:color="auto" w:fill="auto"/>
            <w:noWrap/>
            <w:vAlign w:val="bottom"/>
            <w:hideMark/>
          </w:tcPr>
          <w:p w14:paraId="704010EF" w14:textId="3714C13F" w:rsidR="00264B4E" w:rsidRPr="00B55E61" w:rsidRDefault="00264B4E" w:rsidP="00264B4E">
            <w:pPr>
              <w:spacing w:after="0" w:line="240" w:lineRule="auto"/>
              <w:jc w:val="right"/>
              <w:rPr>
                <w:rFonts w:ascii="Arial" w:hAnsi="Arial" w:cs="Arial"/>
                <w:sz w:val="16"/>
                <w:szCs w:val="16"/>
              </w:rPr>
            </w:pPr>
            <w:r w:rsidRPr="00B55E61">
              <w:rPr>
                <w:rFonts w:ascii="Arial" w:hAnsi="Arial" w:cs="Arial"/>
                <w:sz w:val="16"/>
                <w:szCs w:val="16"/>
              </w:rPr>
              <w:t>-</w:t>
            </w:r>
          </w:p>
        </w:tc>
        <w:tc>
          <w:tcPr>
            <w:tcW w:w="850" w:type="dxa"/>
            <w:tcBorders>
              <w:top w:val="nil"/>
              <w:left w:val="nil"/>
              <w:bottom w:val="single" w:sz="4" w:space="0" w:color="auto"/>
              <w:right w:val="nil"/>
            </w:tcBorders>
            <w:shd w:val="clear" w:color="auto" w:fill="auto"/>
            <w:noWrap/>
            <w:vAlign w:val="bottom"/>
            <w:hideMark/>
          </w:tcPr>
          <w:p w14:paraId="64D68560" w14:textId="324665B4" w:rsidR="00264B4E" w:rsidRPr="00B55E61" w:rsidRDefault="00264B4E" w:rsidP="00264B4E">
            <w:pPr>
              <w:spacing w:after="0" w:line="240" w:lineRule="auto"/>
              <w:jc w:val="right"/>
              <w:rPr>
                <w:rFonts w:ascii="Arial" w:hAnsi="Arial" w:cs="Arial"/>
                <w:sz w:val="16"/>
                <w:szCs w:val="16"/>
              </w:rPr>
            </w:pPr>
            <w:r w:rsidRPr="00B55E61">
              <w:rPr>
                <w:rFonts w:ascii="Arial" w:hAnsi="Arial" w:cs="Arial"/>
                <w:sz w:val="16"/>
                <w:szCs w:val="16"/>
              </w:rPr>
              <w:t>-</w:t>
            </w:r>
          </w:p>
        </w:tc>
        <w:tc>
          <w:tcPr>
            <w:tcW w:w="851" w:type="dxa"/>
            <w:tcBorders>
              <w:top w:val="nil"/>
              <w:left w:val="nil"/>
              <w:bottom w:val="single" w:sz="4" w:space="0" w:color="auto"/>
              <w:right w:val="nil"/>
            </w:tcBorders>
            <w:shd w:val="clear" w:color="auto" w:fill="auto"/>
            <w:noWrap/>
            <w:vAlign w:val="bottom"/>
            <w:hideMark/>
          </w:tcPr>
          <w:p w14:paraId="14C7AB17" w14:textId="51B87FBC" w:rsidR="00264B4E" w:rsidRPr="00B55E61" w:rsidRDefault="00264B4E" w:rsidP="00264B4E">
            <w:pPr>
              <w:spacing w:after="0" w:line="240" w:lineRule="auto"/>
              <w:jc w:val="right"/>
              <w:rPr>
                <w:rFonts w:ascii="Arial" w:hAnsi="Arial" w:cs="Arial"/>
                <w:sz w:val="16"/>
                <w:szCs w:val="16"/>
              </w:rPr>
            </w:pPr>
            <w:r w:rsidRPr="00B55E61">
              <w:rPr>
                <w:rFonts w:ascii="Arial" w:hAnsi="Arial" w:cs="Arial"/>
                <w:sz w:val="16"/>
                <w:szCs w:val="16"/>
              </w:rPr>
              <w:t>-</w:t>
            </w:r>
          </w:p>
        </w:tc>
      </w:tr>
      <w:tr w:rsidR="00264B4E" w:rsidRPr="00B55E61" w14:paraId="1AFC2D44" w14:textId="77777777" w:rsidTr="00264B4E">
        <w:trPr>
          <w:trHeight w:val="204"/>
        </w:trPr>
        <w:tc>
          <w:tcPr>
            <w:tcW w:w="3402" w:type="dxa"/>
            <w:tcBorders>
              <w:top w:val="nil"/>
              <w:left w:val="nil"/>
              <w:bottom w:val="nil"/>
              <w:right w:val="nil"/>
            </w:tcBorders>
            <w:shd w:val="clear" w:color="auto" w:fill="auto"/>
            <w:vAlign w:val="bottom"/>
            <w:hideMark/>
          </w:tcPr>
          <w:p w14:paraId="247E11B3" w14:textId="15153A20" w:rsidR="00264B4E" w:rsidRPr="00B55E61" w:rsidRDefault="00264B4E" w:rsidP="00264B4E">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Net impact on appropriations for</w:t>
            </w:r>
            <w:r>
              <w:rPr>
                <w:rFonts w:ascii="Arial" w:hAnsi="Arial" w:cs="Arial"/>
                <w:b/>
                <w:bCs/>
                <w:color w:val="000000"/>
                <w:sz w:val="16"/>
                <w:szCs w:val="16"/>
              </w:rPr>
              <w:t xml:space="preserve"> </w:t>
            </w:r>
            <w:r w:rsidRPr="00B55E61">
              <w:rPr>
                <w:rFonts w:ascii="Arial" w:hAnsi="Arial" w:cs="Arial"/>
                <w:b/>
                <w:bCs/>
                <w:color w:val="000000"/>
                <w:sz w:val="16"/>
                <w:szCs w:val="16"/>
              </w:rPr>
              <w:t xml:space="preserve">Outcome 6 </w:t>
            </w:r>
            <w:r>
              <w:rPr>
                <w:rFonts w:ascii="Arial" w:hAnsi="Arial" w:cs="Arial"/>
                <w:b/>
                <w:bCs/>
                <w:color w:val="000000"/>
                <w:sz w:val="16"/>
                <w:szCs w:val="16"/>
              </w:rPr>
              <w:t>(A</w:t>
            </w:r>
            <w:r w:rsidRPr="00B55E61">
              <w:rPr>
                <w:rFonts w:ascii="Arial" w:hAnsi="Arial" w:cs="Arial"/>
                <w:b/>
                <w:bCs/>
                <w:color w:val="000000"/>
                <w:sz w:val="16"/>
                <w:szCs w:val="16"/>
              </w:rPr>
              <w:t>dministered)</w:t>
            </w:r>
          </w:p>
        </w:tc>
        <w:tc>
          <w:tcPr>
            <w:tcW w:w="866" w:type="dxa"/>
            <w:tcBorders>
              <w:top w:val="nil"/>
              <w:left w:val="nil"/>
              <w:bottom w:val="nil"/>
              <w:right w:val="nil"/>
            </w:tcBorders>
            <w:shd w:val="clear" w:color="auto" w:fill="auto"/>
            <w:noWrap/>
            <w:vAlign w:val="bottom"/>
            <w:hideMark/>
          </w:tcPr>
          <w:p w14:paraId="1379C7A9" w14:textId="77777777" w:rsidR="00264B4E" w:rsidRPr="00B55E61" w:rsidRDefault="00264B4E" w:rsidP="00264B4E">
            <w:pPr>
              <w:spacing w:after="0" w:line="240" w:lineRule="auto"/>
              <w:jc w:val="right"/>
              <w:rPr>
                <w:rFonts w:ascii="Arial" w:hAnsi="Arial" w:cs="Arial"/>
                <w:b/>
                <w:bCs/>
                <w:color w:val="000000"/>
                <w:sz w:val="16"/>
                <w:szCs w:val="16"/>
              </w:rPr>
            </w:pPr>
          </w:p>
        </w:tc>
        <w:tc>
          <w:tcPr>
            <w:tcW w:w="903" w:type="dxa"/>
            <w:tcBorders>
              <w:top w:val="single" w:sz="4" w:space="0" w:color="auto"/>
              <w:left w:val="nil"/>
              <w:bottom w:val="single" w:sz="4" w:space="0" w:color="auto"/>
              <w:right w:val="nil"/>
            </w:tcBorders>
            <w:shd w:val="clear" w:color="000000" w:fill="E6E6E6"/>
            <w:noWrap/>
            <w:vAlign w:val="bottom"/>
            <w:hideMark/>
          </w:tcPr>
          <w:p w14:paraId="41ED6ABF" w14:textId="2E0924DE"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39,600</w:t>
            </w:r>
          </w:p>
        </w:tc>
        <w:tc>
          <w:tcPr>
            <w:tcW w:w="925" w:type="dxa"/>
            <w:tcBorders>
              <w:top w:val="single" w:sz="4" w:space="0" w:color="auto"/>
              <w:left w:val="nil"/>
              <w:bottom w:val="single" w:sz="4" w:space="0" w:color="auto"/>
              <w:right w:val="nil"/>
            </w:tcBorders>
            <w:shd w:val="clear" w:color="auto" w:fill="auto"/>
            <w:noWrap/>
            <w:vAlign w:val="bottom"/>
            <w:hideMark/>
          </w:tcPr>
          <w:p w14:paraId="4C24FEBF" w14:textId="2FD81CC2"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6,423</w:t>
            </w:r>
          </w:p>
        </w:tc>
        <w:tc>
          <w:tcPr>
            <w:tcW w:w="850" w:type="dxa"/>
            <w:tcBorders>
              <w:top w:val="single" w:sz="4" w:space="0" w:color="auto"/>
              <w:left w:val="nil"/>
              <w:bottom w:val="single" w:sz="4" w:space="0" w:color="auto"/>
              <w:right w:val="nil"/>
            </w:tcBorders>
            <w:shd w:val="clear" w:color="auto" w:fill="auto"/>
            <w:noWrap/>
            <w:vAlign w:val="bottom"/>
            <w:hideMark/>
          </w:tcPr>
          <w:p w14:paraId="424DCBAA" w14:textId="10D41C97"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7,701</w:t>
            </w:r>
          </w:p>
        </w:tc>
        <w:tc>
          <w:tcPr>
            <w:tcW w:w="851" w:type="dxa"/>
            <w:tcBorders>
              <w:top w:val="single" w:sz="4" w:space="0" w:color="auto"/>
              <w:left w:val="nil"/>
              <w:bottom w:val="single" w:sz="4" w:space="0" w:color="auto"/>
              <w:right w:val="nil"/>
            </w:tcBorders>
            <w:shd w:val="clear" w:color="auto" w:fill="auto"/>
            <w:noWrap/>
            <w:vAlign w:val="bottom"/>
            <w:hideMark/>
          </w:tcPr>
          <w:p w14:paraId="3D8B1046" w14:textId="345985BA"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6,197</w:t>
            </w:r>
          </w:p>
        </w:tc>
      </w:tr>
      <w:tr w:rsidR="00264B4E" w:rsidRPr="00B55E61" w14:paraId="3F76C383" w14:textId="77777777" w:rsidTr="00264B4E">
        <w:trPr>
          <w:trHeight w:val="204"/>
        </w:trPr>
        <w:tc>
          <w:tcPr>
            <w:tcW w:w="3402" w:type="dxa"/>
            <w:tcBorders>
              <w:top w:val="nil"/>
              <w:left w:val="nil"/>
              <w:bottom w:val="nil"/>
              <w:right w:val="nil"/>
            </w:tcBorders>
            <w:shd w:val="clear" w:color="auto" w:fill="auto"/>
            <w:noWrap/>
            <w:vAlign w:val="bottom"/>
            <w:hideMark/>
          </w:tcPr>
          <w:p w14:paraId="4A12CED9" w14:textId="6394DE66" w:rsidR="00264B4E" w:rsidRPr="00B55E61" w:rsidRDefault="00264B4E" w:rsidP="00264B4E">
            <w:pPr>
              <w:spacing w:after="0" w:line="240" w:lineRule="auto"/>
              <w:jc w:val="left"/>
              <w:rPr>
                <w:rFonts w:ascii="Arial" w:hAnsi="Arial" w:cs="Arial"/>
                <w:b/>
                <w:bCs/>
                <w:sz w:val="16"/>
                <w:szCs w:val="16"/>
              </w:rPr>
            </w:pPr>
            <w:r>
              <w:rPr>
                <w:rFonts w:ascii="Arial" w:hAnsi="Arial" w:cs="Arial"/>
                <w:b/>
                <w:bCs/>
                <w:sz w:val="16"/>
                <w:szCs w:val="16"/>
              </w:rPr>
              <w:t>Department</w:t>
            </w:r>
            <w:r w:rsidRPr="00B55E61">
              <w:rPr>
                <w:rFonts w:ascii="Arial" w:hAnsi="Arial" w:cs="Arial"/>
                <w:b/>
                <w:bCs/>
                <w:sz w:val="16"/>
                <w:szCs w:val="16"/>
              </w:rPr>
              <w:t>al</w:t>
            </w:r>
          </w:p>
        </w:tc>
        <w:tc>
          <w:tcPr>
            <w:tcW w:w="866" w:type="dxa"/>
            <w:tcBorders>
              <w:top w:val="nil"/>
              <w:left w:val="nil"/>
              <w:bottom w:val="nil"/>
              <w:right w:val="nil"/>
            </w:tcBorders>
            <w:shd w:val="clear" w:color="auto" w:fill="auto"/>
            <w:noWrap/>
            <w:vAlign w:val="bottom"/>
            <w:hideMark/>
          </w:tcPr>
          <w:p w14:paraId="4E9636C5" w14:textId="77777777" w:rsidR="00264B4E" w:rsidRPr="00B55E61" w:rsidRDefault="00264B4E" w:rsidP="00264B4E">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73BFF888" w14:textId="696C053D" w:rsidR="00264B4E" w:rsidRPr="00B55E61" w:rsidRDefault="00264B4E" w:rsidP="00264B4E">
            <w:pPr>
              <w:spacing w:after="0" w:line="240" w:lineRule="auto"/>
              <w:jc w:val="right"/>
              <w:rPr>
                <w:rFonts w:ascii="Arial" w:hAnsi="Arial" w:cs="Arial"/>
                <w:b/>
                <w:bCs/>
                <w:sz w:val="16"/>
                <w:szCs w:val="16"/>
              </w:rPr>
            </w:pPr>
          </w:p>
        </w:tc>
        <w:tc>
          <w:tcPr>
            <w:tcW w:w="925" w:type="dxa"/>
            <w:tcBorders>
              <w:top w:val="nil"/>
              <w:left w:val="nil"/>
              <w:bottom w:val="nil"/>
              <w:right w:val="nil"/>
            </w:tcBorders>
            <w:shd w:val="clear" w:color="auto" w:fill="auto"/>
            <w:noWrap/>
            <w:vAlign w:val="bottom"/>
            <w:hideMark/>
          </w:tcPr>
          <w:p w14:paraId="26AE78DC" w14:textId="77777777" w:rsidR="00264B4E" w:rsidRPr="00B55E61" w:rsidRDefault="00264B4E" w:rsidP="00264B4E">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0E5F68B7" w14:textId="77777777" w:rsidR="00264B4E" w:rsidRPr="00B55E61" w:rsidRDefault="00264B4E" w:rsidP="00264B4E">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7D40F152" w14:textId="77777777" w:rsidR="00264B4E" w:rsidRPr="00B55E61" w:rsidRDefault="00264B4E" w:rsidP="00264B4E">
            <w:pPr>
              <w:spacing w:after="0" w:line="240" w:lineRule="auto"/>
              <w:jc w:val="right"/>
              <w:rPr>
                <w:rFonts w:ascii="Times New Roman" w:hAnsi="Times New Roman"/>
                <w:sz w:val="16"/>
                <w:szCs w:val="16"/>
              </w:rPr>
            </w:pPr>
          </w:p>
        </w:tc>
      </w:tr>
      <w:tr w:rsidR="00264B4E" w:rsidRPr="00B55E61" w14:paraId="7949B999" w14:textId="77777777" w:rsidTr="00264B4E">
        <w:trPr>
          <w:trHeight w:val="204"/>
        </w:trPr>
        <w:tc>
          <w:tcPr>
            <w:tcW w:w="3402" w:type="dxa"/>
            <w:tcBorders>
              <w:top w:val="nil"/>
              <w:left w:val="nil"/>
              <w:bottom w:val="nil"/>
              <w:right w:val="nil"/>
            </w:tcBorders>
            <w:shd w:val="clear" w:color="auto" w:fill="auto"/>
            <w:noWrap/>
            <w:vAlign w:val="bottom"/>
          </w:tcPr>
          <w:p w14:paraId="7C70D12F" w14:textId="27226DB1" w:rsidR="00264B4E" w:rsidRDefault="00264B4E" w:rsidP="00264B4E">
            <w:pPr>
              <w:spacing w:after="0" w:line="240" w:lineRule="auto"/>
              <w:ind w:left="113"/>
              <w:jc w:val="left"/>
              <w:rPr>
                <w:rFonts w:ascii="Arial" w:hAnsi="Arial" w:cs="Arial"/>
                <w:b/>
                <w:bCs/>
                <w:sz w:val="16"/>
                <w:szCs w:val="16"/>
              </w:rPr>
            </w:pPr>
            <w:r w:rsidRPr="00B55E61">
              <w:rPr>
                <w:rFonts w:ascii="Arial" w:hAnsi="Arial" w:cs="Arial"/>
                <w:b/>
                <w:bCs/>
                <w:sz w:val="16"/>
                <w:szCs w:val="16"/>
              </w:rPr>
              <w:t>Measures</w:t>
            </w:r>
          </w:p>
        </w:tc>
        <w:tc>
          <w:tcPr>
            <w:tcW w:w="866" w:type="dxa"/>
            <w:tcBorders>
              <w:top w:val="nil"/>
              <w:left w:val="nil"/>
              <w:bottom w:val="nil"/>
              <w:right w:val="nil"/>
            </w:tcBorders>
            <w:shd w:val="clear" w:color="auto" w:fill="auto"/>
            <w:noWrap/>
            <w:vAlign w:val="bottom"/>
          </w:tcPr>
          <w:p w14:paraId="0F15E7CC" w14:textId="77777777" w:rsidR="00264B4E" w:rsidRPr="00B55E61" w:rsidRDefault="00264B4E" w:rsidP="00264B4E">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tcPr>
          <w:p w14:paraId="566A40EB" w14:textId="77777777" w:rsidR="00264B4E" w:rsidRPr="00B55E61" w:rsidRDefault="00264B4E" w:rsidP="00264B4E">
            <w:pPr>
              <w:spacing w:after="0" w:line="240" w:lineRule="auto"/>
              <w:jc w:val="right"/>
              <w:rPr>
                <w:rFonts w:ascii="Arial" w:hAnsi="Arial" w:cs="Arial"/>
                <w:b/>
                <w:bCs/>
                <w:sz w:val="16"/>
                <w:szCs w:val="16"/>
              </w:rPr>
            </w:pPr>
          </w:p>
        </w:tc>
        <w:tc>
          <w:tcPr>
            <w:tcW w:w="925" w:type="dxa"/>
            <w:tcBorders>
              <w:top w:val="nil"/>
              <w:left w:val="nil"/>
              <w:bottom w:val="nil"/>
              <w:right w:val="nil"/>
            </w:tcBorders>
            <w:shd w:val="clear" w:color="auto" w:fill="auto"/>
            <w:noWrap/>
            <w:vAlign w:val="bottom"/>
          </w:tcPr>
          <w:p w14:paraId="45495FF9" w14:textId="77777777" w:rsidR="00264B4E" w:rsidRPr="00B55E61" w:rsidRDefault="00264B4E" w:rsidP="00264B4E">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tcPr>
          <w:p w14:paraId="2AF39CD0" w14:textId="77777777" w:rsidR="00264B4E" w:rsidRPr="00B55E61" w:rsidRDefault="00264B4E" w:rsidP="00264B4E">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tcPr>
          <w:p w14:paraId="5ED3AABB" w14:textId="77777777" w:rsidR="00264B4E" w:rsidRPr="00B55E61" w:rsidRDefault="00264B4E" w:rsidP="00264B4E">
            <w:pPr>
              <w:spacing w:after="0" w:line="240" w:lineRule="auto"/>
              <w:jc w:val="right"/>
              <w:rPr>
                <w:rFonts w:ascii="Times New Roman" w:hAnsi="Times New Roman"/>
                <w:sz w:val="16"/>
                <w:szCs w:val="16"/>
              </w:rPr>
            </w:pPr>
          </w:p>
        </w:tc>
      </w:tr>
      <w:tr w:rsidR="00264B4E" w:rsidRPr="00B55E61" w14:paraId="1C6996FA" w14:textId="77777777" w:rsidTr="00264B4E">
        <w:trPr>
          <w:trHeight w:val="204"/>
        </w:trPr>
        <w:tc>
          <w:tcPr>
            <w:tcW w:w="3402" w:type="dxa"/>
            <w:tcBorders>
              <w:top w:val="nil"/>
              <w:left w:val="nil"/>
              <w:bottom w:val="nil"/>
              <w:right w:val="nil"/>
            </w:tcBorders>
            <w:shd w:val="clear" w:color="auto" w:fill="auto"/>
            <w:noWrap/>
            <w:vAlign w:val="bottom"/>
          </w:tcPr>
          <w:p w14:paraId="1CAC0BCF" w14:textId="7D205DEA" w:rsidR="00264B4E" w:rsidRDefault="00264B4E" w:rsidP="00264B4E">
            <w:pPr>
              <w:spacing w:after="0" w:line="240" w:lineRule="auto"/>
              <w:ind w:left="227"/>
              <w:jc w:val="left"/>
              <w:rPr>
                <w:rFonts w:ascii="Arial" w:hAnsi="Arial" w:cs="Arial"/>
                <w:b/>
                <w:bCs/>
                <w:sz w:val="16"/>
                <w:szCs w:val="16"/>
              </w:rPr>
            </w:pPr>
            <w:r w:rsidRPr="00B55E61">
              <w:rPr>
                <w:rFonts w:ascii="Arial" w:hAnsi="Arial" w:cs="Arial"/>
                <w:sz w:val="16"/>
                <w:szCs w:val="16"/>
              </w:rPr>
              <w:t>National Collecting Institutions - preserving Australia's cultural heritage</w:t>
            </w:r>
            <w:r>
              <w:rPr>
                <w:rFonts w:ascii="Arial" w:hAnsi="Arial" w:cs="Arial"/>
                <w:sz w:val="16"/>
                <w:szCs w:val="16"/>
              </w:rPr>
              <w:t xml:space="preserve"> </w:t>
            </w:r>
            <w:r w:rsidRPr="0056024E">
              <w:rPr>
                <w:rFonts w:ascii="Arial" w:hAnsi="Arial" w:cs="Arial"/>
                <w:sz w:val="16"/>
                <w:szCs w:val="16"/>
                <w:vertAlign w:val="superscript"/>
              </w:rPr>
              <w:t>(a)</w:t>
            </w:r>
          </w:p>
        </w:tc>
        <w:tc>
          <w:tcPr>
            <w:tcW w:w="866" w:type="dxa"/>
            <w:tcBorders>
              <w:top w:val="nil"/>
              <w:left w:val="nil"/>
              <w:bottom w:val="nil"/>
              <w:right w:val="nil"/>
            </w:tcBorders>
            <w:shd w:val="clear" w:color="auto" w:fill="auto"/>
            <w:noWrap/>
            <w:vAlign w:val="bottom"/>
          </w:tcPr>
          <w:p w14:paraId="0F4DCF0E" w14:textId="77777777" w:rsidR="00264B4E" w:rsidRPr="00B55E61" w:rsidRDefault="00264B4E" w:rsidP="00264B4E">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tcPr>
          <w:p w14:paraId="370D112C" w14:textId="3E7A938C" w:rsidR="00264B4E" w:rsidRPr="00B55E61" w:rsidRDefault="00264B4E" w:rsidP="00264B4E">
            <w:pPr>
              <w:spacing w:after="0" w:line="240" w:lineRule="auto"/>
              <w:jc w:val="right"/>
              <w:rPr>
                <w:rFonts w:ascii="Arial" w:hAnsi="Arial" w:cs="Arial"/>
                <w:b/>
                <w:bCs/>
                <w:sz w:val="16"/>
                <w:szCs w:val="16"/>
              </w:rPr>
            </w:pPr>
            <w:proofErr w:type="spellStart"/>
            <w:r>
              <w:rPr>
                <w:rFonts w:ascii="Arial" w:hAnsi="Arial" w:cs="Arial"/>
                <w:sz w:val="16"/>
                <w:szCs w:val="16"/>
              </w:rPr>
              <w:t>nfp</w:t>
            </w:r>
            <w:proofErr w:type="spellEnd"/>
          </w:p>
        </w:tc>
        <w:tc>
          <w:tcPr>
            <w:tcW w:w="925" w:type="dxa"/>
            <w:tcBorders>
              <w:top w:val="nil"/>
              <w:left w:val="nil"/>
              <w:bottom w:val="nil"/>
              <w:right w:val="nil"/>
            </w:tcBorders>
            <w:shd w:val="clear" w:color="auto" w:fill="auto"/>
            <w:noWrap/>
            <w:vAlign w:val="bottom"/>
          </w:tcPr>
          <w:p w14:paraId="0B588A99" w14:textId="7F7B3015" w:rsidR="00264B4E" w:rsidRPr="00B55E61" w:rsidRDefault="00264B4E" w:rsidP="00264B4E">
            <w:pPr>
              <w:spacing w:after="0" w:line="240" w:lineRule="auto"/>
              <w:jc w:val="right"/>
              <w:rPr>
                <w:rFonts w:ascii="Arial" w:hAnsi="Arial" w:cs="Arial"/>
                <w:b/>
                <w:bCs/>
                <w:sz w:val="16"/>
                <w:szCs w:val="16"/>
              </w:rPr>
            </w:pPr>
            <w:proofErr w:type="spellStart"/>
            <w:r>
              <w:rPr>
                <w:rFonts w:ascii="Arial" w:hAnsi="Arial" w:cs="Arial"/>
                <w:sz w:val="16"/>
                <w:szCs w:val="16"/>
              </w:rPr>
              <w:t>nfp</w:t>
            </w:r>
            <w:proofErr w:type="spellEnd"/>
          </w:p>
        </w:tc>
        <w:tc>
          <w:tcPr>
            <w:tcW w:w="850" w:type="dxa"/>
            <w:tcBorders>
              <w:top w:val="nil"/>
              <w:left w:val="nil"/>
              <w:bottom w:val="nil"/>
              <w:right w:val="nil"/>
            </w:tcBorders>
            <w:shd w:val="clear" w:color="auto" w:fill="auto"/>
            <w:noWrap/>
            <w:vAlign w:val="bottom"/>
          </w:tcPr>
          <w:p w14:paraId="5EC9B93E" w14:textId="33F087BF" w:rsidR="00264B4E" w:rsidRPr="00B55E61" w:rsidRDefault="00264B4E" w:rsidP="00264B4E">
            <w:pPr>
              <w:spacing w:after="0" w:line="240" w:lineRule="auto"/>
              <w:jc w:val="right"/>
              <w:rPr>
                <w:rFonts w:ascii="Times New Roman" w:hAnsi="Times New Roman"/>
                <w:sz w:val="16"/>
                <w:szCs w:val="16"/>
              </w:rPr>
            </w:pPr>
            <w:r>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tcPr>
          <w:p w14:paraId="7BD4590F" w14:textId="2D947671" w:rsidR="00264B4E" w:rsidRPr="00B55E61" w:rsidRDefault="00264B4E" w:rsidP="00264B4E">
            <w:pPr>
              <w:spacing w:after="0" w:line="240" w:lineRule="auto"/>
              <w:jc w:val="right"/>
              <w:rPr>
                <w:rFonts w:ascii="Times New Roman" w:hAnsi="Times New Roman"/>
                <w:sz w:val="16"/>
                <w:szCs w:val="16"/>
              </w:rPr>
            </w:pPr>
            <w:r>
              <w:rPr>
                <w:rFonts w:ascii="Arial" w:hAnsi="Arial" w:cs="Arial"/>
                <w:sz w:val="16"/>
                <w:szCs w:val="16"/>
              </w:rPr>
              <w:t xml:space="preserve">- </w:t>
            </w:r>
          </w:p>
        </w:tc>
      </w:tr>
      <w:tr w:rsidR="00264B4E" w:rsidRPr="00B55E61" w14:paraId="27315265" w14:textId="77777777" w:rsidTr="00264B4E">
        <w:trPr>
          <w:trHeight w:val="204"/>
        </w:trPr>
        <w:tc>
          <w:tcPr>
            <w:tcW w:w="3402" w:type="dxa"/>
            <w:tcBorders>
              <w:top w:val="nil"/>
              <w:left w:val="nil"/>
              <w:bottom w:val="nil"/>
              <w:right w:val="nil"/>
            </w:tcBorders>
            <w:shd w:val="clear" w:color="auto" w:fill="auto"/>
            <w:noWrap/>
            <w:vAlign w:val="bottom"/>
            <w:hideMark/>
          </w:tcPr>
          <w:p w14:paraId="4A3741A5" w14:textId="77777777" w:rsidR="00264B4E" w:rsidRPr="00B55E61" w:rsidRDefault="00264B4E" w:rsidP="00264B4E">
            <w:pPr>
              <w:spacing w:after="0" w:line="240" w:lineRule="auto"/>
              <w:ind w:left="113"/>
              <w:jc w:val="left"/>
              <w:rPr>
                <w:rFonts w:ascii="Arial" w:hAnsi="Arial" w:cs="Arial"/>
                <w:b/>
                <w:bCs/>
                <w:color w:val="000000"/>
                <w:sz w:val="16"/>
                <w:szCs w:val="16"/>
              </w:rPr>
            </w:pPr>
            <w:r w:rsidRPr="005F6D89">
              <w:rPr>
                <w:rFonts w:ascii="Arial" w:hAnsi="Arial" w:cs="Arial"/>
                <w:b/>
                <w:bCs/>
                <w:sz w:val="16"/>
                <w:szCs w:val="16"/>
              </w:rPr>
              <w:t>Other</w:t>
            </w:r>
            <w:r w:rsidRPr="00B55E61">
              <w:rPr>
                <w:rFonts w:ascii="Arial" w:hAnsi="Arial" w:cs="Arial"/>
                <w:b/>
                <w:bCs/>
                <w:color w:val="000000"/>
                <w:sz w:val="16"/>
                <w:szCs w:val="16"/>
              </w:rPr>
              <w:t xml:space="preserve"> Variations</w:t>
            </w:r>
          </w:p>
        </w:tc>
        <w:tc>
          <w:tcPr>
            <w:tcW w:w="866" w:type="dxa"/>
            <w:tcBorders>
              <w:top w:val="nil"/>
              <w:left w:val="nil"/>
              <w:bottom w:val="nil"/>
              <w:right w:val="nil"/>
            </w:tcBorders>
            <w:shd w:val="clear" w:color="auto" w:fill="auto"/>
            <w:noWrap/>
            <w:vAlign w:val="bottom"/>
            <w:hideMark/>
          </w:tcPr>
          <w:p w14:paraId="44DE349A" w14:textId="77777777" w:rsidR="00264B4E" w:rsidRPr="00B55E61" w:rsidRDefault="00264B4E" w:rsidP="00264B4E">
            <w:pPr>
              <w:spacing w:after="0" w:line="240" w:lineRule="auto"/>
              <w:ind w:firstLineChars="100" w:firstLine="160"/>
              <w:jc w:val="right"/>
              <w:rPr>
                <w:rFonts w:ascii="Arial" w:hAnsi="Arial" w:cs="Arial"/>
                <w:b/>
                <w:bCs/>
                <w:color w:val="000000"/>
                <w:sz w:val="16"/>
                <w:szCs w:val="16"/>
              </w:rPr>
            </w:pPr>
          </w:p>
        </w:tc>
        <w:tc>
          <w:tcPr>
            <w:tcW w:w="903" w:type="dxa"/>
            <w:tcBorders>
              <w:top w:val="nil"/>
              <w:left w:val="nil"/>
              <w:bottom w:val="nil"/>
              <w:right w:val="nil"/>
            </w:tcBorders>
            <w:shd w:val="clear" w:color="000000" w:fill="E6E6E6"/>
            <w:noWrap/>
            <w:vAlign w:val="bottom"/>
            <w:hideMark/>
          </w:tcPr>
          <w:p w14:paraId="1B94D3BC" w14:textId="7011D8BD" w:rsidR="00264B4E" w:rsidRPr="00B55E61" w:rsidRDefault="00264B4E" w:rsidP="00264B4E">
            <w:pPr>
              <w:spacing w:after="0" w:line="240" w:lineRule="auto"/>
              <w:jc w:val="right"/>
              <w:rPr>
                <w:rFonts w:ascii="Arial" w:hAnsi="Arial" w:cs="Arial"/>
                <w:b/>
                <w:bCs/>
                <w:sz w:val="16"/>
                <w:szCs w:val="16"/>
              </w:rPr>
            </w:pPr>
          </w:p>
        </w:tc>
        <w:tc>
          <w:tcPr>
            <w:tcW w:w="925" w:type="dxa"/>
            <w:tcBorders>
              <w:top w:val="nil"/>
              <w:left w:val="nil"/>
              <w:bottom w:val="nil"/>
              <w:right w:val="nil"/>
            </w:tcBorders>
            <w:shd w:val="clear" w:color="auto" w:fill="auto"/>
            <w:noWrap/>
            <w:vAlign w:val="bottom"/>
            <w:hideMark/>
          </w:tcPr>
          <w:p w14:paraId="378B9A54" w14:textId="77777777" w:rsidR="00264B4E" w:rsidRPr="00B55E61" w:rsidRDefault="00264B4E" w:rsidP="00264B4E">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01AC69DA" w14:textId="77777777" w:rsidR="00264B4E" w:rsidRPr="00B55E61" w:rsidRDefault="00264B4E" w:rsidP="00264B4E">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4E6581CC" w14:textId="77777777" w:rsidR="00264B4E" w:rsidRPr="00B55E61" w:rsidRDefault="00264B4E" w:rsidP="00264B4E">
            <w:pPr>
              <w:spacing w:after="0" w:line="240" w:lineRule="auto"/>
              <w:jc w:val="right"/>
              <w:rPr>
                <w:rFonts w:ascii="Times New Roman" w:hAnsi="Times New Roman"/>
                <w:sz w:val="16"/>
                <w:szCs w:val="16"/>
              </w:rPr>
            </w:pPr>
          </w:p>
        </w:tc>
      </w:tr>
      <w:tr w:rsidR="00264B4E" w:rsidRPr="00B55E61" w14:paraId="282A6C2A" w14:textId="77777777" w:rsidTr="00264B4E">
        <w:trPr>
          <w:trHeight w:val="204"/>
        </w:trPr>
        <w:tc>
          <w:tcPr>
            <w:tcW w:w="3402" w:type="dxa"/>
            <w:tcBorders>
              <w:top w:val="nil"/>
              <w:left w:val="nil"/>
              <w:bottom w:val="nil"/>
              <w:right w:val="nil"/>
            </w:tcBorders>
            <w:shd w:val="clear" w:color="auto" w:fill="auto"/>
            <w:vAlign w:val="bottom"/>
            <w:hideMark/>
          </w:tcPr>
          <w:p w14:paraId="2A32AAA9" w14:textId="77777777" w:rsidR="00264B4E" w:rsidRPr="00B55E61" w:rsidRDefault="00264B4E" w:rsidP="00264B4E">
            <w:pPr>
              <w:spacing w:after="0" w:line="240" w:lineRule="auto"/>
              <w:ind w:left="227"/>
              <w:jc w:val="left"/>
              <w:rPr>
                <w:rFonts w:ascii="Arial" w:hAnsi="Arial" w:cs="Arial"/>
                <w:sz w:val="16"/>
                <w:szCs w:val="16"/>
              </w:rPr>
            </w:pPr>
            <w:r w:rsidRPr="00B55E61">
              <w:rPr>
                <w:rFonts w:ascii="Arial" w:hAnsi="Arial" w:cs="Arial"/>
                <w:sz w:val="16"/>
                <w:szCs w:val="16"/>
              </w:rPr>
              <w:t>Changes in parameters</w:t>
            </w:r>
          </w:p>
        </w:tc>
        <w:tc>
          <w:tcPr>
            <w:tcW w:w="866" w:type="dxa"/>
            <w:tcBorders>
              <w:top w:val="nil"/>
              <w:left w:val="nil"/>
              <w:bottom w:val="nil"/>
              <w:right w:val="nil"/>
            </w:tcBorders>
            <w:shd w:val="clear" w:color="auto" w:fill="auto"/>
            <w:noWrap/>
            <w:vAlign w:val="bottom"/>
            <w:hideMark/>
          </w:tcPr>
          <w:p w14:paraId="74C9D12F" w14:textId="77777777" w:rsidR="00264B4E" w:rsidRPr="00B55E61" w:rsidRDefault="00264B4E" w:rsidP="00264B4E">
            <w:pPr>
              <w:spacing w:after="0" w:line="240" w:lineRule="auto"/>
              <w:jc w:val="center"/>
              <w:rPr>
                <w:rFonts w:ascii="Arial" w:hAnsi="Arial" w:cs="Arial"/>
                <w:sz w:val="16"/>
                <w:szCs w:val="16"/>
              </w:rPr>
            </w:pPr>
            <w:r w:rsidRPr="00B55E61">
              <w:rPr>
                <w:rFonts w:ascii="Arial" w:hAnsi="Arial" w:cs="Arial"/>
                <w:sz w:val="16"/>
                <w:szCs w:val="16"/>
              </w:rPr>
              <w:t>6.2</w:t>
            </w:r>
          </w:p>
        </w:tc>
        <w:tc>
          <w:tcPr>
            <w:tcW w:w="903" w:type="dxa"/>
            <w:tcBorders>
              <w:top w:val="nil"/>
              <w:left w:val="nil"/>
              <w:right w:val="nil"/>
            </w:tcBorders>
            <w:shd w:val="clear" w:color="000000" w:fill="E6E6E6"/>
            <w:noWrap/>
            <w:vAlign w:val="bottom"/>
            <w:hideMark/>
          </w:tcPr>
          <w:p w14:paraId="7D6AF653" w14:textId="77B4B3DB" w:rsidR="00264B4E" w:rsidRPr="003630A8" w:rsidRDefault="00264B4E" w:rsidP="00264B4E">
            <w:pPr>
              <w:spacing w:after="0" w:line="240" w:lineRule="auto"/>
              <w:jc w:val="right"/>
              <w:rPr>
                <w:rFonts w:ascii="Arial" w:hAnsi="Arial" w:cs="Arial"/>
                <w:bCs/>
                <w:sz w:val="16"/>
                <w:szCs w:val="16"/>
              </w:rPr>
            </w:pPr>
            <w:r w:rsidRPr="003630A8">
              <w:rPr>
                <w:rFonts w:ascii="Arial" w:hAnsi="Arial" w:cs="Arial"/>
                <w:bCs/>
                <w:sz w:val="16"/>
                <w:szCs w:val="16"/>
              </w:rPr>
              <w:t>-</w:t>
            </w:r>
          </w:p>
        </w:tc>
        <w:tc>
          <w:tcPr>
            <w:tcW w:w="925" w:type="dxa"/>
            <w:tcBorders>
              <w:top w:val="nil"/>
              <w:left w:val="nil"/>
              <w:right w:val="nil"/>
            </w:tcBorders>
            <w:shd w:val="clear" w:color="auto" w:fill="auto"/>
            <w:noWrap/>
            <w:vAlign w:val="bottom"/>
            <w:hideMark/>
          </w:tcPr>
          <w:p w14:paraId="0B78D0E8" w14:textId="6A64D9A8" w:rsidR="00264B4E" w:rsidRPr="003630A8" w:rsidRDefault="00264B4E" w:rsidP="00264B4E">
            <w:pPr>
              <w:spacing w:after="0" w:line="240" w:lineRule="auto"/>
              <w:jc w:val="right"/>
              <w:rPr>
                <w:rFonts w:ascii="Arial" w:hAnsi="Arial" w:cs="Arial"/>
                <w:sz w:val="16"/>
                <w:szCs w:val="16"/>
              </w:rPr>
            </w:pPr>
            <w:r w:rsidRPr="003630A8">
              <w:rPr>
                <w:rFonts w:ascii="Arial" w:hAnsi="Arial" w:cs="Arial"/>
                <w:sz w:val="16"/>
                <w:szCs w:val="16"/>
              </w:rPr>
              <w:t>39</w:t>
            </w:r>
          </w:p>
        </w:tc>
        <w:tc>
          <w:tcPr>
            <w:tcW w:w="850" w:type="dxa"/>
            <w:tcBorders>
              <w:top w:val="nil"/>
              <w:left w:val="nil"/>
              <w:right w:val="nil"/>
            </w:tcBorders>
            <w:shd w:val="clear" w:color="auto" w:fill="auto"/>
            <w:noWrap/>
            <w:vAlign w:val="bottom"/>
            <w:hideMark/>
          </w:tcPr>
          <w:p w14:paraId="34F30669" w14:textId="39FF0109" w:rsidR="00264B4E" w:rsidRPr="003630A8" w:rsidRDefault="00264B4E" w:rsidP="00264B4E">
            <w:pPr>
              <w:spacing w:after="0" w:line="240" w:lineRule="auto"/>
              <w:jc w:val="right"/>
              <w:rPr>
                <w:rFonts w:ascii="Arial" w:hAnsi="Arial" w:cs="Arial"/>
                <w:sz w:val="16"/>
                <w:szCs w:val="16"/>
              </w:rPr>
            </w:pPr>
            <w:r w:rsidRPr="003630A8">
              <w:rPr>
                <w:rFonts w:ascii="Arial" w:hAnsi="Arial" w:cs="Arial"/>
                <w:sz w:val="16"/>
                <w:szCs w:val="16"/>
              </w:rPr>
              <w:t>120</w:t>
            </w:r>
          </w:p>
        </w:tc>
        <w:tc>
          <w:tcPr>
            <w:tcW w:w="851" w:type="dxa"/>
            <w:tcBorders>
              <w:top w:val="nil"/>
              <w:left w:val="nil"/>
              <w:right w:val="nil"/>
            </w:tcBorders>
            <w:shd w:val="clear" w:color="auto" w:fill="auto"/>
            <w:noWrap/>
            <w:vAlign w:val="bottom"/>
            <w:hideMark/>
          </w:tcPr>
          <w:p w14:paraId="6A49B179" w14:textId="06D78B8B" w:rsidR="00264B4E" w:rsidRPr="003630A8" w:rsidRDefault="00264B4E" w:rsidP="00264B4E">
            <w:pPr>
              <w:spacing w:after="0" w:line="240" w:lineRule="auto"/>
              <w:jc w:val="right"/>
              <w:rPr>
                <w:rFonts w:ascii="Arial" w:hAnsi="Arial" w:cs="Arial"/>
                <w:sz w:val="16"/>
                <w:szCs w:val="16"/>
              </w:rPr>
            </w:pPr>
            <w:r w:rsidRPr="003630A8">
              <w:rPr>
                <w:rFonts w:ascii="Arial" w:hAnsi="Arial" w:cs="Arial"/>
                <w:sz w:val="16"/>
                <w:szCs w:val="16"/>
              </w:rPr>
              <w:t>325</w:t>
            </w:r>
          </w:p>
        </w:tc>
      </w:tr>
      <w:tr w:rsidR="00264B4E" w:rsidRPr="00B55E61" w14:paraId="2F66C537" w14:textId="77777777" w:rsidTr="00264B4E">
        <w:trPr>
          <w:trHeight w:val="204"/>
        </w:trPr>
        <w:tc>
          <w:tcPr>
            <w:tcW w:w="3402" w:type="dxa"/>
            <w:tcBorders>
              <w:top w:val="nil"/>
              <w:left w:val="nil"/>
              <w:bottom w:val="nil"/>
              <w:right w:val="nil"/>
            </w:tcBorders>
            <w:shd w:val="clear" w:color="auto" w:fill="auto"/>
            <w:vAlign w:val="bottom"/>
            <w:hideMark/>
          </w:tcPr>
          <w:p w14:paraId="7E844EBC" w14:textId="5B690E8B" w:rsidR="00264B4E" w:rsidRPr="00B55E61" w:rsidRDefault="00264B4E" w:rsidP="00264B4E">
            <w:pPr>
              <w:spacing w:after="0" w:line="240" w:lineRule="auto"/>
              <w:ind w:left="227"/>
              <w:jc w:val="left"/>
              <w:rPr>
                <w:rFonts w:ascii="Arial" w:hAnsi="Arial" w:cs="Arial"/>
                <w:sz w:val="16"/>
                <w:szCs w:val="16"/>
              </w:rPr>
            </w:pPr>
            <w:r>
              <w:rPr>
                <w:rFonts w:ascii="Arial" w:hAnsi="Arial" w:cs="Arial"/>
                <w:sz w:val="16"/>
                <w:szCs w:val="16"/>
              </w:rPr>
              <w:t>Estimates v</w:t>
            </w:r>
            <w:r w:rsidRPr="00B55E61">
              <w:rPr>
                <w:rFonts w:ascii="Arial" w:hAnsi="Arial" w:cs="Arial"/>
                <w:sz w:val="16"/>
                <w:szCs w:val="16"/>
              </w:rPr>
              <w:t>ariations</w:t>
            </w:r>
          </w:p>
        </w:tc>
        <w:tc>
          <w:tcPr>
            <w:tcW w:w="866" w:type="dxa"/>
            <w:tcBorders>
              <w:top w:val="nil"/>
              <w:left w:val="nil"/>
              <w:bottom w:val="nil"/>
              <w:right w:val="nil"/>
            </w:tcBorders>
            <w:shd w:val="clear" w:color="auto" w:fill="auto"/>
            <w:noWrap/>
            <w:vAlign w:val="bottom"/>
            <w:hideMark/>
          </w:tcPr>
          <w:p w14:paraId="34CD8D71" w14:textId="77777777" w:rsidR="00264B4E" w:rsidRPr="00B55E61" w:rsidRDefault="00264B4E" w:rsidP="00264B4E">
            <w:pPr>
              <w:spacing w:after="0" w:line="240" w:lineRule="auto"/>
              <w:jc w:val="center"/>
              <w:rPr>
                <w:rFonts w:ascii="Arial" w:hAnsi="Arial" w:cs="Arial"/>
                <w:sz w:val="16"/>
                <w:szCs w:val="16"/>
              </w:rPr>
            </w:pPr>
            <w:r w:rsidRPr="00B55E61">
              <w:rPr>
                <w:rFonts w:ascii="Arial" w:hAnsi="Arial" w:cs="Arial"/>
                <w:sz w:val="16"/>
                <w:szCs w:val="16"/>
              </w:rPr>
              <w:t>6.2</w:t>
            </w:r>
          </w:p>
        </w:tc>
        <w:tc>
          <w:tcPr>
            <w:tcW w:w="903" w:type="dxa"/>
            <w:tcBorders>
              <w:top w:val="nil"/>
              <w:left w:val="nil"/>
              <w:bottom w:val="single" w:sz="4" w:space="0" w:color="auto"/>
              <w:right w:val="nil"/>
            </w:tcBorders>
            <w:shd w:val="clear" w:color="000000" w:fill="E6E6E6"/>
            <w:noWrap/>
            <w:vAlign w:val="bottom"/>
            <w:hideMark/>
          </w:tcPr>
          <w:p w14:paraId="4CB7E75D" w14:textId="77777777" w:rsidR="00264B4E" w:rsidRPr="003630A8" w:rsidRDefault="00264B4E" w:rsidP="00264B4E">
            <w:pPr>
              <w:spacing w:after="0" w:line="240" w:lineRule="auto"/>
              <w:jc w:val="right"/>
              <w:rPr>
                <w:rFonts w:ascii="Arial" w:hAnsi="Arial" w:cs="Arial"/>
                <w:sz w:val="16"/>
                <w:szCs w:val="16"/>
              </w:rPr>
            </w:pPr>
            <w:r w:rsidRPr="003630A8">
              <w:rPr>
                <w:rFonts w:ascii="Arial" w:hAnsi="Arial" w:cs="Arial"/>
                <w:sz w:val="16"/>
                <w:szCs w:val="16"/>
              </w:rPr>
              <w:t>(40)</w:t>
            </w:r>
          </w:p>
        </w:tc>
        <w:tc>
          <w:tcPr>
            <w:tcW w:w="925" w:type="dxa"/>
            <w:tcBorders>
              <w:top w:val="nil"/>
              <w:left w:val="nil"/>
              <w:bottom w:val="single" w:sz="4" w:space="0" w:color="auto"/>
              <w:right w:val="nil"/>
            </w:tcBorders>
            <w:shd w:val="clear" w:color="auto" w:fill="auto"/>
            <w:noWrap/>
            <w:vAlign w:val="bottom"/>
            <w:hideMark/>
          </w:tcPr>
          <w:p w14:paraId="4633C748" w14:textId="1610FBBC" w:rsidR="00264B4E" w:rsidRPr="003630A8" w:rsidRDefault="00264B4E" w:rsidP="00264B4E">
            <w:pPr>
              <w:spacing w:after="0" w:line="240" w:lineRule="auto"/>
              <w:jc w:val="right"/>
              <w:rPr>
                <w:rFonts w:ascii="Arial" w:hAnsi="Arial" w:cs="Arial"/>
                <w:bCs/>
                <w:sz w:val="16"/>
                <w:szCs w:val="16"/>
              </w:rPr>
            </w:pPr>
            <w:r w:rsidRPr="003630A8">
              <w:rPr>
                <w:rFonts w:ascii="Arial" w:hAnsi="Arial" w:cs="Arial"/>
                <w:bCs/>
                <w:sz w:val="16"/>
                <w:szCs w:val="16"/>
              </w:rPr>
              <w:t>-</w:t>
            </w:r>
          </w:p>
        </w:tc>
        <w:tc>
          <w:tcPr>
            <w:tcW w:w="850" w:type="dxa"/>
            <w:tcBorders>
              <w:top w:val="nil"/>
              <w:left w:val="nil"/>
              <w:bottom w:val="single" w:sz="4" w:space="0" w:color="auto"/>
              <w:right w:val="nil"/>
            </w:tcBorders>
            <w:shd w:val="clear" w:color="auto" w:fill="auto"/>
            <w:noWrap/>
            <w:vAlign w:val="bottom"/>
            <w:hideMark/>
          </w:tcPr>
          <w:p w14:paraId="4B70EF98" w14:textId="24962388" w:rsidR="00264B4E" w:rsidRPr="003630A8" w:rsidRDefault="00264B4E" w:rsidP="00264B4E">
            <w:pPr>
              <w:spacing w:after="0" w:line="240" w:lineRule="auto"/>
              <w:jc w:val="right"/>
              <w:rPr>
                <w:rFonts w:ascii="Arial" w:hAnsi="Arial" w:cs="Arial"/>
                <w:bCs/>
                <w:sz w:val="16"/>
                <w:szCs w:val="16"/>
              </w:rPr>
            </w:pPr>
            <w:r w:rsidRPr="003630A8">
              <w:rPr>
                <w:rFonts w:ascii="Arial" w:hAnsi="Arial" w:cs="Arial"/>
                <w:bCs/>
                <w:sz w:val="16"/>
                <w:szCs w:val="16"/>
              </w:rPr>
              <w:t>-</w:t>
            </w:r>
          </w:p>
        </w:tc>
        <w:tc>
          <w:tcPr>
            <w:tcW w:w="851" w:type="dxa"/>
            <w:tcBorders>
              <w:top w:val="nil"/>
              <w:left w:val="nil"/>
              <w:bottom w:val="single" w:sz="4" w:space="0" w:color="auto"/>
              <w:right w:val="nil"/>
            </w:tcBorders>
            <w:shd w:val="clear" w:color="auto" w:fill="auto"/>
            <w:noWrap/>
            <w:vAlign w:val="bottom"/>
            <w:hideMark/>
          </w:tcPr>
          <w:p w14:paraId="46A47D46" w14:textId="2EDDCFC8" w:rsidR="00264B4E" w:rsidRPr="003630A8" w:rsidRDefault="00264B4E" w:rsidP="00264B4E">
            <w:pPr>
              <w:spacing w:after="0" w:line="240" w:lineRule="auto"/>
              <w:jc w:val="right"/>
              <w:rPr>
                <w:rFonts w:ascii="Arial" w:hAnsi="Arial" w:cs="Arial"/>
                <w:bCs/>
                <w:sz w:val="16"/>
                <w:szCs w:val="16"/>
              </w:rPr>
            </w:pPr>
            <w:r w:rsidRPr="003630A8">
              <w:rPr>
                <w:rFonts w:ascii="Arial" w:hAnsi="Arial" w:cs="Arial"/>
                <w:bCs/>
                <w:sz w:val="16"/>
                <w:szCs w:val="16"/>
              </w:rPr>
              <w:t>-</w:t>
            </w:r>
          </w:p>
        </w:tc>
      </w:tr>
      <w:tr w:rsidR="00264B4E" w:rsidRPr="00B55E61" w14:paraId="3DA149BB" w14:textId="77777777" w:rsidTr="00264B4E">
        <w:trPr>
          <w:trHeight w:val="204"/>
        </w:trPr>
        <w:tc>
          <w:tcPr>
            <w:tcW w:w="3402" w:type="dxa"/>
            <w:tcBorders>
              <w:top w:val="nil"/>
              <w:left w:val="nil"/>
              <w:right w:val="nil"/>
            </w:tcBorders>
            <w:shd w:val="clear" w:color="auto" w:fill="auto"/>
            <w:vAlign w:val="bottom"/>
            <w:hideMark/>
          </w:tcPr>
          <w:p w14:paraId="6E469EC5" w14:textId="1C35D0BC" w:rsidR="00264B4E" w:rsidRPr="00B55E61" w:rsidRDefault="00264B4E" w:rsidP="00264B4E">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Net impact on appropriations for</w:t>
            </w:r>
            <w:r>
              <w:rPr>
                <w:rFonts w:ascii="Arial" w:hAnsi="Arial" w:cs="Arial"/>
                <w:b/>
                <w:bCs/>
                <w:color w:val="000000"/>
                <w:sz w:val="16"/>
                <w:szCs w:val="16"/>
              </w:rPr>
              <w:t xml:space="preserve"> </w:t>
            </w:r>
            <w:r w:rsidRPr="00B55E61">
              <w:rPr>
                <w:rFonts w:ascii="Arial" w:hAnsi="Arial" w:cs="Arial"/>
                <w:b/>
                <w:bCs/>
                <w:color w:val="000000"/>
                <w:sz w:val="16"/>
                <w:szCs w:val="16"/>
              </w:rPr>
              <w:t>Outcome 6 (</w:t>
            </w:r>
            <w:r>
              <w:rPr>
                <w:rFonts w:ascii="Arial" w:hAnsi="Arial" w:cs="Arial"/>
                <w:b/>
                <w:bCs/>
                <w:color w:val="000000"/>
                <w:sz w:val="16"/>
                <w:szCs w:val="16"/>
              </w:rPr>
              <w:t>Department</w:t>
            </w:r>
            <w:r w:rsidRPr="00B55E61">
              <w:rPr>
                <w:rFonts w:ascii="Arial" w:hAnsi="Arial" w:cs="Arial"/>
                <w:b/>
                <w:bCs/>
                <w:color w:val="000000"/>
                <w:sz w:val="16"/>
                <w:szCs w:val="16"/>
              </w:rPr>
              <w:t>al)</w:t>
            </w:r>
          </w:p>
        </w:tc>
        <w:tc>
          <w:tcPr>
            <w:tcW w:w="866" w:type="dxa"/>
            <w:tcBorders>
              <w:top w:val="nil"/>
              <w:left w:val="nil"/>
              <w:right w:val="nil"/>
            </w:tcBorders>
            <w:shd w:val="clear" w:color="auto" w:fill="auto"/>
            <w:noWrap/>
            <w:vAlign w:val="bottom"/>
            <w:hideMark/>
          </w:tcPr>
          <w:p w14:paraId="2645E22E" w14:textId="77777777" w:rsidR="00264B4E" w:rsidRPr="00B55E61" w:rsidRDefault="00264B4E" w:rsidP="00264B4E">
            <w:pPr>
              <w:spacing w:after="0" w:line="240" w:lineRule="auto"/>
              <w:jc w:val="right"/>
              <w:rPr>
                <w:rFonts w:ascii="Arial" w:hAnsi="Arial" w:cs="Arial"/>
                <w:b/>
                <w:bCs/>
                <w:color w:val="000000"/>
                <w:sz w:val="16"/>
                <w:szCs w:val="16"/>
              </w:rPr>
            </w:pPr>
          </w:p>
        </w:tc>
        <w:tc>
          <w:tcPr>
            <w:tcW w:w="903" w:type="dxa"/>
            <w:tcBorders>
              <w:top w:val="single" w:sz="4" w:space="0" w:color="auto"/>
              <w:left w:val="nil"/>
              <w:bottom w:val="single" w:sz="4" w:space="0" w:color="auto"/>
              <w:right w:val="nil"/>
            </w:tcBorders>
            <w:shd w:val="clear" w:color="000000" w:fill="E6E6E6"/>
            <w:noWrap/>
            <w:vAlign w:val="bottom"/>
            <w:hideMark/>
          </w:tcPr>
          <w:p w14:paraId="6202C6DD" w14:textId="77777777"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(40)</w:t>
            </w:r>
          </w:p>
        </w:tc>
        <w:tc>
          <w:tcPr>
            <w:tcW w:w="925" w:type="dxa"/>
            <w:tcBorders>
              <w:top w:val="single" w:sz="4" w:space="0" w:color="auto"/>
              <w:left w:val="nil"/>
              <w:bottom w:val="single" w:sz="4" w:space="0" w:color="auto"/>
              <w:right w:val="nil"/>
            </w:tcBorders>
            <w:shd w:val="clear" w:color="auto" w:fill="auto"/>
            <w:noWrap/>
            <w:vAlign w:val="bottom"/>
            <w:hideMark/>
          </w:tcPr>
          <w:p w14:paraId="1F94096B" w14:textId="0E78E80D"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39</w:t>
            </w:r>
          </w:p>
        </w:tc>
        <w:tc>
          <w:tcPr>
            <w:tcW w:w="850" w:type="dxa"/>
            <w:tcBorders>
              <w:top w:val="single" w:sz="4" w:space="0" w:color="auto"/>
              <w:left w:val="nil"/>
              <w:bottom w:val="single" w:sz="4" w:space="0" w:color="auto"/>
              <w:right w:val="nil"/>
            </w:tcBorders>
            <w:shd w:val="clear" w:color="auto" w:fill="auto"/>
            <w:noWrap/>
            <w:vAlign w:val="bottom"/>
            <w:hideMark/>
          </w:tcPr>
          <w:p w14:paraId="0D3A0E63" w14:textId="4F6AFDA2"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120</w:t>
            </w:r>
          </w:p>
        </w:tc>
        <w:tc>
          <w:tcPr>
            <w:tcW w:w="851" w:type="dxa"/>
            <w:tcBorders>
              <w:top w:val="single" w:sz="4" w:space="0" w:color="auto"/>
              <w:left w:val="nil"/>
              <w:bottom w:val="single" w:sz="4" w:space="0" w:color="auto"/>
              <w:right w:val="nil"/>
            </w:tcBorders>
            <w:shd w:val="clear" w:color="auto" w:fill="auto"/>
            <w:noWrap/>
            <w:vAlign w:val="bottom"/>
            <w:hideMark/>
          </w:tcPr>
          <w:p w14:paraId="0746AE81" w14:textId="5691118F"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325</w:t>
            </w:r>
          </w:p>
        </w:tc>
      </w:tr>
      <w:tr w:rsidR="00264B4E" w:rsidRPr="00B55E61" w14:paraId="4E696151" w14:textId="77777777" w:rsidTr="00264B4E">
        <w:trPr>
          <w:trHeight w:val="204"/>
        </w:trPr>
        <w:tc>
          <w:tcPr>
            <w:tcW w:w="3402" w:type="dxa"/>
            <w:tcBorders>
              <w:top w:val="nil"/>
              <w:left w:val="nil"/>
              <w:bottom w:val="single" w:sz="4" w:space="0" w:color="auto"/>
              <w:right w:val="nil"/>
            </w:tcBorders>
            <w:shd w:val="clear" w:color="auto" w:fill="auto"/>
            <w:vAlign w:val="bottom"/>
            <w:hideMark/>
          </w:tcPr>
          <w:p w14:paraId="6F964D9E" w14:textId="64C2F776" w:rsidR="00264B4E" w:rsidRPr="00B55E61" w:rsidRDefault="00264B4E" w:rsidP="00264B4E">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Total net impact on appropriations</w:t>
            </w:r>
            <w:r>
              <w:rPr>
                <w:rFonts w:ascii="Arial" w:hAnsi="Arial" w:cs="Arial"/>
                <w:b/>
                <w:bCs/>
                <w:color w:val="000000"/>
                <w:sz w:val="16"/>
                <w:szCs w:val="16"/>
              </w:rPr>
              <w:t xml:space="preserve"> </w:t>
            </w:r>
            <w:r w:rsidRPr="00B55E61">
              <w:rPr>
                <w:rFonts w:ascii="Arial" w:hAnsi="Arial" w:cs="Arial"/>
                <w:b/>
                <w:bCs/>
                <w:color w:val="000000"/>
                <w:sz w:val="16"/>
                <w:szCs w:val="16"/>
              </w:rPr>
              <w:t>for Outcome 6</w:t>
            </w:r>
          </w:p>
        </w:tc>
        <w:tc>
          <w:tcPr>
            <w:tcW w:w="866" w:type="dxa"/>
            <w:tcBorders>
              <w:top w:val="nil"/>
              <w:left w:val="nil"/>
              <w:bottom w:val="single" w:sz="4" w:space="0" w:color="auto"/>
              <w:right w:val="nil"/>
            </w:tcBorders>
            <w:shd w:val="clear" w:color="auto" w:fill="auto"/>
            <w:noWrap/>
            <w:vAlign w:val="bottom"/>
            <w:hideMark/>
          </w:tcPr>
          <w:p w14:paraId="742C998F" w14:textId="77777777" w:rsidR="00264B4E" w:rsidRPr="00B55E61" w:rsidRDefault="00264B4E" w:rsidP="00264B4E">
            <w:pPr>
              <w:spacing w:after="0" w:line="240" w:lineRule="auto"/>
              <w:jc w:val="right"/>
              <w:rPr>
                <w:rFonts w:ascii="Arial" w:hAnsi="Arial" w:cs="Arial"/>
                <w:b/>
                <w:bCs/>
                <w:color w:val="000000"/>
                <w:sz w:val="16"/>
                <w:szCs w:val="16"/>
              </w:rPr>
            </w:pPr>
          </w:p>
        </w:tc>
        <w:tc>
          <w:tcPr>
            <w:tcW w:w="903" w:type="dxa"/>
            <w:tcBorders>
              <w:top w:val="nil"/>
              <w:left w:val="nil"/>
              <w:bottom w:val="single" w:sz="4" w:space="0" w:color="auto"/>
              <w:right w:val="nil"/>
            </w:tcBorders>
            <w:shd w:val="clear" w:color="000000" w:fill="E6E6E6"/>
            <w:noWrap/>
            <w:vAlign w:val="bottom"/>
            <w:hideMark/>
          </w:tcPr>
          <w:p w14:paraId="6E0C0A31" w14:textId="165B6F65"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39,560</w:t>
            </w:r>
          </w:p>
        </w:tc>
        <w:tc>
          <w:tcPr>
            <w:tcW w:w="925" w:type="dxa"/>
            <w:tcBorders>
              <w:top w:val="nil"/>
              <w:left w:val="nil"/>
              <w:bottom w:val="single" w:sz="4" w:space="0" w:color="auto"/>
              <w:right w:val="nil"/>
            </w:tcBorders>
            <w:shd w:val="clear" w:color="auto" w:fill="auto"/>
            <w:noWrap/>
            <w:vAlign w:val="bottom"/>
            <w:hideMark/>
          </w:tcPr>
          <w:p w14:paraId="5EEFF4C2" w14:textId="4CCD445E"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6,462</w:t>
            </w:r>
          </w:p>
        </w:tc>
        <w:tc>
          <w:tcPr>
            <w:tcW w:w="850" w:type="dxa"/>
            <w:tcBorders>
              <w:top w:val="nil"/>
              <w:left w:val="nil"/>
              <w:bottom w:val="single" w:sz="4" w:space="0" w:color="auto"/>
              <w:right w:val="nil"/>
            </w:tcBorders>
            <w:shd w:val="clear" w:color="auto" w:fill="auto"/>
            <w:noWrap/>
            <w:vAlign w:val="bottom"/>
            <w:hideMark/>
          </w:tcPr>
          <w:p w14:paraId="368D932A" w14:textId="79C49958"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7,821</w:t>
            </w:r>
          </w:p>
        </w:tc>
        <w:tc>
          <w:tcPr>
            <w:tcW w:w="851" w:type="dxa"/>
            <w:tcBorders>
              <w:top w:val="nil"/>
              <w:left w:val="nil"/>
              <w:bottom w:val="single" w:sz="4" w:space="0" w:color="auto"/>
              <w:right w:val="nil"/>
            </w:tcBorders>
            <w:shd w:val="clear" w:color="auto" w:fill="auto"/>
            <w:noWrap/>
            <w:vAlign w:val="bottom"/>
            <w:hideMark/>
          </w:tcPr>
          <w:p w14:paraId="7053802E" w14:textId="063BC4F3" w:rsidR="00264B4E" w:rsidRPr="00B55E61" w:rsidRDefault="00264B4E" w:rsidP="00264B4E">
            <w:pPr>
              <w:spacing w:after="0" w:line="240" w:lineRule="auto"/>
              <w:jc w:val="right"/>
              <w:rPr>
                <w:rFonts w:ascii="Arial" w:hAnsi="Arial" w:cs="Arial"/>
                <w:b/>
                <w:bCs/>
                <w:sz w:val="16"/>
                <w:szCs w:val="16"/>
              </w:rPr>
            </w:pPr>
            <w:r w:rsidRPr="00B55E61">
              <w:rPr>
                <w:rFonts w:ascii="Arial" w:hAnsi="Arial" w:cs="Arial"/>
                <w:b/>
                <w:bCs/>
                <w:sz w:val="16"/>
                <w:szCs w:val="16"/>
              </w:rPr>
              <w:t>6,522</w:t>
            </w:r>
          </w:p>
        </w:tc>
      </w:tr>
    </w:tbl>
    <w:p w14:paraId="36E38B7B" w14:textId="5E319C3A" w:rsidR="003630A8" w:rsidRDefault="003630A8">
      <w:r>
        <w:br w:type="page"/>
      </w:r>
    </w:p>
    <w:p w14:paraId="48BFB1CD" w14:textId="1FF52469" w:rsidR="003630A8" w:rsidRDefault="003630A8" w:rsidP="003630A8">
      <w:pPr>
        <w:pStyle w:val="TableHeading"/>
      </w:pPr>
      <w:r w:rsidRPr="00897F19">
        <w:lastRenderedPageBreak/>
        <w:t>Table 1.3: Additional estimates</w:t>
      </w:r>
      <w:r w:rsidRPr="008C60EB">
        <w:t xml:space="preserve"> </w:t>
      </w:r>
      <w:r w:rsidRPr="00897F19">
        <w:t xml:space="preserve">and </w:t>
      </w:r>
      <w:r w:rsidRPr="008C60EB">
        <w:t xml:space="preserve">other </w:t>
      </w:r>
      <w:r w:rsidRPr="00897F19">
        <w:t xml:space="preserve">variations to outcomes since </w:t>
      </w:r>
      <w:r w:rsidRPr="008C60EB">
        <w:t>2021-22</w:t>
      </w:r>
      <w:r w:rsidRPr="00897F19">
        <w:t xml:space="preserve"> Budget</w:t>
      </w:r>
      <w:r w:rsidRPr="008C60EB">
        <w:t xml:space="preserve"> (continued)</w:t>
      </w:r>
    </w:p>
    <w:tbl>
      <w:tblPr>
        <w:tblW w:w="7653" w:type="dxa"/>
        <w:tblLook w:val="04A0" w:firstRow="1" w:lastRow="0" w:firstColumn="1" w:lastColumn="0" w:noHBand="0" w:noVBand="1"/>
      </w:tblPr>
      <w:tblGrid>
        <w:gridCol w:w="2977"/>
        <w:gridCol w:w="1014"/>
        <w:gridCol w:w="903"/>
        <w:gridCol w:w="928"/>
        <w:gridCol w:w="928"/>
        <w:gridCol w:w="928"/>
      </w:tblGrid>
      <w:tr w:rsidR="003630A8" w:rsidRPr="00B55E61" w14:paraId="0FFF2C41" w14:textId="77777777" w:rsidTr="00371CA0">
        <w:trPr>
          <w:trHeight w:val="204"/>
        </w:trPr>
        <w:tc>
          <w:tcPr>
            <w:tcW w:w="2977" w:type="dxa"/>
            <w:tcBorders>
              <w:top w:val="single" w:sz="4" w:space="0" w:color="auto"/>
              <w:left w:val="nil"/>
              <w:bottom w:val="nil"/>
              <w:right w:val="nil"/>
            </w:tcBorders>
            <w:shd w:val="clear" w:color="auto" w:fill="auto"/>
            <w:noWrap/>
            <w:vAlign w:val="bottom"/>
            <w:hideMark/>
          </w:tcPr>
          <w:p w14:paraId="5DBE3C4B" w14:textId="77777777" w:rsidR="003630A8" w:rsidRPr="00B55E61" w:rsidRDefault="003630A8" w:rsidP="001670C2">
            <w:pPr>
              <w:spacing w:after="0" w:line="240" w:lineRule="auto"/>
              <w:jc w:val="left"/>
              <w:rPr>
                <w:rFonts w:ascii="Arial" w:hAnsi="Arial" w:cs="Arial"/>
                <w:sz w:val="16"/>
                <w:szCs w:val="16"/>
              </w:rPr>
            </w:pPr>
            <w:r w:rsidRPr="00B55E61">
              <w:rPr>
                <w:rFonts w:ascii="Arial" w:hAnsi="Arial" w:cs="Arial"/>
                <w:sz w:val="16"/>
                <w:szCs w:val="16"/>
              </w:rPr>
              <w:t> </w:t>
            </w:r>
          </w:p>
        </w:tc>
        <w:tc>
          <w:tcPr>
            <w:tcW w:w="1014" w:type="dxa"/>
            <w:tcBorders>
              <w:top w:val="single" w:sz="4" w:space="0" w:color="auto"/>
              <w:left w:val="nil"/>
              <w:bottom w:val="nil"/>
              <w:right w:val="nil"/>
            </w:tcBorders>
            <w:shd w:val="clear" w:color="auto" w:fill="auto"/>
            <w:vAlign w:val="bottom"/>
            <w:hideMark/>
          </w:tcPr>
          <w:p w14:paraId="661BF0CC" w14:textId="77777777" w:rsidR="003630A8" w:rsidRPr="00B55E61" w:rsidRDefault="003630A8" w:rsidP="001670C2">
            <w:pPr>
              <w:spacing w:after="0" w:line="240" w:lineRule="auto"/>
              <w:jc w:val="center"/>
              <w:rPr>
                <w:rFonts w:ascii="Arial" w:hAnsi="Arial" w:cs="Arial"/>
                <w:sz w:val="16"/>
                <w:szCs w:val="16"/>
              </w:rPr>
            </w:pPr>
            <w:r w:rsidRPr="00B55E61">
              <w:rPr>
                <w:rFonts w:ascii="Arial" w:hAnsi="Arial" w:cs="Arial"/>
                <w:sz w:val="16"/>
                <w:szCs w:val="16"/>
              </w:rPr>
              <w:t>Program</w:t>
            </w:r>
          </w:p>
        </w:tc>
        <w:tc>
          <w:tcPr>
            <w:tcW w:w="903" w:type="dxa"/>
            <w:tcBorders>
              <w:top w:val="single" w:sz="4" w:space="0" w:color="auto"/>
              <w:left w:val="nil"/>
              <w:bottom w:val="nil"/>
              <w:right w:val="nil"/>
            </w:tcBorders>
            <w:shd w:val="clear" w:color="000000" w:fill="E6E6E6"/>
            <w:vAlign w:val="bottom"/>
            <w:hideMark/>
          </w:tcPr>
          <w:p w14:paraId="58F19CFF" w14:textId="77777777" w:rsidR="003630A8" w:rsidRPr="00B55E61" w:rsidRDefault="003630A8" w:rsidP="001670C2">
            <w:pPr>
              <w:spacing w:after="0" w:line="240" w:lineRule="auto"/>
              <w:jc w:val="right"/>
              <w:rPr>
                <w:rFonts w:ascii="Arial" w:hAnsi="Arial" w:cs="Arial"/>
                <w:sz w:val="16"/>
                <w:szCs w:val="16"/>
              </w:rPr>
            </w:pPr>
            <w:r w:rsidRPr="00B55E61">
              <w:rPr>
                <w:rFonts w:ascii="Arial" w:hAnsi="Arial" w:cs="Arial"/>
                <w:sz w:val="16"/>
                <w:szCs w:val="16"/>
              </w:rPr>
              <w:t>2021-22</w:t>
            </w:r>
          </w:p>
        </w:tc>
        <w:tc>
          <w:tcPr>
            <w:tcW w:w="928" w:type="dxa"/>
            <w:tcBorders>
              <w:top w:val="single" w:sz="4" w:space="0" w:color="auto"/>
              <w:left w:val="nil"/>
              <w:bottom w:val="nil"/>
              <w:right w:val="nil"/>
            </w:tcBorders>
            <w:shd w:val="clear" w:color="auto" w:fill="auto"/>
            <w:vAlign w:val="bottom"/>
            <w:hideMark/>
          </w:tcPr>
          <w:p w14:paraId="4820C923" w14:textId="77777777" w:rsidR="003630A8" w:rsidRPr="00B55E61" w:rsidRDefault="003630A8" w:rsidP="001670C2">
            <w:pPr>
              <w:spacing w:after="0" w:line="240" w:lineRule="auto"/>
              <w:jc w:val="right"/>
              <w:rPr>
                <w:rFonts w:ascii="Arial" w:hAnsi="Arial" w:cs="Arial"/>
                <w:sz w:val="16"/>
                <w:szCs w:val="16"/>
              </w:rPr>
            </w:pPr>
            <w:r w:rsidRPr="00B55E61">
              <w:rPr>
                <w:rFonts w:ascii="Arial" w:hAnsi="Arial" w:cs="Arial"/>
                <w:sz w:val="16"/>
                <w:szCs w:val="16"/>
              </w:rPr>
              <w:t>2022-23</w:t>
            </w:r>
          </w:p>
        </w:tc>
        <w:tc>
          <w:tcPr>
            <w:tcW w:w="928" w:type="dxa"/>
            <w:tcBorders>
              <w:top w:val="single" w:sz="4" w:space="0" w:color="auto"/>
              <w:left w:val="nil"/>
              <w:bottom w:val="nil"/>
              <w:right w:val="nil"/>
            </w:tcBorders>
            <w:shd w:val="clear" w:color="auto" w:fill="auto"/>
            <w:vAlign w:val="bottom"/>
            <w:hideMark/>
          </w:tcPr>
          <w:p w14:paraId="2CD13023" w14:textId="77777777" w:rsidR="003630A8" w:rsidRPr="00B55E61" w:rsidRDefault="003630A8" w:rsidP="001670C2">
            <w:pPr>
              <w:spacing w:after="0" w:line="240" w:lineRule="auto"/>
              <w:jc w:val="right"/>
              <w:rPr>
                <w:rFonts w:ascii="Arial" w:hAnsi="Arial" w:cs="Arial"/>
                <w:sz w:val="16"/>
                <w:szCs w:val="16"/>
              </w:rPr>
            </w:pPr>
            <w:r w:rsidRPr="00B55E61">
              <w:rPr>
                <w:rFonts w:ascii="Arial" w:hAnsi="Arial" w:cs="Arial"/>
                <w:sz w:val="16"/>
                <w:szCs w:val="16"/>
              </w:rPr>
              <w:t>2023-24</w:t>
            </w:r>
          </w:p>
        </w:tc>
        <w:tc>
          <w:tcPr>
            <w:tcW w:w="903" w:type="dxa"/>
            <w:tcBorders>
              <w:top w:val="single" w:sz="4" w:space="0" w:color="auto"/>
              <w:left w:val="nil"/>
              <w:bottom w:val="nil"/>
              <w:right w:val="nil"/>
            </w:tcBorders>
            <w:shd w:val="clear" w:color="auto" w:fill="auto"/>
            <w:vAlign w:val="bottom"/>
            <w:hideMark/>
          </w:tcPr>
          <w:p w14:paraId="7030822F" w14:textId="77777777" w:rsidR="003630A8" w:rsidRPr="00B55E61" w:rsidRDefault="003630A8" w:rsidP="001670C2">
            <w:pPr>
              <w:spacing w:after="0" w:line="240" w:lineRule="auto"/>
              <w:jc w:val="right"/>
              <w:rPr>
                <w:rFonts w:ascii="Arial" w:hAnsi="Arial" w:cs="Arial"/>
                <w:sz w:val="16"/>
                <w:szCs w:val="16"/>
              </w:rPr>
            </w:pPr>
            <w:r w:rsidRPr="00B55E61">
              <w:rPr>
                <w:rFonts w:ascii="Arial" w:hAnsi="Arial" w:cs="Arial"/>
                <w:sz w:val="16"/>
                <w:szCs w:val="16"/>
              </w:rPr>
              <w:t>2024-25</w:t>
            </w:r>
          </w:p>
        </w:tc>
      </w:tr>
      <w:tr w:rsidR="003630A8" w:rsidRPr="00B55E61" w14:paraId="7F62E910" w14:textId="77777777" w:rsidTr="00371CA0">
        <w:trPr>
          <w:trHeight w:val="204"/>
        </w:trPr>
        <w:tc>
          <w:tcPr>
            <w:tcW w:w="2977" w:type="dxa"/>
            <w:tcBorders>
              <w:top w:val="nil"/>
              <w:left w:val="nil"/>
              <w:bottom w:val="single" w:sz="4" w:space="0" w:color="auto"/>
              <w:right w:val="nil"/>
            </w:tcBorders>
            <w:shd w:val="clear" w:color="auto" w:fill="auto"/>
            <w:noWrap/>
            <w:vAlign w:val="bottom"/>
            <w:hideMark/>
          </w:tcPr>
          <w:p w14:paraId="4B5171BC" w14:textId="77777777" w:rsidR="003630A8" w:rsidRPr="00B55E61" w:rsidRDefault="003630A8" w:rsidP="001670C2">
            <w:pPr>
              <w:spacing w:after="0" w:line="240" w:lineRule="auto"/>
              <w:jc w:val="left"/>
              <w:rPr>
                <w:rFonts w:ascii="Arial" w:hAnsi="Arial" w:cs="Arial"/>
                <w:sz w:val="16"/>
                <w:szCs w:val="16"/>
              </w:rPr>
            </w:pPr>
            <w:r w:rsidRPr="00B55E61">
              <w:rPr>
                <w:rFonts w:ascii="Arial" w:hAnsi="Arial" w:cs="Arial"/>
                <w:sz w:val="16"/>
                <w:szCs w:val="16"/>
              </w:rPr>
              <w:t> </w:t>
            </w:r>
          </w:p>
        </w:tc>
        <w:tc>
          <w:tcPr>
            <w:tcW w:w="1014" w:type="dxa"/>
            <w:tcBorders>
              <w:top w:val="nil"/>
              <w:left w:val="nil"/>
              <w:bottom w:val="single" w:sz="4" w:space="0" w:color="auto"/>
              <w:right w:val="nil"/>
            </w:tcBorders>
            <w:shd w:val="clear" w:color="auto" w:fill="auto"/>
            <w:vAlign w:val="bottom"/>
            <w:hideMark/>
          </w:tcPr>
          <w:p w14:paraId="0E851503" w14:textId="77777777" w:rsidR="003630A8" w:rsidRPr="00B55E61" w:rsidRDefault="003630A8" w:rsidP="001670C2">
            <w:pPr>
              <w:spacing w:after="0" w:line="240" w:lineRule="auto"/>
              <w:jc w:val="center"/>
              <w:rPr>
                <w:rFonts w:ascii="Arial" w:hAnsi="Arial" w:cs="Arial"/>
                <w:sz w:val="16"/>
                <w:szCs w:val="16"/>
              </w:rPr>
            </w:pPr>
            <w:r w:rsidRPr="00B55E61">
              <w:rPr>
                <w:rFonts w:ascii="Arial" w:hAnsi="Arial" w:cs="Arial"/>
                <w:sz w:val="16"/>
                <w:szCs w:val="16"/>
              </w:rPr>
              <w:t>impacted</w:t>
            </w:r>
          </w:p>
        </w:tc>
        <w:tc>
          <w:tcPr>
            <w:tcW w:w="903" w:type="dxa"/>
            <w:tcBorders>
              <w:top w:val="nil"/>
              <w:left w:val="nil"/>
              <w:bottom w:val="single" w:sz="4" w:space="0" w:color="auto"/>
              <w:right w:val="nil"/>
            </w:tcBorders>
            <w:shd w:val="clear" w:color="000000" w:fill="E6E6E6"/>
            <w:vAlign w:val="bottom"/>
            <w:hideMark/>
          </w:tcPr>
          <w:p w14:paraId="2283D428" w14:textId="77777777" w:rsidR="003630A8" w:rsidRPr="00B55E61" w:rsidRDefault="003630A8" w:rsidP="001670C2">
            <w:pPr>
              <w:spacing w:after="0" w:line="240" w:lineRule="auto"/>
              <w:jc w:val="right"/>
              <w:rPr>
                <w:rFonts w:ascii="Arial" w:hAnsi="Arial" w:cs="Arial"/>
                <w:sz w:val="16"/>
                <w:szCs w:val="16"/>
              </w:rPr>
            </w:pPr>
            <w:r w:rsidRPr="00B55E61">
              <w:rPr>
                <w:rFonts w:ascii="Arial" w:hAnsi="Arial" w:cs="Arial"/>
                <w:sz w:val="16"/>
                <w:szCs w:val="16"/>
              </w:rPr>
              <w:t>$'000</w:t>
            </w:r>
          </w:p>
        </w:tc>
        <w:tc>
          <w:tcPr>
            <w:tcW w:w="928" w:type="dxa"/>
            <w:tcBorders>
              <w:top w:val="nil"/>
              <w:left w:val="nil"/>
              <w:bottom w:val="single" w:sz="4" w:space="0" w:color="auto"/>
              <w:right w:val="nil"/>
            </w:tcBorders>
            <w:shd w:val="clear" w:color="auto" w:fill="auto"/>
            <w:vAlign w:val="bottom"/>
            <w:hideMark/>
          </w:tcPr>
          <w:p w14:paraId="366EC19F" w14:textId="77777777" w:rsidR="003630A8" w:rsidRPr="00B55E61" w:rsidRDefault="003630A8" w:rsidP="001670C2">
            <w:pPr>
              <w:spacing w:after="0" w:line="240" w:lineRule="auto"/>
              <w:jc w:val="right"/>
              <w:rPr>
                <w:rFonts w:ascii="Arial" w:hAnsi="Arial" w:cs="Arial"/>
                <w:sz w:val="16"/>
                <w:szCs w:val="16"/>
              </w:rPr>
            </w:pPr>
            <w:r w:rsidRPr="00B55E61">
              <w:rPr>
                <w:rFonts w:ascii="Arial" w:hAnsi="Arial" w:cs="Arial"/>
                <w:sz w:val="16"/>
                <w:szCs w:val="16"/>
              </w:rPr>
              <w:t>$'000</w:t>
            </w:r>
          </w:p>
        </w:tc>
        <w:tc>
          <w:tcPr>
            <w:tcW w:w="928" w:type="dxa"/>
            <w:tcBorders>
              <w:top w:val="nil"/>
              <w:left w:val="nil"/>
              <w:bottom w:val="single" w:sz="4" w:space="0" w:color="auto"/>
              <w:right w:val="nil"/>
            </w:tcBorders>
            <w:shd w:val="clear" w:color="auto" w:fill="auto"/>
            <w:vAlign w:val="bottom"/>
            <w:hideMark/>
          </w:tcPr>
          <w:p w14:paraId="5206C85A" w14:textId="77777777" w:rsidR="003630A8" w:rsidRPr="00B55E61" w:rsidRDefault="003630A8" w:rsidP="001670C2">
            <w:pPr>
              <w:spacing w:after="0" w:line="240" w:lineRule="auto"/>
              <w:jc w:val="right"/>
              <w:rPr>
                <w:rFonts w:ascii="Arial" w:hAnsi="Arial" w:cs="Arial"/>
                <w:sz w:val="16"/>
                <w:szCs w:val="16"/>
              </w:rPr>
            </w:pPr>
            <w:r w:rsidRPr="00B55E61">
              <w:rPr>
                <w:rFonts w:ascii="Arial" w:hAnsi="Arial" w:cs="Arial"/>
                <w:sz w:val="16"/>
                <w:szCs w:val="16"/>
              </w:rPr>
              <w:t>$'000</w:t>
            </w:r>
          </w:p>
        </w:tc>
        <w:tc>
          <w:tcPr>
            <w:tcW w:w="903" w:type="dxa"/>
            <w:tcBorders>
              <w:top w:val="nil"/>
              <w:left w:val="nil"/>
              <w:bottom w:val="single" w:sz="4" w:space="0" w:color="auto"/>
              <w:right w:val="nil"/>
            </w:tcBorders>
            <w:shd w:val="clear" w:color="auto" w:fill="auto"/>
            <w:vAlign w:val="bottom"/>
            <w:hideMark/>
          </w:tcPr>
          <w:p w14:paraId="69410B7F" w14:textId="77777777" w:rsidR="003630A8" w:rsidRPr="00B55E61" w:rsidRDefault="003630A8" w:rsidP="001670C2">
            <w:pPr>
              <w:spacing w:after="0" w:line="240" w:lineRule="auto"/>
              <w:jc w:val="right"/>
              <w:rPr>
                <w:rFonts w:ascii="Arial" w:hAnsi="Arial" w:cs="Arial"/>
                <w:sz w:val="16"/>
                <w:szCs w:val="16"/>
              </w:rPr>
            </w:pPr>
            <w:r w:rsidRPr="00B55E61">
              <w:rPr>
                <w:rFonts w:ascii="Arial" w:hAnsi="Arial" w:cs="Arial"/>
                <w:sz w:val="16"/>
                <w:szCs w:val="16"/>
              </w:rPr>
              <w:t>$'000</w:t>
            </w:r>
          </w:p>
        </w:tc>
      </w:tr>
      <w:tr w:rsidR="005F6D89" w:rsidRPr="00B55E61" w14:paraId="0686E651" w14:textId="77777777" w:rsidTr="00371CA0">
        <w:trPr>
          <w:trHeight w:val="204"/>
        </w:trPr>
        <w:tc>
          <w:tcPr>
            <w:tcW w:w="2977" w:type="dxa"/>
            <w:tcBorders>
              <w:top w:val="nil"/>
              <w:left w:val="nil"/>
              <w:bottom w:val="nil"/>
              <w:right w:val="nil"/>
            </w:tcBorders>
            <w:shd w:val="clear" w:color="auto" w:fill="auto"/>
            <w:noWrap/>
            <w:vAlign w:val="bottom"/>
            <w:hideMark/>
          </w:tcPr>
          <w:p w14:paraId="50774237" w14:textId="31481F3F" w:rsidR="005F6D89" w:rsidRPr="00B55E61" w:rsidRDefault="005F6D89" w:rsidP="005F6D89">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 xml:space="preserve">Special appropriations </w:t>
            </w:r>
          </w:p>
        </w:tc>
        <w:tc>
          <w:tcPr>
            <w:tcW w:w="1014" w:type="dxa"/>
            <w:tcBorders>
              <w:top w:val="nil"/>
              <w:left w:val="nil"/>
              <w:bottom w:val="nil"/>
              <w:right w:val="nil"/>
            </w:tcBorders>
            <w:shd w:val="clear" w:color="auto" w:fill="auto"/>
            <w:noWrap/>
            <w:vAlign w:val="bottom"/>
            <w:hideMark/>
          </w:tcPr>
          <w:p w14:paraId="0A3419EA" w14:textId="77777777" w:rsidR="005F6D89" w:rsidRPr="000025D5" w:rsidRDefault="005F6D89" w:rsidP="000025D5">
            <w:pPr>
              <w:spacing w:after="0" w:line="240" w:lineRule="auto"/>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0BD2E8FF" w14:textId="46415085" w:rsidR="005F6D89" w:rsidRPr="000025D5" w:rsidRDefault="005F6D89" w:rsidP="000025D5">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354140F3" w14:textId="77777777" w:rsidR="005F6D89" w:rsidRPr="000025D5" w:rsidRDefault="005F6D89" w:rsidP="000025D5">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23657A9A" w14:textId="77777777" w:rsidR="005F6D89" w:rsidRPr="00B55E61" w:rsidRDefault="005F6D89" w:rsidP="000025D5">
            <w:pPr>
              <w:spacing w:after="0" w:line="240" w:lineRule="auto"/>
              <w:jc w:val="right"/>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071D3500" w14:textId="77777777" w:rsidR="005F6D89" w:rsidRPr="00B55E61" w:rsidRDefault="005F6D89" w:rsidP="000025D5">
            <w:pPr>
              <w:spacing w:after="0" w:line="240" w:lineRule="auto"/>
              <w:jc w:val="right"/>
              <w:rPr>
                <w:rFonts w:ascii="Times New Roman" w:hAnsi="Times New Roman"/>
                <w:sz w:val="16"/>
                <w:szCs w:val="16"/>
              </w:rPr>
            </w:pPr>
          </w:p>
        </w:tc>
      </w:tr>
      <w:tr w:rsidR="005F6D89" w:rsidRPr="00B55E61" w14:paraId="6169AE14" w14:textId="77777777" w:rsidTr="00371CA0">
        <w:trPr>
          <w:trHeight w:val="204"/>
        </w:trPr>
        <w:tc>
          <w:tcPr>
            <w:tcW w:w="2977" w:type="dxa"/>
            <w:tcBorders>
              <w:top w:val="nil"/>
              <w:left w:val="nil"/>
              <w:bottom w:val="nil"/>
              <w:right w:val="nil"/>
            </w:tcBorders>
            <w:shd w:val="clear" w:color="auto" w:fill="auto"/>
            <w:noWrap/>
            <w:vAlign w:val="bottom"/>
            <w:hideMark/>
          </w:tcPr>
          <w:p w14:paraId="003E7670" w14:textId="25DC2252" w:rsidR="005F6D89" w:rsidRPr="00B55E61" w:rsidRDefault="005F6D89" w:rsidP="003630A8">
            <w:pPr>
              <w:spacing w:after="0" w:line="240" w:lineRule="auto"/>
              <w:jc w:val="left"/>
              <w:rPr>
                <w:rFonts w:ascii="Arial" w:hAnsi="Arial" w:cs="Arial"/>
                <w:b/>
                <w:bCs/>
                <w:color w:val="000000"/>
                <w:sz w:val="16"/>
                <w:szCs w:val="16"/>
              </w:rPr>
            </w:pPr>
            <w:r w:rsidRPr="00B55E61">
              <w:rPr>
                <w:rFonts w:ascii="Arial" w:hAnsi="Arial" w:cs="Arial"/>
                <w:b/>
                <w:bCs/>
                <w:color w:val="000000"/>
                <w:sz w:val="16"/>
                <w:szCs w:val="16"/>
              </w:rPr>
              <w:t>(including Special Accounts)</w:t>
            </w:r>
          </w:p>
        </w:tc>
        <w:tc>
          <w:tcPr>
            <w:tcW w:w="1014" w:type="dxa"/>
            <w:tcBorders>
              <w:top w:val="nil"/>
              <w:left w:val="nil"/>
              <w:bottom w:val="nil"/>
              <w:right w:val="nil"/>
            </w:tcBorders>
            <w:shd w:val="clear" w:color="auto" w:fill="auto"/>
            <w:noWrap/>
            <w:vAlign w:val="bottom"/>
            <w:hideMark/>
          </w:tcPr>
          <w:p w14:paraId="77526553" w14:textId="77777777" w:rsidR="005F6D89" w:rsidRPr="000025D5" w:rsidRDefault="005F6D89" w:rsidP="000025D5">
            <w:pPr>
              <w:spacing w:after="0" w:line="240" w:lineRule="auto"/>
              <w:ind w:firstLineChars="200" w:firstLine="320"/>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2F061BAA" w14:textId="52BADF6C" w:rsidR="005F6D89" w:rsidRPr="000025D5" w:rsidRDefault="005F6D89" w:rsidP="000025D5">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18600A06" w14:textId="77777777" w:rsidR="005F6D89" w:rsidRPr="000025D5" w:rsidRDefault="005F6D89" w:rsidP="000025D5">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376D43AC" w14:textId="77777777" w:rsidR="005F6D89" w:rsidRPr="00B55E61" w:rsidRDefault="005F6D89" w:rsidP="000025D5">
            <w:pPr>
              <w:spacing w:after="0" w:line="240" w:lineRule="auto"/>
              <w:jc w:val="right"/>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75C9FFDD" w14:textId="77777777" w:rsidR="005F6D89" w:rsidRPr="00B55E61" w:rsidRDefault="005F6D89" w:rsidP="000025D5">
            <w:pPr>
              <w:spacing w:after="0" w:line="240" w:lineRule="auto"/>
              <w:jc w:val="right"/>
              <w:rPr>
                <w:rFonts w:ascii="Times New Roman" w:hAnsi="Times New Roman"/>
                <w:sz w:val="16"/>
                <w:szCs w:val="16"/>
              </w:rPr>
            </w:pPr>
          </w:p>
        </w:tc>
      </w:tr>
      <w:tr w:rsidR="005F6D89" w:rsidRPr="00B55E61" w14:paraId="4CF6AC93" w14:textId="77777777" w:rsidTr="00371CA0">
        <w:trPr>
          <w:trHeight w:val="204"/>
        </w:trPr>
        <w:tc>
          <w:tcPr>
            <w:tcW w:w="2977" w:type="dxa"/>
            <w:tcBorders>
              <w:top w:val="nil"/>
              <w:left w:val="nil"/>
              <w:bottom w:val="nil"/>
              <w:right w:val="nil"/>
            </w:tcBorders>
            <w:shd w:val="clear" w:color="auto" w:fill="auto"/>
            <w:noWrap/>
            <w:vAlign w:val="bottom"/>
            <w:hideMark/>
          </w:tcPr>
          <w:p w14:paraId="2E482B94" w14:textId="77777777" w:rsidR="005F6D89" w:rsidRPr="00B55E61" w:rsidRDefault="005F6D89" w:rsidP="005F6D89">
            <w:pPr>
              <w:spacing w:after="0" w:line="240" w:lineRule="auto"/>
              <w:ind w:left="113"/>
              <w:jc w:val="left"/>
              <w:rPr>
                <w:rFonts w:ascii="Arial" w:hAnsi="Arial" w:cs="Arial"/>
                <w:b/>
                <w:bCs/>
                <w:color w:val="000000"/>
                <w:sz w:val="16"/>
                <w:szCs w:val="16"/>
              </w:rPr>
            </w:pPr>
            <w:r w:rsidRPr="005F6D89">
              <w:rPr>
                <w:rFonts w:ascii="Arial" w:hAnsi="Arial" w:cs="Arial"/>
                <w:b/>
                <w:bCs/>
                <w:sz w:val="16"/>
                <w:szCs w:val="16"/>
              </w:rPr>
              <w:t>Estimates</w:t>
            </w:r>
            <w:r w:rsidRPr="00B55E61">
              <w:rPr>
                <w:rFonts w:ascii="Arial" w:hAnsi="Arial" w:cs="Arial"/>
                <w:b/>
                <w:bCs/>
                <w:color w:val="000000"/>
                <w:sz w:val="16"/>
                <w:szCs w:val="16"/>
              </w:rPr>
              <w:t xml:space="preserve"> Adjustments</w:t>
            </w:r>
          </w:p>
        </w:tc>
        <w:tc>
          <w:tcPr>
            <w:tcW w:w="1014" w:type="dxa"/>
            <w:tcBorders>
              <w:top w:val="nil"/>
              <w:left w:val="nil"/>
              <w:bottom w:val="nil"/>
              <w:right w:val="nil"/>
            </w:tcBorders>
            <w:shd w:val="clear" w:color="auto" w:fill="auto"/>
            <w:noWrap/>
            <w:vAlign w:val="bottom"/>
            <w:hideMark/>
          </w:tcPr>
          <w:p w14:paraId="21BC9F57" w14:textId="77777777" w:rsidR="005F6D89" w:rsidRPr="000025D5" w:rsidRDefault="005F6D89" w:rsidP="000025D5">
            <w:pPr>
              <w:spacing w:after="0" w:line="240" w:lineRule="auto"/>
              <w:ind w:firstLineChars="100" w:firstLine="160"/>
              <w:jc w:val="right"/>
              <w:rPr>
                <w:rFonts w:ascii="Arial" w:hAnsi="Arial" w:cs="Arial"/>
                <w:b/>
                <w:bCs/>
                <w:sz w:val="16"/>
                <w:szCs w:val="16"/>
              </w:rPr>
            </w:pPr>
          </w:p>
        </w:tc>
        <w:tc>
          <w:tcPr>
            <w:tcW w:w="903" w:type="dxa"/>
            <w:tcBorders>
              <w:top w:val="nil"/>
              <w:left w:val="nil"/>
              <w:bottom w:val="nil"/>
              <w:right w:val="nil"/>
            </w:tcBorders>
            <w:shd w:val="clear" w:color="000000" w:fill="E6E6E6"/>
            <w:noWrap/>
            <w:vAlign w:val="bottom"/>
            <w:hideMark/>
          </w:tcPr>
          <w:p w14:paraId="5C398686" w14:textId="661A1BA8" w:rsidR="005F6D89" w:rsidRPr="000025D5" w:rsidRDefault="005F6D89" w:rsidP="000025D5">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25EAAC2E" w14:textId="77777777" w:rsidR="005F6D89" w:rsidRPr="000025D5" w:rsidRDefault="005F6D89" w:rsidP="000025D5">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36DC30F6" w14:textId="77777777" w:rsidR="005F6D89" w:rsidRPr="00B55E61" w:rsidRDefault="005F6D89" w:rsidP="000025D5">
            <w:pPr>
              <w:spacing w:after="0" w:line="240" w:lineRule="auto"/>
              <w:jc w:val="right"/>
              <w:rPr>
                <w:rFonts w:ascii="Times New Roman" w:hAnsi="Times New Roman"/>
                <w:sz w:val="16"/>
                <w:szCs w:val="16"/>
              </w:rPr>
            </w:pPr>
          </w:p>
        </w:tc>
        <w:tc>
          <w:tcPr>
            <w:tcW w:w="903" w:type="dxa"/>
            <w:tcBorders>
              <w:top w:val="nil"/>
              <w:left w:val="nil"/>
              <w:bottom w:val="nil"/>
              <w:right w:val="nil"/>
            </w:tcBorders>
            <w:shd w:val="clear" w:color="auto" w:fill="auto"/>
            <w:noWrap/>
            <w:vAlign w:val="bottom"/>
            <w:hideMark/>
          </w:tcPr>
          <w:p w14:paraId="384F1573" w14:textId="77777777" w:rsidR="005F6D89" w:rsidRPr="00B55E61" w:rsidRDefault="005F6D89" w:rsidP="000025D5">
            <w:pPr>
              <w:spacing w:after="0" w:line="240" w:lineRule="auto"/>
              <w:jc w:val="right"/>
              <w:rPr>
                <w:rFonts w:ascii="Times New Roman" w:hAnsi="Times New Roman"/>
                <w:sz w:val="16"/>
                <w:szCs w:val="16"/>
              </w:rPr>
            </w:pPr>
          </w:p>
        </w:tc>
      </w:tr>
      <w:tr w:rsidR="005F6D89" w:rsidRPr="002F7B38" w14:paraId="1F5366AC" w14:textId="77777777" w:rsidTr="00371CA0">
        <w:trPr>
          <w:trHeight w:val="204"/>
        </w:trPr>
        <w:tc>
          <w:tcPr>
            <w:tcW w:w="2977" w:type="dxa"/>
            <w:tcBorders>
              <w:top w:val="nil"/>
              <w:left w:val="nil"/>
              <w:bottom w:val="nil"/>
              <w:right w:val="nil"/>
            </w:tcBorders>
            <w:shd w:val="clear" w:color="auto" w:fill="auto"/>
            <w:vAlign w:val="bottom"/>
            <w:hideMark/>
          </w:tcPr>
          <w:p w14:paraId="2E476E67" w14:textId="77777777" w:rsidR="005F6D89" w:rsidRPr="002F7B38" w:rsidRDefault="005F6D89" w:rsidP="005F6D89">
            <w:pPr>
              <w:spacing w:after="0" w:line="240" w:lineRule="auto"/>
              <w:ind w:left="227"/>
              <w:jc w:val="left"/>
              <w:rPr>
                <w:rFonts w:ascii="Arial" w:hAnsi="Arial" w:cs="Arial"/>
                <w:i/>
                <w:sz w:val="16"/>
                <w:szCs w:val="16"/>
              </w:rPr>
            </w:pPr>
            <w:r w:rsidRPr="002F7B38">
              <w:rPr>
                <w:rFonts w:ascii="Arial" w:hAnsi="Arial" w:cs="Arial"/>
                <w:i/>
                <w:sz w:val="16"/>
                <w:szCs w:val="16"/>
              </w:rPr>
              <w:t>Australian Maritime Safety Authority Act 1990</w:t>
            </w:r>
          </w:p>
        </w:tc>
        <w:tc>
          <w:tcPr>
            <w:tcW w:w="1014" w:type="dxa"/>
            <w:tcBorders>
              <w:top w:val="nil"/>
              <w:left w:val="nil"/>
              <w:bottom w:val="nil"/>
              <w:right w:val="nil"/>
            </w:tcBorders>
            <w:shd w:val="clear" w:color="auto" w:fill="auto"/>
            <w:noWrap/>
            <w:vAlign w:val="bottom"/>
            <w:hideMark/>
          </w:tcPr>
          <w:p w14:paraId="05632795" w14:textId="77777777" w:rsidR="005F6D89" w:rsidRPr="002F7B38" w:rsidRDefault="005F6D89" w:rsidP="005F6D89">
            <w:pPr>
              <w:spacing w:after="0" w:line="240" w:lineRule="auto"/>
              <w:jc w:val="center"/>
              <w:rPr>
                <w:rFonts w:ascii="Arial" w:hAnsi="Arial" w:cs="Arial"/>
                <w:sz w:val="16"/>
                <w:szCs w:val="16"/>
              </w:rPr>
            </w:pPr>
            <w:r w:rsidRPr="002F7B38">
              <w:rPr>
                <w:rFonts w:ascii="Arial" w:hAnsi="Arial" w:cs="Arial"/>
                <w:sz w:val="16"/>
                <w:szCs w:val="16"/>
              </w:rPr>
              <w:t>2.1</w:t>
            </w:r>
          </w:p>
        </w:tc>
        <w:tc>
          <w:tcPr>
            <w:tcW w:w="903" w:type="dxa"/>
            <w:tcBorders>
              <w:top w:val="nil"/>
              <w:left w:val="nil"/>
              <w:bottom w:val="nil"/>
              <w:right w:val="nil"/>
            </w:tcBorders>
            <w:shd w:val="clear" w:color="000000" w:fill="E6E6E6"/>
            <w:noWrap/>
            <w:vAlign w:val="bottom"/>
            <w:hideMark/>
          </w:tcPr>
          <w:p w14:paraId="47F24184" w14:textId="12A3EBAD" w:rsidR="005F6D89" w:rsidRPr="002F7B38" w:rsidRDefault="005F6D89" w:rsidP="000025D5">
            <w:pPr>
              <w:spacing w:after="0" w:line="240" w:lineRule="auto"/>
              <w:jc w:val="right"/>
              <w:rPr>
                <w:rFonts w:ascii="Arial" w:hAnsi="Arial" w:cs="Arial"/>
                <w:sz w:val="16"/>
                <w:szCs w:val="16"/>
              </w:rPr>
            </w:pPr>
            <w:r w:rsidRPr="002F7B38">
              <w:rPr>
                <w:rFonts w:ascii="Arial" w:hAnsi="Arial" w:cs="Arial"/>
                <w:sz w:val="16"/>
                <w:szCs w:val="16"/>
              </w:rPr>
              <w:t>11,630</w:t>
            </w:r>
          </w:p>
        </w:tc>
        <w:tc>
          <w:tcPr>
            <w:tcW w:w="928" w:type="dxa"/>
            <w:tcBorders>
              <w:top w:val="nil"/>
              <w:left w:val="nil"/>
              <w:bottom w:val="nil"/>
              <w:right w:val="nil"/>
            </w:tcBorders>
            <w:shd w:val="clear" w:color="auto" w:fill="auto"/>
            <w:noWrap/>
            <w:vAlign w:val="bottom"/>
            <w:hideMark/>
          </w:tcPr>
          <w:p w14:paraId="33C83C3F" w14:textId="3595180D" w:rsidR="005F6D89" w:rsidRPr="002F7B38" w:rsidRDefault="005F6D89" w:rsidP="000025D5">
            <w:pPr>
              <w:spacing w:after="0" w:line="240" w:lineRule="auto"/>
              <w:jc w:val="right"/>
              <w:rPr>
                <w:rFonts w:ascii="Arial" w:hAnsi="Arial" w:cs="Arial"/>
                <w:sz w:val="16"/>
                <w:szCs w:val="16"/>
              </w:rPr>
            </w:pPr>
            <w:r w:rsidRPr="002F7B38">
              <w:rPr>
                <w:rFonts w:ascii="Arial" w:hAnsi="Arial" w:cs="Arial"/>
                <w:sz w:val="16"/>
                <w:szCs w:val="16"/>
              </w:rPr>
              <w:t>157</w:t>
            </w:r>
          </w:p>
        </w:tc>
        <w:tc>
          <w:tcPr>
            <w:tcW w:w="928" w:type="dxa"/>
            <w:tcBorders>
              <w:top w:val="nil"/>
              <w:left w:val="nil"/>
              <w:bottom w:val="nil"/>
              <w:right w:val="nil"/>
            </w:tcBorders>
            <w:shd w:val="clear" w:color="auto" w:fill="auto"/>
            <w:noWrap/>
            <w:vAlign w:val="bottom"/>
            <w:hideMark/>
          </w:tcPr>
          <w:p w14:paraId="23BC07D1" w14:textId="77777777" w:rsidR="005F6D89" w:rsidRPr="002F7B38" w:rsidRDefault="005F6D89" w:rsidP="000025D5">
            <w:pPr>
              <w:spacing w:after="0" w:line="240" w:lineRule="auto"/>
              <w:jc w:val="right"/>
              <w:rPr>
                <w:rFonts w:ascii="Arial" w:hAnsi="Arial" w:cs="Arial"/>
                <w:sz w:val="16"/>
                <w:szCs w:val="16"/>
              </w:rPr>
            </w:pPr>
            <w:r w:rsidRPr="002F7B38">
              <w:rPr>
                <w:rFonts w:ascii="Arial" w:hAnsi="Arial" w:cs="Arial"/>
                <w:sz w:val="16"/>
                <w:szCs w:val="16"/>
              </w:rPr>
              <w:t>(1,700)</w:t>
            </w:r>
          </w:p>
        </w:tc>
        <w:tc>
          <w:tcPr>
            <w:tcW w:w="903" w:type="dxa"/>
            <w:tcBorders>
              <w:top w:val="nil"/>
              <w:left w:val="nil"/>
              <w:bottom w:val="nil"/>
              <w:right w:val="nil"/>
            </w:tcBorders>
            <w:shd w:val="clear" w:color="auto" w:fill="auto"/>
            <w:noWrap/>
            <w:vAlign w:val="bottom"/>
            <w:hideMark/>
          </w:tcPr>
          <w:p w14:paraId="7F84A8F9" w14:textId="77777777" w:rsidR="005F6D89" w:rsidRPr="002F7B38" w:rsidRDefault="005F6D89" w:rsidP="000025D5">
            <w:pPr>
              <w:spacing w:after="0" w:line="240" w:lineRule="auto"/>
              <w:jc w:val="right"/>
              <w:rPr>
                <w:rFonts w:ascii="Arial" w:hAnsi="Arial" w:cs="Arial"/>
                <w:sz w:val="16"/>
                <w:szCs w:val="16"/>
              </w:rPr>
            </w:pPr>
            <w:r w:rsidRPr="002F7B38">
              <w:rPr>
                <w:rFonts w:ascii="Arial" w:hAnsi="Arial" w:cs="Arial"/>
                <w:sz w:val="16"/>
                <w:szCs w:val="16"/>
              </w:rPr>
              <w:t>(500)</w:t>
            </w:r>
          </w:p>
        </w:tc>
      </w:tr>
      <w:tr w:rsidR="00C51F73" w:rsidRPr="002F7B38" w14:paraId="578BBB66" w14:textId="77777777" w:rsidTr="00371CA0">
        <w:trPr>
          <w:trHeight w:val="204"/>
        </w:trPr>
        <w:tc>
          <w:tcPr>
            <w:tcW w:w="2977" w:type="dxa"/>
            <w:tcBorders>
              <w:top w:val="nil"/>
              <w:left w:val="nil"/>
              <w:bottom w:val="nil"/>
              <w:right w:val="nil"/>
            </w:tcBorders>
            <w:shd w:val="clear" w:color="auto" w:fill="auto"/>
            <w:vAlign w:val="bottom"/>
            <w:hideMark/>
          </w:tcPr>
          <w:p w14:paraId="5D96A508" w14:textId="77777777" w:rsidR="00C51F73" w:rsidRPr="002F7B38" w:rsidRDefault="00C51F73" w:rsidP="00C51F73">
            <w:pPr>
              <w:spacing w:after="0" w:line="240" w:lineRule="auto"/>
              <w:ind w:left="227"/>
              <w:jc w:val="left"/>
              <w:rPr>
                <w:rFonts w:ascii="Arial" w:hAnsi="Arial" w:cs="Arial"/>
                <w:i/>
                <w:sz w:val="16"/>
                <w:szCs w:val="16"/>
              </w:rPr>
            </w:pPr>
            <w:r w:rsidRPr="002F7B38">
              <w:rPr>
                <w:rFonts w:ascii="Arial" w:hAnsi="Arial" w:cs="Arial"/>
                <w:i/>
                <w:sz w:val="16"/>
                <w:szCs w:val="16"/>
              </w:rPr>
              <w:t>Aviation Fuel Revenues (Special Appropriation) Act 1988</w:t>
            </w:r>
          </w:p>
        </w:tc>
        <w:tc>
          <w:tcPr>
            <w:tcW w:w="1014" w:type="dxa"/>
            <w:tcBorders>
              <w:top w:val="nil"/>
              <w:left w:val="nil"/>
              <w:bottom w:val="nil"/>
              <w:right w:val="nil"/>
            </w:tcBorders>
            <w:shd w:val="clear" w:color="auto" w:fill="auto"/>
            <w:noWrap/>
            <w:vAlign w:val="bottom"/>
            <w:hideMark/>
          </w:tcPr>
          <w:p w14:paraId="774607DC" w14:textId="77777777" w:rsidR="00C51F73" w:rsidRPr="002F7B38" w:rsidRDefault="00C51F73" w:rsidP="00C51F73">
            <w:pPr>
              <w:spacing w:after="0" w:line="240" w:lineRule="auto"/>
              <w:jc w:val="center"/>
              <w:rPr>
                <w:rFonts w:ascii="Arial" w:hAnsi="Arial" w:cs="Arial"/>
                <w:sz w:val="16"/>
                <w:szCs w:val="16"/>
              </w:rPr>
            </w:pPr>
            <w:r w:rsidRPr="002F7B38">
              <w:rPr>
                <w:rFonts w:ascii="Arial" w:hAnsi="Arial" w:cs="Arial"/>
                <w:sz w:val="16"/>
                <w:szCs w:val="16"/>
              </w:rPr>
              <w:t>2.3</w:t>
            </w:r>
          </w:p>
        </w:tc>
        <w:tc>
          <w:tcPr>
            <w:tcW w:w="903" w:type="dxa"/>
            <w:tcBorders>
              <w:top w:val="nil"/>
              <w:left w:val="nil"/>
              <w:bottom w:val="nil"/>
              <w:right w:val="nil"/>
            </w:tcBorders>
            <w:shd w:val="clear" w:color="000000" w:fill="E6E6E6"/>
            <w:noWrap/>
            <w:vAlign w:val="bottom"/>
            <w:hideMark/>
          </w:tcPr>
          <w:p w14:paraId="54A86899" w14:textId="7035CCAA"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(31,698)</w:t>
            </w:r>
          </w:p>
        </w:tc>
        <w:tc>
          <w:tcPr>
            <w:tcW w:w="928" w:type="dxa"/>
            <w:tcBorders>
              <w:top w:val="nil"/>
              <w:left w:val="nil"/>
              <w:bottom w:val="nil"/>
              <w:right w:val="nil"/>
            </w:tcBorders>
            <w:shd w:val="clear" w:color="auto" w:fill="auto"/>
            <w:noWrap/>
            <w:vAlign w:val="bottom"/>
            <w:hideMark/>
          </w:tcPr>
          <w:p w14:paraId="5BC1A227" w14:textId="5A06F036"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(14,000)</w:t>
            </w:r>
          </w:p>
        </w:tc>
        <w:tc>
          <w:tcPr>
            <w:tcW w:w="928" w:type="dxa"/>
            <w:tcBorders>
              <w:top w:val="nil"/>
              <w:left w:val="nil"/>
              <w:bottom w:val="nil"/>
              <w:right w:val="nil"/>
            </w:tcBorders>
            <w:shd w:val="clear" w:color="auto" w:fill="auto"/>
            <w:noWrap/>
            <w:vAlign w:val="bottom"/>
            <w:hideMark/>
          </w:tcPr>
          <w:p w14:paraId="2E769393" w14:textId="6E613D4F"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(14,902)</w:t>
            </w:r>
          </w:p>
        </w:tc>
        <w:tc>
          <w:tcPr>
            <w:tcW w:w="903" w:type="dxa"/>
            <w:tcBorders>
              <w:top w:val="nil"/>
              <w:left w:val="nil"/>
              <w:bottom w:val="nil"/>
              <w:right w:val="nil"/>
            </w:tcBorders>
            <w:shd w:val="clear" w:color="auto" w:fill="auto"/>
            <w:noWrap/>
            <w:vAlign w:val="bottom"/>
            <w:hideMark/>
          </w:tcPr>
          <w:p w14:paraId="16084D57" w14:textId="1780F384"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(10,635)</w:t>
            </w:r>
          </w:p>
        </w:tc>
      </w:tr>
      <w:tr w:rsidR="00C51F73" w:rsidRPr="002F7B38" w14:paraId="5E726D8A" w14:textId="77777777" w:rsidTr="00371CA0">
        <w:trPr>
          <w:trHeight w:val="204"/>
        </w:trPr>
        <w:tc>
          <w:tcPr>
            <w:tcW w:w="2977" w:type="dxa"/>
            <w:tcBorders>
              <w:top w:val="nil"/>
              <w:left w:val="nil"/>
              <w:bottom w:val="nil"/>
              <w:right w:val="nil"/>
            </w:tcBorders>
            <w:shd w:val="clear" w:color="auto" w:fill="auto"/>
            <w:vAlign w:val="bottom"/>
            <w:hideMark/>
          </w:tcPr>
          <w:p w14:paraId="26A12C1F" w14:textId="77777777" w:rsidR="00C51F73" w:rsidRPr="002F7B38" w:rsidRDefault="00C51F73" w:rsidP="00C51F73">
            <w:pPr>
              <w:spacing w:after="0" w:line="240" w:lineRule="auto"/>
              <w:ind w:left="227"/>
              <w:jc w:val="left"/>
              <w:rPr>
                <w:rFonts w:ascii="Arial" w:hAnsi="Arial" w:cs="Arial"/>
                <w:i/>
                <w:sz w:val="16"/>
                <w:szCs w:val="16"/>
              </w:rPr>
            </w:pPr>
            <w:r w:rsidRPr="002F7B38">
              <w:rPr>
                <w:rFonts w:ascii="Arial" w:hAnsi="Arial" w:cs="Arial"/>
                <w:i/>
                <w:sz w:val="16"/>
                <w:szCs w:val="16"/>
              </w:rPr>
              <w:t>Local Government (Financial Assistance) Act 1995</w:t>
            </w:r>
          </w:p>
        </w:tc>
        <w:tc>
          <w:tcPr>
            <w:tcW w:w="1014" w:type="dxa"/>
            <w:tcBorders>
              <w:top w:val="nil"/>
              <w:left w:val="nil"/>
              <w:bottom w:val="nil"/>
              <w:right w:val="nil"/>
            </w:tcBorders>
            <w:shd w:val="clear" w:color="auto" w:fill="auto"/>
            <w:noWrap/>
            <w:vAlign w:val="bottom"/>
            <w:hideMark/>
          </w:tcPr>
          <w:p w14:paraId="1026629A" w14:textId="77777777" w:rsidR="00C51F73" w:rsidRPr="002F7B38" w:rsidRDefault="00C51F73" w:rsidP="00C51F73">
            <w:pPr>
              <w:spacing w:after="0" w:line="240" w:lineRule="auto"/>
              <w:jc w:val="center"/>
              <w:rPr>
                <w:rFonts w:ascii="Arial" w:hAnsi="Arial" w:cs="Arial"/>
                <w:sz w:val="16"/>
                <w:szCs w:val="16"/>
              </w:rPr>
            </w:pPr>
            <w:r w:rsidRPr="002F7B38">
              <w:rPr>
                <w:rFonts w:ascii="Arial" w:hAnsi="Arial" w:cs="Arial"/>
                <w:sz w:val="16"/>
                <w:szCs w:val="16"/>
              </w:rPr>
              <w:t>3.2</w:t>
            </w:r>
          </w:p>
        </w:tc>
        <w:tc>
          <w:tcPr>
            <w:tcW w:w="903" w:type="dxa"/>
            <w:tcBorders>
              <w:top w:val="nil"/>
              <w:left w:val="nil"/>
              <w:bottom w:val="nil"/>
              <w:right w:val="nil"/>
            </w:tcBorders>
            <w:shd w:val="clear" w:color="000000" w:fill="E6E6E6"/>
            <w:noWrap/>
            <w:vAlign w:val="bottom"/>
            <w:hideMark/>
          </w:tcPr>
          <w:p w14:paraId="2BA17069" w14:textId="13F59B27"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12,708</w:t>
            </w:r>
          </w:p>
        </w:tc>
        <w:tc>
          <w:tcPr>
            <w:tcW w:w="928" w:type="dxa"/>
            <w:tcBorders>
              <w:top w:val="nil"/>
              <w:left w:val="nil"/>
              <w:bottom w:val="nil"/>
              <w:right w:val="nil"/>
            </w:tcBorders>
            <w:shd w:val="clear" w:color="auto" w:fill="auto"/>
            <w:noWrap/>
            <w:vAlign w:val="bottom"/>
            <w:hideMark/>
          </w:tcPr>
          <w:p w14:paraId="6B62240A" w14:textId="504DDBB1"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37,929</w:t>
            </w:r>
          </w:p>
        </w:tc>
        <w:tc>
          <w:tcPr>
            <w:tcW w:w="928" w:type="dxa"/>
            <w:tcBorders>
              <w:top w:val="nil"/>
              <w:left w:val="nil"/>
              <w:bottom w:val="nil"/>
              <w:right w:val="nil"/>
            </w:tcBorders>
            <w:shd w:val="clear" w:color="auto" w:fill="auto"/>
            <w:noWrap/>
            <w:vAlign w:val="bottom"/>
            <w:hideMark/>
          </w:tcPr>
          <w:p w14:paraId="2F0D80CE" w14:textId="55F1FBCD"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70,027</w:t>
            </w:r>
          </w:p>
        </w:tc>
        <w:tc>
          <w:tcPr>
            <w:tcW w:w="903" w:type="dxa"/>
            <w:tcBorders>
              <w:top w:val="nil"/>
              <w:left w:val="nil"/>
              <w:bottom w:val="nil"/>
              <w:right w:val="nil"/>
            </w:tcBorders>
            <w:shd w:val="clear" w:color="auto" w:fill="auto"/>
            <w:noWrap/>
            <w:vAlign w:val="bottom"/>
            <w:hideMark/>
          </w:tcPr>
          <w:p w14:paraId="34132B57" w14:textId="3F55D3E5"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127,824</w:t>
            </w:r>
          </w:p>
        </w:tc>
      </w:tr>
      <w:tr w:rsidR="00C51F73" w:rsidRPr="002F7B38" w14:paraId="1C809937" w14:textId="77777777" w:rsidTr="00371CA0">
        <w:trPr>
          <w:trHeight w:val="204"/>
        </w:trPr>
        <w:tc>
          <w:tcPr>
            <w:tcW w:w="2977" w:type="dxa"/>
            <w:tcBorders>
              <w:top w:val="nil"/>
              <w:left w:val="nil"/>
              <w:bottom w:val="nil"/>
              <w:right w:val="nil"/>
            </w:tcBorders>
            <w:shd w:val="clear" w:color="auto" w:fill="auto"/>
            <w:vAlign w:val="bottom"/>
            <w:hideMark/>
          </w:tcPr>
          <w:p w14:paraId="66E1252A" w14:textId="77777777" w:rsidR="00C51F73" w:rsidRPr="002F7B38" w:rsidRDefault="00C51F73" w:rsidP="00C51F73">
            <w:pPr>
              <w:spacing w:after="0" w:line="240" w:lineRule="auto"/>
              <w:ind w:left="227"/>
              <w:jc w:val="left"/>
              <w:rPr>
                <w:rFonts w:ascii="Arial" w:hAnsi="Arial" w:cs="Arial"/>
                <w:i/>
                <w:sz w:val="16"/>
                <w:szCs w:val="16"/>
              </w:rPr>
            </w:pPr>
            <w:r w:rsidRPr="002F7B38">
              <w:rPr>
                <w:rFonts w:ascii="Arial" w:hAnsi="Arial" w:cs="Arial"/>
                <w:i/>
                <w:sz w:val="16"/>
                <w:szCs w:val="16"/>
              </w:rPr>
              <w:t>Northern Australia Infrastructure Facility Act 2016</w:t>
            </w:r>
          </w:p>
        </w:tc>
        <w:tc>
          <w:tcPr>
            <w:tcW w:w="1014" w:type="dxa"/>
            <w:tcBorders>
              <w:top w:val="nil"/>
              <w:left w:val="nil"/>
              <w:bottom w:val="nil"/>
              <w:right w:val="nil"/>
            </w:tcBorders>
            <w:shd w:val="clear" w:color="auto" w:fill="auto"/>
            <w:noWrap/>
            <w:vAlign w:val="bottom"/>
            <w:hideMark/>
          </w:tcPr>
          <w:p w14:paraId="665BBAE2" w14:textId="77777777" w:rsidR="00C51F73" w:rsidRPr="002F7B38" w:rsidRDefault="00C51F73" w:rsidP="00C51F73">
            <w:pPr>
              <w:spacing w:after="0" w:line="240" w:lineRule="auto"/>
              <w:jc w:val="center"/>
              <w:rPr>
                <w:rFonts w:ascii="Arial" w:hAnsi="Arial" w:cs="Arial"/>
                <w:sz w:val="16"/>
                <w:szCs w:val="16"/>
              </w:rPr>
            </w:pPr>
            <w:r w:rsidRPr="002F7B38">
              <w:rPr>
                <w:rFonts w:ascii="Arial" w:hAnsi="Arial" w:cs="Arial"/>
                <w:sz w:val="16"/>
                <w:szCs w:val="16"/>
              </w:rPr>
              <w:t>3.4</w:t>
            </w:r>
          </w:p>
        </w:tc>
        <w:tc>
          <w:tcPr>
            <w:tcW w:w="903" w:type="dxa"/>
            <w:tcBorders>
              <w:top w:val="nil"/>
              <w:left w:val="nil"/>
              <w:bottom w:val="nil"/>
              <w:right w:val="nil"/>
            </w:tcBorders>
            <w:shd w:val="clear" w:color="000000" w:fill="E6E6E6"/>
            <w:noWrap/>
            <w:vAlign w:val="bottom"/>
            <w:hideMark/>
          </w:tcPr>
          <w:p w14:paraId="681D6F41" w14:textId="5AAECBA9"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536,600</w:t>
            </w:r>
          </w:p>
        </w:tc>
        <w:tc>
          <w:tcPr>
            <w:tcW w:w="928" w:type="dxa"/>
            <w:tcBorders>
              <w:top w:val="nil"/>
              <w:left w:val="nil"/>
              <w:bottom w:val="nil"/>
              <w:right w:val="nil"/>
            </w:tcBorders>
            <w:shd w:val="clear" w:color="auto" w:fill="auto"/>
            <w:noWrap/>
            <w:vAlign w:val="bottom"/>
            <w:hideMark/>
          </w:tcPr>
          <w:p w14:paraId="4C41F3D1" w14:textId="7EC7F991"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1,460,700</w:t>
            </w:r>
          </w:p>
        </w:tc>
        <w:tc>
          <w:tcPr>
            <w:tcW w:w="928" w:type="dxa"/>
            <w:tcBorders>
              <w:top w:val="nil"/>
              <w:left w:val="nil"/>
              <w:bottom w:val="nil"/>
              <w:right w:val="nil"/>
            </w:tcBorders>
            <w:shd w:val="clear" w:color="auto" w:fill="auto"/>
            <w:noWrap/>
            <w:vAlign w:val="bottom"/>
            <w:hideMark/>
          </w:tcPr>
          <w:p w14:paraId="193385A6" w14:textId="58BE3473"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2,072,100</w:t>
            </w:r>
          </w:p>
        </w:tc>
        <w:tc>
          <w:tcPr>
            <w:tcW w:w="903" w:type="dxa"/>
            <w:tcBorders>
              <w:top w:val="nil"/>
              <w:left w:val="nil"/>
              <w:bottom w:val="nil"/>
              <w:right w:val="nil"/>
            </w:tcBorders>
            <w:shd w:val="clear" w:color="auto" w:fill="auto"/>
            <w:noWrap/>
            <w:vAlign w:val="bottom"/>
            <w:hideMark/>
          </w:tcPr>
          <w:p w14:paraId="689AFA48" w14:textId="13EEF486" w:rsidR="00C51F73" w:rsidRPr="002F7B38" w:rsidRDefault="00C51F73" w:rsidP="00C51F73">
            <w:pPr>
              <w:spacing w:after="0" w:line="240" w:lineRule="auto"/>
              <w:jc w:val="right"/>
              <w:rPr>
                <w:rFonts w:ascii="Arial" w:hAnsi="Arial" w:cs="Arial"/>
                <w:sz w:val="16"/>
                <w:szCs w:val="16"/>
              </w:rPr>
            </w:pPr>
            <w:r>
              <w:rPr>
                <w:rFonts w:ascii="Arial" w:hAnsi="Arial" w:cs="Arial"/>
                <w:sz w:val="16"/>
                <w:szCs w:val="16"/>
              </w:rPr>
              <w:t>1,306,600</w:t>
            </w:r>
          </w:p>
        </w:tc>
      </w:tr>
      <w:tr w:rsidR="00C51F73" w:rsidRPr="002F7B38" w14:paraId="7A2B0641" w14:textId="77777777" w:rsidTr="00371CA0">
        <w:trPr>
          <w:trHeight w:val="204"/>
        </w:trPr>
        <w:tc>
          <w:tcPr>
            <w:tcW w:w="2977" w:type="dxa"/>
            <w:tcBorders>
              <w:top w:val="nil"/>
              <w:left w:val="nil"/>
              <w:bottom w:val="single" w:sz="4" w:space="0" w:color="auto"/>
              <w:right w:val="nil"/>
            </w:tcBorders>
            <w:shd w:val="clear" w:color="auto" w:fill="auto"/>
            <w:vAlign w:val="bottom"/>
            <w:hideMark/>
          </w:tcPr>
          <w:p w14:paraId="0C828C87" w14:textId="77777777" w:rsidR="00C51F73" w:rsidRPr="002F7B38" w:rsidRDefault="00C51F73" w:rsidP="00C51F73">
            <w:pPr>
              <w:spacing w:after="0" w:line="240" w:lineRule="auto"/>
              <w:jc w:val="left"/>
              <w:rPr>
                <w:rFonts w:ascii="Arial" w:hAnsi="Arial" w:cs="Arial"/>
                <w:b/>
                <w:bCs/>
                <w:color w:val="000000"/>
                <w:sz w:val="16"/>
                <w:szCs w:val="16"/>
              </w:rPr>
            </w:pPr>
            <w:r w:rsidRPr="002F7B38">
              <w:rPr>
                <w:rFonts w:ascii="Arial" w:hAnsi="Arial" w:cs="Arial"/>
                <w:b/>
                <w:bCs/>
                <w:color w:val="000000"/>
                <w:sz w:val="16"/>
                <w:szCs w:val="16"/>
              </w:rPr>
              <w:t>Net impact on special appropriations</w:t>
            </w:r>
          </w:p>
        </w:tc>
        <w:tc>
          <w:tcPr>
            <w:tcW w:w="1014" w:type="dxa"/>
            <w:tcBorders>
              <w:top w:val="nil"/>
              <w:left w:val="nil"/>
              <w:bottom w:val="single" w:sz="4" w:space="0" w:color="auto"/>
              <w:right w:val="nil"/>
            </w:tcBorders>
            <w:shd w:val="clear" w:color="auto" w:fill="auto"/>
            <w:noWrap/>
            <w:vAlign w:val="bottom"/>
            <w:hideMark/>
          </w:tcPr>
          <w:p w14:paraId="0755DDB4" w14:textId="77777777" w:rsidR="00C51F73" w:rsidRPr="002F7B38" w:rsidRDefault="00C51F73" w:rsidP="00C51F73">
            <w:pPr>
              <w:spacing w:after="0" w:line="240" w:lineRule="auto"/>
              <w:jc w:val="right"/>
              <w:rPr>
                <w:rFonts w:ascii="Arial" w:hAnsi="Arial" w:cs="Arial"/>
                <w:b/>
                <w:bCs/>
                <w:color w:val="000000"/>
                <w:sz w:val="16"/>
                <w:szCs w:val="16"/>
              </w:rPr>
            </w:pPr>
          </w:p>
        </w:tc>
        <w:tc>
          <w:tcPr>
            <w:tcW w:w="903" w:type="dxa"/>
            <w:tcBorders>
              <w:top w:val="single" w:sz="4" w:space="0" w:color="auto"/>
              <w:left w:val="nil"/>
              <w:bottom w:val="single" w:sz="4" w:space="0" w:color="auto"/>
              <w:right w:val="nil"/>
            </w:tcBorders>
            <w:shd w:val="clear" w:color="000000" w:fill="E6E6E6"/>
            <w:noWrap/>
            <w:vAlign w:val="bottom"/>
            <w:hideMark/>
          </w:tcPr>
          <w:p w14:paraId="042700E3" w14:textId="51277CDD" w:rsidR="00C51F73" w:rsidRPr="002F7B38" w:rsidRDefault="00C51F73" w:rsidP="00C51F73">
            <w:pPr>
              <w:spacing w:after="0" w:line="240" w:lineRule="auto"/>
              <w:jc w:val="right"/>
              <w:rPr>
                <w:rFonts w:ascii="Arial" w:hAnsi="Arial" w:cs="Arial"/>
                <w:b/>
                <w:bCs/>
                <w:sz w:val="16"/>
                <w:szCs w:val="16"/>
              </w:rPr>
            </w:pPr>
            <w:r>
              <w:rPr>
                <w:rFonts w:ascii="Arial" w:hAnsi="Arial" w:cs="Arial"/>
                <w:b/>
                <w:bCs/>
                <w:sz w:val="16"/>
                <w:szCs w:val="16"/>
              </w:rPr>
              <w:t>529,240</w:t>
            </w:r>
          </w:p>
        </w:tc>
        <w:tc>
          <w:tcPr>
            <w:tcW w:w="928" w:type="dxa"/>
            <w:tcBorders>
              <w:top w:val="single" w:sz="4" w:space="0" w:color="auto"/>
              <w:left w:val="nil"/>
              <w:bottom w:val="single" w:sz="4" w:space="0" w:color="auto"/>
              <w:right w:val="nil"/>
            </w:tcBorders>
            <w:shd w:val="clear" w:color="auto" w:fill="auto"/>
            <w:noWrap/>
            <w:vAlign w:val="bottom"/>
            <w:hideMark/>
          </w:tcPr>
          <w:p w14:paraId="6759A44F" w14:textId="72EE0F5C" w:rsidR="00C51F73" w:rsidRPr="002F7B38" w:rsidRDefault="00C51F73" w:rsidP="00C51F73">
            <w:pPr>
              <w:spacing w:after="0" w:line="240" w:lineRule="auto"/>
              <w:jc w:val="right"/>
              <w:rPr>
                <w:rFonts w:ascii="Arial" w:hAnsi="Arial" w:cs="Arial"/>
                <w:b/>
                <w:bCs/>
                <w:sz w:val="16"/>
                <w:szCs w:val="16"/>
              </w:rPr>
            </w:pPr>
            <w:r>
              <w:rPr>
                <w:rFonts w:ascii="Arial" w:hAnsi="Arial" w:cs="Arial"/>
                <w:b/>
                <w:bCs/>
                <w:sz w:val="16"/>
                <w:szCs w:val="16"/>
              </w:rPr>
              <w:t>1,484,786</w:t>
            </w:r>
          </w:p>
        </w:tc>
        <w:tc>
          <w:tcPr>
            <w:tcW w:w="928" w:type="dxa"/>
            <w:tcBorders>
              <w:top w:val="single" w:sz="4" w:space="0" w:color="auto"/>
              <w:left w:val="nil"/>
              <w:bottom w:val="single" w:sz="4" w:space="0" w:color="auto"/>
              <w:right w:val="nil"/>
            </w:tcBorders>
            <w:shd w:val="clear" w:color="auto" w:fill="auto"/>
            <w:noWrap/>
            <w:vAlign w:val="bottom"/>
            <w:hideMark/>
          </w:tcPr>
          <w:p w14:paraId="75014C1A" w14:textId="31D03DE6" w:rsidR="00C51F73" w:rsidRPr="002F7B38" w:rsidRDefault="00C51F73" w:rsidP="00C51F73">
            <w:pPr>
              <w:spacing w:after="0" w:line="240" w:lineRule="auto"/>
              <w:jc w:val="right"/>
              <w:rPr>
                <w:rFonts w:ascii="Arial" w:hAnsi="Arial" w:cs="Arial"/>
                <w:b/>
                <w:bCs/>
                <w:sz w:val="16"/>
                <w:szCs w:val="16"/>
              </w:rPr>
            </w:pPr>
            <w:r>
              <w:rPr>
                <w:rFonts w:ascii="Arial" w:hAnsi="Arial" w:cs="Arial"/>
                <w:b/>
                <w:bCs/>
                <w:sz w:val="16"/>
                <w:szCs w:val="16"/>
              </w:rPr>
              <w:t>2,125,525</w:t>
            </w:r>
          </w:p>
        </w:tc>
        <w:tc>
          <w:tcPr>
            <w:tcW w:w="903" w:type="dxa"/>
            <w:tcBorders>
              <w:top w:val="single" w:sz="4" w:space="0" w:color="auto"/>
              <w:left w:val="nil"/>
              <w:bottom w:val="single" w:sz="4" w:space="0" w:color="auto"/>
              <w:right w:val="nil"/>
            </w:tcBorders>
            <w:shd w:val="clear" w:color="auto" w:fill="auto"/>
            <w:noWrap/>
            <w:vAlign w:val="bottom"/>
            <w:hideMark/>
          </w:tcPr>
          <w:p w14:paraId="4DD186BE" w14:textId="1CE3759A" w:rsidR="00C51F73" w:rsidRPr="002F7B38" w:rsidRDefault="00C51F73" w:rsidP="00C51F73">
            <w:pPr>
              <w:spacing w:after="0" w:line="240" w:lineRule="auto"/>
              <w:jc w:val="right"/>
              <w:rPr>
                <w:rFonts w:ascii="Arial" w:hAnsi="Arial" w:cs="Arial"/>
                <w:b/>
                <w:bCs/>
                <w:sz w:val="16"/>
                <w:szCs w:val="16"/>
              </w:rPr>
            </w:pPr>
            <w:r>
              <w:rPr>
                <w:rFonts w:ascii="Arial" w:hAnsi="Arial" w:cs="Arial"/>
                <w:b/>
                <w:bCs/>
                <w:sz w:val="16"/>
                <w:szCs w:val="16"/>
              </w:rPr>
              <w:t>1,423,289</w:t>
            </w:r>
          </w:p>
        </w:tc>
      </w:tr>
    </w:tbl>
    <w:p w14:paraId="5D09C594" w14:textId="0E2A33EA" w:rsidR="00F045E6" w:rsidRDefault="00393289" w:rsidP="00D37DFC">
      <w:pPr>
        <w:spacing w:before="60" w:after="0" w:line="240" w:lineRule="auto"/>
        <w:rPr>
          <w:rFonts w:ascii="Arial" w:hAnsi="Arial"/>
          <w:sz w:val="16"/>
        </w:rPr>
      </w:pPr>
      <w:bookmarkStart w:id="211" w:name="_Toc436624143"/>
      <w:bookmarkStart w:id="212" w:name="_Toc436625444"/>
      <w:bookmarkStart w:id="213" w:name="_Toc446237032"/>
      <w:bookmarkStart w:id="214" w:name="_Toc449255764"/>
      <w:bookmarkStart w:id="215" w:name="_Toc490972409"/>
      <w:bookmarkStart w:id="216" w:name="_Toc491014629"/>
      <w:bookmarkStart w:id="217" w:name="_Toc491014771"/>
      <w:bookmarkStart w:id="218" w:name="_Toc491014951"/>
      <w:bookmarkStart w:id="219" w:name="_Toc491015098"/>
      <w:bookmarkStart w:id="220" w:name="_Toc491029242"/>
      <w:bookmarkStart w:id="221" w:name="_Toc491030331"/>
      <w:bookmarkStart w:id="222" w:name="_Toc491030790"/>
      <w:bookmarkStart w:id="223" w:name="_Toc491031353"/>
      <w:bookmarkStart w:id="224" w:name="_Toc491031940"/>
      <w:bookmarkStart w:id="225" w:name="_Toc491032113"/>
      <w:bookmarkStart w:id="226" w:name="_Toc491032221"/>
      <w:bookmarkStart w:id="227" w:name="_Toc491032328"/>
      <w:bookmarkStart w:id="228" w:name="_Toc491771720"/>
      <w:bookmarkStart w:id="229" w:name="_Toc491773295"/>
      <w:bookmarkStart w:id="230" w:name="_Toc23559353"/>
      <w:bookmarkStart w:id="231" w:name="_Toc23559387"/>
      <w:bookmarkStart w:id="232" w:name="_Toc23559674"/>
      <w:bookmarkStart w:id="233" w:name="_Toc23560142"/>
      <w:bookmarkStart w:id="234" w:name="_Toc23563436"/>
      <w:bookmarkStart w:id="235" w:name="_Toc77998688"/>
      <w:bookmarkStart w:id="236" w:name="_Toc79399717"/>
      <w:bookmarkStart w:id="237" w:name="_Toc112211966"/>
      <w:bookmarkStart w:id="238" w:name="_Toc112212060"/>
      <w:bookmarkStart w:id="239" w:name="_Toc112137878"/>
      <w:bookmarkStart w:id="240" w:name="_Toc112137900"/>
      <w:bookmarkStart w:id="241" w:name="_Toc210646453"/>
      <w:bookmarkStart w:id="242" w:name="_Toc210698432"/>
      <w:bookmarkStart w:id="243" w:name="_Toc210703214"/>
      <w:bookmarkEnd w:id="190"/>
      <w:bookmarkEnd w:id="191"/>
      <w:bookmarkEnd w:id="192"/>
      <w:bookmarkEnd w:id="193"/>
      <w:bookmarkEnd w:id="194"/>
      <w:bookmarkEnd w:id="195"/>
      <w:bookmarkEnd w:id="203"/>
      <w:bookmarkEnd w:id="204"/>
      <w:r w:rsidRPr="00D948BC">
        <w:rPr>
          <w:rFonts w:ascii="Arial" w:hAnsi="Arial"/>
          <w:sz w:val="16"/>
        </w:rPr>
        <w:t>Prepared on a resourcing (i.e. appropriations available) basis.</w:t>
      </w:r>
    </w:p>
    <w:p w14:paraId="26875945" w14:textId="77777777" w:rsidR="006F462C" w:rsidRPr="00C602FB" w:rsidRDefault="006F462C" w:rsidP="00F10ACD">
      <w:pPr>
        <w:pStyle w:val="ChartandTableFootnote"/>
        <w:numPr>
          <w:ilvl w:val="0"/>
          <w:numId w:val="61"/>
        </w:numPr>
        <w:tabs>
          <w:tab w:val="clear" w:pos="454"/>
          <w:tab w:val="left" w:pos="284"/>
        </w:tabs>
        <w:jc w:val="left"/>
      </w:pPr>
      <w:r>
        <w:rPr>
          <w:rFonts w:cs="Arial"/>
          <w:szCs w:val="16"/>
        </w:rPr>
        <w:t>‘</w:t>
      </w:r>
      <w:proofErr w:type="spellStart"/>
      <w:proofErr w:type="gramStart"/>
      <w:r>
        <w:rPr>
          <w:rFonts w:cs="Arial"/>
          <w:szCs w:val="16"/>
        </w:rPr>
        <w:t>nfp</w:t>
      </w:r>
      <w:proofErr w:type="spellEnd"/>
      <w:proofErr w:type="gramEnd"/>
      <w:r>
        <w:rPr>
          <w:rFonts w:cs="Arial"/>
          <w:szCs w:val="16"/>
        </w:rPr>
        <w:t xml:space="preserve">’ figures are not for publication due to commercial sensitivities and are not included in totals. </w:t>
      </w:r>
    </w:p>
    <w:p w14:paraId="041652FB" w14:textId="77777777" w:rsidR="006F462C" w:rsidRPr="00D948BC" w:rsidRDefault="006F462C" w:rsidP="00F045E6">
      <w:pPr>
        <w:rPr>
          <w:rFonts w:ascii="Arial" w:hAnsi="Arial"/>
          <w:sz w:val="16"/>
        </w:rPr>
      </w:pPr>
    </w:p>
    <w:p w14:paraId="49B61E88" w14:textId="77777777" w:rsidR="004C62B3" w:rsidRDefault="004C62B3">
      <w:pPr>
        <w:spacing w:after="0" w:line="240" w:lineRule="auto"/>
        <w:jc w:val="left"/>
        <w:rPr>
          <w:rFonts w:ascii="Arial Bold" w:hAnsi="Arial Bold"/>
          <w:b/>
          <w:sz w:val="22"/>
        </w:rPr>
      </w:pPr>
      <w:bookmarkStart w:id="244" w:name="_Toc531095066"/>
      <w:bookmarkStart w:id="245" w:name="_Toc92992111"/>
      <w:bookmarkStart w:id="246" w:name="_Toc93405036"/>
      <w:r>
        <w:br w:type="page"/>
      </w:r>
    </w:p>
    <w:p w14:paraId="5AEDA6EA" w14:textId="7997A587" w:rsidR="000A3249" w:rsidRPr="00564C0F" w:rsidRDefault="000A3249" w:rsidP="00B87CAB">
      <w:pPr>
        <w:pStyle w:val="Heading3DITRDC"/>
      </w:pPr>
      <w:bookmarkStart w:id="247" w:name="_Toc94854641"/>
      <w:r>
        <w:rPr>
          <w:lang w:val="en-AU"/>
        </w:rPr>
        <w:lastRenderedPageBreak/>
        <w:t>1</w:t>
      </w:r>
      <w:r>
        <w:t>.</w:t>
      </w:r>
      <w:r w:rsidR="00F045E6">
        <w:rPr>
          <w:lang w:val="en-AU"/>
        </w:rPr>
        <w:t>5</w:t>
      </w:r>
      <w:r>
        <w:tab/>
      </w:r>
      <w:bookmarkStart w:id="248" w:name="_Toc210646451"/>
      <w:bookmarkStart w:id="249" w:name="_Toc210698430"/>
      <w:bookmarkStart w:id="250" w:name="_Toc210703213"/>
      <w:r w:rsidRPr="00564C0F">
        <w:t>Breakdown of additional estimates by appropriation bill</w:t>
      </w:r>
      <w:bookmarkEnd w:id="244"/>
      <w:bookmarkEnd w:id="245"/>
      <w:bookmarkEnd w:id="246"/>
      <w:bookmarkEnd w:id="248"/>
      <w:bookmarkEnd w:id="249"/>
      <w:bookmarkEnd w:id="250"/>
      <w:bookmarkEnd w:id="247"/>
    </w:p>
    <w:p w14:paraId="6A294B47" w14:textId="4CE36046" w:rsidR="00081A0B" w:rsidRPr="00564C0F" w:rsidRDefault="00081A0B" w:rsidP="00A27EC7">
      <w:pPr>
        <w:jc w:val="left"/>
      </w:pPr>
      <w:r w:rsidRPr="00564C0F">
        <w:t xml:space="preserve">The following tables detail the Additional Estimates sought for </w:t>
      </w:r>
      <w:r w:rsidR="00A27EC7">
        <w:t xml:space="preserve">the </w:t>
      </w:r>
      <w:r w:rsidR="008863D9">
        <w:t>Department</w:t>
      </w:r>
      <w:r w:rsidR="00E53168">
        <w:t xml:space="preserve"> of Infrastructure, Transport, Regional Development and Communications</w:t>
      </w:r>
      <w:r w:rsidR="00E53168" w:rsidRPr="00564C0F">
        <w:t xml:space="preserve"> </w:t>
      </w:r>
      <w:r w:rsidRPr="00564C0F">
        <w:t xml:space="preserve">through </w:t>
      </w:r>
      <w:r w:rsidRPr="00BA6A1F">
        <w:t>Appropriation Bills Nos. 3 and 4.</w:t>
      </w:r>
    </w:p>
    <w:p w14:paraId="4D39CEB0" w14:textId="325A871F" w:rsidR="00081A0B" w:rsidRPr="00CD6FA0" w:rsidRDefault="00081A0B" w:rsidP="00081A0B">
      <w:pPr>
        <w:pStyle w:val="TableHeading"/>
        <w:rPr>
          <w:lang w:val="en-AU"/>
        </w:rPr>
      </w:pPr>
      <w:bookmarkStart w:id="251" w:name="_Toc491771713"/>
      <w:bookmarkStart w:id="252" w:name="_Toc491773288"/>
      <w:bookmarkStart w:id="253" w:name="_Toc23559346"/>
      <w:bookmarkStart w:id="254" w:name="_Toc23559380"/>
      <w:bookmarkStart w:id="255" w:name="_Toc23560135"/>
      <w:bookmarkStart w:id="256" w:name="_Toc23563429"/>
      <w:r w:rsidRPr="00897F19">
        <w:t>Table 1.</w:t>
      </w:r>
      <w:r w:rsidRPr="00897F19">
        <w:rPr>
          <w:lang w:val="en-AU"/>
        </w:rPr>
        <w:t>4</w:t>
      </w:r>
      <w:r w:rsidRPr="00897F19">
        <w:t xml:space="preserve">: Appropriation Bill (No. 3) </w:t>
      </w:r>
      <w:bookmarkEnd w:id="251"/>
      <w:bookmarkEnd w:id="252"/>
      <w:bookmarkEnd w:id="253"/>
      <w:bookmarkEnd w:id="254"/>
      <w:bookmarkEnd w:id="255"/>
      <w:bookmarkEnd w:id="256"/>
      <w:r w:rsidR="00A411EE" w:rsidRPr="00897F19">
        <w:rPr>
          <w:lang w:val="en-AU"/>
        </w:rPr>
        <w:t>2021</w:t>
      </w:r>
      <w:r w:rsidR="00B40A5F">
        <w:rPr>
          <w:lang w:val="en-AU"/>
        </w:rPr>
        <w:noBreakHyphen/>
      </w:r>
      <w:r w:rsidR="00A411EE" w:rsidRPr="00897F19">
        <w:rPr>
          <w:lang w:val="en-AU"/>
        </w:rPr>
        <w:t>22</w:t>
      </w:r>
      <w:r w:rsidR="00B40A5F">
        <w:rPr>
          <w:lang w:val="en-AU"/>
        </w:rPr>
        <w:t xml:space="preserve"> </w:t>
      </w:r>
    </w:p>
    <w:tbl>
      <w:tblPr>
        <w:tblW w:w="7662" w:type="dxa"/>
        <w:tblCellMar>
          <w:left w:w="0" w:type="dxa"/>
          <w:right w:w="0" w:type="dxa"/>
        </w:tblCellMar>
        <w:tblLook w:val="04A0" w:firstRow="1" w:lastRow="0" w:firstColumn="1" w:lastColumn="0" w:noHBand="0" w:noVBand="1"/>
      </w:tblPr>
      <w:tblGrid>
        <w:gridCol w:w="3137"/>
        <w:gridCol w:w="1087"/>
        <w:gridCol w:w="864"/>
        <w:gridCol w:w="875"/>
        <w:gridCol w:w="855"/>
        <w:gridCol w:w="844"/>
      </w:tblGrid>
      <w:tr w:rsidR="00FF507B" w:rsidRPr="00FF507B" w14:paraId="65E4CB23" w14:textId="77777777" w:rsidTr="005B1D23">
        <w:trPr>
          <w:trHeight w:val="470"/>
        </w:trPr>
        <w:tc>
          <w:tcPr>
            <w:tcW w:w="3121" w:type="dxa"/>
            <w:tcBorders>
              <w:top w:val="single" w:sz="4" w:space="0" w:color="auto"/>
              <w:left w:val="nil"/>
              <w:bottom w:val="single" w:sz="4" w:space="0" w:color="auto"/>
              <w:right w:val="nil"/>
            </w:tcBorders>
            <w:shd w:val="clear" w:color="auto" w:fill="auto"/>
            <w:noWrap/>
            <w:vAlign w:val="bottom"/>
            <w:hideMark/>
          </w:tcPr>
          <w:p w14:paraId="55B0897F" w14:textId="77777777" w:rsidR="00FF507B" w:rsidRPr="009843C3" w:rsidRDefault="00FF507B" w:rsidP="009843C3">
            <w:pPr>
              <w:spacing w:after="0" w:line="240" w:lineRule="auto"/>
              <w:jc w:val="left"/>
              <w:rPr>
                <w:rFonts w:ascii="Arial" w:hAnsi="Arial" w:cs="Arial"/>
                <w:sz w:val="16"/>
                <w:szCs w:val="16"/>
              </w:rPr>
            </w:pPr>
            <w:r w:rsidRPr="009843C3">
              <w:rPr>
                <w:rFonts w:ascii="Arial" w:hAnsi="Arial" w:cs="Arial"/>
                <w:sz w:val="16"/>
                <w:szCs w:val="16"/>
              </w:rPr>
              <w:t> </w:t>
            </w:r>
          </w:p>
        </w:tc>
        <w:tc>
          <w:tcPr>
            <w:tcW w:w="1071" w:type="dxa"/>
            <w:tcBorders>
              <w:top w:val="single" w:sz="4" w:space="0" w:color="auto"/>
              <w:left w:val="nil"/>
              <w:bottom w:val="single" w:sz="4" w:space="0" w:color="auto"/>
              <w:right w:val="nil"/>
            </w:tcBorders>
            <w:shd w:val="clear" w:color="auto" w:fill="auto"/>
            <w:vAlign w:val="bottom"/>
            <w:hideMark/>
          </w:tcPr>
          <w:p w14:paraId="125988AD" w14:textId="77777777" w:rsidR="00FF507B" w:rsidRDefault="00FF507B" w:rsidP="00316913">
            <w:pPr>
              <w:spacing w:after="0" w:line="240" w:lineRule="auto"/>
              <w:ind w:right="113"/>
              <w:jc w:val="right"/>
              <w:rPr>
                <w:rFonts w:ascii="Arial" w:hAnsi="Arial" w:cs="Arial"/>
                <w:sz w:val="16"/>
                <w:szCs w:val="16"/>
              </w:rPr>
            </w:pPr>
            <w:r w:rsidRPr="009843C3">
              <w:rPr>
                <w:rFonts w:ascii="Arial" w:hAnsi="Arial" w:cs="Arial"/>
                <w:sz w:val="16"/>
                <w:szCs w:val="16"/>
              </w:rPr>
              <w:t>2020-21</w:t>
            </w:r>
          </w:p>
          <w:p w14:paraId="53116BC5" w14:textId="4B5D1813" w:rsidR="00F351E9" w:rsidRDefault="00F351E9" w:rsidP="00316913">
            <w:pPr>
              <w:spacing w:after="0" w:line="240" w:lineRule="auto"/>
              <w:ind w:right="113"/>
              <w:jc w:val="right"/>
              <w:rPr>
                <w:rFonts w:ascii="Arial" w:hAnsi="Arial" w:cs="Arial"/>
                <w:sz w:val="16"/>
                <w:szCs w:val="16"/>
              </w:rPr>
            </w:pPr>
            <w:r w:rsidRPr="009843C3">
              <w:rPr>
                <w:rFonts w:ascii="Arial" w:hAnsi="Arial" w:cs="Arial"/>
                <w:sz w:val="16"/>
                <w:szCs w:val="16"/>
              </w:rPr>
              <w:t>Available</w:t>
            </w:r>
            <w:r w:rsidRPr="00F351E9">
              <w:rPr>
                <w:rFonts w:ascii="Arial" w:hAnsi="Arial" w:cs="Arial"/>
                <w:sz w:val="16"/>
                <w:szCs w:val="16"/>
                <w:vertAlign w:val="superscript"/>
              </w:rPr>
              <w:t>(a)</w:t>
            </w:r>
          </w:p>
          <w:p w14:paraId="7097A806" w14:textId="5F742630" w:rsidR="00F351E9" w:rsidRPr="009843C3" w:rsidRDefault="00F351E9" w:rsidP="00316913">
            <w:pPr>
              <w:spacing w:after="0" w:line="240" w:lineRule="auto"/>
              <w:ind w:right="113"/>
              <w:jc w:val="right"/>
              <w:rPr>
                <w:rFonts w:ascii="Arial" w:hAnsi="Arial" w:cs="Arial"/>
                <w:sz w:val="16"/>
                <w:szCs w:val="16"/>
              </w:rPr>
            </w:pPr>
            <w:r w:rsidRPr="009843C3">
              <w:rPr>
                <w:rFonts w:ascii="Arial" w:hAnsi="Arial" w:cs="Arial"/>
                <w:sz w:val="16"/>
                <w:szCs w:val="16"/>
              </w:rPr>
              <w:t>$'000</w:t>
            </w:r>
          </w:p>
        </w:tc>
        <w:tc>
          <w:tcPr>
            <w:tcW w:w="875" w:type="dxa"/>
            <w:tcBorders>
              <w:top w:val="single" w:sz="4" w:space="0" w:color="auto"/>
              <w:left w:val="nil"/>
              <w:bottom w:val="single" w:sz="4" w:space="0" w:color="auto"/>
              <w:right w:val="nil"/>
            </w:tcBorders>
            <w:shd w:val="clear" w:color="auto" w:fill="auto"/>
            <w:vAlign w:val="bottom"/>
            <w:hideMark/>
          </w:tcPr>
          <w:p w14:paraId="65DA18ED" w14:textId="77777777" w:rsidR="00FF507B" w:rsidRDefault="00FF507B" w:rsidP="00316913">
            <w:pPr>
              <w:spacing w:after="0" w:line="240" w:lineRule="auto"/>
              <w:ind w:right="113"/>
              <w:jc w:val="right"/>
              <w:rPr>
                <w:rFonts w:ascii="Arial" w:hAnsi="Arial" w:cs="Arial"/>
                <w:sz w:val="16"/>
                <w:szCs w:val="16"/>
              </w:rPr>
            </w:pPr>
            <w:r w:rsidRPr="009843C3">
              <w:rPr>
                <w:rFonts w:ascii="Arial" w:hAnsi="Arial" w:cs="Arial"/>
                <w:sz w:val="16"/>
                <w:szCs w:val="16"/>
              </w:rPr>
              <w:t>2021-22</w:t>
            </w:r>
          </w:p>
          <w:p w14:paraId="449492F8" w14:textId="1D2851E1" w:rsidR="00F351E9" w:rsidRDefault="00F351E9" w:rsidP="00316913">
            <w:pPr>
              <w:spacing w:after="0" w:line="240" w:lineRule="auto"/>
              <w:ind w:right="113"/>
              <w:jc w:val="right"/>
              <w:rPr>
                <w:rFonts w:ascii="Arial" w:hAnsi="Arial" w:cs="Arial"/>
                <w:sz w:val="16"/>
                <w:szCs w:val="16"/>
                <w:vertAlign w:val="superscript"/>
              </w:rPr>
            </w:pPr>
            <w:r w:rsidRPr="009843C3">
              <w:rPr>
                <w:rFonts w:ascii="Arial" w:hAnsi="Arial" w:cs="Arial"/>
                <w:sz w:val="16"/>
                <w:szCs w:val="16"/>
              </w:rPr>
              <w:t>Budget</w:t>
            </w:r>
            <w:r w:rsidRPr="00F351E9">
              <w:rPr>
                <w:rFonts w:ascii="Arial" w:hAnsi="Arial" w:cs="Arial"/>
                <w:sz w:val="16"/>
                <w:szCs w:val="16"/>
                <w:vertAlign w:val="superscript"/>
              </w:rPr>
              <w:t>(b)</w:t>
            </w:r>
          </w:p>
          <w:p w14:paraId="0515D4AF" w14:textId="6A66E3D8" w:rsidR="00F351E9" w:rsidRPr="009843C3" w:rsidRDefault="00F351E9" w:rsidP="00316913">
            <w:pPr>
              <w:spacing w:after="0" w:line="240" w:lineRule="auto"/>
              <w:ind w:right="113"/>
              <w:jc w:val="right"/>
              <w:rPr>
                <w:rFonts w:ascii="Arial" w:hAnsi="Arial" w:cs="Arial"/>
                <w:sz w:val="16"/>
                <w:szCs w:val="16"/>
              </w:rPr>
            </w:pPr>
            <w:r w:rsidRPr="009843C3">
              <w:rPr>
                <w:rFonts w:ascii="Arial" w:hAnsi="Arial" w:cs="Arial"/>
                <w:sz w:val="16"/>
                <w:szCs w:val="16"/>
              </w:rPr>
              <w:t>$'000</w:t>
            </w:r>
          </w:p>
        </w:tc>
        <w:tc>
          <w:tcPr>
            <w:tcW w:w="885" w:type="dxa"/>
            <w:tcBorders>
              <w:top w:val="single" w:sz="4" w:space="0" w:color="auto"/>
              <w:left w:val="nil"/>
              <w:bottom w:val="single" w:sz="4" w:space="0" w:color="auto"/>
              <w:right w:val="nil"/>
            </w:tcBorders>
            <w:shd w:val="clear" w:color="auto" w:fill="auto"/>
            <w:vAlign w:val="bottom"/>
            <w:hideMark/>
          </w:tcPr>
          <w:p w14:paraId="6E2746B3" w14:textId="77777777" w:rsidR="00FF507B" w:rsidRDefault="00FF507B" w:rsidP="00316913">
            <w:pPr>
              <w:spacing w:after="0" w:line="240" w:lineRule="auto"/>
              <w:ind w:right="113"/>
              <w:jc w:val="right"/>
              <w:rPr>
                <w:rFonts w:ascii="Arial" w:hAnsi="Arial" w:cs="Arial"/>
                <w:sz w:val="16"/>
                <w:szCs w:val="16"/>
              </w:rPr>
            </w:pPr>
            <w:r w:rsidRPr="009843C3">
              <w:rPr>
                <w:rFonts w:ascii="Arial" w:hAnsi="Arial" w:cs="Arial"/>
                <w:sz w:val="16"/>
                <w:szCs w:val="16"/>
              </w:rPr>
              <w:t>2021-22</w:t>
            </w:r>
          </w:p>
          <w:p w14:paraId="7A72DFF3" w14:textId="77777777" w:rsidR="00F351E9" w:rsidRDefault="00F351E9" w:rsidP="00316913">
            <w:pPr>
              <w:spacing w:after="0" w:line="240" w:lineRule="auto"/>
              <w:ind w:right="113"/>
              <w:jc w:val="right"/>
              <w:rPr>
                <w:rFonts w:ascii="Arial" w:hAnsi="Arial" w:cs="Arial"/>
                <w:sz w:val="16"/>
                <w:szCs w:val="16"/>
                <w:vertAlign w:val="superscript"/>
              </w:rPr>
            </w:pPr>
            <w:r w:rsidRPr="009843C3">
              <w:rPr>
                <w:rFonts w:ascii="Arial" w:hAnsi="Arial" w:cs="Arial"/>
                <w:sz w:val="16"/>
                <w:szCs w:val="16"/>
              </w:rPr>
              <w:t>Revised</w:t>
            </w:r>
            <w:r w:rsidRPr="00F351E9">
              <w:rPr>
                <w:rFonts w:ascii="Arial" w:hAnsi="Arial" w:cs="Arial"/>
                <w:sz w:val="16"/>
                <w:szCs w:val="16"/>
                <w:vertAlign w:val="superscript"/>
              </w:rPr>
              <w:t>(c)</w:t>
            </w:r>
          </w:p>
          <w:p w14:paraId="318D03A2" w14:textId="14FCF23B" w:rsidR="00F351E9" w:rsidRPr="009843C3" w:rsidRDefault="00932F90" w:rsidP="00316913">
            <w:pPr>
              <w:spacing w:after="0" w:line="240" w:lineRule="auto"/>
              <w:ind w:right="113"/>
              <w:jc w:val="right"/>
              <w:rPr>
                <w:rFonts w:ascii="Arial" w:hAnsi="Arial" w:cs="Arial"/>
                <w:sz w:val="16"/>
                <w:szCs w:val="16"/>
              </w:rPr>
            </w:pPr>
            <w:r>
              <w:rPr>
                <w:rFonts w:ascii="Arial" w:hAnsi="Arial" w:cs="Arial"/>
                <w:sz w:val="16"/>
                <w:szCs w:val="16"/>
              </w:rPr>
              <w:t>$'000</w:t>
            </w:r>
          </w:p>
        </w:tc>
        <w:tc>
          <w:tcPr>
            <w:tcW w:w="860" w:type="dxa"/>
            <w:tcBorders>
              <w:top w:val="single" w:sz="4" w:space="0" w:color="auto"/>
              <w:left w:val="nil"/>
              <w:bottom w:val="single" w:sz="4" w:space="0" w:color="auto"/>
              <w:right w:val="nil"/>
            </w:tcBorders>
            <w:shd w:val="clear" w:color="000000" w:fill="E6E6E6"/>
            <w:vAlign w:val="bottom"/>
            <w:hideMark/>
          </w:tcPr>
          <w:p w14:paraId="62799FE8" w14:textId="77777777" w:rsidR="00FF507B" w:rsidRDefault="00FF507B" w:rsidP="00316913">
            <w:pPr>
              <w:spacing w:after="0" w:line="240" w:lineRule="auto"/>
              <w:ind w:right="113"/>
              <w:jc w:val="right"/>
              <w:rPr>
                <w:rFonts w:ascii="Arial" w:hAnsi="Arial" w:cs="Arial"/>
                <w:sz w:val="16"/>
                <w:szCs w:val="16"/>
              </w:rPr>
            </w:pPr>
            <w:r w:rsidRPr="009843C3">
              <w:rPr>
                <w:rFonts w:ascii="Arial" w:hAnsi="Arial" w:cs="Arial"/>
                <w:sz w:val="16"/>
                <w:szCs w:val="16"/>
              </w:rPr>
              <w:t>Additional</w:t>
            </w:r>
          </w:p>
          <w:p w14:paraId="09D13153" w14:textId="7FDA6E67" w:rsidR="00F351E9" w:rsidRPr="009843C3" w:rsidRDefault="00F351E9" w:rsidP="00316913">
            <w:pPr>
              <w:spacing w:after="0" w:line="240" w:lineRule="auto"/>
              <w:ind w:right="113"/>
              <w:jc w:val="right"/>
              <w:rPr>
                <w:rFonts w:ascii="Arial" w:hAnsi="Arial" w:cs="Arial"/>
                <w:sz w:val="16"/>
                <w:szCs w:val="16"/>
              </w:rPr>
            </w:pPr>
            <w:r w:rsidRPr="009843C3">
              <w:rPr>
                <w:rFonts w:ascii="Arial" w:hAnsi="Arial" w:cs="Arial"/>
                <w:sz w:val="16"/>
                <w:szCs w:val="16"/>
              </w:rPr>
              <w:t>estimates $'000</w:t>
            </w:r>
          </w:p>
        </w:tc>
        <w:tc>
          <w:tcPr>
            <w:tcW w:w="850" w:type="dxa"/>
            <w:tcBorders>
              <w:top w:val="single" w:sz="4" w:space="0" w:color="auto"/>
              <w:left w:val="nil"/>
              <w:bottom w:val="single" w:sz="4" w:space="0" w:color="auto"/>
              <w:right w:val="nil"/>
            </w:tcBorders>
            <w:shd w:val="clear" w:color="000000" w:fill="E6E6E6"/>
            <w:vAlign w:val="bottom"/>
            <w:hideMark/>
          </w:tcPr>
          <w:p w14:paraId="15088D80" w14:textId="77777777" w:rsidR="00FF507B" w:rsidRDefault="00FF507B" w:rsidP="00316913">
            <w:pPr>
              <w:spacing w:after="0" w:line="240" w:lineRule="auto"/>
              <w:ind w:right="113"/>
              <w:jc w:val="right"/>
              <w:rPr>
                <w:rFonts w:ascii="Arial" w:hAnsi="Arial" w:cs="Arial"/>
                <w:sz w:val="16"/>
                <w:szCs w:val="16"/>
              </w:rPr>
            </w:pPr>
            <w:r w:rsidRPr="009843C3">
              <w:rPr>
                <w:rFonts w:ascii="Arial" w:hAnsi="Arial" w:cs="Arial"/>
                <w:sz w:val="16"/>
                <w:szCs w:val="16"/>
              </w:rPr>
              <w:t>Reduced</w:t>
            </w:r>
          </w:p>
          <w:p w14:paraId="395DFDF7" w14:textId="44E16163" w:rsidR="00F351E9" w:rsidRPr="009843C3" w:rsidRDefault="00F351E9" w:rsidP="00316913">
            <w:pPr>
              <w:spacing w:after="0" w:line="240" w:lineRule="auto"/>
              <w:ind w:right="113"/>
              <w:jc w:val="right"/>
              <w:rPr>
                <w:rFonts w:ascii="Arial" w:hAnsi="Arial" w:cs="Arial"/>
                <w:sz w:val="16"/>
                <w:szCs w:val="16"/>
              </w:rPr>
            </w:pPr>
            <w:r w:rsidRPr="009843C3">
              <w:rPr>
                <w:rFonts w:ascii="Arial" w:hAnsi="Arial" w:cs="Arial"/>
                <w:sz w:val="16"/>
                <w:szCs w:val="16"/>
              </w:rPr>
              <w:t>estimates $'000</w:t>
            </w:r>
          </w:p>
        </w:tc>
      </w:tr>
      <w:tr w:rsidR="00FF507B" w:rsidRPr="00FF507B" w14:paraId="03FA2E1B" w14:textId="77777777" w:rsidTr="006E40A8">
        <w:trPr>
          <w:trHeight w:val="204"/>
        </w:trPr>
        <w:tc>
          <w:tcPr>
            <w:tcW w:w="3121" w:type="dxa"/>
            <w:tcBorders>
              <w:top w:val="single" w:sz="4" w:space="0" w:color="auto"/>
              <w:left w:val="nil"/>
              <w:bottom w:val="nil"/>
              <w:right w:val="nil"/>
            </w:tcBorders>
            <w:shd w:val="clear" w:color="auto" w:fill="auto"/>
            <w:vAlign w:val="bottom"/>
            <w:hideMark/>
          </w:tcPr>
          <w:p w14:paraId="56BDB9A0" w14:textId="5D9082FF" w:rsidR="00FF507B" w:rsidRPr="00FF507B" w:rsidRDefault="00FF507B" w:rsidP="00922ECB">
            <w:pPr>
              <w:spacing w:after="0" w:line="240" w:lineRule="auto"/>
              <w:jc w:val="left"/>
              <w:rPr>
                <w:rFonts w:ascii="Arial" w:hAnsi="Arial" w:cs="Arial"/>
                <w:b/>
                <w:bCs/>
                <w:sz w:val="16"/>
                <w:szCs w:val="16"/>
              </w:rPr>
            </w:pPr>
            <w:r w:rsidRPr="00FF507B">
              <w:rPr>
                <w:rFonts w:ascii="Arial" w:hAnsi="Arial" w:cs="Arial"/>
                <w:b/>
                <w:bCs/>
                <w:sz w:val="16"/>
                <w:szCs w:val="16"/>
              </w:rPr>
              <w:t xml:space="preserve">Administered items </w:t>
            </w:r>
          </w:p>
        </w:tc>
        <w:tc>
          <w:tcPr>
            <w:tcW w:w="1071" w:type="dxa"/>
            <w:tcBorders>
              <w:top w:val="single" w:sz="4" w:space="0" w:color="auto"/>
              <w:left w:val="nil"/>
              <w:bottom w:val="nil"/>
              <w:right w:val="nil"/>
            </w:tcBorders>
            <w:shd w:val="clear" w:color="auto" w:fill="auto"/>
            <w:noWrap/>
            <w:vAlign w:val="bottom"/>
            <w:hideMark/>
          </w:tcPr>
          <w:p w14:paraId="4787116E" w14:textId="77777777" w:rsidR="00FF507B" w:rsidRPr="00FF507B" w:rsidRDefault="00FF507B" w:rsidP="00DA3E12">
            <w:pPr>
              <w:spacing w:after="0" w:line="240" w:lineRule="auto"/>
              <w:jc w:val="right"/>
              <w:rPr>
                <w:rFonts w:ascii="Arial" w:hAnsi="Arial" w:cs="Arial"/>
                <w:b/>
                <w:bCs/>
                <w:sz w:val="16"/>
                <w:szCs w:val="16"/>
              </w:rPr>
            </w:pPr>
          </w:p>
        </w:tc>
        <w:tc>
          <w:tcPr>
            <w:tcW w:w="0" w:type="auto"/>
            <w:tcBorders>
              <w:top w:val="single" w:sz="4" w:space="0" w:color="auto"/>
              <w:left w:val="nil"/>
              <w:bottom w:val="nil"/>
              <w:right w:val="nil"/>
            </w:tcBorders>
            <w:shd w:val="clear" w:color="auto" w:fill="auto"/>
            <w:noWrap/>
            <w:vAlign w:val="bottom"/>
            <w:hideMark/>
          </w:tcPr>
          <w:p w14:paraId="23B48ECA" w14:textId="77777777" w:rsidR="00FF507B" w:rsidRPr="00FF507B" w:rsidRDefault="00FF507B" w:rsidP="00DA3E12">
            <w:pPr>
              <w:spacing w:after="0" w:line="240" w:lineRule="auto"/>
              <w:jc w:val="right"/>
              <w:rPr>
                <w:rFonts w:ascii="Arial" w:hAnsi="Arial" w:cs="Arial"/>
                <w:sz w:val="16"/>
                <w:szCs w:val="16"/>
              </w:rPr>
            </w:pPr>
          </w:p>
        </w:tc>
        <w:tc>
          <w:tcPr>
            <w:tcW w:w="0" w:type="auto"/>
            <w:tcBorders>
              <w:top w:val="single" w:sz="4" w:space="0" w:color="auto"/>
              <w:left w:val="nil"/>
              <w:bottom w:val="nil"/>
              <w:right w:val="nil"/>
            </w:tcBorders>
            <w:shd w:val="clear" w:color="auto" w:fill="auto"/>
            <w:noWrap/>
            <w:vAlign w:val="bottom"/>
            <w:hideMark/>
          </w:tcPr>
          <w:p w14:paraId="60D6AF73" w14:textId="77777777" w:rsidR="00FF507B" w:rsidRPr="00FF507B" w:rsidRDefault="00FF507B" w:rsidP="00DA3E12">
            <w:pPr>
              <w:spacing w:after="0" w:line="240" w:lineRule="auto"/>
              <w:jc w:val="right"/>
              <w:rPr>
                <w:rFonts w:ascii="Arial" w:hAnsi="Arial" w:cs="Arial"/>
                <w:sz w:val="16"/>
                <w:szCs w:val="16"/>
              </w:rPr>
            </w:pPr>
          </w:p>
        </w:tc>
        <w:tc>
          <w:tcPr>
            <w:tcW w:w="0" w:type="auto"/>
            <w:tcBorders>
              <w:top w:val="single" w:sz="4" w:space="0" w:color="auto"/>
              <w:left w:val="nil"/>
              <w:bottom w:val="nil"/>
              <w:right w:val="nil"/>
            </w:tcBorders>
            <w:shd w:val="clear" w:color="000000" w:fill="E6E6E6"/>
            <w:noWrap/>
            <w:vAlign w:val="bottom"/>
            <w:hideMark/>
          </w:tcPr>
          <w:p w14:paraId="2715C757" w14:textId="08C7DFA0" w:rsidR="00FF507B" w:rsidRPr="00FF507B" w:rsidRDefault="00FF507B" w:rsidP="00DA3E12">
            <w:pPr>
              <w:spacing w:after="0" w:line="240" w:lineRule="auto"/>
              <w:jc w:val="right"/>
              <w:rPr>
                <w:rFonts w:ascii="Arial" w:hAnsi="Arial" w:cs="Arial"/>
                <w:sz w:val="16"/>
                <w:szCs w:val="16"/>
              </w:rPr>
            </w:pPr>
          </w:p>
        </w:tc>
        <w:tc>
          <w:tcPr>
            <w:tcW w:w="0" w:type="auto"/>
            <w:tcBorders>
              <w:top w:val="single" w:sz="4" w:space="0" w:color="auto"/>
              <w:left w:val="nil"/>
              <w:bottom w:val="nil"/>
              <w:right w:val="nil"/>
            </w:tcBorders>
            <w:shd w:val="clear" w:color="000000" w:fill="E6E6E6"/>
            <w:noWrap/>
            <w:vAlign w:val="bottom"/>
            <w:hideMark/>
          </w:tcPr>
          <w:p w14:paraId="098D120D" w14:textId="76DABF95" w:rsidR="00FF507B" w:rsidRPr="00FF507B" w:rsidRDefault="00FF507B" w:rsidP="00DA3E12">
            <w:pPr>
              <w:spacing w:after="0" w:line="240" w:lineRule="auto"/>
              <w:jc w:val="right"/>
              <w:rPr>
                <w:rFonts w:ascii="Arial" w:hAnsi="Arial" w:cs="Arial"/>
                <w:sz w:val="16"/>
                <w:szCs w:val="16"/>
              </w:rPr>
            </w:pPr>
          </w:p>
        </w:tc>
      </w:tr>
      <w:tr w:rsidR="00FF507B" w:rsidRPr="00FF507B" w14:paraId="711EF4BD" w14:textId="77777777" w:rsidTr="006E40A8">
        <w:trPr>
          <w:trHeight w:val="204"/>
        </w:trPr>
        <w:tc>
          <w:tcPr>
            <w:tcW w:w="3121" w:type="dxa"/>
            <w:tcBorders>
              <w:top w:val="nil"/>
              <w:left w:val="nil"/>
              <w:bottom w:val="nil"/>
              <w:right w:val="nil"/>
            </w:tcBorders>
            <w:shd w:val="clear" w:color="auto" w:fill="auto"/>
            <w:vAlign w:val="bottom"/>
            <w:hideMark/>
          </w:tcPr>
          <w:p w14:paraId="2FC769D2" w14:textId="77777777" w:rsidR="00FF507B" w:rsidRPr="00FF507B" w:rsidRDefault="00FF507B" w:rsidP="001670C2">
            <w:pPr>
              <w:spacing w:after="0" w:line="240" w:lineRule="auto"/>
              <w:rPr>
                <w:rFonts w:ascii="Arial" w:hAnsi="Arial" w:cs="Arial"/>
                <w:b/>
                <w:bCs/>
                <w:sz w:val="16"/>
                <w:szCs w:val="16"/>
              </w:rPr>
            </w:pPr>
            <w:r w:rsidRPr="00FF507B">
              <w:rPr>
                <w:rFonts w:ascii="Arial" w:hAnsi="Arial" w:cs="Arial"/>
                <w:b/>
                <w:bCs/>
                <w:sz w:val="16"/>
                <w:szCs w:val="16"/>
              </w:rPr>
              <w:t>Outcome 1</w:t>
            </w:r>
          </w:p>
        </w:tc>
        <w:tc>
          <w:tcPr>
            <w:tcW w:w="1071" w:type="dxa"/>
            <w:tcBorders>
              <w:top w:val="nil"/>
              <w:left w:val="nil"/>
              <w:bottom w:val="nil"/>
              <w:right w:val="nil"/>
            </w:tcBorders>
            <w:shd w:val="clear" w:color="auto" w:fill="auto"/>
            <w:noWrap/>
            <w:vAlign w:val="bottom"/>
            <w:hideMark/>
          </w:tcPr>
          <w:p w14:paraId="103376FB" w14:textId="77777777" w:rsidR="00FF507B" w:rsidRPr="00FF507B" w:rsidRDefault="00FF507B" w:rsidP="00DA3E12">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21683EEC" w14:textId="77777777" w:rsidR="00FF507B" w:rsidRPr="00FF507B" w:rsidRDefault="00FF507B" w:rsidP="00DA3E12">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37429F01" w14:textId="77777777" w:rsidR="00FF507B" w:rsidRPr="00FF507B" w:rsidRDefault="00FF507B" w:rsidP="00DA3E12">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11DAB6D8" w14:textId="40F4BBC1" w:rsidR="00FF507B" w:rsidRPr="00FF507B" w:rsidRDefault="00FF507B" w:rsidP="00DA3E12">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0EA528E8" w14:textId="07D3A213" w:rsidR="00FF507B" w:rsidRPr="00FF507B" w:rsidRDefault="00FF507B" w:rsidP="00DA3E12">
            <w:pPr>
              <w:spacing w:after="0" w:line="240" w:lineRule="auto"/>
              <w:jc w:val="right"/>
              <w:rPr>
                <w:rFonts w:ascii="Arial" w:hAnsi="Arial" w:cs="Arial"/>
                <w:sz w:val="16"/>
                <w:szCs w:val="16"/>
              </w:rPr>
            </w:pPr>
          </w:p>
        </w:tc>
      </w:tr>
      <w:tr w:rsidR="006E40A8" w:rsidRPr="00FF507B" w14:paraId="53CDFD87" w14:textId="77777777" w:rsidTr="006E40A8">
        <w:trPr>
          <w:trHeight w:val="204"/>
        </w:trPr>
        <w:tc>
          <w:tcPr>
            <w:tcW w:w="3121" w:type="dxa"/>
            <w:tcBorders>
              <w:top w:val="nil"/>
              <w:left w:val="nil"/>
              <w:bottom w:val="nil"/>
              <w:right w:val="nil"/>
            </w:tcBorders>
            <w:shd w:val="clear" w:color="auto" w:fill="auto"/>
            <w:vAlign w:val="bottom"/>
            <w:hideMark/>
          </w:tcPr>
          <w:p w14:paraId="4B9FFA29" w14:textId="77777777" w:rsidR="006E40A8" w:rsidRPr="00FF507B" w:rsidRDefault="006E40A8" w:rsidP="006E40A8">
            <w:pPr>
              <w:spacing w:after="0" w:line="240" w:lineRule="auto"/>
              <w:ind w:left="113"/>
              <w:jc w:val="left"/>
              <w:rPr>
                <w:rFonts w:ascii="Arial" w:hAnsi="Arial" w:cs="Arial"/>
                <w:sz w:val="16"/>
                <w:szCs w:val="16"/>
              </w:rPr>
            </w:pPr>
            <w:r w:rsidRPr="00FF507B">
              <w:rPr>
                <w:rFonts w:ascii="Arial" w:hAnsi="Arial" w:cs="Arial"/>
                <w:sz w:val="16"/>
                <w:szCs w:val="16"/>
              </w:rPr>
              <w:t>Improved infrastructure across Australia through investment in and coordination of transport and other infrastructure</w:t>
            </w:r>
          </w:p>
        </w:tc>
        <w:tc>
          <w:tcPr>
            <w:tcW w:w="1071" w:type="dxa"/>
            <w:tcBorders>
              <w:top w:val="nil"/>
              <w:left w:val="nil"/>
              <w:bottom w:val="nil"/>
              <w:right w:val="nil"/>
            </w:tcBorders>
            <w:shd w:val="clear" w:color="auto" w:fill="auto"/>
            <w:noWrap/>
            <w:vAlign w:val="bottom"/>
            <w:hideMark/>
          </w:tcPr>
          <w:p w14:paraId="534CC857" w14:textId="323F5C88" w:rsidR="006E40A8" w:rsidRPr="00C77909"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299,900 </w:t>
            </w:r>
          </w:p>
        </w:tc>
        <w:tc>
          <w:tcPr>
            <w:tcW w:w="0" w:type="auto"/>
            <w:tcBorders>
              <w:top w:val="nil"/>
              <w:left w:val="nil"/>
              <w:bottom w:val="nil"/>
              <w:right w:val="nil"/>
            </w:tcBorders>
            <w:shd w:val="clear" w:color="auto" w:fill="auto"/>
            <w:noWrap/>
            <w:vAlign w:val="bottom"/>
            <w:hideMark/>
          </w:tcPr>
          <w:p w14:paraId="43AE9C74" w14:textId="40EF8C14"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346,788 </w:t>
            </w:r>
          </w:p>
        </w:tc>
        <w:tc>
          <w:tcPr>
            <w:tcW w:w="0" w:type="auto"/>
            <w:tcBorders>
              <w:top w:val="nil"/>
              <w:left w:val="nil"/>
              <w:bottom w:val="nil"/>
              <w:right w:val="nil"/>
            </w:tcBorders>
            <w:shd w:val="clear" w:color="auto" w:fill="auto"/>
            <w:noWrap/>
            <w:vAlign w:val="bottom"/>
            <w:hideMark/>
          </w:tcPr>
          <w:p w14:paraId="1CB4E8BB" w14:textId="166DC7FB"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346,767 </w:t>
            </w:r>
          </w:p>
        </w:tc>
        <w:tc>
          <w:tcPr>
            <w:tcW w:w="0" w:type="auto"/>
            <w:tcBorders>
              <w:top w:val="nil"/>
              <w:left w:val="nil"/>
              <w:bottom w:val="nil"/>
              <w:right w:val="nil"/>
            </w:tcBorders>
            <w:shd w:val="clear" w:color="000000" w:fill="E6E6E6"/>
            <w:noWrap/>
            <w:vAlign w:val="bottom"/>
            <w:hideMark/>
          </w:tcPr>
          <w:p w14:paraId="6351188F" w14:textId="171E6069"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c>
          <w:tcPr>
            <w:tcW w:w="0" w:type="auto"/>
            <w:tcBorders>
              <w:top w:val="nil"/>
              <w:left w:val="nil"/>
              <w:bottom w:val="nil"/>
              <w:right w:val="nil"/>
            </w:tcBorders>
            <w:shd w:val="clear" w:color="000000" w:fill="E6E6E6"/>
            <w:noWrap/>
            <w:vAlign w:val="bottom"/>
            <w:hideMark/>
          </w:tcPr>
          <w:p w14:paraId="392822DB" w14:textId="6477ECB8"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21 </w:t>
            </w:r>
          </w:p>
        </w:tc>
      </w:tr>
      <w:tr w:rsidR="006E40A8" w:rsidRPr="00FF507B" w14:paraId="0D132BDA" w14:textId="77777777" w:rsidTr="006E40A8">
        <w:trPr>
          <w:trHeight w:val="204"/>
        </w:trPr>
        <w:tc>
          <w:tcPr>
            <w:tcW w:w="3121" w:type="dxa"/>
            <w:tcBorders>
              <w:top w:val="nil"/>
              <w:left w:val="nil"/>
              <w:bottom w:val="nil"/>
              <w:right w:val="nil"/>
            </w:tcBorders>
            <w:shd w:val="clear" w:color="auto" w:fill="auto"/>
            <w:vAlign w:val="bottom"/>
            <w:hideMark/>
          </w:tcPr>
          <w:p w14:paraId="2084194F" w14:textId="77777777" w:rsidR="006E40A8" w:rsidRPr="00FF507B" w:rsidRDefault="006E40A8" w:rsidP="006E40A8">
            <w:pPr>
              <w:spacing w:after="0" w:line="240" w:lineRule="auto"/>
              <w:jc w:val="left"/>
              <w:rPr>
                <w:rFonts w:ascii="Arial" w:hAnsi="Arial" w:cs="Arial"/>
                <w:b/>
                <w:bCs/>
                <w:sz w:val="16"/>
                <w:szCs w:val="16"/>
              </w:rPr>
            </w:pPr>
            <w:r w:rsidRPr="00FF507B">
              <w:rPr>
                <w:rFonts w:ascii="Arial" w:hAnsi="Arial" w:cs="Arial"/>
                <w:b/>
                <w:bCs/>
                <w:sz w:val="16"/>
                <w:szCs w:val="16"/>
              </w:rPr>
              <w:t>Outcome 2</w:t>
            </w:r>
          </w:p>
        </w:tc>
        <w:tc>
          <w:tcPr>
            <w:tcW w:w="1071" w:type="dxa"/>
            <w:tcBorders>
              <w:top w:val="nil"/>
              <w:left w:val="nil"/>
              <w:bottom w:val="nil"/>
              <w:right w:val="nil"/>
            </w:tcBorders>
            <w:shd w:val="clear" w:color="auto" w:fill="auto"/>
            <w:noWrap/>
            <w:vAlign w:val="bottom"/>
            <w:hideMark/>
          </w:tcPr>
          <w:p w14:paraId="06CBA972" w14:textId="77777777" w:rsidR="006E40A8" w:rsidRPr="00C77909"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4E30214D" w14:textId="77777777" w:rsidR="006E40A8" w:rsidRPr="00C77909" w:rsidRDefault="006E40A8" w:rsidP="006E40A8">
            <w:pPr>
              <w:spacing w:after="0" w:line="240" w:lineRule="auto"/>
              <w:ind w:right="78"/>
              <w:jc w:val="right"/>
              <w:rPr>
                <w:rFonts w:ascii="Arial" w:hAnsi="Arial" w:cs="Arial"/>
                <w:sz w:val="16"/>
                <w:szCs w:val="16"/>
                <w:highlight w:val="yellow"/>
              </w:rPr>
            </w:pPr>
          </w:p>
        </w:tc>
        <w:tc>
          <w:tcPr>
            <w:tcW w:w="0" w:type="auto"/>
            <w:tcBorders>
              <w:top w:val="nil"/>
              <w:left w:val="nil"/>
              <w:bottom w:val="nil"/>
              <w:right w:val="nil"/>
            </w:tcBorders>
            <w:shd w:val="clear" w:color="auto" w:fill="auto"/>
            <w:noWrap/>
            <w:vAlign w:val="bottom"/>
            <w:hideMark/>
          </w:tcPr>
          <w:p w14:paraId="277A6B3B" w14:textId="77777777" w:rsidR="006E40A8" w:rsidRPr="00C77909" w:rsidRDefault="006E40A8" w:rsidP="006E40A8">
            <w:pPr>
              <w:spacing w:after="0" w:line="240" w:lineRule="auto"/>
              <w:jc w:val="right"/>
              <w:rPr>
                <w:rFonts w:ascii="Arial" w:hAnsi="Arial" w:cs="Arial"/>
                <w:sz w:val="16"/>
                <w:szCs w:val="16"/>
                <w:highlight w:val="yellow"/>
              </w:rPr>
            </w:pPr>
          </w:p>
        </w:tc>
        <w:tc>
          <w:tcPr>
            <w:tcW w:w="0" w:type="auto"/>
            <w:tcBorders>
              <w:top w:val="nil"/>
              <w:left w:val="nil"/>
              <w:bottom w:val="nil"/>
              <w:right w:val="nil"/>
            </w:tcBorders>
            <w:shd w:val="clear" w:color="000000" w:fill="E6E6E6"/>
            <w:noWrap/>
            <w:vAlign w:val="bottom"/>
            <w:hideMark/>
          </w:tcPr>
          <w:p w14:paraId="1E706B43" w14:textId="7C2AE63D"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c>
          <w:tcPr>
            <w:tcW w:w="0" w:type="auto"/>
            <w:tcBorders>
              <w:top w:val="nil"/>
              <w:left w:val="nil"/>
              <w:bottom w:val="nil"/>
              <w:right w:val="nil"/>
            </w:tcBorders>
            <w:shd w:val="clear" w:color="000000" w:fill="E6E6E6"/>
            <w:noWrap/>
            <w:vAlign w:val="bottom"/>
            <w:hideMark/>
          </w:tcPr>
          <w:p w14:paraId="59CF9EFD" w14:textId="7CB5C5A7"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r>
      <w:tr w:rsidR="006E40A8" w:rsidRPr="00FF507B" w14:paraId="2C1BC401" w14:textId="77777777" w:rsidTr="006E40A8">
        <w:trPr>
          <w:trHeight w:val="204"/>
        </w:trPr>
        <w:tc>
          <w:tcPr>
            <w:tcW w:w="3121" w:type="dxa"/>
            <w:tcBorders>
              <w:top w:val="nil"/>
              <w:left w:val="nil"/>
              <w:bottom w:val="nil"/>
              <w:right w:val="nil"/>
            </w:tcBorders>
            <w:shd w:val="clear" w:color="auto" w:fill="auto"/>
            <w:vAlign w:val="bottom"/>
            <w:hideMark/>
          </w:tcPr>
          <w:p w14:paraId="3385F8CD" w14:textId="362F4A8F" w:rsidR="006E40A8" w:rsidRPr="00FF507B" w:rsidRDefault="006E40A8" w:rsidP="006E40A8">
            <w:pPr>
              <w:spacing w:after="0" w:line="240" w:lineRule="auto"/>
              <w:ind w:left="113"/>
              <w:jc w:val="left"/>
              <w:rPr>
                <w:rFonts w:ascii="Arial" w:hAnsi="Arial" w:cs="Arial"/>
                <w:sz w:val="16"/>
                <w:szCs w:val="16"/>
              </w:rPr>
            </w:pPr>
            <w:r w:rsidRPr="00FF507B">
              <w:rPr>
                <w:rFonts w:ascii="Arial" w:hAnsi="Arial" w:cs="Arial"/>
                <w:sz w:val="16"/>
                <w:szCs w:val="16"/>
              </w:rPr>
              <w:t>An efficient, sustainable, competitive, safe and secure transport system for all transport users through regulation, financial assistance and safety investigations</w:t>
            </w:r>
            <w:r w:rsidR="00005F50">
              <w:rPr>
                <w:rFonts w:ascii="Arial" w:hAnsi="Arial" w:cs="Arial"/>
                <w:sz w:val="16"/>
                <w:szCs w:val="16"/>
              </w:rPr>
              <w:t xml:space="preserve"> </w:t>
            </w:r>
            <w:r w:rsidR="00005F50" w:rsidRPr="00005F50">
              <w:rPr>
                <w:rFonts w:ascii="Arial" w:hAnsi="Arial" w:cs="Arial"/>
                <w:sz w:val="16"/>
                <w:szCs w:val="16"/>
                <w:vertAlign w:val="superscript"/>
              </w:rPr>
              <w:t>(d)</w:t>
            </w:r>
          </w:p>
        </w:tc>
        <w:tc>
          <w:tcPr>
            <w:tcW w:w="1071" w:type="dxa"/>
            <w:tcBorders>
              <w:top w:val="nil"/>
              <w:left w:val="nil"/>
              <w:bottom w:val="nil"/>
              <w:right w:val="nil"/>
            </w:tcBorders>
            <w:shd w:val="clear" w:color="auto" w:fill="auto"/>
            <w:noWrap/>
            <w:vAlign w:val="bottom"/>
            <w:hideMark/>
          </w:tcPr>
          <w:p w14:paraId="35A6A990" w14:textId="344A8059" w:rsidR="006E40A8" w:rsidRPr="00C77909"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1,149,821 </w:t>
            </w:r>
          </w:p>
        </w:tc>
        <w:tc>
          <w:tcPr>
            <w:tcW w:w="0" w:type="auto"/>
            <w:tcBorders>
              <w:top w:val="nil"/>
              <w:left w:val="nil"/>
              <w:bottom w:val="nil"/>
              <w:right w:val="nil"/>
            </w:tcBorders>
            <w:shd w:val="clear" w:color="auto" w:fill="auto"/>
            <w:noWrap/>
            <w:vAlign w:val="bottom"/>
            <w:hideMark/>
          </w:tcPr>
          <w:p w14:paraId="55C3D207" w14:textId="66C66D5E" w:rsidR="006E40A8" w:rsidRPr="00413361" w:rsidRDefault="006E40A8" w:rsidP="006E40A8">
            <w:pPr>
              <w:spacing w:after="0" w:line="240" w:lineRule="auto"/>
              <w:ind w:right="78"/>
              <w:jc w:val="right"/>
              <w:rPr>
                <w:rFonts w:ascii="Arial" w:hAnsi="Arial" w:cs="Arial"/>
                <w:sz w:val="16"/>
                <w:szCs w:val="16"/>
              </w:rPr>
            </w:pPr>
            <w:r w:rsidRPr="00413361">
              <w:rPr>
                <w:rFonts w:ascii="Arial" w:hAnsi="Arial" w:cs="Arial"/>
                <w:sz w:val="16"/>
                <w:szCs w:val="16"/>
              </w:rPr>
              <w:t xml:space="preserve">1,104,484 </w:t>
            </w:r>
          </w:p>
        </w:tc>
        <w:tc>
          <w:tcPr>
            <w:tcW w:w="0" w:type="auto"/>
            <w:tcBorders>
              <w:top w:val="nil"/>
              <w:left w:val="nil"/>
              <w:bottom w:val="nil"/>
              <w:right w:val="nil"/>
            </w:tcBorders>
            <w:shd w:val="clear" w:color="auto" w:fill="auto"/>
            <w:noWrap/>
            <w:vAlign w:val="bottom"/>
            <w:hideMark/>
          </w:tcPr>
          <w:p w14:paraId="545D32C7" w14:textId="7B3ACFB8" w:rsidR="006E40A8" w:rsidRPr="00413361" w:rsidRDefault="006E40A8" w:rsidP="006E40A8">
            <w:pPr>
              <w:spacing w:after="0" w:line="240" w:lineRule="auto"/>
              <w:ind w:right="78"/>
              <w:jc w:val="right"/>
              <w:rPr>
                <w:rFonts w:ascii="Arial" w:hAnsi="Arial" w:cs="Arial"/>
                <w:sz w:val="16"/>
                <w:szCs w:val="16"/>
              </w:rPr>
            </w:pPr>
            <w:r w:rsidRPr="00413361">
              <w:rPr>
                <w:rFonts w:ascii="Arial" w:hAnsi="Arial" w:cs="Arial"/>
                <w:sz w:val="16"/>
                <w:szCs w:val="16"/>
              </w:rPr>
              <w:t xml:space="preserve">1,790,006 </w:t>
            </w:r>
          </w:p>
        </w:tc>
        <w:tc>
          <w:tcPr>
            <w:tcW w:w="0" w:type="auto"/>
            <w:tcBorders>
              <w:top w:val="nil"/>
              <w:left w:val="nil"/>
              <w:bottom w:val="nil"/>
              <w:right w:val="nil"/>
            </w:tcBorders>
            <w:shd w:val="clear" w:color="000000" w:fill="E6E6E6"/>
            <w:noWrap/>
            <w:vAlign w:val="bottom"/>
            <w:hideMark/>
          </w:tcPr>
          <w:p w14:paraId="1671ED23" w14:textId="1B1C3201" w:rsidR="006E40A8" w:rsidRPr="006E40A8"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685,522 </w:t>
            </w:r>
          </w:p>
        </w:tc>
        <w:tc>
          <w:tcPr>
            <w:tcW w:w="0" w:type="auto"/>
            <w:tcBorders>
              <w:top w:val="nil"/>
              <w:left w:val="nil"/>
              <w:bottom w:val="nil"/>
              <w:right w:val="nil"/>
            </w:tcBorders>
            <w:shd w:val="clear" w:color="000000" w:fill="E6E6E6"/>
            <w:noWrap/>
            <w:vAlign w:val="bottom"/>
            <w:hideMark/>
          </w:tcPr>
          <w:p w14:paraId="2BA32052" w14:textId="402C347E"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r>
      <w:tr w:rsidR="006E40A8" w:rsidRPr="00FF507B" w14:paraId="1A64493B" w14:textId="77777777" w:rsidTr="006E40A8">
        <w:trPr>
          <w:trHeight w:val="204"/>
        </w:trPr>
        <w:tc>
          <w:tcPr>
            <w:tcW w:w="3121" w:type="dxa"/>
            <w:tcBorders>
              <w:top w:val="nil"/>
              <w:left w:val="nil"/>
              <w:bottom w:val="nil"/>
              <w:right w:val="nil"/>
            </w:tcBorders>
            <w:shd w:val="clear" w:color="auto" w:fill="auto"/>
            <w:vAlign w:val="bottom"/>
            <w:hideMark/>
          </w:tcPr>
          <w:p w14:paraId="403B2884" w14:textId="77777777" w:rsidR="006E40A8" w:rsidRPr="00FF507B" w:rsidRDefault="006E40A8" w:rsidP="006E40A8">
            <w:pPr>
              <w:spacing w:after="0" w:line="240" w:lineRule="auto"/>
              <w:jc w:val="left"/>
              <w:rPr>
                <w:rFonts w:ascii="Arial" w:hAnsi="Arial" w:cs="Arial"/>
                <w:b/>
                <w:bCs/>
                <w:sz w:val="16"/>
                <w:szCs w:val="16"/>
              </w:rPr>
            </w:pPr>
            <w:r w:rsidRPr="00FF507B">
              <w:rPr>
                <w:rFonts w:ascii="Arial" w:hAnsi="Arial" w:cs="Arial"/>
                <w:b/>
                <w:bCs/>
                <w:sz w:val="16"/>
                <w:szCs w:val="16"/>
              </w:rPr>
              <w:t>Outcome 3</w:t>
            </w:r>
          </w:p>
        </w:tc>
        <w:tc>
          <w:tcPr>
            <w:tcW w:w="1071" w:type="dxa"/>
            <w:tcBorders>
              <w:top w:val="nil"/>
              <w:left w:val="nil"/>
              <w:bottom w:val="nil"/>
              <w:right w:val="nil"/>
            </w:tcBorders>
            <w:shd w:val="clear" w:color="auto" w:fill="auto"/>
            <w:noWrap/>
            <w:vAlign w:val="bottom"/>
            <w:hideMark/>
          </w:tcPr>
          <w:p w14:paraId="388E14BD" w14:textId="77777777" w:rsidR="006E40A8" w:rsidRPr="00C77909"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3DBE66C2" w14:textId="77777777" w:rsidR="006E40A8" w:rsidRPr="00C77909" w:rsidRDefault="006E40A8" w:rsidP="006E40A8">
            <w:pPr>
              <w:spacing w:after="0" w:line="240" w:lineRule="auto"/>
              <w:ind w:right="78"/>
              <w:jc w:val="right"/>
              <w:rPr>
                <w:rFonts w:ascii="Arial" w:hAnsi="Arial" w:cs="Arial"/>
                <w:sz w:val="16"/>
                <w:szCs w:val="16"/>
                <w:highlight w:val="yellow"/>
              </w:rPr>
            </w:pPr>
          </w:p>
        </w:tc>
        <w:tc>
          <w:tcPr>
            <w:tcW w:w="0" w:type="auto"/>
            <w:tcBorders>
              <w:top w:val="nil"/>
              <w:left w:val="nil"/>
              <w:bottom w:val="nil"/>
              <w:right w:val="nil"/>
            </w:tcBorders>
            <w:shd w:val="clear" w:color="auto" w:fill="auto"/>
            <w:noWrap/>
            <w:vAlign w:val="bottom"/>
            <w:hideMark/>
          </w:tcPr>
          <w:p w14:paraId="4C7900FC" w14:textId="77777777" w:rsidR="006E40A8" w:rsidRPr="00C77909" w:rsidRDefault="006E40A8" w:rsidP="006E40A8">
            <w:pPr>
              <w:spacing w:after="0" w:line="240" w:lineRule="auto"/>
              <w:ind w:right="78"/>
              <w:jc w:val="right"/>
              <w:rPr>
                <w:rFonts w:ascii="Arial" w:hAnsi="Arial" w:cs="Arial"/>
                <w:sz w:val="16"/>
                <w:szCs w:val="16"/>
                <w:highlight w:val="yellow"/>
              </w:rPr>
            </w:pPr>
          </w:p>
        </w:tc>
        <w:tc>
          <w:tcPr>
            <w:tcW w:w="0" w:type="auto"/>
            <w:tcBorders>
              <w:top w:val="nil"/>
              <w:left w:val="nil"/>
              <w:bottom w:val="nil"/>
              <w:right w:val="nil"/>
            </w:tcBorders>
            <w:shd w:val="clear" w:color="000000" w:fill="E6E6E6"/>
            <w:noWrap/>
            <w:vAlign w:val="bottom"/>
            <w:hideMark/>
          </w:tcPr>
          <w:p w14:paraId="59279B96" w14:textId="7B470A0F"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c>
          <w:tcPr>
            <w:tcW w:w="0" w:type="auto"/>
            <w:tcBorders>
              <w:top w:val="nil"/>
              <w:left w:val="nil"/>
              <w:bottom w:val="nil"/>
              <w:right w:val="nil"/>
            </w:tcBorders>
            <w:shd w:val="clear" w:color="000000" w:fill="E6E6E6"/>
            <w:noWrap/>
            <w:vAlign w:val="bottom"/>
            <w:hideMark/>
          </w:tcPr>
          <w:p w14:paraId="5F88B3BD" w14:textId="65B41B1A"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r>
      <w:tr w:rsidR="006E40A8" w:rsidRPr="00FF507B" w14:paraId="37CECA9B" w14:textId="77777777" w:rsidTr="006E40A8">
        <w:trPr>
          <w:trHeight w:val="204"/>
        </w:trPr>
        <w:tc>
          <w:tcPr>
            <w:tcW w:w="3121" w:type="dxa"/>
            <w:tcBorders>
              <w:top w:val="nil"/>
              <w:left w:val="nil"/>
              <w:bottom w:val="nil"/>
              <w:right w:val="nil"/>
            </w:tcBorders>
            <w:shd w:val="clear" w:color="auto" w:fill="auto"/>
            <w:vAlign w:val="bottom"/>
            <w:hideMark/>
          </w:tcPr>
          <w:p w14:paraId="145A21AC" w14:textId="08C4D288" w:rsidR="006E40A8" w:rsidRPr="00FF507B" w:rsidRDefault="006E40A8" w:rsidP="006E40A8">
            <w:pPr>
              <w:spacing w:after="0" w:line="240" w:lineRule="auto"/>
              <w:ind w:left="113"/>
              <w:jc w:val="left"/>
              <w:rPr>
                <w:rFonts w:ascii="Arial" w:hAnsi="Arial" w:cs="Arial"/>
                <w:sz w:val="16"/>
                <w:szCs w:val="16"/>
              </w:rPr>
            </w:pPr>
            <w:r w:rsidRPr="009843C3">
              <w:rPr>
                <w:rFonts w:ascii="Arial" w:hAnsi="Arial" w:cs="Arial"/>
                <w:sz w:val="16"/>
                <w:szCs w:val="16"/>
              </w:rPr>
              <w:t>Strengthening the sustainability, capacity and diversity of Australia’s cities and regions including through facilitating local partnerships between all levels of government and local communities; through investment in water infrastructure and measures that stimulate economic growth; and providing grants and financial assistance</w:t>
            </w:r>
          </w:p>
        </w:tc>
        <w:tc>
          <w:tcPr>
            <w:tcW w:w="1071" w:type="dxa"/>
            <w:tcBorders>
              <w:top w:val="nil"/>
              <w:left w:val="nil"/>
              <w:bottom w:val="nil"/>
              <w:right w:val="nil"/>
            </w:tcBorders>
            <w:shd w:val="clear" w:color="auto" w:fill="auto"/>
            <w:noWrap/>
            <w:vAlign w:val="bottom"/>
            <w:hideMark/>
          </w:tcPr>
          <w:p w14:paraId="60CA70AA" w14:textId="69099CB3" w:rsidR="006E40A8" w:rsidRPr="00C77909"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655,608 </w:t>
            </w:r>
          </w:p>
        </w:tc>
        <w:tc>
          <w:tcPr>
            <w:tcW w:w="0" w:type="auto"/>
            <w:tcBorders>
              <w:top w:val="nil"/>
              <w:left w:val="nil"/>
              <w:bottom w:val="nil"/>
              <w:right w:val="nil"/>
            </w:tcBorders>
            <w:shd w:val="clear" w:color="auto" w:fill="auto"/>
            <w:noWrap/>
            <w:vAlign w:val="bottom"/>
            <w:hideMark/>
          </w:tcPr>
          <w:p w14:paraId="515117E7" w14:textId="5424284C"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637,924 </w:t>
            </w:r>
          </w:p>
        </w:tc>
        <w:tc>
          <w:tcPr>
            <w:tcW w:w="0" w:type="auto"/>
            <w:tcBorders>
              <w:top w:val="nil"/>
              <w:left w:val="nil"/>
              <w:bottom w:val="nil"/>
              <w:right w:val="nil"/>
            </w:tcBorders>
            <w:shd w:val="clear" w:color="auto" w:fill="auto"/>
            <w:noWrap/>
            <w:vAlign w:val="bottom"/>
            <w:hideMark/>
          </w:tcPr>
          <w:p w14:paraId="2F0ED335" w14:textId="283B838D"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640,924 </w:t>
            </w:r>
          </w:p>
        </w:tc>
        <w:tc>
          <w:tcPr>
            <w:tcW w:w="0" w:type="auto"/>
            <w:tcBorders>
              <w:top w:val="nil"/>
              <w:left w:val="nil"/>
              <w:bottom w:val="nil"/>
              <w:right w:val="nil"/>
            </w:tcBorders>
            <w:shd w:val="clear" w:color="000000" w:fill="E6E6E6"/>
            <w:noWrap/>
            <w:vAlign w:val="bottom"/>
            <w:hideMark/>
          </w:tcPr>
          <w:p w14:paraId="66C96D5F" w14:textId="430F1906"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3,000 </w:t>
            </w:r>
          </w:p>
        </w:tc>
        <w:tc>
          <w:tcPr>
            <w:tcW w:w="0" w:type="auto"/>
            <w:tcBorders>
              <w:top w:val="nil"/>
              <w:left w:val="nil"/>
              <w:bottom w:val="nil"/>
              <w:right w:val="nil"/>
            </w:tcBorders>
            <w:shd w:val="clear" w:color="000000" w:fill="E6E6E6"/>
            <w:noWrap/>
            <w:vAlign w:val="bottom"/>
            <w:hideMark/>
          </w:tcPr>
          <w:p w14:paraId="5875BC89" w14:textId="6A359102"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r>
      <w:tr w:rsidR="006E40A8" w:rsidRPr="00FF507B" w14:paraId="782CD850" w14:textId="77777777" w:rsidTr="006E40A8">
        <w:trPr>
          <w:trHeight w:val="204"/>
        </w:trPr>
        <w:tc>
          <w:tcPr>
            <w:tcW w:w="3121" w:type="dxa"/>
            <w:tcBorders>
              <w:top w:val="nil"/>
              <w:left w:val="nil"/>
              <w:bottom w:val="nil"/>
              <w:right w:val="nil"/>
            </w:tcBorders>
            <w:shd w:val="clear" w:color="auto" w:fill="auto"/>
            <w:vAlign w:val="bottom"/>
            <w:hideMark/>
          </w:tcPr>
          <w:p w14:paraId="133F794C" w14:textId="77777777" w:rsidR="006E40A8" w:rsidRPr="00FF507B" w:rsidRDefault="006E40A8" w:rsidP="006E40A8">
            <w:pPr>
              <w:spacing w:after="0" w:line="240" w:lineRule="auto"/>
              <w:jc w:val="left"/>
              <w:rPr>
                <w:rFonts w:ascii="Arial" w:hAnsi="Arial" w:cs="Arial"/>
                <w:b/>
                <w:bCs/>
                <w:sz w:val="16"/>
                <w:szCs w:val="16"/>
              </w:rPr>
            </w:pPr>
            <w:r w:rsidRPr="00FF507B">
              <w:rPr>
                <w:rFonts w:ascii="Arial" w:hAnsi="Arial" w:cs="Arial"/>
                <w:b/>
                <w:bCs/>
                <w:sz w:val="16"/>
                <w:szCs w:val="16"/>
              </w:rPr>
              <w:t>Outcome 4</w:t>
            </w:r>
          </w:p>
        </w:tc>
        <w:tc>
          <w:tcPr>
            <w:tcW w:w="1071" w:type="dxa"/>
            <w:tcBorders>
              <w:top w:val="nil"/>
              <w:left w:val="nil"/>
              <w:bottom w:val="nil"/>
              <w:right w:val="nil"/>
            </w:tcBorders>
            <w:shd w:val="clear" w:color="auto" w:fill="auto"/>
            <w:noWrap/>
            <w:vAlign w:val="bottom"/>
            <w:hideMark/>
          </w:tcPr>
          <w:p w14:paraId="051D1C0C" w14:textId="77777777" w:rsidR="006E40A8" w:rsidRPr="00C77909"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48C9BE1E" w14:textId="77777777" w:rsidR="006E40A8" w:rsidRPr="00C77909" w:rsidRDefault="006E40A8" w:rsidP="006E40A8">
            <w:pPr>
              <w:spacing w:after="0" w:line="240" w:lineRule="auto"/>
              <w:ind w:right="78"/>
              <w:jc w:val="right"/>
              <w:rPr>
                <w:rFonts w:ascii="Arial" w:hAnsi="Arial" w:cs="Arial"/>
                <w:sz w:val="16"/>
                <w:szCs w:val="16"/>
                <w:highlight w:val="yellow"/>
              </w:rPr>
            </w:pPr>
          </w:p>
        </w:tc>
        <w:tc>
          <w:tcPr>
            <w:tcW w:w="0" w:type="auto"/>
            <w:tcBorders>
              <w:top w:val="nil"/>
              <w:left w:val="nil"/>
              <w:bottom w:val="nil"/>
              <w:right w:val="nil"/>
            </w:tcBorders>
            <w:shd w:val="clear" w:color="auto" w:fill="auto"/>
            <w:noWrap/>
            <w:vAlign w:val="bottom"/>
            <w:hideMark/>
          </w:tcPr>
          <w:p w14:paraId="7E8F62DB" w14:textId="77777777" w:rsidR="006E40A8" w:rsidRPr="00C77909" w:rsidRDefault="006E40A8" w:rsidP="006E40A8">
            <w:pPr>
              <w:spacing w:after="0" w:line="240" w:lineRule="auto"/>
              <w:ind w:right="78"/>
              <w:jc w:val="right"/>
              <w:rPr>
                <w:rFonts w:ascii="Arial" w:hAnsi="Arial" w:cs="Arial"/>
                <w:sz w:val="16"/>
                <w:szCs w:val="16"/>
                <w:highlight w:val="yellow"/>
              </w:rPr>
            </w:pPr>
          </w:p>
        </w:tc>
        <w:tc>
          <w:tcPr>
            <w:tcW w:w="0" w:type="auto"/>
            <w:tcBorders>
              <w:top w:val="nil"/>
              <w:left w:val="nil"/>
              <w:bottom w:val="nil"/>
              <w:right w:val="nil"/>
            </w:tcBorders>
            <w:shd w:val="clear" w:color="000000" w:fill="E6E6E6"/>
            <w:noWrap/>
            <w:vAlign w:val="bottom"/>
            <w:hideMark/>
          </w:tcPr>
          <w:p w14:paraId="5DD06338" w14:textId="039D5CD9"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c>
          <w:tcPr>
            <w:tcW w:w="0" w:type="auto"/>
            <w:tcBorders>
              <w:top w:val="nil"/>
              <w:left w:val="nil"/>
              <w:bottom w:val="nil"/>
              <w:right w:val="nil"/>
            </w:tcBorders>
            <w:shd w:val="clear" w:color="000000" w:fill="E6E6E6"/>
            <w:noWrap/>
            <w:vAlign w:val="bottom"/>
            <w:hideMark/>
          </w:tcPr>
          <w:p w14:paraId="1E7B3855" w14:textId="5A0428B6"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r>
      <w:tr w:rsidR="006E40A8" w:rsidRPr="00FF507B" w14:paraId="0B058CB7" w14:textId="77777777" w:rsidTr="006E40A8">
        <w:trPr>
          <w:trHeight w:val="204"/>
        </w:trPr>
        <w:tc>
          <w:tcPr>
            <w:tcW w:w="3121" w:type="dxa"/>
            <w:tcBorders>
              <w:top w:val="nil"/>
              <w:left w:val="nil"/>
              <w:bottom w:val="nil"/>
              <w:right w:val="nil"/>
            </w:tcBorders>
            <w:shd w:val="clear" w:color="auto" w:fill="auto"/>
            <w:vAlign w:val="bottom"/>
            <w:hideMark/>
          </w:tcPr>
          <w:p w14:paraId="6B73612F" w14:textId="4D59E871" w:rsidR="006E40A8" w:rsidRPr="00FF507B" w:rsidRDefault="006E40A8" w:rsidP="006E40A8">
            <w:pPr>
              <w:spacing w:after="0" w:line="240" w:lineRule="auto"/>
              <w:ind w:left="113"/>
              <w:jc w:val="left"/>
              <w:rPr>
                <w:rFonts w:ascii="Arial" w:hAnsi="Arial" w:cs="Arial"/>
                <w:sz w:val="16"/>
                <w:szCs w:val="16"/>
              </w:rPr>
            </w:pPr>
            <w:r w:rsidRPr="009843C3">
              <w:rPr>
                <w:rFonts w:ascii="Arial" w:hAnsi="Arial" w:cs="Arial"/>
                <w:sz w:val="16"/>
                <w:szCs w:val="16"/>
              </w:rPr>
              <w:t>Good governance and service delivery in the Australian territories including through the maintenance and improvement of the laws and services for non-self-governing territories, and the overarching legislative framework for self-governing territories</w:t>
            </w:r>
          </w:p>
        </w:tc>
        <w:tc>
          <w:tcPr>
            <w:tcW w:w="1071" w:type="dxa"/>
            <w:tcBorders>
              <w:top w:val="nil"/>
              <w:left w:val="nil"/>
              <w:bottom w:val="nil"/>
              <w:right w:val="nil"/>
            </w:tcBorders>
            <w:shd w:val="clear" w:color="auto" w:fill="auto"/>
            <w:noWrap/>
            <w:vAlign w:val="bottom"/>
            <w:hideMark/>
          </w:tcPr>
          <w:p w14:paraId="4464261C" w14:textId="07F5C7F8" w:rsidR="006E40A8" w:rsidRPr="00C77909"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239,638 </w:t>
            </w:r>
          </w:p>
        </w:tc>
        <w:tc>
          <w:tcPr>
            <w:tcW w:w="0" w:type="auto"/>
            <w:tcBorders>
              <w:top w:val="nil"/>
              <w:left w:val="nil"/>
              <w:bottom w:val="nil"/>
              <w:right w:val="nil"/>
            </w:tcBorders>
            <w:shd w:val="clear" w:color="auto" w:fill="auto"/>
            <w:noWrap/>
            <w:vAlign w:val="bottom"/>
            <w:hideMark/>
          </w:tcPr>
          <w:p w14:paraId="5116D883" w14:textId="0E1ACFEC"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191,854 </w:t>
            </w:r>
          </w:p>
        </w:tc>
        <w:tc>
          <w:tcPr>
            <w:tcW w:w="0" w:type="auto"/>
            <w:tcBorders>
              <w:top w:val="nil"/>
              <w:left w:val="nil"/>
              <w:bottom w:val="nil"/>
              <w:right w:val="nil"/>
            </w:tcBorders>
            <w:shd w:val="clear" w:color="auto" w:fill="auto"/>
            <w:noWrap/>
            <w:vAlign w:val="bottom"/>
            <w:hideMark/>
          </w:tcPr>
          <w:p w14:paraId="747CF958" w14:textId="707174F0"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233,625 </w:t>
            </w:r>
          </w:p>
        </w:tc>
        <w:tc>
          <w:tcPr>
            <w:tcW w:w="0" w:type="auto"/>
            <w:tcBorders>
              <w:top w:val="nil"/>
              <w:left w:val="nil"/>
              <w:bottom w:val="nil"/>
              <w:right w:val="nil"/>
            </w:tcBorders>
            <w:shd w:val="clear" w:color="000000" w:fill="E6E6E6"/>
            <w:noWrap/>
            <w:vAlign w:val="bottom"/>
            <w:hideMark/>
          </w:tcPr>
          <w:p w14:paraId="7976AA6A" w14:textId="553F7FFE"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41,771 </w:t>
            </w:r>
          </w:p>
        </w:tc>
        <w:tc>
          <w:tcPr>
            <w:tcW w:w="0" w:type="auto"/>
            <w:tcBorders>
              <w:top w:val="nil"/>
              <w:left w:val="nil"/>
              <w:bottom w:val="nil"/>
              <w:right w:val="nil"/>
            </w:tcBorders>
            <w:shd w:val="clear" w:color="000000" w:fill="E6E6E6"/>
            <w:noWrap/>
            <w:vAlign w:val="bottom"/>
            <w:hideMark/>
          </w:tcPr>
          <w:p w14:paraId="587491AD" w14:textId="1CE9B7B3"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r>
      <w:tr w:rsidR="006E40A8" w:rsidRPr="00FF507B" w14:paraId="6D2A6E87" w14:textId="77777777" w:rsidTr="006E40A8">
        <w:trPr>
          <w:trHeight w:val="204"/>
        </w:trPr>
        <w:tc>
          <w:tcPr>
            <w:tcW w:w="3121" w:type="dxa"/>
            <w:tcBorders>
              <w:top w:val="nil"/>
              <w:left w:val="nil"/>
              <w:bottom w:val="nil"/>
              <w:right w:val="nil"/>
            </w:tcBorders>
            <w:shd w:val="clear" w:color="auto" w:fill="auto"/>
            <w:vAlign w:val="bottom"/>
            <w:hideMark/>
          </w:tcPr>
          <w:p w14:paraId="6EF40D69" w14:textId="77777777" w:rsidR="006E40A8" w:rsidRPr="00FF507B" w:rsidRDefault="006E40A8" w:rsidP="006E40A8">
            <w:pPr>
              <w:spacing w:after="0" w:line="240" w:lineRule="auto"/>
              <w:jc w:val="left"/>
              <w:rPr>
                <w:rFonts w:ascii="Arial" w:hAnsi="Arial" w:cs="Arial"/>
                <w:b/>
                <w:bCs/>
                <w:sz w:val="16"/>
                <w:szCs w:val="16"/>
              </w:rPr>
            </w:pPr>
            <w:r w:rsidRPr="00FF507B">
              <w:rPr>
                <w:rFonts w:ascii="Arial" w:hAnsi="Arial" w:cs="Arial"/>
                <w:b/>
                <w:bCs/>
                <w:sz w:val="16"/>
                <w:szCs w:val="16"/>
              </w:rPr>
              <w:t>Outcome 5</w:t>
            </w:r>
          </w:p>
        </w:tc>
        <w:tc>
          <w:tcPr>
            <w:tcW w:w="1071" w:type="dxa"/>
            <w:tcBorders>
              <w:top w:val="nil"/>
              <w:left w:val="nil"/>
              <w:bottom w:val="nil"/>
              <w:right w:val="nil"/>
            </w:tcBorders>
            <w:shd w:val="clear" w:color="auto" w:fill="auto"/>
            <w:noWrap/>
            <w:vAlign w:val="bottom"/>
            <w:hideMark/>
          </w:tcPr>
          <w:p w14:paraId="23B3798B" w14:textId="77777777" w:rsidR="006E40A8" w:rsidRPr="00C77909"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374AA1D6" w14:textId="77777777" w:rsidR="006E40A8" w:rsidRPr="00C77909" w:rsidRDefault="006E40A8" w:rsidP="006E40A8">
            <w:pPr>
              <w:spacing w:after="0" w:line="240" w:lineRule="auto"/>
              <w:ind w:right="78"/>
              <w:jc w:val="right"/>
              <w:rPr>
                <w:rFonts w:ascii="Arial" w:hAnsi="Arial" w:cs="Arial"/>
                <w:sz w:val="16"/>
                <w:szCs w:val="16"/>
                <w:highlight w:val="yellow"/>
              </w:rPr>
            </w:pPr>
          </w:p>
        </w:tc>
        <w:tc>
          <w:tcPr>
            <w:tcW w:w="0" w:type="auto"/>
            <w:tcBorders>
              <w:top w:val="nil"/>
              <w:left w:val="nil"/>
              <w:bottom w:val="nil"/>
              <w:right w:val="nil"/>
            </w:tcBorders>
            <w:shd w:val="clear" w:color="auto" w:fill="auto"/>
            <w:noWrap/>
            <w:vAlign w:val="bottom"/>
            <w:hideMark/>
          </w:tcPr>
          <w:p w14:paraId="452F6E80" w14:textId="77777777" w:rsidR="006E40A8" w:rsidRPr="00C77909" w:rsidRDefault="006E40A8" w:rsidP="006E40A8">
            <w:pPr>
              <w:spacing w:after="0" w:line="240" w:lineRule="auto"/>
              <w:ind w:right="78"/>
              <w:jc w:val="right"/>
              <w:rPr>
                <w:rFonts w:ascii="Arial" w:hAnsi="Arial" w:cs="Arial"/>
                <w:sz w:val="16"/>
                <w:szCs w:val="16"/>
                <w:highlight w:val="yellow"/>
              </w:rPr>
            </w:pPr>
          </w:p>
        </w:tc>
        <w:tc>
          <w:tcPr>
            <w:tcW w:w="0" w:type="auto"/>
            <w:tcBorders>
              <w:top w:val="nil"/>
              <w:left w:val="nil"/>
              <w:bottom w:val="nil"/>
              <w:right w:val="nil"/>
            </w:tcBorders>
            <w:shd w:val="clear" w:color="000000" w:fill="E6E6E6"/>
            <w:noWrap/>
            <w:vAlign w:val="bottom"/>
            <w:hideMark/>
          </w:tcPr>
          <w:p w14:paraId="47AF0395" w14:textId="2171159A"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c>
          <w:tcPr>
            <w:tcW w:w="0" w:type="auto"/>
            <w:tcBorders>
              <w:top w:val="nil"/>
              <w:left w:val="nil"/>
              <w:bottom w:val="nil"/>
              <w:right w:val="nil"/>
            </w:tcBorders>
            <w:shd w:val="clear" w:color="000000" w:fill="E6E6E6"/>
            <w:noWrap/>
            <w:vAlign w:val="bottom"/>
            <w:hideMark/>
          </w:tcPr>
          <w:p w14:paraId="2029583A" w14:textId="31E21289"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r>
      <w:tr w:rsidR="006E40A8" w:rsidRPr="00FF507B" w14:paraId="7756A68B" w14:textId="77777777" w:rsidTr="006E40A8">
        <w:trPr>
          <w:trHeight w:val="204"/>
        </w:trPr>
        <w:tc>
          <w:tcPr>
            <w:tcW w:w="3121" w:type="dxa"/>
            <w:tcBorders>
              <w:top w:val="nil"/>
              <w:left w:val="nil"/>
              <w:bottom w:val="nil"/>
              <w:right w:val="nil"/>
            </w:tcBorders>
            <w:shd w:val="clear" w:color="auto" w:fill="auto"/>
            <w:vAlign w:val="bottom"/>
            <w:hideMark/>
          </w:tcPr>
          <w:p w14:paraId="0FDF197F" w14:textId="77777777" w:rsidR="006E40A8" w:rsidRPr="00FF507B" w:rsidRDefault="006E40A8" w:rsidP="006E40A8">
            <w:pPr>
              <w:spacing w:after="0" w:line="240" w:lineRule="auto"/>
              <w:ind w:left="113"/>
              <w:jc w:val="left"/>
              <w:rPr>
                <w:rFonts w:ascii="Arial" w:hAnsi="Arial" w:cs="Arial"/>
                <w:sz w:val="16"/>
                <w:szCs w:val="16"/>
              </w:rPr>
            </w:pPr>
            <w:r w:rsidRPr="00FF507B">
              <w:rPr>
                <w:rFonts w:ascii="Arial" w:hAnsi="Arial" w:cs="Arial"/>
                <w:sz w:val="16"/>
                <w:szCs w:val="16"/>
              </w:rPr>
              <w:t>Promote an innovative and competitive communications sector, through policy development, advice and program delivery, so all Australians can realise the full potential of digital technologies and communications services</w:t>
            </w:r>
          </w:p>
        </w:tc>
        <w:tc>
          <w:tcPr>
            <w:tcW w:w="1071" w:type="dxa"/>
            <w:tcBorders>
              <w:top w:val="nil"/>
              <w:left w:val="nil"/>
              <w:bottom w:val="nil"/>
              <w:right w:val="nil"/>
            </w:tcBorders>
            <w:shd w:val="clear" w:color="auto" w:fill="auto"/>
            <w:noWrap/>
            <w:vAlign w:val="bottom"/>
            <w:hideMark/>
          </w:tcPr>
          <w:p w14:paraId="7CE1D8B4" w14:textId="6707D8C9" w:rsidR="006E40A8" w:rsidRPr="00C77909"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294,817 </w:t>
            </w:r>
          </w:p>
        </w:tc>
        <w:tc>
          <w:tcPr>
            <w:tcW w:w="0" w:type="auto"/>
            <w:tcBorders>
              <w:top w:val="nil"/>
              <w:left w:val="nil"/>
              <w:bottom w:val="nil"/>
              <w:right w:val="nil"/>
            </w:tcBorders>
            <w:shd w:val="clear" w:color="auto" w:fill="auto"/>
            <w:noWrap/>
            <w:vAlign w:val="bottom"/>
            <w:hideMark/>
          </w:tcPr>
          <w:p w14:paraId="7F435ABC" w14:textId="368D27CE"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309,369 </w:t>
            </w:r>
          </w:p>
        </w:tc>
        <w:tc>
          <w:tcPr>
            <w:tcW w:w="0" w:type="auto"/>
            <w:tcBorders>
              <w:top w:val="nil"/>
              <w:left w:val="nil"/>
              <w:bottom w:val="nil"/>
              <w:right w:val="nil"/>
            </w:tcBorders>
            <w:shd w:val="clear" w:color="auto" w:fill="auto"/>
            <w:noWrap/>
            <w:vAlign w:val="bottom"/>
            <w:hideMark/>
          </w:tcPr>
          <w:p w14:paraId="55FCED7C" w14:textId="18D7EDF7"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314,243 </w:t>
            </w:r>
          </w:p>
        </w:tc>
        <w:tc>
          <w:tcPr>
            <w:tcW w:w="0" w:type="auto"/>
            <w:tcBorders>
              <w:top w:val="nil"/>
              <w:left w:val="nil"/>
              <w:bottom w:val="nil"/>
              <w:right w:val="nil"/>
            </w:tcBorders>
            <w:shd w:val="clear" w:color="000000" w:fill="E6E6E6"/>
            <w:noWrap/>
            <w:vAlign w:val="bottom"/>
            <w:hideMark/>
          </w:tcPr>
          <w:p w14:paraId="632F8C61" w14:textId="1D7C9FA9"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5,000 </w:t>
            </w:r>
          </w:p>
        </w:tc>
        <w:tc>
          <w:tcPr>
            <w:tcW w:w="0" w:type="auto"/>
            <w:tcBorders>
              <w:top w:val="nil"/>
              <w:left w:val="nil"/>
              <w:bottom w:val="nil"/>
              <w:right w:val="nil"/>
            </w:tcBorders>
            <w:shd w:val="clear" w:color="000000" w:fill="E6E6E6"/>
            <w:noWrap/>
            <w:vAlign w:val="bottom"/>
            <w:hideMark/>
          </w:tcPr>
          <w:p w14:paraId="32295961" w14:textId="660462D8"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126 </w:t>
            </w:r>
          </w:p>
        </w:tc>
      </w:tr>
      <w:tr w:rsidR="006E40A8" w:rsidRPr="00FF507B" w14:paraId="0F200373" w14:textId="77777777" w:rsidTr="006E40A8">
        <w:trPr>
          <w:trHeight w:val="204"/>
        </w:trPr>
        <w:tc>
          <w:tcPr>
            <w:tcW w:w="3121" w:type="dxa"/>
            <w:tcBorders>
              <w:top w:val="nil"/>
              <w:left w:val="nil"/>
              <w:bottom w:val="nil"/>
              <w:right w:val="nil"/>
            </w:tcBorders>
            <w:shd w:val="clear" w:color="auto" w:fill="auto"/>
            <w:vAlign w:val="bottom"/>
            <w:hideMark/>
          </w:tcPr>
          <w:p w14:paraId="52400733" w14:textId="77777777" w:rsidR="006E40A8" w:rsidRPr="00FF507B" w:rsidRDefault="006E40A8" w:rsidP="006E40A8">
            <w:pPr>
              <w:spacing w:after="0" w:line="240" w:lineRule="auto"/>
              <w:jc w:val="left"/>
              <w:rPr>
                <w:rFonts w:ascii="Arial" w:hAnsi="Arial" w:cs="Arial"/>
                <w:b/>
                <w:bCs/>
                <w:sz w:val="16"/>
                <w:szCs w:val="16"/>
              </w:rPr>
            </w:pPr>
            <w:r w:rsidRPr="00FF507B">
              <w:rPr>
                <w:rFonts w:ascii="Arial" w:hAnsi="Arial" w:cs="Arial"/>
                <w:b/>
                <w:bCs/>
                <w:sz w:val="16"/>
                <w:szCs w:val="16"/>
              </w:rPr>
              <w:t>Outcome 6</w:t>
            </w:r>
          </w:p>
        </w:tc>
        <w:tc>
          <w:tcPr>
            <w:tcW w:w="1071" w:type="dxa"/>
            <w:tcBorders>
              <w:top w:val="nil"/>
              <w:left w:val="nil"/>
              <w:bottom w:val="nil"/>
              <w:right w:val="nil"/>
            </w:tcBorders>
            <w:shd w:val="clear" w:color="auto" w:fill="auto"/>
            <w:noWrap/>
            <w:vAlign w:val="bottom"/>
            <w:hideMark/>
          </w:tcPr>
          <w:p w14:paraId="7D610E29" w14:textId="77777777" w:rsidR="006E40A8" w:rsidRPr="00C77909"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0F69248C" w14:textId="77777777" w:rsidR="006E40A8" w:rsidRPr="00C77909" w:rsidRDefault="006E40A8" w:rsidP="006E40A8">
            <w:pPr>
              <w:spacing w:after="0" w:line="240" w:lineRule="auto"/>
              <w:ind w:right="78"/>
              <w:jc w:val="right"/>
              <w:rPr>
                <w:rFonts w:ascii="Arial" w:hAnsi="Arial" w:cs="Arial"/>
                <w:sz w:val="16"/>
                <w:szCs w:val="16"/>
                <w:highlight w:val="yellow"/>
              </w:rPr>
            </w:pPr>
          </w:p>
        </w:tc>
        <w:tc>
          <w:tcPr>
            <w:tcW w:w="0" w:type="auto"/>
            <w:tcBorders>
              <w:top w:val="nil"/>
              <w:left w:val="nil"/>
              <w:bottom w:val="nil"/>
              <w:right w:val="nil"/>
            </w:tcBorders>
            <w:shd w:val="clear" w:color="auto" w:fill="auto"/>
            <w:noWrap/>
            <w:vAlign w:val="bottom"/>
            <w:hideMark/>
          </w:tcPr>
          <w:p w14:paraId="4FABC6D5" w14:textId="77777777" w:rsidR="006E40A8" w:rsidRPr="00C77909" w:rsidRDefault="006E40A8" w:rsidP="006E40A8">
            <w:pPr>
              <w:spacing w:after="0" w:line="240" w:lineRule="auto"/>
              <w:ind w:right="78"/>
              <w:jc w:val="right"/>
              <w:rPr>
                <w:rFonts w:ascii="Arial" w:hAnsi="Arial" w:cs="Arial"/>
                <w:sz w:val="16"/>
                <w:szCs w:val="16"/>
                <w:highlight w:val="yellow"/>
              </w:rPr>
            </w:pPr>
          </w:p>
        </w:tc>
        <w:tc>
          <w:tcPr>
            <w:tcW w:w="0" w:type="auto"/>
            <w:tcBorders>
              <w:top w:val="nil"/>
              <w:left w:val="nil"/>
              <w:bottom w:val="nil"/>
              <w:right w:val="nil"/>
            </w:tcBorders>
            <w:shd w:val="clear" w:color="000000" w:fill="E6E6E6"/>
            <w:noWrap/>
            <w:vAlign w:val="bottom"/>
            <w:hideMark/>
          </w:tcPr>
          <w:p w14:paraId="0BF7A728" w14:textId="2A1E9322"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c>
          <w:tcPr>
            <w:tcW w:w="0" w:type="auto"/>
            <w:tcBorders>
              <w:top w:val="nil"/>
              <w:left w:val="nil"/>
              <w:bottom w:val="nil"/>
              <w:right w:val="nil"/>
            </w:tcBorders>
            <w:shd w:val="clear" w:color="000000" w:fill="E6E6E6"/>
            <w:noWrap/>
            <w:vAlign w:val="bottom"/>
            <w:hideMark/>
          </w:tcPr>
          <w:p w14:paraId="36D471D7" w14:textId="68F1424B"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r>
      <w:tr w:rsidR="006E40A8" w:rsidRPr="00FF507B" w14:paraId="20A95E5A" w14:textId="77777777" w:rsidTr="006E40A8">
        <w:trPr>
          <w:trHeight w:val="204"/>
        </w:trPr>
        <w:tc>
          <w:tcPr>
            <w:tcW w:w="3121" w:type="dxa"/>
            <w:tcBorders>
              <w:top w:val="nil"/>
              <w:left w:val="nil"/>
              <w:right w:val="nil"/>
            </w:tcBorders>
            <w:shd w:val="clear" w:color="auto" w:fill="auto"/>
            <w:vAlign w:val="bottom"/>
            <w:hideMark/>
          </w:tcPr>
          <w:p w14:paraId="5A310B0C" w14:textId="77777777" w:rsidR="006E40A8" w:rsidRPr="00FF507B" w:rsidRDefault="006E40A8" w:rsidP="006E40A8">
            <w:pPr>
              <w:spacing w:after="0" w:line="240" w:lineRule="auto"/>
              <w:ind w:left="113"/>
              <w:jc w:val="left"/>
              <w:rPr>
                <w:rFonts w:ascii="Arial" w:hAnsi="Arial" w:cs="Arial"/>
                <w:sz w:val="16"/>
                <w:szCs w:val="16"/>
              </w:rPr>
            </w:pPr>
            <w:r w:rsidRPr="00FF507B">
              <w:rPr>
                <w:rFonts w:ascii="Arial" w:hAnsi="Arial" w:cs="Arial"/>
                <w:sz w:val="16"/>
                <w:szCs w:val="16"/>
              </w:rPr>
              <w:t>Participation in, and access to, Australia's arts and culture through developing and supporting cultural expression</w:t>
            </w:r>
          </w:p>
        </w:tc>
        <w:tc>
          <w:tcPr>
            <w:tcW w:w="1071" w:type="dxa"/>
            <w:tcBorders>
              <w:top w:val="nil"/>
              <w:left w:val="nil"/>
              <w:bottom w:val="nil"/>
              <w:right w:val="nil"/>
            </w:tcBorders>
            <w:shd w:val="clear" w:color="auto" w:fill="auto"/>
            <w:noWrap/>
            <w:vAlign w:val="bottom"/>
            <w:hideMark/>
          </w:tcPr>
          <w:p w14:paraId="2681B503" w14:textId="4BAB5943" w:rsidR="006E40A8" w:rsidRPr="00C77909"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427,380 </w:t>
            </w:r>
          </w:p>
        </w:tc>
        <w:tc>
          <w:tcPr>
            <w:tcW w:w="0" w:type="auto"/>
            <w:tcBorders>
              <w:top w:val="nil"/>
              <w:left w:val="nil"/>
              <w:bottom w:val="nil"/>
              <w:right w:val="nil"/>
            </w:tcBorders>
            <w:shd w:val="clear" w:color="auto" w:fill="auto"/>
            <w:noWrap/>
            <w:vAlign w:val="bottom"/>
            <w:hideMark/>
          </w:tcPr>
          <w:p w14:paraId="5909EBE9" w14:textId="29356E7D"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431,876 </w:t>
            </w:r>
          </w:p>
        </w:tc>
        <w:tc>
          <w:tcPr>
            <w:tcW w:w="0" w:type="auto"/>
            <w:tcBorders>
              <w:top w:val="nil"/>
              <w:left w:val="nil"/>
              <w:bottom w:val="nil"/>
              <w:right w:val="nil"/>
            </w:tcBorders>
            <w:shd w:val="clear" w:color="auto" w:fill="auto"/>
            <w:noWrap/>
            <w:vAlign w:val="bottom"/>
            <w:hideMark/>
          </w:tcPr>
          <w:p w14:paraId="6CAC2FD8" w14:textId="0258C4A3"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480,476 </w:t>
            </w:r>
          </w:p>
        </w:tc>
        <w:tc>
          <w:tcPr>
            <w:tcW w:w="0" w:type="auto"/>
            <w:tcBorders>
              <w:top w:val="nil"/>
              <w:left w:val="nil"/>
              <w:bottom w:val="nil"/>
              <w:right w:val="nil"/>
            </w:tcBorders>
            <w:shd w:val="clear" w:color="000000" w:fill="E6E6E6"/>
            <w:noWrap/>
            <w:vAlign w:val="bottom"/>
            <w:hideMark/>
          </w:tcPr>
          <w:p w14:paraId="24B46862" w14:textId="15D87DD6"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48,600 </w:t>
            </w:r>
          </w:p>
        </w:tc>
        <w:tc>
          <w:tcPr>
            <w:tcW w:w="0" w:type="auto"/>
            <w:tcBorders>
              <w:top w:val="nil"/>
              <w:left w:val="nil"/>
              <w:bottom w:val="nil"/>
              <w:right w:val="nil"/>
            </w:tcBorders>
            <w:shd w:val="clear" w:color="000000" w:fill="E6E6E6"/>
            <w:noWrap/>
            <w:vAlign w:val="bottom"/>
            <w:hideMark/>
          </w:tcPr>
          <w:p w14:paraId="38153545" w14:textId="6129E5DD"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r>
      <w:tr w:rsidR="006E40A8" w:rsidRPr="00FF507B" w14:paraId="6701D081" w14:textId="77777777" w:rsidTr="006E40A8">
        <w:trPr>
          <w:trHeight w:val="204"/>
        </w:trPr>
        <w:tc>
          <w:tcPr>
            <w:tcW w:w="3121" w:type="dxa"/>
            <w:tcBorders>
              <w:top w:val="nil"/>
              <w:left w:val="nil"/>
              <w:bottom w:val="single" w:sz="4" w:space="0" w:color="auto"/>
              <w:right w:val="nil"/>
            </w:tcBorders>
            <w:shd w:val="clear" w:color="auto" w:fill="auto"/>
            <w:noWrap/>
            <w:vAlign w:val="bottom"/>
            <w:hideMark/>
          </w:tcPr>
          <w:p w14:paraId="1C9564B6" w14:textId="171190C3" w:rsidR="006E40A8" w:rsidRPr="00FF507B" w:rsidRDefault="006E40A8" w:rsidP="006E40A8">
            <w:pPr>
              <w:spacing w:after="0" w:line="240" w:lineRule="auto"/>
              <w:jc w:val="left"/>
              <w:rPr>
                <w:rFonts w:ascii="Arial" w:hAnsi="Arial" w:cs="Arial"/>
                <w:b/>
                <w:bCs/>
                <w:sz w:val="16"/>
                <w:szCs w:val="16"/>
              </w:rPr>
            </w:pPr>
            <w:r w:rsidRPr="00FF507B">
              <w:rPr>
                <w:rFonts w:ascii="Arial" w:hAnsi="Arial" w:cs="Arial"/>
                <w:b/>
                <w:bCs/>
                <w:sz w:val="16"/>
                <w:szCs w:val="16"/>
              </w:rPr>
              <w:t>Total</w:t>
            </w:r>
            <w:r>
              <w:rPr>
                <w:rFonts w:ascii="Arial" w:hAnsi="Arial" w:cs="Arial"/>
                <w:b/>
                <w:bCs/>
                <w:sz w:val="16"/>
                <w:szCs w:val="16"/>
              </w:rPr>
              <w:t xml:space="preserve"> Administered</w:t>
            </w:r>
          </w:p>
        </w:tc>
        <w:tc>
          <w:tcPr>
            <w:tcW w:w="1071" w:type="dxa"/>
            <w:tcBorders>
              <w:top w:val="single" w:sz="4" w:space="0" w:color="auto"/>
              <w:left w:val="nil"/>
              <w:bottom w:val="single" w:sz="4" w:space="0" w:color="auto"/>
              <w:right w:val="nil"/>
            </w:tcBorders>
            <w:shd w:val="clear" w:color="auto" w:fill="auto"/>
            <w:noWrap/>
            <w:vAlign w:val="bottom"/>
            <w:hideMark/>
          </w:tcPr>
          <w:p w14:paraId="2A454E92" w14:textId="62424E82" w:rsidR="006E40A8" w:rsidRPr="006E40A8" w:rsidRDefault="006E40A8" w:rsidP="006E40A8">
            <w:pPr>
              <w:spacing w:after="0" w:line="240" w:lineRule="auto"/>
              <w:ind w:right="78"/>
              <w:jc w:val="right"/>
              <w:rPr>
                <w:rFonts w:ascii="Arial" w:hAnsi="Arial" w:cs="Arial"/>
                <w:b/>
                <w:sz w:val="16"/>
                <w:szCs w:val="16"/>
                <w:highlight w:val="yellow"/>
              </w:rPr>
            </w:pPr>
            <w:r w:rsidRPr="006E40A8">
              <w:rPr>
                <w:rFonts w:ascii="Arial" w:hAnsi="Arial" w:cs="Arial"/>
                <w:b/>
                <w:sz w:val="16"/>
                <w:szCs w:val="16"/>
              </w:rPr>
              <w:t xml:space="preserve">3,067,164 </w:t>
            </w:r>
          </w:p>
        </w:tc>
        <w:tc>
          <w:tcPr>
            <w:tcW w:w="0" w:type="auto"/>
            <w:tcBorders>
              <w:top w:val="single" w:sz="4" w:space="0" w:color="auto"/>
              <w:left w:val="nil"/>
              <w:bottom w:val="single" w:sz="4" w:space="0" w:color="auto"/>
              <w:right w:val="nil"/>
            </w:tcBorders>
            <w:shd w:val="clear" w:color="auto" w:fill="auto"/>
            <w:noWrap/>
            <w:vAlign w:val="bottom"/>
            <w:hideMark/>
          </w:tcPr>
          <w:p w14:paraId="3FE3F036" w14:textId="113EF840" w:rsidR="006E40A8" w:rsidRPr="006E40A8" w:rsidRDefault="006E40A8" w:rsidP="006E40A8">
            <w:pPr>
              <w:spacing w:after="0" w:line="240" w:lineRule="auto"/>
              <w:ind w:right="78"/>
              <w:jc w:val="right"/>
              <w:rPr>
                <w:rFonts w:ascii="Arial" w:hAnsi="Arial" w:cs="Arial"/>
                <w:b/>
                <w:sz w:val="16"/>
                <w:szCs w:val="16"/>
                <w:highlight w:val="yellow"/>
              </w:rPr>
            </w:pPr>
            <w:r w:rsidRPr="006E40A8">
              <w:rPr>
                <w:rFonts w:ascii="Arial" w:hAnsi="Arial" w:cs="Arial"/>
                <w:b/>
                <w:sz w:val="16"/>
                <w:szCs w:val="16"/>
              </w:rPr>
              <w:t xml:space="preserve">3,022,295 </w:t>
            </w:r>
          </w:p>
        </w:tc>
        <w:tc>
          <w:tcPr>
            <w:tcW w:w="0" w:type="auto"/>
            <w:tcBorders>
              <w:top w:val="single" w:sz="4" w:space="0" w:color="auto"/>
              <w:left w:val="nil"/>
              <w:bottom w:val="single" w:sz="4" w:space="0" w:color="auto"/>
              <w:right w:val="nil"/>
            </w:tcBorders>
            <w:shd w:val="clear" w:color="auto" w:fill="auto"/>
            <w:noWrap/>
            <w:vAlign w:val="bottom"/>
            <w:hideMark/>
          </w:tcPr>
          <w:p w14:paraId="268311CC" w14:textId="54278450" w:rsidR="006E40A8" w:rsidRPr="006E40A8" w:rsidRDefault="006E40A8" w:rsidP="006E40A8">
            <w:pPr>
              <w:spacing w:after="0" w:line="240" w:lineRule="auto"/>
              <w:ind w:right="78"/>
              <w:jc w:val="right"/>
              <w:rPr>
                <w:rFonts w:ascii="Arial" w:hAnsi="Arial" w:cs="Arial"/>
                <w:b/>
                <w:sz w:val="16"/>
                <w:szCs w:val="16"/>
                <w:highlight w:val="yellow"/>
              </w:rPr>
            </w:pPr>
            <w:r w:rsidRPr="006E40A8">
              <w:rPr>
                <w:rFonts w:ascii="Arial" w:hAnsi="Arial" w:cs="Arial"/>
                <w:b/>
                <w:sz w:val="16"/>
                <w:szCs w:val="16"/>
              </w:rPr>
              <w:t xml:space="preserve">3,806,041 </w:t>
            </w:r>
          </w:p>
        </w:tc>
        <w:tc>
          <w:tcPr>
            <w:tcW w:w="0" w:type="auto"/>
            <w:tcBorders>
              <w:top w:val="single" w:sz="4" w:space="0" w:color="auto"/>
              <w:left w:val="nil"/>
              <w:bottom w:val="single" w:sz="4" w:space="0" w:color="auto"/>
              <w:right w:val="nil"/>
            </w:tcBorders>
            <w:shd w:val="clear" w:color="000000" w:fill="E6E6E6"/>
            <w:noWrap/>
            <w:vAlign w:val="bottom"/>
            <w:hideMark/>
          </w:tcPr>
          <w:p w14:paraId="0D4E9235" w14:textId="6236C644" w:rsidR="006E40A8" w:rsidRPr="006E40A8" w:rsidRDefault="006E40A8" w:rsidP="006E40A8">
            <w:pPr>
              <w:spacing w:after="0" w:line="240" w:lineRule="auto"/>
              <w:ind w:right="78"/>
              <w:jc w:val="right"/>
              <w:rPr>
                <w:rFonts w:ascii="Arial" w:hAnsi="Arial" w:cs="Arial"/>
                <w:b/>
                <w:sz w:val="16"/>
                <w:szCs w:val="16"/>
                <w:highlight w:val="yellow"/>
              </w:rPr>
            </w:pPr>
            <w:r w:rsidRPr="006E40A8">
              <w:rPr>
                <w:rFonts w:ascii="Arial" w:hAnsi="Arial" w:cs="Arial"/>
                <w:b/>
                <w:sz w:val="16"/>
                <w:szCs w:val="16"/>
              </w:rPr>
              <w:t xml:space="preserve">783,893 </w:t>
            </w:r>
          </w:p>
        </w:tc>
        <w:tc>
          <w:tcPr>
            <w:tcW w:w="0" w:type="auto"/>
            <w:tcBorders>
              <w:top w:val="single" w:sz="4" w:space="0" w:color="auto"/>
              <w:left w:val="nil"/>
              <w:bottom w:val="single" w:sz="4" w:space="0" w:color="auto"/>
              <w:right w:val="nil"/>
            </w:tcBorders>
            <w:shd w:val="clear" w:color="000000" w:fill="E6E6E6"/>
            <w:noWrap/>
            <w:vAlign w:val="bottom"/>
            <w:hideMark/>
          </w:tcPr>
          <w:p w14:paraId="1A4BBF97" w14:textId="252E9E0A" w:rsidR="006E40A8" w:rsidRPr="006E40A8" w:rsidRDefault="006E40A8" w:rsidP="006E40A8">
            <w:pPr>
              <w:spacing w:after="0" w:line="240" w:lineRule="auto"/>
              <w:ind w:right="78"/>
              <w:jc w:val="right"/>
              <w:rPr>
                <w:rFonts w:ascii="Arial" w:hAnsi="Arial" w:cs="Arial"/>
                <w:b/>
                <w:sz w:val="16"/>
                <w:szCs w:val="16"/>
                <w:highlight w:val="yellow"/>
              </w:rPr>
            </w:pPr>
            <w:r w:rsidRPr="006E40A8">
              <w:rPr>
                <w:rFonts w:ascii="Arial" w:hAnsi="Arial" w:cs="Arial"/>
                <w:b/>
                <w:sz w:val="16"/>
                <w:szCs w:val="16"/>
              </w:rPr>
              <w:t xml:space="preserve">147 </w:t>
            </w:r>
          </w:p>
        </w:tc>
      </w:tr>
    </w:tbl>
    <w:p w14:paraId="500742DF" w14:textId="77777777" w:rsidR="004C62B3" w:rsidRDefault="004C62B3">
      <w:pPr>
        <w:spacing w:after="0" w:line="240" w:lineRule="auto"/>
        <w:jc w:val="left"/>
        <w:rPr>
          <w:rFonts w:ascii="Arial" w:hAnsi="Arial"/>
          <w:b/>
          <w:lang w:val="x-none"/>
        </w:rPr>
      </w:pPr>
      <w:r>
        <w:br w:type="page"/>
      </w:r>
    </w:p>
    <w:p w14:paraId="117894CC" w14:textId="3CC79761" w:rsidR="009843C3" w:rsidRPr="00CD6FA0" w:rsidRDefault="009843C3" w:rsidP="009843C3">
      <w:pPr>
        <w:pStyle w:val="TableHeading"/>
        <w:rPr>
          <w:lang w:val="en-AU"/>
        </w:rPr>
      </w:pPr>
      <w:r w:rsidRPr="00897F19">
        <w:lastRenderedPageBreak/>
        <w:t>Table 1.</w:t>
      </w:r>
      <w:r w:rsidRPr="00897F19">
        <w:rPr>
          <w:lang w:val="en-AU"/>
        </w:rPr>
        <w:t>4</w:t>
      </w:r>
      <w:r w:rsidRPr="00897F19">
        <w:t xml:space="preserve">: Appropriation Bill (No. 3) </w:t>
      </w:r>
      <w:r w:rsidRPr="00897F19">
        <w:rPr>
          <w:lang w:val="en-AU"/>
        </w:rPr>
        <w:t>2021-22</w:t>
      </w:r>
      <w:r>
        <w:rPr>
          <w:lang w:val="en-AU"/>
        </w:rPr>
        <w:t xml:space="preserve"> (continued)</w:t>
      </w:r>
    </w:p>
    <w:tbl>
      <w:tblPr>
        <w:tblW w:w="7660" w:type="dxa"/>
        <w:tblCellMar>
          <w:left w:w="0" w:type="dxa"/>
          <w:right w:w="0" w:type="dxa"/>
        </w:tblCellMar>
        <w:tblLook w:val="04A0" w:firstRow="1" w:lastRow="0" w:firstColumn="1" w:lastColumn="0" w:noHBand="0" w:noVBand="1"/>
      </w:tblPr>
      <w:tblGrid>
        <w:gridCol w:w="3173"/>
        <w:gridCol w:w="910"/>
        <w:gridCol w:w="865"/>
        <w:gridCol w:w="885"/>
        <w:gridCol w:w="866"/>
        <w:gridCol w:w="961"/>
      </w:tblGrid>
      <w:tr w:rsidR="001670C2" w:rsidRPr="00FF507B" w14:paraId="750552CF" w14:textId="77777777" w:rsidTr="006E40A8">
        <w:trPr>
          <w:trHeight w:val="204"/>
        </w:trPr>
        <w:tc>
          <w:tcPr>
            <w:tcW w:w="3156" w:type="dxa"/>
            <w:tcBorders>
              <w:top w:val="single" w:sz="4" w:space="0" w:color="auto"/>
              <w:left w:val="nil"/>
              <w:bottom w:val="single" w:sz="4" w:space="0" w:color="auto"/>
              <w:right w:val="nil"/>
            </w:tcBorders>
            <w:shd w:val="clear" w:color="auto" w:fill="auto"/>
            <w:noWrap/>
            <w:vAlign w:val="bottom"/>
            <w:hideMark/>
          </w:tcPr>
          <w:p w14:paraId="2A4964F4" w14:textId="7BF126F8" w:rsidR="001670C2" w:rsidRPr="00FF507B" w:rsidRDefault="001670C2" w:rsidP="001670C2">
            <w:pPr>
              <w:spacing w:after="0"/>
              <w:jc w:val="left"/>
              <w:rPr>
                <w:rFonts w:ascii="Arial" w:hAnsi="Arial" w:cs="Arial"/>
                <w:sz w:val="16"/>
                <w:szCs w:val="16"/>
              </w:rPr>
            </w:pPr>
            <w:r w:rsidRPr="00FF507B">
              <w:rPr>
                <w:rFonts w:ascii="Arial" w:hAnsi="Arial" w:cs="Arial"/>
                <w:sz w:val="16"/>
                <w:szCs w:val="16"/>
              </w:rPr>
              <w:t> </w:t>
            </w:r>
          </w:p>
        </w:tc>
        <w:tc>
          <w:tcPr>
            <w:tcW w:w="914" w:type="dxa"/>
            <w:tcBorders>
              <w:top w:val="single" w:sz="4" w:space="0" w:color="auto"/>
              <w:left w:val="nil"/>
              <w:bottom w:val="single" w:sz="4" w:space="0" w:color="auto"/>
              <w:right w:val="nil"/>
            </w:tcBorders>
            <w:shd w:val="clear" w:color="auto" w:fill="auto"/>
            <w:vAlign w:val="bottom"/>
            <w:hideMark/>
          </w:tcPr>
          <w:p w14:paraId="6B69D387" w14:textId="77777777" w:rsidR="001670C2" w:rsidRDefault="001670C2" w:rsidP="00316913">
            <w:pPr>
              <w:spacing w:after="0" w:line="240" w:lineRule="auto"/>
              <w:ind w:right="113"/>
              <w:jc w:val="right"/>
              <w:rPr>
                <w:rFonts w:ascii="Arial" w:hAnsi="Arial" w:cs="Arial"/>
                <w:sz w:val="16"/>
                <w:szCs w:val="16"/>
              </w:rPr>
            </w:pPr>
            <w:r w:rsidRPr="009843C3">
              <w:rPr>
                <w:rFonts w:ascii="Arial" w:hAnsi="Arial" w:cs="Arial"/>
                <w:sz w:val="16"/>
                <w:szCs w:val="16"/>
              </w:rPr>
              <w:t>2020-21</w:t>
            </w:r>
          </w:p>
          <w:p w14:paraId="55E4DF3F" w14:textId="77777777" w:rsidR="001670C2" w:rsidRDefault="001670C2" w:rsidP="00316913">
            <w:pPr>
              <w:spacing w:after="0" w:line="240" w:lineRule="auto"/>
              <w:ind w:right="113"/>
              <w:jc w:val="right"/>
              <w:rPr>
                <w:rFonts w:ascii="Arial" w:hAnsi="Arial" w:cs="Arial"/>
                <w:sz w:val="16"/>
                <w:szCs w:val="16"/>
              </w:rPr>
            </w:pPr>
            <w:r w:rsidRPr="009843C3">
              <w:rPr>
                <w:rFonts w:ascii="Arial" w:hAnsi="Arial" w:cs="Arial"/>
                <w:sz w:val="16"/>
                <w:szCs w:val="16"/>
              </w:rPr>
              <w:t>Available</w:t>
            </w:r>
            <w:r w:rsidRPr="00F351E9">
              <w:rPr>
                <w:rFonts w:ascii="Arial" w:hAnsi="Arial" w:cs="Arial"/>
                <w:sz w:val="16"/>
                <w:szCs w:val="16"/>
                <w:vertAlign w:val="superscript"/>
              </w:rPr>
              <w:t>(a)</w:t>
            </w:r>
          </w:p>
          <w:p w14:paraId="5CB2B0EB" w14:textId="485561CE" w:rsidR="001670C2" w:rsidRPr="00FF507B" w:rsidRDefault="001670C2" w:rsidP="00316913">
            <w:pPr>
              <w:spacing w:after="0" w:line="240" w:lineRule="auto"/>
              <w:ind w:right="113"/>
              <w:jc w:val="right"/>
              <w:rPr>
                <w:rFonts w:ascii="Arial" w:hAnsi="Arial" w:cs="Arial"/>
                <w:sz w:val="16"/>
                <w:szCs w:val="16"/>
              </w:rPr>
            </w:pPr>
            <w:r w:rsidRPr="009843C3">
              <w:rPr>
                <w:rFonts w:ascii="Arial" w:hAnsi="Arial" w:cs="Arial"/>
                <w:sz w:val="16"/>
                <w:szCs w:val="16"/>
              </w:rPr>
              <w:t>$'000</w:t>
            </w:r>
          </w:p>
        </w:tc>
        <w:tc>
          <w:tcPr>
            <w:tcW w:w="876" w:type="dxa"/>
            <w:tcBorders>
              <w:top w:val="single" w:sz="4" w:space="0" w:color="auto"/>
              <w:left w:val="nil"/>
              <w:bottom w:val="single" w:sz="4" w:space="0" w:color="auto"/>
              <w:right w:val="nil"/>
            </w:tcBorders>
            <w:shd w:val="clear" w:color="auto" w:fill="auto"/>
            <w:vAlign w:val="bottom"/>
            <w:hideMark/>
          </w:tcPr>
          <w:p w14:paraId="2CADC09D" w14:textId="77777777" w:rsidR="001670C2" w:rsidRDefault="001670C2" w:rsidP="00316913">
            <w:pPr>
              <w:spacing w:after="0" w:line="240" w:lineRule="auto"/>
              <w:ind w:right="113"/>
              <w:jc w:val="right"/>
              <w:rPr>
                <w:rFonts w:ascii="Arial" w:hAnsi="Arial" w:cs="Arial"/>
                <w:sz w:val="16"/>
                <w:szCs w:val="16"/>
              </w:rPr>
            </w:pPr>
            <w:r w:rsidRPr="009843C3">
              <w:rPr>
                <w:rFonts w:ascii="Arial" w:hAnsi="Arial" w:cs="Arial"/>
                <w:sz w:val="16"/>
                <w:szCs w:val="16"/>
              </w:rPr>
              <w:t>2021-22</w:t>
            </w:r>
          </w:p>
          <w:p w14:paraId="20C30694" w14:textId="77777777" w:rsidR="001670C2" w:rsidRDefault="001670C2" w:rsidP="00316913">
            <w:pPr>
              <w:spacing w:after="0" w:line="240" w:lineRule="auto"/>
              <w:ind w:right="113"/>
              <w:jc w:val="right"/>
              <w:rPr>
                <w:rFonts w:ascii="Arial" w:hAnsi="Arial" w:cs="Arial"/>
                <w:sz w:val="16"/>
                <w:szCs w:val="16"/>
                <w:vertAlign w:val="superscript"/>
              </w:rPr>
            </w:pPr>
            <w:r w:rsidRPr="009843C3">
              <w:rPr>
                <w:rFonts w:ascii="Arial" w:hAnsi="Arial" w:cs="Arial"/>
                <w:sz w:val="16"/>
                <w:szCs w:val="16"/>
              </w:rPr>
              <w:t>Budget</w:t>
            </w:r>
            <w:r w:rsidRPr="00F351E9">
              <w:rPr>
                <w:rFonts w:ascii="Arial" w:hAnsi="Arial" w:cs="Arial"/>
                <w:sz w:val="16"/>
                <w:szCs w:val="16"/>
                <w:vertAlign w:val="superscript"/>
              </w:rPr>
              <w:t>(b)</w:t>
            </w:r>
          </w:p>
          <w:p w14:paraId="4E39FDC3" w14:textId="74E01070" w:rsidR="001670C2" w:rsidRPr="00FF507B" w:rsidRDefault="001670C2" w:rsidP="00316913">
            <w:pPr>
              <w:spacing w:after="0" w:line="240" w:lineRule="auto"/>
              <w:ind w:right="113"/>
              <w:jc w:val="right"/>
              <w:rPr>
                <w:rFonts w:ascii="Arial" w:hAnsi="Arial" w:cs="Arial"/>
                <w:sz w:val="16"/>
                <w:szCs w:val="16"/>
              </w:rPr>
            </w:pPr>
            <w:r w:rsidRPr="009843C3">
              <w:rPr>
                <w:rFonts w:ascii="Arial" w:hAnsi="Arial" w:cs="Arial"/>
                <w:sz w:val="16"/>
                <w:szCs w:val="16"/>
              </w:rPr>
              <w:t>$'000</w:t>
            </w:r>
          </w:p>
        </w:tc>
        <w:tc>
          <w:tcPr>
            <w:tcW w:w="896" w:type="dxa"/>
            <w:tcBorders>
              <w:top w:val="single" w:sz="4" w:space="0" w:color="auto"/>
              <w:left w:val="nil"/>
              <w:bottom w:val="single" w:sz="4" w:space="0" w:color="auto"/>
              <w:right w:val="nil"/>
            </w:tcBorders>
            <w:shd w:val="clear" w:color="auto" w:fill="auto"/>
            <w:vAlign w:val="bottom"/>
            <w:hideMark/>
          </w:tcPr>
          <w:p w14:paraId="7EA9E8F3" w14:textId="77777777" w:rsidR="001670C2" w:rsidRDefault="001670C2" w:rsidP="00316913">
            <w:pPr>
              <w:spacing w:after="0" w:line="240" w:lineRule="auto"/>
              <w:ind w:right="113"/>
              <w:jc w:val="right"/>
              <w:rPr>
                <w:rFonts w:ascii="Arial" w:hAnsi="Arial" w:cs="Arial"/>
                <w:sz w:val="16"/>
                <w:szCs w:val="16"/>
              </w:rPr>
            </w:pPr>
            <w:r w:rsidRPr="009843C3">
              <w:rPr>
                <w:rFonts w:ascii="Arial" w:hAnsi="Arial" w:cs="Arial"/>
                <w:sz w:val="16"/>
                <w:szCs w:val="16"/>
              </w:rPr>
              <w:t>2021-22</w:t>
            </w:r>
          </w:p>
          <w:p w14:paraId="575ABACC" w14:textId="77777777" w:rsidR="001670C2" w:rsidRDefault="001670C2" w:rsidP="00316913">
            <w:pPr>
              <w:spacing w:after="0" w:line="240" w:lineRule="auto"/>
              <w:ind w:right="113"/>
              <w:jc w:val="right"/>
              <w:rPr>
                <w:rFonts w:ascii="Arial" w:hAnsi="Arial" w:cs="Arial"/>
                <w:sz w:val="16"/>
                <w:szCs w:val="16"/>
                <w:vertAlign w:val="superscript"/>
              </w:rPr>
            </w:pPr>
            <w:r w:rsidRPr="009843C3">
              <w:rPr>
                <w:rFonts w:ascii="Arial" w:hAnsi="Arial" w:cs="Arial"/>
                <w:sz w:val="16"/>
                <w:szCs w:val="16"/>
              </w:rPr>
              <w:t>Revised</w:t>
            </w:r>
            <w:r w:rsidRPr="00F351E9">
              <w:rPr>
                <w:rFonts w:ascii="Arial" w:hAnsi="Arial" w:cs="Arial"/>
                <w:sz w:val="16"/>
                <w:szCs w:val="16"/>
                <w:vertAlign w:val="superscript"/>
              </w:rPr>
              <w:t>(c)</w:t>
            </w:r>
          </w:p>
          <w:p w14:paraId="21C90C3D" w14:textId="4EBCFC26" w:rsidR="001670C2" w:rsidRPr="00FF507B" w:rsidRDefault="001670C2" w:rsidP="00316913">
            <w:pPr>
              <w:spacing w:after="0" w:line="240" w:lineRule="auto"/>
              <w:ind w:right="113"/>
              <w:jc w:val="right"/>
              <w:rPr>
                <w:rFonts w:ascii="Arial" w:hAnsi="Arial" w:cs="Arial"/>
                <w:sz w:val="16"/>
                <w:szCs w:val="16"/>
              </w:rPr>
            </w:pPr>
            <w:r>
              <w:rPr>
                <w:rFonts w:ascii="Arial" w:hAnsi="Arial" w:cs="Arial"/>
                <w:sz w:val="16"/>
                <w:szCs w:val="16"/>
              </w:rPr>
              <w:t>$'000</w:t>
            </w:r>
          </w:p>
        </w:tc>
        <w:tc>
          <w:tcPr>
            <w:tcW w:w="873" w:type="dxa"/>
            <w:tcBorders>
              <w:top w:val="single" w:sz="4" w:space="0" w:color="auto"/>
              <w:left w:val="nil"/>
              <w:bottom w:val="single" w:sz="4" w:space="0" w:color="auto"/>
              <w:right w:val="nil"/>
            </w:tcBorders>
            <w:shd w:val="clear" w:color="000000" w:fill="E6E6E6"/>
            <w:vAlign w:val="bottom"/>
            <w:hideMark/>
          </w:tcPr>
          <w:p w14:paraId="10676A4B" w14:textId="77777777" w:rsidR="001670C2" w:rsidRDefault="001670C2" w:rsidP="00316913">
            <w:pPr>
              <w:spacing w:after="0" w:line="240" w:lineRule="auto"/>
              <w:ind w:right="113"/>
              <w:jc w:val="right"/>
              <w:rPr>
                <w:rFonts w:ascii="Arial" w:hAnsi="Arial" w:cs="Arial"/>
                <w:sz w:val="16"/>
                <w:szCs w:val="16"/>
              </w:rPr>
            </w:pPr>
            <w:r w:rsidRPr="009843C3">
              <w:rPr>
                <w:rFonts w:ascii="Arial" w:hAnsi="Arial" w:cs="Arial"/>
                <w:sz w:val="16"/>
                <w:szCs w:val="16"/>
              </w:rPr>
              <w:t>Additional</w:t>
            </w:r>
          </w:p>
          <w:p w14:paraId="38E7574D" w14:textId="6A65847A" w:rsidR="001670C2" w:rsidRPr="00FF507B" w:rsidRDefault="001670C2" w:rsidP="00316913">
            <w:pPr>
              <w:spacing w:after="0" w:line="240" w:lineRule="auto"/>
              <w:ind w:right="113"/>
              <w:jc w:val="right"/>
              <w:rPr>
                <w:rFonts w:ascii="Arial" w:hAnsi="Arial" w:cs="Arial"/>
                <w:sz w:val="16"/>
                <w:szCs w:val="16"/>
              </w:rPr>
            </w:pPr>
            <w:r w:rsidRPr="009843C3">
              <w:rPr>
                <w:rFonts w:ascii="Arial" w:hAnsi="Arial" w:cs="Arial"/>
                <w:sz w:val="16"/>
                <w:szCs w:val="16"/>
              </w:rPr>
              <w:t>estimates $'000</w:t>
            </w:r>
          </w:p>
        </w:tc>
        <w:tc>
          <w:tcPr>
            <w:tcW w:w="945" w:type="dxa"/>
            <w:tcBorders>
              <w:top w:val="single" w:sz="4" w:space="0" w:color="auto"/>
              <w:left w:val="nil"/>
              <w:bottom w:val="single" w:sz="4" w:space="0" w:color="auto"/>
              <w:right w:val="nil"/>
            </w:tcBorders>
            <w:shd w:val="clear" w:color="000000" w:fill="E6E6E6"/>
            <w:vAlign w:val="bottom"/>
            <w:hideMark/>
          </w:tcPr>
          <w:p w14:paraId="11653D38" w14:textId="77777777" w:rsidR="001670C2" w:rsidRDefault="001670C2" w:rsidP="00316913">
            <w:pPr>
              <w:spacing w:after="0" w:line="240" w:lineRule="auto"/>
              <w:ind w:right="113"/>
              <w:jc w:val="right"/>
              <w:rPr>
                <w:rFonts w:ascii="Arial" w:hAnsi="Arial" w:cs="Arial"/>
                <w:sz w:val="16"/>
                <w:szCs w:val="16"/>
              </w:rPr>
            </w:pPr>
            <w:r w:rsidRPr="009843C3">
              <w:rPr>
                <w:rFonts w:ascii="Arial" w:hAnsi="Arial" w:cs="Arial"/>
                <w:sz w:val="16"/>
                <w:szCs w:val="16"/>
              </w:rPr>
              <w:t>Reduced</w:t>
            </w:r>
          </w:p>
          <w:p w14:paraId="1E0D0854" w14:textId="73EA4144" w:rsidR="001670C2" w:rsidRPr="00FF507B" w:rsidRDefault="001670C2" w:rsidP="00316913">
            <w:pPr>
              <w:spacing w:after="0" w:line="240" w:lineRule="auto"/>
              <w:ind w:right="113"/>
              <w:jc w:val="right"/>
              <w:rPr>
                <w:rFonts w:ascii="Arial" w:hAnsi="Arial" w:cs="Arial"/>
                <w:sz w:val="16"/>
                <w:szCs w:val="16"/>
              </w:rPr>
            </w:pPr>
            <w:r w:rsidRPr="009843C3">
              <w:rPr>
                <w:rFonts w:ascii="Arial" w:hAnsi="Arial" w:cs="Arial"/>
                <w:sz w:val="16"/>
                <w:szCs w:val="16"/>
              </w:rPr>
              <w:t>estimates $'000</w:t>
            </w:r>
          </w:p>
        </w:tc>
      </w:tr>
      <w:tr w:rsidR="00FF507B" w:rsidRPr="00FF507B" w14:paraId="4D5CF21F" w14:textId="77777777" w:rsidTr="006E40A8">
        <w:trPr>
          <w:trHeight w:val="204"/>
        </w:trPr>
        <w:tc>
          <w:tcPr>
            <w:tcW w:w="3156" w:type="dxa"/>
            <w:tcBorders>
              <w:top w:val="single" w:sz="4" w:space="0" w:color="auto"/>
              <w:left w:val="nil"/>
              <w:bottom w:val="nil"/>
              <w:right w:val="nil"/>
            </w:tcBorders>
            <w:shd w:val="clear" w:color="auto" w:fill="auto"/>
            <w:vAlign w:val="bottom"/>
            <w:hideMark/>
          </w:tcPr>
          <w:p w14:paraId="3BF6552A" w14:textId="09EBF124" w:rsidR="00FF507B" w:rsidRPr="001670C2" w:rsidRDefault="008863D9" w:rsidP="00693A56">
            <w:pPr>
              <w:spacing w:after="0" w:line="240" w:lineRule="auto"/>
              <w:jc w:val="left"/>
              <w:rPr>
                <w:rFonts w:ascii="Arial" w:hAnsi="Arial" w:cs="Arial"/>
                <w:b/>
                <w:bCs/>
                <w:sz w:val="16"/>
                <w:szCs w:val="16"/>
              </w:rPr>
            </w:pPr>
            <w:r>
              <w:rPr>
                <w:rFonts w:ascii="Arial" w:hAnsi="Arial" w:cs="Arial"/>
                <w:b/>
                <w:bCs/>
                <w:sz w:val="16"/>
                <w:szCs w:val="16"/>
              </w:rPr>
              <w:t>Department</w:t>
            </w:r>
            <w:r w:rsidR="00FF507B" w:rsidRPr="001670C2">
              <w:rPr>
                <w:rFonts w:ascii="Arial" w:hAnsi="Arial" w:cs="Arial"/>
                <w:b/>
                <w:bCs/>
                <w:sz w:val="16"/>
                <w:szCs w:val="16"/>
              </w:rPr>
              <w:t xml:space="preserve">al programs </w:t>
            </w:r>
            <w:r w:rsidR="00881E71" w:rsidRPr="00881E71">
              <w:rPr>
                <w:rFonts w:ascii="Arial" w:hAnsi="Arial" w:cs="Arial"/>
                <w:b/>
                <w:bCs/>
                <w:sz w:val="16"/>
                <w:szCs w:val="16"/>
                <w:vertAlign w:val="superscript"/>
              </w:rPr>
              <w:t>(</w:t>
            </w:r>
            <w:r w:rsidR="00693A56">
              <w:rPr>
                <w:rFonts w:ascii="Arial" w:hAnsi="Arial" w:cs="Arial"/>
                <w:b/>
                <w:bCs/>
                <w:sz w:val="16"/>
                <w:szCs w:val="16"/>
                <w:vertAlign w:val="superscript"/>
              </w:rPr>
              <w:t>e</w:t>
            </w:r>
            <w:r w:rsidR="00881E71" w:rsidRPr="00881E71">
              <w:rPr>
                <w:rFonts w:ascii="Arial" w:hAnsi="Arial" w:cs="Arial"/>
                <w:b/>
                <w:bCs/>
                <w:sz w:val="16"/>
                <w:szCs w:val="16"/>
                <w:vertAlign w:val="superscript"/>
              </w:rPr>
              <w:t>)</w:t>
            </w:r>
          </w:p>
        </w:tc>
        <w:tc>
          <w:tcPr>
            <w:tcW w:w="0" w:type="auto"/>
            <w:tcBorders>
              <w:top w:val="single" w:sz="4" w:space="0" w:color="auto"/>
              <w:left w:val="nil"/>
              <w:bottom w:val="nil"/>
              <w:right w:val="nil"/>
            </w:tcBorders>
            <w:shd w:val="clear" w:color="auto" w:fill="auto"/>
            <w:noWrap/>
            <w:vAlign w:val="bottom"/>
            <w:hideMark/>
          </w:tcPr>
          <w:p w14:paraId="742E0246" w14:textId="77777777" w:rsidR="00FF507B" w:rsidRPr="001670C2" w:rsidRDefault="00FF507B" w:rsidP="00DA3E12">
            <w:pPr>
              <w:spacing w:after="0" w:line="240" w:lineRule="auto"/>
              <w:jc w:val="right"/>
              <w:rPr>
                <w:rFonts w:ascii="Arial" w:hAnsi="Arial" w:cs="Arial"/>
                <w:b/>
                <w:bCs/>
                <w:sz w:val="16"/>
                <w:szCs w:val="16"/>
              </w:rPr>
            </w:pPr>
          </w:p>
        </w:tc>
        <w:tc>
          <w:tcPr>
            <w:tcW w:w="0" w:type="auto"/>
            <w:tcBorders>
              <w:top w:val="single" w:sz="4" w:space="0" w:color="auto"/>
              <w:left w:val="nil"/>
              <w:bottom w:val="nil"/>
              <w:right w:val="nil"/>
            </w:tcBorders>
            <w:shd w:val="clear" w:color="auto" w:fill="auto"/>
            <w:noWrap/>
            <w:vAlign w:val="bottom"/>
            <w:hideMark/>
          </w:tcPr>
          <w:p w14:paraId="241A255A" w14:textId="77777777" w:rsidR="00FF507B" w:rsidRPr="001670C2" w:rsidRDefault="00FF507B" w:rsidP="00DA3E12">
            <w:pPr>
              <w:spacing w:after="0" w:line="240" w:lineRule="auto"/>
              <w:jc w:val="right"/>
              <w:rPr>
                <w:rFonts w:ascii="Arial" w:hAnsi="Arial" w:cs="Arial"/>
                <w:sz w:val="16"/>
                <w:szCs w:val="16"/>
              </w:rPr>
            </w:pPr>
          </w:p>
        </w:tc>
        <w:tc>
          <w:tcPr>
            <w:tcW w:w="0" w:type="auto"/>
            <w:tcBorders>
              <w:top w:val="single" w:sz="4" w:space="0" w:color="auto"/>
              <w:left w:val="nil"/>
              <w:bottom w:val="nil"/>
              <w:right w:val="nil"/>
            </w:tcBorders>
            <w:shd w:val="clear" w:color="auto" w:fill="auto"/>
            <w:noWrap/>
            <w:vAlign w:val="bottom"/>
            <w:hideMark/>
          </w:tcPr>
          <w:p w14:paraId="1A17B328" w14:textId="77777777" w:rsidR="00FF507B" w:rsidRPr="001670C2" w:rsidRDefault="00FF507B" w:rsidP="00DA3E12">
            <w:pPr>
              <w:spacing w:after="0" w:line="240" w:lineRule="auto"/>
              <w:jc w:val="right"/>
              <w:rPr>
                <w:rFonts w:ascii="Arial" w:hAnsi="Arial" w:cs="Arial"/>
                <w:sz w:val="16"/>
                <w:szCs w:val="16"/>
              </w:rPr>
            </w:pPr>
          </w:p>
        </w:tc>
        <w:tc>
          <w:tcPr>
            <w:tcW w:w="0" w:type="auto"/>
            <w:tcBorders>
              <w:top w:val="single" w:sz="4" w:space="0" w:color="auto"/>
              <w:left w:val="nil"/>
              <w:bottom w:val="nil"/>
              <w:right w:val="nil"/>
            </w:tcBorders>
            <w:shd w:val="clear" w:color="000000" w:fill="E6E6E6"/>
            <w:noWrap/>
            <w:vAlign w:val="bottom"/>
            <w:hideMark/>
          </w:tcPr>
          <w:p w14:paraId="1A40C79F" w14:textId="5DD61888" w:rsidR="00FF507B" w:rsidRPr="001670C2" w:rsidRDefault="00FF507B" w:rsidP="00DA3E12">
            <w:pPr>
              <w:spacing w:after="0" w:line="240" w:lineRule="auto"/>
              <w:jc w:val="right"/>
              <w:rPr>
                <w:rFonts w:ascii="Arial" w:hAnsi="Arial" w:cs="Arial"/>
                <w:sz w:val="16"/>
                <w:szCs w:val="16"/>
              </w:rPr>
            </w:pPr>
          </w:p>
        </w:tc>
        <w:tc>
          <w:tcPr>
            <w:tcW w:w="945" w:type="dxa"/>
            <w:tcBorders>
              <w:top w:val="single" w:sz="4" w:space="0" w:color="auto"/>
              <w:left w:val="nil"/>
              <w:bottom w:val="nil"/>
              <w:right w:val="nil"/>
            </w:tcBorders>
            <w:shd w:val="clear" w:color="000000" w:fill="E6E6E6"/>
            <w:noWrap/>
            <w:vAlign w:val="bottom"/>
            <w:hideMark/>
          </w:tcPr>
          <w:p w14:paraId="4236DA2E" w14:textId="7977F8C9" w:rsidR="00FF507B" w:rsidRPr="001670C2" w:rsidRDefault="00FF507B" w:rsidP="00DA3E12">
            <w:pPr>
              <w:spacing w:after="0" w:line="240" w:lineRule="auto"/>
              <w:jc w:val="right"/>
              <w:rPr>
                <w:rFonts w:ascii="Arial" w:hAnsi="Arial" w:cs="Arial"/>
                <w:sz w:val="16"/>
                <w:szCs w:val="16"/>
              </w:rPr>
            </w:pPr>
          </w:p>
        </w:tc>
      </w:tr>
      <w:tr w:rsidR="00FF507B" w:rsidRPr="00FF507B" w14:paraId="5918C9AE" w14:textId="77777777" w:rsidTr="006E40A8">
        <w:trPr>
          <w:trHeight w:val="204"/>
        </w:trPr>
        <w:tc>
          <w:tcPr>
            <w:tcW w:w="3156" w:type="dxa"/>
            <w:tcBorders>
              <w:top w:val="nil"/>
              <w:left w:val="nil"/>
              <w:bottom w:val="nil"/>
              <w:right w:val="nil"/>
            </w:tcBorders>
            <w:shd w:val="clear" w:color="auto" w:fill="auto"/>
            <w:vAlign w:val="bottom"/>
            <w:hideMark/>
          </w:tcPr>
          <w:p w14:paraId="01C1802F" w14:textId="77777777" w:rsidR="00FF507B" w:rsidRPr="001670C2" w:rsidRDefault="00FF507B" w:rsidP="001670C2">
            <w:pPr>
              <w:spacing w:after="0" w:line="240" w:lineRule="auto"/>
              <w:rPr>
                <w:rFonts w:ascii="Arial" w:hAnsi="Arial" w:cs="Arial"/>
                <w:b/>
                <w:bCs/>
                <w:sz w:val="16"/>
                <w:szCs w:val="16"/>
              </w:rPr>
            </w:pPr>
            <w:r w:rsidRPr="001670C2">
              <w:rPr>
                <w:rFonts w:ascii="Arial" w:hAnsi="Arial" w:cs="Arial"/>
                <w:b/>
                <w:bCs/>
                <w:sz w:val="16"/>
                <w:szCs w:val="16"/>
              </w:rPr>
              <w:t>Outcome 1</w:t>
            </w:r>
          </w:p>
        </w:tc>
        <w:tc>
          <w:tcPr>
            <w:tcW w:w="0" w:type="auto"/>
            <w:tcBorders>
              <w:top w:val="nil"/>
              <w:left w:val="nil"/>
              <w:bottom w:val="nil"/>
              <w:right w:val="nil"/>
            </w:tcBorders>
            <w:shd w:val="clear" w:color="auto" w:fill="auto"/>
            <w:noWrap/>
            <w:vAlign w:val="bottom"/>
            <w:hideMark/>
          </w:tcPr>
          <w:p w14:paraId="775F3448" w14:textId="77777777" w:rsidR="00FF507B" w:rsidRPr="001670C2" w:rsidRDefault="00FF507B" w:rsidP="00DA3E12">
            <w:pPr>
              <w:spacing w:after="0" w:line="240" w:lineRule="auto"/>
              <w:jc w:val="right"/>
              <w:rPr>
                <w:rFonts w:ascii="Arial" w:hAnsi="Arial" w:cs="Arial"/>
                <w:b/>
                <w:bCs/>
                <w:sz w:val="16"/>
                <w:szCs w:val="16"/>
              </w:rPr>
            </w:pPr>
          </w:p>
        </w:tc>
        <w:tc>
          <w:tcPr>
            <w:tcW w:w="0" w:type="auto"/>
            <w:tcBorders>
              <w:top w:val="nil"/>
              <w:left w:val="nil"/>
              <w:bottom w:val="nil"/>
              <w:right w:val="nil"/>
            </w:tcBorders>
            <w:shd w:val="clear" w:color="auto" w:fill="auto"/>
            <w:noWrap/>
            <w:vAlign w:val="bottom"/>
            <w:hideMark/>
          </w:tcPr>
          <w:p w14:paraId="1A65AA9E" w14:textId="77777777" w:rsidR="00FF507B" w:rsidRPr="001670C2" w:rsidRDefault="00FF507B" w:rsidP="00DA3E12">
            <w:pPr>
              <w:spacing w:after="0" w:line="240" w:lineRule="auto"/>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494F2E90" w14:textId="77777777" w:rsidR="00FF507B" w:rsidRPr="001670C2" w:rsidRDefault="00FF507B" w:rsidP="00DA3E12">
            <w:pPr>
              <w:spacing w:after="0" w:line="240" w:lineRule="auto"/>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7DBA28DE" w14:textId="0A903FFE" w:rsidR="00FF507B" w:rsidRPr="001670C2" w:rsidRDefault="00FF507B" w:rsidP="00DA3E12">
            <w:pPr>
              <w:spacing w:after="0" w:line="240" w:lineRule="auto"/>
              <w:jc w:val="right"/>
              <w:rPr>
                <w:rFonts w:ascii="Arial" w:hAnsi="Arial" w:cs="Arial"/>
                <w:sz w:val="16"/>
                <w:szCs w:val="16"/>
              </w:rPr>
            </w:pPr>
          </w:p>
        </w:tc>
        <w:tc>
          <w:tcPr>
            <w:tcW w:w="945" w:type="dxa"/>
            <w:tcBorders>
              <w:top w:val="nil"/>
              <w:left w:val="nil"/>
              <w:bottom w:val="nil"/>
              <w:right w:val="nil"/>
            </w:tcBorders>
            <w:shd w:val="clear" w:color="000000" w:fill="E6E6E6"/>
            <w:noWrap/>
            <w:vAlign w:val="bottom"/>
            <w:hideMark/>
          </w:tcPr>
          <w:p w14:paraId="69BED5B1" w14:textId="5AF3A83F" w:rsidR="00FF507B" w:rsidRPr="001670C2" w:rsidRDefault="00FF507B" w:rsidP="00DA3E12">
            <w:pPr>
              <w:spacing w:after="0" w:line="240" w:lineRule="auto"/>
              <w:jc w:val="right"/>
              <w:rPr>
                <w:rFonts w:ascii="Arial" w:hAnsi="Arial" w:cs="Arial"/>
                <w:sz w:val="16"/>
                <w:szCs w:val="16"/>
              </w:rPr>
            </w:pPr>
          </w:p>
        </w:tc>
      </w:tr>
      <w:tr w:rsidR="006E40A8" w:rsidRPr="00FF507B" w14:paraId="1625C300" w14:textId="77777777" w:rsidTr="006E40A8">
        <w:trPr>
          <w:trHeight w:val="204"/>
        </w:trPr>
        <w:tc>
          <w:tcPr>
            <w:tcW w:w="3156" w:type="dxa"/>
            <w:tcBorders>
              <w:top w:val="nil"/>
              <w:left w:val="nil"/>
              <w:bottom w:val="nil"/>
              <w:right w:val="nil"/>
            </w:tcBorders>
            <w:shd w:val="clear" w:color="auto" w:fill="auto"/>
            <w:vAlign w:val="bottom"/>
            <w:hideMark/>
          </w:tcPr>
          <w:p w14:paraId="26FE0502" w14:textId="77777777" w:rsidR="006E40A8" w:rsidRPr="001670C2" w:rsidRDefault="006E40A8" w:rsidP="006E40A8">
            <w:pPr>
              <w:spacing w:after="0" w:line="240" w:lineRule="auto"/>
              <w:ind w:left="113"/>
              <w:jc w:val="left"/>
              <w:rPr>
                <w:rFonts w:ascii="Arial" w:hAnsi="Arial" w:cs="Arial"/>
                <w:sz w:val="16"/>
                <w:szCs w:val="16"/>
              </w:rPr>
            </w:pPr>
            <w:r w:rsidRPr="001670C2">
              <w:rPr>
                <w:rFonts w:ascii="Arial" w:hAnsi="Arial" w:cs="Arial"/>
                <w:sz w:val="16"/>
                <w:szCs w:val="16"/>
              </w:rPr>
              <w:t>Improved infrastructure across Australia through investment in and coordination of transport and other infrastructure</w:t>
            </w:r>
          </w:p>
        </w:tc>
        <w:tc>
          <w:tcPr>
            <w:tcW w:w="0" w:type="auto"/>
            <w:tcBorders>
              <w:top w:val="nil"/>
              <w:left w:val="nil"/>
              <w:bottom w:val="nil"/>
              <w:right w:val="nil"/>
            </w:tcBorders>
            <w:shd w:val="clear" w:color="auto" w:fill="auto"/>
            <w:noWrap/>
            <w:vAlign w:val="bottom"/>
            <w:hideMark/>
          </w:tcPr>
          <w:p w14:paraId="7A12EDAC" w14:textId="40F62D2F"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58,485 </w:t>
            </w:r>
          </w:p>
        </w:tc>
        <w:tc>
          <w:tcPr>
            <w:tcW w:w="0" w:type="auto"/>
            <w:tcBorders>
              <w:top w:val="nil"/>
              <w:left w:val="nil"/>
              <w:bottom w:val="nil"/>
              <w:right w:val="nil"/>
            </w:tcBorders>
            <w:shd w:val="clear" w:color="auto" w:fill="auto"/>
            <w:noWrap/>
            <w:vAlign w:val="bottom"/>
            <w:hideMark/>
          </w:tcPr>
          <w:p w14:paraId="4334D86B" w14:textId="35A4EFA2"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75,248 </w:t>
            </w:r>
          </w:p>
        </w:tc>
        <w:tc>
          <w:tcPr>
            <w:tcW w:w="0" w:type="auto"/>
            <w:tcBorders>
              <w:top w:val="nil"/>
              <w:left w:val="nil"/>
              <w:bottom w:val="nil"/>
              <w:right w:val="nil"/>
            </w:tcBorders>
            <w:shd w:val="clear" w:color="auto" w:fill="auto"/>
            <w:noWrap/>
            <w:vAlign w:val="bottom"/>
            <w:hideMark/>
          </w:tcPr>
          <w:p w14:paraId="5D5F614D" w14:textId="2D7C28CE"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75,637 </w:t>
            </w:r>
          </w:p>
        </w:tc>
        <w:tc>
          <w:tcPr>
            <w:tcW w:w="0" w:type="auto"/>
            <w:tcBorders>
              <w:top w:val="nil"/>
              <w:left w:val="nil"/>
              <w:bottom w:val="nil"/>
              <w:right w:val="nil"/>
            </w:tcBorders>
            <w:shd w:val="clear" w:color="000000" w:fill="E6E6E6"/>
            <w:noWrap/>
            <w:vAlign w:val="bottom"/>
            <w:hideMark/>
          </w:tcPr>
          <w:p w14:paraId="2F24BE69" w14:textId="2A7C76A6"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389 </w:t>
            </w:r>
          </w:p>
        </w:tc>
        <w:tc>
          <w:tcPr>
            <w:tcW w:w="945" w:type="dxa"/>
            <w:tcBorders>
              <w:top w:val="nil"/>
              <w:left w:val="nil"/>
              <w:bottom w:val="nil"/>
              <w:right w:val="nil"/>
            </w:tcBorders>
            <w:shd w:val="clear" w:color="000000" w:fill="E6E6E6"/>
            <w:noWrap/>
            <w:vAlign w:val="bottom"/>
            <w:hideMark/>
          </w:tcPr>
          <w:p w14:paraId="2FA98A27" w14:textId="57FAAEFA"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r>
      <w:tr w:rsidR="006E40A8" w:rsidRPr="00FF507B" w14:paraId="1B90DA07" w14:textId="77777777" w:rsidTr="006E40A8">
        <w:trPr>
          <w:trHeight w:val="204"/>
        </w:trPr>
        <w:tc>
          <w:tcPr>
            <w:tcW w:w="3156" w:type="dxa"/>
            <w:tcBorders>
              <w:top w:val="nil"/>
              <w:left w:val="nil"/>
              <w:bottom w:val="nil"/>
              <w:right w:val="nil"/>
            </w:tcBorders>
            <w:shd w:val="clear" w:color="auto" w:fill="auto"/>
            <w:vAlign w:val="bottom"/>
            <w:hideMark/>
          </w:tcPr>
          <w:p w14:paraId="41B69FC1" w14:textId="77777777" w:rsidR="006E40A8" w:rsidRPr="001670C2" w:rsidRDefault="006E40A8" w:rsidP="006E40A8">
            <w:pPr>
              <w:spacing w:after="0" w:line="240" w:lineRule="auto"/>
              <w:jc w:val="left"/>
              <w:rPr>
                <w:rFonts w:ascii="Arial" w:hAnsi="Arial" w:cs="Arial"/>
                <w:b/>
                <w:bCs/>
                <w:sz w:val="16"/>
                <w:szCs w:val="16"/>
              </w:rPr>
            </w:pPr>
            <w:r w:rsidRPr="001670C2">
              <w:rPr>
                <w:rFonts w:ascii="Arial" w:hAnsi="Arial" w:cs="Arial"/>
                <w:b/>
                <w:bCs/>
                <w:sz w:val="16"/>
                <w:szCs w:val="16"/>
              </w:rPr>
              <w:t>Outcome 2</w:t>
            </w:r>
          </w:p>
        </w:tc>
        <w:tc>
          <w:tcPr>
            <w:tcW w:w="0" w:type="auto"/>
            <w:tcBorders>
              <w:top w:val="nil"/>
              <w:left w:val="nil"/>
              <w:bottom w:val="nil"/>
              <w:right w:val="nil"/>
            </w:tcBorders>
            <w:shd w:val="clear" w:color="auto" w:fill="auto"/>
            <w:noWrap/>
            <w:vAlign w:val="bottom"/>
            <w:hideMark/>
          </w:tcPr>
          <w:p w14:paraId="161B9744"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3B86D19D"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3E243992"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0EC15F19" w14:textId="6F4D73C4"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c>
          <w:tcPr>
            <w:tcW w:w="945" w:type="dxa"/>
            <w:tcBorders>
              <w:top w:val="nil"/>
              <w:left w:val="nil"/>
              <w:bottom w:val="nil"/>
              <w:right w:val="nil"/>
            </w:tcBorders>
            <w:shd w:val="clear" w:color="000000" w:fill="E6E6E6"/>
            <w:noWrap/>
            <w:vAlign w:val="bottom"/>
            <w:hideMark/>
          </w:tcPr>
          <w:p w14:paraId="2B69F961" w14:textId="2245B60C"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r>
      <w:tr w:rsidR="006E40A8" w:rsidRPr="00FF507B" w14:paraId="2D17AE8D" w14:textId="77777777" w:rsidTr="006E40A8">
        <w:trPr>
          <w:trHeight w:val="204"/>
        </w:trPr>
        <w:tc>
          <w:tcPr>
            <w:tcW w:w="3156" w:type="dxa"/>
            <w:tcBorders>
              <w:top w:val="nil"/>
              <w:left w:val="nil"/>
              <w:bottom w:val="nil"/>
              <w:right w:val="nil"/>
            </w:tcBorders>
            <w:shd w:val="clear" w:color="auto" w:fill="auto"/>
            <w:vAlign w:val="bottom"/>
            <w:hideMark/>
          </w:tcPr>
          <w:p w14:paraId="1F090594" w14:textId="77777777" w:rsidR="006E40A8" w:rsidRPr="001670C2" w:rsidRDefault="006E40A8" w:rsidP="006E40A8">
            <w:pPr>
              <w:spacing w:after="0" w:line="240" w:lineRule="auto"/>
              <w:ind w:left="113"/>
              <w:jc w:val="left"/>
              <w:rPr>
                <w:rFonts w:ascii="Arial" w:hAnsi="Arial" w:cs="Arial"/>
                <w:sz w:val="16"/>
                <w:szCs w:val="16"/>
              </w:rPr>
            </w:pPr>
            <w:r w:rsidRPr="001670C2">
              <w:rPr>
                <w:rFonts w:ascii="Arial" w:hAnsi="Arial" w:cs="Arial"/>
                <w:sz w:val="16"/>
                <w:szCs w:val="16"/>
              </w:rPr>
              <w:t>An efficient, sustainable, competitive, safe and secure transport system for all transport users through regulation, financial assistance and safety investigations</w:t>
            </w:r>
          </w:p>
        </w:tc>
        <w:tc>
          <w:tcPr>
            <w:tcW w:w="0" w:type="auto"/>
            <w:tcBorders>
              <w:top w:val="nil"/>
              <w:left w:val="nil"/>
              <w:bottom w:val="nil"/>
              <w:right w:val="nil"/>
            </w:tcBorders>
            <w:shd w:val="clear" w:color="auto" w:fill="auto"/>
            <w:noWrap/>
            <w:vAlign w:val="bottom"/>
            <w:hideMark/>
          </w:tcPr>
          <w:p w14:paraId="3827B9BC" w14:textId="43D764B6"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117,731 </w:t>
            </w:r>
          </w:p>
        </w:tc>
        <w:tc>
          <w:tcPr>
            <w:tcW w:w="0" w:type="auto"/>
            <w:tcBorders>
              <w:top w:val="nil"/>
              <w:left w:val="nil"/>
              <w:bottom w:val="nil"/>
              <w:right w:val="nil"/>
            </w:tcBorders>
            <w:shd w:val="clear" w:color="auto" w:fill="auto"/>
            <w:noWrap/>
            <w:vAlign w:val="bottom"/>
            <w:hideMark/>
          </w:tcPr>
          <w:p w14:paraId="670D3943" w14:textId="525EAF07"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136,291 </w:t>
            </w:r>
          </w:p>
        </w:tc>
        <w:tc>
          <w:tcPr>
            <w:tcW w:w="0" w:type="auto"/>
            <w:tcBorders>
              <w:top w:val="nil"/>
              <w:left w:val="nil"/>
              <w:bottom w:val="nil"/>
              <w:right w:val="nil"/>
            </w:tcBorders>
            <w:shd w:val="clear" w:color="auto" w:fill="auto"/>
            <w:noWrap/>
            <w:vAlign w:val="bottom"/>
            <w:hideMark/>
          </w:tcPr>
          <w:p w14:paraId="015AA2A0" w14:textId="266E7867"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139,714 </w:t>
            </w:r>
          </w:p>
        </w:tc>
        <w:tc>
          <w:tcPr>
            <w:tcW w:w="0" w:type="auto"/>
            <w:tcBorders>
              <w:top w:val="nil"/>
              <w:left w:val="nil"/>
              <w:bottom w:val="nil"/>
              <w:right w:val="nil"/>
            </w:tcBorders>
            <w:shd w:val="clear" w:color="000000" w:fill="E6E6E6"/>
            <w:noWrap/>
            <w:vAlign w:val="bottom"/>
            <w:hideMark/>
          </w:tcPr>
          <w:p w14:paraId="0D1D7B17" w14:textId="65C7895A"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3,423 </w:t>
            </w:r>
          </w:p>
        </w:tc>
        <w:tc>
          <w:tcPr>
            <w:tcW w:w="945" w:type="dxa"/>
            <w:tcBorders>
              <w:top w:val="nil"/>
              <w:left w:val="nil"/>
              <w:bottom w:val="nil"/>
              <w:right w:val="nil"/>
            </w:tcBorders>
            <w:shd w:val="clear" w:color="000000" w:fill="E6E6E6"/>
            <w:noWrap/>
            <w:vAlign w:val="bottom"/>
            <w:hideMark/>
          </w:tcPr>
          <w:p w14:paraId="3F07E637" w14:textId="4FBE8BFD"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r>
      <w:tr w:rsidR="006E40A8" w:rsidRPr="00FF507B" w14:paraId="0089B33F" w14:textId="77777777" w:rsidTr="006E40A8">
        <w:trPr>
          <w:trHeight w:val="204"/>
        </w:trPr>
        <w:tc>
          <w:tcPr>
            <w:tcW w:w="3156" w:type="dxa"/>
            <w:tcBorders>
              <w:top w:val="nil"/>
              <w:left w:val="nil"/>
              <w:bottom w:val="nil"/>
              <w:right w:val="nil"/>
            </w:tcBorders>
            <w:shd w:val="clear" w:color="auto" w:fill="auto"/>
            <w:vAlign w:val="bottom"/>
            <w:hideMark/>
          </w:tcPr>
          <w:p w14:paraId="00901BDC" w14:textId="77777777" w:rsidR="006E40A8" w:rsidRPr="001670C2" w:rsidRDefault="006E40A8" w:rsidP="006E40A8">
            <w:pPr>
              <w:spacing w:after="0" w:line="240" w:lineRule="auto"/>
              <w:jc w:val="left"/>
              <w:rPr>
                <w:rFonts w:ascii="Arial" w:hAnsi="Arial" w:cs="Arial"/>
                <w:b/>
                <w:bCs/>
                <w:sz w:val="16"/>
                <w:szCs w:val="16"/>
              </w:rPr>
            </w:pPr>
            <w:r w:rsidRPr="001670C2">
              <w:rPr>
                <w:rFonts w:ascii="Arial" w:hAnsi="Arial" w:cs="Arial"/>
                <w:b/>
                <w:bCs/>
                <w:sz w:val="16"/>
                <w:szCs w:val="16"/>
              </w:rPr>
              <w:t>Outcome 3</w:t>
            </w:r>
          </w:p>
        </w:tc>
        <w:tc>
          <w:tcPr>
            <w:tcW w:w="0" w:type="auto"/>
            <w:tcBorders>
              <w:top w:val="nil"/>
              <w:left w:val="nil"/>
              <w:bottom w:val="nil"/>
              <w:right w:val="nil"/>
            </w:tcBorders>
            <w:shd w:val="clear" w:color="auto" w:fill="auto"/>
            <w:noWrap/>
            <w:vAlign w:val="bottom"/>
            <w:hideMark/>
          </w:tcPr>
          <w:p w14:paraId="33898916"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3E5CD361"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0A261309"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71B4F385" w14:textId="05D1B9E3"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c>
          <w:tcPr>
            <w:tcW w:w="945" w:type="dxa"/>
            <w:tcBorders>
              <w:top w:val="nil"/>
              <w:left w:val="nil"/>
              <w:bottom w:val="nil"/>
              <w:right w:val="nil"/>
            </w:tcBorders>
            <w:shd w:val="clear" w:color="000000" w:fill="E6E6E6"/>
            <w:noWrap/>
            <w:vAlign w:val="bottom"/>
            <w:hideMark/>
          </w:tcPr>
          <w:p w14:paraId="45EF1872" w14:textId="5B168E41"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r>
      <w:tr w:rsidR="006E40A8" w:rsidRPr="00FF507B" w14:paraId="4944BFE4" w14:textId="77777777" w:rsidTr="006E40A8">
        <w:trPr>
          <w:trHeight w:val="204"/>
        </w:trPr>
        <w:tc>
          <w:tcPr>
            <w:tcW w:w="3156" w:type="dxa"/>
            <w:tcBorders>
              <w:top w:val="nil"/>
              <w:left w:val="nil"/>
              <w:bottom w:val="nil"/>
              <w:right w:val="nil"/>
            </w:tcBorders>
            <w:shd w:val="clear" w:color="auto" w:fill="auto"/>
            <w:vAlign w:val="bottom"/>
            <w:hideMark/>
          </w:tcPr>
          <w:p w14:paraId="3DAE2598" w14:textId="6CAE115C" w:rsidR="006E40A8" w:rsidRPr="001670C2" w:rsidRDefault="006E40A8" w:rsidP="006E40A8">
            <w:pPr>
              <w:spacing w:after="0" w:line="240" w:lineRule="auto"/>
              <w:ind w:left="113"/>
              <w:jc w:val="left"/>
              <w:rPr>
                <w:rFonts w:ascii="Arial" w:hAnsi="Arial" w:cs="Arial"/>
                <w:sz w:val="16"/>
                <w:szCs w:val="16"/>
              </w:rPr>
            </w:pPr>
            <w:r w:rsidRPr="001670C2">
              <w:rPr>
                <w:rFonts w:ascii="Arial" w:hAnsi="Arial" w:cs="Arial"/>
                <w:sz w:val="16"/>
                <w:szCs w:val="16"/>
              </w:rPr>
              <w:t>Strengthening the sustainability, capacity and diversity of Australia’s cities and regions including through facilitating local partnerships between all levels of government and local communities; through investment in water infrastructure and measures that stimulate economic growth; and providing grants and financial assistance</w:t>
            </w:r>
          </w:p>
        </w:tc>
        <w:tc>
          <w:tcPr>
            <w:tcW w:w="0" w:type="auto"/>
            <w:tcBorders>
              <w:top w:val="nil"/>
              <w:left w:val="nil"/>
              <w:bottom w:val="nil"/>
              <w:right w:val="nil"/>
            </w:tcBorders>
            <w:shd w:val="clear" w:color="auto" w:fill="auto"/>
            <w:noWrap/>
            <w:vAlign w:val="bottom"/>
            <w:hideMark/>
          </w:tcPr>
          <w:p w14:paraId="5CE50A6A" w14:textId="69DB51BA"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69,588 </w:t>
            </w:r>
          </w:p>
        </w:tc>
        <w:tc>
          <w:tcPr>
            <w:tcW w:w="0" w:type="auto"/>
            <w:tcBorders>
              <w:top w:val="nil"/>
              <w:left w:val="nil"/>
              <w:bottom w:val="nil"/>
              <w:right w:val="nil"/>
            </w:tcBorders>
            <w:shd w:val="clear" w:color="auto" w:fill="auto"/>
            <w:noWrap/>
            <w:vAlign w:val="bottom"/>
            <w:hideMark/>
          </w:tcPr>
          <w:p w14:paraId="59CD73C6" w14:textId="7BC4D728"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66,542 </w:t>
            </w:r>
          </w:p>
        </w:tc>
        <w:tc>
          <w:tcPr>
            <w:tcW w:w="0" w:type="auto"/>
            <w:tcBorders>
              <w:top w:val="nil"/>
              <w:left w:val="nil"/>
              <w:bottom w:val="nil"/>
              <w:right w:val="nil"/>
            </w:tcBorders>
            <w:shd w:val="clear" w:color="auto" w:fill="auto"/>
            <w:noWrap/>
            <w:vAlign w:val="bottom"/>
            <w:hideMark/>
          </w:tcPr>
          <w:p w14:paraId="39DF6904" w14:textId="2CBD4B07"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66,542 </w:t>
            </w:r>
          </w:p>
        </w:tc>
        <w:tc>
          <w:tcPr>
            <w:tcW w:w="0" w:type="auto"/>
            <w:tcBorders>
              <w:top w:val="nil"/>
              <w:left w:val="nil"/>
              <w:bottom w:val="nil"/>
              <w:right w:val="nil"/>
            </w:tcBorders>
            <w:shd w:val="clear" w:color="000000" w:fill="E6E6E6"/>
            <w:noWrap/>
            <w:vAlign w:val="bottom"/>
            <w:hideMark/>
          </w:tcPr>
          <w:p w14:paraId="4ACCA27B" w14:textId="527972BC"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c>
          <w:tcPr>
            <w:tcW w:w="945" w:type="dxa"/>
            <w:tcBorders>
              <w:top w:val="nil"/>
              <w:left w:val="nil"/>
              <w:bottom w:val="nil"/>
              <w:right w:val="nil"/>
            </w:tcBorders>
            <w:shd w:val="clear" w:color="000000" w:fill="E6E6E6"/>
            <w:noWrap/>
            <w:vAlign w:val="bottom"/>
            <w:hideMark/>
          </w:tcPr>
          <w:p w14:paraId="27823555" w14:textId="081CC37F"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r>
      <w:tr w:rsidR="006E40A8" w:rsidRPr="00FF507B" w14:paraId="38529131" w14:textId="77777777" w:rsidTr="006E40A8">
        <w:trPr>
          <w:trHeight w:val="204"/>
        </w:trPr>
        <w:tc>
          <w:tcPr>
            <w:tcW w:w="3156" w:type="dxa"/>
            <w:tcBorders>
              <w:top w:val="nil"/>
              <w:left w:val="nil"/>
              <w:bottom w:val="nil"/>
              <w:right w:val="nil"/>
            </w:tcBorders>
            <w:shd w:val="clear" w:color="auto" w:fill="auto"/>
            <w:vAlign w:val="bottom"/>
            <w:hideMark/>
          </w:tcPr>
          <w:p w14:paraId="6D8268A4" w14:textId="77777777" w:rsidR="006E40A8" w:rsidRPr="001670C2" w:rsidRDefault="006E40A8" w:rsidP="006E40A8">
            <w:pPr>
              <w:spacing w:after="0" w:line="240" w:lineRule="auto"/>
              <w:jc w:val="left"/>
              <w:rPr>
                <w:rFonts w:ascii="Arial" w:hAnsi="Arial" w:cs="Arial"/>
                <w:b/>
                <w:bCs/>
                <w:sz w:val="16"/>
                <w:szCs w:val="16"/>
              </w:rPr>
            </w:pPr>
            <w:r w:rsidRPr="001670C2">
              <w:rPr>
                <w:rFonts w:ascii="Arial" w:hAnsi="Arial" w:cs="Arial"/>
                <w:b/>
                <w:bCs/>
                <w:sz w:val="16"/>
                <w:szCs w:val="16"/>
              </w:rPr>
              <w:t>Outcome 4</w:t>
            </w:r>
          </w:p>
        </w:tc>
        <w:tc>
          <w:tcPr>
            <w:tcW w:w="0" w:type="auto"/>
            <w:tcBorders>
              <w:top w:val="nil"/>
              <w:left w:val="nil"/>
              <w:bottom w:val="nil"/>
              <w:right w:val="nil"/>
            </w:tcBorders>
            <w:shd w:val="clear" w:color="auto" w:fill="auto"/>
            <w:noWrap/>
            <w:vAlign w:val="bottom"/>
            <w:hideMark/>
          </w:tcPr>
          <w:p w14:paraId="3EF53B1D"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60E991CA"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7B8ACC71"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16D217FE" w14:textId="407B3F6B"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c>
          <w:tcPr>
            <w:tcW w:w="945" w:type="dxa"/>
            <w:tcBorders>
              <w:top w:val="nil"/>
              <w:left w:val="nil"/>
              <w:bottom w:val="nil"/>
              <w:right w:val="nil"/>
            </w:tcBorders>
            <w:shd w:val="clear" w:color="000000" w:fill="E6E6E6"/>
            <w:noWrap/>
            <w:vAlign w:val="bottom"/>
            <w:hideMark/>
          </w:tcPr>
          <w:p w14:paraId="14EF3861" w14:textId="5C8833A7"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r>
      <w:tr w:rsidR="006E40A8" w:rsidRPr="00FF507B" w14:paraId="573A1A08" w14:textId="77777777" w:rsidTr="006E40A8">
        <w:trPr>
          <w:trHeight w:val="204"/>
        </w:trPr>
        <w:tc>
          <w:tcPr>
            <w:tcW w:w="3156" w:type="dxa"/>
            <w:tcBorders>
              <w:top w:val="nil"/>
              <w:left w:val="nil"/>
              <w:bottom w:val="nil"/>
              <w:right w:val="nil"/>
            </w:tcBorders>
            <w:shd w:val="clear" w:color="auto" w:fill="auto"/>
            <w:vAlign w:val="bottom"/>
            <w:hideMark/>
          </w:tcPr>
          <w:p w14:paraId="5298E83B" w14:textId="1AD3379A" w:rsidR="006E40A8" w:rsidRPr="001670C2" w:rsidRDefault="006E40A8" w:rsidP="006E40A8">
            <w:pPr>
              <w:spacing w:after="0" w:line="240" w:lineRule="auto"/>
              <w:ind w:left="113"/>
              <w:jc w:val="left"/>
              <w:rPr>
                <w:rFonts w:ascii="Arial" w:hAnsi="Arial" w:cs="Arial"/>
                <w:sz w:val="16"/>
                <w:szCs w:val="16"/>
              </w:rPr>
            </w:pPr>
            <w:r w:rsidRPr="001670C2">
              <w:rPr>
                <w:rFonts w:ascii="Arial" w:hAnsi="Arial" w:cs="Arial"/>
                <w:sz w:val="16"/>
                <w:szCs w:val="16"/>
              </w:rPr>
              <w:t>Good governance and service delivery in the Australian territories including through the maintenance and improvement of the laws and services for non-self-governing territories, and the overarching legislative framework for self-governing territories</w:t>
            </w:r>
          </w:p>
        </w:tc>
        <w:tc>
          <w:tcPr>
            <w:tcW w:w="0" w:type="auto"/>
            <w:tcBorders>
              <w:top w:val="nil"/>
              <w:left w:val="nil"/>
              <w:bottom w:val="nil"/>
              <w:right w:val="nil"/>
            </w:tcBorders>
            <w:shd w:val="clear" w:color="auto" w:fill="auto"/>
            <w:noWrap/>
            <w:vAlign w:val="bottom"/>
            <w:hideMark/>
          </w:tcPr>
          <w:p w14:paraId="4F11FAB2" w14:textId="58CAF71F"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26,867 </w:t>
            </w:r>
          </w:p>
        </w:tc>
        <w:tc>
          <w:tcPr>
            <w:tcW w:w="0" w:type="auto"/>
            <w:tcBorders>
              <w:top w:val="nil"/>
              <w:left w:val="nil"/>
              <w:bottom w:val="nil"/>
              <w:right w:val="nil"/>
            </w:tcBorders>
            <w:shd w:val="clear" w:color="auto" w:fill="auto"/>
            <w:noWrap/>
            <w:vAlign w:val="bottom"/>
            <w:hideMark/>
          </w:tcPr>
          <w:p w14:paraId="7FCB61A4" w14:textId="63F6B25B"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30,926 </w:t>
            </w:r>
          </w:p>
        </w:tc>
        <w:tc>
          <w:tcPr>
            <w:tcW w:w="0" w:type="auto"/>
            <w:tcBorders>
              <w:top w:val="nil"/>
              <w:left w:val="nil"/>
              <w:bottom w:val="nil"/>
              <w:right w:val="nil"/>
            </w:tcBorders>
            <w:shd w:val="clear" w:color="auto" w:fill="auto"/>
            <w:noWrap/>
            <w:vAlign w:val="bottom"/>
            <w:hideMark/>
          </w:tcPr>
          <w:p w14:paraId="386DCEC2" w14:textId="4ED09189"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31,165 </w:t>
            </w:r>
          </w:p>
        </w:tc>
        <w:tc>
          <w:tcPr>
            <w:tcW w:w="0" w:type="auto"/>
            <w:tcBorders>
              <w:top w:val="nil"/>
              <w:left w:val="nil"/>
              <w:bottom w:val="nil"/>
              <w:right w:val="nil"/>
            </w:tcBorders>
            <w:shd w:val="clear" w:color="000000" w:fill="E6E6E6"/>
            <w:noWrap/>
            <w:vAlign w:val="bottom"/>
            <w:hideMark/>
          </w:tcPr>
          <w:p w14:paraId="67A1BDD1" w14:textId="77FA7703"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239 </w:t>
            </w:r>
          </w:p>
        </w:tc>
        <w:tc>
          <w:tcPr>
            <w:tcW w:w="945" w:type="dxa"/>
            <w:tcBorders>
              <w:top w:val="nil"/>
              <w:left w:val="nil"/>
              <w:bottom w:val="nil"/>
              <w:right w:val="nil"/>
            </w:tcBorders>
            <w:shd w:val="clear" w:color="000000" w:fill="E6E6E6"/>
            <w:noWrap/>
            <w:vAlign w:val="bottom"/>
            <w:hideMark/>
          </w:tcPr>
          <w:p w14:paraId="42FBF6DB" w14:textId="52395FE4"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r>
      <w:tr w:rsidR="006E40A8" w:rsidRPr="00FF507B" w14:paraId="11D23913" w14:textId="77777777" w:rsidTr="006E40A8">
        <w:trPr>
          <w:trHeight w:val="204"/>
        </w:trPr>
        <w:tc>
          <w:tcPr>
            <w:tcW w:w="3156" w:type="dxa"/>
            <w:tcBorders>
              <w:top w:val="nil"/>
              <w:left w:val="nil"/>
              <w:bottom w:val="nil"/>
              <w:right w:val="nil"/>
            </w:tcBorders>
            <w:shd w:val="clear" w:color="auto" w:fill="auto"/>
            <w:vAlign w:val="bottom"/>
            <w:hideMark/>
          </w:tcPr>
          <w:p w14:paraId="6B058304" w14:textId="77777777" w:rsidR="006E40A8" w:rsidRPr="001670C2" w:rsidRDefault="006E40A8" w:rsidP="006E40A8">
            <w:pPr>
              <w:spacing w:after="0" w:line="240" w:lineRule="auto"/>
              <w:jc w:val="left"/>
              <w:rPr>
                <w:rFonts w:ascii="Arial" w:hAnsi="Arial" w:cs="Arial"/>
                <w:b/>
                <w:bCs/>
                <w:sz w:val="16"/>
                <w:szCs w:val="16"/>
              </w:rPr>
            </w:pPr>
            <w:r w:rsidRPr="001670C2">
              <w:rPr>
                <w:rFonts w:ascii="Arial" w:hAnsi="Arial" w:cs="Arial"/>
                <w:b/>
                <w:bCs/>
                <w:sz w:val="16"/>
                <w:szCs w:val="16"/>
              </w:rPr>
              <w:t>Outcome 5</w:t>
            </w:r>
          </w:p>
        </w:tc>
        <w:tc>
          <w:tcPr>
            <w:tcW w:w="0" w:type="auto"/>
            <w:tcBorders>
              <w:top w:val="nil"/>
              <w:left w:val="nil"/>
              <w:bottom w:val="nil"/>
              <w:right w:val="nil"/>
            </w:tcBorders>
            <w:shd w:val="clear" w:color="auto" w:fill="auto"/>
            <w:noWrap/>
            <w:vAlign w:val="bottom"/>
            <w:hideMark/>
          </w:tcPr>
          <w:p w14:paraId="4D800FB0"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44E6A7AE"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5FBBA8C2"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3D45FF8E" w14:textId="43F57AC8"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c>
          <w:tcPr>
            <w:tcW w:w="945" w:type="dxa"/>
            <w:tcBorders>
              <w:top w:val="nil"/>
              <w:left w:val="nil"/>
              <w:bottom w:val="nil"/>
              <w:right w:val="nil"/>
            </w:tcBorders>
            <w:shd w:val="clear" w:color="000000" w:fill="E6E6E6"/>
            <w:noWrap/>
            <w:vAlign w:val="bottom"/>
            <w:hideMark/>
          </w:tcPr>
          <w:p w14:paraId="4169C5B3" w14:textId="7027BF23"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r>
      <w:tr w:rsidR="006E40A8" w:rsidRPr="00FF507B" w14:paraId="6DCDFFD5" w14:textId="77777777" w:rsidTr="006E40A8">
        <w:trPr>
          <w:trHeight w:val="204"/>
        </w:trPr>
        <w:tc>
          <w:tcPr>
            <w:tcW w:w="3156" w:type="dxa"/>
            <w:tcBorders>
              <w:top w:val="nil"/>
              <w:left w:val="nil"/>
              <w:bottom w:val="nil"/>
              <w:right w:val="nil"/>
            </w:tcBorders>
            <w:shd w:val="clear" w:color="auto" w:fill="auto"/>
            <w:vAlign w:val="bottom"/>
            <w:hideMark/>
          </w:tcPr>
          <w:p w14:paraId="48E44799" w14:textId="77777777" w:rsidR="006E40A8" w:rsidRPr="001670C2" w:rsidRDefault="006E40A8" w:rsidP="006E40A8">
            <w:pPr>
              <w:spacing w:after="0" w:line="240" w:lineRule="auto"/>
              <w:ind w:left="113"/>
              <w:jc w:val="left"/>
              <w:rPr>
                <w:rFonts w:ascii="Arial" w:hAnsi="Arial" w:cs="Arial"/>
                <w:sz w:val="16"/>
                <w:szCs w:val="16"/>
              </w:rPr>
            </w:pPr>
            <w:r w:rsidRPr="001670C2">
              <w:rPr>
                <w:rFonts w:ascii="Arial" w:hAnsi="Arial" w:cs="Arial"/>
                <w:sz w:val="16"/>
                <w:szCs w:val="16"/>
              </w:rPr>
              <w:t>Promote an innovative and competitive communications sector, through policy development, advice and program delivery, so all Australians can realise the full potential of digital technologies and communications services</w:t>
            </w:r>
          </w:p>
        </w:tc>
        <w:tc>
          <w:tcPr>
            <w:tcW w:w="0" w:type="auto"/>
            <w:tcBorders>
              <w:top w:val="nil"/>
              <w:left w:val="nil"/>
              <w:bottom w:val="nil"/>
              <w:right w:val="nil"/>
            </w:tcBorders>
            <w:shd w:val="clear" w:color="auto" w:fill="auto"/>
            <w:noWrap/>
            <w:vAlign w:val="bottom"/>
            <w:hideMark/>
          </w:tcPr>
          <w:p w14:paraId="789B8D2C" w14:textId="0AB02EFD"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67,427 </w:t>
            </w:r>
          </w:p>
        </w:tc>
        <w:tc>
          <w:tcPr>
            <w:tcW w:w="0" w:type="auto"/>
            <w:tcBorders>
              <w:top w:val="nil"/>
              <w:left w:val="nil"/>
              <w:bottom w:val="nil"/>
              <w:right w:val="nil"/>
            </w:tcBorders>
            <w:shd w:val="clear" w:color="auto" w:fill="auto"/>
            <w:noWrap/>
            <w:vAlign w:val="bottom"/>
            <w:hideMark/>
          </w:tcPr>
          <w:p w14:paraId="0283D3F7" w14:textId="48C06702"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70,621 </w:t>
            </w:r>
          </w:p>
        </w:tc>
        <w:tc>
          <w:tcPr>
            <w:tcW w:w="0" w:type="auto"/>
            <w:tcBorders>
              <w:top w:val="nil"/>
              <w:left w:val="nil"/>
              <w:bottom w:val="nil"/>
              <w:right w:val="nil"/>
            </w:tcBorders>
            <w:shd w:val="clear" w:color="auto" w:fill="auto"/>
            <w:noWrap/>
            <w:vAlign w:val="bottom"/>
            <w:hideMark/>
          </w:tcPr>
          <w:p w14:paraId="16674B54" w14:textId="64A6B07F"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73,323 </w:t>
            </w:r>
          </w:p>
        </w:tc>
        <w:tc>
          <w:tcPr>
            <w:tcW w:w="0" w:type="auto"/>
            <w:tcBorders>
              <w:top w:val="nil"/>
              <w:left w:val="nil"/>
              <w:bottom w:val="nil"/>
              <w:right w:val="nil"/>
            </w:tcBorders>
            <w:shd w:val="clear" w:color="000000" w:fill="E6E6E6"/>
            <w:noWrap/>
            <w:vAlign w:val="bottom"/>
            <w:hideMark/>
          </w:tcPr>
          <w:p w14:paraId="13C18985" w14:textId="193C4724"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2,707 </w:t>
            </w:r>
          </w:p>
        </w:tc>
        <w:tc>
          <w:tcPr>
            <w:tcW w:w="945" w:type="dxa"/>
            <w:tcBorders>
              <w:top w:val="nil"/>
              <w:left w:val="nil"/>
              <w:bottom w:val="nil"/>
              <w:right w:val="nil"/>
            </w:tcBorders>
            <w:shd w:val="clear" w:color="000000" w:fill="E6E6E6"/>
            <w:noWrap/>
            <w:vAlign w:val="bottom"/>
            <w:hideMark/>
          </w:tcPr>
          <w:p w14:paraId="02C5800C" w14:textId="6A626BFD"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5 </w:t>
            </w:r>
          </w:p>
        </w:tc>
      </w:tr>
      <w:tr w:rsidR="006E40A8" w:rsidRPr="00FF507B" w14:paraId="39D1B338" w14:textId="77777777" w:rsidTr="006E40A8">
        <w:trPr>
          <w:trHeight w:val="204"/>
        </w:trPr>
        <w:tc>
          <w:tcPr>
            <w:tcW w:w="3156" w:type="dxa"/>
            <w:tcBorders>
              <w:top w:val="nil"/>
              <w:left w:val="nil"/>
              <w:bottom w:val="nil"/>
              <w:right w:val="nil"/>
            </w:tcBorders>
            <w:shd w:val="clear" w:color="auto" w:fill="auto"/>
            <w:vAlign w:val="bottom"/>
            <w:hideMark/>
          </w:tcPr>
          <w:p w14:paraId="12DC866B" w14:textId="77777777" w:rsidR="006E40A8" w:rsidRPr="001670C2" w:rsidRDefault="006E40A8" w:rsidP="006E40A8">
            <w:pPr>
              <w:spacing w:after="0" w:line="240" w:lineRule="auto"/>
              <w:jc w:val="left"/>
              <w:rPr>
                <w:rFonts w:ascii="Arial" w:hAnsi="Arial" w:cs="Arial"/>
                <w:b/>
                <w:bCs/>
                <w:sz w:val="16"/>
                <w:szCs w:val="16"/>
              </w:rPr>
            </w:pPr>
            <w:r w:rsidRPr="001670C2">
              <w:rPr>
                <w:rFonts w:ascii="Arial" w:hAnsi="Arial" w:cs="Arial"/>
                <w:b/>
                <w:bCs/>
                <w:sz w:val="16"/>
                <w:szCs w:val="16"/>
              </w:rPr>
              <w:t>Outcome 6</w:t>
            </w:r>
          </w:p>
        </w:tc>
        <w:tc>
          <w:tcPr>
            <w:tcW w:w="0" w:type="auto"/>
            <w:tcBorders>
              <w:top w:val="nil"/>
              <w:left w:val="nil"/>
              <w:bottom w:val="nil"/>
              <w:right w:val="nil"/>
            </w:tcBorders>
            <w:shd w:val="clear" w:color="auto" w:fill="auto"/>
            <w:noWrap/>
            <w:vAlign w:val="bottom"/>
            <w:hideMark/>
          </w:tcPr>
          <w:p w14:paraId="311D80FA"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53E9C2F2"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49E8ACBC" w14:textId="77777777" w:rsidR="006E40A8" w:rsidRPr="00CB518B" w:rsidRDefault="006E40A8" w:rsidP="006E40A8">
            <w:pPr>
              <w:spacing w:after="0" w:line="240" w:lineRule="auto"/>
              <w:ind w:right="78"/>
              <w:jc w:val="right"/>
              <w:rPr>
                <w:rFonts w:ascii="Arial" w:hAnsi="Arial" w:cs="Arial"/>
                <w:sz w:val="16"/>
                <w:szCs w:val="16"/>
              </w:rPr>
            </w:pPr>
          </w:p>
        </w:tc>
        <w:tc>
          <w:tcPr>
            <w:tcW w:w="0" w:type="auto"/>
            <w:tcBorders>
              <w:top w:val="nil"/>
              <w:left w:val="nil"/>
              <w:bottom w:val="nil"/>
              <w:right w:val="nil"/>
            </w:tcBorders>
            <w:shd w:val="clear" w:color="000000" w:fill="E6E6E6"/>
            <w:noWrap/>
            <w:vAlign w:val="bottom"/>
            <w:hideMark/>
          </w:tcPr>
          <w:p w14:paraId="7E377492" w14:textId="0D5DF411"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c>
          <w:tcPr>
            <w:tcW w:w="945" w:type="dxa"/>
            <w:tcBorders>
              <w:top w:val="nil"/>
              <w:left w:val="nil"/>
              <w:bottom w:val="nil"/>
              <w:right w:val="nil"/>
            </w:tcBorders>
            <w:shd w:val="clear" w:color="000000" w:fill="E6E6E6"/>
            <w:noWrap/>
            <w:vAlign w:val="bottom"/>
            <w:hideMark/>
          </w:tcPr>
          <w:p w14:paraId="308001CC" w14:textId="1E6A8761"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w:t>
            </w:r>
          </w:p>
        </w:tc>
      </w:tr>
      <w:tr w:rsidR="006E40A8" w:rsidRPr="00FF507B" w14:paraId="31E6C2A4" w14:textId="77777777" w:rsidTr="006E40A8">
        <w:trPr>
          <w:trHeight w:val="204"/>
        </w:trPr>
        <w:tc>
          <w:tcPr>
            <w:tcW w:w="3156" w:type="dxa"/>
            <w:tcBorders>
              <w:top w:val="nil"/>
              <w:left w:val="nil"/>
              <w:bottom w:val="nil"/>
              <w:right w:val="nil"/>
            </w:tcBorders>
            <w:shd w:val="clear" w:color="auto" w:fill="auto"/>
            <w:vAlign w:val="bottom"/>
            <w:hideMark/>
          </w:tcPr>
          <w:p w14:paraId="3CD54974" w14:textId="3D2AF799" w:rsidR="006E40A8" w:rsidRPr="001670C2" w:rsidRDefault="006E40A8" w:rsidP="006E40A8">
            <w:pPr>
              <w:spacing w:after="0" w:line="240" w:lineRule="auto"/>
              <w:ind w:left="113"/>
              <w:jc w:val="left"/>
              <w:rPr>
                <w:rFonts w:ascii="Arial" w:hAnsi="Arial" w:cs="Arial"/>
                <w:sz w:val="16"/>
                <w:szCs w:val="16"/>
              </w:rPr>
            </w:pPr>
            <w:r w:rsidRPr="001670C2">
              <w:rPr>
                <w:rFonts w:ascii="Arial" w:hAnsi="Arial" w:cs="Arial"/>
                <w:sz w:val="16"/>
                <w:szCs w:val="16"/>
              </w:rPr>
              <w:t>Participation in, and access to, Australia's arts and culture through developing and supporting cultural expression</w:t>
            </w:r>
          </w:p>
        </w:tc>
        <w:tc>
          <w:tcPr>
            <w:tcW w:w="0" w:type="auto"/>
            <w:tcBorders>
              <w:top w:val="nil"/>
              <w:left w:val="nil"/>
              <w:bottom w:val="nil"/>
              <w:right w:val="nil"/>
            </w:tcBorders>
            <w:shd w:val="clear" w:color="auto" w:fill="auto"/>
            <w:noWrap/>
            <w:vAlign w:val="bottom"/>
            <w:hideMark/>
          </w:tcPr>
          <w:p w14:paraId="5D6FC65F" w14:textId="43D5F484"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47,895 </w:t>
            </w:r>
          </w:p>
        </w:tc>
        <w:tc>
          <w:tcPr>
            <w:tcW w:w="0" w:type="auto"/>
            <w:tcBorders>
              <w:top w:val="nil"/>
              <w:left w:val="nil"/>
              <w:bottom w:val="nil"/>
              <w:right w:val="nil"/>
            </w:tcBorders>
            <w:shd w:val="clear" w:color="auto" w:fill="auto"/>
            <w:noWrap/>
            <w:vAlign w:val="bottom"/>
            <w:hideMark/>
          </w:tcPr>
          <w:p w14:paraId="241A258C" w14:textId="1398FC93"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46,450 </w:t>
            </w:r>
          </w:p>
        </w:tc>
        <w:tc>
          <w:tcPr>
            <w:tcW w:w="0" w:type="auto"/>
            <w:tcBorders>
              <w:top w:val="nil"/>
              <w:left w:val="nil"/>
              <w:bottom w:val="nil"/>
              <w:right w:val="nil"/>
            </w:tcBorders>
            <w:shd w:val="clear" w:color="auto" w:fill="auto"/>
            <w:noWrap/>
            <w:vAlign w:val="bottom"/>
            <w:hideMark/>
          </w:tcPr>
          <w:p w14:paraId="1A1F2914" w14:textId="7883838C" w:rsidR="006E40A8" w:rsidRPr="00CB518B" w:rsidRDefault="006E40A8" w:rsidP="006E40A8">
            <w:pPr>
              <w:spacing w:after="0" w:line="240" w:lineRule="auto"/>
              <w:ind w:right="78"/>
              <w:jc w:val="right"/>
              <w:rPr>
                <w:rFonts w:ascii="Arial" w:hAnsi="Arial" w:cs="Arial"/>
                <w:sz w:val="16"/>
                <w:szCs w:val="16"/>
              </w:rPr>
            </w:pPr>
            <w:r>
              <w:rPr>
                <w:rFonts w:ascii="Arial" w:hAnsi="Arial" w:cs="Arial"/>
                <w:sz w:val="16"/>
                <w:szCs w:val="16"/>
              </w:rPr>
              <w:t xml:space="preserve">49,217 </w:t>
            </w:r>
          </w:p>
        </w:tc>
        <w:tc>
          <w:tcPr>
            <w:tcW w:w="0" w:type="auto"/>
            <w:tcBorders>
              <w:top w:val="nil"/>
              <w:left w:val="nil"/>
              <w:bottom w:val="nil"/>
              <w:right w:val="nil"/>
            </w:tcBorders>
            <w:shd w:val="clear" w:color="000000" w:fill="E6E6E6"/>
            <w:noWrap/>
            <w:vAlign w:val="bottom"/>
            <w:hideMark/>
          </w:tcPr>
          <w:p w14:paraId="3877A71A" w14:textId="74159367"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2,767 </w:t>
            </w:r>
          </w:p>
        </w:tc>
        <w:tc>
          <w:tcPr>
            <w:tcW w:w="945" w:type="dxa"/>
            <w:tcBorders>
              <w:top w:val="nil"/>
              <w:left w:val="nil"/>
              <w:bottom w:val="nil"/>
              <w:right w:val="nil"/>
            </w:tcBorders>
            <w:shd w:val="clear" w:color="000000" w:fill="E6E6E6"/>
            <w:noWrap/>
            <w:vAlign w:val="bottom"/>
            <w:hideMark/>
          </w:tcPr>
          <w:p w14:paraId="61526B2F" w14:textId="6C61C3D2" w:rsidR="006E40A8" w:rsidRPr="00C77909" w:rsidRDefault="006E40A8" w:rsidP="006E40A8">
            <w:pPr>
              <w:spacing w:after="0" w:line="240" w:lineRule="auto"/>
              <w:ind w:right="78"/>
              <w:jc w:val="right"/>
              <w:rPr>
                <w:rFonts w:ascii="Arial" w:hAnsi="Arial" w:cs="Arial"/>
                <w:sz w:val="16"/>
                <w:szCs w:val="16"/>
                <w:highlight w:val="yellow"/>
              </w:rPr>
            </w:pPr>
            <w:r>
              <w:rPr>
                <w:rFonts w:ascii="Arial" w:hAnsi="Arial" w:cs="Arial"/>
                <w:sz w:val="16"/>
                <w:szCs w:val="16"/>
              </w:rPr>
              <w:t xml:space="preserve">- </w:t>
            </w:r>
          </w:p>
        </w:tc>
      </w:tr>
      <w:tr w:rsidR="006E40A8" w:rsidRPr="00FF507B" w14:paraId="1B48F9E9" w14:textId="77777777" w:rsidTr="006E40A8">
        <w:trPr>
          <w:trHeight w:val="204"/>
        </w:trPr>
        <w:tc>
          <w:tcPr>
            <w:tcW w:w="3156" w:type="dxa"/>
            <w:tcBorders>
              <w:top w:val="nil"/>
              <w:left w:val="nil"/>
              <w:right w:val="nil"/>
            </w:tcBorders>
            <w:shd w:val="clear" w:color="auto" w:fill="auto"/>
            <w:noWrap/>
            <w:vAlign w:val="bottom"/>
            <w:hideMark/>
          </w:tcPr>
          <w:p w14:paraId="7CC5DBE0" w14:textId="7E4EEEF5" w:rsidR="006E40A8" w:rsidRPr="001670C2" w:rsidRDefault="006E40A8" w:rsidP="006E40A8">
            <w:pPr>
              <w:spacing w:after="0" w:line="240" w:lineRule="auto"/>
              <w:jc w:val="left"/>
              <w:rPr>
                <w:rFonts w:ascii="Arial" w:hAnsi="Arial" w:cs="Arial"/>
                <w:b/>
                <w:bCs/>
                <w:sz w:val="16"/>
                <w:szCs w:val="16"/>
              </w:rPr>
            </w:pPr>
            <w:r w:rsidRPr="001670C2">
              <w:rPr>
                <w:rFonts w:ascii="Arial" w:hAnsi="Arial" w:cs="Arial"/>
                <w:b/>
                <w:bCs/>
                <w:sz w:val="16"/>
                <w:szCs w:val="16"/>
              </w:rPr>
              <w:t xml:space="preserve">Total </w:t>
            </w:r>
            <w:r>
              <w:rPr>
                <w:rFonts w:ascii="Arial" w:hAnsi="Arial" w:cs="Arial"/>
                <w:b/>
                <w:bCs/>
                <w:sz w:val="16"/>
                <w:szCs w:val="16"/>
              </w:rPr>
              <w:t>Department</w:t>
            </w:r>
            <w:r w:rsidRPr="001670C2">
              <w:rPr>
                <w:rFonts w:ascii="Arial" w:hAnsi="Arial" w:cs="Arial"/>
                <w:b/>
                <w:bCs/>
                <w:sz w:val="16"/>
                <w:szCs w:val="16"/>
              </w:rPr>
              <w:t>al</w:t>
            </w:r>
          </w:p>
        </w:tc>
        <w:tc>
          <w:tcPr>
            <w:tcW w:w="0" w:type="auto"/>
            <w:tcBorders>
              <w:top w:val="single" w:sz="4" w:space="0" w:color="auto"/>
              <w:left w:val="nil"/>
              <w:bottom w:val="single" w:sz="4" w:space="0" w:color="auto"/>
              <w:right w:val="nil"/>
            </w:tcBorders>
            <w:shd w:val="clear" w:color="auto" w:fill="auto"/>
            <w:noWrap/>
            <w:vAlign w:val="bottom"/>
            <w:hideMark/>
          </w:tcPr>
          <w:p w14:paraId="4D911975" w14:textId="52DC940B" w:rsidR="006E40A8" w:rsidRPr="00C77909" w:rsidRDefault="006E40A8" w:rsidP="006E40A8">
            <w:pPr>
              <w:spacing w:after="0" w:line="240" w:lineRule="auto"/>
              <w:ind w:right="78"/>
              <w:jc w:val="right"/>
              <w:rPr>
                <w:rFonts w:ascii="Arial" w:hAnsi="Arial" w:cs="Arial"/>
                <w:b/>
                <w:sz w:val="16"/>
                <w:szCs w:val="16"/>
                <w:highlight w:val="yellow"/>
              </w:rPr>
            </w:pPr>
            <w:r>
              <w:rPr>
                <w:rFonts w:ascii="Arial" w:hAnsi="Arial" w:cs="Arial"/>
                <w:sz w:val="16"/>
                <w:szCs w:val="16"/>
              </w:rPr>
              <w:t xml:space="preserve">387,993 </w:t>
            </w:r>
          </w:p>
        </w:tc>
        <w:tc>
          <w:tcPr>
            <w:tcW w:w="0" w:type="auto"/>
            <w:tcBorders>
              <w:top w:val="single" w:sz="4" w:space="0" w:color="auto"/>
              <w:left w:val="nil"/>
              <w:bottom w:val="single" w:sz="4" w:space="0" w:color="auto"/>
              <w:right w:val="nil"/>
            </w:tcBorders>
            <w:shd w:val="clear" w:color="auto" w:fill="auto"/>
            <w:noWrap/>
            <w:vAlign w:val="bottom"/>
            <w:hideMark/>
          </w:tcPr>
          <w:p w14:paraId="528A8BB9" w14:textId="6AA83B72" w:rsidR="006E40A8" w:rsidRPr="00C77909" w:rsidRDefault="006E40A8" w:rsidP="006E40A8">
            <w:pPr>
              <w:spacing w:after="0" w:line="240" w:lineRule="auto"/>
              <w:ind w:right="78"/>
              <w:jc w:val="right"/>
              <w:rPr>
                <w:rFonts w:ascii="Arial" w:hAnsi="Arial" w:cs="Arial"/>
                <w:b/>
                <w:sz w:val="16"/>
                <w:szCs w:val="16"/>
                <w:highlight w:val="yellow"/>
              </w:rPr>
            </w:pPr>
            <w:r>
              <w:rPr>
                <w:rFonts w:ascii="Arial" w:hAnsi="Arial" w:cs="Arial"/>
                <w:sz w:val="16"/>
                <w:szCs w:val="16"/>
              </w:rPr>
              <w:t xml:space="preserve">426,078 </w:t>
            </w:r>
          </w:p>
        </w:tc>
        <w:tc>
          <w:tcPr>
            <w:tcW w:w="0" w:type="auto"/>
            <w:tcBorders>
              <w:top w:val="single" w:sz="4" w:space="0" w:color="auto"/>
              <w:left w:val="nil"/>
              <w:bottom w:val="single" w:sz="4" w:space="0" w:color="auto"/>
              <w:right w:val="nil"/>
            </w:tcBorders>
            <w:shd w:val="clear" w:color="auto" w:fill="auto"/>
            <w:noWrap/>
            <w:vAlign w:val="bottom"/>
            <w:hideMark/>
          </w:tcPr>
          <w:p w14:paraId="281F1977" w14:textId="61FAFCE6" w:rsidR="006E40A8" w:rsidRPr="00C77909" w:rsidRDefault="006E40A8" w:rsidP="006E40A8">
            <w:pPr>
              <w:spacing w:after="0" w:line="240" w:lineRule="auto"/>
              <w:ind w:right="78"/>
              <w:jc w:val="right"/>
              <w:rPr>
                <w:rFonts w:ascii="Arial" w:hAnsi="Arial" w:cs="Arial"/>
                <w:b/>
                <w:sz w:val="16"/>
                <w:szCs w:val="16"/>
                <w:highlight w:val="yellow"/>
              </w:rPr>
            </w:pPr>
            <w:r>
              <w:rPr>
                <w:rFonts w:ascii="Arial" w:hAnsi="Arial" w:cs="Arial"/>
                <w:sz w:val="16"/>
                <w:szCs w:val="16"/>
              </w:rPr>
              <w:t xml:space="preserve">435,598 </w:t>
            </w:r>
          </w:p>
        </w:tc>
        <w:tc>
          <w:tcPr>
            <w:tcW w:w="0" w:type="auto"/>
            <w:tcBorders>
              <w:top w:val="single" w:sz="4" w:space="0" w:color="auto"/>
              <w:left w:val="nil"/>
              <w:bottom w:val="single" w:sz="4" w:space="0" w:color="auto"/>
              <w:right w:val="nil"/>
            </w:tcBorders>
            <w:shd w:val="clear" w:color="000000" w:fill="E6E6E6"/>
            <w:noWrap/>
            <w:vAlign w:val="bottom"/>
            <w:hideMark/>
          </w:tcPr>
          <w:p w14:paraId="4C20BB3A" w14:textId="404E7347" w:rsidR="006E40A8" w:rsidRPr="00C77909" w:rsidRDefault="006E40A8" w:rsidP="006E40A8">
            <w:pPr>
              <w:spacing w:after="0" w:line="240" w:lineRule="auto"/>
              <w:ind w:right="78"/>
              <w:jc w:val="right"/>
              <w:rPr>
                <w:rFonts w:ascii="Arial" w:hAnsi="Arial" w:cs="Arial"/>
                <w:b/>
                <w:sz w:val="16"/>
                <w:szCs w:val="16"/>
                <w:highlight w:val="yellow"/>
              </w:rPr>
            </w:pPr>
            <w:r>
              <w:rPr>
                <w:rFonts w:ascii="Arial" w:hAnsi="Arial" w:cs="Arial"/>
                <w:sz w:val="16"/>
                <w:szCs w:val="16"/>
              </w:rPr>
              <w:t xml:space="preserve">9,525 </w:t>
            </w:r>
          </w:p>
        </w:tc>
        <w:tc>
          <w:tcPr>
            <w:tcW w:w="945" w:type="dxa"/>
            <w:tcBorders>
              <w:top w:val="single" w:sz="4" w:space="0" w:color="auto"/>
              <w:left w:val="nil"/>
              <w:bottom w:val="single" w:sz="4" w:space="0" w:color="auto"/>
              <w:right w:val="nil"/>
            </w:tcBorders>
            <w:shd w:val="clear" w:color="000000" w:fill="E6E6E6"/>
            <w:noWrap/>
            <w:vAlign w:val="bottom"/>
            <w:hideMark/>
          </w:tcPr>
          <w:p w14:paraId="1EBB8779" w14:textId="227BE664" w:rsidR="006E40A8" w:rsidRPr="00C77909" w:rsidRDefault="006E40A8" w:rsidP="006E40A8">
            <w:pPr>
              <w:spacing w:after="0" w:line="240" w:lineRule="auto"/>
              <w:ind w:right="78"/>
              <w:jc w:val="right"/>
              <w:rPr>
                <w:rFonts w:ascii="Arial" w:hAnsi="Arial" w:cs="Arial"/>
                <w:b/>
                <w:sz w:val="16"/>
                <w:szCs w:val="16"/>
                <w:highlight w:val="yellow"/>
              </w:rPr>
            </w:pPr>
            <w:r>
              <w:rPr>
                <w:rFonts w:ascii="Arial" w:hAnsi="Arial" w:cs="Arial"/>
                <w:sz w:val="16"/>
                <w:szCs w:val="16"/>
              </w:rPr>
              <w:t xml:space="preserve">5 </w:t>
            </w:r>
          </w:p>
        </w:tc>
      </w:tr>
      <w:tr w:rsidR="006E40A8" w:rsidRPr="00FF507B" w14:paraId="7DF78D81" w14:textId="77777777" w:rsidTr="006E40A8">
        <w:trPr>
          <w:trHeight w:val="204"/>
        </w:trPr>
        <w:tc>
          <w:tcPr>
            <w:tcW w:w="3156" w:type="dxa"/>
            <w:tcBorders>
              <w:top w:val="nil"/>
              <w:left w:val="nil"/>
              <w:bottom w:val="single" w:sz="4" w:space="0" w:color="auto"/>
              <w:right w:val="nil"/>
            </w:tcBorders>
            <w:shd w:val="clear" w:color="auto" w:fill="auto"/>
            <w:noWrap/>
            <w:vAlign w:val="bottom"/>
            <w:hideMark/>
          </w:tcPr>
          <w:p w14:paraId="6735C57E" w14:textId="433A70BB" w:rsidR="006E40A8" w:rsidRPr="001670C2" w:rsidRDefault="006E40A8" w:rsidP="006E40A8">
            <w:pPr>
              <w:spacing w:after="0" w:line="240" w:lineRule="auto"/>
              <w:rPr>
                <w:rFonts w:ascii="Arial" w:hAnsi="Arial" w:cs="Arial"/>
                <w:b/>
                <w:bCs/>
                <w:sz w:val="16"/>
                <w:szCs w:val="16"/>
              </w:rPr>
            </w:pPr>
            <w:r>
              <w:rPr>
                <w:rFonts w:ascii="Arial" w:hAnsi="Arial" w:cs="Arial"/>
                <w:b/>
                <w:bCs/>
                <w:sz w:val="16"/>
                <w:szCs w:val="16"/>
              </w:rPr>
              <w:t>Total A</w:t>
            </w:r>
            <w:r w:rsidRPr="001670C2">
              <w:rPr>
                <w:rFonts w:ascii="Arial" w:hAnsi="Arial" w:cs="Arial"/>
                <w:b/>
                <w:bCs/>
                <w:sz w:val="16"/>
                <w:szCs w:val="16"/>
              </w:rPr>
              <w:t xml:space="preserve">dministered and </w:t>
            </w:r>
            <w:r>
              <w:rPr>
                <w:rFonts w:ascii="Arial" w:hAnsi="Arial" w:cs="Arial"/>
                <w:b/>
                <w:bCs/>
                <w:sz w:val="16"/>
                <w:szCs w:val="16"/>
              </w:rPr>
              <w:t>Department</w:t>
            </w:r>
            <w:r w:rsidRPr="001670C2">
              <w:rPr>
                <w:rFonts w:ascii="Arial" w:hAnsi="Arial" w:cs="Arial"/>
                <w:b/>
                <w:bCs/>
                <w:sz w:val="16"/>
                <w:szCs w:val="16"/>
              </w:rPr>
              <w:t>al</w:t>
            </w:r>
          </w:p>
        </w:tc>
        <w:tc>
          <w:tcPr>
            <w:tcW w:w="0" w:type="auto"/>
            <w:tcBorders>
              <w:top w:val="nil"/>
              <w:left w:val="nil"/>
              <w:bottom w:val="single" w:sz="4" w:space="0" w:color="auto"/>
              <w:right w:val="nil"/>
            </w:tcBorders>
            <w:shd w:val="clear" w:color="auto" w:fill="auto"/>
            <w:noWrap/>
            <w:vAlign w:val="bottom"/>
            <w:hideMark/>
          </w:tcPr>
          <w:p w14:paraId="14E66484" w14:textId="39017A36" w:rsidR="006E40A8" w:rsidRPr="00C77909" w:rsidRDefault="006E40A8" w:rsidP="006E40A8">
            <w:pPr>
              <w:spacing w:after="0" w:line="240" w:lineRule="auto"/>
              <w:ind w:right="78"/>
              <w:jc w:val="right"/>
              <w:rPr>
                <w:rFonts w:ascii="Arial" w:hAnsi="Arial" w:cs="Arial"/>
                <w:b/>
                <w:sz w:val="16"/>
                <w:szCs w:val="16"/>
                <w:highlight w:val="yellow"/>
              </w:rPr>
            </w:pPr>
            <w:r>
              <w:rPr>
                <w:rFonts w:ascii="Arial" w:hAnsi="Arial" w:cs="Arial"/>
                <w:b/>
                <w:bCs/>
                <w:sz w:val="16"/>
                <w:szCs w:val="16"/>
              </w:rPr>
              <w:t xml:space="preserve">3,455,157 </w:t>
            </w:r>
          </w:p>
        </w:tc>
        <w:tc>
          <w:tcPr>
            <w:tcW w:w="0" w:type="auto"/>
            <w:tcBorders>
              <w:top w:val="nil"/>
              <w:left w:val="nil"/>
              <w:bottom w:val="single" w:sz="4" w:space="0" w:color="auto"/>
              <w:right w:val="nil"/>
            </w:tcBorders>
            <w:shd w:val="clear" w:color="auto" w:fill="auto"/>
            <w:noWrap/>
            <w:vAlign w:val="bottom"/>
            <w:hideMark/>
          </w:tcPr>
          <w:p w14:paraId="65AAEB73" w14:textId="6CAF31B1" w:rsidR="006E40A8" w:rsidRPr="00C77909" w:rsidRDefault="006E40A8" w:rsidP="006E40A8">
            <w:pPr>
              <w:spacing w:after="0" w:line="240" w:lineRule="auto"/>
              <w:ind w:right="78"/>
              <w:jc w:val="right"/>
              <w:rPr>
                <w:rFonts w:ascii="Arial" w:hAnsi="Arial" w:cs="Arial"/>
                <w:b/>
                <w:sz w:val="16"/>
                <w:szCs w:val="16"/>
                <w:highlight w:val="yellow"/>
              </w:rPr>
            </w:pPr>
            <w:r>
              <w:rPr>
                <w:rFonts w:ascii="Arial" w:hAnsi="Arial" w:cs="Arial"/>
                <w:b/>
                <w:bCs/>
                <w:sz w:val="16"/>
                <w:szCs w:val="16"/>
              </w:rPr>
              <w:t xml:space="preserve">3,448,373 </w:t>
            </w:r>
          </w:p>
        </w:tc>
        <w:tc>
          <w:tcPr>
            <w:tcW w:w="0" w:type="auto"/>
            <w:tcBorders>
              <w:top w:val="nil"/>
              <w:left w:val="nil"/>
              <w:bottom w:val="single" w:sz="4" w:space="0" w:color="auto"/>
              <w:right w:val="nil"/>
            </w:tcBorders>
            <w:shd w:val="clear" w:color="auto" w:fill="auto"/>
            <w:noWrap/>
            <w:vAlign w:val="bottom"/>
            <w:hideMark/>
          </w:tcPr>
          <w:p w14:paraId="69179043" w14:textId="0EC1B427" w:rsidR="006E40A8" w:rsidRPr="00C77909" w:rsidRDefault="006E40A8" w:rsidP="006E40A8">
            <w:pPr>
              <w:spacing w:after="0" w:line="240" w:lineRule="auto"/>
              <w:ind w:right="78"/>
              <w:jc w:val="right"/>
              <w:rPr>
                <w:rFonts w:ascii="Arial" w:hAnsi="Arial" w:cs="Arial"/>
                <w:b/>
                <w:sz w:val="16"/>
                <w:szCs w:val="16"/>
                <w:highlight w:val="yellow"/>
              </w:rPr>
            </w:pPr>
            <w:r>
              <w:rPr>
                <w:rFonts w:ascii="Arial" w:hAnsi="Arial" w:cs="Arial"/>
                <w:b/>
                <w:bCs/>
                <w:sz w:val="16"/>
                <w:szCs w:val="16"/>
              </w:rPr>
              <w:t xml:space="preserve">4,241,639 </w:t>
            </w:r>
          </w:p>
        </w:tc>
        <w:tc>
          <w:tcPr>
            <w:tcW w:w="0" w:type="auto"/>
            <w:tcBorders>
              <w:top w:val="nil"/>
              <w:left w:val="nil"/>
              <w:bottom w:val="single" w:sz="4" w:space="0" w:color="auto"/>
              <w:right w:val="nil"/>
            </w:tcBorders>
            <w:shd w:val="clear" w:color="000000" w:fill="E6E6E6"/>
            <w:noWrap/>
            <w:vAlign w:val="bottom"/>
            <w:hideMark/>
          </w:tcPr>
          <w:p w14:paraId="48065359" w14:textId="1689B297" w:rsidR="006E40A8" w:rsidRPr="00C77909" w:rsidRDefault="006E40A8" w:rsidP="006E40A8">
            <w:pPr>
              <w:spacing w:after="0" w:line="240" w:lineRule="auto"/>
              <w:ind w:right="78"/>
              <w:jc w:val="right"/>
              <w:rPr>
                <w:rFonts w:ascii="Arial" w:hAnsi="Arial" w:cs="Arial"/>
                <w:b/>
                <w:sz w:val="16"/>
                <w:szCs w:val="16"/>
                <w:highlight w:val="yellow"/>
              </w:rPr>
            </w:pPr>
            <w:r>
              <w:rPr>
                <w:rFonts w:ascii="Arial" w:hAnsi="Arial" w:cs="Arial"/>
                <w:b/>
                <w:bCs/>
                <w:sz w:val="16"/>
                <w:szCs w:val="16"/>
              </w:rPr>
              <w:t xml:space="preserve">793,418 </w:t>
            </w:r>
          </w:p>
        </w:tc>
        <w:tc>
          <w:tcPr>
            <w:tcW w:w="945" w:type="dxa"/>
            <w:tcBorders>
              <w:top w:val="nil"/>
              <w:left w:val="nil"/>
              <w:bottom w:val="single" w:sz="4" w:space="0" w:color="auto"/>
              <w:right w:val="nil"/>
            </w:tcBorders>
            <w:shd w:val="clear" w:color="000000" w:fill="E6E6E6"/>
            <w:noWrap/>
            <w:vAlign w:val="bottom"/>
            <w:hideMark/>
          </w:tcPr>
          <w:p w14:paraId="35B86496" w14:textId="10A8A548" w:rsidR="006E40A8" w:rsidRPr="006E40A8" w:rsidRDefault="006E40A8" w:rsidP="006E40A8">
            <w:pPr>
              <w:spacing w:after="0" w:line="240" w:lineRule="auto"/>
              <w:ind w:right="78"/>
              <w:jc w:val="right"/>
              <w:rPr>
                <w:rFonts w:ascii="Arial" w:hAnsi="Arial" w:cs="Arial"/>
                <w:b/>
                <w:sz w:val="16"/>
                <w:szCs w:val="16"/>
                <w:highlight w:val="yellow"/>
              </w:rPr>
            </w:pPr>
            <w:r w:rsidRPr="006E40A8">
              <w:rPr>
                <w:rFonts w:ascii="Arial" w:hAnsi="Arial" w:cs="Arial"/>
                <w:b/>
                <w:bCs/>
                <w:sz w:val="16"/>
                <w:szCs w:val="16"/>
              </w:rPr>
              <w:t>1</w:t>
            </w:r>
            <w:r>
              <w:rPr>
                <w:rFonts w:ascii="Arial" w:hAnsi="Arial" w:cs="Arial"/>
                <w:b/>
                <w:bCs/>
                <w:sz w:val="16"/>
                <w:szCs w:val="16"/>
              </w:rPr>
              <w:t>5</w:t>
            </w:r>
            <w:r w:rsidRPr="006E40A8">
              <w:rPr>
                <w:rFonts w:ascii="Arial" w:hAnsi="Arial" w:cs="Arial"/>
                <w:b/>
                <w:bCs/>
                <w:sz w:val="16"/>
                <w:szCs w:val="16"/>
              </w:rPr>
              <w:t xml:space="preserve">2 </w:t>
            </w:r>
          </w:p>
        </w:tc>
      </w:tr>
    </w:tbl>
    <w:p w14:paraId="51592FD6" w14:textId="7935163B" w:rsidR="003F5E6A" w:rsidRPr="00756262" w:rsidRDefault="003F5E6A" w:rsidP="00FB18CA">
      <w:pPr>
        <w:numPr>
          <w:ilvl w:val="0"/>
          <w:numId w:val="4"/>
        </w:numPr>
        <w:tabs>
          <w:tab w:val="clear" w:pos="1559"/>
        </w:tabs>
        <w:spacing w:before="60" w:after="0" w:line="240" w:lineRule="auto"/>
        <w:ind w:left="284" w:hanging="284"/>
        <w:jc w:val="left"/>
        <w:rPr>
          <w:rFonts w:ascii="Arial" w:hAnsi="Arial"/>
          <w:sz w:val="16"/>
        </w:rPr>
      </w:pPr>
      <w:r w:rsidRPr="00756262">
        <w:rPr>
          <w:rFonts w:ascii="Arial" w:hAnsi="Arial"/>
          <w:sz w:val="16"/>
        </w:rPr>
        <w:t xml:space="preserve">The </w:t>
      </w:r>
      <w:r w:rsidR="004C62B3">
        <w:rPr>
          <w:rFonts w:ascii="Arial" w:hAnsi="Arial"/>
          <w:sz w:val="16"/>
        </w:rPr>
        <w:t>2020</w:t>
      </w:r>
      <w:r w:rsidR="00704FAA">
        <w:rPr>
          <w:rFonts w:ascii="Arial" w:hAnsi="Arial"/>
          <w:sz w:val="16"/>
        </w:rPr>
        <w:noBreakHyphen/>
      </w:r>
      <w:r w:rsidR="004C62B3">
        <w:rPr>
          <w:rFonts w:ascii="Arial" w:hAnsi="Arial"/>
          <w:sz w:val="16"/>
        </w:rPr>
        <w:t>21</w:t>
      </w:r>
      <w:r w:rsidRPr="00756262">
        <w:rPr>
          <w:rFonts w:ascii="Arial" w:hAnsi="Arial"/>
          <w:sz w:val="16"/>
        </w:rPr>
        <w:t xml:space="preserve"> available appropriation is included to allow a comparison of this year's appropriation with what was made available</w:t>
      </w:r>
      <w:r w:rsidR="000672C0">
        <w:rPr>
          <w:rFonts w:ascii="Arial" w:hAnsi="Arial"/>
          <w:sz w:val="16"/>
        </w:rPr>
        <w:t xml:space="preserve"> for use in the previous year. </w:t>
      </w:r>
      <w:r w:rsidRPr="00756262">
        <w:rPr>
          <w:rFonts w:ascii="Arial" w:hAnsi="Arial"/>
          <w:sz w:val="16"/>
        </w:rPr>
        <w:t>Available appropriation is the amount available to be drawn down, and is equal to: Budget Appropriation + Additional Estimates Appropriation + A</w:t>
      </w:r>
      <w:r w:rsidR="00A272B8">
        <w:rPr>
          <w:rFonts w:ascii="Arial" w:hAnsi="Arial"/>
          <w:sz w:val="16"/>
        </w:rPr>
        <w:t>dvance to the Finance Minister (AFM)</w:t>
      </w:r>
      <w:r w:rsidRPr="00756262">
        <w:rPr>
          <w:rFonts w:ascii="Arial" w:hAnsi="Arial"/>
          <w:sz w:val="16"/>
        </w:rPr>
        <w:t xml:space="preserve"> – s51 withholdings – administrative quarantines +/– Machinery of Government transfers.</w:t>
      </w:r>
    </w:p>
    <w:p w14:paraId="658D0E77" w14:textId="3446C111" w:rsidR="003F5E6A" w:rsidRPr="00756262" w:rsidRDefault="003F5E6A" w:rsidP="00FB18CA">
      <w:pPr>
        <w:numPr>
          <w:ilvl w:val="0"/>
          <w:numId w:val="4"/>
        </w:numPr>
        <w:tabs>
          <w:tab w:val="num" w:pos="284"/>
        </w:tabs>
        <w:spacing w:after="0" w:line="240" w:lineRule="auto"/>
        <w:ind w:left="284" w:hanging="284"/>
        <w:jc w:val="left"/>
        <w:rPr>
          <w:rFonts w:ascii="Arial" w:hAnsi="Arial"/>
          <w:sz w:val="16"/>
        </w:rPr>
      </w:pPr>
      <w:r w:rsidRPr="00756262">
        <w:rPr>
          <w:rFonts w:ascii="Arial" w:hAnsi="Arial"/>
          <w:sz w:val="16"/>
        </w:rPr>
        <w:t>The 202</w:t>
      </w:r>
      <w:r w:rsidR="004C62B3">
        <w:rPr>
          <w:rFonts w:ascii="Arial" w:hAnsi="Arial"/>
          <w:sz w:val="16"/>
        </w:rPr>
        <w:t>1</w:t>
      </w:r>
      <w:r w:rsidR="00704FAA">
        <w:rPr>
          <w:rFonts w:ascii="Arial" w:hAnsi="Arial"/>
          <w:sz w:val="16"/>
        </w:rPr>
        <w:noBreakHyphen/>
      </w:r>
      <w:r w:rsidR="004C62B3">
        <w:rPr>
          <w:rFonts w:ascii="Arial" w:hAnsi="Arial"/>
          <w:sz w:val="16"/>
        </w:rPr>
        <w:t>22</w:t>
      </w:r>
      <w:r w:rsidRPr="00756262">
        <w:rPr>
          <w:rFonts w:ascii="Arial" w:hAnsi="Arial"/>
          <w:sz w:val="16"/>
        </w:rPr>
        <w:t xml:space="preserve"> Budget appropriation excludes amounts quarantined by the Finance Minister under s51 of the PGPA Act and includes items from 202</w:t>
      </w:r>
      <w:r w:rsidR="004C62B3">
        <w:rPr>
          <w:rFonts w:ascii="Arial" w:hAnsi="Arial"/>
          <w:sz w:val="16"/>
        </w:rPr>
        <w:t>1</w:t>
      </w:r>
      <w:r w:rsidR="00704FAA">
        <w:rPr>
          <w:rFonts w:ascii="Arial" w:hAnsi="Arial"/>
          <w:sz w:val="16"/>
        </w:rPr>
        <w:noBreakHyphen/>
      </w:r>
      <w:r w:rsidR="004C62B3">
        <w:rPr>
          <w:rFonts w:ascii="Arial" w:hAnsi="Arial"/>
          <w:sz w:val="16"/>
        </w:rPr>
        <w:t>22</w:t>
      </w:r>
      <w:r w:rsidRPr="00756262">
        <w:rPr>
          <w:rFonts w:ascii="Arial" w:hAnsi="Arial"/>
          <w:sz w:val="16"/>
        </w:rPr>
        <w:t xml:space="preserve"> Budget. Also includes measures included in the Explanatory Memorandum to the 202</w:t>
      </w:r>
      <w:r w:rsidR="004C62B3">
        <w:rPr>
          <w:rFonts w:ascii="Arial" w:hAnsi="Arial"/>
          <w:sz w:val="16"/>
        </w:rPr>
        <w:t>1</w:t>
      </w:r>
      <w:r w:rsidR="00704FAA">
        <w:rPr>
          <w:rFonts w:ascii="Arial" w:hAnsi="Arial"/>
          <w:sz w:val="16"/>
        </w:rPr>
        <w:noBreakHyphen/>
      </w:r>
      <w:r w:rsidR="004C62B3">
        <w:rPr>
          <w:rFonts w:ascii="Arial" w:hAnsi="Arial"/>
          <w:sz w:val="16"/>
        </w:rPr>
        <w:t>22</w:t>
      </w:r>
      <w:r w:rsidRPr="00756262">
        <w:rPr>
          <w:rFonts w:ascii="Arial" w:hAnsi="Arial"/>
          <w:sz w:val="16"/>
        </w:rPr>
        <w:t xml:space="preserve"> Appropriation Bills No. 1 and 2. </w:t>
      </w:r>
    </w:p>
    <w:p w14:paraId="6F70D062" w14:textId="38404AA0" w:rsidR="003F5E6A" w:rsidRDefault="003F5E6A" w:rsidP="00FB18CA">
      <w:pPr>
        <w:numPr>
          <w:ilvl w:val="0"/>
          <w:numId w:val="4"/>
        </w:numPr>
        <w:tabs>
          <w:tab w:val="num" w:pos="284"/>
        </w:tabs>
        <w:spacing w:after="0" w:line="240" w:lineRule="auto"/>
        <w:ind w:left="284" w:hanging="284"/>
        <w:jc w:val="left"/>
        <w:rPr>
          <w:rFonts w:ascii="Arial" w:hAnsi="Arial"/>
          <w:sz w:val="16"/>
        </w:rPr>
      </w:pPr>
      <w:r w:rsidRPr="00756262">
        <w:rPr>
          <w:rFonts w:ascii="Arial" w:hAnsi="Arial"/>
          <w:sz w:val="16"/>
        </w:rPr>
        <w:t>The 202</w:t>
      </w:r>
      <w:r w:rsidR="004C62B3">
        <w:rPr>
          <w:rFonts w:ascii="Arial" w:hAnsi="Arial"/>
          <w:sz w:val="16"/>
        </w:rPr>
        <w:t>1</w:t>
      </w:r>
      <w:r w:rsidR="00704FAA">
        <w:rPr>
          <w:rFonts w:ascii="Arial" w:hAnsi="Arial"/>
          <w:sz w:val="16"/>
        </w:rPr>
        <w:noBreakHyphen/>
      </w:r>
      <w:r w:rsidR="004C62B3">
        <w:rPr>
          <w:rFonts w:ascii="Arial" w:hAnsi="Arial"/>
          <w:sz w:val="16"/>
        </w:rPr>
        <w:t>22</w:t>
      </w:r>
      <w:r w:rsidRPr="00756262">
        <w:rPr>
          <w:rFonts w:ascii="Arial" w:hAnsi="Arial"/>
          <w:sz w:val="16"/>
        </w:rPr>
        <w:t xml:space="preserve"> revised appropriation is made up of Additional Estimates Appropriation +AFM – s51 withholdings – administrative quarantines +/– Machinery of Government transfers.</w:t>
      </w:r>
    </w:p>
    <w:p w14:paraId="5A9D5904" w14:textId="4EB28739" w:rsidR="00693A56" w:rsidRPr="00693A56" w:rsidRDefault="00693A56" w:rsidP="00FB18CA">
      <w:pPr>
        <w:numPr>
          <w:ilvl w:val="0"/>
          <w:numId w:val="4"/>
        </w:numPr>
        <w:tabs>
          <w:tab w:val="num" w:pos="284"/>
        </w:tabs>
        <w:spacing w:after="0" w:line="240" w:lineRule="auto"/>
        <w:ind w:left="284" w:hanging="284"/>
        <w:jc w:val="left"/>
        <w:rPr>
          <w:rFonts w:ascii="Arial" w:hAnsi="Arial" w:cs="Arial"/>
          <w:sz w:val="16"/>
          <w:szCs w:val="16"/>
        </w:rPr>
      </w:pPr>
      <w:r>
        <w:rPr>
          <w:rFonts w:ascii="Arial" w:hAnsi="Arial" w:cs="Arial"/>
          <w:sz w:val="16"/>
          <w:szCs w:val="16"/>
        </w:rPr>
        <w:t>The 2021-22 Budget figure includes $89.6</w:t>
      </w:r>
      <w:r w:rsidR="00005F50">
        <w:rPr>
          <w:rFonts w:ascii="Arial" w:hAnsi="Arial" w:cs="Arial"/>
          <w:sz w:val="16"/>
          <w:szCs w:val="16"/>
        </w:rPr>
        <w:t>15</w:t>
      </w:r>
      <w:r>
        <w:rPr>
          <w:rFonts w:ascii="Arial" w:hAnsi="Arial" w:cs="Arial"/>
          <w:sz w:val="16"/>
          <w:szCs w:val="16"/>
        </w:rPr>
        <w:t xml:space="preserve"> million recognised as accruals from 2020-21 for the provision of additional funding provided under the measure ‘C</w:t>
      </w:r>
      <w:r w:rsidR="00005F50">
        <w:rPr>
          <w:rFonts w:ascii="Arial" w:hAnsi="Arial" w:cs="Arial"/>
          <w:sz w:val="16"/>
          <w:szCs w:val="16"/>
        </w:rPr>
        <w:t>OVID</w:t>
      </w:r>
      <w:r>
        <w:rPr>
          <w:rFonts w:ascii="Arial" w:hAnsi="Arial" w:cs="Arial"/>
          <w:sz w:val="16"/>
          <w:szCs w:val="16"/>
        </w:rPr>
        <w:t xml:space="preserve">-19 Response Package - </w:t>
      </w:r>
      <w:r w:rsidR="00005F50">
        <w:rPr>
          <w:rFonts w:ascii="Arial" w:hAnsi="Arial" w:cs="Arial"/>
          <w:sz w:val="16"/>
          <w:szCs w:val="16"/>
        </w:rPr>
        <w:t>a</w:t>
      </w:r>
      <w:r>
        <w:rPr>
          <w:rFonts w:ascii="Arial" w:hAnsi="Arial" w:cs="Arial"/>
          <w:sz w:val="16"/>
          <w:szCs w:val="16"/>
        </w:rPr>
        <w:t xml:space="preserve">viation and </w:t>
      </w:r>
      <w:r w:rsidR="00005F50">
        <w:rPr>
          <w:rFonts w:ascii="Arial" w:hAnsi="Arial" w:cs="Arial"/>
          <w:sz w:val="16"/>
          <w:szCs w:val="16"/>
        </w:rPr>
        <w:t>t</w:t>
      </w:r>
      <w:r>
        <w:rPr>
          <w:rFonts w:ascii="Arial" w:hAnsi="Arial" w:cs="Arial"/>
          <w:sz w:val="16"/>
          <w:szCs w:val="16"/>
        </w:rPr>
        <w:t xml:space="preserve">ourism support – continued.’ </w:t>
      </w:r>
    </w:p>
    <w:p w14:paraId="2009FBA2" w14:textId="19337C5C" w:rsidR="00933282" w:rsidRPr="00CD0A0E" w:rsidRDefault="00881E71" w:rsidP="004759A6">
      <w:pPr>
        <w:numPr>
          <w:ilvl w:val="0"/>
          <w:numId w:val="4"/>
        </w:numPr>
        <w:tabs>
          <w:tab w:val="num" w:pos="284"/>
        </w:tabs>
        <w:spacing w:after="0" w:line="240" w:lineRule="auto"/>
        <w:ind w:left="284" w:hanging="284"/>
        <w:jc w:val="left"/>
      </w:pPr>
      <w:r w:rsidRPr="00CD0A0E">
        <w:rPr>
          <w:rFonts w:ascii="Arial" w:hAnsi="Arial"/>
          <w:sz w:val="16"/>
        </w:rPr>
        <w:t>Departmental</w:t>
      </w:r>
      <w:r w:rsidRPr="00CD0A0E">
        <w:rPr>
          <w:rFonts w:ascii="Arial" w:hAnsi="Arial" w:cs="Arial"/>
          <w:sz w:val="16"/>
          <w:szCs w:val="16"/>
        </w:rPr>
        <w:t xml:space="preserve"> appropriation splits and totals are indicative estimates and may change in the course of the budget year as government priorities change. </w:t>
      </w:r>
      <w:r w:rsidR="00FF507B" w:rsidRPr="00CD0A0E">
        <w:rPr>
          <w:highlight w:val="yellow"/>
        </w:rPr>
        <w:t xml:space="preserve"> </w:t>
      </w:r>
      <w:r w:rsidR="00933282" w:rsidRPr="00CD0A0E">
        <w:br w:type="page"/>
      </w:r>
    </w:p>
    <w:p w14:paraId="42B78B6F" w14:textId="7450D22F" w:rsidR="00081A0B" w:rsidRDefault="00081A0B" w:rsidP="00081A0B">
      <w:pPr>
        <w:pStyle w:val="TableHeading"/>
        <w:rPr>
          <w:lang w:val="en-AU"/>
        </w:rPr>
      </w:pPr>
      <w:r w:rsidRPr="00897F19">
        <w:lastRenderedPageBreak/>
        <w:t>Table 1.5: Appropriation B</w:t>
      </w:r>
      <w:r w:rsidR="007651FA" w:rsidRPr="00897F19">
        <w:t>ill (No. 4</w:t>
      </w:r>
      <w:r w:rsidRPr="00897F19">
        <w:t xml:space="preserve">) </w:t>
      </w:r>
      <w:r w:rsidR="00A411EE" w:rsidRPr="00897F19">
        <w:rPr>
          <w:lang w:val="en-AU"/>
        </w:rPr>
        <w:t>2021</w:t>
      </w:r>
      <w:r w:rsidR="00F54D50" w:rsidRPr="00897F19">
        <w:rPr>
          <w:lang w:val="en-AU"/>
        </w:rPr>
        <w:t>-</w:t>
      </w:r>
      <w:r w:rsidR="00A411EE" w:rsidRPr="00897F19">
        <w:rPr>
          <w:lang w:val="en-AU"/>
        </w:rPr>
        <w:t>22</w:t>
      </w:r>
    </w:p>
    <w:tbl>
      <w:tblPr>
        <w:tblW w:w="7422" w:type="dxa"/>
        <w:tblLayout w:type="fixed"/>
        <w:tblLook w:val="04A0" w:firstRow="1" w:lastRow="0" w:firstColumn="1" w:lastColumn="0" w:noHBand="0" w:noVBand="1"/>
      </w:tblPr>
      <w:tblGrid>
        <w:gridCol w:w="2552"/>
        <w:gridCol w:w="993"/>
        <w:gridCol w:w="1000"/>
        <w:gridCol w:w="928"/>
        <w:gridCol w:w="1048"/>
        <w:gridCol w:w="901"/>
      </w:tblGrid>
      <w:tr w:rsidR="00B1501D" w:rsidRPr="00B1501D" w14:paraId="75000F84" w14:textId="77777777" w:rsidTr="00CD0A0E">
        <w:trPr>
          <w:trHeight w:val="204"/>
        </w:trPr>
        <w:tc>
          <w:tcPr>
            <w:tcW w:w="2552" w:type="dxa"/>
            <w:tcBorders>
              <w:top w:val="single" w:sz="4" w:space="0" w:color="auto"/>
              <w:left w:val="nil"/>
              <w:right w:val="nil"/>
            </w:tcBorders>
            <w:shd w:val="clear" w:color="auto" w:fill="auto"/>
            <w:noWrap/>
            <w:vAlign w:val="bottom"/>
            <w:hideMark/>
          </w:tcPr>
          <w:p w14:paraId="58C02329" w14:textId="77777777" w:rsidR="00B1501D" w:rsidRPr="00B1501D" w:rsidRDefault="00B1501D" w:rsidP="00B1501D">
            <w:pPr>
              <w:spacing w:after="0" w:line="240" w:lineRule="auto"/>
              <w:jc w:val="left"/>
              <w:rPr>
                <w:rFonts w:ascii="Arial" w:hAnsi="Arial" w:cs="Arial"/>
                <w:sz w:val="16"/>
                <w:szCs w:val="16"/>
              </w:rPr>
            </w:pPr>
            <w:r w:rsidRPr="00B1501D">
              <w:rPr>
                <w:rFonts w:ascii="Arial" w:hAnsi="Arial" w:cs="Arial"/>
                <w:sz w:val="16"/>
                <w:szCs w:val="16"/>
              </w:rPr>
              <w:t> </w:t>
            </w:r>
          </w:p>
        </w:tc>
        <w:tc>
          <w:tcPr>
            <w:tcW w:w="993" w:type="dxa"/>
            <w:tcBorders>
              <w:top w:val="single" w:sz="4" w:space="0" w:color="auto"/>
              <w:left w:val="nil"/>
              <w:bottom w:val="nil"/>
              <w:right w:val="nil"/>
            </w:tcBorders>
            <w:shd w:val="clear" w:color="auto" w:fill="auto"/>
            <w:vAlign w:val="bottom"/>
            <w:hideMark/>
          </w:tcPr>
          <w:p w14:paraId="5E11B6DB"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2020-21</w:t>
            </w:r>
          </w:p>
        </w:tc>
        <w:tc>
          <w:tcPr>
            <w:tcW w:w="1000" w:type="dxa"/>
            <w:tcBorders>
              <w:top w:val="single" w:sz="4" w:space="0" w:color="auto"/>
              <w:left w:val="nil"/>
              <w:bottom w:val="nil"/>
              <w:right w:val="nil"/>
            </w:tcBorders>
            <w:shd w:val="clear" w:color="auto" w:fill="auto"/>
            <w:vAlign w:val="bottom"/>
            <w:hideMark/>
          </w:tcPr>
          <w:p w14:paraId="68A0DD07"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2021-22</w:t>
            </w:r>
          </w:p>
        </w:tc>
        <w:tc>
          <w:tcPr>
            <w:tcW w:w="928" w:type="dxa"/>
            <w:tcBorders>
              <w:top w:val="single" w:sz="4" w:space="0" w:color="auto"/>
              <w:left w:val="nil"/>
              <w:bottom w:val="nil"/>
              <w:right w:val="nil"/>
            </w:tcBorders>
            <w:shd w:val="clear" w:color="auto" w:fill="auto"/>
            <w:vAlign w:val="bottom"/>
            <w:hideMark/>
          </w:tcPr>
          <w:p w14:paraId="7E4C3DD7"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2021-22</w:t>
            </w:r>
          </w:p>
        </w:tc>
        <w:tc>
          <w:tcPr>
            <w:tcW w:w="1048" w:type="dxa"/>
            <w:tcBorders>
              <w:top w:val="single" w:sz="4" w:space="0" w:color="auto"/>
              <w:left w:val="nil"/>
              <w:bottom w:val="nil"/>
              <w:right w:val="nil"/>
            </w:tcBorders>
            <w:shd w:val="clear" w:color="000000" w:fill="E6E6E6"/>
            <w:vAlign w:val="bottom"/>
            <w:hideMark/>
          </w:tcPr>
          <w:p w14:paraId="4DED5B50"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Additional</w:t>
            </w:r>
          </w:p>
        </w:tc>
        <w:tc>
          <w:tcPr>
            <w:tcW w:w="901" w:type="dxa"/>
            <w:tcBorders>
              <w:top w:val="single" w:sz="4" w:space="0" w:color="auto"/>
              <w:left w:val="nil"/>
              <w:bottom w:val="nil"/>
              <w:right w:val="nil"/>
            </w:tcBorders>
            <w:shd w:val="clear" w:color="000000" w:fill="E6E6E6"/>
            <w:vAlign w:val="bottom"/>
            <w:hideMark/>
          </w:tcPr>
          <w:p w14:paraId="25D4EFCB"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Reduced</w:t>
            </w:r>
          </w:p>
        </w:tc>
      </w:tr>
      <w:tr w:rsidR="00B1501D" w:rsidRPr="00B1501D" w14:paraId="07CC6CD1" w14:textId="77777777" w:rsidTr="00CD0A0E">
        <w:trPr>
          <w:trHeight w:val="204"/>
        </w:trPr>
        <w:tc>
          <w:tcPr>
            <w:tcW w:w="2552" w:type="dxa"/>
            <w:tcBorders>
              <w:top w:val="nil"/>
              <w:left w:val="nil"/>
              <w:bottom w:val="nil"/>
              <w:right w:val="nil"/>
            </w:tcBorders>
            <w:shd w:val="clear" w:color="auto" w:fill="auto"/>
            <w:noWrap/>
            <w:vAlign w:val="bottom"/>
            <w:hideMark/>
          </w:tcPr>
          <w:p w14:paraId="1E6033D1" w14:textId="77777777" w:rsidR="00B1501D" w:rsidRPr="00B1501D" w:rsidRDefault="00B1501D" w:rsidP="00B1501D">
            <w:pPr>
              <w:spacing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14:paraId="6BB08BF3"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Available</w:t>
            </w:r>
            <w:r w:rsidRPr="008B3B86">
              <w:rPr>
                <w:rFonts w:ascii="Arial" w:hAnsi="Arial" w:cs="Arial"/>
                <w:sz w:val="16"/>
                <w:szCs w:val="16"/>
                <w:vertAlign w:val="superscript"/>
              </w:rPr>
              <w:t>(a)</w:t>
            </w:r>
          </w:p>
        </w:tc>
        <w:tc>
          <w:tcPr>
            <w:tcW w:w="1000" w:type="dxa"/>
            <w:tcBorders>
              <w:top w:val="nil"/>
              <w:left w:val="nil"/>
              <w:bottom w:val="nil"/>
              <w:right w:val="nil"/>
            </w:tcBorders>
            <w:shd w:val="clear" w:color="auto" w:fill="auto"/>
            <w:vAlign w:val="bottom"/>
            <w:hideMark/>
          </w:tcPr>
          <w:p w14:paraId="6EF5DDDD"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Budget</w:t>
            </w:r>
            <w:r w:rsidRPr="008B3B86">
              <w:rPr>
                <w:rFonts w:ascii="Arial" w:hAnsi="Arial" w:cs="Arial"/>
                <w:sz w:val="16"/>
                <w:szCs w:val="16"/>
                <w:vertAlign w:val="superscript"/>
              </w:rPr>
              <w:t>(b)</w:t>
            </w:r>
          </w:p>
        </w:tc>
        <w:tc>
          <w:tcPr>
            <w:tcW w:w="928" w:type="dxa"/>
            <w:tcBorders>
              <w:top w:val="nil"/>
              <w:left w:val="nil"/>
              <w:bottom w:val="nil"/>
              <w:right w:val="nil"/>
            </w:tcBorders>
            <w:shd w:val="clear" w:color="auto" w:fill="auto"/>
            <w:vAlign w:val="bottom"/>
            <w:hideMark/>
          </w:tcPr>
          <w:p w14:paraId="694D5966"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Revised</w:t>
            </w:r>
            <w:r w:rsidRPr="008B3B86">
              <w:rPr>
                <w:rFonts w:ascii="Arial" w:hAnsi="Arial" w:cs="Arial"/>
                <w:sz w:val="16"/>
                <w:szCs w:val="16"/>
                <w:vertAlign w:val="superscript"/>
              </w:rPr>
              <w:t>(c)</w:t>
            </w:r>
          </w:p>
        </w:tc>
        <w:tc>
          <w:tcPr>
            <w:tcW w:w="1048" w:type="dxa"/>
            <w:tcBorders>
              <w:top w:val="nil"/>
              <w:left w:val="nil"/>
              <w:bottom w:val="nil"/>
              <w:right w:val="nil"/>
            </w:tcBorders>
            <w:shd w:val="clear" w:color="000000" w:fill="E6E6E6"/>
            <w:vAlign w:val="bottom"/>
            <w:hideMark/>
          </w:tcPr>
          <w:p w14:paraId="576B9078"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estimates</w:t>
            </w:r>
          </w:p>
        </w:tc>
        <w:tc>
          <w:tcPr>
            <w:tcW w:w="901" w:type="dxa"/>
            <w:tcBorders>
              <w:top w:val="nil"/>
              <w:left w:val="nil"/>
              <w:bottom w:val="nil"/>
              <w:right w:val="nil"/>
            </w:tcBorders>
            <w:shd w:val="clear" w:color="000000" w:fill="E6E6E6"/>
            <w:vAlign w:val="bottom"/>
            <w:hideMark/>
          </w:tcPr>
          <w:p w14:paraId="54923372"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estimates</w:t>
            </w:r>
          </w:p>
        </w:tc>
      </w:tr>
      <w:tr w:rsidR="00B1501D" w:rsidRPr="00B1501D" w14:paraId="2DFCD381" w14:textId="77777777" w:rsidTr="00CD0A0E">
        <w:trPr>
          <w:trHeight w:val="204"/>
        </w:trPr>
        <w:tc>
          <w:tcPr>
            <w:tcW w:w="2552" w:type="dxa"/>
            <w:tcBorders>
              <w:top w:val="nil"/>
              <w:left w:val="nil"/>
              <w:right w:val="nil"/>
            </w:tcBorders>
            <w:shd w:val="clear" w:color="auto" w:fill="auto"/>
            <w:noWrap/>
            <w:vAlign w:val="bottom"/>
            <w:hideMark/>
          </w:tcPr>
          <w:p w14:paraId="48773D94" w14:textId="77777777" w:rsidR="00B1501D" w:rsidRPr="00B1501D" w:rsidRDefault="00B1501D" w:rsidP="00B1501D">
            <w:pPr>
              <w:spacing w:after="0" w:line="240" w:lineRule="auto"/>
              <w:jc w:val="left"/>
              <w:rPr>
                <w:rFonts w:ascii="Arial" w:hAnsi="Arial" w:cs="Arial"/>
                <w:sz w:val="16"/>
                <w:szCs w:val="16"/>
              </w:rPr>
            </w:pPr>
            <w:r w:rsidRPr="00B1501D">
              <w:rPr>
                <w:rFonts w:ascii="Arial" w:hAnsi="Arial" w:cs="Arial"/>
                <w:sz w:val="16"/>
                <w:szCs w:val="16"/>
              </w:rPr>
              <w:t> </w:t>
            </w:r>
          </w:p>
        </w:tc>
        <w:tc>
          <w:tcPr>
            <w:tcW w:w="993" w:type="dxa"/>
            <w:tcBorders>
              <w:top w:val="nil"/>
              <w:left w:val="nil"/>
              <w:bottom w:val="single" w:sz="4" w:space="0" w:color="auto"/>
              <w:right w:val="nil"/>
            </w:tcBorders>
            <w:shd w:val="clear" w:color="auto" w:fill="auto"/>
            <w:noWrap/>
            <w:vAlign w:val="bottom"/>
            <w:hideMark/>
          </w:tcPr>
          <w:p w14:paraId="218244B0"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$'000</w:t>
            </w:r>
          </w:p>
        </w:tc>
        <w:tc>
          <w:tcPr>
            <w:tcW w:w="1000" w:type="dxa"/>
            <w:tcBorders>
              <w:top w:val="nil"/>
              <w:left w:val="nil"/>
              <w:bottom w:val="single" w:sz="4" w:space="0" w:color="auto"/>
              <w:right w:val="nil"/>
            </w:tcBorders>
            <w:shd w:val="clear" w:color="auto" w:fill="auto"/>
            <w:noWrap/>
            <w:vAlign w:val="bottom"/>
            <w:hideMark/>
          </w:tcPr>
          <w:p w14:paraId="1D91D953"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$'000</w:t>
            </w:r>
          </w:p>
        </w:tc>
        <w:tc>
          <w:tcPr>
            <w:tcW w:w="928" w:type="dxa"/>
            <w:tcBorders>
              <w:top w:val="nil"/>
              <w:left w:val="nil"/>
              <w:bottom w:val="single" w:sz="4" w:space="0" w:color="auto"/>
              <w:right w:val="nil"/>
            </w:tcBorders>
            <w:shd w:val="clear" w:color="auto" w:fill="auto"/>
            <w:noWrap/>
            <w:vAlign w:val="bottom"/>
            <w:hideMark/>
          </w:tcPr>
          <w:p w14:paraId="7F4B0044"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$'000</w:t>
            </w:r>
          </w:p>
        </w:tc>
        <w:tc>
          <w:tcPr>
            <w:tcW w:w="1048" w:type="dxa"/>
            <w:tcBorders>
              <w:top w:val="nil"/>
              <w:left w:val="nil"/>
              <w:bottom w:val="single" w:sz="4" w:space="0" w:color="auto"/>
              <w:right w:val="nil"/>
            </w:tcBorders>
            <w:shd w:val="clear" w:color="000000" w:fill="E6E6E6"/>
            <w:noWrap/>
            <w:vAlign w:val="bottom"/>
            <w:hideMark/>
          </w:tcPr>
          <w:p w14:paraId="7B563CF7"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$'000</w:t>
            </w:r>
          </w:p>
        </w:tc>
        <w:tc>
          <w:tcPr>
            <w:tcW w:w="901" w:type="dxa"/>
            <w:tcBorders>
              <w:top w:val="nil"/>
              <w:left w:val="nil"/>
              <w:bottom w:val="single" w:sz="4" w:space="0" w:color="auto"/>
              <w:right w:val="nil"/>
            </w:tcBorders>
            <w:shd w:val="clear" w:color="000000" w:fill="E6E6E6"/>
            <w:noWrap/>
            <w:vAlign w:val="bottom"/>
            <w:hideMark/>
          </w:tcPr>
          <w:p w14:paraId="366DD122" w14:textId="7777777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$'000</w:t>
            </w:r>
          </w:p>
        </w:tc>
      </w:tr>
      <w:tr w:rsidR="00B1501D" w:rsidRPr="00B1501D" w14:paraId="4BF7380A" w14:textId="77777777" w:rsidTr="00CD0A0E">
        <w:trPr>
          <w:trHeight w:val="204"/>
        </w:trPr>
        <w:tc>
          <w:tcPr>
            <w:tcW w:w="3543" w:type="dxa"/>
            <w:gridSpan w:val="2"/>
            <w:tcBorders>
              <w:top w:val="nil"/>
              <w:left w:val="nil"/>
              <w:bottom w:val="nil"/>
              <w:right w:val="nil"/>
            </w:tcBorders>
            <w:shd w:val="clear" w:color="auto" w:fill="auto"/>
            <w:noWrap/>
            <w:vAlign w:val="bottom"/>
            <w:hideMark/>
          </w:tcPr>
          <w:p w14:paraId="415E4590" w14:textId="77777777" w:rsidR="00B1501D" w:rsidRPr="00B1501D" w:rsidRDefault="00B1501D" w:rsidP="00B1501D">
            <w:pPr>
              <w:spacing w:after="0" w:line="240" w:lineRule="auto"/>
              <w:jc w:val="left"/>
              <w:rPr>
                <w:rFonts w:ascii="Arial" w:hAnsi="Arial" w:cs="Arial"/>
                <w:b/>
                <w:bCs/>
                <w:sz w:val="16"/>
                <w:szCs w:val="16"/>
              </w:rPr>
            </w:pPr>
            <w:r w:rsidRPr="00B1501D">
              <w:rPr>
                <w:rFonts w:ascii="Arial" w:hAnsi="Arial" w:cs="Arial"/>
                <w:b/>
                <w:bCs/>
                <w:sz w:val="16"/>
                <w:szCs w:val="16"/>
              </w:rPr>
              <w:t xml:space="preserve">Payments to States, ACT, NT and local government </w:t>
            </w:r>
          </w:p>
        </w:tc>
        <w:tc>
          <w:tcPr>
            <w:tcW w:w="1000" w:type="dxa"/>
            <w:tcBorders>
              <w:top w:val="nil"/>
              <w:left w:val="nil"/>
              <w:bottom w:val="nil"/>
              <w:right w:val="nil"/>
            </w:tcBorders>
            <w:shd w:val="clear" w:color="auto" w:fill="auto"/>
            <w:noWrap/>
            <w:vAlign w:val="bottom"/>
            <w:hideMark/>
          </w:tcPr>
          <w:p w14:paraId="589F6DD8" w14:textId="77777777" w:rsidR="00B1501D" w:rsidRPr="00B1501D" w:rsidRDefault="00B1501D" w:rsidP="00B1501D">
            <w:pPr>
              <w:spacing w:after="0" w:line="240" w:lineRule="auto"/>
              <w:jc w:val="left"/>
              <w:rPr>
                <w:rFonts w:ascii="Arial" w:hAnsi="Arial" w:cs="Arial"/>
                <w:b/>
                <w:bCs/>
                <w:sz w:val="16"/>
                <w:szCs w:val="16"/>
              </w:rPr>
            </w:pPr>
          </w:p>
        </w:tc>
        <w:tc>
          <w:tcPr>
            <w:tcW w:w="928" w:type="dxa"/>
            <w:tcBorders>
              <w:top w:val="nil"/>
              <w:left w:val="nil"/>
              <w:bottom w:val="nil"/>
              <w:right w:val="nil"/>
            </w:tcBorders>
            <w:shd w:val="clear" w:color="auto" w:fill="auto"/>
            <w:noWrap/>
            <w:vAlign w:val="bottom"/>
            <w:hideMark/>
          </w:tcPr>
          <w:p w14:paraId="7745CAB6" w14:textId="77777777" w:rsidR="00B1501D" w:rsidRPr="00B1501D" w:rsidRDefault="00B1501D" w:rsidP="00B1501D">
            <w:pPr>
              <w:spacing w:after="0" w:line="240" w:lineRule="auto"/>
              <w:jc w:val="left"/>
              <w:rPr>
                <w:rFonts w:ascii="Arial" w:hAnsi="Arial" w:cs="Arial"/>
                <w:sz w:val="16"/>
                <w:szCs w:val="16"/>
              </w:rPr>
            </w:pPr>
          </w:p>
        </w:tc>
        <w:tc>
          <w:tcPr>
            <w:tcW w:w="1048" w:type="dxa"/>
            <w:tcBorders>
              <w:top w:val="nil"/>
              <w:left w:val="nil"/>
              <w:bottom w:val="nil"/>
              <w:right w:val="nil"/>
            </w:tcBorders>
            <w:shd w:val="clear" w:color="000000" w:fill="E6E6E6"/>
            <w:noWrap/>
            <w:vAlign w:val="bottom"/>
            <w:hideMark/>
          </w:tcPr>
          <w:p w14:paraId="4B7EA0C0" w14:textId="77777777" w:rsidR="00B1501D" w:rsidRPr="00B1501D" w:rsidRDefault="00B1501D" w:rsidP="00B1501D">
            <w:pPr>
              <w:spacing w:after="0" w:line="240" w:lineRule="auto"/>
              <w:jc w:val="left"/>
              <w:rPr>
                <w:rFonts w:ascii="Arial" w:hAnsi="Arial" w:cs="Arial"/>
                <w:sz w:val="16"/>
                <w:szCs w:val="16"/>
              </w:rPr>
            </w:pPr>
            <w:r w:rsidRPr="00B1501D">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53E9D0AC" w14:textId="77777777" w:rsidR="00B1501D" w:rsidRPr="00B1501D" w:rsidRDefault="00B1501D" w:rsidP="00B1501D">
            <w:pPr>
              <w:spacing w:after="0" w:line="240" w:lineRule="auto"/>
              <w:jc w:val="left"/>
              <w:rPr>
                <w:rFonts w:ascii="Arial" w:hAnsi="Arial" w:cs="Arial"/>
                <w:sz w:val="16"/>
                <w:szCs w:val="16"/>
              </w:rPr>
            </w:pPr>
            <w:r w:rsidRPr="00B1501D">
              <w:rPr>
                <w:rFonts w:ascii="Arial" w:hAnsi="Arial" w:cs="Arial"/>
                <w:sz w:val="16"/>
                <w:szCs w:val="16"/>
              </w:rPr>
              <w:t> </w:t>
            </w:r>
          </w:p>
        </w:tc>
      </w:tr>
      <w:tr w:rsidR="00B1501D" w:rsidRPr="00B1501D" w14:paraId="617C2813" w14:textId="77777777" w:rsidTr="00CD0A0E">
        <w:trPr>
          <w:trHeight w:val="204"/>
        </w:trPr>
        <w:tc>
          <w:tcPr>
            <w:tcW w:w="2552" w:type="dxa"/>
            <w:tcBorders>
              <w:top w:val="nil"/>
              <w:left w:val="nil"/>
              <w:bottom w:val="nil"/>
              <w:right w:val="nil"/>
            </w:tcBorders>
            <w:shd w:val="clear" w:color="auto" w:fill="auto"/>
            <w:vAlign w:val="bottom"/>
            <w:hideMark/>
          </w:tcPr>
          <w:p w14:paraId="662DC480" w14:textId="77777777" w:rsidR="00B1501D" w:rsidRPr="00B1501D" w:rsidRDefault="00B1501D" w:rsidP="00B1501D">
            <w:pPr>
              <w:spacing w:after="0" w:line="240" w:lineRule="auto"/>
              <w:jc w:val="left"/>
              <w:rPr>
                <w:rFonts w:ascii="Arial" w:hAnsi="Arial" w:cs="Arial"/>
                <w:b/>
                <w:bCs/>
                <w:sz w:val="16"/>
                <w:szCs w:val="16"/>
              </w:rPr>
            </w:pPr>
            <w:r w:rsidRPr="00B1501D">
              <w:rPr>
                <w:rFonts w:ascii="Arial" w:hAnsi="Arial" w:cs="Arial"/>
                <w:b/>
                <w:bCs/>
                <w:sz w:val="16"/>
                <w:szCs w:val="16"/>
              </w:rPr>
              <w:t>Outcome 1</w:t>
            </w:r>
          </w:p>
        </w:tc>
        <w:tc>
          <w:tcPr>
            <w:tcW w:w="993" w:type="dxa"/>
            <w:tcBorders>
              <w:top w:val="nil"/>
              <w:left w:val="nil"/>
              <w:bottom w:val="nil"/>
              <w:right w:val="nil"/>
            </w:tcBorders>
            <w:shd w:val="clear" w:color="auto" w:fill="auto"/>
            <w:noWrap/>
            <w:vAlign w:val="bottom"/>
            <w:hideMark/>
          </w:tcPr>
          <w:p w14:paraId="04D85FC9" w14:textId="77777777" w:rsidR="00B1501D" w:rsidRPr="00B1501D" w:rsidRDefault="00B1501D" w:rsidP="00B1501D">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14:paraId="7BDF4A1A" w14:textId="77777777" w:rsidR="00B1501D" w:rsidRPr="00B1501D" w:rsidRDefault="00B1501D" w:rsidP="00B1501D">
            <w:pPr>
              <w:spacing w:after="0" w:line="240" w:lineRule="auto"/>
              <w:jc w:val="lef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02ACE77" w14:textId="77777777" w:rsidR="00B1501D" w:rsidRPr="00B1501D" w:rsidRDefault="00B1501D" w:rsidP="00B1501D">
            <w:pPr>
              <w:spacing w:after="0" w:line="240" w:lineRule="auto"/>
              <w:jc w:val="left"/>
              <w:rPr>
                <w:rFonts w:ascii="Arial" w:hAnsi="Arial" w:cs="Arial"/>
                <w:sz w:val="16"/>
                <w:szCs w:val="16"/>
              </w:rPr>
            </w:pPr>
          </w:p>
        </w:tc>
        <w:tc>
          <w:tcPr>
            <w:tcW w:w="1048" w:type="dxa"/>
            <w:tcBorders>
              <w:top w:val="nil"/>
              <w:left w:val="nil"/>
              <w:bottom w:val="nil"/>
              <w:right w:val="nil"/>
            </w:tcBorders>
            <w:shd w:val="clear" w:color="000000" w:fill="E6E6E6"/>
            <w:noWrap/>
            <w:vAlign w:val="bottom"/>
            <w:hideMark/>
          </w:tcPr>
          <w:p w14:paraId="453F915C" w14:textId="77777777" w:rsidR="00B1501D" w:rsidRPr="00B1501D" w:rsidRDefault="00B1501D" w:rsidP="00B1501D">
            <w:pPr>
              <w:spacing w:after="0" w:line="240" w:lineRule="auto"/>
              <w:jc w:val="left"/>
              <w:rPr>
                <w:rFonts w:ascii="Arial" w:hAnsi="Arial" w:cs="Arial"/>
                <w:sz w:val="16"/>
                <w:szCs w:val="16"/>
              </w:rPr>
            </w:pPr>
            <w:r w:rsidRPr="00B1501D">
              <w:rPr>
                <w:rFonts w:ascii="Arial" w:hAnsi="Arial" w:cs="Arial"/>
                <w:sz w:val="16"/>
                <w:szCs w:val="16"/>
              </w:rPr>
              <w:t> </w:t>
            </w:r>
          </w:p>
        </w:tc>
        <w:tc>
          <w:tcPr>
            <w:tcW w:w="901" w:type="dxa"/>
            <w:tcBorders>
              <w:top w:val="nil"/>
              <w:left w:val="nil"/>
              <w:bottom w:val="nil"/>
              <w:right w:val="nil"/>
            </w:tcBorders>
            <w:shd w:val="clear" w:color="000000" w:fill="E6E6E6"/>
            <w:noWrap/>
            <w:vAlign w:val="bottom"/>
            <w:hideMark/>
          </w:tcPr>
          <w:p w14:paraId="32B84001" w14:textId="77777777" w:rsidR="00B1501D" w:rsidRPr="00B1501D" w:rsidRDefault="00B1501D" w:rsidP="00B1501D">
            <w:pPr>
              <w:spacing w:after="0" w:line="240" w:lineRule="auto"/>
              <w:jc w:val="left"/>
              <w:rPr>
                <w:rFonts w:ascii="Arial" w:hAnsi="Arial" w:cs="Arial"/>
                <w:sz w:val="16"/>
                <w:szCs w:val="16"/>
              </w:rPr>
            </w:pPr>
            <w:r w:rsidRPr="00B1501D">
              <w:rPr>
                <w:rFonts w:ascii="Arial" w:hAnsi="Arial" w:cs="Arial"/>
                <w:sz w:val="16"/>
                <w:szCs w:val="16"/>
              </w:rPr>
              <w:t> </w:t>
            </w:r>
          </w:p>
        </w:tc>
      </w:tr>
      <w:tr w:rsidR="00B1501D" w:rsidRPr="00B1501D" w14:paraId="3BDAD3CD" w14:textId="77777777" w:rsidTr="00CD0A0E">
        <w:trPr>
          <w:trHeight w:val="204"/>
        </w:trPr>
        <w:tc>
          <w:tcPr>
            <w:tcW w:w="2552" w:type="dxa"/>
            <w:tcBorders>
              <w:top w:val="nil"/>
              <w:left w:val="nil"/>
              <w:bottom w:val="nil"/>
              <w:right w:val="nil"/>
            </w:tcBorders>
            <w:shd w:val="clear" w:color="auto" w:fill="auto"/>
            <w:vAlign w:val="bottom"/>
            <w:hideMark/>
          </w:tcPr>
          <w:p w14:paraId="731A4634" w14:textId="033F914B" w:rsidR="00B1501D" w:rsidRPr="00B1501D" w:rsidRDefault="00B1501D" w:rsidP="004F1EFA">
            <w:pPr>
              <w:spacing w:after="0" w:line="240" w:lineRule="auto"/>
              <w:ind w:left="113"/>
              <w:jc w:val="left"/>
              <w:rPr>
                <w:rFonts w:ascii="Arial" w:hAnsi="Arial" w:cs="Arial"/>
                <w:sz w:val="16"/>
                <w:szCs w:val="16"/>
              </w:rPr>
            </w:pPr>
            <w:r w:rsidRPr="00B1501D">
              <w:rPr>
                <w:rFonts w:ascii="Arial" w:hAnsi="Arial" w:cs="Arial"/>
                <w:sz w:val="16"/>
                <w:szCs w:val="16"/>
              </w:rPr>
              <w:t>Improved infrastructure across Australia</w:t>
            </w:r>
            <w:r w:rsidR="00CD0A0E">
              <w:rPr>
                <w:rFonts w:ascii="Arial" w:hAnsi="Arial" w:cs="Arial"/>
                <w:sz w:val="16"/>
                <w:szCs w:val="16"/>
              </w:rPr>
              <w:t xml:space="preserve"> </w:t>
            </w:r>
            <w:r w:rsidRPr="00B1501D">
              <w:rPr>
                <w:rFonts w:ascii="Arial" w:hAnsi="Arial" w:cs="Arial"/>
                <w:sz w:val="16"/>
                <w:szCs w:val="16"/>
              </w:rPr>
              <w:t>through investment in and coordination</w:t>
            </w:r>
            <w:r w:rsidR="004F1EFA">
              <w:rPr>
                <w:rFonts w:ascii="Arial" w:hAnsi="Arial" w:cs="Arial"/>
                <w:sz w:val="16"/>
                <w:szCs w:val="16"/>
              </w:rPr>
              <w:t xml:space="preserve"> </w:t>
            </w:r>
            <w:r w:rsidRPr="00B1501D">
              <w:rPr>
                <w:rFonts w:ascii="Arial" w:hAnsi="Arial" w:cs="Arial"/>
                <w:sz w:val="16"/>
                <w:szCs w:val="16"/>
              </w:rPr>
              <w:t>of transport and other infrastructure</w:t>
            </w:r>
          </w:p>
        </w:tc>
        <w:tc>
          <w:tcPr>
            <w:tcW w:w="993" w:type="dxa"/>
            <w:tcBorders>
              <w:top w:val="nil"/>
              <w:left w:val="nil"/>
              <w:bottom w:val="nil"/>
              <w:right w:val="nil"/>
            </w:tcBorders>
            <w:shd w:val="clear" w:color="auto" w:fill="auto"/>
            <w:noWrap/>
            <w:vAlign w:val="bottom"/>
            <w:hideMark/>
          </w:tcPr>
          <w:p w14:paraId="520428E8" w14:textId="6E152E70"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591,693</w:t>
            </w:r>
          </w:p>
        </w:tc>
        <w:tc>
          <w:tcPr>
            <w:tcW w:w="1000" w:type="dxa"/>
            <w:tcBorders>
              <w:top w:val="nil"/>
              <w:left w:val="nil"/>
              <w:bottom w:val="nil"/>
              <w:right w:val="nil"/>
            </w:tcBorders>
            <w:shd w:val="clear" w:color="auto" w:fill="auto"/>
            <w:noWrap/>
            <w:vAlign w:val="bottom"/>
            <w:hideMark/>
          </w:tcPr>
          <w:p w14:paraId="04A23B67" w14:textId="3DA37320"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499,495</w:t>
            </w:r>
          </w:p>
        </w:tc>
        <w:tc>
          <w:tcPr>
            <w:tcW w:w="928" w:type="dxa"/>
            <w:tcBorders>
              <w:top w:val="nil"/>
              <w:left w:val="nil"/>
              <w:bottom w:val="nil"/>
              <w:right w:val="nil"/>
            </w:tcBorders>
            <w:shd w:val="clear" w:color="auto" w:fill="auto"/>
            <w:noWrap/>
            <w:vAlign w:val="bottom"/>
            <w:hideMark/>
          </w:tcPr>
          <w:p w14:paraId="5ECDA034" w14:textId="428476F4"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499,516</w:t>
            </w:r>
          </w:p>
        </w:tc>
        <w:tc>
          <w:tcPr>
            <w:tcW w:w="1048" w:type="dxa"/>
            <w:tcBorders>
              <w:top w:val="nil"/>
              <w:left w:val="nil"/>
              <w:bottom w:val="nil"/>
              <w:right w:val="nil"/>
            </w:tcBorders>
            <w:shd w:val="clear" w:color="000000" w:fill="E6E6E6"/>
            <w:noWrap/>
            <w:vAlign w:val="bottom"/>
            <w:hideMark/>
          </w:tcPr>
          <w:p w14:paraId="1187D72A" w14:textId="6ED450CB"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629</w:t>
            </w:r>
          </w:p>
        </w:tc>
        <w:tc>
          <w:tcPr>
            <w:tcW w:w="901" w:type="dxa"/>
            <w:tcBorders>
              <w:top w:val="nil"/>
              <w:left w:val="nil"/>
              <w:bottom w:val="nil"/>
              <w:right w:val="nil"/>
            </w:tcBorders>
            <w:shd w:val="clear" w:color="000000" w:fill="E6E6E6"/>
            <w:noWrap/>
            <w:vAlign w:val="bottom"/>
            <w:hideMark/>
          </w:tcPr>
          <w:p w14:paraId="23562BCB" w14:textId="622C7A00"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608</w:t>
            </w:r>
          </w:p>
        </w:tc>
      </w:tr>
      <w:tr w:rsidR="00B1501D" w:rsidRPr="00B1501D" w14:paraId="72B7E8EF" w14:textId="77777777" w:rsidTr="00CD0A0E">
        <w:trPr>
          <w:trHeight w:val="204"/>
        </w:trPr>
        <w:tc>
          <w:tcPr>
            <w:tcW w:w="2552" w:type="dxa"/>
            <w:tcBorders>
              <w:top w:val="nil"/>
              <w:left w:val="nil"/>
              <w:bottom w:val="nil"/>
              <w:right w:val="nil"/>
            </w:tcBorders>
            <w:shd w:val="clear" w:color="auto" w:fill="auto"/>
            <w:vAlign w:val="bottom"/>
            <w:hideMark/>
          </w:tcPr>
          <w:p w14:paraId="54FC3D22" w14:textId="77777777" w:rsidR="00B1501D" w:rsidRPr="00B1501D" w:rsidRDefault="00B1501D" w:rsidP="00B1501D">
            <w:pPr>
              <w:spacing w:after="0" w:line="240" w:lineRule="auto"/>
              <w:jc w:val="left"/>
              <w:rPr>
                <w:rFonts w:ascii="Arial" w:hAnsi="Arial" w:cs="Arial"/>
                <w:b/>
                <w:bCs/>
                <w:sz w:val="16"/>
                <w:szCs w:val="16"/>
              </w:rPr>
            </w:pPr>
            <w:r w:rsidRPr="00B1501D">
              <w:rPr>
                <w:rFonts w:ascii="Arial" w:hAnsi="Arial" w:cs="Arial"/>
                <w:b/>
                <w:bCs/>
                <w:sz w:val="16"/>
                <w:szCs w:val="16"/>
              </w:rPr>
              <w:t>Outcome 3</w:t>
            </w:r>
          </w:p>
        </w:tc>
        <w:tc>
          <w:tcPr>
            <w:tcW w:w="993" w:type="dxa"/>
            <w:tcBorders>
              <w:top w:val="nil"/>
              <w:left w:val="nil"/>
              <w:bottom w:val="nil"/>
              <w:right w:val="nil"/>
            </w:tcBorders>
            <w:shd w:val="clear" w:color="auto" w:fill="auto"/>
            <w:noWrap/>
            <w:vAlign w:val="bottom"/>
            <w:hideMark/>
          </w:tcPr>
          <w:p w14:paraId="6BC21D23" w14:textId="77777777" w:rsidR="00B1501D" w:rsidRPr="00B1501D" w:rsidRDefault="00B1501D" w:rsidP="00B1501D">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14:paraId="10E4B51D" w14:textId="77777777" w:rsidR="00B1501D" w:rsidRPr="00B1501D" w:rsidRDefault="00B1501D" w:rsidP="00B1501D">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3104D481" w14:textId="77777777" w:rsidR="00B1501D" w:rsidRPr="00B1501D" w:rsidRDefault="00B1501D" w:rsidP="00B1501D">
            <w:pPr>
              <w:spacing w:after="0" w:line="240" w:lineRule="auto"/>
              <w:jc w:val="right"/>
              <w:rPr>
                <w:rFonts w:ascii="Arial" w:hAnsi="Arial" w:cs="Arial"/>
                <w:sz w:val="16"/>
                <w:szCs w:val="16"/>
              </w:rPr>
            </w:pPr>
          </w:p>
        </w:tc>
        <w:tc>
          <w:tcPr>
            <w:tcW w:w="1048" w:type="dxa"/>
            <w:tcBorders>
              <w:top w:val="nil"/>
              <w:left w:val="nil"/>
              <w:bottom w:val="nil"/>
              <w:right w:val="nil"/>
            </w:tcBorders>
            <w:shd w:val="clear" w:color="000000" w:fill="E6E6E6"/>
            <w:noWrap/>
            <w:vAlign w:val="bottom"/>
            <w:hideMark/>
          </w:tcPr>
          <w:p w14:paraId="215930D5" w14:textId="5F512E63" w:rsidR="00B1501D" w:rsidRPr="00B1501D" w:rsidRDefault="00B1501D" w:rsidP="00B1501D">
            <w:pPr>
              <w:spacing w:after="0" w:line="240" w:lineRule="auto"/>
              <w:jc w:val="left"/>
              <w:rPr>
                <w:rFonts w:ascii="Arial" w:hAnsi="Arial" w:cs="Arial"/>
                <w:sz w:val="16"/>
                <w:szCs w:val="16"/>
              </w:rPr>
            </w:pPr>
          </w:p>
        </w:tc>
        <w:tc>
          <w:tcPr>
            <w:tcW w:w="901" w:type="dxa"/>
            <w:tcBorders>
              <w:top w:val="nil"/>
              <w:left w:val="nil"/>
              <w:bottom w:val="nil"/>
              <w:right w:val="nil"/>
            </w:tcBorders>
            <w:shd w:val="clear" w:color="000000" w:fill="E6E6E6"/>
            <w:noWrap/>
            <w:vAlign w:val="bottom"/>
            <w:hideMark/>
          </w:tcPr>
          <w:p w14:paraId="75B3184B" w14:textId="486D6461" w:rsidR="00B1501D" w:rsidRPr="00B1501D" w:rsidRDefault="00B1501D" w:rsidP="00B1501D">
            <w:pPr>
              <w:spacing w:after="0" w:line="240" w:lineRule="auto"/>
              <w:jc w:val="left"/>
              <w:rPr>
                <w:rFonts w:ascii="Arial" w:hAnsi="Arial" w:cs="Arial"/>
                <w:sz w:val="16"/>
                <w:szCs w:val="16"/>
              </w:rPr>
            </w:pPr>
          </w:p>
        </w:tc>
      </w:tr>
      <w:tr w:rsidR="00B1501D" w:rsidRPr="00B1501D" w14:paraId="7D7241A9" w14:textId="77777777" w:rsidTr="00CD0A0E">
        <w:trPr>
          <w:trHeight w:val="204"/>
        </w:trPr>
        <w:tc>
          <w:tcPr>
            <w:tcW w:w="2552" w:type="dxa"/>
            <w:tcBorders>
              <w:top w:val="nil"/>
              <w:left w:val="nil"/>
              <w:bottom w:val="nil"/>
              <w:right w:val="nil"/>
            </w:tcBorders>
            <w:shd w:val="clear" w:color="auto" w:fill="auto"/>
            <w:vAlign w:val="bottom"/>
            <w:hideMark/>
          </w:tcPr>
          <w:p w14:paraId="1470040D" w14:textId="77777777" w:rsidR="00B1501D" w:rsidRPr="00B1501D" w:rsidRDefault="00B1501D" w:rsidP="00B1501D">
            <w:pPr>
              <w:spacing w:after="0" w:line="240" w:lineRule="auto"/>
              <w:ind w:left="113"/>
              <w:jc w:val="left"/>
              <w:rPr>
                <w:rFonts w:ascii="Arial" w:hAnsi="Arial" w:cs="Arial"/>
                <w:sz w:val="16"/>
                <w:szCs w:val="16"/>
              </w:rPr>
            </w:pPr>
            <w:r w:rsidRPr="00B1501D">
              <w:rPr>
                <w:rFonts w:ascii="Arial" w:hAnsi="Arial" w:cs="Arial"/>
                <w:sz w:val="16"/>
                <w:szCs w:val="16"/>
              </w:rPr>
              <w:t>Strengthening the sustainability, capacity and diversity of our cities and regional economies including through facilitating local partnerships between all levels of government and local communities; through reforms that stimulate economic growth; and providing grants and financial assistance</w:t>
            </w:r>
          </w:p>
        </w:tc>
        <w:tc>
          <w:tcPr>
            <w:tcW w:w="993" w:type="dxa"/>
            <w:tcBorders>
              <w:top w:val="nil"/>
              <w:left w:val="nil"/>
              <w:bottom w:val="nil"/>
              <w:right w:val="nil"/>
            </w:tcBorders>
            <w:shd w:val="clear" w:color="auto" w:fill="auto"/>
            <w:noWrap/>
            <w:vAlign w:val="bottom"/>
            <w:hideMark/>
          </w:tcPr>
          <w:p w14:paraId="28581781" w14:textId="27B0C3F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1,020,775</w:t>
            </w:r>
          </w:p>
        </w:tc>
        <w:tc>
          <w:tcPr>
            <w:tcW w:w="1000" w:type="dxa"/>
            <w:tcBorders>
              <w:top w:val="nil"/>
              <w:left w:val="nil"/>
              <w:bottom w:val="nil"/>
              <w:right w:val="nil"/>
            </w:tcBorders>
            <w:shd w:val="clear" w:color="auto" w:fill="auto"/>
            <w:noWrap/>
            <w:vAlign w:val="bottom"/>
            <w:hideMark/>
          </w:tcPr>
          <w:p w14:paraId="568A6CDB" w14:textId="435AB5B2"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991,227</w:t>
            </w:r>
          </w:p>
        </w:tc>
        <w:tc>
          <w:tcPr>
            <w:tcW w:w="928" w:type="dxa"/>
            <w:tcBorders>
              <w:top w:val="nil"/>
              <w:left w:val="nil"/>
              <w:bottom w:val="nil"/>
              <w:right w:val="nil"/>
            </w:tcBorders>
            <w:shd w:val="clear" w:color="auto" w:fill="auto"/>
            <w:noWrap/>
            <w:vAlign w:val="bottom"/>
            <w:hideMark/>
          </w:tcPr>
          <w:p w14:paraId="177EE1DB" w14:textId="09F934C6"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930,983</w:t>
            </w:r>
          </w:p>
        </w:tc>
        <w:tc>
          <w:tcPr>
            <w:tcW w:w="1048" w:type="dxa"/>
            <w:tcBorders>
              <w:top w:val="nil"/>
              <w:left w:val="nil"/>
              <w:bottom w:val="nil"/>
              <w:right w:val="nil"/>
            </w:tcBorders>
            <w:shd w:val="clear" w:color="000000" w:fill="E6E6E6"/>
            <w:noWrap/>
            <w:vAlign w:val="bottom"/>
            <w:hideMark/>
          </w:tcPr>
          <w:p w14:paraId="79AB4F4B" w14:textId="386A51DE"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w:t>
            </w:r>
          </w:p>
        </w:tc>
        <w:tc>
          <w:tcPr>
            <w:tcW w:w="901" w:type="dxa"/>
            <w:tcBorders>
              <w:top w:val="nil"/>
              <w:left w:val="nil"/>
              <w:bottom w:val="nil"/>
              <w:right w:val="nil"/>
            </w:tcBorders>
            <w:shd w:val="clear" w:color="000000" w:fill="E6E6E6"/>
            <w:noWrap/>
            <w:vAlign w:val="bottom"/>
            <w:hideMark/>
          </w:tcPr>
          <w:p w14:paraId="3C0DEE0D" w14:textId="61D3857E"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60,244</w:t>
            </w:r>
          </w:p>
        </w:tc>
      </w:tr>
      <w:tr w:rsidR="00B1501D" w:rsidRPr="00B1501D" w14:paraId="54F596A8" w14:textId="77777777" w:rsidTr="00CD0A0E">
        <w:trPr>
          <w:trHeight w:val="204"/>
        </w:trPr>
        <w:tc>
          <w:tcPr>
            <w:tcW w:w="2552" w:type="dxa"/>
            <w:tcBorders>
              <w:top w:val="nil"/>
              <w:left w:val="nil"/>
              <w:bottom w:val="nil"/>
              <w:right w:val="nil"/>
            </w:tcBorders>
            <w:shd w:val="clear" w:color="auto" w:fill="auto"/>
            <w:noWrap/>
            <w:vAlign w:val="bottom"/>
            <w:hideMark/>
          </w:tcPr>
          <w:p w14:paraId="234DE18A" w14:textId="77777777" w:rsidR="00B1501D" w:rsidRPr="00B1501D" w:rsidRDefault="00B1501D" w:rsidP="00B1501D">
            <w:pPr>
              <w:spacing w:after="0" w:line="240" w:lineRule="auto"/>
              <w:jc w:val="left"/>
              <w:rPr>
                <w:rFonts w:ascii="Arial" w:hAnsi="Arial" w:cs="Arial"/>
                <w:b/>
                <w:bCs/>
                <w:sz w:val="16"/>
                <w:szCs w:val="16"/>
              </w:rPr>
            </w:pPr>
            <w:r w:rsidRPr="00B1501D">
              <w:rPr>
                <w:rFonts w:ascii="Arial" w:hAnsi="Arial" w:cs="Arial"/>
                <w:b/>
                <w:bCs/>
                <w:sz w:val="16"/>
                <w:szCs w:val="16"/>
              </w:rPr>
              <w:t>Total</w:t>
            </w:r>
          </w:p>
        </w:tc>
        <w:tc>
          <w:tcPr>
            <w:tcW w:w="993" w:type="dxa"/>
            <w:tcBorders>
              <w:top w:val="single" w:sz="4" w:space="0" w:color="auto"/>
              <w:left w:val="nil"/>
              <w:bottom w:val="single" w:sz="4" w:space="0" w:color="auto"/>
              <w:right w:val="nil"/>
            </w:tcBorders>
            <w:shd w:val="clear" w:color="auto" w:fill="auto"/>
            <w:noWrap/>
            <w:vAlign w:val="bottom"/>
            <w:hideMark/>
          </w:tcPr>
          <w:p w14:paraId="7DD22965" w14:textId="0AB5166F"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1,612,468</w:t>
            </w:r>
          </w:p>
        </w:tc>
        <w:tc>
          <w:tcPr>
            <w:tcW w:w="1000" w:type="dxa"/>
            <w:tcBorders>
              <w:top w:val="single" w:sz="4" w:space="0" w:color="auto"/>
              <w:left w:val="nil"/>
              <w:bottom w:val="single" w:sz="4" w:space="0" w:color="auto"/>
              <w:right w:val="nil"/>
            </w:tcBorders>
            <w:shd w:val="clear" w:color="auto" w:fill="auto"/>
            <w:noWrap/>
            <w:vAlign w:val="bottom"/>
            <w:hideMark/>
          </w:tcPr>
          <w:p w14:paraId="028B05BA" w14:textId="602A43C3"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1,490,722</w:t>
            </w:r>
          </w:p>
        </w:tc>
        <w:tc>
          <w:tcPr>
            <w:tcW w:w="928" w:type="dxa"/>
            <w:tcBorders>
              <w:top w:val="single" w:sz="4" w:space="0" w:color="auto"/>
              <w:left w:val="nil"/>
              <w:bottom w:val="single" w:sz="4" w:space="0" w:color="auto"/>
              <w:right w:val="nil"/>
            </w:tcBorders>
            <w:shd w:val="clear" w:color="auto" w:fill="auto"/>
            <w:noWrap/>
            <w:vAlign w:val="bottom"/>
            <w:hideMark/>
          </w:tcPr>
          <w:p w14:paraId="2A6751C4" w14:textId="50768CD2"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1,430,499</w:t>
            </w:r>
          </w:p>
        </w:tc>
        <w:tc>
          <w:tcPr>
            <w:tcW w:w="1048" w:type="dxa"/>
            <w:tcBorders>
              <w:top w:val="single" w:sz="4" w:space="0" w:color="auto"/>
              <w:left w:val="nil"/>
              <w:bottom w:val="single" w:sz="4" w:space="0" w:color="auto"/>
              <w:right w:val="nil"/>
            </w:tcBorders>
            <w:shd w:val="clear" w:color="000000" w:fill="E6E6E6"/>
            <w:noWrap/>
            <w:vAlign w:val="bottom"/>
            <w:hideMark/>
          </w:tcPr>
          <w:p w14:paraId="58B89196" w14:textId="6F052D3A"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629</w:t>
            </w:r>
          </w:p>
        </w:tc>
        <w:tc>
          <w:tcPr>
            <w:tcW w:w="901" w:type="dxa"/>
            <w:tcBorders>
              <w:top w:val="single" w:sz="4" w:space="0" w:color="auto"/>
              <w:left w:val="nil"/>
              <w:bottom w:val="single" w:sz="4" w:space="0" w:color="auto"/>
              <w:right w:val="nil"/>
            </w:tcBorders>
            <w:shd w:val="clear" w:color="000000" w:fill="E6E6E6"/>
            <w:noWrap/>
            <w:vAlign w:val="bottom"/>
            <w:hideMark/>
          </w:tcPr>
          <w:p w14:paraId="3BB61FFA" w14:textId="34A4FB3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60,852</w:t>
            </w:r>
          </w:p>
        </w:tc>
      </w:tr>
      <w:tr w:rsidR="00B1501D" w:rsidRPr="00B1501D" w14:paraId="36046B72" w14:textId="77777777" w:rsidTr="00CD0A0E">
        <w:trPr>
          <w:trHeight w:val="204"/>
        </w:trPr>
        <w:tc>
          <w:tcPr>
            <w:tcW w:w="2552" w:type="dxa"/>
            <w:tcBorders>
              <w:top w:val="nil"/>
              <w:left w:val="nil"/>
              <w:bottom w:val="nil"/>
              <w:right w:val="nil"/>
            </w:tcBorders>
            <w:shd w:val="clear" w:color="auto" w:fill="auto"/>
            <w:vAlign w:val="bottom"/>
            <w:hideMark/>
          </w:tcPr>
          <w:p w14:paraId="6304CE6B" w14:textId="77777777" w:rsidR="00B1501D" w:rsidRPr="00B1501D" w:rsidRDefault="00B1501D" w:rsidP="00B1501D">
            <w:pPr>
              <w:spacing w:after="0" w:line="240" w:lineRule="auto"/>
              <w:jc w:val="left"/>
              <w:rPr>
                <w:rFonts w:ascii="Arial" w:hAnsi="Arial" w:cs="Arial"/>
                <w:b/>
                <w:bCs/>
                <w:sz w:val="16"/>
                <w:szCs w:val="16"/>
              </w:rPr>
            </w:pPr>
            <w:r w:rsidRPr="00B1501D">
              <w:rPr>
                <w:rFonts w:ascii="Arial" w:hAnsi="Arial" w:cs="Arial"/>
                <w:b/>
                <w:bCs/>
                <w:sz w:val="16"/>
                <w:szCs w:val="16"/>
              </w:rPr>
              <w:t>Non-operating</w:t>
            </w:r>
          </w:p>
        </w:tc>
        <w:tc>
          <w:tcPr>
            <w:tcW w:w="993" w:type="dxa"/>
            <w:tcBorders>
              <w:top w:val="nil"/>
              <w:left w:val="nil"/>
              <w:bottom w:val="nil"/>
              <w:right w:val="nil"/>
            </w:tcBorders>
            <w:shd w:val="clear" w:color="auto" w:fill="auto"/>
            <w:noWrap/>
            <w:vAlign w:val="bottom"/>
            <w:hideMark/>
          </w:tcPr>
          <w:p w14:paraId="4A6FC992" w14:textId="77777777" w:rsidR="00B1501D" w:rsidRPr="00B1501D" w:rsidRDefault="00B1501D" w:rsidP="00B1501D">
            <w:pPr>
              <w:spacing w:after="0" w:line="240" w:lineRule="auto"/>
              <w:jc w:val="left"/>
              <w:rPr>
                <w:rFonts w:ascii="Arial" w:hAnsi="Arial" w:cs="Arial"/>
                <w:b/>
                <w:bCs/>
                <w:sz w:val="16"/>
                <w:szCs w:val="16"/>
              </w:rPr>
            </w:pPr>
          </w:p>
        </w:tc>
        <w:tc>
          <w:tcPr>
            <w:tcW w:w="1000" w:type="dxa"/>
            <w:tcBorders>
              <w:top w:val="nil"/>
              <w:left w:val="nil"/>
              <w:bottom w:val="nil"/>
              <w:right w:val="nil"/>
            </w:tcBorders>
            <w:shd w:val="clear" w:color="auto" w:fill="auto"/>
            <w:noWrap/>
            <w:vAlign w:val="bottom"/>
            <w:hideMark/>
          </w:tcPr>
          <w:p w14:paraId="3D94B2B1" w14:textId="77777777" w:rsidR="00B1501D" w:rsidRPr="00B1501D" w:rsidRDefault="00B1501D" w:rsidP="00B1501D">
            <w:pPr>
              <w:spacing w:after="0" w:line="240" w:lineRule="auto"/>
              <w:jc w:val="lef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0C98032D" w14:textId="77777777" w:rsidR="00B1501D" w:rsidRPr="00B1501D" w:rsidRDefault="00B1501D" w:rsidP="00B1501D">
            <w:pPr>
              <w:spacing w:after="0" w:line="240" w:lineRule="auto"/>
              <w:jc w:val="left"/>
              <w:rPr>
                <w:rFonts w:ascii="Arial" w:hAnsi="Arial" w:cs="Arial"/>
                <w:sz w:val="16"/>
                <w:szCs w:val="16"/>
              </w:rPr>
            </w:pPr>
          </w:p>
        </w:tc>
        <w:tc>
          <w:tcPr>
            <w:tcW w:w="1048" w:type="dxa"/>
            <w:tcBorders>
              <w:top w:val="nil"/>
              <w:left w:val="nil"/>
              <w:bottom w:val="nil"/>
              <w:right w:val="nil"/>
            </w:tcBorders>
            <w:shd w:val="clear" w:color="000000" w:fill="E6E6E6"/>
            <w:noWrap/>
            <w:vAlign w:val="bottom"/>
            <w:hideMark/>
          </w:tcPr>
          <w:p w14:paraId="3EBE84C7" w14:textId="626FF9BD" w:rsidR="00B1501D" w:rsidRPr="00B1501D" w:rsidRDefault="00B1501D" w:rsidP="00B1501D">
            <w:pPr>
              <w:spacing w:after="0" w:line="240" w:lineRule="auto"/>
              <w:jc w:val="left"/>
              <w:rPr>
                <w:rFonts w:ascii="Arial" w:hAnsi="Arial" w:cs="Arial"/>
                <w:sz w:val="16"/>
                <w:szCs w:val="16"/>
              </w:rPr>
            </w:pPr>
          </w:p>
        </w:tc>
        <w:tc>
          <w:tcPr>
            <w:tcW w:w="901" w:type="dxa"/>
            <w:tcBorders>
              <w:top w:val="nil"/>
              <w:left w:val="nil"/>
              <w:bottom w:val="nil"/>
              <w:right w:val="nil"/>
            </w:tcBorders>
            <w:shd w:val="clear" w:color="000000" w:fill="E6E6E6"/>
            <w:noWrap/>
            <w:vAlign w:val="bottom"/>
            <w:hideMark/>
          </w:tcPr>
          <w:p w14:paraId="2DF89F4F" w14:textId="7CCCAA1D" w:rsidR="00B1501D" w:rsidRPr="00B1501D" w:rsidRDefault="00B1501D" w:rsidP="00B1501D">
            <w:pPr>
              <w:spacing w:after="0" w:line="240" w:lineRule="auto"/>
              <w:jc w:val="left"/>
              <w:rPr>
                <w:rFonts w:ascii="Arial" w:hAnsi="Arial" w:cs="Arial"/>
                <w:sz w:val="16"/>
                <w:szCs w:val="16"/>
              </w:rPr>
            </w:pPr>
          </w:p>
        </w:tc>
      </w:tr>
      <w:tr w:rsidR="00B1501D" w:rsidRPr="00B1501D" w14:paraId="2B6CBFD4" w14:textId="77777777" w:rsidTr="00CD0A0E">
        <w:trPr>
          <w:trHeight w:val="204"/>
        </w:trPr>
        <w:tc>
          <w:tcPr>
            <w:tcW w:w="2552" w:type="dxa"/>
            <w:tcBorders>
              <w:top w:val="nil"/>
              <w:left w:val="nil"/>
              <w:bottom w:val="nil"/>
              <w:right w:val="nil"/>
            </w:tcBorders>
            <w:shd w:val="clear" w:color="auto" w:fill="auto"/>
            <w:vAlign w:val="bottom"/>
          </w:tcPr>
          <w:p w14:paraId="5C75D552" w14:textId="17FC061B" w:rsidR="00B1501D" w:rsidRPr="00B1501D" w:rsidRDefault="00B1501D" w:rsidP="00B1501D">
            <w:pPr>
              <w:spacing w:after="0" w:line="240" w:lineRule="auto"/>
              <w:ind w:left="113"/>
              <w:jc w:val="left"/>
              <w:rPr>
                <w:rFonts w:ascii="Arial" w:hAnsi="Arial" w:cs="Arial"/>
                <w:b/>
                <w:bCs/>
                <w:sz w:val="16"/>
                <w:szCs w:val="16"/>
              </w:rPr>
            </w:pPr>
            <w:r w:rsidRPr="00B1501D">
              <w:rPr>
                <w:rFonts w:ascii="Arial" w:hAnsi="Arial" w:cs="Arial"/>
                <w:sz w:val="16"/>
                <w:szCs w:val="16"/>
              </w:rPr>
              <w:t>Administered assets and liabilities</w:t>
            </w:r>
          </w:p>
        </w:tc>
        <w:tc>
          <w:tcPr>
            <w:tcW w:w="993" w:type="dxa"/>
            <w:tcBorders>
              <w:top w:val="nil"/>
              <w:left w:val="nil"/>
              <w:bottom w:val="nil"/>
              <w:right w:val="nil"/>
            </w:tcBorders>
            <w:shd w:val="clear" w:color="auto" w:fill="auto"/>
            <w:noWrap/>
            <w:vAlign w:val="bottom"/>
          </w:tcPr>
          <w:p w14:paraId="2F85824E" w14:textId="7F7AC26A" w:rsidR="00B1501D" w:rsidRPr="00CD0A0E" w:rsidRDefault="00B1501D" w:rsidP="00B1501D">
            <w:pPr>
              <w:spacing w:after="0" w:line="240" w:lineRule="auto"/>
              <w:jc w:val="right"/>
              <w:rPr>
                <w:rFonts w:ascii="Arial" w:hAnsi="Arial" w:cs="Arial"/>
                <w:b/>
                <w:bCs/>
                <w:sz w:val="16"/>
                <w:szCs w:val="16"/>
              </w:rPr>
            </w:pPr>
            <w:r w:rsidRPr="00CD0A0E">
              <w:rPr>
                <w:rFonts w:ascii="Arial" w:hAnsi="Arial" w:cs="Arial"/>
                <w:sz w:val="16"/>
                <w:szCs w:val="16"/>
              </w:rPr>
              <w:t>1,713,325</w:t>
            </w:r>
          </w:p>
        </w:tc>
        <w:tc>
          <w:tcPr>
            <w:tcW w:w="1000" w:type="dxa"/>
            <w:tcBorders>
              <w:top w:val="nil"/>
              <w:left w:val="nil"/>
              <w:bottom w:val="nil"/>
              <w:right w:val="nil"/>
            </w:tcBorders>
            <w:shd w:val="clear" w:color="auto" w:fill="auto"/>
            <w:noWrap/>
            <w:vAlign w:val="bottom"/>
          </w:tcPr>
          <w:p w14:paraId="2FE4CA2C" w14:textId="35DF97A7"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2,065,192</w:t>
            </w:r>
          </w:p>
        </w:tc>
        <w:tc>
          <w:tcPr>
            <w:tcW w:w="928" w:type="dxa"/>
            <w:tcBorders>
              <w:top w:val="nil"/>
              <w:left w:val="nil"/>
              <w:bottom w:val="nil"/>
              <w:right w:val="nil"/>
            </w:tcBorders>
            <w:shd w:val="clear" w:color="auto" w:fill="auto"/>
            <w:noWrap/>
            <w:vAlign w:val="bottom"/>
          </w:tcPr>
          <w:p w14:paraId="772CB9AC" w14:textId="2002D234"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2,131,167</w:t>
            </w:r>
          </w:p>
        </w:tc>
        <w:tc>
          <w:tcPr>
            <w:tcW w:w="1048" w:type="dxa"/>
            <w:tcBorders>
              <w:top w:val="nil"/>
              <w:left w:val="nil"/>
              <w:bottom w:val="nil"/>
              <w:right w:val="nil"/>
            </w:tcBorders>
            <w:shd w:val="clear" w:color="000000" w:fill="E6E6E6"/>
            <w:noWrap/>
            <w:vAlign w:val="bottom"/>
          </w:tcPr>
          <w:p w14:paraId="09DBE476" w14:textId="611CF458"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98,445</w:t>
            </w:r>
          </w:p>
        </w:tc>
        <w:tc>
          <w:tcPr>
            <w:tcW w:w="901" w:type="dxa"/>
            <w:tcBorders>
              <w:top w:val="nil"/>
              <w:left w:val="nil"/>
              <w:bottom w:val="nil"/>
              <w:right w:val="nil"/>
            </w:tcBorders>
            <w:shd w:val="clear" w:color="000000" w:fill="E6E6E6"/>
            <w:noWrap/>
            <w:vAlign w:val="bottom"/>
          </w:tcPr>
          <w:p w14:paraId="53D848C6" w14:textId="01239E58"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32,470</w:t>
            </w:r>
          </w:p>
        </w:tc>
      </w:tr>
      <w:tr w:rsidR="00B1501D" w:rsidRPr="00B1501D" w14:paraId="10F46349" w14:textId="77777777" w:rsidTr="00CD0A0E">
        <w:trPr>
          <w:trHeight w:val="204"/>
        </w:trPr>
        <w:tc>
          <w:tcPr>
            <w:tcW w:w="2552" w:type="dxa"/>
            <w:tcBorders>
              <w:top w:val="nil"/>
              <w:left w:val="nil"/>
              <w:bottom w:val="nil"/>
              <w:right w:val="nil"/>
            </w:tcBorders>
            <w:shd w:val="clear" w:color="auto" w:fill="auto"/>
            <w:noWrap/>
            <w:vAlign w:val="bottom"/>
            <w:hideMark/>
          </w:tcPr>
          <w:p w14:paraId="421CEC0C" w14:textId="77777777" w:rsidR="00B1501D" w:rsidRPr="00B1501D" w:rsidRDefault="00B1501D" w:rsidP="00B1501D">
            <w:pPr>
              <w:spacing w:after="0" w:line="240" w:lineRule="auto"/>
              <w:jc w:val="left"/>
              <w:rPr>
                <w:rFonts w:ascii="Arial" w:hAnsi="Arial" w:cs="Arial"/>
                <w:b/>
                <w:bCs/>
                <w:sz w:val="16"/>
                <w:szCs w:val="16"/>
              </w:rPr>
            </w:pPr>
            <w:r w:rsidRPr="00B1501D">
              <w:rPr>
                <w:rFonts w:ascii="Arial" w:hAnsi="Arial" w:cs="Arial"/>
                <w:b/>
                <w:bCs/>
                <w:sz w:val="16"/>
                <w:szCs w:val="16"/>
              </w:rPr>
              <w:t>Total non-operating</w:t>
            </w:r>
          </w:p>
        </w:tc>
        <w:tc>
          <w:tcPr>
            <w:tcW w:w="993" w:type="dxa"/>
            <w:tcBorders>
              <w:top w:val="single" w:sz="4" w:space="0" w:color="auto"/>
              <w:left w:val="nil"/>
              <w:bottom w:val="single" w:sz="4" w:space="0" w:color="auto"/>
              <w:right w:val="nil"/>
            </w:tcBorders>
            <w:shd w:val="clear" w:color="auto" w:fill="auto"/>
            <w:noWrap/>
            <w:vAlign w:val="bottom"/>
            <w:hideMark/>
          </w:tcPr>
          <w:p w14:paraId="6A986BB6" w14:textId="5779F6E0" w:rsidR="00B1501D" w:rsidRPr="00CD0A0E" w:rsidRDefault="00B1501D" w:rsidP="00B1501D">
            <w:pPr>
              <w:spacing w:after="0" w:line="240" w:lineRule="auto"/>
              <w:jc w:val="right"/>
              <w:rPr>
                <w:rFonts w:ascii="Arial" w:hAnsi="Arial" w:cs="Arial"/>
                <w:sz w:val="16"/>
                <w:szCs w:val="16"/>
              </w:rPr>
            </w:pPr>
            <w:r w:rsidRPr="00CD0A0E">
              <w:rPr>
                <w:rFonts w:ascii="Arial" w:hAnsi="Arial" w:cs="Arial"/>
                <w:sz w:val="16"/>
                <w:szCs w:val="16"/>
              </w:rPr>
              <w:t>1,713,325</w:t>
            </w:r>
          </w:p>
        </w:tc>
        <w:tc>
          <w:tcPr>
            <w:tcW w:w="1000" w:type="dxa"/>
            <w:tcBorders>
              <w:top w:val="single" w:sz="4" w:space="0" w:color="auto"/>
              <w:left w:val="nil"/>
              <w:bottom w:val="single" w:sz="4" w:space="0" w:color="auto"/>
              <w:right w:val="nil"/>
            </w:tcBorders>
            <w:shd w:val="clear" w:color="auto" w:fill="auto"/>
            <w:noWrap/>
            <w:vAlign w:val="bottom"/>
            <w:hideMark/>
          </w:tcPr>
          <w:p w14:paraId="74691FC6" w14:textId="7D00DE0A"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2,065,192</w:t>
            </w:r>
          </w:p>
        </w:tc>
        <w:tc>
          <w:tcPr>
            <w:tcW w:w="928" w:type="dxa"/>
            <w:tcBorders>
              <w:top w:val="single" w:sz="4" w:space="0" w:color="auto"/>
              <w:left w:val="nil"/>
              <w:bottom w:val="single" w:sz="4" w:space="0" w:color="auto"/>
              <w:right w:val="nil"/>
            </w:tcBorders>
            <w:shd w:val="clear" w:color="auto" w:fill="auto"/>
            <w:noWrap/>
            <w:vAlign w:val="bottom"/>
            <w:hideMark/>
          </w:tcPr>
          <w:p w14:paraId="7FF4D607" w14:textId="255330B4"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2,131,167</w:t>
            </w:r>
          </w:p>
        </w:tc>
        <w:tc>
          <w:tcPr>
            <w:tcW w:w="1048" w:type="dxa"/>
            <w:tcBorders>
              <w:top w:val="single" w:sz="4" w:space="0" w:color="auto"/>
              <w:left w:val="nil"/>
              <w:bottom w:val="single" w:sz="4" w:space="0" w:color="auto"/>
              <w:right w:val="nil"/>
            </w:tcBorders>
            <w:shd w:val="clear" w:color="000000" w:fill="E6E6E6"/>
            <w:noWrap/>
            <w:vAlign w:val="bottom"/>
            <w:hideMark/>
          </w:tcPr>
          <w:p w14:paraId="6EC3C858" w14:textId="038021AA"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98,445</w:t>
            </w:r>
          </w:p>
        </w:tc>
        <w:tc>
          <w:tcPr>
            <w:tcW w:w="901" w:type="dxa"/>
            <w:tcBorders>
              <w:top w:val="single" w:sz="4" w:space="0" w:color="auto"/>
              <w:left w:val="nil"/>
              <w:bottom w:val="single" w:sz="4" w:space="0" w:color="auto"/>
              <w:right w:val="nil"/>
            </w:tcBorders>
            <w:shd w:val="clear" w:color="000000" w:fill="E6E6E6"/>
            <w:noWrap/>
            <w:vAlign w:val="bottom"/>
            <w:hideMark/>
          </w:tcPr>
          <w:p w14:paraId="67E9D745" w14:textId="65983A0B" w:rsidR="00B1501D" w:rsidRPr="00B1501D" w:rsidRDefault="00B1501D" w:rsidP="00B1501D">
            <w:pPr>
              <w:spacing w:after="0" w:line="240" w:lineRule="auto"/>
              <w:jc w:val="right"/>
              <w:rPr>
                <w:rFonts w:ascii="Arial" w:hAnsi="Arial" w:cs="Arial"/>
                <w:sz w:val="16"/>
                <w:szCs w:val="16"/>
              </w:rPr>
            </w:pPr>
            <w:r w:rsidRPr="00B1501D">
              <w:rPr>
                <w:rFonts w:ascii="Arial" w:hAnsi="Arial" w:cs="Arial"/>
                <w:sz w:val="16"/>
                <w:szCs w:val="16"/>
              </w:rPr>
              <w:t>32,470</w:t>
            </w:r>
          </w:p>
        </w:tc>
      </w:tr>
      <w:tr w:rsidR="00B1501D" w:rsidRPr="00B1501D" w14:paraId="0D5AAD12" w14:textId="77777777" w:rsidTr="00CD0A0E">
        <w:trPr>
          <w:trHeight w:val="204"/>
        </w:trPr>
        <w:tc>
          <w:tcPr>
            <w:tcW w:w="2552" w:type="dxa"/>
            <w:tcBorders>
              <w:top w:val="nil"/>
              <w:left w:val="nil"/>
              <w:bottom w:val="single" w:sz="4" w:space="0" w:color="auto"/>
              <w:right w:val="nil"/>
            </w:tcBorders>
            <w:shd w:val="clear" w:color="auto" w:fill="auto"/>
            <w:noWrap/>
            <w:vAlign w:val="bottom"/>
            <w:hideMark/>
          </w:tcPr>
          <w:p w14:paraId="67E6A274" w14:textId="77777777" w:rsidR="00B1501D" w:rsidRPr="00B1501D" w:rsidRDefault="00B1501D" w:rsidP="00B1501D">
            <w:pPr>
              <w:spacing w:after="0" w:line="240" w:lineRule="auto"/>
              <w:jc w:val="left"/>
              <w:rPr>
                <w:rFonts w:ascii="Arial" w:hAnsi="Arial" w:cs="Arial"/>
                <w:b/>
                <w:bCs/>
                <w:sz w:val="16"/>
                <w:szCs w:val="16"/>
              </w:rPr>
            </w:pPr>
            <w:r w:rsidRPr="00B1501D">
              <w:rPr>
                <w:rFonts w:ascii="Arial" w:hAnsi="Arial" w:cs="Arial"/>
                <w:b/>
                <w:bCs/>
                <w:sz w:val="16"/>
                <w:szCs w:val="16"/>
              </w:rPr>
              <w:t>Total</w:t>
            </w:r>
          </w:p>
        </w:tc>
        <w:tc>
          <w:tcPr>
            <w:tcW w:w="993" w:type="dxa"/>
            <w:tcBorders>
              <w:top w:val="nil"/>
              <w:left w:val="nil"/>
              <w:bottom w:val="single" w:sz="4" w:space="0" w:color="auto"/>
              <w:right w:val="nil"/>
            </w:tcBorders>
            <w:shd w:val="clear" w:color="auto" w:fill="auto"/>
            <w:noWrap/>
            <w:vAlign w:val="bottom"/>
            <w:hideMark/>
          </w:tcPr>
          <w:p w14:paraId="15F330A8" w14:textId="0A7F098F" w:rsidR="00B1501D" w:rsidRPr="00CD0A0E" w:rsidRDefault="00B1501D" w:rsidP="00B1501D">
            <w:pPr>
              <w:spacing w:after="0" w:line="240" w:lineRule="auto"/>
              <w:jc w:val="right"/>
              <w:rPr>
                <w:rFonts w:ascii="Arial" w:hAnsi="Arial" w:cs="Arial"/>
                <w:b/>
                <w:bCs/>
                <w:sz w:val="16"/>
                <w:szCs w:val="16"/>
              </w:rPr>
            </w:pPr>
            <w:r w:rsidRPr="00CD0A0E">
              <w:rPr>
                <w:rFonts w:ascii="Arial" w:hAnsi="Arial" w:cs="Arial"/>
                <w:b/>
                <w:bCs/>
                <w:sz w:val="16"/>
                <w:szCs w:val="16"/>
              </w:rPr>
              <w:t>3,325,793</w:t>
            </w:r>
          </w:p>
        </w:tc>
        <w:tc>
          <w:tcPr>
            <w:tcW w:w="1000" w:type="dxa"/>
            <w:tcBorders>
              <w:top w:val="nil"/>
              <w:left w:val="nil"/>
              <w:bottom w:val="single" w:sz="4" w:space="0" w:color="auto"/>
              <w:right w:val="nil"/>
            </w:tcBorders>
            <w:shd w:val="clear" w:color="auto" w:fill="auto"/>
            <w:noWrap/>
            <w:vAlign w:val="bottom"/>
            <w:hideMark/>
          </w:tcPr>
          <w:p w14:paraId="2D9E61D1" w14:textId="469E708A" w:rsidR="00B1501D" w:rsidRPr="00B1501D" w:rsidRDefault="00B1501D" w:rsidP="00B1501D">
            <w:pPr>
              <w:spacing w:after="0" w:line="240" w:lineRule="auto"/>
              <w:jc w:val="right"/>
              <w:rPr>
                <w:rFonts w:ascii="Arial" w:hAnsi="Arial" w:cs="Arial"/>
                <w:b/>
                <w:bCs/>
                <w:sz w:val="16"/>
                <w:szCs w:val="16"/>
              </w:rPr>
            </w:pPr>
            <w:r w:rsidRPr="00B1501D">
              <w:rPr>
                <w:rFonts w:ascii="Arial" w:hAnsi="Arial" w:cs="Arial"/>
                <w:b/>
                <w:bCs/>
                <w:sz w:val="16"/>
                <w:szCs w:val="16"/>
              </w:rPr>
              <w:t>3,555,914</w:t>
            </w:r>
          </w:p>
        </w:tc>
        <w:tc>
          <w:tcPr>
            <w:tcW w:w="928" w:type="dxa"/>
            <w:tcBorders>
              <w:top w:val="nil"/>
              <w:left w:val="nil"/>
              <w:bottom w:val="single" w:sz="4" w:space="0" w:color="auto"/>
              <w:right w:val="nil"/>
            </w:tcBorders>
            <w:shd w:val="clear" w:color="auto" w:fill="auto"/>
            <w:noWrap/>
            <w:vAlign w:val="bottom"/>
            <w:hideMark/>
          </w:tcPr>
          <w:p w14:paraId="301B5F07" w14:textId="475043CF" w:rsidR="00B1501D" w:rsidRPr="00B1501D" w:rsidRDefault="00B1501D" w:rsidP="00B1501D">
            <w:pPr>
              <w:spacing w:after="0" w:line="240" w:lineRule="auto"/>
              <w:jc w:val="right"/>
              <w:rPr>
                <w:rFonts w:ascii="Arial" w:hAnsi="Arial" w:cs="Arial"/>
                <w:b/>
                <w:bCs/>
                <w:sz w:val="16"/>
                <w:szCs w:val="16"/>
              </w:rPr>
            </w:pPr>
            <w:r w:rsidRPr="00B1501D">
              <w:rPr>
                <w:rFonts w:ascii="Arial" w:hAnsi="Arial" w:cs="Arial"/>
                <w:b/>
                <w:bCs/>
                <w:sz w:val="16"/>
                <w:szCs w:val="16"/>
              </w:rPr>
              <w:t>3,561,666</w:t>
            </w:r>
          </w:p>
        </w:tc>
        <w:tc>
          <w:tcPr>
            <w:tcW w:w="1048" w:type="dxa"/>
            <w:tcBorders>
              <w:top w:val="nil"/>
              <w:left w:val="nil"/>
              <w:bottom w:val="single" w:sz="4" w:space="0" w:color="auto"/>
              <w:right w:val="nil"/>
            </w:tcBorders>
            <w:shd w:val="clear" w:color="000000" w:fill="E6E6E6"/>
            <w:noWrap/>
            <w:vAlign w:val="bottom"/>
            <w:hideMark/>
          </w:tcPr>
          <w:p w14:paraId="251949B0" w14:textId="6D4648B1" w:rsidR="00B1501D" w:rsidRPr="00B1501D" w:rsidRDefault="00B1501D" w:rsidP="00B1501D">
            <w:pPr>
              <w:spacing w:after="0" w:line="240" w:lineRule="auto"/>
              <w:jc w:val="right"/>
              <w:rPr>
                <w:rFonts w:ascii="Arial" w:hAnsi="Arial" w:cs="Arial"/>
                <w:b/>
                <w:bCs/>
                <w:sz w:val="16"/>
                <w:szCs w:val="16"/>
              </w:rPr>
            </w:pPr>
            <w:r w:rsidRPr="00B1501D">
              <w:rPr>
                <w:rFonts w:ascii="Arial" w:hAnsi="Arial" w:cs="Arial"/>
                <w:b/>
                <w:bCs/>
                <w:sz w:val="16"/>
                <w:szCs w:val="16"/>
              </w:rPr>
              <w:t>99,074</w:t>
            </w:r>
          </w:p>
        </w:tc>
        <w:tc>
          <w:tcPr>
            <w:tcW w:w="901" w:type="dxa"/>
            <w:tcBorders>
              <w:top w:val="nil"/>
              <w:left w:val="nil"/>
              <w:bottom w:val="single" w:sz="4" w:space="0" w:color="auto"/>
              <w:right w:val="nil"/>
            </w:tcBorders>
            <w:shd w:val="clear" w:color="000000" w:fill="E6E6E6"/>
            <w:noWrap/>
            <w:vAlign w:val="bottom"/>
            <w:hideMark/>
          </w:tcPr>
          <w:p w14:paraId="562CBCFA" w14:textId="3C5FAF1A" w:rsidR="00B1501D" w:rsidRPr="00B1501D" w:rsidRDefault="00B1501D" w:rsidP="00B1501D">
            <w:pPr>
              <w:spacing w:after="0" w:line="240" w:lineRule="auto"/>
              <w:jc w:val="right"/>
              <w:rPr>
                <w:rFonts w:ascii="Arial" w:hAnsi="Arial" w:cs="Arial"/>
                <w:b/>
                <w:bCs/>
                <w:sz w:val="16"/>
                <w:szCs w:val="16"/>
              </w:rPr>
            </w:pPr>
            <w:r w:rsidRPr="00B1501D">
              <w:rPr>
                <w:rFonts w:ascii="Arial" w:hAnsi="Arial" w:cs="Arial"/>
                <w:b/>
                <w:bCs/>
                <w:sz w:val="16"/>
                <w:szCs w:val="16"/>
              </w:rPr>
              <w:t>93,322</w:t>
            </w:r>
          </w:p>
        </w:tc>
      </w:tr>
    </w:tbl>
    <w:p w14:paraId="4E803067" w14:textId="1D27A9D3" w:rsidR="003F5E6A" w:rsidRPr="00EB3776" w:rsidRDefault="003F5E6A" w:rsidP="00D37DFC">
      <w:pPr>
        <w:pStyle w:val="ChartandTableFootnoteAlpha"/>
        <w:numPr>
          <w:ilvl w:val="0"/>
          <w:numId w:val="67"/>
        </w:numPr>
        <w:tabs>
          <w:tab w:val="clear" w:pos="397"/>
        </w:tabs>
        <w:spacing w:before="60" w:after="0"/>
        <w:ind w:left="284" w:hanging="284"/>
        <w:jc w:val="left"/>
      </w:pPr>
      <w:r w:rsidRPr="00EB3776">
        <w:t>The 20</w:t>
      </w:r>
      <w:r w:rsidR="00704FAA" w:rsidRPr="00EB3776">
        <w:t>20</w:t>
      </w:r>
      <w:r w:rsidRPr="00EB3776">
        <w:t>–</w:t>
      </w:r>
      <w:r w:rsidR="00704FAA" w:rsidRPr="00EB3776">
        <w:t>21</w:t>
      </w:r>
      <w:r w:rsidRPr="00EB3776">
        <w:t xml:space="preserve"> available appropriation is included to allow a comparison of this year's appropriation with what was made availabl</w:t>
      </w:r>
      <w:r w:rsidR="000672C0" w:rsidRPr="00EB3776">
        <w:t>e for use in the previous year.</w:t>
      </w:r>
      <w:r w:rsidRPr="00EB3776">
        <w:t xml:space="preserve"> Available appropriation is the amount available to be drawn down, and is equal to: Budget Appropriation + Additional Estimates Appropriation + AFM – s51 withholdings – administrative quarantines +/– Machinery of Government transfers.</w:t>
      </w:r>
    </w:p>
    <w:p w14:paraId="26CDB763" w14:textId="5208543F" w:rsidR="003F5E6A" w:rsidRPr="003F5E6A" w:rsidRDefault="003F5E6A" w:rsidP="00EB3776">
      <w:pPr>
        <w:numPr>
          <w:ilvl w:val="0"/>
          <w:numId w:val="4"/>
        </w:numPr>
        <w:spacing w:after="0" w:line="240" w:lineRule="auto"/>
        <w:ind w:left="284" w:hanging="255"/>
        <w:jc w:val="left"/>
        <w:rPr>
          <w:rFonts w:ascii="Arial" w:hAnsi="Arial"/>
          <w:sz w:val="16"/>
        </w:rPr>
      </w:pPr>
      <w:r w:rsidRPr="003F5E6A">
        <w:rPr>
          <w:rFonts w:ascii="Arial" w:hAnsi="Arial"/>
          <w:sz w:val="16"/>
        </w:rPr>
        <w:t>The 202</w:t>
      </w:r>
      <w:r w:rsidR="00704FAA">
        <w:rPr>
          <w:rFonts w:ascii="Arial" w:hAnsi="Arial"/>
          <w:sz w:val="16"/>
        </w:rPr>
        <w:t>1</w:t>
      </w:r>
      <w:r w:rsidRPr="003F5E6A">
        <w:rPr>
          <w:rFonts w:ascii="Arial" w:hAnsi="Arial"/>
          <w:sz w:val="16"/>
        </w:rPr>
        <w:t>–2</w:t>
      </w:r>
      <w:r w:rsidR="00704FAA">
        <w:rPr>
          <w:rFonts w:ascii="Arial" w:hAnsi="Arial"/>
          <w:sz w:val="16"/>
        </w:rPr>
        <w:t>2</w:t>
      </w:r>
      <w:r w:rsidRPr="003F5E6A">
        <w:rPr>
          <w:rFonts w:ascii="Arial" w:hAnsi="Arial"/>
          <w:sz w:val="16"/>
        </w:rPr>
        <w:t xml:space="preserve"> Budget appropriation excludes amounts quarantined by the Finance Minister under s51 of the PGPA Act and includes items from 202</w:t>
      </w:r>
      <w:r w:rsidR="00704FAA">
        <w:rPr>
          <w:rFonts w:ascii="Arial" w:hAnsi="Arial"/>
          <w:sz w:val="16"/>
        </w:rPr>
        <w:t>1</w:t>
      </w:r>
      <w:r w:rsidRPr="003F5E6A">
        <w:rPr>
          <w:rFonts w:ascii="Arial" w:hAnsi="Arial"/>
          <w:sz w:val="16"/>
        </w:rPr>
        <w:t>–2</w:t>
      </w:r>
      <w:r w:rsidR="00704FAA">
        <w:rPr>
          <w:rFonts w:ascii="Arial" w:hAnsi="Arial"/>
          <w:sz w:val="16"/>
        </w:rPr>
        <w:t>2</w:t>
      </w:r>
      <w:r w:rsidRPr="003F5E6A">
        <w:rPr>
          <w:rFonts w:ascii="Arial" w:hAnsi="Arial"/>
          <w:sz w:val="16"/>
        </w:rPr>
        <w:t xml:space="preserve"> Budget. Also includes measures included in the Explanatory Memorandum to the 202</w:t>
      </w:r>
      <w:r w:rsidR="00704FAA">
        <w:rPr>
          <w:rFonts w:ascii="Arial" w:hAnsi="Arial"/>
          <w:sz w:val="16"/>
        </w:rPr>
        <w:t>1</w:t>
      </w:r>
      <w:r w:rsidRPr="003F5E6A">
        <w:rPr>
          <w:rFonts w:ascii="Arial" w:hAnsi="Arial"/>
          <w:sz w:val="16"/>
        </w:rPr>
        <w:t>-2</w:t>
      </w:r>
      <w:r w:rsidR="00704FAA">
        <w:rPr>
          <w:rFonts w:ascii="Arial" w:hAnsi="Arial"/>
          <w:sz w:val="16"/>
        </w:rPr>
        <w:t>2</w:t>
      </w:r>
      <w:r w:rsidRPr="003F5E6A">
        <w:rPr>
          <w:rFonts w:ascii="Arial" w:hAnsi="Arial"/>
          <w:sz w:val="16"/>
        </w:rPr>
        <w:t xml:space="preserve"> Appropriation Bills No. 1 and 2. </w:t>
      </w:r>
    </w:p>
    <w:p w14:paraId="3D010DE2" w14:textId="6585F97A" w:rsidR="003F5E6A" w:rsidRPr="003F5E6A" w:rsidRDefault="003F5E6A" w:rsidP="00EB3776">
      <w:pPr>
        <w:numPr>
          <w:ilvl w:val="0"/>
          <w:numId w:val="4"/>
        </w:numPr>
        <w:spacing w:after="0" w:line="240" w:lineRule="auto"/>
        <w:ind w:left="284" w:hanging="255"/>
        <w:jc w:val="left"/>
        <w:rPr>
          <w:rFonts w:ascii="Arial" w:hAnsi="Arial"/>
          <w:sz w:val="16"/>
        </w:rPr>
      </w:pPr>
      <w:r w:rsidRPr="003F5E6A">
        <w:rPr>
          <w:rFonts w:ascii="Arial" w:hAnsi="Arial"/>
          <w:sz w:val="16"/>
        </w:rPr>
        <w:t>The 202</w:t>
      </w:r>
      <w:r w:rsidR="00704FAA">
        <w:rPr>
          <w:rFonts w:ascii="Arial" w:hAnsi="Arial"/>
          <w:sz w:val="16"/>
        </w:rPr>
        <w:t>1</w:t>
      </w:r>
      <w:r w:rsidRPr="003F5E6A">
        <w:rPr>
          <w:rFonts w:ascii="Arial" w:hAnsi="Arial"/>
          <w:sz w:val="16"/>
        </w:rPr>
        <w:t>–2</w:t>
      </w:r>
      <w:r w:rsidR="00704FAA">
        <w:rPr>
          <w:rFonts w:ascii="Arial" w:hAnsi="Arial"/>
          <w:sz w:val="16"/>
        </w:rPr>
        <w:t>2</w:t>
      </w:r>
      <w:r w:rsidRPr="003F5E6A">
        <w:rPr>
          <w:rFonts w:ascii="Arial" w:hAnsi="Arial"/>
          <w:sz w:val="16"/>
        </w:rPr>
        <w:t xml:space="preserve"> revised appropriation is made up of Additional Estimates Appropriation +AFM – s51 withholdings – administrative quarantines +/– Machinery of Government transfers.</w:t>
      </w:r>
    </w:p>
    <w:p w14:paraId="13B11E5B" w14:textId="1BC114E9" w:rsidR="00F51DAC" w:rsidRPr="00937C33" w:rsidRDefault="00422E0D" w:rsidP="00B87CAB">
      <w:pPr>
        <w:pStyle w:val="Heading2-TOCDITRDC"/>
        <w:rPr>
          <w:szCs w:val="30"/>
        </w:rPr>
      </w:pPr>
      <w:r w:rsidRPr="00937C33">
        <w:rPr>
          <w:szCs w:val="30"/>
        </w:rPr>
        <w:br w:type="page"/>
      </w:r>
      <w:bookmarkStart w:id="257" w:name="_Toc92992112"/>
      <w:bookmarkStart w:id="258" w:name="_Toc93405037"/>
      <w:bookmarkStart w:id="259" w:name="_Toc94854642"/>
      <w:r w:rsidR="00F51DAC" w:rsidRPr="00937C33">
        <w:rPr>
          <w:szCs w:val="30"/>
        </w:rPr>
        <w:lastRenderedPageBreak/>
        <w:t>Section 2</w:t>
      </w:r>
      <w:bookmarkEnd w:id="211"/>
      <w:bookmarkEnd w:id="212"/>
      <w:bookmarkEnd w:id="213"/>
      <w:bookmarkEnd w:id="214"/>
      <w:r w:rsidR="00F51DAC" w:rsidRPr="00937C33">
        <w:rPr>
          <w:szCs w:val="30"/>
        </w:rPr>
        <w:t xml:space="preserve">: </w:t>
      </w:r>
      <w:bookmarkStart w:id="260" w:name="_Toc436624144"/>
      <w:bookmarkStart w:id="261" w:name="_Toc436625445"/>
      <w:bookmarkStart w:id="262" w:name="_Toc436626790"/>
      <w:bookmarkStart w:id="263" w:name="_Toc446237033"/>
      <w:bookmarkStart w:id="264" w:name="_Toc449255765"/>
      <w:r w:rsidR="00F51DAC" w:rsidRPr="00937C33">
        <w:rPr>
          <w:szCs w:val="30"/>
        </w:rPr>
        <w:t xml:space="preserve">Revisions to </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60"/>
      <w:bookmarkEnd w:id="261"/>
      <w:bookmarkEnd w:id="262"/>
      <w:bookmarkEnd w:id="263"/>
      <w:bookmarkEnd w:id="264"/>
      <w:r w:rsidR="001436E5" w:rsidRPr="00937C33">
        <w:rPr>
          <w:szCs w:val="30"/>
        </w:rPr>
        <w:t>outcomes</w:t>
      </w:r>
      <w:r w:rsidR="00F51DAC" w:rsidRPr="00937C33">
        <w:rPr>
          <w:szCs w:val="30"/>
        </w:rPr>
        <w:t xml:space="preserve"> and </w:t>
      </w:r>
      <w:r w:rsidR="001436E5" w:rsidRPr="00937C33">
        <w:rPr>
          <w:szCs w:val="30"/>
        </w:rPr>
        <w:t>planned performance</w:t>
      </w:r>
      <w:bookmarkEnd w:id="242"/>
      <w:bookmarkEnd w:id="243"/>
      <w:bookmarkEnd w:id="257"/>
      <w:bookmarkEnd w:id="258"/>
      <w:bookmarkEnd w:id="259"/>
    </w:p>
    <w:p w14:paraId="6AC50E72" w14:textId="77777777" w:rsidR="00915B6E" w:rsidRDefault="00915B6E" w:rsidP="00B21274">
      <w:pPr>
        <w:pStyle w:val="Heading3DITRDC"/>
      </w:pPr>
      <w:bookmarkStart w:id="265" w:name="_Toc531095067"/>
      <w:bookmarkStart w:id="266" w:name="_Toc436624145"/>
      <w:bookmarkStart w:id="267" w:name="_Toc436625446"/>
      <w:bookmarkStart w:id="268" w:name="_Toc449255766"/>
      <w:bookmarkStart w:id="269" w:name="_Toc490972410"/>
      <w:bookmarkStart w:id="270" w:name="_Toc491014630"/>
      <w:bookmarkStart w:id="271" w:name="_Toc491014772"/>
      <w:bookmarkStart w:id="272" w:name="_Toc491014952"/>
      <w:bookmarkStart w:id="273" w:name="_Toc491015099"/>
      <w:bookmarkStart w:id="274" w:name="_Toc491029243"/>
      <w:bookmarkStart w:id="275" w:name="_Toc491030332"/>
      <w:bookmarkStart w:id="276" w:name="_Toc491030791"/>
      <w:bookmarkStart w:id="277" w:name="_Toc491031354"/>
      <w:bookmarkStart w:id="278" w:name="_Toc491031941"/>
      <w:bookmarkStart w:id="279" w:name="_Toc491032114"/>
      <w:bookmarkStart w:id="280" w:name="_Toc491032222"/>
      <w:bookmarkStart w:id="281" w:name="_Toc491032329"/>
      <w:bookmarkStart w:id="282" w:name="_Toc491771721"/>
      <w:bookmarkStart w:id="283" w:name="_Toc491773296"/>
      <w:bookmarkStart w:id="284" w:name="_Toc23559354"/>
      <w:bookmarkStart w:id="285" w:name="_Toc23559388"/>
      <w:bookmarkStart w:id="286" w:name="_Toc23559675"/>
      <w:bookmarkStart w:id="287" w:name="_Toc23560143"/>
      <w:bookmarkStart w:id="288" w:name="_Toc23563437"/>
      <w:bookmarkStart w:id="289" w:name="_Toc77998689"/>
      <w:bookmarkStart w:id="290" w:name="_Toc79406118"/>
      <w:bookmarkStart w:id="291" w:name="_Toc79467820"/>
      <w:bookmarkStart w:id="292" w:name="_Toc112211967"/>
      <w:bookmarkStart w:id="293" w:name="_Toc112212061"/>
      <w:bookmarkStart w:id="294" w:name="_Toc112137879"/>
      <w:bookmarkStart w:id="295" w:name="_Toc112137901"/>
      <w:bookmarkStart w:id="296" w:name="_Toc210646454"/>
      <w:bookmarkStart w:id="297" w:name="_Toc210698433"/>
      <w:bookmarkStart w:id="298" w:name="_Toc210703215"/>
      <w:bookmarkStart w:id="299" w:name="_Toc94854643"/>
      <w:r>
        <w:t>2.1</w:t>
      </w:r>
      <w:r>
        <w:tab/>
        <w:t>Changes to outcome and program structures</w:t>
      </w:r>
      <w:bookmarkEnd w:id="299"/>
      <w:r>
        <w:t xml:space="preserve"> </w:t>
      </w:r>
      <w:bookmarkEnd w:id="265"/>
    </w:p>
    <w:p w14:paraId="70029A33" w14:textId="6AB5DC5B" w:rsidR="00375338" w:rsidRDefault="00915B6E" w:rsidP="00915B6E">
      <w:pPr>
        <w:jc w:val="left"/>
      </w:pPr>
      <w:r w:rsidRPr="00950281">
        <w:t>Th</w:t>
      </w:r>
      <w:r>
        <w:t>ere ha</w:t>
      </w:r>
      <w:r w:rsidR="00375338">
        <w:t>s</w:t>
      </w:r>
      <w:r>
        <w:t xml:space="preserve"> been no change to the outcome structure for the </w:t>
      </w:r>
      <w:r w:rsidR="008863D9">
        <w:t>Department</w:t>
      </w:r>
      <w:r>
        <w:t xml:space="preserve"> from those published in the </w:t>
      </w:r>
      <w:r w:rsidR="00360023">
        <w:t xml:space="preserve">2021-22 </w:t>
      </w:r>
      <w:r>
        <w:t xml:space="preserve">Infrastructure, Transport, Regional Development and Communications PB Statements. </w:t>
      </w:r>
    </w:p>
    <w:p w14:paraId="19836229" w14:textId="5D438447" w:rsidR="00375338" w:rsidRDefault="00375338" w:rsidP="00375338">
      <w:pPr>
        <w:jc w:val="left"/>
        <w:rPr>
          <w:lang w:eastAsia="x-none"/>
        </w:rPr>
      </w:pPr>
      <w:r>
        <w:t xml:space="preserve">Table 2.1.1 below summarises updates to the program structure to reflect the transfer of </w:t>
      </w:r>
      <w:r>
        <w:rPr>
          <w:lang w:eastAsia="x-none"/>
        </w:rPr>
        <w:t xml:space="preserve">responsibility for Northern Australia policy and coordination from the </w:t>
      </w:r>
      <w:r w:rsidR="008863D9">
        <w:rPr>
          <w:lang w:eastAsia="x-none"/>
        </w:rPr>
        <w:t>Department</w:t>
      </w:r>
      <w:r>
        <w:rPr>
          <w:lang w:eastAsia="x-none"/>
        </w:rPr>
        <w:t xml:space="preserve"> of Industry, Science, Energy and Resources to the </w:t>
      </w:r>
      <w:r w:rsidR="008863D9">
        <w:rPr>
          <w:lang w:eastAsia="x-none"/>
        </w:rPr>
        <w:t>Department</w:t>
      </w:r>
      <w:r>
        <w:rPr>
          <w:lang w:eastAsia="x-none"/>
        </w:rPr>
        <w:t xml:space="preserve">, following the Administrative Arrangement Order (AAO) changes of 2 July 2021. </w:t>
      </w:r>
    </w:p>
    <w:p w14:paraId="29617638" w14:textId="3C139F71" w:rsidR="00915B6E" w:rsidRPr="00DF37B3" w:rsidRDefault="00915B6E" w:rsidP="00915B6E">
      <w:pPr>
        <w:pStyle w:val="TableHeading"/>
        <w:rPr>
          <w:lang w:val="en-AU"/>
        </w:rPr>
      </w:pPr>
      <w:r w:rsidRPr="00375338">
        <w:t>Table 2</w:t>
      </w:r>
      <w:r w:rsidR="00375338" w:rsidRPr="00375338">
        <w:rPr>
          <w:lang w:val="en-AU"/>
        </w:rPr>
        <w:t>.1.1</w:t>
      </w:r>
      <w:r w:rsidRPr="00375338">
        <w:t xml:space="preserve">: </w:t>
      </w:r>
      <w:r w:rsidRPr="00375338">
        <w:rPr>
          <w:lang w:val="en-AU"/>
        </w:rPr>
        <w:t>Changes to the outcome and program structures since the last portfolio statement</w:t>
      </w:r>
    </w:p>
    <w:tbl>
      <w:tblPr>
        <w:tblW w:w="7593" w:type="dxa"/>
        <w:tblLook w:val="04A0" w:firstRow="1" w:lastRow="0" w:firstColumn="1" w:lastColumn="0" w:noHBand="0" w:noVBand="1"/>
      </w:tblPr>
      <w:tblGrid>
        <w:gridCol w:w="1120"/>
        <w:gridCol w:w="3133"/>
        <w:gridCol w:w="3340"/>
      </w:tblGrid>
      <w:tr w:rsidR="0063381D" w:rsidRPr="0063381D" w14:paraId="0572DFBE" w14:textId="77777777" w:rsidTr="006D29D0">
        <w:trPr>
          <w:trHeight w:val="204"/>
        </w:trPr>
        <w:tc>
          <w:tcPr>
            <w:tcW w:w="1120" w:type="dxa"/>
            <w:tcBorders>
              <w:top w:val="single" w:sz="4" w:space="0" w:color="000000"/>
              <w:left w:val="nil"/>
              <w:bottom w:val="single" w:sz="4" w:space="0" w:color="auto"/>
              <w:right w:val="nil"/>
            </w:tcBorders>
            <w:shd w:val="clear" w:color="000000" w:fill="E6E6E6"/>
            <w:hideMark/>
          </w:tcPr>
          <w:p w14:paraId="09F8667B" w14:textId="43864A15" w:rsidR="0063381D" w:rsidRPr="0063381D" w:rsidRDefault="00915B6E" w:rsidP="004718BE">
            <w:pPr>
              <w:spacing w:after="0" w:line="240" w:lineRule="auto"/>
              <w:jc w:val="center"/>
              <w:rPr>
                <w:rFonts w:ascii="Arial" w:hAnsi="Arial" w:cs="Arial"/>
                <w:b/>
                <w:bCs/>
                <w:color w:val="000000"/>
                <w:sz w:val="16"/>
                <w:szCs w:val="16"/>
              </w:rPr>
            </w:pPr>
            <w:r w:rsidRPr="001E5518">
              <w:rPr>
                <w:i/>
              </w:rPr>
              <w:t xml:space="preserve"> </w:t>
            </w:r>
            <w:r w:rsidR="0063381D" w:rsidRPr="0063381D">
              <w:rPr>
                <w:rFonts w:ascii="Arial" w:hAnsi="Arial" w:cs="Arial"/>
                <w:b/>
                <w:bCs/>
                <w:color w:val="000000"/>
                <w:sz w:val="16"/>
                <w:szCs w:val="16"/>
              </w:rPr>
              <w:t>Program</w:t>
            </w:r>
            <w:r w:rsidR="004718BE">
              <w:rPr>
                <w:rFonts w:ascii="Arial" w:hAnsi="Arial" w:cs="Arial"/>
                <w:b/>
                <w:bCs/>
                <w:color w:val="000000"/>
                <w:sz w:val="16"/>
                <w:szCs w:val="16"/>
              </w:rPr>
              <w:t xml:space="preserve"> </w:t>
            </w:r>
            <w:r w:rsidR="0063381D" w:rsidRPr="0063381D">
              <w:rPr>
                <w:rFonts w:ascii="Arial" w:hAnsi="Arial" w:cs="Arial"/>
                <w:b/>
                <w:bCs/>
                <w:color w:val="000000"/>
                <w:sz w:val="16"/>
                <w:szCs w:val="16"/>
              </w:rPr>
              <w:t>No.</w:t>
            </w:r>
          </w:p>
        </w:tc>
        <w:tc>
          <w:tcPr>
            <w:tcW w:w="3133" w:type="dxa"/>
            <w:tcBorders>
              <w:top w:val="single" w:sz="4" w:space="0" w:color="000000"/>
              <w:left w:val="nil"/>
              <w:bottom w:val="single" w:sz="4" w:space="0" w:color="auto"/>
              <w:right w:val="nil"/>
            </w:tcBorders>
            <w:shd w:val="clear" w:color="000000" w:fill="E6E6E6"/>
            <w:hideMark/>
          </w:tcPr>
          <w:p w14:paraId="19803063" w14:textId="77777777" w:rsidR="0063381D" w:rsidRPr="0063381D" w:rsidRDefault="0063381D" w:rsidP="0063381D">
            <w:pPr>
              <w:spacing w:after="0" w:line="240" w:lineRule="auto"/>
              <w:jc w:val="left"/>
              <w:rPr>
                <w:rFonts w:ascii="Arial" w:hAnsi="Arial" w:cs="Arial"/>
                <w:b/>
                <w:bCs/>
                <w:color w:val="000000"/>
                <w:sz w:val="16"/>
                <w:szCs w:val="16"/>
              </w:rPr>
            </w:pPr>
            <w:r w:rsidRPr="0063381D">
              <w:rPr>
                <w:rFonts w:ascii="Arial" w:hAnsi="Arial" w:cs="Arial"/>
                <w:b/>
                <w:bCs/>
                <w:color w:val="000000"/>
                <w:sz w:val="16"/>
                <w:szCs w:val="16"/>
              </w:rPr>
              <w:t>Program title</w:t>
            </w:r>
          </w:p>
        </w:tc>
        <w:tc>
          <w:tcPr>
            <w:tcW w:w="3340" w:type="dxa"/>
            <w:tcBorders>
              <w:top w:val="single" w:sz="4" w:space="0" w:color="000000"/>
              <w:left w:val="nil"/>
              <w:bottom w:val="single" w:sz="4" w:space="0" w:color="auto"/>
              <w:right w:val="nil"/>
            </w:tcBorders>
            <w:shd w:val="clear" w:color="000000" w:fill="E6E6E6"/>
            <w:hideMark/>
          </w:tcPr>
          <w:p w14:paraId="65CD062D" w14:textId="77777777" w:rsidR="0063381D" w:rsidRPr="0063381D" w:rsidRDefault="0063381D" w:rsidP="0063381D">
            <w:pPr>
              <w:spacing w:after="0" w:line="240" w:lineRule="auto"/>
              <w:jc w:val="left"/>
              <w:rPr>
                <w:rFonts w:ascii="Arial" w:hAnsi="Arial" w:cs="Arial"/>
                <w:b/>
                <w:bCs/>
                <w:color w:val="000000"/>
                <w:sz w:val="16"/>
                <w:szCs w:val="16"/>
              </w:rPr>
            </w:pPr>
            <w:r w:rsidRPr="0063381D">
              <w:rPr>
                <w:rFonts w:ascii="Arial" w:hAnsi="Arial" w:cs="Arial"/>
                <w:b/>
                <w:bCs/>
                <w:color w:val="000000"/>
                <w:sz w:val="16"/>
                <w:szCs w:val="16"/>
              </w:rPr>
              <w:t>Description of change</w:t>
            </w:r>
          </w:p>
        </w:tc>
      </w:tr>
      <w:tr w:rsidR="008F7CDB" w:rsidRPr="0063381D" w14:paraId="73044CB6" w14:textId="77777777" w:rsidTr="006D29D0">
        <w:trPr>
          <w:trHeight w:val="204"/>
        </w:trPr>
        <w:tc>
          <w:tcPr>
            <w:tcW w:w="1120" w:type="dxa"/>
            <w:tcBorders>
              <w:top w:val="single" w:sz="4" w:space="0" w:color="auto"/>
              <w:left w:val="nil"/>
              <w:right w:val="nil"/>
            </w:tcBorders>
            <w:shd w:val="clear" w:color="000000" w:fill="FFFFFF"/>
            <w:noWrap/>
            <w:hideMark/>
          </w:tcPr>
          <w:p w14:paraId="22FE2503" w14:textId="45E54C06" w:rsidR="008F7CDB" w:rsidRPr="0063381D" w:rsidRDefault="008F7CDB" w:rsidP="009F7308">
            <w:pPr>
              <w:spacing w:after="120" w:line="240" w:lineRule="auto"/>
              <w:jc w:val="center"/>
              <w:rPr>
                <w:rFonts w:ascii="Arial" w:hAnsi="Arial" w:cs="Arial"/>
                <w:color w:val="000000"/>
                <w:sz w:val="16"/>
                <w:szCs w:val="16"/>
              </w:rPr>
            </w:pPr>
            <w:r>
              <w:rPr>
                <w:rFonts w:ascii="Arial" w:hAnsi="Arial" w:cs="Arial"/>
                <w:color w:val="000000"/>
                <w:sz w:val="16"/>
                <w:szCs w:val="16"/>
              </w:rPr>
              <w:t>3.4</w:t>
            </w:r>
          </w:p>
        </w:tc>
        <w:tc>
          <w:tcPr>
            <w:tcW w:w="3133" w:type="dxa"/>
            <w:tcBorders>
              <w:top w:val="single" w:sz="4" w:space="0" w:color="auto"/>
              <w:left w:val="nil"/>
              <w:right w:val="nil"/>
            </w:tcBorders>
            <w:shd w:val="clear" w:color="000000" w:fill="FFFFFF"/>
            <w:hideMark/>
          </w:tcPr>
          <w:p w14:paraId="0ADEA548" w14:textId="0ACB766D" w:rsidR="008F7CDB" w:rsidRPr="0063381D" w:rsidRDefault="00375338" w:rsidP="009F7308">
            <w:pPr>
              <w:spacing w:after="120" w:line="240" w:lineRule="auto"/>
              <w:jc w:val="left"/>
              <w:rPr>
                <w:rFonts w:ascii="Arial" w:hAnsi="Arial" w:cs="Arial"/>
                <w:color w:val="000000"/>
                <w:sz w:val="16"/>
                <w:szCs w:val="16"/>
                <w:highlight w:val="yellow"/>
              </w:rPr>
            </w:pPr>
            <w:r w:rsidRPr="00375338">
              <w:rPr>
                <w:rFonts w:ascii="Arial" w:hAnsi="Arial" w:cs="Arial"/>
                <w:bCs/>
                <w:sz w:val="16"/>
                <w:szCs w:val="16"/>
              </w:rPr>
              <w:t>Growing a Stronger Northern Australian Economy</w:t>
            </w:r>
          </w:p>
        </w:tc>
        <w:tc>
          <w:tcPr>
            <w:tcW w:w="3340" w:type="dxa"/>
            <w:tcBorders>
              <w:top w:val="single" w:sz="4" w:space="0" w:color="auto"/>
              <w:left w:val="nil"/>
              <w:right w:val="nil"/>
            </w:tcBorders>
            <w:shd w:val="clear" w:color="000000" w:fill="FFFFFF"/>
            <w:hideMark/>
          </w:tcPr>
          <w:p w14:paraId="1A776FAF" w14:textId="7CF74DED" w:rsidR="008F7CDB" w:rsidRPr="0063381D" w:rsidRDefault="008F7CDB" w:rsidP="009F7308">
            <w:pPr>
              <w:spacing w:after="120" w:line="240" w:lineRule="auto"/>
              <w:jc w:val="left"/>
              <w:rPr>
                <w:rFonts w:ascii="Arial" w:hAnsi="Arial" w:cs="Arial"/>
                <w:color w:val="000000"/>
                <w:sz w:val="16"/>
                <w:szCs w:val="16"/>
              </w:rPr>
            </w:pPr>
            <w:r w:rsidRPr="0063381D">
              <w:rPr>
                <w:rFonts w:ascii="Arial" w:hAnsi="Arial" w:cs="Arial"/>
                <w:color w:val="000000"/>
                <w:sz w:val="16"/>
                <w:szCs w:val="16"/>
              </w:rPr>
              <w:t xml:space="preserve">Transferred from </w:t>
            </w:r>
            <w:r w:rsidR="008863D9">
              <w:rPr>
                <w:rFonts w:ascii="Arial" w:hAnsi="Arial" w:cs="Arial"/>
                <w:color w:val="000000"/>
                <w:sz w:val="16"/>
                <w:szCs w:val="16"/>
              </w:rPr>
              <w:t>Department</w:t>
            </w:r>
            <w:r w:rsidRPr="0063381D">
              <w:rPr>
                <w:rFonts w:ascii="Arial" w:hAnsi="Arial" w:cs="Arial"/>
                <w:color w:val="000000"/>
                <w:sz w:val="16"/>
                <w:szCs w:val="16"/>
              </w:rPr>
              <w:t xml:space="preserve"> of</w:t>
            </w:r>
            <w:r w:rsidR="00BA0FF8">
              <w:rPr>
                <w:rFonts w:ascii="Arial" w:hAnsi="Arial" w:cs="Arial"/>
                <w:color w:val="000000"/>
                <w:sz w:val="16"/>
                <w:szCs w:val="16"/>
              </w:rPr>
              <w:t xml:space="preserve"> </w:t>
            </w:r>
            <w:r w:rsidRPr="008F7CDB">
              <w:rPr>
                <w:rFonts w:ascii="Arial" w:hAnsi="Arial" w:cs="Arial"/>
                <w:color w:val="000000"/>
                <w:sz w:val="16"/>
                <w:szCs w:val="16"/>
              </w:rPr>
              <w:t>Industry, Science</w:t>
            </w:r>
            <w:r w:rsidRPr="0063381D">
              <w:rPr>
                <w:rFonts w:ascii="Arial" w:hAnsi="Arial" w:cs="Arial"/>
                <w:color w:val="000000"/>
                <w:sz w:val="16"/>
                <w:szCs w:val="16"/>
              </w:rPr>
              <w:t>,</w:t>
            </w:r>
            <w:r w:rsidRPr="008F7CDB">
              <w:rPr>
                <w:rFonts w:ascii="Arial" w:hAnsi="Arial" w:cs="Arial"/>
                <w:color w:val="000000"/>
                <w:sz w:val="16"/>
                <w:szCs w:val="16"/>
              </w:rPr>
              <w:t xml:space="preserve"> Energy and Resources</w:t>
            </w:r>
            <w:r w:rsidRPr="0063381D">
              <w:rPr>
                <w:rFonts w:ascii="Arial" w:hAnsi="Arial" w:cs="Arial"/>
                <w:color w:val="000000"/>
                <w:sz w:val="16"/>
                <w:szCs w:val="16"/>
              </w:rPr>
              <w:t xml:space="preserve"> </w:t>
            </w:r>
            <w:r w:rsidR="00F31515">
              <w:rPr>
                <w:rFonts w:ascii="Arial" w:hAnsi="Arial" w:cs="Arial"/>
                <w:color w:val="000000"/>
                <w:sz w:val="16"/>
                <w:szCs w:val="16"/>
              </w:rPr>
              <w:t xml:space="preserve">as a result of </w:t>
            </w:r>
            <w:r w:rsidRPr="00F31515">
              <w:rPr>
                <w:rFonts w:ascii="Arial" w:hAnsi="Arial" w:cs="Arial"/>
                <w:color w:val="000000"/>
                <w:sz w:val="16"/>
                <w:szCs w:val="16"/>
              </w:rPr>
              <w:t xml:space="preserve">AAO </w:t>
            </w:r>
            <w:r w:rsidR="00F31515">
              <w:rPr>
                <w:rFonts w:ascii="Arial" w:hAnsi="Arial" w:cs="Arial"/>
                <w:color w:val="000000"/>
                <w:sz w:val="16"/>
                <w:szCs w:val="16"/>
              </w:rPr>
              <w:t xml:space="preserve">of </w:t>
            </w:r>
            <w:r w:rsidR="00375338" w:rsidRPr="00F31515">
              <w:rPr>
                <w:rFonts w:ascii="Arial" w:hAnsi="Arial" w:cs="Arial"/>
                <w:color w:val="000000"/>
                <w:sz w:val="16"/>
                <w:szCs w:val="16"/>
              </w:rPr>
              <w:t xml:space="preserve">2 July </w:t>
            </w:r>
            <w:r w:rsidRPr="00F31515">
              <w:rPr>
                <w:rFonts w:ascii="Arial" w:hAnsi="Arial" w:cs="Arial"/>
                <w:color w:val="000000"/>
                <w:sz w:val="16"/>
                <w:szCs w:val="16"/>
              </w:rPr>
              <w:t>2021</w:t>
            </w:r>
          </w:p>
        </w:tc>
      </w:tr>
      <w:tr w:rsidR="008F7CDB" w:rsidRPr="0063381D" w14:paraId="4B266B90" w14:textId="77777777" w:rsidTr="006D29D0">
        <w:trPr>
          <w:trHeight w:val="204"/>
        </w:trPr>
        <w:tc>
          <w:tcPr>
            <w:tcW w:w="1120" w:type="dxa"/>
            <w:tcBorders>
              <w:top w:val="nil"/>
              <w:left w:val="nil"/>
              <w:bottom w:val="single" w:sz="4" w:space="0" w:color="auto"/>
              <w:right w:val="nil"/>
            </w:tcBorders>
            <w:shd w:val="clear" w:color="000000" w:fill="FFFFFF"/>
            <w:noWrap/>
            <w:hideMark/>
          </w:tcPr>
          <w:p w14:paraId="06FFCE8B" w14:textId="37C2319B" w:rsidR="008F7CDB" w:rsidRPr="0063381D" w:rsidRDefault="008F7CDB" w:rsidP="008F7CDB">
            <w:pPr>
              <w:spacing w:after="0" w:line="240" w:lineRule="auto"/>
              <w:jc w:val="center"/>
              <w:rPr>
                <w:rFonts w:ascii="Arial" w:hAnsi="Arial" w:cs="Arial"/>
                <w:color w:val="000000"/>
                <w:sz w:val="16"/>
                <w:szCs w:val="16"/>
              </w:rPr>
            </w:pPr>
            <w:r>
              <w:rPr>
                <w:rFonts w:ascii="Arial" w:hAnsi="Arial" w:cs="Arial"/>
                <w:color w:val="000000"/>
                <w:sz w:val="16"/>
                <w:szCs w:val="16"/>
              </w:rPr>
              <w:t>3.5</w:t>
            </w:r>
          </w:p>
        </w:tc>
        <w:tc>
          <w:tcPr>
            <w:tcW w:w="3133" w:type="dxa"/>
            <w:tcBorders>
              <w:top w:val="nil"/>
              <w:left w:val="nil"/>
              <w:bottom w:val="single" w:sz="4" w:space="0" w:color="auto"/>
              <w:right w:val="nil"/>
            </w:tcBorders>
            <w:shd w:val="clear" w:color="000000" w:fill="FFFFFF"/>
            <w:hideMark/>
          </w:tcPr>
          <w:p w14:paraId="1EA357AE" w14:textId="5BC1EB60" w:rsidR="008F7CDB" w:rsidRPr="0063381D" w:rsidRDefault="008F7CDB" w:rsidP="008F7CDB">
            <w:pPr>
              <w:spacing w:after="0" w:line="240" w:lineRule="auto"/>
              <w:jc w:val="left"/>
              <w:rPr>
                <w:rFonts w:ascii="Arial" w:hAnsi="Arial" w:cs="Arial"/>
                <w:color w:val="000000"/>
                <w:sz w:val="16"/>
                <w:szCs w:val="16"/>
              </w:rPr>
            </w:pPr>
            <w:r w:rsidRPr="008F7CDB">
              <w:rPr>
                <w:rFonts w:ascii="Arial" w:hAnsi="Arial" w:cs="Arial"/>
                <w:bCs/>
                <w:sz w:val="16"/>
                <w:szCs w:val="16"/>
              </w:rPr>
              <w:t>Program Support for Outcome 3</w:t>
            </w:r>
          </w:p>
        </w:tc>
        <w:tc>
          <w:tcPr>
            <w:tcW w:w="3340" w:type="dxa"/>
            <w:tcBorders>
              <w:top w:val="nil"/>
              <w:left w:val="nil"/>
              <w:bottom w:val="single" w:sz="4" w:space="0" w:color="auto"/>
              <w:right w:val="nil"/>
            </w:tcBorders>
            <w:shd w:val="clear" w:color="000000" w:fill="FFFFFF"/>
            <w:hideMark/>
          </w:tcPr>
          <w:p w14:paraId="7B6775FD" w14:textId="0E6BF909" w:rsidR="008F7CDB" w:rsidRPr="0063381D" w:rsidRDefault="00375338" w:rsidP="00375338">
            <w:pPr>
              <w:spacing w:after="0" w:line="240" w:lineRule="auto"/>
              <w:jc w:val="left"/>
              <w:rPr>
                <w:rFonts w:ascii="Arial" w:hAnsi="Arial" w:cs="Arial"/>
                <w:color w:val="000000"/>
                <w:sz w:val="16"/>
                <w:szCs w:val="16"/>
              </w:rPr>
            </w:pPr>
            <w:r>
              <w:rPr>
                <w:rFonts w:ascii="Arial" w:hAnsi="Arial" w:cs="Arial"/>
                <w:color w:val="000000"/>
                <w:sz w:val="16"/>
                <w:szCs w:val="16"/>
              </w:rPr>
              <w:t>P</w:t>
            </w:r>
            <w:r w:rsidR="008F7CDB" w:rsidRPr="0063381D">
              <w:rPr>
                <w:rFonts w:ascii="Arial" w:hAnsi="Arial" w:cs="Arial"/>
                <w:color w:val="000000"/>
                <w:sz w:val="16"/>
                <w:szCs w:val="16"/>
              </w:rPr>
              <w:t xml:space="preserve">rogram reference amended from </w:t>
            </w:r>
            <w:r w:rsidR="008F7CDB">
              <w:rPr>
                <w:rFonts w:ascii="Arial" w:hAnsi="Arial" w:cs="Arial"/>
                <w:color w:val="000000"/>
                <w:sz w:val="16"/>
                <w:szCs w:val="16"/>
              </w:rPr>
              <w:t>3.4</w:t>
            </w:r>
            <w:r>
              <w:rPr>
                <w:rFonts w:ascii="Arial" w:hAnsi="Arial" w:cs="Arial"/>
                <w:color w:val="000000"/>
                <w:sz w:val="16"/>
                <w:szCs w:val="16"/>
              </w:rPr>
              <w:t xml:space="preserve"> in the 2021-22 PB Statements</w:t>
            </w:r>
          </w:p>
        </w:tc>
      </w:tr>
    </w:tbl>
    <w:p w14:paraId="0AC33A72" w14:textId="14C95D24" w:rsidR="0063381D" w:rsidRPr="00F710E0" w:rsidRDefault="0063381D" w:rsidP="00915B6E">
      <w:pPr>
        <w:pStyle w:val="TableGraphic"/>
        <w:rPr>
          <w:color w:val="auto"/>
          <w:highlight w:val="yellow"/>
        </w:rPr>
      </w:pPr>
    </w:p>
    <w:p w14:paraId="75225E40" w14:textId="77777777" w:rsidR="006B7AA3" w:rsidRDefault="006B7AA3">
      <w:pPr>
        <w:spacing w:after="0" w:line="240" w:lineRule="auto"/>
        <w:jc w:val="left"/>
        <w:rPr>
          <w:rFonts w:ascii="Arial Bold" w:hAnsi="Arial Bold"/>
          <w:b/>
          <w:sz w:val="22"/>
          <w:lang w:val="x-none"/>
        </w:rPr>
      </w:pPr>
      <w:bookmarkStart w:id="300" w:name="_Toc531095068"/>
      <w:bookmarkStart w:id="301" w:name="_Toc92992113"/>
      <w:bookmarkStart w:id="302" w:name="_Toc93405038"/>
      <w:r>
        <w:br w:type="page"/>
      </w:r>
    </w:p>
    <w:p w14:paraId="4A7683FC" w14:textId="06729748" w:rsidR="00000153" w:rsidRDefault="00000153" w:rsidP="00000153">
      <w:pPr>
        <w:pStyle w:val="Heading3DITRDC"/>
      </w:pPr>
      <w:bookmarkStart w:id="303" w:name="_Toc94854644"/>
      <w:r>
        <w:lastRenderedPageBreak/>
        <w:t>2.</w:t>
      </w:r>
      <w:r>
        <w:rPr>
          <w:lang w:val="en-AU"/>
        </w:rPr>
        <w:t>2</w:t>
      </w:r>
      <w:r>
        <w:tab/>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t xml:space="preserve">Budgeted expenses and performance for Outcome </w:t>
      </w:r>
      <w:bookmarkEnd w:id="300"/>
      <w:r>
        <w:t>1</w:t>
      </w:r>
      <w:bookmarkEnd w:id="301"/>
      <w:bookmarkEnd w:id="302"/>
      <w:bookmarkEnd w:id="30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35"/>
      </w:tblGrid>
      <w:tr w:rsidR="00000153" w:rsidRPr="00842923" w14:paraId="3581A9C1" w14:textId="77777777" w:rsidTr="00BD72A9">
        <w:tc>
          <w:tcPr>
            <w:tcW w:w="7705" w:type="dxa"/>
            <w:shd w:val="clear" w:color="auto" w:fill="E6E6E6"/>
          </w:tcPr>
          <w:p w14:paraId="3FB24804" w14:textId="77777777" w:rsidR="00000153" w:rsidRPr="00842923" w:rsidRDefault="00000153" w:rsidP="00C56B2D">
            <w:pPr>
              <w:pStyle w:val="TableColumnHeadingLeft"/>
              <w:jc w:val="left"/>
              <w:rPr>
                <w:sz w:val="20"/>
              </w:rPr>
            </w:pPr>
            <w:r w:rsidRPr="00F862B3">
              <w:rPr>
                <w:sz w:val="20"/>
              </w:rPr>
              <w:t xml:space="preserve">Outcome </w:t>
            </w:r>
            <w:r>
              <w:rPr>
                <w:sz w:val="20"/>
              </w:rPr>
              <w:t>1</w:t>
            </w:r>
            <w:r w:rsidRPr="00F862B3">
              <w:rPr>
                <w:sz w:val="20"/>
              </w:rPr>
              <w:t xml:space="preserve">: </w:t>
            </w:r>
            <w:r w:rsidRPr="00842923">
              <w:rPr>
                <w:sz w:val="20"/>
              </w:rPr>
              <w:t>Improved infrastructure across Australia through investment in and coordination of transport and other infrastructure</w:t>
            </w:r>
          </w:p>
        </w:tc>
      </w:tr>
    </w:tbl>
    <w:p w14:paraId="4A5A24F5" w14:textId="77777777" w:rsidR="00000153" w:rsidRDefault="00000153" w:rsidP="00000153">
      <w:pPr>
        <w:pStyle w:val="NoSpacing"/>
      </w:pPr>
    </w:p>
    <w:p w14:paraId="7F48AEA8" w14:textId="0B118EDA" w:rsidR="00000153" w:rsidRDefault="00000153" w:rsidP="00000153">
      <w:pPr>
        <w:pStyle w:val="Heading4"/>
        <w:rPr>
          <w:lang w:val="en-US"/>
        </w:rPr>
      </w:pPr>
      <w:r w:rsidRPr="008637A5">
        <w:rPr>
          <w:sz w:val="22"/>
          <w:szCs w:val="22"/>
        </w:rPr>
        <w:t>Linked programs</w:t>
      </w:r>
    </w:p>
    <w:p w14:paraId="539B6F40" w14:textId="60F5BBE8" w:rsidR="00CF68FA" w:rsidRDefault="00CF68FA" w:rsidP="00CF68FA">
      <w:pPr>
        <w:jc w:val="left"/>
      </w:pPr>
      <w:r w:rsidRPr="00950281">
        <w:t>Th</w:t>
      </w:r>
      <w:r>
        <w:t xml:space="preserve">ere have been no changes to linked programs for this outcome from that published in the </w:t>
      </w:r>
      <w:r w:rsidR="00360023">
        <w:t xml:space="preserve">2021-22 </w:t>
      </w:r>
      <w:r>
        <w:t xml:space="preserve">Infrastructure, Transport, Regional Development and </w:t>
      </w:r>
      <w:r w:rsidR="006A053E">
        <w:t>Communications</w:t>
      </w:r>
      <w:r>
        <w:t xml:space="preserve"> PB Statements.</w:t>
      </w:r>
    </w:p>
    <w:p w14:paraId="0AC1A239" w14:textId="13A1BDD7" w:rsidR="00000153" w:rsidRPr="00446612" w:rsidRDefault="00000153" w:rsidP="00000153">
      <w:pPr>
        <w:pStyle w:val="Heading5"/>
      </w:pPr>
      <w:r w:rsidRPr="00446612">
        <w:t xml:space="preserve">Budgeted expenses for Outcome </w:t>
      </w:r>
      <w:r>
        <w:rPr>
          <w:lang w:val="en-AU"/>
        </w:rPr>
        <w:t>1</w:t>
      </w:r>
    </w:p>
    <w:p w14:paraId="41791E41" w14:textId="66ACB618" w:rsidR="00000153" w:rsidRDefault="00000153" w:rsidP="008637A5">
      <w:pPr>
        <w:jc w:val="left"/>
      </w:pPr>
      <w:r w:rsidRPr="00950281">
        <w:t xml:space="preserve">This table shows how much the </w:t>
      </w:r>
      <w:r w:rsidR="006B7AA3">
        <w:t>Department</w:t>
      </w:r>
      <w:r w:rsidRPr="00950281">
        <w:t xml:space="preserve"> intends to spend (on an accrual basis) on achieving the outcome, broken down by program, as well as by Administered and </w:t>
      </w:r>
      <w:r w:rsidR="008863D9">
        <w:t>Department</w:t>
      </w:r>
      <w:r w:rsidRPr="00950281">
        <w:t xml:space="preserve">al funding sources. </w:t>
      </w:r>
    </w:p>
    <w:p w14:paraId="5E8A6A45" w14:textId="2A21F4D8" w:rsidR="00000153" w:rsidRDefault="00000153" w:rsidP="00000153">
      <w:pPr>
        <w:pStyle w:val="TableHeading"/>
        <w:rPr>
          <w:lang w:val="en-AU"/>
        </w:rPr>
      </w:pPr>
      <w:r w:rsidRPr="00DA613F">
        <w:t>Table 2.</w:t>
      </w:r>
      <w:r>
        <w:rPr>
          <w:lang w:val="en-AU"/>
        </w:rPr>
        <w:t>2</w:t>
      </w:r>
      <w:r w:rsidRPr="00DA613F">
        <w:rPr>
          <w:lang w:val="en-AU"/>
        </w:rPr>
        <w:t>.</w:t>
      </w:r>
      <w:r w:rsidRPr="00DA613F">
        <w:t>1 Budgeted expenses</w:t>
      </w:r>
      <w:r w:rsidRPr="00DA613F">
        <w:rPr>
          <w:lang w:val="en-AU"/>
        </w:rPr>
        <w:t xml:space="preserve"> for</w:t>
      </w:r>
      <w:r w:rsidRPr="00DA613F">
        <w:t xml:space="preserve"> Outcome </w:t>
      </w:r>
      <w:r w:rsidRPr="00DA613F">
        <w:rPr>
          <w:lang w:val="en-AU"/>
        </w:rPr>
        <w:t>1</w:t>
      </w:r>
    </w:p>
    <w:tbl>
      <w:tblPr>
        <w:tblW w:w="0" w:type="auto"/>
        <w:tblLayout w:type="fixed"/>
        <w:tblLook w:val="04A0" w:firstRow="1" w:lastRow="0" w:firstColumn="1" w:lastColumn="0" w:noHBand="0" w:noVBand="1"/>
      </w:tblPr>
      <w:tblGrid>
        <w:gridCol w:w="2694"/>
        <w:gridCol w:w="74"/>
        <w:gridCol w:w="926"/>
        <w:gridCol w:w="8"/>
        <w:gridCol w:w="8"/>
        <w:gridCol w:w="961"/>
        <w:gridCol w:w="27"/>
        <w:gridCol w:w="8"/>
        <w:gridCol w:w="942"/>
        <w:gridCol w:w="46"/>
        <w:gridCol w:w="8"/>
        <w:gridCol w:w="923"/>
        <w:gridCol w:w="65"/>
        <w:gridCol w:w="8"/>
        <w:gridCol w:w="904"/>
        <w:gridCol w:w="84"/>
        <w:gridCol w:w="8"/>
      </w:tblGrid>
      <w:tr w:rsidR="00140D20" w:rsidRPr="00140D20" w14:paraId="2CE1A333" w14:textId="77777777" w:rsidTr="000E73A8">
        <w:trPr>
          <w:gridAfter w:val="2"/>
          <w:wAfter w:w="92" w:type="dxa"/>
          <w:trHeight w:val="204"/>
        </w:trPr>
        <w:tc>
          <w:tcPr>
            <w:tcW w:w="2694" w:type="dxa"/>
            <w:tcBorders>
              <w:top w:val="single" w:sz="4" w:space="0" w:color="auto"/>
              <w:left w:val="nil"/>
              <w:bottom w:val="nil"/>
              <w:right w:val="nil"/>
            </w:tcBorders>
            <w:shd w:val="clear" w:color="auto" w:fill="auto"/>
            <w:noWrap/>
            <w:vAlign w:val="bottom"/>
            <w:hideMark/>
          </w:tcPr>
          <w:p w14:paraId="4C8277B5" w14:textId="77777777" w:rsidR="00140D20" w:rsidRPr="00140D20" w:rsidRDefault="00140D20" w:rsidP="00140D20">
            <w:pPr>
              <w:spacing w:after="0" w:line="240" w:lineRule="auto"/>
              <w:jc w:val="left"/>
              <w:rPr>
                <w:rFonts w:ascii="Arial" w:hAnsi="Arial" w:cs="Arial"/>
                <w:sz w:val="16"/>
                <w:szCs w:val="16"/>
              </w:rPr>
            </w:pPr>
            <w:r w:rsidRPr="00140D20">
              <w:rPr>
                <w:rFonts w:ascii="Arial" w:hAnsi="Arial" w:cs="Arial"/>
                <w:sz w:val="16"/>
                <w:szCs w:val="16"/>
              </w:rPr>
              <w:t> </w:t>
            </w:r>
          </w:p>
        </w:tc>
        <w:tc>
          <w:tcPr>
            <w:tcW w:w="1000" w:type="dxa"/>
            <w:gridSpan w:val="2"/>
            <w:tcBorders>
              <w:top w:val="single" w:sz="4" w:space="0" w:color="auto"/>
              <w:left w:val="nil"/>
              <w:bottom w:val="nil"/>
              <w:right w:val="nil"/>
            </w:tcBorders>
            <w:shd w:val="clear" w:color="auto" w:fill="auto"/>
            <w:vAlign w:val="bottom"/>
            <w:hideMark/>
          </w:tcPr>
          <w:p w14:paraId="443729CE" w14:textId="7B3D88D1" w:rsidR="00140D20" w:rsidRPr="00140D20" w:rsidRDefault="00140D20" w:rsidP="00140D20">
            <w:pPr>
              <w:spacing w:after="0" w:line="240" w:lineRule="auto"/>
              <w:jc w:val="right"/>
              <w:rPr>
                <w:rFonts w:ascii="Arial" w:hAnsi="Arial" w:cs="Arial"/>
                <w:sz w:val="16"/>
                <w:szCs w:val="16"/>
              </w:rPr>
            </w:pPr>
            <w:r w:rsidRPr="00140D20">
              <w:rPr>
                <w:rFonts w:ascii="Arial" w:hAnsi="Arial" w:cs="Arial"/>
                <w:sz w:val="16"/>
                <w:szCs w:val="16"/>
              </w:rPr>
              <w:t>2020-21</w:t>
            </w:r>
            <w:r w:rsidR="009F7308" w:rsidRPr="00140D20">
              <w:rPr>
                <w:rFonts w:ascii="Arial" w:hAnsi="Arial" w:cs="Arial"/>
                <w:sz w:val="16"/>
                <w:szCs w:val="16"/>
              </w:rPr>
              <w:t xml:space="preserve"> Actual expenses</w:t>
            </w:r>
            <w:r w:rsidR="009F7308">
              <w:rPr>
                <w:rFonts w:ascii="Arial" w:hAnsi="Arial" w:cs="Arial"/>
                <w:sz w:val="16"/>
                <w:szCs w:val="16"/>
              </w:rPr>
              <w:t xml:space="preserve"> </w:t>
            </w:r>
            <w:r w:rsidR="009F7308" w:rsidRPr="00140D20">
              <w:rPr>
                <w:rFonts w:ascii="Arial" w:hAnsi="Arial" w:cs="Arial"/>
                <w:sz w:val="16"/>
                <w:szCs w:val="16"/>
              </w:rPr>
              <w:t>$'000</w:t>
            </w:r>
          </w:p>
        </w:tc>
        <w:tc>
          <w:tcPr>
            <w:tcW w:w="977" w:type="dxa"/>
            <w:gridSpan w:val="3"/>
            <w:tcBorders>
              <w:top w:val="single" w:sz="4" w:space="0" w:color="auto"/>
              <w:left w:val="nil"/>
              <w:bottom w:val="nil"/>
              <w:right w:val="nil"/>
            </w:tcBorders>
            <w:shd w:val="clear" w:color="000000" w:fill="E6E6E6"/>
            <w:vAlign w:val="bottom"/>
            <w:hideMark/>
          </w:tcPr>
          <w:p w14:paraId="134B8F84" w14:textId="25D14150" w:rsidR="00140D20" w:rsidRPr="00140D20" w:rsidRDefault="00140D20" w:rsidP="00140D20">
            <w:pPr>
              <w:spacing w:after="0" w:line="240" w:lineRule="auto"/>
              <w:jc w:val="right"/>
              <w:rPr>
                <w:rFonts w:ascii="Arial" w:hAnsi="Arial" w:cs="Arial"/>
                <w:sz w:val="16"/>
                <w:szCs w:val="16"/>
              </w:rPr>
            </w:pPr>
            <w:r w:rsidRPr="00140D20">
              <w:rPr>
                <w:rFonts w:ascii="Arial" w:hAnsi="Arial" w:cs="Arial"/>
                <w:sz w:val="16"/>
                <w:szCs w:val="16"/>
              </w:rPr>
              <w:t>2021-22</w:t>
            </w:r>
            <w:r w:rsidR="009F7308" w:rsidRPr="00140D20">
              <w:rPr>
                <w:rFonts w:ascii="Arial" w:hAnsi="Arial" w:cs="Arial"/>
                <w:sz w:val="16"/>
                <w:szCs w:val="16"/>
              </w:rPr>
              <w:t xml:space="preserve"> Revised</w:t>
            </w:r>
            <w:r w:rsidR="009F7308">
              <w:rPr>
                <w:rFonts w:ascii="Arial" w:hAnsi="Arial" w:cs="Arial"/>
                <w:sz w:val="16"/>
                <w:szCs w:val="16"/>
              </w:rPr>
              <w:t xml:space="preserve"> Budget </w:t>
            </w:r>
            <w:r w:rsidR="009F7308" w:rsidRPr="00140D20">
              <w:rPr>
                <w:rFonts w:ascii="Arial" w:hAnsi="Arial" w:cs="Arial"/>
                <w:sz w:val="16"/>
                <w:szCs w:val="16"/>
              </w:rPr>
              <w:t>$'000</w:t>
            </w:r>
          </w:p>
        </w:tc>
        <w:tc>
          <w:tcPr>
            <w:tcW w:w="977" w:type="dxa"/>
            <w:gridSpan w:val="3"/>
            <w:tcBorders>
              <w:top w:val="single" w:sz="4" w:space="0" w:color="auto"/>
              <w:left w:val="nil"/>
              <w:bottom w:val="nil"/>
              <w:right w:val="nil"/>
            </w:tcBorders>
            <w:shd w:val="clear" w:color="auto" w:fill="auto"/>
            <w:vAlign w:val="bottom"/>
            <w:hideMark/>
          </w:tcPr>
          <w:p w14:paraId="54CD7FF6" w14:textId="7880A01E" w:rsidR="00140D20" w:rsidRPr="00140D20" w:rsidRDefault="00140D20" w:rsidP="00FB18CA">
            <w:pPr>
              <w:spacing w:after="0" w:line="240" w:lineRule="auto"/>
              <w:jc w:val="right"/>
              <w:rPr>
                <w:rFonts w:ascii="Arial" w:hAnsi="Arial" w:cs="Arial"/>
                <w:sz w:val="16"/>
                <w:szCs w:val="16"/>
              </w:rPr>
            </w:pPr>
            <w:r w:rsidRPr="00140D20">
              <w:rPr>
                <w:rFonts w:ascii="Arial" w:hAnsi="Arial" w:cs="Arial"/>
                <w:sz w:val="16"/>
                <w:szCs w:val="16"/>
              </w:rPr>
              <w:t>2022-23</w:t>
            </w:r>
            <w:r w:rsidR="009F7308" w:rsidRPr="00140D20">
              <w:rPr>
                <w:rFonts w:ascii="Arial" w:hAnsi="Arial" w:cs="Arial"/>
                <w:sz w:val="16"/>
                <w:szCs w:val="16"/>
              </w:rPr>
              <w:t xml:space="preserve"> Forward</w:t>
            </w:r>
            <w:r w:rsidR="009F7308">
              <w:rPr>
                <w:rFonts w:ascii="Arial" w:hAnsi="Arial" w:cs="Arial"/>
                <w:sz w:val="16"/>
                <w:szCs w:val="16"/>
              </w:rPr>
              <w:t xml:space="preserve"> </w:t>
            </w:r>
            <w:r w:rsidR="00FB18CA">
              <w:rPr>
                <w:rFonts w:ascii="Arial" w:hAnsi="Arial" w:cs="Arial"/>
                <w:sz w:val="16"/>
                <w:szCs w:val="16"/>
              </w:rPr>
              <w:t>estimate</w:t>
            </w:r>
            <w:r w:rsidR="009F7308">
              <w:rPr>
                <w:rFonts w:ascii="Arial" w:hAnsi="Arial" w:cs="Arial"/>
                <w:sz w:val="16"/>
                <w:szCs w:val="16"/>
              </w:rPr>
              <w:t xml:space="preserve"> </w:t>
            </w:r>
            <w:r w:rsidR="009F7308" w:rsidRPr="00140D20">
              <w:rPr>
                <w:rFonts w:ascii="Arial" w:hAnsi="Arial" w:cs="Arial"/>
                <w:sz w:val="16"/>
                <w:szCs w:val="16"/>
              </w:rPr>
              <w:t>$'000</w:t>
            </w:r>
          </w:p>
        </w:tc>
        <w:tc>
          <w:tcPr>
            <w:tcW w:w="977" w:type="dxa"/>
            <w:gridSpan w:val="3"/>
            <w:tcBorders>
              <w:top w:val="single" w:sz="4" w:space="0" w:color="auto"/>
              <w:left w:val="nil"/>
              <w:bottom w:val="nil"/>
              <w:right w:val="nil"/>
            </w:tcBorders>
            <w:shd w:val="clear" w:color="auto" w:fill="auto"/>
            <w:vAlign w:val="bottom"/>
            <w:hideMark/>
          </w:tcPr>
          <w:p w14:paraId="6AB2E55E" w14:textId="48EF41F4" w:rsidR="00140D20" w:rsidRPr="00140D20" w:rsidRDefault="00140D20" w:rsidP="00140D20">
            <w:pPr>
              <w:spacing w:after="0" w:line="240" w:lineRule="auto"/>
              <w:jc w:val="right"/>
              <w:rPr>
                <w:rFonts w:ascii="Arial" w:hAnsi="Arial" w:cs="Arial"/>
                <w:sz w:val="16"/>
                <w:szCs w:val="16"/>
              </w:rPr>
            </w:pPr>
            <w:r w:rsidRPr="00140D20">
              <w:rPr>
                <w:rFonts w:ascii="Arial" w:hAnsi="Arial" w:cs="Arial"/>
                <w:sz w:val="16"/>
                <w:szCs w:val="16"/>
              </w:rPr>
              <w:t>2023-24</w:t>
            </w:r>
            <w:r w:rsidR="009F7308" w:rsidRPr="00140D20">
              <w:rPr>
                <w:rFonts w:ascii="Arial" w:hAnsi="Arial" w:cs="Arial"/>
                <w:sz w:val="16"/>
                <w:szCs w:val="16"/>
              </w:rPr>
              <w:t xml:space="preserve"> Forward</w:t>
            </w:r>
            <w:r w:rsidR="009F7308">
              <w:rPr>
                <w:rFonts w:ascii="Arial" w:hAnsi="Arial" w:cs="Arial"/>
                <w:sz w:val="16"/>
                <w:szCs w:val="16"/>
              </w:rPr>
              <w:t xml:space="preserve"> </w:t>
            </w:r>
            <w:r w:rsidR="00FB18CA">
              <w:rPr>
                <w:rFonts w:ascii="Arial" w:hAnsi="Arial" w:cs="Arial"/>
                <w:sz w:val="16"/>
                <w:szCs w:val="16"/>
              </w:rPr>
              <w:t xml:space="preserve">estimate </w:t>
            </w:r>
            <w:r w:rsidR="009F7308" w:rsidRPr="00140D20">
              <w:rPr>
                <w:rFonts w:ascii="Arial" w:hAnsi="Arial" w:cs="Arial"/>
                <w:sz w:val="16"/>
                <w:szCs w:val="16"/>
              </w:rPr>
              <w:t>$'000</w:t>
            </w:r>
          </w:p>
        </w:tc>
        <w:tc>
          <w:tcPr>
            <w:tcW w:w="977" w:type="dxa"/>
            <w:gridSpan w:val="3"/>
            <w:tcBorders>
              <w:top w:val="single" w:sz="4" w:space="0" w:color="auto"/>
              <w:left w:val="nil"/>
              <w:bottom w:val="nil"/>
              <w:right w:val="nil"/>
            </w:tcBorders>
            <w:shd w:val="clear" w:color="auto" w:fill="auto"/>
            <w:vAlign w:val="bottom"/>
            <w:hideMark/>
          </w:tcPr>
          <w:p w14:paraId="6C1641A7" w14:textId="52860D99" w:rsidR="00140D20" w:rsidRPr="00140D20" w:rsidRDefault="00140D20" w:rsidP="00140D20">
            <w:pPr>
              <w:spacing w:after="0" w:line="240" w:lineRule="auto"/>
              <w:jc w:val="right"/>
              <w:rPr>
                <w:rFonts w:ascii="Arial" w:hAnsi="Arial" w:cs="Arial"/>
                <w:sz w:val="16"/>
                <w:szCs w:val="16"/>
              </w:rPr>
            </w:pPr>
            <w:r w:rsidRPr="00140D20">
              <w:rPr>
                <w:rFonts w:ascii="Arial" w:hAnsi="Arial" w:cs="Arial"/>
                <w:sz w:val="16"/>
                <w:szCs w:val="16"/>
              </w:rPr>
              <w:t>2024-25</w:t>
            </w:r>
            <w:r w:rsidR="009F7308" w:rsidRPr="00140D20">
              <w:rPr>
                <w:rFonts w:ascii="Arial" w:hAnsi="Arial" w:cs="Arial"/>
                <w:sz w:val="16"/>
                <w:szCs w:val="16"/>
              </w:rPr>
              <w:t xml:space="preserve"> Forward</w:t>
            </w:r>
            <w:r w:rsidR="009F7308">
              <w:rPr>
                <w:rFonts w:ascii="Arial" w:hAnsi="Arial" w:cs="Arial"/>
                <w:sz w:val="16"/>
                <w:szCs w:val="16"/>
              </w:rPr>
              <w:t xml:space="preserve"> </w:t>
            </w:r>
            <w:r w:rsidR="00FB18CA">
              <w:rPr>
                <w:rFonts w:ascii="Arial" w:hAnsi="Arial" w:cs="Arial"/>
                <w:sz w:val="16"/>
                <w:szCs w:val="16"/>
              </w:rPr>
              <w:t xml:space="preserve">estimate </w:t>
            </w:r>
            <w:r w:rsidR="009F7308" w:rsidRPr="00140D20">
              <w:rPr>
                <w:rFonts w:ascii="Arial" w:hAnsi="Arial" w:cs="Arial"/>
                <w:sz w:val="16"/>
                <w:szCs w:val="16"/>
              </w:rPr>
              <w:t>$'000</w:t>
            </w:r>
          </w:p>
        </w:tc>
      </w:tr>
      <w:tr w:rsidR="00766815" w:rsidRPr="00140D20" w14:paraId="271F1365" w14:textId="77777777" w:rsidTr="00622B48">
        <w:trPr>
          <w:gridAfter w:val="2"/>
          <w:wAfter w:w="92" w:type="dxa"/>
          <w:trHeight w:val="204"/>
        </w:trPr>
        <w:tc>
          <w:tcPr>
            <w:tcW w:w="7602" w:type="dxa"/>
            <w:gridSpan w:val="15"/>
            <w:tcBorders>
              <w:top w:val="single" w:sz="4" w:space="0" w:color="auto"/>
              <w:left w:val="nil"/>
              <w:bottom w:val="single" w:sz="4" w:space="0" w:color="auto"/>
              <w:right w:val="nil"/>
            </w:tcBorders>
            <w:shd w:val="clear" w:color="000000" w:fill="E6E6E6"/>
            <w:noWrap/>
            <w:vAlign w:val="bottom"/>
            <w:hideMark/>
          </w:tcPr>
          <w:p w14:paraId="4D2F355D" w14:textId="3B26714D" w:rsidR="00766815" w:rsidRPr="00766815" w:rsidRDefault="00766815" w:rsidP="00766815">
            <w:pPr>
              <w:spacing w:after="20" w:line="240" w:lineRule="auto"/>
              <w:jc w:val="left"/>
              <w:rPr>
                <w:rFonts w:ascii="Arial" w:hAnsi="Arial" w:cs="Arial"/>
                <w:b/>
                <w:bCs/>
                <w:sz w:val="16"/>
                <w:szCs w:val="16"/>
              </w:rPr>
            </w:pPr>
            <w:r w:rsidRPr="00140D20">
              <w:rPr>
                <w:rFonts w:ascii="Arial" w:hAnsi="Arial" w:cs="Arial"/>
                <w:b/>
                <w:bCs/>
                <w:sz w:val="16"/>
                <w:szCs w:val="16"/>
              </w:rPr>
              <w:t>Program 1.1: Infrastructure Investment</w:t>
            </w:r>
            <w:r w:rsidRPr="00140D20">
              <w:rPr>
                <w:rFonts w:ascii="Arial" w:hAnsi="Arial" w:cs="Arial"/>
                <w:sz w:val="16"/>
                <w:szCs w:val="16"/>
              </w:rPr>
              <w:t> </w:t>
            </w:r>
          </w:p>
        </w:tc>
      </w:tr>
      <w:tr w:rsidR="00140D20" w:rsidRPr="00140D20" w14:paraId="727B7379" w14:textId="77777777" w:rsidTr="009F7308">
        <w:trPr>
          <w:gridAfter w:val="2"/>
          <w:wAfter w:w="92" w:type="dxa"/>
          <w:trHeight w:val="204"/>
        </w:trPr>
        <w:tc>
          <w:tcPr>
            <w:tcW w:w="2694" w:type="dxa"/>
            <w:tcBorders>
              <w:top w:val="nil"/>
              <w:left w:val="nil"/>
              <w:bottom w:val="nil"/>
              <w:right w:val="nil"/>
            </w:tcBorders>
            <w:shd w:val="clear" w:color="auto" w:fill="auto"/>
            <w:noWrap/>
            <w:vAlign w:val="bottom"/>
            <w:hideMark/>
          </w:tcPr>
          <w:p w14:paraId="6E37BEAA" w14:textId="77777777" w:rsidR="00140D20" w:rsidRPr="009F7308" w:rsidRDefault="00140D20" w:rsidP="00140D20">
            <w:pPr>
              <w:spacing w:after="0" w:line="240" w:lineRule="auto"/>
              <w:jc w:val="left"/>
              <w:rPr>
                <w:rFonts w:ascii="Arial" w:hAnsi="Arial" w:cs="Arial"/>
                <w:sz w:val="16"/>
                <w:szCs w:val="16"/>
              </w:rPr>
            </w:pPr>
            <w:r w:rsidRPr="009F7308">
              <w:rPr>
                <w:rFonts w:ascii="Arial" w:hAnsi="Arial" w:cs="Arial"/>
                <w:sz w:val="16"/>
                <w:szCs w:val="16"/>
              </w:rPr>
              <w:t>Administered expenses</w:t>
            </w:r>
          </w:p>
        </w:tc>
        <w:tc>
          <w:tcPr>
            <w:tcW w:w="1000" w:type="dxa"/>
            <w:gridSpan w:val="2"/>
            <w:tcBorders>
              <w:top w:val="nil"/>
              <w:left w:val="nil"/>
              <w:bottom w:val="nil"/>
              <w:right w:val="nil"/>
            </w:tcBorders>
            <w:shd w:val="clear" w:color="auto" w:fill="auto"/>
            <w:noWrap/>
            <w:vAlign w:val="bottom"/>
            <w:hideMark/>
          </w:tcPr>
          <w:p w14:paraId="6B9A69B4" w14:textId="77777777" w:rsidR="00140D20" w:rsidRPr="009F7308" w:rsidRDefault="00140D20" w:rsidP="00CA3B06">
            <w:pPr>
              <w:spacing w:after="0" w:line="240" w:lineRule="auto"/>
              <w:jc w:val="right"/>
              <w:rPr>
                <w:rFonts w:ascii="Arial" w:hAnsi="Arial" w:cs="Arial"/>
                <w:sz w:val="16"/>
                <w:szCs w:val="16"/>
              </w:rPr>
            </w:pPr>
          </w:p>
        </w:tc>
        <w:tc>
          <w:tcPr>
            <w:tcW w:w="977" w:type="dxa"/>
            <w:gridSpan w:val="3"/>
            <w:tcBorders>
              <w:top w:val="nil"/>
              <w:left w:val="nil"/>
              <w:bottom w:val="nil"/>
              <w:right w:val="nil"/>
            </w:tcBorders>
            <w:shd w:val="clear" w:color="000000" w:fill="E6E6E6"/>
            <w:noWrap/>
            <w:vAlign w:val="bottom"/>
            <w:hideMark/>
          </w:tcPr>
          <w:p w14:paraId="1DD6189A" w14:textId="615649E5" w:rsidR="00140D20" w:rsidRPr="009F7308" w:rsidRDefault="00140D20" w:rsidP="00CA3B06">
            <w:pPr>
              <w:spacing w:after="0" w:line="240" w:lineRule="auto"/>
              <w:jc w:val="right"/>
              <w:rPr>
                <w:rFonts w:ascii="Arial" w:hAnsi="Arial" w:cs="Arial"/>
                <w:sz w:val="16"/>
                <w:szCs w:val="16"/>
              </w:rPr>
            </w:pPr>
          </w:p>
        </w:tc>
        <w:tc>
          <w:tcPr>
            <w:tcW w:w="977" w:type="dxa"/>
            <w:gridSpan w:val="3"/>
            <w:tcBorders>
              <w:top w:val="nil"/>
              <w:left w:val="nil"/>
              <w:bottom w:val="nil"/>
              <w:right w:val="nil"/>
            </w:tcBorders>
            <w:shd w:val="clear" w:color="auto" w:fill="auto"/>
            <w:noWrap/>
            <w:vAlign w:val="bottom"/>
            <w:hideMark/>
          </w:tcPr>
          <w:p w14:paraId="397A8950" w14:textId="77777777" w:rsidR="00140D20" w:rsidRPr="009F7308" w:rsidRDefault="00140D20" w:rsidP="00CA3B06">
            <w:pPr>
              <w:spacing w:after="0" w:line="240" w:lineRule="auto"/>
              <w:jc w:val="right"/>
              <w:rPr>
                <w:rFonts w:ascii="Arial" w:hAnsi="Arial" w:cs="Arial"/>
                <w:sz w:val="16"/>
                <w:szCs w:val="16"/>
              </w:rPr>
            </w:pPr>
          </w:p>
        </w:tc>
        <w:tc>
          <w:tcPr>
            <w:tcW w:w="977" w:type="dxa"/>
            <w:gridSpan w:val="3"/>
            <w:tcBorders>
              <w:top w:val="nil"/>
              <w:left w:val="nil"/>
              <w:bottom w:val="nil"/>
              <w:right w:val="nil"/>
            </w:tcBorders>
            <w:shd w:val="clear" w:color="auto" w:fill="auto"/>
            <w:noWrap/>
            <w:vAlign w:val="bottom"/>
            <w:hideMark/>
          </w:tcPr>
          <w:p w14:paraId="2CF292D6" w14:textId="77777777" w:rsidR="00140D20" w:rsidRPr="009F7308" w:rsidRDefault="00140D20" w:rsidP="00CA3B06">
            <w:pPr>
              <w:spacing w:after="0" w:line="240" w:lineRule="auto"/>
              <w:jc w:val="right"/>
              <w:rPr>
                <w:rFonts w:ascii="Times New Roman" w:hAnsi="Times New Roman"/>
                <w:sz w:val="16"/>
                <w:szCs w:val="16"/>
              </w:rPr>
            </w:pPr>
          </w:p>
        </w:tc>
        <w:tc>
          <w:tcPr>
            <w:tcW w:w="977" w:type="dxa"/>
            <w:gridSpan w:val="3"/>
            <w:tcBorders>
              <w:top w:val="nil"/>
              <w:left w:val="nil"/>
              <w:bottom w:val="nil"/>
              <w:right w:val="nil"/>
            </w:tcBorders>
            <w:shd w:val="clear" w:color="auto" w:fill="auto"/>
            <w:noWrap/>
            <w:vAlign w:val="bottom"/>
            <w:hideMark/>
          </w:tcPr>
          <w:p w14:paraId="70F7EE3C" w14:textId="77777777" w:rsidR="00140D20" w:rsidRPr="009F7308" w:rsidRDefault="00140D20" w:rsidP="00CA3B06">
            <w:pPr>
              <w:spacing w:after="0" w:line="240" w:lineRule="auto"/>
              <w:jc w:val="right"/>
              <w:rPr>
                <w:rFonts w:ascii="Times New Roman" w:hAnsi="Times New Roman"/>
                <w:sz w:val="16"/>
                <w:szCs w:val="16"/>
              </w:rPr>
            </w:pPr>
          </w:p>
        </w:tc>
      </w:tr>
      <w:tr w:rsidR="003815D1" w:rsidRPr="00140D20" w14:paraId="11D550DB" w14:textId="77777777" w:rsidTr="009F7308">
        <w:trPr>
          <w:gridAfter w:val="2"/>
          <w:wAfter w:w="92" w:type="dxa"/>
          <w:trHeight w:val="204"/>
        </w:trPr>
        <w:tc>
          <w:tcPr>
            <w:tcW w:w="2694" w:type="dxa"/>
            <w:tcBorders>
              <w:top w:val="nil"/>
              <w:left w:val="nil"/>
              <w:bottom w:val="nil"/>
              <w:right w:val="nil"/>
            </w:tcBorders>
            <w:shd w:val="clear" w:color="auto" w:fill="auto"/>
            <w:vAlign w:val="bottom"/>
            <w:hideMark/>
          </w:tcPr>
          <w:p w14:paraId="0509D695" w14:textId="77777777"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Ordinary Annual Services (Appropriation Act No. 1 and Bill No. 3)</w:t>
            </w:r>
          </w:p>
        </w:tc>
        <w:tc>
          <w:tcPr>
            <w:tcW w:w="1000" w:type="dxa"/>
            <w:gridSpan w:val="2"/>
            <w:tcBorders>
              <w:top w:val="nil"/>
              <w:left w:val="nil"/>
              <w:bottom w:val="nil"/>
              <w:right w:val="nil"/>
            </w:tcBorders>
            <w:shd w:val="clear" w:color="auto" w:fill="auto"/>
            <w:noWrap/>
            <w:vAlign w:val="bottom"/>
            <w:hideMark/>
          </w:tcPr>
          <w:p w14:paraId="6579BBB6" w14:textId="2D8CF450"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209,334 </w:t>
            </w:r>
          </w:p>
        </w:tc>
        <w:tc>
          <w:tcPr>
            <w:tcW w:w="977" w:type="dxa"/>
            <w:gridSpan w:val="3"/>
            <w:tcBorders>
              <w:top w:val="nil"/>
              <w:left w:val="nil"/>
              <w:bottom w:val="nil"/>
              <w:right w:val="nil"/>
            </w:tcBorders>
            <w:shd w:val="clear" w:color="000000" w:fill="E6E6E6"/>
            <w:noWrap/>
            <w:vAlign w:val="bottom"/>
            <w:hideMark/>
          </w:tcPr>
          <w:p w14:paraId="0A232E0E" w14:textId="7F47E9F0"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440,011 </w:t>
            </w:r>
          </w:p>
        </w:tc>
        <w:tc>
          <w:tcPr>
            <w:tcW w:w="977" w:type="dxa"/>
            <w:gridSpan w:val="3"/>
            <w:tcBorders>
              <w:top w:val="nil"/>
              <w:left w:val="nil"/>
              <w:bottom w:val="nil"/>
              <w:right w:val="nil"/>
            </w:tcBorders>
            <w:shd w:val="clear" w:color="auto" w:fill="auto"/>
            <w:noWrap/>
            <w:vAlign w:val="bottom"/>
            <w:hideMark/>
          </w:tcPr>
          <w:p w14:paraId="02AA8902" w14:textId="1B305AED"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203,516 </w:t>
            </w:r>
          </w:p>
        </w:tc>
        <w:tc>
          <w:tcPr>
            <w:tcW w:w="977" w:type="dxa"/>
            <w:gridSpan w:val="3"/>
            <w:tcBorders>
              <w:top w:val="nil"/>
              <w:left w:val="nil"/>
              <w:bottom w:val="nil"/>
              <w:right w:val="nil"/>
            </w:tcBorders>
            <w:shd w:val="clear" w:color="auto" w:fill="auto"/>
            <w:noWrap/>
            <w:vAlign w:val="bottom"/>
            <w:hideMark/>
          </w:tcPr>
          <w:p w14:paraId="6356D4DC" w14:textId="57D73FF1"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26,378 </w:t>
            </w:r>
          </w:p>
        </w:tc>
        <w:tc>
          <w:tcPr>
            <w:tcW w:w="977" w:type="dxa"/>
            <w:gridSpan w:val="3"/>
            <w:tcBorders>
              <w:top w:val="nil"/>
              <w:left w:val="nil"/>
              <w:bottom w:val="nil"/>
              <w:right w:val="nil"/>
            </w:tcBorders>
            <w:shd w:val="clear" w:color="auto" w:fill="auto"/>
            <w:noWrap/>
            <w:vAlign w:val="bottom"/>
            <w:hideMark/>
          </w:tcPr>
          <w:p w14:paraId="1530F28A" w14:textId="22D6A2B8"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21,483 </w:t>
            </w:r>
          </w:p>
        </w:tc>
      </w:tr>
      <w:tr w:rsidR="003815D1" w:rsidRPr="00140D20" w14:paraId="79A66E39" w14:textId="77777777" w:rsidTr="009F7308">
        <w:trPr>
          <w:gridAfter w:val="2"/>
          <w:wAfter w:w="92" w:type="dxa"/>
          <w:trHeight w:val="204"/>
        </w:trPr>
        <w:tc>
          <w:tcPr>
            <w:tcW w:w="2694" w:type="dxa"/>
            <w:tcBorders>
              <w:top w:val="nil"/>
              <w:left w:val="nil"/>
              <w:bottom w:val="nil"/>
              <w:right w:val="nil"/>
            </w:tcBorders>
            <w:shd w:val="clear" w:color="auto" w:fill="auto"/>
            <w:vAlign w:val="bottom"/>
            <w:hideMark/>
          </w:tcPr>
          <w:p w14:paraId="3F8BA84B" w14:textId="77777777"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Other Services (Appropriation Act No. 2 and Bill No. 4)</w:t>
            </w:r>
          </w:p>
        </w:tc>
        <w:tc>
          <w:tcPr>
            <w:tcW w:w="1000" w:type="dxa"/>
            <w:gridSpan w:val="2"/>
            <w:tcBorders>
              <w:top w:val="nil"/>
              <w:left w:val="nil"/>
              <w:bottom w:val="nil"/>
              <w:right w:val="nil"/>
            </w:tcBorders>
            <w:shd w:val="clear" w:color="auto" w:fill="auto"/>
            <w:noWrap/>
            <w:vAlign w:val="bottom"/>
            <w:hideMark/>
          </w:tcPr>
          <w:p w14:paraId="6BC40AB4" w14:textId="22A7EB2B"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591,803 </w:t>
            </w:r>
          </w:p>
        </w:tc>
        <w:tc>
          <w:tcPr>
            <w:tcW w:w="977" w:type="dxa"/>
            <w:gridSpan w:val="3"/>
            <w:tcBorders>
              <w:top w:val="nil"/>
              <w:left w:val="nil"/>
              <w:bottom w:val="nil"/>
              <w:right w:val="nil"/>
            </w:tcBorders>
            <w:shd w:val="clear" w:color="000000" w:fill="E6E6E6"/>
            <w:noWrap/>
            <w:vAlign w:val="bottom"/>
            <w:hideMark/>
          </w:tcPr>
          <w:p w14:paraId="5ADB83D7" w14:textId="4E7466C0"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499,516 </w:t>
            </w:r>
          </w:p>
        </w:tc>
        <w:tc>
          <w:tcPr>
            <w:tcW w:w="977" w:type="dxa"/>
            <w:gridSpan w:val="3"/>
            <w:tcBorders>
              <w:top w:val="nil"/>
              <w:left w:val="nil"/>
              <w:bottom w:val="nil"/>
              <w:right w:val="nil"/>
            </w:tcBorders>
            <w:shd w:val="clear" w:color="auto" w:fill="auto"/>
            <w:noWrap/>
            <w:vAlign w:val="bottom"/>
            <w:hideMark/>
          </w:tcPr>
          <w:p w14:paraId="325DB10A" w14:textId="49F00721"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490,881 </w:t>
            </w:r>
          </w:p>
        </w:tc>
        <w:tc>
          <w:tcPr>
            <w:tcW w:w="977" w:type="dxa"/>
            <w:gridSpan w:val="3"/>
            <w:tcBorders>
              <w:top w:val="nil"/>
              <w:left w:val="nil"/>
              <w:bottom w:val="nil"/>
              <w:right w:val="nil"/>
            </w:tcBorders>
            <w:shd w:val="clear" w:color="auto" w:fill="auto"/>
            <w:noWrap/>
            <w:vAlign w:val="bottom"/>
            <w:hideMark/>
          </w:tcPr>
          <w:p w14:paraId="4F5D8F9E" w14:textId="12543E72"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485,306 </w:t>
            </w:r>
          </w:p>
        </w:tc>
        <w:tc>
          <w:tcPr>
            <w:tcW w:w="977" w:type="dxa"/>
            <w:gridSpan w:val="3"/>
            <w:tcBorders>
              <w:top w:val="nil"/>
              <w:left w:val="nil"/>
              <w:bottom w:val="nil"/>
              <w:right w:val="nil"/>
            </w:tcBorders>
            <w:shd w:val="clear" w:color="auto" w:fill="auto"/>
            <w:noWrap/>
            <w:vAlign w:val="bottom"/>
            <w:hideMark/>
          </w:tcPr>
          <w:p w14:paraId="535B8913" w14:textId="3B8C709E"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499,516 </w:t>
            </w:r>
          </w:p>
        </w:tc>
      </w:tr>
      <w:tr w:rsidR="003815D1" w:rsidRPr="00140D20" w14:paraId="7D9067CE" w14:textId="77777777" w:rsidTr="009F7308">
        <w:trPr>
          <w:gridAfter w:val="2"/>
          <w:wAfter w:w="92" w:type="dxa"/>
          <w:trHeight w:val="204"/>
        </w:trPr>
        <w:tc>
          <w:tcPr>
            <w:tcW w:w="2694" w:type="dxa"/>
            <w:tcBorders>
              <w:top w:val="nil"/>
              <w:left w:val="nil"/>
              <w:bottom w:val="nil"/>
              <w:right w:val="nil"/>
            </w:tcBorders>
            <w:shd w:val="clear" w:color="auto" w:fill="auto"/>
            <w:noWrap/>
            <w:vAlign w:val="bottom"/>
            <w:hideMark/>
          </w:tcPr>
          <w:p w14:paraId="00DF7620" w14:textId="77777777"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 xml:space="preserve">Payments to corporate entities </w:t>
            </w:r>
            <w:r w:rsidRPr="009F7308">
              <w:rPr>
                <w:rFonts w:ascii="Arial" w:hAnsi="Arial" w:cs="Arial"/>
                <w:sz w:val="16"/>
                <w:szCs w:val="16"/>
                <w:vertAlign w:val="superscript"/>
              </w:rPr>
              <w:t>(a)</w:t>
            </w:r>
          </w:p>
        </w:tc>
        <w:tc>
          <w:tcPr>
            <w:tcW w:w="1000" w:type="dxa"/>
            <w:gridSpan w:val="2"/>
            <w:tcBorders>
              <w:top w:val="nil"/>
              <w:left w:val="nil"/>
              <w:bottom w:val="nil"/>
              <w:right w:val="nil"/>
            </w:tcBorders>
            <w:shd w:val="clear" w:color="auto" w:fill="auto"/>
            <w:noWrap/>
            <w:vAlign w:val="bottom"/>
            <w:hideMark/>
          </w:tcPr>
          <w:p w14:paraId="17C34F04" w14:textId="6272FB2D"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15,419 </w:t>
            </w:r>
          </w:p>
        </w:tc>
        <w:tc>
          <w:tcPr>
            <w:tcW w:w="977" w:type="dxa"/>
            <w:gridSpan w:val="3"/>
            <w:tcBorders>
              <w:top w:val="nil"/>
              <w:left w:val="nil"/>
              <w:bottom w:val="nil"/>
              <w:right w:val="nil"/>
            </w:tcBorders>
            <w:shd w:val="clear" w:color="000000" w:fill="E6E6E6"/>
            <w:noWrap/>
            <w:vAlign w:val="bottom"/>
            <w:hideMark/>
          </w:tcPr>
          <w:p w14:paraId="3ABB186F" w14:textId="51B0E792"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12,853 </w:t>
            </w:r>
          </w:p>
        </w:tc>
        <w:tc>
          <w:tcPr>
            <w:tcW w:w="977" w:type="dxa"/>
            <w:gridSpan w:val="3"/>
            <w:tcBorders>
              <w:top w:val="nil"/>
              <w:left w:val="nil"/>
              <w:bottom w:val="nil"/>
              <w:right w:val="nil"/>
            </w:tcBorders>
            <w:shd w:val="clear" w:color="auto" w:fill="auto"/>
            <w:noWrap/>
            <w:vAlign w:val="bottom"/>
            <w:hideMark/>
          </w:tcPr>
          <w:p w14:paraId="36A52058" w14:textId="35B5FBF7"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12,689 </w:t>
            </w:r>
          </w:p>
        </w:tc>
        <w:tc>
          <w:tcPr>
            <w:tcW w:w="977" w:type="dxa"/>
            <w:gridSpan w:val="3"/>
            <w:tcBorders>
              <w:top w:val="nil"/>
              <w:left w:val="nil"/>
              <w:bottom w:val="nil"/>
              <w:right w:val="nil"/>
            </w:tcBorders>
            <w:shd w:val="clear" w:color="auto" w:fill="auto"/>
            <w:noWrap/>
            <w:vAlign w:val="bottom"/>
            <w:hideMark/>
          </w:tcPr>
          <w:p w14:paraId="77D6B32C" w14:textId="2A177E90"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12,760 </w:t>
            </w:r>
          </w:p>
        </w:tc>
        <w:tc>
          <w:tcPr>
            <w:tcW w:w="977" w:type="dxa"/>
            <w:gridSpan w:val="3"/>
            <w:tcBorders>
              <w:top w:val="nil"/>
              <w:left w:val="nil"/>
              <w:bottom w:val="nil"/>
              <w:right w:val="nil"/>
            </w:tcBorders>
            <w:shd w:val="clear" w:color="auto" w:fill="auto"/>
            <w:noWrap/>
            <w:vAlign w:val="bottom"/>
            <w:hideMark/>
          </w:tcPr>
          <w:p w14:paraId="02A48BB6" w14:textId="77D99F6D"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12,856 </w:t>
            </w:r>
          </w:p>
        </w:tc>
      </w:tr>
      <w:tr w:rsidR="003815D1" w:rsidRPr="00140D20" w14:paraId="4D522A48" w14:textId="77777777" w:rsidTr="009F7308">
        <w:trPr>
          <w:gridAfter w:val="2"/>
          <w:wAfter w:w="92" w:type="dxa"/>
          <w:trHeight w:val="204"/>
        </w:trPr>
        <w:tc>
          <w:tcPr>
            <w:tcW w:w="2694" w:type="dxa"/>
            <w:tcBorders>
              <w:top w:val="nil"/>
              <w:left w:val="nil"/>
              <w:bottom w:val="nil"/>
              <w:right w:val="nil"/>
            </w:tcBorders>
            <w:shd w:val="clear" w:color="auto" w:fill="auto"/>
            <w:vAlign w:val="bottom"/>
            <w:hideMark/>
          </w:tcPr>
          <w:p w14:paraId="27EB4DDD" w14:textId="100FA04E"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Expenses not requiring appropriation in the Budget year </w:t>
            </w:r>
            <w:r w:rsidRPr="009F7308">
              <w:rPr>
                <w:rFonts w:ascii="Arial" w:hAnsi="Arial" w:cs="Arial"/>
                <w:sz w:val="16"/>
                <w:szCs w:val="16"/>
                <w:vertAlign w:val="superscript"/>
              </w:rPr>
              <w:t>(b)</w:t>
            </w:r>
          </w:p>
        </w:tc>
        <w:tc>
          <w:tcPr>
            <w:tcW w:w="1000" w:type="dxa"/>
            <w:gridSpan w:val="2"/>
            <w:tcBorders>
              <w:top w:val="nil"/>
              <w:left w:val="nil"/>
              <w:bottom w:val="nil"/>
              <w:right w:val="nil"/>
            </w:tcBorders>
            <w:shd w:val="clear" w:color="auto" w:fill="auto"/>
            <w:noWrap/>
            <w:vAlign w:val="bottom"/>
            <w:hideMark/>
          </w:tcPr>
          <w:p w14:paraId="0916E3CA" w14:textId="32621CDD"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42,013 </w:t>
            </w:r>
          </w:p>
        </w:tc>
        <w:tc>
          <w:tcPr>
            <w:tcW w:w="977" w:type="dxa"/>
            <w:gridSpan w:val="3"/>
            <w:tcBorders>
              <w:top w:val="nil"/>
              <w:left w:val="nil"/>
              <w:bottom w:val="nil"/>
              <w:right w:val="nil"/>
            </w:tcBorders>
            <w:shd w:val="clear" w:color="000000" w:fill="E6E6E6"/>
            <w:noWrap/>
            <w:vAlign w:val="bottom"/>
            <w:hideMark/>
          </w:tcPr>
          <w:p w14:paraId="4E2D8151" w14:textId="2B439F99"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1,531 </w:t>
            </w:r>
          </w:p>
        </w:tc>
        <w:tc>
          <w:tcPr>
            <w:tcW w:w="977" w:type="dxa"/>
            <w:gridSpan w:val="3"/>
            <w:tcBorders>
              <w:top w:val="nil"/>
              <w:left w:val="nil"/>
              <w:bottom w:val="nil"/>
              <w:right w:val="nil"/>
            </w:tcBorders>
            <w:shd w:val="clear" w:color="auto" w:fill="auto"/>
            <w:noWrap/>
            <w:vAlign w:val="bottom"/>
            <w:hideMark/>
          </w:tcPr>
          <w:p w14:paraId="42C6DE76" w14:textId="48F0C7A2"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3"/>
            <w:tcBorders>
              <w:top w:val="nil"/>
              <w:left w:val="nil"/>
              <w:bottom w:val="nil"/>
              <w:right w:val="nil"/>
            </w:tcBorders>
            <w:shd w:val="clear" w:color="auto" w:fill="auto"/>
            <w:noWrap/>
            <w:vAlign w:val="bottom"/>
            <w:hideMark/>
          </w:tcPr>
          <w:p w14:paraId="62512D22" w14:textId="7E35561F"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3"/>
            <w:tcBorders>
              <w:top w:val="nil"/>
              <w:left w:val="nil"/>
              <w:bottom w:val="nil"/>
              <w:right w:val="nil"/>
            </w:tcBorders>
            <w:shd w:val="clear" w:color="auto" w:fill="auto"/>
            <w:noWrap/>
            <w:vAlign w:val="bottom"/>
            <w:hideMark/>
          </w:tcPr>
          <w:p w14:paraId="5F3D4A24" w14:textId="2FAF31A3"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140D20" w14:paraId="48FCD512" w14:textId="77777777" w:rsidTr="009F7308">
        <w:trPr>
          <w:gridAfter w:val="2"/>
          <w:wAfter w:w="92" w:type="dxa"/>
          <w:trHeight w:val="204"/>
        </w:trPr>
        <w:tc>
          <w:tcPr>
            <w:tcW w:w="2694" w:type="dxa"/>
            <w:tcBorders>
              <w:top w:val="nil"/>
              <w:left w:val="nil"/>
              <w:bottom w:val="nil"/>
              <w:right w:val="nil"/>
            </w:tcBorders>
            <w:shd w:val="clear" w:color="auto" w:fill="auto"/>
            <w:noWrap/>
            <w:vAlign w:val="bottom"/>
            <w:hideMark/>
          </w:tcPr>
          <w:p w14:paraId="642CF8E0" w14:textId="77777777" w:rsidR="003815D1" w:rsidRPr="009F7308" w:rsidRDefault="003815D1" w:rsidP="003815D1">
            <w:pPr>
              <w:spacing w:after="0" w:line="240" w:lineRule="auto"/>
              <w:jc w:val="left"/>
              <w:rPr>
                <w:rFonts w:ascii="Arial" w:hAnsi="Arial" w:cs="Arial"/>
                <w:b/>
                <w:bCs/>
                <w:sz w:val="16"/>
                <w:szCs w:val="16"/>
              </w:rPr>
            </w:pPr>
            <w:r w:rsidRPr="009F7308">
              <w:rPr>
                <w:rFonts w:ascii="Arial" w:hAnsi="Arial" w:cs="Arial"/>
                <w:b/>
                <w:bCs/>
                <w:sz w:val="16"/>
                <w:szCs w:val="16"/>
              </w:rPr>
              <w:t>Total expenses for Program 1.1</w:t>
            </w:r>
          </w:p>
        </w:tc>
        <w:tc>
          <w:tcPr>
            <w:tcW w:w="1000" w:type="dxa"/>
            <w:gridSpan w:val="2"/>
            <w:tcBorders>
              <w:top w:val="single" w:sz="4" w:space="0" w:color="auto"/>
              <w:left w:val="nil"/>
              <w:bottom w:val="single" w:sz="4" w:space="0" w:color="auto"/>
              <w:right w:val="nil"/>
            </w:tcBorders>
            <w:shd w:val="clear" w:color="auto" w:fill="auto"/>
            <w:noWrap/>
            <w:vAlign w:val="bottom"/>
            <w:hideMark/>
          </w:tcPr>
          <w:p w14:paraId="2C5498B8" w14:textId="53FB6FFE"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858,569 </w:t>
            </w:r>
          </w:p>
        </w:tc>
        <w:tc>
          <w:tcPr>
            <w:tcW w:w="977" w:type="dxa"/>
            <w:gridSpan w:val="3"/>
            <w:tcBorders>
              <w:top w:val="single" w:sz="4" w:space="0" w:color="auto"/>
              <w:left w:val="nil"/>
              <w:bottom w:val="single" w:sz="4" w:space="0" w:color="auto"/>
              <w:right w:val="nil"/>
            </w:tcBorders>
            <w:shd w:val="clear" w:color="000000" w:fill="E6E6E6"/>
            <w:noWrap/>
            <w:vAlign w:val="bottom"/>
            <w:hideMark/>
          </w:tcPr>
          <w:p w14:paraId="4473A189" w14:textId="7118EBA1"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953,911 </w:t>
            </w:r>
          </w:p>
        </w:tc>
        <w:tc>
          <w:tcPr>
            <w:tcW w:w="977" w:type="dxa"/>
            <w:gridSpan w:val="3"/>
            <w:tcBorders>
              <w:top w:val="single" w:sz="4" w:space="0" w:color="auto"/>
              <w:left w:val="nil"/>
              <w:bottom w:val="single" w:sz="4" w:space="0" w:color="auto"/>
              <w:right w:val="nil"/>
            </w:tcBorders>
            <w:shd w:val="clear" w:color="auto" w:fill="auto"/>
            <w:noWrap/>
            <w:vAlign w:val="bottom"/>
            <w:hideMark/>
          </w:tcPr>
          <w:p w14:paraId="2308E4AE" w14:textId="021FF34B"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707,086 </w:t>
            </w:r>
          </w:p>
        </w:tc>
        <w:tc>
          <w:tcPr>
            <w:tcW w:w="977" w:type="dxa"/>
            <w:gridSpan w:val="3"/>
            <w:tcBorders>
              <w:top w:val="single" w:sz="4" w:space="0" w:color="auto"/>
              <w:left w:val="nil"/>
              <w:bottom w:val="single" w:sz="4" w:space="0" w:color="auto"/>
              <w:right w:val="nil"/>
            </w:tcBorders>
            <w:shd w:val="clear" w:color="auto" w:fill="auto"/>
            <w:noWrap/>
            <w:vAlign w:val="bottom"/>
            <w:hideMark/>
          </w:tcPr>
          <w:p w14:paraId="2739ADDF" w14:textId="0D62381F"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524,444 </w:t>
            </w:r>
          </w:p>
        </w:tc>
        <w:tc>
          <w:tcPr>
            <w:tcW w:w="977" w:type="dxa"/>
            <w:gridSpan w:val="3"/>
            <w:tcBorders>
              <w:top w:val="single" w:sz="4" w:space="0" w:color="auto"/>
              <w:left w:val="nil"/>
              <w:bottom w:val="single" w:sz="4" w:space="0" w:color="auto"/>
              <w:right w:val="nil"/>
            </w:tcBorders>
            <w:shd w:val="clear" w:color="auto" w:fill="auto"/>
            <w:noWrap/>
            <w:vAlign w:val="bottom"/>
            <w:hideMark/>
          </w:tcPr>
          <w:p w14:paraId="6AD00280" w14:textId="4F7525EB"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533,855 </w:t>
            </w:r>
          </w:p>
        </w:tc>
      </w:tr>
      <w:tr w:rsidR="00140D20" w:rsidRPr="00140D20" w14:paraId="4ED0CF8A" w14:textId="77777777" w:rsidTr="000E73A8">
        <w:trPr>
          <w:gridAfter w:val="1"/>
          <w:wAfter w:w="8" w:type="dxa"/>
          <w:trHeight w:val="204"/>
        </w:trPr>
        <w:tc>
          <w:tcPr>
            <w:tcW w:w="3702" w:type="dxa"/>
            <w:gridSpan w:val="4"/>
            <w:tcBorders>
              <w:top w:val="single" w:sz="4" w:space="0" w:color="auto"/>
              <w:left w:val="nil"/>
              <w:bottom w:val="single" w:sz="4" w:space="0" w:color="auto"/>
              <w:right w:val="nil"/>
            </w:tcBorders>
            <w:shd w:val="clear" w:color="000000" w:fill="E6E6E6"/>
            <w:noWrap/>
            <w:vAlign w:val="bottom"/>
            <w:hideMark/>
          </w:tcPr>
          <w:p w14:paraId="50C1F430" w14:textId="77777777" w:rsidR="00140D20" w:rsidRPr="00140D20" w:rsidRDefault="00140D20" w:rsidP="00766815">
            <w:pPr>
              <w:spacing w:after="20" w:line="240" w:lineRule="auto"/>
              <w:jc w:val="left"/>
              <w:rPr>
                <w:rFonts w:ascii="Arial" w:hAnsi="Arial" w:cs="Arial"/>
                <w:b/>
                <w:bCs/>
                <w:sz w:val="16"/>
                <w:szCs w:val="16"/>
              </w:rPr>
            </w:pPr>
            <w:r w:rsidRPr="00140D20">
              <w:rPr>
                <w:rFonts w:ascii="Arial" w:hAnsi="Arial" w:cs="Arial"/>
                <w:b/>
                <w:bCs/>
                <w:sz w:val="16"/>
                <w:szCs w:val="16"/>
              </w:rPr>
              <w:t>Program 1.2: Program Support for Outcome 1</w:t>
            </w:r>
          </w:p>
        </w:tc>
        <w:tc>
          <w:tcPr>
            <w:tcW w:w="996" w:type="dxa"/>
            <w:gridSpan w:val="3"/>
            <w:tcBorders>
              <w:top w:val="single" w:sz="4" w:space="0" w:color="auto"/>
              <w:left w:val="nil"/>
              <w:bottom w:val="single" w:sz="4" w:space="0" w:color="auto"/>
              <w:right w:val="nil"/>
            </w:tcBorders>
            <w:shd w:val="clear" w:color="000000" w:fill="E6E6E6"/>
            <w:noWrap/>
            <w:vAlign w:val="bottom"/>
            <w:hideMark/>
          </w:tcPr>
          <w:p w14:paraId="3BC1A5E9" w14:textId="77777777" w:rsidR="00140D20" w:rsidRPr="00140D20" w:rsidRDefault="00140D20" w:rsidP="00766815">
            <w:pPr>
              <w:spacing w:after="20" w:line="240" w:lineRule="auto"/>
              <w:jc w:val="left"/>
              <w:rPr>
                <w:rFonts w:ascii="Arial" w:hAnsi="Arial" w:cs="Arial"/>
                <w:sz w:val="16"/>
                <w:szCs w:val="16"/>
              </w:rPr>
            </w:pPr>
            <w:r w:rsidRPr="00140D20">
              <w:rPr>
                <w:rFonts w:ascii="Arial" w:hAnsi="Arial" w:cs="Arial"/>
                <w:sz w:val="16"/>
                <w:szCs w:val="16"/>
              </w:rPr>
              <w:t> </w:t>
            </w:r>
          </w:p>
        </w:tc>
        <w:tc>
          <w:tcPr>
            <w:tcW w:w="996" w:type="dxa"/>
            <w:gridSpan w:val="3"/>
            <w:tcBorders>
              <w:top w:val="single" w:sz="4" w:space="0" w:color="auto"/>
              <w:left w:val="nil"/>
              <w:bottom w:val="single" w:sz="4" w:space="0" w:color="auto"/>
              <w:right w:val="nil"/>
            </w:tcBorders>
            <w:shd w:val="clear" w:color="000000" w:fill="E6E6E6"/>
            <w:noWrap/>
            <w:vAlign w:val="bottom"/>
            <w:hideMark/>
          </w:tcPr>
          <w:p w14:paraId="0F06B8A2" w14:textId="77777777" w:rsidR="00140D20" w:rsidRPr="00140D20" w:rsidRDefault="00140D20" w:rsidP="00766815">
            <w:pPr>
              <w:spacing w:after="20" w:line="240" w:lineRule="auto"/>
              <w:jc w:val="left"/>
              <w:rPr>
                <w:rFonts w:ascii="Arial" w:hAnsi="Arial" w:cs="Arial"/>
                <w:sz w:val="16"/>
                <w:szCs w:val="16"/>
              </w:rPr>
            </w:pPr>
            <w:r w:rsidRPr="00140D20">
              <w:rPr>
                <w:rFonts w:ascii="Arial" w:hAnsi="Arial" w:cs="Arial"/>
                <w:sz w:val="16"/>
                <w:szCs w:val="16"/>
              </w:rPr>
              <w:t> </w:t>
            </w:r>
          </w:p>
        </w:tc>
        <w:tc>
          <w:tcPr>
            <w:tcW w:w="996" w:type="dxa"/>
            <w:gridSpan w:val="3"/>
            <w:tcBorders>
              <w:top w:val="single" w:sz="4" w:space="0" w:color="auto"/>
              <w:left w:val="nil"/>
              <w:bottom w:val="single" w:sz="4" w:space="0" w:color="auto"/>
              <w:right w:val="nil"/>
            </w:tcBorders>
            <w:shd w:val="clear" w:color="000000" w:fill="E6E6E6"/>
            <w:noWrap/>
            <w:vAlign w:val="bottom"/>
            <w:hideMark/>
          </w:tcPr>
          <w:p w14:paraId="0FE5E24A" w14:textId="77777777" w:rsidR="00140D20" w:rsidRPr="00140D20" w:rsidRDefault="00140D20" w:rsidP="00766815">
            <w:pPr>
              <w:spacing w:after="20" w:line="240" w:lineRule="auto"/>
              <w:jc w:val="left"/>
              <w:rPr>
                <w:rFonts w:ascii="Arial" w:hAnsi="Arial" w:cs="Arial"/>
                <w:sz w:val="16"/>
                <w:szCs w:val="16"/>
              </w:rPr>
            </w:pPr>
            <w:r w:rsidRPr="00140D20">
              <w:rPr>
                <w:rFonts w:ascii="Arial" w:hAnsi="Arial" w:cs="Arial"/>
                <w:sz w:val="16"/>
                <w:szCs w:val="16"/>
              </w:rPr>
              <w:t> </w:t>
            </w:r>
          </w:p>
        </w:tc>
        <w:tc>
          <w:tcPr>
            <w:tcW w:w="996" w:type="dxa"/>
            <w:gridSpan w:val="3"/>
            <w:tcBorders>
              <w:top w:val="single" w:sz="4" w:space="0" w:color="auto"/>
              <w:left w:val="nil"/>
              <w:bottom w:val="single" w:sz="4" w:space="0" w:color="auto"/>
              <w:right w:val="nil"/>
            </w:tcBorders>
            <w:shd w:val="clear" w:color="000000" w:fill="E6E6E6"/>
            <w:noWrap/>
            <w:vAlign w:val="bottom"/>
            <w:hideMark/>
          </w:tcPr>
          <w:p w14:paraId="0126F6A5" w14:textId="77777777" w:rsidR="00140D20" w:rsidRPr="00140D20" w:rsidRDefault="00140D20" w:rsidP="00766815">
            <w:pPr>
              <w:spacing w:after="20" w:line="240" w:lineRule="auto"/>
              <w:jc w:val="left"/>
              <w:rPr>
                <w:rFonts w:ascii="Arial" w:hAnsi="Arial" w:cs="Arial"/>
                <w:sz w:val="16"/>
                <w:szCs w:val="16"/>
              </w:rPr>
            </w:pPr>
            <w:r w:rsidRPr="00140D20">
              <w:rPr>
                <w:rFonts w:ascii="Arial" w:hAnsi="Arial" w:cs="Arial"/>
                <w:sz w:val="16"/>
                <w:szCs w:val="16"/>
              </w:rPr>
              <w:t> </w:t>
            </w:r>
          </w:p>
        </w:tc>
      </w:tr>
      <w:tr w:rsidR="00140D20" w:rsidRPr="00140D20" w14:paraId="7DD8C561" w14:textId="77777777" w:rsidTr="009F7308">
        <w:trPr>
          <w:gridAfter w:val="1"/>
          <w:wAfter w:w="8" w:type="dxa"/>
          <w:trHeight w:val="204"/>
        </w:trPr>
        <w:tc>
          <w:tcPr>
            <w:tcW w:w="2768" w:type="dxa"/>
            <w:gridSpan w:val="2"/>
            <w:tcBorders>
              <w:top w:val="nil"/>
              <w:left w:val="nil"/>
              <w:bottom w:val="nil"/>
              <w:right w:val="nil"/>
            </w:tcBorders>
            <w:shd w:val="clear" w:color="auto" w:fill="auto"/>
            <w:noWrap/>
            <w:vAlign w:val="bottom"/>
            <w:hideMark/>
          </w:tcPr>
          <w:p w14:paraId="3BB6B26F" w14:textId="77777777" w:rsidR="00140D20" w:rsidRPr="009F7308" w:rsidRDefault="00140D20" w:rsidP="00140D20">
            <w:pPr>
              <w:spacing w:after="0" w:line="240" w:lineRule="auto"/>
              <w:jc w:val="left"/>
              <w:rPr>
                <w:rFonts w:ascii="Arial" w:hAnsi="Arial" w:cs="Arial"/>
                <w:sz w:val="16"/>
                <w:szCs w:val="16"/>
              </w:rPr>
            </w:pPr>
            <w:r w:rsidRPr="009F7308">
              <w:rPr>
                <w:rFonts w:ascii="Arial" w:hAnsi="Arial" w:cs="Arial"/>
                <w:sz w:val="16"/>
                <w:szCs w:val="16"/>
              </w:rPr>
              <w:t>Departmental expenses</w:t>
            </w:r>
          </w:p>
        </w:tc>
        <w:tc>
          <w:tcPr>
            <w:tcW w:w="934" w:type="dxa"/>
            <w:gridSpan w:val="2"/>
            <w:tcBorders>
              <w:top w:val="nil"/>
              <w:left w:val="nil"/>
              <w:bottom w:val="nil"/>
              <w:right w:val="nil"/>
            </w:tcBorders>
            <w:shd w:val="clear" w:color="auto" w:fill="auto"/>
            <w:noWrap/>
            <w:vAlign w:val="bottom"/>
            <w:hideMark/>
          </w:tcPr>
          <w:p w14:paraId="6AE80E55" w14:textId="77777777" w:rsidR="00140D20" w:rsidRPr="009F7308" w:rsidRDefault="00140D20" w:rsidP="000E73A8">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000000" w:fill="E6E6E6"/>
            <w:noWrap/>
            <w:vAlign w:val="bottom"/>
            <w:hideMark/>
          </w:tcPr>
          <w:p w14:paraId="637AD40E" w14:textId="36726551" w:rsidR="00140D20" w:rsidRPr="009F7308" w:rsidRDefault="00140D20" w:rsidP="000E73A8">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7A25FC9E" w14:textId="77777777" w:rsidR="00140D20" w:rsidRPr="009F7308" w:rsidRDefault="00140D20" w:rsidP="000E73A8">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1E5929F1" w14:textId="77777777" w:rsidR="00140D20" w:rsidRPr="009F7308" w:rsidRDefault="00140D20" w:rsidP="000E73A8">
            <w:pPr>
              <w:spacing w:after="0" w:line="240" w:lineRule="auto"/>
              <w:jc w:val="right"/>
              <w:rPr>
                <w:rFonts w:ascii="Times New Roman" w:hAnsi="Times New Roman"/>
                <w:sz w:val="16"/>
                <w:szCs w:val="16"/>
              </w:rPr>
            </w:pPr>
          </w:p>
        </w:tc>
        <w:tc>
          <w:tcPr>
            <w:tcW w:w="996" w:type="dxa"/>
            <w:gridSpan w:val="3"/>
            <w:tcBorders>
              <w:top w:val="nil"/>
              <w:left w:val="nil"/>
              <w:bottom w:val="nil"/>
              <w:right w:val="nil"/>
            </w:tcBorders>
            <w:shd w:val="clear" w:color="auto" w:fill="auto"/>
            <w:noWrap/>
            <w:vAlign w:val="bottom"/>
            <w:hideMark/>
          </w:tcPr>
          <w:p w14:paraId="5DAAD5CB" w14:textId="77777777" w:rsidR="00140D20" w:rsidRPr="009F7308" w:rsidRDefault="00140D20" w:rsidP="000E73A8">
            <w:pPr>
              <w:spacing w:after="0" w:line="240" w:lineRule="auto"/>
              <w:jc w:val="right"/>
              <w:rPr>
                <w:rFonts w:ascii="Times New Roman" w:hAnsi="Times New Roman"/>
                <w:sz w:val="16"/>
                <w:szCs w:val="16"/>
              </w:rPr>
            </w:pPr>
          </w:p>
        </w:tc>
      </w:tr>
      <w:tr w:rsidR="003815D1" w:rsidRPr="00140D20" w14:paraId="7BF008EA" w14:textId="77777777" w:rsidTr="009F7308">
        <w:trPr>
          <w:gridAfter w:val="1"/>
          <w:wAfter w:w="8" w:type="dxa"/>
          <w:trHeight w:val="204"/>
        </w:trPr>
        <w:tc>
          <w:tcPr>
            <w:tcW w:w="2768" w:type="dxa"/>
            <w:gridSpan w:val="2"/>
            <w:tcBorders>
              <w:top w:val="nil"/>
              <w:left w:val="nil"/>
              <w:bottom w:val="nil"/>
              <w:right w:val="nil"/>
            </w:tcBorders>
            <w:shd w:val="clear" w:color="auto" w:fill="auto"/>
            <w:vAlign w:val="bottom"/>
            <w:hideMark/>
          </w:tcPr>
          <w:p w14:paraId="00190504" w14:textId="77777777"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Departmental appropriation</w:t>
            </w:r>
          </w:p>
        </w:tc>
        <w:tc>
          <w:tcPr>
            <w:tcW w:w="934" w:type="dxa"/>
            <w:gridSpan w:val="2"/>
            <w:tcBorders>
              <w:top w:val="nil"/>
              <w:left w:val="nil"/>
              <w:bottom w:val="nil"/>
              <w:right w:val="nil"/>
            </w:tcBorders>
            <w:shd w:val="clear" w:color="auto" w:fill="auto"/>
            <w:noWrap/>
            <w:vAlign w:val="bottom"/>
            <w:hideMark/>
          </w:tcPr>
          <w:p w14:paraId="5AE217C9" w14:textId="7809EB1D"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58,485 </w:t>
            </w:r>
          </w:p>
        </w:tc>
        <w:tc>
          <w:tcPr>
            <w:tcW w:w="996" w:type="dxa"/>
            <w:gridSpan w:val="3"/>
            <w:tcBorders>
              <w:top w:val="nil"/>
              <w:left w:val="nil"/>
              <w:bottom w:val="nil"/>
              <w:right w:val="nil"/>
            </w:tcBorders>
            <w:shd w:val="clear" w:color="000000" w:fill="E6E6E6"/>
            <w:noWrap/>
            <w:vAlign w:val="bottom"/>
            <w:hideMark/>
          </w:tcPr>
          <w:p w14:paraId="2EB74FBE" w14:textId="6ABD602E"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75,637 </w:t>
            </w:r>
          </w:p>
        </w:tc>
        <w:tc>
          <w:tcPr>
            <w:tcW w:w="996" w:type="dxa"/>
            <w:gridSpan w:val="3"/>
            <w:tcBorders>
              <w:top w:val="nil"/>
              <w:left w:val="nil"/>
              <w:bottom w:val="nil"/>
              <w:right w:val="nil"/>
            </w:tcBorders>
            <w:shd w:val="clear" w:color="auto" w:fill="auto"/>
            <w:noWrap/>
            <w:vAlign w:val="bottom"/>
            <w:hideMark/>
          </w:tcPr>
          <w:p w14:paraId="497AE558" w14:textId="22C102F8"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73,643 </w:t>
            </w:r>
          </w:p>
        </w:tc>
        <w:tc>
          <w:tcPr>
            <w:tcW w:w="996" w:type="dxa"/>
            <w:gridSpan w:val="3"/>
            <w:tcBorders>
              <w:top w:val="nil"/>
              <w:left w:val="nil"/>
              <w:bottom w:val="nil"/>
              <w:right w:val="nil"/>
            </w:tcBorders>
            <w:shd w:val="clear" w:color="auto" w:fill="auto"/>
            <w:noWrap/>
            <w:vAlign w:val="bottom"/>
            <w:hideMark/>
          </w:tcPr>
          <w:p w14:paraId="0ABD3917" w14:textId="2A3200C8"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63,336 </w:t>
            </w:r>
          </w:p>
        </w:tc>
        <w:tc>
          <w:tcPr>
            <w:tcW w:w="996" w:type="dxa"/>
            <w:gridSpan w:val="3"/>
            <w:tcBorders>
              <w:top w:val="nil"/>
              <w:left w:val="nil"/>
              <w:bottom w:val="nil"/>
              <w:right w:val="nil"/>
            </w:tcBorders>
            <w:shd w:val="clear" w:color="auto" w:fill="auto"/>
            <w:noWrap/>
            <w:vAlign w:val="bottom"/>
            <w:hideMark/>
          </w:tcPr>
          <w:p w14:paraId="1843CBD9" w14:textId="5BC695BA"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55,106 </w:t>
            </w:r>
          </w:p>
        </w:tc>
      </w:tr>
      <w:tr w:rsidR="003815D1" w:rsidRPr="00140D20" w14:paraId="103AD7CD" w14:textId="77777777" w:rsidTr="009F7308">
        <w:trPr>
          <w:gridAfter w:val="1"/>
          <w:wAfter w:w="8" w:type="dxa"/>
          <w:trHeight w:val="204"/>
        </w:trPr>
        <w:tc>
          <w:tcPr>
            <w:tcW w:w="2768" w:type="dxa"/>
            <w:gridSpan w:val="2"/>
            <w:tcBorders>
              <w:top w:val="nil"/>
              <w:left w:val="nil"/>
              <w:bottom w:val="nil"/>
              <w:right w:val="nil"/>
            </w:tcBorders>
            <w:shd w:val="clear" w:color="auto" w:fill="auto"/>
            <w:vAlign w:val="bottom"/>
            <w:hideMark/>
          </w:tcPr>
          <w:p w14:paraId="4292E4FB" w14:textId="77777777"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 xml:space="preserve">s74 external revenues </w:t>
            </w:r>
            <w:r w:rsidRPr="009F7308">
              <w:rPr>
                <w:rFonts w:ascii="Arial" w:hAnsi="Arial" w:cs="Arial"/>
                <w:sz w:val="16"/>
                <w:szCs w:val="16"/>
                <w:vertAlign w:val="superscript"/>
              </w:rPr>
              <w:t>(c)</w:t>
            </w:r>
          </w:p>
        </w:tc>
        <w:tc>
          <w:tcPr>
            <w:tcW w:w="934" w:type="dxa"/>
            <w:gridSpan w:val="2"/>
            <w:tcBorders>
              <w:top w:val="nil"/>
              <w:left w:val="nil"/>
              <w:bottom w:val="nil"/>
              <w:right w:val="nil"/>
            </w:tcBorders>
            <w:shd w:val="clear" w:color="auto" w:fill="auto"/>
            <w:noWrap/>
            <w:vAlign w:val="bottom"/>
            <w:hideMark/>
          </w:tcPr>
          <w:p w14:paraId="18674149" w14:textId="5CE4A1D0"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3,093 </w:t>
            </w:r>
          </w:p>
        </w:tc>
        <w:tc>
          <w:tcPr>
            <w:tcW w:w="996" w:type="dxa"/>
            <w:gridSpan w:val="3"/>
            <w:tcBorders>
              <w:top w:val="nil"/>
              <w:left w:val="nil"/>
              <w:bottom w:val="nil"/>
              <w:right w:val="nil"/>
            </w:tcBorders>
            <w:shd w:val="clear" w:color="000000" w:fill="E6E6E6"/>
            <w:noWrap/>
            <w:vAlign w:val="bottom"/>
            <w:hideMark/>
          </w:tcPr>
          <w:p w14:paraId="4C4047AA" w14:textId="5C9EF66F"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2,069 </w:t>
            </w:r>
          </w:p>
        </w:tc>
        <w:tc>
          <w:tcPr>
            <w:tcW w:w="996" w:type="dxa"/>
            <w:gridSpan w:val="3"/>
            <w:tcBorders>
              <w:top w:val="nil"/>
              <w:left w:val="nil"/>
              <w:bottom w:val="nil"/>
              <w:right w:val="nil"/>
            </w:tcBorders>
            <w:shd w:val="clear" w:color="auto" w:fill="auto"/>
            <w:noWrap/>
            <w:vAlign w:val="bottom"/>
            <w:hideMark/>
          </w:tcPr>
          <w:p w14:paraId="590A1CCC" w14:textId="745086E9"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1,958 </w:t>
            </w:r>
          </w:p>
        </w:tc>
        <w:tc>
          <w:tcPr>
            <w:tcW w:w="996" w:type="dxa"/>
            <w:gridSpan w:val="3"/>
            <w:tcBorders>
              <w:top w:val="nil"/>
              <w:left w:val="nil"/>
              <w:bottom w:val="nil"/>
              <w:right w:val="nil"/>
            </w:tcBorders>
            <w:shd w:val="clear" w:color="auto" w:fill="auto"/>
            <w:noWrap/>
            <w:vAlign w:val="bottom"/>
            <w:hideMark/>
          </w:tcPr>
          <w:p w14:paraId="73FFA85B" w14:textId="549BBB11"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2,155 </w:t>
            </w:r>
          </w:p>
        </w:tc>
        <w:tc>
          <w:tcPr>
            <w:tcW w:w="996" w:type="dxa"/>
            <w:gridSpan w:val="3"/>
            <w:tcBorders>
              <w:top w:val="nil"/>
              <w:left w:val="nil"/>
              <w:bottom w:val="nil"/>
              <w:right w:val="nil"/>
            </w:tcBorders>
            <w:shd w:val="clear" w:color="auto" w:fill="auto"/>
            <w:noWrap/>
            <w:vAlign w:val="bottom"/>
            <w:hideMark/>
          </w:tcPr>
          <w:p w14:paraId="31EA9AA1" w14:textId="25D363FB"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2,155 </w:t>
            </w:r>
          </w:p>
        </w:tc>
      </w:tr>
      <w:tr w:rsidR="003815D1" w:rsidRPr="00140D20" w14:paraId="24EC675E" w14:textId="77777777" w:rsidTr="009F7308">
        <w:trPr>
          <w:gridAfter w:val="1"/>
          <w:wAfter w:w="8" w:type="dxa"/>
          <w:trHeight w:val="204"/>
        </w:trPr>
        <w:tc>
          <w:tcPr>
            <w:tcW w:w="2768" w:type="dxa"/>
            <w:gridSpan w:val="2"/>
            <w:tcBorders>
              <w:top w:val="nil"/>
              <w:left w:val="nil"/>
              <w:bottom w:val="nil"/>
              <w:right w:val="nil"/>
            </w:tcBorders>
            <w:shd w:val="clear" w:color="auto" w:fill="auto"/>
            <w:vAlign w:val="bottom"/>
            <w:hideMark/>
          </w:tcPr>
          <w:p w14:paraId="3C7587A0" w14:textId="15F4723B"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Expenses not requiring appropriation in the Budget year  </w:t>
            </w:r>
            <w:r w:rsidRPr="009F7308">
              <w:rPr>
                <w:rFonts w:ascii="Arial" w:hAnsi="Arial" w:cs="Arial"/>
                <w:sz w:val="16"/>
                <w:szCs w:val="16"/>
                <w:vertAlign w:val="superscript"/>
              </w:rPr>
              <w:t>(d)</w:t>
            </w:r>
          </w:p>
        </w:tc>
        <w:tc>
          <w:tcPr>
            <w:tcW w:w="934" w:type="dxa"/>
            <w:gridSpan w:val="2"/>
            <w:tcBorders>
              <w:top w:val="nil"/>
              <w:left w:val="nil"/>
              <w:bottom w:val="nil"/>
              <w:right w:val="nil"/>
            </w:tcBorders>
            <w:shd w:val="clear" w:color="auto" w:fill="auto"/>
            <w:noWrap/>
            <w:vAlign w:val="bottom"/>
            <w:hideMark/>
          </w:tcPr>
          <w:p w14:paraId="03E0C8CA" w14:textId="15A4A153"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96" w:type="dxa"/>
            <w:gridSpan w:val="3"/>
            <w:tcBorders>
              <w:top w:val="nil"/>
              <w:left w:val="nil"/>
              <w:bottom w:val="nil"/>
              <w:right w:val="nil"/>
            </w:tcBorders>
            <w:shd w:val="clear" w:color="000000" w:fill="E6E6E6"/>
            <w:noWrap/>
            <w:vAlign w:val="bottom"/>
            <w:hideMark/>
          </w:tcPr>
          <w:p w14:paraId="6183A1AE" w14:textId="5ADC6104"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1,703 </w:t>
            </w:r>
          </w:p>
        </w:tc>
        <w:tc>
          <w:tcPr>
            <w:tcW w:w="996" w:type="dxa"/>
            <w:gridSpan w:val="3"/>
            <w:tcBorders>
              <w:top w:val="nil"/>
              <w:left w:val="nil"/>
              <w:bottom w:val="nil"/>
              <w:right w:val="nil"/>
            </w:tcBorders>
            <w:shd w:val="clear" w:color="auto" w:fill="auto"/>
            <w:noWrap/>
            <w:vAlign w:val="bottom"/>
            <w:hideMark/>
          </w:tcPr>
          <w:p w14:paraId="11DE882D" w14:textId="58A933CB"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1,608 </w:t>
            </w:r>
          </w:p>
        </w:tc>
        <w:tc>
          <w:tcPr>
            <w:tcW w:w="996" w:type="dxa"/>
            <w:gridSpan w:val="3"/>
            <w:tcBorders>
              <w:top w:val="nil"/>
              <w:left w:val="nil"/>
              <w:bottom w:val="nil"/>
              <w:right w:val="nil"/>
            </w:tcBorders>
            <w:shd w:val="clear" w:color="auto" w:fill="auto"/>
            <w:noWrap/>
            <w:vAlign w:val="bottom"/>
            <w:hideMark/>
          </w:tcPr>
          <w:p w14:paraId="211AD268" w14:textId="7EE93680"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1,566 </w:t>
            </w:r>
          </w:p>
        </w:tc>
        <w:tc>
          <w:tcPr>
            <w:tcW w:w="996" w:type="dxa"/>
            <w:gridSpan w:val="3"/>
            <w:tcBorders>
              <w:top w:val="nil"/>
              <w:left w:val="nil"/>
              <w:bottom w:val="nil"/>
              <w:right w:val="nil"/>
            </w:tcBorders>
            <w:shd w:val="clear" w:color="auto" w:fill="auto"/>
            <w:noWrap/>
            <w:vAlign w:val="bottom"/>
            <w:hideMark/>
          </w:tcPr>
          <w:p w14:paraId="1D06B221" w14:textId="572A7835"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1,689 </w:t>
            </w:r>
          </w:p>
        </w:tc>
      </w:tr>
      <w:tr w:rsidR="003815D1" w:rsidRPr="00140D20" w14:paraId="20E3C583" w14:textId="77777777" w:rsidTr="009F7308">
        <w:trPr>
          <w:gridAfter w:val="1"/>
          <w:wAfter w:w="8" w:type="dxa"/>
          <w:trHeight w:val="204"/>
        </w:trPr>
        <w:tc>
          <w:tcPr>
            <w:tcW w:w="2768" w:type="dxa"/>
            <w:gridSpan w:val="2"/>
            <w:tcBorders>
              <w:top w:val="nil"/>
              <w:left w:val="nil"/>
              <w:bottom w:val="nil"/>
              <w:right w:val="nil"/>
            </w:tcBorders>
            <w:shd w:val="clear" w:color="auto" w:fill="auto"/>
            <w:noWrap/>
            <w:vAlign w:val="bottom"/>
            <w:hideMark/>
          </w:tcPr>
          <w:p w14:paraId="1C4650A6" w14:textId="77777777" w:rsidR="003815D1" w:rsidRPr="009F7308" w:rsidRDefault="003815D1" w:rsidP="003815D1">
            <w:pPr>
              <w:spacing w:after="0" w:line="240" w:lineRule="auto"/>
              <w:jc w:val="left"/>
              <w:rPr>
                <w:rFonts w:ascii="Arial" w:hAnsi="Arial" w:cs="Arial"/>
                <w:b/>
                <w:bCs/>
                <w:sz w:val="16"/>
                <w:szCs w:val="16"/>
              </w:rPr>
            </w:pPr>
            <w:r w:rsidRPr="009F7308">
              <w:rPr>
                <w:rFonts w:ascii="Arial" w:hAnsi="Arial" w:cs="Arial"/>
                <w:b/>
                <w:bCs/>
                <w:sz w:val="16"/>
                <w:szCs w:val="16"/>
              </w:rPr>
              <w:t>Total expenses for Program 1.2</w:t>
            </w:r>
          </w:p>
        </w:tc>
        <w:tc>
          <w:tcPr>
            <w:tcW w:w="934" w:type="dxa"/>
            <w:gridSpan w:val="2"/>
            <w:tcBorders>
              <w:top w:val="single" w:sz="4" w:space="0" w:color="auto"/>
              <w:left w:val="nil"/>
              <w:bottom w:val="single" w:sz="4" w:space="0" w:color="auto"/>
              <w:right w:val="nil"/>
            </w:tcBorders>
            <w:shd w:val="clear" w:color="auto" w:fill="auto"/>
            <w:noWrap/>
            <w:vAlign w:val="bottom"/>
            <w:hideMark/>
          </w:tcPr>
          <w:p w14:paraId="5090BF6E" w14:textId="5CB2EA3D"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61,578 </w:t>
            </w:r>
          </w:p>
        </w:tc>
        <w:tc>
          <w:tcPr>
            <w:tcW w:w="996" w:type="dxa"/>
            <w:gridSpan w:val="3"/>
            <w:tcBorders>
              <w:top w:val="single" w:sz="4" w:space="0" w:color="auto"/>
              <w:left w:val="nil"/>
              <w:bottom w:val="single" w:sz="4" w:space="0" w:color="auto"/>
              <w:right w:val="nil"/>
            </w:tcBorders>
            <w:shd w:val="clear" w:color="000000" w:fill="E6E6E6"/>
            <w:noWrap/>
            <w:vAlign w:val="bottom"/>
            <w:hideMark/>
          </w:tcPr>
          <w:p w14:paraId="5C0CB19B" w14:textId="2F57FF5E"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79,409 </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6E066E8F" w14:textId="53381A7A"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77,209 </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07CC4955" w14:textId="3C3C9F9C"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67,057 </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4325EC37" w14:textId="06E6F07F"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58,950 </w:t>
            </w:r>
          </w:p>
        </w:tc>
      </w:tr>
      <w:tr w:rsidR="00766815" w:rsidRPr="00140D20" w14:paraId="43A5F840" w14:textId="77777777" w:rsidTr="00622B48">
        <w:trPr>
          <w:trHeight w:val="204"/>
        </w:trPr>
        <w:tc>
          <w:tcPr>
            <w:tcW w:w="7694" w:type="dxa"/>
            <w:gridSpan w:val="17"/>
            <w:tcBorders>
              <w:top w:val="single" w:sz="4" w:space="0" w:color="auto"/>
              <w:left w:val="nil"/>
              <w:bottom w:val="single" w:sz="4" w:space="0" w:color="auto"/>
              <w:right w:val="nil"/>
            </w:tcBorders>
            <w:shd w:val="clear" w:color="000000" w:fill="E6E6E6"/>
            <w:noWrap/>
            <w:vAlign w:val="bottom"/>
            <w:hideMark/>
          </w:tcPr>
          <w:p w14:paraId="494A54DA" w14:textId="100CBFFD" w:rsidR="00766815" w:rsidRPr="00140D20" w:rsidRDefault="00766815" w:rsidP="00766815">
            <w:pPr>
              <w:spacing w:after="20" w:line="240" w:lineRule="auto"/>
              <w:jc w:val="left"/>
              <w:rPr>
                <w:rFonts w:ascii="Arial" w:hAnsi="Arial" w:cs="Arial"/>
                <w:sz w:val="16"/>
                <w:szCs w:val="16"/>
              </w:rPr>
            </w:pPr>
            <w:r w:rsidRPr="00140D20">
              <w:rPr>
                <w:rFonts w:ascii="Arial" w:hAnsi="Arial" w:cs="Arial"/>
                <w:b/>
                <w:bCs/>
                <w:sz w:val="16"/>
                <w:szCs w:val="16"/>
              </w:rPr>
              <w:t>Outcome 1 Totals by appropriation type</w:t>
            </w:r>
            <w:r w:rsidRPr="00140D20">
              <w:rPr>
                <w:rFonts w:ascii="Arial" w:hAnsi="Arial" w:cs="Arial"/>
                <w:sz w:val="16"/>
                <w:szCs w:val="16"/>
              </w:rPr>
              <w:t> </w:t>
            </w:r>
          </w:p>
        </w:tc>
      </w:tr>
      <w:tr w:rsidR="00140D20" w:rsidRPr="00140D20" w14:paraId="6B21635E" w14:textId="77777777" w:rsidTr="009F7308">
        <w:trPr>
          <w:trHeight w:val="204"/>
        </w:trPr>
        <w:tc>
          <w:tcPr>
            <w:tcW w:w="2694" w:type="dxa"/>
            <w:tcBorders>
              <w:top w:val="nil"/>
              <w:left w:val="nil"/>
              <w:bottom w:val="nil"/>
              <w:right w:val="nil"/>
            </w:tcBorders>
            <w:shd w:val="clear" w:color="auto" w:fill="auto"/>
            <w:noWrap/>
            <w:vAlign w:val="bottom"/>
            <w:hideMark/>
          </w:tcPr>
          <w:p w14:paraId="51318CE9" w14:textId="77777777" w:rsidR="00140D20" w:rsidRPr="009F7308" w:rsidRDefault="00140D20" w:rsidP="00140D20">
            <w:pPr>
              <w:spacing w:after="0" w:line="240" w:lineRule="auto"/>
              <w:jc w:val="left"/>
              <w:rPr>
                <w:rFonts w:ascii="Arial" w:hAnsi="Arial" w:cs="Arial"/>
                <w:sz w:val="16"/>
                <w:szCs w:val="16"/>
              </w:rPr>
            </w:pPr>
            <w:r w:rsidRPr="009F7308">
              <w:rPr>
                <w:rFonts w:ascii="Arial" w:hAnsi="Arial" w:cs="Arial"/>
                <w:sz w:val="16"/>
                <w:szCs w:val="16"/>
              </w:rPr>
              <w:t>Administered expenses</w:t>
            </w:r>
          </w:p>
        </w:tc>
        <w:tc>
          <w:tcPr>
            <w:tcW w:w="1016" w:type="dxa"/>
            <w:gridSpan w:val="4"/>
            <w:tcBorders>
              <w:top w:val="nil"/>
              <w:left w:val="nil"/>
              <w:bottom w:val="nil"/>
              <w:right w:val="nil"/>
            </w:tcBorders>
            <w:shd w:val="clear" w:color="auto" w:fill="auto"/>
            <w:noWrap/>
            <w:vAlign w:val="bottom"/>
            <w:hideMark/>
          </w:tcPr>
          <w:p w14:paraId="74F7A26E" w14:textId="77777777" w:rsidR="00140D20" w:rsidRPr="009F7308" w:rsidRDefault="00140D20" w:rsidP="000E73A8">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000000" w:fill="E6E6E6"/>
            <w:noWrap/>
            <w:vAlign w:val="bottom"/>
            <w:hideMark/>
          </w:tcPr>
          <w:p w14:paraId="5B1F435B" w14:textId="1A169BC6" w:rsidR="00140D20" w:rsidRPr="009F7308" w:rsidRDefault="00140D20" w:rsidP="000E73A8">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5967DB64" w14:textId="77777777" w:rsidR="00140D20" w:rsidRPr="009F7308" w:rsidRDefault="00140D20" w:rsidP="000E73A8">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0058634C" w14:textId="77777777" w:rsidR="00140D20" w:rsidRPr="009F7308" w:rsidRDefault="00140D20" w:rsidP="000E73A8">
            <w:pPr>
              <w:spacing w:after="0" w:line="240" w:lineRule="auto"/>
              <w:jc w:val="right"/>
              <w:rPr>
                <w:rFonts w:ascii="Times New Roman" w:hAnsi="Times New Roman"/>
                <w:sz w:val="16"/>
                <w:szCs w:val="16"/>
              </w:rPr>
            </w:pPr>
          </w:p>
        </w:tc>
        <w:tc>
          <w:tcPr>
            <w:tcW w:w="996" w:type="dxa"/>
            <w:gridSpan w:val="3"/>
            <w:tcBorders>
              <w:top w:val="nil"/>
              <w:left w:val="nil"/>
              <w:bottom w:val="nil"/>
              <w:right w:val="nil"/>
            </w:tcBorders>
            <w:shd w:val="clear" w:color="auto" w:fill="auto"/>
            <w:noWrap/>
            <w:vAlign w:val="bottom"/>
            <w:hideMark/>
          </w:tcPr>
          <w:p w14:paraId="59E61786" w14:textId="77777777" w:rsidR="00140D20" w:rsidRPr="009F7308" w:rsidRDefault="00140D20" w:rsidP="000E73A8">
            <w:pPr>
              <w:spacing w:after="0" w:line="240" w:lineRule="auto"/>
              <w:jc w:val="right"/>
              <w:rPr>
                <w:rFonts w:ascii="Times New Roman" w:hAnsi="Times New Roman"/>
                <w:sz w:val="16"/>
                <w:szCs w:val="16"/>
              </w:rPr>
            </w:pPr>
          </w:p>
        </w:tc>
      </w:tr>
      <w:tr w:rsidR="003815D1" w:rsidRPr="00140D20" w14:paraId="3F9282B8" w14:textId="77777777" w:rsidTr="009F7308">
        <w:trPr>
          <w:trHeight w:val="204"/>
        </w:trPr>
        <w:tc>
          <w:tcPr>
            <w:tcW w:w="2694" w:type="dxa"/>
            <w:tcBorders>
              <w:top w:val="nil"/>
              <w:left w:val="nil"/>
              <w:bottom w:val="nil"/>
              <w:right w:val="nil"/>
            </w:tcBorders>
            <w:shd w:val="clear" w:color="auto" w:fill="auto"/>
            <w:vAlign w:val="bottom"/>
            <w:hideMark/>
          </w:tcPr>
          <w:p w14:paraId="7AEE06C1" w14:textId="77777777"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Ordinary Annual Services (Appropriation Act No. 1 and Bill No. 3)</w:t>
            </w:r>
          </w:p>
        </w:tc>
        <w:tc>
          <w:tcPr>
            <w:tcW w:w="1016" w:type="dxa"/>
            <w:gridSpan w:val="4"/>
            <w:tcBorders>
              <w:top w:val="nil"/>
              <w:left w:val="nil"/>
              <w:bottom w:val="nil"/>
              <w:right w:val="nil"/>
            </w:tcBorders>
            <w:shd w:val="clear" w:color="auto" w:fill="auto"/>
            <w:noWrap/>
            <w:vAlign w:val="bottom"/>
            <w:hideMark/>
          </w:tcPr>
          <w:p w14:paraId="188612D3" w14:textId="60F45680"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209,334 </w:t>
            </w:r>
          </w:p>
        </w:tc>
        <w:tc>
          <w:tcPr>
            <w:tcW w:w="996" w:type="dxa"/>
            <w:gridSpan w:val="3"/>
            <w:tcBorders>
              <w:top w:val="nil"/>
              <w:left w:val="nil"/>
              <w:bottom w:val="nil"/>
              <w:right w:val="nil"/>
            </w:tcBorders>
            <w:shd w:val="clear" w:color="000000" w:fill="E6E6E6"/>
            <w:noWrap/>
            <w:vAlign w:val="bottom"/>
            <w:hideMark/>
          </w:tcPr>
          <w:p w14:paraId="6A8CF41A" w14:textId="65843ACA"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440,011 </w:t>
            </w:r>
          </w:p>
        </w:tc>
        <w:tc>
          <w:tcPr>
            <w:tcW w:w="996" w:type="dxa"/>
            <w:gridSpan w:val="3"/>
            <w:tcBorders>
              <w:top w:val="nil"/>
              <w:left w:val="nil"/>
              <w:bottom w:val="nil"/>
              <w:right w:val="nil"/>
            </w:tcBorders>
            <w:shd w:val="clear" w:color="auto" w:fill="auto"/>
            <w:noWrap/>
            <w:vAlign w:val="bottom"/>
            <w:hideMark/>
          </w:tcPr>
          <w:p w14:paraId="3C7D8647" w14:textId="7F7DAA01"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203,516 </w:t>
            </w:r>
          </w:p>
        </w:tc>
        <w:tc>
          <w:tcPr>
            <w:tcW w:w="996" w:type="dxa"/>
            <w:gridSpan w:val="3"/>
            <w:tcBorders>
              <w:top w:val="nil"/>
              <w:left w:val="nil"/>
              <w:bottom w:val="nil"/>
              <w:right w:val="nil"/>
            </w:tcBorders>
            <w:shd w:val="clear" w:color="auto" w:fill="auto"/>
            <w:noWrap/>
            <w:vAlign w:val="bottom"/>
            <w:hideMark/>
          </w:tcPr>
          <w:p w14:paraId="36951CCC" w14:textId="1ABF3D26"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26,378 </w:t>
            </w:r>
          </w:p>
        </w:tc>
        <w:tc>
          <w:tcPr>
            <w:tcW w:w="996" w:type="dxa"/>
            <w:gridSpan w:val="3"/>
            <w:tcBorders>
              <w:top w:val="nil"/>
              <w:left w:val="nil"/>
              <w:bottom w:val="nil"/>
              <w:right w:val="nil"/>
            </w:tcBorders>
            <w:shd w:val="clear" w:color="auto" w:fill="auto"/>
            <w:noWrap/>
            <w:vAlign w:val="bottom"/>
            <w:hideMark/>
          </w:tcPr>
          <w:p w14:paraId="117E9122" w14:textId="5DFFDCD2"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21,483 </w:t>
            </w:r>
          </w:p>
        </w:tc>
      </w:tr>
      <w:tr w:rsidR="003815D1" w:rsidRPr="00140D20" w14:paraId="5CF3842A" w14:textId="77777777" w:rsidTr="009F7308">
        <w:trPr>
          <w:trHeight w:val="204"/>
        </w:trPr>
        <w:tc>
          <w:tcPr>
            <w:tcW w:w="2694" w:type="dxa"/>
            <w:tcBorders>
              <w:top w:val="nil"/>
              <w:left w:val="nil"/>
              <w:bottom w:val="nil"/>
              <w:right w:val="nil"/>
            </w:tcBorders>
            <w:shd w:val="clear" w:color="auto" w:fill="auto"/>
            <w:vAlign w:val="bottom"/>
            <w:hideMark/>
          </w:tcPr>
          <w:p w14:paraId="72AD9D9D" w14:textId="77777777"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Other Services (Appropriation Act No. 2 and Bill No. 4)</w:t>
            </w:r>
          </w:p>
        </w:tc>
        <w:tc>
          <w:tcPr>
            <w:tcW w:w="1016" w:type="dxa"/>
            <w:gridSpan w:val="4"/>
            <w:tcBorders>
              <w:top w:val="nil"/>
              <w:left w:val="nil"/>
              <w:bottom w:val="nil"/>
              <w:right w:val="nil"/>
            </w:tcBorders>
            <w:shd w:val="clear" w:color="auto" w:fill="auto"/>
            <w:noWrap/>
            <w:vAlign w:val="bottom"/>
            <w:hideMark/>
          </w:tcPr>
          <w:p w14:paraId="098488E6" w14:textId="6656A1C5"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591,803 </w:t>
            </w:r>
          </w:p>
        </w:tc>
        <w:tc>
          <w:tcPr>
            <w:tcW w:w="996" w:type="dxa"/>
            <w:gridSpan w:val="3"/>
            <w:tcBorders>
              <w:top w:val="nil"/>
              <w:left w:val="nil"/>
              <w:bottom w:val="nil"/>
              <w:right w:val="nil"/>
            </w:tcBorders>
            <w:shd w:val="clear" w:color="000000" w:fill="E6E6E6"/>
            <w:noWrap/>
            <w:vAlign w:val="bottom"/>
            <w:hideMark/>
          </w:tcPr>
          <w:p w14:paraId="3C849295" w14:textId="33FD569D"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499,516 </w:t>
            </w:r>
          </w:p>
        </w:tc>
        <w:tc>
          <w:tcPr>
            <w:tcW w:w="996" w:type="dxa"/>
            <w:gridSpan w:val="3"/>
            <w:tcBorders>
              <w:top w:val="nil"/>
              <w:left w:val="nil"/>
              <w:bottom w:val="nil"/>
              <w:right w:val="nil"/>
            </w:tcBorders>
            <w:shd w:val="clear" w:color="auto" w:fill="auto"/>
            <w:noWrap/>
            <w:vAlign w:val="bottom"/>
            <w:hideMark/>
          </w:tcPr>
          <w:p w14:paraId="44F82C5B" w14:textId="623CA6D9"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490,881 </w:t>
            </w:r>
          </w:p>
        </w:tc>
        <w:tc>
          <w:tcPr>
            <w:tcW w:w="996" w:type="dxa"/>
            <w:gridSpan w:val="3"/>
            <w:tcBorders>
              <w:top w:val="nil"/>
              <w:left w:val="nil"/>
              <w:bottom w:val="nil"/>
              <w:right w:val="nil"/>
            </w:tcBorders>
            <w:shd w:val="clear" w:color="auto" w:fill="auto"/>
            <w:noWrap/>
            <w:vAlign w:val="bottom"/>
            <w:hideMark/>
          </w:tcPr>
          <w:p w14:paraId="7FCA6ACF" w14:textId="79B0A96B"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485,306 </w:t>
            </w:r>
          </w:p>
        </w:tc>
        <w:tc>
          <w:tcPr>
            <w:tcW w:w="996" w:type="dxa"/>
            <w:gridSpan w:val="3"/>
            <w:tcBorders>
              <w:top w:val="nil"/>
              <w:left w:val="nil"/>
              <w:bottom w:val="nil"/>
              <w:right w:val="nil"/>
            </w:tcBorders>
            <w:shd w:val="clear" w:color="auto" w:fill="auto"/>
            <w:noWrap/>
            <w:vAlign w:val="bottom"/>
            <w:hideMark/>
          </w:tcPr>
          <w:p w14:paraId="1370798B" w14:textId="53D5FBCA"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499,516 </w:t>
            </w:r>
          </w:p>
        </w:tc>
      </w:tr>
      <w:tr w:rsidR="003815D1" w:rsidRPr="00140D20" w14:paraId="20DB1D74" w14:textId="77777777" w:rsidTr="009F7308">
        <w:trPr>
          <w:trHeight w:val="204"/>
        </w:trPr>
        <w:tc>
          <w:tcPr>
            <w:tcW w:w="2694" w:type="dxa"/>
            <w:tcBorders>
              <w:top w:val="nil"/>
              <w:left w:val="nil"/>
              <w:bottom w:val="nil"/>
              <w:right w:val="nil"/>
            </w:tcBorders>
            <w:shd w:val="clear" w:color="auto" w:fill="auto"/>
            <w:noWrap/>
            <w:vAlign w:val="bottom"/>
            <w:hideMark/>
          </w:tcPr>
          <w:p w14:paraId="052221B8" w14:textId="66D92B91"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Payments to corporate entities </w:t>
            </w:r>
            <w:r w:rsidRPr="009F7308">
              <w:rPr>
                <w:rFonts w:ascii="Arial" w:hAnsi="Arial" w:cs="Arial"/>
                <w:sz w:val="16"/>
                <w:szCs w:val="16"/>
                <w:vertAlign w:val="superscript"/>
              </w:rPr>
              <w:t>(a)</w:t>
            </w:r>
          </w:p>
        </w:tc>
        <w:tc>
          <w:tcPr>
            <w:tcW w:w="1016" w:type="dxa"/>
            <w:gridSpan w:val="4"/>
            <w:tcBorders>
              <w:top w:val="nil"/>
              <w:left w:val="nil"/>
              <w:bottom w:val="nil"/>
              <w:right w:val="nil"/>
            </w:tcBorders>
            <w:shd w:val="clear" w:color="auto" w:fill="auto"/>
            <w:noWrap/>
            <w:vAlign w:val="bottom"/>
            <w:hideMark/>
          </w:tcPr>
          <w:p w14:paraId="097436E3" w14:textId="72BED179"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15,419 </w:t>
            </w:r>
          </w:p>
        </w:tc>
        <w:tc>
          <w:tcPr>
            <w:tcW w:w="996" w:type="dxa"/>
            <w:gridSpan w:val="3"/>
            <w:tcBorders>
              <w:top w:val="nil"/>
              <w:left w:val="nil"/>
              <w:bottom w:val="nil"/>
              <w:right w:val="nil"/>
            </w:tcBorders>
            <w:shd w:val="clear" w:color="000000" w:fill="E6E6E6"/>
            <w:noWrap/>
            <w:vAlign w:val="bottom"/>
            <w:hideMark/>
          </w:tcPr>
          <w:p w14:paraId="4A6A47EE" w14:textId="77297C21"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12,853 </w:t>
            </w:r>
          </w:p>
        </w:tc>
        <w:tc>
          <w:tcPr>
            <w:tcW w:w="996" w:type="dxa"/>
            <w:gridSpan w:val="3"/>
            <w:tcBorders>
              <w:top w:val="nil"/>
              <w:left w:val="nil"/>
              <w:bottom w:val="nil"/>
              <w:right w:val="nil"/>
            </w:tcBorders>
            <w:shd w:val="clear" w:color="auto" w:fill="auto"/>
            <w:noWrap/>
            <w:vAlign w:val="bottom"/>
            <w:hideMark/>
          </w:tcPr>
          <w:p w14:paraId="6A564868" w14:textId="4E951045"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12,689 </w:t>
            </w:r>
          </w:p>
        </w:tc>
        <w:tc>
          <w:tcPr>
            <w:tcW w:w="996" w:type="dxa"/>
            <w:gridSpan w:val="3"/>
            <w:tcBorders>
              <w:top w:val="nil"/>
              <w:left w:val="nil"/>
              <w:bottom w:val="nil"/>
              <w:right w:val="nil"/>
            </w:tcBorders>
            <w:shd w:val="clear" w:color="auto" w:fill="auto"/>
            <w:noWrap/>
            <w:vAlign w:val="bottom"/>
            <w:hideMark/>
          </w:tcPr>
          <w:p w14:paraId="0B249A8C" w14:textId="12F1BD54"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12,760 </w:t>
            </w:r>
          </w:p>
        </w:tc>
        <w:tc>
          <w:tcPr>
            <w:tcW w:w="996" w:type="dxa"/>
            <w:gridSpan w:val="3"/>
            <w:tcBorders>
              <w:top w:val="nil"/>
              <w:left w:val="nil"/>
              <w:bottom w:val="nil"/>
              <w:right w:val="nil"/>
            </w:tcBorders>
            <w:shd w:val="clear" w:color="auto" w:fill="auto"/>
            <w:noWrap/>
            <w:vAlign w:val="bottom"/>
            <w:hideMark/>
          </w:tcPr>
          <w:p w14:paraId="16499B65" w14:textId="1032A494"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12,856 </w:t>
            </w:r>
          </w:p>
        </w:tc>
      </w:tr>
      <w:tr w:rsidR="003815D1" w:rsidRPr="00140D20" w14:paraId="75066426" w14:textId="77777777" w:rsidTr="009F7308">
        <w:trPr>
          <w:trHeight w:val="204"/>
        </w:trPr>
        <w:tc>
          <w:tcPr>
            <w:tcW w:w="2694" w:type="dxa"/>
            <w:tcBorders>
              <w:top w:val="nil"/>
              <w:left w:val="nil"/>
              <w:right w:val="nil"/>
            </w:tcBorders>
            <w:shd w:val="clear" w:color="auto" w:fill="auto"/>
            <w:vAlign w:val="bottom"/>
            <w:hideMark/>
          </w:tcPr>
          <w:p w14:paraId="1105A19E" w14:textId="7A4A1786" w:rsidR="003815D1" w:rsidRPr="009F7308" w:rsidRDefault="003815D1" w:rsidP="003815D1">
            <w:pPr>
              <w:spacing w:after="0" w:line="240" w:lineRule="auto"/>
              <w:ind w:left="113"/>
              <w:jc w:val="left"/>
              <w:rPr>
                <w:rFonts w:ascii="Arial" w:hAnsi="Arial" w:cs="Arial"/>
                <w:sz w:val="16"/>
                <w:szCs w:val="16"/>
              </w:rPr>
            </w:pPr>
            <w:r w:rsidRPr="009F7308">
              <w:rPr>
                <w:rFonts w:ascii="Arial" w:hAnsi="Arial" w:cs="Arial"/>
                <w:sz w:val="16"/>
                <w:szCs w:val="16"/>
              </w:rPr>
              <w:t>Expenses not requiring appropriation in the Budget year </w:t>
            </w:r>
            <w:r w:rsidRPr="009F7308">
              <w:rPr>
                <w:rFonts w:ascii="Arial" w:hAnsi="Arial" w:cs="Arial"/>
                <w:sz w:val="16"/>
                <w:szCs w:val="16"/>
                <w:vertAlign w:val="superscript"/>
              </w:rPr>
              <w:t>(b)</w:t>
            </w:r>
          </w:p>
        </w:tc>
        <w:tc>
          <w:tcPr>
            <w:tcW w:w="1016" w:type="dxa"/>
            <w:gridSpan w:val="4"/>
            <w:tcBorders>
              <w:top w:val="nil"/>
              <w:left w:val="nil"/>
              <w:bottom w:val="nil"/>
              <w:right w:val="nil"/>
            </w:tcBorders>
            <w:shd w:val="clear" w:color="auto" w:fill="auto"/>
            <w:noWrap/>
            <w:vAlign w:val="bottom"/>
            <w:hideMark/>
          </w:tcPr>
          <w:p w14:paraId="2015DFE6" w14:textId="1A38461F"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42,013 </w:t>
            </w:r>
          </w:p>
        </w:tc>
        <w:tc>
          <w:tcPr>
            <w:tcW w:w="996" w:type="dxa"/>
            <w:gridSpan w:val="3"/>
            <w:tcBorders>
              <w:top w:val="nil"/>
              <w:left w:val="nil"/>
              <w:bottom w:val="nil"/>
              <w:right w:val="nil"/>
            </w:tcBorders>
            <w:shd w:val="clear" w:color="auto" w:fill="E6E6E6"/>
            <w:noWrap/>
            <w:vAlign w:val="bottom"/>
            <w:hideMark/>
          </w:tcPr>
          <w:p w14:paraId="023B488F" w14:textId="61B06ED2"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1,531 </w:t>
            </w:r>
          </w:p>
        </w:tc>
        <w:tc>
          <w:tcPr>
            <w:tcW w:w="996" w:type="dxa"/>
            <w:gridSpan w:val="3"/>
            <w:tcBorders>
              <w:top w:val="nil"/>
              <w:left w:val="nil"/>
              <w:bottom w:val="nil"/>
              <w:right w:val="nil"/>
            </w:tcBorders>
            <w:shd w:val="clear" w:color="auto" w:fill="auto"/>
            <w:noWrap/>
            <w:vAlign w:val="bottom"/>
            <w:hideMark/>
          </w:tcPr>
          <w:p w14:paraId="375B4CCC" w14:textId="194CBB09"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96" w:type="dxa"/>
            <w:gridSpan w:val="3"/>
            <w:tcBorders>
              <w:top w:val="nil"/>
              <w:left w:val="nil"/>
              <w:bottom w:val="nil"/>
              <w:right w:val="nil"/>
            </w:tcBorders>
            <w:shd w:val="clear" w:color="auto" w:fill="auto"/>
            <w:noWrap/>
            <w:vAlign w:val="bottom"/>
            <w:hideMark/>
          </w:tcPr>
          <w:p w14:paraId="449E0674" w14:textId="10C9387D"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96" w:type="dxa"/>
            <w:gridSpan w:val="3"/>
            <w:tcBorders>
              <w:top w:val="nil"/>
              <w:left w:val="nil"/>
              <w:bottom w:val="nil"/>
              <w:right w:val="nil"/>
            </w:tcBorders>
            <w:shd w:val="clear" w:color="auto" w:fill="auto"/>
            <w:noWrap/>
            <w:vAlign w:val="bottom"/>
            <w:hideMark/>
          </w:tcPr>
          <w:p w14:paraId="7D6A6089" w14:textId="24EF3C61" w:rsidR="003815D1" w:rsidRPr="009F730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140D20" w14:paraId="1F535BA9" w14:textId="77777777" w:rsidTr="009F7308">
        <w:trPr>
          <w:trHeight w:val="204"/>
        </w:trPr>
        <w:tc>
          <w:tcPr>
            <w:tcW w:w="2694" w:type="dxa"/>
            <w:tcBorders>
              <w:top w:val="nil"/>
              <w:left w:val="nil"/>
              <w:bottom w:val="single" w:sz="4" w:space="0" w:color="auto"/>
              <w:right w:val="nil"/>
            </w:tcBorders>
            <w:shd w:val="clear" w:color="auto" w:fill="auto"/>
            <w:vAlign w:val="bottom"/>
            <w:hideMark/>
          </w:tcPr>
          <w:p w14:paraId="113CF3BA" w14:textId="031266C1" w:rsidR="003815D1" w:rsidRPr="009F7308" w:rsidRDefault="003815D1" w:rsidP="003815D1">
            <w:pPr>
              <w:spacing w:after="0" w:line="240" w:lineRule="auto"/>
              <w:ind w:left="227"/>
              <w:jc w:val="right"/>
              <w:rPr>
                <w:rFonts w:ascii="Arial" w:hAnsi="Arial" w:cs="Arial"/>
                <w:b/>
                <w:bCs/>
                <w:sz w:val="16"/>
                <w:szCs w:val="16"/>
              </w:rPr>
            </w:pPr>
            <w:r w:rsidRPr="009F7308">
              <w:rPr>
                <w:rFonts w:ascii="Arial" w:hAnsi="Arial" w:cs="Arial"/>
                <w:b/>
                <w:bCs/>
                <w:sz w:val="16"/>
                <w:szCs w:val="16"/>
              </w:rPr>
              <w:t>Total Administered expenses</w:t>
            </w:r>
          </w:p>
        </w:tc>
        <w:tc>
          <w:tcPr>
            <w:tcW w:w="1016" w:type="dxa"/>
            <w:gridSpan w:val="4"/>
            <w:tcBorders>
              <w:top w:val="single" w:sz="4" w:space="0" w:color="auto"/>
              <w:left w:val="nil"/>
              <w:bottom w:val="single" w:sz="4" w:space="0" w:color="auto"/>
              <w:right w:val="nil"/>
            </w:tcBorders>
            <w:shd w:val="clear" w:color="auto" w:fill="auto"/>
            <w:noWrap/>
            <w:vAlign w:val="bottom"/>
            <w:hideMark/>
          </w:tcPr>
          <w:p w14:paraId="6A5EEC07" w14:textId="65364233"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858,569 </w:t>
            </w:r>
          </w:p>
        </w:tc>
        <w:tc>
          <w:tcPr>
            <w:tcW w:w="996" w:type="dxa"/>
            <w:gridSpan w:val="3"/>
            <w:tcBorders>
              <w:top w:val="single" w:sz="4" w:space="0" w:color="auto"/>
              <w:left w:val="nil"/>
              <w:bottom w:val="single" w:sz="4" w:space="0" w:color="auto"/>
              <w:right w:val="nil"/>
            </w:tcBorders>
            <w:shd w:val="clear" w:color="auto" w:fill="E6E6E6"/>
            <w:noWrap/>
            <w:vAlign w:val="bottom"/>
            <w:hideMark/>
          </w:tcPr>
          <w:p w14:paraId="5691B0FE" w14:textId="414C778B"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953,911 </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2E3FE20E" w14:textId="78BAD227"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707,086 </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63D00E7F" w14:textId="201BC686"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524,444 </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3FC90F0E" w14:textId="466B39E6" w:rsidR="003815D1" w:rsidRPr="009F730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533,855 </w:t>
            </w:r>
          </w:p>
        </w:tc>
      </w:tr>
    </w:tbl>
    <w:p w14:paraId="0B9AE840" w14:textId="618B9626" w:rsidR="009F7308" w:rsidRDefault="009F7308" w:rsidP="009F7308">
      <w:pPr>
        <w:pStyle w:val="TableHeading"/>
      </w:pPr>
      <w:r w:rsidRPr="00DA613F">
        <w:lastRenderedPageBreak/>
        <w:t>Table 2.</w:t>
      </w:r>
      <w:r>
        <w:t>2</w:t>
      </w:r>
      <w:r w:rsidRPr="00DA613F">
        <w:t>.1 Budgeted expenses for Outcome 1 (continued)</w:t>
      </w:r>
    </w:p>
    <w:tbl>
      <w:tblPr>
        <w:tblW w:w="0" w:type="auto"/>
        <w:tblLayout w:type="fixed"/>
        <w:tblLook w:val="04A0" w:firstRow="1" w:lastRow="0" w:firstColumn="1" w:lastColumn="0" w:noHBand="0" w:noVBand="1"/>
      </w:tblPr>
      <w:tblGrid>
        <w:gridCol w:w="2694"/>
        <w:gridCol w:w="992"/>
        <w:gridCol w:w="992"/>
        <w:gridCol w:w="970"/>
        <w:gridCol w:w="54"/>
        <w:gridCol w:w="923"/>
        <w:gridCol w:w="73"/>
        <w:gridCol w:w="904"/>
        <w:gridCol w:w="92"/>
      </w:tblGrid>
      <w:tr w:rsidR="00FB18CA" w:rsidRPr="00140D20" w14:paraId="2F533F88" w14:textId="77777777" w:rsidTr="009F7308">
        <w:trPr>
          <w:gridAfter w:val="1"/>
          <w:wAfter w:w="92" w:type="dxa"/>
          <w:trHeight w:val="204"/>
        </w:trPr>
        <w:tc>
          <w:tcPr>
            <w:tcW w:w="2694" w:type="dxa"/>
            <w:tcBorders>
              <w:top w:val="single" w:sz="4" w:space="0" w:color="auto"/>
              <w:left w:val="nil"/>
              <w:bottom w:val="nil"/>
              <w:right w:val="nil"/>
            </w:tcBorders>
            <w:shd w:val="clear" w:color="auto" w:fill="auto"/>
            <w:noWrap/>
            <w:vAlign w:val="bottom"/>
            <w:hideMark/>
          </w:tcPr>
          <w:p w14:paraId="04419EAA" w14:textId="77777777" w:rsidR="00FB18CA" w:rsidRPr="00140D20" w:rsidRDefault="00FB18CA" w:rsidP="00FB18CA">
            <w:pPr>
              <w:spacing w:after="0" w:line="240" w:lineRule="auto"/>
              <w:jc w:val="left"/>
              <w:rPr>
                <w:rFonts w:ascii="Arial" w:hAnsi="Arial" w:cs="Arial"/>
                <w:sz w:val="16"/>
                <w:szCs w:val="16"/>
              </w:rPr>
            </w:pPr>
            <w:r w:rsidRPr="00140D20">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64708DC3" w14:textId="2F022109" w:rsidR="00FB18CA" w:rsidRPr="00140D20" w:rsidRDefault="00FB18CA" w:rsidP="00FB18CA">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92" w:type="dxa"/>
            <w:tcBorders>
              <w:top w:val="single" w:sz="4" w:space="0" w:color="auto"/>
              <w:left w:val="nil"/>
              <w:bottom w:val="single" w:sz="4" w:space="0" w:color="auto"/>
              <w:right w:val="nil"/>
            </w:tcBorders>
            <w:shd w:val="clear" w:color="000000" w:fill="E6E6E6"/>
            <w:vAlign w:val="bottom"/>
            <w:hideMark/>
          </w:tcPr>
          <w:p w14:paraId="4CFB5FE9" w14:textId="20006B75" w:rsidR="00FB18CA" w:rsidRPr="00140D20" w:rsidRDefault="00FB18CA" w:rsidP="00FB18CA">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70" w:type="dxa"/>
            <w:tcBorders>
              <w:top w:val="single" w:sz="4" w:space="0" w:color="auto"/>
              <w:left w:val="nil"/>
              <w:bottom w:val="single" w:sz="4" w:space="0" w:color="auto"/>
              <w:right w:val="nil"/>
            </w:tcBorders>
            <w:shd w:val="clear" w:color="auto" w:fill="auto"/>
            <w:vAlign w:val="bottom"/>
            <w:hideMark/>
          </w:tcPr>
          <w:p w14:paraId="629B40F7" w14:textId="374B54F5" w:rsidR="00FB18CA" w:rsidRPr="00140D20" w:rsidRDefault="00FB18CA" w:rsidP="00FB18CA">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77" w:type="dxa"/>
            <w:gridSpan w:val="2"/>
            <w:tcBorders>
              <w:top w:val="single" w:sz="4" w:space="0" w:color="auto"/>
              <w:left w:val="nil"/>
              <w:bottom w:val="single" w:sz="4" w:space="0" w:color="auto"/>
              <w:right w:val="nil"/>
            </w:tcBorders>
            <w:shd w:val="clear" w:color="auto" w:fill="auto"/>
            <w:vAlign w:val="bottom"/>
            <w:hideMark/>
          </w:tcPr>
          <w:p w14:paraId="79181CF8" w14:textId="0B52AD29" w:rsidR="00FB18CA" w:rsidRPr="00140D20" w:rsidRDefault="00FB18CA" w:rsidP="00FB18CA">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77" w:type="dxa"/>
            <w:gridSpan w:val="2"/>
            <w:tcBorders>
              <w:top w:val="single" w:sz="4" w:space="0" w:color="auto"/>
              <w:left w:val="nil"/>
              <w:bottom w:val="single" w:sz="4" w:space="0" w:color="auto"/>
              <w:right w:val="nil"/>
            </w:tcBorders>
            <w:shd w:val="clear" w:color="auto" w:fill="auto"/>
            <w:vAlign w:val="bottom"/>
            <w:hideMark/>
          </w:tcPr>
          <w:p w14:paraId="2D1C3CBF" w14:textId="3EBA4EC5" w:rsidR="00FB18CA" w:rsidRPr="00140D20" w:rsidRDefault="00FB18CA" w:rsidP="00FB18CA">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140D20" w:rsidRPr="00140D20" w14:paraId="44E4F62A" w14:textId="77777777" w:rsidTr="009F7308">
        <w:trPr>
          <w:trHeight w:val="204"/>
        </w:trPr>
        <w:tc>
          <w:tcPr>
            <w:tcW w:w="2694" w:type="dxa"/>
            <w:tcBorders>
              <w:left w:val="nil"/>
              <w:bottom w:val="nil"/>
              <w:right w:val="nil"/>
            </w:tcBorders>
            <w:shd w:val="clear" w:color="auto" w:fill="auto"/>
            <w:noWrap/>
            <w:hideMark/>
          </w:tcPr>
          <w:p w14:paraId="5BF0387C" w14:textId="48735544" w:rsidR="00140D20" w:rsidRPr="00140D20" w:rsidRDefault="00140D20" w:rsidP="00140D20">
            <w:pPr>
              <w:spacing w:after="0" w:line="240" w:lineRule="auto"/>
              <w:jc w:val="left"/>
              <w:rPr>
                <w:rFonts w:ascii="Arial" w:hAnsi="Arial" w:cs="Arial"/>
                <w:sz w:val="16"/>
                <w:szCs w:val="16"/>
              </w:rPr>
            </w:pPr>
            <w:r w:rsidRPr="00140D20">
              <w:rPr>
                <w:rFonts w:ascii="Arial" w:hAnsi="Arial" w:cs="Arial"/>
                <w:sz w:val="16"/>
                <w:szCs w:val="16"/>
              </w:rPr>
              <w:t>Departmental expenses</w:t>
            </w:r>
          </w:p>
        </w:tc>
        <w:tc>
          <w:tcPr>
            <w:tcW w:w="992" w:type="dxa"/>
            <w:tcBorders>
              <w:top w:val="nil"/>
              <w:left w:val="nil"/>
              <w:bottom w:val="nil"/>
              <w:right w:val="nil"/>
            </w:tcBorders>
            <w:shd w:val="clear" w:color="auto" w:fill="auto"/>
            <w:noWrap/>
            <w:vAlign w:val="bottom"/>
            <w:hideMark/>
          </w:tcPr>
          <w:p w14:paraId="29B3E1F0" w14:textId="77777777" w:rsidR="00140D20" w:rsidRPr="00140D20" w:rsidRDefault="00140D20" w:rsidP="000E73A8">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E6E6E6"/>
            <w:noWrap/>
            <w:vAlign w:val="bottom"/>
            <w:hideMark/>
          </w:tcPr>
          <w:p w14:paraId="74EF7572" w14:textId="06CC049A" w:rsidR="00140D20" w:rsidRPr="00140D20" w:rsidRDefault="00140D20" w:rsidP="000E73A8">
            <w:pPr>
              <w:spacing w:after="0" w:line="240" w:lineRule="auto"/>
              <w:jc w:val="right"/>
              <w:rPr>
                <w:rFonts w:ascii="Arial" w:hAnsi="Arial" w:cs="Arial"/>
                <w:sz w:val="16"/>
                <w:szCs w:val="16"/>
              </w:rPr>
            </w:pPr>
          </w:p>
        </w:tc>
        <w:tc>
          <w:tcPr>
            <w:tcW w:w="1024" w:type="dxa"/>
            <w:gridSpan w:val="2"/>
            <w:tcBorders>
              <w:top w:val="nil"/>
              <w:left w:val="nil"/>
              <w:bottom w:val="nil"/>
              <w:right w:val="nil"/>
            </w:tcBorders>
            <w:shd w:val="clear" w:color="auto" w:fill="auto"/>
            <w:noWrap/>
            <w:vAlign w:val="bottom"/>
            <w:hideMark/>
          </w:tcPr>
          <w:p w14:paraId="21799EA3" w14:textId="77777777" w:rsidR="00140D20" w:rsidRPr="00140D20" w:rsidRDefault="00140D20" w:rsidP="000E73A8">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51C78F62" w14:textId="77777777" w:rsidR="00140D20" w:rsidRPr="00140D20" w:rsidRDefault="00140D20" w:rsidP="000E73A8">
            <w:pPr>
              <w:spacing w:after="0" w:line="240" w:lineRule="auto"/>
              <w:jc w:val="right"/>
              <w:rPr>
                <w:rFonts w:ascii="Times New Roman" w:hAnsi="Times New Roman"/>
              </w:rPr>
            </w:pPr>
          </w:p>
        </w:tc>
        <w:tc>
          <w:tcPr>
            <w:tcW w:w="996" w:type="dxa"/>
            <w:gridSpan w:val="2"/>
            <w:tcBorders>
              <w:top w:val="nil"/>
              <w:left w:val="nil"/>
              <w:bottom w:val="nil"/>
              <w:right w:val="nil"/>
            </w:tcBorders>
            <w:shd w:val="clear" w:color="auto" w:fill="auto"/>
            <w:noWrap/>
            <w:vAlign w:val="bottom"/>
            <w:hideMark/>
          </w:tcPr>
          <w:p w14:paraId="6FD476F8" w14:textId="77777777" w:rsidR="00140D20" w:rsidRPr="00140D20" w:rsidRDefault="00140D20" w:rsidP="000E73A8">
            <w:pPr>
              <w:spacing w:after="0" w:line="240" w:lineRule="auto"/>
              <w:jc w:val="right"/>
              <w:rPr>
                <w:rFonts w:ascii="Times New Roman" w:hAnsi="Times New Roman"/>
              </w:rPr>
            </w:pPr>
          </w:p>
        </w:tc>
      </w:tr>
      <w:tr w:rsidR="003815D1" w:rsidRPr="00140D20" w14:paraId="09D8E89C" w14:textId="77777777" w:rsidTr="009F7308">
        <w:trPr>
          <w:trHeight w:val="204"/>
        </w:trPr>
        <w:tc>
          <w:tcPr>
            <w:tcW w:w="2694" w:type="dxa"/>
            <w:tcBorders>
              <w:top w:val="nil"/>
              <w:left w:val="nil"/>
              <w:bottom w:val="nil"/>
              <w:right w:val="nil"/>
            </w:tcBorders>
            <w:shd w:val="clear" w:color="auto" w:fill="auto"/>
            <w:hideMark/>
          </w:tcPr>
          <w:p w14:paraId="1EC47CA8" w14:textId="77777777" w:rsidR="003815D1" w:rsidRPr="00140D20" w:rsidRDefault="003815D1" w:rsidP="003815D1">
            <w:pPr>
              <w:spacing w:after="0" w:line="240" w:lineRule="auto"/>
              <w:ind w:left="113"/>
              <w:jc w:val="left"/>
              <w:rPr>
                <w:rFonts w:ascii="Arial" w:hAnsi="Arial" w:cs="Arial"/>
                <w:sz w:val="16"/>
                <w:szCs w:val="16"/>
              </w:rPr>
            </w:pPr>
            <w:r w:rsidRPr="00140D20">
              <w:rPr>
                <w:rFonts w:ascii="Arial" w:hAnsi="Arial" w:cs="Arial"/>
                <w:sz w:val="16"/>
                <w:szCs w:val="16"/>
              </w:rPr>
              <w:t>Departmental appropriation</w:t>
            </w:r>
          </w:p>
        </w:tc>
        <w:tc>
          <w:tcPr>
            <w:tcW w:w="992" w:type="dxa"/>
            <w:tcBorders>
              <w:top w:val="nil"/>
              <w:left w:val="nil"/>
              <w:bottom w:val="nil"/>
              <w:right w:val="nil"/>
            </w:tcBorders>
            <w:shd w:val="clear" w:color="auto" w:fill="auto"/>
            <w:noWrap/>
            <w:vAlign w:val="bottom"/>
            <w:hideMark/>
          </w:tcPr>
          <w:p w14:paraId="72EEF2E0" w14:textId="3E6D3CD8"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57,454 </w:t>
            </w:r>
          </w:p>
        </w:tc>
        <w:tc>
          <w:tcPr>
            <w:tcW w:w="992" w:type="dxa"/>
            <w:tcBorders>
              <w:top w:val="nil"/>
              <w:left w:val="nil"/>
              <w:bottom w:val="nil"/>
              <w:right w:val="nil"/>
            </w:tcBorders>
            <w:shd w:val="clear" w:color="auto" w:fill="E6E6E6"/>
            <w:noWrap/>
            <w:vAlign w:val="bottom"/>
            <w:hideMark/>
          </w:tcPr>
          <w:p w14:paraId="53E85DE8" w14:textId="1DA11F7A"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75,637 </w:t>
            </w:r>
          </w:p>
        </w:tc>
        <w:tc>
          <w:tcPr>
            <w:tcW w:w="1024" w:type="dxa"/>
            <w:gridSpan w:val="2"/>
            <w:tcBorders>
              <w:top w:val="nil"/>
              <w:left w:val="nil"/>
              <w:bottom w:val="nil"/>
              <w:right w:val="nil"/>
            </w:tcBorders>
            <w:shd w:val="clear" w:color="auto" w:fill="auto"/>
            <w:noWrap/>
            <w:vAlign w:val="bottom"/>
            <w:hideMark/>
          </w:tcPr>
          <w:p w14:paraId="146761BA" w14:textId="6A5A4404"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73,643 </w:t>
            </w:r>
          </w:p>
        </w:tc>
        <w:tc>
          <w:tcPr>
            <w:tcW w:w="996" w:type="dxa"/>
            <w:gridSpan w:val="2"/>
            <w:tcBorders>
              <w:top w:val="nil"/>
              <w:left w:val="nil"/>
              <w:bottom w:val="nil"/>
              <w:right w:val="nil"/>
            </w:tcBorders>
            <w:shd w:val="clear" w:color="auto" w:fill="auto"/>
            <w:noWrap/>
            <w:vAlign w:val="bottom"/>
            <w:hideMark/>
          </w:tcPr>
          <w:p w14:paraId="5D1CEB3E" w14:textId="52B250CB"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63,336 </w:t>
            </w:r>
          </w:p>
        </w:tc>
        <w:tc>
          <w:tcPr>
            <w:tcW w:w="996" w:type="dxa"/>
            <w:gridSpan w:val="2"/>
            <w:tcBorders>
              <w:top w:val="nil"/>
              <w:left w:val="nil"/>
              <w:bottom w:val="nil"/>
              <w:right w:val="nil"/>
            </w:tcBorders>
            <w:shd w:val="clear" w:color="auto" w:fill="auto"/>
            <w:noWrap/>
            <w:vAlign w:val="bottom"/>
            <w:hideMark/>
          </w:tcPr>
          <w:p w14:paraId="39799F16" w14:textId="282D388C"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55,106 </w:t>
            </w:r>
          </w:p>
        </w:tc>
      </w:tr>
      <w:tr w:rsidR="003815D1" w:rsidRPr="00140D20" w14:paraId="3EE5FB1C" w14:textId="77777777" w:rsidTr="009F7308">
        <w:trPr>
          <w:trHeight w:val="204"/>
        </w:trPr>
        <w:tc>
          <w:tcPr>
            <w:tcW w:w="2694" w:type="dxa"/>
            <w:tcBorders>
              <w:top w:val="nil"/>
              <w:left w:val="nil"/>
              <w:bottom w:val="nil"/>
              <w:right w:val="nil"/>
            </w:tcBorders>
            <w:shd w:val="clear" w:color="auto" w:fill="auto"/>
            <w:hideMark/>
          </w:tcPr>
          <w:p w14:paraId="61606570" w14:textId="77777777" w:rsidR="003815D1" w:rsidRPr="00140D20" w:rsidRDefault="003815D1" w:rsidP="003815D1">
            <w:pPr>
              <w:spacing w:after="0" w:line="240" w:lineRule="auto"/>
              <w:ind w:left="113"/>
              <w:jc w:val="left"/>
              <w:rPr>
                <w:rFonts w:ascii="Arial" w:hAnsi="Arial" w:cs="Arial"/>
                <w:sz w:val="16"/>
                <w:szCs w:val="16"/>
              </w:rPr>
            </w:pPr>
            <w:r w:rsidRPr="00140D20">
              <w:rPr>
                <w:rFonts w:ascii="Arial" w:hAnsi="Arial" w:cs="Arial"/>
                <w:sz w:val="16"/>
                <w:szCs w:val="16"/>
              </w:rPr>
              <w:t xml:space="preserve">s74 external revenues </w:t>
            </w:r>
            <w:r w:rsidRPr="00CA3B06">
              <w:rPr>
                <w:rFonts w:ascii="Arial" w:hAnsi="Arial" w:cs="Arial"/>
                <w:sz w:val="16"/>
                <w:szCs w:val="16"/>
                <w:vertAlign w:val="superscript"/>
              </w:rPr>
              <w:t>(c)</w:t>
            </w:r>
          </w:p>
        </w:tc>
        <w:tc>
          <w:tcPr>
            <w:tcW w:w="992" w:type="dxa"/>
            <w:tcBorders>
              <w:top w:val="nil"/>
              <w:left w:val="nil"/>
              <w:bottom w:val="nil"/>
              <w:right w:val="nil"/>
            </w:tcBorders>
            <w:shd w:val="clear" w:color="auto" w:fill="auto"/>
            <w:noWrap/>
            <w:vAlign w:val="bottom"/>
            <w:hideMark/>
          </w:tcPr>
          <w:p w14:paraId="4A205F71" w14:textId="2E8C85B0"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4,148 </w:t>
            </w:r>
          </w:p>
        </w:tc>
        <w:tc>
          <w:tcPr>
            <w:tcW w:w="992" w:type="dxa"/>
            <w:tcBorders>
              <w:top w:val="nil"/>
              <w:left w:val="nil"/>
              <w:bottom w:val="nil"/>
              <w:right w:val="nil"/>
            </w:tcBorders>
            <w:shd w:val="clear" w:color="auto" w:fill="E6E6E6"/>
            <w:noWrap/>
            <w:vAlign w:val="bottom"/>
            <w:hideMark/>
          </w:tcPr>
          <w:p w14:paraId="56FA3F27" w14:textId="4EBC591B"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2,069 </w:t>
            </w:r>
          </w:p>
        </w:tc>
        <w:tc>
          <w:tcPr>
            <w:tcW w:w="1024" w:type="dxa"/>
            <w:gridSpan w:val="2"/>
            <w:tcBorders>
              <w:top w:val="nil"/>
              <w:left w:val="nil"/>
              <w:bottom w:val="nil"/>
              <w:right w:val="nil"/>
            </w:tcBorders>
            <w:shd w:val="clear" w:color="auto" w:fill="auto"/>
            <w:noWrap/>
            <w:vAlign w:val="bottom"/>
            <w:hideMark/>
          </w:tcPr>
          <w:p w14:paraId="5955917C" w14:textId="38370B7A"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1,958 </w:t>
            </w:r>
          </w:p>
        </w:tc>
        <w:tc>
          <w:tcPr>
            <w:tcW w:w="996" w:type="dxa"/>
            <w:gridSpan w:val="2"/>
            <w:tcBorders>
              <w:top w:val="nil"/>
              <w:left w:val="nil"/>
              <w:bottom w:val="nil"/>
              <w:right w:val="nil"/>
            </w:tcBorders>
            <w:shd w:val="clear" w:color="auto" w:fill="auto"/>
            <w:noWrap/>
            <w:vAlign w:val="bottom"/>
            <w:hideMark/>
          </w:tcPr>
          <w:p w14:paraId="42BB257A" w14:textId="1106E516"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2,155 </w:t>
            </w:r>
          </w:p>
        </w:tc>
        <w:tc>
          <w:tcPr>
            <w:tcW w:w="996" w:type="dxa"/>
            <w:gridSpan w:val="2"/>
            <w:tcBorders>
              <w:top w:val="nil"/>
              <w:left w:val="nil"/>
              <w:bottom w:val="nil"/>
              <w:right w:val="nil"/>
            </w:tcBorders>
            <w:shd w:val="clear" w:color="auto" w:fill="auto"/>
            <w:noWrap/>
            <w:vAlign w:val="bottom"/>
            <w:hideMark/>
          </w:tcPr>
          <w:p w14:paraId="20999496" w14:textId="2004001D"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2,155 </w:t>
            </w:r>
          </w:p>
        </w:tc>
      </w:tr>
      <w:tr w:rsidR="003815D1" w:rsidRPr="00140D20" w14:paraId="71F0F75E" w14:textId="77777777" w:rsidTr="009F7308">
        <w:trPr>
          <w:trHeight w:val="204"/>
        </w:trPr>
        <w:tc>
          <w:tcPr>
            <w:tcW w:w="2694" w:type="dxa"/>
            <w:tcBorders>
              <w:top w:val="nil"/>
              <w:left w:val="nil"/>
              <w:bottom w:val="nil"/>
              <w:right w:val="nil"/>
            </w:tcBorders>
            <w:shd w:val="clear" w:color="auto" w:fill="auto"/>
            <w:hideMark/>
          </w:tcPr>
          <w:p w14:paraId="17DF38FE" w14:textId="4115C808" w:rsidR="003815D1" w:rsidRPr="00140D20" w:rsidRDefault="003815D1" w:rsidP="003815D1">
            <w:pPr>
              <w:spacing w:after="0" w:line="240" w:lineRule="auto"/>
              <w:ind w:left="113"/>
              <w:jc w:val="left"/>
              <w:rPr>
                <w:rFonts w:ascii="Arial" w:hAnsi="Arial" w:cs="Arial"/>
                <w:sz w:val="16"/>
                <w:szCs w:val="16"/>
              </w:rPr>
            </w:pPr>
            <w:r w:rsidRPr="00140D20">
              <w:rPr>
                <w:rFonts w:ascii="Arial" w:hAnsi="Arial" w:cs="Arial"/>
                <w:sz w:val="16"/>
                <w:szCs w:val="16"/>
              </w:rPr>
              <w:t>Expenses not requiring appropriation in the Budget year</w:t>
            </w:r>
            <w:r>
              <w:rPr>
                <w:rFonts w:ascii="Arial" w:hAnsi="Arial" w:cs="Arial"/>
                <w:sz w:val="16"/>
                <w:szCs w:val="16"/>
              </w:rPr>
              <w:t> </w:t>
            </w:r>
            <w:r w:rsidRPr="000E73A8">
              <w:rPr>
                <w:rFonts w:ascii="Arial" w:hAnsi="Arial" w:cs="Arial"/>
                <w:sz w:val="16"/>
                <w:szCs w:val="16"/>
                <w:vertAlign w:val="superscript"/>
              </w:rPr>
              <w:t>(d)</w:t>
            </w:r>
          </w:p>
        </w:tc>
        <w:tc>
          <w:tcPr>
            <w:tcW w:w="992" w:type="dxa"/>
            <w:tcBorders>
              <w:top w:val="nil"/>
              <w:left w:val="nil"/>
              <w:bottom w:val="nil"/>
              <w:right w:val="nil"/>
            </w:tcBorders>
            <w:shd w:val="clear" w:color="auto" w:fill="auto"/>
            <w:noWrap/>
            <w:vAlign w:val="bottom"/>
            <w:hideMark/>
          </w:tcPr>
          <w:p w14:paraId="699A1740" w14:textId="1130097C"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6,602 </w:t>
            </w:r>
          </w:p>
        </w:tc>
        <w:tc>
          <w:tcPr>
            <w:tcW w:w="992" w:type="dxa"/>
            <w:tcBorders>
              <w:top w:val="nil"/>
              <w:left w:val="nil"/>
              <w:bottom w:val="nil"/>
              <w:right w:val="nil"/>
            </w:tcBorders>
            <w:shd w:val="clear" w:color="auto" w:fill="E6E6E6"/>
            <w:noWrap/>
            <w:vAlign w:val="bottom"/>
            <w:hideMark/>
          </w:tcPr>
          <w:p w14:paraId="577AEE2E" w14:textId="4A4A3428"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1,703 </w:t>
            </w:r>
          </w:p>
        </w:tc>
        <w:tc>
          <w:tcPr>
            <w:tcW w:w="1024" w:type="dxa"/>
            <w:gridSpan w:val="2"/>
            <w:tcBorders>
              <w:top w:val="nil"/>
              <w:left w:val="nil"/>
              <w:bottom w:val="nil"/>
              <w:right w:val="nil"/>
            </w:tcBorders>
            <w:shd w:val="clear" w:color="auto" w:fill="auto"/>
            <w:noWrap/>
            <w:vAlign w:val="bottom"/>
            <w:hideMark/>
          </w:tcPr>
          <w:p w14:paraId="22104530" w14:textId="264B52F1"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1,608 </w:t>
            </w:r>
          </w:p>
        </w:tc>
        <w:tc>
          <w:tcPr>
            <w:tcW w:w="996" w:type="dxa"/>
            <w:gridSpan w:val="2"/>
            <w:tcBorders>
              <w:top w:val="nil"/>
              <w:left w:val="nil"/>
              <w:bottom w:val="nil"/>
              <w:right w:val="nil"/>
            </w:tcBorders>
            <w:shd w:val="clear" w:color="auto" w:fill="auto"/>
            <w:noWrap/>
            <w:vAlign w:val="bottom"/>
            <w:hideMark/>
          </w:tcPr>
          <w:p w14:paraId="653AFA2F" w14:textId="1B14ACD0"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1,566 </w:t>
            </w:r>
          </w:p>
        </w:tc>
        <w:tc>
          <w:tcPr>
            <w:tcW w:w="996" w:type="dxa"/>
            <w:gridSpan w:val="2"/>
            <w:tcBorders>
              <w:top w:val="nil"/>
              <w:left w:val="nil"/>
              <w:bottom w:val="nil"/>
              <w:right w:val="nil"/>
            </w:tcBorders>
            <w:shd w:val="clear" w:color="auto" w:fill="auto"/>
            <w:noWrap/>
            <w:vAlign w:val="bottom"/>
            <w:hideMark/>
          </w:tcPr>
          <w:p w14:paraId="229CBC4F" w14:textId="5A23BFB7" w:rsidR="003815D1" w:rsidRPr="00140D20" w:rsidRDefault="003815D1" w:rsidP="003815D1">
            <w:pPr>
              <w:spacing w:after="0" w:line="240" w:lineRule="auto"/>
              <w:jc w:val="right"/>
              <w:rPr>
                <w:rFonts w:ascii="Arial" w:hAnsi="Arial" w:cs="Arial"/>
                <w:sz w:val="16"/>
                <w:szCs w:val="16"/>
              </w:rPr>
            </w:pPr>
            <w:r>
              <w:rPr>
                <w:rFonts w:ascii="Arial" w:hAnsi="Arial" w:cs="Arial"/>
                <w:sz w:val="16"/>
                <w:szCs w:val="16"/>
              </w:rPr>
              <w:t xml:space="preserve">1,689 </w:t>
            </w:r>
          </w:p>
        </w:tc>
      </w:tr>
      <w:tr w:rsidR="003815D1" w:rsidRPr="00140D20" w14:paraId="7CD021F0" w14:textId="77777777" w:rsidTr="009F7308">
        <w:trPr>
          <w:trHeight w:val="204"/>
        </w:trPr>
        <w:tc>
          <w:tcPr>
            <w:tcW w:w="2694" w:type="dxa"/>
            <w:tcBorders>
              <w:top w:val="nil"/>
              <w:left w:val="nil"/>
              <w:bottom w:val="nil"/>
              <w:right w:val="nil"/>
            </w:tcBorders>
            <w:shd w:val="clear" w:color="auto" w:fill="auto"/>
            <w:hideMark/>
          </w:tcPr>
          <w:p w14:paraId="444EB4BA" w14:textId="0F0B3761" w:rsidR="003815D1" w:rsidRPr="00140D20" w:rsidRDefault="003815D1" w:rsidP="003815D1">
            <w:pPr>
              <w:spacing w:after="0" w:line="240" w:lineRule="auto"/>
              <w:ind w:left="227"/>
              <w:jc w:val="right"/>
              <w:rPr>
                <w:rFonts w:ascii="Arial" w:hAnsi="Arial" w:cs="Arial"/>
                <w:b/>
                <w:bCs/>
                <w:sz w:val="16"/>
                <w:szCs w:val="16"/>
              </w:rPr>
            </w:pPr>
            <w:r w:rsidRPr="00140D20">
              <w:rPr>
                <w:rFonts w:ascii="Arial" w:hAnsi="Arial" w:cs="Arial"/>
                <w:b/>
                <w:bCs/>
                <w:sz w:val="16"/>
                <w:szCs w:val="16"/>
              </w:rPr>
              <w:t xml:space="preserve">Total </w:t>
            </w:r>
            <w:r>
              <w:rPr>
                <w:rFonts w:ascii="Arial" w:hAnsi="Arial" w:cs="Arial"/>
                <w:b/>
                <w:bCs/>
                <w:sz w:val="16"/>
                <w:szCs w:val="16"/>
              </w:rPr>
              <w:t>D</w:t>
            </w:r>
            <w:r w:rsidRPr="00140D20">
              <w:rPr>
                <w:rFonts w:ascii="Arial" w:hAnsi="Arial" w:cs="Arial"/>
                <w:b/>
                <w:bCs/>
                <w:sz w:val="16"/>
                <w:szCs w:val="16"/>
              </w:rPr>
              <w:t>epartmental expenses</w:t>
            </w:r>
          </w:p>
        </w:tc>
        <w:tc>
          <w:tcPr>
            <w:tcW w:w="992" w:type="dxa"/>
            <w:tcBorders>
              <w:top w:val="single" w:sz="4" w:space="0" w:color="auto"/>
              <w:left w:val="nil"/>
              <w:bottom w:val="single" w:sz="4" w:space="0" w:color="auto"/>
              <w:right w:val="nil"/>
            </w:tcBorders>
            <w:shd w:val="clear" w:color="auto" w:fill="auto"/>
            <w:noWrap/>
            <w:vAlign w:val="bottom"/>
            <w:hideMark/>
          </w:tcPr>
          <w:p w14:paraId="1A782CD9" w14:textId="1DB9DCE6" w:rsidR="003815D1" w:rsidRPr="00140D20"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68,204 </w:t>
            </w:r>
          </w:p>
        </w:tc>
        <w:tc>
          <w:tcPr>
            <w:tcW w:w="992" w:type="dxa"/>
            <w:tcBorders>
              <w:top w:val="single" w:sz="4" w:space="0" w:color="auto"/>
              <w:left w:val="nil"/>
              <w:bottom w:val="single" w:sz="4" w:space="0" w:color="auto"/>
              <w:right w:val="nil"/>
            </w:tcBorders>
            <w:shd w:val="clear" w:color="000000" w:fill="E6E6E6"/>
            <w:noWrap/>
            <w:vAlign w:val="bottom"/>
            <w:hideMark/>
          </w:tcPr>
          <w:p w14:paraId="0F5D3C2E" w14:textId="2F706E1F" w:rsidR="003815D1" w:rsidRPr="00140D20"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79,409 </w:t>
            </w:r>
          </w:p>
        </w:tc>
        <w:tc>
          <w:tcPr>
            <w:tcW w:w="1024" w:type="dxa"/>
            <w:gridSpan w:val="2"/>
            <w:tcBorders>
              <w:top w:val="single" w:sz="4" w:space="0" w:color="auto"/>
              <w:left w:val="nil"/>
              <w:bottom w:val="single" w:sz="4" w:space="0" w:color="auto"/>
              <w:right w:val="nil"/>
            </w:tcBorders>
            <w:shd w:val="clear" w:color="auto" w:fill="auto"/>
            <w:noWrap/>
            <w:vAlign w:val="bottom"/>
            <w:hideMark/>
          </w:tcPr>
          <w:p w14:paraId="06DA5ECC" w14:textId="58D11A00" w:rsidR="003815D1" w:rsidRPr="00140D20"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77,209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0273606D" w14:textId="5A30BFFB" w:rsidR="003815D1" w:rsidRPr="00140D20"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67,057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1F46DE70" w14:textId="4C43FC96" w:rsidR="003815D1" w:rsidRPr="00140D20"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58,950 </w:t>
            </w:r>
          </w:p>
        </w:tc>
      </w:tr>
      <w:tr w:rsidR="003815D1" w:rsidRPr="00140D20" w14:paraId="6A0DDF50" w14:textId="77777777" w:rsidTr="009F7308">
        <w:trPr>
          <w:trHeight w:val="204"/>
        </w:trPr>
        <w:tc>
          <w:tcPr>
            <w:tcW w:w="2694" w:type="dxa"/>
            <w:tcBorders>
              <w:top w:val="nil"/>
              <w:left w:val="nil"/>
              <w:bottom w:val="single" w:sz="4" w:space="0" w:color="auto"/>
              <w:right w:val="nil"/>
            </w:tcBorders>
            <w:shd w:val="clear" w:color="auto" w:fill="auto"/>
            <w:noWrap/>
            <w:hideMark/>
          </w:tcPr>
          <w:p w14:paraId="57B2EE52" w14:textId="77777777" w:rsidR="003815D1" w:rsidRPr="00140D20" w:rsidRDefault="003815D1" w:rsidP="003815D1">
            <w:pPr>
              <w:spacing w:after="0" w:line="240" w:lineRule="auto"/>
              <w:jc w:val="left"/>
              <w:rPr>
                <w:rFonts w:ascii="Arial" w:hAnsi="Arial" w:cs="Arial"/>
                <w:b/>
                <w:bCs/>
                <w:sz w:val="16"/>
                <w:szCs w:val="16"/>
              </w:rPr>
            </w:pPr>
            <w:r w:rsidRPr="00140D20">
              <w:rPr>
                <w:rFonts w:ascii="Arial" w:hAnsi="Arial" w:cs="Arial"/>
                <w:b/>
                <w:bCs/>
                <w:sz w:val="16"/>
                <w:szCs w:val="16"/>
              </w:rPr>
              <w:t>Total expenses for Outcome 1</w:t>
            </w:r>
          </w:p>
        </w:tc>
        <w:tc>
          <w:tcPr>
            <w:tcW w:w="992" w:type="dxa"/>
            <w:tcBorders>
              <w:top w:val="nil"/>
              <w:left w:val="nil"/>
              <w:bottom w:val="single" w:sz="4" w:space="0" w:color="auto"/>
              <w:right w:val="nil"/>
            </w:tcBorders>
            <w:shd w:val="clear" w:color="auto" w:fill="auto"/>
            <w:noWrap/>
            <w:vAlign w:val="bottom"/>
            <w:hideMark/>
          </w:tcPr>
          <w:p w14:paraId="066D9CA1" w14:textId="4E12D4AF" w:rsidR="003815D1" w:rsidRPr="00140D20"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926,773 </w:t>
            </w:r>
          </w:p>
        </w:tc>
        <w:tc>
          <w:tcPr>
            <w:tcW w:w="992" w:type="dxa"/>
            <w:tcBorders>
              <w:top w:val="nil"/>
              <w:left w:val="nil"/>
              <w:bottom w:val="single" w:sz="4" w:space="0" w:color="auto"/>
              <w:right w:val="nil"/>
            </w:tcBorders>
            <w:shd w:val="clear" w:color="000000" w:fill="E6E6E6"/>
            <w:noWrap/>
            <w:vAlign w:val="bottom"/>
            <w:hideMark/>
          </w:tcPr>
          <w:p w14:paraId="361E81FD" w14:textId="2752ADD1" w:rsidR="003815D1" w:rsidRPr="00140D20"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1,033,320 </w:t>
            </w:r>
          </w:p>
        </w:tc>
        <w:tc>
          <w:tcPr>
            <w:tcW w:w="1024" w:type="dxa"/>
            <w:gridSpan w:val="2"/>
            <w:tcBorders>
              <w:top w:val="nil"/>
              <w:left w:val="nil"/>
              <w:bottom w:val="single" w:sz="4" w:space="0" w:color="auto"/>
              <w:right w:val="nil"/>
            </w:tcBorders>
            <w:shd w:val="clear" w:color="auto" w:fill="auto"/>
            <w:noWrap/>
            <w:vAlign w:val="bottom"/>
            <w:hideMark/>
          </w:tcPr>
          <w:p w14:paraId="4B6D94E9" w14:textId="010D54FD" w:rsidR="003815D1" w:rsidRPr="00140D20"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784,295 </w:t>
            </w:r>
          </w:p>
        </w:tc>
        <w:tc>
          <w:tcPr>
            <w:tcW w:w="996" w:type="dxa"/>
            <w:gridSpan w:val="2"/>
            <w:tcBorders>
              <w:top w:val="nil"/>
              <w:left w:val="nil"/>
              <w:bottom w:val="single" w:sz="4" w:space="0" w:color="auto"/>
              <w:right w:val="nil"/>
            </w:tcBorders>
            <w:shd w:val="clear" w:color="auto" w:fill="auto"/>
            <w:noWrap/>
            <w:vAlign w:val="bottom"/>
            <w:hideMark/>
          </w:tcPr>
          <w:p w14:paraId="45F68BDB" w14:textId="55FCE800" w:rsidR="003815D1" w:rsidRPr="00140D20"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591,501 </w:t>
            </w:r>
          </w:p>
        </w:tc>
        <w:tc>
          <w:tcPr>
            <w:tcW w:w="996" w:type="dxa"/>
            <w:gridSpan w:val="2"/>
            <w:tcBorders>
              <w:top w:val="nil"/>
              <w:left w:val="nil"/>
              <w:bottom w:val="single" w:sz="4" w:space="0" w:color="auto"/>
              <w:right w:val="nil"/>
            </w:tcBorders>
            <w:shd w:val="clear" w:color="auto" w:fill="auto"/>
            <w:noWrap/>
            <w:vAlign w:val="bottom"/>
            <w:hideMark/>
          </w:tcPr>
          <w:p w14:paraId="1E6028E7" w14:textId="2A60C159" w:rsidR="003815D1" w:rsidRPr="00140D20"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592,805 </w:t>
            </w:r>
          </w:p>
        </w:tc>
      </w:tr>
    </w:tbl>
    <w:p w14:paraId="78FA6273" w14:textId="322C1E1A" w:rsidR="008637A5" w:rsidRDefault="008637A5" w:rsidP="003815D1">
      <w:pPr>
        <w:pStyle w:val="TableHeading"/>
        <w:spacing w:before="0" w:after="0"/>
      </w:pPr>
    </w:p>
    <w:tbl>
      <w:tblPr>
        <w:tblW w:w="7739" w:type="dxa"/>
        <w:tblLayout w:type="fixed"/>
        <w:tblLook w:val="04A0" w:firstRow="1" w:lastRow="0" w:firstColumn="1" w:lastColumn="0" w:noHBand="0" w:noVBand="1"/>
      </w:tblPr>
      <w:tblGrid>
        <w:gridCol w:w="2694"/>
        <w:gridCol w:w="992"/>
        <w:gridCol w:w="992"/>
        <w:gridCol w:w="1107"/>
        <w:gridCol w:w="977"/>
        <w:gridCol w:w="977"/>
      </w:tblGrid>
      <w:tr w:rsidR="00FB18CA" w:rsidRPr="00140D20" w14:paraId="4392389D" w14:textId="77777777" w:rsidTr="009F7308">
        <w:trPr>
          <w:trHeight w:val="766"/>
        </w:trPr>
        <w:tc>
          <w:tcPr>
            <w:tcW w:w="2694" w:type="dxa"/>
            <w:tcBorders>
              <w:top w:val="single" w:sz="4" w:space="0" w:color="auto"/>
              <w:left w:val="nil"/>
              <w:right w:val="nil"/>
            </w:tcBorders>
            <w:shd w:val="clear" w:color="auto" w:fill="auto"/>
            <w:noWrap/>
            <w:vAlign w:val="bottom"/>
            <w:hideMark/>
          </w:tcPr>
          <w:p w14:paraId="45083D35" w14:textId="06DBDA89" w:rsidR="00FB18CA" w:rsidRPr="00140D20" w:rsidRDefault="00FB18CA" w:rsidP="00FB18CA">
            <w:pPr>
              <w:spacing w:after="0" w:line="240" w:lineRule="auto"/>
              <w:jc w:val="left"/>
              <w:rPr>
                <w:rFonts w:ascii="Arial" w:hAnsi="Arial" w:cs="Arial"/>
                <w:b/>
                <w:bCs/>
                <w:sz w:val="16"/>
                <w:szCs w:val="16"/>
              </w:rPr>
            </w:pPr>
            <w:r>
              <w:rPr>
                <w:rFonts w:ascii="Arial" w:hAnsi="Arial" w:cs="Arial"/>
                <w:b/>
                <w:bCs/>
                <w:sz w:val="16"/>
                <w:szCs w:val="16"/>
              </w:rPr>
              <w:t>Movement of A</w:t>
            </w:r>
            <w:r w:rsidRPr="00140D20">
              <w:rPr>
                <w:rFonts w:ascii="Arial" w:hAnsi="Arial" w:cs="Arial"/>
                <w:b/>
                <w:bCs/>
                <w:sz w:val="16"/>
                <w:szCs w:val="16"/>
              </w:rPr>
              <w:t>dministered funds between years</w:t>
            </w:r>
            <w:r w:rsidRPr="00140D20">
              <w:rPr>
                <w:rFonts w:ascii="Arial" w:hAnsi="Arial" w:cs="Arial"/>
                <w:sz w:val="16"/>
                <w:szCs w:val="16"/>
              </w:rPr>
              <w:t xml:space="preserve"> </w:t>
            </w:r>
            <w:r w:rsidRPr="004C3C22">
              <w:rPr>
                <w:rFonts w:ascii="Arial" w:hAnsi="Arial" w:cs="Arial"/>
                <w:sz w:val="16"/>
                <w:szCs w:val="16"/>
                <w:vertAlign w:val="superscript"/>
              </w:rPr>
              <w:t>(e)</w:t>
            </w:r>
          </w:p>
        </w:tc>
        <w:tc>
          <w:tcPr>
            <w:tcW w:w="992" w:type="dxa"/>
            <w:tcBorders>
              <w:top w:val="single" w:sz="4" w:space="0" w:color="auto"/>
              <w:left w:val="nil"/>
              <w:bottom w:val="single" w:sz="4" w:space="0" w:color="auto"/>
              <w:right w:val="nil"/>
            </w:tcBorders>
            <w:shd w:val="clear" w:color="auto" w:fill="auto"/>
            <w:vAlign w:val="bottom"/>
            <w:hideMark/>
          </w:tcPr>
          <w:p w14:paraId="6820E15C" w14:textId="48CF3DB8" w:rsidR="00FB18CA" w:rsidRPr="00140D20" w:rsidRDefault="00FB18CA" w:rsidP="00FB18CA">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92" w:type="dxa"/>
            <w:tcBorders>
              <w:top w:val="single" w:sz="4" w:space="0" w:color="auto"/>
              <w:left w:val="nil"/>
              <w:bottom w:val="single" w:sz="4" w:space="0" w:color="auto"/>
              <w:right w:val="nil"/>
            </w:tcBorders>
            <w:shd w:val="clear" w:color="000000" w:fill="E6E6E6"/>
            <w:vAlign w:val="bottom"/>
            <w:hideMark/>
          </w:tcPr>
          <w:p w14:paraId="50726EB9" w14:textId="274AA47D" w:rsidR="00FB18CA" w:rsidRPr="00140D20" w:rsidRDefault="00FB18CA" w:rsidP="00FB18CA">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1107" w:type="dxa"/>
            <w:tcBorders>
              <w:top w:val="single" w:sz="4" w:space="0" w:color="auto"/>
              <w:left w:val="nil"/>
              <w:bottom w:val="single" w:sz="4" w:space="0" w:color="auto"/>
              <w:right w:val="nil"/>
            </w:tcBorders>
            <w:shd w:val="clear" w:color="auto" w:fill="auto"/>
            <w:vAlign w:val="bottom"/>
            <w:hideMark/>
          </w:tcPr>
          <w:p w14:paraId="510E830D" w14:textId="73BBAC2E" w:rsidR="00FB18CA" w:rsidRPr="00140D20" w:rsidRDefault="00FB18CA" w:rsidP="00FB18CA">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34C66D61" w14:textId="264FBA7B" w:rsidR="00FB18CA" w:rsidRPr="00140D20" w:rsidRDefault="00FB18CA" w:rsidP="00FB18CA">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3B5EEC0B" w14:textId="4D0B7E0A" w:rsidR="00FB18CA" w:rsidRPr="00140D20" w:rsidRDefault="00FB18CA" w:rsidP="00FB18CA">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140D20" w:rsidRPr="00140D20" w14:paraId="6970C9BC" w14:textId="77777777" w:rsidTr="009F7308">
        <w:trPr>
          <w:trHeight w:val="204"/>
        </w:trPr>
        <w:tc>
          <w:tcPr>
            <w:tcW w:w="2694" w:type="dxa"/>
            <w:tcBorders>
              <w:top w:val="nil"/>
              <w:left w:val="nil"/>
              <w:bottom w:val="nil"/>
              <w:right w:val="nil"/>
            </w:tcBorders>
            <w:shd w:val="clear" w:color="auto" w:fill="auto"/>
            <w:noWrap/>
            <w:hideMark/>
          </w:tcPr>
          <w:p w14:paraId="1A585950" w14:textId="77777777" w:rsidR="00140D20" w:rsidRPr="00140D20" w:rsidRDefault="00140D20" w:rsidP="00140D20">
            <w:pPr>
              <w:spacing w:after="0" w:line="240" w:lineRule="auto"/>
              <w:jc w:val="left"/>
              <w:rPr>
                <w:rFonts w:ascii="Arial" w:hAnsi="Arial" w:cs="Arial"/>
                <w:sz w:val="16"/>
                <w:szCs w:val="16"/>
              </w:rPr>
            </w:pPr>
            <w:r w:rsidRPr="00140D20">
              <w:rPr>
                <w:rFonts w:ascii="Arial" w:hAnsi="Arial" w:cs="Arial"/>
                <w:sz w:val="16"/>
                <w:szCs w:val="16"/>
              </w:rPr>
              <w:t>Outcome 1:</w:t>
            </w:r>
          </w:p>
        </w:tc>
        <w:tc>
          <w:tcPr>
            <w:tcW w:w="992" w:type="dxa"/>
            <w:tcBorders>
              <w:top w:val="single" w:sz="4" w:space="0" w:color="auto"/>
              <w:left w:val="nil"/>
              <w:bottom w:val="nil"/>
              <w:right w:val="nil"/>
            </w:tcBorders>
            <w:shd w:val="clear" w:color="auto" w:fill="auto"/>
            <w:noWrap/>
            <w:vAlign w:val="bottom"/>
            <w:hideMark/>
          </w:tcPr>
          <w:p w14:paraId="4A671499" w14:textId="77777777" w:rsidR="00140D20" w:rsidRPr="00140D20" w:rsidRDefault="00140D20" w:rsidP="00140D20">
            <w:pPr>
              <w:spacing w:after="0" w:line="240" w:lineRule="auto"/>
              <w:jc w:val="left"/>
              <w:rPr>
                <w:rFonts w:ascii="Arial" w:hAnsi="Arial" w:cs="Arial"/>
                <w:sz w:val="16"/>
                <w:szCs w:val="16"/>
              </w:rPr>
            </w:pPr>
          </w:p>
        </w:tc>
        <w:tc>
          <w:tcPr>
            <w:tcW w:w="992" w:type="dxa"/>
            <w:tcBorders>
              <w:top w:val="single" w:sz="4" w:space="0" w:color="auto"/>
              <w:left w:val="nil"/>
              <w:bottom w:val="nil"/>
              <w:right w:val="nil"/>
            </w:tcBorders>
            <w:shd w:val="clear" w:color="000000" w:fill="E6E6E6"/>
            <w:noWrap/>
            <w:vAlign w:val="bottom"/>
            <w:hideMark/>
          </w:tcPr>
          <w:p w14:paraId="6F8E16CF" w14:textId="470821F2" w:rsidR="00140D20" w:rsidRPr="00140D20" w:rsidRDefault="00140D20" w:rsidP="00140D20">
            <w:pPr>
              <w:spacing w:after="0" w:line="240" w:lineRule="auto"/>
              <w:jc w:val="right"/>
              <w:rPr>
                <w:rFonts w:ascii="Arial" w:hAnsi="Arial" w:cs="Arial"/>
                <w:sz w:val="16"/>
                <w:szCs w:val="16"/>
              </w:rPr>
            </w:pPr>
          </w:p>
        </w:tc>
        <w:tc>
          <w:tcPr>
            <w:tcW w:w="1107" w:type="dxa"/>
            <w:tcBorders>
              <w:top w:val="single" w:sz="4" w:space="0" w:color="auto"/>
              <w:left w:val="nil"/>
              <w:bottom w:val="nil"/>
              <w:right w:val="nil"/>
            </w:tcBorders>
            <w:shd w:val="clear" w:color="auto" w:fill="auto"/>
            <w:noWrap/>
            <w:vAlign w:val="bottom"/>
            <w:hideMark/>
          </w:tcPr>
          <w:p w14:paraId="390DEC40" w14:textId="77777777" w:rsidR="00140D20" w:rsidRPr="00140D20" w:rsidRDefault="00140D20" w:rsidP="00140D20">
            <w:pPr>
              <w:spacing w:after="0" w:line="240" w:lineRule="auto"/>
              <w:jc w:val="right"/>
              <w:rPr>
                <w:rFonts w:ascii="Arial" w:hAnsi="Arial" w:cs="Arial"/>
                <w:sz w:val="16"/>
                <w:szCs w:val="16"/>
              </w:rPr>
            </w:pPr>
          </w:p>
        </w:tc>
        <w:tc>
          <w:tcPr>
            <w:tcW w:w="977" w:type="dxa"/>
            <w:tcBorders>
              <w:top w:val="single" w:sz="4" w:space="0" w:color="auto"/>
              <w:left w:val="nil"/>
              <w:bottom w:val="nil"/>
              <w:right w:val="nil"/>
            </w:tcBorders>
            <w:shd w:val="clear" w:color="auto" w:fill="auto"/>
            <w:noWrap/>
            <w:vAlign w:val="bottom"/>
            <w:hideMark/>
          </w:tcPr>
          <w:p w14:paraId="662D2033" w14:textId="77777777" w:rsidR="00140D20" w:rsidRPr="00140D20" w:rsidRDefault="00140D20" w:rsidP="00140D20">
            <w:pPr>
              <w:spacing w:after="0" w:line="240" w:lineRule="auto"/>
              <w:jc w:val="left"/>
              <w:rPr>
                <w:rFonts w:ascii="Times New Roman" w:hAnsi="Times New Roman"/>
              </w:rPr>
            </w:pPr>
          </w:p>
        </w:tc>
        <w:tc>
          <w:tcPr>
            <w:tcW w:w="977" w:type="dxa"/>
            <w:tcBorders>
              <w:top w:val="single" w:sz="4" w:space="0" w:color="auto"/>
              <w:left w:val="nil"/>
              <w:bottom w:val="nil"/>
              <w:right w:val="nil"/>
            </w:tcBorders>
            <w:shd w:val="clear" w:color="auto" w:fill="auto"/>
            <w:noWrap/>
            <w:vAlign w:val="bottom"/>
            <w:hideMark/>
          </w:tcPr>
          <w:p w14:paraId="6C393345" w14:textId="77777777" w:rsidR="00140D20" w:rsidRPr="00140D20" w:rsidRDefault="00140D20" w:rsidP="00140D20">
            <w:pPr>
              <w:spacing w:after="0" w:line="240" w:lineRule="auto"/>
              <w:jc w:val="left"/>
              <w:rPr>
                <w:rFonts w:ascii="Times New Roman" w:hAnsi="Times New Roman"/>
              </w:rPr>
            </w:pPr>
          </w:p>
        </w:tc>
      </w:tr>
      <w:tr w:rsidR="00270ED1" w:rsidRPr="00140D20" w14:paraId="289A3F3D" w14:textId="77777777" w:rsidTr="009F7308">
        <w:trPr>
          <w:trHeight w:val="204"/>
        </w:trPr>
        <w:tc>
          <w:tcPr>
            <w:tcW w:w="2694" w:type="dxa"/>
            <w:tcBorders>
              <w:top w:val="nil"/>
              <w:left w:val="nil"/>
              <w:right w:val="nil"/>
            </w:tcBorders>
            <w:shd w:val="clear" w:color="auto" w:fill="auto"/>
            <w:noWrap/>
            <w:hideMark/>
          </w:tcPr>
          <w:p w14:paraId="26F83240" w14:textId="77777777" w:rsidR="00270ED1" w:rsidRPr="00140D20" w:rsidRDefault="00270ED1" w:rsidP="00270ED1">
            <w:pPr>
              <w:spacing w:after="0" w:line="240" w:lineRule="auto"/>
              <w:ind w:left="113"/>
              <w:jc w:val="left"/>
              <w:rPr>
                <w:rFonts w:ascii="Arial" w:hAnsi="Arial" w:cs="Arial"/>
                <w:sz w:val="16"/>
                <w:szCs w:val="16"/>
              </w:rPr>
            </w:pPr>
            <w:r w:rsidRPr="00140D20">
              <w:rPr>
                <w:rFonts w:ascii="Arial" w:hAnsi="Arial" w:cs="Arial"/>
                <w:sz w:val="16"/>
                <w:szCs w:val="16"/>
              </w:rPr>
              <w:t>Program 1.1: Infrastructure Investment</w:t>
            </w:r>
          </w:p>
        </w:tc>
        <w:tc>
          <w:tcPr>
            <w:tcW w:w="992" w:type="dxa"/>
            <w:tcBorders>
              <w:top w:val="nil"/>
              <w:left w:val="nil"/>
              <w:right w:val="nil"/>
            </w:tcBorders>
            <w:shd w:val="clear" w:color="auto" w:fill="auto"/>
            <w:noWrap/>
            <w:vAlign w:val="bottom"/>
            <w:hideMark/>
          </w:tcPr>
          <w:p w14:paraId="1AAC8BE2" w14:textId="0536BAFB" w:rsidR="00270ED1" w:rsidRPr="00140D20" w:rsidRDefault="00270ED1" w:rsidP="00270ED1">
            <w:pPr>
              <w:spacing w:after="0" w:line="240" w:lineRule="auto"/>
              <w:jc w:val="right"/>
              <w:rPr>
                <w:rFonts w:ascii="Arial" w:hAnsi="Arial" w:cs="Arial"/>
                <w:sz w:val="16"/>
                <w:szCs w:val="16"/>
              </w:rPr>
            </w:pPr>
            <w:r>
              <w:rPr>
                <w:rFonts w:ascii="Arial" w:hAnsi="Arial" w:cs="Arial"/>
                <w:sz w:val="16"/>
                <w:szCs w:val="16"/>
              </w:rPr>
              <w:t>(4,354)</w:t>
            </w:r>
          </w:p>
        </w:tc>
        <w:tc>
          <w:tcPr>
            <w:tcW w:w="992" w:type="dxa"/>
            <w:tcBorders>
              <w:top w:val="nil"/>
              <w:left w:val="nil"/>
              <w:right w:val="nil"/>
            </w:tcBorders>
            <w:shd w:val="clear" w:color="000000" w:fill="E6E6E6"/>
            <w:noWrap/>
            <w:vAlign w:val="bottom"/>
            <w:hideMark/>
          </w:tcPr>
          <w:p w14:paraId="687F0D47" w14:textId="3ACAD13B" w:rsidR="00270ED1" w:rsidRPr="00140D20" w:rsidRDefault="00270ED1" w:rsidP="00270ED1">
            <w:pPr>
              <w:spacing w:after="0" w:line="240" w:lineRule="auto"/>
              <w:jc w:val="right"/>
              <w:rPr>
                <w:rFonts w:ascii="Arial" w:hAnsi="Arial" w:cs="Arial"/>
                <w:sz w:val="16"/>
                <w:szCs w:val="16"/>
              </w:rPr>
            </w:pPr>
            <w:r>
              <w:rPr>
                <w:rFonts w:ascii="Arial" w:hAnsi="Arial" w:cs="Arial"/>
                <w:sz w:val="16"/>
                <w:szCs w:val="16"/>
              </w:rPr>
              <w:t xml:space="preserve">161 </w:t>
            </w:r>
          </w:p>
        </w:tc>
        <w:tc>
          <w:tcPr>
            <w:tcW w:w="1107" w:type="dxa"/>
            <w:tcBorders>
              <w:top w:val="nil"/>
              <w:left w:val="nil"/>
              <w:right w:val="nil"/>
            </w:tcBorders>
            <w:shd w:val="clear" w:color="auto" w:fill="auto"/>
            <w:noWrap/>
            <w:vAlign w:val="bottom"/>
            <w:hideMark/>
          </w:tcPr>
          <w:p w14:paraId="6D2D5520" w14:textId="7BE13698" w:rsidR="00270ED1" w:rsidRPr="00140D20" w:rsidRDefault="00270ED1" w:rsidP="00270ED1">
            <w:pPr>
              <w:spacing w:after="0" w:line="240" w:lineRule="auto"/>
              <w:jc w:val="right"/>
              <w:rPr>
                <w:rFonts w:ascii="Arial" w:hAnsi="Arial" w:cs="Arial"/>
                <w:sz w:val="16"/>
                <w:szCs w:val="16"/>
              </w:rPr>
            </w:pPr>
            <w:r>
              <w:rPr>
                <w:rFonts w:ascii="Arial" w:hAnsi="Arial" w:cs="Arial"/>
                <w:sz w:val="16"/>
                <w:szCs w:val="16"/>
              </w:rPr>
              <w:t>(6,243)</w:t>
            </w:r>
          </w:p>
        </w:tc>
        <w:tc>
          <w:tcPr>
            <w:tcW w:w="977" w:type="dxa"/>
            <w:tcBorders>
              <w:top w:val="nil"/>
              <w:left w:val="nil"/>
              <w:right w:val="nil"/>
            </w:tcBorders>
            <w:shd w:val="clear" w:color="auto" w:fill="auto"/>
            <w:noWrap/>
            <w:vAlign w:val="bottom"/>
            <w:hideMark/>
          </w:tcPr>
          <w:p w14:paraId="7F27A1E2" w14:textId="1840DE9A" w:rsidR="00270ED1" w:rsidRPr="00140D20" w:rsidRDefault="00270ED1" w:rsidP="00270ED1">
            <w:pPr>
              <w:spacing w:after="0" w:line="240" w:lineRule="auto"/>
              <w:jc w:val="right"/>
              <w:rPr>
                <w:rFonts w:ascii="Arial" w:hAnsi="Arial" w:cs="Arial"/>
                <w:sz w:val="16"/>
                <w:szCs w:val="16"/>
              </w:rPr>
            </w:pPr>
            <w:r>
              <w:rPr>
                <w:rFonts w:ascii="Arial" w:hAnsi="Arial" w:cs="Arial"/>
                <w:sz w:val="16"/>
                <w:szCs w:val="16"/>
              </w:rPr>
              <w:t xml:space="preserve">10,436 </w:t>
            </w:r>
          </w:p>
        </w:tc>
        <w:tc>
          <w:tcPr>
            <w:tcW w:w="977" w:type="dxa"/>
            <w:tcBorders>
              <w:top w:val="nil"/>
              <w:left w:val="nil"/>
              <w:right w:val="nil"/>
            </w:tcBorders>
            <w:shd w:val="clear" w:color="auto" w:fill="auto"/>
            <w:noWrap/>
            <w:vAlign w:val="bottom"/>
            <w:hideMark/>
          </w:tcPr>
          <w:p w14:paraId="2E7A65A5" w14:textId="5BEA06D2" w:rsidR="00270ED1" w:rsidRPr="00140D20" w:rsidRDefault="00270ED1" w:rsidP="00270ED1">
            <w:pPr>
              <w:spacing w:after="0" w:line="240" w:lineRule="auto"/>
              <w:jc w:val="right"/>
              <w:rPr>
                <w:rFonts w:ascii="Arial" w:hAnsi="Arial" w:cs="Arial"/>
                <w:sz w:val="16"/>
                <w:szCs w:val="16"/>
              </w:rPr>
            </w:pPr>
            <w:r>
              <w:rPr>
                <w:rFonts w:ascii="Arial" w:hAnsi="Arial" w:cs="Arial"/>
                <w:sz w:val="16"/>
                <w:szCs w:val="16"/>
              </w:rPr>
              <w:t xml:space="preserve">- </w:t>
            </w:r>
          </w:p>
        </w:tc>
      </w:tr>
      <w:tr w:rsidR="00270ED1" w:rsidRPr="00140D20" w14:paraId="09E22DE9" w14:textId="77777777" w:rsidTr="009F7308">
        <w:trPr>
          <w:trHeight w:val="204"/>
        </w:trPr>
        <w:tc>
          <w:tcPr>
            <w:tcW w:w="2694" w:type="dxa"/>
            <w:tcBorders>
              <w:top w:val="nil"/>
              <w:left w:val="nil"/>
              <w:bottom w:val="single" w:sz="4" w:space="0" w:color="auto"/>
              <w:right w:val="nil"/>
            </w:tcBorders>
            <w:shd w:val="clear" w:color="auto" w:fill="auto"/>
            <w:vAlign w:val="bottom"/>
            <w:hideMark/>
          </w:tcPr>
          <w:p w14:paraId="4078C7E6" w14:textId="15C5441D" w:rsidR="00270ED1" w:rsidRPr="00140D20" w:rsidRDefault="00270ED1" w:rsidP="00270ED1">
            <w:pPr>
              <w:spacing w:after="0" w:line="240" w:lineRule="auto"/>
              <w:jc w:val="left"/>
              <w:rPr>
                <w:rFonts w:ascii="Arial" w:hAnsi="Arial" w:cs="Arial"/>
                <w:b/>
                <w:bCs/>
                <w:sz w:val="16"/>
                <w:szCs w:val="16"/>
              </w:rPr>
            </w:pPr>
            <w:r w:rsidRPr="00140D20">
              <w:rPr>
                <w:rFonts w:ascii="Arial" w:hAnsi="Arial" w:cs="Arial"/>
                <w:b/>
                <w:bCs/>
                <w:sz w:val="16"/>
                <w:szCs w:val="16"/>
              </w:rPr>
              <w:t>Total mo</w:t>
            </w:r>
            <w:r>
              <w:rPr>
                <w:rFonts w:ascii="Arial" w:hAnsi="Arial" w:cs="Arial"/>
                <w:b/>
                <w:bCs/>
                <w:sz w:val="16"/>
                <w:szCs w:val="16"/>
              </w:rPr>
              <w:t>vement of A</w:t>
            </w:r>
            <w:r w:rsidRPr="00140D20">
              <w:rPr>
                <w:rFonts w:ascii="Arial" w:hAnsi="Arial" w:cs="Arial"/>
                <w:b/>
                <w:bCs/>
                <w:sz w:val="16"/>
                <w:szCs w:val="16"/>
              </w:rPr>
              <w:t>dministered funds between years</w:t>
            </w:r>
          </w:p>
        </w:tc>
        <w:tc>
          <w:tcPr>
            <w:tcW w:w="992" w:type="dxa"/>
            <w:tcBorders>
              <w:top w:val="nil"/>
              <w:left w:val="nil"/>
              <w:bottom w:val="single" w:sz="4" w:space="0" w:color="auto"/>
              <w:right w:val="nil"/>
            </w:tcBorders>
            <w:shd w:val="clear" w:color="auto" w:fill="auto"/>
            <w:noWrap/>
            <w:vAlign w:val="bottom"/>
            <w:hideMark/>
          </w:tcPr>
          <w:p w14:paraId="749999FE" w14:textId="7CB77ECD" w:rsidR="00270ED1" w:rsidRPr="00140D20" w:rsidRDefault="00270ED1" w:rsidP="00270ED1">
            <w:pPr>
              <w:spacing w:after="0" w:line="240" w:lineRule="auto"/>
              <w:jc w:val="right"/>
              <w:rPr>
                <w:rFonts w:ascii="Arial" w:hAnsi="Arial" w:cs="Arial"/>
                <w:b/>
                <w:bCs/>
                <w:sz w:val="16"/>
                <w:szCs w:val="16"/>
              </w:rPr>
            </w:pPr>
            <w:r>
              <w:rPr>
                <w:rFonts w:ascii="Arial" w:hAnsi="Arial" w:cs="Arial"/>
                <w:b/>
                <w:bCs/>
                <w:sz w:val="16"/>
                <w:szCs w:val="16"/>
              </w:rPr>
              <w:t>(4,354)</w:t>
            </w:r>
          </w:p>
        </w:tc>
        <w:tc>
          <w:tcPr>
            <w:tcW w:w="992" w:type="dxa"/>
            <w:tcBorders>
              <w:top w:val="nil"/>
              <w:left w:val="nil"/>
              <w:bottom w:val="single" w:sz="4" w:space="0" w:color="auto"/>
              <w:right w:val="nil"/>
            </w:tcBorders>
            <w:shd w:val="clear" w:color="000000" w:fill="E6E6E6"/>
            <w:noWrap/>
            <w:vAlign w:val="bottom"/>
            <w:hideMark/>
          </w:tcPr>
          <w:p w14:paraId="43B5A480" w14:textId="59D5CE2F" w:rsidR="00270ED1" w:rsidRPr="00140D20" w:rsidRDefault="00270ED1" w:rsidP="00270ED1">
            <w:pPr>
              <w:spacing w:after="0" w:line="240" w:lineRule="auto"/>
              <w:jc w:val="right"/>
              <w:rPr>
                <w:rFonts w:ascii="Arial" w:hAnsi="Arial" w:cs="Arial"/>
                <w:b/>
                <w:bCs/>
                <w:sz w:val="16"/>
                <w:szCs w:val="16"/>
              </w:rPr>
            </w:pPr>
            <w:r>
              <w:rPr>
                <w:rFonts w:ascii="Arial" w:hAnsi="Arial" w:cs="Arial"/>
                <w:b/>
                <w:bCs/>
                <w:sz w:val="16"/>
                <w:szCs w:val="16"/>
              </w:rPr>
              <w:t xml:space="preserve">161 </w:t>
            </w:r>
          </w:p>
        </w:tc>
        <w:tc>
          <w:tcPr>
            <w:tcW w:w="1107" w:type="dxa"/>
            <w:tcBorders>
              <w:top w:val="nil"/>
              <w:left w:val="nil"/>
              <w:bottom w:val="single" w:sz="4" w:space="0" w:color="auto"/>
              <w:right w:val="nil"/>
            </w:tcBorders>
            <w:shd w:val="clear" w:color="auto" w:fill="auto"/>
            <w:noWrap/>
            <w:vAlign w:val="bottom"/>
            <w:hideMark/>
          </w:tcPr>
          <w:p w14:paraId="2A74ACD3" w14:textId="78421FAB" w:rsidR="00270ED1" w:rsidRPr="00140D20" w:rsidRDefault="00270ED1" w:rsidP="00270ED1">
            <w:pPr>
              <w:spacing w:after="0" w:line="240" w:lineRule="auto"/>
              <w:jc w:val="right"/>
              <w:rPr>
                <w:rFonts w:ascii="Arial" w:hAnsi="Arial" w:cs="Arial"/>
                <w:b/>
                <w:bCs/>
                <w:sz w:val="16"/>
                <w:szCs w:val="16"/>
              </w:rPr>
            </w:pPr>
            <w:r>
              <w:rPr>
                <w:rFonts w:ascii="Arial" w:hAnsi="Arial" w:cs="Arial"/>
                <w:b/>
                <w:bCs/>
                <w:sz w:val="16"/>
                <w:szCs w:val="16"/>
              </w:rPr>
              <w:t>(6,243)</w:t>
            </w:r>
          </w:p>
        </w:tc>
        <w:tc>
          <w:tcPr>
            <w:tcW w:w="977" w:type="dxa"/>
            <w:tcBorders>
              <w:top w:val="nil"/>
              <w:left w:val="nil"/>
              <w:bottom w:val="single" w:sz="4" w:space="0" w:color="auto"/>
              <w:right w:val="nil"/>
            </w:tcBorders>
            <w:shd w:val="clear" w:color="auto" w:fill="auto"/>
            <w:noWrap/>
            <w:vAlign w:val="bottom"/>
            <w:hideMark/>
          </w:tcPr>
          <w:p w14:paraId="5916EAD3" w14:textId="1260F0E2" w:rsidR="00270ED1" w:rsidRPr="00140D20" w:rsidRDefault="00270ED1" w:rsidP="00270ED1">
            <w:pPr>
              <w:spacing w:after="0" w:line="240" w:lineRule="auto"/>
              <w:jc w:val="right"/>
              <w:rPr>
                <w:rFonts w:ascii="Arial" w:hAnsi="Arial" w:cs="Arial"/>
                <w:b/>
                <w:bCs/>
                <w:sz w:val="16"/>
                <w:szCs w:val="16"/>
              </w:rPr>
            </w:pPr>
            <w:r>
              <w:rPr>
                <w:rFonts w:ascii="Arial" w:hAnsi="Arial" w:cs="Arial"/>
                <w:b/>
                <w:bCs/>
                <w:sz w:val="16"/>
                <w:szCs w:val="16"/>
              </w:rPr>
              <w:t xml:space="preserve">10,436 </w:t>
            </w:r>
          </w:p>
        </w:tc>
        <w:tc>
          <w:tcPr>
            <w:tcW w:w="977" w:type="dxa"/>
            <w:tcBorders>
              <w:top w:val="nil"/>
              <w:left w:val="nil"/>
              <w:bottom w:val="single" w:sz="4" w:space="0" w:color="auto"/>
              <w:right w:val="nil"/>
            </w:tcBorders>
            <w:shd w:val="clear" w:color="auto" w:fill="auto"/>
            <w:noWrap/>
            <w:vAlign w:val="bottom"/>
            <w:hideMark/>
          </w:tcPr>
          <w:p w14:paraId="5F3B8820" w14:textId="76CE5AAE" w:rsidR="00270ED1" w:rsidRPr="00140D20" w:rsidRDefault="00270ED1" w:rsidP="00270ED1">
            <w:pPr>
              <w:spacing w:after="0" w:line="240" w:lineRule="auto"/>
              <w:jc w:val="right"/>
              <w:rPr>
                <w:rFonts w:ascii="Arial" w:hAnsi="Arial" w:cs="Arial"/>
                <w:b/>
                <w:bCs/>
                <w:sz w:val="16"/>
                <w:szCs w:val="16"/>
              </w:rPr>
            </w:pPr>
            <w:r>
              <w:rPr>
                <w:rFonts w:ascii="Arial" w:hAnsi="Arial" w:cs="Arial"/>
                <w:b/>
                <w:bCs/>
                <w:sz w:val="16"/>
                <w:szCs w:val="16"/>
              </w:rPr>
              <w:t xml:space="preserve">- </w:t>
            </w:r>
          </w:p>
        </w:tc>
      </w:tr>
    </w:tbl>
    <w:p w14:paraId="42783021" w14:textId="579AAE78" w:rsidR="00140D20" w:rsidRPr="00BE5B2C" w:rsidRDefault="00140D20" w:rsidP="00140D20">
      <w:pPr>
        <w:pStyle w:val="TableGraphic"/>
        <w:rPr>
          <w:rFonts w:ascii="Arial" w:hAnsi="Arial" w:cs="Arial"/>
          <w:sz w:val="16"/>
          <w:lang w:val="x-none"/>
        </w:rPr>
      </w:pPr>
    </w:p>
    <w:tbl>
      <w:tblPr>
        <w:tblW w:w="0" w:type="auto"/>
        <w:tblLayout w:type="fixed"/>
        <w:tblLook w:val="04A0" w:firstRow="1" w:lastRow="0" w:firstColumn="1" w:lastColumn="0" w:noHBand="0" w:noVBand="1"/>
      </w:tblPr>
      <w:tblGrid>
        <w:gridCol w:w="2694"/>
        <w:gridCol w:w="989"/>
        <w:gridCol w:w="979"/>
      </w:tblGrid>
      <w:tr w:rsidR="00F710E0" w:rsidRPr="00EA5271" w14:paraId="25B9EE7C" w14:textId="77777777" w:rsidTr="009F7308">
        <w:trPr>
          <w:trHeight w:val="204"/>
        </w:trPr>
        <w:tc>
          <w:tcPr>
            <w:tcW w:w="2694" w:type="dxa"/>
            <w:tcBorders>
              <w:top w:val="single" w:sz="4" w:space="0" w:color="auto"/>
              <w:left w:val="nil"/>
              <w:bottom w:val="nil"/>
              <w:right w:val="nil"/>
            </w:tcBorders>
            <w:shd w:val="clear" w:color="auto" w:fill="auto"/>
            <w:noWrap/>
            <w:hideMark/>
          </w:tcPr>
          <w:p w14:paraId="751FD280" w14:textId="77777777" w:rsidR="00F710E0" w:rsidRPr="00EA5271" w:rsidRDefault="00F710E0" w:rsidP="004D30E6">
            <w:pPr>
              <w:spacing w:after="0" w:line="240" w:lineRule="auto"/>
              <w:ind w:firstLineChars="100" w:firstLine="160"/>
              <w:jc w:val="left"/>
              <w:rPr>
                <w:rFonts w:ascii="Arial" w:hAnsi="Arial" w:cs="Arial"/>
                <w:sz w:val="16"/>
                <w:szCs w:val="16"/>
              </w:rPr>
            </w:pPr>
            <w:r w:rsidRPr="00EA5271">
              <w:rPr>
                <w:rFonts w:ascii="Arial" w:hAnsi="Arial" w:cs="Arial"/>
                <w:sz w:val="16"/>
                <w:szCs w:val="16"/>
              </w:rPr>
              <w:t> </w:t>
            </w:r>
          </w:p>
        </w:tc>
        <w:tc>
          <w:tcPr>
            <w:tcW w:w="989" w:type="dxa"/>
            <w:tcBorders>
              <w:top w:val="single" w:sz="4" w:space="0" w:color="auto"/>
              <w:left w:val="nil"/>
              <w:bottom w:val="single" w:sz="4" w:space="0" w:color="auto"/>
              <w:right w:val="nil"/>
            </w:tcBorders>
            <w:shd w:val="clear" w:color="auto" w:fill="auto"/>
            <w:noWrap/>
            <w:vAlign w:val="bottom"/>
            <w:hideMark/>
          </w:tcPr>
          <w:p w14:paraId="60DB80A5" w14:textId="59562431" w:rsidR="00F710E0" w:rsidRPr="00EA5271" w:rsidRDefault="00F710E0" w:rsidP="004D30E6">
            <w:pPr>
              <w:spacing w:after="0" w:line="240" w:lineRule="auto"/>
              <w:jc w:val="right"/>
              <w:rPr>
                <w:rFonts w:ascii="Arial" w:hAnsi="Arial" w:cs="Arial"/>
                <w:sz w:val="16"/>
                <w:szCs w:val="16"/>
              </w:rPr>
            </w:pPr>
            <w:r>
              <w:rPr>
                <w:rFonts w:ascii="Arial" w:hAnsi="Arial" w:cs="Arial"/>
                <w:sz w:val="16"/>
                <w:szCs w:val="16"/>
              </w:rPr>
              <w:t xml:space="preserve">Actual </w:t>
            </w:r>
            <w:r w:rsidRPr="00EA5271">
              <w:rPr>
                <w:rFonts w:ascii="Arial" w:hAnsi="Arial" w:cs="Arial"/>
                <w:sz w:val="16"/>
                <w:szCs w:val="16"/>
              </w:rPr>
              <w:t>2020-21</w:t>
            </w:r>
          </w:p>
        </w:tc>
        <w:tc>
          <w:tcPr>
            <w:tcW w:w="979" w:type="dxa"/>
            <w:tcBorders>
              <w:top w:val="single" w:sz="4" w:space="0" w:color="auto"/>
              <w:left w:val="nil"/>
              <w:bottom w:val="single" w:sz="4" w:space="0" w:color="auto"/>
              <w:right w:val="nil"/>
            </w:tcBorders>
            <w:shd w:val="clear" w:color="000000" w:fill="E6E6E6"/>
            <w:noWrap/>
            <w:vAlign w:val="bottom"/>
            <w:hideMark/>
          </w:tcPr>
          <w:p w14:paraId="5FE3156D" w14:textId="77777777" w:rsidR="00F710E0" w:rsidRPr="00EA5271" w:rsidRDefault="00F710E0" w:rsidP="004D30E6">
            <w:pPr>
              <w:spacing w:after="0" w:line="240" w:lineRule="auto"/>
              <w:jc w:val="right"/>
              <w:rPr>
                <w:rFonts w:ascii="Arial" w:hAnsi="Arial" w:cs="Arial"/>
                <w:sz w:val="16"/>
                <w:szCs w:val="16"/>
              </w:rPr>
            </w:pPr>
            <w:r w:rsidRPr="00EA5271">
              <w:rPr>
                <w:rFonts w:ascii="Arial" w:hAnsi="Arial" w:cs="Arial"/>
                <w:sz w:val="16"/>
                <w:szCs w:val="16"/>
              </w:rPr>
              <w:t>2021-22</w:t>
            </w:r>
          </w:p>
        </w:tc>
      </w:tr>
      <w:tr w:rsidR="00F710E0" w:rsidRPr="00EA5271" w14:paraId="57D5E51A" w14:textId="77777777" w:rsidTr="009F7308">
        <w:trPr>
          <w:trHeight w:val="204"/>
        </w:trPr>
        <w:tc>
          <w:tcPr>
            <w:tcW w:w="2694" w:type="dxa"/>
            <w:tcBorders>
              <w:top w:val="nil"/>
              <w:left w:val="nil"/>
              <w:bottom w:val="single" w:sz="4" w:space="0" w:color="auto"/>
              <w:right w:val="nil"/>
            </w:tcBorders>
            <w:shd w:val="clear" w:color="auto" w:fill="auto"/>
            <w:noWrap/>
            <w:hideMark/>
          </w:tcPr>
          <w:p w14:paraId="68FED67F" w14:textId="77777777" w:rsidR="00F710E0" w:rsidRPr="00EA5271" w:rsidRDefault="00F710E0" w:rsidP="004D30E6">
            <w:pPr>
              <w:spacing w:after="0" w:line="240" w:lineRule="auto"/>
              <w:jc w:val="left"/>
              <w:rPr>
                <w:rFonts w:ascii="Arial" w:hAnsi="Arial" w:cs="Arial"/>
                <w:b/>
                <w:bCs/>
                <w:sz w:val="16"/>
                <w:szCs w:val="16"/>
              </w:rPr>
            </w:pPr>
            <w:r w:rsidRPr="00EA5271">
              <w:rPr>
                <w:rFonts w:ascii="Arial" w:hAnsi="Arial" w:cs="Arial"/>
                <w:b/>
                <w:bCs/>
                <w:sz w:val="16"/>
                <w:szCs w:val="16"/>
              </w:rPr>
              <w:t>Average staffing level (number)</w:t>
            </w:r>
          </w:p>
        </w:tc>
        <w:tc>
          <w:tcPr>
            <w:tcW w:w="989" w:type="dxa"/>
            <w:tcBorders>
              <w:top w:val="nil"/>
              <w:left w:val="nil"/>
              <w:bottom w:val="single" w:sz="4" w:space="0" w:color="auto"/>
              <w:right w:val="nil"/>
            </w:tcBorders>
            <w:shd w:val="clear" w:color="auto" w:fill="FFFFFF" w:themeFill="background1"/>
            <w:noWrap/>
            <w:vAlign w:val="bottom"/>
            <w:hideMark/>
          </w:tcPr>
          <w:p w14:paraId="1377C2F8" w14:textId="3242BCF8" w:rsidR="00F710E0" w:rsidRPr="005718F0" w:rsidRDefault="0091673C" w:rsidP="004D30E6">
            <w:pPr>
              <w:spacing w:after="0" w:line="240" w:lineRule="auto"/>
              <w:jc w:val="right"/>
              <w:rPr>
                <w:rFonts w:ascii="Arial" w:hAnsi="Arial" w:cs="Arial"/>
                <w:sz w:val="16"/>
                <w:szCs w:val="16"/>
              </w:rPr>
            </w:pPr>
            <w:r w:rsidRPr="005718F0">
              <w:rPr>
                <w:rFonts w:ascii="Arial" w:hAnsi="Arial" w:cs="Arial"/>
                <w:sz w:val="16"/>
                <w:szCs w:val="16"/>
              </w:rPr>
              <w:t>265</w:t>
            </w:r>
          </w:p>
        </w:tc>
        <w:tc>
          <w:tcPr>
            <w:tcW w:w="979" w:type="dxa"/>
            <w:tcBorders>
              <w:top w:val="nil"/>
              <w:left w:val="nil"/>
              <w:bottom w:val="single" w:sz="4" w:space="0" w:color="auto"/>
              <w:right w:val="nil"/>
            </w:tcBorders>
            <w:shd w:val="clear" w:color="auto" w:fill="E6E6E6"/>
            <w:noWrap/>
            <w:vAlign w:val="bottom"/>
            <w:hideMark/>
          </w:tcPr>
          <w:p w14:paraId="747F6F18" w14:textId="77777777" w:rsidR="00F710E0" w:rsidRPr="005718F0" w:rsidRDefault="00F710E0" w:rsidP="004D30E6">
            <w:pPr>
              <w:spacing w:after="0" w:line="240" w:lineRule="auto"/>
              <w:jc w:val="right"/>
              <w:rPr>
                <w:rFonts w:ascii="Arial" w:hAnsi="Arial" w:cs="Arial"/>
                <w:sz w:val="16"/>
                <w:szCs w:val="16"/>
              </w:rPr>
            </w:pPr>
            <w:r w:rsidRPr="005718F0">
              <w:rPr>
                <w:rFonts w:ascii="Arial" w:hAnsi="Arial" w:cs="Arial"/>
                <w:sz w:val="16"/>
                <w:szCs w:val="16"/>
              </w:rPr>
              <w:t xml:space="preserve">258 </w:t>
            </w:r>
          </w:p>
        </w:tc>
      </w:tr>
    </w:tbl>
    <w:p w14:paraId="0E06AEA4" w14:textId="78413190" w:rsidR="00F710E0" w:rsidRDefault="00F710E0" w:rsidP="00F10ACD">
      <w:pPr>
        <w:numPr>
          <w:ilvl w:val="0"/>
          <w:numId w:val="52"/>
        </w:numPr>
        <w:spacing w:before="60" w:after="0" w:line="240" w:lineRule="auto"/>
        <w:jc w:val="left"/>
        <w:rPr>
          <w:rFonts w:ascii="Arial" w:hAnsi="Arial" w:cs="Arial"/>
          <w:sz w:val="16"/>
          <w:szCs w:val="16"/>
        </w:rPr>
      </w:pPr>
      <w:r w:rsidRPr="00EA5271">
        <w:rPr>
          <w:rFonts w:ascii="Arial" w:hAnsi="Arial" w:cs="Arial"/>
          <w:sz w:val="16"/>
          <w:szCs w:val="16"/>
        </w:rPr>
        <w:t xml:space="preserve">Relates to appropriation for corporate entities provided through the </w:t>
      </w:r>
      <w:r w:rsidR="008863D9">
        <w:rPr>
          <w:rFonts w:ascii="Arial" w:hAnsi="Arial" w:cs="Arial"/>
          <w:sz w:val="16"/>
          <w:szCs w:val="16"/>
        </w:rPr>
        <w:t>Department</w:t>
      </w:r>
      <w:r w:rsidRPr="00EA5271">
        <w:rPr>
          <w:rFonts w:ascii="Arial" w:hAnsi="Arial" w:cs="Arial"/>
          <w:sz w:val="16"/>
          <w:szCs w:val="16"/>
        </w:rPr>
        <w:t>.</w:t>
      </w:r>
    </w:p>
    <w:p w14:paraId="6F5A4593" w14:textId="3B238DC3" w:rsidR="00F710E0" w:rsidRDefault="00F710E0" w:rsidP="00F10ACD">
      <w:pPr>
        <w:numPr>
          <w:ilvl w:val="0"/>
          <w:numId w:val="52"/>
        </w:numPr>
        <w:spacing w:after="0" w:line="240" w:lineRule="auto"/>
        <w:jc w:val="left"/>
        <w:rPr>
          <w:rFonts w:ascii="Arial" w:hAnsi="Arial" w:cs="Arial"/>
          <w:sz w:val="16"/>
          <w:szCs w:val="16"/>
        </w:rPr>
      </w:pPr>
      <w:r w:rsidRPr="00EA5271">
        <w:rPr>
          <w:rFonts w:ascii="Arial" w:hAnsi="Arial" w:cs="Arial"/>
          <w:sz w:val="16"/>
          <w:szCs w:val="16"/>
        </w:rPr>
        <w:t>Administered ‘Expenses not requiring appropriation in the Budget year’ comprises expenses relating to concessional loans, accruals, payments made from prior year appropriations and other non–cash expenses.</w:t>
      </w:r>
    </w:p>
    <w:p w14:paraId="2AB0A5B9" w14:textId="01F5D23B" w:rsidR="00F710E0" w:rsidRDefault="00F710E0" w:rsidP="00F10ACD">
      <w:pPr>
        <w:numPr>
          <w:ilvl w:val="0"/>
          <w:numId w:val="52"/>
        </w:numPr>
        <w:spacing w:after="0" w:line="240" w:lineRule="auto"/>
        <w:jc w:val="left"/>
        <w:rPr>
          <w:rFonts w:ascii="Arial" w:hAnsi="Arial" w:cs="Arial"/>
          <w:sz w:val="16"/>
          <w:szCs w:val="16"/>
        </w:rPr>
      </w:pPr>
      <w:r w:rsidRPr="00EA5271">
        <w:rPr>
          <w:rFonts w:ascii="Arial" w:hAnsi="Arial" w:cs="Arial"/>
          <w:sz w:val="16"/>
          <w:szCs w:val="16"/>
        </w:rPr>
        <w:t>Estimated expenses incurred in relation to receipts retained under section 74 of the PGPA Act.</w:t>
      </w:r>
    </w:p>
    <w:p w14:paraId="77A0685E" w14:textId="32332BA7" w:rsidR="00F710E0" w:rsidRDefault="008863D9" w:rsidP="00F10ACD">
      <w:pPr>
        <w:numPr>
          <w:ilvl w:val="0"/>
          <w:numId w:val="52"/>
        </w:numPr>
        <w:spacing w:after="0" w:line="240" w:lineRule="auto"/>
        <w:jc w:val="left"/>
        <w:rPr>
          <w:rFonts w:ascii="Arial" w:hAnsi="Arial" w:cs="Arial"/>
          <w:sz w:val="16"/>
          <w:szCs w:val="16"/>
        </w:rPr>
      </w:pPr>
      <w:r>
        <w:rPr>
          <w:rFonts w:ascii="Arial" w:hAnsi="Arial" w:cs="Arial"/>
          <w:sz w:val="16"/>
          <w:szCs w:val="16"/>
        </w:rPr>
        <w:t>Department</w:t>
      </w:r>
      <w:r w:rsidR="00F710E0" w:rsidRPr="00EA5271">
        <w:rPr>
          <w:rFonts w:ascii="Arial" w:hAnsi="Arial" w:cs="Arial"/>
          <w:sz w:val="16"/>
          <w:szCs w:val="16"/>
        </w:rPr>
        <w:t>al ‘Expenses not requiring appropriation in the Budget year’ is made up of depreciation and amortisation expenses and expenses that are reduced by associated receipts.</w:t>
      </w:r>
    </w:p>
    <w:p w14:paraId="1D64D1CB" w14:textId="0D74B69A" w:rsidR="0091673C" w:rsidRDefault="00F710E0" w:rsidP="00F10ACD">
      <w:pPr>
        <w:numPr>
          <w:ilvl w:val="0"/>
          <w:numId w:val="52"/>
        </w:numPr>
        <w:spacing w:after="0" w:line="240" w:lineRule="auto"/>
        <w:jc w:val="left"/>
        <w:rPr>
          <w:rFonts w:ascii="Arial" w:hAnsi="Arial" w:cs="Arial"/>
          <w:sz w:val="16"/>
          <w:szCs w:val="16"/>
        </w:rPr>
      </w:pPr>
      <w:r w:rsidRPr="00EA5271">
        <w:rPr>
          <w:rFonts w:ascii="Arial" w:hAnsi="Arial" w:cs="Arial"/>
          <w:sz w:val="16"/>
          <w:szCs w:val="16"/>
        </w:rPr>
        <w:t>Figures displayed as a negative (</w:t>
      </w:r>
      <w:r w:rsidR="00B45396">
        <w:rPr>
          <w:rFonts w:ascii="Arial" w:hAnsi="Arial" w:cs="Arial"/>
          <w:sz w:val="16"/>
          <w:szCs w:val="16"/>
        </w:rPr>
        <w:t>-</w:t>
      </w:r>
      <w:r w:rsidRPr="00EA5271">
        <w:rPr>
          <w:rFonts w:ascii="Arial" w:hAnsi="Arial" w:cs="Arial"/>
          <w:sz w:val="16"/>
          <w:szCs w:val="16"/>
        </w:rPr>
        <w:t>) represent a decrease in funds and a positive (+) represent an increase</w:t>
      </w:r>
      <w:r>
        <w:rPr>
          <w:rFonts w:ascii="Arial" w:hAnsi="Arial" w:cs="Arial"/>
          <w:sz w:val="16"/>
          <w:szCs w:val="16"/>
        </w:rPr>
        <w:t xml:space="preserve"> </w:t>
      </w:r>
      <w:r w:rsidRPr="00EA5271">
        <w:rPr>
          <w:rFonts w:ascii="Arial" w:hAnsi="Arial" w:cs="Arial"/>
          <w:sz w:val="16"/>
          <w:szCs w:val="16"/>
        </w:rPr>
        <w:t>in funds.</w:t>
      </w:r>
    </w:p>
    <w:p w14:paraId="5ADE9F98" w14:textId="3E4D05A8" w:rsidR="00F24C07" w:rsidRDefault="00F24C07" w:rsidP="00F24C07">
      <w:pPr>
        <w:spacing w:after="0" w:line="240" w:lineRule="auto"/>
        <w:rPr>
          <w:rFonts w:ascii="Arial" w:hAnsi="Arial" w:cs="Arial"/>
          <w:sz w:val="16"/>
          <w:szCs w:val="16"/>
        </w:rPr>
      </w:pPr>
      <w:r w:rsidRPr="00F24C07">
        <w:rPr>
          <w:rFonts w:ascii="Arial" w:hAnsi="Arial" w:cs="Arial"/>
          <w:sz w:val="16"/>
          <w:szCs w:val="16"/>
        </w:rPr>
        <w:t xml:space="preserve">Note: Departmental appropriation splits and totals are indicative estimates and may change in the course of the budget year as government priorities change. </w:t>
      </w:r>
    </w:p>
    <w:p w14:paraId="6A2650CB" w14:textId="77777777" w:rsidR="007E02F0" w:rsidRDefault="007E02F0">
      <w:pPr>
        <w:spacing w:after="0" w:line="240" w:lineRule="auto"/>
        <w:jc w:val="left"/>
        <w:rPr>
          <w:rFonts w:ascii="Arial" w:hAnsi="Arial"/>
          <w:b/>
          <w:lang w:val="x-none"/>
        </w:rPr>
      </w:pPr>
      <w:r>
        <w:br w:type="page"/>
      </w:r>
    </w:p>
    <w:p w14:paraId="31D9C076" w14:textId="7BAAFFDA" w:rsidR="000120C5" w:rsidRDefault="00000153" w:rsidP="00BF6CA0">
      <w:pPr>
        <w:pStyle w:val="TableHeading"/>
      </w:pPr>
      <w:r w:rsidRPr="00192B13">
        <w:lastRenderedPageBreak/>
        <w:t>Table 2.</w:t>
      </w:r>
      <w:r w:rsidRPr="00192B13">
        <w:rPr>
          <w:lang w:val="en-AU"/>
        </w:rPr>
        <w:t>2</w:t>
      </w:r>
      <w:r w:rsidRPr="00192B13">
        <w:t xml:space="preserve">.2: Program components of Outcome </w:t>
      </w:r>
      <w:r w:rsidRPr="00192B13">
        <w:rPr>
          <w:lang w:val="en-US"/>
        </w:rPr>
        <w:t>1</w:t>
      </w:r>
      <w:r w:rsidRPr="00192B13">
        <w:t xml:space="preserve"> </w:t>
      </w:r>
    </w:p>
    <w:tbl>
      <w:tblPr>
        <w:tblW w:w="7738" w:type="dxa"/>
        <w:tblLayout w:type="fixed"/>
        <w:tblLook w:val="04A0" w:firstRow="1" w:lastRow="0" w:firstColumn="1" w:lastColumn="0" w:noHBand="0" w:noVBand="1"/>
      </w:tblPr>
      <w:tblGrid>
        <w:gridCol w:w="2835"/>
        <w:gridCol w:w="993"/>
        <w:gridCol w:w="975"/>
        <w:gridCol w:w="7"/>
        <w:gridCol w:w="969"/>
        <w:gridCol w:w="7"/>
        <w:gridCol w:w="969"/>
        <w:gridCol w:w="7"/>
        <w:gridCol w:w="969"/>
        <w:gridCol w:w="7"/>
      </w:tblGrid>
      <w:tr w:rsidR="00FB18CA" w:rsidRPr="007C61C1" w14:paraId="2323374A" w14:textId="77777777" w:rsidTr="00E34CEC">
        <w:trPr>
          <w:trHeight w:val="203"/>
        </w:trPr>
        <w:tc>
          <w:tcPr>
            <w:tcW w:w="2835" w:type="dxa"/>
            <w:tcBorders>
              <w:top w:val="single" w:sz="4" w:space="0" w:color="auto"/>
              <w:left w:val="nil"/>
              <w:bottom w:val="nil"/>
              <w:right w:val="nil"/>
            </w:tcBorders>
            <w:shd w:val="clear" w:color="auto" w:fill="auto"/>
            <w:noWrap/>
            <w:vAlign w:val="bottom"/>
            <w:hideMark/>
          </w:tcPr>
          <w:p w14:paraId="16E3794B" w14:textId="77777777" w:rsidR="00FB18CA" w:rsidRPr="007C61C1" w:rsidRDefault="00FB18CA" w:rsidP="00FB18CA">
            <w:pPr>
              <w:spacing w:after="0" w:line="240" w:lineRule="auto"/>
              <w:jc w:val="left"/>
              <w:rPr>
                <w:rFonts w:ascii="Arial" w:hAnsi="Arial" w:cs="Arial"/>
                <w:sz w:val="16"/>
                <w:szCs w:val="16"/>
              </w:rPr>
            </w:pPr>
            <w:r w:rsidRPr="007C61C1">
              <w:rPr>
                <w:rFonts w:ascii="Arial" w:hAnsi="Arial" w:cs="Arial"/>
                <w:sz w:val="16"/>
                <w:szCs w:val="16"/>
              </w:rPr>
              <w:t> </w:t>
            </w:r>
          </w:p>
        </w:tc>
        <w:tc>
          <w:tcPr>
            <w:tcW w:w="993" w:type="dxa"/>
            <w:tcBorders>
              <w:top w:val="single" w:sz="4" w:space="0" w:color="auto"/>
              <w:left w:val="nil"/>
              <w:bottom w:val="single" w:sz="4" w:space="0" w:color="auto"/>
              <w:right w:val="nil"/>
            </w:tcBorders>
            <w:shd w:val="clear" w:color="auto" w:fill="auto"/>
            <w:vAlign w:val="bottom"/>
            <w:hideMark/>
          </w:tcPr>
          <w:p w14:paraId="2FB0EA85" w14:textId="57CD76D4" w:rsidR="00FB18CA" w:rsidRPr="007C61C1" w:rsidRDefault="00FB18CA" w:rsidP="00FB18CA">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82" w:type="dxa"/>
            <w:gridSpan w:val="2"/>
            <w:tcBorders>
              <w:top w:val="single" w:sz="4" w:space="0" w:color="auto"/>
              <w:left w:val="nil"/>
              <w:bottom w:val="single" w:sz="4" w:space="0" w:color="auto"/>
              <w:right w:val="nil"/>
            </w:tcBorders>
            <w:shd w:val="clear" w:color="000000" w:fill="E6E6E6"/>
            <w:vAlign w:val="bottom"/>
            <w:hideMark/>
          </w:tcPr>
          <w:p w14:paraId="3121B39A" w14:textId="46745624" w:rsidR="00FB18CA" w:rsidRPr="007C61C1" w:rsidRDefault="00FB18CA" w:rsidP="00FB18CA">
            <w:pPr>
              <w:spacing w:after="0" w:line="240" w:lineRule="auto"/>
              <w:ind w:left="-112" w:firstLine="112"/>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76" w:type="dxa"/>
            <w:gridSpan w:val="2"/>
            <w:tcBorders>
              <w:top w:val="single" w:sz="4" w:space="0" w:color="auto"/>
              <w:left w:val="nil"/>
              <w:bottom w:val="single" w:sz="4" w:space="0" w:color="auto"/>
              <w:right w:val="nil"/>
            </w:tcBorders>
            <w:shd w:val="clear" w:color="auto" w:fill="auto"/>
            <w:vAlign w:val="bottom"/>
            <w:hideMark/>
          </w:tcPr>
          <w:p w14:paraId="74F3F921" w14:textId="05B4999B" w:rsidR="00FB18CA" w:rsidRPr="007C61C1" w:rsidRDefault="00FB18CA" w:rsidP="00FB18CA">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76" w:type="dxa"/>
            <w:gridSpan w:val="2"/>
            <w:tcBorders>
              <w:top w:val="single" w:sz="4" w:space="0" w:color="auto"/>
              <w:left w:val="nil"/>
              <w:bottom w:val="single" w:sz="4" w:space="0" w:color="auto"/>
              <w:right w:val="nil"/>
            </w:tcBorders>
            <w:shd w:val="clear" w:color="auto" w:fill="auto"/>
            <w:vAlign w:val="bottom"/>
            <w:hideMark/>
          </w:tcPr>
          <w:p w14:paraId="4EA94D31" w14:textId="41723E59" w:rsidR="00FB18CA" w:rsidRPr="007C61C1" w:rsidRDefault="00FB18CA" w:rsidP="00FB18CA">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76" w:type="dxa"/>
            <w:gridSpan w:val="2"/>
            <w:tcBorders>
              <w:top w:val="single" w:sz="4" w:space="0" w:color="auto"/>
              <w:left w:val="nil"/>
              <w:bottom w:val="single" w:sz="4" w:space="0" w:color="auto"/>
              <w:right w:val="nil"/>
            </w:tcBorders>
            <w:shd w:val="clear" w:color="auto" w:fill="auto"/>
            <w:vAlign w:val="bottom"/>
            <w:hideMark/>
          </w:tcPr>
          <w:p w14:paraId="50032159" w14:textId="5506F272" w:rsidR="00FB18CA" w:rsidRPr="007C61C1" w:rsidRDefault="00FB18CA" w:rsidP="00FB18CA">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7C61C1" w:rsidRPr="007C61C1" w14:paraId="40E2E254" w14:textId="77777777" w:rsidTr="00E34CEC">
        <w:trPr>
          <w:gridAfter w:val="1"/>
          <w:wAfter w:w="7" w:type="dxa"/>
          <w:trHeight w:val="203"/>
        </w:trPr>
        <w:tc>
          <w:tcPr>
            <w:tcW w:w="4803" w:type="dxa"/>
            <w:gridSpan w:val="3"/>
            <w:tcBorders>
              <w:top w:val="single" w:sz="4" w:space="0" w:color="auto"/>
              <w:left w:val="nil"/>
              <w:bottom w:val="single" w:sz="4" w:space="0" w:color="auto"/>
              <w:right w:val="nil"/>
            </w:tcBorders>
            <w:shd w:val="clear" w:color="000000" w:fill="E6E6E6"/>
            <w:noWrap/>
            <w:vAlign w:val="bottom"/>
            <w:hideMark/>
          </w:tcPr>
          <w:p w14:paraId="62426AA0" w14:textId="77777777" w:rsidR="007C61C1" w:rsidRPr="007C61C1" w:rsidRDefault="007C61C1" w:rsidP="007C61C1">
            <w:pPr>
              <w:spacing w:after="0" w:line="240" w:lineRule="auto"/>
              <w:jc w:val="left"/>
              <w:rPr>
                <w:rFonts w:ascii="Arial" w:hAnsi="Arial" w:cs="Arial"/>
                <w:b/>
                <w:bCs/>
                <w:sz w:val="16"/>
                <w:szCs w:val="16"/>
              </w:rPr>
            </w:pPr>
            <w:r w:rsidRPr="007C61C1">
              <w:rPr>
                <w:rFonts w:ascii="Arial" w:hAnsi="Arial" w:cs="Arial"/>
                <w:b/>
                <w:bCs/>
                <w:sz w:val="16"/>
                <w:szCs w:val="16"/>
              </w:rPr>
              <w:t>Components for Program 1.1: Infrastructure Investment</w:t>
            </w:r>
          </w:p>
        </w:tc>
        <w:tc>
          <w:tcPr>
            <w:tcW w:w="976" w:type="dxa"/>
            <w:gridSpan w:val="2"/>
            <w:tcBorders>
              <w:top w:val="nil"/>
              <w:left w:val="nil"/>
              <w:bottom w:val="single" w:sz="4" w:space="0" w:color="auto"/>
              <w:right w:val="nil"/>
            </w:tcBorders>
            <w:shd w:val="clear" w:color="000000" w:fill="E6E6E6"/>
            <w:noWrap/>
            <w:vAlign w:val="bottom"/>
            <w:hideMark/>
          </w:tcPr>
          <w:p w14:paraId="290173DD" w14:textId="77777777" w:rsidR="007C61C1" w:rsidRPr="007C61C1" w:rsidRDefault="007C61C1" w:rsidP="007C61C1">
            <w:pPr>
              <w:spacing w:after="0" w:line="240" w:lineRule="auto"/>
              <w:jc w:val="left"/>
              <w:rPr>
                <w:rFonts w:ascii="Arial" w:hAnsi="Arial" w:cs="Arial"/>
                <w:sz w:val="16"/>
                <w:szCs w:val="16"/>
              </w:rPr>
            </w:pPr>
            <w:r w:rsidRPr="007C61C1">
              <w:rPr>
                <w:rFonts w:ascii="Arial" w:hAnsi="Arial" w:cs="Arial"/>
                <w:sz w:val="16"/>
                <w:szCs w:val="16"/>
              </w:rPr>
              <w:t> </w:t>
            </w:r>
          </w:p>
        </w:tc>
        <w:tc>
          <w:tcPr>
            <w:tcW w:w="976" w:type="dxa"/>
            <w:gridSpan w:val="2"/>
            <w:tcBorders>
              <w:top w:val="nil"/>
              <w:left w:val="nil"/>
              <w:bottom w:val="single" w:sz="4" w:space="0" w:color="auto"/>
              <w:right w:val="nil"/>
            </w:tcBorders>
            <w:shd w:val="clear" w:color="000000" w:fill="E6E6E6"/>
            <w:noWrap/>
            <w:vAlign w:val="bottom"/>
            <w:hideMark/>
          </w:tcPr>
          <w:p w14:paraId="37C6A2CD" w14:textId="77777777" w:rsidR="007C61C1" w:rsidRPr="007C61C1" w:rsidRDefault="007C61C1" w:rsidP="007C61C1">
            <w:pPr>
              <w:spacing w:after="0" w:line="240" w:lineRule="auto"/>
              <w:jc w:val="left"/>
              <w:rPr>
                <w:rFonts w:ascii="Arial" w:hAnsi="Arial" w:cs="Arial"/>
                <w:sz w:val="16"/>
                <w:szCs w:val="16"/>
              </w:rPr>
            </w:pPr>
            <w:r w:rsidRPr="007C61C1">
              <w:rPr>
                <w:rFonts w:ascii="Arial" w:hAnsi="Arial" w:cs="Arial"/>
                <w:sz w:val="16"/>
                <w:szCs w:val="16"/>
              </w:rPr>
              <w:t> </w:t>
            </w:r>
          </w:p>
        </w:tc>
        <w:tc>
          <w:tcPr>
            <w:tcW w:w="976" w:type="dxa"/>
            <w:gridSpan w:val="2"/>
            <w:tcBorders>
              <w:top w:val="nil"/>
              <w:left w:val="nil"/>
              <w:bottom w:val="single" w:sz="4" w:space="0" w:color="auto"/>
              <w:right w:val="nil"/>
            </w:tcBorders>
            <w:shd w:val="clear" w:color="000000" w:fill="E6E6E6"/>
            <w:noWrap/>
            <w:vAlign w:val="bottom"/>
            <w:hideMark/>
          </w:tcPr>
          <w:p w14:paraId="5A60712E" w14:textId="77777777" w:rsidR="007C61C1" w:rsidRPr="007C61C1" w:rsidRDefault="007C61C1" w:rsidP="007C61C1">
            <w:pPr>
              <w:spacing w:after="0" w:line="240" w:lineRule="auto"/>
              <w:jc w:val="left"/>
              <w:rPr>
                <w:rFonts w:ascii="Arial" w:hAnsi="Arial" w:cs="Arial"/>
                <w:sz w:val="16"/>
                <w:szCs w:val="16"/>
              </w:rPr>
            </w:pPr>
            <w:r w:rsidRPr="007C61C1">
              <w:rPr>
                <w:rFonts w:ascii="Arial" w:hAnsi="Arial" w:cs="Arial"/>
                <w:sz w:val="16"/>
                <w:szCs w:val="16"/>
              </w:rPr>
              <w:t> </w:t>
            </w:r>
          </w:p>
        </w:tc>
      </w:tr>
      <w:tr w:rsidR="007C61C1" w:rsidRPr="007C61C1" w14:paraId="2778BB99" w14:textId="77777777" w:rsidTr="00E34CEC">
        <w:trPr>
          <w:trHeight w:val="204"/>
        </w:trPr>
        <w:tc>
          <w:tcPr>
            <w:tcW w:w="2835" w:type="dxa"/>
            <w:tcBorders>
              <w:top w:val="nil"/>
              <w:left w:val="nil"/>
              <w:bottom w:val="nil"/>
              <w:right w:val="nil"/>
            </w:tcBorders>
            <w:shd w:val="clear" w:color="auto" w:fill="auto"/>
            <w:noWrap/>
            <w:vAlign w:val="bottom"/>
            <w:hideMark/>
          </w:tcPr>
          <w:p w14:paraId="5B118A94" w14:textId="77777777" w:rsidR="007C61C1" w:rsidRPr="007C61C1" w:rsidRDefault="007C61C1" w:rsidP="007C61C1">
            <w:pPr>
              <w:spacing w:after="0" w:line="240" w:lineRule="auto"/>
              <w:jc w:val="left"/>
              <w:rPr>
                <w:rFonts w:ascii="Arial" w:hAnsi="Arial" w:cs="Arial"/>
                <w:sz w:val="16"/>
                <w:szCs w:val="16"/>
              </w:rPr>
            </w:pPr>
            <w:r w:rsidRPr="007C61C1">
              <w:rPr>
                <w:rFonts w:ascii="Arial" w:hAnsi="Arial" w:cs="Arial"/>
                <w:sz w:val="16"/>
                <w:szCs w:val="16"/>
              </w:rPr>
              <w:t>Administered expenses</w:t>
            </w:r>
          </w:p>
        </w:tc>
        <w:tc>
          <w:tcPr>
            <w:tcW w:w="993" w:type="dxa"/>
            <w:tcBorders>
              <w:top w:val="nil"/>
              <w:left w:val="nil"/>
              <w:bottom w:val="nil"/>
              <w:right w:val="nil"/>
            </w:tcBorders>
            <w:shd w:val="clear" w:color="auto" w:fill="auto"/>
            <w:noWrap/>
            <w:vAlign w:val="bottom"/>
            <w:hideMark/>
          </w:tcPr>
          <w:p w14:paraId="4AFE3658" w14:textId="77777777" w:rsidR="007C61C1" w:rsidRPr="007C61C1" w:rsidRDefault="007C61C1" w:rsidP="007C61C1">
            <w:pPr>
              <w:spacing w:after="0" w:line="240" w:lineRule="auto"/>
              <w:jc w:val="left"/>
              <w:rPr>
                <w:rFonts w:ascii="Arial" w:hAnsi="Arial" w:cs="Arial"/>
                <w:sz w:val="16"/>
                <w:szCs w:val="16"/>
              </w:rPr>
            </w:pPr>
          </w:p>
        </w:tc>
        <w:tc>
          <w:tcPr>
            <w:tcW w:w="982" w:type="dxa"/>
            <w:gridSpan w:val="2"/>
            <w:tcBorders>
              <w:top w:val="nil"/>
              <w:left w:val="nil"/>
              <w:bottom w:val="nil"/>
              <w:right w:val="nil"/>
            </w:tcBorders>
            <w:shd w:val="clear" w:color="000000" w:fill="E6E6E6"/>
            <w:noWrap/>
            <w:vAlign w:val="bottom"/>
            <w:hideMark/>
          </w:tcPr>
          <w:p w14:paraId="15779AFF" w14:textId="71C117D3" w:rsidR="007C61C1" w:rsidRPr="007C61C1" w:rsidRDefault="007C61C1" w:rsidP="007C61C1">
            <w:pPr>
              <w:spacing w:after="0" w:line="240" w:lineRule="auto"/>
              <w:jc w:val="right"/>
              <w:rPr>
                <w:rFonts w:ascii="Arial" w:hAnsi="Arial" w:cs="Arial"/>
                <w:sz w:val="16"/>
                <w:szCs w:val="16"/>
              </w:rPr>
            </w:pPr>
          </w:p>
        </w:tc>
        <w:tc>
          <w:tcPr>
            <w:tcW w:w="976" w:type="dxa"/>
            <w:gridSpan w:val="2"/>
            <w:tcBorders>
              <w:top w:val="nil"/>
              <w:left w:val="nil"/>
              <w:bottom w:val="nil"/>
              <w:right w:val="nil"/>
            </w:tcBorders>
            <w:shd w:val="clear" w:color="auto" w:fill="auto"/>
            <w:noWrap/>
            <w:vAlign w:val="bottom"/>
            <w:hideMark/>
          </w:tcPr>
          <w:p w14:paraId="2881F7FD" w14:textId="77777777" w:rsidR="007C61C1" w:rsidRPr="007C61C1" w:rsidRDefault="007C61C1" w:rsidP="007C61C1">
            <w:pPr>
              <w:spacing w:after="0" w:line="240" w:lineRule="auto"/>
              <w:jc w:val="right"/>
              <w:rPr>
                <w:rFonts w:ascii="Arial" w:hAnsi="Arial" w:cs="Arial"/>
                <w:sz w:val="16"/>
                <w:szCs w:val="16"/>
              </w:rPr>
            </w:pPr>
          </w:p>
        </w:tc>
        <w:tc>
          <w:tcPr>
            <w:tcW w:w="976" w:type="dxa"/>
            <w:gridSpan w:val="2"/>
            <w:tcBorders>
              <w:top w:val="nil"/>
              <w:left w:val="nil"/>
              <w:bottom w:val="nil"/>
              <w:right w:val="nil"/>
            </w:tcBorders>
            <w:shd w:val="clear" w:color="auto" w:fill="auto"/>
            <w:noWrap/>
            <w:vAlign w:val="bottom"/>
            <w:hideMark/>
          </w:tcPr>
          <w:p w14:paraId="1D13661A" w14:textId="77777777" w:rsidR="007C61C1" w:rsidRPr="007C61C1" w:rsidRDefault="007C61C1" w:rsidP="007C61C1">
            <w:pPr>
              <w:spacing w:after="0" w:line="240" w:lineRule="auto"/>
              <w:jc w:val="right"/>
              <w:rPr>
                <w:rFonts w:ascii="Times New Roman" w:hAnsi="Times New Roman"/>
              </w:rPr>
            </w:pPr>
          </w:p>
        </w:tc>
        <w:tc>
          <w:tcPr>
            <w:tcW w:w="976" w:type="dxa"/>
            <w:gridSpan w:val="2"/>
            <w:tcBorders>
              <w:top w:val="nil"/>
              <w:left w:val="nil"/>
              <w:bottom w:val="nil"/>
              <w:right w:val="nil"/>
            </w:tcBorders>
            <w:shd w:val="clear" w:color="auto" w:fill="auto"/>
            <w:noWrap/>
            <w:vAlign w:val="bottom"/>
            <w:hideMark/>
          </w:tcPr>
          <w:p w14:paraId="0C40A7F9" w14:textId="77777777" w:rsidR="007C61C1" w:rsidRPr="007C61C1" w:rsidRDefault="007C61C1" w:rsidP="007C61C1">
            <w:pPr>
              <w:spacing w:after="0" w:line="240" w:lineRule="auto"/>
              <w:jc w:val="right"/>
              <w:rPr>
                <w:rFonts w:ascii="Times New Roman" w:hAnsi="Times New Roman"/>
              </w:rPr>
            </w:pPr>
          </w:p>
        </w:tc>
      </w:tr>
      <w:tr w:rsidR="003815D1" w:rsidRPr="007C61C1" w14:paraId="20AB7005" w14:textId="77777777" w:rsidTr="00E34CEC">
        <w:trPr>
          <w:trHeight w:val="204"/>
        </w:trPr>
        <w:tc>
          <w:tcPr>
            <w:tcW w:w="2835" w:type="dxa"/>
            <w:tcBorders>
              <w:top w:val="nil"/>
              <w:left w:val="nil"/>
              <w:bottom w:val="nil"/>
              <w:right w:val="nil"/>
            </w:tcBorders>
            <w:shd w:val="clear" w:color="auto" w:fill="auto"/>
            <w:vAlign w:val="bottom"/>
            <w:hideMark/>
          </w:tcPr>
          <w:p w14:paraId="5DC1A2A3" w14:textId="77777777" w:rsidR="003815D1" w:rsidRPr="007C61C1" w:rsidRDefault="003815D1" w:rsidP="003815D1">
            <w:pPr>
              <w:spacing w:after="0" w:line="240" w:lineRule="auto"/>
              <w:ind w:left="57"/>
              <w:jc w:val="left"/>
              <w:rPr>
                <w:rFonts w:ascii="Arial" w:hAnsi="Arial" w:cs="Arial"/>
                <w:sz w:val="16"/>
                <w:szCs w:val="16"/>
              </w:rPr>
            </w:pPr>
            <w:r w:rsidRPr="007C61C1">
              <w:rPr>
                <w:rFonts w:ascii="Arial" w:hAnsi="Arial" w:cs="Arial"/>
                <w:sz w:val="16"/>
                <w:szCs w:val="16"/>
              </w:rPr>
              <w:t>Building our Future campaign</w:t>
            </w:r>
          </w:p>
        </w:tc>
        <w:tc>
          <w:tcPr>
            <w:tcW w:w="993" w:type="dxa"/>
            <w:tcBorders>
              <w:top w:val="nil"/>
              <w:left w:val="nil"/>
              <w:bottom w:val="nil"/>
              <w:right w:val="nil"/>
            </w:tcBorders>
            <w:shd w:val="clear" w:color="auto" w:fill="auto"/>
            <w:noWrap/>
            <w:vAlign w:val="bottom"/>
            <w:hideMark/>
          </w:tcPr>
          <w:p w14:paraId="6889410C" w14:textId="6F1D20E4"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8,790 </w:t>
            </w:r>
          </w:p>
        </w:tc>
        <w:tc>
          <w:tcPr>
            <w:tcW w:w="982" w:type="dxa"/>
            <w:gridSpan w:val="2"/>
            <w:tcBorders>
              <w:top w:val="nil"/>
              <w:left w:val="nil"/>
              <w:bottom w:val="nil"/>
              <w:right w:val="nil"/>
            </w:tcBorders>
            <w:shd w:val="clear" w:color="000000" w:fill="E6E6E6"/>
            <w:noWrap/>
            <w:vAlign w:val="bottom"/>
            <w:hideMark/>
          </w:tcPr>
          <w:p w14:paraId="74915088" w14:textId="19758AA4"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1,531 </w:t>
            </w:r>
          </w:p>
        </w:tc>
        <w:tc>
          <w:tcPr>
            <w:tcW w:w="976" w:type="dxa"/>
            <w:gridSpan w:val="2"/>
            <w:tcBorders>
              <w:top w:val="nil"/>
              <w:left w:val="nil"/>
              <w:bottom w:val="nil"/>
              <w:right w:val="nil"/>
            </w:tcBorders>
            <w:shd w:val="clear" w:color="auto" w:fill="auto"/>
            <w:noWrap/>
            <w:vAlign w:val="bottom"/>
            <w:hideMark/>
          </w:tcPr>
          <w:p w14:paraId="05CB762F" w14:textId="3A23F1B3"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 </w:t>
            </w:r>
          </w:p>
        </w:tc>
        <w:tc>
          <w:tcPr>
            <w:tcW w:w="976" w:type="dxa"/>
            <w:gridSpan w:val="2"/>
            <w:tcBorders>
              <w:top w:val="nil"/>
              <w:left w:val="nil"/>
              <w:bottom w:val="nil"/>
              <w:right w:val="nil"/>
            </w:tcBorders>
            <w:shd w:val="clear" w:color="auto" w:fill="auto"/>
            <w:noWrap/>
            <w:vAlign w:val="bottom"/>
            <w:hideMark/>
          </w:tcPr>
          <w:p w14:paraId="69819774" w14:textId="57F785D5"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 </w:t>
            </w:r>
          </w:p>
        </w:tc>
        <w:tc>
          <w:tcPr>
            <w:tcW w:w="976" w:type="dxa"/>
            <w:gridSpan w:val="2"/>
            <w:tcBorders>
              <w:top w:val="nil"/>
              <w:left w:val="nil"/>
              <w:bottom w:val="nil"/>
              <w:right w:val="nil"/>
            </w:tcBorders>
            <w:shd w:val="clear" w:color="auto" w:fill="auto"/>
            <w:noWrap/>
            <w:vAlign w:val="bottom"/>
            <w:hideMark/>
          </w:tcPr>
          <w:p w14:paraId="2B9C27B1" w14:textId="292D935F"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 </w:t>
            </w:r>
          </w:p>
        </w:tc>
      </w:tr>
      <w:tr w:rsidR="003815D1" w:rsidRPr="007C61C1" w14:paraId="30690491" w14:textId="77777777" w:rsidTr="00E34CEC">
        <w:trPr>
          <w:trHeight w:val="204"/>
        </w:trPr>
        <w:tc>
          <w:tcPr>
            <w:tcW w:w="2835" w:type="dxa"/>
            <w:tcBorders>
              <w:top w:val="nil"/>
              <w:left w:val="nil"/>
              <w:bottom w:val="nil"/>
              <w:right w:val="nil"/>
            </w:tcBorders>
            <w:shd w:val="clear" w:color="auto" w:fill="auto"/>
            <w:vAlign w:val="bottom"/>
            <w:hideMark/>
          </w:tcPr>
          <w:p w14:paraId="6BF52490" w14:textId="0D60FB8F" w:rsidR="003815D1" w:rsidRPr="007C61C1" w:rsidRDefault="003815D1" w:rsidP="003815D1">
            <w:pPr>
              <w:spacing w:after="0" w:line="240" w:lineRule="auto"/>
              <w:ind w:left="57"/>
              <w:jc w:val="left"/>
              <w:rPr>
                <w:rFonts w:ascii="Arial" w:hAnsi="Arial" w:cs="Arial"/>
                <w:sz w:val="16"/>
                <w:szCs w:val="16"/>
              </w:rPr>
            </w:pPr>
            <w:r w:rsidRPr="007C61C1">
              <w:rPr>
                <w:rFonts w:ascii="Arial" w:hAnsi="Arial" w:cs="Arial"/>
                <w:sz w:val="16"/>
                <w:szCs w:val="16"/>
              </w:rPr>
              <w:t>In</w:t>
            </w:r>
            <w:r>
              <w:rPr>
                <w:rFonts w:ascii="Arial" w:hAnsi="Arial" w:cs="Arial"/>
                <w:sz w:val="16"/>
                <w:szCs w:val="16"/>
              </w:rPr>
              <w:t>frastructure Investment Program </w:t>
            </w:r>
            <w:r w:rsidRPr="007C61C1">
              <w:rPr>
                <w:rFonts w:ascii="Arial" w:hAnsi="Arial" w:cs="Arial"/>
                <w:sz w:val="16"/>
                <w:szCs w:val="16"/>
                <w:vertAlign w:val="superscript"/>
              </w:rPr>
              <w:t>(a)</w:t>
            </w:r>
          </w:p>
        </w:tc>
        <w:tc>
          <w:tcPr>
            <w:tcW w:w="993" w:type="dxa"/>
            <w:tcBorders>
              <w:top w:val="nil"/>
              <w:left w:val="nil"/>
              <w:bottom w:val="nil"/>
              <w:right w:val="nil"/>
            </w:tcBorders>
            <w:shd w:val="clear" w:color="auto" w:fill="auto"/>
            <w:noWrap/>
            <w:vAlign w:val="bottom"/>
            <w:hideMark/>
          </w:tcPr>
          <w:p w14:paraId="3688A3B8" w14:textId="77777777" w:rsidR="003815D1" w:rsidRPr="003815D1" w:rsidRDefault="003815D1" w:rsidP="003815D1">
            <w:pPr>
              <w:spacing w:after="0" w:line="240" w:lineRule="auto"/>
              <w:jc w:val="left"/>
              <w:rPr>
                <w:rFonts w:ascii="Arial" w:hAnsi="Arial" w:cs="Arial"/>
                <w:sz w:val="16"/>
                <w:szCs w:val="16"/>
              </w:rPr>
            </w:pPr>
          </w:p>
        </w:tc>
        <w:tc>
          <w:tcPr>
            <w:tcW w:w="982" w:type="dxa"/>
            <w:gridSpan w:val="2"/>
            <w:tcBorders>
              <w:top w:val="nil"/>
              <w:left w:val="nil"/>
              <w:bottom w:val="nil"/>
              <w:right w:val="nil"/>
            </w:tcBorders>
            <w:shd w:val="clear" w:color="000000" w:fill="E6E6E6"/>
            <w:noWrap/>
            <w:vAlign w:val="bottom"/>
            <w:hideMark/>
          </w:tcPr>
          <w:p w14:paraId="32FDA9FA" w14:textId="547B684C"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w:t>
            </w:r>
          </w:p>
        </w:tc>
        <w:tc>
          <w:tcPr>
            <w:tcW w:w="976" w:type="dxa"/>
            <w:gridSpan w:val="2"/>
            <w:tcBorders>
              <w:top w:val="nil"/>
              <w:left w:val="nil"/>
              <w:bottom w:val="nil"/>
              <w:right w:val="nil"/>
            </w:tcBorders>
            <w:shd w:val="clear" w:color="auto" w:fill="auto"/>
            <w:noWrap/>
            <w:vAlign w:val="bottom"/>
            <w:hideMark/>
          </w:tcPr>
          <w:p w14:paraId="486EB762" w14:textId="77777777" w:rsidR="003815D1" w:rsidRPr="003815D1" w:rsidRDefault="003815D1" w:rsidP="003815D1">
            <w:pPr>
              <w:spacing w:after="0" w:line="240" w:lineRule="auto"/>
              <w:jc w:val="right"/>
              <w:rPr>
                <w:rFonts w:ascii="Arial" w:hAnsi="Arial" w:cs="Arial"/>
                <w:sz w:val="16"/>
                <w:szCs w:val="16"/>
              </w:rPr>
            </w:pPr>
          </w:p>
        </w:tc>
        <w:tc>
          <w:tcPr>
            <w:tcW w:w="976" w:type="dxa"/>
            <w:gridSpan w:val="2"/>
            <w:tcBorders>
              <w:top w:val="nil"/>
              <w:left w:val="nil"/>
              <w:bottom w:val="nil"/>
              <w:right w:val="nil"/>
            </w:tcBorders>
            <w:shd w:val="clear" w:color="auto" w:fill="auto"/>
            <w:noWrap/>
            <w:vAlign w:val="bottom"/>
            <w:hideMark/>
          </w:tcPr>
          <w:p w14:paraId="5A7E0317" w14:textId="77777777" w:rsidR="003815D1" w:rsidRPr="003815D1" w:rsidRDefault="003815D1" w:rsidP="003815D1">
            <w:pPr>
              <w:spacing w:after="0" w:line="240" w:lineRule="auto"/>
              <w:jc w:val="right"/>
              <w:rPr>
                <w:rFonts w:ascii="Times New Roman" w:hAnsi="Times New Roman"/>
                <w:sz w:val="16"/>
                <w:szCs w:val="16"/>
              </w:rPr>
            </w:pPr>
          </w:p>
        </w:tc>
        <w:tc>
          <w:tcPr>
            <w:tcW w:w="976" w:type="dxa"/>
            <w:gridSpan w:val="2"/>
            <w:tcBorders>
              <w:top w:val="nil"/>
              <w:left w:val="nil"/>
              <w:bottom w:val="nil"/>
              <w:right w:val="nil"/>
            </w:tcBorders>
            <w:shd w:val="clear" w:color="auto" w:fill="auto"/>
            <w:noWrap/>
            <w:vAlign w:val="bottom"/>
            <w:hideMark/>
          </w:tcPr>
          <w:p w14:paraId="2F49770D" w14:textId="77777777" w:rsidR="003815D1" w:rsidRPr="003815D1" w:rsidRDefault="003815D1" w:rsidP="003815D1">
            <w:pPr>
              <w:spacing w:after="0" w:line="240" w:lineRule="auto"/>
              <w:jc w:val="right"/>
              <w:rPr>
                <w:rFonts w:ascii="Times New Roman" w:hAnsi="Times New Roman"/>
                <w:sz w:val="16"/>
                <w:szCs w:val="16"/>
              </w:rPr>
            </w:pPr>
          </w:p>
        </w:tc>
      </w:tr>
      <w:tr w:rsidR="003815D1" w:rsidRPr="007C61C1" w14:paraId="5970374B" w14:textId="77777777" w:rsidTr="00E34CEC">
        <w:trPr>
          <w:trHeight w:val="204"/>
        </w:trPr>
        <w:tc>
          <w:tcPr>
            <w:tcW w:w="2835" w:type="dxa"/>
            <w:tcBorders>
              <w:top w:val="nil"/>
              <w:left w:val="nil"/>
              <w:bottom w:val="nil"/>
              <w:right w:val="nil"/>
            </w:tcBorders>
            <w:shd w:val="clear" w:color="auto" w:fill="auto"/>
            <w:vAlign w:val="bottom"/>
            <w:hideMark/>
          </w:tcPr>
          <w:p w14:paraId="47E0F628" w14:textId="77777777" w:rsidR="003815D1" w:rsidRPr="007C61C1" w:rsidRDefault="003815D1" w:rsidP="003815D1">
            <w:pPr>
              <w:spacing w:after="0" w:line="240" w:lineRule="auto"/>
              <w:ind w:left="255" w:hanging="142"/>
              <w:jc w:val="left"/>
              <w:rPr>
                <w:rFonts w:ascii="Arial" w:hAnsi="Arial" w:cs="Arial"/>
                <w:sz w:val="16"/>
                <w:szCs w:val="16"/>
              </w:rPr>
            </w:pPr>
            <w:r w:rsidRPr="007C61C1">
              <w:rPr>
                <w:rFonts w:ascii="Arial" w:hAnsi="Arial" w:cs="Arial"/>
                <w:sz w:val="16"/>
                <w:szCs w:val="16"/>
              </w:rPr>
              <w:t xml:space="preserve"> - Investment and Roads to Recovery</w:t>
            </w:r>
          </w:p>
        </w:tc>
        <w:tc>
          <w:tcPr>
            <w:tcW w:w="993" w:type="dxa"/>
            <w:tcBorders>
              <w:top w:val="nil"/>
              <w:left w:val="nil"/>
              <w:bottom w:val="nil"/>
              <w:right w:val="nil"/>
            </w:tcBorders>
            <w:shd w:val="clear" w:color="auto" w:fill="auto"/>
            <w:noWrap/>
            <w:vAlign w:val="bottom"/>
            <w:hideMark/>
          </w:tcPr>
          <w:p w14:paraId="1C504150" w14:textId="13312F44"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230,356 </w:t>
            </w:r>
          </w:p>
        </w:tc>
        <w:tc>
          <w:tcPr>
            <w:tcW w:w="982" w:type="dxa"/>
            <w:gridSpan w:val="2"/>
            <w:tcBorders>
              <w:top w:val="nil"/>
              <w:left w:val="nil"/>
              <w:bottom w:val="nil"/>
              <w:right w:val="nil"/>
            </w:tcBorders>
            <w:shd w:val="clear" w:color="000000" w:fill="E6E6E6"/>
            <w:noWrap/>
            <w:vAlign w:val="bottom"/>
            <w:hideMark/>
          </w:tcPr>
          <w:p w14:paraId="4DE6594D" w14:textId="4A48747C"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409,972 </w:t>
            </w:r>
          </w:p>
        </w:tc>
        <w:tc>
          <w:tcPr>
            <w:tcW w:w="976" w:type="dxa"/>
            <w:gridSpan w:val="2"/>
            <w:tcBorders>
              <w:top w:val="nil"/>
              <w:left w:val="nil"/>
              <w:bottom w:val="nil"/>
              <w:right w:val="nil"/>
            </w:tcBorders>
            <w:shd w:val="clear" w:color="auto" w:fill="auto"/>
            <w:noWrap/>
            <w:vAlign w:val="bottom"/>
            <w:hideMark/>
          </w:tcPr>
          <w:p w14:paraId="18FCC481" w14:textId="7FB67AA1"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203,516 </w:t>
            </w:r>
          </w:p>
        </w:tc>
        <w:tc>
          <w:tcPr>
            <w:tcW w:w="976" w:type="dxa"/>
            <w:gridSpan w:val="2"/>
            <w:tcBorders>
              <w:top w:val="nil"/>
              <w:left w:val="nil"/>
              <w:bottom w:val="nil"/>
              <w:right w:val="nil"/>
            </w:tcBorders>
            <w:shd w:val="clear" w:color="auto" w:fill="auto"/>
            <w:noWrap/>
            <w:vAlign w:val="bottom"/>
            <w:hideMark/>
          </w:tcPr>
          <w:p w14:paraId="340B4110" w14:textId="7DCA4CE8"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26,378 </w:t>
            </w:r>
          </w:p>
        </w:tc>
        <w:tc>
          <w:tcPr>
            <w:tcW w:w="976" w:type="dxa"/>
            <w:gridSpan w:val="2"/>
            <w:tcBorders>
              <w:top w:val="nil"/>
              <w:left w:val="nil"/>
              <w:bottom w:val="nil"/>
              <w:right w:val="nil"/>
            </w:tcBorders>
            <w:shd w:val="clear" w:color="auto" w:fill="auto"/>
            <w:noWrap/>
            <w:vAlign w:val="bottom"/>
            <w:hideMark/>
          </w:tcPr>
          <w:p w14:paraId="2ECBBF22" w14:textId="659FDA10"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21,483 </w:t>
            </w:r>
          </w:p>
        </w:tc>
      </w:tr>
      <w:tr w:rsidR="003815D1" w:rsidRPr="007C61C1" w14:paraId="4E82C51B" w14:textId="77777777" w:rsidTr="00E34CEC">
        <w:trPr>
          <w:trHeight w:val="204"/>
        </w:trPr>
        <w:tc>
          <w:tcPr>
            <w:tcW w:w="2835" w:type="dxa"/>
            <w:tcBorders>
              <w:top w:val="nil"/>
              <w:left w:val="nil"/>
              <w:bottom w:val="nil"/>
              <w:right w:val="nil"/>
            </w:tcBorders>
            <w:shd w:val="clear" w:color="auto" w:fill="auto"/>
            <w:vAlign w:val="bottom"/>
            <w:hideMark/>
          </w:tcPr>
          <w:p w14:paraId="41061E13" w14:textId="77777777" w:rsidR="003815D1" w:rsidRPr="007C61C1" w:rsidRDefault="003815D1" w:rsidP="003815D1">
            <w:pPr>
              <w:spacing w:after="0" w:line="240" w:lineRule="auto"/>
              <w:ind w:left="255" w:hanging="142"/>
              <w:jc w:val="left"/>
              <w:rPr>
                <w:rFonts w:ascii="Arial" w:hAnsi="Arial" w:cs="Arial"/>
                <w:sz w:val="16"/>
                <w:szCs w:val="16"/>
              </w:rPr>
            </w:pPr>
            <w:r w:rsidRPr="007C61C1">
              <w:rPr>
                <w:rFonts w:ascii="Arial" w:hAnsi="Arial" w:cs="Arial"/>
                <w:sz w:val="16"/>
                <w:szCs w:val="16"/>
              </w:rPr>
              <w:t xml:space="preserve"> - Roads to Recovery</w:t>
            </w:r>
          </w:p>
        </w:tc>
        <w:tc>
          <w:tcPr>
            <w:tcW w:w="993" w:type="dxa"/>
            <w:tcBorders>
              <w:top w:val="nil"/>
              <w:left w:val="nil"/>
              <w:bottom w:val="nil"/>
              <w:right w:val="nil"/>
            </w:tcBorders>
            <w:shd w:val="clear" w:color="auto" w:fill="auto"/>
            <w:noWrap/>
            <w:vAlign w:val="bottom"/>
            <w:hideMark/>
          </w:tcPr>
          <w:p w14:paraId="22BC92F9" w14:textId="2B9CD5E1"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592,104 </w:t>
            </w:r>
          </w:p>
        </w:tc>
        <w:tc>
          <w:tcPr>
            <w:tcW w:w="982" w:type="dxa"/>
            <w:gridSpan w:val="2"/>
            <w:tcBorders>
              <w:top w:val="nil"/>
              <w:left w:val="nil"/>
              <w:bottom w:val="nil"/>
              <w:right w:val="nil"/>
            </w:tcBorders>
            <w:shd w:val="clear" w:color="000000" w:fill="E6E6E6"/>
            <w:noWrap/>
            <w:vAlign w:val="bottom"/>
            <w:hideMark/>
          </w:tcPr>
          <w:p w14:paraId="375F2CA7" w14:textId="5476E647"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499,516 </w:t>
            </w:r>
          </w:p>
        </w:tc>
        <w:tc>
          <w:tcPr>
            <w:tcW w:w="976" w:type="dxa"/>
            <w:gridSpan w:val="2"/>
            <w:tcBorders>
              <w:top w:val="nil"/>
              <w:left w:val="nil"/>
              <w:bottom w:val="nil"/>
              <w:right w:val="nil"/>
            </w:tcBorders>
            <w:shd w:val="clear" w:color="auto" w:fill="auto"/>
            <w:noWrap/>
            <w:vAlign w:val="bottom"/>
            <w:hideMark/>
          </w:tcPr>
          <w:p w14:paraId="5940E679" w14:textId="2210BB47"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490,881 </w:t>
            </w:r>
          </w:p>
        </w:tc>
        <w:tc>
          <w:tcPr>
            <w:tcW w:w="976" w:type="dxa"/>
            <w:gridSpan w:val="2"/>
            <w:tcBorders>
              <w:top w:val="nil"/>
              <w:left w:val="nil"/>
              <w:bottom w:val="nil"/>
              <w:right w:val="nil"/>
            </w:tcBorders>
            <w:shd w:val="clear" w:color="auto" w:fill="auto"/>
            <w:noWrap/>
            <w:vAlign w:val="bottom"/>
            <w:hideMark/>
          </w:tcPr>
          <w:p w14:paraId="29D687B3" w14:textId="0848CFC2"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485,306 </w:t>
            </w:r>
          </w:p>
        </w:tc>
        <w:tc>
          <w:tcPr>
            <w:tcW w:w="976" w:type="dxa"/>
            <w:gridSpan w:val="2"/>
            <w:tcBorders>
              <w:top w:val="nil"/>
              <w:left w:val="nil"/>
              <w:bottom w:val="nil"/>
              <w:right w:val="nil"/>
            </w:tcBorders>
            <w:shd w:val="clear" w:color="auto" w:fill="auto"/>
            <w:noWrap/>
            <w:vAlign w:val="bottom"/>
            <w:hideMark/>
          </w:tcPr>
          <w:p w14:paraId="2620AC67" w14:textId="60AD6DE5"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499,516 </w:t>
            </w:r>
          </w:p>
        </w:tc>
      </w:tr>
      <w:tr w:rsidR="003815D1" w:rsidRPr="007C61C1" w14:paraId="426A5FF9" w14:textId="77777777" w:rsidTr="00E34CEC">
        <w:trPr>
          <w:trHeight w:val="204"/>
        </w:trPr>
        <w:tc>
          <w:tcPr>
            <w:tcW w:w="2835" w:type="dxa"/>
            <w:tcBorders>
              <w:top w:val="nil"/>
              <w:left w:val="nil"/>
              <w:bottom w:val="nil"/>
              <w:right w:val="nil"/>
            </w:tcBorders>
            <w:shd w:val="clear" w:color="auto" w:fill="auto"/>
            <w:vAlign w:val="bottom"/>
            <w:hideMark/>
          </w:tcPr>
          <w:p w14:paraId="09D086E9" w14:textId="77777777" w:rsidR="003815D1" w:rsidRPr="007C61C1" w:rsidRDefault="003815D1" w:rsidP="003815D1">
            <w:pPr>
              <w:spacing w:after="0" w:line="240" w:lineRule="auto"/>
              <w:ind w:left="57"/>
              <w:jc w:val="left"/>
              <w:rPr>
                <w:rFonts w:ascii="Arial" w:hAnsi="Arial" w:cs="Arial"/>
                <w:sz w:val="16"/>
                <w:szCs w:val="16"/>
              </w:rPr>
            </w:pPr>
            <w:r w:rsidRPr="007C61C1">
              <w:rPr>
                <w:rFonts w:ascii="Arial" w:hAnsi="Arial" w:cs="Arial"/>
                <w:sz w:val="16"/>
                <w:szCs w:val="16"/>
              </w:rPr>
              <w:t>Supporting National Freight and Supply Chain Priorities – Inland Rail Interface Improvement Program</w:t>
            </w:r>
          </w:p>
        </w:tc>
        <w:tc>
          <w:tcPr>
            <w:tcW w:w="993" w:type="dxa"/>
            <w:tcBorders>
              <w:top w:val="nil"/>
              <w:left w:val="nil"/>
              <w:bottom w:val="nil"/>
              <w:right w:val="nil"/>
            </w:tcBorders>
            <w:shd w:val="clear" w:color="auto" w:fill="auto"/>
            <w:noWrap/>
            <w:vAlign w:val="bottom"/>
            <w:hideMark/>
          </w:tcPr>
          <w:p w14:paraId="1FD453EA" w14:textId="441E8B93"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11,900 </w:t>
            </w:r>
          </w:p>
        </w:tc>
        <w:tc>
          <w:tcPr>
            <w:tcW w:w="982" w:type="dxa"/>
            <w:gridSpan w:val="2"/>
            <w:tcBorders>
              <w:top w:val="nil"/>
              <w:left w:val="nil"/>
              <w:bottom w:val="nil"/>
              <w:right w:val="nil"/>
            </w:tcBorders>
            <w:shd w:val="clear" w:color="000000" w:fill="E6E6E6"/>
            <w:noWrap/>
            <w:vAlign w:val="bottom"/>
            <w:hideMark/>
          </w:tcPr>
          <w:p w14:paraId="2FA4057C" w14:textId="5F83160F"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30,039 </w:t>
            </w:r>
          </w:p>
        </w:tc>
        <w:tc>
          <w:tcPr>
            <w:tcW w:w="976" w:type="dxa"/>
            <w:gridSpan w:val="2"/>
            <w:tcBorders>
              <w:top w:val="nil"/>
              <w:left w:val="nil"/>
              <w:bottom w:val="nil"/>
              <w:right w:val="nil"/>
            </w:tcBorders>
            <w:shd w:val="clear" w:color="auto" w:fill="auto"/>
            <w:noWrap/>
            <w:vAlign w:val="bottom"/>
            <w:hideMark/>
          </w:tcPr>
          <w:p w14:paraId="427338D8" w14:textId="5F2BE442"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 </w:t>
            </w:r>
          </w:p>
        </w:tc>
        <w:tc>
          <w:tcPr>
            <w:tcW w:w="976" w:type="dxa"/>
            <w:gridSpan w:val="2"/>
            <w:tcBorders>
              <w:top w:val="nil"/>
              <w:left w:val="nil"/>
              <w:bottom w:val="nil"/>
              <w:right w:val="nil"/>
            </w:tcBorders>
            <w:shd w:val="clear" w:color="auto" w:fill="auto"/>
            <w:noWrap/>
            <w:vAlign w:val="bottom"/>
            <w:hideMark/>
          </w:tcPr>
          <w:p w14:paraId="5958854B" w14:textId="0F3B511E"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 </w:t>
            </w:r>
          </w:p>
        </w:tc>
        <w:tc>
          <w:tcPr>
            <w:tcW w:w="976" w:type="dxa"/>
            <w:gridSpan w:val="2"/>
            <w:tcBorders>
              <w:top w:val="nil"/>
              <w:left w:val="nil"/>
              <w:bottom w:val="nil"/>
              <w:right w:val="nil"/>
            </w:tcBorders>
            <w:shd w:val="clear" w:color="auto" w:fill="auto"/>
            <w:noWrap/>
            <w:vAlign w:val="bottom"/>
            <w:hideMark/>
          </w:tcPr>
          <w:p w14:paraId="33FE6B62" w14:textId="2F8D1BDF"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 </w:t>
            </w:r>
          </w:p>
        </w:tc>
      </w:tr>
      <w:tr w:rsidR="003815D1" w:rsidRPr="007C61C1" w14:paraId="55C69991" w14:textId="77777777" w:rsidTr="00E34CEC">
        <w:trPr>
          <w:trHeight w:val="204"/>
        </w:trPr>
        <w:tc>
          <w:tcPr>
            <w:tcW w:w="2835" w:type="dxa"/>
            <w:tcBorders>
              <w:top w:val="nil"/>
              <w:left w:val="nil"/>
              <w:bottom w:val="nil"/>
              <w:right w:val="nil"/>
            </w:tcBorders>
            <w:shd w:val="clear" w:color="auto" w:fill="auto"/>
            <w:noWrap/>
            <w:vAlign w:val="bottom"/>
            <w:hideMark/>
          </w:tcPr>
          <w:p w14:paraId="05F0B757" w14:textId="77777777" w:rsidR="003815D1" w:rsidRPr="007C61C1" w:rsidRDefault="003815D1" w:rsidP="003815D1">
            <w:pPr>
              <w:spacing w:after="0" w:line="240" w:lineRule="auto"/>
              <w:ind w:left="57"/>
              <w:jc w:val="left"/>
              <w:rPr>
                <w:rFonts w:ascii="Arial" w:hAnsi="Arial" w:cs="Arial"/>
                <w:sz w:val="16"/>
                <w:szCs w:val="16"/>
              </w:rPr>
            </w:pPr>
            <w:r w:rsidRPr="007C61C1">
              <w:rPr>
                <w:rFonts w:ascii="Arial" w:hAnsi="Arial" w:cs="Arial"/>
                <w:sz w:val="16"/>
                <w:szCs w:val="16"/>
              </w:rPr>
              <w:t xml:space="preserve">Payments to corporate entities </w:t>
            </w:r>
            <w:r w:rsidRPr="007C61C1">
              <w:rPr>
                <w:rFonts w:ascii="Arial" w:hAnsi="Arial" w:cs="Arial"/>
                <w:sz w:val="16"/>
                <w:szCs w:val="16"/>
                <w:vertAlign w:val="superscript"/>
              </w:rPr>
              <w:t>(b)</w:t>
            </w:r>
          </w:p>
        </w:tc>
        <w:tc>
          <w:tcPr>
            <w:tcW w:w="993" w:type="dxa"/>
            <w:tcBorders>
              <w:top w:val="nil"/>
              <w:left w:val="nil"/>
              <w:bottom w:val="nil"/>
              <w:right w:val="nil"/>
            </w:tcBorders>
            <w:shd w:val="clear" w:color="auto" w:fill="auto"/>
            <w:noWrap/>
            <w:vAlign w:val="bottom"/>
            <w:hideMark/>
          </w:tcPr>
          <w:p w14:paraId="7EB63CF3" w14:textId="77777777" w:rsidR="003815D1" w:rsidRPr="003815D1" w:rsidRDefault="003815D1" w:rsidP="003815D1">
            <w:pPr>
              <w:spacing w:after="0" w:line="240" w:lineRule="auto"/>
              <w:jc w:val="left"/>
              <w:rPr>
                <w:rFonts w:ascii="Arial" w:hAnsi="Arial" w:cs="Arial"/>
                <w:sz w:val="16"/>
                <w:szCs w:val="16"/>
              </w:rPr>
            </w:pPr>
          </w:p>
        </w:tc>
        <w:tc>
          <w:tcPr>
            <w:tcW w:w="982" w:type="dxa"/>
            <w:gridSpan w:val="2"/>
            <w:tcBorders>
              <w:top w:val="nil"/>
              <w:left w:val="nil"/>
              <w:bottom w:val="nil"/>
              <w:right w:val="nil"/>
            </w:tcBorders>
            <w:shd w:val="clear" w:color="000000" w:fill="E6E6E6"/>
            <w:noWrap/>
            <w:vAlign w:val="bottom"/>
            <w:hideMark/>
          </w:tcPr>
          <w:p w14:paraId="304D26E5" w14:textId="537313DA"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w:t>
            </w:r>
          </w:p>
        </w:tc>
        <w:tc>
          <w:tcPr>
            <w:tcW w:w="976" w:type="dxa"/>
            <w:gridSpan w:val="2"/>
            <w:tcBorders>
              <w:top w:val="nil"/>
              <w:left w:val="nil"/>
              <w:bottom w:val="nil"/>
              <w:right w:val="nil"/>
            </w:tcBorders>
            <w:shd w:val="clear" w:color="auto" w:fill="auto"/>
            <w:noWrap/>
            <w:vAlign w:val="bottom"/>
            <w:hideMark/>
          </w:tcPr>
          <w:p w14:paraId="1AD9F955" w14:textId="77777777" w:rsidR="003815D1" w:rsidRPr="003815D1" w:rsidRDefault="003815D1" w:rsidP="003815D1">
            <w:pPr>
              <w:spacing w:after="0" w:line="240" w:lineRule="auto"/>
              <w:jc w:val="right"/>
              <w:rPr>
                <w:rFonts w:ascii="Arial" w:hAnsi="Arial" w:cs="Arial"/>
                <w:sz w:val="16"/>
                <w:szCs w:val="16"/>
              </w:rPr>
            </w:pPr>
          </w:p>
        </w:tc>
        <w:tc>
          <w:tcPr>
            <w:tcW w:w="976" w:type="dxa"/>
            <w:gridSpan w:val="2"/>
            <w:tcBorders>
              <w:top w:val="nil"/>
              <w:left w:val="nil"/>
              <w:bottom w:val="nil"/>
              <w:right w:val="nil"/>
            </w:tcBorders>
            <w:shd w:val="clear" w:color="auto" w:fill="auto"/>
            <w:noWrap/>
            <w:vAlign w:val="bottom"/>
            <w:hideMark/>
          </w:tcPr>
          <w:p w14:paraId="373EF910" w14:textId="77777777" w:rsidR="003815D1" w:rsidRPr="003815D1" w:rsidRDefault="003815D1" w:rsidP="003815D1">
            <w:pPr>
              <w:spacing w:after="0" w:line="240" w:lineRule="auto"/>
              <w:jc w:val="right"/>
              <w:rPr>
                <w:rFonts w:ascii="Times New Roman" w:hAnsi="Times New Roman"/>
                <w:sz w:val="16"/>
                <w:szCs w:val="16"/>
              </w:rPr>
            </w:pPr>
          </w:p>
        </w:tc>
        <w:tc>
          <w:tcPr>
            <w:tcW w:w="976" w:type="dxa"/>
            <w:gridSpan w:val="2"/>
            <w:tcBorders>
              <w:top w:val="nil"/>
              <w:left w:val="nil"/>
              <w:bottom w:val="nil"/>
              <w:right w:val="nil"/>
            </w:tcBorders>
            <w:shd w:val="clear" w:color="auto" w:fill="auto"/>
            <w:noWrap/>
            <w:vAlign w:val="bottom"/>
            <w:hideMark/>
          </w:tcPr>
          <w:p w14:paraId="05E5A3B9" w14:textId="77777777" w:rsidR="003815D1" w:rsidRPr="003815D1" w:rsidRDefault="003815D1" w:rsidP="003815D1">
            <w:pPr>
              <w:spacing w:after="0" w:line="240" w:lineRule="auto"/>
              <w:jc w:val="right"/>
              <w:rPr>
                <w:rFonts w:ascii="Times New Roman" w:hAnsi="Times New Roman"/>
                <w:sz w:val="16"/>
                <w:szCs w:val="16"/>
              </w:rPr>
            </w:pPr>
          </w:p>
        </w:tc>
      </w:tr>
      <w:tr w:rsidR="003815D1" w:rsidRPr="007C61C1" w14:paraId="78FA6B24" w14:textId="77777777" w:rsidTr="00E34CEC">
        <w:trPr>
          <w:trHeight w:val="204"/>
        </w:trPr>
        <w:tc>
          <w:tcPr>
            <w:tcW w:w="2835" w:type="dxa"/>
            <w:tcBorders>
              <w:top w:val="nil"/>
              <w:left w:val="nil"/>
              <w:bottom w:val="nil"/>
              <w:right w:val="nil"/>
            </w:tcBorders>
            <w:shd w:val="clear" w:color="auto" w:fill="auto"/>
            <w:noWrap/>
            <w:vAlign w:val="bottom"/>
            <w:hideMark/>
          </w:tcPr>
          <w:p w14:paraId="3EFE33B5" w14:textId="5D16B7E7" w:rsidR="003815D1" w:rsidRPr="00EA2FF2" w:rsidRDefault="003815D1" w:rsidP="003815D1">
            <w:pPr>
              <w:pStyle w:val="ListParagraph"/>
              <w:spacing w:after="0" w:line="240" w:lineRule="auto"/>
              <w:ind w:left="113"/>
              <w:rPr>
                <w:rFonts w:ascii="Arial" w:hAnsi="Arial" w:cs="Arial"/>
                <w:sz w:val="16"/>
                <w:szCs w:val="16"/>
              </w:rPr>
            </w:pPr>
            <w:r w:rsidRPr="007C61C1">
              <w:rPr>
                <w:rFonts w:ascii="Arial" w:hAnsi="Arial" w:cs="Arial"/>
                <w:sz w:val="16"/>
                <w:szCs w:val="16"/>
              </w:rPr>
              <w:t xml:space="preserve">- </w:t>
            </w:r>
            <w:r w:rsidRPr="00EA2FF2">
              <w:rPr>
                <w:rFonts w:ascii="Arial" w:hAnsi="Arial" w:cs="Arial"/>
                <w:sz w:val="16"/>
                <w:szCs w:val="16"/>
              </w:rPr>
              <w:t>Infrastructure Australia</w:t>
            </w:r>
          </w:p>
        </w:tc>
        <w:tc>
          <w:tcPr>
            <w:tcW w:w="993" w:type="dxa"/>
            <w:tcBorders>
              <w:top w:val="nil"/>
              <w:left w:val="nil"/>
              <w:bottom w:val="nil"/>
              <w:right w:val="nil"/>
            </w:tcBorders>
            <w:shd w:val="clear" w:color="auto" w:fill="auto"/>
            <w:noWrap/>
            <w:vAlign w:val="bottom"/>
            <w:hideMark/>
          </w:tcPr>
          <w:p w14:paraId="39126D0A" w14:textId="627D1509"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15,419 </w:t>
            </w:r>
          </w:p>
        </w:tc>
        <w:tc>
          <w:tcPr>
            <w:tcW w:w="982" w:type="dxa"/>
            <w:gridSpan w:val="2"/>
            <w:tcBorders>
              <w:top w:val="nil"/>
              <w:left w:val="nil"/>
              <w:bottom w:val="nil"/>
              <w:right w:val="nil"/>
            </w:tcBorders>
            <w:shd w:val="clear" w:color="000000" w:fill="E6E6E6"/>
            <w:noWrap/>
            <w:vAlign w:val="bottom"/>
            <w:hideMark/>
          </w:tcPr>
          <w:p w14:paraId="12EDDAA6" w14:textId="66844523"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12,853 </w:t>
            </w:r>
          </w:p>
        </w:tc>
        <w:tc>
          <w:tcPr>
            <w:tcW w:w="976" w:type="dxa"/>
            <w:gridSpan w:val="2"/>
            <w:tcBorders>
              <w:top w:val="nil"/>
              <w:left w:val="nil"/>
              <w:bottom w:val="nil"/>
              <w:right w:val="nil"/>
            </w:tcBorders>
            <w:shd w:val="clear" w:color="auto" w:fill="auto"/>
            <w:noWrap/>
            <w:vAlign w:val="bottom"/>
            <w:hideMark/>
          </w:tcPr>
          <w:p w14:paraId="49E9C6C1" w14:textId="428861CE"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12,689 </w:t>
            </w:r>
          </w:p>
        </w:tc>
        <w:tc>
          <w:tcPr>
            <w:tcW w:w="976" w:type="dxa"/>
            <w:gridSpan w:val="2"/>
            <w:tcBorders>
              <w:top w:val="nil"/>
              <w:left w:val="nil"/>
              <w:bottom w:val="nil"/>
              <w:right w:val="nil"/>
            </w:tcBorders>
            <w:shd w:val="clear" w:color="auto" w:fill="auto"/>
            <w:noWrap/>
            <w:vAlign w:val="bottom"/>
            <w:hideMark/>
          </w:tcPr>
          <w:p w14:paraId="287AB9A6" w14:textId="451AA7B9"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12,760 </w:t>
            </w:r>
          </w:p>
        </w:tc>
        <w:tc>
          <w:tcPr>
            <w:tcW w:w="976" w:type="dxa"/>
            <w:gridSpan w:val="2"/>
            <w:tcBorders>
              <w:top w:val="nil"/>
              <w:left w:val="nil"/>
              <w:bottom w:val="nil"/>
              <w:right w:val="nil"/>
            </w:tcBorders>
            <w:shd w:val="clear" w:color="auto" w:fill="auto"/>
            <w:noWrap/>
            <w:vAlign w:val="bottom"/>
            <w:hideMark/>
          </w:tcPr>
          <w:p w14:paraId="0730DF7D" w14:textId="081DD54B"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12,856 </w:t>
            </w:r>
          </w:p>
        </w:tc>
      </w:tr>
      <w:tr w:rsidR="003815D1" w:rsidRPr="007C61C1" w14:paraId="789DC6F2" w14:textId="77777777" w:rsidTr="00E34CEC">
        <w:trPr>
          <w:trHeight w:val="204"/>
        </w:trPr>
        <w:tc>
          <w:tcPr>
            <w:tcW w:w="2835" w:type="dxa"/>
            <w:tcBorders>
              <w:top w:val="nil"/>
              <w:left w:val="nil"/>
              <w:bottom w:val="single" w:sz="4" w:space="0" w:color="auto"/>
              <w:right w:val="nil"/>
            </w:tcBorders>
            <w:shd w:val="clear" w:color="auto" w:fill="auto"/>
            <w:noWrap/>
            <w:vAlign w:val="bottom"/>
            <w:hideMark/>
          </w:tcPr>
          <w:p w14:paraId="39ED2EC7" w14:textId="77777777" w:rsidR="003815D1" w:rsidRPr="007C61C1" w:rsidRDefault="003815D1" w:rsidP="003815D1">
            <w:pPr>
              <w:spacing w:after="0" w:line="240" w:lineRule="auto"/>
              <w:jc w:val="left"/>
              <w:rPr>
                <w:rFonts w:ascii="Arial" w:hAnsi="Arial" w:cs="Arial"/>
                <w:b/>
                <w:bCs/>
                <w:sz w:val="16"/>
                <w:szCs w:val="16"/>
              </w:rPr>
            </w:pPr>
            <w:r w:rsidRPr="007C61C1">
              <w:rPr>
                <w:rFonts w:ascii="Arial" w:hAnsi="Arial" w:cs="Arial"/>
                <w:b/>
                <w:bCs/>
                <w:sz w:val="16"/>
                <w:szCs w:val="16"/>
              </w:rPr>
              <w:t>Total expenses for Program 1.1</w:t>
            </w:r>
          </w:p>
        </w:tc>
        <w:tc>
          <w:tcPr>
            <w:tcW w:w="993" w:type="dxa"/>
            <w:tcBorders>
              <w:top w:val="single" w:sz="4" w:space="0" w:color="auto"/>
              <w:left w:val="nil"/>
              <w:bottom w:val="single" w:sz="4" w:space="0" w:color="auto"/>
              <w:right w:val="nil"/>
            </w:tcBorders>
            <w:shd w:val="clear" w:color="auto" w:fill="auto"/>
            <w:noWrap/>
            <w:vAlign w:val="bottom"/>
            <w:hideMark/>
          </w:tcPr>
          <w:p w14:paraId="5B2854F1" w14:textId="4FAC88F3" w:rsidR="003815D1" w:rsidRPr="003815D1" w:rsidRDefault="003815D1" w:rsidP="003815D1">
            <w:pPr>
              <w:spacing w:after="0" w:line="240" w:lineRule="auto"/>
              <w:jc w:val="right"/>
              <w:rPr>
                <w:rFonts w:ascii="Arial" w:hAnsi="Arial" w:cs="Arial"/>
                <w:b/>
                <w:bCs/>
                <w:sz w:val="16"/>
                <w:szCs w:val="16"/>
              </w:rPr>
            </w:pPr>
            <w:r w:rsidRPr="003815D1">
              <w:rPr>
                <w:rFonts w:ascii="Arial" w:hAnsi="Arial" w:cs="Arial"/>
                <w:b/>
                <w:bCs/>
                <w:sz w:val="16"/>
                <w:szCs w:val="16"/>
              </w:rPr>
              <w:t xml:space="preserve">858,569 </w:t>
            </w:r>
          </w:p>
        </w:tc>
        <w:tc>
          <w:tcPr>
            <w:tcW w:w="982" w:type="dxa"/>
            <w:gridSpan w:val="2"/>
            <w:tcBorders>
              <w:top w:val="single" w:sz="4" w:space="0" w:color="auto"/>
              <w:left w:val="nil"/>
              <w:bottom w:val="single" w:sz="4" w:space="0" w:color="auto"/>
              <w:right w:val="nil"/>
            </w:tcBorders>
            <w:shd w:val="clear" w:color="000000" w:fill="E6E6E6"/>
            <w:noWrap/>
            <w:vAlign w:val="bottom"/>
            <w:hideMark/>
          </w:tcPr>
          <w:p w14:paraId="354F9AC9" w14:textId="33EAC131" w:rsidR="003815D1" w:rsidRPr="003815D1" w:rsidRDefault="003815D1" w:rsidP="003815D1">
            <w:pPr>
              <w:spacing w:after="0" w:line="240" w:lineRule="auto"/>
              <w:jc w:val="right"/>
              <w:rPr>
                <w:rFonts w:ascii="Arial" w:hAnsi="Arial" w:cs="Arial"/>
                <w:b/>
                <w:bCs/>
                <w:sz w:val="16"/>
                <w:szCs w:val="16"/>
              </w:rPr>
            </w:pPr>
            <w:r w:rsidRPr="003815D1">
              <w:rPr>
                <w:rFonts w:ascii="Arial" w:hAnsi="Arial" w:cs="Arial"/>
                <w:b/>
                <w:bCs/>
                <w:sz w:val="16"/>
                <w:szCs w:val="16"/>
              </w:rPr>
              <w:t xml:space="preserve">953,911 </w:t>
            </w:r>
          </w:p>
        </w:tc>
        <w:tc>
          <w:tcPr>
            <w:tcW w:w="976" w:type="dxa"/>
            <w:gridSpan w:val="2"/>
            <w:tcBorders>
              <w:top w:val="single" w:sz="4" w:space="0" w:color="auto"/>
              <w:left w:val="nil"/>
              <w:bottom w:val="single" w:sz="4" w:space="0" w:color="auto"/>
              <w:right w:val="nil"/>
            </w:tcBorders>
            <w:shd w:val="clear" w:color="auto" w:fill="auto"/>
            <w:noWrap/>
            <w:vAlign w:val="bottom"/>
            <w:hideMark/>
          </w:tcPr>
          <w:p w14:paraId="49F1E6D0" w14:textId="00E39A09" w:rsidR="003815D1" w:rsidRPr="003815D1" w:rsidRDefault="003815D1" w:rsidP="003815D1">
            <w:pPr>
              <w:spacing w:after="0" w:line="240" w:lineRule="auto"/>
              <w:jc w:val="right"/>
              <w:rPr>
                <w:rFonts w:ascii="Arial" w:hAnsi="Arial" w:cs="Arial"/>
                <w:b/>
                <w:bCs/>
                <w:sz w:val="16"/>
                <w:szCs w:val="16"/>
              </w:rPr>
            </w:pPr>
            <w:r w:rsidRPr="003815D1">
              <w:rPr>
                <w:rFonts w:ascii="Arial" w:hAnsi="Arial" w:cs="Arial"/>
                <w:b/>
                <w:bCs/>
                <w:sz w:val="16"/>
                <w:szCs w:val="16"/>
              </w:rPr>
              <w:t xml:space="preserve">707,086 </w:t>
            </w:r>
          </w:p>
        </w:tc>
        <w:tc>
          <w:tcPr>
            <w:tcW w:w="976" w:type="dxa"/>
            <w:gridSpan w:val="2"/>
            <w:tcBorders>
              <w:top w:val="single" w:sz="4" w:space="0" w:color="auto"/>
              <w:left w:val="nil"/>
              <w:bottom w:val="single" w:sz="4" w:space="0" w:color="auto"/>
              <w:right w:val="nil"/>
            </w:tcBorders>
            <w:shd w:val="clear" w:color="auto" w:fill="auto"/>
            <w:noWrap/>
            <w:vAlign w:val="bottom"/>
            <w:hideMark/>
          </w:tcPr>
          <w:p w14:paraId="60309293" w14:textId="23E2548C" w:rsidR="003815D1" w:rsidRPr="003815D1" w:rsidRDefault="003815D1" w:rsidP="003815D1">
            <w:pPr>
              <w:spacing w:after="0" w:line="240" w:lineRule="auto"/>
              <w:jc w:val="right"/>
              <w:rPr>
                <w:rFonts w:ascii="Arial" w:hAnsi="Arial" w:cs="Arial"/>
                <w:b/>
                <w:bCs/>
                <w:sz w:val="16"/>
                <w:szCs w:val="16"/>
              </w:rPr>
            </w:pPr>
            <w:r w:rsidRPr="003815D1">
              <w:rPr>
                <w:rFonts w:ascii="Arial" w:hAnsi="Arial" w:cs="Arial"/>
                <w:b/>
                <w:bCs/>
                <w:sz w:val="16"/>
                <w:szCs w:val="16"/>
              </w:rPr>
              <w:t xml:space="preserve">524,444 </w:t>
            </w:r>
          </w:p>
        </w:tc>
        <w:tc>
          <w:tcPr>
            <w:tcW w:w="976" w:type="dxa"/>
            <w:gridSpan w:val="2"/>
            <w:tcBorders>
              <w:top w:val="single" w:sz="4" w:space="0" w:color="auto"/>
              <w:left w:val="nil"/>
              <w:bottom w:val="single" w:sz="4" w:space="0" w:color="auto"/>
              <w:right w:val="nil"/>
            </w:tcBorders>
            <w:shd w:val="clear" w:color="auto" w:fill="auto"/>
            <w:noWrap/>
            <w:vAlign w:val="bottom"/>
            <w:hideMark/>
          </w:tcPr>
          <w:p w14:paraId="42740983" w14:textId="6B5CCB50" w:rsidR="003815D1" w:rsidRPr="003815D1" w:rsidRDefault="003815D1" w:rsidP="003815D1">
            <w:pPr>
              <w:spacing w:after="0" w:line="240" w:lineRule="auto"/>
              <w:jc w:val="right"/>
              <w:rPr>
                <w:rFonts w:ascii="Arial" w:hAnsi="Arial" w:cs="Arial"/>
                <w:b/>
                <w:bCs/>
                <w:sz w:val="16"/>
                <w:szCs w:val="16"/>
              </w:rPr>
            </w:pPr>
            <w:r w:rsidRPr="003815D1">
              <w:rPr>
                <w:rFonts w:ascii="Arial" w:hAnsi="Arial" w:cs="Arial"/>
                <w:b/>
                <w:bCs/>
                <w:sz w:val="16"/>
                <w:szCs w:val="16"/>
              </w:rPr>
              <w:t xml:space="preserve">533,855 </w:t>
            </w:r>
          </w:p>
        </w:tc>
      </w:tr>
    </w:tbl>
    <w:p w14:paraId="2E193496" w14:textId="15864A0A" w:rsidR="00000153" w:rsidRPr="00DC6ED7" w:rsidRDefault="0096700B" w:rsidP="00F10ACD">
      <w:pPr>
        <w:numPr>
          <w:ilvl w:val="0"/>
          <w:numId w:val="53"/>
        </w:numPr>
        <w:spacing w:before="60" w:after="0" w:line="240" w:lineRule="auto"/>
        <w:ind w:left="284" w:hanging="284"/>
        <w:jc w:val="left"/>
        <w:rPr>
          <w:rFonts w:ascii="Arial" w:hAnsi="Arial" w:cs="Arial"/>
          <w:sz w:val="16"/>
          <w:szCs w:val="16"/>
        </w:rPr>
      </w:pPr>
      <w:r w:rsidRPr="00DC6ED7">
        <w:rPr>
          <w:rFonts w:ascii="Arial" w:hAnsi="Arial" w:cs="Arial"/>
          <w:sz w:val="16"/>
          <w:szCs w:val="16"/>
        </w:rPr>
        <w:t xml:space="preserve">Excludes expenses relating to payments made to and through the states and territories by the Treasury for the Infrastructure Investment Program (Black Spots Projects, Bridges Renewal Program, Developing </w:t>
      </w:r>
      <w:r w:rsidRPr="004E6999">
        <w:rPr>
          <w:rFonts w:ascii="Arial" w:hAnsi="Arial" w:cs="Arial"/>
          <w:sz w:val="16"/>
          <w:szCs w:val="16"/>
        </w:rPr>
        <w:t>Northern</w:t>
      </w:r>
      <w:r w:rsidRPr="00DC6ED7">
        <w:rPr>
          <w:rFonts w:ascii="Arial" w:hAnsi="Arial" w:cs="Arial"/>
          <w:sz w:val="16"/>
          <w:szCs w:val="16"/>
        </w:rPr>
        <w:t xml:space="preserve"> Australia (Improving Cattle Supply Chains and Northern Australia Roads), Heavy Vehicle Safety and Productivity Program, Major Projects Business Case Fund, National Rail Program, Rail Investment Component, Road Investment Component, Roads of Strategic Importance and Urban Congestion Initiative) and Infrastructure Growth Package (New Investments and Western Sydney Infrastructure Plan) administered items.</w:t>
      </w:r>
    </w:p>
    <w:p w14:paraId="2799320C" w14:textId="3B8CFCF0" w:rsidR="0096700B" w:rsidRPr="0096700B" w:rsidRDefault="0096700B" w:rsidP="00F10ACD">
      <w:pPr>
        <w:numPr>
          <w:ilvl w:val="0"/>
          <w:numId w:val="53"/>
        </w:numPr>
        <w:spacing w:after="0" w:line="240" w:lineRule="auto"/>
        <w:ind w:left="284" w:hanging="284"/>
        <w:jc w:val="left"/>
        <w:rPr>
          <w:rFonts w:ascii="Arial" w:hAnsi="Arial" w:cs="Arial"/>
          <w:sz w:val="16"/>
          <w:szCs w:val="16"/>
        </w:rPr>
      </w:pPr>
      <w:r w:rsidRPr="0096700B">
        <w:rPr>
          <w:rFonts w:ascii="Arial" w:hAnsi="Arial" w:cs="Arial"/>
          <w:sz w:val="16"/>
          <w:szCs w:val="16"/>
        </w:rPr>
        <w:t xml:space="preserve">Relates to appropriation for corporate entities provided through the </w:t>
      </w:r>
      <w:r w:rsidR="008863D9">
        <w:rPr>
          <w:rFonts w:ascii="Arial" w:hAnsi="Arial" w:cs="Arial"/>
          <w:sz w:val="16"/>
          <w:szCs w:val="16"/>
        </w:rPr>
        <w:t>Department</w:t>
      </w:r>
      <w:r w:rsidRPr="0096700B">
        <w:rPr>
          <w:rFonts w:ascii="Arial" w:hAnsi="Arial" w:cs="Arial"/>
          <w:sz w:val="16"/>
          <w:szCs w:val="16"/>
        </w:rPr>
        <w:t>.</w:t>
      </w:r>
    </w:p>
    <w:p w14:paraId="1B4D4A78" w14:textId="2142A9C7" w:rsidR="004E6999" w:rsidRDefault="004E6999">
      <w:pPr>
        <w:spacing w:after="0" w:line="240" w:lineRule="auto"/>
        <w:jc w:val="left"/>
        <w:rPr>
          <w:rFonts w:ascii="Arial" w:hAnsi="Arial" w:cs="Arial"/>
          <w:b/>
          <w:bCs/>
        </w:rPr>
      </w:pPr>
    </w:p>
    <w:p w14:paraId="180330C4" w14:textId="382C6C8E" w:rsidR="00000153" w:rsidRPr="006F2211" w:rsidRDefault="00000153" w:rsidP="004F16E2">
      <w:pPr>
        <w:pStyle w:val="ChartandTableFootnoteAlpha"/>
        <w:numPr>
          <w:ilvl w:val="0"/>
          <w:numId w:val="0"/>
        </w:numPr>
        <w:spacing w:after="60"/>
        <w:rPr>
          <w:rFonts w:cs="Arial"/>
          <w:b/>
          <w:bCs/>
          <w:sz w:val="20"/>
        </w:rPr>
      </w:pPr>
      <w:r w:rsidRPr="006F2211">
        <w:rPr>
          <w:rFonts w:cs="Arial"/>
          <w:b/>
          <w:bCs/>
          <w:sz w:val="20"/>
        </w:rPr>
        <w:t>Performance criteria for Outcome 1</w:t>
      </w:r>
    </w:p>
    <w:p w14:paraId="4D72939D" w14:textId="14827EC1" w:rsidR="00000153" w:rsidRPr="004D30E6" w:rsidRDefault="00000153" w:rsidP="00BE272C">
      <w:pPr>
        <w:pStyle w:val="ChartandTableFootnoteAlpha"/>
        <w:numPr>
          <w:ilvl w:val="0"/>
          <w:numId w:val="0"/>
        </w:numPr>
        <w:spacing w:after="0"/>
        <w:jc w:val="left"/>
        <w:rPr>
          <w:rFonts w:ascii="Book Antiqua" w:hAnsi="Book Antiqua" w:cs="Arial"/>
          <w:sz w:val="20"/>
        </w:rPr>
      </w:pPr>
      <w:r w:rsidRPr="004D30E6">
        <w:rPr>
          <w:rFonts w:ascii="Book Antiqua" w:hAnsi="Book Antiqua" w:cs="Arial"/>
          <w:sz w:val="20"/>
        </w:rPr>
        <w:t xml:space="preserve">There has been no change to the performance criteria for Outcome 1 resulting from decisions made since the 2021–22 Budget. The </w:t>
      </w:r>
      <w:r w:rsidR="008863D9">
        <w:rPr>
          <w:rFonts w:ascii="Book Antiqua" w:hAnsi="Book Antiqua" w:cs="Arial"/>
          <w:sz w:val="20"/>
        </w:rPr>
        <w:t>Department</w:t>
      </w:r>
      <w:r w:rsidRPr="004D30E6">
        <w:rPr>
          <w:rFonts w:ascii="Book Antiqua" w:hAnsi="Book Antiqua" w:cs="Arial"/>
          <w:sz w:val="20"/>
        </w:rPr>
        <w:t xml:space="preserve">’s detailed performance criteria can be found in the </w:t>
      </w:r>
      <w:r w:rsidR="00360023" w:rsidRPr="004D30E6">
        <w:rPr>
          <w:rFonts w:ascii="Book Antiqua" w:hAnsi="Book Antiqua" w:cs="Arial"/>
          <w:sz w:val="20"/>
        </w:rPr>
        <w:t xml:space="preserve">2021–22 </w:t>
      </w:r>
      <w:r w:rsidRPr="004D30E6">
        <w:rPr>
          <w:rFonts w:ascii="Book Antiqua" w:hAnsi="Book Antiqua" w:cs="Arial"/>
          <w:sz w:val="20"/>
        </w:rPr>
        <w:t>Infrastructure, Transport, Regional Development and Communications PB Statements.</w:t>
      </w:r>
    </w:p>
    <w:p w14:paraId="70DC353F" w14:textId="77777777" w:rsidR="00EA2FF2" w:rsidRDefault="00EA2FF2">
      <w:pPr>
        <w:spacing w:after="0" w:line="240" w:lineRule="auto"/>
        <w:jc w:val="left"/>
        <w:rPr>
          <w:rFonts w:ascii="Arial Bold" w:hAnsi="Arial Bold"/>
          <w:b/>
          <w:sz w:val="22"/>
          <w:lang w:val="x-none"/>
        </w:rPr>
      </w:pPr>
      <w:bookmarkStart w:id="304" w:name="_Toc92992114"/>
      <w:bookmarkStart w:id="305" w:name="_Toc93405039"/>
      <w:r>
        <w:br w:type="page"/>
      </w:r>
    </w:p>
    <w:p w14:paraId="6F3318C7" w14:textId="148C9927" w:rsidR="00000153" w:rsidRDefault="00000153" w:rsidP="004F16E2">
      <w:pPr>
        <w:pStyle w:val="Heading3DITRDC"/>
        <w:spacing w:before="240"/>
      </w:pPr>
      <w:bookmarkStart w:id="306" w:name="_Toc94854645"/>
      <w:r>
        <w:lastRenderedPageBreak/>
        <w:t>2.</w:t>
      </w:r>
      <w:r>
        <w:rPr>
          <w:lang w:val="en-AU"/>
        </w:rPr>
        <w:t>3</w:t>
      </w:r>
      <w:r>
        <w:tab/>
        <w:t>Budgeted expenses and performance for Outcome 2</w:t>
      </w:r>
      <w:bookmarkEnd w:id="304"/>
      <w:bookmarkEnd w:id="305"/>
      <w:bookmarkEnd w:id="30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35"/>
      </w:tblGrid>
      <w:tr w:rsidR="00000153" w:rsidRPr="005E6F2B" w14:paraId="4423224C" w14:textId="77777777" w:rsidTr="00766815">
        <w:tc>
          <w:tcPr>
            <w:tcW w:w="7705" w:type="dxa"/>
            <w:shd w:val="clear" w:color="auto" w:fill="E6E6E6"/>
          </w:tcPr>
          <w:p w14:paraId="164A86D4" w14:textId="77777777" w:rsidR="00000153" w:rsidRPr="005E6F2B" w:rsidRDefault="00000153" w:rsidP="00766815">
            <w:pPr>
              <w:pStyle w:val="TableColumnHeadingLeft"/>
              <w:jc w:val="left"/>
            </w:pPr>
            <w:r w:rsidRPr="00F862B3">
              <w:rPr>
                <w:sz w:val="20"/>
              </w:rPr>
              <w:t xml:space="preserve">Outcome </w:t>
            </w:r>
            <w:r>
              <w:rPr>
                <w:sz w:val="20"/>
              </w:rPr>
              <w:t>2</w:t>
            </w:r>
            <w:r w:rsidRPr="00F862B3">
              <w:rPr>
                <w:sz w:val="20"/>
              </w:rPr>
              <w:t xml:space="preserve">: </w:t>
            </w:r>
            <w:r w:rsidRPr="00842923">
              <w:rPr>
                <w:sz w:val="20"/>
              </w:rPr>
              <w:t>An efficient, sustainable, competitive, safe and secure transport system for all transport users through regulation, financial assistance and safety investigations</w:t>
            </w:r>
            <w:r w:rsidRPr="00A6574F">
              <w:rPr>
                <w:sz w:val="20"/>
                <w:highlight w:val="yellow"/>
              </w:rPr>
              <w:t xml:space="preserve"> </w:t>
            </w:r>
          </w:p>
        </w:tc>
      </w:tr>
    </w:tbl>
    <w:p w14:paraId="5773A1ED" w14:textId="77777777" w:rsidR="00000153" w:rsidRPr="00192B13" w:rsidRDefault="00000153" w:rsidP="004F16E2">
      <w:pPr>
        <w:pStyle w:val="Heading4"/>
        <w:spacing w:before="240" w:after="60"/>
        <w:rPr>
          <w:rStyle w:val="ExampletextCharChar"/>
          <w:b w:val="0"/>
          <w:bCs/>
          <w:iCs/>
          <w:color w:val="auto"/>
          <w:sz w:val="22"/>
          <w:szCs w:val="22"/>
        </w:rPr>
      </w:pPr>
      <w:r w:rsidRPr="00192B13">
        <w:rPr>
          <w:sz w:val="22"/>
          <w:szCs w:val="22"/>
        </w:rPr>
        <w:t>Linked programs</w:t>
      </w:r>
      <w:r w:rsidRPr="00192B13">
        <w:t xml:space="preserve"> </w:t>
      </w:r>
    </w:p>
    <w:p w14:paraId="0A17E0B6" w14:textId="31CCE675" w:rsidR="00000153" w:rsidRDefault="00000153" w:rsidP="00000153">
      <w:pPr>
        <w:jc w:val="left"/>
      </w:pPr>
      <w:r w:rsidRPr="00950281">
        <w:t>Th</w:t>
      </w:r>
      <w:r>
        <w:t xml:space="preserve">ere have been no changes to linked programs for this outcome from that published in the </w:t>
      </w:r>
      <w:r w:rsidR="00360023">
        <w:t xml:space="preserve">2021-22 </w:t>
      </w:r>
      <w:r>
        <w:t xml:space="preserve">Infrastructure, Transport, Regional Development and </w:t>
      </w:r>
      <w:r w:rsidR="006A053E">
        <w:t>Communications</w:t>
      </w:r>
      <w:r w:rsidR="00173391">
        <w:t xml:space="preserve"> PB Statements.</w:t>
      </w:r>
    </w:p>
    <w:p w14:paraId="511450E7" w14:textId="77777777" w:rsidR="00000153" w:rsidRPr="00446612" w:rsidRDefault="00000153" w:rsidP="004F16E2">
      <w:pPr>
        <w:pStyle w:val="Heading5"/>
        <w:spacing w:after="60"/>
      </w:pPr>
      <w:r w:rsidRPr="00446612">
        <w:t xml:space="preserve">Budgeted expenses for Outcome </w:t>
      </w:r>
      <w:r>
        <w:rPr>
          <w:lang w:val="en-AU"/>
        </w:rPr>
        <w:t>2</w:t>
      </w:r>
    </w:p>
    <w:p w14:paraId="13707CE5" w14:textId="37B59935" w:rsidR="00000153" w:rsidRDefault="00000153" w:rsidP="004F16E2">
      <w:pPr>
        <w:jc w:val="left"/>
      </w:pPr>
      <w:r w:rsidRPr="00950281">
        <w:t xml:space="preserve">This table shows how much the </w:t>
      </w:r>
      <w:r w:rsidR="004F16E2">
        <w:t>Department</w:t>
      </w:r>
      <w:r w:rsidRPr="00950281">
        <w:t xml:space="preserve"> intends to spend (on an accrual basis) on achieving the outcome, broken down by program, as well as by Administered and </w:t>
      </w:r>
      <w:r w:rsidR="008863D9">
        <w:t>Department</w:t>
      </w:r>
      <w:r w:rsidRPr="00950281">
        <w:t xml:space="preserve">al funding sources. </w:t>
      </w:r>
    </w:p>
    <w:p w14:paraId="5D7421E6" w14:textId="0392B8B9" w:rsidR="00000153" w:rsidRDefault="00000153" w:rsidP="00000153">
      <w:pPr>
        <w:pStyle w:val="TableHeading"/>
        <w:rPr>
          <w:lang w:val="en-AU"/>
        </w:rPr>
      </w:pPr>
      <w:r w:rsidRPr="00BC4775">
        <w:t>Table 2.</w:t>
      </w:r>
      <w:r>
        <w:rPr>
          <w:lang w:val="en-AU"/>
        </w:rPr>
        <w:t>3</w:t>
      </w:r>
      <w:r w:rsidRPr="00BC4775">
        <w:rPr>
          <w:lang w:val="en-AU"/>
        </w:rPr>
        <w:t>.</w:t>
      </w:r>
      <w:r w:rsidRPr="00BC4775">
        <w:t>1 Budgeted expenses</w:t>
      </w:r>
      <w:r w:rsidRPr="00BC4775">
        <w:rPr>
          <w:lang w:val="en-AU"/>
        </w:rPr>
        <w:t xml:space="preserve"> for</w:t>
      </w:r>
      <w:r w:rsidRPr="00BC4775">
        <w:t xml:space="preserve"> Outcome </w:t>
      </w:r>
      <w:r w:rsidRPr="00BC4775">
        <w:rPr>
          <w:lang w:val="en-AU"/>
        </w:rPr>
        <w:t>2</w:t>
      </w:r>
    </w:p>
    <w:tbl>
      <w:tblPr>
        <w:tblW w:w="7476" w:type="dxa"/>
        <w:tblLook w:val="04A0" w:firstRow="1" w:lastRow="0" w:firstColumn="1" w:lastColumn="0" w:noHBand="0" w:noVBand="1"/>
      </w:tblPr>
      <w:tblGrid>
        <w:gridCol w:w="2835"/>
        <w:gridCol w:w="901"/>
        <w:gridCol w:w="977"/>
        <w:gridCol w:w="19"/>
        <w:gridCol w:w="861"/>
        <w:gridCol w:w="35"/>
        <w:gridCol w:w="942"/>
        <w:gridCol w:w="54"/>
        <w:gridCol w:w="834"/>
        <w:gridCol w:w="18"/>
      </w:tblGrid>
      <w:tr w:rsidR="00E34CEC" w:rsidRPr="00CF4B58" w14:paraId="54B38959" w14:textId="77777777" w:rsidTr="00EA2FF2">
        <w:trPr>
          <w:trHeight w:val="204"/>
        </w:trPr>
        <w:tc>
          <w:tcPr>
            <w:tcW w:w="2835" w:type="dxa"/>
            <w:tcBorders>
              <w:top w:val="single" w:sz="4" w:space="0" w:color="auto"/>
              <w:left w:val="nil"/>
              <w:bottom w:val="nil"/>
              <w:right w:val="nil"/>
            </w:tcBorders>
            <w:shd w:val="clear" w:color="auto" w:fill="auto"/>
            <w:noWrap/>
            <w:hideMark/>
          </w:tcPr>
          <w:p w14:paraId="50C3406F" w14:textId="77777777" w:rsidR="00E34CEC" w:rsidRPr="00CF4B58" w:rsidRDefault="00E34CEC" w:rsidP="00E34CEC">
            <w:pPr>
              <w:spacing w:after="0" w:line="240" w:lineRule="auto"/>
              <w:jc w:val="left"/>
              <w:rPr>
                <w:rFonts w:ascii="Arial" w:hAnsi="Arial" w:cs="Arial"/>
                <w:sz w:val="16"/>
                <w:szCs w:val="16"/>
              </w:rPr>
            </w:pPr>
            <w:r w:rsidRPr="00CF4B58">
              <w:rPr>
                <w:rFonts w:ascii="Arial" w:hAnsi="Arial" w:cs="Arial"/>
                <w:sz w:val="16"/>
                <w:szCs w:val="16"/>
              </w:rPr>
              <w:t> </w:t>
            </w:r>
          </w:p>
        </w:tc>
        <w:tc>
          <w:tcPr>
            <w:tcW w:w="901" w:type="dxa"/>
            <w:tcBorders>
              <w:top w:val="single" w:sz="4" w:space="0" w:color="auto"/>
              <w:left w:val="nil"/>
              <w:bottom w:val="single" w:sz="4" w:space="0" w:color="auto"/>
              <w:right w:val="nil"/>
            </w:tcBorders>
            <w:shd w:val="clear" w:color="auto" w:fill="auto"/>
            <w:vAlign w:val="bottom"/>
            <w:hideMark/>
          </w:tcPr>
          <w:p w14:paraId="6D8BB4F8" w14:textId="1ADD63B8" w:rsidR="00E34CEC" w:rsidRPr="00CF4B58"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000000" w:fill="E6E6E6"/>
            <w:vAlign w:val="bottom"/>
            <w:hideMark/>
          </w:tcPr>
          <w:p w14:paraId="23AA7559" w14:textId="59AC4899" w:rsidR="00E34CEC" w:rsidRPr="00CF4B58"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880" w:type="dxa"/>
            <w:gridSpan w:val="2"/>
            <w:tcBorders>
              <w:top w:val="single" w:sz="4" w:space="0" w:color="auto"/>
              <w:left w:val="nil"/>
              <w:bottom w:val="single" w:sz="4" w:space="0" w:color="auto"/>
              <w:right w:val="nil"/>
            </w:tcBorders>
            <w:shd w:val="clear" w:color="auto" w:fill="auto"/>
            <w:vAlign w:val="bottom"/>
            <w:hideMark/>
          </w:tcPr>
          <w:p w14:paraId="5D64967F" w14:textId="1A8577B7" w:rsidR="00E34CEC" w:rsidRPr="00CF4B58"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77" w:type="dxa"/>
            <w:gridSpan w:val="2"/>
            <w:tcBorders>
              <w:top w:val="single" w:sz="4" w:space="0" w:color="auto"/>
              <w:left w:val="nil"/>
              <w:bottom w:val="single" w:sz="4" w:space="0" w:color="auto"/>
              <w:right w:val="nil"/>
            </w:tcBorders>
            <w:shd w:val="clear" w:color="auto" w:fill="auto"/>
            <w:vAlign w:val="bottom"/>
            <w:hideMark/>
          </w:tcPr>
          <w:p w14:paraId="76EE64B1" w14:textId="154B94EA" w:rsidR="00E34CEC" w:rsidRPr="00CF4B58"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06" w:type="dxa"/>
            <w:gridSpan w:val="3"/>
            <w:tcBorders>
              <w:top w:val="single" w:sz="4" w:space="0" w:color="auto"/>
              <w:left w:val="nil"/>
              <w:bottom w:val="single" w:sz="4" w:space="0" w:color="auto"/>
              <w:right w:val="nil"/>
            </w:tcBorders>
            <w:shd w:val="clear" w:color="auto" w:fill="auto"/>
            <w:vAlign w:val="bottom"/>
            <w:hideMark/>
          </w:tcPr>
          <w:p w14:paraId="3299E359" w14:textId="06BEE599" w:rsidR="00E34CEC" w:rsidRPr="00CF4B58"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CF4B58" w:rsidRPr="00CF4B58" w14:paraId="36111916" w14:textId="77777777" w:rsidTr="00EA2FF2">
        <w:trPr>
          <w:trHeight w:val="225"/>
        </w:trPr>
        <w:tc>
          <w:tcPr>
            <w:tcW w:w="2835" w:type="dxa"/>
            <w:tcBorders>
              <w:top w:val="single" w:sz="4" w:space="0" w:color="auto"/>
              <w:left w:val="nil"/>
              <w:bottom w:val="single" w:sz="4" w:space="0" w:color="auto"/>
              <w:right w:val="nil"/>
            </w:tcBorders>
            <w:shd w:val="clear" w:color="000000" w:fill="E6E6E6"/>
            <w:noWrap/>
            <w:hideMark/>
          </w:tcPr>
          <w:p w14:paraId="335AD702" w14:textId="77777777" w:rsidR="00CF4B58" w:rsidRPr="00CF4B58" w:rsidRDefault="00CF4B58" w:rsidP="00CF4B58">
            <w:pPr>
              <w:spacing w:after="0" w:line="240" w:lineRule="auto"/>
              <w:jc w:val="left"/>
              <w:rPr>
                <w:rFonts w:ascii="Arial" w:hAnsi="Arial" w:cs="Arial"/>
                <w:b/>
                <w:bCs/>
                <w:sz w:val="16"/>
                <w:szCs w:val="16"/>
              </w:rPr>
            </w:pPr>
            <w:r w:rsidRPr="00CF4B58">
              <w:rPr>
                <w:rFonts w:ascii="Arial" w:hAnsi="Arial" w:cs="Arial"/>
                <w:b/>
                <w:bCs/>
                <w:sz w:val="16"/>
                <w:szCs w:val="16"/>
              </w:rPr>
              <w:t xml:space="preserve">Program 2.1: Surface Transport </w:t>
            </w:r>
          </w:p>
        </w:tc>
        <w:tc>
          <w:tcPr>
            <w:tcW w:w="901" w:type="dxa"/>
            <w:tcBorders>
              <w:top w:val="single" w:sz="4" w:space="0" w:color="auto"/>
              <w:left w:val="nil"/>
              <w:bottom w:val="single" w:sz="4" w:space="0" w:color="auto"/>
              <w:right w:val="nil"/>
            </w:tcBorders>
            <w:shd w:val="clear" w:color="000000" w:fill="E6E6E6"/>
            <w:noWrap/>
            <w:hideMark/>
          </w:tcPr>
          <w:p w14:paraId="3EF73414"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977" w:type="dxa"/>
            <w:tcBorders>
              <w:top w:val="single" w:sz="4" w:space="0" w:color="auto"/>
              <w:left w:val="nil"/>
              <w:bottom w:val="single" w:sz="4" w:space="0" w:color="auto"/>
              <w:right w:val="nil"/>
            </w:tcBorders>
            <w:shd w:val="clear" w:color="000000" w:fill="E6E6E6"/>
            <w:noWrap/>
            <w:hideMark/>
          </w:tcPr>
          <w:p w14:paraId="2C95C0A1"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880" w:type="dxa"/>
            <w:gridSpan w:val="2"/>
            <w:tcBorders>
              <w:top w:val="single" w:sz="4" w:space="0" w:color="auto"/>
              <w:left w:val="nil"/>
              <w:bottom w:val="single" w:sz="4" w:space="0" w:color="auto"/>
              <w:right w:val="nil"/>
            </w:tcBorders>
            <w:shd w:val="clear" w:color="000000" w:fill="E6E6E6"/>
            <w:noWrap/>
            <w:hideMark/>
          </w:tcPr>
          <w:p w14:paraId="080BA068"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977" w:type="dxa"/>
            <w:gridSpan w:val="2"/>
            <w:tcBorders>
              <w:top w:val="single" w:sz="4" w:space="0" w:color="auto"/>
              <w:left w:val="nil"/>
              <w:bottom w:val="single" w:sz="4" w:space="0" w:color="auto"/>
              <w:right w:val="nil"/>
            </w:tcBorders>
            <w:shd w:val="clear" w:color="000000" w:fill="E6E6E6"/>
            <w:noWrap/>
            <w:hideMark/>
          </w:tcPr>
          <w:p w14:paraId="411566EF"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906" w:type="dxa"/>
            <w:gridSpan w:val="3"/>
            <w:tcBorders>
              <w:top w:val="single" w:sz="4" w:space="0" w:color="auto"/>
              <w:left w:val="nil"/>
              <w:bottom w:val="single" w:sz="4" w:space="0" w:color="auto"/>
              <w:right w:val="nil"/>
            </w:tcBorders>
            <w:shd w:val="clear" w:color="000000" w:fill="E6E6E6"/>
            <w:noWrap/>
            <w:hideMark/>
          </w:tcPr>
          <w:p w14:paraId="6D1ABEA8"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r>
      <w:tr w:rsidR="00CF4B58" w:rsidRPr="007E02F0" w14:paraId="00F1644F" w14:textId="77777777" w:rsidTr="004F16E2">
        <w:trPr>
          <w:trHeight w:val="204"/>
        </w:trPr>
        <w:tc>
          <w:tcPr>
            <w:tcW w:w="2835" w:type="dxa"/>
            <w:tcBorders>
              <w:top w:val="nil"/>
              <w:left w:val="nil"/>
              <w:bottom w:val="nil"/>
              <w:right w:val="nil"/>
            </w:tcBorders>
            <w:shd w:val="clear" w:color="auto" w:fill="auto"/>
            <w:noWrap/>
            <w:hideMark/>
          </w:tcPr>
          <w:p w14:paraId="65726F4D" w14:textId="33A8D195" w:rsidR="00CF4B58" w:rsidRPr="007E02F0" w:rsidRDefault="0017039B" w:rsidP="0017039B">
            <w:pPr>
              <w:spacing w:after="0" w:line="240" w:lineRule="auto"/>
              <w:jc w:val="left"/>
              <w:rPr>
                <w:rFonts w:ascii="Arial" w:hAnsi="Arial" w:cs="Arial"/>
                <w:sz w:val="16"/>
                <w:szCs w:val="16"/>
              </w:rPr>
            </w:pPr>
            <w:r w:rsidRPr="007E02F0">
              <w:rPr>
                <w:rFonts w:ascii="Arial" w:hAnsi="Arial" w:cs="Arial"/>
                <w:sz w:val="16"/>
                <w:szCs w:val="16"/>
              </w:rPr>
              <w:t>Administered payment</w:t>
            </w:r>
            <w:r w:rsidR="00CF4B58" w:rsidRPr="007E02F0">
              <w:rPr>
                <w:rFonts w:ascii="Arial" w:hAnsi="Arial" w:cs="Arial"/>
                <w:sz w:val="16"/>
                <w:szCs w:val="16"/>
              </w:rPr>
              <w:t>s</w:t>
            </w:r>
          </w:p>
        </w:tc>
        <w:tc>
          <w:tcPr>
            <w:tcW w:w="901" w:type="dxa"/>
            <w:tcBorders>
              <w:top w:val="nil"/>
              <w:left w:val="nil"/>
              <w:bottom w:val="nil"/>
              <w:right w:val="nil"/>
            </w:tcBorders>
            <w:shd w:val="clear" w:color="auto" w:fill="auto"/>
            <w:noWrap/>
            <w:vAlign w:val="bottom"/>
            <w:hideMark/>
          </w:tcPr>
          <w:p w14:paraId="7224D694" w14:textId="77777777" w:rsidR="00CF4B58" w:rsidRPr="007E02F0" w:rsidRDefault="00CF4B58" w:rsidP="00CF4B58">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0A48E467" w14:textId="238365A9" w:rsidR="00CF4B58" w:rsidRPr="007E02F0" w:rsidRDefault="00CF4B58" w:rsidP="00CF4B58">
            <w:pPr>
              <w:spacing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bottom"/>
            <w:hideMark/>
          </w:tcPr>
          <w:p w14:paraId="296F07FB" w14:textId="77777777" w:rsidR="00CF4B58" w:rsidRPr="007E02F0" w:rsidRDefault="00CF4B58" w:rsidP="00CF4B58">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auto" w:fill="auto"/>
            <w:noWrap/>
            <w:vAlign w:val="bottom"/>
            <w:hideMark/>
          </w:tcPr>
          <w:p w14:paraId="2391E361" w14:textId="77777777" w:rsidR="00CF4B58" w:rsidRPr="007E02F0" w:rsidRDefault="00CF4B58" w:rsidP="00CF4B58">
            <w:pPr>
              <w:spacing w:after="0" w:line="240" w:lineRule="auto"/>
              <w:jc w:val="right"/>
              <w:rPr>
                <w:rFonts w:ascii="Times New Roman" w:hAnsi="Times New Roman"/>
                <w:sz w:val="16"/>
                <w:szCs w:val="16"/>
              </w:rPr>
            </w:pPr>
          </w:p>
        </w:tc>
        <w:tc>
          <w:tcPr>
            <w:tcW w:w="906" w:type="dxa"/>
            <w:gridSpan w:val="3"/>
            <w:tcBorders>
              <w:top w:val="nil"/>
              <w:left w:val="nil"/>
              <w:bottom w:val="nil"/>
              <w:right w:val="nil"/>
            </w:tcBorders>
            <w:shd w:val="clear" w:color="auto" w:fill="auto"/>
            <w:noWrap/>
            <w:vAlign w:val="bottom"/>
            <w:hideMark/>
          </w:tcPr>
          <w:p w14:paraId="2ECCC6BF" w14:textId="77777777" w:rsidR="00CF4B58" w:rsidRPr="007E02F0" w:rsidRDefault="00CF4B58" w:rsidP="00CF4B58">
            <w:pPr>
              <w:spacing w:after="0" w:line="240" w:lineRule="auto"/>
              <w:jc w:val="right"/>
              <w:rPr>
                <w:rFonts w:ascii="Times New Roman" w:hAnsi="Times New Roman"/>
                <w:sz w:val="16"/>
                <w:szCs w:val="16"/>
              </w:rPr>
            </w:pPr>
          </w:p>
        </w:tc>
      </w:tr>
      <w:tr w:rsidR="003815D1" w:rsidRPr="007E02F0" w14:paraId="5A55EA9E" w14:textId="77777777" w:rsidTr="004F16E2">
        <w:trPr>
          <w:trHeight w:val="204"/>
        </w:trPr>
        <w:tc>
          <w:tcPr>
            <w:tcW w:w="2835" w:type="dxa"/>
            <w:tcBorders>
              <w:top w:val="nil"/>
              <w:left w:val="nil"/>
              <w:bottom w:val="nil"/>
              <w:right w:val="nil"/>
            </w:tcBorders>
            <w:shd w:val="clear" w:color="auto" w:fill="auto"/>
            <w:vAlign w:val="bottom"/>
            <w:hideMark/>
          </w:tcPr>
          <w:p w14:paraId="47A1D2C9" w14:textId="77777777" w:rsidR="003815D1" w:rsidRPr="007E02F0" w:rsidRDefault="003815D1" w:rsidP="003815D1">
            <w:pPr>
              <w:spacing w:after="0" w:line="240" w:lineRule="auto"/>
              <w:ind w:left="113"/>
              <w:jc w:val="left"/>
              <w:rPr>
                <w:rFonts w:ascii="Arial" w:hAnsi="Arial" w:cs="Arial"/>
                <w:sz w:val="16"/>
                <w:szCs w:val="16"/>
              </w:rPr>
            </w:pPr>
            <w:r w:rsidRPr="007E02F0">
              <w:rPr>
                <w:rFonts w:ascii="Arial" w:hAnsi="Arial" w:cs="Arial"/>
                <w:sz w:val="16"/>
                <w:szCs w:val="16"/>
              </w:rPr>
              <w:t xml:space="preserve">Ordinary Annual Services (Appropriation Act No. 1 and Bill No. 3) </w:t>
            </w:r>
            <w:r w:rsidRPr="007E02F0">
              <w:rPr>
                <w:rFonts w:ascii="Arial" w:hAnsi="Arial" w:cs="Arial"/>
                <w:sz w:val="16"/>
                <w:szCs w:val="16"/>
                <w:vertAlign w:val="superscript"/>
              </w:rPr>
              <w:t>(a)</w:t>
            </w:r>
          </w:p>
        </w:tc>
        <w:tc>
          <w:tcPr>
            <w:tcW w:w="901" w:type="dxa"/>
            <w:tcBorders>
              <w:top w:val="nil"/>
              <w:left w:val="nil"/>
              <w:bottom w:val="nil"/>
              <w:right w:val="nil"/>
            </w:tcBorders>
            <w:shd w:val="clear" w:color="auto" w:fill="auto"/>
            <w:noWrap/>
            <w:vAlign w:val="bottom"/>
            <w:hideMark/>
          </w:tcPr>
          <w:p w14:paraId="262049AE" w14:textId="5F5BF9E5" w:rsidR="003815D1" w:rsidRPr="007E02F0" w:rsidRDefault="003815D1" w:rsidP="003815D1">
            <w:pPr>
              <w:spacing w:after="0" w:line="240" w:lineRule="auto"/>
              <w:jc w:val="right"/>
              <w:rPr>
                <w:rFonts w:ascii="Arial" w:hAnsi="Arial" w:cs="Arial"/>
                <w:sz w:val="16"/>
                <w:szCs w:val="16"/>
              </w:rPr>
            </w:pPr>
            <w:r w:rsidRPr="007E02F0">
              <w:rPr>
                <w:rFonts w:ascii="Arial" w:hAnsi="Arial" w:cs="Arial"/>
                <w:sz w:val="16"/>
                <w:szCs w:val="16"/>
              </w:rPr>
              <w:t xml:space="preserve">213,590 </w:t>
            </w:r>
          </w:p>
        </w:tc>
        <w:tc>
          <w:tcPr>
            <w:tcW w:w="977" w:type="dxa"/>
            <w:tcBorders>
              <w:top w:val="nil"/>
              <w:left w:val="nil"/>
              <w:bottom w:val="nil"/>
              <w:right w:val="nil"/>
            </w:tcBorders>
            <w:shd w:val="clear" w:color="000000" w:fill="E6E6E6"/>
            <w:noWrap/>
            <w:vAlign w:val="bottom"/>
            <w:hideMark/>
          </w:tcPr>
          <w:p w14:paraId="3FB7634A" w14:textId="0975BAE2" w:rsidR="003815D1" w:rsidRPr="007E02F0" w:rsidRDefault="003815D1" w:rsidP="003815D1">
            <w:pPr>
              <w:spacing w:after="0" w:line="240" w:lineRule="auto"/>
              <w:jc w:val="right"/>
              <w:rPr>
                <w:rFonts w:ascii="Arial" w:hAnsi="Arial" w:cs="Arial"/>
                <w:sz w:val="16"/>
                <w:szCs w:val="16"/>
              </w:rPr>
            </w:pPr>
            <w:r w:rsidRPr="007E02F0">
              <w:rPr>
                <w:rFonts w:ascii="Arial" w:hAnsi="Arial" w:cs="Arial"/>
                <w:sz w:val="16"/>
                <w:szCs w:val="16"/>
              </w:rPr>
              <w:t xml:space="preserve">239,155 </w:t>
            </w:r>
          </w:p>
        </w:tc>
        <w:tc>
          <w:tcPr>
            <w:tcW w:w="880" w:type="dxa"/>
            <w:gridSpan w:val="2"/>
            <w:tcBorders>
              <w:top w:val="nil"/>
              <w:left w:val="nil"/>
              <w:bottom w:val="nil"/>
              <w:right w:val="nil"/>
            </w:tcBorders>
            <w:shd w:val="clear" w:color="auto" w:fill="auto"/>
            <w:noWrap/>
            <w:vAlign w:val="bottom"/>
            <w:hideMark/>
          </w:tcPr>
          <w:p w14:paraId="7968E7DE" w14:textId="01F01AF8" w:rsidR="003815D1" w:rsidRPr="007E02F0" w:rsidRDefault="003815D1" w:rsidP="003815D1">
            <w:pPr>
              <w:spacing w:after="0" w:line="240" w:lineRule="auto"/>
              <w:jc w:val="right"/>
              <w:rPr>
                <w:rFonts w:ascii="Arial" w:hAnsi="Arial" w:cs="Arial"/>
                <w:sz w:val="16"/>
                <w:szCs w:val="16"/>
              </w:rPr>
            </w:pPr>
            <w:r w:rsidRPr="007E02F0">
              <w:rPr>
                <w:rFonts w:ascii="Arial" w:hAnsi="Arial" w:cs="Arial"/>
                <w:sz w:val="16"/>
                <w:szCs w:val="16"/>
              </w:rPr>
              <w:t xml:space="preserve">242,467 </w:t>
            </w:r>
          </w:p>
        </w:tc>
        <w:tc>
          <w:tcPr>
            <w:tcW w:w="977" w:type="dxa"/>
            <w:gridSpan w:val="2"/>
            <w:tcBorders>
              <w:top w:val="nil"/>
              <w:left w:val="nil"/>
              <w:bottom w:val="nil"/>
              <w:right w:val="nil"/>
            </w:tcBorders>
            <w:shd w:val="clear" w:color="auto" w:fill="auto"/>
            <w:noWrap/>
            <w:vAlign w:val="bottom"/>
            <w:hideMark/>
          </w:tcPr>
          <w:p w14:paraId="4894359F" w14:textId="10519666" w:rsidR="003815D1" w:rsidRPr="007E02F0" w:rsidRDefault="003815D1" w:rsidP="003815D1">
            <w:pPr>
              <w:spacing w:after="0" w:line="240" w:lineRule="auto"/>
              <w:jc w:val="right"/>
              <w:rPr>
                <w:rFonts w:ascii="Arial" w:hAnsi="Arial" w:cs="Arial"/>
                <w:sz w:val="16"/>
                <w:szCs w:val="16"/>
              </w:rPr>
            </w:pPr>
            <w:r w:rsidRPr="007E02F0">
              <w:rPr>
                <w:rFonts w:ascii="Arial" w:hAnsi="Arial" w:cs="Arial"/>
                <w:sz w:val="16"/>
                <w:szCs w:val="16"/>
              </w:rPr>
              <w:t xml:space="preserve">244,399 </w:t>
            </w:r>
          </w:p>
        </w:tc>
        <w:tc>
          <w:tcPr>
            <w:tcW w:w="906" w:type="dxa"/>
            <w:gridSpan w:val="3"/>
            <w:tcBorders>
              <w:top w:val="nil"/>
              <w:left w:val="nil"/>
              <w:bottom w:val="nil"/>
              <w:right w:val="nil"/>
            </w:tcBorders>
            <w:shd w:val="clear" w:color="auto" w:fill="auto"/>
            <w:noWrap/>
            <w:vAlign w:val="bottom"/>
            <w:hideMark/>
          </w:tcPr>
          <w:p w14:paraId="78D9E5E8" w14:textId="140FE798" w:rsidR="003815D1" w:rsidRPr="007E02F0" w:rsidRDefault="003815D1" w:rsidP="003815D1">
            <w:pPr>
              <w:spacing w:after="0" w:line="240" w:lineRule="auto"/>
              <w:jc w:val="right"/>
              <w:rPr>
                <w:rFonts w:ascii="Arial" w:hAnsi="Arial" w:cs="Arial"/>
                <w:sz w:val="16"/>
                <w:szCs w:val="16"/>
              </w:rPr>
            </w:pPr>
            <w:r w:rsidRPr="007E02F0">
              <w:rPr>
                <w:rFonts w:ascii="Arial" w:hAnsi="Arial" w:cs="Arial"/>
                <w:sz w:val="16"/>
                <w:szCs w:val="16"/>
              </w:rPr>
              <w:t xml:space="preserve">243,876 </w:t>
            </w:r>
          </w:p>
        </w:tc>
      </w:tr>
      <w:tr w:rsidR="003815D1" w:rsidRPr="00CF4B58" w14:paraId="56072309" w14:textId="77777777" w:rsidTr="004F16E2">
        <w:trPr>
          <w:trHeight w:val="204"/>
        </w:trPr>
        <w:tc>
          <w:tcPr>
            <w:tcW w:w="2835" w:type="dxa"/>
            <w:tcBorders>
              <w:top w:val="nil"/>
              <w:left w:val="nil"/>
              <w:bottom w:val="nil"/>
              <w:right w:val="nil"/>
            </w:tcBorders>
            <w:shd w:val="clear" w:color="auto" w:fill="auto"/>
            <w:vAlign w:val="bottom"/>
            <w:hideMark/>
          </w:tcPr>
          <w:p w14:paraId="2D169A9F" w14:textId="77777777" w:rsidR="003815D1" w:rsidRPr="00CF4B58" w:rsidRDefault="003815D1" w:rsidP="003815D1">
            <w:pPr>
              <w:spacing w:after="0" w:line="240" w:lineRule="auto"/>
              <w:ind w:left="113"/>
              <w:jc w:val="left"/>
              <w:rPr>
                <w:rFonts w:ascii="Arial" w:hAnsi="Arial" w:cs="Arial"/>
                <w:sz w:val="16"/>
                <w:szCs w:val="16"/>
              </w:rPr>
            </w:pPr>
            <w:r w:rsidRPr="00CF4B58">
              <w:rPr>
                <w:rFonts w:ascii="Arial" w:hAnsi="Arial" w:cs="Arial"/>
                <w:sz w:val="16"/>
                <w:szCs w:val="16"/>
              </w:rPr>
              <w:t>Special Appropriations</w:t>
            </w:r>
          </w:p>
        </w:tc>
        <w:tc>
          <w:tcPr>
            <w:tcW w:w="901" w:type="dxa"/>
            <w:tcBorders>
              <w:top w:val="nil"/>
              <w:left w:val="nil"/>
              <w:bottom w:val="nil"/>
              <w:right w:val="nil"/>
            </w:tcBorders>
            <w:shd w:val="clear" w:color="auto" w:fill="auto"/>
            <w:noWrap/>
            <w:vAlign w:val="bottom"/>
            <w:hideMark/>
          </w:tcPr>
          <w:p w14:paraId="57369CD4" w14:textId="77777777" w:rsidR="003815D1" w:rsidRPr="003815D1" w:rsidRDefault="003815D1" w:rsidP="003815D1">
            <w:pPr>
              <w:spacing w:after="0" w:line="240" w:lineRule="auto"/>
              <w:ind w:firstLineChars="100" w:firstLine="160"/>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652B4D66" w14:textId="413478BA"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w:t>
            </w:r>
          </w:p>
        </w:tc>
        <w:tc>
          <w:tcPr>
            <w:tcW w:w="880" w:type="dxa"/>
            <w:gridSpan w:val="2"/>
            <w:tcBorders>
              <w:top w:val="nil"/>
              <w:left w:val="nil"/>
              <w:bottom w:val="nil"/>
              <w:right w:val="nil"/>
            </w:tcBorders>
            <w:shd w:val="clear" w:color="auto" w:fill="auto"/>
            <w:noWrap/>
            <w:vAlign w:val="bottom"/>
            <w:hideMark/>
          </w:tcPr>
          <w:p w14:paraId="494540D5" w14:textId="77777777" w:rsidR="003815D1" w:rsidRPr="003815D1" w:rsidRDefault="003815D1" w:rsidP="003815D1">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auto" w:fill="auto"/>
            <w:noWrap/>
            <w:vAlign w:val="bottom"/>
            <w:hideMark/>
          </w:tcPr>
          <w:p w14:paraId="00D5121C" w14:textId="77777777" w:rsidR="003815D1" w:rsidRPr="003815D1" w:rsidRDefault="003815D1" w:rsidP="003815D1">
            <w:pPr>
              <w:spacing w:after="0" w:line="240" w:lineRule="auto"/>
              <w:jc w:val="right"/>
              <w:rPr>
                <w:rFonts w:ascii="Times New Roman" w:hAnsi="Times New Roman"/>
                <w:sz w:val="16"/>
                <w:szCs w:val="16"/>
              </w:rPr>
            </w:pPr>
          </w:p>
        </w:tc>
        <w:tc>
          <w:tcPr>
            <w:tcW w:w="906" w:type="dxa"/>
            <w:gridSpan w:val="3"/>
            <w:tcBorders>
              <w:top w:val="nil"/>
              <w:left w:val="nil"/>
              <w:bottom w:val="nil"/>
              <w:right w:val="nil"/>
            </w:tcBorders>
            <w:shd w:val="clear" w:color="auto" w:fill="auto"/>
            <w:noWrap/>
            <w:vAlign w:val="bottom"/>
            <w:hideMark/>
          </w:tcPr>
          <w:p w14:paraId="092470C6" w14:textId="77777777" w:rsidR="003815D1" w:rsidRPr="003815D1" w:rsidRDefault="003815D1" w:rsidP="003815D1">
            <w:pPr>
              <w:spacing w:after="0" w:line="240" w:lineRule="auto"/>
              <w:jc w:val="right"/>
              <w:rPr>
                <w:rFonts w:ascii="Times New Roman" w:hAnsi="Times New Roman"/>
                <w:sz w:val="16"/>
                <w:szCs w:val="16"/>
              </w:rPr>
            </w:pPr>
          </w:p>
        </w:tc>
      </w:tr>
      <w:tr w:rsidR="003815D1" w:rsidRPr="00CF4B58" w14:paraId="7D9C97FC" w14:textId="77777777" w:rsidTr="004F16E2">
        <w:trPr>
          <w:trHeight w:val="204"/>
        </w:trPr>
        <w:tc>
          <w:tcPr>
            <w:tcW w:w="2835" w:type="dxa"/>
            <w:tcBorders>
              <w:top w:val="nil"/>
              <w:left w:val="nil"/>
              <w:bottom w:val="nil"/>
              <w:right w:val="nil"/>
            </w:tcBorders>
            <w:shd w:val="clear" w:color="auto" w:fill="auto"/>
            <w:hideMark/>
          </w:tcPr>
          <w:p w14:paraId="6AD80412" w14:textId="77777777" w:rsidR="003815D1" w:rsidRPr="00CF4B58" w:rsidRDefault="003815D1" w:rsidP="003815D1">
            <w:pPr>
              <w:spacing w:after="0" w:line="240" w:lineRule="auto"/>
              <w:ind w:left="227"/>
              <w:jc w:val="left"/>
              <w:rPr>
                <w:rFonts w:ascii="Arial" w:hAnsi="Arial" w:cs="Arial"/>
                <w:i/>
                <w:iCs/>
                <w:sz w:val="16"/>
                <w:szCs w:val="16"/>
              </w:rPr>
            </w:pPr>
            <w:r w:rsidRPr="00CF4B58">
              <w:rPr>
                <w:rFonts w:ascii="Arial" w:hAnsi="Arial" w:cs="Arial"/>
                <w:i/>
                <w:iCs/>
                <w:sz w:val="16"/>
                <w:szCs w:val="16"/>
              </w:rPr>
              <w:t xml:space="preserve">Australian Maritime Safety Authority Act 1990 </w:t>
            </w:r>
            <w:r w:rsidRPr="00CF4B58">
              <w:rPr>
                <w:rFonts w:ascii="Arial" w:hAnsi="Arial" w:cs="Arial"/>
                <w:i/>
                <w:iCs/>
                <w:sz w:val="16"/>
                <w:szCs w:val="16"/>
                <w:vertAlign w:val="superscript"/>
              </w:rPr>
              <w:t>(b)</w:t>
            </w:r>
          </w:p>
        </w:tc>
        <w:tc>
          <w:tcPr>
            <w:tcW w:w="901" w:type="dxa"/>
            <w:tcBorders>
              <w:top w:val="nil"/>
              <w:left w:val="nil"/>
              <w:bottom w:val="nil"/>
              <w:right w:val="nil"/>
            </w:tcBorders>
            <w:shd w:val="clear" w:color="auto" w:fill="auto"/>
            <w:noWrap/>
            <w:vAlign w:val="bottom"/>
            <w:hideMark/>
          </w:tcPr>
          <w:p w14:paraId="7C2108FE" w14:textId="7AB7DFDB"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132,667 </w:t>
            </w:r>
          </w:p>
        </w:tc>
        <w:tc>
          <w:tcPr>
            <w:tcW w:w="977" w:type="dxa"/>
            <w:tcBorders>
              <w:top w:val="nil"/>
              <w:left w:val="nil"/>
              <w:bottom w:val="nil"/>
              <w:right w:val="nil"/>
            </w:tcBorders>
            <w:shd w:val="clear" w:color="000000" w:fill="E6E6E6"/>
            <w:noWrap/>
            <w:vAlign w:val="bottom"/>
            <w:hideMark/>
          </w:tcPr>
          <w:p w14:paraId="1A62EC31" w14:textId="43DBA2E5"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127,200 </w:t>
            </w:r>
          </w:p>
        </w:tc>
        <w:tc>
          <w:tcPr>
            <w:tcW w:w="880" w:type="dxa"/>
            <w:gridSpan w:val="2"/>
            <w:tcBorders>
              <w:top w:val="nil"/>
              <w:left w:val="nil"/>
              <w:bottom w:val="nil"/>
              <w:right w:val="nil"/>
            </w:tcBorders>
            <w:shd w:val="clear" w:color="auto" w:fill="auto"/>
            <w:noWrap/>
            <w:vAlign w:val="bottom"/>
            <w:hideMark/>
          </w:tcPr>
          <w:p w14:paraId="600BC746" w14:textId="4531F183"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141,064 </w:t>
            </w:r>
          </w:p>
        </w:tc>
        <w:tc>
          <w:tcPr>
            <w:tcW w:w="977" w:type="dxa"/>
            <w:gridSpan w:val="2"/>
            <w:tcBorders>
              <w:top w:val="nil"/>
              <w:left w:val="nil"/>
              <w:bottom w:val="nil"/>
              <w:right w:val="nil"/>
            </w:tcBorders>
            <w:shd w:val="clear" w:color="auto" w:fill="auto"/>
            <w:noWrap/>
            <w:vAlign w:val="bottom"/>
            <w:hideMark/>
          </w:tcPr>
          <w:p w14:paraId="3EE8C077" w14:textId="4B68E8F5"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145,075 </w:t>
            </w:r>
          </w:p>
        </w:tc>
        <w:tc>
          <w:tcPr>
            <w:tcW w:w="906" w:type="dxa"/>
            <w:gridSpan w:val="3"/>
            <w:tcBorders>
              <w:top w:val="nil"/>
              <w:left w:val="nil"/>
              <w:bottom w:val="nil"/>
              <w:right w:val="nil"/>
            </w:tcBorders>
            <w:shd w:val="clear" w:color="auto" w:fill="auto"/>
            <w:noWrap/>
            <w:vAlign w:val="bottom"/>
            <w:hideMark/>
          </w:tcPr>
          <w:p w14:paraId="022C6EA0" w14:textId="1ADB099F"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146,705 </w:t>
            </w:r>
          </w:p>
        </w:tc>
      </w:tr>
      <w:tr w:rsidR="003815D1" w:rsidRPr="00CF4B58" w14:paraId="5C0B7F9A" w14:textId="77777777" w:rsidTr="004F16E2">
        <w:trPr>
          <w:trHeight w:val="204"/>
        </w:trPr>
        <w:tc>
          <w:tcPr>
            <w:tcW w:w="2835" w:type="dxa"/>
            <w:tcBorders>
              <w:top w:val="nil"/>
              <w:left w:val="nil"/>
              <w:bottom w:val="nil"/>
              <w:right w:val="nil"/>
            </w:tcBorders>
            <w:shd w:val="clear" w:color="auto" w:fill="auto"/>
            <w:hideMark/>
          </w:tcPr>
          <w:p w14:paraId="7B7F90A9" w14:textId="77777777" w:rsidR="003815D1" w:rsidRPr="00CF4B58" w:rsidRDefault="003815D1" w:rsidP="003815D1">
            <w:pPr>
              <w:spacing w:after="0" w:line="240" w:lineRule="auto"/>
              <w:ind w:left="227"/>
              <w:jc w:val="left"/>
              <w:rPr>
                <w:rFonts w:ascii="Arial" w:hAnsi="Arial" w:cs="Arial"/>
                <w:i/>
                <w:iCs/>
                <w:sz w:val="16"/>
                <w:szCs w:val="16"/>
              </w:rPr>
            </w:pPr>
            <w:r w:rsidRPr="00CF4B58">
              <w:rPr>
                <w:rFonts w:ascii="Arial" w:hAnsi="Arial" w:cs="Arial"/>
                <w:i/>
                <w:iCs/>
                <w:sz w:val="16"/>
                <w:szCs w:val="16"/>
              </w:rPr>
              <w:t>Protection of the Sea (Oil Pollution Compensation Funds) Act 1993</w:t>
            </w:r>
          </w:p>
        </w:tc>
        <w:tc>
          <w:tcPr>
            <w:tcW w:w="901" w:type="dxa"/>
            <w:tcBorders>
              <w:top w:val="nil"/>
              <w:left w:val="nil"/>
              <w:bottom w:val="nil"/>
              <w:right w:val="nil"/>
            </w:tcBorders>
            <w:shd w:val="clear" w:color="auto" w:fill="auto"/>
            <w:noWrap/>
            <w:vAlign w:val="bottom"/>
            <w:hideMark/>
          </w:tcPr>
          <w:p w14:paraId="67DDACBC" w14:textId="69AD27AB"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3E38A68D" w14:textId="1B7202E5"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600 </w:t>
            </w:r>
          </w:p>
        </w:tc>
        <w:tc>
          <w:tcPr>
            <w:tcW w:w="880" w:type="dxa"/>
            <w:gridSpan w:val="2"/>
            <w:tcBorders>
              <w:top w:val="nil"/>
              <w:left w:val="nil"/>
              <w:bottom w:val="nil"/>
              <w:right w:val="nil"/>
            </w:tcBorders>
            <w:shd w:val="clear" w:color="auto" w:fill="auto"/>
            <w:noWrap/>
            <w:vAlign w:val="bottom"/>
            <w:hideMark/>
          </w:tcPr>
          <w:p w14:paraId="1E5A4B89" w14:textId="2FE108FA"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600 </w:t>
            </w:r>
          </w:p>
        </w:tc>
        <w:tc>
          <w:tcPr>
            <w:tcW w:w="977" w:type="dxa"/>
            <w:gridSpan w:val="2"/>
            <w:tcBorders>
              <w:top w:val="nil"/>
              <w:left w:val="nil"/>
              <w:bottom w:val="nil"/>
              <w:right w:val="nil"/>
            </w:tcBorders>
            <w:shd w:val="clear" w:color="auto" w:fill="auto"/>
            <w:noWrap/>
            <w:vAlign w:val="bottom"/>
            <w:hideMark/>
          </w:tcPr>
          <w:p w14:paraId="09109838" w14:textId="2779F658"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600 </w:t>
            </w:r>
          </w:p>
        </w:tc>
        <w:tc>
          <w:tcPr>
            <w:tcW w:w="906" w:type="dxa"/>
            <w:gridSpan w:val="3"/>
            <w:tcBorders>
              <w:top w:val="nil"/>
              <w:left w:val="nil"/>
              <w:bottom w:val="nil"/>
              <w:right w:val="nil"/>
            </w:tcBorders>
            <w:shd w:val="clear" w:color="auto" w:fill="auto"/>
            <w:noWrap/>
            <w:vAlign w:val="bottom"/>
            <w:hideMark/>
          </w:tcPr>
          <w:p w14:paraId="5CAC60D4" w14:textId="60E7A971"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600 </w:t>
            </w:r>
          </w:p>
        </w:tc>
      </w:tr>
      <w:tr w:rsidR="003815D1" w:rsidRPr="00CF4B58" w14:paraId="6223EB9A" w14:textId="77777777" w:rsidTr="004F16E2">
        <w:trPr>
          <w:trHeight w:val="204"/>
        </w:trPr>
        <w:tc>
          <w:tcPr>
            <w:tcW w:w="2835" w:type="dxa"/>
            <w:tcBorders>
              <w:top w:val="nil"/>
              <w:left w:val="nil"/>
              <w:bottom w:val="nil"/>
              <w:right w:val="nil"/>
            </w:tcBorders>
            <w:shd w:val="clear" w:color="auto" w:fill="auto"/>
            <w:vAlign w:val="bottom"/>
            <w:hideMark/>
          </w:tcPr>
          <w:p w14:paraId="402B27F0" w14:textId="77777777" w:rsidR="003815D1" w:rsidRPr="00CF4B58" w:rsidRDefault="003815D1" w:rsidP="003815D1">
            <w:pPr>
              <w:spacing w:after="0" w:line="240" w:lineRule="auto"/>
              <w:ind w:left="113"/>
              <w:jc w:val="left"/>
              <w:rPr>
                <w:rFonts w:ascii="Arial" w:hAnsi="Arial" w:cs="Arial"/>
                <w:sz w:val="16"/>
                <w:szCs w:val="16"/>
              </w:rPr>
            </w:pPr>
            <w:r w:rsidRPr="00CF4B58">
              <w:rPr>
                <w:rFonts w:ascii="Arial" w:hAnsi="Arial" w:cs="Arial"/>
                <w:sz w:val="16"/>
                <w:szCs w:val="16"/>
              </w:rPr>
              <w:t xml:space="preserve">Payments to corporate entities </w:t>
            </w:r>
            <w:r w:rsidRPr="00CF4B58">
              <w:rPr>
                <w:rFonts w:ascii="Arial" w:hAnsi="Arial" w:cs="Arial"/>
                <w:sz w:val="16"/>
                <w:szCs w:val="16"/>
                <w:vertAlign w:val="superscript"/>
              </w:rPr>
              <w:t>(b)</w:t>
            </w:r>
          </w:p>
        </w:tc>
        <w:tc>
          <w:tcPr>
            <w:tcW w:w="901" w:type="dxa"/>
            <w:tcBorders>
              <w:top w:val="nil"/>
              <w:left w:val="nil"/>
              <w:bottom w:val="nil"/>
              <w:right w:val="nil"/>
            </w:tcBorders>
            <w:shd w:val="clear" w:color="auto" w:fill="auto"/>
            <w:noWrap/>
            <w:vAlign w:val="bottom"/>
            <w:hideMark/>
          </w:tcPr>
          <w:p w14:paraId="52A7F8BB" w14:textId="1A4A1C99"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88,201 </w:t>
            </w:r>
          </w:p>
        </w:tc>
        <w:tc>
          <w:tcPr>
            <w:tcW w:w="977" w:type="dxa"/>
            <w:tcBorders>
              <w:top w:val="nil"/>
              <w:left w:val="nil"/>
              <w:bottom w:val="nil"/>
              <w:right w:val="nil"/>
            </w:tcBorders>
            <w:shd w:val="clear" w:color="000000" w:fill="E6E6E6"/>
            <w:noWrap/>
            <w:vAlign w:val="bottom"/>
            <w:hideMark/>
          </w:tcPr>
          <w:p w14:paraId="10FDEFE9" w14:textId="03EA1A46"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92,266 </w:t>
            </w:r>
          </w:p>
        </w:tc>
        <w:tc>
          <w:tcPr>
            <w:tcW w:w="880" w:type="dxa"/>
            <w:gridSpan w:val="2"/>
            <w:tcBorders>
              <w:top w:val="nil"/>
              <w:left w:val="nil"/>
              <w:bottom w:val="nil"/>
              <w:right w:val="nil"/>
            </w:tcBorders>
            <w:shd w:val="clear" w:color="auto" w:fill="auto"/>
            <w:noWrap/>
            <w:vAlign w:val="bottom"/>
            <w:hideMark/>
          </w:tcPr>
          <w:p w14:paraId="78E9662D" w14:textId="3320DFEB"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84,569 </w:t>
            </w:r>
          </w:p>
        </w:tc>
        <w:tc>
          <w:tcPr>
            <w:tcW w:w="977" w:type="dxa"/>
            <w:gridSpan w:val="2"/>
            <w:tcBorders>
              <w:top w:val="nil"/>
              <w:left w:val="nil"/>
              <w:bottom w:val="nil"/>
              <w:right w:val="nil"/>
            </w:tcBorders>
            <w:shd w:val="clear" w:color="auto" w:fill="auto"/>
            <w:noWrap/>
            <w:vAlign w:val="bottom"/>
            <w:hideMark/>
          </w:tcPr>
          <w:p w14:paraId="2D01D6D1" w14:textId="669A8346"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84,866 </w:t>
            </w:r>
          </w:p>
        </w:tc>
        <w:tc>
          <w:tcPr>
            <w:tcW w:w="906" w:type="dxa"/>
            <w:gridSpan w:val="3"/>
            <w:tcBorders>
              <w:top w:val="nil"/>
              <w:left w:val="nil"/>
              <w:bottom w:val="nil"/>
              <w:right w:val="nil"/>
            </w:tcBorders>
            <w:shd w:val="clear" w:color="auto" w:fill="auto"/>
            <w:noWrap/>
            <w:vAlign w:val="bottom"/>
            <w:hideMark/>
          </w:tcPr>
          <w:p w14:paraId="3A9ADD2D" w14:textId="49F38E2F"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85,742 </w:t>
            </w:r>
          </w:p>
        </w:tc>
      </w:tr>
      <w:tr w:rsidR="003815D1" w:rsidRPr="00CF4B58" w14:paraId="5F6F2E6F" w14:textId="77777777" w:rsidTr="004F16E2">
        <w:trPr>
          <w:trHeight w:val="204"/>
        </w:trPr>
        <w:tc>
          <w:tcPr>
            <w:tcW w:w="2835" w:type="dxa"/>
            <w:tcBorders>
              <w:top w:val="nil"/>
              <w:left w:val="nil"/>
              <w:bottom w:val="nil"/>
              <w:right w:val="nil"/>
            </w:tcBorders>
            <w:shd w:val="clear" w:color="auto" w:fill="auto"/>
            <w:vAlign w:val="bottom"/>
            <w:hideMark/>
          </w:tcPr>
          <w:p w14:paraId="17124E23" w14:textId="4BFE3FA7" w:rsidR="003815D1" w:rsidRPr="00CF4B58" w:rsidRDefault="003815D1" w:rsidP="003815D1">
            <w:pPr>
              <w:spacing w:after="0" w:line="240" w:lineRule="auto"/>
              <w:ind w:left="113"/>
              <w:jc w:val="left"/>
              <w:rPr>
                <w:rFonts w:ascii="Arial" w:hAnsi="Arial" w:cs="Arial"/>
                <w:sz w:val="16"/>
                <w:szCs w:val="16"/>
              </w:rPr>
            </w:pPr>
            <w:r w:rsidRPr="00CF4B58">
              <w:rPr>
                <w:rFonts w:ascii="Arial" w:hAnsi="Arial" w:cs="Arial"/>
                <w:sz w:val="16"/>
                <w:szCs w:val="16"/>
              </w:rPr>
              <w:t xml:space="preserve">Expenses not requiring appropriation in the Budget year </w:t>
            </w:r>
            <w:r>
              <w:rPr>
                <w:rFonts w:ascii="Arial" w:hAnsi="Arial" w:cs="Arial"/>
                <w:sz w:val="16"/>
                <w:szCs w:val="16"/>
              </w:rPr>
              <w:t> </w:t>
            </w:r>
            <w:r w:rsidRPr="00CF4B58">
              <w:rPr>
                <w:rFonts w:ascii="Arial" w:hAnsi="Arial" w:cs="Arial"/>
                <w:sz w:val="16"/>
                <w:szCs w:val="16"/>
                <w:vertAlign w:val="superscript"/>
              </w:rPr>
              <w:t>(c)</w:t>
            </w:r>
          </w:p>
        </w:tc>
        <w:tc>
          <w:tcPr>
            <w:tcW w:w="901" w:type="dxa"/>
            <w:tcBorders>
              <w:top w:val="nil"/>
              <w:left w:val="nil"/>
              <w:bottom w:val="nil"/>
              <w:right w:val="nil"/>
            </w:tcBorders>
            <w:shd w:val="clear" w:color="auto" w:fill="auto"/>
            <w:noWrap/>
            <w:vAlign w:val="bottom"/>
            <w:hideMark/>
          </w:tcPr>
          <w:p w14:paraId="344C4A5D" w14:textId="38B0E4E7"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408 </w:t>
            </w:r>
          </w:p>
        </w:tc>
        <w:tc>
          <w:tcPr>
            <w:tcW w:w="977" w:type="dxa"/>
            <w:tcBorders>
              <w:top w:val="nil"/>
              <w:left w:val="nil"/>
              <w:bottom w:val="nil"/>
              <w:right w:val="nil"/>
            </w:tcBorders>
            <w:shd w:val="clear" w:color="000000" w:fill="E6E6E6"/>
            <w:noWrap/>
            <w:vAlign w:val="bottom"/>
            <w:hideMark/>
          </w:tcPr>
          <w:p w14:paraId="6DCDADB8" w14:textId="3D9CAAE9"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246 </w:t>
            </w:r>
          </w:p>
        </w:tc>
        <w:tc>
          <w:tcPr>
            <w:tcW w:w="880" w:type="dxa"/>
            <w:gridSpan w:val="2"/>
            <w:tcBorders>
              <w:top w:val="nil"/>
              <w:left w:val="nil"/>
              <w:bottom w:val="nil"/>
              <w:right w:val="nil"/>
            </w:tcBorders>
            <w:shd w:val="clear" w:color="auto" w:fill="auto"/>
            <w:noWrap/>
            <w:vAlign w:val="bottom"/>
            <w:hideMark/>
          </w:tcPr>
          <w:p w14:paraId="068E672E" w14:textId="6ED939F6"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20190297" w14:textId="514381B3"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06" w:type="dxa"/>
            <w:gridSpan w:val="3"/>
            <w:tcBorders>
              <w:top w:val="nil"/>
              <w:left w:val="nil"/>
              <w:bottom w:val="nil"/>
              <w:right w:val="nil"/>
            </w:tcBorders>
            <w:shd w:val="clear" w:color="auto" w:fill="auto"/>
            <w:noWrap/>
            <w:vAlign w:val="bottom"/>
            <w:hideMark/>
          </w:tcPr>
          <w:p w14:paraId="7A851B24" w14:textId="40CFAAA3" w:rsidR="003815D1" w:rsidRPr="00CF4B58"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CF4B58" w14:paraId="240C933F" w14:textId="77777777" w:rsidTr="004F16E2">
        <w:trPr>
          <w:trHeight w:val="204"/>
        </w:trPr>
        <w:tc>
          <w:tcPr>
            <w:tcW w:w="2835" w:type="dxa"/>
            <w:tcBorders>
              <w:top w:val="nil"/>
              <w:left w:val="nil"/>
              <w:bottom w:val="nil"/>
              <w:right w:val="nil"/>
            </w:tcBorders>
            <w:shd w:val="clear" w:color="auto" w:fill="auto"/>
            <w:noWrap/>
            <w:hideMark/>
          </w:tcPr>
          <w:p w14:paraId="475549FE" w14:textId="77777777" w:rsidR="003815D1" w:rsidRPr="00CF4B58" w:rsidRDefault="003815D1" w:rsidP="003815D1">
            <w:pPr>
              <w:spacing w:after="0" w:line="240" w:lineRule="auto"/>
              <w:jc w:val="left"/>
              <w:rPr>
                <w:rFonts w:ascii="Arial" w:hAnsi="Arial" w:cs="Arial"/>
                <w:b/>
                <w:bCs/>
                <w:sz w:val="16"/>
                <w:szCs w:val="16"/>
              </w:rPr>
            </w:pPr>
            <w:r w:rsidRPr="00CF4B58">
              <w:rPr>
                <w:rFonts w:ascii="Arial" w:hAnsi="Arial" w:cs="Arial"/>
                <w:b/>
                <w:bCs/>
                <w:sz w:val="16"/>
                <w:szCs w:val="16"/>
              </w:rPr>
              <w:t>Total expenses for Program 2.1</w:t>
            </w:r>
          </w:p>
        </w:tc>
        <w:tc>
          <w:tcPr>
            <w:tcW w:w="901" w:type="dxa"/>
            <w:tcBorders>
              <w:top w:val="single" w:sz="4" w:space="0" w:color="auto"/>
              <w:left w:val="nil"/>
              <w:bottom w:val="single" w:sz="4" w:space="0" w:color="auto"/>
              <w:right w:val="nil"/>
            </w:tcBorders>
            <w:shd w:val="clear" w:color="auto" w:fill="auto"/>
            <w:noWrap/>
            <w:vAlign w:val="bottom"/>
            <w:hideMark/>
          </w:tcPr>
          <w:p w14:paraId="2E045DCE" w14:textId="0A72C719" w:rsidR="003815D1" w:rsidRPr="00CF4B5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434,866 </w:t>
            </w:r>
          </w:p>
        </w:tc>
        <w:tc>
          <w:tcPr>
            <w:tcW w:w="977" w:type="dxa"/>
            <w:tcBorders>
              <w:top w:val="single" w:sz="4" w:space="0" w:color="auto"/>
              <w:left w:val="nil"/>
              <w:bottom w:val="single" w:sz="4" w:space="0" w:color="auto"/>
              <w:right w:val="nil"/>
            </w:tcBorders>
            <w:shd w:val="clear" w:color="000000" w:fill="E6E6E6"/>
            <w:noWrap/>
            <w:vAlign w:val="bottom"/>
            <w:hideMark/>
          </w:tcPr>
          <w:p w14:paraId="788F7B14" w14:textId="49E03654" w:rsidR="003815D1" w:rsidRPr="00CF4B5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459,467 </w:t>
            </w:r>
          </w:p>
        </w:tc>
        <w:tc>
          <w:tcPr>
            <w:tcW w:w="880" w:type="dxa"/>
            <w:gridSpan w:val="2"/>
            <w:tcBorders>
              <w:top w:val="single" w:sz="4" w:space="0" w:color="auto"/>
              <w:left w:val="nil"/>
              <w:bottom w:val="single" w:sz="4" w:space="0" w:color="auto"/>
              <w:right w:val="nil"/>
            </w:tcBorders>
            <w:shd w:val="clear" w:color="auto" w:fill="auto"/>
            <w:noWrap/>
            <w:vAlign w:val="bottom"/>
            <w:hideMark/>
          </w:tcPr>
          <w:p w14:paraId="3371A6E7" w14:textId="0F0871E7" w:rsidR="003815D1" w:rsidRPr="00CF4B5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468,700 </w:t>
            </w:r>
          </w:p>
        </w:tc>
        <w:tc>
          <w:tcPr>
            <w:tcW w:w="977" w:type="dxa"/>
            <w:gridSpan w:val="2"/>
            <w:tcBorders>
              <w:top w:val="single" w:sz="4" w:space="0" w:color="auto"/>
              <w:left w:val="nil"/>
              <w:bottom w:val="single" w:sz="4" w:space="0" w:color="auto"/>
              <w:right w:val="nil"/>
            </w:tcBorders>
            <w:shd w:val="clear" w:color="auto" w:fill="auto"/>
            <w:noWrap/>
            <w:vAlign w:val="bottom"/>
            <w:hideMark/>
          </w:tcPr>
          <w:p w14:paraId="2A1CB07B" w14:textId="5B76C24F" w:rsidR="003815D1" w:rsidRPr="00CF4B5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474,940 </w:t>
            </w:r>
          </w:p>
        </w:tc>
        <w:tc>
          <w:tcPr>
            <w:tcW w:w="906" w:type="dxa"/>
            <w:gridSpan w:val="3"/>
            <w:tcBorders>
              <w:top w:val="single" w:sz="4" w:space="0" w:color="auto"/>
              <w:left w:val="nil"/>
              <w:bottom w:val="single" w:sz="4" w:space="0" w:color="auto"/>
              <w:right w:val="nil"/>
            </w:tcBorders>
            <w:shd w:val="clear" w:color="auto" w:fill="auto"/>
            <w:noWrap/>
            <w:vAlign w:val="bottom"/>
            <w:hideMark/>
          </w:tcPr>
          <w:p w14:paraId="29AB19E1" w14:textId="58BD4149" w:rsidR="003815D1" w:rsidRPr="00CF4B58"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476,923 </w:t>
            </w:r>
          </w:p>
        </w:tc>
      </w:tr>
      <w:tr w:rsidR="00CF4B58" w:rsidRPr="00CF4B58" w14:paraId="720FE4B1" w14:textId="77777777" w:rsidTr="004F16E2">
        <w:trPr>
          <w:gridAfter w:val="1"/>
          <w:wAfter w:w="18" w:type="dxa"/>
          <w:trHeight w:val="204"/>
        </w:trPr>
        <w:tc>
          <w:tcPr>
            <w:tcW w:w="2835" w:type="dxa"/>
            <w:tcBorders>
              <w:top w:val="single" w:sz="4" w:space="0" w:color="auto"/>
              <w:left w:val="nil"/>
              <w:bottom w:val="single" w:sz="4" w:space="0" w:color="auto"/>
              <w:right w:val="nil"/>
            </w:tcBorders>
            <w:shd w:val="clear" w:color="000000" w:fill="E6E6E6"/>
            <w:noWrap/>
            <w:hideMark/>
          </w:tcPr>
          <w:p w14:paraId="79DECCD4" w14:textId="77777777" w:rsidR="00CF4B58" w:rsidRPr="00CF4B58" w:rsidRDefault="00CF4B58" w:rsidP="00CF4B58">
            <w:pPr>
              <w:spacing w:after="0" w:line="240" w:lineRule="auto"/>
              <w:jc w:val="left"/>
              <w:rPr>
                <w:rFonts w:ascii="Arial" w:hAnsi="Arial" w:cs="Arial"/>
                <w:b/>
                <w:bCs/>
                <w:sz w:val="16"/>
                <w:szCs w:val="16"/>
              </w:rPr>
            </w:pPr>
            <w:r w:rsidRPr="00CF4B58">
              <w:rPr>
                <w:rFonts w:ascii="Arial" w:hAnsi="Arial" w:cs="Arial"/>
                <w:b/>
                <w:bCs/>
                <w:sz w:val="16"/>
                <w:szCs w:val="16"/>
              </w:rPr>
              <w:t xml:space="preserve">Program 2.2: Road Safety </w:t>
            </w:r>
          </w:p>
        </w:tc>
        <w:tc>
          <w:tcPr>
            <w:tcW w:w="901" w:type="dxa"/>
            <w:tcBorders>
              <w:top w:val="single" w:sz="4" w:space="0" w:color="auto"/>
              <w:left w:val="nil"/>
              <w:bottom w:val="single" w:sz="4" w:space="0" w:color="auto"/>
              <w:right w:val="nil"/>
            </w:tcBorders>
            <w:shd w:val="clear" w:color="000000" w:fill="E6E6E6"/>
            <w:noWrap/>
            <w:vAlign w:val="bottom"/>
            <w:hideMark/>
          </w:tcPr>
          <w:p w14:paraId="7364D633"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996" w:type="dxa"/>
            <w:gridSpan w:val="2"/>
            <w:tcBorders>
              <w:top w:val="single" w:sz="4" w:space="0" w:color="auto"/>
              <w:left w:val="nil"/>
              <w:bottom w:val="single" w:sz="4" w:space="0" w:color="auto"/>
              <w:right w:val="nil"/>
            </w:tcBorders>
            <w:shd w:val="clear" w:color="000000" w:fill="E6E6E6"/>
            <w:noWrap/>
            <w:vAlign w:val="bottom"/>
            <w:hideMark/>
          </w:tcPr>
          <w:p w14:paraId="7E7A6606"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896" w:type="dxa"/>
            <w:gridSpan w:val="2"/>
            <w:tcBorders>
              <w:top w:val="single" w:sz="4" w:space="0" w:color="auto"/>
              <w:left w:val="nil"/>
              <w:bottom w:val="single" w:sz="4" w:space="0" w:color="auto"/>
              <w:right w:val="nil"/>
            </w:tcBorders>
            <w:shd w:val="clear" w:color="000000" w:fill="E6E6E6"/>
            <w:noWrap/>
            <w:vAlign w:val="bottom"/>
            <w:hideMark/>
          </w:tcPr>
          <w:p w14:paraId="38A8EBFE"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996" w:type="dxa"/>
            <w:gridSpan w:val="2"/>
            <w:tcBorders>
              <w:top w:val="single" w:sz="4" w:space="0" w:color="auto"/>
              <w:left w:val="nil"/>
              <w:bottom w:val="single" w:sz="4" w:space="0" w:color="auto"/>
              <w:right w:val="nil"/>
            </w:tcBorders>
            <w:shd w:val="clear" w:color="000000" w:fill="E6E6E6"/>
            <w:noWrap/>
            <w:vAlign w:val="bottom"/>
            <w:hideMark/>
          </w:tcPr>
          <w:p w14:paraId="437233D5"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834" w:type="dxa"/>
            <w:tcBorders>
              <w:top w:val="single" w:sz="4" w:space="0" w:color="auto"/>
              <w:left w:val="nil"/>
              <w:bottom w:val="single" w:sz="4" w:space="0" w:color="auto"/>
              <w:right w:val="nil"/>
            </w:tcBorders>
            <w:shd w:val="clear" w:color="000000" w:fill="E6E6E6"/>
            <w:noWrap/>
            <w:vAlign w:val="bottom"/>
            <w:hideMark/>
          </w:tcPr>
          <w:p w14:paraId="0F3B53F0"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r>
      <w:tr w:rsidR="00CF4B58" w:rsidRPr="00CF4B58" w14:paraId="11609F1A" w14:textId="77777777" w:rsidTr="003815D1">
        <w:trPr>
          <w:gridAfter w:val="1"/>
          <w:wAfter w:w="18" w:type="dxa"/>
          <w:trHeight w:val="204"/>
        </w:trPr>
        <w:tc>
          <w:tcPr>
            <w:tcW w:w="2835" w:type="dxa"/>
            <w:tcBorders>
              <w:top w:val="nil"/>
              <w:left w:val="nil"/>
              <w:bottom w:val="nil"/>
              <w:right w:val="nil"/>
            </w:tcBorders>
            <w:shd w:val="clear" w:color="auto" w:fill="auto"/>
            <w:noWrap/>
            <w:vAlign w:val="bottom"/>
            <w:hideMark/>
          </w:tcPr>
          <w:p w14:paraId="2C776131" w14:textId="77777777" w:rsidR="00CF4B58" w:rsidRPr="003815D1" w:rsidRDefault="00CF4B58" w:rsidP="00CF4B58">
            <w:pPr>
              <w:spacing w:after="0" w:line="240" w:lineRule="auto"/>
              <w:jc w:val="left"/>
              <w:rPr>
                <w:rFonts w:ascii="Arial" w:hAnsi="Arial" w:cs="Arial"/>
                <w:sz w:val="16"/>
                <w:szCs w:val="16"/>
              </w:rPr>
            </w:pPr>
            <w:r w:rsidRPr="003815D1">
              <w:rPr>
                <w:rFonts w:ascii="Arial" w:hAnsi="Arial" w:cs="Arial"/>
                <w:sz w:val="16"/>
                <w:szCs w:val="16"/>
              </w:rPr>
              <w:t>Administered expenses</w:t>
            </w:r>
          </w:p>
        </w:tc>
        <w:tc>
          <w:tcPr>
            <w:tcW w:w="901" w:type="dxa"/>
            <w:tcBorders>
              <w:top w:val="nil"/>
              <w:left w:val="nil"/>
              <w:bottom w:val="nil"/>
              <w:right w:val="nil"/>
            </w:tcBorders>
            <w:shd w:val="clear" w:color="auto" w:fill="auto"/>
            <w:noWrap/>
            <w:vAlign w:val="bottom"/>
            <w:hideMark/>
          </w:tcPr>
          <w:p w14:paraId="7AD85CCE" w14:textId="77777777" w:rsidR="00CF4B58" w:rsidRPr="003815D1" w:rsidRDefault="00CF4B58" w:rsidP="00CF4B58">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000000" w:fill="E6E6E6"/>
            <w:noWrap/>
            <w:vAlign w:val="bottom"/>
            <w:hideMark/>
          </w:tcPr>
          <w:p w14:paraId="596D3A07" w14:textId="6FC0DCBE" w:rsidR="00CF4B58" w:rsidRPr="003815D1" w:rsidRDefault="00CF4B58" w:rsidP="00CF4B58">
            <w:pPr>
              <w:spacing w:after="0" w:line="240" w:lineRule="auto"/>
              <w:jc w:val="right"/>
              <w:rPr>
                <w:rFonts w:ascii="Arial" w:hAnsi="Arial" w:cs="Arial"/>
                <w:sz w:val="16"/>
                <w:szCs w:val="16"/>
              </w:rPr>
            </w:pPr>
          </w:p>
        </w:tc>
        <w:tc>
          <w:tcPr>
            <w:tcW w:w="896" w:type="dxa"/>
            <w:gridSpan w:val="2"/>
            <w:tcBorders>
              <w:top w:val="nil"/>
              <w:left w:val="nil"/>
              <w:bottom w:val="nil"/>
              <w:right w:val="nil"/>
            </w:tcBorders>
            <w:shd w:val="clear" w:color="auto" w:fill="auto"/>
            <w:noWrap/>
            <w:vAlign w:val="bottom"/>
            <w:hideMark/>
          </w:tcPr>
          <w:p w14:paraId="4E580DA9" w14:textId="77777777" w:rsidR="00CF4B58" w:rsidRPr="003815D1" w:rsidRDefault="00CF4B58" w:rsidP="00CF4B58">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2310F48C" w14:textId="77777777" w:rsidR="00CF4B58" w:rsidRPr="003815D1" w:rsidRDefault="00CF4B58" w:rsidP="00CF4B58">
            <w:pPr>
              <w:spacing w:after="0" w:line="240" w:lineRule="auto"/>
              <w:jc w:val="right"/>
              <w:rPr>
                <w:rFonts w:ascii="Times New Roman" w:hAnsi="Times New Roman"/>
                <w:sz w:val="16"/>
                <w:szCs w:val="16"/>
              </w:rPr>
            </w:pPr>
          </w:p>
        </w:tc>
        <w:tc>
          <w:tcPr>
            <w:tcW w:w="834" w:type="dxa"/>
            <w:tcBorders>
              <w:top w:val="nil"/>
              <w:left w:val="nil"/>
              <w:bottom w:val="nil"/>
              <w:right w:val="nil"/>
            </w:tcBorders>
            <w:shd w:val="clear" w:color="auto" w:fill="auto"/>
            <w:noWrap/>
            <w:vAlign w:val="bottom"/>
            <w:hideMark/>
          </w:tcPr>
          <w:p w14:paraId="5C8264C4" w14:textId="77777777" w:rsidR="00CF4B58" w:rsidRPr="003815D1" w:rsidRDefault="00CF4B58" w:rsidP="00CF4B58">
            <w:pPr>
              <w:spacing w:after="0" w:line="240" w:lineRule="auto"/>
              <w:jc w:val="right"/>
              <w:rPr>
                <w:rFonts w:ascii="Times New Roman" w:hAnsi="Times New Roman"/>
                <w:sz w:val="16"/>
                <w:szCs w:val="16"/>
              </w:rPr>
            </w:pPr>
          </w:p>
        </w:tc>
      </w:tr>
      <w:tr w:rsidR="003815D1" w:rsidRPr="00CF4B58" w14:paraId="04A3EEC8" w14:textId="77777777" w:rsidTr="003815D1">
        <w:trPr>
          <w:gridAfter w:val="1"/>
          <w:wAfter w:w="18" w:type="dxa"/>
          <w:trHeight w:val="204"/>
        </w:trPr>
        <w:tc>
          <w:tcPr>
            <w:tcW w:w="2835" w:type="dxa"/>
            <w:tcBorders>
              <w:top w:val="nil"/>
              <w:left w:val="nil"/>
              <w:bottom w:val="nil"/>
              <w:right w:val="nil"/>
            </w:tcBorders>
            <w:shd w:val="clear" w:color="auto" w:fill="auto"/>
            <w:vAlign w:val="bottom"/>
            <w:hideMark/>
          </w:tcPr>
          <w:p w14:paraId="42C47180" w14:textId="77777777" w:rsidR="003815D1" w:rsidRPr="003815D1" w:rsidRDefault="003815D1" w:rsidP="003815D1">
            <w:pPr>
              <w:spacing w:after="0" w:line="240" w:lineRule="auto"/>
              <w:ind w:left="113"/>
              <w:jc w:val="left"/>
              <w:rPr>
                <w:rFonts w:ascii="Arial" w:hAnsi="Arial" w:cs="Arial"/>
                <w:sz w:val="16"/>
                <w:szCs w:val="16"/>
              </w:rPr>
            </w:pPr>
            <w:r w:rsidRPr="003815D1">
              <w:rPr>
                <w:rFonts w:ascii="Arial" w:hAnsi="Arial" w:cs="Arial"/>
                <w:sz w:val="16"/>
                <w:szCs w:val="16"/>
              </w:rPr>
              <w:t>Ordinary Annual Services (Appropriation Act No. 1 and Bill No. 3)</w:t>
            </w:r>
          </w:p>
        </w:tc>
        <w:tc>
          <w:tcPr>
            <w:tcW w:w="901" w:type="dxa"/>
            <w:tcBorders>
              <w:top w:val="nil"/>
              <w:left w:val="nil"/>
              <w:bottom w:val="nil"/>
              <w:right w:val="nil"/>
            </w:tcBorders>
            <w:shd w:val="clear" w:color="auto" w:fill="auto"/>
            <w:noWrap/>
            <w:vAlign w:val="bottom"/>
            <w:hideMark/>
          </w:tcPr>
          <w:p w14:paraId="0543192A" w14:textId="16F76C3B"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15,500 </w:t>
            </w:r>
          </w:p>
        </w:tc>
        <w:tc>
          <w:tcPr>
            <w:tcW w:w="996" w:type="dxa"/>
            <w:gridSpan w:val="2"/>
            <w:tcBorders>
              <w:top w:val="nil"/>
              <w:left w:val="nil"/>
              <w:bottom w:val="nil"/>
              <w:right w:val="nil"/>
            </w:tcBorders>
            <w:shd w:val="clear" w:color="000000" w:fill="E6E6E6"/>
            <w:noWrap/>
            <w:vAlign w:val="bottom"/>
            <w:hideMark/>
          </w:tcPr>
          <w:p w14:paraId="7A2915AE" w14:textId="6C000FFF"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8,500 </w:t>
            </w:r>
          </w:p>
        </w:tc>
        <w:tc>
          <w:tcPr>
            <w:tcW w:w="896" w:type="dxa"/>
            <w:gridSpan w:val="2"/>
            <w:tcBorders>
              <w:top w:val="nil"/>
              <w:left w:val="nil"/>
              <w:bottom w:val="nil"/>
              <w:right w:val="nil"/>
            </w:tcBorders>
            <w:shd w:val="clear" w:color="auto" w:fill="auto"/>
            <w:noWrap/>
            <w:vAlign w:val="bottom"/>
            <w:hideMark/>
          </w:tcPr>
          <w:p w14:paraId="1531A19C" w14:textId="1C3FBD88"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10,500 </w:t>
            </w:r>
          </w:p>
        </w:tc>
        <w:tc>
          <w:tcPr>
            <w:tcW w:w="996" w:type="dxa"/>
            <w:gridSpan w:val="2"/>
            <w:tcBorders>
              <w:top w:val="nil"/>
              <w:left w:val="nil"/>
              <w:bottom w:val="nil"/>
              <w:right w:val="nil"/>
            </w:tcBorders>
            <w:shd w:val="clear" w:color="auto" w:fill="auto"/>
            <w:noWrap/>
            <w:vAlign w:val="bottom"/>
            <w:hideMark/>
          </w:tcPr>
          <w:p w14:paraId="2C1198A4" w14:textId="22265197"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 </w:t>
            </w:r>
          </w:p>
        </w:tc>
        <w:tc>
          <w:tcPr>
            <w:tcW w:w="834" w:type="dxa"/>
            <w:tcBorders>
              <w:top w:val="nil"/>
              <w:left w:val="nil"/>
              <w:bottom w:val="nil"/>
              <w:right w:val="nil"/>
            </w:tcBorders>
            <w:shd w:val="clear" w:color="auto" w:fill="auto"/>
            <w:noWrap/>
            <w:vAlign w:val="bottom"/>
            <w:hideMark/>
          </w:tcPr>
          <w:p w14:paraId="3A19A38B" w14:textId="40D06E74"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 </w:t>
            </w:r>
          </w:p>
        </w:tc>
      </w:tr>
      <w:tr w:rsidR="003815D1" w:rsidRPr="00CF4B58" w14:paraId="31DEA3C6" w14:textId="77777777" w:rsidTr="003815D1">
        <w:trPr>
          <w:gridAfter w:val="1"/>
          <w:wAfter w:w="18" w:type="dxa"/>
          <w:trHeight w:val="204"/>
        </w:trPr>
        <w:tc>
          <w:tcPr>
            <w:tcW w:w="2835" w:type="dxa"/>
            <w:tcBorders>
              <w:top w:val="nil"/>
              <w:left w:val="nil"/>
              <w:bottom w:val="nil"/>
              <w:right w:val="nil"/>
            </w:tcBorders>
            <w:shd w:val="clear" w:color="auto" w:fill="auto"/>
            <w:vAlign w:val="bottom"/>
            <w:hideMark/>
          </w:tcPr>
          <w:p w14:paraId="200C159F" w14:textId="77777777" w:rsidR="003815D1" w:rsidRPr="003815D1" w:rsidRDefault="003815D1" w:rsidP="003815D1">
            <w:pPr>
              <w:spacing w:after="0" w:line="240" w:lineRule="auto"/>
              <w:ind w:left="113"/>
              <w:jc w:val="left"/>
              <w:rPr>
                <w:rFonts w:ascii="Arial" w:hAnsi="Arial" w:cs="Arial"/>
                <w:sz w:val="16"/>
                <w:szCs w:val="16"/>
              </w:rPr>
            </w:pPr>
            <w:r w:rsidRPr="003815D1">
              <w:rPr>
                <w:rFonts w:ascii="Arial" w:hAnsi="Arial" w:cs="Arial"/>
                <w:sz w:val="16"/>
                <w:szCs w:val="16"/>
              </w:rPr>
              <w:t xml:space="preserve">Expenses not requiring appropriation in the Budget year </w:t>
            </w:r>
            <w:r w:rsidRPr="003815D1">
              <w:rPr>
                <w:rFonts w:ascii="Arial" w:hAnsi="Arial" w:cs="Arial"/>
                <w:sz w:val="16"/>
                <w:szCs w:val="16"/>
                <w:vertAlign w:val="superscript"/>
              </w:rPr>
              <w:t>(c)</w:t>
            </w:r>
          </w:p>
        </w:tc>
        <w:tc>
          <w:tcPr>
            <w:tcW w:w="901" w:type="dxa"/>
            <w:tcBorders>
              <w:top w:val="nil"/>
              <w:left w:val="nil"/>
              <w:bottom w:val="nil"/>
              <w:right w:val="nil"/>
            </w:tcBorders>
            <w:shd w:val="clear" w:color="auto" w:fill="auto"/>
            <w:noWrap/>
            <w:vAlign w:val="bottom"/>
            <w:hideMark/>
          </w:tcPr>
          <w:p w14:paraId="0AA639A0" w14:textId="47C0E7E2"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2,986 </w:t>
            </w:r>
          </w:p>
        </w:tc>
        <w:tc>
          <w:tcPr>
            <w:tcW w:w="996" w:type="dxa"/>
            <w:gridSpan w:val="2"/>
            <w:tcBorders>
              <w:top w:val="nil"/>
              <w:left w:val="nil"/>
              <w:bottom w:val="nil"/>
              <w:right w:val="nil"/>
            </w:tcBorders>
            <w:shd w:val="clear" w:color="000000" w:fill="E6E6E6"/>
            <w:noWrap/>
            <w:vAlign w:val="bottom"/>
            <w:hideMark/>
          </w:tcPr>
          <w:p w14:paraId="25FD5FD5" w14:textId="04342AA6"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358 </w:t>
            </w:r>
          </w:p>
        </w:tc>
        <w:tc>
          <w:tcPr>
            <w:tcW w:w="896" w:type="dxa"/>
            <w:gridSpan w:val="2"/>
            <w:tcBorders>
              <w:top w:val="nil"/>
              <w:left w:val="nil"/>
              <w:bottom w:val="nil"/>
              <w:right w:val="nil"/>
            </w:tcBorders>
            <w:shd w:val="clear" w:color="auto" w:fill="auto"/>
            <w:noWrap/>
            <w:vAlign w:val="bottom"/>
            <w:hideMark/>
          </w:tcPr>
          <w:p w14:paraId="04522468" w14:textId="32944014"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(272)</w:t>
            </w:r>
          </w:p>
        </w:tc>
        <w:tc>
          <w:tcPr>
            <w:tcW w:w="996" w:type="dxa"/>
            <w:gridSpan w:val="2"/>
            <w:tcBorders>
              <w:top w:val="nil"/>
              <w:left w:val="nil"/>
              <w:bottom w:val="nil"/>
              <w:right w:val="nil"/>
            </w:tcBorders>
            <w:shd w:val="clear" w:color="auto" w:fill="auto"/>
            <w:noWrap/>
            <w:vAlign w:val="bottom"/>
            <w:hideMark/>
          </w:tcPr>
          <w:p w14:paraId="5E4B5BD5" w14:textId="31A0EA26"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 </w:t>
            </w:r>
          </w:p>
        </w:tc>
        <w:tc>
          <w:tcPr>
            <w:tcW w:w="834" w:type="dxa"/>
            <w:tcBorders>
              <w:top w:val="nil"/>
              <w:left w:val="nil"/>
              <w:bottom w:val="nil"/>
              <w:right w:val="nil"/>
            </w:tcBorders>
            <w:shd w:val="clear" w:color="auto" w:fill="auto"/>
            <w:noWrap/>
            <w:vAlign w:val="bottom"/>
            <w:hideMark/>
          </w:tcPr>
          <w:p w14:paraId="0C0EE11C" w14:textId="09985BE5" w:rsidR="003815D1" w:rsidRPr="003815D1" w:rsidRDefault="003815D1" w:rsidP="003815D1">
            <w:pPr>
              <w:spacing w:after="0" w:line="240" w:lineRule="auto"/>
              <w:jc w:val="right"/>
              <w:rPr>
                <w:rFonts w:ascii="Arial" w:hAnsi="Arial" w:cs="Arial"/>
                <w:sz w:val="16"/>
                <w:szCs w:val="16"/>
              </w:rPr>
            </w:pPr>
            <w:r w:rsidRPr="003815D1">
              <w:rPr>
                <w:rFonts w:ascii="Arial" w:hAnsi="Arial" w:cs="Arial"/>
                <w:sz w:val="16"/>
                <w:szCs w:val="16"/>
              </w:rPr>
              <w:t xml:space="preserve">- </w:t>
            </w:r>
          </w:p>
        </w:tc>
      </w:tr>
      <w:tr w:rsidR="003815D1" w:rsidRPr="00CF4B58" w14:paraId="744FE0DE" w14:textId="77777777" w:rsidTr="003815D1">
        <w:trPr>
          <w:gridAfter w:val="1"/>
          <w:wAfter w:w="18" w:type="dxa"/>
          <w:trHeight w:val="204"/>
        </w:trPr>
        <w:tc>
          <w:tcPr>
            <w:tcW w:w="2835" w:type="dxa"/>
            <w:tcBorders>
              <w:top w:val="nil"/>
              <w:left w:val="nil"/>
              <w:bottom w:val="single" w:sz="4" w:space="0" w:color="auto"/>
              <w:right w:val="nil"/>
            </w:tcBorders>
            <w:shd w:val="clear" w:color="auto" w:fill="auto"/>
            <w:noWrap/>
            <w:vAlign w:val="bottom"/>
            <w:hideMark/>
          </w:tcPr>
          <w:p w14:paraId="453DAA09" w14:textId="77777777" w:rsidR="003815D1" w:rsidRPr="003815D1" w:rsidRDefault="003815D1" w:rsidP="003815D1">
            <w:pPr>
              <w:spacing w:after="0" w:line="240" w:lineRule="auto"/>
              <w:jc w:val="left"/>
              <w:rPr>
                <w:rFonts w:ascii="Arial" w:hAnsi="Arial" w:cs="Arial"/>
                <w:b/>
                <w:bCs/>
                <w:sz w:val="16"/>
                <w:szCs w:val="16"/>
              </w:rPr>
            </w:pPr>
            <w:r w:rsidRPr="003815D1">
              <w:rPr>
                <w:rFonts w:ascii="Arial" w:hAnsi="Arial" w:cs="Arial"/>
                <w:b/>
                <w:bCs/>
                <w:sz w:val="16"/>
                <w:szCs w:val="16"/>
              </w:rPr>
              <w:t>Total expenses for Program 2.2</w:t>
            </w:r>
          </w:p>
        </w:tc>
        <w:tc>
          <w:tcPr>
            <w:tcW w:w="901" w:type="dxa"/>
            <w:tcBorders>
              <w:top w:val="single" w:sz="4" w:space="0" w:color="auto"/>
              <w:left w:val="nil"/>
              <w:bottom w:val="single" w:sz="4" w:space="0" w:color="auto"/>
              <w:right w:val="nil"/>
            </w:tcBorders>
            <w:shd w:val="clear" w:color="auto" w:fill="auto"/>
            <w:noWrap/>
            <w:vAlign w:val="bottom"/>
            <w:hideMark/>
          </w:tcPr>
          <w:p w14:paraId="69B10391" w14:textId="607E8353" w:rsidR="003815D1" w:rsidRPr="003815D1" w:rsidRDefault="003815D1" w:rsidP="003815D1">
            <w:pPr>
              <w:spacing w:after="0" w:line="240" w:lineRule="auto"/>
              <w:jc w:val="right"/>
              <w:rPr>
                <w:rFonts w:ascii="Arial" w:hAnsi="Arial" w:cs="Arial"/>
                <w:b/>
                <w:bCs/>
                <w:sz w:val="16"/>
                <w:szCs w:val="16"/>
              </w:rPr>
            </w:pPr>
            <w:r w:rsidRPr="003815D1">
              <w:rPr>
                <w:rFonts w:ascii="Arial" w:hAnsi="Arial" w:cs="Arial"/>
                <w:b/>
                <w:bCs/>
                <w:sz w:val="16"/>
                <w:szCs w:val="16"/>
              </w:rPr>
              <w:t xml:space="preserve">18,486 </w:t>
            </w:r>
          </w:p>
        </w:tc>
        <w:tc>
          <w:tcPr>
            <w:tcW w:w="996" w:type="dxa"/>
            <w:gridSpan w:val="2"/>
            <w:tcBorders>
              <w:top w:val="single" w:sz="4" w:space="0" w:color="auto"/>
              <w:left w:val="nil"/>
              <w:bottom w:val="single" w:sz="4" w:space="0" w:color="auto"/>
              <w:right w:val="nil"/>
            </w:tcBorders>
            <w:shd w:val="clear" w:color="000000" w:fill="E6E6E6"/>
            <w:noWrap/>
            <w:vAlign w:val="bottom"/>
            <w:hideMark/>
          </w:tcPr>
          <w:p w14:paraId="46E2CBE2" w14:textId="1C2A379A" w:rsidR="003815D1" w:rsidRPr="003815D1" w:rsidRDefault="003815D1" w:rsidP="003815D1">
            <w:pPr>
              <w:spacing w:after="0" w:line="240" w:lineRule="auto"/>
              <w:jc w:val="right"/>
              <w:rPr>
                <w:rFonts w:ascii="Arial" w:hAnsi="Arial" w:cs="Arial"/>
                <w:b/>
                <w:bCs/>
                <w:sz w:val="16"/>
                <w:szCs w:val="16"/>
              </w:rPr>
            </w:pPr>
            <w:r w:rsidRPr="003815D1">
              <w:rPr>
                <w:rFonts w:ascii="Arial" w:hAnsi="Arial" w:cs="Arial"/>
                <w:b/>
                <w:bCs/>
                <w:sz w:val="16"/>
                <w:szCs w:val="16"/>
              </w:rPr>
              <w:t xml:space="preserve">8,858 </w:t>
            </w:r>
          </w:p>
        </w:tc>
        <w:tc>
          <w:tcPr>
            <w:tcW w:w="896" w:type="dxa"/>
            <w:gridSpan w:val="2"/>
            <w:tcBorders>
              <w:top w:val="single" w:sz="4" w:space="0" w:color="auto"/>
              <w:left w:val="nil"/>
              <w:bottom w:val="single" w:sz="4" w:space="0" w:color="auto"/>
              <w:right w:val="nil"/>
            </w:tcBorders>
            <w:shd w:val="clear" w:color="auto" w:fill="auto"/>
            <w:noWrap/>
            <w:vAlign w:val="bottom"/>
            <w:hideMark/>
          </w:tcPr>
          <w:p w14:paraId="05B480C3" w14:textId="19B0E087" w:rsidR="003815D1" w:rsidRPr="003815D1" w:rsidRDefault="003815D1" w:rsidP="003815D1">
            <w:pPr>
              <w:spacing w:after="0" w:line="240" w:lineRule="auto"/>
              <w:jc w:val="right"/>
              <w:rPr>
                <w:rFonts w:ascii="Arial" w:hAnsi="Arial" w:cs="Arial"/>
                <w:b/>
                <w:bCs/>
                <w:sz w:val="16"/>
                <w:szCs w:val="16"/>
              </w:rPr>
            </w:pPr>
            <w:r w:rsidRPr="003815D1">
              <w:rPr>
                <w:rFonts w:ascii="Arial" w:hAnsi="Arial" w:cs="Arial"/>
                <w:b/>
                <w:bCs/>
                <w:sz w:val="16"/>
                <w:szCs w:val="16"/>
              </w:rPr>
              <w:t xml:space="preserve">10,228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78BC5C47" w14:textId="3B185113" w:rsidR="003815D1" w:rsidRPr="003815D1" w:rsidRDefault="003815D1" w:rsidP="003815D1">
            <w:pPr>
              <w:spacing w:after="0" w:line="240" w:lineRule="auto"/>
              <w:jc w:val="right"/>
              <w:rPr>
                <w:rFonts w:ascii="Arial" w:hAnsi="Arial" w:cs="Arial"/>
                <w:b/>
                <w:bCs/>
                <w:sz w:val="16"/>
                <w:szCs w:val="16"/>
              </w:rPr>
            </w:pPr>
            <w:r w:rsidRPr="003815D1">
              <w:rPr>
                <w:rFonts w:ascii="Arial" w:hAnsi="Arial" w:cs="Arial"/>
                <w:b/>
                <w:bCs/>
                <w:sz w:val="16"/>
                <w:szCs w:val="16"/>
              </w:rPr>
              <w:t xml:space="preserve">- </w:t>
            </w:r>
          </w:p>
        </w:tc>
        <w:tc>
          <w:tcPr>
            <w:tcW w:w="834" w:type="dxa"/>
            <w:tcBorders>
              <w:top w:val="single" w:sz="4" w:space="0" w:color="auto"/>
              <w:left w:val="nil"/>
              <w:bottom w:val="single" w:sz="4" w:space="0" w:color="auto"/>
              <w:right w:val="nil"/>
            </w:tcBorders>
            <w:shd w:val="clear" w:color="auto" w:fill="auto"/>
            <w:noWrap/>
            <w:vAlign w:val="bottom"/>
            <w:hideMark/>
          </w:tcPr>
          <w:p w14:paraId="6D2D0CC5" w14:textId="0CA393E8" w:rsidR="003815D1" w:rsidRPr="003815D1" w:rsidRDefault="003815D1" w:rsidP="003815D1">
            <w:pPr>
              <w:spacing w:after="0" w:line="240" w:lineRule="auto"/>
              <w:jc w:val="right"/>
              <w:rPr>
                <w:rFonts w:ascii="Arial" w:hAnsi="Arial" w:cs="Arial"/>
                <w:b/>
                <w:bCs/>
                <w:sz w:val="16"/>
                <w:szCs w:val="16"/>
              </w:rPr>
            </w:pPr>
            <w:r w:rsidRPr="003815D1">
              <w:rPr>
                <w:rFonts w:ascii="Arial" w:hAnsi="Arial" w:cs="Arial"/>
                <w:b/>
                <w:bCs/>
                <w:sz w:val="16"/>
                <w:szCs w:val="16"/>
              </w:rPr>
              <w:t xml:space="preserve">- </w:t>
            </w:r>
          </w:p>
        </w:tc>
      </w:tr>
    </w:tbl>
    <w:p w14:paraId="74970307" w14:textId="77777777" w:rsidR="00EA2FF2" w:rsidRDefault="00EA2FF2" w:rsidP="00000153">
      <w:pPr>
        <w:pStyle w:val="TableHeading"/>
      </w:pPr>
    </w:p>
    <w:p w14:paraId="4AB73DFE" w14:textId="77777777" w:rsidR="00EA2FF2" w:rsidRDefault="00EA2FF2">
      <w:pPr>
        <w:spacing w:after="0" w:line="240" w:lineRule="auto"/>
        <w:jc w:val="left"/>
        <w:rPr>
          <w:rFonts w:ascii="Arial" w:hAnsi="Arial"/>
          <w:b/>
          <w:lang w:val="x-none"/>
        </w:rPr>
      </w:pPr>
      <w:r>
        <w:br w:type="page"/>
      </w:r>
    </w:p>
    <w:p w14:paraId="028F2B62" w14:textId="605C29AA" w:rsidR="00000153" w:rsidRDefault="00000153" w:rsidP="00000153">
      <w:pPr>
        <w:pStyle w:val="TableHeading"/>
        <w:rPr>
          <w:lang w:val="en-AU"/>
        </w:rPr>
      </w:pPr>
      <w:r w:rsidRPr="00BC4775">
        <w:lastRenderedPageBreak/>
        <w:t>Table 2.</w:t>
      </w:r>
      <w:r>
        <w:rPr>
          <w:lang w:val="en-AU"/>
        </w:rPr>
        <w:t>3</w:t>
      </w:r>
      <w:r w:rsidRPr="00BC4775">
        <w:rPr>
          <w:lang w:val="en-AU"/>
        </w:rPr>
        <w:t>.</w:t>
      </w:r>
      <w:r w:rsidRPr="00BC4775">
        <w:t>1 Budgeted expenses</w:t>
      </w:r>
      <w:r w:rsidRPr="00BC4775">
        <w:rPr>
          <w:lang w:val="en-AU"/>
        </w:rPr>
        <w:t xml:space="preserve"> for</w:t>
      </w:r>
      <w:r w:rsidRPr="00BC4775">
        <w:t xml:space="preserve"> Outcome </w:t>
      </w:r>
      <w:r w:rsidRPr="00BC4775">
        <w:rPr>
          <w:lang w:val="en-AU"/>
        </w:rPr>
        <w:t>2 (continued)</w:t>
      </w:r>
    </w:p>
    <w:tbl>
      <w:tblPr>
        <w:tblW w:w="0" w:type="auto"/>
        <w:tblLayout w:type="fixed"/>
        <w:tblLook w:val="04A0" w:firstRow="1" w:lastRow="0" w:firstColumn="1" w:lastColumn="0" w:noHBand="0" w:noVBand="1"/>
      </w:tblPr>
      <w:tblGrid>
        <w:gridCol w:w="2977"/>
        <w:gridCol w:w="992"/>
        <w:gridCol w:w="928"/>
        <w:gridCol w:w="821"/>
        <w:gridCol w:w="936"/>
        <w:gridCol w:w="30"/>
        <w:gridCol w:w="918"/>
        <w:gridCol w:w="36"/>
      </w:tblGrid>
      <w:tr w:rsidR="00E34CEC" w:rsidRPr="00CF4B58" w14:paraId="100D9AA0" w14:textId="77777777" w:rsidTr="00EA2FF2">
        <w:trPr>
          <w:gridAfter w:val="1"/>
          <w:wAfter w:w="36" w:type="dxa"/>
          <w:trHeight w:val="204"/>
        </w:trPr>
        <w:tc>
          <w:tcPr>
            <w:tcW w:w="2977" w:type="dxa"/>
            <w:tcBorders>
              <w:top w:val="single" w:sz="4" w:space="0" w:color="auto"/>
              <w:left w:val="nil"/>
              <w:bottom w:val="nil"/>
              <w:right w:val="nil"/>
            </w:tcBorders>
            <w:shd w:val="clear" w:color="auto" w:fill="auto"/>
            <w:noWrap/>
            <w:vAlign w:val="bottom"/>
            <w:hideMark/>
          </w:tcPr>
          <w:p w14:paraId="6C805F84" w14:textId="36AB771F" w:rsidR="00E34CEC" w:rsidRPr="00CF4B58" w:rsidRDefault="00E34CEC" w:rsidP="00E34CEC">
            <w:pPr>
              <w:spacing w:after="0" w:line="240" w:lineRule="auto"/>
              <w:jc w:val="left"/>
              <w:rPr>
                <w:rFonts w:ascii="Arial" w:hAnsi="Arial" w:cs="Arial"/>
                <w:sz w:val="16"/>
                <w:szCs w:val="16"/>
              </w:rPr>
            </w:pPr>
          </w:p>
        </w:tc>
        <w:tc>
          <w:tcPr>
            <w:tcW w:w="992" w:type="dxa"/>
            <w:tcBorders>
              <w:top w:val="single" w:sz="4" w:space="0" w:color="auto"/>
              <w:left w:val="nil"/>
              <w:bottom w:val="single" w:sz="4" w:space="0" w:color="auto"/>
              <w:right w:val="nil"/>
            </w:tcBorders>
            <w:shd w:val="clear" w:color="auto" w:fill="auto"/>
            <w:vAlign w:val="bottom"/>
            <w:hideMark/>
          </w:tcPr>
          <w:p w14:paraId="13DD4CE2" w14:textId="2EEB66FE" w:rsidR="00E34CEC" w:rsidRPr="00CF4B58"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28" w:type="dxa"/>
            <w:tcBorders>
              <w:top w:val="single" w:sz="4" w:space="0" w:color="auto"/>
              <w:left w:val="nil"/>
              <w:bottom w:val="single" w:sz="4" w:space="0" w:color="auto"/>
              <w:right w:val="nil"/>
            </w:tcBorders>
            <w:shd w:val="clear" w:color="000000" w:fill="E6E6E6"/>
            <w:vAlign w:val="bottom"/>
            <w:hideMark/>
          </w:tcPr>
          <w:p w14:paraId="2BDB2C61" w14:textId="4398E2CC" w:rsidR="00E34CEC" w:rsidRPr="00CF4B58"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821" w:type="dxa"/>
            <w:tcBorders>
              <w:top w:val="single" w:sz="4" w:space="0" w:color="auto"/>
              <w:left w:val="nil"/>
              <w:bottom w:val="single" w:sz="4" w:space="0" w:color="auto"/>
              <w:right w:val="nil"/>
            </w:tcBorders>
            <w:shd w:val="clear" w:color="auto" w:fill="auto"/>
            <w:vAlign w:val="bottom"/>
            <w:hideMark/>
          </w:tcPr>
          <w:p w14:paraId="12425A83" w14:textId="7C12C911" w:rsidR="00E34CEC" w:rsidRPr="00CF4B58"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36" w:type="dxa"/>
            <w:tcBorders>
              <w:top w:val="single" w:sz="4" w:space="0" w:color="auto"/>
              <w:left w:val="nil"/>
              <w:bottom w:val="single" w:sz="4" w:space="0" w:color="auto"/>
              <w:right w:val="nil"/>
            </w:tcBorders>
            <w:shd w:val="clear" w:color="auto" w:fill="auto"/>
            <w:vAlign w:val="bottom"/>
            <w:hideMark/>
          </w:tcPr>
          <w:p w14:paraId="1696FBD4" w14:textId="7D551780" w:rsidR="00E34CEC" w:rsidRPr="00CF4B58"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48" w:type="dxa"/>
            <w:gridSpan w:val="2"/>
            <w:tcBorders>
              <w:top w:val="single" w:sz="4" w:space="0" w:color="auto"/>
              <w:left w:val="nil"/>
              <w:bottom w:val="single" w:sz="4" w:space="0" w:color="auto"/>
              <w:right w:val="nil"/>
            </w:tcBorders>
            <w:shd w:val="clear" w:color="auto" w:fill="auto"/>
            <w:vAlign w:val="bottom"/>
            <w:hideMark/>
          </w:tcPr>
          <w:p w14:paraId="3947BC3F" w14:textId="1FD28C00" w:rsidR="00E34CEC" w:rsidRPr="00CF4B58"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CF4B58" w:rsidRPr="00CF4B58" w14:paraId="34AFCE5E" w14:textId="77777777" w:rsidTr="00EA2FF2">
        <w:trPr>
          <w:gridAfter w:val="1"/>
          <w:wAfter w:w="36" w:type="dxa"/>
          <w:trHeight w:val="225"/>
        </w:trPr>
        <w:tc>
          <w:tcPr>
            <w:tcW w:w="2977" w:type="dxa"/>
            <w:tcBorders>
              <w:top w:val="single" w:sz="4" w:space="0" w:color="auto"/>
              <w:left w:val="nil"/>
              <w:bottom w:val="single" w:sz="4" w:space="0" w:color="auto"/>
              <w:right w:val="nil"/>
            </w:tcBorders>
            <w:shd w:val="clear" w:color="000000" w:fill="E6E6E6"/>
            <w:noWrap/>
            <w:hideMark/>
          </w:tcPr>
          <w:p w14:paraId="43CF982F" w14:textId="77777777" w:rsidR="00CF4B58" w:rsidRPr="00CF4B58" w:rsidRDefault="00CF4B58" w:rsidP="00CF4B58">
            <w:pPr>
              <w:spacing w:after="0" w:line="240" w:lineRule="auto"/>
              <w:jc w:val="left"/>
              <w:rPr>
                <w:rFonts w:ascii="Arial" w:hAnsi="Arial" w:cs="Arial"/>
                <w:b/>
                <w:bCs/>
                <w:sz w:val="16"/>
                <w:szCs w:val="16"/>
              </w:rPr>
            </w:pPr>
            <w:r w:rsidRPr="00CF4B58">
              <w:rPr>
                <w:rFonts w:ascii="Arial" w:hAnsi="Arial" w:cs="Arial"/>
                <w:b/>
                <w:bCs/>
                <w:sz w:val="16"/>
                <w:szCs w:val="16"/>
              </w:rPr>
              <w:t xml:space="preserve">Program 2.3: Air Transport </w:t>
            </w:r>
          </w:p>
        </w:tc>
        <w:tc>
          <w:tcPr>
            <w:tcW w:w="992" w:type="dxa"/>
            <w:tcBorders>
              <w:top w:val="single" w:sz="4" w:space="0" w:color="auto"/>
              <w:left w:val="nil"/>
              <w:bottom w:val="single" w:sz="4" w:space="0" w:color="auto"/>
              <w:right w:val="nil"/>
            </w:tcBorders>
            <w:shd w:val="clear" w:color="000000" w:fill="E6E6E6"/>
            <w:noWrap/>
            <w:hideMark/>
          </w:tcPr>
          <w:p w14:paraId="0E0E1F8A"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928" w:type="dxa"/>
            <w:tcBorders>
              <w:top w:val="single" w:sz="4" w:space="0" w:color="auto"/>
              <w:left w:val="nil"/>
              <w:bottom w:val="single" w:sz="4" w:space="0" w:color="auto"/>
              <w:right w:val="nil"/>
            </w:tcBorders>
            <w:shd w:val="clear" w:color="000000" w:fill="E6E6E6"/>
            <w:noWrap/>
            <w:hideMark/>
          </w:tcPr>
          <w:p w14:paraId="4EDCAA27"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821" w:type="dxa"/>
            <w:tcBorders>
              <w:top w:val="single" w:sz="4" w:space="0" w:color="auto"/>
              <w:left w:val="nil"/>
              <w:bottom w:val="single" w:sz="4" w:space="0" w:color="auto"/>
              <w:right w:val="nil"/>
            </w:tcBorders>
            <w:shd w:val="clear" w:color="000000" w:fill="E6E6E6"/>
            <w:noWrap/>
            <w:hideMark/>
          </w:tcPr>
          <w:p w14:paraId="02787CC7"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936" w:type="dxa"/>
            <w:tcBorders>
              <w:top w:val="single" w:sz="4" w:space="0" w:color="auto"/>
              <w:left w:val="nil"/>
              <w:bottom w:val="single" w:sz="4" w:space="0" w:color="auto"/>
              <w:right w:val="nil"/>
            </w:tcBorders>
            <w:shd w:val="clear" w:color="000000" w:fill="E6E6E6"/>
            <w:noWrap/>
            <w:hideMark/>
          </w:tcPr>
          <w:p w14:paraId="63579344"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c>
          <w:tcPr>
            <w:tcW w:w="948" w:type="dxa"/>
            <w:gridSpan w:val="2"/>
            <w:tcBorders>
              <w:top w:val="single" w:sz="4" w:space="0" w:color="auto"/>
              <w:left w:val="nil"/>
              <w:bottom w:val="single" w:sz="4" w:space="0" w:color="auto"/>
              <w:right w:val="nil"/>
            </w:tcBorders>
            <w:shd w:val="clear" w:color="000000" w:fill="E6E6E6"/>
            <w:noWrap/>
            <w:hideMark/>
          </w:tcPr>
          <w:p w14:paraId="31B981A8" w14:textId="77777777" w:rsidR="00CF4B58" w:rsidRPr="00CF4B58" w:rsidRDefault="00CF4B58" w:rsidP="00CF4B58">
            <w:pPr>
              <w:spacing w:after="0" w:line="240" w:lineRule="auto"/>
              <w:jc w:val="left"/>
              <w:rPr>
                <w:rFonts w:ascii="Arial" w:hAnsi="Arial" w:cs="Arial"/>
                <w:sz w:val="16"/>
                <w:szCs w:val="16"/>
              </w:rPr>
            </w:pPr>
            <w:r w:rsidRPr="00CF4B58">
              <w:rPr>
                <w:rFonts w:ascii="Arial" w:hAnsi="Arial" w:cs="Arial"/>
                <w:sz w:val="16"/>
                <w:szCs w:val="16"/>
              </w:rPr>
              <w:t> </w:t>
            </w:r>
          </w:p>
        </w:tc>
      </w:tr>
      <w:tr w:rsidR="00CF4B58" w:rsidRPr="00CF4B58" w14:paraId="1CF1579E" w14:textId="77777777" w:rsidTr="00EA2FF2">
        <w:trPr>
          <w:gridAfter w:val="1"/>
          <w:wAfter w:w="36" w:type="dxa"/>
          <w:trHeight w:val="204"/>
        </w:trPr>
        <w:tc>
          <w:tcPr>
            <w:tcW w:w="2977" w:type="dxa"/>
            <w:tcBorders>
              <w:top w:val="nil"/>
              <w:left w:val="nil"/>
              <w:bottom w:val="nil"/>
              <w:right w:val="nil"/>
            </w:tcBorders>
            <w:shd w:val="clear" w:color="auto" w:fill="auto"/>
            <w:noWrap/>
            <w:vAlign w:val="bottom"/>
            <w:hideMark/>
          </w:tcPr>
          <w:p w14:paraId="624E9BB1" w14:textId="77777777" w:rsidR="00CF4B58" w:rsidRPr="00EA2FF2" w:rsidRDefault="00CF4B58" w:rsidP="00CF4B58">
            <w:pPr>
              <w:spacing w:after="0" w:line="240" w:lineRule="auto"/>
              <w:jc w:val="left"/>
              <w:rPr>
                <w:rFonts w:ascii="Arial" w:hAnsi="Arial" w:cs="Arial"/>
                <w:sz w:val="16"/>
                <w:szCs w:val="16"/>
              </w:rPr>
            </w:pPr>
            <w:r w:rsidRPr="00EA2FF2">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7CB7C41E" w14:textId="77777777" w:rsidR="00CF4B58" w:rsidRPr="00EA2FF2" w:rsidRDefault="00CF4B58" w:rsidP="006D28FE">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30EBA58A" w14:textId="082FCE3A" w:rsidR="00CF4B58" w:rsidRPr="00EA2FF2" w:rsidRDefault="00CF4B58" w:rsidP="006D28FE">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B3A75AC" w14:textId="77777777" w:rsidR="00CF4B58" w:rsidRPr="00EA2FF2" w:rsidRDefault="00CF4B58" w:rsidP="006D28FE">
            <w:pPr>
              <w:spacing w:after="0" w:line="240" w:lineRule="auto"/>
              <w:jc w:val="right"/>
              <w:rPr>
                <w:rFonts w:ascii="Arial" w:hAnsi="Arial" w:cs="Arial"/>
                <w:sz w:val="16"/>
                <w:szCs w:val="16"/>
              </w:rPr>
            </w:pPr>
          </w:p>
        </w:tc>
        <w:tc>
          <w:tcPr>
            <w:tcW w:w="936" w:type="dxa"/>
            <w:tcBorders>
              <w:top w:val="nil"/>
              <w:left w:val="nil"/>
              <w:bottom w:val="nil"/>
              <w:right w:val="nil"/>
            </w:tcBorders>
            <w:shd w:val="clear" w:color="auto" w:fill="auto"/>
            <w:noWrap/>
            <w:vAlign w:val="bottom"/>
            <w:hideMark/>
          </w:tcPr>
          <w:p w14:paraId="6CC13FD1" w14:textId="77777777" w:rsidR="00CF4B58" w:rsidRPr="00EA2FF2" w:rsidRDefault="00CF4B58" w:rsidP="006D28FE">
            <w:pPr>
              <w:spacing w:after="0" w:line="240" w:lineRule="auto"/>
              <w:jc w:val="right"/>
              <w:rPr>
                <w:rFonts w:ascii="Times New Roman" w:hAnsi="Times New Roman"/>
                <w:sz w:val="16"/>
                <w:szCs w:val="16"/>
              </w:rPr>
            </w:pPr>
          </w:p>
        </w:tc>
        <w:tc>
          <w:tcPr>
            <w:tcW w:w="948" w:type="dxa"/>
            <w:gridSpan w:val="2"/>
            <w:tcBorders>
              <w:top w:val="nil"/>
              <w:left w:val="nil"/>
              <w:bottom w:val="nil"/>
              <w:right w:val="nil"/>
            </w:tcBorders>
            <w:shd w:val="clear" w:color="auto" w:fill="auto"/>
            <w:noWrap/>
            <w:vAlign w:val="bottom"/>
            <w:hideMark/>
          </w:tcPr>
          <w:p w14:paraId="4CBA2A30" w14:textId="77777777" w:rsidR="00CF4B58" w:rsidRPr="00EA2FF2" w:rsidRDefault="00CF4B58" w:rsidP="006D28FE">
            <w:pPr>
              <w:spacing w:after="0" w:line="240" w:lineRule="auto"/>
              <w:jc w:val="right"/>
              <w:rPr>
                <w:rFonts w:ascii="Times New Roman" w:hAnsi="Times New Roman"/>
                <w:sz w:val="16"/>
                <w:szCs w:val="16"/>
              </w:rPr>
            </w:pPr>
          </w:p>
        </w:tc>
      </w:tr>
      <w:tr w:rsidR="003815D1" w:rsidRPr="00CF4B58" w14:paraId="30287BFD" w14:textId="77777777" w:rsidTr="00EA2FF2">
        <w:trPr>
          <w:gridAfter w:val="1"/>
          <w:wAfter w:w="36" w:type="dxa"/>
          <w:trHeight w:val="204"/>
        </w:trPr>
        <w:tc>
          <w:tcPr>
            <w:tcW w:w="2977" w:type="dxa"/>
            <w:tcBorders>
              <w:top w:val="nil"/>
              <w:left w:val="nil"/>
              <w:bottom w:val="nil"/>
              <w:right w:val="nil"/>
            </w:tcBorders>
            <w:shd w:val="clear" w:color="auto" w:fill="auto"/>
            <w:vAlign w:val="bottom"/>
            <w:hideMark/>
          </w:tcPr>
          <w:p w14:paraId="71BB1C9D" w14:textId="04B1960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Ordinary Annual Services (Appropriation Act No. 1 and Bill No. 3)</w:t>
            </w:r>
          </w:p>
        </w:tc>
        <w:tc>
          <w:tcPr>
            <w:tcW w:w="992" w:type="dxa"/>
            <w:tcBorders>
              <w:top w:val="nil"/>
              <w:left w:val="nil"/>
              <w:bottom w:val="nil"/>
              <w:right w:val="nil"/>
            </w:tcBorders>
            <w:shd w:val="clear" w:color="auto" w:fill="auto"/>
            <w:noWrap/>
            <w:vAlign w:val="bottom"/>
            <w:hideMark/>
          </w:tcPr>
          <w:p w14:paraId="3245B988" w14:textId="1C456A1A"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1,714,307 </w:t>
            </w:r>
          </w:p>
        </w:tc>
        <w:tc>
          <w:tcPr>
            <w:tcW w:w="928" w:type="dxa"/>
            <w:tcBorders>
              <w:top w:val="nil"/>
              <w:left w:val="nil"/>
              <w:bottom w:val="nil"/>
              <w:right w:val="nil"/>
            </w:tcBorders>
            <w:shd w:val="clear" w:color="000000" w:fill="E6E6E6"/>
            <w:noWrap/>
            <w:vAlign w:val="bottom"/>
            <w:hideMark/>
          </w:tcPr>
          <w:p w14:paraId="37EB720B" w14:textId="7135C2A0"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817,802 </w:t>
            </w:r>
          </w:p>
        </w:tc>
        <w:tc>
          <w:tcPr>
            <w:tcW w:w="821" w:type="dxa"/>
            <w:tcBorders>
              <w:top w:val="nil"/>
              <w:left w:val="nil"/>
              <w:bottom w:val="nil"/>
              <w:right w:val="nil"/>
            </w:tcBorders>
            <w:shd w:val="clear" w:color="auto" w:fill="auto"/>
            <w:noWrap/>
            <w:vAlign w:val="bottom"/>
            <w:hideMark/>
          </w:tcPr>
          <w:p w14:paraId="5E82EF74" w14:textId="42C0B28B"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131,551 </w:t>
            </w:r>
          </w:p>
        </w:tc>
        <w:tc>
          <w:tcPr>
            <w:tcW w:w="936" w:type="dxa"/>
            <w:tcBorders>
              <w:top w:val="nil"/>
              <w:left w:val="nil"/>
              <w:bottom w:val="nil"/>
              <w:right w:val="nil"/>
            </w:tcBorders>
            <w:shd w:val="clear" w:color="auto" w:fill="auto"/>
            <w:noWrap/>
            <w:vAlign w:val="bottom"/>
            <w:hideMark/>
          </w:tcPr>
          <w:p w14:paraId="60291EB7" w14:textId="70AECF1C"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55,708 </w:t>
            </w:r>
          </w:p>
        </w:tc>
        <w:tc>
          <w:tcPr>
            <w:tcW w:w="948" w:type="dxa"/>
            <w:gridSpan w:val="2"/>
            <w:tcBorders>
              <w:top w:val="nil"/>
              <w:left w:val="nil"/>
              <w:bottom w:val="nil"/>
              <w:right w:val="nil"/>
            </w:tcBorders>
            <w:shd w:val="clear" w:color="auto" w:fill="auto"/>
            <w:noWrap/>
            <w:vAlign w:val="bottom"/>
            <w:hideMark/>
          </w:tcPr>
          <w:p w14:paraId="248C29B3" w14:textId="75CBB1C7"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41,904 </w:t>
            </w:r>
          </w:p>
        </w:tc>
      </w:tr>
      <w:tr w:rsidR="003815D1" w:rsidRPr="00CF4B58" w14:paraId="31666912" w14:textId="77777777" w:rsidTr="00EA2FF2">
        <w:trPr>
          <w:gridAfter w:val="1"/>
          <w:wAfter w:w="36" w:type="dxa"/>
          <w:trHeight w:val="204"/>
        </w:trPr>
        <w:tc>
          <w:tcPr>
            <w:tcW w:w="2977" w:type="dxa"/>
            <w:tcBorders>
              <w:top w:val="nil"/>
              <w:left w:val="nil"/>
              <w:bottom w:val="nil"/>
              <w:right w:val="nil"/>
            </w:tcBorders>
            <w:shd w:val="clear" w:color="auto" w:fill="auto"/>
            <w:vAlign w:val="bottom"/>
            <w:hideMark/>
          </w:tcPr>
          <w:p w14:paraId="1C296916"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 xml:space="preserve">Payments to corporate entities </w:t>
            </w:r>
            <w:r w:rsidRPr="00EA2FF2">
              <w:rPr>
                <w:rFonts w:ascii="Arial" w:hAnsi="Arial" w:cs="Arial"/>
                <w:sz w:val="16"/>
                <w:szCs w:val="16"/>
                <w:vertAlign w:val="superscript"/>
              </w:rPr>
              <w:t>(b)</w:t>
            </w:r>
          </w:p>
        </w:tc>
        <w:tc>
          <w:tcPr>
            <w:tcW w:w="992" w:type="dxa"/>
            <w:tcBorders>
              <w:top w:val="nil"/>
              <w:left w:val="nil"/>
              <w:bottom w:val="nil"/>
              <w:right w:val="nil"/>
            </w:tcBorders>
            <w:shd w:val="clear" w:color="auto" w:fill="auto"/>
            <w:noWrap/>
            <w:vAlign w:val="bottom"/>
            <w:hideMark/>
          </w:tcPr>
          <w:p w14:paraId="7BB1321A" w14:textId="3E420D40"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128,424 </w:t>
            </w:r>
          </w:p>
        </w:tc>
        <w:tc>
          <w:tcPr>
            <w:tcW w:w="928" w:type="dxa"/>
            <w:tcBorders>
              <w:top w:val="nil"/>
              <w:left w:val="nil"/>
              <w:bottom w:val="nil"/>
              <w:right w:val="nil"/>
            </w:tcBorders>
            <w:shd w:val="clear" w:color="000000" w:fill="E6E6E6"/>
            <w:noWrap/>
            <w:vAlign w:val="bottom"/>
            <w:hideMark/>
          </w:tcPr>
          <w:p w14:paraId="57DC09BA" w14:textId="216F4F24"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122,082 </w:t>
            </w:r>
          </w:p>
        </w:tc>
        <w:tc>
          <w:tcPr>
            <w:tcW w:w="821" w:type="dxa"/>
            <w:tcBorders>
              <w:top w:val="nil"/>
              <w:left w:val="nil"/>
              <w:bottom w:val="nil"/>
              <w:right w:val="nil"/>
            </w:tcBorders>
            <w:shd w:val="clear" w:color="auto" w:fill="auto"/>
            <w:noWrap/>
            <w:vAlign w:val="bottom"/>
            <w:hideMark/>
          </w:tcPr>
          <w:p w14:paraId="2F6E0F32" w14:textId="7ED779EF"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74,609 </w:t>
            </w:r>
          </w:p>
        </w:tc>
        <w:tc>
          <w:tcPr>
            <w:tcW w:w="936" w:type="dxa"/>
            <w:tcBorders>
              <w:top w:val="nil"/>
              <w:left w:val="nil"/>
              <w:bottom w:val="nil"/>
              <w:right w:val="nil"/>
            </w:tcBorders>
            <w:shd w:val="clear" w:color="auto" w:fill="auto"/>
            <w:noWrap/>
            <w:vAlign w:val="bottom"/>
            <w:hideMark/>
          </w:tcPr>
          <w:p w14:paraId="2C49B6D9" w14:textId="2F8912BD"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73,183 </w:t>
            </w:r>
          </w:p>
        </w:tc>
        <w:tc>
          <w:tcPr>
            <w:tcW w:w="948" w:type="dxa"/>
            <w:gridSpan w:val="2"/>
            <w:tcBorders>
              <w:top w:val="nil"/>
              <w:left w:val="nil"/>
              <w:bottom w:val="nil"/>
              <w:right w:val="nil"/>
            </w:tcBorders>
            <w:shd w:val="clear" w:color="auto" w:fill="auto"/>
            <w:noWrap/>
            <w:vAlign w:val="bottom"/>
            <w:hideMark/>
          </w:tcPr>
          <w:p w14:paraId="22F879D3" w14:textId="078649B0"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40,903 </w:t>
            </w:r>
          </w:p>
        </w:tc>
      </w:tr>
      <w:tr w:rsidR="003815D1" w:rsidRPr="00CF4B58" w14:paraId="26D0807C" w14:textId="77777777" w:rsidTr="00EA2FF2">
        <w:trPr>
          <w:gridAfter w:val="1"/>
          <w:wAfter w:w="36" w:type="dxa"/>
          <w:trHeight w:val="204"/>
        </w:trPr>
        <w:tc>
          <w:tcPr>
            <w:tcW w:w="2977" w:type="dxa"/>
            <w:tcBorders>
              <w:top w:val="nil"/>
              <w:left w:val="nil"/>
              <w:bottom w:val="nil"/>
              <w:right w:val="nil"/>
            </w:tcBorders>
            <w:shd w:val="clear" w:color="auto" w:fill="auto"/>
            <w:noWrap/>
            <w:vAlign w:val="bottom"/>
            <w:hideMark/>
          </w:tcPr>
          <w:p w14:paraId="40D9B413"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Special Appropriations</w:t>
            </w:r>
          </w:p>
        </w:tc>
        <w:tc>
          <w:tcPr>
            <w:tcW w:w="992" w:type="dxa"/>
            <w:tcBorders>
              <w:top w:val="nil"/>
              <w:left w:val="nil"/>
              <w:bottom w:val="nil"/>
              <w:right w:val="nil"/>
            </w:tcBorders>
            <w:shd w:val="clear" w:color="auto" w:fill="auto"/>
            <w:noWrap/>
            <w:vAlign w:val="bottom"/>
            <w:hideMark/>
          </w:tcPr>
          <w:p w14:paraId="7ADE2340" w14:textId="77777777" w:rsidR="003815D1" w:rsidRPr="00EA2FF2" w:rsidRDefault="003815D1" w:rsidP="003815D1">
            <w:pPr>
              <w:spacing w:after="0" w:line="240" w:lineRule="auto"/>
              <w:ind w:firstLineChars="100" w:firstLine="160"/>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36FB5319" w14:textId="45C5871B"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62AFC1DE" w14:textId="77777777" w:rsidR="003815D1" w:rsidRPr="00EA2FF2" w:rsidRDefault="003815D1" w:rsidP="003815D1">
            <w:pPr>
              <w:spacing w:after="0" w:line="240" w:lineRule="auto"/>
              <w:jc w:val="right"/>
              <w:rPr>
                <w:rFonts w:ascii="Arial" w:hAnsi="Arial" w:cs="Arial"/>
                <w:sz w:val="16"/>
                <w:szCs w:val="16"/>
              </w:rPr>
            </w:pPr>
          </w:p>
        </w:tc>
        <w:tc>
          <w:tcPr>
            <w:tcW w:w="936" w:type="dxa"/>
            <w:tcBorders>
              <w:top w:val="nil"/>
              <w:left w:val="nil"/>
              <w:bottom w:val="nil"/>
              <w:right w:val="nil"/>
            </w:tcBorders>
            <w:shd w:val="clear" w:color="auto" w:fill="auto"/>
            <w:noWrap/>
            <w:vAlign w:val="bottom"/>
            <w:hideMark/>
          </w:tcPr>
          <w:p w14:paraId="0BAD4F0C" w14:textId="77777777" w:rsidR="003815D1" w:rsidRPr="00EA2FF2" w:rsidRDefault="003815D1" w:rsidP="003815D1">
            <w:pPr>
              <w:spacing w:after="0" w:line="240" w:lineRule="auto"/>
              <w:jc w:val="right"/>
              <w:rPr>
                <w:rFonts w:ascii="Times New Roman" w:hAnsi="Times New Roman"/>
                <w:sz w:val="16"/>
                <w:szCs w:val="16"/>
              </w:rPr>
            </w:pPr>
          </w:p>
        </w:tc>
        <w:tc>
          <w:tcPr>
            <w:tcW w:w="948" w:type="dxa"/>
            <w:gridSpan w:val="2"/>
            <w:tcBorders>
              <w:top w:val="nil"/>
              <w:left w:val="nil"/>
              <w:bottom w:val="nil"/>
              <w:right w:val="nil"/>
            </w:tcBorders>
            <w:shd w:val="clear" w:color="auto" w:fill="auto"/>
            <w:noWrap/>
            <w:vAlign w:val="bottom"/>
            <w:hideMark/>
          </w:tcPr>
          <w:p w14:paraId="12BE3A55" w14:textId="77777777" w:rsidR="003815D1" w:rsidRPr="00EA2FF2" w:rsidRDefault="003815D1" w:rsidP="003815D1">
            <w:pPr>
              <w:spacing w:after="0" w:line="240" w:lineRule="auto"/>
              <w:jc w:val="right"/>
              <w:rPr>
                <w:rFonts w:ascii="Times New Roman" w:hAnsi="Times New Roman"/>
                <w:sz w:val="16"/>
                <w:szCs w:val="16"/>
              </w:rPr>
            </w:pPr>
          </w:p>
        </w:tc>
      </w:tr>
      <w:tr w:rsidR="003815D1" w:rsidRPr="00CF4B58" w14:paraId="4D3D10CB" w14:textId="77777777" w:rsidTr="00EA2FF2">
        <w:trPr>
          <w:gridAfter w:val="1"/>
          <w:wAfter w:w="36" w:type="dxa"/>
          <w:trHeight w:val="204"/>
        </w:trPr>
        <w:tc>
          <w:tcPr>
            <w:tcW w:w="2977" w:type="dxa"/>
            <w:tcBorders>
              <w:top w:val="nil"/>
              <w:left w:val="nil"/>
              <w:bottom w:val="nil"/>
              <w:right w:val="nil"/>
            </w:tcBorders>
            <w:shd w:val="clear" w:color="auto" w:fill="auto"/>
            <w:vAlign w:val="bottom"/>
            <w:hideMark/>
          </w:tcPr>
          <w:p w14:paraId="27DDD1F7" w14:textId="77777777" w:rsidR="003815D1" w:rsidRPr="00EA2FF2" w:rsidRDefault="003815D1" w:rsidP="003815D1">
            <w:pPr>
              <w:spacing w:after="0" w:line="240" w:lineRule="auto"/>
              <w:ind w:left="227"/>
              <w:jc w:val="left"/>
              <w:rPr>
                <w:rFonts w:ascii="Arial" w:hAnsi="Arial" w:cs="Arial"/>
                <w:i/>
                <w:iCs/>
                <w:sz w:val="16"/>
                <w:szCs w:val="16"/>
              </w:rPr>
            </w:pPr>
            <w:r w:rsidRPr="00EA2FF2">
              <w:rPr>
                <w:rFonts w:ascii="Arial" w:hAnsi="Arial" w:cs="Arial"/>
                <w:i/>
                <w:iCs/>
                <w:sz w:val="16"/>
                <w:szCs w:val="16"/>
              </w:rPr>
              <w:t xml:space="preserve">Aviation Fuel Revenues (Special Appropriation) Act 1988 </w:t>
            </w:r>
            <w:r w:rsidRPr="00EA2FF2">
              <w:rPr>
                <w:rFonts w:ascii="Arial" w:hAnsi="Arial" w:cs="Arial"/>
                <w:i/>
                <w:iCs/>
                <w:sz w:val="16"/>
                <w:szCs w:val="16"/>
                <w:vertAlign w:val="superscript"/>
              </w:rPr>
              <w:t>(b)</w:t>
            </w:r>
          </w:p>
        </w:tc>
        <w:tc>
          <w:tcPr>
            <w:tcW w:w="992" w:type="dxa"/>
            <w:tcBorders>
              <w:top w:val="nil"/>
              <w:left w:val="nil"/>
              <w:bottom w:val="nil"/>
              <w:right w:val="nil"/>
            </w:tcBorders>
            <w:shd w:val="clear" w:color="auto" w:fill="auto"/>
            <w:noWrap/>
            <w:vAlign w:val="bottom"/>
            <w:hideMark/>
          </w:tcPr>
          <w:p w14:paraId="03CCBE0F" w14:textId="470BED5B"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68,720 </w:t>
            </w:r>
          </w:p>
        </w:tc>
        <w:tc>
          <w:tcPr>
            <w:tcW w:w="928" w:type="dxa"/>
            <w:tcBorders>
              <w:top w:val="nil"/>
              <w:left w:val="nil"/>
              <w:bottom w:val="nil"/>
              <w:right w:val="nil"/>
            </w:tcBorders>
            <w:shd w:val="clear" w:color="000000" w:fill="E6E6E6"/>
            <w:noWrap/>
            <w:vAlign w:val="bottom"/>
            <w:hideMark/>
          </w:tcPr>
          <w:p w14:paraId="60A40A4F" w14:textId="4E160D00"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85,300 </w:t>
            </w:r>
          </w:p>
        </w:tc>
        <w:tc>
          <w:tcPr>
            <w:tcW w:w="821" w:type="dxa"/>
            <w:tcBorders>
              <w:top w:val="nil"/>
              <w:left w:val="nil"/>
              <w:bottom w:val="nil"/>
              <w:right w:val="nil"/>
            </w:tcBorders>
            <w:shd w:val="clear" w:color="auto" w:fill="auto"/>
            <w:noWrap/>
            <w:vAlign w:val="bottom"/>
            <w:hideMark/>
          </w:tcPr>
          <w:p w14:paraId="102C4FC5" w14:textId="1F4DA6EB"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105,600 </w:t>
            </w:r>
          </w:p>
        </w:tc>
        <w:tc>
          <w:tcPr>
            <w:tcW w:w="936" w:type="dxa"/>
            <w:tcBorders>
              <w:top w:val="nil"/>
              <w:left w:val="nil"/>
              <w:bottom w:val="nil"/>
              <w:right w:val="nil"/>
            </w:tcBorders>
            <w:shd w:val="clear" w:color="auto" w:fill="auto"/>
            <w:noWrap/>
            <w:vAlign w:val="bottom"/>
            <w:hideMark/>
          </w:tcPr>
          <w:p w14:paraId="0EFCEE98" w14:textId="5EEFB3CA"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107,900 </w:t>
            </w:r>
          </w:p>
        </w:tc>
        <w:tc>
          <w:tcPr>
            <w:tcW w:w="948" w:type="dxa"/>
            <w:gridSpan w:val="2"/>
            <w:tcBorders>
              <w:top w:val="nil"/>
              <w:left w:val="nil"/>
              <w:bottom w:val="nil"/>
              <w:right w:val="nil"/>
            </w:tcBorders>
            <w:shd w:val="clear" w:color="auto" w:fill="auto"/>
            <w:noWrap/>
            <w:vAlign w:val="bottom"/>
            <w:hideMark/>
          </w:tcPr>
          <w:p w14:paraId="1859EF46" w14:textId="6FF6275B"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112,700 </w:t>
            </w:r>
          </w:p>
        </w:tc>
      </w:tr>
      <w:tr w:rsidR="003815D1" w:rsidRPr="00CF4B58" w14:paraId="0EAE4637" w14:textId="77777777" w:rsidTr="00EA2FF2">
        <w:trPr>
          <w:gridAfter w:val="1"/>
          <w:wAfter w:w="36" w:type="dxa"/>
          <w:trHeight w:val="204"/>
        </w:trPr>
        <w:tc>
          <w:tcPr>
            <w:tcW w:w="2977" w:type="dxa"/>
            <w:tcBorders>
              <w:top w:val="nil"/>
              <w:left w:val="nil"/>
              <w:bottom w:val="nil"/>
              <w:right w:val="nil"/>
            </w:tcBorders>
            <w:shd w:val="clear" w:color="auto" w:fill="auto"/>
            <w:vAlign w:val="bottom"/>
            <w:hideMark/>
          </w:tcPr>
          <w:p w14:paraId="3ABA16B6" w14:textId="77777777" w:rsidR="003815D1" w:rsidRPr="00EA2FF2" w:rsidRDefault="003815D1" w:rsidP="003815D1">
            <w:pPr>
              <w:spacing w:after="0" w:line="240" w:lineRule="auto"/>
              <w:ind w:left="227"/>
              <w:jc w:val="left"/>
              <w:rPr>
                <w:rFonts w:ascii="Arial" w:hAnsi="Arial" w:cs="Arial"/>
                <w:sz w:val="16"/>
                <w:szCs w:val="16"/>
              </w:rPr>
            </w:pPr>
            <w:r w:rsidRPr="00EA2FF2">
              <w:rPr>
                <w:rFonts w:ascii="Arial" w:hAnsi="Arial" w:cs="Arial"/>
                <w:sz w:val="16"/>
                <w:szCs w:val="16"/>
              </w:rPr>
              <w:t xml:space="preserve">Regional Airlines Funding Assistance </w:t>
            </w:r>
            <w:r w:rsidRPr="00EA2FF2">
              <w:rPr>
                <w:rFonts w:ascii="Arial" w:hAnsi="Arial" w:cs="Arial"/>
                <w:sz w:val="16"/>
                <w:szCs w:val="16"/>
                <w:vertAlign w:val="superscript"/>
              </w:rPr>
              <w:t>(d)</w:t>
            </w:r>
            <w:r w:rsidRPr="00EA2FF2">
              <w:rPr>
                <w:rFonts w:ascii="Arial" w:hAnsi="Arial" w:cs="Arial"/>
                <w:sz w:val="16"/>
                <w:szCs w:val="16"/>
              </w:rPr>
              <w:t xml:space="preserve"> </w:t>
            </w:r>
          </w:p>
        </w:tc>
        <w:tc>
          <w:tcPr>
            <w:tcW w:w="992" w:type="dxa"/>
            <w:tcBorders>
              <w:top w:val="nil"/>
              <w:left w:val="nil"/>
              <w:bottom w:val="nil"/>
              <w:right w:val="nil"/>
            </w:tcBorders>
            <w:shd w:val="clear" w:color="auto" w:fill="auto"/>
            <w:noWrap/>
            <w:vAlign w:val="bottom"/>
            <w:hideMark/>
          </w:tcPr>
          <w:p w14:paraId="10060B3A" w14:textId="2292E2D9"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18,263 </w:t>
            </w:r>
          </w:p>
        </w:tc>
        <w:tc>
          <w:tcPr>
            <w:tcW w:w="928" w:type="dxa"/>
            <w:tcBorders>
              <w:top w:val="nil"/>
              <w:left w:val="nil"/>
              <w:bottom w:val="nil"/>
              <w:right w:val="nil"/>
            </w:tcBorders>
            <w:shd w:val="clear" w:color="000000" w:fill="E6E6E6"/>
            <w:noWrap/>
            <w:vAlign w:val="bottom"/>
            <w:hideMark/>
          </w:tcPr>
          <w:p w14:paraId="52E97202" w14:textId="66370488"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14:paraId="60C78A92" w14:textId="42EAF4B6"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36" w:type="dxa"/>
            <w:tcBorders>
              <w:top w:val="nil"/>
              <w:left w:val="nil"/>
              <w:bottom w:val="nil"/>
              <w:right w:val="nil"/>
            </w:tcBorders>
            <w:shd w:val="clear" w:color="auto" w:fill="auto"/>
            <w:noWrap/>
            <w:vAlign w:val="bottom"/>
            <w:hideMark/>
          </w:tcPr>
          <w:p w14:paraId="621BE6B1" w14:textId="78477355"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48" w:type="dxa"/>
            <w:gridSpan w:val="2"/>
            <w:tcBorders>
              <w:top w:val="nil"/>
              <w:left w:val="nil"/>
              <w:bottom w:val="nil"/>
              <w:right w:val="nil"/>
            </w:tcBorders>
            <w:shd w:val="clear" w:color="auto" w:fill="auto"/>
            <w:noWrap/>
            <w:vAlign w:val="bottom"/>
            <w:hideMark/>
          </w:tcPr>
          <w:p w14:paraId="636E0477" w14:textId="3E89D8A4"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CF4B58" w14:paraId="2B5902C9" w14:textId="77777777" w:rsidTr="00EA2FF2">
        <w:trPr>
          <w:gridAfter w:val="1"/>
          <w:wAfter w:w="36" w:type="dxa"/>
          <w:trHeight w:val="204"/>
        </w:trPr>
        <w:tc>
          <w:tcPr>
            <w:tcW w:w="2977" w:type="dxa"/>
            <w:tcBorders>
              <w:top w:val="nil"/>
              <w:left w:val="nil"/>
              <w:bottom w:val="nil"/>
              <w:right w:val="nil"/>
            </w:tcBorders>
            <w:shd w:val="clear" w:color="auto" w:fill="auto"/>
            <w:vAlign w:val="bottom"/>
            <w:hideMark/>
          </w:tcPr>
          <w:p w14:paraId="4EC85E8E" w14:textId="77777777" w:rsidR="003815D1" w:rsidRPr="00EA2FF2" w:rsidRDefault="003815D1" w:rsidP="003815D1">
            <w:pPr>
              <w:spacing w:after="0" w:line="240" w:lineRule="auto"/>
              <w:ind w:left="227"/>
              <w:jc w:val="left"/>
              <w:rPr>
                <w:rFonts w:ascii="Arial" w:hAnsi="Arial" w:cs="Arial"/>
                <w:sz w:val="16"/>
                <w:szCs w:val="16"/>
              </w:rPr>
            </w:pPr>
            <w:r w:rsidRPr="00EA2FF2">
              <w:rPr>
                <w:rFonts w:ascii="Arial" w:hAnsi="Arial" w:cs="Arial"/>
                <w:sz w:val="16"/>
                <w:szCs w:val="16"/>
              </w:rPr>
              <w:t xml:space="preserve">Regional Airline Network Support </w:t>
            </w:r>
            <w:r w:rsidRPr="00EA2FF2">
              <w:rPr>
                <w:rFonts w:ascii="Arial" w:hAnsi="Arial" w:cs="Arial"/>
                <w:sz w:val="16"/>
                <w:szCs w:val="16"/>
                <w:vertAlign w:val="superscript"/>
              </w:rPr>
              <w:t>(d)</w:t>
            </w:r>
            <w:r w:rsidRPr="00EA2FF2">
              <w:rPr>
                <w:rFonts w:ascii="Arial" w:hAnsi="Arial" w:cs="Arial"/>
                <w:sz w:val="16"/>
                <w:szCs w:val="16"/>
              </w:rPr>
              <w:t xml:space="preserve"> </w:t>
            </w:r>
          </w:p>
        </w:tc>
        <w:tc>
          <w:tcPr>
            <w:tcW w:w="992" w:type="dxa"/>
            <w:tcBorders>
              <w:top w:val="nil"/>
              <w:left w:val="nil"/>
              <w:bottom w:val="nil"/>
              <w:right w:val="nil"/>
            </w:tcBorders>
            <w:shd w:val="clear" w:color="auto" w:fill="auto"/>
            <w:noWrap/>
            <w:vAlign w:val="bottom"/>
            <w:hideMark/>
          </w:tcPr>
          <w:p w14:paraId="77E05EB9" w14:textId="0B3FFAF0"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113,281 </w:t>
            </w:r>
          </w:p>
        </w:tc>
        <w:tc>
          <w:tcPr>
            <w:tcW w:w="928" w:type="dxa"/>
            <w:tcBorders>
              <w:top w:val="nil"/>
              <w:left w:val="nil"/>
              <w:bottom w:val="nil"/>
              <w:right w:val="nil"/>
            </w:tcBorders>
            <w:shd w:val="clear" w:color="000000" w:fill="E6E6E6"/>
            <w:noWrap/>
            <w:vAlign w:val="bottom"/>
            <w:hideMark/>
          </w:tcPr>
          <w:p w14:paraId="759EEA0C" w14:textId="4A8D068F"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14:paraId="6C85BE86" w14:textId="3083D333"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36" w:type="dxa"/>
            <w:tcBorders>
              <w:top w:val="nil"/>
              <w:left w:val="nil"/>
              <w:bottom w:val="nil"/>
              <w:right w:val="nil"/>
            </w:tcBorders>
            <w:shd w:val="clear" w:color="auto" w:fill="auto"/>
            <w:noWrap/>
            <w:vAlign w:val="bottom"/>
            <w:hideMark/>
          </w:tcPr>
          <w:p w14:paraId="61EB17BC" w14:textId="4FEDA255"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48" w:type="dxa"/>
            <w:gridSpan w:val="2"/>
            <w:tcBorders>
              <w:top w:val="nil"/>
              <w:left w:val="nil"/>
              <w:bottom w:val="nil"/>
              <w:right w:val="nil"/>
            </w:tcBorders>
            <w:shd w:val="clear" w:color="auto" w:fill="auto"/>
            <w:noWrap/>
            <w:vAlign w:val="bottom"/>
            <w:hideMark/>
          </w:tcPr>
          <w:p w14:paraId="12FA6748" w14:textId="529AD559"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CF4B58" w14:paraId="6F63FEDB" w14:textId="77777777" w:rsidTr="00EA2FF2">
        <w:trPr>
          <w:gridAfter w:val="1"/>
          <w:wAfter w:w="36" w:type="dxa"/>
          <w:trHeight w:val="204"/>
        </w:trPr>
        <w:tc>
          <w:tcPr>
            <w:tcW w:w="2977" w:type="dxa"/>
            <w:tcBorders>
              <w:top w:val="nil"/>
              <w:left w:val="nil"/>
              <w:bottom w:val="nil"/>
              <w:right w:val="nil"/>
            </w:tcBorders>
            <w:shd w:val="clear" w:color="auto" w:fill="auto"/>
            <w:noWrap/>
            <w:vAlign w:val="bottom"/>
            <w:hideMark/>
          </w:tcPr>
          <w:p w14:paraId="10CC9364"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Special Accounts</w:t>
            </w:r>
          </w:p>
        </w:tc>
        <w:tc>
          <w:tcPr>
            <w:tcW w:w="992" w:type="dxa"/>
            <w:tcBorders>
              <w:top w:val="nil"/>
              <w:left w:val="nil"/>
              <w:bottom w:val="nil"/>
              <w:right w:val="nil"/>
            </w:tcBorders>
            <w:shd w:val="clear" w:color="auto" w:fill="auto"/>
            <w:noWrap/>
            <w:vAlign w:val="bottom"/>
            <w:hideMark/>
          </w:tcPr>
          <w:p w14:paraId="133F29EA" w14:textId="77777777" w:rsidR="003815D1" w:rsidRPr="00EA2FF2" w:rsidRDefault="003815D1" w:rsidP="003815D1">
            <w:pPr>
              <w:spacing w:after="0" w:line="240" w:lineRule="auto"/>
              <w:ind w:firstLineChars="100" w:firstLine="160"/>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7937AD87" w14:textId="18F794FF"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680904BC" w14:textId="77777777" w:rsidR="003815D1" w:rsidRPr="00EA2FF2" w:rsidRDefault="003815D1" w:rsidP="003815D1">
            <w:pPr>
              <w:spacing w:after="0" w:line="240" w:lineRule="auto"/>
              <w:jc w:val="right"/>
              <w:rPr>
                <w:rFonts w:ascii="Arial" w:hAnsi="Arial" w:cs="Arial"/>
                <w:sz w:val="16"/>
                <w:szCs w:val="16"/>
              </w:rPr>
            </w:pPr>
          </w:p>
        </w:tc>
        <w:tc>
          <w:tcPr>
            <w:tcW w:w="936" w:type="dxa"/>
            <w:tcBorders>
              <w:top w:val="nil"/>
              <w:left w:val="nil"/>
              <w:bottom w:val="nil"/>
              <w:right w:val="nil"/>
            </w:tcBorders>
            <w:shd w:val="clear" w:color="auto" w:fill="auto"/>
            <w:noWrap/>
            <w:vAlign w:val="bottom"/>
            <w:hideMark/>
          </w:tcPr>
          <w:p w14:paraId="3D078154" w14:textId="77777777" w:rsidR="003815D1" w:rsidRPr="00EA2FF2" w:rsidRDefault="003815D1" w:rsidP="003815D1">
            <w:pPr>
              <w:spacing w:after="0" w:line="240" w:lineRule="auto"/>
              <w:jc w:val="right"/>
              <w:rPr>
                <w:rFonts w:ascii="Times New Roman" w:hAnsi="Times New Roman"/>
                <w:sz w:val="16"/>
                <w:szCs w:val="16"/>
              </w:rPr>
            </w:pPr>
          </w:p>
        </w:tc>
        <w:tc>
          <w:tcPr>
            <w:tcW w:w="948" w:type="dxa"/>
            <w:gridSpan w:val="2"/>
            <w:tcBorders>
              <w:top w:val="nil"/>
              <w:left w:val="nil"/>
              <w:bottom w:val="nil"/>
              <w:right w:val="nil"/>
            </w:tcBorders>
            <w:shd w:val="clear" w:color="auto" w:fill="auto"/>
            <w:noWrap/>
            <w:vAlign w:val="bottom"/>
            <w:hideMark/>
          </w:tcPr>
          <w:p w14:paraId="63F955F8" w14:textId="77777777" w:rsidR="003815D1" w:rsidRPr="00EA2FF2" w:rsidRDefault="003815D1" w:rsidP="003815D1">
            <w:pPr>
              <w:spacing w:after="0" w:line="240" w:lineRule="auto"/>
              <w:jc w:val="right"/>
              <w:rPr>
                <w:rFonts w:ascii="Times New Roman" w:hAnsi="Times New Roman"/>
                <w:sz w:val="16"/>
                <w:szCs w:val="16"/>
              </w:rPr>
            </w:pPr>
          </w:p>
        </w:tc>
      </w:tr>
      <w:tr w:rsidR="003815D1" w:rsidRPr="00CF4B58" w14:paraId="02776D7C" w14:textId="77777777" w:rsidTr="00EA2FF2">
        <w:trPr>
          <w:gridAfter w:val="1"/>
          <w:wAfter w:w="36" w:type="dxa"/>
          <w:trHeight w:val="204"/>
        </w:trPr>
        <w:tc>
          <w:tcPr>
            <w:tcW w:w="2977" w:type="dxa"/>
            <w:tcBorders>
              <w:top w:val="nil"/>
              <w:left w:val="nil"/>
              <w:bottom w:val="nil"/>
              <w:right w:val="nil"/>
            </w:tcBorders>
            <w:shd w:val="clear" w:color="auto" w:fill="auto"/>
            <w:vAlign w:val="bottom"/>
            <w:hideMark/>
          </w:tcPr>
          <w:p w14:paraId="6A3509BF" w14:textId="77777777" w:rsidR="003815D1" w:rsidRPr="00EA2FF2" w:rsidRDefault="003815D1" w:rsidP="003815D1">
            <w:pPr>
              <w:spacing w:after="0" w:line="240" w:lineRule="auto"/>
              <w:ind w:left="227"/>
              <w:jc w:val="left"/>
              <w:rPr>
                <w:rFonts w:ascii="Arial" w:hAnsi="Arial" w:cs="Arial"/>
                <w:sz w:val="16"/>
                <w:szCs w:val="16"/>
              </w:rPr>
            </w:pPr>
            <w:r w:rsidRPr="00EA2FF2">
              <w:rPr>
                <w:rFonts w:ascii="Arial" w:hAnsi="Arial" w:cs="Arial"/>
                <w:sz w:val="16"/>
                <w:szCs w:val="16"/>
              </w:rPr>
              <w:t>Melbourne Airport New Runway Land Acquisition Special Account</w:t>
            </w:r>
          </w:p>
        </w:tc>
        <w:tc>
          <w:tcPr>
            <w:tcW w:w="992" w:type="dxa"/>
            <w:tcBorders>
              <w:top w:val="nil"/>
              <w:left w:val="nil"/>
              <w:bottom w:val="nil"/>
              <w:right w:val="nil"/>
            </w:tcBorders>
            <w:shd w:val="clear" w:color="auto" w:fill="auto"/>
            <w:noWrap/>
            <w:vAlign w:val="bottom"/>
            <w:hideMark/>
          </w:tcPr>
          <w:p w14:paraId="0FC3DDB3" w14:textId="5A3E1CD8"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681CD26C" w14:textId="4B656F70"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14:paraId="34C1747E" w14:textId="42F23D6B"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36" w:type="dxa"/>
            <w:tcBorders>
              <w:top w:val="nil"/>
              <w:left w:val="nil"/>
              <w:bottom w:val="nil"/>
              <w:right w:val="nil"/>
            </w:tcBorders>
            <w:shd w:val="clear" w:color="auto" w:fill="auto"/>
            <w:noWrap/>
            <w:vAlign w:val="bottom"/>
            <w:hideMark/>
          </w:tcPr>
          <w:p w14:paraId="7C9ED7E4" w14:textId="2B07F8C9"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48" w:type="dxa"/>
            <w:gridSpan w:val="2"/>
            <w:tcBorders>
              <w:top w:val="nil"/>
              <w:left w:val="nil"/>
              <w:bottom w:val="nil"/>
              <w:right w:val="nil"/>
            </w:tcBorders>
            <w:shd w:val="clear" w:color="auto" w:fill="auto"/>
            <w:noWrap/>
            <w:vAlign w:val="bottom"/>
            <w:hideMark/>
          </w:tcPr>
          <w:p w14:paraId="74CD4906" w14:textId="0E555533"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CF4B58" w14:paraId="6E8D2ABA" w14:textId="77777777" w:rsidTr="00EA2FF2">
        <w:trPr>
          <w:gridAfter w:val="1"/>
          <w:wAfter w:w="36" w:type="dxa"/>
          <w:trHeight w:val="204"/>
        </w:trPr>
        <w:tc>
          <w:tcPr>
            <w:tcW w:w="2977" w:type="dxa"/>
            <w:tcBorders>
              <w:top w:val="nil"/>
              <w:left w:val="nil"/>
              <w:bottom w:val="nil"/>
              <w:right w:val="nil"/>
            </w:tcBorders>
            <w:shd w:val="clear" w:color="auto" w:fill="auto"/>
            <w:vAlign w:val="bottom"/>
            <w:hideMark/>
          </w:tcPr>
          <w:p w14:paraId="3AAFDCBA"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 xml:space="preserve">Expenses not requiring appropriation in the Budget year </w:t>
            </w:r>
            <w:r w:rsidRPr="00EA2FF2">
              <w:rPr>
                <w:rFonts w:ascii="Arial" w:hAnsi="Arial" w:cs="Arial"/>
                <w:sz w:val="16"/>
                <w:szCs w:val="16"/>
                <w:vertAlign w:val="superscript"/>
              </w:rPr>
              <w:t>(c)</w:t>
            </w:r>
          </w:p>
        </w:tc>
        <w:tc>
          <w:tcPr>
            <w:tcW w:w="992" w:type="dxa"/>
            <w:tcBorders>
              <w:top w:val="nil"/>
              <w:left w:val="nil"/>
              <w:bottom w:val="nil"/>
              <w:right w:val="nil"/>
            </w:tcBorders>
            <w:shd w:val="clear" w:color="auto" w:fill="auto"/>
            <w:noWrap/>
            <w:vAlign w:val="bottom"/>
            <w:hideMark/>
          </w:tcPr>
          <w:p w14:paraId="07B3ABA2" w14:textId="243016CB"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120,574 </w:t>
            </w:r>
          </w:p>
        </w:tc>
        <w:tc>
          <w:tcPr>
            <w:tcW w:w="928" w:type="dxa"/>
            <w:tcBorders>
              <w:top w:val="nil"/>
              <w:left w:val="nil"/>
              <w:bottom w:val="nil"/>
              <w:right w:val="nil"/>
            </w:tcBorders>
            <w:shd w:val="clear" w:color="000000" w:fill="E6E6E6"/>
            <w:noWrap/>
            <w:vAlign w:val="bottom"/>
            <w:hideMark/>
          </w:tcPr>
          <w:p w14:paraId="12CC2B17" w14:textId="374FC33D"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191,970 </w:t>
            </w:r>
          </w:p>
        </w:tc>
        <w:tc>
          <w:tcPr>
            <w:tcW w:w="821" w:type="dxa"/>
            <w:tcBorders>
              <w:top w:val="nil"/>
              <w:left w:val="nil"/>
              <w:bottom w:val="nil"/>
              <w:right w:val="nil"/>
            </w:tcBorders>
            <w:shd w:val="clear" w:color="auto" w:fill="auto"/>
            <w:noWrap/>
            <w:vAlign w:val="bottom"/>
            <w:hideMark/>
          </w:tcPr>
          <w:p w14:paraId="3D9DBE8A" w14:textId="01330B3F"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42,998 </w:t>
            </w:r>
          </w:p>
        </w:tc>
        <w:tc>
          <w:tcPr>
            <w:tcW w:w="936" w:type="dxa"/>
            <w:tcBorders>
              <w:top w:val="nil"/>
              <w:left w:val="nil"/>
              <w:bottom w:val="nil"/>
              <w:right w:val="nil"/>
            </w:tcBorders>
            <w:shd w:val="clear" w:color="auto" w:fill="auto"/>
            <w:noWrap/>
            <w:vAlign w:val="bottom"/>
            <w:hideMark/>
          </w:tcPr>
          <w:p w14:paraId="67A37BE9" w14:textId="12FADE14"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12,927 </w:t>
            </w:r>
          </w:p>
        </w:tc>
        <w:tc>
          <w:tcPr>
            <w:tcW w:w="948" w:type="dxa"/>
            <w:gridSpan w:val="2"/>
            <w:tcBorders>
              <w:top w:val="nil"/>
              <w:left w:val="nil"/>
              <w:bottom w:val="nil"/>
              <w:right w:val="nil"/>
            </w:tcBorders>
            <w:shd w:val="clear" w:color="auto" w:fill="auto"/>
            <w:noWrap/>
            <w:vAlign w:val="bottom"/>
            <w:hideMark/>
          </w:tcPr>
          <w:p w14:paraId="05D59A4D" w14:textId="054DB9EF"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CF4B58" w14:paraId="5F7D8D5A" w14:textId="77777777" w:rsidTr="00EA2FF2">
        <w:trPr>
          <w:gridAfter w:val="1"/>
          <w:wAfter w:w="36" w:type="dxa"/>
          <w:trHeight w:val="204"/>
        </w:trPr>
        <w:tc>
          <w:tcPr>
            <w:tcW w:w="2977" w:type="dxa"/>
            <w:tcBorders>
              <w:top w:val="nil"/>
              <w:left w:val="nil"/>
              <w:bottom w:val="nil"/>
              <w:right w:val="nil"/>
            </w:tcBorders>
            <w:shd w:val="clear" w:color="auto" w:fill="auto"/>
            <w:noWrap/>
            <w:vAlign w:val="bottom"/>
            <w:hideMark/>
          </w:tcPr>
          <w:p w14:paraId="38AD0899" w14:textId="77777777" w:rsidR="003815D1" w:rsidRPr="00EA2FF2" w:rsidRDefault="003815D1" w:rsidP="003815D1">
            <w:pPr>
              <w:spacing w:after="0" w:line="240" w:lineRule="auto"/>
              <w:jc w:val="left"/>
              <w:rPr>
                <w:rFonts w:ascii="Arial" w:hAnsi="Arial" w:cs="Arial"/>
                <w:b/>
                <w:bCs/>
                <w:sz w:val="16"/>
                <w:szCs w:val="16"/>
              </w:rPr>
            </w:pPr>
            <w:r w:rsidRPr="00EA2FF2">
              <w:rPr>
                <w:rFonts w:ascii="Arial" w:hAnsi="Arial" w:cs="Arial"/>
                <w:b/>
                <w:bCs/>
                <w:sz w:val="16"/>
                <w:szCs w:val="16"/>
              </w:rPr>
              <w:t>Total expenses for Program 2.3</w:t>
            </w:r>
          </w:p>
        </w:tc>
        <w:tc>
          <w:tcPr>
            <w:tcW w:w="992" w:type="dxa"/>
            <w:tcBorders>
              <w:top w:val="single" w:sz="4" w:space="0" w:color="auto"/>
              <w:left w:val="nil"/>
              <w:bottom w:val="single" w:sz="4" w:space="0" w:color="auto"/>
              <w:right w:val="nil"/>
            </w:tcBorders>
            <w:shd w:val="clear" w:color="auto" w:fill="auto"/>
            <w:noWrap/>
            <w:vAlign w:val="bottom"/>
            <w:hideMark/>
          </w:tcPr>
          <w:p w14:paraId="612FA621" w14:textId="416FF635"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2,163,569 </w:t>
            </w:r>
          </w:p>
        </w:tc>
        <w:tc>
          <w:tcPr>
            <w:tcW w:w="928" w:type="dxa"/>
            <w:tcBorders>
              <w:top w:val="single" w:sz="4" w:space="0" w:color="auto"/>
              <w:left w:val="nil"/>
              <w:bottom w:val="single" w:sz="4" w:space="0" w:color="auto"/>
              <w:right w:val="nil"/>
            </w:tcBorders>
            <w:shd w:val="clear" w:color="000000" w:fill="E6E6E6"/>
            <w:noWrap/>
            <w:vAlign w:val="bottom"/>
            <w:hideMark/>
          </w:tcPr>
          <w:p w14:paraId="7C0523F0" w14:textId="19048963"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1,217,154 </w:t>
            </w:r>
          </w:p>
        </w:tc>
        <w:tc>
          <w:tcPr>
            <w:tcW w:w="821" w:type="dxa"/>
            <w:tcBorders>
              <w:top w:val="single" w:sz="4" w:space="0" w:color="auto"/>
              <w:left w:val="nil"/>
              <w:bottom w:val="single" w:sz="4" w:space="0" w:color="auto"/>
              <w:right w:val="nil"/>
            </w:tcBorders>
            <w:shd w:val="clear" w:color="auto" w:fill="auto"/>
            <w:noWrap/>
            <w:vAlign w:val="bottom"/>
            <w:hideMark/>
          </w:tcPr>
          <w:p w14:paraId="6C40BA3A" w14:textId="4281B02F"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354,758 </w:t>
            </w:r>
          </w:p>
        </w:tc>
        <w:tc>
          <w:tcPr>
            <w:tcW w:w="936" w:type="dxa"/>
            <w:tcBorders>
              <w:top w:val="single" w:sz="4" w:space="0" w:color="auto"/>
              <w:left w:val="nil"/>
              <w:bottom w:val="single" w:sz="4" w:space="0" w:color="auto"/>
              <w:right w:val="nil"/>
            </w:tcBorders>
            <w:shd w:val="clear" w:color="auto" w:fill="auto"/>
            <w:noWrap/>
            <w:vAlign w:val="bottom"/>
            <w:hideMark/>
          </w:tcPr>
          <w:p w14:paraId="0A352FA5" w14:textId="2BE2683C"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249,718 </w:t>
            </w:r>
          </w:p>
        </w:tc>
        <w:tc>
          <w:tcPr>
            <w:tcW w:w="948" w:type="dxa"/>
            <w:gridSpan w:val="2"/>
            <w:tcBorders>
              <w:top w:val="single" w:sz="4" w:space="0" w:color="auto"/>
              <w:left w:val="nil"/>
              <w:bottom w:val="single" w:sz="4" w:space="0" w:color="auto"/>
              <w:right w:val="nil"/>
            </w:tcBorders>
            <w:shd w:val="clear" w:color="auto" w:fill="auto"/>
            <w:noWrap/>
            <w:vAlign w:val="bottom"/>
            <w:hideMark/>
          </w:tcPr>
          <w:p w14:paraId="35718810" w14:textId="5F6271BC"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195,507 </w:t>
            </w:r>
          </w:p>
        </w:tc>
      </w:tr>
      <w:tr w:rsidR="00EA2FF2" w:rsidRPr="00CF4B58" w14:paraId="0FF031F8" w14:textId="77777777" w:rsidTr="00C55547">
        <w:trPr>
          <w:trHeight w:val="225"/>
        </w:trPr>
        <w:tc>
          <w:tcPr>
            <w:tcW w:w="7638" w:type="dxa"/>
            <w:gridSpan w:val="8"/>
            <w:tcBorders>
              <w:top w:val="single" w:sz="4" w:space="0" w:color="auto"/>
              <w:left w:val="nil"/>
              <w:bottom w:val="single" w:sz="4" w:space="0" w:color="auto"/>
              <w:right w:val="nil"/>
            </w:tcBorders>
            <w:shd w:val="clear" w:color="000000" w:fill="E6E6E6"/>
            <w:noWrap/>
            <w:hideMark/>
          </w:tcPr>
          <w:p w14:paraId="50420615" w14:textId="7BEABDD5" w:rsidR="00EA2FF2" w:rsidRPr="00CF4B58" w:rsidRDefault="00EA2FF2" w:rsidP="00EA2FF2">
            <w:pPr>
              <w:spacing w:after="0" w:line="240" w:lineRule="auto"/>
              <w:jc w:val="left"/>
              <w:rPr>
                <w:rFonts w:ascii="Arial" w:hAnsi="Arial" w:cs="Arial"/>
                <w:sz w:val="16"/>
                <w:szCs w:val="16"/>
              </w:rPr>
            </w:pPr>
            <w:r w:rsidRPr="00CF4B58">
              <w:rPr>
                <w:rFonts w:ascii="Arial" w:hAnsi="Arial" w:cs="Arial"/>
                <w:b/>
                <w:bCs/>
                <w:sz w:val="16"/>
                <w:szCs w:val="16"/>
              </w:rPr>
              <w:t>Program 2.4 Program Support for Outcome 2</w:t>
            </w:r>
            <w:r w:rsidRPr="00CF4B58">
              <w:rPr>
                <w:rFonts w:ascii="Arial" w:hAnsi="Arial" w:cs="Arial"/>
                <w:sz w:val="16"/>
                <w:szCs w:val="16"/>
              </w:rPr>
              <w:t> </w:t>
            </w:r>
          </w:p>
        </w:tc>
      </w:tr>
      <w:tr w:rsidR="006D28FE" w:rsidRPr="00CF4B58" w14:paraId="4549545D" w14:textId="77777777" w:rsidTr="00EA2FF2">
        <w:trPr>
          <w:trHeight w:val="204"/>
        </w:trPr>
        <w:tc>
          <w:tcPr>
            <w:tcW w:w="2977" w:type="dxa"/>
            <w:tcBorders>
              <w:top w:val="nil"/>
              <w:left w:val="nil"/>
              <w:bottom w:val="nil"/>
              <w:right w:val="nil"/>
            </w:tcBorders>
            <w:shd w:val="clear" w:color="auto" w:fill="auto"/>
            <w:noWrap/>
            <w:vAlign w:val="bottom"/>
            <w:hideMark/>
          </w:tcPr>
          <w:p w14:paraId="037F4CB3" w14:textId="77777777" w:rsidR="00CF4B58" w:rsidRPr="00EA2FF2" w:rsidRDefault="00CF4B58" w:rsidP="00CF4B58">
            <w:pPr>
              <w:spacing w:after="0" w:line="240" w:lineRule="auto"/>
              <w:jc w:val="left"/>
              <w:rPr>
                <w:rFonts w:ascii="Arial" w:hAnsi="Arial" w:cs="Arial"/>
                <w:sz w:val="16"/>
                <w:szCs w:val="16"/>
              </w:rPr>
            </w:pPr>
            <w:r w:rsidRPr="00EA2FF2">
              <w:rPr>
                <w:rFonts w:ascii="Arial" w:hAnsi="Arial" w:cs="Arial"/>
                <w:sz w:val="16"/>
                <w:szCs w:val="16"/>
              </w:rPr>
              <w:t>Departmental expenses</w:t>
            </w:r>
          </w:p>
        </w:tc>
        <w:tc>
          <w:tcPr>
            <w:tcW w:w="992" w:type="dxa"/>
            <w:tcBorders>
              <w:top w:val="nil"/>
              <w:left w:val="nil"/>
              <w:bottom w:val="nil"/>
              <w:right w:val="nil"/>
            </w:tcBorders>
            <w:shd w:val="clear" w:color="auto" w:fill="auto"/>
            <w:noWrap/>
            <w:vAlign w:val="bottom"/>
            <w:hideMark/>
          </w:tcPr>
          <w:p w14:paraId="45AE14F1" w14:textId="77777777" w:rsidR="00CF4B58" w:rsidRPr="00EA2FF2" w:rsidRDefault="00CF4B58" w:rsidP="0050631D">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E6E6E6"/>
            <w:noWrap/>
            <w:vAlign w:val="bottom"/>
            <w:hideMark/>
          </w:tcPr>
          <w:p w14:paraId="426637F1" w14:textId="556C03E1" w:rsidR="00CF4B58" w:rsidRPr="00EA2FF2" w:rsidRDefault="00CF4B58" w:rsidP="0050631D">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667D02F2" w14:textId="77777777" w:rsidR="00CF4B58" w:rsidRPr="00EA2FF2" w:rsidRDefault="00CF4B58" w:rsidP="0050631D">
            <w:pPr>
              <w:spacing w:after="0" w:line="240" w:lineRule="auto"/>
              <w:jc w:val="right"/>
              <w:rPr>
                <w:rFonts w:ascii="Arial" w:hAnsi="Arial" w:cs="Arial"/>
                <w:sz w:val="16"/>
                <w:szCs w:val="16"/>
              </w:rPr>
            </w:pPr>
          </w:p>
        </w:tc>
        <w:tc>
          <w:tcPr>
            <w:tcW w:w="966" w:type="dxa"/>
            <w:gridSpan w:val="2"/>
            <w:tcBorders>
              <w:top w:val="nil"/>
              <w:left w:val="nil"/>
              <w:bottom w:val="nil"/>
              <w:right w:val="nil"/>
            </w:tcBorders>
            <w:shd w:val="clear" w:color="auto" w:fill="auto"/>
            <w:noWrap/>
            <w:vAlign w:val="bottom"/>
            <w:hideMark/>
          </w:tcPr>
          <w:p w14:paraId="64E6FB6B" w14:textId="77777777" w:rsidR="00CF4B58" w:rsidRPr="00EA2FF2" w:rsidRDefault="00CF4B58" w:rsidP="0050631D">
            <w:pPr>
              <w:spacing w:after="0" w:line="240" w:lineRule="auto"/>
              <w:jc w:val="right"/>
              <w:rPr>
                <w:rFonts w:ascii="Times New Roman" w:hAnsi="Times New Roman"/>
                <w:sz w:val="16"/>
                <w:szCs w:val="16"/>
              </w:rPr>
            </w:pPr>
          </w:p>
        </w:tc>
        <w:tc>
          <w:tcPr>
            <w:tcW w:w="954" w:type="dxa"/>
            <w:gridSpan w:val="2"/>
            <w:tcBorders>
              <w:top w:val="nil"/>
              <w:left w:val="nil"/>
              <w:bottom w:val="nil"/>
              <w:right w:val="nil"/>
            </w:tcBorders>
            <w:shd w:val="clear" w:color="auto" w:fill="auto"/>
            <w:noWrap/>
            <w:vAlign w:val="bottom"/>
            <w:hideMark/>
          </w:tcPr>
          <w:p w14:paraId="0C481B3B" w14:textId="77777777" w:rsidR="00CF4B58" w:rsidRPr="00EA2FF2" w:rsidRDefault="00CF4B58" w:rsidP="0050631D">
            <w:pPr>
              <w:spacing w:after="0" w:line="240" w:lineRule="auto"/>
              <w:jc w:val="right"/>
              <w:rPr>
                <w:rFonts w:ascii="Times New Roman" w:hAnsi="Times New Roman"/>
                <w:sz w:val="16"/>
                <w:szCs w:val="16"/>
              </w:rPr>
            </w:pPr>
          </w:p>
        </w:tc>
      </w:tr>
      <w:tr w:rsidR="003815D1" w:rsidRPr="0050631D" w14:paraId="3EAB7836" w14:textId="77777777" w:rsidTr="00EA2FF2">
        <w:trPr>
          <w:trHeight w:val="204"/>
        </w:trPr>
        <w:tc>
          <w:tcPr>
            <w:tcW w:w="2977" w:type="dxa"/>
            <w:tcBorders>
              <w:top w:val="nil"/>
              <w:left w:val="nil"/>
              <w:bottom w:val="nil"/>
              <w:right w:val="nil"/>
            </w:tcBorders>
            <w:shd w:val="clear" w:color="auto" w:fill="auto"/>
            <w:vAlign w:val="bottom"/>
            <w:hideMark/>
          </w:tcPr>
          <w:p w14:paraId="29365AE3"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Departmental appropriation</w:t>
            </w:r>
          </w:p>
        </w:tc>
        <w:tc>
          <w:tcPr>
            <w:tcW w:w="992" w:type="dxa"/>
            <w:tcBorders>
              <w:top w:val="nil"/>
              <w:left w:val="nil"/>
              <w:bottom w:val="nil"/>
              <w:right w:val="nil"/>
            </w:tcBorders>
            <w:shd w:val="clear" w:color="auto" w:fill="auto"/>
            <w:noWrap/>
            <w:vAlign w:val="bottom"/>
            <w:hideMark/>
          </w:tcPr>
          <w:p w14:paraId="25498DE8" w14:textId="0CA9D767"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82,967 </w:t>
            </w:r>
          </w:p>
        </w:tc>
        <w:tc>
          <w:tcPr>
            <w:tcW w:w="928" w:type="dxa"/>
            <w:tcBorders>
              <w:top w:val="nil"/>
              <w:left w:val="nil"/>
              <w:bottom w:val="nil"/>
              <w:right w:val="nil"/>
            </w:tcBorders>
            <w:shd w:val="clear" w:color="auto" w:fill="E6E6E6"/>
            <w:noWrap/>
            <w:vAlign w:val="bottom"/>
            <w:hideMark/>
          </w:tcPr>
          <w:p w14:paraId="11D5D626" w14:textId="62AA47C8"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122,679 </w:t>
            </w:r>
          </w:p>
        </w:tc>
        <w:tc>
          <w:tcPr>
            <w:tcW w:w="821" w:type="dxa"/>
            <w:tcBorders>
              <w:top w:val="nil"/>
              <w:left w:val="nil"/>
              <w:bottom w:val="nil"/>
              <w:right w:val="nil"/>
            </w:tcBorders>
            <w:shd w:val="clear" w:color="auto" w:fill="auto"/>
            <w:noWrap/>
            <w:vAlign w:val="bottom"/>
            <w:hideMark/>
          </w:tcPr>
          <w:p w14:paraId="5385339D" w14:textId="7C10C1A4"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116,959 </w:t>
            </w:r>
          </w:p>
        </w:tc>
        <w:tc>
          <w:tcPr>
            <w:tcW w:w="966" w:type="dxa"/>
            <w:gridSpan w:val="2"/>
            <w:tcBorders>
              <w:top w:val="nil"/>
              <w:left w:val="nil"/>
              <w:bottom w:val="nil"/>
              <w:right w:val="nil"/>
            </w:tcBorders>
            <w:shd w:val="clear" w:color="auto" w:fill="auto"/>
            <w:noWrap/>
            <w:vAlign w:val="bottom"/>
            <w:hideMark/>
          </w:tcPr>
          <w:p w14:paraId="3819F6A3" w14:textId="5267590E"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99,813 </w:t>
            </w:r>
          </w:p>
        </w:tc>
        <w:tc>
          <w:tcPr>
            <w:tcW w:w="954" w:type="dxa"/>
            <w:gridSpan w:val="2"/>
            <w:tcBorders>
              <w:top w:val="nil"/>
              <w:left w:val="nil"/>
              <w:bottom w:val="nil"/>
              <w:right w:val="nil"/>
            </w:tcBorders>
            <w:shd w:val="clear" w:color="auto" w:fill="auto"/>
            <w:noWrap/>
            <w:vAlign w:val="bottom"/>
            <w:hideMark/>
          </w:tcPr>
          <w:p w14:paraId="57179492" w14:textId="0F5E3585"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87,964 </w:t>
            </w:r>
          </w:p>
        </w:tc>
      </w:tr>
      <w:tr w:rsidR="003815D1" w:rsidRPr="0050631D" w14:paraId="4B35E6B5" w14:textId="77777777" w:rsidTr="00EA2FF2">
        <w:trPr>
          <w:trHeight w:val="204"/>
        </w:trPr>
        <w:tc>
          <w:tcPr>
            <w:tcW w:w="2977" w:type="dxa"/>
            <w:tcBorders>
              <w:top w:val="nil"/>
              <w:left w:val="nil"/>
              <w:bottom w:val="nil"/>
              <w:right w:val="nil"/>
            </w:tcBorders>
            <w:shd w:val="clear" w:color="auto" w:fill="auto"/>
            <w:vAlign w:val="bottom"/>
            <w:hideMark/>
          </w:tcPr>
          <w:p w14:paraId="532F7AEB"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 xml:space="preserve">s74 external revenues </w:t>
            </w:r>
            <w:r w:rsidRPr="00EA2FF2">
              <w:rPr>
                <w:rFonts w:ascii="Arial" w:hAnsi="Arial" w:cs="Arial"/>
                <w:sz w:val="16"/>
                <w:szCs w:val="16"/>
                <w:vertAlign w:val="superscript"/>
              </w:rPr>
              <w:t>(e)</w:t>
            </w:r>
          </w:p>
        </w:tc>
        <w:tc>
          <w:tcPr>
            <w:tcW w:w="992" w:type="dxa"/>
            <w:tcBorders>
              <w:top w:val="nil"/>
              <w:left w:val="nil"/>
              <w:bottom w:val="nil"/>
              <w:right w:val="nil"/>
            </w:tcBorders>
            <w:shd w:val="clear" w:color="auto" w:fill="auto"/>
            <w:noWrap/>
            <w:vAlign w:val="bottom"/>
            <w:hideMark/>
          </w:tcPr>
          <w:p w14:paraId="5F8B7843" w14:textId="7AB60CDE"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5,934 </w:t>
            </w:r>
          </w:p>
        </w:tc>
        <w:tc>
          <w:tcPr>
            <w:tcW w:w="928" w:type="dxa"/>
            <w:tcBorders>
              <w:top w:val="nil"/>
              <w:left w:val="nil"/>
              <w:bottom w:val="nil"/>
              <w:right w:val="nil"/>
            </w:tcBorders>
            <w:shd w:val="clear" w:color="auto" w:fill="E6E6E6"/>
            <w:noWrap/>
            <w:vAlign w:val="bottom"/>
            <w:hideMark/>
          </w:tcPr>
          <w:p w14:paraId="04919BF4" w14:textId="0AD7546E"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3,249 </w:t>
            </w:r>
          </w:p>
        </w:tc>
        <w:tc>
          <w:tcPr>
            <w:tcW w:w="821" w:type="dxa"/>
            <w:tcBorders>
              <w:top w:val="nil"/>
              <w:left w:val="nil"/>
              <w:bottom w:val="nil"/>
              <w:right w:val="nil"/>
            </w:tcBorders>
            <w:shd w:val="clear" w:color="auto" w:fill="auto"/>
            <w:noWrap/>
            <w:vAlign w:val="bottom"/>
            <w:hideMark/>
          </w:tcPr>
          <w:p w14:paraId="61188B8C" w14:textId="7098CEF0"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3,075 </w:t>
            </w:r>
          </w:p>
        </w:tc>
        <w:tc>
          <w:tcPr>
            <w:tcW w:w="966" w:type="dxa"/>
            <w:gridSpan w:val="2"/>
            <w:tcBorders>
              <w:top w:val="nil"/>
              <w:left w:val="nil"/>
              <w:bottom w:val="nil"/>
              <w:right w:val="nil"/>
            </w:tcBorders>
            <w:shd w:val="clear" w:color="auto" w:fill="auto"/>
            <w:noWrap/>
            <w:vAlign w:val="bottom"/>
            <w:hideMark/>
          </w:tcPr>
          <w:p w14:paraId="05AE64A3" w14:textId="26696E94"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3,434 </w:t>
            </w:r>
          </w:p>
        </w:tc>
        <w:tc>
          <w:tcPr>
            <w:tcW w:w="954" w:type="dxa"/>
            <w:gridSpan w:val="2"/>
            <w:tcBorders>
              <w:top w:val="nil"/>
              <w:left w:val="nil"/>
              <w:bottom w:val="nil"/>
              <w:right w:val="nil"/>
            </w:tcBorders>
            <w:shd w:val="clear" w:color="auto" w:fill="auto"/>
            <w:noWrap/>
            <w:vAlign w:val="bottom"/>
            <w:hideMark/>
          </w:tcPr>
          <w:p w14:paraId="0E576E7A" w14:textId="366448D7"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3,434 </w:t>
            </w:r>
          </w:p>
        </w:tc>
      </w:tr>
      <w:tr w:rsidR="003815D1" w:rsidRPr="00CF4B58" w14:paraId="5E8BD5E3" w14:textId="77777777" w:rsidTr="00EA2FF2">
        <w:trPr>
          <w:trHeight w:val="204"/>
        </w:trPr>
        <w:tc>
          <w:tcPr>
            <w:tcW w:w="2977" w:type="dxa"/>
            <w:tcBorders>
              <w:top w:val="nil"/>
              <w:left w:val="nil"/>
              <w:bottom w:val="nil"/>
              <w:right w:val="nil"/>
            </w:tcBorders>
            <w:shd w:val="clear" w:color="auto" w:fill="auto"/>
            <w:vAlign w:val="bottom"/>
            <w:hideMark/>
          </w:tcPr>
          <w:p w14:paraId="6DE083EB"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 xml:space="preserve">Expenses not requiring appropriation in the Budget year </w:t>
            </w:r>
            <w:r w:rsidRPr="00EA2FF2">
              <w:rPr>
                <w:rFonts w:ascii="Arial" w:hAnsi="Arial" w:cs="Arial"/>
                <w:sz w:val="16"/>
                <w:szCs w:val="16"/>
                <w:vertAlign w:val="superscript"/>
              </w:rPr>
              <w:t>(f)</w:t>
            </w:r>
          </w:p>
        </w:tc>
        <w:tc>
          <w:tcPr>
            <w:tcW w:w="992" w:type="dxa"/>
            <w:tcBorders>
              <w:top w:val="nil"/>
              <w:left w:val="nil"/>
              <w:bottom w:val="nil"/>
              <w:right w:val="nil"/>
            </w:tcBorders>
            <w:shd w:val="clear" w:color="auto" w:fill="auto"/>
            <w:noWrap/>
            <w:vAlign w:val="bottom"/>
            <w:hideMark/>
          </w:tcPr>
          <w:p w14:paraId="5931CA3A" w14:textId="2159A652"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8,670 </w:t>
            </w:r>
          </w:p>
        </w:tc>
        <w:tc>
          <w:tcPr>
            <w:tcW w:w="928" w:type="dxa"/>
            <w:tcBorders>
              <w:top w:val="nil"/>
              <w:left w:val="nil"/>
              <w:bottom w:val="nil"/>
              <w:right w:val="nil"/>
            </w:tcBorders>
            <w:shd w:val="clear" w:color="auto" w:fill="E6E6E6"/>
            <w:noWrap/>
            <w:vAlign w:val="bottom"/>
            <w:hideMark/>
          </w:tcPr>
          <w:p w14:paraId="6627F6A6" w14:textId="6436C404"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2,698 </w:t>
            </w:r>
          </w:p>
        </w:tc>
        <w:tc>
          <w:tcPr>
            <w:tcW w:w="821" w:type="dxa"/>
            <w:tcBorders>
              <w:top w:val="nil"/>
              <w:left w:val="nil"/>
              <w:bottom w:val="nil"/>
              <w:right w:val="nil"/>
            </w:tcBorders>
            <w:shd w:val="clear" w:color="auto" w:fill="auto"/>
            <w:noWrap/>
            <w:vAlign w:val="bottom"/>
            <w:hideMark/>
          </w:tcPr>
          <w:p w14:paraId="262E2782" w14:textId="4B38F1F5"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2,525 </w:t>
            </w:r>
          </w:p>
        </w:tc>
        <w:tc>
          <w:tcPr>
            <w:tcW w:w="966" w:type="dxa"/>
            <w:gridSpan w:val="2"/>
            <w:tcBorders>
              <w:top w:val="nil"/>
              <w:left w:val="nil"/>
              <w:bottom w:val="nil"/>
              <w:right w:val="nil"/>
            </w:tcBorders>
            <w:shd w:val="clear" w:color="auto" w:fill="auto"/>
            <w:noWrap/>
            <w:vAlign w:val="bottom"/>
            <w:hideMark/>
          </w:tcPr>
          <w:p w14:paraId="53AE5A9A" w14:textId="3F02E6B8"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2,457 </w:t>
            </w:r>
          </w:p>
        </w:tc>
        <w:tc>
          <w:tcPr>
            <w:tcW w:w="954" w:type="dxa"/>
            <w:gridSpan w:val="2"/>
            <w:tcBorders>
              <w:top w:val="nil"/>
              <w:left w:val="nil"/>
              <w:bottom w:val="nil"/>
              <w:right w:val="nil"/>
            </w:tcBorders>
            <w:shd w:val="clear" w:color="auto" w:fill="auto"/>
            <w:noWrap/>
            <w:vAlign w:val="bottom"/>
            <w:hideMark/>
          </w:tcPr>
          <w:p w14:paraId="62D69E82" w14:textId="317CAB88"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2,691 </w:t>
            </w:r>
          </w:p>
        </w:tc>
      </w:tr>
      <w:tr w:rsidR="003815D1" w:rsidRPr="00CF4B58" w14:paraId="61D30129" w14:textId="77777777" w:rsidTr="00EA2FF2">
        <w:trPr>
          <w:trHeight w:val="204"/>
        </w:trPr>
        <w:tc>
          <w:tcPr>
            <w:tcW w:w="2977" w:type="dxa"/>
            <w:tcBorders>
              <w:top w:val="nil"/>
              <w:left w:val="nil"/>
              <w:bottom w:val="nil"/>
              <w:right w:val="nil"/>
            </w:tcBorders>
            <w:shd w:val="clear" w:color="auto" w:fill="auto"/>
            <w:noWrap/>
            <w:vAlign w:val="bottom"/>
            <w:hideMark/>
          </w:tcPr>
          <w:p w14:paraId="35995E8D" w14:textId="77777777" w:rsidR="003815D1" w:rsidRPr="00EA2FF2" w:rsidRDefault="003815D1" w:rsidP="003815D1">
            <w:pPr>
              <w:spacing w:after="0" w:line="240" w:lineRule="auto"/>
              <w:jc w:val="left"/>
              <w:rPr>
                <w:rFonts w:ascii="Arial" w:hAnsi="Arial" w:cs="Arial"/>
                <w:b/>
                <w:bCs/>
                <w:sz w:val="16"/>
                <w:szCs w:val="16"/>
              </w:rPr>
            </w:pPr>
            <w:r w:rsidRPr="00EA2FF2">
              <w:rPr>
                <w:rFonts w:ascii="Arial" w:hAnsi="Arial" w:cs="Arial"/>
                <w:b/>
                <w:bCs/>
                <w:sz w:val="16"/>
                <w:szCs w:val="16"/>
              </w:rPr>
              <w:t>Total expenses for Program 2.4</w:t>
            </w:r>
          </w:p>
        </w:tc>
        <w:tc>
          <w:tcPr>
            <w:tcW w:w="992" w:type="dxa"/>
            <w:tcBorders>
              <w:top w:val="single" w:sz="4" w:space="0" w:color="auto"/>
              <w:left w:val="nil"/>
              <w:bottom w:val="single" w:sz="4" w:space="0" w:color="auto"/>
              <w:right w:val="nil"/>
            </w:tcBorders>
            <w:shd w:val="clear" w:color="auto" w:fill="auto"/>
            <w:noWrap/>
            <w:vAlign w:val="bottom"/>
            <w:hideMark/>
          </w:tcPr>
          <w:p w14:paraId="57CD0F14" w14:textId="5ADEA4AB"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97,571 </w:t>
            </w:r>
          </w:p>
        </w:tc>
        <w:tc>
          <w:tcPr>
            <w:tcW w:w="928" w:type="dxa"/>
            <w:tcBorders>
              <w:top w:val="single" w:sz="4" w:space="0" w:color="auto"/>
              <w:left w:val="nil"/>
              <w:bottom w:val="single" w:sz="4" w:space="0" w:color="auto"/>
              <w:right w:val="nil"/>
            </w:tcBorders>
            <w:shd w:val="clear" w:color="auto" w:fill="E6E6E6"/>
            <w:noWrap/>
            <w:vAlign w:val="bottom"/>
            <w:hideMark/>
          </w:tcPr>
          <w:p w14:paraId="70C85385" w14:textId="41B9AB67"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128,626 </w:t>
            </w:r>
          </w:p>
        </w:tc>
        <w:tc>
          <w:tcPr>
            <w:tcW w:w="821" w:type="dxa"/>
            <w:tcBorders>
              <w:top w:val="single" w:sz="4" w:space="0" w:color="auto"/>
              <w:left w:val="nil"/>
              <w:bottom w:val="single" w:sz="4" w:space="0" w:color="auto"/>
              <w:right w:val="nil"/>
            </w:tcBorders>
            <w:shd w:val="clear" w:color="auto" w:fill="auto"/>
            <w:noWrap/>
            <w:vAlign w:val="bottom"/>
            <w:hideMark/>
          </w:tcPr>
          <w:p w14:paraId="50390CAD" w14:textId="68F78C21"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122,559 </w:t>
            </w:r>
          </w:p>
        </w:tc>
        <w:tc>
          <w:tcPr>
            <w:tcW w:w="966" w:type="dxa"/>
            <w:gridSpan w:val="2"/>
            <w:tcBorders>
              <w:top w:val="single" w:sz="4" w:space="0" w:color="auto"/>
              <w:left w:val="nil"/>
              <w:bottom w:val="single" w:sz="4" w:space="0" w:color="auto"/>
              <w:right w:val="nil"/>
            </w:tcBorders>
            <w:shd w:val="clear" w:color="auto" w:fill="auto"/>
            <w:noWrap/>
            <w:vAlign w:val="bottom"/>
            <w:hideMark/>
          </w:tcPr>
          <w:p w14:paraId="37A83053" w14:textId="3B5ABE2E"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105,704 </w:t>
            </w:r>
          </w:p>
        </w:tc>
        <w:tc>
          <w:tcPr>
            <w:tcW w:w="954" w:type="dxa"/>
            <w:gridSpan w:val="2"/>
            <w:tcBorders>
              <w:top w:val="single" w:sz="4" w:space="0" w:color="auto"/>
              <w:left w:val="nil"/>
              <w:bottom w:val="single" w:sz="4" w:space="0" w:color="auto"/>
              <w:right w:val="nil"/>
            </w:tcBorders>
            <w:shd w:val="clear" w:color="auto" w:fill="auto"/>
            <w:noWrap/>
            <w:vAlign w:val="bottom"/>
            <w:hideMark/>
          </w:tcPr>
          <w:p w14:paraId="4A52B412" w14:textId="3988AC96"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94,089 </w:t>
            </w:r>
          </w:p>
        </w:tc>
      </w:tr>
      <w:tr w:rsidR="00EA2FF2" w:rsidRPr="00CF4B58" w14:paraId="0BEACE84" w14:textId="77777777" w:rsidTr="00C55547">
        <w:trPr>
          <w:trHeight w:val="225"/>
        </w:trPr>
        <w:tc>
          <w:tcPr>
            <w:tcW w:w="7638" w:type="dxa"/>
            <w:gridSpan w:val="8"/>
            <w:tcBorders>
              <w:top w:val="single" w:sz="4" w:space="0" w:color="auto"/>
              <w:left w:val="nil"/>
              <w:bottom w:val="single" w:sz="4" w:space="0" w:color="auto"/>
              <w:right w:val="nil"/>
            </w:tcBorders>
            <w:shd w:val="clear" w:color="000000" w:fill="E6E6E6"/>
            <w:noWrap/>
            <w:hideMark/>
          </w:tcPr>
          <w:p w14:paraId="2524B2C4" w14:textId="656F5901" w:rsidR="00EA2FF2" w:rsidRPr="00CF4B58" w:rsidRDefault="00EA2FF2" w:rsidP="00EA2FF2">
            <w:pPr>
              <w:spacing w:after="0" w:line="240" w:lineRule="auto"/>
              <w:jc w:val="left"/>
              <w:rPr>
                <w:rFonts w:ascii="Arial" w:hAnsi="Arial" w:cs="Arial"/>
                <w:sz w:val="16"/>
                <w:szCs w:val="16"/>
              </w:rPr>
            </w:pPr>
            <w:r w:rsidRPr="00CF4B58">
              <w:rPr>
                <w:rFonts w:ascii="Arial" w:hAnsi="Arial" w:cs="Arial"/>
                <w:b/>
                <w:bCs/>
                <w:sz w:val="16"/>
                <w:szCs w:val="16"/>
              </w:rPr>
              <w:t>Outcome 2 Totals by appropriation type</w:t>
            </w:r>
            <w:r w:rsidRPr="00CF4B58">
              <w:rPr>
                <w:rFonts w:ascii="Arial" w:hAnsi="Arial" w:cs="Arial"/>
                <w:sz w:val="16"/>
                <w:szCs w:val="16"/>
              </w:rPr>
              <w:t> </w:t>
            </w:r>
          </w:p>
        </w:tc>
      </w:tr>
      <w:tr w:rsidR="00CF4B58" w:rsidRPr="00CF4B58" w14:paraId="538C94D0" w14:textId="77777777" w:rsidTr="00EA2FF2">
        <w:trPr>
          <w:trHeight w:val="204"/>
        </w:trPr>
        <w:tc>
          <w:tcPr>
            <w:tcW w:w="2977" w:type="dxa"/>
            <w:tcBorders>
              <w:top w:val="nil"/>
              <w:left w:val="nil"/>
              <w:bottom w:val="nil"/>
              <w:right w:val="nil"/>
            </w:tcBorders>
            <w:shd w:val="clear" w:color="auto" w:fill="auto"/>
            <w:noWrap/>
            <w:vAlign w:val="bottom"/>
            <w:hideMark/>
          </w:tcPr>
          <w:p w14:paraId="4CB9E1BD" w14:textId="77777777" w:rsidR="00CF4B58" w:rsidRPr="00EA2FF2" w:rsidRDefault="00CF4B58" w:rsidP="00CF4B58">
            <w:pPr>
              <w:spacing w:after="0" w:line="240" w:lineRule="auto"/>
              <w:jc w:val="left"/>
              <w:rPr>
                <w:rFonts w:ascii="Arial" w:hAnsi="Arial" w:cs="Arial"/>
                <w:sz w:val="16"/>
                <w:szCs w:val="16"/>
              </w:rPr>
            </w:pPr>
            <w:r w:rsidRPr="00EA2FF2">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1215DECA" w14:textId="77777777" w:rsidR="00CF4B58" w:rsidRPr="00EA2FF2" w:rsidRDefault="00CF4B58" w:rsidP="006D28FE">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6C1097AA" w14:textId="1F25239C" w:rsidR="00CF4B58" w:rsidRPr="00EA2FF2" w:rsidRDefault="00CF4B58" w:rsidP="006D28FE">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3973C02" w14:textId="77777777" w:rsidR="00CF4B58" w:rsidRPr="00EA2FF2" w:rsidRDefault="00CF4B58" w:rsidP="006D28FE">
            <w:pPr>
              <w:spacing w:after="0" w:line="240" w:lineRule="auto"/>
              <w:jc w:val="right"/>
              <w:rPr>
                <w:rFonts w:ascii="Arial" w:hAnsi="Arial" w:cs="Arial"/>
                <w:sz w:val="16"/>
                <w:szCs w:val="16"/>
              </w:rPr>
            </w:pPr>
          </w:p>
        </w:tc>
        <w:tc>
          <w:tcPr>
            <w:tcW w:w="966" w:type="dxa"/>
            <w:gridSpan w:val="2"/>
            <w:tcBorders>
              <w:top w:val="nil"/>
              <w:left w:val="nil"/>
              <w:bottom w:val="nil"/>
              <w:right w:val="nil"/>
            </w:tcBorders>
            <w:shd w:val="clear" w:color="auto" w:fill="auto"/>
            <w:noWrap/>
            <w:vAlign w:val="bottom"/>
            <w:hideMark/>
          </w:tcPr>
          <w:p w14:paraId="6BE5FE41" w14:textId="77777777" w:rsidR="00CF4B58" w:rsidRPr="00EA2FF2" w:rsidRDefault="00CF4B58" w:rsidP="006D28FE">
            <w:pPr>
              <w:spacing w:after="0" w:line="240" w:lineRule="auto"/>
              <w:jc w:val="right"/>
              <w:rPr>
                <w:rFonts w:ascii="Times New Roman" w:hAnsi="Times New Roman"/>
                <w:sz w:val="16"/>
                <w:szCs w:val="16"/>
              </w:rPr>
            </w:pPr>
          </w:p>
        </w:tc>
        <w:tc>
          <w:tcPr>
            <w:tcW w:w="954" w:type="dxa"/>
            <w:gridSpan w:val="2"/>
            <w:tcBorders>
              <w:top w:val="nil"/>
              <w:left w:val="nil"/>
              <w:bottom w:val="nil"/>
              <w:right w:val="nil"/>
            </w:tcBorders>
            <w:shd w:val="clear" w:color="auto" w:fill="auto"/>
            <w:noWrap/>
            <w:vAlign w:val="bottom"/>
            <w:hideMark/>
          </w:tcPr>
          <w:p w14:paraId="7157E22C" w14:textId="77777777" w:rsidR="00CF4B58" w:rsidRPr="00EA2FF2" w:rsidRDefault="00CF4B58" w:rsidP="006D28FE">
            <w:pPr>
              <w:spacing w:after="0" w:line="240" w:lineRule="auto"/>
              <w:jc w:val="right"/>
              <w:rPr>
                <w:rFonts w:ascii="Times New Roman" w:hAnsi="Times New Roman"/>
                <w:sz w:val="16"/>
                <w:szCs w:val="16"/>
              </w:rPr>
            </w:pPr>
          </w:p>
        </w:tc>
      </w:tr>
      <w:tr w:rsidR="003815D1" w:rsidRPr="00CF4B58" w14:paraId="728B91A4" w14:textId="77777777" w:rsidTr="00EA2FF2">
        <w:trPr>
          <w:trHeight w:val="204"/>
        </w:trPr>
        <w:tc>
          <w:tcPr>
            <w:tcW w:w="2977" w:type="dxa"/>
            <w:tcBorders>
              <w:top w:val="nil"/>
              <w:left w:val="nil"/>
              <w:bottom w:val="nil"/>
              <w:right w:val="nil"/>
            </w:tcBorders>
            <w:shd w:val="clear" w:color="auto" w:fill="auto"/>
            <w:vAlign w:val="bottom"/>
            <w:hideMark/>
          </w:tcPr>
          <w:p w14:paraId="5335DFE1" w14:textId="2889E80C"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Ordinary Annual Services (Appropriation Act No. 1 and Bill No.</w:t>
            </w:r>
            <w:r>
              <w:rPr>
                <w:rFonts w:ascii="Arial" w:hAnsi="Arial" w:cs="Arial"/>
                <w:sz w:val="16"/>
                <w:szCs w:val="16"/>
              </w:rPr>
              <w:t> </w:t>
            </w:r>
            <w:r w:rsidRPr="00EA2FF2">
              <w:rPr>
                <w:rFonts w:ascii="Arial" w:hAnsi="Arial" w:cs="Arial"/>
                <w:sz w:val="16"/>
                <w:szCs w:val="16"/>
              </w:rPr>
              <w:t>3)</w:t>
            </w:r>
          </w:p>
        </w:tc>
        <w:tc>
          <w:tcPr>
            <w:tcW w:w="992" w:type="dxa"/>
            <w:tcBorders>
              <w:top w:val="nil"/>
              <w:left w:val="nil"/>
              <w:bottom w:val="nil"/>
              <w:right w:val="nil"/>
            </w:tcBorders>
            <w:shd w:val="clear" w:color="auto" w:fill="auto"/>
            <w:noWrap/>
            <w:vAlign w:val="bottom"/>
            <w:hideMark/>
          </w:tcPr>
          <w:p w14:paraId="54DA9F4B" w14:textId="16328EE3"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1,943,397 </w:t>
            </w:r>
          </w:p>
        </w:tc>
        <w:tc>
          <w:tcPr>
            <w:tcW w:w="928" w:type="dxa"/>
            <w:tcBorders>
              <w:top w:val="nil"/>
              <w:left w:val="nil"/>
              <w:bottom w:val="nil"/>
              <w:right w:val="nil"/>
            </w:tcBorders>
            <w:shd w:val="clear" w:color="000000" w:fill="E6E6E6"/>
            <w:noWrap/>
            <w:vAlign w:val="bottom"/>
            <w:hideMark/>
          </w:tcPr>
          <w:p w14:paraId="621DD0F1" w14:textId="1D92DFF3"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1,065,457 </w:t>
            </w:r>
          </w:p>
        </w:tc>
        <w:tc>
          <w:tcPr>
            <w:tcW w:w="821" w:type="dxa"/>
            <w:tcBorders>
              <w:top w:val="nil"/>
              <w:left w:val="nil"/>
              <w:bottom w:val="nil"/>
              <w:right w:val="nil"/>
            </w:tcBorders>
            <w:shd w:val="clear" w:color="auto" w:fill="auto"/>
            <w:noWrap/>
            <w:vAlign w:val="bottom"/>
            <w:hideMark/>
          </w:tcPr>
          <w:p w14:paraId="2CE59F71" w14:textId="4EEA1649"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384,518 </w:t>
            </w:r>
          </w:p>
        </w:tc>
        <w:tc>
          <w:tcPr>
            <w:tcW w:w="966" w:type="dxa"/>
            <w:gridSpan w:val="2"/>
            <w:tcBorders>
              <w:top w:val="nil"/>
              <w:left w:val="nil"/>
              <w:bottom w:val="nil"/>
              <w:right w:val="nil"/>
            </w:tcBorders>
            <w:shd w:val="clear" w:color="auto" w:fill="auto"/>
            <w:noWrap/>
            <w:vAlign w:val="bottom"/>
            <w:hideMark/>
          </w:tcPr>
          <w:p w14:paraId="00228F7E" w14:textId="2B5FD322"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300,107 </w:t>
            </w:r>
          </w:p>
        </w:tc>
        <w:tc>
          <w:tcPr>
            <w:tcW w:w="954" w:type="dxa"/>
            <w:gridSpan w:val="2"/>
            <w:tcBorders>
              <w:top w:val="nil"/>
              <w:left w:val="nil"/>
              <w:bottom w:val="nil"/>
              <w:right w:val="nil"/>
            </w:tcBorders>
            <w:shd w:val="clear" w:color="auto" w:fill="auto"/>
            <w:noWrap/>
            <w:vAlign w:val="bottom"/>
            <w:hideMark/>
          </w:tcPr>
          <w:p w14:paraId="48E7754B" w14:textId="508F2C41"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285,780 </w:t>
            </w:r>
          </w:p>
        </w:tc>
      </w:tr>
      <w:tr w:rsidR="003815D1" w:rsidRPr="00CF4B58" w14:paraId="033F4EDA" w14:textId="77777777" w:rsidTr="00EA2FF2">
        <w:trPr>
          <w:trHeight w:val="204"/>
        </w:trPr>
        <w:tc>
          <w:tcPr>
            <w:tcW w:w="2977" w:type="dxa"/>
            <w:tcBorders>
              <w:top w:val="nil"/>
              <w:left w:val="nil"/>
              <w:bottom w:val="nil"/>
              <w:right w:val="nil"/>
            </w:tcBorders>
            <w:shd w:val="clear" w:color="auto" w:fill="auto"/>
            <w:vAlign w:val="bottom"/>
            <w:hideMark/>
          </w:tcPr>
          <w:p w14:paraId="6F5F2F2B"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Special Appropriation</w:t>
            </w:r>
          </w:p>
        </w:tc>
        <w:tc>
          <w:tcPr>
            <w:tcW w:w="992" w:type="dxa"/>
            <w:tcBorders>
              <w:top w:val="nil"/>
              <w:left w:val="nil"/>
              <w:bottom w:val="nil"/>
              <w:right w:val="nil"/>
            </w:tcBorders>
            <w:shd w:val="clear" w:color="auto" w:fill="auto"/>
            <w:noWrap/>
            <w:vAlign w:val="bottom"/>
            <w:hideMark/>
          </w:tcPr>
          <w:p w14:paraId="31A188B9" w14:textId="14B999C8"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332,931 </w:t>
            </w:r>
          </w:p>
        </w:tc>
        <w:tc>
          <w:tcPr>
            <w:tcW w:w="928" w:type="dxa"/>
            <w:tcBorders>
              <w:top w:val="nil"/>
              <w:left w:val="nil"/>
              <w:bottom w:val="nil"/>
              <w:right w:val="nil"/>
            </w:tcBorders>
            <w:shd w:val="clear" w:color="000000" w:fill="E6E6E6"/>
            <w:noWrap/>
            <w:vAlign w:val="bottom"/>
            <w:hideMark/>
          </w:tcPr>
          <w:p w14:paraId="1D06DDAD" w14:textId="42863E7D"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213,100 </w:t>
            </w:r>
          </w:p>
        </w:tc>
        <w:tc>
          <w:tcPr>
            <w:tcW w:w="821" w:type="dxa"/>
            <w:tcBorders>
              <w:top w:val="nil"/>
              <w:left w:val="nil"/>
              <w:bottom w:val="nil"/>
              <w:right w:val="nil"/>
            </w:tcBorders>
            <w:shd w:val="clear" w:color="auto" w:fill="auto"/>
            <w:noWrap/>
            <w:vAlign w:val="bottom"/>
            <w:hideMark/>
          </w:tcPr>
          <w:p w14:paraId="2B72FFBB" w14:textId="3E44BEA6"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247,264 </w:t>
            </w:r>
          </w:p>
        </w:tc>
        <w:tc>
          <w:tcPr>
            <w:tcW w:w="966" w:type="dxa"/>
            <w:gridSpan w:val="2"/>
            <w:tcBorders>
              <w:top w:val="nil"/>
              <w:left w:val="nil"/>
              <w:bottom w:val="nil"/>
              <w:right w:val="nil"/>
            </w:tcBorders>
            <w:shd w:val="clear" w:color="auto" w:fill="auto"/>
            <w:noWrap/>
            <w:vAlign w:val="bottom"/>
            <w:hideMark/>
          </w:tcPr>
          <w:p w14:paraId="75C96027" w14:textId="752F794E"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253,575 </w:t>
            </w:r>
          </w:p>
        </w:tc>
        <w:tc>
          <w:tcPr>
            <w:tcW w:w="954" w:type="dxa"/>
            <w:gridSpan w:val="2"/>
            <w:tcBorders>
              <w:top w:val="nil"/>
              <w:left w:val="nil"/>
              <w:bottom w:val="nil"/>
              <w:right w:val="nil"/>
            </w:tcBorders>
            <w:shd w:val="clear" w:color="auto" w:fill="auto"/>
            <w:noWrap/>
            <w:vAlign w:val="bottom"/>
            <w:hideMark/>
          </w:tcPr>
          <w:p w14:paraId="497AB35A" w14:textId="6F6A9831"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260,005 </w:t>
            </w:r>
          </w:p>
        </w:tc>
      </w:tr>
      <w:tr w:rsidR="003815D1" w:rsidRPr="00CF4B58" w14:paraId="5C6201FF" w14:textId="77777777" w:rsidTr="00EA2FF2">
        <w:trPr>
          <w:trHeight w:val="204"/>
        </w:trPr>
        <w:tc>
          <w:tcPr>
            <w:tcW w:w="2977" w:type="dxa"/>
            <w:tcBorders>
              <w:top w:val="nil"/>
              <w:left w:val="nil"/>
              <w:bottom w:val="nil"/>
              <w:right w:val="nil"/>
            </w:tcBorders>
            <w:shd w:val="clear" w:color="auto" w:fill="auto"/>
            <w:noWrap/>
            <w:vAlign w:val="bottom"/>
            <w:hideMark/>
          </w:tcPr>
          <w:p w14:paraId="2EC0BBCA"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Special Accounts</w:t>
            </w:r>
          </w:p>
        </w:tc>
        <w:tc>
          <w:tcPr>
            <w:tcW w:w="992" w:type="dxa"/>
            <w:tcBorders>
              <w:top w:val="nil"/>
              <w:left w:val="nil"/>
              <w:bottom w:val="nil"/>
              <w:right w:val="nil"/>
            </w:tcBorders>
            <w:shd w:val="clear" w:color="auto" w:fill="auto"/>
            <w:noWrap/>
            <w:vAlign w:val="bottom"/>
            <w:hideMark/>
          </w:tcPr>
          <w:p w14:paraId="32F10FE0" w14:textId="0A6A73B3"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64FAC689" w14:textId="6759C55A"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14:paraId="039F5E86" w14:textId="481D6DFF"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66" w:type="dxa"/>
            <w:gridSpan w:val="2"/>
            <w:tcBorders>
              <w:top w:val="nil"/>
              <w:left w:val="nil"/>
              <w:bottom w:val="nil"/>
              <w:right w:val="nil"/>
            </w:tcBorders>
            <w:shd w:val="clear" w:color="auto" w:fill="auto"/>
            <w:noWrap/>
            <w:vAlign w:val="bottom"/>
            <w:hideMark/>
          </w:tcPr>
          <w:p w14:paraId="13F9EB9C" w14:textId="3B468E83"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954" w:type="dxa"/>
            <w:gridSpan w:val="2"/>
            <w:tcBorders>
              <w:top w:val="nil"/>
              <w:left w:val="nil"/>
              <w:bottom w:val="nil"/>
              <w:right w:val="nil"/>
            </w:tcBorders>
            <w:shd w:val="clear" w:color="auto" w:fill="auto"/>
            <w:noWrap/>
            <w:vAlign w:val="bottom"/>
            <w:hideMark/>
          </w:tcPr>
          <w:p w14:paraId="75D08A99" w14:textId="5AB542A6"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CF4B58" w14:paraId="4E2DD611" w14:textId="77777777" w:rsidTr="00EA2FF2">
        <w:trPr>
          <w:trHeight w:val="204"/>
        </w:trPr>
        <w:tc>
          <w:tcPr>
            <w:tcW w:w="2977" w:type="dxa"/>
            <w:tcBorders>
              <w:top w:val="nil"/>
              <w:left w:val="nil"/>
              <w:bottom w:val="nil"/>
              <w:right w:val="nil"/>
            </w:tcBorders>
            <w:shd w:val="clear" w:color="auto" w:fill="auto"/>
            <w:vAlign w:val="bottom"/>
            <w:hideMark/>
          </w:tcPr>
          <w:p w14:paraId="36F37B90"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 xml:space="preserve">Payments to corporate entities </w:t>
            </w:r>
            <w:r w:rsidRPr="00EA2FF2">
              <w:rPr>
                <w:rFonts w:ascii="Arial" w:hAnsi="Arial" w:cs="Arial"/>
                <w:sz w:val="16"/>
                <w:szCs w:val="16"/>
                <w:vertAlign w:val="superscript"/>
              </w:rPr>
              <w:t>(b)</w:t>
            </w:r>
          </w:p>
        </w:tc>
        <w:tc>
          <w:tcPr>
            <w:tcW w:w="992" w:type="dxa"/>
            <w:tcBorders>
              <w:top w:val="nil"/>
              <w:left w:val="nil"/>
              <w:bottom w:val="nil"/>
              <w:right w:val="nil"/>
            </w:tcBorders>
            <w:shd w:val="clear" w:color="auto" w:fill="auto"/>
            <w:noWrap/>
            <w:vAlign w:val="bottom"/>
            <w:hideMark/>
          </w:tcPr>
          <w:p w14:paraId="35D81AAE" w14:textId="5D28162D"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216,625 </w:t>
            </w:r>
          </w:p>
        </w:tc>
        <w:tc>
          <w:tcPr>
            <w:tcW w:w="928" w:type="dxa"/>
            <w:tcBorders>
              <w:top w:val="nil"/>
              <w:left w:val="nil"/>
              <w:bottom w:val="nil"/>
              <w:right w:val="nil"/>
            </w:tcBorders>
            <w:shd w:val="clear" w:color="000000" w:fill="E6E6E6"/>
            <w:noWrap/>
            <w:vAlign w:val="bottom"/>
            <w:hideMark/>
          </w:tcPr>
          <w:p w14:paraId="3E84571C" w14:textId="025C6B63"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214,348 </w:t>
            </w:r>
          </w:p>
        </w:tc>
        <w:tc>
          <w:tcPr>
            <w:tcW w:w="821" w:type="dxa"/>
            <w:tcBorders>
              <w:top w:val="nil"/>
              <w:left w:val="nil"/>
              <w:bottom w:val="nil"/>
              <w:right w:val="nil"/>
            </w:tcBorders>
            <w:shd w:val="clear" w:color="auto" w:fill="auto"/>
            <w:noWrap/>
            <w:vAlign w:val="bottom"/>
            <w:hideMark/>
          </w:tcPr>
          <w:p w14:paraId="760E951A" w14:textId="74AD4C9A"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159,178 </w:t>
            </w:r>
          </w:p>
        </w:tc>
        <w:tc>
          <w:tcPr>
            <w:tcW w:w="966" w:type="dxa"/>
            <w:gridSpan w:val="2"/>
            <w:tcBorders>
              <w:top w:val="nil"/>
              <w:left w:val="nil"/>
              <w:bottom w:val="nil"/>
              <w:right w:val="nil"/>
            </w:tcBorders>
            <w:shd w:val="clear" w:color="auto" w:fill="auto"/>
            <w:noWrap/>
            <w:vAlign w:val="bottom"/>
            <w:hideMark/>
          </w:tcPr>
          <w:p w14:paraId="287AEEAC" w14:textId="123BA02D"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158,049 </w:t>
            </w:r>
          </w:p>
        </w:tc>
        <w:tc>
          <w:tcPr>
            <w:tcW w:w="954" w:type="dxa"/>
            <w:gridSpan w:val="2"/>
            <w:tcBorders>
              <w:top w:val="nil"/>
              <w:left w:val="nil"/>
              <w:bottom w:val="nil"/>
              <w:right w:val="nil"/>
            </w:tcBorders>
            <w:shd w:val="clear" w:color="auto" w:fill="auto"/>
            <w:noWrap/>
            <w:vAlign w:val="bottom"/>
            <w:hideMark/>
          </w:tcPr>
          <w:p w14:paraId="0F230970" w14:textId="08A2CC76"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126,645 </w:t>
            </w:r>
          </w:p>
        </w:tc>
      </w:tr>
      <w:tr w:rsidR="003815D1" w:rsidRPr="00CF4B58" w14:paraId="7F627165" w14:textId="77777777" w:rsidTr="00EA2FF2">
        <w:trPr>
          <w:trHeight w:val="204"/>
        </w:trPr>
        <w:tc>
          <w:tcPr>
            <w:tcW w:w="2977" w:type="dxa"/>
            <w:tcBorders>
              <w:top w:val="nil"/>
              <w:left w:val="nil"/>
              <w:bottom w:val="nil"/>
              <w:right w:val="nil"/>
            </w:tcBorders>
            <w:shd w:val="clear" w:color="auto" w:fill="auto"/>
            <w:vAlign w:val="bottom"/>
            <w:hideMark/>
          </w:tcPr>
          <w:p w14:paraId="4F7A35D9"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 xml:space="preserve">Expenses not requiring appropriation in the Budget year </w:t>
            </w:r>
            <w:r w:rsidRPr="00EA2FF2">
              <w:rPr>
                <w:rFonts w:ascii="Arial" w:hAnsi="Arial" w:cs="Arial"/>
                <w:sz w:val="16"/>
                <w:szCs w:val="16"/>
                <w:vertAlign w:val="superscript"/>
              </w:rPr>
              <w:t>(c)</w:t>
            </w:r>
            <w:r w:rsidRPr="00EA2FF2">
              <w:rPr>
                <w:rFonts w:ascii="Arial" w:hAnsi="Arial" w:cs="Arial"/>
                <w:sz w:val="16"/>
                <w:szCs w:val="16"/>
              </w:rPr>
              <w:t xml:space="preserve"> </w:t>
            </w:r>
          </w:p>
        </w:tc>
        <w:tc>
          <w:tcPr>
            <w:tcW w:w="992" w:type="dxa"/>
            <w:tcBorders>
              <w:top w:val="nil"/>
              <w:left w:val="nil"/>
              <w:bottom w:val="nil"/>
              <w:right w:val="nil"/>
            </w:tcBorders>
            <w:shd w:val="clear" w:color="auto" w:fill="auto"/>
            <w:noWrap/>
            <w:vAlign w:val="bottom"/>
            <w:hideMark/>
          </w:tcPr>
          <w:p w14:paraId="1E70A059" w14:textId="21914500"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123,968 </w:t>
            </w:r>
          </w:p>
        </w:tc>
        <w:tc>
          <w:tcPr>
            <w:tcW w:w="928" w:type="dxa"/>
            <w:tcBorders>
              <w:top w:val="nil"/>
              <w:left w:val="nil"/>
              <w:bottom w:val="nil"/>
              <w:right w:val="nil"/>
            </w:tcBorders>
            <w:shd w:val="clear" w:color="auto" w:fill="E6E6E6"/>
            <w:noWrap/>
            <w:vAlign w:val="bottom"/>
            <w:hideMark/>
          </w:tcPr>
          <w:p w14:paraId="61C439FE" w14:textId="6973554A"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192,574 </w:t>
            </w:r>
          </w:p>
        </w:tc>
        <w:tc>
          <w:tcPr>
            <w:tcW w:w="821" w:type="dxa"/>
            <w:tcBorders>
              <w:top w:val="nil"/>
              <w:left w:val="nil"/>
              <w:bottom w:val="nil"/>
              <w:right w:val="nil"/>
            </w:tcBorders>
            <w:shd w:val="clear" w:color="auto" w:fill="auto"/>
            <w:noWrap/>
            <w:vAlign w:val="bottom"/>
            <w:hideMark/>
          </w:tcPr>
          <w:p w14:paraId="3FF19FF0" w14:textId="5F7E38B6"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42,726 </w:t>
            </w:r>
          </w:p>
        </w:tc>
        <w:tc>
          <w:tcPr>
            <w:tcW w:w="966" w:type="dxa"/>
            <w:gridSpan w:val="2"/>
            <w:tcBorders>
              <w:top w:val="nil"/>
              <w:left w:val="nil"/>
              <w:bottom w:val="nil"/>
              <w:right w:val="nil"/>
            </w:tcBorders>
            <w:shd w:val="clear" w:color="auto" w:fill="auto"/>
            <w:noWrap/>
            <w:vAlign w:val="bottom"/>
            <w:hideMark/>
          </w:tcPr>
          <w:p w14:paraId="33918BC9" w14:textId="5F635D14"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12,927 </w:t>
            </w:r>
          </w:p>
        </w:tc>
        <w:tc>
          <w:tcPr>
            <w:tcW w:w="954" w:type="dxa"/>
            <w:gridSpan w:val="2"/>
            <w:tcBorders>
              <w:top w:val="nil"/>
              <w:left w:val="nil"/>
              <w:bottom w:val="nil"/>
              <w:right w:val="nil"/>
            </w:tcBorders>
            <w:shd w:val="clear" w:color="auto" w:fill="auto"/>
            <w:noWrap/>
            <w:vAlign w:val="bottom"/>
            <w:hideMark/>
          </w:tcPr>
          <w:p w14:paraId="71AC7070" w14:textId="70A3F5B9"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CF4B58" w14:paraId="1E4EC23B" w14:textId="77777777" w:rsidTr="00EA2FF2">
        <w:trPr>
          <w:trHeight w:val="204"/>
        </w:trPr>
        <w:tc>
          <w:tcPr>
            <w:tcW w:w="2977" w:type="dxa"/>
            <w:tcBorders>
              <w:top w:val="nil"/>
              <w:left w:val="nil"/>
              <w:bottom w:val="nil"/>
              <w:right w:val="nil"/>
            </w:tcBorders>
            <w:shd w:val="clear" w:color="auto" w:fill="auto"/>
            <w:vAlign w:val="bottom"/>
            <w:hideMark/>
          </w:tcPr>
          <w:p w14:paraId="7EA52181" w14:textId="13EB9C13" w:rsidR="003815D1" w:rsidRPr="00EA2FF2" w:rsidRDefault="003815D1" w:rsidP="003815D1">
            <w:pPr>
              <w:spacing w:after="0" w:line="240" w:lineRule="auto"/>
              <w:ind w:firstLineChars="100" w:firstLine="160"/>
              <w:jc w:val="right"/>
              <w:rPr>
                <w:rFonts w:ascii="Arial" w:hAnsi="Arial" w:cs="Arial"/>
                <w:b/>
                <w:bCs/>
                <w:sz w:val="16"/>
                <w:szCs w:val="16"/>
              </w:rPr>
            </w:pPr>
            <w:r>
              <w:rPr>
                <w:rFonts w:ascii="Arial" w:hAnsi="Arial" w:cs="Arial"/>
                <w:b/>
                <w:bCs/>
                <w:sz w:val="16"/>
                <w:szCs w:val="16"/>
              </w:rPr>
              <w:t>Total A</w:t>
            </w:r>
            <w:r w:rsidRPr="00EA2FF2">
              <w:rPr>
                <w:rFonts w:ascii="Arial" w:hAnsi="Arial" w:cs="Arial"/>
                <w:b/>
                <w:bCs/>
                <w:sz w:val="16"/>
                <w:szCs w:val="16"/>
              </w:rPr>
              <w:t>dministered expenses</w:t>
            </w:r>
          </w:p>
        </w:tc>
        <w:tc>
          <w:tcPr>
            <w:tcW w:w="992" w:type="dxa"/>
            <w:tcBorders>
              <w:top w:val="single" w:sz="4" w:space="0" w:color="auto"/>
              <w:left w:val="nil"/>
              <w:bottom w:val="single" w:sz="4" w:space="0" w:color="auto"/>
              <w:right w:val="nil"/>
            </w:tcBorders>
            <w:shd w:val="clear" w:color="auto" w:fill="auto"/>
            <w:noWrap/>
            <w:vAlign w:val="bottom"/>
            <w:hideMark/>
          </w:tcPr>
          <w:p w14:paraId="20034EC5" w14:textId="4BB25A21"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2,616,921 </w:t>
            </w:r>
          </w:p>
        </w:tc>
        <w:tc>
          <w:tcPr>
            <w:tcW w:w="928" w:type="dxa"/>
            <w:tcBorders>
              <w:top w:val="single" w:sz="4" w:space="0" w:color="auto"/>
              <w:left w:val="nil"/>
              <w:bottom w:val="single" w:sz="4" w:space="0" w:color="auto"/>
              <w:right w:val="nil"/>
            </w:tcBorders>
            <w:shd w:val="clear" w:color="auto" w:fill="E6E6E6"/>
            <w:noWrap/>
            <w:vAlign w:val="bottom"/>
            <w:hideMark/>
          </w:tcPr>
          <w:p w14:paraId="39F1AD9D" w14:textId="540F78E8"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1,685,479 </w:t>
            </w:r>
          </w:p>
        </w:tc>
        <w:tc>
          <w:tcPr>
            <w:tcW w:w="821" w:type="dxa"/>
            <w:tcBorders>
              <w:top w:val="single" w:sz="4" w:space="0" w:color="auto"/>
              <w:left w:val="nil"/>
              <w:bottom w:val="single" w:sz="4" w:space="0" w:color="auto"/>
              <w:right w:val="nil"/>
            </w:tcBorders>
            <w:shd w:val="clear" w:color="auto" w:fill="auto"/>
            <w:noWrap/>
            <w:vAlign w:val="bottom"/>
            <w:hideMark/>
          </w:tcPr>
          <w:p w14:paraId="079E35E8" w14:textId="00303935"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833,686 </w:t>
            </w:r>
          </w:p>
        </w:tc>
        <w:tc>
          <w:tcPr>
            <w:tcW w:w="966" w:type="dxa"/>
            <w:gridSpan w:val="2"/>
            <w:tcBorders>
              <w:top w:val="single" w:sz="4" w:space="0" w:color="auto"/>
              <w:left w:val="nil"/>
              <w:bottom w:val="single" w:sz="4" w:space="0" w:color="auto"/>
              <w:right w:val="nil"/>
            </w:tcBorders>
            <w:shd w:val="clear" w:color="auto" w:fill="auto"/>
            <w:noWrap/>
            <w:vAlign w:val="bottom"/>
            <w:hideMark/>
          </w:tcPr>
          <w:p w14:paraId="5B86BEE6" w14:textId="46460B63"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724,658 </w:t>
            </w:r>
          </w:p>
        </w:tc>
        <w:tc>
          <w:tcPr>
            <w:tcW w:w="954" w:type="dxa"/>
            <w:gridSpan w:val="2"/>
            <w:tcBorders>
              <w:top w:val="single" w:sz="4" w:space="0" w:color="auto"/>
              <w:left w:val="nil"/>
              <w:bottom w:val="single" w:sz="4" w:space="0" w:color="auto"/>
              <w:right w:val="nil"/>
            </w:tcBorders>
            <w:shd w:val="clear" w:color="auto" w:fill="auto"/>
            <w:noWrap/>
            <w:vAlign w:val="bottom"/>
            <w:hideMark/>
          </w:tcPr>
          <w:p w14:paraId="5B56718B" w14:textId="27EA6B2A"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672,430 </w:t>
            </w:r>
          </w:p>
        </w:tc>
      </w:tr>
      <w:tr w:rsidR="003815D1" w:rsidRPr="00CF4B58" w14:paraId="0CD73A77" w14:textId="77777777" w:rsidTr="00EA2FF2">
        <w:trPr>
          <w:trHeight w:val="204"/>
        </w:trPr>
        <w:tc>
          <w:tcPr>
            <w:tcW w:w="2977" w:type="dxa"/>
            <w:tcBorders>
              <w:top w:val="nil"/>
              <w:left w:val="nil"/>
              <w:bottom w:val="nil"/>
              <w:right w:val="nil"/>
            </w:tcBorders>
            <w:shd w:val="clear" w:color="auto" w:fill="auto"/>
            <w:noWrap/>
            <w:vAlign w:val="bottom"/>
            <w:hideMark/>
          </w:tcPr>
          <w:p w14:paraId="4E7E1804" w14:textId="77777777" w:rsidR="003815D1" w:rsidRPr="00EA2FF2" w:rsidRDefault="003815D1" w:rsidP="003815D1">
            <w:pPr>
              <w:spacing w:after="0" w:line="240" w:lineRule="auto"/>
              <w:jc w:val="left"/>
              <w:rPr>
                <w:rFonts w:ascii="Arial" w:hAnsi="Arial" w:cs="Arial"/>
                <w:sz w:val="16"/>
                <w:szCs w:val="16"/>
              </w:rPr>
            </w:pPr>
            <w:r w:rsidRPr="00EA2FF2">
              <w:rPr>
                <w:rFonts w:ascii="Arial" w:hAnsi="Arial" w:cs="Arial"/>
                <w:sz w:val="16"/>
                <w:szCs w:val="16"/>
              </w:rPr>
              <w:t>Departmental expenses</w:t>
            </w:r>
          </w:p>
        </w:tc>
        <w:tc>
          <w:tcPr>
            <w:tcW w:w="992" w:type="dxa"/>
            <w:tcBorders>
              <w:top w:val="nil"/>
              <w:left w:val="nil"/>
              <w:bottom w:val="nil"/>
              <w:right w:val="nil"/>
            </w:tcBorders>
            <w:shd w:val="clear" w:color="auto" w:fill="auto"/>
            <w:noWrap/>
            <w:vAlign w:val="bottom"/>
            <w:hideMark/>
          </w:tcPr>
          <w:p w14:paraId="566C2F56" w14:textId="77777777" w:rsidR="003815D1" w:rsidRPr="00EA2FF2" w:rsidRDefault="003815D1" w:rsidP="003815D1">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E6E6E6"/>
            <w:noWrap/>
            <w:vAlign w:val="bottom"/>
            <w:hideMark/>
          </w:tcPr>
          <w:p w14:paraId="0F60E6F0" w14:textId="671DFE8D"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13883FDC" w14:textId="77777777" w:rsidR="003815D1" w:rsidRPr="00EA2FF2" w:rsidRDefault="003815D1" w:rsidP="003815D1">
            <w:pPr>
              <w:spacing w:after="0" w:line="240" w:lineRule="auto"/>
              <w:jc w:val="right"/>
              <w:rPr>
                <w:rFonts w:ascii="Arial" w:hAnsi="Arial" w:cs="Arial"/>
                <w:sz w:val="16"/>
                <w:szCs w:val="16"/>
              </w:rPr>
            </w:pPr>
          </w:p>
        </w:tc>
        <w:tc>
          <w:tcPr>
            <w:tcW w:w="966" w:type="dxa"/>
            <w:gridSpan w:val="2"/>
            <w:tcBorders>
              <w:top w:val="nil"/>
              <w:left w:val="nil"/>
              <w:bottom w:val="nil"/>
              <w:right w:val="nil"/>
            </w:tcBorders>
            <w:shd w:val="clear" w:color="auto" w:fill="auto"/>
            <w:noWrap/>
            <w:vAlign w:val="bottom"/>
            <w:hideMark/>
          </w:tcPr>
          <w:p w14:paraId="6D069703" w14:textId="77777777" w:rsidR="003815D1" w:rsidRPr="00EA2FF2" w:rsidRDefault="003815D1" w:rsidP="003815D1">
            <w:pPr>
              <w:spacing w:after="0" w:line="240" w:lineRule="auto"/>
              <w:jc w:val="right"/>
              <w:rPr>
                <w:rFonts w:ascii="Times New Roman" w:hAnsi="Times New Roman"/>
                <w:sz w:val="16"/>
                <w:szCs w:val="16"/>
              </w:rPr>
            </w:pPr>
          </w:p>
        </w:tc>
        <w:tc>
          <w:tcPr>
            <w:tcW w:w="954" w:type="dxa"/>
            <w:gridSpan w:val="2"/>
            <w:tcBorders>
              <w:top w:val="nil"/>
              <w:left w:val="nil"/>
              <w:bottom w:val="nil"/>
              <w:right w:val="nil"/>
            </w:tcBorders>
            <w:shd w:val="clear" w:color="auto" w:fill="auto"/>
            <w:noWrap/>
            <w:vAlign w:val="bottom"/>
            <w:hideMark/>
          </w:tcPr>
          <w:p w14:paraId="30DC41DB" w14:textId="77777777" w:rsidR="003815D1" w:rsidRPr="00EA2FF2" w:rsidRDefault="003815D1" w:rsidP="003815D1">
            <w:pPr>
              <w:spacing w:after="0" w:line="240" w:lineRule="auto"/>
              <w:jc w:val="right"/>
              <w:rPr>
                <w:rFonts w:ascii="Times New Roman" w:hAnsi="Times New Roman"/>
                <w:sz w:val="16"/>
                <w:szCs w:val="16"/>
              </w:rPr>
            </w:pPr>
          </w:p>
        </w:tc>
      </w:tr>
      <w:tr w:rsidR="003815D1" w:rsidRPr="0050631D" w14:paraId="568CF413" w14:textId="77777777" w:rsidTr="00EA2FF2">
        <w:trPr>
          <w:trHeight w:val="204"/>
        </w:trPr>
        <w:tc>
          <w:tcPr>
            <w:tcW w:w="2977" w:type="dxa"/>
            <w:tcBorders>
              <w:top w:val="nil"/>
              <w:left w:val="nil"/>
              <w:bottom w:val="nil"/>
              <w:right w:val="nil"/>
            </w:tcBorders>
            <w:shd w:val="clear" w:color="auto" w:fill="auto"/>
            <w:vAlign w:val="bottom"/>
            <w:hideMark/>
          </w:tcPr>
          <w:p w14:paraId="37EA9AC8"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Departmental appropriation</w:t>
            </w:r>
          </w:p>
        </w:tc>
        <w:tc>
          <w:tcPr>
            <w:tcW w:w="992" w:type="dxa"/>
            <w:tcBorders>
              <w:top w:val="nil"/>
              <w:left w:val="nil"/>
              <w:bottom w:val="nil"/>
              <w:right w:val="nil"/>
            </w:tcBorders>
            <w:shd w:val="clear" w:color="auto" w:fill="auto"/>
            <w:noWrap/>
            <w:vAlign w:val="bottom"/>
            <w:hideMark/>
          </w:tcPr>
          <w:p w14:paraId="3E40C34C" w14:textId="20B89D99"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82,967 </w:t>
            </w:r>
          </w:p>
        </w:tc>
        <w:tc>
          <w:tcPr>
            <w:tcW w:w="928" w:type="dxa"/>
            <w:tcBorders>
              <w:top w:val="nil"/>
              <w:left w:val="nil"/>
              <w:bottom w:val="nil"/>
              <w:right w:val="nil"/>
            </w:tcBorders>
            <w:shd w:val="clear" w:color="auto" w:fill="E6E6E6"/>
            <w:noWrap/>
            <w:vAlign w:val="bottom"/>
            <w:hideMark/>
          </w:tcPr>
          <w:p w14:paraId="55910FE0" w14:textId="609D74CD"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122,679 </w:t>
            </w:r>
          </w:p>
        </w:tc>
        <w:tc>
          <w:tcPr>
            <w:tcW w:w="821" w:type="dxa"/>
            <w:tcBorders>
              <w:top w:val="nil"/>
              <w:left w:val="nil"/>
              <w:bottom w:val="nil"/>
              <w:right w:val="nil"/>
            </w:tcBorders>
            <w:shd w:val="clear" w:color="auto" w:fill="auto"/>
            <w:noWrap/>
            <w:vAlign w:val="bottom"/>
            <w:hideMark/>
          </w:tcPr>
          <w:p w14:paraId="391AF957" w14:textId="1A133343"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116,959 </w:t>
            </w:r>
          </w:p>
        </w:tc>
        <w:tc>
          <w:tcPr>
            <w:tcW w:w="966" w:type="dxa"/>
            <w:gridSpan w:val="2"/>
            <w:tcBorders>
              <w:top w:val="nil"/>
              <w:left w:val="nil"/>
              <w:bottom w:val="nil"/>
              <w:right w:val="nil"/>
            </w:tcBorders>
            <w:shd w:val="clear" w:color="auto" w:fill="auto"/>
            <w:noWrap/>
            <w:vAlign w:val="bottom"/>
            <w:hideMark/>
          </w:tcPr>
          <w:p w14:paraId="5ADC46D6" w14:textId="0437031D"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99,813 </w:t>
            </w:r>
          </w:p>
        </w:tc>
        <w:tc>
          <w:tcPr>
            <w:tcW w:w="954" w:type="dxa"/>
            <w:gridSpan w:val="2"/>
            <w:tcBorders>
              <w:top w:val="nil"/>
              <w:left w:val="nil"/>
              <w:bottom w:val="nil"/>
              <w:right w:val="nil"/>
            </w:tcBorders>
            <w:shd w:val="clear" w:color="auto" w:fill="auto"/>
            <w:noWrap/>
            <w:vAlign w:val="bottom"/>
            <w:hideMark/>
          </w:tcPr>
          <w:p w14:paraId="4F965D7A" w14:textId="1ED9D982"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87,964 </w:t>
            </w:r>
          </w:p>
        </w:tc>
      </w:tr>
      <w:tr w:rsidR="003815D1" w:rsidRPr="0050631D" w14:paraId="79DA809D" w14:textId="77777777" w:rsidTr="00EA2FF2">
        <w:trPr>
          <w:trHeight w:val="204"/>
        </w:trPr>
        <w:tc>
          <w:tcPr>
            <w:tcW w:w="2977" w:type="dxa"/>
            <w:tcBorders>
              <w:top w:val="nil"/>
              <w:left w:val="nil"/>
              <w:bottom w:val="nil"/>
              <w:right w:val="nil"/>
            </w:tcBorders>
            <w:shd w:val="clear" w:color="auto" w:fill="auto"/>
            <w:vAlign w:val="bottom"/>
            <w:hideMark/>
          </w:tcPr>
          <w:p w14:paraId="787C662C"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 xml:space="preserve">s74 external revenue </w:t>
            </w:r>
            <w:r w:rsidRPr="00EA2FF2">
              <w:rPr>
                <w:rFonts w:ascii="Arial" w:hAnsi="Arial" w:cs="Arial"/>
                <w:sz w:val="16"/>
                <w:szCs w:val="16"/>
                <w:vertAlign w:val="superscript"/>
              </w:rPr>
              <w:t>(e)</w:t>
            </w:r>
          </w:p>
        </w:tc>
        <w:tc>
          <w:tcPr>
            <w:tcW w:w="992" w:type="dxa"/>
            <w:tcBorders>
              <w:top w:val="nil"/>
              <w:left w:val="nil"/>
              <w:bottom w:val="nil"/>
              <w:right w:val="nil"/>
            </w:tcBorders>
            <w:shd w:val="clear" w:color="auto" w:fill="auto"/>
            <w:noWrap/>
            <w:vAlign w:val="bottom"/>
            <w:hideMark/>
          </w:tcPr>
          <w:p w14:paraId="5768AE0E" w14:textId="35EC3406"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5,934 </w:t>
            </w:r>
          </w:p>
        </w:tc>
        <w:tc>
          <w:tcPr>
            <w:tcW w:w="928" w:type="dxa"/>
            <w:tcBorders>
              <w:top w:val="nil"/>
              <w:left w:val="nil"/>
              <w:bottom w:val="nil"/>
              <w:right w:val="nil"/>
            </w:tcBorders>
            <w:shd w:val="clear" w:color="auto" w:fill="E6E6E6"/>
            <w:noWrap/>
            <w:vAlign w:val="bottom"/>
            <w:hideMark/>
          </w:tcPr>
          <w:p w14:paraId="65EA2387" w14:textId="7CEF764C"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3,249 </w:t>
            </w:r>
          </w:p>
        </w:tc>
        <w:tc>
          <w:tcPr>
            <w:tcW w:w="821" w:type="dxa"/>
            <w:tcBorders>
              <w:top w:val="nil"/>
              <w:left w:val="nil"/>
              <w:bottom w:val="nil"/>
              <w:right w:val="nil"/>
            </w:tcBorders>
            <w:shd w:val="clear" w:color="auto" w:fill="auto"/>
            <w:noWrap/>
            <w:vAlign w:val="bottom"/>
            <w:hideMark/>
          </w:tcPr>
          <w:p w14:paraId="6261E714" w14:textId="7D969D69"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3,075 </w:t>
            </w:r>
          </w:p>
        </w:tc>
        <w:tc>
          <w:tcPr>
            <w:tcW w:w="966" w:type="dxa"/>
            <w:gridSpan w:val="2"/>
            <w:tcBorders>
              <w:top w:val="nil"/>
              <w:left w:val="nil"/>
              <w:bottom w:val="nil"/>
              <w:right w:val="nil"/>
            </w:tcBorders>
            <w:shd w:val="clear" w:color="auto" w:fill="auto"/>
            <w:noWrap/>
            <w:vAlign w:val="bottom"/>
            <w:hideMark/>
          </w:tcPr>
          <w:p w14:paraId="60EADFD4" w14:textId="2729E9D7"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3,434 </w:t>
            </w:r>
          </w:p>
        </w:tc>
        <w:tc>
          <w:tcPr>
            <w:tcW w:w="954" w:type="dxa"/>
            <w:gridSpan w:val="2"/>
            <w:tcBorders>
              <w:top w:val="nil"/>
              <w:left w:val="nil"/>
              <w:bottom w:val="nil"/>
              <w:right w:val="nil"/>
            </w:tcBorders>
            <w:shd w:val="clear" w:color="auto" w:fill="auto"/>
            <w:noWrap/>
            <w:vAlign w:val="bottom"/>
            <w:hideMark/>
          </w:tcPr>
          <w:p w14:paraId="2D99A1A2" w14:textId="2E7707F7"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3,434 </w:t>
            </w:r>
          </w:p>
        </w:tc>
      </w:tr>
      <w:tr w:rsidR="003815D1" w:rsidRPr="00CF4B58" w14:paraId="4E132B93" w14:textId="77777777" w:rsidTr="00EA2FF2">
        <w:trPr>
          <w:trHeight w:val="204"/>
        </w:trPr>
        <w:tc>
          <w:tcPr>
            <w:tcW w:w="2977" w:type="dxa"/>
            <w:tcBorders>
              <w:top w:val="nil"/>
              <w:left w:val="nil"/>
              <w:bottom w:val="nil"/>
              <w:right w:val="nil"/>
            </w:tcBorders>
            <w:shd w:val="clear" w:color="auto" w:fill="auto"/>
            <w:vAlign w:val="bottom"/>
            <w:hideMark/>
          </w:tcPr>
          <w:p w14:paraId="4E851327" w14:textId="77777777" w:rsidR="003815D1" w:rsidRPr="00EA2FF2" w:rsidRDefault="003815D1" w:rsidP="003815D1">
            <w:pPr>
              <w:spacing w:after="0" w:line="240" w:lineRule="auto"/>
              <w:ind w:left="113"/>
              <w:jc w:val="left"/>
              <w:rPr>
                <w:rFonts w:ascii="Arial" w:hAnsi="Arial" w:cs="Arial"/>
                <w:sz w:val="16"/>
                <w:szCs w:val="16"/>
              </w:rPr>
            </w:pPr>
            <w:r w:rsidRPr="00EA2FF2">
              <w:rPr>
                <w:rFonts w:ascii="Arial" w:hAnsi="Arial" w:cs="Arial"/>
                <w:sz w:val="16"/>
                <w:szCs w:val="16"/>
              </w:rPr>
              <w:t xml:space="preserve">Expenses not requiring appropriation in the Budget year </w:t>
            </w:r>
            <w:r w:rsidRPr="00EA2FF2">
              <w:rPr>
                <w:rFonts w:ascii="Arial" w:hAnsi="Arial" w:cs="Arial"/>
                <w:sz w:val="16"/>
                <w:szCs w:val="16"/>
                <w:vertAlign w:val="superscript"/>
              </w:rPr>
              <w:t>(f)</w:t>
            </w:r>
            <w:r w:rsidRPr="00EA2FF2">
              <w:rPr>
                <w:rFonts w:ascii="Arial" w:hAnsi="Arial" w:cs="Arial"/>
                <w:sz w:val="16"/>
                <w:szCs w:val="16"/>
              </w:rPr>
              <w:t xml:space="preserve"> </w:t>
            </w:r>
          </w:p>
        </w:tc>
        <w:tc>
          <w:tcPr>
            <w:tcW w:w="992" w:type="dxa"/>
            <w:tcBorders>
              <w:top w:val="nil"/>
              <w:left w:val="nil"/>
              <w:bottom w:val="nil"/>
              <w:right w:val="nil"/>
            </w:tcBorders>
            <w:shd w:val="clear" w:color="auto" w:fill="auto"/>
            <w:noWrap/>
            <w:vAlign w:val="bottom"/>
            <w:hideMark/>
          </w:tcPr>
          <w:p w14:paraId="623C8C6B" w14:textId="74C4FC34"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8,670 </w:t>
            </w:r>
          </w:p>
        </w:tc>
        <w:tc>
          <w:tcPr>
            <w:tcW w:w="928" w:type="dxa"/>
            <w:tcBorders>
              <w:top w:val="nil"/>
              <w:left w:val="nil"/>
              <w:bottom w:val="nil"/>
              <w:right w:val="nil"/>
            </w:tcBorders>
            <w:shd w:val="clear" w:color="auto" w:fill="E6E6E6"/>
            <w:noWrap/>
            <w:vAlign w:val="bottom"/>
            <w:hideMark/>
          </w:tcPr>
          <w:p w14:paraId="47E3C920" w14:textId="275F3216"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2,698 </w:t>
            </w:r>
          </w:p>
        </w:tc>
        <w:tc>
          <w:tcPr>
            <w:tcW w:w="821" w:type="dxa"/>
            <w:tcBorders>
              <w:top w:val="nil"/>
              <w:left w:val="nil"/>
              <w:bottom w:val="nil"/>
              <w:right w:val="nil"/>
            </w:tcBorders>
            <w:shd w:val="clear" w:color="auto" w:fill="auto"/>
            <w:noWrap/>
            <w:vAlign w:val="bottom"/>
            <w:hideMark/>
          </w:tcPr>
          <w:p w14:paraId="08A7ABD1" w14:textId="53E01F2E"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2,525 </w:t>
            </w:r>
          </w:p>
        </w:tc>
        <w:tc>
          <w:tcPr>
            <w:tcW w:w="966" w:type="dxa"/>
            <w:gridSpan w:val="2"/>
            <w:tcBorders>
              <w:top w:val="nil"/>
              <w:left w:val="nil"/>
              <w:bottom w:val="nil"/>
              <w:right w:val="nil"/>
            </w:tcBorders>
            <w:shd w:val="clear" w:color="auto" w:fill="auto"/>
            <w:noWrap/>
            <w:vAlign w:val="bottom"/>
            <w:hideMark/>
          </w:tcPr>
          <w:p w14:paraId="23772694" w14:textId="55908B09"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2,457 </w:t>
            </w:r>
          </w:p>
        </w:tc>
        <w:tc>
          <w:tcPr>
            <w:tcW w:w="954" w:type="dxa"/>
            <w:gridSpan w:val="2"/>
            <w:tcBorders>
              <w:top w:val="nil"/>
              <w:left w:val="nil"/>
              <w:bottom w:val="nil"/>
              <w:right w:val="nil"/>
            </w:tcBorders>
            <w:shd w:val="clear" w:color="auto" w:fill="auto"/>
            <w:noWrap/>
            <w:vAlign w:val="bottom"/>
            <w:hideMark/>
          </w:tcPr>
          <w:p w14:paraId="2D0FB157" w14:textId="270CB525" w:rsidR="003815D1" w:rsidRPr="00EA2FF2" w:rsidRDefault="003815D1" w:rsidP="003815D1">
            <w:pPr>
              <w:spacing w:after="0" w:line="240" w:lineRule="auto"/>
              <w:jc w:val="right"/>
              <w:rPr>
                <w:rFonts w:ascii="Arial" w:hAnsi="Arial" w:cs="Arial"/>
                <w:sz w:val="16"/>
                <w:szCs w:val="16"/>
              </w:rPr>
            </w:pPr>
            <w:r>
              <w:rPr>
                <w:rFonts w:ascii="Arial" w:hAnsi="Arial" w:cs="Arial"/>
                <w:sz w:val="16"/>
                <w:szCs w:val="16"/>
              </w:rPr>
              <w:t xml:space="preserve">2,691 </w:t>
            </w:r>
          </w:p>
        </w:tc>
      </w:tr>
      <w:tr w:rsidR="003815D1" w:rsidRPr="00CF4B58" w14:paraId="197B6CC2" w14:textId="77777777" w:rsidTr="00EA2FF2">
        <w:trPr>
          <w:trHeight w:val="204"/>
        </w:trPr>
        <w:tc>
          <w:tcPr>
            <w:tcW w:w="2977" w:type="dxa"/>
            <w:tcBorders>
              <w:top w:val="nil"/>
              <w:left w:val="nil"/>
              <w:bottom w:val="nil"/>
              <w:right w:val="nil"/>
            </w:tcBorders>
            <w:shd w:val="clear" w:color="auto" w:fill="auto"/>
            <w:vAlign w:val="bottom"/>
            <w:hideMark/>
          </w:tcPr>
          <w:p w14:paraId="507B7F7E" w14:textId="46C592EA" w:rsidR="003815D1" w:rsidRPr="00EA2FF2" w:rsidRDefault="003815D1" w:rsidP="003815D1">
            <w:pPr>
              <w:spacing w:after="0" w:line="240" w:lineRule="auto"/>
              <w:ind w:firstLineChars="100" w:firstLine="160"/>
              <w:jc w:val="right"/>
              <w:rPr>
                <w:rFonts w:ascii="Arial" w:hAnsi="Arial" w:cs="Arial"/>
                <w:b/>
                <w:bCs/>
                <w:sz w:val="16"/>
                <w:szCs w:val="16"/>
              </w:rPr>
            </w:pPr>
            <w:r w:rsidRPr="00EA2FF2">
              <w:rPr>
                <w:rFonts w:ascii="Arial" w:hAnsi="Arial" w:cs="Arial"/>
                <w:b/>
                <w:bCs/>
                <w:sz w:val="16"/>
                <w:szCs w:val="16"/>
              </w:rPr>
              <w:t xml:space="preserve">Total </w:t>
            </w:r>
            <w:r>
              <w:rPr>
                <w:rFonts w:ascii="Arial" w:hAnsi="Arial" w:cs="Arial"/>
                <w:b/>
                <w:bCs/>
                <w:sz w:val="16"/>
                <w:szCs w:val="16"/>
              </w:rPr>
              <w:t>D</w:t>
            </w:r>
            <w:r w:rsidRPr="00EA2FF2">
              <w:rPr>
                <w:rFonts w:ascii="Arial" w:hAnsi="Arial" w:cs="Arial"/>
                <w:b/>
                <w:bCs/>
                <w:sz w:val="16"/>
                <w:szCs w:val="16"/>
              </w:rPr>
              <w:t>epartmental expenses</w:t>
            </w:r>
          </w:p>
        </w:tc>
        <w:tc>
          <w:tcPr>
            <w:tcW w:w="992" w:type="dxa"/>
            <w:tcBorders>
              <w:top w:val="single" w:sz="4" w:space="0" w:color="auto"/>
              <w:left w:val="nil"/>
              <w:bottom w:val="single" w:sz="4" w:space="0" w:color="auto"/>
              <w:right w:val="nil"/>
            </w:tcBorders>
            <w:shd w:val="clear" w:color="auto" w:fill="auto"/>
            <w:noWrap/>
            <w:vAlign w:val="bottom"/>
            <w:hideMark/>
          </w:tcPr>
          <w:p w14:paraId="2CD6DD7D" w14:textId="3E546CE0"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97,571 </w:t>
            </w:r>
          </w:p>
        </w:tc>
        <w:tc>
          <w:tcPr>
            <w:tcW w:w="928" w:type="dxa"/>
            <w:tcBorders>
              <w:top w:val="single" w:sz="4" w:space="0" w:color="auto"/>
              <w:left w:val="nil"/>
              <w:bottom w:val="single" w:sz="4" w:space="0" w:color="auto"/>
              <w:right w:val="nil"/>
            </w:tcBorders>
            <w:shd w:val="clear" w:color="auto" w:fill="E6E6E6"/>
            <w:noWrap/>
            <w:vAlign w:val="bottom"/>
            <w:hideMark/>
          </w:tcPr>
          <w:p w14:paraId="49FBE0A6" w14:textId="376B540F"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128,626 </w:t>
            </w:r>
          </w:p>
        </w:tc>
        <w:tc>
          <w:tcPr>
            <w:tcW w:w="821" w:type="dxa"/>
            <w:tcBorders>
              <w:top w:val="single" w:sz="4" w:space="0" w:color="auto"/>
              <w:left w:val="nil"/>
              <w:bottom w:val="single" w:sz="4" w:space="0" w:color="auto"/>
              <w:right w:val="nil"/>
            </w:tcBorders>
            <w:shd w:val="clear" w:color="auto" w:fill="auto"/>
            <w:noWrap/>
            <w:vAlign w:val="bottom"/>
            <w:hideMark/>
          </w:tcPr>
          <w:p w14:paraId="5EE60AC8" w14:textId="16C17205"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122,559 </w:t>
            </w:r>
          </w:p>
        </w:tc>
        <w:tc>
          <w:tcPr>
            <w:tcW w:w="966" w:type="dxa"/>
            <w:gridSpan w:val="2"/>
            <w:tcBorders>
              <w:top w:val="single" w:sz="4" w:space="0" w:color="auto"/>
              <w:left w:val="nil"/>
              <w:bottom w:val="single" w:sz="4" w:space="0" w:color="auto"/>
              <w:right w:val="nil"/>
            </w:tcBorders>
            <w:shd w:val="clear" w:color="auto" w:fill="auto"/>
            <w:noWrap/>
            <w:vAlign w:val="bottom"/>
            <w:hideMark/>
          </w:tcPr>
          <w:p w14:paraId="3A3889A0" w14:textId="2AD17B27"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105,704 </w:t>
            </w:r>
          </w:p>
        </w:tc>
        <w:tc>
          <w:tcPr>
            <w:tcW w:w="954" w:type="dxa"/>
            <w:gridSpan w:val="2"/>
            <w:tcBorders>
              <w:top w:val="single" w:sz="4" w:space="0" w:color="auto"/>
              <w:left w:val="nil"/>
              <w:bottom w:val="single" w:sz="4" w:space="0" w:color="auto"/>
              <w:right w:val="nil"/>
            </w:tcBorders>
            <w:shd w:val="clear" w:color="auto" w:fill="auto"/>
            <w:noWrap/>
            <w:vAlign w:val="bottom"/>
            <w:hideMark/>
          </w:tcPr>
          <w:p w14:paraId="26049957" w14:textId="40AC50FF"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94,089 </w:t>
            </w:r>
          </w:p>
        </w:tc>
      </w:tr>
      <w:tr w:rsidR="003815D1" w:rsidRPr="00CF4B58" w14:paraId="48AEDCC1" w14:textId="77777777" w:rsidTr="00EA2FF2">
        <w:trPr>
          <w:trHeight w:val="204"/>
        </w:trPr>
        <w:tc>
          <w:tcPr>
            <w:tcW w:w="2977" w:type="dxa"/>
            <w:tcBorders>
              <w:top w:val="nil"/>
              <w:left w:val="nil"/>
              <w:bottom w:val="single" w:sz="4" w:space="0" w:color="auto"/>
              <w:right w:val="nil"/>
            </w:tcBorders>
            <w:shd w:val="clear" w:color="auto" w:fill="auto"/>
            <w:noWrap/>
            <w:vAlign w:val="bottom"/>
            <w:hideMark/>
          </w:tcPr>
          <w:p w14:paraId="2F081343" w14:textId="77777777" w:rsidR="003815D1" w:rsidRPr="00EA2FF2" w:rsidRDefault="003815D1" w:rsidP="003815D1">
            <w:pPr>
              <w:spacing w:after="0" w:line="240" w:lineRule="auto"/>
              <w:jc w:val="left"/>
              <w:rPr>
                <w:rFonts w:ascii="Arial" w:hAnsi="Arial" w:cs="Arial"/>
                <w:b/>
                <w:bCs/>
                <w:sz w:val="16"/>
                <w:szCs w:val="16"/>
              </w:rPr>
            </w:pPr>
            <w:r w:rsidRPr="00EA2FF2">
              <w:rPr>
                <w:rFonts w:ascii="Arial" w:hAnsi="Arial" w:cs="Arial"/>
                <w:b/>
                <w:bCs/>
                <w:sz w:val="16"/>
                <w:szCs w:val="16"/>
              </w:rPr>
              <w:t>Total expenses for Outcome 2</w:t>
            </w:r>
          </w:p>
        </w:tc>
        <w:tc>
          <w:tcPr>
            <w:tcW w:w="992" w:type="dxa"/>
            <w:tcBorders>
              <w:top w:val="nil"/>
              <w:left w:val="nil"/>
              <w:bottom w:val="single" w:sz="4" w:space="0" w:color="auto"/>
              <w:right w:val="nil"/>
            </w:tcBorders>
            <w:shd w:val="clear" w:color="auto" w:fill="auto"/>
            <w:noWrap/>
            <w:vAlign w:val="bottom"/>
            <w:hideMark/>
          </w:tcPr>
          <w:p w14:paraId="63D7C170" w14:textId="3EFC5EC7"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2,714,492 </w:t>
            </w:r>
          </w:p>
        </w:tc>
        <w:tc>
          <w:tcPr>
            <w:tcW w:w="928" w:type="dxa"/>
            <w:tcBorders>
              <w:top w:val="nil"/>
              <w:left w:val="nil"/>
              <w:bottom w:val="single" w:sz="4" w:space="0" w:color="auto"/>
              <w:right w:val="nil"/>
            </w:tcBorders>
            <w:shd w:val="clear" w:color="000000" w:fill="E6E6E6"/>
            <w:noWrap/>
            <w:vAlign w:val="bottom"/>
            <w:hideMark/>
          </w:tcPr>
          <w:p w14:paraId="6724C631" w14:textId="366F967B"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1,814,105 </w:t>
            </w:r>
          </w:p>
        </w:tc>
        <w:tc>
          <w:tcPr>
            <w:tcW w:w="821" w:type="dxa"/>
            <w:tcBorders>
              <w:top w:val="nil"/>
              <w:left w:val="nil"/>
              <w:bottom w:val="single" w:sz="4" w:space="0" w:color="auto"/>
              <w:right w:val="nil"/>
            </w:tcBorders>
            <w:shd w:val="clear" w:color="auto" w:fill="auto"/>
            <w:noWrap/>
            <w:vAlign w:val="bottom"/>
            <w:hideMark/>
          </w:tcPr>
          <w:p w14:paraId="08D44435" w14:textId="23B6D249"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956,245 </w:t>
            </w:r>
          </w:p>
        </w:tc>
        <w:tc>
          <w:tcPr>
            <w:tcW w:w="966" w:type="dxa"/>
            <w:gridSpan w:val="2"/>
            <w:tcBorders>
              <w:top w:val="nil"/>
              <w:left w:val="nil"/>
              <w:bottom w:val="single" w:sz="4" w:space="0" w:color="auto"/>
              <w:right w:val="nil"/>
            </w:tcBorders>
            <w:shd w:val="clear" w:color="auto" w:fill="auto"/>
            <w:noWrap/>
            <w:vAlign w:val="bottom"/>
            <w:hideMark/>
          </w:tcPr>
          <w:p w14:paraId="52496923" w14:textId="28228F34"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830,362 </w:t>
            </w:r>
          </w:p>
        </w:tc>
        <w:tc>
          <w:tcPr>
            <w:tcW w:w="954" w:type="dxa"/>
            <w:gridSpan w:val="2"/>
            <w:tcBorders>
              <w:top w:val="nil"/>
              <w:left w:val="nil"/>
              <w:bottom w:val="single" w:sz="4" w:space="0" w:color="auto"/>
              <w:right w:val="nil"/>
            </w:tcBorders>
            <w:shd w:val="clear" w:color="auto" w:fill="auto"/>
            <w:noWrap/>
            <w:vAlign w:val="bottom"/>
            <w:hideMark/>
          </w:tcPr>
          <w:p w14:paraId="65535348" w14:textId="396AF5F8" w:rsidR="003815D1" w:rsidRPr="00EA2FF2"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766,519 </w:t>
            </w:r>
          </w:p>
        </w:tc>
      </w:tr>
    </w:tbl>
    <w:p w14:paraId="40EEDBF0" w14:textId="77777777" w:rsidR="006D28FE" w:rsidRDefault="006D28FE">
      <w:pPr>
        <w:spacing w:after="0" w:line="240" w:lineRule="auto"/>
        <w:jc w:val="left"/>
      </w:pPr>
      <w:r>
        <w:br w:type="page"/>
      </w:r>
    </w:p>
    <w:p w14:paraId="3217E116" w14:textId="1608FB79" w:rsidR="002A4871" w:rsidRDefault="00000153" w:rsidP="002A4871">
      <w:pPr>
        <w:pStyle w:val="TableHeading"/>
        <w:rPr>
          <w:lang w:val="en-AU"/>
        </w:rPr>
      </w:pPr>
      <w:r w:rsidRPr="00BC4775">
        <w:lastRenderedPageBreak/>
        <w:t>Table 2</w:t>
      </w:r>
      <w:r w:rsidR="00BD4400">
        <w:rPr>
          <w:lang w:val="en-AU"/>
        </w:rPr>
        <w:t>.</w:t>
      </w:r>
      <w:r>
        <w:rPr>
          <w:lang w:val="en-AU"/>
        </w:rPr>
        <w:t>3</w:t>
      </w:r>
      <w:r w:rsidRPr="00BC4775">
        <w:rPr>
          <w:lang w:val="en-AU"/>
        </w:rPr>
        <w:t>.</w:t>
      </w:r>
      <w:r w:rsidRPr="00BC4775">
        <w:t>1 Budgeted expenses</w:t>
      </w:r>
      <w:r w:rsidRPr="00BC4775">
        <w:rPr>
          <w:lang w:val="en-AU"/>
        </w:rPr>
        <w:t xml:space="preserve"> for</w:t>
      </w:r>
      <w:r w:rsidRPr="00BC4775">
        <w:t xml:space="preserve"> Outcome </w:t>
      </w:r>
      <w:r w:rsidRPr="00BC4775">
        <w:rPr>
          <w:lang w:val="en-AU"/>
        </w:rPr>
        <w:t>2 (continued)</w:t>
      </w:r>
    </w:p>
    <w:tbl>
      <w:tblPr>
        <w:tblW w:w="0" w:type="auto"/>
        <w:tblLayout w:type="fixed"/>
        <w:tblLook w:val="04A0" w:firstRow="1" w:lastRow="0" w:firstColumn="1" w:lastColumn="0" w:noHBand="0" w:noVBand="1"/>
      </w:tblPr>
      <w:tblGrid>
        <w:gridCol w:w="2977"/>
        <w:gridCol w:w="992"/>
        <w:gridCol w:w="993"/>
        <w:gridCol w:w="851"/>
        <w:gridCol w:w="850"/>
        <w:gridCol w:w="851"/>
      </w:tblGrid>
      <w:tr w:rsidR="00E34CEC" w:rsidRPr="0050631D" w14:paraId="62EC545C" w14:textId="77777777" w:rsidTr="00EA2FF2">
        <w:trPr>
          <w:trHeight w:val="204"/>
        </w:trPr>
        <w:tc>
          <w:tcPr>
            <w:tcW w:w="2977" w:type="dxa"/>
            <w:tcBorders>
              <w:top w:val="single" w:sz="4" w:space="0" w:color="auto"/>
              <w:left w:val="nil"/>
              <w:bottom w:val="nil"/>
              <w:right w:val="nil"/>
            </w:tcBorders>
            <w:shd w:val="clear" w:color="auto" w:fill="auto"/>
            <w:noWrap/>
            <w:vAlign w:val="center"/>
            <w:hideMark/>
          </w:tcPr>
          <w:p w14:paraId="102E1924" w14:textId="1971C810" w:rsidR="00E34CEC" w:rsidRPr="0050631D" w:rsidRDefault="00E34CEC" w:rsidP="00E34CEC">
            <w:pPr>
              <w:spacing w:after="0" w:line="240" w:lineRule="auto"/>
              <w:jc w:val="left"/>
              <w:rPr>
                <w:rFonts w:ascii="Arial" w:hAnsi="Arial" w:cs="Arial"/>
                <w:b/>
                <w:bCs/>
                <w:sz w:val="16"/>
                <w:szCs w:val="16"/>
              </w:rPr>
            </w:pPr>
            <w:r>
              <w:rPr>
                <w:rFonts w:ascii="Arial" w:hAnsi="Arial" w:cs="Arial"/>
                <w:b/>
                <w:bCs/>
                <w:sz w:val="16"/>
                <w:szCs w:val="16"/>
              </w:rPr>
              <w:t>Movement of A</w:t>
            </w:r>
            <w:r w:rsidRPr="0050631D">
              <w:rPr>
                <w:rFonts w:ascii="Arial" w:hAnsi="Arial" w:cs="Arial"/>
                <w:b/>
                <w:bCs/>
                <w:sz w:val="16"/>
                <w:szCs w:val="16"/>
              </w:rPr>
              <w:t>dministered funds between years</w:t>
            </w:r>
            <w:r w:rsidRPr="0050631D">
              <w:rPr>
                <w:rFonts w:ascii="Arial" w:hAnsi="Arial" w:cs="Arial"/>
                <w:sz w:val="16"/>
                <w:szCs w:val="16"/>
              </w:rPr>
              <w:t xml:space="preserve"> </w:t>
            </w:r>
            <w:r w:rsidRPr="0050631D">
              <w:rPr>
                <w:rFonts w:ascii="Arial" w:hAnsi="Arial" w:cs="Arial"/>
                <w:sz w:val="16"/>
                <w:szCs w:val="16"/>
                <w:vertAlign w:val="superscript"/>
              </w:rPr>
              <w:t>(g)</w:t>
            </w:r>
          </w:p>
        </w:tc>
        <w:tc>
          <w:tcPr>
            <w:tcW w:w="992" w:type="dxa"/>
            <w:tcBorders>
              <w:top w:val="single" w:sz="4" w:space="0" w:color="auto"/>
              <w:left w:val="nil"/>
              <w:bottom w:val="single" w:sz="4" w:space="0" w:color="auto"/>
              <w:right w:val="nil"/>
            </w:tcBorders>
            <w:shd w:val="clear" w:color="auto" w:fill="auto"/>
            <w:vAlign w:val="bottom"/>
            <w:hideMark/>
          </w:tcPr>
          <w:p w14:paraId="53874275" w14:textId="32E984AB" w:rsidR="00E34CEC" w:rsidRPr="0050631D"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93" w:type="dxa"/>
            <w:tcBorders>
              <w:top w:val="single" w:sz="4" w:space="0" w:color="auto"/>
              <w:left w:val="nil"/>
              <w:bottom w:val="single" w:sz="4" w:space="0" w:color="auto"/>
              <w:right w:val="nil"/>
            </w:tcBorders>
            <w:shd w:val="clear" w:color="000000" w:fill="E6E6E6"/>
            <w:vAlign w:val="bottom"/>
            <w:hideMark/>
          </w:tcPr>
          <w:p w14:paraId="070D6E2E" w14:textId="07CF007C" w:rsidR="00E34CEC" w:rsidRPr="0050631D"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851" w:type="dxa"/>
            <w:tcBorders>
              <w:top w:val="single" w:sz="4" w:space="0" w:color="auto"/>
              <w:left w:val="nil"/>
              <w:bottom w:val="single" w:sz="4" w:space="0" w:color="auto"/>
              <w:right w:val="nil"/>
            </w:tcBorders>
            <w:shd w:val="clear" w:color="auto" w:fill="auto"/>
            <w:vAlign w:val="bottom"/>
            <w:hideMark/>
          </w:tcPr>
          <w:p w14:paraId="29488EDD" w14:textId="10615B16" w:rsidR="00E34CEC" w:rsidRPr="0050631D"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850" w:type="dxa"/>
            <w:tcBorders>
              <w:top w:val="single" w:sz="4" w:space="0" w:color="auto"/>
              <w:left w:val="nil"/>
              <w:bottom w:val="single" w:sz="4" w:space="0" w:color="auto"/>
              <w:right w:val="nil"/>
            </w:tcBorders>
            <w:shd w:val="clear" w:color="auto" w:fill="auto"/>
            <w:vAlign w:val="bottom"/>
            <w:hideMark/>
          </w:tcPr>
          <w:p w14:paraId="5F9D77F2" w14:textId="714E046D" w:rsidR="00E34CEC" w:rsidRPr="0050631D"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851" w:type="dxa"/>
            <w:tcBorders>
              <w:top w:val="single" w:sz="4" w:space="0" w:color="auto"/>
              <w:left w:val="nil"/>
              <w:bottom w:val="single" w:sz="4" w:space="0" w:color="auto"/>
              <w:right w:val="nil"/>
            </w:tcBorders>
            <w:shd w:val="clear" w:color="auto" w:fill="auto"/>
            <w:vAlign w:val="bottom"/>
            <w:hideMark/>
          </w:tcPr>
          <w:p w14:paraId="370F5994" w14:textId="5A648932" w:rsidR="00E34CEC" w:rsidRPr="0050631D"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CF4B58" w:rsidRPr="0050631D" w14:paraId="09FD801D" w14:textId="77777777" w:rsidTr="00EA2FF2">
        <w:trPr>
          <w:trHeight w:val="204"/>
        </w:trPr>
        <w:tc>
          <w:tcPr>
            <w:tcW w:w="2977" w:type="dxa"/>
            <w:tcBorders>
              <w:top w:val="nil"/>
              <w:left w:val="nil"/>
              <w:bottom w:val="nil"/>
              <w:right w:val="nil"/>
            </w:tcBorders>
            <w:shd w:val="clear" w:color="auto" w:fill="auto"/>
            <w:noWrap/>
            <w:hideMark/>
          </w:tcPr>
          <w:p w14:paraId="3D18869B" w14:textId="77777777" w:rsidR="00CF4B58" w:rsidRPr="0050631D" w:rsidRDefault="00CF4B58" w:rsidP="00CF4B58">
            <w:pPr>
              <w:spacing w:after="0" w:line="240" w:lineRule="auto"/>
              <w:jc w:val="left"/>
              <w:rPr>
                <w:rFonts w:ascii="Arial" w:hAnsi="Arial" w:cs="Arial"/>
                <w:sz w:val="16"/>
                <w:szCs w:val="16"/>
              </w:rPr>
            </w:pPr>
            <w:r w:rsidRPr="0050631D">
              <w:rPr>
                <w:rFonts w:ascii="Arial" w:hAnsi="Arial" w:cs="Arial"/>
                <w:sz w:val="16"/>
                <w:szCs w:val="16"/>
              </w:rPr>
              <w:t>Outcome 2:</w:t>
            </w:r>
          </w:p>
        </w:tc>
        <w:tc>
          <w:tcPr>
            <w:tcW w:w="992" w:type="dxa"/>
            <w:tcBorders>
              <w:top w:val="single" w:sz="4" w:space="0" w:color="auto"/>
              <w:left w:val="nil"/>
              <w:bottom w:val="nil"/>
              <w:right w:val="nil"/>
            </w:tcBorders>
            <w:shd w:val="clear" w:color="auto" w:fill="auto"/>
            <w:noWrap/>
            <w:vAlign w:val="bottom"/>
            <w:hideMark/>
          </w:tcPr>
          <w:p w14:paraId="70F0CA89" w14:textId="77777777" w:rsidR="00CF4B58" w:rsidRPr="0050631D" w:rsidRDefault="00CF4B58" w:rsidP="00CF4B58">
            <w:pPr>
              <w:spacing w:after="0" w:line="240" w:lineRule="auto"/>
              <w:jc w:val="left"/>
              <w:rPr>
                <w:rFonts w:ascii="Arial" w:hAnsi="Arial" w:cs="Arial"/>
                <w:sz w:val="16"/>
                <w:szCs w:val="16"/>
              </w:rPr>
            </w:pPr>
          </w:p>
        </w:tc>
        <w:tc>
          <w:tcPr>
            <w:tcW w:w="993" w:type="dxa"/>
            <w:tcBorders>
              <w:top w:val="single" w:sz="4" w:space="0" w:color="auto"/>
              <w:left w:val="nil"/>
              <w:bottom w:val="nil"/>
              <w:right w:val="nil"/>
            </w:tcBorders>
            <w:shd w:val="clear" w:color="000000" w:fill="E6E6E6"/>
            <w:noWrap/>
            <w:vAlign w:val="bottom"/>
            <w:hideMark/>
          </w:tcPr>
          <w:p w14:paraId="6096EEFE" w14:textId="06401D92" w:rsidR="00CF4B58" w:rsidRPr="0050631D" w:rsidRDefault="00CF4B58" w:rsidP="00CF4B58">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auto" w:fill="auto"/>
            <w:noWrap/>
            <w:vAlign w:val="bottom"/>
            <w:hideMark/>
          </w:tcPr>
          <w:p w14:paraId="195B5E9E" w14:textId="77777777" w:rsidR="00CF4B58" w:rsidRPr="0050631D" w:rsidRDefault="00CF4B58" w:rsidP="00CF4B58">
            <w:pPr>
              <w:spacing w:after="0" w:line="240" w:lineRule="auto"/>
              <w:jc w:val="right"/>
              <w:rPr>
                <w:rFonts w:ascii="Arial" w:hAnsi="Arial" w:cs="Arial"/>
                <w:sz w:val="16"/>
                <w:szCs w:val="16"/>
              </w:rPr>
            </w:pPr>
          </w:p>
        </w:tc>
        <w:tc>
          <w:tcPr>
            <w:tcW w:w="850" w:type="dxa"/>
            <w:tcBorders>
              <w:top w:val="single" w:sz="4" w:space="0" w:color="auto"/>
              <w:left w:val="nil"/>
              <w:bottom w:val="nil"/>
              <w:right w:val="nil"/>
            </w:tcBorders>
            <w:shd w:val="clear" w:color="auto" w:fill="auto"/>
            <w:noWrap/>
            <w:vAlign w:val="bottom"/>
            <w:hideMark/>
          </w:tcPr>
          <w:p w14:paraId="61498CCB" w14:textId="77777777" w:rsidR="00CF4B58" w:rsidRPr="0050631D" w:rsidRDefault="00CF4B58" w:rsidP="00CF4B58">
            <w:pPr>
              <w:spacing w:after="0" w:line="240" w:lineRule="auto"/>
              <w:jc w:val="left"/>
              <w:rPr>
                <w:rFonts w:ascii="Arial" w:hAnsi="Arial" w:cs="Arial"/>
                <w:sz w:val="16"/>
                <w:szCs w:val="16"/>
              </w:rPr>
            </w:pPr>
          </w:p>
        </w:tc>
        <w:tc>
          <w:tcPr>
            <w:tcW w:w="851" w:type="dxa"/>
            <w:tcBorders>
              <w:top w:val="single" w:sz="4" w:space="0" w:color="auto"/>
              <w:left w:val="nil"/>
              <w:bottom w:val="nil"/>
              <w:right w:val="nil"/>
            </w:tcBorders>
            <w:shd w:val="clear" w:color="auto" w:fill="auto"/>
            <w:noWrap/>
            <w:vAlign w:val="bottom"/>
            <w:hideMark/>
          </w:tcPr>
          <w:p w14:paraId="5DAB26D4" w14:textId="77777777" w:rsidR="00CF4B58" w:rsidRPr="0050631D" w:rsidRDefault="00CF4B58" w:rsidP="00CF4B58">
            <w:pPr>
              <w:spacing w:after="0" w:line="240" w:lineRule="auto"/>
              <w:jc w:val="left"/>
              <w:rPr>
                <w:rFonts w:ascii="Arial" w:hAnsi="Arial" w:cs="Arial"/>
                <w:sz w:val="16"/>
                <w:szCs w:val="16"/>
              </w:rPr>
            </w:pPr>
          </w:p>
        </w:tc>
      </w:tr>
      <w:tr w:rsidR="00CF4B58" w:rsidRPr="0050631D" w14:paraId="3EDA99E3" w14:textId="77777777" w:rsidTr="00FF2EAA">
        <w:trPr>
          <w:trHeight w:val="204"/>
        </w:trPr>
        <w:tc>
          <w:tcPr>
            <w:tcW w:w="2977" w:type="dxa"/>
            <w:tcBorders>
              <w:top w:val="nil"/>
              <w:left w:val="nil"/>
              <w:bottom w:val="nil"/>
              <w:right w:val="nil"/>
            </w:tcBorders>
            <w:shd w:val="clear" w:color="auto" w:fill="auto"/>
            <w:noWrap/>
            <w:hideMark/>
          </w:tcPr>
          <w:p w14:paraId="5D289DFE" w14:textId="77777777" w:rsidR="00CF4B58" w:rsidRPr="0050631D" w:rsidRDefault="00CF4B58" w:rsidP="00CF4B58">
            <w:pPr>
              <w:spacing w:after="0" w:line="240" w:lineRule="auto"/>
              <w:ind w:firstLineChars="100" w:firstLine="160"/>
              <w:jc w:val="left"/>
              <w:rPr>
                <w:rFonts w:ascii="Arial" w:hAnsi="Arial" w:cs="Arial"/>
                <w:sz w:val="16"/>
                <w:szCs w:val="16"/>
              </w:rPr>
            </w:pPr>
            <w:r w:rsidRPr="0050631D">
              <w:rPr>
                <w:rFonts w:ascii="Arial" w:hAnsi="Arial" w:cs="Arial"/>
                <w:sz w:val="16"/>
                <w:szCs w:val="16"/>
              </w:rPr>
              <w:t>Program 2.1: Surface Transport</w:t>
            </w:r>
          </w:p>
        </w:tc>
        <w:tc>
          <w:tcPr>
            <w:tcW w:w="992" w:type="dxa"/>
            <w:tcBorders>
              <w:top w:val="nil"/>
              <w:left w:val="nil"/>
              <w:bottom w:val="nil"/>
              <w:right w:val="nil"/>
            </w:tcBorders>
            <w:shd w:val="clear" w:color="auto" w:fill="auto"/>
            <w:noWrap/>
            <w:vAlign w:val="bottom"/>
            <w:hideMark/>
          </w:tcPr>
          <w:p w14:paraId="7A4201B8" w14:textId="77777777" w:rsidR="00CF4B58" w:rsidRPr="0050631D" w:rsidRDefault="00CF4B58" w:rsidP="00CF4B58">
            <w:pPr>
              <w:spacing w:after="0" w:line="240" w:lineRule="auto"/>
              <w:jc w:val="right"/>
              <w:rPr>
                <w:rFonts w:ascii="Arial" w:hAnsi="Arial" w:cs="Arial"/>
                <w:sz w:val="16"/>
                <w:szCs w:val="16"/>
              </w:rPr>
            </w:pPr>
            <w:r w:rsidRPr="0050631D">
              <w:rPr>
                <w:rFonts w:ascii="Arial" w:hAnsi="Arial" w:cs="Arial"/>
                <w:sz w:val="16"/>
                <w:szCs w:val="16"/>
              </w:rPr>
              <w:t>(246)</w:t>
            </w:r>
          </w:p>
        </w:tc>
        <w:tc>
          <w:tcPr>
            <w:tcW w:w="993" w:type="dxa"/>
            <w:tcBorders>
              <w:top w:val="nil"/>
              <w:left w:val="nil"/>
              <w:bottom w:val="nil"/>
              <w:right w:val="nil"/>
            </w:tcBorders>
            <w:shd w:val="clear" w:color="000000" w:fill="E6E6E6"/>
            <w:noWrap/>
            <w:vAlign w:val="bottom"/>
            <w:hideMark/>
          </w:tcPr>
          <w:p w14:paraId="5148F7FD" w14:textId="64BB2947" w:rsidR="00CF4B58" w:rsidRPr="0050631D" w:rsidRDefault="00CF4B58" w:rsidP="00CF4B58">
            <w:pPr>
              <w:spacing w:after="0" w:line="240" w:lineRule="auto"/>
              <w:jc w:val="right"/>
              <w:rPr>
                <w:rFonts w:ascii="Arial" w:hAnsi="Arial" w:cs="Arial"/>
                <w:sz w:val="16"/>
                <w:szCs w:val="16"/>
              </w:rPr>
            </w:pPr>
            <w:r w:rsidRPr="0050631D">
              <w:rPr>
                <w:rFonts w:ascii="Arial" w:hAnsi="Arial" w:cs="Arial"/>
                <w:sz w:val="16"/>
                <w:szCs w:val="16"/>
              </w:rPr>
              <w:t>246</w:t>
            </w:r>
          </w:p>
        </w:tc>
        <w:tc>
          <w:tcPr>
            <w:tcW w:w="851" w:type="dxa"/>
            <w:tcBorders>
              <w:top w:val="nil"/>
              <w:left w:val="nil"/>
              <w:bottom w:val="nil"/>
              <w:right w:val="nil"/>
            </w:tcBorders>
            <w:shd w:val="clear" w:color="auto" w:fill="auto"/>
            <w:noWrap/>
            <w:vAlign w:val="bottom"/>
            <w:hideMark/>
          </w:tcPr>
          <w:p w14:paraId="775E8065" w14:textId="7B2B6E51" w:rsidR="00CF4B58" w:rsidRPr="0050631D" w:rsidRDefault="00CF4B58" w:rsidP="00CF4B58">
            <w:pPr>
              <w:spacing w:after="0" w:line="240" w:lineRule="auto"/>
              <w:jc w:val="right"/>
              <w:rPr>
                <w:rFonts w:ascii="Arial" w:hAnsi="Arial" w:cs="Arial"/>
                <w:sz w:val="16"/>
                <w:szCs w:val="16"/>
              </w:rPr>
            </w:pPr>
            <w:r w:rsidRPr="0050631D">
              <w:rPr>
                <w:rFonts w:ascii="Arial" w:hAnsi="Arial" w:cs="Arial"/>
                <w:sz w:val="16"/>
                <w:szCs w:val="16"/>
              </w:rPr>
              <w:t>-</w:t>
            </w:r>
          </w:p>
        </w:tc>
        <w:tc>
          <w:tcPr>
            <w:tcW w:w="850" w:type="dxa"/>
            <w:tcBorders>
              <w:top w:val="nil"/>
              <w:left w:val="nil"/>
              <w:bottom w:val="nil"/>
              <w:right w:val="nil"/>
            </w:tcBorders>
            <w:shd w:val="clear" w:color="auto" w:fill="auto"/>
            <w:noWrap/>
            <w:vAlign w:val="bottom"/>
            <w:hideMark/>
          </w:tcPr>
          <w:p w14:paraId="7F709A93" w14:textId="4C341E59" w:rsidR="00CF4B58" w:rsidRPr="0050631D" w:rsidRDefault="00CF4B58" w:rsidP="00CF4B58">
            <w:pPr>
              <w:spacing w:after="0" w:line="240" w:lineRule="auto"/>
              <w:jc w:val="right"/>
              <w:rPr>
                <w:rFonts w:ascii="Arial" w:hAnsi="Arial" w:cs="Arial"/>
                <w:sz w:val="16"/>
                <w:szCs w:val="16"/>
              </w:rPr>
            </w:pPr>
            <w:r w:rsidRPr="0050631D">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1DE6EB39" w14:textId="067D1F2B" w:rsidR="00CF4B58" w:rsidRPr="0050631D" w:rsidRDefault="00CF4B58" w:rsidP="00CF4B58">
            <w:pPr>
              <w:spacing w:after="0" w:line="240" w:lineRule="auto"/>
              <w:jc w:val="right"/>
              <w:rPr>
                <w:rFonts w:ascii="Arial" w:hAnsi="Arial" w:cs="Arial"/>
                <w:sz w:val="16"/>
                <w:szCs w:val="16"/>
              </w:rPr>
            </w:pPr>
            <w:r w:rsidRPr="0050631D">
              <w:rPr>
                <w:rFonts w:ascii="Arial" w:hAnsi="Arial" w:cs="Arial"/>
                <w:sz w:val="16"/>
                <w:szCs w:val="16"/>
              </w:rPr>
              <w:t>-</w:t>
            </w:r>
          </w:p>
        </w:tc>
      </w:tr>
      <w:tr w:rsidR="00270ED1" w:rsidRPr="0050631D" w14:paraId="302EDAB9" w14:textId="77777777" w:rsidTr="00FF2EAA">
        <w:trPr>
          <w:trHeight w:val="204"/>
        </w:trPr>
        <w:tc>
          <w:tcPr>
            <w:tcW w:w="2977" w:type="dxa"/>
            <w:tcBorders>
              <w:top w:val="nil"/>
              <w:left w:val="nil"/>
              <w:bottom w:val="nil"/>
              <w:right w:val="nil"/>
            </w:tcBorders>
            <w:shd w:val="clear" w:color="auto" w:fill="auto"/>
            <w:noWrap/>
            <w:hideMark/>
          </w:tcPr>
          <w:p w14:paraId="634E6B6F" w14:textId="77777777" w:rsidR="00270ED1" w:rsidRPr="0050631D" w:rsidRDefault="00270ED1" w:rsidP="00270ED1">
            <w:pPr>
              <w:spacing w:after="0" w:line="240" w:lineRule="auto"/>
              <w:ind w:firstLineChars="100" w:firstLine="160"/>
              <w:jc w:val="left"/>
              <w:outlineLvl w:val="1"/>
              <w:rPr>
                <w:rFonts w:ascii="Arial" w:hAnsi="Arial" w:cs="Arial"/>
                <w:sz w:val="16"/>
                <w:szCs w:val="16"/>
              </w:rPr>
            </w:pPr>
            <w:r w:rsidRPr="0050631D">
              <w:rPr>
                <w:rFonts w:ascii="Arial" w:hAnsi="Arial" w:cs="Arial"/>
                <w:sz w:val="16"/>
                <w:szCs w:val="16"/>
              </w:rPr>
              <w:t>Program 2.2: Road Safety</w:t>
            </w:r>
          </w:p>
        </w:tc>
        <w:tc>
          <w:tcPr>
            <w:tcW w:w="992" w:type="dxa"/>
            <w:tcBorders>
              <w:top w:val="nil"/>
              <w:left w:val="nil"/>
              <w:bottom w:val="nil"/>
              <w:right w:val="nil"/>
            </w:tcBorders>
            <w:shd w:val="clear" w:color="auto" w:fill="auto"/>
            <w:noWrap/>
            <w:vAlign w:val="bottom"/>
            <w:hideMark/>
          </w:tcPr>
          <w:p w14:paraId="527C7696" w14:textId="4521ECBB" w:rsidR="00270ED1" w:rsidRPr="0050631D" w:rsidRDefault="00270ED1" w:rsidP="00270ED1">
            <w:pPr>
              <w:spacing w:after="0" w:line="240" w:lineRule="auto"/>
              <w:jc w:val="right"/>
              <w:outlineLvl w:val="1"/>
              <w:rPr>
                <w:rFonts w:ascii="Arial" w:hAnsi="Arial" w:cs="Arial"/>
                <w:sz w:val="16"/>
                <w:szCs w:val="16"/>
              </w:rPr>
            </w:pPr>
            <w:r>
              <w:rPr>
                <w:rFonts w:ascii="Arial" w:hAnsi="Arial" w:cs="Arial"/>
                <w:sz w:val="16"/>
                <w:szCs w:val="16"/>
              </w:rPr>
              <w:t>(86)</w:t>
            </w:r>
          </w:p>
        </w:tc>
        <w:tc>
          <w:tcPr>
            <w:tcW w:w="993" w:type="dxa"/>
            <w:tcBorders>
              <w:top w:val="nil"/>
              <w:left w:val="nil"/>
              <w:bottom w:val="nil"/>
              <w:right w:val="nil"/>
            </w:tcBorders>
            <w:shd w:val="clear" w:color="000000" w:fill="E6E6E6"/>
            <w:noWrap/>
            <w:vAlign w:val="bottom"/>
            <w:hideMark/>
          </w:tcPr>
          <w:p w14:paraId="0BDE3C9A" w14:textId="730CB4CE" w:rsidR="00270ED1" w:rsidRPr="0050631D" w:rsidRDefault="00270ED1" w:rsidP="00270ED1">
            <w:pPr>
              <w:spacing w:after="0" w:line="240" w:lineRule="auto"/>
              <w:jc w:val="right"/>
              <w:outlineLvl w:val="1"/>
              <w:rPr>
                <w:rFonts w:ascii="Arial" w:hAnsi="Arial" w:cs="Arial"/>
                <w:sz w:val="16"/>
                <w:szCs w:val="16"/>
              </w:rPr>
            </w:pPr>
            <w:r>
              <w:rPr>
                <w:rFonts w:ascii="Arial" w:hAnsi="Arial" w:cs="Arial"/>
                <w:sz w:val="16"/>
                <w:szCs w:val="16"/>
              </w:rPr>
              <w:t xml:space="preserve">358 </w:t>
            </w:r>
          </w:p>
        </w:tc>
        <w:tc>
          <w:tcPr>
            <w:tcW w:w="851" w:type="dxa"/>
            <w:tcBorders>
              <w:top w:val="nil"/>
              <w:left w:val="nil"/>
              <w:bottom w:val="nil"/>
              <w:right w:val="nil"/>
            </w:tcBorders>
            <w:shd w:val="clear" w:color="auto" w:fill="auto"/>
            <w:noWrap/>
            <w:vAlign w:val="bottom"/>
            <w:hideMark/>
          </w:tcPr>
          <w:p w14:paraId="67C786D5" w14:textId="7A7D9BD9" w:rsidR="00270ED1" w:rsidRPr="0050631D" w:rsidRDefault="00270ED1" w:rsidP="00270ED1">
            <w:pPr>
              <w:spacing w:after="0" w:line="240" w:lineRule="auto"/>
              <w:jc w:val="right"/>
              <w:outlineLvl w:val="1"/>
              <w:rPr>
                <w:rFonts w:ascii="Arial" w:hAnsi="Arial" w:cs="Arial"/>
                <w:sz w:val="16"/>
                <w:szCs w:val="16"/>
              </w:rPr>
            </w:pPr>
            <w:r>
              <w:rPr>
                <w:rFonts w:ascii="Arial" w:hAnsi="Arial" w:cs="Arial"/>
                <w:sz w:val="16"/>
                <w:szCs w:val="16"/>
              </w:rPr>
              <w:t>(272)</w:t>
            </w:r>
          </w:p>
        </w:tc>
        <w:tc>
          <w:tcPr>
            <w:tcW w:w="850" w:type="dxa"/>
            <w:tcBorders>
              <w:top w:val="nil"/>
              <w:left w:val="nil"/>
              <w:bottom w:val="nil"/>
              <w:right w:val="nil"/>
            </w:tcBorders>
            <w:shd w:val="clear" w:color="auto" w:fill="auto"/>
            <w:noWrap/>
            <w:vAlign w:val="bottom"/>
            <w:hideMark/>
          </w:tcPr>
          <w:p w14:paraId="6C8C7DA1" w14:textId="48F313FC" w:rsidR="00270ED1" w:rsidRPr="0050631D" w:rsidRDefault="00270ED1" w:rsidP="00270ED1">
            <w:pPr>
              <w:spacing w:after="0" w:line="240" w:lineRule="auto"/>
              <w:jc w:val="right"/>
              <w:outlineLvl w:val="1"/>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64BC8B0A" w14:textId="69B32FDE" w:rsidR="00270ED1" w:rsidRPr="0050631D" w:rsidRDefault="00270ED1" w:rsidP="00270ED1">
            <w:pPr>
              <w:spacing w:after="0" w:line="240" w:lineRule="auto"/>
              <w:jc w:val="right"/>
              <w:outlineLvl w:val="1"/>
              <w:rPr>
                <w:rFonts w:ascii="Arial" w:hAnsi="Arial" w:cs="Arial"/>
                <w:sz w:val="16"/>
                <w:szCs w:val="16"/>
              </w:rPr>
            </w:pPr>
            <w:r>
              <w:rPr>
                <w:rFonts w:ascii="Arial" w:hAnsi="Arial" w:cs="Arial"/>
                <w:sz w:val="16"/>
                <w:szCs w:val="16"/>
              </w:rPr>
              <w:t xml:space="preserve">- </w:t>
            </w:r>
          </w:p>
        </w:tc>
      </w:tr>
      <w:tr w:rsidR="00270ED1" w:rsidRPr="0050631D" w14:paraId="2BEB8A07" w14:textId="77777777" w:rsidTr="00FF2EAA">
        <w:trPr>
          <w:trHeight w:val="204"/>
        </w:trPr>
        <w:tc>
          <w:tcPr>
            <w:tcW w:w="2977" w:type="dxa"/>
            <w:tcBorders>
              <w:top w:val="nil"/>
              <w:left w:val="nil"/>
              <w:bottom w:val="nil"/>
              <w:right w:val="nil"/>
            </w:tcBorders>
            <w:shd w:val="clear" w:color="auto" w:fill="auto"/>
            <w:noWrap/>
            <w:hideMark/>
          </w:tcPr>
          <w:p w14:paraId="1089A7C1" w14:textId="77777777" w:rsidR="00270ED1" w:rsidRPr="0050631D" w:rsidRDefault="00270ED1" w:rsidP="00270ED1">
            <w:pPr>
              <w:spacing w:after="0" w:line="240" w:lineRule="auto"/>
              <w:ind w:firstLineChars="100" w:firstLine="160"/>
              <w:jc w:val="left"/>
              <w:outlineLvl w:val="1"/>
              <w:rPr>
                <w:rFonts w:ascii="Arial" w:hAnsi="Arial" w:cs="Arial"/>
                <w:sz w:val="16"/>
                <w:szCs w:val="16"/>
              </w:rPr>
            </w:pPr>
            <w:r w:rsidRPr="0050631D">
              <w:rPr>
                <w:rFonts w:ascii="Arial" w:hAnsi="Arial" w:cs="Arial"/>
                <w:sz w:val="16"/>
                <w:szCs w:val="16"/>
              </w:rPr>
              <w:t>Program 2.3: Air Transport</w:t>
            </w:r>
          </w:p>
        </w:tc>
        <w:tc>
          <w:tcPr>
            <w:tcW w:w="992" w:type="dxa"/>
            <w:tcBorders>
              <w:top w:val="nil"/>
              <w:left w:val="nil"/>
              <w:bottom w:val="nil"/>
              <w:right w:val="nil"/>
            </w:tcBorders>
            <w:shd w:val="clear" w:color="auto" w:fill="auto"/>
            <w:noWrap/>
            <w:vAlign w:val="bottom"/>
            <w:hideMark/>
          </w:tcPr>
          <w:p w14:paraId="0BF5419A" w14:textId="2CF0ABFD" w:rsidR="00270ED1" w:rsidRPr="0050631D" w:rsidRDefault="00270ED1" w:rsidP="00270ED1">
            <w:pPr>
              <w:spacing w:after="0" w:line="240" w:lineRule="auto"/>
              <w:jc w:val="right"/>
              <w:outlineLvl w:val="1"/>
              <w:rPr>
                <w:rFonts w:ascii="Arial" w:hAnsi="Arial" w:cs="Arial"/>
                <w:sz w:val="16"/>
                <w:szCs w:val="16"/>
              </w:rPr>
            </w:pPr>
            <w:r>
              <w:rPr>
                <w:rFonts w:ascii="Arial" w:hAnsi="Arial" w:cs="Arial"/>
                <w:sz w:val="16"/>
                <w:szCs w:val="16"/>
              </w:rPr>
              <w:t>(233,512)</w:t>
            </w:r>
          </w:p>
        </w:tc>
        <w:tc>
          <w:tcPr>
            <w:tcW w:w="993" w:type="dxa"/>
            <w:tcBorders>
              <w:top w:val="nil"/>
              <w:left w:val="nil"/>
              <w:bottom w:val="single" w:sz="4" w:space="0" w:color="auto"/>
              <w:right w:val="nil"/>
            </w:tcBorders>
            <w:shd w:val="clear" w:color="000000" w:fill="E6E6E6"/>
            <w:noWrap/>
            <w:vAlign w:val="bottom"/>
            <w:hideMark/>
          </w:tcPr>
          <w:p w14:paraId="5AE2640C" w14:textId="0D9D0126" w:rsidR="00270ED1" w:rsidRPr="0050631D" w:rsidRDefault="00270ED1" w:rsidP="00270ED1">
            <w:pPr>
              <w:spacing w:after="0" w:line="240" w:lineRule="auto"/>
              <w:jc w:val="right"/>
              <w:outlineLvl w:val="1"/>
              <w:rPr>
                <w:rFonts w:ascii="Arial" w:hAnsi="Arial" w:cs="Arial"/>
                <w:sz w:val="16"/>
                <w:szCs w:val="16"/>
              </w:rPr>
            </w:pPr>
            <w:r>
              <w:rPr>
                <w:rFonts w:ascii="Arial" w:hAnsi="Arial" w:cs="Arial"/>
                <w:sz w:val="16"/>
                <w:szCs w:val="16"/>
              </w:rPr>
              <w:t xml:space="preserve">180,435 </w:t>
            </w:r>
          </w:p>
        </w:tc>
        <w:tc>
          <w:tcPr>
            <w:tcW w:w="851" w:type="dxa"/>
            <w:tcBorders>
              <w:top w:val="nil"/>
              <w:left w:val="nil"/>
              <w:bottom w:val="nil"/>
              <w:right w:val="nil"/>
            </w:tcBorders>
            <w:shd w:val="clear" w:color="auto" w:fill="auto"/>
            <w:noWrap/>
            <w:vAlign w:val="bottom"/>
            <w:hideMark/>
          </w:tcPr>
          <w:p w14:paraId="3A24F58E" w14:textId="02A20E89" w:rsidR="00270ED1" w:rsidRPr="0050631D" w:rsidRDefault="00270ED1" w:rsidP="00270ED1">
            <w:pPr>
              <w:spacing w:after="0" w:line="240" w:lineRule="auto"/>
              <w:jc w:val="right"/>
              <w:outlineLvl w:val="1"/>
              <w:rPr>
                <w:rFonts w:ascii="Arial" w:hAnsi="Arial" w:cs="Arial"/>
                <w:sz w:val="16"/>
                <w:szCs w:val="16"/>
              </w:rPr>
            </w:pPr>
            <w:r>
              <w:rPr>
                <w:rFonts w:ascii="Arial" w:hAnsi="Arial" w:cs="Arial"/>
                <w:sz w:val="16"/>
                <w:szCs w:val="16"/>
              </w:rPr>
              <w:t xml:space="preserve">40,727 </w:t>
            </w:r>
          </w:p>
        </w:tc>
        <w:tc>
          <w:tcPr>
            <w:tcW w:w="850" w:type="dxa"/>
            <w:tcBorders>
              <w:top w:val="nil"/>
              <w:left w:val="nil"/>
              <w:bottom w:val="nil"/>
              <w:right w:val="nil"/>
            </w:tcBorders>
            <w:shd w:val="clear" w:color="auto" w:fill="auto"/>
            <w:noWrap/>
            <w:vAlign w:val="bottom"/>
            <w:hideMark/>
          </w:tcPr>
          <w:p w14:paraId="36ED1038" w14:textId="09A67049" w:rsidR="00270ED1" w:rsidRPr="0050631D" w:rsidRDefault="00270ED1" w:rsidP="00270ED1">
            <w:pPr>
              <w:spacing w:after="0" w:line="240" w:lineRule="auto"/>
              <w:jc w:val="right"/>
              <w:outlineLvl w:val="1"/>
              <w:rPr>
                <w:rFonts w:ascii="Arial" w:hAnsi="Arial" w:cs="Arial"/>
                <w:sz w:val="16"/>
                <w:szCs w:val="16"/>
              </w:rPr>
            </w:pPr>
            <w:r>
              <w:rPr>
                <w:rFonts w:ascii="Arial" w:hAnsi="Arial" w:cs="Arial"/>
                <w:sz w:val="16"/>
                <w:szCs w:val="16"/>
              </w:rPr>
              <w:t xml:space="preserve">12,350 </w:t>
            </w:r>
          </w:p>
        </w:tc>
        <w:tc>
          <w:tcPr>
            <w:tcW w:w="851" w:type="dxa"/>
            <w:tcBorders>
              <w:top w:val="nil"/>
              <w:left w:val="nil"/>
              <w:bottom w:val="nil"/>
              <w:right w:val="nil"/>
            </w:tcBorders>
            <w:shd w:val="clear" w:color="auto" w:fill="auto"/>
            <w:noWrap/>
            <w:vAlign w:val="bottom"/>
            <w:hideMark/>
          </w:tcPr>
          <w:p w14:paraId="3F9400B2" w14:textId="78003ED3" w:rsidR="00270ED1" w:rsidRPr="0050631D" w:rsidRDefault="00270ED1" w:rsidP="00270ED1">
            <w:pPr>
              <w:spacing w:after="0" w:line="240" w:lineRule="auto"/>
              <w:jc w:val="right"/>
              <w:outlineLvl w:val="1"/>
              <w:rPr>
                <w:rFonts w:ascii="Arial" w:hAnsi="Arial" w:cs="Arial"/>
                <w:sz w:val="16"/>
                <w:szCs w:val="16"/>
              </w:rPr>
            </w:pPr>
            <w:r>
              <w:rPr>
                <w:rFonts w:ascii="Arial" w:hAnsi="Arial" w:cs="Arial"/>
                <w:sz w:val="16"/>
                <w:szCs w:val="16"/>
              </w:rPr>
              <w:t xml:space="preserve">- </w:t>
            </w:r>
          </w:p>
        </w:tc>
      </w:tr>
      <w:tr w:rsidR="00270ED1" w:rsidRPr="0050631D" w14:paraId="50B0E003" w14:textId="77777777" w:rsidTr="00FF2EAA">
        <w:trPr>
          <w:trHeight w:val="204"/>
        </w:trPr>
        <w:tc>
          <w:tcPr>
            <w:tcW w:w="2977" w:type="dxa"/>
            <w:tcBorders>
              <w:top w:val="nil"/>
              <w:left w:val="nil"/>
              <w:bottom w:val="single" w:sz="4" w:space="0" w:color="auto"/>
              <w:right w:val="nil"/>
            </w:tcBorders>
            <w:shd w:val="clear" w:color="auto" w:fill="auto"/>
            <w:vAlign w:val="bottom"/>
            <w:hideMark/>
          </w:tcPr>
          <w:p w14:paraId="218E640E" w14:textId="3EBFEEF4" w:rsidR="00270ED1" w:rsidRPr="0050631D" w:rsidRDefault="00270ED1" w:rsidP="00270ED1">
            <w:pPr>
              <w:spacing w:after="0" w:line="240" w:lineRule="auto"/>
              <w:jc w:val="left"/>
              <w:rPr>
                <w:rFonts w:ascii="Arial" w:hAnsi="Arial" w:cs="Arial"/>
                <w:b/>
                <w:bCs/>
                <w:sz w:val="16"/>
                <w:szCs w:val="16"/>
              </w:rPr>
            </w:pPr>
            <w:r>
              <w:rPr>
                <w:rFonts w:ascii="Arial" w:hAnsi="Arial" w:cs="Arial"/>
                <w:b/>
                <w:bCs/>
                <w:sz w:val="16"/>
                <w:szCs w:val="16"/>
              </w:rPr>
              <w:t>Total movement of A</w:t>
            </w:r>
            <w:r w:rsidRPr="0050631D">
              <w:rPr>
                <w:rFonts w:ascii="Arial" w:hAnsi="Arial" w:cs="Arial"/>
                <w:b/>
                <w:bCs/>
                <w:sz w:val="16"/>
                <w:szCs w:val="16"/>
              </w:rPr>
              <w:t>dministered funds between years</w:t>
            </w:r>
          </w:p>
        </w:tc>
        <w:tc>
          <w:tcPr>
            <w:tcW w:w="992" w:type="dxa"/>
            <w:tcBorders>
              <w:top w:val="single" w:sz="4" w:space="0" w:color="auto"/>
              <w:left w:val="nil"/>
              <w:bottom w:val="single" w:sz="4" w:space="0" w:color="auto"/>
              <w:right w:val="nil"/>
            </w:tcBorders>
            <w:shd w:val="clear" w:color="auto" w:fill="auto"/>
            <w:noWrap/>
            <w:vAlign w:val="bottom"/>
            <w:hideMark/>
          </w:tcPr>
          <w:p w14:paraId="6EA12401" w14:textId="2733D2F0" w:rsidR="00270ED1" w:rsidRPr="0050631D" w:rsidRDefault="00270ED1" w:rsidP="00270ED1">
            <w:pPr>
              <w:spacing w:after="0" w:line="240" w:lineRule="auto"/>
              <w:jc w:val="right"/>
              <w:rPr>
                <w:rFonts w:ascii="Arial" w:hAnsi="Arial" w:cs="Arial"/>
                <w:b/>
                <w:bCs/>
                <w:sz w:val="16"/>
                <w:szCs w:val="16"/>
              </w:rPr>
            </w:pPr>
            <w:r>
              <w:rPr>
                <w:rFonts w:ascii="Arial" w:hAnsi="Arial" w:cs="Arial"/>
                <w:b/>
                <w:bCs/>
                <w:sz w:val="16"/>
                <w:szCs w:val="16"/>
              </w:rPr>
              <w:t>(233,844)</w:t>
            </w:r>
          </w:p>
        </w:tc>
        <w:tc>
          <w:tcPr>
            <w:tcW w:w="993" w:type="dxa"/>
            <w:tcBorders>
              <w:top w:val="nil"/>
              <w:left w:val="nil"/>
              <w:bottom w:val="single" w:sz="4" w:space="0" w:color="auto"/>
              <w:right w:val="nil"/>
            </w:tcBorders>
            <w:shd w:val="clear" w:color="000000" w:fill="E6E6E6"/>
            <w:noWrap/>
            <w:vAlign w:val="bottom"/>
            <w:hideMark/>
          </w:tcPr>
          <w:p w14:paraId="36EF4009" w14:textId="6E64FCEF" w:rsidR="00270ED1" w:rsidRPr="0050631D" w:rsidRDefault="00270ED1" w:rsidP="00270ED1">
            <w:pPr>
              <w:spacing w:after="0" w:line="240" w:lineRule="auto"/>
              <w:jc w:val="right"/>
              <w:rPr>
                <w:rFonts w:ascii="Arial" w:hAnsi="Arial" w:cs="Arial"/>
                <w:b/>
                <w:bCs/>
                <w:sz w:val="16"/>
                <w:szCs w:val="16"/>
              </w:rPr>
            </w:pPr>
            <w:r>
              <w:rPr>
                <w:rFonts w:ascii="Arial" w:hAnsi="Arial" w:cs="Arial"/>
                <w:b/>
                <w:bCs/>
                <w:sz w:val="16"/>
                <w:szCs w:val="16"/>
              </w:rPr>
              <w:t xml:space="preserve">181,039 </w:t>
            </w:r>
          </w:p>
        </w:tc>
        <w:tc>
          <w:tcPr>
            <w:tcW w:w="851" w:type="dxa"/>
            <w:tcBorders>
              <w:top w:val="single" w:sz="4" w:space="0" w:color="auto"/>
              <w:left w:val="nil"/>
              <w:bottom w:val="single" w:sz="4" w:space="0" w:color="auto"/>
              <w:right w:val="nil"/>
            </w:tcBorders>
            <w:shd w:val="clear" w:color="auto" w:fill="auto"/>
            <w:noWrap/>
            <w:vAlign w:val="bottom"/>
            <w:hideMark/>
          </w:tcPr>
          <w:p w14:paraId="137874E9" w14:textId="78009FEA" w:rsidR="00270ED1" w:rsidRPr="0050631D" w:rsidRDefault="00270ED1" w:rsidP="00270ED1">
            <w:pPr>
              <w:spacing w:after="0" w:line="240" w:lineRule="auto"/>
              <w:jc w:val="right"/>
              <w:rPr>
                <w:rFonts w:ascii="Arial" w:hAnsi="Arial" w:cs="Arial"/>
                <w:b/>
                <w:bCs/>
                <w:sz w:val="16"/>
                <w:szCs w:val="16"/>
              </w:rPr>
            </w:pPr>
            <w:r>
              <w:rPr>
                <w:rFonts w:ascii="Arial" w:hAnsi="Arial" w:cs="Arial"/>
                <w:b/>
                <w:bCs/>
                <w:sz w:val="16"/>
                <w:szCs w:val="16"/>
              </w:rPr>
              <w:t xml:space="preserve">40,455 </w:t>
            </w:r>
          </w:p>
        </w:tc>
        <w:tc>
          <w:tcPr>
            <w:tcW w:w="850" w:type="dxa"/>
            <w:tcBorders>
              <w:top w:val="single" w:sz="4" w:space="0" w:color="auto"/>
              <w:left w:val="nil"/>
              <w:bottom w:val="single" w:sz="4" w:space="0" w:color="auto"/>
              <w:right w:val="nil"/>
            </w:tcBorders>
            <w:shd w:val="clear" w:color="auto" w:fill="auto"/>
            <w:noWrap/>
            <w:vAlign w:val="bottom"/>
            <w:hideMark/>
          </w:tcPr>
          <w:p w14:paraId="0F29C7BE" w14:textId="6A19AE28" w:rsidR="00270ED1" w:rsidRPr="0050631D" w:rsidRDefault="00270ED1" w:rsidP="00270ED1">
            <w:pPr>
              <w:spacing w:after="0" w:line="240" w:lineRule="auto"/>
              <w:jc w:val="right"/>
              <w:rPr>
                <w:rFonts w:ascii="Arial" w:hAnsi="Arial" w:cs="Arial"/>
                <w:b/>
                <w:bCs/>
                <w:sz w:val="16"/>
                <w:szCs w:val="16"/>
              </w:rPr>
            </w:pPr>
            <w:r>
              <w:rPr>
                <w:rFonts w:ascii="Arial" w:hAnsi="Arial" w:cs="Arial"/>
                <w:b/>
                <w:bCs/>
                <w:sz w:val="16"/>
                <w:szCs w:val="16"/>
              </w:rPr>
              <w:t xml:space="preserve">12,350 </w:t>
            </w:r>
          </w:p>
        </w:tc>
        <w:tc>
          <w:tcPr>
            <w:tcW w:w="851" w:type="dxa"/>
            <w:tcBorders>
              <w:top w:val="single" w:sz="4" w:space="0" w:color="auto"/>
              <w:left w:val="nil"/>
              <w:bottom w:val="single" w:sz="4" w:space="0" w:color="auto"/>
              <w:right w:val="nil"/>
            </w:tcBorders>
            <w:shd w:val="clear" w:color="auto" w:fill="auto"/>
            <w:noWrap/>
            <w:vAlign w:val="bottom"/>
            <w:hideMark/>
          </w:tcPr>
          <w:p w14:paraId="50E0873C" w14:textId="55AE2123" w:rsidR="00270ED1" w:rsidRPr="0050631D" w:rsidRDefault="00270ED1" w:rsidP="00270ED1">
            <w:pPr>
              <w:spacing w:after="0" w:line="240" w:lineRule="auto"/>
              <w:jc w:val="right"/>
              <w:rPr>
                <w:rFonts w:ascii="Arial" w:hAnsi="Arial" w:cs="Arial"/>
                <w:b/>
                <w:bCs/>
                <w:sz w:val="16"/>
                <w:szCs w:val="16"/>
              </w:rPr>
            </w:pPr>
            <w:r>
              <w:rPr>
                <w:rFonts w:ascii="Arial" w:hAnsi="Arial" w:cs="Arial"/>
                <w:b/>
                <w:bCs/>
                <w:sz w:val="16"/>
                <w:szCs w:val="16"/>
              </w:rPr>
              <w:t xml:space="preserve">- </w:t>
            </w:r>
          </w:p>
        </w:tc>
      </w:tr>
    </w:tbl>
    <w:p w14:paraId="71A40E52" w14:textId="13BD1B95" w:rsidR="00CF4B58" w:rsidRPr="0050631D" w:rsidRDefault="00CF4B58" w:rsidP="00CF4B58">
      <w:pPr>
        <w:pStyle w:val="TableGraphic"/>
        <w:rPr>
          <w:rFonts w:ascii="Arial" w:hAnsi="Arial" w:cs="Arial"/>
          <w:color w:val="auto"/>
          <w:sz w:val="16"/>
        </w:rPr>
      </w:pPr>
    </w:p>
    <w:tbl>
      <w:tblPr>
        <w:tblW w:w="4962" w:type="dxa"/>
        <w:tblLook w:val="04A0" w:firstRow="1" w:lastRow="0" w:firstColumn="1" w:lastColumn="0" w:noHBand="0" w:noVBand="1"/>
      </w:tblPr>
      <w:tblGrid>
        <w:gridCol w:w="2977"/>
        <w:gridCol w:w="992"/>
        <w:gridCol w:w="993"/>
      </w:tblGrid>
      <w:tr w:rsidR="0050631D" w:rsidRPr="00BC4775" w14:paraId="0EE61003" w14:textId="77777777" w:rsidTr="00EA2FF2">
        <w:trPr>
          <w:trHeight w:val="225"/>
        </w:trPr>
        <w:tc>
          <w:tcPr>
            <w:tcW w:w="2977" w:type="dxa"/>
            <w:tcBorders>
              <w:top w:val="single" w:sz="4" w:space="0" w:color="auto"/>
              <w:left w:val="nil"/>
              <w:bottom w:val="nil"/>
              <w:right w:val="nil"/>
            </w:tcBorders>
            <w:shd w:val="clear" w:color="auto" w:fill="auto"/>
            <w:noWrap/>
            <w:hideMark/>
          </w:tcPr>
          <w:p w14:paraId="49A1DEE1" w14:textId="77777777" w:rsidR="0050631D" w:rsidRPr="00BC4775" w:rsidRDefault="0050631D" w:rsidP="00EC14B6">
            <w:pPr>
              <w:spacing w:after="0" w:line="240" w:lineRule="auto"/>
              <w:ind w:firstLineChars="100" w:firstLine="160"/>
              <w:jc w:val="left"/>
              <w:rPr>
                <w:rFonts w:ascii="Arial" w:hAnsi="Arial" w:cs="Arial"/>
                <w:sz w:val="16"/>
                <w:szCs w:val="16"/>
              </w:rPr>
            </w:pPr>
            <w:r w:rsidRPr="00BC4775">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noWrap/>
            <w:hideMark/>
          </w:tcPr>
          <w:p w14:paraId="61F03F98" w14:textId="77777777" w:rsidR="0050631D" w:rsidRPr="00BC4775" w:rsidRDefault="0050631D" w:rsidP="00EC14B6">
            <w:pPr>
              <w:spacing w:after="0" w:line="240" w:lineRule="auto"/>
              <w:jc w:val="right"/>
              <w:rPr>
                <w:rFonts w:ascii="Arial" w:hAnsi="Arial" w:cs="Arial"/>
                <w:sz w:val="16"/>
                <w:szCs w:val="16"/>
              </w:rPr>
            </w:pPr>
            <w:r>
              <w:rPr>
                <w:rFonts w:ascii="Arial" w:hAnsi="Arial" w:cs="Arial"/>
                <w:sz w:val="16"/>
                <w:szCs w:val="16"/>
              </w:rPr>
              <w:t xml:space="preserve">Actual </w:t>
            </w:r>
            <w:r w:rsidRPr="00BC4775">
              <w:rPr>
                <w:rFonts w:ascii="Arial" w:hAnsi="Arial" w:cs="Arial"/>
                <w:sz w:val="16"/>
                <w:szCs w:val="16"/>
              </w:rPr>
              <w:t>2020-21</w:t>
            </w:r>
          </w:p>
        </w:tc>
        <w:tc>
          <w:tcPr>
            <w:tcW w:w="993" w:type="dxa"/>
            <w:tcBorders>
              <w:top w:val="single" w:sz="4" w:space="0" w:color="auto"/>
              <w:left w:val="nil"/>
              <w:bottom w:val="single" w:sz="4" w:space="0" w:color="auto"/>
              <w:right w:val="nil"/>
            </w:tcBorders>
            <w:shd w:val="clear" w:color="000000" w:fill="E6E6E6"/>
            <w:vAlign w:val="bottom"/>
            <w:hideMark/>
          </w:tcPr>
          <w:p w14:paraId="58C48C99" w14:textId="77777777" w:rsidR="0050631D" w:rsidRPr="00BC4775" w:rsidRDefault="0050631D" w:rsidP="00EC14B6">
            <w:pPr>
              <w:spacing w:after="0" w:line="240" w:lineRule="auto"/>
              <w:jc w:val="right"/>
              <w:rPr>
                <w:rFonts w:ascii="Arial" w:hAnsi="Arial" w:cs="Arial"/>
                <w:sz w:val="16"/>
                <w:szCs w:val="16"/>
              </w:rPr>
            </w:pPr>
            <w:r w:rsidRPr="00BC4775">
              <w:rPr>
                <w:rFonts w:ascii="Arial" w:hAnsi="Arial" w:cs="Arial"/>
                <w:sz w:val="16"/>
                <w:szCs w:val="16"/>
              </w:rPr>
              <w:t>2021-22</w:t>
            </w:r>
          </w:p>
        </w:tc>
      </w:tr>
      <w:tr w:rsidR="0050631D" w:rsidRPr="00BC4775" w14:paraId="4886CCB0" w14:textId="77777777" w:rsidTr="00EA2FF2">
        <w:trPr>
          <w:trHeight w:val="204"/>
        </w:trPr>
        <w:tc>
          <w:tcPr>
            <w:tcW w:w="2977" w:type="dxa"/>
            <w:tcBorders>
              <w:top w:val="nil"/>
              <w:left w:val="nil"/>
              <w:bottom w:val="single" w:sz="4" w:space="0" w:color="auto"/>
              <w:right w:val="nil"/>
            </w:tcBorders>
            <w:shd w:val="clear" w:color="auto" w:fill="auto"/>
            <w:noWrap/>
            <w:hideMark/>
          </w:tcPr>
          <w:p w14:paraId="2B01063A" w14:textId="77777777" w:rsidR="0050631D" w:rsidRPr="00BC4775" w:rsidRDefault="0050631D" w:rsidP="00EC14B6">
            <w:pPr>
              <w:spacing w:after="0" w:line="240" w:lineRule="auto"/>
              <w:jc w:val="left"/>
              <w:rPr>
                <w:rFonts w:ascii="Arial" w:hAnsi="Arial" w:cs="Arial"/>
                <w:b/>
                <w:bCs/>
                <w:sz w:val="16"/>
                <w:szCs w:val="16"/>
              </w:rPr>
            </w:pPr>
            <w:r w:rsidRPr="00BC4775">
              <w:rPr>
                <w:rFonts w:ascii="Arial" w:hAnsi="Arial" w:cs="Arial"/>
                <w:b/>
                <w:bCs/>
                <w:sz w:val="16"/>
                <w:szCs w:val="16"/>
              </w:rPr>
              <w:t>Average staffing level (number)</w:t>
            </w:r>
          </w:p>
        </w:tc>
        <w:tc>
          <w:tcPr>
            <w:tcW w:w="992" w:type="dxa"/>
            <w:tcBorders>
              <w:top w:val="nil"/>
              <w:left w:val="nil"/>
              <w:bottom w:val="single" w:sz="4" w:space="0" w:color="auto"/>
              <w:right w:val="nil"/>
            </w:tcBorders>
            <w:shd w:val="clear" w:color="auto" w:fill="auto"/>
            <w:noWrap/>
            <w:vAlign w:val="bottom"/>
            <w:hideMark/>
          </w:tcPr>
          <w:p w14:paraId="6158AF51" w14:textId="4E91EC6C" w:rsidR="0050631D" w:rsidRPr="00BC4775" w:rsidRDefault="0050631D" w:rsidP="00EC14B6">
            <w:pPr>
              <w:spacing w:after="0" w:line="240" w:lineRule="auto"/>
              <w:jc w:val="right"/>
              <w:rPr>
                <w:rFonts w:ascii="Arial" w:hAnsi="Arial" w:cs="Arial"/>
                <w:sz w:val="16"/>
                <w:szCs w:val="16"/>
              </w:rPr>
            </w:pPr>
            <w:r>
              <w:rPr>
                <w:rFonts w:ascii="Arial" w:hAnsi="Arial" w:cs="Arial"/>
                <w:sz w:val="16"/>
                <w:szCs w:val="16"/>
              </w:rPr>
              <w:t>410</w:t>
            </w:r>
          </w:p>
        </w:tc>
        <w:tc>
          <w:tcPr>
            <w:tcW w:w="993" w:type="dxa"/>
            <w:tcBorders>
              <w:top w:val="single" w:sz="4" w:space="0" w:color="auto"/>
              <w:left w:val="nil"/>
              <w:bottom w:val="single" w:sz="4" w:space="0" w:color="auto"/>
              <w:right w:val="nil"/>
            </w:tcBorders>
            <w:shd w:val="clear" w:color="000000" w:fill="E6E6E6"/>
            <w:noWrap/>
            <w:vAlign w:val="bottom"/>
            <w:hideMark/>
          </w:tcPr>
          <w:p w14:paraId="224AA4DF" w14:textId="4F27B8C9" w:rsidR="0050631D" w:rsidRPr="00BC4775" w:rsidRDefault="0050631D" w:rsidP="00EC14B6">
            <w:pPr>
              <w:spacing w:after="0" w:line="240" w:lineRule="auto"/>
              <w:jc w:val="right"/>
              <w:rPr>
                <w:rFonts w:ascii="Arial" w:hAnsi="Arial" w:cs="Arial"/>
                <w:sz w:val="16"/>
                <w:szCs w:val="16"/>
              </w:rPr>
            </w:pPr>
            <w:r>
              <w:rPr>
                <w:rFonts w:ascii="Arial" w:hAnsi="Arial" w:cs="Arial"/>
                <w:sz w:val="16"/>
                <w:szCs w:val="16"/>
              </w:rPr>
              <w:t>418</w:t>
            </w:r>
          </w:p>
        </w:tc>
      </w:tr>
    </w:tbl>
    <w:p w14:paraId="282857A9" w14:textId="1B015216" w:rsidR="00000153" w:rsidRPr="00DC6ED7" w:rsidRDefault="00AC5DF5" w:rsidP="00F10ACD">
      <w:pPr>
        <w:numPr>
          <w:ilvl w:val="0"/>
          <w:numId w:val="54"/>
        </w:numPr>
        <w:spacing w:after="0" w:line="240" w:lineRule="auto"/>
        <w:ind w:left="357" w:hanging="357"/>
        <w:jc w:val="left"/>
        <w:rPr>
          <w:rFonts w:ascii="Arial" w:hAnsi="Arial" w:cs="Arial"/>
          <w:sz w:val="16"/>
        </w:rPr>
      </w:pPr>
      <w:r w:rsidRPr="00DC6ED7">
        <w:rPr>
          <w:rFonts w:ascii="Arial" w:hAnsi="Arial" w:cs="Arial"/>
          <w:sz w:val="16"/>
        </w:rPr>
        <w:t xml:space="preserve">The estimates for demand driven programs are calculated at a maximum probable amount in the </w:t>
      </w:r>
      <w:r w:rsidRPr="00DC6ED7">
        <w:rPr>
          <w:rFonts w:ascii="Arial" w:hAnsi="Arial" w:cs="Arial"/>
          <w:sz w:val="16"/>
          <w:szCs w:val="16"/>
        </w:rPr>
        <w:t>forward</w:t>
      </w:r>
      <w:r w:rsidRPr="00DC6ED7">
        <w:rPr>
          <w:rFonts w:ascii="Arial" w:hAnsi="Arial" w:cs="Arial"/>
          <w:sz w:val="16"/>
        </w:rPr>
        <w:t xml:space="preserve"> </w:t>
      </w:r>
      <w:r w:rsidRPr="00DC6ED7">
        <w:rPr>
          <w:rFonts w:ascii="Arial" w:hAnsi="Arial" w:cs="Arial"/>
          <w:sz w:val="16"/>
          <w:szCs w:val="16"/>
        </w:rPr>
        <w:t>estimates</w:t>
      </w:r>
      <w:r w:rsidRPr="00DC6ED7">
        <w:rPr>
          <w:rFonts w:ascii="Arial" w:hAnsi="Arial" w:cs="Arial"/>
          <w:sz w:val="16"/>
        </w:rPr>
        <w:t xml:space="preserve"> to ensure there is sufficient appropriation to meet demand. Where the estimated demand is not met in a particular year, underspends are returned to the Government and are not available</w:t>
      </w:r>
      <w:r w:rsidR="008E52F8">
        <w:rPr>
          <w:rFonts w:ascii="Arial" w:hAnsi="Arial" w:cs="Arial"/>
          <w:sz w:val="16"/>
        </w:rPr>
        <w:t>.</w:t>
      </w:r>
    </w:p>
    <w:p w14:paraId="322D23F8" w14:textId="54BF8F5F" w:rsidR="006F34A4" w:rsidRPr="00DC6ED7" w:rsidRDefault="006F34A4" w:rsidP="00F10ACD">
      <w:pPr>
        <w:numPr>
          <w:ilvl w:val="0"/>
          <w:numId w:val="54"/>
        </w:numPr>
        <w:spacing w:after="0" w:line="240" w:lineRule="auto"/>
        <w:jc w:val="left"/>
        <w:rPr>
          <w:rFonts w:ascii="Arial" w:hAnsi="Arial" w:cs="Arial"/>
          <w:sz w:val="16"/>
        </w:rPr>
      </w:pPr>
      <w:r w:rsidRPr="006F34A4">
        <w:rPr>
          <w:rFonts w:ascii="Arial" w:hAnsi="Arial" w:cs="Arial"/>
          <w:sz w:val="16"/>
        </w:rPr>
        <w:t xml:space="preserve">Relates to appropriation for corporate entities provided through the </w:t>
      </w:r>
      <w:r w:rsidR="008863D9">
        <w:rPr>
          <w:rFonts w:ascii="Arial" w:hAnsi="Arial" w:cs="Arial"/>
          <w:sz w:val="16"/>
        </w:rPr>
        <w:t>Department</w:t>
      </w:r>
      <w:r w:rsidRPr="006F34A4">
        <w:rPr>
          <w:rFonts w:ascii="Arial" w:hAnsi="Arial" w:cs="Arial"/>
          <w:sz w:val="16"/>
        </w:rPr>
        <w:t>.</w:t>
      </w:r>
    </w:p>
    <w:p w14:paraId="6FE48E03" w14:textId="77777777" w:rsidR="00EA2FF2" w:rsidRDefault="00EA2FF2" w:rsidP="00F10ACD">
      <w:pPr>
        <w:numPr>
          <w:ilvl w:val="0"/>
          <w:numId w:val="54"/>
        </w:numPr>
        <w:spacing w:after="0" w:line="240" w:lineRule="auto"/>
        <w:jc w:val="left"/>
        <w:rPr>
          <w:rFonts w:ascii="Arial" w:hAnsi="Arial" w:cs="Arial"/>
          <w:sz w:val="16"/>
        </w:rPr>
      </w:pPr>
      <w:r w:rsidRPr="006F34A4">
        <w:rPr>
          <w:rFonts w:ascii="Arial" w:hAnsi="Arial" w:cs="Arial"/>
          <w:sz w:val="16"/>
        </w:rPr>
        <w:t>Administered ‘Expenses not requiring appropriation in the Budget year’ comprises expenses relating to accruals, payments made from prior year appropriations and other non–cash expenses.</w:t>
      </w:r>
    </w:p>
    <w:p w14:paraId="75336D78" w14:textId="14A350BA" w:rsidR="006F34A4" w:rsidRDefault="00426B43" w:rsidP="00F10ACD">
      <w:pPr>
        <w:numPr>
          <w:ilvl w:val="0"/>
          <w:numId w:val="54"/>
        </w:numPr>
        <w:spacing w:after="0" w:line="240" w:lineRule="auto"/>
        <w:jc w:val="left"/>
        <w:rPr>
          <w:rFonts w:ascii="Arial" w:hAnsi="Arial" w:cs="Arial"/>
          <w:sz w:val="16"/>
        </w:rPr>
      </w:pPr>
      <w:r w:rsidRPr="006F34A4">
        <w:rPr>
          <w:rFonts w:ascii="Arial" w:hAnsi="Arial" w:cs="Arial"/>
          <w:sz w:val="16"/>
        </w:rPr>
        <w:t>These programs are funded under the Relief and Recovery Fund</w:t>
      </w:r>
      <w:r w:rsidR="008E52F8">
        <w:rPr>
          <w:rFonts w:ascii="Arial" w:hAnsi="Arial" w:cs="Arial"/>
          <w:sz w:val="16"/>
        </w:rPr>
        <w:t>.</w:t>
      </w:r>
    </w:p>
    <w:p w14:paraId="3515126A" w14:textId="5CCECE6A" w:rsidR="006F34A4" w:rsidRDefault="006F34A4" w:rsidP="00F10ACD">
      <w:pPr>
        <w:numPr>
          <w:ilvl w:val="0"/>
          <w:numId w:val="54"/>
        </w:numPr>
        <w:spacing w:after="0" w:line="240" w:lineRule="auto"/>
        <w:jc w:val="left"/>
        <w:rPr>
          <w:rFonts w:ascii="Arial" w:hAnsi="Arial" w:cs="Arial"/>
          <w:sz w:val="16"/>
        </w:rPr>
      </w:pPr>
      <w:r w:rsidRPr="006F34A4">
        <w:rPr>
          <w:rFonts w:ascii="Arial" w:hAnsi="Arial" w:cs="Arial"/>
          <w:sz w:val="16"/>
        </w:rPr>
        <w:t>Estimated expenses incurred in relation to receipts retained under section 74 of the PGPA Act.</w:t>
      </w:r>
    </w:p>
    <w:p w14:paraId="381CB81D" w14:textId="200A6090" w:rsidR="004E6999" w:rsidRDefault="008863D9" w:rsidP="00F10ACD">
      <w:pPr>
        <w:numPr>
          <w:ilvl w:val="0"/>
          <w:numId w:val="54"/>
        </w:numPr>
        <w:spacing w:after="0" w:line="240" w:lineRule="auto"/>
        <w:jc w:val="left"/>
        <w:rPr>
          <w:rFonts w:ascii="Arial" w:hAnsi="Arial" w:cs="Arial"/>
          <w:sz w:val="16"/>
        </w:rPr>
      </w:pPr>
      <w:r>
        <w:rPr>
          <w:rFonts w:ascii="Arial" w:hAnsi="Arial" w:cs="Arial"/>
          <w:sz w:val="16"/>
        </w:rPr>
        <w:t>Department</w:t>
      </w:r>
      <w:r w:rsidR="006F34A4" w:rsidRPr="006F34A4">
        <w:rPr>
          <w:rFonts w:ascii="Arial" w:hAnsi="Arial" w:cs="Arial"/>
          <w:sz w:val="16"/>
        </w:rPr>
        <w:t>al ‘Expenses not requiring appropriation in the Budget year’ is made up of depreciation and amortisation expenses and expenses that are reduced by associated receipts.</w:t>
      </w:r>
    </w:p>
    <w:p w14:paraId="247E89C7" w14:textId="690F5483" w:rsidR="006F34A4" w:rsidRDefault="006F34A4" w:rsidP="00F10ACD">
      <w:pPr>
        <w:numPr>
          <w:ilvl w:val="0"/>
          <w:numId w:val="54"/>
        </w:numPr>
        <w:spacing w:after="0" w:line="240" w:lineRule="auto"/>
        <w:jc w:val="left"/>
        <w:rPr>
          <w:rFonts w:ascii="Arial" w:hAnsi="Arial" w:cs="Arial"/>
          <w:sz w:val="16"/>
        </w:rPr>
      </w:pPr>
      <w:r w:rsidRPr="006F34A4">
        <w:rPr>
          <w:rFonts w:ascii="Arial" w:hAnsi="Arial" w:cs="Arial"/>
          <w:sz w:val="16"/>
        </w:rPr>
        <w:t xml:space="preserve">Figures displayed as a negative </w:t>
      </w:r>
      <w:r w:rsidR="008E52F8">
        <w:rPr>
          <w:rFonts w:ascii="Arial" w:hAnsi="Arial" w:cs="Arial"/>
          <w:sz w:val="16"/>
        </w:rPr>
        <w:t>(-</w:t>
      </w:r>
      <w:r w:rsidRPr="006F34A4">
        <w:rPr>
          <w:rFonts w:ascii="Arial" w:hAnsi="Arial" w:cs="Arial"/>
          <w:sz w:val="16"/>
        </w:rPr>
        <w:t>) represent a decrease in funds and a positive (+) represent an increase in funds.</w:t>
      </w:r>
    </w:p>
    <w:p w14:paraId="07743C97" w14:textId="77777777" w:rsidR="00F24C07" w:rsidRPr="0050631D" w:rsidRDefault="00F24C07" w:rsidP="00F24C07">
      <w:pPr>
        <w:spacing w:after="0" w:line="240" w:lineRule="auto"/>
        <w:rPr>
          <w:rFonts w:ascii="Arial" w:hAnsi="Arial" w:cs="Arial"/>
          <w:sz w:val="16"/>
          <w:szCs w:val="16"/>
        </w:rPr>
      </w:pPr>
      <w:r w:rsidRPr="0050631D">
        <w:rPr>
          <w:rFonts w:ascii="Arial" w:hAnsi="Arial" w:cs="Arial"/>
          <w:sz w:val="16"/>
          <w:szCs w:val="16"/>
        </w:rPr>
        <w:t xml:space="preserve">Note: Departmental appropriation splits and totals are indicative estimates and may change in the course of the budget year as government priorities change. </w:t>
      </w:r>
    </w:p>
    <w:p w14:paraId="6DB2732E" w14:textId="77777777" w:rsidR="00EC71F3" w:rsidRDefault="00EC71F3">
      <w:pPr>
        <w:spacing w:after="0" w:line="240" w:lineRule="auto"/>
        <w:jc w:val="left"/>
        <w:rPr>
          <w:rFonts w:ascii="Arial" w:hAnsi="Arial"/>
          <w:b/>
          <w:lang w:val="x-none"/>
        </w:rPr>
      </w:pPr>
      <w:r>
        <w:br w:type="page"/>
      </w:r>
    </w:p>
    <w:p w14:paraId="59E00A9C" w14:textId="2C7CC002" w:rsidR="00000153" w:rsidRDefault="00000153" w:rsidP="00000153">
      <w:pPr>
        <w:pStyle w:val="TableHeading"/>
      </w:pPr>
      <w:r w:rsidRPr="005939CC">
        <w:lastRenderedPageBreak/>
        <w:t>Table 2.</w:t>
      </w:r>
      <w:r>
        <w:rPr>
          <w:lang w:val="en-AU"/>
        </w:rPr>
        <w:t>3</w:t>
      </w:r>
      <w:r w:rsidRPr="005939CC">
        <w:t xml:space="preserve">.2: Program components of Outcome </w:t>
      </w:r>
      <w:r w:rsidRPr="005939CC">
        <w:rPr>
          <w:lang w:val="en-AU"/>
        </w:rPr>
        <w:t>2</w:t>
      </w:r>
      <w:r w:rsidRPr="005939CC">
        <w:t xml:space="preserve"> </w:t>
      </w:r>
    </w:p>
    <w:tbl>
      <w:tblPr>
        <w:tblW w:w="7525" w:type="dxa"/>
        <w:tblLook w:val="04A0" w:firstRow="1" w:lastRow="0" w:firstColumn="1" w:lastColumn="0" w:noHBand="0" w:noVBand="1"/>
      </w:tblPr>
      <w:tblGrid>
        <w:gridCol w:w="3119"/>
        <w:gridCol w:w="981"/>
        <w:gridCol w:w="15"/>
        <w:gridCol w:w="850"/>
        <w:gridCol w:w="850"/>
        <w:gridCol w:w="821"/>
        <w:gridCol w:w="889"/>
      </w:tblGrid>
      <w:tr w:rsidR="00E34CEC" w:rsidRPr="0091271A" w14:paraId="0DA32F39" w14:textId="77777777" w:rsidTr="006C442A">
        <w:trPr>
          <w:trHeight w:val="204"/>
        </w:trPr>
        <w:tc>
          <w:tcPr>
            <w:tcW w:w="3119" w:type="dxa"/>
            <w:tcBorders>
              <w:top w:val="single" w:sz="4" w:space="0" w:color="auto"/>
              <w:left w:val="nil"/>
              <w:bottom w:val="nil"/>
              <w:right w:val="nil"/>
            </w:tcBorders>
            <w:shd w:val="clear" w:color="auto" w:fill="auto"/>
            <w:noWrap/>
            <w:vAlign w:val="bottom"/>
            <w:hideMark/>
          </w:tcPr>
          <w:p w14:paraId="4B20D8A2" w14:textId="77777777" w:rsidR="00E34CEC" w:rsidRPr="0091271A" w:rsidRDefault="00E34CEC" w:rsidP="00E34CEC">
            <w:pPr>
              <w:spacing w:after="0" w:line="240" w:lineRule="auto"/>
              <w:jc w:val="left"/>
              <w:rPr>
                <w:rFonts w:ascii="Arial" w:hAnsi="Arial" w:cs="Arial"/>
                <w:sz w:val="16"/>
                <w:szCs w:val="16"/>
              </w:rPr>
            </w:pPr>
            <w:r w:rsidRPr="0091271A">
              <w:rPr>
                <w:rFonts w:ascii="Arial" w:hAnsi="Arial" w:cs="Arial"/>
                <w:sz w:val="16"/>
                <w:szCs w:val="16"/>
              </w:rPr>
              <w:t> </w:t>
            </w:r>
          </w:p>
        </w:tc>
        <w:tc>
          <w:tcPr>
            <w:tcW w:w="981" w:type="dxa"/>
            <w:tcBorders>
              <w:top w:val="single" w:sz="4" w:space="0" w:color="auto"/>
              <w:left w:val="nil"/>
              <w:bottom w:val="single" w:sz="4" w:space="0" w:color="auto"/>
              <w:right w:val="nil"/>
            </w:tcBorders>
            <w:shd w:val="clear" w:color="auto" w:fill="auto"/>
            <w:vAlign w:val="bottom"/>
            <w:hideMark/>
          </w:tcPr>
          <w:p w14:paraId="4623A86D" w14:textId="67A75D2C" w:rsidR="00E34CEC" w:rsidRPr="0091271A"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865" w:type="dxa"/>
            <w:gridSpan w:val="2"/>
            <w:tcBorders>
              <w:top w:val="single" w:sz="4" w:space="0" w:color="auto"/>
              <w:left w:val="nil"/>
              <w:bottom w:val="single" w:sz="4" w:space="0" w:color="auto"/>
              <w:right w:val="nil"/>
            </w:tcBorders>
            <w:shd w:val="clear" w:color="000000" w:fill="E6E6E6"/>
            <w:vAlign w:val="bottom"/>
            <w:hideMark/>
          </w:tcPr>
          <w:p w14:paraId="610134D0" w14:textId="2E380718" w:rsidR="00E34CEC" w:rsidRPr="0091271A"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850" w:type="dxa"/>
            <w:tcBorders>
              <w:top w:val="single" w:sz="4" w:space="0" w:color="auto"/>
              <w:left w:val="nil"/>
              <w:bottom w:val="single" w:sz="4" w:space="0" w:color="auto"/>
              <w:right w:val="nil"/>
            </w:tcBorders>
            <w:shd w:val="clear" w:color="auto" w:fill="auto"/>
            <w:vAlign w:val="bottom"/>
            <w:hideMark/>
          </w:tcPr>
          <w:p w14:paraId="0653F9E4" w14:textId="3FF9B697" w:rsidR="00E34CEC" w:rsidRPr="0091271A"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821" w:type="dxa"/>
            <w:tcBorders>
              <w:top w:val="single" w:sz="4" w:space="0" w:color="auto"/>
              <w:left w:val="nil"/>
              <w:bottom w:val="single" w:sz="4" w:space="0" w:color="auto"/>
              <w:right w:val="nil"/>
            </w:tcBorders>
            <w:shd w:val="clear" w:color="auto" w:fill="auto"/>
            <w:vAlign w:val="bottom"/>
            <w:hideMark/>
          </w:tcPr>
          <w:p w14:paraId="5EA649A3" w14:textId="1939117F" w:rsidR="00E34CEC" w:rsidRPr="0091271A"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889" w:type="dxa"/>
            <w:tcBorders>
              <w:top w:val="single" w:sz="4" w:space="0" w:color="auto"/>
              <w:left w:val="nil"/>
              <w:bottom w:val="single" w:sz="4" w:space="0" w:color="auto"/>
              <w:right w:val="nil"/>
            </w:tcBorders>
            <w:shd w:val="clear" w:color="auto" w:fill="auto"/>
            <w:vAlign w:val="bottom"/>
            <w:hideMark/>
          </w:tcPr>
          <w:p w14:paraId="2C63D9B1" w14:textId="4CED7C7F" w:rsidR="00E34CEC" w:rsidRPr="0091271A"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91271A" w:rsidRPr="0091271A" w14:paraId="76C3D3D5" w14:textId="77777777" w:rsidTr="006C442A">
        <w:trPr>
          <w:trHeight w:val="225"/>
        </w:trPr>
        <w:tc>
          <w:tcPr>
            <w:tcW w:w="4100" w:type="dxa"/>
            <w:gridSpan w:val="2"/>
            <w:tcBorders>
              <w:top w:val="single" w:sz="4" w:space="0" w:color="auto"/>
              <w:left w:val="nil"/>
              <w:bottom w:val="single" w:sz="4" w:space="0" w:color="auto"/>
              <w:right w:val="nil"/>
            </w:tcBorders>
            <w:shd w:val="clear" w:color="000000" w:fill="E6E6E6"/>
            <w:noWrap/>
            <w:hideMark/>
          </w:tcPr>
          <w:p w14:paraId="73BC8182" w14:textId="77777777" w:rsidR="0091271A" w:rsidRPr="0091271A" w:rsidRDefault="0091271A" w:rsidP="0091271A">
            <w:pPr>
              <w:spacing w:after="0" w:line="240" w:lineRule="auto"/>
              <w:jc w:val="left"/>
              <w:rPr>
                <w:rFonts w:ascii="Arial" w:hAnsi="Arial" w:cs="Arial"/>
                <w:b/>
                <w:bCs/>
                <w:sz w:val="16"/>
                <w:szCs w:val="16"/>
              </w:rPr>
            </w:pPr>
            <w:r w:rsidRPr="0091271A">
              <w:rPr>
                <w:rFonts w:ascii="Arial" w:hAnsi="Arial" w:cs="Arial"/>
                <w:b/>
                <w:bCs/>
                <w:sz w:val="16"/>
                <w:szCs w:val="16"/>
              </w:rPr>
              <w:t xml:space="preserve">Components for Program 2.1: Surface Transport </w:t>
            </w:r>
          </w:p>
        </w:tc>
        <w:tc>
          <w:tcPr>
            <w:tcW w:w="865" w:type="dxa"/>
            <w:gridSpan w:val="2"/>
            <w:tcBorders>
              <w:top w:val="nil"/>
              <w:left w:val="nil"/>
              <w:bottom w:val="single" w:sz="4" w:space="0" w:color="auto"/>
              <w:right w:val="nil"/>
            </w:tcBorders>
            <w:shd w:val="clear" w:color="000000" w:fill="E6E6E6"/>
            <w:noWrap/>
            <w:hideMark/>
          </w:tcPr>
          <w:p w14:paraId="21C1482C" w14:textId="77777777" w:rsidR="0091271A" w:rsidRPr="0091271A" w:rsidRDefault="0091271A" w:rsidP="0091271A">
            <w:pPr>
              <w:spacing w:after="0" w:line="240" w:lineRule="auto"/>
              <w:jc w:val="left"/>
              <w:rPr>
                <w:rFonts w:ascii="Arial" w:hAnsi="Arial" w:cs="Arial"/>
                <w:sz w:val="16"/>
                <w:szCs w:val="16"/>
              </w:rPr>
            </w:pPr>
            <w:r w:rsidRPr="0091271A">
              <w:rPr>
                <w:rFonts w:ascii="Arial" w:hAnsi="Arial" w:cs="Arial"/>
                <w:sz w:val="16"/>
                <w:szCs w:val="16"/>
              </w:rPr>
              <w:t> </w:t>
            </w:r>
          </w:p>
        </w:tc>
        <w:tc>
          <w:tcPr>
            <w:tcW w:w="850" w:type="dxa"/>
            <w:tcBorders>
              <w:top w:val="nil"/>
              <w:left w:val="nil"/>
              <w:bottom w:val="single" w:sz="4" w:space="0" w:color="auto"/>
              <w:right w:val="nil"/>
            </w:tcBorders>
            <w:shd w:val="clear" w:color="000000" w:fill="E6E6E6"/>
            <w:noWrap/>
            <w:hideMark/>
          </w:tcPr>
          <w:p w14:paraId="0EFA81DA" w14:textId="77777777" w:rsidR="0091271A" w:rsidRPr="0091271A" w:rsidRDefault="0091271A" w:rsidP="0091271A">
            <w:pPr>
              <w:spacing w:after="0" w:line="240" w:lineRule="auto"/>
              <w:jc w:val="left"/>
              <w:rPr>
                <w:rFonts w:ascii="Arial" w:hAnsi="Arial" w:cs="Arial"/>
                <w:sz w:val="16"/>
                <w:szCs w:val="16"/>
              </w:rPr>
            </w:pPr>
            <w:r w:rsidRPr="0091271A">
              <w:rPr>
                <w:rFonts w:ascii="Arial" w:hAnsi="Arial" w:cs="Arial"/>
                <w:sz w:val="16"/>
                <w:szCs w:val="16"/>
              </w:rPr>
              <w:t> </w:t>
            </w:r>
          </w:p>
        </w:tc>
        <w:tc>
          <w:tcPr>
            <w:tcW w:w="821" w:type="dxa"/>
            <w:tcBorders>
              <w:top w:val="nil"/>
              <w:left w:val="nil"/>
              <w:bottom w:val="single" w:sz="4" w:space="0" w:color="auto"/>
              <w:right w:val="nil"/>
            </w:tcBorders>
            <w:shd w:val="clear" w:color="000000" w:fill="E6E6E6"/>
            <w:noWrap/>
            <w:hideMark/>
          </w:tcPr>
          <w:p w14:paraId="3B542EB6" w14:textId="77777777" w:rsidR="0091271A" w:rsidRPr="0091271A" w:rsidRDefault="0091271A" w:rsidP="0091271A">
            <w:pPr>
              <w:spacing w:after="0" w:line="240" w:lineRule="auto"/>
              <w:jc w:val="left"/>
              <w:rPr>
                <w:rFonts w:ascii="Arial" w:hAnsi="Arial" w:cs="Arial"/>
                <w:sz w:val="16"/>
                <w:szCs w:val="16"/>
              </w:rPr>
            </w:pPr>
            <w:r w:rsidRPr="0091271A">
              <w:rPr>
                <w:rFonts w:ascii="Arial" w:hAnsi="Arial" w:cs="Arial"/>
                <w:sz w:val="16"/>
                <w:szCs w:val="16"/>
              </w:rPr>
              <w:t> </w:t>
            </w:r>
          </w:p>
        </w:tc>
        <w:tc>
          <w:tcPr>
            <w:tcW w:w="889" w:type="dxa"/>
            <w:tcBorders>
              <w:top w:val="nil"/>
              <w:left w:val="nil"/>
              <w:bottom w:val="single" w:sz="4" w:space="0" w:color="auto"/>
              <w:right w:val="nil"/>
            </w:tcBorders>
            <w:shd w:val="clear" w:color="000000" w:fill="E6E6E6"/>
            <w:noWrap/>
            <w:hideMark/>
          </w:tcPr>
          <w:p w14:paraId="2790BD88" w14:textId="77777777" w:rsidR="0091271A" w:rsidRPr="0091271A" w:rsidRDefault="0091271A" w:rsidP="0091271A">
            <w:pPr>
              <w:spacing w:after="0" w:line="240" w:lineRule="auto"/>
              <w:jc w:val="left"/>
              <w:rPr>
                <w:rFonts w:ascii="Arial" w:hAnsi="Arial" w:cs="Arial"/>
                <w:sz w:val="16"/>
                <w:szCs w:val="16"/>
              </w:rPr>
            </w:pPr>
            <w:r w:rsidRPr="0091271A">
              <w:rPr>
                <w:rFonts w:ascii="Arial" w:hAnsi="Arial" w:cs="Arial"/>
                <w:sz w:val="16"/>
                <w:szCs w:val="16"/>
              </w:rPr>
              <w:t> </w:t>
            </w:r>
          </w:p>
        </w:tc>
      </w:tr>
      <w:tr w:rsidR="0091271A" w:rsidRPr="0091271A" w14:paraId="7A8F6156" w14:textId="77777777" w:rsidTr="006C442A">
        <w:trPr>
          <w:trHeight w:val="204"/>
        </w:trPr>
        <w:tc>
          <w:tcPr>
            <w:tcW w:w="3119" w:type="dxa"/>
            <w:tcBorders>
              <w:top w:val="nil"/>
              <w:left w:val="nil"/>
              <w:bottom w:val="nil"/>
              <w:right w:val="nil"/>
            </w:tcBorders>
            <w:shd w:val="clear" w:color="auto" w:fill="auto"/>
            <w:noWrap/>
            <w:vAlign w:val="bottom"/>
            <w:hideMark/>
          </w:tcPr>
          <w:p w14:paraId="09A1F2C2" w14:textId="77777777" w:rsidR="0091271A" w:rsidRPr="009404FD" w:rsidRDefault="0091271A" w:rsidP="0091271A">
            <w:pPr>
              <w:spacing w:after="0" w:line="240" w:lineRule="auto"/>
              <w:jc w:val="left"/>
              <w:rPr>
                <w:rFonts w:ascii="Arial" w:hAnsi="Arial" w:cs="Arial"/>
                <w:sz w:val="16"/>
                <w:szCs w:val="16"/>
              </w:rPr>
            </w:pPr>
            <w:r w:rsidRPr="009404FD">
              <w:rPr>
                <w:rFonts w:ascii="Arial" w:hAnsi="Arial" w:cs="Arial"/>
                <w:sz w:val="16"/>
                <w:szCs w:val="16"/>
              </w:rPr>
              <w:t>Administered expenses</w:t>
            </w:r>
          </w:p>
        </w:tc>
        <w:tc>
          <w:tcPr>
            <w:tcW w:w="981" w:type="dxa"/>
            <w:tcBorders>
              <w:top w:val="nil"/>
              <w:left w:val="nil"/>
              <w:bottom w:val="nil"/>
              <w:right w:val="nil"/>
            </w:tcBorders>
            <w:shd w:val="clear" w:color="auto" w:fill="auto"/>
            <w:noWrap/>
            <w:vAlign w:val="bottom"/>
            <w:hideMark/>
          </w:tcPr>
          <w:p w14:paraId="24EAA77D" w14:textId="77777777" w:rsidR="0091271A" w:rsidRPr="009404FD" w:rsidRDefault="0091271A" w:rsidP="0091271A">
            <w:pPr>
              <w:spacing w:after="0" w:line="240" w:lineRule="auto"/>
              <w:jc w:val="right"/>
              <w:rPr>
                <w:rFonts w:ascii="Arial" w:hAnsi="Arial" w:cs="Arial"/>
                <w:sz w:val="16"/>
                <w:szCs w:val="16"/>
              </w:rPr>
            </w:pPr>
          </w:p>
        </w:tc>
        <w:tc>
          <w:tcPr>
            <w:tcW w:w="865" w:type="dxa"/>
            <w:gridSpan w:val="2"/>
            <w:tcBorders>
              <w:top w:val="nil"/>
              <w:left w:val="nil"/>
              <w:bottom w:val="nil"/>
              <w:right w:val="nil"/>
            </w:tcBorders>
            <w:shd w:val="clear" w:color="000000" w:fill="E6E6E6"/>
            <w:noWrap/>
            <w:vAlign w:val="bottom"/>
            <w:hideMark/>
          </w:tcPr>
          <w:p w14:paraId="592823ED" w14:textId="46161226" w:rsidR="0091271A" w:rsidRPr="009404FD" w:rsidRDefault="0091271A" w:rsidP="0091271A">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73F719CE" w14:textId="77777777" w:rsidR="0091271A" w:rsidRPr="009404FD" w:rsidRDefault="0091271A" w:rsidP="0091271A">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69A5E473" w14:textId="77777777" w:rsidR="0091271A" w:rsidRPr="009404FD" w:rsidRDefault="0091271A" w:rsidP="0091271A">
            <w:pPr>
              <w:spacing w:after="0" w:line="240" w:lineRule="auto"/>
              <w:jc w:val="right"/>
              <w:rPr>
                <w:rFonts w:ascii="Times New Roman" w:hAnsi="Times New Roman"/>
                <w:sz w:val="16"/>
                <w:szCs w:val="16"/>
              </w:rPr>
            </w:pPr>
          </w:p>
        </w:tc>
        <w:tc>
          <w:tcPr>
            <w:tcW w:w="889" w:type="dxa"/>
            <w:tcBorders>
              <w:top w:val="nil"/>
              <w:left w:val="nil"/>
              <w:bottom w:val="nil"/>
              <w:right w:val="nil"/>
            </w:tcBorders>
            <w:shd w:val="clear" w:color="auto" w:fill="auto"/>
            <w:noWrap/>
            <w:vAlign w:val="bottom"/>
            <w:hideMark/>
          </w:tcPr>
          <w:p w14:paraId="1C3A1048" w14:textId="77777777" w:rsidR="0091271A" w:rsidRPr="009404FD" w:rsidRDefault="0091271A" w:rsidP="0091271A">
            <w:pPr>
              <w:spacing w:after="0" w:line="240" w:lineRule="auto"/>
              <w:jc w:val="right"/>
              <w:rPr>
                <w:rFonts w:ascii="Times New Roman" w:hAnsi="Times New Roman"/>
                <w:sz w:val="16"/>
                <w:szCs w:val="16"/>
              </w:rPr>
            </w:pPr>
          </w:p>
        </w:tc>
      </w:tr>
      <w:tr w:rsidR="003815D1" w:rsidRPr="0091271A" w14:paraId="49277361" w14:textId="77777777" w:rsidTr="006C442A">
        <w:trPr>
          <w:trHeight w:val="204"/>
        </w:trPr>
        <w:tc>
          <w:tcPr>
            <w:tcW w:w="3119" w:type="dxa"/>
            <w:tcBorders>
              <w:top w:val="nil"/>
              <w:left w:val="nil"/>
              <w:bottom w:val="nil"/>
              <w:right w:val="nil"/>
            </w:tcBorders>
            <w:shd w:val="clear" w:color="auto" w:fill="auto"/>
            <w:vAlign w:val="bottom"/>
            <w:hideMark/>
          </w:tcPr>
          <w:p w14:paraId="69960F82" w14:textId="77777777" w:rsidR="003815D1" w:rsidRPr="009404FD" w:rsidRDefault="003815D1" w:rsidP="003815D1">
            <w:pPr>
              <w:spacing w:after="0" w:line="240" w:lineRule="auto"/>
              <w:ind w:left="113"/>
              <w:jc w:val="left"/>
              <w:rPr>
                <w:rFonts w:ascii="Arial" w:hAnsi="Arial" w:cs="Arial"/>
                <w:sz w:val="16"/>
                <w:szCs w:val="16"/>
              </w:rPr>
            </w:pPr>
            <w:r w:rsidRPr="009404FD">
              <w:rPr>
                <w:rFonts w:ascii="Arial" w:hAnsi="Arial" w:cs="Arial"/>
                <w:sz w:val="16"/>
                <w:szCs w:val="16"/>
              </w:rPr>
              <w:t xml:space="preserve">Bass Strait Passenger Vehicle Equalisation Scheme </w:t>
            </w:r>
            <w:r w:rsidRPr="009404FD">
              <w:rPr>
                <w:rFonts w:ascii="Arial" w:hAnsi="Arial" w:cs="Arial"/>
                <w:sz w:val="16"/>
                <w:szCs w:val="16"/>
                <w:vertAlign w:val="superscript"/>
              </w:rPr>
              <w:t>(a)</w:t>
            </w:r>
          </w:p>
        </w:tc>
        <w:tc>
          <w:tcPr>
            <w:tcW w:w="981" w:type="dxa"/>
            <w:tcBorders>
              <w:top w:val="nil"/>
              <w:left w:val="nil"/>
              <w:bottom w:val="nil"/>
              <w:right w:val="nil"/>
            </w:tcBorders>
            <w:shd w:val="clear" w:color="auto" w:fill="auto"/>
            <w:noWrap/>
            <w:vAlign w:val="bottom"/>
            <w:hideMark/>
          </w:tcPr>
          <w:p w14:paraId="3CDDE464" w14:textId="5CD88D15"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36,918 </w:t>
            </w:r>
          </w:p>
        </w:tc>
        <w:tc>
          <w:tcPr>
            <w:tcW w:w="865" w:type="dxa"/>
            <w:gridSpan w:val="2"/>
            <w:tcBorders>
              <w:top w:val="nil"/>
              <w:left w:val="nil"/>
              <w:bottom w:val="nil"/>
              <w:right w:val="nil"/>
            </w:tcBorders>
            <w:shd w:val="clear" w:color="000000" w:fill="E6E6E6"/>
            <w:noWrap/>
            <w:vAlign w:val="bottom"/>
            <w:hideMark/>
          </w:tcPr>
          <w:p w14:paraId="278F94F7" w14:textId="4DD32C9F"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53,195 </w:t>
            </w:r>
          </w:p>
        </w:tc>
        <w:tc>
          <w:tcPr>
            <w:tcW w:w="850" w:type="dxa"/>
            <w:tcBorders>
              <w:top w:val="nil"/>
              <w:left w:val="nil"/>
              <w:bottom w:val="nil"/>
              <w:right w:val="nil"/>
            </w:tcBorders>
            <w:shd w:val="clear" w:color="auto" w:fill="auto"/>
            <w:noWrap/>
            <w:vAlign w:val="bottom"/>
            <w:hideMark/>
          </w:tcPr>
          <w:p w14:paraId="4A5289E4" w14:textId="3F124EC2"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54,419 </w:t>
            </w:r>
          </w:p>
        </w:tc>
        <w:tc>
          <w:tcPr>
            <w:tcW w:w="821" w:type="dxa"/>
            <w:tcBorders>
              <w:top w:val="nil"/>
              <w:left w:val="nil"/>
              <w:bottom w:val="nil"/>
              <w:right w:val="nil"/>
            </w:tcBorders>
            <w:shd w:val="clear" w:color="auto" w:fill="auto"/>
            <w:noWrap/>
            <w:vAlign w:val="bottom"/>
            <w:hideMark/>
          </w:tcPr>
          <w:p w14:paraId="5B80D894" w14:textId="6A03D51E"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55,779 </w:t>
            </w:r>
          </w:p>
        </w:tc>
        <w:tc>
          <w:tcPr>
            <w:tcW w:w="889" w:type="dxa"/>
            <w:tcBorders>
              <w:top w:val="nil"/>
              <w:left w:val="nil"/>
              <w:bottom w:val="nil"/>
              <w:right w:val="nil"/>
            </w:tcBorders>
            <w:shd w:val="clear" w:color="auto" w:fill="auto"/>
            <w:noWrap/>
            <w:vAlign w:val="bottom"/>
            <w:hideMark/>
          </w:tcPr>
          <w:p w14:paraId="79017D0E" w14:textId="0310B393"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57,174 </w:t>
            </w:r>
          </w:p>
        </w:tc>
      </w:tr>
      <w:tr w:rsidR="003815D1" w:rsidRPr="0091271A" w14:paraId="313627A7" w14:textId="77777777" w:rsidTr="006C442A">
        <w:trPr>
          <w:trHeight w:val="204"/>
        </w:trPr>
        <w:tc>
          <w:tcPr>
            <w:tcW w:w="3119" w:type="dxa"/>
            <w:tcBorders>
              <w:top w:val="nil"/>
              <w:left w:val="nil"/>
              <w:bottom w:val="nil"/>
              <w:right w:val="nil"/>
            </w:tcBorders>
            <w:shd w:val="clear" w:color="auto" w:fill="auto"/>
            <w:vAlign w:val="bottom"/>
            <w:hideMark/>
          </w:tcPr>
          <w:p w14:paraId="09821C4B" w14:textId="77777777" w:rsidR="003815D1" w:rsidRPr="009404FD" w:rsidRDefault="003815D1" w:rsidP="003815D1">
            <w:pPr>
              <w:spacing w:after="0" w:line="240" w:lineRule="auto"/>
              <w:ind w:left="113"/>
              <w:jc w:val="left"/>
              <w:rPr>
                <w:rFonts w:ascii="Arial" w:hAnsi="Arial" w:cs="Arial"/>
                <w:sz w:val="16"/>
                <w:szCs w:val="16"/>
              </w:rPr>
            </w:pPr>
            <w:r w:rsidRPr="009404FD">
              <w:rPr>
                <w:rFonts w:ascii="Arial" w:hAnsi="Arial" w:cs="Arial"/>
                <w:sz w:val="16"/>
                <w:szCs w:val="16"/>
              </w:rPr>
              <w:t>Freight and Supply Chain Strategy - Freight Data Hub</w:t>
            </w:r>
          </w:p>
        </w:tc>
        <w:tc>
          <w:tcPr>
            <w:tcW w:w="981" w:type="dxa"/>
            <w:tcBorders>
              <w:top w:val="nil"/>
              <w:left w:val="nil"/>
              <w:bottom w:val="nil"/>
              <w:right w:val="nil"/>
            </w:tcBorders>
            <w:shd w:val="clear" w:color="auto" w:fill="auto"/>
            <w:noWrap/>
            <w:vAlign w:val="bottom"/>
            <w:hideMark/>
          </w:tcPr>
          <w:p w14:paraId="5F842ABB" w14:textId="657DFF80"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1,844 </w:t>
            </w:r>
          </w:p>
        </w:tc>
        <w:tc>
          <w:tcPr>
            <w:tcW w:w="865" w:type="dxa"/>
            <w:gridSpan w:val="2"/>
            <w:tcBorders>
              <w:top w:val="nil"/>
              <w:left w:val="nil"/>
              <w:bottom w:val="nil"/>
              <w:right w:val="nil"/>
            </w:tcBorders>
            <w:shd w:val="clear" w:color="000000" w:fill="E6E6E6"/>
            <w:noWrap/>
            <w:vAlign w:val="bottom"/>
            <w:hideMark/>
          </w:tcPr>
          <w:p w14:paraId="6C683EB1" w14:textId="2F927DF5"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246 </w:t>
            </w:r>
          </w:p>
        </w:tc>
        <w:tc>
          <w:tcPr>
            <w:tcW w:w="850" w:type="dxa"/>
            <w:tcBorders>
              <w:top w:val="nil"/>
              <w:left w:val="nil"/>
              <w:bottom w:val="nil"/>
              <w:right w:val="nil"/>
            </w:tcBorders>
            <w:shd w:val="clear" w:color="auto" w:fill="auto"/>
            <w:noWrap/>
            <w:vAlign w:val="bottom"/>
            <w:hideMark/>
          </w:tcPr>
          <w:p w14:paraId="763A08AE" w14:textId="17C528B5"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14:paraId="2B6BE922" w14:textId="753EB50E"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889" w:type="dxa"/>
            <w:tcBorders>
              <w:top w:val="nil"/>
              <w:left w:val="nil"/>
              <w:bottom w:val="nil"/>
              <w:right w:val="nil"/>
            </w:tcBorders>
            <w:shd w:val="clear" w:color="auto" w:fill="auto"/>
            <w:noWrap/>
            <w:vAlign w:val="bottom"/>
            <w:hideMark/>
          </w:tcPr>
          <w:p w14:paraId="65DB82CF" w14:textId="117219C9"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91271A" w14:paraId="610B093B" w14:textId="77777777" w:rsidTr="006C442A">
        <w:trPr>
          <w:trHeight w:val="204"/>
        </w:trPr>
        <w:tc>
          <w:tcPr>
            <w:tcW w:w="3119" w:type="dxa"/>
            <w:tcBorders>
              <w:top w:val="nil"/>
              <w:left w:val="nil"/>
              <w:bottom w:val="nil"/>
              <w:right w:val="nil"/>
            </w:tcBorders>
            <w:shd w:val="clear" w:color="auto" w:fill="auto"/>
            <w:vAlign w:val="bottom"/>
            <w:hideMark/>
          </w:tcPr>
          <w:p w14:paraId="059BED17" w14:textId="77777777" w:rsidR="003815D1" w:rsidRPr="009404FD" w:rsidRDefault="003815D1" w:rsidP="003815D1">
            <w:pPr>
              <w:spacing w:after="0" w:line="240" w:lineRule="auto"/>
              <w:ind w:left="113"/>
              <w:jc w:val="left"/>
              <w:rPr>
                <w:rFonts w:ascii="Arial" w:hAnsi="Arial" w:cs="Arial"/>
                <w:sz w:val="16"/>
                <w:szCs w:val="16"/>
              </w:rPr>
            </w:pPr>
            <w:r w:rsidRPr="009404FD">
              <w:rPr>
                <w:rFonts w:ascii="Arial" w:hAnsi="Arial" w:cs="Arial"/>
                <w:sz w:val="16"/>
                <w:szCs w:val="16"/>
              </w:rPr>
              <w:t>International Maritime Organization - contribution</w:t>
            </w:r>
          </w:p>
        </w:tc>
        <w:tc>
          <w:tcPr>
            <w:tcW w:w="981" w:type="dxa"/>
            <w:tcBorders>
              <w:top w:val="nil"/>
              <w:left w:val="nil"/>
              <w:bottom w:val="nil"/>
              <w:right w:val="nil"/>
            </w:tcBorders>
            <w:shd w:val="clear" w:color="auto" w:fill="auto"/>
            <w:noWrap/>
            <w:vAlign w:val="bottom"/>
            <w:hideMark/>
          </w:tcPr>
          <w:p w14:paraId="49E34068" w14:textId="692D0F99"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297 </w:t>
            </w:r>
          </w:p>
        </w:tc>
        <w:tc>
          <w:tcPr>
            <w:tcW w:w="865" w:type="dxa"/>
            <w:gridSpan w:val="2"/>
            <w:tcBorders>
              <w:top w:val="nil"/>
              <w:left w:val="nil"/>
              <w:bottom w:val="nil"/>
              <w:right w:val="nil"/>
            </w:tcBorders>
            <w:shd w:val="clear" w:color="000000" w:fill="E6E6E6"/>
            <w:noWrap/>
            <w:vAlign w:val="bottom"/>
            <w:hideMark/>
          </w:tcPr>
          <w:p w14:paraId="2E2AA056" w14:textId="512E067D"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319 </w:t>
            </w:r>
          </w:p>
        </w:tc>
        <w:tc>
          <w:tcPr>
            <w:tcW w:w="850" w:type="dxa"/>
            <w:tcBorders>
              <w:top w:val="nil"/>
              <w:left w:val="nil"/>
              <w:bottom w:val="nil"/>
              <w:right w:val="nil"/>
            </w:tcBorders>
            <w:shd w:val="clear" w:color="auto" w:fill="auto"/>
            <w:noWrap/>
            <w:vAlign w:val="bottom"/>
            <w:hideMark/>
          </w:tcPr>
          <w:p w14:paraId="3455D2D1" w14:textId="5B20DEA3"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348 </w:t>
            </w:r>
          </w:p>
        </w:tc>
        <w:tc>
          <w:tcPr>
            <w:tcW w:w="821" w:type="dxa"/>
            <w:tcBorders>
              <w:top w:val="nil"/>
              <w:left w:val="nil"/>
              <w:bottom w:val="nil"/>
              <w:right w:val="nil"/>
            </w:tcBorders>
            <w:shd w:val="clear" w:color="auto" w:fill="auto"/>
            <w:noWrap/>
            <w:vAlign w:val="bottom"/>
            <w:hideMark/>
          </w:tcPr>
          <w:p w14:paraId="5B857204" w14:textId="765E9B25"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360 </w:t>
            </w:r>
          </w:p>
        </w:tc>
        <w:tc>
          <w:tcPr>
            <w:tcW w:w="889" w:type="dxa"/>
            <w:tcBorders>
              <w:top w:val="nil"/>
              <w:left w:val="nil"/>
              <w:bottom w:val="nil"/>
              <w:right w:val="nil"/>
            </w:tcBorders>
            <w:shd w:val="clear" w:color="auto" w:fill="auto"/>
            <w:noWrap/>
            <w:vAlign w:val="bottom"/>
            <w:hideMark/>
          </w:tcPr>
          <w:p w14:paraId="2973F858" w14:textId="20B62C9F"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374 </w:t>
            </w:r>
          </w:p>
        </w:tc>
      </w:tr>
      <w:tr w:rsidR="003815D1" w:rsidRPr="0091271A" w14:paraId="28541CFB" w14:textId="77777777" w:rsidTr="006C442A">
        <w:trPr>
          <w:trHeight w:val="204"/>
        </w:trPr>
        <w:tc>
          <w:tcPr>
            <w:tcW w:w="3119" w:type="dxa"/>
            <w:tcBorders>
              <w:top w:val="nil"/>
              <w:left w:val="nil"/>
              <w:bottom w:val="nil"/>
              <w:right w:val="nil"/>
            </w:tcBorders>
            <w:shd w:val="clear" w:color="auto" w:fill="auto"/>
            <w:vAlign w:val="bottom"/>
            <w:hideMark/>
          </w:tcPr>
          <w:p w14:paraId="7F6DFE49" w14:textId="77777777" w:rsidR="003815D1" w:rsidRPr="009404FD" w:rsidRDefault="003815D1" w:rsidP="003815D1">
            <w:pPr>
              <w:spacing w:after="0" w:line="240" w:lineRule="auto"/>
              <w:ind w:left="113"/>
              <w:jc w:val="left"/>
              <w:rPr>
                <w:rFonts w:ascii="Arial" w:hAnsi="Arial" w:cs="Arial"/>
                <w:sz w:val="16"/>
                <w:szCs w:val="16"/>
              </w:rPr>
            </w:pPr>
            <w:r w:rsidRPr="009404FD">
              <w:rPr>
                <w:rFonts w:ascii="Arial" w:hAnsi="Arial" w:cs="Arial"/>
                <w:sz w:val="16"/>
                <w:szCs w:val="16"/>
              </w:rPr>
              <w:t>Strategic Local Government Asset Assessment Project</w:t>
            </w:r>
          </w:p>
        </w:tc>
        <w:tc>
          <w:tcPr>
            <w:tcW w:w="981" w:type="dxa"/>
            <w:tcBorders>
              <w:top w:val="nil"/>
              <w:left w:val="nil"/>
              <w:bottom w:val="nil"/>
              <w:right w:val="nil"/>
            </w:tcBorders>
            <w:shd w:val="clear" w:color="auto" w:fill="auto"/>
            <w:noWrap/>
            <w:vAlign w:val="bottom"/>
            <w:hideMark/>
          </w:tcPr>
          <w:p w14:paraId="39C13F44" w14:textId="64DB2D7A"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3,820 </w:t>
            </w:r>
          </w:p>
        </w:tc>
        <w:tc>
          <w:tcPr>
            <w:tcW w:w="865" w:type="dxa"/>
            <w:gridSpan w:val="2"/>
            <w:tcBorders>
              <w:top w:val="nil"/>
              <w:left w:val="nil"/>
              <w:bottom w:val="nil"/>
              <w:right w:val="nil"/>
            </w:tcBorders>
            <w:shd w:val="clear" w:color="000000" w:fill="E6E6E6"/>
            <w:noWrap/>
            <w:vAlign w:val="bottom"/>
            <w:hideMark/>
          </w:tcPr>
          <w:p w14:paraId="45A4DA36" w14:textId="2AC2E2C8"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4,000 </w:t>
            </w:r>
          </w:p>
        </w:tc>
        <w:tc>
          <w:tcPr>
            <w:tcW w:w="850" w:type="dxa"/>
            <w:tcBorders>
              <w:top w:val="nil"/>
              <w:left w:val="nil"/>
              <w:bottom w:val="nil"/>
              <w:right w:val="nil"/>
            </w:tcBorders>
            <w:shd w:val="clear" w:color="auto" w:fill="auto"/>
            <w:noWrap/>
            <w:vAlign w:val="bottom"/>
            <w:hideMark/>
          </w:tcPr>
          <w:p w14:paraId="60542088" w14:textId="617EF1F2"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4,000 </w:t>
            </w:r>
          </w:p>
        </w:tc>
        <w:tc>
          <w:tcPr>
            <w:tcW w:w="821" w:type="dxa"/>
            <w:tcBorders>
              <w:top w:val="nil"/>
              <w:left w:val="nil"/>
              <w:bottom w:val="nil"/>
              <w:right w:val="nil"/>
            </w:tcBorders>
            <w:shd w:val="clear" w:color="auto" w:fill="auto"/>
            <w:noWrap/>
            <w:vAlign w:val="bottom"/>
            <w:hideMark/>
          </w:tcPr>
          <w:p w14:paraId="1670F639" w14:textId="598E63CB"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4,000 </w:t>
            </w:r>
          </w:p>
        </w:tc>
        <w:tc>
          <w:tcPr>
            <w:tcW w:w="889" w:type="dxa"/>
            <w:tcBorders>
              <w:top w:val="nil"/>
              <w:left w:val="nil"/>
              <w:bottom w:val="nil"/>
              <w:right w:val="nil"/>
            </w:tcBorders>
            <w:shd w:val="clear" w:color="auto" w:fill="auto"/>
            <w:noWrap/>
            <w:vAlign w:val="bottom"/>
            <w:hideMark/>
          </w:tcPr>
          <w:p w14:paraId="06A2A301" w14:textId="34D0A316"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r>
      <w:tr w:rsidR="003815D1" w:rsidRPr="0091271A" w14:paraId="74735595" w14:textId="77777777" w:rsidTr="006C442A">
        <w:trPr>
          <w:trHeight w:val="204"/>
        </w:trPr>
        <w:tc>
          <w:tcPr>
            <w:tcW w:w="3119" w:type="dxa"/>
            <w:tcBorders>
              <w:top w:val="nil"/>
              <w:left w:val="nil"/>
              <w:bottom w:val="nil"/>
              <w:right w:val="nil"/>
            </w:tcBorders>
            <w:shd w:val="clear" w:color="auto" w:fill="auto"/>
            <w:vAlign w:val="bottom"/>
            <w:hideMark/>
          </w:tcPr>
          <w:p w14:paraId="3DE884D4" w14:textId="77777777" w:rsidR="003815D1" w:rsidRPr="009404FD" w:rsidRDefault="003815D1" w:rsidP="003815D1">
            <w:pPr>
              <w:spacing w:after="0" w:line="240" w:lineRule="auto"/>
              <w:ind w:left="113"/>
              <w:jc w:val="left"/>
              <w:rPr>
                <w:rFonts w:ascii="Arial" w:hAnsi="Arial" w:cs="Arial"/>
                <w:sz w:val="16"/>
                <w:szCs w:val="16"/>
              </w:rPr>
            </w:pPr>
            <w:r w:rsidRPr="009404FD">
              <w:rPr>
                <w:rFonts w:ascii="Arial" w:hAnsi="Arial" w:cs="Arial"/>
                <w:sz w:val="16"/>
                <w:szCs w:val="16"/>
              </w:rPr>
              <w:t xml:space="preserve">National Heavy Vehicle Safety Initiatives </w:t>
            </w:r>
          </w:p>
        </w:tc>
        <w:tc>
          <w:tcPr>
            <w:tcW w:w="981" w:type="dxa"/>
            <w:tcBorders>
              <w:top w:val="nil"/>
              <w:left w:val="nil"/>
              <w:bottom w:val="nil"/>
              <w:right w:val="nil"/>
            </w:tcBorders>
            <w:shd w:val="clear" w:color="auto" w:fill="auto"/>
            <w:noWrap/>
            <w:vAlign w:val="bottom"/>
            <w:hideMark/>
          </w:tcPr>
          <w:p w14:paraId="1C3C82F9" w14:textId="6FAFAB94"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5,644 </w:t>
            </w:r>
          </w:p>
        </w:tc>
        <w:tc>
          <w:tcPr>
            <w:tcW w:w="865" w:type="dxa"/>
            <w:gridSpan w:val="2"/>
            <w:tcBorders>
              <w:top w:val="nil"/>
              <w:left w:val="nil"/>
              <w:bottom w:val="nil"/>
              <w:right w:val="nil"/>
            </w:tcBorders>
            <w:shd w:val="clear" w:color="000000" w:fill="E6E6E6"/>
            <w:noWrap/>
            <w:vAlign w:val="bottom"/>
            <w:hideMark/>
          </w:tcPr>
          <w:p w14:paraId="587948A5" w14:textId="24EDCDC6"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5,528 </w:t>
            </w:r>
          </w:p>
        </w:tc>
        <w:tc>
          <w:tcPr>
            <w:tcW w:w="850" w:type="dxa"/>
            <w:tcBorders>
              <w:top w:val="nil"/>
              <w:left w:val="nil"/>
              <w:bottom w:val="nil"/>
              <w:right w:val="nil"/>
            </w:tcBorders>
            <w:shd w:val="clear" w:color="auto" w:fill="auto"/>
            <w:noWrap/>
            <w:vAlign w:val="bottom"/>
            <w:hideMark/>
          </w:tcPr>
          <w:p w14:paraId="3FE4D901" w14:textId="48925DF5"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5,592 </w:t>
            </w:r>
          </w:p>
        </w:tc>
        <w:tc>
          <w:tcPr>
            <w:tcW w:w="821" w:type="dxa"/>
            <w:tcBorders>
              <w:top w:val="nil"/>
              <w:left w:val="nil"/>
              <w:bottom w:val="nil"/>
              <w:right w:val="nil"/>
            </w:tcBorders>
            <w:shd w:val="clear" w:color="auto" w:fill="auto"/>
            <w:noWrap/>
            <w:vAlign w:val="bottom"/>
            <w:hideMark/>
          </w:tcPr>
          <w:p w14:paraId="4965C6E4" w14:textId="4516DA26"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4,158 </w:t>
            </w:r>
          </w:p>
        </w:tc>
        <w:tc>
          <w:tcPr>
            <w:tcW w:w="889" w:type="dxa"/>
            <w:tcBorders>
              <w:top w:val="nil"/>
              <w:left w:val="nil"/>
              <w:bottom w:val="nil"/>
              <w:right w:val="nil"/>
            </w:tcBorders>
            <w:shd w:val="clear" w:color="auto" w:fill="auto"/>
            <w:noWrap/>
            <w:vAlign w:val="bottom"/>
            <w:hideMark/>
          </w:tcPr>
          <w:p w14:paraId="608BF643" w14:textId="74955E0D"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4,233 </w:t>
            </w:r>
          </w:p>
        </w:tc>
      </w:tr>
      <w:tr w:rsidR="003815D1" w:rsidRPr="0091271A" w14:paraId="2713032C" w14:textId="77777777" w:rsidTr="006C442A">
        <w:trPr>
          <w:trHeight w:val="204"/>
        </w:trPr>
        <w:tc>
          <w:tcPr>
            <w:tcW w:w="3119" w:type="dxa"/>
            <w:tcBorders>
              <w:top w:val="nil"/>
              <w:left w:val="nil"/>
              <w:bottom w:val="nil"/>
              <w:right w:val="nil"/>
            </w:tcBorders>
            <w:shd w:val="clear" w:color="auto" w:fill="auto"/>
            <w:vAlign w:val="bottom"/>
            <w:hideMark/>
          </w:tcPr>
          <w:p w14:paraId="07A72EE4" w14:textId="77777777" w:rsidR="003815D1" w:rsidRPr="009404FD" w:rsidRDefault="003815D1" w:rsidP="003815D1">
            <w:pPr>
              <w:spacing w:after="0" w:line="240" w:lineRule="auto"/>
              <w:ind w:left="113"/>
              <w:jc w:val="left"/>
              <w:rPr>
                <w:rFonts w:ascii="Arial" w:hAnsi="Arial" w:cs="Arial"/>
                <w:sz w:val="16"/>
                <w:szCs w:val="16"/>
              </w:rPr>
            </w:pPr>
            <w:r w:rsidRPr="009404FD">
              <w:rPr>
                <w:rFonts w:ascii="Arial" w:hAnsi="Arial" w:cs="Arial"/>
                <w:sz w:val="16"/>
                <w:szCs w:val="16"/>
              </w:rPr>
              <w:t>International Transport Forum - contribution</w:t>
            </w:r>
          </w:p>
        </w:tc>
        <w:tc>
          <w:tcPr>
            <w:tcW w:w="981" w:type="dxa"/>
            <w:tcBorders>
              <w:top w:val="nil"/>
              <w:left w:val="nil"/>
              <w:bottom w:val="nil"/>
              <w:right w:val="nil"/>
            </w:tcBorders>
            <w:shd w:val="clear" w:color="auto" w:fill="auto"/>
            <w:noWrap/>
            <w:vAlign w:val="bottom"/>
            <w:hideMark/>
          </w:tcPr>
          <w:p w14:paraId="33BE9AC0" w14:textId="183CF906"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108 </w:t>
            </w:r>
          </w:p>
        </w:tc>
        <w:tc>
          <w:tcPr>
            <w:tcW w:w="865" w:type="dxa"/>
            <w:gridSpan w:val="2"/>
            <w:tcBorders>
              <w:top w:val="nil"/>
              <w:left w:val="nil"/>
              <w:bottom w:val="nil"/>
              <w:right w:val="nil"/>
            </w:tcBorders>
            <w:shd w:val="clear" w:color="000000" w:fill="E6E6E6"/>
            <w:noWrap/>
            <w:vAlign w:val="bottom"/>
            <w:hideMark/>
          </w:tcPr>
          <w:p w14:paraId="32437AE3" w14:textId="486C9E97"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122 </w:t>
            </w:r>
          </w:p>
        </w:tc>
        <w:tc>
          <w:tcPr>
            <w:tcW w:w="850" w:type="dxa"/>
            <w:tcBorders>
              <w:top w:val="nil"/>
              <w:left w:val="nil"/>
              <w:bottom w:val="nil"/>
              <w:right w:val="nil"/>
            </w:tcBorders>
            <w:shd w:val="clear" w:color="auto" w:fill="auto"/>
            <w:noWrap/>
            <w:vAlign w:val="bottom"/>
            <w:hideMark/>
          </w:tcPr>
          <w:p w14:paraId="61CE26B6" w14:textId="28E7376D"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124 </w:t>
            </w:r>
          </w:p>
        </w:tc>
        <w:tc>
          <w:tcPr>
            <w:tcW w:w="821" w:type="dxa"/>
            <w:tcBorders>
              <w:top w:val="nil"/>
              <w:left w:val="nil"/>
              <w:bottom w:val="nil"/>
              <w:right w:val="nil"/>
            </w:tcBorders>
            <w:shd w:val="clear" w:color="auto" w:fill="auto"/>
            <w:noWrap/>
            <w:vAlign w:val="bottom"/>
            <w:hideMark/>
          </w:tcPr>
          <w:p w14:paraId="3CB00290" w14:textId="22D9E7BE"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125 </w:t>
            </w:r>
          </w:p>
        </w:tc>
        <w:tc>
          <w:tcPr>
            <w:tcW w:w="889" w:type="dxa"/>
            <w:tcBorders>
              <w:top w:val="nil"/>
              <w:left w:val="nil"/>
              <w:bottom w:val="nil"/>
              <w:right w:val="nil"/>
            </w:tcBorders>
            <w:shd w:val="clear" w:color="auto" w:fill="auto"/>
            <w:noWrap/>
            <w:vAlign w:val="bottom"/>
            <w:hideMark/>
          </w:tcPr>
          <w:p w14:paraId="475F1E1C" w14:textId="2DC7FDF2"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126 </w:t>
            </w:r>
          </w:p>
        </w:tc>
      </w:tr>
      <w:tr w:rsidR="003815D1" w:rsidRPr="0091271A" w14:paraId="08B2A432" w14:textId="77777777" w:rsidTr="006C442A">
        <w:trPr>
          <w:trHeight w:val="204"/>
        </w:trPr>
        <w:tc>
          <w:tcPr>
            <w:tcW w:w="3119" w:type="dxa"/>
            <w:tcBorders>
              <w:top w:val="nil"/>
              <w:left w:val="nil"/>
              <w:bottom w:val="nil"/>
              <w:right w:val="nil"/>
            </w:tcBorders>
            <w:shd w:val="clear" w:color="auto" w:fill="auto"/>
            <w:vAlign w:val="bottom"/>
            <w:hideMark/>
          </w:tcPr>
          <w:p w14:paraId="1F6D7126" w14:textId="77777777" w:rsidR="003815D1" w:rsidRPr="009404FD" w:rsidRDefault="003815D1" w:rsidP="003815D1">
            <w:pPr>
              <w:spacing w:after="0" w:line="240" w:lineRule="auto"/>
              <w:ind w:left="113"/>
              <w:jc w:val="left"/>
              <w:rPr>
                <w:rFonts w:ascii="Arial" w:hAnsi="Arial" w:cs="Arial"/>
                <w:sz w:val="16"/>
                <w:szCs w:val="16"/>
              </w:rPr>
            </w:pPr>
            <w:r w:rsidRPr="009404FD">
              <w:rPr>
                <w:rFonts w:ascii="Arial" w:hAnsi="Arial" w:cs="Arial"/>
                <w:sz w:val="16"/>
                <w:szCs w:val="16"/>
              </w:rPr>
              <w:t xml:space="preserve">Tasmanian Freight Equalisation Scheme </w:t>
            </w:r>
            <w:r w:rsidRPr="009404FD">
              <w:rPr>
                <w:rFonts w:ascii="Arial" w:hAnsi="Arial" w:cs="Arial"/>
                <w:sz w:val="16"/>
                <w:szCs w:val="16"/>
                <w:vertAlign w:val="superscript"/>
              </w:rPr>
              <w:t>(a)</w:t>
            </w:r>
          </w:p>
        </w:tc>
        <w:tc>
          <w:tcPr>
            <w:tcW w:w="981" w:type="dxa"/>
            <w:tcBorders>
              <w:top w:val="nil"/>
              <w:left w:val="nil"/>
              <w:bottom w:val="nil"/>
              <w:right w:val="nil"/>
            </w:tcBorders>
            <w:shd w:val="clear" w:color="auto" w:fill="auto"/>
            <w:noWrap/>
            <w:vAlign w:val="bottom"/>
            <w:hideMark/>
          </w:tcPr>
          <w:p w14:paraId="449A8131" w14:textId="1F747EED"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165,367 </w:t>
            </w:r>
          </w:p>
        </w:tc>
        <w:tc>
          <w:tcPr>
            <w:tcW w:w="865" w:type="dxa"/>
            <w:gridSpan w:val="2"/>
            <w:tcBorders>
              <w:top w:val="nil"/>
              <w:left w:val="nil"/>
              <w:bottom w:val="nil"/>
              <w:right w:val="nil"/>
            </w:tcBorders>
            <w:shd w:val="clear" w:color="000000" w:fill="E6E6E6"/>
            <w:noWrap/>
            <w:vAlign w:val="bottom"/>
            <w:hideMark/>
          </w:tcPr>
          <w:p w14:paraId="765B0C17" w14:textId="5E6C871A"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175,991 </w:t>
            </w:r>
          </w:p>
        </w:tc>
        <w:tc>
          <w:tcPr>
            <w:tcW w:w="850" w:type="dxa"/>
            <w:tcBorders>
              <w:top w:val="nil"/>
              <w:left w:val="nil"/>
              <w:bottom w:val="nil"/>
              <w:right w:val="nil"/>
            </w:tcBorders>
            <w:shd w:val="clear" w:color="auto" w:fill="auto"/>
            <w:noWrap/>
            <w:vAlign w:val="bottom"/>
            <w:hideMark/>
          </w:tcPr>
          <w:p w14:paraId="1DEBBFA6" w14:textId="686DE3EE"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177,984 </w:t>
            </w:r>
          </w:p>
        </w:tc>
        <w:tc>
          <w:tcPr>
            <w:tcW w:w="821" w:type="dxa"/>
            <w:tcBorders>
              <w:top w:val="nil"/>
              <w:left w:val="nil"/>
              <w:bottom w:val="nil"/>
              <w:right w:val="nil"/>
            </w:tcBorders>
            <w:shd w:val="clear" w:color="auto" w:fill="auto"/>
            <w:noWrap/>
            <w:vAlign w:val="bottom"/>
            <w:hideMark/>
          </w:tcPr>
          <w:p w14:paraId="78240F5B" w14:textId="2FA0D76F"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179,977 </w:t>
            </w:r>
          </w:p>
        </w:tc>
        <w:tc>
          <w:tcPr>
            <w:tcW w:w="889" w:type="dxa"/>
            <w:tcBorders>
              <w:top w:val="nil"/>
              <w:left w:val="nil"/>
              <w:bottom w:val="nil"/>
              <w:right w:val="nil"/>
            </w:tcBorders>
            <w:shd w:val="clear" w:color="auto" w:fill="auto"/>
            <w:noWrap/>
            <w:vAlign w:val="bottom"/>
            <w:hideMark/>
          </w:tcPr>
          <w:p w14:paraId="1A6DFDE9" w14:textId="5F0A5C66"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181,969 </w:t>
            </w:r>
          </w:p>
        </w:tc>
      </w:tr>
      <w:tr w:rsidR="003815D1" w:rsidRPr="0091271A" w14:paraId="728FA9ED" w14:textId="77777777" w:rsidTr="006C442A">
        <w:trPr>
          <w:trHeight w:val="204"/>
        </w:trPr>
        <w:tc>
          <w:tcPr>
            <w:tcW w:w="3119" w:type="dxa"/>
            <w:tcBorders>
              <w:top w:val="nil"/>
              <w:left w:val="nil"/>
              <w:bottom w:val="nil"/>
              <w:right w:val="nil"/>
            </w:tcBorders>
            <w:shd w:val="clear" w:color="auto" w:fill="auto"/>
            <w:vAlign w:val="bottom"/>
            <w:hideMark/>
          </w:tcPr>
          <w:p w14:paraId="4851CFC1" w14:textId="77777777" w:rsidR="003815D1" w:rsidRPr="009404FD" w:rsidRDefault="003815D1" w:rsidP="003815D1">
            <w:pPr>
              <w:spacing w:after="0" w:line="240" w:lineRule="auto"/>
              <w:jc w:val="left"/>
              <w:rPr>
                <w:rFonts w:ascii="Arial" w:hAnsi="Arial" w:cs="Arial"/>
                <w:sz w:val="16"/>
                <w:szCs w:val="16"/>
              </w:rPr>
            </w:pPr>
            <w:r w:rsidRPr="009404FD">
              <w:rPr>
                <w:rFonts w:ascii="Arial" w:hAnsi="Arial" w:cs="Arial"/>
                <w:sz w:val="16"/>
                <w:szCs w:val="16"/>
              </w:rPr>
              <w:t>Special Appropriations</w:t>
            </w:r>
          </w:p>
        </w:tc>
        <w:tc>
          <w:tcPr>
            <w:tcW w:w="981" w:type="dxa"/>
            <w:tcBorders>
              <w:top w:val="nil"/>
              <w:left w:val="nil"/>
              <w:bottom w:val="nil"/>
              <w:right w:val="nil"/>
            </w:tcBorders>
            <w:shd w:val="clear" w:color="auto" w:fill="auto"/>
            <w:noWrap/>
            <w:vAlign w:val="bottom"/>
            <w:hideMark/>
          </w:tcPr>
          <w:p w14:paraId="059C04CB" w14:textId="77777777" w:rsidR="003815D1" w:rsidRPr="009404FD" w:rsidRDefault="003815D1" w:rsidP="003815D1">
            <w:pPr>
              <w:spacing w:after="0" w:line="240" w:lineRule="auto"/>
              <w:ind w:firstLineChars="100" w:firstLine="160"/>
              <w:jc w:val="right"/>
              <w:rPr>
                <w:rFonts w:ascii="Arial" w:hAnsi="Arial" w:cs="Arial"/>
                <w:sz w:val="16"/>
                <w:szCs w:val="16"/>
              </w:rPr>
            </w:pPr>
          </w:p>
        </w:tc>
        <w:tc>
          <w:tcPr>
            <w:tcW w:w="865" w:type="dxa"/>
            <w:gridSpan w:val="2"/>
            <w:tcBorders>
              <w:top w:val="nil"/>
              <w:left w:val="nil"/>
              <w:bottom w:val="nil"/>
              <w:right w:val="nil"/>
            </w:tcBorders>
            <w:shd w:val="clear" w:color="000000" w:fill="E6E6E6"/>
            <w:noWrap/>
            <w:vAlign w:val="bottom"/>
            <w:hideMark/>
          </w:tcPr>
          <w:p w14:paraId="4D70A5E1" w14:textId="2B8799AF"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7598832C" w14:textId="77777777" w:rsidR="003815D1" w:rsidRPr="009404FD" w:rsidRDefault="003815D1" w:rsidP="003815D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76ED3866" w14:textId="77777777" w:rsidR="003815D1" w:rsidRPr="009404FD" w:rsidRDefault="003815D1" w:rsidP="003815D1">
            <w:pPr>
              <w:spacing w:after="0" w:line="240" w:lineRule="auto"/>
              <w:jc w:val="right"/>
              <w:rPr>
                <w:rFonts w:ascii="Times New Roman" w:hAnsi="Times New Roman"/>
                <w:sz w:val="16"/>
                <w:szCs w:val="16"/>
              </w:rPr>
            </w:pPr>
          </w:p>
        </w:tc>
        <w:tc>
          <w:tcPr>
            <w:tcW w:w="889" w:type="dxa"/>
            <w:tcBorders>
              <w:top w:val="nil"/>
              <w:left w:val="nil"/>
              <w:bottom w:val="nil"/>
              <w:right w:val="nil"/>
            </w:tcBorders>
            <w:shd w:val="clear" w:color="auto" w:fill="auto"/>
            <w:noWrap/>
            <w:vAlign w:val="bottom"/>
            <w:hideMark/>
          </w:tcPr>
          <w:p w14:paraId="0599A65B" w14:textId="77777777" w:rsidR="003815D1" w:rsidRPr="009404FD" w:rsidRDefault="003815D1" w:rsidP="003815D1">
            <w:pPr>
              <w:spacing w:after="0" w:line="240" w:lineRule="auto"/>
              <w:jc w:val="right"/>
              <w:rPr>
                <w:rFonts w:ascii="Times New Roman" w:hAnsi="Times New Roman"/>
                <w:sz w:val="16"/>
                <w:szCs w:val="16"/>
              </w:rPr>
            </w:pPr>
          </w:p>
        </w:tc>
      </w:tr>
      <w:tr w:rsidR="003815D1" w:rsidRPr="0091271A" w14:paraId="76341BEB" w14:textId="77777777" w:rsidTr="006C442A">
        <w:trPr>
          <w:trHeight w:val="204"/>
        </w:trPr>
        <w:tc>
          <w:tcPr>
            <w:tcW w:w="3119" w:type="dxa"/>
            <w:tcBorders>
              <w:top w:val="nil"/>
              <w:left w:val="nil"/>
              <w:bottom w:val="nil"/>
              <w:right w:val="nil"/>
            </w:tcBorders>
            <w:shd w:val="clear" w:color="auto" w:fill="auto"/>
            <w:vAlign w:val="bottom"/>
            <w:hideMark/>
          </w:tcPr>
          <w:p w14:paraId="0C76E422" w14:textId="77777777" w:rsidR="003815D1" w:rsidRPr="009404FD" w:rsidRDefault="003815D1" w:rsidP="003815D1">
            <w:pPr>
              <w:spacing w:after="0" w:line="240" w:lineRule="auto"/>
              <w:ind w:left="113"/>
              <w:jc w:val="left"/>
              <w:rPr>
                <w:rFonts w:ascii="Arial" w:hAnsi="Arial" w:cs="Arial"/>
                <w:i/>
                <w:iCs/>
                <w:sz w:val="16"/>
                <w:szCs w:val="16"/>
              </w:rPr>
            </w:pPr>
            <w:r w:rsidRPr="009404FD">
              <w:rPr>
                <w:rFonts w:ascii="Arial" w:hAnsi="Arial" w:cs="Arial"/>
                <w:i/>
                <w:iCs/>
                <w:sz w:val="16"/>
                <w:szCs w:val="16"/>
              </w:rPr>
              <w:t xml:space="preserve">Australian Maritime Safety Authority Act 1990 </w:t>
            </w:r>
            <w:r w:rsidRPr="009404FD">
              <w:rPr>
                <w:rFonts w:ascii="Arial" w:hAnsi="Arial" w:cs="Arial"/>
                <w:sz w:val="16"/>
                <w:szCs w:val="16"/>
                <w:vertAlign w:val="superscript"/>
              </w:rPr>
              <w:t>(b)</w:t>
            </w:r>
          </w:p>
        </w:tc>
        <w:tc>
          <w:tcPr>
            <w:tcW w:w="981" w:type="dxa"/>
            <w:tcBorders>
              <w:top w:val="nil"/>
              <w:left w:val="nil"/>
              <w:bottom w:val="nil"/>
              <w:right w:val="nil"/>
            </w:tcBorders>
            <w:shd w:val="clear" w:color="auto" w:fill="auto"/>
            <w:noWrap/>
            <w:vAlign w:val="bottom"/>
            <w:hideMark/>
          </w:tcPr>
          <w:p w14:paraId="481AA9B8" w14:textId="35395FEE"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132,667 </w:t>
            </w:r>
          </w:p>
        </w:tc>
        <w:tc>
          <w:tcPr>
            <w:tcW w:w="865" w:type="dxa"/>
            <w:gridSpan w:val="2"/>
            <w:tcBorders>
              <w:top w:val="nil"/>
              <w:left w:val="nil"/>
              <w:bottom w:val="nil"/>
              <w:right w:val="nil"/>
            </w:tcBorders>
            <w:shd w:val="clear" w:color="000000" w:fill="E6E6E6"/>
            <w:noWrap/>
            <w:vAlign w:val="bottom"/>
            <w:hideMark/>
          </w:tcPr>
          <w:p w14:paraId="41EDC89E" w14:textId="36173FCB"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127,200 </w:t>
            </w:r>
          </w:p>
        </w:tc>
        <w:tc>
          <w:tcPr>
            <w:tcW w:w="850" w:type="dxa"/>
            <w:tcBorders>
              <w:top w:val="nil"/>
              <w:left w:val="nil"/>
              <w:bottom w:val="nil"/>
              <w:right w:val="nil"/>
            </w:tcBorders>
            <w:shd w:val="clear" w:color="auto" w:fill="auto"/>
            <w:noWrap/>
            <w:vAlign w:val="bottom"/>
            <w:hideMark/>
          </w:tcPr>
          <w:p w14:paraId="5A3627E5" w14:textId="04D202BA"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141,064 </w:t>
            </w:r>
          </w:p>
        </w:tc>
        <w:tc>
          <w:tcPr>
            <w:tcW w:w="821" w:type="dxa"/>
            <w:tcBorders>
              <w:top w:val="nil"/>
              <w:left w:val="nil"/>
              <w:bottom w:val="nil"/>
              <w:right w:val="nil"/>
            </w:tcBorders>
            <w:shd w:val="clear" w:color="auto" w:fill="auto"/>
            <w:noWrap/>
            <w:vAlign w:val="bottom"/>
            <w:hideMark/>
          </w:tcPr>
          <w:p w14:paraId="6AA55581" w14:textId="4F076D89"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145,075 </w:t>
            </w:r>
          </w:p>
        </w:tc>
        <w:tc>
          <w:tcPr>
            <w:tcW w:w="889" w:type="dxa"/>
            <w:tcBorders>
              <w:top w:val="nil"/>
              <w:left w:val="nil"/>
              <w:bottom w:val="nil"/>
              <w:right w:val="nil"/>
            </w:tcBorders>
            <w:shd w:val="clear" w:color="auto" w:fill="auto"/>
            <w:noWrap/>
            <w:vAlign w:val="bottom"/>
            <w:hideMark/>
          </w:tcPr>
          <w:p w14:paraId="63CE237B" w14:textId="4420998E"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146,705 </w:t>
            </w:r>
          </w:p>
        </w:tc>
      </w:tr>
      <w:tr w:rsidR="003815D1" w:rsidRPr="0091271A" w14:paraId="39A9C229" w14:textId="77777777" w:rsidTr="006C442A">
        <w:trPr>
          <w:trHeight w:val="204"/>
        </w:trPr>
        <w:tc>
          <w:tcPr>
            <w:tcW w:w="3119" w:type="dxa"/>
            <w:tcBorders>
              <w:top w:val="nil"/>
              <w:left w:val="nil"/>
              <w:bottom w:val="nil"/>
              <w:right w:val="nil"/>
            </w:tcBorders>
            <w:shd w:val="clear" w:color="auto" w:fill="auto"/>
            <w:vAlign w:val="bottom"/>
            <w:hideMark/>
          </w:tcPr>
          <w:p w14:paraId="481FF856" w14:textId="77777777" w:rsidR="003815D1" w:rsidRPr="009404FD" w:rsidRDefault="003815D1" w:rsidP="003815D1">
            <w:pPr>
              <w:spacing w:after="0" w:line="240" w:lineRule="auto"/>
              <w:ind w:left="113"/>
              <w:jc w:val="left"/>
              <w:rPr>
                <w:rFonts w:ascii="Arial" w:hAnsi="Arial" w:cs="Arial"/>
                <w:i/>
                <w:iCs/>
                <w:sz w:val="16"/>
                <w:szCs w:val="16"/>
              </w:rPr>
            </w:pPr>
            <w:r w:rsidRPr="009404FD">
              <w:rPr>
                <w:rFonts w:ascii="Arial" w:hAnsi="Arial" w:cs="Arial"/>
                <w:i/>
                <w:iCs/>
                <w:sz w:val="16"/>
                <w:szCs w:val="16"/>
              </w:rPr>
              <w:t>Protection of the Sea (Oil Pollution Compensation Funds) Act 1993</w:t>
            </w:r>
          </w:p>
        </w:tc>
        <w:tc>
          <w:tcPr>
            <w:tcW w:w="981" w:type="dxa"/>
            <w:tcBorders>
              <w:top w:val="nil"/>
              <w:left w:val="nil"/>
              <w:bottom w:val="nil"/>
              <w:right w:val="nil"/>
            </w:tcBorders>
            <w:shd w:val="clear" w:color="auto" w:fill="auto"/>
            <w:noWrap/>
            <w:vAlign w:val="bottom"/>
            <w:hideMark/>
          </w:tcPr>
          <w:p w14:paraId="0D86DFB9" w14:textId="3AB75F23"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 </w:t>
            </w:r>
          </w:p>
        </w:tc>
        <w:tc>
          <w:tcPr>
            <w:tcW w:w="865" w:type="dxa"/>
            <w:gridSpan w:val="2"/>
            <w:tcBorders>
              <w:top w:val="nil"/>
              <w:left w:val="nil"/>
              <w:bottom w:val="nil"/>
              <w:right w:val="nil"/>
            </w:tcBorders>
            <w:shd w:val="clear" w:color="000000" w:fill="E6E6E6"/>
            <w:noWrap/>
            <w:vAlign w:val="bottom"/>
            <w:hideMark/>
          </w:tcPr>
          <w:p w14:paraId="0A4185F1" w14:textId="79594B2C"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600 </w:t>
            </w:r>
          </w:p>
        </w:tc>
        <w:tc>
          <w:tcPr>
            <w:tcW w:w="850" w:type="dxa"/>
            <w:tcBorders>
              <w:top w:val="nil"/>
              <w:left w:val="nil"/>
              <w:bottom w:val="nil"/>
              <w:right w:val="nil"/>
            </w:tcBorders>
            <w:shd w:val="clear" w:color="auto" w:fill="auto"/>
            <w:noWrap/>
            <w:vAlign w:val="bottom"/>
            <w:hideMark/>
          </w:tcPr>
          <w:p w14:paraId="0EBC17D7" w14:textId="02319EB5"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600 </w:t>
            </w:r>
          </w:p>
        </w:tc>
        <w:tc>
          <w:tcPr>
            <w:tcW w:w="821" w:type="dxa"/>
            <w:tcBorders>
              <w:top w:val="nil"/>
              <w:left w:val="nil"/>
              <w:bottom w:val="nil"/>
              <w:right w:val="nil"/>
            </w:tcBorders>
            <w:shd w:val="clear" w:color="auto" w:fill="auto"/>
            <w:noWrap/>
            <w:vAlign w:val="bottom"/>
            <w:hideMark/>
          </w:tcPr>
          <w:p w14:paraId="60EB49CD" w14:textId="1C2FF87E"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600 </w:t>
            </w:r>
          </w:p>
        </w:tc>
        <w:tc>
          <w:tcPr>
            <w:tcW w:w="889" w:type="dxa"/>
            <w:tcBorders>
              <w:top w:val="nil"/>
              <w:left w:val="nil"/>
              <w:bottom w:val="nil"/>
              <w:right w:val="nil"/>
            </w:tcBorders>
            <w:shd w:val="clear" w:color="auto" w:fill="auto"/>
            <w:noWrap/>
            <w:vAlign w:val="bottom"/>
            <w:hideMark/>
          </w:tcPr>
          <w:p w14:paraId="3D7B2E3D" w14:textId="3C5200B0"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600 </w:t>
            </w:r>
          </w:p>
        </w:tc>
      </w:tr>
      <w:tr w:rsidR="003815D1" w:rsidRPr="0091271A" w14:paraId="5DFA9BDF" w14:textId="77777777" w:rsidTr="006C442A">
        <w:trPr>
          <w:trHeight w:val="204"/>
        </w:trPr>
        <w:tc>
          <w:tcPr>
            <w:tcW w:w="3119" w:type="dxa"/>
            <w:tcBorders>
              <w:top w:val="nil"/>
              <w:left w:val="nil"/>
              <w:bottom w:val="nil"/>
              <w:right w:val="nil"/>
            </w:tcBorders>
            <w:shd w:val="clear" w:color="auto" w:fill="auto"/>
            <w:vAlign w:val="bottom"/>
            <w:hideMark/>
          </w:tcPr>
          <w:p w14:paraId="408A7D3B" w14:textId="77777777" w:rsidR="003815D1" w:rsidRPr="009404FD" w:rsidRDefault="003815D1" w:rsidP="003815D1">
            <w:pPr>
              <w:spacing w:after="0" w:line="240" w:lineRule="auto"/>
              <w:jc w:val="left"/>
              <w:rPr>
                <w:rFonts w:ascii="Arial" w:hAnsi="Arial" w:cs="Arial"/>
                <w:sz w:val="16"/>
                <w:szCs w:val="16"/>
              </w:rPr>
            </w:pPr>
            <w:r w:rsidRPr="009404FD">
              <w:rPr>
                <w:rFonts w:ascii="Arial" w:hAnsi="Arial" w:cs="Arial"/>
                <w:sz w:val="16"/>
                <w:szCs w:val="16"/>
              </w:rPr>
              <w:t xml:space="preserve">Payments to corporate entities </w:t>
            </w:r>
            <w:r w:rsidRPr="009404FD">
              <w:rPr>
                <w:rFonts w:ascii="Arial" w:hAnsi="Arial" w:cs="Arial"/>
                <w:sz w:val="16"/>
                <w:szCs w:val="16"/>
                <w:vertAlign w:val="superscript"/>
              </w:rPr>
              <w:t>(b)</w:t>
            </w:r>
          </w:p>
        </w:tc>
        <w:tc>
          <w:tcPr>
            <w:tcW w:w="981" w:type="dxa"/>
            <w:tcBorders>
              <w:top w:val="nil"/>
              <w:left w:val="nil"/>
              <w:bottom w:val="nil"/>
              <w:right w:val="nil"/>
            </w:tcBorders>
            <w:shd w:val="clear" w:color="auto" w:fill="auto"/>
            <w:noWrap/>
            <w:vAlign w:val="bottom"/>
            <w:hideMark/>
          </w:tcPr>
          <w:p w14:paraId="1BF30E36" w14:textId="77777777" w:rsidR="003815D1" w:rsidRPr="009404FD" w:rsidRDefault="003815D1" w:rsidP="003815D1">
            <w:pPr>
              <w:spacing w:after="0" w:line="240" w:lineRule="auto"/>
              <w:ind w:firstLineChars="100" w:firstLine="160"/>
              <w:jc w:val="right"/>
              <w:rPr>
                <w:rFonts w:ascii="Arial" w:hAnsi="Arial" w:cs="Arial"/>
                <w:sz w:val="16"/>
                <w:szCs w:val="16"/>
              </w:rPr>
            </w:pPr>
          </w:p>
        </w:tc>
        <w:tc>
          <w:tcPr>
            <w:tcW w:w="865" w:type="dxa"/>
            <w:gridSpan w:val="2"/>
            <w:tcBorders>
              <w:top w:val="nil"/>
              <w:left w:val="nil"/>
              <w:bottom w:val="nil"/>
              <w:right w:val="nil"/>
            </w:tcBorders>
            <w:shd w:val="clear" w:color="000000" w:fill="E6E6E6"/>
            <w:noWrap/>
            <w:vAlign w:val="bottom"/>
            <w:hideMark/>
          </w:tcPr>
          <w:p w14:paraId="5674F5EC" w14:textId="30F1221A"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600B4370" w14:textId="77777777" w:rsidR="003815D1" w:rsidRPr="009404FD" w:rsidRDefault="003815D1" w:rsidP="003815D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2B26FE53" w14:textId="77777777" w:rsidR="003815D1" w:rsidRPr="009404FD" w:rsidRDefault="003815D1" w:rsidP="003815D1">
            <w:pPr>
              <w:spacing w:after="0" w:line="240" w:lineRule="auto"/>
              <w:jc w:val="right"/>
              <w:rPr>
                <w:rFonts w:ascii="Times New Roman" w:hAnsi="Times New Roman"/>
                <w:sz w:val="16"/>
                <w:szCs w:val="16"/>
              </w:rPr>
            </w:pPr>
          </w:p>
        </w:tc>
        <w:tc>
          <w:tcPr>
            <w:tcW w:w="889" w:type="dxa"/>
            <w:tcBorders>
              <w:top w:val="nil"/>
              <w:left w:val="nil"/>
              <w:bottom w:val="nil"/>
              <w:right w:val="nil"/>
            </w:tcBorders>
            <w:shd w:val="clear" w:color="auto" w:fill="auto"/>
            <w:noWrap/>
            <w:vAlign w:val="bottom"/>
            <w:hideMark/>
          </w:tcPr>
          <w:p w14:paraId="11F77971" w14:textId="77777777" w:rsidR="003815D1" w:rsidRPr="009404FD" w:rsidRDefault="003815D1" w:rsidP="003815D1">
            <w:pPr>
              <w:spacing w:after="0" w:line="240" w:lineRule="auto"/>
              <w:jc w:val="right"/>
              <w:rPr>
                <w:rFonts w:ascii="Times New Roman" w:hAnsi="Times New Roman"/>
                <w:sz w:val="16"/>
                <w:szCs w:val="16"/>
              </w:rPr>
            </w:pPr>
          </w:p>
        </w:tc>
      </w:tr>
      <w:tr w:rsidR="003815D1" w:rsidRPr="0091271A" w14:paraId="4EEF4963" w14:textId="77777777" w:rsidTr="006C442A">
        <w:trPr>
          <w:trHeight w:val="204"/>
        </w:trPr>
        <w:tc>
          <w:tcPr>
            <w:tcW w:w="3119" w:type="dxa"/>
            <w:tcBorders>
              <w:top w:val="nil"/>
              <w:left w:val="nil"/>
              <w:bottom w:val="nil"/>
              <w:right w:val="nil"/>
            </w:tcBorders>
            <w:shd w:val="clear" w:color="auto" w:fill="auto"/>
            <w:vAlign w:val="bottom"/>
            <w:hideMark/>
          </w:tcPr>
          <w:p w14:paraId="723AA036" w14:textId="5F523E8B" w:rsidR="003815D1" w:rsidRPr="009404FD" w:rsidRDefault="003815D1" w:rsidP="003815D1">
            <w:pPr>
              <w:spacing w:after="0" w:line="240" w:lineRule="auto"/>
              <w:ind w:left="113"/>
              <w:jc w:val="left"/>
              <w:rPr>
                <w:rFonts w:ascii="Arial" w:hAnsi="Arial" w:cs="Arial"/>
                <w:sz w:val="16"/>
                <w:szCs w:val="16"/>
              </w:rPr>
            </w:pPr>
            <w:r w:rsidRPr="007C61C1">
              <w:rPr>
                <w:rFonts w:ascii="Arial" w:hAnsi="Arial" w:cs="Arial"/>
                <w:sz w:val="16"/>
                <w:szCs w:val="16"/>
              </w:rPr>
              <w:t xml:space="preserve">- </w:t>
            </w:r>
            <w:r w:rsidRPr="009404FD">
              <w:rPr>
                <w:rFonts w:ascii="Arial" w:hAnsi="Arial" w:cs="Arial"/>
                <w:sz w:val="16"/>
                <w:szCs w:val="16"/>
              </w:rPr>
              <w:t>Australian Maritime Safety Authority</w:t>
            </w:r>
          </w:p>
        </w:tc>
        <w:tc>
          <w:tcPr>
            <w:tcW w:w="981" w:type="dxa"/>
            <w:tcBorders>
              <w:top w:val="nil"/>
              <w:left w:val="nil"/>
              <w:bottom w:val="nil"/>
              <w:right w:val="nil"/>
            </w:tcBorders>
            <w:shd w:val="clear" w:color="auto" w:fill="auto"/>
            <w:noWrap/>
            <w:vAlign w:val="bottom"/>
            <w:hideMark/>
          </w:tcPr>
          <w:p w14:paraId="4E212E87" w14:textId="3A711FAC"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84,572 </w:t>
            </w:r>
          </w:p>
        </w:tc>
        <w:tc>
          <w:tcPr>
            <w:tcW w:w="865" w:type="dxa"/>
            <w:gridSpan w:val="2"/>
            <w:tcBorders>
              <w:top w:val="nil"/>
              <w:left w:val="nil"/>
              <w:bottom w:val="nil"/>
              <w:right w:val="nil"/>
            </w:tcBorders>
            <w:shd w:val="clear" w:color="000000" w:fill="E6E6E6"/>
            <w:noWrap/>
            <w:vAlign w:val="bottom"/>
            <w:hideMark/>
          </w:tcPr>
          <w:p w14:paraId="6A02D512" w14:textId="3959B290"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87,802 </w:t>
            </w:r>
          </w:p>
        </w:tc>
        <w:tc>
          <w:tcPr>
            <w:tcW w:w="850" w:type="dxa"/>
            <w:tcBorders>
              <w:top w:val="nil"/>
              <w:left w:val="nil"/>
              <w:bottom w:val="nil"/>
              <w:right w:val="nil"/>
            </w:tcBorders>
            <w:shd w:val="clear" w:color="auto" w:fill="auto"/>
            <w:noWrap/>
            <w:vAlign w:val="bottom"/>
            <w:hideMark/>
          </w:tcPr>
          <w:p w14:paraId="09B50030" w14:textId="1D192BE0"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80,185 </w:t>
            </w:r>
          </w:p>
        </w:tc>
        <w:tc>
          <w:tcPr>
            <w:tcW w:w="821" w:type="dxa"/>
            <w:tcBorders>
              <w:top w:val="nil"/>
              <w:left w:val="nil"/>
              <w:bottom w:val="nil"/>
              <w:right w:val="nil"/>
            </w:tcBorders>
            <w:shd w:val="clear" w:color="auto" w:fill="auto"/>
            <w:noWrap/>
            <w:vAlign w:val="bottom"/>
            <w:hideMark/>
          </w:tcPr>
          <w:p w14:paraId="7FD4F372" w14:textId="5B035A76"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80,564 </w:t>
            </w:r>
          </w:p>
        </w:tc>
        <w:tc>
          <w:tcPr>
            <w:tcW w:w="889" w:type="dxa"/>
            <w:tcBorders>
              <w:top w:val="nil"/>
              <w:left w:val="nil"/>
              <w:bottom w:val="nil"/>
              <w:right w:val="nil"/>
            </w:tcBorders>
            <w:shd w:val="clear" w:color="auto" w:fill="auto"/>
            <w:noWrap/>
            <w:vAlign w:val="bottom"/>
            <w:hideMark/>
          </w:tcPr>
          <w:p w14:paraId="278C5D98" w14:textId="15320485"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81,855 </w:t>
            </w:r>
          </w:p>
        </w:tc>
      </w:tr>
      <w:tr w:rsidR="003815D1" w:rsidRPr="0091271A" w14:paraId="3B62690E" w14:textId="77777777" w:rsidTr="006C442A">
        <w:trPr>
          <w:trHeight w:val="204"/>
        </w:trPr>
        <w:tc>
          <w:tcPr>
            <w:tcW w:w="3119" w:type="dxa"/>
            <w:tcBorders>
              <w:top w:val="nil"/>
              <w:left w:val="nil"/>
              <w:bottom w:val="nil"/>
              <w:right w:val="nil"/>
            </w:tcBorders>
            <w:shd w:val="clear" w:color="auto" w:fill="auto"/>
            <w:vAlign w:val="bottom"/>
            <w:hideMark/>
          </w:tcPr>
          <w:p w14:paraId="4CDF4B82" w14:textId="6DA75BD2" w:rsidR="003815D1" w:rsidRPr="009404FD" w:rsidRDefault="003815D1" w:rsidP="003815D1">
            <w:pPr>
              <w:spacing w:after="0" w:line="240" w:lineRule="auto"/>
              <w:ind w:left="113"/>
              <w:jc w:val="left"/>
              <w:rPr>
                <w:rFonts w:ascii="Arial" w:hAnsi="Arial" w:cs="Arial"/>
                <w:sz w:val="16"/>
                <w:szCs w:val="16"/>
              </w:rPr>
            </w:pPr>
            <w:r w:rsidRPr="007C61C1">
              <w:rPr>
                <w:rFonts w:ascii="Arial" w:hAnsi="Arial" w:cs="Arial"/>
                <w:sz w:val="16"/>
                <w:szCs w:val="16"/>
              </w:rPr>
              <w:t xml:space="preserve">- </w:t>
            </w:r>
            <w:r w:rsidRPr="009404FD">
              <w:rPr>
                <w:rFonts w:ascii="Arial" w:hAnsi="Arial" w:cs="Arial"/>
                <w:sz w:val="16"/>
                <w:szCs w:val="16"/>
              </w:rPr>
              <w:t>National Transport Commission</w:t>
            </w:r>
          </w:p>
        </w:tc>
        <w:tc>
          <w:tcPr>
            <w:tcW w:w="981" w:type="dxa"/>
            <w:tcBorders>
              <w:top w:val="nil"/>
              <w:left w:val="nil"/>
              <w:bottom w:val="nil"/>
              <w:right w:val="nil"/>
            </w:tcBorders>
            <w:shd w:val="clear" w:color="auto" w:fill="auto"/>
            <w:noWrap/>
            <w:vAlign w:val="bottom"/>
            <w:hideMark/>
          </w:tcPr>
          <w:p w14:paraId="2D608D53" w14:textId="5CF3A998"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3,629 </w:t>
            </w:r>
          </w:p>
        </w:tc>
        <w:tc>
          <w:tcPr>
            <w:tcW w:w="865" w:type="dxa"/>
            <w:gridSpan w:val="2"/>
            <w:tcBorders>
              <w:top w:val="nil"/>
              <w:left w:val="nil"/>
              <w:bottom w:val="nil"/>
              <w:right w:val="nil"/>
            </w:tcBorders>
            <w:shd w:val="clear" w:color="000000" w:fill="E6E6E6"/>
            <w:noWrap/>
            <w:vAlign w:val="bottom"/>
            <w:hideMark/>
          </w:tcPr>
          <w:p w14:paraId="6C1A6D7C" w14:textId="3AF7B136"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4,464 </w:t>
            </w:r>
          </w:p>
        </w:tc>
        <w:tc>
          <w:tcPr>
            <w:tcW w:w="850" w:type="dxa"/>
            <w:tcBorders>
              <w:top w:val="nil"/>
              <w:left w:val="nil"/>
              <w:bottom w:val="nil"/>
              <w:right w:val="nil"/>
            </w:tcBorders>
            <w:shd w:val="clear" w:color="auto" w:fill="auto"/>
            <w:noWrap/>
            <w:vAlign w:val="bottom"/>
            <w:hideMark/>
          </w:tcPr>
          <w:p w14:paraId="4CE72110" w14:textId="45CF49E0"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4,384 </w:t>
            </w:r>
          </w:p>
        </w:tc>
        <w:tc>
          <w:tcPr>
            <w:tcW w:w="821" w:type="dxa"/>
            <w:tcBorders>
              <w:top w:val="nil"/>
              <w:left w:val="nil"/>
              <w:bottom w:val="nil"/>
              <w:right w:val="nil"/>
            </w:tcBorders>
            <w:shd w:val="clear" w:color="auto" w:fill="auto"/>
            <w:noWrap/>
            <w:vAlign w:val="bottom"/>
            <w:hideMark/>
          </w:tcPr>
          <w:p w14:paraId="59EC35C2" w14:textId="2EBB5CAE"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4,302 </w:t>
            </w:r>
          </w:p>
        </w:tc>
        <w:tc>
          <w:tcPr>
            <w:tcW w:w="889" w:type="dxa"/>
            <w:tcBorders>
              <w:top w:val="nil"/>
              <w:left w:val="nil"/>
              <w:bottom w:val="nil"/>
              <w:right w:val="nil"/>
            </w:tcBorders>
            <w:shd w:val="clear" w:color="auto" w:fill="auto"/>
            <w:noWrap/>
            <w:vAlign w:val="bottom"/>
            <w:hideMark/>
          </w:tcPr>
          <w:p w14:paraId="55D7303D" w14:textId="64A21956" w:rsidR="003815D1" w:rsidRPr="009404FD" w:rsidRDefault="003815D1" w:rsidP="003815D1">
            <w:pPr>
              <w:spacing w:after="0" w:line="240" w:lineRule="auto"/>
              <w:jc w:val="right"/>
              <w:rPr>
                <w:rFonts w:ascii="Arial" w:hAnsi="Arial" w:cs="Arial"/>
                <w:sz w:val="16"/>
                <w:szCs w:val="16"/>
              </w:rPr>
            </w:pPr>
            <w:r>
              <w:rPr>
                <w:rFonts w:ascii="Arial" w:hAnsi="Arial" w:cs="Arial"/>
                <w:sz w:val="16"/>
                <w:szCs w:val="16"/>
              </w:rPr>
              <w:t xml:space="preserve">3,887 </w:t>
            </w:r>
          </w:p>
        </w:tc>
      </w:tr>
      <w:tr w:rsidR="003815D1" w:rsidRPr="0091271A" w14:paraId="3EEA9E7B" w14:textId="77777777" w:rsidTr="006C442A">
        <w:trPr>
          <w:trHeight w:val="204"/>
        </w:trPr>
        <w:tc>
          <w:tcPr>
            <w:tcW w:w="3119" w:type="dxa"/>
            <w:tcBorders>
              <w:top w:val="nil"/>
              <w:left w:val="nil"/>
              <w:bottom w:val="nil"/>
              <w:right w:val="nil"/>
            </w:tcBorders>
            <w:shd w:val="clear" w:color="auto" w:fill="auto"/>
            <w:noWrap/>
            <w:vAlign w:val="bottom"/>
            <w:hideMark/>
          </w:tcPr>
          <w:p w14:paraId="49651035" w14:textId="77777777" w:rsidR="003815D1" w:rsidRPr="009404FD" w:rsidRDefault="003815D1" w:rsidP="003815D1">
            <w:pPr>
              <w:spacing w:after="0" w:line="240" w:lineRule="auto"/>
              <w:jc w:val="left"/>
              <w:rPr>
                <w:rFonts w:ascii="Arial" w:hAnsi="Arial" w:cs="Arial"/>
                <w:b/>
                <w:bCs/>
                <w:sz w:val="16"/>
                <w:szCs w:val="16"/>
              </w:rPr>
            </w:pPr>
            <w:r w:rsidRPr="009404FD">
              <w:rPr>
                <w:rFonts w:ascii="Arial" w:hAnsi="Arial" w:cs="Arial"/>
                <w:b/>
                <w:bCs/>
                <w:sz w:val="16"/>
                <w:szCs w:val="16"/>
              </w:rPr>
              <w:t>Total expenses for Program 2.1</w:t>
            </w:r>
          </w:p>
        </w:tc>
        <w:tc>
          <w:tcPr>
            <w:tcW w:w="981" w:type="dxa"/>
            <w:tcBorders>
              <w:top w:val="single" w:sz="4" w:space="0" w:color="auto"/>
              <w:left w:val="nil"/>
              <w:bottom w:val="single" w:sz="4" w:space="0" w:color="auto"/>
              <w:right w:val="nil"/>
            </w:tcBorders>
            <w:shd w:val="clear" w:color="auto" w:fill="auto"/>
            <w:noWrap/>
            <w:vAlign w:val="bottom"/>
            <w:hideMark/>
          </w:tcPr>
          <w:p w14:paraId="452B9E17" w14:textId="1F31BEC6" w:rsidR="003815D1" w:rsidRPr="009404FD"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434,866 </w:t>
            </w:r>
          </w:p>
        </w:tc>
        <w:tc>
          <w:tcPr>
            <w:tcW w:w="865" w:type="dxa"/>
            <w:gridSpan w:val="2"/>
            <w:tcBorders>
              <w:top w:val="single" w:sz="4" w:space="0" w:color="auto"/>
              <w:left w:val="nil"/>
              <w:bottom w:val="single" w:sz="4" w:space="0" w:color="auto"/>
              <w:right w:val="nil"/>
            </w:tcBorders>
            <w:shd w:val="clear" w:color="000000" w:fill="E6E6E6"/>
            <w:noWrap/>
            <w:vAlign w:val="bottom"/>
            <w:hideMark/>
          </w:tcPr>
          <w:p w14:paraId="355CB438" w14:textId="3EB26426" w:rsidR="003815D1" w:rsidRPr="009404FD"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459,467 </w:t>
            </w:r>
          </w:p>
        </w:tc>
        <w:tc>
          <w:tcPr>
            <w:tcW w:w="850" w:type="dxa"/>
            <w:tcBorders>
              <w:top w:val="single" w:sz="4" w:space="0" w:color="auto"/>
              <w:left w:val="nil"/>
              <w:bottom w:val="single" w:sz="4" w:space="0" w:color="auto"/>
              <w:right w:val="nil"/>
            </w:tcBorders>
            <w:shd w:val="clear" w:color="auto" w:fill="auto"/>
            <w:noWrap/>
            <w:vAlign w:val="bottom"/>
            <w:hideMark/>
          </w:tcPr>
          <w:p w14:paraId="407A9658" w14:textId="3C1DA677" w:rsidR="003815D1" w:rsidRPr="009404FD"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468,700 </w:t>
            </w:r>
          </w:p>
        </w:tc>
        <w:tc>
          <w:tcPr>
            <w:tcW w:w="821" w:type="dxa"/>
            <w:tcBorders>
              <w:top w:val="single" w:sz="4" w:space="0" w:color="auto"/>
              <w:left w:val="nil"/>
              <w:bottom w:val="single" w:sz="4" w:space="0" w:color="auto"/>
              <w:right w:val="nil"/>
            </w:tcBorders>
            <w:shd w:val="clear" w:color="auto" w:fill="auto"/>
            <w:noWrap/>
            <w:vAlign w:val="bottom"/>
            <w:hideMark/>
          </w:tcPr>
          <w:p w14:paraId="39E68B2E" w14:textId="75493E98" w:rsidR="003815D1" w:rsidRPr="009404FD"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474,940 </w:t>
            </w:r>
          </w:p>
        </w:tc>
        <w:tc>
          <w:tcPr>
            <w:tcW w:w="889" w:type="dxa"/>
            <w:tcBorders>
              <w:top w:val="single" w:sz="4" w:space="0" w:color="auto"/>
              <w:left w:val="nil"/>
              <w:bottom w:val="single" w:sz="4" w:space="0" w:color="auto"/>
              <w:right w:val="nil"/>
            </w:tcBorders>
            <w:shd w:val="clear" w:color="auto" w:fill="auto"/>
            <w:noWrap/>
            <w:vAlign w:val="bottom"/>
            <w:hideMark/>
          </w:tcPr>
          <w:p w14:paraId="5C763C0D" w14:textId="3110A404" w:rsidR="003815D1" w:rsidRPr="009404FD" w:rsidRDefault="003815D1" w:rsidP="003815D1">
            <w:pPr>
              <w:spacing w:after="0" w:line="240" w:lineRule="auto"/>
              <w:jc w:val="right"/>
              <w:rPr>
                <w:rFonts w:ascii="Arial" w:hAnsi="Arial" w:cs="Arial"/>
                <w:b/>
                <w:bCs/>
                <w:sz w:val="16"/>
                <w:szCs w:val="16"/>
              </w:rPr>
            </w:pPr>
            <w:r>
              <w:rPr>
                <w:rFonts w:ascii="Arial" w:hAnsi="Arial" w:cs="Arial"/>
                <w:b/>
                <w:bCs/>
                <w:sz w:val="16"/>
                <w:szCs w:val="16"/>
              </w:rPr>
              <w:t xml:space="preserve">476,923 </w:t>
            </w:r>
          </w:p>
        </w:tc>
      </w:tr>
      <w:tr w:rsidR="009404FD" w:rsidRPr="0091271A" w14:paraId="5CFC9810" w14:textId="77777777" w:rsidTr="006C442A">
        <w:trPr>
          <w:trHeight w:val="225"/>
        </w:trPr>
        <w:tc>
          <w:tcPr>
            <w:tcW w:w="7525" w:type="dxa"/>
            <w:gridSpan w:val="7"/>
            <w:tcBorders>
              <w:top w:val="single" w:sz="4" w:space="0" w:color="auto"/>
              <w:left w:val="nil"/>
              <w:bottom w:val="single" w:sz="4" w:space="0" w:color="auto"/>
              <w:right w:val="nil"/>
            </w:tcBorders>
            <w:shd w:val="clear" w:color="000000" w:fill="E6E6E6"/>
            <w:noWrap/>
            <w:hideMark/>
          </w:tcPr>
          <w:p w14:paraId="39ADD622" w14:textId="15977F4A" w:rsidR="009404FD" w:rsidRPr="0091271A" w:rsidRDefault="009404FD" w:rsidP="009404FD">
            <w:pPr>
              <w:spacing w:after="0" w:line="240" w:lineRule="auto"/>
              <w:jc w:val="left"/>
              <w:rPr>
                <w:rFonts w:ascii="Arial" w:hAnsi="Arial" w:cs="Arial"/>
                <w:sz w:val="16"/>
                <w:szCs w:val="16"/>
              </w:rPr>
            </w:pPr>
            <w:r w:rsidRPr="0091271A">
              <w:rPr>
                <w:rFonts w:ascii="Arial" w:hAnsi="Arial" w:cs="Arial"/>
                <w:b/>
                <w:bCs/>
                <w:sz w:val="16"/>
                <w:szCs w:val="16"/>
              </w:rPr>
              <w:t xml:space="preserve">Components for Program 2.2: Road Safety </w:t>
            </w:r>
            <w:r w:rsidRPr="0091271A">
              <w:rPr>
                <w:rFonts w:ascii="Arial" w:hAnsi="Arial" w:cs="Arial"/>
                <w:sz w:val="16"/>
                <w:szCs w:val="16"/>
              </w:rPr>
              <w:t> </w:t>
            </w:r>
          </w:p>
        </w:tc>
      </w:tr>
      <w:tr w:rsidR="0091271A" w:rsidRPr="0091271A" w14:paraId="5E62FC80" w14:textId="77777777" w:rsidTr="006C442A">
        <w:trPr>
          <w:trHeight w:val="204"/>
        </w:trPr>
        <w:tc>
          <w:tcPr>
            <w:tcW w:w="3119" w:type="dxa"/>
            <w:tcBorders>
              <w:top w:val="nil"/>
              <w:left w:val="nil"/>
              <w:bottom w:val="nil"/>
              <w:right w:val="nil"/>
            </w:tcBorders>
            <w:shd w:val="clear" w:color="auto" w:fill="auto"/>
            <w:noWrap/>
            <w:vAlign w:val="bottom"/>
            <w:hideMark/>
          </w:tcPr>
          <w:p w14:paraId="2C1B308B" w14:textId="77777777" w:rsidR="0091271A" w:rsidRPr="009404FD" w:rsidRDefault="0091271A" w:rsidP="0091271A">
            <w:pPr>
              <w:spacing w:after="0" w:line="240" w:lineRule="auto"/>
              <w:jc w:val="left"/>
              <w:rPr>
                <w:rFonts w:ascii="Arial" w:hAnsi="Arial" w:cs="Arial"/>
                <w:sz w:val="16"/>
                <w:szCs w:val="16"/>
              </w:rPr>
            </w:pPr>
            <w:r w:rsidRPr="009404FD">
              <w:rPr>
                <w:rFonts w:ascii="Arial" w:hAnsi="Arial" w:cs="Arial"/>
                <w:sz w:val="16"/>
                <w:szCs w:val="16"/>
              </w:rPr>
              <w:t>Administered expenses</w:t>
            </w:r>
          </w:p>
        </w:tc>
        <w:tc>
          <w:tcPr>
            <w:tcW w:w="996" w:type="dxa"/>
            <w:gridSpan w:val="2"/>
            <w:tcBorders>
              <w:top w:val="nil"/>
              <w:left w:val="nil"/>
              <w:bottom w:val="nil"/>
              <w:right w:val="nil"/>
            </w:tcBorders>
            <w:shd w:val="clear" w:color="auto" w:fill="auto"/>
            <w:noWrap/>
            <w:vAlign w:val="bottom"/>
            <w:hideMark/>
          </w:tcPr>
          <w:p w14:paraId="2A221B0A" w14:textId="77777777" w:rsidR="0091271A" w:rsidRPr="009404FD" w:rsidRDefault="0091271A" w:rsidP="0091271A">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7974209A" w14:textId="3C606898" w:rsidR="0091271A" w:rsidRPr="009404FD" w:rsidRDefault="0091271A" w:rsidP="0091271A">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7713A934" w14:textId="77777777" w:rsidR="0091271A" w:rsidRPr="009404FD" w:rsidRDefault="0091271A" w:rsidP="0091271A">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484F3A6F" w14:textId="77777777" w:rsidR="0091271A" w:rsidRPr="009404FD" w:rsidRDefault="0091271A" w:rsidP="0091271A">
            <w:pPr>
              <w:spacing w:after="0" w:line="240" w:lineRule="auto"/>
              <w:jc w:val="right"/>
              <w:rPr>
                <w:rFonts w:ascii="Times New Roman" w:hAnsi="Times New Roman"/>
                <w:sz w:val="16"/>
                <w:szCs w:val="16"/>
              </w:rPr>
            </w:pPr>
          </w:p>
        </w:tc>
        <w:tc>
          <w:tcPr>
            <w:tcW w:w="889" w:type="dxa"/>
            <w:tcBorders>
              <w:top w:val="nil"/>
              <w:left w:val="nil"/>
              <w:bottom w:val="nil"/>
              <w:right w:val="nil"/>
            </w:tcBorders>
            <w:shd w:val="clear" w:color="auto" w:fill="auto"/>
            <w:noWrap/>
            <w:vAlign w:val="bottom"/>
            <w:hideMark/>
          </w:tcPr>
          <w:p w14:paraId="2281889F" w14:textId="77777777" w:rsidR="0091271A" w:rsidRPr="009404FD" w:rsidRDefault="0091271A" w:rsidP="0091271A">
            <w:pPr>
              <w:spacing w:after="0" w:line="240" w:lineRule="auto"/>
              <w:jc w:val="right"/>
              <w:rPr>
                <w:rFonts w:ascii="Times New Roman" w:hAnsi="Times New Roman"/>
                <w:sz w:val="16"/>
                <w:szCs w:val="16"/>
              </w:rPr>
            </w:pPr>
          </w:p>
        </w:tc>
      </w:tr>
      <w:tr w:rsidR="00F10ACD" w:rsidRPr="0091271A" w14:paraId="69382FCC" w14:textId="77777777" w:rsidTr="006C442A">
        <w:trPr>
          <w:trHeight w:val="204"/>
        </w:trPr>
        <w:tc>
          <w:tcPr>
            <w:tcW w:w="3119" w:type="dxa"/>
            <w:tcBorders>
              <w:top w:val="nil"/>
              <w:left w:val="nil"/>
              <w:bottom w:val="nil"/>
              <w:right w:val="nil"/>
            </w:tcBorders>
            <w:shd w:val="clear" w:color="auto" w:fill="auto"/>
            <w:vAlign w:val="bottom"/>
            <w:hideMark/>
          </w:tcPr>
          <w:p w14:paraId="167D91F2" w14:textId="77777777" w:rsidR="00F10ACD" w:rsidRPr="009404FD" w:rsidRDefault="00F10ACD" w:rsidP="00F10ACD">
            <w:pPr>
              <w:spacing w:after="0" w:line="240" w:lineRule="auto"/>
              <w:ind w:left="113"/>
              <w:jc w:val="left"/>
              <w:rPr>
                <w:rFonts w:ascii="Arial" w:hAnsi="Arial" w:cs="Arial"/>
                <w:sz w:val="16"/>
                <w:szCs w:val="16"/>
              </w:rPr>
            </w:pPr>
            <w:r w:rsidRPr="009404FD">
              <w:rPr>
                <w:rFonts w:ascii="Arial" w:hAnsi="Arial" w:cs="Arial"/>
                <w:sz w:val="16"/>
                <w:szCs w:val="16"/>
              </w:rPr>
              <w:t>Digital Road Safety Pilot</w:t>
            </w:r>
          </w:p>
        </w:tc>
        <w:tc>
          <w:tcPr>
            <w:tcW w:w="996" w:type="dxa"/>
            <w:gridSpan w:val="2"/>
            <w:tcBorders>
              <w:top w:val="nil"/>
              <w:left w:val="nil"/>
              <w:bottom w:val="nil"/>
              <w:right w:val="nil"/>
            </w:tcBorders>
            <w:shd w:val="clear" w:color="auto" w:fill="auto"/>
            <w:noWrap/>
            <w:vAlign w:val="bottom"/>
            <w:hideMark/>
          </w:tcPr>
          <w:p w14:paraId="6A54A36A" w14:textId="4FB00FAC"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1,200 </w:t>
            </w:r>
          </w:p>
        </w:tc>
        <w:tc>
          <w:tcPr>
            <w:tcW w:w="850" w:type="dxa"/>
            <w:tcBorders>
              <w:top w:val="nil"/>
              <w:left w:val="nil"/>
              <w:bottom w:val="nil"/>
              <w:right w:val="nil"/>
            </w:tcBorders>
            <w:shd w:val="clear" w:color="000000" w:fill="E6E6E6"/>
            <w:noWrap/>
            <w:vAlign w:val="bottom"/>
            <w:hideMark/>
          </w:tcPr>
          <w:p w14:paraId="4C0E03AE" w14:textId="73273230"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50B012CF" w14:textId="198847B5"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14:paraId="0DCE7EEC" w14:textId="068E897A"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889" w:type="dxa"/>
            <w:tcBorders>
              <w:top w:val="nil"/>
              <w:left w:val="nil"/>
              <w:bottom w:val="nil"/>
              <w:right w:val="nil"/>
            </w:tcBorders>
            <w:shd w:val="clear" w:color="auto" w:fill="auto"/>
            <w:noWrap/>
            <w:vAlign w:val="bottom"/>
            <w:hideMark/>
          </w:tcPr>
          <w:p w14:paraId="45E7D08B" w14:textId="252D95C2"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r>
      <w:tr w:rsidR="00F10ACD" w:rsidRPr="0091271A" w14:paraId="65E8C974" w14:textId="77777777" w:rsidTr="006C442A">
        <w:trPr>
          <w:trHeight w:val="204"/>
        </w:trPr>
        <w:tc>
          <w:tcPr>
            <w:tcW w:w="3119" w:type="dxa"/>
            <w:tcBorders>
              <w:top w:val="nil"/>
              <w:left w:val="nil"/>
              <w:bottom w:val="nil"/>
              <w:right w:val="nil"/>
            </w:tcBorders>
            <w:shd w:val="clear" w:color="auto" w:fill="auto"/>
            <w:vAlign w:val="bottom"/>
            <w:hideMark/>
          </w:tcPr>
          <w:p w14:paraId="2B8E9401" w14:textId="77777777" w:rsidR="00F10ACD" w:rsidRPr="009404FD" w:rsidRDefault="00F10ACD" w:rsidP="00F10ACD">
            <w:pPr>
              <w:spacing w:after="0" w:line="240" w:lineRule="auto"/>
              <w:ind w:left="113"/>
              <w:jc w:val="left"/>
              <w:rPr>
                <w:rFonts w:ascii="Arial" w:hAnsi="Arial" w:cs="Arial"/>
                <w:sz w:val="16"/>
                <w:szCs w:val="16"/>
              </w:rPr>
            </w:pPr>
            <w:r w:rsidRPr="009404FD">
              <w:rPr>
                <w:rFonts w:ascii="Arial" w:hAnsi="Arial" w:cs="Arial"/>
                <w:sz w:val="16"/>
                <w:szCs w:val="16"/>
              </w:rPr>
              <w:t>Driver Reviver Grants Program</w:t>
            </w:r>
          </w:p>
        </w:tc>
        <w:tc>
          <w:tcPr>
            <w:tcW w:w="996" w:type="dxa"/>
            <w:gridSpan w:val="2"/>
            <w:tcBorders>
              <w:top w:val="nil"/>
              <w:left w:val="nil"/>
              <w:bottom w:val="nil"/>
              <w:right w:val="nil"/>
            </w:tcBorders>
            <w:shd w:val="clear" w:color="auto" w:fill="auto"/>
            <w:noWrap/>
            <w:vAlign w:val="bottom"/>
            <w:hideMark/>
          </w:tcPr>
          <w:p w14:paraId="17D0BD9D" w14:textId="34B0D367"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7,402 </w:t>
            </w:r>
          </w:p>
        </w:tc>
        <w:tc>
          <w:tcPr>
            <w:tcW w:w="850" w:type="dxa"/>
            <w:tcBorders>
              <w:top w:val="nil"/>
              <w:left w:val="nil"/>
              <w:bottom w:val="nil"/>
              <w:right w:val="nil"/>
            </w:tcBorders>
            <w:shd w:val="clear" w:color="000000" w:fill="E6E6E6"/>
            <w:noWrap/>
            <w:vAlign w:val="bottom"/>
            <w:hideMark/>
          </w:tcPr>
          <w:p w14:paraId="3E06DBF2" w14:textId="7B51EDDE"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28309753" w14:textId="77EAEDC5"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821" w:type="dxa"/>
            <w:tcBorders>
              <w:top w:val="nil"/>
              <w:left w:val="nil"/>
              <w:bottom w:val="nil"/>
              <w:right w:val="nil"/>
            </w:tcBorders>
            <w:shd w:val="clear" w:color="auto" w:fill="auto"/>
            <w:noWrap/>
            <w:vAlign w:val="bottom"/>
            <w:hideMark/>
          </w:tcPr>
          <w:p w14:paraId="6B2A1EC5" w14:textId="36404C73"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889" w:type="dxa"/>
            <w:tcBorders>
              <w:top w:val="nil"/>
              <w:left w:val="nil"/>
              <w:bottom w:val="nil"/>
              <w:right w:val="nil"/>
            </w:tcBorders>
            <w:shd w:val="clear" w:color="auto" w:fill="auto"/>
            <w:noWrap/>
            <w:vAlign w:val="bottom"/>
            <w:hideMark/>
          </w:tcPr>
          <w:p w14:paraId="49EB60AE" w14:textId="2CA31BCB"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r>
      <w:tr w:rsidR="00F10ACD" w:rsidRPr="0091271A" w14:paraId="15DF962B" w14:textId="77777777" w:rsidTr="006C442A">
        <w:trPr>
          <w:trHeight w:val="204"/>
        </w:trPr>
        <w:tc>
          <w:tcPr>
            <w:tcW w:w="3119" w:type="dxa"/>
            <w:tcBorders>
              <w:top w:val="nil"/>
              <w:left w:val="nil"/>
              <w:bottom w:val="nil"/>
              <w:right w:val="nil"/>
            </w:tcBorders>
            <w:shd w:val="clear" w:color="auto" w:fill="auto"/>
            <w:vAlign w:val="bottom"/>
            <w:hideMark/>
          </w:tcPr>
          <w:p w14:paraId="2E85439B" w14:textId="77777777" w:rsidR="00F10ACD" w:rsidRPr="009404FD" w:rsidRDefault="00F10ACD" w:rsidP="00F10ACD">
            <w:pPr>
              <w:spacing w:after="0" w:line="240" w:lineRule="auto"/>
              <w:ind w:left="113"/>
              <w:jc w:val="left"/>
              <w:rPr>
                <w:rFonts w:ascii="Arial" w:hAnsi="Arial" w:cs="Arial"/>
                <w:sz w:val="16"/>
                <w:szCs w:val="16"/>
              </w:rPr>
            </w:pPr>
            <w:r w:rsidRPr="009404FD">
              <w:rPr>
                <w:rFonts w:ascii="Arial" w:hAnsi="Arial" w:cs="Arial"/>
                <w:sz w:val="16"/>
                <w:szCs w:val="16"/>
              </w:rPr>
              <w:t>Keys2drive</w:t>
            </w:r>
          </w:p>
        </w:tc>
        <w:tc>
          <w:tcPr>
            <w:tcW w:w="996" w:type="dxa"/>
            <w:gridSpan w:val="2"/>
            <w:tcBorders>
              <w:top w:val="nil"/>
              <w:left w:val="nil"/>
              <w:bottom w:val="nil"/>
              <w:right w:val="nil"/>
            </w:tcBorders>
            <w:shd w:val="clear" w:color="auto" w:fill="auto"/>
            <w:noWrap/>
            <w:vAlign w:val="bottom"/>
            <w:hideMark/>
          </w:tcPr>
          <w:p w14:paraId="497F4A54" w14:textId="7FF388DD"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4,000 </w:t>
            </w:r>
          </w:p>
        </w:tc>
        <w:tc>
          <w:tcPr>
            <w:tcW w:w="850" w:type="dxa"/>
            <w:tcBorders>
              <w:top w:val="nil"/>
              <w:left w:val="nil"/>
              <w:bottom w:val="nil"/>
              <w:right w:val="nil"/>
            </w:tcBorders>
            <w:shd w:val="clear" w:color="000000" w:fill="E6E6E6"/>
            <w:noWrap/>
            <w:vAlign w:val="bottom"/>
            <w:hideMark/>
          </w:tcPr>
          <w:p w14:paraId="33535B1F" w14:textId="0A1AFBF4"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4,000 </w:t>
            </w:r>
          </w:p>
        </w:tc>
        <w:tc>
          <w:tcPr>
            <w:tcW w:w="850" w:type="dxa"/>
            <w:tcBorders>
              <w:top w:val="nil"/>
              <w:left w:val="nil"/>
              <w:bottom w:val="nil"/>
              <w:right w:val="nil"/>
            </w:tcBorders>
            <w:shd w:val="clear" w:color="auto" w:fill="auto"/>
            <w:noWrap/>
            <w:vAlign w:val="bottom"/>
            <w:hideMark/>
          </w:tcPr>
          <w:p w14:paraId="1FDB8F9A" w14:textId="6E981485"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6,000 </w:t>
            </w:r>
          </w:p>
        </w:tc>
        <w:tc>
          <w:tcPr>
            <w:tcW w:w="821" w:type="dxa"/>
            <w:tcBorders>
              <w:top w:val="nil"/>
              <w:left w:val="nil"/>
              <w:bottom w:val="nil"/>
              <w:right w:val="nil"/>
            </w:tcBorders>
            <w:shd w:val="clear" w:color="auto" w:fill="auto"/>
            <w:noWrap/>
            <w:vAlign w:val="bottom"/>
            <w:hideMark/>
          </w:tcPr>
          <w:p w14:paraId="4520CA88" w14:textId="60E1D222"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889" w:type="dxa"/>
            <w:tcBorders>
              <w:top w:val="nil"/>
              <w:left w:val="nil"/>
              <w:bottom w:val="nil"/>
              <w:right w:val="nil"/>
            </w:tcBorders>
            <w:shd w:val="clear" w:color="auto" w:fill="auto"/>
            <w:noWrap/>
            <w:vAlign w:val="bottom"/>
            <w:hideMark/>
          </w:tcPr>
          <w:p w14:paraId="1606971B" w14:textId="1635636D"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r>
      <w:tr w:rsidR="00F10ACD" w:rsidRPr="0091271A" w14:paraId="5E5285D3" w14:textId="77777777" w:rsidTr="006C442A">
        <w:trPr>
          <w:trHeight w:val="204"/>
        </w:trPr>
        <w:tc>
          <w:tcPr>
            <w:tcW w:w="3119" w:type="dxa"/>
            <w:tcBorders>
              <w:top w:val="nil"/>
              <w:left w:val="nil"/>
              <w:bottom w:val="nil"/>
              <w:right w:val="nil"/>
            </w:tcBorders>
            <w:shd w:val="clear" w:color="auto" w:fill="auto"/>
            <w:vAlign w:val="bottom"/>
            <w:hideMark/>
          </w:tcPr>
          <w:p w14:paraId="3D909B4E" w14:textId="77777777" w:rsidR="00F10ACD" w:rsidRPr="009404FD" w:rsidRDefault="00F10ACD" w:rsidP="00F10ACD">
            <w:pPr>
              <w:spacing w:after="0" w:line="240" w:lineRule="auto"/>
              <w:ind w:left="113"/>
              <w:jc w:val="left"/>
              <w:rPr>
                <w:rFonts w:ascii="Arial" w:hAnsi="Arial" w:cs="Arial"/>
                <w:sz w:val="16"/>
                <w:szCs w:val="16"/>
              </w:rPr>
            </w:pPr>
            <w:r w:rsidRPr="009404FD">
              <w:rPr>
                <w:rFonts w:ascii="Arial" w:hAnsi="Arial" w:cs="Arial"/>
                <w:sz w:val="16"/>
                <w:szCs w:val="16"/>
              </w:rPr>
              <w:t>Road Safety Awareness and Enablers Fund</w:t>
            </w:r>
          </w:p>
        </w:tc>
        <w:tc>
          <w:tcPr>
            <w:tcW w:w="996" w:type="dxa"/>
            <w:gridSpan w:val="2"/>
            <w:tcBorders>
              <w:top w:val="nil"/>
              <w:left w:val="nil"/>
              <w:bottom w:val="nil"/>
              <w:right w:val="nil"/>
            </w:tcBorders>
            <w:shd w:val="clear" w:color="auto" w:fill="auto"/>
            <w:noWrap/>
            <w:vAlign w:val="bottom"/>
            <w:hideMark/>
          </w:tcPr>
          <w:p w14:paraId="6FA2D534" w14:textId="7D57EF06"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915 </w:t>
            </w:r>
          </w:p>
        </w:tc>
        <w:tc>
          <w:tcPr>
            <w:tcW w:w="850" w:type="dxa"/>
            <w:tcBorders>
              <w:top w:val="nil"/>
              <w:left w:val="nil"/>
              <w:bottom w:val="nil"/>
              <w:right w:val="nil"/>
            </w:tcBorders>
            <w:shd w:val="clear" w:color="000000" w:fill="E6E6E6"/>
            <w:noWrap/>
            <w:vAlign w:val="bottom"/>
            <w:hideMark/>
          </w:tcPr>
          <w:p w14:paraId="54DA0BDF" w14:textId="2667CF50"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1,358 </w:t>
            </w:r>
          </w:p>
        </w:tc>
        <w:tc>
          <w:tcPr>
            <w:tcW w:w="850" w:type="dxa"/>
            <w:tcBorders>
              <w:top w:val="nil"/>
              <w:left w:val="nil"/>
              <w:bottom w:val="nil"/>
              <w:right w:val="nil"/>
            </w:tcBorders>
            <w:shd w:val="clear" w:color="auto" w:fill="auto"/>
            <w:noWrap/>
            <w:vAlign w:val="bottom"/>
            <w:hideMark/>
          </w:tcPr>
          <w:p w14:paraId="4C065E13" w14:textId="5C1A7972"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728 </w:t>
            </w:r>
          </w:p>
        </w:tc>
        <w:tc>
          <w:tcPr>
            <w:tcW w:w="821" w:type="dxa"/>
            <w:tcBorders>
              <w:top w:val="nil"/>
              <w:left w:val="nil"/>
              <w:bottom w:val="nil"/>
              <w:right w:val="nil"/>
            </w:tcBorders>
            <w:shd w:val="clear" w:color="auto" w:fill="auto"/>
            <w:noWrap/>
            <w:vAlign w:val="bottom"/>
            <w:hideMark/>
          </w:tcPr>
          <w:p w14:paraId="2B53E69B" w14:textId="0D097B33"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889" w:type="dxa"/>
            <w:tcBorders>
              <w:top w:val="nil"/>
              <w:left w:val="nil"/>
              <w:bottom w:val="nil"/>
              <w:right w:val="nil"/>
            </w:tcBorders>
            <w:shd w:val="clear" w:color="auto" w:fill="auto"/>
            <w:noWrap/>
            <w:vAlign w:val="bottom"/>
            <w:hideMark/>
          </w:tcPr>
          <w:p w14:paraId="4CC28AC5" w14:textId="75F597B9"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r>
      <w:tr w:rsidR="00F10ACD" w:rsidRPr="0091271A" w14:paraId="11D0710E" w14:textId="77777777" w:rsidTr="006C442A">
        <w:trPr>
          <w:trHeight w:val="204"/>
        </w:trPr>
        <w:tc>
          <w:tcPr>
            <w:tcW w:w="3119" w:type="dxa"/>
            <w:tcBorders>
              <w:top w:val="nil"/>
              <w:left w:val="nil"/>
              <w:bottom w:val="nil"/>
              <w:right w:val="nil"/>
            </w:tcBorders>
            <w:shd w:val="clear" w:color="auto" w:fill="auto"/>
            <w:vAlign w:val="bottom"/>
            <w:hideMark/>
          </w:tcPr>
          <w:p w14:paraId="1EE4DCD3" w14:textId="77777777" w:rsidR="00F10ACD" w:rsidRPr="009404FD" w:rsidRDefault="00F10ACD" w:rsidP="00F10ACD">
            <w:pPr>
              <w:spacing w:after="0" w:line="240" w:lineRule="auto"/>
              <w:ind w:left="113"/>
              <w:jc w:val="left"/>
              <w:rPr>
                <w:rFonts w:ascii="Arial" w:hAnsi="Arial" w:cs="Arial"/>
                <w:sz w:val="16"/>
                <w:szCs w:val="16"/>
              </w:rPr>
            </w:pPr>
            <w:r w:rsidRPr="009404FD">
              <w:rPr>
                <w:rFonts w:ascii="Arial" w:hAnsi="Arial" w:cs="Arial"/>
                <w:sz w:val="16"/>
                <w:szCs w:val="16"/>
              </w:rPr>
              <w:t>Road Safety Innovation Fund</w:t>
            </w:r>
          </w:p>
        </w:tc>
        <w:tc>
          <w:tcPr>
            <w:tcW w:w="996" w:type="dxa"/>
            <w:gridSpan w:val="2"/>
            <w:tcBorders>
              <w:top w:val="nil"/>
              <w:left w:val="nil"/>
              <w:bottom w:val="nil"/>
              <w:right w:val="nil"/>
            </w:tcBorders>
            <w:shd w:val="clear" w:color="auto" w:fill="auto"/>
            <w:noWrap/>
            <w:vAlign w:val="bottom"/>
            <w:hideMark/>
          </w:tcPr>
          <w:p w14:paraId="4CF85714" w14:textId="1CAF0641"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4,969 </w:t>
            </w:r>
          </w:p>
        </w:tc>
        <w:tc>
          <w:tcPr>
            <w:tcW w:w="850" w:type="dxa"/>
            <w:tcBorders>
              <w:top w:val="nil"/>
              <w:left w:val="nil"/>
              <w:bottom w:val="nil"/>
              <w:right w:val="nil"/>
            </w:tcBorders>
            <w:shd w:val="clear" w:color="000000" w:fill="E6E6E6"/>
            <w:noWrap/>
            <w:vAlign w:val="bottom"/>
            <w:hideMark/>
          </w:tcPr>
          <w:p w14:paraId="6E317E98" w14:textId="00B9C5CB"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3,500 </w:t>
            </w:r>
          </w:p>
        </w:tc>
        <w:tc>
          <w:tcPr>
            <w:tcW w:w="850" w:type="dxa"/>
            <w:tcBorders>
              <w:top w:val="nil"/>
              <w:left w:val="nil"/>
              <w:bottom w:val="nil"/>
              <w:right w:val="nil"/>
            </w:tcBorders>
            <w:shd w:val="clear" w:color="auto" w:fill="auto"/>
            <w:noWrap/>
            <w:vAlign w:val="bottom"/>
            <w:hideMark/>
          </w:tcPr>
          <w:p w14:paraId="7BD26F5F" w14:textId="15D6DEAA"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3,500 </w:t>
            </w:r>
          </w:p>
        </w:tc>
        <w:tc>
          <w:tcPr>
            <w:tcW w:w="821" w:type="dxa"/>
            <w:tcBorders>
              <w:top w:val="nil"/>
              <w:left w:val="nil"/>
              <w:bottom w:val="nil"/>
              <w:right w:val="nil"/>
            </w:tcBorders>
            <w:shd w:val="clear" w:color="auto" w:fill="auto"/>
            <w:noWrap/>
            <w:vAlign w:val="bottom"/>
            <w:hideMark/>
          </w:tcPr>
          <w:p w14:paraId="53078DEA" w14:textId="0B39C21D"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889" w:type="dxa"/>
            <w:tcBorders>
              <w:top w:val="nil"/>
              <w:left w:val="nil"/>
              <w:bottom w:val="nil"/>
              <w:right w:val="nil"/>
            </w:tcBorders>
            <w:shd w:val="clear" w:color="auto" w:fill="auto"/>
            <w:noWrap/>
            <w:vAlign w:val="bottom"/>
            <w:hideMark/>
          </w:tcPr>
          <w:p w14:paraId="63DC3454" w14:textId="28A00986" w:rsidR="00F10ACD" w:rsidRPr="009404FD"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r>
      <w:tr w:rsidR="00F10ACD" w:rsidRPr="0091271A" w14:paraId="2702E36C" w14:textId="77777777" w:rsidTr="006C442A">
        <w:trPr>
          <w:trHeight w:val="204"/>
        </w:trPr>
        <w:tc>
          <w:tcPr>
            <w:tcW w:w="3119" w:type="dxa"/>
            <w:tcBorders>
              <w:top w:val="nil"/>
              <w:left w:val="nil"/>
              <w:bottom w:val="single" w:sz="4" w:space="0" w:color="auto"/>
              <w:right w:val="nil"/>
            </w:tcBorders>
            <w:shd w:val="clear" w:color="auto" w:fill="auto"/>
            <w:noWrap/>
            <w:vAlign w:val="bottom"/>
            <w:hideMark/>
          </w:tcPr>
          <w:p w14:paraId="048DE734" w14:textId="77777777" w:rsidR="00F10ACD" w:rsidRPr="009404FD" w:rsidRDefault="00F10ACD" w:rsidP="00F10ACD">
            <w:pPr>
              <w:spacing w:after="0" w:line="240" w:lineRule="auto"/>
              <w:jc w:val="left"/>
              <w:rPr>
                <w:rFonts w:ascii="Arial" w:hAnsi="Arial" w:cs="Arial"/>
                <w:b/>
                <w:bCs/>
                <w:sz w:val="16"/>
                <w:szCs w:val="16"/>
              </w:rPr>
            </w:pPr>
            <w:r w:rsidRPr="009404FD">
              <w:rPr>
                <w:rFonts w:ascii="Arial" w:hAnsi="Arial" w:cs="Arial"/>
                <w:b/>
                <w:bCs/>
                <w:sz w:val="16"/>
                <w:szCs w:val="16"/>
              </w:rPr>
              <w:t>Total expenses for Program 2.2</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52EB6372" w14:textId="1C1C0DF9" w:rsidR="00F10ACD" w:rsidRPr="009404FD"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18,486 </w:t>
            </w:r>
          </w:p>
        </w:tc>
        <w:tc>
          <w:tcPr>
            <w:tcW w:w="850" w:type="dxa"/>
            <w:tcBorders>
              <w:top w:val="single" w:sz="4" w:space="0" w:color="auto"/>
              <w:left w:val="nil"/>
              <w:bottom w:val="single" w:sz="4" w:space="0" w:color="auto"/>
              <w:right w:val="nil"/>
            </w:tcBorders>
            <w:shd w:val="clear" w:color="000000" w:fill="E6E6E6"/>
            <w:noWrap/>
            <w:vAlign w:val="bottom"/>
            <w:hideMark/>
          </w:tcPr>
          <w:p w14:paraId="2B52F70A" w14:textId="67F63A3F" w:rsidR="00F10ACD" w:rsidRPr="009404FD"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8,858 </w:t>
            </w:r>
          </w:p>
        </w:tc>
        <w:tc>
          <w:tcPr>
            <w:tcW w:w="850" w:type="dxa"/>
            <w:tcBorders>
              <w:top w:val="single" w:sz="4" w:space="0" w:color="auto"/>
              <w:left w:val="nil"/>
              <w:bottom w:val="single" w:sz="4" w:space="0" w:color="auto"/>
              <w:right w:val="nil"/>
            </w:tcBorders>
            <w:shd w:val="clear" w:color="auto" w:fill="auto"/>
            <w:noWrap/>
            <w:vAlign w:val="bottom"/>
            <w:hideMark/>
          </w:tcPr>
          <w:p w14:paraId="28DC0051" w14:textId="73CCF5ED" w:rsidR="00F10ACD" w:rsidRPr="009404FD"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10,228 </w:t>
            </w:r>
          </w:p>
        </w:tc>
        <w:tc>
          <w:tcPr>
            <w:tcW w:w="821" w:type="dxa"/>
            <w:tcBorders>
              <w:top w:val="single" w:sz="4" w:space="0" w:color="auto"/>
              <w:left w:val="nil"/>
              <w:bottom w:val="single" w:sz="4" w:space="0" w:color="auto"/>
              <w:right w:val="nil"/>
            </w:tcBorders>
            <w:shd w:val="clear" w:color="auto" w:fill="auto"/>
            <w:noWrap/>
            <w:vAlign w:val="bottom"/>
            <w:hideMark/>
          </w:tcPr>
          <w:p w14:paraId="1B04FA6C" w14:textId="334C58B1" w:rsidR="00F10ACD" w:rsidRPr="009404FD"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889" w:type="dxa"/>
            <w:tcBorders>
              <w:top w:val="single" w:sz="4" w:space="0" w:color="auto"/>
              <w:left w:val="nil"/>
              <w:bottom w:val="single" w:sz="4" w:space="0" w:color="auto"/>
              <w:right w:val="nil"/>
            </w:tcBorders>
            <w:shd w:val="clear" w:color="auto" w:fill="auto"/>
            <w:noWrap/>
            <w:vAlign w:val="bottom"/>
            <w:hideMark/>
          </w:tcPr>
          <w:p w14:paraId="2907B04B" w14:textId="1AC5E30F" w:rsidR="00F10ACD" w:rsidRPr="009404FD"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 </w:t>
            </w:r>
          </w:p>
        </w:tc>
      </w:tr>
    </w:tbl>
    <w:p w14:paraId="1D19754A" w14:textId="6DFF7F88" w:rsidR="00EC14B6" w:rsidRPr="006C0481" w:rsidRDefault="00EC14B6" w:rsidP="006C0481">
      <w:pPr>
        <w:pStyle w:val="TableHeading"/>
      </w:pPr>
      <w:r>
        <w:br w:type="page"/>
      </w:r>
      <w:r w:rsidRPr="005939CC">
        <w:lastRenderedPageBreak/>
        <w:t>Table 2</w:t>
      </w:r>
      <w:r w:rsidRPr="006C0481">
        <w:t>.3.2: Program components of Outcome 2 (continued)</w:t>
      </w:r>
    </w:p>
    <w:tbl>
      <w:tblPr>
        <w:tblW w:w="7655" w:type="dxa"/>
        <w:tblLayout w:type="fixed"/>
        <w:tblLook w:val="04A0" w:firstRow="1" w:lastRow="0" w:firstColumn="1" w:lastColumn="0" w:noHBand="0" w:noVBand="1"/>
      </w:tblPr>
      <w:tblGrid>
        <w:gridCol w:w="3119"/>
        <w:gridCol w:w="928"/>
        <w:gridCol w:w="928"/>
        <w:gridCol w:w="932"/>
        <w:gridCol w:w="897"/>
        <w:gridCol w:w="851"/>
      </w:tblGrid>
      <w:tr w:rsidR="00E34CEC" w:rsidRPr="006C0481" w14:paraId="186FBD82" w14:textId="77777777" w:rsidTr="00D14058">
        <w:trPr>
          <w:trHeight w:val="204"/>
        </w:trPr>
        <w:tc>
          <w:tcPr>
            <w:tcW w:w="3119" w:type="dxa"/>
            <w:tcBorders>
              <w:top w:val="single" w:sz="4" w:space="0" w:color="auto"/>
              <w:left w:val="nil"/>
              <w:bottom w:val="nil"/>
              <w:right w:val="nil"/>
            </w:tcBorders>
            <w:shd w:val="clear" w:color="auto" w:fill="auto"/>
            <w:noWrap/>
            <w:vAlign w:val="bottom"/>
            <w:hideMark/>
          </w:tcPr>
          <w:p w14:paraId="3C0EA185" w14:textId="77777777" w:rsidR="00E34CEC" w:rsidRPr="006C0481" w:rsidRDefault="00E34CEC" w:rsidP="006C0481">
            <w:pPr>
              <w:spacing w:after="0" w:line="240" w:lineRule="auto"/>
              <w:jc w:val="left"/>
              <w:rPr>
                <w:rFonts w:ascii="Arial" w:hAnsi="Arial" w:cs="Arial"/>
                <w:sz w:val="16"/>
                <w:szCs w:val="16"/>
              </w:rPr>
            </w:pPr>
            <w:r w:rsidRPr="006C0481">
              <w:rPr>
                <w:rFonts w:ascii="Arial" w:hAnsi="Arial" w:cs="Arial"/>
                <w:sz w:val="16"/>
                <w:szCs w:val="16"/>
              </w:rPr>
              <w:t> </w:t>
            </w:r>
          </w:p>
        </w:tc>
        <w:tc>
          <w:tcPr>
            <w:tcW w:w="928" w:type="dxa"/>
            <w:tcBorders>
              <w:top w:val="single" w:sz="4" w:space="0" w:color="auto"/>
              <w:left w:val="nil"/>
              <w:bottom w:val="nil"/>
              <w:right w:val="nil"/>
            </w:tcBorders>
            <w:shd w:val="clear" w:color="auto" w:fill="auto"/>
            <w:vAlign w:val="bottom"/>
            <w:hideMark/>
          </w:tcPr>
          <w:p w14:paraId="18575199" w14:textId="59AE9690" w:rsidR="00E34CEC" w:rsidRPr="006C0481" w:rsidRDefault="00E34CEC" w:rsidP="006C0481">
            <w:pPr>
              <w:spacing w:after="0" w:line="240" w:lineRule="auto"/>
              <w:jc w:val="right"/>
              <w:rPr>
                <w:rFonts w:ascii="Arial" w:hAnsi="Arial" w:cs="Arial"/>
                <w:sz w:val="16"/>
                <w:szCs w:val="16"/>
              </w:rPr>
            </w:pPr>
            <w:r w:rsidRPr="006C0481">
              <w:rPr>
                <w:rFonts w:ascii="Arial" w:hAnsi="Arial" w:cs="Arial"/>
                <w:sz w:val="16"/>
                <w:szCs w:val="16"/>
              </w:rPr>
              <w:t>2020-21 Actual expenses $'000</w:t>
            </w:r>
          </w:p>
        </w:tc>
        <w:tc>
          <w:tcPr>
            <w:tcW w:w="928" w:type="dxa"/>
            <w:tcBorders>
              <w:top w:val="single" w:sz="4" w:space="0" w:color="auto"/>
              <w:left w:val="nil"/>
              <w:bottom w:val="nil"/>
              <w:right w:val="nil"/>
            </w:tcBorders>
            <w:shd w:val="clear" w:color="000000" w:fill="E6E6E6"/>
            <w:vAlign w:val="bottom"/>
            <w:hideMark/>
          </w:tcPr>
          <w:p w14:paraId="68E20BBC" w14:textId="4E160AAE" w:rsidR="00E34CEC" w:rsidRPr="006C0481" w:rsidRDefault="00E34CEC" w:rsidP="006C0481">
            <w:pPr>
              <w:spacing w:after="0" w:line="240" w:lineRule="auto"/>
              <w:jc w:val="right"/>
              <w:rPr>
                <w:rFonts w:ascii="Arial" w:hAnsi="Arial" w:cs="Arial"/>
                <w:sz w:val="16"/>
                <w:szCs w:val="16"/>
              </w:rPr>
            </w:pPr>
            <w:r w:rsidRPr="006C0481">
              <w:rPr>
                <w:rFonts w:ascii="Arial" w:hAnsi="Arial" w:cs="Arial"/>
                <w:sz w:val="16"/>
                <w:szCs w:val="16"/>
              </w:rPr>
              <w:t>2021-22 Revised Budget $'000</w:t>
            </w:r>
          </w:p>
        </w:tc>
        <w:tc>
          <w:tcPr>
            <w:tcW w:w="932" w:type="dxa"/>
            <w:tcBorders>
              <w:top w:val="single" w:sz="4" w:space="0" w:color="auto"/>
              <w:left w:val="nil"/>
              <w:bottom w:val="nil"/>
              <w:right w:val="nil"/>
            </w:tcBorders>
            <w:shd w:val="clear" w:color="auto" w:fill="auto"/>
            <w:vAlign w:val="bottom"/>
            <w:hideMark/>
          </w:tcPr>
          <w:p w14:paraId="42E90B21" w14:textId="4C891AF1" w:rsidR="00E34CEC" w:rsidRPr="006C0481" w:rsidRDefault="00E34CEC" w:rsidP="006C0481">
            <w:pPr>
              <w:spacing w:after="0" w:line="240" w:lineRule="auto"/>
              <w:jc w:val="right"/>
              <w:rPr>
                <w:rFonts w:ascii="Arial" w:hAnsi="Arial" w:cs="Arial"/>
                <w:sz w:val="16"/>
                <w:szCs w:val="16"/>
              </w:rPr>
            </w:pPr>
            <w:r w:rsidRPr="006C0481">
              <w:rPr>
                <w:rFonts w:ascii="Arial" w:hAnsi="Arial" w:cs="Arial"/>
                <w:sz w:val="16"/>
                <w:szCs w:val="16"/>
              </w:rPr>
              <w:t>2022-23 Forward estimate $'000</w:t>
            </w:r>
          </w:p>
        </w:tc>
        <w:tc>
          <w:tcPr>
            <w:tcW w:w="897" w:type="dxa"/>
            <w:tcBorders>
              <w:top w:val="single" w:sz="4" w:space="0" w:color="auto"/>
              <w:left w:val="nil"/>
              <w:bottom w:val="nil"/>
              <w:right w:val="nil"/>
            </w:tcBorders>
            <w:shd w:val="clear" w:color="auto" w:fill="auto"/>
            <w:vAlign w:val="bottom"/>
            <w:hideMark/>
          </w:tcPr>
          <w:p w14:paraId="015CD70B" w14:textId="78721B76" w:rsidR="00E34CEC" w:rsidRPr="006C0481" w:rsidRDefault="00E34CEC" w:rsidP="006C0481">
            <w:pPr>
              <w:spacing w:after="0" w:line="240" w:lineRule="auto"/>
              <w:jc w:val="right"/>
              <w:rPr>
                <w:rFonts w:ascii="Arial" w:hAnsi="Arial" w:cs="Arial"/>
                <w:sz w:val="16"/>
                <w:szCs w:val="16"/>
              </w:rPr>
            </w:pPr>
            <w:r w:rsidRPr="006C0481">
              <w:rPr>
                <w:rFonts w:ascii="Arial" w:hAnsi="Arial" w:cs="Arial"/>
                <w:sz w:val="16"/>
                <w:szCs w:val="16"/>
              </w:rPr>
              <w:t>2023-24 Forward estimate $'000</w:t>
            </w:r>
          </w:p>
        </w:tc>
        <w:tc>
          <w:tcPr>
            <w:tcW w:w="851" w:type="dxa"/>
            <w:tcBorders>
              <w:top w:val="single" w:sz="4" w:space="0" w:color="auto"/>
              <w:left w:val="nil"/>
              <w:bottom w:val="nil"/>
              <w:right w:val="nil"/>
            </w:tcBorders>
            <w:shd w:val="clear" w:color="auto" w:fill="auto"/>
            <w:vAlign w:val="bottom"/>
            <w:hideMark/>
          </w:tcPr>
          <w:p w14:paraId="61B2839B" w14:textId="74796F87" w:rsidR="00E34CEC" w:rsidRPr="006C0481" w:rsidRDefault="00E34CEC" w:rsidP="006C0481">
            <w:pPr>
              <w:spacing w:after="0" w:line="240" w:lineRule="auto"/>
              <w:jc w:val="right"/>
              <w:rPr>
                <w:rFonts w:ascii="Arial" w:hAnsi="Arial" w:cs="Arial"/>
                <w:sz w:val="16"/>
                <w:szCs w:val="16"/>
              </w:rPr>
            </w:pPr>
            <w:r w:rsidRPr="006C0481">
              <w:rPr>
                <w:rFonts w:ascii="Arial" w:hAnsi="Arial" w:cs="Arial"/>
                <w:sz w:val="16"/>
                <w:szCs w:val="16"/>
              </w:rPr>
              <w:t>2024-25 Forward estimate $'000</w:t>
            </w:r>
          </w:p>
        </w:tc>
      </w:tr>
      <w:tr w:rsidR="009404FD" w:rsidRPr="006C0481" w14:paraId="02F35D58" w14:textId="77777777" w:rsidTr="00D14058">
        <w:trPr>
          <w:trHeight w:val="204"/>
        </w:trPr>
        <w:tc>
          <w:tcPr>
            <w:tcW w:w="7655" w:type="dxa"/>
            <w:gridSpan w:val="6"/>
            <w:tcBorders>
              <w:top w:val="single" w:sz="4" w:space="0" w:color="auto"/>
              <w:left w:val="nil"/>
              <w:bottom w:val="single" w:sz="4" w:space="0" w:color="auto"/>
              <w:right w:val="nil"/>
            </w:tcBorders>
            <w:shd w:val="clear" w:color="000000" w:fill="E6E6E6"/>
            <w:noWrap/>
            <w:vAlign w:val="bottom"/>
            <w:hideMark/>
          </w:tcPr>
          <w:p w14:paraId="242A39AD" w14:textId="0062ADD5" w:rsidR="009404FD" w:rsidRPr="006C0481" w:rsidRDefault="009404FD" w:rsidP="006C0481">
            <w:pPr>
              <w:spacing w:after="0" w:line="240" w:lineRule="auto"/>
              <w:jc w:val="left"/>
              <w:rPr>
                <w:rFonts w:ascii="Arial" w:hAnsi="Arial" w:cs="Arial"/>
                <w:sz w:val="16"/>
                <w:szCs w:val="16"/>
              </w:rPr>
            </w:pPr>
            <w:r w:rsidRPr="006C0481">
              <w:rPr>
                <w:rFonts w:ascii="Arial" w:hAnsi="Arial" w:cs="Arial"/>
                <w:b/>
                <w:bCs/>
                <w:sz w:val="16"/>
                <w:szCs w:val="16"/>
              </w:rPr>
              <w:t xml:space="preserve">Components for Program 2.3: Air Transport </w:t>
            </w:r>
          </w:p>
        </w:tc>
      </w:tr>
      <w:tr w:rsidR="0091271A" w:rsidRPr="006C0481" w14:paraId="69998296" w14:textId="77777777" w:rsidTr="00D14058">
        <w:trPr>
          <w:trHeight w:val="204"/>
        </w:trPr>
        <w:tc>
          <w:tcPr>
            <w:tcW w:w="3119" w:type="dxa"/>
            <w:tcBorders>
              <w:top w:val="nil"/>
              <w:left w:val="nil"/>
              <w:bottom w:val="nil"/>
              <w:right w:val="nil"/>
            </w:tcBorders>
            <w:shd w:val="clear" w:color="auto" w:fill="auto"/>
            <w:noWrap/>
            <w:vAlign w:val="bottom"/>
            <w:hideMark/>
          </w:tcPr>
          <w:p w14:paraId="5162BE45" w14:textId="77777777" w:rsidR="0091271A" w:rsidRPr="006C0481" w:rsidRDefault="0091271A" w:rsidP="006C0481">
            <w:pPr>
              <w:spacing w:after="0" w:line="240" w:lineRule="auto"/>
              <w:jc w:val="left"/>
              <w:rPr>
                <w:rFonts w:ascii="Arial" w:hAnsi="Arial" w:cs="Arial"/>
                <w:sz w:val="16"/>
                <w:szCs w:val="16"/>
              </w:rPr>
            </w:pPr>
            <w:r w:rsidRPr="006C0481">
              <w:rPr>
                <w:rFonts w:ascii="Arial" w:hAnsi="Arial" w:cs="Arial"/>
                <w:sz w:val="16"/>
                <w:szCs w:val="16"/>
              </w:rPr>
              <w:t>Administered expenses</w:t>
            </w:r>
          </w:p>
        </w:tc>
        <w:tc>
          <w:tcPr>
            <w:tcW w:w="928" w:type="dxa"/>
            <w:tcBorders>
              <w:top w:val="nil"/>
              <w:left w:val="nil"/>
              <w:bottom w:val="nil"/>
              <w:right w:val="nil"/>
            </w:tcBorders>
            <w:shd w:val="clear" w:color="auto" w:fill="auto"/>
            <w:noWrap/>
            <w:vAlign w:val="bottom"/>
            <w:hideMark/>
          </w:tcPr>
          <w:p w14:paraId="542A2C90" w14:textId="77777777" w:rsidR="0091271A" w:rsidRPr="006C0481" w:rsidRDefault="0091271A" w:rsidP="006C0481">
            <w:pPr>
              <w:spacing w:after="0" w:line="240" w:lineRule="auto"/>
              <w:jc w:val="righ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70FC85CC" w14:textId="7266C83C" w:rsidR="0091271A" w:rsidRPr="006C0481" w:rsidRDefault="0091271A" w:rsidP="006C0481">
            <w:pPr>
              <w:spacing w:after="0" w:line="240" w:lineRule="auto"/>
              <w:jc w:val="right"/>
              <w:rPr>
                <w:rFonts w:ascii="Arial" w:hAnsi="Arial" w:cs="Arial"/>
                <w:sz w:val="16"/>
                <w:szCs w:val="16"/>
              </w:rPr>
            </w:pPr>
          </w:p>
        </w:tc>
        <w:tc>
          <w:tcPr>
            <w:tcW w:w="932" w:type="dxa"/>
            <w:tcBorders>
              <w:top w:val="nil"/>
              <w:left w:val="nil"/>
              <w:bottom w:val="nil"/>
              <w:right w:val="nil"/>
            </w:tcBorders>
            <w:shd w:val="clear" w:color="auto" w:fill="auto"/>
            <w:noWrap/>
            <w:vAlign w:val="bottom"/>
            <w:hideMark/>
          </w:tcPr>
          <w:p w14:paraId="22A5DC1F" w14:textId="77777777" w:rsidR="0091271A" w:rsidRPr="006C0481" w:rsidRDefault="0091271A" w:rsidP="006C0481">
            <w:pPr>
              <w:spacing w:after="0" w:line="240" w:lineRule="auto"/>
              <w:jc w:val="right"/>
              <w:rPr>
                <w:rFonts w:ascii="Arial" w:hAnsi="Arial" w:cs="Arial"/>
                <w:sz w:val="16"/>
                <w:szCs w:val="16"/>
              </w:rPr>
            </w:pPr>
          </w:p>
        </w:tc>
        <w:tc>
          <w:tcPr>
            <w:tcW w:w="897" w:type="dxa"/>
            <w:tcBorders>
              <w:top w:val="nil"/>
              <w:left w:val="nil"/>
              <w:bottom w:val="nil"/>
              <w:right w:val="nil"/>
            </w:tcBorders>
            <w:shd w:val="clear" w:color="auto" w:fill="auto"/>
            <w:noWrap/>
            <w:vAlign w:val="bottom"/>
            <w:hideMark/>
          </w:tcPr>
          <w:p w14:paraId="4FFA5239" w14:textId="77777777" w:rsidR="0091271A" w:rsidRPr="006C0481" w:rsidRDefault="0091271A" w:rsidP="006C0481">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5131410D" w14:textId="77777777" w:rsidR="0091271A" w:rsidRPr="006C0481" w:rsidRDefault="0091271A" w:rsidP="006C0481">
            <w:pPr>
              <w:spacing w:after="0" w:line="240" w:lineRule="auto"/>
              <w:jc w:val="right"/>
              <w:rPr>
                <w:rFonts w:ascii="Times New Roman" w:hAnsi="Times New Roman"/>
                <w:sz w:val="16"/>
                <w:szCs w:val="16"/>
              </w:rPr>
            </w:pPr>
          </w:p>
        </w:tc>
      </w:tr>
      <w:tr w:rsidR="00F10ACD" w:rsidRPr="006C0481" w14:paraId="282582F1" w14:textId="77777777" w:rsidTr="00D14058">
        <w:trPr>
          <w:trHeight w:val="204"/>
        </w:trPr>
        <w:tc>
          <w:tcPr>
            <w:tcW w:w="3119" w:type="dxa"/>
            <w:tcBorders>
              <w:top w:val="nil"/>
              <w:left w:val="nil"/>
              <w:bottom w:val="nil"/>
              <w:right w:val="nil"/>
            </w:tcBorders>
            <w:shd w:val="clear" w:color="auto" w:fill="auto"/>
            <w:vAlign w:val="bottom"/>
            <w:hideMark/>
          </w:tcPr>
          <w:p w14:paraId="41339FCA" w14:textId="77777777"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 xml:space="preserve">Additional Agency Support - </w:t>
            </w:r>
            <w:proofErr w:type="spellStart"/>
            <w:r w:rsidRPr="006C0481">
              <w:rPr>
                <w:rFonts w:ascii="Arial" w:hAnsi="Arial" w:cs="Arial"/>
                <w:sz w:val="16"/>
                <w:szCs w:val="16"/>
              </w:rPr>
              <w:t>Airservices</w:t>
            </w:r>
            <w:proofErr w:type="spellEnd"/>
            <w:r w:rsidRPr="006C0481">
              <w:rPr>
                <w:rFonts w:ascii="Arial" w:hAnsi="Arial" w:cs="Arial"/>
                <w:sz w:val="16"/>
                <w:szCs w:val="16"/>
              </w:rPr>
              <w:t xml:space="preserve"> Australia</w:t>
            </w:r>
          </w:p>
        </w:tc>
        <w:tc>
          <w:tcPr>
            <w:tcW w:w="928" w:type="dxa"/>
            <w:tcBorders>
              <w:top w:val="nil"/>
              <w:left w:val="nil"/>
              <w:bottom w:val="nil"/>
              <w:right w:val="nil"/>
            </w:tcBorders>
            <w:shd w:val="clear" w:color="auto" w:fill="auto"/>
            <w:noWrap/>
            <w:vAlign w:val="bottom"/>
            <w:hideMark/>
          </w:tcPr>
          <w:p w14:paraId="7485E66A" w14:textId="3434979B"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550,000 </w:t>
            </w:r>
          </w:p>
        </w:tc>
        <w:tc>
          <w:tcPr>
            <w:tcW w:w="928" w:type="dxa"/>
            <w:tcBorders>
              <w:top w:val="nil"/>
              <w:left w:val="nil"/>
              <w:bottom w:val="nil"/>
              <w:right w:val="nil"/>
            </w:tcBorders>
            <w:shd w:val="clear" w:color="000000" w:fill="E6E6E6"/>
            <w:noWrap/>
            <w:vAlign w:val="bottom"/>
            <w:hideMark/>
          </w:tcPr>
          <w:p w14:paraId="4FE56F23" w14:textId="4CBA4D2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2FE56AA8" w14:textId="061825F2"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0F3979D0" w14:textId="77F81472"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2B02DEAE" w14:textId="2F012810"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F10ACD" w:rsidRPr="006C0481" w14:paraId="52085635" w14:textId="77777777" w:rsidTr="00D14058">
        <w:trPr>
          <w:trHeight w:val="204"/>
        </w:trPr>
        <w:tc>
          <w:tcPr>
            <w:tcW w:w="3119" w:type="dxa"/>
            <w:tcBorders>
              <w:top w:val="nil"/>
              <w:left w:val="nil"/>
              <w:bottom w:val="nil"/>
              <w:right w:val="nil"/>
            </w:tcBorders>
            <w:shd w:val="clear" w:color="auto" w:fill="auto"/>
            <w:vAlign w:val="bottom"/>
            <w:hideMark/>
          </w:tcPr>
          <w:p w14:paraId="421D2733" w14:textId="77777777"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 xml:space="preserve">Additional Commonwealth Support - </w:t>
            </w:r>
            <w:proofErr w:type="spellStart"/>
            <w:r w:rsidRPr="006C0481">
              <w:rPr>
                <w:rFonts w:ascii="Arial" w:hAnsi="Arial" w:cs="Arial"/>
                <w:sz w:val="16"/>
                <w:szCs w:val="16"/>
              </w:rPr>
              <w:t>Airservices</w:t>
            </w:r>
            <w:proofErr w:type="spellEnd"/>
            <w:r w:rsidRPr="006C0481">
              <w:rPr>
                <w:rFonts w:ascii="Arial" w:hAnsi="Arial" w:cs="Arial"/>
                <w:sz w:val="16"/>
                <w:szCs w:val="16"/>
              </w:rPr>
              <w:t xml:space="preserve"> Australia</w:t>
            </w:r>
          </w:p>
        </w:tc>
        <w:tc>
          <w:tcPr>
            <w:tcW w:w="928" w:type="dxa"/>
            <w:tcBorders>
              <w:top w:val="nil"/>
              <w:left w:val="nil"/>
              <w:bottom w:val="nil"/>
              <w:right w:val="nil"/>
            </w:tcBorders>
            <w:shd w:val="clear" w:color="auto" w:fill="auto"/>
            <w:noWrap/>
            <w:vAlign w:val="bottom"/>
            <w:hideMark/>
          </w:tcPr>
          <w:p w14:paraId="7375AC96" w14:textId="4BD3AD5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431,834 </w:t>
            </w:r>
          </w:p>
        </w:tc>
        <w:tc>
          <w:tcPr>
            <w:tcW w:w="928" w:type="dxa"/>
            <w:tcBorders>
              <w:top w:val="nil"/>
              <w:left w:val="nil"/>
              <w:bottom w:val="nil"/>
              <w:right w:val="nil"/>
            </w:tcBorders>
            <w:shd w:val="clear" w:color="000000" w:fill="E6E6E6"/>
            <w:noWrap/>
            <w:vAlign w:val="bottom"/>
            <w:hideMark/>
          </w:tcPr>
          <w:p w14:paraId="046AE743" w14:textId="4281887D"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1436B70E" w14:textId="778149A4"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12195307" w14:textId="4AB6FAA5"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7092FD32" w14:textId="504A2D90"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F10ACD" w:rsidRPr="006C0481" w14:paraId="3AAD5AE8" w14:textId="77777777" w:rsidTr="00D14058">
        <w:trPr>
          <w:trHeight w:val="204"/>
        </w:trPr>
        <w:tc>
          <w:tcPr>
            <w:tcW w:w="3119" w:type="dxa"/>
            <w:tcBorders>
              <w:top w:val="nil"/>
              <w:left w:val="nil"/>
              <w:bottom w:val="nil"/>
              <w:right w:val="nil"/>
            </w:tcBorders>
            <w:shd w:val="clear" w:color="auto" w:fill="auto"/>
            <w:vAlign w:val="bottom"/>
            <w:hideMark/>
          </w:tcPr>
          <w:p w14:paraId="24E01096" w14:textId="57AB93A4"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Airport Lessee Companies</w:t>
            </w:r>
            <w:r w:rsidR="00D14058" w:rsidRPr="006C0481">
              <w:rPr>
                <w:rFonts w:ascii="Arial" w:hAnsi="Arial" w:cs="Arial"/>
                <w:sz w:val="16"/>
                <w:szCs w:val="16"/>
                <w:vertAlign w:val="superscript"/>
              </w:rPr>
              <w:t xml:space="preserve"> (e)</w:t>
            </w:r>
          </w:p>
        </w:tc>
        <w:tc>
          <w:tcPr>
            <w:tcW w:w="928" w:type="dxa"/>
            <w:tcBorders>
              <w:top w:val="nil"/>
              <w:left w:val="nil"/>
              <w:bottom w:val="nil"/>
              <w:right w:val="nil"/>
            </w:tcBorders>
            <w:shd w:val="clear" w:color="auto" w:fill="auto"/>
            <w:noWrap/>
            <w:vAlign w:val="bottom"/>
            <w:hideMark/>
          </w:tcPr>
          <w:p w14:paraId="42E92275" w14:textId="74254BE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04DBC5CA" w14:textId="4A483581"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1,000 </w:t>
            </w:r>
          </w:p>
        </w:tc>
        <w:tc>
          <w:tcPr>
            <w:tcW w:w="932" w:type="dxa"/>
            <w:tcBorders>
              <w:top w:val="nil"/>
              <w:left w:val="nil"/>
              <w:bottom w:val="nil"/>
              <w:right w:val="nil"/>
            </w:tcBorders>
            <w:shd w:val="clear" w:color="auto" w:fill="auto"/>
            <w:noWrap/>
            <w:vAlign w:val="bottom"/>
            <w:hideMark/>
          </w:tcPr>
          <w:p w14:paraId="7E3F7D58" w14:textId="678DD46F"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1,000 </w:t>
            </w:r>
          </w:p>
        </w:tc>
        <w:tc>
          <w:tcPr>
            <w:tcW w:w="897" w:type="dxa"/>
            <w:tcBorders>
              <w:top w:val="nil"/>
              <w:left w:val="nil"/>
              <w:bottom w:val="nil"/>
              <w:right w:val="nil"/>
            </w:tcBorders>
            <w:shd w:val="clear" w:color="auto" w:fill="auto"/>
            <w:noWrap/>
            <w:vAlign w:val="bottom"/>
            <w:hideMark/>
          </w:tcPr>
          <w:p w14:paraId="64B88430" w14:textId="085AD70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1,000 </w:t>
            </w:r>
          </w:p>
        </w:tc>
        <w:tc>
          <w:tcPr>
            <w:tcW w:w="851" w:type="dxa"/>
            <w:tcBorders>
              <w:top w:val="nil"/>
              <w:left w:val="nil"/>
              <w:bottom w:val="nil"/>
              <w:right w:val="nil"/>
            </w:tcBorders>
            <w:shd w:val="clear" w:color="auto" w:fill="auto"/>
            <w:noWrap/>
            <w:vAlign w:val="bottom"/>
            <w:hideMark/>
          </w:tcPr>
          <w:p w14:paraId="15B422F2" w14:textId="16CD57D5"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1,000 </w:t>
            </w:r>
          </w:p>
        </w:tc>
      </w:tr>
      <w:tr w:rsidR="00F10ACD" w:rsidRPr="006C0481" w14:paraId="190C7FD9" w14:textId="77777777" w:rsidTr="00D14058">
        <w:trPr>
          <w:trHeight w:val="204"/>
        </w:trPr>
        <w:tc>
          <w:tcPr>
            <w:tcW w:w="3119" w:type="dxa"/>
            <w:tcBorders>
              <w:top w:val="nil"/>
              <w:left w:val="nil"/>
              <w:bottom w:val="nil"/>
              <w:right w:val="nil"/>
            </w:tcBorders>
            <w:shd w:val="clear" w:color="auto" w:fill="auto"/>
            <w:vAlign w:val="bottom"/>
            <w:hideMark/>
          </w:tcPr>
          <w:p w14:paraId="27854A94" w14:textId="77777777"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Aviation Services Accreditation Program</w:t>
            </w:r>
          </w:p>
        </w:tc>
        <w:tc>
          <w:tcPr>
            <w:tcW w:w="928" w:type="dxa"/>
            <w:tcBorders>
              <w:top w:val="nil"/>
              <w:left w:val="nil"/>
              <w:bottom w:val="nil"/>
              <w:right w:val="nil"/>
            </w:tcBorders>
            <w:shd w:val="clear" w:color="auto" w:fill="auto"/>
            <w:noWrap/>
            <w:vAlign w:val="bottom"/>
            <w:hideMark/>
          </w:tcPr>
          <w:p w14:paraId="3F8AD081" w14:textId="0787077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15,946 </w:t>
            </w:r>
          </w:p>
        </w:tc>
        <w:tc>
          <w:tcPr>
            <w:tcW w:w="928" w:type="dxa"/>
            <w:tcBorders>
              <w:top w:val="nil"/>
              <w:left w:val="nil"/>
              <w:bottom w:val="nil"/>
              <w:right w:val="nil"/>
            </w:tcBorders>
            <w:shd w:val="clear" w:color="000000" w:fill="E6E6E6"/>
            <w:noWrap/>
            <w:vAlign w:val="bottom"/>
            <w:hideMark/>
          </w:tcPr>
          <w:p w14:paraId="4B6DBC4E" w14:textId="63AF9152"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38,055 </w:t>
            </w:r>
          </w:p>
        </w:tc>
        <w:tc>
          <w:tcPr>
            <w:tcW w:w="932" w:type="dxa"/>
            <w:tcBorders>
              <w:top w:val="nil"/>
              <w:left w:val="nil"/>
              <w:bottom w:val="nil"/>
              <w:right w:val="nil"/>
            </w:tcBorders>
            <w:shd w:val="clear" w:color="auto" w:fill="auto"/>
            <w:noWrap/>
            <w:vAlign w:val="bottom"/>
            <w:hideMark/>
          </w:tcPr>
          <w:p w14:paraId="4BDDD533" w14:textId="4083E07B"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1848EFB4" w14:textId="3BC02962"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41208EA1" w14:textId="6660BBD6"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F10ACD" w:rsidRPr="006C0481" w14:paraId="65095549" w14:textId="77777777" w:rsidTr="00D14058">
        <w:trPr>
          <w:trHeight w:val="204"/>
        </w:trPr>
        <w:tc>
          <w:tcPr>
            <w:tcW w:w="3119" w:type="dxa"/>
            <w:tcBorders>
              <w:top w:val="nil"/>
              <w:left w:val="nil"/>
              <w:bottom w:val="nil"/>
              <w:right w:val="nil"/>
            </w:tcBorders>
            <w:shd w:val="clear" w:color="auto" w:fill="auto"/>
            <w:vAlign w:val="bottom"/>
            <w:hideMark/>
          </w:tcPr>
          <w:p w14:paraId="0F9154A4" w14:textId="77777777"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 xml:space="preserve">Domestic Aviation Network Support </w:t>
            </w:r>
            <w:r w:rsidRPr="006C0481">
              <w:rPr>
                <w:rFonts w:ascii="Arial" w:hAnsi="Arial" w:cs="Arial"/>
                <w:sz w:val="16"/>
                <w:szCs w:val="16"/>
                <w:vertAlign w:val="superscript"/>
              </w:rPr>
              <w:t>(c)</w:t>
            </w:r>
          </w:p>
        </w:tc>
        <w:tc>
          <w:tcPr>
            <w:tcW w:w="928" w:type="dxa"/>
            <w:tcBorders>
              <w:top w:val="nil"/>
              <w:left w:val="nil"/>
              <w:bottom w:val="nil"/>
              <w:right w:val="nil"/>
            </w:tcBorders>
            <w:shd w:val="clear" w:color="auto" w:fill="auto"/>
            <w:noWrap/>
            <w:vAlign w:val="bottom"/>
            <w:hideMark/>
          </w:tcPr>
          <w:p w14:paraId="5568E2E1" w14:textId="7B0CC19C"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201,451 </w:t>
            </w:r>
          </w:p>
        </w:tc>
        <w:tc>
          <w:tcPr>
            <w:tcW w:w="928" w:type="dxa"/>
            <w:tcBorders>
              <w:top w:val="nil"/>
              <w:left w:val="nil"/>
              <w:bottom w:val="nil"/>
              <w:right w:val="nil"/>
            </w:tcBorders>
            <w:shd w:val="clear" w:color="000000" w:fill="E6E6E6"/>
            <w:noWrap/>
            <w:vAlign w:val="bottom"/>
            <w:hideMark/>
          </w:tcPr>
          <w:p w14:paraId="33D4C0A2" w14:textId="64062D78" w:rsidR="00F10ACD" w:rsidRPr="006C0481" w:rsidRDefault="00F10ACD" w:rsidP="006C0481">
            <w:pPr>
              <w:spacing w:after="0" w:line="240" w:lineRule="auto"/>
              <w:jc w:val="right"/>
              <w:rPr>
                <w:rFonts w:ascii="Arial" w:hAnsi="Arial" w:cs="Arial"/>
                <w:sz w:val="16"/>
                <w:szCs w:val="16"/>
              </w:rPr>
            </w:pPr>
            <w:proofErr w:type="spellStart"/>
            <w:r w:rsidRPr="006C0481">
              <w:rPr>
                <w:rFonts w:ascii="Arial" w:hAnsi="Arial" w:cs="Arial"/>
                <w:sz w:val="16"/>
                <w:szCs w:val="16"/>
              </w:rPr>
              <w:t>nfp</w:t>
            </w:r>
            <w:proofErr w:type="spellEnd"/>
          </w:p>
        </w:tc>
        <w:tc>
          <w:tcPr>
            <w:tcW w:w="932" w:type="dxa"/>
            <w:tcBorders>
              <w:top w:val="nil"/>
              <w:left w:val="nil"/>
              <w:bottom w:val="nil"/>
              <w:right w:val="nil"/>
            </w:tcBorders>
            <w:shd w:val="clear" w:color="auto" w:fill="auto"/>
            <w:noWrap/>
            <w:vAlign w:val="bottom"/>
            <w:hideMark/>
          </w:tcPr>
          <w:p w14:paraId="03EEDA1A" w14:textId="34FB3EBF"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7D31C35A" w14:textId="77181D68"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79203E77" w14:textId="230232C7"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F10ACD" w:rsidRPr="006C0481" w14:paraId="757B4AF8" w14:textId="77777777" w:rsidTr="00D14058">
        <w:trPr>
          <w:trHeight w:val="204"/>
        </w:trPr>
        <w:tc>
          <w:tcPr>
            <w:tcW w:w="3119" w:type="dxa"/>
            <w:tcBorders>
              <w:top w:val="nil"/>
              <w:left w:val="nil"/>
              <w:bottom w:val="nil"/>
              <w:right w:val="nil"/>
            </w:tcBorders>
            <w:shd w:val="clear" w:color="auto" w:fill="auto"/>
            <w:vAlign w:val="bottom"/>
            <w:hideMark/>
          </w:tcPr>
          <w:p w14:paraId="3219CDAD" w14:textId="77777777"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Domestic Aviation Security Charges Rebate</w:t>
            </w:r>
          </w:p>
        </w:tc>
        <w:tc>
          <w:tcPr>
            <w:tcW w:w="928" w:type="dxa"/>
            <w:tcBorders>
              <w:top w:val="nil"/>
              <w:left w:val="nil"/>
              <w:bottom w:val="nil"/>
              <w:right w:val="nil"/>
            </w:tcBorders>
            <w:shd w:val="clear" w:color="auto" w:fill="auto"/>
            <w:noWrap/>
            <w:vAlign w:val="bottom"/>
            <w:hideMark/>
          </w:tcPr>
          <w:p w14:paraId="22F43EDD" w14:textId="3792B579"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148,650 </w:t>
            </w:r>
          </w:p>
        </w:tc>
        <w:tc>
          <w:tcPr>
            <w:tcW w:w="928" w:type="dxa"/>
            <w:tcBorders>
              <w:top w:val="nil"/>
              <w:left w:val="nil"/>
              <w:bottom w:val="nil"/>
              <w:right w:val="nil"/>
            </w:tcBorders>
            <w:shd w:val="clear" w:color="000000" w:fill="E6E6E6"/>
            <w:noWrap/>
            <w:vAlign w:val="bottom"/>
            <w:hideMark/>
          </w:tcPr>
          <w:p w14:paraId="0F1C7609" w14:textId="0C6B652E"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51E8F143" w14:textId="3FADFC36"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707C87CE" w14:textId="04C1FC32"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7472DC53" w14:textId="693001D5"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F10ACD" w:rsidRPr="006C0481" w14:paraId="0C5522C6" w14:textId="77777777" w:rsidTr="00D14058">
        <w:trPr>
          <w:trHeight w:val="204"/>
        </w:trPr>
        <w:tc>
          <w:tcPr>
            <w:tcW w:w="3119" w:type="dxa"/>
            <w:tcBorders>
              <w:top w:val="nil"/>
              <w:left w:val="nil"/>
              <w:bottom w:val="nil"/>
              <w:right w:val="nil"/>
            </w:tcBorders>
            <w:shd w:val="clear" w:color="auto" w:fill="auto"/>
            <w:vAlign w:val="bottom"/>
            <w:hideMark/>
          </w:tcPr>
          <w:p w14:paraId="15F7FED0" w14:textId="77777777"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Domestic Airports Security Program</w:t>
            </w:r>
          </w:p>
        </w:tc>
        <w:tc>
          <w:tcPr>
            <w:tcW w:w="928" w:type="dxa"/>
            <w:tcBorders>
              <w:top w:val="nil"/>
              <w:left w:val="nil"/>
              <w:bottom w:val="nil"/>
              <w:right w:val="nil"/>
            </w:tcBorders>
            <w:shd w:val="clear" w:color="auto" w:fill="auto"/>
            <w:noWrap/>
            <w:vAlign w:val="bottom"/>
            <w:hideMark/>
          </w:tcPr>
          <w:p w14:paraId="65F728A2" w14:textId="69E72344"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30,421 </w:t>
            </w:r>
          </w:p>
        </w:tc>
        <w:tc>
          <w:tcPr>
            <w:tcW w:w="928" w:type="dxa"/>
            <w:tcBorders>
              <w:top w:val="nil"/>
              <w:left w:val="nil"/>
              <w:bottom w:val="nil"/>
              <w:right w:val="nil"/>
            </w:tcBorders>
            <w:shd w:val="clear" w:color="000000" w:fill="E6E6E6"/>
            <w:noWrap/>
            <w:vAlign w:val="bottom"/>
            <w:hideMark/>
          </w:tcPr>
          <w:p w14:paraId="55DEBC19" w14:textId="4B050CD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125,100 </w:t>
            </w:r>
          </w:p>
        </w:tc>
        <w:tc>
          <w:tcPr>
            <w:tcW w:w="932" w:type="dxa"/>
            <w:tcBorders>
              <w:top w:val="nil"/>
              <w:left w:val="nil"/>
              <w:bottom w:val="nil"/>
              <w:right w:val="nil"/>
            </w:tcBorders>
            <w:shd w:val="clear" w:color="auto" w:fill="auto"/>
            <w:noWrap/>
            <w:vAlign w:val="bottom"/>
            <w:hideMark/>
          </w:tcPr>
          <w:p w14:paraId="5CE2DE7A" w14:textId="506A307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067DCE88" w14:textId="6DB0FB64"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2368F393" w14:textId="2831A697"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F10ACD" w:rsidRPr="006C0481" w14:paraId="49DF4D1B" w14:textId="77777777" w:rsidTr="00D14058">
        <w:trPr>
          <w:trHeight w:val="204"/>
        </w:trPr>
        <w:tc>
          <w:tcPr>
            <w:tcW w:w="3119" w:type="dxa"/>
            <w:tcBorders>
              <w:top w:val="nil"/>
              <w:left w:val="nil"/>
              <w:bottom w:val="nil"/>
              <w:right w:val="nil"/>
            </w:tcBorders>
            <w:shd w:val="clear" w:color="auto" w:fill="auto"/>
            <w:vAlign w:val="bottom"/>
            <w:hideMark/>
          </w:tcPr>
          <w:p w14:paraId="3923CDA3" w14:textId="77777777"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Emerging Aviation Technologies Programs</w:t>
            </w:r>
          </w:p>
        </w:tc>
        <w:tc>
          <w:tcPr>
            <w:tcW w:w="928" w:type="dxa"/>
            <w:tcBorders>
              <w:top w:val="nil"/>
              <w:left w:val="nil"/>
              <w:bottom w:val="nil"/>
              <w:right w:val="nil"/>
            </w:tcBorders>
            <w:shd w:val="clear" w:color="auto" w:fill="auto"/>
            <w:noWrap/>
            <w:vAlign w:val="bottom"/>
            <w:hideMark/>
          </w:tcPr>
          <w:p w14:paraId="2D94B989" w14:textId="46C23F1C"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3D9E9602" w14:textId="70E4AE0F"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13,588 </w:t>
            </w:r>
          </w:p>
        </w:tc>
        <w:tc>
          <w:tcPr>
            <w:tcW w:w="932" w:type="dxa"/>
            <w:tcBorders>
              <w:top w:val="nil"/>
              <w:left w:val="nil"/>
              <w:bottom w:val="nil"/>
              <w:right w:val="nil"/>
            </w:tcBorders>
            <w:shd w:val="clear" w:color="auto" w:fill="auto"/>
            <w:noWrap/>
            <w:vAlign w:val="bottom"/>
            <w:hideMark/>
          </w:tcPr>
          <w:p w14:paraId="07EDB162" w14:textId="7CA7BDDD"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18,997 </w:t>
            </w:r>
          </w:p>
        </w:tc>
        <w:tc>
          <w:tcPr>
            <w:tcW w:w="897" w:type="dxa"/>
            <w:tcBorders>
              <w:top w:val="nil"/>
              <w:left w:val="nil"/>
              <w:bottom w:val="nil"/>
              <w:right w:val="nil"/>
            </w:tcBorders>
            <w:shd w:val="clear" w:color="auto" w:fill="auto"/>
            <w:noWrap/>
            <w:vAlign w:val="bottom"/>
            <w:hideMark/>
          </w:tcPr>
          <w:p w14:paraId="44BAAA3C" w14:textId="0B1E08EB"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48218B06" w14:textId="780132A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F10ACD" w:rsidRPr="006C0481" w14:paraId="3CBBA12D" w14:textId="77777777" w:rsidTr="00D14058">
        <w:trPr>
          <w:trHeight w:val="204"/>
        </w:trPr>
        <w:tc>
          <w:tcPr>
            <w:tcW w:w="3119" w:type="dxa"/>
            <w:tcBorders>
              <w:top w:val="nil"/>
              <w:left w:val="nil"/>
              <w:bottom w:val="nil"/>
              <w:right w:val="nil"/>
            </w:tcBorders>
            <w:shd w:val="clear" w:color="auto" w:fill="auto"/>
            <w:vAlign w:val="bottom"/>
            <w:hideMark/>
          </w:tcPr>
          <w:p w14:paraId="169DDC2E" w14:textId="77777777"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Enhanced Regional Security Screening</w:t>
            </w:r>
          </w:p>
        </w:tc>
        <w:tc>
          <w:tcPr>
            <w:tcW w:w="928" w:type="dxa"/>
            <w:tcBorders>
              <w:top w:val="nil"/>
              <w:left w:val="nil"/>
              <w:bottom w:val="nil"/>
              <w:right w:val="nil"/>
            </w:tcBorders>
            <w:shd w:val="clear" w:color="auto" w:fill="auto"/>
            <w:noWrap/>
            <w:vAlign w:val="bottom"/>
            <w:hideMark/>
          </w:tcPr>
          <w:p w14:paraId="41147C3F" w14:textId="1413678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23,442 </w:t>
            </w:r>
          </w:p>
        </w:tc>
        <w:tc>
          <w:tcPr>
            <w:tcW w:w="928" w:type="dxa"/>
            <w:tcBorders>
              <w:top w:val="nil"/>
              <w:left w:val="nil"/>
              <w:bottom w:val="nil"/>
              <w:right w:val="nil"/>
            </w:tcBorders>
            <w:shd w:val="clear" w:color="000000" w:fill="E6E6E6"/>
            <w:noWrap/>
            <w:vAlign w:val="bottom"/>
            <w:hideMark/>
          </w:tcPr>
          <w:p w14:paraId="49EF44D1" w14:textId="58DA7AE3"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35,352 </w:t>
            </w:r>
          </w:p>
        </w:tc>
        <w:tc>
          <w:tcPr>
            <w:tcW w:w="932" w:type="dxa"/>
            <w:tcBorders>
              <w:top w:val="nil"/>
              <w:left w:val="nil"/>
              <w:bottom w:val="nil"/>
              <w:right w:val="nil"/>
            </w:tcBorders>
            <w:shd w:val="clear" w:color="auto" w:fill="auto"/>
            <w:noWrap/>
            <w:vAlign w:val="bottom"/>
            <w:hideMark/>
          </w:tcPr>
          <w:p w14:paraId="7B2FEE26" w14:textId="0807B6FB"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7,206 </w:t>
            </w:r>
          </w:p>
        </w:tc>
        <w:tc>
          <w:tcPr>
            <w:tcW w:w="897" w:type="dxa"/>
            <w:tcBorders>
              <w:top w:val="nil"/>
              <w:left w:val="nil"/>
              <w:bottom w:val="nil"/>
              <w:right w:val="nil"/>
            </w:tcBorders>
            <w:shd w:val="clear" w:color="auto" w:fill="auto"/>
            <w:noWrap/>
            <w:vAlign w:val="bottom"/>
            <w:hideMark/>
          </w:tcPr>
          <w:p w14:paraId="78D01B0B" w14:textId="40CF9781"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62AA5CEB" w14:textId="07F794A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F10ACD" w:rsidRPr="006C0481" w14:paraId="2F5957ED" w14:textId="77777777" w:rsidTr="00D14058">
        <w:trPr>
          <w:trHeight w:val="204"/>
        </w:trPr>
        <w:tc>
          <w:tcPr>
            <w:tcW w:w="3119" w:type="dxa"/>
            <w:tcBorders>
              <w:top w:val="nil"/>
              <w:left w:val="nil"/>
              <w:bottom w:val="nil"/>
              <w:right w:val="nil"/>
            </w:tcBorders>
            <w:shd w:val="clear" w:color="auto" w:fill="auto"/>
            <w:vAlign w:val="bottom"/>
            <w:hideMark/>
          </w:tcPr>
          <w:p w14:paraId="05231437" w14:textId="77777777"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Gold Coast Airport Contribution</w:t>
            </w:r>
          </w:p>
        </w:tc>
        <w:tc>
          <w:tcPr>
            <w:tcW w:w="928" w:type="dxa"/>
            <w:tcBorders>
              <w:top w:val="nil"/>
              <w:left w:val="nil"/>
              <w:bottom w:val="nil"/>
              <w:right w:val="nil"/>
            </w:tcBorders>
            <w:shd w:val="clear" w:color="auto" w:fill="auto"/>
            <w:noWrap/>
            <w:vAlign w:val="bottom"/>
            <w:hideMark/>
          </w:tcPr>
          <w:p w14:paraId="2DCB45CB" w14:textId="1A88429B"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6A413EFB" w14:textId="7B017A52"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8,400 </w:t>
            </w:r>
          </w:p>
        </w:tc>
        <w:tc>
          <w:tcPr>
            <w:tcW w:w="932" w:type="dxa"/>
            <w:tcBorders>
              <w:top w:val="nil"/>
              <w:left w:val="nil"/>
              <w:bottom w:val="nil"/>
              <w:right w:val="nil"/>
            </w:tcBorders>
            <w:shd w:val="clear" w:color="auto" w:fill="auto"/>
            <w:noWrap/>
            <w:vAlign w:val="bottom"/>
            <w:hideMark/>
          </w:tcPr>
          <w:p w14:paraId="641A12E6" w14:textId="67059EE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5753FB16" w14:textId="042114D9"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4BD46CA8" w14:textId="440351DC"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F10ACD" w:rsidRPr="006C0481" w14:paraId="529A4A17" w14:textId="77777777" w:rsidTr="00D14058">
        <w:trPr>
          <w:trHeight w:val="204"/>
        </w:trPr>
        <w:tc>
          <w:tcPr>
            <w:tcW w:w="3119" w:type="dxa"/>
            <w:tcBorders>
              <w:top w:val="nil"/>
              <w:left w:val="nil"/>
              <w:bottom w:val="nil"/>
              <w:right w:val="nil"/>
            </w:tcBorders>
            <w:shd w:val="clear" w:color="auto" w:fill="auto"/>
            <w:vAlign w:val="bottom"/>
            <w:hideMark/>
          </w:tcPr>
          <w:p w14:paraId="118EF259" w14:textId="77777777" w:rsidR="00F10ACD" w:rsidRPr="006C0481" w:rsidRDefault="00F10ACD" w:rsidP="006C0481">
            <w:pPr>
              <w:spacing w:after="0" w:line="240" w:lineRule="auto"/>
              <w:ind w:left="113"/>
              <w:jc w:val="left"/>
              <w:rPr>
                <w:rFonts w:ascii="Arial" w:hAnsi="Arial" w:cs="Arial"/>
                <w:sz w:val="16"/>
                <w:szCs w:val="16"/>
              </w:rPr>
            </w:pPr>
            <w:r w:rsidRPr="006C0481">
              <w:rPr>
                <w:rFonts w:ascii="Arial" w:hAnsi="Arial" w:cs="Arial"/>
                <w:sz w:val="16"/>
                <w:szCs w:val="16"/>
              </w:rPr>
              <w:t>International Air Security Charges Rebate</w:t>
            </w:r>
          </w:p>
        </w:tc>
        <w:tc>
          <w:tcPr>
            <w:tcW w:w="928" w:type="dxa"/>
            <w:tcBorders>
              <w:top w:val="nil"/>
              <w:left w:val="nil"/>
              <w:bottom w:val="nil"/>
              <w:right w:val="nil"/>
            </w:tcBorders>
            <w:shd w:val="clear" w:color="auto" w:fill="auto"/>
            <w:noWrap/>
            <w:vAlign w:val="bottom"/>
            <w:hideMark/>
          </w:tcPr>
          <w:p w14:paraId="33F3EC3E" w14:textId="0D3FF2E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2FBACAEF" w14:textId="40AC7779"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64,000 </w:t>
            </w:r>
          </w:p>
        </w:tc>
        <w:tc>
          <w:tcPr>
            <w:tcW w:w="932" w:type="dxa"/>
            <w:tcBorders>
              <w:top w:val="nil"/>
              <w:left w:val="nil"/>
              <w:bottom w:val="nil"/>
              <w:right w:val="nil"/>
            </w:tcBorders>
            <w:shd w:val="clear" w:color="auto" w:fill="auto"/>
            <w:noWrap/>
            <w:vAlign w:val="bottom"/>
            <w:hideMark/>
          </w:tcPr>
          <w:p w14:paraId="2C080672" w14:textId="733DBE6A"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4AEC122A" w14:textId="1211D2EF"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5D81AB6D" w14:textId="37CDB553" w:rsidR="00F10ACD" w:rsidRPr="006C0481" w:rsidRDefault="00F10ACD"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62459621" w14:textId="77777777" w:rsidTr="00D14058">
        <w:trPr>
          <w:trHeight w:val="204"/>
        </w:trPr>
        <w:tc>
          <w:tcPr>
            <w:tcW w:w="3119" w:type="dxa"/>
            <w:tcBorders>
              <w:top w:val="nil"/>
              <w:left w:val="nil"/>
              <w:bottom w:val="nil"/>
              <w:right w:val="nil"/>
            </w:tcBorders>
            <w:shd w:val="clear" w:color="auto" w:fill="auto"/>
            <w:vAlign w:val="bottom"/>
          </w:tcPr>
          <w:p w14:paraId="2815A185" w14:textId="67B15990"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International Aviation Network Support </w:t>
            </w:r>
            <w:r w:rsidRPr="006C0481">
              <w:rPr>
                <w:rFonts w:ascii="Arial" w:hAnsi="Arial" w:cs="Arial"/>
                <w:sz w:val="16"/>
                <w:szCs w:val="16"/>
                <w:vertAlign w:val="superscript"/>
              </w:rPr>
              <w:t>(e)</w:t>
            </w:r>
          </w:p>
        </w:tc>
        <w:tc>
          <w:tcPr>
            <w:tcW w:w="928" w:type="dxa"/>
            <w:tcBorders>
              <w:top w:val="nil"/>
              <w:left w:val="nil"/>
              <w:bottom w:val="nil"/>
              <w:right w:val="nil"/>
            </w:tcBorders>
            <w:shd w:val="clear" w:color="auto" w:fill="auto"/>
            <w:noWrap/>
            <w:vAlign w:val="bottom"/>
          </w:tcPr>
          <w:p w14:paraId="60E22409" w14:textId="2C63778A"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tcPr>
          <w:p w14:paraId="5E8D5A5D" w14:textId="608B708C"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w:t>
            </w:r>
          </w:p>
        </w:tc>
        <w:tc>
          <w:tcPr>
            <w:tcW w:w="932" w:type="dxa"/>
            <w:tcBorders>
              <w:top w:val="nil"/>
              <w:left w:val="nil"/>
              <w:bottom w:val="nil"/>
              <w:right w:val="nil"/>
            </w:tcBorders>
            <w:shd w:val="clear" w:color="auto" w:fill="auto"/>
            <w:noWrap/>
            <w:vAlign w:val="bottom"/>
          </w:tcPr>
          <w:p w14:paraId="6FD08D9B" w14:textId="0243BD4C"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tcPr>
          <w:p w14:paraId="2ED55BC3" w14:textId="7BC1BE6F"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tcPr>
          <w:p w14:paraId="4A2E0368" w14:textId="52B3A083"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653FFF0D" w14:textId="77777777" w:rsidTr="00D14058">
        <w:trPr>
          <w:trHeight w:val="204"/>
        </w:trPr>
        <w:tc>
          <w:tcPr>
            <w:tcW w:w="3119" w:type="dxa"/>
            <w:tcBorders>
              <w:top w:val="nil"/>
              <w:left w:val="nil"/>
              <w:bottom w:val="nil"/>
              <w:right w:val="nil"/>
            </w:tcBorders>
            <w:shd w:val="clear" w:color="auto" w:fill="auto"/>
            <w:vAlign w:val="bottom"/>
            <w:hideMark/>
          </w:tcPr>
          <w:p w14:paraId="041937DD" w14:textId="1279E27A"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 xml:space="preserve">International Aviation Support </w:t>
            </w:r>
            <w:r w:rsidRPr="006C0481">
              <w:rPr>
                <w:rFonts w:ascii="Arial" w:hAnsi="Arial" w:cs="Arial"/>
                <w:sz w:val="16"/>
                <w:szCs w:val="16"/>
                <w:vertAlign w:val="superscript"/>
              </w:rPr>
              <w:t xml:space="preserve"> (e)</w:t>
            </w:r>
          </w:p>
        </w:tc>
        <w:tc>
          <w:tcPr>
            <w:tcW w:w="928" w:type="dxa"/>
            <w:tcBorders>
              <w:top w:val="nil"/>
              <w:left w:val="nil"/>
              <w:bottom w:val="nil"/>
              <w:right w:val="nil"/>
            </w:tcBorders>
            <w:shd w:val="clear" w:color="auto" w:fill="auto"/>
            <w:noWrap/>
            <w:vAlign w:val="bottom"/>
            <w:hideMark/>
          </w:tcPr>
          <w:p w14:paraId="5680D527" w14:textId="6B460782"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64,450 </w:t>
            </w:r>
          </w:p>
        </w:tc>
        <w:tc>
          <w:tcPr>
            <w:tcW w:w="928" w:type="dxa"/>
            <w:tcBorders>
              <w:top w:val="nil"/>
              <w:left w:val="nil"/>
              <w:bottom w:val="nil"/>
              <w:right w:val="nil"/>
            </w:tcBorders>
            <w:shd w:val="clear" w:color="000000" w:fill="E6E6E6"/>
            <w:noWrap/>
            <w:vAlign w:val="bottom"/>
            <w:hideMark/>
          </w:tcPr>
          <w:p w14:paraId="277E1807" w14:textId="6B9DBAF3"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254,448 </w:t>
            </w:r>
          </w:p>
        </w:tc>
        <w:tc>
          <w:tcPr>
            <w:tcW w:w="932" w:type="dxa"/>
            <w:tcBorders>
              <w:top w:val="nil"/>
              <w:left w:val="nil"/>
              <w:bottom w:val="nil"/>
              <w:right w:val="nil"/>
            </w:tcBorders>
            <w:shd w:val="clear" w:color="auto" w:fill="auto"/>
            <w:noWrap/>
            <w:vAlign w:val="bottom"/>
            <w:hideMark/>
          </w:tcPr>
          <w:p w14:paraId="2B6C9CBC" w14:textId="049C7E9D"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00C5AA1F" w14:textId="00ED1D39"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3A1C283A" w14:textId="06128D8C"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0FB47888" w14:textId="77777777" w:rsidTr="00D14058">
        <w:trPr>
          <w:trHeight w:val="204"/>
        </w:trPr>
        <w:tc>
          <w:tcPr>
            <w:tcW w:w="3119" w:type="dxa"/>
            <w:tcBorders>
              <w:top w:val="nil"/>
              <w:left w:val="nil"/>
              <w:bottom w:val="nil"/>
              <w:right w:val="nil"/>
            </w:tcBorders>
            <w:shd w:val="clear" w:color="auto" w:fill="auto"/>
            <w:vAlign w:val="bottom"/>
            <w:hideMark/>
          </w:tcPr>
          <w:p w14:paraId="6328940D"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International Civil Aviation Organization - contribution</w:t>
            </w:r>
          </w:p>
        </w:tc>
        <w:tc>
          <w:tcPr>
            <w:tcW w:w="928" w:type="dxa"/>
            <w:tcBorders>
              <w:top w:val="nil"/>
              <w:left w:val="nil"/>
              <w:bottom w:val="nil"/>
              <w:right w:val="nil"/>
            </w:tcBorders>
            <w:shd w:val="clear" w:color="auto" w:fill="auto"/>
            <w:noWrap/>
            <w:vAlign w:val="bottom"/>
            <w:hideMark/>
          </w:tcPr>
          <w:p w14:paraId="26C49A01" w14:textId="1FA1522E"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2,063 </w:t>
            </w:r>
          </w:p>
        </w:tc>
        <w:tc>
          <w:tcPr>
            <w:tcW w:w="928" w:type="dxa"/>
            <w:tcBorders>
              <w:top w:val="nil"/>
              <w:left w:val="nil"/>
              <w:bottom w:val="nil"/>
              <w:right w:val="nil"/>
            </w:tcBorders>
            <w:shd w:val="clear" w:color="000000" w:fill="E6E6E6"/>
            <w:noWrap/>
            <w:vAlign w:val="bottom"/>
            <w:hideMark/>
          </w:tcPr>
          <w:p w14:paraId="5F54E5B0" w14:textId="791374BA"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2,865 </w:t>
            </w:r>
          </w:p>
        </w:tc>
        <w:tc>
          <w:tcPr>
            <w:tcW w:w="932" w:type="dxa"/>
            <w:tcBorders>
              <w:top w:val="nil"/>
              <w:left w:val="nil"/>
              <w:bottom w:val="nil"/>
              <w:right w:val="nil"/>
            </w:tcBorders>
            <w:shd w:val="clear" w:color="auto" w:fill="auto"/>
            <w:noWrap/>
            <w:vAlign w:val="bottom"/>
            <w:hideMark/>
          </w:tcPr>
          <w:p w14:paraId="56FC7C29" w14:textId="0467B4CD"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3,028 </w:t>
            </w:r>
          </w:p>
        </w:tc>
        <w:tc>
          <w:tcPr>
            <w:tcW w:w="897" w:type="dxa"/>
            <w:tcBorders>
              <w:top w:val="nil"/>
              <w:left w:val="nil"/>
              <w:bottom w:val="nil"/>
              <w:right w:val="nil"/>
            </w:tcBorders>
            <w:shd w:val="clear" w:color="auto" w:fill="auto"/>
            <w:noWrap/>
            <w:vAlign w:val="bottom"/>
            <w:hideMark/>
          </w:tcPr>
          <w:p w14:paraId="2F3407F6" w14:textId="3CB6741F"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3,115 </w:t>
            </w:r>
          </w:p>
        </w:tc>
        <w:tc>
          <w:tcPr>
            <w:tcW w:w="851" w:type="dxa"/>
            <w:tcBorders>
              <w:top w:val="nil"/>
              <w:left w:val="nil"/>
              <w:bottom w:val="nil"/>
              <w:right w:val="nil"/>
            </w:tcBorders>
            <w:shd w:val="clear" w:color="auto" w:fill="auto"/>
            <w:noWrap/>
            <w:vAlign w:val="bottom"/>
            <w:hideMark/>
          </w:tcPr>
          <w:p w14:paraId="7A2244C0" w14:textId="75CE9B3C"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3,249 </w:t>
            </w:r>
          </w:p>
        </w:tc>
      </w:tr>
      <w:tr w:rsidR="00D14058" w:rsidRPr="006C0481" w14:paraId="5482F516" w14:textId="77777777" w:rsidTr="00D14058">
        <w:trPr>
          <w:trHeight w:val="204"/>
        </w:trPr>
        <w:tc>
          <w:tcPr>
            <w:tcW w:w="3119" w:type="dxa"/>
            <w:tcBorders>
              <w:top w:val="nil"/>
              <w:left w:val="nil"/>
              <w:bottom w:val="nil"/>
              <w:right w:val="nil"/>
            </w:tcBorders>
            <w:shd w:val="clear" w:color="auto" w:fill="auto"/>
            <w:vAlign w:val="bottom"/>
            <w:hideMark/>
          </w:tcPr>
          <w:p w14:paraId="1980B9C6"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 xml:space="preserve">Payment scheme for </w:t>
            </w:r>
            <w:proofErr w:type="spellStart"/>
            <w:r w:rsidRPr="006C0481">
              <w:rPr>
                <w:rFonts w:ascii="Arial" w:hAnsi="Arial" w:cs="Arial"/>
                <w:sz w:val="16"/>
                <w:szCs w:val="16"/>
              </w:rPr>
              <w:t>Airservices</w:t>
            </w:r>
            <w:proofErr w:type="spellEnd"/>
            <w:r w:rsidRPr="006C0481">
              <w:rPr>
                <w:rFonts w:ascii="Arial" w:hAnsi="Arial" w:cs="Arial"/>
                <w:sz w:val="16"/>
                <w:szCs w:val="16"/>
              </w:rPr>
              <w:t xml:space="preserve"> Australia's </w:t>
            </w:r>
            <w:proofErr w:type="spellStart"/>
            <w:r w:rsidRPr="006C0481">
              <w:rPr>
                <w:rFonts w:ascii="Arial" w:hAnsi="Arial" w:cs="Arial"/>
                <w:sz w:val="16"/>
                <w:szCs w:val="16"/>
              </w:rPr>
              <w:t>en</w:t>
            </w:r>
            <w:proofErr w:type="spellEnd"/>
            <w:r w:rsidRPr="006C0481">
              <w:rPr>
                <w:rFonts w:ascii="Arial" w:hAnsi="Arial" w:cs="Arial"/>
                <w:sz w:val="16"/>
                <w:szCs w:val="16"/>
              </w:rPr>
              <w:t xml:space="preserve"> route charges </w:t>
            </w:r>
            <w:r w:rsidRPr="006C0481">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7A639587" w14:textId="5E6578C9"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596C4983" w14:textId="6C3B9E4E"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2,000 </w:t>
            </w:r>
          </w:p>
        </w:tc>
        <w:tc>
          <w:tcPr>
            <w:tcW w:w="932" w:type="dxa"/>
            <w:tcBorders>
              <w:top w:val="nil"/>
              <w:left w:val="nil"/>
              <w:bottom w:val="nil"/>
              <w:right w:val="nil"/>
            </w:tcBorders>
            <w:shd w:val="clear" w:color="auto" w:fill="auto"/>
            <w:noWrap/>
            <w:vAlign w:val="bottom"/>
            <w:hideMark/>
          </w:tcPr>
          <w:p w14:paraId="2A4D0EF7" w14:textId="79CBEAA0"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2,000 </w:t>
            </w:r>
          </w:p>
        </w:tc>
        <w:tc>
          <w:tcPr>
            <w:tcW w:w="897" w:type="dxa"/>
            <w:tcBorders>
              <w:top w:val="nil"/>
              <w:left w:val="nil"/>
              <w:bottom w:val="nil"/>
              <w:right w:val="nil"/>
            </w:tcBorders>
            <w:shd w:val="clear" w:color="auto" w:fill="auto"/>
            <w:noWrap/>
            <w:vAlign w:val="bottom"/>
            <w:hideMark/>
          </w:tcPr>
          <w:p w14:paraId="6943F48B" w14:textId="33B28008"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2,000 </w:t>
            </w:r>
          </w:p>
        </w:tc>
        <w:tc>
          <w:tcPr>
            <w:tcW w:w="851" w:type="dxa"/>
            <w:tcBorders>
              <w:top w:val="nil"/>
              <w:left w:val="nil"/>
              <w:bottom w:val="nil"/>
              <w:right w:val="nil"/>
            </w:tcBorders>
            <w:shd w:val="clear" w:color="auto" w:fill="auto"/>
            <w:noWrap/>
            <w:vAlign w:val="bottom"/>
            <w:hideMark/>
          </w:tcPr>
          <w:p w14:paraId="6F095807" w14:textId="61459480"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2,000 </w:t>
            </w:r>
          </w:p>
        </w:tc>
      </w:tr>
      <w:tr w:rsidR="00D14058" w:rsidRPr="006C0481" w14:paraId="5C03D59A" w14:textId="77777777" w:rsidTr="00D14058">
        <w:trPr>
          <w:trHeight w:val="204"/>
        </w:trPr>
        <w:tc>
          <w:tcPr>
            <w:tcW w:w="3119" w:type="dxa"/>
            <w:tcBorders>
              <w:top w:val="nil"/>
              <w:left w:val="nil"/>
              <w:bottom w:val="nil"/>
              <w:right w:val="nil"/>
            </w:tcBorders>
            <w:shd w:val="clear" w:color="auto" w:fill="auto"/>
            <w:vAlign w:val="bottom"/>
            <w:hideMark/>
          </w:tcPr>
          <w:p w14:paraId="3F01203D"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Women In the Aviation Industry</w:t>
            </w:r>
          </w:p>
        </w:tc>
        <w:tc>
          <w:tcPr>
            <w:tcW w:w="928" w:type="dxa"/>
            <w:tcBorders>
              <w:top w:val="nil"/>
              <w:left w:val="nil"/>
              <w:bottom w:val="nil"/>
              <w:right w:val="nil"/>
            </w:tcBorders>
            <w:shd w:val="clear" w:color="auto" w:fill="auto"/>
            <w:noWrap/>
            <w:vAlign w:val="bottom"/>
            <w:hideMark/>
          </w:tcPr>
          <w:p w14:paraId="293E966F" w14:textId="6524A57C"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397 </w:t>
            </w:r>
          </w:p>
        </w:tc>
        <w:tc>
          <w:tcPr>
            <w:tcW w:w="928" w:type="dxa"/>
            <w:tcBorders>
              <w:top w:val="nil"/>
              <w:left w:val="nil"/>
              <w:bottom w:val="nil"/>
              <w:right w:val="nil"/>
            </w:tcBorders>
            <w:shd w:val="clear" w:color="000000" w:fill="E6E6E6"/>
            <w:noWrap/>
            <w:vAlign w:val="bottom"/>
            <w:hideMark/>
          </w:tcPr>
          <w:p w14:paraId="611DE4BB" w14:textId="3624CF5E"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2,684 </w:t>
            </w:r>
          </w:p>
        </w:tc>
        <w:tc>
          <w:tcPr>
            <w:tcW w:w="932" w:type="dxa"/>
            <w:tcBorders>
              <w:top w:val="nil"/>
              <w:left w:val="nil"/>
              <w:bottom w:val="nil"/>
              <w:right w:val="nil"/>
            </w:tcBorders>
            <w:shd w:val="clear" w:color="auto" w:fill="auto"/>
            <w:noWrap/>
            <w:vAlign w:val="bottom"/>
            <w:hideMark/>
          </w:tcPr>
          <w:p w14:paraId="52DCD3EB" w14:textId="101BA488"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841 </w:t>
            </w:r>
          </w:p>
        </w:tc>
        <w:tc>
          <w:tcPr>
            <w:tcW w:w="897" w:type="dxa"/>
            <w:tcBorders>
              <w:top w:val="nil"/>
              <w:left w:val="nil"/>
              <w:bottom w:val="nil"/>
              <w:right w:val="nil"/>
            </w:tcBorders>
            <w:shd w:val="clear" w:color="auto" w:fill="auto"/>
            <w:noWrap/>
            <w:vAlign w:val="bottom"/>
            <w:hideMark/>
          </w:tcPr>
          <w:p w14:paraId="7CBAAD1E" w14:textId="48D8D8F0"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841 </w:t>
            </w:r>
          </w:p>
        </w:tc>
        <w:tc>
          <w:tcPr>
            <w:tcW w:w="851" w:type="dxa"/>
            <w:tcBorders>
              <w:top w:val="nil"/>
              <w:left w:val="nil"/>
              <w:bottom w:val="nil"/>
              <w:right w:val="nil"/>
            </w:tcBorders>
            <w:shd w:val="clear" w:color="auto" w:fill="auto"/>
            <w:noWrap/>
            <w:vAlign w:val="bottom"/>
            <w:hideMark/>
          </w:tcPr>
          <w:p w14:paraId="2090546E" w14:textId="2C474631"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841 </w:t>
            </w:r>
          </w:p>
        </w:tc>
      </w:tr>
      <w:tr w:rsidR="00D14058" w:rsidRPr="006C0481" w14:paraId="66897A87" w14:textId="77777777" w:rsidTr="00D14058">
        <w:trPr>
          <w:trHeight w:val="204"/>
        </w:trPr>
        <w:tc>
          <w:tcPr>
            <w:tcW w:w="3119" w:type="dxa"/>
            <w:tcBorders>
              <w:top w:val="nil"/>
              <w:left w:val="nil"/>
              <w:bottom w:val="nil"/>
              <w:right w:val="nil"/>
            </w:tcBorders>
            <w:shd w:val="clear" w:color="auto" w:fill="auto"/>
            <w:vAlign w:val="bottom"/>
            <w:hideMark/>
          </w:tcPr>
          <w:p w14:paraId="1A266664"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Automatic Dependent Surveillance - Broadcast (ADS-B) Rebate Program</w:t>
            </w:r>
          </w:p>
        </w:tc>
        <w:tc>
          <w:tcPr>
            <w:tcW w:w="928" w:type="dxa"/>
            <w:tcBorders>
              <w:top w:val="nil"/>
              <w:left w:val="nil"/>
              <w:bottom w:val="nil"/>
              <w:right w:val="nil"/>
            </w:tcBorders>
            <w:shd w:val="clear" w:color="auto" w:fill="auto"/>
            <w:noWrap/>
            <w:vAlign w:val="bottom"/>
            <w:hideMark/>
          </w:tcPr>
          <w:p w14:paraId="4E32BDF4" w14:textId="0A48EC14"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0BAE1941" w14:textId="404DB1A3"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15,000 </w:t>
            </w:r>
          </w:p>
        </w:tc>
        <w:tc>
          <w:tcPr>
            <w:tcW w:w="932" w:type="dxa"/>
            <w:tcBorders>
              <w:top w:val="nil"/>
              <w:left w:val="nil"/>
              <w:bottom w:val="nil"/>
              <w:right w:val="nil"/>
            </w:tcBorders>
            <w:shd w:val="clear" w:color="auto" w:fill="auto"/>
            <w:noWrap/>
            <w:vAlign w:val="bottom"/>
            <w:hideMark/>
          </w:tcPr>
          <w:p w14:paraId="310B7D66" w14:textId="6829CABF"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15,000 </w:t>
            </w:r>
          </w:p>
        </w:tc>
        <w:tc>
          <w:tcPr>
            <w:tcW w:w="897" w:type="dxa"/>
            <w:tcBorders>
              <w:top w:val="nil"/>
              <w:left w:val="nil"/>
              <w:bottom w:val="nil"/>
              <w:right w:val="nil"/>
            </w:tcBorders>
            <w:shd w:val="clear" w:color="auto" w:fill="auto"/>
            <w:noWrap/>
            <w:vAlign w:val="bottom"/>
            <w:hideMark/>
          </w:tcPr>
          <w:p w14:paraId="20D68108" w14:textId="7DD9A607"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6020D49D" w14:textId="5CA5B857"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3608CA8F" w14:textId="77777777" w:rsidTr="00D14058">
        <w:trPr>
          <w:trHeight w:val="204"/>
        </w:trPr>
        <w:tc>
          <w:tcPr>
            <w:tcW w:w="3119" w:type="dxa"/>
            <w:tcBorders>
              <w:top w:val="nil"/>
              <w:left w:val="nil"/>
              <w:bottom w:val="nil"/>
              <w:right w:val="nil"/>
            </w:tcBorders>
            <w:shd w:val="clear" w:color="auto" w:fill="auto"/>
            <w:vAlign w:val="bottom"/>
            <w:hideMark/>
          </w:tcPr>
          <w:p w14:paraId="432E71AC"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Regional Airline Network Support</w:t>
            </w:r>
          </w:p>
        </w:tc>
        <w:tc>
          <w:tcPr>
            <w:tcW w:w="928" w:type="dxa"/>
            <w:tcBorders>
              <w:top w:val="nil"/>
              <w:left w:val="nil"/>
              <w:bottom w:val="nil"/>
              <w:right w:val="nil"/>
            </w:tcBorders>
            <w:shd w:val="clear" w:color="auto" w:fill="auto"/>
            <w:noWrap/>
            <w:vAlign w:val="bottom"/>
            <w:hideMark/>
          </w:tcPr>
          <w:p w14:paraId="67CBAB26" w14:textId="2EB341F8"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0B71BE94" w14:textId="67CB368A"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88,902 </w:t>
            </w:r>
          </w:p>
        </w:tc>
        <w:tc>
          <w:tcPr>
            <w:tcW w:w="932" w:type="dxa"/>
            <w:tcBorders>
              <w:top w:val="nil"/>
              <w:left w:val="nil"/>
              <w:bottom w:val="nil"/>
              <w:right w:val="nil"/>
            </w:tcBorders>
            <w:shd w:val="clear" w:color="auto" w:fill="auto"/>
            <w:noWrap/>
            <w:vAlign w:val="bottom"/>
            <w:hideMark/>
          </w:tcPr>
          <w:p w14:paraId="25A8EB37" w14:textId="438188D7"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5C546057" w14:textId="4468D3A4"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2C00CEC3" w14:textId="0A23BF23"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5EDB6A97" w14:textId="77777777" w:rsidTr="00D14058">
        <w:trPr>
          <w:trHeight w:val="204"/>
        </w:trPr>
        <w:tc>
          <w:tcPr>
            <w:tcW w:w="3119" w:type="dxa"/>
            <w:tcBorders>
              <w:top w:val="nil"/>
              <w:left w:val="nil"/>
              <w:bottom w:val="nil"/>
              <w:right w:val="nil"/>
            </w:tcBorders>
            <w:shd w:val="clear" w:color="auto" w:fill="auto"/>
            <w:vAlign w:val="bottom"/>
            <w:hideMark/>
          </w:tcPr>
          <w:p w14:paraId="0A4FA0E0"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Regional Airports Program</w:t>
            </w:r>
          </w:p>
        </w:tc>
        <w:tc>
          <w:tcPr>
            <w:tcW w:w="928" w:type="dxa"/>
            <w:tcBorders>
              <w:top w:val="nil"/>
              <w:left w:val="nil"/>
              <w:bottom w:val="nil"/>
              <w:right w:val="nil"/>
            </w:tcBorders>
            <w:shd w:val="clear" w:color="auto" w:fill="auto"/>
            <w:noWrap/>
            <w:vAlign w:val="bottom"/>
            <w:hideMark/>
          </w:tcPr>
          <w:p w14:paraId="2BDB6B72" w14:textId="75EF4697"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13,929 </w:t>
            </w:r>
          </w:p>
        </w:tc>
        <w:tc>
          <w:tcPr>
            <w:tcW w:w="928" w:type="dxa"/>
            <w:tcBorders>
              <w:top w:val="nil"/>
              <w:left w:val="nil"/>
              <w:bottom w:val="nil"/>
              <w:right w:val="nil"/>
            </w:tcBorders>
            <w:shd w:val="clear" w:color="000000" w:fill="E6E6E6"/>
            <w:noWrap/>
            <w:vAlign w:val="bottom"/>
            <w:hideMark/>
          </w:tcPr>
          <w:p w14:paraId="1BB5C57D" w14:textId="391993B7"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38,500 </w:t>
            </w:r>
          </w:p>
        </w:tc>
        <w:tc>
          <w:tcPr>
            <w:tcW w:w="932" w:type="dxa"/>
            <w:tcBorders>
              <w:top w:val="nil"/>
              <w:left w:val="nil"/>
              <w:bottom w:val="nil"/>
              <w:right w:val="nil"/>
            </w:tcBorders>
            <w:shd w:val="clear" w:color="auto" w:fill="auto"/>
            <w:noWrap/>
            <w:vAlign w:val="bottom"/>
            <w:hideMark/>
          </w:tcPr>
          <w:p w14:paraId="2766146B" w14:textId="5715F052"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27,571 </w:t>
            </w:r>
          </w:p>
        </w:tc>
        <w:tc>
          <w:tcPr>
            <w:tcW w:w="897" w:type="dxa"/>
            <w:tcBorders>
              <w:top w:val="nil"/>
              <w:left w:val="nil"/>
              <w:bottom w:val="nil"/>
              <w:right w:val="nil"/>
            </w:tcBorders>
            <w:shd w:val="clear" w:color="auto" w:fill="auto"/>
            <w:noWrap/>
            <w:vAlign w:val="bottom"/>
            <w:hideMark/>
          </w:tcPr>
          <w:p w14:paraId="122A15B4" w14:textId="540CB4B0"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10,000 </w:t>
            </w:r>
          </w:p>
        </w:tc>
        <w:tc>
          <w:tcPr>
            <w:tcW w:w="851" w:type="dxa"/>
            <w:tcBorders>
              <w:top w:val="nil"/>
              <w:left w:val="nil"/>
              <w:bottom w:val="nil"/>
              <w:right w:val="nil"/>
            </w:tcBorders>
            <w:shd w:val="clear" w:color="auto" w:fill="auto"/>
            <w:noWrap/>
            <w:vAlign w:val="bottom"/>
            <w:hideMark/>
          </w:tcPr>
          <w:p w14:paraId="738F6325" w14:textId="79BCFEEC"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10,000 </w:t>
            </w:r>
          </w:p>
        </w:tc>
      </w:tr>
      <w:tr w:rsidR="00D14058" w:rsidRPr="006C0481" w14:paraId="76447BEE" w14:textId="77777777" w:rsidTr="00D14058">
        <w:trPr>
          <w:trHeight w:val="204"/>
        </w:trPr>
        <w:tc>
          <w:tcPr>
            <w:tcW w:w="3119" w:type="dxa"/>
            <w:tcBorders>
              <w:top w:val="nil"/>
              <w:left w:val="nil"/>
              <w:bottom w:val="nil"/>
              <w:right w:val="nil"/>
            </w:tcBorders>
            <w:shd w:val="clear" w:color="auto" w:fill="auto"/>
            <w:vAlign w:val="bottom"/>
            <w:hideMark/>
          </w:tcPr>
          <w:p w14:paraId="22950F47"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Regional Aviation Access</w:t>
            </w:r>
          </w:p>
        </w:tc>
        <w:tc>
          <w:tcPr>
            <w:tcW w:w="928" w:type="dxa"/>
            <w:tcBorders>
              <w:top w:val="nil"/>
              <w:left w:val="nil"/>
              <w:bottom w:val="nil"/>
              <w:right w:val="nil"/>
            </w:tcBorders>
            <w:shd w:val="clear" w:color="auto" w:fill="auto"/>
            <w:noWrap/>
            <w:vAlign w:val="bottom"/>
            <w:hideMark/>
          </w:tcPr>
          <w:p w14:paraId="4B77EA43" w14:textId="470450BF"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18,927 </w:t>
            </w:r>
          </w:p>
        </w:tc>
        <w:tc>
          <w:tcPr>
            <w:tcW w:w="928" w:type="dxa"/>
            <w:tcBorders>
              <w:top w:val="nil"/>
              <w:left w:val="nil"/>
              <w:bottom w:val="nil"/>
              <w:right w:val="nil"/>
            </w:tcBorders>
            <w:shd w:val="clear" w:color="000000" w:fill="E6E6E6"/>
            <w:noWrap/>
            <w:vAlign w:val="bottom"/>
            <w:hideMark/>
          </w:tcPr>
          <w:p w14:paraId="5262F384" w14:textId="43559ED2"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30,029 </w:t>
            </w:r>
          </w:p>
        </w:tc>
        <w:tc>
          <w:tcPr>
            <w:tcW w:w="932" w:type="dxa"/>
            <w:tcBorders>
              <w:top w:val="nil"/>
              <w:left w:val="nil"/>
              <w:bottom w:val="nil"/>
              <w:right w:val="nil"/>
            </w:tcBorders>
            <w:shd w:val="clear" w:color="auto" w:fill="auto"/>
            <w:noWrap/>
            <w:vAlign w:val="bottom"/>
            <w:hideMark/>
          </w:tcPr>
          <w:p w14:paraId="3924ED5D" w14:textId="01C6D7BA"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25,386 </w:t>
            </w:r>
          </w:p>
        </w:tc>
        <w:tc>
          <w:tcPr>
            <w:tcW w:w="897" w:type="dxa"/>
            <w:tcBorders>
              <w:top w:val="nil"/>
              <w:left w:val="nil"/>
              <w:bottom w:val="nil"/>
              <w:right w:val="nil"/>
            </w:tcBorders>
            <w:shd w:val="clear" w:color="auto" w:fill="auto"/>
            <w:noWrap/>
            <w:vAlign w:val="bottom"/>
            <w:hideMark/>
          </w:tcPr>
          <w:p w14:paraId="58B2DD87" w14:textId="1B2FA040"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18,649 </w:t>
            </w:r>
          </w:p>
        </w:tc>
        <w:tc>
          <w:tcPr>
            <w:tcW w:w="851" w:type="dxa"/>
            <w:tcBorders>
              <w:top w:val="nil"/>
              <w:left w:val="nil"/>
              <w:bottom w:val="nil"/>
              <w:right w:val="nil"/>
            </w:tcBorders>
            <w:shd w:val="clear" w:color="auto" w:fill="auto"/>
            <w:noWrap/>
            <w:vAlign w:val="bottom"/>
            <w:hideMark/>
          </w:tcPr>
          <w:p w14:paraId="60E96E97" w14:textId="23A26928"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16,003 </w:t>
            </w:r>
          </w:p>
        </w:tc>
      </w:tr>
      <w:tr w:rsidR="00D14058" w:rsidRPr="006C0481" w14:paraId="0283AC7A" w14:textId="77777777" w:rsidTr="00D14058">
        <w:trPr>
          <w:trHeight w:val="204"/>
        </w:trPr>
        <w:tc>
          <w:tcPr>
            <w:tcW w:w="3119" w:type="dxa"/>
            <w:tcBorders>
              <w:top w:val="nil"/>
              <w:left w:val="nil"/>
              <w:bottom w:val="nil"/>
              <w:right w:val="nil"/>
            </w:tcBorders>
            <w:shd w:val="clear" w:color="auto" w:fill="auto"/>
            <w:vAlign w:val="bottom"/>
            <w:hideMark/>
          </w:tcPr>
          <w:p w14:paraId="3C535AF0"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Retaining Domestic Air Capability</w:t>
            </w:r>
          </w:p>
        </w:tc>
        <w:tc>
          <w:tcPr>
            <w:tcW w:w="928" w:type="dxa"/>
            <w:tcBorders>
              <w:top w:val="nil"/>
              <w:left w:val="nil"/>
              <w:bottom w:val="nil"/>
              <w:right w:val="nil"/>
            </w:tcBorders>
            <w:shd w:val="clear" w:color="auto" w:fill="auto"/>
            <w:noWrap/>
            <w:vAlign w:val="bottom"/>
            <w:hideMark/>
          </w:tcPr>
          <w:p w14:paraId="64D47E3B" w14:textId="73CE110C"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46FB7D7E" w14:textId="5D1ABDFA"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185,464 </w:t>
            </w:r>
          </w:p>
        </w:tc>
        <w:tc>
          <w:tcPr>
            <w:tcW w:w="932" w:type="dxa"/>
            <w:tcBorders>
              <w:top w:val="nil"/>
              <w:left w:val="nil"/>
              <w:bottom w:val="nil"/>
              <w:right w:val="nil"/>
            </w:tcBorders>
            <w:shd w:val="clear" w:color="auto" w:fill="auto"/>
            <w:noWrap/>
            <w:vAlign w:val="bottom"/>
            <w:hideMark/>
          </w:tcPr>
          <w:p w14:paraId="390A1F5E" w14:textId="4FD46E8E"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546235C2" w14:textId="1EDF05F3"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56B540CC" w14:textId="67C47522"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03E3AFFA" w14:textId="77777777" w:rsidTr="00D14058">
        <w:trPr>
          <w:trHeight w:val="204"/>
        </w:trPr>
        <w:tc>
          <w:tcPr>
            <w:tcW w:w="3119" w:type="dxa"/>
            <w:tcBorders>
              <w:top w:val="nil"/>
              <w:left w:val="nil"/>
              <w:bottom w:val="nil"/>
              <w:right w:val="nil"/>
            </w:tcBorders>
            <w:shd w:val="clear" w:color="auto" w:fill="auto"/>
            <w:vAlign w:val="bottom"/>
            <w:hideMark/>
          </w:tcPr>
          <w:p w14:paraId="107C7A0C"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 xml:space="preserve">Tourism Aviation Network Support Program </w:t>
            </w:r>
            <w:r w:rsidRPr="006C0481">
              <w:rPr>
                <w:rFonts w:ascii="Arial" w:hAnsi="Arial" w:cs="Arial"/>
                <w:sz w:val="16"/>
                <w:szCs w:val="16"/>
                <w:vertAlign w:val="superscript"/>
              </w:rPr>
              <w:t>(c)</w:t>
            </w:r>
          </w:p>
        </w:tc>
        <w:tc>
          <w:tcPr>
            <w:tcW w:w="928" w:type="dxa"/>
            <w:tcBorders>
              <w:top w:val="nil"/>
              <w:left w:val="nil"/>
              <w:bottom w:val="nil"/>
              <w:right w:val="nil"/>
            </w:tcBorders>
            <w:shd w:val="clear" w:color="auto" w:fill="auto"/>
            <w:noWrap/>
            <w:vAlign w:val="bottom"/>
            <w:hideMark/>
          </w:tcPr>
          <w:p w14:paraId="1262DAE8" w14:textId="6C33CD4B"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82,143 </w:t>
            </w:r>
          </w:p>
        </w:tc>
        <w:tc>
          <w:tcPr>
            <w:tcW w:w="928" w:type="dxa"/>
            <w:tcBorders>
              <w:top w:val="nil"/>
              <w:left w:val="nil"/>
              <w:bottom w:val="nil"/>
              <w:right w:val="nil"/>
            </w:tcBorders>
            <w:shd w:val="clear" w:color="000000" w:fill="E6E6E6"/>
            <w:noWrap/>
            <w:vAlign w:val="bottom"/>
            <w:hideMark/>
          </w:tcPr>
          <w:p w14:paraId="7574B7C4" w14:textId="30B1BA87" w:rsidR="00D14058" w:rsidRPr="006C0481" w:rsidRDefault="00D14058" w:rsidP="006C0481">
            <w:pPr>
              <w:spacing w:after="0" w:line="240" w:lineRule="auto"/>
              <w:jc w:val="right"/>
              <w:rPr>
                <w:rFonts w:ascii="Arial" w:hAnsi="Arial" w:cs="Arial"/>
                <w:sz w:val="16"/>
                <w:szCs w:val="16"/>
              </w:rPr>
            </w:pPr>
            <w:proofErr w:type="spellStart"/>
            <w:r w:rsidRPr="006C0481">
              <w:rPr>
                <w:rFonts w:ascii="Arial" w:hAnsi="Arial" w:cs="Arial"/>
                <w:sz w:val="16"/>
                <w:szCs w:val="16"/>
              </w:rPr>
              <w:t>nfp</w:t>
            </w:r>
            <w:proofErr w:type="spellEnd"/>
          </w:p>
        </w:tc>
        <w:tc>
          <w:tcPr>
            <w:tcW w:w="932" w:type="dxa"/>
            <w:tcBorders>
              <w:top w:val="nil"/>
              <w:left w:val="nil"/>
              <w:bottom w:val="nil"/>
              <w:right w:val="nil"/>
            </w:tcBorders>
            <w:shd w:val="clear" w:color="auto" w:fill="auto"/>
            <w:noWrap/>
            <w:vAlign w:val="bottom"/>
            <w:hideMark/>
          </w:tcPr>
          <w:p w14:paraId="19BAD0F8" w14:textId="14E8B638"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2EEF69D3" w14:textId="1800D7B2"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31BB922E" w14:textId="30EA06EA"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25ED9532" w14:textId="77777777" w:rsidTr="00D14058">
        <w:trPr>
          <w:trHeight w:val="204"/>
        </w:trPr>
        <w:tc>
          <w:tcPr>
            <w:tcW w:w="3119" w:type="dxa"/>
            <w:tcBorders>
              <w:top w:val="nil"/>
              <w:left w:val="nil"/>
              <w:bottom w:val="nil"/>
              <w:right w:val="nil"/>
            </w:tcBorders>
            <w:shd w:val="clear" w:color="auto" w:fill="auto"/>
            <w:vAlign w:val="bottom"/>
            <w:hideMark/>
          </w:tcPr>
          <w:p w14:paraId="50E2C550"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 xml:space="preserve">Waiver for </w:t>
            </w:r>
            <w:proofErr w:type="spellStart"/>
            <w:r w:rsidRPr="006C0481">
              <w:rPr>
                <w:rFonts w:ascii="Arial" w:hAnsi="Arial" w:cs="Arial"/>
                <w:sz w:val="16"/>
                <w:szCs w:val="16"/>
              </w:rPr>
              <w:t>Airservices</w:t>
            </w:r>
            <w:proofErr w:type="spellEnd"/>
            <w:r w:rsidRPr="006C0481">
              <w:rPr>
                <w:rFonts w:ascii="Arial" w:hAnsi="Arial" w:cs="Arial"/>
                <w:sz w:val="16"/>
                <w:szCs w:val="16"/>
              </w:rPr>
              <w:t xml:space="preserve"> Australia Charges</w:t>
            </w:r>
          </w:p>
        </w:tc>
        <w:tc>
          <w:tcPr>
            <w:tcW w:w="928" w:type="dxa"/>
            <w:tcBorders>
              <w:top w:val="nil"/>
              <w:left w:val="nil"/>
              <w:bottom w:val="nil"/>
              <w:right w:val="nil"/>
            </w:tcBorders>
            <w:shd w:val="clear" w:color="auto" w:fill="auto"/>
            <w:noWrap/>
            <w:vAlign w:val="bottom"/>
            <w:hideMark/>
          </w:tcPr>
          <w:p w14:paraId="26B87072" w14:textId="403ED159"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221,392 </w:t>
            </w:r>
          </w:p>
        </w:tc>
        <w:tc>
          <w:tcPr>
            <w:tcW w:w="928" w:type="dxa"/>
            <w:tcBorders>
              <w:top w:val="nil"/>
              <w:left w:val="nil"/>
              <w:bottom w:val="nil"/>
              <w:right w:val="nil"/>
            </w:tcBorders>
            <w:shd w:val="clear" w:color="000000" w:fill="E6E6E6"/>
            <w:noWrap/>
            <w:vAlign w:val="bottom"/>
            <w:hideMark/>
          </w:tcPr>
          <w:p w14:paraId="0CBE8BDA" w14:textId="195B5B61"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63,934 </w:t>
            </w:r>
          </w:p>
        </w:tc>
        <w:tc>
          <w:tcPr>
            <w:tcW w:w="932" w:type="dxa"/>
            <w:tcBorders>
              <w:top w:val="nil"/>
              <w:left w:val="nil"/>
              <w:bottom w:val="nil"/>
              <w:right w:val="nil"/>
            </w:tcBorders>
            <w:shd w:val="clear" w:color="auto" w:fill="auto"/>
            <w:noWrap/>
            <w:vAlign w:val="bottom"/>
            <w:hideMark/>
          </w:tcPr>
          <w:p w14:paraId="0507D3C9" w14:textId="429E91F5"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1854723B" w14:textId="66BC51E5"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7AAEFB5A" w14:textId="21D2BC2D"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3FED9593" w14:textId="77777777" w:rsidTr="00D14058">
        <w:trPr>
          <w:trHeight w:val="204"/>
        </w:trPr>
        <w:tc>
          <w:tcPr>
            <w:tcW w:w="3119" w:type="dxa"/>
            <w:tcBorders>
              <w:top w:val="nil"/>
              <w:left w:val="nil"/>
              <w:bottom w:val="nil"/>
              <w:right w:val="nil"/>
            </w:tcBorders>
            <w:shd w:val="clear" w:color="auto" w:fill="auto"/>
            <w:vAlign w:val="bottom"/>
            <w:hideMark/>
          </w:tcPr>
          <w:p w14:paraId="26816F6A"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Waiver of Fuel Excise - Airline Reimbursement</w:t>
            </w:r>
          </w:p>
        </w:tc>
        <w:tc>
          <w:tcPr>
            <w:tcW w:w="928" w:type="dxa"/>
            <w:tcBorders>
              <w:top w:val="nil"/>
              <w:left w:val="nil"/>
              <w:bottom w:val="nil"/>
              <w:right w:val="nil"/>
            </w:tcBorders>
            <w:shd w:val="clear" w:color="auto" w:fill="auto"/>
            <w:noWrap/>
            <w:vAlign w:val="bottom"/>
            <w:hideMark/>
          </w:tcPr>
          <w:p w14:paraId="4E9BFD97" w14:textId="3E1878BC"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22,912 </w:t>
            </w:r>
          </w:p>
        </w:tc>
        <w:tc>
          <w:tcPr>
            <w:tcW w:w="928" w:type="dxa"/>
            <w:tcBorders>
              <w:top w:val="nil"/>
              <w:left w:val="nil"/>
              <w:bottom w:val="nil"/>
              <w:right w:val="nil"/>
            </w:tcBorders>
            <w:shd w:val="clear" w:color="000000" w:fill="E6E6E6"/>
            <w:noWrap/>
            <w:vAlign w:val="bottom"/>
            <w:hideMark/>
          </w:tcPr>
          <w:p w14:paraId="515C59A7" w14:textId="6932BBD1"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5EE846AA" w14:textId="1D5B81C5"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0FEBD049" w14:textId="1ABF1557"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64A242E7" w14:textId="03C39483"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78CA418F" w14:textId="77777777" w:rsidTr="00D14058">
        <w:trPr>
          <w:trHeight w:val="204"/>
        </w:trPr>
        <w:tc>
          <w:tcPr>
            <w:tcW w:w="3119" w:type="dxa"/>
            <w:tcBorders>
              <w:top w:val="nil"/>
              <w:left w:val="nil"/>
              <w:bottom w:val="nil"/>
              <w:right w:val="nil"/>
            </w:tcBorders>
            <w:shd w:val="clear" w:color="auto" w:fill="auto"/>
            <w:vAlign w:val="bottom"/>
            <w:hideMark/>
          </w:tcPr>
          <w:p w14:paraId="188FF355"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Western Sydney Airport – preparatory activities</w:t>
            </w:r>
          </w:p>
        </w:tc>
        <w:tc>
          <w:tcPr>
            <w:tcW w:w="928" w:type="dxa"/>
            <w:tcBorders>
              <w:top w:val="nil"/>
              <w:left w:val="nil"/>
              <w:bottom w:val="nil"/>
              <w:right w:val="nil"/>
            </w:tcBorders>
            <w:shd w:val="clear" w:color="auto" w:fill="auto"/>
            <w:noWrap/>
            <w:vAlign w:val="bottom"/>
            <w:hideMark/>
          </w:tcPr>
          <w:p w14:paraId="6576CFEE" w14:textId="056DC7CD"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6,924 </w:t>
            </w:r>
          </w:p>
        </w:tc>
        <w:tc>
          <w:tcPr>
            <w:tcW w:w="928" w:type="dxa"/>
            <w:tcBorders>
              <w:top w:val="nil"/>
              <w:left w:val="nil"/>
              <w:bottom w:val="nil"/>
              <w:right w:val="nil"/>
            </w:tcBorders>
            <w:shd w:val="clear" w:color="000000" w:fill="E6E6E6"/>
            <w:noWrap/>
            <w:vAlign w:val="bottom"/>
            <w:hideMark/>
          </w:tcPr>
          <w:p w14:paraId="1A13C550" w14:textId="36344B95"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40,451 </w:t>
            </w:r>
          </w:p>
        </w:tc>
        <w:tc>
          <w:tcPr>
            <w:tcW w:w="932" w:type="dxa"/>
            <w:tcBorders>
              <w:top w:val="nil"/>
              <w:left w:val="nil"/>
              <w:bottom w:val="nil"/>
              <w:right w:val="nil"/>
            </w:tcBorders>
            <w:shd w:val="clear" w:color="auto" w:fill="auto"/>
            <w:noWrap/>
            <w:vAlign w:val="bottom"/>
            <w:hideMark/>
          </w:tcPr>
          <w:p w14:paraId="03855E77" w14:textId="4D494C75"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73,520 </w:t>
            </w:r>
          </w:p>
        </w:tc>
        <w:tc>
          <w:tcPr>
            <w:tcW w:w="897" w:type="dxa"/>
            <w:tcBorders>
              <w:top w:val="nil"/>
              <w:left w:val="nil"/>
              <w:bottom w:val="nil"/>
              <w:right w:val="nil"/>
            </w:tcBorders>
            <w:shd w:val="clear" w:color="auto" w:fill="auto"/>
            <w:noWrap/>
            <w:vAlign w:val="bottom"/>
            <w:hideMark/>
          </w:tcPr>
          <w:p w14:paraId="2E85AAE3" w14:textId="785AFC00"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33,030 </w:t>
            </w:r>
          </w:p>
        </w:tc>
        <w:tc>
          <w:tcPr>
            <w:tcW w:w="851" w:type="dxa"/>
            <w:tcBorders>
              <w:top w:val="nil"/>
              <w:left w:val="nil"/>
              <w:bottom w:val="nil"/>
              <w:right w:val="nil"/>
            </w:tcBorders>
            <w:shd w:val="clear" w:color="auto" w:fill="auto"/>
            <w:noWrap/>
            <w:vAlign w:val="bottom"/>
            <w:hideMark/>
          </w:tcPr>
          <w:p w14:paraId="58F98E05" w14:textId="086125A6"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8,811 </w:t>
            </w:r>
          </w:p>
        </w:tc>
      </w:tr>
      <w:tr w:rsidR="00D14058" w:rsidRPr="006C0481" w14:paraId="33C7CFF7" w14:textId="77777777" w:rsidTr="00D14058">
        <w:trPr>
          <w:trHeight w:val="204"/>
        </w:trPr>
        <w:tc>
          <w:tcPr>
            <w:tcW w:w="3119" w:type="dxa"/>
            <w:tcBorders>
              <w:top w:val="nil"/>
              <w:left w:val="nil"/>
              <w:bottom w:val="nil"/>
              <w:right w:val="nil"/>
            </w:tcBorders>
            <w:shd w:val="clear" w:color="auto" w:fill="auto"/>
            <w:vAlign w:val="bottom"/>
            <w:hideMark/>
          </w:tcPr>
          <w:p w14:paraId="024212CC" w14:textId="77777777" w:rsidR="00D14058" w:rsidRPr="006C0481" w:rsidRDefault="00D14058" w:rsidP="006C0481">
            <w:pPr>
              <w:spacing w:after="0" w:line="240" w:lineRule="auto"/>
              <w:jc w:val="left"/>
              <w:rPr>
                <w:rFonts w:ascii="Arial" w:hAnsi="Arial" w:cs="Arial"/>
                <w:sz w:val="16"/>
                <w:szCs w:val="16"/>
              </w:rPr>
            </w:pPr>
            <w:r w:rsidRPr="006C0481">
              <w:rPr>
                <w:rFonts w:ascii="Arial" w:hAnsi="Arial" w:cs="Arial"/>
                <w:sz w:val="16"/>
                <w:szCs w:val="16"/>
              </w:rPr>
              <w:t xml:space="preserve">Payments to corporate entities </w:t>
            </w:r>
            <w:r w:rsidRPr="006C0481">
              <w:rPr>
                <w:rFonts w:ascii="Arial" w:hAnsi="Arial" w:cs="Arial"/>
                <w:sz w:val="16"/>
                <w:szCs w:val="16"/>
                <w:vertAlign w:val="superscript"/>
              </w:rPr>
              <w:t>(b)</w:t>
            </w:r>
          </w:p>
        </w:tc>
        <w:tc>
          <w:tcPr>
            <w:tcW w:w="928" w:type="dxa"/>
            <w:tcBorders>
              <w:top w:val="nil"/>
              <w:left w:val="nil"/>
              <w:bottom w:val="nil"/>
              <w:right w:val="nil"/>
            </w:tcBorders>
            <w:shd w:val="clear" w:color="auto" w:fill="auto"/>
            <w:noWrap/>
            <w:vAlign w:val="bottom"/>
            <w:hideMark/>
          </w:tcPr>
          <w:p w14:paraId="3BD7DBB9" w14:textId="70A7FBF1"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63152A37" w14:textId="77793CF1"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w:t>
            </w:r>
          </w:p>
        </w:tc>
        <w:tc>
          <w:tcPr>
            <w:tcW w:w="932" w:type="dxa"/>
            <w:tcBorders>
              <w:top w:val="nil"/>
              <w:left w:val="nil"/>
              <w:bottom w:val="nil"/>
              <w:right w:val="nil"/>
            </w:tcBorders>
            <w:shd w:val="clear" w:color="auto" w:fill="auto"/>
            <w:noWrap/>
            <w:vAlign w:val="bottom"/>
            <w:hideMark/>
          </w:tcPr>
          <w:p w14:paraId="3E0160F0" w14:textId="77777777" w:rsidR="00D14058" w:rsidRPr="006C0481" w:rsidRDefault="00D14058" w:rsidP="006C0481">
            <w:pPr>
              <w:spacing w:after="0" w:line="240" w:lineRule="auto"/>
              <w:jc w:val="right"/>
              <w:rPr>
                <w:rFonts w:ascii="Arial" w:hAnsi="Arial" w:cs="Arial"/>
                <w:sz w:val="16"/>
                <w:szCs w:val="16"/>
              </w:rPr>
            </w:pPr>
          </w:p>
        </w:tc>
        <w:tc>
          <w:tcPr>
            <w:tcW w:w="897" w:type="dxa"/>
            <w:tcBorders>
              <w:top w:val="nil"/>
              <w:left w:val="nil"/>
              <w:bottom w:val="nil"/>
              <w:right w:val="nil"/>
            </w:tcBorders>
            <w:shd w:val="clear" w:color="auto" w:fill="auto"/>
            <w:noWrap/>
            <w:vAlign w:val="bottom"/>
            <w:hideMark/>
          </w:tcPr>
          <w:p w14:paraId="55F0B2AD" w14:textId="77777777" w:rsidR="00D14058" w:rsidRPr="006C0481" w:rsidRDefault="00D14058" w:rsidP="006C0481">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0E03685F" w14:textId="77777777" w:rsidR="00D14058" w:rsidRPr="006C0481" w:rsidRDefault="00D14058" w:rsidP="006C0481">
            <w:pPr>
              <w:spacing w:after="0" w:line="240" w:lineRule="auto"/>
              <w:jc w:val="right"/>
              <w:rPr>
                <w:rFonts w:ascii="Times New Roman" w:hAnsi="Times New Roman"/>
                <w:sz w:val="16"/>
                <w:szCs w:val="16"/>
              </w:rPr>
            </w:pPr>
          </w:p>
        </w:tc>
      </w:tr>
      <w:tr w:rsidR="00D14058" w:rsidRPr="006C0481" w14:paraId="15A3F7DA" w14:textId="77777777" w:rsidTr="00D14058">
        <w:trPr>
          <w:trHeight w:val="204"/>
        </w:trPr>
        <w:tc>
          <w:tcPr>
            <w:tcW w:w="3119" w:type="dxa"/>
            <w:tcBorders>
              <w:top w:val="nil"/>
              <w:left w:val="nil"/>
              <w:bottom w:val="nil"/>
              <w:right w:val="nil"/>
            </w:tcBorders>
            <w:shd w:val="clear" w:color="auto" w:fill="auto"/>
            <w:vAlign w:val="bottom"/>
            <w:hideMark/>
          </w:tcPr>
          <w:p w14:paraId="13820D33" w14:textId="1EE19516"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 Civil Aviation Safety Authority</w:t>
            </w:r>
          </w:p>
        </w:tc>
        <w:tc>
          <w:tcPr>
            <w:tcW w:w="928" w:type="dxa"/>
            <w:tcBorders>
              <w:top w:val="nil"/>
              <w:left w:val="nil"/>
              <w:bottom w:val="nil"/>
              <w:right w:val="nil"/>
            </w:tcBorders>
            <w:shd w:val="clear" w:color="auto" w:fill="auto"/>
            <w:noWrap/>
            <w:vAlign w:val="bottom"/>
            <w:hideMark/>
          </w:tcPr>
          <w:p w14:paraId="7F412887" w14:textId="56B2068E"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128,424 </w:t>
            </w:r>
          </w:p>
        </w:tc>
        <w:tc>
          <w:tcPr>
            <w:tcW w:w="928" w:type="dxa"/>
            <w:tcBorders>
              <w:top w:val="nil"/>
              <w:left w:val="nil"/>
              <w:bottom w:val="nil"/>
              <w:right w:val="nil"/>
            </w:tcBorders>
            <w:shd w:val="clear" w:color="000000" w:fill="E6E6E6"/>
            <w:noWrap/>
            <w:vAlign w:val="bottom"/>
            <w:hideMark/>
          </w:tcPr>
          <w:p w14:paraId="01BCBC6E" w14:textId="009291C4"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122,082 </w:t>
            </w:r>
          </w:p>
        </w:tc>
        <w:tc>
          <w:tcPr>
            <w:tcW w:w="932" w:type="dxa"/>
            <w:tcBorders>
              <w:top w:val="nil"/>
              <w:left w:val="nil"/>
              <w:bottom w:val="nil"/>
              <w:right w:val="nil"/>
            </w:tcBorders>
            <w:shd w:val="clear" w:color="auto" w:fill="auto"/>
            <w:noWrap/>
            <w:vAlign w:val="bottom"/>
            <w:hideMark/>
          </w:tcPr>
          <w:p w14:paraId="40958554" w14:textId="0DE91726"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74,609 </w:t>
            </w:r>
          </w:p>
        </w:tc>
        <w:tc>
          <w:tcPr>
            <w:tcW w:w="897" w:type="dxa"/>
            <w:tcBorders>
              <w:top w:val="nil"/>
              <w:left w:val="nil"/>
              <w:bottom w:val="nil"/>
              <w:right w:val="nil"/>
            </w:tcBorders>
            <w:shd w:val="clear" w:color="auto" w:fill="auto"/>
            <w:noWrap/>
            <w:vAlign w:val="bottom"/>
            <w:hideMark/>
          </w:tcPr>
          <w:p w14:paraId="4328B84A" w14:textId="568D2E38"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73,183 </w:t>
            </w:r>
          </w:p>
        </w:tc>
        <w:tc>
          <w:tcPr>
            <w:tcW w:w="851" w:type="dxa"/>
            <w:tcBorders>
              <w:top w:val="nil"/>
              <w:left w:val="nil"/>
              <w:bottom w:val="nil"/>
              <w:right w:val="nil"/>
            </w:tcBorders>
            <w:shd w:val="clear" w:color="auto" w:fill="auto"/>
            <w:noWrap/>
            <w:vAlign w:val="bottom"/>
            <w:hideMark/>
          </w:tcPr>
          <w:p w14:paraId="0C32D863" w14:textId="1D890153"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40,903 </w:t>
            </w:r>
          </w:p>
        </w:tc>
      </w:tr>
      <w:tr w:rsidR="00D14058" w:rsidRPr="006C0481" w14:paraId="06857443" w14:textId="77777777" w:rsidTr="00D14058">
        <w:trPr>
          <w:trHeight w:val="204"/>
        </w:trPr>
        <w:tc>
          <w:tcPr>
            <w:tcW w:w="3119" w:type="dxa"/>
            <w:tcBorders>
              <w:top w:val="nil"/>
              <w:left w:val="nil"/>
              <w:bottom w:val="nil"/>
              <w:right w:val="nil"/>
            </w:tcBorders>
            <w:shd w:val="clear" w:color="auto" w:fill="auto"/>
            <w:noWrap/>
            <w:vAlign w:val="bottom"/>
            <w:hideMark/>
          </w:tcPr>
          <w:p w14:paraId="4E682E47" w14:textId="77777777" w:rsidR="00D14058" w:rsidRPr="006C0481" w:rsidRDefault="00D14058" w:rsidP="006C0481">
            <w:pPr>
              <w:spacing w:after="0" w:line="240" w:lineRule="auto"/>
              <w:jc w:val="left"/>
              <w:rPr>
                <w:rFonts w:ascii="Arial" w:hAnsi="Arial" w:cs="Arial"/>
                <w:sz w:val="16"/>
                <w:szCs w:val="16"/>
              </w:rPr>
            </w:pPr>
            <w:r w:rsidRPr="006C0481">
              <w:rPr>
                <w:rFonts w:ascii="Arial" w:hAnsi="Arial" w:cs="Arial"/>
                <w:sz w:val="16"/>
                <w:szCs w:val="16"/>
              </w:rPr>
              <w:t>Special Appropriations</w:t>
            </w:r>
          </w:p>
        </w:tc>
        <w:tc>
          <w:tcPr>
            <w:tcW w:w="928" w:type="dxa"/>
            <w:tcBorders>
              <w:top w:val="nil"/>
              <w:left w:val="nil"/>
              <w:bottom w:val="nil"/>
              <w:right w:val="nil"/>
            </w:tcBorders>
            <w:shd w:val="clear" w:color="auto" w:fill="auto"/>
            <w:noWrap/>
            <w:vAlign w:val="bottom"/>
            <w:hideMark/>
          </w:tcPr>
          <w:p w14:paraId="0DC42998" w14:textId="431DE54B"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397C70DB" w14:textId="241688F6"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760243B8" w14:textId="4D2D8883"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4FECD298" w14:textId="771CFB94"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4B57E8A9" w14:textId="5CA98B04"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58D15B1C" w14:textId="77777777" w:rsidTr="00D14058">
        <w:trPr>
          <w:trHeight w:val="204"/>
        </w:trPr>
        <w:tc>
          <w:tcPr>
            <w:tcW w:w="3119" w:type="dxa"/>
            <w:tcBorders>
              <w:top w:val="nil"/>
              <w:left w:val="nil"/>
              <w:bottom w:val="nil"/>
              <w:right w:val="nil"/>
            </w:tcBorders>
            <w:shd w:val="clear" w:color="auto" w:fill="auto"/>
            <w:vAlign w:val="bottom"/>
            <w:hideMark/>
          </w:tcPr>
          <w:p w14:paraId="48C9F226" w14:textId="77777777" w:rsidR="00D14058" w:rsidRPr="006C0481" w:rsidRDefault="00D14058" w:rsidP="006C0481">
            <w:pPr>
              <w:spacing w:after="0" w:line="240" w:lineRule="auto"/>
              <w:ind w:left="113"/>
              <w:jc w:val="left"/>
              <w:rPr>
                <w:rFonts w:ascii="Arial" w:hAnsi="Arial" w:cs="Arial"/>
                <w:i/>
                <w:iCs/>
                <w:sz w:val="16"/>
                <w:szCs w:val="16"/>
              </w:rPr>
            </w:pPr>
            <w:r w:rsidRPr="006C0481">
              <w:rPr>
                <w:rFonts w:ascii="Arial" w:hAnsi="Arial" w:cs="Arial"/>
                <w:i/>
                <w:iCs/>
                <w:sz w:val="16"/>
                <w:szCs w:val="16"/>
              </w:rPr>
              <w:t xml:space="preserve">Aviation Fuel Revenues (Special Appropriation) Act 1988 </w:t>
            </w:r>
            <w:r w:rsidRPr="006C0481">
              <w:rPr>
                <w:rFonts w:ascii="Arial" w:hAnsi="Arial" w:cs="Arial"/>
                <w:i/>
                <w:iCs/>
                <w:sz w:val="16"/>
                <w:szCs w:val="16"/>
                <w:vertAlign w:val="superscript"/>
              </w:rPr>
              <w:t>(b)</w:t>
            </w:r>
          </w:p>
        </w:tc>
        <w:tc>
          <w:tcPr>
            <w:tcW w:w="928" w:type="dxa"/>
            <w:tcBorders>
              <w:top w:val="nil"/>
              <w:left w:val="nil"/>
              <w:bottom w:val="nil"/>
              <w:right w:val="nil"/>
            </w:tcBorders>
            <w:shd w:val="clear" w:color="auto" w:fill="auto"/>
            <w:noWrap/>
            <w:vAlign w:val="bottom"/>
            <w:hideMark/>
          </w:tcPr>
          <w:p w14:paraId="065B8469" w14:textId="1205FF2F"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68,720 </w:t>
            </w:r>
          </w:p>
        </w:tc>
        <w:tc>
          <w:tcPr>
            <w:tcW w:w="928" w:type="dxa"/>
            <w:tcBorders>
              <w:top w:val="nil"/>
              <w:left w:val="nil"/>
              <w:bottom w:val="nil"/>
              <w:right w:val="nil"/>
            </w:tcBorders>
            <w:shd w:val="clear" w:color="000000" w:fill="E6E6E6"/>
            <w:noWrap/>
            <w:vAlign w:val="bottom"/>
            <w:hideMark/>
          </w:tcPr>
          <w:p w14:paraId="7FF35322" w14:textId="3800C749"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85,300 </w:t>
            </w:r>
          </w:p>
        </w:tc>
        <w:tc>
          <w:tcPr>
            <w:tcW w:w="932" w:type="dxa"/>
            <w:tcBorders>
              <w:top w:val="nil"/>
              <w:left w:val="nil"/>
              <w:bottom w:val="nil"/>
              <w:right w:val="nil"/>
            </w:tcBorders>
            <w:shd w:val="clear" w:color="auto" w:fill="auto"/>
            <w:noWrap/>
            <w:vAlign w:val="bottom"/>
            <w:hideMark/>
          </w:tcPr>
          <w:p w14:paraId="34C938E3" w14:textId="00BDAB07"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105,600 </w:t>
            </w:r>
          </w:p>
        </w:tc>
        <w:tc>
          <w:tcPr>
            <w:tcW w:w="897" w:type="dxa"/>
            <w:tcBorders>
              <w:top w:val="nil"/>
              <w:left w:val="nil"/>
              <w:bottom w:val="nil"/>
              <w:right w:val="nil"/>
            </w:tcBorders>
            <w:shd w:val="clear" w:color="auto" w:fill="auto"/>
            <w:noWrap/>
            <w:vAlign w:val="bottom"/>
            <w:hideMark/>
          </w:tcPr>
          <w:p w14:paraId="269827EB" w14:textId="299CE12A"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107,900 </w:t>
            </w:r>
          </w:p>
        </w:tc>
        <w:tc>
          <w:tcPr>
            <w:tcW w:w="851" w:type="dxa"/>
            <w:tcBorders>
              <w:top w:val="nil"/>
              <w:left w:val="nil"/>
              <w:bottom w:val="nil"/>
              <w:right w:val="nil"/>
            </w:tcBorders>
            <w:shd w:val="clear" w:color="auto" w:fill="auto"/>
            <w:noWrap/>
            <w:vAlign w:val="bottom"/>
            <w:hideMark/>
          </w:tcPr>
          <w:p w14:paraId="364038D7" w14:textId="24BD06FA"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112,700 </w:t>
            </w:r>
          </w:p>
        </w:tc>
      </w:tr>
      <w:tr w:rsidR="00D14058" w:rsidRPr="006C0481" w14:paraId="7650A4D9" w14:textId="77777777" w:rsidTr="00D14058">
        <w:trPr>
          <w:trHeight w:val="204"/>
        </w:trPr>
        <w:tc>
          <w:tcPr>
            <w:tcW w:w="3119" w:type="dxa"/>
            <w:tcBorders>
              <w:top w:val="nil"/>
              <w:left w:val="nil"/>
              <w:bottom w:val="nil"/>
              <w:right w:val="nil"/>
            </w:tcBorders>
            <w:shd w:val="clear" w:color="auto" w:fill="auto"/>
            <w:vAlign w:val="bottom"/>
            <w:hideMark/>
          </w:tcPr>
          <w:p w14:paraId="72A11431" w14:textId="2AAD2091"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Regional Airlines Funding Assistance  </w:t>
            </w:r>
            <w:r w:rsidRPr="006C0481">
              <w:rPr>
                <w:rFonts w:ascii="Arial" w:hAnsi="Arial" w:cs="Arial"/>
                <w:sz w:val="16"/>
                <w:szCs w:val="16"/>
                <w:vertAlign w:val="superscript"/>
              </w:rPr>
              <w:t>(d)</w:t>
            </w:r>
            <w:r w:rsidRPr="006C0481">
              <w:rPr>
                <w:rFonts w:ascii="Arial" w:hAnsi="Arial" w:cs="Arial"/>
                <w:sz w:val="16"/>
                <w:szCs w:val="16"/>
              </w:rPr>
              <w:t xml:space="preserve"> </w:t>
            </w:r>
          </w:p>
        </w:tc>
        <w:tc>
          <w:tcPr>
            <w:tcW w:w="928" w:type="dxa"/>
            <w:tcBorders>
              <w:top w:val="nil"/>
              <w:left w:val="nil"/>
              <w:bottom w:val="nil"/>
              <w:right w:val="nil"/>
            </w:tcBorders>
            <w:shd w:val="clear" w:color="auto" w:fill="auto"/>
            <w:noWrap/>
            <w:vAlign w:val="bottom"/>
            <w:hideMark/>
          </w:tcPr>
          <w:p w14:paraId="28907F88" w14:textId="5212A9EE"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18,263 </w:t>
            </w:r>
          </w:p>
        </w:tc>
        <w:tc>
          <w:tcPr>
            <w:tcW w:w="928" w:type="dxa"/>
            <w:tcBorders>
              <w:top w:val="nil"/>
              <w:left w:val="nil"/>
              <w:bottom w:val="nil"/>
              <w:right w:val="nil"/>
            </w:tcBorders>
            <w:shd w:val="clear" w:color="000000" w:fill="E6E6E6"/>
            <w:noWrap/>
            <w:vAlign w:val="bottom"/>
            <w:hideMark/>
          </w:tcPr>
          <w:p w14:paraId="4A795541" w14:textId="7E2502E3"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2BC87814" w14:textId="4FDD2924"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44B36C76" w14:textId="3C9D95A0"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3254B280" w14:textId="073B0971"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48251817" w14:textId="77777777" w:rsidTr="00D14058">
        <w:trPr>
          <w:trHeight w:val="204"/>
        </w:trPr>
        <w:tc>
          <w:tcPr>
            <w:tcW w:w="3119" w:type="dxa"/>
            <w:tcBorders>
              <w:top w:val="nil"/>
              <w:left w:val="nil"/>
              <w:bottom w:val="nil"/>
              <w:right w:val="nil"/>
            </w:tcBorders>
            <w:shd w:val="clear" w:color="auto" w:fill="auto"/>
            <w:vAlign w:val="bottom"/>
            <w:hideMark/>
          </w:tcPr>
          <w:p w14:paraId="0ED11C8F" w14:textId="77777777"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 xml:space="preserve">Regional Airline Network Support </w:t>
            </w:r>
            <w:r w:rsidRPr="006C0481">
              <w:rPr>
                <w:rFonts w:ascii="Arial" w:hAnsi="Arial" w:cs="Arial"/>
                <w:sz w:val="16"/>
                <w:szCs w:val="16"/>
                <w:vertAlign w:val="superscript"/>
              </w:rPr>
              <w:t>(d)</w:t>
            </w:r>
            <w:r w:rsidRPr="006C0481">
              <w:rPr>
                <w:rFonts w:ascii="Arial" w:hAnsi="Arial" w:cs="Arial"/>
                <w:sz w:val="16"/>
                <w:szCs w:val="16"/>
              </w:rPr>
              <w:t xml:space="preserve"> </w:t>
            </w:r>
          </w:p>
        </w:tc>
        <w:tc>
          <w:tcPr>
            <w:tcW w:w="928" w:type="dxa"/>
            <w:tcBorders>
              <w:top w:val="nil"/>
              <w:left w:val="nil"/>
              <w:bottom w:val="nil"/>
              <w:right w:val="nil"/>
            </w:tcBorders>
            <w:shd w:val="clear" w:color="auto" w:fill="auto"/>
            <w:noWrap/>
            <w:vAlign w:val="bottom"/>
            <w:hideMark/>
          </w:tcPr>
          <w:p w14:paraId="07415A04" w14:textId="56B62348"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113,281 </w:t>
            </w:r>
          </w:p>
        </w:tc>
        <w:tc>
          <w:tcPr>
            <w:tcW w:w="928" w:type="dxa"/>
            <w:tcBorders>
              <w:top w:val="nil"/>
              <w:left w:val="nil"/>
              <w:bottom w:val="nil"/>
              <w:right w:val="nil"/>
            </w:tcBorders>
            <w:shd w:val="clear" w:color="000000" w:fill="E6E6E6"/>
            <w:noWrap/>
            <w:vAlign w:val="bottom"/>
            <w:hideMark/>
          </w:tcPr>
          <w:p w14:paraId="71270A8A" w14:textId="1EEAB947"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01CC4E17" w14:textId="0219BC35"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15DC88DF" w14:textId="6B6B8E55"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487B958D" w14:textId="72003501"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r>
      <w:tr w:rsidR="00D14058" w:rsidRPr="006C0481" w14:paraId="22F27194" w14:textId="77777777" w:rsidTr="00D14058">
        <w:trPr>
          <w:trHeight w:val="204"/>
        </w:trPr>
        <w:tc>
          <w:tcPr>
            <w:tcW w:w="3119" w:type="dxa"/>
            <w:tcBorders>
              <w:top w:val="nil"/>
              <w:left w:val="nil"/>
              <w:bottom w:val="nil"/>
              <w:right w:val="nil"/>
            </w:tcBorders>
            <w:shd w:val="clear" w:color="auto" w:fill="auto"/>
            <w:noWrap/>
            <w:vAlign w:val="bottom"/>
            <w:hideMark/>
          </w:tcPr>
          <w:p w14:paraId="521A0A56" w14:textId="77777777" w:rsidR="00D14058" w:rsidRPr="006C0481" w:rsidRDefault="00D14058" w:rsidP="006C0481">
            <w:pPr>
              <w:spacing w:after="0" w:line="240" w:lineRule="auto"/>
              <w:jc w:val="left"/>
              <w:rPr>
                <w:rFonts w:ascii="Arial" w:hAnsi="Arial" w:cs="Arial"/>
                <w:sz w:val="16"/>
                <w:szCs w:val="16"/>
              </w:rPr>
            </w:pPr>
            <w:r w:rsidRPr="006C0481">
              <w:rPr>
                <w:rFonts w:ascii="Arial" w:hAnsi="Arial" w:cs="Arial"/>
                <w:sz w:val="16"/>
                <w:szCs w:val="16"/>
              </w:rPr>
              <w:t>Special Accounts</w:t>
            </w:r>
          </w:p>
        </w:tc>
        <w:tc>
          <w:tcPr>
            <w:tcW w:w="928" w:type="dxa"/>
            <w:tcBorders>
              <w:top w:val="nil"/>
              <w:left w:val="nil"/>
              <w:bottom w:val="nil"/>
              <w:right w:val="nil"/>
            </w:tcBorders>
            <w:shd w:val="clear" w:color="auto" w:fill="auto"/>
            <w:noWrap/>
            <w:vAlign w:val="bottom"/>
            <w:hideMark/>
          </w:tcPr>
          <w:p w14:paraId="4C0B793B" w14:textId="0CFE519D"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6F36AD2A" w14:textId="138DBD65"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w:t>
            </w:r>
          </w:p>
        </w:tc>
        <w:tc>
          <w:tcPr>
            <w:tcW w:w="932" w:type="dxa"/>
            <w:tcBorders>
              <w:top w:val="nil"/>
              <w:left w:val="nil"/>
              <w:bottom w:val="nil"/>
              <w:right w:val="nil"/>
            </w:tcBorders>
            <w:shd w:val="clear" w:color="auto" w:fill="auto"/>
            <w:noWrap/>
            <w:vAlign w:val="bottom"/>
            <w:hideMark/>
          </w:tcPr>
          <w:p w14:paraId="1F9E1135" w14:textId="77777777" w:rsidR="00D14058" w:rsidRPr="006C0481" w:rsidRDefault="00D14058" w:rsidP="006C0481">
            <w:pPr>
              <w:spacing w:after="0" w:line="240" w:lineRule="auto"/>
              <w:jc w:val="right"/>
              <w:rPr>
                <w:rFonts w:ascii="Arial" w:hAnsi="Arial" w:cs="Arial"/>
                <w:sz w:val="16"/>
                <w:szCs w:val="16"/>
              </w:rPr>
            </w:pPr>
          </w:p>
        </w:tc>
        <w:tc>
          <w:tcPr>
            <w:tcW w:w="897" w:type="dxa"/>
            <w:tcBorders>
              <w:top w:val="nil"/>
              <w:left w:val="nil"/>
              <w:bottom w:val="nil"/>
              <w:right w:val="nil"/>
            </w:tcBorders>
            <w:shd w:val="clear" w:color="auto" w:fill="auto"/>
            <w:noWrap/>
            <w:vAlign w:val="bottom"/>
            <w:hideMark/>
          </w:tcPr>
          <w:p w14:paraId="0E06D5EE" w14:textId="77777777" w:rsidR="00D14058" w:rsidRPr="006C0481" w:rsidRDefault="00D14058" w:rsidP="006C0481">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3749BD5D" w14:textId="77777777" w:rsidR="00D14058" w:rsidRPr="006C0481" w:rsidRDefault="00D14058" w:rsidP="006C0481">
            <w:pPr>
              <w:spacing w:after="0" w:line="240" w:lineRule="auto"/>
              <w:jc w:val="right"/>
              <w:rPr>
                <w:rFonts w:ascii="Times New Roman" w:hAnsi="Times New Roman"/>
                <w:sz w:val="16"/>
                <w:szCs w:val="16"/>
              </w:rPr>
            </w:pPr>
          </w:p>
        </w:tc>
      </w:tr>
      <w:tr w:rsidR="00D14058" w:rsidRPr="0091271A" w14:paraId="5E577F9B" w14:textId="77777777" w:rsidTr="00D14058">
        <w:trPr>
          <w:trHeight w:val="204"/>
        </w:trPr>
        <w:tc>
          <w:tcPr>
            <w:tcW w:w="3119" w:type="dxa"/>
            <w:tcBorders>
              <w:top w:val="nil"/>
              <w:left w:val="nil"/>
              <w:bottom w:val="nil"/>
              <w:right w:val="nil"/>
            </w:tcBorders>
            <w:shd w:val="clear" w:color="auto" w:fill="auto"/>
            <w:vAlign w:val="bottom"/>
            <w:hideMark/>
          </w:tcPr>
          <w:p w14:paraId="49FBF79B" w14:textId="0EEEFD34" w:rsidR="00D14058" w:rsidRPr="006C0481" w:rsidRDefault="00D14058" w:rsidP="006C0481">
            <w:pPr>
              <w:spacing w:after="0" w:line="240" w:lineRule="auto"/>
              <w:ind w:left="113"/>
              <w:jc w:val="left"/>
              <w:rPr>
                <w:rFonts w:ascii="Arial" w:hAnsi="Arial" w:cs="Arial"/>
                <w:sz w:val="16"/>
                <w:szCs w:val="16"/>
              </w:rPr>
            </w:pPr>
            <w:r w:rsidRPr="006C0481">
              <w:rPr>
                <w:rFonts w:ascii="Arial" w:hAnsi="Arial" w:cs="Arial"/>
                <w:sz w:val="16"/>
                <w:szCs w:val="16"/>
              </w:rPr>
              <w:t>Melbourne Airport New Runway Land Acquisition Special Account</w:t>
            </w:r>
            <w:r w:rsidRPr="006C0481">
              <w:rPr>
                <w:rFonts w:ascii="Arial" w:hAnsi="Arial" w:cs="Arial"/>
                <w:sz w:val="16"/>
                <w:szCs w:val="16"/>
                <w:vertAlign w:val="superscript"/>
              </w:rPr>
              <w:t xml:space="preserve"> (e)</w:t>
            </w:r>
          </w:p>
        </w:tc>
        <w:tc>
          <w:tcPr>
            <w:tcW w:w="928" w:type="dxa"/>
            <w:tcBorders>
              <w:top w:val="nil"/>
              <w:left w:val="nil"/>
              <w:bottom w:val="nil"/>
              <w:right w:val="nil"/>
            </w:tcBorders>
            <w:shd w:val="clear" w:color="auto" w:fill="auto"/>
            <w:noWrap/>
            <w:vAlign w:val="bottom"/>
            <w:hideMark/>
          </w:tcPr>
          <w:p w14:paraId="6256E207" w14:textId="16C691CE"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28" w:type="dxa"/>
            <w:tcBorders>
              <w:top w:val="nil"/>
              <w:left w:val="nil"/>
              <w:bottom w:val="nil"/>
              <w:right w:val="nil"/>
            </w:tcBorders>
            <w:shd w:val="clear" w:color="000000" w:fill="E6E6E6"/>
            <w:noWrap/>
            <w:vAlign w:val="bottom"/>
            <w:hideMark/>
          </w:tcPr>
          <w:p w14:paraId="3A2A15E3" w14:textId="1EB56D65"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932" w:type="dxa"/>
            <w:tcBorders>
              <w:top w:val="nil"/>
              <w:left w:val="nil"/>
              <w:bottom w:val="nil"/>
              <w:right w:val="nil"/>
            </w:tcBorders>
            <w:shd w:val="clear" w:color="auto" w:fill="auto"/>
            <w:noWrap/>
            <w:vAlign w:val="bottom"/>
            <w:hideMark/>
          </w:tcPr>
          <w:p w14:paraId="7B967C27" w14:textId="7B7D0123"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97" w:type="dxa"/>
            <w:tcBorders>
              <w:top w:val="nil"/>
              <w:left w:val="nil"/>
              <w:bottom w:val="nil"/>
              <w:right w:val="nil"/>
            </w:tcBorders>
            <w:shd w:val="clear" w:color="auto" w:fill="auto"/>
            <w:noWrap/>
            <w:vAlign w:val="bottom"/>
            <w:hideMark/>
          </w:tcPr>
          <w:p w14:paraId="5725EA70" w14:textId="22F8C2C7" w:rsidR="00D14058" w:rsidRPr="006C0481" w:rsidRDefault="00D14058" w:rsidP="006C0481">
            <w:pPr>
              <w:spacing w:after="0" w:line="240" w:lineRule="auto"/>
              <w:jc w:val="right"/>
              <w:rPr>
                <w:rFonts w:ascii="Arial" w:hAnsi="Arial" w:cs="Arial"/>
                <w:sz w:val="16"/>
                <w:szCs w:val="16"/>
              </w:rPr>
            </w:pPr>
            <w:r w:rsidRPr="006C0481">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649FB7B5" w14:textId="2917DE5D" w:rsidR="00D14058" w:rsidRPr="00F10ACD" w:rsidRDefault="00D14058" w:rsidP="006C0481">
            <w:pPr>
              <w:spacing w:after="0" w:line="240" w:lineRule="auto"/>
              <w:jc w:val="right"/>
              <w:rPr>
                <w:rFonts w:ascii="Arial" w:hAnsi="Arial" w:cs="Arial"/>
                <w:sz w:val="16"/>
                <w:szCs w:val="16"/>
              </w:rPr>
            </w:pPr>
            <w:r w:rsidRPr="006C0481">
              <w:rPr>
                <w:rFonts w:ascii="Arial" w:hAnsi="Arial" w:cs="Arial"/>
                <w:sz w:val="16"/>
                <w:szCs w:val="16"/>
              </w:rPr>
              <w:t>-</w:t>
            </w:r>
            <w:r w:rsidRPr="00F10ACD">
              <w:rPr>
                <w:rFonts w:ascii="Arial" w:hAnsi="Arial" w:cs="Arial"/>
                <w:sz w:val="16"/>
                <w:szCs w:val="16"/>
              </w:rPr>
              <w:t xml:space="preserve"> </w:t>
            </w:r>
          </w:p>
        </w:tc>
      </w:tr>
      <w:tr w:rsidR="00D14058" w:rsidRPr="0091271A" w14:paraId="5217F192" w14:textId="77777777" w:rsidTr="00D14058">
        <w:trPr>
          <w:trHeight w:val="204"/>
        </w:trPr>
        <w:tc>
          <w:tcPr>
            <w:tcW w:w="3119" w:type="dxa"/>
            <w:tcBorders>
              <w:top w:val="nil"/>
              <w:left w:val="nil"/>
              <w:bottom w:val="single" w:sz="4" w:space="0" w:color="auto"/>
              <w:right w:val="nil"/>
            </w:tcBorders>
            <w:shd w:val="clear" w:color="auto" w:fill="auto"/>
            <w:noWrap/>
            <w:vAlign w:val="bottom"/>
            <w:hideMark/>
          </w:tcPr>
          <w:p w14:paraId="5DC749E1" w14:textId="77777777" w:rsidR="00D14058" w:rsidRPr="00F10ACD" w:rsidRDefault="00D14058" w:rsidP="00D14058">
            <w:pPr>
              <w:spacing w:after="0" w:line="240" w:lineRule="auto"/>
              <w:jc w:val="left"/>
              <w:rPr>
                <w:rFonts w:ascii="Arial" w:hAnsi="Arial" w:cs="Arial"/>
                <w:b/>
                <w:bCs/>
                <w:sz w:val="16"/>
                <w:szCs w:val="16"/>
              </w:rPr>
            </w:pPr>
            <w:r w:rsidRPr="00F10ACD">
              <w:rPr>
                <w:rFonts w:ascii="Arial" w:hAnsi="Arial" w:cs="Arial"/>
                <w:b/>
                <w:bCs/>
                <w:sz w:val="16"/>
                <w:szCs w:val="16"/>
              </w:rPr>
              <w:t>Total expenses for Program 2.3</w:t>
            </w:r>
          </w:p>
        </w:tc>
        <w:tc>
          <w:tcPr>
            <w:tcW w:w="928" w:type="dxa"/>
            <w:tcBorders>
              <w:top w:val="single" w:sz="4" w:space="0" w:color="auto"/>
              <w:left w:val="nil"/>
              <w:bottom w:val="single" w:sz="4" w:space="0" w:color="auto"/>
              <w:right w:val="nil"/>
            </w:tcBorders>
            <w:shd w:val="clear" w:color="auto" w:fill="auto"/>
            <w:noWrap/>
            <w:vAlign w:val="bottom"/>
            <w:hideMark/>
          </w:tcPr>
          <w:p w14:paraId="416A1E25" w14:textId="6E0C3053" w:rsidR="00D14058" w:rsidRPr="00F10ACD" w:rsidRDefault="00D14058" w:rsidP="00D14058">
            <w:pPr>
              <w:spacing w:after="0" w:line="240" w:lineRule="auto"/>
              <w:jc w:val="right"/>
              <w:rPr>
                <w:rFonts w:ascii="Arial" w:hAnsi="Arial" w:cs="Arial"/>
                <w:b/>
                <w:bCs/>
                <w:sz w:val="16"/>
                <w:szCs w:val="16"/>
              </w:rPr>
            </w:pPr>
            <w:r w:rsidRPr="00F10ACD">
              <w:rPr>
                <w:rFonts w:ascii="Arial" w:hAnsi="Arial" w:cs="Arial"/>
                <w:b/>
                <w:bCs/>
                <w:sz w:val="16"/>
                <w:szCs w:val="16"/>
              </w:rPr>
              <w:t xml:space="preserve">2,163,569 </w:t>
            </w:r>
          </w:p>
        </w:tc>
        <w:tc>
          <w:tcPr>
            <w:tcW w:w="928" w:type="dxa"/>
            <w:tcBorders>
              <w:top w:val="single" w:sz="4" w:space="0" w:color="auto"/>
              <w:left w:val="nil"/>
              <w:bottom w:val="single" w:sz="4" w:space="0" w:color="auto"/>
              <w:right w:val="nil"/>
            </w:tcBorders>
            <w:shd w:val="clear" w:color="000000" w:fill="E6E6E6"/>
            <w:noWrap/>
            <w:vAlign w:val="bottom"/>
            <w:hideMark/>
          </w:tcPr>
          <w:p w14:paraId="1F135061" w14:textId="71BA6C36" w:rsidR="00D14058" w:rsidRPr="00F10ACD" w:rsidRDefault="00D14058" w:rsidP="00D14058">
            <w:pPr>
              <w:spacing w:after="0" w:line="240" w:lineRule="auto"/>
              <w:jc w:val="right"/>
              <w:rPr>
                <w:rFonts w:ascii="Arial" w:hAnsi="Arial" w:cs="Arial"/>
                <w:b/>
                <w:bCs/>
                <w:sz w:val="16"/>
                <w:szCs w:val="16"/>
              </w:rPr>
            </w:pPr>
            <w:r w:rsidRPr="00F10ACD">
              <w:rPr>
                <w:rFonts w:ascii="Arial" w:hAnsi="Arial" w:cs="Arial"/>
                <w:b/>
                <w:bCs/>
                <w:sz w:val="16"/>
                <w:szCs w:val="16"/>
              </w:rPr>
              <w:t xml:space="preserve">1,217,154 </w:t>
            </w:r>
          </w:p>
        </w:tc>
        <w:tc>
          <w:tcPr>
            <w:tcW w:w="932" w:type="dxa"/>
            <w:tcBorders>
              <w:top w:val="single" w:sz="4" w:space="0" w:color="auto"/>
              <w:left w:val="nil"/>
              <w:bottom w:val="single" w:sz="4" w:space="0" w:color="auto"/>
              <w:right w:val="nil"/>
            </w:tcBorders>
            <w:shd w:val="clear" w:color="auto" w:fill="auto"/>
            <w:noWrap/>
            <w:vAlign w:val="bottom"/>
            <w:hideMark/>
          </w:tcPr>
          <w:p w14:paraId="42FF5209" w14:textId="153D86E6" w:rsidR="00D14058" w:rsidRPr="00F10ACD" w:rsidRDefault="00D14058" w:rsidP="00D14058">
            <w:pPr>
              <w:spacing w:after="0" w:line="240" w:lineRule="auto"/>
              <w:jc w:val="right"/>
              <w:rPr>
                <w:rFonts w:ascii="Arial" w:hAnsi="Arial" w:cs="Arial"/>
                <w:b/>
                <w:bCs/>
                <w:sz w:val="16"/>
                <w:szCs w:val="16"/>
              </w:rPr>
            </w:pPr>
            <w:r w:rsidRPr="00F10ACD">
              <w:rPr>
                <w:rFonts w:ascii="Arial" w:hAnsi="Arial" w:cs="Arial"/>
                <w:b/>
                <w:bCs/>
                <w:sz w:val="16"/>
                <w:szCs w:val="16"/>
              </w:rPr>
              <w:t xml:space="preserve">354,758 </w:t>
            </w:r>
          </w:p>
        </w:tc>
        <w:tc>
          <w:tcPr>
            <w:tcW w:w="897" w:type="dxa"/>
            <w:tcBorders>
              <w:top w:val="single" w:sz="4" w:space="0" w:color="auto"/>
              <w:left w:val="nil"/>
              <w:bottom w:val="single" w:sz="4" w:space="0" w:color="auto"/>
              <w:right w:val="nil"/>
            </w:tcBorders>
            <w:shd w:val="clear" w:color="auto" w:fill="auto"/>
            <w:noWrap/>
            <w:vAlign w:val="bottom"/>
            <w:hideMark/>
          </w:tcPr>
          <w:p w14:paraId="57FAF0F8" w14:textId="0E088281" w:rsidR="00D14058" w:rsidRPr="00F10ACD" w:rsidRDefault="00D14058" w:rsidP="00D14058">
            <w:pPr>
              <w:spacing w:after="0" w:line="240" w:lineRule="auto"/>
              <w:jc w:val="right"/>
              <w:rPr>
                <w:rFonts w:ascii="Arial" w:hAnsi="Arial" w:cs="Arial"/>
                <w:b/>
                <w:bCs/>
                <w:sz w:val="16"/>
                <w:szCs w:val="16"/>
              </w:rPr>
            </w:pPr>
            <w:r w:rsidRPr="00F10ACD">
              <w:rPr>
                <w:rFonts w:ascii="Arial" w:hAnsi="Arial" w:cs="Arial"/>
                <w:b/>
                <w:bCs/>
                <w:sz w:val="16"/>
                <w:szCs w:val="16"/>
              </w:rPr>
              <w:t xml:space="preserve">249,718 </w:t>
            </w:r>
          </w:p>
        </w:tc>
        <w:tc>
          <w:tcPr>
            <w:tcW w:w="851" w:type="dxa"/>
            <w:tcBorders>
              <w:top w:val="single" w:sz="4" w:space="0" w:color="auto"/>
              <w:left w:val="nil"/>
              <w:bottom w:val="single" w:sz="4" w:space="0" w:color="auto"/>
              <w:right w:val="nil"/>
            </w:tcBorders>
            <w:shd w:val="clear" w:color="auto" w:fill="auto"/>
            <w:noWrap/>
            <w:vAlign w:val="bottom"/>
            <w:hideMark/>
          </w:tcPr>
          <w:p w14:paraId="50FB41CB" w14:textId="03E4FAA4" w:rsidR="00D14058" w:rsidRPr="00F10ACD" w:rsidRDefault="00D14058" w:rsidP="00D14058">
            <w:pPr>
              <w:spacing w:after="0" w:line="240" w:lineRule="auto"/>
              <w:jc w:val="right"/>
              <w:rPr>
                <w:rFonts w:ascii="Arial" w:hAnsi="Arial" w:cs="Arial"/>
                <w:b/>
                <w:bCs/>
                <w:sz w:val="16"/>
                <w:szCs w:val="16"/>
              </w:rPr>
            </w:pPr>
            <w:r w:rsidRPr="00F10ACD">
              <w:rPr>
                <w:rFonts w:ascii="Arial" w:hAnsi="Arial" w:cs="Arial"/>
                <w:b/>
                <w:bCs/>
                <w:sz w:val="16"/>
                <w:szCs w:val="16"/>
              </w:rPr>
              <w:t xml:space="preserve">195,507 </w:t>
            </w:r>
          </w:p>
        </w:tc>
      </w:tr>
    </w:tbl>
    <w:p w14:paraId="2CC50E16" w14:textId="422C0CF1" w:rsidR="0066009B" w:rsidRPr="0066009B" w:rsidRDefault="0066009B" w:rsidP="00F10ACD">
      <w:pPr>
        <w:pStyle w:val="TableGraphic"/>
        <w:numPr>
          <w:ilvl w:val="0"/>
          <w:numId w:val="50"/>
        </w:numPr>
        <w:spacing w:before="60"/>
        <w:ind w:left="284" w:right="0" w:hanging="284"/>
        <w:rPr>
          <w:rFonts w:ascii="Arial" w:hAnsi="Arial" w:cs="Arial"/>
          <w:i w:val="0"/>
          <w:color w:val="auto"/>
          <w:sz w:val="16"/>
          <w:szCs w:val="16"/>
        </w:rPr>
      </w:pPr>
      <w:r w:rsidRPr="0066009B">
        <w:rPr>
          <w:rFonts w:ascii="Arial" w:hAnsi="Arial" w:cs="Arial"/>
          <w:i w:val="0"/>
          <w:color w:val="auto"/>
          <w:sz w:val="16"/>
        </w:rPr>
        <w:lastRenderedPageBreak/>
        <w:t xml:space="preserve">The estimates for demand driven programs are calculated at a maximum probable amount in the forward estimates to ensure there is sufficient appropriation to meet demand. Where the estimated demand is not met in a particular year, underspends are returned to the Government and are not available for alternate </w:t>
      </w:r>
      <w:r w:rsidRPr="0066009B">
        <w:rPr>
          <w:rFonts w:ascii="Arial" w:hAnsi="Arial" w:cs="Arial"/>
          <w:i w:val="0"/>
          <w:color w:val="auto"/>
          <w:sz w:val="16"/>
          <w:szCs w:val="16"/>
        </w:rPr>
        <w:t xml:space="preserve">uses by the </w:t>
      </w:r>
      <w:r w:rsidR="008863D9">
        <w:rPr>
          <w:rFonts w:ascii="Arial" w:hAnsi="Arial" w:cs="Arial"/>
          <w:i w:val="0"/>
          <w:color w:val="auto"/>
          <w:sz w:val="16"/>
          <w:szCs w:val="16"/>
        </w:rPr>
        <w:t>Department</w:t>
      </w:r>
      <w:r w:rsidRPr="0066009B">
        <w:rPr>
          <w:rFonts w:ascii="Arial" w:hAnsi="Arial" w:cs="Arial"/>
          <w:i w:val="0"/>
          <w:color w:val="auto"/>
          <w:sz w:val="16"/>
          <w:szCs w:val="16"/>
        </w:rPr>
        <w:t>.</w:t>
      </w:r>
    </w:p>
    <w:p w14:paraId="011326C3" w14:textId="30373B86" w:rsidR="0066009B" w:rsidRPr="00525877" w:rsidRDefault="0066009B" w:rsidP="00F10ACD">
      <w:pPr>
        <w:pStyle w:val="TableGraphic"/>
        <w:numPr>
          <w:ilvl w:val="0"/>
          <w:numId w:val="50"/>
        </w:numPr>
        <w:ind w:left="284" w:right="0" w:hanging="284"/>
        <w:contextualSpacing/>
        <w:rPr>
          <w:rFonts w:ascii="Arial" w:hAnsi="Arial" w:cs="Arial"/>
          <w:i w:val="0"/>
          <w:color w:val="auto"/>
          <w:sz w:val="16"/>
          <w:szCs w:val="16"/>
        </w:rPr>
      </w:pPr>
      <w:r w:rsidRPr="00525877">
        <w:rPr>
          <w:rFonts w:ascii="Arial" w:hAnsi="Arial" w:cs="Arial"/>
          <w:i w:val="0"/>
          <w:color w:val="auto"/>
          <w:sz w:val="16"/>
          <w:szCs w:val="16"/>
        </w:rPr>
        <w:t xml:space="preserve">Relates to appropriation for corporate entities provided through the </w:t>
      </w:r>
      <w:r w:rsidR="008863D9">
        <w:rPr>
          <w:rFonts w:ascii="Arial" w:hAnsi="Arial" w:cs="Arial"/>
          <w:i w:val="0"/>
          <w:color w:val="auto"/>
          <w:sz w:val="16"/>
          <w:szCs w:val="16"/>
        </w:rPr>
        <w:t>Department</w:t>
      </w:r>
      <w:r w:rsidRPr="00525877">
        <w:rPr>
          <w:rFonts w:ascii="Arial" w:hAnsi="Arial" w:cs="Arial"/>
          <w:i w:val="0"/>
          <w:color w:val="auto"/>
          <w:sz w:val="16"/>
          <w:szCs w:val="16"/>
        </w:rPr>
        <w:t>.</w:t>
      </w:r>
    </w:p>
    <w:p w14:paraId="3FB96E60" w14:textId="75F51338" w:rsidR="0066009B" w:rsidRDefault="009404FD" w:rsidP="00F10ACD">
      <w:pPr>
        <w:pStyle w:val="ListParagraph"/>
        <w:numPr>
          <w:ilvl w:val="0"/>
          <w:numId w:val="50"/>
        </w:numPr>
        <w:spacing w:after="0" w:line="240" w:lineRule="auto"/>
        <w:ind w:left="284" w:hanging="284"/>
        <w:rPr>
          <w:rFonts w:ascii="Arial" w:hAnsi="Arial" w:cs="Arial"/>
          <w:sz w:val="16"/>
          <w:szCs w:val="16"/>
        </w:rPr>
      </w:pPr>
      <w:r>
        <w:rPr>
          <w:rFonts w:ascii="Arial" w:hAnsi="Arial" w:cs="Arial"/>
          <w:sz w:val="16"/>
          <w:szCs w:val="16"/>
        </w:rPr>
        <w:t>‘</w:t>
      </w:r>
      <w:proofErr w:type="spellStart"/>
      <w:proofErr w:type="gramStart"/>
      <w:r>
        <w:rPr>
          <w:rFonts w:ascii="Arial" w:hAnsi="Arial" w:cs="Arial"/>
          <w:sz w:val="16"/>
          <w:szCs w:val="16"/>
        </w:rPr>
        <w:t>nfp</w:t>
      </w:r>
      <w:proofErr w:type="spellEnd"/>
      <w:proofErr w:type="gramEnd"/>
      <w:r>
        <w:rPr>
          <w:rFonts w:ascii="Arial" w:hAnsi="Arial" w:cs="Arial"/>
          <w:sz w:val="16"/>
          <w:szCs w:val="16"/>
        </w:rPr>
        <w:t>’ figures are not for publication due to commercial sensitivity, and are not included in totals.</w:t>
      </w:r>
    </w:p>
    <w:p w14:paraId="05B79215" w14:textId="6D930C01" w:rsidR="00525877" w:rsidRDefault="00525877" w:rsidP="00F10ACD">
      <w:pPr>
        <w:pStyle w:val="ListParagraph"/>
        <w:numPr>
          <w:ilvl w:val="0"/>
          <w:numId w:val="50"/>
        </w:numPr>
        <w:spacing w:after="0" w:line="240" w:lineRule="auto"/>
        <w:ind w:left="284" w:hanging="284"/>
        <w:rPr>
          <w:rFonts w:ascii="Arial" w:hAnsi="Arial" w:cs="Arial"/>
          <w:sz w:val="16"/>
          <w:szCs w:val="16"/>
        </w:rPr>
      </w:pPr>
      <w:r w:rsidRPr="00525877">
        <w:rPr>
          <w:rFonts w:ascii="Arial" w:hAnsi="Arial" w:cs="Arial"/>
          <w:sz w:val="16"/>
          <w:szCs w:val="16"/>
        </w:rPr>
        <w:t>These programs are funded under the Relief and Recovery Fund.</w:t>
      </w:r>
    </w:p>
    <w:p w14:paraId="3D407813" w14:textId="0B1A4B69" w:rsidR="00D14058" w:rsidRPr="006C0481" w:rsidRDefault="00D14058" w:rsidP="00F10ACD">
      <w:pPr>
        <w:pStyle w:val="ListParagraph"/>
        <w:numPr>
          <w:ilvl w:val="0"/>
          <w:numId w:val="50"/>
        </w:numPr>
        <w:spacing w:after="0" w:line="240" w:lineRule="auto"/>
        <w:ind w:left="284" w:hanging="284"/>
        <w:rPr>
          <w:rFonts w:ascii="Arial" w:hAnsi="Arial" w:cs="Arial"/>
          <w:sz w:val="16"/>
          <w:szCs w:val="16"/>
        </w:rPr>
      </w:pPr>
      <w:r w:rsidRPr="006C0481">
        <w:rPr>
          <w:rFonts w:ascii="Arial" w:hAnsi="Arial" w:cs="Arial"/>
          <w:sz w:val="16"/>
          <w:szCs w:val="16"/>
        </w:rPr>
        <w:t xml:space="preserve">These programs include refunds of prior year expenses in 2020-21 that are included under the International Aviation Support program. </w:t>
      </w:r>
    </w:p>
    <w:p w14:paraId="0026124C" w14:textId="44A4A4C5" w:rsidR="00000153" w:rsidRPr="00192B13" w:rsidRDefault="00000153" w:rsidP="00000153">
      <w:pPr>
        <w:pStyle w:val="TableGraphic"/>
        <w:rPr>
          <w:rFonts w:ascii="Arial" w:hAnsi="Arial"/>
          <w:b/>
          <w:bCs/>
          <w:iCs/>
          <w:color w:val="auto"/>
          <w:szCs w:val="26"/>
          <w:lang w:val="x-none"/>
        </w:rPr>
      </w:pPr>
    </w:p>
    <w:p w14:paraId="4F98A462" w14:textId="76E52714" w:rsidR="00000153" w:rsidRPr="005939CC" w:rsidRDefault="00000153" w:rsidP="00000153">
      <w:pPr>
        <w:pStyle w:val="Heading5"/>
        <w:rPr>
          <w:lang w:val="en-US"/>
        </w:rPr>
      </w:pPr>
      <w:r w:rsidRPr="005939CC">
        <w:t xml:space="preserve">Performance </w:t>
      </w:r>
      <w:r w:rsidR="003F36B4">
        <w:rPr>
          <w:lang w:val="en-AU"/>
        </w:rPr>
        <w:t>c</w:t>
      </w:r>
      <w:r w:rsidR="00CB6C26">
        <w:rPr>
          <w:lang w:val="en-AU"/>
        </w:rPr>
        <w:t>riteria</w:t>
      </w:r>
      <w:r w:rsidRPr="005939CC">
        <w:t xml:space="preserve"> for Outcome </w:t>
      </w:r>
      <w:r w:rsidRPr="005939CC">
        <w:rPr>
          <w:lang w:val="en-US"/>
        </w:rPr>
        <w:t>2</w:t>
      </w:r>
    </w:p>
    <w:p w14:paraId="2DE714FA" w14:textId="4C0E5546" w:rsidR="00000153" w:rsidRPr="004D30E6" w:rsidRDefault="00000153" w:rsidP="00EC71F3">
      <w:pPr>
        <w:jc w:val="left"/>
        <w:rPr>
          <w:rFonts w:cs="Arial"/>
        </w:rPr>
      </w:pPr>
      <w:r w:rsidRPr="004D30E6">
        <w:rPr>
          <w:rFonts w:cs="Arial"/>
        </w:rPr>
        <w:t>There has been no change to the performance criteria for Program 2.</w:t>
      </w:r>
      <w:r w:rsidR="002D0488">
        <w:rPr>
          <w:rFonts w:cs="Arial"/>
        </w:rPr>
        <w:t>1 and Program </w:t>
      </w:r>
      <w:r w:rsidRPr="004D30E6">
        <w:rPr>
          <w:rFonts w:cs="Arial"/>
        </w:rPr>
        <w:t>2.2 in Outcome 2 resulting from decisions made</w:t>
      </w:r>
      <w:r w:rsidR="00EC71F3">
        <w:rPr>
          <w:rFonts w:cs="Arial"/>
        </w:rPr>
        <w:t xml:space="preserve"> since the 2021–22 Budget. The </w:t>
      </w:r>
      <w:r w:rsidR="008863D9">
        <w:rPr>
          <w:rFonts w:cs="Arial"/>
        </w:rPr>
        <w:t>Department</w:t>
      </w:r>
      <w:r w:rsidRPr="004D30E6">
        <w:rPr>
          <w:rFonts w:cs="Arial"/>
        </w:rPr>
        <w:t xml:space="preserve">’s detailed performance criteria for these programs can be found in the </w:t>
      </w:r>
      <w:r w:rsidR="00360023" w:rsidRPr="004D30E6">
        <w:rPr>
          <w:rFonts w:cs="Arial"/>
        </w:rPr>
        <w:t xml:space="preserve">2021–22 </w:t>
      </w:r>
      <w:r w:rsidRPr="004D30E6">
        <w:rPr>
          <w:rFonts w:cs="Arial"/>
        </w:rPr>
        <w:t>Infrastructure, Transport, Regional Development and Communications PB</w:t>
      </w:r>
      <w:r w:rsidR="00360023">
        <w:rPr>
          <w:rFonts w:cs="Arial"/>
        </w:rPr>
        <w:t> </w:t>
      </w:r>
      <w:r w:rsidRPr="004D30E6">
        <w:rPr>
          <w:rFonts w:cs="Arial"/>
        </w:rPr>
        <w:t>Statements.</w:t>
      </w:r>
    </w:p>
    <w:p w14:paraId="151C86BA" w14:textId="0AD7B997" w:rsidR="00000153" w:rsidRPr="004D30E6" w:rsidRDefault="00062FA6" w:rsidP="00EC71F3">
      <w:pPr>
        <w:jc w:val="left"/>
        <w:rPr>
          <w:rFonts w:cs="Arial"/>
        </w:rPr>
      </w:pPr>
      <w:r>
        <w:rPr>
          <w:rFonts w:cs="Arial"/>
        </w:rPr>
        <w:t xml:space="preserve">The table </w:t>
      </w:r>
      <w:r w:rsidR="00000153" w:rsidRPr="004D30E6">
        <w:rPr>
          <w:rFonts w:cs="Arial"/>
        </w:rPr>
        <w:t xml:space="preserve">below includes revised performance criteria for Program 2.3, which has resulted from decisions made since the 2021–22 Budget. Changes are shown in italics.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5795"/>
      </w:tblGrid>
      <w:tr w:rsidR="00000153" w:rsidRPr="00B94E5D" w14:paraId="21B8E531" w14:textId="77777777" w:rsidTr="00CB6C26">
        <w:tc>
          <w:tcPr>
            <w:tcW w:w="7701" w:type="dxa"/>
            <w:gridSpan w:val="2"/>
            <w:shd w:val="clear" w:color="auto" w:fill="F2F2F2"/>
          </w:tcPr>
          <w:p w14:paraId="02694120" w14:textId="77777777" w:rsidR="00000153" w:rsidRPr="00184B0C" w:rsidRDefault="00000153" w:rsidP="00BD72A9">
            <w:pPr>
              <w:tabs>
                <w:tab w:val="left" w:pos="709"/>
              </w:tabs>
              <w:spacing w:before="60" w:after="60" w:line="240" w:lineRule="auto"/>
              <w:rPr>
                <w:rFonts w:ascii="Arial" w:hAnsi="Arial" w:cs="Arial"/>
                <w:b/>
                <w:sz w:val="16"/>
                <w:szCs w:val="16"/>
              </w:rPr>
            </w:pPr>
            <w:r w:rsidRPr="00184B0C">
              <w:rPr>
                <w:rFonts w:ascii="Arial" w:hAnsi="Arial" w:cs="Arial"/>
                <w:b/>
                <w:sz w:val="16"/>
                <w:szCs w:val="16"/>
              </w:rPr>
              <w:t>Program 2.3 – Air Transport</w:t>
            </w:r>
          </w:p>
          <w:p w14:paraId="1AF41AE8" w14:textId="77777777" w:rsidR="00000153" w:rsidRPr="00B94E5D" w:rsidRDefault="00000153" w:rsidP="007E02F0">
            <w:pPr>
              <w:tabs>
                <w:tab w:val="left" w:pos="709"/>
              </w:tabs>
              <w:spacing w:before="60" w:after="60" w:line="240" w:lineRule="auto"/>
              <w:jc w:val="left"/>
              <w:rPr>
                <w:rFonts w:ascii="Arial" w:hAnsi="Arial" w:cs="Arial"/>
                <w:sz w:val="16"/>
                <w:szCs w:val="16"/>
              </w:rPr>
            </w:pPr>
            <w:r w:rsidRPr="00184B0C">
              <w:rPr>
                <w:rFonts w:ascii="Arial" w:hAnsi="Arial" w:cs="Arial"/>
                <w:sz w:val="16"/>
                <w:szCs w:val="16"/>
              </w:rPr>
              <w:t>The air transport program facilitates investment in aviation infrastructure, ensures the aviation industry operates within a clear and robust regulatory framework, and ensures Australian businesses and consumers have access to competitive international and domestic air services, and access to remote areas.</w:t>
            </w:r>
          </w:p>
        </w:tc>
      </w:tr>
      <w:tr w:rsidR="00000153" w:rsidRPr="00B94E5D" w14:paraId="2D913C75" w14:textId="77777777" w:rsidTr="00CB6C26">
        <w:tc>
          <w:tcPr>
            <w:tcW w:w="1766" w:type="dxa"/>
            <w:tcBorders>
              <w:bottom w:val="single" w:sz="4" w:space="0" w:color="auto"/>
            </w:tcBorders>
          </w:tcPr>
          <w:p w14:paraId="4D3D480A" w14:textId="77777777" w:rsidR="00000153" w:rsidRPr="00B94E5D" w:rsidRDefault="00000153" w:rsidP="00BD72A9">
            <w:pPr>
              <w:tabs>
                <w:tab w:val="left" w:pos="709"/>
              </w:tabs>
              <w:spacing w:before="60" w:after="60" w:line="240" w:lineRule="auto"/>
              <w:rPr>
                <w:rFonts w:ascii="Arial" w:hAnsi="Arial" w:cs="Arial"/>
                <w:b/>
                <w:sz w:val="16"/>
                <w:szCs w:val="16"/>
              </w:rPr>
            </w:pPr>
            <w:r w:rsidRPr="00B94E5D">
              <w:rPr>
                <w:rFonts w:ascii="Arial" w:hAnsi="Arial" w:cs="Arial"/>
                <w:b/>
                <w:sz w:val="16"/>
                <w:szCs w:val="16"/>
              </w:rPr>
              <w:t>Purpose</w:t>
            </w:r>
          </w:p>
        </w:tc>
        <w:tc>
          <w:tcPr>
            <w:tcW w:w="5935" w:type="dxa"/>
            <w:tcBorders>
              <w:bottom w:val="single" w:sz="4" w:space="0" w:color="auto"/>
            </w:tcBorders>
          </w:tcPr>
          <w:p w14:paraId="43018D29" w14:textId="77777777" w:rsidR="00000153" w:rsidRPr="00B94E5D" w:rsidRDefault="00000153" w:rsidP="00BD72A9">
            <w:pPr>
              <w:tabs>
                <w:tab w:val="left" w:pos="709"/>
              </w:tabs>
              <w:spacing w:before="60" w:after="60" w:line="240" w:lineRule="auto"/>
              <w:rPr>
                <w:rFonts w:ascii="Arial" w:hAnsi="Arial" w:cs="Arial"/>
                <w:sz w:val="16"/>
                <w:szCs w:val="16"/>
              </w:rPr>
            </w:pPr>
            <w:r w:rsidRPr="00B94E5D">
              <w:rPr>
                <w:rFonts w:ascii="Arial" w:hAnsi="Arial" w:cs="Arial"/>
                <w:sz w:val="16"/>
                <w:szCs w:val="16"/>
              </w:rPr>
              <w:t>Transport connectivity: Supporting an efficient, sustainable, safe and accessible transport system and supporting jobs through infrastructure investment</w:t>
            </w:r>
          </w:p>
        </w:tc>
      </w:tr>
      <w:tr w:rsidR="00000153" w:rsidRPr="00B94E5D" w14:paraId="59E851FB" w14:textId="77777777" w:rsidTr="00CB6C26">
        <w:tc>
          <w:tcPr>
            <w:tcW w:w="1766" w:type="dxa"/>
            <w:tcBorders>
              <w:bottom w:val="single" w:sz="4" w:space="0" w:color="auto"/>
            </w:tcBorders>
          </w:tcPr>
          <w:p w14:paraId="37C910D2" w14:textId="77777777" w:rsidR="00000153" w:rsidRPr="00B94E5D" w:rsidRDefault="00000153" w:rsidP="00BD72A9">
            <w:pPr>
              <w:tabs>
                <w:tab w:val="left" w:pos="709"/>
              </w:tabs>
              <w:spacing w:before="60" w:after="60" w:line="240" w:lineRule="auto"/>
              <w:rPr>
                <w:rFonts w:ascii="Arial" w:hAnsi="Arial" w:cs="Arial"/>
                <w:b/>
                <w:sz w:val="16"/>
                <w:szCs w:val="16"/>
              </w:rPr>
            </w:pPr>
            <w:r w:rsidRPr="00B94E5D">
              <w:rPr>
                <w:rFonts w:ascii="Arial" w:hAnsi="Arial" w:cs="Arial"/>
                <w:b/>
                <w:sz w:val="16"/>
                <w:szCs w:val="16"/>
              </w:rPr>
              <w:t>Delivery</w:t>
            </w:r>
          </w:p>
        </w:tc>
        <w:tc>
          <w:tcPr>
            <w:tcW w:w="5935" w:type="dxa"/>
            <w:tcBorders>
              <w:bottom w:val="single" w:sz="4" w:space="0" w:color="auto"/>
            </w:tcBorders>
          </w:tcPr>
          <w:p w14:paraId="37972A99" w14:textId="77777777" w:rsidR="00000153" w:rsidRPr="00B94E5D" w:rsidRDefault="00000153" w:rsidP="00BD72A9">
            <w:pPr>
              <w:spacing w:before="60" w:after="60"/>
              <w:rPr>
                <w:rFonts w:ascii="Arial" w:hAnsi="Arial" w:cs="Arial"/>
                <w:sz w:val="16"/>
                <w:szCs w:val="16"/>
              </w:rPr>
            </w:pPr>
            <w:r w:rsidRPr="00B94E5D">
              <w:rPr>
                <w:rFonts w:ascii="Arial" w:hAnsi="Arial" w:cs="Arial"/>
                <w:sz w:val="16"/>
                <w:szCs w:val="16"/>
              </w:rPr>
              <w:t xml:space="preserve">We realise our purposes through: </w:t>
            </w:r>
          </w:p>
          <w:p w14:paraId="3D49EF0C" w14:textId="77777777" w:rsidR="00000153" w:rsidRPr="00B94E5D" w:rsidRDefault="00000153" w:rsidP="00F10ACD">
            <w:pPr>
              <w:pStyle w:val="ListParagraph"/>
              <w:numPr>
                <w:ilvl w:val="0"/>
                <w:numId w:val="26"/>
              </w:numPr>
              <w:spacing w:before="120" w:after="120" w:line="240" w:lineRule="auto"/>
              <w:ind w:left="357" w:hanging="357"/>
              <w:contextualSpacing w:val="0"/>
              <w:rPr>
                <w:rFonts w:ascii="Arial" w:hAnsi="Arial" w:cs="Arial"/>
                <w:sz w:val="16"/>
                <w:szCs w:val="16"/>
              </w:rPr>
            </w:pPr>
            <w:r w:rsidRPr="00B94E5D">
              <w:rPr>
                <w:rFonts w:ascii="Arial" w:hAnsi="Arial" w:cs="Arial"/>
                <w:b/>
                <w:sz w:val="16"/>
                <w:szCs w:val="16"/>
              </w:rPr>
              <w:t>Providing policy and strategic advice</w:t>
            </w:r>
            <w:r w:rsidRPr="00B94E5D">
              <w:rPr>
                <w:rFonts w:ascii="Arial" w:hAnsi="Arial" w:cs="Arial"/>
                <w:sz w:val="16"/>
                <w:szCs w:val="16"/>
              </w:rPr>
              <w:t xml:space="preserve">: We provide government with high-quality options and policy advice. Our advice is evidence-based and informed by research, consultation, analysis and broader government objectives. We identify trends and emerging issues in markets and society to inform strategy and advice. </w:t>
            </w:r>
          </w:p>
          <w:p w14:paraId="5864736E" w14:textId="77777777" w:rsidR="00000153" w:rsidRPr="00B94E5D" w:rsidRDefault="00000153" w:rsidP="00F10ACD">
            <w:pPr>
              <w:pStyle w:val="ListParagraph"/>
              <w:numPr>
                <w:ilvl w:val="0"/>
                <w:numId w:val="26"/>
              </w:numPr>
              <w:spacing w:before="120" w:after="120" w:line="240" w:lineRule="auto"/>
              <w:ind w:left="357" w:hanging="357"/>
              <w:contextualSpacing w:val="0"/>
              <w:rPr>
                <w:rFonts w:ascii="Arial" w:hAnsi="Arial" w:cs="Arial"/>
                <w:sz w:val="16"/>
                <w:szCs w:val="16"/>
              </w:rPr>
            </w:pPr>
            <w:r w:rsidRPr="00B94E5D">
              <w:rPr>
                <w:rFonts w:ascii="Arial" w:hAnsi="Arial" w:cs="Arial"/>
                <w:b/>
                <w:sz w:val="16"/>
                <w:szCs w:val="16"/>
              </w:rPr>
              <w:t>Delivering programs and services</w:t>
            </w:r>
            <w:r w:rsidRPr="00B94E5D">
              <w:rPr>
                <w:rFonts w:ascii="Arial" w:hAnsi="Arial" w:cs="Arial"/>
                <w:sz w:val="16"/>
                <w:szCs w:val="16"/>
              </w:rPr>
              <w:t xml:space="preserve">: We deliver efficient and effective programs and services to achieve the government’s policy outcomes. We adhere to the highest standards of public administration.  </w:t>
            </w:r>
          </w:p>
          <w:p w14:paraId="20AD1529" w14:textId="77777777" w:rsidR="00000153" w:rsidRPr="00B94E5D" w:rsidRDefault="00000153" w:rsidP="00F10ACD">
            <w:pPr>
              <w:pStyle w:val="ListParagraph"/>
              <w:numPr>
                <w:ilvl w:val="0"/>
                <w:numId w:val="26"/>
              </w:numPr>
              <w:spacing w:before="120" w:after="120" w:line="240" w:lineRule="auto"/>
              <w:ind w:left="357" w:hanging="357"/>
              <w:contextualSpacing w:val="0"/>
              <w:rPr>
                <w:rFonts w:ascii="Arial" w:hAnsi="Arial" w:cs="Arial"/>
                <w:sz w:val="16"/>
                <w:szCs w:val="16"/>
              </w:rPr>
            </w:pPr>
            <w:r w:rsidRPr="00B94E5D">
              <w:rPr>
                <w:rFonts w:ascii="Arial" w:hAnsi="Arial" w:cs="Arial"/>
                <w:b/>
                <w:sz w:val="16"/>
                <w:szCs w:val="16"/>
              </w:rPr>
              <w:t>Fit for purpose regulation</w:t>
            </w:r>
            <w:r w:rsidRPr="00B94E5D">
              <w:rPr>
                <w:rFonts w:ascii="Arial" w:hAnsi="Arial" w:cs="Arial"/>
                <w:sz w:val="16"/>
                <w:szCs w:val="16"/>
              </w:rPr>
              <w:t>: We administer portfolio legislation efficiently and effectively. We review and shape regulatory frameworks to ensure that they are fit for purpose and not acting as an impediment to investment.</w:t>
            </w:r>
          </w:p>
          <w:p w14:paraId="2B118356" w14:textId="77777777" w:rsidR="00000153" w:rsidRPr="00B94E5D" w:rsidRDefault="00000153" w:rsidP="00BD72A9">
            <w:pPr>
              <w:tabs>
                <w:tab w:val="left" w:pos="709"/>
              </w:tabs>
              <w:spacing w:before="60" w:after="60" w:line="240" w:lineRule="auto"/>
              <w:rPr>
                <w:rFonts w:ascii="Arial" w:hAnsi="Arial" w:cs="Arial"/>
                <w:sz w:val="16"/>
                <w:szCs w:val="16"/>
              </w:rPr>
            </w:pPr>
            <w:r w:rsidRPr="00B94E5D">
              <w:rPr>
                <w:rFonts w:ascii="Arial" w:hAnsi="Arial" w:cs="Arial"/>
                <w:sz w:val="16"/>
                <w:szCs w:val="16"/>
              </w:rPr>
              <w:t>Delivering our purposes is not solely our responsibility. We collaborate with others — portfolio entities, other governments, industry and the community as well as international organisations — to get results.</w:t>
            </w:r>
          </w:p>
        </w:tc>
      </w:tr>
    </w:tbl>
    <w:p w14:paraId="42E2A716" w14:textId="77777777" w:rsidR="003F36B4" w:rsidRDefault="003F36B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2108"/>
        <w:gridCol w:w="3952"/>
      </w:tblGrid>
      <w:tr w:rsidR="00000153" w:rsidRPr="00B94E5D" w14:paraId="08497D6D" w14:textId="77777777" w:rsidTr="00CB6C26">
        <w:trPr>
          <w:trHeight w:val="165"/>
        </w:trPr>
        <w:tc>
          <w:tcPr>
            <w:tcW w:w="7701" w:type="dxa"/>
            <w:gridSpan w:val="3"/>
            <w:tcBorders>
              <w:top w:val="double" w:sz="4" w:space="0" w:color="auto"/>
              <w:bottom w:val="double" w:sz="4" w:space="0" w:color="auto"/>
            </w:tcBorders>
          </w:tcPr>
          <w:p w14:paraId="409DFEEC" w14:textId="5046B034" w:rsidR="00000153" w:rsidRPr="00B94E5D" w:rsidRDefault="00000153" w:rsidP="00BD72A9">
            <w:pPr>
              <w:spacing w:before="60" w:after="60" w:line="240" w:lineRule="auto"/>
              <w:ind w:right="-12"/>
              <w:rPr>
                <w:rFonts w:ascii="Arial" w:hAnsi="Arial" w:cs="Arial"/>
                <w:b/>
                <w:sz w:val="16"/>
                <w:szCs w:val="16"/>
              </w:rPr>
            </w:pPr>
            <w:r>
              <w:rPr>
                <w:rFonts w:ascii="Arial" w:hAnsi="Arial" w:cs="Arial"/>
                <w:b/>
                <w:sz w:val="16"/>
                <w:szCs w:val="16"/>
              </w:rPr>
              <w:lastRenderedPageBreak/>
              <w:t>P</w:t>
            </w:r>
            <w:r w:rsidRPr="00B94E5D">
              <w:rPr>
                <w:rFonts w:ascii="Arial" w:hAnsi="Arial" w:cs="Arial"/>
                <w:b/>
                <w:sz w:val="16"/>
                <w:szCs w:val="16"/>
              </w:rPr>
              <w:t>erformance information</w:t>
            </w:r>
          </w:p>
        </w:tc>
      </w:tr>
      <w:tr w:rsidR="00000153" w:rsidRPr="00B94E5D" w14:paraId="2C7849F9" w14:textId="77777777" w:rsidTr="00CB6C26">
        <w:trPr>
          <w:trHeight w:val="165"/>
        </w:trPr>
        <w:tc>
          <w:tcPr>
            <w:tcW w:w="1499" w:type="dxa"/>
            <w:tcBorders>
              <w:top w:val="double" w:sz="4" w:space="0" w:color="auto"/>
              <w:bottom w:val="single" w:sz="4" w:space="0" w:color="auto"/>
              <w:right w:val="single" w:sz="4" w:space="0" w:color="auto"/>
            </w:tcBorders>
          </w:tcPr>
          <w:p w14:paraId="065D8256" w14:textId="77777777" w:rsidR="00000153" w:rsidRPr="00B94E5D" w:rsidRDefault="00000153" w:rsidP="00BD72A9">
            <w:pPr>
              <w:tabs>
                <w:tab w:val="left" w:pos="709"/>
              </w:tabs>
              <w:spacing w:before="60" w:after="60" w:line="240" w:lineRule="auto"/>
              <w:rPr>
                <w:rFonts w:ascii="Arial" w:hAnsi="Arial" w:cs="Arial"/>
                <w:sz w:val="16"/>
                <w:szCs w:val="16"/>
              </w:rPr>
            </w:pPr>
            <w:r w:rsidRPr="00B94E5D">
              <w:rPr>
                <w:rFonts w:ascii="Arial" w:hAnsi="Arial" w:cs="Arial"/>
                <w:b/>
                <w:sz w:val="16"/>
                <w:szCs w:val="16"/>
              </w:rPr>
              <w:t>Year</w:t>
            </w:r>
          </w:p>
        </w:tc>
        <w:tc>
          <w:tcPr>
            <w:tcW w:w="2140" w:type="dxa"/>
            <w:tcBorders>
              <w:top w:val="double" w:sz="4" w:space="0" w:color="auto"/>
              <w:bottom w:val="single" w:sz="4" w:space="0" w:color="auto"/>
              <w:right w:val="single" w:sz="4" w:space="0" w:color="auto"/>
            </w:tcBorders>
          </w:tcPr>
          <w:p w14:paraId="4C5DD883" w14:textId="77777777" w:rsidR="00000153" w:rsidRPr="00B94E5D" w:rsidRDefault="00000153" w:rsidP="00BD72A9">
            <w:pPr>
              <w:tabs>
                <w:tab w:val="left" w:pos="709"/>
              </w:tabs>
              <w:spacing w:before="60" w:after="60" w:line="240" w:lineRule="auto"/>
              <w:rPr>
                <w:rFonts w:ascii="Arial" w:hAnsi="Arial" w:cs="Arial"/>
                <w:sz w:val="16"/>
                <w:szCs w:val="16"/>
              </w:rPr>
            </w:pPr>
            <w:r>
              <w:rPr>
                <w:rFonts w:ascii="Arial" w:hAnsi="Arial" w:cs="Arial"/>
                <w:b/>
                <w:sz w:val="16"/>
                <w:szCs w:val="16"/>
              </w:rPr>
              <w:t>Performance measure</w:t>
            </w:r>
          </w:p>
        </w:tc>
        <w:tc>
          <w:tcPr>
            <w:tcW w:w="4062" w:type="dxa"/>
            <w:tcBorders>
              <w:top w:val="double" w:sz="4" w:space="0" w:color="auto"/>
              <w:bottom w:val="single" w:sz="4" w:space="0" w:color="auto"/>
              <w:right w:val="single" w:sz="4" w:space="0" w:color="auto"/>
            </w:tcBorders>
          </w:tcPr>
          <w:p w14:paraId="4747E711" w14:textId="31F0C119" w:rsidR="00000153" w:rsidRPr="00B94E5D" w:rsidRDefault="00000153" w:rsidP="00BD72A9">
            <w:pPr>
              <w:spacing w:before="60" w:after="60" w:line="240" w:lineRule="auto"/>
              <w:ind w:right="-12"/>
              <w:rPr>
                <w:rFonts w:ascii="Arial" w:hAnsi="Arial" w:cs="Arial"/>
                <w:b/>
                <w:sz w:val="16"/>
                <w:szCs w:val="16"/>
              </w:rPr>
            </w:pPr>
            <w:r w:rsidRPr="00B94E5D">
              <w:rPr>
                <w:rFonts w:ascii="Arial" w:hAnsi="Arial" w:cs="Arial"/>
                <w:b/>
                <w:sz w:val="16"/>
                <w:szCs w:val="16"/>
              </w:rPr>
              <w:t>Target</w:t>
            </w:r>
            <w:r w:rsidR="002B4132">
              <w:rPr>
                <w:rFonts w:ascii="Arial" w:hAnsi="Arial" w:cs="Arial"/>
                <w:b/>
                <w:sz w:val="16"/>
                <w:szCs w:val="16"/>
              </w:rPr>
              <w:t xml:space="preserve"> </w:t>
            </w:r>
            <w:r w:rsidR="002B4132" w:rsidRPr="002B4132">
              <w:rPr>
                <w:rFonts w:ascii="Arial" w:hAnsi="Arial" w:cs="Arial"/>
                <w:b/>
                <w:sz w:val="16"/>
                <w:szCs w:val="16"/>
                <w:vertAlign w:val="superscript"/>
              </w:rPr>
              <w:t>(a)</w:t>
            </w:r>
          </w:p>
        </w:tc>
      </w:tr>
      <w:tr w:rsidR="00000153" w:rsidRPr="00B94E5D" w14:paraId="63695493" w14:textId="77777777" w:rsidTr="00CB6C26">
        <w:tc>
          <w:tcPr>
            <w:tcW w:w="1499" w:type="dxa"/>
            <w:tcBorders>
              <w:top w:val="single" w:sz="4" w:space="0" w:color="auto"/>
              <w:bottom w:val="nil"/>
              <w:right w:val="single" w:sz="4" w:space="0" w:color="auto"/>
            </w:tcBorders>
          </w:tcPr>
          <w:p w14:paraId="1DBAA449" w14:textId="77777777" w:rsidR="00000153" w:rsidRPr="00B94E5D" w:rsidRDefault="00000153" w:rsidP="00062FA6">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2021-22 and beyond</w:t>
            </w:r>
          </w:p>
        </w:tc>
        <w:tc>
          <w:tcPr>
            <w:tcW w:w="2140" w:type="dxa"/>
            <w:tcBorders>
              <w:top w:val="single" w:sz="4" w:space="0" w:color="auto"/>
              <w:left w:val="single" w:sz="4" w:space="0" w:color="auto"/>
              <w:bottom w:val="nil"/>
              <w:right w:val="single" w:sz="4" w:space="0" w:color="auto"/>
            </w:tcBorders>
          </w:tcPr>
          <w:p w14:paraId="1C3D3B4B" w14:textId="77777777" w:rsidR="00000153" w:rsidRPr="00B94E5D" w:rsidRDefault="00000153" w:rsidP="00062FA6">
            <w:pPr>
              <w:tabs>
                <w:tab w:val="left" w:pos="709"/>
              </w:tabs>
              <w:spacing w:before="60" w:after="60" w:line="240" w:lineRule="auto"/>
              <w:jc w:val="left"/>
              <w:rPr>
                <w:rFonts w:ascii="Arial" w:hAnsi="Arial" w:cs="Arial"/>
                <w:i/>
                <w:sz w:val="16"/>
                <w:szCs w:val="16"/>
              </w:rPr>
            </w:pPr>
            <w:r w:rsidRPr="00B94E5D">
              <w:rPr>
                <w:rFonts w:ascii="Arial" w:hAnsi="Arial" w:cs="Arial"/>
                <w:sz w:val="16"/>
                <w:szCs w:val="18"/>
              </w:rPr>
              <w:t>Implementation of Western Sydney International (Nancy-Bird Walton) Airport</w:t>
            </w:r>
          </w:p>
        </w:tc>
        <w:tc>
          <w:tcPr>
            <w:tcW w:w="4062" w:type="dxa"/>
            <w:tcBorders>
              <w:top w:val="single" w:sz="4" w:space="0" w:color="auto"/>
              <w:left w:val="single" w:sz="4" w:space="0" w:color="auto"/>
              <w:bottom w:val="nil"/>
            </w:tcBorders>
          </w:tcPr>
          <w:p w14:paraId="74187D9E" w14:textId="77777777" w:rsidR="00000153" w:rsidRPr="00B94E5D" w:rsidRDefault="00000153" w:rsidP="00062FA6">
            <w:pPr>
              <w:tabs>
                <w:tab w:val="left" w:pos="709"/>
              </w:tabs>
              <w:spacing w:before="60" w:after="60" w:line="240" w:lineRule="auto"/>
              <w:jc w:val="left"/>
              <w:rPr>
                <w:rFonts w:ascii="Arial" w:hAnsi="Arial" w:cs="Arial"/>
                <w:sz w:val="16"/>
                <w:szCs w:val="18"/>
              </w:rPr>
            </w:pPr>
            <w:r w:rsidRPr="00B94E5D">
              <w:rPr>
                <w:rFonts w:ascii="Arial" w:hAnsi="Arial" w:cs="Arial"/>
                <w:b/>
                <w:sz w:val="16"/>
                <w:szCs w:val="18"/>
              </w:rPr>
              <w:t xml:space="preserve">2021–22: </w:t>
            </w:r>
            <w:r w:rsidRPr="00B94E5D">
              <w:rPr>
                <w:rFonts w:ascii="Arial" w:hAnsi="Arial" w:cs="Arial"/>
                <w:sz w:val="16"/>
                <w:szCs w:val="18"/>
              </w:rPr>
              <w:t>Delivery milestones are met for 2021</w:t>
            </w:r>
            <w:r w:rsidRPr="00B94E5D">
              <w:rPr>
                <w:rFonts w:ascii="Arial" w:hAnsi="Arial" w:cs="Arial"/>
                <w:sz w:val="16"/>
                <w:szCs w:val="18"/>
              </w:rPr>
              <w:noBreakHyphen/>
              <w:t>22</w:t>
            </w:r>
          </w:p>
          <w:p w14:paraId="6A97FA47" w14:textId="77777777" w:rsidR="00000153" w:rsidRPr="00B94E5D" w:rsidRDefault="00000153" w:rsidP="00062FA6">
            <w:pPr>
              <w:tabs>
                <w:tab w:val="left" w:pos="709"/>
              </w:tabs>
              <w:spacing w:before="60" w:after="60" w:line="240" w:lineRule="auto"/>
              <w:jc w:val="left"/>
              <w:rPr>
                <w:rFonts w:ascii="Arial" w:hAnsi="Arial" w:cs="Arial"/>
                <w:b/>
                <w:sz w:val="16"/>
                <w:szCs w:val="16"/>
              </w:rPr>
            </w:pPr>
            <w:r w:rsidRPr="00B94E5D">
              <w:rPr>
                <w:rFonts w:ascii="Arial" w:hAnsi="Arial" w:cs="Arial"/>
                <w:b/>
                <w:sz w:val="16"/>
                <w:szCs w:val="18"/>
              </w:rPr>
              <w:t xml:space="preserve">2022–23 and beyond: </w:t>
            </w:r>
            <w:r w:rsidRPr="00B94E5D">
              <w:rPr>
                <w:rFonts w:ascii="Arial" w:hAnsi="Arial" w:cs="Arial"/>
                <w:sz w:val="16"/>
                <w:szCs w:val="18"/>
              </w:rPr>
              <w:t>Delivery milestones are met for the financial year</w:t>
            </w:r>
          </w:p>
        </w:tc>
      </w:tr>
      <w:tr w:rsidR="00000153" w:rsidRPr="00B94E5D" w14:paraId="28CEE5CF" w14:textId="77777777" w:rsidTr="003F36B4">
        <w:tc>
          <w:tcPr>
            <w:tcW w:w="1499" w:type="dxa"/>
            <w:tcBorders>
              <w:top w:val="nil"/>
              <w:bottom w:val="nil"/>
              <w:right w:val="single" w:sz="4" w:space="0" w:color="auto"/>
            </w:tcBorders>
          </w:tcPr>
          <w:p w14:paraId="5ADE82FD" w14:textId="77777777" w:rsidR="00000153" w:rsidRPr="00B94E5D" w:rsidRDefault="00000153" w:rsidP="00062FA6">
            <w:pPr>
              <w:tabs>
                <w:tab w:val="left" w:pos="709"/>
              </w:tabs>
              <w:spacing w:before="60" w:after="60" w:line="240" w:lineRule="auto"/>
              <w:jc w:val="left"/>
              <w:rPr>
                <w:rFonts w:ascii="Arial" w:hAnsi="Arial" w:cs="Arial"/>
                <w:sz w:val="16"/>
                <w:szCs w:val="16"/>
              </w:rPr>
            </w:pPr>
          </w:p>
        </w:tc>
        <w:tc>
          <w:tcPr>
            <w:tcW w:w="2140" w:type="dxa"/>
            <w:tcBorders>
              <w:top w:val="nil"/>
              <w:left w:val="single" w:sz="4" w:space="0" w:color="auto"/>
              <w:bottom w:val="nil"/>
              <w:right w:val="single" w:sz="4" w:space="0" w:color="auto"/>
            </w:tcBorders>
          </w:tcPr>
          <w:p w14:paraId="2553F9DB" w14:textId="77777777" w:rsidR="00000153" w:rsidRPr="00B94E5D" w:rsidRDefault="00000153" w:rsidP="00062FA6">
            <w:pPr>
              <w:tabs>
                <w:tab w:val="left" w:pos="709"/>
              </w:tabs>
              <w:spacing w:before="60" w:after="60" w:line="240" w:lineRule="auto"/>
              <w:jc w:val="left"/>
              <w:rPr>
                <w:rFonts w:ascii="Arial" w:hAnsi="Arial" w:cs="Arial"/>
                <w:i/>
                <w:sz w:val="16"/>
                <w:szCs w:val="16"/>
              </w:rPr>
            </w:pPr>
            <w:r w:rsidRPr="00B94E5D">
              <w:rPr>
                <w:rFonts w:ascii="Arial" w:hAnsi="Arial" w:cs="Arial"/>
                <w:sz w:val="16"/>
                <w:szCs w:val="18"/>
              </w:rPr>
              <w:t>Progress delivering regulatory framework for Western Sydney International airspace and environmental assessment</w:t>
            </w:r>
          </w:p>
        </w:tc>
        <w:tc>
          <w:tcPr>
            <w:tcW w:w="4062" w:type="dxa"/>
            <w:tcBorders>
              <w:top w:val="nil"/>
              <w:left w:val="single" w:sz="4" w:space="0" w:color="auto"/>
              <w:bottom w:val="nil"/>
            </w:tcBorders>
          </w:tcPr>
          <w:p w14:paraId="21A50726" w14:textId="77777777" w:rsidR="00000153" w:rsidRPr="00B94E5D" w:rsidRDefault="00000153" w:rsidP="00062FA6">
            <w:pPr>
              <w:tabs>
                <w:tab w:val="left" w:pos="709"/>
              </w:tabs>
              <w:spacing w:before="60" w:after="60" w:line="240" w:lineRule="auto"/>
              <w:jc w:val="left"/>
              <w:rPr>
                <w:rFonts w:ascii="Arial" w:hAnsi="Arial" w:cs="Arial"/>
                <w:sz w:val="16"/>
                <w:szCs w:val="18"/>
              </w:rPr>
            </w:pPr>
            <w:r w:rsidRPr="00B94E5D">
              <w:rPr>
                <w:rFonts w:ascii="Arial" w:hAnsi="Arial" w:cs="Arial"/>
                <w:b/>
                <w:sz w:val="16"/>
                <w:szCs w:val="18"/>
              </w:rPr>
              <w:t xml:space="preserve">2021–22: </w:t>
            </w:r>
            <w:r w:rsidRPr="00B94E5D">
              <w:rPr>
                <w:rFonts w:ascii="Arial" w:hAnsi="Arial" w:cs="Arial"/>
                <w:sz w:val="16"/>
                <w:szCs w:val="18"/>
              </w:rPr>
              <w:t>Delivery milestones are met for 2021</w:t>
            </w:r>
            <w:r w:rsidRPr="00B94E5D">
              <w:rPr>
                <w:rFonts w:ascii="Arial" w:hAnsi="Arial" w:cs="Arial"/>
                <w:sz w:val="16"/>
                <w:szCs w:val="18"/>
              </w:rPr>
              <w:noBreakHyphen/>
              <w:t>22</w:t>
            </w:r>
          </w:p>
          <w:p w14:paraId="5310064F" w14:textId="77777777" w:rsidR="00000153" w:rsidRPr="00B94E5D" w:rsidRDefault="00000153" w:rsidP="00062FA6">
            <w:pPr>
              <w:tabs>
                <w:tab w:val="left" w:pos="709"/>
              </w:tabs>
              <w:spacing w:before="60" w:after="60" w:line="240" w:lineRule="auto"/>
              <w:jc w:val="left"/>
              <w:rPr>
                <w:rFonts w:ascii="Arial" w:hAnsi="Arial" w:cs="Arial"/>
                <w:b/>
                <w:sz w:val="16"/>
                <w:szCs w:val="16"/>
              </w:rPr>
            </w:pPr>
            <w:r w:rsidRPr="00B94E5D">
              <w:rPr>
                <w:rFonts w:ascii="Arial" w:hAnsi="Arial" w:cs="Arial"/>
                <w:b/>
                <w:sz w:val="16"/>
                <w:szCs w:val="18"/>
              </w:rPr>
              <w:t xml:space="preserve">2022–23 and beyond: </w:t>
            </w:r>
            <w:r w:rsidRPr="00B94E5D">
              <w:rPr>
                <w:rFonts w:ascii="Arial" w:hAnsi="Arial" w:cs="Arial"/>
                <w:sz w:val="16"/>
                <w:szCs w:val="18"/>
              </w:rPr>
              <w:t>Forward targets to be set in future years</w:t>
            </w:r>
          </w:p>
        </w:tc>
      </w:tr>
      <w:tr w:rsidR="00000153" w:rsidRPr="00B94E5D" w14:paraId="35F31E28" w14:textId="77777777" w:rsidTr="003F36B4">
        <w:tc>
          <w:tcPr>
            <w:tcW w:w="1499" w:type="dxa"/>
            <w:tcBorders>
              <w:top w:val="nil"/>
              <w:bottom w:val="nil"/>
              <w:right w:val="single" w:sz="4" w:space="0" w:color="auto"/>
            </w:tcBorders>
          </w:tcPr>
          <w:p w14:paraId="2452F943" w14:textId="77777777" w:rsidR="00000153" w:rsidRPr="00B94E5D" w:rsidRDefault="00000153" w:rsidP="00062FA6">
            <w:pPr>
              <w:tabs>
                <w:tab w:val="left" w:pos="709"/>
              </w:tabs>
              <w:spacing w:before="60" w:after="60" w:line="240" w:lineRule="auto"/>
              <w:jc w:val="left"/>
              <w:rPr>
                <w:rFonts w:ascii="Arial" w:hAnsi="Arial" w:cs="Arial"/>
                <w:sz w:val="16"/>
                <w:szCs w:val="16"/>
              </w:rPr>
            </w:pPr>
          </w:p>
        </w:tc>
        <w:tc>
          <w:tcPr>
            <w:tcW w:w="2140" w:type="dxa"/>
            <w:tcBorders>
              <w:top w:val="nil"/>
              <w:left w:val="single" w:sz="4" w:space="0" w:color="auto"/>
              <w:bottom w:val="nil"/>
              <w:right w:val="single" w:sz="4" w:space="0" w:color="auto"/>
            </w:tcBorders>
          </w:tcPr>
          <w:p w14:paraId="1E31489F" w14:textId="77777777" w:rsidR="00000153" w:rsidRPr="00B94E5D" w:rsidRDefault="00000153" w:rsidP="00062FA6">
            <w:pPr>
              <w:tabs>
                <w:tab w:val="left" w:pos="709"/>
              </w:tabs>
              <w:spacing w:before="60" w:after="60" w:line="240" w:lineRule="auto"/>
              <w:jc w:val="left"/>
              <w:rPr>
                <w:rFonts w:ascii="Arial" w:hAnsi="Arial" w:cs="Arial"/>
                <w:i/>
                <w:sz w:val="16"/>
                <w:szCs w:val="16"/>
              </w:rPr>
            </w:pPr>
            <w:r w:rsidRPr="00B94E5D">
              <w:rPr>
                <w:rFonts w:ascii="Arial" w:hAnsi="Arial" w:cs="Arial"/>
                <w:sz w:val="16"/>
                <w:szCs w:val="18"/>
              </w:rPr>
              <w:t>Percentage of Master Plans and Major Development Plans processed for federally leased airports within statutory timeframes</w:t>
            </w:r>
          </w:p>
        </w:tc>
        <w:tc>
          <w:tcPr>
            <w:tcW w:w="4062" w:type="dxa"/>
            <w:tcBorders>
              <w:top w:val="nil"/>
              <w:left w:val="single" w:sz="4" w:space="0" w:color="auto"/>
              <w:bottom w:val="nil"/>
            </w:tcBorders>
          </w:tcPr>
          <w:p w14:paraId="63BBC7F6" w14:textId="77777777" w:rsidR="00000153" w:rsidRPr="00B94E5D" w:rsidRDefault="00000153" w:rsidP="00062FA6">
            <w:pPr>
              <w:tabs>
                <w:tab w:val="left" w:pos="709"/>
              </w:tabs>
              <w:spacing w:before="60" w:after="60" w:line="240" w:lineRule="auto"/>
              <w:jc w:val="left"/>
              <w:rPr>
                <w:rFonts w:ascii="Arial" w:hAnsi="Arial" w:cs="Arial"/>
                <w:b/>
                <w:sz w:val="16"/>
                <w:szCs w:val="16"/>
              </w:rPr>
            </w:pPr>
            <w:r w:rsidRPr="00B94E5D">
              <w:rPr>
                <w:rFonts w:ascii="Arial" w:hAnsi="Arial" w:cs="Arial"/>
                <w:b/>
                <w:sz w:val="16"/>
                <w:szCs w:val="18"/>
              </w:rPr>
              <w:t xml:space="preserve">2021–22 and beyond: </w:t>
            </w:r>
            <w:r w:rsidRPr="00B94E5D">
              <w:rPr>
                <w:rFonts w:ascii="Arial" w:hAnsi="Arial" w:cs="Arial"/>
                <w:sz w:val="16"/>
                <w:szCs w:val="18"/>
              </w:rPr>
              <w:t>100% in financial year</w:t>
            </w:r>
          </w:p>
        </w:tc>
      </w:tr>
      <w:tr w:rsidR="00000153" w:rsidRPr="00B94E5D" w14:paraId="3D30FB46" w14:textId="77777777" w:rsidTr="003F36B4">
        <w:tc>
          <w:tcPr>
            <w:tcW w:w="1499" w:type="dxa"/>
            <w:tcBorders>
              <w:top w:val="nil"/>
              <w:bottom w:val="nil"/>
              <w:right w:val="single" w:sz="4" w:space="0" w:color="auto"/>
            </w:tcBorders>
          </w:tcPr>
          <w:p w14:paraId="4AD8ACB0" w14:textId="1989C82D" w:rsidR="00000153" w:rsidRPr="00B94E5D" w:rsidRDefault="00000153" w:rsidP="00CC4A2B">
            <w:pPr>
              <w:tabs>
                <w:tab w:val="left" w:pos="709"/>
              </w:tabs>
              <w:spacing w:before="60" w:after="60" w:line="240" w:lineRule="auto"/>
              <w:jc w:val="left"/>
              <w:rPr>
                <w:rFonts w:ascii="Arial" w:hAnsi="Arial" w:cs="Arial"/>
                <w:sz w:val="16"/>
                <w:szCs w:val="16"/>
              </w:rPr>
            </w:pPr>
          </w:p>
        </w:tc>
        <w:tc>
          <w:tcPr>
            <w:tcW w:w="2140" w:type="dxa"/>
            <w:tcBorders>
              <w:top w:val="nil"/>
              <w:left w:val="single" w:sz="4" w:space="0" w:color="auto"/>
              <w:bottom w:val="nil"/>
              <w:right w:val="single" w:sz="4" w:space="0" w:color="auto"/>
            </w:tcBorders>
          </w:tcPr>
          <w:p w14:paraId="7565B2B4" w14:textId="77777777" w:rsidR="00000153" w:rsidRPr="00B94E5D" w:rsidRDefault="00000153" w:rsidP="004D30E6">
            <w:pPr>
              <w:tabs>
                <w:tab w:val="left" w:pos="709"/>
              </w:tabs>
              <w:spacing w:before="60" w:after="60" w:line="240" w:lineRule="auto"/>
              <w:jc w:val="left"/>
              <w:rPr>
                <w:rFonts w:ascii="Arial" w:hAnsi="Arial" w:cs="Arial"/>
                <w:sz w:val="16"/>
                <w:szCs w:val="18"/>
              </w:rPr>
            </w:pPr>
            <w:r w:rsidRPr="00B94E5D">
              <w:rPr>
                <w:rFonts w:ascii="Arial" w:hAnsi="Arial" w:cs="Arial"/>
                <w:sz w:val="16"/>
                <w:szCs w:val="18"/>
              </w:rPr>
              <w:t>Performance of the Domestic Aviation Network Support (DANS) and Regional Airline Network Support (RANS) programs, indicated through number of:</w:t>
            </w:r>
          </w:p>
          <w:p w14:paraId="59858A44" w14:textId="77777777" w:rsidR="00000153" w:rsidRPr="00B94E5D" w:rsidRDefault="00000153" w:rsidP="00F10ACD">
            <w:pPr>
              <w:pStyle w:val="ListParagraph"/>
              <w:numPr>
                <w:ilvl w:val="0"/>
                <w:numId w:val="28"/>
              </w:numPr>
              <w:spacing w:before="60" w:after="60" w:line="240" w:lineRule="auto"/>
              <w:rPr>
                <w:rFonts w:ascii="Arial" w:hAnsi="Arial" w:cs="Arial"/>
                <w:sz w:val="16"/>
                <w:szCs w:val="18"/>
              </w:rPr>
            </w:pPr>
            <w:r w:rsidRPr="00B94E5D">
              <w:rPr>
                <w:rFonts w:ascii="Arial" w:hAnsi="Arial" w:cs="Arial"/>
                <w:sz w:val="16"/>
                <w:szCs w:val="18"/>
              </w:rPr>
              <w:t>domestic commercial airlines receiving DANS or RANS support</w:t>
            </w:r>
          </w:p>
          <w:p w14:paraId="73163BAD" w14:textId="77777777" w:rsidR="00000153" w:rsidRPr="00B94E5D" w:rsidRDefault="00000153" w:rsidP="00F10ACD">
            <w:pPr>
              <w:pStyle w:val="ListParagraph"/>
              <w:numPr>
                <w:ilvl w:val="0"/>
                <w:numId w:val="28"/>
              </w:numPr>
              <w:spacing w:before="60" w:after="60" w:line="240" w:lineRule="auto"/>
              <w:rPr>
                <w:rFonts w:ascii="Arial" w:hAnsi="Arial" w:cs="Arial"/>
                <w:sz w:val="16"/>
                <w:szCs w:val="18"/>
              </w:rPr>
            </w:pPr>
            <w:r w:rsidRPr="00B94E5D">
              <w:rPr>
                <w:rFonts w:ascii="Arial" w:hAnsi="Arial" w:cs="Arial"/>
                <w:sz w:val="16"/>
                <w:szCs w:val="18"/>
              </w:rPr>
              <w:t>locations receiving DANS or RANS flights</w:t>
            </w:r>
          </w:p>
        </w:tc>
        <w:tc>
          <w:tcPr>
            <w:tcW w:w="4062" w:type="dxa"/>
            <w:tcBorders>
              <w:top w:val="nil"/>
              <w:left w:val="single" w:sz="4" w:space="0" w:color="auto"/>
              <w:bottom w:val="nil"/>
            </w:tcBorders>
          </w:tcPr>
          <w:p w14:paraId="36FC480C" w14:textId="77777777" w:rsidR="00000153" w:rsidRPr="00B94E5D" w:rsidRDefault="00000153" w:rsidP="004D30E6">
            <w:pPr>
              <w:tabs>
                <w:tab w:val="left" w:pos="709"/>
              </w:tabs>
              <w:spacing w:before="60" w:after="60" w:line="240" w:lineRule="auto"/>
              <w:jc w:val="left"/>
              <w:rPr>
                <w:rFonts w:ascii="Arial" w:hAnsi="Arial" w:cs="Arial"/>
                <w:sz w:val="16"/>
                <w:szCs w:val="18"/>
              </w:rPr>
            </w:pPr>
            <w:r w:rsidRPr="00B94E5D">
              <w:rPr>
                <w:rFonts w:ascii="Arial" w:hAnsi="Arial" w:cs="Arial"/>
                <w:b/>
                <w:sz w:val="16"/>
                <w:szCs w:val="18"/>
              </w:rPr>
              <w:t xml:space="preserve">2021–22: </w:t>
            </w:r>
            <w:r w:rsidRPr="00B94E5D">
              <w:rPr>
                <w:rFonts w:ascii="Arial" w:hAnsi="Arial" w:cs="Arial"/>
                <w:sz w:val="16"/>
                <w:szCs w:val="18"/>
              </w:rPr>
              <w:t>No target. DANS and RANS operate as a safety net, with the number of flights supported dependent on how quickly the aviation industry recovers from COVID 19</w:t>
            </w:r>
            <w:r>
              <w:rPr>
                <w:rFonts w:ascii="Arial" w:hAnsi="Arial" w:cs="Arial"/>
                <w:sz w:val="16"/>
                <w:szCs w:val="18"/>
              </w:rPr>
              <w:t>.</w:t>
            </w:r>
          </w:p>
          <w:p w14:paraId="0764B2EE" w14:textId="38191E1A" w:rsidR="00000153" w:rsidRPr="00B94E5D" w:rsidRDefault="00000153" w:rsidP="004D30E6">
            <w:pPr>
              <w:tabs>
                <w:tab w:val="left" w:pos="709"/>
              </w:tabs>
              <w:spacing w:before="60" w:after="60" w:line="240" w:lineRule="auto"/>
              <w:jc w:val="left"/>
              <w:rPr>
                <w:rFonts w:ascii="Arial" w:hAnsi="Arial" w:cs="Arial"/>
                <w:i/>
                <w:sz w:val="16"/>
                <w:szCs w:val="16"/>
              </w:rPr>
            </w:pPr>
            <w:r w:rsidRPr="00B94E5D">
              <w:rPr>
                <w:rFonts w:ascii="Arial" w:hAnsi="Arial" w:cs="Arial"/>
                <w:b/>
                <w:sz w:val="16"/>
                <w:szCs w:val="18"/>
              </w:rPr>
              <w:t xml:space="preserve">2022–23 and beyond: </w:t>
            </w:r>
            <w:r w:rsidRPr="00B94E5D">
              <w:rPr>
                <w:rFonts w:ascii="Arial" w:hAnsi="Arial" w:cs="Arial"/>
                <w:sz w:val="16"/>
                <w:szCs w:val="18"/>
              </w:rPr>
              <w:t xml:space="preserve">No target. </w:t>
            </w:r>
            <w:r w:rsidR="00CC4A2B" w:rsidRPr="00B94E5D">
              <w:rPr>
                <w:rFonts w:ascii="Arial" w:hAnsi="Arial" w:cs="Arial"/>
                <w:sz w:val="16"/>
                <w:szCs w:val="18"/>
              </w:rPr>
              <w:t xml:space="preserve">DANS scheduled to end on </w:t>
            </w:r>
            <w:r w:rsidR="00CC4A2B" w:rsidRPr="00457241">
              <w:rPr>
                <w:rFonts w:ascii="Arial" w:hAnsi="Arial" w:cs="Arial"/>
                <w:i/>
                <w:sz w:val="16"/>
                <w:szCs w:val="18"/>
              </w:rPr>
              <w:t>31 December 2021. RANS extended to 31 March 2022</w:t>
            </w:r>
          </w:p>
        </w:tc>
      </w:tr>
      <w:tr w:rsidR="00000153" w:rsidRPr="00B94E5D" w14:paraId="379C8FDF" w14:textId="77777777" w:rsidTr="00CB6C26">
        <w:tc>
          <w:tcPr>
            <w:tcW w:w="1499" w:type="dxa"/>
            <w:tcBorders>
              <w:top w:val="nil"/>
              <w:bottom w:val="nil"/>
              <w:right w:val="single" w:sz="4" w:space="0" w:color="auto"/>
            </w:tcBorders>
          </w:tcPr>
          <w:p w14:paraId="1B2489B8" w14:textId="77777777" w:rsidR="00000153" w:rsidRPr="00B94E5D" w:rsidRDefault="00000153" w:rsidP="004D30E6">
            <w:pPr>
              <w:tabs>
                <w:tab w:val="left" w:pos="709"/>
              </w:tabs>
              <w:spacing w:before="60" w:after="60" w:line="240" w:lineRule="auto"/>
              <w:jc w:val="left"/>
              <w:rPr>
                <w:rFonts w:ascii="Arial" w:hAnsi="Arial" w:cs="Arial"/>
                <w:sz w:val="16"/>
                <w:szCs w:val="16"/>
              </w:rPr>
            </w:pPr>
          </w:p>
        </w:tc>
        <w:tc>
          <w:tcPr>
            <w:tcW w:w="2140" w:type="dxa"/>
            <w:tcBorders>
              <w:top w:val="nil"/>
              <w:left w:val="single" w:sz="4" w:space="0" w:color="auto"/>
              <w:bottom w:val="nil"/>
              <w:right w:val="single" w:sz="4" w:space="0" w:color="auto"/>
            </w:tcBorders>
          </w:tcPr>
          <w:p w14:paraId="63C410CA" w14:textId="77777777" w:rsidR="00000153" w:rsidRPr="00B94E5D" w:rsidRDefault="00000153" w:rsidP="004D30E6">
            <w:pPr>
              <w:tabs>
                <w:tab w:val="left" w:pos="709"/>
              </w:tabs>
              <w:spacing w:before="60" w:after="60" w:line="240" w:lineRule="auto"/>
              <w:jc w:val="left"/>
              <w:rPr>
                <w:rFonts w:ascii="Arial" w:hAnsi="Arial" w:cs="Arial"/>
                <w:sz w:val="16"/>
                <w:szCs w:val="18"/>
              </w:rPr>
            </w:pPr>
            <w:r w:rsidRPr="00B94E5D">
              <w:rPr>
                <w:rFonts w:ascii="Arial" w:hAnsi="Arial" w:cs="Arial"/>
                <w:sz w:val="16"/>
                <w:szCs w:val="18"/>
              </w:rPr>
              <w:t>Performance of the Regional Airports Program (RAP) and the Remote Airstrip Upgrade (RAU) program, indicated through number of completed projects:</w:t>
            </w:r>
          </w:p>
          <w:p w14:paraId="73C4F104" w14:textId="77777777" w:rsidR="00000153" w:rsidRPr="00B94E5D" w:rsidRDefault="00000153" w:rsidP="00F10ACD">
            <w:pPr>
              <w:pStyle w:val="ListParagraph"/>
              <w:numPr>
                <w:ilvl w:val="0"/>
                <w:numId w:val="27"/>
              </w:numPr>
              <w:spacing w:before="60" w:after="60" w:line="240" w:lineRule="auto"/>
              <w:rPr>
                <w:rFonts w:ascii="Arial" w:hAnsi="Arial" w:cs="Arial"/>
                <w:sz w:val="16"/>
                <w:szCs w:val="18"/>
              </w:rPr>
            </w:pPr>
            <w:r w:rsidRPr="00B94E5D">
              <w:rPr>
                <w:rFonts w:ascii="Arial" w:hAnsi="Arial" w:cs="Arial"/>
                <w:sz w:val="16"/>
                <w:szCs w:val="18"/>
              </w:rPr>
              <w:t>in regional Australia (RAP)</w:t>
            </w:r>
          </w:p>
          <w:p w14:paraId="655F2C46" w14:textId="77777777" w:rsidR="00000153" w:rsidRPr="00B94E5D" w:rsidRDefault="00000153" w:rsidP="00F10ACD">
            <w:pPr>
              <w:pStyle w:val="ListParagraph"/>
              <w:numPr>
                <w:ilvl w:val="0"/>
                <w:numId w:val="27"/>
              </w:numPr>
              <w:spacing w:before="60" w:after="60" w:line="240" w:lineRule="auto"/>
              <w:rPr>
                <w:rFonts w:ascii="Arial" w:hAnsi="Arial" w:cs="Arial"/>
                <w:sz w:val="16"/>
                <w:szCs w:val="18"/>
              </w:rPr>
            </w:pPr>
            <w:r w:rsidRPr="00B94E5D">
              <w:rPr>
                <w:rFonts w:ascii="Arial" w:hAnsi="Arial" w:cs="Arial"/>
                <w:sz w:val="16"/>
                <w:szCs w:val="18"/>
              </w:rPr>
              <w:t>in remote Australia (RAU)</w:t>
            </w:r>
          </w:p>
        </w:tc>
        <w:tc>
          <w:tcPr>
            <w:tcW w:w="4062" w:type="dxa"/>
            <w:tcBorders>
              <w:top w:val="nil"/>
              <w:left w:val="single" w:sz="4" w:space="0" w:color="auto"/>
              <w:bottom w:val="nil"/>
            </w:tcBorders>
          </w:tcPr>
          <w:p w14:paraId="641D2B8F" w14:textId="77777777" w:rsidR="00CC4A2B" w:rsidRPr="00CC4A2B" w:rsidRDefault="00CC4A2B" w:rsidP="00CC4A2B">
            <w:pPr>
              <w:tabs>
                <w:tab w:val="left" w:pos="709"/>
              </w:tabs>
              <w:spacing w:before="60" w:after="60" w:line="240" w:lineRule="auto"/>
              <w:jc w:val="left"/>
              <w:rPr>
                <w:rFonts w:ascii="Arial" w:hAnsi="Arial" w:cs="Arial"/>
                <w:b/>
                <w:i/>
                <w:sz w:val="16"/>
                <w:szCs w:val="18"/>
              </w:rPr>
            </w:pPr>
            <w:r w:rsidRPr="00CC4A2B">
              <w:rPr>
                <w:rFonts w:ascii="Arial" w:hAnsi="Arial" w:cs="Arial"/>
                <w:b/>
                <w:i/>
                <w:sz w:val="16"/>
                <w:szCs w:val="18"/>
              </w:rPr>
              <w:t xml:space="preserve">2021–22 and beyond: </w:t>
            </w:r>
          </w:p>
          <w:p w14:paraId="4E1CEDAE" w14:textId="77777777" w:rsidR="00CC4A2B" w:rsidRPr="00CC4A2B" w:rsidRDefault="00CC4A2B" w:rsidP="00CC4A2B">
            <w:pPr>
              <w:tabs>
                <w:tab w:val="left" w:pos="709"/>
              </w:tabs>
              <w:spacing w:before="60" w:after="60" w:line="240" w:lineRule="auto"/>
              <w:jc w:val="left"/>
              <w:rPr>
                <w:rFonts w:ascii="Arial" w:hAnsi="Arial" w:cs="Arial"/>
                <w:i/>
                <w:sz w:val="16"/>
                <w:szCs w:val="18"/>
              </w:rPr>
            </w:pPr>
            <w:r w:rsidRPr="00CC4A2B">
              <w:rPr>
                <w:rFonts w:ascii="Arial" w:hAnsi="Arial" w:cs="Arial"/>
                <w:i/>
                <w:sz w:val="16"/>
                <w:szCs w:val="18"/>
              </w:rPr>
              <w:t xml:space="preserve">a) 100% of RAP projects with funding agreements in place are completed by 30 June 2025, with a third round of RAP grants to be offered on a competitive basis in 2022. </w:t>
            </w:r>
          </w:p>
          <w:p w14:paraId="1B12B453" w14:textId="46D71928" w:rsidR="00000153" w:rsidRPr="00B94E5D" w:rsidRDefault="00CC4A2B" w:rsidP="00CC4A2B">
            <w:pPr>
              <w:tabs>
                <w:tab w:val="left" w:pos="709"/>
              </w:tabs>
              <w:spacing w:before="60" w:after="60" w:line="240" w:lineRule="auto"/>
              <w:jc w:val="left"/>
              <w:rPr>
                <w:rFonts w:ascii="Arial" w:hAnsi="Arial" w:cs="Arial"/>
                <w:i/>
                <w:sz w:val="16"/>
                <w:szCs w:val="16"/>
              </w:rPr>
            </w:pPr>
            <w:r w:rsidRPr="00CC4A2B">
              <w:rPr>
                <w:rFonts w:ascii="Arial" w:hAnsi="Arial" w:cs="Arial"/>
                <w:i/>
                <w:sz w:val="16"/>
                <w:szCs w:val="18"/>
              </w:rPr>
              <w:t>b) 100% of RAU projects with funding agreements in place are completed by 30 June 2024, with a ninth round of RAU grants to be offered on a competitive basis in 2022.</w:t>
            </w:r>
          </w:p>
        </w:tc>
      </w:tr>
      <w:tr w:rsidR="00000153" w:rsidRPr="00B94E5D" w14:paraId="376D5ABB" w14:textId="77777777" w:rsidTr="003F36B4">
        <w:tc>
          <w:tcPr>
            <w:tcW w:w="1499" w:type="dxa"/>
            <w:tcBorders>
              <w:top w:val="nil"/>
              <w:bottom w:val="nil"/>
              <w:right w:val="single" w:sz="4" w:space="0" w:color="auto"/>
            </w:tcBorders>
          </w:tcPr>
          <w:p w14:paraId="0C482EF0" w14:textId="77777777" w:rsidR="00000153" w:rsidRPr="00B94E5D" w:rsidRDefault="00000153" w:rsidP="004D30E6">
            <w:pPr>
              <w:tabs>
                <w:tab w:val="left" w:pos="709"/>
              </w:tabs>
              <w:spacing w:before="60" w:after="60" w:line="240" w:lineRule="auto"/>
              <w:jc w:val="left"/>
              <w:rPr>
                <w:rFonts w:ascii="Arial" w:hAnsi="Arial" w:cs="Arial"/>
                <w:sz w:val="16"/>
                <w:szCs w:val="16"/>
              </w:rPr>
            </w:pPr>
          </w:p>
        </w:tc>
        <w:tc>
          <w:tcPr>
            <w:tcW w:w="2140" w:type="dxa"/>
            <w:tcBorders>
              <w:top w:val="nil"/>
              <w:left w:val="single" w:sz="4" w:space="0" w:color="auto"/>
              <w:bottom w:val="nil"/>
              <w:right w:val="single" w:sz="4" w:space="0" w:color="auto"/>
            </w:tcBorders>
          </w:tcPr>
          <w:p w14:paraId="483D6742" w14:textId="77777777" w:rsidR="00000153" w:rsidRPr="00B94E5D" w:rsidRDefault="00000153" w:rsidP="004D30E6">
            <w:pPr>
              <w:tabs>
                <w:tab w:val="left" w:pos="709"/>
              </w:tabs>
              <w:spacing w:before="60" w:after="60" w:line="240" w:lineRule="auto"/>
              <w:jc w:val="left"/>
              <w:rPr>
                <w:rFonts w:ascii="Arial" w:hAnsi="Arial" w:cs="Arial"/>
                <w:i/>
                <w:sz w:val="16"/>
                <w:szCs w:val="16"/>
              </w:rPr>
            </w:pPr>
            <w:r w:rsidRPr="00B94E5D">
              <w:rPr>
                <w:rFonts w:ascii="Arial" w:hAnsi="Arial" w:cs="Arial"/>
                <w:sz w:val="16"/>
                <w:szCs w:val="18"/>
              </w:rPr>
              <w:t>Performance of the Remote Air Services Subsidy (RASS) Scheme, indicated through the number of ports included in the regular “mail plane” service</w:t>
            </w:r>
          </w:p>
        </w:tc>
        <w:tc>
          <w:tcPr>
            <w:tcW w:w="4062" w:type="dxa"/>
            <w:tcBorders>
              <w:top w:val="nil"/>
              <w:left w:val="single" w:sz="4" w:space="0" w:color="auto"/>
              <w:bottom w:val="nil"/>
            </w:tcBorders>
          </w:tcPr>
          <w:p w14:paraId="76AF200C" w14:textId="77777777" w:rsidR="00000153" w:rsidRPr="00B94E5D" w:rsidRDefault="00000153" w:rsidP="004D30E6">
            <w:pPr>
              <w:tabs>
                <w:tab w:val="left" w:pos="709"/>
              </w:tabs>
              <w:spacing w:before="60" w:after="60" w:line="240" w:lineRule="auto"/>
              <w:jc w:val="left"/>
              <w:rPr>
                <w:rFonts w:ascii="Arial" w:hAnsi="Arial" w:cs="Arial"/>
                <w:i/>
                <w:sz w:val="16"/>
                <w:szCs w:val="16"/>
              </w:rPr>
            </w:pPr>
            <w:r w:rsidRPr="00B94E5D">
              <w:rPr>
                <w:rFonts w:ascii="Arial" w:hAnsi="Arial" w:cs="Arial"/>
                <w:b/>
                <w:sz w:val="16"/>
                <w:szCs w:val="18"/>
              </w:rPr>
              <w:t xml:space="preserve">2021–22 and beyond: </w:t>
            </w:r>
            <w:r w:rsidRPr="00B94E5D">
              <w:rPr>
                <w:rFonts w:ascii="Arial" w:hAnsi="Arial" w:cs="Arial"/>
                <w:sz w:val="16"/>
                <w:szCs w:val="18"/>
              </w:rPr>
              <w:t>No target. Communities can apply for admission to the RASS Scheme at any time</w:t>
            </w:r>
            <w:r>
              <w:rPr>
                <w:rFonts w:ascii="Arial" w:hAnsi="Arial" w:cs="Arial"/>
                <w:sz w:val="16"/>
                <w:szCs w:val="18"/>
              </w:rPr>
              <w:t>.</w:t>
            </w:r>
          </w:p>
        </w:tc>
      </w:tr>
      <w:tr w:rsidR="00000153" w:rsidRPr="00B94E5D" w14:paraId="1B1BF6B8" w14:textId="77777777" w:rsidTr="003F36B4">
        <w:tc>
          <w:tcPr>
            <w:tcW w:w="1499" w:type="dxa"/>
            <w:tcBorders>
              <w:top w:val="nil"/>
              <w:bottom w:val="single" w:sz="4" w:space="0" w:color="auto"/>
              <w:right w:val="single" w:sz="4" w:space="0" w:color="auto"/>
            </w:tcBorders>
          </w:tcPr>
          <w:p w14:paraId="793E80D6" w14:textId="77777777" w:rsidR="00000153" w:rsidRPr="00B94E5D" w:rsidRDefault="00000153" w:rsidP="004D30E6">
            <w:pPr>
              <w:tabs>
                <w:tab w:val="left" w:pos="709"/>
              </w:tabs>
              <w:spacing w:before="60" w:after="60" w:line="240" w:lineRule="auto"/>
              <w:jc w:val="left"/>
              <w:rPr>
                <w:rFonts w:ascii="Arial" w:hAnsi="Arial" w:cs="Arial"/>
                <w:sz w:val="16"/>
                <w:szCs w:val="16"/>
              </w:rPr>
            </w:pPr>
          </w:p>
        </w:tc>
        <w:tc>
          <w:tcPr>
            <w:tcW w:w="2140" w:type="dxa"/>
            <w:tcBorders>
              <w:top w:val="nil"/>
              <w:left w:val="single" w:sz="4" w:space="0" w:color="auto"/>
              <w:bottom w:val="single" w:sz="4" w:space="0" w:color="auto"/>
              <w:right w:val="single" w:sz="4" w:space="0" w:color="auto"/>
            </w:tcBorders>
          </w:tcPr>
          <w:p w14:paraId="6DE187D4" w14:textId="77777777" w:rsidR="00000153" w:rsidRPr="00B94E5D" w:rsidRDefault="00000153" w:rsidP="004D30E6">
            <w:pPr>
              <w:tabs>
                <w:tab w:val="left" w:pos="709"/>
              </w:tabs>
              <w:spacing w:before="60" w:after="60" w:line="240" w:lineRule="auto"/>
              <w:jc w:val="left"/>
              <w:rPr>
                <w:rFonts w:ascii="Arial" w:hAnsi="Arial" w:cs="Arial"/>
                <w:i/>
                <w:sz w:val="16"/>
                <w:szCs w:val="16"/>
              </w:rPr>
            </w:pPr>
            <w:r w:rsidRPr="00B94E5D">
              <w:rPr>
                <w:rFonts w:ascii="Arial" w:hAnsi="Arial" w:cs="Arial"/>
                <w:sz w:val="16"/>
                <w:szCs w:val="18"/>
              </w:rPr>
              <w:t>Effectiveness of international engagement on aviation matters</w:t>
            </w:r>
          </w:p>
        </w:tc>
        <w:tc>
          <w:tcPr>
            <w:tcW w:w="4062" w:type="dxa"/>
            <w:tcBorders>
              <w:top w:val="nil"/>
              <w:left w:val="single" w:sz="4" w:space="0" w:color="auto"/>
              <w:bottom w:val="single" w:sz="4" w:space="0" w:color="auto"/>
            </w:tcBorders>
          </w:tcPr>
          <w:p w14:paraId="0024B40D" w14:textId="77777777" w:rsidR="00000153" w:rsidRPr="00B94E5D" w:rsidRDefault="00000153" w:rsidP="004D30E6">
            <w:pPr>
              <w:tabs>
                <w:tab w:val="left" w:pos="709"/>
              </w:tabs>
              <w:spacing w:before="60" w:after="60" w:line="240" w:lineRule="auto"/>
              <w:jc w:val="left"/>
              <w:rPr>
                <w:rFonts w:ascii="Arial" w:hAnsi="Arial" w:cs="Arial"/>
                <w:i/>
                <w:sz w:val="16"/>
                <w:szCs w:val="16"/>
              </w:rPr>
            </w:pPr>
            <w:r w:rsidRPr="00B94E5D">
              <w:rPr>
                <w:rFonts w:ascii="Arial" w:hAnsi="Arial" w:cs="Arial"/>
                <w:b/>
                <w:sz w:val="16"/>
                <w:szCs w:val="18"/>
              </w:rPr>
              <w:t xml:space="preserve">2021–22 and beyond: </w:t>
            </w:r>
            <w:r w:rsidRPr="00B94E5D">
              <w:rPr>
                <w:rFonts w:ascii="Arial" w:hAnsi="Arial" w:cs="Arial"/>
                <w:sz w:val="16"/>
                <w:szCs w:val="18"/>
              </w:rPr>
              <w:t>In financial year, outcomes achieved in line with the negotiation mandate agreed by the Australian Government</w:t>
            </w:r>
            <w:r>
              <w:rPr>
                <w:rFonts w:ascii="Arial" w:hAnsi="Arial" w:cs="Arial"/>
                <w:sz w:val="16"/>
                <w:szCs w:val="18"/>
              </w:rPr>
              <w:t>.</w:t>
            </w:r>
          </w:p>
        </w:tc>
      </w:tr>
    </w:tbl>
    <w:p w14:paraId="49273A8F" w14:textId="77777777" w:rsidR="003F36B4" w:rsidRDefault="003F36B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2104"/>
        <w:gridCol w:w="3950"/>
      </w:tblGrid>
      <w:tr w:rsidR="003F36B4" w:rsidRPr="00B94E5D" w14:paraId="45A2719B" w14:textId="77777777" w:rsidTr="00C55547">
        <w:trPr>
          <w:trHeight w:val="165"/>
        </w:trPr>
        <w:tc>
          <w:tcPr>
            <w:tcW w:w="1499" w:type="dxa"/>
            <w:tcBorders>
              <w:top w:val="double" w:sz="4" w:space="0" w:color="auto"/>
              <w:bottom w:val="single" w:sz="4" w:space="0" w:color="auto"/>
              <w:right w:val="single" w:sz="4" w:space="0" w:color="auto"/>
            </w:tcBorders>
          </w:tcPr>
          <w:p w14:paraId="0D13FF03" w14:textId="50899508" w:rsidR="003F36B4" w:rsidRPr="00B94E5D" w:rsidRDefault="003F36B4" w:rsidP="00C55547">
            <w:pPr>
              <w:tabs>
                <w:tab w:val="left" w:pos="709"/>
              </w:tabs>
              <w:spacing w:before="60" w:after="60" w:line="240" w:lineRule="auto"/>
              <w:rPr>
                <w:rFonts w:ascii="Arial" w:hAnsi="Arial" w:cs="Arial"/>
                <w:sz w:val="16"/>
                <w:szCs w:val="16"/>
              </w:rPr>
            </w:pPr>
            <w:r w:rsidRPr="00B94E5D">
              <w:rPr>
                <w:rFonts w:ascii="Arial" w:hAnsi="Arial" w:cs="Arial"/>
                <w:b/>
                <w:sz w:val="16"/>
                <w:szCs w:val="16"/>
              </w:rPr>
              <w:lastRenderedPageBreak/>
              <w:t>Year</w:t>
            </w:r>
          </w:p>
        </w:tc>
        <w:tc>
          <w:tcPr>
            <w:tcW w:w="2140" w:type="dxa"/>
            <w:tcBorders>
              <w:top w:val="double" w:sz="4" w:space="0" w:color="auto"/>
              <w:bottom w:val="single" w:sz="4" w:space="0" w:color="auto"/>
              <w:right w:val="single" w:sz="4" w:space="0" w:color="auto"/>
            </w:tcBorders>
          </w:tcPr>
          <w:p w14:paraId="532ADC26" w14:textId="77777777" w:rsidR="003F36B4" w:rsidRPr="00B94E5D" w:rsidRDefault="003F36B4" w:rsidP="00C55547">
            <w:pPr>
              <w:tabs>
                <w:tab w:val="left" w:pos="709"/>
              </w:tabs>
              <w:spacing w:before="60" w:after="60" w:line="240" w:lineRule="auto"/>
              <w:rPr>
                <w:rFonts w:ascii="Arial" w:hAnsi="Arial" w:cs="Arial"/>
                <w:sz w:val="16"/>
                <w:szCs w:val="16"/>
              </w:rPr>
            </w:pPr>
            <w:r>
              <w:rPr>
                <w:rFonts w:ascii="Arial" w:hAnsi="Arial" w:cs="Arial"/>
                <w:b/>
                <w:sz w:val="16"/>
                <w:szCs w:val="16"/>
              </w:rPr>
              <w:t>Performance measure</w:t>
            </w:r>
          </w:p>
        </w:tc>
        <w:tc>
          <w:tcPr>
            <w:tcW w:w="4062" w:type="dxa"/>
            <w:tcBorders>
              <w:top w:val="double" w:sz="4" w:space="0" w:color="auto"/>
              <w:bottom w:val="single" w:sz="4" w:space="0" w:color="auto"/>
              <w:right w:val="single" w:sz="4" w:space="0" w:color="auto"/>
            </w:tcBorders>
          </w:tcPr>
          <w:p w14:paraId="2E4C7147" w14:textId="77777777" w:rsidR="003F36B4" w:rsidRPr="00B94E5D" w:rsidRDefault="003F36B4" w:rsidP="00C55547">
            <w:pPr>
              <w:spacing w:before="60" w:after="60" w:line="240" w:lineRule="auto"/>
              <w:ind w:right="-12"/>
              <w:rPr>
                <w:rFonts w:ascii="Arial" w:hAnsi="Arial" w:cs="Arial"/>
                <w:b/>
                <w:sz w:val="16"/>
                <w:szCs w:val="16"/>
              </w:rPr>
            </w:pPr>
            <w:r w:rsidRPr="00B94E5D">
              <w:rPr>
                <w:rFonts w:ascii="Arial" w:hAnsi="Arial" w:cs="Arial"/>
                <w:b/>
                <w:sz w:val="16"/>
                <w:szCs w:val="16"/>
              </w:rPr>
              <w:t>Target</w:t>
            </w:r>
            <w:r>
              <w:rPr>
                <w:rFonts w:ascii="Arial" w:hAnsi="Arial" w:cs="Arial"/>
                <w:b/>
                <w:sz w:val="16"/>
                <w:szCs w:val="16"/>
              </w:rPr>
              <w:t xml:space="preserve"> </w:t>
            </w:r>
            <w:r w:rsidRPr="002B4132">
              <w:rPr>
                <w:rFonts w:ascii="Arial" w:hAnsi="Arial" w:cs="Arial"/>
                <w:b/>
                <w:sz w:val="16"/>
                <w:szCs w:val="16"/>
                <w:vertAlign w:val="superscript"/>
              </w:rPr>
              <w:t>(a)</w:t>
            </w:r>
          </w:p>
        </w:tc>
      </w:tr>
      <w:tr w:rsidR="00000153" w:rsidRPr="00B94E5D" w14:paraId="60D90D79" w14:textId="77777777" w:rsidTr="00CB6C26">
        <w:tc>
          <w:tcPr>
            <w:tcW w:w="1499" w:type="dxa"/>
            <w:tcBorders>
              <w:top w:val="nil"/>
              <w:bottom w:val="nil"/>
              <w:right w:val="single" w:sz="4" w:space="0" w:color="auto"/>
            </w:tcBorders>
          </w:tcPr>
          <w:p w14:paraId="1AD4B9D4" w14:textId="55D118A0" w:rsidR="00000153" w:rsidRPr="00B94E5D" w:rsidRDefault="003F36B4" w:rsidP="004D30E6">
            <w:pPr>
              <w:tabs>
                <w:tab w:val="left" w:pos="709"/>
              </w:tabs>
              <w:spacing w:before="60" w:after="60" w:line="240" w:lineRule="auto"/>
              <w:jc w:val="left"/>
              <w:rPr>
                <w:rFonts w:ascii="Arial" w:hAnsi="Arial" w:cs="Arial"/>
                <w:sz w:val="16"/>
                <w:szCs w:val="16"/>
              </w:rPr>
            </w:pPr>
            <w:r>
              <w:rPr>
                <w:rFonts w:ascii="Arial" w:hAnsi="Arial" w:cs="Arial"/>
                <w:sz w:val="16"/>
                <w:szCs w:val="16"/>
              </w:rPr>
              <w:t>2021-22 and beyond continued</w:t>
            </w:r>
          </w:p>
        </w:tc>
        <w:tc>
          <w:tcPr>
            <w:tcW w:w="2140" w:type="dxa"/>
            <w:tcBorders>
              <w:top w:val="nil"/>
              <w:left w:val="single" w:sz="4" w:space="0" w:color="auto"/>
              <w:bottom w:val="nil"/>
              <w:right w:val="single" w:sz="4" w:space="0" w:color="auto"/>
            </w:tcBorders>
          </w:tcPr>
          <w:p w14:paraId="6DE9B8BA" w14:textId="77777777" w:rsidR="00000153" w:rsidRPr="00B94E5D" w:rsidRDefault="00000153" w:rsidP="004D30E6">
            <w:pPr>
              <w:tabs>
                <w:tab w:val="left" w:pos="709"/>
              </w:tabs>
              <w:spacing w:before="60" w:after="60" w:line="240" w:lineRule="auto"/>
              <w:jc w:val="left"/>
              <w:rPr>
                <w:rFonts w:ascii="Arial" w:hAnsi="Arial" w:cs="Arial"/>
                <w:i/>
                <w:sz w:val="16"/>
                <w:szCs w:val="16"/>
              </w:rPr>
            </w:pPr>
            <w:r w:rsidRPr="00B94E5D">
              <w:rPr>
                <w:rFonts w:ascii="Arial" w:hAnsi="Arial" w:cs="Arial"/>
                <w:sz w:val="16"/>
                <w:szCs w:val="18"/>
              </w:rPr>
              <w:t>Domestic CO2 emissions and rate of emissions: aviation (per passenger kilometre)</w:t>
            </w:r>
          </w:p>
        </w:tc>
        <w:tc>
          <w:tcPr>
            <w:tcW w:w="4062" w:type="dxa"/>
            <w:tcBorders>
              <w:top w:val="nil"/>
              <w:left w:val="single" w:sz="4" w:space="0" w:color="auto"/>
              <w:bottom w:val="nil"/>
            </w:tcBorders>
          </w:tcPr>
          <w:p w14:paraId="3A60B90C" w14:textId="77777777" w:rsidR="00000153" w:rsidRPr="00B94E5D" w:rsidRDefault="00000153" w:rsidP="004D30E6">
            <w:pPr>
              <w:tabs>
                <w:tab w:val="left" w:pos="709"/>
              </w:tabs>
              <w:spacing w:before="60" w:after="60" w:line="240" w:lineRule="auto"/>
              <w:jc w:val="left"/>
              <w:rPr>
                <w:rFonts w:ascii="Arial" w:hAnsi="Arial" w:cs="Arial"/>
                <w:sz w:val="16"/>
                <w:szCs w:val="18"/>
              </w:rPr>
            </w:pPr>
            <w:r w:rsidRPr="00B94E5D">
              <w:rPr>
                <w:rFonts w:ascii="Arial" w:hAnsi="Arial" w:cs="Arial"/>
                <w:b/>
                <w:sz w:val="16"/>
                <w:szCs w:val="18"/>
              </w:rPr>
              <w:t xml:space="preserve">2021–22 and beyond: </w:t>
            </w:r>
            <w:r w:rsidRPr="00B94E5D">
              <w:rPr>
                <w:rFonts w:ascii="Arial" w:hAnsi="Arial" w:cs="Arial"/>
                <w:sz w:val="16"/>
                <w:szCs w:val="18"/>
              </w:rPr>
              <w:t>No target. Annual target setting not appropriate, results sought are long term</w:t>
            </w:r>
          </w:p>
          <w:p w14:paraId="2BA7D668" w14:textId="77777777" w:rsidR="00000153" w:rsidRPr="00B94E5D" w:rsidRDefault="00000153" w:rsidP="004D30E6">
            <w:pPr>
              <w:tabs>
                <w:tab w:val="left" w:pos="709"/>
              </w:tabs>
              <w:spacing w:before="60" w:after="60" w:line="240" w:lineRule="auto"/>
              <w:jc w:val="left"/>
              <w:rPr>
                <w:rFonts w:ascii="Arial" w:hAnsi="Arial" w:cs="Arial"/>
                <w:i/>
                <w:sz w:val="16"/>
                <w:szCs w:val="16"/>
              </w:rPr>
            </w:pPr>
            <w:r w:rsidRPr="00B94E5D">
              <w:rPr>
                <w:rFonts w:ascii="Arial" w:hAnsi="Arial" w:cs="Arial"/>
                <w:sz w:val="16"/>
                <w:szCs w:val="18"/>
              </w:rPr>
              <w:t>The Australian Government has committed to reducing greenhouse gas emissions (including outside the transport sector) by 26% to 28% below 2005 levels by 2030</w:t>
            </w:r>
            <w:r>
              <w:rPr>
                <w:rFonts w:ascii="Arial" w:hAnsi="Arial" w:cs="Arial"/>
                <w:sz w:val="16"/>
                <w:szCs w:val="18"/>
              </w:rPr>
              <w:t>.</w:t>
            </w:r>
          </w:p>
        </w:tc>
      </w:tr>
      <w:tr w:rsidR="00000153" w:rsidRPr="00B94E5D" w14:paraId="62D4B435" w14:textId="77777777" w:rsidTr="00CB6C26">
        <w:tc>
          <w:tcPr>
            <w:tcW w:w="1499" w:type="dxa"/>
            <w:tcBorders>
              <w:top w:val="nil"/>
              <w:bottom w:val="single" w:sz="4" w:space="0" w:color="auto"/>
              <w:right w:val="single" w:sz="4" w:space="0" w:color="auto"/>
            </w:tcBorders>
          </w:tcPr>
          <w:p w14:paraId="01E6D5EB" w14:textId="77777777" w:rsidR="00000153" w:rsidRPr="00B94E5D" w:rsidRDefault="00000153" w:rsidP="00BD72A9">
            <w:pPr>
              <w:tabs>
                <w:tab w:val="left" w:pos="709"/>
              </w:tabs>
              <w:spacing w:before="60" w:after="60" w:line="240" w:lineRule="auto"/>
              <w:rPr>
                <w:rFonts w:ascii="Arial" w:hAnsi="Arial" w:cs="Arial"/>
                <w:sz w:val="16"/>
                <w:szCs w:val="16"/>
              </w:rPr>
            </w:pPr>
          </w:p>
        </w:tc>
        <w:tc>
          <w:tcPr>
            <w:tcW w:w="2140" w:type="dxa"/>
            <w:tcBorders>
              <w:top w:val="nil"/>
              <w:left w:val="single" w:sz="4" w:space="0" w:color="auto"/>
              <w:bottom w:val="single" w:sz="4" w:space="0" w:color="auto"/>
              <w:right w:val="single" w:sz="4" w:space="0" w:color="auto"/>
            </w:tcBorders>
          </w:tcPr>
          <w:p w14:paraId="0FA94E9F" w14:textId="77777777" w:rsidR="00000153" w:rsidRPr="00B94E5D" w:rsidRDefault="00000153" w:rsidP="004D30E6">
            <w:pPr>
              <w:tabs>
                <w:tab w:val="left" w:pos="709"/>
              </w:tabs>
              <w:spacing w:before="60" w:after="60" w:line="240" w:lineRule="auto"/>
              <w:jc w:val="left"/>
              <w:rPr>
                <w:rFonts w:ascii="Arial" w:hAnsi="Arial" w:cs="Arial"/>
                <w:i/>
                <w:sz w:val="16"/>
                <w:szCs w:val="16"/>
              </w:rPr>
            </w:pPr>
            <w:r w:rsidRPr="00B94E5D">
              <w:rPr>
                <w:rFonts w:ascii="Arial" w:hAnsi="Arial" w:cs="Arial"/>
                <w:sz w:val="16"/>
                <w:szCs w:val="18"/>
              </w:rPr>
              <w:t>Number of fatalities and fatality rate per 100,000 population: aviation</w:t>
            </w:r>
          </w:p>
        </w:tc>
        <w:tc>
          <w:tcPr>
            <w:tcW w:w="4062" w:type="dxa"/>
            <w:tcBorders>
              <w:top w:val="nil"/>
              <w:left w:val="single" w:sz="4" w:space="0" w:color="auto"/>
              <w:bottom w:val="single" w:sz="4" w:space="0" w:color="auto"/>
            </w:tcBorders>
          </w:tcPr>
          <w:p w14:paraId="6D39F0B8" w14:textId="77777777" w:rsidR="00000153" w:rsidRPr="00B94E5D" w:rsidRDefault="00000153" w:rsidP="004D30E6">
            <w:pPr>
              <w:tabs>
                <w:tab w:val="left" w:pos="709"/>
              </w:tabs>
              <w:spacing w:before="60" w:after="60" w:line="240" w:lineRule="auto"/>
              <w:jc w:val="left"/>
              <w:rPr>
                <w:rFonts w:ascii="Arial" w:hAnsi="Arial" w:cs="Arial"/>
                <w:i/>
                <w:sz w:val="16"/>
                <w:szCs w:val="16"/>
              </w:rPr>
            </w:pPr>
            <w:r w:rsidRPr="00B94E5D">
              <w:rPr>
                <w:rFonts w:ascii="Arial" w:hAnsi="Arial" w:cs="Arial"/>
                <w:b/>
                <w:sz w:val="16"/>
                <w:szCs w:val="18"/>
              </w:rPr>
              <w:t xml:space="preserve">2021–22 and beyond: </w:t>
            </w:r>
            <w:r w:rsidRPr="00B94E5D">
              <w:rPr>
                <w:rFonts w:ascii="Arial" w:hAnsi="Arial" w:cs="Arial"/>
                <w:sz w:val="16"/>
                <w:szCs w:val="18"/>
              </w:rPr>
              <w:t>No target. Annual target setting not appropriate, results sought are long term</w:t>
            </w:r>
          </w:p>
        </w:tc>
      </w:tr>
    </w:tbl>
    <w:p w14:paraId="72411841" w14:textId="77777777" w:rsidR="00000153" w:rsidRPr="00950281" w:rsidRDefault="00000153" w:rsidP="00F10ACD">
      <w:pPr>
        <w:pStyle w:val="ChartandTableFootnoteAlpha"/>
        <w:numPr>
          <w:ilvl w:val="0"/>
          <w:numId w:val="47"/>
        </w:numPr>
        <w:tabs>
          <w:tab w:val="clear" w:pos="397"/>
        </w:tabs>
        <w:spacing w:before="60"/>
        <w:ind w:left="284" w:hanging="284"/>
        <w:jc w:val="left"/>
      </w:pPr>
      <w:r>
        <w:t xml:space="preserve">New or modified performance measure that reflect new or materially changed programs are shown in </w:t>
      </w:r>
      <w:r w:rsidRPr="008E5BB7">
        <w:t>italics</w:t>
      </w:r>
      <w:r>
        <w:t xml:space="preserve">. </w:t>
      </w:r>
    </w:p>
    <w:p w14:paraId="22D1E02C" w14:textId="12523DA9" w:rsidR="00000153" w:rsidRDefault="00000153" w:rsidP="00000153">
      <w:pPr>
        <w:pStyle w:val="Heading3DITRDC"/>
      </w:pPr>
      <w:r>
        <w:br w:type="page"/>
      </w:r>
      <w:bookmarkStart w:id="307" w:name="_Toc92992115"/>
      <w:bookmarkStart w:id="308" w:name="_Toc93405040"/>
      <w:bookmarkStart w:id="309" w:name="_Toc94854646"/>
      <w:r>
        <w:lastRenderedPageBreak/>
        <w:t>2.</w:t>
      </w:r>
      <w:r>
        <w:rPr>
          <w:lang w:val="en-AU"/>
        </w:rPr>
        <w:t>4</w:t>
      </w:r>
      <w:r>
        <w:tab/>
        <w:t>Budgeted expenses and performance for Outcome 3</w:t>
      </w:r>
      <w:bookmarkEnd w:id="307"/>
      <w:bookmarkEnd w:id="308"/>
      <w:bookmarkEnd w:id="309"/>
    </w:p>
    <w:tbl>
      <w:tblPr>
        <w:tblW w:w="487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344"/>
      </w:tblGrid>
      <w:tr w:rsidR="00000153" w:rsidRPr="005E6F2B" w14:paraId="3C95E40D" w14:textId="77777777" w:rsidTr="000B042E">
        <w:tc>
          <w:tcPr>
            <w:tcW w:w="7510" w:type="dxa"/>
            <w:shd w:val="clear" w:color="auto" w:fill="E6E6E6"/>
          </w:tcPr>
          <w:p w14:paraId="6891CDED" w14:textId="77777777" w:rsidR="00000153" w:rsidRPr="005E6F2B" w:rsidRDefault="00000153" w:rsidP="00BD72A9">
            <w:pPr>
              <w:pStyle w:val="TableColumnHeadingLeft"/>
              <w:jc w:val="left"/>
            </w:pPr>
            <w:r w:rsidRPr="00F862B3">
              <w:rPr>
                <w:sz w:val="20"/>
              </w:rPr>
              <w:t xml:space="preserve">Outcome </w:t>
            </w:r>
            <w:r>
              <w:rPr>
                <w:sz w:val="20"/>
              </w:rPr>
              <w:t>3</w:t>
            </w:r>
            <w:r w:rsidRPr="00F862B3">
              <w:rPr>
                <w:sz w:val="20"/>
              </w:rPr>
              <w:t xml:space="preserve">: </w:t>
            </w:r>
            <w:r w:rsidRPr="00842923">
              <w:rPr>
                <w:sz w:val="20"/>
              </w:rPr>
              <w:t>Strengthening the sustainability, capacity and diversity of Australia’s cities and regions including through facilitating local partnerships between all levels of government and local communities; through investment in water infrastructure and measures that stimulate economic growth; and providing grants and financial assistance</w:t>
            </w:r>
          </w:p>
        </w:tc>
      </w:tr>
    </w:tbl>
    <w:p w14:paraId="765BE22D" w14:textId="77777777" w:rsidR="00000153" w:rsidRDefault="00000153" w:rsidP="00141374">
      <w:pPr>
        <w:pStyle w:val="Heading4"/>
        <w:spacing w:before="120"/>
      </w:pPr>
      <w:r w:rsidRPr="00F862B3">
        <w:rPr>
          <w:sz w:val="22"/>
          <w:szCs w:val="22"/>
        </w:rPr>
        <w:t>Linked programs</w:t>
      </w:r>
      <w:r w:rsidRPr="005E6F2B">
        <w:t xml:space="preserve"> </w:t>
      </w:r>
    </w:p>
    <w:p w14:paraId="40315782" w14:textId="249C16EA" w:rsidR="00141374" w:rsidRDefault="00CF68FA" w:rsidP="001B658B">
      <w:pPr>
        <w:jc w:val="left"/>
      </w:pPr>
      <w:r w:rsidRPr="00950281">
        <w:t>Th</w:t>
      </w:r>
      <w:r>
        <w:t>e</w:t>
      </w:r>
      <w:r w:rsidR="00141374">
        <w:t xml:space="preserve">re is one change to the </w:t>
      </w:r>
      <w:r>
        <w:t>linked programs for this outcome</w:t>
      </w:r>
      <w:r w:rsidR="009F58FE">
        <w:t xml:space="preserve"> from that published in the </w:t>
      </w:r>
      <w:r w:rsidR="00360023">
        <w:t xml:space="preserve">2021-22 </w:t>
      </w:r>
      <w:r w:rsidR="009F58FE">
        <w:t xml:space="preserve">Infrastructure, Transport, Regional Development and </w:t>
      </w:r>
      <w:r w:rsidR="006A053E">
        <w:t>Communications</w:t>
      </w:r>
      <w:r w:rsidR="009F58FE">
        <w:t xml:space="preserve"> PB</w:t>
      </w:r>
      <w:r w:rsidR="00360023">
        <w:t> </w:t>
      </w:r>
      <w:r w:rsidR="009F58FE">
        <w:t>Statements</w:t>
      </w:r>
      <w:r w:rsidR="00141374">
        <w:t>,</w:t>
      </w:r>
      <w:r w:rsidR="009F58FE">
        <w:t xml:space="preserve"> </w:t>
      </w:r>
      <w:r w:rsidR="00141374">
        <w:t xml:space="preserve">with the removal of the linkage to the </w:t>
      </w:r>
      <w:r w:rsidR="008863D9">
        <w:t>Department</w:t>
      </w:r>
      <w:r w:rsidR="00141374">
        <w:t xml:space="preserve"> of Industry, Science, </w:t>
      </w:r>
      <w:r w:rsidR="006A053E">
        <w:t>Energy</w:t>
      </w:r>
      <w:r w:rsidR="00141374">
        <w:t xml:space="preserve"> and Resources’ Program 1.2: Growing </w:t>
      </w:r>
      <w:r w:rsidR="00CB6C26">
        <w:t>innovative and competitive busi</w:t>
      </w:r>
      <w:r w:rsidR="000672C0">
        <w:t>n</w:t>
      </w:r>
      <w:r w:rsidR="00CB6C26">
        <w:t>e</w:t>
      </w:r>
      <w:r w:rsidR="000672C0">
        <w:t xml:space="preserve">sses, industries and regions. </w:t>
      </w:r>
      <w:r w:rsidR="00141374">
        <w:t xml:space="preserve">This has been removed following </w:t>
      </w:r>
      <w:r w:rsidR="009F58FE">
        <w:t xml:space="preserve">the Administrative Arrangement Order </w:t>
      </w:r>
      <w:r w:rsidR="00737002">
        <w:t>change</w:t>
      </w:r>
      <w:r w:rsidR="00CB6C26">
        <w:t xml:space="preserve"> of 2 July 2021</w:t>
      </w:r>
      <w:r w:rsidR="00737002">
        <w:t xml:space="preserve"> transferring responsibility for </w:t>
      </w:r>
      <w:r w:rsidR="00141374">
        <w:t xml:space="preserve">Northern Australia policy from the </w:t>
      </w:r>
      <w:r w:rsidR="008863D9">
        <w:t>Department</w:t>
      </w:r>
      <w:r w:rsidR="00141374">
        <w:t xml:space="preserve"> of Industry, Science, Energy and Resources to the </w:t>
      </w:r>
      <w:r w:rsidR="008863D9">
        <w:t>Department</w:t>
      </w:r>
      <w:r w:rsidR="00141374">
        <w:t xml:space="preserve">. </w:t>
      </w:r>
    </w:p>
    <w:p w14:paraId="3E169249" w14:textId="4DEBB8C2" w:rsidR="00000153" w:rsidRPr="00446612" w:rsidRDefault="00000153" w:rsidP="00000153">
      <w:pPr>
        <w:pStyle w:val="Heading5"/>
      </w:pPr>
      <w:r w:rsidRPr="00446612">
        <w:t xml:space="preserve">Budgeted expenses for Outcome </w:t>
      </w:r>
      <w:r>
        <w:rPr>
          <w:lang w:val="en-AU"/>
        </w:rPr>
        <w:t>3</w:t>
      </w:r>
    </w:p>
    <w:p w14:paraId="02F6CDB2" w14:textId="25EE1FD0" w:rsidR="00000153" w:rsidRDefault="00000153" w:rsidP="00141374">
      <w:pPr>
        <w:jc w:val="left"/>
      </w:pPr>
      <w:r w:rsidRPr="00950281">
        <w:t xml:space="preserve">This table shows how much the </w:t>
      </w:r>
      <w:r w:rsidR="001B658B">
        <w:t>Department</w:t>
      </w:r>
      <w:r w:rsidRPr="00950281">
        <w:t xml:space="preserve"> intends to spend (on an accrual basis) on achieving the outcome, broken down by program, as well as by Administered and </w:t>
      </w:r>
      <w:r w:rsidR="008863D9">
        <w:t>Department</w:t>
      </w:r>
      <w:r w:rsidRPr="00950281">
        <w:t xml:space="preserve">al funding sources. </w:t>
      </w:r>
    </w:p>
    <w:p w14:paraId="513DCA9A" w14:textId="124D20E3" w:rsidR="00000153" w:rsidRDefault="00000153" w:rsidP="00000153">
      <w:pPr>
        <w:pStyle w:val="TableHeading"/>
        <w:rPr>
          <w:lang w:val="en-AU"/>
        </w:rPr>
      </w:pPr>
      <w:r w:rsidRPr="008F77A2">
        <w:t>Table 2.</w:t>
      </w:r>
      <w:r>
        <w:rPr>
          <w:lang w:val="en-AU"/>
        </w:rPr>
        <w:t>4</w:t>
      </w:r>
      <w:r w:rsidRPr="008F77A2">
        <w:rPr>
          <w:lang w:val="en-AU"/>
        </w:rPr>
        <w:t>.</w:t>
      </w:r>
      <w:r w:rsidRPr="008F77A2">
        <w:t>1 Budgeted expenses</w:t>
      </w:r>
      <w:r w:rsidRPr="008F77A2">
        <w:rPr>
          <w:lang w:val="en-AU"/>
        </w:rPr>
        <w:t xml:space="preserve"> for</w:t>
      </w:r>
      <w:r w:rsidRPr="008F77A2">
        <w:t xml:space="preserve"> Outcome </w:t>
      </w:r>
      <w:r w:rsidRPr="008F77A2">
        <w:rPr>
          <w:lang w:val="en-AU"/>
        </w:rPr>
        <w:t>3</w:t>
      </w:r>
    </w:p>
    <w:tbl>
      <w:tblPr>
        <w:tblW w:w="0" w:type="auto"/>
        <w:tblLayout w:type="fixed"/>
        <w:tblLook w:val="04A0" w:firstRow="1" w:lastRow="0" w:firstColumn="1" w:lastColumn="0" w:noHBand="0" w:noVBand="1"/>
      </w:tblPr>
      <w:tblGrid>
        <w:gridCol w:w="2835"/>
        <w:gridCol w:w="928"/>
        <w:gridCol w:w="977"/>
        <w:gridCol w:w="930"/>
        <w:gridCol w:w="977"/>
        <w:gridCol w:w="979"/>
      </w:tblGrid>
      <w:tr w:rsidR="00E34CEC" w:rsidRPr="003B6296" w14:paraId="1FCA90E0" w14:textId="77777777" w:rsidTr="001B658B">
        <w:trPr>
          <w:trHeight w:val="563"/>
        </w:trPr>
        <w:tc>
          <w:tcPr>
            <w:tcW w:w="2835" w:type="dxa"/>
            <w:tcBorders>
              <w:top w:val="single" w:sz="4" w:space="0" w:color="auto"/>
              <w:left w:val="nil"/>
              <w:right w:val="nil"/>
            </w:tcBorders>
            <w:shd w:val="clear" w:color="auto" w:fill="auto"/>
            <w:noWrap/>
            <w:vAlign w:val="bottom"/>
            <w:hideMark/>
          </w:tcPr>
          <w:p w14:paraId="3A765D9B" w14:textId="77777777" w:rsidR="00E34CEC" w:rsidRPr="003B6296" w:rsidRDefault="00E34CEC" w:rsidP="00E34CEC">
            <w:pPr>
              <w:spacing w:after="0" w:line="240" w:lineRule="auto"/>
              <w:jc w:val="left"/>
              <w:rPr>
                <w:rFonts w:ascii="Arial" w:hAnsi="Arial" w:cs="Arial"/>
                <w:sz w:val="16"/>
                <w:szCs w:val="16"/>
              </w:rPr>
            </w:pPr>
            <w:r w:rsidRPr="003B6296">
              <w:rPr>
                <w:rFonts w:ascii="Arial" w:hAnsi="Arial" w:cs="Arial"/>
                <w:sz w:val="16"/>
                <w:szCs w:val="16"/>
              </w:rPr>
              <w:t> </w:t>
            </w:r>
          </w:p>
        </w:tc>
        <w:tc>
          <w:tcPr>
            <w:tcW w:w="928" w:type="dxa"/>
            <w:tcBorders>
              <w:top w:val="single" w:sz="4" w:space="0" w:color="auto"/>
              <w:left w:val="nil"/>
              <w:right w:val="nil"/>
            </w:tcBorders>
            <w:shd w:val="clear" w:color="auto" w:fill="auto"/>
            <w:vAlign w:val="bottom"/>
            <w:hideMark/>
          </w:tcPr>
          <w:p w14:paraId="69F1D162" w14:textId="136A2466" w:rsidR="00E34CEC" w:rsidRPr="003B6296"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77" w:type="dxa"/>
            <w:tcBorders>
              <w:top w:val="single" w:sz="4" w:space="0" w:color="auto"/>
              <w:left w:val="nil"/>
              <w:right w:val="nil"/>
            </w:tcBorders>
            <w:shd w:val="clear" w:color="000000" w:fill="E6E6E6"/>
            <w:vAlign w:val="bottom"/>
            <w:hideMark/>
          </w:tcPr>
          <w:p w14:paraId="7CFA80C7" w14:textId="120E498C" w:rsidR="00E34CEC" w:rsidRPr="003B6296"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30" w:type="dxa"/>
            <w:tcBorders>
              <w:top w:val="single" w:sz="4" w:space="0" w:color="auto"/>
              <w:left w:val="nil"/>
              <w:right w:val="nil"/>
            </w:tcBorders>
            <w:shd w:val="clear" w:color="auto" w:fill="auto"/>
            <w:vAlign w:val="bottom"/>
            <w:hideMark/>
          </w:tcPr>
          <w:p w14:paraId="312B4CE0" w14:textId="2857241F" w:rsidR="00E34CEC" w:rsidRPr="003B6296"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77" w:type="dxa"/>
            <w:tcBorders>
              <w:top w:val="single" w:sz="4" w:space="0" w:color="auto"/>
              <w:left w:val="nil"/>
              <w:right w:val="nil"/>
            </w:tcBorders>
            <w:shd w:val="clear" w:color="auto" w:fill="auto"/>
            <w:vAlign w:val="bottom"/>
            <w:hideMark/>
          </w:tcPr>
          <w:p w14:paraId="65310D82" w14:textId="62CD1196" w:rsidR="00E34CEC" w:rsidRPr="003B6296"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79" w:type="dxa"/>
            <w:tcBorders>
              <w:top w:val="single" w:sz="4" w:space="0" w:color="auto"/>
              <w:left w:val="nil"/>
              <w:right w:val="nil"/>
            </w:tcBorders>
            <w:shd w:val="clear" w:color="auto" w:fill="auto"/>
            <w:vAlign w:val="bottom"/>
            <w:hideMark/>
          </w:tcPr>
          <w:p w14:paraId="25E00FCA" w14:textId="613ABA68" w:rsidR="00E34CEC" w:rsidRPr="003B6296"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CB6C26" w:rsidRPr="003B6296" w14:paraId="0AEE3A02" w14:textId="77777777" w:rsidTr="001B658B">
        <w:trPr>
          <w:trHeight w:val="204"/>
        </w:trPr>
        <w:tc>
          <w:tcPr>
            <w:tcW w:w="7626" w:type="dxa"/>
            <w:gridSpan w:val="6"/>
            <w:tcBorders>
              <w:top w:val="single" w:sz="4" w:space="0" w:color="auto"/>
              <w:left w:val="nil"/>
              <w:bottom w:val="single" w:sz="4" w:space="0" w:color="auto"/>
              <w:right w:val="nil"/>
            </w:tcBorders>
            <w:shd w:val="clear" w:color="000000" w:fill="E6E6E6"/>
            <w:noWrap/>
            <w:hideMark/>
          </w:tcPr>
          <w:p w14:paraId="30496681" w14:textId="6FB559A4" w:rsidR="00CB6C26" w:rsidRPr="003B6296" w:rsidRDefault="00CB6C26" w:rsidP="00CB6C26">
            <w:pPr>
              <w:spacing w:after="0" w:line="240" w:lineRule="auto"/>
              <w:jc w:val="left"/>
              <w:rPr>
                <w:rFonts w:ascii="Arial" w:hAnsi="Arial" w:cs="Arial"/>
                <w:sz w:val="16"/>
                <w:szCs w:val="16"/>
              </w:rPr>
            </w:pPr>
            <w:r w:rsidRPr="003B6296">
              <w:rPr>
                <w:rFonts w:ascii="Arial" w:hAnsi="Arial" w:cs="Arial"/>
                <w:b/>
                <w:bCs/>
                <w:sz w:val="16"/>
                <w:szCs w:val="16"/>
              </w:rPr>
              <w:t>Program 3.1: Regional development</w:t>
            </w:r>
            <w:r w:rsidRPr="003B6296">
              <w:rPr>
                <w:rFonts w:ascii="Arial" w:hAnsi="Arial" w:cs="Arial"/>
                <w:sz w:val="16"/>
                <w:szCs w:val="16"/>
              </w:rPr>
              <w:t> </w:t>
            </w:r>
          </w:p>
        </w:tc>
      </w:tr>
      <w:tr w:rsidR="003B6296" w:rsidRPr="003B6296" w14:paraId="6AA33A4E" w14:textId="77777777" w:rsidTr="00117108">
        <w:trPr>
          <w:trHeight w:val="204"/>
        </w:trPr>
        <w:tc>
          <w:tcPr>
            <w:tcW w:w="2835" w:type="dxa"/>
            <w:tcBorders>
              <w:top w:val="nil"/>
              <w:left w:val="nil"/>
              <w:bottom w:val="nil"/>
              <w:right w:val="nil"/>
            </w:tcBorders>
            <w:shd w:val="clear" w:color="auto" w:fill="auto"/>
            <w:noWrap/>
            <w:vAlign w:val="bottom"/>
            <w:hideMark/>
          </w:tcPr>
          <w:p w14:paraId="70341BB7" w14:textId="77777777" w:rsidR="003B6296" w:rsidRPr="00117108" w:rsidRDefault="003B6296" w:rsidP="003B6296">
            <w:pPr>
              <w:spacing w:after="0" w:line="240" w:lineRule="auto"/>
              <w:jc w:val="left"/>
              <w:rPr>
                <w:rFonts w:ascii="Arial" w:hAnsi="Arial" w:cs="Arial"/>
                <w:sz w:val="16"/>
                <w:szCs w:val="16"/>
              </w:rPr>
            </w:pPr>
            <w:r w:rsidRPr="00117108">
              <w:rPr>
                <w:rFonts w:ascii="Arial" w:hAnsi="Arial" w:cs="Arial"/>
                <w:sz w:val="16"/>
                <w:szCs w:val="16"/>
              </w:rPr>
              <w:t>Administered expenses</w:t>
            </w:r>
          </w:p>
        </w:tc>
        <w:tc>
          <w:tcPr>
            <w:tcW w:w="928" w:type="dxa"/>
            <w:tcBorders>
              <w:top w:val="nil"/>
              <w:left w:val="nil"/>
              <w:bottom w:val="nil"/>
              <w:right w:val="nil"/>
            </w:tcBorders>
            <w:shd w:val="clear" w:color="auto" w:fill="auto"/>
            <w:noWrap/>
            <w:vAlign w:val="bottom"/>
            <w:hideMark/>
          </w:tcPr>
          <w:p w14:paraId="1A183624" w14:textId="77777777" w:rsidR="003B6296" w:rsidRPr="00117108" w:rsidRDefault="003B6296" w:rsidP="00457670">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2DE1C3E4" w14:textId="00E3E72C" w:rsidR="003B6296" w:rsidRPr="00117108" w:rsidRDefault="003B6296" w:rsidP="00457670">
            <w:pPr>
              <w:spacing w:after="0" w:line="240" w:lineRule="auto"/>
              <w:jc w:val="right"/>
              <w:rPr>
                <w:rFonts w:ascii="Arial" w:hAnsi="Arial" w:cs="Arial"/>
                <w:sz w:val="16"/>
                <w:szCs w:val="16"/>
              </w:rPr>
            </w:pPr>
          </w:p>
        </w:tc>
        <w:tc>
          <w:tcPr>
            <w:tcW w:w="930" w:type="dxa"/>
            <w:tcBorders>
              <w:top w:val="nil"/>
              <w:left w:val="nil"/>
              <w:bottom w:val="nil"/>
              <w:right w:val="nil"/>
            </w:tcBorders>
            <w:shd w:val="clear" w:color="auto" w:fill="auto"/>
            <w:noWrap/>
            <w:vAlign w:val="bottom"/>
            <w:hideMark/>
          </w:tcPr>
          <w:p w14:paraId="4924E03D" w14:textId="77777777" w:rsidR="003B6296" w:rsidRPr="00117108" w:rsidRDefault="003B6296" w:rsidP="00457670">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26BB58E8" w14:textId="77777777" w:rsidR="003B6296" w:rsidRPr="00117108" w:rsidRDefault="003B6296" w:rsidP="00457670">
            <w:pPr>
              <w:spacing w:after="0" w:line="240" w:lineRule="auto"/>
              <w:jc w:val="right"/>
              <w:rPr>
                <w:rFonts w:ascii="Times New Roman" w:hAnsi="Times New Roman"/>
                <w:sz w:val="16"/>
                <w:szCs w:val="16"/>
              </w:rPr>
            </w:pPr>
          </w:p>
        </w:tc>
        <w:tc>
          <w:tcPr>
            <w:tcW w:w="979" w:type="dxa"/>
            <w:tcBorders>
              <w:top w:val="nil"/>
              <w:left w:val="nil"/>
              <w:bottom w:val="nil"/>
              <w:right w:val="nil"/>
            </w:tcBorders>
            <w:shd w:val="clear" w:color="auto" w:fill="auto"/>
            <w:noWrap/>
            <w:vAlign w:val="bottom"/>
            <w:hideMark/>
          </w:tcPr>
          <w:p w14:paraId="7C4E8076" w14:textId="77777777" w:rsidR="003B6296" w:rsidRPr="00117108" w:rsidRDefault="003B6296" w:rsidP="00457670">
            <w:pPr>
              <w:spacing w:after="0" w:line="240" w:lineRule="auto"/>
              <w:jc w:val="right"/>
              <w:rPr>
                <w:rFonts w:ascii="Times New Roman" w:hAnsi="Times New Roman"/>
                <w:sz w:val="16"/>
                <w:szCs w:val="16"/>
              </w:rPr>
            </w:pPr>
          </w:p>
        </w:tc>
      </w:tr>
      <w:tr w:rsidR="00F10ACD" w:rsidRPr="003B6296" w14:paraId="561DAA80" w14:textId="77777777" w:rsidTr="00117108">
        <w:trPr>
          <w:trHeight w:val="204"/>
        </w:trPr>
        <w:tc>
          <w:tcPr>
            <w:tcW w:w="2835" w:type="dxa"/>
            <w:tcBorders>
              <w:top w:val="nil"/>
              <w:left w:val="nil"/>
              <w:bottom w:val="nil"/>
              <w:right w:val="nil"/>
            </w:tcBorders>
            <w:shd w:val="clear" w:color="auto" w:fill="auto"/>
            <w:vAlign w:val="bottom"/>
            <w:hideMark/>
          </w:tcPr>
          <w:p w14:paraId="1300C3E4" w14:textId="77777777"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Ordinary Annual Services (Appropriation Act No. 1 and Bill No. 3)</w:t>
            </w:r>
          </w:p>
        </w:tc>
        <w:tc>
          <w:tcPr>
            <w:tcW w:w="928" w:type="dxa"/>
            <w:tcBorders>
              <w:top w:val="nil"/>
              <w:left w:val="nil"/>
              <w:bottom w:val="nil"/>
              <w:right w:val="nil"/>
            </w:tcBorders>
            <w:shd w:val="clear" w:color="auto" w:fill="auto"/>
            <w:noWrap/>
            <w:vAlign w:val="bottom"/>
            <w:hideMark/>
          </w:tcPr>
          <w:p w14:paraId="1F67B77B" w14:textId="15C99823"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324,724 </w:t>
            </w:r>
          </w:p>
        </w:tc>
        <w:tc>
          <w:tcPr>
            <w:tcW w:w="977" w:type="dxa"/>
            <w:tcBorders>
              <w:top w:val="nil"/>
              <w:left w:val="nil"/>
              <w:bottom w:val="nil"/>
              <w:right w:val="nil"/>
            </w:tcBorders>
            <w:shd w:val="clear" w:color="000000" w:fill="E6E6E6"/>
            <w:noWrap/>
            <w:vAlign w:val="bottom"/>
            <w:hideMark/>
          </w:tcPr>
          <w:p w14:paraId="68F69F41" w14:textId="7632E6DF"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632,715 </w:t>
            </w:r>
          </w:p>
        </w:tc>
        <w:tc>
          <w:tcPr>
            <w:tcW w:w="930" w:type="dxa"/>
            <w:tcBorders>
              <w:top w:val="nil"/>
              <w:left w:val="nil"/>
              <w:bottom w:val="nil"/>
              <w:right w:val="nil"/>
            </w:tcBorders>
            <w:shd w:val="clear" w:color="auto" w:fill="auto"/>
            <w:noWrap/>
            <w:vAlign w:val="bottom"/>
            <w:hideMark/>
          </w:tcPr>
          <w:p w14:paraId="58487BF2" w14:textId="583CDFE2"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695,007 </w:t>
            </w:r>
          </w:p>
        </w:tc>
        <w:tc>
          <w:tcPr>
            <w:tcW w:w="977" w:type="dxa"/>
            <w:tcBorders>
              <w:top w:val="nil"/>
              <w:left w:val="nil"/>
              <w:bottom w:val="nil"/>
              <w:right w:val="nil"/>
            </w:tcBorders>
            <w:shd w:val="clear" w:color="auto" w:fill="auto"/>
            <w:noWrap/>
            <w:vAlign w:val="bottom"/>
            <w:hideMark/>
          </w:tcPr>
          <w:p w14:paraId="6FC7CC00" w14:textId="07F1B0FD"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552,394 </w:t>
            </w:r>
          </w:p>
        </w:tc>
        <w:tc>
          <w:tcPr>
            <w:tcW w:w="979" w:type="dxa"/>
            <w:tcBorders>
              <w:top w:val="nil"/>
              <w:left w:val="nil"/>
              <w:bottom w:val="nil"/>
              <w:right w:val="nil"/>
            </w:tcBorders>
            <w:shd w:val="clear" w:color="auto" w:fill="auto"/>
            <w:noWrap/>
            <w:vAlign w:val="bottom"/>
            <w:hideMark/>
          </w:tcPr>
          <w:p w14:paraId="5EEA1B14" w14:textId="7B0A05F0"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359,020 </w:t>
            </w:r>
          </w:p>
        </w:tc>
      </w:tr>
      <w:tr w:rsidR="00F10ACD" w:rsidRPr="003B6296" w14:paraId="41FB540D" w14:textId="77777777" w:rsidTr="00117108">
        <w:trPr>
          <w:trHeight w:val="204"/>
        </w:trPr>
        <w:tc>
          <w:tcPr>
            <w:tcW w:w="2835" w:type="dxa"/>
            <w:tcBorders>
              <w:top w:val="nil"/>
              <w:left w:val="nil"/>
              <w:bottom w:val="nil"/>
              <w:right w:val="nil"/>
            </w:tcBorders>
            <w:shd w:val="clear" w:color="auto" w:fill="auto"/>
            <w:vAlign w:val="bottom"/>
            <w:hideMark/>
          </w:tcPr>
          <w:p w14:paraId="4B22E157" w14:textId="77777777"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Other Services (Appropriation Act No. 2 and Bill No. 4)</w:t>
            </w:r>
          </w:p>
        </w:tc>
        <w:tc>
          <w:tcPr>
            <w:tcW w:w="928" w:type="dxa"/>
            <w:tcBorders>
              <w:top w:val="nil"/>
              <w:left w:val="nil"/>
              <w:bottom w:val="nil"/>
              <w:right w:val="nil"/>
            </w:tcBorders>
            <w:shd w:val="clear" w:color="auto" w:fill="auto"/>
            <w:noWrap/>
            <w:vAlign w:val="bottom"/>
            <w:hideMark/>
          </w:tcPr>
          <w:p w14:paraId="142BB594" w14:textId="78A07E38"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664 </w:t>
            </w:r>
          </w:p>
        </w:tc>
        <w:tc>
          <w:tcPr>
            <w:tcW w:w="977" w:type="dxa"/>
            <w:tcBorders>
              <w:top w:val="nil"/>
              <w:left w:val="nil"/>
              <w:bottom w:val="nil"/>
              <w:right w:val="nil"/>
            </w:tcBorders>
            <w:shd w:val="clear" w:color="000000" w:fill="E6E6E6"/>
            <w:noWrap/>
            <w:vAlign w:val="bottom"/>
            <w:hideMark/>
          </w:tcPr>
          <w:p w14:paraId="6BE1A29D" w14:textId="504FD6A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2,381 </w:t>
            </w:r>
          </w:p>
        </w:tc>
        <w:tc>
          <w:tcPr>
            <w:tcW w:w="930" w:type="dxa"/>
            <w:tcBorders>
              <w:top w:val="nil"/>
              <w:left w:val="nil"/>
              <w:bottom w:val="nil"/>
              <w:right w:val="nil"/>
            </w:tcBorders>
            <w:shd w:val="clear" w:color="auto" w:fill="auto"/>
            <w:noWrap/>
            <w:vAlign w:val="bottom"/>
            <w:hideMark/>
          </w:tcPr>
          <w:p w14:paraId="4A28558C" w14:textId="32B27576"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0866C716" w14:textId="57081543"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979" w:type="dxa"/>
            <w:tcBorders>
              <w:top w:val="nil"/>
              <w:left w:val="nil"/>
              <w:bottom w:val="nil"/>
              <w:right w:val="nil"/>
            </w:tcBorders>
            <w:shd w:val="clear" w:color="auto" w:fill="auto"/>
            <w:noWrap/>
            <w:vAlign w:val="bottom"/>
            <w:hideMark/>
          </w:tcPr>
          <w:p w14:paraId="69F047B1" w14:textId="5035BCF6"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r>
      <w:tr w:rsidR="00F10ACD" w:rsidRPr="003B6296" w14:paraId="3349A360" w14:textId="77777777" w:rsidTr="00117108">
        <w:trPr>
          <w:trHeight w:val="204"/>
        </w:trPr>
        <w:tc>
          <w:tcPr>
            <w:tcW w:w="2835" w:type="dxa"/>
            <w:tcBorders>
              <w:top w:val="nil"/>
              <w:left w:val="nil"/>
              <w:bottom w:val="nil"/>
              <w:right w:val="nil"/>
            </w:tcBorders>
            <w:shd w:val="clear" w:color="auto" w:fill="auto"/>
            <w:vAlign w:val="bottom"/>
            <w:hideMark/>
          </w:tcPr>
          <w:p w14:paraId="61D44F23" w14:textId="77777777"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 xml:space="preserve">Expenses not requiring appropriation in the Budget year </w:t>
            </w:r>
            <w:r w:rsidRPr="00117108">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28ECD871" w14:textId="4A92342A"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286,972 </w:t>
            </w:r>
          </w:p>
        </w:tc>
        <w:tc>
          <w:tcPr>
            <w:tcW w:w="977" w:type="dxa"/>
            <w:tcBorders>
              <w:top w:val="nil"/>
              <w:left w:val="nil"/>
              <w:bottom w:val="nil"/>
              <w:right w:val="nil"/>
            </w:tcBorders>
            <w:shd w:val="clear" w:color="000000" w:fill="E6E6E6"/>
            <w:noWrap/>
            <w:vAlign w:val="bottom"/>
            <w:hideMark/>
          </w:tcPr>
          <w:p w14:paraId="21384204" w14:textId="0F842ED9"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106,522 </w:t>
            </w:r>
          </w:p>
        </w:tc>
        <w:tc>
          <w:tcPr>
            <w:tcW w:w="930" w:type="dxa"/>
            <w:tcBorders>
              <w:top w:val="nil"/>
              <w:left w:val="nil"/>
              <w:bottom w:val="nil"/>
              <w:right w:val="nil"/>
            </w:tcBorders>
            <w:shd w:val="clear" w:color="auto" w:fill="auto"/>
            <w:noWrap/>
            <w:vAlign w:val="bottom"/>
            <w:hideMark/>
          </w:tcPr>
          <w:p w14:paraId="06495A90" w14:textId="469729C0"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54,483 </w:t>
            </w:r>
          </w:p>
        </w:tc>
        <w:tc>
          <w:tcPr>
            <w:tcW w:w="977" w:type="dxa"/>
            <w:tcBorders>
              <w:top w:val="nil"/>
              <w:left w:val="nil"/>
              <w:bottom w:val="nil"/>
              <w:right w:val="nil"/>
            </w:tcBorders>
            <w:shd w:val="clear" w:color="auto" w:fill="auto"/>
            <w:noWrap/>
            <w:vAlign w:val="bottom"/>
            <w:hideMark/>
          </w:tcPr>
          <w:p w14:paraId="47240840" w14:textId="465A094D"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979" w:type="dxa"/>
            <w:tcBorders>
              <w:top w:val="nil"/>
              <w:left w:val="nil"/>
              <w:bottom w:val="nil"/>
              <w:right w:val="nil"/>
            </w:tcBorders>
            <w:shd w:val="clear" w:color="auto" w:fill="auto"/>
            <w:noWrap/>
            <w:vAlign w:val="bottom"/>
            <w:hideMark/>
          </w:tcPr>
          <w:p w14:paraId="4C5D5318" w14:textId="7C66985F"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r>
      <w:tr w:rsidR="00F10ACD" w:rsidRPr="003B6296" w14:paraId="5CE26410" w14:textId="77777777" w:rsidTr="00117108">
        <w:trPr>
          <w:trHeight w:val="204"/>
        </w:trPr>
        <w:tc>
          <w:tcPr>
            <w:tcW w:w="2835" w:type="dxa"/>
            <w:tcBorders>
              <w:top w:val="nil"/>
              <w:left w:val="nil"/>
              <w:bottom w:val="nil"/>
              <w:right w:val="nil"/>
            </w:tcBorders>
            <w:shd w:val="clear" w:color="auto" w:fill="auto"/>
            <w:noWrap/>
            <w:vAlign w:val="bottom"/>
            <w:hideMark/>
          </w:tcPr>
          <w:p w14:paraId="2B0D63AE" w14:textId="77777777" w:rsidR="00F10ACD" w:rsidRPr="00117108" w:rsidRDefault="00F10ACD" w:rsidP="00F10ACD">
            <w:pPr>
              <w:spacing w:after="0" w:line="240" w:lineRule="auto"/>
              <w:jc w:val="left"/>
              <w:rPr>
                <w:rFonts w:ascii="Arial" w:hAnsi="Arial" w:cs="Arial"/>
                <w:b/>
                <w:bCs/>
                <w:sz w:val="16"/>
                <w:szCs w:val="16"/>
              </w:rPr>
            </w:pPr>
            <w:r w:rsidRPr="00117108">
              <w:rPr>
                <w:rFonts w:ascii="Arial" w:hAnsi="Arial" w:cs="Arial"/>
                <w:b/>
                <w:bCs/>
                <w:sz w:val="16"/>
                <w:szCs w:val="16"/>
              </w:rPr>
              <w:t>Total expenses for Program 3.1</w:t>
            </w:r>
          </w:p>
        </w:tc>
        <w:tc>
          <w:tcPr>
            <w:tcW w:w="928" w:type="dxa"/>
            <w:tcBorders>
              <w:top w:val="single" w:sz="4" w:space="0" w:color="auto"/>
              <w:left w:val="nil"/>
              <w:bottom w:val="single" w:sz="4" w:space="0" w:color="auto"/>
              <w:right w:val="nil"/>
            </w:tcBorders>
            <w:shd w:val="clear" w:color="auto" w:fill="auto"/>
            <w:noWrap/>
            <w:vAlign w:val="bottom"/>
            <w:hideMark/>
          </w:tcPr>
          <w:p w14:paraId="3BB5E0D4" w14:textId="5113A9BA"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612,360 </w:t>
            </w:r>
          </w:p>
        </w:tc>
        <w:tc>
          <w:tcPr>
            <w:tcW w:w="977" w:type="dxa"/>
            <w:tcBorders>
              <w:top w:val="single" w:sz="4" w:space="0" w:color="auto"/>
              <w:left w:val="nil"/>
              <w:bottom w:val="single" w:sz="4" w:space="0" w:color="auto"/>
              <w:right w:val="nil"/>
            </w:tcBorders>
            <w:shd w:val="clear" w:color="000000" w:fill="E6E6E6"/>
            <w:noWrap/>
            <w:vAlign w:val="bottom"/>
            <w:hideMark/>
          </w:tcPr>
          <w:p w14:paraId="4B7EFDF5" w14:textId="49DFB94E"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741,618 </w:t>
            </w:r>
          </w:p>
        </w:tc>
        <w:tc>
          <w:tcPr>
            <w:tcW w:w="930" w:type="dxa"/>
            <w:tcBorders>
              <w:top w:val="single" w:sz="4" w:space="0" w:color="auto"/>
              <w:left w:val="nil"/>
              <w:bottom w:val="single" w:sz="4" w:space="0" w:color="auto"/>
              <w:right w:val="nil"/>
            </w:tcBorders>
            <w:shd w:val="clear" w:color="auto" w:fill="auto"/>
            <w:noWrap/>
            <w:vAlign w:val="bottom"/>
            <w:hideMark/>
          </w:tcPr>
          <w:p w14:paraId="61E16AC8" w14:textId="4A88F517"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749,490 </w:t>
            </w:r>
          </w:p>
        </w:tc>
        <w:tc>
          <w:tcPr>
            <w:tcW w:w="977" w:type="dxa"/>
            <w:tcBorders>
              <w:top w:val="single" w:sz="4" w:space="0" w:color="auto"/>
              <w:left w:val="nil"/>
              <w:bottom w:val="single" w:sz="4" w:space="0" w:color="auto"/>
              <w:right w:val="nil"/>
            </w:tcBorders>
            <w:shd w:val="clear" w:color="auto" w:fill="auto"/>
            <w:noWrap/>
            <w:vAlign w:val="bottom"/>
            <w:hideMark/>
          </w:tcPr>
          <w:p w14:paraId="1FCA5F23" w14:textId="47021C3C"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552,394 </w:t>
            </w:r>
          </w:p>
        </w:tc>
        <w:tc>
          <w:tcPr>
            <w:tcW w:w="979" w:type="dxa"/>
            <w:tcBorders>
              <w:top w:val="single" w:sz="4" w:space="0" w:color="auto"/>
              <w:left w:val="nil"/>
              <w:bottom w:val="single" w:sz="4" w:space="0" w:color="auto"/>
              <w:right w:val="nil"/>
            </w:tcBorders>
            <w:shd w:val="clear" w:color="auto" w:fill="auto"/>
            <w:noWrap/>
            <w:vAlign w:val="bottom"/>
            <w:hideMark/>
          </w:tcPr>
          <w:p w14:paraId="31B08B72" w14:textId="63E7E62A"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359,020 </w:t>
            </w:r>
          </w:p>
        </w:tc>
      </w:tr>
      <w:tr w:rsidR="00117108" w:rsidRPr="003B6296" w14:paraId="7DFA3733" w14:textId="77777777" w:rsidTr="00C55547">
        <w:trPr>
          <w:trHeight w:val="204"/>
        </w:trPr>
        <w:tc>
          <w:tcPr>
            <w:tcW w:w="7626" w:type="dxa"/>
            <w:gridSpan w:val="6"/>
            <w:tcBorders>
              <w:top w:val="single" w:sz="4" w:space="0" w:color="auto"/>
              <w:left w:val="nil"/>
              <w:bottom w:val="single" w:sz="4" w:space="0" w:color="auto"/>
              <w:right w:val="nil"/>
            </w:tcBorders>
            <w:shd w:val="clear" w:color="000000" w:fill="E6E6E6"/>
            <w:noWrap/>
            <w:hideMark/>
          </w:tcPr>
          <w:p w14:paraId="2910A0EC" w14:textId="5C47B6FE" w:rsidR="00117108" w:rsidRPr="003B6296" w:rsidRDefault="00117108" w:rsidP="00C55547">
            <w:pPr>
              <w:spacing w:after="0" w:line="240" w:lineRule="auto"/>
              <w:jc w:val="left"/>
              <w:rPr>
                <w:rFonts w:ascii="Arial" w:hAnsi="Arial" w:cs="Arial"/>
                <w:sz w:val="16"/>
                <w:szCs w:val="16"/>
              </w:rPr>
            </w:pPr>
            <w:r w:rsidRPr="00117108">
              <w:rPr>
                <w:rFonts w:ascii="Arial" w:hAnsi="Arial" w:cs="Arial"/>
                <w:b/>
                <w:bCs/>
                <w:sz w:val="16"/>
                <w:szCs w:val="16"/>
              </w:rPr>
              <w:t>Program 3.2: Local government</w:t>
            </w:r>
          </w:p>
        </w:tc>
      </w:tr>
      <w:tr w:rsidR="003B6296" w:rsidRPr="003B6296" w14:paraId="5FD9EF94" w14:textId="77777777" w:rsidTr="00117108">
        <w:trPr>
          <w:trHeight w:val="204"/>
        </w:trPr>
        <w:tc>
          <w:tcPr>
            <w:tcW w:w="2835" w:type="dxa"/>
            <w:tcBorders>
              <w:top w:val="nil"/>
              <w:left w:val="nil"/>
              <w:bottom w:val="nil"/>
              <w:right w:val="nil"/>
            </w:tcBorders>
            <w:shd w:val="clear" w:color="auto" w:fill="auto"/>
            <w:noWrap/>
            <w:vAlign w:val="bottom"/>
            <w:hideMark/>
          </w:tcPr>
          <w:p w14:paraId="246EA559" w14:textId="77777777" w:rsidR="003B6296" w:rsidRPr="00117108" w:rsidRDefault="003B6296" w:rsidP="003B6296">
            <w:pPr>
              <w:spacing w:after="0" w:line="240" w:lineRule="auto"/>
              <w:jc w:val="left"/>
              <w:rPr>
                <w:rFonts w:ascii="Arial" w:hAnsi="Arial" w:cs="Arial"/>
                <w:bCs/>
                <w:sz w:val="16"/>
                <w:szCs w:val="16"/>
              </w:rPr>
            </w:pPr>
            <w:r w:rsidRPr="00117108">
              <w:rPr>
                <w:rFonts w:ascii="Arial" w:hAnsi="Arial" w:cs="Arial"/>
                <w:bCs/>
                <w:sz w:val="16"/>
                <w:szCs w:val="16"/>
              </w:rPr>
              <w:t>Administered expenses</w:t>
            </w:r>
          </w:p>
        </w:tc>
        <w:tc>
          <w:tcPr>
            <w:tcW w:w="928" w:type="dxa"/>
            <w:tcBorders>
              <w:left w:val="nil"/>
              <w:right w:val="nil"/>
            </w:tcBorders>
            <w:shd w:val="clear" w:color="auto" w:fill="auto"/>
            <w:noWrap/>
            <w:vAlign w:val="bottom"/>
            <w:hideMark/>
          </w:tcPr>
          <w:p w14:paraId="43CA13AF" w14:textId="77777777" w:rsidR="003B6296" w:rsidRPr="00117108" w:rsidRDefault="003B6296" w:rsidP="00457670">
            <w:pPr>
              <w:spacing w:after="0" w:line="240" w:lineRule="auto"/>
              <w:jc w:val="right"/>
              <w:rPr>
                <w:rFonts w:ascii="Arial" w:hAnsi="Arial" w:cs="Arial"/>
                <w:b/>
                <w:bCs/>
                <w:sz w:val="16"/>
                <w:szCs w:val="16"/>
              </w:rPr>
            </w:pPr>
          </w:p>
        </w:tc>
        <w:tc>
          <w:tcPr>
            <w:tcW w:w="977" w:type="dxa"/>
            <w:tcBorders>
              <w:left w:val="nil"/>
              <w:right w:val="nil"/>
            </w:tcBorders>
            <w:shd w:val="clear" w:color="000000" w:fill="E6E6E6"/>
            <w:noWrap/>
            <w:vAlign w:val="bottom"/>
            <w:hideMark/>
          </w:tcPr>
          <w:p w14:paraId="3A61FDEF" w14:textId="39FE6D9B" w:rsidR="003B6296" w:rsidRPr="00117108" w:rsidRDefault="003B6296" w:rsidP="00457670">
            <w:pPr>
              <w:spacing w:after="0" w:line="240" w:lineRule="auto"/>
              <w:jc w:val="right"/>
              <w:rPr>
                <w:rFonts w:ascii="Arial" w:hAnsi="Arial" w:cs="Arial"/>
                <w:b/>
                <w:bCs/>
                <w:sz w:val="16"/>
                <w:szCs w:val="16"/>
              </w:rPr>
            </w:pPr>
          </w:p>
        </w:tc>
        <w:tc>
          <w:tcPr>
            <w:tcW w:w="930" w:type="dxa"/>
            <w:tcBorders>
              <w:left w:val="nil"/>
              <w:right w:val="nil"/>
            </w:tcBorders>
            <w:shd w:val="clear" w:color="auto" w:fill="auto"/>
            <w:noWrap/>
            <w:vAlign w:val="bottom"/>
            <w:hideMark/>
          </w:tcPr>
          <w:p w14:paraId="5C57A01A" w14:textId="77777777" w:rsidR="003B6296" w:rsidRPr="00117108" w:rsidRDefault="003B6296" w:rsidP="00457670">
            <w:pPr>
              <w:spacing w:after="0" w:line="240" w:lineRule="auto"/>
              <w:jc w:val="right"/>
              <w:rPr>
                <w:rFonts w:ascii="Arial" w:hAnsi="Arial" w:cs="Arial"/>
                <w:b/>
                <w:bCs/>
                <w:sz w:val="16"/>
                <w:szCs w:val="16"/>
              </w:rPr>
            </w:pPr>
          </w:p>
        </w:tc>
        <w:tc>
          <w:tcPr>
            <w:tcW w:w="977" w:type="dxa"/>
            <w:tcBorders>
              <w:left w:val="nil"/>
              <w:right w:val="nil"/>
            </w:tcBorders>
            <w:shd w:val="clear" w:color="auto" w:fill="auto"/>
            <w:noWrap/>
            <w:vAlign w:val="bottom"/>
            <w:hideMark/>
          </w:tcPr>
          <w:p w14:paraId="28A5DCF7" w14:textId="77777777" w:rsidR="003B6296" w:rsidRPr="00117108" w:rsidRDefault="003B6296" w:rsidP="00457670">
            <w:pPr>
              <w:spacing w:after="0" w:line="240" w:lineRule="auto"/>
              <w:jc w:val="right"/>
              <w:rPr>
                <w:rFonts w:ascii="Arial" w:hAnsi="Arial" w:cs="Arial"/>
                <w:b/>
                <w:bCs/>
                <w:sz w:val="16"/>
                <w:szCs w:val="16"/>
              </w:rPr>
            </w:pPr>
          </w:p>
        </w:tc>
        <w:tc>
          <w:tcPr>
            <w:tcW w:w="979" w:type="dxa"/>
            <w:tcBorders>
              <w:left w:val="nil"/>
              <w:right w:val="nil"/>
            </w:tcBorders>
            <w:shd w:val="clear" w:color="auto" w:fill="auto"/>
            <w:noWrap/>
            <w:vAlign w:val="bottom"/>
            <w:hideMark/>
          </w:tcPr>
          <w:p w14:paraId="7E1AA932" w14:textId="77777777" w:rsidR="003B6296" w:rsidRPr="00117108" w:rsidRDefault="003B6296" w:rsidP="00457670">
            <w:pPr>
              <w:spacing w:after="0" w:line="240" w:lineRule="auto"/>
              <w:jc w:val="right"/>
              <w:rPr>
                <w:rFonts w:ascii="Arial" w:hAnsi="Arial" w:cs="Arial"/>
                <w:b/>
                <w:bCs/>
                <w:sz w:val="16"/>
                <w:szCs w:val="16"/>
              </w:rPr>
            </w:pPr>
          </w:p>
        </w:tc>
      </w:tr>
      <w:tr w:rsidR="00F10ACD" w:rsidRPr="003B6296" w14:paraId="721E70E4" w14:textId="77777777" w:rsidTr="00117108">
        <w:trPr>
          <w:trHeight w:val="204"/>
        </w:trPr>
        <w:tc>
          <w:tcPr>
            <w:tcW w:w="2835" w:type="dxa"/>
            <w:tcBorders>
              <w:top w:val="nil"/>
              <w:left w:val="nil"/>
              <w:bottom w:val="nil"/>
              <w:right w:val="nil"/>
            </w:tcBorders>
            <w:shd w:val="clear" w:color="auto" w:fill="auto"/>
            <w:noWrap/>
            <w:vAlign w:val="bottom"/>
            <w:hideMark/>
          </w:tcPr>
          <w:p w14:paraId="46C8E9E4" w14:textId="77777777" w:rsidR="00F10ACD" w:rsidRPr="00117108" w:rsidRDefault="00F10ACD" w:rsidP="00F10ACD">
            <w:pPr>
              <w:spacing w:after="0" w:line="240" w:lineRule="auto"/>
              <w:ind w:left="113"/>
              <w:jc w:val="left"/>
              <w:rPr>
                <w:rFonts w:ascii="Arial" w:hAnsi="Arial" w:cs="Arial"/>
                <w:bCs/>
                <w:sz w:val="16"/>
                <w:szCs w:val="16"/>
              </w:rPr>
            </w:pPr>
            <w:r w:rsidRPr="00117108">
              <w:rPr>
                <w:rFonts w:ascii="Arial" w:hAnsi="Arial" w:cs="Arial"/>
                <w:bCs/>
                <w:sz w:val="16"/>
                <w:szCs w:val="16"/>
              </w:rPr>
              <w:t>Ordinary Annual Services (Appropriation Act No. 1 and Bill No. 3)</w:t>
            </w:r>
          </w:p>
        </w:tc>
        <w:tc>
          <w:tcPr>
            <w:tcW w:w="928" w:type="dxa"/>
            <w:tcBorders>
              <w:left w:val="nil"/>
              <w:right w:val="nil"/>
            </w:tcBorders>
            <w:shd w:val="clear" w:color="auto" w:fill="auto"/>
            <w:noWrap/>
            <w:vAlign w:val="bottom"/>
            <w:hideMark/>
          </w:tcPr>
          <w:p w14:paraId="24C1A39A" w14:textId="4F8CFB2A"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 </w:t>
            </w:r>
          </w:p>
        </w:tc>
        <w:tc>
          <w:tcPr>
            <w:tcW w:w="977" w:type="dxa"/>
            <w:tcBorders>
              <w:left w:val="nil"/>
              <w:right w:val="nil"/>
            </w:tcBorders>
            <w:shd w:val="clear" w:color="000000" w:fill="E6E6E6"/>
            <w:noWrap/>
            <w:vAlign w:val="bottom"/>
            <w:hideMark/>
          </w:tcPr>
          <w:p w14:paraId="33AE0145" w14:textId="1AFB784E"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818 </w:t>
            </w:r>
          </w:p>
        </w:tc>
        <w:tc>
          <w:tcPr>
            <w:tcW w:w="930" w:type="dxa"/>
            <w:tcBorders>
              <w:left w:val="nil"/>
              <w:right w:val="nil"/>
            </w:tcBorders>
            <w:shd w:val="clear" w:color="auto" w:fill="auto"/>
            <w:noWrap/>
            <w:vAlign w:val="bottom"/>
            <w:hideMark/>
          </w:tcPr>
          <w:p w14:paraId="357381FE" w14:textId="72D41470"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670 </w:t>
            </w:r>
          </w:p>
        </w:tc>
        <w:tc>
          <w:tcPr>
            <w:tcW w:w="977" w:type="dxa"/>
            <w:tcBorders>
              <w:left w:val="nil"/>
              <w:right w:val="nil"/>
            </w:tcBorders>
            <w:shd w:val="clear" w:color="auto" w:fill="auto"/>
            <w:noWrap/>
            <w:vAlign w:val="bottom"/>
            <w:hideMark/>
          </w:tcPr>
          <w:p w14:paraId="2B4EC384" w14:textId="03804C0D"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111 </w:t>
            </w:r>
          </w:p>
        </w:tc>
        <w:tc>
          <w:tcPr>
            <w:tcW w:w="979" w:type="dxa"/>
            <w:tcBorders>
              <w:left w:val="nil"/>
              <w:right w:val="nil"/>
            </w:tcBorders>
            <w:shd w:val="clear" w:color="auto" w:fill="auto"/>
            <w:noWrap/>
            <w:vAlign w:val="bottom"/>
            <w:hideMark/>
          </w:tcPr>
          <w:p w14:paraId="07AF7B6B" w14:textId="4772553E"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 </w:t>
            </w:r>
          </w:p>
        </w:tc>
      </w:tr>
      <w:tr w:rsidR="00F10ACD" w:rsidRPr="003B6296" w14:paraId="27DDD8E9" w14:textId="77777777" w:rsidTr="00117108">
        <w:trPr>
          <w:trHeight w:val="204"/>
        </w:trPr>
        <w:tc>
          <w:tcPr>
            <w:tcW w:w="2835" w:type="dxa"/>
            <w:tcBorders>
              <w:top w:val="nil"/>
              <w:left w:val="nil"/>
              <w:bottom w:val="nil"/>
              <w:right w:val="nil"/>
            </w:tcBorders>
            <w:shd w:val="clear" w:color="auto" w:fill="auto"/>
            <w:noWrap/>
            <w:vAlign w:val="bottom"/>
            <w:hideMark/>
          </w:tcPr>
          <w:p w14:paraId="14DDBD70" w14:textId="77777777" w:rsidR="00F10ACD" w:rsidRPr="00117108" w:rsidRDefault="00F10ACD" w:rsidP="00F10ACD">
            <w:pPr>
              <w:spacing w:after="0" w:line="240" w:lineRule="auto"/>
              <w:ind w:left="113"/>
              <w:jc w:val="left"/>
              <w:rPr>
                <w:rFonts w:ascii="Arial" w:hAnsi="Arial" w:cs="Arial"/>
                <w:bCs/>
                <w:sz w:val="16"/>
                <w:szCs w:val="16"/>
              </w:rPr>
            </w:pPr>
            <w:r w:rsidRPr="00117108">
              <w:rPr>
                <w:rFonts w:ascii="Arial" w:hAnsi="Arial" w:cs="Arial"/>
                <w:bCs/>
                <w:sz w:val="16"/>
                <w:szCs w:val="16"/>
              </w:rPr>
              <w:t>Other Services (Appropriation Act No. 2 and Bill No. 4)</w:t>
            </w:r>
          </w:p>
        </w:tc>
        <w:tc>
          <w:tcPr>
            <w:tcW w:w="928" w:type="dxa"/>
            <w:tcBorders>
              <w:left w:val="nil"/>
              <w:right w:val="nil"/>
            </w:tcBorders>
            <w:shd w:val="clear" w:color="auto" w:fill="auto"/>
            <w:noWrap/>
            <w:vAlign w:val="bottom"/>
            <w:hideMark/>
          </w:tcPr>
          <w:p w14:paraId="19B926AA" w14:textId="290C0690"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835,203 </w:t>
            </w:r>
          </w:p>
        </w:tc>
        <w:tc>
          <w:tcPr>
            <w:tcW w:w="977" w:type="dxa"/>
            <w:tcBorders>
              <w:left w:val="nil"/>
              <w:right w:val="nil"/>
            </w:tcBorders>
            <w:shd w:val="clear" w:color="000000" w:fill="E6E6E6"/>
            <w:noWrap/>
            <w:vAlign w:val="bottom"/>
            <w:hideMark/>
          </w:tcPr>
          <w:p w14:paraId="6F0D0B57" w14:textId="22A2D113"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933,979 </w:t>
            </w:r>
          </w:p>
        </w:tc>
        <w:tc>
          <w:tcPr>
            <w:tcW w:w="930" w:type="dxa"/>
            <w:tcBorders>
              <w:left w:val="nil"/>
              <w:right w:val="nil"/>
            </w:tcBorders>
            <w:shd w:val="clear" w:color="auto" w:fill="auto"/>
            <w:noWrap/>
            <w:vAlign w:val="bottom"/>
            <w:hideMark/>
          </w:tcPr>
          <w:p w14:paraId="627902A9" w14:textId="14C0437F"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669,330 </w:t>
            </w:r>
          </w:p>
        </w:tc>
        <w:tc>
          <w:tcPr>
            <w:tcW w:w="977" w:type="dxa"/>
            <w:tcBorders>
              <w:left w:val="nil"/>
              <w:right w:val="nil"/>
            </w:tcBorders>
            <w:shd w:val="clear" w:color="auto" w:fill="auto"/>
            <w:noWrap/>
            <w:vAlign w:val="bottom"/>
            <w:hideMark/>
          </w:tcPr>
          <w:p w14:paraId="5768098D" w14:textId="68BB75F5"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99,889 </w:t>
            </w:r>
          </w:p>
        </w:tc>
        <w:tc>
          <w:tcPr>
            <w:tcW w:w="979" w:type="dxa"/>
            <w:tcBorders>
              <w:left w:val="nil"/>
              <w:right w:val="nil"/>
            </w:tcBorders>
            <w:shd w:val="clear" w:color="auto" w:fill="auto"/>
            <w:noWrap/>
            <w:vAlign w:val="bottom"/>
            <w:hideMark/>
          </w:tcPr>
          <w:p w14:paraId="4D433F3D" w14:textId="47D5A6D3"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 </w:t>
            </w:r>
          </w:p>
        </w:tc>
      </w:tr>
      <w:tr w:rsidR="00F10ACD" w:rsidRPr="003B6296" w14:paraId="6CF5AEB5" w14:textId="77777777" w:rsidTr="00117108">
        <w:trPr>
          <w:trHeight w:val="204"/>
        </w:trPr>
        <w:tc>
          <w:tcPr>
            <w:tcW w:w="2835" w:type="dxa"/>
            <w:tcBorders>
              <w:top w:val="nil"/>
              <w:left w:val="nil"/>
              <w:bottom w:val="nil"/>
              <w:right w:val="nil"/>
            </w:tcBorders>
            <w:shd w:val="clear" w:color="auto" w:fill="auto"/>
            <w:noWrap/>
            <w:vAlign w:val="bottom"/>
            <w:hideMark/>
          </w:tcPr>
          <w:p w14:paraId="04D71CA5" w14:textId="77777777" w:rsidR="00F10ACD" w:rsidRPr="00117108" w:rsidRDefault="00F10ACD" w:rsidP="00F10ACD">
            <w:pPr>
              <w:spacing w:after="0" w:line="240" w:lineRule="auto"/>
              <w:ind w:left="113"/>
              <w:jc w:val="left"/>
              <w:rPr>
                <w:rFonts w:ascii="Arial" w:hAnsi="Arial" w:cs="Arial"/>
                <w:bCs/>
                <w:sz w:val="16"/>
                <w:szCs w:val="16"/>
              </w:rPr>
            </w:pPr>
            <w:r w:rsidRPr="00117108">
              <w:rPr>
                <w:rFonts w:ascii="Arial" w:hAnsi="Arial" w:cs="Arial"/>
                <w:bCs/>
                <w:sz w:val="16"/>
                <w:szCs w:val="16"/>
              </w:rPr>
              <w:t>Special Appropriations</w:t>
            </w:r>
          </w:p>
        </w:tc>
        <w:tc>
          <w:tcPr>
            <w:tcW w:w="928" w:type="dxa"/>
            <w:tcBorders>
              <w:left w:val="nil"/>
              <w:right w:val="nil"/>
            </w:tcBorders>
            <w:shd w:val="clear" w:color="auto" w:fill="auto"/>
            <w:noWrap/>
            <w:vAlign w:val="bottom"/>
            <w:hideMark/>
          </w:tcPr>
          <w:p w14:paraId="4B7289AF" w14:textId="77777777" w:rsidR="00F10ACD" w:rsidRPr="00117108" w:rsidRDefault="00F10ACD" w:rsidP="00F10ACD">
            <w:pPr>
              <w:spacing w:after="0" w:line="240" w:lineRule="auto"/>
              <w:jc w:val="right"/>
              <w:rPr>
                <w:rFonts w:ascii="Arial" w:hAnsi="Arial" w:cs="Arial"/>
                <w:bCs/>
                <w:sz w:val="16"/>
                <w:szCs w:val="16"/>
              </w:rPr>
            </w:pPr>
          </w:p>
        </w:tc>
        <w:tc>
          <w:tcPr>
            <w:tcW w:w="977" w:type="dxa"/>
            <w:tcBorders>
              <w:left w:val="nil"/>
              <w:right w:val="nil"/>
            </w:tcBorders>
            <w:shd w:val="clear" w:color="000000" w:fill="E6E6E6"/>
            <w:noWrap/>
            <w:vAlign w:val="bottom"/>
            <w:hideMark/>
          </w:tcPr>
          <w:p w14:paraId="0418CAB5" w14:textId="6A6DC1B2"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w:t>
            </w:r>
          </w:p>
        </w:tc>
        <w:tc>
          <w:tcPr>
            <w:tcW w:w="930" w:type="dxa"/>
            <w:tcBorders>
              <w:left w:val="nil"/>
              <w:right w:val="nil"/>
            </w:tcBorders>
            <w:shd w:val="clear" w:color="auto" w:fill="auto"/>
            <w:noWrap/>
            <w:vAlign w:val="bottom"/>
            <w:hideMark/>
          </w:tcPr>
          <w:p w14:paraId="462523D9" w14:textId="77777777" w:rsidR="00F10ACD" w:rsidRPr="00117108" w:rsidRDefault="00F10ACD" w:rsidP="00F10ACD">
            <w:pPr>
              <w:spacing w:after="0" w:line="240" w:lineRule="auto"/>
              <w:jc w:val="right"/>
              <w:rPr>
                <w:rFonts w:ascii="Arial" w:hAnsi="Arial" w:cs="Arial"/>
                <w:bCs/>
                <w:sz w:val="16"/>
                <w:szCs w:val="16"/>
              </w:rPr>
            </w:pPr>
          </w:p>
        </w:tc>
        <w:tc>
          <w:tcPr>
            <w:tcW w:w="977" w:type="dxa"/>
            <w:tcBorders>
              <w:left w:val="nil"/>
              <w:right w:val="nil"/>
            </w:tcBorders>
            <w:shd w:val="clear" w:color="auto" w:fill="auto"/>
            <w:noWrap/>
            <w:vAlign w:val="bottom"/>
            <w:hideMark/>
          </w:tcPr>
          <w:p w14:paraId="19DD081D" w14:textId="77777777" w:rsidR="00F10ACD" w:rsidRPr="00117108" w:rsidRDefault="00F10ACD" w:rsidP="00F10ACD">
            <w:pPr>
              <w:spacing w:after="0" w:line="240" w:lineRule="auto"/>
              <w:jc w:val="right"/>
              <w:rPr>
                <w:rFonts w:ascii="Arial" w:hAnsi="Arial" w:cs="Arial"/>
                <w:bCs/>
                <w:sz w:val="16"/>
                <w:szCs w:val="16"/>
              </w:rPr>
            </w:pPr>
          </w:p>
        </w:tc>
        <w:tc>
          <w:tcPr>
            <w:tcW w:w="979" w:type="dxa"/>
            <w:tcBorders>
              <w:left w:val="nil"/>
              <w:right w:val="nil"/>
            </w:tcBorders>
            <w:shd w:val="clear" w:color="auto" w:fill="auto"/>
            <w:noWrap/>
            <w:vAlign w:val="bottom"/>
            <w:hideMark/>
          </w:tcPr>
          <w:p w14:paraId="4F8CF090" w14:textId="77777777" w:rsidR="00F10ACD" w:rsidRPr="00117108" w:rsidRDefault="00F10ACD" w:rsidP="00F10ACD">
            <w:pPr>
              <w:spacing w:after="0" w:line="240" w:lineRule="auto"/>
              <w:jc w:val="right"/>
              <w:rPr>
                <w:rFonts w:ascii="Arial" w:hAnsi="Arial" w:cs="Arial"/>
                <w:bCs/>
                <w:sz w:val="16"/>
                <w:szCs w:val="16"/>
              </w:rPr>
            </w:pPr>
          </w:p>
        </w:tc>
      </w:tr>
      <w:tr w:rsidR="00F10ACD" w:rsidRPr="003B6296" w14:paraId="7D52BA84" w14:textId="77777777" w:rsidTr="00117108">
        <w:trPr>
          <w:trHeight w:val="204"/>
        </w:trPr>
        <w:tc>
          <w:tcPr>
            <w:tcW w:w="2835" w:type="dxa"/>
            <w:tcBorders>
              <w:top w:val="nil"/>
              <w:left w:val="nil"/>
              <w:bottom w:val="nil"/>
              <w:right w:val="nil"/>
            </w:tcBorders>
            <w:shd w:val="clear" w:color="auto" w:fill="auto"/>
            <w:noWrap/>
            <w:vAlign w:val="bottom"/>
            <w:hideMark/>
          </w:tcPr>
          <w:p w14:paraId="283C5343" w14:textId="77777777" w:rsidR="00F10ACD" w:rsidRPr="00117108" w:rsidRDefault="00F10ACD" w:rsidP="00F10ACD">
            <w:pPr>
              <w:spacing w:after="0" w:line="240" w:lineRule="auto"/>
              <w:ind w:left="227"/>
              <w:jc w:val="left"/>
              <w:rPr>
                <w:rFonts w:ascii="Arial" w:hAnsi="Arial" w:cs="Arial"/>
                <w:bCs/>
                <w:i/>
                <w:sz w:val="16"/>
                <w:szCs w:val="16"/>
              </w:rPr>
            </w:pPr>
            <w:r w:rsidRPr="00117108">
              <w:rPr>
                <w:rFonts w:ascii="Arial" w:hAnsi="Arial" w:cs="Arial"/>
                <w:bCs/>
                <w:i/>
                <w:sz w:val="16"/>
                <w:szCs w:val="16"/>
              </w:rPr>
              <w:t>Local Government (Financial Assistance) Act 1995</w:t>
            </w:r>
          </w:p>
        </w:tc>
        <w:tc>
          <w:tcPr>
            <w:tcW w:w="928" w:type="dxa"/>
            <w:tcBorders>
              <w:left w:val="nil"/>
              <w:bottom w:val="single" w:sz="4" w:space="0" w:color="auto"/>
              <w:right w:val="nil"/>
            </w:tcBorders>
            <w:shd w:val="clear" w:color="auto" w:fill="auto"/>
            <w:noWrap/>
            <w:vAlign w:val="bottom"/>
            <w:hideMark/>
          </w:tcPr>
          <w:p w14:paraId="2D52EE68" w14:textId="6DF7F2CC"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2,605,753 </w:t>
            </w:r>
          </w:p>
        </w:tc>
        <w:tc>
          <w:tcPr>
            <w:tcW w:w="977" w:type="dxa"/>
            <w:tcBorders>
              <w:left w:val="nil"/>
              <w:bottom w:val="single" w:sz="4" w:space="0" w:color="auto"/>
              <w:right w:val="nil"/>
            </w:tcBorders>
            <w:shd w:val="clear" w:color="000000" w:fill="E6E6E6"/>
            <w:noWrap/>
            <w:vAlign w:val="bottom"/>
            <w:hideMark/>
          </w:tcPr>
          <w:p w14:paraId="6190E70B" w14:textId="655A35F3"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1,338,835 </w:t>
            </w:r>
          </w:p>
        </w:tc>
        <w:tc>
          <w:tcPr>
            <w:tcW w:w="930" w:type="dxa"/>
            <w:tcBorders>
              <w:left w:val="nil"/>
              <w:bottom w:val="single" w:sz="4" w:space="0" w:color="auto"/>
              <w:right w:val="nil"/>
            </w:tcBorders>
            <w:shd w:val="clear" w:color="auto" w:fill="auto"/>
            <w:noWrap/>
            <w:vAlign w:val="bottom"/>
            <w:hideMark/>
          </w:tcPr>
          <w:p w14:paraId="0EFC73FB" w14:textId="0417C0AB"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2,738,455 </w:t>
            </w:r>
          </w:p>
        </w:tc>
        <w:tc>
          <w:tcPr>
            <w:tcW w:w="977" w:type="dxa"/>
            <w:tcBorders>
              <w:left w:val="nil"/>
              <w:bottom w:val="single" w:sz="4" w:space="0" w:color="auto"/>
              <w:right w:val="nil"/>
            </w:tcBorders>
            <w:shd w:val="clear" w:color="auto" w:fill="auto"/>
            <w:noWrap/>
            <w:vAlign w:val="bottom"/>
            <w:hideMark/>
          </w:tcPr>
          <w:p w14:paraId="05FA15A4" w14:textId="2923769B"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2,833,205 </w:t>
            </w:r>
          </w:p>
        </w:tc>
        <w:tc>
          <w:tcPr>
            <w:tcW w:w="979" w:type="dxa"/>
            <w:tcBorders>
              <w:left w:val="nil"/>
              <w:bottom w:val="single" w:sz="4" w:space="0" w:color="auto"/>
              <w:right w:val="nil"/>
            </w:tcBorders>
            <w:shd w:val="clear" w:color="auto" w:fill="auto"/>
            <w:noWrap/>
            <w:vAlign w:val="bottom"/>
            <w:hideMark/>
          </w:tcPr>
          <w:p w14:paraId="661CE38E" w14:textId="570D0E1F" w:rsidR="00F10ACD" w:rsidRPr="00117108" w:rsidRDefault="00F10ACD" w:rsidP="00F10ACD">
            <w:pPr>
              <w:spacing w:after="0" w:line="240" w:lineRule="auto"/>
              <w:jc w:val="right"/>
              <w:rPr>
                <w:rFonts w:ascii="Arial" w:hAnsi="Arial" w:cs="Arial"/>
                <w:bCs/>
                <w:sz w:val="16"/>
                <w:szCs w:val="16"/>
              </w:rPr>
            </w:pPr>
            <w:r>
              <w:rPr>
                <w:rFonts w:ascii="Arial" w:hAnsi="Arial" w:cs="Arial"/>
                <w:sz w:val="16"/>
                <w:szCs w:val="16"/>
              </w:rPr>
              <w:t xml:space="preserve">2,938,883 </w:t>
            </w:r>
          </w:p>
        </w:tc>
      </w:tr>
      <w:tr w:rsidR="00F10ACD" w:rsidRPr="003B6296" w14:paraId="7B82EC44" w14:textId="77777777" w:rsidTr="00117108">
        <w:trPr>
          <w:trHeight w:val="204"/>
        </w:trPr>
        <w:tc>
          <w:tcPr>
            <w:tcW w:w="2835" w:type="dxa"/>
            <w:tcBorders>
              <w:top w:val="nil"/>
              <w:left w:val="nil"/>
              <w:bottom w:val="single" w:sz="4" w:space="0" w:color="auto"/>
              <w:right w:val="nil"/>
            </w:tcBorders>
            <w:shd w:val="clear" w:color="auto" w:fill="auto"/>
            <w:noWrap/>
            <w:vAlign w:val="bottom"/>
            <w:hideMark/>
          </w:tcPr>
          <w:p w14:paraId="69CA446D" w14:textId="77777777" w:rsidR="00F10ACD" w:rsidRPr="00117108" w:rsidRDefault="00F10ACD" w:rsidP="00F10ACD">
            <w:pPr>
              <w:spacing w:after="0" w:line="240" w:lineRule="auto"/>
              <w:jc w:val="left"/>
              <w:rPr>
                <w:rFonts w:ascii="Arial" w:hAnsi="Arial" w:cs="Arial"/>
                <w:b/>
                <w:bCs/>
                <w:sz w:val="16"/>
                <w:szCs w:val="16"/>
              </w:rPr>
            </w:pPr>
            <w:r w:rsidRPr="00117108">
              <w:rPr>
                <w:rFonts w:ascii="Arial" w:hAnsi="Arial" w:cs="Arial"/>
                <w:b/>
                <w:bCs/>
                <w:sz w:val="16"/>
                <w:szCs w:val="16"/>
              </w:rPr>
              <w:t>Total expenses for Program 3.2</w:t>
            </w:r>
          </w:p>
        </w:tc>
        <w:tc>
          <w:tcPr>
            <w:tcW w:w="928" w:type="dxa"/>
            <w:tcBorders>
              <w:top w:val="single" w:sz="4" w:space="0" w:color="auto"/>
              <w:left w:val="nil"/>
              <w:bottom w:val="single" w:sz="4" w:space="0" w:color="auto"/>
              <w:right w:val="nil"/>
            </w:tcBorders>
            <w:shd w:val="clear" w:color="auto" w:fill="auto"/>
            <w:noWrap/>
            <w:vAlign w:val="bottom"/>
            <w:hideMark/>
          </w:tcPr>
          <w:p w14:paraId="0FAFE7C9" w14:textId="7AE11553"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3,440,956 </w:t>
            </w:r>
          </w:p>
        </w:tc>
        <w:tc>
          <w:tcPr>
            <w:tcW w:w="977" w:type="dxa"/>
            <w:tcBorders>
              <w:top w:val="single" w:sz="4" w:space="0" w:color="auto"/>
              <w:left w:val="nil"/>
              <w:bottom w:val="single" w:sz="4" w:space="0" w:color="auto"/>
              <w:right w:val="nil"/>
            </w:tcBorders>
            <w:shd w:val="clear" w:color="000000" w:fill="E6E6E6"/>
            <w:noWrap/>
            <w:vAlign w:val="bottom"/>
            <w:hideMark/>
          </w:tcPr>
          <w:p w14:paraId="6A5BC9DB" w14:textId="0CB9BBCE"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2,273,632 </w:t>
            </w:r>
          </w:p>
        </w:tc>
        <w:tc>
          <w:tcPr>
            <w:tcW w:w="930" w:type="dxa"/>
            <w:tcBorders>
              <w:top w:val="single" w:sz="4" w:space="0" w:color="auto"/>
              <w:left w:val="nil"/>
              <w:bottom w:val="single" w:sz="4" w:space="0" w:color="auto"/>
              <w:right w:val="nil"/>
            </w:tcBorders>
            <w:shd w:val="clear" w:color="auto" w:fill="auto"/>
            <w:noWrap/>
            <w:vAlign w:val="bottom"/>
            <w:hideMark/>
          </w:tcPr>
          <w:p w14:paraId="5E5BCD78" w14:textId="153937B1"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3,408,455 </w:t>
            </w:r>
          </w:p>
        </w:tc>
        <w:tc>
          <w:tcPr>
            <w:tcW w:w="977" w:type="dxa"/>
            <w:tcBorders>
              <w:top w:val="single" w:sz="4" w:space="0" w:color="auto"/>
              <w:left w:val="nil"/>
              <w:bottom w:val="single" w:sz="4" w:space="0" w:color="auto"/>
              <w:right w:val="nil"/>
            </w:tcBorders>
            <w:shd w:val="clear" w:color="auto" w:fill="auto"/>
            <w:noWrap/>
            <w:vAlign w:val="bottom"/>
            <w:hideMark/>
          </w:tcPr>
          <w:p w14:paraId="02E6588D" w14:textId="3D58D198"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2,933,205 </w:t>
            </w:r>
          </w:p>
        </w:tc>
        <w:tc>
          <w:tcPr>
            <w:tcW w:w="979" w:type="dxa"/>
            <w:tcBorders>
              <w:top w:val="single" w:sz="4" w:space="0" w:color="auto"/>
              <w:left w:val="nil"/>
              <w:bottom w:val="single" w:sz="4" w:space="0" w:color="auto"/>
              <w:right w:val="nil"/>
            </w:tcBorders>
            <w:shd w:val="clear" w:color="auto" w:fill="auto"/>
            <w:noWrap/>
            <w:vAlign w:val="bottom"/>
            <w:hideMark/>
          </w:tcPr>
          <w:p w14:paraId="59DFD889" w14:textId="6982EE90"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2,938,883 </w:t>
            </w:r>
          </w:p>
        </w:tc>
      </w:tr>
    </w:tbl>
    <w:p w14:paraId="13425447" w14:textId="5D11F236" w:rsidR="00000153" w:rsidRDefault="00000153" w:rsidP="00000153">
      <w:pPr>
        <w:pStyle w:val="TableHeading"/>
        <w:rPr>
          <w:lang w:val="en-AU"/>
        </w:rPr>
      </w:pPr>
      <w:r w:rsidRPr="008F77A2">
        <w:lastRenderedPageBreak/>
        <w:t>Table 2.</w:t>
      </w:r>
      <w:r>
        <w:rPr>
          <w:lang w:val="en-AU"/>
        </w:rPr>
        <w:t>4</w:t>
      </w:r>
      <w:r w:rsidRPr="008F77A2">
        <w:rPr>
          <w:lang w:val="en-AU"/>
        </w:rPr>
        <w:t>.</w:t>
      </w:r>
      <w:r w:rsidRPr="008F77A2">
        <w:t>1 Budgeted expenses</w:t>
      </w:r>
      <w:r w:rsidRPr="008F77A2">
        <w:rPr>
          <w:lang w:val="en-AU"/>
        </w:rPr>
        <w:t xml:space="preserve"> for</w:t>
      </w:r>
      <w:r w:rsidRPr="008F77A2">
        <w:t xml:space="preserve"> Outcome </w:t>
      </w:r>
      <w:r w:rsidRPr="008F77A2">
        <w:rPr>
          <w:lang w:val="en-AU"/>
        </w:rPr>
        <w:t>3 (continued)</w:t>
      </w:r>
    </w:p>
    <w:tbl>
      <w:tblPr>
        <w:tblW w:w="7556" w:type="dxa"/>
        <w:tblLayout w:type="fixed"/>
        <w:tblLook w:val="04A0" w:firstRow="1" w:lastRow="0" w:firstColumn="1" w:lastColumn="0" w:noHBand="0" w:noVBand="1"/>
      </w:tblPr>
      <w:tblGrid>
        <w:gridCol w:w="2692"/>
        <w:gridCol w:w="934"/>
        <w:gridCol w:w="950"/>
        <w:gridCol w:w="977"/>
        <w:gridCol w:w="19"/>
        <w:gridCol w:w="950"/>
        <w:gridCol w:w="1034"/>
      </w:tblGrid>
      <w:tr w:rsidR="00E34CEC" w:rsidRPr="00457670" w14:paraId="28C0F2DB" w14:textId="77777777" w:rsidTr="006C442A">
        <w:trPr>
          <w:trHeight w:val="204"/>
        </w:trPr>
        <w:tc>
          <w:tcPr>
            <w:tcW w:w="2692" w:type="dxa"/>
            <w:tcBorders>
              <w:top w:val="single" w:sz="4" w:space="0" w:color="auto"/>
              <w:left w:val="nil"/>
              <w:bottom w:val="nil"/>
              <w:right w:val="nil"/>
            </w:tcBorders>
            <w:shd w:val="clear" w:color="auto" w:fill="auto"/>
            <w:noWrap/>
            <w:vAlign w:val="bottom"/>
            <w:hideMark/>
          </w:tcPr>
          <w:p w14:paraId="7ED4B237" w14:textId="77777777" w:rsidR="00E34CEC" w:rsidRPr="00457670" w:rsidRDefault="00E34CEC" w:rsidP="00E34CEC">
            <w:pPr>
              <w:spacing w:after="0" w:line="240" w:lineRule="auto"/>
              <w:jc w:val="left"/>
              <w:rPr>
                <w:rFonts w:ascii="Arial" w:hAnsi="Arial" w:cs="Arial"/>
                <w:b/>
                <w:bCs/>
                <w:sz w:val="16"/>
                <w:szCs w:val="16"/>
              </w:rPr>
            </w:pPr>
            <w:r w:rsidRPr="00457670">
              <w:rPr>
                <w:rFonts w:ascii="Arial" w:hAnsi="Arial" w:cs="Arial"/>
                <w:b/>
                <w:bCs/>
                <w:sz w:val="16"/>
                <w:szCs w:val="16"/>
              </w:rPr>
              <w:t> </w:t>
            </w:r>
          </w:p>
        </w:tc>
        <w:tc>
          <w:tcPr>
            <w:tcW w:w="934" w:type="dxa"/>
            <w:tcBorders>
              <w:top w:val="single" w:sz="4" w:space="0" w:color="auto"/>
              <w:left w:val="nil"/>
              <w:bottom w:val="single" w:sz="4" w:space="0" w:color="auto"/>
              <w:right w:val="nil"/>
            </w:tcBorders>
            <w:shd w:val="clear" w:color="auto" w:fill="auto"/>
            <w:vAlign w:val="bottom"/>
            <w:hideMark/>
          </w:tcPr>
          <w:p w14:paraId="40C5D4A0" w14:textId="6C4FC90A" w:rsidR="00E34CEC" w:rsidRPr="00457670"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50" w:type="dxa"/>
            <w:tcBorders>
              <w:top w:val="single" w:sz="4" w:space="0" w:color="auto"/>
              <w:left w:val="nil"/>
              <w:bottom w:val="single" w:sz="4" w:space="0" w:color="auto"/>
              <w:right w:val="nil"/>
            </w:tcBorders>
            <w:shd w:val="clear" w:color="auto" w:fill="E6E6E6"/>
            <w:vAlign w:val="bottom"/>
            <w:hideMark/>
          </w:tcPr>
          <w:p w14:paraId="007AE6A7" w14:textId="7F96F496" w:rsidR="00E34CEC" w:rsidRPr="00457670"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05EF570F" w14:textId="66210C5F" w:rsidR="00E34CEC" w:rsidRPr="00457670"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69" w:type="dxa"/>
            <w:gridSpan w:val="2"/>
            <w:tcBorders>
              <w:top w:val="single" w:sz="4" w:space="0" w:color="auto"/>
              <w:left w:val="nil"/>
              <w:bottom w:val="single" w:sz="4" w:space="0" w:color="auto"/>
              <w:right w:val="nil"/>
            </w:tcBorders>
            <w:shd w:val="clear" w:color="auto" w:fill="auto"/>
            <w:vAlign w:val="bottom"/>
            <w:hideMark/>
          </w:tcPr>
          <w:p w14:paraId="49EB8B61" w14:textId="08369C7E" w:rsidR="00E34CEC" w:rsidRPr="00457670"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1034" w:type="dxa"/>
            <w:tcBorders>
              <w:top w:val="single" w:sz="4" w:space="0" w:color="auto"/>
              <w:left w:val="nil"/>
              <w:bottom w:val="single" w:sz="4" w:space="0" w:color="auto"/>
              <w:right w:val="nil"/>
            </w:tcBorders>
            <w:shd w:val="clear" w:color="auto" w:fill="auto"/>
            <w:vAlign w:val="bottom"/>
            <w:hideMark/>
          </w:tcPr>
          <w:p w14:paraId="6C4EDEA9" w14:textId="4F2CD53D" w:rsidR="00E34CEC" w:rsidRPr="00457670"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457670" w:rsidRPr="00457670" w14:paraId="3411A6C8" w14:textId="77777777" w:rsidTr="006C442A">
        <w:trPr>
          <w:trHeight w:val="204"/>
        </w:trPr>
        <w:tc>
          <w:tcPr>
            <w:tcW w:w="2692" w:type="dxa"/>
            <w:tcBorders>
              <w:top w:val="single" w:sz="4" w:space="0" w:color="auto"/>
              <w:left w:val="nil"/>
              <w:bottom w:val="single" w:sz="4" w:space="0" w:color="auto"/>
              <w:right w:val="nil"/>
            </w:tcBorders>
            <w:shd w:val="clear" w:color="000000" w:fill="E6E6E6"/>
            <w:noWrap/>
            <w:hideMark/>
          </w:tcPr>
          <w:p w14:paraId="783184B9" w14:textId="77777777" w:rsidR="00457670" w:rsidRPr="00457670" w:rsidRDefault="00457670" w:rsidP="00457670">
            <w:pPr>
              <w:spacing w:after="0" w:line="240" w:lineRule="auto"/>
              <w:jc w:val="left"/>
              <w:rPr>
                <w:rFonts w:ascii="Arial" w:hAnsi="Arial" w:cs="Arial"/>
                <w:b/>
                <w:bCs/>
                <w:sz w:val="16"/>
                <w:szCs w:val="16"/>
              </w:rPr>
            </w:pPr>
            <w:r w:rsidRPr="00457670">
              <w:rPr>
                <w:rFonts w:ascii="Arial" w:hAnsi="Arial" w:cs="Arial"/>
                <w:b/>
                <w:bCs/>
                <w:sz w:val="16"/>
                <w:szCs w:val="16"/>
              </w:rPr>
              <w:t>Program 3.3: Cities</w:t>
            </w:r>
          </w:p>
        </w:tc>
        <w:tc>
          <w:tcPr>
            <w:tcW w:w="934" w:type="dxa"/>
            <w:tcBorders>
              <w:top w:val="single" w:sz="4" w:space="0" w:color="auto"/>
              <w:left w:val="nil"/>
              <w:bottom w:val="single" w:sz="4" w:space="0" w:color="auto"/>
              <w:right w:val="nil"/>
            </w:tcBorders>
            <w:shd w:val="clear" w:color="000000" w:fill="E6E6E6"/>
            <w:noWrap/>
            <w:vAlign w:val="bottom"/>
            <w:hideMark/>
          </w:tcPr>
          <w:p w14:paraId="1EBDB20F" w14:textId="77777777" w:rsidR="00457670" w:rsidRPr="00457670" w:rsidRDefault="00457670" w:rsidP="00457670">
            <w:pPr>
              <w:spacing w:after="0" w:line="240" w:lineRule="auto"/>
              <w:jc w:val="left"/>
              <w:rPr>
                <w:rFonts w:ascii="Arial" w:hAnsi="Arial" w:cs="Arial"/>
                <w:sz w:val="16"/>
                <w:szCs w:val="16"/>
              </w:rPr>
            </w:pPr>
            <w:r w:rsidRPr="00457670">
              <w:rPr>
                <w:rFonts w:ascii="Arial" w:hAnsi="Arial" w:cs="Arial"/>
                <w:sz w:val="16"/>
                <w:szCs w:val="16"/>
              </w:rPr>
              <w:t> </w:t>
            </w:r>
          </w:p>
        </w:tc>
        <w:tc>
          <w:tcPr>
            <w:tcW w:w="950" w:type="dxa"/>
            <w:tcBorders>
              <w:top w:val="single" w:sz="4" w:space="0" w:color="auto"/>
              <w:left w:val="nil"/>
              <w:bottom w:val="single" w:sz="4" w:space="0" w:color="auto"/>
              <w:right w:val="nil"/>
            </w:tcBorders>
            <w:shd w:val="clear" w:color="auto" w:fill="E6E6E6"/>
            <w:noWrap/>
            <w:vAlign w:val="bottom"/>
            <w:hideMark/>
          </w:tcPr>
          <w:p w14:paraId="6E649EDF" w14:textId="77777777" w:rsidR="00457670" w:rsidRPr="00457670" w:rsidRDefault="00457670" w:rsidP="00457670">
            <w:pPr>
              <w:spacing w:after="0" w:line="240" w:lineRule="auto"/>
              <w:jc w:val="left"/>
              <w:rPr>
                <w:rFonts w:ascii="Arial" w:hAnsi="Arial" w:cs="Arial"/>
                <w:sz w:val="16"/>
                <w:szCs w:val="16"/>
              </w:rPr>
            </w:pPr>
            <w:r w:rsidRPr="00457670">
              <w:rPr>
                <w:rFonts w:ascii="Arial" w:hAnsi="Arial" w:cs="Arial"/>
                <w:sz w:val="16"/>
                <w:szCs w:val="16"/>
              </w:rPr>
              <w:t> </w:t>
            </w:r>
          </w:p>
        </w:tc>
        <w:tc>
          <w:tcPr>
            <w:tcW w:w="977" w:type="dxa"/>
            <w:tcBorders>
              <w:top w:val="single" w:sz="4" w:space="0" w:color="auto"/>
              <w:left w:val="nil"/>
              <w:bottom w:val="single" w:sz="4" w:space="0" w:color="auto"/>
              <w:right w:val="nil"/>
            </w:tcBorders>
            <w:shd w:val="clear" w:color="000000" w:fill="E6E6E6"/>
            <w:noWrap/>
            <w:vAlign w:val="bottom"/>
            <w:hideMark/>
          </w:tcPr>
          <w:p w14:paraId="252FBE69" w14:textId="77777777" w:rsidR="00457670" w:rsidRPr="00457670" w:rsidRDefault="00457670" w:rsidP="00457670">
            <w:pPr>
              <w:spacing w:after="0" w:line="240" w:lineRule="auto"/>
              <w:jc w:val="left"/>
              <w:rPr>
                <w:rFonts w:ascii="Arial" w:hAnsi="Arial" w:cs="Arial"/>
                <w:sz w:val="16"/>
                <w:szCs w:val="16"/>
              </w:rPr>
            </w:pPr>
            <w:r w:rsidRPr="00457670">
              <w:rPr>
                <w:rFonts w:ascii="Arial" w:hAnsi="Arial" w:cs="Arial"/>
                <w:sz w:val="16"/>
                <w:szCs w:val="16"/>
              </w:rPr>
              <w:t> </w:t>
            </w:r>
          </w:p>
        </w:tc>
        <w:tc>
          <w:tcPr>
            <w:tcW w:w="969" w:type="dxa"/>
            <w:gridSpan w:val="2"/>
            <w:tcBorders>
              <w:top w:val="single" w:sz="4" w:space="0" w:color="auto"/>
              <w:left w:val="nil"/>
              <w:bottom w:val="single" w:sz="4" w:space="0" w:color="auto"/>
              <w:right w:val="nil"/>
            </w:tcBorders>
            <w:shd w:val="clear" w:color="000000" w:fill="E6E6E6"/>
            <w:noWrap/>
            <w:vAlign w:val="bottom"/>
            <w:hideMark/>
          </w:tcPr>
          <w:p w14:paraId="33A87D1D" w14:textId="77777777" w:rsidR="00457670" w:rsidRPr="00457670" w:rsidRDefault="00457670" w:rsidP="00457670">
            <w:pPr>
              <w:spacing w:after="0" w:line="240" w:lineRule="auto"/>
              <w:jc w:val="left"/>
              <w:rPr>
                <w:rFonts w:ascii="Arial" w:hAnsi="Arial" w:cs="Arial"/>
                <w:sz w:val="16"/>
                <w:szCs w:val="16"/>
              </w:rPr>
            </w:pPr>
            <w:r w:rsidRPr="00457670">
              <w:rPr>
                <w:rFonts w:ascii="Arial" w:hAnsi="Arial" w:cs="Arial"/>
                <w:sz w:val="16"/>
                <w:szCs w:val="16"/>
              </w:rPr>
              <w:t> </w:t>
            </w:r>
          </w:p>
        </w:tc>
        <w:tc>
          <w:tcPr>
            <w:tcW w:w="1034" w:type="dxa"/>
            <w:tcBorders>
              <w:top w:val="single" w:sz="4" w:space="0" w:color="auto"/>
              <w:left w:val="nil"/>
              <w:bottom w:val="single" w:sz="4" w:space="0" w:color="auto"/>
              <w:right w:val="nil"/>
            </w:tcBorders>
            <w:shd w:val="clear" w:color="000000" w:fill="E6E6E6"/>
            <w:noWrap/>
            <w:vAlign w:val="bottom"/>
            <w:hideMark/>
          </w:tcPr>
          <w:p w14:paraId="61D49980" w14:textId="77777777" w:rsidR="00457670" w:rsidRPr="00457670" w:rsidRDefault="00457670" w:rsidP="00457670">
            <w:pPr>
              <w:spacing w:after="0" w:line="240" w:lineRule="auto"/>
              <w:jc w:val="left"/>
              <w:rPr>
                <w:rFonts w:ascii="Arial" w:hAnsi="Arial" w:cs="Arial"/>
                <w:sz w:val="16"/>
                <w:szCs w:val="16"/>
              </w:rPr>
            </w:pPr>
            <w:r w:rsidRPr="00457670">
              <w:rPr>
                <w:rFonts w:ascii="Arial" w:hAnsi="Arial" w:cs="Arial"/>
                <w:sz w:val="16"/>
                <w:szCs w:val="16"/>
              </w:rPr>
              <w:t> </w:t>
            </w:r>
          </w:p>
        </w:tc>
      </w:tr>
      <w:tr w:rsidR="00457670" w:rsidRPr="00457670" w14:paraId="0970549E" w14:textId="77777777" w:rsidTr="006C442A">
        <w:trPr>
          <w:trHeight w:val="204"/>
        </w:trPr>
        <w:tc>
          <w:tcPr>
            <w:tcW w:w="2692" w:type="dxa"/>
            <w:tcBorders>
              <w:top w:val="nil"/>
              <w:left w:val="nil"/>
              <w:bottom w:val="nil"/>
              <w:right w:val="nil"/>
            </w:tcBorders>
            <w:shd w:val="clear" w:color="auto" w:fill="auto"/>
            <w:noWrap/>
            <w:vAlign w:val="bottom"/>
            <w:hideMark/>
          </w:tcPr>
          <w:p w14:paraId="243813FC" w14:textId="77777777" w:rsidR="00457670" w:rsidRPr="00117108" w:rsidRDefault="00457670" w:rsidP="00457670">
            <w:pPr>
              <w:spacing w:after="0" w:line="240" w:lineRule="auto"/>
              <w:jc w:val="left"/>
              <w:rPr>
                <w:rFonts w:ascii="Arial" w:hAnsi="Arial" w:cs="Arial"/>
                <w:sz w:val="16"/>
                <w:szCs w:val="16"/>
              </w:rPr>
            </w:pPr>
            <w:r w:rsidRPr="00117108">
              <w:rPr>
                <w:rFonts w:ascii="Arial" w:hAnsi="Arial" w:cs="Arial"/>
                <w:sz w:val="16"/>
                <w:szCs w:val="16"/>
              </w:rPr>
              <w:t>Administered expenses</w:t>
            </w:r>
          </w:p>
        </w:tc>
        <w:tc>
          <w:tcPr>
            <w:tcW w:w="934" w:type="dxa"/>
            <w:tcBorders>
              <w:top w:val="nil"/>
              <w:left w:val="nil"/>
              <w:bottom w:val="nil"/>
              <w:right w:val="nil"/>
            </w:tcBorders>
            <w:shd w:val="clear" w:color="auto" w:fill="auto"/>
            <w:noWrap/>
            <w:vAlign w:val="bottom"/>
            <w:hideMark/>
          </w:tcPr>
          <w:p w14:paraId="16636F69" w14:textId="77777777" w:rsidR="00457670" w:rsidRPr="00117108" w:rsidRDefault="00457670" w:rsidP="00457670">
            <w:pPr>
              <w:spacing w:after="0" w:line="240" w:lineRule="auto"/>
              <w:jc w:val="right"/>
              <w:rPr>
                <w:rFonts w:ascii="Arial" w:hAnsi="Arial" w:cs="Arial"/>
                <w:sz w:val="16"/>
                <w:szCs w:val="16"/>
              </w:rPr>
            </w:pPr>
          </w:p>
        </w:tc>
        <w:tc>
          <w:tcPr>
            <w:tcW w:w="950" w:type="dxa"/>
            <w:tcBorders>
              <w:top w:val="nil"/>
              <w:left w:val="nil"/>
              <w:bottom w:val="nil"/>
              <w:right w:val="nil"/>
            </w:tcBorders>
            <w:shd w:val="clear" w:color="auto" w:fill="E6E6E6"/>
            <w:noWrap/>
            <w:vAlign w:val="bottom"/>
            <w:hideMark/>
          </w:tcPr>
          <w:p w14:paraId="7FB5BFD8" w14:textId="77777777" w:rsidR="00457670" w:rsidRPr="00117108" w:rsidRDefault="00457670" w:rsidP="00457670">
            <w:pPr>
              <w:spacing w:after="0" w:line="240" w:lineRule="auto"/>
              <w:jc w:val="right"/>
              <w:rPr>
                <w:rFonts w:ascii="Arial" w:hAnsi="Arial" w:cs="Arial"/>
                <w:sz w:val="16"/>
                <w:szCs w:val="16"/>
              </w:rPr>
            </w:pPr>
            <w:r w:rsidRPr="00117108">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7A8DC437" w14:textId="77777777" w:rsidR="00457670" w:rsidRPr="00117108" w:rsidRDefault="00457670" w:rsidP="00457670">
            <w:pPr>
              <w:spacing w:after="0" w:line="240" w:lineRule="auto"/>
              <w:jc w:val="right"/>
              <w:rPr>
                <w:rFonts w:ascii="Arial" w:hAnsi="Arial" w:cs="Arial"/>
                <w:sz w:val="16"/>
                <w:szCs w:val="16"/>
              </w:rPr>
            </w:pPr>
          </w:p>
        </w:tc>
        <w:tc>
          <w:tcPr>
            <w:tcW w:w="969" w:type="dxa"/>
            <w:gridSpan w:val="2"/>
            <w:tcBorders>
              <w:top w:val="nil"/>
              <w:left w:val="nil"/>
              <w:bottom w:val="nil"/>
              <w:right w:val="nil"/>
            </w:tcBorders>
            <w:shd w:val="clear" w:color="auto" w:fill="auto"/>
            <w:noWrap/>
            <w:vAlign w:val="bottom"/>
            <w:hideMark/>
          </w:tcPr>
          <w:p w14:paraId="2BAD70D6" w14:textId="77777777" w:rsidR="00457670" w:rsidRPr="00117108" w:rsidRDefault="00457670" w:rsidP="00457670">
            <w:pPr>
              <w:spacing w:after="0" w:line="240" w:lineRule="auto"/>
              <w:jc w:val="right"/>
              <w:rPr>
                <w:rFonts w:ascii="Times New Roman" w:hAnsi="Times New Roman"/>
                <w:sz w:val="16"/>
                <w:szCs w:val="16"/>
              </w:rPr>
            </w:pPr>
          </w:p>
        </w:tc>
        <w:tc>
          <w:tcPr>
            <w:tcW w:w="1034" w:type="dxa"/>
            <w:tcBorders>
              <w:top w:val="nil"/>
              <w:left w:val="nil"/>
              <w:bottom w:val="nil"/>
              <w:right w:val="nil"/>
            </w:tcBorders>
            <w:shd w:val="clear" w:color="auto" w:fill="auto"/>
            <w:noWrap/>
            <w:vAlign w:val="bottom"/>
            <w:hideMark/>
          </w:tcPr>
          <w:p w14:paraId="37CE8926" w14:textId="77777777" w:rsidR="00457670" w:rsidRPr="00117108" w:rsidRDefault="00457670" w:rsidP="00457670">
            <w:pPr>
              <w:spacing w:after="0" w:line="240" w:lineRule="auto"/>
              <w:jc w:val="right"/>
              <w:rPr>
                <w:rFonts w:ascii="Times New Roman" w:hAnsi="Times New Roman"/>
                <w:sz w:val="16"/>
                <w:szCs w:val="16"/>
              </w:rPr>
            </w:pPr>
          </w:p>
        </w:tc>
      </w:tr>
      <w:tr w:rsidR="00F10ACD" w:rsidRPr="00457670" w14:paraId="12C882DE" w14:textId="77777777" w:rsidTr="006C442A">
        <w:trPr>
          <w:trHeight w:val="204"/>
        </w:trPr>
        <w:tc>
          <w:tcPr>
            <w:tcW w:w="2692" w:type="dxa"/>
            <w:tcBorders>
              <w:top w:val="nil"/>
              <w:left w:val="nil"/>
              <w:bottom w:val="nil"/>
              <w:right w:val="nil"/>
            </w:tcBorders>
            <w:shd w:val="clear" w:color="auto" w:fill="auto"/>
            <w:vAlign w:val="bottom"/>
            <w:hideMark/>
          </w:tcPr>
          <w:p w14:paraId="356AF4C3" w14:textId="77777777"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Ordinary Annual Services (Appropriation Act No. 1 and Bill No. 3)</w:t>
            </w:r>
          </w:p>
        </w:tc>
        <w:tc>
          <w:tcPr>
            <w:tcW w:w="934" w:type="dxa"/>
            <w:tcBorders>
              <w:top w:val="nil"/>
              <w:left w:val="nil"/>
              <w:bottom w:val="nil"/>
              <w:right w:val="nil"/>
            </w:tcBorders>
            <w:shd w:val="clear" w:color="auto" w:fill="auto"/>
            <w:noWrap/>
            <w:vAlign w:val="bottom"/>
            <w:hideMark/>
          </w:tcPr>
          <w:p w14:paraId="633C9BA1" w14:textId="6B7C47CA"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83 </w:t>
            </w:r>
          </w:p>
        </w:tc>
        <w:tc>
          <w:tcPr>
            <w:tcW w:w="950" w:type="dxa"/>
            <w:tcBorders>
              <w:top w:val="nil"/>
              <w:left w:val="nil"/>
              <w:bottom w:val="nil"/>
              <w:right w:val="nil"/>
            </w:tcBorders>
            <w:shd w:val="clear" w:color="auto" w:fill="E6E6E6"/>
            <w:noWrap/>
            <w:vAlign w:val="bottom"/>
            <w:hideMark/>
          </w:tcPr>
          <w:p w14:paraId="272B5192" w14:textId="033AC647"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300 </w:t>
            </w:r>
          </w:p>
        </w:tc>
        <w:tc>
          <w:tcPr>
            <w:tcW w:w="977" w:type="dxa"/>
            <w:tcBorders>
              <w:top w:val="nil"/>
              <w:left w:val="nil"/>
              <w:bottom w:val="nil"/>
              <w:right w:val="nil"/>
            </w:tcBorders>
            <w:shd w:val="clear" w:color="auto" w:fill="auto"/>
            <w:noWrap/>
            <w:vAlign w:val="bottom"/>
            <w:hideMark/>
          </w:tcPr>
          <w:p w14:paraId="43E51EF6" w14:textId="0EA472B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100 </w:t>
            </w:r>
          </w:p>
        </w:tc>
        <w:tc>
          <w:tcPr>
            <w:tcW w:w="969" w:type="dxa"/>
            <w:gridSpan w:val="2"/>
            <w:tcBorders>
              <w:top w:val="nil"/>
              <w:left w:val="nil"/>
              <w:bottom w:val="nil"/>
              <w:right w:val="nil"/>
            </w:tcBorders>
            <w:shd w:val="clear" w:color="auto" w:fill="auto"/>
            <w:noWrap/>
            <w:vAlign w:val="bottom"/>
            <w:hideMark/>
          </w:tcPr>
          <w:p w14:paraId="47E1A3CD" w14:textId="533E459F"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100 </w:t>
            </w:r>
          </w:p>
        </w:tc>
        <w:tc>
          <w:tcPr>
            <w:tcW w:w="1034" w:type="dxa"/>
            <w:tcBorders>
              <w:top w:val="nil"/>
              <w:left w:val="nil"/>
              <w:bottom w:val="nil"/>
              <w:right w:val="nil"/>
            </w:tcBorders>
            <w:shd w:val="clear" w:color="auto" w:fill="auto"/>
            <w:noWrap/>
            <w:vAlign w:val="bottom"/>
            <w:hideMark/>
          </w:tcPr>
          <w:p w14:paraId="3655C08C" w14:textId="3A755A8C"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r>
      <w:tr w:rsidR="00F10ACD" w:rsidRPr="00457670" w14:paraId="0634D965" w14:textId="77777777" w:rsidTr="006C442A">
        <w:trPr>
          <w:trHeight w:val="204"/>
        </w:trPr>
        <w:tc>
          <w:tcPr>
            <w:tcW w:w="2692" w:type="dxa"/>
            <w:tcBorders>
              <w:top w:val="nil"/>
              <w:left w:val="nil"/>
              <w:bottom w:val="nil"/>
              <w:right w:val="nil"/>
            </w:tcBorders>
            <w:shd w:val="clear" w:color="auto" w:fill="auto"/>
            <w:vAlign w:val="bottom"/>
            <w:hideMark/>
          </w:tcPr>
          <w:p w14:paraId="3151477B" w14:textId="2124868C"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Expenses not requiring appropriation in the Budget year </w:t>
            </w:r>
            <w:r w:rsidRPr="00117108">
              <w:rPr>
                <w:rFonts w:ascii="Arial" w:hAnsi="Arial" w:cs="Arial"/>
                <w:sz w:val="16"/>
                <w:szCs w:val="16"/>
                <w:vertAlign w:val="superscript"/>
              </w:rPr>
              <w:t>(a)</w:t>
            </w:r>
          </w:p>
        </w:tc>
        <w:tc>
          <w:tcPr>
            <w:tcW w:w="934" w:type="dxa"/>
            <w:tcBorders>
              <w:top w:val="nil"/>
              <w:left w:val="nil"/>
              <w:bottom w:val="nil"/>
              <w:right w:val="nil"/>
            </w:tcBorders>
            <w:shd w:val="clear" w:color="auto" w:fill="auto"/>
            <w:noWrap/>
            <w:vAlign w:val="bottom"/>
            <w:hideMark/>
          </w:tcPr>
          <w:p w14:paraId="16300271" w14:textId="2A659F60"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4,721 </w:t>
            </w:r>
          </w:p>
        </w:tc>
        <w:tc>
          <w:tcPr>
            <w:tcW w:w="950" w:type="dxa"/>
            <w:tcBorders>
              <w:top w:val="nil"/>
              <w:left w:val="nil"/>
              <w:bottom w:val="nil"/>
              <w:right w:val="nil"/>
            </w:tcBorders>
            <w:shd w:val="clear" w:color="auto" w:fill="E6E6E6"/>
            <w:noWrap/>
            <w:vAlign w:val="bottom"/>
            <w:hideMark/>
          </w:tcPr>
          <w:p w14:paraId="4ADA6AD6" w14:textId="6D590139"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2,533 </w:t>
            </w:r>
          </w:p>
        </w:tc>
        <w:tc>
          <w:tcPr>
            <w:tcW w:w="977" w:type="dxa"/>
            <w:tcBorders>
              <w:top w:val="nil"/>
              <w:left w:val="nil"/>
              <w:bottom w:val="nil"/>
              <w:right w:val="nil"/>
            </w:tcBorders>
            <w:shd w:val="clear" w:color="auto" w:fill="auto"/>
            <w:noWrap/>
            <w:vAlign w:val="bottom"/>
            <w:hideMark/>
          </w:tcPr>
          <w:p w14:paraId="38418004" w14:textId="71FB7FF6"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969" w:type="dxa"/>
            <w:gridSpan w:val="2"/>
            <w:tcBorders>
              <w:top w:val="nil"/>
              <w:left w:val="nil"/>
              <w:bottom w:val="nil"/>
              <w:right w:val="nil"/>
            </w:tcBorders>
            <w:shd w:val="clear" w:color="auto" w:fill="auto"/>
            <w:noWrap/>
            <w:vAlign w:val="bottom"/>
            <w:hideMark/>
          </w:tcPr>
          <w:p w14:paraId="43D8DEFD" w14:textId="4CDDAE8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1034" w:type="dxa"/>
            <w:tcBorders>
              <w:top w:val="nil"/>
              <w:left w:val="nil"/>
              <w:bottom w:val="nil"/>
              <w:right w:val="nil"/>
            </w:tcBorders>
            <w:shd w:val="clear" w:color="auto" w:fill="auto"/>
            <w:noWrap/>
            <w:vAlign w:val="bottom"/>
            <w:hideMark/>
          </w:tcPr>
          <w:p w14:paraId="71EF58F6" w14:textId="23EAF2DC"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r>
      <w:tr w:rsidR="00F10ACD" w:rsidRPr="00457670" w14:paraId="3F7993A4" w14:textId="77777777" w:rsidTr="006C442A">
        <w:trPr>
          <w:trHeight w:val="204"/>
        </w:trPr>
        <w:tc>
          <w:tcPr>
            <w:tcW w:w="2692" w:type="dxa"/>
            <w:tcBorders>
              <w:top w:val="nil"/>
              <w:left w:val="nil"/>
              <w:bottom w:val="nil"/>
              <w:right w:val="nil"/>
            </w:tcBorders>
            <w:shd w:val="clear" w:color="auto" w:fill="auto"/>
            <w:noWrap/>
            <w:vAlign w:val="bottom"/>
            <w:hideMark/>
          </w:tcPr>
          <w:p w14:paraId="3484AD44" w14:textId="77777777" w:rsidR="00F10ACD" w:rsidRPr="00117108" w:rsidRDefault="00F10ACD" w:rsidP="00F10ACD">
            <w:pPr>
              <w:spacing w:after="0" w:line="240" w:lineRule="auto"/>
              <w:jc w:val="left"/>
              <w:rPr>
                <w:rFonts w:ascii="Arial" w:hAnsi="Arial" w:cs="Arial"/>
                <w:b/>
                <w:bCs/>
                <w:sz w:val="16"/>
                <w:szCs w:val="16"/>
              </w:rPr>
            </w:pPr>
            <w:r w:rsidRPr="00117108">
              <w:rPr>
                <w:rFonts w:ascii="Arial" w:hAnsi="Arial" w:cs="Arial"/>
                <w:b/>
                <w:bCs/>
                <w:sz w:val="16"/>
                <w:szCs w:val="16"/>
              </w:rPr>
              <w:t>Total expenses for Program 3.3</w:t>
            </w:r>
          </w:p>
        </w:tc>
        <w:tc>
          <w:tcPr>
            <w:tcW w:w="934" w:type="dxa"/>
            <w:tcBorders>
              <w:top w:val="single" w:sz="4" w:space="0" w:color="auto"/>
              <w:left w:val="nil"/>
              <w:bottom w:val="single" w:sz="4" w:space="0" w:color="auto"/>
              <w:right w:val="nil"/>
            </w:tcBorders>
            <w:shd w:val="clear" w:color="auto" w:fill="auto"/>
            <w:noWrap/>
            <w:vAlign w:val="bottom"/>
            <w:hideMark/>
          </w:tcPr>
          <w:p w14:paraId="60F7DEAC" w14:textId="7A596327"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4,804 </w:t>
            </w:r>
          </w:p>
        </w:tc>
        <w:tc>
          <w:tcPr>
            <w:tcW w:w="950" w:type="dxa"/>
            <w:tcBorders>
              <w:top w:val="single" w:sz="4" w:space="0" w:color="auto"/>
              <w:left w:val="nil"/>
              <w:bottom w:val="single" w:sz="4" w:space="0" w:color="auto"/>
              <w:right w:val="nil"/>
            </w:tcBorders>
            <w:shd w:val="clear" w:color="auto" w:fill="E6E6E6"/>
            <w:noWrap/>
            <w:vAlign w:val="bottom"/>
            <w:hideMark/>
          </w:tcPr>
          <w:p w14:paraId="20264594" w14:textId="25DC5D32"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2,833 </w:t>
            </w:r>
          </w:p>
        </w:tc>
        <w:tc>
          <w:tcPr>
            <w:tcW w:w="977" w:type="dxa"/>
            <w:tcBorders>
              <w:top w:val="single" w:sz="4" w:space="0" w:color="auto"/>
              <w:left w:val="nil"/>
              <w:bottom w:val="single" w:sz="4" w:space="0" w:color="auto"/>
              <w:right w:val="nil"/>
            </w:tcBorders>
            <w:shd w:val="clear" w:color="auto" w:fill="auto"/>
            <w:noWrap/>
            <w:vAlign w:val="bottom"/>
            <w:hideMark/>
          </w:tcPr>
          <w:p w14:paraId="7747F11D" w14:textId="40943E8D"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100 </w:t>
            </w:r>
          </w:p>
        </w:tc>
        <w:tc>
          <w:tcPr>
            <w:tcW w:w="969" w:type="dxa"/>
            <w:gridSpan w:val="2"/>
            <w:tcBorders>
              <w:top w:val="single" w:sz="4" w:space="0" w:color="auto"/>
              <w:left w:val="nil"/>
              <w:bottom w:val="single" w:sz="4" w:space="0" w:color="auto"/>
              <w:right w:val="nil"/>
            </w:tcBorders>
            <w:shd w:val="clear" w:color="auto" w:fill="auto"/>
            <w:noWrap/>
            <w:vAlign w:val="bottom"/>
            <w:hideMark/>
          </w:tcPr>
          <w:p w14:paraId="1DF9E823" w14:textId="66C91788"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100 </w:t>
            </w:r>
          </w:p>
        </w:tc>
        <w:tc>
          <w:tcPr>
            <w:tcW w:w="1034" w:type="dxa"/>
            <w:tcBorders>
              <w:top w:val="single" w:sz="4" w:space="0" w:color="auto"/>
              <w:left w:val="nil"/>
              <w:bottom w:val="single" w:sz="4" w:space="0" w:color="auto"/>
              <w:right w:val="nil"/>
            </w:tcBorders>
            <w:shd w:val="clear" w:color="auto" w:fill="auto"/>
            <w:noWrap/>
            <w:vAlign w:val="bottom"/>
            <w:hideMark/>
          </w:tcPr>
          <w:p w14:paraId="174B5145" w14:textId="385B59F7"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 </w:t>
            </w:r>
          </w:p>
        </w:tc>
      </w:tr>
      <w:tr w:rsidR="00117108" w:rsidRPr="00457670" w14:paraId="6DDFB69A" w14:textId="77777777" w:rsidTr="006C442A">
        <w:trPr>
          <w:trHeight w:val="204"/>
        </w:trPr>
        <w:tc>
          <w:tcPr>
            <w:tcW w:w="7553" w:type="dxa"/>
            <w:gridSpan w:val="7"/>
            <w:tcBorders>
              <w:top w:val="single" w:sz="4" w:space="0" w:color="auto"/>
              <w:left w:val="nil"/>
              <w:bottom w:val="single" w:sz="4" w:space="0" w:color="auto"/>
              <w:right w:val="nil"/>
            </w:tcBorders>
            <w:shd w:val="clear" w:color="auto" w:fill="E6E6E6"/>
            <w:noWrap/>
            <w:hideMark/>
          </w:tcPr>
          <w:p w14:paraId="46134F8D" w14:textId="667A082B" w:rsidR="00117108" w:rsidRPr="00457670" w:rsidRDefault="00117108" w:rsidP="00F10ACD">
            <w:pPr>
              <w:spacing w:after="0" w:line="240" w:lineRule="auto"/>
              <w:jc w:val="left"/>
              <w:rPr>
                <w:rFonts w:ascii="Arial" w:hAnsi="Arial" w:cs="Arial"/>
                <w:sz w:val="16"/>
                <w:szCs w:val="16"/>
              </w:rPr>
            </w:pPr>
            <w:r w:rsidRPr="00457670">
              <w:rPr>
                <w:rFonts w:ascii="Arial" w:hAnsi="Arial" w:cs="Arial"/>
                <w:b/>
                <w:bCs/>
                <w:sz w:val="16"/>
                <w:szCs w:val="16"/>
              </w:rPr>
              <w:t>Program 3.4: Growing a Stronger Northern Australian Economy</w:t>
            </w:r>
            <w:r w:rsidR="00F10ACD">
              <w:rPr>
                <w:rFonts w:ascii="Arial" w:hAnsi="Arial" w:cs="Arial"/>
                <w:b/>
                <w:bCs/>
                <w:sz w:val="16"/>
                <w:szCs w:val="16"/>
              </w:rPr>
              <w:t xml:space="preserve"> </w:t>
            </w:r>
            <w:r w:rsidR="00F10ACD" w:rsidRPr="00F10ACD">
              <w:rPr>
                <w:rFonts w:ascii="Arial" w:hAnsi="Arial" w:cs="Arial"/>
                <w:b/>
                <w:bCs/>
                <w:sz w:val="16"/>
                <w:szCs w:val="16"/>
                <w:vertAlign w:val="superscript"/>
              </w:rPr>
              <w:t>(b)</w:t>
            </w:r>
            <w:r w:rsidR="006317FB">
              <w:rPr>
                <w:rFonts w:ascii="Arial" w:hAnsi="Arial" w:cs="Arial"/>
                <w:b/>
                <w:bCs/>
                <w:sz w:val="16"/>
                <w:szCs w:val="16"/>
              </w:rPr>
              <w:t xml:space="preserve"> </w:t>
            </w:r>
          </w:p>
        </w:tc>
      </w:tr>
      <w:tr w:rsidR="00457670" w:rsidRPr="00457670" w14:paraId="68FB6606" w14:textId="77777777" w:rsidTr="006C442A">
        <w:trPr>
          <w:trHeight w:val="204"/>
        </w:trPr>
        <w:tc>
          <w:tcPr>
            <w:tcW w:w="2692" w:type="dxa"/>
            <w:tcBorders>
              <w:top w:val="nil"/>
              <w:left w:val="nil"/>
              <w:bottom w:val="nil"/>
              <w:right w:val="nil"/>
            </w:tcBorders>
            <w:shd w:val="clear" w:color="auto" w:fill="auto"/>
            <w:noWrap/>
            <w:vAlign w:val="bottom"/>
            <w:hideMark/>
          </w:tcPr>
          <w:p w14:paraId="3A6D1EBE" w14:textId="77777777" w:rsidR="00457670" w:rsidRPr="00117108" w:rsidRDefault="00457670" w:rsidP="00457670">
            <w:pPr>
              <w:spacing w:after="0" w:line="240" w:lineRule="auto"/>
              <w:jc w:val="left"/>
              <w:rPr>
                <w:rFonts w:ascii="Arial" w:hAnsi="Arial" w:cs="Arial"/>
                <w:sz w:val="16"/>
                <w:szCs w:val="16"/>
              </w:rPr>
            </w:pPr>
            <w:r w:rsidRPr="00117108">
              <w:rPr>
                <w:rFonts w:ascii="Arial" w:hAnsi="Arial" w:cs="Arial"/>
                <w:sz w:val="16"/>
                <w:szCs w:val="16"/>
              </w:rPr>
              <w:t>Administered expenses</w:t>
            </w:r>
          </w:p>
        </w:tc>
        <w:tc>
          <w:tcPr>
            <w:tcW w:w="934" w:type="dxa"/>
            <w:tcBorders>
              <w:top w:val="nil"/>
              <w:left w:val="nil"/>
              <w:bottom w:val="nil"/>
              <w:right w:val="nil"/>
            </w:tcBorders>
            <w:shd w:val="clear" w:color="auto" w:fill="auto"/>
            <w:noWrap/>
            <w:vAlign w:val="bottom"/>
            <w:hideMark/>
          </w:tcPr>
          <w:p w14:paraId="07412EFA" w14:textId="77777777" w:rsidR="00457670" w:rsidRPr="00117108" w:rsidRDefault="00457670" w:rsidP="00457670">
            <w:pPr>
              <w:spacing w:after="0" w:line="240" w:lineRule="auto"/>
              <w:jc w:val="right"/>
              <w:rPr>
                <w:rFonts w:ascii="Arial" w:hAnsi="Arial" w:cs="Arial"/>
                <w:sz w:val="16"/>
                <w:szCs w:val="16"/>
              </w:rPr>
            </w:pPr>
          </w:p>
        </w:tc>
        <w:tc>
          <w:tcPr>
            <w:tcW w:w="950" w:type="dxa"/>
            <w:tcBorders>
              <w:top w:val="nil"/>
              <w:left w:val="nil"/>
              <w:bottom w:val="nil"/>
              <w:right w:val="nil"/>
            </w:tcBorders>
            <w:shd w:val="clear" w:color="auto" w:fill="E6E6E6"/>
            <w:noWrap/>
            <w:vAlign w:val="bottom"/>
            <w:hideMark/>
          </w:tcPr>
          <w:p w14:paraId="6AB3D907" w14:textId="374DFB8F" w:rsidR="00457670" w:rsidRPr="00117108" w:rsidRDefault="00457670" w:rsidP="00457670">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1099C1D4" w14:textId="77777777" w:rsidR="00457670" w:rsidRPr="00117108" w:rsidRDefault="00457670" w:rsidP="00457670">
            <w:pPr>
              <w:spacing w:after="0" w:line="240" w:lineRule="auto"/>
              <w:jc w:val="right"/>
              <w:rPr>
                <w:rFonts w:ascii="Arial" w:hAnsi="Arial" w:cs="Arial"/>
                <w:sz w:val="16"/>
                <w:szCs w:val="16"/>
              </w:rPr>
            </w:pPr>
          </w:p>
        </w:tc>
        <w:tc>
          <w:tcPr>
            <w:tcW w:w="969" w:type="dxa"/>
            <w:gridSpan w:val="2"/>
            <w:tcBorders>
              <w:top w:val="nil"/>
              <w:left w:val="nil"/>
              <w:bottom w:val="nil"/>
              <w:right w:val="nil"/>
            </w:tcBorders>
            <w:shd w:val="clear" w:color="auto" w:fill="auto"/>
            <w:noWrap/>
            <w:vAlign w:val="bottom"/>
            <w:hideMark/>
          </w:tcPr>
          <w:p w14:paraId="75ADA526" w14:textId="77777777" w:rsidR="00457670" w:rsidRPr="00117108" w:rsidRDefault="00457670" w:rsidP="00457670">
            <w:pPr>
              <w:spacing w:after="0" w:line="240" w:lineRule="auto"/>
              <w:jc w:val="right"/>
              <w:rPr>
                <w:rFonts w:ascii="Times New Roman" w:hAnsi="Times New Roman"/>
                <w:sz w:val="16"/>
                <w:szCs w:val="16"/>
              </w:rPr>
            </w:pPr>
          </w:p>
        </w:tc>
        <w:tc>
          <w:tcPr>
            <w:tcW w:w="1034" w:type="dxa"/>
            <w:tcBorders>
              <w:top w:val="nil"/>
              <w:left w:val="nil"/>
              <w:bottom w:val="nil"/>
              <w:right w:val="nil"/>
            </w:tcBorders>
            <w:shd w:val="clear" w:color="auto" w:fill="auto"/>
            <w:noWrap/>
            <w:vAlign w:val="bottom"/>
            <w:hideMark/>
          </w:tcPr>
          <w:p w14:paraId="21A5996B" w14:textId="77777777" w:rsidR="00457670" w:rsidRPr="00117108" w:rsidRDefault="00457670" w:rsidP="00457670">
            <w:pPr>
              <w:spacing w:after="0" w:line="240" w:lineRule="auto"/>
              <w:jc w:val="right"/>
              <w:rPr>
                <w:rFonts w:ascii="Times New Roman" w:hAnsi="Times New Roman"/>
                <w:sz w:val="16"/>
                <w:szCs w:val="16"/>
              </w:rPr>
            </w:pPr>
          </w:p>
        </w:tc>
      </w:tr>
      <w:tr w:rsidR="00F10ACD" w:rsidRPr="00457670" w14:paraId="60C68BB2" w14:textId="77777777" w:rsidTr="006C442A">
        <w:trPr>
          <w:trHeight w:val="204"/>
        </w:trPr>
        <w:tc>
          <w:tcPr>
            <w:tcW w:w="2692" w:type="dxa"/>
            <w:tcBorders>
              <w:top w:val="nil"/>
              <w:left w:val="nil"/>
              <w:bottom w:val="nil"/>
              <w:right w:val="nil"/>
            </w:tcBorders>
            <w:shd w:val="clear" w:color="auto" w:fill="auto"/>
            <w:vAlign w:val="bottom"/>
            <w:hideMark/>
          </w:tcPr>
          <w:p w14:paraId="0F85F150" w14:textId="77777777"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Ordinary Annual Services (Appropriation Act No. 1 and Bill No. 3)</w:t>
            </w:r>
          </w:p>
        </w:tc>
        <w:tc>
          <w:tcPr>
            <w:tcW w:w="934" w:type="dxa"/>
            <w:tcBorders>
              <w:top w:val="nil"/>
              <w:left w:val="nil"/>
              <w:bottom w:val="nil"/>
              <w:right w:val="nil"/>
            </w:tcBorders>
            <w:shd w:val="clear" w:color="auto" w:fill="auto"/>
            <w:noWrap/>
            <w:vAlign w:val="bottom"/>
            <w:hideMark/>
          </w:tcPr>
          <w:p w14:paraId="20874A94" w14:textId="447DB6D0"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950" w:type="dxa"/>
            <w:tcBorders>
              <w:top w:val="nil"/>
              <w:left w:val="nil"/>
              <w:bottom w:val="nil"/>
              <w:right w:val="nil"/>
            </w:tcBorders>
            <w:shd w:val="clear" w:color="auto" w:fill="E6E6E6"/>
            <w:noWrap/>
            <w:vAlign w:val="bottom"/>
            <w:hideMark/>
          </w:tcPr>
          <w:p w14:paraId="0144D24E" w14:textId="63AA8F6C"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30,777 </w:t>
            </w:r>
          </w:p>
        </w:tc>
        <w:tc>
          <w:tcPr>
            <w:tcW w:w="977" w:type="dxa"/>
            <w:tcBorders>
              <w:top w:val="nil"/>
              <w:left w:val="nil"/>
              <w:bottom w:val="nil"/>
              <w:right w:val="nil"/>
            </w:tcBorders>
            <w:shd w:val="clear" w:color="auto" w:fill="auto"/>
            <w:noWrap/>
            <w:vAlign w:val="bottom"/>
            <w:hideMark/>
          </w:tcPr>
          <w:p w14:paraId="4844B933" w14:textId="25FB6233"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30,777 </w:t>
            </w:r>
          </w:p>
        </w:tc>
        <w:tc>
          <w:tcPr>
            <w:tcW w:w="969" w:type="dxa"/>
            <w:gridSpan w:val="2"/>
            <w:tcBorders>
              <w:top w:val="nil"/>
              <w:left w:val="nil"/>
              <w:bottom w:val="nil"/>
              <w:right w:val="nil"/>
            </w:tcBorders>
            <w:shd w:val="clear" w:color="auto" w:fill="auto"/>
            <w:noWrap/>
            <w:vAlign w:val="bottom"/>
            <w:hideMark/>
          </w:tcPr>
          <w:p w14:paraId="0F81C295" w14:textId="0100E219"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30,777 </w:t>
            </w:r>
          </w:p>
        </w:tc>
        <w:tc>
          <w:tcPr>
            <w:tcW w:w="1034" w:type="dxa"/>
            <w:tcBorders>
              <w:top w:val="nil"/>
              <w:left w:val="nil"/>
              <w:bottom w:val="nil"/>
              <w:right w:val="nil"/>
            </w:tcBorders>
            <w:shd w:val="clear" w:color="auto" w:fill="auto"/>
            <w:noWrap/>
            <w:vAlign w:val="bottom"/>
            <w:hideMark/>
          </w:tcPr>
          <w:p w14:paraId="00128009" w14:textId="6C711FB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4,110 </w:t>
            </w:r>
          </w:p>
        </w:tc>
      </w:tr>
      <w:tr w:rsidR="00F10ACD" w:rsidRPr="00457670" w14:paraId="640685DD" w14:textId="77777777" w:rsidTr="006C442A">
        <w:trPr>
          <w:trHeight w:val="204"/>
        </w:trPr>
        <w:tc>
          <w:tcPr>
            <w:tcW w:w="2692" w:type="dxa"/>
            <w:tcBorders>
              <w:top w:val="nil"/>
              <w:left w:val="nil"/>
              <w:bottom w:val="nil"/>
              <w:right w:val="nil"/>
            </w:tcBorders>
            <w:shd w:val="clear" w:color="auto" w:fill="auto"/>
            <w:vAlign w:val="bottom"/>
            <w:hideMark/>
          </w:tcPr>
          <w:p w14:paraId="3BEA0EDF" w14:textId="3E9646BA"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 xml:space="preserve">Payments to corporate entities </w:t>
            </w:r>
            <w:r w:rsidRPr="00117108">
              <w:rPr>
                <w:rFonts w:ascii="Arial" w:hAnsi="Arial" w:cs="Arial"/>
                <w:sz w:val="16"/>
                <w:szCs w:val="16"/>
                <w:vertAlign w:val="superscript"/>
              </w:rPr>
              <w:t>(</w:t>
            </w:r>
            <w:r>
              <w:rPr>
                <w:rFonts w:ascii="Arial" w:hAnsi="Arial" w:cs="Arial"/>
                <w:sz w:val="16"/>
                <w:szCs w:val="16"/>
                <w:vertAlign w:val="superscript"/>
              </w:rPr>
              <w:t>c</w:t>
            </w:r>
            <w:r w:rsidRPr="00117108">
              <w:rPr>
                <w:rFonts w:ascii="Arial" w:hAnsi="Arial" w:cs="Arial"/>
                <w:sz w:val="16"/>
                <w:szCs w:val="16"/>
                <w:vertAlign w:val="superscript"/>
              </w:rPr>
              <w:t>)</w:t>
            </w:r>
          </w:p>
        </w:tc>
        <w:tc>
          <w:tcPr>
            <w:tcW w:w="934" w:type="dxa"/>
            <w:tcBorders>
              <w:top w:val="nil"/>
              <w:left w:val="nil"/>
              <w:bottom w:val="nil"/>
              <w:right w:val="nil"/>
            </w:tcBorders>
            <w:shd w:val="clear" w:color="auto" w:fill="auto"/>
            <w:noWrap/>
            <w:vAlign w:val="bottom"/>
            <w:hideMark/>
          </w:tcPr>
          <w:p w14:paraId="1D495502" w14:textId="2D108602"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950" w:type="dxa"/>
            <w:tcBorders>
              <w:top w:val="nil"/>
              <w:left w:val="nil"/>
              <w:bottom w:val="nil"/>
              <w:right w:val="nil"/>
            </w:tcBorders>
            <w:shd w:val="clear" w:color="auto" w:fill="E6E6E6"/>
            <w:noWrap/>
            <w:vAlign w:val="bottom"/>
            <w:hideMark/>
          </w:tcPr>
          <w:p w14:paraId="214EF8F5" w14:textId="70917A90"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14,227 </w:t>
            </w:r>
          </w:p>
        </w:tc>
        <w:tc>
          <w:tcPr>
            <w:tcW w:w="977" w:type="dxa"/>
            <w:tcBorders>
              <w:top w:val="nil"/>
              <w:left w:val="nil"/>
              <w:bottom w:val="nil"/>
              <w:right w:val="nil"/>
            </w:tcBorders>
            <w:shd w:val="clear" w:color="auto" w:fill="auto"/>
            <w:noWrap/>
            <w:vAlign w:val="bottom"/>
            <w:hideMark/>
          </w:tcPr>
          <w:p w14:paraId="6DB19090" w14:textId="64F0CA5B"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20,877 </w:t>
            </w:r>
          </w:p>
        </w:tc>
        <w:tc>
          <w:tcPr>
            <w:tcW w:w="969" w:type="dxa"/>
            <w:gridSpan w:val="2"/>
            <w:tcBorders>
              <w:top w:val="nil"/>
              <w:left w:val="nil"/>
              <w:bottom w:val="nil"/>
              <w:right w:val="nil"/>
            </w:tcBorders>
            <w:shd w:val="clear" w:color="auto" w:fill="auto"/>
            <w:noWrap/>
            <w:vAlign w:val="bottom"/>
            <w:hideMark/>
          </w:tcPr>
          <w:p w14:paraId="5003E20B" w14:textId="23EA4FBB"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21,028 </w:t>
            </w:r>
          </w:p>
        </w:tc>
        <w:tc>
          <w:tcPr>
            <w:tcW w:w="1034" w:type="dxa"/>
            <w:tcBorders>
              <w:top w:val="nil"/>
              <w:left w:val="nil"/>
              <w:bottom w:val="nil"/>
              <w:right w:val="nil"/>
            </w:tcBorders>
            <w:shd w:val="clear" w:color="auto" w:fill="auto"/>
            <w:noWrap/>
            <w:vAlign w:val="bottom"/>
            <w:hideMark/>
          </w:tcPr>
          <w:p w14:paraId="4003920B" w14:textId="261019A7"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21,191 </w:t>
            </w:r>
          </w:p>
        </w:tc>
      </w:tr>
      <w:tr w:rsidR="00F10ACD" w:rsidRPr="00457670" w14:paraId="39C3B909" w14:textId="77777777" w:rsidTr="006C442A">
        <w:trPr>
          <w:trHeight w:val="204"/>
        </w:trPr>
        <w:tc>
          <w:tcPr>
            <w:tcW w:w="2692" w:type="dxa"/>
            <w:tcBorders>
              <w:top w:val="nil"/>
              <w:left w:val="nil"/>
              <w:bottom w:val="nil"/>
              <w:right w:val="nil"/>
            </w:tcBorders>
            <w:shd w:val="clear" w:color="auto" w:fill="auto"/>
            <w:vAlign w:val="bottom"/>
            <w:hideMark/>
          </w:tcPr>
          <w:p w14:paraId="694A4F44" w14:textId="5D77A933"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Expenses not requiring appropriation in the Budget year </w:t>
            </w:r>
            <w:r w:rsidRPr="00117108">
              <w:rPr>
                <w:rFonts w:ascii="Arial" w:hAnsi="Arial" w:cs="Arial"/>
                <w:sz w:val="16"/>
                <w:szCs w:val="16"/>
                <w:vertAlign w:val="superscript"/>
              </w:rPr>
              <w:t>(a)</w:t>
            </w:r>
          </w:p>
        </w:tc>
        <w:tc>
          <w:tcPr>
            <w:tcW w:w="934" w:type="dxa"/>
            <w:tcBorders>
              <w:top w:val="nil"/>
              <w:left w:val="nil"/>
              <w:bottom w:val="nil"/>
              <w:right w:val="nil"/>
            </w:tcBorders>
            <w:shd w:val="clear" w:color="auto" w:fill="auto"/>
            <w:noWrap/>
            <w:vAlign w:val="bottom"/>
            <w:hideMark/>
          </w:tcPr>
          <w:p w14:paraId="62CFD7B1" w14:textId="00B76ADF"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950" w:type="dxa"/>
            <w:tcBorders>
              <w:top w:val="nil"/>
              <w:left w:val="nil"/>
              <w:bottom w:val="nil"/>
              <w:right w:val="nil"/>
            </w:tcBorders>
            <w:shd w:val="clear" w:color="auto" w:fill="E6E6E6"/>
            <w:noWrap/>
            <w:vAlign w:val="bottom"/>
            <w:hideMark/>
          </w:tcPr>
          <w:p w14:paraId="5A928208" w14:textId="62E369B8"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380,514 </w:t>
            </w:r>
          </w:p>
        </w:tc>
        <w:tc>
          <w:tcPr>
            <w:tcW w:w="977" w:type="dxa"/>
            <w:tcBorders>
              <w:top w:val="nil"/>
              <w:left w:val="nil"/>
              <w:bottom w:val="nil"/>
              <w:right w:val="nil"/>
            </w:tcBorders>
            <w:shd w:val="clear" w:color="auto" w:fill="auto"/>
            <w:noWrap/>
            <w:vAlign w:val="bottom"/>
            <w:hideMark/>
          </w:tcPr>
          <w:p w14:paraId="419359DA" w14:textId="5BC9677F"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645,096 </w:t>
            </w:r>
          </w:p>
        </w:tc>
        <w:tc>
          <w:tcPr>
            <w:tcW w:w="969" w:type="dxa"/>
            <w:gridSpan w:val="2"/>
            <w:tcBorders>
              <w:top w:val="nil"/>
              <w:left w:val="nil"/>
              <w:bottom w:val="nil"/>
              <w:right w:val="nil"/>
            </w:tcBorders>
            <w:shd w:val="clear" w:color="auto" w:fill="auto"/>
            <w:noWrap/>
            <w:vAlign w:val="bottom"/>
            <w:hideMark/>
          </w:tcPr>
          <w:p w14:paraId="4CEADE14" w14:textId="51396C5D"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504,158 </w:t>
            </w:r>
          </w:p>
        </w:tc>
        <w:tc>
          <w:tcPr>
            <w:tcW w:w="1034" w:type="dxa"/>
            <w:tcBorders>
              <w:top w:val="nil"/>
              <w:left w:val="nil"/>
              <w:bottom w:val="nil"/>
              <w:right w:val="nil"/>
            </w:tcBorders>
            <w:shd w:val="clear" w:color="auto" w:fill="auto"/>
            <w:noWrap/>
            <w:vAlign w:val="bottom"/>
            <w:hideMark/>
          </w:tcPr>
          <w:p w14:paraId="695695F5" w14:textId="2EA4047C"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229,182 </w:t>
            </w:r>
          </w:p>
        </w:tc>
      </w:tr>
      <w:tr w:rsidR="00F10ACD" w:rsidRPr="00457670" w14:paraId="24C044D2" w14:textId="77777777" w:rsidTr="006C442A">
        <w:trPr>
          <w:trHeight w:val="204"/>
        </w:trPr>
        <w:tc>
          <w:tcPr>
            <w:tcW w:w="2692" w:type="dxa"/>
            <w:tcBorders>
              <w:top w:val="nil"/>
              <w:left w:val="nil"/>
              <w:bottom w:val="nil"/>
              <w:right w:val="nil"/>
            </w:tcBorders>
            <w:shd w:val="clear" w:color="auto" w:fill="auto"/>
            <w:noWrap/>
            <w:vAlign w:val="bottom"/>
            <w:hideMark/>
          </w:tcPr>
          <w:p w14:paraId="249E70BA" w14:textId="77777777" w:rsidR="00F10ACD" w:rsidRPr="00117108" w:rsidRDefault="00F10ACD" w:rsidP="00F10ACD">
            <w:pPr>
              <w:spacing w:after="0" w:line="240" w:lineRule="auto"/>
              <w:jc w:val="left"/>
              <w:rPr>
                <w:rFonts w:ascii="Arial" w:hAnsi="Arial" w:cs="Arial"/>
                <w:b/>
                <w:bCs/>
                <w:sz w:val="16"/>
                <w:szCs w:val="16"/>
              </w:rPr>
            </w:pPr>
            <w:r w:rsidRPr="00117108">
              <w:rPr>
                <w:rFonts w:ascii="Arial" w:hAnsi="Arial" w:cs="Arial"/>
                <w:b/>
                <w:bCs/>
                <w:sz w:val="16"/>
                <w:szCs w:val="16"/>
              </w:rPr>
              <w:t>Total expenses for Program 3.4</w:t>
            </w:r>
          </w:p>
        </w:tc>
        <w:tc>
          <w:tcPr>
            <w:tcW w:w="934" w:type="dxa"/>
            <w:tcBorders>
              <w:top w:val="single" w:sz="4" w:space="0" w:color="auto"/>
              <w:left w:val="nil"/>
              <w:bottom w:val="single" w:sz="4" w:space="0" w:color="auto"/>
              <w:right w:val="nil"/>
            </w:tcBorders>
            <w:shd w:val="clear" w:color="auto" w:fill="auto"/>
            <w:noWrap/>
            <w:vAlign w:val="bottom"/>
            <w:hideMark/>
          </w:tcPr>
          <w:p w14:paraId="6D575CF8" w14:textId="50783DD8"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 </w:t>
            </w:r>
          </w:p>
        </w:tc>
        <w:tc>
          <w:tcPr>
            <w:tcW w:w="950" w:type="dxa"/>
            <w:tcBorders>
              <w:top w:val="single" w:sz="4" w:space="0" w:color="auto"/>
              <w:left w:val="nil"/>
              <w:bottom w:val="single" w:sz="4" w:space="0" w:color="auto"/>
              <w:right w:val="nil"/>
            </w:tcBorders>
            <w:shd w:val="clear" w:color="auto" w:fill="E6E6E6"/>
            <w:noWrap/>
            <w:vAlign w:val="bottom"/>
            <w:hideMark/>
          </w:tcPr>
          <w:p w14:paraId="4B968849" w14:textId="296ECC8B"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425,518 </w:t>
            </w:r>
          </w:p>
        </w:tc>
        <w:tc>
          <w:tcPr>
            <w:tcW w:w="977" w:type="dxa"/>
            <w:tcBorders>
              <w:top w:val="single" w:sz="4" w:space="0" w:color="auto"/>
              <w:left w:val="nil"/>
              <w:bottom w:val="single" w:sz="4" w:space="0" w:color="auto"/>
              <w:right w:val="nil"/>
            </w:tcBorders>
            <w:shd w:val="clear" w:color="auto" w:fill="auto"/>
            <w:noWrap/>
            <w:vAlign w:val="bottom"/>
            <w:hideMark/>
          </w:tcPr>
          <w:p w14:paraId="68F72B77" w14:textId="7B1B0112"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696,750 </w:t>
            </w:r>
          </w:p>
        </w:tc>
        <w:tc>
          <w:tcPr>
            <w:tcW w:w="969" w:type="dxa"/>
            <w:gridSpan w:val="2"/>
            <w:tcBorders>
              <w:top w:val="single" w:sz="4" w:space="0" w:color="auto"/>
              <w:left w:val="nil"/>
              <w:bottom w:val="single" w:sz="4" w:space="0" w:color="auto"/>
              <w:right w:val="nil"/>
            </w:tcBorders>
            <w:shd w:val="clear" w:color="auto" w:fill="auto"/>
            <w:noWrap/>
            <w:vAlign w:val="bottom"/>
            <w:hideMark/>
          </w:tcPr>
          <w:p w14:paraId="6D4B50FD" w14:textId="1B453D41"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555,963 </w:t>
            </w:r>
          </w:p>
        </w:tc>
        <w:tc>
          <w:tcPr>
            <w:tcW w:w="1034" w:type="dxa"/>
            <w:tcBorders>
              <w:top w:val="single" w:sz="4" w:space="0" w:color="auto"/>
              <w:left w:val="nil"/>
              <w:bottom w:val="single" w:sz="4" w:space="0" w:color="auto"/>
              <w:right w:val="nil"/>
            </w:tcBorders>
            <w:shd w:val="clear" w:color="auto" w:fill="auto"/>
            <w:noWrap/>
            <w:vAlign w:val="bottom"/>
            <w:hideMark/>
          </w:tcPr>
          <w:p w14:paraId="7D6EF52A" w14:textId="55A4A503"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254,483 </w:t>
            </w:r>
          </w:p>
        </w:tc>
      </w:tr>
      <w:tr w:rsidR="00117108" w:rsidRPr="00457670" w14:paraId="4F405E64" w14:textId="77777777" w:rsidTr="006C442A">
        <w:trPr>
          <w:trHeight w:val="204"/>
        </w:trPr>
        <w:tc>
          <w:tcPr>
            <w:tcW w:w="7553" w:type="dxa"/>
            <w:gridSpan w:val="7"/>
            <w:tcBorders>
              <w:top w:val="single" w:sz="4" w:space="0" w:color="auto"/>
              <w:left w:val="nil"/>
              <w:bottom w:val="single" w:sz="4" w:space="0" w:color="auto"/>
              <w:right w:val="nil"/>
            </w:tcBorders>
            <w:shd w:val="clear" w:color="000000" w:fill="E6E6E6"/>
            <w:noWrap/>
            <w:hideMark/>
          </w:tcPr>
          <w:p w14:paraId="1FDF294E" w14:textId="0C487CFA" w:rsidR="00117108" w:rsidRPr="00457670" w:rsidRDefault="00117108" w:rsidP="00117108">
            <w:pPr>
              <w:spacing w:after="0" w:line="240" w:lineRule="auto"/>
              <w:jc w:val="left"/>
              <w:rPr>
                <w:rFonts w:ascii="Arial" w:hAnsi="Arial" w:cs="Arial"/>
                <w:sz w:val="16"/>
                <w:szCs w:val="16"/>
              </w:rPr>
            </w:pPr>
            <w:r w:rsidRPr="00457670">
              <w:rPr>
                <w:rFonts w:ascii="Arial" w:hAnsi="Arial" w:cs="Arial"/>
                <w:b/>
                <w:bCs/>
                <w:sz w:val="16"/>
                <w:szCs w:val="16"/>
              </w:rPr>
              <w:t>Program 3.5 Program Support for Outcome 3</w:t>
            </w:r>
            <w:r w:rsidRPr="00457670">
              <w:rPr>
                <w:rFonts w:ascii="Arial" w:hAnsi="Arial" w:cs="Arial"/>
                <w:sz w:val="16"/>
                <w:szCs w:val="16"/>
              </w:rPr>
              <w:t> </w:t>
            </w:r>
          </w:p>
        </w:tc>
      </w:tr>
      <w:tr w:rsidR="00457670" w:rsidRPr="00457670" w14:paraId="7980C11F" w14:textId="77777777" w:rsidTr="006C442A">
        <w:trPr>
          <w:trHeight w:val="204"/>
        </w:trPr>
        <w:tc>
          <w:tcPr>
            <w:tcW w:w="2692" w:type="dxa"/>
            <w:tcBorders>
              <w:top w:val="nil"/>
              <w:left w:val="nil"/>
              <w:bottom w:val="nil"/>
              <w:right w:val="nil"/>
            </w:tcBorders>
            <w:shd w:val="clear" w:color="auto" w:fill="auto"/>
            <w:noWrap/>
            <w:vAlign w:val="bottom"/>
            <w:hideMark/>
          </w:tcPr>
          <w:p w14:paraId="3AC1AF4A" w14:textId="77777777" w:rsidR="00457670" w:rsidRPr="00117108" w:rsidRDefault="00457670" w:rsidP="00457670">
            <w:pPr>
              <w:spacing w:after="0" w:line="240" w:lineRule="auto"/>
              <w:jc w:val="left"/>
              <w:rPr>
                <w:rFonts w:ascii="Arial" w:hAnsi="Arial" w:cs="Arial"/>
                <w:sz w:val="16"/>
                <w:szCs w:val="16"/>
              </w:rPr>
            </w:pPr>
            <w:r w:rsidRPr="00117108">
              <w:rPr>
                <w:rFonts w:ascii="Arial" w:hAnsi="Arial" w:cs="Arial"/>
                <w:sz w:val="16"/>
                <w:szCs w:val="16"/>
              </w:rPr>
              <w:t>Departmental expenses</w:t>
            </w:r>
          </w:p>
        </w:tc>
        <w:tc>
          <w:tcPr>
            <w:tcW w:w="934" w:type="dxa"/>
            <w:tcBorders>
              <w:top w:val="nil"/>
              <w:left w:val="nil"/>
              <w:bottom w:val="nil"/>
              <w:right w:val="nil"/>
            </w:tcBorders>
            <w:shd w:val="clear" w:color="auto" w:fill="auto"/>
            <w:noWrap/>
            <w:vAlign w:val="bottom"/>
            <w:hideMark/>
          </w:tcPr>
          <w:p w14:paraId="336E6E38" w14:textId="77777777" w:rsidR="00457670" w:rsidRPr="00117108" w:rsidRDefault="00457670" w:rsidP="0092537D">
            <w:pPr>
              <w:spacing w:after="0" w:line="240" w:lineRule="auto"/>
              <w:jc w:val="right"/>
              <w:rPr>
                <w:rFonts w:ascii="Arial" w:hAnsi="Arial" w:cs="Arial"/>
                <w:sz w:val="16"/>
                <w:szCs w:val="16"/>
              </w:rPr>
            </w:pPr>
          </w:p>
        </w:tc>
        <w:tc>
          <w:tcPr>
            <w:tcW w:w="950" w:type="dxa"/>
            <w:tcBorders>
              <w:top w:val="nil"/>
              <w:left w:val="nil"/>
              <w:bottom w:val="nil"/>
              <w:right w:val="nil"/>
            </w:tcBorders>
            <w:shd w:val="clear" w:color="auto" w:fill="E6E6E6"/>
            <w:noWrap/>
            <w:vAlign w:val="bottom"/>
            <w:hideMark/>
          </w:tcPr>
          <w:p w14:paraId="2E8726FF" w14:textId="44557B77" w:rsidR="00457670" w:rsidRPr="00117108" w:rsidRDefault="00457670" w:rsidP="0092537D">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11EFD783" w14:textId="77777777" w:rsidR="00457670" w:rsidRPr="00117108" w:rsidRDefault="00457670" w:rsidP="0092537D">
            <w:pPr>
              <w:spacing w:after="0" w:line="240" w:lineRule="auto"/>
              <w:jc w:val="right"/>
              <w:rPr>
                <w:rFonts w:ascii="Arial" w:hAnsi="Arial" w:cs="Arial"/>
                <w:sz w:val="16"/>
                <w:szCs w:val="16"/>
              </w:rPr>
            </w:pPr>
          </w:p>
        </w:tc>
        <w:tc>
          <w:tcPr>
            <w:tcW w:w="950" w:type="dxa"/>
            <w:tcBorders>
              <w:top w:val="nil"/>
              <w:left w:val="nil"/>
              <w:bottom w:val="nil"/>
              <w:right w:val="nil"/>
            </w:tcBorders>
            <w:shd w:val="clear" w:color="auto" w:fill="auto"/>
            <w:noWrap/>
            <w:vAlign w:val="bottom"/>
            <w:hideMark/>
          </w:tcPr>
          <w:p w14:paraId="392B6C05" w14:textId="77777777" w:rsidR="00457670" w:rsidRPr="00117108" w:rsidRDefault="00457670" w:rsidP="0092537D">
            <w:pPr>
              <w:spacing w:after="0" w:line="240" w:lineRule="auto"/>
              <w:jc w:val="right"/>
              <w:rPr>
                <w:rFonts w:ascii="Times New Roman" w:hAnsi="Times New Roman"/>
                <w:sz w:val="16"/>
                <w:szCs w:val="16"/>
              </w:rPr>
            </w:pPr>
          </w:p>
        </w:tc>
        <w:tc>
          <w:tcPr>
            <w:tcW w:w="1034" w:type="dxa"/>
            <w:tcBorders>
              <w:top w:val="nil"/>
              <w:left w:val="nil"/>
              <w:bottom w:val="nil"/>
              <w:right w:val="nil"/>
            </w:tcBorders>
            <w:shd w:val="clear" w:color="auto" w:fill="auto"/>
            <w:noWrap/>
            <w:vAlign w:val="bottom"/>
            <w:hideMark/>
          </w:tcPr>
          <w:p w14:paraId="51DBD4D5" w14:textId="77777777" w:rsidR="00457670" w:rsidRPr="00117108" w:rsidRDefault="00457670" w:rsidP="0092537D">
            <w:pPr>
              <w:spacing w:after="0" w:line="240" w:lineRule="auto"/>
              <w:jc w:val="right"/>
              <w:rPr>
                <w:rFonts w:ascii="Times New Roman" w:hAnsi="Times New Roman"/>
                <w:sz w:val="16"/>
                <w:szCs w:val="16"/>
              </w:rPr>
            </w:pPr>
          </w:p>
        </w:tc>
      </w:tr>
      <w:tr w:rsidR="00F10ACD" w:rsidRPr="00457670" w14:paraId="09C8891F" w14:textId="77777777" w:rsidTr="006C442A">
        <w:trPr>
          <w:trHeight w:val="204"/>
        </w:trPr>
        <w:tc>
          <w:tcPr>
            <w:tcW w:w="2692" w:type="dxa"/>
            <w:tcBorders>
              <w:top w:val="nil"/>
              <w:left w:val="nil"/>
              <w:bottom w:val="nil"/>
              <w:right w:val="nil"/>
            </w:tcBorders>
            <w:shd w:val="clear" w:color="auto" w:fill="auto"/>
            <w:vAlign w:val="bottom"/>
            <w:hideMark/>
          </w:tcPr>
          <w:p w14:paraId="5B7DC8FB" w14:textId="77777777"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Departmental appropriation</w:t>
            </w:r>
          </w:p>
        </w:tc>
        <w:tc>
          <w:tcPr>
            <w:tcW w:w="934" w:type="dxa"/>
            <w:tcBorders>
              <w:top w:val="nil"/>
              <w:left w:val="nil"/>
              <w:bottom w:val="nil"/>
              <w:right w:val="nil"/>
            </w:tcBorders>
            <w:shd w:val="clear" w:color="auto" w:fill="auto"/>
            <w:noWrap/>
            <w:vAlign w:val="bottom"/>
            <w:hideMark/>
          </w:tcPr>
          <w:p w14:paraId="039435CE" w14:textId="4AF70F10"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62,458 </w:t>
            </w:r>
          </w:p>
        </w:tc>
        <w:tc>
          <w:tcPr>
            <w:tcW w:w="950" w:type="dxa"/>
            <w:tcBorders>
              <w:top w:val="nil"/>
              <w:left w:val="nil"/>
              <w:bottom w:val="nil"/>
              <w:right w:val="nil"/>
            </w:tcBorders>
            <w:shd w:val="clear" w:color="auto" w:fill="E6E6E6"/>
            <w:noWrap/>
            <w:vAlign w:val="bottom"/>
            <w:hideMark/>
          </w:tcPr>
          <w:p w14:paraId="67E0D389" w14:textId="296D3BEF"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66,542 </w:t>
            </w:r>
          </w:p>
        </w:tc>
        <w:tc>
          <w:tcPr>
            <w:tcW w:w="996" w:type="dxa"/>
            <w:gridSpan w:val="2"/>
            <w:tcBorders>
              <w:top w:val="nil"/>
              <w:left w:val="nil"/>
              <w:bottom w:val="nil"/>
              <w:right w:val="nil"/>
            </w:tcBorders>
            <w:shd w:val="clear" w:color="auto" w:fill="auto"/>
            <w:noWrap/>
            <w:vAlign w:val="bottom"/>
            <w:hideMark/>
          </w:tcPr>
          <w:p w14:paraId="37201559" w14:textId="601E5416"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65,711 </w:t>
            </w:r>
          </w:p>
        </w:tc>
        <w:tc>
          <w:tcPr>
            <w:tcW w:w="950" w:type="dxa"/>
            <w:tcBorders>
              <w:top w:val="nil"/>
              <w:left w:val="nil"/>
              <w:bottom w:val="nil"/>
              <w:right w:val="nil"/>
            </w:tcBorders>
            <w:shd w:val="clear" w:color="auto" w:fill="auto"/>
            <w:noWrap/>
            <w:vAlign w:val="bottom"/>
            <w:hideMark/>
          </w:tcPr>
          <w:p w14:paraId="64DFC45B" w14:textId="5E1F9941"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43,547 </w:t>
            </w:r>
          </w:p>
        </w:tc>
        <w:tc>
          <w:tcPr>
            <w:tcW w:w="1034" w:type="dxa"/>
            <w:tcBorders>
              <w:top w:val="nil"/>
              <w:left w:val="nil"/>
              <w:bottom w:val="nil"/>
              <w:right w:val="nil"/>
            </w:tcBorders>
            <w:shd w:val="clear" w:color="auto" w:fill="auto"/>
            <w:noWrap/>
            <w:vAlign w:val="bottom"/>
            <w:hideMark/>
          </w:tcPr>
          <w:p w14:paraId="777CCCC5" w14:textId="326F428D"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35,816 </w:t>
            </w:r>
          </w:p>
        </w:tc>
      </w:tr>
      <w:tr w:rsidR="00F10ACD" w:rsidRPr="00457670" w14:paraId="7EACCADF" w14:textId="77777777" w:rsidTr="006C442A">
        <w:trPr>
          <w:trHeight w:val="204"/>
        </w:trPr>
        <w:tc>
          <w:tcPr>
            <w:tcW w:w="2692" w:type="dxa"/>
            <w:tcBorders>
              <w:top w:val="nil"/>
              <w:left w:val="nil"/>
              <w:bottom w:val="nil"/>
              <w:right w:val="nil"/>
            </w:tcBorders>
            <w:shd w:val="clear" w:color="auto" w:fill="auto"/>
            <w:vAlign w:val="bottom"/>
            <w:hideMark/>
          </w:tcPr>
          <w:p w14:paraId="6D411EEF" w14:textId="7EFC2883"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 xml:space="preserve">s74 external revenues </w:t>
            </w:r>
            <w:r w:rsidRPr="00117108">
              <w:rPr>
                <w:rFonts w:ascii="Arial" w:hAnsi="Arial" w:cs="Arial"/>
                <w:sz w:val="16"/>
                <w:szCs w:val="16"/>
                <w:vertAlign w:val="superscript"/>
              </w:rPr>
              <w:t>(</w:t>
            </w:r>
            <w:r>
              <w:rPr>
                <w:rFonts w:ascii="Arial" w:hAnsi="Arial" w:cs="Arial"/>
                <w:sz w:val="16"/>
                <w:szCs w:val="16"/>
                <w:vertAlign w:val="superscript"/>
              </w:rPr>
              <w:t>d</w:t>
            </w:r>
            <w:r w:rsidRPr="00117108">
              <w:rPr>
                <w:rFonts w:ascii="Arial" w:hAnsi="Arial" w:cs="Arial"/>
                <w:sz w:val="16"/>
                <w:szCs w:val="16"/>
                <w:vertAlign w:val="superscript"/>
              </w:rPr>
              <w:t>)</w:t>
            </w:r>
          </w:p>
        </w:tc>
        <w:tc>
          <w:tcPr>
            <w:tcW w:w="934" w:type="dxa"/>
            <w:tcBorders>
              <w:top w:val="nil"/>
              <w:left w:val="nil"/>
              <w:bottom w:val="nil"/>
              <w:right w:val="nil"/>
            </w:tcBorders>
            <w:shd w:val="clear" w:color="auto" w:fill="auto"/>
            <w:noWrap/>
            <w:vAlign w:val="bottom"/>
            <w:hideMark/>
          </w:tcPr>
          <w:p w14:paraId="764CAB43" w14:textId="793D60D5"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4,362 </w:t>
            </w:r>
          </w:p>
        </w:tc>
        <w:tc>
          <w:tcPr>
            <w:tcW w:w="950" w:type="dxa"/>
            <w:tcBorders>
              <w:top w:val="nil"/>
              <w:left w:val="nil"/>
              <w:bottom w:val="nil"/>
              <w:right w:val="nil"/>
            </w:tcBorders>
            <w:shd w:val="clear" w:color="auto" w:fill="E6E6E6"/>
            <w:noWrap/>
            <w:vAlign w:val="bottom"/>
            <w:hideMark/>
          </w:tcPr>
          <w:p w14:paraId="76530DAA" w14:textId="43928577"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1,519 </w:t>
            </w:r>
          </w:p>
        </w:tc>
        <w:tc>
          <w:tcPr>
            <w:tcW w:w="996" w:type="dxa"/>
            <w:gridSpan w:val="2"/>
            <w:tcBorders>
              <w:top w:val="nil"/>
              <w:left w:val="nil"/>
              <w:bottom w:val="nil"/>
              <w:right w:val="nil"/>
            </w:tcBorders>
            <w:shd w:val="clear" w:color="auto" w:fill="auto"/>
            <w:noWrap/>
            <w:vAlign w:val="bottom"/>
            <w:hideMark/>
          </w:tcPr>
          <w:p w14:paraId="6B403B5A" w14:textId="79CC144D"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1,138 </w:t>
            </w:r>
          </w:p>
        </w:tc>
        <w:tc>
          <w:tcPr>
            <w:tcW w:w="950" w:type="dxa"/>
            <w:tcBorders>
              <w:top w:val="nil"/>
              <w:left w:val="nil"/>
              <w:bottom w:val="nil"/>
              <w:right w:val="nil"/>
            </w:tcBorders>
            <w:shd w:val="clear" w:color="auto" w:fill="auto"/>
            <w:noWrap/>
            <w:vAlign w:val="bottom"/>
            <w:hideMark/>
          </w:tcPr>
          <w:p w14:paraId="1A31CAA2" w14:textId="4E2ED4E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1,163 </w:t>
            </w:r>
          </w:p>
        </w:tc>
        <w:tc>
          <w:tcPr>
            <w:tcW w:w="1034" w:type="dxa"/>
            <w:tcBorders>
              <w:top w:val="nil"/>
              <w:left w:val="nil"/>
              <w:bottom w:val="nil"/>
              <w:right w:val="nil"/>
            </w:tcBorders>
            <w:shd w:val="clear" w:color="auto" w:fill="auto"/>
            <w:noWrap/>
            <w:vAlign w:val="bottom"/>
            <w:hideMark/>
          </w:tcPr>
          <w:p w14:paraId="033761BA" w14:textId="1912632A"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1,163 </w:t>
            </w:r>
          </w:p>
        </w:tc>
      </w:tr>
      <w:tr w:rsidR="00F10ACD" w:rsidRPr="00457670" w14:paraId="09FFFCDE" w14:textId="77777777" w:rsidTr="006C442A">
        <w:trPr>
          <w:trHeight w:val="204"/>
        </w:trPr>
        <w:tc>
          <w:tcPr>
            <w:tcW w:w="2692" w:type="dxa"/>
            <w:tcBorders>
              <w:top w:val="nil"/>
              <w:left w:val="nil"/>
              <w:bottom w:val="nil"/>
              <w:right w:val="nil"/>
            </w:tcBorders>
            <w:shd w:val="clear" w:color="auto" w:fill="auto"/>
            <w:vAlign w:val="bottom"/>
            <w:hideMark/>
          </w:tcPr>
          <w:p w14:paraId="45EFD6F5" w14:textId="4C06F855"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Expenses not requiring appropriation in the Budget year </w:t>
            </w:r>
            <w:r>
              <w:rPr>
                <w:rFonts w:ascii="Arial" w:hAnsi="Arial" w:cs="Arial"/>
                <w:sz w:val="16"/>
                <w:szCs w:val="16"/>
                <w:vertAlign w:val="superscript"/>
              </w:rPr>
              <w:t>(e</w:t>
            </w:r>
            <w:r w:rsidRPr="00117108">
              <w:rPr>
                <w:rFonts w:ascii="Arial" w:hAnsi="Arial" w:cs="Arial"/>
                <w:sz w:val="16"/>
                <w:szCs w:val="16"/>
                <w:vertAlign w:val="superscript"/>
              </w:rPr>
              <w:t>)</w:t>
            </w:r>
          </w:p>
        </w:tc>
        <w:tc>
          <w:tcPr>
            <w:tcW w:w="934" w:type="dxa"/>
            <w:tcBorders>
              <w:top w:val="nil"/>
              <w:left w:val="nil"/>
              <w:bottom w:val="nil"/>
              <w:right w:val="nil"/>
            </w:tcBorders>
            <w:shd w:val="clear" w:color="auto" w:fill="auto"/>
            <w:noWrap/>
            <w:vAlign w:val="bottom"/>
            <w:hideMark/>
          </w:tcPr>
          <w:p w14:paraId="1D164ED8" w14:textId="6363B24B"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4,909 </w:t>
            </w:r>
          </w:p>
        </w:tc>
        <w:tc>
          <w:tcPr>
            <w:tcW w:w="950" w:type="dxa"/>
            <w:tcBorders>
              <w:top w:val="nil"/>
              <w:left w:val="nil"/>
              <w:bottom w:val="nil"/>
              <w:right w:val="nil"/>
            </w:tcBorders>
            <w:shd w:val="clear" w:color="auto" w:fill="E6E6E6"/>
            <w:noWrap/>
            <w:vAlign w:val="bottom"/>
            <w:hideMark/>
          </w:tcPr>
          <w:p w14:paraId="7BDB8623" w14:textId="7A919C2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1,296 </w:t>
            </w:r>
          </w:p>
        </w:tc>
        <w:tc>
          <w:tcPr>
            <w:tcW w:w="996" w:type="dxa"/>
            <w:gridSpan w:val="2"/>
            <w:tcBorders>
              <w:top w:val="nil"/>
              <w:left w:val="nil"/>
              <w:bottom w:val="nil"/>
              <w:right w:val="nil"/>
            </w:tcBorders>
            <w:shd w:val="clear" w:color="auto" w:fill="auto"/>
            <w:noWrap/>
            <w:vAlign w:val="bottom"/>
            <w:hideMark/>
          </w:tcPr>
          <w:p w14:paraId="2FB5EC78" w14:textId="4A2D37E3"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1,180 </w:t>
            </w:r>
          </w:p>
        </w:tc>
        <w:tc>
          <w:tcPr>
            <w:tcW w:w="950" w:type="dxa"/>
            <w:tcBorders>
              <w:top w:val="nil"/>
              <w:left w:val="nil"/>
              <w:bottom w:val="nil"/>
              <w:right w:val="nil"/>
            </w:tcBorders>
            <w:shd w:val="clear" w:color="auto" w:fill="auto"/>
            <w:noWrap/>
            <w:vAlign w:val="bottom"/>
            <w:hideMark/>
          </w:tcPr>
          <w:p w14:paraId="713D85E4" w14:textId="16A488BA"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910 </w:t>
            </w:r>
          </w:p>
        </w:tc>
        <w:tc>
          <w:tcPr>
            <w:tcW w:w="1034" w:type="dxa"/>
            <w:tcBorders>
              <w:top w:val="nil"/>
              <w:left w:val="nil"/>
              <w:bottom w:val="nil"/>
              <w:right w:val="nil"/>
            </w:tcBorders>
            <w:shd w:val="clear" w:color="auto" w:fill="auto"/>
            <w:noWrap/>
            <w:vAlign w:val="bottom"/>
            <w:hideMark/>
          </w:tcPr>
          <w:p w14:paraId="604674E9" w14:textId="3A427E58"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911 </w:t>
            </w:r>
          </w:p>
        </w:tc>
      </w:tr>
      <w:tr w:rsidR="00F10ACD" w:rsidRPr="00457670" w14:paraId="7F543EBC" w14:textId="77777777" w:rsidTr="006C442A">
        <w:trPr>
          <w:trHeight w:val="204"/>
        </w:trPr>
        <w:tc>
          <w:tcPr>
            <w:tcW w:w="2692" w:type="dxa"/>
            <w:tcBorders>
              <w:top w:val="nil"/>
              <w:left w:val="nil"/>
              <w:bottom w:val="nil"/>
              <w:right w:val="nil"/>
            </w:tcBorders>
            <w:shd w:val="clear" w:color="auto" w:fill="auto"/>
            <w:noWrap/>
            <w:vAlign w:val="bottom"/>
            <w:hideMark/>
          </w:tcPr>
          <w:p w14:paraId="3C948B8B" w14:textId="77777777" w:rsidR="00F10ACD" w:rsidRPr="00117108" w:rsidRDefault="00F10ACD" w:rsidP="00F10ACD">
            <w:pPr>
              <w:spacing w:after="0" w:line="240" w:lineRule="auto"/>
              <w:jc w:val="left"/>
              <w:rPr>
                <w:rFonts w:ascii="Arial" w:hAnsi="Arial" w:cs="Arial"/>
                <w:b/>
                <w:bCs/>
                <w:sz w:val="16"/>
                <w:szCs w:val="16"/>
              </w:rPr>
            </w:pPr>
            <w:r w:rsidRPr="00117108">
              <w:rPr>
                <w:rFonts w:ascii="Arial" w:hAnsi="Arial" w:cs="Arial"/>
                <w:b/>
                <w:bCs/>
                <w:sz w:val="16"/>
                <w:szCs w:val="16"/>
              </w:rPr>
              <w:t>Total expenses for Program 3.5</w:t>
            </w:r>
          </w:p>
        </w:tc>
        <w:tc>
          <w:tcPr>
            <w:tcW w:w="934" w:type="dxa"/>
            <w:tcBorders>
              <w:top w:val="single" w:sz="4" w:space="0" w:color="auto"/>
              <w:left w:val="nil"/>
              <w:bottom w:val="single" w:sz="4" w:space="0" w:color="auto"/>
              <w:right w:val="nil"/>
            </w:tcBorders>
            <w:shd w:val="clear" w:color="auto" w:fill="auto"/>
            <w:noWrap/>
            <w:vAlign w:val="bottom"/>
            <w:hideMark/>
          </w:tcPr>
          <w:p w14:paraId="29BA247F" w14:textId="29659C09"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71,729 </w:t>
            </w:r>
          </w:p>
        </w:tc>
        <w:tc>
          <w:tcPr>
            <w:tcW w:w="950" w:type="dxa"/>
            <w:tcBorders>
              <w:top w:val="single" w:sz="4" w:space="0" w:color="auto"/>
              <w:left w:val="nil"/>
              <w:bottom w:val="single" w:sz="4" w:space="0" w:color="auto"/>
              <w:right w:val="nil"/>
            </w:tcBorders>
            <w:shd w:val="clear" w:color="auto" w:fill="E6E6E6"/>
            <w:noWrap/>
            <w:vAlign w:val="bottom"/>
            <w:hideMark/>
          </w:tcPr>
          <w:p w14:paraId="6516DD2C" w14:textId="70D68856"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69,357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392FD44D" w14:textId="3CF952C8"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68,029 </w:t>
            </w:r>
          </w:p>
        </w:tc>
        <w:tc>
          <w:tcPr>
            <w:tcW w:w="950" w:type="dxa"/>
            <w:tcBorders>
              <w:top w:val="single" w:sz="4" w:space="0" w:color="auto"/>
              <w:left w:val="nil"/>
              <w:bottom w:val="single" w:sz="4" w:space="0" w:color="auto"/>
              <w:right w:val="nil"/>
            </w:tcBorders>
            <w:shd w:val="clear" w:color="auto" w:fill="auto"/>
            <w:noWrap/>
            <w:vAlign w:val="bottom"/>
            <w:hideMark/>
          </w:tcPr>
          <w:p w14:paraId="7AF0565A" w14:textId="72D814CF"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45,620 </w:t>
            </w:r>
          </w:p>
        </w:tc>
        <w:tc>
          <w:tcPr>
            <w:tcW w:w="1034" w:type="dxa"/>
            <w:tcBorders>
              <w:top w:val="single" w:sz="4" w:space="0" w:color="auto"/>
              <w:left w:val="nil"/>
              <w:bottom w:val="single" w:sz="4" w:space="0" w:color="auto"/>
              <w:right w:val="nil"/>
            </w:tcBorders>
            <w:shd w:val="clear" w:color="auto" w:fill="auto"/>
            <w:noWrap/>
            <w:vAlign w:val="bottom"/>
            <w:hideMark/>
          </w:tcPr>
          <w:p w14:paraId="712DA65D" w14:textId="1E192AA3"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37,890 </w:t>
            </w:r>
          </w:p>
        </w:tc>
      </w:tr>
      <w:tr w:rsidR="00117108" w:rsidRPr="00457670" w14:paraId="7E55391B" w14:textId="77777777" w:rsidTr="006C442A">
        <w:trPr>
          <w:trHeight w:val="204"/>
        </w:trPr>
        <w:tc>
          <w:tcPr>
            <w:tcW w:w="7553" w:type="dxa"/>
            <w:gridSpan w:val="7"/>
            <w:tcBorders>
              <w:top w:val="single" w:sz="4" w:space="0" w:color="auto"/>
              <w:left w:val="nil"/>
              <w:bottom w:val="single" w:sz="4" w:space="0" w:color="auto"/>
              <w:right w:val="nil"/>
            </w:tcBorders>
            <w:shd w:val="clear" w:color="000000" w:fill="E6E6E6"/>
            <w:noWrap/>
            <w:hideMark/>
          </w:tcPr>
          <w:p w14:paraId="0149913B" w14:textId="2B9CE5D0" w:rsidR="00117108" w:rsidRPr="00117108" w:rsidRDefault="00117108" w:rsidP="00117108">
            <w:pPr>
              <w:spacing w:after="0" w:line="240" w:lineRule="auto"/>
              <w:jc w:val="left"/>
              <w:rPr>
                <w:rFonts w:ascii="Arial" w:hAnsi="Arial" w:cs="Arial"/>
                <w:b/>
                <w:bCs/>
                <w:sz w:val="16"/>
                <w:szCs w:val="16"/>
              </w:rPr>
            </w:pPr>
            <w:r w:rsidRPr="00457670">
              <w:rPr>
                <w:rFonts w:ascii="Arial" w:hAnsi="Arial" w:cs="Arial"/>
                <w:b/>
                <w:bCs/>
                <w:sz w:val="16"/>
                <w:szCs w:val="16"/>
              </w:rPr>
              <w:t>Outcome 3 Totals by appropriation type</w:t>
            </w:r>
          </w:p>
        </w:tc>
      </w:tr>
      <w:tr w:rsidR="00457670" w:rsidRPr="00457670" w14:paraId="072DB8E2" w14:textId="77777777" w:rsidTr="006C442A">
        <w:trPr>
          <w:trHeight w:val="204"/>
        </w:trPr>
        <w:tc>
          <w:tcPr>
            <w:tcW w:w="2692" w:type="dxa"/>
            <w:tcBorders>
              <w:top w:val="nil"/>
              <w:left w:val="nil"/>
              <w:bottom w:val="nil"/>
              <w:right w:val="nil"/>
            </w:tcBorders>
            <w:shd w:val="clear" w:color="auto" w:fill="auto"/>
            <w:noWrap/>
            <w:vAlign w:val="bottom"/>
            <w:hideMark/>
          </w:tcPr>
          <w:p w14:paraId="267CB540" w14:textId="77777777" w:rsidR="00457670" w:rsidRPr="00117108" w:rsidRDefault="00457670" w:rsidP="00457670">
            <w:pPr>
              <w:spacing w:after="0" w:line="240" w:lineRule="auto"/>
              <w:jc w:val="left"/>
              <w:rPr>
                <w:rFonts w:ascii="Arial" w:hAnsi="Arial" w:cs="Arial"/>
                <w:sz w:val="16"/>
                <w:szCs w:val="16"/>
              </w:rPr>
            </w:pPr>
            <w:r w:rsidRPr="00117108">
              <w:rPr>
                <w:rFonts w:ascii="Arial" w:hAnsi="Arial" w:cs="Arial"/>
                <w:sz w:val="16"/>
                <w:szCs w:val="16"/>
              </w:rPr>
              <w:t>Administered expenses</w:t>
            </w:r>
          </w:p>
        </w:tc>
        <w:tc>
          <w:tcPr>
            <w:tcW w:w="934" w:type="dxa"/>
            <w:tcBorders>
              <w:top w:val="nil"/>
              <w:left w:val="nil"/>
              <w:bottom w:val="nil"/>
              <w:right w:val="nil"/>
            </w:tcBorders>
            <w:shd w:val="clear" w:color="auto" w:fill="auto"/>
            <w:noWrap/>
            <w:vAlign w:val="bottom"/>
            <w:hideMark/>
          </w:tcPr>
          <w:p w14:paraId="1942219C" w14:textId="77777777" w:rsidR="00457670" w:rsidRPr="00117108" w:rsidRDefault="00457670" w:rsidP="0092537D">
            <w:pPr>
              <w:spacing w:after="0" w:line="240" w:lineRule="auto"/>
              <w:jc w:val="right"/>
              <w:rPr>
                <w:rFonts w:ascii="Arial" w:hAnsi="Arial" w:cs="Arial"/>
                <w:sz w:val="16"/>
                <w:szCs w:val="16"/>
              </w:rPr>
            </w:pPr>
          </w:p>
        </w:tc>
        <w:tc>
          <w:tcPr>
            <w:tcW w:w="950" w:type="dxa"/>
            <w:tcBorders>
              <w:top w:val="nil"/>
              <w:left w:val="nil"/>
              <w:bottom w:val="nil"/>
              <w:right w:val="nil"/>
            </w:tcBorders>
            <w:shd w:val="clear" w:color="auto" w:fill="E6E6E6"/>
            <w:noWrap/>
            <w:vAlign w:val="bottom"/>
            <w:hideMark/>
          </w:tcPr>
          <w:p w14:paraId="19100A7B" w14:textId="4D9146B6" w:rsidR="00457670" w:rsidRPr="00117108" w:rsidRDefault="00457670" w:rsidP="0092537D">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176EDBFD" w14:textId="77777777" w:rsidR="00457670" w:rsidRPr="00117108" w:rsidRDefault="00457670" w:rsidP="0092537D">
            <w:pPr>
              <w:spacing w:after="0" w:line="240" w:lineRule="auto"/>
              <w:jc w:val="right"/>
              <w:rPr>
                <w:rFonts w:ascii="Arial" w:hAnsi="Arial" w:cs="Arial"/>
                <w:sz w:val="16"/>
                <w:szCs w:val="16"/>
              </w:rPr>
            </w:pPr>
          </w:p>
        </w:tc>
        <w:tc>
          <w:tcPr>
            <w:tcW w:w="950" w:type="dxa"/>
            <w:tcBorders>
              <w:top w:val="nil"/>
              <w:left w:val="nil"/>
              <w:bottom w:val="nil"/>
              <w:right w:val="nil"/>
            </w:tcBorders>
            <w:shd w:val="clear" w:color="auto" w:fill="auto"/>
            <w:noWrap/>
            <w:vAlign w:val="bottom"/>
            <w:hideMark/>
          </w:tcPr>
          <w:p w14:paraId="12FA4172" w14:textId="77777777" w:rsidR="00457670" w:rsidRPr="00117108" w:rsidRDefault="00457670" w:rsidP="0092537D">
            <w:pPr>
              <w:spacing w:after="0" w:line="240" w:lineRule="auto"/>
              <w:jc w:val="right"/>
              <w:rPr>
                <w:rFonts w:ascii="Times New Roman" w:hAnsi="Times New Roman"/>
                <w:sz w:val="16"/>
                <w:szCs w:val="16"/>
              </w:rPr>
            </w:pPr>
          </w:p>
        </w:tc>
        <w:tc>
          <w:tcPr>
            <w:tcW w:w="1034" w:type="dxa"/>
            <w:tcBorders>
              <w:top w:val="nil"/>
              <w:left w:val="nil"/>
              <w:bottom w:val="nil"/>
              <w:right w:val="nil"/>
            </w:tcBorders>
            <w:shd w:val="clear" w:color="auto" w:fill="auto"/>
            <w:noWrap/>
            <w:vAlign w:val="bottom"/>
            <w:hideMark/>
          </w:tcPr>
          <w:p w14:paraId="25AD5F4C" w14:textId="77777777" w:rsidR="00457670" w:rsidRPr="00117108" w:rsidRDefault="00457670" w:rsidP="0092537D">
            <w:pPr>
              <w:spacing w:after="0" w:line="240" w:lineRule="auto"/>
              <w:jc w:val="right"/>
              <w:rPr>
                <w:rFonts w:ascii="Times New Roman" w:hAnsi="Times New Roman"/>
                <w:sz w:val="16"/>
                <w:szCs w:val="16"/>
              </w:rPr>
            </w:pPr>
          </w:p>
        </w:tc>
      </w:tr>
      <w:tr w:rsidR="00F10ACD" w:rsidRPr="00457670" w14:paraId="78A651D9" w14:textId="77777777" w:rsidTr="006C442A">
        <w:trPr>
          <w:trHeight w:val="204"/>
        </w:trPr>
        <w:tc>
          <w:tcPr>
            <w:tcW w:w="2692" w:type="dxa"/>
            <w:tcBorders>
              <w:top w:val="nil"/>
              <w:left w:val="nil"/>
              <w:bottom w:val="nil"/>
              <w:right w:val="nil"/>
            </w:tcBorders>
            <w:shd w:val="clear" w:color="auto" w:fill="auto"/>
            <w:vAlign w:val="bottom"/>
            <w:hideMark/>
          </w:tcPr>
          <w:p w14:paraId="001A7A84" w14:textId="77777777"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Ordinary Annual Services (Appropriation Act No. 1 and Bill No. 3)</w:t>
            </w:r>
          </w:p>
        </w:tc>
        <w:tc>
          <w:tcPr>
            <w:tcW w:w="934" w:type="dxa"/>
            <w:tcBorders>
              <w:top w:val="nil"/>
              <w:left w:val="nil"/>
              <w:bottom w:val="nil"/>
              <w:right w:val="nil"/>
            </w:tcBorders>
            <w:shd w:val="clear" w:color="auto" w:fill="auto"/>
            <w:noWrap/>
            <w:vAlign w:val="bottom"/>
            <w:hideMark/>
          </w:tcPr>
          <w:p w14:paraId="12DAC737" w14:textId="2083109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324,807 </w:t>
            </w:r>
          </w:p>
        </w:tc>
        <w:tc>
          <w:tcPr>
            <w:tcW w:w="950" w:type="dxa"/>
            <w:tcBorders>
              <w:top w:val="nil"/>
              <w:left w:val="nil"/>
              <w:bottom w:val="nil"/>
              <w:right w:val="nil"/>
            </w:tcBorders>
            <w:shd w:val="clear" w:color="auto" w:fill="E6E6E6"/>
            <w:noWrap/>
            <w:vAlign w:val="bottom"/>
            <w:hideMark/>
          </w:tcPr>
          <w:p w14:paraId="6E19315E" w14:textId="623AB70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664,610 </w:t>
            </w:r>
          </w:p>
        </w:tc>
        <w:tc>
          <w:tcPr>
            <w:tcW w:w="996" w:type="dxa"/>
            <w:gridSpan w:val="2"/>
            <w:tcBorders>
              <w:top w:val="nil"/>
              <w:left w:val="nil"/>
              <w:bottom w:val="nil"/>
              <w:right w:val="nil"/>
            </w:tcBorders>
            <w:shd w:val="clear" w:color="auto" w:fill="auto"/>
            <w:noWrap/>
            <w:vAlign w:val="bottom"/>
            <w:hideMark/>
          </w:tcPr>
          <w:p w14:paraId="5787C7AF" w14:textId="7207B07B"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726,554 </w:t>
            </w:r>
          </w:p>
        </w:tc>
        <w:tc>
          <w:tcPr>
            <w:tcW w:w="950" w:type="dxa"/>
            <w:tcBorders>
              <w:top w:val="nil"/>
              <w:left w:val="nil"/>
              <w:bottom w:val="nil"/>
              <w:right w:val="nil"/>
            </w:tcBorders>
            <w:shd w:val="clear" w:color="auto" w:fill="auto"/>
            <w:noWrap/>
            <w:vAlign w:val="bottom"/>
            <w:hideMark/>
          </w:tcPr>
          <w:p w14:paraId="0F045D38" w14:textId="24FE06B8"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583,382 </w:t>
            </w:r>
          </w:p>
        </w:tc>
        <w:tc>
          <w:tcPr>
            <w:tcW w:w="1034" w:type="dxa"/>
            <w:tcBorders>
              <w:top w:val="nil"/>
              <w:left w:val="nil"/>
              <w:bottom w:val="nil"/>
              <w:right w:val="nil"/>
            </w:tcBorders>
            <w:shd w:val="clear" w:color="auto" w:fill="auto"/>
            <w:noWrap/>
            <w:vAlign w:val="bottom"/>
            <w:hideMark/>
          </w:tcPr>
          <w:p w14:paraId="3578DC40" w14:textId="04A00CB6"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363,130 </w:t>
            </w:r>
          </w:p>
        </w:tc>
      </w:tr>
      <w:tr w:rsidR="00F10ACD" w:rsidRPr="00457670" w14:paraId="55A096E7" w14:textId="77777777" w:rsidTr="006C442A">
        <w:trPr>
          <w:trHeight w:val="204"/>
        </w:trPr>
        <w:tc>
          <w:tcPr>
            <w:tcW w:w="2692" w:type="dxa"/>
            <w:tcBorders>
              <w:top w:val="nil"/>
              <w:left w:val="nil"/>
              <w:bottom w:val="nil"/>
              <w:right w:val="nil"/>
            </w:tcBorders>
            <w:shd w:val="clear" w:color="auto" w:fill="auto"/>
            <w:vAlign w:val="bottom"/>
            <w:hideMark/>
          </w:tcPr>
          <w:p w14:paraId="1F9EE06E" w14:textId="77777777"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Other Services (Appropriation Act No. 2 and Bill No. 4)</w:t>
            </w:r>
          </w:p>
        </w:tc>
        <w:tc>
          <w:tcPr>
            <w:tcW w:w="934" w:type="dxa"/>
            <w:tcBorders>
              <w:top w:val="nil"/>
              <w:left w:val="nil"/>
              <w:bottom w:val="nil"/>
              <w:right w:val="nil"/>
            </w:tcBorders>
            <w:shd w:val="clear" w:color="auto" w:fill="auto"/>
            <w:noWrap/>
            <w:vAlign w:val="bottom"/>
            <w:hideMark/>
          </w:tcPr>
          <w:p w14:paraId="2D149356" w14:textId="2882FE9B"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835,867 </w:t>
            </w:r>
          </w:p>
        </w:tc>
        <w:tc>
          <w:tcPr>
            <w:tcW w:w="950" w:type="dxa"/>
            <w:tcBorders>
              <w:top w:val="nil"/>
              <w:left w:val="nil"/>
              <w:bottom w:val="nil"/>
              <w:right w:val="nil"/>
            </w:tcBorders>
            <w:shd w:val="clear" w:color="auto" w:fill="E6E6E6"/>
            <w:noWrap/>
            <w:vAlign w:val="bottom"/>
            <w:hideMark/>
          </w:tcPr>
          <w:p w14:paraId="096506A3" w14:textId="549FC25A"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936,360 </w:t>
            </w:r>
          </w:p>
        </w:tc>
        <w:tc>
          <w:tcPr>
            <w:tcW w:w="996" w:type="dxa"/>
            <w:gridSpan w:val="2"/>
            <w:tcBorders>
              <w:top w:val="nil"/>
              <w:left w:val="nil"/>
              <w:bottom w:val="nil"/>
              <w:right w:val="nil"/>
            </w:tcBorders>
            <w:shd w:val="clear" w:color="auto" w:fill="auto"/>
            <w:noWrap/>
            <w:vAlign w:val="bottom"/>
            <w:hideMark/>
          </w:tcPr>
          <w:p w14:paraId="03BC5E21" w14:textId="7FA3F7FB"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669,330 </w:t>
            </w:r>
          </w:p>
        </w:tc>
        <w:tc>
          <w:tcPr>
            <w:tcW w:w="950" w:type="dxa"/>
            <w:tcBorders>
              <w:top w:val="nil"/>
              <w:left w:val="nil"/>
              <w:bottom w:val="nil"/>
              <w:right w:val="nil"/>
            </w:tcBorders>
            <w:shd w:val="clear" w:color="auto" w:fill="auto"/>
            <w:noWrap/>
            <w:vAlign w:val="bottom"/>
            <w:hideMark/>
          </w:tcPr>
          <w:p w14:paraId="6C73D354" w14:textId="0AF0A1A7"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99,889 </w:t>
            </w:r>
          </w:p>
        </w:tc>
        <w:tc>
          <w:tcPr>
            <w:tcW w:w="1034" w:type="dxa"/>
            <w:tcBorders>
              <w:top w:val="nil"/>
              <w:left w:val="nil"/>
              <w:bottom w:val="nil"/>
              <w:right w:val="nil"/>
            </w:tcBorders>
            <w:shd w:val="clear" w:color="auto" w:fill="auto"/>
            <w:noWrap/>
            <w:vAlign w:val="bottom"/>
            <w:hideMark/>
          </w:tcPr>
          <w:p w14:paraId="327F3853" w14:textId="6F8FE83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r>
      <w:tr w:rsidR="00F10ACD" w:rsidRPr="00457670" w14:paraId="3A0AE0A0" w14:textId="77777777" w:rsidTr="006C442A">
        <w:trPr>
          <w:trHeight w:val="204"/>
        </w:trPr>
        <w:tc>
          <w:tcPr>
            <w:tcW w:w="2692" w:type="dxa"/>
            <w:tcBorders>
              <w:top w:val="nil"/>
              <w:left w:val="nil"/>
              <w:bottom w:val="nil"/>
              <w:right w:val="nil"/>
            </w:tcBorders>
            <w:shd w:val="clear" w:color="auto" w:fill="auto"/>
            <w:vAlign w:val="bottom"/>
            <w:hideMark/>
          </w:tcPr>
          <w:p w14:paraId="0CC9F217" w14:textId="77777777"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Special Appropriations</w:t>
            </w:r>
          </w:p>
        </w:tc>
        <w:tc>
          <w:tcPr>
            <w:tcW w:w="934" w:type="dxa"/>
            <w:tcBorders>
              <w:top w:val="nil"/>
              <w:left w:val="nil"/>
              <w:bottom w:val="nil"/>
              <w:right w:val="nil"/>
            </w:tcBorders>
            <w:shd w:val="clear" w:color="auto" w:fill="auto"/>
            <w:noWrap/>
            <w:vAlign w:val="bottom"/>
            <w:hideMark/>
          </w:tcPr>
          <w:p w14:paraId="3A590B7C" w14:textId="74BAC043"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2,605,753 </w:t>
            </w:r>
          </w:p>
        </w:tc>
        <w:tc>
          <w:tcPr>
            <w:tcW w:w="950" w:type="dxa"/>
            <w:tcBorders>
              <w:top w:val="nil"/>
              <w:left w:val="nil"/>
              <w:bottom w:val="nil"/>
              <w:right w:val="nil"/>
            </w:tcBorders>
            <w:shd w:val="clear" w:color="auto" w:fill="E6E6E6"/>
            <w:noWrap/>
            <w:vAlign w:val="bottom"/>
            <w:hideMark/>
          </w:tcPr>
          <w:p w14:paraId="051A778E" w14:textId="209733B3"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1,338,835 </w:t>
            </w:r>
          </w:p>
        </w:tc>
        <w:tc>
          <w:tcPr>
            <w:tcW w:w="996" w:type="dxa"/>
            <w:gridSpan w:val="2"/>
            <w:tcBorders>
              <w:top w:val="nil"/>
              <w:left w:val="nil"/>
              <w:bottom w:val="nil"/>
              <w:right w:val="nil"/>
            </w:tcBorders>
            <w:shd w:val="clear" w:color="auto" w:fill="auto"/>
            <w:noWrap/>
            <w:vAlign w:val="bottom"/>
            <w:hideMark/>
          </w:tcPr>
          <w:p w14:paraId="63693E74" w14:textId="1C41EE1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2,738,455 </w:t>
            </w:r>
          </w:p>
        </w:tc>
        <w:tc>
          <w:tcPr>
            <w:tcW w:w="950" w:type="dxa"/>
            <w:tcBorders>
              <w:top w:val="nil"/>
              <w:left w:val="nil"/>
              <w:bottom w:val="nil"/>
              <w:right w:val="nil"/>
            </w:tcBorders>
            <w:shd w:val="clear" w:color="auto" w:fill="auto"/>
            <w:noWrap/>
            <w:vAlign w:val="bottom"/>
            <w:hideMark/>
          </w:tcPr>
          <w:p w14:paraId="578DC700" w14:textId="358E927E"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2,833,205 </w:t>
            </w:r>
          </w:p>
        </w:tc>
        <w:tc>
          <w:tcPr>
            <w:tcW w:w="1034" w:type="dxa"/>
            <w:tcBorders>
              <w:top w:val="nil"/>
              <w:left w:val="nil"/>
              <w:bottom w:val="nil"/>
              <w:right w:val="nil"/>
            </w:tcBorders>
            <w:shd w:val="clear" w:color="auto" w:fill="auto"/>
            <w:noWrap/>
            <w:vAlign w:val="bottom"/>
            <w:hideMark/>
          </w:tcPr>
          <w:p w14:paraId="75182330" w14:textId="698979CC"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2,938,883 </w:t>
            </w:r>
          </w:p>
        </w:tc>
      </w:tr>
      <w:tr w:rsidR="00F10ACD" w:rsidRPr="00457670" w14:paraId="31129817" w14:textId="77777777" w:rsidTr="006C442A">
        <w:trPr>
          <w:trHeight w:val="204"/>
        </w:trPr>
        <w:tc>
          <w:tcPr>
            <w:tcW w:w="2692" w:type="dxa"/>
            <w:tcBorders>
              <w:top w:val="nil"/>
              <w:left w:val="nil"/>
              <w:bottom w:val="nil"/>
              <w:right w:val="nil"/>
            </w:tcBorders>
            <w:shd w:val="clear" w:color="auto" w:fill="auto"/>
            <w:vAlign w:val="bottom"/>
            <w:hideMark/>
          </w:tcPr>
          <w:p w14:paraId="4E581B16" w14:textId="1323CEBB"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 xml:space="preserve">Payments to </w:t>
            </w:r>
            <w:r>
              <w:rPr>
                <w:rFonts w:ascii="Arial" w:hAnsi="Arial" w:cs="Arial"/>
                <w:sz w:val="16"/>
                <w:szCs w:val="16"/>
              </w:rPr>
              <w:t>c</w:t>
            </w:r>
            <w:r w:rsidRPr="00117108">
              <w:rPr>
                <w:rFonts w:ascii="Arial" w:hAnsi="Arial" w:cs="Arial"/>
                <w:sz w:val="16"/>
                <w:szCs w:val="16"/>
              </w:rPr>
              <w:t xml:space="preserve">orporate </w:t>
            </w:r>
            <w:r>
              <w:rPr>
                <w:rFonts w:ascii="Arial" w:hAnsi="Arial" w:cs="Arial"/>
                <w:sz w:val="16"/>
                <w:szCs w:val="16"/>
              </w:rPr>
              <w:t>e</w:t>
            </w:r>
            <w:r w:rsidRPr="00117108">
              <w:rPr>
                <w:rFonts w:ascii="Arial" w:hAnsi="Arial" w:cs="Arial"/>
                <w:sz w:val="16"/>
                <w:szCs w:val="16"/>
              </w:rPr>
              <w:t xml:space="preserve">ntities </w:t>
            </w:r>
            <w:r w:rsidRPr="00117108">
              <w:rPr>
                <w:rFonts w:ascii="Arial" w:hAnsi="Arial" w:cs="Arial"/>
                <w:sz w:val="16"/>
                <w:szCs w:val="16"/>
                <w:vertAlign w:val="superscript"/>
              </w:rPr>
              <w:t>(</w:t>
            </w:r>
            <w:r>
              <w:rPr>
                <w:rFonts w:ascii="Arial" w:hAnsi="Arial" w:cs="Arial"/>
                <w:sz w:val="16"/>
                <w:szCs w:val="16"/>
                <w:vertAlign w:val="superscript"/>
              </w:rPr>
              <w:t>c</w:t>
            </w:r>
            <w:r w:rsidRPr="00117108">
              <w:rPr>
                <w:rFonts w:ascii="Arial" w:hAnsi="Arial" w:cs="Arial"/>
                <w:sz w:val="16"/>
                <w:szCs w:val="16"/>
                <w:vertAlign w:val="superscript"/>
              </w:rPr>
              <w:t>)</w:t>
            </w:r>
          </w:p>
        </w:tc>
        <w:tc>
          <w:tcPr>
            <w:tcW w:w="934" w:type="dxa"/>
            <w:tcBorders>
              <w:top w:val="nil"/>
              <w:left w:val="nil"/>
              <w:bottom w:val="nil"/>
              <w:right w:val="nil"/>
            </w:tcBorders>
            <w:shd w:val="clear" w:color="auto" w:fill="auto"/>
            <w:noWrap/>
            <w:vAlign w:val="bottom"/>
            <w:hideMark/>
          </w:tcPr>
          <w:p w14:paraId="25140757" w14:textId="1293489C"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 </w:t>
            </w:r>
          </w:p>
        </w:tc>
        <w:tc>
          <w:tcPr>
            <w:tcW w:w="950" w:type="dxa"/>
            <w:tcBorders>
              <w:top w:val="nil"/>
              <w:left w:val="nil"/>
              <w:bottom w:val="nil"/>
              <w:right w:val="nil"/>
            </w:tcBorders>
            <w:shd w:val="clear" w:color="auto" w:fill="E6E6E6"/>
            <w:noWrap/>
            <w:vAlign w:val="bottom"/>
            <w:hideMark/>
          </w:tcPr>
          <w:p w14:paraId="0C6A611C" w14:textId="5DE858D8"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14,227 </w:t>
            </w:r>
          </w:p>
        </w:tc>
        <w:tc>
          <w:tcPr>
            <w:tcW w:w="996" w:type="dxa"/>
            <w:gridSpan w:val="2"/>
            <w:tcBorders>
              <w:top w:val="nil"/>
              <w:left w:val="nil"/>
              <w:bottom w:val="nil"/>
              <w:right w:val="nil"/>
            </w:tcBorders>
            <w:shd w:val="clear" w:color="auto" w:fill="auto"/>
            <w:noWrap/>
            <w:vAlign w:val="bottom"/>
            <w:hideMark/>
          </w:tcPr>
          <w:p w14:paraId="681C341B" w14:textId="1E51EBD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20,877 </w:t>
            </w:r>
          </w:p>
        </w:tc>
        <w:tc>
          <w:tcPr>
            <w:tcW w:w="950" w:type="dxa"/>
            <w:tcBorders>
              <w:top w:val="nil"/>
              <w:left w:val="nil"/>
              <w:bottom w:val="nil"/>
              <w:right w:val="nil"/>
            </w:tcBorders>
            <w:shd w:val="clear" w:color="auto" w:fill="auto"/>
            <w:noWrap/>
            <w:vAlign w:val="bottom"/>
            <w:hideMark/>
          </w:tcPr>
          <w:p w14:paraId="1D07CDD9" w14:textId="352C48D0"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21,028 </w:t>
            </w:r>
          </w:p>
        </w:tc>
        <w:tc>
          <w:tcPr>
            <w:tcW w:w="1034" w:type="dxa"/>
            <w:tcBorders>
              <w:top w:val="nil"/>
              <w:left w:val="nil"/>
              <w:bottom w:val="nil"/>
              <w:right w:val="nil"/>
            </w:tcBorders>
            <w:shd w:val="clear" w:color="auto" w:fill="auto"/>
            <w:noWrap/>
            <w:vAlign w:val="bottom"/>
            <w:hideMark/>
          </w:tcPr>
          <w:p w14:paraId="4F70AFBC" w14:textId="2A350C11"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21,191 </w:t>
            </w:r>
          </w:p>
        </w:tc>
      </w:tr>
      <w:tr w:rsidR="00F10ACD" w:rsidRPr="00457670" w14:paraId="4B248B35" w14:textId="77777777" w:rsidTr="006C442A">
        <w:trPr>
          <w:trHeight w:val="204"/>
        </w:trPr>
        <w:tc>
          <w:tcPr>
            <w:tcW w:w="2692" w:type="dxa"/>
            <w:tcBorders>
              <w:top w:val="nil"/>
              <w:left w:val="nil"/>
              <w:bottom w:val="nil"/>
              <w:right w:val="nil"/>
            </w:tcBorders>
            <w:shd w:val="clear" w:color="auto" w:fill="auto"/>
            <w:vAlign w:val="bottom"/>
            <w:hideMark/>
          </w:tcPr>
          <w:p w14:paraId="31616733" w14:textId="6D7E9B9A"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Expenses not requiring appropriation in the Budget year </w:t>
            </w:r>
            <w:r w:rsidRPr="00117108">
              <w:rPr>
                <w:rFonts w:ascii="Arial" w:hAnsi="Arial" w:cs="Arial"/>
                <w:sz w:val="16"/>
                <w:szCs w:val="16"/>
                <w:vertAlign w:val="superscript"/>
              </w:rPr>
              <w:t>(a)</w:t>
            </w:r>
          </w:p>
        </w:tc>
        <w:tc>
          <w:tcPr>
            <w:tcW w:w="934" w:type="dxa"/>
            <w:tcBorders>
              <w:top w:val="nil"/>
              <w:left w:val="nil"/>
              <w:bottom w:val="nil"/>
              <w:right w:val="nil"/>
            </w:tcBorders>
            <w:shd w:val="clear" w:color="auto" w:fill="auto"/>
            <w:noWrap/>
            <w:vAlign w:val="bottom"/>
            <w:hideMark/>
          </w:tcPr>
          <w:p w14:paraId="00C0D5E4" w14:textId="79D8EA4B"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291,693 </w:t>
            </w:r>
          </w:p>
        </w:tc>
        <w:tc>
          <w:tcPr>
            <w:tcW w:w="950" w:type="dxa"/>
            <w:tcBorders>
              <w:top w:val="nil"/>
              <w:left w:val="nil"/>
              <w:bottom w:val="nil"/>
              <w:right w:val="nil"/>
            </w:tcBorders>
            <w:shd w:val="clear" w:color="auto" w:fill="E6E6E6"/>
            <w:noWrap/>
            <w:vAlign w:val="bottom"/>
            <w:hideMark/>
          </w:tcPr>
          <w:p w14:paraId="00DA2E73" w14:textId="73AF9DA4"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489,569 </w:t>
            </w:r>
          </w:p>
        </w:tc>
        <w:tc>
          <w:tcPr>
            <w:tcW w:w="996" w:type="dxa"/>
            <w:gridSpan w:val="2"/>
            <w:tcBorders>
              <w:top w:val="nil"/>
              <w:left w:val="nil"/>
              <w:bottom w:val="nil"/>
              <w:right w:val="nil"/>
            </w:tcBorders>
            <w:shd w:val="clear" w:color="auto" w:fill="auto"/>
            <w:noWrap/>
            <w:vAlign w:val="bottom"/>
            <w:hideMark/>
          </w:tcPr>
          <w:p w14:paraId="4D34A21B" w14:textId="277A7858"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699,579 </w:t>
            </w:r>
          </w:p>
        </w:tc>
        <w:tc>
          <w:tcPr>
            <w:tcW w:w="950" w:type="dxa"/>
            <w:tcBorders>
              <w:top w:val="nil"/>
              <w:left w:val="nil"/>
              <w:bottom w:val="nil"/>
              <w:right w:val="nil"/>
            </w:tcBorders>
            <w:shd w:val="clear" w:color="auto" w:fill="auto"/>
            <w:noWrap/>
            <w:vAlign w:val="bottom"/>
            <w:hideMark/>
          </w:tcPr>
          <w:p w14:paraId="773BD137" w14:textId="3E59262E"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504,158 </w:t>
            </w:r>
          </w:p>
        </w:tc>
        <w:tc>
          <w:tcPr>
            <w:tcW w:w="1034" w:type="dxa"/>
            <w:tcBorders>
              <w:top w:val="nil"/>
              <w:left w:val="nil"/>
              <w:bottom w:val="nil"/>
              <w:right w:val="nil"/>
            </w:tcBorders>
            <w:shd w:val="clear" w:color="auto" w:fill="auto"/>
            <w:noWrap/>
            <w:vAlign w:val="bottom"/>
            <w:hideMark/>
          </w:tcPr>
          <w:p w14:paraId="4CD60FAF" w14:textId="7D443DC3"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229,182 </w:t>
            </w:r>
          </w:p>
        </w:tc>
      </w:tr>
      <w:tr w:rsidR="00F10ACD" w:rsidRPr="00457670" w14:paraId="2A9B8F12" w14:textId="77777777" w:rsidTr="006C442A">
        <w:trPr>
          <w:trHeight w:val="204"/>
        </w:trPr>
        <w:tc>
          <w:tcPr>
            <w:tcW w:w="2692" w:type="dxa"/>
            <w:tcBorders>
              <w:top w:val="nil"/>
              <w:left w:val="nil"/>
              <w:bottom w:val="nil"/>
              <w:right w:val="nil"/>
            </w:tcBorders>
            <w:shd w:val="clear" w:color="auto" w:fill="auto"/>
            <w:vAlign w:val="bottom"/>
            <w:hideMark/>
          </w:tcPr>
          <w:p w14:paraId="53FD59E7" w14:textId="2A7016EA" w:rsidR="00F10ACD" w:rsidRPr="00117108" w:rsidRDefault="00F10ACD" w:rsidP="00F10ACD">
            <w:pPr>
              <w:spacing w:after="0" w:line="240" w:lineRule="auto"/>
              <w:ind w:firstLineChars="100" w:firstLine="160"/>
              <w:jc w:val="right"/>
              <w:rPr>
                <w:rFonts w:ascii="Arial" w:hAnsi="Arial" w:cs="Arial"/>
                <w:b/>
                <w:bCs/>
                <w:sz w:val="16"/>
                <w:szCs w:val="16"/>
              </w:rPr>
            </w:pPr>
            <w:r w:rsidRPr="00117108">
              <w:rPr>
                <w:rFonts w:ascii="Arial" w:hAnsi="Arial" w:cs="Arial"/>
                <w:b/>
                <w:bCs/>
                <w:sz w:val="16"/>
                <w:szCs w:val="16"/>
              </w:rPr>
              <w:t xml:space="preserve">Total </w:t>
            </w:r>
            <w:r>
              <w:rPr>
                <w:rFonts w:ascii="Arial" w:hAnsi="Arial" w:cs="Arial"/>
                <w:b/>
                <w:bCs/>
                <w:sz w:val="16"/>
                <w:szCs w:val="16"/>
              </w:rPr>
              <w:t>A</w:t>
            </w:r>
            <w:r w:rsidRPr="00117108">
              <w:rPr>
                <w:rFonts w:ascii="Arial" w:hAnsi="Arial" w:cs="Arial"/>
                <w:b/>
                <w:bCs/>
                <w:sz w:val="16"/>
                <w:szCs w:val="16"/>
              </w:rPr>
              <w:t>dministered expenses</w:t>
            </w:r>
          </w:p>
        </w:tc>
        <w:tc>
          <w:tcPr>
            <w:tcW w:w="934" w:type="dxa"/>
            <w:tcBorders>
              <w:top w:val="single" w:sz="4" w:space="0" w:color="auto"/>
              <w:left w:val="nil"/>
              <w:bottom w:val="single" w:sz="4" w:space="0" w:color="auto"/>
              <w:right w:val="nil"/>
            </w:tcBorders>
            <w:shd w:val="clear" w:color="auto" w:fill="auto"/>
            <w:noWrap/>
            <w:vAlign w:val="bottom"/>
            <w:hideMark/>
          </w:tcPr>
          <w:p w14:paraId="396ED11B" w14:textId="7E71FAFA"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4,058,120 </w:t>
            </w:r>
          </w:p>
        </w:tc>
        <w:tc>
          <w:tcPr>
            <w:tcW w:w="950" w:type="dxa"/>
            <w:tcBorders>
              <w:top w:val="single" w:sz="4" w:space="0" w:color="auto"/>
              <w:left w:val="nil"/>
              <w:bottom w:val="single" w:sz="4" w:space="0" w:color="auto"/>
              <w:right w:val="nil"/>
            </w:tcBorders>
            <w:shd w:val="clear" w:color="auto" w:fill="E6E6E6"/>
            <w:noWrap/>
            <w:vAlign w:val="bottom"/>
            <w:hideMark/>
          </w:tcPr>
          <w:p w14:paraId="6B58B8A5" w14:textId="6EA04B8A"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3,443,601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45B088DA" w14:textId="1D8957D2"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4,854,795 </w:t>
            </w:r>
          </w:p>
        </w:tc>
        <w:tc>
          <w:tcPr>
            <w:tcW w:w="950" w:type="dxa"/>
            <w:tcBorders>
              <w:top w:val="single" w:sz="4" w:space="0" w:color="auto"/>
              <w:left w:val="nil"/>
              <w:bottom w:val="single" w:sz="4" w:space="0" w:color="auto"/>
              <w:right w:val="nil"/>
            </w:tcBorders>
            <w:shd w:val="clear" w:color="auto" w:fill="auto"/>
            <w:noWrap/>
            <w:vAlign w:val="bottom"/>
            <w:hideMark/>
          </w:tcPr>
          <w:p w14:paraId="207EF73A" w14:textId="0993A8C4"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4,041,662 </w:t>
            </w:r>
          </w:p>
        </w:tc>
        <w:tc>
          <w:tcPr>
            <w:tcW w:w="1034" w:type="dxa"/>
            <w:tcBorders>
              <w:top w:val="single" w:sz="4" w:space="0" w:color="auto"/>
              <w:left w:val="nil"/>
              <w:bottom w:val="single" w:sz="4" w:space="0" w:color="auto"/>
              <w:right w:val="nil"/>
            </w:tcBorders>
            <w:shd w:val="clear" w:color="auto" w:fill="auto"/>
            <w:noWrap/>
            <w:vAlign w:val="bottom"/>
            <w:hideMark/>
          </w:tcPr>
          <w:p w14:paraId="41DF325A" w14:textId="15E1D01B"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3,552,386 </w:t>
            </w:r>
          </w:p>
        </w:tc>
      </w:tr>
      <w:tr w:rsidR="00F10ACD" w:rsidRPr="00457670" w14:paraId="6CBD0AB9" w14:textId="77777777" w:rsidTr="006C442A">
        <w:trPr>
          <w:trHeight w:val="204"/>
        </w:trPr>
        <w:tc>
          <w:tcPr>
            <w:tcW w:w="2692" w:type="dxa"/>
            <w:tcBorders>
              <w:top w:val="nil"/>
              <w:left w:val="nil"/>
              <w:bottom w:val="nil"/>
              <w:right w:val="nil"/>
            </w:tcBorders>
            <w:shd w:val="clear" w:color="auto" w:fill="auto"/>
            <w:noWrap/>
            <w:vAlign w:val="bottom"/>
            <w:hideMark/>
          </w:tcPr>
          <w:p w14:paraId="2CCC805B" w14:textId="77777777" w:rsidR="00F10ACD" w:rsidRPr="00117108" w:rsidRDefault="00F10ACD" w:rsidP="00F10ACD">
            <w:pPr>
              <w:spacing w:after="0" w:line="240" w:lineRule="auto"/>
              <w:jc w:val="left"/>
              <w:rPr>
                <w:rFonts w:ascii="Arial" w:hAnsi="Arial" w:cs="Arial"/>
                <w:sz w:val="16"/>
                <w:szCs w:val="16"/>
              </w:rPr>
            </w:pPr>
            <w:r w:rsidRPr="00117108">
              <w:rPr>
                <w:rFonts w:ascii="Arial" w:hAnsi="Arial" w:cs="Arial"/>
                <w:sz w:val="16"/>
                <w:szCs w:val="16"/>
              </w:rPr>
              <w:t>Departmental expenses</w:t>
            </w:r>
          </w:p>
        </w:tc>
        <w:tc>
          <w:tcPr>
            <w:tcW w:w="934" w:type="dxa"/>
            <w:tcBorders>
              <w:top w:val="nil"/>
              <w:left w:val="nil"/>
              <w:bottom w:val="nil"/>
              <w:right w:val="nil"/>
            </w:tcBorders>
            <w:shd w:val="clear" w:color="auto" w:fill="auto"/>
            <w:noWrap/>
            <w:vAlign w:val="bottom"/>
            <w:hideMark/>
          </w:tcPr>
          <w:p w14:paraId="3C64DC3B" w14:textId="77777777" w:rsidR="00F10ACD" w:rsidRPr="00117108" w:rsidRDefault="00F10ACD" w:rsidP="00F10ACD">
            <w:pPr>
              <w:spacing w:after="0" w:line="240" w:lineRule="auto"/>
              <w:jc w:val="right"/>
              <w:rPr>
                <w:rFonts w:ascii="Arial" w:hAnsi="Arial" w:cs="Arial"/>
                <w:sz w:val="16"/>
                <w:szCs w:val="16"/>
              </w:rPr>
            </w:pPr>
          </w:p>
        </w:tc>
        <w:tc>
          <w:tcPr>
            <w:tcW w:w="950" w:type="dxa"/>
            <w:tcBorders>
              <w:top w:val="nil"/>
              <w:left w:val="nil"/>
              <w:bottom w:val="nil"/>
              <w:right w:val="nil"/>
            </w:tcBorders>
            <w:shd w:val="clear" w:color="auto" w:fill="E6E6E6"/>
            <w:noWrap/>
            <w:vAlign w:val="bottom"/>
            <w:hideMark/>
          </w:tcPr>
          <w:p w14:paraId="04618D9E" w14:textId="12F94CD1"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w:t>
            </w:r>
          </w:p>
        </w:tc>
        <w:tc>
          <w:tcPr>
            <w:tcW w:w="996" w:type="dxa"/>
            <w:gridSpan w:val="2"/>
            <w:tcBorders>
              <w:top w:val="nil"/>
              <w:left w:val="nil"/>
              <w:bottom w:val="nil"/>
              <w:right w:val="nil"/>
            </w:tcBorders>
            <w:shd w:val="clear" w:color="auto" w:fill="auto"/>
            <w:noWrap/>
            <w:vAlign w:val="bottom"/>
            <w:hideMark/>
          </w:tcPr>
          <w:p w14:paraId="2D829322" w14:textId="77777777" w:rsidR="00F10ACD" w:rsidRPr="00117108" w:rsidRDefault="00F10ACD" w:rsidP="00F10ACD">
            <w:pPr>
              <w:spacing w:after="0" w:line="240" w:lineRule="auto"/>
              <w:jc w:val="right"/>
              <w:rPr>
                <w:rFonts w:ascii="Arial" w:hAnsi="Arial" w:cs="Arial"/>
                <w:sz w:val="16"/>
                <w:szCs w:val="16"/>
              </w:rPr>
            </w:pPr>
          </w:p>
        </w:tc>
        <w:tc>
          <w:tcPr>
            <w:tcW w:w="950" w:type="dxa"/>
            <w:tcBorders>
              <w:top w:val="nil"/>
              <w:left w:val="nil"/>
              <w:bottom w:val="nil"/>
              <w:right w:val="nil"/>
            </w:tcBorders>
            <w:shd w:val="clear" w:color="auto" w:fill="auto"/>
            <w:noWrap/>
            <w:vAlign w:val="bottom"/>
            <w:hideMark/>
          </w:tcPr>
          <w:p w14:paraId="055343B1" w14:textId="77777777" w:rsidR="00F10ACD" w:rsidRPr="00117108" w:rsidRDefault="00F10ACD" w:rsidP="00F10ACD">
            <w:pPr>
              <w:spacing w:after="0" w:line="240" w:lineRule="auto"/>
              <w:jc w:val="right"/>
              <w:rPr>
                <w:rFonts w:ascii="Times New Roman" w:hAnsi="Times New Roman"/>
                <w:sz w:val="16"/>
                <w:szCs w:val="16"/>
              </w:rPr>
            </w:pPr>
          </w:p>
        </w:tc>
        <w:tc>
          <w:tcPr>
            <w:tcW w:w="1034" w:type="dxa"/>
            <w:tcBorders>
              <w:top w:val="nil"/>
              <w:left w:val="nil"/>
              <w:bottom w:val="nil"/>
              <w:right w:val="nil"/>
            </w:tcBorders>
            <w:shd w:val="clear" w:color="auto" w:fill="auto"/>
            <w:noWrap/>
            <w:vAlign w:val="bottom"/>
            <w:hideMark/>
          </w:tcPr>
          <w:p w14:paraId="66588396" w14:textId="77777777" w:rsidR="00F10ACD" w:rsidRPr="00117108" w:rsidRDefault="00F10ACD" w:rsidP="00F10ACD">
            <w:pPr>
              <w:spacing w:after="0" w:line="240" w:lineRule="auto"/>
              <w:jc w:val="right"/>
              <w:rPr>
                <w:rFonts w:ascii="Times New Roman" w:hAnsi="Times New Roman"/>
                <w:sz w:val="16"/>
                <w:szCs w:val="16"/>
              </w:rPr>
            </w:pPr>
          </w:p>
        </w:tc>
      </w:tr>
      <w:tr w:rsidR="00F10ACD" w:rsidRPr="00457670" w14:paraId="7C9D0010" w14:textId="77777777" w:rsidTr="006C442A">
        <w:trPr>
          <w:trHeight w:val="204"/>
        </w:trPr>
        <w:tc>
          <w:tcPr>
            <w:tcW w:w="2692" w:type="dxa"/>
            <w:tcBorders>
              <w:top w:val="nil"/>
              <w:left w:val="nil"/>
              <w:bottom w:val="nil"/>
              <w:right w:val="nil"/>
            </w:tcBorders>
            <w:shd w:val="clear" w:color="auto" w:fill="auto"/>
            <w:vAlign w:val="bottom"/>
            <w:hideMark/>
          </w:tcPr>
          <w:p w14:paraId="2B51575D" w14:textId="77777777"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Departmental appropriation</w:t>
            </w:r>
          </w:p>
        </w:tc>
        <w:tc>
          <w:tcPr>
            <w:tcW w:w="934" w:type="dxa"/>
            <w:tcBorders>
              <w:top w:val="nil"/>
              <w:left w:val="nil"/>
              <w:bottom w:val="nil"/>
              <w:right w:val="nil"/>
            </w:tcBorders>
            <w:shd w:val="clear" w:color="auto" w:fill="auto"/>
            <w:noWrap/>
            <w:vAlign w:val="bottom"/>
            <w:hideMark/>
          </w:tcPr>
          <w:p w14:paraId="6A9163DF" w14:textId="2A3947F3"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62,458 </w:t>
            </w:r>
          </w:p>
        </w:tc>
        <w:tc>
          <w:tcPr>
            <w:tcW w:w="950" w:type="dxa"/>
            <w:tcBorders>
              <w:top w:val="nil"/>
              <w:left w:val="nil"/>
              <w:bottom w:val="nil"/>
              <w:right w:val="nil"/>
            </w:tcBorders>
            <w:shd w:val="clear" w:color="auto" w:fill="E6E6E6"/>
            <w:noWrap/>
            <w:vAlign w:val="bottom"/>
            <w:hideMark/>
          </w:tcPr>
          <w:p w14:paraId="66B16117" w14:textId="31EAC7BF"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66,542 </w:t>
            </w:r>
          </w:p>
        </w:tc>
        <w:tc>
          <w:tcPr>
            <w:tcW w:w="996" w:type="dxa"/>
            <w:gridSpan w:val="2"/>
            <w:tcBorders>
              <w:top w:val="nil"/>
              <w:left w:val="nil"/>
              <w:bottom w:val="nil"/>
              <w:right w:val="nil"/>
            </w:tcBorders>
            <w:shd w:val="clear" w:color="auto" w:fill="auto"/>
            <w:noWrap/>
            <w:vAlign w:val="bottom"/>
            <w:hideMark/>
          </w:tcPr>
          <w:p w14:paraId="3DE68B98" w14:textId="1E63CD82"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65,711 </w:t>
            </w:r>
          </w:p>
        </w:tc>
        <w:tc>
          <w:tcPr>
            <w:tcW w:w="950" w:type="dxa"/>
            <w:tcBorders>
              <w:top w:val="nil"/>
              <w:left w:val="nil"/>
              <w:bottom w:val="nil"/>
              <w:right w:val="nil"/>
            </w:tcBorders>
            <w:shd w:val="clear" w:color="auto" w:fill="auto"/>
            <w:noWrap/>
            <w:vAlign w:val="bottom"/>
            <w:hideMark/>
          </w:tcPr>
          <w:p w14:paraId="508610B2" w14:textId="39C63D0C"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43,547 </w:t>
            </w:r>
          </w:p>
        </w:tc>
        <w:tc>
          <w:tcPr>
            <w:tcW w:w="1034" w:type="dxa"/>
            <w:tcBorders>
              <w:top w:val="nil"/>
              <w:left w:val="nil"/>
              <w:bottom w:val="nil"/>
              <w:right w:val="nil"/>
            </w:tcBorders>
            <w:shd w:val="clear" w:color="auto" w:fill="auto"/>
            <w:noWrap/>
            <w:vAlign w:val="bottom"/>
            <w:hideMark/>
          </w:tcPr>
          <w:p w14:paraId="423B6BA2" w14:textId="5583372A"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35,816 </w:t>
            </w:r>
          </w:p>
        </w:tc>
      </w:tr>
      <w:tr w:rsidR="00F10ACD" w:rsidRPr="00457670" w14:paraId="7D8BC997" w14:textId="77777777" w:rsidTr="006C442A">
        <w:trPr>
          <w:trHeight w:val="204"/>
        </w:trPr>
        <w:tc>
          <w:tcPr>
            <w:tcW w:w="2692" w:type="dxa"/>
            <w:tcBorders>
              <w:top w:val="nil"/>
              <w:left w:val="nil"/>
              <w:bottom w:val="nil"/>
              <w:right w:val="nil"/>
            </w:tcBorders>
            <w:shd w:val="clear" w:color="auto" w:fill="auto"/>
            <w:vAlign w:val="bottom"/>
            <w:hideMark/>
          </w:tcPr>
          <w:p w14:paraId="2E185A54" w14:textId="5517CBB3"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 xml:space="preserve">s74 retained revenue receipts </w:t>
            </w:r>
            <w:r w:rsidRPr="00117108">
              <w:rPr>
                <w:rFonts w:ascii="Arial" w:hAnsi="Arial" w:cs="Arial"/>
                <w:sz w:val="16"/>
                <w:szCs w:val="16"/>
                <w:vertAlign w:val="superscript"/>
              </w:rPr>
              <w:t>(</w:t>
            </w:r>
            <w:r>
              <w:rPr>
                <w:rFonts w:ascii="Arial" w:hAnsi="Arial" w:cs="Arial"/>
                <w:sz w:val="16"/>
                <w:szCs w:val="16"/>
                <w:vertAlign w:val="superscript"/>
              </w:rPr>
              <w:t>d</w:t>
            </w:r>
            <w:r w:rsidRPr="00117108">
              <w:rPr>
                <w:rFonts w:ascii="Arial" w:hAnsi="Arial" w:cs="Arial"/>
                <w:sz w:val="16"/>
                <w:szCs w:val="16"/>
                <w:vertAlign w:val="superscript"/>
              </w:rPr>
              <w:t>)</w:t>
            </w:r>
          </w:p>
        </w:tc>
        <w:tc>
          <w:tcPr>
            <w:tcW w:w="934" w:type="dxa"/>
            <w:tcBorders>
              <w:top w:val="nil"/>
              <w:left w:val="nil"/>
              <w:bottom w:val="nil"/>
              <w:right w:val="nil"/>
            </w:tcBorders>
            <w:shd w:val="clear" w:color="auto" w:fill="auto"/>
            <w:noWrap/>
            <w:vAlign w:val="bottom"/>
            <w:hideMark/>
          </w:tcPr>
          <w:p w14:paraId="774E0D5F" w14:textId="588849B2"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4,362 </w:t>
            </w:r>
          </w:p>
        </w:tc>
        <w:tc>
          <w:tcPr>
            <w:tcW w:w="950" w:type="dxa"/>
            <w:tcBorders>
              <w:top w:val="nil"/>
              <w:left w:val="nil"/>
              <w:bottom w:val="nil"/>
              <w:right w:val="nil"/>
            </w:tcBorders>
            <w:shd w:val="clear" w:color="auto" w:fill="E6E6E6"/>
            <w:noWrap/>
            <w:vAlign w:val="bottom"/>
            <w:hideMark/>
          </w:tcPr>
          <w:p w14:paraId="0863F2F2" w14:textId="716B0152"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1,519 </w:t>
            </w:r>
          </w:p>
        </w:tc>
        <w:tc>
          <w:tcPr>
            <w:tcW w:w="996" w:type="dxa"/>
            <w:gridSpan w:val="2"/>
            <w:tcBorders>
              <w:top w:val="nil"/>
              <w:left w:val="nil"/>
              <w:bottom w:val="nil"/>
              <w:right w:val="nil"/>
            </w:tcBorders>
            <w:shd w:val="clear" w:color="auto" w:fill="auto"/>
            <w:noWrap/>
            <w:vAlign w:val="bottom"/>
            <w:hideMark/>
          </w:tcPr>
          <w:p w14:paraId="7D6BE415" w14:textId="7F7AB5B5"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1,138 </w:t>
            </w:r>
          </w:p>
        </w:tc>
        <w:tc>
          <w:tcPr>
            <w:tcW w:w="950" w:type="dxa"/>
            <w:tcBorders>
              <w:top w:val="nil"/>
              <w:left w:val="nil"/>
              <w:bottom w:val="nil"/>
              <w:right w:val="nil"/>
            </w:tcBorders>
            <w:shd w:val="clear" w:color="auto" w:fill="auto"/>
            <w:noWrap/>
            <w:vAlign w:val="bottom"/>
            <w:hideMark/>
          </w:tcPr>
          <w:p w14:paraId="2F1A0658" w14:textId="26BF8FAF"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1,163 </w:t>
            </w:r>
          </w:p>
        </w:tc>
        <w:tc>
          <w:tcPr>
            <w:tcW w:w="1034" w:type="dxa"/>
            <w:tcBorders>
              <w:top w:val="nil"/>
              <w:left w:val="nil"/>
              <w:bottom w:val="nil"/>
              <w:right w:val="nil"/>
            </w:tcBorders>
            <w:shd w:val="clear" w:color="auto" w:fill="auto"/>
            <w:noWrap/>
            <w:vAlign w:val="bottom"/>
            <w:hideMark/>
          </w:tcPr>
          <w:p w14:paraId="14723C9B" w14:textId="499D416B"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1,163 </w:t>
            </w:r>
          </w:p>
        </w:tc>
      </w:tr>
      <w:tr w:rsidR="00F10ACD" w:rsidRPr="00457670" w14:paraId="0A7A6327" w14:textId="77777777" w:rsidTr="006C442A">
        <w:trPr>
          <w:trHeight w:val="204"/>
        </w:trPr>
        <w:tc>
          <w:tcPr>
            <w:tcW w:w="2692" w:type="dxa"/>
            <w:tcBorders>
              <w:top w:val="nil"/>
              <w:left w:val="nil"/>
              <w:bottom w:val="nil"/>
              <w:right w:val="nil"/>
            </w:tcBorders>
            <w:shd w:val="clear" w:color="auto" w:fill="auto"/>
            <w:vAlign w:val="bottom"/>
            <w:hideMark/>
          </w:tcPr>
          <w:p w14:paraId="76C1AA67" w14:textId="28319139" w:rsidR="00F10ACD" w:rsidRPr="00117108" w:rsidRDefault="00F10ACD" w:rsidP="00F10ACD">
            <w:pPr>
              <w:spacing w:after="0" w:line="240" w:lineRule="auto"/>
              <w:ind w:left="113"/>
              <w:jc w:val="left"/>
              <w:rPr>
                <w:rFonts w:ascii="Arial" w:hAnsi="Arial" w:cs="Arial"/>
                <w:sz w:val="16"/>
                <w:szCs w:val="16"/>
              </w:rPr>
            </w:pPr>
            <w:r w:rsidRPr="00117108">
              <w:rPr>
                <w:rFonts w:ascii="Arial" w:hAnsi="Arial" w:cs="Arial"/>
                <w:sz w:val="16"/>
                <w:szCs w:val="16"/>
              </w:rPr>
              <w:t>Expenses not requiring appropriation in the Budget year </w:t>
            </w:r>
            <w:r w:rsidRPr="00117108">
              <w:rPr>
                <w:rFonts w:ascii="Arial" w:hAnsi="Arial" w:cs="Arial"/>
                <w:sz w:val="16"/>
                <w:szCs w:val="16"/>
                <w:vertAlign w:val="superscript"/>
              </w:rPr>
              <w:t>(</w:t>
            </w:r>
            <w:r>
              <w:rPr>
                <w:rFonts w:ascii="Arial" w:hAnsi="Arial" w:cs="Arial"/>
                <w:sz w:val="16"/>
                <w:szCs w:val="16"/>
                <w:vertAlign w:val="superscript"/>
              </w:rPr>
              <w:t>e</w:t>
            </w:r>
            <w:r w:rsidRPr="00117108">
              <w:rPr>
                <w:rFonts w:ascii="Arial" w:hAnsi="Arial" w:cs="Arial"/>
                <w:sz w:val="16"/>
                <w:szCs w:val="16"/>
                <w:vertAlign w:val="superscript"/>
              </w:rPr>
              <w:t>)</w:t>
            </w:r>
          </w:p>
        </w:tc>
        <w:tc>
          <w:tcPr>
            <w:tcW w:w="934" w:type="dxa"/>
            <w:tcBorders>
              <w:top w:val="nil"/>
              <w:left w:val="nil"/>
              <w:bottom w:val="nil"/>
              <w:right w:val="nil"/>
            </w:tcBorders>
            <w:shd w:val="clear" w:color="auto" w:fill="auto"/>
            <w:noWrap/>
            <w:vAlign w:val="bottom"/>
            <w:hideMark/>
          </w:tcPr>
          <w:p w14:paraId="7EB317B1" w14:textId="25A0F885"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4,909 </w:t>
            </w:r>
          </w:p>
        </w:tc>
        <w:tc>
          <w:tcPr>
            <w:tcW w:w="950" w:type="dxa"/>
            <w:tcBorders>
              <w:top w:val="nil"/>
              <w:left w:val="nil"/>
              <w:bottom w:val="nil"/>
              <w:right w:val="nil"/>
            </w:tcBorders>
            <w:shd w:val="clear" w:color="auto" w:fill="E6E6E6"/>
            <w:noWrap/>
            <w:vAlign w:val="bottom"/>
            <w:hideMark/>
          </w:tcPr>
          <w:p w14:paraId="37A0DF42" w14:textId="3B65EFE3"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1,296 </w:t>
            </w:r>
          </w:p>
        </w:tc>
        <w:tc>
          <w:tcPr>
            <w:tcW w:w="996" w:type="dxa"/>
            <w:gridSpan w:val="2"/>
            <w:tcBorders>
              <w:top w:val="nil"/>
              <w:left w:val="nil"/>
              <w:bottom w:val="nil"/>
              <w:right w:val="nil"/>
            </w:tcBorders>
            <w:shd w:val="clear" w:color="auto" w:fill="auto"/>
            <w:noWrap/>
            <w:vAlign w:val="bottom"/>
            <w:hideMark/>
          </w:tcPr>
          <w:p w14:paraId="31A1A77E" w14:textId="27521AB5"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1,180 </w:t>
            </w:r>
          </w:p>
        </w:tc>
        <w:tc>
          <w:tcPr>
            <w:tcW w:w="950" w:type="dxa"/>
            <w:tcBorders>
              <w:top w:val="nil"/>
              <w:left w:val="nil"/>
              <w:bottom w:val="nil"/>
              <w:right w:val="nil"/>
            </w:tcBorders>
            <w:shd w:val="clear" w:color="auto" w:fill="auto"/>
            <w:noWrap/>
            <w:vAlign w:val="bottom"/>
            <w:hideMark/>
          </w:tcPr>
          <w:p w14:paraId="21A34F50" w14:textId="453CD1F5"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910 </w:t>
            </w:r>
          </w:p>
        </w:tc>
        <w:tc>
          <w:tcPr>
            <w:tcW w:w="1034" w:type="dxa"/>
            <w:tcBorders>
              <w:top w:val="nil"/>
              <w:left w:val="nil"/>
              <w:bottom w:val="nil"/>
              <w:right w:val="nil"/>
            </w:tcBorders>
            <w:shd w:val="clear" w:color="auto" w:fill="auto"/>
            <w:noWrap/>
            <w:vAlign w:val="bottom"/>
            <w:hideMark/>
          </w:tcPr>
          <w:p w14:paraId="11266EEE" w14:textId="0AE06A88" w:rsidR="00F10ACD" w:rsidRPr="00117108" w:rsidRDefault="00F10ACD" w:rsidP="00F10ACD">
            <w:pPr>
              <w:spacing w:after="0" w:line="240" w:lineRule="auto"/>
              <w:jc w:val="right"/>
              <w:rPr>
                <w:rFonts w:ascii="Arial" w:hAnsi="Arial" w:cs="Arial"/>
                <w:sz w:val="16"/>
                <w:szCs w:val="16"/>
              </w:rPr>
            </w:pPr>
            <w:r>
              <w:rPr>
                <w:rFonts w:ascii="Arial" w:hAnsi="Arial" w:cs="Arial"/>
                <w:sz w:val="16"/>
                <w:szCs w:val="16"/>
              </w:rPr>
              <w:t xml:space="preserve">911 </w:t>
            </w:r>
          </w:p>
        </w:tc>
      </w:tr>
      <w:tr w:rsidR="00F10ACD" w:rsidRPr="00457670" w14:paraId="634E3F7B" w14:textId="77777777" w:rsidTr="006C442A">
        <w:trPr>
          <w:trHeight w:val="204"/>
        </w:trPr>
        <w:tc>
          <w:tcPr>
            <w:tcW w:w="2692" w:type="dxa"/>
            <w:tcBorders>
              <w:top w:val="nil"/>
              <w:left w:val="nil"/>
              <w:bottom w:val="nil"/>
              <w:right w:val="nil"/>
            </w:tcBorders>
            <w:shd w:val="clear" w:color="auto" w:fill="auto"/>
            <w:vAlign w:val="bottom"/>
            <w:hideMark/>
          </w:tcPr>
          <w:p w14:paraId="143A759C" w14:textId="1AF63514" w:rsidR="00F10ACD" w:rsidRPr="00117108" w:rsidRDefault="00F10ACD" w:rsidP="00F10ACD">
            <w:pPr>
              <w:spacing w:after="0" w:line="240" w:lineRule="auto"/>
              <w:ind w:firstLineChars="100" w:firstLine="160"/>
              <w:jc w:val="right"/>
              <w:rPr>
                <w:rFonts w:ascii="Arial" w:hAnsi="Arial" w:cs="Arial"/>
                <w:b/>
                <w:bCs/>
                <w:sz w:val="16"/>
                <w:szCs w:val="16"/>
              </w:rPr>
            </w:pPr>
            <w:r w:rsidRPr="00117108">
              <w:rPr>
                <w:rFonts w:ascii="Arial" w:hAnsi="Arial" w:cs="Arial"/>
                <w:b/>
                <w:bCs/>
                <w:sz w:val="16"/>
                <w:szCs w:val="16"/>
              </w:rPr>
              <w:t xml:space="preserve">Total </w:t>
            </w:r>
            <w:r>
              <w:rPr>
                <w:rFonts w:ascii="Arial" w:hAnsi="Arial" w:cs="Arial"/>
                <w:b/>
                <w:bCs/>
                <w:sz w:val="16"/>
                <w:szCs w:val="16"/>
              </w:rPr>
              <w:t>D</w:t>
            </w:r>
            <w:r w:rsidRPr="00117108">
              <w:rPr>
                <w:rFonts w:ascii="Arial" w:hAnsi="Arial" w:cs="Arial"/>
                <w:b/>
                <w:bCs/>
                <w:sz w:val="16"/>
                <w:szCs w:val="16"/>
              </w:rPr>
              <w:t>epartmental expenses</w:t>
            </w:r>
          </w:p>
        </w:tc>
        <w:tc>
          <w:tcPr>
            <w:tcW w:w="934" w:type="dxa"/>
            <w:tcBorders>
              <w:top w:val="single" w:sz="4" w:space="0" w:color="auto"/>
              <w:left w:val="nil"/>
              <w:bottom w:val="single" w:sz="4" w:space="0" w:color="auto"/>
              <w:right w:val="nil"/>
            </w:tcBorders>
            <w:shd w:val="clear" w:color="auto" w:fill="auto"/>
            <w:noWrap/>
            <w:vAlign w:val="bottom"/>
            <w:hideMark/>
          </w:tcPr>
          <w:p w14:paraId="21BE9C1E" w14:textId="2CC2D7BC"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71,729 </w:t>
            </w:r>
          </w:p>
        </w:tc>
        <w:tc>
          <w:tcPr>
            <w:tcW w:w="950" w:type="dxa"/>
            <w:tcBorders>
              <w:top w:val="single" w:sz="4" w:space="0" w:color="auto"/>
              <w:left w:val="nil"/>
              <w:bottom w:val="single" w:sz="4" w:space="0" w:color="auto"/>
              <w:right w:val="nil"/>
            </w:tcBorders>
            <w:shd w:val="clear" w:color="auto" w:fill="E6E6E6"/>
            <w:noWrap/>
            <w:vAlign w:val="bottom"/>
            <w:hideMark/>
          </w:tcPr>
          <w:p w14:paraId="2877F873" w14:textId="72519E66"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69,357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1D832D8B" w14:textId="0B367C97"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68,029 </w:t>
            </w:r>
          </w:p>
        </w:tc>
        <w:tc>
          <w:tcPr>
            <w:tcW w:w="950" w:type="dxa"/>
            <w:tcBorders>
              <w:top w:val="single" w:sz="4" w:space="0" w:color="auto"/>
              <w:left w:val="nil"/>
              <w:bottom w:val="single" w:sz="4" w:space="0" w:color="auto"/>
              <w:right w:val="nil"/>
            </w:tcBorders>
            <w:shd w:val="clear" w:color="auto" w:fill="auto"/>
            <w:noWrap/>
            <w:vAlign w:val="bottom"/>
            <w:hideMark/>
          </w:tcPr>
          <w:p w14:paraId="4C76F833" w14:textId="3F811CA6"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45,620 </w:t>
            </w:r>
          </w:p>
        </w:tc>
        <w:tc>
          <w:tcPr>
            <w:tcW w:w="1034" w:type="dxa"/>
            <w:tcBorders>
              <w:top w:val="single" w:sz="4" w:space="0" w:color="auto"/>
              <w:left w:val="nil"/>
              <w:bottom w:val="single" w:sz="4" w:space="0" w:color="auto"/>
              <w:right w:val="nil"/>
            </w:tcBorders>
            <w:shd w:val="clear" w:color="auto" w:fill="auto"/>
            <w:noWrap/>
            <w:vAlign w:val="bottom"/>
            <w:hideMark/>
          </w:tcPr>
          <w:p w14:paraId="0B1C9A0B" w14:textId="21B05F29"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37,890 </w:t>
            </w:r>
          </w:p>
        </w:tc>
      </w:tr>
      <w:tr w:rsidR="00F10ACD" w:rsidRPr="00457670" w14:paraId="5C5AA1A2" w14:textId="77777777" w:rsidTr="006C442A">
        <w:trPr>
          <w:trHeight w:val="204"/>
        </w:trPr>
        <w:tc>
          <w:tcPr>
            <w:tcW w:w="2692" w:type="dxa"/>
            <w:tcBorders>
              <w:top w:val="nil"/>
              <w:left w:val="nil"/>
              <w:bottom w:val="single" w:sz="4" w:space="0" w:color="auto"/>
              <w:right w:val="nil"/>
            </w:tcBorders>
            <w:shd w:val="clear" w:color="auto" w:fill="auto"/>
            <w:noWrap/>
            <w:vAlign w:val="bottom"/>
            <w:hideMark/>
          </w:tcPr>
          <w:p w14:paraId="4BE64752" w14:textId="77777777" w:rsidR="00F10ACD" w:rsidRPr="00117108" w:rsidRDefault="00F10ACD" w:rsidP="00F10ACD">
            <w:pPr>
              <w:spacing w:after="0" w:line="240" w:lineRule="auto"/>
              <w:jc w:val="left"/>
              <w:rPr>
                <w:rFonts w:ascii="Arial" w:hAnsi="Arial" w:cs="Arial"/>
                <w:b/>
                <w:bCs/>
                <w:sz w:val="16"/>
                <w:szCs w:val="16"/>
              </w:rPr>
            </w:pPr>
            <w:r w:rsidRPr="00117108">
              <w:rPr>
                <w:rFonts w:ascii="Arial" w:hAnsi="Arial" w:cs="Arial"/>
                <w:b/>
                <w:bCs/>
                <w:sz w:val="16"/>
                <w:szCs w:val="16"/>
              </w:rPr>
              <w:t>Total expenses for Outcome 3</w:t>
            </w:r>
          </w:p>
        </w:tc>
        <w:tc>
          <w:tcPr>
            <w:tcW w:w="934" w:type="dxa"/>
            <w:tcBorders>
              <w:top w:val="nil"/>
              <w:left w:val="nil"/>
              <w:bottom w:val="single" w:sz="4" w:space="0" w:color="auto"/>
              <w:right w:val="nil"/>
            </w:tcBorders>
            <w:shd w:val="clear" w:color="auto" w:fill="auto"/>
            <w:noWrap/>
            <w:vAlign w:val="bottom"/>
            <w:hideMark/>
          </w:tcPr>
          <w:p w14:paraId="5C4AF55F" w14:textId="4B4D12E5"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4,129,849 </w:t>
            </w:r>
          </w:p>
        </w:tc>
        <w:tc>
          <w:tcPr>
            <w:tcW w:w="950" w:type="dxa"/>
            <w:tcBorders>
              <w:top w:val="nil"/>
              <w:left w:val="nil"/>
              <w:bottom w:val="single" w:sz="4" w:space="0" w:color="auto"/>
              <w:right w:val="nil"/>
            </w:tcBorders>
            <w:shd w:val="clear" w:color="auto" w:fill="E6E6E6"/>
            <w:noWrap/>
            <w:vAlign w:val="bottom"/>
            <w:hideMark/>
          </w:tcPr>
          <w:p w14:paraId="42B41C85" w14:textId="6E93AEC2"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3,512,958 </w:t>
            </w:r>
          </w:p>
        </w:tc>
        <w:tc>
          <w:tcPr>
            <w:tcW w:w="996" w:type="dxa"/>
            <w:gridSpan w:val="2"/>
            <w:tcBorders>
              <w:top w:val="nil"/>
              <w:left w:val="nil"/>
              <w:bottom w:val="single" w:sz="4" w:space="0" w:color="auto"/>
              <w:right w:val="nil"/>
            </w:tcBorders>
            <w:shd w:val="clear" w:color="auto" w:fill="auto"/>
            <w:noWrap/>
            <w:vAlign w:val="bottom"/>
            <w:hideMark/>
          </w:tcPr>
          <w:p w14:paraId="12B70072" w14:textId="614EC682"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4,922,824 </w:t>
            </w:r>
          </w:p>
        </w:tc>
        <w:tc>
          <w:tcPr>
            <w:tcW w:w="950" w:type="dxa"/>
            <w:tcBorders>
              <w:top w:val="nil"/>
              <w:left w:val="nil"/>
              <w:bottom w:val="single" w:sz="4" w:space="0" w:color="auto"/>
              <w:right w:val="nil"/>
            </w:tcBorders>
            <w:shd w:val="clear" w:color="auto" w:fill="auto"/>
            <w:noWrap/>
            <w:vAlign w:val="bottom"/>
            <w:hideMark/>
          </w:tcPr>
          <w:p w14:paraId="1198DEFF" w14:textId="0E67B2D7"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4,087,282 </w:t>
            </w:r>
          </w:p>
        </w:tc>
        <w:tc>
          <w:tcPr>
            <w:tcW w:w="1034" w:type="dxa"/>
            <w:tcBorders>
              <w:top w:val="nil"/>
              <w:left w:val="nil"/>
              <w:bottom w:val="single" w:sz="4" w:space="0" w:color="auto"/>
              <w:right w:val="nil"/>
            </w:tcBorders>
            <w:shd w:val="clear" w:color="auto" w:fill="auto"/>
            <w:noWrap/>
            <w:vAlign w:val="bottom"/>
            <w:hideMark/>
          </w:tcPr>
          <w:p w14:paraId="30AF9E5A" w14:textId="4FA73842" w:rsidR="00F10ACD" w:rsidRPr="00117108" w:rsidRDefault="00F10ACD" w:rsidP="00F10ACD">
            <w:pPr>
              <w:spacing w:after="0" w:line="240" w:lineRule="auto"/>
              <w:jc w:val="right"/>
              <w:rPr>
                <w:rFonts w:ascii="Arial" w:hAnsi="Arial" w:cs="Arial"/>
                <w:b/>
                <w:bCs/>
                <w:sz w:val="16"/>
                <w:szCs w:val="16"/>
              </w:rPr>
            </w:pPr>
            <w:r>
              <w:rPr>
                <w:rFonts w:ascii="Arial" w:hAnsi="Arial" w:cs="Arial"/>
                <w:b/>
                <w:bCs/>
                <w:sz w:val="16"/>
                <w:szCs w:val="16"/>
              </w:rPr>
              <w:t xml:space="preserve">3,590,276 </w:t>
            </w:r>
          </w:p>
        </w:tc>
      </w:tr>
    </w:tbl>
    <w:p w14:paraId="31A2230B" w14:textId="17DE28D8" w:rsidR="001A6E60" w:rsidRDefault="001A6E60">
      <w:r>
        <w:br w:type="page"/>
      </w:r>
    </w:p>
    <w:p w14:paraId="2F452BFC" w14:textId="5E9CEE6D" w:rsidR="00B14202" w:rsidRPr="00CB0109" w:rsidRDefault="00B94EF9" w:rsidP="00CB0109">
      <w:pPr>
        <w:pStyle w:val="TableHeading"/>
        <w:rPr>
          <w:lang w:val="en-AU"/>
        </w:rPr>
      </w:pPr>
      <w:r w:rsidRPr="008F77A2">
        <w:lastRenderedPageBreak/>
        <w:t>Table 2.</w:t>
      </w:r>
      <w:r>
        <w:rPr>
          <w:lang w:val="en-AU"/>
        </w:rPr>
        <w:t>4</w:t>
      </w:r>
      <w:r w:rsidRPr="008F77A2">
        <w:rPr>
          <w:lang w:val="en-AU"/>
        </w:rPr>
        <w:t>.</w:t>
      </w:r>
      <w:r w:rsidRPr="008F77A2">
        <w:t>1 Budgeted expenses</w:t>
      </w:r>
      <w:r w:rsidRPr="008F77A2">
        <w:rPr>
          <w:lang w:val="en-AU"/>
        </w:rPr>
        <w:t xml:space="preserve"> for</w:t>
      </w:r>
      <w:r w:rsidRPr="008F77A2">
        <w:t xml:space="preserve"> Outcome </w:t>
      </w:r>
      <w:r w:rsidRPr="008F77A2">
        <w:rPr>
          <w:lang w:val="en-AU"/>
        </w:rPr>
        <w:t>3 (continued)</w:t>
      </w:r>
    </w:p>
    <w:tbl>
      <w:tblPr>
        <w:tblW w:w="0" w:type="auto"/>
        <w:tblLayout w:type="fixed"/>
        <w:tblLook w:val="04A0" w:firstRow="1" w:lastRow="0" w:firstColumn="1" w:lastColumn="0" w:noHBand="0" w:noVBand="1"/>
      </w:tblPr>
      <w:tblGrid>
        <w:gridCol w:w="2552"/>
        <w:gridCol w:w="1134"/>
        <w:gridCol w:w="992"/>
        <w:gridCol w:w="851"/>
        <w:gridCol w:w="850"/>
        <w:gridCol w:w="851"/>
      </w:tblGrid>
      <w:tr w:rsidR="00E34CEC" w:rsidRPr="0050631D" w14:paraId="68E84F99" w14:textId="77777777" w:rsidTr="0067052F">
        <w:trPr>
          <w:trHeight w:val="204"/>
        </w:trPr>
        <w:tc>
          <w:tcPr>
            <w:tcW w:w="2552" w:type="dxa"/>
            <w:tcBorders>
              <w:top w:val="single" w:sz="4" w:space="0" w:color="auto"/>
              <w:left w:val="nil"/>
              <w:bottom w:val="nil"/>
              <w:right w:val="nil"/>
            </w:tcBorders>
            <w:shd w:val="clear" w:color="auto" w:fill="auto"/>
            <w:noWrap/>
            <w:vAlign w:val="center"/>
            <w:hideMark/>
          </w:tcPr>
          <w:p w14:paraId="61817B00" w14:textId="7D3B79D5" w:rsidR="00E34CEC" w:rsidRPr="0050631D" w:rsidRDefault="00E34CEC" w:rsidP="00E34CEC">
            <w:pPr>
              <w:spacing w:after="0" w:line="240" w:lineRule="auto"/>
              <w:jc w:val="left"/>
              <w:rPr>
                <w:rFonts w:ascii="Arial" w:hAnsi="Arial" w:cs="Arial"/>
                <w:b/>
                <w:bCs/>
                <w:sz w:val="16"/>
                <w:szCs w:val="16"/>
              </w:rPr>
            </w:pPr>
            <w:r w:rsidRPr="0050631D">
              <w:rPr>
                <w:rFonts w:ascii="Arial" w:hAnsi="Arial" w:cs="Arial"/>
                <w:b/>
                <w:bCs/>
                <w:sz w:val="16"/>
                <w:szCs w:val="16"/>
              </w:rPr>
              <w:t>Movement of administered funds between years</w:t>
            </w:r>
            <w:r w:rsidRPr="0050631D">
              <w:rPr>
                <w:rFonts w:ascii="Arial" w:hAnsi="Arial" w:cs="Arial"/>
                <w:sz w:val="16"/>
                <w:szCs w:val="16"/>
              </w:rPr>
              <w:t xml:space="preserve"> </w:t>
            </w:r>
            <w:r w:rsidRPr="0050631D">
              <w:rPr>
                <w:rFonts w:ascii="Arial" w:hAnsi="Arial" w:cs="Arial"/>
                <w:sz w:val="16"/>
                <w:szCs w:val="16"/>
                <w:vertAlign w:val="superscript"/>
              </w:rPr>
              <w:t>(</w:t>
            </w:r>
            <w:r>
              <w:rPr>
                <w:rFonts w:ascii="Arial" w:hAnsi="Arial" w:cs="Arial"/>
                <w:sz w:val="16"/>
                <w:szCs w:val="16"/>
                <w:vertAlign w:val="superscript"/>
              </w:rPr>
              <w:t>f</w:t>
            </w:r>
            <w:r w:rsidRPr="0050631D">
              <w:rPr>
                <w:rFonts w:ascii="Arial" w:hAnsi="Arial" w:cs="Arial"/>
                <w:sz w:val="16"/>
                <w:szCs w:val="16"/>
                <w:vertAlign w:val="superscript"/>
              </w:rPr>
              <w:t>)</w:t>
            </w:r>
          </w:p>
        </w:tc>
        <w:tc>
          <w:tcPr>
            <w:tcW w:w="1134" w:type="dxa"/>
            <w:tcBorders>
              <w:top w:val="single" w:sz="4" w:space="0" w:color="auto"/>
              <w:left w:val="nil"/>
              <w:bottom w:val="single" w:sz="4" w:space="0" w:color="auto"/>
              <w:right w:val="nil"/>
            </w:tcBorders>
            <w:shd w:val="clear" w:color="auto" w:fill="auto"/>
            <w:vAlign w:val="bottom"/>
            <w:hideMark/>
          </w:tcPr>
          <w:p w14:paraId="1A079330" w14:textId="77777777" w:rsidR="00E34CEC" w:rsidRDefault="00E34CEC" w:rsidP="00E34CEC">
            <w:pPr>
              <w:spacing w:after="0" w:line="240" w:lineRule="auto"/>
              <w:ind w:hanging="393"/>
              <w:jc w:val="right"/>
              <w:rPr>
                <w:rFonts w:ascii="Arial" w:hAnsi="Arial" w:cs="Arial"/>
                <w:sz w:val="16"/>
                <w:szCs w:val="16"/>
              </w:rPr>
            </w:pPr>
            <w:r w:rsidRPr="00140D20">
              <w:rPr>
                <w:rFonts w:ascii="Arial" w:hAnsi="Arial" w:cs="Arial"/>
                <w:sz w:val="16"/>
                <w:szCs w:val="16"/>
              </w:rPr>
              <w:t xml:space="preserve">2020-21 </w:t>
            </w:r>
          </w:p>
          <w:p w14:paraId="4082ED22" w14:textId="77777777" w:rsidR="00E34CEC" w:rsidRDefault="00E34CEC" w:rsidP="00E34CEC">
            <w:pPr>
              <w:spacing w:after="0" w:line="240" w:lineRule="auto"/>
              <w:ind w:hanging="393"/>
              <w:jc w:val="right"/>
              <w:rPr>
                <w:rFonts w:ascii="Arial" w:hAnsi="Arial" w:cs="Arial"/>
                <w:sz w:val="16"/>
                <w:szCs w:val="16"/>
              </w:rPr>
            </w:pPr>
            <w:r w:rsidRPr="00140D20">
              <w:rPr>
                <w:rFonts w:ascii="Arial" w:hAnsi="Arial" w:cs="Arial"/>
                <w:sz w:val="16"/>
                <w:szCs w:val="16"/>
              </w:rPr>
              <w:t xml:space="preserve">Actual </w:t>
            </w:r>
          </w:p>
          <w:p w14:paraId="23B44702" w14:textId="77777777" w:rsidR="00E34CEC" w:rsidRDefault="00E34CEC" w:rsidP="00E34CEC">
            <w:pPr>
              <w:spacing w:after="0" w:line="240" w:lineRule="auto"/>
              <w:ind w:hanging="393"/>
              <w:jc w:val="right"/>
              <w:rPr>
                <w:rFonts w:ascii="Arial" w:hAnsi="Arial" w:cs="Arial"/>
                <w:sz w:val="16"/>
                <w:szCs w:val="16"/>
              </w:rPr>
            </w:pPr>
            <w:r w:rsidRPr="00140D20">
              <w:rPr>
                <w:rFonts w:ascii="Arial" w:hAnsi="Arial" w:cs="Arial"/>
                <w:sz w:val="16"/>
                <w:szCs w:val="16"/>
              </w:rPr>
              <w:t>expenses</w:t>
            </w:r>
            <w:r>
              <w:rPr>
                <w:rFonts w:ascii="Arial" w:hAnsi="Arial" w:cs="Arial"/>
                <w:sz w:val="16"/>
                <w:szCs w:val="16"/>
              </w:rPr>
              <w:t xml:space="preserve"> </w:t>
            </w:r>
          </w:p>
          <w:p w14:paraId="3F58AA08" w14:textId="5E66AAD3" w:rsidR="00E34CEC" w:rsidRPr="0050631D" w:rsidRDefault="00E34CEC" w:rsidP="00E34CEC">
            <w:pPr>
              <w:spacing w:after="0" w:line="240" w:lineRule="auto"/>
              <w:ind w:hanging="393"/>
              <w:jc w:val="right"/>
              <w:rPr>
                <w:rFonts w:ascii="Arial" w:hAnsi="Arial" w:cs="Arial"/>
                <w:sz w:val="16"/>
                <w:szCs w:val="16"/>
              </w:rPr>
            </w:pPr>
            <w:r w:rsidRPr="00140D20">
              <w:rPr>
                <w:rFonts w:ascii="Arial" w:hAnsi="Arial" w:cs="Arial"/>
                <w:sz w:val="16"/>
                <w:szCs w:val="16"/>
              </w:rPr>
              <w:t>$'000</w:t>
            </w:r>
          </w:p>
        </w:tc>
        <w:tc>
          <w:tcPr>
            <w:tcW w:w="992" w:type="dxa"/>
            <w:tcBorders>
              <w:top w:val="single" w:sz="4" w:space="0" w:color="auto"/>
              <w:left w:val="nil"/>
              <w:bottom w:val="single" w:sz="4" w:space="0" w:color="auto"/>
              <w:right w:val="nil"/>
            </w:tcBorders>
            <w:shd w:val="clear" w:color="000000" w:fill="E6E6E6"/>
            <w:vAlign w:val="bottom"/>
            <w:hideMark/>
          </w:tcPr>
          <w:p w14:paraId="477FD87C" w14:textId="2F5AA065" w:rsidR="00E34CEC" w:rsidRPr="0050631D"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851" w:type="dxa"/>
            <w:tcBorders>
              <w:top w:val="single" w:sz="4" w:space="0" w:color="auto"/>
              <w:left w:val="nil"/>
              <w:bottom w:val="single" w:sz="4" w:space="0" w:color="auto"/>
              <w:right w:val="nil"/>
            </w:tcBorders>
            <w:shd w:val="clear" w:color="auto" w:fill="auto"/>
            <w:vAlign w:val="bottom"/>
            <w:hideMark/>
          </w:tcPr>
          <w:p w14:paraId="0EA0F640" w14:textId="1265BA4C" w:rsidR="00E34CEC" w:rsidRPr="0050631D"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850" w:type="dxa"/>
            <w:tcBorders>
              <w:top w:val="single" w:sz="4" w:space="0" w:color="auto"/>
              <w:left w:val="nil"/>
              <w:bottom w:val="single" w:sz="4" w:space="0" w:color="auto"/>
              <w:right w:val="nil"/>
            </w:tcBorders>
            <w:shd w:val="clear" w:color="auto" w:fill="auto"/>
            <w:vAlign w:val="bottom"/>
            <w:hideMark/>
          </w:tcPr>
          <w:p w14:paraId="5013A9A0" w14:textId="587FA1C2" w:rsidR="00E34CEC" w:rsidRPr="0050631D"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851" w:type="dxa"/>
            <w:tcBorders>
              <w:top w:val="single" w:sz="4" w:space="0" w:color="auto"/>
              <w:left w:val="nil"/>
              <w:bottom w:val="single" w:sz="4" w:space="0" w:color="auto"/>
              <w:right w:val="nil"/>
            </w:tcBorders>
            <w:shd w:val="clear" w:color="auto" w:fill="auto"/>
            <w:vAlign w:val="bottom"/>
            <w:hideMark/>
          </w:tcPr>
          <w:p w14:paraId="1D5F37B1" w14:textId="08C9EA74" w:rsidR="00E34CEC" w:rsidRPr="0050631D"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270ED1" w:rsidRPr="005B2F54" w14:paraId="1B9779BD" w14:textId="77777777" w:rsidTr="0067052F">
        <w:trPr>
          <w:trHeight w:val="204"/>
        </w:trPr>
        <w:tc>
          <w:tcPr>
            <w:tcW w:w="2552" w:type="dxa"/>
            <w:tcBorders>
              <w:top w:val="nil"/>
              <w:left w:val="nil"/>
              <w:bottom w:val="nil"/>
              <w:right w:val="nil"/>
            </w:tcBorders>
            <w:shd w:val="clear" w:color="auto" w:fill="auto"/>
            <w:noWrap/>
            <w:vAlign w:val="bottom"/>
            <w:hideMark/>
          </w:tcPr>
          <w:p w14:paraId="6F9B1D8D" w14:textId="5D4303EB" w:rsidR="00270ED1" w:rsidRPr="005B2F54" w:rsidRDefault="00270ED1" w:rsidP="00270ED1">
            <w:pPr>
              <w:spacing w:after="0" w:line="240" w:lineRule="auto"/>
              <w:ind w:left="113"/>
              <w:jc w:val="left"/>
              <w:rPr>
                <w:rFonts w:ascii="Arial" w:hAnsi="Arial" w:cs="Arial"/>
                <w:sz w:val="16"/>
                <w:szCs w:val="16"/>
              </w:rPr>
            </w:pPr>
            <w:r>
              <w:rPr>
                <w:rFonts w:ascii="Arial" w:hAnsi="Arial" w:cs="Arial"/>
                <w:sz w:val="16"/>
                <w:szCs w:val="16"/>
              </w:rPr>
              <w:t xml:space="preserve">Program 3.1: Regional </w:t>
            </w:r>
            <w:r w:rsidRPr="005B2F54">
              <w:rPr>
                <w:rFonts w:ascii="Arial" w:hAnsi="Arial" w:cs="Arial"/>
                <w:sz w:val="16"/>
                <w:szCs w:val="16"/>
              </w:rPr>
              <w:t>Development</w:t>
            </w:r>
          </w:p>
        </w:tc>
        <w:tc>
          <w:tcPr>
            <w:tcW w:w="1134" w:type="dxa"/>
            <w:tcBorders>
              <w:top w:val="nil"/>
              <w:left w:val="nil"/>
              <w:bottom w:val="nil"/>
              <w:right w:val="nil"/>
            </w:tcBorders>
            <w:shd w:val="clear" w:color="auto" w:fill="auto"/>
            <w:noWrap/>
            <w:vAlign w:val="bottom"/>
            <w:hideMark/>
          </w:tcPr>
          <w:p w14:paraId="2CC9A58E" w14:textId="3BCE6965"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(83,481)</w:t>
            </w:r>
          </w:p>
        </w:tc>
        <w:tc>
          <w:tcPr>
            <w:tcW w:w="992" w:type="dxa"/>
            <w:tcBorders>
              <w:top w:val="nil"/>
              <w:left w:val="nil"/>
              <w:bottom w:val="nil"/>
              <w:right w:val="nil"/>
            </w:tcBorders>
            <w:shd w:val="clear" w:color="000000" w:fill="E6E6E6"/>
            <w:noWrap/>
            <w:vAlign w:val="bottom"/>
            <w:hideMark/>
          </w:tcPr>
          <w:p w14:paraId="4EE111D3" w14:textId="4A467BB8"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(80,770)</w:t>
            </w:r>
          </w:p>
        </w:tc>
        <w:tc>
          <w:tcPr>
            <w:tcW w:w="851" w:type="dxa"/>
            <w:tcBorders>
              <w:top w:val="nil"/>
              <w:left w:val="nil"/>
              <w:bottom w:val="nil"/>
              <w:right w:val="nil"/>
            </w:tcBorders>
            <w:shd w:val="clear" w:color="auto" w:fill="auto"/>
            <w:noWrap/>
            <w:vAlign w:val="bottom"/>
            <w:hideMark/>
          </w:tcPr>
          <w:p w14:paraId="2B75B24E" w14:textId="1609F103"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 xml:space="preserve">37,049 </w:t>
            </w:r>
          </w:p>
        </w:tc>
        <w:tc>
          <w:tcPr>
            <w:tcW w:w="850" w:type="dxa"/>
            <w:tcBorders>
              <w:top w:val="nil"/>
              <w:left w:val="nil"/>
              <w:bottom w:val="nil"/>
              <w:right w:val="nil"/>
            </w:tcBorders>
            <w:shd w:val="clear" w:color="auto" w:fill="auto"/>
            <w:noWrap/>
            <w:vAlign w:val="bottom"/>
            <w:hideMark/>
          </w:tcPr>
          <w:p w14:paraId="5D462E54" w14:textId="55AD5A55"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(9,025)</w:t>
            </w:r>
          </w:p>
        </w:tc>
        <w:tc>
          <w:tcPr>
            <w:tcW w:w="851" w:type="dxa"/>
            <w:tcBorders>
              <w:top w:val="nil"/>
              <w:left w:val="nil"/>
              <w:bottom w:val="nil"/>
              <w:right w:val="nil"/>
            </w:tcBorders>
            <w:shd w:val="clear" w:color="auto" w:fill="auto"/>
            <w:noWrap/>
            <w:vAlign w:val="bottom"/>
            <w:hideMark/>
          </w:tcPr>
          <w:p w14:paraId="686C3E1B" w14:textId="250F1A7C"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 xml:space="preserve">56,852 </w:t>
            </w:r>
          </w:p>
        </w:tc>
      </w:tr>
      <w:tr w:rsidR="00270ED1" w:rsidRPr="005B2F54" w14:paraId="60173991" w14:textId="77777777" w:rsidTr="0067052F">
        <w:trPr>
          <w:trHeight w:val="204"/>
        </w:trPr>
        <w:tc>
          <w:tcPr>
            <w:tcW w:w="2552" w:type="dxa"/>
            <w:tcBorders>
              <w:top w:val="nil"/>
              <w:left w:val="nil"/>
              <w:bottom w:val="nil"/>
              <w:right w:val="nil"/>
            </w:tcBorders>
            <w:shd w:val="clear" w:color="auto" w:fill="auto"/>
            <w:noWrap/>
            <w:vAlign w:val="bottom"/>
            <w:hideMark/>
          </w:tcPr>
          <w:p w14:paraId="1D25F8AA" w14:textId="77777777" w:rsidR="00270ED1" w:rsidRPr="005B2F54" w:rsidRDefault="00270ED1" w:rsidP="00270ED1">
            <w:pPr>
              <w:spacing w:after="0" w:line="240" w:lineRule="auto"/>
              <w:ind w:left="113"/>
              <w:jc w:val="left"/>
              <w:rPr>
                <w:rFonts w:ascii="Arial" w:hAnsi="Arial" w:cs="Arial"/>
                <w:sz w:val="16"/>
                <w:szCs w:val="16"/>
              </w:rPr>
            </w:pPr>
            <w:r w:rsidRPr="005B2F54">
              <w:rPr>
                <w:rFonts w:ascii="Arial" w:hAnsi="Arial" w:cs="Arial"/>
                <w:sz w:val="16"/>
                <w:szCs w:val="16"/>
              </w:rPr>
              <w:t>Program 3.2: Local Government</w:t>
            </w:r>
          </w:p>
        </w:tc>
        <w:tc>
          <w:tcPr>
            <w:tcW w:w="1134" w:type="dxa"/>
            <w:tcBorders>
              <w:top w:val="nil"/>
              <w:left w:val="nil"/>
              <w:bottom w:val="nil"/>
              <w:right w:val="nil"/>
            </w:tcBorders>
            <w:shd w:val="clear" w:color="auto" w:fill="auto"/>
            <w:noWrap/>
            <w:vAlign w:val="bottom"/>
            <w:hideMark/>
          </w:tcPr>
          <w:p w14:paraId="54C163A7" w14:textId="42A55109"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(89,797)</w:t>
            </w:r>
          </w:p>
        </w:tc>
        <w:tc>
          <w:tcPr>
            <w:tcW w:w="992" w:type="dxa"/>
            <w:tcBorders>
              <w:top w:val="nil"/>
              <w:left w:val="nil"/>
              <w:bottom w:val="nil"/>
              <w:right w:val="nil"/>
            </w:tcBorders>
            <w:shd w:val="clear" w:color="000000" w:fill="E6E6E6"/>
            <w:noWrap/>
            <w:vAlign w:val="bottom"/>
            <w:hideMark/>
          </w:tcPr>
          <w:p w14:paraId="1A18EBF7" w14:textId="5C4DCDDB"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(60,203)</w:t>
            </w:r>
          </w:p>
        </w:tc>
        <w:tc>
          <w:tcPr>
            <w:tcW w:w="851" w:type="dxa"/>
            <w:tcBorders>
              <w:top w:val="nil"/>
              <w:left w:val="nil"/>
              <w:bottom w:val="nil"/>
              <w:right w:val="nil"/>
            </w:tcBorders>
            <w:shd w:val="clear" w:color="auto" w:fill="auto"/>
            <w:noWrap/>
            <w:vAlign w:val="bottom"/>
            <w:hideMark/>
          </w:tcPr>
          <w:p w14:paraId="49212498" w14:textId="22B17E9F"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 xml:space="preserve">50,000 </w:t>
            </w:r>
          </w:p>
        </w:tc>
        <w:tc>
          <w:tcPr>
            <w:tcW w:w="850" w:type="dxa"/>
            <w:tcBorders>
              <w:top w:val="nil"/>
              <w:left w:val="nil"/>
              <w:bottom w:val="nil"/>
              <w:right w:val="nil"/>
            </w:tcBorders>
            <w:shd w:val="clear" w:color="auto" w:fill="auto"/>
            <w:noWrap/>
            <w:vAlign w:val="bottom"/>
            <w:hideMark/>
          </w:tcPr>
          <w:p w14:paraId="1785A819" w14:textId="2CEF2D06"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 xml:space="preserve">100,000 </w:t>
            </w:r>
          </w:p>
        </w:tc>
        <w:tc>
          <w:tcPr>
            <w:tcW w:w="851" w:type="dxa"/>
            <w:tcBorders>
              <w:top w:val="nil"/>
              <w:left w:val="nil"/>
              <w:bottom w:val="nil"/>
              <w:right w:val="nil"/>
            </w:tcBorders>
            <w:shd w:val="clear" w:color="auto" w:fill="auto"/>
            <w:noWrap/>
            <w:vAlign w:val="bottom"/>
            <w:hideMark/>
          </w:tcPr>
          <w:p w14:paraId="7D8E887E" w14:textId="6598C8A1"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 xml:space="preserve">- </w:t>
            </w:r>
          </w:p>
        </w:tc>
      </w:tr>
      <w:tr w:rsidR="00270ED1" w:rsidRPr="005B2F54" w14:paraId="4989055D" w14:textId="77777777" w:rsidTr="0067052F">
        <w:trPr>
          <w:trHeight w:val="204"/>
        </w:trPr>
        <w:tc>
          <w:tcPr>
            <w:tcW w:w="2552" w:type="dxa"/>
            <w:tcBorders>
              <w:top w:val="nil"/>
              <w:left w:val="nil"/>
              <w:bottom w:val="nil"/>
              <w:right w:val="nil"/>
            </w:tcBorders>
            <w:shd w:val="clear" w:color="auto" w:fill="auto"/>
            <w:noWrap/>
            <w:vAlign w:val="bottom"/>
            <w:hideMark/>
          </w:tcPr>
          <w:p w14:paraId="760849D0" w14:textId="0F90386A" w:rsidR="00270ED1" w:rsidRPr="00270ED1" w:rsidRDefault="00270ED1" w:rsidP="00270ED1">
            <w:pPr>
              <w:spacing w:after="0" w:line="240" w:lineRule="auto"/>
              <w:ind w:left="113"/>
              <w:jc w:val="left"/>
              <w:rPr>
                <w:rFonts w:ascii="Arial" w:hAnsi="Arial" w:cs="Arial"/>
                <w:sz w:val="16"/>
                <w:szCs w:val="16"/>
                <w:highlight w:val="yellow"/>
              </w:rPr>
            </w:pPr>
            <w:r w:rsidRPr="00F70EA7">
              <w:rPr>
                <w:rFonts w:ascii="Arial" w:hAnsi="Arial" w:cs="Arial"/>
                <w:sz w:val="16"/>
                <w:szCs w:val="16"/>
              </w:rPr>
              <w:t xml:space="preserve">Program 3.3: Cities </w:t>
            </w:r>
            <w:r w:rsidRPr="00F70EA7">
              <w:rPr>
                <w:rFonts w:ascii="Arial" w:hAnsi="Arial" w:cs="Arial"/>
                <w:sz w:val="16"/>
                <w:szCs w:val="16"/>
                <w:vertAlign w:val="superscript"/>
              </w:rPr>
              <w:t>(g)</w:t>
            </w:r>
          </w:p>
        </w:tc>
        <w:tc>
          <w:tcPr>
            <w:tcW w:w="1134" w:type="dxa"/>
            <w:tcBorders>
              <w:top w:val="nil"/>
              <w:left w:val="nil"/>
              <w:bottom w:val="nil"/>
              <w:right w:val="nil"/>
            </w:tcBorders>
            <w:shd w:val="clear" w:color="auto" w:fill="auto"/>
            <w:noWrap/>
            <w:vAlign w:val="bottom"/>
            <w:hideMark/>
          </w:tcPr>
          <w:p w14:paraId="37049E1C" w14:textId="3F46AAE9"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 xml:space="preserve">- </w:t>
            </w:r>
          </w:p>
        </w:tc>
        <w:tc>
          <w:tcPr>
            <w:tcW w:w="992" w:type="dxa"/>
            <w:tcBorders>
              <w:top w:val="nil"/>
              <w:left w:val="nil"/>
              <w:bottom w:val="nil"/>
              <w:right w:val="nil"/>
            </w:tcBorders>
            <w:shd w:val="clear" w:color="000000" w:fill="E6E6E6"/>
            <w:noWrap/>
            <w:vAlign w:val="bottom"/>
            <w:hideMark/>
          </w:tcPr>
          <w:p w14:paraId="4732613A" w14:textId="408F6BBD"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72C8CBBA" w14:textId="7DD7F7ED"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1C3CA0B9" w14:textId="38140088"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5CEEA050" w14:textId="2EBEA728" w:rsidR="00270ED1" w:rsidRPr="005B2F54" w:rsidRDefault="00270ED1" w:rsidP="00270ED1">
            <w:pPr>
              <w:spacing w:after="0" w:line="240" w:lineRule="auto"/>
              <w:jc w:val="right"/>
              <w:rPr>
                <w:rFonts w:ascii="Arial" w:hAnsi="Arial" w:cs="Arial"/>
                <w:sz w:val="16"/>
                <w:szCs w:val="16"/>
              </w:rPr>
            </w:pPr>
            <w:r>
              <w:rPr>
                <w:rFonts w:ascii="Arial" w:hAnsi="Arial" w:cs="Arial"/>
                <w:sz w:val="16"/>
                <w:szCs w:val="16"/>
              </w:rPr>
              <w:t xml:space="preserve">- </w:t>
            </w:r>
          </w:p>
        </w:tc>
      </w:tr>
      <w:tr w:rsidR="00270ED1" w:rsidRPr="005B2F54" w14:paraId="2FAF1584" w14:textId="77777777" w:rsidTr="0067052F">
        <w:trPr>
          <w:trHeight w:val="204"/>
        </w:trPr>
        <w:tc>
          <w:tcPr>
            <w:tcW w:w="2552" w:type="dxa"/>
            <w:tcBorders>
              <w:top w:val="nil"/>
              <w:left w:val="nil"/>
              <w:bottom w:val="single" w:sz="4" w:space="0" w:color="auto"/>
              <w:right w:val="nil"/>
            </w:tcBorders>
            <w:shd w:val="clear" w:color="auto" w:fill="auto"/>
            <w:vAlign w:val="bottom"/>
            <w:hideMark/>
          </w:tcPr>
          <w:p w14:paraId="289F94A2" w14:textId="77777777" w:rsidR="00270ED1" w:rsidRPr="005B2F54" w:rsidRDefault="00270ED1" w:rsidP="00270ED1">
            <w:pPr>
              <w:spacing w:after="0" w:line="240" w:lineRule="auto"/>
              <w:jc w:val="left"/>
              <w:rPr>
                <w:rFonts w:ascii="Arial" w:hAnsi="Arial" w:cs="Arial"/>
                <w:b/>
                <w:bCs/>
                <w:sz w:val="16"/>
                <w:szCs w:val="16"/>
              </w:rPr>
            </w:pPr>
            <w:r w:rsidRPr="005B2F54">
              <w:rPr>
                <w:rFonts w:ascii="Arial" w:hAnsi="Arial" w:cs="Arial"/>
                <w:b/>
                <w:bCs/>
                <w:sz w:val="16"/>
                <w:szCs w:val="16"/>
              </w:rPr>
              <w:t>Total movement of administered funds between years</w:t>
            </w:r>
          </w:p>
        </w:tc>
        <w:tc>
          <w:tcPr>
            <w:tcW w:w="1134" w:type="dxa"/>
            <w:tcBorders>
              <w:top w:val="single" w:sz="4" w:space="0" w:color="auto"/>
              <w:left w:val="nil"/>
              <w:bottom w:val="single" w:sz="4" w:space="0" w:color="auto"/>
              <w:right w:val="nil"/>
            </w:tcBorders>
            <w:shd w:val="clear" w:color="auto" w:fill="auto"/>
            <w:noWrap/>
            <w:vAlign w:val="bottom"/>
            <w:hideMark/>
          </w:tcPr>
          <w:p w14:paraId="0D15C825" w14:textId="4A9829D7" w:rsidR="00270ED1" w:rsidRPr="005B2F54" w:rsidRDefault="00270ED1" w:rsidP="00270ED1">
            <w:pPr>
              <w:spacing w:after="0" w:line="240" w:lineRule="auto"/>
              <w:jc w:val="right"/>
              <w:rPr>
                <w:rFonts w:ascii="Arial" w:hAnsi="Arial" w:cs="Arial"/>
                <w:b/>
                <w:bCs/>
                <w:sz w:val="16"/>
                <w:szCs w:val="16"/>
              </w:rPr>
            </w:pPr>
            <w:r>
              <w:rPr>
                <w:rFonts w:ascii="Arial" w:hAnsi="Arial" w:cs="Arial"/>
                <w:b/>
                <w:bCs/>
                <w:sz w:val="16"/>
                <w:szCs w:val="16"/>
              </w:rPr>
              <w:t>(173,278)</w:t>
            </w:r>
          </w:p>
        </w:tc>
        <w:tc>
          <w:tcPr>
            <w:tcW w:w="992" w:type="dxa"/>
            <w:tcBorders>
              <w:top w:val="single" w:sz="4" w:space="0" w:color="auto"/>
              <w:left w:val="nil"/>
              <w:bottom w:val="single" w:sz="4" w:space="0" w:color="auto"/>
              <w:right w:val="nil"/>
            </w:tcBorders>
            <w:shd w:val="clear" w:color="000000" w:fill="E6E6E6"/>
            <w:noWrap/>
            <w:vAlign w:val="bottom"/>
            <w:hideMark/>
          </w:tcPr>
          <w:p w14:paraId="17ABFD40" w14:textId="28FEBD28" w:rsidR="00270ED1" w:rsidRPr="005B2F54" w:rsidRDefault="00270ED1" w:rsidP="00270ED1">
            <w:pPr>
              <w:spacing w:after="0" w:line="240" w:lineRule="auto"/>
              <w:jc w:val="right"/>
              <w:rPr>
                <w:rFonts w:ascii="Arial" w:hAnsi="Arial" w:cs="Arial"/>
                <w:b/>
                <w:bCs/>
                <w:sz w:val="16"/>
                <w:szCs w:val="16"/>
              </w:rPr>
            </w:pPr>
            <w:r>
              <w:rPr>
                <w:rFonts w:ascii="Arial" w:hAnsi="Arial" w:cs="Arial"/>
                <w:b/>
                <w:bCs/>
                <w:sz w:val="16"/>
                <w:szCs w:val="16"/>
              </w:rPr>
              <w:t>(140,973)</w:t>
            </w:r>
          </w:p>
        </w:tc>
        <w:tc>
          <w:tcPr>
            <w:tcW w:w="851" w:type="dxa"/>
            <w:tcBorders>
              <w:top w:val="single" w:sz="4" w:space="0" w:color="auto"/>
              <w:left w:val="nil"/>
              <w:bottom w:val="single" w:sz="4" w:space="0" w:color="auto"/>
              <w:right w:val="nil"/>
            </w:tcBorders>
            <w:shd w:val="clear" w:color="auto" w:fill="auto"/>
            <w:noWrap/>
            <w:vAlign w:val="bottom"/>
            <w:hideMark/>
          </w:tcPr>
          <w:p w14:paraId="3C1F3081" w14:textId="0132EF53" w:rsidR="00270ED1" w:rsidRPr="005B2F54" w:rsidRDefault="00270ED1" w:rsidP="00270ED1">
            <w:pPr>
              <w:spacing w:after="0" w:line="240" w:lineRule="auto"/>
              <w:jc w:val="right"/>
              <w:rPr>
                <w:rFonts w:ascii="Arial" w:hAnsi="Arial" w:cs="Arial"/>
                <w:b/>
                <w:bCs/>
                <w:sz w:val="16"/>
                <w:szCs w:val="16"/>
              </w:rPr>
            </w:pPr>
            <w:r>
              <w:rPr>
                <w:rFonts w:ascii="Arial" w:hAnsi="Arial" w:cs="Arial"/>
                <w:b/>
                <w:bCs/>
                <w:sz w:val="16"/>
                <w:szCs w:val="16"/>
              </w:rPr>
              <w:t xml:space="preserve">87,049 </w:t>
            </w:r>
          </w:p>
        </w:tc>
        <w:tc>
          <w:tcPr>
            <w:tcW w:w="850" w:type="dxa"/>
            <w:tcBorders>
              <w:top w:val="single" w:sz="4" w:space="0" w:color="auto"/>
              <w:left w:val="nil"/>
              <w:bottom w:val="single" w:sz="4" w:space="0" w:color="auto"/>
              <w:right w:val="nil"/>
            </w:tcBorders>
            <w:shd w:val="clear" w:color="auto" w:fill="auto"/>
            <w:noWrap/>
            <w:vAlign w:val="bottom"/>
            <w:hideMark/>
          </w:tcPr>
          <w:p w14:paraId="13949DCE" w14:textId="0D5BF3F9" w:rsidR="00270ED1" w:rsidRPr="005B2F54" w:rsidRDefault="00270ED1" w:rsidP="00270ED1">
            <w:pPr>
              <w:spacing w:after="0" w:line="240" w:lineRule="auto"/>
              <w:jc w:val="right"/>
              <w:rPr>
                <w:rFonts w:ascii="Arial" w:hAnsi="Arial" w:cs="Arial"/>
                <w:b/>
                <w:bCs/>
                <w:sz w:val="16"/>
                <w:szCs w:val="16"/>
              </w:rPr>
            </w:pPr>
            <w:r>
              <w:rPr>
                <w:rFonts w:ascii="Arial" w:hAnsi="Arial" w:cs="Arial"/>
                <w:b/>
                <w:bCs/>
                <w:sz w:val="16"/>
                <w:szCs w:val="16"/>
              </w:rPr>
              <w:t xml:space="preserve">90,975 </w:t>
            </w:r>
          </w:p>
        </w:tc>
        <w:tc>
          <w:tcPr>
            <w:tcW w:w="851" w:type="dxa"/>
            <w:tcBorders>
              <w:top w:val="single" w:sz="4" w:space="0" w:color="auto"/>
              <w:left w:val="nil"/>
              <w:bottom w:val="single" w:sz="4" w:space="0" w:color="auto"/>
              <w:right w:val="nil"/>
            </w:tcBorders>
            <w:shd w:val="clear" w:color="auto" w:fill="auto"/>
            <w:noWrap/>
            <w:vAlign w:val="bottom"/>
            <w:hideMark/>
          </w:tcPr>
          <w:p w14:paraId="4776B29D" w14:textId="14A75D19" w:rsidR="00270ED1" w:rsidRPr="005B2F54" w:rsidRDefault="00270ED1" w:rsidP="00270ED1">
            <w:pPr>
              <w:spacing w:after="0" w:line="240" w:lineRule="auto"/>
              <w:jc w:val="right"/>
              <w:rPr>
                <w:rFonts w:ascii="Arial" w:hAnsi="Arial" w:cs="Arial"/>
                <w:b/>
                <w:bCs/>
                <w:sz w:val="16"/>
                <w:szCs w:val="16"/>
              </w:rPr>
            </w:pPr>
            <w:r>
              <w:rPr>
                <w:rFonts w:ascii="Arial" w:hAnsi="Arial" w:cs="Arial"/>
                <w:b/>
                <w:bCs/>
                <w:sz w:val="16"/>
                <w:szCs w:val="16"/>
              </w:rPr>
              <w:t xml:space="preserve">56,852 </w:t>
            </w:r>
          </w:p>
        </w:tc>
      </w:tr>
    </w:tbl>
    <w:p w14:paraId="5937C6BB" w14:textId="24EBA958" w:rsidR="005B2F54" w:rsidRPr="00090B3F" w:rsidRDefault="005B2F54" w:rsidP="00090B3F">
      <w:pPr>
        <w:spacing w:after="0"/>
        <w:rPr>
          <w:rFonts w:ascii="Arial" w:hAnsi="Arial" w:cs="Arial"/>
          <w:sz w:val="16"/>
        </w:rPr>
      </w:pPr>
    </w:p>
    <w:tbl>
      <w:tblPr>
        <w:tblW w:w="4663" w:type="dxa"/>
        <w:tblLook w:val="04A0" w:firstRow="1" w:lastRow="0" w:firstColumn="1" w:lastColumn="0" w:noHBand="0" w:noVBand="1"/>
      </w:tblPr>
      <w:tblGrid>
        <w:gridCol w:w="2694"/>
        <w:gridCol w:w="992"/>
        <w:gridCol w:w="977"/>
      </w:tblGrid>
      <w:tr w:rsidR="00B94EF9" w:rsidRPr="008F77A2" w14:paraId="104FC03E" w14:textId="77777777" w:rsidTr="00F3679E">
        <w:trPr>
          <w:trHeight w:val="204"/>
        </w:trPr>
        <w:tc>
          <w:tcPr>
            <w:tcW w:w="2694" w:type="dxa"/>
            <w:tcBorders>
              <w:top w:val="single" w:sz="4" w:space="0" w:color="auto"/>
              <w:left w:val="nil"/>
              <w:bottom w:val="nil"/>
              <w:right w:val="nil"/>
            </w:tcBorders>
            <w:shd w:val="clear" w:color="auto" w:fill="auto"/>
            <w:noWrap/>
            <w:hideMark/>
          </w:tcPr>
          <w:p w14:paraId="4028CFC7" w14:textId="77777777" w:rsidR="00B94EF9" w:rsidRPr="008F77A2" w:rsidRDefault="00B94EF9" w:rsidP="006206B7">
            <w:pPr>
              <w:spacing w:after="0" w:line="240" w:lineRule="auto"/>
              <w:ind w:firstLineChars="100" w:firstLine="160"/>
              <w:jc w:val="left"/>
              <w:rPr>
                <w:rFonts w:ascii="Arial" w:hAnsi="Arial" w:cs="Arial"/>
                <w:sz w:val="16"/>
                <w:szCs w:val="16"/>
              </w:rPr>
            </w:pPr>
            <w:r w:rsidRPr="008F77A2">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noWrap/>
            <w:vAlign w:val="bottom"/>
            <w:hideMark/>
          </w:tcPr>
          <w:p w14:paraId="144C3452" w14:textId="77777777" w:rsidR="00CB6C26" w:rsidRDefault="00CB6C26" w:rsidP="006206B7">
            <w:pPr>
              <w:spacing w:after="0" w:line="240" w:lineRule="auto"/>
              <w:jc w:val="right"/>
              <w:rPr>
                <w:rFonts w:ascii="Arial" w:hAnsi="Arial" w:cs="Arial"/>
                <w:sz w:val="16"/>
                <w:szCs w:val="16"/>
              </w:rPr>
            </w:pPr>
            <w:r>
              <w:rPr>
                <w:rFonts w:ascii="Arial" w:hAnsi="Arial" w:cs="Arial"/>
                <w:sz w:val="16"/>
                <w:szCs w:val="16"/>
              </w:rPr>
              <w:t>Actual</w:t>
            </w:r>
          </w:p>
          <w:p w14:paraId="78B7C9B3" w14:textId="69E51464" w:rsidR="00B94EF9" w:rsidRPr="008F77A2" w:rsidRDefault="00B94EF9" w:rsidP="006206B7">
            <w:pPr>
              <w:spacing w:after="0" w:line="240" w:lineRule="auto"/>
              <w:jc w:val="right"/>
              <w:rPr>
                <w:rFonts w:ascii="Arial" w:hAnsi="Arial" w:cs="Arial"/>
                <w:sz w:val="16"/>
                <w:szCs w:val="16"/>
              </w:rPr>
            </w:pPr>
            <w:r w:rsidRPr="008F77A2">
              <w:rPr>
                <w:rFonts w:ascii="Arial" w:hAnsi="Arial" w:cs="Arial"/>
                <w:sz w:val="16"/>
                <w:szCs w:val="16"/>
              </w:rPr>
              <w:t>2020-21</w:t>
            </w:r>
          </w:p>
        </w:tc>
        <w:tc>
          <w:tcPr>
            <w:tcW w:w="977" w:type="dxa"/>
            <w:tcBorders>
              <w:top w:val="single" w:sz="4" w:space="0" w:color="auto"/>
              <w:left w:val="nil"/>
              <w:bottom w:val="single" w:sz="4" w:space="0" w:color="auto"/>
              <w:right w:val="nil"/>
            </w:tcBorders>
            <w:shd w:val="clear" w:color="auto" w:fill="E6E6E6"/>
            <w:vAlign w:val="bottom"/>
            <w:hideMark/>
          </w:tcPr>
          <w:p w14:paraId="3DC1D203" w14:textId="77777777" w:rsidR="00B94EF9" w:rsidRPr="008F77A2" w:rsidRDefault="00B94EF9" w:rsidP="006206B7">
            <w:pPr>
              <w:spacing w:after="0" w:line="240" w:lineRule="auto"/>
              <w:jc w:val="right"/>
              <w:rPr>
                <w:rFonts w:ascii="Arial" w:hAnsi="Arial" w:cs="Arial"/>
                <w:sz w:val="16"/>
                <w:szCs w:val="16"/>
              </w:rPr>
            </w:pPr>
            <w:r w:rsidRPr="008F77A2">
              <w:rPr>
                <w:rFonts w:ascii="Arial" w:hAnsi="Arial" w:cs="Arial"/>
                <w:sz w:val="16"/>
                <w:szCs w:val="16"/>
              </w:rPr>
              <w:t>2021-22</w:t>
            </w:r>
          </w:p>
        </w:tc>
      </w:tr>
      <w:tr w:rsidR="0059341C" w:rsidRPr="0059341C" w14:paraId="7137A78B" w14:textId="77777777" w:rsidTr="00F3679E">
        <w:trPr>
          <w:trHeight w:val="204"/>
        </w:trPr>
        <w:tc>
          <w:tcPr>
            <w:tcW w:w="2694" w:type="dxa"/>
            <w:tcBorders>
              <w:top w:val="nil"/>
              <w:left w:val="nil"/>
              <w:bottom w:val="single" w:sz="4" w:space="0" w:color="auto"/>
              <w:right w:val="nil"/>
            </w:tcBorders>
            <w:shd w:val="clear" w:color="auto" w:fill="auto"/>
            <w:noWrap/>
            <w:hideMark/>
          </w:tcPr>
          <w:p w14:paraId="5E8EC664" w14:textId="77777777" w:rsidR="00B94EF9" w:rsidRPr="0059341C" w:rsidRDefault="00B94EF9" w:rsidP="006206B7">
            <w:pPr>
              <w:spacing w:after="0" w:line="240" w:lineRule="auto"/>
              <w:jc w:val="left"/>
              <w:rPr>
                <w:rFonts w:ascii="Arial" w:hAnsi="Arial" w:cs="Arial"/>
                <w:b/>
                <w:bCs/>
                <w:sz w:val="16"/>
                <w:szCs w:val="16"/>
              </w:rPr>
            </w:pPr>
            <w:r w:rsidRPr="0059341C">
              <w:rPr>
                <w:rFonts w:ascii="Arial" w:hAnsi="Arial" w:cs="Arial"/>
                <w:b/>
                <w:bCs/>
                <w:sz w:val="16"/>
                <w:szCs w:val="16"/>
              </w:rPr>
              <w:t>Average staffing level (number)</w:t>
            </w:r>
          </w:p>
        </w:tc>
        <w:tc>
          <w:tcPr>
            <w:tcW w:w="992" w:type="dxa"/>
            <w:tcBorders>
              <w:top w:val="nil"/>
              <w:left w:val="nil"/>
              <w:bottom w:val="single" w:sz="4" w:space="0" w:color="auto"/>
              <w:right w:val="nil"/>
            </w:tcBorders>
            <w:shd w:val="clear" w:color="auto" w:fill="FFFFFF" w:themeFill="background1"/>
            <w:noWrap/>
            <w:vAlign w:val="bottom"/>
            <w:hideMark/>
          </w:tcPr>
          <w:p w14:paraId="265DC930" w14:textId="012F5E60" w:rsidR="00B94EF9" w:rsidRPr="00270ED1" w:rsidRDefault="00270ED1" w:rsidP="00270ED1">
            <w:pPr>
              <w:spacing w:after="0" w:line="240" w:lineRule="auto"/>
              <w:ind w:left="360"/>
              <w:jc w:val="right"/>
              <w:rPr>
                <w:rFonts w:ascii="Arial" w:hAnsi="Arial" w:cs="Arial"/>
                <w:sz w:val="16"/>
                <w:szCs w:val="16"/>
              </w:rPr>
            </w:pPr>
            <w:r>
              <w:rPr>
                <w:rFonts w:ascii="Arial" w:hAnsi="Arial" w:cs="Arial"/>
                <w:sz w:val="16"/>
                <w:szCs w:val="16"/>
              </w:rPr>
              <w:t>229</w:t>
            </w:r>
          </w:p>
        </w:tc>
        <w:tc>
          <w:tcPr>
            <w:tcW w:w="977" w:type="dxa"/>
            <w:tcBorders>
              <w:top w:val="nil"/>
              <w:left w:val="nil"/>
              <w:bottom w:val="single" w:sz="4" w:space="0" w:color="auto"/>
              <w:right w:val="nil"/>
            </w:tcBorders>
            <w:shd w:val="clear" w:color="auto" w:fill="E6E6E6"/>
            <w:noWrap/>
            <w:vAlign w:val="bottom"/>
            <w:hideMark/>
          </w:tcPr>
          <w:p w14:paraId="76FC0EA0" w14:textId="58892AEE" w:rsidR="00B94EF9" w:rsidRPr="00270ED1" w:rsidRDefault="00270ED1" w:rsidP="00270ED1">
            <w:pPr>
              <w:spacing w:after="0" w:line="240" w:lineRule="auto"/>
              <w:ind w:left="360"/>
              <w:jc w:val="right"/>
              <w:rPr>
                <w:rFonts w:ascii="Arial" w:hAnsi="Arial" w:cs="Arial"/>
                <w:sz w:val="16"/>
                <w:szCs w:val="16"/>
              </w:rPr>
            </w:pPr>
            <w:r>
              <w:rPr>
                <w:rFonts w:ascii="Arial" w:hAnsi="Arial" w:cs="Arial"/>
                <w:sz w:val="16"/>
                <w:szCs w:val="16"/>
              </w:rPr>
              <w:t>296</w:t>
            </w:r>
          </w:p>
        </w:tc>
      </w:tr>
    </w:tbl>
    <w:p w14:paraId="1C2EBB71" w14:textId="77777777" w:rsidR="00F10ACD" w:rsidRDefault="002B4132" w:rsidP="00F10ACD">
      <w:pPr>
        <w:pStyle w:val="TableHeading"/>
        <w:numPr>
          <w:ilvl w:val="0"/>
          <w:numId w:val="62"/>
        </w:numPr>
        <w:spacing w:before="60" w:after="0"/>
        <w:ind w:left="284" w:hanging="284"/>
        <w:rPr>
          <w:b w:val="0"/>
          <w:sz w:val="16"/>
          <w:szCs w:val="16"/>
        </w:rPr>
      </w:pPr>
      <w:r w:rsidRPr="002B4132">
        <w:rPr>
          <w:b w:val="0"/>
          <w:sz w:val="16"/>
          <w:szCs w:val="16"/>
        </w:rPr>
        <w:t>Administered ‘Expenses not requiring appropriation in the Budget year’ comprises expenses relating to concessional loans, accruals, payments made from prior year appropriations and other non–cash expenses.</w:t>
      </w:r>
    </w:p>
    <w:p w14:paraId="5E81FDAF" w14:textId="1E1163CF" w:rsidR="00F10ACD" w:rsidRPr="00F10ACD" w:rsidRDefault="00F10ACD" w:rsidP="00F70EA7">
      <w:pPr>
        <w:pStyle w:val="TableHeading"/>
        <w:numPr>
          <w:ilvl w:val="0"/>
          <w:numId w:val="62"/>
        </w:numPr>
        <w:spacing w:before="0" w:after="0"/>
        <w:ind w:left="284" w:hanging="284"/>
        <w:rPr>
          <w:b w:val="0"/>
          <w:sz w:val="16"/>
          <w:szCs w:val="16"/>
        </w:rPr>
      </w:pPr>
      <w:r w:rsidRPr="00F10ACD">
        <w:rPr>
          <w:rFonts w:cs="Arial"/>
          <w:b w:val="0"/>
          <w:sz w:val="16"/>
        </w:rPr>
        <w:t>This program was transferred into the Department from the Department of Industry, Science, Energy and Resources as part of the amendment to the Administrative Arrangements Order (AAO) with effect on 2 July 2021.</w:t>
      </w:r>
    </w:p>
    <w:p w14:paraId="014D1F84" w14:textId="42A5678A" w:rsidR="00245ECB" w:rsidRPr="00245ECB" w:rsidRDefault="00245ECB" w:rsidP="00F10ACD">
      <w:pPr>
        <w:pStyle w:val="TableGraphic"/>
        <w:numPr>
          <w:ilvl w:val="0"/>
          <w:numId w:val="62"/>
        </w:numPr>
        <w:ind w:left="284" w:hanging="284"/>
        <w:rPr>
          <w:rFonts w:ascii="Arial" w:hAnsi="Arial" w:cs="Arial"/>
          <w:i w:val="0"/>
          <w:color w:val="auto"/>
          <w:sz w:val="16"/>
          <w:lang w:val="x-none"/>
        </w:rPr>
      </w:pPr>
      <w:r w:rsidRPr="00245ECB">
        <w:rPr>
          <w:rFonts w:ascii="Arial" w:hAnsi="Arial" w:cs="Arial"/>
          <w:i w:val="0"/>
          <w:color w:val="auto"/>
          <w:sz w:val="16"/>
          <w:lang w:val="x-none"/>
        </w:rPr>
        <w:t>Relates to appropriation for corporate entities provided through the Department.</w:t>
      </w:r>
    </w:p>
    <w:p w14:paraId="4A12C5AF" w14:textId="4AE1986F" w:rsidR="002B4132" w:rsidRDefault="0059341C" w:rsidP="00F10ACD">
      <w:pPr>
        <w:pStyle w:val="TableGraphic"/>
        <w:numPr>
          <w:ilvl w:val="0"/>
          <w:numId w:val="62"/>
        </w:numPr>
        <w:ind w:left="284" w:hanging="284"/>
        <w:rPr>
          <w:rFonts w:ascii="Arial" w:hAnsi="Arial" w:cs="Arial"/>
          <w:i w:val="0"/>
          <w:color w:val="auto"/>
          <w:sz w:val="16"/>
          <w:lang w:val="x-none"/>
        </w:rPr>
      </w:pPr>
      <w:r w:rsidRPr="0059341C">
        <w:rPr>
          <w:rFonts w:ascii="Arial" w:hAnsi="Arial" w:cs="Arial"/>
          <w:i w:val="0"/>
          <w:color w:val="auto"/>
          <w:sz w:val="16"/>
          <w:lang w:val="x-none"/>
        </w:rPr>
        <w:t>Estimated expenses incurred in relation to receipts retained under section 74 of the PGPA Act.</w:t>
      </w:r>
    </w:p>
    <w:p w14:paraId="27102F17" w14:textId="4E825BE8" w:rsidR="0059341C" w:rsidRPr="0059341C" w:rsidRDefault="0059341C" w:rsidP="00F10ACD">
      <w:pPr>
        <w:pStyle w:val="ListParagraph"/>
        <w:numPr>
          <w:ilvl w:val="0"/>
          <w:numId w:val="62"/>
        </w:numPr>
        <w:spacing w:after="0"/>
        <w:ind w:left="284" w:hanging="284"/>
        <w:rPr>
          <w:rFonts w:ascii="Arial" w:hAnsi="Arial" w:cs="Arial"/>
          <w:sz w:val="16"/>
          <w:lang w:val="x-none"/>
        </w:rPr>
      </w:pPr>
      <w:r w:rsidRPr="0059341C">
        <w:rPr>
          <w:rFonts w:ascii="Arial" w:hAnsi="Arial" w:cs="Arial"/>
          <w:sz w:val="16"/>
          <w:lang w:val="x-none"/>
        </w:rPr>
        <w:t>Departmental ‘Expenses not requiring appropriation in the Budget year’ is made up of depreciation and amortisation expenses and expenses that are reduced by associated receipts.</w:t>
      </w:r>
    </w:p>
    <w:p w14:paraId="2B471D09" w14:textId="6E1EEB71" w:rsidR="0059341C" w:rsidRPr="0059341C" w:rsidRDefault="0059341C" w:rsidP="00F10ACD">
      <w:pPr>
        <w:pStyle w:val="ListParagraph"/>
        <w:numPr>
          <w:ilvl w:val="0"/>
          <w:numId w:val="62"/>
        </w:numPr>
        <w:spacing w:after="0"/>
        <w:ind w:left="284" w:hanging="284"/>
        <w:rPr>
          <w:rFonts w:ascii="Arial" w:hAnsi="Arial" w:cs="Arial"/>
          <w:sz w:val="16"/>
          <w:lang w:val="x-none"/>
        </w:rPr>
      </w:pPr>
      <w:r w:rsidRPr="0059341C">
        <w:rPr>
          <w:rFonts w:ascii="Arial" w:hAnsi="Arial" w:cs="Arial"/>
          <w:sz w:val="16"/>
          <w:lang w:val="x-none"/>
        </w:rPr>
        <w:t>Fi</w:t>
      </w:r>
      <w:r w:rsidR="007E02F0">
        <w:rPr>
          <w:rFonts w:ascii="Arial" w:hAnsi="Arial" w:cs="Arial"/>
          <w:sz w:val="16"/>
          <w:lang w:val="x-none"/>
        </w:rPr>
        <w:t>gures displayed as a negative (-</w:t>
      </w:r>
      <w:r w:rsidRPr="0059341C">
        <w:rPr>
          <w:rFonts w:ascii="Arial" w:hAnsi="Arial" w:cs="Arial"/>
          <w:sz w:val="16"/>
          <w:lang w:val="x-none"/>
        </w:rPr>
        <w:t>) represent a decrease in funds and a positive (+) represent an increase in funds.</w:t>
      </w:r>
    </w:p>
    <w:p w14:paraId="497DEF2F" w14:textId="3480B5AE" w:rsidR="00B14202" w:rsidRPr="0067052F" w:rsidRDefault="0059341C" w:rsidP="00F10ACD">
      <w:pPr>
        <w:pStyle w:val="ListParagraph"/>
        <w:numPr>
          <w:ilvl w:val="0"/>
          <w:numId w:val="62"/>
        </w:numPr>
        <w:spacing w:after="0"/>
        <w:ind w:left="284" w:hanging="284"/>
        <w:rPr>
          <w:rFonts w:ascii="Arial" w:hAnsi="Arial" w:cs="Arial"/>
          <w:sz w:val="16"/>
          <w:lang w:val="x-none"/>
        </w:rPr>
      </w:pPr>
      <w:r w:rsidRPr="0059341C">
        <w:rPr>
          <w:rFonts w:ascii="Arial" w:hAnsi="Arial" w:cs="Arial"/>
          <w:sz w:val="16"/>
          <w:lang w:val="x-none"/>
        </w:rPr>
        <w:t xml:space="preserve">Movements of funds for the Adelaide City Deal, Townsville City Deal and Geelong City Deal are disclosed in the Department of Treasury's 2021-22 </w:t>
      </w:r>
      <w:r w:rsidR="0067052F">
        <w:rPr>
          <w:rFonts w:ascii="Arial" w:hAnsi="Arial" w:cs="Arial"/>
          <w:sz w:val="16"/>
          <w:lang w:val="en-AU"/>
        </w:rPr>
        <w:t>PAES.</w:t>
      </w:r>
    </w:p>
    <w:p w14:paraId="10920ECB" w14:textId="77777777" w:rsidR="00F24C07" w:rsidRPr="00F24C07" w:rsidRDefault="00F24C07" w:rsidP="00F24C07">
      <w:pPr>
        <w:spacing w:after="0" w:line="240" w:lineRule="auto"/>
        <w:rPr>
          <w:rFonts w:ascii="Arial" w:hAnsi="Arial" w:cs="Arial"/>
          <w:sz w:val="16"/>
          <w:szCs w:val="16"/>
        </w:rPr>
      </w:pPr>
      <w:r w:rsidRPr="00F24C07">
        <w:rPr>
          <w:rFonts w:ascii="Arial" w:hAnsi="Arial" w:cs="Arial"/>
          <w:sz w:val="16"/>
          <w:szCs w:val="16"/>
        </w:rPr>
        <w:t xml:space="preserve">Note: Departmental appropriation splits and totals are indicative estimates and may change in the course of the budget year as government priorities change. </w:t>
      </w:r>
    </w:p>
    <w:p w14:paraId="6E74D6D2" w14:textId="77777777" w:rsidR="00B14202" w:rsidRDefault="00B14202">
      <w:pPr>
        <w:spacing w:after="0" w:line="240" w:lineRule="auto"/>
        <w:jc w:val="left"/>
        <w:rPr>
          <w:rFonts w:ascii="Arial" w:eastAsia="Calibri" w:hAnsi="Arial" w:cs="Arial"/>
          <w:sz w:val="16"/>
          <w:szCs w:val="22"/>
          <w:lang w:val="x-none" w:eastAsia="en-US"/>
        </w:rPr>
      </w:pPr>
      <w:r>
        <w:rPr>
          <w:rFonts w:ascii="Arial" w:hAnsi="Arial" w:cs="Arial"/>
          <w:sz w:val="16"/>
          <w:lang w:val="x-none"/>
        </w:rPr>
        <w:br w:type="page"/>
      </w:r>
    </w:p>
    <w:p w14:paraId="5A408A22" w14:textId="165A4A5F" w:rsidR="00000153" w:rsidRDefault="00000153" w:rsidP="00000153">
      <w:pPr>
        <w:pStyle w:val="TableHeading"/>
        <w:rPr>
          <w:lang w:val="en-AU"/>
        </w:rPr>
      </w:pPr>
      <w:r w:rsidRPr="00000153">
        <w:lastRenderedPageBreak/>
        <w:t>Table 2.</w:t>
      </w:r>
      <w:r w:rsidRPr="00000153">
        <w:rPr>
          <w:lang w:val="en-AU"/>
        </w:rPr>
        <w:t>4</w:t>
      </w:r>
      <w:r w:rsidRPr="00000153">
        <w:t xml:space="preserve">.2: Program components of Outcome </w:t>
      </w:r>
      <w:r w:rsidRPr="00000153">
        <w:rPr>
          <w:lang w:val="en-AU"/>
        </w:rPr>
        <w:t>3</w:t>
      </w:r>
    </w:p>
    <w:tbl>
      <w:tblPr>
        <w:tblW w:w="0" w:type="auto"/>
        <w:tblLayout w:type="fixed"/>
        <w:tblLook w:val="04A0" w:firstRow="1" w:lastRow="0" w:firstColumn="1" w:lastColumn="0" w:noHBand="0" w:noVBand="1"/>
      </w:tblPr>
      <w:tblGrid>
        <w:gridCol w:w="2694"/>
        <w:gridCol w:w="992"/>
        <w:gridCol w:w="928"/>
        <w:gridCol w:w="21"/>
        <w:gridCol w:w="981"/>
        <w:gridCol w:w="928"/>
        <w:gridCol w:w="49"/>
        <w:gridCol w:w="920"/>
      </w:tblGrid>
      <w:tr w:rsidR="00E34CEC" w:rsidRPr="00090B3F" w14:paraId="4CBA37B5" w14:textId="77777777" w:rsidTr="00B76022">
        <w:trPr>
          <w:trHeight w:val="450"/>
        </w:trPr>
        <w:tc>
          <w:tcPr>
            <w:tcW w:w="2694" w:type="dxa"/>
            <w:tcBorders>
              <w:top w:val="single" w:sz="4" w:space="0" w:color="auto"/>
              <w:left w:val="nil"/>
              <w:right w:val="nil"/>
            </w:tcBorders>
            <w:shd w:val="clear" w:color="auto" w:fill="auto"/>
            <w:noWrap/>
            <w:vAlign w:val="bottom"/>
            <w:hideMark/>
          </w:tcPr>
          <w:p w14:paraId="4B8F4E33" w14:textId="77777777" w:rsidR="00E34CEC" w:rsidRPr="00090B3F" w:rsidRDefault="00E34CEC" w:rsidP="00E34CEC">
            <w:pPr>
              <w:spacing w:after="0" w:line="240" w:lineRule="auto"/>
              <w:jc w:val="left"/>
              <w:rPr>
                <w:rFonts w:ascii="Arial" w:hAnsi="Arial" w:cs="Arial"/>
                <w:sz w:val="16"/>
                <w:szCs w:val="16"/>
              </w:rPr>
            </w:pPr>
            <w:r w:rsidRPr="00090B3F">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53B7DD6F" w14:textId="345843E9" w:rsidR="00E34CEC" w:rsidRPr="00090B3F"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49" w:type="dxa"/>
            <w:gridSpan w:val="2"/>
            <w:tcBorders>
              <w:top w:val="single" w:sz="4" w:space="0" w:color="auto"/>
              <w:left w:val="nil"/>
              <w:bottom w:val="single" w:sz="4" w:space="0" w:color="auto"/>
              <w:right w:val="nil"/>
            </w:tcBorders>
            <w:shd w:val="clear" w:color="auto" w:fill="E6E6E6"/>
            <w:vAlign w:val="bottom"/>
            <w:hideMark/>
          </w:tcPr>
          <w:p w14:paraId="4FB6BC2C" w14:textId="4E7B4214" w:rsidR="00E34CEC" w:rsidRPr="00090B3F"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81" w:type="dxa"/>
            <w:tcBorders>
              <w:top w:val="single" w:sz="4" w:space="0" w:color="auto"/>
              <w:left w:val="nil"/>
              <w:bottom w:val="single" w:sz="4" w:space="0" w:color="auto"/>
              <w:right w:val="nil"/>
            </w:tcBorders>
            <w:shd w:val="clear" w:color="auto" w:fill="auto"/>
            <w:vAlign w:val="bottom"/>
            <w:hideMark/>
          </w:tcPr>
          <w:p w14:paraId="305DBD73" w14:textId="25952F7A" w:rsidR="00E34CEC" w:rsidRPr="00090B3F"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77" w:type="dxa"/>
            <w:gridSpan w:val="2"/>
            <w:tcBorders>
              <w:top w:val="single" w:sz="4" w:space="0" w:color="auto"/>
              <w:left w:val="nil"/>
              <w:bottom w:val="single" w:sz="4" w:space="0" w:color="auto"/>
              <w:right w:val="nil"/>
            </w:tcBorders>
            <w:shd w:val="clear" w:color="auto" w:fill="auto"/>
            <w:vAlign w:val="bottom"/>
            <w:hideMark/>
          </w:tcPr>
          <w:p w14:paraId="1739B9F9" w14:textId="4632D1E4" w:rsidR="00E34CEC" w:rsidRPr="00090B3F"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20" w:type="dxa"/>
            <w:tcBorders>
              <w:top w:val="single" w:sz="4" w:space="0" w:color="auto"/>
              <w:left w:val="nil"/>
              <w:bottom w:val="single" w:sz="4" w:space="0" w:color="auto"/>
              <w:right w:val="nil"/>
            </w:tcBorders>
            <w:shd w:val="clear" w:color="auto" w:fill="auto"/>
            <w:vAlign w:val="bottom"/>
            <w:hideMark/>
          </w:tcPr>
          <w:p w14:paraId="1CA04D17" w14:textId="098701F5" w:rsidR="00E34CEC" w:rsidRPr="00090B3F"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F3679E" w:rsidRPr="00090B3F" w14:paraId="0D498BC7" w14:textId="77777777" w:rsidTr="00B76022">
        <w:trPr>
          <w:trHeight w:val="204"/>
        </w:trPr>
        <w:tc>
          <w:tcPr>
            <w:tcW w:w="7513" w:type="dxa"/>
            <w:gridSpan w:val="8"/>
            <w:tcBorders>
              <w:top w:val="single" w:sz="4" w:space="0" w:color="auto"/>
              <w:left w:val="nil"/>
              <w:bottom w:val="single" w:sz="4" w:space="0" w:color="auto"/>
              <w:right w:val="nil"/>
            </w:tcBorders>
            <w:shd w:val="clear" w:color="000000" w:fill="E6E6E6"/>
            <w:noWrap/>
            <w:vAlign w:val="bottom"/>
            <w:hideMark/>
          </w:tcPr>
          <w:p w14:paraId="54DF1586" w14:textId="5C3A94E3" w:rsidR="00F3679E" w:rsidRPr="00F3679E" w:rsidRDefault="00F3679E" w:rsidP="00F3679E">
            <w:pPr>
              <w:spacing w:after="40" w:line="240" w:lineRule="auto"/>
              <w:jc w:val="left"/>
              <w:rPr>
                <w:rFonts w:ascii="Arial" w:hAnsi="Arial" w:cs="Arial"/>
                <w:b/>
                <w:bCs/>
                <w:sz w:val="16"/>
                <w:szCs w:val="16"/>
              </w:rPr>
            </w:pPr>
            <w:r w:rsidRPr="00090B3F">
              <w:rPr>
                <w:rFonts w:ascii="Arial" w:hAnsi="Arial" w:cs="Arial"/>
                <w:b/>
                <w:bCs/>
                <w:sz w:val="16"/>
                <w:szCs w:val="16"/>
              </w:rPr>
              <w:t>Components for Program 3.1: Regional development</w:t>
            </w:r>
          </w:p>
        </w:tc>
      </w:tr>
      <w:tr w:rsidR="00090B3F" w:rsidRPr="00090B3F" w14:paraId="78FC81EB" w14:textId="77777777" w:rsidTr="00B76022">
        <w:trPr>
          <w:trHeight w:val="204"/>
        </w:trPr>
        <w:tc>
          <w:tcPr>
            <w:tcW w:w="2694" w:type="dxa"/>
            <w:tcBorders>
              <w:top w:val="nil"/>
              <w:left w:val="nil"/>
              <w:bottom w:val="nil"/>
              <w:right w:val="nil"/>
            </w:tcBorders>
            <w:shd w:val="clear" w:color="auto" w:fill="auto"/>
            <w:noWrap/>
            <w:vAlign w:val="bottom"/>
            <w:hideMark/>
          </w:tcPr>
          <w:p w14:paraId="5983F974" w14:textId="77777777" w:rsidR="00090B3F" w:rsidRPr="00090B3F" w:rsidRDefault="00090B3F" w:rsidP="00090B3F">
            <w:pPr>
              <w:spacing w:after="0" w:line="240" w:lineRule="auto"/>
              <w:jc w:val="left"/>
              <w:rPr>
                <w:rFonts w:ascii="Arial" w:hAnsi="Arial" w:cs="Arial"/>
                <w:sz w:val="16"/>
                <w:szCs w:val="16"/>
              </w:rPr>
            </w:pPr>
            <w:r w:rsidRPr="00090B3F">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3705BEC4" w14:textId="77777777" w:rsidR="00090B3F" w:rsidRPr="00090B3F" w:rsidRDefault="00090B3F" w:rsidP="00090B3F">
            <w:pPr>
              <w:spacing w:after="0" w:line="240" w:lineRule="auto"/>
              <w:jc w:val="right"/>
              <w:rPr>
                <w:rFonts w:ascii="Arial" w:hAnsi="Arial" w:cs="Arial"/>
                <w:sz w:val="16"/>
                <w:szCs w:val="16"/>
              </w:rPr>
            </w:pPr>
          </w:p>
        </w:tc>
        <w:tc>
          <w:tcPr>
            <w:tcW w:w="949" w:type="dxa"/>
            <w:gridSpan w:val="2"/>
            <w:tcBorders>
              <w:top w:val="nil"/>
              <w:left w:val="nil"/>
              <w:bottom w:val="nil"/>
              <w:right w:val="nil"/>
            </w:tcBorders>
            <w:shd w:val="clear" w:color="auto" w:fill="E6E6E6"/>
            <w:noWrap/>
            <w:vAlign w:val="bottom"/>
            <w:hideMark/>
          </w:tcPr>
          <w:p w14:paraId="7274470F" w14:textId="57A02932" w:rsidR="00090B3F" w:rsidRPr="00090B3F" w:rsidRDefault="00090B3F" w:rsidP="00090B3F">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71D6ECD4" w14:textId="77777777" w:rsidR="00090B3F" w:rsidRPr="00090B3F" w:rsidRDefault="00090B3F" w:rsidP="00090B3F">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auto" w:fill="auto"/>
            <w:noWrap/>
            <w:vAlign w:val="bottom"/>
            <w:hideMark/>
          </w:tcPr>
          <w:p w14:paraId="5D486DE3" w14:textId="77777777" w:rsidR="00090B3F" w:rsidRPr="00090B3F" w:rsidRDefault="00090B3F" w:rsidP="00090B3F">
            <w:pPr>
              <w:spacing w:after="0" w:line="240" w:lineRule="auto"/>
              <w:jc w:val="right"/>
              <w:rPr>
                <w:rFonts w:ascii="Times New Roman" w:hAnsi="Times New Roman"/>
              </w:rPr>
            </w:pPr>
          </w:p>
        </w:tc>
        <w:tc>
          <w:tcPr>
            <w:tcW w:w="920" w:type="dxa"/>
            <w:tcBorders>
              <w:top w:val="nil"/>
              <w:left w:val="nil"/>
              <w:bottom w:val="nil"/>
              <w:right w:val="nil"/>
            </w:tcBorders>
            <w:shd w:val="clear" w:color="auto" w:fill="auto"/>
            <w:noWrap/>
            <w:vAlign w:val="bottom"/>
            <w:hideMark/>
          </w:tcPr>
          <w:p w14:paraId="3EAC7475" w14:textId="77777777" w:rsidR="00090B3F" w:rsidRPr="00090B3F" w:rsidRDefault="00090B3F" w:rsidP="00090B3F">
            <w:pPr>
              <w:spacing w:after="0" w:line="240" w:lineRule="auto"/>
              <w:jc w:val="right"/>
              <w:rPr>
                <w:rFonts w:ascii="Times New Roman" w:hAnsi="Times New Roman"/>
              </w:rPr>
            </w:pPr>
          </w:p>
        </w:tc>
      </w:tr>
      <w:tr w:rsidR="0073185F" w:rsidRPr="00090B3F" w14:paraId="73E5C311" w14:textId="77777777" w:rsidTr="00B76022">
        <w:trPr>
          <w:trHeight w:val="204"/>
        </w:trPr>
        <w:tc>
          <w:tcPr>
            <w:tcW w:w="2694" w:type="dxa"/>
            <w:tcBorders>
              <w:top w:val="nil"/>
              <w:left w:val="nil"/>
              <w:bottom w:val="nil"/>
              <w:right w:val="nil"/>
            </w:tcBorders>
            <w:shd w:val="clear" w:color="auto" w:fill="auto"/>
            <w:vAlign w:val="bottom"/>
            <w:hideMark/>
          </w:tcPr>
          <w:p w14:paraId="0A111746"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Barkly Regional Deal</w:t>
            </w:r>
          </w:p>
        </w:tc>
        <w:tc>
          <w:tcPr>
            <w:tcW w:w="992" w:type="dxa"/>
            <w:tcBorders>
              <w:top w:val="nil"/>
              <w:left w:val="nil"/>
              <w:bottom w:val="nil"/>
              <w:right w:val="nil"/>
            </w:tcBorders>
            <w:shd w:val="clear" w:color="auto" w:fill="auto"/>
            <w:noWrap/>
            <w:vAlign w:val="bottom"/>
            <w:hideMark/>
          </w:tcPr>
          <w:p w14:paraId="4CB6987E" w14:textId="679C24C3"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400 </w:t>
            </w:r>
          </w:p>
        </w:tc>
        <w:tc>
          <w:tcPr>
            <w:tcW w:w="949" w:type="dxa"/>
            <w:gridSpan w:val="2"/>
            <w:tcBorders>
              <w:top w:val="nil"/>
              <w:left w:val="nil"/>
              <w:bottom w:val="nil"/>
              <w:right w:val="nil"/>
            </w:tcBorders>
            <w:shd w:val="clear" w:color="auto" w:fill="E6E6E6"/>
            <w:noWrap/>
            <w:vAlign w:val="bottom"/>
            <w:hideMark/>
          </w:tcPr>
          <w:p w14:paraId="1404FF3B" w14:textId="39D972BD"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386 </w:t>
            </w:r>
          </w:p>
        </w:tc>
        <w:tc>
          <w:tcPr>
            <w:tcW w:w="981" w:type="dxa"/>
            <w:tcBorders>
              <w:top w:val="nil"/>
              <w:left w:val="nil"/>
              <w:bottom w:val="nil"/>
              <w:right w:val="nil"/>
            </w:tcBorders>
            <w:shd w:val="clear" w:color="auto" w:fill="auto"/>
            <w:noWrap/>
            <w:vAlign w:val="bottom"/>
            <w:hideMark/>
          </w:tcPr>
          <w:p w14:paraId="1EC02BAA" w14:textId="16D81151"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4D57D932" w14:textId="4584CE17"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3E343519" w14:textId="2FE59B5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550A8904" w14:textId="77777777" w:rsidTr="00B76022">
        <w:trPr>
          <w:trHeight w:val="204"/>
        </w:trPr>
        <w:tc>
          <w:tcPr>
            <w:tcW w:w="2694" w:type="dxa"/>
            <w:tcBorders>
              <w:top w:val="nil"/>
              <w:left w:val="nil"/>
              <w:bottom w:val="nil"/>
              <w:right w:val="nil"/>
            </w:tcBorders>
            <w:shd w:val="clear" w:color="auto" w:fill="auto"/>
            <w:vAlign w:val="bottom"/>
            <w:hideMark/>
          </w:tcPr>
          <w:p w14:paraId="50794BDA"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Building Better Regions Fund</w:t>
            </w:r>
          </w:p>
        </w:tc>
        <w:tc>
          <w:tcPr>
            <w:tcW w:w="992" w:type="dxa"/>
            <w:tcBorders>
              <w:top w:val="nil"/>
              <w:left w:val="nil"/>
              <w:bottom w:val="nil"/>
              <w:right w:val="nil"/>
            </w:tcBorders>
            <w:shd w:val="clear" w:color="auto" w:fill="auto"/>
            <w:noWrap/>
            <w:vAlign w:val="bottom"/>
            <w:hideMark/>
          </w:tcPr>
          <w:p w14:paraId="585FBA98" w14:textId="1FED0D4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158,235 </w:t>
            </w:r>
          </w:p>
        </w:tc>
        <w:tc>
          <w:tcPr>
            <w:tcW w:w="949" w:type="dxa"/>
            <w:gridSpan w:val="2"/>
            <w:tcBorders>
              <w:top w:val="nil"/>
              <w:left w:val="nil"/>
              <w:bottom w:val="nil"/>
              <w:right w:val="nil"/>
            </w:tcBorders>
            <w:shd w:val="clear" w:color="auto" w:fill="E6E6E6"/>
            <w:noWrap/>
            <w:vAlign w:val="bottom"/>
            <w:hideMark/>
          </w:tcPr>
          <w:p w14:paraId="6B862F3C" w14:textId="43789AD1"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273,243 </w:t>
            </w:r>
          </w:p>
        </w:tc>
        <w:tc>
          <w:tcPr>
            <w:tcW w:w="981" w:type="dxa"/>
            <w:tcBorders>
              <w:top w:val="nil"/>
              <w:left w:val="nil"/>
              <w:bottom w:val="nil"/>
              <w:right w:val="nil"/>
            </w:tcBorders>
            <w:shd w:val="clear" w:color="auto" w:fill="auto"/>
            <w:noWrap/>
            <w:vAlign w:val="bottom"/>
            <w:hideMark/>
          </w:tcPr>
          <w:p w14:paraId="15CEFEB8" w14:textId="6FFB10E4"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318,991 </w:t>
            </w:r>
          </w:p>
        </w:tc>
        <w:tc>
          <w:tcPr>
            <w:tcW w:w="977" w:type="dxa"/>
            <w:gridSpan w:val="2"/>
            <w:tcBorders>
              <w:top w:val="nil"/>
              <w:left w:val="nil"/>
              <w:bottom w:val="nil"/>
              <w:right w:val="nil"/>
            </w:tcBorders>
            <w:shd w:val="clear" w:color="auto" w:fill="auto"/>
            <w:noWrap/>
            <w:vAlign w:val="bottom"/>
            <w:hideMark/>
          </w:tcPr>
          <w:p w14:paraId="410E9E4D" w14:textId="33232C69"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249,237 </w:t>
            </w:r>
          </w:p>
        </w:tc>
        <w:tc>
          <w:tcPr>
            <w:tcW w:w="920" w:type="dxa"/>
            <w:tcBorders>
              <w:top w:val="nil"/>
              <w:left w:val="nil"/>
              <w:bottom w:val="nil"/>
              <w:right w:val="nil"/>
            </w:tcBorders>
            <w:shd w:val="clear" w:color="auto" w:fill="auto"/>
            <w:noWrap/>
            <w:vAlign w:val="bottom"/>
            <w:hideMark/>
          </w:tcPr>
          <w:p w14:paraId="68DBD86C" w14:textId="25AF5801"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75,000 </w:t>
            </w:r>
          </w:p>
        </w:tc>
      </w:tr>
      <w:tr w:rsidR="0073185F" w:rsidRPr="00090B3F" w14:paraId="3A9F3AD0" w14:textId="77777777" w:rsidTr="00B76022">
        <w:trPr>
          <w:trHeight w:val="204"/>
        </w:trPr>
        <w:tc>
          <w:tcPr>
            <w:tcW w:w="2694" w:type="dxa"/>
            <w:tcBorders>
              <w:top w:val="nil"/>
              <w:left w:val="nil"/>
              <w:bottom w:val="nil"/>
              <w:right w:val="nil"/>
            </w:tcBorders>
            <w:shd w:val="clear" w:color="auto" w:fill="auto"/>
            <w:vAlign w:val="bottom"/>
            <w:hideMark/>
          </w:tcPr>
          <w:p w14:paraId="103739DE"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Community Development Grants Programme</w:t>
            </w:r>
          </w:p>
        </w:tc>
        <w:tc>
          <w:tcPr>
            <w:tcW w:w="992" w:type="dxa"/>
            <w:tcBorders>
              <w:top w:val="nil"/>
              <w:left w:val="nil"/>
              <w:bottom w:val="nil"/>
              <w:right w:val="nil"/>
            </w:tcBorders>
            <w:shd w:val="clear" w:color="auto" w:fill="auto"/>
            <w:noWrap/>
            <w:vAlign w:val="bottom"/>
            <w:hideMark/>
          </w:tcPr>
          <w:p w14:paraId="31B3C434" w14:textId="0C94B58B"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198,705 </w:t>
            </w:r>
          </w:p>
        </w:tc>
        <w:tc>
          <w:tcPr>
            <w:tcW w:w="949" w:type="dxa"/>
            <w:gridSpan w:val="2"/>
            <w:tcBorders>
              <w:top w:val="nil"/>
              <w:left w:val="nil"/>
              <w:bottom w:val="nil"/>
              <w:right w:val="nil"/>
            </w:tcBorders>
            <w:shd w:val="clear" w:color="auto" w:fill="E6E6E6"/>
            <w:noWrap/>
            <w:vAlign w:val="bottom"/>
            <w:hideMark/>
          </w:tcPr>
          <w:p w14:paraId="587ACE77" w14:textId="27FDD0E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272,876 </w:t>
            </w:r>
          </w:p>
        </w:tc>
        <w:tc>
          <w:tcPr>
            <w:tcW w:w="981" w:type="dxa"/>
            <w:tcBorders>
              <w:top w:val="nil"/>
              <w:left w:val="nil"/>
              <w:bottom w:val="nil"/>
              <w:right w:val="nil"/>
            </w:tcBorders>
            <w:shd w:val="clear" w:color="auto" w:fill="auto"/>
            <w:noWrap/>
            <w:vAlign w:val="bottom"/>
            <w:hideMark/>
          </w:tcPr>
          <w:p w14:paraId="7A4F8152" w14:textId="0BA64802"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267,715 </w:t>
            </w:r>
          </w:p>
        </w:tc>
        <w:tc>
          <w:tcPr>
            <w:tcW w:w="977" w:type="dxa"/>
            <w:gridSpan w:val="2"/>
            <w:tcBorders>
              <w:top w:val="nil"/>
              <w:left w:val="nil"/>
              <w:bottom w:val="nil"/>
              <w:right w:val="nil"/>
            </w:tcBorders>
            <w:shd w:val="clear" w:color="auto" w:fill="auto"/>
            <w:noWrap/>
            <w:vAlign w:val="bottom"/>
            <w:hideMark/>
          </w:tcPr>
          <w:p w14:paraId="57211BAD" w14:textId="7BFA5647"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268,609 </w:t>
            </w:r>
          </w:p>
        </w:tc>
        <w:tc>
          <w:tcPr>
            <w:tcW w:w="920" w:type="dxa"/>
            <w:tcBorders>
              <w:top w:val="nil"/>
              <w:left w:val="nil"/>
              <w:bottom w:val="nil"/>
              <w:right w:val="nil"/>
            </w:tcBorders>
            <w:shd w:val="clear" w:color="auto" w:fill="auto"/>
            <w:noWrap/>
            <w:vAlign w:val="bottom"/>
            <w:hideMark/>
          </w:tcPr>
          <w:p w14:paraId="2C2FA37A" w14:textId="4654B8D6"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253,600 </w:t>
            </w:r>
          </w:p>
        </w:tc>
      </w:tr>
      <w:tr w:rsidR="0073185F" w:rsidRPr="00090B3F" w14:paraId="3B3992EA" w14:textId="77777777" w:rsidTr="00B76022">
        <w:trPr>
          <w:trHeight w:val="204"/>
        </w:trPr>
        <w:tc>
          <w:tcPr>
            <w:tcW w:w="2694" w:type="dxa"/>
            <w:tcBorders>
              <w:top w:val="nil"/>
              <w:left w:val="nil"/>
              <w:bottom w:val="nil"/>
              <w:right w:val="nil"/>
            </w:tcBorders>
            <w:shd w:val="clear" w:color="auto" w:fill="auto"/>
            <w:vAlign w:val="bottom"/>
            <w:hideMark/>
          </w:tcPr>
          <w:p w14:paraId="09A01FF2"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Drought Community Outreach Program</w:t>
            </w:r>
          </w:p>
        </w:tc>
        <w:tc>
          <w:tcPr>
            <w:tcW w:w="992" w:type="dxa"/>
            <w:tcBorders>
              <w:top w:val="nil"/>
              <w:left w:val="nil"/>
              <w:bottom w:val="nil"/>
              <w:right w:val="nil"/>
            </w:tcBorders>
            <w:shd w:val="clear" w:color="auto" w:fill="auto"/>
            <w:noWrap/>
            <w:vAlign w:val="bottom"/>
            <w:hideMark/>
          </w:tcPr>
          <w:p w14:paraId="5EF64D58" w14:textId="32E68EF7"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5,000 </w:t>
            </w:r>
          </w:p>
        </w:tc>
        <w:tc>
          <w:tcPr>
            <w:tcW w:w="949" w:type="dxa"/>
            <w:gridSpan w:val="2"/>
            <w:tcBorders>
              <w:top w:val="nil"/>
              <w:left w:val="nil"/>
              <w:bottom w:val="nil"/>
              <w:right w:val="nil"/>
            </w:tcBorders>
            <w:shd w:val="clear" w:color="auto" w:fill="E6E6E6"/>
            <w:noWrap/>
            <w:vAlign w:val="bottom"/>
            <w:hideMark/>
          </w:tcPr>
          <w:p w14:paraId="2A021F48" w14:textId="0000FB36"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81" w:type="dxa"/>
            <w:tcBorders>
              <w:top w:val="nil"/>
              <w:left w:val="nil"/>
              <w:bottom w:val="nil"/>
              <w:right w:val="nil"/>
            </w:tcBorders>
            <w:shd w:val="clear" w:color="auto" w:fill="auto"/>
            <w:noWrap/>
            <w:vAlign w:val="bottom"/>
            <w:hideMark/>
          </w:tcPr>
          <w:p w14:paraId="2E76DFBB" w14:textId="05BD68F1"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2171C2DB" w14:textId="28FB427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244D0EB2" w14:textId="7D80B8C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5E9F5CE7" w14:textId="77777777" w:rsidTr="00B76022">
        <w:trPr>
          <w:trHeight w:val="204"/>
        </w:trPr>
        <w:tc>
          <w:tcPr>
            <w:tcW w:w="2694" w:type="dxa"/>
            <w:tcBorders>
              <w:top w:val="nil"/>
              <w:left w:val="nil"/>
              <w:bottom w:val="nil"/>
              <w:right w:val="nil"/>
            </w:tcBorders>
            <w:shd w:val="clear" w:color="auto" w:fill="auto"/>
            <w:vAlign w:val="bottom"/>
            <w:hideMark/>
          </w:tcPr>
          <w:p w14:paraId="2AC5E317"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Drought Communities Programme Extension</w:t>
            </w:r>
          </w:p>
        </w:tc>
        <w:tc>
          <w:tcPr>
            <w:tcW w:w="992" w:type="dxa"/>
            <w:tcBorders>
              <w:top w:val="nil"/>
              <w:left w:val="nil"/>
              <w:bottom w:val="nil"/>
              <w:right w:val="nil"/>
            </w:tcBorders>
            <w:shd w:val="clear" w:color="auto" w:fill="auto"/>
            <w:noWrap/>
            <w:vAlign w:val="bottom"/>
            <w:hideMark/>
          </w:tcPr>
          <w:p w14:paraId="04A5B928" w14:textId="59ACED99"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103,289 </w:t>
            </w:r>
          </w:p>
        </w:tc>
        <w:tc>
          <w:tcPr>
            <w:tcW w:w="949" w:type="dxa"/>
            <w:gridSpan w:val="2"/>
            <w:tcBorders>
              <w:top w:val="nil"/>
              <w:left w:val="nil"/>
              <w:bottom w:val="nil"/>
              <w:right w:val="nil"/>
            </w:tcBorders>
            <w:shd w:val="clear" w:color="auto" w:fill="E6E6E6"/>
            <w:noWrap/>
            <w:vAlign w:val="bottom"/>
            <w:hideMark/>
          </w:tcPr>
          <w:p w14:paraId="64BCF82A" w14:textId="30DD98F2"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23,085 </w:t>
            </w:r>
          </w:p>
        </w:tc>
        <w:tc>
          <w:tcPr>
            <w:tcW w:w="981" w:type="dxa"/>
            <w:tcBorders>
              <w:top w:val="nil"/>
              <w:left w:val="nil"/>
              <w:bottom w:val="nil"/>
              <w:right w:val="nil"/>
            </w:tcBorders>
            <w:shd w:val="clear" w:color="auto" w:fill="auto"/>
            <w:noWrap/>
            <w:vAlign w:val="bottom"/>
            <w:hideMark/>
          </w:tcPr>
          <w:p w14:paraId="40894BC8" w14:textId="2455CC5E"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6E2D2067" w14:textId="0238CB15"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54410D12" w14:textId="6D0EA381"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0E23E738" w14:textId="77777777" w:rsidTr="00B76022">
        <w:trPr>
          <w:trHeight w:val="204"/>
        </w:trPr>
        <w:tc>
          <w:tcPr>
            <w:tcW w:w="2694" w:type="dxa"/>
            <w:tcBorders>
              <w:top w:val="nil"/>
              <w:left w:val="nil"/>
              <w:bottom w:val="nil"/>
              <w:right w:val="nil"/>
            </w:tcBorders>
            <w:shd w:val="clear" w:color="auto" w:fill="auto"/>
            <w:vAlign w:val="bottom"/>
            <w:hideMark/>
          </w:tcPr>
          <w:p w14:paraId="22BC034E"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Foundation for Rural and Regional Renewal</w:t>
            </w:r>
          </w:p>
        </w:tc>
        <w:tc>
          <w:tcPr>
            <w:tcW w:w="992" w:type="dxa"/>
            <w:tcBorders>
              <w:top w:val="nil"/>
              <w:left w:val="nil"/>
              <w:bottom w:val="nil"/>
              <w:right w:val="nil"/>
            </w:tcBorders>
            <w:shd w:val="clear" w:color="auto" w:fill="auto"/>
            <w:noWrap/>
            <w:vAlign w:val="bottom"/>
            <w:hideMark/>
          </w:tcPr>
          <w:p w14:paraId="21D784B4" w14:textId="4C4750A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4,500 </w:t>
            </w:r>
          </w:p>
        </w:tc>
        <w:tc>
          <w:tcPr>
            <w:tcW w:w="949" w:type="dxa"/>
            <w:gridSpan w:val="2"/>
            <w:tcBorders>
              <w:top w:val="nil"/>
              <w:left w:val="nil"/>
              <w:bottom w:val="nil"/>
              <w:right w:val="nil"/>
            </w:tcBorders>
            <w:shd w:val="clear" w:color="auto" w:fill="E6E6E6"/>
            <w:noWrap/>
            <w:vAlign w:val="bottom"/>
            <w:hideMark/>
          </w:tcPr>
          <w:p w14:paraId="640ABE29" w14:textId="7F9E8622"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81" w:type="dxa"/>
            <w:tcBorders>
              <w:top w:val="nil"/>
              <w:left w:val="nil"/>
              <w:bottom w:val="nil"/>
              <w:right w:val="nil"/>
            </w:tcBorders>
            <w:shd w:val="clear" w:color="auto" w:fill="auto"/>
            <w:noWrap/>
            <w:vAlign w:val="bottom"/>
            <w:hideMark/>
          </w:tcPr>
          <w:p w14:paraId="0B2E23C2" w14:textId="5581F494"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041E7C6F" w14:textId="4A64A75C"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20984F38" w14:textId="3931330C"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16387446" w14:textId="77777777" w:rsidTr="00B76022">
        <w:trPr>
          <w:trHeight w:val="204"/>
        </w:trPr>
        <w:tc>
          <w:tcPr>
            <w:tcW w:w="2694" w:type="dxa"/>
            <w:tcBorders>
              <w:top w:val="nil"/>
              <w:left w:val="nil"/>
              <w:bottom w:val="nil"/>
              <w:right w:val="nil"/>
            </w:tcBorders>
            <w:shd w:val="clear" w:color="auto" w:fill="auto"/>
            <w:vAlign w:val="bottom"/>
            <w:hideMark/>
          </w:tcPr>
          <w:p w14:paraId="126A1AF3"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Hinkler Regional Deal</w:t>
            </w:r>
          </w:p>
        </w:tc>
        <w:tc>
          <w:tcPr>
            <w:tcW w:w="992" w:type="dxa"/>
            <w:tcBorders>
              <w:top w:val="nil"/>
              <w:left w:val="nil"/>
              <w:bottom w:val="nil"/>
              <w:right w:val="nil"/>
            </w:tcBorders>
            <w:shd w:val="clear" w:color="auto" w:fill="auto"/>
            <w:noWrap/>
            <w:vAlign w:val="bottom"/>
            <w:hideMark/>
          </w:tcPr>
          <w:p w14:paraId="0B989A52" w14:textId="62729949"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5,000 </w:t>
            </w:r>
          </w:p>
        </w:tc>
        <w:tc>
          <w:tcPr>
            <w:tcW w:w="949" w:type="dxa"/>
            <w:gridSpan w:val="2"/>
            <w:tcBorders>
              <w:top w:val="nil"/>
              <w:left w:val="nil"/>
              <w:bottom w:val="nil"/>
              <w:right w:val="nil"/>
            </w:tcBorders>
            <w:shd w:val="clear" w:color="auto" w:fill="E6E6E6"/>
            <w:noWrap/>
            <w:vAlign w:val="bottom"/>
            <w:hideMark/>
          </w:tcPr>
          <w:p w14:paraId="7864FE8C" w14:textId="0AC685C9"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250 </w:t>
            </w:r>
          </w:p>
        </w:tc>
        <w:tc>
          <w:tcPr>
            <w:tcW w:w="981" w:type="dxa"/>
            <w:tcBorders>
              <w:top w:val="nil"/>
              <w:left w:val="nil"/>
              <w:bottom w:val="nil"/>
              <w:right w:val="nil"/>
            </w:tcBorders>
            <w:shd w:val="clear" w:color="auto" w:fill="auto"/>
            <w:noWrap/>
            <w:vAlign w:val="bottom"/>
            <w:hideMark/>
          </w:tcPr>
          <w:p w14:paraId="55863AFE" w14:textId="14B8DE85"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1991FF1D" w14:textId="331FEF97"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10F4B10A" w14:textId="4003617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526E99ED" w14:textId="77777777" w:rsidTr="00B76022">
        <w:trPr>
          <w:trHeight w:val="204"/>
        </w:trPr>
        <w:tc>
          <w:tcPr>
            <w:tcW w:w="2694" w:type="dxa"/>
            <w:tcBorders>
              <w:top w:val="nil"/>
              <w:left w:val="nil"/>
              <w:bottom w:val="nil"/>
              <w:right w:val="nil"/>
            </w:tcBorders>
            <w:shd w:val="clear" w:color="auto" w:fill="auto"/>
            <w:vAlign w:val="bottom"/>
            <w:hideMark/>
          </w:tcPr>
          <w:p w14:paraId="0ED15848"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National Stronger Regions Fund</w:t>
            </w:r>
          </w:p>
        </w:tc>
        <w:tc>
          <w:tcPr>
            <w:tcW w:w="992" w:type="dxa"/>
            <w:tcBorders>
              <w:top w:val="nil"/>
              <w:left w:val="nil"/>
              <w:bottom w:val="nil"/>
              <w:right w:val="nil"/>
            </w:tcBorders>
            <w:shd w:val="clear" w:color="auto" w:fill="auto"/>
            <w:noWrap/>
            <w:vAlign w:val="bottom"/>
            <w:hideMark/>
          </w:tcPr>
          <w:p w14:paraId="10347423" w14:textId="517CADF9"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20,902 </w:t>
            </w:r>
          </w:p>
        </w:tc>
        <w:tc>
          <w:tcPr>
            <w:tcW w:w="949" w:type="dxa"/>
            <w:gridSpan w:val="2"/>
            <w:tcBorders>
              <w:top w:val="nil"/>
              <w:left w:val="nil"/>
              <w:bottom w:val="nil"/>
              <w:right w:val="nil"/>
            </w:tcBorders>
            <w:shd w:val="clear" w:color="auto" w:fill="E6E6E6"/>
            <w:noWrap/>
            <w:vAlign w:val="bottom"/>
            <w:hideMark/>
          </w:tcPr>
          <w:p w14:paraId="47581C1C" w14:textId="0B60674C"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8,600 </w:t>
            </w:r>
          </w:p>
        </w:tc>
        <w:tc>
          <w:tcPr>
            <w:tcW w:w="981" w:type="dxa"/>
            <w:tcBorders>
              <w:top w:val="nil"/>
              <w:left w:val="nil"/>
              <w:bottom w:val="nil"/>
              <w:right w:val="nil"/>
            </w:tcBorders>
            <w:shd w:val="clear" w:color="auto" w:fill="auto"/>
            <w:noWrap/>
            <w:vAlign w:val="bottom"/>
            <w:hideMark/>
          </w:tcPr>
          <w:p w14:paraId="1A3B3D42" w14:textId="7B7D4613"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6DA9D3B5" w14:textId="728091AE"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272BB294" w14:textId="4245808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4752C401" w14:textId="77777777" w:rsidTr="00B76022">
        <w:trPr>
          <w:trHeight w:val="204"/>
        </w:trPr>
        <w:tc>
          <w:tcPr>
            <w:tcW w:w="2694" w:type="dxa"/>
            <w:tcBorders>
              <w:top w:val="nil"/>
              <w:left w:val="nil"/>
              <w:bottom w:val="nil"/>
              <w:right w:val="nil"/>
            </w:tcBorders>
            <w:shd w:val="clear" w:color="auto" w:fill="auto"/>
            <w:vAlign w:val="bottom"/>
            <w:hideMark/>
          </w:tcPr>
          <w:p w14:paraId="781401D8"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National Water Infrastructure Development Fund</w:t>
            </w:r>
          </w:p>
        </w:tc>
        <w:tc>
          <w:tcPr>
            <w:tcW w:w="992" w:type="dxa"/>
            <w:tcBorders>
              <w:top w:val="nil"/>
              <w:left w:val="nil"/>
              <w:bottom w:val="nil"/>
              <w:right w:val="nil"/>
            </w:tcBorders>
            <w:shd w:val="clear" w:color="auto" w:fill="auto"/>
            <w:noWrap/>
            <w:vAlign w:val="bottom"/>
            <w:hideMark/>
          </w:tcPr>
          <w:p w14:paraId="3297B920" w14:textId="4787581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500 </w:t>
            </w:r>
          </w:p>
        </w:tc>
        <w:tc>
          <w:tcPr>
            <w:tcW w:w="949" w:type="dxa"/>
            <w:gridSpan w:val="2"/>
            <w:tcBorders>
              <w:top w:val="nil"/>
              <w:left w:val="nil"/>
              <w:bottom w:val="nil"/>
              <w:right w:val="nil"/>
            </w:tcBorders>
            <w:shd w:val="clear" w:color="auto" w:fill="E6E6E6"/>
            <w:noWrap/>
            <w:vAlign w:val="bottom"/>
            <w:hideMark/>
          </w:tcPr>
          <w:p w14:paraId="01A5CBA2" w14:textId="47342A19"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500 </w:t>
            </w:r>
          </w:p>
        </w:tc>
        <w:tc>
          <w:tcPr>
            <w:tcW w:w="981" w:type="dxa"/>
            <w:tcBorders>
              <w:top w:val="nil"/>
              <w:left w:val="nil"/>
              <w:bottom w:val="nil"/>
              <w:right w:val="nil"/>
            </w:tcBorders>
            <w:shd w:val="clear" w:color="auto" w:fill="auto"/>
            <w:noWrap/>
            <w:vAlign w:val="bottom"/>
            <w:hideMark/>
          </w:tcPr>
          <w:p w14:paraId="5081B282" w14:textId="29A14BAE"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975 </w:t>
            </w:r>
          </w:p>
        </w:tc>
        <w:tc>
          <w:tcPr>
            <w:tcW w:w="977" w:type="dxa"/>
            <w:gridSpan w:val="2"/>
            <w:tcBorders>
              <w:top w:val="nil"/>
              <w:left w:val="nil"/>
              <w:bottom w:val="nil"/>
              <w:right w:val="nil"/>
            </w:tcBorders>
            <w:shd w:val="clear" w:color="auto" w:fill="auto"/>
            <w:noWrap/>
            <w:vAlign w:val="bottom"/>
            <w:hideMark/>
          </w:tcPr>
          <w:p w14:paraId="1AAA08F6" w14:textId="780D8445"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25 </w:t>
            </w:r>
          </w:p>
        </w:tc>
        <w:tc>
          <w:tcPr>
            <w:tcW w:w="920" w:type="dxa"/>
            <w:tcBorders>
              <w:top w:val="nil"/>
              <w:left w:val="nil"/>
              <w:bottom w:val="nil"/>
              <w:right w:val="nil"/>
            </w:tcBorders>
            <w:shd w:val="clear" w:color="auto" w:fill="auto"/>
            <w:noWrap/>
            <w:vAlign w:val="bottom"/>
            <w:hideMark/>
          </w:tcPr>
          <w:p w14:paraId="08267B3F" w14:textId="23C2D9D9"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3AE7BDCD" w14:textId="77777777" w:rsidTr="00B76022">
        <w:trPr>
          <w:trHeight w:val="204"/>
        </w:trPr>
        <w:tc>
          <w:tcPr>
            <w:tcW w:w="2694" w:type="dxa"/>
            <w:tcBorders>
              <w:top w:val="nil"/>
              <w:left w:val="nil"/>
              <w:bottom w:val="nil"/>
              <w:right w:val="nil"/>
            </w:tcBorders>
            <w:shd w:val="clear" w:color="auto" w:fill="auto"/>
            <w:vAlign w:val="bottom"/>
            <w:hideMark/>
          </w:tcPr>
          <w:p w14:paraId="4D3622F8"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National Water Grid Authority</w:t>
            </w:r>
          </w:p>
        </w:tc>
        <w:tc>
          <w:tcPr>
            <w:tcW w:w="992" w:type="dxa"/>
            <w:tcBorders>
              <w:top w:val="nil"/>
              <w:left w:val="nil"/>
              <w:bottom w:val="nil"/>
              <w:right w:val="nil"/>
            </w:tcBorders>
            <w:shd w:val="clear" w:color="auto" w:fill="auto"/>
            <w:noWrap/>
            <w:vAlign w:val="bottom"/>
            <w:hideMark/>
          </w:tcPr>
          <w:p w14:paraId="30E85E4F" w14:textId="094BDBBE"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4,916 </w:t>
            </w:r>
          </w:p>
        </w:tc>
        <w:tc>
          <w:tcPr>
            <w:tcW w:w="949" w:type="dxa"/>
            <w:gridSpan w:val="2"/>
            <w:tcBorders>
              <w:top w:val="nil"/>
              <w:left w:val="nil"/>
              <w:bottom w:val="nil"/>
              <w:right w:val="nil"/>
            </w:tcBorders>
            <w:shd w:val="clear" w:color="auto" w:fill="E6E6E6"/>
            <w:noWrap/>
            <w:vAlign w:val="bottom"/>
            <w:hideMark/>
          </w:tcPr>
          <w:p w14:paraId="5D76CAD9" w14:textId="464B6126"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7,548 </w:t>
            </w:r>
          </w:p>
        </w:tc>
        <w:tc>
          <w:tcPr>
            <w:tcW w:w="981" w:type="dxa"/>
            <w:tcBorders>
              <w:top w:val="nil"/>
              <w:left w:val="nil"/>
              <w:bottom w:val="nil"/>
              <w:right w:val="nil"/>
            </w:tcBorders>
            <w:shd w:val="clear" w:color="auto" w:fill="auto"/>
            <w:noWrap/>
            <w:vAlign w:val="bottom"/>
            <w:hideMark/>
          </w:tcPr>
          <w:p w14:paraId="3150D1FB" w14:textId="67DA58E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6,075 </w:t>
            </w:r>
          </w:p>
        </w:tc>
        <w:tc>
          <w:tcPr>
            <w:tcW w:w="977" w:type="dxa"/>
            <w:gridSpan w:val="2"/>
            <w:tcBorders>
              <w:top w:val="nil"/>
              <w:left w:val="nil"/>
              <w:bottom w:val="nil"/>
              <w:right w:val="nil"/>
            </w:tcBorders>
            <w:shd w:val="clear" w:color="auto" w:fill="auto"/>
            <w:noWrap/>
            <w:vAlign w:val="bottom"/>
            <w:hideMark/>
          </w:tcPr>
          <w:p w14:paraId="04945A49" w14:textId="7FFA3681"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4,275 </w:t>
            </w:r>
          </w:p>
        </w:tc>
        <w:tc>
          <w:tcPr>
            <w:tcW w:w="920" w:type="dxa"/>
            <w:tcBorders>
              <w:top w:val="nil"/>
              <w:left w:val="nil"/>
              <w:bottom w:val="nil"/>
              <w:right w:val="nil"/>
            </w:tcBorders>
            <w:shd w:val="clear" w:color="auto" w:fill="auto"/>
            <w:noWrap/>
            <w:vAlign w:val="bottom"/>
            <w:hideMark/>
          </w:tcPr>
          <w:p w14:paraId="4A585CAA" w14:textId="44062AB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7720A58A" w14:textId="77777777" w:rsidTr="00B76022">
        <w:trPr>
          <w:trHeight w:val="204"/>
        </w:trPr>
        <w:tc>
          <w:tcPr>
            <w:tcW w:w="2694" w:type="dxa"/>
            <w:tcBorders>
              <w:top w:val="nil"/>
              <w:left w:val="nil"/>
              <w:bottom w:val="nil"/>
              <w:right w:val="nil"/>
            </w:tcBorders>
            <w:shd w:val="clear" w:color="auto" w:fill="auto"/>
            <w:vAlign w:val="bottom"/>
            <w:hideMark/>
          </w:tcPr>
          <w:p w14:paraId="6769255B"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Rebuilding Regional Communities</w:t>
            </w:r>
          </w:p>
        </w:tc>
        <w:tc>
          <w:tcPr>
            <w:tcW w:w="992" w:type="dxa"/>
            <w:tcBorders>
              <w:top w:val="nil"/>
              <w:left w:val="nil"/>
              <w:bottom w:val="nil"/>
              <w:right w:val="nil"/>
            </w:tcBorders>
            <w:shd w:val="clear" w:color="auto" w:fill="auto"/>
            <w:noWrap/>
            <w:vAlign w:val="bottom"/>
            <w:hideMark/>
          </w:tcPr>
          <w:p w14:paraId="47CB03A0" w14:textId="6A57AFD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49" w:type="dxa"/>
            <w:gridSpan w:val="2"/>
            <w:tcBorders>
              <w:top w:val="nil"/>
              <w:left w:val="nil"/>
              <w:bottom w:val="nil"/>
              <w:right w:val="nil"/>
            </w:tcBorders>
            <w:shd w:val="clear" w:color="auto" w:fill="E6E6E6"/>
            <w:noWrap/>
            <w:vAlign w:val="bottom"/>
            <w:hideMark/>
          </w:tcPr>
          <w:p w14:paraId="5256FCB9" w14:textId="2AF9347D"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3,404 </w:t>
            </w:r>
          </w:p>
        </w:tc>
        <w:tc>
          <w:tcPr>
            <w:tcW w:w="981" w:type="dxa"/>
            <w:tcBorders>
              <w:top w:val="nil"/>
              <w:left w:val="nil"/>
              <w:bottom w:val="nil"/>
              <w:right w:val="nil"/>
            </w:tcBorders>
            <w:shd w:val="clear" w:color="auto" w:fill="auto"/>
            <w:noWrap/>
            <w:vAlign w:val="bottom"/>
            <w:hideMark/>
          </w:tcPr>
          <w:p w14:paraId="6E2A18C0" w14:textId="2ADAFC80"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2,304 </w:t>
            </w:r>
          </w:p>
        </w:tc>
        <w:tc>
          <w:tcPr>
            <w:tcW w:w="977" w:type="dxa"/>
            <w:gridSpan w:val="2"/>
            <w:tcBorders>
              <w:top w:val="nil"/>
              <w:left w:val="nil"/>
              <w:bottom w:val="nil"/>
              <w:right w:val="nil"/>
            </w:tcBorders>
            <w:shd w:val="clear" w:color="auto" w:fill="auto"/>
            <w:noWrap/>
            <w:vAlign w:val="bottom"/>
            <w:hideMark/>
          </w:tcPr>
          <w:p w14:paraId="60046BE5" w14:textId="0BCC0C16"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24AC0AA2" w14:textId="29AF153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2A3BBD0B" w14:textId="77777777" w:rsidTr="00B76022">
        <w:trPr>
          <w:trHeight w:val="204"/>
        </w:trPr>
        <w:tc>
          <w:tcPr>
            <w:tcW w:w="2694" w:type="dxa"/>
            <w:tcBorders>
              <w:top w:val="nil"/>
              <w:left w:val="nil"/>
              <w:bottom w:val="nil"/>
              <w:right w:val="nil"/>
            </w:tcBorders>
            <w:shd w:val="clear" w:color="auto" w:fill="auto"/>
            <w:vAlign w:val="bottom"/>
            <w:hideMark/>
          </w:tcPr>
          <w:p w14:paraId="3A7BA448"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Regional Australia Institute</w:t>
            </w:r>
          </w:p>
        </w:tc>
        <w:tc>
          <w:tcPr>
            <w:tcW w:w="992" w:type="dxa"/>
            <w:tcBorders>
              <w:top w:val="nil"/>
              <w:left w:val="nil"/>
              <w:bottom w:val="nil"/>
              <w:right w:val="nil"/>
            </w:tcBorders>
            <w:shd w:val="clear" w:color="auto" w:fill="auto"/>
            <w:noWrap/>
            <w:vAlign w:val="bottom"/>
            <w:hideMark/>
          </w:tcPr>
          <w:p w14:paraId="345A2F74" w14:textId="4ADC4DC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2,300 </w:t>
            </w:r>
          </w:p>
        </w:tc>
        <w:tc>
          <w:tcPr>
            <w:tcW w:w="949" w:type="dxa"/>
            <w:gridSpan w:val="2"/>
            <w:tcBorders>
              <w:top w:val="nil"/>
              <w:left w:val="nil"/>
              <w:bottom w:val="nil"/>
              <w:right w:val="nil"/>
            </w:tcBorders>
            <w:shd w:val="clear" w:color="auto" w:fill="E6E6E6"/>
            <w:noWrap/>
            <w:vAlign w:val="bottom"/>
            <w:hideMark/>
          </w:tcPr>
          <w:p w14:paraId="02DB520E" w14:textId="5DEC5227"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2,700 </w:t>
            </w:r>
          </w:p>
        </w:tc>
        <w:tc>
          <w:tcPr>
            <w:tcW w:w="981" w:type="dxa"/>
            <w:tcBorders>
              <w:top w:val="nil"/>
              <w:left w:val="nil"/>
              <w:bottom w:val="nil"/>
              <w:right w:val="nil"/>
            </w:tcBorders>
            <w:shd w:val="clear" w:color="auto" w:fill="auto"/>
            <w:noWrap/>
            <w:vAlign w:val="bottom"/>
            <w:hideMark/>
          </w:tcPr>
          <w:p w14:paraId="32E79F8E" w14:textId="20B8638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7AE0D477" w14:textId="363A5FC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1E43CDD2" w14:textId="69F89CE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6CCA7275" w14:textId="77777777" w:rsidTr="00B76022">
        <w:trPr>
          <w:trHeight w:val="204"/>
        </w:trPr>
        <w:tc>
          <w:tcPr>
            <w:tcW w:w="2694" w:type="dxa"/>
            <w:tcBorders>
              <w:top w:val="nil"/>
              <w:left w:val="nil"/>
              <w:bottom w:val="nil"/>
              <w:right w:val="nil"/>
            </w:tcBorders>
            <w:shd w:val="clear" w:color="auto" w:fill="auto"/>
            <w:vAlign w:val="bottom"/>
            <w:hideMark/>
          </w:tcPr>
          <w:p w14:paraId="50D01AF9"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Regional Development Australia Committees</w:t>
            </w:r>
          </w:p>
        </w:tc>
        <w:tc>
          <w:tcPr>
            <w:tcW w:w="992" w:type="dxa"/>
            <w:tcBorders>
              <w:top w:val="nil"/>
              <w:left w:val="nil"/>
              <w:bottom w:val="nil"/>
              <w:right w:val="nil"/>
            </w:tcBorders>
            <w:shd w:val="clear" w:color="auto" w:fill="auto"/>
            <w:noWrap/>
            <w:vAlign w:val="bottom"/>
            <w:hideMark/>
          </w:tcPr>
          <w:p w14:paraId="5AA7A357" w14:textId="416F924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18,858 </w:t>
            </w:r>
          </w:p>
        </w:tc>
        <w:tc>
          <w:tcPr>
            <w:tcW w:w="949" w:type="dxa"/>
            <w:gridSpan w:val="2"/>
            <w:tcBorders>
              <w:top w:val="nil"/>
              <w:left w:val="nil"/>
              <w:bottom w:val="nil"/>
              <w:right w:val="nil"/>
            </w:tcBorders>
            <w:shd w:val="clear" w:color="auto" w:fill="E6E6E6"/>
            <w:noWrap/>
            <w:vAlign w:val="bottom"/>
            <w:hideMark/>
          </w:tcPr>
          <w:p w14:paraId="6C32151F" w14:textId="2DCD291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19,119 </w:t>
            </w:r>
          </w:p>
        </w:tc>
        <w:tc>
          <w:tcPr>
            <w:tcW w:w="981" w:type="dxa"/>
            <w:tcBorders>
              <w:top w:val="nil"/>
              <w:left w:val="nil"/>
              <w:bottom w:val="nil"/>
              <w:right w:val="nil"/>
            </w:tcBorders>
            <w:shd w:val="clear" w:color="auto" w:fill="auto"/>
            <w:noWrap/>
            <w:vAlign w:val="bottom"/>
            <w:hideMark/>
          </w:tcPr>
          <w:p w14:paraId="58614244" w14:textId="0A52F124"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19,445 </w:t>
            </w:r>
          </w:p>
        </w:tc>
        <w:tc>
          <w:tcPr>
            <w:tcW w:w="977" w:type="dxa"/>
            <w:gridSpan w:val="2"/>
            <w:tcBorders>
              <w:top w:val="nil"/>
              <w:left w:val="nil"/>
              <w:bottom w:val="nil"/>
              <w:right w:val="nil"/>
            </w:tcBorders>
            <w:shd w:val="clear" w:color="auto" w:fill="auto"/>
            <w:noWrap/>
            <w:vAlign w:val="bottom"/>
            <w:hideMark/>
          </w:tcPr>
          <w:p w14:paraId="26381C39" w14:textId="4998647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19,814 </w:t>
            </w:r>
          </w:p>
        </w:tc>
        <w:tc>
          <w:tcPr>
            <w:tcW w:w="920" w:type="dxa"/>
            <w:tcBorders>
              <w:top w:val="nil"/>
              <w:left w:val="nil"/>
              <w:bottom w:val="nil"/>
              <w:right w:val="nil"/>
            </w:tcBorders>
            <w:shd w:val="clear" w:color="auto" w:fill="auto"/>
            <w:noWrap/>
            <w:vAlign w:val="bottom"/>
            <w:hideMark/>
          </w:tcPr>
          <w:p w14:paraId="519F714D" w14:textId="1579E296"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20,270 </w:t>
            </w:r>
          </w:p>
        </w:tc>
      </w:tr>
      <w:tr w:rsidR="0073185F" w:rsidRPr="00090B3F" w14:paraId="7152DAFF" w14:textId="77777777" w:rsidTr="00B76022">
        <w:trPr>
          <w:trHeight w:val="204"/>
        </w:trPr>
        <w:tc>
          <w:tcPr>
            <w:tcW w:w="2694" w:type="dxa"/>
            <w:tcBorders>
              <w:top w:val="nil"/>
              <w:left w:val="nil"/>
              <w:bottom w:val="nil"/>
              <w:right w:val="nil"/>
            </w:tcBorders>
            <w:shd w:val="clear" w:color="auto" w:fill="auto"/>
            <w:vAlign w:val="bottom"/>
            <w:hideMark/>
          </w:tcPr>
          <w:p w14:paraId="2D95EA64"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Regional Growth Fund</w:t>
            </w:r>
          </w:p>
        </w:tc>
        <w:tc>
          <w:tcPr>
            <w:tcW w:w="992" w:type="dxa"/>
            <w:tcBorders>
              <w:top w:val="nil"/>
              <w:left w:val="nil"/>
              <w:bottom w:val="nil"/>
              <w:right w:val="nil"/>
            </w:tcBorders>
            <w:shd w:val="clear" w:color="auto" w:fill="auto"/>
            <w:noWrap/>
            <w:vAlign w:val="bottom"/>
            <w:hideMark/>
          </w:tcPr>
          <w:p w14:paraId="6B4DC9C7" w14:textId="2536D226"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34,116 </w:t>
            </w:r>
          </w:p>
        </w:tc>
        <w:tc>
          <w:tcPr>
            <w:tcW w:w="949" w:type="dxa"/>
            <w:gridSpan w:val="2"/>
            <w:tcBorders>
              <w:top w:val="nil"/>
              <w:left w:val="nil"/>
              <w:bottom w:val="nil"/>
              <w:right w:val="nil"/>
            </w:tcBorders>
            <w:shd w:val="clear" w:color="auto" w:fill="E6E6E6"/>
            <w:noWrap/>
            <w:vAlign w:val="bottom"/>
            <w:hideMark/>
          </w:tcPr>
          <w:p w14:paraId="2242D420" w14:textId="0D689158"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71,776 </w:t>
            </w:r>
          </w:p>
        </w:tc>
        <w:tc>
          <w:tcPr>
            <w:tcW w:w="981" w:type="dxa"/>
            <w:tcBorders>
              <w:top w:val="nil"/>
              <w:left w:val="nil"/>
              <w:bottom w:val="nil"/>
              <w:right w:val="nil"/>
            </w:tcBorders>
            <w:shd w:val="clear" w:color="auto" w:fill="auto"/>
            <w:noWrap/>
            <w:vAlign w:val="bottom"/>
            <w:hideMark/>
          </w:tcPr>
          <w:p w14:paraId="78D09AC6" w14:textId="3738563D"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124,003 </w:t>
            </w:r>
          </w:p>
        </w:tc>
        <w:tc>
          <w:tcPr>
            <w:tcW w:w="977" w:type="dxa"/>
            <w:gridSpan w:val="2"/>
            <w:tcBorders>
              <w:top w:val="nil"/>
              <w:left w:val="nil"/>
              <w:bottom w:val="nil"/>
              <w:right w:val="nil"/>
            </w:tcBorders>
            <w:shd w:val="clear" w:color="auto" w:fill="auto"/>
            <w:noWrap/>
            <w:vAlign w:val="bottom"/>
            <w:hideMark/>
          </w:tcPr>
          <w:p w14:paraId="75CEA53F" w14:textId="50C2B154"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13A663E4" w14:textId="7053C8C7"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34029AC6" w14:textId="77777777" w:rsidTr="00B76022">
        <w:trPr>
          <w:trHeight w:val="204"/>
        </w:trPr>
        <w:tc>
          <w:tcPr>
            <w:tcW w:w="2694" w:type="dxa"/>
            <w:tcBorders>
              <w:top w:val="nil"/>
              <w:left w:val="nil"/>
              <w:bottom w:val="nil"/>
              <w:right w:val="nil"/>
            </w:tcBorders>
            <w:shd w:val="clear" w:color="auto" w:fill="auto"/>
            <w:vAlign w:val="bottom"/>
            <w:hideMark/>
          </w:tcPr>
          <w:p w14:paraId="12A8592F"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Regional Jobs and Investment Packages</w:t>
            </w:r>
          </w:p>
        </w:tc>
        <w:tc>
          <w:tcPr>
            <w:tcW w:w="992" w:type="dxa"/>
            <w:tcBorders>
              <w:top w:val="nil"/>
              <w:left w:val="nil"/>
              <w:bottom w:val="nil"/>
              <w:right w:val="nil"/>
            </w:tcBorders>
            <w:shd w:val="clear" w:color="auto" w:fill="auto"/>
            <w:noWrap/>
            <w:vAlign w:val="bottom"/>
            <w:hideMark/>
          </w:tcPr>
          <w:p w14:paraId="5F720CF4" w14:textId="16E8C74E"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34,015 </w:t>
            </w:r>
          </w:p>
        </w:tc>
        <w:tc>
          <w:tcPr>
            <w:tcW w:w="949" w:type="dxa"/>
            <w:gridSpan w:val="2"/>
            <w:tcBorders>
              <w:top w:val="nil"/>
              <w:left w:val="nil"/>
              <w:bottom w:val="nil"/>
              <w:right w:val="nil"/>
            </w:tcBorders>
            <w:shd w:val="clear" w:color="auto" w:fill="E6E6E6"/>
            <w:noWrap/>
            <w:vAlign w:val="bottom"/>
            <w:hideMark/>
          </w:tcPr>
          <w:p w14:paraId="3567E547" w14:textId="6215D6FC"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20,217 </w:t>
            </w:r>
          </w:p>
        </w:tc>
        <w:tc>
          <w:tcPr>
            <w:tcW w:w="981" w:type="dxa"/>
            <w:tcBorders>
              <w:top w:val="nil"/>
              <w:left w:val="nil"/>
              <w:bottom w:val="nil"/>
              <w:right w:val="nil"/>
            </w:tcBorders>
            <w:shd w:val="clear" w:color="auto" w:fill="auto"/>
            <w:noWrap/>
            <w:vAlign w:val="bottom"/>
            <w:hideMark/>
          </w:tcPr>
          <w:p w14:paraId="6DD39933" w14:textId="4C8AEFA7"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69A93382" w14:textId="14BF477C"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1B29F758" w14:textId="18AA609C"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0D5891BB" w14:textId="77777777" w:rsidTr="00B76022">
        <w:trPr>
          <w:trHeight w:val="204"/>
        </w:trPr>
        <w:tc>
          <w:tcPr>
            <w:tcW w:w="2694" w:type="dxa"/>
            <w:tcBorders>
              <w:top w:val="nil"/>
              <w:left w:val="nil"/>
              <w:bottom w:val="nil"/>
              <w:right w:val="nil"/>
            </w:tcBorders>
            <w:shd w:val="clear" w:color="auto" w:fill="auto"/>
            <w:vAlign w:val="bottom"/>
            <w:hideMark/>
          </w:tcPr>
          <w:p w14:paraId="62F8736C" w14:textId="236FF9C0"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Regional Recovery Partnerships</w:t>
            </w:r>
            <w:r>
              <w:rPr>
                <w:rFonts w:ascii="Arial" w:hAnsi="Arial" w:cs="Arial"/>
                <w:sz w:val="16"/>
                <w:szCs w:val="16"/>
              </w:rPr>
              <w:t> </w:t>
            </w:r>
            <w:r w:rsidRPr="007F2F9D">
              <w:rPr>
                <w:rFonts w:ascii="Arial" w:hAnsi="Arial" w:cs="Arial"/>
                <w:sz w:val="16"/>
                <w:szCs w:val="16"/>
                <w:vertAlign w:val="superscript"/>
              </w:rPr>
              <w:t>(a)</w:t>
            </w:r>
          </w:p>
        </w:tc>
        <w:tc>
          <w:tcPr>
            <w:tcW w:w="992" w:type="dxa"/>
            <w:tcBorders>
              <w:top w:val="nil"/>
              <w:left w:val="nil"/>
              <w:bottom w:val="nil"/>
              <w:right w:val="nil"/>
            </w:tcBorders>
            <w:shd w:val="clear" w:color="auto" w:fill="auto"/>
            <w:noWrap/>
            <w:vAlign w:val="bottom"/>
            <w:hideMark/>
          </w:tcPr>
          <w:p w14:paraId="7070D9BD" w14:textId="17C2B361"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49" w:type="dxa"/>
            <w:gridSpan w:val="2"/>
            <w:tcBorders>
              <w:top w:val="nil"/>
              <w:left w:val="nil"/>
              <w:bottom w:val="nil"/>
              <w:right w:val="nil"/>
            </w:tcBorders>
            <w:shd w:val="clear" w:color="auto" w:fill="E6E6E6"/>
            <w:noWrap/>
            <w:vAlign w:val="bottom"/>
            <w:hideMark/>
          </w:tcPr>
          <w:p w14:paraId="345E09E4" w14:textId="713CDDA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81" w:type="dxa"/>
            <w:tcBorders>
              <w:top w:val="nil"/>
              <w:left w:val="nil"/>
              <w:bottom w:val="nil"/>
              <w:right w:val="nil"/>
            </w:tcBorders>
            <w:shd w:val="clear" w:color="auto" w:fill="auto"/>
            <w:noWrap/>
            <w:vAlign w:val="bottom"/>
            <w:hideMark/>
          </w:tcPr>
          <w:p w14:paraId="16AE4EC4" w14:textId="0645D8DF"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38106E00" w14:textId="77E8337C"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6958C3B3" w14:textId="457976DD"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7E387763" w14:textId="77777777" w:rsidTr="00B76022">
        <w:trPr>
          <w:trHeight w:val="204"/>
        </w:trPr>
        <w:tc>
          <w:tcPr>
            <w:tcW w:w="2694" w:type="dxa"/>
            <w:tcBorders>
              <w:top w:val="nil"/>
              <w:left w:val="nil"/>
              <w:bottom w:val="nil"/>
              <w:right w:val="nil"/>
            </w:tcBorders>
            <w:shd w:val="clear" w:color="auto" w:fill="auto"/>
            <w:vAlign w:val="bottom"/>
            <w:hideMark/>
          </w:tcPr>
          <w:p w14:paraId="19DB7566"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Regionalisation and Decentralisation Policy - Research and Development Program</w:t>
            </w:r>
          </w:p>
        </w:tc>
        <w:tc>
          <w:tcPr>
            <w:tcW w:w="992" w:type="dxa"/>
            <w:tcBorders>
              <w:top w:val="nil"/>
              <w:left w:val="nil"/>
              <w:bottom w:val="nil"/>
              <w:right w:val="nil"/>
            </w:tcBorders>
            <w:shd w:val="clear" w:color="auto" w:fill="auto"/>
            <w:noWrap/>
            <w:vAlign w:val="bottom"/>
            <w:hideMark/>
          </w:tcPr>
          <w:p w14:paraId="133381F4" w14:textId="0DC315D0"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49" w:type="dxa"/>
            <w:gridSpan w:val="2"/>
            <w:tcBorders>
              <w:top w:val="nil"/>
              <w:left w:val="nil"/>
              <w:bottom w:val="nil"/>
              <w:right w:val="nil"/>
            </w:tcBorders>
            <w:shd w:val="clear" w:color="auto" w:fill="E6E6E6"/>
            <w:noWrap/>
            <w:vAlign w:val="bottom"/>
            <w:hideMark/>
          </w:tcPr>
          <w:p w14:paraId="3A0D3473" w14:textId="7CD330A8"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12,264 </w:t>
            </w:r>
          </w:p>
        </w:tc>
        <w:tc>
          <w:tcPr>
            <w:tcW w:w="981" w:type="dxa"/>
            <w:tcBorders>
              <w:top w:val="nil"/>
              <w:left w:val="nil"/>
              <w:bottom w:val="nil"/>
              <w:right w:val="nil"/>
            </w:tcBorders>
            <w:shd w:val="clear" w:color="auto" w:fill="auto"/>
            <w:noWrap/>
            <w:vAlign w:val="bottom"/>
            <w:hideMark/>
          </w:tcPr>
          <w:p w14:paraId="27A1EC35" w14:textId="5BBB1CF5"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7,982 </w:t>
            </w:r>
          </w:p>
        </w:tc>
        <w:tc>
          <w:tcPr>
            <w:tcW w:w="977" w:type="dxa"/>
            <w:gridSpan w:val="2"/>
            <w:tcBorders>
              <w:top w:val="nil"/>
              <w:left w:val="nil"/>
              <w:bottom w:val="nil"/>
              <w:right w:val="nil"/>
            </w:tcBorders>
            <w:shd w:val="clear" w:color="auto" w:fill="auto"/>
            <w:noWrap/>
            <w:vAlign w:val="bottom"/>
            <w:hideMark/>
          </w:tcPr>
          <w:p w14:paraId="09EF6B39" w14:textId="6839F893"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10,434 </w:t>
            </w:r>
          </w:p>
        </w:tc>
        <w:tc>
          <w:tcPr>
            <w:tcW w:w="920" w:type="dxa"/>
            <w:tcBorders>
              <w:top w:val="nil"/>
              <w:left w:val="nil"/>
              <w:bottom w:val="nil"/>
              <w:right w:val="nil"/>
            </w:tcBorders>
            <w:shd w:val="clear" w:color="auto" w:fill="auto"/>
            <w:noWrap/>
            <w:vAlign w:val="bottom"/>
            <w:hideMark/>
          </w:tcPr>
          <w:p w14:paraId="40F12580" w14:textId="5055D394"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10,150 </w:t>
            </w:r>
          </w:p>
        </w:tc>
      </w:tr>
      <w:tr w:rsidR="0073185F" w:rsidRPr="00090B3F" w14:paraId="1CEC6A8B" w14:textId="77777777" w:rsidTr="00B76022">
        <w:trPr>
          <w:trHeight w:val="204"/>
        </w:trPr>
        <w:tc>
          <w:tcPr>
            <w:tcW w:w="2694" w:type="dxa"/>
            <w:tcBorders>
              <w:top w:val="nil"/>
              <w:left w:val="nil"/>
              <w:bottom w:val="nil"/>
              <w:right w:val="nil"/>
            </w:tcBorders>
            <w:shd w:val="clear" w:color="auto" w:fill="auto"/>
            <w:vAlign w:val="bottom"/>
            <w:hideMark/>
          </w:tcPr>
          <w:p w14:paraId="574913A4"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Resilient Regional Leaders Program</w:t>
            </w:r>
          </w:p>
        </w:tc>
        <w:tc>
          <w:tcPr>
            <w:tcW w:w="992" w:type="dxa"/>
            <w:tcBorders>
              <w:top w:val="nil"/>
              <w:left w:val="nil"/>
              <w:bottom w:val="nil"/>
              <w:right w:val="nil"/>
            </w:tcBorders>
            <w:shd w:val="clear" w:color="auto" w:fill="auto"/>
            <w:noWrap/>
            <w:vAlign w:val="bottom"/>
            <w:hideMark/>
          </w:tcPr>
          <w:p w14:paraId="29834C07" w14:textId="094D4840"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49" w:type="dxa"/>
            <w:gridSpan w:val="2"/>
            <w:tcBorders>
              <w:top w:val="nil"/>
              <w:left w:val="nil"/>
              <w:bottom w:val="nil"/>
              <w:right w:val="nil"/>
            </w:tcBorders>
            <w:shd w:val="clear" w:color="auto" w:fill="E6E6E6"/>
            <w:noWrap/>
            <w:vAlign w:val="bottom"/>
            <w:hideMark/>
          </w:tcPr>
          <w:p w14:paraId="2D086D07" w14:textId="52D714F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3,000 </w:t>
            </w:r>
          </w:p>
        </w:tc>
        <w:tc>
          <w:tcPr>
            <w:tcW w:w="981" w:type="dxa"/>
            <w:tcBorders>
              <w:top w:val="nil"/>
              <w:left w:val="nil"/>
              <w:bottom w:val="nil"/>
              <w:right w:val="nil"/>
            </w:tcBorders>
            <w:shd w:val="clear" w:color="auto" w:fill="auto"/>
            <w:noWrap/>
            <w:vAlign w:val="bottom"/>
            <w:hideMark/>
          </w:tcPr>
          <w:p w14:paraId="374B8022" w14:textId="370C50C1"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2,000 </w:t>
            </w:r>
          </w:p>
        </w:tc>
        <w:tc>
          <w:tcPr>
            <w:tcW w:w="977" w:type="dxa"/>
            <w:gridSpan w:val="2"/>
            <w:tcBorders>
              <w:top w:val="nil"/>
              <w:left w:val="nil"/>
              <w:bottom w:val="nil"/>
              <w:right w:val="nil"/>
            </w:tcBorders>
            <w:shd w:val="clear" w:color="auto" w:fill="auto"/>
            <w:noWrap/>
            <w:vAlign w:val="bottom"/>
            <w:hideMark/>
          </w:tcPr>
          <w:p w14:paraId="667F62FA" w14:textId="2B261106"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40050DBA" w14:textId="2064D3E0"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4942E960" w14:textId="77777777" w:rsidTr="00B76022">
        <w:trPr>
          <w:trHeight w:val="204"/>
        </w:trPr>
        <w:tc>
          <w:tcPr>
            <w:tcW w:w="2694" w:type="dxa"/>
            <w:tcBorders>
              <w:top w:val="nil"/>
              <w:left w:val="nil"/>
              <w:bottom w:val="nil"/>
              <w:right w:val="nil"/>
            </w:tcBorders>
            <w:shd w:val="clear" w:color="auto" w:fill="auto"/>
            <w:vAlign w:val="bottom"/>
            <w:hideMark/>
          </w:tcPr>
          <w:p w14:paraId="34C02566" w14:textId="77777777" w:rsidR="0073185F" w:rsidRPr="00090B3F" w:rsidRDefault="0073185F" w:rsidP="0073185F">
            <w:pPr>
              <w:spacing w:after="0" w:line="240" w:lineRule="auto"/>
              <w:ind w:left="113"/>
              <w:jc w:val="left"/>
              <w:rPr>
                <w:rFonts w:ascii="Arial" w:hAnsi="Arial" w:cs="Arial"/>
                <w:sz w:val="16"/>
                <w:szCs w:val="16"/>
              </w:rPr>
            </w:pPr>
            <w:r w:rsidRPr="00090B3F">
              <w:rPr>
                <w:rFonts w:ascii="Arial" w:hAnsi="Arial" w:cs="Arial"/>
                <w:sz w:val="16"/>
                <w:szCs w:val="16"/>
              </w:rPr>
              <w:t>Stronger Communities Programme</w:t>
            </w:r>
          </w:p>
        </w:tc>
        <w:tc>
          <w:tcPr>
            <w:tcW w:w="992" w:type="dxa"/>
            <w:tcBorders>
              <w:top w:val="nil"/>
              <w:left w:val="nil"/>
              <w:bottom w:val="nil"/>
              <w:right w:val="nil"/>
            </w:tcBorders>
            <w:shd w:val="clear" w:color="auto" w:fill="auto"/>
            <w:noWrap/>
            <w:vAlign w:val="bottom"/>
            <w:hideMark/>
          </w:tcPr>
          <w:p w14:paraId="4A6777CC" w14:textId="2721438E"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21,624 </w:t>
            </w:r>
          </w:p>
        </w:tc>
        <w:tc>
          <w:tcPr>
            <w:tcW w:w="949" w:type="dxa"/>
            <w:gridSpan w:val="2"/>
            <w:tcBorders>
              <w:top w:val="nil"/>
              <w:left w:val="nil"/>
              <w:bottom w:val="nil"/>
              <w:right w:val="nil"/>
            </w:tcBorders>
            <w:shd w:val="clear" w:color="auto" w:fill="E6E6E6"/>
            <w:noWrap/>
            <w:vAlign w:val="bottom"/>
            <w:hideMark/>
          </w:tcPr>
          <w:p w14:paraId="7E6B9A5B" w14:textId="4ACD0CFA"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22,650 </w:t>
            </w:r>
          </w:p>
        </w:tc>
        <w:tc>
          <w:tcPr>
            <w:tcW w:w="981" w:type="dxa"/>
            <w:tcBorders>
              <w:top w:val="nil"/>
              <w:left w:val="nil"/>
              <w:bottom w:val="nil"/>
              <w:right w:val="nil"/>
            </w:tcBorders>
            <w:shd w:val="clear" w:color="auto" w:fill="auto"/>
            <w:noWrap/>
            <w:vAlign w:val="bottom"/>
            <w:hideMark/>
          </w:tcPr>
          <w:p w14:paraId="010D9FAE" w14:textId="074F883D"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02B38B30" w14:textId="1EEEC9D6"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0" w:type="dxa"/>
            <w:tcBorders>
              <w:top w:val="nil"/>
              <w:left w:val="nil"/>
              <w:bottom w:val="nil"/>
              <w:right w:val="nil"/>
            </w:tcBorders>
            <w:shd w:val="clear" w:color="auto" w:fill="auto"/>
            <w:noWrap/>
            <w:vAlign w:val="bottom"/>
            <w:hideMark/>
          </w:tcPr>
          <w:p w14:paraId="3CEF7406" w14:textId="2A831780" w:rsidR="0073185F" w:rsidRPr="00090B3F"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090B3F" w14:paraId="2AD60959" w14:textId="77777777" w:rsidTr="00B76022">
        <w:trPr>
          <w:trHeight w:val="204"/>
        </w:trPr>
        <w:tc>
          <w:tcPr>
            <w:tcW w:w="2694" w:type="dxa"/>
            <w:tcBorders>
              <w:top w:val="nil"/>
              <w:left w:val="nil"/>
              <w:bottom w:val="single" w:sz="4" w:space="0" w:color="auto"/>
              <w:right w:val="nil"/>
            </w:tcBorders>
            <w:shd w:val="clear" w:color="auto" w:fill="auto"/>
            <w:noWrap/>
            <w:vAlign w:val="bottom"/>
            <w:hideMark/>
          </w:tcPr>
          <w:p w14:paraId="26FFD547" w14:textId="3BC43B60" w:rsidR="0073185F" w:rsidRPr="00090B3F" w:rsidRDefault="0073185F" w:rsidP="0073185F">
            <w:pPr>
              <w:spacing w:after="0" w:line="240" w:lineRule="auto"/>
              <w:jc w:val="left"/>
              <w:rPr>
                <w:rFonts w:ascii="Arial" w:hAnsi="Arial" w:cs="Arial"/>
                <w:b/>
                <w:bCs/>
                <w:sz w:val="16"/>
                <w:szCs w:val="16"/>
              </w:rPr>
            </w:pPr>
            <w:r w:rsidRPr="00090B3F">
              <w:rPr>
                <w:rFonts w:ascii="Arial" w:hAnsi="Arial" w:cs="Arial"/>
                <w:b/>
                <w:bCs/>
                <w:sz w:val="16"/>
                <w:szCs w:val="16"/>
              </w:rPr>
              <w:t>Total expenses for Program</w:t>
            </w:r>
            <w:r>
              <w:rPr>
                <w:rFonts w:ascii="Arial" w:hAnsi="Arial" w:cs="Arial"/>
                <w:b/>
                <w:bCs/>
                <w:sz w:val="16"/>
                <w:szCs w:val="16"/>
              </w:rPr>
              <w:t xml:space="preserve"> </w:t>
            </w:r>
            <w:r w:rsidRPr="00090B3F">
              <w:rPr>
                <w:rFonts w:ascii="Arial" w:hAnsi="Arial" w:cs="Arial"/>
                <w:b/>
                <w:bCs/>
                <w:sz w:val="16"/>
                <w:szCs w:val="16"/>
              </w:rPr>
              <w:t>3.1</w:t>
            </w:r>
          </w:p>
        </w:tc>
        <w:tc>
          <w:tcPr>
            <w:tcW w:w="992" w:type="dxa"/>
            <w:tcBorders>
              <w:top w:val="single" w:sz="4" w:space="0" w:color="auto"/>
              <w:left w:val="nil"/>
              <w:bottom w:val="single" w:sz="4" w:space="0" w:color="auto"/>
              <w:right w:val="nil"/>
            </w:tcBorders>
            <w:shd w:val="clear" w:color="auto" w:fill="auto"/>
            <w:noWrap/>
            <w:vAlign w:val="bottom"/>
            <w:hideMark/>
          </w:tcPr>
          <w:p w14:paraId="3FA5D09F" w14:textId="064B2F82" w:rsidR="0073185F" w:rsidRPr="00090B3F"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612,360 </w:t>
            </w:r>
          </w:p>
        </w:tc>
        <w:tc>
          <w:tcPr>
            <w:tcW w:w="949" w:type="dxa"/>
            <w:gridSpan w:val="2"/>
            <w:tcBorders>
              <w:top w:val="single" w:sz="4" w:space="0" w:color="auto"/>
              <w:left w:val="nil"/>
              <w:bottom w:val="single" w:sz="4" w:space="0" w:color="auto"/>
              <w:right w:val="nil"/>
            </w:tcBorders>
            <w:shd w:val="clear" w:color="auto" w:fill="E6E6E6"/>
            <w:noWrap/>
            <w:vAlign w:val="bottom"/>
            <w:hideMark/>
          </w:tcPr>
          <w:p w14:paraId="574136B5" w14:textId="41EE6D78" w:rsidR="0073185F" w:rsidRPr="00090B3F"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741,618 </w:t>
            </w:r>
          </w:p>
        </w:tc>
        <w:tc>
          <w:tcPr>
            <w:tcW w:w="981" w:type="dxa"/>
            <w:tcBorders>
              <w:top w:val="single" w:sz="4" w:space="0" w:color="auto"/>
              <w:left w:val="nil"/>
              <w:bottom w:val="single" w:sz="4" w:space="0" w:color="auto"/>
              <w:right w:val="nil"/>
            </w:tcBorders>
            <w:shd w:val="clear" w:color="auto" w:fill="auto"/>
            <w:noWrap/>
            <w:vAlign w:val="bottom"/>
            <w:hideMark/>
          </w:tcPr>
          <w:p w14:paraId="7BDC9A83" w14:textId="25244AEA" w:rsidR="0073185F" w:rsidRPr="00090B3F"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749,490 </w:t>
            </w:r>
          </w:p>
        </w:tc>
        <w:tc>
          <w:tcPr>
            <w:tcW w:w="977" w:type="dxa"/>
            <w:gridSpan w:val="2"/>
            <w:tcBorders>
              <w:top w:val="single" w:sz="4" w:space="0" w:color="auto"/>
              <w:left w:val="nil"/>
              <w:bottom w:val="single" w:sz="4" w:space="0" w:color="auto"/>
              <w:right w:val="nil"/>
            </w:tcBorders>
            <w:shd w:val="clear" w:color="auto" w:fill="auto"/>
            <w:noWrap/>
            <w:vAlign w:val="bottom"/>
            <w:hideMark/>
          </w:tcPr>
          <w:p w14:paraId="59208ED8" w14:textId="3D472DFF" w:rsidR="0073185F" w:rsidRPr="00090B3F"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552,394 </w:t>
            </w:r>
          </w:p>
        </w:tc>
        <w:tc>
          <w:tcPr>
            <w:tcW w:w="920" w:type="dxa"/>
            <w:tcBorders>
              <w:top w:val="single" w:sz="4" w:space="0" w:color="auto"/>
              <w:left w:val="nil"/>
              <w:bottom w:val="single" w:sz="4" w:space="0" w:color="auto"/>
              <w:right w:val="nil"/>
            </w:tcBorders>
            <w:shd w:val="clear" w:color="auto" w:fill="auto"/>
            <w:noWrap/>
            <w:vAlign w:val="bottom"/>
            <w:hideMark/>
          </w:tcPr>
          <w:p w14:paraId="5114ED07" w14:textId="49BD664F" w:rsidR="0073185F" w:rsidRPr="00090B3F"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359,020 </w:t>
            </w:r>
          </w:p>
        </w:tc>
      </w:tr>
      <w:tr w:rsidR="00F3679E" w:rsidRPr="00B14202" w14:paraId="31DBCBEB" w14:textId="77777777" w:rsidTr="00B76022">
        <w:trPr>
          <w:trHeight w:val="204"/>
        </w:trPr>
        <w:tc>
          <w:tcPr>
            <w:tcW w:w="7513" w:type="dxa"/>
            <w:gridSpan w:val="8"/>
            <w:tcBorders>
              <w:top w:val="single" w:sz="4" w:space="0" w:color="auto"/>
              <w:left w:val="nil"/>
              <w:bottom w:val="single" w:sz="4" w:space="0" w:color="auto"/>
              <w:right w:val="nil"/>
            </w:tcBorders>
            <w:shd w:val="clear" w:color="000000" w:fill="E6E6E6"/>
            <w:noWrap/>
            <w:vAlign w:val="bottom"/>
            <w:hideMark/>
          </w:tcPr>
          <w:p w14:paraId="17A1B650" w14:textId="4ED72179" w:rsidR="00F3679E" w:rsidRPr="00F3679E" w:rsidRDefault="00F3679E" w:rsidP="00F3679E">
            <w:pPr>
              <w:spacing w:after="40" w:line="240" w:lineRule="auto"/>
              <w:jc w:val="left"/>
              <w:rPr>
                <w:rFonts w:ascii="Arial" w:hAnsi="Arial" w:cs="Arial"/>
                <w:b/>
                <w:bCs/>
                <w:sz w:val="16"/>
                <w:szCs w:val="16"/>
              </w:rPr>
            </w:pPr>
            <w:r w:rsidRPr="00B14202">
              <w:rPr>
                <w:rFonts w:ascii="Arial" w:hAnsi="Arial" w:cs="Arial"/>
                <w:b/>
                <w:bCs/>
                <w:sz w:val="16"/>
                <w:szCs w:val="16"/>
              </w:rPr>
              <w:t>Components for Program 3.2: Local government</w:t>
            </w:r>
          </w:p>
        </w:tc>
      </w:tr>
      <w:tr w:rsidR="00B14202" w:rsidRPr="00B14202" w14:paraId="64DC60B1" w14:textId="77777777" w:rsidTr="00B76022">
        <w:trPr>
          <w:trHeight w:val="204"/>
        </w:trPr>
        <w:tc>
          <w:tcPr>
            <w:tcW w:w="2694" w:type="dxa"/>
            <w:tcBorders>
              <w:top w:val="nil"/>
              <w:left w:val="nil"/>
              <w:bottom w:val="nil"/>
              <w:right w:val="nil"/>
            </w:tcBorders>
            <w:shd w:val="clear" w:color="auto" w:fill="auto"/>
            <w:noWrap/>
            <w:vAlign w:val="bottom"/>
            <w:hideMark/>
          </w:tcPr>
          <w:p w14:paraId="582ABA54" w14:textId="77777777" w:rsidR="00B14202" w:rsidRPr="00C32529" w:rsidRDefault="00B14202" w:rsidP="00B14202">
            <w:pPr>
              <w:spacing w:after="0" w:line="240" w:lineRule="auto"/>
              <w:jc w:val="left"/>
              <w:rPr>
                <w:rFonts w:ascii="Arial" w:hAnsi="Arial" w:cs="Arial"/>
                <w:sz w:val="16"/>
                <w:szCs w:val="16"/>
              </w:rPr>
            </w:pPr>
            <w:r w:rsidRPr="00C32529">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7A3B1F0D" w14:textId="77777777" w:rsidR="00B14202" w:rsidRPr="00C32529" w:rsidRDefault="00B14202" w:rsidP="005B0A7C">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E6E6E6"/>
            <w:noWrap/>
            <w:vAlign w:val="bottom"/>
            <w:hideMark/>
          </w:tcPr>
          <w:p w14:paraId="49231D33" w14:textId="7B6EEEA0" w:rsidR="00B14202" w:rsidRPr="00C32529" w:rsidRDefault="00B14202" w:rsidP="005B0A7C">
            <w:pPr>
              <w:spacing w:after="0" w:line="240" w:lineRule="auto"/>
              <w:jc w:val="right"/>
              <w:rPr>
                <w:rFonts w:ascii="Arial" w:hAnsi="Arial" w:cs="Arial"/>
                <w:sz w:val="16"/>
                <w:szCs w:val="16"/>
              </w:rPr>
            </w:pPr>
          </w:p>
        </w:tc>
        <w:tc>
          <w:tcPr>
            <w:tcW w:w="1002" w:type="dxa"/>
            <w:gridSpan w:val="2"/>
            <w:tcBorders>
              <w:top w:val="nil"/>
              <w:left w:val="nil"/>
              <w:bottom w:val="nil"/>
              <w:right w:val="nil"/>
            </w:tcBorders>
            <w:shd w:val="clear" w:color="auto" w:fill="auto"/>
            <w:noWrap/>
            <w:vAlign w:val="bottom"/>
            <w:hideMark/>
          </w:tcPr>
          <w:p w14:paraId="63240185" w14:textId="77777777" w:rsidR="00B14202" w:rsidRPr="00C32529" w:rsidRDefault="00B14202" w:rsidP="005B0A7C">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75B3CE8" w14:textId="77777777" w:rsidR="00B14202" w:rsidRPr="00C32529" w:rsidRDefault="00B14202" w:rsidP="005B0A7C">
            <w:pPr>
              <w:spacing w:after="0" w:line="240" w:lineRule="auto"/>
              <w:jc w:val="right"/>
              <w:rPr>
                <w:rFonts w:ascii="Times New Roman" w:hAnsi="Times New Roman"/>
                <w:sz w:val="16"/>
                <w:szCs w:val="16"/>
              </w:rPr>
            </w:pPr>
          </w:p>
        </w:tc>
        <w:tc>
          <w:tcPr>
            <w:tcW w:w="969" w:type="dxa"/>
            <w:gridSpan w:val="2"/>
            <w:tcBorders>
              <w:top w:val="nil"/>
              <w:left w:val="nil"/>
              <w:bottom w:val="nil"/>
              <w:right w:val="nil"/>
            </w:tcBorders>
            <w:shd w:val="clear" w:color="auto" w:fill="auto"/>
            <w:noWrap/>
            <w:vAlign w:val="bottom"/>
            <w:hideMark/>
          </w:tcPr>
          <w:p w14:paraId="023C7836" w14:textId="77777777" w:rsidR="00B14202" w:rsidRPr="00C32529" w:rsidRDefault="00B14202" w:rsidP="005B0A7C">
            <w:pPr>
              <w:spacing w:after="0" w:line="240" w:lineRule="auto"/>
              <w:jc w:val="right"/>
              <w:rPr>
                <w:rFonts w:ascii="Times New Roman" w:hAnsi="Times New Roman"/>
                <w:sz w:val="16"/>
                <w:szCs w:val="16"/>
              </w:rPr>
            </w:pPr>
          </w:p>
        </w:tc>
      </w:tr>
      <w:tr w:rsidR="0073185F" w:rsidRPr="00B14202" w14:paraId="7745551C" w14:textId="77777777" w:rsidTr="00B76022">
        <w:trPr>
          <w:trHeight w:val="204"/>
        </w:trPr>
        <w:tc>
          <w:tcPr>
            <w:tcW w:w="2694" w:type="dxa"/>
            <w:tcBorders>
              <w:top w:val="nil"/>
              <w:left w:val="nil"/>
              <w:bottom w:val="nil"/>
              <w:right w:val="nil"/>
            </w:tcBorders>
            <w:shd w:val="clear" w:color="auto" w:fill="auto"/>
            <w:vAlign w:val="bottom"/>
            <w:hideMark/>
          </w:tcPr>
          <w:p w14:paraId="75766587" w14:textId="77777777" w:rsidR="0073185F" w:rsidRPr="00C32529" w:rsidRDefault="0073185F" w:rsidP="0073185F">
            <w:pPr>
              <w:spacing w:after="0" w:line="240" w:lineRule="auto"/>
              <w:ind w:left="113"/>
              <w:jc w:val="left"/>
              <w:rPr>
                <w:rFonts w:ascii="Arial" w:hAnsi="Arial" w:cs="Arial"/>
                <w:sz w:val="16"/>
                <w:szCs w:val="16"/>
              </w:rPr>
            </w:pPr>
            <w:r w:rsidRPr="00C32529">
              <w:rPr>
                <w:rFonts w:ascii="Arial" w:hAnsi="Arial" w:cs="Arial"/>
                <w:sz w:val="16"/>
                <w:szCs w:val="16"/>
              </w:rPr>
              <w:t>Local Roads and Community Infrastructure</w:t>
            </w:r>
          </w:p>
        </w:tc>
        <w:tc>
          <w:tcPr>
            <w:tcW w:w="992" w:type="dxa"/>
            <w:tcBorders>
              <w:top w:val="nil"/>
              <w:left w:val="nil"/>
              <w:bottom w:val="nil"/>
              <w:right w:val="nil"/>
            </w:tcBorders>
            <w:shd w:val="clear" w:color="auto" w:fill="auto"/>
            <w:noWrap/>
            <w:vAlign w:val="bottom"/>
            <w:hideMark/>
          </w:tcPr>
          <w:p w14:paraId="5A21ED38" w14:textId="1D126FBE"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835,203 </w:t>
            </w:r>
          </w:p>
        </w:tc>
        <w:tc>
          <w:tcPr>
            <w:tcW w:w="928" w:type="dxa"/>
            <w:tcBorders>
              <w:top w:val="nil"/>
              <w:left w:val="nil"/>
              <w:bottom w:val="nil"/>
              <w:right w:val="nil"/>
            </w:tcBorders>
            <w:shd w:val="clear" w:color="auto" w:fill="E6E6E6"/>
            <w:noWrap/>
            <w:vAlign w:val="bottom"/>
            <w:hideMark/>
          </w:tcPr>
          <w:p w14:paraId="62965CE0" w14:textId="58FA414A"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914,797 </w:t>
            </w:r>
          </w:p>
        </w:tc>
        <w:tc>
          <w:tcPr>
            <w:tcW w:w="1002" w:type="dxa"/>
            <w:gridSpan w:val="2"/>
            <w:tcBorders>
              <w:top w:val="nil"/>
              <w:left w:val="nil"/>
              <w:bottom w:val="nil"/>
              <w:right w:val="nil"/>
            </w:tcBorders>
            <w:shd w:val="clear" w:color="auto" w:fill="auto"/>
            <w:noWrap/>
            <w:vAlign w:val="bottom"/>
            <w:hideMark/>
          </w:tcPr>
          <w:p w14:paraId="3D75EDEB" w14:textId="1D0ECE3A"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650,000 </w:t>
            </w:r>
          </w:p>
        </w:tc>
        <w:tc>
          <w:tcPr>
            <w:tcW w:w="928" w:type="dxa"/>
            <w:tcBorders>
              <w:top w:val="nil"/>
              <w:left w:val="nil"/>
              <w:bottom w:val="nil"/>
              <w:right w:val="nil"/>
            </w:tcBorders>
            <w:shd w:val="clear" w:color="auto" w:fill="auto"/>
            <w:noWrap/>
            <w:vAlign w:val="bottom"/>
            <w:hideMark/>
          </w:tcPr>
          <w:p w14:paraId="70352377" w14:textId="12CD77FF"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100,000 </w:t>
            </w:r>
          </w:p>
        </w:tc>
        <w:tc>
          <w:tcPr>
            <w:tcW w:w="969" w:type="dxa"/>
            <w:gridSpan w:val="2"/>
            <w:tcBorders>
              <w:top w:val="nil"/>
              <w:left w:val="nil"/>
              <w:bottom w:val="nil"/>
              <w:right w:val="nil"/>
            </w:tcBorders>
            <w:shd w:val="clear" w:color="auto" w:fill="auto"/>
            <w:noWrap/>
            <w:vAlign w:val="bottom"/>
            <w:hideMark/>
          </w:tcPr>
          <w:p w14:paraId="419E76EE" w14:textId="48571CC2"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B14202" w14:paraId="7D7CA411" w14:textId="77777777" w:rsidTr="00B76022">
        <w:trPr>
          <w:trHeight w:val="204"/>
        </w:trPr>
        <w:tc>
          <w:tcPr>
            <w:tcW w:w="2694" w:type="dxa"/>
            <w:tcBorders>
              <w:top w:val="nil"/>
              <w:left w:val="nil"/>
              <w:bottom w:val="nil"/>
              <w:right w:val="nil"/>
            </w:tcBorders>
            <w:shd w:val="clear" w:color="auto" w:fill="auto"/>
            <w:vAlign w:val="bottom"/>
            <w:hideMark/>
          </w:tcPr>
          <w:p w14:paraId="39DF0C68" w14:textId="77777777" w:rsidR="0073185F" w:rsidRPr="00C32529" w:rsidRDefault="0073185F" w:rsidP="0073185F">
            <w:pPr>
              <w:spacing w:after="0" w:line="240" w:lineRule="auto"/>
              <w:ind w:left="113"/>
              <w:jc w:val="left"/>
              <w:rPr>
                <w:rFonts w:ascii="Arial" w:hAnsi="Arial" w:cs="Arial"/>
                <w:sz w:val="16"/>
                <w:szCs w:val="16"/>
              </w:rPr>
            </w:pPr>
            <w:r w:rsidRPr="00C32529">
              <w:rPr>
                <w:rFonts w:ascii="Arial" w:hAnsi="Arial" w:cs="Arial"/>
                <w:sz w:val="16"/>
                <w:szCs w:val="16"/>
              </w:rPr>
              <w:t>Supplementary Funding for South Australian Roads</w:t>
            </w:r>
          </w:p>
        </w:tc>
        <w:tc>
          <w:tcPr>
            <w:tcW w:w="992" w:type="dxa"/>
            <w:tcBorders>
              <w:top w:val="nil"/>
              <w:left w:val="nil"/>
              <w:bottom w:val="nil"/>
              <w:right w:val="nil"/>
            </w:tcBorders>
            <w:shd w:val="clear" w:color="auto" w:fill="auto"/>
            <w:noWrap/>
            <w:vAlign w:val="bottom"/>
            <w:hideMark/>
          </w:tcPr>
          <w:p w14:paraId="3CEBC7B9" w14:textId="340A9A7A"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28" w:type="dxa"/>
            <w:tcBorders>
              <w:top w:val="nil"/>
              <w:left w:val="nil"/>
              <w:bottom w:val="nil"/>
              <w:right w:val="nil"/>
            </w:tcBorders>
            <w:shd w:val="clear" w:color="auto" w:fill="E6E6E6"/>
            <w:noWrap/>
            <w:vAlign w:val="bottom"/>
            <w:hideMark/>
          </w:tcPr>
          <w:p w14:paraId="3C59EB29" w14:textId="27B01A62"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20,000 </w:t>
            </w:r>
          </w:p>
        </w:tc>
        <w:tc>
          <w:tcPr>
            <w:tcW w:w="1002" w:type="dxa"/>
            <w:gridSpan w:val="2"/>
            <w:tcBorders>
              <w:top w:val="nil"/>
              <w:left w:val="nil"/>
              <w:bottom w:val="nil"/>
              <w:right w:val="nil"/>
            </w:tcBorders>
            <w:shd w:val="clear" w:color="auto" w:fill="auto"/>
            <w:noWrap/>
            <w:vAlign w:val="bottom"/>
            <w:hideMark/>
          </w:tcPr>
          <w:p w14:paraId="609F4D66" w14:textId="198C9686"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20,000 </w:t>
            </w:r>
          </w:p>
        </w:tc>
        <w:tc>
          <w:tcPr>
            <w:tcW w:w="928" w:type="dxa"/>
            <w:tcBorders>
              <w:top w:val="nil"/>
              <w:left w:val="nil"/>
              <w:bottom w:val="nil"/>
              <w:right w:val="nil"/>
            </w:tcBorders>
            <w:shd w:val="clear" w:color="auto" w:fill="auto"/>
            <w:noWrap/>
            <w:vAlign w:val="bottom"/>
            <w:hideMark/>
          </w:tcPr>
          <w:p w14:paraId="5A692329" w14:textId="19076FFB"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69" w:type="dxa"/>
            <w:gridSpan w:val="2"/>
            <w:tcBorders>
              <w:top w:val="nil"/>
              <w:left w:val="nil"/>
              <w:bottom w:val="nil"/>
              <w:right w:val="nil"/>
            </w:tcBorders>
            <w:shd w:val="clear" w:color="auto" w:fill="auto"/>
            <w:noWrap/>
            <w:vAlign w:val="bottom"/>
            <w:hideMark/>
          </w:tcPr>
          <w:p w14:paraId="0E76C552" w14:textId="6A1350AF"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B14202" w14:paraId="364C6841" w14:textId="77777777" w:rsidTr="00B76022">
        <w:trPr>
          <w:trHeight w:val="204"/>
        </w:trPr>
        <w:tc>
          <w:tcPr>
            <w:tcW w:w="2694" w:type="dxa"/>
            <w:tcBorders>
              <w:top w:val="nil"/>
              <w:left w:val="nil"/>
              <w:bottom w:val="nil"/>
              <w:right w:val="nil"/>
            </w:tcBorders>
            <w:shd w:val="clear" w:color="auto" w:fill="auto"/>
            <w:vAlign w:val="bottom"/>
            <w:hideMark/>
          </w:tcPr>
          <w:p w14:paraId="31AF12BE" w14:textId="77777777" w:rsidR="0073185F" w:rsidRPr="00C32529" w:rsidRDefault="0073185F" w:rsidP="0073185F">
            <w:pPr>
              <w:spacing w:after="0" w:line="240" w:lineRule="auto"/>
              <w:ind w:left="113"/>
              <w:jc w:val="left"/>
              <w:rPr>
                <w:rFonts w:ascii="Arial" w:hAnsi="Arial" w:cs="Arial"/>
                <w:sz w:val="16"/>
                <w:szCs w:val="16"/>
              </w:rPr>
            </w:pPr>
            <w:r w:rsidRPr="00C32529">
              <w:rPr>
                <w:rFonts w:ascii="Arial" w:hAnsi="Arial" w:cs="Arial"/>
                <w:sz w:val="16"/>
                <w:szCs w:val="16"/>
              </w:rPr>
              <w:t>Special Appropriations</w:t>
            </w:r>
          </w:p>
        </w:tc>
        <w:tc>
          <w:tcPr>
            <w:tcW w:w="992" w:type="dxa"/>
            <w:tcBorders>
              <w:top w:val="nil"/>
              <w:left w:val="nil"/>
              <w:bottom w:val="nil"/>
              <w:right w:val="nil"/>
            </w:tcBorders>
            <w:shd w:val="clear" w:color="auto" w:fill="auto"/>
            <w:noWrap/>
            <w:vAlign w:val="bottom"/>
            <w:hideMark/>
          </w:tcPr>
          <w:p w14:paraId="246ED286" w14:textId="77777777" w:rsidR="0073185F" w:rsidRPr="00C32529" w:rsidRDefault="0073185F" w:rsidP="0073185F">
            <w:pPr>
              <w:spacing w:after="0" w:line="240" w:lineRule="auto"/>
              <w:ind w:firstLineChars="100" w:firstLine="160"/>
              <w:jc w:val="right"/>
              <w:rPr>
                <w:rFonts w:ascii="Arial" w:hAnsi="Arial" w:cs="Arial"/>
                <w:sz w:val="16"/>
                <w:szCs w:val="16"/>
              </w:rPr>
            </w:pPr>
          </w:p>
        </w:tc>
        <w:tc>
          <w:tcPr>
            <w:tcW w:w="928" w:type="dxa"/>
            <w:tcBorders>
              <w:top w:val="nil"/>
              <w:left w:val="nil"/>
              <w:bottom w:val="nil"/>
              <w:right w:val="nil"/>
            </w:tcBorders>
            <w:shd w:val="clear" w:color="auto" w:fill="E6E6E6"/>
            <w:noWrap/>
            <w:vAlign w:val="bottom"/>
            <w:hideMark/>
          </w:tcPr>
          <w:p w14:paraId="4A8F2DCE" w14:textId="020B37F3"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w:t>
            </w:r>
          </w:p>
        </w:tc>
        <w:tc>
          <w:tcPr>
            <w:tcW w:w="1002" w:type="dxa"/>
            <w:gridSpan w:val="2"/>
            <w:tcBorders>
              <w:top w:val="nil"/>
              <w:left w:val="nil"/>
              <w:bottom w:val="nil"/>
              <w:right w:val="nil"/>
            </w:tcBorders>
            <w:shd w:val="clear" w:color="auto" w:fill="auto"/>
            <w:noWrap/>
            <w:vAlign w:val="bottom"/>
            <w:hideMark/>
          </w:tcPr>
          <w:p w14:paraId="71DD0A7B" w14:textId="77777777" w:rsidR="0073185F" w:rsidRPr="00C32529" w:rsidRDefault="0073185F" w:rsidP="0073185F">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7E7F7EF" w14:textId="77777777" w:rsidR="0073185F" w:rsidRPr="00C32529" w:rsidRDefault="0073185F" w:rsidP="0073185F">
            <w:pPr>
              <w:spacing w:after="0" w:line="240" w:lineRule="auto"/>
              <w:jc w:val="right"/>
              <w:rPr>
                <w:rFonts w:ascii="Times New Roman" w:hAnsi="Times New Roman"/>
                <w:sz w:val="16"/>
                <w:szCs w:val="16"/>
              </w:rPr>
            </w:pPr>
          </w:p>
        </w:tc>
        <w:tc>
          <w:tcPr>
            <w:tcW w:w="969" w:type="dxa"/>
            <w:gridSpan w:val="2"/>
            <w:tcBorders>
              <w:top w:val="nil"/>
              <w:left w:val="nil"/>
              <w:bottom w:val="nil"/>
              <w:right w:val="nil"/>
            </w:tcBorders>
            <w:shd w:val="clear" w:color="auto" w:fill="auto"/>
            <w:noWrap/>
            <w:vAlign w:val="bottom"/>
            <w:hideMark/>
          </w:tcPr>
          <w:p w14:paraId="291F715B" w14:textId="77777777" w:rsidR="0073185F" w:rsidRPr="00C32529" w:rsidRDefault="0073185F" w:rsidP="0073185F">
            <w:pPr>
              <w:spacing w:after="0" w:line="240" w:lineRule="auto"/>
              <w:jc w:val="right"/>
              <w:rPr>
                <w:rFonts w:ascii="Times New Roman" w:hAnsi="Times New Roman"/>
                <w:sz w:val="16"/>
                <w:szCs w:val="16"/>
              </w:rPr>
            </w:pPr>
          </w:p>
        </w:tc>
      </w:tr>
      <w:tr w:rsidR="0073185F" w:rsidRPr="00B14202" w14:paraId="12937D15" w14:textId="77777777" w:rsidTr="00B76022">
        <w:trPr>
          <w:trHeight w:val="204"/>
        </w:trPr>
        <w:tc>
          <w:tcPr>
            <w:tcW w:w="2694" w:type="dxa"/>
            <w:tcBorders>
              <w:top w:val="nil"/>
              <w:left w:val="nil"/>
              <w:bottom w:val="nil"/>
              <w:right w:val="nil"/>
            </w:tcBorders>
            <w:shd w:val="clear" w:color="auto" w:fill="auto"/>
            <w:vAlign w:val="bottom"/>
            <w:hideMark/>
          </w:tcPr>
          <w:p w14:paraId="2C48684C" w14:textId="77777777" w:rsidR="0073185F" w:rsidRPr="00C32529" w:rsidRDefault="0073185F" w:rsidP="0073185F">
            <w:pPr>
              <w:spacing w:after="0" w:line="240" w:lineRule="auto"/>
              <w:ind w:left="227"/>
              <w:jc w:val="left"/>
              <w:rPr>
                <w:rFonts w:ascii="Arial" w:hAnsi="Arial" w:cs="Arial"/>
                <w:i/>
                <w:sz w:val="16"/>
                <w:szCs w:val="16"/>
              </w:rPr>
            </w:pPr>
            <w:r w:rsidRPr="00C32529">
              <w:rPr>
                <w:rFonts w:ascii="Arial" w:hAnsi="Arial" w:cs="Arial"/>
                <w:i/>
                <w:sz w:val="16"/>
                <w:szCs w:val="16"/>
              </w:rPr>
              <w:t>Local Government (Financial Assistance) Act 1995</w:t>
            </w:r>
          </w:p>
        </w:tc>
        <w:tc>
          <w:tcPr>
            <w:tcW w:w="992" w:type="dxa"/>
            <w:tcBorders>
              <w:top w:val="nil"/>
              <w:left w:val="nil"/>
              <w:bottom w:val="nil"/>
              <w:right w:val="nil"/>
            </w:tcBorders>
            <w:shd w:val="clear" w:color="auto" w:fill="auto"/>
            <w:noWrap/>
            <w:vAlign w:val="bottom"/>
            <w:hideMark/>
          </w:tcPr>
          <w:p w14:paraId="70D5E78D" w14:textId="2F2BF325"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2,605,753 </w:t>
            </w:r>
          </w:p>
        </w:tc>
        <w:tc>
          <w:tcPr>
            <w:tcW w:w="928" w:type="dxa"/>
            <w:tcBorders>
              <w:top w:val="nil"/>
              <w:left w:val="nil"/>
              <w:bottom w:val="nil"/>
              <w:right w:val="nil"/>
            </w:tcBorders>
            <w:shd w:val="clear" w:color="auto" w:fill="E6E6E6"/>
            <w:noWrap/>
            <w:vAlign w:val="bottom"/>
            <w:hideMark/>
          </w:tcPr>
          <w:p w14:paraId="5920F20D" w14:textId="74847DA9"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1,338,835 </w:t>
            </w:r>
          </w:p>
        </w:tc>
        <w:tc>
          <w:tcPr>
            <w:tcW w:w="1002" w:type="dxa"/>
            <w:gridSpan w:val="2"/>
            <w:tcBorders>
              <w:top w:val="nil"/>
              <w:left w:val="nil"/>
              <w:bottom w:val="nil"/>
              <w:right w:val="nil"/>
            </w:tcBorders>
            <w:shd w:val="clear" w:color="auto" w:fill="auto"/>
            <w:noWrap/>
            <w:vAlign w:val="bottom"/>
            <w:hideMark/>
          </w:tcPr>
          <w:p w14:paraId="5FF2B0DE" w14:textId="37DC2977"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2,738,455 </w:t>
            </w:r>
          </w:p>
        </w:tc>
        <w:tc>
          <w:tcPr>
            <w:tcW w:w="928" w:type="dxa"/>
            <w:tcBorders>
              <w:top w:val="nil"/>
              <w:left w:val="nil"/>
              <w:bottom w:val="nil"/>
              <w:right w:val="nil"/>
            </w:tcBorders>
            <w:shd w:val="clear" w:color="auto" w:fill="auto"/>
            <w:noWrap/>
            <w:vAlign w:val="bottom"/>
            <w:hideMark/>
          </w:tcPr>
          <w:p w14:paraId="7C780DCF" w14:textId="7ED1F968"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2,833,205 </w:t>
            </w:r>
          </w:p>
        </w:tc>
        <w:tc>
          <w:tcPr>
            <w:tcW w:w="969" w:type="dxa"/>
            <w:gridSpan w:val="2"/>
            <w:tcBorders>
              <w:top w:val="nil"/>
              <w:left w:val="nil"/>
              <w:bottom w:val="nil"/>
              <w:right w:val="nil"/>
            </w:tcBorders>
            <w:shd w:val="clear" w:color="auto" w:fill="auto"/>
            <w:noWrap/>
            <w:vAlign w:val="bottom"/>
            <w:hideMark/>
          </w:tcPr>
          <w:p w14:paraId="24B6C43F" w14:textId="12F984FD" w:rsidR="0073185F" w:rsidRPr="00C32529" w:rsidRDefault="0073185F" w:rsidP="0073185F">
            <w:pPr>
              <w:spacing w:after="0" w:line="240" w:lineRule="auto"/>
              <w:jc w:val="right"/>
              <w:rPr>
                <w:rFonts w:ascii="Arial" w:hAnsi="Arial" w:cs="Arial"/>
                <w:sz w:val="16"/>
                <w:szCs w:val="16"/>
              </w:rPr>
            </w:pPr>
            <w:r>
              <w:rPr>
                <w:rFonts w:ascii="Arial" w:hAnsi="Arial" w:cs="Arial"/>
                <w:sz w:val="16"/>
                <w:szCs w:val="16"/>
              </w:rPr>
              <w:t xml:space="preserve">2,938,883 </w:t>
            </w:r>
          </w:p>
        </w:tc>
      </w:tr>
      <w:tr w:rsidR="0073185F" w:rsidRPr="00B14202" w14:paraId="17CC1C5C" w14:textId="77777777" w:rsidTr="00B76022">
        <w:trPr>
          <w:trHeight w:val="204"/>
        </w:trPr>
        <w:tc>
          <w:tcPr>
            <w:tcW w:w="2694" w:type="dxa"/>
            <w:tcBorders>
              <w:top w:val="nil"/>
              <w:left w:val="nil"/>
              <w:bottom w:val="single" w:sz="4" w:space="0" w:color="auto"/>
              <w:right w:val="nil"/>
            </w:tcBorders>
            <w:shd w:val="clear" w:color="auto" w:fill="auto"/>
            <w:noWrap/>
            <w:vAlign w:val="bottom"/>
            <w:hideMark/>
          </w:tcPr>
          <w:p w14:paraId="3F323A16" w14:textId="77777777" w:rsidR="0073185F" w:rsidRPr="00C32529" w:rsidRDefault="0073185F" w:rsidP="0073185F">
            <w:pPr>
              <w:spacing w:after="0" w:line="240" w:lineRule="auto"/>
              <w:jc w:val="left"/>
              <w:rPr>
                <w:rFonts w:ascii="Arial" w:hAnsi="Arial" w:cs="Arial"/>
                <w:b/>
                <w:bCs/>
                <w:sz w:val="16"/>
                <w:szCs w:val="16"/>
              </w:rPr>
            </w:pPr>
            <w:r w:rsidRPr="00C32529">
              <w:rPr>
                <w:rFonts w:ascii="Arial" w:hAnsi="Arial" w:cs="Arial"/>
                <w:b/>
                <w:bCs/>
                <w:sz w:val="16"/>
                <w:szCs w:val="16"/>
              </w:rPr>
              <w:t>Total expenses for Program 3.2</w:t>
            </w:r>
          </w:p>
        </w:tc>
        <w:tc>
          <w:tcPr>
            <w:tcW w:w="992" w:type="dxa"/>
            <w:tcBorders>
              <w:top w:val="single" w:sz="4" w:space="0" w:color="auto"/>
              <w:left w:val="nil"/>
              <w:bottom w:val="single" w:sz="4" w:space="0" w:color="auto"/>
              <w:right w:val="nil"/>
            </w:tcBorders>
            <w:shd w:val="clear" w:color="auto" w:fill="auto"/>
            <w:noWrap/>
            <w:vAlign w:val="bottom"/>
            <w:hideMark/>
          </w:tcPr>
          <w:p w14:paraId="04EB4552" w14:textId="17407F1D" w:rsidR="0073185F" w:rsidRPr="00C32529"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3,440,956 </w:t>
            </w:r>
          </w:p>
        </w:tc>
        <w:tc>
          <w:tcPr>
            <w:tcW w:w="928" w:type="dxa"/>
            <w:tcBorders>
              <w:top w:val="single" w:sz="4" w:space="0" w:color="auto"/>
              <w:left w:val="nil"/>
              <w:bottom w:val="single" w:sz="4" w:space="0" w:color="auto"/>
              <w:right w:val="nil"/>
            </w:tcBorders>
            <w:shd w:val="clear" w:color="auto" w:fill="E6E6E6"/>
            <w:noWrap/>
            <w:vAlign w:val="bottom"/>
            <w:hideMark/>
          </w:tcPr>
          <w:p w14:paraId="50CF20C5" w14:textId="1C640A1D" w:rsidR="0073185F" w:rsidRPr="00C32529"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2,273,632 </w:t>
            </w:r>
          </w:p>
        </w:tc>
        <w:tc>
          <w:tcPr>
            <w:tcW w:w="1002" w:type="dxa"/>
            <w:gridSpan w:val="2"/>
            <w:tcBorders>
              <w:top w:val="single" w:sz="4" w:space="0" w:color="auto"/>
              <w:left w:val="nil"/>
              <w:bottom w:val="single" w:sz="4" w:space="0" w:color="auto"/>
              <w:right w:val="nil"/>
            </w:tcBorders>
            <w:shd w:val="clear" w:color="auto" w:fill="auto"/>
            <w:noWrap/>
            <w:vAlign w:val="bottom"/>
            <w:hideMark/>
          </w:tcPr>
          <w:p w14:paraId="3529186F" w14:textId="1459163D" w:rsidR="0073185F" w:rsidRPr="00C32529"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3,408,455 </w:t>
            </w:r>
          </w:p>
        </w:tc>
        <w:tc>
          <w:tcPr>
            <w:tcW w:w="928" w:type="dxa"/>
            <w:tcBorders>
              <w:top w:val="single" w:sz="4" w:space="0" w:color="auto"/>
              <w:left w:val="nil"/>
              <w:bottom w:val="single" w:sz="4" w:space="0" w:color="auto"/>
              <w:right w:val="nil"/>
            </w:tcBorders>
            <w:shd w:val="clear" w:color="auto" w:fill="auto"/>
            <w:noWrap/>
            <w:vAlign w:val="bottom"/>
            <w:hideMark/>
          </w:tcPr>
          <w:p w14:paraId="049B1F43" w14:textId="5A7EF0C1" w:rsidR="0073185F" w:rsidRPr="00C32529"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2,933,205 </w:t>
            </w:r>
          </w:p>
        </w:tc>
        <w:tc>
          <w:tcPr>
            <w:tcW w:w="969" w:type="dxa"/>
            <w:gridSpan w:val="2"/>
            <w:tcBorders>
              <w:top w:val="single" w:sz="4" w:space="0" w:color="auto"/>
              <w:left w:val="nil"/>
              <w:bottom w:val="single" w:sz="4" w:space="0" w:color="auto"/>
              <w:right w:val="nil"/>
            </w:tcBorders>
            <w:shd w:val="clear" w:color="auto" w:fill="auto"/>
            <w:noWrap/>
            <w:vAlign w:val="bottom"/>
            <w:hideMark/>
          </w:tcPr>
          <w:p w14:paraId="4E0B0503" w14:textId="03E06783" w:rsidR="0073185F" w:rsidRPr="00C32529"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2,938,883 </w:t>
            </w:r>
          </w:p>
        </w:tc>
      </w:tr>
    </w:tbl>
    <w:p w14:paraId="6F0F5E46" w14:textId="04159CBF" w:rsidR="008966F3" w:rsidRDefault="008966F3">
      <w:pPr>
        <w:spacing w:after="0" w:line="240" w:lineRule="auto"/>
        <w:jc w:val="left"/>
        <w:rPr>
          <w:rFonts w:ascii="Arial" w:hAnsi="Arial"/>
          <w:b/>
          <w:lang w:val="x-none"/>
        </w:rPr>
      </w:pPr>
      <w:r>
        <w:br w:type="page"/>
      </w:r>
    </w:p>
    <w:p w14:paraId="1FA98493" w14:textId="611E086C" w:rsidR="00000153" w:rsidRDefault="00000153" w:rsidP="00000153">
      <w:pPr>
        <w:pStyle w:val="TableHeading"/>
      </w:pPr>
      <w:r w:rsidRPr="00706336">
        <w:lastRenderedPageBreak/>
        <w:t>Table 2.</w:t>
      </w:r>
      <w:r>
        <w:rPr>
          <w:lang w:val="en-AU"/>
        </w:rPr>
        <w:t>4</w:t>
      </w:r>
      <w:r w:rsidRPr="00706336">
        <w:t xml:space="preserve">.2: Program components of Outcome </w:t>
      </w:r>
      <w:r>
        <w:rPr>
          <w:lang w:val="en-AU"/>
        </w:rPr>
        <w:t>3</w:t>
      </w:r>
      <w:r w:rsidRPr="00706336">
        <w:rPr>
          <w:lang w:val="en-AU"/>
        </w:rPr>
        <w:t xml:space="preserve"> (continued)</w:t>
      </w:r>
      <w:r>
        <w:t xml:space="preserve"> </w:t>
      </w:r>
    </w:p>
    <w:tbl>
      <w:tblPr>
        <w:tblW w:w="0" w:type="auto"/>
        <w:tblLayout w:type="fixed"/>
        <w:tblLook w:val="04A0" w:firstRow="1" w:lastRow="0" w:firstColumn="1" w:lastColumn="0" w:noHBand="0" w:noVBand="1"/>
      </w:tblPr>
      <w:tblGrid>
        <w:gridCol w:w="2835"/>
        <w:gridCol w:w="901"/>
        <w:gridCol w:w="977"/>
        <w:gridCol w:w="977"/>
        <w:gridCol w:w="977"/>
        <w:gridCol w:w="988"/>
      </w:tblGrid>
      <w:tr w:rsidR="00E34CEC" w:rsidRPr="00CB0109" w14:paraId="4989B916" w14:textId="77777777" w:rsidTr="00F3679E">
        <w:trPr>
          <w:trHeight w:val="204"/>
        </w:trPr>
        <w:tc>
          <w:tcPr>
            <w:tcW w:w="2835" w:type="dxa"/>
            <w:tcBorders>
              <w:top w:val="single" w:sz="4" w:space="0" w:color="auto"/>
              <w:left w:val="nil"/>
              <w:bottom w:val="nil"/>
              <w:right w:val="nil"/>
            </w:tcBorders>
            <w:shd w:val="clear" w:color="auto" w:fill="auto"/>
            <w:noWrap/>
            <w:vAlign w:val="bottom"/>
            <w:hideMark/>
          </w:tcPr>
          <w:p w14:paraId="50838137" w14:textId="77777777" w:rsidR="00E34CEC" w:rsidRPr="00CB0109" w:rsidRDefault="00E34CEC" w:rsidP="00E34CEC">
            <w:pPr>
              <w:spacing w:after="0" w:line="240" w:lineRule="auto"/>
              <w:jc w:val="left"/>
              <w:rPr>
                <w:rFonts w:ascii="Arial" w:hAnsi="Arial" w:cs="Arial"/>
                <w:b/>
                <w:bCs/>
                <w:sz w:val="16"/>
                <w:szCs w:val="16"/>
              </w:rPr>
            </w:pPr>
            <w:r w:rsidRPr="00CB0109">
              <w:rPr>
                <w:rFonts w:ascii="Arial" w:hAnsi="Arial" w:cs="Arial"/>
                <w:b/>
                <w:bCs/>
                <w:sz w:val="16"/>
                <w:szCs w:val="16"/>
              </w:rPr>
              <w:t> </w:t>
            </w:r>
          </w:p>
        </w:tc>
        <w:tc>
          <w:tcPr>
            <w:tcW w:w="901" w:type="dxa"/>
            <w:tcBorders>
              <w:top w:val="single" w:sz="4" w:space="0" w:color="auto"/>
              <w:left w:val="nil"/>
              <w:bottom w:val="nil"/>
              <w:right w:val="nil"/>
            </w:tcBorders>
            <w:shd w:val="clear" w:color="auto" w:fill="auto"/>
            <w:vAlign w:val="bottom"/>
            <w:hideMark/>
          </w:tcPr>
          <w:p w14:paraId="6000F917" w14:textId="5AC54357" w:rsidR="00E34CEC" w:rsidRPr="00CB0109"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77" w:type="dxa"/>
            <w:tcBorders>
              <w:top w:val="single" w:sz="4" w:space="0" w:color="auto"/>
              <w:left w:val="nil"/>
              <w:bottom w:val="nil"/>
              <w:right w:val="nil"/>
            </w:tcBorders>
            <w:shd w:val="clear" w:color="000000" w:fill="E6E6E6"/>
            <w:vAlign w:val="bottom"/>
            <w:hideMark/>
          </w:tcPr>
          <w:p w14:paraId="2060C697" w14:textId="2F5C3B6A" w:rsidR="00E34CEC" w:rsidRPr="00CB0109"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77" w:type="dxa"/>
            <w:tcBorders>
              <w:top w:val="single" w:sz="4" w:space="0" w:color="auto"/>
              <w:left w:val="nil"/>
              <w:bottom w:val="nil"/>
              <w:right w:val="nil"/>
            </w:tcBorders>
            <w:shd w:val="clear" w:color="auto" w:fill="auto"/>
            <w:vAlign w:val="bottom"/>
            <w:hideMark/>
          </w:tcPr>
          <w:p w14:paraId="3BAF6386" w14:textId="03F8CC2E" w:rsidR="00E34CEC" w:rsidRPr="00CB0109"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77" w:type="dxa"/>
            <w:tcBorders>
              <w:top w:val="single" w:sz="4" w:space="0" w:color="auto"/>
              <w:left w:val="nil"/>
              <w:bottom w:val="nil"/>
              <w:right w:val="nil"/>
            </w:tcBorders>
            <w:shd w:val="clear" w:color="auto" w:fill="auto"/>
            <w:vAlign w:val="bottom"/>
            <w:hideMark/>
          </w:tcPr>
          <w:p w14:paraId="5289EF42" w14:textId="5C5A2299" w:rsidR="00E34CEC" w:rsidRPr="00CB0109"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88" w:type="dxa"/>
            <w:tcBorders>
              <w:top w:val="single" w:sz="4" w:space="0" w:color="auto"/>
              <w:left w:val="nil"/>
              <w:bottom w:val="nil"/>
              <w:right w:val="nil"/>
            </w:tcBorders>
            <w:shd w:val="clear" w:color="auto" w:fill="auto"/>
            <w:vAlign w:val="bottom"/>
            <w:hideMark/>
          </w:tcPr>
          <w:p w14:paraId="10ACA02E" w14:textId="35E3571C" w:rsidR="00E34CEC" w:rsidRPr="00CB0109"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F3679E" w:rsidRPr="00CB0109" w14:paraId="3013EA4D" w14:textId="77777777" w:rsidTr="00F3679E">
        <w:trPr>
          <w:trHeight w:val="204"/>
        </w:trPr>
        <w:tc>
          <w:tcPr>
            <w:tcW w:w="7655" w:type="dxa"/>
            <w:gridSpan w:val="6"/>
            <w:tcBorders>
              <w:top w:val="single" w:sz="4" w:space="0" w:color="auto"/>
              <w:left w:val="nil"/>
              <w:bottom w:val="single" w:sz="4" w:space="0" w:color="auto"/>
              <w:right w:val="nil"/>
            </w:tcBorders>
            <w:shd w:val="clear" w:color="000000" w:fill="E6E6E6"/>
            <w:noWrap/>
            <w:vAlign w:val="bottom"/>
            <w:hideMark/>
          </w:tcPr>
          <w:p w14:paraId="1E6F54C6" w14:textId="449635B7" w:rsidR="00F3679E" w:rsidRPr="00CB0109" w:rsidRDefault="00F3679E" w:rsidP="00F3679E">
            <w:pPr>
              <w:spacing w:after="0" w:line="240" w:lineRule="auto"/>
              <w:jc w:val="left"/>
              <w:rPr>
                <w:rFonts w:ascii="Arial" w:hAnsi="Arial" w:cs="Arial"/>
                <w:sz w:val="16"/>
                <w:szCs w:val="16"/>
              </w:rPr>
            </w:pPr>
            <w:r w:rsidRPr="00CB0109">
              <w:rPr>
                <w:rFonts w:ascii="Arial" w:hAnsi="Arial" w:cs="Arial"/>
                <w:b/>
                <w:bCs/>
                <w:sz w:val="16"/>
                <w:szCs w:val="16"/>
              </w:rPr>
              <w:t>Components for Program 3.3: Cities</w:t>
            </w:r>
          </w:p>
        </w:tc>
      </w:tr>
      <w:tr w:rsidR="00CB0109" w:rsidRPr="00CB0109" w14:paraId="446111F0" w14:textId="77777777" w:rsidTr="00F3679E">
        <w:trPr>
          <w:trHeight w:val="204"/>
        </w:trPr>
        <w:tc>
          <w:tcPr>
            <w:tcW w:w="2835" w:type="dxa"/>
            <w:tcBorders>
              <w:top w:val="nil"/>
              <w:left w:val="nil"/>
              <w:bottom w:val="nil"/>
              <w:right w:val="nil"/>
            </w:tcBorders>
            <w:shd w:val="clear" w:color="auto" w:fill="auto"/>
            <w:noWrap/>
            <w:vAlign w:val="bottom"/>
            <w:hideMark/>
          </w:tcPr>
          <w:p w14:paraId="0710528F" w14:textId="77777777" w:rsidR="00CB0109" w:rsidRPr="00CB0109" w:rsidRDefault="00CB0109" w:rsidP="00CB0109">
            <w:pPr>
              <w:spacing w:after="0" w:line="240" w:lineRule="auto"/>
              <w:jc w:val="left"/>
              <w:rPr>
                <w:rFonts w:ascii="Arial" w:hAnsi="Arial" w:cs="Arial"/>
                <w:sz w:val="16"/>
                <w:szCs w:val="16"/>
              </w:rPr>
            </w:pPr>
            <w:r w:rsidRPr="00CB0109">
              <w:rPr>
                <w:rFonts w:ascii="Arial" w:hAnsi="Arial" w:cs="Arial"/>
                <w:sz w:val="16"/>
                <w:szCs w:val="16"/>
              </w:rPr>
              <w:t>Administered expenses</w:t>
            </w:r>
          </w:p>
        </w:tc>
        <w:tc>
          <w:tcPr>
            <w:tcW w:w="901" w:type="dxa"/>
            <w:tcBorders>
              <w:top w:val="nil"/>
              <w:left w:val="nil"/>
              <w:bottom w:val="nil"/>
              <w:right w:val="nil"/>
            </w:tcBorders>
            <w:shd w:val="clear" w:color="auto" w:fill="auto"/>
            <w:noWrap/>
            <w:vAlign w:val="bottom"/>
            <w:hideMark/>
          </w:tcPr>
          <w:p w14:paraId="183BEF79" w14:textId="77777777" w:rsidR="00CB0109" w:rsidRPr="00CB0109" w:rsidRDefault="00CB0109" w:rsidP="00E45597">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4E5EBF49" w14:textId="5E8B9F7A" w:rsidR="00CB0109" w:rsidRPr="00CB0109" w:rsidRDefault="00CB0109" w:rsidP="00E4559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23DD348E" w14:textId="77777777" w:rsidR="00CB0109" w:rsidRPr="00CB0109" w:rsidRDefault="00CB0109" w:rsidP="00E4559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7835E7AD" w14:textId="77777777" w:rsidR="00CB0109" w:rsidRPr="00CB0109" w:rsidRDefault="00CB0109" w:rsidP="00E45597">
            <w:pPr>
              <w:spacing w:after="0" w:line="240" w:lineRule="auto"/>
              <w:jc w:val="right"/>
              <w:rPr>
                <w:rFonts w:ascii="Times New Roman" w:hAnsi="Times New Roman"/>
              </w:rPr>
            </w:pPr>
          </w:p>
        </w:tc>
        <w:tc>
          <w:tcPr>
            <w:tcW w:w="988" w:type="dxa"/>
            <w:tcBorders>
              <w:top w:val="nil"/>
              <w:left w:val="nil"/>
              <w:bottom w:val="nil"/>
              <w:right w:val="nil"/>
            </w:tcBorders>
            <w:shd w:val="clear" w:color="auto" w:fill="auto"/>
            <w:noWrap/>
            <w:vAlign w:val="bottom"/>
            <w:hideMark/>
          </w:tcPr>
          <w:p w14:paraId="4705CB9D" w14:textId="77777777" w:rsidR="00CB0109" w:rsidRPr="00CB0109" w:rsidRDefault="00CB0109" w:rsidP="00E45597">
            <w:pPr>
              <w:spacing w:after="0" w:line="240" w:lineRule="auto"/>
              <w:jc w:val="right"/>
              <w:rPr>
                <w:rFonts w:ascii="Times New Roman" w:hAnsi="Times New Roman"/>
              </w:rPr>
            </w:pPr>
          </w:p>
        </w:tc>
      </w:tr>
      <w:tr w:rsidR="0073185F" w:rsidRPr="00CB0109" w14:paraId="23A0B0FA" w14:textId="77777777" w:rsidTr="0073185F">
        <w:trPr>
          <w:trHeight w:val="204"/>
        </w:trPr>
        <w:tc>
          <w:tcPr>
            <w:tcW w:w="2835" w:type="dxa"/>
            <w:tcBorders>
              <w:top w:val="nil"/>
              <w:left w:val="nil"/>
              <w:bottom w:val="nil"/>
              <w:right w:val="nil"/>
            </w:tcBorders>
            <w:shd w:val="clear" w:color="auto" w:fill="auto"/>
            <w:vAlign w:val="bottom"/>
            <w:hideMark/>
          </w:tcPr>
          <w:p w14:paraId="5AF9FE1A" w14:textId="77777777" w:rsidR="0073185F" w:rsidRPr="00CB0109" w:rsidRDefault="0073185F" w:rsidP="0073185F">
            <w:pPr>
              <w:spacing w:after="0" w:line="240" w:lineRule="auto"/>
              <w:ind w:left="113"/>
              <w:jc w:val="left"/>
              <w:rPr>
                <w:rFonts w:ascii="Arial" w:hAnsi="Arial" w:cs="Arial"/>
                <w:sz w:val="16"/>
                <w:szCs w:val="16"/>
              </w:rPr>
            </w:pPr>
            <w:r w:rsidRPr="00CB0109">
              <w:rPr>
                <w:rFonts w:ascii="Arial" w:hAnsi="Arial" w:cs="Arial"/>
                <w:sz w:val="16"/>
                <w:szCs w:val="16"/>
              </w:rPr>
              <w:t>Hobart City Deal</w:t>
            </w:r>
          </w:p>
        </w:tc>
        <w:tc>
          <w:tcPr>
            <w:tcW w:w="901" w:type="dxa"/>
            <w:tcBorders>
              <w:top w:val="nil"/>
              <w:left w:val="nil"/>
              <w:bottom w:val="nil"/>
              <w:right w:val="nil"/>
            </w:tcBorders>
            <w:shd w:val="clear" w:color="auto" w:fill="auto"/>
            <w:noWrap/>
            <w:vAlign w:val="bottom"/>
            <w:hideMark/>
          </w:tcPr>
          <w:p w14:paraId="43960416" w14:textId="27C908B1"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6D279542" w14:textId="6EAA7268"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2295F9F1" w14:textId="76C2258E"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6EA25ADB" w14:textId="3A92DE72"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88" w:type="dxa"/>
            <w:tcBorders>
              <w:top w:val="nil"/>
              <w:left w:val="nil"/>
              <w:bottom w:val="nil"/>
              <w:right w:val="nil"/>
            </w:tcBorders>
            <w:shd w:val="clear" w:color="auto" w:fill="auto"/>
            <w:noWrap/>
            <w:vAlign w:val="bottom"/>
            <w:hideMark/>
          </w:tcPr>
          <w:p w14:paraId="65846843" w14:textId="72565F6A"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CB0109" w14:paraId="02750406" w14:textId="77777777" w:rsidTr="0073185F">
        <w:trPr>
          <w:trHeight w:val="204"/>
        </w:trPr>
        <w:tc>
          <w:tcPr>
            <w:tcW w:w="2835" w:type="dxa"/>
            <w:tcBorders>
              <w:top w:val="nil"/>
              <w:left w:val="nil"/>
              <w:bottom w:val="nil"/>
              <w:right w:val="nil"/>
            </w:tcBorders>
            <w:shd w:val="clear" w:color="auto" w:fill="auto"/>
            <w:vAlign w:val="bottom"/>
            <w:hideMark/>
          </w:tcPr>
          <w:p w14:paraId="66B22A1B" w14:textId="77777777" w:rsidR="0073185F" w:rsidRPr="00CB0109" w:rsidRDefault="0073185F" w:rsidP="0073185F">
            <w:pPr>
              <w:spacing w:after="0" w:line="240" w:lineRule="auto"/>
              <w:ind w:left="113"/>
              <w:jc w:val="left"/>
              <w:rPr>
                <w:rFonts w:ascii="Arial" w:hAnsi="Arial" w:cs="Arial"/>
                <w:sz w:val="16"/>
                <w:szCs w:val="16"/>
              </w:rPr>
            </w:pPr>
            <w:r w:rsidRPr="00CB0109">
              <w:rPr>
                <w:rFonts w:ascii="Arial" w:hAnsi="Arial" w:cs="Arial"/>
                <w:sz w:val="16"/>
                <w:szCs w:val="16"/>
              </w:rPr>
              <w:t>Smart Cities and Suburbs</w:t>
            </w:r>
          </w:p>
        </w:tc>
        <w:tc>
          <w:tcPr>
            <w:tcW w:w="901" w:type="dxa"/>
            <w:tcBorders>
              <w:top w:val="nil"/>
              <w:left w:val="nil"/>
              <w:bottom w:val="nil"/>
              <w:right w:val="nil"/>
            </w:tcBorders>
            <w:shd w:val="clear" w:color="auto" w:fill="auto"/>
            <w:noWrap/>
            <w:vAlign w:val="bottom"/>
            <w:hideMark/>
          </w:tcPr>
          <w:p w14:paraId="5C062BFE" w14:textId="26994626"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4,721 </w:t>
            </w:r>
          </w:p>
        </w:tc>
        <w:tc>
          <w:tcPr>
            <w:tcW w:w="977" w:type="dxa"/>
            <w:tcBorders>
              <w:top w:val="nil"/>
              <w:left w:val="nil"/>
              <w:bottom w:val="nil"/>
              <w:right w:val="nil"/>
            </w:tcBorders>
            <w:shd w:val="clear" w:color="000000" w:fill="E6E6E6"/>
            <w:noWrap/>
            <w:vAlign w:val="bottom"/>
            <w:hideMark/>
          </w:tcPr>
          <w:p w14:paraId="73D29579" w14:textId="5EF229FF"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70BD39DE" w14:textId="7E89C2EF"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2661DDAE" w14:textId="073E9CC7"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88" w:type="dxa"/>
            <w:tcBorders>
              <w:top w:val="nil"/>
              <w:left w:val="nil"/>
              <w:bottom w:val="nil"/>
              <w:right w:val="nil"/>
            </w:tcBorders>
            <w:shd w:val="clear" w:color="auto" w:fill="auto"/>
            <w:noWrap/>
            <w:vAlign w:val="bottom"/>
            <w:hideMark/>
          </w:tcPr>
          <w:p w14:paraId="13822292" w14:textId="1530D571"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CB0109" w14:paraId="22979D73" w14:textId="77777777" w:rsidTr="0073185F">
        <w:trPr>
          <w:trHeight w:val="204"/>
        </w:trPr>
        <w:tc>
          <w:tcPr>
            <w:tcW w:w="2835" w:type="dxa"/>
            <w:tcBorders>
              <w:top w:val="nil"/>
              <w:left w:val="nil"/>
              <w:bottom w:val="nil"/>
              <w:right w:val="nil"/>
            </w:tcBorders>
            <w:shd w:val="clear" w:color="auto" w:fill="auto"/>
            <w:vAlign w:val="bottom"/>
            <w:hideMark/>
          </w:tcPr>
          <w:p w14:paraId="5E280A82" w14:textId="7D53A4DB" w:rsidR="0073185F" w:rsidRPr="00CB0109" w:rsidRDefault="00A15384" w:rsidP="0073185F">
            <w:pPr>
              <w:spacing w:after="0" w:line="240" w:lineRule="auto"/>
              <w:ind w:left="113"/>
              <w:jc w:val="left"/>
              <w:rPr>
                <w:rFonts w:ascii="Arial" w:hAnsi="Arial" w:cs="Arial"/>
                <w:sz w:val="16"/>
                <w:szCs w:val="16"/>
              </w:rPr>
            </w:pPr>
            <w:r>
              <w:rPr>
                <w:rFonts w:ascii="Arial" w:hAnsi="Arial" w:cs="Arial"/>
                <w:sz w:val="16"/>
                <w:szCs w:val="16"/>
              </w:rPr>
              <w:t>Support for</w:t>
            </w:r>
            <w:r w:rsidR="0073185F" w:rsidRPr="00CB0109">
              <w:rPr>
                <w:rFonts w:ascii="Arial" w:hAnsi="Arial" w:cs="Arial"/>
                <w:sz w:val="16"/>
                <w:szCs w:val="16"/>
              </w:rPr>
              <w:t xml:space="preserve"> City Deal</w:t>
            </w:r>
            <w:r>
              <w:rPr>
                <w:rFonts w:ascii="Arial" w:hAnsi="Arial" w:cs="Arial"/>
                <w:sz w:val="16"/>
                <w:szCs w:val="16"/>
              </w:rPr>
              <w:t>s</w:t>
            </w:r>
          </w:p>
        </w:tc>
        <w:tc>
          <w:tcPr>
            <w:tcW w:w="901" w:type="dxa"/>
            <w:tcBorders>
              <w:top w:val="nil"/>
              <w:left w:val="nil"/>
              <w:bottom w:val="nil"/>
              <w:right w:val="nil"/>
            </w:tcBorders>
            <w:shd w:val="clear" w:color="auto" w:fill="auto"/>
            <w:noWrap/>
            <w:vAlign w:val="bottom"/>
            <w:hideMark/>
          </w:tcPr>
          <w:p w14:paraId="4127FD23" w14:textId="781E717A"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36270560" w14:textId="3198F1FA"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2,533 </w:t>
            </w:r>
          </w:p>
        </w:tc>
        <w:tc>
          <w:tcPr>
            <w:tcW w:w="977" w:type="dxa"/>
            <w:tcBorders>
              <w:top w:val="nil"/>
              <w:left w:val="nil"/>
              <w:bottom w:val="nil"/>
              <w:right w:val="nil"/>
            </w:tcBorders>
            <w:shd w:val="clear" w:color="auto" w:fill="auto"/>
            <w:noWrap/>
            <w:vAlign w:val="bottom"/>
            <w:hideMark/>
          </w:tcPr>
          <w:p w14:paraId="12060FAA" w14:textId="1E9D0A94"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0D93B3CB" w14:textId="14580D61"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c>
          <w:tcPr>
            <w:tcW w:w="988" w:type="dxa"/>
            <w:tcBorders>
              <w:top w:val="nil"/>
              <w:left w:val="nil"/>
              <w:bottom w:val="nil"/>
              <w:right w:val="nil"/>
            </w:tcBorders>
            <w:shd w:val="clear" w:color="auto" w:fill="auto"/>
            <w:noWrap/>
            <w:vAlign w:val="bottom"/>
            <w:hideMark/>
          </w:tcPr>
          <w:p w14:paraId="76652DB6" w14:textId="2D9354F0"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CB0109" w14:paraId="672C2A5D" w14:textId="77777777" w:rsidTr="0073185F">
        <w:trPr>
          <w:trHeight w:val="204"/>
        </w:trPr>
        <w:tc>
          <w:tcPr>
            <w:tcW w:w="2835" w:type="dxa"/>
            <w:tcBorders>
              <w:top w:val="nil"/>
              <w:left w:val="nil"/>
              <w:bottom w:val="nil"/>
              <w:right w:val="nil"/>
            </w:tcBorders>
            <w:shd w:val="clear" w:color="auto" w:fill="auto"/>
            <w:vAlign w:val="bottom"/>
            <w:hideMark/>
          </w:tcPr>
          <w:p w14:paraId="2D8001D8" w14:textId="77777777" w:rsidR="0073185F" w:rsidRPr="00CB0109" w:rsidRDefault="0073185F" w:rsidP="0073185F">
            <w:pPr>
              <w:spacing w:after="0" w:line="240" w:lineRule="auto"/>
              <w:ind w:left="113"/>
              <w:jc w:val="left"/>
              <w:rPr>
                <w:rFonts w:ascii="Arial" w:hAnsi="Arial" w:cs="Arial"/>
                <w:sz w:val="16"/>
                <w:szCs w:val="16"/>
              </w:rPr>
            </w:pPr>
            <w:r w:rsidRPr="00CB0109">
              <w:rPr>
                <w:rFonts w:ascii="Arial" w:hAnsi="Arial" w:cs="Arial"/>
                <w:sz w:val="16"/>
                <w:szCs w:val="16"/>
              </w:rPr>
              <w:t>Western Sydney City Deal</w:t>
            </w:r>
          </w:p>
        </w:tc>
        <w:tc>
          <w:tcPr>
            <w:tcW w:w="901" w:type="dxa"/>
            <w:tcBorders>
              <w:top w:val="nil"/>
              <w:left w:val="nil"/>
              <w:bottom w:val="nil"/>
              <w:right w:val="nil"/>
            </w:tcBorders>
            <w:shd w:val="clear" w:color="auto" w:fill="auto"/>
            <w:noWrap/>
            <w:vAlign w:val="bottom"/>
            <w:hideMark/>
          </w:tcPr>
          <w:p w14:paraId="22D396BC" w14:textId="71A3C031"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83 </w:t>
            </w:r>
          </w:p>
        </w:tc>
        <w:tc>
          <w:tcPr>
            <w:tcW w:w="977" w:type="dxa"/>
            <w:tcBorders>
              <w:top w:val="nil"/>
              <w:left w:val="nil"/>
              <w:bottom w:val="nil"/>
              <w:right w:val="nil"/>
            </w:tcBorders>
            <w:shd w:val="clear" w:color="000000" w:fill="E6E6E6"/>
            <w:noWrap/>
            <w:vAlign w:val="bottom"/>
            <w:hideMark/>
          </w:tcPr>
          <w:p w14:paraId="2A4A66EA" w14:textId="5143792E"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300 </w:t>
            </w:r>
          </w:p>
        </w:tc>
        <w:tc>
          <w:tcPr>
            <w:tcW w:w="977" w:type="dxa"/>
            <w:tcBorders>
              <w:top w:val="nil"/>
              <w:left w:val="nil"/>
              <w:bottom w:val="nil"/>
              <w:right w:val="nil"/>
            </w:tcBorders>
            <w:shd w:val="clear" w:color="auto" w:fill="auto"/>
            <w:noWrap/>
            <w:vAlign w:val="bottom"/>
            <w:hideMark/>
          </w:tcPr>
          <w:p w14:paraId="035AF6D4" w14:textId="4723FF20"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100 </w:t>
            </w:r>
          </w:p>
        </w:tc>
        <w:tc>
          <w:tcPr>
            <w:tcW w:w="977" w:type="dxa"/>
            <w:tcBorders>
              <w:top w:val="nil"/>
              <w:left w:val="nil"/>
              <w:bottom w:val="nil"/>
              <w:right w:val="nil"/>
            </w:tcBorders>
            <w:shd w:val="clear" w:color="auto" w:fill="auto"/>
            <w:noWrap/>
            <w:vAlign w:val="bottom"/>
            <w:hideMark/>
          </w:tcPr>
          <w:p w14:paraId="53BBD1FF" w14:textId="3D1EBF54"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100 </w:t>
            </w:r>
          </w:p>
        </w:tc>
        <w:tc>
          <w:tcPr>
            <w:tcW w:w="988" w:type="dxa"/>
            <w:tcBorders>
              <w:top w:val="nil"/>
              <w:left w:val="nil"/>
              <w:bottom w:val="nil"/>
              <w:right w:val="nil"/>
            </w:tcBorders>
            <w:shd w:val="clear" w:color="auto" w:fill="auto"/>
            <w:noWrap/>
            <w:vAlign w:val="bottom"/>
            <w:hideMark/>
          </w:tcPr>
          <w:p w14:paraId="6773F934" w14:textId="68FFD42C" w:rsidR="0073185F" w:rsidRPr="00CB0109" w:rsidRDefault="0073185F" w:rsidP="0073185F">
            <w:pPr>
              <w:spacing w:after="0" w:line="240" w:lineRule="auto"/>
              <w:jc w:val="right"/>
              <w:rPr>
                <w:rFonts w:ascii="Arial" w:hAnsi="Arial" w:cs="Arial"/>
                <w:sz w:val="16"/>
                <w:szCs w:val="16"/>
              </w:rPr>
            </w:pPr>
            <w:r>
              <w:rPr>
                <w:rFonts w:ascii="Arial" w:hAnsi="Arial" w:cs="Arial"/>
                <w:sz w:val="16"/>
                <w:szCs w:val="16"/>
              </w:rPr>
              <w:t xml:space="preserve">- </w:t>
            </w:r>
          </w:p>
        </w:tc>
      </w:tr>
      <w:tr w:rsidR="0073185F" w:rsidRPr="00CB0109" w14:paraId="5496F3AC" w14:textId="77777777" w:rsidTr="0073185F">
        <w:trPr>
          <w:trHeight w:val="204"/>
        </w:trPr>
        <w:tc>
          <w:tcPr>
            <w:tcW w:w="2835" w:type="dxa"/>
            <w:tcBorders>
              <w:top w:val="nil"/>
              <w:left w:val="nil"/>
              <w:bottom w:val="nil"/>
              <w:right w:val="nil"/>
            </w:tcBorders>
            <w:shd w:val="clear" w:color="auto" w:fill="auto"/>
            <w:noWrap/>
            <w:vAlign w:val="bottom"/>
            <w:hideMark/>
          </w:tcPr>
          <w:p w14:paraId="24620FE6" w14:textId="77777777" w:rsidR="0073185F" w:rsidRPr="00CB0109" w:rsidRDefault="0073185F" w:rsidP="0073185F">
            <w:pPr>
              <w:spacing w:after="0" w:line="240" w:lineRule="auto"/>
              <w:jc w:val="left"/>
              <w:rPr>
                <w:rFonts w:ascii="Arial" w:hAnsi="Arial" w:cs="Arial"/>
                <w:b/>
                <w:bCs/>
                <w:sz w:val="16"/>
                <w:szCs w:val="16"/>
              </w:rPr>
            </w:pPr>
            <w:r w:rsidRPr="00CB0109">
              <w:rPr>
                <w:rFonts w:ascii="Arial" w:hAnsi="Arial" w:cs="Arial"/>
                <w:b/>
                <w:bCs/>
                <w:sz w:val="16"/>
                <w:szCs w:val="16"/>
              </w:rPr>
              <w:t>Total expenses for Program 3.3</w:t>
            </w:r>
          </w:p>
        </w:tc>
        <w:tc>
          <w:tcPr>
            <w:tcW w:w="901" w:type="dxa"/>
            <w:tcBorders>
              <w:top w:val="single" w:sz="4" w:space="0" w:color="auto"/>
              <w:left w:val="nil"/>
              <w:bottom w:val="single" w:sz="4" w:space="0" w:color="auto"/>
              <w:right w:val="nil"/>
            </w:tcBorders>
            <w:shd w:val="clear" w:color="auto" w:fill="auto"/>
            <w:noWrap/>
            <w:vAlign w:val="bottom"/>
            <w:hideMark/>
          </w:tcPr>
          <w:p w14:paraId="6108A36C" w14:textId="52103E0E" w:rsidR="0073185F" w:rsidRPr="00CB0109"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4,804 </w:t>
            </w:r>
          </w:p>
        </w:tc>
        <w:tc>
          <w:tcPr>
            <w:tcW w:w="977" w:type="dxa"/>
            <w:tcBorders>
              <w:top w:val="single" w:sz="4" w:space="0" w:color="auto"/>
              <w:left w:val="nil"/>
              <w:bottom w:val="single" w:sz="4" w:space="0" w:color="auto"/>
              <w:right w:val="nil"/>
            </w:tcBorders>
            <w:shd w:val="clear" w:color="000000" w:fill="E6E6E6"/>
            <w:noWrap/>
            <w:vAlign w:val="bottom"/>
            <w:hideMark/>
          </w:tcPr>
          <w:p w14:paraId="23726145" w14:textId="55F70EEF" w:rsidR="0073185F" w:rsidRPr="00CB0109"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2,833 </w:t>
            </w:r>
          </w:p>
        </w:tc>
        <w:tc>
          <w:tcPr>
            <w:tcW w:w="977" w:type="dxa"/>
            <w:tcBorders>
              <w:top w:val="single" w:sz="4" w:space="0" w:color="auto"/>
              <w:left w:val="nil"/>
              <w:bottom w:val="single" w:sz="4" w:space="0" w:color="auto"/>
              <w:right w:val="nil"/>
            </w:tcBorders>
            <w:shd w:val="clear" w:color="auto" w:fill="auto"/>
            <w:noWrap/>
            <w:vAlign w:val="bottom"/>
            <w:hideMark/>
          </w:tcPr>
          <w:p w14:paraId="760A5148" w14:textId="0B1DEE68" w:rsidR="0073185F" w:rsidRPr="00CB0109"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100 </w:t>
            </w:r>
          </w:p>
        </w:tc>
        <w:tc>
          <w:tcPr>
            <w:tcW w:w="977" w:type="dxa"/>
            <w:tcBorders>
              <w:top w:val="single" w:sz="4" w:space="0" w:color="auto"/>
              <w:left w:val="nil"/>
              <w:bottom w:val="single" w:sz="4" w:space="0" w:color="auto"/>
              <w:right w:val="nil"/>
            </w:tcBorders>
            <w:shd w:val="clear" w:color="auto" w:fill="auto"/>
            <w:noWrap/>
            <w:vAlign w:val="bottom"/>
            <w:hideMark/>
          </w:tcPr>
          <w:p w14:paraId="04DD205C" w14:textId="0F0CB141" w:rsidR="0073185F" w:rsidRPr="00CB0109"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100 </w:t>
            </w:r>
          </w:p>
        </w:tc>
        <w:tc>
          <w:tcPr>
            <w:tcW w:w="988" w:type="dxa"/>
            <w:tcBorders>
              <w:top w:val="single" w:sz="4" w:space="0" w:color="auto"/>
              <w:left w:val="nil"/>
              <w:bottom w:val="single" w:sz="4" w:space="0" w:color="auto"/>
              <w:right w:val="nil"/>
            </w:tcBorders>
            <w:shd w:val="clear" w:color="auto" w:fill="auto"/>
            <w:noWrap/>
            <w:vAlign w:val="bottom"/>
            <w:hideMark/>
          </w:tcPr>
          <w:p w14:paraId="322F1DCC" w14:textId="0643B2B9" w:rsidR="0073185F" w:rsidRPr="00CB0109" w:rsidRDefault="0073185F" w:rsidP="0073185F">
            <w:pPr>
              <w:spacing w:after="0" w:line="240" w:lineRule="auto"/>
              <w:jc w:val="right"/>
              <w:rPr>
                <w:rFonts w:ascii="Arial" w:hAnsi="Arial" w:cs="Arial"/>
                <w:b/>
                <w:bCs/>
                <w:sz w:val="16"/>
                <w:szCs w:val="16"/>
              </w:rPr>
            </w:pPr>
            <w:r>
              <w:rPr>
                <w:rFonts w:ascii="Arial" w:hAnsi="Arial" w:cs="Arial"/>
                <w:b/>
                <w:bCs/>
                <w:sz w:val="16"/>
                <w:szCs w:val="16"/>
              </w:rPr>
              <w:t xml:space="preserve">- </w:t>
            </w:r>
          </w:p>
        </w:tc>
      </w:tr>
      <w:tr w:rsidR="00CB0109" w:rsidRPr="00CB0109" w14:paraId="7CB588E5" w14:textId="77777777" w:rsidTr="00F3679E">
        <w:trPr>
          <w:trHeight w:val="204"/>
        </w:trPr>
        <w:tc>
          <w:tcPr>
            <w:tcW w:w="6667" w:type="dxa"/>
            <w:gridSpan w:val="5"/>
            <w:tcBorders>
              <w:top w:val="single" w:sz="4" w:space="0" w:color="auto"/>
              <w:left w:val="nil"/>
              <w:bottom w:val="single" w:sz="4" w:space="0" w:color="auto"/>
              <w:right w:val="nil"/>
            </w:tcBorders>
            <w:shd w:val="clear" w:color="000000" w:fill="E6E6E6"/>
            <w:noWrap/>
            <w:vAlign w:val="bottom"/>
            <w:hideMark/>
          </w:tcPr>
          <w:p w14:paraId="3E0F0226" w14:textId="77777777" w:rsidR="00CB0109" w:rsidRPr="00CB0109" w:rsidRDefault="00CB0109" w:rsidP="00CB0109">
            <w:pPr>
              <w:spacing w:after="0" w:line="240" w:lineRule="auto"/>
              <w:jc w:val="left"/>
              <w:rPr>
                <w:rFonts w:ascii="Arial" w:hAnsi="Arial" w:cs="Arial"/>
                <w:b/>
                <w:bCs/>
                <w:sz w:val="16"/>
                <w:szCs w:val="16"/>
              </w:rPr>
            </w:pPr>
            <w:r w:rsidRPr="00CB0109">
              <w:rPr>
                <w:rFonts w:ascii="Arial" w:hAnsi="Arial" w:cs="Arial"/>
                <w:b/>
                <w:bCs/>
                <w:sz w:val="16"/>
                <w:szCs w:val="16"/>
              </w:rPr>
              <w:t xml:space="preserve">Components for Program 3.4: Growing a Stronger Northern Australian Economy </w:t>
            </w:r>
            <w:r w:rsidRPr="003D2497">
              <w:rPr>
                <w:rFonts w:ascii="Arial" w:hAnsi="Arial" w:cs="Arial"/>
                <w:b/>
                <w:bCs/>
                <w:sz w:val="16"/>
                <w:szCs w:val="16"/>
                <w:vertAlign w:val="superscript"/>
              </w:rPr>
              <w:t>(b)</w:t>
            </w:r>
          </w:p>
        </w:tc>
        <w:tc>
          <w:tcPr>
            <w:tcW w:w="988" w:type="dxa"/>
            <w:tcBorders>
              <w:top w:val="nil"/>
              <w:left w:val="nil"/>
              <w:bottom w:val="single" w:sz="4" w:space="0" w:color="auto"/>
              <w:right w:val="nil"/>
            </w:tcBorders>
            <w:shd w:val="clear" w:color="000000" w:fill="E6E6E6"/>
            <w:noWrap/>
            <w:vAlign w:val="bottom"/>
            <w:hideMark/>
          </w:tcPr>
          <w:p w14:paraId="60D23E86" w14:textId="77777777" w:rsidR="00CB0109" w:rsidRPr="00CB0109" w:rsidRDefault="00CB0109" w:rsidP="00CB0109">
            <w:pPr>
              <w:spacing w:after="0" w:line="240" w:lineRule="auto"/>
              <w:jc w:val="left"/>
              <w:rPr>
                <w:rFonts w:ascii="Arial" w:hAnsi="Arial" w:cs="Arial"/>
                <w:sz w:val="16"/>
                <w:szCs w:val="16"/>
              </w:rPr>
            </w:pPr>
            <w:r w:rsidRPr="00CB0109">
              <w:rPr>
                <w:rFonts w:ascii="Arial" w:hAnsi="Arial" w:cs="Arial"/>
                <w:sz w:val="16"/>
                <w:szCs w:val="16"/>
              </w:rPr>
              <w:t> </w:t>
            </w:r>
          </w:p>
        </w:tc>
      </w:tr>
      <w:tr w:rsidR="00CB0109" w:rsidRPr="00CB0109" w14:paraId="74BC0849" w14:textId="77777777" w:rsidTr="00F3679E">
        <w:trPr>
          <w:trHeight w:val="204"/>
        </w:trPr>
        <w:tc>
          <w:tcPr>
            <w:tcW w:w="2835" w:type="dxa"/>
            <w:tcBorders>
              <w:top w:val="nil"/>
              <w:left w:val="nil"/>
              <w:bottom w:val="nil"/>
              <w:right w:val="nil"/>
            </w:tcBorders>
            <w:shd w:val="clear" w:color="auto" w:fill="auto"/>
            <w:noWrap/>
            <w:vAlign w:val="bottom"/>
            <w:hideMark/>
          </w:tcPr>
          <w:p w14:paraId="5B51C0CF" w14:textId="77777777" w:rsidR="00CB0109" w:rsidRPr="00CB0109" w:rsidRDefault="00CB0109" w:rsidP="00CB0109">
            <w:pPr>
              <w:spacing w:after="0" w:line="240" w:lineRule="auto"/>
              <w:jc w:val="left"/>
              <w:rPr>
                <w:rFonts w:ascii="Arial" w:hAnsi="Arial" w:cs="Arial"/>
                <w:sz w:val="16"/>
                <w:szCs w:val="16"/>
              </w:rPr>
            </w:pPr>
            <w:r w:rsidRPr="00CB0109">
              <w:rPr>
                <w:rFonts w:ascii="Arial" w:hAnsi="Arial" w:cs="Arial"/>
                <w:sz w:val="16"/>
                <w:szCs w:val="16"/>
              </w:rPr>
              <w:t>Administered expenses</w:t>
            </w:r>
          </w:p>
        </w:tc>
        <w:tc>
          <w:tcPr>
            <w:tcW w:w="901" w:type="dxa"/>
            <w:tcBorders>
              <w:top w:val="nil"/>
              <w:left w:val="nil"/>
              <w:bottom w:val="nil"/>
              <w:right w:val="nil"/>
            </w:tcBorders>
            <w:shd w:val="clear" w:color="auto" w:fill="auto"/>
            <w:noWrap/>
            <w:vAlign w:val="bottom"/>
            <w:hideMark/>
          </w:tcPr>
          <w:p w14:paraId="6A5EBCB5" w14:textId="77777777" w:rsidR="00CB0109" w:rsidRPr="00CB0109" w:rsidRDefault="00CB0109" w:rsidP="00E45597">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4F7A6117" w14:textId="589A7CA9" w:rsidR="00CB0109" w:rsidRPr="00CB0109" w:rsidRDefault="00CB0109" w:rsidP="00E4559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24EB9A6E" w14:textId="77777777" w:rsidR="00CB0109" w:rsidRPr="00CB0109" w:rsidRDefault="00CB0109" w:rsidP="00E4559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7D903716" w14:textId="77777777" w:rsidR="00CB0109" w:rsidRPr="00CB0109" w:rsidRDefault="00CB0109" w:rsidP="00E45597">
            <w:pPr>
              <w:spacing w:after="0" w:line="240" w:lineRule="auto"/>
              <w:jc w:val="right"/>
              <w:rPr>
                <w:rFonts w:ascii="Times New Roman" w:hAnsi="Times New Roman"/>
              </w:rPr>
            </w:pPr>
          </w:p>
        </w:tc>
        <w:tc>
          <w:tcPr>
            <w:tcW w:w="988" w:type="dxa"/>
            <w:tcBorders>
              <w:top w:val="nil"/>
              <w:left w:val="nil"/>
              <w:bottom w:val="nil"/>
              <w:right w:val="nil"/>
            </w:tcBorders>
            <w:shd w:val="clear" w:color="auto" w:fill="auto"/>
            <w:noWrap/>
            <w:vAlign w:val="bottom"/>
            <w:hideMark/>
          </w:tcPr>
          <w:p w14:paraId="209E51FD" w14:textId="77777777" w:rsidR="00CB0109" w:rsidRPr="00CB0109" w:rsidRDefault="00CB0109" w:rsidP="00E45597">
            <w:pPr>
              <w:spacing w:after="0" w:line="240" w:lineRule="auto"/>
              <w:jc w:val="right"/>
              <w:rPr>
                <w:rFonts w:ascii="Times New Roman" w:hAnsi="Times New Roman"/>
              </w:rPr>
            </w:pPr>
          </w:p>
        </w:tc>
      </w:tr>
      <w:tr w:rsidR="0073185F" w:rsidRPr="00CB0109" w14:paraId="661A17CE" w14:textId="77777777" w:rsidTr="0073185F">
        <w:trPr>
          <w:trHeight w:val="204"/>
        </w:trPr>
        <w:tc>
          <w:tcPr>
            <w:tcW w:w="2835" w:type="dxa"/>
            <w:tcBorders>
              <w:top w:val="nil"/>
              <w:left w:val="nil"/>
              <w:bottom w:val="nil"/>
              <w:right w:val="nil"/>
            </w:tcBorders>
            <w:shd w:val="clear" w:color="auto" w:fill="auto"/>
            <w:vAlign w:val="bottom"/>
            <w:hideMark/>
          </w:tcPr>
          <w:p w14:paraId="6C96CD41" w14:textId="77777777" w:rsidR="0073185F" w:rsidRPr="00CB0109" w:rsidRDefault="0073185F" w:rsidP="0073185F">
            <w:pPr>
              <w:spacing w:after="0" w:line="240" w:lineRule="auto"/>
              <w:ind w:left="113"/>
              <w:jc w:val="left"/>
              <w:rPr>
                <w:rFonts w:ascii="Arial" w:hAnsi="Arial" w:cs="Arial"/>
                <w:sz w:val="16"/>
                <w:szCs w:val="16"/>
              </w:rPr>
            </w:pPr>
            <w:r w:rsidRPr="00CB0109">
              <w:rPr>
                <w:rFonts w:ascii="Arial" w:hAnsi="Arial" w:cs="Arial"/>
                <w:sz w:val="16"/>
                <w:szCs w:val="16"/>
              </w:rPr>
              <w:t>Northern Australia Development Program</w:t>
            </w:r>
          </w:p>
        </w:tc>
        <w:tc>
          <w:tcPr>
            <w:tcW w:w="901" w:type="dxa"/>
            <w:tcBorders>
              <w:top w:val="nil"/>
              <w:left w:val="nil"/>
              <w:bottom w:val="nil"/>
              <w:right w:val="nil"/>
            </w:tcBorders>
            <w:shd w:val="clear" w:color="auto" w:fill="auto"/>
            <w:noWrap/>
            <w:vAlign w:val="bottom"/>
            <w:hideMark/>
          </w:tcPr>
          <w:p w14:paraId="704D36D0" w14:textId="261F9AB7"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5D3CC1AC" w14:textId="18480583"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30,777 </w:t>
            </w:r>
          </w:p>
        </w:tc>
        <w:tc>
          <w:tcPr>
            <w:tcW w:w="977" w:type="dxa"/>
            <w:tcBorders>
              <w:top w:val="nil"/>
              <w:left w:val="nil"/>
              <w:bottom w:val="nil"/>
              <w:right w:val="nil"/>
            </w:tcBorders>
            <w:shd w:val="clear" w:color="auto" w:fill="auto"/>
            <w:noWrap/>
            <w:vAlign w:val="bottom"/>
            <w:hideMark/>
          </w:tcPr>
          <w:p w14:paraId="7EDEC3EA" w14:textId="3CE226BB"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30,777 </w:t>
            </w:r>
          </w:p>
        </w:tc>
        <w:tc>
          <w:tcPr>
            <w:tcW w:w="977" w:type="dxa"/>
            <w:tcBorders>
              <w:top w:val="nil"/>
              <w:left w:val="nil"/>
              <w:bottom w:val="nil"/>
              <w:right w:val="nil"/>
            </w:tcBorders>
            <w:shd w:val="clear" w:color="auto" w:fill="auto"/>
            <w:noWrap/>
            <w:vAlign w:val="bottom"/>
            <w:hideMark/>
          </w:tcPr>
          <w:p w14:paraId="430EDF72" w14:textId="28A42C21"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30,777 </w:t>
            </w:r>
          </w:p>
        </w:tc>
        <w:tc>
          <w:tcPr>
            <w:tcW w:w="988" w:type="dxa"/>
            <w:tcBorders>
              <w:top w:val="nil"/>
              <w:left w:val="nil"/>
              <w:bottom w:val="nil"/>
              <w:right w:val="nil"/>
            </w:tcBorders>
            <w:shd w:val="clear" w:color="auto" w:fill="auto"/>
            <w:noWrap/>
            <w:vAlign w:val="bottom"/>
            <w:hideMark/>
          </w:tcPr>
          <w:p w14:paraId="2C9EE092" w14:textId="020EB0E5"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4,110 </w:t>
            </w:r>
          </w:p>
        </w:tc>
      </w:tr>
      <w:tr w:rsidR="0073185F" w:rsidRPr="00CB0109" w14:paraId="3C5D1F04" w14:textId="77777777" w:rsidTr="0073185F">
        <w:trPr>
          <w:trHeight w:val="204"/>
        </w:trPr>
        <w:tc>
          <w:tcPr>
            <w:tcW w:w="2835" w:type="dxa"/>
            <w:tcBorders>
              <w:top w:val="nil"/>
              <w:left w:val="nil"/>
              <w:bottom w:val="nil"/>
              <w:right w:val="nil"/>
            </w:tcBorders>
            <w:shd w:val="clear" w:color="auto" w:fill="auto"/>
            <w:vAlign w:val="bottom"/>
            <w:hideMark/>
          </w:tcPr>
          <w:p w14:paraId="121020B7" w14:textId="77777777" w:rsidR="0073185F" w:rsidRPr="00CB0109" w:rsidRDefault="0073185F" w:rsidP="0073185F">
            <w:pPr>
              <w:spacing w:after="0" w:line="240" w:lineRule="auto"/>
              <w:ind w:left="113"/>
              <w:jc w:val="left"/>
              <w:rPr>
                <w:rFonts w:ascii="Arial" w:hAnsi="Arial" w:cs="Arial"/>
                <w:sz w:val="16"/>
                <w:szCs w:val="16"/>
              </w:rPr>
            </w:pPr>
            <w:r w:rsidRPr="00CB0109">
              <w:rPr>
                <w:rFonts w:ascii="Arial" w:hAnsi="Arial" w:cs="Arial"/>
                <w:sz w:val="16"/>
                <w:szCs w:val="16"/>
              </w:rPr>
              <w:t>Northern Australia Infrastructure Facility</w:t>
            </w:r>
          </w:p>
        </w:tc>
        <w:tc>
          <w:tcPr>
            <w:tcW w:w="901" w:type="dxa"/>
            <w:tcBorders>
              <w:top w:val="nil"/>
              <w:left w:val="nil"/>
              <w:bottom w:val="nil"/>
              <w:right w:val="nil"/>
            </w:tcBorders>
            <w:shd w:val="clear" w:color="auto" w:fill="auto"/>
            <w:noWrap/>
            <w:vAlign w:val="bottom"/>
            <w:hideMark/>
          </w:tcPr>
          <w:p w14:paraId="0FC3CF05" w14:textId="3C6D68BC"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65E9B1AE" w14:textId="5E0A5BB4"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380,514 </w:t>
            </w:r>
          </w:p>
        </w:tc>
        <w:tc>
          <w:tcPr>
            <w:tcW w:w="977" w:type="dxa"/>
            <w:tcBorders>
              <w:top w:val="nil"/>
              <w:left w:val="nil"/>
              <w:bottom w:val="nil"/>
              <w:right w:val="nil"/>
            </w:tcBorders>
            <w:shd w:val="clear" w:color="auto" w:fill="auto"/>
            <w:noWrap/>
            <w:vAlign w:val="bottom"/>
            <w:hideMark/>
          </w:tcPr>
          <w:p w14:paraId="51524942" w14:textId="4412AD61"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645,096 </w:t>
            </w:r>
          </w:p>
        </w:tc>
        <w:tc>
          <w:tcPr>
            <w:tcW w:w="977" w:type="dxa"/>
            <w:tcBorders>
              <w:top w:val="nil"/>
              <w:left w:val="nil"/>
              <w:bottom w:val="nil"/>
              <w:right w:val="nil"/>
            </w:tcBorders>
            <w:shd w:val="clear" w:color="auto" w:fill="auto"/>
            <w:noWrap/>
            <w:vAlign w:val="bottom"/>
            <w:hideMark/>
          </w:tcPr>
          <w:p w14:paraId="5CD15C24" w14:textId="53C160D1"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504,158 </w:t>
            </w:r>
          </w:p>
        </w:tc>
        <w:tc>
          <w:tcPr>
            <w:tcW w:w="988" w:type="dxa"/>
            <w:tcBorders>
              <w:top w:val="nil"/>
              <w:left w:val="nil"/>
              <w:bottom w:val="nil"/>
              <w:right w:val="nil"/>
            </w:tcBorders>
            <w:shd w:val="clear" w:color="auto" w:fill="auto"/>
            <w:noWrap/>
            <w:vAlign w:val="bottom"/>
            <w:hideMark/>
          </w:tcPr>
          <w:p w14:paraId="66C8B1E2" w14:textId="3082A1E9"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229,182 </w:t>
            </w:r>
          </w:p>
        </w:tc>
      </w:tr>
      <w:tr w:rsidR="0073185F" w:rsidRPr="00CB0109" w14:paraId="1CE7056B" w14:textId="77777777" w:rsidTr="0073185F">
        <w:trPr>
          <w:trHeight w:val="204"/>
        </w:trPr>
        <w:tc>
          <w:tcPr>
            <w:tcW w:w="2835" w:type="dxa"/>
            <w:tcBorders>
              <w:top w:val="nil"/>
              <w:left w:val="nil"/>
              <w:bottom w:val="nil"/>
              <w:right w:val="nil"/>
            </w:tcBorders>
            <w:shd w:val="clear" w:color="auto" w:fill="auto"/>
            <w:vAlign w:val="bottom"/>
            <w:hideMark/>
          </w:tcPr>
          <w:p w14:paraId="5B7BB637" w14:textId="77777777" w:rsidR="0073185F" w:rsidRPr="00CB0109" w:rsidRDefault="0073185F" w:rsidP="0073185F">
            <w:pPr>
              <w:spacing w:after="0" w:line="240" w:lineRule="auto"/>
              <w:ind w:left="113"/>
              <w:jc w:val="left"/>
              <w:rPr>
                <w:rFonts w:ascii="Arial" w:hAnsi="Arial" w:cs="Arial"/>
                <w:sz w:val="16"/>
                <w:szCs w:val="16"/>
              </w:rPr>
            </w:pPr>
            <w:r w:rsidRPr="00CB0109">
              <w:rPr>
                <w:rFonts w:ascii="Arial" w:hAnsi="Arial" w:cs="Arial"/>
                <w:sz w:val="16"/>
                <w:szCs w:val="16"/>
              </w:rPr>
              <w:t xml:space="preserve">Payments to corporate entities </w:t>
            </w:r>
            <w:r w:rsidRPr="00392344">
              <w:rPr>
                <w:rFonts w:ascii="Arial" w:hAnsi="Arial" w:cs="Arial"/>
                <w:sz w:val="16"/>
                <w:szCs w:val="16"/>
                <w:vertAlign w:val="superscript"/>
              </w:rPr>
              <w:t>(c)</w:t>
            </w:r>
          </w:p>
        </w:tc>
        <w:tc>
          <w:tcPr>
            <w:tcW w:w="901" w:type="dxa"/>
            <w:tcBorders>
              <w:top w:val="nil"/>
              <w:left w:val="nil"/>
              <w:bottom w:val="nil"/>
              <w:right w:val="nil"/>
            </w:tcBorders>
            <w:shd w:val="clear" w:color="auto" w:fill="auto"/>
            <w:noWrap/>
            <w:vAlign w:val="bottom"/>
            <w:hideMark/>
          </w:tcPr>
          <w:p w14:paraId="340A4D0C" w14:textId="77777777" w:rsidR="0073185F" w:rsidRPr="0073185F" w:rsidRDefault="0073185F" w:rsidP="0073185F">
            <w:pPr>
              <w:spacing w:after="0" w:line="240" w:lineRule="auto"/>
              <w:ind w:firstLineChars="100" w:firstLine="160"/>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0A3AA2E0" w14:textId="1E8A29F5"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068712DE" w14:textId="77777777" w:rsidR="0073185F" w:rsidRPr="0073185F" w:rsidRDefault="0073185F" w:rsidP="0073185F">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06EB7790" w14:textId="77777777" w:rsidR="0073185F" w:rsidRPr="0073185F" w:rsidRDefault="0073185F" w:rsidP="0073185F">
            <w:pPr>
              <w:spacing w:after="0" w:line="240" w:lineRule="auto"/>
              <w:jc w:val="right"/>
              <w:rPr>
                <w:rFonts w:ascii="Times New Roman" w:hAnsi="Times New Roman"/>
                <w:sz w:val="16"/>
                <w:szCs w:val="16"/>
              </w:rPr>
            </w:pPr>
          </w:p>
        </w:tc>
        <w:tc>
          <w:tcPr>
            <w:tcW w:w="988" w:type="dxa"/>
            <w:tcBorders>
              <w:top w:val="nil"/>
              <w:left w:val="nil"/>
              <w:bottom w:val="nil"/>
              <w:right w:val="nil"/>
            </w:tcBorders>
            <w:shd w:val="clear" w:color="auto" w:fill="auto"/>
            <w:noWrap/>
            <w:vAlign w:val="bottom"/>
            <w:hideMark/>
          </w:tcPr>
          <w:p w14:paraId="12568989" w14:textId="77777777" w:rsidR="0073185F" w:rsidRPr="0073185F" w:rsidRDefault="0073185F" w:rsidP="0073185F">
            <w:pPr>
              <w:spacing w:after="0" w:line="240" w:lineRule="auto"/>
              <w:jc w:val="right"/>
              <w:rPr>
                <w:rFonts w:ascii="Times New Roman" w:hAnsi="Times New Roman"/>
                <w:sz w:val="16"/>
                <w:szCs w:val="16"/>
              </w:rPr>
            </w:pPr>
          </w:p>
        </w:tc>
      </w:tr>
      <w:tr w:rsidR="0073185F" w:rsidRPr="00CB0109" w14:paraId="73B05658" w14:textId="77777777" w:rsidTr="0073185F">
        <w:trPr>
          <w:trHeight w:val="204"/>
        </w:trPr>
        <w:tc>
          <w:tcPr>
            <w:tcW w:w="2835" w:type="dxa"/>
            <w:tcBorders>
              <w:top w:val="nil"/>
              <w:left w:val="nil"/>
              <w:bottom w:val="nil"/>
              <w:right w:val="nil"/>
            </w:tcBorders>
            <w:shd w:val="clear" w:color="auto" w:fill="auto"/>
            <w:vAlign w:val="bottom"/>
            <w:hideMark/>
          </w:tcPr>
          <w:p w14:paraId="65C799A2" w14:textId="1D5F6800" w:rsidR="0073185F" w:rsidRPr="00CB0109" w:rsidRDefault="0073185F" w:rsidP="0073185F">
            <w:pPr>
              <w:spacing w:after="0" w:line="240" w:lineRule="auto"/>
              <w:ind w:left="204" w:hanging="91"/>
              <w:jc w:val="left"/>
              <w:rPr>
                <w:rFonts w:ascii="Arial" w:hAnsi="Arial" w:cs="Arial"/>
                <w:sz w:val="16"/>
                <w:szCs w:val="16"/>
              </w:rPr>
            </w:pPr>
            <w:r w:rsidRPr="007C61C1">
              <w:rPr>
                <w:rFonts w:ascii="Arial" w:hAnsi="Arial" w:cs="Arial"/>
                <w:sz w:val="16"/>
                <w:szCs w:val="16"/>
              </w:rPr>
              <w:t xml:space="preserve">- </w:t>
            </w:r>
            <w:r w:rsidRPr="00CB0109">
              <w:rPr>
                <w:rFonts w:ascii="Arial" w:hAnsi="Arial" w:cs="Arial"/>
                <w:sz w:val="16"/>
                <w:szCs w:val="16"/>
              </w:rPr>
              <w:t>Northern Australia Infrastructure Facility</w:t>
            </w:r>
          </w:p>
        </w:tc>
        <w:tc>
          <w:tcPr>
            <w:tcW w:w="901" w:type="dxa"/>
            <w:tcBorders>
              <w:top w:val="nil"/>
              <w:left w:val="nil"/>
              <w:bottom w:val="nil"/>
              <w:right w:val="nil"/>
            </w:tcBorders>
            <w:shd w:val="clear" w:color="auto" w:fill="auto"/>
            <w:noWrap/>
            <w:vAlign w:val="bottom"/>
            <w:hideMark/>
          </w:tcPr>
          <w:p w14:paraId="355DCBCC" w14:textId="67E0A190"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6A6012D2" w14:textId="1BC47F12"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14,227 </w:t>
            </w:r>
          </w:p>
        </w:tc>
        <w:tc>
          <w:tcPr>
            <w:tcW w:w="977" w:type="dxa"/>
            <w:tcBorders>
              <w:top w:val="nil"/>
              <w:left w:val="nil"/>
              <w:bottom w:val="nil"/>
              <w:right w:val="nil"/>
            </w:tcBorders>
            <w:shd w:val="clear" w:color="auto" w:fill="auto"/>
            <w:noWrap/>
            <w:vAlign w:val="bottom"/>
            <w:hideMark/>
          </w:tcPr>
          <w:p w14:paraId="02BEE799" w14:textId="5A807CDB"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20,877 </w:t>
            </w:r>
          </w:p>
        </w:tc>
        <w:tc>
          <w:tcPr>
            <w:tcW w:w="977" w:type="dxa"/>
            <w:tcBorders>
              <w:top w:val="nil"/>
              <w:left w:val="nil"/>
              <w:bottom w:val="nil"/>
              <w:right w:val="nil"/>
            </w:tcBorders>
            <w:shd w:val="clear" w:color="auto" w:fill="auto"/>
            <w:noWrap/>
            <w:vAlign w:val="bottom"/>
            <w:hideMark/>
          </w:tcPr>
          <w:p w14:paraId="70C77BDF" w14:textId="3068B6E4"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21,028 </w:t>
            </w:r>
          </w:p>
        </w:tc>
        <w:tc>
          <w:tcPr>
            <w:tcW w:w="988" w:type="dxa"/>
            <w:tcBorders>
              <w:top w:val="nil"/>
              <w:left w:val="nil"/>
              <w:bottom w:val="nil"/>
              <w:right w:val="nil"/>
            </w:tcBorders>
            <w:shd w:val="clear" w:color="auto" w:fill="auto"/>
            <w:noWrap/>
            <w:vAlign w:val="bottom"/>
            <w:hideMark/>
          </w:tcPr>
          <w:p w14:paraId="2FE8090F" w14:textId="1025AEC5" w:rsidR="0073185F" w:rsidRPr="0073185F" w:rsidRDefault="0073185F" w:rsidP="0073185F">
            <w:pPr>
              <w:spacing w:after="0" w:line="240" w:lineRule="auto"/>
              <w:jc w:val="right"/>
              <w:rPr>
                <w:rFonts w:ascii="Arial" w:hAnsi="Arial" w:cs="Arial"/>
                <w:sz w:val="16"/>
                <w:szCs w:val="16"/>
              </w:rPr>
            </w:pPr>
            <w:r w:rsidRPr="0073185F">
              <w:rPr>
                <w:rFonts w:ascii="Arial" w:hAnsi="Arial" w:cs="Arial"/>
                <w:sz w:val="16"/>
                <w:szCs w:val="16"/>
              </w:rPr>
              <w:t xml:space="preserve">21,191 </w:t>
            </w:r>
          </w:p>
        </w:tc>
      </w:tr>
      <w:tr w:rsidR="0073185F" w:rsidRPr="00CB0109" w14:paraId="6D74220F" w14:textId="77777777" w:rsidTr="0073185F">
        <w:trPr>
          <w:trHeight w:val="204"/>
        </w:trPr>
        <w:tc>
          <w:tcPr>
            <w:tcW w:w="2835" w:type="dxa"/>
            <w:tcBorders>
              <w:top w:val="nil"/>
              <w:left w:val="nil"/>
              <w:bottom w:val="single" w:sz="4" w:space="0" w:color="auto"/>
              <w:right w:val="nil"/>
            </w:tcBorders>
            <w:shd w:val="clear" w:color="auto" w:fill="auto"/>
            <w:noWrap/>
            <w:vAlign w:val="bottom"/>
            <w:hideMark/>
          </w:tcPr>
          <w:p w14:paraId="4EED5C43" w14:textId="77777777" w:rsidR="0073185F" w:rsidRPr="00CB0109" w:rsidRDefault="0073185F" w:rsidP="0073185F">
            <w:pPr>
              <w:spacing w:after="0" w:line="240" w:lineRule="auto"/>
              <w:jc w:val="left"/>
              <w:rPr>
                <w:rFonts w:ascii="Arial" w:hAnsi="Arial" w:cs="Arial"/>
                <w:b/>
                <w:bCs/>
                <w:sz w:val="16"/>
                <w:szCs w:val="16"/>
              </w:rPr>
            </w:pPr>
            <w:r w:rsidRPr="00CB0109">
              <w:rPr>
                <w:rFonts w:ascii="Arial" w:hAnsi="Arial" w:cs="Arial"/>
                <w:b/>
                <w:bCs/>
                <w:sz w:val="16"/>
                <w:szCs w:val="16"/>
              </w:rPr>
              <w:t>Total expenses for Program 3.4</w:t>
            </w:r>
          </w:p>
        </w:tc>
        <w:tc>
          <w:tcPr>
            <w:tcW w:w="901" w:type="dxa"/>
            <w:tcBorders>
              <w:top w:val="single" w:sz="4" w:space="0" w:color="auto"/>
              <w:left w:val="nil"/>
              <w:bottom w:val="single" w:sz="4" w:space="0" w:color="auto"/>
              <w:right w:val="nil"/>
            </w:tcBorders>
            <w:shd w:val="clear" w:color="auto" w:fill="auto"/>
            <w:noWrap/>
            <w:vAlign w:val="bottom"/>
            <w:hideMark/>
          </w:tcPr>
          <w:p w14:paraId="02F95E92" w14:textId="118A4C48" w:rsidR="0073185F" w:rsidRPr="0073185F" w:rsidRDefault="0073185F" w:rsidP="0073185F">
            <w:pPr>
              <w:spacing w:after="0" w:line="240" w:lineRule="auto"/>
              <w:jc w:val="right"/>
              <w:rPr>
                <w:rFonts w:ascii="Arial" w:hAnsi="Arial" w:cs="Arial"/>
                <w:b/>
                <w:bCs/>
                <w:sz w:val="16"/>
                <w:szCs w:val="16"/>
              </w:rPr>
            </w:pPr>
            <w:r w:rsidRPr="0073185F">
              <w:rPr>
                <w:rFonts w:ascii="Arial" w:hAnsi="Arial" w:cs="Arial"/>
                <w:b/>
                <w:bCs/>
                <w:sz w:val="16"/>
                <w:szCs w:val="16"/>
              </w:rPr>
              <w:t xml:space="preserve">- </w:t>
            </w:r>
          </w:p>
        </w:tc>
        <w:tc>
          <w:tcPr>
            <w:tcW w:w="977" w:type="dxa"/>
            <w:tcBorders>
              <w:top w:val="single" w:sz="4" w:space="0" w:color="auto"/>
              <w:left w:val="nil"/>
              <w:bottom w:val="single" w:sz="4" w:space="0" w:color="auto"/>
              <w:right w:val="nil"/>
            </w:tcBorders>
            <w:shd w:val="clear" w:color="000000" w:fill="E6E6E6"/>
            <w:noWrap/>
            <w:vAlign w:val="bottom"/>
            <w:hideMark/>
          </w:tcPr>
          <w:p w14:paraId="33ADAD8E" w14:textId="01749E78" w:rsidR="0073185F" w:rsidRPr="0073185F" w:rsidRDefault="0073185F" w:rsidP="0073185F">
            <w:pPr>
              <w:spacing w:after="0" w:line="240" w:lineRule="auto"/>
              <w:jc w:val="right"/>
              <w:rPr>
                <w:rFonts w:ascii="Arial" w:hAnsi="Arial" w:cs="Arial"/>
                <w:b/>
                <w:bCs/>
                <w:sz w:val="16"/>
                <w:szCs w:val="16"/>
              </w:rPr>
            </w:pPr>
            <w:r w:rsidRPr="0073185F">
              <w:rPr>
                <w:rFonts w:ascii="Arial" w:hAnsi="Arial" w:cs="Arial"/>
                <w:b/>
                <w:bCs/>
                <w:sz w:val="16"/>
                <w:szCs w:val="16"/>
              </w:rPr>
              <w:t xml:space="preserve">425,518 </w:t>
            </w:r>
          </w:p>
        </w:tc>
        <w:tc>
          <w:tcPr>
            <w:tcW w:w="977" w:type="dxa"/>
            <w:tcBorders>
              <w:top w:val="single" w:sz="4" w:space="0" w:color="auto"/>
              <w:left w:val="nil"/>
              <w:bottom w:val="single" w:sz="4" w:space="0" w:color="auto"/>
              <w:right w:val="nil"/>
            </w:tcBorders>
            <w:shd w:val="clear" w:color="auto" w:fill="auto"/>
            <w:noWrap/>
            <w:vAlign w:val="bottom"/>
            <w:hideMark/>
          </w:tcPr>
          <w:p w14:paraId="28E7E201" w14:textId="22BE4CB4" w:rsidR="0073185F" w:rsidRPr="0073185F" w:rsidRDefault="0073185F" w:rsidP="0073185F">
            <w:pPr>
              <w:spacing w:after="0" w:line="240" w:lineRule="auto"/>
              <w:jc w:val="right"/>
              <w:rPr>
                <w:rFonts w:ascii="Arial" w:hAnsi="Arial" w:cs="Arial"/>
                <w:b/>
                <w:bCs/>
                <w:sz w:val="16"/>
                <w:szCs w:val="16"/>
              </w:rPr>
            </w:pPr>
            <w:r w:rsidRPr="0073185F">
              <w:rPr>
                <w:rFonts w:ascii="Arial" w:hAnsi="Arial" w:cs="Arial"/>
                <w:b/>
                <w:bCs/>
                <w:sz w:val="16"/>
                <w:szCs w:val="16"/>
              </w:rPr>
              <w:t xml:space="preserve">696,750 </w:t>
            </w:r>
          </w:p>
        </w:tc>
        <w:tc>
          <w:tcPr>
            <w:tcW w:w="977" w:type="dxa"/>
            <w:tcBorders>
              <w:top w:val="single" w:sz="4" w:space="0" w:color="auto"/>
              <w:left w:val="nil"/>
              <w:bottom w:val="single" w:sz="4" w:space="0" w:color="auto"/>
              <w:right w:val="nil"/>
            </w:tcBorders>
            <w:shd w:val="clear" w:color="auto" w:fill="auto"/>
            <w:noWrap/>
            <w:vAlign w:val="bottom"/>
            <w:hideMark/>
          </w:tcPr>
          <w:p w14:paraId="62D5FA6E" w14:textId="582EE117" w:rsidR="0073185F" w:rsidRPr="0073185F" w:rsidRDefault="0073185F" w:rsidP="0073185F">
            <w:pPr>
              <w:spacing w:after="0" w:line="240" w:lineRule="auto"/>
              <w:jc w:val="right"/>
              <w:rPr>
                <w:rFonts w:ascii="Arial" w:hAnsi="Arial" w:cs="Arial"/>
                <w:b/>
                <w:bCs/>
                <w:sz w:val="16"/>
                <w:szCs w:val="16"/>
              </w:rPr>
            </w:pPr>
            <w:r w:rsidRPr="0073185F">
              <w:rPr>
                <w:rFonts w:ascii="Arial" w:hAnsi="Arial" w:cs="Arial"/>
                <w:b/>
                <w:bCs/>
                <w:sz w:val="16"/>
                <w:szCs w:val="16"/>
              </w:rPr>
              <w:t xml:space="preserve">555,963 </w:t>
            </w:r>
          </w:p>
        </w:tc>
        <w:tc>
          <w:tcPr>
            <w:tcW w:w="988" w:type="dxa"/>
            <w:tcBorders>
              <w:top w:val="single" w:sz="4" w:space="0" w:color="auto"/>
              <w:left w:val="nil"/>
              <w:bottom w:val="single" w:sz="4" w:space="0" w:color="auto"/>
              <w:right w:val="nil"/>
            </w:tcBorders>
            <w:shd w:val="clear" w:color="auto" w:fill="auto"/>
            <w:noWrap/>
            <w:vAlign w:val="bottom"/>
            <w:hideMark/>
          </w:tcPr>
          <w:p w14:paraId="45F54566" w14:textId="1749E5C4" w:rsidR="0073185F" w:rsidRPr="0073185F" w:rsidRDefault="0073185F" w:rsidP="0073185F">
            <w:pPr>
              <w:spacing w:after="0" w:line="240" w:lineRule="auto"/>
              <w:jc w:val="right"/>
              <w:rPr>
                <w:rFonts w:ascii="Arial" w:hAnsi="Arial" w:cs="Arial"/>
                <w:b/>
                <w:bCs/>
                <w:sz w:val="16"/>
                <w:szCs w:val="16"/>
              </w:rPr>
            </w:pPr>
            <w:r w:rsidRPr="0073185F">
              <w:rPr>
                <w:rFonts w:ascii="Arial" w:hAnsi="Arial" w:cs="Arial"/>
                <w:b/>
                <w:bCs/>
                <w:sz w:val="16"/>
                <w:szCs w:val="16"/>
              </w:rPr>
              <w:t xml:space="preserve">254,483 </w:t>
            </w:r>
          </w:p>
        </w:tc>
      </w:tr>
    </w:tbl>
    <w:p w14:paraId="32CD450F" w14:textId="43F8C928" w:rsidR="00CB0109" w:rsidRDefault="00CB0109" w:rsidP="00F10ACD">
      <w:pPr>
        <w:pStyle w:val="ListParagraph"/>
        <w:numPr>
          <w:ilvl w:val="0"/>
          <w:numId w:val="55"/>
        </w:numPr>
        <w:spacing w:before="60" w:after="0" w:line="240" w:lineRule="auto"/>
        <w:ind w:left="284" w:hanging="284"/>
        <w:rPr>
          <w:rFonts w:ascii="Arial" w:hAnsi="Arial" w:cs="Arial"/>
          <w:sz w:val="16"/>
          <w:lang w:val="x-none"/>
        </w:rPr>
      </w:pPr>
      <w:r w:rsidRPr="00CB0109">
        <w:rPr>
          <w:rFonts w:ascii="Arial" w:hAnsi="Arial" w:cs="Arial"/>
          <w:sz w:val="16"/>
          <w:lang w:val="x-none"/>
        </w:rPr>
        <w:t>Funding for the Regional Recovery Partnerships program in 2021-22  has been transferred to the Department of Treasury to be administered as payments to the states with the remainder transferred to the Community Development Grants program.</w:t>
      </w:r>
    </w:p>
    <w:p w14:paraId="6F2EE562" w14:textId="77777777" w:rsidR="00C32529" w:rsidRDefault="00E45597" w:rsidP="00F10ACD">
      <w:pPr>
        <w:pStyle w:val="ListParagraph"/>
        <w:numPr>
          <w:ilvl w:val="0"/>
          <w:numId w:val="55"/>
        </w:numPr>
        <w:spacing w:before="60" w:after="0" w:line="240" w:lineRule="auto"/>
        <w:ind w:left="284" w:hanging="284"/>
        <w:rPr>
          <w:rFonts w:ascii="Arial" w:hAnsi="Arial" w:cs="Arial"/>
          <w:sz w:val="16"/>
          <w:lang w:val="x-none"/>
        </w:rPr>
      </w:pPr>
      <w:r w:rsidRPr="00E45597">
        <w:rPr>
          <w:rFonts w:ascii="Arial" w:hAnsi="Arial" w:cs="Arial"/>
          <w:sz w:val="16"/>
          <w:lang w:val="x-none"/>
        </w:rPr>
        <w:t>This program was transferred into the Department as part of the amendment to the Administrative Arrangements Order (AAO) with effect on 2 July 2021.</w:t>
      </w:r>
    </w:p>
    <w:p w14:paraId="357269A7" w14:textId="43150382" w:rsidR="00E45597" w:rsidRPr="00C32529" w:rsidRDefault="00E45597" w:rsidP="00F10ACD">
      <w:pPr>
        <w:pStyle w:val="ListParagraph"/>
        <w:numPr>
          <w:ilvl w:val="0"/>
          <w:numId w:val="55"/>
        </w:numPr>
        <w:spacing w:before="60" w:after="0" w:line="240" w:lineRule="auto"/>
        <w:ind w:left="284" w:hanging="284"/>
        <w:rPr>
          <w:rFonts w:ascii="Arial" w:hAnsi="Arial" w:cs="Arial"/>
          <w:sz w:val="16"/>
          <w:lang w:val="x-none"/>
        </w:rPr>
      </w:pPr>
      <w:r w:rsidRPr="00C32529">
        <w:rPr>
          <w:rFonts w:ascii="Arial" w:hAnsi="Arial" w:cs="Arial"/>
          <w:sz w:val="16"/>
          <w:lang w:val="x-none"/>
        </w:rPr>
        <w:t>Relates to appropriation for corporate</w:t>
      </w:r>
      <w:r w:rsidR="0073185F">
        <w:rPr>
          <w:rFonts w:ascii="Arial" w:hAnsi="Arial" w:cs="Arial"/>
          <w:sz w:val="16"/>
          <w:lang w:val="x-none"/>
        </w:rPr>
        <w:t xml:space="preserve"> entities provided through the D</w:t>
      </w:r>
      <w:r w:rsidRPr="00C32529">
        <w:rPr>
          <w:rFonts w:ascii="Arial" w:hAnsi="Arial" w:cs="Arial"/>
          <w:sz w:val="16"/>
          <w:lang w:val="x-none"/>
        </w:rPr>
        <w:t>epartment.</w:t>
      </w:r>
    </w:p>
    <w:p w14:paraId="035B514E" w14:textId="77777777" w:rsidR="003D2497" w:rsidRDefault="003D2497" w:rsidP="00766815">
      <w:pPr>
        <w:spacing w:after="0"/>
        <w:rPr>
          <w:rFonts w:ascii="Arial" w:hAnsi="Arial" w:cs="Arial"/>
          <w:b/>
          <w:bCs/>
        </w:rPr>
      </w:pPr>
    </w:p>
    <w:p w14:paraId="02044B70" w14:textId="226121D3" w:rsidR="00000153" w:rsidRPr="00922C6F" w:rsidRDefault="00000153" w:rsidP="00766815">
      <w:pPr>
        <w:spacing w:after="0"/>
        <w:rPr>
          <w:rFonts w:ascii="Arial" w:hAnsi="Arial" w:cs="Arial"/>
          <w:b/>
          <w:bCs/>
        </w:rPr>
      </w:pPr>
      <w:r w:rsidRPr="00922C6F">
        <w:rPr>
          <w:rFonts w:ascii="Arial" w:hAnsi="Arial" w:cs="Arial"/>
          <w:b/>
          <w:bCs/>
        </w:rPr>
        <w:t>Performance criterial for Outcome 3</w:t>
      </w:r>
    </w:p>
    <w:p w14:paraId="79CEC846" w14:textId="12B185C5" w:rsidR="00000153" w:rsidRPr="00192B13" w:rsidRDefault="00000153" w:rsidP="00192B13">
      <w:pPr>
        <w:jc w:val="left"/>
      </w:pPr>
      <w:r w:rsidRPr="00192B13">
        <w:t xml:space="preserve">There has been no change to the performance criteria for Outcome 3 resulting from decisions made since the 2021–22 Budget. The </w:t>
      </w:r>
      <w:r w:rsidR="008863D9">
        <w:t>Department</w:t>
      </w:r>
      <w:r w:rsidRPr="00192B13">
        <w:t xml:space="preserve">’s detailed performance criteria can be found in the </w:t>
      </w:r>
      <w:r w:rsidR="00360023" w:rsidRPr="00192B13">
        <w:t xml:space="preserve">2021–22 </w:t>
      </w:r>
      <w:r w:rsidRPr="00192B13">
        <w:t>Infrastructure, Transport, Regional Development and Communications PB Statements.</w:t>
      </w:r>
    </w:p>
    <w:p w14:paraId="71CBFCB7" w14:textId="20B5507A" w:rsidR="00000153" w:rsidRDefault="00000153" w:rsidP="00000153">
      <w:pPr>
        <w:pStyle w:val="Heading3DITRDC"/>
      </w:pPr>
      <w:r>
        <w:br w:type="page"/>
      </w:r>
      <w:bookmarkStart w:id="310" w:name="_Toc92992116"/>
      <w:bookmarkStart w:id="311" w:name="_Toc93405041"/>
      <w:bookmarkStart w:id="312" w:name="_Toc94854647"/>
      <w:r>
        <w:lastRenderedPageBreak/>
        <w:t>2.</w:t>
      </w:r>
      <w:r>
        <w:rPr>
          <w:lang w:val="en-AU"/>
        </w:rPr>
        <w:t>5</w:t>
      </w:r>
      <w:r>
        <w:tab/>
        <w:t>Budgeted expenses and performance for Outcome 4</w:t>
      </w:r>
      <w:bookmarkEnd w:id="310"/>
      <w:bookmarkEnd w:id="311"/>
      <w:bookmarkEnd w:id="31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35"/>
      </w:tblGrid>
      <w:tr w:rsidR="00000153" w:rsidRPr="00842923" w14:paraId="700D3824" w14:textId="77777777" w:rsidTr="00BD72A9">
        <w:tc>
          <w:tcPr>
            <w:tcW w:w="7705" w:type="dxa"/>
            <w:shd w:val="clear" w:color="auto" w:fill="E6E6E6"/>
          </w:tcPr>
          <w:p w14:paraId="39AAFF34" w14:textId="77777777" w:rsidR="00000153" w:rsidRPr="00842923" w:rsidRDefault="00000153" w:rsidP="00766815">
            <w:pPr>
              <w:pStyle w:val="TableColumnHeadingLeft"/>
              <w:jc w:val="left"/>
              <w:rPr>
                <w:sz w:val="20"/>
              </w:rPr>
            </w:pPr>
            <w:r w:rsidRPr="00F862B3">
              <w:rPr>
                <w:sz w:val="20"/>
              </w:rPr>
              <w:t xml:space="preserve">Outcome </w:t>
            </w:r>
            <w:r>
              <w:rPr>
                <w:sz w:val="20"/>
              </w:rPr>
              <w:t>4</w:t>
            </w:r>
            <w:r w:rsidRPr="00F862B3">
              <w:rPr>
                <w:sz w:val="20"/>
              </w:rPr>
              <w:t xml:space="preserve">: </w:t>
            </w:r>
            <w:r w:rsidRPr="00842923">
              <w:rPr>
                <w:sz w:val="20"/>
              </w:rPr>
              <w:t>Good governance and service delivery in the Australian territories including through the maintenance and improvement of the laws and services for non-self-governing territories, and the overarching legislative framework for self-governing territories</w:t>
            </w:r>
          </w:p>
        </w:tc>
      </w:tr>
    </w:tbl>
    <w:p w14:paraId="462FBD81" w14:textId="77777777" w:rsidR="00000153" w:rsidRDefault="00000153" w:rsidP="00000153">
      <w:pPr>
        <w:pStyle w:val="Heading4"/>
        <w:rPr>
          <w:sz w:val="22"/>
          <w:szCs w:val="22"/>
        </w:rPr>
      </w:pPr>
    </w:p>
    <w:p w14:paraId="3085E497" w14:textId="77777777" w:rsidR="00000153" w:rsidRDefault="00000153" w:rsidP="00000153">
      <w:pPr>
        <w:pStyle w:val="Heading4"/>
      </w:pPr>
      <w:r w:rsidRPr="00F862B3">
        <w:rPr>
          <w:sz w:val="22"/>
          <w:szCs w:val="22"/>
        </w:rPr>
        <w:t>Linked programs</w:t>
      </w:r>
      <w:r w:rsidRPr="005E6F2B">
        <w:t xml:space="preserve"> </w:t>
      </w:r>
    </w:p>
    <w:p w14:paraId="1B9F4FD2" w14:textId="45771147" w:rsidR="00000153" w:rsidRDefault="00000153" w:rsidP="00000153">
      <w:pPr>
        <w:jc w:val="left"/>
      </w:pPr>
      <w:r w:rsidRPr="00950281">
        <w:t>Th</w:t>
      </w:r>
      <w:r>
        <w:t xml:space="preserve">ere have been no changes to linked programs for this outcome from that published in the </w:t>
      </w:r>
      <w:r w:rsidR="00360023">
        <w:t xml:space="preserve">2021-22 </w:t>
      </w:r>
      <w:r>
        <w:t xml:space="preserve">Infrastructure, Transport, Regional Development and </w:t>
      </w:r>
      <w:r w:rsidR="006A053E">
        <w:t>Communications</w:t>
      </w:r>
      <w:r w:rsidR="00173391">
        <w:t xml:space="preserve"> PB Statements.</w:t>
      </w:r>
    </w:p>
    <w:p w14:paraId="49C5F265" w14:textId="77777777" w:rsidR="00000153" w:rsidRPr="00446612" w:rsidRDefault="00000153" w:rsidP="00000153">
      <w:pPr>
        <w:pStyle w:val="Heading4"/>
      </w:pPr>
      <w:r w:rsidRPr="00446612">
        <w:t xml:space="preserve">Budgeted expenses for Outcome </w:t>
      </w:r>
      <w:r>
        <w:rPr>
          <w:lang w:val="en-AU"/>
        </w:rPr>
        <w:t>4</w:t>
      </w:r>
    </w:p>
    <w:p w14:paraId="49F0F4FE" w14:textId="724FEFBC" w:rsidR="00000153" w:rsidRDefault="00F3679E" w:rsidP="00766815">
      <w:pPr>
        <w:jc w:val="left"/>
      </w:pPr>
      <w:r>
        <w:t>This table shows how much the Department</w:t>
      </w:r>
      <w:r w:rsidR="00000153" w:rsidRPr="00950281">
        <w:t xml:space="preserve"> intends to spend (on an accrual basis) on achieving the outcome, broken down by program, as well as by Administered and </w:t>
      </w:r>
      <w:r w:rsidR="008863D9">
        <w:t>Department</w:t>
      </w:r>
      <w:r w:rsidR="00000153" w:rsidRPr="00950281">
        <w:t xml:space="preserve">al funding sources. </w:t>
      </w:r>
    </w:p>
    <w:p w14:paraId="1AA4E4F6" w14:textId="0DCA810B" w:rsidR="00A27EC7" w:rsidRDefault="00A27EC7" w:rsidP="00A27EC7">
      <w:pPr>
        <w:pStyle w:val="TableHeading"/>
        <w:rPr>
          <w:lang w:val="en-AU"/>
        </w:rPr>
      </w:pPr>
      <w:r w:rsidRPr="00192B13">
        <w:t>Table 2.</w:t>
      </w:r>
      <w:r w:rsidR="00000153" w:rsidRPr="00192B13">
        <w:rPr>
          <w:lang w:val="en-AU"/>
        </w:rPr>
        <w:t>5</w:t>
      </w:r>
      <w:r w:rsidRPr="00192B13">
        <w:rPr>
          <w:lang w:val="en-AU"/>
        </w:rPr>
        <w:t>.</w:t>
      </w:r>
      <w:r w:rsidRPr="00192B13">
        <w:t>1 Budgeted expenses</w:t>
      </w:r>
      <w:r w:rsidRPr="00192B13">
        <w:rPr>
          <w:lang w:val="en-AU"/>
        </w:rPr>
        <w:t xml:space="preserve"> for</w:t>
      </w:r>
      <w:r w:rsidRPr="00192B13">
        <w:t xml:space="preserve"> Outcome </w:t>
      </w:r>
      <w:r w:rsidR="005233C2" w:rsidRPr="00192B13">
        <w:rPr>
          <w:lang w:val="en-AU"/>
        </w:rPr>
        <w:t>4</w:t>
      </w:r>
    </w:p>
    <w:tbl>
      <w:tblPr>
        <w:tblW w:w="7655" w:type="dxa"/>
        <w:tblLook w:val="04A0" w:firstRow="1" w:lastRow="0" w:firstColumn="1" w:lastColumn="0" w:noHBand="0" w:noVBand="1"/>
      </w:tblPr>
      <w:tblGrid>
        <w:gridCol w:w="2977"/>
        <w:gridCol w:w="958"/>
        <w:gridCol w:w="977"/>
        <w:gridCol w:w="977"/>
        <w:gridCol w:w="27"/>
        <w:gridCol w:w="851"/>
        <w:gridCol w:w="42"/>
        <w:gridCol w:w="846"/>
      </w:tblGrid>
      <w:tr w:rsidR="00E34CEC" w:rsidRPr="00766815" w14:paraId="41E395A5" w14:textId="77777777" w:rsidTr="00B1501D">
        <w:trPr>
          <w:trHeight w:val="728"/>
        </w:trPr>
        <w:tc>
          <w:tcPr>
            <w:tcW w:w="2977" w:type="dxa"/>
            <w:tcBorders>
              <w:top w:val="single" w:sz="4" w:space="0" w:color="auto"/>
              <w:left w:val="nil"/>
              <w:right w:val="nil"/>
            </w:tcBorders>
            <w:shd w:val="clear" w:color="auto" w:fill="auto"/>
            <w:noWrap/>
            <w:hideMark/>
          </w:tcPr>
          <w:p w14:paraId="0BF49FF7" w14:textId="77777777" w:rsidR="00E34CEC" w:rsidRPr="00766815" w:rsidRDefault="00E34CEC" w:rsidP="00E34CEC">
            <w:pPr>
              <w:spacing w:after="0" w:line="240" w:lineRule="auto"/>
              <w:jc w:val="left"/>
              <w:rPr>
                <w:rFonts w:ascii="Arial" w:hAnsi="Arial" w:cs="Arial"/>
                <w:sz w:val="16"/>
                <w:szCs w:val="16"/>
              </w:rPr>
            </w:pPr>
            <w:r w:rsidRPr="00766815">
              <w:rPr>
                <w:rFonts w:ascii="Arial" w:hAnsi="Arial" w:cs="Arial"/>
                <w:sz w:val="16"/>
                <w:szCs w:val="16"/>
              </w:rPr>
              <w:t> </w:t>
            </w:r>
          </w:p>
        </w:tc>
        <w:tc>
          <w:tcPr>
            <w:tcW w:w="958" w:type="dxa"/>
            <w:tcBorders>
              <w:top w:val="single" w:sz="4" w:space="0" w:color="auto"/>
              <w:left w:val="nil"/>
              <w:bottom w:val="single" w:sz="4" w:space="0" w:color="auto"/>
              <w:right w:val="nil"/>
            </w:tcBorders>
            <w:shd w:val="clear" w:color="auto" w:fill="auto"/>
            <w:vAlign w:val="bottom"/>
            <w:hideMark/>
          </w:tcPr>
          <w:p w14:paraId="42A9733D" w14:textId="346555AC" w:rsidR="00E34CEC" w:rsidRPr="00766815"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E6E6E6"/>
            <w:vAlign w:val="bottom"/>
            <w:hideMark/>
          </w:tcPr>
          <w:p w14:paraId="79B6C0F3" w14:textId="127CDB77" w:rsidR="00E34CEC" w:rsidRPr="00766815"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731529A7" w14:textId="1545BF7F" w:rsidR="00E34CEC" w:rsidRPr="00766815"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878" w:type="dxa"/>
            <w:gridSpan w:val="2"/>
            <w:tcBorders>
              <w:top w:val="single" w:sz="4" w:space="0" w:color="auto"/>
              <w:left w:val="nil"/>
              <w:bottom w:val="single" w:sz="4" w:space="0" w:color="auto"/>
              <w:right w:val="nil"/>
            </w:tcBorders>
            <w:shd w:val="clear" w:color="auto" w:fill="auto"/>
            <w:vAlign w:val="bottom"/>
            <w:hideMark/>
          </w:tcPr>
          <w:p w14:paraId="0DEBE3C8" w14:textId="5F9D6E69" w:rsidR="00E34CEC" w:rsidRPr="00766815"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888" w:type="dxa"/>
            <w:gridSpan w:val="2"/>
            <w:tcBorders>
              <w:top w:val="single" w:sz="4" w:space="0" w:color="auto"/>
              <w:left w:val="nil"/>
              <w:bottom w:val="single" w:sz="4" w:space="0" w:color="auto"/>
              <w:right w:val="nil"/>
            </w:tcBorders>
            <w:shd w:val="clear" w:color="auto" w:fill="auto"/>
            <w:vAlign w:val="bottom"/>
            <w:hideMark/>
          </w:tcPr>
          <w:p w14:paraId="2D8E29BA" w14:textId="141EF638" w:rsidR="00E34CEC" w:rsidRPr="00766815"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766815" w:rsidRPr="00766815" w14:paraId="679B6FDC" w14:textId="77777777" w:rsidTr="00645E3F">
        <w:trPr>
          <w:trHeight w:val="204"/>
        </w:trPr>
        <w:tc>
          <w:tcPr>
            <w:tcW w:w="2977" w:type="dxa"/>
            <w:tcBorders>
              <w:top w:val="single" w:sz="4" w:space="0" w:color="auto"/>
              <w:left w:val="nil"/>
              <w:bottom w:val="single" w:sz="4" w:space="0" w:color="auto"/>
              <w:right w:val="nil"/>
            </w:tcBorders>
            <w:shd w:val="clear" w:color="auto" w:fill="E6E6E6"/>
            <w:noWrap/>
            <w:vAlign w:val="bottom"/>
            <w:hideMark/>
          </w:tcPr>
          <w:p w14:paraId="372EB71A" w14:textId="77777777" w:rsidR="00766815" w:rsidRPr="00766815" w:rsidRDefault="00766815" w:rsidP="00645E3F">
            <w:pPr>
              <w:spacing w:after="20" w:line="240" w:lineRule="auto"/>
              <w:jc w:val="left"/>
              <w:rPr>
                <w:rFonts w:ascii="Arial" w:hAnsi="Arial" w:cs="Arial"/>
                <w:b/>
                <w:bCs/>
                <w:sz w:val="16"/>
                <w:szCs w:val="16"/>
              </w:rPr>
            </w:pPr>
            <w:r w:rsidRPr="00766815">
              <w:rPr>
                <w:rFonts w:ascii="Arial" w:hAnsi="Arial" w:cs="Arial"/>
                <w:b/>
                <w:bCs/>
                <w:sz w:val="16"/>
                <w:szCs w:val="16"/>
              </w:rPr>
              <w:t>Program 4.1: Services to territories</w:t>
            </w:r>
          </w:p>
        </w:tc>
        <w:tc>
          <w:tcPr>
            <w:tcW w:w="958" w:type="dxa"/>
            <w:tcBorders>
              <w:top w:val="single" w:sz="4" w:space="0" w:color="auto"/>
              <w:left w:val="nil"/>
              <w:bottom w:val="single" w:sz="4" w:space="0" w:color="auto"/>
              <w:right w:val="nil"/>
            </w:tcBorders>
            <w:shd w:val="clear" w:color="auto" w:fill="E6E6E6"/>
            <w:noWrap/>
            <w:vAlign w:val="bottom"/>
            <w:hideMark/>
          </w:tcPr>
          <w:p w14:paraId="16333006" w14:textId="77777777" w:rsidR="00766815" w:rsidRPr="00766815" w:rsidRDefault="00766815" w:rsidP="00645E3F">
            <w:pPr>
              <w:spacing w:after="20" w:line="240" w:lineRule="auto"/>
              <w:jc w:val="left"/>
              <w:rPr>
                <w:rFonts w:ascii="Arial" w:hAnsi="Arial" w:cs="Arial"/>
                <w:sz w:val="16"/>
                <w:szCs w:val="16"/>
              </w:rPr>
            </w:pPr>
            <w:r w:rsidRPr="00766815">
              <w:rPr>
                <w:rFonts w:ascii="Arial" w:hAnsi="Arial" w:cs="Arial"/>
                <w:sz w:val="16"/>
                <w:szCs w:val="16"/>
              </w:rPr>
              <w:t> </w:t>
            </w:r>
          </w:p>
        </w:tc>
        <w:tc>
          <w:tcPr>
            <w:tcW w:w="977" w:type="dxa"/>
            <w:tcBorders>
              <w:top w:val="single" w:sz="4" w:space="0" w:color="auto"/>
              <w:left w:val="nil"/>
              <w:bottom w:val="single" w:sz="4" w:space="0" w:color="auto"/>
              <w:right w:val="nil"/>
            </w:tcBorders>
            <w:shd w:val="clear" w:color="auto" w:fill="E6E6E6"/>
            <w:noWrap/>
            <w:vAlign w:val="bottom"/>
            <w:hideMark/>
          </w:tcPr>
          <w:p w14:paraId="44C61160" w14:textId="77777777" w:rsidR="00766815" w:rsidRPr="00766815" w:rsidRDefault="00766815" w:rsidP="00645E3F">
            <w:pPr>
              <w:spacing w:after="20" w:line="240" w:lineRule="auto"/>
              <w:jc w:val="left"/>
              <w:rPr>
                <w:rFonts w:ascii="Arial" w:hAnsi="Arial" w:cs="Arial"/>
                <w:sz w:val="16"/>
                <w:szCs w:val="16"/>
              </w:rPr>
            </w:pPr>
            <w:r w:rsidRPr="00766815">
              <w:rPr>
                <w:rFonts w:ascii="Arial" w:hAnsi="Arial" w:cs="Arial"/>
                <w:sz w:val="16"/>
                <w:szCs w:val="16"/>
              </w:rPr>
              <w:t> </w:t>
            </w:r>
          </w:p>
        </w:tc>
        <w:tc>
          <w:tcPr>
            <w:tcW w:w="977" w:type="dxa"/>
            <w:tcBorders>
              <w:top w:val="single" w:sz="4" w:space="0" w:color="auto"/>
              <w:left w:val="nil"/>
              <w:bottom w:val="single" w:sz="4" w:space="0" w:color="auto"/>
              <w:right w:val="nil"/>
            </w:tcBorders>
            <w:shd w:val="clear" w:color="auto" w:fill="E6E6E6"/>
            <w:noWrap/>
            <w:vAlign w:val="bottom"/>
            <w:hideMark/>
          </w:tcPr>
          <w:p w14:paraId="7D955661" w14:textId="77777777" w:rsidR="00766815" w:rsidRPr="00766815" w:rsidRDefault="00766815" w:rsidP="00645E3F">
            <w:pPr>
              <w:spacing w:after="20" w:line="240" w:lineRule="auto"/>
              <w:jc w:val="left"/>
              <w:rPr>
                <w:rFonts w:ascii="Arial" w:hAnsi="Arial" w:cs="Arial"/>
                <w:sz w:val="16"/>
                <w:szCs w:val="16"/>
              </w:rPr>
            </w:pPr>
            <w:r w:rsidRPr="00766815">
              <w:rPr>
                <w:rFonts w:ascii="Arial" w:hAnsi="Arial" w:cs="Arial"/>
                <w:sz w:val="16"/>
                <w:szCs w:val="16"/>
              </w:rPr>
              <w:t> </w:t>
            </w:r>
          </w:p>
        </w:tc>
        <w:tc>
          <w:tcPr>
            <w:tcW w:w="878" w:type="dxa"/>
            <w:gridSpan w:val="2"/>
            <w:tcBorders>
              <w:top w:val="single" w:sz="4" w:space="0" w:color="auto"/>
              <w:left w:val="nil"/>
              <w:bottom w:val="single" w:sz="4" w:space="0" w:color="auto"/>
              <w:right w:val="nil"/>
            </w:tcBorders>
            <w:shd w:val="clear" w:color="auto" w:fill="E6E6E6"/>
            <w:noWrap/>
            <w:vAlign w:val="bottom"/>
            <w:hideMark/>
          </w:tcPr>
          <w:p w14:paraId="651FC484" w14:textId="77777777" w:rsidR="00766815" w:rsidRPr="00766815" w:rsidRDefault="00766815" w:rsidP="00645E3F">
            <w:pPr>
              <w:spacing w:after="20" w:line="240" w:lineRule="auto"/>
              <w:jc w:val="left"/>
              <w:rPr>
                <w:rFonts w:ascii="Arial" w:hAnsi="Arial" w:cs="Arial"/>
                <w:sz w:val="16"/>
                <w:szCs w:val="16"/>
              </w:rPr>
            </w:pPr>
            <w:r w:rsidRPr="00766815">
              <w:rPr>
                <w:rFonts w:ascii="Arial" w:hAnsi="Arial" w:cs="Arial"/>
                <w:sz w:val="16"/>
                <w:szCs w:val="16"/>
              </w:rPr>
              <w:t> </w:t>
            </w:r>
          </w:p>
        </w:tc>
        <w:tc>
          <w:tcPr>
            <w:tcW w:w="888" w:type="dxa"/>
            <w:gridSpan w:val="2"/>
            <w:tcBorders>
              <w:top w:val="single" w:sz="4" w:space="0" w:color="auto"/>
              <w:left w:val="nil"/>
              <w:bottom w:val="single" w:sz="4" w:space="0" w:color="auto"/>
              <w:right w:val="nil"/>
            </w:tcBorders>
            <w:shd w:val="clear" w:color="auto" w:fill="E6E6E6"/>
            <w:noWrap/>
            <w:vAlign w:val="bottom"/>
            <w:hideMark/>
          </w:tcPr>
          <w:p w14:paraId="0EC2F0C5" w14:textId="77777777" w:rsidR="00766815" w:rsidRPr="00766815" w:rsidRDefault="00766815" w:rsidP="00645E3F">
            <w:pPr>
              <w:spacing w:after="20" w:line="240" w:lineRule="auto"/>
              <w:jc w:val="left"/>
              <w:rPr>
                <w:rFonts w:ascii="Arial" w:hAnsi="Arial" w:cs="Arial"/>
                <w:sz w:val="16"/>
                <w:szCs w:val="16"/>
              </w:rPr>
            </w:pPr>
            <w:r w:rsidRPr="00766815">
              <w:rPr>
                <w:rFonts w:ascii="Arial" w:hAnsi="Arial" w:cs="Arial"/>
                <w:sz w:val="16"/>
                <w:szCs w:val="16"/>
              </w:rPr>
              <w:t> </w:t>
            </w:r>
          </w:p>
        </w:tc>
      </w:tr>
      <w:tr w:rsidR="00766815" w:rsidRPr="00766815" w14:paraId="462CA84F" w14:textId="77777777" w:rsidTr="00EB0E0A">
        <w:trPr>
          <w:trHeight w:val="204"/>
        </w:trPr>
        <w:tc>
          <w:tcPr>
            <w:tcW w:w="2977" w:type="dxa"/>
            <w:tcBorders>
              <w:top w:val="nil"/>
              <w:left w:val="nil"/>
              <w:bottom w:val="nil"/>
              <w:right w:val="nil"/>
            </w:tcBorders>
            <w:shd w:val="clear" w:color="auto" w:fill="auto"/>
            <w:noWrap/>
            <w:vAlign w:val="bottom"/>
            <w:hideMark/>
          </w:tcPr>
          <w:p w14:paraId="511F30E6" w14:textId="77777777" w:rsidR="00766815" w:rsidRPr="00EB0E0A" w:rsidRDefault="00766815" w:rsidP="00766815">
            <w:pPr>
              <w:spacing w:after="0" w:line="240" w:lineRule="auto"/>
              <w:jc w:val="left"/>
              <w:rPr>
                <w:rFonts w:ascii="Arial" w:hAnsi="Arial" w:cs="Arial"/>
                <w:sz w:val="16"/>
                <w:szCs w:val="16"/>
              </w:rPr>
            </w:pPr>
            <w:r w:rsidRPr="00EB0E0A">
              <w:rPr>
                <w:rFonts w:ascii="Arial" w:hAnsi="Arial" w:cs="Arial"/>
                <w:sz w:val="16"/>
                <w:szCs w:val="16"/>
              </w:rPr>
              <w:t>Administered expenses</w:t>
            </w:r>
          </w:p>
        </w:tc>
        <w:tc>
          <w:tcPr>
            <w:tcW w:w="958" w:type="dxa"/>
            <w:tcBorders>
              <w:top w:val="nil"/>
              <w:left w:val="nil"/>
              <w:bottom w:val="nil"/>
              <w:right w:val="nil"/>
            </w:tcBorders>
            <w:shd w:val="clear" w:color="auto" w:fill="auto"/>
            <w:noWrap/>
            <w:vAlign w:val="bottom"/>
            <w:hideMark/>
          </w:tcPr>
          <w:p w14:paraId="34A3C990" w14:textId="77777777" w:rsidR="00766815" w:rsidRPr="00EB0E0A" w:rsidRDefault="00766815" w:rsidP="00364472">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0A786345" w14:textId="35872C4F" w:rsidR="00766815" w:rsidRPr="00EB0E0A" w:rsidRDefault="00766815" w:rsidP="00364472">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47850C42" w14:textId="77777777" w:rsidR="00766815" w:rsidRPr="00EB0E0A" w:rsidRDefault="00766815" w:rsidP="00364472">
            <w:pPr>
              <w:spacing w:after="0" w:line="240" w:lineRule="auto"/>
              <w:jc w:val="right"/>
              <w:rPr>
                <w:rFonts w:ascii="Arial" w:hAnsi="Arial" w:cs="Arial"/>
                <w:sz w:val="16"/>
                <w:szCs w:val="16"/>
              </w:rPr>
            </w:pPr>
          </w:p>
        </w:tc>
        <w:tc>
          <w:tcPr>
            <w:tcW w:w="878" w:type="dxa"/>
            <w:gridSpan w:val="2"/>
            <w:tcBorders>
              <w:top w:val="nil"/>
              <w:left w:val="nil"/>
              <w:bottom w:val="nil"/>
              <w:right w:val="nil"/>
            </w:tcBorders>
            <w:shd w:val="clear" w:color="auto" w:fill="auto"/>
            <w:noWrap/>
            <w:vAlign w:val="bottom"/>
            <w:hideMark/>
          </w:tcPr>
          <w:p w14:paraId="563410AC" w14:textId="77777777" w:rsidR="00766815" w:rsidRPr="00EB0E0A" w:rsidRDefault="00766815" w:rsidP="00364472">
            <w:pPr>
              <w:spacing w:after="0" w:line="240" w:lineRule="auto"/>
              <w:jc w:val="right"/>
              <w:rPr>
                <w:rFonts w:ascii="Times New Roman" w:hAnsi="Times New Roman"/>
                <w:sz w:val="16"/>
                <w:szCs w:val="16"/>
              </w:rPr>
            </w:pPr>
          </w:p>
        </w:tc>
        <w:tc>
          <w:tcPr>
            <w:tcW w:w="888" w:type="dxa"/>
            <w:gridSpan w:val="2"/>
            <w:tcBorders>
              <w:top w:val="nil"/>
              <w:left w:val="nil"/>
              <w:bottom w:val="nil"/>
              <w:right w:val="nil"/>
            </w:tcBorders>
            <w:shd w:val="clear" w:color="auto" w:fill="auto"/>
            <w:noWrap/>
            <w:vAlign w:val="bottom"/>
            <w:hideMark/>
          </w:tcPr>
          <w:p w14:paraId="26708861" w14:textId="77777777" w:rsidR="00766815" w:rsidRPr="00EB0E0A" w:rsidRDefault="00766815" w:rsidP="00364472">
            <w:pPr>
              <w:spacing w:after="0" w:line="240" w:lineRule="auto"/>
              <w:jc w:val="right"/>
              <w:rPr>
                <w:rFonts w:ascii="Times New Roman" w:hAnsi="Times New Roman"/>
                <w:sz w:val="16"/>
                <w:szCs w:val="16"/>
              </w:rPr>
            </w:pPr>
          </w:p>
        </w:tc>
      </w:tr>
      <w:tr w:rsidR="00F24C07" w:rsidRPr="00766815" w14:paraId="1FDE95BB" w14:textId="77777777" w:rsidTr="00EB0E0A">
        <w:trPr>
          <w:trHeight w:val="204"/>
        </w:trPr>
        <w:tc>
          <w:tcPr>
            <w:tcW w:w="2977" w:type="dxa"/>
            <w:tcBorders>
              <w:top w:val="nil"/>
              <w:left w:val="nil"/>
              <w:bottom w:val="nil"/>
              <w:right w:val="nil"/>
            </w:tcBorders>
            <w:shd w:val="clear" w:color="auto" w:fill="auto"/>
            <w:vAlign w:val="bottom"/>
            <w:hideMark/>
          </w:tcPr>
          <w:p w14:paraId="3A41CBF2" w14:textId="519EB889" w:rsidR="00F24C07" w:rsidRPr="00EB0E0A" w:rsidRDefault="00F24C07" w:rsidP="00F24C07">
            <w:pPr>
              <w:spacing w:after="0" w:line="240" w:lineRule="auto"/>
              <w:ind w:left="113"/>
              <w:jc w:val="left"/>
              <w:rPr>
                <w:rFonts w:ascii="Arial" w:hAnsi="Arial" w:cs="Arial"/>
                <w:sz w:val="16"/>
                <w:szCs w:val="16"/>
              </w:rPr>
            </w:pPr>
            <w:r w:rsidRPr="00EB0E0A">
              <w:rPr>
                <w:rFonts w:ascii="Arial" w:hAnsi="Arial" w:cs="Arial"/>
                <w:sz w:val="16"/>
                <w:szCs w:val="16"/>
              </w:rPr>
              <w:t>Ordinary Annual Services (Appropriation Act No. 1 and Bill No.  3)</w:t>
            </w:r>
          </w:p>
        </w:tc>
        <w:tc>
          <w:tcPr>
            <w:tcW w:w="958" w:type="dxa"/>
            <w:tcBorders>
              <w:top w:val="nil"/>
              <w:left w:val="nil"/>
              <w:bottom w:val="nil"/>
              <w:right w:val="nil"/>
            </w:tcBorders>
            <w:shd w:val="clear" w:color="auto" w:fill="auto"/>
            <w:noWrap/>
            <w:vAlign w:val="bottom"/>
            <w:hideMark/>
          </w:tcPr>
          <w:p w14:paraId="0939D650" w14:textId="42F0F33C"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197,580 </w:t>
            </w:r>
          </w:p>
        </w:tc>
        <w:tc>
          <w:tcPr>
            <w:tcW w:w="977" w:type="dxa"/>
            <w:tcBorders>
              <w:top w:val="nil"/>
              <w:left w:val="nil"/>
              <w:bottom w:val="nil"/>
              <w:right w:val="nil"/>
            </w:tcBorders>
            <w:shd w:val="clear" w:color="auto" w:fill="E6E6E6"/>
            <w:noWrap/>
            <w:vAlign w:val="bottom"/>
            <w:hideMark/>
          </w:tcPr>
          <w:p w14:paraId="0ADF74E9" w14:textId="6CE243EC"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193,724 </w:t>
            </w:r>
          </w:p>
        </w:tc>
        <w:tc>
          <w:tcPr>
            <w:tcW w:w="977" w:type="dxa"/>
            <w:tcBorders>
              <w:top w:val="nil"/>
              <w:left w:val="nil"/>
              <w:bottom w:val="nil"/>
              <w:right w:val="nil"/>
            </w:tcBorders>
            <w:shd w:val="clear" w:color="auto" w:fill="auto"/>
            <w:noWrap/>
            <w:vAlign w:val="bottom"/>
            <w:hideMark/>
          </w:tcPr>
          <w:p w14:paraId="3994CAD0" w14:textId="2E5AFC32"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139,460 </w:t>
            </w:r>
          </w:p>
        </w:tc>
        <w:tc>
          <w:tcPr>
            <w:tcW w:w="878" w:type="dxa"/>
            <w:gridSpan w:val="2"/>
            <w:tcBorders>
              <w:top w:val="nil"/>
              <w:left w:val="nil"/>
              <w:bottom w:val="nil"/>
              <w:right w:val="nil"/>
            </w:tcBorders>
            <w:shd w:val="clear" w:color="auto" w:fill="auto"/>
            <w:noWrap/>
            <w:vAlign w:val="bottom"/>
            <w:hideMark/>
          </w:tcPr>
          <w:p w14:paraId="1C3561EF" w14:textId="0B19B641"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141,148 </w:t>
            </w:r>
          </w:p>
        </w:tc>
        <w:tc>
          <w:tcPr>
            <w:tcW w:w="888" w:type="dxa"/>
            <w:gridSpan w:val="2"/>
            <w:tcBorders>
              <w:top w:val="nil"/>
              <w:left w:val="nil"/>
              <w:bottom w:val="nil"/>
              <w:right w:val="nil"/>
            </w:tcBorders>
            <w:shd w:val="clear" w:color="auto" w:fill="auto"/>
            <w:noWrap/>
            <w:vAlign w:val="bottom"/>
            <w:hideMark/>
          </w:tcPr>
          <w:p w14:paraId="46FAD588" w14:textId="46489779"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142,616 </w:t>
            </w:r>
          </w:p>
        </w:tc>
      </w:tr>
      <w:tr w:rsidR="00F24C07" w:rsidRPr="00766815" w14:paraId="5D96AB6A" w14:textId="77777777" w:rsidTr="00EB0E0A">
        <w:trPr>
          <w:trHeight w:val="204"/>
        </w:trPr>
        <w:tc>
          <w:tcPr>
            <w:tcW w:w="2977" w:type="dxa"/>
            <w:tcBorders>
              <w:top w:val="nil"/>
              <w:left w:val="nil"/>
              <w:bottom w:val="nil"/>
              <w:right w:val="nil"/>
            </w:tcBorders>
            <w:shd w:val="clear" w:color="auto" w:fill="auto"/>
            <w:noWrap/>
            <w:vAlign w:val="bottom"/>
            <w:hideMark/>
          </w:tcPr>
          <w:p w14:paraId="3922D9D0" w14:textId="77777777" w:rsidR="00F24C07" w:rsidRPr="00EB0E0A" w:rsidRDefault="00F24C07" w:rsidP="00F24C07">
            <w:pPr>
              <w:spacing w:after="0" w:line="240" w:lineRule="auto"/>
              <w:ind w:left="113"/>
              <w:jc w:val="left"/>
              <w:rPr>
                <w:rFonts w:ascii="Arial" w:hAnsi="Arial" w:cs="Arial"/>
                <w:sz w:val="16"/>
                <w:szCs w:val="16"/>
              </w:rPr>
            </w:pPr>
            <w:r w:rsidRPr="00EB0E0A">
              <w:rPr>
                <w:rFonts w:ascii="Arial" w:hAnsi="Arial" w:cs="Arial"/>
                <w:sz w:val="16"/>
                <w:szCs w:val="16"/>
              </w:rPr>
              <w:t>Special Appropriations</w:t>
            </w:r>
          </w:p>
        </w:tc>
        <w:tc>
          <w:tcPr>
            <w:tcW w:w="958" w:type="dxa"/>
            <w:tcBorders>
              <w:top w:val="nil"/>
              <w:left w:val="nil"/>
              <w:bottom w:val="nil"/>
              <w:right w:val="nil"/>
            </w:tcBorders>
            <w:shd w:val="clear" w:color="auto" w:fill="auto"/>
            <w:noWrap/>
            <w:vAlign w:val="bottom"/>
            <w:hideMark/>
          </w:tcPr>
          <w:p w14:paraId="090AC0DB" w14:textId="77777777" w:rsidR="00F24C07" w:rsidRPr="00EB0E0A" w:rsidRDefault="00F24C07" w:rsidP="00F24C07">
            <w:pPr>
              <w:spacing w:after="0" w:line="240" w:lineRule="auto"/>
              <w:ind w:firstLineChars="100" w:firstLine="160"/>
              <w:jc w:val="righ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7C953F30" w14:textId="69E7CE67"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04A60608" w14:textId="77777777" w:rsidR="00F24C07" w:rsidRPr="00EB0E0A" w:rsidRDefault="00F24C07" w:rsidP="00F24C07">
            <w:pPr>
              <w:spacing w:after="0" w:line="240" w:lineRule="auto"/>
              <w:jc w:val="right"/>
              <w:rPr>
                <w:rFonts w:ascii="Arial" w:hAnsi="Arial" w:cs="Arial"/>
                <w:sz w:val="16"/>
                <w:szCs w:val="16"/>
              </w:rPr>
            </w:pPr>
          </w:p>
        </w:tc>
        <w:tc>
          <w:tcPr>
            <w:tcW w:w="878" w:type="dxa"/>
            <w:gridSpan w:val="2"/>
            <w:tcBorders>
              <w:top w:val="nil"/>
              <w:left w:val="nil"/>
              <w:bottom w:val="nil"/>
              <w:right w:val="nil"/>
            </w:tcBorders>
            <w:shd w:val="clear" w:color="auto" w:fill="auto"/>
            <w:noWrap/>
            <w:vAlign w:val="bottom"/>
            <w:hideMark/>
          </w:tcPr>
          <w:p w14:paraId="70422277" w14:textId="77777777" w:rsidR="00F24C07" w:rsidRPr="00EB0E0A" w:rsidRDefault="00F24C07" w:rsidP="00F24C07">
            <w:pPr>
              <w:spacing w:after="0" w:line="240" w:lineRule="auto"/>
              <w:jc w:val="right"/>
              <w:rPr>
                <w:rFonts w:ascii="Times New Roman" w:hAnsi="Times New Roman"/>
                <w:sz w:val="16"/>
                <w:szCs w:val="16"/>
              </w:rPr>
            </w:pPr>
          </w:p>
        </w:tc>
        <w:tc>
          <w:tcPr>
            <w:tcW w:w="888" w:type="dxa"/>
            <w:gridSpan w:val="2"/>
            <w:tcBorders>
              <w:top w:val="nil"/>
              <w:left w:val="nil"/>
              <w:bottom w:val="nil"/>
              <w:right w:val="nil"/>
            </w:tcBorders>
            <w:shd w:val="clear" w:color="auto" w:fill="auto"/>
            <w:noWrap/>
            <w:vAlign w:val="bottom"/>
            <w:hideMark/>
          </w:tcPr>
          <w:p w14:paraId="34312CF6" w14:textId="77777777" w:rsidR="00F24C07" w:rsidRPr="00EB0E0A" w:rsidRDefault="00F24C07" w:rsidP="00F24C07">
            <w:pPr>
              <w:spacing w:after="0" w:line="240" w:lineRule="auto"/>
              <w:jc w:val="right"/>
              <w:rPr>
                <w:rFonts w:ascii="Times New Roman" w:hAnsi="Times New Roman"/>
                <w:sz w:val="16"/>
                <w:szCs w:val="16"/>
              </w:rPr>
            </w:pPr>
          </w:p>
        </w:tc>
      </w:tr>
      <w:tr w:rsidR="00F24C07" w:rsidRPr="00766815" w14:paraId="285FB311" w14:textId="77777777" w:rsidTr="00EB0E0A">
        <w:trPr>
          <w:trHeight w:val="204"/>
        </w:trPr>
        <w:tc>
          <w:tcPr>
            <w:tcW w:w="2977" w:type="dxa"/>
            <w:tcBorders>
              <w:top w:val="nil"/>
              <w:left w:val="nil"/>
              <w:bottom w:val="nil"/>
              <w:right w:val="nil"/>
            </w:tcBorders>
            <w:shd w:val="clear" w:color="auto" w:fill="auto"/>
            <w:vAlign w:val="bottom"/>
            <w:hideMark/>
          </w:tcPr>
          <w:p w14:paraId="783AD75F" w14:textId="77777777" w:rsidR="00F24C07" w:rsidRPr="00EB0E0A" w:rsidRDefault="00F24C07" w:rsidP="00F24C07">
            <w:pPr>
              <w:spacing w:after="0" w:line="240" w:lineRule="auto"/>
              <w:ind w:left="227"/>
              <w:jc w:val="left"/>
              <w:rPr>
                <w:rFonts w:ascii="Arial" w:hAnsi="Arial" w:cs="Arial"/>
                <w:sz w:val="16"/>
                <w:szCs w:val="16"/>
              </w:rPr>
            </w:pPr>
            <w:r w:rsidRPr="00EB0E0A">
              <w:rPr>
                <w:rFonts w:ascii="Arial" w:hAnsi="Arial" w:cs="Arial"/>
                <w:sz w:val="16"/>
                <w:szCs w:val="16"/>
              </w:rPr>
              <w:t xml:space="preserve">Services to Indian Ocean Territories </w:t>
            </w:r>
            <w:r w:rsidRPr="00EB0E0A">
              <w:rPr>
                <w:rFonts w:ascii="Arial" w:hAnsi="Arial" w:cs="Arial"/>
                <w:sz w:val="16"/>
                <w:szCs w:val="16"/>
                <w:vertAlign w:val="superscript"/>
              </w:rPr>
              <w:t>(a)</w:t>
            </w:r>
          </w:p>
        </w:tc>
        <w:tc>
          <w:tcPr>
            <w:tcW w:w="958" w:type="dxa"/>
            <w:tcBorders>
              <w:top w:val="nil"/>
              <w:left w:val="nil"/>
              <w:bottom w:val="nil"/>
              <w:right w:val="nil"/>
            </w:tcBorders>
            <w:shd w:val="clear" w:color="auto" w:fill="auto"/>
            <w:noWrap/>
            <w:vAlign w:val="bottom"/>
            <w:hideMark/>
          </w:tcPr>
          <w:p w14:paraId="04655DDD" w14:textId="25D67B4B"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E6E6E6"/>
            <w:noWrap/>
            <w:vAlign w:val="bottom"/>
            <w:hideMark/>
          </w:tcPr>
          <w:p w14:paraId="3FCE8E9F" w14:textId="572B65C9"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72425176" w14:textId="34310112"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 </w:t>
            </w:r>
          </w:p>
        </w:tc>
        <w:tc>
          <w:tcPr>
            <w:tcW w:w="878" w:type="dxa"/>
            <w:gridSpan w:val="2"/>
            <w:tcBorders>
              <w:top w:val="nil"/>
              <w:left w:val="nil"/>
              <w:bottom w:val="nil"/>
              <w:right w:val="nil"/>
            </w:tcBorders>
            <w:shd w:val="clear" w:color="auto" w:fill="auto"/>
            <w:noWrap/>
            <w:vAlign w:val="bottom"/>
            <w:hideMark/>
          </w:tcPr>
          <w:p w14:paraId="753C04B0" w14:textId="26C2B446"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 </w:t>
            </w:r>
          </w:p>
        </w:tc>
        <w:tc>
          <w:tcPr>
            <w:tcW w:w="888" w:type="dxa"/>
            <w:gridSpan w:val="2"/>
            <w:tcBorders>
              <w:top w:val="nil"/>
              <w:left w:val="nil"/>
              <w:bottom w:val="nil"/>
              <w:right w:val="nil"/>
            </w:tcBorders>
            <w:shd w:val="clear" w:color="auto" w:fill="auto"/>
            <w:noWrap/>
            <w:vAlign w:val="bottom"/>
            <w:hideMark/>
          </w:tcPr>
          <w:p w14:paraId="1A8CD8A3" w14:textId="5F56C4BE"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 </w:t>
            </w:r>
          </w:p>
        </w:tc>
      </w:tr>
      <w:tr w:rsidR="00F24C07" w:rsidRPr="00766815" w14:paraId="1794EF3B" w14:textId="77777777" w:rsidTr="00EB0E0A">
        <w:trPr>
          <w:trHeight w:val="204"/>
        </w:trPr>
        <w:tc>
          <w:tcPr>
            <w:tcW w:w="2977" w:type="dxa"/>
            <w:tcBorders>
              <w:top w:val="nil"/>
              <w:left w:val="nil"/>
              <w:bottom w:val="nil"/>
              <w:right w:val="nil"/>
            </w:tcBorders>
            <w:shd w:val="clear" w:color="auto" w:fill="auto"/>
            <w:noWrap/>
            <w:vAlign w:val="bottom"/>
            <w:hideMark/>
          </w:tcPr>
          <w:p w14:paraId="7A656272" w14:textId="77777777" w:rsidR="00F24C07" w:rsidRPr="00EB0E0A" w:rsidRDefault="00F24C07" w:rsidP="00F24C07">
            <w:pPr>
              <w:spacing w:after="0" w:line="240" w:lineRule="auto"/>
              <w:ind w:left="113"/>
              <w:jc w:val="left"/>
              <w:rPr>
                <w:rFonts w:ascii="Arial" w:hAnsi="Arial" w:cs="Arial"/>
                <w:sz w:val="16"/>
                <w:szCs w:val="16"/>
              </w:rPr>
            </w:pPr>
            <w:r w:rsidRPr="00EB0E0A">
              <w:rPr>
                <w:rFonts w:ascii="Arial" w:hAnsi="Arial" w:cs="Arial"/>
                <w:sz w:val="16"/>
                <w:szCs w:val="16"/>
              </w:rPr>
              <w:t>Special Accounts</w:t>
            </w:r>
          </w:p>
        </w:tc>
        <w:tc>
          <w:tcPr>
            <w:tcW w:w="958" w:type="dxa"/>
            <w:tcBorders>
              <w:top w:val="nil"/>
              <w:left w:val="nil"/>
              <w:bottom w:val="nil"/>
              <w:right w:val="nil"/>
            </w:tcBorders>
            <w:shd w:val="clear" w:color="auto" w:fill="auto"/>
            <w:noWrap/>
            <w:vAlign w:val="bottom"/>
            <w:hideMark/>
          </w:tcPr>
          <w:p w14:paraId="1E7EB65D" w14:textId="77777777" w:rsidR="00F24C07" w:rsidRPr="00EB0E0A" w:rsidRDefault="00F24C07" w:rsidP="00F24C07">
            <w:pPr>
              <w:spacing w:after="0" w:line="240" w:lineRule="auto"/>
              <w:ind w:firstLineChars="100" w:firstLine="160"/>
              <w:jc w:val="righ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7E26C681" w14:textId="1EC6951A"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309A2FF6" w14:textId="77777777" w:rsidR="00F24C07" w:rsidRPr="00EB0E0A" w:rsidRDefault="00F24C07" w:rsidP="00F24C07">
            <w:pPr>
              <w:spacing w:after="0" w:line="240" w:lineRule="auto"/>
              <w:jc w:val="right"/>
              <w:rPr>
                <w:rFonts w:ascii="Arial" w:hAnsi="Arial" w:cs="Arial"/>
                <w:sz w:val="16"/>
                <w:szCs w:val="16"/>
              </w:rPr>
            </w:pPr>
          </w:p>
        </w:tc>
        <w:tc>
          <w:tcPr>
            <w:tcW w:w="878" w:type="dxa"/>
            <w:gridSpan w:val="2"/>
            <w:tcBorders>
              <w:top w:val="nil"/>
              <w:left w:val="nil"/>
              <w:bottom w:val="nil"/>
              <w:right w:val="nil"/>
            </w:tcBorders>
            <w:shd w:val="clear" w:color="auto" w:fill="auto"/>
            <w:noWrap/>
            <w:vAlign w:val="bottom"/>
            <w:hideMark/>
          </w:tcPr>
          <w:p w14:paraId="262EB5D4" w14:textId="77777777" w:rsidR="00F24C07" w:rsidRPr="00EB0E0A" w:rsidRDefault="00F24C07" w:rsidP="00F24C07">
            <w:pPr>
              <w:spacing w:after="0" w:line="240" w:lineRule="auto"/>
              <w:jc w:val="right"/>
              <w:rPr>
                <w:rFonts w:ascii="Times New Roman" w:hAnsi="Times New Roman"/>
                <w:sz w:val="16"/>
                <w:szCs w:val="16"/>
              </w:rPr>
            </w:pPr>
          </w:p>
        </w:tc>
        <w:tc>
          <w:tcPr>
            <w:tcW w:w="888" w:type="dxa"/>
            <w:gridSpan w:val="2"/>
            <w:tcBorders>
              <w:top w:val="nil"/>
              <w:left w:val="nil"/>
              <w:bottom w:val="nil"/>
              <w:right w:val="nil"/>
            </w:tcBorders>
            <w:shd w:val="clear" w:color="auto" w:fill="auto"/>
            <w:noWrap/>
            <w:vAlign w:val="bottom"/>
            <w:hideMark/>
          </w:tcPr>
          <w:p w14:paraId="6902481A" w14:textId="77777777" w:rsidR="00F24C07" w:rsidRPr="00EB0E0A" w:rsidRDefault="00F24C07" w:rsidP="00F24C07">
            <w:pPr>
              <w:spacing w:after="0" w:line="240" w:lineRule="auto"/>
              <w:jc w:val="right"/>
              <w:rPr>
                <w:rFonts w:ascii="Times New Roman" w:hAnsi="Times New Roman"/>
                <w:sz w:val="16"/>
                <w:szCs w:val="16"/>
              </w:rPr>
            </w:pPr>
          </w:p>
        </w:tc>
      </w:tr>
      <w:tr w:rsidR="00F24C07" w:rsidRPr="00766815" w14:paraId="2D22A764" w14:textId="77777777" w:rsidTr="00EB0E0A">
        <w:trPr>
          <w:trHeight w:val="204"/>
        </w:trPr>
        <w:tc>
          <w:tcPr>
            <w:tcW w:w="2977" w:type="dxa"/>
            <w:tcBorders>
              <w:top w:val="nil"/>
              <w:left w:val="nil"/>
              <w:bottom w:val="nil"/>
              <w:right w:val="nil"/>
            </w:tcBorders>
            <w:shd w:val="clear" w:color="auto" w:fill="auto"/>
            <w:vAlign w:val="bottom"/>
            <w:hideMark/>
          </w:tcPr>
          <w:p w14:paraId="47AA5F7C" w14:textId="77777777" w:rsidR="00F24C07" w:rsidRPr="00EB0E0A" w:rsidRDefault="00F24C07" w:rsidP="00F24C07">
            <w:pPr>
              <w:spacing w:after="0" w:line="240" w:lineRule="auto"/>
              <w:ind w:left="227"/>
              <w:jc w:val="left"/>
              <w:rPr>
                <w:rFonts w:ascii="Arial" w:hAnsi="Arial" w:cs="Arial"/>
                <w:sz w:val="16"/>
                <w:szCs w:val="16"/>
              </w:rPr>
            </w:pPr>
            <w:r w:rsidRPr="00EB0E0A">
              <w:rPr>
                <w:rFonts w:ascii="Arial" w:hAnsi="Arial" w:cs="Arial"/>
                <w:sz w:val="16"/>
                <w:szCs w:val="16"/>
              </w:rPr>
              <w:t>Christmas Island Phosphate Mining Rehabilitation Special Account 2016</w:t>
            </w:r>
          </w:p>
        </w:tc>
        <w:tc>
          <w:tcPr>
            <w:tcW w:w="958" w:type="dxa"/>
            <w:tcBorders>
              <w:top w:val="nil"/>
              <w:left w:val="nil"/>
              <w:bottom w:val="nil"/>
              <w:right w:val="nil"/>
            </w:tcBorders>
            <w:shd w:val="clear" w:color="auto" w:fill="auto"/>
            <w:noWrap/>
            <w:vAlign w:val="bottom"/>
            <w:hideMark/>
          </w:tcPr>
          <w:p w14:paraId="6E1DE299" w14:textId="596B309E"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1,341 </w:t>
            </w:r>
          </w:p>
        </w:tc>
        <w:tc>
          <w:tcPr>
            <w:tcW w:w="977" w:type="dxa"/>
            <w:tcBorders>
              <w:top w:val="nil"/>
              <w:left w:val="nil"/>
              <w:bottom w:val="nil"/>
              <w:right w:val="nil"/>
            </w:tcBorders>
            <w:shd w:val="clear" w:color="auto" w:fill="E6E6E6"/>
            <w:noWrap/>
            <w:vAlign w:val="bottom"/>
            <w:hideMark/>
          </w:tcPr>
          <w:p w14:paraId="0B8AFD86" w14:textId="0E2B2C3C"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1,200 </w:t>
            </w:r>
          </w:p>
        </w:tc>
        <w:tc>
          <w:tcPr>
            <w:tcW w:w="977" w:type="dxa"/>
            <w:tcBorders>
              <w:top w:val="nil"/>
              <w:left w:val="nil"/>
              <w:bottom w:val="nil"/>
              <w:right w:val="nil"/>
            </w:tcBorders>
            <w:shd w:val="clear" w:color="auto" w:fill="auto"/>
            <w:noWrap/>
            <w:vAlign w:val="bottom"/>
            <w:hideMark/>
          </w:tcPr>
          <w:p w14:paraId="6E2CAD8E" w14:textId="01016F8C"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1,200 </w:t>
            </w:r>
          </w:p>
        </w:tc>
        <w:tc>
          <w:tcPr>
            <w:tcW w:w="878" w:type="dxa"/>
            <w:gridSpan w:val="2"/>
            <w:tcBorders>
              <w:top w:val="nil"/>
              <w:left w:val="nil"/>
              <w:bottom w:val="nil"/>
              <w:right w:val="nil"/>
            </w:tcBorders>
            <w:shd w:val="clear" w:color="auto" w:fill="auto"/>
            <w:noWrap/>
            <w:vAlign w:val="bottom"/>
            <w:hideMark/>
          </w:tcPr>
          <w:p w14:paraId="430B2369" w14:textId="1EB62382"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1,200 </w:t>
            </w:r>
          </w:p>
        </w:tc>
        <w:tc>
          <w:tcPr>
            <w:tcW w:w="888" w:type="dxa"/>
            <w:gridSpan w:val="2"/>
            <w:tcBorders>
              <w:top w:val="nil"/>
              <w:left w:val="nil"/>
              <w:bottom w:val="nil"/>
              <w:right w:val="nil"/>
            </w:tcBorders>
            <w:shd w:val="clear" w:color="auto" w:fill="auto"/>
            <w:noWrap/>
            <w:vAlign w:val="bottom"/>
            <w:hideMark/>
          </w:tcPr>
          <w:p w14:paraId="1D5A52AE" w14:textId="6DEE12D9"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1,200 </w:t>
            </w:r>
          </w:p>
        </w:tc>
      </w:tr>
      <w:tr w:rsidR="00F24C07" w:rsidRPr="00766815" w14:paraId="17FA078C" w14:textId="77777777" w:rsidTr="00EB0E0A">
        <w:trPr>
          <w:trHeight w:val="204"/>
        </w:trPr>
        <w:tc>
          <w:tcPr>
            <w:tcW w:w="2977" w:type="dxa"/>
            <w:tcBorders>
              <w:top w:val="nil"/>
              <w:left w:val="nil"/>
              <w:bottom w:val="nil"/>
              <w:right w:val="nil"/>
            </w:tcBorders>
            <w:shd w:val="clear" w:color="auto" w:fill="auto"/>
            <w:vAlign w:val="bottom"/>
            <w:hideMark/>
          </w:tcPr>
          <w:p w14:paraId="257C7A6D" w14:textId="77777777" w:rsidR="00F24C07" w:rsidRPr="00EB0E0A" w:rsidRDefault="00F24C07" w:rsidP="00F24C07">
            <w:pPr>
              <w:spacing w:after="0" w:line="240" w:lineRule="auto"/>
              <w:ind w:left="227"/>
              <w:jc w:val="left"/>
              <w:rPr>
                <w:rFonts w:ascii="Arial" w:hAnsi="Arial" w:cs="Arial"/>
                <w:sz w:val="16"/>
                <w:szCs w:val="16"/>
              </w:rPr>
            </w:pPr>
            <w:r w:rsidRPr="00EB0E0A">
              <w:rPr>
                <w:rFonts w:ascii="Arial" w:hAnsi="Arial" w:cs="Arial"/>
                <w:sz w:val="16"/>
                <w:szCs w:val="16"/>
              </w:rPr>
              <w:t>Indian Ocean Territories Special Account 2014</w:t>
            </w:r>
          </w:p>
        </w:tc>
        <w:tc>
          <w:tcPr>
            <w:tcW w:w="958" w:type="dxa"/>
            <w:tcBorders>
              <w:top w:val="nil"/>
              <w:left w:val="nil"/>
              <w:bottom w:val="nil"/>
              <w:right w:val="nil"/>
            </w:tcBorders>
            <w:shd w:val="clear" w:color="auto" w:fill="auto"/>
            <w:noWrap/>
            <w:vAlign w:val="bottom"/>
            <w:hideMark/>
          </w:tcPr>
          <w:p w14:paraId="33716BEF" w14:textId="3E467589"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17,294 </w:t>
            </w:r>
          </w:p>
        </w:tc>
        <w:tc>
          <w:tcPr>
            <w:tcW w:w="977" w:type="dxa"/>
            <w:tcBorders>
              <w:top w:val="nil"/>
              <w:left w:val="nil"/>
              <w:bottom w:val="nil"/>
              <w:right w:val="nil"/>
            </w:tcBorders>
            <w:shd w:val="clear" w:color="auto" w:fill="E6E6E6"/>
            <w:noWrap/>
            <w:vAlign w:val="bottom"/>
            <w:hideMark/>
          </w:tcPr>
          <w:p w14:paraId="21467C7A" w14:textId="1F65EBF5"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18,838 </w:t>
            </w:r>
          </w:p>
        </w:tc>
        <w:tc>
          <w:tcPr>
            <w:tcW w:w="977" w:type="dxa"/>
            <w:tcBorders>
              <w:top w:val="nil"/>
              <w:left w:val="nil"/>
              <w:bottom w:val="nil"/>
              <w:right w:val="nil"/>
            </w:tcBorders>
            <w:shd w:val="clear" w:color="auto" w:fill="auto"/>
            <w:noWrap/>
            <w:vAlign w:val="bottom"/>
            <w:hideMark/>
          </w:tcPr>
          <w:p w14:paraId="28222731" w14:textId="10277942"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17,515 </w:t>
            </w:r>
          </w:p>
        </w:tc>
        <w:tc>
          <w:tcPr>
            <w:tcW w:w="878" w:type="dxa"/>
            <w:gridSpan w:val="2"/>
            <w:tcBorders>
              <w:top w:val="nil"/>
              <w:left w:val="nil"/>
              <w:bottom w:val="nil"/>
              <w:right w:val="nil"/>
            </w:tcBorders>
            <w:shd w:val="clear" w:color="auto" w:fill="auto"/>
            <w:noWrap/>
            <w:vAlign w:val="bottom"/>
            <w:hideMark/>
          </w:tcPr>
          <w:p w14:paraId="41465898" w14:textId="691E1825"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17,769 </w:t>
            </w:r>
          </w:p>
        </w:tc>
        <w:tc>
          <w:tcPr>
            <w:tcW w:w="888" w:type="dxa"/>
            <w:gridSpan w:val="2"/>
            <w:tcBorders>
              <w:top w:val="nil"/>
              <w:left w:val="nil"/>
              <w:bottom w:val="nil"/>
              <w:right w:val="nil"/>
            </w:tcBorders>
            <w:shd w:val="clear" w:color="auto" w:fill="auto"/>
            <w:noWrap/>
            <w:vAlign w:val="bottom"/>
            <w:hideMark/>
          </w:tcPr>
          <w:p w14:paraId="42C1983C" w14:textId="5602EEF9"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17,915 </w:t>
            </w:r>
          </w:p>
        </w:tc>
      </w:tr>
      <w:tr w:rsidR="00F24C07" w:rsidRPr="00766815" w14:paraId="44CAA673" w14:textId="77777777" w:rsidTr="00EB0E0A">
        <w:trPr>
          <w:trHeight w:val="204"/>
        </w:trPr>
        <w:tc>
          <w:tcPr>
            <w:tcW w:w="2977" w:type="dxa"/>
            <w:tcBorders>
              <w:top w:val="nil"/>
              <w:left w:val="nil"/>
              <w:bottom w:val="nil"/>
              <w:right w:val="nil"/>
            </w:tcBorders>
            <w:shd w:val="clear" w:color="auto" w:fill="auto"/>
            <w:vAlign w:val="bottom"/>
            <w:hideMark/>
          </w:tcPr>
          <w:p w14:paraId="6E003FDA" w14:textId="77777777" w:rsidR="00F24C07" w:rsidRPr="00EB0E0A" w:rsidRDefault="00F24C07" w:rsidP="00F24C07">
            <w:pPr>
              <w:spacing w:after="0" w:line="240" w:lineRule="auto"/>
              <w:ind w:left="227"/>
              <w:jc w:val="left"/>
              <w:rPr>
                <w:rFonts w:ascii="Arial" w:hAnsi="Arial" w:cs="Arial"/>
                <w:sz w:val="16"/>
                <w:szCs w:val="16"/>
              </w:rPr>
            </w:pPr>
            <w:r w:rsidRPr="00EB0E0A">
              <w:rPr>
                <w:rFonts w:ascii="Arial" w:hAnsi="Arial" w:cs="Arial"/>
                <w:sz w:val="16"/>
                <w:szCs w:val="16"/>
              </w:rPr>
              <w:t>Jervis Bay Territory Special Account 2014</w:t>
            </w:r>
          </w:p>
        </w:tc>
        <w:tc>
          <w:tcPr>
            <w:tcW w:w="958" w:type="dxa"/>
            <w:tcBorders>
              <w:top w:val="nil"/>
              <w:left w:val="nil"/>
              <w:bottom w:val="nil"/>
              <w:right w:val="nil"/>
            </w:tcBorders>
            <w:shd w:val="clear" w:color="auto" w:fill="auto"/>
            <w:noWrap/>
            <w:vAlign w:val="bottom"/>
            <w:hideMark/>
          </w:tcPr>
          <w:p w14:paraId="1A9E7EAA" w14:textId="319C0046"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1,024 </w:t>
            </w:r>
          </w:p>
        </w:tc>
        <w:tc>
          <w:tcPr>
            <w:tcW w:w="977" w:type="dxa"/>
            <w:tcBorders>
              <w:top w:val="nil"/>
              <w:left w:val="nil"/>
              <w:bottom w:val="nil"/>
              <w:right w:val="nil"/>
            </w:tcBorders>
            <w:shd w:val="clear" w:color="auto" w:fill="E6E6E6"/>
            <w:noWrap/>
            <w:vAlign w:val="bottom"/>
            <w:hideMark/>
          </w:tcPr>
          <w:p w14:paraId="4D6E0BF6" w14:textId="09A71BDA"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1,219 </w:t>
            </w:r>
          </w:p>
        </w:tc>
        <w:tc>
          <w:tcPr>
            <w:tcW w:w="977" w:type="dxa"/>
            <w:tcBorders>
              <w:top w:val="nil"/>
              <w:left w:val="nil"/>
              <w:bottom w:val="nil"/>
              <w:right w:val="nil"/>
            </w:tcBorders>
            <w:shd w:val="clear" w:color="auto" w:fill="auto"/>
            <w:noWrap/>
            <w:vAlign w:val="bottom"/>
            <w:hideMark/>
          </w:tcPr>
          <w:p w14:paraId="11CDABCB" w14:textId="5139F451"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1,219 </w:t>
            </w:r>
          </w:p>
        </w:tc>
        <w:tc>
          <w:tcPr>
            <w:tcW w:w="878" w:type="dxa"/>
            <w:gridSpan w:val="2"/>
            <w:tcBorders>
              <w:top w:val="nil"/>
              <w:left w:val="nil"/>
              <w:bottom w:val="nil"/>
              <w:right w:val="nil"/>
            </w:tcBorders>
            <w:shd w:val="clear" w:color="auto" w:fill="auto"/>
            <w:noWrap/>
            <w:vAlign w:val="bottom"/>
            <w:hideMark/>
          </w:tcPr>
          <w:p w14:paraId="1A4452E8" w14:textId="44913D0C"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1,219 </w:t>
            </w:r>
          </w:p>
        </w:tc>
        <w:tc>
          <w:tcPr>
            <w:tcW w:w="888" w:type="dxa"/>
            <w:gridSpan w:val="2"/>
            <w:tcBorders>
              <w:top w:val="nil"/>
              <w:left w:val="nil"/>
              <w:bottom w:val="nil"/>
              <w:right w:val="nil"/>
            </w:tcBorders>
            <w:shd w:val="clear" w:color="auto" w:fill="auto"/>
            <w:noWrap/>
            <w:vAlign w:val="bottom"/>
            <w:hideMark/>
          </w:tcPr>
          <w:p w14:paraId="4A2D3EAF" w14:textId="2F6D2594"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1,219 </w:t>
            </w:r>
          </w:p>
        </w:tc>
      </w:tr>
      <w:tr w:rsidR="00F24C07" w:rsidRPr="00766815" w14:paraId="378E01B9" w14:textId="77777777" w:rsidTr="00EB0E0A">
        <w:trPr>
          <w:trHeight w:val="204"/>
        </w:trPr>
        <w:tc>
          <w:tcPr>
            <w:tcW w:w="2977" w:type="dxa"/>
            <w:tcBorders>
              <w:top w:val="nil"/>
              <w:left w:val="nil"/>
              <w:bottom w:val="nil"/>
              <w:right w:val="nil"/>
            </w:tcBorders>
            <w:shd w:val="clear" w:color="auto" w:fill="auto"/>
            <w:vAlign w:val="bottom"/>
            <w:hideMark/>
          </w:tcPr>
          <w:p w14:paraId="2D6072AE" w14:textId="77777777" w:rsidR="00F24C07" w:rsidRPr="00EB0E0A" w:rsidRDefault="00F24C07" w:rsidP="00F24C07">
            <w:pPr>
              <w:spacing w:after="0" w:line="240" w:lineRule="auto"/>
              <w:ind w:left="113"/>
              <w:jc w:val="left"/>
              <w:rPr>
                <w:rFonts w:ascii="Arial" w:hAnsi="Arial" w:cs="Arial"/>
                <w:sz w:val="16"/>
                <w:szCs w:val="16"/>
              </w:rPr>
            </w:pPr>
            <w:r w:rsidRPr="00EB0E0A">
              <w:rPr>
                <w:rFonts w:ascii="Arial" w:hAnsi="Arial" w:cs="Arial"/>
                <w:sz w:val="16"/>
                <w:szCs w:val="16"/>
              </w:rPr>
              <w:t xml:space="preserve">Expenses not requiring appropriation in the Budget year </w:t>
            </w:r>
            <w:r w:rsidRPr="00EB0E0A">
              <w:rPr>
                <w:rFonts w:ascii="Arial" w:hAnsi="Arial" w:cs="Arial"/>
                <w:sz w:val="16"/>
                <w:szCs w:val="16"/>
                <w:vertAlign w:val="superscript"/>
              </w:rPr>
              <w:t>(b)</w:t>
            </w:r>
          </w:p>
        </w:tc>
        <w:tc>
          <w:tcPr>
            <w:tcW w:w="958" w:type="dxa"/>
            <w:tcBorders>
              <w:top w:val="nil"/>
              <w:left w:val="nil"/>
              <w:bottom w:val="nil"/>
              <w:right w:val="nil"/>
            </w:tcBorders>
            <w:shd w:val="clear" w:color="auto" w:fill="auto"/>
            <w:noWrap/>
            <w:vAlign w:val="bottom"/>
            <w:hideMark/>
          </w:tcPr>
          <w:p w14:paraId="681C3C13" w14:textId="15CDE547"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35,018 </w:t>
            </w:r>
          </w:p>
        </w:tc>
        <w:tc>
          <w:tcPr>
            <w:tcW w:w="977" w:type="dxa"/>
            <w:tcBorders>
              <w:top w:val="nil"/>
              <w:left w:val="nil"/>
              <w:bottom w:val="nil"/>
              <w:right w:val="nil"/>
            </w:tcBorders>
            <w:shd w:val="clear" w:color="auto" w:fill="E6E6E6"/>
            <w:noWrap/>
            <w:vAlign w:val="bottom"/>
            <w:hideMark/>
          </w:tcPr>
          <w:p w14:paraId="1E398DF4" w14:textId="65918C99"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77,257 </w:t>
            </w:r>
          </w:p>
        </w:tc>
        <w:tc>
          <w:tcPr>
            <w:tcW w:w="977" w:type="dxa"/>
            <w:tcBorders>
              <w:top w:val="nil"/>
              <w:left w:val="nil"/>
              <w:bottom w:val="nil"/>
              <w:right w:val="nil"/>
            </w:tcBorders>
            <w:shd w:val="clear" w:color="auto" w:fill="auto"/>
            <w:noWrap/>
            <w:vAlign w:val="bottom"/>
            <w:hideMark/>
          </w:tcPr>
          <w:p w14:paraId="21079672" w14:textId="7173D36F"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57,752 </w:t>
            </w:r>
          </w:p>
        </w:tc>
        <w:tc>
          <w:tcPr>
            <w:tcW w:w="878" w:type="dxa"/>
            <w:gridSpan w:val="2"/>
            <w:tcBorders>
              <w:top w:val="nil"/>
              <w:left w:val="nil"/>
              <w:bottom w:val="nil"/>
              <w:right w:val="nil"/>
            </w:tcBorders>
            <w:shd w:val="clear" w:color="auto" w:fill="auto"/>
            <w:noWrap/>
            <w:vAlign w:val="bottom"/>
            <w:hideMark/>
          </w:tcPr>
          <w:p w14:paraId="3B234DDC" w14:textId="5CE825F7"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57,680 </w:t>
            </w:r>
          </w:p>
        </w:tc>
        <w:tc>
          <w:tcPr>
            <w:tcW w:w="888" w:type="dxa"/>
            <w:gridSpan w:val="2"/>
            <w:tcBorders>
              <w:top w:val="nil"/>
              <w:left w:val="nil"/>
              <w:bottom w:val="nil"/>
              <w:right w:val="nil"/>
            </w:tcBorders>
            <w:shd w:val="clear" w:color="auto" w:fill="auto"/>
            <w:noWrap/>
            <w:vAlign w:val="bottom"/>
            <w:hideMark/>
          </w:tcPr>
          <w:p w14:paraId="546EBE79" w14:textId="5339AD7F"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57,193 </w:t>
            </w:r>
          </w:p>
        </w:tc>
      </w:tr>
      <w:tr w:rsidR="00F24C07" w:rsidRPr="00766815" w14:paraId="02149A39" w14:textId="77777777" w:rsidTr="00EB0E0A">
        <w:trPr>
          <w:trHeight w:val="204"/>
        </w:trPr>
        <w:tc>
          <w:tcPr>
            <w:tcW w:w="2977" w:type="dxa"/>
            <w:tcBorders>
              <w:top w:val="nil"/>
              <w:left w:val="nil"/>
              <w:bottom w:val="nil"/>
              <w:right w:val="nil"/>
            </w:tcBorders>
            <w:shd w:val="clear" w:color="auto" w:fill="auto"/>
            <w:noWrap/>
            <w:vAlign w:val="bottom"/>
            <w:hideMark/>
          </w:tcPr>
          <w:p w14:paraId="5DE4E0E9" w14:textId="77777777" w:rsidR="00F24C07" w:rsidRPr="00EB0E0A" w:rsidRDefault="00F24C07" w:rsidP="00F24C07">
            <w:pPr>
              <w:spacing w:after="0" w:line="240" w:lineRule="auto"/>
              <w:jc w:val="left"/>
              <w:rPr>
                <w:rFonts w:ascii="Arial" w:hAnsi="Arial" w:cs="Arial"/>
                <w:b/>
                <w:bCs/>
                <w:sz w:val="16"/>
                <w:szCs w:val="16"/>
              </w:rPr>
            </w:pPr>
            <w:r w:rsidRPr="00EB0E0A">
              <w:rPr>
                <w:rFonts w:ascii="Arial" w:hAnsi="Arial" w:cs="Arial"/>
                <w:b/>
                <w:bCs/>
                <w:sz w:val="16"/>
                <w:szCs w:val="16"/>
              </w:rPr>
              <w:t>Total expenses for Program 4.1</w:t>
            </w:r>
          </w:p>
        </w:tc>
        <w:tc>
          <w:tcPr>
            <w:tcW w:w="958" w:type="dxa"/>
            <w:tcBorders>
              <w:top w:val="single" w:sz="4" w:space="0" w:color="auto"/>
              <w:left w:val="nil"/>
              <w:bottom w:val="single" w:sz="4" w:space="0" w:color="auto"/>
              <w:right w:val="nil"/>
            </w:tcBorders>
            <w:shd w:val="clear" w:color="auto" w:fill="auto"/>
            <w:noWrap/>
            <w:vAlign w:val="bottom"/>
            <w:hideMark/>
          </w:tcPr>
          <w:p w14:paraId="30952828" w14:textId="30F83CF3"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252,257 </w:t>
            </w:r>
          </w:p>
        </w:tc>
        <w:tc>
          <w:tcPr>
            <w:tcW w:w="977" w:type="dxa"/>
            <w:tcBorders>
              <w:top w:val="single" w:sz="4" w:space="0" w:color="auto"/>
              <w:left w:val="nil"/>
              <w:bottom w:val="single" w:sz="4" w:space="0" w:color="auto"/>
              <w:right w:val="nil"/>
            </w:tcBorders>
            <w:shd w:val="clear" w:color="auto" w:fill="E6E6E6"/>
            <w:noWrap/>
            <w:vAlign w:val="bottom"/>
            <w:hideMark/>
          </w:tcPr>
          <w:p w14:paraId="65325461" w14:textId="476D3EA1"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292,238 </w:t>
            </w:r>
          </w:p>
        </w:tc>
        <w:tc>
          <w:tcPr>
            <w:tcW w:w="977" w:type="dxa"/>
            <w:tcBorders>
              <w:top w:val="single" w:sz="4" w:space="0" w:color="auto"/>
              <w:left w:val="nil"/>
              <w:bottom w:val="single" w:sz="4" w:space="0" w:color="auto"/>
              <w:right w:val="nil"/>
            </w:tcBorders>
            <w:shd w:val="clear" w:color="auto" w:fill="auto"/>
            <w:noWrap/>
            <w:vAlign w:val="bottom"/>
            <w:hideMark/>
          </w:tcPr>
          <w:p w14:paraId="56DC02E0" w14:textId="745AAF3A"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217,146 </w:t>
            </w:r>
          </w:p>
        </w:tc>
        <w:tc>
          <w:tcPr>
            <w:tcW w:w="878" w:type="dxa"/>
            <w:gridSpan w:val="2"/>
            <w:tcBorders>
              <w:top w:val="single" w:sz="4" w:space="0" w:color="auto"/>
              <w:left w:val="nil"/>
              <w:bottom w:val="single" w:sz="4" w:space="0" w:color="auto"/>
              <w:right w:val="nil"/>
            </w:tcBorders>
            <w:shd w:val="clear" w:color="auto" w:fill="auto"/>
            <w:noWrap/>
            <w:vAlign w:val="bottom"/>
            <w:hideMark/>
          </w:tcPr>
          <w:p w14:paraId="51672BF5" w14:textId="055DD487"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219,016 </w:t>
            </w:r>
          </w:p>
        </w:tc>
        <w:tc>
          <w:tcPr>
            <w:tcW w:w="888" w:type="dxa"/>
            <w:gridSpan w:val="2"/>
            <w:tcBorders>
              <w:top w:val="single" w:sz="4" w:space="0" w:color="auto"/>
              <w:left w:val="nil"/>
              <w:bottom w:val="single" w:sz="4" w:space="0" w:color="auto"/>
              <w:right w:val="nil"/>
            </w:tcBorders>
            <w:shd w:val="clear" w:color="auto" w:fill="auto"/>
            <w:noWrap/>
            <w:vAlign w:val="bottom"/>
            <w:hideMark/>
          </w:tcPr>
          <w:p w14:paraId="7E0E3502" w14:textId="0335B780"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220,143 </w:t>
            </w:r>
          </w:p>
        </w:tc>
      </w:tr>
      <w:tr w:rsidR="00EB0E0A" w:rsidRPr="00766815" w14:paraId="4512F517" w14:textId="77777777" w:rsidTr="00645E3F">
        <w:trPr>
          <w:trHeight w:val="204"/>
        </w:trPr>
        <w:tc>
          <w:tcPr>
            <w:tcW w:w="7655" w:type="dxa"/>
            <w:gridSpan w:val="8"/>
            <w:tcBorders>
              <w:top w:val="single" w:sz="4" w:space="0" w:color="auto"/>
              <w:left w:val="nil"/>
              <w:bottom w:val="single" w:sz="4" w:space="0" w:color="auto"/>
              <w:right w:val="nil"/>
            </w:tcBorders>
            <w:shd w:val="clear" w:color="auto" w:fill="E6E6E6"/>
            <w:noWrap/>
            <w:vAlign w:val="bottom"/>
            <w:hideMark/>
          </w:tcPr>
          <w:p w14:paraId="0D2E522B" w14:textId="3C87B267" w:rsidR="00EB0E0A" w:rsidRPr="00766815" w:rsidRDefault="00EB0E0A" w:rsidP="00645E3F">
            <w:pPr>
              <w:spacing w:after="20" w:line="240" w:lineRule="auto"/>
              <w:jc w:val="left"/>
              <w:rPr>
                <w:rFonts w:ascii="Arial" w:hAnsi="Arial" w:cs="Arial"/>
                <w:sz w:val="16"/>
                <w:szCs w:val="16"/>
              </w:rPr>
            </w:pPr>
            <w:r w:rsidRPr="00766815">
              <w:rPr>
                <w:rFonts w:ascii="Arial" w:hAnsi="Arial" w:cs="Arial"/>
                <w:b/>
                <w:bCs/>
                <w:sz w:val="16"/>
                <w:szCs w:val="16"/>
              </w:rPr>
              <w:t>Program 4.2 Program Support for Outcome 4</w:t>
            </w:r>
            <w:r w:rsidRPr="00766815">
              <w:rPr>
                <w:rFonts w:ascii="Arial" w:hAnsi="Arial" w:cs="Arial"/>
                <w:sz w:val="16"/>
                <w:szCs w:val="16"/>
              </w:rPr>
              <w:t> </w:t>
            </w:r>
          </w:p>
        </w:tc>
      </w:tr>
      <w:tr w:rsidR="00766815" w:rsidRPr="00766815" w14:paraId="5333996D" w14:textId="77777777" w:rsidTr="00EB0E0A">
        <w:trPr>
          <w:trHeight w:val="204"/>
        </w:trPr>
        <w:tc>
          <w:tcPr>
            <w:tcW w:w="2977" w:type="dxa"/>
            <w:tcBorders>
              <w:top w:val="nil"/>
              <w:left w:val="nil"/>
              <w:bottom w:val="nil"/>
              <w:right w:val="nil"/>
            </w:tcBorders>
            <w:shd w:val="clear" w:color="auto" w:fill="auto"/>
            <w:noWrap/>
            <w:vAlign w:val="bottom"/>
            <w:hideMark/>
          </w:tcPr>
          <w:p w14:paraId="03515969" w14:textId="77777777" w:rsidR="00766815" w:rsidRPr="00EB0E0A" w:rsidRDefault="00766815" w:rsidP="00766815">
            <w:pPr>
              <w:spacing w:after="0" w:line="240" w:lineRule="auto"/>
              <w:jc w:val="left"/>
              <w:rPr>
                <w:rFonts w:ascii="Arial" w:hAnsi="Arial" w:cs="Arial"/>
                <w:sz w:val="16"/>
                <w:szCs w:val="16"/>
              </w:rPr>
            </w:pPr>
            <w:r w:rsidRPr="00EB0E0A">
              <w:rPr>
                <w:rFonts w:ascii="Arial" w:hAnsi="Arial" w:cs="Arial"/>
                <w:sz w:val="16"/>
                <w:szCs w:val="16"/>
              </w:rPr>
              <w:t>Departmental expenses</w:t>
            </w:r>
          </w:p>
        </w:tc>
        <w:tc>
          <w:tcPr>
            <w:tcW w:w="958" w:type="dxa"/>
            <w:tcBorders>
              <w:top w:val="nil"/>
              <w:left w:val="nil"/>
              <w:bottom w:val="nil"/>
              <w:right w:val="nil"/>
            </w:tcBorders>
            <w:shd w:val="clear" w:color="auto" w:fill="auto"/>
            <w:noWrap/>
            <w:vAlign w:val="bottom"/>
            <w:hideMark/>
          </w:tcPr>
          <w:p w14:paraId="62DFD3C1" w14:textId="77777777" w:rsidR="00766815" w:rsidRPr="00EB0E0A" w:rsidRDefault="00766815" w:rsidP="00766815">
            <w:pPr>
              <w:spacing w:after="0" w:line="240" w:lineRule="auto"/>
              <w:jc w:val="lef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3FCB7F50" w14:textId="77777777" w:rsidR="00766815" w:rsidRPr="00EB0E0A" w:rsidRDefault="00766815" w:rsidP="00766815">
            <w:pPr>
              <w:spacing w:after="0" w:line="240" w:lineRule="auto"/>
              <w:jc w:val="right"/>
              <w:rPr>
                <w:rFonts w:ascii="Arial" w:hAnsi="Arial" w:cs="Arial"/>
                <w:sz w:val="16"/>
                <w:szCs w:val="16"/>
              </w:rPr>
            </w:pPr>
            <w:r w:rsidRPr="00EB0E0A">
              <w:rPr>
                <w:rFonts w:ascii="Arial" w:hAnsi="Arial" w:cs="Arial"/>
                <w:sz w:val="16"/>
                <w:szCs w:val="16"/>
              </w:rPr>
              <w:t> </w:t>
            </w:r>
          </w:p>
        </w:tc>
        <w:tc>
          <w:tcPr>
            <w:tcW w:w="1004" w:type="dxa"/>
            <w:gridSpan w:val="2"/>
            <w:tcBorders>
              <w:top w:val="nil"/>
              <w:left w:val="nil"/>
              <w:bottom w:val="nil"/>
              <w:right w:val="nil"/>
            </w:tcBorders>
            <w:shd w:val="clear" w:color="auto" w:fill="auto"/>
            <w:noWrap/>
            <w:vAlign w:val="bottom"/>
            <w:hideMark/>
          </w:tcPr>
          <w:p w14:paraId="7CDFF5A1" w14:textId="77777777" w:rsidR="00766815" w:rsidRPr="00EB0E0A" w:rsidRDefault="00766815" w:rsidP="00766815">
            <w:pPr>
              <w:spacing w:after="0" w:line="240" w:lineRule="auto"/>
              <w:jc w:val="right"/>
              <w:rPr>
                <w:rFonts w:ascii="Arial" w:hAnsi="Arial" w:cs="Arial"/>
                <w:sz w:val="16"/>
                <w:szCs w:val="16"/>
              </w:rPr>
            </w:pPr>
          </w:p>
        </w:tc>
        <w:tc>
          <w:tcPr>
            <w:tcW w:w="893" w:type="dxa"/>
            <w:gridSpan w:val="2"/>
            <w:tcBorders>
              <w:top w:val="nil"/>
              <w:left w:val="nil"/>
              <w:bottom w:val="nil"/>
              <w:right w:val="nil"/>
            </w:tcBorders>
            <w:shd w:val="clear" w:color="auto" w:fill="auto"/>
            <w:noWrap/>
            <w:vAlign w:val="bottom"/>
            <w:hideMark/>
          </w:tcPr>
          <w:p w14:paraId="36DF0BF6" w14:textId="77777777" w:rsidR="00766815" w:rsidRPr="00EB0E0A" w:rsidRDefault="00766815" w:rsidP="00766815">
            <w:pPr>
              <w:spacing w:after="0" w:line="240" w:lineRule="auto"/>
              <w:jc w:val="right"/>
              <w:rPr>
                <w:rFonts w:ascii="Times New Roman" w:hAnsi="Times New Roman"/>
                <w:sz w:val="16"/>
                <w:szCs w:val="16"/>
              </w:rPr>
            </w:pPr>
          </w:p>
        </w:tc>
        <w:tc>
          <w:tcPr>
            <w:tcW w:w="846" w:type="dxa"/>
            <w:tcBorders>
              <w:top w:val="nil"/>
              <w:left w:val="nil"/>
              <w:bottom w:val="nil"/>
              <w:right w:val="nil"/>
            </w:tcBorders>
            <w:shd w:val="clear" w:color="auto" w:fill="auto"/>
            <w:noWrap/>
            <w:vAlign w:val="bottom"/>
            <w:hideMark/>
          </w:tcPr>
          <w:p w14:paraId="25DABA8E" w14:textId="77777777" w:rsidR="00766815" w:rsidRPr="00EB0E0A" w:rsidRDefault="00766815" w:rsidP="00766815">
            <w:pPr>
              <w:spacing w:after="0" w:line="240" w:lineRule="auto"/>
              <w:jc w:val="right"/>
              <w:rPr>
                <w:rFonts w:ascii="Times New Roman" w:hAnsi="Times New Roman"/>
                <w:sz w:val="16"/>
                <w:szCs w:val="16"/>
              </w:rPr>
            </w:pPr>
          </w:p>
        </w:tc>
      </w:tr>
      <w:tr w:rsidR="00F24C07" w:rsidRPr="00766815" w14:paraId="1C0ED2C5" w14:textId="77777777" w:rsidTr="00EB0E0A">
        <w:trPr>
          <w:trHeight w:val="204"/>
        </w:trPr>
        <w:tc>
          <w:tcPr>
            <w:tcW w:w="2977" w:type="dxa"/>
            <w:tcBorders>
              <w:top w:val="nil"/>
              <w:left w:val="nil"/>
              <w:bottom w:val="nil"/>
              <w:right w:val="nil"/>
            </w:tcBorders>
            <w:shd w:val="clear" w:color="auto" w:fill="auto"/>
            <w:vAlign w:val="bottom"/>
            <w:hideMark/>
          </w:tcPr>
          <w:p w14:paraId="7D91BB24" w14:textId="77777777" w:rsidR="00F24C07" w:rsidRPr="00EB0E0A" w:rsidRDefault="00F24C07" w:rsidP="009C74D0">
            <w:pPr>
              <w:spacing w:after="0" w:line="240" w:lineRule="auto"/>
              <w:ind w:left="113"/>
              <w:jc w:val="left"/>
              <w:rPr>
                <w:rFonts w:ascii="Arial" w:hAnsi="Arial" w:cs="Arial"/>
                <w:sz w:val="16"/>
                <w:szCs w:val="16"/>
              </w:rPr>
            </w:pPr>
            <w:r w:rsidRPr="00EB0E0A">
              <w:rPr>
                <w:rFonts w:ascii="Arial" w:hAnsi="Arial" w:cs="Arial"/>
                <w:sz w:val="16"/>
                <w:szCs w:val="16"/>
              </w:rPr>
              <w:t>Departmental appropriation</w:t>
            </w:r>
          </w:p>
        </w:tc>
        <w:tc>
          <w:tcPr>
            <w:tcW w:w="958" w:type="dxa"/>
            <w:tcBorders>
              <w:top w:val="nil"/>
              <w:left w:val="nil"/>
              <w:bottom w:val="nil"/>
              <w:right w:val="nil"/>
            </w:tcBorders>
            <w:shd w:val="clear" w:color="auto" w:fill="auto"/>
            <w:noWrap/>
            <w:vAlign w:val="bottom"/>
            <w:hideMark/>
          </w:tcPr>
          <w:p w14:paraId="5AC55E65" w14:textId="42DB354C"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26,289 </w:t>
            </w:r>
          </w:p>
        </w:tc>
        <w:tc>
          <w:tcPr>
            <w:tcW w:w="977" w:type="dxa"/>
            <w:tcBorders>
              <w:top w:val="nil"/>
              <w:left w:val="nil"/>
              <w:bottom w:val="nil"/>
              <w:right w:val="nil"/>
            </w:tcBorders>
            <w:shd w:val="clear" w:color="auto" w:fill="E6E6E6"/>
            <w:noWrap/>
            <w:vAlign w:val="bottom"/>
            <w:hideMark/>
          </w:tcPr>
          <w:p w14:paraId="60C32E84" w14:textId="69A5658D"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31,165 </w:t>
            </w:r>
          </w:p>
        </w:tc>
        <w:tc>
          <w:tcPr>
            <w:tcW w:w="1004" w:type="dxa"/>
            <w:gridSpan w:val="2"/>
            <w:tcBorders>
              <w:top w:val="nil"/>
              <w:left w:val="nil"/>
              <w:bottom w:val="nil"/>
              <w:right w:val="nil"/>
            </w:tcBorders>
            <w:shd w:val="clear" w:color="auto" w:fill="auto"/>
            <w:noWrap/>
            <w:vAlign w:val="bottom"/>
            <w:hideMark/>
          </w:tcPr>
          <w:p w14:paraId="3ADC7863" w14:textId="71046F33"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32,500 </w:t>
            </w:r>
          </w:p>
        </w:tc>
        <w:tc>
          <w:tcPr>
            <w:tcW w:w="893" w:type="dxa"/>
            <w:gridSpan w:val="2"/>
            <w:tcBorders>
              <w:top w:val="nil"/>
              <w:left w:val="nil"/>
              <w:bottom w:val="nil"/>
              <w:right w:val="nil"/>
            </w:tcBorders>
            <w:shd w:val="clear" w:color="auto" w:fill="auto"/>
            <w:noWrap/>
            <w:vAlign w:val="bottom"/>
            <w:hideMark/>
          </w:tcPr>
          <w:p w14:paraId="37034029" w14:textId="513B830C"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30,704 </w:t>
            </w:r>
          </w:p>
        </w:tc>
        <w:tc>
          <w:tcPr>
            <w:tcW w:w="846" w:type="dxa"/>
            <w:tcBorders>
              <w:top w:val="nil"/>
              <w:left w:val="nil"/>
              <w:bottom w:val="nil"/>
              <w:right w:val="nil"/>
            </w:tcBorders>
            <w:shd w:val="clear" w:color="auto" w:fill="auto"/>
            <w:noWrap/>
            <w:vAlign w:val="bottom"/>
            <w:hideMark/>
          </w:tcPr>
          <w:p w14:paraId="12C148B4" w14:textId="12786850"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27,225 </w:t>
            </w:r>
          </w:p>
        </w:tc>
      </w:tr>
      <w:tr w:rsidR="00F24C07" w:rsidRPr="00766815" w14:paraId="08C21324" w14:textId="77777777" w:rsidTr="00EB0E0A">
        <w:trPr>
          <w:trHeight w:val="204"/>
        </w:trPr>
        <w:tc>
          <w:tcPr>
            <w:tcW w:w="2977" w:type="dxa"/>
            <w:tcBorders>
              <w:top w:val="nil"/>
              <w:left w:val="nil"/>
              <w:bottom w:val="nil"/>
              <w:right w:val="nil"/>
            </w:tcBorders>
            <w:shd w:val="clear" w:color="auto" w:fill="auto"/>
            <w:vAlign w:val="bottom"/>
            <w:hideMark/>
          </w:tcPr>
          <w:p w14:paraId="7FB89DF0" w14:textId="77777777" w:rsidR="00F24C07" w:rsidRPr="00EB0E0A" w:rsidRDefault="00F24C07" w:rsidP="009C74D0">
            <w:pPr>
              <w:spacing w:after="0" w:line="240" w:lineRule="auto"/>
              <w:ind w:left="227"/>
              <w:jc w:val="left"/>
              <w:rPr>
                <w:rFonts w:ascii="Arial" w:hAnsi="Arial" w:cs="Arial"/>
                <w:sz w:val="16"/>
                <w:szCs w:val="16"/>
              </w:rPr>
            </w:pPr>
            <w:r w:rsidRPr="00EB0E0A">
              <w:rPr>
                <w:rFonts w:ascii="Arial" w:hAnsi="Arial" w:cs="Arial"/>
                <w:sz w:val="16"/>
                <w:szCs w:val="16"/>
              </w:rPr>
              <w:t xml:space="preserve">s74 external revenues </w:t>
            </w:r>
            <w:r w:rsidRPr="00EB0E0A">
              <w:rPr>
                <w:rFonts w:ascii="Arial" w:hAnsi="Arial" w:cs="Arial"/>
                <w:sz w:val="16"/>
                <w:szCs w:val="16"/>
                <w:vertAlign w:val="superscript"/>
              </w:rPr>
              <w:t>(c)</w:t>
            </w:r>
          </w:p>
        </w:tc>
        <w:tc>
          <w:tcPr>
            <w:tcW w:w="958" w:type="dxa"/>
            <w:tcBorders>
              <w:top w:val="nil"/>
              <w:left w:val="nil"/>
              <w:bottom w:val="nil"/>
              <w:right w:val="nil"/>
            </w:tcBorders>
            <w:shd w:val="clear" w:color="auto" w:fill="auto"/>
            <w:noWrap/>
            <w:vAlign w:val="bottom"/>
            <w:hideMark/>
          </w:tcPr>
          <w:p w14:paraId="6890003D" w14:textId="1A68995C"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1,898 </w:t>
            </w:r>
          </w:p>
        </w:tc>
        <w:tc>
          <w:tcPr>
            <w:tcW w:w="977" w:type="dxa"/>
            <w:tcBorders>
              <w:top w:val="nil"/>
              <w:left w:val="nil"/>
              <w:bottom w:val="nil"/>
              <w:right w:val="nil"/>
            </w:tcBorders>
            <w:shd w:val="clear" w:color="auto" w:fill="E6E6E6"/>
            <w:noWrap/>
            <w:vAlign w:val="bottom"/>
            <w:hideMark/>
          </w:tcPr>
          <w:p w14:paraId="77660E55" w14:textId="7FE3A3DC"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936 </w:t>
            </w:r>
          </w:p>
        </w:tc>
        <w:tc>
          <w:tcPr>
            <w:tcW w:w="1004" w:type="dxa"/>
            <w:gridSpan w:val="2"/>
            <w:tcBorders>
              <w:top w:val="nil"/>
              <w:left w:val="nil"/>
              <w:bottom w:val="nil"/>
              <w:right w:val="nil"/>
            </w:tcBorders>
            <w:shd w:val="clear" w:color="auto" w:fill="auto"/>
            <w:noWrap/>
            <w:vAlign w:val="bottom"/>
            <w:hideMark/>
          </w:tcPr>
          <w:p w14:paraId="2140BB7B" w14:textId="621FC1F5"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955 </w:t>
            </w:r>
          </w:p>
        </w:tc>
        <w:tc>
          <w:tcPr>
            <w:tcW w:w="893" w:type="dxa"/>
            <w:gridSpan w:val="2"/>
            <w:tcBorders>
              <w:top w:val="nil"/>
              <w:left w:val="nil"/>
              <w:bottom w:val="nil"/>
              <w:right w:val="nil"/>
            </w:tcBorders>
            <w:shd w:val="clear" w:color="auto" w:fill="auto"/>
            <w:noWrap/>
            <w:vAlign w:val="bottom"/>
            <w:hideMark/>
          </w:tcPr>
          <w:p w14:paraId="4B65270A" w14:textId="5774F58A"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1,065 </w:t>
            </w:r>
          </w:p>
        </w:tc>
        <w:tc>
          <w:tcPr>
            <w:tcW w:w="846" w:type="dxa"/>
            <w:tcBorders>
              <w:top w:val="nil"/>
              <w:left w:val="nil"/>
              <w:bottom w:val="nil"/>
              <w:right w:val="nil"/>
            </w:tcBorders>
            <w:shd w:val="clear" w:color="auto" w:fill="auto"/>
            <w:noWrap/>
            <w:vAlign w:val="bottom"/>
            <w:hideMark/>
          </w:tcPr>
          <w:p w14:paraId="02977DCF" w14:textId="3FDD4198"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1,065 </w:t>
            </w:r>
          </w:p>
        </w:tc>
      </w:tr>
      <w:tr w:rsidR="00F24C07" w:rsidRPr="00766815" w14:paraId="6FEFFF73" w14:textId="77777777" w:rsidTr="00EB0E0A">
        <w:trPr>
          <w:trHeight w:val="204"/>
        </w:trPr>
        <w:tc>
          <w:tcPr>
            <w:tcW w:w="2977" w:type="dxa"/>
            <w:tcBorders>
              <w:top w:val="nil"/>
              <w:left w:val="nil"/>
              <w:bottom w:val="nil"/>
              <w:right w:val="nil"/>
            </w:tcBorders>
            <w:shd w:val="clear" w:color="auto" w:fill="auto"/>
            <w:vAlign w:val="bottom"/>
            <w:hideMark/>
          </w:tcPr>
          <w:p w14:paraId="1865149D" w14:textId="77777777" w:rsidR="00F24C07" w:rsidRPr="00EB0E0A" w:rsidRDefault="00F24C07" w:rsidP="009C74D0">
            <w:pPr>
              <w:spacing w:after="0" w:line="240" w:lineRule="auto"/>
              <w:ind w:left="227"/>
              <w:jc w:val="left"/>
              <w:rPr>
                <w:rFonts w:ascii="Arial" w:hAnsi="Arial" w:cs="Arial"/>
                <w:sz w:val="16"/>
                <w:szCs w:val="16"/>
              </w:rPr>
            </w:pPr>
            <w:r w:rsidRPr="00EB0E0A">
              <w:rPr>
                <w:rFonts w:ascii="Arial" w:hAnsi="Arial" w:cs="Arial"/>
                <w:sz w:val="16"/>
                <w:szCs w:val="16"/>
              </w:rPr>
              <w:t xml:space="preserve">Expenses not requiring appropriation in the Budget year </w:t>
            </w:r>
            <w:r w:rsidRPr="00EB0E0A">
              <w:rPr>
                <w:rFonts w:ascii="Arial" w:hAnsi="Arial" w:cs="Arial"/>
                <w:sz w:val="16"/>
                <w:szCs w:val="16"/>
                <w:vertAlign w:val="superscript"/>
              </w:rPr>
              <w:t>(d)</w:t>
            </w:r>
          </w:p>
        </w:tc>
        <w:tc>
          <w:tcPr>
            <w:tcW w:w="958" w:type="dxa"/>
            <w:tcBorders>
              <w:top w:val="nil"/>
              <w:left w:val="nil"/>
              <w:bottom w:val="nil"/>
              <w:right w:val="nil"/>
            </w:tcBorders>
            <w:shd w:val="clear" w:color="auto" w:fill="auto"/>
            <w:noWrap/>
            <w:vAlign w:val="bottom"/>
            <w:hideMark/>
          </w:tcPr>
          <w:p w14:paraId="78D48EE8" w14:textId="3D061DD9"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3,023 </w:t>
            </w:r>
          </w:p>
        </w:tc>
        <w:tc>
          <w:tcPr>
            <w:tcW w:w="977" w:type="dxa"/>
            <w:tcBorders>
              <w:top w:val="nil"/>
              <w:left w:val="nil"/>
              <w:bottom w:val="nil"/>
              <w:right w:val="nil"/>
            </w:tcBorders>
            <w:shd w:val="clear" w:color="auto" w:fill="E6E6E6"/>
            <w:noWrap/>
            <w:vAlign w:val="bottom"/>
            <w:hideMark/>
          </w:tcPr>
          <w:p w14:paraId="0D7B60F8" w14:textId="4458DF59"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700 </w:t>
            </w:r>
          </w:p>
        </w:tc>
        <w:tc>
          <w:tcPr>
            <w:tcW w:w="1004" w:type="dxa"/>
            <w:gridSpan w:val="2"/>
            <w:tcBorders>
              <w:top w:val="nil"/>
              <w:left w:val="nil"/>
              <w:bottom w:val="nil"/>
              <w:right w:val="nil"/>
            </w:tcBorders>
            <w:shd w:val="clear" w:color="auto" w:fill="auto"/>
            <w:noWrap/>
            <w:vAlign w:val="bottom"/>
            <w:hideMark/>
          </w:tcPr>
          <w:p w14:paraId="5143BD92" w14:textId="0076D5C3"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727 </w:t>
            </w:r>
          </w:p>
        </w:tc>
        <w:tc>
          <w:tcPr>
            <w:tcW w:w="893" w:type="dxa"/>
            <w:gridSpan w:val="2"/>
            <w:tcBorders>
              <w:top w:val="nil"/>
              <w:left w:val="nil"/>
              <w:bottom w:val="nil"/>
              <w:right w:val="nil"/>
            </w:tcBorders>
            <w:shd w:val="clear" w:color="auto" w:fill="auto"/>
            <w:noWrap/>
            <w:vAlign w:val="bottom"/>
            <w:hideMark/>
          </w:tcPr>
          <w:p w14:paraId="2ECC5BB6" w14:textId="33DEC5A3"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764 </w:t>
            </w:r>
          </w:p>
        </w:tc>
        <w:tc>
          <w:tcPr>
            <w:tcW w:w="846" w:type="dxa"/>
            <w:tcBorders>
              <w:top w:val="nil"/>
              <w:left w:val="nil"/>
              <w:bottom w:val="nil"/>
              <w:right w:val="nil"/>
            </w:tcBorders>
            <w:shd w:val="clear" w:color="auto" w:fill="auto"/>
            <w:noWrap/>
            <w:vAlign w:val="bottom"/>
            <w:hideMark/>
          </w:tcPr>
          <w:p w14:paraId="70E72E81" w14:textId="2B8ECD7E"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834 </w:t>
            </w:r>
          </w:p>
        </w:tc>
      </w:tr>
      <w:tr w:rsidR="00F24C07" w:rsidRPr="00766815" w14:paraId="21BA4E85" w14:textId="77777777" w:rsidTr="00EB0E0A">
        <w:trPr>
          <w:trHeight w:val="204"/>
        </w:trPr>
        <w:tc>
          <w:tcPr>
            <w:tcW w:w="2977" w:type="dxa"/>
            <w:tcBorders>
              <w:top w:val="nil"/>
              <w:left w:val="nil"/>
              <w:bottom w:val="single" w:sz="4" w:space="0" w:color="auto"/>
              <w:right w:val="nil"/>
            </w:tcBorders>
            <w:shd w:val="clear" w:color="auto" w:fill="auto"/>
            <w:noWrap/>
            <w:vAlign w:val="bottom"/>
            <w:hideMark/>
          </w:tcPr>
          <w:p w14:paraId="6527D0E4" w14:textId="77777777" w:rsidR="00F24C07" w:rsidRPr="00EB0E0A" w:rsidRDefault="00F24C07" w:rsidP="00F24C07">
            <w:pPr>
              <w:spacing w:after="0" w:line="240" w:lineRule="auto"/>
              <w:jc w:val="left"/>
              <w:rPr>
                <w:rFonts w:ascii="Arial" w:hAnsi="Arial" w:cs="Arial"/>
                <w:b/>
                <w:bCs/>
                <w:sz w:val="16"/>
                <w:szCs w:val="16"/>
              </w:rPr>
            </w:pPr>
            <w:r w:rsidRPr="00EB0E0A">
              <w:rPr>
                <w:rFonts w:ascii="Arial" w:hAnsi="Arial" w:cs="Arial"/>
                <w:b/>
                <w:bCs/>
                <w:sz w:val="16"/>
                <w:szCs w:val="16"/>
              </w:rPr>
              <w:t>Total expenses for Program 4.2</w:t>
            </w:r>
          </w:p>
        </w:tc>
        <w:tc>
          <w:tcPr>
            <w:tcW w:w="958" w:type="dxa"/>
            <w:tcBorders>
              <w:top w:val="single" w:sz="4" w:space="0" w:color="auto"/>
              <w:left w:val="nil"/>
              <w:bottom w:val="single" w:sz="4" w:space="0" w:color="auto"/>
              <w:right w:val="nil"/>
            </w:tcBorders>
            <w:shd w:val="clear" w:color="auto" w:fill="auto"/>
            <w:noWrap/>
            <w:vAlign w:val="bottom"/>
            <w:hideMark/>
          </w:tcPr>
          <w:p w14:paraId="4385AD3E" w14:textId="3E58630B"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31,210 </w:t>
            </w:r>
          </w:p>
        </w:tc>
        <w:tc>
          <w:tcPr>
            <w:tcW w:w="977" w:type="dxa"/>
            <w:tcBorders>
              <w:top w:val="single" w:sz="4" w:space="0" w:color="auto"/>
              <w:left w:val="nil"/>
              <w:bottom w:val="single" w:sz="4" w:space="0" w:color="auto"/>
              <w:right w:val="nil"/>
            </w:tcBorders>
            <w:shd w:val="clear" w:color="auto" w:fill="E6E6E6"/>
            <w:noWrap/>
            <w:vAlign w:val="bottom"/>
            <w:hideMark/>
          </w:tcPr>
          <w:p w14:paraId="7A540B5F" w14:textId="293A90BC"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32,801 </w:t>
            </w:r>
          </w:p>
        </w:tc>
        <w:tc>
          <w:tcPr>
            <w:tcW w:w="1004" w:type="dxa"/>
            <w:gridSpan w:val="2"/>
            <w:tcBorders>
              <w:top w:val="single" w:sz="4" w:space="0" w:color="auto"/>
              <w:left w:val="nil"/>
              <w:bottom w:val="single" w:sz="4" w:space="0" w:color="auto"/>
              <w:right w:val="nil"/>
            </w:tcBorders>
            <w:shd w:val="clear" w:color="auto" w:fill="auto"/>
            <w:noWrap/>
            <w:vAlign w:val="bottom"/>
            <w:hideMark/>
          </w:tcPr>
          <w:p w14:paraId="05453247" w14:textId="162927F1"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34,182 </w:t>
            </w:r>
          </w:p>
        </w:tc>
        <w:tc>
          <w:tcPr>
            <w:tcW w:w="893" w:type="dxa"/>
            <w:gridSpan w:val="2"/>
            <w:tcBorders>
              <w:top w:val="single" w:sz="4" w:space="0" w:color="auto"/>
              <w:left w:val="nil"/>
              <w:bottom w:val="single" w:sz="4" w:space="0" w:color="auto"/>
              <w:right w:val="nil"/>
            </w:tcBorders>
            <w:shd w:val="clear" w:color="auto" w:fill="auto"/>
            <w:noWrap/>
            <w:vAlign w:val="bottom"/>
            <w:hideMark/>
          </w:tcPr>
          <w:p w14:paraId="4AA67D86" w14:textId="1AB6D80E"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32,533 </w:t>
            </w:r>
          </w:p>
        </w:tc>
        <w:tc>
          <w:tcPr>
            <w:tcW w:w="846" w:type="dxa"/>
            <w:tcBorders>
              <w:top w:val="single" w:sz="4" w:space="0" w:color="auto"/>
              <w:left w:val="nil"/>
              <w:bottom w:val="single" w:sz="4" w:space="0" w:color="auto"/>
              <w:right w:val="nil"/>
            </w:tcBorders>
            <w:shd w:val="clear" w:color="auto" w:fill="auto"/>
            <w:noWrap/>
            <w:vAlign w:val="bottom"/>
            <w:hideMark/>
          </w:tcPr>
          <w:p w14:paraId="702A4C34" w14:textId="43981A0A"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29,124 </w:t>
            </w:r>
          </w:p>
        </w:tc>
      </w:tr>
    </w:tbl>
    <w:p w14:paraId="2C7EF72B" w14:textId="61A328A6" w:rsidR="00F94108" w:rsidRDefault="00F94108" w:rsidP="00F94108">
      <w:pPr>
        <w:pStyle w:val="TableHeading"/>
        <w:rPr>
          <w:lang w:val="en-AU"/>
        </w:rPr>
      </w:pPr>
      <w:r w:rsidRPr="00F94108">
        <w:lastRenderedPageBreak/>
        <w:t>Table 2.</w:t>
      </w:r>
      <w:r w:rsidRPr="00F94108">
        <w:rPr>
          <w:lang w:val="en-AU"/>
        </w:rPr>
        <w:t>5.</w:t>
      </w:r>
      <w:r w:rsidRPr="00F94108">
        <w:t>1 Budgeted expenses</w:t>
      </w:r>
      <w:r w:rsidRPr="00F94108">
        <w:rPr>
          <w:lang w:val="en-AU"/>
        </w:rPr>
        <w:t xml:space="preserve"> for</w:t>
      </w:r>
      <w:r w:rsidRPr="00F94108">
        <w:t xml:space="preserve"> Outcome </w:t>
      </w:r>
      <w:r w:rsidRPr="00F94108">
        <w:rPr>
          <w:lang w:val="en-AU"/>
        </w:rPr>
        <w:t>4 (continued)</w:t>
      </w:r>
    </w:p>
    <w:tbl>
      <w:tblPr>
        <w:tblW w:w="7670" w:type="dxa"/>
        <w:tblLayout w:type="fixed"/>
        <w:tblLook w:val="04A0" w:firstRow="1" w:lastRow="0" w:firstColumn="1" w:lastColumn="0" w:noHBand="0" w:noVBand="1"/>
      </w:tblPr>
      <w:tblGrid>
        <w:gridCol w:w="2977"/>
        <w:gridCol w:w="992"/>
        <w:gridCol w:w="980"/>
        <w:gridCol w:w="980"/>
        <w:gridCol w:w="887"/>
        <w:gridCol w:w="854"/>
      </w:tblGrid>
      <w:tr w:rsidR="00E34CEC" w:rsidRPr="00622B48" w14:paraId="6CACE716" w14:textId="77777777" w:rsidTr="009C398A">
        <w:trPr>
          <w:trHeight w:val="765"/>
        </w:trPr>
        <w:tc>
          <w:tcPr>
            <w:tcW w:w="2977" w:type="dxa"/>
            <w:tcBorders>
              <w:top w:val="single" w:sz="4" w:space="0" w:color="auto"/>
              <w:left w:val="nil"/>
              <w:right w:val="nil"/>
            </w:tcBorders>
            <w:shd w:val="clear" w:color="auto" w:fill="auto"/>
            <w:noWrap/>
            <w:hideMark/>
          </w:tcPr>
          <w:p w14:paraId="39DF34DD" w14:textId="77777777" w:rsidR="00E34CEC" w:rsidRPr="00622B48" w:rsidRDefault="00E34CEC" w:rsidP="00E34CEC">
            <w:pPr>
              <w:spacing w:after="0" w:line="240" w:lineRule="auto"/>
              <w:jc w:val="left"/>
              <w:rPr>
                <w:rFonts w:ascii="Arial" w:hAnsi="Arial" w:cs="Arial"/>
                <w:sz w:val="16"/>
                <w:szCs w:val="16"/>
              </w:rPr>
            </w:pPr>
            <w:r w:rsidRPr="00622B48">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42FBE3C4" w14:textId="7B5427F7" w:rsidR="00E34CEC" w:rsidRPr="00622B48"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80" w:type="dxa"/>
            <w:tcBorders>
              <w:top w:val="single" w:sz="4" w:space="0" w:color="auto"/>
              <w:left w:val="nil"/>
              <w:bottom w:val="single" w:sz="4" w:space="0" w:color="auto"/>
              <w:right w:val="nil"/>
            </w:tcBorders>
            <w:shd w:val="clear" w:color="000000" w:fill="E6E6E6"/>
            <w:vAlign w:val="bottom"/>
            <w:hideMark/>
          </w:tcPr>
          <w:p w14:paraId="545DBC1B" w14:textId="7513565E" w:rsidR="00E34CEC" w:rsidRPr="00622B48"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80" w:type="dxa"/>
            <w:tcBorders>
              <w:top w:val="single" w:sz="4" w:space="0" w:color="auto"/>
              <w:left w:val="nil"/>
              <w:bottom w:val="single" w:sz="4" w:space="0" w:color="auto"/>
              <w:right w:val="nil"/>
            </w:tcBorders>
            <w:shd w:val="clear" w:color="auto" w:fill="auto"/>
            <w:vAlign w:val="bottom"/>
            <w:hideMark/>
          </w:tcPr>
          <w:p w14:paraId="2B0632D9" w14:textId="54BF7F94" w:rsidR="00E34CEC" w:rsidRPr="00622B48"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887" w:type="dxa"/>
            <w:tcBorders>
              <w:top w:val="single" w:sz="4" w:space="0" w:color="auto"/>
              <w:left w:val="nil"/>
              <w:bottom w:val="single" w:sz="4" w:space="0" w:color="auto"/>
              <w:right w:val="nil"/>
            </w:tcBorders>
            <w:shd w:val="clear" w:color="auto" w:fill="auto"/>
            <w:vAlign w:val="bottom"/>
            <w:hideMark/>
          </w:tcPr>
          <w:p w14:paraId="27D97CE9" w14:textId="572D77A9" w:rsidR="00E34CEC" w:rsidRPr="00622B48"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853" w:type="dxa"/>
            <w:tcBorders>
              <w:top w:val="single" w:sz="4" w:space="0" w:color="auto"/>
              <w:left w:val="nil"/>
              <w:bottom w:val="single" w:sz="4" w:space="0" w:color="auto"/>
              <w:right w:val="nil"/>
            </w:tcBorders>
            <w:shd w:val="clear" w:color="auto" w:fill="auto"/>
            <w:vAlign w:val="bottom"/>
            <w:hideMark/>
          </w:tcPr>
          <w:p w14:paraId="5D99B475" w14:textId="732369F1" w:rsidR="00E34CEC" w:rsidRPr="00622B48"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CE1D0E" w:rsidRPr="00622B48" w14:paraId="7F55D86D" w14:textId="77777777" w:rsidTr="009C398A">
        <w:trPr>
          <w:trHeight w:val="204"/>
        </w:trPr>
        <w:tc>
          <w:tcPr>
            <w:tcW w:w="7670" w:type="dxa"/>
            <w:gridSpan w:val="6"/>
            <w:tcBorders>
              <w:top w:val="single" w:sz="4" w:space="0" w:color="auto"/>
              <w:left w:val="nil"/>
              <w:bottom w:val="single" w:sz="4" w:space="0" w:color="auto"/>
              <w:right w:val="nil"/>
            </w:tcBorders>
            <w:shd w:val="clear" w:color="000000" w:fill="E6E6E6"/>
            <w:noWrap/>
            <w:vAlign w:val="bottom"/>
            <w:hideMark/>
          </w:tcPr>
          <w:p w14:paraId="2177787B" w14:textId="4D270050" w:rsidR="00CE1D0E" w:rsidRPr="00CE1D0E" w:rsidRDefault="00CE1D0E" w:rsidP="00645E3F">
            <w:pPr>
              <w:spacing w:after="20" w:line="240" w:lineRule="auto"/>
              <w:jc w:val="left"/>
              <w:rPr>
                <w:rFonts w:ascii="Arial" w:hAnsi="Arial" w:cs="Arial"/>
                <w:b/>
                <w:bCs/>
                <w:sz w:val="16"/>
                <w:szCs w:val="16"/>
              </w:rPr>
            </w:pPr>
            <w:r w:rsidRPr="00622B48">
              <w:rPr>
                <w:rFonts w:ascii="Arial" w:hAnsi="Arial" w:cs="Arial"/>
                <w:b/>
                <w:bCs/>
                <w:sz w:val="16"/>
                <w:szCs w:val="16"/>
              </w:rPr>
              <w:t>Outcome 4 Totals by appropriation type</w:t>
            </w:r>
          </w:p>
        </w:tc>
      </w:tr>
      <w:tr w:rsidR="00622B48" w:rsidRPr="00622B48" w14:paraId="6B748497" w14:textId="77777777" w:rsidTr="009C398A">
        <w:trPr>
          <w:trHeight w:val="204"/>
        </w:trPr>
        <w:tc>
          <w:tcPr>
            <w:tcW w:w="2977" w:type="dxa"/>
            <w:tcBorders>
              <w:top w:val="nil"/>
              <w:left w:val="nil"/>
              <w:bottom w:val="nil"/>
              <w:right w:val="nil"/>
            </w:tcBorders>
            <w:shd w:val="clear" w:color="auto" w:fill="auto"/>
            <w:noWrap/>
            <w:vAlign w:val="bottom"/>
            <w:hideMark/>
          </w:tcPr>
          <w:p w14:paraId="1B5CD452" w14:textId="77777777" w:rsidR="00622B48" w:rsidRPr="00EB0E0A" w:rsidRDefault="00622B48" w:rsidP="00622B48">
            <w:pPr>
              <w:spacing w:after="0" w:line="240" w:lineRule="auto"/>
              <w:jc w:val="left"/>
              <w:rPr>
                <w:rFonts w:ascii="Arial" w:hAnsi="Arial" w:cs="Arial"/>
                <w:sz w:val="16"/>
                <w:szCs w:val="16"/>
              </w:rPr>
            </w:pPr>
            <w:r w:rsidRPr="00EB0E0A">
              <w:rPr>
                <w:rFonts w:ascii="Arial" w:hAnsi="Arial" w:cs="Arial"/>
                <w:sz w:val="16"/>
                <w:szCs w:val="16"/>
              </w:rPr>
              <w:t>Administered expenses</w:t>
            </w:r>
          </w:p>
        </w:tc>
        <w:tc>
          <w:tcPr>
            <w:tcW w:w="992" w:type="dxa"/>
            <w:tcBorders>
              <w:top w:val="nil"/>
              <w:left w:val="nil"/>
              <w:bottom w:val="nil"/>
              <w:right w:val="nil"/>
            </w:tcBorders>
            <w:shd w:val="clear" w:color="auto" w:fill="auto"/>
            <w:noWrap/>
            <w:vAlign w:val="bottom"/>
            <w:hideMark/>
          </w:tcPr>
          <w:p w14:paraId="534A180B" w14:textId="77777777" w:rsidR="00622B48" w:rsidRPr="00EB0E0A" w:rsidRDefault="00622B48" w:rsidP="00622B48">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14:paraId="5C89380F" w14:textId="4AC4320F" w:rsidR="00622B48" w:rsidRPr="00EB0E0A" w:rsidRDefault="00622B48" w:rsidP="00622B48">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17387E07" w14:textId="77777777" w:rsidR="00622B48" w:rsidRPr="00EB0E0A" w:rsidRDefault="00622B48" w:rsidP="00622B48">
            <w:pPr>
              <w:spacing w:after="0" w:line="240" w:lineRule="auto"/>
              <w:jc w:val="right"/>
              <w:rPr>
                <w:rFonts w:ascii="Arial" w:hAnsi="Arial" w:cs="Arial"/>
                <w:sz w:val="16"/>
                <w:szCs w:val="16"/>
              </w:rPr>
            </w:pPr>
          </w:p>
        </w:tc>
        <w:tc>
          <w:tcPr>
            <w:tcW w:w="887" w:type="dxa"/>
            <w:tcBorders>
              <w:top w:val="nil"/>
              <w:left w:val="nil"/>
              <w:bottom w:val="nil"/>
              <w:right w:val="nil"/>
            </w:tcBorders>
            <w:shd w:val="clear" w:color="auto" w:fill="auto"/>
            <w:noWrap/>
            <w:vAlign w:val="bottom"/>
            <w:hideMark/>
          </w:tcPr>
          <w:p w14:paraId="6D479F91" w14:textId="77777777" w:rsidR="00622B48" w:rsidRPr="00EB0E0A" w:rsidRDefault="00622B48" w:rsidP="00622B48">
            <w:pPr>
              <w:spacing w:after="0" w:line="240" w:lineRule="auto"/>
              <w:jc w:val="right"/>
              <w:rPr>
                <w:rFonts w:ascii="Times New Roman" w:hAnsi="Times New Roman"/>
                <w:sz w:val="16"/>
                <w:szCs w:val="16"/>
              </w:rPr>
            </w:pPr>
          </w:p>
        </w:tc>
        <w:tc>
          <w:tcPr>
            <w:tcW w:w="853" w:type="dxa"/>
            <w:tcBorders>
              <w:top w:val="nil"/>
              <w:left w:val="nil"/>
              <w:bottom w:val="nil"/>
              <w:right w:val="nil"/>
            </w:tcBorders>
            <w:shd w:val="clear" w:color="auto" w:fill="auto"/>
            <w:noWrap/>
            <w:vAlign w:val="bottom"/>
            <w:hideMark/>
          </w:tcPr>
          <w:p w14:paraId="6FC17363" w14:textId="77777777" w:rsidR="00622B48" w:rsidRPr="00EB0E0A" w:rsidRDefault="00622B48" w:rsidP="00622B48">
            <w:pPr>
              <w:spacing w:after="0" w:line="240" w:lineRule="auto"/>
              <w:jc w:val="right"/>
              <w:rPr>
                <w:rFonts w:ascii="Times New Roman" w:hAnsi="Times New Roman"/>
                <w:sz w:val="16"/>
                <w:szCs w:val="16"/>
              </w:rPr>
            </w:pPr>
          </w:p>
        </w:tc>
      </w:tr>
      <w:tr w:rsidR="00F24C07" w:rsidRPr="00622B48" w14:paraId="3D8A8288" w14:textId="77777777" w:rsidTr="009C398A">
        <w:trPr>
          <w:trHeight w:val="204"/>
        </w:trPr>
        <w:tc>
          <w:tcPr>
            <w:tcW w:w="2977" w:type="dxa"/>
            <w:tcBorders>
              <w:top w:val="nil"/>
              <w:left w:val="nil"/>
              <w:bottom w:val="nil"/>
              <w:right w:val="nil"/>
            </w:tcBorders>
            <w:shd w:val="clear" w:color="auto" w:fill="auto"/>
            <w:vAlign w:val="bottom"/>
            <w:hideMark/>
          </w:tcPr>
          <w:p w14:paraId="700F76C9" w14:textId="48348C68" w:rsidR="00F24C07" w:rsidRPr="00EB0E0A" w:rsidRDefault="00F24C07" w:rsidP="002D0488">
            <w:pPr>
              <w:spacing w:after="0" w:line="240" w:lineRule="auto"/>
              <w:ind w:left="113"/>
              <w:jc w:val="left"/>
              <w:rPr>
                <w:rFonts w:ascii="Arial" w:hAnsi="Arial" w:cs="Arial"/>
                <w:sz w:val="16"/>
                <w:szCs w:val="16"/>
              </w:rPr>
            </w:pPr>
            <w:r w:rsidRPr="00EB0E0A">
              <w:rPr>
                <w:rFonts w:ascii="Arial" w:hAnsi="Arial" w:cs="Arial"/>
                <w:sz w:val="16"/>
                <w:szCs w:val="16"/>
              </w:rPr>
              <w:t>Ordinary Annual Services (Appro</w:t>
            </w:r>
            <w:r w:rsidR="007543F0">
              <w:rPr>
                <w:rFonts w:ascii="Arial" w:hAnsi="Arial" w:cs="Arial"/>
                <w:sz w:val="16"/>
                <w:szCs w:val="16"/>
              </w:rPr>
              <w:t>priation Act No. 1 and Bill No. </w:t>
            </w:r>
            <w:r w:rsidRPr="00EB0E0A">
              <w:rPr>
                <w:rFonts w:ascii="Arial" w:hAnsi="Arial" w:cs="Arial"/>
                <w:sz w:val="16"/>
                <w:szCs w:val="16"/>
              </w:rPr>
              <w:t>3)</w:t>
            </w:r>
          </w:p>
        </w:tc>
        <w:tc>
          <w:tcPr>
            <w:tcW w:w="992" w:type="dxa"/>
            <w:tcBorders>
              <w:top w:val="nil"/>
              <w:left w:val="nil"/>
              <w:bottom w:val="nil"/>
              <w:right w:val="nil"/>
            </w:tcBorders>
            <w:shd w:val="clear" w:color="auto" w:fill="auto"/>
            <w:noWrap/>
            <w:vAlign w:val="bottom"/>
            <w:hideMark/>
          </w:tcPr>
          <w:p w14:paraId="1C4CE672" w14:textId="515A71A0"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197,580 </w:t>
            </w:r>
          </w:p>
        </w:tc>
        <w:tc>
          <w:tcPr>
            <w:tcW w:w="980" w:type="dxa"/>
            <w:tcBorders>
              <w:top w:val="nil"/>
              <w:left w:val="nil"/>
              <w:bottom w:val="nil"/>
              <w:right w:val="nil"/>
            </w:tcBorders>
            <w:shd w:val="clear" w:color="000000" w:fill="E6E6E6"/>
            <w:noWrap/>
            <w:vAlign w:val="bottom"/>
            <w:hideMark/>
          </w:tcPr>
          <w:p w14:paraId="4D316CC5" w14:textId="6667D1F7"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193,724 </w:t>
            </w:r>
          </w:p>
        </w:tc>
        <w:tc>
          <w:tcPr>
            <w:tcW w:w="980" w:type="dxa"/>
            <w:tcBorders>
              <w:top w:val="nil"/>
              <w:left w:val="nil"/>
              <w:bottom w:val="nil"/>
              <w:right w:val="nil"/>
            </w:tcBorders>
            <w:shd w:val="clear" w:color="auto" w:fill="auto"/>
            <w:noWrap/>
            <w:vAlign w:val="bottom"/>
            <w:hideMark/>
          </w:tcPr>
          <w:p w14:paraId="7C2694BC" w14:textId="620E6FFB"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139,460 </w:t>
            </w:r>
          </w:p>
        </w:tc>
        <w:tc>
          <w:tcPr>
            <w:tcW w:w="887" w:type="dxa"/>
            <w:tcBorders>
              <w:top w:val="nil"/>
              <w:left w:val="nil"/>
              <w:bottom w:val="nil"/>
              <w:right w:val="nil"/>
            </w:tcBorders>
            <w:shd w:val="clear" w:color="auto" w:fill="auto"/>
            <w:noWrap/>
            <w:vAlign w:val="bottom"/>
            <w:hideMark/>
          </w:tcPr>
          <w:p w14:paraId="6F24E1F6" w14:textId="73183A09"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141,148 </w:t>
            </w:r>
          </w:p>
        </w:tc>
        <w:tc>
          <w:tcPr>
            <w:tcW w:w="853" w:type="dxa"/>
            <w:tcBorders>
              <w:top w:val="nil"/>
              <w:left w:val="nil"/>
              <w:bottom w:val="nil"/>
              <w:right w:val="nil"/>
            </w:tcBorders>
            <w:shd w:val="clear" w:color="auto" w:fill="auto"/>
            <w:noWrap/>
            <w:vAlign w:val="bottom"/>
            <w:hideMark/>
          </w:tcPr>
          <w:p w14:paraId="74FD8955" w14:textId="14DEEFAD"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142,616 </w:t>
            </w:r>
          </w:p>
        </w:tc>
      </w:tr>
      <w:tr w:rsidR="00F24C07" w:rsidRPr="00622B48" w14:paraId="3AF6DBEA" w14:textId="77777777" w:rsidTr="009C398A">
        <w:trPr>
          <w:trHeight w:val="204"/>
        </w:trPr>
        <w:tc>
          <w:tcPr>
            <w:tcW w:w="2977" w:type="dxa"/>
            <w:tcBorders>
              <w:top w:val="nil"/>
              <w:left w:val="nil"/>
              <w:bottom w:val="nil"/>
              <w:right w:val="nil"/>
            </w:tcBorders>
            <w:shd w:val="clear" w:color="auto" w:fill="auto"/>
            <w:vAlign w:val="bottom"/>
            <w:hideMark/>
          </w:tcPr>
          <w:p w14:paraId="05BE709B" w14:textId="77777777" w:rsidR="00F24C07" w:rsidRPr="00EB0E0A" w:rsidRDefault="00F24C07" w:rsidP="002D0488">
            <w:pPr>
              <w:spacing w:after="0" w:line="240" w:lineRule="auto"/>
              <w:ind w:left="113"/>
              <w:jc w:val="left"/>
              <w:rPr>
                <w:rFonts w:ascii="Arial" w:hAnsi="Arial" w:cs="Arial"/>
                <w:sz w:val="16"/>
                <w:szCs w:val="16"/>
              </w:rPr>
            </w:pPr>
            <w:r w:rsidRPr="00EB0E0A">
              <w:rPr>
                <w:rFonts w:ascii="Arial" w:hAnsi="Arial" w:cs="Arial"/>
                <w:sz w:val="16"/>
                <w:szCs w:val="16"/>
              </w:rPr>
              <w:t>Special Appropriations</w:t>
            </w:r>
          </w:p>
        </w:tc>
        <w:tc>
          <w:tcPr>
            <w:tcW w:w="992" w:type="dxa"/>
            <w:tcBorders>
              <w:top w:val="nil"/>
              <w:left w:val="nil"/>
              <w:bottom w:val="nil"/>
              <w:right w:val="nil"/>
            </w:tcBorders>
            <w:shd w:val="clear" w:color="auto" w:fill="auto"/>
            <w:noWrap/>
            <w:vAlign w:val="bottom"/>
            <w:hideMark/>
          </w:tcPr>
          <w:p w14:paraId="75F28B93" w14:textId="7FB4196E"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 </w:t>
            </w:r>
          </w:p>
        </w:tc>
        <w:tc>
          <w:tcPr>
            <w:tcW w:w="980" w:type="dxa"/>
            <w:tcBorders>
              <w:top w:val="nil"/>
              <w:left w:val="nil"/>
              <w:bottom w:val="nil"/>
              <w:right w:val="nil"/>
            </w:tcBorders>
            <w:shd w:val="clear" w:color="000000" w:fill="E6E6E6"/>
            <w:noWrap/>
            <w:vAlign w:val="bottom"/>
            <w:hideMark/>
          </w:tcPr>
          <w:p w14:paraId="74E1791D" w14:textId="383B9C5A"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 </w:t>
            </w:r>
          </w:p>
        </w:tc>
        <w:tc>
          <w:tcPr>
            <w:tcW w:w="980" w:type="dxa"/>
            <w:tcBorders>
              <w:top w:val="nil"/>
              <w:left w:val="nil"/>
              <w:bottom w:val="nil"/>
              <w:right w:val="nil"/>
            </w:tcBorders>
            <w:shd w:val="clear" w:color="auto" w:fill="auto"/>
            <w:noWrap/>
            <w:vAlign w:val="bottom"/>
            <w:hideMark/>
          </w:tcPr>
          <w:p w14:paraId="08F05156" w14:textId="67C3C6B5"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 </w:t>
            </w:r>
          </w:p>
        </w:tc>
        <w:tc>
          <w:tcPr>
            <w:tcW w:w="887" w:type="dxa"/>
            <w:tcBorders>
              <w:top w:val="nil"/>
              <w:left w:val="nil"/>
              <w:bottom w:val="nil"/>
              <w:right w:val="nil"/>
            </w:tcBorders>
            <w:shd w:val="clear" w:color="auto" w:fill="auto"/>
            <w:noWrap/>
            <w:vAlign w:val="bottom"/>
            <w:hideMark/>
          </w:tcPr>
          <w:p w14:paraId="066D1734" w14:textId="293AA211"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 </w:t>
            </w:r>
          </w:p>
        </w:tc>
        <w:tc>
          <w:tcPr>
            <w:tcW w:w="853" w:type="dxa"/>
            <w:tcBorders>
              <w:top w:val="nil"/>
              <w:left w:val="nil"/>
              <w:bottom w:val="nil"/>
              <w:right w:val="nil"/>
            </w:tcBorders>
            <w:shd w:val="clear" w:color="auto" w:fill="auto"/>
            <w:noWrap/>
            <w:vAlign w:val="bottom"/>
            <w:hideMark/>
          </w:tcPr>
          <w:p w14:paraId="221FD9E5" w14:textId="3B75F8C7"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 </w:t>
            </w:r>
          </w:p>
        </w:tc>
      </w:tr>
      <w:tr w:rsidR="00F24C07" w:rsidRPr="00622B48" w14:paraId="61B21120" w14:textId="77777777" w:rsidTr="009C398A">
        <w:trPr>
          <w:trHeight w:val="204"/>
        </w:trPr>
        <w:tc>
          <w:tcPr>
            <w:tcW w:w="2977" w:type="dxa"/>
            <w:tcBorders>
              <w:top w:val="nil"/>
              <w:left w:val="nil"/>
              <w:bottom w:val="nil"/>
              <w:right w:val="nil"/>
            </w:tcBorders>
            <w:shd w:val="clear" w:color="auto" w:fill="auto"/>
            <w:noWrap/>
            <w:vAlign w:val="bottom"/>
            <w:hideMark/>
          </w:tcPr>
          <w:p w14:paraId="2B5F82EA" w14:textId="77777777" w:rsidR="00F24C07" w:rsidRPr="00EB0E0A" w:rsidRDefault="00F24C07" w:rsidP="002D0488">
            <w:pPr>
              <w:spacing w:after="0" w:line="240" w:lineRule="auto"/>
              <w:ind w:left="113"/>
              <w:jc w:val="left"/>
              <w:rPr>
                <w:rFonts w:ascii="Arial" w:hAnsi="Arial" w:cs="Arial"/>
                <w:sz w:val="16"/>
                <w:szCs w:val="16"/>
              </w:rPr>
            </w:pPr>
            <w:r w:rsidRPr="00EB0E0A">
              <w:rPr>
                <w:rFonts w:ascii="Arial" w:hAnsi="Arial" w:cs="Arial"/>
                <w:sz w:val="16"/>
                <w:szCs w:val="16"/>
              </w:rPr>
              <w:t>Special Accounts</w:t>
            </w:r>
          </w:p>
        </w:tc>
        <w:tc>
          <w:tcPr>
            <w:tcW w:w="992" w:type="dxa"/>
            <w:tcBorders>
              <w:top w:val="nil"/>
              <w:left w:val="nil"/>
              <w:bottom w:val="nil"/>
              <w:right w:val="nil"/>
            </w:tcBorders>
            <w:shd w:val="clear" w:color="auto" w:fill="auto"/>
            <w:noWrap/>
            <w:vAlign w:val="bottom"/>
            <w:hideMark/>
          </w:tcPr>
          <w:p w14:paraId="0A2E1BDC" w14:textId="1E4B041B"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19,659 </w:t>
            </w:r>
          </w:p>
        </w:tc>
        <w:tc>
          <w:tcPr>
            <w:tcW w:w="980" w:type="dxa"/>
            <w:tcBorders>
              <w:top w:val="nil"/>
              <w:left w:val="nil"/>
              <w:bottom w:val="nil"/>
              <w:right w:val="nil"/>
            </w:tcBorders>
            <w:shd w:val="clear" w:color="000000" w:fill="E6E6E6"/>
            <w:noWrap/>
            <w:vAlign w:val="bottom"/>
            <w:hideMark/>
          </w:tcPr>
          <w:p w14:paraId="25EF7A06" w14:textId="1397E6BD"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21,257 </w:t>
            </w:r>
          </w:p>
        </w:tc>
        <w:tc>
          <w:tcPr>
            <w:tcW w:w="980" w:type="dxa"/>
            <w:tcBorders>
              <w:top w:val="nil"/>
              <w:left w:val="nil"/>
              <w:bottom w:val="nil"/>
              <w:right w:val="nil"/>
            </w:tcBorders>
            <w:shd w:val="clear" w:color="auto" w:fill="auto"/>
            <w:noWrap/>
            <w:vAlign w:val="bottom"/>
            <w:hideMark/>
          </w:tcPr>
          <w:p w14:paraId="6F290D5F" w14:textId="30A137E1"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19,934 </w:t>
            </w:r>
          </w:p>
        </w:tc>
        <w:tc>
          <w:tcPr>
            <w:tcW w:w="887" w:type="dxa"/>
            <w:tcBorders>
              <w:top w:val="nil"/>
              <w:left w:val="nil"/>
              <w:bottom w:val="nil"/>
              <w:right w:val="nil"/>
            </w:tcBorders>
            <w:shd w:val="clear" w:color="auto" w:fill="auto"/>
            <w:noWrap/>
            <w:vAlign w:val="bottom"/>
            <w:hideMark/>
          </w:tcPr>
          <w:p w14:paraId="14F2E382" w14:textId="211F02D0"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20,188 </w:t>
            </w:r>
          </w:p>
        </w:tc>
        <w:tc>
          <w:tcPr>
            <w:tcW w:w="853" w:type="dxa"/>
            <w:tcBorders>
              <w:top w:val="nil"/>
              <w:left w:val="nil"/>
              <w:bottom w:val="nil"/>
              <w:right w:val="nil"/>
            </w:tcBorders>
            <w:shd w:val="clear" w:color="auto" w:fill="auto"/>
            <w:noWrap/>
            <w:vAlign w:val="bottom"/>
            <w:hideMark/>
          </w:tcPr>
          <w:p w14:paraId="450EBE94" w14:textId="618EBEEE"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20,334 </w:t>
            </w:r>
          </w:p>
        </w:tc>
      </w:tr>
      <w:tr w:rsidR="00F24C07" w:rsidRPr="00622B48" w14:paraId="29B199C0" w14:textId="77777777" w:rsidTr="009C398A">
        <w:trPr>
          <w:trHeight w:val="204"/>
        </w:trPr>
        <w:tc>
          <w:tcPr>
            <w:tcW w:w="2977" w:type="dxa"/>
            <w:tcBorders>
              <w:top w:val="nil"/>
              <w:left w:val="nil"/>
              <w:bottom w:val="nil"/>
              <w:right w:val="nil"/>
            </w:tcBorders>
            <w:shd w:val="clear" w:color="auto" w:fill="auto"/>
            <w:vAlign w:val="bottom"/>
            <w:hideMark/>
          </w:tcPr>
          <w:p w14:paraId="0747DEE8" w14:textId="77777777" w:rsidR="00F24C07" w:rsidRPr="00EB0E0A" w:rsidRDefault="00F24C07" w:rsidP="002D0488">
            <w:pPr>
              <w:spacing w:after="0" w:line="240" w:lineRule="auto"/>
              <w:ind w:left="227"/>
              <w:jc w:val="left"/>
              <w:rPr>
                <w:rFonts w:ascii="Arial" w:hAnsi="Arial" w:cs="Arial"/>
                <w:sz w:val="16"/>
                <w:szCs w:val="16"/>
              </w:rPr>
            </w:pPr>
            <w:r w:rsidRPr="00EB0E0A">
              <w:rPr>
                <w:rFonts w:ascii="Arial" w:hAnsi="Arial" w:cs="Arial"/>
                <w:sz w:val="16"/>
                <w:szCs w:val="16"/>
              </w:rPr>
              <w:t xml:space="preserve">Expenses not requiring appropriation in the Budget year </w:t>
            </w:r>
            <w:r w:rsidRPr="00EB0E0A">
              <w:rPr>
                <w:rFonts w:ascii="Arial" w:hAnsi="Arial" w:cs="Arial"/>
                <w:sz w:val="16"/>
                <w:szCs w:val="16"/>
                <w:vertAlign w:val="superscript"/>
              </w:rPr>
              <w:t>(b)</w:t>
            </w:r>
          </w:p>
        </w:tc>
        <w:tc>
          <w:tcPr>
            <w:tcW w:w="992" w:type="dxa"/>
            <w:tcBorders>
              <w:top w:val="nil"/>
              <w:left w:val="nil"/>
              <w:bottom w:val="nil"/>
              <w:right w:val="nil"/>
            </w:tcBorders>
            <w:shd w:val="clear" w:color="auto" w:fill="auto"/>
            <w:noWrap/>
            <w:vAlign w:val="bottom"/>
            <w:hideMark/>
          </w:tcPr>
          <w:p w14:paraId="6B3F1B6F" w14:textId="71A2E45A"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35,018 </w:t>
            </w:r>
          </w:p>
        </w:tc>
        <w:tc>
          <w:tcPr>
            <w:tcW w:w="980" w:type="dxa"/>
            <w:tcBorders>
              <w:top w:val="nil"/>
              <w:left w:val="nil"/>
              <w:bottom w:val="nil"/>
              <w:right w:val="nil"/>
            </w:tcBorders>
            <w:shd w:val="clear" w:color="000000" w:fill="E6E6E6"/>
            <w:noWrap/>
            <w:vAlign w:val="bottom"/>
            <w:hideMark/>
          </w:tcPr>
          <w:p w14:paraId="6F0C5128" w14:textId="75FCE0ED"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77,257 </w:t>
            </w:r>
          </w:p>
        </w:tc>
        <w:tc>
          <w:tcPr>
            <w:tcW w:w="980" w:type="dxa"/>
            <w:tcBorders>
              <w:top w:val="nil"/>
              <w:left w:val="nil"/>
              <w:bottom w:val="nil"/>
              <w:right w:val="nil"/>
            </w:tcBorders>
            <w:shd w:val="clear" w:color="auto" w:fill="auto"/>
            <w:noWrap/>
            <w:vAlign w:val="bottom"/>
            <w:hideMark/>
          </w:tcPr>
          <w:p w14:paraId="469251A9" w14:textId="240B51FF"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57,752 </w:t>
            </w:r>
          </w:p>
        </w:tc>
        <w:tc>
          <w:tcPr>
            <w:tcW w:w="887" w:type="dxa"/>
            <w:tcBorders>
              <w:top w:val="nil"/>
              <w:left w:val="nil"/>
              <w:bottom w:val="nil"/>
              <w:right w:val="nil"/>
            </w:tcBorders>
            <w:shd w:val="clear" w:color="auto" w:fill="auto"/>
            <w:noWrap/>
            <w:vAlign w:val="bottom"/>
            <w:hideMark/>
          </w:tcPr>
          <w:p w14:paraId="76538A0C" w14:textId="230164F1"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57,680 </w:t>
            </w:r>
          </w:p>
        </w:tc>
        <w:tc>
          <w:tcPr>
            <w:tcW w:w="853" w:type="dxa"/>
            <w:tcBorders>
              <w:top w:val="nil"/>
              <w:left w:val="nil"/>
              <w:bottom w:val="nil"/>
              <w:right w:val="nil"/>
            </w:tcBorders>
            <w:shd w:val="clear" w:color="auto" w:fill="auto"/>
            <w:noWrap/>
            <w:vAlign w:val="bottom"/>
            <w:hideMark/>
          </w:tcPr>
          <w:p w14:paraId="7DE3DD66" w14:textId="5D2807C5"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57,193 </w:t>
            </w:r>
          </w:p>
        </w:tc>
      </w:tr>
      <w:tr w:rsidR="00F24C07" w:rsidRPr="00622B48" w14:paraId="11D7D74A" w14:textId="77777777" w:rsidTr="009C398A">
        <w:trPr>
          <w:trHeight w:val="204"/>
        </w:trPr>
        <w:tc>
          <w:tcPr>
            <w:tcW w:w="2977" w:type="dxa"/>
            <w:tcBorders>
              <w:top w:val="nil"/>
              <w:left w:val="nil"/>
              <w:bottom w:val="nil"/>
              <w:right w:val="nil"/>
            </w:tcBorders>
            <w:shd w:val="clear" w:color="auto" w:fill="auto"/>
            <w:vAlign w:val="bottom"/>
            <w:hideMark/>
          </w:tcPr>
          <w:p w14:paraId="1D6432CB" w14:textId="5DBED296" w:rsidR="00F24C07" w:rsidRPr="00EB0E0A" w:rsidRDefault="00F24C07" w:rsidP="00F24C07">
            <w:pPr>
              <w:spacing w:after="0" w:line="240" w:lineRule="auto"/>
              <w:ind w:firstLineChars="100" w:firstLine="160"/>
              <w:jc w:val="right"/>
              <w:rPr>
                <w:rFonts w:ascii="Arial" w:hAnsi="Arial" w:cs="Arial"/>
                <w:b/>
                <w:bCs/>
                <w:sz w:val="16"/>
                <w:szCs w:val="16"/>
              </w:rPr>
            </w:pPr>
            <w:r w:rsidRPr="00EB0E0A">
              <w:rPr>
                <w:rFonts w:ascii="Arial" w:hAnsi="Arial" w:cs="Arial"/>
                <w:b/>
                <w:bCs/>
                <w:sz w:val="16"/>
                <w:szCs w:val="16"/>
              </w:rPr>
              <w:t>Total Administered expenses</w:t>
            </w:r>
          </w:p>
        </w:tc>
        <w:tc>
          <w:tcPr>
            <w:tcW w:w="992" w:type="dxa"/>
            <w:tcBorders>
              <w:top w:val="single" w:sz="4" w:space="0" w:color="auto"/>
              <w:left w:val="nil"/>
              <w:bottom w:val="single" w:sz="4" w:space="0" w:color="auto"/>
              <w:right w:val="nil"/>
            </w:tcBorders>
            <w:shd w:val="clear" w:color="auto" w:fill="auto"/>
            <w:noWrap/>
            <w:vAlign w:val="bottom"/>
            <w:hideMark/>
          </w:tcPr>
          <w:p w14:paraId="27FD59A2" w14:textId="2F7DFA95"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252,257 </w:t>
            </w:r>
          </w:p>
        </w:tc>
        <w:tc>
          <w:tcPr>
            <w:tcW w:w="980" w:type="dxa"/>
            <w:tcBorders>
              <w:top w:val="single" w:sz="4" w:space="0" w:color="auto"/>
              <w:left w:val="nil"/>
              <w:bottom w:val="single" w:sz="4" w:space="0" w:color="auto"/>
              <w:right w:val="nil"/>
            </w:tcBorders>
            <w:shd w:val="clear" w:color="000000" w:fill="E6E6E6"/>
            <w:noWrap/>
            <w:vAlign w:val="bottom"/>
            <w:hideMark/>
          </w:tcPr>
          <w:p w14:paraId="3D64650F" w14:textId="7F0916F2"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292,238 </w:t>
            </w:r>
          </w:p>
        </w:tc>
        <w:tc>
          <w:tcPr>
            <w:tcW w:w="980" w:type="dxa"/>
            <w:tcBorders>
              <w:top w:val="single" w:sz="4" w:space="0" w:color="auto"/>
              <w:left w:val="nil"/>
              <w:bottom w:val="single" w:sz="4" w:space="0" w:color="auto"/>
              <w:right w:val="nil"/>
            </w:tcBorders>
            <w:shd w:val="clear" w:color="auto" w:fill="auto"/>
            <w:noWrap/>
            <w:vAlign w:val="bottom"/>
            <w:hideMark/>
          </w:tcPr>
          <w:p w14:paraId="4F85B5AF" w14:textId="29DF65AE"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217,146 </w:t>
            </w:r>
          </w:p>
        </w:tc>
        <w:tc>
          <w:tcPr>
            <w:tcW w:w="887" w:type="dxa"/>
            <w:tcBorders>
              <w:top w:val="single" w:sz="4" w:space="0" w:color="auto"/>
              <w:left w:val="nil"/>
              <w:bottom w:val="single" w:sz="4" w:space="0" w:color="auto"/>
              <w:right w:val="nil"/>
            </w:tcBorders>
            <w:shd w:val="clear" w:color="auto" w:fill="auto"/>
            <w:noWrap/>
            <w:vAlign w:val="bottom"/>
            <w:hideMark/>
          </w:tcPr>
          <w:p w14:paraId="5797CE1E" w14:textId="638701E0"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219,016 </w:t>
            </w:r>
          </w:p>
        </w:tc>
        <w:tc>
          <w:tcPr>
            <w:tcW w:w="853" w:type="dxa"/>
            <w:tcBorders>
              <w:top w:val="single" w:sz="4" w:space="0" w:color="auto"/>
              <w:left w:val="nil"/>
              <w:bottom w:val="single" w:sz="4" w:space="0" w:color="auto"/>
              <w:right w:val="nil"/>
            </w:tcBorders>
            <w:shd w:val="clear" w:color="auto" w:fill="auto"/>
            <w:noWrap/>
            <w:vAlign w:val="bottom"/>
            <w:hideMark/>
          </w:tcPr>
          <w:p w14:paraId="75CB430A" w14:textId="6EFDF2BC"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220,143 </w:t>
            </w:r>
          </w:p>
        </w:tc>
      </w:tr>
      <w:tr w:rsidR="00F24C07" w:rsidRPr="00622B48" w14:paraId="36F07896" w14:textId="77777777" w:rsidTr="009C398A">
        <w:trPr>
          <w:trHeight w:val="204"/>
        </w:trPr>
        <w:tc>
          <w:tcPr>
            <w:tcW w:w="2977" w:type="dxa"/>
            <w:tcBorders>
              <w:top w:val="nil"/>
              <w:left w:val="nil"/>
              <w:bottom w:val="nil"/>
              <w:right w:val="nil"/>
            </w:tcBorders>
            <w:shd w:val="clear" w:color="auto" w:fill="auto"/>
            <w:noWrap/>
            <w:vAlign w:val="bottom"/>
            <w:hideMark/>
          </w:tcPr>
          <w:p w14:paraId="206AE0B7" w14:textId="77777777" w:rsidR="00F24C07" w:rsidRPr="00EB0E0A" w:rsidRDefault="00F24C07" w:rsidP="00F24C07">
            <w:pPr>
              <w:spacing w:after="0" w:line="240" w:lineRule="auto"/>
              <w:jc w:val="left"/>
              <w:rPr>
                <w:rFonts w:ascii="Arial" w:hAnsi="Arial" w:cs="Arial"/>
                <w:sz w:val="16"/>
                <w:szCs w:val="16"/>
              </w:rPr>
            </w:pPr>
            <w:r w:rsidRPr="00EB0E0A">
              <w:rPr>
                <w:rFonts w:ascii="Arial" w:hAnsi="Arial" w:cs="Arial"/>
                <w:sz w:val="16"/>
                <w:szCs w:val="16"/>
              </w:rPr>
              <w:t>Departmental expenses</w:t>
            </w:r>
          </w:p>
        </w:tc>
        <w:tc>
          <w:tcPr>
            <w:tcW w:w="992" w:type="dxa"/>
            <w:tcBorders>
              <w:top w:val="nil"/>
              <w:left w:val="nil"/>
              <w:bottom w:val="nil"/>
              <w:right w:val="nil"/>
            </w:tcBorders>
            <w:shd w:val="clear" w:color="auto" w:fill="auto"/>
            <w:noWrap/>
            <w:vAlign w:val="bottom"/>
            <w:hideMark/>
          </w:tcPr>
          <w:p w14:paraId="3F3B941D" w14:textId="77777777" w:rsidR="00F24C07" w:rsidRPr="00EB0E0A" w:rsidRDefault="00F24C07" w:rsidP="00F24C07">
            <w:pPr>
              <w:spacing w:after="0" w:line="240" w:lineRule="auto"/>
              <w:jc w:val="left"/>
              <w:rPr>
                <w:rFonts w:ascii="Arial" w:hAnsi="Arial" w:cs="Arial"/>
                <w:sz w:val="16"/>
                <w:szCs w:val="16"/>
              </w:rPr>
            </w:pPr>
          </w:p>
        </w:tc>
        <w:tc>
          <w:tcPr>
            <w:tcW w:w="980" w:type="dxa"/>
            <w:tcBorders>
              <w:top w:val="nil"/>
              <w:left w:val="nil"/>
              <w:bottom w:val="nil"/>
              <w:right w:val="nil"/>
            </w:tcBorders>
            <w:shd w:val="clear" w:color="000000" w:fill="E6E6E6"/>
            <w:noWrap/>
            <w:vAlign w:val="bottom"/>
            <w:hideMark/>
          </w:tcPr>
          <w:p w14:paraId="6BADE8E2" w14:textId="1F5612E8"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w:t>
            </w:r>
          </w:p>
        </w:tc>
        <w:tc>
          <w:tcPr>
            <w:tcW w:w="980" w:type="dxa"/>
            <w:tcBorders>
              <w:top w:val="nil"/>
              <w:left w:val="nil"/>
              <w:bottom w:val="nil"/>
              <w:right w:val="nil"/>
            </w:tcBorders>
            <w:shd w:val="clear" w:color="auto" w:fill="auto"/>
            <w:noWrap/>
            <w:vAlign w:val="bottom"/>
            <w:hideMark/>
          </w:tcPr>
          <w:p w14:paraId="09CC29D4" w14:textId="77777777" w:rsidR="00F24C07" w:rsidRPr="00EB0E0A" w:rsidRDefault="00F24C07" w:rsidP="00F24C07">
            <w:pPr>
              <w:spacing w:after="0" w:line="240" w:lineRule="auto"/>
              <w:jc w:val="right"/>
              <w:rPr>
                <w:rFonts w:ascii="Arial" w:hAnsi="Arial" w:cs="Arial"/>
                <w:sz w:val="16"/>
                <w:szCs w:val="16"/>
              </w:rPr>
            </w:pPr>
          </w:p>
        </w:tc>
        <w:tc>
          <w:tcPr>
            <w:tcW w:w="887" w:type="dxa"/>
            <w:tcBorders>
              <w:top w:val="nil"/>
              <w:left w:val="nil"/>
              <w:bottom w:val="nil"/>
              <w:right w:val="nil"/>
            </w:tcBorders>
            <w:shd w:val="clear" w:color="auto" w:fill="auto"/>
            <w:noWrap/>
            <w:vAlign w:val="bottom"/>
            <w:hideMark/>
          </w:tcPr>
          <w:p w14:paraId="786D6A14" w14:textId="77777777" w:rsidR="00F24C07" w:rsidRPr="00EB0E0A" w:rsidRDefault="00F24C07" w:rsidP="00F24C07">
            <w:pPr>
              <w:spacing w:after="0" w:line="240" w:lineRule="auto"/>
              <w:jc w:val="right"/>
              <w:rPr>
                <w:rFonts w:ascii="Times New Roman" w:hAnsi="Times New Roman"/>
                <w:sz w:val="16"/>
                <w:szCs w:val="16"/>
              </w:rPr>
            </w:pPr>
          </w:p>
        </w:tc>
        <w:tc>
          <w:tcPr>
            <w:tcW w:w="853" w:type="dxa"/>
            <w:tcBorders>
              <w:top w:val="nil"/>
              <w:left w:val="nil"/>
              <w:bottom w:val="nil"/>
              <w:right w:val="nil"/>
            </w:tcBorders>
            <w:shd w:val="clear" w:color="auto" w:fill="auto"/>
            <w:noWrap/>
            <w:vAlign w:val="bottom"/>
            <w:hideMark/>
          </w:tcPr>
          <w:p w14:paraId="188B66B9" w14:textId="77777777" w:rsidR="00F24C07" w:rsidRPr="00EB0E0A" w:rsidRDefault="00F24C07" w:rsidP="00F24C07">
            <w:pPr>
              <w:spacing w:after="0" w:line="240" w:lineRule="auto"/>
              <w:jc w:val="right"/>
              <w:rPr>
                <w:rFonts w:ascii="Times New Roman" w:hAnsi="Times New Roman"/>
                <w:sz w:val="16"/>
                <w:szCs w:val="16"/>
              </w:rPr>
            </w:pPr>
          </w:p>
        </w:tc>
      </w:tr>
      <w:tr w:rsidR="00F24C07" w:rsidRPr="00622B48" w14:paraId="3A4F54EA" w14:textId="77777777" w:rsidTr="009C398A">
        <w:trPr>
          <w:trHeight w:val="204"/>
        </w:trPr>
        <w:tc>
          <w:tcPr>
            <w:tcW w:w="2977" w:type="dxa"/>
            <w:tcBorders>
              <w:top w:val="nil"/>
              <w:left w:val="nil"/>
              <w:bottom w:val="nil"/>
              <w:right w:val="nil"/>
            </w:tcBorders>
            <w:shd w:val="clear" w:color="auto" w:fill="auto"/>
            <w:vAlign w:val="bottom"/>
            <w:hideMark/>
          </w:tcPr>
          <w:p w14:paraId="424EE0DE" w14:textId="77777777" w:rsidR="00F24C07" w:rsidRPr="00EB0E0A" w:rsidRDefault="00F24C07" w:rsidP="002D0488">
            <w:pPr>
              <w:spacing w:after="0" w:line="240" w:lineRule="auto"/>
              <w:ind w:left="113"/>
              <w:jc w:val="left"/>
              <w:rPr>
                <w:rFonts w:ascii="Arial" w:hAnsi="Arial" w:cs="Arial"/>
                <w:sz w:val="16"/>
                <w:szCs w:val="16"/>
              </w:rPr>
            </w:pPr>
            <w:r w:rsidRPr="00EB0E0A">
              <w:rPr>
                <w:rFonts w:ascii="Arial" w:hAnsi="Arial" w:cs="Arial"/>
                <w:sz w:val="16"/>
                <w:szCs w:val="16"/>
              </w:rPr>
              <w:t>Departmental appropriation</w:t>
            </w:r>
          </w:p>
        </w:tc>
        <w:tc>
          <w:tcPr>
            <w:tcW w:w="992" w:type="dxa"/>
            <w:tcBorders>
              <w:top w:val="nil"/>
              <w:left w:val="nil"/>
              <w:bottom w:val="nil"/>
              <w:right w:val="nil"/>
            </w:tcBorders>
            <w:shd w:val="clear" w:color="auto" w:fill="auto"/>
            <w:noWrap/>
            <w:vAlign w:val="bottom"/>
            <w:hideMark/>
          </w:tcPr>
          <w:p w14:paraId="67157E56" w14:textId="1B57BC7F"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26,289 </w:t>
            </w:r>
          </w:p>
        </w:tc>
        <w:tc>
          <w:tcPr>
            <w:tcW w:w="980" w:type="dxa"/>
            <w:tcBorders>
              <w:top w:val="nil"/>
              <w:left w:val="nil"/>
              <w:bottom w:val="nil"/>
              <w:right w:val="nil"/>
            </w:tcBorders>
            <w:shd w:val="clear" w:color="000000" w:fill="E6E6E6"/>
            <w:noWrap/>
            <w:vAlign w:val="bottom"/>
            <w:hideMark/>
          </w:tcPr>
          <w:p w14:paraId="3E9C9357" w14:textId="2DCE1BB1"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31,165 </w:t>
            </w:r>
          </w:p>
        </w:tc>
        <w:tc>
          <w:tcPr>
            <w:tcW w:w="980" w:type="dxa"/>
            <w:tcBorders>
              <w:top w:val="nil"/>
              <w:left w:val="nil"/>
              <w:bottom w:val="nil"/>
              <w:right w:val="nil"/>
            </w:tcBorders>
            <w:shd w:val="clear" w:color="auto" w:fill="auto"/>
            <w:noWrap/>
            <w:vAlign w:val="bottom"/>
            <w:hideMark/>
          </w:tcPr>
          <w:p w14:paraId="17CD523D" w14:textId="1285763E"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32,500 </w:t>
            </w:r>
          </w:p>
        </w:tc>
        <w:tc>
          <w:tcPr>
            <w:tcW w:w="887" w:type="dxa"/>
            <w:tcBorders>
              <w:top w:val="nil"/>
              <w:left w:val="nil"/>
              <w:bottom w:val="nil"/>
              <w:right w:val="nil"/>
            </w:tcBorders>
            <w:shd w:val="clear" w:color="auto" w:fill="auto"/>
            <w:noWrap/>
            <w:vAlign w:val="bottom"/>
            <w:hideMark/>
          </w:tcPr>
          <w:p w14:paraId="3AD8BBA3" w14:textId="524F818D"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30,704 </w:t>
            </w:r>
          </w:p>
        </w:tc>
        <w:tc>
          <w:tcPr>
            <w:tcW w:w="853" w:type="dxa"/>
            <w:tcBorders>
              <w:top w:val="nil"/>
              <w:left w:val="nil"/>
              <w:bottom w:val="nil"/>
              <w:right w:val="nil"/>
            </w:tcBorders>
            <w:shd w:val="clear" w:color="auto" w:fill="auto"/>
            <w:noWrap/>
            <w:vAlign w:val="bottom"/>
            <w:hideMark/>
          </w:tcPr>
          <w:p w14:paraId="27A32F03" w14:textId="14892185"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27,225 </w:t>
            </w:r>
          </w:p>
        </w:tc>
      </w:tr>
      <w:tr w:rsidR="00F24C07" w:rsidRPr="00622B48" w14:paraId="1C0D323C" w14:textId="77777777" w:rsidTr="009C398A">
        <w:trPr>
          <w:trHeight w:val="204"/>
        </w:trPr>
        <w:tc>
          <w:tcPr>
            <w:tcW w:w="2977" w:type="dxa"/>
            <w:tcBorders>
              <w:top w:val="nil"/>
              <w:left w:val="nil"/>
              <w:bottom w:val="nil"/>
              <w:right w:val="nil"/>
            </w:tcBorders>
            <w:shd w:val="clear" w:color="auto" w:fill="auto"/>
            <w:vAlign w:val="bottom"/>
            <w:hideMark/>
          </w:tcPr>
          <w:p w14:paraId="10797226" w14:textId="77777777" w:rsidR="00F24C07" w:rsidRPr="00EB0E0A" w:rsidRDefault="00F24C07" w:rsidP="002D0488">
            <w:pPr>
              <w:spacing w:after="0" w:line="240" w:lineRule="auto"/>
              <w:ind w:left="227"/>
              <w:jc w:val="left"/>
              <w:rPr>
                <w:rFonts w:ascii="Arial" w:hAnsi="Arial" w:cs="Arial"/>
                <w:sz w:val="16"/>
                <w:szCs w:val="16"/>
              </w:rPr>
            </w:pPr>
            <w:r w:rsidRPr="00EB0E0A">
              <w:rPr>
                <w:rFonts w:ascii="Arial" w:hAnsi="Arial" w:cs="Arial"/>
                <w:sz w:val="16"/>
                <w:szCs w:val="16"/>
              </w:rPr>
              <w:t xml:space="preserve">s74 retained revenue receipts </w:t>
            </w:r>
            <w:r w:rsidRPr="00EB0E0A">
              <w:rPr>
                <w:rFonts w:ascii="Arial" w:hAnsi="Arial" w:cs="Arial"/>
                <w:sz w:val="16"/>
                <w:szCs w:val="16"/>
                <w:vertAlign w:val="superscript"/>
              </w:rPr>
              <w:t>(c)</w:t>
            </w:r>
          </w:p>
        </w:tc>
        <w:tc>
          <w:tcPr>
            <w:tcW w:w="992" w:type="dxa"/>
            <w:tcBorders>
              <w:top w:val="nil"/>
              <w:left w:val="nil"/>
              <w:bottom w:val="nil"/>
              <w:right w:val="nil"/>
            </w:tcBorders>
            <w:shd w:val="clear" w:color="auto" w:fill="auto"/>
            <w:noWrap/>
            <w:vAlign w:val="bottom"/>
            <w:hideMark/>
          </w:tcPr>
          <w:p w14:paraId="1E1CC6D1" w14:textId="4C2CC9D0"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1,898 </w:t>
            </w:r>
          </w:p>
        </w:tc>
        <w:tc>
          <w:tcPr>
            <w:tcW w:w="980" w:type="dxa"/>
            <w:tcBorders>
              <w:top w:val="nil"/>
              <w:left w:val="nil"/>
              <w:bottom w:val="nil"/>
              <w:right w:val="nil"/>
            </w:tcBorders>
            <w:shd w:val="clear" w:color="000000" w:fill="E6E6E6"/>
            <w:noWrap/>
            <w:vAlign w:val="bottom"/>
            <w:hideMark/>
          </w:tcPr>
          <w:p w14:paraId="5103FD71" w14:textId="57C8F5B6"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936 </w:t>
            </w:r>
          </w:p>
        </w:tc>
        <w:tc>
          <w:tcPr>
            <w:tcW w:w="980" w:type="dxa"/>
            <w:tcBorders>
              <w:top w:val="nil"/>
              <w:left w:val="nil"/>
              <w:bottom w:val="nil"/>
              <w:right w:val="nil"/>
            </w:tcBorders>
            <w:shd w:val="clear" w:color="auto" w:fill="auto"/>
            <w:noWrap/>
            <w:vAlign w:val="bottom"/>
            <w:hideMark/>
          </w:tcPr>
          <w:p w14:paraId="211EB6C3" w14:textId="04AE8A29"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955 </w:t>
            </w:r>
          </w:p>
        </w:tc>
        <w:tc>
          <w:tcPr>
            <w:tcW w:w="887" w:type="dxa"/>
            <w:tcBorders>
              <w:top w:val="nil"/>
              <w:left w:val="nil"/>
              <w:bottom w:val="nil"/>
              <w:right w:val="nil"/>
            </w:tcBorders>
            <w:shd w:val="clear" w:color="auto" w:fill="auto"/>
            <w:noWrap/>
            <w:vAlign w:val="bottom"/>
            <w:hideMark/>
          </w:tcPr>
          <w:p w14:paraId="32562118" w14:textId="39D9383D"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1,065 </w:t>
            </w:r>
          </w:p>
        </w:tc>
        <w:tc>
          <w:tcPr>
            <w:tcW w:w="853" w:type="dxa"/>
            <w:tcBorders>
              <w:top w:val="nil"/>
              <w:left w:val="nil"/>
              <w:bottom w:val="nil"/>
              <w:right w:val="nil"/>
            </w:tcBorders>
            <w:shd w:val="clear" w:color="auto" w:fill="auto"/>
            <w:noWrap/>
            <w:vAlign w:val="bottom"/>
            <w:hideMark/>
          </w:tcPr>
          <w:p w14:paraId="2D406FC9" w14:textId="477511BE"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1,065 </w:t>
            </w:r>
          </w:p>
        </w:tc>
      </w:tr>
      <w:tr w:rsidR="00F24C07" w:rsidRPr="00622B48" w14:paraId="247F46C1" w14:textId="77777777" w:rsidTr="009C398A">
        <w:trPr>
          <w:trHeight w:val="204"/>
        </w:trPr>
        <w:tc>
          <w:tcPr>
            <w:tcW w:w="2977" w:type="dxa"/>
            <w:tcBorders>
              <w:top w:val="nil"/>
              <w:left w:val="nil"/>
              <w:bottom w:val="nil"/>
              <w:right w:val="nil"/>
            </w:tcBorders>
            <w:shd w:val="clear" w:color="auto" w:fill="auto"/>
            <w:vAlign w:val="bottom"/>
            <w:hideMark/>
          </w:tcPr>
          <w:p w14:paraId="414CF4D3" w14:textId="77777777" w:rsidR="00F24C07" w:rsidRPr="00EB0E0A" w:rsidRDefault="00F24C07" w:rsidP="002D0488">
            <w:pPr>
              <w:spacing w:after="0" w:line="240" w:lineRule="auto"/>
              <w:ind w:left="227"/>
              <w:jc w:val="left"/>
              <w:rPr>
                <w:rFonts w:ascii="Arial" w:hAnsi="Arial" w:cs="Arial"/>
                <w:sz w:val="16"/>
                <w:szCs w:val="16"/>
              </w:rPr>
            </w:pPr>
            <w:r w:rsidRPr="00EB0E0A">
              <w:rPr>
                <w:rFonts w:ascii="Arial" w:hAnsi="Arial" w:cs="Arial"/>
                <w:sz w:val="16"/>
                <w:szCs w:val="16"/>
              </w:rPr>
              <w:t xml:space="preserve">Expenses not requiring appropriation in the Budget year </w:t>
            </w:r>
            <w:r w:rsidRPr="00EB0E0A">
              <w:rPr>
                <w:rFonts w:ascii="Arial" w:hAnsi="Arial" w:cs="Arial"/>
                <w:sz w:val="16"/>
                <w:szCs w:val="16"/>
                <w:vertAlign w:val="superscript"/>
              </w:rPr>
              <w:t>(d)</w:t>
            </w:r>
          </w:p>
        </w:tc>
        <w:tc>
          <w:tcPr>
            <w:tcW w:w="992" w:type="dxa"/>
            <w:tcBorders>
              <w:top w:val="nil"/>
              <w:left w:val="nil"/>
              <w:bottom w:val="nil"/>
              <w:right w:val="nil"/>
            </w:tcBorders>
            <w:shd w:val="clear" w:color="auto" w:fill="auto"/>
            <w:noWrap/>
            <w:vAlign w:val="bottom"/>
            <w:hideMark/>
          </w:tcPr>
          <w:p w14:paraId="40591200" w14:textId="5124E65B"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3,023 </w:t>
            </w:r>
          </w:p>
        </w:tc>
        <w:tc>
          <w:tcPr>
            <w:tcW w:w="980" w:type="dxa"/>
            <w:tcBorders>
              <w:top w:val="nil"/>
              <w:left w:val="nil"/>
              <w:bottom w:val="nil"/>
              <w:right w:val="nil"/>
            </w:tcBorders>
            <w:shd w:val="clear" w:color="000000" w:fill="E6E6E6"/>
            <w:noWrap/>
            <w:vAlign w:val="bottom"/>
            <w:hideMark/>
          </w:tcPr>
          <w:p w14:paraId="3414718D" w14:textId="70926480"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700 </w:t>
            </w:r>
          </w:p>
        </w:tc>
        <w:tc>
          <w:tcPr>
            <w:tcW w:w="980" w:type="dxa"/>
            <w:tcBorders>
              <w:top w:val="nil"/>
              <w:left w:val="nil"/>
              <w:bottom w:val="nil"/>
              <w:right w:val="nil"/>
            </w:tcBorders>
            <w:shd w:val="clear" w:color="auto" w:fill="auto"/>
            <w:noWrap/>
            <w:vAlign w:val="bottom"/>
            <w:hideMark/>
          </w:tcPr>
          <w:p w14:paraId="0F55091D" w14:textId="4C016CB6"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727 </w:t>
            </w:r>
          </w:p>
        </w:tc>
        <w:tc>
          <w:tcPr>
            <w:tcW w:w="887" w:type="dxa"/>
            <w:tcBorders>
              <w:top w:val="nil"/>
              <w:left w:val="nil"/>
              <w:bottom w:val="nil"/>
              <w:right w:val="nil"/>
            </w:tcBorders>
            <w:shd w:val="clear" w:color="auto" w:fill="auto"/>
            <w:noWrap/>
            <w:vAlign w:val="bottom"/>
            <w:hideMark/>
          </w:tcPr>
          <w:p w14:paraId="4C4B5DAC" w14:textId="3B74F4F6"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764 </w:t>
            </w:r>
          </w:p>
        </w:tc>
        <w:tc>
          <w:tcPr>
            <w:tcW w:w="853" w:type="dxa"/>
            <w:tcBorders>
              <w:top w:val="nil"/>
              <w:left w:val="nil"/>
              <w:bottom w:val="nil"/>
              <w:right w:val="nil"/>
            </w:tcBorders>
            <w:shd w:val="clear" w:color="auto" w:fill="auto"/>
            <w:noWrap/>
            <w:vAlign w:val="bottom"/>
            <w:hideMark/>
          </w:tcPr>
          <w:p w14:paraId="02557BE9" w14:textId="6EBEE383" w:rsidR="00F24C07" w:rsidRPr="00EB0E0A" w:rsidRDefault="00F24C07" w:rsidP="00F24C07">
            <w:pPr>
              <w:spacing w:after="0" w:line="240" w:lineRule="auto"/>
              <w:jc w:val="right"/>
              <w:rPr>
                <w:rFonts w:ascii="Arial" w:hAnsi="Arial" w:cs="Arial"/>
                <w:sz w:val="16"/>
                <w:szCs w:val="16"/>
              </w:rPr>
            </w:pPr>
            <w:r>
              <w:rPr>
                <w:rFonts w:ascii="Arial" w:hAnsi="Arial" w:cs="Arial"/>
                <w:sz w:val="16"/>
                <w:szCs w:val="16"/>
              </w:rPr>
              <w:t xml:space="preserve">834 </w:t>
            </w:r>
          </w:p>
        </w:tc>
      </w:tr>
      <w:tr w:rsidR="00F24C07" w:rsidRPr="00622B48" w14:paraId="52BE00D0" w14:textId="77777777" w:rsidTr="009C398A">
        <w:trPr>
          <w:trHeight w:val="204"/>
        </w:trPr>
        <w:tc>
          <w:tcPr>
            <w:tcW w:w="2977" w:type="dxa"/>
            <w:tcBorders>
              <w:top w:val="nil"/>
              <w:left w:val="nil"/>
              <w:bottom w:val="nil"/>
              <w:right w:val="nil"/>
            </w:tcBorders>
            <w:shd w:val="clear" w:color="auto" w:fill="auto"/>
            <w:vAlign w:val="bottom"/>
            <w:hideMark/>
          </w:tcPr>
          <w:p w14:paraId="41CA1AEE" w14:textId="1B8405BE" w:rsidR="00F24C07" w:rsidRPr="00EB0E0A" w:rsidRDefault="00F24C07" w:rsidP="00F24C07">
            <w:pPr>
              <w:spacing w:after="0" w:line="240" w:lineRule="auto"/>
              <w:ind w:firstLineChars="100" w:firstLine="160"/>
              <w:jc w:val="right"/>
              <w:rPr>
                <w:rFonts w:ascii="Arial" w:hAnsi="Arial" w:cs="Arial"/>
                <w:b/>
                <w:bCs/>
                <w:sz w:val="16"/>
                <w:szCs w:val="16"/>
              </w:rPr>
            </w:pPr>
            <w:r>
              <w:rPr>
                <w:rFonts w:ascii="Arial" w:hAnsi="Arial" w:cs="Arial"/>
                <w:b/>
                <w:bCs/>
                <w:sz w:val="16"/>
                <w:szCs w:val="16"/>
              </w:rPr>
              <w:t>Total D</w:t>
            </w:r>
            <w:r w:rsidRPr="00EB0E0A">
              <w:rPr>
                <w:rFonts w:ascii="Arial" w:hAnsi="Arial" w:cs="Arial"/>
                <w:b/>
                <w:bCs/>
                <w:sz w:val="16"/>
                <w:szCs w:val="16"/>
              </w:rPr>
              <w:t>epartmental expenses</w:t>
            </w:r>
          </w:p>
        </w:tc>
        <w:tc>
          <w:tcPr>
            <w:tcW w:w="992" w:type="dxa"/>
            <w:tcBorders>
              <w:top w:val="single" w:sz="4" w:space="0" w:color="auto"/>
              <w:left w:val="nil"/>
              <w:bottom w:val="single" w:sz="4" w:space="0" w:color="auto"/>
              <w:right w:val="nil"/>
            </w:tcBorders>
            <w:shd w:val="clear" w:color="auto" w:fill="auto"/>
            <w:noWrap/>
            <w:vAlign w:val="bottom"/>
            <w:hideMark/>
          </w:tcPr>
          <w:p w14:paraId="0177EB84" w14:textId="0A12D023"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31,210 </w:t>
            </w:r>
          </w:p>
        </w:tc>
        <w:tc>
          <w:tcPr>
            <w:tcW w:w="980" w:type="dxa"/>
            <w:tcBorders>
              <w:top w:val="single" w:sz="4" w:space="0" w:color="auto"/>
              <w:left w:val="nil"/>
              <w:bottom w:val="single" w:sz="4" w:space="0" w:color="auto"/>
              <w:right w:val="nil"/>
            </w:tcBorders>
            <w:shd w:val="clear" w:color="000000" w:fill="E6E6E6"/>
            <w:noWrap/>
            <w:vAlign w:val="bottom"/>
            <w:hideMark/>
          </w:tcPr>
          <w:p w14:paraId="7092CC44" w14:textId="18922FB0"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32,801 </w:t>
            </w:r>
          </w:p>
        </w:tc>
        <w:tc>
          <w:tcPr>
            <w:tcW w:w="980" w:type="dxa"/>
            <w:tcBorders>
              <w:top w:val="single" w:sz="4" w:space="0" w:color="auto"/>
              <w:left w:val="nil"/>
              <w:bottom w:val="single" w:sz="4" w:space="0" w:color="auto"/>
              <w:right w:val="nil"/>
            </w:tcBorders>
            <w:shd w:val="clear" w:color="auto" w:fill="auto"/>
            <w:noWrap/>
            <w:vAlign w:val="bottom"/>
            <w:hideMark/>
          </w:tcPr>
          <w:p w14:paraId="4AB33814" w14:textId="10C7FD95"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34,182 </w:t>
            </w:r>
          </w:p>
        </w:tc>
        <w:tc>
          <w:tcPr>
            <w:tcW w:w="887" w:type="dxa"/>
            <w:tcBorders>
              <w:top w:val="single" w:sz="4" w:space="0" w:color="auto"/>
              <w:left w:val="nil"/>
              <w:bottom w:val="single" w:sz="4" w:space="0" w:color="auto"/>
              <w:right w:val="nil"/>
            </w:tcBorders>
            <w:shd w:val="clear" w:color="auto" w:fill="auto"/>
            <w:noWrap/>
            <w:vAlign w:val="bottom"/>
            <w:hideMark/>
          </w:tcPr>
          <w:p w14:paraId="587B2185" w14:textId="4317750E"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32,533 </w:t>
            </w:r>
          </w:p>
        </w:tc>
        <w:tc>
          <w:tcPr>
            <w:tcW w:w="853" w:type="dxa"/>
            <w:tcBorders>
              <w:top w:val="single" w:sz="4" w:space="0" w:color="auto"/>
              <w:left w:val="nil"/>
              <w:bottom w:val="single" w:sz="4" w:space="0" w:color="auto"/>
              <w:right w:val="nil"/>
            </w:tcBorders>
            <w:shd w:val="clear" w:color="auto" w:fill="auto"/>
            <w:noWrap/>
            <w:vAlign w:val="bottom"/>
            <w:hideMark/>
          </w:tcPr>
          <w:p w14:paraId="06C1C562" w14:textId="6F5953A8" w:rsidR="00F24C07" w:rsidRPr="00EB0E0A"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29,124 </w:t>
            </w:r>
          </w:p>
        </w:tc>
      </w:tr>
      <w:tr w:rsidR="00F24C07" w:rsidRPr="00622B48" w14:paraId="584033F9" w14:textId="77777777" w:rsidTr="009C398A">
        <w:trPr>
          <w:trHeight w:val="204"/>
        </w:trPr>
        <w:tc>
          <w:tcPr>
            <w:tcW w:w="2977" w:type="dxa"/>
            <w:tcBorders>
              <w:top w:val="nil"/>
              <w:left w:val="nil"/>
              <w:bottom w:val="single" w:sz="4" w:space="0" w:color="auto"/>
              <w:right w:val="nil"/>
            </w:tcBorders>
            <w:shd w:val="clear" w:color="auto" w:fill="auto"/>
            <w:noWrap/>
            <w:vAlign w:val="bottom"/>
            <w:hideMark/>
          </w:tcPr>
          <w:p w14:paraId="5E321EF3" w14:textId="77777777" w:rsidR="00F24C07" w:rsidRPr="00622B48" w:rsidRDefault="00F24C07" w:rsidP="00F24C07">
            <w:pPr>
              <w:spacing w:after="0" w:line="240" w:lineRule="auto"/>
              <w:jc w:val="left"/>
              <w:rPr>
                <w:rFonts w:ascii="Arial" w:hAnsi="Arial" w:cs="Arial"/>
                <w:b/>
                <w:bCs/>
                <w:sz w:val="16"/>
                <w:szCs w:val="16"/>
              </w:rPr>
            </w:pPr>
            <w:r w:rsidRPr="00622B48">
              <w:rPr>
                <w:rFonts w:ascii="Arial" w:hAnsi="Arial" w:cs="Arial"/>
                <w:b/>
                <w:bCs/>
                <w:sz w:val="16"/>
                <w:szCs w:val="16"/>
              </w:rPr>
              <w:t>Total expenses for Outcome 4</w:t>
            </w:r>
          </w:p>
        </w:tc>
        <w:tc>
          <w:tcPr>
            <w:tcW w:w="992" w:type="dxa"/>
            <w:tcBorders>
              <w:top w:val="nil"/>
              <w:left w:val="nil"/>
              <w:bottom w:val="single" w:sz="4" w:space="0" w:color="auto"/>
              <w:right w:val="nil"/>
            </w:tcBorders>
            <w:shd w:val="clear" w:color="auto" w:fill="auto"/>
            <w:noWrap/>
            <w:vAlign w:val="bottom"/>
            <w:hideMark/>
          </w:tcPr>
          <w:p w14:paraId="43DA45FD" w14:textId="6F111348" w:rsidR="00F24C07" w:rsidRPr="00622B48"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283,467 </w:t>
            </w:r>
          </w:p>
        </w:tc>
        <w:tc>
          <w:tcPr>
            <w:tcW w:w="980" w:type="dxa"/>
            <w:tcBorders>
              <w:top w:val="nil"/>
              <w:left w:val="nil"/>
              <w:bottom w:val="single" w:sz="4" w:space="0" w:color="auto"/>
              <w:right w:val="nil"/>
            </w:tcBorders>
            <w:shd w:val="clear" w:color="000000" w:fill="E6E6E6"/>
            <w:noWrap/>
            <w:vAlign w:val="bottom"/>
            <w:hideMark/>
          </w:tcPr>
          <w:p w14:paraId="27BBE276" w14:textId="76E7CB11" w:rsidR="00F24C07" w:rsidRPr="00622B48"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325,039 </w:t>
            </w:r>
          </w:p>
        </w:tc>
        <w:tc>
          <w:tcPr>
            <w:tcW w:w="980" w:type="dxa"/>
            <w:tcBorders>
              <w:top w:val="nil"/>
              <w:left w:val="nil"/>
              <w:bottom w:val="single" w:sz="4" w:space="0" w:color="auto"/>
              <w:right w:val="nil"/>
            </w:tcBorders>
            <w:shd w:val="clear" w:color="auto" w:fill="auto"/>
            <w:noWrap/>
            <w:vAlign w:val="bottom"/>
            <w:hideMark/>
          </w:tcPr>
          <w:p w14:paraId="6DEBA3C1" w14:textId="2D4D3DAE" w:rsidR="00F24C07" w:rsidRPr="00622B48"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251,328 </w:t>
            </w:r>
          </w:p>
        </w:tc>
        <w:tc>
          <w:tcPr>
            <w:tcW w:w="887" w:type="dxa"/>
            <w:tcBorders>
              <w:top w:val="nil"/>
              <w:left w:val="nil"/>
              <w:bottom w:val="single" w:sz="4" w:space="0" w:color="auto"/>
              <w:right w:val="nil"/>
            </w:tcBorders>
            <w:shd w:val="clear" w:color="auto" w:fill="auto"/>
            <w:noWrap/>
            <w:vAlign w:val="bottom"/>
            <w:hideMark/>
          </w:tcPr>
          <w:p w14:paraId="03F6099F" w14:textId="59036E6C" w:rsidR="00F24C07" w:rsidRPr="00622B48"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251,549 </w:t>
            </w:r>
          </w:p>
        </w:tc>
        <w:tc>
          <w:tcPr>
            <w:tcW w:w="853" w:type="dxa"/>
            <w:tcBorders>
              <w:top w:val="nil"/>
              <w:left w:val="nil"/>
              <w:bottom w:val="single" w:sz="4" w:space="0" w:color="auto"/>
              <w:right w:val="nil"/>
            </w:tcBorders>
            <w:shd w:val="clear" w:color="auto" w:fill="auto"/>
            <w:noWrap/>
            <w:vAlign w:val="bottom"/>
            <w:hideMark/>
          </w:tcPr>
          <w:p w14:paraId="10DBB876" w14:textId="41B9AEFF" w:rsidR="00F24C07" w:rsidRPr="00622B48" w:rsidRDefault="00F24C07" w:rsidP="00F24C07">
            <w:pPr>
              <w:spacing w:after="0" w:line="240" w:lineRule="auto"/>
              <w:jc w:val="right"/>
              <w:rPr>
                <w:rFonts w:ascii="Arial" w:hAnsi="Arial" w:cs="Arial"/>
                <w:b/>
                <w:bCs/>
                <w:sz w:val="16"/>
                <w:szCs w:val="16"/>
              </w:rPr>
            </w:pPr>
            <w:r>
              <w:rPr>
                <w:rFonts w:ascii="Arial" w:hAnsi="Arial" w:cs="Arial"/>
                <w:b/>
                <w:bCs/>
                <w:sz w:val="16"/>
                <w:szCs w:val="16"/>
              </w:rPr>
              <w:t xml:space="preserve">249,267 </w:t>
            </w:r>
          </w:p>
        </w:tc>
      </w:tr>
    </w:tbl>
    <w:p w14:paraId="12962863" w14:textId="3E3E0BA6" w:rsidR="00622B48" w:rsidRDefault="00622B48" w:rsidP="00622B48">
      <w:pPr>
        <w:spacing w:after="0"/>
      </w:pPr>
    </w:p>
    <w:tbl>
      <w:tblPr>
        <w:tblW w:w="0" w:type="auto"/>
        <w:tblLayout w:type="fixed"/>
        <w:tblLook w:val="04A0" w:firstRow="1" w:lastRow="0" w:firstColumn="1" w:lastColumn="0" w:noHBand="0" w:noVBand="1"/>
      </w:tblPr>
      <w:tblGrid>
        <w:gridCol w:w="2975"/>
        <w:gridCol w:w="853"/>
        <w:gridCol w:w="979"/>
        <w:gridCol w:w="1021"/>
        <w:gridCol w:w="850"/>
        <w:gridCol w:w="851"/>
      </w:tblGrid>
      <w:tr w:rsidR="00EB0E0A" w:rsidRPr="00622B48" w14:paraId="6C4453FD" w14:textId="77777777" w:rsidTr="00F70EA7">
        <w:trPr>
          <w:trHeight w:val="240"/>
        </w:trPr>
        <w:tc>
          <w:tcPr>
            <w:tcW w:w="2975" w:type="dxa"/>
            <w:tcBorders>
              <w:top w:val="single" w:sz="4" w:space="0" w:color="auto"/>
              <w:left w:val="nil"/>
              <w:bottom w:val="nil"/>
              <w:right w:val="nil"/>
            </w:tcBorders>
            <w:shd w:val="clear" w:color="auto" w:fill="auto"/>
            <w:noWrap/>
            <w:vAlign w:val="center"/>
            <w:hideMark/>
          </w:tcPr>
          <w:p w14:paraId="0D719846" w14:textId="694F2BCC" w:rsidR="00EB0E0A" w:rsidRPr="00622B48" w:rsidRDefault="00EB0E0A" w:rsidP="00EB0E0A">
            <w:pPr>
              <w:spacing w:after="0" w:line="240" w:lineRule="auto"/>
              <w:jc w:val="left"/>
              <w:rPr>
                <w:rFonts w:ascii="Arial" w:hAnsi="Arial" w:cs="Arial"/>
                <w:b/>
                <w:bCs/>
                <w:sz w:val="16"/>
                <w:szCs w:val="16"/>
              </w:rPr>
            </w:pPr>
            <w:r w:rsidRPr="00622B48">
              <w:rPr>
                <w:rFonts w:ascii="Arial" w:hAnsi="Arial" w:cs="Arial"/>
                <w:b/>
                <w:bCs/>
                <w:sz w:val="16"/>
                <w:szCs w:val="16"/>
              </w:rPr>
              <w:t xml:space="preserve">Movement of administered funds between years </w:t>
            </w:r>
            <w:r w:rsidRPr="00364472">
              <w:rPr>
                <w:rFonts w:ascii="Arial" w:hAnsi="Arial" w:cs="Arial"/>
                <w:b/>
                <w:bCs/>
                <w:sz w:val="16"/>
                <w:szCs w:val="16"/>
                <w:vertAlign w:val="superscript"/>
              </w:rPr>
              <w:t>(</w:t>
            </w:r>
            <w:r>
              <w:rPr>
                <w:rFonts w:ascii="Arial" w:hAnsi="Arial" w:cs="Arial"/>
                <w:b/>
                <w:bCs/>
                <w:sz w:val="16"/>
                <w:szCs w:val="16"/>
                <w:vertAlign w:val="superscript"/>
              </w:rPr>
              <w:t>e</w:t>
            </w:r>
            <w:r w:rsidRPr="00364472">
              <w:rPr>
                <w:rFonts w:ascii="Arial" w:hAnsi="Arial" w:cs="Arial"/>
                <w:b/>
                <w:bCs/>
                <w:sz w:val="16"/>
                <w:szCs w:val="16"/>
                <w:vertAlign w:val="superscript"/>
              </w:rPr>
              <w:t>)</w:t>
            </w:r>
          </w:p>
        </w:tc>
        <w:tc>
          <w:tcPr>
            <w:tcW w:w="853" w:type="dxa"/>
            <w:tcBorders>
              <w:top w:val="single" w:sz="4" w:space="0" w:color="auto"/>
              <w:left w:val="nil"/>
              <w:bottom w:val="single" w:sz="4" w:space="0" w:color="auto"/>
              <w:right w:val="nil"/>
            </w:tcBorders>
            <w:shd w:val="clear" w:color="auto" w:fill="auto"/>
            <w:hideMark/>
          </w:tcPr>
          <w:p w14:paraId="4D24E69D"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2020-21</w:t>
            </w:r>
          </w:p>
          <w:p w14:paraId="1BB00428"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Actual</w:t>
            </w:r>
          </w:p>
          <w:p w14:paraId="4A9C3451"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expenses</w:t>
            </w:r>
          </w:p>
          <w:p w14:paraId="59EB6322" w14:textId="658FF3B2"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$'000</w:t>
            </w:r>
          </w:p>
        </w:tc>
        <w:tc>
          <w:tcPr>
            <w:tcW w:w="979" w:type="dxa"/>
            <w:tcBorders>
              <w:top w:val="single" w:sz="4" w:space="0" w:color="auto"/>
              <w:left w:val="nil"/>
              <w:bottom w:val="single" w:sz="4" w:space="0" w:color="auto"/>
              <w:right w:val="nil"/>
            </w:tcBorders>
            <w:shd w:val="clear" w:color="000000" w:fill="E6E6E6"/>
            <w:hideMark/>
          </w:tcPr>
          <w:p w14:paraId="2A81605F"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2021-22</w:t>
            </w:r>
          </w:p>
          <w:p w14:paraId="405AD3CF"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Revised</w:t>
            </w:r>
          </w:p>
          <w:p w14:paraId="777C87FC" w14:textId="77777777" w:rsidR="00EB0E0A" w:rsidRPr="00622B48" w:rsidRDefault="00EB0E0A" w:rsidP="00EB0E0A">
            <w:pPr>
              <w:spacing w:after="0" w:line="240" w:lineRule="auto"/>
              <w:jc w:val="right"/>
              <w:rPr>
                <w:rFonts w:ascii="Arial" w:hAnsi="Arial" w:cs="Arial"/>
                <w:sz w:val="16"/>
                <w:szCs w:val="16"/>
              </w:rPr>
            </w:pPr>
            <w:r>
              <w:rPr>
                <w:rFonts w:ascii="Arial" w:hAnsi="Arial" w:cs="Arial"/>
                <w:sz w:val="16"/>
                <w:szCs w:val="16"/>
              </w:rPr>
              <w:t>Budget</w:t>
            </w:r>
          </w:p>
          <w:p w14:paraId="364707E9" w14:textId="7F79BBF0"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$'000</w:t>
            </w:r>
          </w:p>
        </w:tc>
        <w:tc>
          <w:tcPr>
            <w:tcW w:w="1021" w:type="dxa"/>
            <w:tcBorders>
              <w:top w:val="single" w:sz="4" w:space="0" w:color="auto"/>
              <w:left w:val="nil"/>
              <w:bottom w:val="single" w:sz="4" w:space="0" w:color="auto"/>
              <w:right w:val="nil"/>
            </w:tcBorders>
            <w:shd w:val="clear" w:color="auto" w:fill="auto"/>
            <w:hideMark/>
          </w:tcPr>
          <w:p w14:paraId="3C51CF25"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2022-23</w:t>
            </w:r>
          </w:p>
          <w:p w14:paraId="29848267"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Forward</w:t>
            </w:r>
          </w:p>
          <w:p w14:paraId="5B8B7997" w14:textId="77777777" w:rsidR="00EB0E0A" w:rsidRPr="00622B48" w:rsidRDefault="00EB0E0A" w:rsidP="00EB0E0A">
            <w:pPr>
              <w:spacing w:after="0" w:line="240" w:lineRule="auto"/>
              <w:jc w:val="right"/>
              <w:rPr>
                <w:rFonts w:ascii="Arial" w:hAnsi="Arial" w:cs="Arial"/>
                <w:sz w:val="16"/>
                <w:szCs w:val="16"/>
              </w:rPr>
            </w:pPr>
            <w:r>
              <w:rPr>
                <w:rFonts w:ascii="Arial" w:hAnsi="Arial" w:cs="Arial"/>
                <w:sz w:val="16"/>
                <w:szCs w:val="16"/>
              </w:rPr>
              <w:t>Budget</w:t>
            </w:r>
          </w:p>
          <w:p w14:paraId="5E075973" w14:textId="10C47D56"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$'000</w:t>
            </w:r>
          </w:p>
        </w:tc>
        <w:tc>
          <w:tcPr>
            <w:tcW w:w="850" w:type="dxa"/>
            <w:tcBorders>
              <w:top w:val="single" w:sz="4" w:space="0" w:color="auto"/>
              <w:left w:val="nil"/>
              <w:bottom w:val="single" w:sz="4" w:space="0" w:color="auto"/>
              <w:right w:val="nil"/>
            </w:tcBorders>
            <w:shd w:val="clear" w:color="auto" w:fill="auto"/>
            <w:hideMark/>
          </w:tcPr>
          <w:p w14:paraId="3C63F1BC"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2023-24</w:t>
            </w:r>
          </w:p>
          <w:p w14:paraId="613D7EFA"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Forward</w:t>
            </w:r>
          </w:p>
          <w:p w14:paraId="0F3D3A2E" w14:textId="77777777" w:rsidR="00EB0E0A" w:rsidRPr="00622B48" w:rsidRDefault="00EB0E0A" w:rsidP="00EB0E0A">
            <w:pPr>
              <w:spacing w:after="0" w:line="240" w:lineRule="auto"/>
              <w:jc w:val="right"/>
              <w:rPr>
                <w:rFonts w:ascii="Arial" w:hAnsi="Arial" w:cs="Arial"/>
                <w:sz w:val="16"/>
                <w:szCs w:val="16"/>
              </w:rPr>
            </w:pPr>
            <w:r>
              <w:rPr>
                <w:rFonts w:ascii="Arial" w:hAnsi="Arial" w:cs="Arial"/>
                <w:sz w:val="16"/>
                <w:szCs w:val="16"/>
              </w:rPr>
              <w:t>Budget</w:t>
            </w:r>
          </w:p>
          <w:p w14:paraId="5AFF6884" w14:textId="3AEDA5C4"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$'000</w:t>
            </w:r>
          </w:p>
        </w:tc>
        <w:tc>
          <w:tcPr>
            <w:tcW w:w="851" w:type="dxa"/>
            <w:tcBorders>
              <w:top w:val="single" w:sz="4" w:space="0" w:color="auto"/>
              <w:left w:val="nil"/>
              <w:bottom w:val="single" w:sz="4" w:space="0" w:color="auto"/>
              <w:right w:val="nil"/>
            </w:tcBorders>
            <w:shd w:val="clear" w:color="auto" w:fill="auto"/>
            <w:hideMark/>
          </w:tcPr>
          <w:p w14:paraId="10AA3504"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2024-25</w:t>
            </w:r>
          </w:p>
          <w:p w14:paraId="6CC09292" w14:textId="7777777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Forward</w:t>
            </w:r>
          </w:p>
          <w:p w14:paraId="32C3ED1E" w14:textId="77777777" w:rsidR="00EB0E0A" w:rsidRPr="00622B48" w:rsidRDefault="00EB0E0A" w:rsidP="00EB0E0A">
            <w:pPr>
              <w:spacing w:after="0" w:line="240" w:lineRule="auto"/>
              <w:jc w:val="right"/>
              <w:rPr>
                <w:rFonts w:ascii="Arial" w:hAnsi="Arial" w:cs="Arial"/>
                <w:sz w:val="16"/>
                <w:szCs w:val="16"/>
              </w:rPr>
            </w:pPr>
            <w:r>
              <w:rPr>
                <w:rFonts w:ascii="Arial" w:hAnsi="Arial" w:cs="Arial"/>
                <w:sz w:val="16"/>
                <w:szCs w:val="16"/>
              </w:rPr>
              <w:t>Budget</w:t>
            </w:r>
          </w:p>
          <w:p w14:paraId="135984B2" w14:textId="216C57F7" w:rsidR="00EB0E0A" w:rsidRPr="00622B48" w:rsidRDefault="00EB0E0A" w:rsidP="00EB0E0A">
            <w:pPr>
              <w:spacing w:after="0" w:line="240" w:lineRule="auto"/>
              <w:jc w:val="right"/>
              <w:rPr>
                <w:rFonts w:ascii="Arial" w:hAnsi="Arial" w:cs="Arial"/>
                <w:sz w:val="16"/>
                <w:szCs w:val="16"/>
              </w:rPr>
            </w:pPr>
            <w:r w:rsidRPr="00622B48">
              <w:rPr>
                <w:rFonts w:ascii="Arial" w:hAnsi="Arial" w:cs="Arial"/>
                <w:sz w:val="16"/>
                <w:szCs w:val="16"/>
              </w:rPr>
              <w:t>$'000</w:t>
            </w:r>
          </w:p>
        </w:tc>
      </w:tr>
      <w:tr w:rsidR="00622B48" w:rsidRPr="00622B48" w14:paraId="6545A913" w14:textId="77777777" w:rsidTr="00F70EA7">
        <w:trPr>
          <w:trHeight w:val="204"/>
        </w:trPr>
        <w:tc>
          <w:tcPr>
            <w:tcW w:w="2975" w:type="dxa"/>
            <w:tcBorders>
              <w:top w:val="nil"/>
              <w:left w:val="nil"/>
              <w:bottom w:val="nil"/>
              <w:right w:val="nil"/>
            </w:tcBorders>
            <w:shd w:val="clear" w:color="auto" w:fill="auto"/>
            <w:noWrap/>
            <w:vAlign w:val="bottom"/>
            <w:hideMark/>
          </w:tcPr>
          <w:p w14:paraId="39CCF2F0" w14:textId="77777777" w:rsidR="00622B48" w:rsidRPr="00EB0E0A" w:rsidRDefault="00622B48" w:rsidP="00622B48">
            <w:pPr>
              <w:spacing w:after="0" w:line="240" w:lineRule="auto"/>
              <w:jc w:val="left"/>
              <w:rPr>
                <w:rFonts w:ascii="Arial" w:hAnsi="Arial" w:cs="Arial"/>
                <w:sz w:val="16"/>
                <w:szCs w:val="16"/>
              </w:rPr>
            </w:pPr>
            <w:r w:rsidRPr="00EB0E0A">
              <w:rPr>
                <w:rFonts w:ascii="Arial" w:hAnsi="Arial" w:cs="Arial"/>
                <w:sz w:val="16"/>
                <w:szCs w:val="16"/>
              </w:rPr>
              <w:t>Outcome 4:</w:t>
            </w:r>
          </w:p>
        </w:tc>
        <w:tc>
          <w:tcPr>
            <w:tcW w:w="853" w:type="dxa"/>
            <w:tcBorders>
              <w:top w:val="single" w:sz="4" w:space="0" w:color="auto"/>
              <w:left w:val="nil"/>
              <w:bottom w:val="nil"/>
              <w:right w:val="nil"/>
            </w:tcBorders>
            <w:shd w:val="clear" w:color="auto" w:fill="auto"/>
            <w:noWrap/>
            <w:vAlign w:val="bottom"/>
            <w:hideMark/>
          </w:tcPr>
          <w:p w14:paraId="0690A740" w14:textId="77777777" w:rsidR="00622B48" w:rsidRPr="00EB0E0A" w:rsidRDefault="00622B48" w:rsidP="00622B48">
            <w:pPr>
              <w:spacing w:after="0" w:line="240" w:lineRule="auto"/>
              <w:jc w:val="left"/>
              <w:rPr>
                <w:rFonts w:ascii="Arial" w:hAnsi="Arial" w:cs="Arial"/>
                <w:sz w:val="16"/>
                <w:szCs w:val="16"/>
              </w:rPr>
            </w:pPr>
          </w:p>
        </w:tc>
        <w:tc>
          <w:tcPr>
            <w:tcW w:w="979" w:type="dxa"/>
            <w:tcBorders>
              <w:top w:val="single" w:sz="4" w:space="0" w:color="auto"/>
              <w:left w:val="nil"/>
              <w:bottom w:val="nil"/>
              <w:right w:val="nil"/>
            </w:tcBorders>
            <w:shd w:val="clear" w:color="000000" w:fill="E6E6E6"/>
            <w:noWrap/>
            <w:vAlign w:val="bottom"/>
            <w:hideMark/>
          </w:tcPr>
          <w:p w14:paraId="766CEF5B" w14:textId="77777777" w:rsidR="00622B48" w:rsidRPr="00EB0E0A" w:rsidRDefault="00622B48" w:rsidP="00622B48">
            <w:pPr>
              <w:spacing w:after="0" w:line="240" w:lineRule="auto"/>
              <w:jc w:val="right"/>
              <w:rPr>
                <w:rFonts w:ascii="Arial" w:hAnsi="Arial" w:cs="Arial"/>
                <w:sz w:val="16"/>
                <w:szCs w:val="16"/>
              </w:rPr>
            </w:pPr>
            <w:r w:rsidRPr="00EB0E0A">
              <w:rPr>
                <w:rFonts w:ascii="Arial" w:hAnsi="Arial" w:cs="Arial"/>
                <w:sz w:val="16"/>
                <w:szCs w:val="16"/>
              </w:rPr>
              <w:t> </w:t>
            </w:r>
          </w:p>
        </w:tc>
        <w:tc>
          <w:tcPr>
            <w:tcW w:w="1021" w:type="dxa"/>
            <w:tcBorders>
              <w:top w:val="single" w:sz="4" w:space="0" w:color="auto"/>
              <w:left w:val="nil"/>
              <w:bottom w:val="nil"/>
              <w:right w:val="nil"/>
            </w:tcBorders>
            <w:shd w:val="clear" w:color="auto" w:fill="auto"/>
            <w:noWrap/>
            <w:vAlign w:val="bottom"/>
            <w:hideMark/>
          </w:tcPr>
          <w:p w14:paraId="4C275D3C" w14:textId="77777777" w:rsidR="00622B48" w:rsidRPr="00EB0E0A" w:rsidRDefault="00622B48" w:rsidP="00622B48">
            <w:pPr>
              <w:spacing w:after="0" w:line="240" w:lineRule="auto"/>
              <w:jc w:val="right"/>
              <w:rPr>
                <w:rFonts w:ascii="Arial" w:hAnsi="Arial" w:cs="Arial"/>
                <w:sz w:val="16"/>
                <w:szCs w:val="16"/>
              </w:rPr>
            </w:pPr>
          </w:p>
        </w:tc>
        <w:tc>
          <w:tcPr>
            <w:tcW w:w="850" w:type="dxa"/>
            <w:tcBorders>
              <w:top w:val="single" w:sz="4" w:space="0" w:color="auto"/>
              <w:left w:val="nil"/>
              <w:bottom w:val="nil"/>
              <w:right w:val="nil"/>
            </w:tcBorders>
            <w:shd w:val="clear" w:color="auto" w:fill="auto"/>
            <w:noWrap/>
            <w:vAlign w:val="bottom"/>
            <w:hideMark/>
          </w:tcPr>
          <w:p w14:paraId="1D30A549" w14:textId="77777777" w:rsidR="00622B48" w:rsidRPr="00EB0E0A" w:rsidRDefault="00622B48" w:rsidP="00622B48">
            <w:pPr>
              <w:spacing w:after="0" w:line="240" w:lineRule="auto"/>
              <w:jc w:val="left"/>
              <w:rPr>
                <w:rFonts w:ascii="Times New Roman" w:hAnsi="Times New Roman"/>
                <w:sz w:val="16"/>
                <w:szCs w:val="16"/>
              </w:rPr>
            </w:pPr>
          </w:p>
        </w:tc>
        <w:tc>
          <w:tcPr>
            <w:tcW w:w="851" w:type="dxa"/>
            <w:tcBorders>
              <w:top w:val="single" w:sz="4" w:space="0" w:color="auto"/>
              <w:left w:val="nil"/>
              <w:bottom w:val="nil"/>
              <w:right w:val="nil"/>
            </w:tcBorders>
            <w:shd w:val="clear" w:color="auto" w:fill="auto"/>
            <w:noWrap/>
            <w:vAlign w:val="bottom"/>
            <w:hideMark/>
          </w:tcPr>
          <w:p w14:paraId="6E4196DE" w14:textId="77777777" w:rsidR="00622B48" w:rsidRPr="00EB0E0A" w:rsidRDefault="00622B48" w:rsidP="00622B48">
            <w:pPr>
              <w:spacing w:after="0" w:line="240" w:lineRule="auto"/>
              <w:jc w:val="left"/>
              <w:rPr>
                <w:rFonts w:ascii="Times New Roman" w:hAnsi="Times New Roman"/>
                <w:sz w:val="16"/>
                <w:szCs w:val="16"/>
              </w:rPr>
            </w:pPr>
          </w:p>
        </w:tc>
      </w:tr>
      <w:tr w:rsidR="006E2A19" w:rsidRPr="00622B48" w14:paraId="24CED1E6" w14:textId="77777777" w:rsidTr="00F70EA7">
        <w:trPr>
          <w:trHeight w:val="204"/>
        </w:trPr>
        <w:tc>
          <w:tcPr>
            <w:tcW w:w="2975" w:type="dxa"/>
            <w:tcBorders>
              <w:top w:val="nil"/>
              <w:left w:val="nil"/>
              <w:bottom w:val="nil"/>
              <w:right w:val="nil"/>
            </w:tcBorders>
            <w:shd w:val="clear" w:color="auto" w:fill="auto"/>
            <w:noWrap/>
            <w:vAlign w:val="bottom"/>
            <w:hideMark/>
          </w:tcPr>
          <w:p w14:paraId="3C74236E" w14:textId="77777777" w:rsidR="006E2A19" w:rsidRPr="00EB0E0A" w:rsidRDefault="006E2A19" w:rsidP="006E2A19">
            <w:pPr>
              <w:spacing w:after="0" w:line="240" w:lineRule="auto"/>
              <w:ind w:firstLineChars="100" w:firstLine="160"/>
              <w:jc w:val="left"/>
              <w:rPr>
                <w:rFonts w:ascii="Arial" w:hAnsi="Arial" w:cs="Arial"/>
                <w:sz w:val="16"/>
                <w:szCs w:val="16"/>
              </w:rPr>
            </w:pPr>
            <w:r w:rsidRPr="00EB0E0A">
              <w:rPr>
                <w:rFonts w:ascii="Arial" w:hAnsi="Arial" w:cs="Arial"/>
                <w:sz w:val="16"/>
                <w:szCs w:val="16"/>
              </w:rPr>
              <w:t>Program 4.1: Services to Territories</w:t>
            </w:r>
          </w:p>
        </w:tc>
        <w:tc>
          <w:tcPr>
            <w:tcW w:w="853" w:type="dxa"/>
            <w:tcBorders>
              <w:top w:val="nil"/>
              <w:left w:val="nil"/>
              <w:bottom w:val="nil"/>
              <w:right w:val="nil"/>
            </w:tcBorders>
            <w:shd w:val="clear" w:color="auto" w:fill="auto"/>
            <w:noWrap/>
            <w:vAlign w:val="bottom"/>
            <w:hideMark/>
          </w:tcPr>
          <w:p w14:paraId="4E801185" w14:textId="21C75C81" w:rsidR="006E2A19" w:rsidRPr="00EB0E0A" w:rsidRDefault="006E2A19" w:rsidP="006E2A19">
            <w:pPr>
              <w:spacing w:after="0" w:line="240" w:lineRule="auto"/>
              <w:jc w:val="right"/>
              <w:rPr>
                <w:rFonts w:ascii="Arial" w:hAnsi="Arial" w:cs="Arial"/>
                <w:sz w:val="16"/>
                <w:szCs w:val="16"/>
              </w:rPr>
            </w:pPr>
            <w:r>
              <w:rPr>
                <w:rFonts w:ascii="Arial" w:hAnsi="Arial" w:cs="Arial"/>
                <w:sz w:val="16"/>
                <w:szCs w:val="16"/>
              </w:rPr>
              <w:t>(15,581)</w:t>
            </w:r>
          </w:p>
        </w:tc>
        <w:tc>
          <w:tcPr>
            <w:tcW w:w="979" w:type="dxa"/>
            <w:tcBorders>
              <w:top w:val="nil"/>
              <w:left w:val="nil"/>
              <w:bottom w:val="single" w:sz="4" w:space="0" w:color="auto"/>
              <w:right w:val="nil"/>
            </w:tcBorders>
            <w:shd w:val="clear" w:color="000000" w:fill="E6E6E6"/>
            <w:noWrap/>
            <w:vAlign w:val="bottom"/>
            <w:hideMark/>
          </w:tcPr>
          <w:p w14:paraId="222CFE00" w14:textId="10A1F0CC" w:rsidR="006E2A19" w:rsidRPr="00EB0E0A" w:rsidRDefault="006E2A19" w:rsidP="006E2A19">
            <w:pPr>
              <w:spacing w:after="0" w:line="240" w:lineRule="auto"/>
              <w:jc w:val="right"/>
              <w:rPr>
                <w:rFonts w:ascii="Arial" w:hAnsi="Arial" w:cs="Arial"/>
                <w:sz w:val="16"/>
                <w:szCs w:val="16"/>
              </w:rPr>
            </w:pPr>
            <w:r>
              <w:rPr>
                <w:rFonts w:ascii="Arial" w:hAnsi="Arial" w:cs="Arial"/>
                <w:sz w:val="16"/>
                <w:szCs w:val="16"/>
              </w:rPr>
              <w:t xml:space="preserve">15,581 </w:t>
            </w:r>
          </w:p>
        </w:tc>
        <w:tc>
          <w:tcPr>
            <w:tcW w:w="1021" w:type="dxa"/>
            <w:tcBorders>
              <w:top w:val="nil"/>
              <w:left w:val="nil"/>
              <w:bottom w:val="nil"/>
              <w:right w:val="nil"/>
            </w:tcBorders>
            <w:shd w:val="clear" w:color="auto" w:fill="auto"/>
            <w:noWrap/>
            <w:vAlign w:val="bottom"/>
            <w:hideMark/>
          </w:tcPr>
          <w:p w14:paraId="331901F2" w14:textId="13354FC1" w:rsidR="006E2A19" w:rsidRPr="00EB0E0A" w:rsidRDefault="006E2A19" w:rsidP="006E2A19">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616C6060" w14:textId="08D3737A" w:rsidR="006E2A19" w:rsidRPr="00EB0E0A" w:rsidRDefault="006E2A19" w:rsidP="006E2A19">
            <w:pPr>
              <w:spacing w:after="0" w:line="240" w:lineRule="auto"/>
              <w:jc w:val="right"/>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15BA3D50" w14:textId="684CBEBE" w:rsidR="006E2A19" w:rsidRPr="00EB0E0A" w:rsidRDefault="006E2A19" w:rsidP="006E2A19">
            <w:pPr>
              <w:spacing w:after="0" w:line="240" w:lineRule="auto"/>
              <w:jc w:val="right"/>
              <w:rPr>
                <w:rFonts w:ascii="Arial" w:hAnsi="Arial" w:cs="Arial"/>
                <w:sz w:val="16"/>
                <w:szCs w:val="16"/>
              </w:rPr>
            </w:pPr>
            <w:r>
              <w:rPr>
                <w:rFonts w:ascii="Arial" w:hAnsi="Arial" w:cs="Arial"/>
                <w:sz w:val="16"/>
                <w:szCs w:val="16"/>
              </w:rPr>
              <w:t xml:space="preserve">- </w:t>
            </w:r>
          </w:p>
        </w:tc>
      </w:tr>
      <w:tr w:rsidR="006E2A19" w:rsidRPr="00622B48" w14:paraId="693BB200" w14:textId="77777777" w:rsidTr="00F70EA7">
        <w:trPr>
          <w:trHeight w:val="204"/>
        </w:trPr>
        <w:tc>
          <w:tcPr>
            <w:tcW w:w="2975" w:type="dxa"/>
            <w:tcBorders>
              <w:top w:val="nil"/>
              <w:left w:val="nil"/>
              <w:bottom w:val="single" w:sz="4" w:space="0" w:color="auto"/>
              <w:right w:val="nil"/>
            </w:tcBorders>
            <w:shd w:val="clear" w:color="auto" w:fill="auto"/>
            <w:vAlign w:val="bottom"/>
            <w:hideMark/>
          </w:tcPr>
          <w:p w14:paraId="2D5721FF" w14:textId="77777777" w:rsidR="006E2A19" w:rsidRPr="00EB0E0A" w:rsidRDefault="006E2A19" w:rsidP="006E2A19">
            <w:pPr>
              <w:spacing w:after="0" w:line="240" w:lineRule="auto"/>
              <w:jc w:val="left"/>
              <w:rPr>
                <w:rFonts w:ascii="Arial" w:hAnsi="Arial" w:cs="Arial"/>
                <w:b/>
                <w:bCs/>
                <w:sz w:val="16"/>
                <w:szCs w:val="16"/>
              </w:rPr>
            </w:pPr>
            <w:r w:rsidRPr="00EB0E0A">
              <w:rPr>
                <w:rFonts w:ascii="Arial" w:hAnsi="Arial" w:cs="Arial"/>
                <w:b/>
                <w:bCs/>
                <w:sz w:val="16"/>
                <w:szCs w:val="16"/>
              </w:rPr>
              <w:t>Total movement of administered funds between years</w:t>
            </w:r>
          </w:p>
        </w:tc>
        <w:tc>
          <w:tcPr>
            <w:tcW w:w="853" w:type="dxa"/>
            <w:tcBorders>
              <w:top w:val="single" w:sz="4" w:space="0" w:color="auto"/>
              <w:left w:val="nil"/>
              <w:bottom w:val="single" w:sz="4" w:space="0" w:color="auto"/>
              <w:right w:val="nil"/>
            </w:tcBorders>
            <w:shd w:val="clear" w:color="auto" w:fill="auto"/>
            <w:noWrap/>
            <w:vAlign w:val="bottom"/>
            <w:hideMark/>
          </w:tcPr>
          <w:p w14:paraId="02C00B62" w14:textId="6B149A3F" w:rsidR="006E2A19" w:rsidRPr="006E2A19" w:rsidRDefault="006E2A19" w:rsidP="006E2A19">
            <w:pPr>
              <w:spacing w:after="0" w:line="240" w:lineRule="auto"/>
              <w:jc w:val="right"/>
              <w:rPr>
                <w:rFonts w:ascii="Arial" w:hAnsi="Arial" w:cs="Arial"/>
                <w:b/>
                <w:sz w:val="16"/>
                <w:szCs w:val="16"/>
              </w:rPr>
            </w:pPr>
            <w:r w:rsidRPr="006E2A19">
              <w:rPr>
                <w:rFonts w:ascii="Arial" w:hAnsi="Arial" w:cs="Arial"/>
                <w:b/>
                <w:sz w:val="16"/>
                <w:szCs w:val="16"/>
              </w:rPr>
              <w:t>(15,581)</w:t>
            </w:r>
          </w:p>
        </w:tc>
        <w:tc>
          <w:tcPr>
            <w:tcW w:w="979" w:type="dxa"/>
            <w:tcBorders>
              <w:top w:val="nil"/>
              <w:left w:val="nil"/>
              <w:bottom w:val="single" w:sz="4" w:space="0" w:color="auto"/>
              <w:right w:val="nil"/>
            </w:tcBorders>
            <w:shd w:val="clear" w:color="000000" w:fill="E6E6E6"/>
            <w:noWrap/>
            <w:vAlign w:val="bottom"/>
            <w:hideMark/>
          </w:tcPr>
          <w:p w14:paraId="1C81569E" w14:textId="7391D57B" w:rsidR="006E2A19" w:rsidRPr="006E2A19" w:rsidRDefault="006E2A19" w:rsidP="006E2A19">
            <w:pPr>
              <w:spacing w:after="0" w:line="240" w:lineRule="auto"/>
              <w:jc w:val="right"/>
              <w:rPr>
                <w:rFonts w:ascii="Arial" w:hAnsi="Arial" w:cs="Arial"/>
                <w:b/>
                <w:sz w:val="16"/>
                <w:szCs w:val="16"/>
              </w:rPr>
            </w:pPr>
            <w:r w:rsidRPr="006E2A19">
              <w:rPr>
                <w:rFonts w:ascii="Arial" w:hAnsi="Arial" w:cs="Arial"/>
                <w:b/>
                <w:sz w:val="16"/>
                <w:szCs w:val="16"/>
              </w:rPr>
              <w:t xml:space="preserve">15,581 </w:t>
            </w:r>
          </w:p>
        </w:tc>
        <w:tc>
          <w:tcPr>
            <w:tcW w:w="1021" w:type="dxa"/>
            <w:tcBorders>
              <w:top w:val="single" w:sz="4" w:space="0" w:color="auto"/>
              <w:left w:val="nil"/>
              <w:bottom w:val="single" w:sz="4" w:space="0" w:color="auto"/>
              <w:right w:val="nil"/>
            </w:tcBorders>
            <w:shd w:val="clear" w:color="auto" w:fill="auto"/>
            <w:noWrap/>
            <w:vAlign w:val="bottom"/>
            <w:hideMark/>
          </w:tcPr>
          <w:p w14:paraId="28E49EBA" w14:textId="732AA3B9" w:rsidR="006E2A19" w:rsidRPr="006E2A19" w:rsidRDefault="006E2A19" w:rsidP="006E2A19">
            <w:pPr>
              <w:spacing w:after="0" w:line="240" w:lineRule="auto"/>
              <w:jc w:val="right"/>
              <w:rPr>
                <w:rFonts w:ascii="Arial" w:hAnsi="Arial" w:cs="Arial"/>
                <w:b/>
                <w:sz w:val="16"/>
                <w:szCs w:val="16"/>
              </w:rPr>
            </w:pPr>
            <w:r w:rsidRPr="006E2A19">
              <w:rPr>
                <w:rFonts w:ascii="Arial" w:hAnsi="Arial" w:cs="Arial"/>
                <w:b/>
                <w:sz w:val="16"/>
                <w:szCs w:val="16"/>
              </w:rPr>
              <w:t xml:space="preserve">- </w:t>
            </w:r>
          </w:p>
        </w:tc>
        <w:tc>
          <w:tcPr>
            <w:tcW w:w="850" w:type="dxa"/>
            <w:tcBorders>
              <w:top w:val="single" w:sz="4" w:space="0" w:color="auto"/>
              <w:left w:val="nil"/>
              <w:bottom w:val="single" w:sz="4" w:space="0" w:color="auto"/>
              <w:right w:val="nil"/>
            </w:tcBorders>
            <w:shd w:val="clear" w:color="auto" w:fill="auto"/>
            <w:noWrap/>
            <w:vAlign w:val="bottom"/>
            <w:hideMark/>
          </w:tcPr>
          <w:p w14:paraId="65AA204E" w14:textId="06A4EFB0" w:rsidR="006E2A19" w:rsidRPr="006E2A19" w:rsidRDefault="006E2A19" w:rsidP="006E2A19">
            <w:pPr>
              <w:spacing w:after="0" w:line="240" w:lineRule="auto"/>
              <w:jc w:val="right"/>
              <w:rPr>
                <w:rFonts w:ascii="Arial" w:hAnsi="Arial" w:cs="Arial"/>
                <w:b/>
                <w:bCs/>
                <w:sz w:val="16"/>
                <w:szCs w:val="16"/>
              </w:rPr>
            </w:pPr>
            <w:r w:rsidRPr="006E2A19">
              <w:rPr>
                <w:rFonts w:ascii="Arial" w:hAnsi="Arial" w:cs="Arial"/>
                <w:b/>
                <w:bCs/>
                <w:sz w:val="16"/>
                <w:szCs w:val="16"/>
              </w:rPr>
              <w:t xml:space="preserve">- </w:t>
            </w:r>
          </w:p>
        </w:tc>
        <w:tc>
          <w:tcPr>
            <w:tcW w:w="851" w:type="dxa"/>
            <w:tcBorders>
              <w:top w:val="single" w:sz="4" w:space="0" w:color="auto"/>
              <w:left w:val="nil"/>
              <w:bottom w:val="single" w:sz="4" w:space="0" w:color="auto"/>
              <w:right w:val="nil"/>
            </w:tcBorders>
            <w:shd w:val="clear" w:color="auto" w:fill="auto"/>
            <w:noWrap/>
            <w:vAlign w:val="bottom"/>
            <w:hideMark/>
          </w:tcPr>
          <w:p w14:paraId="4AA64F44" w14:textId="1277DDA8" w:rsidR="006E2A19" w:rsidRPr="006E2A19" w:rsidRDefault="006E2A19" w:rsidP="006E2A19">
            <w:pPr>
              <w:spacing w:after="0" w:line="240" w:lineRule="auto"/>
              <w:jc w:val="right"/>
              <w:rPr>
                <w:rFonts w:ascii="Arial" w:hAnsi="Arial" w:cs="Arial"/>
                <w:b/>
                <w:bCs/>
                <w:sz w:val="16"/>
                <w:szCs w:val="16"/>
              </w:rPr>
            </w:pPr>
            <w:r w:rsidRPr="006E2A19">
              <w:rPr>
                <w:rFonts w:ascii="Arial" w:hAnsi="Arial" w:cs="Arial"/>
                <w:b/>
                <w:bCs/>
                <w:sz w:val="16"/>
                <w:szCs w:val="16"/>
              </w:rPr>
              <w:t xml:space="preserve">- </w:t>
            </w:r>
          </w:p>
        </w:tc>
      </w:tr>
    </w:tbl>
    <w:p w14:paraId="4D035B92" w14:textId="52831E90" w:rsidR="00A27EC7" w:rsidRDefault="00A27EC7" w:rsidP="00B63D82">
      <w:pPr>
        <w:spacing w:after="0"/>
      </w:pPr>
    </w:p>
    <w:tbl>
      <w:tblPr>
        <w:tblW w:w="0" w:type="auto"/>
        <w:tblLayout w:type="fixed"/>
        <w:tblLook w:val="04A0" w:firstRow="1" w:lastRow="0" w:firstColumn="1" w:lastColumn="0" w:noHBand="0" w:noVBand="1"/>
      </w:tblPr>
      <w:tblGrid>
        <w:gridCol w:w="2977"/>
        <w:gridCol w:w="851"/>
        <w:gridCol w:w="996"/>
        <w:gridCol w:w="996"/>
        <w:gridCol w:w="839"/>
        <w:gridCol w:w="851"/>
      </w:tblGrid>
      <w:tr w:rsidR="00312781" w:rsidRPr="00312781" w14:paraId="7198B563" w14:textId="77777777" w:rsidTr="00F70EA7">
        <w:trPr>
          <w:trHeight w:val="204"/>
        </w:trPr>
        <w:tc>
          <w:tcPr>
            <w:tcW w:w="2977" w:type="dxa"/>
            <w:tcBorders>
              <w:top w:val="single" w:sz="4" w:space="0" w:color="auto"/>
              <w:left w:val="nil"/>
              <w:bottom w:val="nil"/>
              <w:right w:val="nil"/>
            </w:tcBorders>
            <w:shd w:val="clear" w:color="auto" w:fill="auto"/>
            <w:noWrap/>
            <w:hideMark/>
          </w:tcPr>
          <w:p w14:paraId="1D5F6DF3" w14:textId="77777777" w:rsidR="00312781" w:rsidRPr="00312781" w:rsidRDefault="00312781" w:rsidP="004B6F83">
            <w:pPr>
              <w:spacing w:after="0" w:line="240" w:lineRule="auto"/>
              <w:jc w:val="left"/>
              <w:rPr>
                <w:rFonts w:ascii="Arial" w:hAnsi="Arial" w:cs="Arial"/>
                <w:sz w:val="16"/>
                <w:szCs w:val="16"/>
              </w:rPr>
            </w:pPr>
            <w:r w:rsidRPr="00312781">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14:paraId="7109D673" w14:textId="4FF32CA2" w:rsidR="00312781" w:rsidRPr="00312781" w:rsidRDefault="00D35F57" w:rsidP="00312781">
            <w:pPr>
              <w:spacing w:after="0" w:line="240" w:lineRule="auto"/>
              <w:jc w:val="right"/>
              <w:rPr>
                <w:rFonts w:ascii="Arial" w:hAnsi="Arial" w:cs="Arial"/>
                <w:sz w:val="16"/>
                <w:szCs w:val="16"/>
              </w:rPr>
            </w:pPr>
            <w:r>
              <w:rPr>
                <w:rFonts w:ascii="Arial" w:hAnsi="Arial" w:cs="Arial"/>
                <w:sz w:val="16"/>
                <w:szCs w:val="16"/>
              </w:rPr>
              <w:t xml:space="preserve">Actual </w:t>
            </w:r>
            <w:r w:rsidR="00312781" w:rsidRPr="00312781">
              <w:rPr>
                <w:rFonts w:ascii="Arial" w:hAnsi="Arial" w:cs="Arial"/>
                <w:sz w:val="16"/>
                <w:szCs w:val="16"/>
              </w:rPr>
              <w:t>2020-21</w:t>
            </w:r>
          </w:p>
        </w:tc>
        <w:tc>
          <w:tcPr>
            <w:tcW w:w="996" w:type="dxa"/>
            <w:tcBorders>
              <w:top w:val="single" w:sz="4" w:space="0" w:color="auto"/>
              <w:left w:val="nil"/>
              <w:bottom w:val="single" w:sz="4" w:space="0" w:color="auto"/>
              <w:right w:val="nil"/>
            </w:tcBorders>
            <w:shd w:val="clear" w:color="000000" w:fill="E6E6E6"/>
            <w:noWrap/>
            <w:vAlign w:val="bottom"/>
            <w:hideMark/>
          </w:tcPr>
          <w:p w14:paraId="2174DC16" w14:textId="77777777" w:rsidR="00312781" w:rsidRPr="00312781" w:rsidRDefault="00312781" w:rsidP="00312781">
            <w:pPr>
              <w:spacing w:after="0" w:line="240" w:lineRule="auto"/>
              <w:jc w:val="right"/>
              <w:rPr>
                <w:rFonts w:ascii="Arial" w:hAnsi="Arial" w:cs="Arial"/>
                <w:sz w:val="16"/>
                <w:szCs w:val="16"/>
              </w:rPr>
            </w:pPr>
            <w:r w:rsidRPr="00312781">
              <w:rPr>
                <w:rFonts w:ascii="Arial" w:hAnsi="Arial" w:cs="Arial"/>
                <w:sz w:val="16"/>
                <w:szCs w:val="16"/>
              </w:rPr>
              <w:t>2021-22</w:t>
            </w:r>
          </w:p>
        </w:tc>
        <w:tc>
          <w:tcPr>
            <w:tcW w:w="996" w:type="dxa"/>
            <w:tcBorders>
              <w:top w:val="nil"/>
              <w:left w:val="nil"/>
              <w:bottom w:val="nil"/>
              <w:right w:val="nil"/>
            </w:tcBorders>
            <w:shd w:val="clear" w:color="auto" w:fill="auto"/>
            <w:noWrap/>
            <w:hideMark/>
          </w:tcPr>
          <w:p w14:paraId="1B2BF776" w14:textId="77777777" w:rsidR="00312781" w:rsidRPr="00312781" w:rsidRDefault="00312781" w:rsidP="00312781">
            <w:pPr>
              <w:spacing w:after="0" w:line="240" w:lineRule="auto"/>
              <w:jc w:val="right"/>
              <w:rPr>
                <w:rFonts w:ascii="Arial" w:hAnsi="Arial" w:cs="Arial"/>
                <w:sz w:val="16"/>
                <w:szCs w:val="16"/>
              </w:rPr>
            </w:pPr>
          </w:p>
        </w:tc>
        <w:tc>
          <w:tcPr>
            <w:tcW w:w="839" w:type="dxa"/>
            <w:tcBorders>
              <w:top w:val="nil"/>
              <w:left w:val="nil"/>
              <w:bottom w:val="nil"/>
              <w:right w:val="nil"/>
            </w:tcBorders>
            <w:shd w:val="clear" w:color="auto" w:fill="auto"/>
            <w:noWrap/>
            <w:hideMark/>
          </w:tcPr>
          <w:p w14:paraId="00C11794" w14:textId="77777777" w:rsidR="00312781" w:rsidRPr="00312781" w:rsidRDefault="00312781" w:rsidP="00312781">
            <w:pPr>
              <w:spacing w:after="0" w:line="240" w:lineRule="auto"/>
              <w:jc w:val="right"/>
              <w:rPr>
                <w:rFonts w:ascii="Times New Roman" w:hAnsi="Times New Roman"/>
              </w:rPr>
            </w:pPr>
          </w:p>
        </w:tc>
        <w:tc>
          <w:tcPr>
            <w:tcW w:w="851" w:type="dxa"/>
            <w:tcBorders>
              <w:top w:val="nil"/>
              <w:left w:val="nil"/>
              <w:bottom w:val="nil"/>
              <w:right w:val="nil"/>
            </w:tcBorders>
            <w:shd w:val="clear" w:color="auto" w:fill="auto"/>
            <w:noWrap/>
            <w:hideMark/>
          </w:tcPr>
          <w:p w14:paraId="0AB2349A" w14:textId="77777777" w:rsidR="00312781" w:rsidRPr="00312781" w:rsidRDefault="00312781" w:rsidP="00312781">
            <w:pPr>
              <w:spacing w:after="0" w:line="240" w:lineRule="auto"/>
              <w:jc w:val="right"/>
              <w:rPr>
                <w:rFonts w:ascii="Times New Roman" w:hAnsi="Times New Roman"/>
              </w:rPr>
            </w:pPr>
          </w:p>
        </w:tc>
      </w:tr>
      <w:tr w:rsidR="00622B48" w:rsidRPr="00622B48" w14:paraId="030C0430" w14:textId="77777777" w:rsidTr="00F70EA7">
        <w:trPr>
          <w:trHeight w:val="204"/>
        </w:trPr>
        <w:tc>
          <w:tcPr>
            <w:tcW w:w="2977" w:type="dxa"/>
            <w:tcBorders>
              <w:top w:val="nil"/>
              <w:left w:val="nil"/>
              <w:bottom w:val="single" w:sz="4" w:space="0" w:color="auto"/>
              <w:right w:val="nil"/>
            </w:tcBorders>
            <w:shd w:val="clear" w:color="auto" w:fill="auto"/>
            <w:noWrap/>
            <w:hideMark/>
          </w:tcPr>
          <w:p w14:paraId="0A737A36" w14:textId="77777777" w:rsidR="006B5C2F" w:rsidRPr="00622B48" w:rsidRDefault="006B5C2F" w:rsidP="006B5C2F">
            <w:pPr>
              <w:spacing w:after="0" w:line="240" w:lineRule="auto"/>
              <w:jc w:val="left"/>
              <w:rPr>
                <w:rFonts w:ascii="Arial" w:hAnsi="Arial" w:cs="Arial"/>
                <w:b/>
                <w:bCs/>
                <w:sz w:val="16"/>
                <w:szCs w:val="16"/>
              </w:rPr>
            </w:pPr>
            <w:r w:rsidRPr="00622B48">
              <w:rPr>
                <w:rFonts w:ascii="Arial" w:hAnsi="Arial" w:cs="Arial"/>
                <w:b/>
                <w:bCs/>
                <w:sz w:val="16"/>
                <w:szCs w:val="16"/>
              </w:rPr>
              <w:t>Average staffing level (number)</w:t>
            </w:r>
          </w:p>
        </w:tc>
        <w:tc>
          <w:tcPr>
            <w:tcW w:w="851" w:type="dxa"/>
            <w:tcBorders>
              <w:top w:val="nil"/>
              <w:left w:val="nil"/>
              <w:bottom w:val="single" w:sz="4" w:space="0" w:color="auto"/>
              <w:right w:val="nil"/>
            </w:tcBorders>
            <w:shd w:val="clear" w:color="auto" w:fill="FFFFFF" w:themeFill="background1"/>
            <w:noWrap/>
            <w:vAlign w:val="bottom"/>
            <w:hideMark/>
          </w:tcPr>
          <w:p w14:paraId="0B242065" w14:textId="5D356B1E" w:rsidR="006B5C2F" w:rsidRPr="00622B48" w:rsidRDefault="006B5C2F" w:rsidP="006B5C2F">
            <w:pPr>
              <w:spacing w:after="0" w:line="240" w:lineRule="auto"/>
              <w:jc w:val="right"/>
              <w:rPr>
                <w:rFonts w:ascii="Arial" w:hAnsi="Arial" w:cs="Arial"/>
                <w:sz w:val="16"/>
                <w:szCs w:val="16"/>
              </w:rPr>
            </w:pPr>
            <w:r w:rsidRPr="00622B48">
              <w:rPr>
                <w:rFonts w:ascii="Arial" w:hAnsi="Arial" w:cs="Arial"/>
                <w:sz w:val="16"/>
                <w:szCs w:val="16"/>
              </w:rPr>
              <w:t>119</w:t>
            </w:r>
          </w:p>
        </w:tc>
        <w:tc>
          <w:tcPr>
            <w:tcW w:w="996" w:type="dxa"/>
            <w:tcBorders>
              <w:top w:val="nil"/>
              <w:left w:val="nil"/>
              <w:bottom w:val="single" w:sz="4" w:space="0" w:color="auto"/>
              <w:right w:val="nil"/>
            </w:tcBorders>
            <w:shd w:val="clear" w:color="auto" w:fill="E6E6E6"/>
            <w:noWrap/>
            <w:vAlign w:val="bottom"/>
            <w:hideMark/>
          </w:tcPr>
          <w:p w14:paraId="03FB6DB4" w14:textId="655B3D0E" w:rsidR="006B5C2F" w:rsidRPr="00622B48" w:rsidRDefault="006B5C2F" w:rsidP="006B5C2F">
            <w:pPr>
              <w:spacing w:after="0" w:line="240" w:lineRule="auto"/>
              <w:jc w:val="right"/>
              <w:rPr>
                <w:rFonts w:ascii="Arial" w:hAnsi="Arial" w:cs="Arial"/>
                <w:sz w:val="16"/>
                <w:szCs w:val="16"/>
              </w:rPr>
            </w:pPr>
            <w:r w:rsidRPr="00622B48">
              <w:rPr>
                <w:rFonts w:ascii="Arial" w:hAnsi="Arial" w:cs="Arial"/>
                <w:sz w:val="16"/>
                <w:szCs w:val="16"/>
              </w:rPr>
              <w:t>125</w:t>
            </w:r>
          </w:p>
        </w:tc>
        <w:tc>
          <w:tcPr>
            <w:tcW w:w="996" w:type="dxa"/>
            <w:tcBorders>
              <w:top w:val="nil"/>
              <w:left w:val="nil"/>
              <w:bottom w:val="nil"/>
              <w:right w:val="nil"/>
            </w:tcBorders>
            <w:shd w:val="clear" w:color="auto" w:fill="auto"/>
            <w:noWrap/>
            <w:hideMark/>
          </w:tcPr>
          <w:p w14:paraId="5FAC4FE8" w14:textId="77777777" w:rsidR="006B5C2F" w:rsidRPr="00622B48" w:rsidRDefault="006B5C2F" w:rsidP="006B5C2F">
            <w:pPr>
              <w:spacing w:after="0" w:line="240" w:lineRule="auto"/>
              <w:jc w:val="right"/>
              <w:rPr>
                <w:rFonts w:ascii="Arial" w:hAnsi="Arial" w:cs="Arial"/>
                <w:sz w:val="16"/>
                <w:szCs w:val="16"/>
              </w:rPr>
            </w:pPr>
          </w:p>
        </w:tc>
        <w:tc>
          <w:tcPr>
            <w:tcW w:w="839" w:type="dxa"/>
            <w:tcBorders>
              <w:top w:val="nil"/>
              <w:left w:val="nil"/>
              <w:bottom w:val="nil"/>
              <w:right w:val="nil"/>
            </w:tcBorders>
            <w:shd w:val="clear" w:color="auto" w:fill="auto"/>
            <w:noWrap/>
            <w:hideMark/>
          </w:tcPr>
          <w:p w14:paraId="708255FD" w14:textId="77777777" w:rsidR="006B5C2F" w:rsidRPr="00622B48" w:rsidRDefault="006B5C2F" w:rsidP="006B5C2F">
            <w:pPr>
              <w:spacing w:after="0" w:line="240" w:lineRule="auto"/>
              <w:jc w:val="right"/>
              <w:rPr>
                <w:rFonts w:ascii="Times New Roman" w:hAnsi="Times New Roman"/>
              </w:rPr>
            </w:pPr>
          </w:p>
        </w:tc>
        <w:tc>
          <w:tcPr>
            <w:tcW w:w="851" w:type="dxa"/>
            <w:tcBorders>
              <w:top w:val="nil"/>
              <w:left w:val="nil"/>
              <w:bottom w:val="nil"/>
              <w:right w:val="nil"/>
            </w:tcBorders>
            <w:shd w:val="clear" w:color="auto" w:fill="auto"/>
            <w:noWrap/>
            <w:hideMark/>
          </w:tcPr>
          <w:p w14:paraId="5329BB87" w14:textId="77777777" w:rsidR="006B5C2F" w:rsidRPr="00622B48" w:rsidRDefault="006B5C2F" w:rsidP="006B5C2F">
            <w:pPr>
              <w:spacing w:after="0" w:line="240" w:lineRule="auto"/>
              <w:jc w:val="right"/>
              <w:rPr>
                <w:rFonts w:ascii="Times New Roman" w:hAnsi="Times New Roman"/>
              </w:rPr>
            </w:pPr>
          </w:p>
        </w:tc>
      </w:tr>
    </w:tbl>
    <w:p w14:paraId="7A523152" w14:textId="66E5B1A6" w:rsidR="00312781" w:rsidRPr="00312781" w:rsidRDefault="00312781" w:rsidP="00F10ACD">
      <w:pPr>
        <w:pStyle w:val="ListParagraph"/>
        <w:numPr>
          <w:ilvl w:val="0"/>
          <w:numId w:val="43"/>
        </w:numPr>
        <w:spacing w:before="60"/>
        <w:ind w:left="284" w:hanging="284"/>
        <w:rPr>
          <w:rFonts w:ascii="Arial" w:hAnsi="Arial" w:cs="Arial"/>
          <w:sz w:val="16"/>
          <w:szCs w:val="16"/>
        </w:rPr>
      </w:pPr>
      <w:r w:rsidRPr="00312781">
        <w:rPr>
          <w:rFonts w:ascii="Arial" w:hAnsi="Arial" w:cs="Arial"/>
          <w:sz w:val="16"/>
          <w:szCs w:val="16"/>
        </w:rPr>
        <w:t>This program is funded under the Relief and Recovery Fund.</w:t>
      </w:r>
    </w:p>
    <w:p w14:paraId="072B9040" w14:textId="5F6EABDB" w:rsidR="00312781" w:rsidRPr="00312781" w:rsidRDefault="00312781" w:rsidP="00F10ACD">
      <w:pPr>
        <w:pStyle w:val="ListParagraph"/>
        <w:numPr>
          <w:ilvl w:val="0"/>
          <w:numId w:val="43"/>
        </w:numPr>
        <w:ind w:left="284" w:hanging="284"/>
        <w:rPr>
          <w:rFonts w:ascii="Arial" w:hAnsi="Arial" w:cs="Arial"/>
          <w:sz w:val="16"/>
          <w:szCs w:val="16"/>
        </w:rPr>
      </w:pPr>
      <w:r w:rsidRPr="00312781">
        <w:rPr>
          <w:rFonts w:ascii="Arial" w:hAnsi="Arial" w:cs="Arial"/>
          <w:sz w:val="16"/>
          <w:szCs w:val="16"/>
        </w:rPr>
        <w:t>Administered ‘Expenses not requiring appropriation in the Budget year’ comprises expenses relating to accruals, payments made from prior year appropriations and other non–cash expenses.</w:t>
      </w:r>
    </w:p>
    <w:p w14:paraId="33C3E273" w14:textId="186E3530" w:rsidR="00312781" w:rsidRPr="00312781" w:rsidRDefault="00312781" w:rsidP="00F10ACD">
      <w:pPr>
        <w:pStyle w:val="ListParagraph"/>
        <w:numPr>
          <w:ilvl w:val="0"/>
          <w:numId w:val="43"/>
        </w:numPr>
        <w:ind w:left="284" w:hanging="284"/>
        <w:rPr>
          <w:rFonts w:ascii="Arial" w:hAnsi="Arial" w:cs="Arial"/>
          <w:sz w:val="16"/>
          <w:szCs w:val="16"/>
        </w:rPr>
      </w:pPr>
      <w:r w:rsidRPr="00312781">
        <w:rPr>
          <w:rFonts w:ascii="Arial" w:hAnsi="Arial" w:cs="Arial"/>
          <w:sz w:val="16"/>
          <w:szCs w:val="16"/>
        </w:rPr>
        <w:t>Estimated expenses incurred in relation to receipts retained under section 74 of the PGPA Act.</w:t>
      </w:r>
    </w:p>
    <w:p w14:paraId="053AA04D" w14:textId="77777777" w:rsidR="00EB0E0A" w:rsidRDefault="008863D9" w:rsidP="00F10ACD">
      <w:pPr>
        <w:pStyle w:val="ListParagraph"/>
        <w:numPr>
          <w:ilvl w:val="0"/>
          <w:numId w:val="43"/>
        </w:numPr>
        <w:ind w:left="284" w:hanging="284"/>
        <w:rPr>
          <w:rFonts w:ascii="Arial" w:hAnsi="Arial" w:cs="Arial"/>
          <w:sz w:val="16"/>
          <w:szCs w:val="16"/>
        </w:rPr>
      </w:pPr>
      <w:r>
        <w:rPr>
          <w:rFonts w:ascii="Arial" w:hAnsi="Arial" w:cs="Arial"/>
          <w:sz w:val="16"/>
          <w:szCs w:val="16"/>
        </w:rPr>
        <w:t>Department</w:t>
      </w:r>
      <w:r w:rsidR="00312781" w:rsidRPr="00312781">
        <w:rPr>
          <w:rFonts w:ascii="Arial" w:hAnsi="Arial" w:cs="Arial"/>
          <w:sz w:val="16"/>
          <w:szCs w:val="16"/>
        </w:rPr>
        <w:t xml:space="preserve">al ‘Expenses not requiring appropriation in the Budget year’ is made up of depreciation and </w:t>
      </w:r>
      <w:proofErr w:type="spellStart"/>
      <w:r w:rsidR="00312781" w:rsidRPr="00312781">
        <w:rPr>
          <w:rFonts w:ascii="Arial" w:hAnsi="Arial" w:cs="Arial"/>
          <w:sz w:val="16"/>
          <w:szCs w:val="16"/>
        </w:rPr>
        <w:t>amortisation</w:t>
      </w:r>
      <w:proofErr w:type="spellEnd"/>
      <w:r w:rsidR="00312781" w:rsidRPr="00312781">
        <w:rPr>
          <w:rFonts w:ascii="Arial" w:hAnsi="Arial" w:cs="Arial"/>
          <w:sz w:val="16"/>
          <w:szCs w:val="16"/>
        </w:rPr>
        <w:t xml:space="preserve"> expenses and expenses that are reduced by associated receipts.</w:t>
      </w:r>
    </w:p>
    <w:p w14:paraId="010C232E" w14:textId="6072B8AE" w:rsidR="00CE1D0E" w:rsidRPr="00EB0E0A" w:rsidRDefault="00EB0E0A" w:rsidP="00F24C07">
      <w:pPr>
        <w:pStyle w:val="ListParagraph"/>
        <w:numPr>
          <w:ilvl w:val="0"/>
          <w:numId w:val="43"/>
        </w:numPr>
        <w:spacing w:after="0"/>
        <w:ind w:left="284" w:hanging="284"/>
        <w:rPr>
          <w:rFonts w:ascii="Arial" w:hAnsi="Arial" w:cs="Arial"/>
          <w:sz w:val="16"/>
          <w:szCs w:val="16"/>
        </w:rPr>
      </w:pPr>
      <w:r w:rsidRPr="00EB0E0A">
        <w:rPr>
          <w:rFonts w:ascii="Arial" w:hAnsi="Arial" w:cs="Arial"/>
          <w:sz w:val="16"/>
          <w:lang w:val="x-none"/>
        </w:rPr>
        <w:t>Fi</w:t>
      </w:r>
      <w:r w:rsidR="00B45396">
        <w:rPr>
          <w:rFonts w:ascii="Arial" w:hAnsi="Arial" w:cs="Arial"/>
          <w:sz w:val="16"/>
          <w:lang w:val="x-none"/>
        </w:rPr>
        <w:t>gures displayed as a negative (-</w:t>
      </w:r>
      <w:r w:rsidRPr="00EB0E0A">
        <w:rPr>
          <w:rFonts w:ascii="Arial" w:hAnsi="Arial" w:cs="Arial"/>
          <w:sz w:val="16"/>
          <w:lang w:val="x-none"/>
        </w:rPr>
        <w:t>) represent a decrease in funds and a positive (+) represent an increase in funds.</w:t>
      </w:r>
    </w:p>
    <w:p w14:paraId="6661D4CE" w14:textId="61935F8E" w:rsidR="00D3478A" w:rsidRPr="00D3478A" w:rsidRDefault="00D3478A" w:rsidP="00D3478A">
      <w:pPr>
        <w:spacing w:after="0" w:line="240" w:lineRule="auto"/>
        <w:rPr>
          <w:rFonts w:ascii="Arial" w:hAnsi="Arial" w:cs="Arial"/>
          <w:sz w:val="16"/>
          <w:szCs w:val="16"/>
        </w:rPr>
      </w:pPr>
      <w:r w:rsidRPr="00D3478A">
        <w:rPr>
          <w:rFonts w:ascii="Arial" w:hAnsi="Arial" w:cs="Arial"/>
          <w:sz w:val="16"/>
          <w:szCs w:val="16"/>
        </w:rPr>
        <w:t xml:space="preserve">Note: </w:t>
      </w:r>
      <w:r w:rsidR="008863D9">
        <w:rPr>
          <w:rFonts w:ascii="Arial" w:hAnsi="Arial" w:cs="Arial"/>
          <w:sz w:val="16"/>
          <w:szCs w:val="16"/>
        </w:rPr>
        <w:t>Department</w:t>
      </w:r>
      <w:r w:rsidRPr="00D3478A">
        <w:rPr>
          <w:rFonts w:ascii="Arial" w:hAnsi="Arial" w:cs="Arial"/>
          <w:sz w:val="16"/>
          <w:szCs w:val="16"/>
        </w:rPr>
        <w:t xml:space="preserve">al appropriation splits and totals are indicative estimates and may change in the course of the budget year as government priorities change. </w:t>
      </w:r>
    </w:p>
    <w:p w14:paraId="5802804D" w14:textId="77777777" w:rsidR="00312781" w:rsidRDefault="00312781">
      <w:pPr>
        <w:spacing w:after="0" w:line="240" w:lineRule="auto"/>
        <w:jc w:val="left"/>
        <w:rPr>
          <w:rFonts w:ascii="Arial" w:hAnsi="Arial"/>
          <w:b/>
          <w:highlight w:val="yellow"/>
          <w:lang w:val="x-none"/>
        </w:rPr>
      </w:pPr>
      <w:r>
        <w:rPr>
          <w:highlight w:val="yellow"/>
        </w:rPr>
        <w:br w:type="page"/>
      </w:r>
    </w:p>
    <w:p w14:paraId="76C3C87F" w14:textId="0F7147DA" w:rsidR="00A27EC7" w:rsidRDefault="00A27EC7" w:rsidP="00A27EC7">
      <w:pPr>
        <w:pStyle w:val="TableHeading"/>
        <w:rPr>
          <w:lang w:val="en-US"/>
        </w:rPr>
      </w:pPr>
      <w:r w:rsidRPr="00F94108">
        <w:lastRenderedPageBreak/>
        <w:t>T</w:t>
      </w:r>
      <w:r w:rsidR="00312781" w:rsidRPr="00F94108">
        <w:t>able 2.5</w:t>
      </w:r>
      <w:r w:rsidRPr="00F94108">
        <w:t xml:space="preserve">.2: Program components of Outcome </w:t>
      </w:r>
      <w:r w:rsidR="00312781" w:rsidRPr="00F94108">
        <w:rPr>
          <w:lang w:val="en-US"/>
        </w:rPr>
        <w:t>4</w:t>
      </w:r>
    </w:p>
    <w:tbl>
      <w:tblPr>
        <w:tblW w:w="7719" w:type="dxa"/>
        <w:tblLook w:val="04A0" w:firstRow="1" w:lastRow="0" w:firstColumn="1" w:lastColumn="0" w:noHBand="0" w:noVBand="1"/>
      </w:tblPr>
      <w:tblGrid>
        <w:gridCol w:w="2835"/>
        <w:gridCol w:w="976"/>
        <w:gridCol w:w="977"/>
        <w:gridCol w:w="977"/>
        <w:gridCol w:w="977"/>
        <w:gridCol w:w="977"/>
      </w:tblGrid>
      <w:tr w:rsidR="00E34CEC" w:rsidRPr="00500A9D" w14:paraId="0BF610CE" w14:textId="77777777" w:rsidTr="00B1501D">
        <w:trPr>
          <w:trHeight w:val="734"/>
        </w:trPr>
        <w:tc>
          <w:tcPr>
            <w:tcW w:w="2835" w:type="dxa"/>
            <w:tcBorders>
              <w:top w:val="single" w:sz="4" w:space="0" w:color="auto"/>
              <w:left w:val="nil"/>
              <w:right w:val="nil"/>
            </w:tcBorders>
            <w:shd w:val="clear" w:color="auto" w:fill="auto"/>
            <w:noWrap/>
            <w:hideMark/>
          </w:tcPr>
          <w:p w14:paraId="12DDC694" w14:textId="77777777" w:rsidR="00E34CEC" w:rsidRPr="00500A9D" w:rsidRDefault="00E34CEC" w:rsidP="00E34CEC">
            <w:pPr>
              <w:spacing w:after="0" w:line="240" w:lineRule="auto"/>
              <w:jc w:val="left"/>
              <w:rPr>
                <w:rFonts w:ascii="Arial" w:hAnsi="Arial" w:cs="Arial"/>
                <w:sz w:val="16"/>
                <w:szCs w:val="16"/>
              </w:rPr>
            </w:pPr>
            <w:r w:rsidRPr="00500A9D">
              <w:rPr>
                <w:rFonts w:ascii="Arial" w:hAnsi="Arial" w:cs="Arial"/>
                <w:sz w:val="16"/>
                <w:szCs w:val="16"/>
              </w:rPr>
              <w:t> </w:t>
            </w:r>
          </w:p>
        </w:tc>
        <w:tc>
          <w:tcPr>
            <w:tcW w:w="976" w:type="dxa"/>
            <w:tcBorders>
              <w:top w:val="single" w:sz="4" w:space="0" w:color="auto"/>
              <w:left w:val="nil"/>
              <w:bottom w:val="single" w:sz="4" w:space="0" w:color="auto"/>
              <w:right w:val="nil"/>
            </w:tcBorders>
            <w:shd w:val="clear" w:color="auto" w:fill="auto"/>
            <w:vAlign w:val="bottom"/>
            <w:hideMark/>
          </w:tcPr>
          <w:p w14:paraId="6117CBB8" w14:textId="5A993DBE" w:rsidR="00E34CEC" w:rsidRPr="00500A9D"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E6E6E6"/>
            <w:vAlign w:val="bottom"/>
            <w:hideMark/>
          </w:tcPr>
          <w:p w14:paraId="68EF3545" w14:textId="61D04D4A" w:rsidR="00E34CEC" w:rsidRPr="00500A9D"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3BDB99B1" w14:textId="0BE84CF7" w:rsidR="00E34CEC" w:rsidRPr="00500A9D"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72A3FE47" w14:textId="6AB6EAF5" w:rsidR="00E34CEC" w:rsidRPr="00500A9D"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185EE7FA" w14:textId="46CDC203" w:rsidR="00E34CEC" w:rsidRPr="00500A9D"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645E3F" w:rsidRPr="00500A9D" w14:paraId="45AE71D7" w14:textId="77777777" w:rsidTr="00645E3F">
        <w:trPr>
          <w:trHeight w:val="204"/>
        </w:trPr>
        <w:tc>
          <w:tcPr>
            <w:tcW w:w="7719" w:type="dxa"/>
            <w:gridSpan w:val="6"/>
            <w:tcBorders>
              <w:top w:val="single" w:sz="4" w:space="0" w:color="auto"/>
              <w:left w:val="nil"/>
              <w:bottom w:val="single" w:sz="4" w:space="0" w:color="auto"/>
              <w:right w:val="nil"/>
            </w:tcBorders>
            <w:shd w:val="clear" w:color="000000" w:fill="E6E6E6"/>
            <w:noWrap/>
            <w:vAlign w:val="bottom"/>
            <w:hideMark/>
          </w:tcPr>
          <w:p w14:paraId="7795B785" w14:textId="45216F1D" w:rsidR="00645E3F" w:rsidRPr="00645E3F" w:rsidRDefault="00645E3F" w:rsidP="00645E3F">
            <w:pPr>
              <w:spacing w:after="20" w:line="240" w:lineRule="auto"/>
              <w:jc w:val="left"/>
              <w:rPr>
                <w:rFonts w:ascii="Arial" w:hAnsi="Arial" w:cs="Arial"/>
                <w:b/>
                <w:bCs/>
                <w:sz w:val="16"/>
                <w:szCs w:val="16"/>
              </w:rPr>
            </w:pPr>
            <w:r w:rsidRPr="00500A9D">
              <w:rPr>
                <w:rFonts w:ascii="Arial" w:hAnsi="Arial" w:cs="Arial"/>
                <w:b/>
                <w:bCs/>
                <w:sz w:val="16"/>
                <w:szCs w:val="16"/>
              </w:rPr>
              <w:t>Components for Program 4.1: Services to territories</w:t>
            </w:r>
          </w:p>
        </w:tc>
      </w:tr>
      <w:tr w:rsidR="00500A9D" w:rsidRPr="00500A9D" w14:paraId="17641A4D" w14:textId="77777777" w:rsidTr="00CD1288">
        <w:trPr>
          <w:trHeight w:val="204"/>
        </w:trPr>
        <w:tc>
          <w:tcPr>
            <w:tcW w:w="2835" w:type="dxa"/>
            <w:tcBorders>
              <w:top w:val="nil"/>
              <w:left w:val="nil"/>
              <w:bottom w:val="nil"/>
              <w:right w:val="nil"/>
            </w:tcBorders>
            <w:shd w:val="clear" w:color="auto" w:fill="auto"/>
            <w:noWrap/>
            <w:hideMark/>
          </w:tcPr>
          <w:p w14:paraId="50520DB6" w14:textId="77777777" w:rsidR="00500A9D" w:rsidRPr="00500A9D" w:rsidRDefault="00500A9D" w:rsidP="00500A9D">
            <w:pPr>
              <w:spacing w:after="0" w:line="240" w:lineRule="auto"/>
              <w:jc w:val="left"/>
              <w:rPr>
                <w:rFonts w:ascii="Arial" w:hAnsi="Arial" w:cs="Arial"/>
                <w:sz w:val="16"/>
                <w:szCs w:val="16"/>
              </w:rPr>
            </w:pPr>
            <w:r w:rsidRPr="00500A9D">
              <w:rPr>
                <w:rFonts w:ascii="Arial" w:hAnsi="Arial" w:cs="Arial"/>
                <w:sz w:val="16"/>
                <w:szCs w:val="16"/>
              </w:rPr>
              <w:t>Administered expenses</w:t>
            </w:r>
          </w:p>
        </w:tc>
        <w:tc>
          <w:tcPr>
            <w:tcW w:w="976" w:type="dxa"/>
            <w:tcBorders>
              <w:top w:val="nil"/>
              <w:left w:val="nil"/>
              <w:bottom w:val="nil"/>
              <w:right w:val="nil"/>
            </w:tcBorders>
            <w:shd w:val="clear" w:color="auto" w:fill="auto"/>
            <w:noWrap/>
            <w:vAlign w:val="bottom"/>
            <w:hideMark/>
          </w:tcPr>
          <w:p w14:paraId="76E4D954" w14:textId="77777777" w:rsidR="00500A9D" w:rsidRPr="00500A9D" w:rsidRDefault="00500A9D" w:rsidP="00500A9D">
            <w:pPr>
              <w:spacing w:after="0" w:line="240" w:lineRule="auto"/>
              <w:jc w:val="lef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44726007" w14:textId="4A6B42E6" w:rsidR="00500A9D" w:rsidRPr="00500A9D" w:rsidRDefault="00500A9D" w:rsidP="00500A9D">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72DAD7C3" w14:textId="77777777" w:rsidR="00500A9D" w:rsidRPr="00500A9D" w:rsidRDefault="00500A9D" w:rsidP="00500A9D">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50945145" w14:textId="77777777" w:rsidR="00500A9D" w:rsidRPr="00500A9D" w:rsidRDefault="00500A9D" w:rsidP="00500A9D">
            <w:pPr>
              <w:spacing w:after="0" w:line="240" w:lineRule="auto"/>
              <w:jc w:val="right"/>
              <w:rPr>
                <w:rFonts w:ascii="Times New Roman" w:hAnsi="Times New Roman"/>
              </w:rPr>
            </w:pPr>
          </w:p>
        </w:tc>
        <w:tc>
          <w:tcPr>
            <w:tcW w:w="977" w:type="dxa"/>
            <w:tcBorders>
              <w:top w:val="nil"/>
              <w:left w:val="nil"/>
              <w:bottom w:val="nil"/>
              <w:right w:val="nil"/>
            </w:tcBorders>
            <w:shd w:val="clear" w:color="auto" w:fill="auto"/>
            <w:noWrap/>
            <w:vAlign w:val="bottom"/>
            <w:hideMark/>
          </w:tcPr>
          <w:p w14:paraId="64FEA09A" w14:textId="77777777" w:rsidR="00500A9D" w:rsidRPr="00500A9D" w:rsidRDefault="00500A9D" w:rsidP="00500A9D">
            <w:pPr>
              <w:spacing w:after="0" w:line="240" w:lineRule="auto"/>
              <w:jc w:val="right"/>
              <w:rPr>
                <w:rFonts w:ascii="Times New Roman" w:hAnsi="Times New Roman"/>
              </w:rPr>
            </w:pPr>
          </w:p>
        </w:tc>
      </w:tr>
      <w:tr w:rsidR="00F24C07" w:rsidRPr="00500A9D" w14:paraId="3220240E" w14:textId="77777777" w:rsidTr="00CD1288">
        <w:trPr>
          <w:trHeight w:val="204"/>
        </w:trPr>
        <w:tc>
          <w:tcPr>
            <w:tcW w:w="2835" w:type="dxa"/>
            <w:tcBorders>
              <w:top w:val="nil"/>
              <w:left w:val="nil"/>
              <w:bottom w:val="nil"/>
              <w:right w:val="nil"/>
            </w:tcBorders>
            <w:shd w:val="clear" w:color="auto" w:fill="auto"/>
            <w:hideMark/>
          </w:tcPr>
          <w:p w14:paraId="7651B417" w14:textId="100BDBD9"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 xml:space="preserve">ACT Government - national capital functions </w:t>
            </w:r>
            <w:r w:rsidRPr="00500A9D">
              <w:rPr>
                <w:rFonts w:ascii="Arial" w:hAnsi="Arial" w:cs="Arial"/>
                <w:sz w:val="16"/>
                <w:szCs w:val="16"/>
                <w:vertAlign w:val="superscript"/>
              </w:rPr>
              <w:t>(a)</w:t>
            </w:r>
          </w:p>
        </w:tc>
        <w:tc>
          <w:tcPr>
            <w:tcW w:w="976" w:type="dxa"/>
            <w:tcBorders>
              <w:top w:val="nil"/>
              <w:left w:val="nil"/>
              <w:bottom w:val="nil"/>
              <w:right w:val="nil"/>
            </w:tcBorders>
            <w:shd w:val="clear" w:color="auto" w:fill="auto"/>
            <w:noWrap/>
            <w:vAlign w:val="bottom"/>
            <w:hideMark/>
          </w:tcPr>
          <w:p w14:paraId="3776D86F" w14:textId="794755E6"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1,969 </w:t>
            </w:r>
          </w:p>
        </w:tc>
        <w:tc>
          <w:tcPr>
            <w:tcW w:w="977" w:type="dxa"/>
            <w:tcBorders>
              <w:top w:val="nil"/>
              <w:left w:val="nil"/>
              <w:bottom w:val="nil"/>
              <w:right w:val="nil"/>
            </w:tcBorders>
            <w:shd w:val="clear" w:color="auto" w:fill="E6E6E6"/>
            <w:noWrap/>
            <w:vAlign w:val="bottom"/>
            <w:hideMark/>
          </w:tcPr>
          <w:p w14:paraId="6559DA63" w14:textId="5256B8EF"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1,992 </w:t>
            </w:r>
          </w:p>
        </w:tc>
        <w:tc>
          <w:tcPr>
            <w:tcW w:w="977" w:type="dxa"/>
            <w:tcBorders>
              <w:top w:val="nil"/>
              <w:left w:val="nil"/>
              <w:bottom w:val="nil"/>
              <w:right w:val="nil"/>
            </w:tcBorders>
            <w:shd w:val="clear" w:color="auto" w:fill="auto"/>
            <w:noWrap/>
            <w:vAlign w:val="bottom"/>
            <w:hideMark/>
          </w:tcPr>
          <w:p w14:paraId="431BED6B" w14:textId="29186444"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2,020 </w:t>
            </w:r>
          </w:p>
        </w:tc>
        <w:tc>
          <w:tcPr>
            <w:tcW w:w="977" w:type="dxa"/>
            <w:tcBorders>
              <w:top w:val="nil"/>
              <w:left w:val="nil"/>
              <w:bottom w:val="nil"/>
              <w:right w:val="nil"/>
            </w:tcBorders>
            <w:shd w:val="clear" w:color="auto" w:fill="auto"/>
            <w:noWrap/>
            <w:vAlign w:val="bottom"/>
            <w:hideMark/>
          </w:tcPr>
          <w:p w14:paraId="216FF977" w14:textId="40166ABF"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2,051 </w:t>
            </w:r>
          </w:p>
        </w:tc>
        <w:tc>
          <w:tcPr>
            <w:tcW w:w="977" w:type="dxa"/>
            <w:tcBorders>
              <w:top w:val="nil"/>
              <w:left w:val="nil"/>
              <w:bottom w:val="nil"/>
              <w:right w:val="nil"/>
            </w:tcBorders>
            <w:shd w:val="clear" w:color="auto" w:fill="auto"/>
            <w:noWrap/>
            <w:vAlign w:val="bottom"/>
            <w:hideMark/>
          </w:tcPr>
          <w:p w14:paraId="5FC20AAB" w14:textId="13DB1E8C"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2,079 </w:t>
            </w:r>
          </w:p>
        </w:tc>
      </w:tr>
      <w:tr w:rsidR="00F24C07" w:rsidRPr="00500A9D" w14:paraId="6AD05647" w14:textId="77777777" w:rsidTr="00CD1288">
        <w:trPr>
          <w:trHeight w:val="204"/>
        </w:trPr>
        <w:tc>
          <w:tcPr>
            <w:tcW w:w="2835" w:type="dxa"/>
            <w:tcBorders>
              <w:top w:val="nil"/>
              <w:left w:val="nil"/>
              <w:bottom w:val="nil"/>
              <w:right w:val="nil"/>
            </w:tcBorders>
            <w:shd w:val="clear" w:color="auto" w:fill="auto"/>
            <w:hideMark/>
          </w:tcPr>
          <w:p w14:paraId="1613F013"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Depreciation and Amortisation</w:t>
            </w:r>
          </w:p>
        </w:tc>
        <w:tc>
          <w:tcPr>
            <w:tcW w:w="976" w:type="dxa"/>
            <w:tcBorders>
              <w:top w:val="nil"/>
              <w:left w:val="nil"/>
              <w:bottom w:val="nil"/>
              <w:right w:val="nil"/>
            </w:tcBorders>
            <w:shd w:val="clear" w:color="auto" w:fill="auto"/>
            <w:noWrap/>
            <w:vAlign w:val="bottom"/>
            <w:hideMark/>
          </w:tcPr>
          <w:p w14:paraId="15EDCB37" w14:textId="37EF6FA9"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46,680 </w:t>
            </w:r>
          </w:p>
        </w:tc>
        <w:tc>
          <w:tcPr>
            <w:tcW w:w="977" w:type="dxa"/>
            <w:tcBorders>
              <w:top w:val="nil"/>
              <w:left w:val="nil"/>
              <w:bottom w:val="nil"/>
              <w:right w:val="nil"/>
            </w:tcBorders>
            <w:shd w:val="clear" w:color="auto" w:fill="E6E6E6"/>
            <w:noWrap/>
            <w:vAlign w:val="bottom"/>
            <w:hideMark/>
          </w:tcPr>
          <w:p w14:paraId="5E99CD4D" w14:textId="21F841F7"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42,251 </w:t>
            </w:r>
          </w:p>
        </w:tc>
        <w:tc>
          <w:tcPr>
            <w:tcW w:w="977" w:type="dxa"/>
            <w:tcBorders>
              <w:top w:val="nil"/>
              <w:left w:val="nil"/>
              <w:bottom w:val="nil"/>
              <w:right w:val="nil"/>
            </w:tcBorders>
            <w:shd w:val="clear" w:color="auto" w:fill="auto"/>
            <w:noWrap/>
            <w:vAlign w:val="bottom"/>
            <w:hideMark/>
          </w:tcPr>
          <w:p w14:paraId="4D65F863" w14:textId="523BAFA5"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37,168 </w:t>
            </w:r>
          </w:p>
        </w:tc>
        <w:tc>
          <w:tcPr>
            <w:tcW w:w="977" w:type="dxa"/>
            <w:tcBorders>
              <w:top w:val="nil"/>
              <w:left w:val="nil"/>
              <w:bottom w:val="nil"/>
              <w:right w:val="nil"/>
            </w:tcBorders>
            <w:shd w:val="clear" w:color="auto" w:fill="auto"/>
            <w:noWrap/>
            <w:vAlign w:val="bottom"/>
            <w:hideMark/>
          </w:tcPr>
          <w:p w14:paraId="5BF6B9A4" w14:textId="4172AD22"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36,859 </w:t>
            </w:r>
          </w:p>
        </w:tc>
        <w:tc>
          <w:tcPr>
            <w:tcW w:w="977" w:type="dxa"/>
            <w:tcBorders>
              <w:top w:val="nil"/>
              <w:left w:val="nil"/>
              <w:bottom w:val="nil"/>
              <w:right w:val="nil"/>
            </w:tcBorders>
            <w:shd w:val="clear" w:color="auto" w:fill="auto"/>
            <w:noWrap/>
            <w:vAlign w:val="bottom"/>
            <w:hideMark/>
          </w:tcPr>
          <w:p w14:paraId="233CB3F4" w14:textId="3AE8E13B"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36,859 </w:t>
            </w:r>
          </w:p>
        </w:tc>
      </w:tr>
      <w:tr w:rsidR="00F24C07" w:rsidRPr="00500A9D" w14:paraId="39BA8151" w14:textId="77777777" w:rsidTr="00CD1288">
        <w:trPr>
          <w:trHeight w:val="204"/>
        </w:trPr>
        <w:tc>
          <w:tcPr>
            <w:tcW w:w="2835" w:type="dxa"/>
            <w:tcBorders>
              <w:top w:val="nil"/>
              <w:left w:val="nil"/>
              <w:bottom w:val="nil"/>
              <w:right w:val="nil"/>
            </w:tcBorders>
            <w:shd w:val="clear" w:color="auto" w:fill="auto"/>
            <w:hideMark/>
          </w:tcPr>
          <w:p w14:paraId="558ADC4D"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Norfolk Island - Commonwealth administration</w:t>
            </w:r>
          </w:p>
        </w:tc>
        <w:tc>
          <w:tcPr>
            <w:tcW w:w="976" w:type="dxa"/>
            <w:tcBorders>
              <w:top w:val="nil"/>
              <w:left w:val="nil"/>
              <w:bottom w:val="nil"/>
              <w:right w:val="nil"/>
            </w:tcBorders>
            <w:shd w:val="clear" w:color="auto" w:fill="auto"/>
            <w:noWrap/>
            <w:vAlign w:val="bottom"/>
            <w:hideMark/>
          </w:tcPr>
          <w:p w14:paraId="4B324F36" w14:textId="380C06EA"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1,008 </w:t>
            </w:r>
          </w:p>
        </w:tc>
        <w:tc>
          <w:tcPr>
            <w:tcW w:w="977" w:type="dxa"/>
            <w:tcBorders>
              <w:top w:val="nil"/>
              <w:left w:val="nil"/>
              <w:bottom w:val="nil"/>
              <w:right w:val="nil"/>
            </w:tcBorders>
            <w:shd w:val="clear" w:color="auto" w:fill="E6E6E6"/>
            <w:noWrap/>
            <w:vAlign w:val="bottom"/>
            <w:hideMark/>
          </w:tcPr>
          <w:p w14:paraId="6415B144" w14:textId="7144B020"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1,108 </w:t>
            </w:r>
          </w:p>
        </w:tc>
        <w:tc>
          <w:tcPr>
            <w:tcW w:w="977" w:type="dxa"/>
            <w:tcBorders>
              <w:top w:val="nil"/>
              <w:left w:val="nil"/>
              <w:bottom w:val="nil"/>
              <w:right w:val="nil"/>
            </w:tcBorders>
            <w:shd w:val="clear" w:color="auto" w:fill="auto"/>
            <w:noWrap/>
            <w:vAlign w:val="bottom"/>
            <w:hideMark/>
          </w:tcPr>
          <w:p w14:paraId="2F3E7810" w14:textId="092ACB33"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1,124 </w:t>
            </w:r>
          </w:p>
        </w:tc>
        <w:tc>
          <w:tcPr>
            <w:tcW w:w="977" w:type="dxa"/>
            <w:tcBorders>
              <w:top w:val="nil"/>
              <w:left w:val="nil"/>
              <w:bottom w:val="nil"/>
              <w:right w:val="nil"/>
            </w:tcBorders>
            <w:shd w:val="clear" w:color="auto" w:fill="auto"/>
            <w:noWrap/>
            <w:vAlign w:val="bottom"/>
            <w:hideMark/>
          </w:tcPr>
          <w:p w14:paraId="0A90C90B" w14:textId="3427A7FD"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1,140 </w:t>
            </w:r>
          </w:p>
        </w:tc>
        <w:tc>
          <w:tcPr>
            <w:tcW w:w="977" w:type="dxa"/>
            <w:tcBorders>
              <w:top w:val="nil"/>
              <w:left w:val="nil"/>
              <w:bottom w:val="nil"/>
              <w:right w:val="nil"/>
            </w:tcBorders>
            <w:shd w:val="clear" w:color="auto" w:fill="auto"/>
            <w:noWrap/>
            <w:vAlign w:val="bottom"/>
            <w:hideMark/>
          </w:tcPr>
          <w:p w14:paraId="6F7D6C8E" w14:textId="5478B5C5"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1,157 </w:t>
            </w:r>
          </w:p>
        </w:tc>
      </w:tr>
      <w:tr w:rsidR="00F24C07" w:rsidRPr="00500A9D" w14:paraId="3058D907" w14:textId="77777777" w:rsidTr="00CD1288">
        <w:trPr>
          <w:trHeight w:val="204"/>
        </w:trPr>
        <w:tc>
          <w:tcPr>
            <w:tcW w:w="2835" w:type="dxa"/>
            <w:tcBorders>
              <w:top w:val="nil"/>
              <w:left w:val="nil"/>
              <w:bottom w:val="nil"/>
              <w:right w:val="nil"/>
            </w:tcBorders>
            <w:shd w:val="clear" w:color="auto" w:fill="auto"/>
            <w:hideMark/>
          </w:tcPr>
          <w:p w14:paraId="42FFD279"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Norfolk Island - Kingston and Arthur's Vale historic area</w:t>
            </w:r>
          </w:p>
        </w:tc>
        <w:tc>
          <w:tcPr>
            <w:tcW w:w="976" w:type="dxa"/>
            <w:tcBorders>
              <w:top w:val="nil"/>
              <w:left w:val="nil"/>
              <w:bottom w:val="nil"/>
              <w:right w:val="nil"/>
            </w:tcBorders>
            <w:shd w:val="clear" w:color="auto" w:fill="auto"/>
            <w:noWrap/>
            <w:vAlign w:val="bottom"/>
            <w:hideMark/>
          </w:tcPr>
          <w:p w14:paraId="6B3A41D3" w14:textId="41ED65D4"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2,243 </w:t>
            </w:r>
          </w:p>
        </w:tc>
        <w:tc>
          <w:tcPr>
            <w:tcW w:w="977" w:type="dxa"/>
            <w:tcBorders>
              <w:top w:val="nil"/>
              <w:left w:val="nil"/>
              <w:bottom w:val="nil"/>
              <w:right w:val="nil"/>
            </w:tcBorders>
            <w:shd w:val="clear" w:color="auto" w:fill="E6E6E6"/>
            <w:noWrap/>
            <w:vAlign w:val="bottom"/>
            <w:hideMark/>
          </w:tcPr>
          <w:p w14:paraId="34FC1BA3" w14:textId="7C229259"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2,899 </w:t>
            </w:r>
          </w:p>
        </w:tc>
        <w:tc>
          <w:tcPr>
            <w:tcW w:w="977" w:type="dxa"/>
            <w:tcBorders>
              <w:top w:val="nil"/>
              <w:left w:val="nil"/>
              <w:bottom w:val="nil"/>
              <w:right w:val="nil"/>
            </w:tcBorders>
            <w:shd w:val="clear" w:color="auto" w:fill="auto"/>
            <w:noWrap/>
            <w:vAlign w:val="bottom"/>
            <w:hideMark/>
          </w:tcPr>
          <w:p w14:paraId="46BD09EA" w14:textId="460C4909"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2,735 </w:t>
            </w:r>
          </w:p>
        </w:tc>
        <w:tc>
          <w:tcPr>
            <w:tcW w:w="977" w:type="dxa"/>
            <w:tcBorders>
              <w:top w:val="nil"/>
              <w:left w:val="nil"/>
              <w:bottom w:val="nil"/>
              <w:right w:val="nil"/>
            </w:tcBorders>
            <w:shd w:val="clear" w:color="auto" w:fill="auto"/>
            <w:noWrap/>
            <w:vAlign w:val="bottom"/>
            <w:hideMark/>
          </w:tcPr>
          <w:p w14:paraId="5D323DB5" w14:textId="13AEF7D6"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2,792 </w:t>
            </w:r>
          </w:p>
        </w:tc>
        <w:tc>
          <w:tcPr>
            <w:tcW w:w="977" w:type="dxa"/>
            <w:tcBorders>
              <w:top w:val="nil"/>
              <w:left w:val="nil"/>
              <w:bottom w:val="nil"/>
              <w:right w:val="nil"/>
            </w:tcBorders>
            <w:shd w:val="clear" w:color="auto" w:fill="auto"/>
            <w:noWrap/>
            <w:vAlign w:val="bottom"/>
            <w:hideMark/>
          </w:tcPr>
          <w:p w14:paraId="6B763194" w14:textId="0D1A6A70"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2,832 </w:t>
            </w:r>
          </w:p>
        </w:tc>
      </w:tr>
      <w:tr w:rsidR="00F24C07" w:rsidRPr="00500A9D" w14:paraId="21681E2C" w14:textId="77777777" w:rsidTr="00CD1288">
        <w:trPr>
          <w:trHeight w:val="204"/>
        </w:trPr>
        <w:tc>
          <w:tcPr>
            <w:tcW w:w="2835" w:type="dxa"/>
            <w:tcBorders>
              <w:top w:val="nil"/>
              <w:left w:val="nil"/>
              <w:bottom w:val="nil"/>
              <w:right w:val="nil"/>
            </w:tcBorders>
            <w:shd w:val="clear" w:color="auto" w:fill="auto"/>
            <w:hideMark/>
          </w:tcPr>
          <w:p w14:paraId="5B8AA880"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Norfolk Island - Runway resurfacing</w:t>
            </w:r>
          </w:p>
        </w:tc>
        <w:tc>
          <w:tcPr>
            <w:tcW w:w="976" w:type="dxa"/>
            <w:tcBorders>
              <w:top w:val="nil"/>
              <w:left w:val="nil"/>
              <w:bottom w:val="nil"/>
              <w:right w:val="nil"/>
            </w:tcBorders>
            <w:shd w:val="clear" w:color="auto" w:fill="auto"/>
            <w:noWrap/>
            <w:vAlign w:val="bottom"/>
            <w:hideMark/>
          </w:tcPr>
          <w:p w14:paraId="716F10DC" w14:textId="33F71107"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528 </w:t>
            </w:r>
          </w:p>
        </w:tc>
        <w:tc>
          <w:tcPr>
            <w:tcW w:w="977" w:type="dxa"/>
            <w:tcBorders>
              <w:top w:val="nil"/>
              <w:left w:val="nil"/>
              <w:bottom w:val="nil"/>
              <w:right w:val="nil"/>
            </w:tcBorders>
            <w:shd w:val="clear" w:color="auto" w:fill="E6E6E6"/>
            <w:noWrap/>
            <w:vAlign w:val="bottom"/>
            <w:hideMark/>
          </w:tcPr>
          <w:p w14:paraId="4CE6CA5F" w14:textId="6117DC51"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4CEE817E" w14:textId="298C9D16"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74EA9696" w14:textId="670F3C1A"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669FF432" w14:textId="5DB49F91"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 </w:t>
            </w:r>
          </w:p>
        </w:tc>
      </w:tr>
      <w:tr w:rsidR="00F24C07" w:rsidRPr="00500A9D" w14:paraId="0BA82D6D" w14:textId="77777777" w:rsidTr="00CD1288">
        <w:trPr>
          <w:trHeight w:val="204"/>
        </w:trPr>
        <w:tc>
          <w:tcPr>
            <w:tcW w:w="2835" w:type="dxa"/>
            <w:tcBorders>
              <w:top w:val="nil"/>
              <w:left w:val="nil"/>
              <w:bottom w:val="nil"/>
              <w:right w:val="nil"/>
            </w:tcBorders>
            <w:shd w:val="clear" w:color="auto" w:fill="auto"/>
            <w:hideMark/>
          </w:tcPr>
          <w:p w14:paraId="325A4910"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Office of Administrator, Northern Territory</w:t>
            </w:r>
          </w:p>
        </w:tc>
        <w:tc>
          <w:tcPr>
            <w:tcW w:w="976" w:type="dxa"/>
            <w:tcBorders>
              <w:top w:val="nil"/>
              <w:left w:val="nil"/>
              <w:bottom w:val="nil"/>
              <w:right w:val="nil"/>
            </w:tcBorders>
            <w:shd w:val="clear" w:color="auto" w:fill="auto"/>
            <w:noWrap/>
            <w:vAlign w:val="bottom"/>
            <w:hideMark/>
          </w:tcPr>
          <w:p w14:paraId="4CB1C4CD" w14:textId="263270BF"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359 </w:t>
            </w:r>
          </w:p>
        </w:tc>
        <w:tc>
          <w:tcPr>
            <w:tcW w:w="977" w:type="dxa"/>
            <w:tcBorders>
              <w:top w:val="nil"/>
              <w:left w:val="nil"/>
              <w:bottom w:val="nil"/>
              <w:right w:val="nil"/>
            </w:tcBorders>
            <w:shd w:val="clear" w:color="auto" w:fill="E6E6E6"/>
            <w:noWrap/>
            <w:vAlign w:val="bottom"/>
            <w:hideMark/>
          </w:tcPr>
          <w:p w14:paraId="5AD7CC14" w14:textId="6A0D7742"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429 </w:t>
            </w:r>
          </w:p>
        </w:tc>
        <w:tc>
          <w:tcPr>
            <w:tcW w:w="977" w:type="dxa"/>
            <w:tcBorders>
              <w:top w:val="nil"/>
              <w:left w:val="nil"/>
              <w:bottom w:val="nil"/>
              <w:right w:val="nil"/>
            </w:tcBorders>
            <w:shd w:val="clear" w:color="auto" w:fill="auto"/>
            <w:noWrap/>
            <w:vAlign w:val="bottom"/>
            <w:hideMark/>
          </w:tcPr>
          <w:p w14:paraId="23BD12C7" w14:textId="55FD8124"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436 </w:t>
            </w:r>
          </w:p>
        </w:tc>
        <w:tc>
          <w:tcPr>
            <w:tcW w:w="977" w:type="dxa"/>
            <w:tcBorders>
              <w:top w:val="nil"/>
              <w:left w:val="nil"/>
              <w:bottom w:val="nil"/>
              <w:right w:val="nil"/>
            </w:tcBorders>
            <w:shd w:val="clear" w:color="auto" w:fill="auto"/>
            <w:noWrap/>
            <w:vAlign w:val="bottom"/>
            <w:hideMark/>
          </w:tcPr>
          <w:p w14:paraId="27862B45" w14:textId="13C9FB56"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442 </w:t>
            </w:r>
          </w:p>
        </w:tc>
        <w:tc>
          <w:tcPr>
            <w:tcW w:w="977" w:type="dxa"/>
            <w:tcBorders>
              <w:top w:val="nil"/>
              <w:left w:val="nil"/>
              <w:bottom w:val="nil"/>
              <w:right w:val="nil"/>
            </w:tcBorders>
            <w:shd w:val="clear" w:color="auto" w:fill="auto"/>
            <w:noWrap/>
            <w:vAlign w:val="bottom"/>
            <w:hideMark/>
          </w:tcPr>
          <w:p w14:paraId="6136BAC6" w14:textId="2D6BEC35"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449 </w:t>
            </w:r>
          </w:p>
        </w:tc>
      </w:tr>
      <w:tr w:rsidR="00F24C07" w:rsidRPr="00500A9D" w14:paraId="5A422258" w14:textId="77777777" w:rsidTr="00CD1288">
        <w:trPr>
          <w:trHeight w:val="204"/>
        </w:trPr>
        <w:tc>
          <w:tcPr>
            <w:tcW w:w="2835" w:type="dxa"/>
            <w:tcBorders>
              <w:top w:val="nil"/>
              <w:left w:val="nil"/>
              <w:bottom w:val="nil"/>
              <w:right w:val="nil"/>
            </w:tcBorders>
            <w:shd w:val="clear" w:color="auto" w:fill="auto"/>
            <w:hideMark/>
          </w:tcPr>
          <w:p w14:paraId="4DE36CDD"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 xml:space="preserve">Services to Indian Ocean Territories </w:t>
            </w:r>
            <w:r w:rsidRPr="00500A9D">
              <w:rPr>
                <w:rFonts w:ascii="Arial" w:hAnsi="Arial" w:cs="Arial"/>
                <w:sz w:val="16"/>
                <w:szCs w:val="16"/>
                <w:vertAlign w:val="superscript"/>
              </w:rPr>
              <w:t>(b)</w:t>
            </w:r>
          </w:p>
        </w:tc>
        <w:tc>
          <w:tcPr>
            <w:tcW w:w="976" w:type="dxa"/>
            <w:tcBorders>
              <w:top w:val="nil"/>
              <w:left w:val="nil"/>
              <w:bottom w:val="nil"/>
              <w:right w:val="nil"/>
            </w:tcBorders>
            <w:shd w:val="clear" w:color="auto" w:fill="auto"/>
            <w:noWrap/>
            <w:vAlign w:val="bottom"/>
            <w:hideMark/>
          </w:tcPr>
          <w:p w14:paraId="28D431F4" w14:textId="6E6E66CA"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113,321 </w:t>
            </w:r>
          </w:p>
        </w:tc>
        <w:tc>
          <w:tcPr>
            <w:tcW w:w="977" w:type="dxa"/>
            <w:tcBorders>
              <w:top w:val="nil"/>
              <w:left w:val="nil"/>
              <w:bottom w:val="nil"/>
              <w:right w:val="nil"/>
            </w:tcBorders>
            <w:shd w:val="clear" w:color="auto" w:fill="E6E6E6"/>
            <w:noWrap/>
            <w:vAlign w:val="bottom"/>
            <w:hideMark/>
          </w:tcPr>
          <w:p w14:paraId="6F8D250B" w14:textId="3637F1B0"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126,732 </w:t>
            </w:r>
          </w:p>
        </w:tc>
        <w:tc>
          <w:tcPr>
            <w:tcW w:w="977" w:type="dxa"/>
            <w:tcBorders>
              <w:top w:val="nil"/>
              <w:left w:val="nil"/>
              <w:bottom w:val="nil"/>
              <w:right w:val="nil"/>
            </w:tcBorders>
            <w:shd w:val="clear" w:color="auto" w:fill="auto"/>
            <w:noWrap/>
            <w:vAlign w:val="bottom"/>
            <w:hideMark/>
          </w:tcPr>
          <w:p w14:paraId="14D31B2C" w14:textId="780A39DA"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97,615 </w:t>
            </w:r>
          </w:p>
        </w:tc>
        <w:tc>
          <w:tcPr>
            <w:tcW w:w="977" w:type="dxa"/>
            <w:tcBorders>
              <w:top w:val="nil"/>
              <w:left w:val="nil"/>
              <w:bottom w:val="nil"/>
              <w:right w:val="nil"/>
            </w:tcBorders>
            <w:shd w:val="clear" w:color="auto" w:fill="auto"/>
            <w:noWrap/>
            <w:vAlign w:val="bottom"/>
            <w:hideMark/>
          </w:tcPr>
          <w:p w14:paraId="01C62A59" w14:textId="128D791F"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99,881 </w:t>
            </w:r>
          </w:p>
        </w:tc>
        <w:tc>
          <w:tcPr>
            <w:tcW w:w="977" w:type="dxa"/>
            <w:tcBorders>
              <w:top w:val="nil"/>
              <w:left w:val="nil"/>
              <w:bottom w:val="nil"/>
              <w:right w:val="nil"/>
            </w:tcBorders>
            <w:shd w:val="clear" w:color="auto" w:fill="auto"/>
            <w:noWrap/>
            <w:vAlign w:val="bottom"/>
            <w:hideMark/>
          </w:tcPr>
          <w:p w14:paraId="2A535720" w14:textId="4F452DF1"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102,149 </w:t>
            </w:r>
          </w:p>
        </w:tc>
      </w:tr>
      <w:tr w:rsidR="00F24C07" w:rsidRPr="00500A9D" w14:paraId="390BF45F" w14:textId="77777777" w:rsidTr="00CD1288">
        <w:trPr>
          <w:trHeight w:val="204"/>
        </w:trPr>
        <w:tc>
          <w:tcPr>
            <w:tcW w:w="2835" w:type="dxa"/>
            <w:tcBorders>
              <w:top w:val="nil"/>
              <w:left w:val="nil"/>
              <w:bottom w:val="nil"/>
              <w:right w:val="nil"/>
            </w:tcBorders>
            <w:shd w:val="clear" w:color="auto" w:fill="auto"/>
            <w:hideMark/>
          </w:tcPr>
          <w:p w14:paraId="362C71E5"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 xml:space="preserve">Services to Jervis Bay Territory </w:t>
            </w:r>
            <w:r w:rsidRPr="00500A9D">
              <w:rPr>
                <w:rFonts w:ascii="Arial" w:hAnsi="Arial" w:cs="Arial"/>
                <w:sz w:val="16"/>
                <w:szCs w:val="16"/>
                <w:vertAlign w:val="superscript"/>
              </w:rPr>
              <w:t>(c)</w:t>
            </w:r>
          </w:p>
        </w:tc>
        <w:tc>
          <w:tcPr>
            <w:tcW w:w="976" w:type="dxa"/>
            <w:tcBorders>
              <w:top w:val="nil"/>
              <w:left w:val="nil"/>
              <w:bottom w:val="nil"/>
              <w:right w:val="nil"/>
            </w:tcBorders>
            <w:shd w:val="clear" w:color="auto" w:fill="auto"/>
            <w:noWrap/>
            <w:vAlign w:val="bottom"/>
            <w:hideMark/>
          </w:tcPr>
          <w:p w14:paraId="621A358E" w14:textId="2446B06C"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5,924 </w:t>
            </w:r>
          </w:p>
        </w:tc>
        <w:tc>
          <w:tcPr>
            <w:tcW w:w="977" w:type="dxa"/>
            <w:tcBorders>
              <w:top w:val="nil"/>
              <w:left w:val="nil"/>
              <w:bottom w:val="nil"/>
              <w:right w:val="nil"/>
            </w:tcBorders>
            <w:shd w:val="clear" w:color="auto" w:fill="E6E6E6"/>
            <w:noWrap/>
            <w:vAlign w:val="bottom"/>
            <w:hideMark/>
          </w:tcPr>
          <w:p w14:paraId="228580D9" w14:textId="3DB5D2D8"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6,929 </w:t>
            </w:r>
          </w:p>
        </w:tc>
        <w:tc>
          <w:tcPr>
            <w:tcW w:w="977" w:type="dxa"/>
            <w:tcBorders>
              <w:top w:val="nil"/>
              <w:left w:val="nil"/>
              <w:bottom w:val="nil"/>
              <w:right w:val="nil"/>
            </w:tcBorders>
            <w:shd w:val="clear" w:color="auto" w:fill="auto"/>
            <w:noWrap/>
            <w:vAlign w:val="bottom"/>
            <w:hideMark/>
          </w:tcPr>
          <w:p w14:paraId="76ACCCC3" w14:textId="0E9942C3"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7,200 </w:t>
            </w:r>
          </w:p>
        </w:tc>
        <w:tc>
          <w:tcPr>
            <w:tcW w:w="977" w:type="dxa"/>
            <w:tcBorders>
              <w:top w:val="nil"/>
              <w:left w:val="nil"/>
              <w:bottom w:val="nil"/>
              <w:right w:val="nil"/>
            </w:tcBorders>
            <w:shd w:val="clear" w:color="auto" w:fill="auto"/>
            <w:noWrap/>
            <w:vAlign w:val="bottom"/>
            <w:hideMark/>
          </w:tcPr>
          <w:p w14:paraId="5E383D10" w14:textId="0E338E8A"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7,383 </w:t>
            </w:r>
          </w:p>
        </w:tc>
        <w:tc>
          <w:tcPr>
            <w:tcW w:w="977" w:type="dxa"/>
            <w:tcBorders>
              <w:top w:val="nil"/>
              <w:left w:val="nil"/>
              <w:bottom w:val="nil"/>
              <w:right w:val="nil"/>
            </w:tcBorders>
            <w:shd w:val="clear" w:color="auto" w:fill="auto"/>
            <w:noWrap/>
            <w:vAlign w:val="bottom"/>
            <w:hideMark/>
          </w:tcPr>
          <w:p w14:paraId="2E8B8221" w14:textId="1273D36D"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5,763 </w:t>
            </w:r>
          </w:p>
        </w:tc>
      </w:tr>
      <w:tr w:rsidR="00F24C07" w:rsidRPr="00500A9D" w14:paraId="4A74B0B7" w14:textId="77777777" w:rsidTr="00CD1288">
        <w:trPr>
          <w:trHeight w:val="204"/>
        </w:trPr>
        <w:tc>
          <w:tcPr>
            <w:tcW w:w="2835" w:type="dxa"/>
            <w:tcBorders>
              <w:top w:val="nil"/>
              <w:left w:val="nil"/>
              <w:bottom w:val="nil"/>
              <w:right w:val="nil"/>
            </w:tcBorders>
            <w:shd w:val="clear" w:color="auto" w:fill="auto"/>
            <w:hideMark/>
          </w:tcPr>
          <w:p w14:paraId="1AAAA5D3"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Services to Norfolk Island</w:t>
            </w:r>
          </w:p>
        </w:tc>
        <w:tc>
          <w:tcPr>
            <w:tcW w:w="976" w:type="dxa"/>
            <w:tcBorders>
              <w:top w:val="nil"/>
              <w:left w:val="nil"/>
              <w:bottom w:val="nil"/>
              <w:right w:val="nil"/>
            </w:tcBorders>
            <w:shd w:val="clear" w:color="auto" w:fill="auto"/>
            <w:noWrap/>
            <w:vAlign w:val="bottom"/>
            <w:hideMark/>
          </w:tcPr>
          <w:p w14:paraId="1FA843CE" w14:textId="30E317FD"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60,566 </w:t>
            </w:r>
          </w:p>
        </w:tc>
        <w:tc>
          <w:tcPr>
            <w:tcW w:w="977" w:type="dxa"/>
            <w:tcBorders>
              <w:top w:val="nil"/>
              <w:left w:val="nil"/>
              <w:bottom w:val="nil"/>
              <w:right w:val="nil"/>
            </w:tcBorders>
            <w:shd w:val="clear" w:color="auto" w:fill="E6E6E6"/>
            <w:noWrap/>
            <w:vAlign w:val="bottom"/>
            <w:hideMark/>
          </w:tcPr>
          <w:p w14:paraId="153DF980" w14:textId="37E8D387"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88,641 </w:t>
            </w:r>
          </w:p>
        </w:tc>
        <w:tc>
          <w:tcPr>
            <w:tcW w:w="977" w:type="dxa"/>
            <w:tcBorders>
              <w:top w:val="nil"/>
              <w:left w:val="nil"/>
              <w:bottom w:val="nil"/>
              <w:right w:val="nil"/>
            </w:tcBorders>
            <w:shd w:val="clear" w:color="auto" w:fill="auto"/>
            <w:noWrap/>
            <w:vAlign w:val="bottom"/>
            <w:hideMark/>
          </w:tcPr>
          <w:p w14:paraId="059957CE" w14:textId="16C6A2FB"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48,914 </w:t>
            </w:r>
          </w:p>
        </w:tc>
        <w:tc>
          <w:tcPr>
            <w:tcW w:w="977" w:type="dxa"/>
            <w:tcBorders>
              <w:top w:val="nil"/>
              <w:left w:val="nil"/>
              <w:bottom w:val="nil"/>
              <w:right w:val="nil"/>
            </w:tcBorders>
            <w:shd w:val="clear" w:color="auto" w:fill="auto"/>
            <w:noWrap/>
            <w:vAlign w:val="bottom"/>
            <w:hideMark/>
          </w:tcPr>
          <w:p w14:paraId="66CA2511" w14:textId="5B4C5683"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48,280 </w:t>
            </w:r>
          </w:p>
        </w:tc>
        <w:tc>
          <w:tcPr>
            <w:tcW w:w="977" w:type="dxa"/>
            <w:tcBorders>
              <w:top w:val="nil"/>
              <w:left w:val="nil"/>
              <w:bottom w:val="nil"/>
              <w:right w:val="nil"/>
            </w:tcBorders>
            <w:shd w:val="clear" w:color="auto" w:fill="auto"/>
            <w:noWrap/>
            <w:vAlign w:val="bottom"/>
            <w:hideMark/>
          </w:tcPr>
          <w:p w14:paraId="73FCF5F5" w14:textId="7DF832DA"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48,521 </w:t>
            </w:r>
          </w:p>
        </w:tc>
      </w:tr>
      <w:tr w:rsidR="00F24C07" w:rsidRPr="00500A9D" w14:paraId="249F5B1E" w14:textId="77777777" w:rsidTr="00CD1288">
        <w:trPr>
          <w:trHeight w:val="204"/>
        </w:trPr>
        <w:tc>
          <w:tcPr>
            <w:tcW w:w="2835" w:type="dxa"/>
            <w:tcBorders>
              <w:top w:val="nil"/>
              <w:left w:val="nil"/>
              <w:bottom w:val="nil"/>
              <w:right w:val="nil"/>
            </w:tcBorders>
            <w:shd w:val="clear" w:color="auto" w:fill="auto"/>
            <w:noWrap/>
            <w:hideMark/>
          </w:tcPr>
          <w:p w14:paraId="79AC27EE" w14:textId="77777777" w:rsidR="00F24C07" w:rsidRPr="00500A9D" w:rsidRDefault="00F24C07" w:rsidP="00F24C07">
            <w:pPr>
              <w:spacing w:after="0" w:line="240" w:lineRule="auto"/>
              <w:jc w:val="left"/>
              <w:rPr>
                <w:rFonts w:ascii="Arial" w:hAnsi="Arial" w:cs="Arial"/>
                <w:sz w:val="16"/>
                <w:szCs w:val="16"/>
              </w:rPr>
            </w:pPr>
            <w:r w:rsidRPr="00500A9D">
              <w:rPr>
                <w:rFonts w:ascii="Arial" w:hAnsi="Arial" w:cs="Arial"/>
                <w:sz w:val="16"/>
                <w:szCs w:val="16"/>
              </w:rPr>
              <w:t>Special Appropriations</w:t>
            </w:r>
          </w:p>
        </w:tc>
        <w:tc>
          <w:tcPr>
            <w:tcW w:w="976" w:type="dxa"/>
            <w:tcBorders>
              <w:top w:val="nil"/>
              <w:left w:val="nil"/>
              <w:bottom w:val="nil"/>
              <w:right w:val="nil"/>
            </w:tcBorders>
            <w:shd w:val="clear" w:color="auto" w:fill="auto"/>
            <w:noWrap/>
            <w:vAlign w:val="bottom"/>
            <w:hideMark/>
          </w:tcPr>
          <w:p w14:paraId="5C84D24A" w14:textId="77777777" w:rsidR="00F24C07" w:rsidRPr="00F24C07" w:rsidRDefault="00F24C07" w:rsidP="00F24C07">
            <w:pPr>
              <w:spacing w:after="0" w:line="240" w:lineRule="auto"/>
              <w:ind w:firstLineChars="100" w:firstLine="160"/>
              <w:jc w:val="lef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6E845266" w14:textId="35C3D0E7"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6559F403" w14:textId="77777777" w:rsidR="00F24C07" w:rsidRPr="00F24C07" w:rsidRDefault="00F24C07" w:rsidP="00F24C0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46F2F2BA" w14:textId="77777777" w:rsidR="00F24C07" w:rsidRPr="00F24C07" w:rsidRDefault="00F24C07" w:rsidP="00F24C07">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7156A907" w14:textId="77777777" w:rsidR="00F24C07" w:rsidRPr="00F24C07" w:rsidRDefault="00F24C07" w:rsidP="00F24C07">
            <w:pPr>
              <w:spacing w:after="0" w:line="240" w:lineRule="auto"/>
              <w:jc w:val="right"/>
              <w:rPr>
                <w:rFonts w:ascii="Times New Roman" w:hAnsi="Times New Roman"/>
                <w:sz w:val="16"/>
                <w:szCs w:val="16"/>
              </w:rPr>
            </w:pPr>
          </w:p>
        </w:tc>
      </w:tr>
      <w:tr w:rsidR="00F24C07" w:rsidRPr="00500A9D" w14:paraId="74353473" w14:textId="77777777" w:rsidTr="00CD1288">
        <w:trPr>
          <w:trHeight w:val="204"/>
        </w:trPr>
        <w:tc>
          <w:tcPr>
            <w:tcW w:w="2835" w:type="dxa"/>
            <w:tcBorders>
              <w:top w:val="nil"/>
              <w:left w:val="nil"/>
              <w:bottom w:val="nil"/>
              <w:right w:val="nil"/>
            </w:tcBorders>
            <w:shd w:val="clear" w:color="auto" w:fill="auto"/>
            <w:hideMark/>
          </w:tcPr>
          <w:p w14:paraId="10776531"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 xml:space="preserve">Services to Indian Ocean Territories </w:t>
            </w:r>
            <w:r w:rsidRPr="00500A9D">
              <w:rPr>
                <w:rFonts w:ascii="Arial" w:hAnsi="Arial" w:cs="Arial"/>
                <w:sz w:val="16"/>
                <w:szCs w:val="16"/>
                <w:vertAlign w:val="superscript"/>
              </w:rPr>
              <w:t>(d)</w:t>
            </w:r>
          </w:p>
        </w:tc>
        <w:tc>
          <w:tcPr>
            <w:tcW w:w="976" w:type="dxa"/>
            <w:tcBorders>
              <w:top w:val="nil"/>
              <w:left w:val="nil"/>
              <w:bottom w:val="nil"/>
              <w:right w:val="nil"/>
            </w:tcBorders>
            <w:shd w:val="clear" w:color="auto" w:fill="auto"/>
            <w:noWrap/>
            <w:vAlign w:val="bottom"/>
            <w:hideMark/>
          </w:tcPr>
          <w:p w14:paraId="4F71D3BA" w14:textId="7DBF7663"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 </w:t>
            </w:r>
          </w:p>
        </w:tc>
        <w:tc>
          <w:tcPr>
            <w:tcW w:w="977" w:type="dxa"/>
            <w:tcBorders>
              <w:top w:val="nil"/>
              <w:left w:val="nil"/>
              <w:bottom w:val="nil"/>
              <w:right w:val="nil"/>
            </w:tcBorders>
            <w:shd w:val="clear" w:color="auto" w:fill="E6E6E6"/>
            <w:noWrap/>
            <w:vAlign w:val="bottom"/>
            <w:hideMark/>
          </w:tcPr>
          <w:p w14:paraId="5CD478FC" w14:textId="356B671C"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5E324365" w14:textId="0D2362BD"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49507074" w14:textId="20A591DE"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2DF6E829" w14:textId="5E49A423"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 </w:t>
            </w:r>
          </w:p>
        </w:tc>
      </w:tr>
      <w:tr w:rsidR="00F24C07" w:rsidRPr="00500A9D" w14:paraId="52FEB367" w14:textId="77777777" w:rsidTr="00CD1288">
        <w:trPr>
          <w:trHeight w:val="204"/>
        </w:trPr>
        <w:tc>
          <w:tcPr>
            <w:tcW w:w="2835" w:type="dxa"/>
            <w:tcBorders>
              <w:top w:val="nil"/>
              <w:left w:val="nil"/>
              <w:bottom w:val="nil"/>
              <w:right w:val="nil"/>
            </w:tcBorders>
            <w:shd w:val="clear" w:color="auto" w:fill="auto"/>
            <w:noWrap/>
            <w:hideMark/>
          </w:tcPr>
          <w:p w14:paraId="382A0B86" w14:textId="77777777" w:rsidR="00F24C07" w:rsidRPr="00500A9D" w:rsidRDefault="00F24C07" w:rsidP="00F24C07">
            <w:pPr>
              <w:spacing w:after="0" w:line="240" w:lineRule="auto"/>
              <w:jc w:val="left"/>
              <w:rPr>
                <w:rFonts w:ascii="Arial" w:hAnsi="Arial" w:cs="Arial"/>
                <w:sz w:val="16"/>
                <w:szCs w:val="16"/>
              </w:rPr>
            </w:pPr>
            <w:r w:rsidRPr="00500A9D">
              <w:rPr>
                <w:rFonts w:ascii="Arial" w:hAnsi="Arial" w:cs="Arial"/>
                <w:sz w:val="16"/>
                <w:szCs w:val="16"/>
              </w:rPr>
              <w:t>Special Accounts</w:t>
            </w:r>
          </w:p>
        </w:tc>
        <w:tc>
          <w:tcPr>
            <w:tcW w:w="976" w:type="dxa"/>
            <w:tcBorders>
              <w:top w:val="nil"/>
              <w:left w:val="nil"/>
              <w:bottom w:val="nil"/>
              <w:right w:val="nil"/>
            </w:tcBorders>
            <w:shd w:val="clear" w:color="auto" w:fill="auto"/>
            <w:noWrap/>
            <w:vAlign w:val="bottom"/>
            <w:hideMark/>
          </w:tcPr>
          <w:p w14:paraId="4008F550" w14:textId="77777777" w:rsidR="00F24C07" w:rsidRPr="00F24C07" w:rsidRDefault="00F24C07" w:rsidP="00F24C07">
            <w:pPr>
              <w:spacing w:after="0" w:line="240" w:lineRule="auto"/>
              <w:ind w:firstLineChars="100" w:firstLine="160"/>
              <w:jc w:val="lef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32B7CB8A" w14:textId="4A2AAB5B"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50083FEE" w14:textId="77777777" w:rsidR="00F24C07" w:rsidRPr="00F24C07" w:rsidRDefault="00F24C07" w:rsidP="00F24C07">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67895C49" w14:textId="77777777" w:rsidR="00F24C07" w:rsidRPr="00F24C07" w:rsidRDefault="00F24C07" w:rsidP="00F24C07">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1BA639A8" w14:textId="77777777" w:rsidR="00F24C07" w:rsidRPr="00F24C07" w:rsidRDefault="00F24C07" w:rsidP="00F24C07">
            <w:pPr>
              <w:spacing w:after="0" w:line="240" w:lineRule="auto"/>
              <w:jc w:val="right"/>
              <w:rPr>
                <w:rFonts w:ascii="Times New Roman" w:hAnsi="Times New Roman"/>
                <w:sz w:val="16"/>
                <w:szCs w:val="16"/>
              </w:rPr>
            </w:pPr>
          </w:p>
        </w:tc>
      </w:tr>
      <w:tr w:rsidR="00F24C07" w:rsidRPr="00500A9D" w14:paraId="49641363" w14:textId="77777777" w:rsidTr="00CD1288">
        <w:trPr>
          <w:trHeight w:val="204"/>
        </w:trPr>
        <w:tc>
          <w:tcPr>
            <w:tcW w:w="2835" w:type="dxa"/>
            <w:tcBorders>
              <w:top w:val="nil"/>
              <w:left w:val="nil"/>
              <w:bottom w:val="nil"/>
              <w:right w:val="nil"/>
            </w:tcBorders>
            <w:shd w:val="clear" w:color="auto" w:fill="auto"/>
            <w:hideMark/>
          </w:tcPr>
          <w:p w14:paraId="10355A4D" w14:textId="47C53D68"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 xml:space="preserve">Christmas Island </w:t>
            </w:r>
            <w:r>
              <w:rPr>
                <w:rFonts w:ascii="Arial" w:hAnsi="Arial" w:cs="Arial"/>
                <w:sz w:val="16"/>
                <w:szCs w:val="16"/>
              </w:rPr>
              <w:t xml:space="preserve">Phosphate Mining Rehabilitation </w:t>
            </w:r>
            <w:r w:rsidRPr="00500A9D">
              <w:rPr>
                <w:rFonts w:ascii="Arial" w:hAnsi="Arial" w:cs="Arial"/>
                <w:sz w:val="16"/>
                <w:szCs w:val="16"/>
              </w:rPr>
              <w:t>Special Account 2016</w:t>
            </w:r>
          </w:p>
        </w:tc>
        <w:tc>
          <w:tcPr>
            <w:tcW w:w="976" w:type="dxa"/>
            <w:tcBorders>
              <w:top w:val="nil"/>
              <w:left w:val="nil"/>
              <w:bottom w:val="nil"/>
              <w:right w:val="nil"/>
            </w:tcBorders>
            <w:shd w:val="clear" w:color="auto" w:fill="auto"/>
            <w:noWrap/>
            <w:vAlign w:val="bottom"/>
            <w:hideMark/>
          </w:tcPr>
          <w:p w14:paraId="69D5F451" w14:textId="3246401E"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1,341 </w:t>
            </w:r>
          </w:p>
        </w:tc>
        <w:tc>
          <w:tcPr>
            <w:tcW w:w="977" w:type="dxa"/>
            <w:tcBorders>
              <w:top w:val="nil"/>
              <w:left w:val="nil"/>
              <w:bottom w:val="nil"/>
              <w:right w:val="nil"/>
            </w:tcBorders>
            <w:shd w:val="clear" w:color="auto" w:fill="E6E6E6"/>
            <w:noWrap/>
            <w:vAlign w:val="bottom"/>
            <w:hideMark/>
          </w:tcPr>
          <w:p w14:paraId="500AB80B" w14:textId="174ADABA"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1,200 </w:t>
            </w:r>
          </w:p>
        </w:tc>
        <w:tc>
          <w:tcPr>
            <w:tcW w:w="977" w:type="dxa"/>
            <w:tcBorders>
              <w:top w:val="nil"/>
              <w:left w:val="nil"/>
              <w:bottom w:val="nil"/>
              <w:right w:val="nil"/>
            </w:tcBorders>
            <w:shd w:val="clear" w:color="auto" w:fill="auto"/>
            <w:noWrap/>
            <w:vAlign w:val="bottom"/>
            <w:hideMark/>
          </w:tcPr>
          <w:p w14:paraId="4643580F" w14:textId="32AB3FA4"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1,200 </w:t>
            </w:r>
          </w:p>
        </w:tc>
        <w:tc>
          <w:tcPr>
            <w:tcW w:w="977" w:type="dxa"/>
            <w:tcBorders>
              <w:top w:val="nil"/>
              <w:left w:val="nil"/>
              <w:bottom w:val="nil"/>
              <w:right w:val="nil"/>
            </w:tcBorders>
            <w:shd w:val="clear" w:color="auto" w:fill="auto"/>
            <w:noWrap/>
            <w:vAlign w:val="bottom"/>
            <w:hideMark/>
          </w:tcPr>
          <w:p w14:paraId="20961E07" w14:textId="3E08BCF7"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1,200 </w:t>
            </w:r>
          </w:p>
        </w:tc>
        <w:tc>
          <w:tcPr>
            <w:tcW w:w="977" w:type="dxa"/>
            <w:tcBorders>
              <w:top w:val="nil"/>
              <w:left w:val="nil"/>
              <w:bottom w:val="nil"/>
              <w:right w:val="nil"/>
            </w:tcBorders>
            <w:shd w:val="clear" w:color="auto" w:fill="auto"/>
            <w:noWrap/>
            <w:vAlign w:val="bottom"/>
            <w:hideMark/>
          </w:tcPr>
          <w:p w14:paraId="3A0ABF92" w14:textId="4D0C2ADA"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1,200 </w:t>
            </w:r>
          </w:p>
        </w:tc>
      </w:tr>
      <w:tr w:rsidR="00F24C07" w:rsidRPr="00500A9D" w14:paraId="31523E5F" w14:textId="77777777" w:rsidTr="00CD1288">
        <w:trPr>
          <w:trHeight w:val="204"/>
        </w:trPr>
        <w:tc>
          <w:tcPr>
            <w:tcW w:w="2835" w:type="dxa"/>
            <w:tcBorders>
              <w:top w:val="nil"/>
              <w:left w:val="nil"/>
              <w:bottom w:val="nil"/>
              <w:right w:val="nil"/>
            </w:tcBorders>
            <w:shd w:val="clear" w:color="auto" w:fill="auto"/>
            <w:hideMark/>
          </w:tcPr>
          <w:p w14:paraId="1F48A485"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Indian Ocean Territories Special Account 2014</w:t>
            </w:r>
          </w:p>
        </w:tc>
        <w:tc>
          <w:tcPr>
            <w:tcW w:w="976" w:type="dxa"/>
            <w:tcBorders>
              <w:top w:val="nil"/>
              <w:left w:val="nil"/>
              <w:bottom w:val="nil"/>
              <w:right w:val="nil"/>
            </w:tcBorders>
            <w:shd w:val="clear" w:color="auto" w:fill="auto"/>
            <w:noWrap/>
            <w:vAlign w:val="bottom"/>
            <w:hideMark/>
          </w:tcPr>
          <w:p w14:paraId="40DC36D7" w14:textId="0B437D30"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17,294 </w:t>
            </w:r>
          </w:p>
        </w:tc>
        <w:tc>
          <w:tcPr>
            <w:tcW w:w="977" w:type="dxa"/>
            <w:tcBorders>
              <w:top w:val="nil"/>
              <w:left w:val="nil"/>
              <w:bottom w:val="nil"/>
              <w:right w:val="nil"/>
            </w:tcBorders>
            <w:shd w:val="clear" w:color="auto" w:fill="E6E6E6"/>
            <w:noWrap/>
            <w:vAlign w:val="bottom"/>
            <w:hideMark/>
          </w:tcPr>
          <w:p w14:paraId="5B30BC9B" w14:textId="538D9B6C"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18,838 </w:t>
            </w:r>
          </w:p>
        </w:tc>
        <w:tc>
          <w:tcPr>
            <w:tcW w:w="977" w:type="dxa"/>
            <w:tcBorders>
              <w:top w:val="nil"/>
              <w:left w:val="nil"/>
              <w:bottom w:val="nil"/>
              <w:right w:val="nil"/>
            </w:tcBorders>
            <w:shd w:val="clear" w:color="auto" w:fill="auto"/>
            <w:noWrap/>
            <w:vAlign w:val="bottom"/>
            <w:hideMark/>
          </w:tcPr>
          <w:p w14:paraId="77C072BA" w14:textId="0D423194"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17,515 </w:t>
            </w:r>
          </w:p>
        </w:tc>
        <w:tc>
          <w:tcPr>
            <w:tcW w:w="977" w:type="dxa"/>
            <w:tcBorders>
              <w:top w:val="nil"/>
              <w:left w:val="nil"/>
              <w:bottom w:val="nil"/>
              <w:right w:val="nil"/>
            </w:tcBorders>
            <w:shd w:val="clear" w:color="auto" w:fill="auto"/>
            <w:noWrap/>
            <w:vAlign w:val="bottom"/>
            <w:hideMark/>
          </w:tcPr>
          <w:p w14:paraId="2CFE4368" w14:textId="7CE83430"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17,769 </w:t>
            </w:r>
          </w:p>
        </w:tc>
        <w:tc>
          <w:tcPr>
            <w:tcW w:w="977" w:type="dxa"/>
            <w:tcBorders>
              <w:top w:val="nil"/>
              <w:left w:val="nil"/>
              <w:bottom w:val="nil"/>
              <w:right w:val="nil"/>
            </w:tcBorders>
            <w:shd w:val="clear" w:color="auto" w:fill="auto"/>
            <w:noWrap/>
            <w:vAlign w:val="bottom"/>
            <w:hideMark/>
          </w:tcPr>
          <w:p w14:paraId="316CADBF" w14:textId="3DD7C1EE"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17,915 </w:t>
            </w:r>
          </w:p>
        </w:tc>
      </w:tr>
      <w:tr w:rsidR="00F24C07" w:rsidRPr="00500A9D" w14:paraId="00D9B16B" w14:textId="77777777" w:rsidTr="00CD1288">
        <w:trPr>
          <w:trHeight w:val="204"/>
        </w:trPr>
        <w:tc>
          <w:tcPr>
            <w:tcW w:w="2835" w:type="dxa"/>
            <w:tcBorders>
              <w:top w:val="nil"/>
              <w:left w:val="nil"/>
              <w:bottom w:val="nil"/>
              <w:right w:val="nil"/>
            </w:tcBorders>
            <w:shd w:val="clear" w:color="auto" w:fill="auto"/>
            <w:hideMark/>
          </w:tcPr>
          <w:p w14:paraId="3B2F8F04" w14:textId="77777777" w:rsidR="00F24C07" w:rsidRPr="00500A9D" w:rsidRDefault="00F24C07" w:rsidP="00F24C07">
            <w:pPr>
              <w:spacing w:after="0" w:line="240" w:lineRule="auto"/>
              <w:ind w:left="113"/>
              <w:jc w:val="left"/>
              <w:rPr>
                <w:rFonts w:ascii="Arial" w:hAnsi="Arial" w:cs="Arial"/>
                <w:sz w:val="16"/>
                <w:szCs w:val="16"/>
              </w:rPr>
            </w:pPr>
            <w:r w:rsidRPr="00500A9D">
              <w:rPr>
                <w:rFonts w:ascii="Arial" w:hAnsi="Arial" w:cs="Arial"/>
                <w:sz w:val="16"/>
                <w:szCs w:val="16"/>
              </w:rPr>
              <w:t>Jervis Bay Territory Special Account 2014</w:t>
            </w:r>
          </w:p>
        </w:tc>
        <w:tc>
          <w:tcPr>
            <w:tcW w:w="976" w:type="dxa"/>
            <w:tcBorders>
              <w:top w:val="nil"/>
              <w:left w:val="nil"/>
              <w:bottom w:val="nil"/>
              <w:right w:val="nil"/>
            </w:tcBorders>
            <w:shd w:val="clear" w:color="auto" w:fill="auto"/>
            <w:noWrap/>
            <w:vAlign w:val="bottom"/>
            <w:hideMark/>
          </w:tcPr>
          <w:p w14:paraId="2A8E5164" w14:textId="0370B876"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1,024 </w:t>
            </w:r>
          </w:p>
        </w:tc>
        <w:tc>
          <w:tcPr>
            <w:tcW w:w="977" w:type="dxa"/>
            <w:tcBorders>
              <w:top w:val="nil"/>
              <w:left w:val="nil"/>
              <w:bottom w:val="nil"/>
              <w:right w:val="nil"/>
            </w:tcBorders>
            <w:shd w:val="clear" w:color="auto" w:fill="E6E6E6"/>
            <w:noWrap/>
            <w:vAlign w:val="bottom"/>
            <w:hideMark/>
          </w:tcPr>
          <w:p w14:paraId="30D52100" w14:textId="2D69783A"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1,219 </w:t>
            </w:r>
          </w:p>
        </w:tc>
        <w:tc>
          <w:tcPr>
            <w:tcW w:w="977" w:type="dxa"/>
            <w:tcBorders>
              <w:top w:val="nil"/>
              <w:left w:val="nil"/>
              <w:bottom w:val="nil"/>
              <w:right w:val="nil"/>
            </w:tcBorders>
            <w:shd w:val="clear" w:color="auto" w:fill="auto"/>
            <w:noWrap/>
            <w:vAlign w:val="bottom"/>
            <w:hideMark/>
          </w:tcPr>
          <w:p w14:paraId="7B5FD543" w14:textId="2D628A4F"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1,219 </w:t>
            </w:r>
          </w:p>
        </w:tc>
        <w:tc>
          <w:tcPr>
            <w:tcW w:w="977" w:type="dxa"/>
            <w:tcBorders>
              <w:top w:val="nil"/>
              <w:left w:val="nil"/>
              <w:bottom w:val="nil"/>
              <w:right w:val="nil"/>
            </w:tcBorders>
            <w:shd w:val="clear" w:color="auto" w:fill="auto"/>
            <w:noWrap/>
            <w:vAlign w:val="bottom"/>
            <w:hideMark/>
          </w:tcPr>
          <w:p w14:paraId="26856A7F" w14:textId="70B700A3"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1,219 </w:t>
            </w:r>
          </w:p>
        </w:tc>
        <w:tc>
          <w:tcPr>
            <w:tcW w:w="977" w:type="dxa"/>
            <w:tcBorders>
              <w:top w:val="nil"/>
              <w:left w:val="nil"/>
              <w:bottom w:val="nil"/>
              <w:right w:val="nil"/>
            </w:tcBorders>
            <w:shd w:val="clear" w:color="auto" w:fill="auto"/>
            <w:noWrap/>
            <w:vAlign w:val="bottom"/>
            <w:hideMark/>
          </w:tcPr>
          <w:p w14:paraId="6753470D" w14:textId="1DE65266"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1,219 </w:t>
            </w:r>
          </w:p>
        </w:tc>
      </w:tr>
      <w:tr w:rsidR="00F24C07" w:rsidRPr="00500A9D" w14:paraId="76163808" w14:textId="77777777" w:rsidTr="00CD1288">
        <w:trPr>
          <w:trHeight w:val="204"/>
        </w:trPr>
        <w:tc>
          <w:tcPr>
            <w:tcW w:w="2835" w:type="dxa"/>
            <w:tcBorders>
              <w:top w:val="nil"/>
              <w:left w:val="nil"/>
              <w:bottom w:val="single" w:sz="4" w:space="0" w:color="auto"/>
              <w:right w:val="nil"/>
            </w:tcBorders>
            <w:shd w:val="clear" w:color="auto" w:fill="auto"/>
            <w:noWrap/>
            <w:hideMark/>
          </w:tcPr>
          <w:p w14:paraId="3A77F45E" w14:textId="77777777" w:rsidR="00F24C07" w:rsidRPr="00500A9D" w:rsidRDefault="00F24C07" w:rsidP="00F24C07">
            <w:pPr>
              <w:spacing w:after="0" w:line="240" w:lineRule="auto"/>
              <w:jc w:val="left"/>
              <w:rPr>
                <w:rFonts w:ascii="Arial" w:hAnsi="Arial" w:cs="Arial"/>
                <w:b/>
                <w:bCs/>
                <w:sz w:val="16"/>
                <w:szCs w:val="16"/>
              </w:rPr>
            </w:pPr>
            <w:r w:rsidRPr="00500A9D">
              <w:rPr>
                <w:rFonts w:ascii="Arial" w:hAnsi="Arial" w:cs="Arial"/>
                <w:b/>
                <w:bCs/>
                <w:sz w:val="16"/>
                <w:szCs w:val="16"/>
              </w:rPr>
              <w:t>Total expenses for Program 4.1</w:t>
            </w:r>
          </w:p>
        </w:tc>
        <w:tc>
          <w:tcPr>
            <w:tcW w:w="976" w:type="dxa"/>
            <w:tcBorders>
              <w:top w:val="single" w:sz="4" w:space="0" w:color="auto"/>
              <w:left w:val="nil"/>
              <w:bottom w:val="single" w:sz="4" w:space="0" w:color="auto"/>
              <w:right w:val="nil"/>
            </w:tcBorders>
            <w:shd w:val="clear" w:color="auto" w:fill="auto"/>
            <w:noWrap/>
            <w:vAlign w:val="bottom"/>
            <w:hideMark/>
          </w:tcPr>
          <w:p w14:paraId="26E69138" w14:textId="524FD052" w:rsidR="00F24C07" w:rsidRPr="00F24C07" w:rsidRDefault="00F24C07" w:rsidP="00F24C07">
            <w:pPr>
              <w:spacing w:after="0" w:line="240" w:lineRule="auto"/>
              <w:jc w:val="right"/>
              <w:rPr>
                <w:rFonts w:ascii="Arial" w:hAnsi="Arial" w:cs="Arial"/>
                <w:b/>
                <w:bCs/>
                <w:sz w:val="16"/>
                <w:szCs w:val="16"/>
              </w:rPr>
            </w:pPr>
            <w:r w:rsidRPr="00F24C07">
              <w:rPr>
                <w:rFonts w:ascii="Arial" w:hAnsi="Arial" w:cs="Arial"/>
                <w:b/>
                <w:bCs/>
                <w:sz w:val="16"/>
                <w:szCs w:val="16"/>
              </w:rPr>
              <w:t xml:space="preserve">252,257 </w:t>
            </w:r>
          </w:p>
        </w:tc>
        <w:tc>
          <w:tcPr>
            <w:tcW w:w="977" w:type="dxa"/>
            <w:tcBorders>
              <w:top w:val="single" w:sz="4" w:space="0" w:color="auto"/>
              <w:left w:val="nil"/>
              <w:bottom w:val="single" w:sz="4" w:space="0" w:color="auto"/>
              <w:right w:val="nil"/>
            </w:tcBorders>
            <w:shd w:val="clear" w:color="auto" w:fill="E6E6E6"/>
            <w:noWrap/>
            <w:vAlign w:val="bottom"/>
            <w:hideMark/>
          </w:tcPr>
          <w:p w14:paraId="765DD2D4" w14:textId="6E8478B2" w:rsidR="00F24C07" w:rsidRPr="00F24C07" w:rsidRDefault="00F24C07" w:rsidP="00F24C07">
            <w:pPr>
              <w:spacing w:after="0" w:line="240" w:lineRule="auto"/>
              <w:jc w:val="right"/>
              <w:rPr>
                <w:rFonts w:ascii="Arial" w:hAnsi="Arial" w:cs="Arial"/>
                <w:b/>
                <w:bCs/>
                <w:sz w:val="16"/>
                <w:szCs w:val="16"/>
              </w:rPr>
            </w:pPr>
            <w:r w:rsidRPr="00F24C07">
              <w:rPr>
                <w:rFonts w:ascii="Arial" w:hAnsi="Arial" w:cs="Arial"/>
                <w:b/>
                <w:bCs/>
                <w:sz w:val="16"/>
                <w:szCs w:val="16"/>
              </w:rPr>
              <w:t xml:space="preserve">292,238 </w:t>
            </w:r>
          </w:p>
        </w:tc>
        <w:tc>
          <w:tcPr>
            <w:tcW w:w="977" w:type="dxa"/>
            <w:tcBorders>
              <w:top w:val="single" w:sz="4" w:space="0" w:color="auto"/>
              <w:left w:val="nil"/>
              <w:bottom w:val="single" w:sz="4" w:space="0" w:color="auto"/>
              <w:right w:val="nil"/>
            </w:tcBorders>
            <w:shd w:val="clear" w:color="auto" w:fill="auto"/>
            <w:noWrap/>
            <w:vAlign w:val="bottom"/>
            <w:hideMark/>
          </w:tcPr>
          <w:p w14:paraId="086E05C8" w14:textId="76DF28A3" w:rsidR="00F24C07" w:rsidRPr="00F24C07" w:rsidRDefault="00F24C07" w:rsidP="00F24C07">
            <w:pPr>
              <w:spacing w:after="0" w:line="240" w:lineRule="auto"/>
              <w:jc w:val="right"/>
              <w:rPr>
                <w:rFonts w:ascii="Arial" w:hAnsi="Arial" w:cs="Arial"/>
                <w:b/>
                <w:bCs/>
                <w:sz w:val="16"/>
                <w:szCs w:val="16"/>
              </w:rPr>
            </w:pPr>
            <w:r w:rsidRPr="00F24C07">
              <w:rPr>
                <w:rFonts w:ascii="Arial" w:hAnsi="Arial" w:cs="Arial"/>
                <w:b/>
                <w:bCs/>
                <w:sz w:val="16"/>
                <w:szCs w:val="16"/>
              </w:rPr>
              <w:t xml:space="preserve">217,146 </w:t>
            </w:r>
          </w:p>
        </w:tc>
        <w:tc>
          <w:tcPr>
            <w:tcW w:w="977" w:type="dxa"/>
            <w:tcBorders>
              <w:top w:val="single" w:sz="4" w:space="0" w:color="auto"/>
              <w:left w:val="nil"/>
              <w:bottom w:val="single" w:sz="4" w:space="0" w:color="auto"/>
              <w:right w:val="nil"/>
            </w:tcBorders>
            <w:shd w:val="clear" w:color="auto" w:fill="auto"/>
            <w:noWrap/>
            <w:vAlign w:val="bottom"/>
            <w:hideMark/>
          </w:tcPr>
          <w:p w14:paraId="7FE07962" w14:textId="714BF684" w:rsidR="00F24C07" w:rsidRPr="00F24C07" w:rsidRDefault="00F24C07" w:rsidP="00F24C07">
            <w:pPr>
              <w:spacing w:after="0" w:line="240" w:lineRule="auto"/>
              <w:jc w:val="right"/>
              <w:rPr>
                <w:rFonts w:ascii="Arial" w:hAnsi="Arial" w:cs="Arial"/>
                <w:b/>
                <w:bCs/>
                <w:sz w:val="16"/>
                <w:szCs w:val="16"/>
              </w:rPr>
            </w:pPr>
            <w:r w:rsidRPr="00F24C07">
              <w:rPr>
                <w:rFonts w:ascii="Arial" w:hAnsi="Arial" w:cs="Arial"/>
                <w:b/>
                <w:bCs/>
                <w:sz w:val="16"/>
                <w:szCs w:val="16"/>
              </w:rPr>
              <w:t xml:space="preserve">219,016 </w:t>
            </w:r>
          </w:p>
        </w:tc>
        <w:tc>
          <w:tcPr>
            <w:tcW w:w="977" w:type="dxa"/>
            <w:tcBorders>
              <w:top w:val="single" w:sz="4" w:space="0" w:color="auto"/>
              <w:left w:val="nil"/>
              <w:bottom w:val="single" w:sz="4" w:space="0" w:color="auto"/>
              <w:right w:val="nil"/>
            </w:tcBorders>
            <w:shd w:val="clear" w:color="auto" w:fill="auto"/>
            <w:noWrap/>
            <w:vAlign w:val="bottom"/>
            <w:hideMark/>
          </w:tcPr>
          <w:p w14:paraId="619D997D" w14:textId="6421DE8E" w:rsidR="00F24C07" w:rsidRPr="00F24C07" w:rsidRDefault="00F24C07" w:rsidP="00F24C07">
            <w:pPr>
              <w:spacing w:after="0" w:line="240" w:lineRule="auto"/>
              <w:jc w:val="right"/>
              <w:rPr>
                <w:rFonts w:ascii="Arial" w:hAnsi="Arial" w:cs="Arial"/>
                <w:b/>
                <w:bCs/>
                <w:sz w:val="16"/>
                <w:szCs w:val="16"/>
              </w:rPr>
            </w:pPr>
            <w:r w:rsidRPr="00F24C07">
              <w:rPr>
                <w:rFonts w:ascii="Arial" w:hAnsi="Arial" w:cs="Arial"/>
                <w:b/>
                <w:bCs/>
                <w:sz w:val="16"/>
                <w:szCs w:val="16"/>
              </w:rPr>
              <w:t xml:space="preserve">220,143 </w:t>
            </w:r>
          </w:p>
        </w:tc>
      </w:tr>
    </w:tbl>
    <w:p w14:paraId="7E8E944E" w14:textId="045CD31C" w:rsidR="00A27EC7" w:rsidRPr="00B63D82" w:rsidRDefault="00312781" w:rsidP="00F10ACD">
      <w:pPr>
        <w:pStyle w:val="ChartandTableFootnoteAlpha"/>
        <w:numPr>
          <w:ilvl w:val="0"/>
          <w:numId w:val="44"/>
        </w:numPr>
        <w:spacing w:before="60" w:after="0"/>
        <w:ind w:left="284" w:hanging="284"/>
        <w:rPr>
          <w:rFonts w:cs="Arial"/>
          <w:bCs/>
          <w:szCs w:val="16"/>
        </w:rPr>
      </w:pPr>
      <w:r w:rsidRPr="00B63D82">
        <w:rPr>
          <w:rFonts w:cs="Arial"/>
          <w:bCs/>
          <w:szCs w:val="16"/>
        </w:rPr>
        <w:t>‘</w:t>
      </w:r>
      <w:proofErr w:type="spellStart"/>
      <w:proofErr w:type="gramStart"/>
      <w:r w:rsidRPr="00B63D82">
        <w:rPr>
          <w:rFonts w:cs="Arial"/>
          <w:bCs/>
          <w:szCs w:val="16"/>
        </w:rPr>
        <w:t>nfp</w:t>
      </w:r>
      <w:proofErr w:type="spellEnd"/>
      <w:proofErr w:type="gramEnd"/>
      <w:r w:rsidRPr="00B63D82">
        <w:rPr>
          <w:rFonts w:cs="Arial"/>
          <w:bCs/>
          <w:szCs w:val="16"/>
        </w:rPr>
        <w:t>’ figures are not for publication due to commercial sensitivity, and are not included in totals.</w:t>
      </w:r>
    </w:p>
    <w:p w14:paraId="3025AF49" w14:textId="3123F4A5" w:rsidR="00312781" w:rsidRPr="00312781" w:rsidRDefault="00312781" w:rsidP="00F10ACD">
      <w:pPr>
        <w:pStyle w:val="ListParagraph"/>
        <w:numPr>
          <w:ilvl w:val="0"/>
          <w:numId w:val="44"/>
        </w:numPr>
        <w:spacing w:after="0" w:line="240" w:lineRule="auto"/>
        <w:ind w:left="284" w:hanging="284"/>
        <w:rPr>
          <w:rFonts w:ascii="Arial" w:hAnsi="Arial" w:cs="Arial"/>
          <w:sz w:val="16"/>
          <w:szCs w:val="16"/>
        </w:rPr>
      </w:pPr>
      <w:r w:rsidRPr="00312781">
        <w:rPr>
          <w:rFonts w:ascii="Arial" w:hAnsi="Arial" w:cs="Arial"/>
          <w:sz w:val="16"/>
          <w:szCs w:val="16"/>
        </w:rPr>
        <w:t>See also expenses associated with the Indian Ocean Territories Special Account 2014.</w:t>
      </w:r>
    </w:p>
    <w:p w14:paraId="6C2BB8F0" w14:textId="77777777" w:rsidR="00B63D82" w:rsidRDefault="00312781" w:rsidP="00F10ACD">
      <w:pPr>
        <w:pStyle w:val="ListParagraph"/>
        <w:numPr>
          <w:ilvl w:val="0"/>
          <w:numId w:val="44"/>
        </w:numPr>
        <w:spacing w:after="0" w:line="240" w:lineRule="auto"/>
        <w:ind w:left="284" w:hanging="284"/>
        <w:rPr>
          <w:rFonts w:ascii="Arial" w:hAnsi="Arial" w:cs="Arial"/>
          <w:sz w:val="16"/>
          <w:szCs w:val="16"/>
        </w:rPr>
      </w:pPr>
      <w:r w:rsidRPr="00312781">
        <w:rPr>
          <w:rFonts w:ascii="Arial" w:hAnsi="Arial" w:cs="Arial"/>
          <w:sz w:val="16"/>
          <w:szCs w:val="16"/>
        </w:rPr>
        <w:t>See also expenses associated with the Jervis Bay Territory Special Account 2014.</w:t>
      </w:r>
    </w:p>
    <w:p w14:paraId="562C34B9" w14:textId="002A2720" w:rsidR="00312781" w:rsidRPr="00B63D82" w:rsidRDefault="00312781" w:rsidP="00F10ACD">
      <w:pPr>
        <w:pStyle w:val="ListParagraph"/>
        <w:numPr>
          <w:ilvl w:val="0"/>
          <w:numId w:val="44"/>
        </w:numPr>
        <w:spacing w:after="0" w:line="240" w:lineRule="auto"/>
        <w:ind w:left="284" w:hanging="284"/>
        <w:rPr>
          <w:rFonts w:ascii="Arial" w:hAnsi="Arial" w:cs="Arial"/>
          <w:sz w:val="16"/>
          <w:szCs w:val="16"/>
        </w:rPr>
      </w:pPr>
      <w:r w:rsidRPr="00B63D82">
        <w:rPr>
          <w:rFonts w:ascii="Arial" w:hAnsi="Arial" w:cs="Arial"/>
          <w:sz w:val="16"/>
          <w:szCs w:val="16"/>
        </w:rPr>
        <w:t>This program is funded under the Relief and Recovery Fund.</w:t>
      </w:r>
    </w:p>
    <w:p w14:paraId="5F332B8E" w14:textId="77777777" w:rsidR="00000153" w:rsidRPr="00AD50A1" w:rsidRDefault="00000153" w:rsidP="00E4047B">
      <w:pPr>
        <w:spacing w:before="240" w:after="0"/>
        <w:rPr>
          <w:rFonts w:ascii="Arial" w:hAnsi="Arial" w:cs="Arial"/>
          <w:b/>
          <w:bCs/>
        </w:rPr>
      </w:pPr>
      <w:r w:rsidRPr="00AD50A1">
        <w:rPr>
          <w:rFonts w:ascii="Arial" w:hAnsi="Arial" w:cs="Arial"/>
          <w:b/>
          <w:bCs/>
        </w:rPr>
        <w:t>Performance criteria for Outcome 4</w:t>
      </w:r>
    </w:p>
    <w:p w14:paraId="491ADEB2" w14:textId="55105AF0" w:rsidR="00000153" w:rsidRPr="00000153" w:rsidRDefault="00000153" w:rsidP="00B63D82">
      <w:pPr>
        <w:jc w:val="left"/>
      </w:pPr>
      <w:r w:rsidRPr="00000153">
        <w:t xml:space="preserve">There has been no change to the performance criteria for Outcome 4 resulting from decisions made since the 2021–22 Budget. The </w:t>
      </w:r>
      <w:r w:rsidR="008863D9">
        <w:t>Department</w:t>
      </w:r>
      <w:r w:rsidRPr="00000153">
        <w:t xml:space="preserve">’s detailed performance criteria can be found in the </w:t>
      </w:r>
      <w:r w:rsidR="00360023" w:rsidRPr="00000153">
        <w:t xml:space="preserve">2021–22 </w:t>
      </w:r>
      <w:r w:rsidRPr="00000153">
        <w:t>Infrastructure, Transport, Regional Development and Communications PB Statements.</w:t>
      </w:r>
    </w:p>
    <w:p w14:paraId="0A42B63B" w14:textId="77777777" w:rsidR="00840967" w:rsidRDefault="00A27EC7" w:rsidP="00000153">
      <w:pPr>
        <w:pStyle w:val="Heading3DITRDC"/>
      </w:pPr>
      <w:r>
        <w:br w:type="page"/>
      </w:r>
      <w:bookmarkStart w:id="313" w:name="_Toc93405042"/>
      <w:bookmarkStart w:id="314" w:name="_Toc92992117"/>
    </w:p>
    <w:p w14:paraId="7BEA46D9" w14:textId="55D5E86E" w:rsidR="00000153" w:rsidRDefault="00A27EC7" w:rsidP="00000153">
      <w:pPr>
        <w:pStyle w:val="Heading3DITRDC"/>
      </w:pPr>
      <w:bookmarkStart w:id="315" w:name="_Toc94854648"/>
      <w:r>
        <w:lastRenderedPageBreak/>
        <w:t>2.</w:t>
      </w:r>
      <w:r w:rsidR="004F33FD">
        <w:rPr>
          <w:lang w:val="en-US"/>
        </w:rPr>
        <w:t>6</w:t>
      </w:r>
      <w:r>
        <w:tab/>
      </w:r>
      <w:r w:rsidR="00000153">
        <w:t>Budgeted expenses and performance for Outcome 5</w:t>
      </w:r>
      <w:bookmarkEnd w:id="313"/>
      <w:bookmarkEnd w:id="315"/>
    </w:p>
    <w:tbl>
      <w:tblPr>
        <w:tblW w:w="487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344"/>
      </w:tblGrid>
      <w:tr w:rsidR="00000153" w:rsidRPr="005E6F2B" w14:paraId="34EC2980" w14:textId="77777777" w:rsidTr="00E4047B">
        <w:tc>
          <w:tcPr>
            <w:tcW w:w="7510" w:type="dxa"/>
            <w:shd w:val="clear" w:color="auto" w:fill="E6E6E6"/>
          </w:tcPr>
          <w:p w14:paraId="65ACE578" w14:textId="77777777" w:rsidR="00000153" w:rsidRPr="005E6F2B" w:rsidRDefault="00000153" w:rsidP="00E4047B">
            <w:pPr>
              <w:pStyle w:val="TableColumnHeadingLeft"/>
              <w:jc w:val="left"/>
            </w:pPr>
            <w:r w:rsidRPr="00F862B3">
              <w:rPr>
                <w:sz w:val="20"/>
              </w:rPr>
              <w:t xml:space="preserve">Outcome </w:t>
            </w:r>
            <w:r>
              <w:rPr>
                <w:sz w:val="20"/>
              </w:rPr>
              <w:t>5</w:t>
            </w:r>
            <w:r w:rsidRPr="00F862B3">
              <w:rPr>
                <w:sz w:val="20"/>
              </w:rPr>
              <w:t xml:space="preserve">: </w:t>
            </w:r>
            <w:r w:rsidRPr="00842923">
              <w:rPr>
                <w:sz w:val="20"/>
              </w:rPr>
              <w:t>Promote an innovative and competitive communications sector, through policy development, advice and program delivery, so all Australians can realise the full potential of digital technologies and communications services</w:t>
            </w:r>
          </w:p>
        </w:tc>
      </w:tr>
    </w:tbl>
    <w:p w14:paraId="6300E578" w14:textId="77777777" w:rsidR="00000153" w:rsidRPr="005E6F2B" w:rsidRDefault="00000153" w:rsidP="00000153">
      <w:pPr>
        <w:pStyle w:val="NoSpacing"/>
      </w:pPr>
    </w:p>
    <w:p w14:paraId="5705F102" w14:textId="77777777" w:rsidR="00000153" w:rsidRDefault="00000153" w:rsidP="00000153">
      <w:pPr>
        <w:pStyle w:val="Heading4"/>
      </w:pPr>
      <w:r w:rsidRPr="00F862B3">
        <w:rPr>
          <w:sz w:val="22"/>
          <w:szCs w:val="22"/>
        </w:rPr>
        <w:t>Linked programs</w:t>
      </w:r>
      <w:r w:rsidRPr="005E6F2B">
        <w:t xml:space="preserve"> </w:t>
      </w:r>
    </w:p>
    <w:p w14:paraId="19FBBDFC" w14:textId="64DD7DF3" w:rsidR="00000153" w:rsidRDefault="00000153" w:rsidP="00192B13">
      <w:pPr>
        <w:jc w:val="left"/>
      </w:pPr>
      <w:r w:rsidRPr="00950281">
        <w:t>Th</w:t>
      </w:r>
      <w:r>
        <w:t xml:space="preserve">ere have been no changes to linked programs for this outcome from that published in the </w:t>
      </w:r>
      <w:r w:rsidR="00360023">
        <w:t xml:space="preserve">2021-22 </w:t>
      </w:r>
      <w:r>
        <w:t xml:space="preserve">Infrastructure, Transport, Regional Development and </w:t>
      </w:r>
      <w:r w:rsidR="006A053E">
        <w:t>Communications</w:t>
      </w:r>
      <w:r w:rsidR="00173391">
        <w:t xml:space="preserve"> PB Statements.</w:t>
      </w:r>
    </w:p>
    <w:p w14:paraId="69B4215E" w14:textId="77777777" w:rsidR="00000153" w:rsidRPr="00446612" w:rsidRDefault="00000153" w:rsidP="00000153">
      <w:pPr>
        <w:pStyle w:val="Heading5"/>
      </w:pPr>
      <w:r w:rsidRPr="00446612">
        <w:t xml:space="preserve">Budgeted expenses for Outcome </w:t>
      </w:r>
      <w:r>
        <w:rPr>
          <w:lang w:val="en-AU"/>
        </w:rPr>
        <w:t>5</w:t>
      </w:r>
    </w:p>
    <w:p w14:paraId="3E711586" w14:textId="3DDBEC6C" w:rsidR="00000153" w:rsidRDefault="00000153" w:rsidP="00192B13">
      <w:pPr>
        <w:jc w:val="left"/>
      </w:pPr>
      <w:r w:rsidRPr="00950281">
        <w:t xml:space="preserve">This table shows how much the entity intends to spend (on an accrual basis) on achieving the outcome, broken down by program, as well as by Administered and </w:t>
      </w:r>
      <w:r w:rsidR="008863D9">
        <w:t>Department</w:t>
      </w:r>
      <w:r w:rsidRPr="00950281">
        <w:t xml:space="preserve">al funding sources. </w:t>
      </w:r>
    </w:p>
    <w:bookmarkEnd w:id="314"/>
    <w:p w14:paraId="5AA0AC9F" w14:textId="18430815" w:rsidR="00A27EC7" w:rsidRDefault="00A27EC7" w:rsidP="00A27EC7">
      <w:pPr>
        <w:pStyle w:val="TableHeading"/>
        <w:rPr>
          <w:lang w:val="en-US"/>
        </w:rPr>
      </w:pPr>
      <w:r w:rsidRPr="00000153">
        <w:t>Table 2.</w:t>
      </w:r>
      <w:r w:rsidR="001A7C64" w:rsidRPr="00000153">
        <w:rPr>
          <w:lang w:val="en-AU"/>
        </w:rPr>
        <w:t>6</w:t>
      </w:r>
      <w:r w:rsidRPr="00000153">
        <w:rPr>
          <w:lang w:val="en-AU"/>
        </w:rPr>
        <w:t>.</w:t>
      </w:r>
      <w:r w:rsidRPr="00000153">
        <w:t>1 Budgeted expenses</w:t>
      </w:r>
      <w:r w:rsidRPr="00000153">
        <w:rPr>
          <w:lang w:val="en-AU"/>
        </w:rPr>
        <w:t xml:space="preserve"> for</w:t>
      </w:r>
      <w:r w:rsidRPr="00000153">
        <w:t xml:space="preserve"> Outcome </w:t>
      </w:r>
      <w:r w:rsidR="001A7C64" w:rsidRPr="00000153">
        <w:rPr>
          <w:lang w:val="en-US"/>
        </w:rPr>
        <w:t>5</w:t>
      </w:r>
    </w:p>
    <w:tbl>
      <w:tblPr>
        <w:tblW w:w="0" w:type="auto"/>
        <w:tblLayout w:type="fixed"/>
        <w:tblLook w:val="04A0" w:firstRow="1" w:lastRow="0" w:firstColumn="1" w:lastColumn="0" w:noHBand="0" w:noVBand="1"/>
      </w:tblPr>
      <w:tblGrid>
        <w:gridCol w:w="2977"/>
        <w:gridCol w:w="928"/>
        <w:gridCol w:w="957"/>
        <w:gridCol w:w="20"/>
        <w:gridCol w:w="911"/>
        <w:gridCol w:w="20"/>
        <w:gridCol w:w="849"/>
        <w:gridCol w:w="79"/>
        <w:gridCol w:w="908"/>
        <w:gridCol w:w="21"/>
      </w:tblGrid>
      <w:tr w:rsidR="00E34CEC" w:rsidRPr="00E4047B" w14:paraId="75475464" w14:textId="77777777" w:rsidTr="00B1501D">
        <w:trPr>
          <w:trHeight w:val="758"/>
        </w:trPr>
        <w:tc>
          <w:tcPr>
            <w:tcW w:w="2977" w:type="dxa"/>
            <w:tcBorders>
              <w:top w:val="single" w:sz="4" w:space="0" w:color="auto"/>
              <w:left w:val="nil"/>
              <w:right w:val="nil"/>
            </w:tcBorders>
            <w:shd w:val="clear" w:color="auto" w:fill="auto"/>
            <w:noWrap/>
            <w:hideMark/>
          </w:tcPr>
          <w:p w14:paraId="03902B15" w14:textId="77777777" w:rsidR="00E34CEC" w:rsidRPr="00E4047B" w:rsidRDefault="00E34CEC" w:rsidP="00E34CEC">
            <w:pPr>
              <w:spacing w:after="0" w:line="240" w:lineRule="auto"/>
              <w:jc w:val="left"/>
              <w:rPr>
                <w:rFonts w:ascii="Arial" w:hAnsi="Arial" w:cs="Arial"/>
                <w:sz w:val="16"/>
                <w:szCs w:val="16"/>
              </w:rPr>
            </w:pPr>
            <w:r w:rsidRPr="00E4047B">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4CD1722F" w14:textId="39007D08" w:rsidR="00E34CEC" w:rsidRPr="00E4047B"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77" w:type="dxa"/>
            <w:gridSpan w:val="2"/>
            <w:tcBorders>
              <w:top w:val="single" w:sz="4" w:space="0" w:color="auto"/>
              <w:left w:val="nil"/>
              <w:bottom w:val="single" w:sz="4" w:space="0" w:color="auto"/>
              <w:right w:val="nil"/>
            </w:tcBorders>
            <w:shd w:val="clear" w:color="auto" w:fill="E6E6E6"/>
            <w:vAlign w:val="bottom"/>
            <w:hideMark/>
          </w:tcPr>
          <w:p w14:paraId="1A165FB3" w14:textId="63BD08D1" w:rsidR="00E34CEC" w:rsidRPr="00E4047B"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31" w:type="dxa"/>
            <w:gridSpan w:val="2"/>
            <w:tcBorders>
              <w:top w:val="single" w:sz="4" w:space="0" w:color="auto"/>
              <w:left w:val="nil"/>
              <w:bottom w:val="single" w:sz="4" w:space="0" w:color="auto"/>
              <w:right w:val="nil"/>
            </w:tcBorders>
            <w:shd w:val="clear" w:color="auto" w:fill="auto"/>
            <w:vAlign w:val="bottom"/>
            <w:hideMark/>
          </w:tcPr>
          <w:p w14:paraId="67621BB5" w14:textId="640F9CA4" w:rsidR="00E34CEC" w:rsidRPr="00E4047B"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28" w:type="dxa"/>
            <w:gridSpan w:val="2"/>
            <w:tcBorders>
              <w:top w:val="single" w:sz="4" w:space="0" w:color="auto"/>
              <w:left w:val="nil"/>
              <w:bottom w:val="single" w:sz="4" w:space="0" w:color="auto"/>
              <w:right w:val="nil"/>
            </w:tcBorders>
            <w:shd w:val="clear" w:color="auto" w:fill="auto"/>
            <w:vAlign w:val="bottom"/>
            <w:hideMark/>
          </w:tcPr>
          <w:p w14:paraId="39CDEC1C" w14:textId="04DA3B4D" w:rsidR="00E34CEC" w:rsidRPr="00E4047B"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29" w:type="dxa"/>
            <w:gridSpan w:val="2"/>
            <w:tcBorders>
              <w:top w:val="single" w:sz="4" w:space="0" w:color="auto"/>
              <w:left w:val="nil"/>
              <w:bottom w:val="single" w:sz="4" w:space="0" w:color="auto"/>
              <w:right w:val="nil"/>
            </w:tcBorders>
            <w:shd w:val="clear" w:color="auto" w:fill="auto"/>
            <w:vAlign w:val="bottom"/>
            <w:hideMark/>
          </w:tcPr>
          <w:p w14:paraId="2BE7C397" w14:textId="7B85E49B" w:rsidR="00E34CEC" w:rsidRPr="00E4047B"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AF431D" w:rsidRPr="00E4047B" w14:paraId="52055DBB" w14:textId="77777777" w:rsidTr="00AF431D">
        <w:trPr>
          <w:trHeight w:val="270"/>
        </w:trPr>
        <w:tc>
          <w:tcPr>
            <w:tcW w:w="7670" w:type="dxa"/>
            <w:gridSpan w:val="10"/>
            <w:tcBorders>
              <w:top w:val="single" w:sz="4" w:space="0" w:color="auto"/>
              <w:left w:val="nil"/>
              <w:bottom w:val="single" w:sz="4" w:space="0" w:color="auto"/>
              <w:right w:val="nil"/>
            </w:tcBorders>
            <w:shd w:val="clear" w:color="auto" w:fill="E6E6E6"/>
            <w:noWrap/>
            <w:hideMark/>
          </w:tcPr>
          <w:p w14:paraId="59A60B1E" w14:textId="6DC1B432" w:rsidR="00AF431D" w:rsidRPr="00AF431D" w:rsidRDefault="00AF431D" w:rsidP="00AF431D">
            <w:pPr>
              <w:spacing w:after="0" w:line="240" w:lineRule="auto"/>
              <w:jc w:val="left"/>
              <w:rPr>
                <w:rFonts w:ascii="Arial" w:hAnsi="Arial" w:cs="Arial"/>
                <w:b/>
                <w:bCs/>
                <w:sz w:val="16"/>
                <w:szCs w:val="16"/>
              </w:rPr>
            </w:pPr>
            <w:r w:rsidRPr="00E4047B">
              <w:rPr>
                <w:rFonts w:ascii="Arial" w:hAnsi="Arial" w:cs="Arial"/>
                <w:b/>
                <w:bCs/>
                <w:sz w:val="16"/>
                <w:szCs w:val="16"/>
              </w:rPr>
              <w:t>Program 5.1: Digital Technologies and Communications Services</w:t>
            </w:r>
          </w:p>
        </w:tc>
      </w:tr>
      <w:tr w:rsidR="00E4047B" w:rsidRPr="00E4047B" w14:paraId="52D9BCD5" w14:textId="77777777" w:rsidTr="00AF431D">
        <w:trPr>
          <w:trHeight w:val="204"/>
        </w:trPr>
        <w:tc>
          <w:tcPr>
            <w:tcW w:w="2977" w:type="dxa"/>
            <w:tcBorders>
              <w:top w:val="nil"/>
              <w:left w:val="nil"/>
              <w:bottom w:val="nil"/>
              <w:right w:val="nil"/>
            </w:tcBorders>
            <w:shd w:val="clear" w:color="auto" w:fill="auto"/>
            <w:noWrap/>
            <w:vAlign w:val="center"/>
            <w:hideMark/>
          </w:tcPr>
          <w:p w14:paraId="32E9B4FD" w14:textId="77777777" w:rsidR="00E4047B" w:rsidRPr="00E4047B" w:rsidRDefault="00E4047B" w:rsidP="00E4047B">
            <w:pPr>
              <w:spacing w:after="0" w:line="240" w:lineRule="auto"/>
              <w:jc w:val="left"/>
              <w:rPr>
                <w:rFonts w:ascii="Arial" w:hAnsi="Arial" w:cs="Arial"/>
                <w:sz w:val="16"/>
                <w:szCs w:val="16"/>
              </w:rPr>
            </w:pPr>
            <w:r w:rsidRPr="00E4047B">
              <w:rPr>
                <w:rFonts w:ascii="Arial" w:hAnsi="Arial" w:cs="Arial"/>
                <w:sz w:val="16"/>
                <w:szCs w:val="16"/>
              </w:rPr>
              <w:t>Administered expenses</w:t>
            </w:r>
          </w:p>
        </w:tc>
        <w:tc>
          <w:tcPr>
            <w:tcW w:w="928" w:type="dxa"/>
            <w:tcBorders>
              <w:top w:val="nil"/>
              <w:left w:val="nil"/>
              <w:bottom w:val="nil"/>
              <w:right w:val="nil"/>
            </w:tcBorders>
            <w:shd w:val="clear" w:color="auto" w:fill="auto"/>
            <w:noWrap/>
            <w:vAlign w:val="bottom"/>
            <w:hideMark/>
          </w:tcPr>
          <w:p w14:paraId="4AD11085" w14:textId="77777777" w:rsidR="00E4047B" w:rsidRPr="00E4047B" w:rsidRDefault="00E4047B" w:rsidP="00501B04">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auto" w:fill="E6E6E6"/>
            <w:noWrap/>
            <w:vAlign w:val="bottom"/>
            <w:hideMark/>
          </w:tcPr>
          <w:p w14:paraId="5173AA83" w14:textId="77777777" w:rsidR="00E4047B" w:rsidRPr="00E4047B" w:rsidRDefault="00E4047B" w:rsidP="00501B04">
            <w:pPr>
              <w:spacing w:after="0" w:line="240" w:lineRule="auto"/>
              <w:jc w:val="right"/>
              <w:rPr>
                <w:rFonts w:ascii="Arial" w:hAnsi="Arial" w:cs="Arial"/>
                <w:sz w:val="16"/>
                <w:szCs w:val="16"/>
              </w:rPr>
            </w:pPr>
            <w:r w:rsidRPr="00E4047B">
              <w:rPr>
                <w:rFonts w:ascii="Arial" w:hAnsi="Arial" w:cs="Arial"/>
                <w:sz w:val="16"/>
                <w:szCs w:val="16"/>
              </w:rPr>
              <w:t> </w:t>
            </w:r>
          </w:p>
        </w:tc>
        <w:tc>
          <w:tcPr>
            <w:tcW w:w="931" w:type="dxa"/>
            <w:gridSpan w:val="2"/>
            <w:tcBorders>
              <w:top w:val="nil"/>
              <w:left w:val="nil"/>
              <w:bottom w:val="nil"/>
              <w:right w:val="nil"/>
            </w:tcBorders>
            <w:shd w:val="clear" w:color="auto" w:fill="auto"/>
            <w:noWrap/>
            <w:vAlign w:val="bottom"/>
            <w:hideMark/>
          </w:tcPr>
          <w:p w14:paraId="5D614884" w14:textId="77777777" w:rsidR="00E4047B" w:rsidRPr="00E4047B" w:rsidRDefault="00E4047B" w:rsidP="00501B04">
            <w:pPr>
              <w:spacing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bottom"/>
            <w:hideMark/>
          </w:tcPr>
          <w:p w14:paraId="7827E37D" w14:textId="77777777" w:rsidR="00E4047B" w:rsidRPr="00E4047B" w:rsidRDefault="00E4047B" w:rsidP="00501B04">
            <w:pPr>
              <w:spacing w:after="0" w:line="240" w:lineRule="auto"/>
              <w:jc w:val="right"/>
              <w:rPr>
                <w:rFonts w:ascii="Times New Roman" w:hAnsi="Times New Roman"/>
              </w:rPr>
            </w:pPr>
          </w:p>
        </w:tc>
        <w:tc>
          <w:tcPr>
            <w:tcW w:w="929" w:type="dxa"/>
            <w:gridSpan w:val="2"/>
            <w:tcBorders>
              <w:top w:val="nil"/>
              <w:left w:val="nil"/>
              <w:bottom w:val="nil"/>
              <w:right w:val="nil"/>
            </w:tcBorders>
            <w:shd w:val="clear" w:color="auto" w:fill="auto"/>
            <w:noWrap/>
            <w:vAlign w:val="bottom"/>
            <w:hideMark/>
          </w:tcPr>
          <w:p w14:paraId="2D4F3610" w14:textId="77777777" w:rsidR="00E4047B" w:rsidRPr="00E4047B" w:rsidRDefault="00E4047B" w:rsidP="00501B04">
            <w:pPr>
              <w:spacing w:after="0" w:line="240" w:lineRule="auto"/>
              <w:jc w:val="right"/>
              <w:rPr>
                <w:rFonts w:ascii="Times New Roman" w:hAnsi="Times New Roman"/>
              </w:rPr>
            </w:pPr>
          </w:p>
        </w:tc>
      </w:tr>
      <w:tr w:rsidR="00F24C07" w:rsidRPr="00E4047B" w14:paraId="06E408CA" w14:textId="77777777" w:rsidTr="00AF431D">
        <w:trPr>
          <w:trHeight w:val="204"/>
        </w:trPr>
        <w:tc>
          <w:tcPr>
            <w:tcW w:w="2977" w:type="dxa"/>
            <w:tcBorders>
              <w:top w:val="nil"/>
              <w:left w:val="nil"/>
              <w:bottom w:val="nil"/>
              <w:right w:val="nil"/>
            </w:tcBorders>
            <w:shd w:val="clear" w:color="auto" w:fill="auto"/>
            <w:vAlign w:val="bottom"/>
            <w:hideMark/>
          </w:tcPr>
          <w:p w14:paraId="062E19FD" w14:textId="25DB3F0C" w:rsidR="00F24C07" w:rsidRPr="00E4047B" w:rsidRDefault="00F24C07" w:rsidP="00F24C07">
            <w:pPr>
              <w:spacing w:after="0" w:line="240" w:lineRule="auto"/>
              <w:ind w:left="113"/>
              <w:jc w:val="left"/>
              <w:rPr>
                <w:rFonts w:ascii="Arial" w:hAnsi="Arial" w:cs="Arial"/>
                <w:sz w:val="16"/>
                <w:szCs w:val="16"/>
              </w:rPr>
            </w:pPr>
            <w:r w:rsidRPr="00E4047B">
              <w:rPr>
                <w:rFonts w:ascii="Arial" w:hAnsi="Arial" w:cs="Arial"/>
                <w:sz w:val="16"/>
                <w:szCs w:val="16"/>
              </w:rPr>
              <w:t>Ordinary Annual Services (Appropriation Act No. 1 and Bill No.</w:t>
            </w:r>
            <w:r>
              <w:rPr>
                <w:rFonts w:ascii="Arial" w:hAnsi="Arial" w:cs="Arial"/>
                <w:sz w:val="16"/>
                <w:szCs w:val="16"/>
              </w:rPr>
              <w:t> </w:t>
            </w:r>
            <w:r w:rsidRPr="00E4047B">
              <w:rPr>
                <w:rFonts w:ascii="Arial" w:hAnsi="Arial" w:cs="Arial"/>
                <w:sz w:val="16"/>
                <w:szCs w:val="16"/>
              </w:rPr>
              <w:t>3)</w:t>
            </w:r>
          </w:p>
        </w:tc>
        <w:tc>
          <w:tcPr>
            <w:tcW w:w="928" w:type="dxa"/>
            <w:tcBorders>
              <w:top w:val="nil"/>
              <w:left w:val="nil"/>
              <w:bottom w:val="nil"/>
              <w:right w:val="nil"/>
            </w:tcBorders>
            <w:shd w:val="clear" w:color="auto" w:fill="auto"/>
            <w:noWrap/>
            <w:vAlign w:val="bottom"/>
            <w:hideMark/>
          </w:tcPr>
          <w:p w14:paraId="31A7B3E3" w14:textId="2F189B2B"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48,044 </w:t>
            </w:r>
          </w:p>
        </w:tc>
        <w:tc>
          <w:tcPr>
            <w:tcW w:w="977" w:type="dxa"/>
            <w:gridSpan w:val="2"/>
            <w:tcBorders>
              <w:top w:val="nil"/>
              <w:left w:val="nil"/>
              <w:bottom w:val="nil"/>
              <w:right w:val="nil"/>
            </w:tcBorders>
            <w:shd w:val="clear" w:color="auto" w:fill="E6E6E6"/>
            <w:noWrap/>
            <w:vAlign w:val="bottom"/>
            <w:hideMark/>
          </w:tcPr>
          <w:p w14:paraId="09ACCF0E" w14:textId="18652E25"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213,642 </w:t>
            </w:r>
          </w:p>
        </w:tc>
        <w:tc>
          <w:tcPr>
            <w:tcW w:w="931" w:type="dxa"/>
            <w:gridSpan w:val="2"/>
            <w:tcBorders>
              <w:top w:val="nil"/>
              <w:left w:val="nil"/>
              <w:bottom w:val="nil"/>
              <w:right w:val="nil"/>
            </w:tcBorders>
            <w:shd w:val="clear" w:color="auto" w:fill="auto"/>
            <w:noWrap/>
            <w:vAlign w:val="bottom"/>
            <w:hideMark/>
          </w:tcPr>
          <w:p w14:paraId="458FF96B" w14:textId="545A16CC"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213,762 </w:t>
            </w:r>
          </w:p>
        </w:tc>
        <w:tc>
          <w:tcPr>
            <w:tcW w:w="928" w:type="dxa"/>
            <w:gridSpan w:val="2"/>
            <w:tcBorders>
              <w:top w:val="nil"/>
              <w:left w:val="nil"/>
              <w:bottom w:val="nil"/>
              <w:right w:val="nil"/>
            </w:tcBorders>
            <w:shd w:val="clear" w:color="auto" w:fill="auto"/>
            <w:noWrap/>
            <w:vAlign w:val="bottom"/>
            <w:hideMark/>
          </w:tcPr>
          <w:p w14:paraId="3F605397" w14:textId="15C93ECF"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16,578 </w:t>
            </w:r>
          </w:p>
        </w:tc>
        <w:tc>
          <w:tcPr>
            <w:tcW w:w="929" w:type="dxa"/>
            <w:gridSpan w:val="2"/>
            <w:tcBorders>
              <w:top w:val="nil"/>
              <w:left w:val="nil"/>
              <w:bottom w:val="nil"/>
              <w:right w:val="nil"/>
            </w:tcBorders>
            <w:shd w:val="clear" w:color="auto" w:fill="auto"/>
            <w:noWrap/>
            <w:vAlign w:val="bottom"/>
            <w:hideMark/>
          </w:tcPr>
          <w:p w14:paraId="6D7399E6" w14:textId="6ABDDAE0"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22,324 </w:t>
            </w:r>
          </w:p>
        </w:tc>
      </w:tr>
      <w:tr w:rsidR="00F24C07" w:rsidRPr="00E4047B" w14:paraId="134E4D3A" w14:textId="77777777" w:rsidTr="00AF431D">
        <w:trPr>
          <w:trHeight w:val="204"/>
        </w:trPr>
        <w:tc>
          <w:tcPr>
            <w:tcW w:w="2977" w:type="dxa"/>
            <w:tcBorders>
              <w:top w:val="nil"/>
              <w:left w:val="nil"/>
              <w:bottom w:val="nil"/>
              <w:right w:val="nil"/>
            </w:tcBorders>
            <w:shd w:val="clear" w:color="auto" w:fill="auto"/>
            <w:noWrap/>
            <w:hideMark/>
          </w:tcPr>
          <w:p w14:paraId="7531E726" w14:textId="77777777" w:rsidR="00F24C07" w:rsidRPr="00E4047B" w:rsidRDefault="00F24C07" w:rsidP="00F24C07">
            <w:pPr>
              <w:spacing w:after="0" w:line="240" w:lineRule="auto"/>
              <w:ind w:left="113"/>
              <w:jc w:val="left"/>
              <w:rPr>
                <w:rFonts w:ascii="Arial" w:hAnsi="Arial" w:cs="Arial"/>
                <w:sz w:val="16"/>
                <w:szCs w:val="16"/>
              </w:rPr>
            </w:pPr>
            <w:r w:rsidRPr="00E4047B">
              <w:rPr>
                <w:rFonts w:ascii="Arial" w:hAnsi="Arial" w:cs="Arial"/>
                <w:sz w:val="16"/>
                <w:szCs w:val="16"/>
              </w:rPr>
              <w:t>Special Accounts</w:t>
            </w:r>
          </w:p>
        </w:tc>
        <w:tc>
          <w:tcPr>
            <w:tcW w:w="928" w:type="dxa"/>
            <w:tcBorders>
              <w:top w:val="nil"/>
              <w:left w:val="nil"/>
              <w:bottom w:val="nil"/>
              <w:right w:val="nil"/>
            </w:tcBorders>
            <w:shd w:val="clear" w:color="auto" w:fill="auto"/>
            <w:noWrap/>
            <w:vAlign w:val="bottom"/>
            <w:hideMark/>
          </w:tcPr>
          <w:p w14:paraId="167D9EBC" w14:textId="77777777" w:rsidR="00F24C07" w:rsidRPr="00F24C07" w:rsidRDefault="00F24C07" w:rsidP="00F24C07">
            <w:pPr>
              <w:spacing w:after="0" w:line="240" w:lineRule="auto"/>
              <w:ind w:firstLineChars="100" w:firstLine="160"/>
              <w:jc w:val="right"/>
              <w:rPr>
                <w:rFonts w:ascii="Arial" w:hAnsi="Arial" w:cs="Arial"/>
                <w:sz w:val="16"/>
                <w:szCs w:val="16"/>
              </w:rPr>
            </w:pPr>
          </w:p>
        </w:tc>
        <w:tc>
          <w:tcPr>
            <w:tcW w:w="977" w:type="dxa"/>
            <w:gridSpan w:val="2"/>
            <w:tcBorders>
              <w:top w:val="nil"/>
              <w:left w:val="nil"/>
              <w:bottom w:val="nil"/>
              <w:right w:val="nil"/>
            </w:tcBorders>
            <w:shd w:val="clear" w:color="auto" w:fill="E6E6E6"/>
            <w:noWrap/>
            <w:vAlign w:val="bottom"/>
            <w:hideMark/>
          </w:tcPr>
          <w:p w14:paraId="6C3F4492" w14:textId="00207E46"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w:t>
            </w:r>
          </w:p>
        </w:tc>
        <w:tc>
          <w:tcPr>
            <w:tcW w:w="931" w:type="dxa"/>
            <w:gridSpan w:val="2"/>
            <w:tcBorders>
              <w:top w:val="nil"/>
              <w:left w:val="nil"/>
              <w:bottom w:val="nil"/>
              <w:right w:val="nil"/>
            </w:tcBorders>
            <w:shd w:val="clear" w:color="auto" w:fill="auto"/>
            <w:noWrap/>
            <w:vAlign w:val="bottom"/>
            <w:hideMark/>
          </w:tcPr>
          <w:p w14:paraId="523690AC" w14:textId="77777777" w:rsidR="00F24C07" w:rsidRPr="00F24C07" w:rsidRDefault="00F24C07" w:rsidP="00F24C07">
            <w:pPr>
              <w:spacing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bottom"/>
            <w:hideMark/>
          </w:tcPr>
          <w:p w14:paraId="1258E53D" w14:textId="77777777" w:rsidR="00F24C07" w:rsidRPr="00F24C07" w:rsidRDefault="00F24C07" w:rsidP="00F24C07">
            <w:pPr>
              <w:spacing w:after="0" w:line="240" w:lineRule="auto"/>
              <w:jc w:val="right"/>
              <w:rPr>
                <w:rFonts w:ascii="Times New Roman" w:hAnsi="Times New Roman"/>
                <w:sz w:val="16"/>
                <w:szCs w:val="16"/>
              </w:rPr>
            </w:pPr>
          </w:p>
        </w:tc>
        <w:tc>
          <w:tcPr>
            <w:tcW w:w="929" w:type="dxa"/>
            <w:gridSpan w:val="2"/>
            <w:tcBorders>
              <w:top w:val="nil"/>
              <w:left w:val="nil"/>
              <w:bottom w:val="nil"/>
              <w:right w:val="nil"/>
            </w:tcBorders>
            <w:shd w:val="clear" w:color="auto" w:fill="auto"/>
            <w:noWrap/>
            <w:vAlign w:val="bottom"/>
            <w:hideMark/>
          </w:tcPr>
          <w:p w14:paraId="775F04F6" w14:textId="77777777" w:rsidR="00F24C07" w:rsidRPr="00F24C07" w:rsidRDefault="00F24C07" w:rsidP="00F24C07">
            <w:pPr>
              <w:spacing w:after="0" w:line="240" w:lineRule="auto"/>
              <w:jc w:val="right"/>
              <w:rPr>
                <w:rFonts w:ascii="Times New Roman" w:hAnsi="Times New Roman"/>
                <w:sz w:val="16"/>
                <w:szCs w:val="16"/>
              </w:rPr>
            </w:pPr>
          </w:p>
        </w:tc>
      </w:tr>
      <w:tr w:rsidR="00F24C07" w:rsidRPr="00E4047B" w14:paraId="3F107EFF" w14:textId="77777777" w:rsidTr="00AF431D">
        <w:trPr>
          <w:trHeight w:val="204"/>
        </w:trPr>
        <w:tc>
          <w:tcPr>
            <w:tcW w:w="2977" w:type="dxa"/>
            <w:tcBorders>
              <w:top w:val="nil"/>
              <w:left w:val="nil"/>
              <w:bottom w:val="nil"/>
              <w:right w:val="nil"/>
            </w:tcBorders>
            <w:shd w:val="clear" w:color="auto" w:fill="auto"/>
            <w:hideMark/>
          </w:tcPr>
          <w:p w14:paraId="3DF5674A" w14:textId="77777777" w:rsidR="00F24C07" w:rsidRPr="00E4047B" w:rsidRDefault="00F24C07" w:rsidP="00F24C07">
            <w:pPr>
              <w:spacing w:after="0" w:line="240" w:lineRule="auto"/>
              <w:ind w:left="227"/>
              <w:jc w:val="left"/>
              <w:rPr>
                <w:rFonts w:ascii="Arial" w:hAnsi="Arial" w:cs="Arial"/>
                <w:sz w:val="16"/>
                <w:szCs w:val="16"/>
              </w:rPr>
            </w:pPr>
            <w:r w:rsidRPr="00E4047B">
              <w:rPr>
                <w:rFonts w:ascii="Arial" w:hAnsi="Arial" w:cs="Arial"/>
                <w:sz w:val="16"/>
                <w:szCs w:val="16"/>
              </w:rPr>
              <w:t>Public Interest Telecommunications Services Special Account</w:t>
            </w:r>
          </w:p>
        </w:tc>
        <w:tc>
          <w:tcPr>
            <w:tcW w:w="928" w:type="dxa"/>
            <w:tcBorders>
              <w:top w:val="nil"/>
              <w:left w:val="nil"/>
              <w:bottom w:val="nil"/>
              <w:right w:val="nil"/>
            </w:tcBorders>
            <w:shd w:val="clear" w:color="auto" w:fill="auto"/>
            <w:noWrap/>
            <w:vAlign w:val="bottom"/>
            <w:hideMark/>
          </w:tcPr>
          <w:p w14:paraId="0A8844B9" w14:textId="77777777" w:rsidR="00F24C07" w:rsidRPr="00F24C07" w:rsidRDefault="00F24C07" w:rsidP="00F24C07">
            <w:pPr>
              <w:spacing w:after="0" w:line="240" w:lineRule="auto"/>
              <w:ind w:firstLineChars="200" w:firstLine="320"/>
              <w:jc w:val="right"/>
              <w:rPr>
                <w:rFonts w:ascii="Arial" w:hAnsi="Arial" w:cs="Arial"/>
                <w:sz w:val="16"/>
                <w:szCs w:val="16"/>
              </w:rPr>
            </w:pPr>
          </w:p>
        </w:tc>
        <w:tc>
          <w:tcPr>
            <w:tcW w:w="977" w:type="dxa"/>
            <w:gridSpan w:val="2"/>
            <w:tcBorders>
              <w:top w:val="nil"/>
              <w:left w:val="nil"/>
              <w:bottom w:val="nil"/>
              <w:right w:val="nil"/>
            </w:tcBorders>
            <w:shd w:val="clear" w:color="auto" w:fill="E6E6E6"/>
            <w:noWrap/>
            <w:vAlign w:val="bottom"/>
            <w:hideMark/>
          </w:tcPr>
          <w:p w14:paraId="28C12195" w14:textId="7CB22F09"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w:t>
            </w:r>
          </w:p>
        </w:tc>
        <w:tc>
          <w:tcPr>
            <w:tcW w:w="931" w:type="dxa"/>
            <w:gridSpan w:val="2"/>
            <w:tcBorders>
              <w:top w:val="nil"/>
              <w:left w:val="nil"/>
              <w:bottom w:val="nil"/>
              <w:right w:val="nil"/>
            </w:tcBorders>
            <w:shd w:val="clear" w:color="auto" w:fill="auto"/>
            <w:noWrap/>
            <w:vAlign w:val="bottom"/>
            <w:hideMark/>
          </w:tcPr>
          <w:p w14:paraId="143229B2" w14:textId="77777777" w:rsidR="00F24C07" w:rsidRPr="00F24C07" w:rsidRDefault="00F24C07" w:rsidP="00F24C07">
            <w:pPr>
              <w:spacing w:after="0" w:line="240" w:lineRule="auto"/>
              <w:jc w:val="right"/>
              <w:rPr>
                <w:rFonts w:ascii="Arial" w:hAnsi="Arial" w:cs="Arial"/>
                <w:sz w:val="16"/>
                <w:szCs w:val="16"/>
              </w:rPr>
            </w:pPr>
          </w:p>
        </w:tc>
        <w:tc>
          <w:tcPr>
            <w:tcW w:w="928" w:type="dxa"/>
            <w:gridSpan w:val="2"/>
            <w:tcBorders>
              <w:top w:val="nil"/>
              <w:left w:val="nil"/>
              <w:bottom w:val="nil"/>
              <w:right w:val="nil"/>
            </w:tcBorders>
            <w:shd w:val="clear" w:color="auto" w:fill="auto"/>
            <w:noWrap/>
            <w:vAlign w:val="bottom"/>
            <w:hideMark/>
          </w:tcPr>
          <w:p w14:paraId="63765FF6" w14:textId="77777777" w:rsidR="00F24C07" w:rsidRPr="00F24C07" w:rsidRDefault="00F24C07" w:rsidP="00F24C07">
            <w:pPr>
              <w:spacing w:after="0" w:line="240" w:lineRule="auto"/>
              <w:jc w:val="right"/>
              <w:rPr>
                <w:rFonts w:ascii="Times New Roman" w:hAnsi="Times New Roman"/>
                <w:sz w:val="16"/>
                <w:szCs w:val="16"/>
              </w:rPr>
            </w:pPr>
          </w:p>
        </w:tc>
        <w:tc>
          <w:tcPr>
            <w:tcW w:w="929" w:type="dxa"/>
            <w:gridSpan w:val="2"/>
            <w:tcBorders>
              <w:top w:val="nil"/>
              <w:left w:val="nil"/>
              <w:bottom w:val="nil"/>
              <w:right w:val="nil"/>
            </w:tcBorders>
            <w:shd w:val="clear" w:color="auto" w:fill="auto"/>
            <w:noWrap/>
            <w:vAlign w:val="bottom"/>
            <w:hideMark/>
          </w:tcPr>
          <w:p w14:paraId="4F4C5973" w14:textId="77777777" w:rsidR="00F24C07" w:rsidRPr="00F24C07" w:rsidRDefault="00F24C07" w:rsidP="00F24C07">
            <w:pPr>
              <w:spacing w:after="0" w:line="240" w:lineRule="auto"/>
              <w:jc w:val="right"/>
              <w:rPr>
                <w:rFonts w:ascii="Times New Roman" w:hAnsi="Times New Roman"/>
                <w:sz w:val="16"/>
                <w:szCs w:val="16"/>
              </w:rPr>
            </w:pPr>
          </w:p>
        </w:tc>
      </w:tr>
      <w:tr w:rsidR="00F24C07" w:rsidRPr="00E4047B" w14:paraId="7B7840D1" w14:textId="77777777" w:rsidTr="00AF431D">
        <w:trPr>
          <w:trHeight w:val="204"/>
        </w:trPr>
        <w:tc>
          <w:tcPr>
            <w:tcW w:w="2977" w:type="dxa"/>
            <w:tcBorders>
              <w:top w:val="nil"/>
              <w:left w:val="nil"/>
              <w:bottom w:val="nil"/>
              <w:right w:val="nil"/>
            </w:tcBorders>
            <w:shd w:val="clear" w:color="auto" w:fill="auto"/>
            <w:hideMark/>
          </w:tcPr>
          <w:p w14:paraId="76E4DDE4" w14:textId="77777777" w:rsidR="00F24C07" w:rsidRPr="00E4047B" w:rsidRDefault="00F24C07" w:rsidP="00F24C07">
            <w:pPr>
              <w:spacing w:after="0" w:line="240" w:lineRule="auto"/>
              <w:ind w:left="340"/>
              <w:jc w:val="left"/>
              <w:rPr>
                <w:rFonts w:ascii="Arial" w:hAnsi="Arial" w:cs="Arial"/>
                <w:sz w:val="16"/>
                <w:szCs w:val="16"/>
              </w:rPr>
            </w:pPr>
            <w:r w:rsidRPr="00E4047B">
              <w:rPr>
                <w:rFonts w:ascii="Arial" w:hAnsi="Arial" w:cs="Arial"/>
                <w:sz w:val="16"/>
                <w:szCs w:val="16"/>
              </w:rPr>
              <w:t>National Relay Service</w:t>
            </w:r>
          </w:p>
        </w:tc>
        <w:tc>
          <w:tcPr>
            <w:tcW w:w="928" w:type="dxa"/>
            <w:tcBorders>
              <w:top w:val="nil"/>
              <w:left w:val="nil"/>
              <w:bottom w:val="nil"/>
              <w:right w:val="nil"/>
            </w:tcBorders>
            <w:shd w:val="clear" w:color="auto" w:fill="auto"/>
            <w:noWrap/>
            <w:vAlign w:val="bottom"/>
            <w:hideMark/>
          </w:tcPr>
          <w:p w14:paraId="45216B30" w14:textId="17C31D15"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20,000 </w:t>
            </w:r>
          </w:p>
        </w:tc>
        <w:tc>
          <w:tcPr>
            <w:tcW w:w="977" w:type="dxa"/>
            <w:gridSpan w:val="2"/>
            <w:tcBorders>
              <w:top w:val="nil"/>
              <w:left w:val="nil"/>
              <w:bottom w:val="nil"/>
              <w:right w:val="nil"/>
            </w:tcBorders>
            <w:shd w:val="clear" w:color="auto" w:fill="E6E6E6"/>
            <w:noWrap/>
            <w:vAlign w:val="bottom"/>
            <w:hideMark/>
          </w:tcPr>
          <w:p w14:paraId="2E19F7EA" w14:textId="25AB690E"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20,000 </w:t>
            </w:r>
          </w:p>
        </w:tc>
        <w:tc>
          <w:tcPr>
            <w:tcW w:w="931" w:type="dxa"/>
            <w:gridSpan w:val="2"/>
            <w:tcBorders>
              <w:top w:val="nil"/>
              <w:left w:val="nil"/>
              <w:bottom w:val="nil"/>
              <w:right w:val="nil"/>
            </w:tcBorders>
            <w:shd w:val="clear" w:color="auto" w:fill="auto"/>
            <w:noWrap/>
            <w:vAlign w:val="bottom"/>
            <w:hideMark/>
          </w:tcPr>
          <w:p w14:paraId="35489FEE" w14:textId="1B54B6EC"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20,000 </w:t>
            </w:r>
          </w:p>
        </w:tc>
        <w:tc>
          <w:tcPr>
            <w:tcW w:w="928" w:type="dxa"/>
            <w:gridSpan w:val="2"/>
            <w:tcBorders>
              <w:top w:val="nil"/>
              <w:left w:val="nil"/>
              <w:bottom w:val="nil"/>
              <w:right w:val="nil"/>
            </w:tcBorders>
            <w:shd w:val="clear" w:color="auto" w:fill="auto"/>
            <w:noWrap/>
            <w:vAlign w:val="bottom"/>
            <w:hideMark/>
          </w:tcPr>
          <w:p w14:paraId="3E2C31B9" w14:textId="6BD76F69"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20,000 </w:t>
            </w:r>
          </w:p>
        </w:tc>
        <w:tc>
          <w:tcPr>
            <w:tcW w:w="929" w:type="dxa"/>
            <w:gridSpan w:val="2"/>
            <w:tcBorders>
              <w:top w:val="nil"/>
              <w:left w:val="nil"/>
              <w:bottom w:val="nil"/>
              <w:right w:val="nil"/>
            </w:tcBorders>
            <w:shd w:val="clear" w:color="auto" w:fill="auto"/>
            <w:noWrap/>
            <w:vAlign w:val="bottom"/>
            <w:hideMark/>
          </w:tcPr>
          <w:p w14:paraId="407C4BE4" w14:textId="40E50E04"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20,000 </w:t>
            </w:r>
          </w:p>
        </w:tc>
      </w:tr>
      <w:tr w:rsidR="00F24C07" w:rsidRPr="00E4047B" w14:paraId="2D951081" w14:textId="77777777" w:rsidTr="00AF431D">
        <w:trPr>
          <w:trHeight w:val="204"/>
        </w:trPr>
        <w:tc>
          <w:tcPr>
            <w:tcW w:w="2977" w:type="dxa"/>
            <w:tcBorders>
              <w:top w:val="nil"/>
              <w:left w:val="nil"/>
              <w:bottom w:val="nil"/>
              <w:right w:val="nil"/>
            </w:tcBorders>
            <w:shd w:val="clear" w:color="auto" w:fill="auto"/>
            <w:hideMark/>
          </w:tcPr>
          <w:p w14:paraId="4F5B8DB5" w14:textId="77777777" w:rsidR="00F24C07" w:rsidRPr="00E4047B" w:rsidRDefault="00F24C07" w:rsidP="00F24C07">
            <w:pPr>
              <w:spacing w:after="0" w:line="240" w:lineRule="auto"/>
              <w:ind w:left="340"/>
              <w:jc w:val="left"/>
              <w:rPr>
                <w:rFonts w:ascii="Arial" w:hAnsi="Arial" w:cs="Arial"/>
                <w:sz w:val="16"/>
                <w:szCs w:val="16"/>
              </w:rPr>
            </w:pPr>
            <w:r w:rsidRPr="00E4047B">
              <w:rPr>
                <w:rFonts w:ascii="Arial" w:hAnsi="Arial" w:cs="Arial"/>
                <w:sz w:val="16"/>
                <w:szCs w:val="16"/>
              </w:rPr>
              <w:t>Universal Service Obligation</w:t>
            </w:r>
          </w:p>
        </w:tc>
        <w:tc>
          <w:tcPr>
            <w:tcW w:w="928" w:type="dxa"/>
            <w:tcBorders>
              <w:top w:val="nil"/>
              <w:left w:val="nil"/>
              <w:bottom w:val="nil"/>
              <w:right w:val="nil"/>
            </w:tcBorders>
            <w:shd w:val="clear" w:color="auto" w:fill="auto"/>
            <w:noWrap/>
            <w:vAlign w:val="bottom"/>
            <w:hideMark/>
          </w:tcPr>
          <w:p w14:paraId="0658354B" w14:textId="6DF60287"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270,000 </w:t>
            </w:r>
          </w:p>
        </w:tc>
        <w:tc>
          <w:tcPr>
            <w:tcW w:w="977" w:type="dxa"/>
            <w:gridSpan w:val="2"/>
            <w:tcBorders>
              <w:top w:val="nil"/>
              <w:left w:val="nil"/>
              <w:bottom w:val="nil"/>
              <w:right w:val="nil"/>
            </w:tcBorders>
            <w:shd w:val="clear" w:color="auto" w:fill="E6E6E6"/>
            <w:noWrap/>
            <w:vAlign w:val="bottom"/>
            <w:hideMark/>
          </w:tcPr>
          <w:p w14:paraId="01013E3D" w14:textId="59471B27"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270,000 </w:t>
            </w:r>
          </w:p>
        </w:tc>
        <w:tc>
          <w:tcPr>
            <w:tcW w:w="931" w:type="dxa"/>
            <w:gridSpan w:val="2"/>
            <w:tcBorders>
              <w:top w:val="nil"/>
              <w:left w:val="nil"/>
              <w:bottom w:val="nil"/>
              <w:right w:val="nil"/>
            </w:tcBorders>
            <w:shd w:val="clear" w:color="auto" w:fill="auto"/>
            <w:noWrap/>
            <w:vAlign w:val="bottom"/>
            <w:hideMark/>
          </w:tcPr>
          <w:p w14:paraId="27BD6249" w14:textId="740F9B02"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270,000 </w:t>
            </w:r>
          </w:p>
        </w:tc>
        <w:tc>
          <w:tcPr>
            <w:tcW w:w="928" w:type="dxa"/>
            <w:gridSpan w:val="2"/>
            <w:tcBorders>
              <w:top w:val="nil"/>
              <w:left w:val="nil"/>
              <w:bottom w:val="nil"/>
              <w:right w:val="nil"/>
            </w:tcBorders>
            <w:shd w:val="clear" w:color="auto" w:fill="auto"/>
            <w:noWrap/>
            <w:vAlign w:val="bottom"/>
            <w:hideMark/>
          </w:tcPr>
          <w:p w14:paraId="27703FDF" w14:textId="31114140"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270,000 </w:t>
            </w:r>
          </w:p>
        </w:tc>
        <w:tc>
          <w:tcPr>
            <w:tcW w:w="929" w:type="dxa"/>
            <w:gridSpan w:val="2"/>
            <w:tcBorders>
              <w:top w:val="nil"/>
              <w:left w:val="nil"/>
              <w:bottom w:val="nil"/>
              <w:right w:val="nil"/>
            </w:tcBorders>
            <w:shd w:val="clear" w:color="auto" w:fill="auto"/>
            <w:noWrap/>
            <w:vAlign w:val="bottom"/>
            <w:hideMark/>
          </w:tcPr>
          <w:p w14:paraId="184F1994" w14:textId="05D4A494"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270,000 </w:t>
            </w:r>
          </w:p>
        </w:tc>
      </w:tr>
      <w:tr w:rsidR="00F24C07" w:rsidRPr="00E4047B" w14:paraId="5C3C54CA" w14:textId="77777777" w:rsidTr="00AF431D">
        <w:trPr>
          <w:trHeight w:val="204"/>
        </w:trPr>
        <w:tc>
          <w:tcPr>
            <w:tcW w:w="2977" w:type="dxa"/>
            <w:tcBorders>
              <w:top w:val="nil"/>
              <w:left w:val="nil"/>
              <w:bottom w:val="nil"/>
              <w:right w:val="nil"/>
            </w:tcBorders>
            <w:shd w:val="clear" w:color="auto" w:fill="auto"/>
            <w:hideMark/>
          </w:tcPr>
          <w:p w14:paraId="4AA6FCDE" w14:textId="77777777" w:rsidR="00F24C07" w:rsidRPr="00E4047B" w:rsidRDefault="00F24C07" w:rsidP="00F24C07">
            <w:pPr>
              <w:spacing w:after="0" w:line="240" w:lineRule="auto"/>
              <w:ind w:left="340"/>
              <w:jc w:val="left"/>
              <w:rPr>
                <w:rFonts w:ascii="Arial" w:hAnsi="Arial" w:cs="Arial"/>
                <w:sz w:val="16"/>
                <w:szCs w:val="16"/>
              </w:rPr>
            </w:pPr>
            <w:r w:rsidRPr="00E4047B">
              <w:rPr>
                <w:rFonts w:ascii="Arial" w:hAnsi="Arial" w:cs="Arial"/>
                <w:sz w:val="16"/>
                <w:szCs w:val="16"/>
              </w:rPr>
              <w:t>Other Public Interest Services</w:t>
            </w:r>
          </w:p>
        </w:tc>
        <w:tc>
          <w:tcPr>
            <w:tcW w:w="928" w:type="dxa"/>
            <w:tcBorders>
              <w:top w:val="nil"/>
              <w:left w:val="nil"/>
              <w:bottom w:val="nil"/>
              <w:right w:val="nil"/>
            </w:tcBorders>
            <w:shd w:val="clear" w:color="auto" w:fill="auto"/>
            <w:noWrap/>
            <w:vAlign w:val="bottom"/>
            <w:hideMark/>
          </w:tcPr>
          <w:p w14:paraId="033FA43C" w14:textId="13194737"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30,760 </w:t>
            </w:r>
          </w:p>
        </w:tc>
        <w:tc>
          <w:tcPr>
            <w:tcW w:w="977" w:type="dxa"/>
            <w:gridSpan w:val="2"/>
            <w:tcBorders>
              <w:top w:val="nil"/>
              <w:left w:val="nil"/>
              <w:bottom w:val="nil"/>
              <w:right w:val="nil"/>
            </w:tcBorders>
            <w:shd w:val="clear" w:color="auto" w:fill="E6E6E6"/>
            <w:noWrap/>
            <w:vAlign w:val="bottom"/>
            <w:hideMark/>
          </w:tcPr>
          <w:p w14:paraId="3B8C49D8" w14:textId="2D313848"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51,215 </w:t>
            </w:r>
          </w:p>
        </w:tc>
        <w:tc>
          <w:tcPr>
            <w:tcW w:w="931" w:type="dxa"/>
            <w:gridSpan w:val="2"/>
            <w:tcBorders>
              <w:top w:val="nil"/>
              <w:left w:val="nil"/>
              <w:bottom w:val="nil"/>
              <w:right w:val="nil"/>
            </w:tcBorders>
            <w:shd w:val="clear" w:color="auto" w:fill="auto"/>
            <w:noWrap/>
            <w:vAlign w:val="bottom"/>
            <w:hideMark/>
          </w:tcPr>
          <w:p w14:paraId="0FF9B838" w14:textId="0F207580"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39,064 </w:t>
            </w:r>
          </w:p>
        </w:tc>
        <w:tc>
          <w:tcPr>
            <w:tcW w:w="928" w:type="dxa"/>
            <w:gridSpan w:val="2"/>
            <w:tcBorders>
              <w:top w:val="nil"/>
              <w:left w:val="nil"/>
              <w:bottom w:val="nil"/>
              <w:right w:val="nil"/>
            </w:tcBorders>
            <w:shd w:val="clear" w:color="auto" w:fill="auto"/>
            <w:noWrap/>
            <w:vAlign w:val="bottom"/>
            <w:hideMark/>
          </w:tcPr>
          <w:p w14:paraId="7A1CF12A" w14:textId="55D2C26B"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22,250 </w:t>
            </w:r>
          </w:p>
        </w:tc>
        <w:tc>
          <w:tcPr>
            <w:tcW w:w="929" w:type="dxa"/>
            <w:gridSpan w:val="2"/>
            <w:tcBorders>
              <w:top w:val="nil"/>
              <w:left w:val="nil"/>
              <w:bottom w:val="nil"/>
              <w:right w:val="nil"/>
            </w:tcBorders>
            <w:shd w:val="clear" w:color="auto" w:fill="auto"/>
            <w:noWrap/>
            <w:vAlign w:val="bottom"/>
            <w:hideMark/>
          </w:tcPr>
          <w:p w14:paraId="435CDAA2" w14:textId="79EBEC82"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22,250 </w:t>
            </w:r>
          </w:p>
        </w:tc>
      </w:tr>
      <w:tr w:rsidR="00F24C07" w:rsidRPr="00E4047B" w14:paraId="0ED6FCFE" w14:textId="77777777" w:rsidTr="00AF431D">
        <w:trPr>
          <w:trHeight w:val="204"/>
        </w:trPr>
        <w:tc>
          <w:tcPr>
            <w:tcW w:w="2977" w:type="dxa"/>
            <w:tcBorders>
              <w:top w:val="nil"/>
              <w:left w:val="nil"/>
              <w:bottom w:val="nil"/>
              <w:right w:val="nil"/>
            </w:tcBorders>
            <w:shd w:val="clear" w:color="auto" w:fill="auto"/>
            <w:hideMark/>
          </w:tcPr>
          <w:p w14:paraId="118D9E5B" w14:textId="1AFF6644" w:rsidR="00F24C07" w:rsidRPr="00E4047B" w:rsidRDefault="00F24C07" w:rsidP="00F24C07">
            <w:pPr>
              <w:spacing w:after="0" w:line="240" w:lineRule="auto"/>
              <w:ind w:left="113"/>
              <w:jc w:val="left"/>
              <w:rPr>
                <w:rFonts w:ascii="Arial" w:hAnsi="Arial" w:cs="Arial"/>
                <w:sz w:val="16"/>
                <w:szCs w:val="16"/>
              </w:rPr>
            </w:pPr>
            <w:r w:rsidRPr="00E4047B">
              <w:rPr>
                <w:rFonts w:ascii="Arial" w:hAnsi="Arial" w:cs="Arial"/>
                <w:sz w:val="16"/>
                <w:szCs w:val="16"/>
              </w:rPr>
              <w:t xml:space="preserve">Payments to corporate entities </w:t>
            </w:r>
            <w:r w:rsidR="00637168">
              <w:rPr>
                <w:rFonts w:ascii="Arial" w:hAnsi="Arial" w:cs="Arial"/>
                <w:sz w:val="16"/>
                <w:szCs w:val="16"/>
                <w:vertAlign w:val="superscript"/>
              </w:rPr>
              <w:t>(a)(b</w:t>
            </w:r>
            <w:r w:rsidRPr="00501B04">
              <w:rPr>
                <w:rFonts w:ascii="Arial" w:hAnsi="Arial" w:cs="Arial"/>
                <w:sz w:val="16"/>
                <w:szCs w:val="16"/>
                <w:vertAlign w:val="superscript"/>
              </w:rPr>
              <w:t>)</w:t>
            </w:r>
          </w:p>
        </w:tc>
        <w:tc>
          <w:tcPr>
            <w:tcW w:w="928" w:type="dxa"/>
            <w:tcBorders>
              <w:top w:val="nil"/>
              <w:left w:val="nil"/>
              <w:bottom w:val="nil"/>
              <w:right w:val="nil"/>
            </w:tcBorders>
            <w:shd w:val="clear" w:color="auto" w:fill="auto"/>
            <w:noWrap/>
            <w:vAlign w:val="bottom"/>
            <w:hideMark/>
          </w:tcPr>
          <w:p w14:paraId="0100BBCA" w14:textId="41A49FBA"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1,362,287 </w:t>
            </w:r>
          </w:p>
        </w:tc>
        <w:tc>
          <w:tcPr>
            <w:tcW w:w="977" w:type="dxa"/>
            <w:gridSpan w:val="2"/>
            <w:tcBorders>
              <w:top w:val="nil"/>
              <w:left w:val="nil"/>
              <w:bottom w:val="nil"/>
              <w:right w:val="nil"/>
            </w:tcBorders>
            <w:shd w:val="clear" w:color="auto" w:fill="E6E6E6"/>
            <w:noWrap/>
            <w:vAlign w:val="bottom"/>
            <w:hideMark/>
          </w:tcPr>
          <w:p w14:paraId="1430E6BD" w14:textId="3AB0C66B"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1,380,118 </w:t>
            </w:r>
          </w:p>
        </w:tc>
        <w:tc>
          <w:tcPr>
            <w:tcW w:w="931" w:type="dxa"/>
            <w:gridSpan w:val="2"/>
            <w:tcBorders>
              <w:top w:val="nil"/>
              <w:left w:val="nil"/>
              <w:bottom w:val="nil"/>
              <w:right w:val="nil"/>
            </w:tcBorders>
            <w:shd w:val="clear" w:color="auto" w:fill="auto"/>
            <w:noWrap/>
            <w:vAlign w:val="bottom"/>
            <w:hideMark/>
          </w:tcPr>
          <w:p w14:paraId="33109689" w14:textId="0E73B012"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1,363,431 </w:t>
            </w:r>
          </w:p>
        </w:tc>
        <w:tc>
          <w:tcPr>
            <w:tcW w:w="928" w:type="dxa"/>
            <w:gridSpan w:val="2"/>
            <w:tcBorders>
              <w:top w:val="nil"/>
              <w:left w:val="nil"/>
              <w:bottom w:val="nil"/>
              <w:right w:val="nil"/>
            </w:tcBorders>
            <w:shd w:val="clear" w:color="auto" w:fill="auto"/>
            <w:noWrap/>
            <w:vAlign w:val="bottom"/>
            <w:hideMark/>
          </w:tcPr>
          <w:p w14:paraId="1E6BDBC1" w14:textId="49C5722D"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1,385,468 </w:t>
            </w:r>
          </w:p>
        </w:tc>
        <w:tc>
          <w:tcPr>
            <w:tcW w:w="929" w:type="dxa"/>
            <w:gridSpan w:val="2"/>
            <w:tcBorders>
              <w:top w:val="nil"/>
              <w:left w:val="nil"/>
              <w:bottom w:val="nil"/>
              <w:right w:val="nil"/>
            </w:tcBorders>
            <w:shd w:val="clear" w:color="auto" w:fill="auto"/>
            <w:noWrap/>
            <w:vAlign w:val="bottom"/>
            <w:hideMark/>
          </w:tcPr>
          <w:p w14:paraId="2ADA2C01" w14:textId="1BDE1B7D" w:rsidR="00F24C07" w:rsidRPr="00F24C07" w:rsidRDefault="00F24C07" w:rsidP="00F24C07">
            <w:pPr>
              <w:spacing w:after="0" w:line="240" w:lineRule="auto"/>
              <w:jc w:val="right"/>
              <w:rPr>
                <w:rFonts w:ascii="Arial" w:hAnsi="Arial" w:cs="Arial"/>
                <w:sz w:val="16"/>
                <w:szCs w:val="16"/>
              </w:rPr>
            </w:pPr>
            <w:r w:rsidRPr="00F24C07">
              <w:rPr>
                <w:rFonts w:ascii="Arial" w:hAnsi="Arial" w:cs="Arial"/>
                <w:sz w:val="16"/>
                <w:szCs w:val="16"/>
              </w:rPr>
              <w:t xml:space="preserve">1,400,469 </w:t>
            </w:r>
          </w:p>
        </w:tc>
      </w:tr>
      <w:tr w:rsidR="00F24C07" w:rsidRPr="00E4047B" w14:paraId="283B15AE" w14:textId="77777777" w:rsidTr="00AF431D">
        <w:trPr>
          <w:trHeight w:val="204"/>
        </w:trPr>
        <w:tc>
          <w:tcPr>
            <w:tcW w:w="2977" w:type="dxa"/>
            <w:tcBorders>
              <w:top w:val="nil"/>
              <w:left w:val="nil"/>
              <w:bottom w:val="nil"/>
              <w:right w:val="nil"/>
            </w:tcBorders>
            <w:shd w:val="clear" w:color="auto" w:fill="auto"/>
            <w:hideMark/>
          </w:tcPr>
          <w:p w14:paraId="68B45734" w14:textId="6E33DCE3" w:rsidR="00F24C07" w:rsidRPr="00E4047B" w:rsidRDefault="00F24C07" w:rsidP="00637168">
            <w:pPr>
              <w:spacing w:after="0" w:line="240" w:lineRule="auto"/>
              <w:ind w:left="113"/>
              <w:jc w:val="left"/>
              <w:outlineLvl w:val="0"/>
              <w:rPr>
                <w:rFonts w:ascii="Arial" w:hAnsi="Arial" w:cs="Arial"/>
                <w:sz w:val="16"/>
                <w:szCs w:val="16"/>
              </w:rPr>
            </w:pPr>
            <w:r w:rsidRPr="00E4047B">
              <w:rPr>
                <w:rFonts w:ascii="Arial" w:hAnsi="Arial" w:cs="Arial"/>
                <w:sz w:val="16"/>
                <w:szCs w:val="16"/>
              </w:rPr>
              <w:t xml:space="preserve">Expenses not requiring appropriation in the Budget year </w:t>
            </w:r>
            <w:r w:rsidRPr="00501B04">
              <w:rPr>
                <w:rFonts w:ascii="Arial" w:hAnsi="Arial" w:cs="Arial"/>
                <w:sz w:val="16"/>
                <w:szCs w:val="16"/>
                <w:vertAlign w:val="superscript"/>
              </w:rPr>
              <w:t>(</w:t>
            </w:r>
            <w:r w:rsidR="00637168">
              <w:rPr>
                <w:rFonts w:ascii="Arial" w:hAnsi="Arial" w:cs="Arial"/>
                <w:sz w:val="16"/>
                <w:szCs w:val="16"/>
                <w:vertAlign w:val="superscript"/>
              </w:rPr>
              <w:t>c</w:t>
            </w:r>
            <w:r w:rsidRPr="00501B04">
              <w:rPr>
                <w:rFonts w:ascii="Arial" w:hAnsi="Arial" w:cs="Arial"/>
                <w:sz w:val="16"/>
                <w:szCs w:val="16"/>
                <w:vertAlign w:val="superscript"/>
              </w:rPr>
              <w:t>)</w:t>
            </w:r>
          </w:p>
        </w:tc>
        <w:tc>
          <w:tcPr>
            <w:tcW w:w="928" w:type="dxa"/>
            <w:tcBorders>
              <w:top w:val="nil"/>
              <w:left w:val="nil"/>
              <w:bottom w:val="nil"/>
              <w:right w:val="nil"/>
            </w:tcBorders>
            <w:shd w:val="clear" w:color="auto" w:fill="auto"/>
            <w:noWrap/>
            <w:vAlign w:val="bottom"/>
            <w:hideMark/>
          </w:tcPr>
          <w:p w14:paraId="69824D8D" w14:textId="20963B42" w:rsidR="00F24C07" w:rsidRPr="00F24C07" w:rsidRDefault="00F24C07" w:rsidP="00F24C07">
            <w:pPr>
              <w:spacing w:after="0" w:line="240" w:lineRule="auto"/>
              <w:jc w:val="right"/>
              <w:outlineLvl w:val="0"/>
              <w:rPr>
                <w:rFonts w:ascii="Arial" w:hAnsi="Arial" w:cs="Arial"/>
                <w:sz w:val="16"/>
                <w:szCs w:val="16"/>
              </w:rPr>
            </w:pPr>
            <w:r w:rsidRPr="00F24C07">
              <w:rPr>
                <w:rFonts w:ascii="Arial" w:hAnsi="Arial" w:cs="Arial"/>
                <w:sz w:val="16"/>
                <w:szCs w:val="16"/>
              </w:rPr>
              <w:t xml:space="preserve">443,028 </w:t>
            </w:r>
          </w:p>
        </w:tc>
        <w:tc>
          <w:tcPr>
            <w:tcW w:w="977" w:type="dxa"/>
            <w:gridSpan w:val="2"/>
            <w:tcBorders>
              <w:top w:val="nil"/>
              <w:left w:val="nil"/>
              <w:bottom w:val="nil"/>
              <w:right w:val="nil"/>
            </w:tcBorders>
            <w:shd w:val="clear" w:color="auto" w:fill="E6E6E6"/>
            <w:noWrap/>
            <w:vAlign w:val="bottom"/>
            <w:hideMark/>
          </w:tcPr>
          <w:p w14:paraId="46E612B5" w14:textId="55A72F1E" w:rsidR="00F24C07" w:rsidRPr="00F24C07" w:rsidRDefault="00F24C07" w:rsidP="00F24C07">
            <w:pPr>
              <w:spacing w:after="0" w:line="240" w:lineRule="auto"/>
              <w:jc w:val="right"/>
              <w:outlineLvl w:val="0"/>
              <w:rPr>
                <w:rFonts w:ascii="Arial" w:hAnsi="Arial" w:cs="Arial"/>
                <w:sz w:val="16"/>
                <w:szCs w:val="16"/>
              </w:rPr>
            </w:pPr>
            <w:r w:rsidRPr="00F24C07">
              <w:rPr>
                <w:rFonts w:ascii="Arial" w:hAnsi="Arial" w:cs="Arial"/>
                <w:sz w:val="16"/>
                <w:szCs w:val="16"/>
              </w:rPr>
              <w:t xml:space="preserve">790,157 </w:t>
            </w:r>
          </w:p>
        </w:tc>
        <w:tc>
          <w:tcPr>
            <w:tcW w:w="931" w:type="dxa"/>
            <w:gridSpan w:val="2"/>
            <w:tcBorders>
              <w:top w:val="nil"/>
              <w:left w:val="nil"/>
              <w:bottom w:val="nil"/>
              <w:right w:val="nil"/>
            </w:tcBorders>
            <w:shd w:val="clear" w:color="auto" w:fill="auto"/>
            <w:noWrap/>
            <w:vAlign w:val="bottom"/>
            <w:hideMark/>
          </w:tcPr>
          <w:p w14:paraId="03688698" w14:textId="41CACB5A" w:rsidR="00F24C07" w:rsidRPr="00F24C07" w:rsidRDefault="00F24C07" w:rsidP="00F24C07">
            <w:pPr>
              <w:spacing w:after="0" w:line="240" w:lineRule="auto"/>
              <w:jc w:val="right"/>
              <w:outlineLvl w:val="0"/>
              <w:rPr>
                <w:rFonts w:ascii="Arial" w:hAnsi="Arial" w:cs="Arial"/>
                <w:sz w:val="16"/>
                <w:szCs w:val="16"/>
              </w:rPr>
            </w:pPr>
            <w:r w:rsidRPr="00F24C07">
              <w:rPr>
                <w:rFonts w:ascii="Arial" w:hAnsi="Arial" w:cs="Arial"/>
                <w:sz w:val="16"/>
                <w:szCs w:val="16"/>
              </w:rPr>
              <w:t xml:space="preserve">841,054 </w:t>
            </w:r>
          </w:p>
        </w:tc>
        <w:tc>
          <w:tcPr>
            <w:tcW w:w="928" w:type="dxa"/>
            <w:gridSpan w:val="2"/>
            <w:tcBorders>
              <w:top w:val="nil"/>
              <w:left w:val="nil"/>
              <w:bottom w:val="nil"/>
              <w:right w:val="nil"/>
            </w:tcBorders>
            <w:shd w:val="clear" w:color="auto" w:fill="auto"/>
            <w:noWrap/>
            <w:vAlign w:val="bottom"/>
            <w:hideMark/>
          </w:tcPr>
          <w:p w14:paraId="5C002AB7" w14:textId="2F8991B9" w:rsidR="00F24C07" w:rsidRPr="00F24C07" w:rsidRDefault="00F24C07" w:rsidP="00F24C07">
            <w:pPr>
              <w:spacing w:after="0" w:line="240" w:lineRule="auto"/>
              <w:jc w:val="right"/>
              <w:outlineLvl w:val="0"/>
              <w:rPr>
                <w:rFonts w:ascii="Arial" w:hAnsi="Arial" w:cs="Arial"/>
                <w:sz w:val="16"/>
                <w:szCs w:val="16"/>
              </w:rPr>
            </w:pPr>
            <w:r w:rsidRPr="00F24C07">
              <w:rPr>
                <w:rFonts w:ascii="Arial" w:hAnsi="Arial" w:cs="Arial"/>
                <w:sz w:val="16"/>
                <w:szCs w:val="16"/>
              </w:rPr>
              <w:t xml:space="preserve">815,561 </w:t>
            </w:r>
          </w:p>
        </w:tc>
        <w:tc>
          <w:tcPr>
            <w:tcW w:w="929" w:type="dxa"/>
            <w:gridSpan w:val="2"/>
            <w:tcBorders>
              <w:top w:val="nil"/>
              <w:left w:val="nil"/>
              <w:bottom w:val="nil"/>
              <w:right w:val="nil"/>
            </w:tcBorders>
            <w:shd w:val="clear" w:color="auto" w:fill="auto"/>
            <w:noWrap/>
            <w:vAlign w:val="bottom"/>
            <w:hideMark/>
          </w:tcPr>
          <w:p w14:paraId="0D73A2D9" w14:textId="0CCB4AC8" w:rsidR="00F24C07" w:rsidRPr="00F24C07" w:rsidRDefault="00F24C07" w:rsidP="00F24C07">
            <w:pPr>
              <w:spacing w:after="0" w:line="240" w:lineRule="auto"/>
              <w:jc w:val="right"/>
              <w:outlineLvl w:val="0"/>
              <w:rPr>
                <w:rFonts w:ascii="Arial" w:hAnsi="Arial" w:cs="Arial"/>
                <w:sz w:val="16"/>
                <w:szCs w:val="16"/>
              </w:rPr>
            </w:pPr>
            <w:r w:rsidRPr="00F24C07">
              <w:rPr>
                <w:rFonts w:ascii="Arial" w:hAnsi="Arial" w:cs="Arial"/>
                <w:sz w:val="16"/>
                <w:szCs w:val="16"/>
              </w:rPr>
              <w:t xml:space="preserve">815,608 </w:t>
            </w:r>
          </w:p>
        </w:tc>
      </w:tr>
      <w:tr w:rsidR="00F24C07" w:rsidRPr="00E4047B" w14:paraId="6EF22329" w14:textId="77777777" w:rsidTr="00AF431D">
        <w:trPr>
          <w:trHeight w:val="204"/>
        </w:trPr>
        <w:tc>
          <w:tcPr>
            <w:tcW w:w="2977" w:type="dxa"/>
            <w:tcBorders>
              <w:top w:val="nil"/>
              <w:left w:val="nil"/>
              <w:bottom w:val="nil"/>
              <w:right w:val="nil"/>
            </w:tcBorders>
            <w:shd w:val="clear" w:color="auto" w:fill="auto"/>
            <w:noWrap/>
            <w:hideMark/>
          </w:tcPr>
          <w:p w14:paraId="7DBB8C8C" w14:textId="77777777" w:rsidR="00F24C07" w:rsidRPr="00E4047B" w:rsidRDefault="00F24C07" w:rsidP="00F24C07">
            <w:pPr>
              <w:spacing w:after="0" w:line="240" w:lineRule="auto"/>
              <w:jc w:val="left"/>
              <w:outlineLvl w:val="0"/>
              <w:rPr>
                <w:rFonts w:ascii="Arial" w:hAnsi="Arial" w:cs="Arial"/>
                <w:b/>
                <w:bCs/>
                <w:sz w:val="16"/>
                <w:szCs w:val="16"/>
              </w:rPr>
            </w:pPr>
            <w:r w:rsidRPr="00E4047B">
              <w:rPr>
                <w:rFonts w:ascii="Arial" w:hAnsi="Arial" w:cs="Arial"/>
                <w:b/>
                <w:bCs/>
                <w:sz w:val="16"/>
                <w:szCs w:val="16"/>
              </w:rPr>
              <w:t>Total expenses for Program 5.1</w:t>
            </w:r>
          </w:p>
        </w:tc>
        <w:tc>
          <w:tcPr>
            <w:tcW w:w="928" w:type="dxa"/>
            <w:tcBorders>
              <w:top w:val="single" w:sz="4" w:space="0" w:color="auto"/>
              <w:left w:val="nil"/>
              <w:bottom w:val="single" w:sz="4" w:space="0" w:color="auto"/>
              <w:right w:val="nil"/>
            </w:tcBorders>
            <w:shd w:val="clear" w:color="auto" w:fill="auto"/>
            <w:noWrap/>
            <w:vAlign w:val="bottom"/>
            <w:hideMark/>
          </w:tcPr>
          <w:p w14:paraId="1F0BDCFC" w14:textId="273F75AE" w:rsidR="00F24C07" w:rsidRPr="00F24C07" w:rsidRDefault="00F24C07" w:rsidP="00F24C07">
            <w:pPr>
              <w:spacing w:after="0" w:line="240" w:lineRule="auto"/>
              <w:jc w:val="right"/>
              <w:outlineLvl w:val="0"/>
              <w:rPr>
                <w:rFonts w:ascii="Arial" w:hAnsi="Arial" w:cs="Arial"/>
                <w:b/>
                <w:bCs/>
                <w:sz w:val="16"/>
                <w:szCs w:val="16"/>
              </w:rPr>
            </w:pPr>
            <w:r w:rsidRPr="00F24C07">
              <w:rPr>
                <w:rFonts w:ascii="Arial" w:hAnsi="Arial" w:cs="Arial"/>
                <w:b/>
                <w:bCs/>
                <w:sz w:val="16"/>
                <w:szCs w:val="16"/>
              </w:rPr>
              <w:t xml:space="preserve">2,174,119 </w:t>
            </w:r>
          </w:p>
        </w:tc>
        <w:tc>
          <w:tcPr>
            <w:tcW w:w="977" w:type="dxa"/>
            <w:gridSpan w:val="2"/>
            <w:tcBorders>
              <w:top w:val="single" w:sz="4" w:space="0" w:color="auto"/>
              <w:left w:val="nil"/>
              <w:bottom w:val="single" w:sz="4" w:space="0" w:color="auto"/>
              <w:right w:val="nil"/>
            </w:tcBorders>
            <w:shd w:val="clear" w:color="auto" w:fill="E6E6E6"/>
            <w:noWrap/>
            <w:vAlign w:val="bottom"/>
            <w:hideMark/>
          </w:tcPr>
          <w:p w14:paraId="2529686B" w14:textId="311F623A" w:rsidR="00F24C07" w:rsidRPr="00F24C07" w:rsidRDefault="00F24C07" w:rsidP="00F24C07">
            <w:pPr>
              <w:spacing w:after="0" w:line="240" w:lineRule="auto"/>
              <w:jc w:val="right"/>
              <w:outlineLvl w:val="0"/>
              <w:rPr>
                <w:rFonts w:ascii="Arial" w:hAnsi="Arial" w:cs="Arial"/>
                <w:b/>
                <w:bCs/>
                <w:sz w:val="16"/>
                <w:szCs w:val="16"/>
              </w:rPr>
            </w:pPr>
            <w:r w:rsidRPr="00F24C07">
              <w:rPr>
                <w:rFonts w:ascii="Arial" w:hAnsi="Arial" w:cs="Arial"/>
                <w:b/>
                <w:bCs/>
                <w:sz w:val="16"/>
                <w:szCs w:val="16"/>
              </w:rPr>
              <w:t xml:space="preserve">2,725,132 </w:t>
            </w:r>
          </w:p>
        </w:tc>
        <w:tc>
          <w:tcPr>
            <w:tcW w:w="931" w:type="dxa"/>
            <w:gridSpan w:val="2"/>
            <w:tcBorders>
              <w:top w:val="single" w:sz="4" w:space="0" w:color="auto"/>
              <w:left w:val="nil"/>
              <w:bottom w:val="single" w:sz="4" w:space="0" w:color="auto"/>
              <w:right w:val="nil"/>
            </w:tcBorders>
            <w:shd w:val="clear" w:color="auto" w:fill="auto"/>
            <w:noWrap/>
            <w:vAlign w:val="bottom"/>
            <w:hideMark/>
          </w:tcPr>
          <w:p w14:paraId="4097A58A" w14:textId="7FEA0B66" w:rsidR="00F24C07" w:rsidRPr="00F24C07" w:rsidRDefault="00F24C07" w:rsidP="00F24C07">
            <w:pPr>
              <w:spacing w:after="0" w:line="240" w:lineRule="auto"/>
              <w:jc w:val="right"/>
              <w:outlineLvl w:val="0"/>
              <w:rPr>
                <w:rFonts w:ascii="Arial" w:hAnsi="Arial" w:cs="Arial"/>
                <w:b/>
                <w:bCs/>
                <w:sz w:val="16"/>
                <w:szCs w:val="16"/>
              </w:rPr>
            </w:pPr>
            <w:r w:rsidRPr="00F24C07">
              <w:rPr>
                <w:rFonts w:ascii="Arial" w:hAnsi="Arial" w:cs="Arial"/>
                <w:b/>
                <w:bCs/>
                <w:sz w:val="16"/>
                <w:szCs w:val="16"/>
              </w:rPr>
              <w:t xml:space="preserve">2,747,311 </w:t>
            </w:r>
          </w:p>
        </w:tc>
        <w:tc>
          <w:tcPr>
            <w:tcW w:w="928" w:type="dxa"/>
            <w:gridSpan w:val="2"/>
            <w:tcBorders>
              <w:top w:val="single" w:sz="4" w:space="0" w:color="auto"/>
              <w:left w:val="nil"/>
              <w:bottom w:val="single" w:sz="4" w:space="0" w:color="auto"/>
              <w:right w:val="nil"/>
            </w:tcBorders>
            <w:shd w:val="clear" w:color="auto" w:fill="auto"/>
            <w:noWrap/>
            <w:vAlign w:val="bottom"/>
            <w:hideMark/>
          </w:tcPr>
          <w:p w14:paraId="14B682B7" w14:textId="148AE3EF" w:rsidR="00F24C07" w:rsidRPr="00F24C07" w:rsidRDefault="00F24C07" w:rsidP="00F24C07">
            <w:pPr>
              <w:spacing w:after="0" w:line="240" w:lineRule="auto"/>
              <w:jc w:val="right"/>
              <w:outlineLvl w:val="0"/>
              <w:rPr>
                <w:rFonts w:ascii="Arial" w:hAnsi="Arial" w:cs="Arial"/>
                <w:b/>
                <w:bCs/>
                <w:sz w:val="16"/>
                <w:szCs w:val="16"/>
              </w:rPr>
            </w:pPr>
            <w:r w:rsidRPr="00F24C07">
              <w:rPr>
                <w:rFonts w:ascii="Arial" w:hAnsi="Arial" w:cs="Arial"/>
                <w:b/>
                <w:bCs/>
                <w:sz w:val="16"/>
                <w:szCs w:val="16"/>
              </w:rPr>
              <w:t xml:space="preserve">2,529,857 </w:t>
            </w:r>
          </w:p>
        </w:tc>
        <w:tc>
          <w:tcPr>
            <w:tcW w:w="929" w:type="dxa"/>
            <w:gridSpan w:val="2"/>
            <w:tcBorders>
              <w:top w:val="single" w:sz="4" w:space="0" w:color="auto"/>
              <w:left w:val="nil"/>
              <w:bottom w:val="single" w:sz="4" w:space="0" w:color="auto"/>
              <w:right w:val="nil"/>
            </w:tcBorders>
            <w:shd w:val="clear" w:color="auto" w:fill="auto"/>
            <w:noWrap/>
            <w:vAlign w:val="bottom"/>
            <w:hideMark/>
          </w:tcPr>
          <w:p w14:paraId="38C16951" w14:textId="38D3950C" w:rsidR="00F24C07" w:rsidRPr="00F24C07" w:rsidRDefault="00F24C07" w:rsidP="00F24C07">
            <w:pPr>
              <w:spacing w:after="0" w:line="240" w:lineRule="auto"/>
              <w:jc w:val="right"/>
              <w:outlineLvl w:val="0"/>
              <w:rPr>
                <w:rFonts w:ascii="Arial" w:hAnsi="Arial" w:cs="Arial"/>
                <w:b/>
                <w:bCs/>
                <w:sz w:val="16"/>
                <w:szCs w:val="16"/>
              </w:rPr>
            </w:pPr>
            <w:r w:rsidRPr="00F24C07">
              <w:rPr>
                <w:rFonts w:ascii="Arial" w:hAnsi="Arial" w:cs="Arial"/>
                <w:b/>
                <w:bCs/>
                <w:sz w:val="16"/>
                <w:szCs w:val="16"/>
              </w:rPr>
              <w:t xml:space="preserve">2,550,651 </w:t>
            </w:r>
          </w:p>
        </w:tc>
      </w:tr>
      <w:tr w:rsidR="00AF431D" w:rsidRPr="00E4047B" w14:paraId="7C5363FA" w14:textId="77777777" w:rsidTr="00AF431D">
        <w:trPr>
          <w:gridAfter w:val="1"/>
          <w:wAfter w:w="21" w:type="dxa"/>
          <w:trHeight w:val="204"/>
        </w:trPr>
        <w:tc>
          <w:tcPr>
            <w:tcW w:w="7649" w:type="dxa"/>
            <w:gridSpan w:val="9"/>
            <w:tcBorders>
              <w:top w:val="single" w:sz="4" w:space="0" w:color="auto"/>
              <w:left w:val="nil"/>
              <w:bottom w:val="single" w:sz="4" w:space="0" w:color="auto"/>
              <w:right w:val="nil"/>
            </w:tcBorders>
            <w:shd w:val="clear" w:color="auto" w:fill="E6E6E6"/>
            <w:noWrap/>
            <w:vAlign w:val="bottom"/>
            <w:hideMark/>
          </w:tcPr>
          <w:p w14:paraId="79D1AFD4" w14:textId="5AAED3DD" w:rsidR="00AF431D" w:rsidRPr="00AF431D" w:rsidRDefault="00AF431D" w:rsidP="00501B04">
            <w:pPr>
              <w:spacing w:after="20" w:line="240" w:lineRule="auto"/>
              <w:jc w:val="left"/>
              <w:rPr>
                <w:rFonts w:ascii="Arial" w:hAnsi="Arial" w:cs="Arial"/>
                <w:b/>
                <w:bCs/>
                <w:sz w:val="16"/>
                <w:szCs w:val="16"/>
              </w:rPr>
            </w:pPr>
            <w:r w:rsidRPr="00E4047B">
              <w:rPr>
                <w:rFonts w:ascii="Arial" w:hAnsi="Arial" w:cs="Arial"/>
                <w:b/>
                <w:bCs/>
                <w:sz w:val="16"/>
                <w:szCs w:val="16"/>
              </w:rPr>
              <w:t>Program 5.2 Program Support for Outcome 5</w:t>
            </w:r>
          </w:p>
        </w:tc>
      </w:tr>
      <w:tr w:rsidR="00E4047B" w:rsidRPr="00E4047B" w14:paraId="160DF86E" w14:textId="77777777" w:rsidTr="00F24C07">
        <w:trPr>
          <w:gridAfter w:val="1"/>
          <w:wAfter w:w="21" w:type="dxa"/>
          <w:trHeight w:val="204"/>
        </w:trPr>
        <w:tc>
          <w:tcPr>
            <w:tcW w:w="2977" w:type="dxa"/>
            <w:tcBorders>
              <w:top w:val="nil"/>
              <w:left w:val="nil"/>
              <w:bottom w:val="nil"/>
              <w:right w:val="nil"/>
            </w:tcBorders>
            <w:shd w:val="clear" w:color="auto" w:fill="auto"/>
            <w:noWrap/>
            <w:hideMark/>
          </w:tcPr>
          <w:p w14:paraId="506A2E35" w14:textId="77777777" w:rsidR="00E4047B" w:rsidRPr="00E4047B" w:rsidRDefault="00E4047B" w:rsidP="00E4047B">
            <w:pPr>
              <w:spacing w:after="0" w:line="240" w:lineRule="auto"/>
              <w:jc w:val="left"/>
              <w:rPr>
                <w:rFonts w:ascii="Arial" w:hAnsi="Arial" w:cs="Arial"/>
                <w:sz w:val="16"/>
                <w:szCs w:val="16"/>
              </w:rPr>
            </w:pPr>
            <w:r w:rsidRPr="00E4047B">
              <w:rPr>
                <w:rFonts w:ascii="Arial" w:hAnsi="Arial" w:cs="Arial"/>
                <w:sz w:val="16"/>
                <w:szCs w:val="16"/>
              </w:rPr>
              <w:t>Departmental expenses</w:t>
            </w:r>
          </w:p>
        </w:tc>
        <w:tc>
          <w:tcPr>
            <w:tcW w:w="928" w:type="dxa"/>
            <w:tcBorders>
              <w:top w:val="nil"/>
              <w:left w:val="nil"/>
              <w:bottom w:val="nil"/>
              <w:right w:val="nil"/>
            </w:tcBorders>
            <w:shd w:val="clear" w:color="auto" w:fill="auto"/>
            <w:noWrap/>
            <w:vAlign w:val="bottom"/>
            <w:hideMark/>
          </w:tcPr>
          <w:p w14:paraId="147B7B54" w14:textId="77777777" w:rsidR="00E4047B" w:rsidRPr="00E4047B" w:rsidRDefault="00E4047B" w:rsidP="00501B04">
            <w:pPr>
              <w:spacing w:after="0" w:line="240" w:lineRule="auto"/>
              <w:jc w:val="right"/>
              <w:rPr>
                <w:rFonts w:ascii="Arial" w:hAnsi="Arial" w:cs="Arial"/>
                <w:sz w:val="16"/>
                <w:szCs w:val="16"/>
              </w:rPr>
            </w:pPr>
          </w:p>
        </w:tc>
        <w:tc>
          <w:tcPr>
            <w:tcW w:w="957" w:type="dxa"/>
            <w:tcBorders>
              <w:top w:val="nil"/>
              <w:left w:val="nil"/>
              <w:bottom w:val="nil"/>
              <w:right w:val="nil"/>
            </w:tcBorders>
            <w:shd w:val="clear" w:color="auto" w:fill="E6E6E6"/>
            <w:noWrap/>
            <w:vAlign w:val="bottom"/>
            <w:hideMark/>
          </w:tcPr>
          <w:p w14:paraId="6036F159" w14:textId="05E94BA6" w:rsidR="00E4047B" w:rsidRPr="00E4047B" w:rsidRDefault="00E4047B" w:rsidP="00501B04">
            <w:pPr>
              <w:spacing w:after="0" w:line="240" w:lineRule="auto"/>
              <w:jc w:val="right"/>
              <w:rPr>
                <w:rFonts w:ascii="Arial" w:hAnsi="Arial" w:cs="Arial"/>
                <w:sz w:val="16"/>
                <w:szCs w:val="16"/>
              </w:rPr>
            </w:pPr>
          </w:p>
        </w:tc>
        <w:tc>
          <w:tcPr>
            <w:tcW w:w="931" w:type="dxa"/>
            <w:gridSpan w:val="2"/>
            <w:tcBorders>
              <w:top w:val="nil"/>
              <w:left w:val="nil"/>
              <w:bottom w:val="nil"/>
              <w:right w:val="nil"/>
            </w:tcBorders>
            <w:shd w:val="clear" w:color="auto" w:fill="auto"/>
            <w:noWrap/>
            <w:vAlign w:val="bottom"/>
            <w:hideMark/>
          </w:tcPr>
          <w:p w14:paraId="36D5C723" w14:textId="77777777" w:rsidR="00E4047B" w:rsidRPr="00E4047B" w:rsidRDefault="00E4047B" w:rsidP="00501B04">
            <w:pPr>
              <w:spacing w:after="0" w:line="240" w:lineRule="auto"/>
              <w:jc w:val="right"/>
              <w:rPr>
                <w:rFonts w:ascii="Arial" w:hAnsi="Arial" w:cs="Arial"/>
                <w:sz w:val="16"/>
                <w:szCs w:val="16"/>
              </w:rPr>
            </w:pPr>
          </w:p>
        </w:tc>
        <w:tc>
          <w:tcPr>
            <w:tcW w:w="869" w:type="dxa"/>
            <w:gridSpan w:val="2"/>
            <w:tcBorders>
              <w:top w:val="nil"/>
              <w:left w:val="nil"/>
              <w:bottom w:val="nil"/>
              <w:right w:val="nil"/>
            </w:tcBorders>
            <w:shd w:val="clear" w:color="auto" w:fill="auto"/>
            <w:noWrap/>
            <w:vAlign w:val="bottom"/>
            <w:hideMark/>
          </w:tcPr>
          <w:p w14:paraId="42456175" w14:textId="77777777" w:rsidR="00E4047B" w:rsidRPr="00E4047B" w:rsidRDefault="00E4047B" w:rsidP="00501B04">
            <w:pPr>
              <w:spacing w:after="0" w:line="240" w:lineRule="auto"/>
              <w:jc w:val="right"/>
              <w:rPr>
                <w:rFonts w:ascii="Times New Roman" w:hAnsi="Times New Roman"/>
              </w:rPr>
            </w:pPr>
          </w:p>
        </w:tc>
        <w:tc>
          <w:tcPr>
            <w:tcW w:w="987" w:type="dxa"/>
            <w:gridSpan w:val="2"/>
            <w:tcBorders>
              <w:top w:val="nil"/>
              <w:left w:val="nil"/>
              <w:bottom w:val="nil"/>
              <w:right w:val="nil"/>
            </w:tcBorders>
            <w:shd w:val="clear" w:color="auto" w:fill="auto"/>
            <w:noWrap/>
            <w:vAlign w:val="bottom"/>
            <w:hideMark/>
          </w:tcPr>
          <w:p w14:paraId="7AB893E0" w14:textId="77777777" w:rsidR="00E4047B" w:rsidRPr="00E4047B" w:rsidRDefault="00E4047B" w:rsidP="00501B04">
            <w:pPr>
              <w:spacing w:after="0" w:line="240" w:lineRule="auto"/>
              <w:jc w:val="right"/>
              <w:rPr>
                <w:rFonts w:ascii="Times New Roman" w:hAnsi="Times New Roman"/>
              </w:rPr>
            </w:pPr>
          </w:p>
        </w:tc>
      </w:tr>
      <w:tr w:rsidR="00637168" w:rsidRPr="00E4047B" w14:paraId="5F12B3CC" w14:textId="77777777" w:rsidTr="00F24C07">
        <w:trPr>
          <w:gridAfter w:val="1"/>
          <w:wAfter w:w="21" w:type="dxa"/>
          <w:trHeight w:val="204"/>
        </w:trPr>
        <w:tc>
          <w:tcPr>
            <w:tcW w:w="2977" w:type="dxa"/>
            <w:tcBorders>
              <w:top w:val="nil"/>
              <w:left w:val="nil"/>
              <w:bottom w:val="nil"/>
              <w:right w:val="nil"/>
            </w:tcBorders>
            <w:shd w:val="clear" w:color="auto" w:fill="auto"/>
            <w:hideMark/>
          </w:tcPr>
          <w:p w14:paraId="310057C6" w14:textId="77777777" w:rsidR="00637168" w:rsidRPr="00E4047B" w:rsidRDefault="00637168" w:rsidP="00637168">
            <w:pPr>
              <w:spacing w:after="0" w:line="240" w:lineRule="auto"/>
              <w:ind w:left="113"/>
              <w:jc w:val="left"/>
              <w:rPr>
                <w:rFonts w:ascii="Arial" w:hAnsi="Arial" w:cs="Arial"/>
                <w:sz w:val="16"/>
                <w:szCs w:val="16"/>
              </w:rPr>
            </w:pPr>
            <w:r w:rsidRPr="00E4047B">
              <w:rPr>
                <w:rFonts w:ascii="Arial" w:hAnsi="Arial" w:cs="Arial"/>
                <w:sz w:val="16"/>
                <w:szCs w:val="16"/>
              </w:rPr>
              <w:t>Departmental appropriation</w:t>
            </w:r>
          </w:p>
        </w:tc>
        <w:tc>
          <w:tcPr>
            <w:tcW w:w="928" w:type="dxa"/>
            <w:tcBorders>
              <w:top w:val="nil"/>
              <w:left w:val="nil"/>
              <w:bottom w:val="nil"/>
              <w:right w:val="nil"/>
            </w:tcBorders>
            <w:shd w:val="clear" w:color="auto" w:fill="auto"/>
            <w:noWrap/>
            <w:vAlign w:val="bottom"/>
            <w:hideMark/>
          </w:tcPr>
          <w:p w14:paraId="7534092A" w14:textId="28E9235D"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51,429 </w:t>
            </w:r>
          </w:p>
        </w:tc>
        <w:tc>
          <w:tcPr>
            <w:tcW w:w="957" w:type="dxa"/>
            <w:tcBorders>
              <w:top w:val="nil"/>
              <w:left w:val="nil"/>
              <w:bottom w:val="nil"/>
              <w:right w:val="nil"/>
            </w:tcBorders>
            <w:shd w:val="clear" w:color="auto" w:fill="E6E6E6"/>
            <w:noWrap/>
            <w:vAlign w:val="bottom"/>
            <w:hideMark/>
          </w:tcPr>
          <w:p w14:paraId="68507FF9" w14:textId="48824CD5"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69,369 </w:t>
            </w:r>
          </w:p>
        </w:tc>
        <w:tc>
          <w:tcPr>
            <w:tcW w:w="931" w:type="dxa"/>
            <w:gridSpan w:val="2"/>
            <w:tcBorders>
              <w:top w:val="nil"/>
              <w:left w:val="nil"/>
              <w:bottom w:val="nil"/>
              <w:right w:val="nil"/>
            </w:tcBorders>
            <w:shd w:val="clear" w:color="auto" w:fill="auto"/>
            <w:noWrap/>
            <w:vAlign w:val="bottom"/>
            <w:hideMark/>
          </w:tcPr>
          <w:p w14:paraId="734A6D10" w14:textId="73203D1A"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74,081 </w:t>
            </w:r>
          </w:p>
        </w:tc>
        <w:tc>
          <w:tcPr>
            <w:tcW w:w="869" w:type="dxa"/>
            <w:gridSpan w:val="2"/>
            <w:tcBorders>
              <w:top w:val="nil"/>
              <w:left w:val="nil"/>
              <w:bottom w:val="nil"/>
              <w:right w:val="nil"/>
            </w:tcBorders>
            <w:shd w:val="clear" w:color="auto" w:fill="auto"/>
            <w:noWrap/>
            <w:vAlign w:val="bottom"/>
            <w:hideMark/>
          </w:tcPr>
          <w:p w14:paraId="0946F773" w14:textId="22FC71F5"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70,966 </w:t>
            </w:r>
          </w:p>
        </w:tc>
        <w:tc>
          <w:tcPr>
            <w:tcW w:w="987" w:type="dxa"/>
            <w:gridSpan w:val="2"/>
            <w:tcBorders>
              <w:top w:val="nil"/>
              <w:left w:val="nil"/>
              <w:bottom w:val="nil"/>
              <w:right w:val="nil"/>
            </w:tcBorders>
            <w:shd w:val="clear" w:color="auto" w:fill="auto"/>
            <w:noWrap/>
            <w:vAlign w:val="bottom"/>
            <w:hideMark/>
          </w:tcPr>
          <w:p w14:paraId="028FBB57" w14:textId="784B1D09"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62,062 </w:t>
            </w:r>
          </w:p>
        </w:tc>
      </w:tr>
      <w:tr w:rsidR="00637168" w:rsidRPr="00E4047B" w14:paraId="4F3726F2" w14:textId="77777777" w:rsidTr="00F24C07">
        <w:trPr>
          <w:gridAfter w:val="1"/>
          <w:wAfter w:w="21" w:type="dxa"/>
          <w:trHeight w:val="204"/>
        </w:trPr>
        <w:tc>
          <w:tcPr>
            <w:tcW w:w="2977" w:type="dxa"/>
            <w:tcBorders>
              <w:top w:val="nil"/>
              <w:left w:val="nil"/>
              <w:bottom w:val="nil"/>
              <w:right w:val="nil"/>
            </w:tcBorders>
            <w:shd w:val="clear" w:color="auto" w:fill="auto"/>
            <w:hideMark/>
          </w:tcPr>
          <w:p w14:paraId="6B8885FB" w14:textId="4D2E9DD6" w:rsidR="00637168" w:rsidRPr="00E4047B" w:rsidRDefault="00637168" w:rsidP="00637168">
            <w:pPr>
              <w:spacing w:after="0" w:line="240" w:lineRule="auto"/>
              <w:ind w:left="113"/>
              <w:jc w:val="left"/>
              <w:rPr>
                <w:rFonts w:ascii="Arial" w:hAnsi="Arial" w:cs="Arial"/>
                <w:sz w:val="16"/>
                <w:szCs w:val="16"/>
              </w:rPr>
            </w:pPr>
            <w:r w:rsidRPr="00E4047B">
              <w:rPr>
                <w:rFonts w:ascii="Arial" w:hAnsi="Arial" w:cs="Arial"/>
                <w:sz w:val="16"/>
                <w:szCs w:val="16"/>
              </w:rPr>
              <w:t xml:space="preserve">s74 external revenues </w:t>
            </w:r>
            <w:r w:rsidRPr="00501B04">
              <w:rPr>
                <w:rFonts w:ascii="Arial" w:hAnsi="Arial" w:cs="Arial"/>
                <w:sz w:val="16"/>
                <w:szCs w:val="16"/>
                <w:vertAlign w:val="superscript"/>
              </w:rPr>
              <w:t>(</w:t>
            </w:r>
            <w:r>
              <w:rPr>
                <w:rFonts w:ascii="Arial" w:hAnsi="Arial" w:cs="Arial"/>
                <w:sz w:val="16"/>
                <w:szCs w:val="16"/>
                <w:vertAlign w:val="superscript"/>
              </w:rPr>
              <w:t>d</w:t>
            </w:r>
            <w:r w:rsidRPr="00501B04">
              <w:rPr>
                <w:rFonts w:ascii="Arial" w:hAnsi="Arial" w:cs="Arial"/>
                <w:sz w:val="16"/>
                <w:szCs w:val="16"/>
                <w:vertAlign w:val="superscript"/>
              </w:rPr>
              <w:t>)</w:t>
            </w:r>
          </w:p>
        </w:tc>
        <w:tc>
          <w:tcPr>
            <w:tcW w:w="928" w:type="dxa"/>
            <w:tcBorders>
              <w:top w:val="nil"/>
              <w:left w:val="nil"/>
              <w:bottom w:val="nil"/>
              <w:right w:val="nil"/>
            </w:tcBorders>
            <w:shd w:val="clear" w:color="auto" w:fill="auto"/>
            <w:noWrap/>
            <w:vAlign w:val="bottom"/>
            <w:hideMark/>
          </w:tcPr>
          <w:p w14:paraId="6F88DC1A" w14:textId="1764965F"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3,900 </w:t>
            </w:r>
          </w:p>
        </w:tc>
        <w:tc>
          <w:tcPr>
            <w:tcW w:w="957" w:type="dxa"/>
            <w:tcBorders>
              <w:top w:val="nil"/>
              <w:left w:val="nil"/>
              <w:bottom w:val="nil"/>
              <w:right w:val="nil"/>
            </w:tcBorders>
            <w:shd w:val="clear" w:color="auto" w:fill="E6E6E6"/>
            <w:noWrap/>
            <w:vAlign w:val="bottom"/>
            <w:hideMark/>
          </w:tcPr>
          <w:p w14:paraId="7070BD44" w14:textId="7D305FF6"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2,075 </w:t>
            </w:r>
          </w:p>
        </w:tc>
        <w:tc>
          <w:tcPr>
            <w:tcW w:w="931" w:type="dxa"/>
            <w:gridSpan w:val="2"/>
            <w:tcBorders>
              <w:top w:val="nil"/>
              <w:left w:val="nil"/>
              <w:bottom w:val="nil"/>
              <w:right w:val="nil"/>
            </w:tcBorders>
            <w:shd w:val="clear" w:color="auto" w:fill="auto"/>
            <w:noWrap/>
            <w:vAlign w:val="bottom"/>
            <w:hideMark/>
          </w:tcPr>
          <w:p w14:paraId="3019C23B" w14:textId="41F577C6"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2,159 </w:t>
            </w:r>
          </w:p>
        </w:tc>
        <w:tc>
          <w:tcPr>
            <w:tcW w:w="869" w:type="dxa"/>
            <w:gridSpan w:val="2"/>
            <w:tcBorders>
              <w:top w:val="nil"/>
              <w:left w:val="nil"/>
              <w:bottom w:val="nil"/>
              <w:right w:val="nil"/>
            </w:tcBorders>
            <w:shd w:val="clear" w:color="auto" w:fill="auto"/>
            <w:noWrap/>
            <w:vAlign w:val="bottom"/>
            <w:hideMark/>
          </w:tcPr>
          <w:p w14:paraId="673D13E5" w14:textId="1451FE5B"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2,409 </w:t>
            </w:r>
          </w:p>
        </w:tc>
        <w:tc>
          <w:tcPr>
            <w:tcW w:w="987" w:type="dxa"/>
            <w:gridSpan w:val="2"/>
            <w:tcBorders>
              <w:top w:val="nil"/>
              <w:left w:val="nil"/>
              <w:bottom w:val="nil"/>
              <w:right w:val="nil"/>
            </w:tcBorders>
            <w:shd w:val="clear" w:color="auto" w:fill="auto"/>
            <w:noWrap/>
            <w:vAlign w:val="bottom"/>
            <w:hideMark/>
          </w:tcPr>
          <w:p w14:paraId="2D311674" w14:textId="5AC4B7CC"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2,409 </w:t>
            </w:r>
          </w:p>
        </w:tc>
      </w:tr>
      <w:tr w:rsidR="00637168" w:rsidRPr="00E4047B" w14:paraId="1B4ED188" w14:textId="77777777" w:rsidTr="00F24C07">
        <w:trPr>
          <w:gridAfter w:val="1"/>
          <w:wAfter w:w="21" w:type="dxa"/>
          <w:trHeight w:val="204"/>
        </w:trPr>
        <w:tc>
          <w:tcPr>
            <w:tcW w:w="2977" w:type="dxa"/>
            <w:tcBorders>
              <w:top w:val="nil"/>
              <w:left w:val="nil"/>
              <w:bottom w:val="nil"/>
              <w:right w:val="nil"/>
            </w:tcBorders>
            <w:shd w:val="clear" w:color="auto" w:fill="auto"/>
            <w:hideMark/>
          </w:tcPr>
          <w:p w14:paraId="11DE04B5" w14:textId="77777777" w:rsidR="00637168" w:rsidRPr="00E4047B" w:rsidRDefault="00637168" w:rsidP="00637168">
            <w:pPr>
              <w:spacing w:after="0" w:line="240" w:lineRule="auto"/>
              <w:ind w:left="113"/>
              <w:jc w:val="left"/>
              <w:rPr>
                <w:rFonts w:ascii="Arial" w:hAnsi="Arial" w:cs="Arial"/>
                <w:sz w:val="16"/>
                <w:szCs w:val="16"/>
              </w:rPr>
            </w:pPr>
            <w:r w:rsidRPr="00E4047B">
              <w:rPr>
                <w:rFonts w:ascii="Arial" w:hAnsi="Arial" w:cs="Arial"/>
                <w:sz w:val="16"/>
                <w:szCs w:val="16"/>
              </w:rPr>
              <w:t>Special Accounts</w:t>
            </w:r>
          </w:p>
        </w:tc>
        <w:tc>
          <w:tcPr>
            <w:tcW w:w="928" w:type="dxa"/>
            <w:tcBorders>
              <w:top w:val="nil"/>
              <w:left w:val="nil"/>
              <w:bottom w:val="nil"/>
              <w:right w:val="nil"/>
            </w:tcBorders>
            <w:shd w:val="clear" w:color="auto" w:fill="auto"/>
            <w:noWrap/>
            <w:vAlign w:val="bottom"/>
            <w:hideMark/>
          </w:tcPr>
          <w:p w14:paraId="0D6751B9" w14:textId="47CBE962"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w:t>
            </w:r>
          </w:p>
        </w:tc>
        <w:tc>
          <w:tcPr>
            <w:tcW w:w="957" w:type="dxa"/>
            <w:tcBorders>
              <w:top w:val="nil"/>
              <w:left w:val="nil"/>
              <w:bottom w:val="nil"/>
              <w:right w:val="nil"/>
            </w:tcBorders>
            <w:shd w:val="clear" w:color="auto" w:fill="E6E6E6"/>
            <w:noWrap/>
            <w:vAlign w:val="bottom"/>
            <w:hideMark/>
          </w:tcPr>
          <w:p w14:paraId="4FB6E200" w14:textId="74C535B5"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w:t>
            </w:r>
          </w:p>
        </w:tc>
        <w:tc>
          <w:tcPr>
            <w:tcW w:w="931" w:type="dxa"/>
            <w:gridSpan w:val="2"/>
            <w:tcBorders>
              <w:top w:val="nil"/>
              <w:left w:val="nil"/>
              <w:bottom w:val="nil"/>
              <w:right w:val="nil"/>
            </w:tcBorders>
            <w:shd w:val="clear" w:color="auto" w:fill="auto"/>
            <w:noWrap/>
            <w:vAlign w:val="bottom"/>
            <w:hideMark/>
          </w:tcPr>
          <w:p w14:paraId="3608F1E4" w14:textId="4CAA4A2D"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w:t>
            </w:r>
          </w:p>
        </w:tc>
        <w:tc>
          <w:tcPr>
            <w:tcW w:w="869" w:type="dxa"/>
            <w:gridSpan w:val="2"/>
            <w:tcBorders>
              <w:top w:val="nil"/>
              <w:left w:val="nil"/>
              <w:bottom w:val="nil"/>
              <w:right w:val="nil"/>
            </w:tcBorders>
            <w:shd w:val="clear" w:color="auto" w:fill="auto"/>
            <w:noWrap/>
            <w:vAlign w:val="bottom"/>
            <w:hideMark/>
          </w:tcPr>
          <w:p w14:paraId="10349425" w14:textId="3BEC9011"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w:t>
            </w:r>
          </w:p>
        </w:tc>
        <w:tc>
          <w:tcPr>
            <w:tcW w:w="987" w:type="dxa"/>
            <w:gridSpan w:val="2"/>
            <w:tcBorders>
              <w:top w:val="nil"/>
              <w:left w:val="nil"/>
              <w:bottom w:val="nil"/>
              <w:right w:val="nil"/>
            </w:tcBorders>
            <w:shd w:val="clear" w:color="auto" w:fill="auto"/>
            <w:noWrap/>
            <w:vAlign w:val="bottom"/>
            <w:hideMark/>
          </w:tcPr>
          <w:p w14:paraId="4C23FA86" w14:textId="7D5FAF58"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w:t>
            </w:r>
          </w:p>
        </w:tc>
      </w:tr>
      <w:tr w:rsidR="00637168" w:rsidRPr="00E4047B" w14:paraId="0681A911" w14:textId="77777777" w:rsidTr="00F24C07">
        <w:trPr>
          <w:gridAfter w:val="1"/>
          <w:wAfter w:w="21" w:type="dxa"/>
          <w:trHeight w:val="204"/>
        </w:trPr>
        <w:tc>
          <w:tcPr>
            <w:tcW w:w="2977" w:type="dxa"/>
            <w:tcBorders>
              <w:top w:val="nil"/>
              <w:left w:val="nil"/>
              <w:bottom w:val="nil"/>
              <w:right w:val="nil"/>
            </w:tcBorders>
            <w:shd w:val="clear" w:color="auto" w:fill="auto"/>
            <w:hideMark/>
          </w:tcPr>
          <w:p w14:paraId="39C902A2" w14:textId="253C635F" w:rsidR="00637168" w:rsidRPr="00E4047B" w:rsidRDefault="00637168" w:rsidP="00637168">
            <w:pPr>
              <w:spacing w:after="0" w:line="240" w:lineRule="auto"/>
              <w:ind w:left="227"/>
              <w:jc w:val="left"/>
              <w:rPr>
                <w:rFonts w:ascii="Arial" w:hAnsi="Arial" w:cs="Arial"/>
                <w:sz w:val="16"/>
                <w:szCs w:val="16"/>
              </w:rPr>
            </w:pPr>
            <w:r w:rsidRPr="00E4047B">
              <w:rPr>
                <w:rFonts w:ascii="Arial" w:hAnsi="Arial" w:cs="Arial"/>
                <w:sz w:val="16"/>
                <w:szCs w:val="16"/>
              </w:rPr>
              <w:t>Public Interest Telecommunications Services Special Account</w:t>
            </w:r>
          </w:p>
        </w:tc>
        <w:tc>
          <w:tcPr>
            <w:tcW w:w="928" w:type="dxa"/>
            <w:tcBorders>
              <w:top w:val="nil"/>
              <w:left w:val="nil"/>
              <w:bottom w:val="nil"/>
              <w:right w:val="nil"/>
            </w:tcBorders>
            <w:shd w:val="clear" w:color="auto" w:fill="auto"/>
            <w:noWrap/>
            <w:vAlign w:val="bottom"/>
            <w:hideMark/>
          </w:tcPr>
          <w:p w14:paraId="6F76CB7A" w14:textId="79DC99D1"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4,046 </w:t>
            </w:r>
          </w:p>
        </w:tc>
        <w:tc>
          <w:tcPr>
            <w:tcW w:w="957" w:type="dxa"/>
            <w:tcBorders>
              <w:top w:val="nil"/>
              <w:left w:val="nil"/>
              <w:bottom w:val="nil"/>
              <w:right w:val="nil"/>
            </w:tcBorders>
            <w:shd w:val="clear" w:color="auto" w:fill="E6E6E6"/>
            <w:noWrap/>
            <w:vAlign w:val="bottom"/>
            <w:hideMark/>
          </w:tcPr>
          <w:p w14:paraId="3B69043A" w14:textId="408F0E04"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4,046 </w:t>
            </w:r>
          </w:p>
        </w:tc>
        <w:tc>
          <w:tcPr>
            <w:tcW w:w="931" w:type="dxa"/>
            <w:gridSpan w:val="2"/>
            <w:tcBorders>
              <w:top w:val="nil"/>
              <w:left w:val="nil"/>
              <w:bottom w:val="nil"/>
              <w:right w:val="nil"/>
            </w:tcBorders>
            <w:shd w:val="clear" w:color="auto" w:fill="auto"/>
            <w:noWrap/>
            <w:vAlign w:val="bottom"/>
            <w:hideMark/>
          </w:tcPr>
          <w:p w14:paraId="46D3F71E" w14:textId="2A8D1843"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4,046 </w:t>
            </w:r>
          </w:p>
        </w:tc>
        <w:tc>
          <w:tcPr>
            <w:tcW w:w="869" w:type="dxa"/>
            <w:gridSpan w:val="2"/>
            <w:tcBorders>
              <w:top w:val="nil"/>
              <w:left w:val="nil"/>
              <w:bottom w:val="nil"/>
              <w:right w:val="nil"/>
            </w:tcBorders>
            <w:shd w:val="clear" w:color="auto" w:fill="auto"/>
            <w:noWrap/>
            <w:vAlign w:val="bottom"/>
            <w:hideMark/>
          </w:tcPr>
          <w:p w14:paraId="4CBC0FC4" w14:textId="4EFC7916"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4,046 </w:t>
            </w:r>
          </w:p>
        </w:tc>
        <w:tc>
          <w:tcPr>
            <w:tcW w:w="987" w:type="dxa"/>
            <w:gridSpan w:val="2"/>
            <w:tcBorders>
              <w:top w:val="nil"/>
              <w:left w:val="nil"/>
              <w:bottom w:val="nil"/>
              <w:right w:val="nil"/>
            </w:tcBorders>
            <w:shd w:val="clear" w:color="auto" w:fill="auto"/>
            <w:noWrap/>
            <w:vAlign w:val="bottom"/>
            <w:hideMark/>
          </w:tcPr>
          <w:p w14:paraId="65B5B22F" w14:textId="088DC9BC"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4,046 </w:t>
            </w:r>
          </w:p>
        </w:tc>
      </w:tr>
      <w:tr w:rsidR="00637168" w:rsidRPr="00E4047B" w14:paraId="2109DAC4" w14:textId="77777777" w:rsidTr="00F24C07">
        <w:trPr>
          <w:gridAfter w:val="1"/>
          <w:wAfter w:w="21" w:type="dxa"/>
          <w:trHeight w:val="204"/>
        </w:trPr>
        <w:tc>
          <w:tcPr>
            <w:tcW w:w="2977" w:type="dxa"/>
            <w:tcBorders>
              <w:top w:val="nil"/>
              <w:left w:val="nil"/>
              <w:bottom w:val="nil"/>
              <w:right w:val="nil"/>
            </w:tcBorders>
            <w:shd w:val="clear" w:color="auto" w:fill="auto"/>
            <w:hideMark/>
          </w:tcPr>
          <w:p w14:paraId="373FAB8C" w14:textId="3C2F549F" w:rsidR="00637168" w:rsidRPr="00E4047B" w:rsidRDefault="00637168" w:rsidP="00637168">
            <w:pPr>
              <w:spacing w:after="0" w:line="240" w:lineRule="auto"/>
              <w:ind w:left="113"/>
              <w:jc w:val="left"/>
              <w:rPr>
                <w:rFonts w:ascii="Arial" w:hAnsi="Arial" w:cs="Arial"/>
                <w:sz w:val="16"/>
                <w:szCs w:val="16"/>
              </w:rPr>
            </w:pPr>
            <w:r w:rsidRPr="00E4047B">
              <w:rPr>
                <w:rFonts w:ascii="Arial" w:hAnsi="Arial" w:cs="Arial"/>
                <w:sz w:val="16"/>
                <w:szCs w:val="16"/>
              </w:rPr>
              <w:t xml:space="preserve">Expenses not requiring appropriation in the Budget year </w:t>
            </w:r>
            <w:r w:rsidRPr="00501B04">
              <w:rPr>
                <w:rFonts w:ascii="Arial" w:hAnsi="Arial" w:cs="Arial"/>
                <w:sz w:val="16"/>
                <w:szCs w:val="16"/>
                <w:vertAlign w:val="superscript"/>
              </w:rPr>
              <w:t>(</w:t>
            </w:r>
            <w:r>
              <w:rPr>
                <w:rFonts w:ascii="Arial" w:hAnsi="Arial" w:cs="Arial"/>
                <w:sz w:val="16"/>
                <w:szCs w:val="16"/>
                <w:vertAlign w:val="superscript"/>
              </w:rPr>
              <w:t>e</w:t>
            </w:r>
            <w:r w:rsidRPr="00501B04">
              <w:rPr>
                <w:rFonts w:ascii="Arial" w:hAnsi="Arial" w:cs="Arial"/>
                <w:sz w:val="16"/>
                <w:szCs w:val="16"/>
                <w:vertAlign w:val="superscript"/>
              </w:rPr>
              <w:t>)</w:t>
            </w:r>
          </w:p>
        </w:tc>
        <w:tc>
          <w:tcPr>
            <w:tcW w:w="928" w:type="dxa"/>
            <w:tcBorders>
              <w:top w:val="nil"/>
              <w:left w:val="nil"/>
              <w:bottom w:val="nil"/>
              <w:right w:val="nil"/>
            </w:tcBorders>
            <w:shd w:val="clear" w:color="auto" w:fill="auto"/>
            <w:noWrap/>
            <w:vAlign w:val="bottom"/>
            <w:hideMark/>
          </w:tcPr>
          <w:p w14:paraId="20A4E072" w14:textId="6722C299"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4,748 </w:t>
            </w:r>
          </w:p>
        </w:tc>
        <w:tc>
          <w:tcPr>
            <w:tcW w:w="957" w:type="dxa"/>
            <w:tcBorders>
              <w:top w:val="nil"/>
              <w:left w:val="nil"/>
              <w:bottom w:val="nil"/>
              <w:right w:val="nil"/>
            </w:tcBorders>
            <w:shd w:val="clear" w:color="auto" w:fill="E6E6E6"/>
            <w:noWrap/>
            <w:vAlign w:val="bottom"/>
            <w:hideMark/>
          </w:tcPr>
          <w:p w14:paraId="70432CEF" w14:textId="2B32BAFD"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1,509 </w:t>
            </w:r>
          </w:p>
        </w:tc>
        <w:tc>
          <w:tcPr>
            <w:tcW w:w="931" w:type="dxa"/>
            <w:gridSpan w:val="2"/>
            <w:tcBorders>
              <w:top w:val="nil"/>
              <w:left w:val="nil"/>
              <w:bottom w:val="nil"/>
              <w:right w:val="nil"/>
            </w:tcBorders>
            <w:shd w:val="clear" w:color="auto" w:fill="auto"/>
            <w:noWrap/>
            <w:vAlign w:val="bottom"/>
            <w:hideMark/>
          </w:tcPr>
          <w:p w14:paraId="5C1FBD84" w14:textId="299B7975"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1,612 </w:t>
            </w:r>
          </w:p>
        </w:tc>
        <w:tc>
          <w:tcPr>
            <w:tcW w:w="869" w:type="dxa"/>
            <w:gridSpan w:val="2"/>
            <w:tcBorders>
              <w:top w:val="nil"/>
              <w:left w:val="nil"/>
              <w:bottom w:val="nil"/>
              <w:right w:val="nil"/>
            </w:tcBorders>
            <w:shd w:val="clear" w:color="auto" w:fill="auto"/>
            <w:noWrap/>
            <w:vAlign w:val="bottom"/>
            <w:hideMark/>
          </w:tcPr>
          <w:p w14:paraId="48B651FC" w14:textId="313666BB"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1,727 </w:t>
            </w:r>
          </w:p>
        </w:tc>
        <w:tc>
          <w:tcPr>
            <w:tcW w:w="987" w:type="dxa"/>
            <w:gridSpan w:val="2"/>
            <w:tcBorders>
              <w:top w:val="nil"/>
              <w:left w:val="nil"/>
              <w:bottom w:val="nil"/>
              <w:right w:val="nil"/>
            </w:tcBorders>
            <w:shd w:val="clear" w:color="auto" w:fill="auto"/>
            <w:noWrap/>
            <w:vAlign w:val="bottom"/>
            <w:hideMark/>
          </w:tcPr>
          <w:p w14:paraId="15741301" w14:textId="6D7E4080" w:rsidR="00637168" w:rsidRPr="00E4047B" w:rsidRDefault="00637168" w:rsidP="00637168">
            <w:pPr>
              <w:spacing w:after="0" w:line="240" w:lineRule="auto"/>
              <w:jc w:val="right"/>
              <w:rPr>
                <w:rFonts w:ascii="Arial" w:hAnsi="Arial" w:cs="Arial"/>
                <w:sz w:val="16"/>
                <w:szCs w:val="16"/>
              </w:rPr>
            </w:pPr>
            <w:r>
              <w:rPr>
                <w:rFonts w:ascii="Arial" w:hAnsi="Arial" w:cs="Arial"/>
                <w:sz w:val="16"/>
                <w:szCs w:val="16"/>
              </w:rPr>
              <w:t xml:space="preserve">1,887 </w:t>
            </w:r>
          </w:p>
        </w:tc>
      </w:tr>
      <w:tr w:rsidR="00637168" w:rsidRPr="00E4047B" w14:paraId="17573A07" w14:textId="77777777" w:rsidTr="00F24C07">
        <w:trPr>
          <w:gridAfter w:val="1"/>
          <w:wAfter w:w="21" w:type="dxa"/>
          <w:trHeight w:val="204"/>
        </w:trPr>
        <w:tc>
          <w:tcPr>
            <w:tcW w:w="2977" w:type="dxa"/>
            <w:tcBorders>
              <w:top w:val="nil"/>
              <w:left w:val="nil"/>
              <w:bottom w:val="single" w:sz="4" w:space="0" w:color="auto"/>
              <w:right w:val="nil"/>
            </w:tcBorders>
            <w:shd w:val="clear" w:color="auto" w:fill="auto"/>
            <w:noWrap/>
            <w:hideMark/>
          </w:tcPr>
          <w:p w14:paraId="713009AF" w14:textId="77777777" w:rsidR="00637168" w:rsidRPr="00E4047B" w:rsidRDefault="00637168" w:rsidP="00637168">
            <w:pPr>
              <w:spacing w:after="0" w:line="240" w:lineRule="auto"/>
              <w:jc w:val="left"/>
              <w:rPr>
                <w:rFonts w:ascii="Arial" w:hAnsi="Arial" w:cs="Arial"/>
                <w:b/>
                <w:bCs/>
                <w:sz w:val="16"/>
                <w:szCs w:val="16"/>
              </w:rPr>
            </w:pPr>
            <w:r w:rsidRPr="00E4047B">
              <w:rPr>
                <w:rFonts w:ascii="Arial" w:hAnsi="Arial" w:cs="Arial"/>
                <w:b/>
                <w:bCs/>
                <w:sz w:val="16"/>
                <w:szCs w:val="16"/>
              </w:rPr>
              <w:t>Total expenses for Program 5.2</w:t>
            </w:r>
          </w:p>
        </w:tc>
        <w:tc>
          <w:tcPr>
            <w:tcW w:w="928" w:type="dxa"/>
            <w:tcBorders>
              <w:top w:val="single" w:sz="4" w:space="0" w:color="auto"/>
              <w:left w:val="nil"/>
              <w:bottom w:val="single" w:sz="4" w:space="0" w:color="auto"/>
              <w:right w:val="nil"/>
            </w:tcBorders>
            <w:shd w:val="clear" w:color="auto" w:fill="auto"/>
            <w:noWrap/>
            <w:vAlign w:val="bottom"/>
            <w:hideMark/>
          </w:tcPr>
          <w:p w14:paraId="5AF08226" w14:textId="28DC0ED9" w:rsidR="00637168" w:rsidRPr="00E4047B" w:rsidRDefault="00637168" w:rsidP="00637168">
            <w:pPr>
              <w:spacing w:after="0" w:line="240" w:lineRule="auto"/>
              <w:jc w:val="right"/>
              <w:rPr>
                <w:rFonts w:ascii="Arial" w:hAnsi="Arial" w:cs="Arial"/>
                <w:b/>
                <w:bCs/>
                <w:sz w:val="16"/>
                <w:szCs w:val="16"/>
              </w:rPr>
            </w:pPr>
            <w:r>
              <w:rPr>
                <w:rFonts w:ascii="Arial" w:hAnsi="Arial" w:cs="Arial"/>
                <w:b/>
                <w:bCs/>
                <w:sz w:val="16"/>
                <w:szCs w:val="16"/>
              </w:rPr>
              <w:t xml:space="preserve">64,123 </w:t>
            </w:r>
          </w:p>
        </w:tc>
        <w:tc>
          <w:tcPr>
            <w:tcW w:w="957" w:type="dxa"/>
            <w:tcBorders>
              <w:top w:val="single" w:sz="4" w:space="0" w:color="auto"/>
              <w:left w:val="nil"/>
              <w:bottom w:val="single" w:sz="4" w:space="0" w:color="auto"/>
              <w:right w:val="nil"/>
            </w:tcBorders>
            <w:shd w:val="clear" w:color="auto" w:fill="E6E6E6"/>
            <w:noWrap/>
            <w:vAlign w:val="bottom"/>
            <w:hideMark/>
          </w:tcPr>
          <w:p w14:paraId="57BDC425" w14:textId="31263984" w:rsidR="00637168" w:rsidRPr="00E4047B" w:rsidRDefault="00637168" w:rsidP="00637168">
            <w:pPr>
              <w:spacing w:after="0" w:line="240" w:lineRule="auto"/>
              <w:jc w:val="right"/>
              <w:rPr>
                <w:rFonts w:ascii="Arial" w:hAnsi="Arial" w:cs="Arial"/>
                <w:b/>
                <w:bCs/>
                <w:sz w:val="16"/>
                <w:szCs w:val="16"/>
              </w:rPr>
            </w:pPr>
            <w:r>
              <w:rPr>
                <w:rFonts w:ascii="Arial" w:hAnsi="Arial" w:cs="Arial"/>
                <w:b/>
                <w:bCs/>
                <w:sz w:val="16"/>
                <w:szCs w:val="16"/>
              </w:rPr>
              <w:t xml:space="preserve">76,999 </w:t>
            </w:r>
          </w:p>
        </w:tc>
        <w:tc>
          <w:tcPr>
            <w:tcW w:w="931" w:type="dxa"/>
            <w:gridSpan w:val="2"/>
            <w:tcBorders>
              <w:top w:val="single" w:sz="4" w:space="0" w:color="auto"/>
              <w:left w:val="nil"/>
              <w:bottom w:val="single" w:sz="4" w:space="0" w:color="auto"/>
              <w:right w:val="nil"/>
            </w:tcBorders>
            <w:shd w:val="clear" w:color="auto" w:fill="auto"/>
            <w:noWrap/>
            <w:vAlign w:val="bottom"/>
            <w:hideMark/>
          </w:tcPr>
          <w:p w14:paraId="261A9F34" w14:textId="2068C4EF" w:rsidR="00637168" w:rsidRPr="00E4047B" w:rsidRDefault="00637168" w:rsidP="00637168">
            <w:pPr>
              <w:spacing w:after="0" w:line="240" w:lineRule="auto"/>
              <w:jc w:val="right"/>
              <w:rPr>
                <w:rFonts w:ascii="Arial" w:hAnsi="Arial" w:cs="Arial"/>
                <w:b/>
                <w:bCs/>
                <w:sz w:val="16"/>
                <w:szCs w:val="16"/>
              </w:rPr>
            </w:pPr>
            <w:r>
              <w:rPr>
                <w:rFonts w:ascii="Arial" w:hAnsi="Arial" w:cs="Arial"/>
                <w:b/>
                <w:bCs/>
                <w:sz w:val="16"/>
                <w:szCs w:val="16"/>
              </w:rPr>
              <w:t xml:space="preserve">81,898 </w:t>
            </w:r>
          </w:p>
        </w:tc>
        <w:tc>
          <w:tcPr>
            <w:tcW w:w="869" w:type="dxa"/>
            <w:gridSpan w:val="2"/>
            <w:tcBorders>
              <w:top w:val="single" w:sz="4" w:space="0" w:color="auto"/>
              <w:left w:val="nil"/>
              <w:bottom w:val="single" w:sz="4" w:space="0" w:color="auto"/>
              <w:right w:val="nil"/>
            </w:tcBorders>
            <w:shd w:val="clear" w:color="auto" w:fill="auto"/>
            <w:noWrap/>
            <w:vAlign w:val="bottom"/>
            <w:hideMark/>
          </w:tcPr>
          <w:p w14:paraId="665A469C" w14:textId="38FAF47A" w:rsidR="00637168" w:rsidRPr="00E4047B" w:rsidRDefault="00637168" w:rsidP="00637168">
            <w:pPr>
              <w:spacing w:after="0" w:line="240" w:lineRule="auto"/>
              <w:jc w:val="right"/>
              <w:rPr>
                <w:rFonts w:ascii="Arial" w:hAnsi="Arial" w:cs="Arial"/>
                <w:b/>
                <w:bCs/>
                <w:sz w:val="16"/>
                <w:szCs w:val="16"/>
              </w:rPr>
            </w:pPr>
            <w:r>
              <w:rPr>
                <w:rFonts w:ascii="Arial" w:hAnsi="Arial" w:cs="Arial"/>
                <w:b/>
                <w:bCs/>
                <w:sz w:val="16"/>
                <w:szCs w:val="16"/>
              </w:rPr>
              <w:t xml:space="preserve">79,148 </w:t>
            </w:r>
          </w:p>
        </w:tc>
        <w:tc>
          <w:tcPr>
            <w:tcW w:w="987" w:type="dxa"/>
            <w:gridSpan w:val="2"/>
            <w:tcBorders>
              <w:top w:val="single" w:sz="4" w:space="0" w:color="auto"/>
              <w:left w:val="nil"/>
              <w:bottom w:val="single" w:sz="4" w:space="0" w:color="auto"/>
              <w:right w:val="nil"/>
            </w:tcBorders>
            <w:shd w:val="clear" w:color="auto" w:fill="auto"/>
            <w:noWrap/>
            <w:vAlign w:val="bottom"/>
            <w:hideMark/>
          </w:tcPr>
          <w:p w14:paraId="3053BBC5" w14:textId="24315DD8" w:rsidR="00637168" w:rsidRPr="00E4047B" w:rsidRDefault="00637168" w:rsidP="00637168">
            <w:pPr>
              <w:spacing w:after="0" w:line="240" w:lineRule="auto"/>
              <w:jc w:val="right"/>
              <w:rPr>
                <w:rFonts w:ascii="Arial" w:hAnsi="Arial" w:cs="Arial"/>
                <w:b/>
                <w:bCs/>
                <w:sz w:val="16"/>
                <w:szCs w:val="16"/>
              </w:rPr>
            </w:pPr>
            <w:r>
              <w:rPr>
                <w:rFonts w:ascii="Arial" w:hAnsi="Arial" w:cs="Arial"/>
                <w:b/>
                <w:bCs/>
                <w:sz w:val="16"/>
                <w:szCs w:val="16"/>
              </w:rPr>
              <w:t xml:space="preserve">70,404 </w:t>
            </w:r>
          </w:p>
        </w:tc>
      </w:tr>
    </w:tbl>
    <w:p w14:paraId="4E6BF154" w14:textId="4D7249ED" w:rsidR="00B63D82" w:rsidRDefault="00B63D82" w:rsidP="00B63D82">
      <w:pPr>
        <w:pStyle w:val="TableHeading"/>
      </w:pPr>
      <w:r>
        <w:br w:type="page"/>
      </w:r>
      <w:r w:rsidRPr="00192B13">
        <w:lastRenderedPageBreak/>
        <w:t>Table 2.</w:t>
      </w:r>
      <w:r w:rsidRPr="00B63D82">
        <w:t>6.</w:t>
      </w:r>
      <w:r w:rsidRPr="00192B13">
        <w:t>1 Budgeted expenses</w:t>
      </w:r>
      <w:r w:rsidRPr="00B63D82">
        <w:t xml:space="preserve"> for</w:t>
      </w:r>
      <w:r w:rsidRPr="00192B13">
        <w:t xml:space="preserve"> Outcome </w:t>
      </w:r>
      <w:r w:rsidRPr="00B63D82">
        <w:t>5 (continued)</w:t>
      </w:r>
    </w:p>
    <w:tbl>
      <w:tblPr>
        <w:tblW w:w="7610" w:type="dxa"/>
        <w:tblLook w:val="04A0" w:firstRow="1" w:lastRow="0" w:firstColumn="1" w:lastColumn="0" w:noHBand="0" w:noVBand="1"/>
      </w:tblPr>
      <w:tblGrid>
        <w:gridCol w:w="2694"/>
        <w:gridCol w:w="976"/>
        <w:gridCol w:w="1009"/>
        <w:gridCol w:w="977"/>
        <w:gridCol w:w="977"/>
        <w:gridCol w:w="977"/>
      </w:tblGrid>
      <w:tr w:rsidR="00E34CEC" w:rsidRPr="00B749FB" w14:paraId="6C2D2A4D" w14:textId="77777777" w:rsidTr="00B1501D">
        <w:trPr>
          <w:trHeight w:val="734"/>
        </w:trPr>
        <w:tc>
          <w:tcPr>
            <w:tcW w:w="2694" w:type="dxa"/>
            <w:tcBorders>
              <w:top w:val="single" w:sz="4" w:space="0" w:color="auto"/>
              <w:left w:val="nil"/>
              <w:right w:val="nil"/>
            </w:tcBorders>
            <w:shd w:val="clear" w:color="auto" w:fill="auto"/>
            <w:noWrap/>
            <w:hideMark/>
          </w:tcPr>
          <w:p w14:paraId="3B82195A" w14:textId="77777777" w:rsidR="00E34CEC" w:rsidRPr="00B749FB" w:rsidRDefault="00E34CEC" w:rsidP="00E34CEC">
            <w:pPr>
              <w:spacing w:after="0" w:line="240" w:lineRule="auto"/>
              <w:jc w:val="left"/>
              <w:rPr>
                <w:rFonts w:ascii="Arial" w:hAnsi="Arial" w:cs="Arial"/>
                <w:sz w:val="16"/>
                <w:szCs w:val="16"/>
              </w:rPr>
            </w:pPr>
            <w:r w:rsidRPr="00B749FB">
              <w:rPr>
                <w:rFonts w:ascii="Arial" w:hAnsi="Arial" w:cs="Arial"/>
                <w:sz w:val="16"/>
                <w:szCs w:val="16"/>
              </w:rPr>
              <w:t> </w:t>
            </w:r>
          </w:p>
        </w:tc>
        <w:tc>
          <w:tcPr>
            <w:tcW w:w="976" w:type="dxa"/>
            <w:tcBorders>
              <w:top w:val="single" w:sz="4" w:space="0" w:color="auto"/>
              <w:left w:val="nil"/>
              <w:bottom w:val="single" w:sz="4" w:space="0" w:color="auto"/>
              <w:right w:val="nil"/>
            </w:tcBorders>
            <w:shd w:val="clear" w:color="auto" w:fill="auto"/>
            <w:vAlign w:val="bottom"/>
            <w:hideMark/>
          </w:tcPr>
          <w:p w14:paraId="0913726E" w14:textId="769C4CE4" w:rsidR="00E34CEC" w:rsidRPr="00B749FB" w:rsidRDefault="00E34CEC" w:rsidP="00E34CEC">
            <w:pPr>
              <w:spacing w:after="0" w:line="240" w:lineRule="auto"/>
              <w:jc w:val="right"/>
              <w:outlineLvl w:val="0"/>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1009" w:type="dxa"/>
            <w:tcBorders>
              <w:top w:val="single" w:sz="4" w:space="0" w:color="auto"/>
              <w:left w:val="nil"/>
              <w:bottom w:val="single" w:sz="4" w:space="0" w:color="auto"/>
              <w:right w:val="nil"/>
            </w:tcBorders>
            <w:shd w:val="clear" w:color="auto" w:fill="E6E6E6"/>
            <w:vAlign w:val="bottom"/>
            <w:hideMark/>
          </w:tcPr>
          <w:p w14:paraId="4A19AC8B" w14:textId="310516A8" w:rsidR="00E34CEC" w:rsidRPr="00B749FB" w:rsidRDefault="00E34CEC" w:rsidP="00E34CEC">
            <w:pPr>
              <w:spacing w:after="0" w:line="240" w:lineRule="auto"/>
              <w:jc w:val="right"/>
              <w:outlineLvl w:val="0"/>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55FD2E61" w14:textId="434FE581" w:rsidR="00E34CEC" w:rsidRPr="00B749FB" w:rsidRDefault="00E34CEC" w:rsidP="00E34CEC">
            <w:pPr>
              <w:spacing w:after="0" w:line="240" w:lineRule="auto"/>
              <w:jc w:val="right"/>
              <w:outlineLvl w:val="0"/>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6CE92FEE" w14:textId="6F191B4F" w:rsidR="00E34CEC" w:rsidRPr="00B749FB" w:rsidRDefault="00E34CEC" w:rsidP="00E34CEC">
            <w:pPr>
              <w:spacing w:after="0" w:line="240" w:lineRule="auto"/>
              <w:jc w:val="right"/>
              <w:outlineLvl w:val="0"/>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48E09E7E" w14:textId="08400777" w:rsidR="00E34CEC" w:rsidRPr="00B749FB" w:rsidRDefault="00E34CEC" w:rsidP="00E34CEC">
            <w:pPr>
              <w:spacing w:after="0" w:line="240" w:lineRule="auto"/>
              <w:jc w:val="right"/>
              <w:outlineLvl w:val="0"/>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180B60" w:rsidRPr="00B749FB" w14:paraId="67AAF75D" w14:textId="77777777" w:rsidTr="0029767A">
        <w:trPr>
          <w:trHeight w:val="240"/>
        </w:trPr>
        <w:tc>
          <w:tcPr>
            <w:tcW w:w="7610" w:type="dxa"/>
            <w:gridSpan w:val="6"/>
            <w:tcBorders>
              <w:top w:val="single" w:sz="4" w:space="0" w:color="auto"/>
              <w:left w:val="nil"/>
              <w:bottom w:val="single" w:sz="4" w:space="0" w:color="auto"/>
              <w:right w:val="nil"/>
            </w:tcBorders>
            <w:shd w:val="clear" w:color="000000" w:fill="E6E6E6"/>
            <w:noWrap/>
            <w:hideMark/>
          </w:tcPr>
          <w:p w14:paraId="47F0459A" w14:textId="79268131" w:rsidR="00180B60" w:rsidRPr="00B749FB" w:rsidRDefault="00180B60" w:rsidP="00180B60">
            <w:pPr>
              <w:spacing w:after="0" w:line="240" w:lineRule="auto"/>
              <w:jc w:val="left"/>
              <w:outlineLvl w:val="0"/>
              <w:rPr>
                <w:rFonts w:ascii="Arial" w:hAnsi="Arial" w:cs="Arial"/>
                <w:b/>
                <w:bCs/>
                <w:sz w:val="16"/>
                <w:szCs w:val="16"/>
              </w:rPr>
            </w:pPr>
            <w:r w:rsidRPr="00B749FB">
              <w:rPr>
                <w:rFonts w:ascii="Arial" w:hAnsi="Arial" w:cs="Arial"/>
                <w:b/>
                <w:bCs/>
                <w:sz w:val="16"/>
                <w:szCs w:val="16"/>
              </w:rPr>
              <w:t>Outcome 5 Totals by appropriation type</w:t>
            </w:r>
          </w:p>
        </w:tc>
      </w:tr>
      <w:tr w:rsidR="00B749FB" w:rsidRPr="00B749FB" w14:paraId="2E073B82" w14:textId="77777777" w:rsidTr="00637168">
        <w:trPr>
          <w:trHeight w:val="204"/>
        </w:trPr>
        <w:tc>
          <w:tcPr>
            <w:tcW w:w="2694" w:type="dxa"/>
            <w:tcBorders>
              <w:top w:val="nil"/>
              <w:left w:val="nil"/>
              <w:bottom w:val="nil"/>
              <w:right w:val="nil"/>
            </w:tcBorders>
            <w:shd w:val="clear" w:color="auto" w:fill="auto"/>
            <w:noWrap/>
            <w:vAlign w:val="bottom"/>
            <w:hideMark/>
          </w:tcPr>
          <w:p w14:paraId="24E0A37F" w14:textId="77777777" w:rsidR="00B749FB" w:rsidRPr="00637168" w:rsidRDefault="00B749FB" w:rsidP="00B749FB">
            <w:pPr>
              <w:spacing w:after="0" w:line="240" w:lineRule="auto"/>
              <w:jc w:val="left"/>
              <w:outlineLvl w:val="0"/>
              <w:rPr>
                <w:rFonts w:ascii="Arial" w:hAnsi="Arial" w:cs="Arial"/>
                <w:sz w:val="16"/>
                <w:szCs w:val="16"/>
              </w:rPr>
            </w:pPr>
            <w:r w:rsidRPr="00637168">
              <w:rPr>
                <w:rFonts w:ascii="Arial" w:hAnsi="Arial" w:cs="Arial"/>
                <w:sz w:val="16"/>
                <w:szCs w:val="16"/>
              </w:rPr>
              <w:t>Administered expenses</w:t>
            </w:r>
          </w:p>
        </w:tc>
        <w:tc>
          <w:tcPr>
            <w:tcW w:w="976" w:type="dxa"/>
            <w:tcBorders>
              <w:top w:val="nil"/>
              <w:left w:val="nil"/>
              <w:bottom w:val="nil"/>
              <w:right w:val="nil"/>
            </w:tcBorders>
            <w:shd w:val="clear" w:color="auto" w:fill="auto"/>
            <w:noWrap/>
            <w:vAlign w:val="bottom"/>
            <w:hideMark/>
          </w:tcPr>
          <w:p w14:paraId="58ED0A83" w14:textId="77777777" w:rsidR="00B749FB" w:rsidRPr="00637168" w:rsidRDefault="00B749FB" w:rsidP="00B749FB">
            <w:pPr>
              <w:spacing w:after="0" w:line="240" w:lineRule="auto"/>
              <w:jc w:val="left"/>
              <w:outlineLvl w:val="0"/>
              <w:rPr>
                <w:rFonts w:ascii="Arial" w:hAnsi="Arial" w:cs="Arial"/>
                <w:sz w:val="16"/>
                <w:szCs w:val="16"/>
              </w:rPr>
            </w:pPr>
          </w:p>
        </w:tc>
        <w:tc>
          <w:tcPr>
            <w:tcW w:w="1009" w:type="dxa"/>
            <w:tcBorders>
              <w:top w:val="nil"/>
              <w:left w:val="nil"/>
              <w:bottom w:val="nil"/>
              <w:right w:val="nil"/>
            </w:tcBorders>
            <w:shd w:val="clear" w:color="auto" w:fill="E6E6E6"/>
            <w:noWrap/>
            <w:vAlign w:val="bottom"/>
            <w:hideMark/>
          </w:tcPr>
          <w:p w14:paraId="18B93974" w14:textId="3FDE1469" w:rsidR="00B749FB" w:rsidRPr="00637168" w:rsidRDefault="00B749FB" w:rsidP="00B749FB">
            <w:pPr>
              <w:spacing w:after="0" w:line="240" w:lineRule="auto"/>
              <w:jc w:val="right"/>
              <w:outlineLvl w:val="0"/>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14DDE645" w14:textId="77777777" w:rsidR="00B749FB" w:rsidRPr="00637168" w:rsidRDefault="00B749FB" w:rsidP="00B749FB">
            <w:pPr>
              <w:spacing w:after="0" w:line="240" w:lineRule="auto"/>
              <w:jc w:val="right"/>
              <w:outlineLvl w:val="0"/>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1FD7915A" w14:textId="77777777" w:rsidR="00B749FB" w:rsidRPr="00637168" w:rsidRDefault="00B749FB" w:rsidP="00B749FB">
            <w:pPr>
              <w:spacing w:after="0" w:line="240" w:lineRule="auto"/>
              <w:jc w:val="left"/>
              <w:outlineLvl w:val="0"/>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2BEFEA96" w14:textId="77777777" w:rsidR="00B749FB" w:rsidRPr="00637168" w:rsidRDefault="00B749FB" w:rsidP="00B749FB">
            <w:pPr>
              <w:spacing w:after="0" w:line="240" w:lineRule="auto"/>
              <w:jc w:val="left"/>
              <w:outlineLvl w:val="0"/>
              <w:rPr>
                <w:rFonts w:ascii="Times New Roman" w:hAnsi="Times New Roman"/>
                <w:sz w:val="16"/>
                <w:szCs w:val="16"/>
              </w:rPr>
            </w:pPr>
          </w:p>
        </w:tc>
      </w:tr>
      <w:tr w:rsidR="00637168" w:rsidRPr="00B749FB" w14:paraId="220914CD" w14:textId="77777777" w:rsidTr="00637168">
        <w:trPr>
          <w:trHeight w:val="204"/>
        </w:trPr>
        <w:tc>
          <w:tcPr>
            <w:tcW w:w="2694" w:type="dxa"/>
            <w:tcBorders>
              <w:top w:val="nil"/>
              <w:left w:val="nil"/>
              <w:bottom w:val="nil"/>
              <w:right w:val="nil"/>
            </w:tcBorders>
            <w:shd w:val="clear" w:color="auto" w:fill="auto"/>
            <w:vAlign w:val="bottom"/>
            <w:hideMark/>
          </w:tcPr>
          <w:p w14:paraId="6682BAD9" w14:textId="77777777" w:rsidR="00637168" w:rsidRPr="00637168" w:rsidRDefault="00637168" w:rsidP="00637168">
            <w:pPr>
              <w:spacing w:after="0" w:line="240" w:lineRule="auto"/>
              <w:ind w:left="113"/>
              <w:jc w:val="left"/>
              <w:rPr>
                <w:rFonts w:ascii="Arial" w:hAnsi="Arial" w:cs="Arial"/>
                <w:sz w:val="16"/>
                <w:szCs w:val="16"/>
              </w:rPr>
            </w:pPr>
            <w:r w:rsidRPr="00637168">
              <w:rPr>
                <w:rFonts w:ascii="Arial" w:hAnsi="Arial" w:cs="Arial"/>
                <w:sz w:val="16"/>
                <w:szCs w:val="16"/>
              </w:rPr>
              <w:t>Ordinary Annual Services (Appropriation Act No. 1 and Bill No. 3)</w:t>
            </w:r>
          </w:p>
        </w:tc>
        <w:tc>
          <w:tcPr>
            <w:tcW w:w="976" w:type="dxa"/>
            <w:tcBorders>
              <w:top w:val="nil"/>
              <w:left w:val="nil"/>
              <w:bottom w:val="nil"/>
              <w:right w:val="nil"/>
            </w:tcBorders>
            <w:shd w:val="clear" w:color="auto" w:fill="auto"/>
            <w:noWrap/>
            <w:vAlign w:val="bottom"/>
            <w:hideMark/>
          </w:tcPr>
          <w:p w14:paraId="404701C1" w14:textId="549D03F9"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48,044 </w:t>
            </w:r>
          </w:p>
        </w:tc>
        <w:tc>
          <w:tcPr>
            <w:tcW w:w="1009" w:type="dxa"/>
            <w:tcBorders>
              <w:top w:val="nil"/>
              <w:left w:val="nil"/>
              <w:bottom w:val="nil"/>
              <w:right w:val="nil"/>
            </w:tcBorders>
            <w:shd w:val="clear" w:color="auto" w:fill="E6E6E6"/>
            <w:noWrap/>
            <w:vAlign w:val="bottom"/>
            <w:hideMark/>
          </w:tcPr>
          <w:p w14:paraId="7F1B2AAB" w14:textId="0A36424E"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213,642 </w:t>
            </w:r>
          </w:p>
        </w:tc>
        <w:tc>
          <w:tcPr>
            <w:tcW w:w="977" w:type="dxa"/>
            <w:tcBorders>
              <w:top w:val="nil"/>
              <w:left w:val="nil"/>
              <w:bottom w:val="nil"/>
              <w:right w:val="nil"/>
            </w:tcBorders>
            <w:shd w:val="clear" w:color="auto" w:fill="auto"/>
            <w:noWrap/>
            <w:vAlign w:val="bottom"/>
            <w:hideMark/>
          </w:tcPr>
          <w:p w14:paraId="5040CEFE" w14:textId="63D41D4F"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213,762 </w:t>
            </w:r>
          </w:p>
        </w:tc>
        <w:tc>
          <w:tcPr>
            <w:tcW w:w="977" w:type="dxa"/>
            <w:tcBorders>
              <w:top w:val="nil"/>
              <w:left w:val="nil"/>
              <w:bottom w:val="nil"/>
              <w:right w:val="nil"/>
            </w:tcBorders>
            <w:shd w:val="clear" w:color="auto" w:fill="auto"/>
            <w:noWrap/>
            <w:vAlign w:val="bottom"/>
            <w:hideMark/>
          </w:tcPr>
          <w:p w14:paraId="6151BD43" w14:textId="3E7D2EA7"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16,578 </w:t>
            </w:r>
          </w:p>
        </w:tc>
        <w:tc>
          <w:tcPr>
            <w:tcW w:w="977" w:type="dxa"/>
            <w:tcBorders>
              <w:top w:val="nil"/>
              <w:left w:val="nil"/>
              <w:bottom w:val="nil"/>
              <w:right w:val="nil"/>
            </w:tcBorders>
            <w:shd w:val="clear" w:color="auto" w:fill="auto"/>
            <w:noWrap/>
            <w:vAlign w:val="bottom"/>
            <w:hideMark/>
          </w:tcPr>
          <w:p w14:paraId="17D6AF20" w14:textId="6619971C"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22,324 </w:t>
            </w:r>
          </w:p>
        </w:tc>
      </w:tr>
      <w:tr w:rsidR="00637168" w:rsidRPr="00B749FB" w14:paraId="367900C5" w14:textId="77777777" w:rsidTr="00637168">
        <w:trPr>
          <w:trHeight w:val="204"/>
        </w:trPr>
        <w:tc>
          <w:tcPr>
            <w:tcW w:w="2694" w:type="dxa"/>
            <w:tcBorders>
              <w:top w:val="nil"/>
              <w:left w:val="nil"/>
              <w:bottom w:val="nil"/>
              <w:right w:val="nil"/>
            </w:tcBorders>
            <w:shd w:val="clear" w:color="auto" w:fill="auto"/>
            <w:vAlign w:val="bottom"/>
            <w:hideMark/>
          </w:tcPr>
          <w:p w14:paraId="516FBC76" w14:textId="77777777" w:rsidR="00637168" w:rsidRPr="00637168" w:rsidRDefault="00637168" w:rsidP="00637168">
            <w:pPr>
              <w:spacing w:after="0" w:line="240" w:lineRule="auto"/>
              <w:ind w:left="113"/>
              <w:jc w:val="left"/>
              <w:rPr>
                <w:rFonts w:ascii="Arial" w:hAnsi="Arial" w:cs="Arial"/>
                <w:sz w:val="16"/>
                <w:szCs w:val="16"/>
              </w:rPr>
            </w:pPr>
            <w:r w:rsidRPr="00637168">
              <w:rPr>
                <w:rFonts w:ascii="Arial" w:hAnsi="Arial" w:cs="Arial"/>
                <w:sz w:val="16"/>
                <w:szCs w:val="16"/>
              </w:rPr>
              <w:t>Special accounts</w:t>
            </w:r>
          </w:p>
        </w:tc>
        <w:tc>
          <w:tcPr>
            <w:tcW w:w="976" w:type="dxa"/>
            <w:tcBorders>
              <w:top w:val="nil"/>
              <w:left w:val="nil"/>
              <w:bottom w:val="nil"/>
              <w:right w:val="nil"/>
            </w:tcBorders>
            <w:shd w:val="clear" w:color="auto" w:fill="auto"/>
            <w:noWrap/>
            <w:vAlign w:val="bottom"/>
            <w:hideMark/>
          </w:tcPr>
          <w:p w14:paraId="469DD95A" w14:textId="32C6AB2A"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320,760 </w:t>
            </w:r>
          </w:p>
        </w:tc>
        <w:tc>
          <w:tcPr>
            <w:tcW w:w="1009" w:type="dxa"/>
            <w:tcBorders>
              <w:top w:val="nil"/>
              <w:left w:val="nil"/>
              <w:bottom w:val="nil"/>
              <w:right w:val="nil"/>
            </w:tcBorders>
            <w:shd w:val="clear" w:color="auto" w:fill="E6E6E6"/>
            <w:noWrap/>
            <w:vAlign w:val="bottom"/>
            <w:hideMark/>
          </w:tcPr>
          <w:p w14:paraId="30A82D69" w14:textId="65629FE9"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341,215 </w:t>
            </w:r>
          </w:p>
        </w:tc>
        <w:tc>
          <w:tcPr>
            <w:tcW w:w="977" w:type="dxa"/>
            <w:tcBorders>
              <w:top w:val="nil"/>
              <w:left w:val="nil"/>
              <w:bottom w:val="nil"/>
              <w:right w:val="nil"/>
            </w:tcBorders>
            <w:shd w:val="clear" w:color="auto" w:fill="auto"/>
            <w:noWrap/>
            <w:vAlign w:val="bottom"/>
            <w:hideMark/>
          </w:tcPr>
          <w:p w14:paraId="3EE2D535" w14:textId="20884D82"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329,064 </w:t>
            </w:r>
          </w:p>
        </w:tc>
        <w:tc>
          <w:tcPr>
            <w:tcW w:w="977" w:type="dxa"/>
            <w:tcBorders>
              <w:top w:val="nil"/>
              <w:left w:val="nil"/>
              <w:bottom w:val="nil"/>
              <w:right w:val="nil"/>
            </w:tcBorders>
            <w:shd w:val="clear" w:color="auto" w:fill="auto"/>
            <w:noWrap/>
            <w:vAlign w:val="bottom"/>
            <w:hideMark/>
          </w:tcPr>
          <w:p w14:paraId="1F1A37B6" w14:textId="60C579CC"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312,250 </w:t>
            </w:r>
          </w:p>
        </w:tc>
        <w:tc>
          <w:tcPr>
            <w:tcW w:w="977" w:type="dxa"/>
            <w:tcBorders>
              <w:top w:val="nil"/>
              <w:left w:val="nil"/>
              <w:bottom w:val="nil"/>
              <w:right w:val="nil"/>
            </w:tcBorders>
            <w:shd w:val="clear" w:color="auto" w:fill="auto"/>
            <w:noWrap/>
            <w:vAlign w:val="bottom"/>
            <w:hideMark/>
          </w:tcPr>
          <w:p w14:paraId="4BD7F258" w14:textId="77D2A09A"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312,250 </w:t>
            </w:r>
          </w:p>
        </w:tc>
      </w:tr>
      <w:tr w:rsidR="00637168" w:rsidRPr="00B749FB" w14:paraId="6D30EA15" w14:textId="77777777" w:rsidTr="00637168">
        <w:trPr>
          <w:trHeight w:val="204"/>
        </w:trPr>
        <w:tc>
          <w:tcPr>
            <w:tcW w:w="2694" w:type="dxa"/>
            <w:tcBorders>
              <w:top w:val="nil"/>
              <w:left w:val="nil"/>
              <w:bottom w:val="nil"/>
              <w:right w:val="nil"/>
            </w:tcBorders>
            <w:shd w:val="clear" w:color="auto" w:fill="auto"/>
            <w:vAlign w:val="bottom"/>
            <w:hideMark/>
          </w:tcPr>
          <w:p w14:paraId="5B1F677F" w14:textId="77777777" w:rsidR="00637168" w:rsidRPr="00637168" w:rsidRDefault="00637168" w:rsidP="00637168">
            <w:pPr>
              <w:spacing w:after="0" w:line="240" w:lineRule="auto"/>
              <w:ind w:left="113"/>
              <w:jc w:val="left"/>
              <w:rPr>
                <w:rFonts w:ascii="Arial" w:hAnsi="Arial" w:cs="Arial"/>
                <w:sz w:val="16"/>
                <w:szCs w:val="16"/>
              </w:rPr>
            </w:pPr>
            <w:r w:rsidRPr="00637168">
              <w:rPr>
                <w:rFonts w:ascii="Arial" w:hAnsi="Arial" w:cs="Arial"/>
                <w:sz w:val="16"/>
                <w:szCs w:val="16"/>
              </w:rPr>
              <w:t xml:space="preserve">Payments to corporate entities </w:t>
            </w:r>
            <w:r w:rsidRPr="00637168">
              <w:rPr>
                <w:rFonts w:ascii="Arial" w:hAnsi="Arial" w:cs="Arial"/>
                <w:sz w:val="16"/>
                <w:szCs w:val="16"/>
                <w:vertAlign w:val="superscript"/>
              </w:rPr>
              <w:t>(a)</w:t>
            </w:r>
          </w:p>
        </w:tc>
        <w:tc>
          <w:tcPr>
            <w:tcW w:w="976" w:type="dxa"/>
            <w:tcBorders>
              <w:top w:val="nil"/>
              <w:left w:val="nil"/>
              <w:bottom w:val="nil"/>
              <w:right w:val="nil"/>
            </w:tcBorders>
            <w:shd w:val="clear" w:color="auto" w:fill="auto"/>
            <w:noWrap/>
            <w:vAlign w:val="bottom"/>
            <w:hideMark/>
          </w:tcPr>
          <w:p w14:paraId="5ED25C7C" w14:textId="45D0B11F"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1,362,287 </w:t>
            </w:r>
          </w:p>
        </w:tc>
        <w:tc>
          <w:tcPr>
            <w:tcW w:w="1009" w:type="dxa"/>
            <w:tcBorders>
              <w:top w:val="nil"/>
              <w:left w:val="nil"/>
              <w:bottom w:val="nil"/>
              <w:right w:val="nil"/>
            </w:tcBorders>
            <w:shd w:val="clear" w:color="auto" w:fill="E6E6E6"/>
            <w:noWrap/>
            <w:vAlign w:val="bottom"/>
            <w:hideMark/>
          </w:tcPr>
          <w:p w14:paraId="4732E9B9" w14:textId="7C7D2B3A"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1,380,118 </w:t>
            </w:r>
          </w:p>
        </w:tc>
        <w:tc>
          <w:tcPr>
            <w:tcW w:w="977" w:type="dxa"/>
            <w:tcBorders>
              <w:top w:val="nil"/>
              <w:left w:val="nil"/>
              <w:bottom w:val="nil"/>
              <w:right w:val="nil"/>
            </w:tcBorders>
            <w:shd w:val="clear" w:color="auto" w:fill="auto"/>
            <w:noWrap/>
            <w:vAlign w:val="bottom"/>
            <w:hideMark/>
          </w:tcPr>
          <w:p w14:paraId="073D2E89" w14:textId="6308846C"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1,363,431 </w:t>
            </w:r>
          </w:p>
        </w:tc>
        <w:tc>
          <w:tcPr>
            <w:tcW w:w="977" w:type="dxa"/>
            <w:tcBorders>
              <w:top w:val="nil"/>
              <w:left w:val="nil"/>
              <w:bottom w:val="nil"/>
              <w:right w:val="nil"/>
            </w:tcBorders>
            <w:shd w:val="clear" w:color="auto" w:fill="auto"/>
            <w:noWrap/>
            <w:vAlign w:val="bottom"/>
            <w:hideMark/>
          </w:tcPr>
          <w:p w14:paraId="512EE674" w14:textId="4BB3AC76"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1,385,468 </w:t>
            </w:r>
          </w:p>
        </w:tc>
        <w:tc>
          <w:tcPr>
            <w:tcW w:w="977" w:type="dxa"/>
            <w:tcBorders>
              <w:top w:val="nil"/>
              <w:left w:val="nil"/>
              <w:bottom w:val="nil"/>
              <w:right w:val="nil"/>
            </w:tcBorders>
            <w:shd w:val="clear" w:color="auto" w:fill="auto"/>
            <w:noWrap/>
            <w:vAlign w:val="bottom"/>
            <w:hideMark/>
          </w:tcPr>
          <w:p w14:paraId="0F4BE22F" w14:textId="67F3401F"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1,400,469 </w:t>
            </w:r>
          </w:p>
        </w:tc>
      </w:tr>
      <w:tr w:rsidR="00637168" w:rsidRPr="00B749FB" w14:paraId="5999840D" w14:textId="77777777" w:rsidTr="00637168">
        <w:trPr>
          <w:trHeight w:val="204"/>
        </w:trPr>
        <w:tc>
          <w:tcPr>
            <w:tcW w:w="2694" w:type="dxa"/>
            <w:tcBorders>
              <w:top w:val="nil"/>
              <w:left w:val="nil"/>
              <w:bottom w:val="nil"/>
              <w:right w:val="nil"/>
            </w:tcBorders>
            <w:shd w:val="clear" w:color="auto" w:fill="auto"/>
            <w:vAlign w:val="bottom"/>
            <w:hideMark/>
          </w:tcPr>
          <w:p w14:paraId="08910CA3" w14:textId="149D60B1" w:rsidR="00637168" w:rsidRPr="00637168" w:rsidRDefault="00637168" w:rsidP="00637168">
            <w:pPr>
              <w:spacing w:after="0" w:line="240" w:lineRule="auto"/>
              <w:ind w:left="113"/>
              <w:jc w:val="left"/>
              <w:rPr>
                <w:rFonts w:ascii="Arial" w:hAnsi="Arial" w:cs="Arial"/>
                <w:sz w:val="16"/>
                <w:szCs w:val="16"/>
              </w:rPr>
            </w:pPr>
            <w:r w:rsidRPr="00637168">
              <w:rPr>
                <w:rFonts w:ascii="Arial" w:hAnsi="Arial" w:cs="Arial"/>
                <w:sz w:val="16"/>
                <w:szCs w:val="16"/>
              </w:rPr>
              <w:t>Expenses not requiring appropriation in the Budget year </w:t>
            </w:r>
            <w:r w:rsidRPr="00637168">
              <w:rPr>
                <w:rFonts w:ascii="Arial" w:hAnsi="Arial" w:cs="Arial"/>
                <w:sz w:val="16"/>
                <w:szCs w:val="16"/>
                <w:vertAlign w:val="superscript"/>
              </w:rPr>
              <w:t>(c)</w:t>
            </w:r>
          </w:p>
        </w:tc>
        <w:tc>
          <w:tcPr>
            <w:tcW w:w="976" w:type="dxa"/>
            <w:tcBorders>
              <w:top w:val="nil"/>
              <w:left w:val="nil"/>
              <w:bottom w:val="nil"/>
              <w:right w:val="nil"/>
            </w:tcBorders>
            <w:shd w:val="clear" w:color="auto" w:fill="auto"/>
            <w:noWrap/>
            <w:vAlign w:val="bottom"/>
            <w:hideMark/>
          </w:tcPr>
          <w:p w14:paraId="3F9E76FF" w14:textId="00DE9374"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443,028 </w:t>
            </w:r>
          </w:p>
        </w:tc>
        <w:tc>
          <w:tcPr>
            <w:tcW w:w="1009" w:type="dxa"/>
            <w:tcBorders>
              <w:top w:val="nil"/>
              <w:left w:val="nil"/>
              <w:bottom w:val="nil"/>
              <w:right w:val="nil"/>
            </w:tcBorders>
            <w:shd w:val="clear" w:color="auto" w:fill="E6E6E6"/>
            <w:noWrap/>
            <w:vAlign w:val="bottom"/>
            <w:hideMark/>
          </w:tcPr>
          <w:p w14:paraId="3D47EDCD" w14:textId="19BAD39C"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790,157 </w:t>
            </w:r>
          </w:p>
        </w:tc>
        <w:tc>
          <w:tcPr>
            <w:tcW w:w="977" w:type="dxa"/>
            <w:tcBorders>
              <w:top w:val="nil"/>
              <w:left w:val="nil"/>
              <w:bottom w:val="nil"/>
              <w:right w:val="nil"/>
            </w:tcBorders>
            <w:shd w:val="clear" w:color="auto" w:fill="auto"/>
            <w:noWrap/>
            <w:vAlign w:val="bottom"/>
            <w:hideMark/>
          </w:tcPr>
          <w:p w14:paraId="0B7AB129" w14:textId="62CA1963"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841,054 </w:t>
            </w:r>
          </w:p>
        </w:tc>
        <w:tc>
          <w:tcPr>
            <w:tcW w:w="977" w:type="dxa"/>
            <w:tcBorders>
              <w:top w:val="nil"/>
              <w:left w:val="nil"/>
              <w:bottom w:val="nil"/>
              <w:right w:val="nil"/>
            </w:tcBorders>
            <w:shd w:val="clear" w:color="auto" w:fill="auto"/>
            <w:noWrap/>
            <w:vAlign w:val="bottom"/>
            <w:hideMark/>
          </w:tcPr>
          <w:p w14:paraId="7CEB23A5" w14:textId="7D315AAD"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815,561 </w:t>
            </w:r>
          </w:p>
        </w:tc>
        <w:tc>
          <w:tcPr>
            <w:tcW w:w="977" w:type="dxa"/>
            <w:tcBorders>
              <w:top w:val="nil"/>
              <w:left w:val="nil"/>
              <w:bottom w:val="nil"/>
              <w:right w:val="nil"/>
            </w:tcBorders>
            <w:shd w:val="clear" w:color="auto" w:fill="auto"/>
            <w:noWrap/>
            <w:vAlign w:val="bottom"/>
            <w:hideMark/>
          </w:tcPr>
          <w:p w14:paraId="63C36228" w14:textId="1F9592DA"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815,608 </w:t>
            </w:r>
          </w:p>
        </w:tc>
      </w:tr>
      <w:tr w:rsidR="00637168" w:rsidRPr="00B749FB" w14:paraId="2D66386A" w14:textId="77777777" w:rsidTr="00637168">
        <w:trPr>
          <w:trHeight w:val="204"/>
        </w:trPr>
        <w:tc>
          <w:tcPr>
            <w:tcW w:w="2694" w:type="dxa"/>
            <w:tcBorders>
              <w:top w:val="nil"/>
              <w:left w:val="nil"/>
              <w:bottom w:val="nil"/>
              <w:right w:val="nil"/>
            </w:tcBorders>
            <w:shd w:val="clear" w:color="auto" w:fill="auto"/>
            <w:vAlign w:val="bottom"/>
            <w:hideMark/>
          </w:tcPr>
          <w:p w14:paraId="716BD9A9" w14:textId="1967F1AC" w:rsidR="00637168" w:rsidRPr="00637168" w:rsidRDefault="00637168" w:rsidP="00637168">
            <w:pPr>
              <w:spacing w:after="0" w:line="240" w:lineRule="auto"/>
              <w:ind w:firstLineChars="100" w:firstLine="160"/>
              <w:jc w:val="right"/>
              <w:rPr>
                <w:rFonts w:ascii="Arial" w:hAnsi="Arial" w:cs="Arial"/>
                <w:b/>
                <w:bCs/>
                <w:sz w:val="16"/>
                <w:szCs w:val="16"/>
              </w:rPr>
            </w:pPr>
            <w:r w:rsidRPr="00637168">
              <w:rPr>
                <w:rFonts w:ascii="Arial" w:hAnsi="Arial" w:cs="Arial"/>
                <w:b/>
                <w:bCs/>
                <w:sz w:val="16"/>
                <w:szCs w:val="16"/>
              </w:rPr>
              <w:t>Total Administered expenses</w:t>
            </w:r>
          </w:p>
        </w:tc>
        <w:tc>
          <w:tcPr>
            <w:tcW w:w="976" w:type="dxa"/>
            <w:tcBorders>
              <w:top w:val="single" w:sz="4" w:space="0" w:color="auto"/>
              <w:left w:val="nil"/>
              <w:bottom w:val="single" w:sz="4" w:space="0" w:color="auto"/>
              <w:right w:val="nil"/>
            </w:tcBorders>
            <w:shd w:val="clear" w:color="auto" w:fill="auto"/>
            <w:noWrap/>
            <w:vAlign w:val="bottom"/>
            <w:hideMark/>
          </w:tcPr>
          <w:p w14:paraId="518A1AA9" w14:textId="616456E6"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2,174,119 </w:t>
            </w:r>
          </w:p>
        </w:tc>
        <w:tc>
          <w:tcPr>
            <w:tcW w:w="1009" w:type="dxa"/>
            <w:tcBorders>
              <w:top w:val="single" w:sz="4" w:space="0" w:color="auto"/>
              <w:left w:val="nil"/>
              <w:bottom w:val="single" w:sz="4" w:space="0" w:color="auto"/>
              <w:right w:val="nil"/>
            </w:tcBorders>
            <w:shd w:val="clear" w:color="auto" w:fill="E6E6E6"/>
            <w:noWrap/>
            <w:vAlign w:val="bottom"/>
            <w:hideMark/>
          </w:tcPr>
          <w:p w14:paraId="3A2D9F62" w14:textId="3ABC97A5"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2,725,132 </w:t>
            </w:r>
          </w:p>
        </w:tc>
        <w:tc>
          <w:tcPr>
            <w:tcW w:w="977" w:type="dxa"/>
            <w:tcBorders>
              <w:top w:val="single" w:sz="4" w:space="0" w:color="auto"/>
              <w:left w:val="nil"/>
              <w:bottom w:val="single" w:sz="4" w:space="0" w:color="auto"/>
              <w:right w:val="nil"/>
            </w:tcBorders>
            <w:shd w:val="clear" w:color="auto" w:fill="auto"/>
            <w:noWrap/>
            <w:vAlign w:val="bottom"/>
            <w:hideMark/>
          </w:tcPr>
          <w:p w14:paraId="03485237" w14:textId="0A738B66"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2,747,311 </w:t>
            </w:r>
          </w:p>
        </w:tc>
        <w:tc>
          <w:tcPr>
            <w:tcW w:w="977" w:type="dxa"/>
            <w:tcBorders>
              <w:top w:val="single" w:sz="4" w:space="0" w:color="auto"/>
              <w:left w:val="nil"/>
              <w:bottom w:val="single" w:sz="4" w:space="0" w:color="auto"/>
              <w:right w:val="nil"/>
            </w:tcBorders>
            <w:shd w:val="clear" w:color="auto" w:fill="auto"/>
            <w:noWrap/>
            <w:vAlign w:val="bottom"/>
            <w:hideMark/>
          </w:tcPr>
          <w:p w14:paraId="0886B2C5" w14:textId="51AC31DB"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2,529,857 </w:t>
            </w:r>
          </w:p>
        </w:tc>
        <w:tc>
          <w:tcPr>
            <w:tcW w:w="977" w:type="dxa"/>
            <w:tcBorders>
              <w:top w:val="single" w:sz="4" w:space="0" w:color="auto"/>
              <w:left w:val="nil"/>
              <w:bottom w:val="single" w:sz="4" w:space="0" w:color="auto"/>
              <w:right w:val="nil"/>
            </w:tcBorders>
            <w:shd w:val="clear" w:color="auto" w:fill="auto"/>
            <w:noWrap/>
            <w:vAlign w:val="bottom"/>
            <w:hideMark/>
          </w:tcPr>
          <w:p w14:paraId="3284D82E" w14:textId="11FEAC86"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2,550,651 </w:t>
            </w:r>
          </w:p>
        </w:tc>
      </w:tr>
      <w:tr w:rsidR="00637168" w:rsidRPr="00B749FB" w14:paraId="27811B24" w14:textId="77777777" w:rsidTr="00637168">
        <w:trPr>
          <w:trHeight w:val="204"/>
        </w:trPr>
        <w:tc>
          <w:tcPr>
            <w:tcW w:w="2694" w:type="dxa"/>
            <w:tcBorders>
              <w:top w:val="nil"/>
              <w:left w:val="nil"/>
              <w:bottom w:val="nil"/>
              <w:right w:val="nil"/>
            </w:tcBorders>
            <w:shd w:val="clear" w:color="auto" w:fill="auto"/>
            <w:noWrap/>
            <w:vAlign w:val="bottom"/>
            <w:hideMark/>
          </w:tcPr>
          <w:p w14:paraId="458F11B0" w14:textId="77777777" w:rsidR="00637168" w:rsidRPr="00637168" w:rsidRDefault="00637168" w:rsidP="00637168">
            <w:pPr>
              <w:spacing w:after="0" w:line="240" w:lineRule="auto"/>
              <w:jc w:val="left"/>
              <w:rPr>
                <w:rFonts w:ascii="Arial" w:hAnsi="Arial" w:cs="Arial"/>
                <w:sz w:val="16"/>
                <w:szCs w:val="16"/>
              </w:rPr>
            </w:pPr>
            <w:r w:rsidRPr="00637168">
              <w:rPr>
                <w:rFonts w:ascii="Arial" w:hAnsi="Arial" w:cs="Arial"/>
                <w:sz w:val="16"/>
                <w:szCs w:val="16"/>
              </w:rPr>
              <w:t>Departmental expenses</w:t>
            </w:r>
          </w:p>
        </w:tc>
        <w:tc>
          <w:tcPr>
            <w:tcW w:w="976" w:type="dxa"/>
            <w:tcBorders>
              <w:top w:val="nil"/>
              <w:left w:val="nil"/>
              <w:bottom w:val="nil"/>
              <w:right w:val="nil"/>
            </w:tcBorders>
            <w:shd w:val="clear" w:color="auto" w:fill="auto"/>
            <w:noWrap/>
            <w:vAlign w:val="bottom"/>
            <w:hideMark/>
          </w:tcPr>
          <w:p w14:paraId="1CA66099" w14:textId="77777777" w:rsidR="00637168" w:rsidRPr="00637168" w:rsidRDefault="00637168" w:rsidP="00637168">
            <w:pPr>
              <w:spacing w:after="0" w:line="240" w:lineRule="auto"/>
              <w:jc w:val="left"/>
              <w:rPr>
                <w:rFonts w:ascii="Arial" w:hAnsi="Arial" w:cs="Arial"/>
                <w:sz w:val="16"/>
                <w:szCs w:val="16"/>
              </w:rPr>
            </w:pPr>
          </w:p>
        </w:tc>
        <w:tc>
          <w:tcPr>
            <w:tcW w:w="1009" w:type="dxa"/>
            <w:tcBorders>
              <w:top w:val="nil"/>
              <w:left w:val="nil"/>
              <w:bottom w:val="nil"/>
              <w:right w:val="nil"/>
            </w:tcBorders>
            <w:shd w:val="clear" w:color="auto" w:fill="E6E6E6"/>
            <w:noWrap/>
            <w:vAlign w:val="bottom"/>
            <w:hideMark/>
          </w:tcPr>
          <w:p w14:paraId="35D48CAC" w14:textId="722D3DB5"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36257A14" w14:textId="77777777" w:rsidR="00637168" w:rsidRPr="00637168" w:rsidRDefault="00637168" w:rsidP="00637168">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56C911B4" w14:textId="77777777" w:rsidR="00637168" w:rsidRPr="00637168" w:rsidRDefault="00637168" w:rsidP="00637168">
            <w:pPr>
              <w:spacing w:after="0" w:line="240" w:lineRule="auto"/>
              <w:jc w:val="right"/>
              <w:rPr>
                <w:rFonts w:ascii="Times New Roman" w:hAnsi="Times New Roman"/>
                <w:sz w:val="16"/>
                <w:szCs w:val="16"/>
              </w:rPr>
            </w:pPr>
          </w:p>
        </w:tc>
        <w:tc>
          <w:tcPr>
            <w:tcW w:w="977" w:type="dxa"/>
            <w:tcBorders>
              <w:top w:val="nil"/>
              <w:left w:val="nil"/>
              <w:bottom w:val="nil"/>
              <w:right w:val="nil"/>
            </w:tcBorders>
            <w:shd w:val="clear" w:color="auto" w:fill="auto"/>
            <w:noWrap/>
            <w:vAlign w:val="bottom"/>
            <w:hideMark/>
          </w:tcPr>
          <w:p w14:paraId="7AB90852" w14:textId="77777777" w:rsidR="00637168" w:rsidRPr="00637168" w:rsidRDefault="00637168" w:rsidP="00637168">
            <w:pPr>
              <w:spacing w:after="0" w:line="240" w:lineRule="auto"/>
              <w:jc w:val="right"/>
              <w:rPr>
                <w:rFonts w:ascii="Times New Roman" w:hAnsi="Times New Roman"/>
                <w:sz w:val="16"/>
                <w:szCs w:val="16"/>
              </w:rPr>
            </w:pPr>
          </w:p>
        </w:tc>
      </w:tr>
      <w:tr w:rsidR="00637168" w:rsidRPr="00B749FB" w14:paraId="2B732401" w14:textId="77777777" w:rsidTr="00637168">
        <w:trPr>
          <w:trHeight w:val="204"/>
        </w:trPr>
        <w:tc>
          <w:tcPr>
            <w:tcW w:w="2694" w:type="dxa"/>
            <w:tcBorders>
              <w:top w:val="nil"/>
              <w:left w:val="nil"/>
              <w:bottom w:val="nil"/>
              <w:right w:val="nil"/>
            </w:tcBorders>
            <w:shd w:val="clear" w:color="auto" w:fill="auto"/>
            <w:noWrap/>
            <w:vAlign w:val="bottom"/>
            <w:hideMark/>
          </w:tcPr>
          <w:p w14:paraId="1EFAF68B" w14:textId="77777777" w:rsidR="00637168" w:rsidRPr="00637168" w:rsidRDefault="00637168" w:rsidP="00637168">
            <w:pPr>
              <w:spacing w:after="0" w:line="240" w:lineRule="auto"/>
              <w:ind w:left="113"/>
              <w:jc w:val="left"/>
              <w:rPr>
                <w:rFonts w:ascii="Arial" w:hAnsi="Arial" w:cs="Arial"/>
                <w:sz w:val="16"/>
                <w:szCs w:val="16"/>
              </w:rPr>
            </w:pPr>
            <w:r w:rsidRPr="00637168">
              <w:rPr>
                <w:rFonts w:ascii="Arial" w:hAnsi="Arial" w:cs="Arial"/>
                <w:sz w:val="16"/>
                <w:szCs w:val="16"/>
              </w:rPr>
              <w:t>Departmental appropriation</w:t>
            </w:r>
          </w:p>
        </w:tc>
        <w:tc>
          <w:tcPr>
            <w:tcW w:w="976" w:type="dxa"/>
            <w:tcBorders>
              <w:top w:val="nil"/>
              <w:left w:val="nil"/>
              <w:bottom w:val="nil"/>
              <w:right w:val="nil"/>
            </w:tcBorders>
            <w:shd w:val="clear" w:color="auto" w:fill="auto"/>
            <w:noWrap/>
            <w:vAlign w:val="bottom"/>
            <w:hideMark/>
          </w:tcPr>
          <w:p w14:paraId="1CD0EA65" w14:textId="7CE105AE"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51,429 </w:t>
            </w:r>
          </w:p>
        </w:tc>
        <w:tc>
          <w:tcPr>
            <w:tcW w:w="1009" w:type="dxa"/>
            <w:tcBorders>
              <w:top w:val="nil"/>
              <w:left w:val="nil"/>
              <w:bottom w:val="nil"/>
              <w:right w:val="nil"/>
            </w:tcBorders>
            <w:shd w:val="clear" w:color="auto" w:fill="E6E6E6"/>
            <w:noWrap/>
            <w:vAlign w:val="bottom"/>
            <w:hideMark/>
          </w:tcPr>
          <w:p w14:paraId="15BCEB80" w14:textId="2CACB1C6"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69,369 </w:t>
            </w:r>
          </w:p>
        </w:tc>
        <w:tc>
          <w:tcPr>
            <w:tcW w:w="977" w:type="dxa"/>
            <w:tcBorders>
              <w:top w:val="nil"/>
              <w:left w:val="nil"/>
              <w:bottom w:val="nil"/>
              <w:right w:val="nil"/>
            </w:tcBorders>
            <w:shd w:val="clear" w:color="auto" w:fill="auto"/>
            <w:noWrap/>
            <w:vAlign w:val="bottom"/>
            <w:hideMark/>
          </w:tcPr>
          <w:p w14:paraId="0BA359EE" w14:textId="65FB76A6"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74,081 </w:t>
            </w:r>
          </w:p>
        </w:tc>
        <w:tc>
          <w:tcPr>
            <w:tcW w:w="977" w:type="dxa"/>
            <w:tcBorders>
              <w:top w:val="nil"/>
              <w:left w:val="nil"/>
              <w:bottom w:val="nil"/>
              <w:right w:val="nil"/>
            </w:tcBorders>
            <w:shd w:val="clear" w:color="auto" w:fill="auto"/>
            <w:noWrap/>
            <w:vAlign w:val="bottom"/>
            <w:hideMark/>
          </w:tcPr>
          <w:p w14:paraId="14BDBD6E" w14:textId="55FBBD93"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70,966 </w:t>
            </w:r>
          </w:p>
        </w:tc>
        <w:tc>
          <w:tcPr>
            <w:tcW w:w="977" w:type="dxa"/>
            <w:tcBorders>
              <w:top w:val="nil"/>
              <w:left w:val="nil"/>
              <w:bottom w:val="nil"/>
              <w:right w:val="nil"/>
            </w:tcBorders>
            <w:shd w:val="clear" w:color="auto" w:fill="auto"/>
            <w:noWrap/>
            <w:vAlign w:val="bottom"/>
            <w:hideMark/>
          </w:tcPr>
          <w:p w14:paraId="4E18E0C1" w14:textId="06DC213B"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62,062 </w:t>
            </w:r>
          </w:p>
        </w:tc>
      </w:tr>
      <w:tr w:rsidR="00637168" w:rsidRPr="00B749FB" w14:paraId="6821DDCA" w14:textId="77777777" w:rsidTr="00637168">
        <w:trPr>
          <w:trHeight w:val="204"/>
        </w:trPr>
        <w:tc>
          <w:tcPr>
            <w:tcW w:w="2694" w:type="dxa"/>
            <w:tcBorders>
              <w:top w:val="nil"/>
              <w:left w:val="nil"/>
              <w:bottom w:val="nil"/>
              <w:right w:val="nil"/>
            </w:tcBorders>
            <w:shd w:val="clear" w:color="auto" w:fill="auto"/>
            <w:noWrap/>
            <w:vAlign w:val="bottom"/>
            <w:hideMark/>
          </w:tcPr>
          <w:p w14:paraId="7B3916AC" w14:textId="64F6468D" w:rsidR="00637168" w:rsidRPr="00637168" w:rsidRDefault="00637168" w:rsidP="00637168">
            <w:pPr>
              <w:spacing w:after="0" w:line="240" w:lineRule="auto"/>
              <w:ind w:left="113"/>
              <w:jc w:val="left"/>
              <w:rPr>
                <w:rFonts w:ascii="Arial" w:hAnsi="Arial" w:cs="Arial"/>
                <w:sz w:val="16"/>
                <w:szCs w:val="16"/>
              </w:rPr>
            </w:pPr>
            <w:r w:rsidRPr="00637168">
              <w:rPr>
                <w:rFonts w:ascii="Arial" w:hAnsi="Arial" w:cs="Arial"/>
                <w:sz w:val="16"/>
                <w:szCs w:val="16"/>
              </w:rPr>
              <w:t xml:space="preserve">s74 External Revenue </w:t>
            </w:r>
            <w:r w:rsidRPr="00637168">
              <w:rPr>
                <w:rFonts w:ascii="Arial" w:hAnsi="Arial" w:cs="Arial"/>
                <w:sz w:val="16"/>
                <w:szCs w:val="16"/>
                <w:vertAlign w:val="superscript"/>
              </w:rPr>
              <w:t>(d)</w:t>
            </w:r>
          </w:p>
        </w:tc>
        <w:tc>
          <w:tcPr>
            <w:tcW w:w="976" w:type="dxa"/>
            <w:tcBorders>
              <w:top w:val="nil"/>
              <w:left w:val="nil"/>
              <w:bottom w:val="nil"/>
              <w:right w:val="nil"/>
            </w:tcBorders>
            <w:shd w:val="clear" w:color="auto" w:fill="auto"/>
            <w:noWrap/>
            <w:vAlign w:val="bottom"/>
            <w:hideMark/>
          </w:tcPr>
          <w:p w14:paraId="5827BC4B" w14:textId="2A448C3B"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3,900 </w:t>
            </w:r>
          </w:p>
        </w:tc>
        <w:tc>
          <w:tcPr>
            <w:tcW w:w="1009" w:type="dxa"/>
            <w:tcBorders>
              <w:top w:val="nil"/>
              <w:left w:val="nil"/>
              <w:bottom w:val="nil"/>
              <w:right w:val="nil"/>
            </w:tcBorders>
            <w:shd w:val="clear" w:color="auto" w:fill="E6E6E6"/>
            <w:noWrap/>
            <w:vAlign w:val="bottom"/>
            <w:hideMark/>
          </w:tcPr>
          <w:p w14:paraId="076F742C" w14:textId="69D40372"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2,075 </w:t>
            </w:r>
          </w:p>
        </w:tc>
        <w:tc>
          <w:tcPr>
            <w:tcW w:w="977" w:type="dxa"/>
            <w:tcBorders>
              <w:top w:val="nil"/>
              <w:left w:val="nil"/>
              <w:bottom w:val="nil"/>
              <w:right w:val="nil"/>
            </w:tcBorders>
            <w:shd w:val="clear" w:color="auto" w:fill="auto"/>
            <w:noWrap/>
            <w:vAlign w:val="bottom"/>
            <w:hideMark/>
          </w:tcPr>
          <w:p w14:paraId="59C8772D" w14:textId="41CFF544"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2,159 </w:t>
            </w:r>
          </w:p>
        </w:tc>
        <w:tc>
          <w:tcPr>
            <w:tcW w:w="977" w:type="dxa"/>
            <w:tcBorders>
              <w:top w:val="nil"/>
              <w:left w:val="nil"/>
              <w:bottom w:val="nil"/>
              <w:right w:val="nil"/>
            </w:tcBorders>
            <w:shd w:val="clear" w:color="auto" w:fill="auto"/>
            <w:noWrap/>
            <w:vAlign w:val="bottom"/>
            <w:hideMark/>
          </w:tcPr>
          <w:p w14:paraId="7A90E637" w14:textId="5F078F71"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2,409 </w:t>
            </w:r>
          </w:p>
        </w:tc>
        <w:tc>
          <w:tcPr>
            <w:tcW w:w="977" w:type="dxa"/>
            <w:tcBorders>
              <w:top w:val="nil"/>
              <w:left w:val="nil"/>
              <w:bottom w:val="nil"/>
              <w:right w:val="nil"/>
            </w:tcBorders>
            <w:shd w:val="clear" w:color="auto" w:fill="auto"/>
            <w:noWrap/>
            <w:vAlign w:val="bottom"/>
            <w:hideMark/>
          </w:tcPr>
          <w:p w14:paraId="23DCC943" w14:textId="42DCAF61"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2,409 </w:t>
            </w:r>
          </w:p>
        </w:tc>
      </w:tr>
      <w:tr w:rsidR="00637168" w:rsidRPr="00B749FB" w14:paraId="45FFAB3D" w14:textId="77777777" w:rsidTr="00637168">
        <w:trPr>
          <w:trHeight w:val="204"/>
        </w:trPr>
        <w:tc>
          <w:tcPr>
            <w:tcW w:w="2694" w:type="dxa"/>
            <w:tcBorders>
              <w:top w:val="nil"/>
              <w:left w:val="nil"/>
              <w:bottom w:val="nil"/>
              <w:right w:val="nil"/>
            </w:tcBorders>
            <w:shd w:val="clear" w:color="auto" w:fill="auto"/>
            <w:noWrap/>
            <w:vAlign w:val="bottom"/>
            <w:hideMark/>
          </w:tcPr>
          <w:p w14:paraId="76466F0A" w14:textId="77777777" w:rsidR="00637168" w:rsidRPr="00637168" w:rsidRDefault="00637168" w:rsidP="00637168">
            <w:pPr>
              <w:spacing w:after="0" w:line="240" w:lineRule="auto"/>
              <w:ind w:left="113"/>
              <w:jc w:val="left"/>
              <w:rPr>
                <w:rFonts w:ascii="Arial" w:hAnsi="Arial" w:cs="Arial"/>
                <w:sz w:val="16"/>
                <w:szCs w:val="16"/>
              </w:rPr>
            </w:pPr>
            <w:r w:rsidRPr="00637168">
              <w:rPr>
                <w:rFonts w:ascii="Arial" w:hAnsi="Arial" w:cs="Arial"/>
                <w:sz w:val="16"/>
                <w:szCs w:val="16"/>
              </w:rPr>
              <w:t>Special accounts</w:t>
            </w:r>
          </w:p>
        </w:tc>
        <w:tc>
          <w:tcPr>
            <w:tcW w:w="976" w:type="dxa"/>
            <w:tcBorders>
              <w:top w:val="nil"/>
              <w:left w:val="nil"/>
              <w:bottom w:val="nil"/>
              <w:right w:val="nil"/>
            </w:tcBorders>
            <w:shd w:val="clear" w:color="auto" w:fill="auto"/>
            <w:noWrap/>
            <w:vAlign w:val="bottom"/>
            <w:hideMark/>
          </w:tcPr>
          <w:p w14:paraId="071EB89D" w14:textId="0363A0F9"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4,046 </w:t>
            </w:r>
          </w:p>
        </w:tc>
        <w:tc>
          <w:tcPr>
            <w:tcW w:w="1009" w:type="dxa"/>
            <w:tcBorders>
              <w:top w:val="nil"/>
              <w:left w:val="nil"/>
              <w:bottom w:val="nil"/>
              <w:right w:val="nil"/>
            </w:tcBorders>
            <w:shd w:val="clear" w:color="auto" w:fill="E6E6E6"/>
            <w:noWrap/>
            <w:vAlign w:val="bottom"/>
            <w:hideMark/>
          </w:tcPr>
          <w:p w14:paraId="409D1AC1" w14:textId="015F7FE5"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4,046 </w:t>
            </w:r>
          </w:p>
        </w:tc>
        <w:tc>
          <w:tcPr>
            <w:tcW w:w="977" w:type="dxa"/>
            <w:tcBorders>
              <w:top w:val="nil"/>
              <w:left w:val="nil"/>
              <w:bottom w:val="nil"/>
              <w:right w:val="nil"/>
            </w:tcBorders>
            <w:shd w:val="clear" w:color="auto" w:fill="auto"/>
            <w:noWrap/>
            <w:vAlign w:val="bottom"/>
            <w:hideMark/>
          </w:tcPr>
          <w:p w14:paraId="66182F09" w14:textId="49F2AF6B"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4,046 </w:t>
            </w:r>
          </w:p>
        </w:tc>
        <w:tc>
          <w:tcPr>
            <w:tcW w:w="977" w:type="dxa"/>
            <w:tcBorders>
              <w:top w:val="nil"/>
              <w:left w:val="nil"/>
              <w:bottom w:val="nil"/>
              <w:right w:val="nil"/>
            </w:tcBorders>
            <w:shd w:val="clear" w:color="auto" w:fill="auto"/>
            <w:noWrap/>
            <w:vAlign w:val="bottom"/>
            <w:hideMark/>
          </w:tcPr>
          <w:p w14:paraId="48D14CB4" w14:textId="088948F5"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4,046 </w:t>
            </w:r>
          </w:p>
        </w:tc>
        <w:tc>
          <w:tcPr>
            <w:tcW w:w="977" w:type="dxa"/>
            <w:tcBorders>
              <w:top w:val="nil"/>
              <w:left w:val="nil"/>
              <w:bottom w:val="nil"/>
              <w:right w:val="nil"/>
            </w:tcBorders>
            <w:shd w:val="clear" w:color="auto" w:fill="auto"/>
            <w:noWrap/>
            <w:vAlign w:val="bottom"/>
            <w:hideMark/>
          </w:tcPr>
          <w:p w14:paraId="20786677" w14:textId="1A276EAF"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4,046 </w:t>
            </w:r>
          </w:p>
        </w:tc>
      </w:tr>
      <w:tr w:rsidR="00637168" w:rsidRPr="00B749FB" w14:paraId="2F9DA1C2" w14:textId="77777777" w:rsidTr="00637168">
        <w:trPr>
          <w:trHeight w:val="204"/>
        </w:trPr>
        <w:tc>
          <w:tcPr>
            <w:tcW w:w="2694" w:type="dxa"/>
            <w:tcBorders>
              <w:top w:val="nil"/>
              <w:left w:val="nil"/>
              <w:bottom w:val="nil"/>
              <w:right w:val="nil"/>
            </w:tcBorders>
            <w:shd w:val="clear" w:color="auto" w:fill="auto"/>
            <w:vAlign w:val="bottom"/>
            <w:hideMark/>
          </w:tcPr>
          <w:p w14:paraId="7C590BFD" w14:textId="5D6F4B85" w:rsidR="00637168" w:rsidRPr="00637168" w:rsidRDefault="00637168" w:rsidP="00637168">
            <w:pPr>
              <w:spacing w:after="0" w:line="240" w:lineRule="auto"/>
              <w:ind w:left="113"/>
              <w:jc w:val="left"/>
              <w:rPr>
                <w:rFonts w:ascii="Arial" w:hAnsi="Arial" w:cs="Arial"/>
                <w:sz w:val="16"/>
                <w:szCs w:val="16"/>
              </w:rPr>
            </w:pPr>
            <w:r w:rsidRPr="00637168">
              <w:rPr>
                <w:rFonts w:ascii="Arial" w:hAnsi="Arial" w:cs="Arial"/>
                <w:sz w:val="16"/>
                <w:szCs w:val="16"/>
              </w:rPr>
              <w:t>Expenses not requiring appropriation in the Budget year </w:t>
            </w:r>
            <w:r w:rsidRPr="00637168">
              <w:rPr>
                <w:rFonts w:ascii="Arial" w:hAnsi="Arial" w:cs="Arial"/>
                <w:sz w:val="16"/>
                <w:szCs w:val="16"/>
                <w:vertAlign w:val="superscript"/>
              </w:rPr>
              <w:t>(e)</w:t>
            </w:r>
          </w:p>
        </w:tc>
        <w:tc>
          <w:tcPr>
            <w:tcW w:w="976" w:type="dxa"/>
            <w:tcBorders>
              <w:top w:val="nil"/>
              <w:left w:val="nil"/>
              <w:bottom w:val="nil"/>
              <w:right w:val="nil"/>
            </w:tcBorders>
            <w:shd w:val="clear" w:color="auto" w:fill="auto"/>
            <w:noWrap/>
            <w:vAlign w:val="bottom"/>
            <w:hideMark/>
          </w:tcPr>
          <w:p w14:paraId="7F2DD806" w14:textId="768C3B64"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4,748 </w:t>
            </w:r>
          </w:p>
        </w:tc>
        <w:tc>
          <w:tcPr>
            <w:tcW w:w="1009" w:type="dxa"/>
            <w:tcBorders>
              <w:top w:val="nil"/>
              <w:left w:val="nil"/>
              <w:bottom w:val="nil"/>
              <w:right w:val="nil"/>
            </w:tcBorders>
            <w:shd w:val="clear" w:color="auto" w:fill="E6E6E6"/>
            <w:noWrap/>
            <w:vAlign w:val="bottom"/>
            <w:hideMark/>
          </w:tcPr>
          <w:p w14:paraId="1CC56CC5" w14:textId="3C5192AC"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1,509 </w:t>
            </w:r>
          </w:p>
        </w:tc>
        <w:tc>
          <w:tcPr>
            <w:tcW w:w="977" w:type="dxa"/>
            <w:tcBorders>
              <w:top w:val="nil"/>
              <w:left w:val="nil"/>
              <w:bottom w:val="nil"/>
              <w:right w:val="nil"/>
            </w:tcBorders>
            <w:shd w:val="clear" w:color="auto" w:fill="auto"/>
            <w:noWrap/>
            <w:vAlign w:val="bottom"/>
            <w:hideMark/>
          </w:tcPr>
          <w:p w14:paraId="5CEA8E84" w14:textId="346C9E35"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1,612 </w:t>
            </w:r>
          </w:p>
        </w:tc>
        <w:tc>
          <w:tcPr>
            <w:tcW w:w="977" w:type="dxa"/>
            <w:tcBorders>
              <w:top w:val="nil"/>
              <w:left w:val="nil"/>
              <w:bottom w:val="nil"/>
              <w:right w:val="nil"/>
            </w:tcBorders>
            <w:shd w:val="clear" w:color="auto" w:fill="auto"/>
            <w:noWrap/>
            <w:vAlign w:val="bottom"/>
            <w:hideMark/>
          </w:tcPr>
          <w:p w14:paraId="2D6A4CB3" w14:textId="431E7DDB"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1,727 </w:t>
            </w:r>
          </w:p>
        </w:tc>
        <w:tc>
          <w:tcPr>
            <w:tcW w:w="977" w:type="dxa"/>
            <w:tcBorders>
              <w:top w:val="nil"/>
              <w:left w:val="nil"/>
              <w:bottom w:val="nil"/>
              <w:right w:val="nil"/>
            </w:tcBorders>
            <w:shd w:val="clear" w:color="auto" w:fill="auto"/>
            <w:noWrap/>
            <w:vAlign w:val="bottom"/>
            <w:hideMark/>
          </w:tcPr>
          <w:p w14:paraId="620D3456" w14:textId="3C5F46EE" w:rsidR="00637168" w:rsidRPr="00637168" w:rsidRDefault="00637168" w:rsidP="00637168">
            <w:pPr>
              <w:spacing w:after="0" w:line="240" w:lineRule="auto"/>
              <w:jc w:val="right"/>
              <w:rPr>
                <w:rFonts w:ascii="Arial" w:hAnsi="Arial" w:cs="Arial"/>
                <w:sz w:val="16"/>
                <w:szCs w:val="16"/>
              </w:rPr>
            </w:pPr>
            <w:r w:rsidRPr="00637168">
              <w:rPr>
                <w:rFonts w:ascii="Arial" w:hAnsi="Arial" w:cs="Arial"/>
                <w:sz w:val="16"/>
                <w:szCs w:val="16"/>
              </w:rPr>
              <w:t xml:space="preserve">1,887 </w:t>
            </w:r>
          </w:p>
        </w:tc>
      </w:tr>
      <w:tr w:rsidR="00637168" w:rsidRPr="00B749FB" w14:paraId="71A0F36F" w14:textId="77777777" w:rsidTr="00637168">
        <w:trPr>
          <w:trHeight w:val="204"/>
        </w:trPr>
        <w:tc>
          <w:tcPr>
            <w:tcW w:w="2694" w:type="dxa"/>
            <w:tcBorders>
              <w:top w:val="nil"/>
              <w:left w:val="nil"/>
              <w:bottom w:val="nil"/>
              <w:right w:val="nil"/>
            </w:tcBorders>
            <w:shd w:val="clear" w:color="auto" w:fill="auto"/>
            <w:vAlign w:val="bottom"/>
            <w:hideMark/>
          </w:tcPr>
          <w:p w14:paraId="4D535323" w14:textId="182A9D30" w:rsidR="00637168" w:rsidRPr="00637168" w:rsidRDefault="00637168" w:rsidP="00637168">
            <w:pPr>
              <w:spacing w:after="0" w:line="240" w:lineRule="auto"/>
              <w:ind w:firstLineChars="100" w:firstLine="160"/>
              <w:jc w:val="right"/>
              <w:rPr>
                <w:rFonts w:ascii="Arial" w:hAnsi="Arial" w:cs="Arial"/>
                <w:b/>
                <w:bCs/>
                <w:sz w:val="16"/>
                <w:szCs w:val="16"/>
              </w:rPr>
            </w:pPr>
            <w:r w:rsidRPr="00637168">
              <w:rPr>
                <w:rFonts w:ascii="Arial" w:hAnsi="Arial" w:cs="Arial"/>
                <w:b/>
                <w:bCs/>
                <w:sz w:val="16"/>
                <w:szCs w:val="16"/>
              </w:rPr>
              <w:t>Total Departmental expenses</w:t>
            </w:r>
          </w:p>
        </w:tc>
        <w:tc>
          <w:tcPr>
            <w:tcW w:w="976" w:type="dxa"/>
            <w:tcBorders>
              <w:top w:val="single" w:sz="4" w:space="0" w:color="auto"/>
              <w:left w:val="nil"/>
              <w:bottom w:val="single" w:sz="4" w:space="0" w:color="auto"/>
              <w:right w:val="nil"/>
            </w:tcBorders>
            <w:shd w:val="clear" w:color="auto" w:fill="auto"/>
            <w:noWrap/>
            <w:vAlign w:val="bottom"/>
            <w:hideMark/>
          </w:tcPr>
          <w:p w14:paraId="10A94062" w14:textId="2813F6E7"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64,123 </w:t>
            </w:r>
          </w:p>
        </w:tc>
        <w:tc>
          <w:tcPr>
            <w:tcW w:w="1009" w:type="dxa"/>
            <w:tcBorders>
              <w:top w:val="single" w:sz="4" w:space="0" w:color="auto"/>
              <w:left w:val="nil"/>
              <w:bottom w:val="single" w:sz="4" w:space="0" w:color="auto"/>
              <w:right w:val="nil"/>
            </w:tcBorders>
            <w:shd w:val="clear" w:color="auto" w:fill="E6E6E6"/>
            <w:noWrap/>
            <w:vAlign w:val="bottom"/>
            <w:hideMark/>
          </w:tcPr>
          <w:p w14:paraId="48179AD6" w14:textId="43E0D638"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76,999 </w:t>
            </w:r>
          </w:p>
        </w:tc>
        <w:tc>
          <w:tcPr>
            <w:tcW w:w="977" w:type="dxa"/>
            <w:tcBorders>
              <w:top w:val="single" w:sz="4" w:space="0" w:color="auto"/>
              <w:left w:val="nil"/>
              <w:bottom w:val="single" w:sz="4" w:space="0" w:color="auto"/>
              <w:right w:val="nil"/>
            </w:tcBorders>
            <w:shd w:val="clear" w:color="auto" w:fill="auto"/>
            <w:noWrap/>
            <w:vAlign w:val="bottom"/>
            <w:hideMark/>
          </w:tcPr>
          <w:p w14:paraId="4C9BD62A" w14:textId="0D7C9DA1"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81,898 </w:t>
            </w:r>
          </w:p>
        </w:tc>
        <w:tc>
          <w:tcPr>
            <w:tcW w:w="977" w:type="dxa"/>
            <w:tcBorders>
              <w:top w:val="single" w:sz="4" w:space="0" w:color="auto"/>
              <w:left w:val="nil"/>
              <w:bottom w:val="single" w:sz="4" w:space="0" w:color="auto"/>
              <w:right w:val="nil"/>
            </w:tcBorders>
            <w:shd w:val="clear" w:color="auto" w:fill="auto"/>
            <w:noWrap/>
            <w:vAlign w:val="bottom"/>
            <w:hideMark/>
          </w:tcPr>
          <w:p w14:paraId="1173DB9B" w14:textId="2734D1F5"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79,148 </w:t>
            </w:r>
          </w:p>
        </w:tc>
        <w:tc>
          <w:tcPr>
            <w:tcW w:w="977" w:type="dxa"/>
            <w:tcBorders>
              <w:top w:val="single" w:sz="4" w:space="0" w:color="auto"/>
              <w:left w:val="nil"/>
              <w:bottom w:val="single" w:sz="4" w:space="0" w:color="auto"/>
              <w:right w:val="nil"/>
            </w:tcBorders>
            <w:shd w:val="clear" w:color="auto" w:fill="auto"/>
            <w:noWrap/>
            <w:vAlign w:val="bottom"/>
            <w:hideMark/>
          </w:tcPr>
          <w:p w14:paraId="24BC94B0" w14:textId="0BD275FA"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70,404 </w:t>
            </w:r>
          </w:p>
        </w:tc>
      </w:tr>
      <w:tr w:rsidR="00637168" w:rsidRPr="00B749FB" w14:paraId="26823058" w14:textId="77777777" w:rsidTr="00637168">
        <w:trPr>
          <w:trHeight w:val="204"/>
        </w:trPr>
        <w:tc>
          <w:tcPr>
            <w:tcW w:w="2694" w:type="dxa"/>
            <w:tcBorders>
              <w:top w:val="nil"/>
              <w:left w:val="nil"/>
              <w:bottom w:val="single" w:sz="4" w:space="0" w:color="auto"/>
              <w:right w:val="nil"/>
            </w:tcBorders>
            <w:shd w:val="clear" w:color="auto" w:fill="auto"/>
            <w:noWrap/>
            <w:vAlign w:val="bottom"/>
            <w:hideMark/>
          </w:tcPr>
          <w:p w14:paraId="46A7DED0" w14:textId="77777777" w:rsidR="00637168" w:rsidRPr="00637168" w:rsidRDefault="00637168" w:rsidP="00637168">
            <w:pPr>
              <w:spacing w:after="0" w:line="240" w:lineRule="auto"/>
              <w:jc w:val="left"/>
              <w:rPr>
                <w:rFonts w:ascii="Arial" w:hAnsi="Arial" w:cs="Arial"/>
                <w:b/>
                <w:bCs/>
                <w:sz w:val="16"/>
                <w:szCs w:val="16"/>
              </w:rPr>
            </w:pPr>
            <w:r w:rsidRPr="00637168">
              <w:rPr>
                <w:rFonts w:ascii="Arial" w:hAnsi="Arial" w:cs="Arial"/>
                <w:b/>
                <w:bCs/>
                <w:sz w:val="16"/>
                <w:szCs w:val="16"/>
              </w:rPr>
              <w:t>Total expenses for Outcome 5</w:t>
            </w:r>
          </w:p>
        </w:tc>
        <w:tc>
          <w:tcPr>
            <w:tcW w:w="976" w:type="dxa"/>
            <w:tcBorders>
              <w:top w:val="nil"/>
              <w:left w:val="nil"/>
              <w:bottom w:val="single" w:sz="4" w:space="0" w:color="auto"/>
              <w:right w:val="nil"/>
            </w:tcBorders>
            <w:shd w:val="clear" w:color="auto" w:fill="auto"/>
            <w:noWrap/>
            <w:vAlign w:val="bottom"/>
            <w:hideMark/>
          </w:tcPr>
          <w:p w14:paraId="311BA436" w14:textId="60D1F3DD"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2,238,242 </w:t>
            </w:r>
          </w:p>
        </w:tc>
        <w:tc>
          <w:tcPr>
            <w:tcW w:w="1009" w:type="dxa"/>
            <w:tcBorders>
              <w:top w:val="nil"/>
              <w:left w:val="nil"/>
              <w:bottom w:val="single" w:sz="4" w:space="0" w:color="auto"/>
              <w:right w:val="nil"/>
            </w:tcBorders>
            <w:shd w:val="clear" w:color="auto" w:fill="E6E6E6"/>
            <w:noWrap/>
            <w:vAlign w:val="bottom"/>
            <w:hideMark/>
          </w:tcPr>
          <w:p w14:paraId="0C776C82" w14:textId="225033B1"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2,802,131 </w:t>
            </w:r>
          </w:p>
        </w:tc>
        <w:tc>
          <w:tcPr>
            <w:tcW w:w="977" w:type="dxa"/>
            <w:tcBorders>
              <w:top w:val="nil"/>
              <w:left w:val="nil"/>
              <w:bottom w:val="single" w:sz="4" w:space="0" w:color="auto"/>
              <w:right w:val="nil"/>
            </w:tcBorders>
            <w:shd w:val="clear" w:color="auto" w:fill="auto"/>
            <w:noWrap/>
            <w:vAlign w:val="bottom"/>
            <w:hideMark/>
          </w:tcPr>
          <w:p w14:paraId="5C8A763D" w14:textId="0028D0D4"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2,829,209 </w:t>
            </w:r>
          </w:p>
        </w:tc>
        <w:tc>
          <w:tcPr>
            <w:tcW w:w="977" w:type="dxa"/>
            <w:tcBorders>
              <w:top w:val="nil"/>
              <w:left w:val="nil"/>
              <w:bottom w:val="single" w:sz="4" w:space="0" w:color="auto"/>
              <w:right w:val="nil"/>
            </w:tcBorders>
            <w:shd w:val="clear" w:color="auto" w:fill="auto"/>
            <w:noWrap/>
            <w:vAlign w:val="bottom"/>
            <w:hideMark/>
          </w:tcPr>
          <w:p w14:paraId="46E6F925" w14:textId="063C953E"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2,609,005 </w:t>
            </w:r>
          </w:p>
        </w:tc>
        <w:tc>
          <w:tcPr>
            <w:tcW w:w="977" w:type="dxa"/>
            <w:tcBorders>
              <w:top w:val="nil"/>
              <w:left w:val="nil"/>
              <w:bottom w:val="single" w:sz="4" w:space="0" w:color="auto"/>
              <w:right w:val="nil"/>
            </w:tcBorders>
            <w:shd w:val="clear" w:color="auto" w:fill="auto"/>
            <w:noWrap/>
            <w:vAlign w:val="bottom"/>
            <w:hideMark/>
          </w:tcPr>
          <w:p w14:paraId="25F0EB5E" w14:textId="0180C6F8" w:rsidR="00637168" w:rsidRPr="00637168" w:rsidRDefault="00637168" w:rsidP="00637168">
            <w:pPr>
              <w:spacing w:after="0" w:line="240" w:lineRule="auto"/>
              <w:jc w:val="right"/>
              <w:rPr>
                <w:rFonts w:ascii="Arial" w:hAnsi="Arial" w:cs="Arial"/>
                <w:b/>
                <w:bCs/>
                <w:sz w:val="16"/>
                <w:szCs w:val="16"/>
              </w:rPr>
            </w:pPr>
            <w:r w:rsidRPr="00637168">
              <w:rPr>
                <w:rFonts w:ascii="Arial" w:hAnsi="Arial" w:cs="Arial"/>
                <w:b/>
                <w:bCs/>
                <w:sz w:val="16"/>
                <w:szCs w:val="16"/>
              </w:rPr>
              <w:t xml:space="preserve">2,621,055 </w:t>
            </w:r>
          </w:p>
        </w:tc>
      </w:tr>
    </w:tbl>
    <w:p w14:paraId="356709FA" w14:textId="0526C0E5" w:rsidR="00B749FB" w:rsidRPr="003629AB" w:rsidRDefault="00B749FB" w:rsidP="003629AB">
      <w:pPr>
        <w:spacing w:after="0"/>
        <w:rPr>
          <w:rFonts w:ascii="Arial" w:hAnsi="Arial" w:cs="Arial"/>
          <w:sz w:val="16"/>
          <w:lang w:val="x-none"/>
        </w:rPr>
      </w:pPr>
    </w:p>
    <w:tbl>
      <w:tblPr>
        <w:tblW w:w="7663" w:type="dxa"/>
        <w:tblLook w:val="04A0" w:firstRow="1" w:lastRow="0" w:firstColumn="1" w:lastColumn="0" w:noHBand="0" w:noVBand="1"/>
      </w:tblPr>
      <w:tblGrid>
        <w:gridCol w:w="2694"/>
        <w:gridCol w:w="996"/>
        <w:gridCol w:w="989"/>
        <w:gridCol w:w="992"/>
        <w:gridCol w:w="996"/>
        <w:gridCol w:w="996"/>
      </w:tblGrid>
      <w:tr w:rsidR="00EB0E0A" w:rsidRPr="00B749FB" w14:paraId="22BFD622" w14:textId="77777777" w:rsidTr="00EB0E0A">
        <w:trPr>
          <w:trHeight w:val="204"/>
        </w:trPr>
        <w:tc>
          <w:tcPr>
            <w:tcW w:w="2694" w:type="dxa"/>
            <w:tcBorders>
              <w:top w:val="single" w:sz="4" w:space="0" w:color="auto"/>
              <w:left w:val="nil"/>
              <w:bottom w:val="nil"/>
              <w:right w:val="nil"/>
            </w:tcBorders>
            <w:shd w:val="clear" w:color="auto" w:fill="auto"/>
            <w:noWrap/>
            <w:vAlign w:val="center"/>
            <w:hideMark/>
          </w:tcPr>
          <w:p w14:paraId="28548495" w14:textId="33E6C03C" w:rsidR="00EB0E0A" w:rsidRPr="00B749FB" w:rsidRDefault="00EB0E0A" w:rsidP="00637168">
            <w:pPr>
              <w:spacing w:after="0" w:line="240" w:lineRule="auto"/>
              <w:jc w:val="left"/>
              <w:rPr>
                <w:rFonts w:ascii="Arial" w:hAnsi="Arial" w:cs="Arial"/>
                <w:b/>
                <w:bCs/>
                <w:sz w:val="16"/>
                <w:szCs w:val="16"/>
              </w:rPr>
            </w:pPr>
            <w:r w:rsidRPr="00B749FB">
              <w:rPr>
                <w:rFonts w:ascii="Arial" w:hAnsi="Arial" w:cs="Arial"/>
                <w:b/>
                <w:bCs/>
                <w:sz w:val="16"/>
                <w:szCs w:val="16"/>
              </w:rPr>
              <w:t xml:space="preserve">Movement </w:t>
            </w:r>
            <w:r w:rsidR="007E02F0">
              <w:rPr>
                <w:rFonts w:ascii="Arial" w:hAnsi="Arial" w:cs="Arial"/>
                <w:b/>
                <w:bCs/>
                <w:sz w:val="16"/>
                <w:szCs w:val="16"/>
              </w:rPr>
              <w:t>of A</w:t>
            </w:r>
            <w:r w:rsidRPr="00B749FB">
              <w:rPr>
                <w:rFonts w:ascii="Arial" w:hAnsi="Arial" w:cs="Arial"/>
                <w:b/>
                <w:bCs/>
                <w:sz w:val="16"/>
                <w:szCs w:val="16"/>
              </w:rPr>
              <w:t>dministered funds between years</w:t>
            </w:r>
            <w:r w:rsidRPr="00B749FB">
              <w:rPr>
                <w:rFonts w:ascii="Arial" w:hAnsi="Arial" w:cs="Arial"/>
                <w:sz w:val="16"/>
                <w:szCs w:val="16"/>
              </w:rPr>
              <w:t xml:space="preserve"> </w:t>
            </w:r>
            <w:r w:rsidRPr="00EB0E0A">
              <w:rPr>
                <w:rFonts w:ascii="Arial" w:hAnsi="Arial" w:cs="Arial"/>
                <w:b/>
                <w:sz w:val="16"/>
                <w:szCs w:val="16"/>
                <w:vertAlign w:val="superscript"/>
              </w:rPr>
              <w:t>(</w:t>
            </w:r>
            <w:r w:rsidR="00637168">
              <w:rPr>
                <w:rFonts w:ascii="Arial" w:hAnsi="Arial" w:cs="Arial"/>
                <w:b/>
                <w:sz w:val="16"/>
                <w:szCs w:val="16"/>
                <w:vertAlign w:val="superscript"/>
              </w:rPr>
              <w:t>f</w:t>
            </w:r>
            <w:r w:rsidRPr="00EB0E0A">
              <w:rPr>
                <w:rFonts w:ascii="Arial" w:hAnsi="Arial" w:cs="Arial"/>
                <w:b/>
                <w:sz w:val="16"/>
                <w:szCs w:val="16"/>
                <w:vertAlign w:val="superscript"/>
              </w:rPr>
              <w:t>)</w:t>
            </w:r>
          </w:p>
        </w:tc>
        <w:tc>
          <w:tcPr>
            <w:tcW w:w="996" w:type="dxa"/>
            <w:tcBorders>
              <w:top w:val="single" w:sz="4" w:space="0" w:color="auto"/>
              <w:left w:val="nil"/>
              <w:bottom w:val="single" w:sz="4" w:space="0" w:color="auto"/>
              <w:right w:val="nil"/>
            </w:tcBorders>
            <w:shd w:val="clear" w:color="auto" w:fill="auto"/>
            <w:noWrap/>
            <w:hideMark/>
          </w:tcPr>
          <w:p w14:paraId="2614006D" w14:textId="77777777"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2020-21</w:t>
            </w:r>
          </w:p>
          <w:p w14:paraId="686124F2" w14:textId="77777777"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Actual</w:t>
            </w:r>
          </w:p>
          <w:p w14:paraId="71D33F76" w14:textId="77777777" w:rsidR="00EB0E0A" w:rsidRPr="00B749FB" w:rsidRDefault="00EB0E0A" w:rsidP="00EB0E0A">
            <w:pPr>
              <w:spacing w:after="0" w:line="240" w:lineRule="auto"/>
              <w:jc w:val="right"/>
              <w:outlineLvl w:val="0"/>
              <w:rPr>
                <w:rFonts w:ascii="Arial" w:hAnsi="Arial" w:cs="Arial"/>
                <w:sz w:val="16"/>
                <w:szCs w:val="16"/>
              </w:rPr>
            </w:pPr>
            <w:r w:rsidRPr="00B749FB">
              <w:rPr>
                <w:rFonts w:ascii="Arial" w:hAnsi="Arial" w:cs="Arial"/>
                <w:sz w:val="16"/>
                <w:szCs w:val="16"/>
              </w:rPr>
              <w:t>expenses</w:t>
            </w:r>
          </w:p>
          <w:p w14:paraId="4D6F2258" w14:textId="5036931E"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$'000</w:t>
            </w:r>
          </w:p>
        </w:tc>
        <w:tc>
          <w:tcPr>
            <w:tcW w:w="989" w:type="dxa"/>
            <w:tcBorders>
              <w:top w:val="single" w:sz="4" w:space="0" w:color="auto"/>
              <w:left w:val="nil"/>
              <w:bottom w:val="single" w:sz="4" w:space="0" w:color="auto"/>
              <w:right w:val="nil"/>
            </w:tcBorders>
            <w:shd w:val="clear" w:color="auto" w:fill="E6E6E6"/>
            <w:noWrap/>
            <w:hideMark/>
          </w:tcPr>
          <w:p w14:paraId="77CF3158" w14:textId="77777777"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2021-22</w:t>
            </w:r>
          </w:p>
          <w:p w14:paraId="62A4F2AE" w14:textId="77777777"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Revised</w:t>
            </w:r>
          </w:p>
          <w:p w14:paraId="6CFEE4D6" w14:textId="77777777" w:rsidR="00EB0E0A" w:rsidRPr="00B749FB" w:rsidRDefault="00EB0E0A" w:rsidP="00EB0E0A">
            <w:pPr>
              <w:spacing w:after="0" w:line="240" w:lineRule="auto"/>
              <w:jc w:val="right"/>
              <w:outlineLvl w:val="0"/>
              <w:rPr>
                <w:rFonts w:ascii="Arial" w:hAnsi="Arial" w:cs="Arial"/>
                <w:sz w:val="16"/>
                <w:szCs w:val="16"/>
              </w:rPr>
            </w:pPr>
            <w:r>
              <w:rPr>
                <w:rFonts w:ascii="Arial" w:hAnsi="Arial" w:cs="Arial"/>
                <w:sz w:val="16"/>
                <w:szCs w:val="16"/>
              </w:rPr>
              <w:t>Budget</w:t>
            </w:r>
          </w:p>
          <w:p w14:paraId="3B85581F" w14:textId="099DC79A"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$'000</w:t>
            </w:r>
          </w:p>
        </w:tc>
        <w:tc>
          <w:tcPr>
            <w:tcW w:w="992" w:type="dxa"/>
            <w:tcBorders>
              <w:top w:val="single" w:sz="4" w:space="0" w:color="auto"/>
              <w:left w:val="nil"/>
              <w:bottom w:val="single" w:sz="4" w:space="0" w:color="auto"/>
              <w:right w:val="nil"/>
            </w:tcBorders>
            <w:shd w:val="clear" w:color="auto" w:fill="auto"/>
            <w:noWrap/>
            <w:hideMark/>
          </w:tcPr>
          <w:p w14:paraId="49BFFBE7" w14:textId="77777777"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2022-23</w:t>
            </w:r>
          </w:p>
          <w:p w14:paraId="652FBAFC" w14:textId="77777777"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Forward</w:t>
            </w:r>
          </w:p>
          <w:p w14:paraId="73254F3A" w14:textId="77777777" w:rsidR="00EB0E0A" w:rsidRPr="00B749FB" w:rsidRDefault="00EB0E0A" w:rsidP="00EB0E0A">
            <w:pPr>
              <w:spacing w:after="0" w:line="240" w:lineRule="auto"/>
              <w:jc w:val="right"/>
              <w:outlineLvl w:val="0"/>
              <w:rPr>
                <w:rFonts w:ascii="Arial" w:hAnsi="Arial" w:cs="Arial"/>
                <w:sz w:val="16"/>
                <w:szCs w:val="16"/>
              </w:rPr>
            </w:pPr>
            <w:r>
              <w:rPr>
                <w:rFonts w:ascii="Arial" w:hAnsi="Arial" w:cs="Arial"/>
                <w:sz w:val="16"/>
                <w:szCs w:val="16"/>
              </w:rPr>
              <w:t>Budget</w:t>
            </w:r>
          </w:p>
          <w:p w14:paraId="0592620D" w14:textId="795D63AC"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$'000</w:t>
            </w:r>
          </w:p>
        </w:tc>
        <w:tc>
          <w:tcPr>
            <w:tcW w:w="996" w:type="dxa"/>
            <w:tcBorders>
              <w:top w:val="single" w:sz="4" w:space="0" w:color="auto"/>
              <w:left w:val="nil"/>
              <w:bottom w:val="single" w:sz="4" w:space="0" w:color="auto"/>
              <w:right w:val="nil"/>
            </w:tcBorders>
            <w:shd w:val="clear" w:color="auto" w:fill="auto"/>
            <w:noWrap/>
            <w:hideMark/>
          </w:tcPr>
          <w:p w14:paraId="4F3986A8" w14:textId="77777777"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2023-24</w:t>
            </w:r>
          </w:p>
          <w:p w14:paraId="6CEFA91B" w14:textId="77777777"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Forward</w:t>
            </w:r>
          </w:p>
          <w:p w14:paraId="413754FD" w14:textId="77777777" w:rsidR="00EB0E0A" w:rsidRPr="00B749FB" w:rsidRDefault="00EB0E0A" w:rsidP="00EB0E0A">
            <w:pPr>
              <w:spacing w:after="0" w:line="240" w:lineRule="auto"/>
              <w:jc w:val="right"/>
              <w:outlineLvl w:val="0"/>
              <w:rPr>
                <w:rFonts w:ascii="Arial" w:hAnsi="Arial" w:cs="Arial"/>
                <w:sz w:val="16"/>
                <w:szCs w:val="16"/>
              </w:rPr>
            </w:pPr>
            <w:r>
              <w:rPr>
                <w:rFonts w:ascii="Arial" w:hAnsi="Arial" w:cs="Arial"/>
                <w:sz w:val="16"/>
                <w:szCs w:val="16"/>
              </w:rPr>
              <w:t>Budget</w:t>
            </w:r>
          </w:p>
          <w:p w14:paraId="5BC83675" w14:textId="02C44235"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$'000</w:t>
            </w:r>
          </w:p>
        </w:tc>
        <w:tc>
          <w:tcPr>
            <w:tcW w:w="996" w:type="dxa"/>
            <w:tcBorders>
              <w:top w:val="single" w:sz="4" w:space="0" w:color="auto"/>
              <w:left w:val="nil"/>
              <w:bottom w:val="single" w:sz="4" w:space="0" w:color="auto"/>
              <w:right w:val="nil"/>
            </w:tcBorders>
            <w:shd w:val="clear" w:color="auto" w:fill="auto"/>
            <w:noWrap/>
            <w:hideMark/>
          </w:tcPr>
          <w:p w14:paraId="52CF06B7" w14:textId="77777777"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2024-25</w:t>
            </w:r>
          </w:p>
          <w:p w14:paraId="6B418A59" w14:textId="77777777"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Forward</w:t>
            </w:r>
          </w:p>
          <w:p w14:paraId="4C655970" w14:textId="77777777" w:rsidR="00EB0E0A" w:rsidRPr="00B749FB" w:rsidRDefault="00EB0E0A" w:rsidP="00EB0E0A">
            <w:pPr>
              <w:spacing w:after="0" w:line="240" w:lineRule="auto"/>
              <w:jc w:val="right"/>
              <w:outlineLvl w:val="0"/>
              <w:rPr>
                <w:rFonts w:ascii="Arial" w:hAnsi="Arial" w:cs="Arial"/>
                <w:sz w:val="16"/>
                <w:szCs w:val="16"/>
              </w:rPr>
            </w:pPr>
            <w:r>
              <w:rPr>
                <w:rFonts w:ascii="Arial" w:hAnsi="Arial" w:cs="Arial"/>
                <w:sz w:val="16"/>
                <w:szCs w:val="16"/>
              </w:rPr>
              <w:t>Budget</w:t>
            </w:r>
          </w:p>
          <w:p w14:paraId="2ADE0703" w14:textId="6725071C" w:rsidR="00EB0E0A" w:rsidRPr="00B749FB" w:rsidRDefault="00EB0E0A" w:rsidP="00EB0E0A">
            <w:pPr>
              <w:spacing w:after="0" w:line="240" w:lineRule="auto"/>
              <w:jc w:val="right"/>
              <w:rPr>
                <w:rFonts w:ascii="Arial" w:hAnsi="Arial" w:cs="Arial"/>
                <w:sz w:val="16"/>
                <w:szCs w:val="16"/>
              </w:rPr>
            </w:pPr>
            <w:r w:rsidRPr="00B749FB">
              <w:rPr>
                <w:rFonts w:ascii="Arial" w:hAnsi="Arial" w:cs="Arial"/>
                <w:sz w:val="16"/>
                <w:szCs w:val="16"/>
              </w:rPr>
              <w:t>$'000</w:t>
            </w:r>
          </w:p>
        </w:tc>
      </w:tr>
      <w:tr w:rsidR="00B749FB" w:rsidRPr="00B749FB" w14:paraId="799F219E" w14:textId="77777777" w:rsidTr="00EB0E0A">
        <w:trPr>
          <w:trHeight w:val="204"/>
        </w:trPr>
        <w:tc>
          <w:tcPr>
            <w:tcW w:w="2694" w:type="dxa"/>
            <w:tcBorders>
              <w:top w:val="nil"/>
              <w:left w:val="nil"/>
              <w:bottom w:val="nil"/>
              <w:right w:val="nil"/>
            </w:tcBorders>
            <w:shd w:val="clear" w:color="auto" w:fill="auto"/>
            <w:noWrap/>
            <w:vAlign w:val="bottom"/>
            <w:hideMark/>
          </w:tcPr>
          <w:p w14:paraId="2C7CF537" w14:textId="77777777" w:rsidR="00B749FB" w:rsidRPr="00EB0E0A" w:rsidRDefault="00B749FB" w:rsidP="00B749FB">
            <w:pPr>
              <w:spacing w:after="0" w:line="240" w:lineRule="auto"/>
              <w:jc w:val="left"/>
              <w:rPr>
                <w:rFonts w:ascii="Arial" w:hAnsi="Arial" w:cs="Arial"/>
                <w:sz w:val="16"/>
                <w:szCs w:val="16"/>
              </w:rPr>
            </w:pPr>
            <w:r w:rsidRPr="00EB0E0A">
              <w:rPr>
                <w:rFonts w:ascii="Arial" w:hAnsi="Arial" w:cs="Arial"/>
                <w:sz w:val="16"/>
                <w:szCs w:val="16"/>
              </w:rPr>
              <w:t xml:space="preserve">Outcome 5: </w:t>
            </w:r>
          </w:p>
        </w:tc>
        <w:tc>
          <w:tcPr>
            <w:tcW w:w="996" w:type="dxa"/>
            <w:tcBorders>
              <w:top w:val="single" w:sz="4" w:space="0" w:color="auto"/>
              <w:left w:val="nil"/>
              <w:bottom w:val="nil"/>
              <w:right w:val="nil"/>
            </w:tcBorders>
            <w:shd w:val="clear" w:color="auto" w:fill="auto"/>
            <w:noWrap/>
            <w:vAlign w:val="bottom"/>
            <w:hideMark/>
          </w:tcPr>
          <w:p w14:paraId="50D8148C" w14:textId="77777777" w:rsidR="00B749FB" w:rsidRPr="00EB0E0A" w:rsidRDefault="00B749FB" w:rsidP="00B749FB">
            <w:pPr>
              <w:spacing w:after="0" w:line="240" w:lineRule="auto"/>
              <w:jc w:val="left"/>
              <w:rPr>
                <w:rFonts w:ascii="Arial" w:hAnsi="Arial" w:cs="Arial"/>
                <w:sz w:val="16"/>
                <w:szCs w:val="16"/>
              </w:rPr>
            </w:pPr>
          </w:p>
        </w:tc>
        <w:tc>
          <w:tcPr>
            <w:tcW w:w="989" w:type="dxa"/>
            <w:tcBorders>
              <w:top w:val="single" w:sz="4" w:space="0" w:color="auto"/>
              <w:left w:val="nil"/>
              <w:bottom w:val="nil"/>
              <w:right w:val="nil"/>
            </w:tcBorders>
            <w:shd w:val="clear" w:color="auto" w:fill="E6E6E6"/>
            <w:noWrap/>
            <w:vAlign w:val="bottom"/>
            <w:hideMark/>
          </w:tcPr>
          <w:p w14:paraId="0C992956" w14:textId="77777777" w:rsidR="00B749FB" w:rsidRPr="00EB0E0A" w:rsidRDefault="00B749FB" w:rsidP="00B749FB">
            <w:pPr>
              <w:spacing w:after="0" w:line="240" w:lineRule="auto"/>
              <w:jc w:val="right"/>
              <w:rPr>
                <w:rFonts w:ascii="Arial" w:hAnsi="Arial" w:cs="Arial"/>
                <w:sz w:val="16"/>
                <w:szCs w:val="16"/>
              </w:rPr>
            </w:pPr>
            <w:r w:rsidRPr="00EB0E0A">
              <w:rPr>
                <w:rFonts w:ascii="Arial" w:hAnsi="Arial" w:cs="Arial"/>
                <w:sz w:val="16"/>
                <w:szCs w:val="16"/>
              </w:rPr>
              <w:t> </w:t>
            </w:r>
          </w:p>
        </w:tc>
        <w:tc>
          <w:tcPr>
            <w:tcW w:w="992" w:type="dxa"/>
            <w:tcBorders>
              <w:top w:val="single" w:sz="4" w:space="0" w:color="auto"/>
              <w:left w:val="nil"/>
              <w:bottom w:val="nil"/>
              <w:right w:val="nil"/>
            </w:tcBorders>
            <w:shd w:val="clear" w:color="auto" w:fill="auto"/>
            <w:noWrap/>
            <w:vAlign w:val="bottom"/>
            <w:hideMark/>
          </w:tcPr>
          <w:p w14:paraId="6AD37FFD" w14:textId="77777777" w:rsidR="00B749FB" w:rsidRPr="00EB0E0A" w:rsidRDefault="00B749FB" w:rsidP="00B749FB">
            <w:pPr>
              <w:spacing w:after="0" w:line="240" w:lineRule="auto"/>
              <w:jc w:val="right"/>
              <w:rPr>
                <w:rFonts w:ascii="Arial" w:hAnsi="Arial" w:cs="Arial"/>
                <w:sz w:val="16"/>
                <w:szCs w:val="16"/>
              </w:rPr>
            </w:pPr>
          </w:p>
        </w:tc>
        <w:tc>
          <w:tcPr>
            <w:tcW w:w="996" w:type="dxa"/>
            <w:tcBorders>
              <w:top w:val="single" w:sz="4" w:space="0" w:color="auto"/>
              <w:left w:val="nil"/>
              <w:bottom w:val="nil"/>
              <w:right w:val="nil"/>
            </w:tcBorders>
            <w:shd w:val="clear" w:color="auto" w:fill="auto"/>
            <w:noWrap/>
            <w:vAlign w:val="bottom"/>
            <w:hideMark/>
          </w:tcPr>
          <w:p w14:paraId="4EE1EC25" w14:textId="77777777" w:rsidR="00B749FB" w:rsidRPr="00EB0E0A" w:rsidRDefault="00B749FB" w:rsidP="00B749FB">
            <w:pPr>
              <w:spacing w:after="0" w:line="240" w:lineRule="auto"/>
              <w:jc w:val="left"/>
              <w:rPr>
                <w:rFonts w:ascii="Times New Roman" w:hAnsi="Times New Roman"/>
                <w:sz w:val="16"/>
                <w:szCs w:val="16"/>
              </w:rPr>
            </w:pPr>
          </w:p>
        </w:tc>
        <w:tc>
          <w:tcPr>
            <w:tcW w:w="996" w:type="dxa"/>
            <w:tcBorders>
              <w:top w:val="single" w:sz="4" w:space="0" w:color="auto"/>
              <w:left w:val="nil"/>
              <w:bottom w:val="nil"/>
              <w:right w:val="nil"/>
            </w:tcBorders>
            <w:shd w:val="clear" w:color="auto" w:fill="auto"/>
            <w:noWrap/>
            <w:vAlign w:val="bottom"/>
            <w:hideMark/>
          </w:tcPr>
          <w:p w14:paraId="4C2D1C2F" w14:textId="77777777" w:rsidR="00B749FB" w:rsidRPr="00EB0E0A" w:rsidRDefault="00B749FB" w:rsidP="00B749FB">
            <w:pPr>
              <w:spacing w:after="0" w:line="240" w:lineRule="auto"/>
              <w:jc w:val="left"/>
              <w:rPr>
                <w:rFonts w:ascii="Times New Roman" w:hAnsi="Times New Roman"/>
                <w:sz w:val="16"/>
                <w:szCs w:val="16"/>
              </w:rPr>
            </w:pPr>
          </w:p>
        </w:tc>
      </w:tr>
      <w:tr w:rsidR="006E2A19" w:rsidRPr="00B749FB" w14:paraId="42B3A7CB" w14:textId="77777777" w:rsidTr="00EB0E0A">
        <w:trPr>
          <w:trHeight w:val="204"/>
        </w:trPr>
        <w:tc>
          <w:tcPr>
            <w:tcW w:w="2694" w:type="dxa"/>
            <w:tcBorders>
              <w:top w:val="nil"/>
              <w:left w:val="nil"/>
              <w:bottom w:val="nil"/>
              <w:right w:val="nil"/>
            </w:tcBorders>
            <w:shd w:val="clear" w:color="auto" w:fill="auto"/>
            <w:vAlign w:val="bottom"/>
            <w:hideMark/>
          </w:tcPr>
          <w:p w14:paraId="68D9B5D6" w14:textId="77777777" w:rsidR="006E2A19" w:rsidRPr="00EB0E0A" w:rsidRDefault="006E2A19" w:rsidP="006E2A19">
            <w:pPr>
              <w:spacing w:after="0" w:line="240" w:lineRule="auto"/>
              <w:ind w:left="113"/>
              <w:jc w:val="left"/>
              <w:rPr>
                <w:rFonts w:ascii="Arial" w:hAnsi="Arial" w:cs="Arial"/>
                <w:sz w:val="16"/>
                <w:szCs w:val="16"/>
              </w:rPr>
            </w:pPr>
            <w:r w:rsidRPr="00EB0E0A">
              <w:rPr>
                <w:rFonts w:ascii="Arial" w:hAnsi="Arial" w:cs="Arial"/>
                <w:sz w:val="16"/>
                <w:szCs w:val="16"/>
              </w:rPr>
              <w:t>Program 5.1: Digital Technologies and Communications</w:t>
            </w:r>
          </w:p>
        </w:tc>
        <w:tc>
          <w:tcPr>
            <w:tcW w:w="996" w:type="dxa"/>
            <w:tcBorders>
              <w:top w:val="nil"/>
              <w:left w:val="nil"/>
              <w:bottom w:val="nil"/>
              <w:right w:val="nil"/>
            </w:tcBorders>
            <w:shd w:val="clear" w:color="auto" w:fill="auto"/>
            <w:noWrap/>
            <w:vAlign w:val="bottom"/>
            <w:hideMark/>
          </w:tcPr>
          <w:p w14:paraId="0321D44C" w14:textId="64B44943" w:rsidR="006E2A19" w:rsidRPr="00EB0E0A" w:rsidRDefault="006E2A19" w:rsidP="006E2A19">
            <w:pPr>
              <w:spacing w:after="0" w:line="240" w:lineRule="auto"/>
              <w:jc w:val="right"/>
              <w:rPr>
                <w:rFonts w:ascii="Arial" w:hAnsi="Arial" w:cs="Arial"/>
                <w:sz w:val="16"/>
                <w:szCs w:val="16"/>
              </w:rPr>
            </w:pPr>
            <w:r>
              <w:rPr>
                <w:rFonts w:ascii="Arial" w:hAnsi="Arial" w:cs="Arial"/>
                <w:sz w:val="16"/>
                <w:szCs w:val="16"/>
              </w:rPr>
              <w:t>(50,641)</w:t>
            </w:r>
          </w:p>
        </w:tc>
        <w:tc>
          <w:tcPr>
            <w:tcW w:w="989" w:type="dxa"/>
            <w:tcBorders>
              <w:top w:val="nil"/>
              <w:left w:val="nil"/>
              <w:bottom w:val="single" w:sz="4" w:space="0" w:color="auto"/>
              <w:right w:val="nil"/>
            </w:tcBorders>
            <w:shd w:val="clear" w:color="auto" w:fill="E6E6E6"/>
            <w:noWrap/>
            <w:vAlign w:val="bottom"/>
            <w:hideMark/>
          </w:tcPr>
          <w:p w14:paraId="43DA1D42" w14:textId="7EA86D99" w:rsidR="006E2A19" w:rsidRPr="00EB0E0A" w:rsidRDefault="006E2A19" w:rsidP="006E2A19">
            <w:pPr>
              <w:spacing w:after="0" w:line="240" w:lineRule="auto"/>
              <w:jc w:val="right"/>
              <w:rPr>
                <w:rFonts w:ascii="Arial" w:hAnsi="Arial" w:cs="Arial"/>
                <w:sz w:val="16"/>
                <w:szCs w:val="16"/>
              </w:rPr>
            </w:pPr>
            <w:r>
              <w:rPr>
                <w:rFonts w:ascii="Arial" w:hAnsi="Arial" w:cs="Arial"/>
                <w:sz w:val="16"/>
                <w:szCs w:val="16"/>
              </w:rPr>
              <w:t>(6,893)</w:t>
            </w:r>
          </w:p>
        </w:tc>
        <w:tc>
          <w:tcPr>
            <w:tcW w:w="992" w:type="dxa"/>
            <w:tcBorders>
              <w:top w:val="nil"/>
              <w:left w:val="nil"/>
              <w:bottom w:val="nil"/>
              <w:right w:val="nil"/>
            </w:tcBorders>
            <w:shd w:val="clear" w:color="auto" w:fill="auto"/>
            <w:noWrap/>
            <w:vAlign w:val="bottom"/>
            <w:hideMark/>
          </w:tcPr>
          <w:p w14:paraId="21A148EB" w14:textId="69E3215A" w:rsidR="006E2A19" w:rsidRPr="00EB0E0A" w:rsidRDefault="006E2A19" w:rsidP="006E2A19">
            <w:pPr>
              <w:spacing w:after="0" w:line="240" w:lineRule="auto"/>
              <w:jc w:val="right"/>
              <w:rPr>
                <w:rFonts w:ascii="Arial" w:hAnsi="Arial" w:cs="Arial"/>
                <w:sz w:val="16"/>
                <w:szCs w:val="16"/>
              </w:rPr>
            </w:pPr>
            <w:r>
              <w:rPr>
                <w:rFonts w:ascii="Arial" w:hAnsi="Arial" w:cs="Arial"/>
                <w:sz w:val="16"/>
                <w:szCs w:val="16"/>
              </w:rPr>
              <w:t xml:space="preserve">56,374 </w:t>
            </w:r>
          </w:p>
        </w:tc>
        <w:tc>
          <w:tcPr>
            <w:tcW w:w="996" w:type="dxa"/>
            <w:tcBorders>
              <w:top w:val="nil"/>
              <w:left w:val="nil"/>
              <w:bottom w:val="nil"/>
              <w:right w:val="nil"/>
            </w:tcBorders>
            <w:shd w:val="clear" w:color="auto" w:fill="auto"/>
            <w:noWrap/>
            <w:vAlign w:val="bottom"/>
            <w:hideMark/>
          </w:tcPr>
          <w:p w14:paraId="437724FB" w14:textId="4FFD0B5C" w:rsidR="006E2A19" w:rsidRPr="00EB0E0A" w:rsidRDefault="006E2A19" w:rsidP="006E2A19">
            <w:pPr>
              <w:spacing w:after="0" w:line="240" w:lineRule="auto"/>
              <w:jc w:val="right"/>
              <w:rPr>
                <w:rFonts w:ascii="Arial" w:hAnsi="Arial" w:cs="Arial"/>
                <w:sz w:val="16"/>
                <w:szCs w:val="16"/>
              </w:rPr>
            </w:pPr>
            <w:r>
              <w:rPr>
                <w:rFonts w:ascii="Arial" w:hAnsi="Arial" w:cs="Arial"/>
                <w:sz w:val="16"/>
                <w:szCs w:val="16"/>
              </w:rPr>
              <w:t xml:space="preserve">1,160 </w:t>
            </w:r>
          </w:p>
        </w:tc>
        <w:tc>
          <w:tcPr>
            <w:tcW w:w="996" w:type="dxa"/>
            <w:tcBorders>
              <w:top w:val="nil"/>
              <w:left w:val="nil"/>
              <w:bottom w:val="nil"/>
              <w:right w:val="nil"/>
            </w:tcBorders>
            <w:shd w:val="clear" w:color="auto" w:fill="auto"/>
            <w:noWrap/>
            <w:vAlign w:val="bottom"/>
            <w:hideMark/>
          </w:tcPr>
          <w:p w14:paraId="4CD28135" w14:textId="3E82F654" w:rsidR="006E2A19" w:rsidRPr="00EB0E0A" w:rsidRDefault="006E2A19" w:rsidP="006E2A19">
            <w:pPr>
              <w:spacing w:after="0" w:line="240" w:lineRule="auto"/>
              <w:jc w:val="right"/>
              <w:rPr>
                <w:rFonts w:ascii="Arial" w:hAnsi="Arial" w:cs="Arial"/>
                <w:sz w:val="16"/>
                <w:szCs w:val="16"/>
              </w:rPr>
            </w:pPr>
            <w:r>
              <w:rPr>
                <w:rFonts w:ascii="Arial" w:hAnsi="Arial" w:cs="Arial"/>
                <w:sz w:val="16"/>
                <w:szCs w:val="16"/>
              </w:rPr>
              <w:t xml:space="preserve">- </w:t>
            </w:r>
          </w:p>
        </w:tc>
      </w:tr>
      <w:tr w:rsidR="006E2A19" w:rsidRPr="00B749FB" w14:paraId="771EC655" w14:textId="77777777" w:rsidTr="00EB0E0A">
        <w:trPr>
          <w:trHeight w:val="204"/>
        </w:trPr>
        <w:tc>
          <w:tcPr>
            <w:tcW w:w="2694" w:type="dxa"/>
            <w:tcBorders>
              <w:top w:val="nil"/>
              <w:left w:val="nil"/>
              <w:bottom w:val="single" w:sz="4" w:space="0" w:color="auto"/>
              <w:right w:val="nil"/>
            </w:tcBorders>
            <w:shd w:val="clear" w:color="auto" w:fill="auto"/>
            <w:vAlign w:val="bottom"/>
            <w:hideMark/>
          </w:tcPr>
          <w:p w14:paraId="0138F2E9" w14:textId="76686B54" w:rsidR="006E2A19" w:rsidRPr="00EB0E0A" w:rsidRDefault="006E2A19" w:rsidP="006E2A19">
            <w:pPr>
              <w:spacing w:after="0" w:line="240" w:lineRule="auto"/>
              <w:jc w:val="left"/>
              <w:rPr>
                <w:rFonts w:ascii="Arial" w:hAnsi="Arial" w:cs="Arial"/>
                <w:b/>
                <w:bCs/>
                <w:sz w:val="16"/>
                <w:szCs w:val="16"/>
              </w:rPr>
            </w:pPr>
            <w:r>
              <w:rPr>
                <w:rFonts w:ascii="Arial" w:hAnsi="Arial" w:cs="Arial"/>
                <w:b/>
                <w:bCs/>
                <w:sz w:val="16"/>
                <w:szCs w:val="16"/>
              </w:rPr>
              <w:t>Total movement of A</w:t>
            </w:r>
            <w:r w:rsidRPr="00EB0E0A">
              <w:rPr>
                <w:rFonts w:ascii="Arial" w:hAnsi="Arial" w:cs="Arial"/>
                <w:b/>
                <w:bCs/>
                <w:sz w:val="16"/>
                <w:szCs w:val="16"/>
              </w:rPr>
              <w:t>dministered funds between years</w:t>
            </w:r>
          </w:p>
        </w:tc>
        <w:tc>
          <w:tcPr>
            <w:tcW w:w="996" w:type="dxa"/>
            <w:tcBorders>
              <w:top w:val="single" w:sz="4" w:space="0" w:color="auto"/>
              <w:left w:val="nil"/>
              <w:bottom w:val="single" w:sz="4" w:space="0" w:color="auto"/>
              <w:right w:val="nil"/>
            </w:tcBorders>
            <w:shd w:val="clear" w:color="auto" w:fill="auto"/>
            <w:noWrap/>
            <w:vAlign w:val="bottom"/>
            <w:hideMark/>
          </w:tcPr>
          <w:p w14:paraId="00CB9829" w14:textId="06838097" w:rsidR="006E2A19" w:rsidRPr="00EB0E0A" w:rsidRDefault="006E2A19" w:rsidP="006E2A19">
            <w:pPr>
              <w:spacing w:after="0" w:line="240" w:lineRule="auto"/>
              <w:jc w:val="right"/>
              <w:rPr>
                <w:rFonts w:ascii="Arial" w:hAnsi="Arial" w:cs="Arial"/>
                <w:b/>
                <w:bCs/>
                <w:sz w:val="16"/>
                <w:szCs w:val="16"/>
              </w:rPr>
            </w:pPr>
            <w:r>
              <w:rPr>
                <w:rFonts w:ascii="Arial" w:hAnsi="Arial" w:cs="Arial"/>
                <w:b/>
                <w:bCs/>
                <w:sz w:val="16"/>
                <w:szCs w:val="16"/>
              </w:rPr>
              <w:t>(50,641)</w:t>
            </w:r>
          </w:p>
        </w:tc>
        <w:tc>
          <w:tcPr>
            <w:tcW w:w="989" w:type="dxa"/>
            <w:tcBorders>
              <w:top w:val="nil"/>
              <w:left w:val="nil"/>
              <w:bottom w:val="single" w:sz="4" w:space="0" w:color="auto"/>
              <w:right w:val="nil"/>
            </w:tcBorders>
            <w:shd w:val="clear" w:color="auto" w:fill="E6E6E6"/>
            <w:noWrap/>
            <w:vAlign w:val="bottom"/>
            <w:hideMark/>
          </w:tcPr>
          <w:p w14:paraId="1D990343" w14:textId="68F8691C" w:rsidR="006E2A19" w:rsidRPr="00EB0E0A" w:rsidRDefault="006E2A19" w:rsidP="006E2A19">
            <w:pPr>
              <w:spacing w:after="0" w:line="240" w:lineRule="auto"/>
              <w:jc w:val="right"/>
              <w:rPr>
                <w:rFonts w:ascii="Arial" w:hAnsi="Arial" w:cs="Arial"/>
                <w:b/>
                <w:bCs/>
                <w:sz w:val="16"/>
                <w:szCs w:val="16"/>
              </w:rPr>
            </w:pPr>
            <w:r>
              <w:rPr>
                <w:rFonts w:ascii="Arial" w:hAnsi="Arial" w:cs="Arial"/>
                <w:b/>
                <w:bCs/>
                <w:sz w:val="16"/>
                <w:szCs w:val="16"/>
              </w:rPr>
              <w:t>(6,893)</w:t>
            </w:r>
          </w:p>
        </w:tc>
        <w:tc>
          <w:tcPr>
            <w:tcW w:w="992" w:type="dxa"/>
            <w:tcBorders>
              <w:top w:val="single" w:sz="4" w:space="0" w:color="auto"/>
              <w:left w:val="nil"/>
              <w:bottom w:val="single" w:sz="4" w:space="0" w:color="auto"/>
              <w:right w:val="nil"/>
            </w:tcBorders>
            <w:shd w:val="clear" w:color="auto" w:fill="auto"/>
            <w:noWrap/>
            <w:vAlign w:val="bottom"/>
            <w:hideMark/>
          </w:tcPr>
          <w:p w14:paraId="121EE051" w14:textId="207087EF" w:rsidR="006E2A19" w:rsidRPr="00EB0E0A" w:rsidRDefault="006E2A19" w:rsidP="006E2A19">
            <w:pPr>
              <w:spacing w:after="0" w:line="240" w:lineRule="auto"/>
              <w:jc w:val="right"/>
              <w:rPr>
                <w:rFonts w:ascii="Arial" w:hAnsi="Arial" w:cs="Arial"/>
                <w:b/>
                <w:bCs/>
                <w:sz w:val="16"/>
                <w:szCs w:val="16"/>
              </w:rPr>
            </w:pPr>
            <w:r>
              <w:rPr>
                <w:rFonts w:ascii="Arial" w:hAnsi="Arial" w:cs="Arial"/>
                <w:b/>
                <w:bCs/>
                <w:sz w:val="16"/>
                <w:szCs w:val="16"/>
              </w:rPr>
              <w:t xml:space="preserve">56,374 </w:t>
            </w:r>
          </w:p>
        </w:tc>
        <w:tc>
          <w:tcPr>
            <w:tcW w:w="996" w:type="dxa"/>
            <w:tcBorders>
              <w:top w:val="single" w:sz="4" w:space="0" w:color="auto"/>
              <w:left w:val="nil"/>
              <w:bottom w:val="single" w:sz="4" w:space="0" w:color="auto"/>
              <w:right w:val="nil"/>
            </w:tcBorders>
            <w:shd w:val="clear" w:color="auto" w:fill="auto"/>
            <w:noWrap/>
            <w:vAlign w:val="bottom"/>
            <w:hideMark/>
          </w:tcPr>
          <w:p w14:paraId="45904CBE" w14:textId="79125811" w:rsidR="006E2A19" w:rsidRPr="00EB0E0A" w:rsidRDefault="006E2A19" w:rsidP="006E2A19">
            <w:pPr>
              <w:spacing w:after="0" w:line="240" w:lineRule="auto"/>
              <w:jc w:val="right"/>
              <w:rPr>
                <w:rFonts w:ascii="Arial" w:hAnsi="Arial" w:cs="Arial"/>
                <w:b/>
                <w:bCs/>
                <w:sz w:val="16"/>
                <w:szCs w:val="16"/>
              </w:rPr>
            </w:pPr>
            <w:r>
              <w:rPr>
                <w:rFonts w:ascii="Arial" w:hAnsi="Arial" w:cs="Arial"/>
                <w:b/>
                <w:bCs/>
                <w:sz w:val="16"/>
                <w:szCs w:val="16"/>
              </w:rPr>
              <w:t xml:space="preserve">1,160 </w:t>
            </w:r>
          </w:p>
        </w:tc>
        <w:tc>
          <w:tcPr>
            <w:tcW w:w="996" w:type="dxa"/>
            <w:tcBorders>
              <w:top w:val="single" w:sz="4" w:space="0" w:color="auto"/>
              <w:left w:val="nil"/>
              <w:bottom w:val="single" w:sz="4" w:space="0" w:color="auto"/>
              <w:right w:val="nil"/>
            </w:tcBorders>
            <w:shd w:val="clear" w:color="auto" w:fill="auto"/>
            <w:noWrap/>
            <w:vAlign w:val="bottom"/>
            <w:hideMark/>
          </w:tcPr>
          <w:p w14:paraId="4BDCF7E4" w14:textId="7EEE65BE" w:rsidR="006E2A19" w:rsidRPr="00EB0E0A" w:rsidRDefault="006E2A19" w:rsidP="006E2A19">
            <w:pPr>
              <w:spacing w:after="0" w:line="240" w:lineRule="auto"/>
              <w:jc w:val="right"/>
              <w:rPr>
                <w:rFonts w:ascii="Arial" w:hAnsi="Arial" w:cs="Arial"/>
                <w:b/>
                <w:bCs/>
                <w:sz w:val="16"/>
                <w:szCs w:val="16"/>
              </w:rPr>
            </w:pPr>
            <w:r>
              <w:rPr>
                <w:rFonts w:ascii="Arial" w:hAnsi="Arial" w:cs="Arial"/>
                <w:b/>
                <w:bCs/>
                <w:sz w:val="16"/>
                <w:szCs w:val="16"/>
              </w:rPr>
              <w:t xml:space="preserve">- </w:t>
            </w:r>
          </w:p>
        </w:tc>
      </w:tr>
    </w:tbl>
    <w:p w14:paraId="3F09435E" w14:textId="77777777" w:rsidR="00B749FB" w:rsidRPr="00180B60" w:rsidRDefault="00B749FB" w:rsidP="00180B60">
      <w:pPr>
        <w:spacing w:after="0" w:line="240" w:lineRule="auto"/>
        <w:rPr>
          <w:rFonts w:ascii="Arial" w:hAnsi="Arial" w:cs="Arial"/>
          <w:sz w:val="16"/>
          <w:lang w:val="x-none"/>
        </w:rPr>
      </w:pPr>
    </w:p>
    <w:tbl>
      <w:tblPr>
        <w:tblW w:w="7655" w:type="dxa"/>
        <w:tblLook w:val="04A0" w:firstRow="1" w:lastRow="0" w:firstColumn="1" w:lastColumn="0" w:noHBand="0" w:noVBand="1"/>
      </w:tblPr>
      <w:tblGrid>
        <w:gridCol w:w="2694"/>
        <w:gridCol w:w="992"/>
        <w:gridCol w:w="992"/>
        <w:gridCol w:w="996"/>
        <w:gridCol w:w="989"/>
        <w:gridCol w:w="992"/>
      </w:tblGrid>
      <w:tr w:rsidR="00580886" w:rsidRPr="00580886" w14:paraId="5B82333B" w14:textId="77777777" w:rsidTr="00CD1288">
        <w:trPr>
          <w:trHeight w:val="204"/>
        </w:trPr>
        <w:tc>
          <w:tcPr>
            <w:tcW w:w="2694" w:type="dxa"/>
            <w:tcBorders>
              <w:top w:val="single" w:sz="4" w:space="0" w:color="auto"/>
              <w:left w:val="nil"/>
              <w:bottom w:val="nil"/>
              <w:right w:val="nil"/>
            </w:tcBorders>
            <w:shd w:val="clear" w:color="auto" w:fill="auto"/>
            <w:noWrap/>
            <w:hideMark/>
          </w:tcPr>
          <w:p w14:paraId="690747C7" w14:textId="77777777" w:rsidR="00580886" w:rsidRPr="00580886" w:rsidRDefault="00580886" w:rsidP="00AF431D">
            <w:pPr>
              <w:tabs>
                <w:tab w:val="left" w:pos="2730"/>
              </w:tabs>
              <w:spacing w:after="0" w:line="240" w:lineRule="auto"/>
              <w:jc w:val="left"/>
              <w:rPr>
                <w:rFonts w:ascii="Arial" w:hAnsi="Arial" w:cs="Arial"/>
                <w:sz w:val="16"/>
                <w:szCs w:val="16"/>
              </w:rPr>
            </w:pPr>
            <w:r w:rsidRPr="00580886">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noWrap/>
            <w:vAlign w:val="bottom"/>
            <w:hideMark/>
          </w:tcPr>
          <w:p w14:paraId="57599CF8" w14:textId="749EE3AE" w:rsidR="00580886" w:rsidRPr="00580886" w:rsidRDefault="00B63D82" w:rsidP="00580886">
            <w:pPr>
              <w:spacing w:after="0" w:line="240" w:lineRule="auto"/>
              <w:jc w:val="right"/>
              <w:rPr>
                <w:rFonts w:ascii="Arial" w:hAnsi="Arial" w:cs="Arial"/>
                <w:sz w:val="16"/>
                <w:szCs w:val="16"/>
              </w:rPr>
            </w:pPr>
            <w:r>
              <w:rPr>
                <w:rFonts w:ascii="Arial" w:hAnsi="Arial" w:cs="Arial"/>
                <w:sz w:val="16"/>
                <w:szCs w:val="16"/>
              </w:rPr>
              <w:t>Actual</w:t>
            </w:r>
            <w:r w:rsidR="00CD1288">
              <w:rPr>
                <w:rFonts w:ascii="Arial" w:hAnsi="Arial" w:cs="Arial"/>
                <w:sz w:val="16"/>
                <w:szCs w:val="16"/>
              </w:rPr>
              <w:t xml:space="preserve"> </w:t>
            </w:r>
            <w:r w:rsidR="00580886" w:rsidRPr="00580886">
              <w:rPr>
                <w:rFonts w:ascii="Arial" w:hAnsi="Arial" w:cs="Arial"/>
                <w:sz w:val="16"/>
                <w:szCs w:val="16"/>
              </w:rPr>
              <w:t>2020-21</w:t>
            </w:r>
          </w:p>
        </w:tc>
        <w:tc>
          <w:tcPr>
            <w:tcW w:w="992" w:type="dxa"/>
            <w:tcBorders>
              <w:top w:val="single" w:sz="4" w:space="0" w:color="auto"/>
              <w:left w:val="nil"/>
              <w:bottom w:val="single" w:sz="4" w:space="0" w:color="auto"/>
              <w:right w:val="nil"/>
            </w:tcBorders>
            <w:shd w:val="clear" w:color="auto" w:fill="E6E6E6"/>
            <w:noWrap/>
            <w:vAlign w:val="bottom"/>
            <w:hideMark/>
          </w:tcPr>
          <w:p w14:paraId="23E7C3B7" w14:textId="77777777" w:rsidR="00580886" w:rsidRPr="00580886" w:rsidRDefault="00580886" w:rsidP="00580886">
            <w:pPr>
              <w:spacing w:after="0" w:line="240" w:lineRule="auto"/>
              <w:jc w:val="right"/>
              <w:rPr>
                <w:rFonts w:ascii="Arial" w:hAnsi="Arial" w:cs="Arial"/>
                <w:sz w:val="16"/>
                <w:szCs w:val="16"/>
              </w:rPr>
            </w:pPr>
            <w:r w:rsidRPr="00580886">
              <w:rPr>
                <w:rFonts w:ascii="Arial" w:hAnsi="Arial" w:cs="Arial"/>
                <w:sz w:val="16"/>
                <w:szCs w:val="16"/>
              </w:rPr>
              <w:t>2021-22</w:t>
            </w:r>
          </w:p>
        </w:tc>
        <w:tc>
          <w:tcPr>
            <w:tcW w:w="996" w:type="dxa"/>
            <w:tcBorders>
              <w:top w:val="nil"/>
              <w:left w:val="nil"/>
              <w:bottom w:val="nil"/>
              <w:right w:val="nil"/>
            </w:tcBorders>
            <w:shd w:val="clear" w:color="auto" w:fill="auto"/>
            <w:noWrap/>
            <w:vAlign w:val="center"/>
            <w:hideMark/>
          </w:tcPr>
          <w:p w14:paraId="0D4C135C" w14:textId="77777777" w:rsidR="00580886" w:rsidRPr="00580886" w:rsidRDefault="00580886" w:rsidP="00580886">
            <w:pPr>
              <w:spacing w:after="0" w:line="240" w:lineRule="auto"/>
              <w:jc w:val="right"/>
              <w:rPr>
                <w:rFonts w:ascii="Arial" w:hAnsi="Arial" w:cs="Arial"/>
                <w:sz w:val="16"/>
                <w:szCs w:val="16"/>
              </w:rPr>
            </w:pPr>
          </w:p>
        </w:tc>
        <w:tc>
          <w:tcPr>
            <w:tcW w:w="989" w:type="dxa"/>
            <w:tcBorders>
              <w:top w:val="nil"/>
              <w:left w:val="nil"/>
              <w:bottom w:val="nil"/>
              <w:right w:val="nil"/>
            </w:tcBorders>
            <w:shd w:val="clear" w:color="auto" w:fill="auto"/>
            <w:noWrap/>
            <w:vAlign w:val="center"/>
            <w:hideMark/>
          </w:tcPr>
          <w:p w14:paraId="3A8F55A9" w14:textId="77777777" w:rsidR="00580886" w:rsidRPr="00580886" w:rsidRDefault="00580886" w:rsidP="00580886">
            <w:pPr>
              <w:spacing w:after="0" w:line="240" w:lineRule="auto"/>
              <w:jc w:val="left"/>
              <w:rPr>
                <w:rFonts w:ascii="Times New Roman" w:hAnsi="Times New Roman"/>
              </w:rPr>
            </w:pPr>
          </w:p>
        </w:tc>
        <w:tc>
          <w:tcPr>
            <w:tcW w:w="992" w:type="dxa"/>
            <w:tcBorders>
              <w:top w:val="nil"/>
              <w:left w:val="nil"/>
              <w:bottom w:val="nil"/>
              <w:right w:val="nil"/>
            </w:tcBorders>
            <w:shd w:val="clear" w:color="auto" w:fill="auto"/>
            <w:noWrap/>
            <w:vAlign w:val="center"/>
            <w:hideMark/>
          </w:tcPr>
          <w:p w14:paraId="27D618CD" w14:textId="77777777" w:rsidR="00580886" w:rsidRPr="00580886" w:rsidRDefault="00580886" w:rsidP="00580886">
            <w:pPr>
              <w:spacing w:after="0" w:line="240" w:lineRule="auto"/>
              <w:jc w:val="left"/>
              <w:rPr>
                <w:rFonts w:ascii="Times New Roman" w:hAnsi="Times New Roman"/>
              </w:rPr>
            </w:pPr>
          </w:p>
        </w:tc>
      </w:tr>
      <w:tr w:rsidR="0029767A" w:rsidRPr="0029767A" w14:paraId="27F953B2" w14:textId="77777777" w:rsidTr="00CD1288">
        <w:trPr>
          <w:trHeight w:val="204"/>
        </w:trPr>
        <w:tc>
          <w:tcPr>
            <w:tcW w:w="2694" w:type="dxa"/>
            <w:tcBorders>
              <w:top w:val="nil"/>
              <w:left w:val="nil"/>
              <w:bottom w:val="single" w:sz="4" w:space="0" w:color="auto"/>
              <w:right w:val="nil"/>
            </w:tcBorders>
            <w:shd w:val="clear" w:color="auto" w:fill="auto"/>
            <w:noWrap/>
            <w:hideMark/>
          </w:tcPr>
          <w:p w14:paraId="2CF45891" w14:textId="77777777" w:rsidR="00A92065" w:rsidRPr="0029767A" w:rsidRDefault="00A92065" w:rsidP="00A92065">
            <w:pPr>
              <w:spacing w:after="0" w:line="240" w:lineRule="auto"/>
              <w:jc w:val="left"/>
              <w:rPr>
                <w:rFonts w:ascii="Arial" w:hAnsi="Arial" w:cs="Arial"/>
                <w:b/>
                <w:bCs/>
                <w:sz w:val="16"/>
                <w:szCs w:val="16"/>
              </w:rPr>
            </w:pPr>
            <w:r w:rsidRPr="0029767A">
              <w:rPr>
                <w:rFonts w:ascii="Arial" w:hAnsi="Arial" w:cs="Arial"/>
                <w:b/>
                <w:bCs/>
                <w:sz w:val="16"/>
                <w:szCs w:val="16"/>
              </w:rPr>
              <w:t>Average staffing level (number)</w:t>
            </w:r>
          </w:p>
        </w:tc>
        <w:tc>
          <w:tcPr>
            <w:tcW w:w="992" w:type="dxa"/>
            <w:tcBorders>
              <w:top w:val="nil"/>
              <w:left w:val="nil"/>
              <w:bottom w:val="single" w:sz="4" w:space="0" w:color="auto"/>
              <w:right w:val="nil"/>
            </w:tcBorders>
            <w:shd w:val="clear" w:color="auto" w:fill="auto"/>
            <w:noWrap/>
            <w:vAlign w:val="bottom"/>
            <w:hideMark/>
          </w:tcPr>
          <w:p w14:paraId="34F68F5D" w14:textId="1122DB61" w:rsidR="00A92065" w:rsidRPr="0029767A" w:rsidRDefault="00A92065" w:rsidP="00A92065">
            <w:pPr>
              <w:spacing w:after="0" w:line="240" w:lineRule="auto"/>
              <w:jc w:val="right"/>
              <w:rPr>
                <w:rFonts w:ascii="Arial" w:hAnsi="Arial" w:cs="Arial"/>
                <w:sz w:val="16"/>
                <w:szCs w:val="16"/>
              </w:rPr>
            </w:pPr>
            <w:r w:rsidRPr="0029767A">
              <w:rPr>
                <w:rFonts w:ascii="Arial" w:hAnsi="Arial" w:cs="Arial"/>
                <w:sz w:val="16"/>
                <w:szCs w:val="16"/>
              </w:rPr>
              <w:t>293</w:t>
            </w:r>
          </w:p>
        </w:tc>
        <w:tc>
          <w:tcPr>
            <w:tcW w:w="992" w:type="dxa"/>
            <w:tcBorders>
              <w:top w:val="nil"/>
              <w:left w:val="nil"/>
              <w:bottom w:val="single" w:sz="4" w:space="0" w:color="auto"/>
              <w:right w:val="nil"/>
            </w:tcBorders>
            <w:shd w:val="clear" w:color="auto" w:fill="E6E6E6"/>
            <w:noWrap/>
            <w:vAlign w:val="bottom"/>
            <w:hideMark/>
          </w:tcPr>
          <w:p w14:paraId="71E6B0B5" w14:textId="0146D648" w:rsidR="00A92065" w:rsidRPr="0029767A" w:rsidRDefault="00A92065" w:rsidP="00A92065">
            <w:pPr>
              <w:spacing w:after="0" w:line="240" w:lineRule="auto"/>
              <w:jc w:val="right"/>
              <w:rPr>
                <w:rFonts w:ascii="Arial" w:hAnsi="Arial" w:cs="Arial"/>
                <w:sz w:val="16"/>
                <w:szCs w:val="16"/>
              </w:rPr>
            </w:pPr>
            <w:r w:rsidRPr="0029767A">
              <w:rPr>
                <w:rFonts w:ascii="Arial" w:hAnsi="Arial" w:cs="Arial"/>
                <w:sz w:val="16"/>
                <w:szCs w:val="16"/>
              </w:rPr>
              <w:t>366</w:t>
            </w:r>
          </w:p>
        </w:tc>
        <w:tc>
          <w:tcPr>
            <w:tcW w:w="996" w:type="dxa"/>
            <w:tcBorders>
              <w:top w:val="nil"/>
              <w:left w:val="nil"/>
              <w:bottom w:val="nil"/>
              <w:right w:val="nil"/>
            </w:tcBorders>
            <w:shd w:val="clear" w:color="auto" w:fill="auto"/>
            <w:noWrap/>
            <w:vAlign w:val="bottom"/>
            <w:hideMark/>
          </w:tcPr>
          <w:p w14:paraId="3A160C5C" w14:textId="77777777" w:rsidR="00A92065" w:rsidRPr="0029767A" w:rsidRDefault="00A92065" w:rsidP="00A92065">
            <w:pPr>
              <w:spacing w:after="0" w:line="240" w:lineRule="auto"/>
              <w:jc w:val="right"/>
              <w:rPr>
                <w:rFonts w:ascii="Arial" w:hAnsi="Arial" w:cs="Arial"/>
                <w:sz w:val="16"/>
                <w:szCs w:val="16"/>
              </w:rPr>
            </w:pPr>
          </w:p>
        </w:tc>
        <w:tc>
          <w:tcPr>
            <w:tcW w:w="989" w:type="dxa"/>
            <w:tcBorders>
              <w:top w:val="nil"/>
              <w:left w:val="nil"/>
              <w:bottom w:val="nil"/>
              <w:right w:val="nil"/>
            </w:tcBorders>
            <w:shd w:val="clear" w:color="auto" w:fill="auto"/>
            <w:noWrap/>
            <w:vAlign w:val="bottom"/>
            <w:hideMark/>
          </w:tcPr>
          <w:p w14:paraId="7AE501F4" w14:textId="77777777" w:rsidR="00A92065" w:rsidRPr="0029767A" w:rsidRDefault="00A92065" w:rsidP="00A92065">
            <w:pPr>
              <w:spacing w:after="0" w:line="240" w:lineRule="auto"/>
              <w:jc w:val="left"/>
              <w:rPr>
                <w:rFonts w:ascii="Times New Roman" w:hAnsi="Times New Roman"/>
              </w:rPr>
            </w:pPr>
          </w:p>
        </w:tc>
        <w:tc>
          <w:tcPr>
            <w:tcW w:w="992" w:type="dxa"/>
            <w:tcBorders>
              <w:top w:val="nil"/>
              <w:left w:val="nil"/>
              <w:bottom w:val="nil"/>
              <w:right w:val="nil"/>
            </w:tcBorders>
            <w:shd w:val="clear" w:color="auto" w:fill="auto"/>
            <w:noWrap/>
            <w:vAlign w:val="bottom"/>
            <w:hideMark/>
          </w:tcPr>
          <w:p w14:paraId="3E88FA5B" w14:textId="77777777" w:rsidR="00A92065" w:rsidRPr="0029767A" w:rsidRDefault="00A92065" w:rsidP="00A92065">
            <w:pPr>
              <w:spacing w:after="0" w:line="240" w:lineRule="auto"/>
              <w:jc w:val="left"/>
              <w:rPr>
                <w:rFonts w:ascii="Times New Roman" w:hAnsi="Times New Roman"/>
              </w:rPr>
            </w:pPr>
          </w:p>
        </w:tc>
      </w:tr>
    </w:tbl>
    <w:p w14:paraId="1A95DD52" w14:textId="04B79B04" w:rsidR="00580886" w:rsidRPr="00580886" w:rsidRDefault="00580886" w:rsidP="00637168">
      <w:pPr>
        <w:pStyle w:val="ListParagraph"/>
        <w:numPr>
          <w:ilvl w:val="0"/>
          <w:numId w:val="69"/>
        </w:numPr>
        <w:ind w:left="284" w:hanging="284"/>
        <w:rPr>
          <w:rFonts w:ascii="Arial" w:hAnsi="Arial" w:cs="Arial"/>
          <w:sz w:val="16"/>
        </w:rPr>
      </w:pPr>
      <w:r w:rsidRPr="00637168">
        <w:rPr>
          <w:rFonts w:ascii="Arial" w:hAnsi="Arial" w:cs="Arial"/>
          <w:sz w:val="16"/>
          <w:szCs w:val="16"/>
        </w:rPr>
        <w:t>Relates</w:t>
      </w:r>
      <w:r w:rsidRPr="00580886">
        <w:rPr>
          <w:rFonts w:ascii="Arial" w:hAnsi="Arial" w:cs="Arial"/>
          <w:sz w:val="16"/>
        </w:rPr>
        <w:t xml:space="preserve"> to appropriation for corporate entities provided through the </w:t>
      </w:r>
      <w:r w:rsidR="008863D9">
        <w:rPr>
          <w:rFonts w:ascii="Arial" w:hAnsi="Arial" w:cs="Arial"/>
          <w:sz w:val="16"/>
        </w:rPr>
        <w:t>Department</w:t>
      </w:r>
      <w:r w:rsidRPr="00580886">
        <w:rPr>
          <w:rFonts w:ascii="Arial" w:hAnsi="Arial" w:cs="Arial"/>
          <w:sz w:val="16"/>
        </w:rPr>
        <w:t>.</w:t>
      </w:r>
    </w:p>
    <w:p w14:paraId="6A2C2B50" w14:textId="7E50C042" w:rsidR="00637168" w:rsidRPr="00637168" w:rsidRDefault="00637168" w:rsidP="0036693C">
      <w:pPr>
        <w:pStyle w:val="ListParagraph"/>
        <w:numPr>
          <w:ilvl w:val="0"/>
          <w:numId w:val="69"/>
        </w:numPr>
        <w:tabs>
          <w:tab w:val="left" w:pos="142"/>
          <w:tab w:val="left" w:pos="284"/>
        </w:tabs>
        <w:spacing w:after="0" w:line="240" w:lineRule="auto"/>
        <w:ind w:left="284" w:hanging="284"/>
        <w:rPr>
          <w:rFonts w:ascii="Arial" w:hAnsi="Arial" w:cs="Arial"/>
          <w:sz w:val="16"/>
          <w:szCs w:val="16"/>
        </w:rPr>
      </w:pPr>
      <w:r w:rsidRPr="00637168">
        <w:rPr>
          <w:rFonts w:ascii="Arial" w:hAnsi="Arial" w:cs="Arial"/>
          <w:sz w:val="16"/>
          <w:szCs w:val="16"/>
        </w:rPr>
        <w:t xml:space="preserve">These amounts do not include </w:t>
      </w:r>
      <w:r>
        <w:rPr>
          <w:rFonts w:ascii="Arial" w:hAnsi="Arial" w:cs="Arial"/>
          <w:sz w:val="16"/>
          <w:szCs w:val="16"/>
        </w:rPr>
        <w:t xml:space="preserve">any </w:t>
      </w:r>
      <w:r w:rsidRPr="00637168">
        <w:rPr>
          <w:rFonts w:ascii="Arial" w:hAnsi="Arial" w:cs="Arial"/>
          <w:sz w:val="16"/>
          <w:szCs w:val="16"/>
        </w:rPr>
        <w:t xml:space="preserve">decisions announced since the 2021-22 MYEFO Statement. </w:t>
      </w:r>
      <w:r w:rsidR="003944D9" w:rsidRPr="00637168">
        <w:rPr>
          <w:rFonts w:ascii="Arial" w:hAnsi="Arial" w:cs="Arial"/>
          <w:sz w:val="16"/>
        </w:rPr>
        <w:tab/>
      </w:r>
      <w:r w:rsidRPr="00637168">
        <w:rPr>
          <w:rFonts w:ascii="Arial" w:hAnsi="Arial" w:cs="Arial"/>
          <w:sz w:val="16"/>
          <w:szCs w:val="16"/>
        </w:rPr>
        <w:t xml:space="preserve"> </w:t>
      </w:r>
    </w:p>
    <w:p w14:paraId="5997149C" w14:textId="5FB7A355" w:rsidR="00580886" w:rsidRDefault="00580886" w:rsidP="00637168">
      <w:pPr>
        <w:pStyle w:val="ListParagraph"/>
        <w:numPr>
          <w:ilvl w:val="0"/>
          <w:numId w:val="69"/>
        </w:numPr>
        <w:ind w:left="284" w:hanging="284"/>
        <w:rPr>
          <w:rFonts w:ascii="Arial" w:hAnsi="Arial" w:cs="Arial"/>
          <w:sz w:val="16"/>
        </w:rPr>
      </w:pPr>
      <w:r w:rsidRPr="00637168">
        <w:rPr>
          <w:rFonts w:ascii="Arial" w:hAnsi="Arial" w:cs="Arial"/>
          <w:sz w:val="16"/>
          <w:szCs w:val="16"/>
        </w:rPr>
        <w:t>Administered</w:t>
      </w:r>
      <w:r w:rsidRPr="00580886">
        <w:rPr>
          <w:rFonts w:ascii="Arial" w:hAnsi="Arial" w:cs="Arial"/>
          <w:sz w:val="16"/>
        </w:rPr>
        <w:t xml:space="preserve"> ‘Expenses not requiring appropriation in the Budget year’ comprises expenses relating to</w:t>
      </w:r>
      <w:r w:rsidR="00CD6F49">
        <w:rPr>
          <w:rFonts w:ascii="Arial" w:hAnsi="Arial" w:cs="Arial"/>
          <w:sz w:val="16"/>
        </w:rPr>
        <w:t xml:space="preserve"> </w:t>
      </w:r>
      <w:r w:rsidRPr="00580886">
        <w:rPr>
          <w:rFonts w:ascii="Arial" w:hAnsi="Arial" w:cs="Arial"/>
          <w:sz w:val="16"/>
        </w:rPr>
        <w:t>accruals, payments made from prior year appropriations and other non–cash expenses.</w:t>
      </w:r>
    </w:p>
    <w:p w14:paraId="53E229C4" w14:textId="0FF8B2F5" w:rsidR="003944D9" w:rsidRPr="003944D9" w:rsidRDefault="003944D9" w:rsidP="00637168">
      <w:pPr>
        <w:pStyle w:val="ListParagraph"/>
        <w:numPr>
          <w:ilvl w:val="0"/>
          <w:numId w:val="69"/>
        </w:numPr>
        <w:ind w:left="284" w:hanging="284"/>
        <w:rPr>
          <w:rFonts w:ascii="Arial" w:hAnsi="Arial" w:cs="Arial"/>
          <w:sz w:val="16"/>
          <w:szCs w:val="16"/>
        </w:rPr>
      </w:pPr>
      <w:r w:rsidRPr="003944D9">
        <w:rPr>
          <w:rFonts w:ascii="Arial" w:hAnsi="Arial" w:cs="Arial"/>
          <w:sz w:val="16"/>
          <w:szCs w:val="16"/>
        </w:rPr>
        <w:t>Estimated expenses incurred in relation to receipts retained under section 74 of the PGPA Act.</w:t>
      </w:r>
    </w:p>
    <w:p w14:paraId="0FF74E9D" w14:textId="356FA88F" w:rsidR="003944D9" w:rsidRPr="003944D9" w:rsidRDefault="008863D9" w:rsidP="00637168">
      <w:pPr>
        <w:pStyle w:val="ListParagraph"/>
        <w:numPr>
          <w:ilvl w:val="0"/>
          <w:numId w:val="69"/>
        </w:numPr>
        <w:ind w:left="284" w:hanging="284"/>
        <w:rPr>
          <w:rFonts w:ascii="Arial" w:hAnsi="Arial" w:cs="Arial"/>
          <w:sz w:val="16"/>
          <w:szCs w:val="16"/>
        </w:rPr>
      </w:pPr>
      <w:r>
        <w:rPr>
          <w:rFonts w:ascii="Arial" w:hAnsi="Arial" w:cs="Arial"/>
          <w:sz w:val="16"/>
          <w:szCs w:val="16"/>
        </w:rPr>
        <w:t>Department</w:t>
      </w:r>
      <w:r w:rsidR="003944D9" w:rsidRPr="003944D9">
        <w:rPr>
          <w:rFonts w:ascii="Arial" w:hAnsi="Arial" w:cs="Arial"/>
          <w:sz w:val="16"/>
          <w:szCs w:val="16"/>
        </w:rPr>
        <w:t xml:space="preserve">al ‘Expenses not requiring appropriation in the Budget year’ is made up of depreciation and </w:t>
      </w:r>
      <w:proofErr w:type="spellStart"/>
      <w:r w:rsidR="003944D9" w:rsidRPr="003944D9">
        <w:rPr>
          <w:rFonts w:ascii="Arial" w:hAnsi="Arial" w:cs="Arial"/>
          <w:sz w:val="16"/>
          <w:szCs w:val="16"/>
        </w:rPr>
        <w:t>amortisation</w:t>
      </w:r>
      <w:proofErr w:type="spellEnd"/>
      <w:r w:rsidR="003944D9" w:rsidRPr="003944D9">
        <w:rPr>
          <w:rFonts w:ascii="Arial" w:hAnsi="Arial" w:cs="Arial"/>
          <w:sz w:val="16"/>
          <w:szCs w:val="16"/>
        </w:rPr>
        <w:t xml:space="preserve"> expenses and expenses that are reduced by associated receipts.</w:t>
      </w:r>
    </w:p>
    <w:p w14:paraId="7D9BDBA8" w14:textId="0D7C8D51" w:rsidR="003944D9" w:rsidRDefault="003944D9" w:rsidP="00637168">
      <w:pPr>
        <w:pStyle w:val="ListParagraph"/>
        <w:numPr>
          <w:ilvl w:val="0"/>
          <w:numId w:val="69"/>
        </w:numPr>
        <w:spacing w:after="0"/>
        <w:ind w:left="284" w:hanging="284"/>
        <w:rPr>
          <w:rFonts w:ascii="Arial" w:hAnsi="Arial" w:cs="Arial"/>
          <w:sz w:val="16"/>
          <w:szCs w:val="16"/>
        </w:rPr>
      </w:pPr>
      <w:r w:rsidRPr="003944D9">
        <w:rPr>
          <w:rFonts w:ascii="Arial" w:hAnsi="Arial" w:cs="Arial"/>
          <w:sz w:val="16"/>
          <w:szCs w:val="16"/>
        </w:rPr>
        <w:t>Figures displayed as a negative (</w:t>
      </w:r>
      <w:r w:rsidR="00B45396">
        <w:rPr>
          <w:rFonts w:ascii="Arial" w:hAnsi="Arial" w:cs="Arial"/>
          <w:sz w:val="16"/>
          <w:szCs w:val="16"/>
        </w:rPr>
        <w:t>-</w:t>
      </w:r>
      <w:r w:rsidRPr="003944D9">
        <w:rPr>
          <w:rFonts w:ascii="Arial" w:hAnsi="Arial" w:cs="Arial"/>
          <w:sz w:val="16"/>
          <w:szCs w:val="16"/>
        </w:rPr>
        <w:t>) represent a decrease in funds and a positive (+) represent an increase in funds.</w:t>
      </w:r>
    </w:p>
    <w:p w14:paraId="50B20C2D" w14:textId="7D8DF98E" w:rsidR="00D3478A" w:rsidRPr="00D3478A" w:rsidRDefault="00D3478A" w:rsidP="00D3478A">
      <w:pPr>
        <w:spacing w:after="0" w:line="240" w:lineRule="auto"/>
        <w:rPr>
          <w:rFonts w:ascii="Arial" w:hAnsi="Arial" w:cs="Arial"/>
          <w:sz w:val="16"/>
          <w:szCs w:val="16"/>
        </w:rPr>
      </w:pPr>
      <w:r w:rsidRPr="00D3478A">
        <w:rPr>
          <w:rFonts w:ascii="Arial" w:hAnsi="Arial" w:cs="Arial"/>
          <w:sz w:val="16"/>
          <w:szCs w:val="16"/>
        </w:rPr>
        <w:t xml:space="preserve">Note: </w:t>
      </w:r>
      <w:r w:rsidR="008863D9">
        <w:rPr>
          <w:rFonts w:ascii="Arial" w:hAnsi="Arial" w:cs="Arial"/>
          <w:sz w:val="16"/>
          <w:szCs w:val="16"/>
        </w:rPr>
        <w:t>Department</w:t>
      </w:r>
      <w:r w:rsidRPr="00D3478A">
        <w:rPr>
          <w:rFonts w:ascii="Arial" w:hAnsi="Arial" w:cs="Arial"/>
          <w:sz w:val="16"/>
          <w:szCs w:val="16"/>
        </w:rPr>
        <w:t xml:space="preserve">al appropriation splits and totals are indicative estimates and may change in the course of the budget year as government priorities change. </w:t>
      </w:r>
    </w:p>
    <w:p w14:paraId="4E91351F" w14:textId="62C4C62E" w:rsidR="00F94108" w:rsidRDefault="00F94108">
      <w:pPr>
        <w:spacing w:after="0" w:line="240" w:lineRule="auto"/>
        <w:jc w:val="left"/>
        <w:rPr>
          <w:rFonts w:ascii="Arial" w:hAnsi="Arial"/>
          <w:b/>
          <w:highlight w:val="yellow"/>
          <w:lang w:val="x-none"/>
        </w:rPr>
      </w:pPr>
      <w:r>
        <w:rPr>
          <w:highlight w:val="yellow"/>
        </w:rPr>
        <w:br w:type="page"/>
      </w:r>
    </w:p>
    <w:p w14:paraId="07F43E89" w14:textId="1BA2B501" w:rsidR="000F723F" w:rsidRDefault="000F723F" w:rsidP="000F723F">
      <w:pPr>
        <w:pStyle w:val="TableHeading"/>
        <w:rPr>
          <w:lang w:val="en-US"/>
        </w:rPr>
      </w:pPr>
      <w:r w:rsidRPr="00F94108">
        <w:lastRenderedPageBreak/>
        <w:t>Table 2.</w:t>
      </w:r>
      <w:r w:rsidRPr="00F94108">
        <w:rPr>
          <w:lang w:val="en-AU"/>
        </w:rPr>
        <w:t>6.</w:t>
      </w:r>
      <w:r w:rsidR="00C95D2B">
        <w:t>2</w:t>
      </w:r>
      <w:r w:rsidRPr="00F94108">
        <w:t xml:space="preserve"> </w:t>
      </w:r>
      <w:r w:rsidR="00BA72DB" w:rsidRPr="00F94108">
        <w:t xml:space="preserve">Program components of Outcome </w:t>
      </w:r>
      <w:r w:rsidR="00BA72DB" w:rsidRPr="00F94108">
        <w:rPr>
          <w:lang w:val="en-US"/>
        </w:rPr>
        <w:t>5</w:t>
      </w:r>
    </w:p>
    <w:tbl>
      <w:tblPr>
        <w:tblW w:w="7861" w:type="dxa"/>
        <w:tblLook w:val="04A0" w:firstRow="1" w:lastRow="0" w:firstColumn="1" w:lastColumn="0" w:noHBand="0" w:noVBand="1"/>
      </w:tblPr>
      <w:tblGrid>
        <w:gridCol w:w="2977"/>
        <w:gridCol w:w="976"/>
        <w:gridCol w:w="977"/>
        <w:gridCol w:w="977"/>
        <w:gridCol w:w="977"/>
        <w:gridCol w:w="977"/>
      </w:tblGrid>
      <w:tr w:rsidR="00E34CEC" w:rsidRPr="00657DAD" w14:paraId="0129C0DC" w14:textId="77777777" w:rsidTr="00B1501D">
        <w:trPr>
          <w:trHeight w:val="734"/>
        </w:trPr>
        <w:tc>
          <w:tcPr>
            <w:tcW w:w="2977" w:type="dxa"/>
            <w:tcBorders>
              <w:top w:val="single" w:sz="4" w:space="0" w:color="auto"/>
              <w:left w:val="nil"/>
              <w:right w:val="nil"/>
            </w:tcBorders>
            <w:shd w:val="clear" w:color="auto" w:fill="auto"/>
            <w:noWrap/>
            <w:hideMark/>
          </w:tcPr>
          <w:p w14:paraId="1322F99F" w14:textId="77777777" w:rsidR="00E34CEC" w:rsidRPr="00657DAD" w:rsidRDefault="00E34CEC" w:rsidP="00E34CEC">
            <w:pPr>
              <w:spacing w:after="0" w:line="240" w:lineRule="auto"/>
              <w:jc w:val="left"/>
              <w:rPr>
                <w:rFonts w:ascii="Arial" w:hAnsi="Arial" w:cs="Arial"/>
                <w:sz w:val="16"/>
                <w:szCs w:val="16"/>
              </w:rPr>
            </w:pPr>
            <w:r w:rsidRPr="00657DAD">
              <w:rPr>
                <w:rFonts w:ascii="Arial" w:hAnsi="Arial" w:cs="Arial"/>
                <w:sz w:val="16"/>
                <w:szCs w:val="16"/>
              </w:rPr>
              <w:t> </w:t>
            </w:r>
          </w:p>
        </w:tc>
        <w:tc>
          <w:tcPr>
            <w:tcW w:w="976" w:type="dxa"/>
            <w:tcBorders>
              <w:top w:val="single" w:sz="4" w:space="0" w:color="auto"/>
              <w:left w:val="nil"/>
              <w:right w:val="nil"/>
            </w:tcBorders>
            <w:shd w:val="clear" w:color="auto" w:fill="auto"/>
            <w:vAlign w:val="bottom"/>
            <w:hideMark/>
          </w:tcPr>
          <w:p w14:paraId="3FCEF75E" w14:textId="582C9D44" w:rsidR="00E34CEC" w:rsidRPr="00657DAD"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77" w:type="dxa"/>
            <w:tcBorders>
              <w:top w:val="single" w:sz="4" w:space="0" w:color="auto"/>
              <w:left w:val="nil"/>
              <w:right w:val="nil"/>
            </w:tcBorders>
            <w:shd w:val="clear" w:color="000000" w:fill="E6E6E6"/>
            <w:vAlign w:val="bottom"/>
            <w:hideMark/>
          </w:tcPr>
          <w:p w14:paraId="01F4AA3E" w14:textId="2E790FD0" w:rsidR="00E34CEC" w:rsidRPr="00657DAD"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977" w:type="dxa"/>
            <w:tcBorders>
              <w:top w:val="single" w:sz="4" w:space="0" w:color="auto"/>
              <w:left w:val="nil"/>
              <w:right w:val="nil"/>
            </w:tcBorders>
            <w:shd w:val="clear" w:color="auto" w:fill="auto"/>
            <w:vAlign w:val="bottom"/>
            <w:hideMark/>
          </w:tcPr>
          <w:p w14:paraId="2233BEE1" w14:textId="0EB05359" w:rsidR="00E34CEC" w:rsidRPr="00657DAD"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977" w:type="dxa"/>
            <w:tcBorders>
              <w:top w:val="single" w:sz="4" w:space="0" w:color="auto"/>
              <w:left w:val="nil"/>
              <w:right w:val="nil"/>
            </w:tcBorders>
            <w:shd w:val="clear" w:color="auto" w:fill="auto"/>
            <w:vAlign w:val="bottom"/>
            <w:hideMark/>
          </w:tcPr>
          <w:p w14:paraId="362E739D" w14:textId="72845451" w:rsidR="00E34CEC" w:rsidRPr="00657DAD"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977" w:type="dxa"/>
            <w:tcBorders>
              <w:top w:val="single" w:sz="4" w:space="0" w:color="auto"/>
              <w:left w:val="nil"/>
              <w:bottom w:val="single" w:sz="4" w:space="0" w:color="auto"/>
              <w:right w:val="nil"/>
            </w:tcBorders>
            <w:shd w:val="clear" w:color="auto" w:fill="auto"/>
            <w:vAlign w:val="bottom"/>
            <w:hideMark/>
          </w:tcPr>
          <w:p w14:paraId="2F162F85" w14:textId="774E52A1" w:rsidR="00E34CEC" w:rsidRPr="00657DAD" w:rsidRDefault="00E34CEC" w:rsidP="00E34CEC">
            <w:pPr>
              <w:spacing w:after="0" w:line="240" w:lineRule="auto"/>
              <w:ind w:right="57"/>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29767A" w:rsidRPr="00657DAD" w14:paraId="261D7C80" w14:textId="77777777" w:rsidTr="00637168">
        <w:trPr>
          <w:trHeight w:val="270"/>
        </w:trPr>
        <w:tc>
          <w:tcPr>
            <w:tcW w:w="6884" w:type="dxa"/>
            <w:gridSpan w:val="5"/>
            <w:tcBorders>
              <w:top w:val="single" w:sz="4" w:space="0" w:color="auto"/>
              <w:left w:val="nil"/>
              <w:bottom w:val="single" w:sz="4" w:space="0" w:color="auto"/>
              <w:right w:val="nil"/>
            </w:tcBorders>
            <w:shd w:val="clear" w:color="000000" w:fill="E6E6E6"/>
            <w:noWrap/>
            <w:hideMark/>
          </w:tcPr>
          <w:p w14:paraId="5EE81B23" w14:textId="77777777" w:rsidR="0029767A" w:rsidRPr="00657DAD" w:rsidRDefault="0029767A" w:rsidP="0029767A">
            <w:pPr>
              <w:spacing w:after="0" w:line="240" w:lineRule="auto"/>
              <w:jc w:val="left"/>
              <w:rPr>
                <w:rFonts w:ascii="Arial" w:hAnsi="Arial" w:cs="Arial"/>
                <w:b/>
                <w:bCs/>
                <w:sz w:val="16"/>
                <w:szCs w:val="16"/>
              </w:rPr>
            </w:pPr>
            <w:r w:rsidRPr="00657DAD">
              <w:rPr>
                <w:rFonts w:ascii="Arial" w:hAnsi="Arial" w:cs="Arial"/>
                <w:b/>
                <w:bCs/>
                <w:sz w:val="16"/>
                <w:szCs w:val="16"/>
              </w:rPr>
              <w:t>Components for Program 5.1: Digital Technologies and Communications Services</w:t>
            </w:r>
          </w:p>
        </w:tc>
        <w:tc>
          <w:tcPr>
            <w:tcW w:w="977" w:type="dxa"/>
            <w:tcBorders>
              <w:top w:val="single" w:sz="4" w:space="0" w:color="auto"/>
              <w:left w:val="nil"/>
              <w:bottom w:val="single" w:sz="4" w:space="0" w:color="auto"/>
              <w:right w:val="nil"/>
            </w:tcBorders>
            <w:shd w:val="clear" w:color="000000" w:fill="E6E6E6"/>
            <w:noWrap/>
            <w:hideMark/>
          </w:tcPr>
          <w:p w14:paraId="0965EC0E" w14:textId="77777777" w:rsidR="0029767A" w:rsidRPr="00657DAD" w:rsidRDefault="0029767A" w:rsidP="0029767A">
            <w:pPr>
              <w:spacing w:after="0" w:line="240" w:lineRule="auto"/>
              <w:jc w:val="left"/>
              <w:rPr>
                <w:rFonts w:ascii="Arial" w:hAnsi="Arial" w:cs="Arial"/>
                <w:sz w:val="16"/>
                <w:szCs w:val="16"/>
              </w:rPr>
            </w:pPr>
            <w:r w:rsidRPr="00657DAD">
              <w:rPr>
                <w:rFonts w:ascii="Arial" w:hAnsi="Arial" w:cs="Arial"/>
                <w:sz w:val="16"/>
                <w:szCs w:val="16"/>
              </w:rPr>
              <w:t> </w:t>
            </w:r>
          </w:p>
        </w:tc>
      </w:tr>
      <w:tr w:rsidR="0029767A" w:rsidRPr="00657DAD" w14:paraId="3AA51099" w14:textId="77777777" w:rsidTr="00C55547">
        <w:trPr>
          <w:trHeight w:val="204"/>
        </w:trPr>
        <w:tc>
          <w:tcPr>
            <w:tcW w:w="2977" w:type="dxa"/>
            <w:tcBorders>
              <w:top w:val="nil"/>
              <w:left w:val="nil"/>
              <w:bottom w:val="nil"/>
              <w:right w:val="nil"/>
            </w:tcBorders>
            <w:shd w:val="clear" w:color="auto" w:fill="auto"/>
            <w:noWrap/>
            <w:vAlign w:val="center"/>
            <w:hideMark/>
          </w:tcPr>
          <w:p w14:paraId="543E02CE" w14:textId="77777777" w:rsidR="0029767A" w:rsidRPr="00657DAD" w:rsidRDefault="0029767A" w:rsidP="0029767A">
            <w:pPr>
              <w:spacing w:after="0" w:line="240" w:lineRule="auto"/>
              <w:jc w:val="left"/>
              <w:rPr>
                <w:rFonts w:ascii="Arial" w:hAnsi="Arial" w:cs="Arial"/>
                <w:sz w:val="16"/>
                <w:szCs w:val="16"/>
              </w:rPr>
            </w:pPr>
            <w:r w:rsidRPr="00657DAD">
              <w:rPr>
                <w:rFonts w:ascii="Arial" w:hAnsi="Arial" w:cs="Arial"/>
                <w:sz w:val="16"/>
                <w:szCs w:val="16"/>
              </w:rPr>
              <w:t>Administered expenses</w:t>
            </w:r>
          </w:p>
        </w:tc>
        <w:tc>
          <w:tcPr>
            <w:tcW w:w="976" w:type="dxa"/>
            <w:tcBorders>
              <w:top w:val="nil"/>
              <w:left w:val="nil"/>
              <w:bottom w:val="nil"/>
              <w:right w:val="nil"/>
            </w:tcBorders>
            <w:shd w:val="clear" w:color="auto" w:fill="auto"/>
            <w:noWrap/>
            <w:vAlign w:val="bottom"/>
            <w:hideMark/>
          </w:tcPr>
          <w:p w14:paraId="69FE7D8A" w14:textId="77777777" w:rsidR="0029767A" w:rsidRPr="00657DAD" w:rsidRDefault="0029767A" w:rsidP="005A3FE8">
            <w:pPr>
              <w:spacing w:after="0" w:line="240" w:lineRule="auto"/>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6322F5C4" w14:textId="5F9DF332" w:rsidR="0029767A" w:rsidRPr="00657DAD" w:rsidRDefault="0029767A" w:rsidP="005A3FE8">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4F3B49DA" w14:textId="77777777" w:rsidR="0029767A" w:rsidRPr="00657DAD" w:rsidRDefault="0029767A" w:rsidP="005A3FE8">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308D0E62" w14:textId="77777777" w:rsidR="0029767A" w:rsidRPr="00657DAD" w:rsidRDefault="0029767A" w:rsidP="005A3FE8">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2E6D8571" w14:textId="77777777" w:rsidR="0029767A" w:rsidRPr="00657DAD" w:rsidRDefault="0029767A" w:rsidP="005A3FE8">
            <w:pPr>
              <w:spacing w:after="0" w:line="240" w:lineRule="auto"/>
              <w:jc w:val="right"/>
              <w:rPr>
                <w:rFonts w:ascii="Arial" w:hAnsi="Arial" w:cs="Arial"/>
                <w:sz w:val="16"/>
                <w:szCs w:val="16"/>
              </w:rPr>
            </w:pPr>
          </w:p>
        </w:tc>
      </w:tr>
      <w:tr w:rsidR="00657DAD" w:rsidRPr="00657DAD" w14:paraId="36E0E6A5" w14:textId="77777777" w:rsidTr="00C55547">
        <w:trPr>
          <w:trHeight w:val="204"/>
        </w:trPr>
        <w:tc>
          <w:tcPr>
            <w:tcW w:w="2977" w:type="dxa"/>
            <w:tcBorders>
              <w:top w:val="nil"/>
              <w:left w:val="nil"/>
              <w:bottom w:val="nil"/>
              <w:right w:val="nil"/>
            </w:tcBorders>
            <w:shd w:val="clear" w:color="auto" w:fill="auto"/>
            <w:hideMark/>
          </w:tcPr>
          <w:p w14:paraId="697AA189"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Amplifying Australia's Voice in the Pacific</w:t>
            </w:r>
          </w:p>
        </w:tc>
        <w:tc>
          <w:tcPr>
            <w:tcW w:w="976" w:type="dxa"/>
            <w:tcBorders>
              <w:top w:val="nil"/>
              <w:left w:val="nil"/>
              <w:bottom w:val="nil"/>
              <w:right w:val="nil"/>
            </w:tcBorders>
            <w:shd w:val="clear" w:color="auto" w:fill="auto"/>
            <w:noWrap/>
            <w:vAlign w:val="bottom"/>
            <w:hideMark/>
          </w:tcPr>
          <w:p w14:paraId="2093EA73" w14:textId="2306702E"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5,675 </w:t>
            </w:r>
          </w:p>
        </w:tc>
        <w:tc>
          <w:tcPr>
            <w:tcW w:w="977" w:type="dxa"/>
            <w:tcBorders>
              <w:top w:val="nil"/>
              <w:left w:val="nil"/>
              <w:bottom w:val="nil"/>
              <w:right w:val="nil"/>
            </w:tcBorders>
            <w:shd w:val="clear" w:color="000000" w:fill="E6E6E6"/>
            <w:noWrap/>
            <w:vAlign w:val="bottom"/>
            <w:hideMark/>
          </w:tcPr>
          <w:p w14:paraId="659603E9" w14:textId="2AE7A675"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5,675 </w:t>
            </w:r>
          </w:p>
        </w:tc>
        <w:tc>
          <w:tcPr>
            <w:tcW w:w="977" w:type="dxa"/>
            <w:tcBorders>
              <w:top w:val="nil"/>
              <w:left w:val="nil"/>
              <w:bottom w:val="nil"/>
              <w:right w:val="nil"/>
            </w:tcBorders>
            <w:shd w:val="clear" w:color="auto" w:fill="auto"/>
            <w:noWrap/>
            <w:vAlign w:val="bottom"/>
            <w:hideMark/>
          </w:tcPr>
          <w:p w14:paraId="4720DC15" w14:textId="02116BD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52A7F4AF" w14:textId="77E57213"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1062BC5D" w14:textId="5DB892D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77A847B1" w14:textId="77777777" w:rsidTr="00C55547">
        <w:trPr>
          <w:trHeight w:val="204"/>
        </w:trPr>
        <w:tc>
          <w:tcPr>
            <w:tcW w:w="2977" w:type="dxa"/>
            <w:tcBorders>
              <w:top w:val="nil"/>
              <w:left w:val="nil"/>
              <w:bottom w:val="nil"/>
              <w:right w:val="nil"/>
            </w:tcBorders>
            <w:shd w:val="clear" w:color="auto" w:fill="auto"/>
            <w:hideMark/>
          </w:tcPr>
          <w:p w14:paraId="6CFD1DE2"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Australian 5G Innovation Initiative</w:t>
            </w:r>
          </w:p>
        </w:tc>
        <w:tc>
          <w:tcPr>
            <w:tcW w:w="976" w:type="dxa"/>
            <w:tcBorders>
              <w:top w:val="nil"/>
              <w:left w:val="nil"/>
              <w:bottom w:val="nil"/>
              <w:right w:val="nil"/>
            </w:tcBorders>
            <w:shd w:val="clear" w:color="auto" w:fill="auto"/>
            <w:noWrap/>
            <w:vAlign w:val="bottom"/>
            <w:hideMark/>
          </w:tcPr>
          <w:p w14:paraId="45704E0E" w14:textId="520FBD92"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006F38BF" w14:textId="2F019844"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15,000 </w:t>
            </w:r>
          </w:p>
        </w:tc>
        <w:tc>
          <w:tcPr>
            <w:tcW w:w="977" w:type="dxa"/>
            <w:tcBorders>
              <w:top w:val="nil"/>
              <w:left w:val="nil"/>
              <w:bottom w:val="nil"/>
              <w:right w:val="nil"/>
            </w:tcBorders>
            <w:shd w:val="clear" w:color="auto" w:fill="auto"/>
            <w:noWrap/>
            <w:vAlign w:val="bottom"/>
            <w:hideMark/>
          </w:tcPr>
          <w:p w14:paraId="45E099B4" w14:textId="56F9B3C5"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13,000 </w:t>
            </w:r>
          </w:p>
        </w:tc>
        <w:tc>
          <w:tcPr>
            <w:tcW w:w="977" w:type="dxa"/>
            <w:tcBorders>
              <w:top w:val="nil"/>
              <w:left w:val="nil"/>
              <w:bottom w:val="nil"/>
              <w:right w:val="nil"/>
            </w:tcBorders>
            <w:shd w:val="clear" w:color="auto" w:fill="auto"/>
            <w:noWrap/>
            <w:vAlign w:val="bottom"/>
            <w:hideMark/>
          </w:tcPr>
          <w:p w14:paraId="54756F93" w14:textId="72F4FF4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8,000 </w:t>
            </w:r>
          </w:p>
        </w:tc>
        <w:tc>
          <w:tcPr>
            <w:tcW w:w="977" w:type="dxa"/>
            <w:tcBorders>
              <w:top w:val="nil"/>
              <w:left w:val="nil"/>
              <w:bottom w:val="nil"/>
              <w:right w:val="nil"/>
            </w:tcBorders>
            <w:shd w:val="clear" w:color="auto" w:fill="auto"/>
            <w:noWrap/>
            <w:vAlign w:val="bottom"/>
            <w:hideMark/>
          </w:tcPr>
          <w:p w14:paraId="38462FE5" w14:textId="597AAC4B"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4,000 </w:t>
            </w:r>
          </w:p>
        </w:tc>
      </w:tr>
      <w:tr w:rsidR="00657DAD" w:rsidRPr="00657DAD" w14:paraId="31FD8D0F" w14:textId="77777777" w:rsidTr="00C55547">
        <w:trPr>
          <w:trHeight w:val="204"/>
        </w:trPr>
        <w:tc>
          <w:tcPr>
            <w:tcW w:w="2977" w:type="dxa"/>
            <w:tcBorders>
              <w:top w:val="nil"/>
              <w:left w:val="nil"/>
              <w:bottom w:val="nil"/>
              <w:right w:val="nil"/>
            </w:tcBorders>
            <w:shd w:val="clear" w:color="auto" w:fill="auto"/>
            <w:hideMark/>
          </w:tcPr>
          <w:p w14:paraId="0DD359E6"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Cadetship Program and Scholarship Program</w:t>
            </w:r>
          </w:p>
        </w:tc>
        <w:tc>
          <w:tcPr>
            <w:tcW w:w="976" w:type="dxa"/>
            <w:tcBorders>
              <w:top w:val="nil"/>
              <w:left w:val="nil"/>
              <w:bottom w:val="nil"/>
              <w:right w:val="nil"/>
            </w:tcBorders>
            <w:shd w:val="clear" w:color="auto" w:fill="auto"/>
            <w:noWrap/>
            <w:vAlign w:val="bottom"/>
            <w:hideMark/>
          </w:tcPr>
          <w:p w14:paraId="002C8521" w14:textId="3113B04A"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121 </w:t>
            </w:r>
          </w:p>
        </w:tc>
        <w:tc>
          <w:tcPr>
            <w:tcW w:w="977" w:type="dxa"/>
            <w:tcBorders>
              <w:top w:val="nil"/>
              <w:left w:val="nil"/>
              <w:bottom w:val="nil"/>
              <w:right w:val="nil"/>
            </w:tcBorders>
            <w:shd w:val="clear" w:color="000000" w:fill="E6E6E6"/>
            <w:noWrap/>
            <w:vAlign w:val="bottom"/>
            <w:hideMark/>
          </w:tcPr>
          <w:p w14:paraId="46FBFBC9" w14:textId="5EE62D26"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4BF71BB9" w14:textId="3914217B"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61EF57EE" w14:textId="661C9A1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360D297E" w14:textId="6A57B2F5"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24D3805B" w14:textId="77777777" w:rsidTr="00C55547">
        <w:trPr>
          <w:trHeight w:val="204"/>
        </w:trPr>
        <w:tc>
          <w:tcPr>
            <w:tcW w:w="2977" w:type="dxa"/>
            <w:tcBorders>
              <w:top w:val="nil"/>
              <w:left w:val="nil"/>
              <w:bottom w:val="nil"/>
              <w:right w:val="nil"/>
            </w:tcBorders>
            <w:shd w:val="clear" w:color="auto" w:fill="auto"/>
            <w:hideMark/>
          </w:tcPr>
          <w:p w14:paraId="67193A76"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Community Broadcasting Program</w:t>
            </w:r>
          </w:p>
        </w:tc>
        <w:tc>
          <w:tcPr>
            <w:tcW w:w="976" w:type="dxa"/>
            <w:tcBorders>
              <w:top w:val="nil"/>
              <w:left w:val="nil"/>
              <w:bottom w:val="nil"/>
              <w:right w:val="nil"/>
            </w:tcBorders>
            <w:shd w:val="clear" w:color="auto" w:fill="auto"/>
            <w:noWrap/>
            <w:vAlign w:val="bottom"/>
            <w:hideMark/>
          </w:tcPr>
          <w:p w14:paraId="4DE49BAE" w14:textId="660F1CE5"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19,984 </w:t>
            </w:r>
          </w:p>
        </w:tc>
        <w:tc>
          <w:tcPr>
            <w:tcW w:w="977" w:type="dxa"/>
            <w:tcBorders>
              <w:top w:val="nil"/>
              <w:left w:val="nil"/>
              <w:bottom w:val="nil"/>
              <w:right w:val="nil"/>
            </w:tcBorders>
            <w:shd w:val="clear" w:color="000000" w:fill="E6E6E6"/>
            <w:noWrap/>
            <w:vAlign w:val="bottom"/>
            <w:hideMark/>
          </w:tcPr>
          <w:p w14:paraId="563541BE" w14:textId="29665C38"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20,149 </w:t>
            </w:r>
          </w:p>
        </w:tc>
        <w:tc>
          <w:tcPr>
            <w:tcW w:w="977" w:type="dxa"/>
            <w:tcBorders>
              <w:top w:val="nil"/>
              <w:left w:val="nil"/>
              <w:bottom w:val="nil"/>
              <w:right w:val="nil"/>
            </w:tcBorders>
            <w:shd w:val="clear" w:color="auto" w:fill="auto"/>
            <w:noWrap/>
            <w:vAlign w:val="bottom"/>
            <w:hideMark/>
          </w:tcPr>
          <w:p w14:paraId="54280691" w14:textId="4BA9540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20,411 </w:t>
            </w:r>
          </w:p>
        </w:tc>
        <w:tc>
          <w:tcPr>
            <w:tcW w:w="977" w:type="dxa"/>
            <w:tcBorders>
              <w:top w:val="nil"/>
              <w:left w:val="nil"/>
              <w:bottom w:val="nil"/>
              <w:right w:val="nil"/>
            </w:tcBorders>
            <w:shd w:val="clear" w:color="auto" w:fill="auto"/>
            <w:noWrap/>
            <w:vAlign w:val="bottom"/>
            <w:hideMark/>
          </w:tcPr>
          <w:p w14:paraId="1E90BBC6" w14:textId="17AD32FB"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16,714 </w:t>
            </w:r>
          </w:p>
        </w:tc>
        <w:tc>
          <w:tcPr>
            <w:tcW w:w="977" w:type="dxa"/>
            <w:tcBorders>
              <w:top w:val="nil"/>
              <w:left w:val="nil"/>
              <w:bottom w:val="nil"/>
              <w:right w:val="nil"/>
            </w:tcBorders>
            <w:shd w:val="clear" w:color="auto" w:fill="auto"/>
            <w:noWrap/>
            <w:vAlign w:val="bottom"/>
            <w:hideMark/>
          </w:tcPr>
          <w:p w14:paraId="31805F44" w14:textId="39CE5910"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17,099 </w:t>
            </w:r>
          </w:p>
        </w:tc>
      </w:tr>
      <w:tr w:rsidR="00657DAD" w:rsidRPr="00657DAD" w14:paraId="15B1CC58" w14:textId="77777777" w:rsidTr="00C55547">
        <w:trPr>
          <w:trHeight w:val="204"/>
        </w:trPr>
        <w:tc>
          <w:tcPr>
            <w:tcW w:w="2977" w:type="dxa"/>
            <w:tcBorders>
              <w:top w:val="nil"/>
              <w:left w:val="nil"/>
              <w:bottom w:val="nil"/>
              <w:right w:val="nil"/>
            </w:tcBorders>
            <w:shd w:val="clear" w:color="auto" w:fill="auto"/>
            <w:hideMark/>
          </w:tcPr>
          <w:p w14:paraId="60EFF5ED"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Connecting Northern Australia</w:t>
            </w:r>
          </w:p>
        </w:tc>
        <w:tc>
          <w:tcPr>
            <w:tcW w:w="976" w:type="dxa"/>
            <w:tcBorders>
              <w:top w:val="nil"/>
              <w:left w:val="nil"/>
              <w:bottom w:val="nil"/>
              <w:right w:val="nil"/>
            </w:tcBorders>
            <w:shd w:val="clear" w:color="auto" w:fill="auto"/>
            <w:noWrap/>
            <w:vAlign w:val="bottom"/>
            <w:hideMark/>
          </w:tcPr>
          <w:p w14:paraId="70BA8140" w14:textId="552457F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3DFD73A1" w14:textId="594141C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22,018 </w:t>
            </w:r>
          </w:p>
        </w:tc>
        <w:tc>
          <w:tcPr>
            <w:tcW w:w="977" w:type="dxa"/>
            <w:tcBorders>
              <w:top w:val="nil"/>
              <w:left w:val="nil"/>
              <w:bottom w:val="nil"/>
              <w:right w:val="nil"/>
            </w:tcBorders>
            <w:shd w:val="clear" w:color="auto" w:fill="auto"/>
            <w:noWrap/>
            <w:vAlign w:val="bottom"/>
            <w:hideMark/>
          </w:tcPr>
          <w:p w14:paraId="3F49B93C" w14:textId="6FCBDA2B"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44,450 </w:t>
            </w:r>
          </w:p>
        </w:tc>
        <w:tc>
          <w:tcPr>
            <w:tcW w:w="977" w:type="dxa"/>
            <w:tcBorders>
              <w:top w:val="nil"/>
              <w:left w:val="nil"/>
              <w:bottom w:val="nil"/>
              <w:right w:val="nil"/>
            </w:tcBorders>
            <w:shd w:val="clear" w:color="auto" w:fill="auto"/>
            <w:noWrap/>
            <w:vAlign w:val="bottom"/>
            <w:hideMark/>
          </w:tcPr>
          <w:p w14:paraId="0A541329" w14:textId="3EE07FF9"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566FAFA2" w14:textId="492D09F5"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209CC5A1" w14:textId="77777777" w:rsidTr="00C55547">
        <w:trPr>
          <w:trHeight w:val="204"/>
        </w:trPr>
        <w:tc>
          <w:tcPr>
            <w:tcW w:w="2977" w:type="dxa"/>
            <w:tcBorders>
              <w:top w:val="nil"/>
              <w:left w:val="nil"/>
              <w:bottom w:val="nil"/>
              <w:right w:val="nil"/>
            </w:tcBorders>
            <w:shd w:val="clear" w:color="auto" w:fill="auto"/>
            <w:hideMark/>
          </w:tcPr>
          <w:p w14:paraId="60F9146C"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Consumer Representation Grants Program</w:t>
            </w:r>
          </w:p>
        </w:tc>
        <w:tc>
          <w:tcPr>
            <w:tcW w:w="976" w:type="dxa"/>
            <w:tcBorders>
              <w:top w:val="nil"/>
              <w:left w:val="nil"/>
              <w:bottom w:val="nil"/>
              <w:right w:val="nil"/>
            </w:tcBorders>
            <w:shd w:val="clear" w:color="auto" w:fill="auto"/>
            <w:noWrap/>
            <w:vAlign w:val="bottom"/>
            <w:hideMark/>
          </w:tcPr>
          <w:p w14:paraId="4E9165E0" w14:textId="426D12B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2,358 </w:t>
            </w:r>
          </w:p>
        </w:tc>
        <w:tc>
          <w:tcPr>
            <w:tcW w:w="977" w:type="dxa"/>
            <w:tcBorders>
              <w:top w:val="nil"/>
              <w:left w:val="nil"/>
              <w:bottom w:val="nil"/>
              <w:right w:val="nil"/>
            </w:tcBorders>
            <w:shd w:val="clear" w:color="000000" w:fill="E6E6E6"/>
            <w:noWrap/>
            <w:vAlign w:val="bottom"/>
            <w:hideMark/>
          </w:tcPr>
          <w:p w14:paraId="3AFE18C5" w14:textId="6E256662"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2,381 </w:t>
            </w:r>
          </w:p>
        </w:tc>
        <w:tc>
          <w:tcPr>
            <w:tcW w:w="977" w:type="dxa"/>
            <w:tcBorders>
              <w:top w:val="nil"/>
              <w:left w:val="nil"/>
              <w:bottom w:val="nil"/>
              <w:right w:val="nil"/>
            </w:tcBorders>
            <w:shd w:val="clear" w:color="auto" w:fill="auto"/>
            <w:noWrap/>
            <w:vAlign w:val="bottom"/>
            <w:hideMark/>
          </w:tcPr>
          <w:p w14:paraId="4109019A" w14:textId="40586B2C"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2,421 </w:t>
            </w:r>
          </w:p>
        </w:tc>
        <w:tc>
          <w:tcPr>
            <w:tcW w:w="977" w:type="dxa"/>
            <w:tcBorders>
              <w:top w:val="nil"/>
              <w:left w:val="nil"/>
              <w:bottom w:val="nil"/>
              <w:right w:val="nil"/>
            </w:tcBorders>
            <w:shd w:val="clear" w:color="auto" w:fill="auto"/>
            <w:noWrap/>
            <w:vAlign w:val="bottom"/>
            <w:hideMark/>
          </w:tcPr>
          <w:p w14:paraId="118F4817" w14:textId="7428AEEF"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2,466 </w:t>
            </w:r>
          </w:p>
        </w:tc>
        <w:tc>
          <w:tcPr>
            <w:tcW w:w="977" w:type="dxa"/>
            <w:tcBorders>
              <w:top w:val="nil"/>
              <w:left w:val="nil"/>
              <w:bottom w:val="nil"/>
              <w:right w:val="nil"/>
            </w:tcBorders>
            <w:shd w:val="clear" w:color="auto" w:fill="auto"/>
            <w:noWrap/>
            <w:vAlign w:val="bottom"/>
            <w:hideMark/>
          </w:tcPr>
          <w:p w14:paraId="40CD5759" w14:textId="49F140CF"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2,522 </w:t>
            </w:r>
          </w:p>
        </w:tc>
      </w:tr>
      <w:tr w:rsidR="00657DAD" w:rsidRPr="00657DAD" w14:paraId="58F76FB4" w14:textId="77777777" w:rsidTr="00C55547">
        <w:trPr>
          <w:trHeight w:val="204"/>
        </w:trPr>
        <w:tc>
          <w:tcPr>
            <w:tcW w:w="2977" w:type="dxa"/>
            <w:tcBorders>
              <w:top w:val="nil"/>
              <w:left w:val="nil"/>
              <w:bottom w:val="nil"/>
              <w:right w:val="nil"/>
            </w:tcBorders>
            <w:shd w:val="clear" w:color="auto" w:fill="auto"/>
            <w:hideMark/>
          </w:tcPr>
          <w:p w14:paraId="3956723A"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Intellectual Property</w:t>
            </w:r>
          </w:p>
        </w:tc>
        <w:tc>
          <w:tcPr>
            <w:tcW w:w="976" w:type="dxa"/>
            <w:tcBorders>
              <w:top w:val="nil"/>
              <w:left w:val="nil"/>
              <w:bottom w:val="nil"/>
              <w:right w:val="nil"/>
            </w:tcBorders>
            <w:shd w:val="clear" w:color="auto" w:fill="auto"/>
            <w:noWrap/>
            <w:vAlign w:val="bottom"/>
            <w:hideMark/>
          </w:tcPr>
          <w:p w14:paraId="4468F283" w14:textId="67CC33EA"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268 </w:t>
            </w:r>
          </w:p>
        </w:tc>
        <w:tc>
          <w:tcPr>
            <w:tcW w:w="977" w:type="dxa"/>
            <w:tcBorders>
              <w:top w:val="nil"/>
              <w:left w:val="nil"/>
              <w:bottom w:val="nil"/>
              <w:right w:val="nil"/>
            </w:tcBorders>
            <w:shd w:val="clear" w:color="000000" w:fill="E6E6E6"/>
            <w:noWrap/>
            <w:vAlign w:val="bottom"/>
            <w:hideMark/>
          </w:tcPr>
          <w:p w14:paraId="092C6475" w14:textId="6A20976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269 </w:t>
            </w:r>
          </w:p>
        </w:tc>
        <w:tc>
          <w:tcPr>
            <w:tcW w:w="977" w:type="dxa"/>
            <w:tcBorders>
              <w:top w:val="nil"/>
              <w:left w:val="nil"/>
              <w:bottom w:val="nil"/>
              <w:right w:val="nil"/>
            </w:tcBorders>
            <w:shd w:val="clear" w:color="auto" w:fill="auto"/>
            <w:noWrap/>
            <w:vAlign w:val="bottom"/>
            <w:hideMark/>
          </w:tcPr>
          <w:p w14:paraId="0716A051" w14:textId="3552D1FC"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265 </w:t>
            </w:r>
          </w:p>
        </w:tc>
        <w:tc>
          <w:tcPr>
            <w:tcW w:w="977" w:type="dxa"/>
            <w:tcBorders>
              <w:top w:val="nil"/>
              <w:left w:val="nil"/>
              <w:bottom w:val="nil"/>
              <w:right w:val="nil"/>
            </w:tcBorders>
            <w:shd w:val="clear" w:color="auto" w:fill="auto"/>
            <w:noWrap/>
            <w:vAlign w:val="bottom"/>
            <w:hideMark/>
          </w:tcPr>
          <w:p w14:paraId="0A1105AA" w14:textId="6D48B5DD" w:rsidR="00657DAD" w:rsidRPr="00657DAD" w:rsidRDefault="00657DAD" w:rsidP="00657DAD">
            <w:pPr>
              <w:spacing w:after="0" w:line="240" w:lineRule="auto"/>
              <w:jc w:val="right"/>
              <w:rPr>
                <w:rFonts w:ascii="Arial" w:hAnsi="Arial" w:cs="Arial"/>
                <w:sz w:val="16"/>
                <w:szCs w:val="16"/>
                <w:highlight w:val="yellow"/>
              </w:rPr>
            </w:pPr>
            <w:r w:rsidRPr="00657DAD">
              <w:rPr>
                <w:rFonts w:ascii="Arial" w:hAnsi="Arial" w:cs="Arial"/>
                <w:sz w:val="16"/>
                <w:szCs w:val="16"/>
              </w:rPr>
              <w:t xml:space="preserve">262 </w:t>
            </w:r>
          </w:p>
        </w:tc>
        <w:tc>
          <w:tcPr>
            <w:tcW w:w="977" w:type="dxa"/>
            <w:tcBorders>
              <w:top w:val="nil"/>
              <w:left w:val="nil"/>
              <w:bottom w:val="nil"/>
              <w:right w:val="nil"/>
            </w:tcBorders>
            <w:shd w:val="clear" w:color="auto" w:fill="auto"/>
            <w:noWrap/>
            <w:vAlign w:val="bottom"/>
            <w:hideMark/>
          </w:tcPr>
          <w:p w14:paraId="4A13141D" w14:textId="58792243"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260 </w:t>
            </w:r>
          </w:p>
        </w:tc>
      </w:tr>
      <w:tr w:rsidR="00657DAD" w:rsidRPr="00657DAD" w14:paraId="7B51709F" w14:textId="77777777" w:rsidTr="00C55547">
        <w:trPr>
          <w:trHeight w:val="204"/>
        </w:trPr>
        <w:tc>
          <w:tcPr>
            <w:tcW w:w="2977" w:type="dxa"/>
            <w:tcBorders>
              <w:top w:val="nil"/>
              <w:left w:val="nil"/>
              <w:bottom w:val="nil"/>
              <w:right w:val="nil"/>
            </w:tcBorders>
            <w:shd w:val="clear" w:color="auto" w:fill="auto"/>
            <w:hideMark/>
          </w:tcPr>
          <w:p w14:paraId="27853E0F"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International Organisation Contributions</w:t>
            </w:r>
          </w:p>
        </w:tc>
        <w:tc>
          <w:tcPr>
            <w:tcW w:w="976" w:type="dxa"/>
            <w:tcBorders>
              <w:top w:val="nil"/>
              <w:left w:val="nil"/>
              <w:bottom w:val="nil"/>
              <w:right w:val="nil"/>
            </w:tcBorders>
            <w:shd w:val="clear" w:color="auto" w:fill="auto"/>
            <w:noWrap/>
            <w:vAlign w:val="bottom"/>
            <w:hideMark/>
          </w:tcPr>
          <w:p w14:paraId="3DAA8DFB" w14:textId="1CA5CE8C"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7,301 </w:t>
            </w:r>
          </w:p>
        </w:tc>
        <w:tc>
          <w:tcPr>
            <w:tcW w:w="977" w:type="dxa"/>
            <w:tcBorders>
              <w:top w:val="nil"/>
              <w:left w:val="nil"/>
              <w:bottom w:val="nil"/>
              <w:right w:val="nil"/>
            </w:tcBorders>
            <w:shd w:val="clear" w:color="000000" w:fill="E6E6E6"/>
            <w:noWrap/>
            <w:vAlign w:val="bottom"/>
            <w:hideMark/>
          </w:tcPr>
          <w:p w14:paraId="5315A96E" w14:textId="1245E833"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7,086 </w:t>
            </w:r>
          </w:p>
        </w:tc>
        <w:tc>
          <w:tcPr>
            <w:tcW w:w="977" w:type="dxa"/>
            <w:tcBorders>
              <w:top w:val="nil"/>
              <w:left w:val="nil"/>
              <w:bottom w:val="nil"/>
              <w:right w:val="nil"/>
            </w:tcBorders>
            <w:shd w:val="clear" w:color="auto" w:fill="auto"/>
            <w:noWrap/>
            <w:vAlign w:val="bottom"/>
            <w:hideMark/>
          </w:tcPr>
          <w:p w14:paraId="0111B33D" w14:textId="02954495"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6,940 </w:t>
            </w:r>
          </w:p>
        </w:tc>
        <w:tc>
          <w:tcPr>
            <w:tcW w:w="977" w:type="dxa"/>
            <w:tcBorders>
              <w:top w:val="nil"/>
              <w:left w:val="nil"/>
              <w:bottom w:val="nil"/>
              <w:right w:val="nil"/>
            </w:tcBorders>
            <w:shd w:val="clear" w:color="auto" w:fill="auto"/>
            <w:noWrap/>
            <w:vAlign w:val="bottom"/>
            <w:hideMark/>
          </w:tcPr>
          <w:p w14:paraId="1F15C935" w14:textId="22A6BFF5"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6,996 </w:t>
            </w:r>
          </w:p>
        </w:tc>
        <w:tc>
          <w:tcPr>
            <w:tcW w:w="977" w:type="dxa"/>
            <w:tcBorders>
              <w:top w:val="nil"/>
              <w:left w:val="nil"/>
              <w:bottom w:val="nil"/>
              <w:right w:val="nil"/>
            </w:tcBorders>
            <w:shd w:val="clear" w:color="auto" w:fill="auto"/>
            <w:noWrap/>
            <w:vAlign w:val="bottom"/>
            <w:hideMark/>
          </w:tcPr>
          <w:p w14:paraId="21D4C9E1" w14:textId="2386F04E"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7,100 </w:t>
            </w:r>
          </w:p>
        </w:tc>
      </w:tr>
      <w:tr w:rsidR="00657DAD" w:rsidRPr="00657DAD" w14:paraId="0EB5DB06" w14:textId="77777777" w:rsidTr="00C55547">
        <w:trPr>
          <w:trHeight w:val="204"/>
        </w:trPr>
        <w:tc>
          <w:tcPr>
            <w:tcW w:w="2977" w:type="dxa"/>
            <w:tcBorders>
              <w:top w:val="nil"/>
              <w:left w:val="nil"/>
              <w:bottom w:val="nil"/>
              <w:right w:val="nil"/>
            </w:tcBorders>
            <w:shd w:val="clear" w:color="auto" w:fill="auto"/>
            <w:hideMark/>
          </w:tcPr>
          <w:p w14:paraId="7E5A8EF0"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Mobile Black Spot Program</w:t>
            </w:r>
          </w:p>
        </w:tc>
        <w:tc>
          <w:tcPr>
            <w:tcW w:w="976" w:type="dxa"/>
            <w:tcBorders>
              <w:top w:val="nil"/>
              <w:left w:val="nil"/>
              <w:bottom w:val="nil"/>
              <w:right w:val="nil"/>
            </w:tcBorders>
            <w:shd w:val="clear" w:color="auto" w:fill="auto"/>
            <w:noWrap/>
            <w:vAlign w:val="bottom"/>
            <w:hideMark/>
          </w:tcPr>
          <w:p w14:paraId="732A897E" w14:textId="288E4533"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13,690 </w:t>
            </w:r>
          </w:p>
        </w:tc>
        <w:tc>
          <w:tcPr>
            <w:tcW w:w="977" w:type="dxa"/>
            <w:tcBorders>
              <w:top w:val="nil"/>
              <w:left w:val="nil"/>
              <w:bottom w:val="nil"/>
              <w:right w:val="nil"/>
            </w:tcBorders>
            <w:shd w:val="clear" w:color="000000" w:fill="E6E6E6"/>
            <w:noWrap/>
            <w:vAlign w:val="bottom"/>
            <w:hideMark/>
          </w:tcPr>
          <w:p w14:paraId="41E98DCD" w14:textId="5356CF53"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57,654 </w:t>
            </w:r>
          </w:p>
        </w:tc>
        <w:tc>
          <w:tcPr>
            <w:tcW w:w="977" w:type="dxa"/>
            <w:tcBorders>
              <w:top w:val="nil"/>
              <w:left w:val="nil"/>
              <w:bottom w:val="nil"/>
              <w:right w:val="nil"/>
            </w:tcBorders>
            <w:shd w:val="clear" w:color="auto" w:fill="auto"/>
            <w:noWrap/>
            <w:vAlign w:val="bottom"/>
            <w:hideMark/>
          </w:tcPr>
          <w:p w14:paraId="37F1C205" w14:textId="2EA9461D"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130,121 </w:t>
            </w:r>
          </w:p>
        </w:tc>
        <w:tc>
          <w:tcPr>
            <w:tcW w:w="977" w:type="dxa"/>
            <w:tcBorders>
              <w:top w:val="nil"/>
              <w:left w:val="nil"/>
              <w:bottom w:val="nil"/>
              <w:right w:val="nil"/>
            </w:tcBorders>
            <w:shd w:val="clear" w:color="auto" w:fill="auto"/>
            <w:noWrap/>
            <w:vAlign w:val="bottom"/>
            <w:hideMark/>
          </w:tcPr>
          <w:p w14:paraId="50AD1DC5" w14:textId="52CC9B03"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1C5BF43F" w14:textId="2072B35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4AAF30A0" w14:textId="77777777" w:rsidTr="00C55547">
        <w:trPr>
          <w:trHeight w:val="204"/>
        </w:trPr>
        <w:tc>
          <w:tcPr>
            <w:tcW w:w="2977" w:type="dxa"/>
            <w:tcBorders>
              <w:top w:val="nil"/>
              <w:left w:val="nil"/>
              <w:bottom w:val="nil"/>
              <w:right w:val="nil"/>
            </w:tcBorders>
            <w:shd w:val="clear" w:color="auto" w:fill="auto"/>
            <w:hideMark/>
          </w:tcPr>
          <w:p w14:paraId="71A02941"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Online Safety</w:t>
            </w:r>
          </w:p>
        </w:tc>
        <w:tc>
          <w:tcPr>
            <w:tcW w:w="976" w:type="dxa"/>
            <w:tcBorders>
              <w:top w:val="nil"/>
              <w:left w:val="nil"/>
              <w:bottom w:val="nil"/>
              <w:right w:val="nil"/>
            </w:tcBorders>
            <w:shd w:val="clear" w:color="auto" w:fill="auto"/>
            <w:noWrap/>
            <w:vAlign w:val="bottom"/>
            <w:hideMark/>
          </w:tcPr>
          <w:p w14:paraId="285B85AC" w14:textId="7BF4DC8E"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5A23D00E" w14:textId="495A2F33"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4,010 </w:t>
            </w:r>
          </w:p>
        </w:tc>
        <w:tc>
          <w:tcPr>
            <w:tcW w:w="977" w:type="dxa"/>
            <w:tcBorders>
              <w:top w:val="nil"/>
              <w:left w:val="nil"/>
              <w:bottom w:val="nil"/>
              <w:right w:val="nil"/>
            </w:tcBorders>
            <w:shd w:val="clear" w:color="auto" w:fill="auto"/>
            <w:noWrap/>
            <w:vAlign w:val="bottom"/>
            <w:hideMark/>
          </w:tcPr>
          <w:p w14:paraId="2AF1883F" w14:textId="3BC7FD8B"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0F04A697" w14:textId="4CF8E6EF"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4077B031" w14:textId="00EBB332"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3FEEA47B" w14:textId="77777777" w:rsidTr="00C55547">
        <w:trPr>
          <w:trHeight w:val="204"/>
        </w:trPr>
        <w:tc>
          <w:tcPr>
            <w:tcW w:w="2977" w:type="dxa"/>
            <w:tcBorders>
              <w:top w:val="nil"/>
              <w:left w:val="nil"/>
              <w:bottom w:val="nil"/>
              <w:right w:val="nil"/>
            </w:tcBorders>
            <w:shd w:val="clear" w:color="auto" w:fill="auto"/>
            <w:hideMark/>
          </w:tcPr>
          <w:p w14:paraId="3DE94863"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Peri-Urban Mobile Program</w:t>
            </w:r>
          </w:p>
        </w:tc>
        <w:tc>
          <w:tcPr>
            <w:tcW w:w="976" w:type="dxa"/>
            <w:tcBorders>
              <w:top w:val="nil"/>
              <w:left w:val="nil"/>
              <w:bottom w:val="nil"/>
              <w:right w:val="nil"/>
            </w:tcBorders>
            <w:shd w:val="clear" w:color="auto" w:fill="auto"/>
            <w:noWrap/>
            <w:vAlign w:val="bottom"/>
            <w:hideMark/>
          </w:tcPr>
          <w:p w14:paraId="398AC4C6" w14:textId="3873AEB6"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1BABAC5C" w14:textId="7877B762"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2,500 </w:t>
            </w:r>
          </w:p>
        </w:tc>
        <w:tc>
          <w:tcPr>
            <w:tcW w:w="977" w:type="dxa"/>
            <w:tcBorders>
              <w:top w:val="nil"/>
              <w:left w:val="nil"/>
              <w:bottom w:val="nil"/>
              <w:right w:val="nil"/>
            </w:tcBorders>
            <w:shd w:val="clear" w:color="auto" w:fill="auto"/>
            <w:noWrap/>
            <w:vAlign w:val="bottom"/>
            <w:hideMark/>
          </w:tcPr>
          <w:p w14:paraId="24000364" w14:textId="0DB61BF8"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5,000 </w:t>
            </w:r>
          </w:p>
        </w:tc>
        <w:tc>
          <w:tcPr>
            <w:tcW w:w="977" w:type="dxa"/>
            <w:tcBorders>
              <w:top w:val="nil"/>
              <w:left w:val="nil"/>
              <w:bottom w:val="nil"/>
              <w:right w:val="nil"/>
            </w:tcBorders>
            <w:shd w:val="clear" w:color="auto" w:fill="auto"/>
            <w:noWrap/>
            <w:vAlign w:val="bottom"/>
            <w:hideMark/>
          </w:tcPr>
          <w:p w14:paraId="2F8ECF1F" w14:textId="411A2AA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7,500 </w:t>
            </w:r>
          </w:p>
        </w:tc>
        <w:tc>
          <w:tcPr>
            <w:tcW w:w="977" w:type="dxa"/>
            <w:tcBorders>
              <w:top w:val="nil"/>
              <w:left w:val="nil"/>
              <w:bottom w:val="nil"/>
              <w:right w:val="nil"/>
            </w:tcBorders>
            <w:shd w:val="clear" w:color="auto" w:fill="auto"/>
            <w:noWrap/>
            <w:vAlign w:val="bottom"/>
            <w:hideMark/>
          </w:tcPr>
          <w:p w14:paraId="14ACB028" w14:textId="394B1306"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3C876008" w14:textId="77777777" w:rsidTr="00C55547">
        <w:trPr>
          <w:trHeight w:val="204"/>
        </w:trPr>
        <w:tc>
          <w:tcPr>
            <w:tcW w:w="2977" w:type="dxa"/>
            <w:tcBorders>
              <w:top w:val="nil"/>
              <w:left w:val="nil"/>
              <w:bottom w:val="nil"/>
              <w:right w:val="nil"/>
            </w:tcBorders>
            <w:shd w:val="clear" w:color="auto" w:fill="auto"/>
            <w:hideMark/>
          </w:tcPr>
          <w:p w14:paraId="4128D422"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Public Interest News Gathering</w:t>
            </w:r>
          </w:p>
        </w:tc>
        <w:tc>
          <w:tcPr>
            <w:tcW w:w="976" w:type="dxa"/>
            <w:tcBorders>
              <w:top w:val="nil"/>
              <w:left w:val="nil"/>
              <w:bottom w:val="nil"/>
              <w:right w:val="nil"/>
            </w:tcBorders>
            <w:shd w:val="clear" w:color="auto" w:fill="auto"/>
            <w:noWrap/>
            <w:vAlign w:val="bottom"/>
            <w:hideMark/>
          </w:tcPr>
          <w:p w14:paraId="565EE0D6" w14:textId="0FA4DB12"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62,465 </w:t>
            </w:r>
          </w:p>
        </w:tc>
        <w:tc>
          <w:tcPr>
            <w:tcW w:w="977" w:type="dxa"/>
            <w:tcBorders>
              <w:top w:val="nil"/>
              <w:left w:val="nil"/>
              <w:bottom w:val="nil"/>
              <w:right w:val="nil"/>
            </w:tcBorders>
            <w:shd w:val="clear" w:color="000000" w:fill="E6E6E6"/>
            <w:noWrap/>
            <w:vAlign w:val="bottom"/>
            <w:hideMark/>
          </w:tcPr>
          <w:p w14:paraId="10E44C55" w14:textId="1ACBD8EE"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12,500 </w:t>
            </w:r>
          </w:p>
        </w:tc>
        <w:tc>
          <w:tcPr>
            <w:tcW w:w="977" w:type="dxa"/>
            <w:tcBorders>
              <w:top w:val="nil"/>
              <w:left w:val="nil"/>
              <w:bottom w:val="nil"/>
              <w:right w:val="nil"/>
            </w:tcBorders>
            <w:shd w:val="clear" w:color="auto" w:fill="auto"/>
            <w:noWrap/>
            <w:vAlign w:val="bottom"/>
            <w:hideMark/>
          </w:tcPr>
          <w:p w14:paraId="21512382" w14:textId="5DAA209A"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5,000 </w:t>
            </w:r>
          </w:p>
        </w:tc>
        <w:tc>
          <w:tcPr>
            <w:tcW w:w="977" w:type="dxa"/>
            <w:tcBorders>
              <w:top w:val="nil"/>
              <w:left w:val="nil"/>
              <w:bottom w:val="nil"/>
              <w:right w:val="nil"/>
            </w:tcBorders>
            <w:shd w:val="clear" w:color="auto" w:fill="auto"/>
            <w:noWrap/>
            <w:vAlign w:val="bottom"/>
            <w:hideMark/>
          </w:tcPr>
          <w:p w14:paraId="40CC08C5" w14:textId="54BDD9F8"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6E793F89" w14:textId="0414A35A"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24B5CC16" w14:textId="77777777" w:rsidTr="00C55547">
        <w:trPr>
          <w:trHeight w:val="204"/>
        </w:trPr>
        <w:tc>
          <w:tcPr>
            <w:tcW w:w="2977" w:type="dxa"/>
            <w:tcBorders>
              <w:top w:val="nil"/>
              <w:left w:val="nil"/>
              <w:bottom w:val="nil"/>
              <w:right w:val="nil"/>
            </w:tcBorders>
            <w:shd w:val="clear" w:color="auto" w:fill="auto"/>
            <w:hideMark/>
          </w:tcPr>
          <w:p w14:paraId="307BF716"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Regional Backbone Blackspots Program</w:t>
            </w:r>
          </w:p>
        </w:tc>
        <w:tc>
          <w:tcPr>
            <w:tcW w:w="976" w:type="dxa"/>
            <w:tcBorders>
              <w:top w:val="nil"/>
              <w:left w:val="nil"/>
              <w:bottom w:val="nil"/>
              <w:right w:val="nil"/>
            </w:tcBorders>
            <w:shd w:val="clear" w:color="auto" w:fill="auto"/>
            <w:noWrap/>
            <w:vAlign w:val="bottom"/>
            <w:hideMark/>
          </w:tcPr>
          <w:p w14:paraId="1EC2DB37" w14:textId="62E04490"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7,925 </w:t>
            </w:r>
          </w:p>
        </w:tc>
        <w:tc>
          <w:tcPr>
            <w:tcW w:w="977" w:type="dxa"/>
            <w:tcBorders>
              <w:top w:val="nil"/>
              <w:left w:val="nil"/>
              <w:bottom w:val="nil"/>
              <w:right w:val="nil"/>
            </w:tcBorders>
            <w:shd w:val="clear" w:color="000000" w:fill="E6E6E6"/>
            <w:noWrap/>
            <w:vAlign w:val="bottom"/>
            <w:hideMark/>
          </w:tcPr>
          <w:p w14:paraId="346086C0" w14:textId="045A1686"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7,925 </w:t>
            </w:r>
          </w:p>
        </w:tc>
        <w:tc>
          <w:tcPr>
            <w:tcW w:w="977" w:type="dxa"/>
            <w:tcBorders>
              <w:top w:val="nil"/>
              <w:left w:val="nil"/>
              <w:bottom w:val="nil"/>
              <w:right w:val="nil"/>
            </w:tcBorders>
            <w:shd w:val="clear" w:color="auto" w:fill="auto"/>
            <w:noWrap/>
            <w:vAlign w:val="bottom"/>
            <w:hideMark/>
          </w:tcPr>
          <w:p w14:paraId="761E4F4F" w14:textId="2A34A340"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7,925 </w:t>
            </w:r>
          </w:p>
        </w:tc>
        <w:tc>
          <w:tcPr>
            <w:tcW w:w="977" w:type="dxa"/>
            <w:tcBorders>
              <w:top w:val="nil"/>
              <w:left w:val="nil"/>
              <w:bottom w:val="nil"/>
              <w:right w:val="nil"/>
            </w:tcBorders>
            <w:shd w:val="clear" w:color="auto" w:fill="auto"/>
            <w:noWrap/>
            <w:vAlign w:val="bottom"/>
            <w:hideMark/>
          </w:tcPr>
          <w:p w14:paraId="03D5888F" w14:textId="5EEE2279"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7,925 </w:t>
            </w:r>
          </w:p>
        </w:tc>
        <w:tc>
          <w:tcPr>
            <w:tcW w:w="977" w:type="dxa"/>
            <w:tcBorders>
              <w:top w:val="nil"/>
              <w:left w:val="nil"/>
              <w:bottom w:val="nil"/>
              <w:right w:val="nil"/>
            </w:tcBorders>
            <w:shd w:val="clear" w:color="auto" w:fill="auto"/>
            <w:noWrap/>
            <w:vAlign w:val="bottom"/>
            <w:hideMark/>
          </w:tcPr>
          <w:p w14:paraId="31E476FE" w14:textId="45FA96AF"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7,925 </w:t>
            </w:r>
          </w:p>
        </w:tc>
      </w:tr>
      <w:tr w:rsidR="00657DAD" w:rsidRPr="00657DAD" w14:paraId="409B0673" w14:textId="77777777" w:rsidTr="00C55547">
        <w:trPr>
          <w:trHeight w:val="204"/>
        </w:trPr>
        <w:tc>
          <w:tcPr>
            <w:tcW w:w="2977" w:type="dxa"/>
            <w:tcBorders>
              <w:top w:val="nil"/>
              <w:left w:val="nil"/>
              <w:bottom w:val="nil"/>
              <w:right w:val="nil"/>
            </w:tcBorders>
            <w:shd w:val="clear" w:color="auto" w:fill="auto"/>
            <w:hideMark/>
          </w:tcPr>
          <w:p w14:paraId="6D632B5A"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Regional Broadband Scheme</w:t>
            </w:r>
          </w:p>
        </w:tc>
        <w:tc>
          <w:tcPr>
            <w:tcW w:w="976" w:type="dxa"/>
            <w:tcBorders>
              <w:top w:val="nil"/>
              <w:left w:val="nil"/>
              <w:bottom w:val="nil"/>
              <w:right w:val="nil"/>
            </w:tcBorders>
            <w:shd w:val="clear" w:color="auto" w:fill="auto"/>
            <w:noWrap/>
            <w:vAlign w:val="bottom"/>
            <w:hideMark/>
          </w:tcPr>
          <w:p w14:paraId="108300DA" w14:textId="233C4E8F"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334,506 </w:t>
            </w:r>
          </w:p>
        </w:tc>
        <w:tc>
          <w:tcPr>
            <w:tcW w:w="977" w:type="dxa"/>
            <w:tcBorders>
              <w:top w:val="nil"/>
              <w:left w:val="nil"/>
              <w:bottom w:val="nil"/>
              <w:right w:val="nil"/>
            </w:tcBorders>
            <w:shd w:val="clear" w:color="000000" w:fill="E6E6E6"/>
            <w:noWrap/>
            <w:vAlign w:val="bottom"/>
            <w:hideMark/>
          </w:tcPr>
          <w:p w14:paraId="0CC46711" w14:textId="6C54FFDE"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700,050 </w:t>
            </w:r>
          </w:p>
        </w:tc>
        <w:tc>
          <w:tcPr>
            <w:tcW w:w="977" w:type="dxa"/>
            <w:tcBorders>
              <w:top w:val="nil"/>
              <w:left w:val="nil"/>
              <w:bottom w:val="nil"/>
              <w:right w:val="nil"/>
            </w:tcBorders>
            <w:shd w:val="clear" w:color="auto" w:fill="auto"/>
            <w:noWrap/>
            <w:vAlign w:val="bottom"/>
            <w:hideMark/>
          </w:tcPr>
          <w:p w14:paraId="65B2AFAB" w14:textId="65B50EBD"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737,364 </w:t>
            </w:r>
          </w:p>
        </w:tc>
        <w:tc>
          <w:tcPr>
            <w:tcW w:w="977" w:type="dxa"/>
            <w:tcBorders>
              <w:top w:val="nil"/>
              <w:left w:val="nil"/>
              <w:bottom w:val="nil"/>
              <w:right w:val="nil"/>
            </w:tcBorders>
            <w:shd w:val="clear" w:color="auto" w:fill="auto"/>
            <w:noWrap/>
            <w:vAlign w:val="bottom"/>
            <w:hideMark/>
          </w:tcPr>
          <w:p w14:paraId="130A31AE" w14:textId="10627FEC"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767,903 </w:t>
            </w:r>
          </w:p>
        </w:tc>
        <w:tc>
          <w:tcPr>
            <w:tcW w:w="977" w:type="dxa"/>
            <w:tcBorders>
              <w:top w:val="nil"/>
              <w:left w:val="nil"/>
              <w:bottom w:val="nil"/>
              <w:right w:val="nil"/>
            </w:tcBorders>
            <w:shd w:val="clear" w:color="auto" w:fill="auto"/>
            <w:noWrap/>
            <w:vAlign w:val="bottom"/>
            <w:hideMark/>
          </w:tcPr>
          <w:p w14:paraId="09208BAC" w14:textId="7538012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799,026 </w:t>
            </w:r>
          </w:p>
        </w:tc>
      </w:tr>
      <w:tr w:rsidR="00657DAD" w:rsidRPr="00657DAD" w14:paraId="218019BF" w14:textId="77777777" w:rsidTr="00C55547">
        <w:trPr>
          <w:trHeight w:val="204"/>
        </w:trPr>
        <w:tc>
          <w:tcPr>
            <w:tcW w:w="2977" w:type="dxa"/>
            <w:tcBorders>
              <w:top w:val="nil"/>
              <w:left w:val="nil"/>
              <w:bottom w:val="nil"/>
              <w:right w:val="nil"/>
            </w:tcBorders>
            <w:shd w:val="clear" w:color="auto" w:fill="auto"/>
            <w:hideMark/>
          </w:tcPr>
          <w:p w14:paraId="16532FC3"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Regional Broadcasting</w:t>
            </w:r>
          </w:p>
        </w:tc>
        <w:tc>
          <w:tcPr>
            <w:tcW w:w="976" w:type="dxa"/>
            <w:tcBorders>
              <w:top w:val="nil"/>
              <w:left w:val="nil"/>
              <w:bottom w:val="nil"/>
              <w:right w:val="nil"/>
            </w:tcBorders>
            <w:shd w:val="clear" w:color="auto" w:fill="auto"/>
            <w:noWrap/>
            <w:vAlign w:val="bottom"/>
            <w:hideMark/>
          </w:tcPr>
          <w:p w14:paraId="105C1858" w14:textId="3A99E3CA"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11,437 </w:t>
            </w:r>
          </w:p>
        </w:tc>
        <w:tc>
          <w:tcPr>
            <w:tcW w:w="977" w:type="dxa"/>
            <w:tcBorders>
              <w:top w:val="nil"/>
              <w:left w:val="nil"/>
              <w:bottom w:val="nil"/>
              <w:right w:val="nil"/>
            </w:tcBorders>
            <w:shd w:val="clear" w:color="000000" w:fill="E6E6E6"/>
            <w:noWrap/>
            <w:vAlign w:val="bottom"/>
            <w:hideMark/>
          </w:tcPr>
          <w:p w14:paraId="381EACE7" w14:textId="5DD4F98E"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14,513 </w:t>
            </w:r>
          </w:p>
        </w:tc>
        <w:tc>
          <w:tcPr>
            <w:tcW w:w="977" w:type="dxa"/>
            <w:tcBorders>
              <w:top w:val="nil"/>
              <w:left w:val="nil"/>
              <w:bottom w:val="nil"/>
              <w:right w:val="nil"/>
            </w:tcBorders>
            <w:shd w:val="clear" w:color="auto" w:fill="auto"/>
            <w:noWrap/>
            <w:vAlign w:val="bottom"/>
            <w:hideMark/>
          </w:tcPr>
          <w:p w14:paraId="0BDBF7F5" w14:textId="39C2BF40"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14,114 </w:t>
            </w:r>
          </w:p>
        </w:tc>
        <w:tc>
          <w:tcPr>
            <w:tcW w:w="977" w:type="dxa"/>
            <w:tcBorders>
              <w:top w:val="nil"/>
              <w:left w:val="nil"/>
              <w:bottom w:val="nil"/>
              <w:right w:val="nil"/>
            </w:tcBorders>
            <w:shd w:val="clear" w:color="auto" w:fill="auto"/>
            <w:noWrap/>
            <w:vAlign w:val="bottom"/>
            <w:hideMark/>
          </w:tcPr>
          <w:p w14:paraId="10C423E9" w14:textId="657E6F5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14,373 </w:t>
            </w:r>
          </w:p>
        </w:tc>
        <w:tc>
          <w:tcPr>
            <w:tcW w:w="977" w:type="dxa"/>
            <w:tcBorders>
              <w:top w:val="nil"/>
              <w:left w:val="nil"/>
              <w:bottom w:val="nil"/>
              <w:right w:val="nil"/>
            </w:tcBorders>
            <w:shd w:val="clear" w:color="auto" w:fill="auto"/>
            <w:noWrap/>
            <w:vAlign w:val="bottom"/>
            <w:hideMark/>
          </w:tcPr>
          <w:p w14:paraId="4FA25412" w14:textId="2829DA2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7EA6E3BF" w14:textId="77777777" w:rsidTr="00C55547">
        <w:trPr>
          <w:trHeight w:val="204"/>
        </w:trPr>
        <w:tc>
          <w:tcPr>
            <w:tcW w:w="2977" w:type="dxa"/>
            <w:tcBorders>
              <w:top w:val="nil"/>
              <w:left w:val="nil"/>
              <w:bottom w:val="nil"/>
              <w:right w:val="nil"/>
            </w:tcBorders>
            <w:shd w:val="clear" w:color="auto" w:fill="auto"/>
            <w:hideMark/>
          </w:tcPr>
          <w:p w14:paraId="4A687ABE"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Regional Connectivity</w:t>
            </w:r>
          </w:p>
        </w:tc>
        <w:tc>
          <w:tcPr>
            <w:tcW w:w="976" w:type="dxa"/>
            <w:tcBorders>
              <w:top w:val="nil"/>
              <w:left w:val="nil"/>
              <w:bottom w:val="nil"/>
              <w:right w:val="nil"/>
            </w:tcBorders>
            <w:shd w:val="clear" w:color="auto" w:fill="auto"/>
            <w:noWrap/>
            <w:vAlign w:val="bottom"/>
            <w:hideMark/>
          </w:tcPr>
          <w:p w14:paraId="2539BA5E" w14:textId="482F5F25"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000000" w:fill="E6E6E6"/>
            <w:noWrap/>
            <w:vAlign w:val="bottom"/>
            <w:hideMark/>
          </w:tcPr>
          <w:p w14:paraId="32AF7ED7" w14:textId="33FED97C"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103,531 </w:t>
            </w:r>
          </w:p>
        </w:tc>
        <w:tc>
          <w:tcPr>
            <w:tcW w:w="977" w:type="dxa"/>
            <w:tcBorders>
              <w:top w:val="nil"/>
              <w:left w:val="nil"/>
              <w:bottom w:val="nil"/>
              <w:right w:val="nil"/>
            </w:tcBorders>
            <w:shd w:val="clear" w:color="auto" w:fill="auto"/>
            <w:noWrap/>
            <w:vAlign w:val="bottom"/>
            <w:hideMark/>
          </w:tcPr>
          <w:p w14:paraId="11A1DE04" w14:textId="7CC01539"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65,805 </w:t>
            </w:r>
          </w:p>
        </w:tc>
        <w:tc>
          <w:tcPr>
            <w:tcW w:w="977" w:type="dxa"/>
            <w:tcBorders>
              <w:top w:val="nil"/>
              <w:left w:val="nil"/>
              <w:bottom w:val="nil"/>
              <w:right w:val="nil"/>
            </w:tcBorders>
            <w:shd w:val="clear" w:color="auto" w:fill="auto"/>
            <w:noWrap/>
            <w:vAlign w:val="bottom"/>
            <w:hideMark/>
          </w:tcPr>
          <w:p w14:paraId="09CF061D" w14:textId="1379C84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662A4506" w14:textId="33D5C6EC"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54EEBC97" w14:textId="77777777" w:rsidTr="00C55547">
        <w:trPr>
          <w:trHeight w:val="204"/>
        </w:trPr>
        <w:tc>
          <w:tcPr>
            <w:tcW w:w="2977" w:type="dxa"/>
            <w:tcBorders>
              <w:top w:val="nil"/>
              <w:left w:val="nil"/>
              <w:bottom w:val="nil"/>
              <w:right w:val="nil"/>
            </w:tcBorders>
            <w:shd w:val="clear" w:color="auto" w:fill="auto"/>
            <w:hideMark/>
          </w:tcPr>
          <w:p w14:paraId="637C1E28"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Spectrum Pricing Transitional Support</w:t>
            </w:r>
          </w:p>
        </w:tc>
        <w:tc>
          <w:tcPr>
            <w:tcW w:w="976" w:type="dxa"/>
            <w:tcBorders>
              <w:top w:val="nil"/>
              <w:left w:val="nil"/>
              <w:bottom w:val="nil"/>
              <w:right w:val="nil"/>
            </w:tcBorders>
            <w:shd w:val="clear" w:color="auto" w:fill="auto"/>
            <w:noWrap/>
            <w:vAlign w:val="bottom"/>
            <w:hideMark/>
          </w:tcPr>
          <w:p w14:paraId="2B9DC378" w14:textId="638C8D6F"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4,756 </w:t>
            </w:r>
          </w:p>
        </w:tc>
        <w:tc>
          <w:tcPr>
            <w:tcW w:w="977" w:type="dxa"/>
            <w:tcBorders>
              <w:top w:val="nil"/>
              <w:left w:val="nil"/>
              <w:bottom w:val="nil"/>
              <w:right w:val="nil"/>
            </w:tcBorders>
            <w:shd w:val="clear" w:color="000000" w:fill="E6E6E6"/>
            <w:noWrap/>
            <w:vAlign w:val="bottom"/>
            <w:hideMark/>
          </w:tcPr>
          <w:p w14:paraId="5E608B63" w14:textId="7A22AA32"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4,772 </w:t>
            </w:r>
          </w:p>
        </w:tc>
        <w:tc>
          <w:tcPr>
            <w:tcW w:w="977" w:type="dxa"/>
            <w:tcBorders>
              <w:top w:val="nil"/>
              <w:left w:val="nil"/>
              <w:bottom w:val="nil"/>
              <w:right w:val="nil"/>
            </w:tcBorders>
            <w:shd w:val="clear" w:color="auto" w:fill="auto"/>
            <w:noWrap/>
            <w:vAlign w:val="bottom"/>
            <w:hideMark/>
          </w:tcPr>
          <w:p w14:paraId="38D04908" w14:textId="4F16E69A"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298E793F" w14:textId="67BB795A"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59CE2859" w14:textId="0228087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6E4407AE" w14:textId="77777777" w:rsidTr="00C55547">
        <w:trPr>
          <w:trHeight w:val="204"/>
        </w:trPr>
        <w:tc>
          <w:tcPr>
            <w:tcW w:w="2977" w:type="dxa"/>
            <w:tcBorders>
              <w:top w:val="nil"/>
              <w:left w:val="nil"/>
              <w:bottom w:val="nil"/>
              <w:right w:val="nil"/>
            </w:tcBorders>
            <w:shd w:val="clear" w:color="auto" w:fill="auto"/>
            <w:hideMark/>
          </w:tcPr>
          <w:p w14:paraId="65C5DA06"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Strengthening Telecommunications against Natural Disasters</w:t>
            </w:r>
          </w:p>
        </w:tc>
        <w:tc>
          <w:tcPr>
            <w:tcW w:w="976" w:type="dxa"/>
            <w:tcBorders>
              <w:top w:val="nil"/>
              <w:left w:val="nil"/>
              <w:bottom w:val="nil"/>
              <w:right w:val="nil"/>
            </w:tcBorders>
            <w:shd w:val="clear" w:color="auto" w:fill="auto"/>
            <w:noWrap/>
            <w:vAlign w:val="bottom"/>
            <w:hideMark/>
          </w:tcPr>
          <w:p w14:paraId="724A0AF8" w14:textId="358BF88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13,086 </w:t>
            </w:r>
          </w:p>
        </w:tc>
        <w:tc>
          <w:tcPr>
            <w:tcW w:w="977" w:type="dxa"/>
            <w:tcBorders>
              <w:top w:val="nil"/>
              <w:left w:val="nil"/>
              <w:bottom w:val="nil"/>
              <w:right w:val="nil"/>
            </w:tcBorders>
            <w:shd w:val="clear" w:color="000000" w:fill="E6E6E6"/>
            <w:noWrap/>
            <w:vAlign w:val="bottom"/>
            <w:hideMark/>
          </w:tcPr>
          <w:p w14:paraId="1D93B06D" w14:textId="26ACED6D"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20,766 </w:t>
            </w:r>
          </w:p>
        </w:tc>
        <w:tc>
          <w:tcPr>
            <w:tcW w:w="977" w:type="dxa"/>
            <w:tcBorders>
              <w:top w:val="nil"/>
              <w:left w:val="nil"/>
              <w:bottom w:val="nil"/>
              <w:right w:val="nil"/>
            </w:tcBorders>
            <w:shd w:val="clear" w:color="auto" w:fill="auto"/>
            <w:noWrap/>
            <w:vAlign w:val="bottom"/>
            <w:hideMark/>
          </w:tcPr>
          <w:p w14:paraId="45E40177" w14:textId="21886F5E"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57191117" w14:textId="4EEA1F39"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77B1778B" w14:textId="11C7514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53B6B039" w14:textId="77777777" w:rsidTr="00C55547">
        <w:trPr>
          <w:trHeight w:val="204"/>
        </w:trPr>
        <w:tc>
          <w:tcPr>
            <w:tcW w:w="2977" w:type="dxa"/>
            <w:tcBorders>
              <w:top w:val="nil"/>
              <w:left w:val="nil"/>
              <w:bottom w:val="nil"/>
              <w:right w:val="nil"/>
            </w:tcBorders>
            <w:shd w:val="clear" w:color="auto" w:fill="auto"/>
            <w:hideMark/>
          </w:tcPr>
          <w:p w14:paraId="42E7858A"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Supporting Underrepresented Sports</w:t>
            </w:r>
          </w:p>
        </w:tc>
        <w:tc>
          <w:tcPr>
            <w:tcW w:w="976" w:type="dxa"/>
            <w:tcBorders>
              <w:top w:val="nil"/>
              <w:left w:val="nil"/>
              <w:bottom w:val="nil"/>
              <w:right w:val="nil"/>
            </w:tcBorders>
            <w:shd w:val="clear" w:color="auto" w:fill="auto"/>
            <w:noWrap/>
            <w:vAlign w:val="bottom"/>
            <w:hideMark/>
          </w:tcPr>
          <w:p w14:paraId="46FAC531" w14:textId="53629D5A"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7,500 </w:t>
            </w:r>
          </w:p>
        </w:tc>
        <w:tc>
          <w:tcPr>
            <w:tcW w:w="977" w:type="dxa"/>
            <w:tcBorders>
              <w:top w:val="nil"/>
              <w:left w:val="nil"/>
              <w:bottom w:val="nil"/>
              <w:right w:val="nil"/>
            </w:tcBorders>
            <w:shd w:val="clear" w:color="000000" w:fill="E6E6E6"/>
            <w:noWrap/>
            <w:vAlign w:val="bottom"/>
            <w:hideMark/>
          </w:tcPr>
          <w:p w14:paraId="1D6BBC46" w14:textId="48733DEC"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3,000 </w:t>
            </w:r>
          </w:p>
        </w:tc>
        <w:tc>
          <w:tcPr>
            <w:tcW w:w="977" w:type="dxa"/>
            <w:tcBorders>
              <w:top w:val="nil"/>
              <w:left w:val="nil"/>
              <w:bottom w:val="nil"/>
              <w:right w:val="nil"/>
            </w:tcBorders>
            <w:shd w:val="clear" w:color="auto" w:fill="auto"/>
            <w:noWrap/>
            <w:vAlign w:val="bottom"/>
            <w:hideMark/>
          </w:tcPr>
          <w:p w14:paraId="49228A3E" w14:textId="1B3E1122"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2,000 </w:t>
            </w:r>
          </w:p>
        </w:tc>
        <w:tc>
          <w:tcPr>
            <w:tcW w:w="977" w:type="dxa"/>
            <w:tcBorders>
              <w:top w:val="nil"/>
              <w:left w:val="nil"/>
              <w:bottom w:val="nil"/>
              <w:right w:val="nil"/>
            </w:tcBorders>
            <w:shd w:val="clear" w:color="auto" w:fill="auto"/>
            <w:noWrap/>
            <w:vAlign w:val="bottom"/>
            <w:hideMark/>
          </w:tcPr>
          <w:p w14:paraId="4D1E4AEF" w14:textId="79DFB0C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c>
          <w:tcPr>
            <w:tcW w:w="977" w:type="dxa"/>
            <w:tcBorders>
              <w:top w:val="nil"/>
              <w:left w:val="nil"/>
              <w:bottom w:val="nil"/>
              <w:right w:val="nil"/>
            </w:tcBorders>
            <w:shd w:val="clear" w:color="auto" w:fill="auto"/>
            <w:noWrap/>
            <w:vAlign w:val="bottom"/>
            <w:hideMark/>
          </w:tcPr>
          <w:p w14:paraId="1E2D8792" w14:textId="563DB492"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 </w:t>
            </w:r>
          </w:p>
        </w:tc>
      </w:tr>
      <w:tr w:rsidR="00657DAD" w:rsidRPr="00657DAD" w14:paraId="5BCCA116" w14:textId="77777777" w:rsidTr="00C55547">
        <w:trPr>
          <w:trHeight w:val="204"/>
        </w:trPr>
        <w:tc>
          <w:tcPr>
            <w:tcW w:w="2977" w:type="dxa"/>
            <w:tcBorders>
              <w:top w:val="nil"/>
              <w:left w:val="nil"/>
              <w:bottom w:val="nil"/>
              <w:right w:val="nil"/>
            </w:tcBorders>
            <w:shd w:val="clear" w:color="auto" w:fill="auto"/>
            <w:noWrap/>
            <w:hideMark/>
          </w:tcPr>
          <w:p w14:paraId="22935FCA"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Special Accounts</w:t>
            </w:r>
          </w:p>
        </w:tc>
        <w:tc>
          <w:tcPr>
            <w:tcW w:w="976" w:type="dxa"/>
            <w:tcBorders>
              <w:top w:val="nil"/>
              <w:left w:val="nil"/>
              <w:bottom w:val="nil"/>
              <w:right w:val="nil"/>
            </w:tcBorders>
            <w:shd w:val="clear" w:color="auto" w:fill="auto"/>
            <w:noWrap/>
            <w:vAlign w:val="bottom"/>
            <w:hideMark/>
          </w:tcPr>
          <w:p w14:paraId="0ACE7D23" w14:textId="77777777" w:rsidR="00657DAD" w:rsidRPr="00657DAD" w:rsidRDefault="00657DAD" w:rsidP="00657DAD">
            <w:pPr>
              <w:spacing w:after="0" w:line="240" w:lineRule="auto"/>
              <w:ind w:firstLineChars="100" w:firstLine="160"/>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2EA35666" w14:textId="305F3CA9"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4B3640C0" w14:textId="77777777" w:rsidR="00657DAD" w:rsidRPr="00657DAD" w:rsidRDefault="00657DAD" w:rsidP="00657DAD">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7B5EDA57" w14:textId="77777777" w:rsidR="00657DAD" w:rsidRPr="00657DAD" w:rsidRDefault="00657DAD" w:rsidP="00657DAD">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00EB3E96" w14:textId="77777777" w:rsidR="00657DAD" w:rsidRPr="00657DAD" w:rsidRDefault="00657DAD" w:rsidP="00657DAD">
            <w:pPr>
              <w:spacing w:after="0" w:line="240" w:lineRule="auto"/>
              <w:jc w:val="right"/>
              <w:rPr>
                <w:rFonts w:ascii="Arial" w:hAnsi="Arial" w:cs="Arial"/>
                <w:sz w:val="16"/>
                <w:szCs w:val="16"/>
              </w:rPr>
            </w:pPr>
          </w:p>
        </w:tc>
      </w:tr>
      <w:tr w:rsidR="00657DAD" w:rsidRPr="00657DAD" w14:paraId="22F43CD1" w14:textId="77777777" w:rsidTr="00C55547">
        <w:trPr>
          <w:trHeight w:val="204"/>
        </w:trPr>
        <w:tc>
          <w:tcPr>
            <w:tcW w:w="2977" w:type="dxa"/>
            <w:tcBorders>
              <w:top w:val="nil"/>
              <w:left w:val="nil"/>
              <w:bottom w:val="nil"/>
              <w:right w:val="nil"/>
            </w:tcBorders>
            <w:shd w:val="clear" w:color="auto" w:fill="auto"/>
            <w:hideMark/>
          </w:tcPr>
          <w:p w14:paraId="544CA35B" w14:textId="77777777" w:rsidR="00657DAD" w:rsidRPr="00657DAD" w:rsidRDefault="00657DAD" w:rsidP="00657DAD">
            <w:pPr>
              <w:spacing w:after="0" w:line="240" w:lineRule="auto"/>
              <w:ind w:left="227"/>
              <w:jc w:val="left"/>
              <w:rPr>
                <w:rFonts w:ascii="Arial" w:hAnsi="Arial" w:cs="Arial"/>
                <w:sz w:val="16"/>
                <w:szCs w:val="16"/>
              </w:rPr>
            </w:pPr>
            <w:r w:rsidRPr="00657DAD">
              <w:rPr>
                <w:rFonts w:ascii="Arial" w:hAnsi="Arial" w:cs="Arial"/>
                <w:sz w:val="16"/>
                <w:szCs w:val="16"/>
              </w:rPr>
              <w:t>Public Interest Telecommunications Services Special Account</w:t>
            </w:r>
          </w:p>
        </w:tc>
        <w:tc>
          <w:tcPr>
            <w:tcW w:w="976" w:type="dxa"/>
            <w:tcBorders>
              <w:top w:val="nil"/>
              <w:left w:val="nil"/>
              <w:bottom w:val="nil"/>
              <w:right w:val="nil"/>
            </w:tcBorders>
            <w:shd w:val="clear" w:color="auto" w:fill="auto"/>
            <w:noWrap/>
            <w:vAlign w:val="bottom"/>
            <w:hideMark/>
          </w:tcPr>
          <w:p w14:paraId="1B23C19D" w14:textId="77777777" w:rsidR="00657DAD" w:rsidRPr="00657DAD" w:rsidRDefault="00657DAD" w:rsidP="00657DAD">
            <w:pPr>
              <w:spacing w:after="0" w:line="240" w:lineRule="auto"/>
              <w:ind w:firstLineChars="200" w:firstLine="320"/>
              <w:jc w:val="right"/>
              <w:rPr>
                <w:rFonts w:ascii="Arial" w:hAnsi="Arial" w:cs="Arial"/>
                <w:sz w:val="16"/>
                <w:szCs w:val="16"/>
              </w:rPr>
            </w:pPr>
          </w:p>
        </w:tc>
        <w:tc>
          <w:tcPr>
            <w:tcW w:w="977" w:type="dxa"/>
            <w:tcBorders>
              <w:top w:val="nil"/>
              <w:left w:val="nil"/>
              <w:bottom w:val="nil"/>
              <w:right w:val="nil"/>
            </w:tcBorders>
            <w:shd w:val="clear" w:color="000000" w:fill="E6E6E6"/>
            <w:noWrap/>
            <w:vAlign w:val="bottom"/>
            <w:hideMark/>
          </w:tcPr>
          <w:p w14:paraId="45C7588F" w14:textId="2D530B66"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0B9D4C74" w14:textId="77777777" w:rsidR="00657DAD" w:rsidRPr="00657DAD" w:rsidRDefault="00657DAD" w:rsidP="00657DAD">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2C8AC433" w14:textId="77777777" w:rsidR="00657DAD" w:rsidRPr="00657DAD" w:rsidRDefault="00657DAD" w:rsidP="00657DAD">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6295ABFF" w14:textId="77777777" w:rsidR="00657DAD" w:rsidRPr="00657DAD" w:rsidRDefault="00657DAD" w:rsidP="00657DAD">
            <w:pPr>
              <w:spacing w:after="0" w:line="240" w:lineRule="auto"/>
              <w:jc w:val="right"/>
              <w:rPr>
                <w:rFonts w:ascii="Arial" w:hAnsi="Arial" w:cs="Arial"/>
                <w:sz w:val="16"/>
                <w:szCs w:val="16"/>
              </w:rPr>
            </w:pPr>
          </w:p>
        </w:tc>
      </w:tr>
      <w:tr w:rsidR="00657DAD" w:rsidRPr="00657DAD" w14:paraId="78CB5E9D" w14:textId="77777777" w:rsidTr="00C55547">
        <w:trPr>
          <w:trHeight w:val="204"/>
        </w:trPr>
        <w:tc>
          <w:tcPr>
            <w:tcW w:w="2977" w:type="dxa"/>
            <w:tcBorders>
              <w:top w:val="nil"/>
              <w:left w:val="nil"/>
              <w:bottom w:val="nil"/>
              <w:right w:val="nil"/>
            </w:tcBorders>
            <w:shd w:val="clear" w:color="auto" w:fill="auto"/>
            <w:hideMark/>
          </w:tcPr>
          <w:p w14:paraId="0ECDD5FA" w14:textId="77777777" w:rsidR="00657DAD" w:rsidRPr="00657DAD" w:rsidRDefault="00657DAD" w:rsidP="00657DAD">
            <w:pPr>
              <w:spacing w:after="0" w:line="240" w:lineRule="auto"/>
              <w:ind w:left="340"/>
              <w:jc w:val="left"/>
              <w:rPr>
                <w:rFonts w:ascii="Arial" w:hAnsi="Arial" w:cs="Arial"/>
                <w:sz w:val="16"/>
                <w:szCs w:val="16"/>
              </w:rPr>
            </w:pPr>
            <w:r w:rsidRPr="00657DAD">
              <w:rPr>
                <w:rFonts w:ascii="Arial" w:hAnsi="Arial" w:cs="Arial"/>
                <w:sz w:val="16"/>
                <w:szCs w:val="16"/>
              </w:rPr>
              <w:t>National Relay Service</w:t>
            </w:r>
          </w:p>
        </w:tc>
        <w:tc>
          <w:tcPr>
            <w:tcW w:w="976" w:type="dxa"/>
            <w:tcBorders>
              <w:top w:val="nil"/>
              <w:left w:val="nil"/>
              <w:bottom w:val="nil"/>
              <w:right w:val="nil"/>
            </w:tcBorders>
            <w:shd w:val="clear" w:color="auto" w:fill="auto"/>
            <w:noWrap/>
            <w:vAlign w:val="bottom"/>
            <w:hideMark/>
          </w:tcPr>
          <w:p w14:paraId="09968634" w14:textId="37E0ACBD"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20,000 </w:t>
            </w:r>
          </w:p>
        </w:tc>
        <w:tc>
          <w:tcPr>
            <w:tcW w:w="977" w:type="dxa"/>
            <w:tcBorders>
              <w:top w:val="nil"/>
              <w:left w:val="nil"/>
              <w:bottom w:val="nil"/>
              <w:right w:val="nil"/>
            </w:tcBorders>
            <w:shd w:val="clear" w:color="auto" w:fill="E6E6E6"/>
            <w:noWrap/>
            <w:vAlign w:val="bottom"/>
            <w:hideMark/>
          </w:tcPr>
          <w:p w14:paraId="6EA73D13" w14:textId="298416B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20,000 </w:t>
            </w:r>
          </w:p>
        </w:tc>
        <w:tc>
          <w:tcPr>
            <w:tcW w:w="977" w:type="dxa"/>
            <w:tcBorders>
              <w:top w:val="nil"/>
              <w:left w:val="nil"/>
              <w:bottom w:val="nil"/>
              <w:right w:val="nil"/>
            </w:tcBorders>
            <w:shd w:val="clear" w:color="auto" w:fill="auto"/>
            <w:noWrap/>
            <w:vAlign w:val="bottom"/>
            <w:hideMark/>
          </w:tcPr>
          <w:p w14:paraId="20DEE6FC" w14:textId="771DD178"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20,000 </w:t>
            </w:r>
          </w:p>
        </w:tc>
        <w:tc>
          <w:tcPr>
            <w:tcW w:w="977" w:type="dxa"/>
            <w:tcBorders>
              <w:top w:val="nil"/>
              <w:left w:val="nil"/>
              <w:bottom w:val="nil"/>
              <w:right w:val="nil"/>
            </w:tcBorders>
            <w:shd w:val="clear" w:color="auto" w:fill="auto"/>
            <w:noWrap/>
            <w:vAlign w:val="bottom"/>
            <w:hideMark/>
          </w:tcPr>
          <w:p w14:paraId="22500660" w14:textId="08C63C0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20,000 </w:t>
            </w:r>
          </w:p>
        </w:tc>
        <w:tc>
          <w:tcPr>
            <w:tcW w:w="977" w:type="dxa"/>
            <w:tcBorders>
              <w:top w:val="nil"/>
              <w:left w:val="nil"/>
              <w:bottom w:val="nil"/>
              <w:right w:val="nil"/>
            </w:tcBorders>
            <w:shd w:val="clear" w:color="auto" w:fill="auto"/>
            <w:noWrap/>
            <w:vAlign w:val="bottom"/>
            <w:hideMark/>
          </w:tcPr>
          <w:p w14:paraId="73114685" w14:textId="7C49844E"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20,000 </w:t>
            </w:r>
          </w:p>
        </w:tc>
      </w:tr>
      <w:tr w:rsidR="00657DAD" w:rsidRPr="00657DAD" w14:paraId="74F3057E" w14:textId="77777777" w:rsidTr="00C55547">
        <w:trPr>
          <w:trHeight w:val="204"/>
        </w:trPr>
        <w:tc>
          <w:tcPr>
            <w:tcW w:w="2977" w:type="dxa"/>
            <w:tcBorders>
              <w:top w:val="nil"/>
              <w:left w:val="nil"/>
              <w:bottom w:val="nil"/>
              <w:right w:val="nil"/>
            </w:tcBorders>
            <w:shd w:val="clear" w:color="auto" w:fill="auto"/>
            <w:hideMark/>
          </w:tcPr>
          <w:p w14:paraId="2CF9A872" w14:textId="77777777" w:rsidR="00657DAD" w:rsidRPr="00657DAD" w:rsidRDefault="00657DAD" w:rsidP="00657DAD">
            <w:pPr>
              <w:spacing w:after="0" w:line="240" w:lineRule="auto"/>
              <w:ind w:left="340"/>
              <w:jc w:val="left"/>
              <w:rPr>
                <w:rFonts w:ascii="Arial" w:hAnsi="Arial" w:cs="Arial"/>
                <w:sz w:val="16"/>
                <w:szCs w:val="16"/>
              </w:rPr>
            </w:pPr>
            <w:r w:rsidRPr="00657DAD">
              <w:rPr>
                <w:rFonts w:ascii="Arial" w:hAnsi="Arial" w:cs="Arial"/>
                <w:sz w:val="16"/>
                <w:szCs w:val="16"/>
              </w:rPr>
              <w:t>Universal Service Obligation</w:t>
            </w:r>
          </w:p>
        </w:tc>
        <w:tc>
          <w:tcPr>
            <w:tcW w:w="976" w:type="dxa"/>
            <w:tcBorders>
              <w:top w:val="nil"/>
              <w:left w:val="nil"/>
              <w:bottom w:val="nil"/>
              <w:right w:val="nil"/>
            </w:tcBorders>
            <w:shd w:val="clear" w:color="auto" w:fill="auto"/>
            <w:noWrap/>
            <w:vAlign w:val="bottom"/>
            <w:hideMark/>
          </w:tcPr>
          <w:p w14:paraId="00BFD730" w14:textId="71BA1E1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270,000 </w:t>
            </w:r>
          </w:p>
        </w:tc>
        <w:tc>
          <w:tcPr>
            <w:tcW w:w="977" w:type="dxa"/>
            <w:tcBorders>
              <w:top w:val="nil"/>
              <w:left w:val="nil"/>
              <w:bottom w:val="nil"/>
              <w:right w:val="nil"/>
            </w:tcBorders>
            <w:shd w:val="clear" w:color="auto" w:fill="E6E6E6"/>
            <w:noWrap/>
            <w:vAlign w:val="bottom"/>
            <w:hideMark/>
          </w:tcPr>
          <w:p w14:paraId="5AAF01A3" w14:textId="76F8D023"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270,000 </w:t>
            </w:r>
          </w:p>
        </w:tc>
        <w:tc>
          <w:tcPr>
            <w:tcW w:w="977" w:type="dxa"/>
            <w:tcBorders>
              <w:top w:val="nil"/>
              <w:left w:val="nil"/>
              <w:bottom w:val="nil"/>
              <w:right w:val="nil"/>
            </w:tcBorders>
            <w:shd w:val="clear" w:color="auto" w:fill="auto"/>
            <w:noWrap/>
            <w:vAlign w:val="bottom"/>
            <w:hideMark/>
          </w:tcPr>
          <w:p w14:paraId="06DEA2B6" w14:textId="7103FE49"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270,000 </w:t>
            </w:r>
          </w:p>
        </w:tc>
        <w:tc>
          <w:tcPr>
            <w:tcW w:w="977" w:type="dxa"/>
            <w:tcBorders>
              <w:top w:val="nil"/>
              <w:left w:val="nil"/>
              <w:bottom w:val="nil"/>
              <w:right w:val="nil"/>
            </w:tcBorders>
            <w:shd w:val="clear" w:color="auto" w:fill="auto"/>
            <w:noWrap/>
            <w:vAlign w:val="bottom"/>
            <w:hideMark/>
          </w:tcPr>
          <w:p w14:paraId="2614CC8D" w14:textId="2ED5E38B"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270,000 </w:t>
            </w:r>
          </w:p>
        </w:tc>
        <w:tc>
          <w:tcPr>
            <w:tcW w:w="977" w:type="dxa"/>
            <w:tcBorders>
              <w:top w:val="nil"/>
              <w:left w:val="nil"/>
              <w:bottom w:val="nil"/>
              <w:right w:val="nil"/>
            </w:tcBorders>
            <w:shd w:val="clear" w:color="auto" w:fill="auto"/>
            <w:noWrap/>
            <w:vAlign w:val="bottom"/>
            <w:hideMark/>
          </w:tcPr>
          <w:p w14:paraId="06F80C0D" w14:textId="7E156F6D"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270,000 </w:t>
            </w:r>
          </w:p>
        </w:tc>
      </w:tr>
      <w:tr w:rsidR="00657DAD" w:rsidRPr="00657DAD" w14:paraId="2B8B5706" w14:textId="77777777" w:rsidTr="00C55547">
        <w:trPr>
          <w:trHeight w:val="204"/>
        </w:trPr>
        <w:tc>
          <w:tcPr>
            <w:tcW w:w="2977" w:type="dxa"/>
            <w:tcBorders>
              <w:top w:val="nil"/>
              <w:left w:val="nil"/>
              <w:bottom w:val="nil"/>
              <w:right w:val="nil"/>
            </w:tcBorders>
            <w:shd w:val="clear" w:color="auto" w:fill="auto"/>
            <w:hideMark/>
          </w:tcPr>
          <w:p w14:paraId="2A26AA83" w14:textId="77777777" w:rsidR="00657DAD" w:rsidRPr="00657DAD" w:rsidRDefault="00657DAD" w:rsidP="00657DAD">
            <w:pPr>
              <w:spacing w:after="0" w:line="240" w:lineRule="auto"/>
              <w:ind w:left="340"/>
              <w:jc w:val="left"/>
              <w:rPr>
                <w:rFonts w:ascii="Arial" w:hAnsi="Arial" w:cs="Arial"/>
                <w:sz w:val="16"/>
                <w:szCs w:val="16"/>
              </w:rPr>
            </w:pPr>
            <w:r w:rsidRPr="00657DAD">
              <w:rPr>
                <w:rFonts w:ascii="Arial" w:hAnsi="Arial" w:cs="Arial"/>
                <w:sz w:val="16"/>
                <w:szCs w:val="16"/>
              </w:rPr>
              <w:t>Other Public Interest Services</w:t>
            </w:r>
          </w:p>
        </w:tc>
        <w:tc>
          <w:tcPr>
            <w:tcW w:w="976" w:type="dxa"/>
            <w:tcBorders>
              <w:top w:val="nil"/>
              <w:left w:val="nil"/>
              <w:bottom w:val="nil"/>
              <w:right w:val="nil"/>
            </w:tcBorders>
            <w:shd w:val="clear" w:color="auto" w:fill="auto"/>
            <w:noWrap/>
            <w:vAlign w:val="bottom"/>
            <w:hideMark/>
          </w:tcPr>
          <w:p w14:paraId="28682142" w14:textId="6F2D9530"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30,760 </w:t>
            </w:r>
          </w:p>
        </w:tc>
        <w:tc>
          <w:tcPr>
            <w:tcW w:w="977" w:type="dxa"/>
            <w:tcBorders>
              <w:top w:val="nil"/>
              <w:left w:val="nil"/>
              <w:bottom w:val="nil"/>
              <w:right w:val="nil"/>
            </w:tcBorders>
            <w:shd w:val="clear" w:color="auto" w:fill="E6E6E6"/>
            <w:noWrap/>
            <w:vAlign w:val="bottom"/>
            <w:hideMark/>
          </w:tcPr>
          <w:p w14:paraId="3DD0A742" w14:textId="0E1EC8CF"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51,215 </w:t>
            </w:r>
          </w:p>
        </w:tc>
        <w:tc>
          <w:tcPr>
            <w:tcW w:w="977" w:type="dxa"/>
            <w:tcBorders>
              <w:top w:val="nil"/>
              <w:left w:val="nil"/>
              <w:bottom w:val="nil"/>
              <w:right w:val="nil"/>
            </w:tcBorders>
            <w:shd w:val="clear" w:color="auto" w:fill="auto"/>
            <w:noWrap/>
            <w:vAlign w:val="bottom"/>
            <w:hideMark/>
          </w:tcPr>
          <w:p w14:paraId="08AD775B" w14:textId="7E70C6EC"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39,064 </w:t>
            </w:r>
          </w:p>
        </w:tc>
        <w:tc>
          <w:tcPr>
            <w:tcW w:w="977" w:type="dxa"/>
            <w:tcBorders>
              <w:top w:val="nil"/>
              <w:left w:val="nil"/>
              <w:bottom w:val="nil"/>
              <w:right w:val="nil"/>
            </w:tcBorders>
            <w:shd w:val="clear" w:color="auto" w:fill="auto"/>
            <w:noWrap/>
            <w:vAlign w:val="bottom"/>
            <w:hideMark/>
          </w:tcPr>
          <w:p w14:paraId="01C89283" w14:textId="6C1EE9CC"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22,250 </w:t>
            </w:r>
          </w:p>
        </w:tc>
        <w:tc>
          <w:tcPr>
            <w:tcW w:w="977" w:type="dxa"/>
            <w:tcBorders>
              <w:top w:val="nil"/>
              <w:left w:val="nil"/>
              <w:bottom w:val="nil"/>
              <w:right w:val="nil"/>
            </w:tcBorders>
            <w:shd w:val="clear" w:color="auto" w:fill="auto"/>
            <w:noWrap/>
            <w:vAlign w:val="bottom"/>
            <w:hideMark/>
          </w:tcPr>
          <w:p w14:paraId="06A964C4" w14:textId="7C958465"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22,250 </w:t>
            </w:r>
          </w:p>
        </w:tc>
      </w:tr>
      <w:tr w:rsidR="00657DAD" w:rsidRPr="00657DAD" w14:paraId="16C236D2" w14:textId="77777777" w:rsidTr="00C55547">
        <w:trPr>
          <w:trHeight w:val="204"/>
        </w:trPr>
        <w:tc>
          <w:tcPr>
            <w:tcW w:w="2977" w:type="dxa"/>
            <w:tcBorders>
              <w:top w:val="nil"/>
              <w:left w:val="nil"/>
              <w:bottom w:val="nil"/>
              <w:right w:val="nil"/>
            </w:tcBorders>
            <w:shd w:val="clear" w:color="auto" w:fill="auto"/>
            <w:hideMark/>
          </w:tcPr>
          <w:p w14:paraId="1B9644E8" w14:textId="77777777" w:rsidR="00657DAD" w:rsidRPr="00657DAD" w:rsidRDefault="00657DAD" w:rsidP="00657DAD">
            <w:pPr>
              <w:spacing w:after="0" w:line="240" w:lineRule="auto"/>
              <w:ind w:left="113"/>
              <w:jc w:val="left"/>
              <w:rPr>
                <w:rFonts w:ascii="Arial" w:hAnsi="Arial" w:cs="Arial"/>
                <w:sz w:val="16"/>
                <w:szCs w:val="16"/>
              </w:rPr>
            </w:pPr>
            <w:r w:rsidRPr="00657DAD">
              <w:rPr>
                <w:rFonts w:ascii="Arial" w:hAnsi="Arial" w:cs="Arial"/>
                <w:sz w:val="16"/>
                <w:szCs w:val="16"/>
              </w:rPr>
              <w:t xml:space="preserve">Payments to corporate entities </w:t>
            </w:r>
            <w:r w:rsidRPr="00657DAD">
              <w:rPr>
                <w:rFonts w:ascii="Arial" w:hAnsi="Arial" w:cs="Arial"/>
                <w:sz w:val="16"/>
                <w:szCs w:val="16"/>
                <w:vertAlign w:val="superscript"/>
              </w:rPr>
              <w:t>(a)</w:t>
            </w:r>
          </w:p>
        </w:tc>
        <w:tc>
          <w:tcPr>
            <w:tcW w:w="976" w:type="dxa"/>
            <w:tcBorders>
              <w:top w:val="nil"/>
              <w:left w:val="nil"/>
              <w:bottom w:val="nil"/>
              <w:right w:val="nil"/>
            </w:tcBorders>
            <w:shd w:val="clear" w:color="auto" w:fill="auto"/>
            <w:noWrap/>
            <w:vAlign w:val="bottom"/>
            <w:hideMark/>
          </w:tcPr>
          <w:p w14:paraId="6EDE4AAA" w14:textId="77777777" w:rsidR="00657DAD" w:rsidRPr="00657DAD" w:rsidRDefault="00657DAD" w:rsidP="00657DAD">
            <w:pPr>
              <w:spacing w:after="0" w:line="240" w:lineRule="auto"/>
              <w:ind w:firstLineChars="100" w:firstLine="160"/>
              <w:jc w:val="righ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60E33DCD" w14:textId="4DB44A52"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w:t>
            </w:r>
          </w:p>
        </w:tc>
        <w:tc>
          <w:tcPr>
            <w:tcW w:w="977" w:type="dxa"/>
            <w:tcBorders>
              <w:top w:val="nil"/>
              <w:left w:val="nil"/>
              <w:bottom w:val="nil"/>
              <w:right w:val="nil"/>
            </w:tcBorders>
            <w:shd w:val="clear" w:color="auto" w:fill="auto"/>
            <w:noWrap/>
            <w:vAlign w:val="bottom"/>
            <w:hideMark/>
          </w:tcPr>
          <w:p w14:paraId="08C6C235" w14:textId="77777777" w:rsidR="00657DAD" w:rsidRPr="00657DAD" w:rsidRDefault="00657DAD" w:rsidP="00657DAD">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4C1531D6" w14:textId="77777777" w:rsidR="00657DAD" w:rsidRPr="00657DAD" w:rsidRDefault="00657DAD" w:rsidP="00657DAD">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6425BCA0" w14:textId="77777777" w:rsidR="00657DAD" w:rsidRPr="00657DAD" w:rsidRDefault="00657DAD" w:rsidP="00657DAD">
            <w:pPr>
              <w:spacing w:after="0" w:line="240" w:lineRule="auto"/>
              <w:jc w:val="right"/>
              <w:rPr>
                <w:rFonts w:ascii="Arial" w:hAnsi="Arial" w:cs="Arial"/>
                <w:sz w:val="16"/>
                <w:szCs w:val="16"/>
              </w:rPr>
            </w:pPr>
          </w:p>
        </w:tc>
      </w:tr>
      <w:tr w:rsidR="00657DAD" w:rsidRPr="00657DAD" w14:paraId="17E70B38" w14:textId="77777777" w:rsidTr="00CC7DB5">
        <w:trPr>
          <w:trHeight w:val="204"/>
        </w:trPr>
        <w:tc>
          <w:tcPr>
            <w:tcW w:w="2977" w:type="dxa"/>
            <w:tcBorders>
              <w:top w:val="nil"/>
              <w:left w:val="nil"/>
              <w:bottom w:val="nil"/>
              <w:right w:val="nil"/>
            </w:tcBorders>
            <w:shd w:val="clear" w:color="auto" w:fill="auto"/>
            <w:hideMark/>
          </w:tcPr>
          <w:p w14:paraId="33BDD0F6" w14:textId="092F04F1" w:rsidR="00657DAD" w:rsidRPr="00657DAD" w:rsidRDefault="00657DAD" w:rsidP="00657DAD">
            <w:pPr>
              <w:spacing w:after="0" w:line="240" w:lineRule="auto"/>
              <w:ind w:left="322" w:hanging="95"/>
              <w:jc w:val="left"/>
              <w:rPr>
                <w:rFonts w:ascii="Arial" w:hAnsi="Arial" w:cs="Arial"/>
                <w:sz w:val="16"/>
                <w:szCs w:val="16"/>
              </w:rPr>
            </w:pPr>
            <w:r w:rsidRPr="00657DAD">
              <w:rPr>
                <w:rFonts w:ascii="Arial" w:hAnsi="Arial" w:cs="Arial"/>
                <w:sz w:val="16"/>
                <w:szCs w:val="16"/>
              </w:rPr>
              <w:t xml:space="preserve">- Australian Broadcasting Corporation </w:t>
            </w:r>
            <w:r w:rsidRPr="00657DAD">
              <w:rPr>
                <w:rFonts w:ascii="Arial" w:hAnsi="Arial" w:cs="Arial"/>
                <w:sz w:val="16"/>
                <w:szCs w:val="16"/>
                <w:vertAlign w:val="superscript"/>
              </w:rPr>
              <w:t>(b)</w:t>
            </w:r>
          </w:p>
        </w:tc>
        <w:tc>
          <w:tcPr>
            <w:tcW w:w="976" w:type="dxa"/>
            <w:tcBorders>
              <w:top w:val="nil"/>
              <w:left w:val="nil"/>
              <w:right w:val="nil"/>
            </w:tcBorders>
            <w:shd w:val="clear" w:color="auto" w:fill="auto"/>
            <w:noWrap/>
            <w:vAlign w:val="bottom"/>
            <w:hideMark/>
          </w:tcPr>
          <w:p w14:paraId="14062976" w14:textId="04CABF15"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1,065,354 </w:t>
            </w:r>
          </w:p>
        </w:tc>
        <w:tc>
          <w:tcPr>
            <w:tcW w:w="977" w:type="dxa"/>
            <w:tcBorders>
              <w:top w:val="nil"/>
              <w:left w:val="nil"/>
              <w:right w:val="nil"/>
            </w:tcBorders>
            <w:shd w:val="clear" w:color="auto" w:fill="E6E6E6"/>
            <w:noWrap/>
            <w:vAlign w:val="bottom"/>
            <w:hideMark/>
          </w:tcPr>
          <w:p w14:paraId="4B716145" w14:textId="3D558851"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1,070,097 </w:t>
            </w:r>
          </w:p>
        </w:tc>
        <w:tc>
          <w:tcPr>
            <w:tcW w:w="977" w:type="dxa"/>
            <w:tcBorders>
              <w:top w:val="nil"/>
              <w:left w:val="nil"/>
              <w:right w:val="nil"/>
            </w:tcBorders>
            <w:shd w:val="clear" w:color="auto" w:fill="auto"/>
            <w:noWrap/>
            <w:vAlign w:val="bottom"/>
            <w:hideMark/>
          </w:tcPr>
          <w:p w14:paraId="57AD5FE5" w14:textId="6E6B31D2"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1,061,739 </w:t>
            </w:r>
          </w:p>
        </w:tc>
        <w:tc>
          <w:tcPr>
            <w:tcW w:w="977" w:type="dxa"/>
            <w:tcBorders>
              <w:top w:val="nil"/>
              <w:left w:val="nil"/>
              <w:right w:val="nil"/>
            </w:tcBorders>
            <w:shd w:val="clear" w:color="auto" w:fill="auto"/>
            <w:noWrap/>
            <w:vAlign w:val="bottom"/>
            <w:hideMark/>
          </w:tcPr>
          <w:p w14:paraId="3144A723" w14:textId="76B3186F"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1,077,968 </w:t>
            </w:r>
          </w:p>
        </w:tc>
        <w:tc>
          <w:tcPr>
            <w:tcW w:w="977" w:type="dxa"/>
            <w:tcBorders>
              <w:top w:val="nil"/>
              <w:left w:val="nil"/>
              <w:right w:val="nil"/>
            </w:tcBorders>
            <w:shd w:val="clear" w:color="auto" w:fill="auto"/>
            <w:noWrap/>
            <w:vAlign w:val="bottom"/>
            <w:hideMark/>
          </w:tcPr>
          <w:p w14:paraId="31CCC67A" w14:textId="2CA031BA"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1,096,417 </w:t>
            </w:r>
          </w:p>
        </w:tc>
      </w:tr>
      <w:tr w:rsidR="00657DAD" w:rsidRPr="00657DAD" w14:paraId="695692D8" w14:textId="77777777" w:rsidTr="00CC7DB5">
        <w:trPr>
          <w:trHeight w:val="204"/>
        </w:trPr>
        <w:tc>
          <w:tcPr>
            <w:tcW w:w="2977" w:type="dxa"/>
            <w:tcBorders>
              <w:top w:val="nil"/>
              <w:left w:val="nil"/>
              <w:right w:val="nil"/>
            </w:tcBorders>
            <w:shd w:val="clear" w:color="auto" w:fill="auto"/>
            <w:hideMark/>
          </w:tcPr>
          <w:p w14:paraId="15A60F1B" w14:textId="77777777" w:rsidR="00657DAD" w:rsidRPr="00657DAD" w:rsidRDefault="00657DAD" w:rsidP="00657DAD">
            <w:pPr>
              <w:spacing w:after="0" w:line="240" w:lineRule="auto"/>
              <w:ind w:left="322" w:hanging="95"/>
              <w:jc w:val="left"/>
              <w:rPr>
                <w:rFonts w:ascii="Arial" w:hAnsi="Arial" w:cs="Arial"/>
                <w:sz w:val="16"/>
                <w:szCs w:val="16"/>
              </w:rPr>
            </w:pPr>
            <w:r w:rsidRPr="00657DAD">
              <w:rPr>
                <w:rFonts w:ascii="Arial" w:hAnsi="Arial" w:cs="Arial"/>
                <w:sz w:val="16"/>
                <w:szCs w:val="16"/>
              </w:rPr>
              <w:t xml:space="preserve">- Special Broadcasting Service Corporation </w:t>
            </w:r>
            <w:r w:rsidRPr="00657DAD">
              <w:rPr>
                <w:rFonts w:ascii="Arial" w:hAnsi="Arial" w:cs="Arial"/>
                <w:sz w:val="16"/>
                <w:szCs w:val="16"/>
                <w:vertAlign w:val="superscript"/>
              </w:rPr>
              <w:t>(b)</w:t>
            </w:r>
          </w:p>
        </w:tc>
        <w:tc>
          <w:tcPr>
            <w:tcW w:w="976" w:type="dxa"/>
            <w:tcBorders>
              <w:top w:val="nil"/>
              <w:left w:val="nil"/>
              <w:bottom w:val="single" w:sz="4" w:space="0" w:color="auto"/>
              <w:right w:val="nil"/>
            </w:tcBorders>
            <w:shd w:val="clear" w:color="auto" w:fill="auto"/>
            <w:noWrap/>
            <w:vAlign w:val="bottom"/>
            <w:hideMark/>
          </w:tcPr>
          <w:p w14:paraId="1E9E3549" w14:textId="600C6A6E"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296,933 </w:t>
            </w:r>
          </w:p>
        </w:tc>
        <w:tc>
          <w:tcPr>
            <w:tcW w:w="977" w:type="dxa"/>
            <w:tcBorders>
              <w:top w:val="nil"/>
              <w:left w:val="nil"/>
              <w:bottom w:val="single" w:sz="4" w:space="0" w:color="auto"/>
              <w:right w:val="nil"/>
            </w:tcBorders>
            <w:shd w:val="clear" w:color="auto" w:fill="E6E6E6"/>
            <w:noWrap/>
            <w:vAlign w:val="bottom"/>
            <w:hideMark/>
          </w:tcPr>
          <w:p w14:paraId="366EE705" w14:textId="7A2D7CBC"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310,021 </w:t>
            </w:r>
          </w:p>
        </w:tc>
        <w:tc>
          <w:tcPr>
            <w:tcW w:w="977" w:type="dxa"/>
            <w:tcBorders>
              <w:top w:val="nil"/>
              <w:left w:val="nil"/>
              <w:bottom w:val="single" w:sz="4" w:space="0" w:color="auto"/>
              <w:right w:val="nil"/>
            </w:tcBorders>
            <w:shd w:val="clear" w:color="auto" w:fill="auto"/>
            <w:noWrap/>
            <w:vAlign w:val="bottom"/>
            <w:hideMark/>
          </w:tcPr>
          <w:p w14:paraId="57A178D1" w14:textId="1BE7F7F0"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301,692 </w:t>
            </w:r>
          </w:p>
        </w:tc>
        <w:tc>
          <w:tcPr>
            <w:tcW w:w="977" w:type="dxa"/>
            <w:tcBorders>
              <w:top w:val="nil"/>
              <w:left w:val="nil"/>
              <w:bottom w:val="single" w:sz="4" w:space="0" w:color="auto"/>
              <w:right w:val="nil"/>
            </w:tcBorders>
            <w:shd w:val="clear" w:color="auto" w:fill="auto"/>
            <w:noWrap/>
            <w:vAlign w:val="bottom"/>
            <w:hideMark/>
          </w:tcPr>
          <w:p w14:paraId="68A4C722" w14:textId="28B71A7E"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307,500 </w:t>
            </w:r>
          </w:p>
        </w:tc>
        <w:tc>
          <w:tcPr>
            <w:tcW w:w="977" w:type="dxa"/>
            <w:tcBorders>
              <w:top w:val="nil"/>
              <w:left w:val="nil"/>
              <w:bottom w:val="single" w:sz="4" w:space="0" w:color="auto"/>
              <w:right w:val="nil"/>
            </w:tcBorders>
            <w:shd w:val="clear" w:color="auto" w:fill="auto"/>
            <w:noWrap/>
            <w:vAlign w:val="bottom"/>
            <w:hideMark/>
          </w:tcPr>
          <w:p w14:paraId="1478620F" w14:textId="33CDBAF7" w:rsidR="00657DAD" w:rsidRPr="00657DAD" w:rsidRDefault="00657DAD" w:rsidP="00657DAD">
            <w:pPr>
              <w:spacing w:after="0" w:line="240" w:lineRule="auto"/>
              <w:jc w:val="right"/>
              <w:rPr>
                <w:rFonts w:ascii="Arial" w:hAnsi="Arial" w:cs="Arial"/>
                <w:sz w:val="16"/>
                <w:szCs w:val="16"/>
              </w:rPr>
            </w:pPr>
            <w:r w:rsidRPr="00657DAD">
              <w:rPr>
                <w:rFonts w:ascii="Arial" w:hAnsi="Arial" w:cs="Arial"/>
                <w:sz w:val="16"/>
                <w:szCs w:val="16"/>
              </w:rPr>
              <w:t xml:space="preserve">304,052 </w:t>
            </w:r>
          </w:p>
        </w:tc>
      </w:tr>
      <w:tr w:rsidR="00657DAD" w:rsidRPr="00657DAD" w14:paraId="48DD3CC6" w14:textId="77777777" w:rsidTr="00637168">
        <w:trPr>
          <w:trHeight w:val="204"/>
        </w:trPr>
        <w:tc>
          <w:tcPr>
            <w:tcW w:w="2977" w:type="dxa"/>
            <w:tcBorders>
              <w:top w:val="nil"/>
              <w:left w:val="nil"/>
              <w:bottom w:val="single" w:sz="4" w:space="0" w:color="auto"/>
              <w:right w:val="nil"/>
            </w:tcBorders>
            <w:shd w:val="clear" w:color="auto" w:fill="auto"/>
            <w:noWrap/>
            <w:hideMark/>
          </w:tcPr>
          <w:p w14:paraId="394C478E" w14:textId="77777777" w:rsidR="00657DAD" w:rsidRPr="00657DAD" w:rsidRDefault="00657DAD" w:rsidP="00657DAD">
            <w:pPr>
              <w:spacing w:after="0" w:line="240" w:lineRule="auto"/>
              <w:jc w:val="left"/>
              <w:rPr>
                <w:rFonts w:ascii="Arial" w:hAnsi="Arial" w:cs="Arial"/>
                <w:b/>
                <w:bCs/>
                <w:sz w:val="16"/>
                <w:szCs w:val="16"/>
              </w:rPr>
            </w:pPr>
            <w:r w:rsidRPr="00657DAD">
              <w:rPr>
                <w:rFonts w:ascii="Arial" w:hAnsi="Arial" w:cs="Arial"/>
                <w:b/>
                <w:bCs/>
                <w:sz w:val="16"/>
                <w:szCs w:val="16"/>
              </w:rPr>
              <w:t>Total expenses for Program 5.1</w:t>
            </w:r>
          </w:p>
        </w:tc>
        <w:tc>
          <w:tcPr>
            <w:tcW w:w="976" w:type="dxa"/>
            <w:tcBorders>
              <w:top w:val="single" w:sz="4" w:space="0" w:color="auto"/>
              <w:left w:val="nil"/>
              <w:bottom w:val="single" w:sz="4" w:space="0" w:color="auto"/>
              <w:right w:val="nil"/>
            </w:tcBorders>
            <w:shd w:val="clear" w:color="auto" w:fill="auto"/>
            <w:noWrap/>
            <w:vAlign w:val="bottom"/>
            <w:hideMark/>
          </w:tcPr>
          <w:p w14:paraId="3E61D952" w14:textId="339FD6FC" w:rsidR="00657DAD" w:rsidRPr="00657DAD" w:rsidRDefault="00657DAD" w:rsidP="00657DAD">
            <w:pPr>
              <w:spacing w:after="0" w:line="240" w:lineRule="auto"/>
              <w:jc w:val="right"/>
              <w:rPr>
                <w:rFonts w:ascii="Arial" w:hAnsi="Arial" w:cs="Arial"/>
                <w:b/>
                <w:bCs/>
                <w:sz w:val="16"/>
                <w:szCs w:val="16"/>
              </w:rPr>
            </w:pPr>
            <w:r w:rsidRPr="00657DAD">
              <w:rPr>
                <w:rFonts w:ascii="Arial" w:hAnsi="Arial" w:cs="Arial"/>
                <w:b/>
                <w:bCs/>
                <w:sz w:val="16"/>
                <w:szCs w:val="16"/>
              </w:rPr>
              <w:t xml:space="preserve">2,174,119 </w:t>
            </w:r>
          </w:p>
        </w:tc>
        <w:tc>
          <w:tcPr>
            <w:tcW w:w="977" w:type="dxa"/>
            <w:tcBorders>
              <w:top w:val="single" w:sz="4" w:space="0" w:color="auto"/>
              <w:left w:val="nil"/>
              <w:bottom w:val="single" w:sz="4" w:space="0" w:color="auto"/>
              <w:right w:val="nil"/>
            </w:tcBorders>
            <w:shd w:val="clear" w:color="000000" w:fill="E6E6E6"/>
            <w:noWrap/>
            <w:vAlign w:val="bottom"/>
            <w:hideMark/>
          </w:tcPr>
          <w:p w14:paraId="4ADAE43F" w14:textId="32D0FC12" w:rsidR="00657DAD" w:rsidRPr="00657DAD" w:rsidRDefault="00657DAD" w:rsidP="00657DAD">
            <w:pPr>
              <w:spacing w:after="0" w:line="240" w:lineRule="auto"/>
              <w:jc w:val="right"/>
              <w:rPr>
                <w:rFonts w:ascii="Arial" w:hAnsi="Arial" w:cs="Arial"/>
                <w:b/>
                <w:bCs/>
                <w:sz w:val="16"/>
                <w:szCs w:val="16"/>
              </w:rPr>
            </w:pPr>
            <w:r w:rsidRPr="00657DAD">
              <w:rPr>
                <w:rFonts w:ascii="Arial" w:hAnsi="Arial" w:cs="Arial"/>
                <w:b/>
                <w:bCs/>
                <w:sz w:val="16"/>
                <w:szCs w:val="16"/>
              </w:rPr>
              <w:t xml:space="preserve">2,725,132 </w:t>
            </w:r>
          </w:p>
        </w:tc>
        <w:tc>
          <w:tcPr>
            <w:tcW w:w="977" w:type="dxa"/>
            <w:tcBorders>
              <w:top w:val="single" w:sz="4" w:space="0" w:color="auto"/>
              <w:left w:val="nil"/>
              <w:bottom w:val="single" w:sz="4" w:space="0" w:color="auto"/>
              <w:right w:val="nil"/>
            </w:tcBorders>
            <w:shd w:val="clear" w:color="auto" w:fill="auto"/>
            <w:noWrap/>
            <w:vAlign w:val="bottom"/>
            <w:hideMark/>
          </w:tcPr>
          <w:p w14:paraId="4A732D56" w14:textId="6FCB3404" w:rsidR="00657DAD" w:rsidRPr="00657DAD" w:rsidRDefault="00657DAD" w:rsidP="00657DAD">
            <w:pPr>
              <w:spacing w:after="0" w:line="240" w:lineRule="auto"/>
              <w:jc w:val="right"/>
              <w:rPr>
                <w:rFonts w:ascii="Arial" w:hAnsi="Arial" w:cs="Arial"/>
                <w:b/>
                <w:bCs/>
                <w:sz w:val="16"/>
                <w:szCs w:val="16"/>
              </w:rPr>
            </w:pPr>
            <w:r w:rsidRPr="00657DAD">
              <w:rPr>
                <w:rFonts w:ascii="Arial" w:hAnsi="Arial" w:cs="Arial"/>
                <w:b/>
                <w:bCs/>
                <w:sz w:val="16"/>
                <w:szCs w:val="16"/>
              </w:rPr>
              <w:t xml:space="preserve">2,747,311 </w:t>
            </w:r>
          </w:p>
        </w:tc>
        <w:tc>
          <w:tcPr>
            <w:tcW w:w="977" w:type="dxa"/>
            <w:tcBorders>
              <w:top w:val="single" w:sz="4" w:space="0" w:color="auto"/>
              <w:left w:val="nil"/>
              <w:bottom w:val="single" w:sz="4" w:space="0" w:color="auto"/>
              <w:right w:val="nil"/>
            </w:tcBorders>
            <w:shd w:val="clear" w:color="auto" w:fill="auto"/>
            <w:noWrap/>
            <w:vAlign w:val="bottom"/>
            <w:hideMark/>
          </w:tcPr>
          <w:p w14:paraId="3F9F1E06" w14:textId="08CB49AA" w:rsidR="00657DAD" w:rsidRPr="00657DAD" w:rsidRDefault="00657DAD" w:rsidP="00657DAD">
            <w:pPr>
              <w:spacing w:after="0" w:line="240" w:lineRule="auto"/>
              <w:jc w:val="right"/>
              <w:rPr>
                <w:rFonts w:ascii="Arial" w:hAnsi="Arial" w:cs="Arial"/>
                <w:b/>
                <w:bCs/>
                <w:sz w:val="16"/>
                <w:szCs w:val="16"/>
              </w:rPr>
            </w:pPr>
            <w:r w:rsidRPr="00657DAD">
              <w:rPr>
                <w:rFonts w:ascii="Arial" w:hAnsi="Arial" w:cs="Arial"/>
                <w:b/>
                <w:bCs/>
                <w:sz w:val="16"/>
                <w:szCs w:val="16"/>
              </w:rPr>
              <w:t xml:space="preserve">2,529,857 </w:t>
            </w:r>
          </w:p>
        </w:tc>
        <w:tc>
          <w:tcPr>
            <w:tcW w:w="977" w:type="dxa"/>
            <w:tcBorders>
              <w:top w:val="single" w:sz="4" w:space="0" w:color="auto"/>
              <w:left w:val="nil"/>
              <w:bottom w:val="single" w:sz="4" w:space="0" w:color="auto"/>
              <w:right w:val="nil"/>
            </w:tcBorders>
            <w:shd w:val="clear" w:color="auto" w:fill="auto"/>
            <w:noWrap/>
            <w:vAlign w:val="bottom"/>
            <w:hideMark/>
          </w:tcPr>
          <w:p w14:paraId="564FA797" w14:textId="17F244A6" w:rsidR="00657DAD" w:rsidRPr="00657DAD" w:rsidRDefault="00657DAD" w:rsidP="00657DAD">
            <w:pPr>
              <w:spacing w:after="0" w:line="240" w:lineRule="auto"/>
              <w:jc w:val="right"/>
              <w:rPr>
                <w:rFonts w:ascii="Arial" w:hAnsi="Arial" w:cs="Arial"/>
                <w:b/>
                <w:bCs/>
                <w:sz w:val="16"/>
                <w:szCs w:val="16"/>
              </w:rPr>
            </w:pPr>
            <w:r w:rsidRPr="00657DAD">
              <w:rPr>
                <w:rFonts w:ascii="Arial" w:hAnsi="Arial" w:cs="Arial"/>
                <w:b/>
                <w:bCs/>
                <w:sz w:val="16"/>
                <w:szCs w:val="16"/>
              </w:rPr>
              <w:t xml:space="preserve">2,550,651 </w:t>
            </w:r>
          </w:p>
        </w:tc>
      </w:tr>
    </w:tbl>
    <w:p w14:paraId="2160BBAF" w14:textId="2B3B9B5F" w:rsidR="00A27EC7" w:rsidRDefault="00452EF1" w:rsidP="00645E3F">
      <w:pPr>
        <w:pStyle w:val="ListParagraph"/>
        <w:numPr>
          <w:ilvl w:val="0"/>
          <w:numId w:val="70"/>
        </w:numPr>
        <w:spacing w:before="60"/>
        <w:ind w:left="284" w:hanging="284"/>
        <w:rPr>
          <w:rFonts w:ascii="Arial" w:hAnsi="Arial" w:cs="Arial"/>
          <w:sz w:val="16"/>
          <w:szCs w:val="16"/>
        </w:rPr>
      </w:pPr>
      <w:r w:rsidRPr="00452EF1">
        <w:rPr>
          <w:rFonts w:ascii="Arial" w:hAnsi="Arial" w:cs="Arial"/>
          <w:sz w:val="16"/>
          <w:szCs w:val="16"/>
        </w:rPr>
        <w:t xml:space="preserve">Relates to appropriation for corporate entities that is provided through the </w:t>
      </w:r>
      <w:r w:rsidR="008863D9">
        <w:rPr>
          <w:rFonts w:ascii="Arial" w:hAnsi="Arial" w:cs="Arial"/>
          <w:sz w:val="16"/>
          <w:szCs w:val="16"/>
        </w:rPr>
        <w:t>Department</w:t>
      </w:r>
      <w:r w:rsidRPr="00452EF1">
        <w:rPr>
          <w:rFonts w:ascii="Arial" w:hAnsi="Arial" w:cs="Arial"/>
          <w:sz w:val="16"/>
          <w:szCs w:val="16"/>
        </w:rPr>
        <w:t>.</w:t>
      </w:r>
    </w:p>
    <w:p w14:paraId="4E61E4F8" w14:textId="542CEC3E" w:rsidR="001B1FDF" w:rsidRDefault="00637168" w:rsidP="00637168">
      <w:pPr>
        <w:pStyle w:val="ListParagraph"/>
        <w:numPr>
          <w:ilvl w:val="0"/>
          <w:numId w:val="70"/>
        </w:numPr>
        <w:ind w:left="284" w:hanging="284"/>
        <w:rPr>
          <w:rFonts w:ascii="Arial" w:hAnsi="Arial" w:cs="Arial"/>
          <w:sz w:val="16"/>
          <w:szCs w:val="16"/>
        </w:rPr>
      </w:pPr>
      <w:r>
        <w:rPr>
          <w:rFonts w:ascii="Arial" w:hAnsi="Arial" w:cs="Arial"/>
          <w:sz w:val="16"/>
          <w:szCs w:val="16"/>
        </w:rPr>
        <w:t>T</w:t>
      </w:r>
      <w:r w:rsidR="001B1FDF" w:rsidRPr="002048D9">
        <w:rPr>
          <w:rFonts w:ascii="Arial" w:hAnsi="Arial" w:cs="Arial"/>
          <w:sz w:val="16"/>
          <w:szCs w:val="16"/>
        </w:rPr>
        <w:t xml:space="preserve">hese amounts do not include </w:t>
      </w:r>
      <w:r>
        <w:rPr>
          <w:rFonts w:ascii="Arial" w:hAnsi="Arial" w:cs="Arial"/>
          <w:sz w:val="16"/>
          <w:szCs w:val="16"/>
        </w:rPr>
        <w:t xml:space="preserve">any </w:t>
      </w:r>
      <w:r w:rsidR="001B1FDF" w:rsidRPr="002048D9">
        <w:rPr>
          <w:rFonts w:ascii="Arial" w:hAnsi="Arial" w:cs="Arial"/>
          <w:sz w:val="16"/>
          <w:szCs w:val="16"/>
        </w:rPr>
        <w:t>decisions announced since the 2021-22 MYEFO Statement.</w:t>
      </w:r>
      <w:r w:rsidR="001B1FDF">
        <w:rPr>
          <w:rFonts w:ascii="Arial" w:hAnsi="Arial" w:cs="Arial"/>
          <w:sz w:val="16"/>
          <w:szCs w:val="16"/>
        </w:rPr>
        <w:t xml:space="preserve"> </w:t>
      </w:r>
    </w:p>
    <w:p w14:paraId="30975CBC" w14:textId="23BABA7C" w:rsidR="001447A0" w:rsidRPr="00F94108" w:rsidRDefault="001447A0" w:rsidP="0029767A">
      <w:pPr>
        <w:spacing w:after="0"/>
        <w:rPr>
          <w:rFonts w:ascii="Arial" w:hAnsi="Arial" w:cs="Arial"/>
          <w:b/>
          <w:bCs/>
        </w:rPr>
      </w:pPr>
      <w:r w:rsidRPr="00F94108">
        <w:rPr>
          <w:rFonts w:ascii="Arial" w:hAnsi="Arial" w:cs="Arial"/>
          <w:b/>
          <w:bCs/>
        </w:rPr>
        <w:t>Performance criteria for Outcome 5</w:t>
      </w:r>
    </w:p>
    <w:p w14:paraId="39CD7608" w14:textId="14F4E9B8" w:rsidR="001447A0" w:rsidRDefault="00B63D82" w:rsidP="009C3395">
      <w:pPr>
        <w:jc w:val="left"/>
      </w:pPr>
      <w:r w:rsidRPr="00B63D82">
        <w:t>The t</w:t>
      </w:r>
      <w:r w:rsidR="001447A0" w:rsidRPr="00B63D82">
        <w:t>able</w:t>
      </w:r>
      <w:r w:rsidR="001447A0" w:rsidRPr="00000153">
        <w:t xml:space="preserve"> below details one change to the performance criteria for Outcome 5 since the 2021–22 Budget, to align with new priorities for NBN. </w:t>
      </w:r>
      <w:r w:rsidR="00CD1288">
        <w:t>The changes are shown in italics.</w:t>
      </w:r>
    </w:p>
    <w:p w14:paraId="12B6ECF9" w14:textId="77777777" w:rsidR="002048D9" w:rsidRPr="00000153" w:rsidRDefault="002048D9" w:rsidP="001447A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863"/>
      </w:tblGrid>
      <w:tr w:rsidR="001447A0" w:rsidRPr="00B94E5D" w14:paraId="0C66092D" w14:textId="77777777" w:rsidTr="001B5CE7">
        <w:trPr>
          <w:tblHeader/>
        </w:trPr>
        <w:tc>
          <w:tcPr>
            <w:tcW w:w="7701" w:type="dxa"/>
            <w:gridSpan w:val="2"/>
            <w:shd w:val="clear" w:color="auto" w:fill="F2F2F2"/>
          </w:tcPr>
          <w:p w14:paraId="1E914037" w14:textId="77777777" w:rsidR="001447A0" w:rsidRPr="00184B0C" w:rsidRDefault="001447A0" w:rsidP="00734D3F">
            <w:pPr>
              <w:tabs>
                <w:tab w:val="left" w:pos="709"/>
              </w:tabs>
              <w:spacing w:before="60" w:after="60" w:line="240" w:lineRule="auto"/>
              <w:rPr>
                <w:rFonts w:ascii="Arial" w:hAnsi="Arial" w:cs="Arial"/>
                <w:b/>
                <w:sz w:val="16"/>
                <w:szCs w:val="16"/>
              </w:rPr>
            </w:pPr>
            <w:r w:rsidRPr="00184B0C">
              <w:rPr>
                <w:rFonts w:ascii="Arial" w:hAnsi="Arial" w:cs="Arial"/>
                <w:b/>
                <w:sz w:val="16"/>
                <w:szCs w:val="16"/>
              </w:rPr>
              <w:lastRenderedPageBreak/>
              <w:t>Program 5.1 Digital Technologies and Communications Services</w:t>
            </w:r>
          </w:p>
          <w:p w14:paraId="455942D7" w14:textId="77777777" w:rsidR="001447A0" w:rsidRPr="00F565FC" w:rsidRDefault="001447A0" w:rsidP="00734D3F">
            <w:pPr>
              <w:tabs>
                <w:tab w:val="left" w:pos="709"/>
              </w:tabs>
              <w:spacing w:before="60" w:after="60" w:line="240" w:lineRule="auto"/>
              <w:rPr>
                <w:rFonts w:ascii="Arial" w:hAnsi="Arial" w:cs="Arial"/>
              </w:rPr>
            </w:pPr>
            <w:r w:rsidRPr="00184B0C">
              <w:rPr>
                <w:rFonts w:ascii="Arial" w:hAnsi="Arial" w:cs="Arial"/>
                <w:sz w:val="16"/>
                <w:szCs w:val="16"/>
              </w:rPr>
              <w:t>To provide an environment in which all Australians can access and benefit from digital technologies and communications services, supporting inclusiveness and sustainable economic growth.</w:t>
            </w:r>
          </w:p>
        </w:tc>
      </w:tr>
      <w:tr w:rsidR="001447A0" w:rsidRPr="00B94E5D" w14:paraId="03EEEFD4" w14:textId="77777777" w:rsidTr="001B5CE7">
        <w:tc>
          <w:tcPr>
            <w:tcW w:w="1693" w:type="dxa"/>
            <w:tcBorders>
              <w:bottom w:val="single" w:sz="4" w:space="0" w:color="auto"/>
            </w:tcBorders>
          </w:tcPr>
          <w:p w14:paraId="417AB95F" w14:textId="77777777" w:rsidR="001447A0" w:rsidRPr="00B94E5D" w:rsidRDefault="001447A0" w:rsidP="00734D3F">
            <w:pPr>
              <w:tabs>
                <w:tab w:val="left" w:pos="709"/>
              </w:tabs>
              <w:spacing w:before="60" w:after="60" w:line="240" w:lineRule="auto"/>
              <w:rPr>
                <w:rFonts w:ascii="Arial" w:hAnsi="Arial" w:cs="Arial"/>
                <w:b/>
                <w:sz w:val="16"/>
                <w:szCs w:val="16"/>
              </w:rPr>
            </w:pPr>
            <w:r w:rsidRPr="00B94E5D">
              <w:rPr>
                <w:rFonts w:ascii="Arial" w:hAnsi="Arial" w:cs="Arial"/>
                <w:b/>
                <w:sz w:val="16"/>
                <w:szCs w:val="16"/>
              </w:rPr>
              <w:t>Purpose</w:t>
            </w:r>
            <w:r>
              <w:rPr>
                <w:rFonts w:ascii="Arial" w:hAnsi="Arial" w:cs="Arial"/>
                <w:b/>
                <w:sz w:val="16"/>
                <w:szCs w:val="16"/>
              </w:rPr>
              <w:t>s</w:t>
            </w:r>
          </w:p>
        </w:tc>
        <w:tc>
          <w:tcPr>
            <w:tcW w:w="6008" w:type="dxa"/>
            <w:tcBorders>
              <w:bottom w:val="single" w:sz="4" w:space="0" w:color="auto"/>
            </w:tcBorders>
          </w:tcPr>
          <w:p w14:paraId="1C2649EE" w14:textId="77777777" w:rsidR="001447A0" w:rsidRPr="00B94E5D" w:rsidRDefault="001447A0" w:rsidP="00734D3F">
            <w:pPr>
              <w:tabs>
                <w:tab w:val="left" w:pos="709"/>
              </w:tabs>
              <w:spacing w:before="60" w:after="60" w:line="240" w:lineRule="auto"/>
              <w:rPr>
                <w:rFonts w:ascii="Arial" w:hAnsi="Arial" w:cs="Arial"/>
                <w:sz w:val="16"/>
                <w:szCs w:val="16"/>
              </w:rPr>
            </w:pPr>
            <w:r w:rsidRPr="00B94E5D">
              <w:rPr>
                <w:rFonts w:ascii="Arial" w:hAnsi="Arial" w:cs="Arial"/>
                <w:spacing w:val="-4"/>
                <w:sz w:val="16"/>
                <w:szCs w:val="18"/>
              </w:rPr>
              <w:t>Communications connectivity: Enabling people in Australia to connect to effective, safe communications services and enabling investment in communication technologies, for inclusiveness and sustainable economic growth</w:t>
            </w:r>
          </w:p>
        </w:tc>
      </w:tr>
      <w:tr w:rsidR="001447A0" w:rsidRPr="00B94E5D" w14:paraId="33B4F8E4" w14:textId="77777777" w:rsidTr="001B5CE7">
        <w:tc>
          <w:tcPr>
            <w:tcW w:w="1693" w:type="dxa"/>
            <w:tcBorders>
              <w:bottom w:val="single" w:sz="4" w:space="0" w:color="auto"/>
            </w:tcBorders>
          </w:tcPr>
          <w:p w14:paraId="00734C9F" w14:textId="77777777" w:rsidR="001447A0" w:rsidRPr="00B94E5D" w:rsidRDefault="001447A0" w:rsidP="00734D3F">
            <w:pPr>
              <w:tabs>
                <w:tab w:val="left" w:pos="709"/>
              </w:tabs>
              <w:spacing w:before="60" w:after="60" w:line="240" w:lineRule="auto"/>
              <w:rPr>
                <w:rFonts w:ascii="Arial" w:hAnsi="Arial" w:cs="Arial"/>
                <w:b/>
                <w:sz w:val="16"/>
                <w:szCs w:val="16"/>
              </w:rPr>
            </w:pPr>
            <w:r w:rsidRPr="00B94E5D">
              <w:rPr>
                <w:rFonts w:ascii="Arial" w:hAnsi="Arial" w:cs="Arial"/>
                <w:b/>
                <w:sz w:val="16"/>
                <w:szCs w:val="16"/>
              </w:rPr>
              <w:t>Delivery</w:t>
            </w:r>
          </w:p>
        </w:tc>
        <w:tc>
          <w:tcPr>
            <w:tcW w:w="6008" w:type="dxa"/>
            <w:tcBorders>
              <w:bottom w:val="single" w:sz="4" w:space="0" w:color="auto"/>
            </w:tcBorders>
          </w:tcPr>
          <w:p w14:paraId="624F1081" w14:textId="77777777" w:rsidR="001447A0" w:rsidRPr="00B94E5D" w:rsidRDefault="001447A0" w:rsidP="00734D3F">
            <w:pPr>
              <w:tabs>
                <w:tab w:val="left" w:pos="709"/>
              </w:tabs>
              <w:spacing w:before="60" w:after="60" w:line="240" w:lineRule="auto"/>
              <w:rPr>
                <w:rFonts w:ascii="Arial" w:hAnsi="Arial" w:cs="Arial"/>
                <w:sz w:val="16"/>
                <w:szCs w:val="18"/>
              </w:rPr>
            </w:pPr>
            <w:r w:rsidRPr="00B94E5D">
              <w:rPr>
                <w:rFonts w:ascii="Arial" w:hAnsi="Arial" w:cs="Arial"/>
                <w:sz w:val="16"/>
                <w:szCs w:val="18"/>
              </w:rPr>
              <w:t xml:space="preserve">We realise our purposes through: </w:t>
            </w:r>
          </w:p>
          <w:p w14:paraId="0E390D2B" w14:textId="77777777" w:rsidR="001447A0" w:rsidRPr="00B94E5D" w:rsidRDefault="001447A0" w:rsidP="00F10ACD">
            <w:pPr>
              <w:pStyle w:val="ListParagraph"/>
              <w:numPr>
                <w:ilvl w:val="0"/>
                <w:numId w:val="26"/>
              </w:numPr>
              <w:spacing w:before="120" w:after="120" w:line="240" w:lineRule="auto"/>
              <w:ind w:left="357" w:hanging="357"/>
              <w:rPr>
                <w:rFonts w:ascii="Arial" w:hAnsi="Arial" w:cs="Arial"/>
                <w:sz w:val="16"/>
                <w:szCs w:val="18"/>
              </w:rPr>
            </w:pPr>
            <w:r w:rsidRPr="00B94E5D">
              <w:rPr>
                <w:rFonts w:ascii="Arial" w:hAnsi="Arial" w:cs="Arial"/>
                <w:b/>
                <w:sz w:val="16"/>
                <w:szCs w:val="18"/>
              </w:rPr>
              <w:t>Providing policy and strategic advice</w:t>
            </w:r>
            <w:r w:rsidRPr="00B94E5D">
              <w:rPr>
                <w:rFonts w:ascii="Arial" w:hAnsi="Arial" w:cs="Arial"/>
                <w:sz w:val="16"/>
                <w:szCs w:val="18"/>
              </w:rPr>
              <w:t>: We provide government with high-quality options and policy advice. Our advice is evidence-based and informed by research, consultation, analysis and broader government objectives. We identify trends and emerging issues in markets and society to inform strategy an</w:t>
            </w:r>
            <w:r>
              <w:rPr>
                <w:rFonts w:ascii="Arial" w:hAnsi="Arial" w:cs="Arial"/>
                <w:sz w:val="16"/>
                <w:szCs w:val="18"/>
              </w:rPr>
              <w:t>d advice.</w:t>
            </w:r>
            <w:r>
              <w:rPr>
                <w:rFonts w:ascii="Arial" w:hAnsi="Arial" w:cs="Arial"/>
                <w:sz w:val="16"/>
                <w:szCs w:val="18"/>
              </w:rPr>
              <w:br/>
            </w:r>
          </w:p>
          <w:p w14:paraId="3DBAE391" w14:textId="77777777" w:rsidR="001447A0" w:rsidRPr="00B94E5D" w:rsidRDefault="001447A0" w:rsidP="00F10ACD">
            <w:pPr>
              <w:pStyle w:val="ListParagraph"/>
              <w:numPr>
                <w:ilvl w:val="0"/>
                <w:numId w:val="26"/>
              </w:numPr>
              <w:spacing w:before="120" w:after="120" w:line="240" w:lineRule="auto"/>
              <w:ind w:left="357" w:hanging="357"/>
              <w:rPr>
                <w:rFonts w:ascii="Arial" w:hAnsi="Arial" w:cs="Arial"/>
                <w:sz w:val="16"/>
                <w:szCs w:val="18"/>
              </w:rPr>
            </w:pPr>
            <w:r w:rsidRPr="00B94E5D">
              <w:rPr>
                <w:rFonts w:ascii="Arial" w:hAnsi="Arial" w:cs="Arial"/>
                <w:b/>
                <w:sz w:val="16"/>
                <w:szCs w:val="18"/>
              </w:rPr>
              <w:t>Delivering programs and services</w:t>
            </w:r>
            <w:r w:rsidRPr="00B94E5D">
              <w:rPr>
                <w:rFonts w:ascii="Arial" w:hAnsi="Arial" w:cs="Arial"/>
                <w:sz w:val="16"/>
                <w:szCs w:val="18"/>
              </w:rPr>
              <w:t>: We deliver efficient and effective programs and services to achieve the government’s policy outcomes. We adhere to the highest stand</w:t>
            </w:r>
            <w:r>
              <w:rPr>
                <w:rFonts w:ascii="Arial" w:hAnsi="Arial" w:cs="Arial"/>
                <w:sz w:val="16"/>
                <w:szCs w:val="18"/>
              </w:rPr>
              <w:t>ards of public administration.</w:t>
            </w:r>
            <w:r>
              <w:rPr>
                <w:rFonts w:ascii="Arial" w:hAnsi="Arial" w:cs="Arial"/>
                <w:sz w:val="16"/>
                <w:szCs w:val="18"/>
              </w:rPr>
              <w:br/>
            </w:r>
          </w:p>
          <w:p w14:paraId="45B90D50" w14:textId="77777777" w:rsidR="001447A0" w:rsidRPr="00B94E5D" w:rsidRDefault="001447A0" w:rsidP="00F10ACD">
            <w:pPr>
              <w:pStyle w:val="ListParagraph"/>
              <w:numPr>
                <w:ilvl w:val="0"/>
                <w:numId w:val="26"/>
              </w:numPr>
              <w:spacing w:before="120" w:after="120" w:line="240" w:lineRule="auto"/>
              <w:ind w:left="357" w:hanging="357"/>
              <w:rPr>
                <w:rFonts w:ascii="Arial" w:hAnsi="Arial" w:cs="Arial"/>
                <w:sz w:val="16"/>
                <w:szCs w:val="18"/>
              </w:rPr>
            </w:pPr>
            <w:r w:rsidRPr="00B94E5D">
              <w:rPr>
                <w:rFonts w:ascii="Arial" w:hAnsi="Arial" w:cs="Arial"/>
                <w:b/>
                <w:sz w:val="16"/>
                <w:szCs w:val="18"/>
              </w:rPr>
              <w:t>Fit for purpose regulation</w:t>
            </w:r>
            <w:r w:rsidRPr="00B94E5D">
              <w:rPr>
                <w:rFonts w:ascii="Arial" w:hAnsi="Arial" w:cs="Arial"/>
                <w:sz w:val="16"/>
                <w:szCs w:val="18"/>
              </w:rPr>
              <w:t>: We administer portfolio legislation efficiently and effectively. We review and shape regulatory frameworks to ensure that they are fit for purpose and not acting as an impediment to investment.</w:t>
            </w:r>
          </w:p>
          <w:p w14:paraId="67409585" w14:textId="77777777" w:rsidR="001447A0" w:rsidRPr="00B94E5D" w:rsidRDefault="001447A0" w:rsidP="00734D3F">
            <w:pPr>
              <w:tabs>
                <w:tab w:val="left" w:pos="709"/>
              </w:tabs>
              <w:spacing w:before="60" w:after="60" w:line="240" w:lineRule="auto"/>
              <w:rPr>
                <w:rFonts w:ascii="Arial" w:hAnsi="Arial" w:cs="Arial"/>
                <w:sz w:val="16"/>
                <w:szCs w:val="16"/>
              </w:rPr>
            </w:pPr>
            <w:r w:rsidRPr="00B94E5D">
              <w:rPr>
                <w:rFonts w:ascii="Arial" w:hAnsi="Arial" w:cs="Arial"/>
                <w:sz w:val="16"/>
                <w:szCs w:val="18"/>
              </w:rPr>
              <w:t>Delivering our purposes is not solely our responsibility. We collaborate with others — portfolio entities, other governments, industry and the community as well as international organisations — to get results.</w:t>
            </w:r>
          </w:p>
        </w:tc>
      </w:tr>
    </w:tbl>
    <w:p w14:paraId="40BD1A0C" w14:textId="77777777" w:rsidR="001447A0" w:rsidRPr="001B5CE7" w:rsidRDefault="001447A0" w:rsidP="001B5CE7">
      <w:pPr>
        <w:spacing w:after="0" w:line="240" w:lineRule="auto"/>
        <w:rPr>
          <w:rFonts w:ascii="Arial" w:hAnsi="Arial" w:cs="Arial"/>
          <w:sz w:val="16"/>
          <w:szCs w:val="16"/>
        </w:rPr>
      </w:pPr>
    </w:p>
    <w:tbl>
      <w:tblPr>
        <w:tblW w:w="7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4"/>
        <w:gridCol w:w="2412"/>
        <w:gridCol w:w="3419"/>
      </w:tblGrid>
      <w:tr w:rsidR="001447A0" w:rsidRPr="00B94E5D" w14:paraId="6F6ED3F6" w14:textId="77777777" w:rsidTr="0056206E">
        <w:trPr>
          <w:cantSplit/>
          <w:trHeight w:val="165"/>
          <w:tblHeader/>
        </w:trPr>
        <w:tc>
          <w:tcPr>
            <w:tcW w:w="7525" w:type="dxa"/>
            <w:gridSpan w:val="3"/>
            <w:tcBorders>
              <w:top w:val="double" w:sz="4" w:space="0" w:color="auto"/>
              <w:bottom w:val="double" w:sz="4" w:space="0" w:color="auto"/>
            </w:tcBorders>
          </w:tcPr>
          <w:p w14:paraId="319D0252" w14:textId="77777777" w:rsidR="001447A0" w:rsidRPr="00B94E5D" w:rsidRDefault="001447A0" w:rsidP="00734D3F">
            <w:pPr>
              <w:spacing w:before="60" w:after="60" w:line="240" w:lineRule="auto"/>
              <w:ind w:right="-12"/>
              <w:rPr>
                <w:rFonts w:ascii="Arial" w:hAnsi="Arial" w:cs="Arial"/>
                <w:b/>
                <w:sz w:val="16"/>
                <w:szCs w:val="16"/>
              </w:rPr>
            </w:pPr>
            <w:r w:rsidRPr="00B94E5D">
              <w:rPr>
                <w:rFonts w:ascii="Arial" w:hAnsi="Arial" w:cs="Arial"/>
                <w:b/>
                <w:sz w:val="16"/>
                <w:szCs w:val="16"/>
              </w:rPr>
              <w:t>Performance information</w:t>
            </w:r>
          </w:p>
        </w:tc>
      </w:tr>
      <w:tr w:rsidR="001447A0" w:rsidRPr="00B94E5D" w14:paraId="68DCE96D" w14:textId="77777777" w:rsidTr="0056206E">
        <w:trPr>
          <w:cantSplit/>
          <w:trHeight w:val="165"/>
          <w:tblHeader/>
        </w:trPr>
        <w:tc>
          <w:tcPr>
            <w:tcW w:w="1694" w:type="dxa"/>
            <w:tcBorders>
              <w:top w:val="double" w:sz="4" w:space="0" w:color="auto"/>
              <w:bottom w:val="single" w:sz="4" w:space="0" w:color="auto"/>
              <w:right w:val="single" w:sz="4" w:space="0" w:color="auto"/>
            </w:tcBorders>
          </w:tcPr>
          <w:p w14:paraId="09C66BD9" w14:textId="77777777" w:rsidR="001447A0" w:rsidRPr="00B94E5D" w:rsidRDefault="001447A0" w:rsidP="00734D3F">
            <w:pPr>
              <w:tabs>
                <w:tab w:val="left" w:pos="709"/>
              </w:tabs>
              <w:spacing w:before="60" w:after="60" w:line="240" w:lineRule="auto"/>
              <w:rPr>
                <w:rFonts w:ascii="Arial" w:hAnsi="Arial" w:cs="Arial"/>
                <w:sz w:val="16"/>
                <w:szCs w:val="16"/>
              </w:rPr>
            </w:pPr>
            <w:r w:rsidRPr="00B94E5D">
              <w:rPr>
                <w:rFonts w:ascii="Arial" w:hAnsi="Arial" w:cs="Arial"/>
                <w:b/>
                <w:sz w:val="16"/>
                <w:szCs w:val="16"/>
              </w:rPr>
              <w:t>Year</w:t>
            </w:r>
          </w:p>
        </w:tc>
        <w:tc>
          <w:tcPr>
            <w:tcW w:w="2412" w:type="dxa"/>
            <w:tcBorders>
              <w:top w:val="double" w:sz="4" w:space="0" w:color="auto"/>
              <w:bottom w:val="single" w:sz="4" w:space="0" w:color="auto"/>
              <w:right w:val="single" w:sz="4" w:space="0" w:color="auto"/>
            </w:tcBorders>
          </w:tcPr>
          <w:p w14:paraId="1C241177" w14:textId="77777777" w:rsidR="001447A0" w:rsidRPr="00B94E5D" w:rsidRDefault="001447A0" w:rsidP="00734D3F">
            <w:pPr>
              <w:tabs>
                <w:tab w:val="left" w:pos="709"/>
              </w:tabs>
              <w:spacing w:before="60" w:after="60" w:line="240" w:lineRule="auto"/>
              <w:rPr>
                <w:rFonts w:ascii="Arial" w:hAnsi="Arial" w:cs="Arial"/>
                <w:sz w:val="16"/>
                <w:szCs w:val="16"/>
              </w:rPr>
            </w:pPr>
            <w:r>
              <w:rPr>
                <w:rFonts w:ascii="Arial" w:hAnsi="Arial" w:cs="Arial"/>
                <w:b/>
                <w:sz w:val="16"/>
                <w:szCs w:val="16"/>
              </w:rPr>
              <w:t>Performance measure</w:t>
            </w:r>
          </w:p>
        </w:tc>
        <w:tc>
          <w:tcPr>
            <w:tcW w:w="3419" w:type="dxa"/>
            <w:tcBorders>
              <w:top w:val="double" w:sz="4" w:space="0" w:color="auto"/>
              <w:bottom w:val="single" w:sz="4" w:space="0" w:color="auto"/>
              <w:right w:val="single" w:sz="4" w:space="0" w:color="auto"/>
            </w:tcBorders>
          </w:tcPr>
          <w:p w14:paraId="2EBECD76" w14:textId="2CE45377" w:rsidR="001447A0" w:rsidRPr="00B94E5D" w:rsidRDefault="001447A0" w:rsidP="00734D3F">
            <w:pPr>
              <w:spacing w:before="60" w:after="60" w:line="240" w:lineRule="auto"/>
              <w:ind w:right="-12"/>
              <w:rPr>
                <w:rFonts w:ascii="Arial" w:hAnsi="Arial" w:cs="Arial"/>
                <w:b/>
                <w:sz w:val="16"/>
                <w:szCs w:val="16"/>
              </w:rPr>
            </w:pPr>
            <w:r w:rsidRPr="00B94E5D">
              <w:rPr>
                <w:rFonts w:ascii="Arial" w:hAnsi="Arial" w:cs="Arial"/>
                <w:b/>
                <w:sz w:val="16"/>
                <w:szCs w:val="16"/>
              </w:rPr>
              <w:t>Target</w:t>
            </w:r>
            <w:r w:rsidR="00584960">
              <w:rPr>
                <w:rFonts w:ascii="Arial" w:hAnsi="Arial" w:cs="Arial"/>
                <w:b/>
                <w:sz w:val="16"/>
                <w:szCs w:val="16"/>
              </w:rPr>
              <w:t xml:space="preserve"> </w:t>
            </w:r>
            <w:r w:rsidR="00584960" w:rsidRPr="00584960">
              <w:rPr>
                <w:rFonts w:ascii="Arial" w:hAnsi="Arial" w:cs="Arial"/>
                <w:b/>
                <w:sz w:val="16"/>
                <w:szCs w:val="16"/>
                <w:vertAlign w:val="superscript"/>
              </w:rPr>
              <w:t>(a)</w:t>
            </w:r>
          </w:p>
        </w:tc>
      </w:tr>
      <w:tr w:rsidR="001447A0" w:rsidRPr="00B94E5D" w14:paraId="2A1731C7" w14:textId="77777777" w:rsidTr="0056206E">
        <w:trPr>
          <w:cantSplit/>
        </w:trPr>
        <w:tc>
          <w:tcPr>
            <w:tcW w:w="1694" w:type="dxa"/>
            <w:tcBorders>
              <w:top w:val="single" w:sz="4" w:space="0" w:color="auto"/>
              <w:bottom w:val="nil"/>
              <w:right w:val="single" w:sz="4" w:space="0" w:color="auto"/>
            </w:tcBorders>
          </w:tcPr>
          <w:p w14:paraId="7DF3F853" w14:textId="77777777" w:rsidR="001447A0" w:rsidRPr="00B94E5D" w:rsidRDefault="001447A0" w:rsidP="00062FA6">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2021-22 and beyond</w:t>
            </w:r>
          </w:p>
        </w:tc>
        <w:tc>
          <w:tcPr>
            <w:tcW w:w="2412" w:type="dxa"/>
            <w:tcBorders>
              <w:top w:val="single" w:sz="4" w:space="0" w:color="auto"/>
              <w:left w:val="single" w:sz="4" w:space="0" w:color="auto"/>
              <w:bottom w:val="nil"/>
              <w:right w:val="single" w:sz="4" w:space="0" w:color="auto"/>
            </w:tcBorders>
          </w:tcPr>
          <w:p w14:paraId="138A806A" w14:textId="77777777" w:rsidR="001447A0" w:rsidRPr="00B94E5D" w:rsidRDefault="001447A0" w:rsidP="00062FA6">
            <w:pPr>
              <w:tabs>
                <w:tab w:val="left" w:pos="709"/>
              </w:tabs>
              <w:spacing w:before="60" w:after="60" w:line="240" w:lineRule="auto"/>
              <w:jc w:val="left"/>
              <w:rPr>
                <w:rFonts w:ascii="Arial" w:hAnsi="Arial" w:cs="Arial"/>
                <w:i/>
                <w:sz w:val="16"/>
                <w:szCs w:val="16"/>
              </w:rPr>
            </w:pPr>
            <w:r w:rsidRPr="00B94E5D">
              <w:rPr>
                <w:rFonts w:ascii="Arial" w:hAnsi="Arial" w:cs="Arial"/>
                <w:sz w:val="16"/>
                <w:szCs w:val="16"/>
              </w:rPr>
              <w:t>Progress implementing the Online Safety Act</w:t>
            </w:r>
          </w:p>
        </w:tc>
        <w:tc>
          <w:tcPr>
            <w:tcW w:w="3419" w:type="dxa"/>
            <w:tcBorders>
              <w:top w:val="single" w:sz="4" w:space="0" w:color="auto"/>
              <w:left w:val="single" w:sz="4" w:space="0" w:color="auto"/>
              <w:bottom w:val="nil"/>
            </w:tcBorders>
          </w:tcPr>
          <w:p w14:paraId="436D2A84" w14:textId="77777777" w:rsidR="001447A0" w:rsidRPr="00B94E5D" w:rsidRDefault="001447A0" w:rsidP="00062FA6">
            <w:pPr>
              <w:tabs>
                <w:tab w:val="left" w:pos="709"/>
              </w:tabs>
              <w:spacing w:before="60" w:after="60" w:line="240" w:lineRule="auto"/>
              <w:jc w:val="left"/>
              <w:rPr>
                <w:rFonts w:ascii="Arial" w:hAnsi="Arial" w:cs="Arial"/>
                <w:sz w:val="16"/>
                <w:szCs w:val="16"/>
              </w:rPr>
            </w:pPr>
            <w:r w:rsidRPr="00B94E5D">
              <w:rPr>
                <w:rFonts w:ascii="Arial" w:hAnsi="Arial" w:cs="Arial"/>
                <w:b/>
                <w:sz w:val="16"/>
                <w:szCs w:val="16"/>
              </w:rPr>
              <w:t xml:space="preserve">2021–22: </w:t>
            </w:r>
            <w:r w:rsidRPr="00B94E5D">
              <w:rPr>
                <w:rFonts w:ascii="Arial" w:hAnsi="Arial" w:cs="Arial"/>
                <w:sz w:val="16"/>
                <w:szCs w:val="16"/>
              </w:rPr>
              <w:t>No target</w:t>
            </w:r>
          </w:p>
          <w:p w14:paraId="4E04D2C8" w14:textId="77777777" w:rsidR="001447A0" w:rsidRPr="00B94E5D" w:rsidRDefault="001447A0" w:rsidP="00062FA6">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2022–23 and beyond: </w:t>
            </w:r>
            <w:r w:rsidRPr="00B94E5D">
              <w:rPr>
                <w:rFonts w:ascii="Arial" w:hAnsi="Arial" w:cs="Arial"/>
                <w:sz w:val="16"/>
                <w:szCs w:val="16"/>
              </w:rPr>
              <w:t>Target setting planned for after passage of legislation</w:t>
            </w:r>
          </w:p>
        </w:tc>
      </w:tr>
      <w:tr w:rsidR="001447A0" w:rsidRPr="00B94E5D" w14:paraId="5B78982D" w14:textId="77777777" w:rsidTr="0056206E">
        <w:trPr>
          <w:cantSplit/>
        </w:trPr>
        <w:tc>
          <w:tcPr>
            <w:tcW w:w="1694" w:type="dxa"/>
            <w:tcBorders>
              <w:top w:val="nil"/>
              <w:bottom w:val="nil"/>
              <w:right w:val="single" w:sz="4" w:space="0" w:color="auto"/>
            </w:tcBorders>
          </w:tcPr>
          <w:p w14:paraId="56DD6114" w14:textId="77777777" w:rsidR="001447A0" w:rsidRPr="00B94E5D" w:rsidRDefault="001447A0" w:rsidP="00062FA6">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05E2288A" w14:textId="77777777" w:rsidR="001447A0" w:rsidRPr="00B94E5D" w:rsidRDefault="001447A0" w:rsidP="00062FA6">
            <w:pPr>
              <w:tabs>
                <w:tab w:val="left" w:pos="709"/>
              </w:tabs>
              <w:spacing w:before="60" w:after="60" w:line="240" w:lineRule="auto"/>
              <w:jc w:val="left"/>
              <w:rPr>
                <w:rFonts w:ascii="Arial" w:hAnsi="Arial" w:cs="Arial"/>
                <w:i/>
                <w:sz w:val="16"/>
                <w:szCs w:val="16"/>
              </w:rPr>
            </w:pPr>
            <w:r w:rsidRPr="00B94E5D">
              <w:rPr>
                <w:rFonts w:ascii="Arial" w:hAnsi="Arial" w:cs="Arial"/>
                <w:sz w:val="16"/>
                <w:szCs w:val="16"/>
              </w:rPr>
              <w:t>Number and proportion of Australian community radio licence holders receiving Community Broadcasting Program funding</w:t>
            </w:r>
          </w:p>
        </w:tc>
        <w:tc>
          <w:tcPr>
            <w:tcW w:w="3419" w:type="dxa"/>
            <w:tcBorders>
              <w:top w:val="nil"/>
              <w:left w:val="single" w:sz="4" w:space="0" w:color="auto"/>
              <w:bottom w:val="nil"/>
            </w:tcBorders>
          </w:tcPr>
          <w:p w14:paraId="5039FBAA" w14:textId="77777777" w:rsidR="001447A0" w:rsidRPr="00B94E5D" w:rsidRDefault="001447A0" w:rsidP="00062FA6">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No target. Number fluctuates depending on round structure and applications received</w:t>
            </w:r>
          </w:p>
        </w:tc>
      </w:tr>
      <w:tr w:rsidR="001447A0" w:rsidRPr="00B94E5D" w14:paraId="418945AC" w14:textId="77777777" w:rsidTr="0056206E">
        <w:trPr>
          <w:cantSplit/>
        </w:trPr>
        <w:tc>
          <w:tcPr>
            <w:tcW w:w="1694" w:type="dxa"/>
            <w:tcBorders>
              <w:top w:val="nil"/>
              <w:bottom w:val="nil"/>
              <w:right w:val="single" w:sz="4" w:space="0" w:color="auto"/>
            </w:tcBorders>
          </w:tcPr>
          <w:p w14:paraId="3C72D402" w14:textId="12D859E0" w:rsidR="001447A0" w:rsidRPr="00B94E5D" w:rsidRDefault="001447A0" w:rsidP="00062FA6">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1C3C2C84" w14:textId="77777777" w:rsidR="001447A0" w:rsidRPr="00B94E5D" w:rsidRDefault="001447A0" w:rsidP="00062FA6">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Number of decisions made and proportion within statutory timeframes by:</w:t>
            </w:r>
          </w:p>
          <w:p w14:paraId="4B848AFC" w14:textId="77777777" w:rsidR="001447A0" w:rsidRPr="00B94E5D" w:rsidRDefault="001447A0" w:rsidP="00F10ACD">
            <w:pPr>
              <w:pStyle w:val="ListParagraph"/>
              <w:numPr>
                <w:ilvl w:val="0"/>
                <w:numId w:val="30"/>
              </w:numPr>
              <w:spacing w:before="60" w:after="60" w:line="240" w:lineRule="auto"/>
              <w:ind w:left="170" w:hanging="170"/>
              <w:rPr>
                <w:rFonts w:ascii="Arial" w:hAnsi="Arial" w:cs="Arial"/>
                <w:sz w:val="16"/>
                <w:szCs w:val="16"/>
              </w:rPr>
            </w:pPr>
            <w:r w:rsidRPr="00B94E5D">
              <w:rPr>
                <w:rFonts w:ascii="Arial" w:hAnsi="Arial" w:cs="Arial"/>
                <w:sz w:val="16"/>
                <w:szCs w:val="16"/>
              </w:rPr>
              <w:t>Classification Board</w:t>
            </w:r>
          </w:p>
          <w:p w14:paraId="36D4C6E1" w14:textId="77777777" w:rsidR="001447A0" w:rsidRPr="00B94E5D" w:rsidRDefault="001447A0" w:rsidP="00F10ACD">
            <w:pPr>
              <w:pStyle w:val="ListParagraph"/>
              <w:numPr>
                <w:ilvl w:val="0"/>
                <w:numId w:val="30"/>
              </w:numPr>
              <w:spacing w:before="60" w:after="60" w:line="240" w:lineRule="auto"/>
              <w:ind w:left="170" w:hanging="170"/>
              <w:rPr>
                <w:rFonts w:ascii="Arial" w:hAnsi="Arial" w:cs="Arial"/>
                <w:sz w:val="16"/>
                <w:szCs w:val="16"/>
              </w:rPr>
            </w:pPr>
            <w:r w:rsidRPr="00B94E5D">
              <w:rPr>
                <w:rFonts w:ascii="Arial" w:hAnsi="Arial" w:cs="Arial"/>
                <w:sz w:val="16"/>
                <w:szCs w:val="16"/>
              </w:rPr>
              <w:t>Classification Review Board</w:t>
            </w:r>
          </w:p>
        </w:tc>
        <w:tc>
          <w:tcPr>
            <w:tcW w:w="3419" w:type="dxa"/>
            <w:tcBorders>
              <w:top w:val="nil"/>
              <w:left w:val="single" w:sz="4" w:space="0" w:color="auto"/>
              <w:bottom w:val="nil"/>
            </w:tcBorders>
          </w:tcPr>
          <w:p w14:paraId="1BDE7DB5" w14:textId="77777777" w:rsidR="001447A0" w:rsidRPr="00B94E5D" w:rsidRDefault="001447A0" w:rsidP="00062FA6">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No target. Decision-making is based on industry demand</w:t>
            </w:r>
          </w:p>
        </w:tc>
      </w:tr>
      <w:tr w:rsidR="001447A0" w:rsidRPr="00B94E5D" w14:paraId="48A43882" w14:textId="77777777" w:rsidTr="0056206E">
        <w:trPr>
          <w:cantSplit/>
        </w:trPr>
        <w:tc>
          <w:tcPr>
            <w:tcW w:w="1694" w:type="dxa"/>
            <w:tcBorders>
              <w:top w:val="nil"/>
              <w:bottom w:val="nil"/>
              <w:right w:val="single" w:sz="4" w:space="0" w:color="auto"/>
            </w:tcBorders>
          </w:tcPr>
          <w:p w14:paraId="4A42A4CF" w14:textId="77777777" w:rsidR="001447A0" w:rsidRPr="00B94E5D" w:rsidRDefault="001447A0" w:rsidP="00062FA6">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79B9846B" w14:textId="77777777" w:rsidR="001447A0" w:rsidRPr="00B94E5D" w:rsidRDefault="001447A0" w:rsidP="00062FA6">
            <w:pPr>
              <w:tabs>
                <w:tab w:val="left" w:pos="709"/>
              </w:tabs>
              <w:spacing w:before="60" w:after="60" w:line="240" w:lineRule="auto"/>
              <w:jc w:val="left"/>
              <w:rPr>
                <w:rFonts w:ascii="Arial" w:hAnsi="Arial" w:cs="Arial"/>
                <w:i/>
                <w:sz w:val="16"/>
                <w:szCs w:val="16"/>
              </w:rPr>
            </w:pPr>
            <w:r w:rsidRPr="00B94E5D">
              <w:rPr>
                <w:rFonts w:ascii="Arial" w:hAnsi="Arial" w:cs="Arial"/>
                <w:sz w:val="16"/>
                <w:szCs w:val="16"/>
              </w:rPr>
              <w:t>Provide oversight of NBN Co</w:t>
            </w:r>
          </w:p>
        </w:tc>
        <w:tc>
          <w:tcPr>
            <w:tcW w:w="3419" w:type="dxa"/>
            <w:tcBorders>
              <w:top w:val="nil"/>
              <w:left w:val="single" w:sz="4" w:space="0" w:color="auto"/>
              <w:bottom w:val="nil"/>
            </w:tcBorders>
          </w:tcPr>
          <w:p w14:paraId="5D19FA4D" w14:textId="77777777" w:rsidR="001447A0" w:rsidRPr="00B94E5D" w:rsidRDefault="001447A0" w:rsidP="00062FA6">
            <w:pPr>
              <w:tabs>
                <w:tab w:val="left" w:pos="709"/>
              </w:tabs>
              <w:spacing w:before="60" w:after="60" w:line="240" w:lineRule="auto"/>
              <w:jc w:val="left"/>
              <w:rPr>
                <w:rFonts w:ascii="Arial" w:hAnsi="Arial" w:cs="Arial"/>
                <w:i/>
                <w:sz w:val="16"/>
                <w:szCs w:val="16"/>
              </w:rPr>
            </w:pPr>
            <w:r w:rsidRPr="00B94E5D">
              <w:rPr>
                <w:rFonts w:ascii="Arial" w:hAnsi="Arial" w:cs="Arial"/>
                <w:b/>
                <w:sz w:val="16"/>
                <w:szCs w:val="16"/>
              </w:rPr>
              <w:t xml:space="preserve">2021–22 and beyond: </w:t>
            </w:r>
            <w:r w:rsidRPr="00B94E5D">
              <w:rPr>
                <w:rFonts w:ascii="Arial" w:hAnsi="Arial" w:cs="Arial"/>
                <w:sz w:val="16"/>
                <w:szCs w:val="16"/>
              </w:rPr>
              <w:t xml:space="preserve">In the financial year, we assess NBN </w:t>
            </w:r>
            <w:proofErr w:type="spellStart"/>
            <w:r w:rsidRPr="00B94E5D">
              <w:rPr>
                <w:rFonts w:ascii="Arial" w:hAnsi="Arial" w:cs="Arial"/>
                <w:sz w:val="16"/>
                <w:szCs w:val="16"/>
              </w:rPr>
              <w:t>Co’s</w:t>
            </w:r>
            <w:proofErr w:type="spellEnd"/>
            <w:r w:rsidRPr="00B94E5D">
              <w:rPr>
                <w:rFonts w:ascii="Arial" w:hAnsi="Arial" w:cs="Arial"/>
                <w:sz w:val="16"/>
                <w:szCs w:val="16"/>
              </w:rPr>
              <w:t xml:space="preserve"> corporate plan and monitor the company to ensure it is acting consistently with policy objective outlined in the Statement of Expectations</w:t>
            </w:r>
          </w:p>
        </w:tc>
      </w:tr>
      <w:tr w:rsidR="001447A0" w:rsidRPr="00B94E5D" w14:paraId="10A936CC" w14:textId="77777777" w:rsidTr="0056206E">
        <w:trPr>
          <w:cantSplit/>
        </w:trPr>
        <w:tc>
          <w:tcPr>
            <w:tcW w:w="1694" w:type="dxa"/>
            <w:tcBorders>
              <w:top w:val="nil"/>
              <w:bottom w:val="nil"/>
              <w:right w:val="single" w:sz="4" w:space="0" w:color="auto"/>
            </w:tcBorders>
          </w:tcPr>
          <w:p w14:paraId="5F18B994" w14:textId="72470946" w:rsidR="001447A0" w:rsidRPr="00B94E5D" w:rsidRDefault="001447A0" w:rsidP="00783B95">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52944140" w14:textId="77777777" w:rsidR="001447A0" w:rsidRPr="00B94E5D" w:rsidRDefault="001447A0" w:rsidP="00783B95">
            <w:pPr>
              <w:tabs>
                <w:tab w:val="left" w:pos="709"/>
              </w:tabs>
              <w:spacing w:before="60" w:after="60" w:line="240" w:lineRule="auto"/>
              <w:jc w:val="left"/>
              <w:rPr>
                <w:rFonts w:ascii="Arial" w:hAnsi="Arial" w:cs="Arial"/>
                <w:i/>
                <w:sz w:val="16"/>
                <w:szCs w:val="16"/>
              </w:rPr>
            </w:pPr>
            <w:r w:rsidRPr="00B94E5D">
              <w:rPr>
                <w:rFonts w:ascii="Arial" w:hAnsi="Arial" w:cs="Arial"/>
                <w:sz w:val="16"/>
                <w:szCs w:val="16"/>
              </w:rPr>
              <w:t>NBN Co Loan interest payments and principal repayments</w:t>
            </w:r>
          </w:p>
        </w:tc>
        <w:tc>
          <w:tcPr>
            <w:tcW w:w="3419" w:type="dxa"/>
            <w:tcBorders>
              <w:top w:val="nil"/>
              <w:left w:val="single" w:sz="4" w:space="0" w:color="auto"/>
              <w:bottom w:val="nil"/>
            </w:tcBorders>
          </w:tcPr>
          <w:p w14:paraId="1C980FF7" w14:textId="77777777" w:rsidR="001447A0" w:rsidRPr="00B94E5D" w:rsidRDefault="001447A0" w:rsidP="00783B95">
            <w:pPr>
              <w:tabs>
                <w:tab w:val="left" w:pos="709"/>
              </w:tabs>
              <w:spacing w:before="60" w:after="60" w:line="240" w:lineRule="auto"/>
              <w:jc w:val="left"/>
              <w:rPr>
                <w:rFonts w:ascii="Arial" w:hAnsi="Arial" w:cs="Arial"/>
                <w:i/>
                <w:sz w:val="16"/>
                <w:szCs w:val="16"/>
              </w:rPr>
            </w:pPr>
            <w:r w:rsidRPr="00B94E5D">
              <w:rPr>
                <w:rFonts w:ascii="Arial" w:hAnsi="Arial" w:cs="Arial"/>
                <w:b/>
                <w:sz w:val="16"/>
                <w:szCs w:val="16"/>
              </w:rPr>
              <w:t xml:space="preserve">2021–22 and beyond: </w:t>
            </w:r>
            <w:r w:rsidRPr="00B94E5D">
              <w:rPr>
                <w:rFonts w:ascii="Arial" w:hAnsi="Arial" w:cs="Arial"/>
                <w:sz w:val="16"/>
                <w:szCs w:val="16"/>
              </w:rPr>
              <w:t>In financial year, NBN Co interest payments and principal repayments are made in accordance with the terms in the Loan Agreement</w:t>
            </w:r>
          </w:p>
        </w:tc>
      </w:tr>
      <w:tr w:rsidR="001447A0" w:rsidRPr="00B94E5D" w14:paraId="7D186CF5" w14:textId="77777777" w:rsidTr="0056206E">
        <w:trPr>
          <w:cantSplit/>
        </w:trPr>
        <w:tc>
          <w:tcPr>
            <w:tcW w:w="1694" w:type="dxa"/>
            <w:tcBorders>
              <w:top w:val="nil"/>
              <w:bottom w:val="single" w:sz="4" w:space="0" w:color="auto"/>
              <w:right w:val="single" w:sz="4" w:space="0" w:color="auto"/>
            </w:tcBorders>
          </w:tcPr>
          <w:p w14:paraId="46A7EF33" w14:textId="77777777" w:rsidR="001447A0" w:rsidRPr="00B94E5D" w:rsidRDefault="001447A0" w:rsidP="00783B95">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single" w:sz="4" w:space="0" w:color="auto"/>
              <w:right w:val="single" w:sz="4" w:space="0" w:color="auto"/>
            </w:tcBorders>
          </w:tcPr>
          <w:p w14:paraId="33904F1F" w14:textId="77777777" w:rsidR="001447A0" w:rsidRPr="00B94E5D" w:rsidRDefault="001447A0" w:rsidP="00783B95">
            <w:pPr>
              <w:tabs>
                <w:tab w:val="left" w:pos="709"/>
              </w:tabs>
              <w:spacing w:before="60" w:after="60" w:line="240" w:lineRule="auto"/>
              <w:jc w:val="left"/>
              <w:rPr>
                <w:rFonts w:ascii="Arial" w:hAnsi="Arial" w:cs="Arial"/>
                <w:i/>
                <w:sz w:val="16"/>
                <w:szCs w:val="16"/>
              </w:rPr>
            </w:pPr>
            <w:r w:rsidRPr="00B94E5D">
              <w:rPr>
                <w:rFonts w:ascii="Arial" w:hAnsi="Arial" w:cs="Arial"/>
                <w:sz w:val="16"/>
                <w:szCs w:val="16"/>
              </w:rPr>
              <w:t>Funds administered as part of the Regional Broadband Scheme (RBS) are distributed</w:t>
            </w:r>
          </w:p>
        </w:tc>
        <w:tc>
          <w:tcPr>
            <w:tcW w:w="3419" w:type="dxa"/>
            <w:tcBorders>
              <w:top w:val="nil"/>
              <w:left w:val="single" w:sz="4" w:space="0" w:color="auto"/>
              <w:bottom w:val="single" w:sz="4" w:space="0" w:color="auto"/>
            </w:tcBorders>
          </w:tcPr>
          <w:p w14:paraId="423818B3" w14:textId="77777777" w:rsidR="001447A0" w:rsidRPr="00B94E5D" w:rsidRDefault="001447A0" w:rsidP="00783B95">
            <w:pPr>
              <w:tabs>
                <w:tab w:val="left" w:pos="709"/>
              </w:tabs>
              <w:spacing w:before="60" w:after="60" w:line="240" w:lineRule="auto"/>
              <w:jc w:val="left"/>
              <w:rPr>
                <w:rFonts w:ascii="Arial" w:hAnsi="Arial" w:cs="Arial"/>
                <w:i/>
                <w:sz w:val="16"/>
                <w:szCs w:val="16"/>
              </w:rPr>
            </w:pPr>
            <w:r w:rsidRPr="00B94E5D">
              <w:rPr>
                <w:rFonts w:ascii="Arial" w:hAnsi="Arial" w:cs="Arial"/>
                <w:b/>
                <w:sz w:val="16"/>
                <w:szCs w:val="16"/>
              </w:rPr>
              <w:t xml:space="preserve">2021–22 and beyond: </w:t>
            </w:r>
            <w:r w:rsidRPr="00B94E5D">
              <w:rPr>
                <w:rFonts w:ascii="Arial" w:hAnsi="Arial" w:cs="Arial"/>
                <w:sz w:val="16"/>
                <w:szCs w:val="16"/>
              </w:rPr>
              <w:t>In financial year, funds are distributed in line with legislative requirements</w:t>
            </w:r>
          </w:p>
        </w:tc>
      </w:tr>
      <w:tr w:rsidR="002048D9" w:rsidRPr="00B94E5D" w14:paraId="14FBA993" w14:textId="77777777" w:rsidTr="0056206E">
        <w:trPr>
          <w:cantSplit/>
        </w:trPr>
        <w:tc>
          <w:tcPr>
            <w:tcW w:w="1694" w:type="dxa"/>
            <w:tcBorders>
              <w:top w:val="single" w:sz="4" w:space="0" w:color="auto"/>
              <w:bottom w:val="nil"/>
              <w:right w:val="single" w:sz="4" w:space="0" w:color="auto"/>
            </w:tcBorders>
          </w:tcPr>
          <w:p w14:paraId="2D18DC5B" w14:textId="563CFA26"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lastRenderedPageBreak/>
              <w:t>2021-22 and beyond</w:t>
            </w:r>
            <w:r>
              <w:rPr>
                <w:rFonts w:ascii="Arial" w:hAnsi="Arial" w:cs="Arial"/>
                <w:sz w:val="16"/>
                <w:szCs w:val="16"/>
              </w:rPr>
              <w:t xml:space="preserve"> (continued)</w:t>
            </w:r>
          </w:p>
        </w:tc>
        <w:tc>
          <w:tcPr>
            <w:tcW w:w="2412" w:type="dxa"/>
            <w:tcBorders>
              <w:top w:val="single" w:sz="4" w:space="0" w:color="auto"/>
              <w:left w:val="single" w:sz="4" w:space="0" w:color="auto"/>
              <w:bottom w:val="nil"/>
              <w:right w:val="single" w:sz="4" w:space="0" w:color="auto"/>
            </w:tcBorders>
          </w:tcPr>
          <w:p w14:paraId="2DCA5185" w14:textId="77777777" w:rsidR="002048D9" w:rsidRPr="00B94E5D" w:rsidRDefault="002048D9" w:rsidP="002048D9">
            <w:pPr>
              <w:tabs>
                <w:tab w:val="left" w:pos="709"/>
              </w:tabs>
              <w:spacing w:before="60" w:after="60" w:line="240" w:lineRule="auto"/>
              <w:jc w:val="left"/>
              <w:rPr>
                <w:rFonts w:ascii="Arial" w:hAnsi="Arial" w:cs="Arial"/>
                <w:i/>
                <w:sz w:val="16"/>
                <w:szCs w:val="16"/>
              </w:rPr>
            </w:pPr>
            <w:r w:rsidRPr="00B94E5D">
              <w:rPr>
                <w:rFonts w:ascii="Arial" w:hAnsi="Arial" w:cs="Arial"/>
                <w:sz w:val="16"/>
                <w:szCs w:val="16"/>
              </w:rPr>
              <w:t>Effectiveness of international engagement on communications matters</w:t>
            </w:r>
          </w:p>
        </w:tc>
        <w:tc>
          <w:tcPr>
            <w:tcW w:w="3419" w:type="dxa"/>
            <w:tcBorders>
              <w:top w:val="single" w:sz="4" w:space="0" w:color="auto"/>
              <w:left w:val="single" w:sz="4" w:space="0" w:color="auto"/>
              <w:bottom w:val="nil"/>
            </w:tcBorders>
          </w:tcPr>
          <w:p w14:paraId="45A63994" w14:textId="77777777" w:rsidR="002048D9" w:rsidRPr="00B94E5D" w:rsidRDefault="002048D9" w:rsidP="002048D9">
            <w:pPr>
              <w:tabs>
                <w:tab w:val="left" w:pos="709"/>
              </w:tabs>
              <w:spacing w:before="60" w:after="60" w:line="240" w:lineRule="auto"/>
              <w:jc w:val="left"/>
              <w:rPr>
                <w:rFonts w:ascii="Arial" w:hAnsi="Arial" w:cs="Arial"/>
                <w:i/>
                <w:sz w:val="16"/>
                <w:szCs w:val="16"/>
              </w:rPr>
            </w:pPr>
            <w:r w:rsidRPr="00B94E5D">
              <w:rPr>
                <w:rFonts w:ascii="Arial" w:hAnsi="Arial" w:cs="Arial"/>
                <w:b/>
                <w:sz w:val="16"/>
                <w:szCs w:val="16"/>
              </w:rPr>
              <w:t xml:space="preserve">2021–22 and beyond: </w:t>
            </w:r>
            <w:r w:rsidRPr="00B94E5D">
              <w:rPr>
                <w:rFonts w:ascii="Arial" w:hAnsi="Arial" w:cs="Arial"/>
                <w:sz w:val="16"/>
                <w:szCs w:val="16"/>
              </w:rPr>
              <w:t>In financial year, outcomes achieved in line with the negotiation mandate agreed by the Australian Government</w:t>
            </w:r>
          </w:p>
        </w:tc>
      </w:tr>
      <w:tr w:rsidR="002048D9" w:rsidRPr="00B94E5D" w14:paraId="6005F6AA" w14:textId="77777777" w:rsidTr="0056206E">
        <w:trPr>
          <w:cantSplit/>
        </w:trPr>
        <w:tc>
          <w:tcPr>
            <w:tcW w:w="1694" w:type="dxa"/>
            <w:tcBorders>
              <w:top w:val="nil"/>
              <w:bottom w:val="nil"/>
              <w:right w:val="single" w:sz="4" w:space="0" w:color="auto"/>
            </w:tcBorders>
          </w:tcPr>
          <w:p w14:paraId="15A538D5"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7E820157" w14:textId="77777777" w:rsidR="002048D9" w:rsidRPr="00B94E5D" w:rsidRDefault="002048D9" w:rsidP="002048D9">
            <w:pPr>
              <w:tabs>
                <w:tab w:val="left" w:pos="709"/>
              </w:tabs>
              <w:spacing w:before="60" w:after="60" w:line="240" w:lineRule="auto"/>
              <w:jc w:val="left"/>
              <w:rPr>
                <w:rFonts w:ascii="Arial" w:hAnsi="Arial" w:cs="Arial"/>
                <w:i/>
                <w:sz w:val="16"/>
                <w:szCs w:val="16"/>
              </w:rPr>
            </w:pPr>
            <w:r w:rsidRPr="00B94E5D">
              <w:rPr>
                <w:rFonts w:ascii="Arial" w:hAnsi="Arial" w:cs="Arial"/>
                <w:sz w:val="16"/>
                <w:szCs w:val="16"/>
              </w:rPr>
              <w:t>Percentage of Community Service Obligations (CSOs) met by Australia Post</w:t>
            </w:r>
          </w:p>
        </w:tc>
        <w:tc>
          <w:tcPr>
            <w:tcW w:w="3419" w:type="dxa"/>
            <w:tcBorders>
              <w:top w:val="nil"/>
              <w:left w:val="single" w:sz="4" w:space="0" w:color="auto"/>
              <w:bottom w:val="nil"/>
            </w:tcBorders>
          </w:tcPr>
          <w:p w14:paraId="5C7A6F20" w14:textId="77777777" w:rsidR="002048D9" w:rsidRPr="00B94E5D" w:rsidRDefault="002048D9" w:rsidP="002048D9">
            <w:pPr>
              <w:tabs>
                <w:tab w:val="left" w:pos="709"/>
              </w:tabs>
              <w:spacing w:before="60" w:after="60" w:line="240" w:lineRule="auto"/>
              <w:jc w:val="left"/>
              <w:rPr>
                <w:rFonts w:ascii="Arial" w:hAnsi="Arial" w:cs="Arial"/>
                <w:i/>
                <w:sz w:val="16"/>
                <w:szCs w:val="16"/>
              </w:rPr>
            </w:pPr>
            <w:r w:rsidRPr="00B94E5D">
              <w:rPr>
                <w:rFonts w:ascii="Arial" w:hAnsi="Arial" w:cs="Arial"/>
                <w:b/>
                <w:sz w:val="16"/>
                <w:szCs w:val="16"/>
              </w:rPr>
              <w:t xml:space="preserve">2021–22 and beyond: </w:t>
            </w:r>
            <w:r w:rsidRPr="00B94E5D">
              <w:rPr>
                <w:rFonts w:ascii="Arial" w:hAnsi="Arial" w:cs="Arial"/>
                <w:sz w:val="16"/>
                <w:szCs w:val="16"/>
              </w:rPr>
              <w:t xml:space="preserve">Reporting in financial year shows </w:t>
            </w:r>
            <w:r>
              <w:rPr>
                <w:rFonts w:ascii="Arial" w:hAnsi="Arial" w:cs="Arial"/>
                <w:sz w:val="16"/>
                <w:szCs w:val="16"/>
              </w:rPr>
              <w:t>Australia Post met or exceeded all prescribed Performance standards</w:t>
            </w:r>
          </w:p>
        </w:tc>
      </w:tr>
      <w:tr w:rsidR="002048D9" w:rsidRPr="00B94E5D" w14:paraId="3F77D7FF" w14:textId="77777777" w:rsidTr="0056206E">
        <w:trPr>
          <w:cantSplit/>
        </w:trPr>
        <w:tc>
          <w:tcPr>
            <w:tcW w:w="1694" w:type="dxa"/>
            <w:tcBorders>
              <w:top w:val="nil"/>
              <w:bottom w:val="nil"/>
              <w:right w:val="single" w:sz="4" w:space="0" w:color="auto"/>
            </w:tcBorders>
          </w:tcPr>
          <w:p w14:paraId="5FD4C201"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00238FF0" w14:textId="77777777" w:rsidR="002048D9" w:rsidRPr="00B94E5D" w:rsidRDefault="002048D9" w:rsidP="002048D9">
            <w:pPr>
              <w:tabs>
                <w:tab w:val="left" w:pos="709"/>
              </w:tabs>
              <w:spacing w:before="60" w:after="60" w:line="240" w:lineRule="auto"/>
              <w:jc w:val="left"/>
              <w:rPr>
                <w:rFonts w:ascii="Arial" w:hAnsi="Arial" w:cs="Arial"/>
                <w:i/>
                <w:sz w:val="16"/>
                <w:szCs w:val="16"/>
              </w:rPr>
            </w:pPr>
            <w:r w:rsidRPr="00B94E5D">
              <w:rPr>
                <w:rFonts w:ascii="Arial" w:hAnsi="Arial" w:cs="Arial"/>
                <w:sz w:val="16"/>
                <w:szCs w:val="16"/>
              </w:rPr>
              <w:t>Percentage of telecommunications Universal Service Obligation (USO) targets met by Telstra</w:t>
            </w:r>
          </w:p>
        </w:tc>
        <w:tc>
          <w:tcPr>
            <w:tcW w:w="3419" w:type="dxa"/>
            <w:tcBorders>
              <w:top w:val="nil"/>
              <w:left w:val="single" w:sz="4" w:space="0" w:color="auto"/>
              <w:bottom w:val="nil"/>
            </w:tcBorders>
          </w:tcPr>
          <w:p w14:paraId="6F55890E" w14:textId="77777777" w:rsidR="002048D9" w:rsidRPr="00B94E5D" w:rsidRDefault="002048D9" w:rsidP="002048D9">
            <w:pPr>
              <w:tabs>
                <w:tab w:val="left" w:pos="709"/>
              </w:tabs>
              <w:spacing w:before="60" w:after="60" w:line="240" w:lineRule="auto"/>
              <w:jc w:val="left"/>
              <w:rPr>
                <w:rFonts w:ascii="Arial" w:hAnsi="Arial" w:cs="Arial"/>
                <w:i/>
                <w:sz w:val="16"/>
                <w:szCs w:val="16"/>
              </w:rPr>
            </w:pPr>
            <w:r w:rsidRPr="00B94E5D">
              <w:rPr>
                <w:rFonts w:ascii="Arial" w:hAnsi="Arial" w:cs="Arial"/>
                <w:b/>
                <w:sz w:val="16"/>
                <w:szCs w:val="16"/>
              </w:rPr>
              <w:t xml:space="preserve">2021–22 and beyond: </w:t>
            </w:r>
            <w:r w:rsidRPr="00B94E5D">
              <w:rPr>
                <w:rFonts w:ascii="Arial" w:hAnsi="Arial" w:cs="Arial"/>
                <w:sz w:val="16"/>
                <w:szCs w:val="16"/>
              </w:rPr>
              <w:t>Reporting in financial year shows 100% targets met</w:t>
            </w:r>
          </w:p>
        </w:tc>
      </w:tr>
      <w:tr w:rsidR="002048D9" w:rsidRPr="00B94E5D" w14:paraId="59A81AFE" w14:textId="77777777" w:rsidTr="0056206E">
        <w:trPr>
          <w:cantSplit/>
        </w:trPr>
        <w:tc>
          <w:tcPr>
            <w:tcW w:w="1694" w:type="dxa"/>
            <w:tcBorders>
              <w:top w:val="nil"/>
              <w:bottom w:val="nil"/>
              <w:right w:val="single" w:sz="4" w:space="0" w:color="auto"/>
            </w:tcBorders>
          </w:tcPr>
          <w:p w14:paraId="73A627E0"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4854BF33" w14:textId="77777777" w:rsidR="002048D9" w:rsidRPr="00B94E5D" w:rsidRDefault="002048D9" w:rsidP="002048D9">
            <w:pPr>
              <w:tabs>
                <w:tab w:val="left" w:pos="709"/>
              </w:tabs>
              <w:spacing w:before="60" w:after="60" w:line="240" w:lineRule="auto"/>
              <w:jc w:val="left"/>
              <w:rPr>
                <w:rFonts w:ascii="Arial" w:hAnsi="Arial" w:cs="Arial"/>
                <w:i/>
                <w:sz w:val="16"/>
                <w:szCs w:val="16"/>
              </w:rPr>
            </w:pPr>
            <w:r w:rsidRPr="00B94E5D">
              <w:rPr>
                <w:rFonts w:ascii="Arial" w:hAnsi="Arial" w:cs="Arial"/>
                <w:sz w:val="16"/>
                <w:szCs w:val="16"/>
              </w:rPr>
              <w:t>Percentage of contractual arrangements for the Triple Zero Emergency Call Service delivered by Telstra</w:t>
            </w:r>
          </w:p>
        </w:tc>
        <w:tc>
          <w:tcPr>
            <w:tcW w:w="3419" w:type="dxa"/>
            <w:tcBorders>
              <w:top w:val="nil"/>
              <w:left w:val="single" w:sz="4" w:space="0" w:color="auto"/>
              <w:bottom w:val="nil"/>
            </w:tcBorders>
          </w:tcPr>
          <w:p w14:paraId="7637E70F" w14:textId="77777777" w:rsidR="002048D9" w:rsidRPr="00B94E5D" w:rsidRDefault="002048D9" w:rsidP="002048D9">
            <w:pPr>
              <w:tabs>
                <w:tab w:val="left" w:pos="709"/>
              </w:tabs>
              <w:spacing w:before="60" w:after="60" w:line="240" w:lineRule="auto"/>
              <w:jc w:val="left"/>
              <w:rPr>
                <w:rFonts w:ascii="Arial" w:hAnsi="Arial" w:cs="Arial"/>
                <w:i/>
                <w:sz w:val="16"/>
                <w:szCs w:val="16"/>
              </w:rPr>
            </w:pPr>
            <w:r w:rsidRPr="00B94E5D">
              <w:rPr>
                <w:rFonts w:ascii="Arial" w:hAnsi="Arial" w:cs="Arial"/>
                <w:b/>
                <w:sz w:val="16"/>
                <w:szCs w:val="16"/>
              </w:rPr>
              <w:t xml:space="preserve">2021–22 and beyond: </w:t>
            </w:r>
            <w:r w:rsidRPr="00B94E5D">
              <w:rPr>
                <w:rFonts w:ascii="Arial" w:hAnsi="Arial" w:cs="Arial"/>
                <w:sz w:val="16"/>
                <w:szCs w:val="16"/>
              </w:rPr>
              <w:t>Reporting in financial year shows 100% contractual arrangements delivered</w:t>
            </w:r>
          </w:p>
        </w:tc>
      </w:tr>
      <w:tr w:rsidR="002048D9" w:rsidRPr="00B94E5D" w14:paraId="69711E65" w14:textId="77777777" w:rsidTr="0056206E">
        <w:trPr>
          <w:cantSplit/>
        </w:trPr>
        <w:tc>
          <w:tcPr>
            <w:tcW w:w="1694" w:type="dxa"/>
            <w:tcBorders>
              <w:top w:val="nil"/>
              <w:bottom w:val="nil"/>
              <w:right w:val="single" w:sz="4" w:space="0" w:color="auto"/>
            </w:tcBorders>
          </w:tcPr>
          <w:p w14:paraId="21205585"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707DA196"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Amount of new and improved mobile coverage delivered in regions under the Mobile Black Spot Program</w:t>
            </w:r>
          </w:p>
        </w:tc>
        <w:tc>
          <w:tcPr>
            <w:tcW w:w="3419" w:type="dxa"/>
            <w:tcBorders>
              <w:top w:val="nil"/>
              <w:left w:val="single" w:sz="4" w:space="0" w:color="auto"/>
              <w:bottom w:val="nil"/>
            </w:tcBorders>
          </w:tcPr>
          <w:p w14:paraId="1EACE244"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≥90% of total contracted (predictive) coverage is delivered through new assets, for which asset completion reports are received in financial year</w:t>
            </w:r>
          </w:p>
        </w:tc>
      </w:tr>
      <w:tr w:rsidR="002048D9" w:rsidRPr="00B94E5D" w14:paraId="7AC214EB" w14:textId="77777777" w:rsidTr="0056206E">
        <w:trPr>
          <w:cantSplit/>
        </w:trPr>
        <w:tc>
          <w:tcPr>
            <w:tcW w:w="1694" w:type="dxa"/>
            <w:tcBorders>
              <w:top w:val="nil"/>
              <w:bottom w:val="nil"/>
              <w:right w:val="single" w:sz="4" w:space="0" w:color="auto"/>
            </w:tcBorders>
          </w:tcPr>
          <w:p w14:paraId="33A804C6"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4FCBF1FA"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Access to Viewer Access Satellite Television (VAST), for viewers in terrestrial blackspots, to receive direct-to-home free to air television safety net services</w:t>
            </w:r>
          </w:p>
        </w:tc>
        <w:tc>
          <w:tcPr>
            <w:tcW w:w="3419" w:type="dxa"/>
            <w:tcBorders>
              <w:top w:val="nil"/>
              <w:left w:val="single" w:sz="4" w:space="0" w:color="auto"/>
              <w:bottom w:val="nil"/>
            </w:tcBorders>
          </w:tcPr>
          <w:p w14:paraId="5E0ED9B0"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In financial year, access maintained for ≥210,000 households</w:t>
            </w:r>
          </w:p>
        </w:tc>
      </w:tr>
      <w:tr w:rsidR="002048D9" w:rsidRPr="00B94E5D" w14:paraId="7099836C" w14:textId="77777777" w:rsidTr="0056206E">
        <w:trPr>
          <w:cantSplit/>
        </w:trPr>
        <w:tc>
          <w:tcPr>
            <w:tcW w:w="1694" w:type="dxa"/>
            <w:tcBorders>
              <w:top w:val="nil"/>
              <w:bottom w:val="nil"/>
              <w:right w:val="single" w:sz="4" w:space="0" w:color="auto"/>
            </w:tcBorders>
          </w:tcPr>
          <w:p w14:paraId="02A96F5D"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3921FD28"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Number of online safety complaints by type, and percentage change</w:t>
            </w:r>
          </w:p>
        </w:tc>
        <w:tc>
          <w:tcPr>
            <w:tcW w:w="3419" w:type="dxa"/>
            <w:tcBorders>
              <w:top w:val="nil"/>
              <w:left w:val="single" w:sz="4" w:space="0" w:color="auto"/>
              <w:bottom w:val="nil"/>
            </w:tcBorders>
          </w:tcPr>
          <w:p w14:paraId="67F9AE1D"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No target. Annual target-setting not appropriate, results sought are long term</w:t>
            </w:r>
            <w:r>
              <w:rPr>
                <w:rFonts w:ascii="Arial" w:hAnsi="Arial" w:cs="Arial"/>
                <w:sz w:val="16"/>
                <w:szCs w:val="16"/>
              </w:rPr>
              <w:t>.</w:t>
            </w:r>
          </w:p>
        </w:tc>
      </w:tr>
      <w:tr w:rsidR="002048D9" w:rsidRPr="00B94E5D" w14:paraId="206008C0" w14:textId="77777777" w:rsidTr="0056206E">
        <w:trPr>
          <w:cantSplit/>
        </w:trPr>
        <w:tc>
          <w:tcPr>
            <w:tcW w:w="1694" w:type="dxa"/>
            <w:tcBorders>
              <w:top w:val="nil"/>
              <w:bottom w:val="nil"/>
              <w:right w:val="single" w:sz="4" w:space="0" w:color="auto"/>
            </w:tcBorders>
          </w:tcPr>
          <w:p w14:paraId="4C53ADDC" w14:textId="1980F991"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4141B2DA"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Effectiveness of the current Australian content framework, indicated through:</w:t>
            </w:r>
          </w:p>
          <w:p w14:paraId="10773E8C" w14:textId="77777777" w:rsidR="002048D9" w:rsidRPr="00B94E5D" w:rsidRDefault="002048D9" w:rsidP="00F10ACD">
            <w:pPr>
              <w:pStyle w:val="ListParagraph"/>
              <w:numPr>
                <w:ilvl w:val="0"/>
                <w:numId w:val="31"/>
              </w:numPr>
              <w:spacing w:before="60" w:after="60" w:line="240" w:lineRule="auto"/>
              <w:ind w:left="170" w:hanging="170"/>
              <w:rPr>
                <w:rFonts w:ascii="Arial" w:hAnsi="Arial" w:cs="Arial"/>
                <w:sz w:val="16"/>
                <w:szCs w:val="16"/>
              </w:rPr>
            </w:pPr>
            <w:r w:rsidRPr="00B94E5D">
              <w:rPr>
                <w:rFonts w:ascii="Arial" w:hAnsi="Arial" w:cs="Arial"/>
                <w:sz w:val="16"/>
                <w:szCs w:val="16"/>
              </w:rPr>
              <w:t>Australian content quota compliance</w:t>
            </w:r>
          </w:p>
          <w:p w14:paraId="49A7432C" w14:textId="77777777" w:rsidR="002048D9" w:rsidRPr="00B94E5D" w:rsidRDefault="002048D9" w:rsidP="00F10ACD">
            <w:pPr>
              <w:pStyle w:val="ListParagraph"/>
              <w:numPr>
                <w:ilvl w:val="0"/>
                <w:numId w:val="31"/>
              </w:numPr>
              <w:spacing w:before="60" w:after="60" w:line="240" w:lineRule="auto"/>
              <w:ind w:left="170" w:hanging="170"/>
              <w:rPr>
                <w:rFonts w:ascii="Arial" w:hAnsi="Arial" w:cs="Arial"/>
                <w:sz w:val="16"/>
                <w:szCs w:val="16"/>
              </w:rPr>
            </w:pPr>
            <w:r w:rsidRPr="00B94E5D">
              <w:rPr>
                <w:rFonts w:ascii="Arial" w:hAnsi="Arial" w:cs="Arial"/>
                <w:sz w:val="16"/>
                <w:szCs w:val="16"/>
              </w:rPr>
              <w:t>the existence of public data on Australian content available on streaming video on demand services</w:t>
            </w:r>
          </w:p>
        </w:tc>
        <w:tc>
          <w:tcPr>
            <w:tcW w:w="3419" w:type="dxa"/>
            <w:tcBorders>
              <w:top w:val="nil"/>
              <w:left w:val="single" w:sz="4" w:space="0" w:color="auto"/>
              <w:bottom w:val="nil"/>
            </w:tcBorders>
          </w:tcPr>
          <w:p w14:paraId="30C8BF4F"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No target. Annual target-setting not appropriate, results sought are long term</w:t>
            </w:r>
            <w:r>
              <w:rPr>
                <w:rFonts w:ascii="Arial" w:hAnsi="Arial" w:cs="Arial"/>
                <w:sz w:val="16"/>
                <w:szCs w:val="16"/>
              </w:rPr>
              <w:t>.</w:t>
            </w:r>
          </w:p>
        </w:tc>
      </w:tr>
      <w:tr w:rsidR="002048D9" w:rsidRPr="00B94E5D" w14:paraId="481AFA7B" w14:textId="77777777" w:rsidTr="0056206E">
        <w:trPr>
          <w:cantSplit/>
        </w:trPr>
        <w:tc>
          <w:tcPr>
            <w:tcW w:w="1694" w:type="dxa"/>
            <w:tcBorders>
              <w:top w:val="nil"/>
              <w:bottom w:val="nil"/>
              <w:right w:val="single" w:sz="4" w:space="0" w:color="auto"/>
            </w:tcBorders>
          </w:tcPr>
          <w:p w14:paraId="1F3C796E" w14:textId="1C76C7A4"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6E0B35F8"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Effectiveness of the current copyright framework, indicated through:</w:t>
            </w:r>
          </w:p>
          <w:p w14:paraId="3F225019" w14:textId="77777777" w:rsidR="002048D9" w:rsidRPr="00B94E5D" w:rsidRDefault="002048D9" w:rsidP="00F10ACD">
            <w:pPr>
              <w:pStyle w:val="ListParagraph"/>
              <w:numPr>
                <w:ilvl w:val="0"/>
                <w:numId w:val="32"/>
              </w:numPr>
              <w:spacing w:before="60" w:after="60" w:line="240" w:lineRule="auto"/>
              <w:ind w:left="170" w:hanging="170"/>
              <w:rPr>
                <w:rFonts w:ascii="Arial" w:hAnsi="Arial" w:cs="Arial"/>
                <w:sz w:val="16"/>
                <w:szCs w:val="16"/>
              </w:rPr>
            </w:pPr>
            <w:r w:rsidRPr="00B94E5D">
              <w:rPr>
                <w:rFonts w:ascii="Arial" w:hAnsi="Arial" w:cs="Arial"/>
                <w:sz w:val="16"/>
                <w:szCs w:val="16"/>
              </w:rPr>
              <w:t>amount of copyright distributions paid to creators by the copyright collecting societies</w:t>
            </w:r>
          </w:p>
          <w:p w14:paraId="2267A33B" w14:textId="77777777" w:rsidR="002048D9" w:rsidRPr="00B94E5D" w:rsidRDefault="002048D9" w:rsidP="00F10ACD">
            <w:pPr>
              <w:pStyle w:val="ListParagraph"/>
              <w:numPr>
                <w:ilvl w:val="0"/>
                <w:numId w:val="32"/>
              </w:numPr>
              <w:spacing w:before="60" w:after="60" w:line="240" w:lineRule="auto"/>
              <w:ind w:left="170" w:hanging="170"/>
              <w:rPr>
                <w:rFonts w:ascii="Arial" w:hAnsi="Arial" w:cs="Arial"/>
                <w:sz w:val="16"/>
                <w:szCs w:val="16"/>
              </w:rPr>
            </w:pPr>
            <w:r w:rsidRPr="00B94E5D">
              <w:rPr>
                <w:rFonts w:ascii="Arial" w:hAnsi="Arial" w:cs="Arial"/>
                <w:sz w:val="16"/>
                <w:szCs w:val="16"/>
              </w:rPr>
              <w:t>annual Consumer Survey on Online Copyright Infringement</w:t>
            </w:r>
          </w:p>
        </w:tc>
        <w:tc>
          <w:tcPr>
            <w:tcW w:w="3419" w:type="dxa"/>
            <w:tcBorders>
              <w:top w:val="nil"/>
              <w:left w:val="single" w:sz="4" w:space="0" w:color="auto"/>
              <w:bottom w:val="nil"/>
            </w:tcBorders>
          </w:tcPr>
          <w:p w14:paraId="7CEDC13B"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No target. Annual target-setting not appropriate, results sought are long term</w:t>
            </w:r>
            <w:r>
              <w:rPr>
                <w:rFonts w:ascii="Arial" w:hAnsi="Arial" w:cs="Arial"/>
                <w:sz w:val="16"/>
                <w:szCs w:val="16"/>
              </w:rPr>
              <w:t>.</w:t>
            </w:r>
          </w:p>
        </w:tc>
      </w:tr>
      <w:tr w:rsidR="002048D9" w:rsidRPr="00B94E5D" w14:paraId="0CF18BC3" w14:textId="77777777" w:rsidTr="0056206E">
        <w:trPr>
          <w:cantSplit/>
        </w:trPr>
        <w:tc>
          <w:tcPr>
            <w:tcW w:w="1694" w:type="dxa"/>
            <w:tcBorders>
              <w:top w:val="nil"/>
              <w:bottom w:val="single" w:sz="4" w:space="0" w:color="auto"/>
              <w:right w:val="single" w:sz="4" w:space="0" w:color="auto"/>
            </w:tcBorders>
          </w:tcPr>
          <w:p w14:paraId="4E0818E0"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single" w:sz="4" w:space="0" w:color="auto"/>
              <w:right w:val="single" w:sz="4" w:space="0" w:color="auto"/>
            </w:tcBorders>
          </w:tcPr>
          <w:p w14:paraId="27AF1B33"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Affordability of telecommunications services (mobile and fixed) on offer</w:t>
            </w:r>
          </w:p>
        </w:tc>
        <w:tc>
          <w:tcPr>
            <w:tcW w:w="3419" w:type="dxa"/>
            <w:tcBorders>
              <w:top w:val="nil"/>
              <w:left w:val="single" w:sz="4" w:space="0" w:color="auto"/>
              <w:bottom w:val="single" w:sz="4" w:space="0" w:color="auto"/>
            </w:tcBorders>
          </w:tcPr>
          <w:p w14:paraId="03B3347F"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Reporting in financial year indicates affordability is maintained or increased</w:t>
            </w:r>
          </w:p>
        </w:tc>
      </w:tr>
      <w:tr w:rsidR="002048D9" w:rsidRPr="00B94E5D" w14:paraId="3A49B7AA" w14:textId="77777777" w:rsidTr="0056206E">
        <w:trPr>
          <w:cantSplit/>
        </w:trPr>
        <w:tc>
          <w:tcPr>
            <w:tcW w:w="1694" w:type="dxa"/>
            <w:tcBorders>
              <w:top w:val="single" w:sz="4" w:space="0" w:color="auto"/>
              <w:bottom w:val="nil"/>
              <w:right w:val="single" w:sz="4" w:space="0" w:color="auto"/>
            </w:tcBorders>
          </w:tcPr>
          <w:p w14:paraId="5F47ED49" w14:textId="77777777" w:rsidR="002048D9" w:rsidRDefault="002048D9" w:rsidP="002048D9">
            <w:pPr>
              <w:tabs>
                <w:tab w:val="left" w:pos="709"/>
              </w:tabs>
              <w:spacing w:before="60" w:after="60" w:line="240" w:lineRule="auto"/>
              <w:ind w:left="306" w:hanging="306"/>
              <w:jc w:val="left"/>
              <w:rPr>
                <w:rFonts w:ascii="Arial" w:hAnsi="Arial" w:cs="Arial"/>
                <w:sz w:val="16"/>
                <w:szCs w:val="16"/>
              </w:rPr>
            </w:pPr>
            <w:r w:rsidRPr="00B94E5D">
              <w:rPr>
                <w:rFonts w:ascii="Arial" w:hAnsi="Arial" w:cs="Arial"/>
                <w:sz w:val="16"/>
                <w:szCs w:val="16"/>
              </w:rPr>
              <w:lastRenderedPageBreak/>
              <w:t>2021-22 and beyond</w:t>
            </w:r>
          </w:p>
          <w:p w14:paraId="298B5DFB" w14:textId="7F364026" w:rsidR="002048D9" w:rsidRPr="00B94E5D" w:rsidRDefault="002048D9" w:rsidP="002048D9">
            <w:pPr>
              <w:tabs>
                <w:tab w:val="left" w:pos="709"/>
              </w:tabs>
              <w:spacing w:before="60" w:after="60" w:line="240" w:lineRule="auto"/>
              <w:ind w:left="27" w:hanging="27"/>
              <w:jc w:val="left"/>
              <w:rPr>
                <w:rFonts w:ascii="Arial" w:hAnsi="Arial" w:cs="Arial"/>
                <w:sz w:val="16"/>
                <w:szCs w:val="16"/>
              </w:rPr>
            </w:pPr>
            <w:r>
              <w:rPr>
                <w:rFonts w:ascii="Arial" w:hAnsi="Arial" w:cs="Arial"/>
                <w:sz w:val="16"/>
                <w:szCs w:val="16"/>
              </w:rPr>
              <w:t>(continued)</w:t>
            </w:r>
          </w:p>
        </w:tc>
        <w:tc>
          <w:tcPr>
            <w:tcW w:w="2412" w:type="dxa"/>
            <w:tcBorders>
              <w:top w:val="single" w:sz="4" w:space="0" w:color="auto"/>
              <w:left w:val="single" w:sz="4" w:space="0" w:color="auto"/>
              <w:bottom w:val="nil"/>
              <w:right w:val="single" w:sz="4" w:space="0" w:color="auto"/>
            </w:tcBorders>
          </w:tcPr>
          <w:p w14:paraId="62A12B1E"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 xml:space="preserve">Access to communications for people with a disability, indicated through: </w:t>
            </w:r>
          </w:p>
          <w:p w14:paraId="5BFFFBEF" w14:textId="77777777" w:rsidR="002048D9" w:rsidRPr="00B94E5D" w:rsidRDefault="002048D9" w:rsidP="00F10ACD">
            <w:pPr>
              <w:pStyle w:val="ListParagraph"/>
              <w:numPr>
                <w:ilvl w:val="0"/>
                <w:numId w:val="29"/>
              </w:numPr>
              <w:spacing w:before="60" w:after="60" w:line="240" w:lineRule="auto"/>
              <w:ind w:left="170" w:hanging="170"/>
              <w:rPr>
                <w:rFonts w:ascii="Arial" w:hAnsi="Arial" w:cs="Arial"/>
                <w:sz w:val="16"/>
                <w:szCs w:val="16"/>
              </w:rPr>
            </w:pPr>
            <w:r w:rsidRPr="00B94E5D">
              <w:rPr>
                <w:rFonts w:ascii="Arial" w:hAnsi="Arial" w:cs="Arial"/>
                <w:sz w:val="16"/>
                <w:szCs w:val="16"/>
              </w:rPr>
              <w:t>National Relay Service performance quarterly reports on user numbers</w:t>
            </w:r>
          </w:p>
          <w:p w14:paraId="0670D818" w14:textId="77777777" w:rsidR="002048D9" w:rsidRPr="00B94E5D" w:rsidRDefault="002048D9" w:rsidP="00F10ACD">
            <w:pPr>
              <w:pStyle w:val="ListParagraph"/>
              <w:numPr>
                <w:ilvl w:val="0"/>
                <w:numId w:val="29"/>
              </w:numPr>
              <w:spacing w:before="60" w:after="60" w:line="240" w:lineRule="auto"/>
              <w:ind w:left="170" w:hanging="170"/>
              <w:rPr>
                <w:rFonts w:ascii="Arial" w:hAnsi="Arial" w:cs="Arial"/>
                <w:sz w:val="16"/>
                <w:szCs w:val="16"/>
              </w:rPr>
            </w:pPr>
            <w:r w:rsidRPr="00B94E5D">
              <w:rPr>
                <w:rFonts w:ascii="Arial" w:hAnsi="Arial" w:cs="Arial"/>
                <w:sz w:val="16"/>
                <w:szCs w:val="16"/>
              </w:rPr>
              <w:t>audio description implementation by the national broadcasters</w:t>
            </w:r>
          </w:p>
          <w:p w14:paraId="321EC326" w14:textId="77777777" w:rsidR="002048D9" w:rsidRPr="00B94E5D" w:rsidRDefault="002048D9" w:rsidP="00F10ACD">
            <w:pPr>
              <w:pStyle w:val="ListParagraph"/>
              <w:numPr>
                <w:ilvl w:val="0"/>
                <w:numId w:val="29"/>
              </w:numPr>
              <w:spacing w:before="60" w:after="60" w:line="240" w:lineRule="auto"/>
              <w:ind w:left="170" w:hanging="170"/>
              <w:rPr>
                <w:rFonts w:ascii="Arial" w:hAnsi="Arial" w:cs="Arial"/>
                <w:sz w:val="16"/>
                <w:szCs w:val="16"/>
              </w:rPr>
            </w:pPr>
            <w:r w:rsidRPr="00B94E5D">
              <w:rPr>
                <w:rFonts w:ascii="Arial" w:hAnsi="Arial" w:cs="Arial"/>
                <w:sz w:val="16"/>
                <w:szCs w:val="16"/>
              </w:rPr>
              <w:t>broadcaster captioning compliance</w:t>
            </w:r>
          </w:p>
        </w:tc>
        <w:tc>
          <w:tcPr>
            <w:tcW w:w="3419" w:type="dxa"/>
            <w:tcBorders>
              <w:top w:val="single" w:sz="4" w:space="0" w:color="auto"/>
              <w:left w:val="single" w:sz="4" w:space="0" w:color="auto"/>
              <w:bottom w:val="nil"/>
            </w:tcBorders>
          </w:tcPr>
          <w:p w14:paraId="613145A5"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Reporting in financial year indicates access is maintained or increased in financial year</w:t>
            </w:r>
          </w:p>
        </w:tc>
      </w:tr>
      <w:tr w:rsidR="002048D9" w:rsidRPr="00B94E5D" w14:paraId="1B144EF8" w14:textId="77777777" w:rsidTr="0056206E">
        <w:trPr>
          <w:cantSplit/>
        </w:trPr>
        <w:tc>
          <w:tcPr>
            <w:tcW w:w="1694" w:type="dxa"/>
            <w:tcBorders>
              <w:top w:val="nil"/>
              <w:bottom w:val="nil"/>
              <w:right w:val="single" w:sz="4" w:space="0" w:color="auto"/>
            </w:tcBorders>
          </w:tcPr>
          <w:p w14:paraId="3917BDBD"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5ED6D25A"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Complaints data: telecommunications</w:t>
            </w:r>
          </w:p>
        </w:tc>
        <w:tc>
          <w:tcPr>
            <w:tcW w:w="3419" w:type="dxa"/>
            <w:tcBorders>
              <w:top w:val="nil"/>
              <w:left w:val="single" w:sz="4" w:space="0" w:color="auto"/>
              <w:bottom w:val="nil"/>
            </w:tcBorders>
          </w:tcPr>
          <w:p w14:paraId="7250A69A"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No target. Annual target-setting not appropriate, results sought are long term</w:t>
            </w:r>
            <w:r>
              <w:rPr>
                <w:rFonts w:ascii="Arial" w:hAnsi="Arial" w:cs="Arial"/>
                <w:sz w:val="16"/>
                <w:szCs w:val="16"/>
              </w:rPr>
              <w:t>.</w:t>
            </w:r>
          </w:p>
        </w:tc>
      </w:tr>
      <w:tr w:rsidR="002048D9" w:rsidRPr="00B94E5D" w14:paraId="39B06B34" w14:textId="77777777" w:rsidTr="0056206E">
        <w:trPr>
          <w:cantSplit/>
        </w:trPr>
        <w:tc>
          <w:tcPr>
            <w:tcW w:w="1694" w:type="dxa"/>
            <w:tcBorders>
              <w:top w:val="nil"/>
              <w:bottom w:val="nil"/>
              <w:right w:val="single" w:sz="4" w:space="0" w:color="auto"/>
            </w:tcBorders>
          </w:tcPr>
          <w:p w14:paraId="75263EA8"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573EA692"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Complaints data: post</w:t>
            </w:r>
          </w:p>
        </w:tc>
        <w:tc>
          <w:tcPr>
            <w:tcW w:w="3419" w:type="dxa"/>
            <w:tcBorders>
              <w:top w:val="nil"/>
              <w:left w:val="single" w:sz="4" w:space="0" w:color="auto"/>
              <w:bottom w:val="nil"/>
            </w:tcBorders>
          </w:tcPr>
          <w:p w14:paraId="19890C7A"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No target. Annual target-setting not appropriate, results sought are long term</w:t>
            </w:r>
            <w:r>
              <w:rPr>
                <w:rFonts w:ascii="Arial" w:hAnsi="Arial" w:cs="Arial"/>
                <w:sz w:val="16"/>
                <w:szCs w:val="16"/>
              </w:rPr>
              <w:t>.</w:t>
            </w:r>
          </w:p>
        </w:tc>
      </w:tr>
      <w:tr w:rsidR="002048D9" w:rsidRPr="00B94E5D" w14:paraId="60D8F4D0" w14:textId="77777777" w:rsidTr="0056206E">
        <w:trPr>
          <w:cantSplit/>
        </w:trPr>
        <w:tc>
          <w:tcPr>
            <w:tcW w:w="1694" w:type="dxa"/>
            <w:tcBorders>
              <w:top w:val="nil"/>
              <w:bottom w:val="nil"/>
              <w:right w:val="single" w:sz="4" w:space="0" w:color="auto"/>
            </w:tcBorders>
          </w:tcPr>
          <w:p w14:paraId="400D7D49"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608C39BA"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NBN consumer experience</w:t>
            </w:r>
          </w:p>
        </w:tc>
        <w:tc>
          <w:tcPr>
            <w:tcW w:w="3419" w:type="dxa"/>
            <w:tcBorders>
              <w:top w:val="nil"/>
              <w:left w:val="single" w:sz="4" w:space="0" w:color="auto"/>
              <w:bottom w:val="nil"/>
            </w:tcBorders>
          </w:tcPr>
          <w:p w14:paraId="7E8F7719"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Reporting in financial year shows positive consumer experience</w:t>
            </w:r>
          </w:p>
        </w:tc>
      </w:tr>
      <w:tr w:rsidR="002048D9" w:rsidRPr="00B94E5D" w14:paraId="494CB4F0" w14:textId="77777777" w:rsidTr="0056206E">
        <w:trPr>
          <w:cantSplit/>
        </w:trPr>
        <w:tc>
          <w:tcPr>
            <w:tcW w:w="1694" w:type="dxa"/>
            <w:tcBorders>
              <w:top w:val="nil"/>
              <w:bottom w:val="nil"/>
              <w:right w:val="single" w:sz="4" w:space="0" w:color="auto"/>
            </w:tcBorders>
          </w:tcPr>
          <w:p w14:paraId="7E34BDC7"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0FC654A6" w14:textId="77777777" w:rsidR="002048D9"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Percentage of ready-to-connect premises in fixed line areas that have taken up an NBN service</w:t>
            </w:r>
          </w:p>
          <w:p w14:paraId="486182EA" w14:textId="067EFDE3" w:rsidR="002048D9" w:rsidRPr="00B94E5D" w:rsidRDefault="002048D9" w:rsidP="002048D9">
            <w:pPr>
              <w:tabs>
                <w:tab w:val="left" w:pos="709"/>
              </w:tabs>
              <w:spacing w:before="60" w:after="60" w:line="240" w:lineRule="auto"/>
              <w:jc w:val="left"/>
              <w:rPr>
                <w:rFonts w:ascii="Arial" w:hAnsi="Arial" w:cs="Arial"/>
                <w:sz w:val="16"/>
                <w:szCs w:val="16"/>
              </w:rPr>
            </w:pPr>
            <w:r w:rsidRPr="00D84E18">
              <w:rPr>
                <w:rFonts w:ascii="Arial" w:hAnsi="Arial" w:cs="Arial"/>
                <w:i/>
                <w:sz w:val="16"/>
                <w:szCs w:val="16"/>
              </w:rPr>
              <w:t>Percentage of premises in fixed line areas able to access gigabit speeds</w:t>
            </w:r>
          </w:p>
        </w:tc>
        <w:tc>
          <w:tcPr>
            <w:tcW w:w="3419" w:type="dxa"/>
            <w:tcBorders>
              <w:top w:val="nil"/>
              <w:left w:val="single" w:sz="4" w:space="0" w:color="auto"/>
              <w:bottom w:val="nil"/>
            </w:tcBorders>
          </w:tcPr>
          <w:p w14:paraId="5FE81C27"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b/>
                <w:sz w:val="16"/>
                <w:szCs w:val="16"/>
              </w:rPr>
              <w:t xml:space="preserve">2021–22: </w:t>
            </w:r>
            <w:r w:rsidRPr="00B94E5D">
              <w:rPr>
                <w:rFonts w:ascii="Arial" w:hAnsi="Arial" w:cs="Arial"/>
                <w:sz w:val="16"/>
                <w:szCs w:val="16"/>
              </w:rPr>
              <w:t>Fixed line take-up of ≥73% at 30 June 2022</w:t>
            </w:r>
          </w:p>
          <w:p w14:paraId="6DCF5963" w14:textId="77777777" w:rsidR="002048D9" w:rsidRDefault="002048D9" w:rsidP="002048D9">
            <w:pPr>
              <w:tabs>
                <w:tab w:val="left" w:pos="709"/>
              </w:tabs>
              <w:spacing w:before="60" w:after="60" w:line="240" w:lineRule="auto"/>
              <w:jc w:val="left"/>
              <w:rPr>
                <w:rFonts w:ascii="Arial" w:hAnsi="Arial" w:cs="Arial"/>
                <w:b/>
                <w:sz w:val="16"/>
                <w:szCs w:val="16"/>
              </w:rPr>
            </w:pPr>
          </w:p>
          <w:p w14:paraId="0FD3A6FE" w14:textId="77777777" w:rsidR="002048D9" w:rsidRDefault="002048D9" w:rsidP="002048D9">
            <w:pPr>
              <w:tabs>
                <w:tab w:val="left" w:pos="709"/>
              </w:tabs>
              <w:spacing w:before="60" w:after="60" w:line="240" w:lineRule="auto"/>
              <w:jc w:val="left"/>
              <w:rPr>
                <w:rFonts w:ascii="Arial" w:hAnsi="Arial" w:cs="Arial"/>
                <w:b/>
                <w:sz w:val="16"/>
                <w:szCs w:val="16"/>
              </w:rPr>
            </w:pPr>
          </w:p>
          <w:p w14:paraId="668CF981" w14:textId="48B78471" w:rsidR="002048D9" w:rsidRPr="00B94E5D" w:rsidRDefault="002048D9" w:rsidP="002048D9">
            <w:pPr>
              <w:tabs>
                <w:tab w:val="left" w:pos="709"/>
              </w:tabs>
              <w:spacing w:before="60" w:after="60" w:line="240" w:lineRule="auto"/>
              <w:jc w:val="left"/>
              <w:rPr>
                <w:rFonts w:ascii="Arial" w:hAnsi="Arial" w:cs="Arial"/>
                <w:b/>
                <w:sz w:val="16"/>
                <w:szCs w:val="16"/>
              </w:rPr>
            </w:pPr>
            <w:r w:rsidRPr="0078658D">
              <w:rPr>
                <w:rFonts w:ascii="Arial" w:hAnsi="Arial" w:cs="Arial"/>
                <w:b/>
                <w:i/>
                <w:sz w:val="16"/>
                <w:szCs w:val="16"/>
              </w:rPr>
              <w:t>2022–23 and beyond:</w:t>
            </w:r>
            <w:r w:rsidRPr="0078658D">
              <w:rPr>
                <w:rFonts w:ascii="Arial" w:hAnsi="Arial" w:cs="Arial"/>
                <w:i/>
                <w:sz w:val="16"/>
                <w:szCs w:val="16"/>
              </w:rPr>
              <w:t xml:space="preserve"> 75</w:t>
            </w:r>
            <w:r w:rsidRPr="00D84E18">
              <w:rPr>
                <w:rFonts w:ascii="Arial" w:hAnsi="Arial" w:cs="Arial"/>
                <w:i/>
                <w:sz w:val="16"/>
                <w:szCs w:val="16"/>
              </w:rPr>
              <w:t>% of the fixed line NBN enabled for gigabit speeds by 2023.</w:t>
            </w:r>
            <w:r w:rsidRPr="001447A0">
              <w:rPr>
                <w:i/>
              </w:rPr>
              <w:t xml:space="preserve">  </w:t>
            </w:r>
          </w:p>
        </w:tc>
      </w:tr>
      <w:tr w:rsidR="002048D9" w:rsidRPr="00B94E5D" w14:paraId="05BFCF35" w14:textId="77777777" w:rsidTr="0056206E">
        <w:trPr>
          <w:cantSplit/>
        </w:trPr>
        <w:tc>
          <w:tcPr>
            <w:tcW w:w="1694" w:type="dxa"/>
            <w:tcBorders>
              <w:top w:val="nil"/>
              <w:bottom w:val="nil"/>
              <w:right w:val="single" w:sz="4" w:space="0" w:color="auto"/>
            </w:tcBorders>
          </w:tcPr>
          <w:p w14:paraId="1EC62452"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326C1C0E"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NBN complex connection premises completed</w:t>
            </w:r>
          </w:p>
        </w:tc>
        <w:tc>
          <w:tcPr>
            <w:tcW w:w="3419" w:type="dxa"/>
            <w:tcBorders>
              <w:top w:val="nil"/>
              <w:left w:val="single" w:sz="4" w:space="0" w:color="auto"/>
              <w:bottom w:val="nil"/>
            </w:tcBorders>
          </w:tcPr>
          <w:p w14:paraId="787D1CC0"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b/>
                <w:sz w:val="16"/>
                <w:szCs w:val="16"/>
              </w:rPr>
              <w:t>2021–22</w:t>
            </w:r>
            <w:r w:rsidRPr="00B94E5D">
              <w:rPr>
                <w:rFonts w:ascii="Arial" w:hAnsi="Arial" w:cs="Arial"/>
                <w:sz w:val="16"/>
                <w:szCs w:val="16"/>
              </w:rPr>
              <w:t xml:space="preserve"> Reduction to zero of complex connection premises (yet to ready-to-connect)</w:t>
            </w:r>
          </w:p>
          <w:p w14:paraId="72C4DF84"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2022–23 and beyond: </w:t>
            </w:r>
            <w:r w:rsidRPr="00B94E5D">
              <w:rPr>
                <w:rFonts w:ascii="Arial" w:hAnsi="Arial" w:cs="Arial"/>
                <w:sz w:val="16"/>
                <w:szCs w:val="16"/>
              </w:rPr>
              <w:t>No target. Work on complex connection premises is expected to be completed by mid-2022</w:t>
            </w:r>
            <w:r>
              <w:rPr>
                <w:rFonts w:ascii="Arial" w:hAnsi="Arial" w:cs="Arial"/>
                <w:sz w:val="16"/>
                <w:szCs w:val="16"/>
              </w:rPr>
              <w:t>.</w:t>
            </w:r>
          </w:p>
        </w:tc>
      </w:tr>
      <w:tr w:rsidR="002048D9" w:rsidRPr="00B94E5D" w14:paraId="1EE0007C" w14:textId="77777777" w:rsidTr="0056206E">
        <w:trPr>
          <w:cantSplit/>
        </w:trPr>
        <w:tc>
          <w:tcPr>
            <w:tcW w:w="1694" w:type="dxa"/>
            <w:tcBorders>
              <w:top w:val="nil"/>
              <w:bottom w:val="nil"/>
              <w:right w:val="single" w:sz="4" w:space="0" w:color="auto"/>
            </w:tcBorders>
          </w:tcPr>
          <w:p w14:paraId="2A7CC84C" w14:textId="00EC78DF"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bottom w:val="nil"/>
              <w:right w:val="single" w:sz="4" w:space="0" w:color="auto"/>
            </w:tcBorders>
          </w:tcPr>
          <w:p w14:paraId="101CCD40"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Investment as a proportion of output in the communications sector</w:t>
            </w:r>
          </w:p>
        </w:tc>
        <w:tc>
          <w:tcPr>
            <w:tcW w:w="3419" w:type="dxa"/>
            <w:tcBorders>
              <w:top w:val="nil"/>
              <w:left w:val="single" w:sz="4" w:space="0" w:color="auto"/>
              <w:bottom w:val="nil"/>
            </w:tcBorders>
          </w:tcPr>
          <w:p w14:paraId="3BFAC839"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No target. The long-run average (June 1990 to June 2020) is around 35%</w:t>
            </w:r>
            <w:r>
              <w:rPr>
                <w:rFonts w:ascii="Arial" w:hAnsi="Arial" w:cs="Arial"/>
                <w:sz w:val="16"/>
                <w:szCs w:val="16"/>
              </w:rPr>
              <w:t>.</w:t>
            </w:r>
          </w:p>
        </w:tc>
      </w:tr>
      <w:tr w:rsidR="002048D9" w:rsidRPr="00B94E5D" w14:paraId="46A36E96" w14:textId="77777777" w:rsidTr="0056206E">
        <w:trPr>
          <w:cantSplit/>
        </w:trPr>
        <w:tc>
          <w:tcPr>
            <w:tcW w:w="1694" w:type="dxa"/>
            <w:tcBorders>
              <w:top w:val="nil"/>
              <w:right w:val="single" w:sz="4" w:space="0" w:color="auto"/>
            </w:tcBorders>
          </w:tcPr>
          <w:p w14:paraId="127F5D5B" w14:textId="77777777" w:rsidR="002048D9" w:rsidRPr="00B94E5D" w:rsidRDefault="002048D9" w:rsidP="002048D9">
            <w:pPr>
              <w:tabs>
                <w:tab w:val="left" w:pos="709"/>
              </w:tabs>
              <w:spacing w:before="60" w:after="60" w:line="240" w:lineRule="auto"/>
              <w:jc w:val="left"/>
              <w:rPr>
                <w:rFonts w:ascii="Arial" w:hAnsi="Arial" w:cs="Arial"/>
                <w:sz w:val="16"/>
                <w:szCs w:val="16"/>
              </w:rPr>
            </w:pPr>
          </w:p>
        </w:tc>
        <w:tc>
          <w:tcPr>
            <w:tcW w:w="2412" w:type="dxa"/>
            <w:tcBorders>
              <w:top w:val="nil"/>
              <w:left w:val="single" w:sz="4" w:space="0" w:color="auto"/>
              <w:right w:val="single" w:sz="4" w:space="0" w:color="auto"/>
            </w:tcBorders>
          </w:tcPr>
          <w:p w14:paraId="3B2D2A66" w14:textId="77777777" w:rsidR="002048D9" w:rsidRPr="00B94E5D" w:rsidRDefault="002048D9" w:rsidP="002048D9">
            <w:pPr>
              <w:tabs>
                <w:tab w:val="left" w:pos="709"/>
              </w:tabs>
              <w:spacing w:before="60" w:after="60" w:line="240" w:lineRule="auto"/>
              <w:jc w:val="left"/>
              <w:rPr>
                <w:rFonts w:ascii="Arial" w:hAnsi="Arial" w:cs="Arial"/>
                <w:sz w:val="16"/>
                <w:szCs w:val="16"/>
              </w:rPr>
            </w:pPr>
            <w:r w:rsidRPr="00B94E5D">
              <w:rPr>
                <w:rFonts w:ascii="Arial" w:hAnsi="Arial" w:cs="Arial"/>
                <w:sz w:val="16"/>
                <w:szCs w:val="16"/>
              </w:rPr>
              <w:t>GDP contribution enabled by the communications sector</w:t>
            </w:r>
          </w:p>
        </w:tc>
        <w:tc>
          <w:tcPr>
            <w:tcW w:w="3419" w:type="dxa"/>
            <w:tcBorders>
              <w:top w:val="nil"/>
              <w:left w:val="single" w:sz="4" w:space="0" w:color="auto"/>
            </w:tcBorders>
          </w:tcPr>
          <w:p w14:paraId="4EC069B0" w14:textId="77777777" w:rsidR="002048D9" w:rsidRPr="00B94E5D" w:rsidRDefault="002048D9" w:rsidP="002048D9">
            <w:pPr>
              <w:tabs>
                <w:tab w:val="left" w:pos="709"/>
              </w:tabs>
              <w:spacing w:before="60" w:after="60" w:line="240" w:lineRule="auto"/>
              <w:jc w:val="left"/>
              <w:rPr>
                <w:rFonts w:ascii="Arial" w:hAnsi="Arial" w:cs="Arial"/>
                <w:b/>
                <w:sz w:val="16"/>
                <w:szCs w:val="16"/>
              </w:rPr>
            </w:pPr>
            <w:r w:rsidRPr="00B94E5D">
              <w:rPr>
                <w:rFonts w:ascii="Arial" w:hAnsi="Arial" w:cs="Arial"/>
                <w:b/>
                <w:sz w:val="16"/>
                <w:szCs w:val="16"/>
              </w:rPr>
              <w:t xml:space="preserve">2021–22 and beyond: </w:t>
            </w:r>
            <w:r w:rsidRPr="00B94E5D">
              <w:rPr>
                <w:rFonts w:ascii="Arial" w:hAnsi="Arial" w:cs="Arial"/>
                <w:sz w:val="16"/>
                <w:szCs w:val="16"/>
              </w:rPr>
              <w:t>No target. Annual target setting not appropriate, results sought are long term</w:t>
            </w:r>
            <w:r>
              <w:rPr>
                <w:rFonts w:ascii="Arial" w:hAnsi="Arial" w:cs="Arial"/>
                <w:sz w:val="16"/>
                <w:szCs w:val="16"/>
              </w:rPr>
              <w:t>.</w:t>
            </w:r>
          </w:p>
        </w:tc>
      </w:tr>
    </w:tbl>
    <w:p w14:paraId="77E34BD4" w14:textId="77777777" w:rsidR="001447A0" w:rsidRPr="00950281" w:rsidRDefault="001447A0" w:rsidP="00EE3280">
      <w:pPr>
        <w:pStyle w:val="ChartandTableFootnoteAlpha"/>
        <w:numPr>
          <w:ilvl w:val="0"/>
          <w:numId w:val="33"/>
        </w:numPr>
        <w:tabs>
          <w:tab w:val="clear" w:pos="397"/>
        </w:tabs>
        <w:spacing w:before="60"/>
        <w:ind w:left="284" w:hanging="284"/>
        <w:jc w:val="left"/>
      </w:pPr>
      <w:r>
        <w:t xml:space="preserve">New or modified performance measure that reflect new or materially changed programs are shown in </w:t>
      </w:r>
      <w:r w:rsidRPr="008E5BB7">
        <w:t>italics</w:t>
      </w:r>
      <w:r>
        <w:t xml:space="preserve">. </w:t>
      </w:r>
    </w:p>
    <w:p w14:paraId="2E99424F" w14:textId="1081492A" w:rsidR="001447A0" w:rsidRPr="00645E3F" w:rsidRDefault="001447A0" w:rsidP="00EE3280">
      <w:pPr>
        <w:spacing w:after="0" w:line="240" w:lineRule="auto"/>
        <w:jc w:val="left"/>
        <w:rPr>
          <w:rFonts w:ascii="Arial" w:hAnsi="Arial" w:cs="Arial"/>
          <w:sz w:val="16"/>
        </w:rPr>
      </w:pPr>
      <w:r w:rsidRPr="00645E3F">
        <w:rPr>
          <w:rFonts w:ascii="Arial" w:hAnsi="Arial" w:cs="Arial"/>
          <w:sz w:val="16"/>
          <w:szCs w:val="16"/>
        </w:rPr>
        <w:t xml:space="preserve">In December 2020, the Government declared the NBN fully built and operational. Government agreed in September 2020 to additional NBN investment of around $3.9 billion to provide gigabit capability to 75% of the network. Prior to that it was appropriate to have a metric on the take-up of NBN services during the build phase, however it is now timely to update relevant </w:t>
      </w:r>
      <w:r w:rsidR="008863D9" w:rsidRPr="00645E3F">
        <w:rPr>
          <w:rFonts w:ascii="Arial" w:hAnsi="Arial" w:cs="Arial"/>
          <w:sz w:val="16"/>
          <w:szCs w:val="16"/>
        </w:rPr>
        <w:t>Department</w:t>
      </w:r>
      <w:r w:rsidRPr="00645E3F">
        <w:rPr>
          <w:rFonts w:ascii="Arial" w:hAnsi="Arial" w:cs="Arial"/>
          <w:sz w:val="16"/>
          <w:szCs w:val="16"/>
        </w:rPr>
        <w:t>al outcome performance criteria to reflect the Government’s new policy focus of delivering ultrafast NBN speeds.</w:t>
      </w:r>
      <w:r w:rsidRPr="00645E3F">
        <w:t xml:space="preserve">  </w:t>
      </w:r>
    </w:p>
    <w:p w14:paraId="598B95F3" w14:textId="51BB0944" w:rsidR="00000153" w:rsidRDefault="00A27EC7" w:rsidP="00000153">
      <w:pPr>
        <w:pStyle w:val="Heading3DITRDC"/>
      </w:pPr>
      <w:r>
        <w:br w:type="page"/>
      </w:r>
      <w:bookmarkStart w:id="316" w:name="_Toc92992118"/>
      <w:bookmarkStart w:id="317" w:name="_Toc93405043"/>
      <w:bookmarkStart w:id="318" w:name="_Toc94854649"/>
      <w:r>
        <w:lastRenderedPageBreak/>
        <w:t>2.</w:t>
      </w:r>
      <w:r w:rsidR="004F33FD">
        <w:t>7</w:t>
      </w:r>
      <w:r>
        <w:tab/>
      </w:r>
      <w:bookmarkEnd w:id="316"/>
      <w:r w:rsidR="00000153">
        <w:t>Budgeted expenses and performance for Outcome 6</w:t>
      </w:r>
      <w:bookmarkEnd w:id="317"/>
      <w:bookmarkEnd w:id="31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35"/>
      </w:tblGrid>
      <w:tr w:rsidR="00000153" w:rsidRPr="005E6F2B" w14:paraId="5215682A" w14:textId="77777777" w:rsidTr="00BD72A9">
        <w:tc>
          <w:tcPr>
            <w:tcW w:w="7705" w:type="dxa"/>
            <w:shd w:val="clear" w:color="auto" w:fill="E6E6E6"/>
          </w:tcPr>
          <w:p w14:paraId="5B04614B" w14:textId="77777777" w:rsidR="00000153" w:rsidRPr="005E6F2B" w:rsidRDefault="00000153" w:rsidP="00282203">
            <w:pPr>
              <w:pStyle w:val="TableColumnHeadingLeft"/>
              <w:jc w:val="left"/>
            </w:pPr>
            <w:r w:rsidRPr="00F862B3">
              <w:rPr>
                <w:sz w:val="20"/>
              </w:rPr>
              <w:t xml:space="preserve">Outcome </w:t>
            </w:r>
            <w:r w:rsidRPr="00842923">
              <w:rPr>
                <w:sz w:val="20"/>
              </w:rPr>
              <w:t>6: Participation in, and access to, Australia’s arts and culture through developing and supporting cultural expression</w:t>
            </w:r>
            <w:r w:rsidRPr="00F862B3">
              <w:rPr>
                <w:sz w:val="20"/>
              </w:rPr>
              <w:t xml:space="preserve"> </w:t>
            </w:r>
          </w:p>
        </w:tc>
      </w:tr>
    </w:tbl>
    <w:p w14:paraId="1A49FF02" w14:textId="77777777" w:rsidR="00000153" w:rsidRPr="005E6F2B" w:rsidRDefault="00000153" w:rsidP="00000153">
      <w:pPr>
        <w:pStyle w:val="NoSpacing"/>
      </w:pPr>
    </w:p>
    <w:p w14:paraId="23C8AAD9" w14:textId="77777777" w:rsidR="00000153" w:rsidRDefault="00000153" w:rsidP="00000153">
      <w:pPr>
        <w:pStyle w:val="Heading4"/>
      </w:pPr>
      <w:r w:rsidRPr="00F862B3">
        <w:rPr>
          <w:sz w:val="22"/>
          <w:szCs w:val="22"/>
        </w:rPr>
        <w:t>Linked programs</w:t>
      </w:r>
      <w:r w:rsidRPr="005E6F2B">
        <w:t xml:space="preserve"> </w:t>
      </w:r>
    </w:p>
    <w:p w14:paraId="644F065F" w14:textId="5E99EA41" w:rsidR="00000153" w:rsidRDefault="00000153" w:rsidP="00000153">
      <w:pPr>
        <w:jc w:val="left"/>
      </w:pPr>
      <w:r w:rsidRPr="00950281">
        <w:t>Th</w:t>
      </w:r>
      <w:r>
        <w:t xml:space="preserve">ere have been no changes to linked programs for this outcome from that published in the </w:t>
      </w:r>
      <w:r w:rsidR="00360023">
        <w:t xml:space="preserve">2021-22 </w:t>
      </w:r>
      <w:r>
        <w:t xml:space="preserve">Infrastructure, Transport, Regional Development and </w:t>
      </w:r>
      <w:r w:rsidR="006A053E">
        <w:t>Communications</w:t>
      </w:r>
      <w:r w:rsidR="00173391">
        <w:t xml:space="preserve"> PB Statements.</w:t>
      </w:r>
    </w:p>
    <w:p w14:paraId="46B4458D" w14:textId="77777777" w:rsidR="00000153" w:rsidRPr="00446612" w:rsidRDefault="00000153" w:rsidP="00000153">
      <w:pPr>
        <w:pStyle w:val="Heading4"/>
      </w:pPr>
      <w:r w:rsidRPr="00446612">
        <w:t xml:space="preserve">Budgeted expenses for Outcome </w:t>
      </w:r>
      <w:r>
        <w:rPr>
          <w:lang w:val="en-AU"/>
        </w:rPr>
        <w:t>6</w:t>
      </w:r>
    </w:p>
    <w:p w14:paraId="0CDD004D" w14:textId="6BE03859" w:rsidR="00000153" w:rsidRDefault="00000153" w:rsidP="00282203">
      <w:pPr>
        <w:jc w:val="left"/>
      </w:pPr>
      <w:r w:rsidRPr="00950281">
        <w:t xml:space="preserve">This table shows how much the </w:t>
      </w:r>
      <w:r w:rsidR="00C55547">
        <w:t>Department</w:t>
      </w:r>
      <w:r w:rsidRPr="00950281">
        <w:t xml:space="preserve"> intends to spend (on an accrual basis) on achieving the outcome, broken down by program, as well as by Administered and </w:t>
      </w:r>
      <w:r w:rsidR="008863D9">
        <w:t>Department</w:t>
      </w:r>
      <w:r w:rsidRPr="00950281">
        <w:t xml:space="preserve">al funding sources. </w:t>
      </w:r>
    </w:p>
    <w:p w14:paraId="16284C1B" w14:textId="1165C7CC" w:rsidR="00A27EC7" w:rsidRDefault="00A27EC7" w:rsidP="00A27EC7">
      <w:pPr>
        <w:pStyle w:val="TableHeading"/>
        <w:rPr>
          <w:lang w:val="en-US"/>
        </w:rPr>
      </w:pPr>
      <w:r w:rsidRPr="00FF6B56">
        <w:t>Table 2.</w:t>
      </w:r>
      <w:r w:rsidR="00E03E7D" w:rsidRPr="00FF6B56">
        <w:rPr>
          <w:lang w:val="en-AU"/>
        </w:rPr>
        <w:t>7</w:t>
      </w:r>
      <w:r w:rsidRPr="00FF6B56">
        <w:rPr>
          <w:lang w:val="en-AU"/>
        </w:rPr>
        <w:t>.</w:t>
      </w:r>
      <w:r w:rsidRPr="00FF6B56">
        <w:t>1 Budgeted expenses</w:t>
      </w:r>
      <w:r w:rsidRPr="00FF6B56">
        <w:rPr>
          <w:lang w:val="en-AU"/>
        </w:rPr>
        <w:t xml:space="preserve"> for</w:t>
      </w:r>
      <w:r w:rsidRPr="00FF6B56">
        <w:t xml:space="preserve"> Outcome </w:t>
      </w:r>
      <w:r w:rsidR="00E03E7D" w:rsidRPr="00FF6B56">
        <w:rPr>
          <w:lang w:val="en-US"/>
        </w:rPr>
        <w:t>6</w:t>
      </w:r>
    </w:p>
    <w:tbl>
      <w:tblPr>
        <w:tblW w:w="7579" w:type="dxa"/>
        <w:tblLook w:val="04A0" w:firstRow="1" w:lastRow="0" w:firstColumn="1" w:lastColumn="0" w:noHBand="0" w:noVBand="1"/>
      </w:tblPr>
      <w:tblGrid>
        <w:gridCol w:w="2694"/>
        <w:gridCol w:w="901"/>
        <w:gridCol w:w="977"/>
        <w:gridCol w:w="19"/>
        <w:gridCol w:w="958"/>
        <w:gridCol w:w="38"/>
        <w:gridCol w:w="939"/>
        <w:gridCol w:w="57"/>
        <w:gridCol w:w="920"/>
        <w:gridCol w:w="76"/>
      </w:tblGrid>
      <w:tr w:rsidR="00E34CEC" w:rsidRPr="00924840" w14:paraId="63B312F3" w14:textId="77777777" w:rsidTr="00B1501D">
        <w:trPr>
          <w:gridAfter w:val="1"/>
          <w:wAfter w:w="76" w:type="dxa"/>
          <w:trHeight w:val="521"/>
        </w:trPr>
        <w:tc>
          <w:tcPr>
            <w:tcW w:w="2694" w:type="dxa"/>
            <w:tcBorders>
              <w:top w:val="single" w:sz="4" w:space="0" w:color="auto"/>
              <w:left w:val="nil"/>
              <w:right w:val="nil"/>
            </w:tcBorders>
            <w:shd w:val="clear" w:color="auto" w:fill="auto"/>
            <w:noWrap/>
            <w:hideMark/>
          </w:tcPr>
          <w:p w14:paraId="10408FC2" w14:textId="77777777" w:rsidR="00E34CEC" w:rsidRPr="00924840" w:rsidRDefault="00E34CEC" w:rsidP="00E34CEC">
            <w:pPr>
              <w:spacing w:after="0" w:line="240" w:lineRule="auto"/>
              <w:jc w:val="left"/>
              <w:rPr>
                <w:rFonts w:ascii="Arial" w:hAnsi="Arial" w:cs="Arial"/>
                <w:i/>
                <w:iCs/>
                <w:sz w:val="16"/>
                <w:szCs w:val="16"/>
              </w:rPr>
            </w:pPr>
            <w:r w:rsidRPr="00924840">
              <w:rPr>
                <w:rFonts w:ascii="Arial" w:hAnsi="Arial" w:cs="Arial"/>
                <w:i/>
                <w:iCs/>
                <w:sz w:val="16"/>
                <w:szCs w:val="16"/>
              </w:rPr>
              <w:t> </w:t>
            </w:r>
          </w:p>
        </w:tc>
        <w:tc>
          <w:tcPr>
            <w:tcW w:w="901" w:type="dxa"/>
            <w:tcBorders>
              <w:top w:val="single" w:sz="4" w:space="0" w:color="auto"/>
              <w:left w:val="nil"/>
              <w:right w:val="nil"/>
            </w:tcBorders>
            <w:shd w:val="clear" w:color="auto" w:fill="auto"/>
            <w:vAlign w:val="bottom"/>
            <w:hideMark/>
          </w:tcPr>
          <w:p w14:paraId="17D7C013" w14:textId="1BE44183" w:rsidR="00E34CEC" w:rsidRPr="00E34CEC" w:rsidRDefault="00E34CEC" w:rsidP="00E34CEC">
            <w:pPr>
              <w:spacing w:after="0" w:line="240" w:lineRule="auto"/>
              <w:jc w:val="right"/>
              <w:rPr>
                <w:rFonts w:ascii="Arial" w:hAnsi="Arial" w:cs="Arial"/>
                <w:sz w:val="16"/>
                <w:szCs w:val="16"/>
              </w:rPr>
            </w:pPr>
            <w:r w:rsidRPr="00E34CEC">
              <w:rPr>
                <w:rFonts w:ascii="Arial" w:hAnsi="Arial" w:cs="Arial"/>
                <w:sz w:val="16"/>
                <w:szCs w:val="16"/>
              </w:rPr>
              <w:t>2020-21 Actual expenses $'000</w:t>
            </w:r>
          </w:p>
        </w:tc>
        <w:tc>
          <w:tcPr>
            <w:tcW w:w="977" w:type="dxa"/>
            <w:tcBorders>
              <w:top w:val="single" w:sz="4" w:space="0" w:color="auto"/>
              <w:left w:val="nil"/>
              <w:right w:val="nil"/>
            </w:tcBorders>
            <w:shd w:val="clear" w:color="auto" w:fill="E6E6E6"/>
            <w:vAlign w:val="bottom"/>
            <w:hideMark/>
          </w:tcPr>
          <w:p w14:paraId="4AF04E07" w14:textId="2DBF8F68" w:rsidR="00E34CEC" w:rsidRPr="00E34CEC" w:rsidRDefault="00E34CEC" w:rsidP="00E34CEC">
            <w:pPr>
              <w:spacing w:after="0" w:line="240" w:lineRule="auto"/>
              <w:jc w:val="right"/>
              <w:rPr>
                <w:rFonts w:ascii="Arial" w:hAnsi="Arial" w:cs="Arial"/>
                <w:sz w:val="16"/>
                <w:szCs w:val="16"/>
              </w:rPr>
            </w:pPr>
            <w:r w:rsidRPr="00E34CEC">
              <w:rPr>
                <w:rFonts w:ascii="Arial" w:hAnsi="Arial" w:cs="Arial"/>
                <w:sz w:val="16"/>
                <w:szCs w:val="16"/>
              </w:rPr>
              <w:t>2021-22 Revised Budget $'000</w:t>
            </w:r>
          </w:p>
        </w:tc>
        <w:tc>
          <w:tcPr>
            <w:tcW w:w="977" w:type="dxa"/>
            <w:gridSpan w:val="2"/>
            <w:tcBorders>
              <w:top w:val="single" w:sz="4" w:space="0" w:color="auto"/>
              <w:left w:val="nil"/>
              <w:right w:val="nil"/>
            </w:tcBorders>
            <w:shd w:val="clear" w:color="auto" w:fill="auto"/>
            <w:vAlign w:val="bottom"/>
            <w:hideMark/>
          </w:tcPr>
          <w:p w14:paraId="7FEE3410" w14:textId="341E7442" w:rsidR="00E34CEC" w:rsidRPr="00E34CEC" w:rsidRDefault="00E34CEC" w:rsidP="00E34CEC">
            <w:pPr>
              <w:spacing w:after="0" w:line="240" w:lineRule="auto"/>
              <w:jc w:val="right"/>
              <w:rPr>
                <w:rFonts w:ascii="Arial" w:hAnsi="Arial" w:cs="Arial"/>
                <w:sz w:val="16"/>
                <w:szCs w:val="16"/>
              </w:rPr>
            </w:pPr>
            <w:r w:rsidRPr="00E34CEC">
              <w:rPr>
                <w:rFonts w:ascii="Arial" w:hAnsi="Arial" w:cs="Arial"/>
                <w:sz w:val="16"/>
                <w:szCs w:val="16"/>
              </w:rPr>
              <w:t>2022-23 Forward estimate $'000</w:t>
            </w:r>
          </w:p>
        </w:tc>
        <w:tc>
          <w:tcPr>
            <w:tcW w:w="977" w:type="dxa"/>
            <w:gridSpan w:val="2"/>
            <w:tcBorders>
              <w:top w:val="single" w:sz="4" w:space="0" w:color="auto"/>
              <w:left w:val="nil"/>
              <w:right w:val="nil"/>
            </w:tcBorders>
            <w:shd w:val="clear" w:color="auto" w:fill="auto"/>
            <w:vAlign w:val="bottom"/>
            <w:hideMark/>
          </w:tcPr>
          <w:p w14:paraId="70503BA0" w14:textId="41EAF00F" w:rsidR="00E34CEC" w:rsidRPr="00E34CEC" w:rsidRDefault="00E34CEC" w:rsidP="00E34CEC">
            <w:pPr>
              <w:spacing w:after="0" w:line="240" w:lineRule="auto"/>
              <w:jc w:val="right"/>
              <w:rPr>
                <w:rFonts w:ascii="Arial" w:hAnsi="Arial" w:cs="Arial"/>
                <w:sz w:val="16"/>
                <w:szCs w:val="16"/>
              </w:rPr>
            </w:pPr>
            <w:r w:rsidRPr="00E34CEC">
              <w:rPr>
                <w:rFonts w:ascii="Arial" w:hAnsi="Arial" w:cs="Arial"/>
                <w:sz w:val="16"/>
                <w:szCs w:val="16"/>
              </w:rPr>
              <w:t>2023-24 Forward estimate $'000</w:t>
            </w:r>
          </w:p>
        </w:tc>
        <w:tc>
          <w:tcPr>
            <w:tcW w:w="977" w:type="dxa"/>
            <w:gridSpan w:val="2"/>
            <w:tcBorders>
              <w:top w:val="single" w:sz="4" w:space="0" w:color="auto"/>
              <w:left w:val="nil"/>
              <w:right w:val="nil"/>
            </w:tcBorders>
            <w:shd w:val="clear" w:color="auto" w:fill="auto"/>
            <w:vAlign w:val="bottom"/>
            <w:hideMark/>
          </w:tcPr>
          <w:p w14:paraId="510C6608" w14:textId="744EF244" w:rsidR="00E34CEC" w:rsidRPr="00E34CEC" w:rsidRDefault="00E34CEC" w:rsidP="00E34CEC">
            <w:pPr>
              <w:spacing w:after="0" w:line="240" w:lineRule="auto"/>
              <w:jc w:val="right"/>
              <w:rPr>
                <w:rFonts w:ascii="Arial" w:hAnsi="Arial" w:cs="Arial"/>
                <w:sz w:val="16"/>
                <w:szCs w:val="16"/>
              </w:rPr>
            </w:pPr>
            <w:r w:rsidRPr="00E34CEC">
              <w:rPr>
                <w:rFonts w:ascii="Arial" w:hAnsi="Arial" w:cs="Arial"/>
                <w:sz w:val="16"/>
                <w:szCs w:val="16"/>
              </w:rPr>
              <w:t>2024-25 Forward estimate $'000</w:t>
            </w:r>
          </w:p>
        </w:tc>
      </w:tr>
      <w:tr w:rsidR="00282203" w:rsidRPr="00924840" w14:paraId="30167405" w14:textId="77777777" w:rsidTr="00282203">
        <w:trPr>
          <w:gridAfter w:val="1"/>
          <w:wAfter w:w="76" w:type="dxa"/>
          <w:trHeight w:val="225"/>
        </w:trPr>
        <w:tc>
          <w:tcPr>
            <w:tcW w:w="7503" w:type="dxa"/>
            <w:gridSpan w:val="9"/>
            <w:tcBorders>
              <w:top w:val="single" w:sz="4" w:space="0" w:color="auto"/>
              <w:left w:val="nil"/>
              <w:bottom w:val="single" w:sz="4" w:space="0" w:color="auto"/>
              <w:right w:val="nil"/>
            </w:tcBorders>
            <w:shd w:val="clear" w:color="auto" w:fill="E6E6E6"/>
            <w:noWrap/>
            <w:hideMark/>
          </w:tcPr>
          <w:p w14:paraId="35A5AE24" w14:textId="7B001AF6" w:rsidR="00282203" w:rsidRPr="00924840" w:rsidRDefault="00282203" w:rsidP="00282203">
            <w:pPr>
              <w:spacing w:after="20" w:line="240" w:lineRule="auto"/>
              <w:jc w:val="left"/>
              <w:rPr>
                <w:rFonts w:ascii="Arial" w:hAnsi="Arial" w:cs="Arial"/>
                <w:b/>
                <w:bCs/>
                <w:sz w:val="16"/>
                <w:szCs w:val="16"/>
              </w:rPr>
            </w:pPr>
            <w:r w:rsidRPr="00924840">
              <w:rPr>
                <w:rFonts w:ascii="Arial" w:hAnsi="Arial" w:cs="Arial"/>
                <w:b/>
                <w:bCs/>
                <w:sz w:val="16"/>
                <w:szCs w:val="16"/>
              </w:rPr>
              <w:t>Program 6.1: Arts and Cultural Development</w:t>
            </w:r>
          </w:p>
        </w:tc>
      </w:tr>
      <w:tr w:rsidR="00924840" w:rsidRPr="00924840" w14:paraId="4DA02E9B" w14:textId="77777777" w:rsidTr="00C55547">
        <w:trPr>
          <w:gridAfter w:val="1"/>
          <w:wAfter w:w="76" w:type="dxa"/>
          <w:trHeight w:val="204"/>
        </w:trPr>
        <w:tc>
          <w:tcPr>
            <w:tcW w:w="2694" w:type="dxa"/>
            <w:tcBorders>
              <w:top w:val="nil"/>
              <w:left w:val="nil"/>
              <w:bottom w:val="nil"/>
              <w:right w:val="nil"/>
            </w:tcBorders>
            <w:shd w:val="clear" w:color="auto" w:fill="auto"/>
            <w:vAlign w:val="bottom"/>
            <w:hideMark/>
          </w:tcPr>
          <w:p w14:paraId="686DAE98" w14:textId="77777777" w:rsidR="00924840" w:rsidRPr="00C55547" w:rsidRDefault="00924840" w:rsidP="00924840">
            <w:pPr>
              <w:spacing w:after="0" w:line="240" w:lineRule="auto"/>
              <w:jc w:val="left"/>
              <w:rPr>
                <w:rFonts w:ascii="Arial" w:hAnsi="Arial" w:cs="Arial"/>
                <w:sz w:val="16"/>
                <w:szCs w:val="16"/>
              </w:rPr>
            </w:pPr>
            <w:r w:rsidRPr="00C55547">
              <w:rPr>
                <w:rFonts w:ascii="Arial" w:hAnsi="Arial" w:cs="Arial"/>
                <w:sz w:val="16"/>
                <w:szCs w:val="16"/>
              </w:rPr>
              <w:t>Administered expenses</w:t>
            </w:r>
          </w:p>
        </w:tc>
        <w:tc>
          <w:tcPr>
            <w:tcW w:w="901" w:type="dxa"/>
            <w:tcBorders>
              <w:top w:val="nil"/>
              <w:left w:val="nil"/>
              <w:bottom w:val="nil"/>
              <w:right w:val="nil"/>
            </w:tcBorders>
            <w:shd w:val="clear" w:color="auto" w:fill="auto"/>
            <w:noWrap/>
            <w:vAlign w:val="bottom"/>
            <w:hideMark/>
          </w:tcPr>
          <w:p w14:paraId="52CFE1B2" w14:textId="77777777" w:rsidR="00924840" w:rsidRPr="00C55547" w:rsidRDefault="00924840" w:rsidP="00282203">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0C1259C3" w14:textId="141EB454" w:rsidR="00924840" w:rsidRPr="00C55547" w:rsidRDefault="00924840" w:rsidP="00282203">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auto" w:fill="auto"/>
            <w:noWrap/>
            <w:vAlign w:val="bottom"/>
            <w:hideMark/>
          </w:tcPr>
          <w:p w14:paraId="370A3720" w14:textId="77777777" w:rsidR="00924840" w:rsidRPr="00C55547" w:rsidRDefault="00924840" w:rsidP="00282203">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auto" w:fill="auto"/>
            <w:noWrap/>
            <w:vAlign w:val="bottom"/>
            <w:hideMark/>
          </w:tcPr>
          <w:p w14:paraId="1DF1A3B0" w14:textId="77777777" w:rsidR="00924840" w:rsidRPr="00C55547" w:rsidRDefault="00924840" w:rsidP="00282203">
            <w:pPr>
              <w:spacing w:after="0" w:line="240" w:lineRule="auto"/>
              <w:jc w:val="right"/>
              <w:rPr>
                <w:rFonts w:ascii="Times New Roman" w:hAnsi="Times New Roman"/>
                <w:sz w:val="16"/>
                <w:szCs w:val="16"/>
              </w:rPr>
            </w:pPr>
          </w:p>
        </w:tc>
        <w:tc>
          <w:tcPr>
            <w:tcW w:w="977" w:type="dxa"/>
            <w:gridSpan w:val="2"/>
            <w:tcBorders>
              <w:top w:val="nil"/>
              <w:left w:val="nil"/>
              <w:bottom w:val="nil"/>
              <w:right w:val="nil"/>
            </w:tcBorders>
            <w:shd w:val="clear" w:color="auto" w:fill="auto"/>
            <w:noWrap/>
            <w:vAlign w:val="bottom"/>
            <w:hideMark/>
          </w:tcPr>
          <w:p w14:paraId="5A216157" w14:textId="77777777" w:rsidR="00924840" w:rsidRPr="00C55547" w:rsidRDefault="00924840" w:rsidP="00282203">
            <w:pPr>
              <w:spacing w:after="0" w:line="240" w:lineRule="auto"/>
              <w:jc w:val="right"/>
              <w:rPr>
                <w:rFonts w:ascii="Times New Roman" w:hAnsi="Times New Roman"/>
                <w:sz w:val="16"/>
                <w:szCs w:val="16"/>
              </w:rPr>
            </w:pPr>
          </w:p>
        </w:tc>
      </w:tr>
      <w:tr w:rsidR="003243A3" w:rsidRPr="00924840" w14:paraId="07A8AF3A" w14:textId="77777777" w:rsidTr="00C55547">
        <w:trPr>
          <w:gridAfter w:val="1"/>
          <w:wAfter w:w="76" w:type="dxa"/>
          <w:trHeight w:val="204"/>
        </w:trPr>
        <w:tc>
          <w:tcPr>
            <w:tcW w:w="2694" w:type="dxa"/>
            <w:tcBorders>
              <w:top w:val="nil"/>
              <w:left w:val="nil"/>
              <w:bottom w:val="nil"/>
              <w:right w:val="nil"/>
            </w:tcBorders>
            <w:shd w:val="clear" w:color="auto" w:fill="auto"/>
            <w:vAlign w:val="bottom"/>
            <w:hideMark/>
          </w:tcPr>
          <w:p w14:paraId="1528CEA5"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Ordinary Annual Services (Appropriation Act No. 1 and Bill No. 3)</w:t>
            </w:r>
          </w:p>
        </w:tc>
        <w:tc>
          <w:tcPr>
            <w:tcW w:w="901" w:type="dxa"/>
            <w:tcBorders>
              <w:top w:val="nil"/>
              <w:left w:val="nil"/>
              <w:bottom w:val="nil"/>
              <w:right w:val="nil"/>
            </w:tcBorders>
            <w:shd w:val="clear" w:color="auto" w:fill="auto"/>
            <w:noWrap/>
            <w:vAlign w:val="bottom"/>
            <w:hideMark/>
          </w:tcPr>
          <w:p w14:paraId="598C5DB7" w14:textId="3ADBF5D9"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372,698 </w:t>
            </w:r>
          </w:p>
        </w:tc>
        <w:tc>
          <w:tcPr>
            <w:tcW w:w="977" w:type="dxa"/>
            <w:tcBorders>
              <w:top w:val="nil"/>
              <w:left w:val="nil"/>
              <w:bottom w:val="nil"/>
              <w:right w:val="nil"/>
            </w:tcBorders>
            <w:shd w:val="clear" w:color="auto" w:fill="E6E6E6"/>
            <w:noWrap/>
            <w:vAlign w:val="bottom"/>
            <w:hideMark/>
          </w:tcPr>
          <w:p w14:paraId="78F42425" w14:textId="1BB72055"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497,202 </w:t>
            </w:r>
          </w:p>
        </w:tc>
        <w:tc>
          <w:tcPr>
            <w:tcW w:w="977" w:type="dxa"/>
            <w:gridSpan w:val="2"/>
            <w:tcBorders>
              <w:top w:val="nil"/>
              <w:left w:val="nil"/>
              <w:bottom w:val="nil"/>
              <w:right w:val="nil"/>
            </w:tcBorders>
            <w:shd w:val="clear" w:color="auto" w:fill="auto"/>
            <w:noWrap/>
            <w:vAlign w:val="bottom"/>
            <w:hideMark/>
          </w:tcPr>
          <w:p w14:paraId="491BAA82" w14:textId="1103F1D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279,953 </w:t>
            </w:r>
          </w:p>
        </w:tc>
        <w:tc>
          <w:tcPr>
            <w:tcW w:w="977" w:type="dxa"/>
            <w:gridSpan w:val="2"/>
            <w:tcBorders>
              <w:top w:val="nil"/>
              <w:left w:val="nil"/>
              <w:bottom w:val="nil"/>
              <w:right w:val="nil"/>
            </w:tcBorders>
            <w:shd w:val="clear" w:color="auto" w:fill="auto"/>
            <w:noWrap/>
            <w:vAlign w:val="bottom"/>
            <w:hideMark/>
          </w:tcPr>
          <w:p w14:paraId="45691BDC" w14:textId="4C5B62FB"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281,874 </w:t>
            </w:r>
          </w:p>
        </w:tc>
        <w:tc>
          <w:tcPr>
            <w:tcW w:w="977" w:type="dxa"/>
            <w:gridSpan w:val="2"/>
            <w:tcBorders>
              <w:top w:val="nil"/>
              <w:left w:val="nil"/>
              <w:bottom w:val="nil"/>
              <w:right w:val="nil"/>
            </w:tcBorders>
            <w:shd w:val="clear" w:color="auto" w:fill="auto"/>
            <w:noWrap/>
            <w:vAlign w:val="bottom"/>
            <w:hideMark/>
          </w:tcPr>
          <w:p w14:paraId="6C5EB092" w14:textId="047A1598"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276,895 </w:t>
            </w:r>
          </w:p>
        </w:tc>
      </w:tr>
      <w:tr w:rsidR="003243A3" w:rsidRPr="00924840" w14:paraId="7DA38E8E" w14:textId="77777777" w:rsidTr="00C55547">
        <w:trPr>
          <w:gridAfter w:val="1"/>
          <w:wAfter w:w="76" w:type="dxa"/>
          <w:trHeight w:val="204"/>
        </w:trPr>
        <w:tc>
          <w:tcPr>
            <w:tcW w:w="2694" w:type="dxa"/>
            <w:tcBorders>
              <w:top w:val="nil"/>
              <w:left w:val="nil"/>
              <w:bottom w:val="nil"/>
              <w:right w:val="nil"/>
            </w:tcBorders>
            <w:shd w:val="clear" w:color="auto" w:fill="auto"/>
            <w:vAlign w:val="bottom"/>
            <w:hideMark/>
          </w:tcPr>
          <w:p w14:paraId="6D5703FB"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Special Appropriation</w:t>
            </w:r>
          </w:p>
        </w:tc>
        <w:tc>
          <w:tcPr>
            <w:tcW w:w="901" w:type="dxa"/>
            <w:tcBorders>
              <w:top w:val="nil"/>
              <w:left w:val="nil"/>
              <w:bottom w:val="nil"/>
              <w:right w:val="nil"/>
            </w:tcBorders>
            <w:shd w:val="clear" w:color="auto" w:fill="auto"/>
            <w:noWrap/>
            <w:vAlign w:val="bottom"/>
            <w:hideMark/>
          </w:tcPr>
          <w:p w14:paraId="3E40B210" w14:textId="77777777" w:rsidR="003243A3" w:rsidRPr="00C55547" w:rsidRDefault="003243A3" w:rsidP="003243A3">
            <w:pPr>
              <w:spacing w:after="0" w:line="240" w:lineRule="auto"/>
              <w:ind w:firstLineChars="100" w:firstLine="160"/>
              <w:jc w:val="righ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52FBEFA5" w14:textId="5A9B27AF"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w:t>
            </w:r>
          </w:p>
        </w:tc>
        <w:tc>
          <w:tcPr>
            <w:tcW w:w="977" w:type="dxa"/>
            <w:gridSpan w:val="2"/>
            <w:tcBorders>
              <w:top w:val="nil"/>
              <w:left w:val="nil"/>
              <w:bottom w:val="nil"/>
              <w:right w:val="nil"/>
            </w:tcBorders>
            <w:shd w:val="clear" w:color="auto" w:fill="auto"/>
            <w:noWrap/>
            <w:vAlign w:val="bottom"/>
            <w:hideMark/>
          </w:tcPr>
          <w:p w14:paraId="262572FF" w14:textId="77777777" w:rsidR="003243A3" w:rsidRPr="00C55547" w:rsidRDefault="003243A3" w:rsidP="003243A3">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auto" w:fill="auto"/>
            <w:noWrap/>
            <w:vAlign w:val="bottom"/>
            <w:hideMark/>
          </w:tcPr>
          <w:p w14:paraId="05B96340" w14:textId="77777777" w:rsidR="003243A3" w:rsidRPr="00C55547" w:rsidRDefault="003243A3" w:rsidP="003243A3">
            <w:pPr>
              <w:spacing w:after="0" w:line="240" w:lineRule="auto"/>
              <w:jc w:val="right"/>
              <w:rPr>
                <w:rFonts w:ascii="Times New Roman" w:hAnsi="Times New Roman"/>
                <w:sz w:val="16"/>
                <w:szCs w:val="16"/>
              </w:rPr>
            </w:pPr>
          </w:p>
        </w:tc>
        <w:tc>
          <w:tcPr>
            <w:tcW w:w="977" w:type="dxa"/>
            <w:gridSpan w:val="2"/>
            <w:tcBorders>
              <w:top w:val="nil"/>
              <w:left w:val="nil"/>
              <w:bottom w:val="nil"/>
              <w:right w:val="nil"/>
            </w:tcBorders>
            <w:shd w:val="clear" w:color="auto" w:fill="auto"/>
            <w:noWrap/>
            <w:vAlign w:val="bottom"/>
            <w:hideMark/>
          </w:tcPr>
          <w:p w14:paraId="34215416" w14:textId="77777777" w:rsidR="003243A3" w:rsidRPr="00C55547" w:rsidRDefault="003243A3" w:rsidP="003243A3">
            <w:pPr>
              <w:spacing w:after="0" w:line="240" w:lineRule="auto"/>
              <w:jc w:val="right"/>
              <w:rPr>
                <w:rFonts w:ascii="Times New Roman" w:hAnsi="Times New Roman"/>
                <w:sz w:val="16"/>
                <w:szCs w:val="16"/>
              </w:rPr>
            </w:pPr>
          </w:p>
        </w:tc>
      </w:tr>
      <w:tr w:rsidR="003243A3" w:rsidRPr="00924840" w14:paraId="760EE692" w14:textId="77777777" w:rsidTr="00C55547">
        <w:trPr>
          <w:gridAfter w:val="1"/>
          <w:wAfter w:w="76" w:type="dxa"/>
          <w:trHeight w:val="204"/>
        </w:trPr>
        <w:tc>
          <w:tcPr>
            <w:tcW w:w="2694" w:type="dxa"/>
            <w:tcBorders>
              <w:top w:val="nil"/>
              <w:left w:val="nil"/>
              <w:bottom w:val="nil"/>
              <w:right w:val="nil"/>
            </w:tcBorders>
            <w:shd w:val="clear" w:color="auto" w:fill="auto"/>
            <w:vAlign w:val="bottom"/>
            <w:hideMark/>
          </w:tcPr>
          <w:p w14:paraId="06A0D121" w14:textId="1A3303E7" w:rsidR="003243A3" w:rsidRPr="00C55547" w:rsidRDefault="003243A3" w:rsidP="003243A3">
            <w:pPr>
              <w:spacing w:after="0" w:line="240" w:lineRule="auto"/>
              <w:ind w:left="227"/>
              <w:jc w:val="left"/>
              <w:rPr>
                <w:rFonts w:ascii="Arial" w:hAnsi="Arial" w:cs="Arial"/>
                <w:sz w:val="16"/>
                <w:szCs w:val="16"/>
              </w:rPr>
            </w:pPr>
            <w:r w:rsidRPr="00C55547">
              <w:rPr>
                <w:rFonts w:ascii="Arial" w:hAnsi="Arial" w:cs="Arial"/>
                <w:sz w:val="16"/>
                <w:szCs w:val="16"/>
              </w:rPr>
              <w:t>Arts and Cultural Development </w:t>
            </w:r>
            <w:r w:rsidRPr="00C55547">
              <w:rPr>
                <w:rFonts w:ascii="Arial" w:hAnsi="Arial" w:cs="Arial"/>
                <w:sz w:val="16"/>
                <w:szCs w:val="16"/>
                <w:vertAlign w:val="superscript"/>
              </w:rPr>
              <w:t xml:space="preserve">(a) </w:t>
            </w:r>
          </w:p>
        </w:tc>
        <w:tc>
          <w:tcPr>
            <w:tcW w:w="901" w:type="dxa"/>
            <w:tcBorders>
              <w:top w:val="nil"/>
              <w:left w:val="nil"/>
              <w:bottom w:val="nil"/>
              <w:right w:val="nil"/>
            </w:tcBorders>
            <w:shd w:val="clear" w:color="auto" w:fill="auto"/>
            <w:noWrap/>
            <w:vAlign w:val="bottom"/>
            <w:hideMark/>
          </w:tcPr>
          <w:p w14:paraId="6283960F" w14:textId="0CDFE424"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11,400 </w:t>
            </w:r>
          </w:p>
        </w:tc>
        <w:tc>
          <w:tcPr>
            <w:tcW w:w="977" w:type="dxa"/>
            <w:tcBorders>
              <w:top w:val="nil"/>
              <w:left w:val="nil"/>
              <w:bottom w:val="nil"/>
              <w:right w:val="nil"/>
            </w:tcBorders>
            <w:shd w:val="clear" w:color="auto" w:fill="E6E6E6"/>
            <w:noWrap/>
            <w:vAlign w:val="bottom"/>
            <w:hideMark/>
          </w:tcPr>
          <w:p w14:paraId="6D20AAB1" w14:textId="24E1240F"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19414210" w14:textId="33EB7558"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779019BB" w14:textId="31E9DEE5"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6E38046E" w14:textId="749F8E07"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r>
      <w:tr w:rsidR="003243A3" w:rsidRPr="00924840" w14:paraId="39F67C75" w14:textId="77777777" w:rsidTr="00C55547">
        <w:trPr>
          <w:gridAfter w:val="1"/>
          <w:wAfter w:w="76" w:type="dxa"/>
          <w:trHeight w:val="204"/>
        </w:trPr>
        <w:tc>
          <w:tcPr>
            <w:tcW w:w="2694" w:type="dxa"/>
            <w:tcBorders>
              <w:top w:val="nil"/>
              <w:left w:val="nil"/>
              <w:bottom w:val="nil"/>
              <w:right w:val="nil"/>
            </w:tcBorders>
            <w:shd w:val="clear" w:color="auto" w:fill="auto"/>
            <w:vAlign w:val="bottom"/>
            <w:hideMark/>
          </w:tcPr>
          <w:p w14:paraId="34B05D8F" w14:textId="77777777" w:rsidR="003243A3" w:rsidRPr="00C55547" w:rsidRDefault="003243A3" w:rsidP="003243A3">
            <w:pPr>
              <w:spacing w:after="0" w:line="240" w:lineRule="auto"/>
              <w:ind w:left="227"/>
              <w:jc w:val="left"/>
              <w:rPr>
                <w:rFonts w:ascii="Arial" w:hAnsi="Arial" w:cs="Arial"/>
                <w:sz w:val="16"/>
                <w:szCs w:val="16"/>
              </w:rPr>
            </w:pPr>
            <w:r w:rsidRPr="00C55547">
              <w:rPr>
                <w:rFonts w:ascii="Arial" w:hAnsi="Arial" w:cs="Arial"/>
                <w:sz w:val="16"/>
                <w:szCs w:val="16"/>
              </w:rPr>
              <w:t xml:space="preserve">Indigenous Arts, Languages and Repatriation </w:t>
            </w:r>
            <w:r w:rsidRPr="00C55547">
              <w:rPr>
                <w:rFonts w:ascii="Arial" w:hAnsi="Arial" w:cs="Arial"/>
                <w:sz w:val="16"/>
                <w:szCs w:val="16"/>
                <w:vertAlign w:val="superscript"/>
              </w:rPr>
              <w:t>(a)</w:t>
            </w:r>
            <w:r w:rsidRPr="00C55547">
              <w:rPr>
                <w:rFonts w:ascii="Arial" w:hAnsi="Arial" w:cs="Arial"/>
                <w:sz w:val="16"/>
                <w:szCs w:val="16"/>
              </w:rPr>
              <w:t xml:space="preserve"> </w:t>
            </w:r>
          </w:p>
        </w:tc>
        <w:tc>
          <w:tcPr>
            <w:tcW w:w="901" w:type="dxa"/>
            <w:tcBorders>
              <w:top w:val="nil"/>
              <w:left w:val="nil"/>
              <w:bottom w:val="nil"/>
              <w:right w:val="nil"/>
            </w:tcBorders>
            <w:shd w:val="clear" w:color="auto" w:fill="auto"/>
            <w:noWrap/>
            <w:vAlign w:val="bottom"/>
            <w:hideMark/>
          </w:tcPr>
          <w:p w14:paraId="6D020DCA" w14:textId="520063F7"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8,500 </w:t>
            </w:r>
          </w:p>
        </w:tc>
        <w:tc>
          <w:tcPr>
            <w:tcW w:w="977" w:type="dxa"/>
            <w:tcBorders>
              <w:top w:val="nil"/>
              <w:left w:val="nil"/>
              <w:bottom w:val="nil"/>
              <w:right w:val="nil"/>
            </w:tcBorders>
            <w:shd w:val="clear" w:color="auto" w:fill="E6E6E6"/>
            <w:noWrap/>
            <w:vAlign w:val="bottom"/>
            <w:hideMark/>
          </w:tcPr>
          <w:p w14:paraId="02D7EC3B" w14:textId="6A44E44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308E5200" w14:textId="6A726D08"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5EEC972D" w14:textId="674DD731"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35708DA3" w14:textId="7326015C"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r>
      <w:tr w:rsidR="003243A3" w:rsidRPr="00924840" w14:paraId="5EBC943E" w14:textId="77777777" w:rsidTr="00C55547">
        <w:trPr>
          <w:gridAfter w:val="1"/>
          <w:wAfter w:w="76" w:type="dxa"/>
          <w:trHeight w:val="204"/>
        </w:trPr>
        <w:tc>
          <w:tcPr>
            <w:tcW w:w="2694" w:type="dxa"/>
            <w:tcBorders>
              <w:top w:val="nil"/>
              <w:left w:val="nil"/>
              <w:bottom w:val="nil"/>
              <w:right w:val="nil"/>
            </w:tcBorders>
            <w:shd w:val="clear" w:color="auto" w:fill="auto"/>
            <w:vAlign w:val="bottom"/>
            <w:hideMark/>
          </w:tcPr>
          <w:p w14:paraId="401170F7" w14:textId="77777777" w:rsidR="003243A3" w:rsidRPr="00C55547" w:rsidRDefault="003243A3" w:rsidP="003243A3">
            <w:pPr>
              <w:spacing w:after="0" w:line="240" w:lineRule="auto"/>
              <w:ind w:left="227"/>
              <w:jc w:val="left"/>
              <w:rPr>
                <w:rFonts w:ascii="Arial" w:hAnsi="Arial" w:cs="Arial"/>
                <w:sz w:val="16"/>
                <w:szCs w:val="16"/>
              </w:rPr>
            </w:pPr>
            <w:r w:rsidRPr="00C55547">
              <w:rPr>
                <w:rFonts w:ascii="Arial" w:hAnsi="Arial" w:cs="Arial"/>
                <w:sz w:val="16"/>
                <w:szCs w:val="16"/>
              </w:rPr>
              <w:t xml:space="preserve">Film and Television </w:t>
            </w:r>
            <w:r w:rsidRPr="00C55547">
              <w:rPr>
                <w:rFonts w:ascii="Arial" w:hAnsi="Arial" w:cs="Arial"/>
                <w:sz w:val="16"/>
                <w:szCs w:val="16"/>
                <w:vertAlign w:val="superscript"/>
              </w:rPr>
              <w:t>(a)</w:t>
            </w:r>
          </w:p>
        </w:tc>
        <w:tc>
          <w:tcPr>
            <w:tcW w:w="901" w:type="dxa"/>
            <w:tcBorders>
              <w:top w:val="nil"/>
              <w:left w:val="nil"/>
              <w:bottom w:val="nil"/>
              <w:right w:val="nil"/>
            </w:tcBorders>
            <w:shd w:val="clear" w:color="auto" w:fill="auto"/>
            <w:noWrap/>
            <w:vAlign w:val="bottom"/>
            <w:hideMark/>
          </w:tcPr>
          <w:p w14:paraId="7827931C" w14:textId="23D69F0C"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8,000 </w:t>
            </w:r>
          </w:p>
        </w:tc>
        <w:tc>
          <w:tcPr>
            <w:tcW w:w="977" w:type="dxa"/>
            <w:tcBorders>
              <w:top w:val="nil"/>
              <w:left w:val="nil"/>
              <w:bottom w:val="nil"/>
              <w:right w:val="nil"/>
            </w:tcBorders>
            <w:shd w:val="clear" w:color="auto" w:fill="E6E6E6"/>
            <w:noWrap/>
            <w:vAlign w:val="bottom"/>
            <w:hideMark/>
          </w:tcPr>
          <w:p w14:paraId="2143A225" w14:textId="50DFDE81"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3AB01A6B" w14:textId="27297A1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10F23E76" w14:textId="6007C3F6"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977" w:type="dxa"/>
            <w:gridSpan w:val="2"/>
            <w:tcBorders>
              <w:top w:val="nil"/>
              <w:left w:val="nil"/>
              <w:bottom w:val="nil"/>
              <w:right w:val="nil"/>
            </w:tcBorders>
            <w:shd w:val="clear" w:color="auto" w:fill="auto"/>
            <w:noWrap/>
            <w:vAlign w:val="bottom"/>
            <w:hideMark/>
          </w:tcPr>
          <w:p w14:paraId="3852E233" w14:textId="7FC4263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r>
      <w:tr w:rsidR="003243A3" w:rsidRPr="00924840" w14:paraId="6F12684A" w14:textId="77777777" w:rsidTr="00C55547">
        <w:trPr>
          <w:gridAfter w:val="1"/>
          <w:wAfter w:w="76" w:type="dxa"/>
          <w:trHeight w:val="204"/>
        </w:trPr>
        <w:tc>
          <w:tcPr>
            <w:tcW w:w="2694" w:type="dxa"/>
            <w:tcBorders>
              <w:top w:val="nil"/>
              <w:left w:val="nil"/>
              <w:bottom w:val="nil"/>
              <w:right w:val="nil"/>
            </w:tcBorders>
            <w:shd w:val="clear" w:color="auto" w:fill="auto"/>
            <w:vAlign w:val="bottom"/>
            <w:hideMark/>
          </w:tcPr>
          <w:p w14:paraId="039006F0"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Special accounts</w:t>
            </w:r>
          </w:p>
        </w:tc>
        <w:tc>
          <w:tcPr>
            <w:tcW w:w="901" w:type="dxa"/>
            <w:tcBorders>
              <w:top w:val="nil"/>
              <w:left w:val="nil"/>
              <w:bottom w:val="nil"/>
              <w:right w:val="nil"/>
            </w:tcBorders>
            <w:shd w:val="clear" w:color="auto" w:fill="auto"/>
            <w:noWrap/>
            <w:vAlign w:val="bottom"/>
            <w:hideMark/>
          </w:tcPr>
          <w:p w14:paraId="4766D4B1" w14:textId="77777777" w:rsidR="003243A3" w:rsidRPr="00C55547" w:rsidRDefault="003243A3" w:rsidP="003243A3">
            <w:pPr>
              <w:spacing w:after="0" w:line="240" w:lineRule="auto"/>
              <w:ind w:firstLineChars="100" w:firstLine="160"/>
              <w:jc w:val="right"/>
              <w:rPr>
                <w:rFonts w:ascii="Arial" w:hAnsi="Arial" w:cs="Arial"/>
                <w:sz w:val="16"/>
                <w:szCs w:val="16"/>
              </w:rPr>
            </w:pPr>
          </w:p>
        </w:tc>
        <w:tc>
          <w:tcPr>
            <w:tcW w:w="977" w:type="dxa"/>
            <w:tcBorders>
              <w:top w:val="nil"/>
              <w:left w:val="nil"/>
              <w:bottom w:val="nil"/>
              <w:right w:val="nil"/>
            </w:tcBorders>
            <w:shd w:val="clear" w:color="auto" w:fill="E6E6E6"/>
            <w:noWrap/>
            <w:vAlign w:val="bottom"/>
            <w:hideMark/>
          </w:tcPr>
          <w:p w14:paraId="4EFA6A49" w14:textId="22FB7AA1"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w:t>
            </w:r>
          </w:p>
        </w:tc>
        <w:tc>
          <w:tcPr>
            <w:tcW w:w="977" w:type="dxa"/>
            <w:gridSpan w:val="2"/>
            <w:tcBorders>
              <w:top w:val="nil"/>
              <w:left w:val="nil"/>
              <w:bottom w:val="nil"/>
              <w:right w:val="nil"/>
            </w:tcBorders>
            <w:shd w:val="clear" w:color="auto" w:fill="auto"/>
            <w:noWrap/>
            <w:vAlign w:val="bottom"/>
            <w:hideMark/>
          </w:tcPr>
          <w:p w14:paraId="77CC4024" w14:textId="77777777" w:rsidR="003243A3" w:rsidRPr="00C55547" w:rsidRDefault="003243A3" w:rsidP="003243A3">
            <w:pPr>
              <w:spacing w:after="0" w:line="240" w:lineRule="auto"/>
              <w:jc w:val="right"/>
              <w:rPr>
                <w:rFonts w:ascii="Arial" w:hAnsi="Arial" w:cs="Arial"/>
                <w:sz w:val="16"/>
                <w:szCs w:val="16"/>
              </w:rPr>
            </w:pPr>
          </w:p>
        </w:tc>
        <w:tc>
          <w:tcPr>
            <w:tcW w:w="977" w:type="dxa"/>
            <w:gridSpan w:val="2"/>
            <w:tcBorders>
              <w:top w:val="nil"/>
              <w:left w:val="nil"/>
              <w:bottom w:val="nil"/>
              <w:right w:val="nil"/>
            </w:tcBorders>
            <w:shd w:val="clear" w:color="auto" w:fill="auto"/>
            <w:noWrap/>
            <w:vAlign w:val="bottom"/>
            <w:hideMark/>
          </w:tcPr>
          <w:p w14:paraId="71C5AC2C" w14:textId="77777777" w:rsidR="003243A3" w:rsidRPr="00C55547" w:rsidRDefault="003243A3" w:rsidP="003243A3">
            <w:pPr>
              <w:spacing w:after="0" w:line="240" w:lineRule="auto"/>
              <w:jc w:val="right"/>
              <w:rPr>
                <w:rFonts w:ascii="Times New Roman" w:hAnsi="Times New Roman"/>
                <w:sz w:val="16"/>
                <w:szCs w:val="16"/>
              </w:rPr>
            </w:pPr>
          </w:p>
        </w:tc>
        <w:tc>
          <w:tcPr>
            <w:tcW w:w="977" w:type="dxa"/>
            <w:gridSpan w:val="2"/>
            <w:tcBorders>
              <w:top w:val="nil"/>
              <w:left w:val="nil"/>
              <w:bottom w:val="nil"/>
              <w:right w:val="nil"/>
            </w:tcBorders>
            <w:shd w:val="clear" w:color="auto" w:fill="auto"/>
            <w:noWrap/>
            <w:vAlign w:val="bottom"/>
            <w:hideMark/>
          </w:tcPr>
          <w:p w14:paraId="476B0101" w14:textId="77777777" w:rsidR="003243A3" w:rsidRPr="00C55547" w:rsidRDefault="003243A3" w:rsidP="003243A3">
            <w:pPr>
              <w:spacing w:after="0" w:line="240" w:lineRule="auto"/>
              <w:jc w:val="right"/>
              <w:rPr>
                <w:rFonts w:ascii="Times New Roman" w:hAnsi="Times New Roman"/>
                <w:sz w:val="16"/>
                <w:szCs w:val="16"/>
              </w:rPr>
            </w:pPr>
          </w:p>
        </w:tc>
      </w:tr>
      <w:tr w:rsidR="003243A3" w:rsidRPr="00924840" w14:paraId="05115D1C" w14:textId="77777777" w:rsidTr="00C55547">
        <w:trPr>
          <w:gridAfter w:val="1"/>
          <w:wAfter w:w="76" w:type="dxa"/>
          <w:trHeight w:val="204"/>
        </w:trPr>
        <w:tc>
          <w:tcPr>
            <w:tcW w:w="2694" w:type="dxa"/>
            <w:tcBorders>
              <w:top w:val="nil"/>
              <w:left w:val="nil"/>
              <w:bottom w:val="nil"/>
              <w:right w:val="nil"/>
            </w:tcBorders>
            <w:shd w:val="clear" w:color="auto" w:fill="auto"/>
            <w:vAlign w:val="bottom"/>
            <w:hideMark/>
          </w:tcPr>
          <w:p w14:paraId="3037D26C" w14:textId="77777777" w:rsidR="003243A3" w:rsidRPr="00C55547" w:rsidRDefault="003243A3" w:rsidP="003243A3">
            <w:pPr>
              <w:spacing w:after="0" w:line="240" w:lineRule="auto"/>
              <w:ind w:left="227"/>
              <w:jc w:val="left"/>
              <w:rPr>
                <w:rFonts w:ascii="Arial" w:hAnsi="Arial" w:cs="Arial"/>
                <w:sz w:val="16"/>
                <w:szCs w:val="16"/>
              </w:rPr>
            </w:pPr>
            <w:r w:rsidRPr="00C55547">
              <w:rPr>
                <w:rFonts w:ascii="Arial" w:hAnsi="Arial" w:cs="Arial"/>
                <w:sz w:val="16"/>
                <w:szCs w:val="16"/>
              </w:rPr>
              <w:t>National Cultural Heritage Account</w:t>
            </w:r>
          </w:p>
        </w:tc>
        <w:tc>
          <w:tcPr>
            <w:tcW w:w="901" w:type="dxa"/>
            <w:tcBorders>
              <w:top w:val="nil"/>
              <w:left w:val="nil"/>
              <w:bottom w:val="nil"/>
              <w:right w:val="nil"/>
            </w:tcBorders>
            <w:shd w:val="clear" w:color="auto" w:fill="auto"/>
            <w:noWrap/>
            <w:vAlign w:val="bottom"/>
            <w:hideMark/>
          </w:tcPr>
          <w:p w14:paraId="689056AB" w14:textId="1871637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500 </w:t>
            </w:r>
          </w:p>
        </w:tc>
        <w:tc>
          <w:tcPr>
            <w:tcW w:w="977" w:type="dxa"/>
            <w:tcBorders>
              <w:top w:val="nil"/>
              <w:left w:val="nil"/>
              <w:bottom w:val="nil"/>
              <w:right w:val="nil"/>
            </w:tcBorders>
            <w:shd w:val="clear" w:color="auto" w:fill="E6E6E6"/>
            <w:noWrap/>
            <w:vAlign w:val="bottom"/>
            <w:hideMark/>
          </w:tcPr>
          <w:p w14:paraId="0459CB5F" w14:textId="63F4882B"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500 </w:t>
            </w:r>
          </w:p>
        </w:tc>
        <w:tc>
          <w:tcPr>
            <w:tcW w:w="977" w:type="dxa"/>
            <w:gridSpan w:val="2"/>
            <w:tcBorders>
              <w:top w:val="nil"/>
              <w:left w:val="nil"/>
              <w:bottom w:val="nil"/>
              <w:right w:val="nil"/>
            </w:tcBorders>
            <w:shd w:val="clear" w:color="auto" w:fill="auto"/>
            <w:noWrap/>
            <w:vAlign w:val="bottom"/>
            <w:hideMark/>
          </w:tcPr>
          <w:p w14:paraId="03DBA88C" w14:textId="4E890F69"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500 </w:t>
            </w:r>
          </w:p>
        </w:tc>
        <w:tc>
          <w:tcPr>
            <w:tcW w:w="977" w:type="dxa"/>
            <w:gridSpan w:val="2"/>
            <w:tcBorders>
              <w:top w:val="nil"/>
              <w:left w:val="nil"/>
              <w:bottom w:val="nil"/>
              <w:right w:val="nil"/>
            </w:tcBorders>
            <w:shd w:val="clear" w:color="auto" w:fill="auto"/>
            <w:noWrap/>
            <w:vAlign w:val="bottom"/>
            <w:hideMark/>
          </w:tcPr>
          <w:p w14:paraId="1CDDBCB5" w14:textId="3F7EE4E8"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500 </w:t>
            </w:r>
          </w:p>
        </w:tc>
        <w:tc>
          <w:tcPr>
            <w:tcW w:w="977" w:type="dxa"/>
            <w:gridSpan w:val="2"/>
            <w:tcBorders>
              <w:top w:val="nil"/>
              <w:left w:val="nil"/>
              <w:bottom w:val="nil"/>
              <w:right w:val="nil"/>
            </w:tcBorders>
            <w:shd w:val="clear" w:color="auto" w:fill="auto"/>
            <w:noWrap/>
            <w:vAlign w:val="bottom"/>
            <w:hideMark/>
          </w:tcPr>
          <w:p w14:paraId="019D27ED" w14:textId="309BEE62"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500 </w:t>
            </w:r>
          </w:p>
        </w:tc>
      </w:tr>
      <w:tr w:rsidR="003243A3" w:rsidRPr="00924840" w14:paraId="0BCFD00D" w14:textId="77777777" w:rsidTr="00C55547">
        <w:trPr>
          <w:gridAfter w:val="1"/>
          <w:wAfter w:w="76" w:type="dxa"/>
          <w:trHeight w:val="204"/>
        </w:trPr>
        <w:tc>
          <w:tcPr>
            <w:tcW w:w="2694" w:type="dxa"/>
            <w:tcBorders>
              <w:top w:val="nil"/>
              <w:left w:val="nil"/>
              <w:bottom w:val="nil"/>
              <w:right w:val="nil"/>
            </w:tcBorders>
            <w:shd w:val="clear" w:color="auto" w:fill="auto"/>
            <w:vAlign w:val="bottom"/>
            <w:hideMark/>
          </w:tcPr>
          <w:p w14:paraId="062D9C85"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 xml:space="preserve">Payments to corporate entities </w:t>
            </w:r>
            <w:r w:rsidRPr="00C55547">
              <w:rPr>
                <w:rFonts w:ascii="Arial" w:hAnsi="Arial" w:cs="Arial"/>
                <w:sz w:val="16"/>
                <w:szCs w:val="16"/>
                <w:vertAlign w:val="superscript"/>
              </w:rPr>
              <w:t>(b)</w:t>
            </w:r>
          </w:p>
        </w:tc>
        <w:tc>
          <w:tcPr>
            <w:tcW w:w="901" w:type="dxa"/>
            <w:tcBorders>
              <w:top w:val="nil"/>
              <w:left w:val="nil"/>
              <w:bottom w:val="nil"/>
              <w:right w:val="nil"/>
            </w:tcBorders>
            <w:shd w:val="clear" w:color="auto" w:fill="auto"/>
            <w:noWrap/>
            <w:vAlign w:val="bottom"/>
            <w:hideMark/>
          </w:tcPr>
          <w:p w14:paraId="1EDA52C6" w14:textId="6684301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466,109 </w:t>
            </w:r>
          </w:p>
        </w:tc>
        <w:tc>
          <w:tcPr>
            <w:tcW w:w="977" w:type="dxa"/>
            <w:tcBorders>
              <w:top w:val="nil"/>
              <w:left w:val="nil"/>
              <w:bottom w:val="nil"/>
              <w:right w:val="nil"/>
            </w:tcBorders>
            <w:shd w:val="clear" w:color="auto" w:fill="E6E6E6"/>
            <w:noWrap/>
            <w:vAlign w:val="bottom"/>
            <w:hideMark/>
          </w:tcPr>
          <w:p w14:paraId="38A62FD4" w14:textId="6E2C2DD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495,092 </w:t>
            </w:r>
          </w:p>
        </w:tc>
        <w:tc>
          <w:tcPr>
            <w:tcW w:w="977" w:type="dxa"/>
            <w:gridSpan w:val="2"/>
            <w:tcBorders>
              <w:top w:val="nil"/>
              <w:left w:val="nil"/>
              <w:bottom w:val="nil"/>
              <w:right w:val="nil"/>
            </w:tcBorders>
            <w:shd w:val="clear" w:color="auto" w:fill="auto"/>
            <w:noWrap/>
            <w:vAlign w:val="bottom"/>
            <w:hideMark/>
          </w:tcPr>
          <w:p w14:paraId="5A859B60" w14:textId="04D8012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485,984 </w:t>
            </w:r>
          </w:p>
        </w:tc>
        <w:tc>
          <w:tcPr>
            <w:tcW w:w="977" w:type="dxa"/>
            <w:gridSpan w:val="2"/>
            <w:tcBorders>
              <w:top w:val="nil"/>
              <w:left w:val="nil"/>
              <w:bottom w:val="nil"/>
              <w:right w:val="nil"/>
            </w:tcBorders>
            <w:shd w:val="clear" w:color="auto" w:fill="auto"/>
            <w:noWrap/>
            <w:vAlign w:val="bottom"/>
            <w:hideMark/>
          </w:tcPr>
          <w:p w14:paraId="52A69707" w14:textId="5B778DE1"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449,708 </w:t>
            </w:r>
          </w:p>
        </w:tc>
        <w:tc>
          <w:tcPr>
            <w:tcW w:w="977" w:type="dxa"/>
            <w:gridSpan w:val="2"/>
            <w:tcBorders>
              <w:top w:val="nil"/>
              <w:left w:val="nil"/>
              <w:bottom w:val="nil"/>
              <w:right w:val="nil"/>
            </w:tcBorders>
            <w:shd w:val="clear" w:color="auto" w:fill="auto"/>
            <w:noWrap/>
            <w:vAlign w:val="bottom"/>
            <w:hideMark/>
          </w:tcPr>
          <w:p w14:paraId="5BFCC99F" w14:textId="2F7E33EB"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454,685 </w:t>
            </w:r>
          </w:p>
        </w:tc>
      </w:tr>
      <w:tr w:rsidR="003243A3" w:rsidRPr="00924840" w14:paraId="1F742119" w14:textId="77777777" w:rsidTr="00C55547">
        <w:trPr>
          <w:gridAfter w:val="1"/>
          <w:wAfter w:w="76" w:type="dxa"/>
          <w:trHeight w:val="204"/>
        </w:trPr>
        <w:tc>
          <w:tcPr>
            <w:tcW w:w="2694" w:type="dxa"/>
            <w:tcBorders>
              <w:top w:val="nil"/>
              <w:left w:val="nil"/>
              <w:bottom w:val="nil"/>
              <w:right w:val="nil"/>
            </w:tcBorders>
            <w:shd w:val="clear" w:color="auto" w:fill="auto"/>
            <w:vAlign w:val="bottom"/>
            <w:hideMark/>
          </w:tcPr>
          <w:p w14:paraId="3E6D3CCB" w14:textId="1C8B133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Expenses not requiring appropriation in the Budget year </w:t>
            </w:r>
            <w:r w:rsidRPr="00C55547">
              <w:rPr>
                <w:rFonts w:ascii="Arial" w:hAnsi="Arial" w:cs="Arial"/>
                <w:sz w:val="16"/>
                <w:szCs w:val="16"/>
                <w:vertAlign w:val="superscript"/>
              </w:rPr>
              <w:t>(c)</w:t>
            </w:r>
          </w:p>
        </w:tc>
        <w:tc>
          <w:tcPr>
            <w:tcW w:w="901" w:type="dxa"/>
            <w:tcBorders>
              <w:top w:val="nil"/>
              <w:left w:val="nil"/>
              <w:bottom w:val="nil"/>
              <w:right w:val="nil"/>
            </w:tcBorders>
            <w:shd w:val="clear" w:color="auto" w:fill="auto"/>
            <w:noWrap/>
            <w:vAlign w:val="bottom"/>
            <w:hideMark/>
          </w:tcPr>
          <w:p w14:paraId="7FC208D1" w14:textId="1C1117D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3,502 </w:t>
            </w:r>
          </w:p>
        </w:tc>
        <w:tc>
          <w:tcPr>
            <w:tcW w:w="977" w:type="dxa"/>
            <w:tcBorders>
              <w:top w:val="nil"/>
              <w:left w:val="nil"/>
              <w:bottom w:val="nil"/>
              <w:right w:val="nil"/>
            </w:tcBorders>
            <w:shd w:val="clear" w:color="auto" w:fill="E6E6E6"/>
            <w:noWrap/>
            <w:vAlign w:val="bottom"/>
            <w:hideMark/>
          </w:tcPr>
          <w:p w14:paraId="51D9284B" w14:textId="1FD22F17"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2,389 </w:t>
            </w:r>
          </w:p>
        </w:tc>
        <w:tc>
          <w:tcPr>
            <w:tcW w:w="977" w:type="dxa"/>
            <w:gridSpan w:val="2"/>
            <w:tcBorders>
              <w:top w:val="nil"/>
              <w:left w:val="nil"/>
              <w:bottom w:val="nil"/>
              <w:right w:val="nil"/>
            </w:tcBorders>
            <w:shd w:val="clear" w:color="auto" w:fill="auto"/>
            <w:noWrap/>
            <w:vAlign w:val="bottom"/>
            <w:hideMark/>
          </w:tcPr>
          <w:p w14:paraId="12EBB485" w14:textId="11643C7B"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2,389 </w:t>
            </w:r>
          </w:p>
        </w:tc>
        <w:tc>
          <w:tcPr>
            <w:tcW w:w="977" w:type="dxa"/>
            <w:gridSpan w:val="2"/>
            <w:tcBorders>
              <w:top w:val="nil"/>
              <w:left w:val="nil"/>
              <w:bottom w:val="nil"/>
              <w:right w:val="nil"/>
            </w:tcBorders>
            <w:shd w:val="clear" w:color="auto" w:fill="auto"/>
            <w:noWrap/>
            <w:vAlign w:val="bottom"/>
            <w:hideMark/>
          </w:tcPr>
          <w:p w14:paraId="7778FBAC" w14:textId="03C0464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2,389 </w:t>
            </w:r>
          </w:p>
        </w:tc>
        <w:tc>
          <w:tcPr>
            <w:tcW w:w="977" w:type="dxa"/>
            <w:gridSpan w:val="2"/>
            <w:tcBorders>
              <w:top w:val="nil"/>
              <w:left w:val="nil"/>
              <w:bottom w:val="nil"/>
              <w:right w:val="nil"/>
            </w:tcBorders>
            <w:shd w:val="clear" w:color="auto" w:fill="auto"/>
            <w:noWrap/>
            <w:vAlign w:val="bottom"/>
            <w:hideMark/>
          </w:tcPr>
          <w:p w14:paraId="775BFFE0" w14:textId="1B79A66C"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2,389 </w:t>
            </w:r>
          </w:p>
        </w:tc>
      </w:tr>
      <w:tr w:rsidR="003243A3" w:rsidRPr="00924840" w14:paraId="0B2799E6" w14:textId="77777777" w:rsidTr="00C55547">
        <w:trPr>
          <w:gridAfter w:val="1"/>
          <w:wAfter w:w="76" w:type="dxa"/>
          <w:trHeight w:val="204"/>
        </w:trPr>
        <w:tc>
          <w:tcPr>
            <w:tcW w:w="2694" w:type="dxa"/>
            <w:tcBorders>
              <w:top w:val="nil"/>
              <w:left w:val="nil"/>
              <w:bottom w:val="nil"/>
              <w:right w:val="nil"/>
            </w:tcBorders>
            <w:shd w:val="clear" w:color="auto" w:fill="auto"/>
            <w:noWrap/>
            <w:vAlign w:val="bottom"/>
            <w:hideMark/>
          </w:tcPr>
          <w:p w14:paraId="45268523" w14:textId="77777777" w:rsidR="003243A3" w:rsidRPr="00C55547" w:rsidRDefault="003243A3" w:rsidP="003243A3">
            <w:pPr>
              <w:spacing w:after="0" w:line="240" w:lineRule="auto"/>
              <w:jc w:val="left"/>
              <w:rPr>
                <w:rFonts w:ascii="Arial" w:hAnsi="Arial" w:cs="Arial"/>
                <w:b/>
                <w:bCs/>
                <w:sz w:val="16"/>
                <w:szCs w:val="16"/>
              </w:rPr>
            </w:pPr>
            <w:r w:rsidRPr="00C55547">
              <w:rPr>
                <w:rFonts w:ascii="Arial" w:hAnsi="Arial" w:cs="Arial"/>
                <w:b/>
                <w:bCs/>
                <w:sz w:val="16"/>
                <w:szCs w:val="16"/>
              </w:rPr>
              <w:t>Total expenses for Program 6.1</w:t>
            </w:r>
          </w:p>
        </w:tc>
        <w:tc>
          <w:tcPr>
            <w:tcW w:w="901" w:type="dxa"/>
            <w:tcBorders>
              <w:top w:val="single" w:sz="4" w:space="0" w:color="auto"/>
              <w:left w:val="nil"/>
              <w:bottom w:val="single" w:sz="4" w:space="0" w:color="auto"/>
              <w:right w:val="nil"/>
            </w:tcBorders>
            <w:shd w:val="clear" w:color="auto" w:fill="auto"/>
            <w:noWrap/>
            <w:vAlign w:val="bottom"/>
            <w:hideMark/>
          </w:tcPr>
          <w:p w14:paraId="71CE6D5F" w14:textId="7CEA0045"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870,709 </w:t>
            </w:r>
          </w:p>
        </w:tc>
        <w:tc>
          <w:tcPr>
            <w:tcW w:w="977" w:type="dxa"/>
            <w:tcBorders>
              <w:top w:val="single" w:sz="4" w:space="0" w:color="auto"/>
              <w:left w:val="nil"/>
              <w:bottom w:val="single" w:sz="4" w:space="0" w:color="auto"/>
              <w:right w:val="nil"/>
            </w:tcBorders>
            <w:shd w:val="clear" w:color="auto" w:fill="E6E6E6"/>
            <w:noWrap/>
            <w:vAlign w:val="bottom"/>
            <w:hideMark/>
          </w:tcPr>
          <w:p w14:paraId="1746D7AA" w14:textId="3BC34B71"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995,183 </w:t>
            </w:r>
          </w:p>
        </w:tc>
        <w:tc>
          <w:tcPr>
            <w:tcW w:w="977" w:type="dxa"/>
            <w:gridSpan w:val="2"/>
            <w:tcBorders>
              <w:top w:val="single" w:sz="4" w:space="0" w:color="auto"/>
              <w:left w:val="nil"/>
              <w:bottom w:val="single" w:sz="4" w:space="0" w:color="auto"/>
              <w:right w:val="nil"/>
            </w:tcBorders>
            <w:shd w:val="clear" w:color="auto" w:fill="auto"/>
            <w:noWrap/>
            <w:vAlign w:val="bottom"/>
            <w:hideMark/>
          </w:tcPr>
          <w:p w14:paraId="13CC5BDE" w14:textId="7034A9B2"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768,826 </w:t>
            </w:r>
          </w:p>
        </w:tc>
        <w:tc>
          <w:tcPr>
            <w:tcW w:w="977" w:type="dxa"/>
            <w:gridSpan w:val="2"/>
            <w:tcBorders>
              <w:top w:val="single" w:sz="4" w:space="0" w:color="auto"/>
              <w:left w:val="nil"/>
              <w:bottom w:val="single" w:sz="4" w:space="0" w:color="auto"/>
              <w:right w:val="nil"/>
            </w:tcBorders>
            <w:shd w:val="clear" w:color="auto" w:fill="auto"/>
            <w:noWrap/>
            <w:vAlign w:val="bottom"/>
            <w:hideMark/>
          </w:tcPr>
          <w:p w14:paraId="21ED1596" w14:textId="6C2C2F9B"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734,471 </w:t>
            </w:r>
          </w:p>
        </w:tc>
        <w:tc>
          <w:tcPr>
            <w:tcW w:w="977" w:type="dxa"/>
            <w:gridSpan w:val="2"/>
            <w:tcBorders>
              <w:top w:val="single" w:sz="4" w:space="0" w:color="auto"/>
              <w:left w:val="nil"/>
              <w:bottom w:val="single" w:sz="4" w:space="0" w:color="auto"/>
              <w:right w:val="nil"/>
            </w:tcBorders>
            <w:shd w:val="clear" w:color="auto" w:fill="auto"/>
            <w:noWrap/>
            <w:vAlign w:val="bottom"/>
            <w:hideMark/>
          </w:tcPr>
          <w:p w14:paraId="1F61EF57" w14:textId="71A641D2"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734,469 </w:t>
            </w:r>
          </w:p>
        </w:tc>
      </w:tr>
      <w:tr w:rsidR="00282203" w:rsidRPr="00924840" w14:paraId="411565BA" w14:textId="77777777" w:rsidTr="00282203">
        <w:trPr>
          <w:trHeight w:val="204"/>
        </w:trPr>
        <w:tc>
          <w:tcPr>
            <w:tcW w:w="7579" w:type="dxa"/>
            <w:gridSpan w:val="10"/>
            <w:tcBorders>
              <w:top w:val="single" w:sz="4" w:space="0" w:color="auto"/>
              <w:left w:val="nil"/>
              <w:bottom w:val="single" w:sz="4" w:space="0" w:color="auto"/>
              <w:right w:val="nil"/>
            </w:tcBorders>
            <w:shd w:val="clear" w:color="auto" w:fill="E6E6E6"/>
            <w:noWrap/>
            <w:hideMark/>
          </w:tcPr>
          <w:p w14:paraId="18F66F38" w14:textId="7829F8E1" w:rsidR="00282203" w:rsidRPr="00924840" w:rsidRDefault="00282203" w:rsidP="00282203">
            <w:pPr>
              <w:spacing w:after="20" w:line="240" w:lineRule="auto"/>
              <w:jc w:val="left"/>
              <w:rPr>
                <w:rFonts w:ascii="Arial" w:hAnsi="Arial" w:cs="Arial"/>
                <w:b/>
                <w:bCs/>
                <w:sz w:val="16"/>
                <w:szCs w:val="16"/>
              </w:rPr>
            </w:pPr>
            <w:r w:rsidRPr="00924840">
              <w:rPr>
                <w:rFonts w:ascii="Arial" w:hAnsi="Arial" w:cs="Arial"/>
                <w:b/>
                <w:bCs/>
                <w:sz w:val="16"/>
                <w:szCs w:val="16"/>
              </w:rPr>
              <w:t>Program 6.2 Program Support for Outcome 6</w:t>
            </w:r>
          </w:p>
        </w:tc>
      </w:tr>
      <w:tr w:rsidR="00924840" w:rsidRPr="00924840" w14:paraId="6E1FA761" w14:textId="77777777" w:rsidTr="00C55547">
        <w:trPr>
          <w:trHeight w:val="204"/>
        </w:trPr>
        <w:tc>
          <w:tcPr>
            <w:tcW w:w="2694" w:type="dxa"/>
            <w:tcBorders>
              <w:top w:val="nil"/>
              <w:left w:val="nil"/>
              <w:bottom w:val="nil"/>
              <w:right w:val="nil"/>
            </w:tcBorders>
            <w:shd w:val="clear" w:color="auto" w:fill="auto"/>
            <w:noWrap/>
            <w:vAlign w:val="bottom"/>
            <w:hideMark/>
          </w:tcPr>
          <w:p w14:paraId="6CEC54C1" w14:textId="77777777" w:rsidR="00924840" w:rsidRPr="00C55547" w:rsidRDefault="00924840" w:rsidP="00924840">
            <w:pPr>
              <w:spacing w:after="0" w:line="240" w:lineRule="auto"/>
              <w:jc w:val="left"/>
              <w:rPr>
                <w:rFonts w:ascii="Arial" w:hAnsi="Arial" w:cs="Arial"/>
                <w:sz w:val="16"/>
                <w:szCs w:val="16"/>
              </w:rPr>
            </w:pPr>
            <w:r w:rsidRPr="00C55547">
              <w:rPr>
                <w:rFonts w:ascii="Arial" w:hAnsi="Arial" w:cs="Arial"/>
                <w:sz w:val="16"/>
                <w:szCs w:val="16"/>
              </w:rPr>
              <w:t>Departmental expenses</w:t>
            </w:r>
          </w:p>
        </w:tc>
        <w:tc>
          <w:tcPr>
            <w:tcW w:w="901" w:type="dxa"/>
            <w:tcBorders>
              <w:top w:val="nil"/>
              <w:left w:val="nil"/>
              <w:bottom w:val="nil"/>
              <w:right w:val="nil"/>
            </w:tcBorders>
            <w:shd w:val="clear" w:color="auto" w:fill="auto"/>
            <w:noWrap/>
            <w:vAlign w:val="bottom"/>
            <w:hideMark/>
          </w:tcPr>
          <w:p w14:paraId="417C5531" w14:textId="77777777" w:rsidR="00924840" w:rsidRPr="00C55547" w:rsidRDefault="00924840" w:rsidP="00282203">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E6E6E6"/>
            <w:noWrap/>
            <w:vAlign w:val="bottom"/>
            <w:hideMark/>
          </w:tcPr>
          <w:p w14:paraId="59DD13FD" w14:textId="48C97A15" w:rsidR="00924840" w:rsidRPr="00C55547" w:rsidRDefault="00924840" w:rsidP="00282203">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1154ACED" w14:textId="77777777" w:rsidR="00924840" w:rsidRPr="00C55547" w:rsidRDefault="00924840" w:rsidP="00282203">
            <w:pPr>
              <w:spacing w:after="0" w:line="240" w:lineRule="auto"/>
              <w:jc w:val="right"/>
              <w:rPr>
                <w:rFonts w:ascii="Arial" w:hAnsi="Arial" w:cs="Arial"/>
                <w:sz w:val="16"/>
                <w:szCs w:val="16"/>
              </w:rPr>
            </w:pPr>
          </w:p>
        </w:tc>
        <w:tc>
          <w:tcPr>
            <w:tcW w:w="996" w:type="dxa"/>
            <w:gridSpan w:val="2"/>
            <w:tcBorders>
              <w:top w:val="nil"/>
              <w:left w:val="nil"/>
              <w:bottom w:val="nil"/>
              <w:right w:val="nil"/>
            </w:tcBorders>
            <w:shd w:val="clear" w:color="auto" w:fill="auto"/>
            <w:noWrap/>
            <w:vAlign w:val="bottom"/>
            <w:hideMark/>
          </w:tcPr>
          <w:p w14:paraId="787AB5AB" w14:textId="77777777" w:rsidR="00924840" w:rsidRPr="00C55547" w:rsidRDefault="00924840" w:rsidP="00282203">
            <w:pPr>
              <w:spacing w:after="0" w:line="240" w:lineRule="auto"/>
              <w:jc w:val="right"/>
              <w:rPr>
                <w:rFonts w:ascii="Times New Roman" w:hAnsi="Times New Roman"/>
                <w:sz w:val="16"/>
                <w:szCs w:val="16"/>
              </w:rPr>
            </w:pPr>
          </w:p>
        </w:tc>
        <w:tc>
          <w:tcPr>
            <w:tcW w:w="996" w:type="dxa"/>
            <w:gridSpan w:val="2"/>
            <w:tcBorders>
              <w:top w:val="nil"/>
              <w:left w:val="nil"/>
              <w:bottom w:val="nil"/>
              <w:right w:val="nil"/>
            </w:tcBorders>
            <w:shd w:val="clear" w:color="auto" w:fill="auto"/>
            <w:noWrap/>
            <w:vAlign w:val="bottom"/>
            <w:hideMark/>
          </w:tcPr>
          <w:p w14:paraId="16985C75" w14:textId="77777777" w:rsidR="00924840" w:rsidRPr="00C55547" w:rsidRDefault="00924840" w:rsidP="00282203">
            <w:pPr>
              <w:spacing w:after="0" w:line="240" w:lineRule="auto"/>
              <w:jc w:val="right"/>
              <w:rPr>
                <w:rFonts w:ascii="Times New Roman" w:hAnsi="Times New Roman"/>
                <w:sz w:val="16"/>
                <w:szCs w:val="16"/>
              </w:rPr>
            </w:pPr>
          </w:p>
        </w:tc>
      </w:tr>
      <w:tr w:rsidR="003243A3" w:rsidRPr="00924840" w14:paraId="16CCE893" w14:textId="77777777" w:rsidTr="00C55547">
        <w:trPr>
          <w:trHeight w:val="204"/>
        </w:trPr>
        <w:tc>
          <w:tcPr>
            <w:tcW w:w="2694" w:type="dxa"/>
            <w:tcBorders>
              <w:top w:val="nil"/>
              <w:left w:val="nil"/>
              <w:bottom w:val="nil"/>
              <w:right w:val="nil"/>
            </w:tcBorders>
            <w:shd w:val="clear" w:color="auto" w:fill="auto"/>
            <w:vAlign w:val="bottom"/>
            <w:hideMark/>
          </w:tcPr>
          <w:p w14:paraId="4F651AE4"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Departmental appropriation</w:t>
            </w:r>
          </w:p>
        </w:tc>
        <w:tc>
          <w:tcPr>
            <w:tcW w:w="901" w:type="dxa"/>
            <w:tcBorders>
              <w:top w:val="nil"/>
              <w:left w:val="nil"/>
              <w:bottom w:val="nil"/>
              <w:right w:val="nil"/>
            </w:tcBorders>
            <w:shd w:val="clear" w:color="auto" w:fill="auto"/>
            <w:noWrap/>
            <w:vAlign w:val="bottom"/>
            <w:hideMark/>
          </w:tcPr>
          <w:p w14:paraId="74C570F8" w14:textId="0E48A5C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28,388 </w:t>
            </w:r>
          </w:p>
        </w:tc>
        <w:tc>
          <w:tcPr>
            <w:tcW w:w="996" w:type="dxa"/>
            <w:gridSpan w:val="2"/>
            <w:tcBorders>
              <w:top w:val="nil"/>
              <w:left w:val="nil"/>
              <w:bottom w:val="nil"/>
              <w:right w:val="nil"/>
            </w:tcBorders>
            <w:shd w:val="clear" w:color="auto" w:fill="E6E6E6"/>
            <w:noWrap/>
            <w:vAlign w:val="bottom"/>
            <w:hideMark/>
          </w:tcPr>
          <w:p w14:paraId="558BD99F" w14:textId="521AA490"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49,217 </w:t>
            </w:r>
          </w:p>
        </w:tc>
        <w:tc>
          <w:tcPr>
            <w:tcW w:w="996" w:type="dxa"/>
            <w:gridSpan w:val="2"/>
            <w:tcBorders>
              <w:top w:val="nil"/>
              <w:left w:val="nil"/>
              <w:bottom w:val="nil"/>
              <w:right w:val="nil"/>
            </w:tcBorders>
            <w:shd w:val="clear" w:color="auto" w:fill="auto"/>
            <w:noWrap/>
            <w:vAlign w:val="bottom"/>
            <w:hideMark/>
          </w:tcPr>
          <w:p w14:paraId="71288898" w14:textId="11577EC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54,675 </w:t>
            </w:r>
          </w:p>
        </w:tc>
        <w:tc>
          <w:tcPr>
            <w:tcW w:w="996" w:type="dxa"/>
            <w:gridSpan w:val="2"/>
            <w:tcBorders>
              <w:top w:val="nil"/>
              <w:left w:val="nil"/>
              <w:bottom w:val="nil"/>
              <w:right w:val="nil"/>
            </w:tcBorders>
            <w:shd w:val="clear" w:color="auto" w:fill="auto"/>
            <w:noWrap/>
            <w:vAlign w:val="bottom"/>
            <w:hideMark/>
          </w:tcPr>
          <w:p w14:paraId="3B0D1546" w14:textId="2268F646"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49,312 </w:t>
            </w:r>
          </w:p>
        </w:tc>
        <w:tc>
          <w:tcPr>
            <w:tcW w:w="996" w:type="dxa"/>
            <w:gridSpan w:val="2"/>
            <w:tcBorders>
              <w:top w:val="nil"/>
              <w:left w:val="nil"/>
              <w:bottom w:val="nil"/>
              <w:right w:val="nil"/>
            </w:tcBorders>
            <w:shd w:val="clear" w:color="auto" w:fill="auto"/>
            <w:noWrap/>
            <w:vAlign w:val="bottom"/>
            <w:hideMark/>
          </w:tcPr>
          <w:p w14:paraId="7FF5E130" w14:textId="7010C875"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44,235 </w:t>
            </w:r>
          </w:p>
        </w:tc>
      </w:tr>
      <w:tr w:rsidR="003243A3" w:rsidRPr="00924840" w14:paraId="4298268C" w14:textId="77777777" w:rsidTr="00C55547">
        <w:trPr>
          <w:trHeight w:val="204"/>
        </w:trPr>
        <w:tc>
          <w:tcPr>
            <w:tcW w:w="2694" w:type="dxa"/>
            <w:tcBorders>
              <w:top w:val="nil"/>
              <w:left w:val="nil"/>
              <w:bottom w:val="nil"/>
              <w:right w:val="nil"/>
            </w:tcBorders>
            <w:shd w:val="clear" w:color="auto" w:fill="auto"/>
            <w:vAlign w:val="bottom"/>
            <w:hideMark/>
          </w:tcPr>
          <w:p w14:paraId="4E0305E0"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 xml:space="preserve">s74 external revenues </w:t>
            </w:r>
            <w:r w:rsidRPr="00C55547">
              <w:rPr>
                <w:rFonts w:ascii="Arial" w:hAnsi="Arial" w:cs="Arial"/>
                <w:sz w:val="16"/>
                <w:szCs w:val="16"/>
                <w:vertAlign w:val="superscript"/>
              </w:rPr>
              <w:t>(d)</w:t>
            </w:r>
          </w:p>
        </w:tc>
        <w:tc>
          <w:tcPr>
            <w:tcW w:w="901" w:type="dxa"/>
            <w:tcBorders>
              <w:top w:val="nil"/>
              <w:left w:val="nil"/>
              <w:bottom w:val="nil"/>
              <w:right w:val="nil"/>
            </w:tcBorders>
            <w:shd w:val="clear" w:color="auto" w:fill="auto"/>
            <w:noWrap/>
            <w:vAlign w:val="bottom"/>
            <w:hideMark/>
          </w:tcPr>
          <w:p w14:paraId="65053E3C" w14:textId="16C5BB9C"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2,675 </w:t>
            </w:r>
          </w:p>
        </w:tc>
        <w:tc>
          <w:tcPr>
            <w:tcW w:w="996" w:type="dxa"/>
            <w:gridSpan w:val="2"/>
            <w:tcBorders>
              <w:top w:val="nil"/>
              <w:left w:val="nil"/>
              <w:bottom w:val="nil"/>
              <w:right w:val="nil"/>
            </w:tcBorders>
            <w:shd w:val="clear" w:color="auto" w:fill="E6E6E6"/>
            <w:noWrap/>
            <w:vAlign w:val="bottom"/>
            <w:hideMark/>
          </w:tcPr>
          <w:p w14:paraId="1531782A" w14:textId="3457B043"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1,445 </w:t>
            </w:r>
          </w:p>
        </w:tc>
        <w:tc>
          <w:tcPr>
            <w:tcW w:w="996" w:type="dxa"/>
            <w:gridSpan w:val="2"/>
            <w:tcBorders>
              <w:top w:val="nil"/>
              <w:left w:val="nil"/>
              <w:bottom w:val="nil"/>
              <w:right w:val="nil"/>
            </w:tcBorders>
            <w:shd w:val="clear" w:color="auto" w:fill="auto"/>
            <w:noWrap/>
            <w:vAlign w:val="bottom"/>
            <w:hideMark/>
          </w:tcPr>
          <w:p w14:paraId="25DB9A1B" w14:textId="7B28BB5C"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1,544 </w:t>
            </w:r>
          </w:p>
        </w:tc>
        <w:tc>
          <w:tcPr>
            <w:tcW w:w="996" w:type="dxa"/>
            <w:gridSpan w:val="2"/>
            <w:tcBorders>
              <w:top w:val="nil"/>
              <w:left w:val="nil"/>
              <w:bottom w:val="nil"/>
              <w:right w:val="nil"/>
            </w:tcBorders>
            <w:shd w:val="clear" w:color="auto" w:fill="auto"/>
            <w:noWrap/>
            <w:vAlign w:val="bottom"/>
            <w:hideMark/>
          </w:tcPr>
          <w:p w14:paraId="74B3D625" w14:textId="34306CF2"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1,730 </w:t>
            </w:r>
          </w:p>
        </w:tc>
        <w:tc>
          <w:tcPr>
            <w:tcW w:w="996" w:type="dxa"/>
            <w:gridSpan w:val="2"/>
            <w:tcBorders>
              <w:top w:val="nil"/>
              <w:left w:val="nil"/>
              <w:bottom w:val="nil"/>
              <w:right w:val="nil"/>
            </w:tcBorders>
            <w:shd w:val="clear" w:color="auto" w:fill="auto"/>
            <w:noWrap/>
            <w:vAlign w:val="bottom"/>
            <w:hideMark/>
          </w:tcPr>
          <w:p w14:paraId="322B4F90" w14:textId="10A35A3C"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1,730 </w:t>
            </w:r>
          </w:p>
        </w:tc>
      </w:tr>
      <w:tr w:rsidR="003243A3" w:rsidRPr="00924840" w14:paraId="319450D0" w14:textId="77777777" w:rsidTr="00C55547">
        <w:trPr>
          <w:trHeight w:val="204"/>
        </w:trPr>
        <w:tc>
          <w:tcPr>
            <w:tcW w:w="2694" w:type="dxa"/>
            <w:tcBorders>
              <w:top w:val="nil"/>
              <w:left w:val="nil"/>
              <w:bottom w:val="nil"/>
              <w:right w:val="nil"/>
            </w:tcBorders>
            <w:shd w:val="clear" w:color="auto" w:fill="auto"/>
            <w:vAlign w:val="bottom"/>
            <w:hideMark/>
          </w:tcPr>
          <w:p w14:paraId="620B9D87"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Special Accounts</w:t>
            </w:r>
          </w:p>
        </w:tc>
        <w:tc>
          <w:tcPr>
            <w:tcW w:w="901" w:type="dxa"/>
            <w:tcBorders>
              <w:top w:val="nil"/>
              <w:left w:val="nil"/>
              <w:bottom w:val="nil"/>
              <w:right w:val="nil"/>
            </w:tcBorders>
            <w:shd w:val="clear" w:color="auto" w:fill="auto"/>
            <w:noWrap/>
            <w:vAlign w:val="bottom"/>
            <w:hideMark/>
          </w:tcPr>
          <w:p w14:paraId="72A7279F" w14:textId="65C959C1"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w:t>
            </w:r>
          </w:p>
        </w:tc>
        <w:tc>
          <w:tcPr>
            <w:tcW w:w="996" w:type="dxa"/>
            <w:gridSpan w:val="2"/>
            <w:tcBorders>
              <w:top w:val="nil"/>
              <w:left w:val="nil"/>
              <w:bottom w:val="nil"/>
              <w:right w:val="nil"/>
            </w:tcBorders>
            <w:shd w:val="clear" w:color="auto" w:fill="E6E6E6"/>
            <w:noWrap/>
            <w:vAlign w:val="bottom"/>
            <w:hideMark/>
          </w:tcPr>
          <w:p w14:paraId="11A7E7F7" w14:textId="78853686"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w:t>
            </w:r>
          </w:p>
        </w:tc>
        <w:tc>
          <w:tcPr>
            <w:tcW w:w="996" w:type="dxa"/>
            <w:gridSpan w:val="2"/>
            <w:tcBorders>
              <w:top w:val="nil"/>
              <w:left w:val="nil"/>
              <w:bottom w:val="nil"/>
              <w:right w:val="nil"/>
            </w:tcBorders>
            <w:shd w:val="clear" w:color="auto" w:fill="auto"/>
            <w:noWrap/>
            <w:vAlign w:val="bottom"/>
            <w:hideMark/>
          </w:tcPr>
          <w:p w14:paraId="717AA31A" w14:textId="2989A4B9"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w:t>
            </w:r>
          </w:p>
        </w:tc>
        <w:tc>
          <w:tcPr>
            <w:tcW w:w="996" w:type="dxa"/>
            <w:gridSpan w:val="2"/>
            <w:tcBorders>
              <w:top w:val="nil"/>
              <w:left w:val="nil"/>
              <w:bottom w:val="nil"/>
              <w:right w:val="nil"/>
            </w:tcBorders>
            <w:shd w:val="clear" w:color="auto" w:fill="auto"/>
            <w:noWrap/>
            <w:vAlign w:val="bottom"/>
            <w:hideMark/>
          </w:tcPr>
          <w:p w14:paraId="08D01B61" w14:textId="2081125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w:t>
            </w:r>
          </w:p>
        </w:tc>
        <w:tc>
          <w:tcPr>
            <w:tcW w:w="996" w:type="dxa"/>
            <w:gridSpan w:val="2"/>
            <w:tcBorders>
              <w:top w:val="nil"/>
              <w:left w:val="nil"/>
              <w:bottom w:val="nil"/>
              <w:right w:val="nil"/>
            </w:tcBorders>
            <w:shd w:val="clear" w:color="auto" w:fill="auto"/>
            <w:noWrap/>
            <w:vAlign w:val="bottom"/>
            <w:hideMark/>
          </w:tcPr>
          <w:p w14:paraId="32B70053" w14:textId="12AA6CB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w:t>
            </w:r>
          </w:p>
        </w:tc>
      </w:tr>
      <w:tr w:rsidR="003243A3" w:rsidRPr="00924840" w14:paraId="0982193F" w14:textId="77777777" w:rsidTr="00C55547">
        <w:trPr>
          <w:trHeight w:val="204"/>
        </w:trPr>
        <w:tc>
          <w:tcPr>
            <w:tcW w:w="2694" w:type="dxa"/>
            <w:tcBorders>
              <w:top w:val="nil"/>
              <w:left w:val="nil"/>
              <w:bottom w:val="nil"/>
              <w:right w:val="nil"/>
            </w:tcBorders>
            <w:shd w:val="clear" w:color="auto" w:fill="auto"/>
            <w:vAlign w:val="bottom"/>
            <w:hideMark/>
          </w:tcPr>
          <w:p w14:paraId="21ECFB2E" w14:textId="77777777" w:rsidR="003243A3" w:rsidRPr="00C55547" w:rsidRDefault="003243A3" w:rsidP="003243A3">
            <w:pPr>
              <w:spacing w:after="0" w:line="240" w:lineRule="auto"/>
              <w:ind w:left="227"/>
              <w:jc w:val="left"/>
              <w:rPr>
                <w:rFonts w:ascii="Arial" w:hAnsi="Arial" w:cs="Arial"/>
                <w:sz w:val="16"/>
                <w:szCs w:val="16"/>
              </w:rPr>
            </w:pPr>
            <w:r w:rsidRPr="00C55547">
              <w:rPr>
                <w:rFonts w:ascii="Arial" w:hAnsi="Arial" w:cs="Arial"/>
                <w:sz w:val="16"/>
                <w:szCs w:val="16"/>
              </w:rPr>
              <w:t>Art Rental Special Account</w:t>
            </w:r>
          </w:p>
        </w:tc>
        <w:tc>
          <w:tcPr>
            <w:tcW w:w="901" w:type="dxa"/>
            <w:tcBorders>
              <w:top w:val="nil"/>
              <w:left w:val="nil"/>
              <w:bottom w:val="nil"/>
              <w:right w:val="nil"/>
            </w:tcBorders>
            <w:shd w:val="clear" w:color="auto" w:fill="auto"/>
            <w:noWrap/>
            <w:vAlign w:val="bottom"/>
            <w:hideMark/>
          </w:tcPr>
          <w:p w14:paraId="1B6CCF5B" w14:textId="0FD1E6E0"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3,313 </w:t>
            </w:r>
          </w:p>
        </w:tc>
        <w:tc>
          <w:tcPr>
            <w:tcW w:w="996" w:type="dxa"/>
            <w:gridSpan w:val="2"/>
            <w:tcBorders>
              <w:top w:val="nil"/>
              <w:left w:val="nil"/>
              <w:bottom w:val="nil"/>
              <w:right w:val="nil"/>
            </w:tcBorders>
            <w:shd w:val="clear" w:color="auto" w:fill="E6E6E6"/>
            <w:noWrap/>
            <w:vAlign w:val="bottom"/>
            <w:hideMark/>
          </w:tcPr>
          <w:p w14:paraId="385BA003" w14:textId="5581C8EF"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3,608 </w:t>
            </w:r>
          </w:p>
        </w:tc>
        <w:tc>
          <w:tcPr>
            <w:tcW w:w="996" w:type="dxa"/>
            <w:gridSpan w:val="2"/>
            <w:tcBorders>
              <w:top w:val="nil"/>
              <w:left w:val="nil"/>
              <w:bottom w:val="nil"/>
              <w:right w:val="nil"/>
            </w:tcBorders>
            <w:shd w:val="clear" w:color="auto" w:fill="auto"/>
            <w:noWrap/>
            <w:vAlign w:val="bottom"/>
            <w:hideMark/>
          </w:tcPr>
          <w:p w14:paraId="2E1677A5" w14:textId="64AEBD9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3,680 </w:t>
            </w:r>
          </w:p>
        </w:tc>
        <w:tc>
          <w:tcPr>
            <w:tcW w:w="996" w:type="dxa"/>
            <w:gridSpan w:val="2"/>
            <w:tcBorders>
              <w:top w:val="nil"/>
              <w:left w:val="nil"/>
              <w:bottom w:val="nil"/>
              <w:right w:val="nil"/>
            </w:tcBorders>
            <w:shd w:val="clear" w:color="auto" w:fill="auto"/>
            <w:noWrap/>
            <w:vAlign w:val="bottom"/>
            <w:hideMark/>
          </w:tcPr>
          <w:p w14:paraId="2EF8C5A4" w14:textId="745CEEA0"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3,680 </w:t>
            </w:r>
          </w:p>
        </w:tc>
        <w:tc>
          <w:tcPr>
            <w:tcW w:w="996" w:type="dxa"/>
            <w:gridSpan w:val="2"/>
            <w:tcBorders>
              <w:top w:val="nil"/>
              <w:left w:val="nil"/>
              <w:bottom w:val="nil"/>
              <w:right w:val="nil"/>
            </w:tcBorders>
            <w:shd w:val="clear" w:color="auto" w:fill="auto"/>
            <w:noWrap/>
            <w:vAlign w:val="bottom"/>
            <w:hideMark/>
          </w:tcPr>
          <w:p w14:paraId="18C2F01C" w14:textId="7B408713"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3,680 </w:t>
            </w:r>
          </w:p>
        </w:tc>
      </w:tr>
      <w:tr w:rsidR="003243A3" w:rsidRPr="00924840" w14:paraId="423A9A55" w14:textId="77777777" w:rsidTr="00C55547">
        <w:trPr>
          <w:trHeight w:val="204"/>
        </w:trPr>
        <w:tc>
          <w:tcPr>
            <w:tcW w:w="2694" w:type="dxa"/>
            <w:tcBorders>
              <w:top w:val="nil"/>
              <w:left w:val="nil"/>
              <w:bottom w:val="nil"/>
              <w:right w:val="nil"/>
            </w:tcBorders>
            <w:shd w:val="clear" w:color="auto" w:fill="auto"/>
            <w:vAlign w:val="bottom"/>
            <w:hideMark/>
          </w:tcPr>
          <w:p w14:paraId="5F0F4CC4" w14:textId="77777777" w:rsidR="003243A3" w:rsidRPr="00C55547" w:rsidRDefault="003243A3" w:rsidP="003243A3">
            <w:pPr>
              <w:spacing w:after="0" w:line="240" w:lineRule="auto"/>
              <w:ind w:left="227"/>
              <w:jc w:val="left"/>
              <w:rPr>
                <w:rFonts w:ascii="Arial" w:hAnsi="Arial" w:cs="Arial"/>
                <w:sz w:val="16"/>
                <w:szCs w:val="16"/>
              </w:rPr>
            </w:pPr>
            <w:r w:rsidRPr="00C55547">
              <w:rPr>
                <w:rFonts w:ascii="Arial" w:hAnsi="Arial" w:cs="Arial"/>
                <w:sz w:val="16"/>
                <w:szCs w:val="16"/>
              </w:rPr>
              <w:t>Cultural Special Account</w:t>
            </w:r>
          </w:p>
        </w:tc>
        <w:tc>
          <w:tcPr>
            <w:tcW w:w="901" w:type="dxa"/>
            <w:tcBorders>
              <w:top w:val="nil"/>
              <w:left w:val="nil"/>
              <w:bottom w:val="nil"/>
              <w:right w:val="nil"/>
            </w:tcBorders>
            <w:shd w:val="clear" w:color="auto" w:fill="auto"/>
            <w:noWrap/>
            <w:vAlign w:val="bottom"/>
            <w:hideMark/>
          </w:tcPr>
          <w:p w14:paraId="6900F4F6" w14:textId="6CB10DB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715 </w:t>
            </w:r>
          </w:p>
        </w:tc>
        <w:tc>
          <w:tcPr>
            <w:tcW w:w="996" w:type="dxa"/>
            <w:gridSpan w:val="2"/>
            <w:tcBorders>
              <w:top w:val="nil"/>
              <w:left w:val="nil"/>
              <w:bottom w:val="nil"/>
              <w:right w:val="nil"/>
            </w:tcBorders>
            <w:shd w:val="clear" w:color="auto" w:fill="E6E6E6"/>
            <w:noWrap/>
            <w:vAlign w:val="bottom"/>
            <w:hideMark/>
          </w:tcPr>
          <w:p w14:paraId="64C26193" w14:textId="4A01BDF4"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968 </w:t>
            </w:r>
          </w:p>
        </w:tc>
        <w:tc>
          <w:tcPr>
            <w:tcW w:w="996" w:type="dxa"/>
            <w:gridSpan w:val="2"/>
            <w:tcBorders>
              <w:top w:val="nil"/>
              <w:left w:val="nil"/>
              <w:bottom w:val="nil"/>
              <w:right w:val="nil"/>
            </w:tcBorders>
            <w:shd w:val="clear" w:color="auto" w:fill="auto"/>
            <w:noWrap/>
            <w:vAlign w:val="bottom"/>
            <w:hideMark/>
          </w:tcPr>
          <w:p w14:paraId="102626F0" w14:textId="38F74462"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394 </w:t>
            </w:r>
          </w:p>
        </w:tc>
        <w:tc>
          <w:tcPr>
            <w:tcW w:w="996" w:type="dxa"/>
            <w:gridSpan w:val="2"/>
            <w:tcBorders>
              <w:top w:val="nil"/>
              <w:left w:val="nil"/>
              <w:bottom w:val="nil"/>
              <w:right w:val="nil"/>
            </w:tcBorders>
            <w:shd w:val="clear" w:color="auto" w:fill="auto"/>
            <w:noWrap/>
            <w:vAlign w:val="bottom"/>
            <w:hideMark/>
          </w:tcPr>
          <w:p w14:paraId="22B07332" w14:textId="0B06E9AB"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394 </w:t>
            </w:r>
          </w:p>
        </w:tc>
        <w:tc>
          <w:tcPr>
            <w:tcW w:w="996" w:type="dxa"/>
            <w:gridSpan w:val="2"/>
            <w:tcBorders>
              <w:top w:val="nil"/>
              <w:left w:val="nil"/>
              <w:bottom w:val="nil"/>
              <w:right w:val="nil"/>
            </w:tcBorders>
            <w:shd w:val="clear" w:color="auto" w:fill="auto"/>
            <w:noWrap/>
            <w:vAlign w:val="bottom"/>
            <w:hideMark/>
          </w:tcPr>
          <w:p w14:paraId="66400CDE" w14:textId="44D3603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392 </w:t>
            </w:r>
          </w:p>
        </w:tc>
      </w:tr>
      <w:tr w:rsidR="003243A3" w:rsidRPr="00924840" w14:paraId="350EEC72" w14:textId="77777777" w:rsidTr="00C55547">
        <w:trPr>
          <w:trHeight w:val="204"/>
        </w:trPr>
        <w:tc>
          <w:tcPr>
            <w:tcW w:w="2694" w:type="dxa"/>
            <w:tcBorders>
              <w:top w:val="nil"/>
              <w:left w:val="nil"/>
              <w:bottom w:val="nil"/>
              <w:right w:val="nil"/>
            </w:tcBorders>
            <w:shd w:val="clear" w:color="auto" w:fill="auto"/>
            <w:vAlign w:val="bottom"/>
            <w:hideMark/>
          </w:tcPr>
          <w:p w14:paraId="5D3F881E" w14:textId="77777777" w:rsidR="003243A3" w:rsidRPr="00C55547" w:rsidRDefault="003243A3" w:rsidP="003243A3">
            <w:pPr>
              <w:spacing w:after="0" w:line="240" w:lineRule="auto"/>
              <w:ind w:left="227"/>
              <w:jc w:val="left"/>
              <w:rPr>
                <w:rFonts w:ascii="Arial" w:hAnsi="Arial" w:cs="Arial"/>
                <w:sz w:val="16"/>
                <w:szCs w:val="16"/>
              </w:rPr>
            </w:pPr>
            <w:r w:rsidRPr="00C55547">
              <w:rPr>
                <w:rFonts w:ascii="Arial" w:hAnsi="Arial" w:cs="Arial"/>
                <w:sz w:val="16"/>
                <w:szCs w:val="16"/>
              </w:rPr>
              <w:t>Indigenous Repatriation Special Account</w:t>
            </w:r>
          </w:p>
        </w:tc>
        <w:tc>
          <w:tcPr>
            <w:tcW w:w="901" w:type="dxa"/>
            <w:tcBorders>
              <w:top w:val="nil"/>
              <w:left w:val="nil"/>
              <w:bottom w:val="nil"/>
              <w:right w:val="nil"/>
            </w:tcBorders>
            <w:shd w:val="clear" w:color="auto" w:fill="auto"/>
            <w:noWrap/>
            <w:vAlign w:val="bottom"/>
            <w:hideMark/>
          </w:tcPr>
          <w:p w14:paraId="6955CD8C" w14:textId="5A8AC2E8"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452 </w:t>
            </w:r>
          </w:p>
        </w:tc>
        <w:tc>
          <w:tcPr>
            <w:tcW w:w="996" w:type="dxa"/>
            <w:gridSpan w:val="2"/>
            <w:tcBorders>
              <w:top w:val="nil"/>
              <w:left w:val="nil"/>
              <w:bottom w:val="nil"/>
              <w:right w:val="nil"/>
            </w:tcBorders>
            <w:shd w:val="clear" w:color="auto" w:fill="E6E6E6"/>
            <w:noWrap/>
            <w:vAlign w:val="bottom"/>
            <w:hideMark/>
          </w:tcPr>
          <w:p w14:paraId="1BBB6E38" w14:textId="532C2CD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694 </w:t>
            </w:r>
          </w:p>
        </w:tc>
        <w:tc>
          <w:tcPr>
            <w:tcW w:w="996" w:type="dxa"/>
            <w:gridSpan w:val="2"/>
            <w:tcBorders>
              <w:top w:val="nil"/>
              <w:left w:val="nil"/>
              <w:bottom w:val="nil"/>
              <w:right w:val="nil"/>
            </w:tcBorders>
            <w:shd w:val="clear" w:color="auto" w:fill="auto"/>
            <w:noWrap/>
            <w:vAlign w:val="bottom"/>
            <w:hideMark/>
          </w:tcPr>
          <w:p w14:paraId="00802593" w14:textId="0D4BEF74"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706 </w:t>
            </w:r>
          </w:p>
        </w:tc>
        <w:tc>
          <w:tcPr>
            <w:tcW w:w="996" w:type="dxa"/>
            <w:gridSpan w:val="2"/>
            <w:tcBorders>
              <w:top w:val="nil"/>
              <w:left w:val="nil"/>
              <w:bottom w:val="nil"/>
              <w:right w:val="nil"/>
            </w:tcBorders>
            <w:shd w:val="clear" w:color="auto" w:fill="auto"/>
            <w:noWrap/>
            <w:vAlign w:val="bottom"/>
            <w:hideMark/>
          </w:tcPr>
          <w:p w14:paraId="4F2E39F7" w14:textId="3E333C35"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706 </w:t>
            </w:r>
          </w:p>
        </w:tc>
        <w:tc>
          <w:tcPr>
            <w:tcW w:w="996" w:type="dxa"/>
            <w:gridSpan w:val="2"/>
            <w:tcBorders>
              <w:top w:val="nil"/>
              <w:left w:val="nil"/>
              <w:bottom w:val="nil"/>
              <w:right w:val="nil"/>
            </w:tcBorders>
            <w:shd w:val="clear" w:color="auto" w:fill="auto"/>
            <w:noWrap/>
            <w:vAlign w:val="bottom"/>
            <w:hideMark/>
          </w:tcPr>
          <w:p w14:paraId="3B729019" w14:textId="751287B7"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r>
      <w:tr w:rsidR="003243A3" w:rsidRPr="00924840" w14:paraId="57EADC26" w14:textId="77777777" w:rsidTr="00C55547">
        <w:trPr>
          <w:trHeight w:val="204"/>
        </w:trPr>
        <w:tc>
          <w:tcPr>
            <w:tcW w:w="2694" w:type="dxa"/>
            <w:tcBorders>
              <w:top w:val="nil"/>
              <w:left w:val="nil"/>
              <w:bottom w:val="nil"/>
              <w:right w:val="nil"/>
            </w:tcBorders>
            <w:shd w:val="clear" w:color="auto" w:fill="auto"/>
            <w:vAlign w:val="bottom"/>
            <w:hideMark/>
          </w:tcPr>
          <w:p w14:paraId="18919155" w14:textId="7865C12D"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Expenses not requiring a</w:t>
            </w:r>
            <w:r w:rsidR="00645E3F">
              <w:rPr>
                <w:rFonts w:ascii="Arial" w:hAnsi="Arial" w:cs="Arial"/>
                <w:sz w:val="16"/>
                <w:szCs w:val="16"/>
              </w:rPr>
              <w:t>ppropriation in the Budget year</w:t>
            </w:r>
            <w:r w:rsidRPr="00C55547">
              <w:rPr>
                <w:rFonts w:ascii="Arial" w:hAnsi="Arial" w:cs="Arial"/>
                <w:sz w:val="16"/>
                <w:szCs w:val="16"/>
              </w:rPr>
              <w:t> </w:t>
            </w:r>
            <w:r w:rsidRPr="00C55547">
              <w:rPr>
                <w:rFonts w:ascii="Arial" w:hAnsi="Arial" w:cs="Arial"/>
                <w:sz w:val="16"/>
                <w:szCs w:val="16"/>
                <w:vertAlign w:val="superscript"/>
              </w:rPr>
              <w:t>(e)</w:t>
            </w:r>
          </w:p>
        </w:tc>
        <w:tc>
          <w:tcPr>
            <w:tcW w:w="901" w:type="dxa"/>
            <w:tcBorders>
              <w:top w:val="nil"/>
              <w:left w:val="nil"/>
              <w:bottom w:val="nil"/>
              <w:right w:val="nil"/>
            </w:tcBorders>
            <w:shd w:val="clear" w:color="auto" w:fill="auto"/>
            <w:noWrap/>
            <w:vAlign w:val="bottom"/>
            <w:hideMark/>
          </w:tcPr>
          <w:p w14:paraId="23811B09" w14:textId="4AA24B7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8,446 </w:t>
            </w:r>
          </w:p>
        </w:tc>
        <w:tc>
          <w:tcPr>
            <w:tcW w:w="996" w:type="dxa"/>
            <w:gridSpan w:val="2"/>
            <w:tcBorders>
              <w:top w:val="nil"/>
              <w:left w:val="nil"/>
              <w:bottom w:val="nil"/>
              <w:right w:val="nil"/>
            </w:tcBorders>
            <w:shd w:val="clear" w:color="auto" w:fill="E6E6E6"/>
            <w:noWrap/>
            <w:vAlign w:val="bottom"/>
            <w:hideMark/>
          </w:tcPr>
          <w:p w14:paraId="2AF6E1BE" w14:textId="0DE82BC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1,051 </w:t>
            </w:r>
          </w:p>
        </w:tc>
        <w:tc>
          <w:tcPr>
            <w:tcW w:w="996" w:type="dxa"/>
            <w:gridSpan w:val="2"/>
            <w:tcBorders>
              <w:top w:val="nil"/>
              <w:left w:val="nil"/>
              <w:bottom w:val="nil"/>
              <w:right w:val="nil"/>
            </w:tcBorders>
            <w:shd w:val="clear" w:color="auto" w:fill="auto"/>
            <w:noWrap/>
            <w:vAlign w:val="bottom"/>
            <w:hideMark/>
          </w:tcPr>
          <w:p w14:paraId="5C3EF5B6" w14:textId="55B0A920"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1,123 </w:t>
            </w:r>
          </w:p>
        </w:tc>
        <w:tc>
          <w:tcPr>
            <w:tcW w:w="996" w:type="dxa"/>
            <w:gridSpan w:val="2"/>
            <w:tcBorders>
              <w:top w:val="nil"/>
              <w:left w:val="nil"/>
              <w:bottom w:val="nil"/>
              <w:right w:val="nil"/>
            </w:tcBorders>
            <w:shd w:val="clear" w:color="auto" w:fill="auto"/>
            <w:noWrap/>
            <w:vAlign w:val="bottom"/>
            <w:hideMark/>
          </w:tcPr>
          <w:p w14:paraId="76653017" w14:textId="5E7BBAF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1,235 </w:t>
            </w:r>
          </w:p>
        </w:tc>
        <w:tc>
          <w:tcPr>
            <w:tcW w:w="996" w:type="dxa"/>
            <w:gridSpan w:val="2"/>
            <w:tcBorders>
              <w:top w:val="nil"/>
              <w:left w:val="nil"/>
              <w:bottom w:val="nil"/>
              <w:right w:val="nil"/>
            </w:tcBorders>
            <w:shd w:val="clear" w:color="auto" w:fill="auto"/>
            <w:noWrap/>
            <w:vAlign w:val="bottom"/>
            <w:hideMark/>
          </w:tcPr>
          <w:p w14:paraId="22F2CE8E" w14:textId="57EE7FC7"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1,355 </w:t>
            </w:r>
          </w:p>
        </w:tc>
      </w:tr>
      <w:tr w:rsidR="003243A3" w:rsidRPr="00924840" w14:paraId="720DA63A" w14:textId="77777777" w:rsidTr="00C55547">
        <w:trPr>
          <w:trHeight w:val="204"/>
        </w:trPr>
        <w:tc>
          <w:tcPr>
            <w:tcW w:w="2694" w:type="dxa"/>
            <w:tcBorders>
              <w:top w:val="nil"/>
              <w:left w:val="nil"/>
              <w:bottom w:val="single" w:sz="4" w:space="0" w:color="auto"/>
              <w:right w:val="nil"/>
            </w:tcBorders>
            <w:shd w:val="clear" w:color="auto" w:fill="auto"/>
            <w:noWrap/>
            <w:vAlign w:val="bottom"/>
            <w:hideMark/>
          </w:tcPr>
          <w:p w14:paraId="680C9158" w14:textId="77777777" w:rsidR="003243A3" w:rsidRPr="00C55547" w:rsidRDefault="003243A3" w:rsidP="003243A3">
            <w:pPr>
              <w:spacing w:after="0" w:line="240" w:lineRule="auto"/>
              <w:jc w:val="left"/>
              <w:rPr>
                <w:rFonts w:ascii="Arial" w:hAnsi="Arial" w:cs="Arial"/>
                <w:b/>
                <w:bCs/>
                <w:sz w:val="16"/>
                <w:szCs w:val="16"/>
              </w:rPr>
            </w:pPr>
            <w:r w:rsidRPr="00C55547">
              <w:rPr>
                <w:rFonts w:ascii="Arial" w:hAnsi="Arial" w:cs="Arial"/>
                <w:b/>
                <w:bCs/>
                <w:sz w:val="16"/>
                <w:szCs w:val="16"/>
              </w:rPr>
              <w:t>Total expenses for Program 6.2</w:t>
            </w:r>
          </w:p>
        </w:tc>
        <w:tc>
          <w:tcPr>
            <w:tcW w:w="901" w:type="dxa"/>
            <w:tcBorders>
              <w:top w:val="single" w:sz="4" w:space="0" w:color="auto"/>
              <w:left w:val="nil"/>
              <w:bottom w:val="single" w:sz="4" w:space="0" w:color="auto"/>
              <w:right w:val="nil"/>
            </w:tcBorders>
            <w:shd w:val="clear" w:color="auto" w:fill="auto"/>
            <w:noWrap/>
            <w:vAlign w:val="bottom"/>
            <w:hideMark/>
          </w:tcPr>
          <w:p w14:paraId="4530BA41" w14:textId="2DC3212A"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43,989 </w:t>
            </w:r>
          </w:p>
        </w:tc>
        <w:tc>
          <w:tcPr>
            <w:tcW w:w="996" w:type="dxa"/>
            <w:gridSpan w:val="2"/>
            <w:tcBorders>
              <w:top w:val="single" w:sz="4" w:space="0" w:color="auto"/>
              <w:left w:val="nil"/>
              <w:bottom w:val="single" w:sz="4" w:space="0" w:color="auto"/>
              <w:right w:val="nil"/>
            </w:tcBorders>
            <w:shd w:val="clear" w:color="auto" w:fill="E6E6E6"/>
            <w:noWrap/>
            <w:vAlign w:val="bottom"/>
            <w:hideMark/>
          </w:tcPr>
          <w:p w14:paraId="79662EEB" w14:textId="61CD9084"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56,983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6022EF5F" w14:textId="4DACF2E1"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62,122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3745EF0C" w14:textId="208B9179"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57,057 </w:t>
            </w:r>
          </w:p>
        </w:tc>
        <w:tc>
          <w:tcPr>
            <w:tcW w:w="996" w:type="dxa"/>
            <w:gridSpan w:val="2"/>
            <w:tcBorders>
              <w:top w:val="single" w:sz="4" w:space="0" w:color="auto"/>
              <w:left w:val="nil"/>
              <w:bottom w:val="single" w:sz="4" w:space="0" w:color="auto"/>
              <w:right w:val="nil"/>
            </w:tcBorders>
            <w:shd w:val="clear" w:color="auto" w:fill="auto"/>
            <w:noWrap/>
            <w:vAlign w:val="bottom"/>
            <w:hideMark/>
          </w:tcPr>
          <w:p w14:paraId="10F0698B" w14:textId="4F2932A7"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51,392 </w:t>
            </w:r>
          </w:p>
        </w:tc>
      </w:tr>
    </w:tbl>
    <w:p w14:paraId="575A5485" w14:textId="6C9FBCE8" w:rsidR="00192B13" w:rsidRDefault="00192B13" w:rsidP="00192B13">
      <w:pPr>
        <w:pStyle w:val="TableHeading"/>
      </w:pPr>
      <w:r w:rsidRPr="00FF6B56">
        <w:lastRenderedPageBreak/>
        <w:t>Table 2.</w:t>
      </w:r>
      <w:r w:rsidRPr="00192B13">
        <w:t>7.</w:t>
      </w:r>
      <w:r w:rsidRPr="00FF6B56">
        <w:t>1 Budgeted expenses</w:t>
      </w:r>
      <w:r w:rsidRPr="00192B13">
        <w:t xml:space="preserve"> for</w:t>
      </w:r>
      <w:r w:rsidRPr="00FF6B56">
        <w:t xml:space="preserve"> Outcome </w:t>
      </w:r>
      <w:r w:rsidRPr="00192B13">
        <w:t>6 (continued)</w:t>
      </w:r>
    </w:p>
    <w:tbl>
      <w:tblPr>
        <w:tblW w:w="0" w:type="auto"/>
        <w:tblLayout w:type="fixed"/>
        <w:tblLook w:val="04A0" w:firstRow="1" w:lastRow="0" w:firstColumn="1" w:lastColumn="0" w:noHBand="0" w:noVBand="1"/>
      </w:tblPr>
      <w:tblGrid>
        <w:gridCol w:w="3261"/>
        <w:gridCol w:w="901"/>
        <w:gridCol w:w="928"/>
        <w:gridCol w:w="864"/>
        <w:gridCol w:w="851"/>
        <w:gridCol w:w="850"/>
      </w:tblGrid>
      <w:tr w:rsidR="00E34CEC" w:rsidRPr="00282203" w14:paraId="5C5F4620" w14:textId="77777777" w:rsidTr="00B1501D">
        <w:trPr>
          <w:trHeight w:val="623"/>
        </w:trPr>
        <w:tc>
          <w:tcPr>
            <w:tcW w:w="3261" w:type="dxa"/>
            <w:tcBorders>
              <w:top w:val="single" w:sz="4" w:space="0" w:color="auto"/>
              <w:left w:val="nil"/>
              <w:right w:val="nil"/>
            </w:tcBorders>
            <w:shd w:val="clear" w:color="auto" w:fill="auto"/>
            <w:hideMark/>
          </w:tcPr>
          <w:p w14:paraId="22D1090C" w14:textId="77777777" w:rsidR="00E34CEC" w:rsidRPr="00282203" w:rsidRDefault="00E34CEC" w:rsidP="00E34CEC">
            <w:pPr>
              <w:spacing w:after="0" w:line="240" w:lineRule="auto"/>
              <w:ind w:firstLineChars="200" w:firstLine="320"/>
              <w:jc w:val="left"/>
              <w:rPr>
                <w:rFonts w:ascii="Arial" w:hAnsi="Arial" w:cs="Arial"/>
                <w:sz w:val="16"/>
                <w:szCs w:val="16"/>
              </w:rPr>
            </w:pPr>
            <w:r w:rsidRPr="00282203">
              <w:rPr>
                <w:rFonts w:ascii="Arial" w:hAnsi="Arial" w:cs="Arial"/>
                <w:sz w:val="16"/>
                <w:szCs w:val="16"/>
              </w:rPr>
              <w:t> </w:t>
            </w:r>
          </w:p>
        </w:tc>
        <w:tc>
          <w:tcPr>
            <w:tcW w:w="901" w:type="dxa"/>
            <w:tcBorders>
              <w:top w:val="single" w:sz="4" w:space="0" w:color="auto"/>
              <w:left w:val="nil"/>
              <w:right w:val="nil"/>
            </w:tcBorders>
            <w:shd w:val="clear" w:color="auto" w:fill="auto"/>
            <w:noWrap/>
            <w:vAlign w:val="bottom"/>
            <w:hideMark/>
          </w:tcPr>
          <w:p w14:paraId="4854D8C4" w14:textId="65A7B580" w:rsidR="00E34CEC" w:rsidRPr="00282203"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928" w:type="dxa"/>
            <w:tcBorders>
              <w:top w:val="single" w:sz="4" w:space="0" w:color="auto"/>
              <w:left w:val="nil"/>
              <w:right w:val="nil"/>
            </w:tcBorders>
            <w:shd w:val="clear" w:color="000000" w:fill="E6E6E6"/>
            <w:noWrap/>
            <w:vAlign w:val="bottom"/>
            <w:hideMark/>
          </w:tcPr>
          <w:p w14:paraId="7A0CB503" w14:textId="670C344E" w:rsidR="00E34CEC" w:rsidRPr="00282203"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864" w:type="dxa"/>
            <w:tcBorders>
              <w:top w:val="single" w:sz="4" w:space="0" w:color="auto"/>
              <w:left w:val="nil"/>
              <w:right w:val="nil"/>
            </w:tcBorders>
            <w:shd w:val="clear" w:color="auto" w:fill="auto"/>
            <w:noWrap/>
            <w:vAlign w:val="bottom"/>
            <w:hideMark/>
          </w:tcPr>
          <w:p w14:paraId="54891DD0" w14:textId="512466FB" w:rsidR="00E34CEC" w:rsidRPr="00282203"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851" w:type="dxa"/>
            <w:tcBorders>
              <w:top w:val="single" w:sz="4" w:space="0" w:color="auto"/>
              <w:left w:val="nil"/>
              <w:right w:val="nil"/>
            </w:tcBorders>
            <w:shd w:val="clear" w:color="auto" w:fill="auto"/>
            <w:noWrap/>
            <w:vAlign w:val="bottom"/>
            <w:hideMark/>
          </w:tcPr>
          <w:p w14:paraId="2B4999CB" w14:textId="2A1FBB25" w:rsidR="00E34CEC" w:rsidRPr="00282203"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850" w:type="dxa"/>
            <w:tcBorders>
              <w:top w:val="single" w:sz="4" w:space="0" w:color="auto"/>
              <w:left w:val="nil"/>
              <w:right w:val="nil"/>
            </w:tcBorders>
            <w:shd w:val="clear" w:color="auto" w:fill="auto"/>
            <w:noWrap/>
            <w:vAlign w:val="bottom"/>
            <w:hideMark/>
          </w:tcPr>
          <w:p w14:paraId="419DC36F" w14:textId="2E72BA36" w:rsidR="00E34CEC" w:rsidRPr="00282203"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282203" w:rsidRPr="00282203" w14:paraId="3D658A8B" w14:textId="77777777" w:rsidTr="0065133E">
        <w:trPr>
          <w:trHeight w:val="270"/>
        </w:trPr>
        <w:tc>
          <w:tcPr>
            <w:tcW w:w="3261" w:type="dxa"/>
            <w:tcBorders>
              <w:top w:val="single" w:sz="4" w:space="0" w:color="auto"/>
              <w:left w:val="nil"/>
              <w:bottom w:val="single" w:sz="4" w:space="0" w:color="auto"/>
              <w:right w:val="nil"/>
            </w:tcBorders>
            <w:shd w:val="clear" w:color="000000" w:fill="E6E6E6"/>
            <w:noWrap/>
            <w:hideMark/>
          </w:tcPr>
          <w:p w14:paraId="7ECF1C25" w14:textId="77777777" w:rsidR="00282203" w:rsidRPr="00282203" w:rsidRDefault="00282203" w:rsidP="00282203">
            <w:pPr>
              <w:spacing w:after="0" w:line="240" w:lineRule="auto"/>
              <w:jc w:val="left"/>
              <w:rPr>
                <w:rFonts w:ascii="Arial" w:hAnsi="Arial" w:cs="Arial"/>
                <w:b/>
                <w:bCs/>
                <w:sz w:val="16"/>
                <w:szCs w:val="16"/>
              </w:rPr>
            </w:pPr>
            <w:r w:rsidRPr="00282203">
              <w:rPr>
                <w:rFonts w:ascii="Arial" w:hAnsi="Arial" w:cs="Arial"/>
                <w:b/>
                <w:bCs/>
                <w:sz w:val="16"/>
                <w:szCs w:val="16"/>
              </w:rPr>
              <w:t>Outcome 6 Totals by appropriation type</w:t>
            </w:r>
          </w:p>
        </w:tc>
        <w:tc>
          <w:tcPr>
            <w:tcW w:w="901" w:type="dxa"/>
            <w:tcBorders>
              <w:top w:val="single" w:sz="4" w:space="0" w:color="auto"/>
              <w:left w:val="nil"/>
              <w:bottom w:val="single" w:sz="4" w:space="0" w:color="auto"/>
              <w:right w:val="nil"/>
            </w:tcBorders>
            <w:shd w:val="clear" w:color="000000" w:fill="E6E6E6"/>
            <w:noWrap/>
            <w:hideMark/>
          </w:tcPr>
          <w:p w14:paraId="6A77B89E" w14:textId="77777777" w:rsidR="00282203" w:rsidRPr="00282203" w:rsidRDefault="00282203" w:rsidP="00282203">
            <w:pPr>
              <w:spacing w:after="0" w:line="240" w:lineRule="auto"/>
              <w:jc w:val="left"/>
              <w:rPr>
                <w:rFonts w:ascii="Arial" w:hAnsi="Arial" w:cs="Arial"/>
                <w:sz w:val="16"/>
                <w:szCs w:val="16"/>
              </w:rPr>
            </w:pPr>
            <w:r w:rsidRPr="00282203">
              <w:rPr>
                <w:rFonts w:ascii="Arial" w:hAnsi="Arial" w:cs="Arial"/>
                <w:sz w:val="16"/>
                <w:szCs w:val="16"/>
              </w:rPr>
              <w:t> </w:t>
            </w:r>
          </w:p>
        </w:tc>
        <w:tc>
          <w:tcPr>
            <w:tcW w:w="928" w:type="dxa"/>
            <w:tcBorders>
              <w:top w:val="single" w:sz="4" w:space="0" w:color="auto"/>
              <w:left w:val="nil"/>
              <w:bottom w:val="single" w:sz="4" w:space="0" w:color="auto"/>
              <w:right w:val="nil"/>
            </w:tcBorders>
            <w:shd w:val="clear" w:color="000000" w:fill="E6E6E6"/>
            <w:noWrap/>
            <w:hideMark/>
          </w:tcPr>
          <w:p w14:paraId="0DF264EF" w14:textId="77777777" w:rsidR="00282203" w:rsidRPr="00282203" w:rsidRDefault="00282203" w:rsidP="00282203">
            <w:pPr>
              <w:spacing w:after="0" w:line="240" w:lineRule="auto"/>
              <w:jc w:val="left"/>
              <w:rPr>
                <w:rFonts w:ascii="Arial" w:hAnsi="Arial" w:cs="Arial"/>
                <w:sz w:val="16"/>
                <w:szCs w:val="16"/>
              </w:rPr>
            </w:pPr>
            <w:r w:rsidRPr="00282203">
              <w:rPr>
                <w:rFonts w:ascii="Arial" w:hAnsi="Arial" w:cs="Arial"/>
                <w:sz w:val="16"/>
                <w:szCs w:val="16"/>
              </w:rPr>
              <w:t> </w:t>
            </w:r>
          </w:p>
        </w:tc>
        <w:tc>
          <w:tcPr>
            <w:tcW w:w="864" w:type="dxa"/>
            <w:tcBorders>
              <w:top w:val="single" w:sz="4" w:space="0" w:color="auto"/>
              <w:left w:val="nil"/>
              <w:bottom w:val="single" w:sz="4" w:space="0" w:color="auto"/>
              <w:right w:val="nil"/>
            </w:tcBorders>
            <w:shd w:val="clear" w:color="000000" w:fill="E6E6E6"/>
            <w:noWrap/>
            <w:hideMark/>
          </w:tcPr>
          <w:p w14:paraId="2716EF01" w14:textId="77777777" w:rsidR="00282203" w:rsidRPr="00282203" w:rsidRDefault="00282203" w:rsidP="00282203">
            <w:pPr>
              <w:spacing w:after="0" w:line="240" w:lineRule="auto"/>
              <w:jc w:val="left"/>
              <w:rPr>
                <w:rFonts w:ascii="Arial" w:hAnsi="Arial" w:cs="Arial"/>
                <w:sz w:val="16"/>
                <w:szCs w:val="16"/>
              </w:rPr>
            </w:pPr>
            <w:r w:rsidRPr="00282203">
              <w:rPr>
                <w:rFonts w:ascii="Arial" w:hAnsi="Arial" w:cs="Arial"/>
                <w:sz w:val="16"/>
                <w:szCs w:val="16"/>
              </w:rPr>
              <w:t> </w:t>
            </w:r>
          </w:p>
        </w:tc>
        <w:tc>
          <w:tcPr>
            <w:tcW w:w="851" w:type="dxa"/>
            <w:tcBorders>
              <w:top w:val="single" w:sz="4" w:space="0" w:color="auto"/>
              <w:left w:val="nil"/>
              <w:bottom w:val="single" w:sz="4" w:space="0" w:color="auto"/>
              <w:right w:val="nil"/>
            </w:tcBorders>
            <w:shd w:val="clear" w:color="000000" w:fill="E6E6E6"/>
            <w:noWrap/>
            <w:hideMark/>
          </w:tcPr>
          <w:p w14:paraId="35DBCC76" w14:textId="77777777" w:rsidR="00282203" w:rsidRPr="00282203" w:rsidRDefault="00282203" w:rsidP="00282203">
            <w:pPr>
              <w:spacing w:after="0" w:line="240" w:lineRule="auto"/>
              <w:jc w:val="left"/>
              <w:rPr>
                <w:rFonts w:ascii="Arial" w:hAnsi="Arial" w:cs="Arial"/>
                <w:sz w:val="16"/>
                <w:szCs w:val="16"/>
              </w:rPr>
            </w:pPr>
            <w:r w:rsidRPr="00282203">
              <w:rPr>
                <w:rFonts w:ascii="Arial" w:hAnsi="Arial" w:cs="Arial"/>
                <w:sz w:val="16"/>
                <w:szCs w:val="16"/>
              </w:rPr>
              <w:t> </w:t>
            </w:r>
          </w:p>
        </w:tc>
        <w:tc>
          <w:tcPr>
            <w:tcW w:w="850" w:type="dxa"/>
            <w:tcBorders>
              <w:top w:val="single" w:sz="4" w:space="0" w:color="auto"/>
              <w:left w:val="nil"/>
              <w:bottom w:val="single" w:sz="4" w:space="0" w:color="auto"/>
              <w:right w:val="nil"/>
            </w:tcBorders>
            <w:shd w:val="clear" w:color="000000" w:fill="E6E6E6"/>
            <w:noWrap/>
            <w:hideMark/>
          </w:tcPr>
          <w:p w14:paraId="4C3F8F34" w14:textId="77777777" w:rsidR="00282203" w:rsidRPr="00282203" w:rsidRDefault="00282203" w:rsidP="00282203">
            <w:pPr>
              <w:spacing w:after="0" w:line="240" w:lineRule="auto"/>
              <w:jc w:val="left"/>
              <w:rPr>
                <w:rFonts w:ascii="Arial" w:hAnsi="Arial" w:cs="Arial"/>
                <w:sz w:val="16"/>
                <w:szCs w:val="16"/>
              </w:rPr>
            </w:pPr>
            <w:r w:rsidRPr="00282203">
              <w:rPr>
                <w:rFonts w:ascii="Arial" w:hAnsi="Arial" w:cs="Arial"/>
                <w:sz w:val="16"/>
                <w:szCs w:val="16"/>
              </w:rPr>
              <w:t> </w:t>
            </w:r>
          </w:p>
        </w:tc>
      </w:tr>
      <w:tr w:rsidR="00282203" w:rsidRPr="00282203" w14:paraId="79752984" w14:textId="77777777" w:rsidTr="00B76022">
        <w:trPr>
          <w:trHeight w:val="204"/>
        </w:trPr>
        <w:tc>
          <w:tcPr>
            <w:tcW w:w="3261" w:type="dxa"/>
            <w:tcBorders>
              <w:top w:val="nil"/>
              <w:left w:val="nil"/>
              <w:bottom w:val="nil"/>
              <w:right w:val="nil"/>
            </w:tcBorders>
            <w:shd w:val="clear" w:color="auto" w:fill="auto"/>
            <w:noWrap/>
            <w:vAlign w:val="bottom"/>
            <w:hideMark/>
          </w:tcPr>
          <w:p w14:paraId="7B80C95D" w14:textId="77777777" w:rsidR="00282203" w:rsidRPr="00C55547" w:rsidRDefault="00282203" w:rsidP="00282203">
            <w:pPr>
              <w:spacing w:after="0" w:line="240" w:lineRule="auto"/>
              <w:jc w:val="left"/>
              <w:rPr>
                <w:rFonts w:ascii="Arial" w:hAnsi="Arial" w:cs="Arial"/>
                <w:sz w:val="16"/>
                <w:szCs w:val="16"/>
              </w:rPr>
            </w:pPr>
            <w:r w:rsidRPr="00C55547">
              <w:rPr>
                <w:rFonts w:ascii="Arial" w:hAnsi="Arial" w:cs="Arial"/>
                <w:sz w:val="16"/>
                <w:szCs w:val="16"/>
              </w:rPr>
              <w:t>Administered expenses</w:t>
            </w:r>
          </w:p>
        </w:tc>
        <w:tc>
          <w:tcPr>
            <w:tcW w:w="901" w:type="dxa"/>
            <w:tcBorders>
              <w:top w:val="nil"/>
              <w:left w:val="nil"/>
              <w:right w:val="nil"/>
            </w:tcBorders>
            <w:shd w:val="clear" w:color="auto" w:fill="auto"/>
            <w:noWrap/>
            <w:vAlign w:val="bottom"/>
            <w:hideMark/>
          </w:tcPr>
          <w:p w14:paraId="16B9F0F2" w14:textId="763ABD6F" w:rsidR="00282203" w:rsidRPr="00C55547" w:rsidRDefault="00282203" w:rsidP="00282203">
            <w:pPr>
              <w:spacing w:after="0" w:line="240" w:lineRule="auto"/>
              <w:jc w:val="right"/>
              <w:rPr>
                <w:rFonts w:ascii="Arial" w:hAnsi="Arial" w:cs="Arial"/>
                <w:b/>
                <w:bCs/>
                <w:sz w:val="16"/>
                <w:szCs w:val="16"/>
              </w:rPr>
            </w:pPr>
          </w:p>
        </w:tc>
        <w:tc>
          <w:tcPr>
            <w:tcW w:w="928" w:type="dxa"/>
            <w:tcBorders>
              <w:top w:val="nil"/>
              <w:left w:val="nil"/>
              <w:right w:val="nil"/>
            </w:tcBorders>
            <w:shd w:val="clear" w:color="000000" w:fill="E6E6E6"/>
            <w:noWrap/>
            <w:vAlign w:val="bottom"/>
            <w:hideMark/>
          </w:tcPr>
          <w:p w14:paraId="765D26A3" w14:textId="46824CA6" w:rsidR="00282203" w:rsidRPr="00C55547" w:rsidRDefault="00282203" w:rsidP="00282203">
            <w:pPr>
              <w:spacing w:after="0" w:line="240" w:lineRule="auto"/>
              <w:jc w:val="right"/>
              <w:rPr>
                <w:rFonts w:ascii="Arial" w:hAnsi="Arial" w:cs="Arial"/>
                <w:b/>
                <w:bCs/>
                <w:sz w:val="16"/>
                <w:szCs w:val="16"/>
              </w:rPr>
            </w:pPr>
          </w:p>
        </w:tc>
        <w:tc>
          <w:tcPr>
            <w:tcW w:w="864" w:type="dxa"/>
            <w:tcBorders>
              <w:top w:val="nil"/>
              <w:left w:val="nil"/>
              <w:right w:val="nil"/>
            </w:tcBorders>
            <w:shd w:val="clear" w:color="auto" w:fill="auto"/>
            <w:noWrap/>
            <w:vAlign w:val="bottom"/>
            <w:hideMark/>
          </w:tcPr>
          <w:p w14:paraId="6EA03A4A" w14:textId="0FC369EE" w:rsidR="00282203" w:rsidRPr="00C55547" w:rsidRDefault="00282203" w:rsidP="00282203">
            <w:pPr>
              <w:spacing w:after="0" w:line="240" w:lineRule="auto"/>
              <w:jc w:val="right"/>
              <w:rPr>
                <w:rFonts w:ascii="Arial" w:hAnsi="Arial" w:cs="Arial"/>
                <w:b/>
                <w:bCs/>
                <w:sz w:val="16"/>
                <w:szCs w:val="16"/>
              </w:rPr>
            </w:pPr>
          </w:p>
        </w:tc>
        <w:tc>
          <w:tcPr>
            <w:tcW w:w="851" w:type="dxa"/>
            <w:tcBorders>
              <w:top w:val="nil"/>
              <w:left w:val="nil"/>
              <w:right w:val="nil"/>
            </w:tcBorders>
            <w:shd w:val="clear" w:color="auto" w:fill="auto"/>
            <w:noWrap/>
            <w:vAlign w:val="bottom"/>
            <w:hideMark/>
          </w:tcPr>
          <w:p w14:paraId="13E92B7C" w14:textId="56C378F8" w:rsidR="00282203" w:rsidRPr="00C55547" w:rsidRDefault="00282203" w:rsidP="00282203">
            <w:pPr>
              <w:spacing w:after="0" w:line="240" w:lineRule="auto"/>
              <w:jc w:val="right"/>
              <w:rPr>
                <w:rFonts w:ascii="Arial" w:hAnsi="Arial" w:cs="Arial"/>
                <w:b/>
                <w:bCs/>
                <w:sz w:val="16"/>
                <w:szCs w:val="16"/>
              </w:rPr>
            </w:pPr>
          </w:p>
        </w:tc>
        <w:tc>
          <w:tcPr>
            <w:tcW w:w="850" w:type="dxa"/>
            <w:tcBorders>
              <w:top w:val="nil"/>
              <w:left w:val="nil"/>
              <w:right w:val="nil"/>
            </w:tcBorders>
            <w:shd w:val="clear" w:color="auto" w:fill="auto"/>
            <w:noWrap/>
            <w:vAlign w:val="bottom"/>
            <w:hideMark/>
          </w:tcPr>
          <w:p w14:paraId="7335FE99" w14:textId="2404B410" w:rsidR="00282203" w:rsidRPr="00C55547" w:rsidRDefault="00282203" w:rsidP="00282203">
            <w:pPr>
              <w:spacing w:after="0" w:line="240" w:lineRule="auto"/>
              <w:jc w:val="right"/>
              <w:rPr>
                <w:rFonts w:ascii="Arial" w:hAnsi="Arial" w:cs="Arial"/>
                <w:b/>
                <w:bCs/>
                <w:sz w:val="16"/>
                <w:szCs w:val="16"/>
              </w:rPr>
            </w:pPr>
          </w:p>
        </w:tc>
      </w:tr>
      <w:tr w:rsidR="003243A3" w:rsidRPr="00282203" w14:paraId="127B168A" w14:textId="77777777" w:rsidTr="00B76022">
        <w:trPr>
          <w:trHeight w:val="204"/>
        </w:trPr>
        <w:tc>
          <w:tcPr>
            <w:tcW w:w="3261" w:type="dxa"/>
            <w:tcBorders>
              <w:top w:val="nil"/>
              <w:left w:val="nil"/>
              <w:bottom w:val="nil"/>
              <w:right w:val="nil"/>
            </w:tcBorders>
            <w:shd w:val="clear" w:color="auto" w:fill="auto"/>
            <w:vAlign w:val="bottom"/>
            <w:hideMark/>
          </w:tcPr>
          <w:p w14:paraId="1EC6A990"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Ordinary Annual Services (Appropriation Act No. 1 and Bill No. 3)</w:t>
            </w:r>
          </w:p>
        </w:tc>
        <w:tc>
          <w:tcPr>
            <w:tcW w:w="901" w:type="dxa"/>
            <w:tcBorders>
              <w:top w:val="nil"/>
              <w:left w:val="nil"/>
              <w:bottom w:val="nil"/>
              <w:right w:val="nil"/>
            </w:tcBorders>
            <w:shd w:val="clear" w:color="auto" w:fill="auto"/>
            <w:noWrap/>
            <w:vAlign w:val="bottom"/>
            <w:hideMark/>
          </w:tcPr>
          <w:p w14:paraId="4663AF7C" w14:textId="230EE32C"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372,698 </w:t>
            </w:r>
          </w:p>
        </w:tc>
        <w:tc>
          <w:tcPr>
            <w:tcW w:w="928" w:type="dxa"/>
            <w:tcBorders>
              <w:top w:val="nil"/>
              <w:left w:val="nil"/>
              <w:bottom w:val="nil"/>
              <w:right w:val="nil"/>
            </w:tcBorders>
            <w:shd w:val="clear" w:color="000000" w:fill="E6E6E6"/>
            <w:noWrap/>
            <w:vAlign w:val="bottom"/>
            <w:hideMark/>
          </w:tcPr>
          <w:p w14:paraId="79500E65" w14:textId="326419B1"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497,202 </w:t>
            </w:r>
          </w:p>
        </w:tc>
        <w:tc>
          <w:tcPr>
            <w:tcW w:w="864" w:type="dxa"/>
            <w:tcBorders>
              <w:top w:val="nil"/>
              <w:left w:val="nil"/>
              <w:bottom w:val="nil"/>
              <w:right w:val="nil"/>
            </w:tcBorders>
            <w:shd w:val="clear" w:color="auto" w:fill="auto"/>
            <w:noWrap/>
            <w:vAlign w:val="bottom"/>
            <w:hideMark/>
          </w:tcPr>
          <w:p w14:paraId="0F453D8B" w14:textId="6CF7CB68"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279,953 </w:t>
            </w:r>
          </w:p>
        </w:tc>
        <w:tc>
          <w:tcPr>
            <w:tcW w:w="851" w:type="dxa"/>
            <w:tcBorders>
              <w:top w:val="nil"/>
              <w:left w:val="nil"/>
              <w:bottom w:val="nil"/>
              <w:right w:val="nil"/>
            </w:tcBorders>
            <w:shd w:val="clear" w:color="auto" w:fill="auto"/>
            <w:noWrap/>
            <w:vAlign w:val="bottom"/>
            <w:hideMark/>
          </w:tcPr>
          <w:p w14:paraId="6E56B2EB" w14:textId="2332068F"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281,874 </w:t>
            </w:r>
          </w:p>
        </w:tc>
        <w:tc>
          <w:tcPr>
            <w:tcW w:w="850" w:type="dxa"/>
            <w:tcBorders>
              <w:top w:val="nil"/>
              <w:left w:val="nil"/>
              <w:bottom w:val="nil"/>
              <w:right w:val="nil"/>
            </w:tcBorders>
            <w:shd w:val="clear" w:color="auto" w:fill="auto"/>
            <w:noWrap/>
            <w:vAlign w:val="bottom"/>
            <w:hideMark/>
          </w:tcPr>
          <w:p w14:paraId="0F1ACEC5" w14:textId="168A6751"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276,895 </w:t>
            </w:r>
          </w:p>
        </w:tc>
      </w:tr>
      <w:tr w:rsidR="003243A3" w:rsidRPr="00282203" w14:paraId="724C5A9E" w14:textId="77777777" w:rsidTr="00B76022">
        <w:trPr>
          <w:trHeight w:val="204"/>
        </w:trPr>
        <w:tc>
          <w:tcPr>
            <w:tcW w:w="3261" w:type="dxa"/>
            <w:tcBorders>
              <w:top w:val="nil"/>
              <w:left w:val="nil"/>
              <w:bottom w:val="nil"/>
              <w:right w:val="nil"/>
            </w:tcBorders>
            <w:shd w:val="clear" w:color="auto" w:fill="auto"/>
            <w:vAlign w:val="bottom"/>
            <w:hideMark/>
          </w:tcPr>
          <w:p w14:paraId="171C5DBD"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Special Appropriations</w:t>
            </w:r>
          </w:p>
        </w:tc>
        <w:tc>
          <w:tcPr>
            <w:tcW w:w="901" w:type="dxa"/>
            <w:tcBorders>
              <w:top w:val="nil"/>
              <w:left w:val="nil"/>
              <w:bottom w:val="nil"/>
              <w:right w:val="nil"/>
            </w:tcBorders>
            <w:shd w:val="clear" w:color="auto" w:fill="auto"/>
            <w:noWrap/>
            <w:vAlign w:val="bottom"/>
            <w:hideMark/>
          </w:tcPr>
          <w:p w14:paraId="3644D894" w14:textId="6080609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27,900 </w:t>
            </w:r>
          </w:p>
        </w:tc>
        <w:tc>
          <w:tcPr>
            <w:tcW w:w="928" w:type="dxa"/>
            <w:tcBorders>
              <w:top w:val="nil"/>
              <w:left w:val="nil"/>
              <w:bottom w:val="nil"/>
              <w:right w:val="nil"/>
            </w:tcBorders>
            <w:shd w:val="clear" w:color="000000" w:fill="E6E6E6"/>
            <w:noWrap/>
            <w:vAlign w:val="bottom"/>
            <w:hideMark/>
          </w:tcPr>
          <w:p w14:paraId="0A357318" w14:textId="11BC820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864" w:type="dxa"/>
            <w:tcBorders>
              <w:top w:val="nil"/>
              <w:left w:val="nil"/>
              <w:bottom w:val="nil"/>
              <w:right w:val="nil"/>
            </w:tcBorders>
            <w:shd w:val="clear" w:color="auto" w:fill="auto"/>
            <w:noWrap/>
            <w:vAlign w:val="bottom"/>
            <w:hideMark/>
          </w:tcPr>
          <w:p w14:paraId="3F8D2494" w14:textId="3B33780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851" w:type="dxa"/>
            <w:tcBorders>
              <w:top w:val="nil"/>
              <w:left w:val="nil"/>
              <w:bottom w:val="nil"/>
              <w:right w:val="nil"/>
            </w:tcBorders>
            <w:shd w:val="clear" w:color="auto" w:fill="auto"/>
            <w:noWrap/>
            <w:vAlign w:val="bottom"/>
            <w:hideMark/>
          </w:tcPr>
          <w:p w14:paraId="24C118D6" w14:textId="238F8836"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c>
          <w:tcPr>
            <w:tcW w:w="850" w:type="dxa"/>
            <w:tcBorders>
              <w:top w:val="nil"/>
              <w:left w:val="nil"/>
              <w:bottom w:val="nil"/>
              <w:right w:val="nil"/>
            </w:tcBorders>
            <w:shd w:val="clear" w:color="auto" w:fill="auto"/>
            <w:noWrap/>
            <w:vAlign w:val="bottom"/>
            <w:hideMark/>
          </w:tcPr>
          <w:p w14:paraId="1EE27FC5" w14:textId="677A3C1B"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 </w:t>
            </w:r>
          </w:p>
        </w:tc>
      </w:tr>
      <w:tr w:rsidR="003243A3" w:rsidRPr="00282203" w14:paraId="4FF8640B" w14:textId="77777777" w:rsidTr="00B76022">
        <w:trPr>
          <w:trHeight w:val="204"/>
        </w:trPr>
        <w:tc>
          <w:tcPr>
            <w:tcW w:w="3261" w:type="dxa"/>
            <w:tcBorders>
              <w:top w:val="nil"/>
              <w:left w:val="nil"/>
              <w:bottom w:val="nil"/>
              <w:right w:val="nil"/>
            </w:tcBorders>
            <w:shd w:val="clear" w:color="auto" w:fill="auto"/>
            <w:vAlign w:val="bottom"/>
            <w:hideMark/>
          </w:tcPr>
          <w:p w14:paraId="763D461F"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Special accounts</w:t>
            </w:r>
          </w:p>
        </w:tc>
        <w:tc>
          <w:tcPr>
            <w:tcW w:w="901" w:type="dxa"/>
            <w:tcBorders>
              <w:top w:val="nil"/>
              <w:left w:val="nil"/>
              <w:bottom w:val="nil"/>
              <w:right w:val="nil"/>
            </w:tcBorders>
            <w:shd w:val="clear" w:color="auto" w:fill="auto"/>
            <w:noWrap/>
            <w:vAlign w:val="bottom"/>
            <w:hideMark/>
          </w:tcPr>
          <w:p w14:paraId="27B814AA" w14:textId="37BF0E9C"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500 </w:t>
            </w:r>
          </w:p>
        </w:tc>
        <w:tc>
          <w:tcPr>
            <w:tcW w:w="928" w:type="dxa"/>
            <w:tcBorders>
              <w:top w:val="nil"/>
              <w:left w:val="nil"/>
              <w:bottom w:val="nil"/>
              <w:right w:val="nil"/>
            </w:tcBorders>
            <w:shd w:val="clear" w:color="000000" w:fill="E6E6E6"/>
            <w:noWrap/>
            <w:vAlign w:val="bottom"/>
            <w:hideMark/>
          </w:tcPr>
          <w:p w14:paraId="5BFD8BE8" w14:textId="1B298FA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500 </w:t>
            </w:r>
          </w:p>
        </w:tc>
        <w:tc>
          <w:tcPr>
            <w:tcW w:w="864" w:type="dxa"/>
            <w:tcBorders>
              <w:top w:val="nil"/>
              <w:left w:val="nil"/>
              <w:bottom w:val="nil"/>
              <w:right w:val="nil"/>
            </w:tcBorders>
            <w:shd w:val="clear" w:color="auto" w:fill="auto"/>
            <w:noWrap/>
            <w:vAlign w:val="bottom"/>
            <w:hideMark/>
          </w:tcPr>
          <w:p w14:paraId="28ED2E6E" w14:textId="6E9012B1"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500 </w:t>
            </w:r>
          </w:p>
        </w:tc>
        <w:tc>
          <w:tcPr>
            <w:tcW w:w="851" w:type="dxa"/>
            <w:tcBorders>
              <w:top w:val="nil"/>
              <w:left w:val="nil"/>
              <w:bottom w:val="nil"/>
              <w:right w:val="nil"/>
            </w:tcBorders>
            <w:shd w:val="clear" w:color="auto" w:fill="auto"/>
            <w:noWrap/>
            <w:vAlign w:val="bottom"/>
            <w:hideMark/>
          </w:tcPr>
          <w:p w14:paraId="2E1B0210" w14:textId="6D979B56"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500 </w:t>
            </w:r>
          </w:p>
        </w:tc>
        <w:tc>
          <w:tcPr>
            <w:tcW w:w="850" w:type="dxa"/>
            <w:tcBorders>
              <w:top w:val="nil"/>
              <w:left w:val="nil"/>
              <w:bottom w:val="nil"/>
              <w:right w:val="nil"/>
            </w:tcBorders>
            <w:shd w:val="clear" w:color="auto" w:fill="auto"/>
            <w:noWrap/>
            <w:vAlign w:val="bottom"/>
            <w:hideMark/>
          </w:tcPr>
          <w:p w14:paraId="5D2AD9F5" w14:textId="67D4C693"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500 </w:t>
            </w:r>
          </w:p>
        </w:tc>
      </w:tr>
      <w:tr w:rsidR="003243A3" w:rsidRPr="00282203" w14:paraId="0B45F9F9" w14:textId="77777777" w:rsidTr="00B76022">
        <w:trPr>
          <w:trHeight w:val="204"/>
        </w:trPr>
        <w:tc>
          <w:tcPr>
            <w:tcW w:w="3261" w:type="dxa"/>
            <w:tcBorders>
              <w:top w:val="nil"/>
              <w:left w:val="nil"/>
              <w:bottom w:val="nil"/>
              <w:right w:val="nil"/>
            </w:tcBorders>
            <w:shd w:val="clear" w:color="auto" w:fill="auto"/>
            <w:vAlign w:val="bottom"/>
            <w:hideMark/>
          </w:tcPr>
          <w:p w14:paraId="0722E440"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 xml:space="preserve">Payments to corporate entities </w:t>
            </w:r>
            <w:r w:rsidRPr="00C55547">
              <w:rPr>
                <w:rFonts w:ascii="Arial" w:hAnsi="Arial" w:cs="Arial"/>
                <w:sz w:val="16"/>
                <w:szCs w:val="16"/>
                <w:vertAlign w:val="superscript"/>
              </w:rPr>
              <w:t>(b)</w:t>
            </w:r>
          </w:p>
        </w:tc>
        <w:tc>
          <w:tcPr>
            <w:tcW w:w="901" w:type="dxa"/>
            <w:tcBorders>
              <w:top w:val="nil"/>
              <w:left w:val="nil"/>
              <w:bottom w:val="nil"/>
              <w:right w:val="nil"/>
            </w:tcBorders>
            <w:shd w:val="clear" w:color="auto" w:fill="auto"/>
            <w:noWrap/>
            <w:vAlign w:val="bottom"/>
            <w:hideMark/>
          </w:tcPr>
          <w:p w14:paraId="609B0E17" w14:textId="7AD84A05"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466,109 </w:t>
            </w:r>
          </w:p>
        </w:tc>
        <w:tc>
          <w:tcPr>
            <w:tcW w:w="928" w:type="dxa"/>
            <w:tcBorders>
              <w:top w:val="nil"/>
              <w:left w:val="nil"/>
              <w:bottom w:val="nil"/>
              <w:right w:val="nil"/>
            </w:tcBorders>
            <w:shd w:val="clear" w:color="000000" w:fill="E6E6E6"/>
            <w:noWrap/>
            <w:vAlign w:val="bottom"/>
            <w:hideMark/>
          </w:tcPr>
          <w:p w14:paraId="377873F4" w14:textId="503A3FFF"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495,092 </w:t>
            </w:r>
          </w:p>
        </w:tc>
        <w:tc>
          <w:tcPr>
            <w:tcW w:w="864" w:type="dxa"/>
            <w:tcBorders>
              <w:top w:val="nil"/>
              <w:left w:val="nil"/>
              <w:bottom w:val="nil"/>
              <w:right w:val="nil"/>
            </w:tcBorders>
            <w:shd w:val="clear" w:color="auto" w:fill="auto"/>
            <w:noWrap/>
            <w:vAlign w:val="bottom"/>
            <w:hideMark/>
          </w:tcPr>
          <w:p w14:paraId="23052B30" w14:textId="111C378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485,984 </w:t>
            </w:r>
          </w:p>
        </w:tc>
        <w:tc>
          <w:tcPr>
            <w:tcW w:w="851" w:type="dxa"/>
            <w:tcBorders>
              <w:top w:val="nil"/>
              <w:left w:val="nil"/>
              <w:bottom w:val="nil"/>
              <w:right w:val="nil"/>
            </w:tcBorders>
            <w:shd w:val="clear" w:color="auto" w:fill="auto"/>
            <w:noWrap/>
            <w:vAlign w:val="bottom"/>
            <w:hideMark/>
          </w:tcPr>
          <w:p w14:paraId="18569839" w14:textId="4F432BC9"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449,708 </w:t>
            </w:r>
          </w:p>
        </w:tc>
        <w:tc>
          <w:tcPr>
            <w:tcW w:w="850" w:type="dxa"/>
            <w:tcBorders>
              <w:top w:val="nil"/>
              <w:left w:val="nil"/>
              <w:bottom w:val="nil"/>
              <w:right w:val="nil"/>
            </w:tcBorders>
            <w:shd w:val="clear" w:color="auto" w:fill="auto"/>
            <w:noWrap/>
            <w:vAlign w:val="bottom"/>
            <w:hideMark/>
          </w:tcPr>
          <w:p w14:paraId="4D1A76A2" w14:textId="41B12020"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454,685 </w:t>
            </w:r>
          </w:p>
        </w:tc>
      </w:tr>
      <w:tr w:rsidR="003243A3" w:rsidRPr="00282203" w14:paraId="18EB22EC" w14:textId="77777777" w:rsidTr="00B76022">
        <w:trPr>
          <w:trHeight w:val="204"/>
        </w:trPr>
        <w:tc>
          <w:tcPr>
            <w:tcW w:w="3261" w:type="dxa"/>
            <w:tcBorders>
              <w:top w:val="nil"/>
              <w:left w:val="nil"/>
              <w:bottom w:val="nil"/>
              <w:right w:val="nil"/>
            </w:tcBorders>
            <w:shd w:val="clear" w:color="auto" w:fill="auto"/>
            <w:vAlign w:val="bottom"/>
            <w:hideMark/>
          </w:tcPr>
          <w:p w14:paraId="1693861F"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 xml:space="preserve">Expenses not requiring appropriation in the Budget year </w:t>
            </w:r>
            <w:r w:rsidRPr="00C55547">
              <w:rPr>
                <w:rFonts w:ascii="Arial" w:hAnsi="Arial" w:cs="Arial"/>
                <w:sz w:val="16"/>
                <w:szCs w:val="16"/>
                <w:vertAlign w:val="superscript"/>
              </w:rPr>
              <w:t>(c)</w:t>
            </w:r>
          </w:p>
        </w:tc>
        <w:tc>
          <w:tcPr>
            <w:tcW w:w="901" w:type="dxa"/>
            <w:tcBorders>
              <w:top w:val="nil"/>
              <w:left w:val="nil"/>
              <w:bottom w:val="nil"/>
              <w:right w:val="nil"/>
            </w:tcBorders>
            <w:shd w:val="clear" w:color="auto" w:fill="auto"/>
            <w:noWrap/>
            <w:vAlign w:val="bottom"/>
            <w:hideMark/>
          </w:tcPr>
          <w:p w14:paraId="348D23BC" w14:textId="44E9183C"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3,502 </w:t>
            </w:r>
          </w:p>
        </w:tc>
        <w:tc>
          <w:tcPr>
            <w:tcW w:w="928" w:type="dxa"/>
            <w:tcBorders>
              <w:top w:val="nil"/>
              <w:left w:val="nil"/>
              <w:bottom w:val="nil"/>
              <w:right w:val="nil"/>
            </w:tcBorders>
            <w:shd w:val="clear" w:color="000000" w:fill="E6E6E6"/>
            <w:noWrap/>
            <w:vAlign w:val="bottom"/>
            <w:hideMark/>
          </w:tcPr>
          <w:p w14:paraId="25A0C049" w14:textId="48D43C3C"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2,389 </w:t>
            </w:r>
          </w:p>
        </w:tc>
        <w:tc>
          <w:tcPr>
            <w:tcW w:w="864" w:type="dxa"/>
            <w:tcBorders>
              <w:top w:val="nil"/>
              <w:left w:val="nil"/>
              <w:bottom w:val="nil"/>
              <w:right w:val="nil"/>
            </w:tcBorders>
            <w:shd w:val="clear" w:color="auto" w:fill="auto"/>
            <w:noWrap/>
            <w:vAlign w:val="bottom"/>
            <w:hideMark/>
          </w:tcPr>
          <w:p w14:paraId="22FD73F5" w14:textId="50865190"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2,389 </w:t>
            </w:r>
          </w:p>
        </w:tc>
        <w:tc>
          <w:tcPr>
            <w:tcW w:w="851" w:type="dxa"/>
            <w:tcBorders>
              <w:top w:val="nil"/>
              <w:left w:val="nil"/>
              <w:bottom w:val="nil"/>
              <w:right w:val="nil"/>
            </w:tcBorders>
            <w:shd w:val="clear" w:color="auto" w:fill="auto"/>
            <w:noWrap/>
            <w:vAlign w:val="bottom"/>
            <w:hideMark/>
          </w:tcPr>
          <w:p w14:paraId="705643C2" w14:textId="6508BA64"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2,389 </w:t>
            </w:r>
          </w:p>
        </w:tc>
        <w:tc>
          <w:tcPr>
            <w:tcW w:w="850" w:type="dxa"/>
            <w:tcBorders>
              <w:top w:val="nil"/>
              <w:left w:val="nil"/>
              <w:bottom w:val="nil"/>
              <w:right w:val="nil"/>
            </w:tcBorders>
            <w:shd w:val="clear" w:color="auto" w:fill="auto"/>
            <w:noWrap/>
            <w:vAlign w:val="bottom"/>
            <w:hideMark/>
          </w:tcPr>
          <w:p w14:paraId="38726DCD" w14:textId="22B838E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2,389 </w:t>
            </w:r>
          </w:p>
        </w:tc>
      </w:tr>
      <w:tr w:rsidR="003243A3" w:rsidRPr="00282203" w14:paraId="18BCC395" w14:textId="77777777" w:rsidTr="00B76022">
        <w:trPr>
          <w:trHeight w:val="204"/>
        </w:trPr>
        <w:tc>
          <w:tcPr>
            <w:tcW w:w="3261" w:type="dxa"/>
            <w:tcBorders>
              <w:top w:val="nil"/>
              <w:left w:val="nil"/>
              <w:bottom w:val="nil"/>
              <w:right w:val="nil"/>
            </w:tcBorders>
            <w:shd w:val="clear" w:color="auto" w:fill="auto"/>
            <w:vAlign w:val="bottom"/>
            <w:hideMark/>
          </w:tcPr>
          <w:p w14:paraId="0FA77C39" w14:textId="5F55DEC1" w:rsidR="003243A3" w:rsidRPr="00C55547" w:rsidRDefault="003243A3" w:rsidP="003243A3">
            <w:pPr>
              <w:spacing w:after="0" w:line="240" w:lineRule="auto"/>
              <w:jc w:val="right"/>
              <w:rPr>
                <w:rFonts w:ascii="Arial" w:hAnsi="Arial" w:cs="Arial"/>
                <w:b/>
                <w:bCs/>
                <w:sz w:val="16"/>
                <w:szCs w:val="16"/>
              </w:rPr>
            </w:pPr>
            <w:r w:rsidRPr="00C55547">
              <w:rPr>
                <w:rFonts w:ascii="Arial" w:hAnsi="Arial" w:cs="Arial"/>
                <w:b/>
                <w:bCs/>
                <w:sz w:val="16"/>
                <w:szCs w:val="16"/>
              </w:rPr>
              <w:t>Total Administered expenses</w:t>
            </w:r>
          </w:p>
        </w:tc>
        <w:tc>
          <w:tcPr>
            <w:tcW w:w="901" w:type="dxa"/>
            <w:tcBorders>
              <w:top w:val="single" w:sz="4" w:space="0" w:color="auto"/>
              <w:left w:val="nil"/>
              <w:bottom w:val="single" w:sz="4" w:space="0" w:color="auto"/>
              <w:right w:val="nil"/>
            </w:tcBorders>
            <w:shd w:val="clear" w:color="auto" w:fill="auto"/>
            <w:noWrap/>
            <w:vAlign w:val="bottom"/>
            <w:hideMark/>
          </w:tcPr>
          <w:p w14:paraId="27554AEF" w14:textId="39C5593C"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870,709 </w:t>
            </w:r>
          </w:p>
        </w:tc>
        <w:tc>
          <w:tcPr>
            <w:tcW w:w="928" w:type="dxa"/>
            <w:tcBorders>
              <w:top w:val="single" w:sz="4" w:space="0" w:color="auto"/>
              <w:left w:val="nil"/>
              <w:bottom w:val="single" w:sz="4" w:space="0" w:color="auto"/>
              <w:right w:val="nil"/>
            </w:tcBorders>
            <w:shd w:val="clear" w:color="000000" w:fill="E6E6E6"/>
            <w:noWrap/>
            <w:vAlign w:val="bottom"/>
            <w:hideMark/>
          </w:tcPr>
          <w:p w14:paraId="0E287D75" w14:textId="23561588"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995,183 </w:t>
            </w:r>
          </w:p>
        </w:tc>
        <w:tc>
          <w:tcPr>
            <w:tcW w:w="864" w:type="dxa"/>
            <w:tcBorders>
              <w:top w:val="single" w:sz="4" w:space="0" w:color="auto"/>
              <w:left w:val="nil"/>
              <w:bottom w:val="single" w:sz="4" w:space="0" w:color="auto"/>
              <w:right w:val="nil"/>
            </w:tcBorders>
            <w:shd w:val="clear" w:color="auto" w:fill="auto"/>
            <w:noWrap/>
            <w:vAlign w:val="bottom"/>
            <w:hideMark/>
          </w:tcPr>
          <w:p w14:paraId="4261A1AF" w14:textId="56EEE903"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768,826 </w:t>
            </w:r>
          </w:p>
        </w:tc>
        <w:tc>
          <w:tcPr>
            <w:tcW w:w="851" w:type="dxa"/>
            <w:tcBorders>
              <w:top w:val="single" w:sz="4" w:space="0" w:color="auto"/>
              <w:left w:val="nil"/>
              <w:bottom w:val="single" w:sz="4" w:space="0" w:color="auto"/>
              <w:right w:val="nil"/>
            </w:tcBorders>
            <w:shd w:val="clear" w:color="auto" w:fill="auto"/>
            <w:noWrap/>
            <w:vAlign w:val="bottom"/>
            <w:hideMark/>
          </w:tcPr>
          <w:p w14:paraId="3684888C" w14:textId="6606252E"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734,471 </w:t>
            </w:r>
          </w:p>
        </w:tc>
        <w:tc>
          <w:tcPr>
            <w:tcW w:w="850" w:type="dxa"/>
            <w:tcBorders>
              <w:top w:val="single" w:sz="4" w:space="0" w:color="auto"/>
              <w:left w:val="nil"/>
              <w:bottom w:val="single" w:sz="4" w:space="0" w:color="auto"/>
              <w:right w:val="nil"/>
            </w:tcBorders>
            <w:shd w:val="clear" w:color="auto" w:fill="auto"/>
            <w:noWrap/>
            <w:vAlign w:val="bottom"/>
            <w:hideMark/>
          </w:tcPr>
          <w:p w14:paraId="157731C3" w14:textId="1F5DFD9F"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734,469 </w:t>
            </w:r>
          </w:p>
        </w:tc>
      </w:tr>
      <w:tr w:rsidR="003243A3" w:rsidRPr="00282203" w14:paraId="6ECB3AB7" w14:textId="77777777" w:rsidTr="00B76022">
        <w:trPr>
          <w:trHeight w:val="204"/>
        </w:trPr>
        <w:tc>
          <w:tcPr>
            <w:tcW w:w="3261" w:type="dxa"/>
            <w:tcBorders>
              <w:top w:val="nil"/>
              <w:left w:val="nil"/>
              <w:bottom w:val="nil"/>
              <w:right w:val="nil"/>
            </w:tcBorders>
            <w:shd w:val="clear" w:color="auto" w:fill="auto"/>
            <w:vAlign w:val="bottom"/>
            <w:hideMark/>
          </w:tcPr>
          <w:p w14:paraId="1CA7F862" w14:textId="77777777" w:rsidR="003243A3" w:rsidRPr="00C55547" w:rsidRDefault="003243A3" w:rsidP="003243A3">
            <w:pPr>
              <w:spacing w:after="0" w:line="240" w:lineRule="auto"/>
              <w:jc w:val="left"/>
              <w:rPr>
                <w:rFonts w:ascii="Arial" w:hAnsi="Arial" w:cs="Arial"/>
                <w:sz w:val="16"/>
                <w:szCs w:val="16"/>
              </w:rPr>
            </w:pPr>
            <w:r w:rsidRPr="00C55547">
              <w:rPr>
                <w:rFonts w:ascii="Arial" w:hAnsi="Arial" w:cs="Arial"/>
                <w:sz w:val="16"/>
                <w:szCs w:val="16"/>
              </w:rPr>
              <w:t>Departmental expenses</w:t>
            </w:r>
          </w:p>
        </w:tc>
        <w:tc>
          <w:tcPr>
            <w:tcW w:w="901" w:type="dxa"/>
            <w:tcBorders>
              <w:top w:val="nil"/>
              <w:left w:val="nil"/>
              <w:bottom w:val="nil"/>
              <w:right w:val="nil"/>
            </w:tcBorders>
            <w:shd w:val="clear" w:color="auto" w:fill="auto"/>
            <w:noWrap/>
            <w:vAlign w:val="bottom"/>
            <w:hideMark/>
          </w:tcPr>
          <w:p w14:paraId="72F0857D" w14:textId="77777777" w:rsidR="003243A3" w:rsidRPr="00C55547" w:rsidRDefault="003243A3" w:rsidP="003243A3">
            <w:pPr>
              <w:spacing w:after="0" w:line="240" w:lineRule="auto"/>
              <w:jc w:val="left"/>
              <w:rPr>
                <w:rFonts w:ascii="Arial" w:hAnsi="Arial" w:cs="Arial"/>
                <w:sz w:val="16"/>
                <w:szCs w:val="16"/>
              </w:rPr>
            </w:pPr>
          </w:p>
        </w:tc>
        <w:tc>
          <w:tcPr>
            <w:tcW w:w="928" w:type="dxa"/>
            <w:tcBorders>
              <w:top w:val="nil"/>
              <w:left w:val="nil"/>
              <w:bottom w:val="nil"/>
              <w:right w:val="nil"/>
            </w:tcBorders>
            <w:shd w:val="clear" w:color="000000" w:fill="E6E6E6"/>
            <w:noWrap/>
            <w:vAlign w:val="bottom"/>
            <w:hideMark/>
          </w:tcPr>
          <w:p w14:paraId="103E0DF7" w14:textId="73D77495"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w:t>
            </w:r>
          </w:p>
        </w:tc>
        <w:tc>
          <w:tcPr>
            <w:tcW w:w="864" w:type="dxa"/>
            <w:tcBorders>
              <w:top w:val="nil"/>
              <w:left w:val="nil"/>
              <w:bottom w:val="nil"/>
              <w:right w:val="nil"/>
            </w:tcBorders>
            <w:shd w:val="clear" w:color="auto" w:fill="auto"/>
            <w:noWrap/>
            <w:vAlign w:val="bottom"/>
            <w:hideMark/>
          </w:tcPr>
          <w:p w14:paraId="37AA7274" w14:textId="77777777" w:rsidR="003243A3" w:rsidRPr="00C55547" w:rsidRDefault="003243A3" w:rsidP="003243A3">
            <w:pPr>
              <w:spacing w:after="0" w:line="240" w:lineRule="auto"/>
              <w:jc w:val="right"/>
              <w:rPr>
                <w:rFonts w:ascii="Arial" w:hAnsi="Arial" w:cs="Arial"/>
                <w:b/>
                <w:bCs/>
                <w:sz w:val="16"/>
                <w:szCs w:val="16"/>
              </w:rPr>
            </w:pPr>
          </w:p>
        </w:tc>
        <w:tc>
          <w:tcPr>
            <w:tcW w:w="851" w:type="dxa"/>
            <w:tcBorders>
              <w:top w:val="nil"/>
              <w:left w:val="nil"/>
              <w:bottom w:val="nil"/>
              <w:right w:val="nil"/>
            </w:tcBorders>
            <w:shd w:val="clear" w:color="auto" w:fill="auto"/>
            <w:noWrap/>
            <w:vAlign w:val="bottom"/>
            <w:hideMark/>
          </w:tcPr>
          <w:p w14:paraId="20F5AF0C" w14:textId="77777777" w:rsidR="003243A3" w:rsidRPr="00C55547" w:rsidRDefault="003243A3" w:rsidP="003243A3">
            <w:pPr>
              <w:spacing w:after="0" w:line="240" w:lineRule="auto"/>
              <w:jc w:val="right"/>
              <w:rPr>
                <w:rFonts w:ascii="Times New Roman" w:hAnsi="Times New Roman"/>
                <w:sz w:val="16"/>
                <w:szCs w:val="16"/>
              </w:rPr>
            </w:pPr>
          </w:p>
        </w:tc>
        <w:tc>
          <w:tcPr>
            <w:tcW w:w="850" w:type="dxa"/>
            <w:tcBorders>
              <w:top w:val="nil"/>
              <w:left w:val="nil"/>
              <w:bottom w:val="nil"/>
              <w:right w:val="nil"/>
            </w:tcBorders>
            <w:shd w:val="clear" w:color="auto" w:fill="auto"/>
            <w:noWrap/>
            <w:vAlign w:val="bottom"/>
            <w:hideMark/>
          </w:tcPr>
          <w:p w14:paraId="0C493036" w14:textId="77777777" w:rsidR="003243A3" w:rsidRPr="00C55547" w:rsidRDefault="003243A3" w:rsidP="003243A3">
            <w:pPr>
              <w:spacing w:after="0" w:line="240" w:lineRule="auto"/>
              <w:jc w:val="right"/>
              <w:rPr>
                <w:rFonts w:ascii="Times New Roman" w:hAnsi="Times New Roman"/>
                <w:sz w:val="16"/>
                <w:szCs w:val="16"/>
              </w:rPr>
            </w:pPr>
          </w:p>
        </w:tc>
      </w:tr>
      <w:tr w:rsidR="003243A3" w:rsidRPr="00282203" w14:paraId="5CF050AA" w14:textId="77777777" w:rsidTr="00B76022">
        <w:trPr>
          <w:trHeight w:val="204"/>
        </w:trPr>
        <w:tc>
          <w:tcPr>
            <w:tcW w:w="3261" w:type="dxa"/>
            <w:tcBorders>
              <w:top w:val="nil"/>
              <w:left w:val="nil"/>
              <w:bottom w:val="nil"/>
              <w:right w:val="nil"/>
            </w:tcBorders>
            <w:shd w:val="clear" w:color="auto" w:fill="auto"/>
            <w:noWrap/>
            <w:vAlign w:val="bottom"/>
            <w:hideMark/>
          </w:tcPr>
          <w:p w14:paraId="05987A0B"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Departmental appropriation</w:t>
            </w:r>
          </w:p>
        </w:tc>
        <w:tc>
          <w:tcPr>
            <w:tcW w:w="901" w:type="dxa"/>
            <w:tcBorders>
              <w:top w:val="nil"/>
              <w:left w:val="nil"/>
              <w:bottom w:val="nil"/>
              <w:right w:val="nil"/>
            </w:tcBorders>
            <w:shd w:val="clear" w:color="auto" w:fill="auto"/>
            <w:noWrap/>
            <w:vAlign w:val="bottom"/>
            <w:hideMark/>
          </w:tcPr>
          <w:p w14:paraId="458E9957" w14:textId="424FB36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28,388 </w:t>
            </w:r>
          </w:p>
        </w:tc>
        <w:tc>
          <w:tcPr>
            <w:tcW w:w="928" w:type="dxa"/>
            <w:tcBorders>
              <w:top w:val="nil"/>
              <w:left w:val="nil"/>
              <w:bottom w:val="nil"/>
              <w:right w:val="nil"/>
            </w:tcBorders>
            <w:shd w:val="clear" w:color="000000" w:fill="E6E6E6"/>
            <w:noWrap/>
            <w:vAlign w:val="bottom"/>
            <w:hideMark/>
          </w:tcPr>
          <w:p w14:paraId="0A9D71EE" w14:textId="3FF046E7"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49,217 </w:t>
            </w:r>
          </w:p>
        </w:tc>
        <w:tc>
          <w:tcPr>
            <w:tcW w:w="864" w:type="dxa"/>
            <w:tcBorders>
              <w:top w:val="nil"/>
              <w:left w:val="nil"/>
              <w:bottom w:val="nil"/>
              <w:right w:val="nil"/>
            </w:tcBorders>
            <w:shd w:val="clear" w:color="auto" w:fill="auto"/>
            <w:noWrap/>
            <w:vAlign w:val="bottom"/>
            <w:hideMark/>
          </w:tcPr>
          <w:p w14:paraId="55286A56" w14:textId="55731729"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54,675 </w:t>
            </w:r>
          </w:p>
        </w:tc>
        <w:tc>
          <w:tcPr>
            <w:tcW w:w="851" w:type="dxa"/>
            <w:tcBorders>
              <w:top w:val="nil"/>
              <w:left w:val="nil"/>
              <w:bottom w:val="nil"/>
              <w:right w:val="nil"/>
            </w:tcBorders>
            <w:shd w:val="clear" w:color="auto" w:fill="auto"/>
            <w:noWrap/>
            <w:vAlign w:val="bottom"/>
            <w:hideMark/>
          </w:tcPr>
          <w:p w14:paraId="0A844BE6" w14:textId="7C7FC2E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49,312 </w:t>
            </w:r>
          </w:p>
        </w:tc>
        <w:tc>
          <w:tcPr>
            <w:tcW w:w="850" w:type="dxa"/>
            <w:tcBorders>
              <w:top w:val="nil"/>
              <w:left w:val="nil"/>
              <w:bottom w:val="nil"/>
              <w:right w:val="nil"/>
            </w:tcBorders>
            <w:shd w:val="clear" w:color="auto" w:fill="auto"/>
            <w:noWrap/>
            <w:vAlign w:val="bottom"/>
            <w:hideMark/>
          </w:tcPr>
          <w:p w14:paraId="10606430" w14:textId="03B0B57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44,235 </w:t>
            </w:r>
          </w:p>
        </w:tc>
      </w:tr>
      <w:tr w:rsidR="003243A3" w:rsidRPr="00282203" w14:paraId="7C9E2F39" w14:textId="77777777" w:rsidTr="00B76022">
        <w:trPr>
          <w:trHeight w:val="204"/>
        </w:trPr>
        <w:tc>
          <w:tcPr>
            <w:tcW w:w="3261" w:type="dxa"/>
            <w:tcBorders>
              <w:top w:val="nil"/>
              <w:left w:val="nil"/>
              <w:bottom w:val="nil"/>
              <w:right w:val="nil"/>
            </w:tcBorders>
            <w:shd w:val="clear" w:color="auto" w:fill="auto"/>
            <w:vAlign w:val="bottom"/>
            <w:hideMark/>
          </w:tcPr>
          <w:p w14:paraId="0A5371B0"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 xml:space="preserve">s74 external revenues </w:t>
            </w:r>
            <w:r w:rsidRPr="00C55547">
              <w:rPr>
                <w:rFonts w:ascii="Arial" w:hAnsi="Arial" w:cs="Arial"/>
                <w:sz w:val="16"/>
                <w:szCs w:val="16"/>
                <w:vertAlign w:val="superscript"/>
              </w:rPr>
              <w:t>(d)</w:t>
            </w:r>
          </w:p>
        </w:tc>
        <w:tc>
          <w:tcPr>
            <w:tcW w:w="901" w:type="dxa"/>
            <w:tcBorders>
              <w:top w:val="nil"/>
              <w:left w:val="nil"/>
              <w:bottom w:val="nil"/>
              <w:right w:val="nil"/>
            </w:tcBorders>
            <w:shd w:val="clear" w:color="auto" w:fill="auto"/>
            <w:noWrap/>
            <w:vAlign w:val="bottom"/>
            <w:hideMark/>
          </w:tcPr>
          <w:p w14:paraId="3E3D1DF1" w14:textId="0E87EA58"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2,675 </w:t>
            </w:r>
          </w:p>
        </w:tc>
        <w:tc>
          <w:tcPr>
            <w:tcW w:w="928" w:type="dxa"/>
            <w:tcBorders>
              <w:top w:val="nil"/>
              <w:left w:val="nil"/>
              <w:bottom w:val="nil"/>
              <w:right w:val="nil"/>
            </w:tcBorders>
            <w:shd w:val="clear" w:color="000000" w:fill="E6E6E6"/>
            <w:noWrap/>
            <w:vAlign w:val="bottom"/>
            <w:hideMark/>
          </w:tcPr>
          <w:p w14:paraId="49B27872" w14:textId="231D27A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1,445 </w:t>
            </w:r>
          </w:p>
        </w:tc>
        <w:tc>
          <w:tcPr>
            <w:tcW w:w="864" w:type="dxa"/>
            <w:tcBorders>
              <w:top w:val="nil"/>
              <w:left w:val="nil"/>
              <w:bottom w:val="nil"/>
              <w:right w:val="nil"/>
            </w:tcBorders>
            <w:shd w:val="clear" w:color="auto" w:fill="auto"/>
            <w:noWrap/>
            <w:vAlign w:val="bottom"/>
            <w:hideMark/>
          </w:tcPr>
          <w:p w14:paraId="5EC39BB5" w14:textId="554D9094"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1,544 </w:t>
            </w:r>
          </w:p>
        </w:tc>
        <w:tc>
          <w:tcPr>
            <w:tcW w:w="851" w:type="dxa"/>
            <w:tcBorders>
              <w:top w:val="nil"/>
              <w:left w:val="nil"/>
              <w:bottom w:val="nil"/>
              <w:right w:val="nil"/>
            </w:tcBorders>
            <w:shd w:val="clear" w:color="auto" w:fill="auto"/>
            <w:noWrap/>
            <w:vAlign w:val="bottom"/>
            <w:hideMark/>
          </w:tcPr>
          <w:p w14:paraId="113956FB" w14:textId="56F848A9"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1,730 </w:t>
            </w:r>
          </w:p>
        </w:tc>
        <w:tc>
          <w:tcPr>
            <w:tcW w:w="850" w:type="dxa"/>
            <w:tcBorders>
              <w:top w:val="nil"/>
              <w:left w:val="nil"/>
              <w:bottom w:val="nil"/>
              <w:right w:val="nil"/>
            </w:tcBorders>
            <w:shd w:val="clear" w:color="auto" w:fill="auto"/>
            <w:noWrap/>
            <w:vAlign w:val="bottom"/>
            <w:hideMark/>
          </w:tcPr>
          <w:p w14:paraId="5FCAA80F" w14:textId="72F0F6F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1,730 </w:t>
            </w:r>
          </w:p>
        </w:tc>
      </w:tr>
      <w:tr w:rsidR="003243A3" w:rsidRPr="00282203" w14:paraId="6792622C" w14:textId="77777777" w:rsidTr="00B76022">
        <w:trPr>
          <w:trHeight w:val="204"/>
        </w:trPr>
        <w:tc>
          <w:tcPr>
            <w:tcW w:w="3261" w:type="dxa"/>
            <w:tcBorders>
              <w:top w:val="nil"/>
              <w:left w:val="nil"/>
              <w:bottom w:val="nil"/>
              <w:right w:val="nil"/>
            </w:tcBorders>
            <w:shd w:val="clear" w:color="auto" w:fill="auto"/>
            <w:noWrap/>
            <w:vAlign w:val="bottom"/>
            <w:hideMark/>
          </w:tcPr>
          <w:p w14:paraId="5B868D80"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Special accounts</w:t>
            </w:r>
          </w:p>
        </w:tc>
        <w:tc>
          <w:tcPr>
            <w:tcW w:w="901" w:type="dxa"/>
            <w:tcBorders>
              <w:top w:val="nil"/>
              <w:left w:val="nil"/>
              <w:bottom w:val="nil"/>
              <w:right w:val="nil"/>
            </w:tcBorders>
            <w:shd w:val="clear" w:color="auto" w:fill="auto"/>
            <w:noWrap/>
            <w:vAlign w:val="bottom"/>
            <w:hideMark/>
          </w:tcPr>
          <w:p w14:paraId="53EF41A3" w14:textId="391B7DDE"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4,480 </w:t>
            </w:r>
          </w:p>
        </w:tc>
        <w:tc>
          <w:tcPr>
            <w:tcW w:w="928" w:type="dxa"/>
            <w:tcBorders>
              <w:top w:val="nil"/>
              <w:left w:val="nil"/>
              <w:bottom w:val="nil"/>
              <w:right w:val="nil"/>
            </w:tcBorders>
            <w:shd w:val="clear" w:color="000000" w:fill="E6E6E6"/>
            <w:noWrap/>
            <w:vAlign w:val="bottom"/>
            <w:hideMark/>
          </w:tcPr>
          <w:p w14:paraId="1CB5F7C3" w14:textId="37B13DE7"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5,270 </w:t>
            </w:r>
          </w:p>
        </w:tc>
        <w:tc>
          <w:tcPr>
            <w:tcW w:w="864" w:type="dxa"/>
            <w:tcBorders>
              <w:top w:val="nil"/>
              <w:left w:val="nil"/>
              <w:bottom w:val="nil"/>
              <w:right w:val="nil"/>
            </w:tcBorders>
            <w:shd w:val="clear" w:color="auto" w:fill="auto"/>
            <w:noWrap/>
            <w:vAlign w:val="bottom"/>
            <w:hideMark/>
          </w:tcPr>
          <w:p w14:paraId="0BEEBCC0" w14:textId="1D414FC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4,780 </w:t>
            </w:r>
          </w:p>
        </w:tc>
        <w:tc>
          <w:tcPr>
            <w:tcW w:w="851" w:type="dxa"/>
            <w:tcBorders>
              <w:top w:val="nil"/>
              <w:left w:val="nil"/>
              <w:bottom w:val="nil"/>
              <w:right w:val="nil"/>
            </w:tcBorders>
            <w:shd w:val="clear" w:color="auto" w:fill="auto"/>
            <w:noWrap/>
            <w:vAlign w:val="bottom"/>
            <w:hideMark/>
          </w:tcPr>
          <w:p w14:paraId="60CBBB1C" w14:textId="7EF9BD23"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4,780 </w:t>
            </w:r>
          </w:p>
        </w:tc>
        <w:tc>
          <w:tcPr>
            <w:tcW w:w="850" w:type="dxa"/>
            <w:tcBorders>
              <w:top w:val="nil"/>
              <w:left w:val="nil"/>
              <w:bottom w:val="nil"/>
              <w:right w:val="nil"/>
            </w:tcBorders>
            <w:shd w:val="clear" w:color="auto" w:fill="auto"/>
            <w:noWrap/>
            <w:vAlign w:val="bottom"/>
            <w:hideMark/>
          </w:tcPr>
          <w:p w14:paraId="02D60535" w14:textId="3B0D7AD8"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4,072 </w:t>
            </w:r>
          </w:p>
        </w:tc>
      </w:tr>
      <w:tr w:rsidR="003243A3" w:rsidRPr="00282203" w14:paraId="2E105177" w14:textId="77777777" w:rsidTr="00B76022">
        <w:trPr>
          <w:trHeight w:val="204"/>
        </w:trPr>
        <w:tc>
          <w:tcPr>
            <w:tcW w:w="3261" w:type="dxa"/>
            <w:tcBorders>
              <w:top w:val="nil"/>
              <w:left w:val="nil"/>
              <w:bottom w:val="nil"/>
              <w:right w:val="nil"/>
            </w:tcBorders>
            <w:shd w:val="clear" w:color="auto" w:fill="auto"/>
            <w:vAlign w:val="bottom"/>
            <w:hideMark/>
          </w:tcPr>
          <w:p w14:paraId="75CD1A5C" w14:textId="77777777" w:rsidR="003243A3" w:rsidRPr="00C55547" w:rsidRDefault="003243A3" w:rsidP="003243A3">
            <w:pPr>
              <w:spacing w:after="0" w:line="240" w:lineRule="auto"/>
              <w:ind w:left="113"/>
              <w:jc w:val="left"/>
              <w:rPr>
                <w:rFonts w:ascii="Arial" w:hAnsi="Arial" w:cs="Arial"/>
                <w:sz w:val="16"/>
                <w:szCs w:val="16"/>
              </w:rPr>
            </w:pPr>
            <w:r w:rsidRPr="00C55547">
              <w:rPr>
                <w:rFonts w:ascii="Arial" w:hAnsi="Arial" w:cs="Arial"/>
                <w:sz w:val="16"/>
                <w:szCs w:val="16"/>
              </w:rPr>
              <w:t xml:space="preserve">Expenses not requiring appropriation in the Budget year </w:t>
            </w:r>
            <w:r w:rsidRPr="00C55547">
              <w:rPr>
                <w:rFonts w:ascii="Arial" w:hAnsi="Arial" w:cs="Arial"/>
                <w:sz w:val="16"/>
                <w:szCs w:val="16"/>
                <w:vertAlign w:val="superscript"/>
              </w:rPr>
              <w:t>(e)</w:t>
            </w:r>
          </w:p>
        </w:tc>
        <w:tc>
          <w:tcPr>
            <w:tcW w:w="901" w:type="dxa"/>
            <w:tcBorders>
              <w:top w:val="nil"/>
              <w:left w:val="nil"/>
              <w:bottom w:val="nil"/>
              <w:right w:val="nil"/>
            </w:tcBorders>
            <w:shd w:val="clear" w:color="auto" w:fill="auto"/>
            <w:noWrap/>
            <w:vAlign w:val="bottom"/>
            <w:hideMark/>
          </w:tcPr>
          <w:p w14:paraId="58792D3D" w14:textId="06157A8A"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8,446 </w:t>
            </w:r>
          </w:p>
        </w:tc>
        <w:tc>
          <w:tcPr>
            <w:tcW w:w="928" w:type="dxa"/>
            <w:tcBorders>
              <w:top w:val="nil"/>
              <w:left w:val="nil"/>
              <w:bottom w:val="nil"/>
              <w:right w:val="nil"/>
            </w:tcBorders>
            <w:shd w:val="clear" w:color="000000" w:fill="E6E6E6"/>
            <w:noWrap/>
            <w:vAlign w:val="bottom"/>
            <w:hideMark/>
          </w:tcPr>
          <w:p w14:paraId="3BC953B4" w14:textId="14FD7DCD"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1,051 </w:t>
            </w:r>
          </w:p>
        </w:tc>
        <w:tc>
          <w:tcPr>
            <w:tcW w:w="864" w:type="dxa"/>
            <w:tcBorders>
              <w:top w:val="nil"/>
              <w:left w:val="nil"/>
              <w:bottom w:val="nil"/>
              <w:right w:val="nil"/>
            </w:tcBorders>
            <w:shd w:val="clear" w:color="auto" w:fill="auto"/>
            <w:noWrap/>
            <w:vAlign w:val="bottom"/>
            <w:hideMark/>
          </w:tcPr>
          <w:p w14:paraId="359CF25D" w14:textId="4FC76456"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1,123 </w:t>
            </w:r>
          </w:p>
        </w:tc>
        <w:tc>
          <w:tcPr>
            <w:tcW w:w="851" w:type="dxa"/>
            <w:tcBorders>
              <w:top w:val="nil"/>
              <w:left w:val="nil"/>
              <w:bottom w:val="nil"/>
              <w:right w:val="nil"/>
            </w:tcBorders>
            <w:shd w:val="clear" w:color="auto" w:fill="auto"/>
            <w:noWrap/>
            <w:vAlign w:val="bottom"/>
            <w:hideMark/>
          </w:tcPr>
          <w:p w14:paraId="610AA8AF" w14:textId="3C8265A7"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1,235 </w:t>
            </w:r>
          </w:p>
        </w:tc>
        <w:tc>
          <w:tcPr>
            <w:tcW w:w="850" w:type="dxa"/>
            <w:tcBorders>
              <w:top w:val="nil"/>
              <w:left w:val="nil"/>
              <w:bottom w:val="nil"/>
              <w:right w:val="nil"/>
            </w:tcBorders>
            <w:shd w:val="clear" w:color="auto" w:fill="auto"/>
            <w:noWrap/>
            <w:vAlign w:val="bottom"/>
            <w:hideMark/>
          </w:tcPr>
          <w:p w14:paraId="70F625AD" w14:textId="36603911" w:rsidR="003243A3" w:rsidRPr="00C55547" w:rsidRDefault="003243A3" w:rsidP="003243A3">
            <w:pPr>
              <w:spacing w:after="0" w:line="240" w:lineRule="auto"/>
              <w:jc w:val="right"/>
              <w:rPr>
                <w:rFonts w:ascii="Arial" w:hAnsi="Arial" w:cs="Arial"/>
                <w:sz w:val="16"/>
                <w:szCs w:val="16"/>
              </w:rPr>
            </w:pPr>
            <w:r>
              <w:rPr>
                <w:rFonts w:ascii="Arial" w:hAnsi="Arial" w:cs="Arial"/>
                <w:sz w:val="16"/>
                <w:szCs w:val="16"/>
              </w:rPr>
              <w:t xml:space="preserve">1,355 </w:t>
            </w:r>
          </w:p>
        </w:tc>
      </w:tr>
      <w:tr w:rsidR="003243A3" w:rsidRPr="00282203" w14:paraId="029C0C6C" w14:textId="77777777" w:rsidTr="00B76022">
        <w:trPr>
          <w:trHeight w:val="204"/>
        </w:trPr>
        <w:tc>
          <w:tcPr>
            <w:tcW w:w="3261" w:type="dxa"/>
            <w:tcBorders>
              <w:top w:val="nil"/>
              <w:left w:val="nil"/>
              <w:bottom w:val="nil"/>
              <w:right w:val="nil"/>
            </w:tcBorders>
            <w:shd w:val="clear" w:color="auto" w:fill="auto"/>
            <w:noWrap/>
            <w:vAlign w:val="bottom"/>
            <w:hideMark/>
          </w:tcPr>
          <w:p w14:paraId="43120032" w14:textId="475A3D26" w:rsidR="003243A3" w:rsidRPr="00C55547" w:rsidRDefault="003243A3" w:rsidP="003243A3">
            <w:pPr>
              <w:spacing w:after="0" w:line="240" w:lineRule="auto"/>
              <w:jc w:val="right"/>
              <w:rPr>
                <w:rFonts w:ascii="Arial" w:hAnsi="Arial" w:cs="Arial"/>
                <w:b/>
                <w:bCs/>
                <w:sz w:val="16"/>
                <w:szCs w:val="16"/>
              </w:rPr>
            </w:pPr>
            <w:r w:rsidRPr="00C55547">
              <w:rPr>
                <w:rFonts w:ascii="Arial" w:hAnsi="Arial" w:cs="Arial"/>
                <w:b/>
                <w:bCs/>
                <w:sz w:val="16"/>
                <w:szCs w:val="16"/>
              </w:rPr>
              <w:t>Total Departmental expenses</w:t>
            </w:r>
          </w:p>
        </w:tc>
        <w:tc>
          <w:tcPr>
            <w:tcW w:w="901" w:type="dxa"/>
            <w:tcBorders>
              <w:top w:val="single" w:sz="4" w:space="0" w:color="auto"/>
              <w:left w:val="nil"/>
              <w:bottom w:val="single" w:sz="4" w:space="0" w:color="auto"/>
              <w:right w:val="nil"/>
            </w:tcBorders>
            <w:shd w:val="clear" w:color="auto" w:fill="auto"/>
            <w:vAlign w:val="bottom"/>
            <w:hideMark/>
          </w:tcPr>
          <w:p w14:paraId="249E6052" w14:textId="7AB90224"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43,989 </w:t>
            </w:r>
          </w:p>
        </w:tc>
        <w:tc>
          <w:tcPr>
            <w:tcW w:w="928" w:type="dxa"/>
            <w:tcBorders>
              <w:top w:val="single" w:sz="4" w:space="0" w:color="auto"/>
              <w:left w:val="nil"/>
              <w:bottom w:val="single" w:sz="4" w:space="0" w:color="auto"/>
              <w:right w:val="nil"/>
            </w:tcBorders>
            <w:shd w:val="clear" w:color="000000" w:fill="E6E6E6"/>
            <w:vAlign w:val="bottom"/>
            <w:hideMark/>
          </w:tcPr>
          <w:p w14:paraId="6AE201AD" w14:textId="197B762F"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56,983 </w:t>
            </w:r>
          </w:p>
        </w:tc>
        <w:tc>
          <w:tcPr>
            <w:tcW w:w="864" w:type="dxa"/>
            <w:tcBorders>
              <w:top w:val="single" w:sz="4" w:space="0" w:color="auto"/>
              <w:left w:val="nil"/>
              <w:bottom w:val="single" w:sz="4" w:space="0" w:color="auto"/>
              <w:right w:val="nil"/>
            </w:tcBorders>
            <w:shd w:val="clear" w:color="auto" w:fill="auto"/>
            <w:vAlign w:val="bottom"/>
            <w:hideMark/>
          </w:tcPr>
          <w:p w14:paraId="7B674C85" w14:textId="14781D67"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62,122 </w:t>
            </w:r>
          </w:p>
        </w:tc>
        <w:tc>
          <w:tcPr>
            <w:tcW w:w="851" w:type="dxa"/>
            <w:tcBorders>
              <w:top w:val="single" w:sz="4" w:space="0" w:color="auto"/>
              <w:left w:val="nil"/>
              <w:bottom w:val="single" w:sz="4" w:space="0" w:color="auto"/>
              <w:right w:val="nil"/>
            </w:tcBorders>
            <w:shd w:val="clear" w:color="auto" w:fill="auto"/>
            <w:vAlign w:val="bottom"/>
            <w:hideMark/>
          </w:tcPr>
          <w:p w14:paraId="44EF8220" w14:textId="051F96E0"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57,057 </w:t>
            </w:r>
          </w:p>
        </w:tc>
        <w:tc>
          <w:tcPr>
            <w:tcW w:w="850" w:type="dxa"/>
            <w:tcBorders>
              <w:top w:val="single" w:sz="4" w:space="0" w:color="auto"/>
              <w:left w:val="nil"/>
              <w:bottom w:val="single" w:sz="4" w:space="0" w:color="auto"/>
              <w:right w:val="nil"/>
            </w:tcBorders>
            <w:shd w:val="clear" w:color="auto" w:fill="auto"/>
            <w:vAlign w:val="bottom"/>
            <w:hideMark/>
          </w:tcPr>
          <w:p w14:paraId="335FF08C" w14:textId="19CD2050"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51,392 </w:t>
            </w:r>
          </w:p>
        </w:tc>
      </w:tr>
      <w:tr w:rsidR="003243A3" w:rsidRPr="00282203" w14:paraId="677F0698" w14:textId="77777777" w:rsidTr="00B76022">
        <w:trPr>
          <w:trHeight w:val="204"/>
        </w:trPr>
        <w:tc>
          <w:tcPr>
            <w:tcW w:w="3261" w:type="dxa"/>
            <w:tcBorders>
              <w:top w:val="nil"/>
              <w:left w:val="nil"/>
              <w:bottom w:val="single" w:sz="4" w:space="0" w:color="auto"/>
              <w:right w:val="nil"/>
            </w:tcBorders>
            <w:shd w:val="clear" w:color="auto" w:fill="auto"/>
            <w:noWrap/>
            <w:vAlign w:val="bottom"/>
            <w:hideMark/>
          </w:tcPr>
          <w:p w14:paraId="37952B61" w14:textId="77777777" w:rsidR="003243A3" w:rsidRPr="00C55547" w:rsidRDefault="003243A3" w:rsidP="003243A3">
            <w:pPr>
              <w:spacing w:after="0" w:line="240" w:lineRule="auto"/>
              <w:jc w:val="left"/>
              <w:rPr>
                <w:rFonts w:ascii="Arial" w:hAnsi="Arial" w:cs="Arial"/>
                <w:b/>
                <w:bCs/>
                <w:sz w:val="16"/>
                <w:szCs w:val="16"/>
              </w:rPr>
            </w:pPr>
            <w:r w:rsidRPr="00C55547">
              <w:rPr>
                <w:rFonts w:ascii="Arial" w:hAnsi="Arial" w:cs="Arial"/>
                <w:b/>
                <w:bCs/>
                <w:sz w:val="16"/>
                <w:szCs w:val="16"/>
              </w:rPr>
              <w:t>Total expenses for Outcome 6</w:t>
            </w:r>
          </w:p>
        </w:tc>
        <w:tc>
          <w:tcPr>
            <w:tcW w:w="901" w:type="dxa"/>
            <w:tcBorders>
              <w:top w:val="nil"/>
              <w:left w:val="nil"/>
              <w:bottom w:val="single" w:sz="4" w:space="0" w:color="auto"/>
              <w:right w:val="nil"/>
            </w:tcBorders>
            <w:shd w:val="clear" w:color="auto" w:fill="auto"/>
            <w:vAlign w:val="bottom"/>
            <w:hideMark/>
          </w:tcPr>
          <w:p w14:paraId="70ADFF28" w14:textId="2EED7B0F"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914,698 </w:t>
            </w:r>
          </w:p>
        </w:tc>
        <w:tc>
          <w:tcPr>
            <w:tcW w:w="928" w:type="dxa"/>
            <w:tcBorders>
              <w:top w:val="nil"/>
              <w:left w:val="nil"/>
              <w:bottom w:val="single" w:sz="4" w:space="0" w:color="auto"/>
              <w:right w:val="nil"/>
            </w:tcBorders>
            <w:shd w:val="clear" w:color="000000" w:fill="E6E6E6"/>
            <w:vAlign w:val="bottom"/>
            <w:hideMark/>
          </w:tcPr>
          <w:p w14:paraId="5E2286FC" w14:textId="1ABD3C87"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1,052,166 </w:t>
            </w:r>
          </w:p>
        </w:tc>
        <w:tc>
          <w:tcPr>
            <w:tcW w:w="864" w:type="dxa"/>
            <w:tcBorders>
              <w:top w:val="nil"/>
              <w:left w:val="nil"/>
              <w:bottom w:val="single" w:sz="4" w:space="0" w:color="auto"/>
              <w:right w:val="nil"/>
            </w:tcBorders>
            <w:shd w:val="clear" w:color="auto" w:fill="auto"/>
            <w:vAlign w:val="bottom"/>
            <w:hideMark/>
          </w:tcPr>
          <w:p w14:paraId="6DA14949" w14:textId="543C701B"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830,948 </w:t>
            </w:r>
          </w:p>
        </w:tc>
        <w:tc>
          <w:tcPr>
            <w:tcW w:w="851" w:type="dxa"/>
            <w:tcBorders>
              <w:top w:val="nil"/>
              <w:left w:val="nil"/>
              <w:bottom w:val="single" w:sz="4" w:space="0" w:color="auto"/>
              <w:right w:val="nil"/>
            </w:tcBorders>
            <w:shd w:val="clear" w:color="auto" w:fill="auto"/>
            <w:vAlign w:val="bottom"/>
            <w:hideMark/>
          </w:tcPr>
          <w:p w14:paraId="5F856A42" w14:textId="4384DD53"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791,528 </w:t>
            </w:r>
          </w:p>
        </w:tc>
        <w:tc>
          <w:tcPr>
            <w:tcW w:w="850" w:type="dxa"/>
            <w:tcBorders>
              <w:top w:val="nil"/>
              <w:left w:val="nil"/>
              <w:bottom w:val="single" w:sz="4" w:space="0" w:color="auto"/>
              <w:right w:val="nil"/>
            </w:tcBorders>
            <w:shd w:val="clear" w:color="auto" w:fill="auto"/>
            <w:vAlign w:val="bottom"/>
            <w:hideMark/>
          </w:tcPr>
          <w:p w14:paraId="1C4A3FD1" w14:textId="2F4BC79F" w:rsidR="003243A3" w:rsidRPr="00C55547" w:rsidRDefault="003243A3" w:rsidP="003243A3">
            <w:pPr>
              <w:spacing w:after="0" w:line="240" w:lineRule="auto"/>
              <w:jc w:val="right"/>
              <w:rPr>
                <w:rFonts w:ascii="Arial" w:hAnsi="Arial" w:cs="Arial"/>
                <w:b/>
                <w:bCs/>
                <w:sz w:val="16"/>
                <w:szCs w:val="16"/>
              </w:rPr>
            </w:pPr>
            <w:r>
              <w:rPr>
                <w:rFonts w:ascii="Arial" w:hAnsi="Arial" w:cs="Arial"/>
                <w:b/>
                <w:bCs/>
                <w:sz w:val="16"/>
                <w:szCs w:val="16"/>
              </w:rPr>
              <w:t xml:space="preserve">785,861 </w:t>
            </w:r>
          </w:p>
        </w:tc>
      </w:tr>
    </w:tbl>
    <w:p w14:paraId="53FEE730" w14:textId="48C3209A" w:rsidR="00282203" w:rsidRPr="006D595C" w:rsidRDefault="00282203" w:rsidP="00282203">
      <w:pPr>
        <w:spacing w:after="0"/>
        <w:rPr>
          <w:rFonts w:ascii="Arial" w:hAnsi="Arial" w:cs="Arial"/>
          <w:sz w:val="16"/>
          <w:szCs w:val="16"/>
          <w:lang w:val="x-none"/>
        </w:rPr>
      </w:pPr>
    </w:p>
    <w:tbl>
      <w:tblPr>
        <w:tblW w:w="0" w:type="auto"/>
        <w:tblLayout w:type="fixed"/>
        <w:tblLook w:val="04A0" w:firstRow="1" w:lastRow="0" w:firstColumn="1" w:lastColumn="0" w:noHBand="0" w:noVBand="1"/>
      </w:tblPr>
      <w:tblGrid>
        <w:gridCol w:w="3261"/>
        <w:gridCol w:w="911"/>
        <w:gridCol w:w="931"/>
      </w:tblGrid>
      <w:tr w:rsidR="00192B13" w:rsidRPr="00E03E7D" w14:paraId="2F99B522" w14:textId="77777777" w:rsidTr="006962A6">
        <w:trPr>
          <w:trHeight w:val="263"/>
        </w:trPr>
        <w:tc>
          <w:tcPr>
            <w:tcW w:w="3261" w:type="dxa"/>
            <w:tcBorders>
              <w:top w:val="single" w:sz="4" w:space="0" w:color="auto"/>
              <w:left w:val="nil"/>
              <w:bottom w:val="nil"/>
              <w:right w:val="nil"/>
            </w:tcBorders>
            <w:shd w:val="clear" w:color="auto" w:fill="auto"/>
            <w:noWrap/>
            <w:hideMark/>
          </w:tcPr>
          <w:p w14:paraId="42796858" w14:textId="77777777" w:rsidR="00192B13" w:rsidRPr="00E03E7D" w:rsidRDefault="00192B13" w:rsidP="00E03E7D">
            <w:pPr>
              <w:spacing w:after="0" w:line="240" w:lineRule="auto"/>
              <w:ind w:firstLineChars="100" w:firstLine="160"/>
              <w:jc w:val="left"/>
              <w:rPr>
                <w:rFonts w:ascii="Arial" w:hAnsi="Arial" w:cs="Arial"/>
                <w:sz w:val="16"/>
                <w:szCs w:val="16"/>
              </w:rPr>
            </w:pPr>
            <w:r w:rsidRPr="00E03E7D">
              <w:rPr>
                <w:rFonts w:ascii="Arial" w:hAnsi="Arial" w:cs="Arial"/>
                <w:sz w:val="16"/>
                <w:szCs w:val="16"/>
              </w:rPr>
              <w:t> </w:t>
            </w:r>
          </w:p>
        </w:tc>
        <w:tc>
          <w:tcPr>
            <w:tcW w:w="911" w:type="dxa"/>
            <w:tcBorders>
              <w:top w:val="single" w:sz="4" w:space="0" w:color="auto"/>
              <w:left w:val="nil"/>
              <w:bottom w:val="single" w:sz="4" w:space="0" w:color="auto"/>
              <w:right w:val="nil"/>
            </w:tcBorders>
            <w:shd w:val="clear" w:color="auto" w:fill="auto"/>
            <w:noWrap/>
            <w:vAlign w:val="bottom"/>
            <w:hideMark/>
          </w:tcPr>
          <w:p w14:paraId="46A4E24B" w14:textId="6D3E6067" w:rsidR="00192B13" w:rsidRPr="00E03E7D" w:rsidRDefault="0031356C" w:rsidP="0031356C">
            <w:pPr>
              <w:spacing w:after="0" w:line="240" w:lineRule="auto"/>
              <w:jc w:val="right"/>
              <w:rPr>
                <w:rFonts w:ascii="Arial" w:hAnsi="Arial" w:cs="Arial"/>
                <w:sz w:val="16"/>
                <w:szCs w:val="16"/>
              </w:rPr>
            </w:pPr>
            <w:r>
              <w:rPr>
                <w:rFonts w:ascii="Arial" w:hAnsi="Arial" w:cs="Arial"/>
                <w:sz w:val="16"/>
                <w:szCs w:val="16"/>
              </w:rPr>
              <w:t xml:space="preserve">Actual </w:t>
            </w:r>
            <w:r w:rsidR="00192B13" w:rsidRPr="00E03E7D">
              <w:rPr>
                <w:rFonts w:ascii="Arial" w:hAnsi="Arial" w:cs="Arial"/>
                <w:sz w:val="16"/>
                <w:szCs w:val="16"/>
              </w:rPr>
              <w:t>2020-21</w:t>
            </w:r>
          </w:p>
        </w:tc>
        <w:tc>
          <w:tcPr>
            <w:tcW w:w="931" w:type="dxa"/>
            <w:tcBorders>
              <w:top w:val="single" w:sz="4" w:space="0" w:color="auto"/>
              <w:left w:val="nil"/>
              <w:bottom w:val="single" w:sz="4" w:space="0" w:color="auto"/>
              <w:right w:val="nil"/>
            </w:tcBorders>
            <w:shd w:val="clear" w:color="000000" w:fill="E6E6E6"/>
            <w:noWrap/>
            <w:vAlign w:val="bottom"/>
            <w:hideMark/>
          </w:tcPr>
          <w:p w14:paraId="3E8A276B" w14:textId="22AE4FF7" w:rsidR="00192B13" w:rsidRPr="00E03E7D" w:rsidRDefault="00192B13" w:rsidP="0031356C">
            <w:pPr>
              <w:spacing w:after="0" w:line="240" w:lineRule="auto"/>
              <w:jc w:val="right"/>
              <w:rPr>
                <w:rFonts w:ascii="Arial" w:hAnsi="Arial" w:cs="Arial"/>
                <w:sz w:val="16"/>
                <w:szCs w:val="16"/>
              </w:rPr>
            </w:pPr>
            <w:r w:rsidRPr="00E03E7D">
              <w:rPr>
                <w:rFonts w:ascii="Arial" w:hAnsi="Arial" w:cs="Arial"/>
                <w:sz w:val="16"/>
                <w:szCs w:val="16"/>
              </w:rPr>
              <w:t>2021-22</w:t>
            </w:r>
          </w:p>
        </w:tc>
      </w:tr>
      <w:tr w:rsidR="0031356C" w:rsidRPr="00E03E7D" w14:paraId="74D1E9CB" w14:textId="77777777" w:rsidTr="006962A6">
        <w:trPr>
          <w:trHeight w:val="204"/>
        </w:trPr>
        <w:tc>
          <w:tcPr>
            <w:tcW w:w="3261" w:type="dxa"/>
            <w:tcBorders>
              <w:top w:val="nil"/>
              <w:left w:val="nil"/>
              <w:bottom w:val="single" w:sz="4" w:space="0" w:color="auto"/>
              <w:right w:val="nil"/>
            </w:tcBorders>
            <w:shd w:val="clear" w:color="auto" w:fill="auto"/>
            <w:noWrap/>
            <w:hideMark/>
          </w:tcPr>
          <w:p w14:paraId="36C6B750" w14:textId="77777777" w:rsidR="0031356C" w:rsidRPr="00E03E7D" w:rsidRDefault="0031356C" w:rsidP="0031356C">
            <w:pPr>
              <w:spacing w:after="0" w:line="240" w:lineRule="auto"/>
              <w:jc w:val="left"/>
              <w:rPr>
                <w:rFonts w:ascii="Arial" w:hAnsi="Arial" w:cs="Arial"/>
                <w:b/>
                <w:bCs/>
                <w:sz w:val="16"/>
                <w:szCs w:val="16"/>
              </w:rPr>
            </w:pPr>
            <w:r w:rsidRPr="00E03E7D">
              <w:rPr>
                <w:rFonts w:ascii="Arial" w:hAnsi="Arial" w:cs="Arial"/>
                <w:b/>
                <w:bCs/>
                <w:sz w:val="16"/>
                <w:szCs w:val="16"/>
              </w:rPr>
              <w:t>Average staffing level (number)</w:t>
            </w:r>
          </w:p>
        </w:tc>
        <w:tc>
          <w:tcPr>
            <w:tcW w:w="911" w:type="dxa"/>
            <w:tcBorders>
              <w:top w:val="nil"/>
              <w:left w:val="nil"/>
              <w:bottom w:val="single" w:sz="4" w:space="0" w:color="auto"/>
              <w:right w:val="nil"/>
            </w:tcBorders>
            <w:shd w:val="clear" w:color="auto" w:fill="auto"/>
            <w:noWrap/>
            <w:vAlign w:val="bottom"/>
            <w:hideMark/>
          </w:tcPr>
          <w:p w14:paraId="0073495D" w14:textId="449DF271" w:rsidR="0031356C" w:rsidRPr="009E0B82" w:rsidRDefault="0031356C" w:rsidP="0031356C">
            <w:pPr>
              <w:spacing w:after="0" w:line="240" w:lineRule="auto"/>
              <w:jc w:val="right"/>
              <w:rPr>
                <w:rFonts w:ascii="Arial" w:hAnsi="Arial" w:cs="Arial"/>
                <w:sz w:val="16"/>
                <w:szCs w:val="16"/>
              </w:rPr>
            </w:pPr>
            <w:r w:rsidRPr="009E0B82">
              <w:rPr>
                <w:rFonts w:ascii="Arial" w:hAnsi="Arial" w:cs="Arial"/>
                <w:sz w:val="16"/>
                <w:szCs w:val="16"/>
              </w:rPr>
              <w:t>166</w:t>
            </w:r>
          </w:p>
        </w:tc>
        <w:tc>
          <w:tcPr>
            <w:tcW w:w="931" w:type="dxa"/>
            <w:tcBorders>
              <w:top w:val="nil"/>
              <w:left w:val="nil"/>
              <w:bottom w:val="single" w:sz="4" w:space="0" w:color="auto"/>
              <w:right w:val="nil"/>
            </w:tcBorders>
            <w:shd w:val="clear" w:color="000000" w:fill="E6E6E6"/>
            <w:noWrap/>
            <w:vAlign w:val="bottom"/>
            <w:hideMark/>
          </w:tcPr>
          <w:p w14:paraId="61D22B55" w14:textId="7A6AB2E3" w:rsidR="0031356C" w:rsidRPr="009E0B82" w:rsidRDefault="0031356C" w:rsidP="0031356C">
            <w:pPr>
              <w:spacing w:after="0" w:line="240" w:lineRule="auto"/>
              <w:jc w:val="right"/>
              <w:rPr>
                <w:rFonts w:ascii="Arial" w:hAnsi="Arial" w:cs="Arial"/>
                <w:sz w:val="16"/>
                <w:szCs w:val="16"/>
              </w:rPr>
            </w:pPr>
            <w:r w:rsidRPr="009E0B82">
              <w:rPr>
                <w:rFonts w:ascii="Arial" w:hAnsi="Arial" w:cs="Arial"/>
                <w:sz w:val="16"/>
                <w:szCs w:val="16"/>
              </w:rPr>
              <w:t>202</w:t>
            </w:r>
          </w:p>
        </w:tc>
      </w:tr>
    </w:tbl>
    <w:p w14:paraId="66E8A924" w14:textId="382F935E" w:rsidR="00A27EC7" w:rsidRPr="00E03E7D" w:rsidRDefault="00E03E7D" w:rsidP="007E02F0">
      <w:pPr>
        <w:pStyle w:val="ListParagraph"/>
        <w:numPr>
          <w:ilvl w:val="0"/>
          <w:numId w:val="41"/>
        </w:numPr>
        <w:spacing w:before="60" w:line="240" w:lineRule="auto"/>
        <w:ind w:left="284" w:hanging="284"/>
        <w:rPr>
          <w:rFonts w:ascii="Arial" w:hAnsi="Arial" w:cs="Arial"/>
          <w:sz w:val="16"/>
          <w:szCs w:val="16"/>
        </w:rPr>
      </w:pPr>
      <w:r w:rsidRPr="00E03E7D">
        <w:rPr>
          <w:rFonts w:ascii="Arial" w:hAnsi="Arial" w:cs="Arial"/>
          <w:sz w:val="16"/>
          <w:szCs w:val="16"/>
        </w:rPr>
        <w:t>These programs are funded under the Relief and Recovery Fund.</w:t>
      </w:r>
    </w:p>
    <w:p w14:paraId="7612DF9C" w14:textId="00CE5A47" w:rsidR="00E03E7D" w:rsidRPr="00E03E7D" w:rsidRDefault="00E03E7D" w:rsidP="00F10ACD">
      <w:pPr>
        <w:pStyle w:val="ListParagraph"/>
        <w:numPr>
          <w:ilvl w:val="0"/>
          <w:numId w:val="41"/>
        </w:numPr>
        <w:ind w:left="284" w:hanging="284"/>
        <w:rPr>
          <w:rFonts w:ascii="Arial" w:hAnsi="Arial" w:cs="Arial"/>
          <w:sz w:val="16"/>
          <w:szCs w:val="16"/>
        </w:rPr>
      </w:pPr>
      <w:r w:rsidRPr="00E03E7D">
        <w:rPr>
          <w:rFonts w:ascii="Arial" w:hAnsi="Arial" w:cs="Arial"/>
          <w:sz w:val="16"/>
          <w:szCs w:val="16"/>
        </w:rPr>
        <w:t xml:space="preserve">Relates to appropriation for corporate entities that is provided through the </w:t>
      </w:r>
      <w:r w:rsidR="008863D9">
        <w:rPr>
          <w:rFonts w:ascii="Arial" w:hAnsi="Arial" w:cs="Arial"/>
          <w:sz w:val="16"/>
          <w:szCs w:val="16"/>
        </w:rPr>
        <w:t>Department</w:t>
      </w:r>
      <w:r w:rsidRPr="00E03E7D">
        <w:rPr>
          <w:rFonts w:ascii="Arial" w:hAnsi="Arial" w:cs="Arial"/>
          <w:sz w:val="16"/>
          <w:szCs w:val="16"/>
        </w:rPr>
        <w:t>.</w:t>
      </w:r>
    </w:p>
    <w:p w14:paraId="5681C97A" w14:textId="1FC31E1B" w:rsidR="00E03E7D" w:rsidRPr="00E03E7D" w:rsidRDefault="00E03E7D" w:rsidP="00F10ACD">
      <w:pPr>
        <w:pStyle w:val="ListParagraph"/>
        <w:numPr>
          <w:ilvl w:val="0"/>
          <w:numId w:val="41"/>
        </w:numPr>
        <w:ind w:left="284" w:hanging="284"/>
        <w:rPr>
          <w:rFonts w:ascii="Arial" w:hAnsi="Arial" w:cs="Arial"/>
          <w:sz w:val="16"/>
          <w:szCs w:val="16"/>
        </w:rPr>
      </w:pPr>
      <w:r w:rsidRPr="00E03E7D">
        <w:rPr>
          <w:rFonts w:ascii="Arial" w:hAnsi="Arial" w:cs="Arial"/>
          <w:sz w:val="16"/>
          <w:szCs w:val="16"/>
        </w:rPr>
        <w:t>Administered ‘Expenses not requiring appropriation in the Budget year’ comprises expenses relating to expenses recovered from industry, accruals, payments made from prior ye</w:t>
      </w:r>
      <w:r w:rsidR="00B76022">
        <w:rPr>
          <w:rFonts w:ascii="Arial" w:hAnsi="Arial" w:cs="Arial"/>
          <w:sz w:val="16"/>
          <w:szCs w:val="16"/>
        </w:rPr>
        <w:t>ar appropriations and other non</w:t>
      </w:r>
      <w:r w:rsidR="00B76022">
        <w:rPr>
          <w:rFonts w:ascii="Arial" w:hAnsi="Arial" w:cs="Arial"/>
          <w:sz w:val="16"/>
          <w:szCs w:val="16"/>
        </w:rPr>
        <w:noBreakHyphen/>
      </w:r>
      <w:r w:rsidRPr="00E03E7D">
        <w:rPr>
          <w:rFonts w:ascii="Arial" w:hAnsi="Arial" w:cs="Arial"/>
          <w:sz w:val="16"/>
          <w:szCs w:val="16"/>
        </w:rPr>
        <w:t>cash expenses.</w:t>
      </w:r>
    </w:p>
    <w:p w14:paraId="28948DC4" w14:textId="3A7A40AE" w:rsidR="00E03E7D" w:rsidRPr="00E03E7D" w:rsidRDefault="00E03E7D" w:rsidP="00F10ACD">
      <w:pPr>
        <w:pStyle w:val="ListParagraph"/>
        <w:numPr>
          <w:ilvl w:val="0"/>
          <w:numId w:val="41"/>
        </w:numPr>
        <w:ind w:left="284" w:hanging="284"/>
        <w:rPr>
          <w:rFonts w:ascii="Arial" w:hAnsi="Arial" w:cs="Arial"/>
          <w:sz w:val="16"/>
          <w:szCs w:val="16"/>
        </w:rPr>
      </w:pPr>
      <w:r w:rsidRPr="00E03E7D">
        <w:rPr>
          <w:rFonts w:ascii="Arial" w:hAnsi="Arial" w:cs="Arial"/>
          <w:sz w:val="16"/>
          <w:szCs w:val="16"/>
        </w:rPr>
        <w:t>Estimated expenses incurred in relation to receipts retained under section 74 of the PGPA Act.</w:t>
      </w:r>
    </w:p>
    <w:p w14:paraId="7F103630" w14:textId="0C1A54EA" w:rsidR="00E03E7D" w:rsidRPr="00E03E7D" w:rsidRDefault="008863D9" w:rsidP="00F10ACD">
      <w:pPr>
        <w:pStyle w:val="ListParagraph"/>
        <w:numPr>
          <w:ilvl w:val="0"/>
          <w:numId w:val="41"/>
        </w:numPr>
        <w:ind w:left="284" w:hanging="284"/>
        <w:rPr>
          <w:rFonts w:ascii="Arial" w:hAnsi="Arial" w:cs="Arial"/>
          <w:sz w:val="16"/>
          <w:szCs w:val="16"/>
        </w:rPr>
      </w:pPr>
      <w:r>
        <w:rPr>
          <w:rFonts w:ascii="Arial" w:hAnsi="Arial" w:cs="Arial"/>
          <w:sz w:val="16"/>
          <w:szCs w:val="16"/>
        </w:rPr>
        <w:t>Department</w:t>
      </w:r>
      <w:r w:rsidR="00E03E7D" w:rsidRPr="00E03E7D">
        <w:rPr>
          <w:rFonts w:ascii="Arial" w:hAnsi="Arial" w:cs="Arial"/>
          <w:sz w:val="16"/>
          <w:szCs w:val="16"/>
        </w:rPr>
        <w:t xml:space="preserve">al ‘Expenses not requiring appropriation in the Budget year’ is made up of depreciation and </w:t>
      </w:r>
      <w:proofErr w:type="spellStart"/>
      <w:r w:rsidR="00E03E7D" w:rsidRPr="00E03E7D">
        <w:rPr>
          <w:rFonts w:ascii="Arial" w:hAnsi="Arial" w:cs="Arial"/>
          <w:sz w:val="16"/>
          <w:szCs w:val="16"/>
        </w:rPr>
        <w:t>amortisation</w:t>
      </w:r>
      <w:proofErr w:type="spellEnd"/>
      <w:r w:rsidR="00E03E7D" w:rsidRPr="00E03E7D">
        <w:rPr>
          <w:rFonts w:ascii="Arial" w:hAnsi="Arial" w:cs="Arial"/>
          <w:sz w:val="16"/>
          <w:szCs w:val="16"/>
        </w:rPr>
        <w:t xml:space="preserve"> expenses and expenses that are reduced by associated receipts.</w:t>
      </w:r>
    </w:p>
    <w:p w14:paraId="48DB8558" w14:textId="63BD823F" w:rsidR="00E03E7D" w:rsidRPr="00E03E7D" w:rsidRDefault="00E03E7D" w:rsidP="00F24C07">
      <w:pPr>
        <w:pStyle w:val="ListParagraph"/>
        <w:numPr>
          <w:ilvl w:val="0"/>
          <w:numId w:val="41"/>
        </w:numPr>
        <w:spacing w:after="0"/>
        <w:ind w:left="284" w:hanging="284"/>
        <w:rPr>
          <w:rFonts w:ascii="Arial" w:hAnsi="Arial" w:cs="Arial"/>
          <w:sz w:val="16"/>
          <w:szCs w:val="16"/>
        </w:rPr>
      </w:pPr>
      <w:r w:rsidRPr="00E03E7D">
        <w:rPr>
          <w:rFonts w:ascii="Arial" w:hAnsi="Arial" w:cs="Arial"/>
          <w:sz w:val="16"/>
          <w:szCs w:val="16"/>
        </w:rPr>
        <w:t>Figures displayed as a negative (</w:t>
      </w:r>
      <w:r w:rsidR="007E02F0">
        <w:rPr>
          <w:rFonts w:ascii="Arial" w:hAnsi="Arial" w:cs="Arial"/>
          <w:sz w:val="16"/>
          <w:szCs w:val="16"/>
        </w:rPr>
        <w:t>-</w:t>
      </w:r>
      <w:r w:rsidRPr="00E03E7D">
        <w:rPr>
          <w:rFonts w:ascii="Arial" w:hAnsi="Arial" w:cs="Arial"/>
          <w:sz w:val="16"/>
          <w:szCs w:val="16"/>
        </w:rPr>
        <w:t>) represent a decrease in funds and a positive (+) represent an increase in funds.</w:t>
      </w:r>
    </w:p>
    <w:p w14:paraId="770240F4" w14:textId="2D51B507" w:rsidR="00D3478A" w:rsidRPr="00406092" w:rsidRDefault="00D3478A" w:rsidP="00406092">
      <w:pPr>
        <w:spacing w:after="0" w:line="240" w:lineRule="auto"/>
        <w:rPr>
          <w:rFonts w:ascii="Arial" w:hAnsi="Arial" w:cs="Arial"/>
          <w:sz w:val="16"/>
          <w:szCs w:val="16"/>
        </w:rPr>
      </w:pPr>
      <w:r w:rsidRPr="00406092">
        <w:rPr>
          <w:rFonts w:ascii="Arial" w:hAnsi="Arial" w:cs="Arial"/>
          <w:sz w:val="16"/>
          <w:szCs w:val="16"/>
        </w:rPr>
        <w:t xml:space="preserve">Note: </w:t>
      </w:r>
      <w:r w:rsidR="008863D9">
        <w:rPr>
          <w:rFonts w:ascii="Arial" w:hAnsi="Arial" w:cs="Arial"/>
          <w:sz w:val="16"/>
          <w:szCs w:val="16"/>
        </w:rPr>
        <w:t>Department</w:t>
      </w:r>
      <w:r w:rsidRPr="00406092">
        <w:rPr>
          <w:rFonts w:ascii="Arial" w:hAnsi="Arial" w:cs="Arial"/>
          <w:sz w:val="16"/>
          <w:szCs w:val="16"/>
        </w:rPr>
        <w:t xml:space="preserve">al appropriation splits and totals are indicative estimates and may change in the course of the budget year as government priorities change. </w:t>
      </w:r>
    </w:p>
    <w:p w14:paraId="06ADBD19" w14:textId="463FBFFD" w:rsidR="00FF6B56" w:rsidRDefault="00FF6B56">
      <w:pPr>
        <w:spacing w:after="0" w:line="240" w:lineRule="auto"/>
        <w:jc w:val="left"/>
      </w:pPr>
      <w:r>
        <w:br w:type="page"/>
      </w:r>
    </w:p>
    <w:p w14:paraId="062BF332" w14:textId="3CD062DB" w:rsidR="00A27EC7" w:rsidRDefault="00FF6B56" w:rsidP="00A27EC7">
      <w:pPr>
        <w:pStyle w:val="TableHeading"/>
        <w:rPr>
          <w:lang w:val="en-US"/>
        </w:rPr>
      </w:pPr>
      <w:r w:rsidRPr="00FF6B56">
        <w:lastRenderedPageBreak/>
        <w:t>Table 2.7</w:t>
      </w:r>
      <w:r w:rsidR="00A27EC7" w:rsidRPr="00FF6B56">
        <w:t xml:space="preserve">.2: Program components of Outcome </w:t>
      </w:r>
      <w:r w:rsidRPr="00FF6B56">
        <w:rPr>
          <w:lang w:val="en-US"/>
        </w:rPr>
        <w:t>6</w:t>
      </w:r>
    </w:p>
    <w:tbl>
      <w:tblPr>
        <w:tblW w:w="0" w:type="auto"/>
        <w:tblLayout w:type="fixed"/>
        <w:tblLook w:val="04A0" w:firstRow="1" w:lastRow="0" w:firstColumn="1" w:lastColumn="0" w:noHBand="0" w:noVBand="1"/>
      </w:tblPr>
      <w:tblGrid>
        <w:gridCol w:w="3402"/>
        <w:gridCol w:w="901"/>
        <w:gridCol w:w="821"/>
        <w:gridCol w:w="11"/>
        <w:gridCol w:w="818"/>
        <w:gridCol w:w="11"/>
        <w:gridCol w:w="840"/>
        <w:gridCol w:w="11"/>
        <w:gridCol w:w="839"/>
        <w:gridCol w:w="11"/>
      </w:tblGrid>
      <w:tr w:rsidR="00E34CEC" w:rsidRPr="00C26B09" w14:paraId="44A574E1" w14:textId="77777777" w:rsidTr="00B1501D">
        <w:trPr>
          <w:gridAfter w:val="1"/>
          <w:wAfter w:w="11" w:type="dxa"/>
          <w:trHeight w:val="765"/>
        </w:trPr>
        <w:tc>
          <w:tcPr>
            <w:tcW w:w="3402" w:type="dxa"/>
            <w:tcBorders>
              <w:top w:val="single" w:sz="4" w:space="0" w:color="auto"/>
              <w:left w:val="nil"/>
              <w:right w:val="nil"/>
            </w:tcBorders>
            <w:shd w:val="clear" w:color="auto" w:fill="auto"/>
            <w:noWrap/>
            <w:hideMark/>
          </w:tcPr>
          <w:p w14:paraId="4C0E23F5" w14:textId="77777777" w:rsidR="00E34CEC" w:rsidRPr="00C26B09" w:rsidRDefault="00E34CEC" w:rsidP="00E34CEC">
            <w:pPr>
              <w:spacing w:after="0" w:line="240" w:lineRule="auto"/>
              <w:jc w:val="left"/>
              <w:rPr>
                <w:rFonts w:ascii="Times New Roman" w:hAnsi="Times New Roman"/>
                <w:sz w:val="24"/>
                <w:szCs w:val="24"/>
              </w:rPr>
            </w:pPr>
          </w:p>
        </w:tc>
        <w:tc>
          <w:tcPr>
            <w:tcW w:w="901" w:type="dxa"/>
            <w:tcBorders>
              <w:top w:val="single" w:sz="4" w:space="0" w:color="auto"/>
              <w:left w:val="nil"/>
              <w:bottom w:val="single" w:sz="4" w:space="0" w:color="auto"/>
              <w:right w:val="nil"/>
            </w:tcBorders>
            <w:shd w:val="clear" w:color="auto" w:fill="auto"/>
            <w:vAlign w:val="bottom"/>
            <w:hideMark/>
          </w:tcPr>
          <w:p w14:paraId="5586496A" w14:textId="007B9E06" w:rsidR="00E34CEC" w:rsidRPr="00C26B09" w:rsidRDefault="00E34CEC" w:rsidP="00E34CEC">
            <w:pPr>
              <w:spacing w:after="0" w:line="240" w:lineRule="auto"/>
              <w:jc w:val="right"/>
              <w:rPr>
                <w:rFonts w:ascii="Arial" w:hAnsi="Arial" w:cs="Arial"/>
                <w:sz w:val="16"/>
                <w:szCs w:val="16"/>
              </w:rPr>
            </w:pPr>
            <w:r w:rsidRPr="00140D20">
              <w:rPr>
                <w:rFonts w:ascii="Arial" w:hAnsi="Arial" w:cs="Arial"/>
                <w:sz w:val="16"/>
                <w:szCs w:val="16"/>
              </w:rPr>
              <w:t>2020-21 Actual expenses</w:t>
            </w:r>
            <w:r>
              <w:rPr>
                <w:rFonts w:ascii="Arial" w:hAnsi="Arial" w:cs="Arial"/>
                <w:sz w:val="16"/>
                <w:szCs w:val="16"/>
              </w:rPr>
              <w:t xml:space="preserve"> </w:t>
            </w:r>
            <w:r w:rsidRPr="00140D20">
              <w:rPr>
                <w:rFonts w:ascii="Arial" w:hAnsi="Arial" w:cs="Arial"/>
                <w:sz w:val="16"/>
                <w:szCs w:val="16"/>
              </w:rPr>
              <w:t>$'000</w:t>
            </w:r>
          </w:p>
        </w:tc>
        <w:tc>
          <w:tcPr>
            <w:tcW w:w="821" w:type="dxa"/>
            <w:tcBorders>
              <w:top w:val="single" w:sz="4" w:space="0" w:color="auto"/>
              <w:left w:val="nil"/>
              <w:bottom w:val="single" w:sz="4" w:space="0" w:color="auto"/>
              <w:right w:val="nil"/>
            </w:tcBorders>
            <w:shd w:val="clear" w:color="000000" w:fill="E6E6E6"/>
            <w:vAlign w:val="bottom"/>
            <w:hideMark/>
          </w:tcPr>
          <w:p w14:paraId="1BBB586D" w14:textId="7CC92773" w:rsidR="00E34CEC" w:rsidRPr="00C26B09" w:rsidRDefault="00E34CEC" w:rsidP="00E34CEC">
            <w:pPr>
              <w:spacing w:after="0" w:line="240" w:lineRule="auto"/>
              <w:jc w:val="right"/>
              <w:rPr>
                <w:rFonts w:ascii="Arial" w:hAnsi="Arial" w:cs="Arial"/>
                <w:sz w:val="16"/>
                <w:szCs w:val="16"/>
              </w:rPr>
            </w:pPr>
            <w:r w:rsidRPr="00140D20">
              <w:rPr>
                <w:rFonts w:ascii="Arial" w:hAnsi="Arial" w:cs="Arial"/>
                <w:sz w:val="16"/>
                <w:szCs w:val="16"/>
              </w:rPr>
              <w:t>2021-22 Revised</w:t>
            </w:r>
            <w:r>
              <w:rPr>
                <w:rFonts w:ascii="Arial" w:hAnsi="Arial" w:cs="Arial"/>
                <w:sz w:val="16"/>
                <w:szCs w:val="16"/>
              </w:rPr>
              <w:t xml:space="preserve"> Budget </w:t>
            </w:r>
            <w:r w:rsidRPr="00140D20">
              <w:rPr>
                <w:rFonts w:ascii="Arial" w:hAnsi="Arial" w:cs="Arial"/>
                <w:sz w:val="16"/>
                <w:szCs w:val="16"/>
              </w:rPr>
              <w:t>$'000</w:t>
            </w:r>
          </w:p>
        </w:tc>
        <w:tc>
          <w:tcPr>
            <w:tcW w:w="829" w:type="dxa"/>
            <w:gridSpan w:val="2"/>
            <w:tcBorders>
              <w:top w:val="single" w:sz="4" w:space="0" w:color="auto"/>
              <w:left w:val="nil"/>
              <w:bottom w:val="single" w:sz="4" w:space="0" w:color="auto"/>
              <w:right w:val="nil"/>
            </w:tcBorders>
            <w:shd w:val="clear" w:color="auto" w:fill="auto"/>
            <w:vAlign w:val="bottom"/>
            <w:hideMark/>
          </w:tcPr>
          <w:p w14:paraId="7D3C1D2B" w14:textId="03AF4F3C" w:rsidR="00E34CEC" w:rsidRPr="00C26B09" w:rsidRDefault="00E34CEC" w:rsidP="00E34CEC">
            <w:pPr>
              <w:spacing w:after="0" w:line="240" w:lineRule="auto"/>
              <w:jc w:val="right"/>
              <w:rPr>
                <w:rFonts w:ascii="Arial" w:hAnsi="Arial" w:cs="Arial"/>
                <w:sz w:val="16"/>
                <w:szCs w:val="16"/>
              </w:rPr>
            </w:pPr>
            <w:r w:rsidRPr="00140D20">
              <w:rPr>
                <w:rFonts w:ascii="Arial" w:hAnsi="Arial" w:cs="Arial"/>
                <w:sz w:val="16"/>
                <w:szCs w:val="16"/>
              </w:rPr>
              <w:t>2022-23 Forward</w:t>
            </w:r>
            <w:r>
              <w:rPr>
                <w:rFonts w:ascii="Arial" w:hAnsi="Arial" w:cs="Arial"/>
                <w:sz w:val="16"/>
                <w:szCs w:val="16"/>
              </w:rPr>
              <w:t xml:space="preserve"> estimate </w:t>
            </w:r>
            <w:r w:rsidRPr="00140D20">
              <w:rPr>
                <w:rFonts w:ascii="Arial" w:hAnsi="Arial" w:cs="Arial"/>
                <w:sz w:val="16"/>
                <w:szCs w:val="16"/>
              </w:rPr>
              <w:t>$'000</w:t>
            </w:r>
          </w:p>
        </w:tc>
        <w:tc>
          <w:tcPr>
            <w:tcW w:w="851" w:type="dxa"/>
            <w:gridSpan w:val="2"/>
            <w:tcBorders>
              <w:top w:val="single" w:sz="4" w:space="0" w:color="auto"/>
              <w:left w:val="nil"/>
              <w:bottom w:val="single" w:sz="4" w:space="0" w:color="auto"/>
              <w:right w:val="nil"/>
            </w:tcBorders>
            <w:shd w:val="clear" w:color="auto" w:fill="auto"/>
            <w:vAlign w:val="bottom"/>
            <w:hideMark/>
          </w:tcPr>
          <w:p w14:paraId="0637F715" w14:textId="6AE95D9C" w:rsidR="00E34CEC" w:rsidRPr="00C26B09" w:rsidRDefault="00E34CEC" w:rsidP="00E34CEC">
            <w:pPr>
              <w:spacing w:after="0" w:line="240" w:lineRule="auto"/>
              <w:jc w:val="right"/>
              <w:rPr>
                <w:rFonts w:ascii="Arial" w:hAnsi="Arial" w:cs="Arial"/>
                <w:sz w:val="16"/>
                <w:szCs w:val="16"/>
              </w:rPr>
            </w:pPr>
            <w:r w:rsidRPr="00140D20">
              <w:rPr>
                <w:rFonts w:ascii="Arial" w:hAnsi="Arial" w:cs="Arial"/>
                <w:sz w:val="16"/>
                <w:szCs w:val="16"/>
              </w:rPr>
              <w:t>2023-24 Forward</w:t>
            </w:r>
            <w:r>
              <w:rPr>
                <w:rFonts w:ascii="Arial" w:hAnsi="Arial" w:cs="Arial"/>
                <w:sz w:val="16"/>
                <w:szCs w:val="16"/>
              </w:rPr>
              <w:t xml:space="preserve"> estimate </w:t>
            </w:r>
            <w:r w:rsidRPr="00140D20">
              <w:rPr>
                <w:rFonts w:ascii="Arial" w:hAnsi="Arial" w:cs="Arial"/>
                <w:sz w:val="16"/>
                <w:szCs w:val="16"/>
              </w:rPr>
              <w:t>$'000</w:t>
            </w:r>
          </w:p>
        </w:tc>
        <w:tc>
          <w:tcPr>
            <w:tcW w:w="850" w:type="dxa"/>
            <w:gridSpan w:val="2"/>
            <w:tcBorders>
              <w:top w:val="single" w:sz="4" w:space="0" w:color="auto"/>
              <w:left w:val="nil"/>
              <w:bottom w:val="single" w:sz="4" w:space="0" w:color="auto"/>
              <w:right w:val="nil"/>
            </w:tcBorders>
            <w:shd w:val="clear" w:color="auto" w:fill="auto"/>
            <w:vAlign w:val="bottom"/>
            <w:hideMark/>
          </w:tcPr>
          <w:p w14:paraId="2C0E88DE" w14:textId="7B998758" w:rsidR="00E34CEC" w:rsidRPr="00C26B09" w:rsidRDefault="00E34CEC" w:rsidP="00E34CEC">
            <w:pPr>
              <w:spacing w:after="0" w:line="240" w:lineRule="auto"/>
              <w:jc w:val="right"/>
              <w:rPr>
                <w:rFonts w:ascii="Arial" w:hAnsi="Arial" w:cs="Arial"/>
                <w:sz w:val="16"/>
                <w:szCs w:val="16"/>
              </w:rPr>
            </w:pPr>
            <w:r w:rsidRPr="00140D20">
              <w:rPr>
                <w:rFonts w:ascii="Arial" w:hAnsi="Arial" w:cs="Arial"/>
                <w:sz w:val="16"/>
                <w:szCs w:val="16"/>
              </w:rPr>
              <w:t>2024-25 Forward</w:t>
            </w:r>
            <w:r>
              <w:rPr>
                <w:rFonts w:ascii="Arial" w:hAnsi="Arial" w:cs="Arial"/>
                <w:sz w:val="16"/>
                <w:szCs w:val="16"/>
              </w:rPr>
              <w:t xml:space="preserve"> estimate </w:t>
            </w:r>
            <w:r w:rsidRPr="00140D20">
              <w:rPr>
                <w:rFonts w:ascii="Arial" w:hAnsi="Arial" w:cs="Arial"/>
                <w:sz w:val="16"/>
                <w:szCs w:val="16"/>
              </w:rPr>
              <w:t>$'000</w:t>
            </w:r>
          </w:p>
        </w:tc>
      </w:tr>
      <w:tr w:rsidR="00C26B09" w:rsidRPr="00C26B09" w14:paraId="77E640F4" w14:textId="77777777" w:rsidTr="007E02F0">
        <w:trPr>
          <w:trHeight w:val="225"/>
        </w:trPr>
        <w:tc>
          <w:tcPr>
            <w:tcW w:w="5135" w:type="dxa"/>
            <w:gridSpan w:val="4"/>
            <w:tcBorders>
              <w:top w:val="single" w:sz="4" w:space="0" w:color="auto"/>
              <w:left w:val="nil"/>
              <w:bottom w:val="single" w:sz="4" w:space="0" w:color="auto"/>
              <w:right w:val="nil"/>
            </w:tcBorders>
            <w:shd w:val="clear" w:color="000000" w:fill="E6E6E6"/>
            <w:noWrap/>
            <w:hideMark/>
          </w:tcPr>
          <w:p w14:paraId="7FDB326B" w14:textId="77777777" w:rsidR="00C26B09" w:rsidRPr="00C26B09" w:rsidRDefault="00C26B09" w:rsidP="00C26B09">
            <w:pPr>
              <w:spacing w:after="0" w:line="240" w:lineRule="auto"/>
              <w:jc w:val="left"/>
              <w:rPr>
                <w:rFonts w:ascii="Arial" w:hAnsi="Arial" w:cs="Arial"/>
                <w:b/>
                <w:bCs/>
                <w:sz w:val="16"/>
                <w:szCs w:val="16"/>
              </w:rPr>
            </w:pPr>
            <w:r w:rsidRPr="00C26B09">
              <w:rPr>
                <w:rFonts w:ascii="Arial" w:hAnsi="Arial" w:cs="Arial"/>
                <w:b/>
                <w:bCs/>
                <w:sz w:val="16"/>
                <w:szCs w:val="16"/>
              </w:rPr>
              <w:t>Components for Program 6.1: Arts and Cultural Development</w:t>
            </w:r>
          </w:p>
        </w:tc>
        <w:tc>
          <w:tcPr>
            <w:tcW w:w="829" w:type="dxa"/>
            <w:gridSpan w:val="2"/>
            <w:tcBorders>
              <w:top w:val="nil"/>
              <w:left w:val="nil"/>
              <w:bottom w:val="single" w:sz="4" w:space="0" w:color="auto"/>
              <w:right w:val="nil"/>
            </w:tcBorders>
            <w:shd w:val="clear" w:color="000000" w:fill="E6E6E6"/>
            <w:noWrap/>
            <w:hideMark/>
          </w:tcPr>
          <w:p w14:paraId="172A406A" w14:textId="77777777" w:rsidR="00C26B09" w:rsidRPr="00C26B09" w:rsidRDefault="00C26B09" w:rsidP="00C26B09">
            <w:pPr>
              <w:spacing w:after="0" w:line="240" w:lineRule="auto"/>
              <w:jc w:val="left"/>
              <w:rPr>
                <w:rFonts w:ascii="Arial" w:hAnsi="Arial" w:cs="Arial"/>
                <w:sz w:val="16"/>
                <w:szCs w:val="16"/>
              </w:rPr>
            </w:pPr>
            <w:r w:rsidRPr="00C26B09">
              <w:rPr>
                <w:rFonts w:ascii="Arial" w:hAnsi="Arial" w:cs="Arial"/>
                <w:sz w:val="16"/>
                <w:szCs w:val="16"/>
              </w:rPr>
              <w:t> </w:t>
            </w:r>
          </w:p>
        </w:tc>
        <w:tc>
          <w:tcPr>
            <w:tcW w:w="851" w:type="dxa"/>
            <w:gridSpan w:val="2"/>
            <w:tcBorders>
              <w:top w:val="nil"/>
              <w:left w:val="nil"/>
              <w:bottom w:val="single" w:sz="4" w:space="0" w:color="auto"/>
              <w:right w:val="nil"/>
            </w:tcBorders>
            <w:shd w:val="clear" w:color="000000" w:fill="E6E6E6"/>
            <w:noWrap/>
            <w:hideMark/>
          </w:tcPr>
          <w:p w14:paraId="4AF5DAA1" w14:textId="77777777" w:rsidR="00C26B09" w:rsidRPr="00C26B09" w:rsidRDefault="00C26B09" w:rsidP="00C26B09">
            <w:pPr>
              <w:spacing w:after="0" w:line="240" w:lineRule="auto"/>
              <w:jc w:val="left"/>
              <w:rPr>
                <w:rFonts w:ascii="Arial" w:hAnsi="Arial" w:cs="Arial"/>
                <w:sz w:val="16"/>
                <w:szCs w:val="16"/>
              </w:rPr>
            </w:pPr>
            <w:r w:rsidRPr="00C26B09">
              <w:rPr>
                <w:rFonts w:ascii="Arial" w:hAnsi="Arial" w:cs="Arial"/>
                <w:sz w:val="16"/>
                <w:szCs w:val="16"/>
              </w:rPr>
              <w:t> </w:t>
            </w:r>
          </w:p>
        </w:tc>
        <w:tc>
          <w:tcPr>
            <w:tcW w:w="850" w:type="dxa"/>
            <w:gridSpan w:val="2"/>
            <w:tcBorders>
              <w:top w:val="nil"/>
              <w:left w:val="nil"/>
              <w:bottom w:val="single" w:sz="4" w:space="0" w:color="auto"/>
              <w:right w:val="nil"/>
            </w:tcBorders>
            <w:shd w:val="clear" w:color="000000" w:fill="E6E6E6"/>
            <w:noWrap/>
            <w:hideMark/>
          </w:tcPr>
          <w:p w14:paraId="54D12E33" w14:textId="77777777" w:rsidR="00C26B09" w:rsidRPr="00C26B09" w:rsidRDefault="00C26B09" w:rsidP="00C26B09">
            <w:pPr>
              <w:spacing w:after="0" w:line="240" w:lineRule="auto"/>
              <w:jc w:val="left"/>
              <w:rPr>
                <w:rFonts w:ascii="Arial" w:hAnsi="Arial" w:cs="Arial"/>
                <w:sz w:val="16"/>
                <w:szCs w:val="16"/>
              </w:rPr>
            </w:pPr>
            <w:r w:rsidRPr="00C26B09">
              <w:rPr>
                <w:rFonts w:ascii="Arial" w:hAnsi="Arial" w:cs="Arial"/>
                <w:sz w:val="16"/>
                <w:szCs w:val="16"/>
              </w:rPr>
              <w:t> </w:t>
            </w:r>
          </w:p>
        </w:tc>
      </w:tr>
      <w:tr w:rsidR="00C26B09" w:rsidRPr="00C26B09" w14:paraId="4A117C16" w14:textId="77777777" w:rsidTr="007E02F0">
        <w:trPr>
          <w:gridAfter w:val="1"/>
          <w:wAfter w:w="11" w:type="dxa"/>
          <w:trHeight w:val="204"/>
        </w:trPr>
        <w:tc>
          <w:tcPr>
            <w:tcW w:w="3402" w:type="dxa"/>
            <w:tcBorders>
              <w:top w:val="nil"/>
              <w:left w:val="nil"/>
              <w:bottom w:val="nil"/>
              <w:right w:val="nil"/>
            </w:tcBorders>
            <w:shd w:val="clear" w:color="auto" w:fill="auto"/>
            <w:hideMark/>
          </w:tcPr>
          <w:p w14:paraId="5756B618" w14:textId="77777777" w:rsidR="00C26B09" w:rsidRPr="00C26B09" w:rsidRDefault="00C26B09" w:rsidP="00C26B09">
            <w:pPr>
              <w:spacing w:after="0" w:line="240" w:lineRule="auto"/>
              <w:jc w:val="left"/>
              <w:rPr>
                <w:rFonts w:ascii="Arial" w:hAnsi="Arial" w:cs="Arial"/>
                <w:sz w:val="16"/>
                <w:szCs w:val="16"/>
              </w:rPr>
            </w:pPr>
            <w:r w:rsidRPr="00C26B09">
              <w:rPr>
                <w:rFonts w:ascii="Arial" w:hAnsi="Arial" w:cs="Arial"/>
                <w:sz w:val="16"/>
                <w:szCs w:val="16"/>
              </w:rPr>
              <w:t>Administered expenses</w:t>
            </w:r>
          </w:p>
        </w:tc>
        <w:tc>
          <w:tcPr>
            <w:tcW w:w="901" w:type="dxa"/>
            <w:tcBorders>
              <w:top w:val="nil"/>
              <w:left w:val="nil"/>
              <w:bottom w:val="nil"/>
              <w:right w:val="nil"/>
            </w:tcBorders>
            <w:shd w:val="clear" w:color="auto" w:fill="auto"/>
            <w:noWrap/>
            <w:vAlign w:val="bottom"/>
            <w:hideMark/>
          </w:tcPr>
          <w:p w14:paraId="34948E76" w14:textId="77777777" w:rsidR="00C26B09" w:rsidRPr="00C26B09" w:rsidRDefault="00C26B09" w:rsidP="00C26B09">
            <w:pPr>
              <w:spacing w:after="0" w:line="240" w:lineRule="auto"/>
              <w:jc w:val="right"/>
              <w:rPr>
                <w:rFonts w:ascii="Arial" w:hAnsi="Arial" w:cs="Arial"/>
                <w:sz w:val="16"/>
                <w:szCs w:val="16"/>
              </w:rPr>
            </w:pPr>
          </w:p>
        </w:tc>
        <w:tc>
          <w:tcPr>
            <w:tcW w:w="821" w:type="dxa"/>
            <w:tcBorders>
              <w:top w:val="nil"/>
              <w:left w:val="nil"/>
              <w:bottom w:val="nil"/>
              <w:right w:val="nil"/>
            </w:tcBorders>
            <w:shd w:val="clear" w:color="000000" w:fill="E6E6E6"/>
            <w:noWrap/>
            <w:vAlign w:val="bottom"/>
            <w:hideMark/>
          </w:tcPr>
          <w:p w14:paraId="422A133E" w14:textId="23FAC9A4" w:rsidR="00C26B09" w:rsidRPr="00C26B09" w:rsidRDefault="00C26B09" w:rsidP="00C26B09">
            <w:pPr>
              <w:spacing w:after="0" w:line="240" w:lineRule="auto"/>
              <w:jc w:val="right"/>
              <w:rPr>
                <w:rFonts w:ascii="Arial" w:hAnsi="Arial" w:cs="Arial"/>
                <w:sz w:val="16"/>
                <w:szCs w:val="16"/>
              </w:rPr>
            </w:pPr>
          </w:p>
        </w:tc>
        <w:tc>
          <w:tcPr>
            <w:tcW w:w="829" w:type="dxa"/>
            <w:gridSpan w:val="2"/>
            <w:tcBorders>
              <w:top w:val="nil"/>
              <w:left w:val="nil"/>
              <w:bottom w:val="nil"/>
              <w:right w:val="nil"/>
            </w:tcBorders>
            <w:shd w:val="clear" w:color="auto" w:fill="auto"/>
            <w:noWrap/>
            <w:vAlign w:val="bottom"/>
            <w:hideMark/>
          </w:tcPr>
          <w:p w14:paraId="63310B36" w14:textId="77777777" w:rsidR="00C26B09" w:rsidRPr="00C26B09" w:rsidRDefault="00C26B09" w:rsidP="00C26B09">
            <w:pPr>
              <w:spacing w:after="0" w:line="240" w:lineRule="auto"/>
              <w:jc w:val="right"/>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14:paraId="6B8800B7" w14:textId="77777777" w:rsidR="00C26B09" w:rsidRPr="00C26B09" w:rsidRDefault="00C26B09" w:rsidP="00C26B09">
            <w:pPr>
              <w:spacing w:after="0" w:line="240" w:lineRule="auto"/>
              <w:jc w:val="right"/>
              <w:rPr>
                <w:rFonts w:ascii="Times New Roman" w:hAnsi="Times New Roman"/>
              </w:rPr>
            </w:pPr>
          </w:p>
        </w:tc>
        <w:tc>
          <w:tcPr>
            <w:tcW w:w="850" w:type="dxa"/>
            <w:gridSpan w:val="2"/>
            <w:tcBorders>
              <w:top w:val="nil"/>
              <w:left w:val="nil"/>
              <w:bottom w:val="nil"/>
              <w:right w:val="nil"/>
            </w:tcBorders>
            <w:shd w:val="clear" w:color="auto" w:fill="auto"/>
            <w:noWrap/>
            <w:vAlign w:val="bottom"/>
            <w:hideMark/>
          </w:tcPr>
          <w:p w14:paraId="5B904E1C" w14:textId="77777777" w:rsidR="00C26B09" w:rsidRPr="00C26B09" w:rsidRDefault="00C26B09" w:rsidP="00C26B09">
            <w:pPr>
              <w:spacing w:after="0" w:line="240" w:lineRule="auto"/>
              <w:jc w:val="right"/>
              <w:rPr>
                <w:rFonts w:ascii="Times New Roman" w:hAnsi="Times New Roman"/>
              </w:rPr>
            </w:pPr>
          </w:p>
        </w:tc>
      </w:tr>
      <w:tr w:rsidR="003243A3" w:rsidRPr="00C26B09" w14:paraId="506B35F7" w14:textId="77777777" w:rsidTr="007E02F0">
        <w:trPr>
          <w:gridAfter w:val="1"/>
          <w:wAfter w:w="11" w:type="dxa"/>
          <w:trHeight w:val="204"/>
        </w:trPr>
        <w:tc>
          <w:tcPr>
            <w:tcW w:w="3402" w:type="dxa"/>
            <w:tcBorders>
              <w:top w:val="nil"/>
              <w:left w:val="nil"/>
              <w:bottom w:val="nil"/>
              <w:right w:val="nil"/>
            </w:tcBorders>
            <w:shd w:val="clear" w:color="auto" w:fill="auto"/>
            <w:hideMark/>
          </w:tcPr>
          <w:p w14:paraId="1BD231C2"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Arts and Cultural Development</w:t>
            </w:r>
          </w:p>
        </w:tc>
        <w:tc>
          <w:tcPr>
            <w:tcW w:w="901" w:type="dxa"/>
            <w:tcBorders>
              <w:top w:val="nil"/>
              <w:left w:val="nil"/>
              <w:bottom w:val="nil"/>
              <w:right w:val="nil"/>
            </w:tcBorders>
            <w:shd w:val="clear" w:color="auto" w:fill="auto"/>
            <w:noWrap/>
            <w:vAlign w:val="bottom"/>
            <w:hideMark/>
          </w:tcPr>
          <w:p w14:paraId="69CBAA2E" w14:textId="59535438"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118,164 </w:t>
            </w:r>
          </w:p>
        </w:tc>
        <w:tc>
          <w:tcPr>
            <w:tcW w:w="821" w:type="dxa"/>
            <w:tcBorders>
              <w:top w:val="nil"/>
              <w:left w:val="nil"/>
              <w:bottom w:val="nil"/>
              <w:right w:val="nil"/>
            </w:tcBorders>
            <w:shd w:val="clear" w:color="000000" w:fill="E6E6E6"/>
            <w:noWrap/>
            <w:vAlign w:val="bottom"/>
            <w:hideMark/>
          </w:tcPr>
          <w:p w14:paraId="454C8439" w14:textId="6C4AF86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164,634 </w:t>
            </w:r>
          </w:p>
        </w:tc>
        <w:tc>
          <w:tcPr>
            <w:tcW w:w="829" w:type="dxa"/>
            <w:gridSpan w:val="2"/>
            <w:tcBorders>
              <w:top w:val="nil"/>
              <w:left w:val="nil"/>
              <w:bottom w:val="nil"/>
              <w:right w:val="nil"/>
            </w:tcBorders>
            <w:shd w:val="clear" w:color="auto" w:fill="auto"/>
            <w:noWrap/>
            <w:vAlign w:val="bottom"/>
            <w:hideMark/>
          </w:tcPr>
          <w:p w14:paraId="23794C8F" w14:textId="33DF8BD4"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2,342 </w:t>
            </w:r>
          </w:p>
        </w:tc>
        <w:tc>
          <w:tcPr>
            <w:tcW w:w="851" w:type="dxa"/>
            <w:gridSpan w:val="2"/>
            <w:tcBorders>
              <w:top w:val="nil"/>
              <w:left w:val="nil"/>
              <w:bottom w:val="nil"/>
              <w:right w:val="nil"/>
            </w:tcBorders>
            <w:shd w:val="clear" w:color="auto" w:fill="auto"/>
            <w:noWrap/>
            <w:vAlign w:val="bottom"/>
            <w:hideMark/>
          </w:tcPr>
          <w:p w14:paraId="7F7AD938" w14:textId="126792D4"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2,361 </w:t>
            </w:r>
          </w:p>
        </w:tc>
        <w:tc>
          <w:tcPr>
            <w:tcW w:w="850" w:type="dxa"/>
            <w:gridSpan w:val="2"/>
            <w:tcBorders>
              <w:top w:val="nil"/>
              <w:left w:val="nil"/>
              <w:bottom w:val="nil"/>
              <w:right w:val="nil"/>
            </w:tcBorders>
            <w:shd w:val="clear" w:color="auto" w:fill="auto"/>
            <w:noWrap/>
            <w:vAlign w:val="bottom"/>
            <w:hideMark/>
          </w:tcPr>
          <w:p w14:paraId="26EC404B" w14:textId="6EE1EE8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2,381 </w:t>
            </w:r>
          </w:p>
        </w:tc>
      </w:tr>
      <w:tr w:rsidR="003243A3" w:rsidRPr="00C26B09" w14:paraId="0A8D8C47" w14:textId="77777777" w:rsidTr="007E02F0">
        <w:trPr>
          <w:gridAfter w:val="1"/>
          <w:wAfter w:w="11" w:type="dxa"/>
          <w:trHeight w:val="204"/>
        </w:trPr>
        <w:tc>
          <w:tcPr>
            <w:tcW w:w="3402" w:type="dxa"/>
            <w:tcBorders>
              <w:top w:val="nil"/>
              <w:left w:val="nil"/>
              <w:bottom w:val="nil"/>
              <w:right w:val="nil"/>
            </w:tcBorders>
            <w:shd w:val="clear" w:color="auto" w:fill="auto"/>
            <w:hideMark/>
          </w:tcPr>
          <w:p w14:paraId="3C0231D4"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Arts Training</w:t>
            </w:r>
          </w:p>
        </w:tc>
        <w:tc>
          <w:tcPr>
            <w:tcW w:w="901" w:type="dxa"/>
            <w:tcBorders>
              <w:top w:val="nil"/>
              <w:left w:val="nil"/>
              <w:bottom w:val="nil"/>
              <w:right w:val="nil"/>
            </w:tcBorders>
            <w:shd w:val="clear" w:color="auto" w:fill="auto"/>
            <w:noWrap/>
            <w:vAlign w:val="bottom"/>
            <w:hideMark/>
          </w:tcPr>
          <w:p w14:paraId="3B3E577A" w14:textId="5A931885"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21,628 </w:t>
            </w:r>
          </w:p>
        </w:tc>
        <w:tc>
          <w:tcPr>
            <w:tcW w:w="821" w:type="dxa"/>
            <w:tcBorders>
              <w:top w:val="nil"/>
              <w:left w:val="nil"/>
              <w:bottom w:val="nil"/>
              <w:right w:val="nil"/>
            </w:tcBorders>
            <w:shd w:val="clear" w:color="000000" w:fill="E6E6E6"/>
            <w:noWrap/>
            <w:vAlign w:val="bottom"/>
            <w:hideMark/>
          </w:tcPr>
          <w:p w14:paraId="61AEA568" w14:textId="75E0A22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21,619 </w:t>
            </w:r>
          </w:p>
        </w:tc>
        <w:tc>
          <w:tcPr>
            <w:tcW w:w="829" w:type="dxa"/>
            <w:gridSpan w:val="2"/>
            <w:tcBorders>
              <w:top w:val="nil"/>
              <w:left w:val="nil"/>
              <w:bottom w:val="nil"/>
              <w:right w:val="nil"/>
            </w:tcBorders>
            <w:shd w:val="clear" w:color="auto" w:fill="auto"/>
            <w:noWrap/>
            <w:vAlign w:val="bottom"/>
            <w:hideMark/>
          </w:tcPr>
          <w:p w14:paraId="040C6891" w14:textId="0A0684A5"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21,258 </w:t>
            </w:r>
          </w:p>
        </w:tc>
        <w:tc>
          <w:tcPr>
            <w:tcW w:w="851" w:type="dxa"/>
            <w:gridSpan w:val="2"/>
            <w:tcBorders>
              <w:top w:val="nil"/>
              <w:left w:val="nil"/>
              <w:bottom w:val="nil"/>
              <w:right w:val="nil"/>
            </w:tcBorders>
            <w:shd w:val="clear" w:color="auto" w:fill="auto"/>
            <w:noWrap/>
            <w:vAlign w:val="bottom"/>
            <w:hideMark/>
          </w:tcPr>
          <w:p w14:paraId="6B1437B9" w14:textId="313B6E9F"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21,659 </w:t>
            </w:r>
          </w:p>
        </w:tc>
        <w:tc>
          <w:tcPr>
            <w:tcW w:w="850" w:type="dxa"/>
            <w:gridSpan w:val="2"/>
            <w:tcBorders>
              <w:top w:val="nil"/>
              <w:left w:val="nil"/>
              <w:bottom w:val="nil"/>
              <w:right w:val="nil"/>
            </w:tcBorders>
            <w:shd w:val="clear" w:color="auto" w:fill="auto"/>
            <w:noWrap/>
            <w:vAlign w:val="bottom"/>
            <w:hideMark/>
          </w:tcPr>
          <w:p w14:paraId="01AAA521" w14:textId="009458AF"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21,875 </w:t>
            </w:r>
          </w:p>
        </w:tc>
      </w:tr>
      <w:tr w:rsidR="003243A3" w:rsidRPr="00C26B09" w14:paraId="678332A9" w14:textId="77777777" w:rsidTr="007E02F0">
        <w:trPr>
          <w:gridAfter w:val="1"/>
          <w:wAfter w:w="11" w:type="dxa"/>
          <w:trHeight w:val="204"/>
        </w:trPr>
        <w:tc>
          <w:tcPr>
            <w:tcW w:w="3402" w:type="dxa"/>
            <w:tcBorders>
              <w:top w:val="nil"/>
              <w:left w:val="nil"/>
              <w:bottom w:val="nil"/>
              <w:right w:val="nil"/>
            </w:tcBorders>
            <w:shd w:val="clear" w:color="auto" w:fill="auto"/>
            <w:hideMark/>
          </w:tcPr>
          <w:p w14:paraId="734B367D"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Australian Music</w:t>
            </w:r>
          </w:p>
        </w:tc>
        <w:tc>
          <w:tcPr>
            <w:tcW w:w="901" w:type="dxa"/>
            <w:tcBorders>
              <w:top w:val="nil"/>
              <w:left w:val="nil"/>
              <w:bottom w:val="nil"/>
              <w:right w:val="nil"/>
            </w:tcBorders>
            <w:shd w:val="clear" w:color="auto" w:fill="auto"/>
            <w:noWrap/>
            <w:vAlign w:val="bottom"/>
            <w:hideMark/>
          </w:tcPr>
          <w:p w14:paraId="2776612C" w14:textId="6289C19B"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6,939 </w:t>
            </w:r>
          </w:p>
        </w:tc>
        <w:tc>
          <w:tcPr>
            <w:tcW w:w="821" w:type="dxa"/>
            <w:tcBorders>
              <w:top w:val="nil"/>
              <w:left w:val="nil"/>
              <w:bottom w:val="nil"/>
              <w:right w:val="nil"/>
            </w:tcBorders>
            <w:shd w:val="clear" w:color="000000" w:fill="E6E6E6"/>
            <w:noWrap/>
            <w:vAlign w:val="bottom"/>
            <w:hideMark/>
          </w:tcPr>
          <w:p w14:paraId="037AA4C9" w14:textId="67B09817"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6,375 </w:t>
            </w:r>
          </w:p>
        </w:tc>
        <w:tc>
          <w:tcPr>
            <w:tcW w:w="829" w:type="dxa"/>
            <w:gridSpan w:val="2"/>
            <w:tcBorders>
              <w:top w:val="nil"/>
              <w:left w:val="nil"/>
              <w:bottom w:val="nil"/>
              <w:right w:val="nil"/>
            </w:tcBorders>
            <w:shd w:val="clear" w:color="auto" w:fill="auto"/>
            <w:noWrap/>
            <w:vAlign w:val="bottom"/>
            <w:hideMark/>
          </w:tcPr>
          <w:p w14:paraId="131077A8" w14:textId="0E0779C0"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6,375 </w:t>
            </w:r>
          </w:p>
        </w:tc>
        <w:tc>
          <w:tcPr>
            <w:tcW w:w="851" w:type="dxa"/>
            <w:gridSpan w:val="2"/>
            <w:tcBorders>
              <w:top w:val="nil"/>
              <w:left w:val="nil"/>
              <w:bottom w:val="nil"/>
              <w:right w:val="nil"/>
            </w:tcBorders>
            <w:shd w:val="clear" w:color="auto" w:fill="auto"/>
            <w:noWrap/>
            <w:vAlign w:val="bottom"/>
            <w:hideMark/>
          </w:tcPr>
          <w:p w14:paraId="79CB2A31" w14:textId="73D05064"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5,000 </w:t>
            </w:r>
          </w:p>
        </w:tc>
        <w:tc>
          <w:tcPr>
            <w:tcW w:w="850" w:type="dxa"/>
            <w:gridSpan w:val="2"/>
            <w:tcBorders>
              <w:top w:val="nil"/>
              <w:left w:val="nil"/>
              <w:bottom w:val="nil"/>
              <w:right w:val="nil"/>
            </w:tcBorders>
            <w:shd w:val="clear" w:color="auto" w:fill="auto"/>
            <w:noWrap/>
            <w:vAlign w:val="bottom"/>
            <w:hideMark/>
          </w:tcPr>
          <w:p w14:paraId="021E828E" w14:textId="024A7213"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r>
      <w:tr w:rsidR="003243A3" w:rsidRPr="00C26B09" w14:paraId="3A4CF5BD" w14:textId="77777777" w:rsidTr="007E02F0">
        <w:trPr>
          <w:gridAfter w:val="1"/>
          <w:wAfter w:w="11" w:type="dxa"/>
          <w:trHeight w:val="204"/>
        </w:trPr>
        <w:tc>
          <w:tcPr>
            <w:tcW w:w="3402" w:type="dxa"/>
            <w:tcBorders>
              <w:top w:val="nil"/>
              <w:left w:val="nil"/>
              <w:bottom w:val="nil"/>
              <w:right w:val="nil"/>
            </w:tcBorders>
            <w:shd w:val="clear" w:color="auto" w:fill="auto"/>
            <w:hideMark/>
          </w:tcPr>
          <w:p w14:paraId="2F3B7CA0"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Awards</w:t>
            </w:r>
          </w:p>
        </w:tc>
        <w:tc>
          <w:tcPr>
            <w:tcW w:w="901" w:type="dxa"/>
            <w:tcBorders>
              <w:top w:val="nil"/>
              <w:left w:val="nil"/>
              <w:bottom w:val="nil"/>
              <w:right w:val="nil"/>
            </w:tcBorders>
            <w:shd w:val="clear" w:color="auto" w:fill="auto"/>
            <w:noWrap/>
            <w:vAlign w:val="bottom"/>
            <w:hideMark/>
          </w:tcPr>
          <w:p w14:paraId="1828E0F1" w14:textId="10268D68"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643 </w:t>
            </w:r>
          </w:p>
        </w:tc>
        <w:tc>
          <w:tcPr>
            <w:tcW w:w="821" w:type="dxa"/>
            <w:tcBorders>
              <w:top w:val="nil"/>
              <w:left w:val="nil"/>
              <w:bottom w:val="nil"/>
              <w:right w:val="nil"/>
            </w:tcBorders>
            <w:shd w:val="clear" w:color="000000" w:fill="E6E6E6"/>
            <w:noWrap/>
            <w:vAlign w:val="bottom"/>
            <w:hideMark/>
          </w:tcPr>
          <w:p w14:paraId="734A36B8" w14:textId="7EB92DD6"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653 </w:t>
            </w:r>
          </w:p>
        </w:tc>
        <w:tc>
          <w:tcPr>
            <w:tcW w:w="829" w:type="dxa"/>
            <w:gridSpan w:val="2"/>
            <w:tcBorders>
              <w:top w:val="nil"/>
              <w:left w:val="nil"/>
              <w:bottom w:val="nil"/>
              <w:right w:val="nil"/>
            </w:tcBorders>
            <w:shd w:val="clear" w:color="auto" w:fill="auto"/>
            <w:noWrap/>
            <w:vAlign w:val="bottom"/>
            <w:hideMark/>
          </w:tcPr>
          <w:p w14:paraId="01222164" w14:textId="70BCB9C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657 </w:t>
            </w:r>
          </w:p>
        </w:tc>
        <w:tc>
          <w:tcPr>
            <w:tcW w:w="851" w:type="dxa"/>
            <w:gridSpan w:val="2"/>
            <w:tcBorders>
              <w:top w:val="nil"/>
              <w:left w:val="nil"/>
              <w:bottom w:val="nil"/>
              <w:right w:val="nil"/>
            </w:tcBorders>
            <w:shd w:val="clear" w:color="auto" w:fill="auto"/>
            <w:noWrap/>
            <w:vAlign w:val="bottom"/>
            <w:hideMark/>
          </w:tcPr>
          <w:p w14:paraId="1567A637" w14:textId="546616D6"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658 </w:t>
            </w:r>
          </w:p>
        </w:tc>
        <w:tc>
          <w:tcPr>
            <w:tcW w:w="850" w:type="dxa"/>
            <w:gridSpan w:val="2"/>
            <w:tcBorders>
              <w:top w:val="nil"/>
              <w:left w:val="nil"/>
              <w:bottom w:val="nil"/>
              <w:right w:val="nil"/>
            </w:tcBorders>
            <w:shd w:val="clear" w:color="auto" w:fill="auto"/>
            <w:noWrap/>
            <w:vAlign w:val="bottom"/>
            <w:hideMark/>
          </w:tcPr>
          <w:p w14:paraId="446037E4" w14:textId="331D5AE5"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661 </w:t>
            </w:r>
          </w:p>
        </w:tc>
      </w:tr>
      <w:tr w:rsidR="003243A3" w:rsidRPr="00C26B09" w14:paraId="482CEB9B" w14:textId="77777777" w:rsidTr="007E02F0">
        <w:trPr>
          <w:gridAfter w:val="1"/>
          <w:wAfter w:w="11" w:type="dxa"/>
          <w:trHeight w:val="204"/>
        </w:trPr>
        <w:tc>
          <w:tcPr>
            <w:tcW w:w="3402" w:type="dxa"/>
            <w:tcBorders>
              <w:top w:val="nil"/>
              <w:left w:val="nil"/>
              <w:bottom w:val="nil"/>
              <w:right w:val="nil"/>
            </w:tcBorders>
            <w:shd w:val="clear" w:color="auto" w:fill="auto"/>
            <w:hideMark/>
          </w:tcPr>
          <w:p w14:paraId="357C35F8"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Collections</w:t>
            </w:r>
          </w:p>
        </w:tc>
        <w:tc>
          <w:tcPr>
            <w:tcW w:w="901" w:type="dxa"/>
            <w:tcBorders>
              <w:top w:val="nil"/>
              <w:left w:val="nil"/>
              <w:bottom w:val="nil"/>
              <w:right w:val="nil"/>
            </w:tcBorders>
            <w:shd w:val="clear" w:color="auto" w:fill="auto"/>
            <w:noWrap/>
            <w:vAlign w:val="bottom"/>
            <w:hideMark/>
          </w:tcPr>
          <w:p w14:paraId="792F2A8E" w14:textId="6DC89C52"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21,470 </w:t>
            </w:r>
          </w:p>
        </w:tc>
        <w:tc>
          <w:tcPr>
            <w:tcW w:w="821" w:type="dxa"/>
            <w:tcBorders>
              <w:top w:val="nil"/>
              <w:left w:val="nil"/>
              <w:bottom w:val="nil"/>
              <w:right w:val="nil"/>
            </w:tcBorders>
            <w:shd w:val="clear" w:color="000000" w:fill="E6E6E6"/>
            <w:noWrap/>
            <w:vAlign w:val="bottom"/>
            <w:hideMark/>
          </w:tcPr>
          <w:p w14:paraId="21808405" w14:textId="618015B7"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9,621 </w:t>
            </w:r>
          </w:p>
        </w:tc>
        <w:tc>
          <w:tcPr>
            <w:tcW w:w="829" w:type="dxa"/>
            <w:gridSpan w:val="2"/>
            <w:tcBorders>
              <w:top w:val="nil"/>
              <w:left w:val="nil"/>
              <w:bottom w:val="nil"/>
              <w:right w:val="nil"/>
            </w:tcBorders>
            <w:shd w:val="clear" w:color="auto" w:fill="auto"/>
            <w:noWrap/>
            <w:vAlign w:val="bottom"/>
            <w:hideMark/>
          </w:tcPr>
          <w:p w14:paraId="5A558629" w14:textId="3CCB13F8"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8,576 </w:t>
            </w:r>
          </w:p>
        </w:tc>
        <w:tc>
          <w:tcPr>
            <w:tcW w:w="851" w:type="dxa"/>
            <w:gridSpan w:val="2"/>
            <w:tcBorders>
              <w:top w:val="nil"/>
              <w:left w:val="nil"/>
              <w:bottom w:val="nil"/>
              <w:right w:val="nil"/>
            </w:tcBorders>
            <w:shd w:val="clear" w:color="auto" w:fill="auto"/>
            <w:noWrap/>
            <w:vAlign w:val="bottom"/>
            <w:hideMark/>
          </w:tcPr>
          <w:p w14:paraId="1E08C4A3" w14:textId="3C219D33"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5,644 </w:t>
            </w:r>
          </w:p>
        </w:tc>
        <w:tc>
          <w:tcPr>
            <w:tcW w:w="850" w:type="dxa"/>
            <w:gridSpan w:val="2"/>
            <w:tcBorders>
              <w:top w:val="nil"/>
              <w:left w:val="nil"/>
              <w:bottom w:val="nil"/>
              <w:right w:val="nil"/>
            </w:tcBorders>
            <w:shd w:val="clear" w:color="auto" w:fill="auto"/>
            <w:noWrap/>
            <w:vAlign w:val="bottom"/>
            <w:hideMark/>
          </w:tcPr>
          <w:p w14:paraId="516C70B7" w14:textId="23B6B38B"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5,708 </w:t>
            </w:r>
          </w:p>
        </w:tc>
      </w:tr>
      <w:tr w:rsidR="003243A3" w:rsidRPr="00C26B09" w14:paraId="13701713" w14:textId="77777777" w:rsidTr="007E02F0">
        <w:trPr>
          <w:gridAfter w:val="1"/>
          <w:wAfter w:w="11" w:type="dxa"/>
          <w:trHeight w:val="204"/>
        </w:trPr>
        <w:tc>
          <w:tcPr>
            <w:tcW w:w="3402" w:type="dxa"/>
            <w:tcBorders>
              <w:top w:val="nil"/>
              <w:left w:val="nil"/>
              <w:bottom w:val="nil"/>
              <w:right w:val="nil"/>
            </w:tcBorders>
            <w:shd w:val="clear" w:color="auto" w:fill="auto"/>
            <w:hideMark/>
          </w:tcPr>
          <w:p w14:paraId="7E576BF3"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Depreciation and Amortisation</w:t>
            </w:r>
          </w:p>
        </w:tc>
        <w:tc>
          <w:tcPr>
            <w:tcW w:w="901" w:type="dxa"/>
            <w:tcBorders>
              <w:top w:val="nil"/>
              <w:left w:val="nil"/>
              <w:bottom w:val="nil"/>
              <w:right w:val="nil"/>
            </w:tcBorders>
            <w:shd w:val="clear" w:color="auto" w:fill="auto"/>
            <w:noWrap/>
            <w:vAlign w:val="bottom"/>
            <w:hideMark/>
          </w:tcPr>
          <w:p w14:paraId="7AD556E3" w14:textId="6AFAED01"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2,462 </w:t>
            </w:r>
          </w:p>
        </w:tc>
        <w:tc>
          <w:tcPr>
            <w:tcW w:w="821" w:type="dxa"/>
            <w:tcBorders>
              <w:top w:val="nil"/>
              <w:left w:val="nil"/>
              <w:bottom w:val="nil"/>
              <w:right w:val="nil"/>
            </w:tcBorders>
            <w:shd w:val="clear" w:color="000000" w:fill="E6E6E6"/>
            <w:noWrap/>
            <w:vAlign w:val="bottom"/>
            <w:hideMark/>
          </w:tcPr>
          <w:p w14:paraId="65734E5B" w14:textId="741A7FF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2,389 </w:t>
            </w:r>
          </w:p>
        </w:tc>
        <w:tc>
          <w:tcPr>
            <w:tcW w:w="829" w:type="dxa"/>
            <w:gridSpan w:val="2"/>
            <w:tcBorders>
              <w:top w:val="nil"/>
              <w:left w:val="nil"/>
              <w:bottom w:val="nil"/>
              <w:right w:val="nil"/>
            </w:tcBorders>
            <w:shd w:val="clear" w:color="auto" w:fill="auto"/>
            <w:noWrap/>
            <w:vAlign w:val="bottom"/>
            <w:hideMark/>
          </w:tcPr>
          <w:p w14:paraId="1391D7B2" w14:textId="6D681184"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2,389 </w:t>
            </w:r>
          </w:p>
        </w:tc>
        <w:tc>
          <w:tcPr>
            <w:tcW w:w="851" w:type="dxa"/>
            <w:gridSpan w:val="2"/>
            <w:tcBorders>
              <w:top w:val="nil"/>
              <w:left w:val="nil"/>
              <w:bottom w:val="nil"/>
              <w:right w:val="nil"/>
            </w:tcBorders>
            <w:shd w:val="clear" w:color="auto" w:fill="auto"/>
            <w:noWrap/>
            <w:vAlign w:val="bottom"/>
            <w:hideMark/>
          </w:tcPr>
          <w:p w14:paraId="5D0C8AF3" w14:textId="3C868185"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2,389 </w:t>
            </w:r>
          </w:p>
        </w:tc>
        <w:tc>
          <w:tcPr>
            <w:tcW w:w="850" w:type="dxa"/>
            <w:gridSpan w:val="2"/>
            <w:tcBorders>
              <w:top w:val="nil"/>
              <w:left w:val="nil"/>
              <w:bottom w:val="nil"/>
              <w:right w:val="nil"/>
            </w:tcBorders>
            <w:shd w:val="clear" w:color="auto" w:fill="auto"/>
            <w:noWrap/>
            <w:vAlign w:val="bottom"/>
            <w:hideMark/>
          </w:tcPr>
          <w:p w14:paraId="453B6A76" w14:textId="643EEFD1"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2,389 </w:t>
            </w:r>
          </w:p>
        </w:tc>
      </w:tr>
      <w:tr w:rsidR="003243A3" w:rsidRPr="00C26B09" w14:paraId="3E09748F" w14:textId="77777777" w:rsidTr="007E02F0">
        <w:trPr>
          <w:gridAfter w:val="1"/>
          <w:wAfter w:w="11" w:type="dxa"/>
          <w:trHeight w:val="204"/>
        </w:trPr>
        <w:tc>
          <w:tcPr>
            <w:tcW w:w="3402" w:type="dxa"/>
            <w:tcBorders>
              <w:top w:val="nil"/>
              <w:left w:val="nil"/>
              <w:bottom w:val="nil"/>
              <w:right w:val="nil"/>
            </w:tcBorders>
            <w:shd w:val="clear" w:color="auto" w:fill="auto"/>
            <w:hideMark/>
          </w:tcPr>
          <w:p w14:paraId="4E31DE16"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Endeavour 250</w:t>
            </w:r>
          </w:p>
        </w:tc>
        <w:tc>
          <w:tcPr>
            <w:tcW w:w="901" w:type="dxa"/>
            <w:tcBorders>
              <w:top w:val="nil"/>
              <w:left w:val="nil"/>
              <w:bottom w:val="nil"/>
              <w:right w:val="nil"/>
            </w:tcBorders>
            <w:shd w:val="clear" w:color="auto" w:fill="auto"/>
            <w:noWrap/>
            <w:vAlign w:val="bottom"/>
            <w:hideMark/>
          </w:tcPr>
          <w:p w14:paraId="6A21D5F2" w14:textId="062F4E7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300 </w:t>
            </w:r>
          </w:p>
        </w:tc>
        <w:tc>
          <w:tcPr>
            <w:tcW w:w="821" w:type="dxa"/>
            <w:tcBorders>
              <w:top w:val="nil"/>
              <w:left w:val="nil"/>
              <w:bottom w:val="nil"/>
              <w:right w:val="nil"/>
            </w:tcBorders>
            <w:shd w:val="clear" w:color="000000" w:fill="E6E6E6"/>
            <w:noWrap/>
            <w:vAlign w:val="bottom"/>
            <w:hideMark/>
          </w:tcPr>
          <w:p w14:paraId="2F198A98" w14:textId="02B1B29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29" w:type="dxa"/>
            <w:gridSpan w:val="2"/>
            <w:tcBorders>
              <w:top w:val="nil"/>
              <w:left w:val="nil"/>
              <w:bottom w:val="nil"/>
              <w:right w:val="nil"/>
            </w:tcBorders>
            <w:shd w:val="clear" w:color="auto" w:fill="auto"/>
            <w:noWrap/>
            <w:vAlign w:val="bottom"/>
            <w:hideMark/>
          </w:tcPr>
          <w:p w14:paraId="01E6AF5B" w14:textId="71E8BD60"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51" w:type="dxa"/>
            <w:gridSpan w:val="2"/>
            <w:tcBorders>
              <w:top w:val="nil"/>
              <w:left w:val="nil"/>
              <w:bottom w:val="nil"/>
              <w:right w:val="nil"/>
            </w:tcBorders>
            <w:shd w:val="clear" w:color="auto" w:fill="auto"/>
            <w:noWrap/>
            <w:vAlign w:val="bottom"/>
            <w:hideMark/>
          </w:tcPr>
          <w:p w14:paraId="09E1EA23" w14:textId="4ABAEFDB"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50" w:type="dxa"/>
            <w:gridSpan w:val="2"/>
            <w:tcBorders>
              <w:top w:val="nil"/>
              <w:left w:val="nil"/>
              <w:bottom w:val="nil"/>
              <w:right w:val="nil"/>
            </w:tcBorders>
            <w:shd w:val="clear" w:color="auto" w:fill="auto"/>
            <w:noWrap/>
            <w:vAlign w:val="bottom"/>
            <w:hideMark/>
          </w:tcPr>
          <w:p w14:paraId="3ADFFD69" w14:textId="455E9D6C"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r>
      <w:tr w:rsidR="003243A3" w:rsidRPr="00C26B09" w14:paraId="0FDABA3F" w14:textId="77777777" w:rsidTr="007E02F0">
        <w:trPr>
          <w:gridAfter w:val="1"/>
          <w:wAfter w:w="11" w:type="dxa"/>
          <w:trHeight w:val="204"/>
        </w:trPr>
        <w:tc>
          <w:tcPr>
            <w:tcW w:w="3402" w:type="dxa"/>
            <w:tcBorders>
              <w:top w:val="nil"/>
              <w:left w:val="nil"/>
              <w:bottom w:val="nil"/>
              <w:right w:val="nil"/>
            </w:tcBorders>
            <w:shd w:val="clear" w:color="auto" w:fill="auto"/>
            <w:hideMark/>
          </w:tcPr>
          <w:p w14:paraId="0BC97130"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Film and Television</w:t>
            </w:r>
          </w:p>
        </w:tc>
        <w:tc>
          <w:tcPr>
            <w:tcW w:w="901" w:type="dxa"/>
            <w:tcBorders>
              <w:top w:val="nil"/>
              <w:left w:val="nil"/>
              <w:bottom w:val="nil"/>
              <w:right w:val="nil"/>
            </w:tcBorders>
            <w:shd w:val="clear" w:color="auto" w:fill="auto"/>
            <w:noWrap/>
            <w:vAlign w:val="bottom"/>
            <w:hideMark/>
          </w:tcPr>
          <w:p w14:paraId="4A07ECBE" w14:textId="3632F66A"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127,196 </w:t>
            </w:r>
          </w:p>
        </w:tc>
        <w:tc>
          <w:tcPr>
            <w:tcW w:w="821" w:type="dxa"/>
            <w:tcBorders>
              <w:top w:val="nil"/>
              <w:left w:val="nil"/>
              <w:bottom w:val="nil"/>
              <w:right w:val="nil"/>
            </w:tcBorders>
            <w:shd w:val="clear" w:color="000000" w:fill="E6E6E6"/>
            <w:noWrap/>
            <w:vAlign w:val="bottom"/>
            <w:hideMark/>
          </w:tcPr>
          <w:p w14:paraId="2D12189B" w14:textId="6C6A842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195,018 </w:t>
            </w:r>
          </w:p>
        </w:tc>
        <w:tc>
          <w:tcPr>
            <w:tcW w:w="829" w:type="dxa"/>
            <w:gridSpan w:val="2"/>
            <w:tcBorders>
              <w:top w:val="nil"/>
              <w:left w:val="nil"/>
              <w:bottom w:val="nil"/>
              <w:right w:val="nil"/>
            </w:tcBorders>
            <w:shd w:val="clear" w:color="auto" w:fill="auto"/>
            <w:noWrap/>
            <w:vAlign w:val="bottom"/>
            <w:hideMark/>
          </w:tcPr>
          <w:p w14:paraId="2A46B525" w14:textId="07A42551"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150,050 </w:t>
            </w:r>
          </w:p>
        </w:tc>
        <w:tc>
          <w:tcPr>
            <w:tcW w:w="851" w:type="dxa"/>
            <w:gridSpan w:val="2"/>
            <w:tcBorders>
              <w:top w:val="nil"/>
              <w:left w:val="nil"/>
              <w:bottom w:val="nil"/>
              <w:right w:val="nil"/>
            </w:tcBorders>
            <w:shd w:val="clear" w:color="auto" w:fill="auto"/>
            <w:noWrap/>
            <w:vAlign w:val="bottom"/>
            <w:hideMark/>
          </w:tcPr>
          <w:p w14:paraId="75A0272D" w14:textId="6BACEBCA"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153,460 </w:t>
            </w:r>
          </w:p>
        </w:tc>
        <w:tc>
          <w:tcPr>
            <w:tcW w:w="850" w:type="dxa"/>
            <w:gridSpan w:val="2"/>
            <w:tcBorders>
              <w:top w:val="nil"/>
              <w:left w:val="nil"/>
              <w:bottom w:val="nil"/>
              <w:right w:val="nil"/>
            </w:tcBorders>
            <w:shd w:val="clear" w:color="auto" w:fill="auto"/>
            <w:noWrap/>
            <w:vAlign w:val="bottom"/>
            <w:hideMark/>
          </w:tcPr>
          <w:p w14:paraId="1C0BE847" w14:textId="6B327024"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153,523 </w:t>
            </w:r>
          </w:p>
        </w:tc>
      </w:tr>
      <w:tr w:rsidR="003243A3" w:rsidRPr="00C26B09" w14:paraId="5B90B562" w14:textId="77777777" w:rsidTr="007E02F0">
        <w:trPr>
          <w:gridAfter w:val="1"/>
          <w:wAfter w:w="11" w:type="dxa"/>
          <w:trHeight w:val="204"/>
        </w:trPr>
        <w:tc>
          <w:tcPr>
            <w:tcW w:w="3402" w:type="dxa"/>
            <w:tcBorders>
              <w:top w:val="nil"/>
              <w:left w:val="nil"/>
              <w:bottom w:val="nil"/>
              <w:right w:val="nil"/>
            </w:tcBorders>
            <w:shd w:val="clear" w:color="auto" w:fill="auto"/>
            <w:hideMark/>
          </w:tcPr>
          <w:p w14:paraId="5527BD2E"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Indigenous Arts, Languages and Repatriation</w:t>
            </w:r>
          </w:p>
        </w:tc>
        <w:tc>
          <w:tcPr>
            <w:tcW w:w="901" w:type="dxa"/>
            <w:tcBorders>
              <w:top w:val="nil"/>
              <w:left w:val="nil"/>
              <w:bottom w:val="nil"/>
              <w:right w:val="nil"/>
            </w:tcBorders>
            <w:shd w:val="clear" w:color="auto" w:fill="auto"/>
            <w:noWrap/>
            <w:vAlign w:val="bottom"/>
            <w:hideMark/>
          </w:tcPr>
          <w:p w14:paraId="709173B0" w14:textId="22256775"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43,354 </w:t>
            </w:r>
          </w:p>
        </w:tc>
        <w:tc>
          <w:tcPr>
            <w:tcW w:w="821" w:type="dxa"/>
            <w:tcBorders>
              <w:top w:val="nil"/>
              <w:left w:val="nil"/>
              <w:bottom w:val="nil"/>
              <w:right w:val="nil"/>
            </w:tcBorders>
            <w:shd w:val="clear" w:color="000000" w:fill="E6E6E6"/>
            <w:noWrap/>
            <w:vAlign w:val="bottom"/>
            <w:hideMark/>
          </w:tcPr>
          <w:p w14:paraId="171008F2" w14:textId="37A6595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53,382 </w:t>
            </w:r>
          </w:p>
        </w:tc>
        <w:tc>
          <w:tcPr>
            <w:tcW w:w="829" w:type="dxa"/>
            <w:gridSpan w:val="2"/>
            <w:tcBorders>
              <w:top w:val="nil"/>
              <w:left w:val="nil"/>
              <w:bottom w:val="nil"/>
              <w:right w:val="nil"/>
            </w:tcBorders>
            <w:shd w:val="clear" w:color="auto" w:fill="auto"/>
            <w:noWrap/>
            <w:vAlign w:val="bottom"/>
            <w:hideMark/>
          </w:tcPr>
          <w:p w14:paraId="5D33F5DE" w14:textId="56880BFA"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55,058 </w:t>
            </w:r>
          </w:p>
        </w:tc>
        <w:tc>
          <w:tcPr>
            <w:tcW w:w="851" w:type="dxa"/>
            <w:gridSpan w:val="2"/>
            <w:tcBorders>
              <w:top w:val="nil"/>
              <w:left w:val="nil"/>
              <w:bottom w:val="nil"/>
              <w:right w:val="nil"/>
            </w:tcBorders>
            <w:shd w:val="clear" w:color="auto" w:fill="auto"/>
            <w:noWrap/>
            <w:vAlign w:val="bottom"/>
            <w:hideMark/>
          </w:tcPr>
          <w:p w14:paraId="2D6C2A34" w14:textId="0B1FEDDA"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56,779 </w:t>
            </w:r>
          </w:p>
        </w:tc>
        <w:tc>
          <w:tcPr>
            <w:tcW w:w="850" w:type="dxa"/>
            <w:gridSpan w:val="2"/>
            <w:tcBorders>
              <w:top w:val="nil"/>
              <w:left w:val="nil"/>
              <w:bottom w:val="nil"/>
              <w:right w:val="nil"/>
            </w:tcBorders>
            <w:shd w:val="clear" w:color="auto" w:fill="auto"/>
            <w:noWrap/>
            <w:vAlign w:val="bottom"/>
            <w:hideMark/>
          </w:tcPr>
          <w:p w14:paraId="299BDD97" w14:textId="5A8291EB"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55,716 </w:t>
            </w:r>
          </w:p>
        </w:tc>
      </w:tr>
      <w:tr w:rsidR="003243A3" w:rsidRPr="00C26B09" w14:paraId="638224B1" w14:textId="77777777" w:rsidTr="007E02F0">
        <w:trPr>
          <w:gridAfter w:val="1"/>
          <w:wAfter w:w="11" w:type="dxa"/>
          <w:trHeight w:val="204"/>
        </w:trPr>
        <w:tc>
          <w:tcPr>
            <w:tcW w:w="3402" w:type="dxa"/>
            <w:tcBorders>
              <w:top w:val="nil"/>
              <w:left w:val="nil"/>
              <w:bottom w:val="nil"/>
              <w:right w:val="nil"/>
            </w:tcBorders>
            <w:shd w:val="clear" w:color="auto" w:fill="auto"/>
            <w:hideMark/>
          </w:tcPr>
          <w:p w14:paraId="598B4E09"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Lending Rights</w:t>
            </w:r>
          </w:p>
        </w:tc>
        <w:tc>
          <w:tcPr>
            <w:tcW w:w="901" w:type="dxa"/>
            <w:tcBorders>
              <w:top w:val="nil"/>
              <w:left w:val="nil"/>
              <w:bottom w:val="nil"/>
              <w:right w:val="nil"/>
            </w:tcBorders>
            <w:shd w:val="clear" w:color="auto" w:fill="auto"/>
            <w:noWrap/>
            <w:vAlign w:val="bottom"/>
            <w:hideMark/>
          </w:tcPr>
          <w:p w14:paraId="503D9C84" w14:textId="44D27612"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22,828 </w:t>
            </w:r>
          </w:p>
        </w:tc>
        <w:tc>
          <w:tcPr>
            <w:tcW w:w="821" w:type="dxa"/>
            <w:tcBorders>
              <w:top w:val="nil"/>
              <w:left w:val="nil"/>
              <w:bottom w:val="nil"/>
              <w:right w:val="nil"/>
            </w:tcBorders>
            <w:shd w:val="clear" w:color="000000" w:fill="E6E6E6"/>
            <w:noWrap/>
            <w:vAlign w:val="bottom"/>
            <w:hideMark/>
          </w:tcPr>
          <w:p w14:paraId="66AA4759" w14:textId="33223A32"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23,106 </w:t>
            </w:r>
          </w:p>
        </w:tc>
        <w:tc>
          <w:tcPr>
            <w:tcW w:w="829" w:type="dxa"/>
            <w:gridSpan w:val="2"/>
            <w:tcBorders>
              <w:top w:val="nil"/>
              <w:left w:val="nil"/>
              <w:bottom w:val="nil"/>
              <w:right w:val="nil"/>
            </w:tcBorders>
            <w:shd w:val="clear" w:color="auto" w:fill="auto"/>
            <w:noWrap/>
            <w:vAlign w:val="bottom"/>
            <w:hideMark/>
          </w:tcPr>
          <w:p w14:paraId="2D80018B" w14:textId="25A8ABC1"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23,475 </w:t>
            </w:r>
          </w:p>
        </w:tc>
        <w:tc>
          <w:tcPr>
            <w:tcW w:w="851" w:type="dxa"/>
            <w:gridSpan w:val="2"/>
            <w:tcBorders>
              <w:top w:val="nil"/>
              <w:left w:val="nil"/>
              <w:bottom w:val="nil"/>
              <w:right w:val="nil"/>
            </w:tcBorders>
            <w:shd w:val="clear" w:color="auto" w:fill="auto"/>
            <w:noWrap/>
            <w:vAlign w:val="bottom"/>
            <w:hideMark/>
          </w:tcPr>
          <w:p w14:paraId="22C7EDAA" w14:textId="579729D7"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23,918 </w:t>
            </w:r>
          </w:p>
        </w:tc>
        <w:tc>
          <w:tcPr>
            <w:tcW w:w="850" w:type="dxa"/>
            <w:gridSpan w:val="2"/>
            <w:tcBorders>
              <w:top w:val="nil"/>
              <w:left w:val="nil"/>
              <w:bottom w:val="nil"/>
              <w:right w:val="nil"/>
            </w:tcBorders>
            <w:shd w:val="clear" w:color="auto" w:fill="auto"/>
            <w:noWrap/>
            <w:vAlign w:val="bottom"/>
            <w:hideMark/>
          </w:tcPr>
          <w:p w14:paraId="6AF56720" w14:textId="223E05C0"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24,397 </w:t>
            </w:r>
          </w:p>
        </w:tc>
      </w:tr>
      <w:tr w:rsidR="003243A3" w:rsidRPr="00C26B09" w14:paraId="735A3557" w14:textId="77777777" w:rsidTr="007E02F0">
        <w:trPr>
          <w:gridAfter w:val="1"/>
          <w:wAfter w:w="11" w:type="dxa"/>
          <w:trHeight w:val="204"/>
        </w:trPr>
        <w:tc>
          <w:tcPr>
            <w:tcW w:w="3402" w:type="dxa"/>
            <w:tcBorders>
              <w:top w:val="nil"/>
              <w:left w:val="nil"/>
              <w:bottom w:val="nil"/>
              <w:right w:val="nil"/>
            </w:tcBorders>
            <w:shd w:val="clear" w:color="auto" w:fill="auto"/>
            <w:hideMark/>
          </w:tcPr>
          <w:p w14:paraId="12C69410"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Private Sector Support</w:t>
            </w:r>
          </w:p>
        </w:tc>
        <w:tc>
          <w:tcPr>
            <w:tcW w:w="901" w:type="dxa"/>
            <w:tcBorders>
              <w:top w:val="nil"/>
              <w:left w:val="nil"/>
              <w:bottom w:val="nil"/>
              <w:right w:val="nil"/>
            </w:tcBorders>
            <w:shd w:val="clear" w:color="auto" w:fill="auto"/>
            <w:noWrap/>
            <w:vAlign w:val="bottom"/>
            <w:hideMark/>
          </w:tcPr>
          <w:p w14:paraId="672AE3A8" w14:textId="0B56A407"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4,695 </w:t>
            </w:r>
          </w:p>
        </w:tc>
        <w:tc>
          <w:tcPr>
            <w:tcW w:w="821" w:type="dxa"/>
            <w:tcBorders>
              <w:top w:val="nil"/>
              <w:left w:val="nil"/>
              <w:bottom w:val="nil"/>
              <w:right w:val="nil"/>
            </w:tcBorders>
            <w:shd w:val="clear" w:color="000000" w:fill="E6E6E6"/>
            <w:noWrap/>
            <w:vAlign w:val="bottom"/>
            <w:hideMark/>
          </w:tcPr>
          <w:p w14:paraId="736C868F" w14:textId="3290420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4,728 </w:t>
            </w:r>
          </w:p>
        </w:tc>
        <w:tc>
          <w:tcPr>
            <w:tcW w:w="829" w:type="dxa"/>
            <w:gridSpan w:val="2"/>
            <w:tcBorders>
              <w:top w:val="nil"/>
              <w:left w:val="nil"/>
              <w:bottom w:val="nil"/>
              <w:right w:val="nil"/>
            </w:tcBorders>
            <w:shd w:val="clear" w:color="auto" w:fill="auto"/>
            <w:noWrap/>
            <w:vAlign w:val="bottom"/>
            <w:hideMark/>
          </w:tcPr>
          <w:p w14:paraId="257316AF" w14:textId="79626407"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4,677 </w:t>
            </w:r>
          </w:p>
        </w:tc>
        <w:tc>
          <w:tcPr>
            <w:tcW w:w="851" w:type="dxa"/>
            <w:gridSpan w:val="2"/>
            <w:tcBorders>
              <w:top w:val="nil"/>
              <w:left w:val="nil"/>
              <w:bottom w:val="nil"/>
              <w:right w:val="nil"/>
            </w:tcBorders>
            <w:shd w:val="clear" w:color="auto" w:fill="auto"/>
            <w:noWrap/>
            <w:vAlign w:val="bottom"/>
            <w:hideMark/>
          </w:tcPr>
          <w:p w14:paraId="4B39FF6E" w14:textId="10770FD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4,767 </w:t>
            </w:r>
          </w:p>
        </w:tc>
        <w:tc>
          <w:tcPr>
            <w:tcW w:w="850" w:type="dxa"/>
            <w:gridSpan w:val="2"/>
            <w:tcBorders>
              <w:top w:val="nil"/>
              <w:left w:val="nil"/>
              <w:bottom w:val="nil"/>
              <w:right w:val="nil"/>
            </w:tcBorders>
            <w:shd w:val="clear" w:color="auto" w:fill="auto"/>
            <w:noWrap/>
            <w:vAlign w:val="bottom"/>
            <w:hideMark/>
          </w:tcPr>
          <w:p w14:paraId="0B090039" w14:textId="4B4BEB0E"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4,853 </w:t>
            </w:r>
          </w:p>
        </w:tc>
      </w:tr>
      <w:tr w:rsidR="003243A3" w:rsidRPr="00C26B09" w14:paraId="5F752E94" w14:textId="77777777" w:rsidTr="007E02F0">
        <w:trPr>
          <w:gridAfter w:val="1"/>
          <w:wAfter w:w="11" w:type="dxa"/>
          <w:trHeight w:val="204"/>
        </w:trPr>
        <w:tc>
          <w:tcPr>
            <w:tcW w:w="3402" w:type="dxa"/>
            <w:tcBorders>
              <w:top w:val="nil"/>
              <w:left w:val="nil"/>
              <w:bottom w:val="nil"/>
              <w:right w:val="nil"/>
            </w:tcBorders>
            <w:shd w:val="clear" w:color="auto" w:fill="auto"/>
            <w:hideMark/>
          </w:tcPr>
          <w:p w14:paraId="66BD3201"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Regional Arts</w:t>
            </w:r>
          </w:p>
        </w:tc>
        <w:tc>
          <w:tcPr>
            <w:tcW w:w="901" w:type="dxa"/>
            <w:tcBorders>
              <w:top w:val="nil"/>
              <w:left w:val="nil"/>
              <w:bottom w:val="nil"/>
              <w:right w:val="nil"/>
            </w:tcBorders>
            <w:shd w:val="clear" w:color="auto" w:fill="auto"/>
            <w:noWrap/>
            <w:vAlign w:val="bottom"/>
            <w:hideMark/>
          </w:tcPr>
          <w:p w14:paraId="033443AF" w14:textId="29FD87BE"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6,521 </w:t>
            </w:r>
          </w:p>
        </w:tc>
        <w:tc>
          <w:tcPr>
            <w:tcW w:w="821" w:type="dxa"/>
            <w:tcBorders>
              <w:top w:val="nil"/>
              <w:left w:val="nil"/>
              <w:bottom w:val="nil"/>
              <w:right w:val="nil"/>
            </w:tcBorders>
            <w:shd w:val="clear" w:color="000000" w:fill="E6E6E6"/>
            <w:noWrap/>
            <w:vAlign w:val="bottom"/>
            <w:hideMark/>
          </w:tcPr>
          <w:p w14:paraId="07153298" w14:textId="766D779B"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18,066 </w:t>
            </w:r>
          </w:p>
        </w:tc>
        <w:tc>
          <w:tcPr>
            <w:tcW w:w="829" w:type="dxa"/>
            <w:gridSpan w:val="2"/>
            <w:tcBorders>
              <w:top w:val="nil"/>
              <w:left w:val="nil"/>
              <w:bottom w:val="nil"/>
              <w:right w:val="nil"/>
            </w:tcBorders>
            <w:shd w:val="clear" w:color="auto" w:fill="auto"/>
            <w:noWrap/>
            <w:vAlign w:val="bottom"/>
            <w:hideMark/>
          </w:tcPr>
          <w:p w14:paraId="5342B687" w14:textId="6A8858CE"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7,485 </w:t>
            </w:r>
          </w:p>
        </w:tc>
        <w:tc>
          <w:tcPr>
            <w:tcW w:w="851" w:type="dxa"/>
            <w:gridSpan w:val="2"/>
            <w:tcBorders>
              <w:top w:val="nil"/>
              <w:left w:val="nil"/>
              <w:bottom w:val="nil"/>
              <w:right w:val="nil"/>
            </w:tcBorders>
            <w:shd w:val="clear" w:color="auto" w:fill="auto"/>
            <w:noWrap/>
            <w:vAlign w:val="bottom"/>
            <w:hideMark/>
          </w:tcPr>
          <w:p w14:paraId="41614A8D" w14:textId="7006EFDE"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7,628 </w:t>
            </w:r>
          </w:p>
        </w:tc>
        <w:tc>
          <w:tcPr>
            <w:tcW w:w="850" w:type="dxa"/>
            <w:gridSpan w:val="2"/>
            <w:tcBorders>
              <w:top w:val="nil"/>
              <w:left w:val="nil"/>
              <w:bottom w:val="nil"/>
              <w:right w:val="nil"/>
            </w:tcBorders>
            <w:shd w:val="clear" w:color="auto" w:fill="auto"/>
            <w:noWrap/>
            <w:vAlign w:val="bottom"/>
            <w:hideMark/>
          </w:tcPr>
          <w:p w14:paraId="4C75D4E5" w14:textId="3B44172F"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7,781 </w:t>
            </w:r>
          </w:p>
        </w:tc>
      </w:tr>
      <w:tr w:rsidR="003243A3" w:rsidRPr="00C26B09" w14:paraId="684B13ED" w14:textId="77777777" w:rsidTr="007E02F0">
        <w:trPr>
          <w:gridAfter w:val="1"/>
          <w:wAfter w:w="11" w:type="dxa"/>
          <w:trHeight w:val="204"/>
        </w:trPr>
        <w:tc>
          <w:tcPr>
            <w:tcW w:w="3402" w:type="dxa"/>
            <w:tcBorders>
              <w:top w:val="nil"/>
              <w:left w:val="nil"/>
              <w:bottom w:val="nil"/>
              <w:right w:val="nil"/>
            </w:tcBorders>
            <w:shd w:val="clear" w:color="auto" w:fill="auto"/>
            <w:hideMark/>
          </w:tcPr>
          <w:p w14:paraId="2D88D85B"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Special Appropriation</w:t>
            </w:r>
          </w:p>
        </w:tc>
        <w:tc>
          <w:tcPr>
            <w:tcW w:w="901" w:type="dxa"/>
            <w:tcBorders>
              <w:top w:val="nil"/>
              <w:left w:val="nil"/>
              <w:bottom w:val="nil"/>
              <w:right w:val="nil"/>
            </w:tcBorders>
            <w:shd w:val="clear" w:color="auto" w:fill="auto"/>
            <w:noWrap/>
            <w:vAlign w:val="bottom"/>
            <w:hideMark/>
          </w:tcPr>
          <w:p w14:paraId="75E0E6CF" w14:textId="77777777" w:rsidR="003243A3" w:rsidRPr="003243A3" w:rsidRDefault="003243A3" w:rsidP="003243A3">
            <w:pPr>
              <w:spacing w:after="0" w:line="240" w:lineRule="auto"/>
              <w:ind w:firstLineChars="100" w:firstLine="160"/>
              <w:jc w:val="right"/>
              <w:rPr>
                <w:rFonts w:ascii="Arial" w:hAnsi="Arial" w:cs="Arial"/>
                <w:sz w:val="16"/>
                <w:szCs w:val="16"/>
              </w:rPr>
            </w:pPr>
          </w:p>
        </w:tc>
        <w:tc>
          <w:tcPr>
            <w:tcW w:w="821" w:type="dxa"/>
            <w:tcBorders>
              <w:top w:val="nil"/>
              <w:left w:val="nil"/>
              <w:bottom w:val="nil"/>
              <w:right w:val="nil"/>
            </w:tcBorders>
            <w:shd w:val="clear" w:color="000000" w:fill="E6E6E6"/>
            <w:noWrap/>
            <w:vAlign w:val="bottom"/>
            <w:hideMark/>
          </w:tcPr>
          <w:p w14:paraId="5003858A" w14:textId="3E3A4921"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w:t>
            </w:r>
          </w:p>
        </w:tc>
        <w:tc>
          <w:tcPr>
            <w:tcW w:w="829" w:type="dxa"/>
            <w:gridSpan w:val="2"/>
            <w:tcBorders>
              <w:top w:val="nil"/>
              <w:left w:val="nil"/>
              <w:bottom w:val="nil"/>
              <w:right w:val="nil"/>
            </w:tcBorders>
            <w:shd w:val="clear" w:color="auto" w:fill="auto"/>
            <w:noWrap/>
            <w:vAlign w:val="bottom"/>
            <w:hideMark/>
          </w:tcPr>
          <w:p w14:paraId="3226E02B" w14:textId="77777777" w:rsidR="003243A3" w:rsidRPr="003243A3" w:rsidRDefault="003243A3" w:rsidP="003243A3">
            <w:pPr>
              <w:spacing w:after="0" w:line="240" w:lineRule="auto"/>
              <w:jc w:val="right"/>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14:paraId="18728DB7" w14:textId="77777777" w:rsidR="003243A3" w:rsidRPr="003243A3" w:rsidRDefault="003243A3" w:rsidP="003243A3">
            <w:pPr>
              <w:spacing w:after="0" w:line="240" w:lineRule="auto"/>
              <w:jc w:val="right"/>
              <w:rPr>
                <w:rFonts w:ascii="Times New Roman" w:hAnsi="Times New Roman"/>
                <w:sz w:val="16"/>
                <w:szCs w:val="16"/>
              </w:rPr>
            </w:pPr>
          </w:p>
        </w:tc>
        <w:tc>
          <w:tcPr>
            <w:tcW w:w="850" w:type="dxa"/>
            <w:gridSpan w:val="2"/>
            <w:tcBorders>
              <w:top w:val="nil"/>
              <w:left w:val="nil"/>
              <w:bottom w:val="nil"/>
              <w:right w:val="nil"/>
            </w:tcBorders>
            <w:shd w:val="clear" w:color="auto" w:fill="auto"/>
            <w:noWrap/>
            <w:vAlign w:val="bottom"/>
            <w:hideMark/>
          </w:tcPr>
          <w:p w14:paraId="7DB372E1" w14:textId="77777777" w:rsidR="003243A3" w:rsidRPr="003243A3" w:rsidRDefault="003243A3" w:rsidP="003243A3">
            <w:pPr>
              <w:spacing w:after="0" w:line="240" w:lineRule="auto"/>
              <w:jc w:val="right"/>
              <w:rPr>
                <w:rFonts w:ascii="Times New Roman" w:hAnsi="Times New Roman"/>
                <w:sz w:val="16"/>
                <w:szCs w:val="16"/>
              </w:rPr>
            </w:pPr>
          </w:p>
        </w:tc>
      </w:tr>
      <w:tr w:rsidR="003243A3" w:rsidRPr="00C26B09" w14:paraId="54A2E480" w14:textId="77777777" w:rsidTr="007E02F0">
        <w:trPr>
          <w:gridAfter w:val="1"/>
          <w:wAfter w:w="11" w:type="dxa"/>
          <w:trHeight w:val="204"/>
        </w:trPr>
        <w:tc>
          <w:tcPr>
            <w:tcW w:w="3402" w:type="dxa"/>
            <w:tcBorders>
              <w:top w:val="nil"/>
              <w:left w:val="nil"/>
              <w:bottom w:val="nil"/>
              <w:right w:val="nil"/>
            </w:tcBorders>
            <w:shd w:val="clear" w:color="auto" w:fill="auto"/>
            <w:hideMark/>
          </w:tcPr>
          <w:p w14:paraId="23486469" w14:textId="77777777" w:rsidR="003243A3" w:rsidRPr="00C26B09" w:rsidRDefault="003243A3" w:rsidP="003243A3">
            <w:pPr>
              <w:spacing w:after="0" w:line="240" w:lineRule="auto"/>
              <w:ind w:left="227"/>
              <w:jc w:val="left"/>
              <w:rPr>
                <w:rFonts w:ascii="Arial" w:hAnsi="Arial" w:cs="Arial"/>
                <w:sz w:val="16"/>
                <w:szCs w:val="16"/>
              </w:rPr>
            </w:pPr>
            <w:r w:rsidRPr="00C26B09">
              <w:rPr>
                <w:rFonts w:ascii="Arial" w:hAnsi="Arial" w:cs="Arial"/>
                <w:sz w:val="16"/>
                <w:szCs w:val="16"/>
              </w:rPr>
              <w:t xml:space="preserve">Arts and Cultural Development </w:t>
            </w:r>
            <w:r w:rsidRPr="00C26B09">
              <w:rPr>
                <w:rFonts w:ascii="Arial" w:hAnsi="Arial" w:cs="Arial"/>
                <w:sz w:val="16"/>
                <w:szCs w:val="16"/>
                <w:vertAlign w:val="superscript"/>
              </w:rPr>
              <w:t>(a)</w:t>
            </w:r>
            <w:r w:rsidRPr="00C26B09">
              <w:rPr>
                <w:rFonts w:ascii="Arial" w:hAnsi="Arial" w:cs="Arial"/>
                <w:sz w:val="16"/>
                <w:szCs w:val="16"/>
              </w:rPr>
              <w:t xml:space="preserve"> </w:t>
            </w:r>
          </w:p>
        </w:tc>
        <w:tc>
          <w:tcPr>
            <w:tcW w:w="901" w:type="dxa"/>
            <w:tcBorders>
              <w:top w:val="nil"/>
              <w:left w:val="nil"/>
              <w:bottom w:val="nil"/>
              <w:right w:val="nil"/>
            </w:tcBorders>
            <w:shd w:val="clear" w:color="auto" w:fill="auto"/>
            <w:noWrap/>
            <w:vAlign w:val="bottom"/>
            <w:hideMark/>
          </w:tcPr>
          <w:p w14:paraId="2B40C68B" w14:textId="702B5E26"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11,400 </w:t>
            </w:r>
          </w:p>
        </w:tc>
        <w:tc>
          <w:tcPr>
            <w:tcW w:w="821" w:type="dxa"/>
            <w:tcBorders>
              <w:top w:val="nil"/>
              <w:left w:val="nil"/>
              <w:bottom w:val="nil"/>
              <w:right w:val="nil"/>
            </w:tcBorders>
            <w:shd w:val="clear" w:color="000000" w:fill="E6E6E6"/>
            <w:noWrap/>
            <w:vAlign w:val="bottom"/>
            <w:hideMark/>
          </w:tcPr>
          <w:p w14:paraId="6F0D9763" w14:textId="6F211D32"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29" w:type="dxa"/>
            <w:gridSpan w:val="2"/>
            <w:tcBorders>
              <w:top w:val="nil"/>
              <w:left w:val="nil"/>
              <w:bottom w:val="nil"/>
              <w:right w:val="nil"/>
            </w:tcBorders>
            <w:shd w:val="clear" w:color="auto" w:fill="auto"/>
            <w:noWrap/>
            <w:vAlign w:val="bottom"/>
            <w:hideMark/>
          </w:tcPr>
          <w:p w14:paraId="7775A972" w14:textId="51422323"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51" w:type="dxa"/>
            <w:gridSpan w:val="2"/>
            <w:tcBorders>
              <w:top w:val="nil"/>
              <w:left w:val="nil"/>
              <w:bottom w:val="nil"/>
              <w:right w:val="nil"/>
            </w:tcBorders>
            <w:shd w:val="clear" w:color="auto" w:fill="auto"/>
            <w:noWrap/>
            <w:vAlign w:val="bottom"/>
            <w:hideMark/>
          </w:tcPr>
          <w:p w14:paraId="77F27D9C" w14:textId="5CC47ADF"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50" w:type="dxa"/>
            <w:gridSpan w:val="2"/>
            <w:tcBorders>
              <w:top w:val="nil"/>
              <w:left w:val="nil"/>
              <w:bottom w:val="nil"/>
              <w:right w:val="nil"/>
            </w:tcBorders>
            <w:shd w:val="clear" w:color="auto" w:fill="auto"/>
            <w:noWrap/>
            <w:vAlign w:val="bottom"/>
            <w:hideMark/>
          </w:tcPr>
          <w:p w14:paraId="2CC9CBF9" w14:textId="4427B255"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r>
      <w:tr w:rsidR="003243A3" w:rsidRPr="00C26B09" w14:paraId="1F608990" w14:textId="77777777" w:rsidTr="007E02F0">
        <w:trPr>
          <w:gridAfter w:val="1"/>
          <w:wAfter w:w="11" w:type="dxa"/>
          <w:trHeight w:val="204"/>
        </w:trPr>
        <w:tc>
          <w:tcPr>
            <w:tcW w:w="3402" w:type="dxa"/>
            <w:tcBorders>
              <w:top w:val="nil"/>
              <w:left w:val="nil"/>
              <w:bottom w:val="nil"/>
              <w:right w:val="nil"/>
            </w:tcBorders>
            <w:shd w:val="clear" w:color="auto" w:fill="auto"/>
            <w:hideMark/>
          </w:tcPr>
          <w:p w14:paraId="0824E290" w14:textId="137D1CC0" w:rsidR="003243A3" w:rsidRPr="00C26B09" w:rsidRDefault="003243A3" w:rsidP="003243A3">
            <w:pPr>
              <w:spacing w:after="0" w:line="240" w:lineRule="auto"/>
              <w:ind w:left="227"/>
              <w:jc w:val="left"/>
              <w:rPr>
                <w:rFonts w:ascii="Arial" w:hAnsi="Arial" w:cs="Arial"/>
                <w:sz w:val="16"/>
                <w:szCs w:val="16"/>
              </w:rPr>
            </w:pPr>
            <w:r w:rsidRPr="00C26B09">
              <w:rPr>
                <w:rFonts w:ascii="Arial" w:hAnsi="Arial" w:cs="Arial"/>
                <w:sz w:val="16"/>
                <w:szCs w:val="16"/>
              </w:rPr>
              <w:t xml:space="preserve">Indigenous Arts, Languages and Repatriation </w:t>
            </w:r>
            <w:r>
              <w:rPr>
                <w:rFonts w:ascii="Arial" w:hAnsi="Arial" w:cs="Arial"/>
                <w:sz w:val="16"/>
                <w:szCs w:val="16"/>
              </w:rPr>
              <w:t> </w:t>
            </w:r>
            <w:r w:rsidRPr="00C26B09">
              <w:rPr>
                <w:rFonts w:ascii="Arial" w:hAnsi="Arial" w:cs="Arial"/>
                <w:sz w:val="16"/>
                <w:szCs w:val="16"/>
                <w:vertAlign w:val="superscript"/>
              </w:rPr>
              <w:t>(a)</w:t>
            </w:r>
            <w:r w:rsidRPr="00C26B09">
              <w:rPr>
                <w:rFonts w:ascii="Arial" w:hAnsi="Arial" w:cs="Arial"/>
                <w:sz w:val="16"/>
                <w:szCs w:val="16"/>
              </w:rPr>
              <w:t xml:space="preserve"> </w:t>
            </w:r>
          </w:p>
        </w:tc>
        <w:tc>
          <w:tcPr>
            <w:tcW w:w="901" w:type="dxa"/>
            <w:tcBorders>
              <w:top w:val="nil"/>
              <w:left w:val="nil"/>
              <w:bottom w:val="nil"/>
              <w:right w:val="nil"/>
            </w:tcBorders>
            <w:shd w:val="clear" w:color="auto" w:fill="auto"/>
            <w:noWrap/>
            <w:vAlign w:val="bottom"/>
            <w:hideMark/>
          </w:tcPr>
          <w:p w14:paraId="0A145C8C" w14:textId="5EB72B3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8,500 </w:t>
            </w:r>
          </w:p>
        </w:tc>
        <w:tc>
          <w:tcPr>
            <w:tcW w:w="821" w:type="dxa"/>
            <w:tcBorders>
              <w:top w:val="nil"/>
              <w:left w:val="nil"/>
              <w:bottom w:val="nil"/>
              <w:right w:val="nil"/>
            </w:tcBorders>
            <w:shd w:val="clear" w:color="000000" w:fill="E6E6E6"/>
            <w:noWrap/>
            <w:vAlign w:val="bottom"/>
            <w:hideMark/>
          </w:tcPr>
          <w:p w14:paraId="4A2F1D1B" w14:textId="669AF4A6"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29" w:type="dxa"/>
            <w:gridSpan w:val="2"/>
            <w:tcBorders>
              <w:top w:val="nil"/>
              <w:left w:val="nil"/>
              <w:bottom w:val="nil"/>
              <w:right w:val="nil"/>
            </w:tcBorders>
            <w:shd w:val="clear" w:color="auto" w:fill="auto"/>
            <w:noWrap/>
            <w:vAlign w:val="bottom"/>
            <w:hideMark/>
          </w:tcPr>
          <w:p w14:paraId="0C7C8222" w14:textId="15866837"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51" w:type="dxa"/>
            <w:gridSpan w:val="2"/>
            <w:tcBorders>
              <w:top w:val="nil"/>
              <w:left w:val="nil"/>
              <w:bottom w:val="nil"/>
              <w:right w:val="nil"/>
            </w:tcBorders>
            <w:shd w:val="clear" w:color="auto" w:fill="auto"/>
            <w:noWrap/>
            <w:vAlign w:val="bottom"/>
            <w:hideMark/>
          </w:tcPr>
          <w:p w14:paraId="1F99065B" w14:textId="4A84247F"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50" w:type="dxa"/>
            <w:gridSpan w:val="2"/>
            <w:tcBorders>
              <w:top w:val="nil"/>
              <w:left w:val="nil"/>
              <w:bottom w:val="nil"/>
              <w:right w:val="nil"/>
            </w:tcBorders>
            <w:shd w:val="clear" w:color="auto" w:fill="auto"/>
            <w:noWrap/>
            <w:vAlign w:val="bottom"/>
            <w:hideMark/>
          </w:tcPr>
          <w:p w14:paraId="4C9586C8" w14:textId="209AA5C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r>
      <w:tr w:rsidR="003243A3" w:rsidRPr="00C26B09" w14:paraId="456D8464" w14:textId="77777777" w:rsidTr="007E02F0">
        <w:trPr>
          <w:gridAfter w:val="1"/>
          <w:wAfter w:w="11" w:type="dxa"/>
          <w:trHeight w:val="204"/>
        </w:trPr>
        <w:tc>
          <w:tcPr>
            <w:tcW w:w="3402" w:type="dxa"/>
            <w:tcBorders>
              <w:top w:val="nil"/>
              <w:left w:val="nil"/>
              <w:bottom w:val="nil"/>
              <w:right w:val="nil"/>
            </w:tcBorders>
            <w:shd w:val="clear" w:color="auto" w:fill="auto"/>
            <w:hideMark/>
          </w:tcPr>
          <w:p w14:paraId="558A2A29" w14:textId="77777777" w:rsidR="003243A3" w:rsidRPr="00C26B09" w:rsidRDefault="003243A3" w:rsidP="003243A3">
            <w:pPr>
              <w:spacing w:after="0" w:line="240" w:lineRule="auto"/>
              <w:ind w:left="227"/>
              <w:jc w:val="left"/>
              <w:rPr>
                <w:rFonts w:ascii="Arial" w:hAnsi="Arial" w:cs="Arial"/>
                <w:sz w:val="16"/>
                <w:szCs w:val="16"/>
              </w:rPr>
            </w:pPr>
            <w:r w:rsidRPr="00C26B09">
              <w:rPr>
                <w:rFonts w:ascii="Arial" w:hAnsi="Arial" w:cs="Arial"/>
                <w:sz w:val="16"/>
                <w:szCs w:val="16"/>
              </w:rPr>
              <w:t xml:space="preserve">Film and Television </w:t>
            </w:r>
            <w:r w:rsidRPr="00C26B09">
              <w:rPr>
                <w:rFonts w:ascii="Arial" w:hAnsi="Arial" w:cs="Arial"/>
                <w:sz w:val="16"/>
                <w:szCs w:val="16"/>
                <w:vertAlign w:val="superscript"/>
              </w:rPr>
              <w:t>(a)</w:t>
            </w:r>
          </w:p>
        </w:tc>
        <w:tc>
          <w:tcPr>
            <w:tcW w:w="901" w:type="dxa"/>
            <w:tcBorders>
              <w:top w:val="nil"/>
              <w:left w:val="nil"/>
              <w:bottom w:val="nil"/>
              <w:right w:val="nil"/>
            </w:tcBorders>
            <w:shd w:val="clear" w:color="auto" w:fill="auto"/>
            <w:noWrap/>
            <w:vAlign w:val="bottom"/>
            <w:hideMark/>
          </w:tcPr>
          <w:p w14:paraId="3080405C" w14:textId="4E09D172"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8,000 </w:t>
            </w:r>
          </w:p>
        </w:tc>
        <w:tc>
          <w:tcPr>
            <w:tcW w:w="821" w:type="dxa"/>
            <w:tcBorders>
              <w:top w:val="nil"/>
              <w:left w:val="nil"/>
              <w:bottom w:val="nil"/>
              <w:right w:val="nil"/>
            </w:tcBorders>
            <w:shd w:val="clear" w:color="000000" w:fill="E6E6E6"/>
            <w:noWrap/>
            <w:vAlign w:val="bottom"/>
            <w:hideMark/>
          </w:tcPr>
          <w:p w14:paraId="4331DE9E" w14:textId="5C2767A0"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29" w:type="dxa"/>
            <w:gridSpan w:val="2"/>
            <w:tcBorders>
              <w:top w:val="nil"/>
              <w:left w:val="nil"/>
              <w:bottom w:val="nil"/>
              <w:right w:val="nil"/>
            </w:tcBorders>
            <w:shd w:val="clear" w:color="auto" w:fill="auto"/>
            <w:noWrap/>
            <w:vAlign w:val="bottom"/>
            <w:hideMark/>
          </w:tcPr>
          <w:p w14:paraId="6B361B07" w14:textId="3DAAEFB1"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51" w:type="dxa"/>
            <w:gridSpan w:val="2"/>
            <w:tcBorders>
              <w:top w:val="nil"/>
              <w:left w:val="nil"/>
              <w:bottom w:val="nil"/>
              <w:right w:val="nil"/>
            </w:tcBorders>
            <w:shd w:val="clear" w:color="auto" w:fill="auto"/>
            <w:noWrap/>
            <w:vAlign w:val="bottom"/>
            <w:hideMark/>
          </w:tcPr>
          <w:p w14:paraId="15B7CE43" w14:textId="3D7152F6"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c>
          <w:tcPr>
            <w:tcW w:w="850" w:type="dxa"/>
            <w:gridSpan w:val="2"/>
            <w:tcBorders>
              <w:top w:val="nil"/>
              <w:left w:val="nil"/>
              <w:bottom w:val="nil"/>
              <w:right w:val="nil"/>
            </w:tcBorders>
            <w:shd w:val="clear" w:color="auto" w:fill="auto"/>
            <w:noWrap/>
            <w:vAlign w:val="bottom"/>
            <w:hideMark/>
          </w:tcPr>
          <w:p w14:paraId="47709769" w14:textId="708CFA0C"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 </w:t>
            </w:r>
          </w:p>
        </w:tc>
      </w:tr>
      <w:tr w:rsidR="003243A3" w:rsidRPr="00C26B09" w14:paraId="0E36E342" w14:textId="77777777" w:rsidTr="007E02F0">
        <w:trPr>
          <w:gridAfter w:val="1"/>
          <w:wAfter w:w="11" w:type="dxa"/>
          <w:trHeight w:val="204"/>
        </w:trPr>
        <w:tc>
          <w:tcPr>
            <w:tcW w:w="3402" w:type="dxa"/>
            <w:tcBorders>
              <w:top w:val="nil"/>
              <w:left w:val="nil"/>
              <w:bottom w:val="nil"/>
              <w:right w:val="nil"/>
            </w:tcBorders>
            <w:shd w:val="clear" w:color="auto" w:fill="auto"/>
            <w:hideMark/>
          </w:tcPr>
          <w:p w14:paraId="157CC3BA"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Special Accounts</w:t>
            </w:r>
          </w:p>
        </w:tc>
        <w:tc>
          <w:tcPr>
            <w:tcW w:w="901" w:type="dxa"/>
            <w:tcBorders>
              <w:top w:val="nil"/>
              <w:left w:val="nil"/>
              <w:bottom w:val="nil"/>
              <w:right w:val="nil"/>
            </w:tcBorders>
            <w:shd w:val="clear" w:color="auto" w:fill="auto"/>
            <w:noWrap/>
            <w:vAlign w:val="bottom"/>
            <w:hideMark/>
          </w:tcPr>
          <w:p w14:paraId="6E6D706A" w14:textId="77777777" w:rsidR="003243A3" w:rsidRPr="003243A3" w:rsidRDefault="003243A3" w:rsidP="003243A3">
            <w:pPr>
              <w:spacing w:after="0" w:line="240" w:lineRule="auto"/>
              <w:ind w:firstLineChars="100" w:firstLine="160"/>
              <w:jc w:val="right"/>
              <w:rPr>
                <w:rFonts w:ascii="Arial" w:hAnsi="Arial" w:cs="Arial"/>
                <w:sz w:val="16"/>
                <w:szCs w:val="16"/>
              </w:rPr>
            </w:pPr>
          </w:p>
        </w:tc>
        <w:tc>
          <w:tcPr>
            <w:tcW w:w="821" w:type="dxa"/>
            <w:tcBorders>
              <w:top w:val="nil"/>
              <w:left w:val="nil"/>
              <w:bottom w:val="nil"/>
              <w:right w:val="nil"/>
            </w:tcBorders>
            <w:shd w:val="clear" w:color="000000" w:fill="E6E6E6"/>
            <w:noWrap/>
            <w:vAlign w:val="bottom"/>
            <w:hideMark/>
          </w:tcPr>
          <w:p w14:paraId="777E7509" w14:textId="6B619292"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w:t>
            </w:r>
          </w:p>
        </w:tc>
        <w:tc>
          <w:tcPr>
            <w:tcW w:w="829" w:type="dxa"/>
            <w:gridSpan w:val="2"/>
            <w:tcBorders>
              <w:top w:val="nil"/>
              <w:left w:val="nil"/>
              <w:bottom w:val="nil"/>
              <w:right w:val="nil"/>
            </w:tcBorders>
            <w:shd w:val="clear" w:color="auto" w:fill="auto"/>
            <w:noWrap/>
            <w:vAlign w:val="bottom"/>
            <w:hideMark/>
          </w:tcPr>
          <w:p w14:paraId="495CD514" w14:textId="77777777" w:rsidR="003243A3" w:rsidRPr="003243A3" w:rsidRDefault="003243A3" w:rsidP="003243A3">
            <w:pPr>
              <w:spacing w:after="0" w:line="240" w:lineRule="auto"/>
              <w:jc w:val="right"/>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14:paraId="09672F05" w14:textId="77777777" w:rsidR="003243A3" w:rsidRPr="003243A3" w:rsidRDefault="003243A3" w:rsidP="003243A3">
            <w:pPr>
              <w:spacing w:after="0" w:line="240" w:lineRule="auto"/>
              <w:jc w:val="right"/>
              <w:rPr>
                <w:rFonts w:ascii="Times New Roman" w:hAnsi="Times New Roman"/>
                <w:sz w:val="16"/>
                <w:szCs w:val="16"/>
              </w:rPr>
            </w:pPr>
          </w:p>
        </w:tc>
        <w:tc>
          <w:tcPr>
            <w:tcW w:w="850" w:type="dxa"/>
            <w:gridSpan w:val="2"/>
            <w:tcBorders>
              <w:top w:val="nil"/>
              <w:left w:val="nil"/>
              <w:bottom w:val="nil"/>
              <w:right w:val="nil"/>
            </w:tcBorders>
            <w:shd w:val="clear" w:color="auto" w:fill="auto"/>
            <w:noWrap/>
            <w:vAlign w:val="bottom"/>
            <w:hideMark/>
          </w:tcPr>
          <w:p w14:paraId="5683829F" w14:textId="77777777" w:rsidR="003243A3" w:rsidRPr="003243A3" w:rsidRDefault="003243A3" w:rsidP="003243A3">
            <w:pPr>
              <w:spacing w:after="0" w:line="240" w:lineRule="auto"/>
              <w:jc w:val="right"/>
              <w:rPr>
                <w:rFonts w:ascii="Times New Roman" w:hAnsi="Times New Roman"/>
                <w:sz w:val="16"/>
                <w:szCs w:val="16"/>
              </w:rPr>
            </w:pPr>
          </w:p>
        </w:tc>
      </w:tr>
      <w:tr w:rsidR="003243A3" w:rsidRPr="00C26B09" w14:paraId="6B5C9C80" w14:textId="77777777" w:rsidTr="007E02F0">
        <w:trPr>
          <w:gridAfter w:val="1"/>
          <w:wAfter w:w="11" w:type="dxa"/>
          <w:trHeight w:val="204"/>
        </w:trPr>
        <w:tc>
          <w:tcPr>
            <w:tcW w:w="3402" w:type="dxa"/>
            <w:tcBorders>
              <w:top w:val="nil"/>
              <w:left w:val="nil"/>
              <w:bottom w:val="nil"/>
              <w:right w:val="nil"/>
            </w:tcBorders>
            <w:shd w:val="clear" w:color="auto" w:fill="auto"/>
            <w:hideMark/>
          </w:tcPr>
          <w:p w14:paraId="6AB9181E" w14:textId="77777777" w:rsidR="003243A3" w:rsidRPr="00C26B09" w:rsidRDefault="003243A3" w:rsidP="003243A3">
            <w:pPr>
              <w:spacing w:after="0" w:line="240" w:lineRule="auto"/>
              <w:ind w:left="227"/>
              <w:jc w:val="left"/>
              <w:rPr>
                <w:rFonts w:ascii="Arial" w:hAnsi="Arial" w:cs="Arial"/>
                <w:sz w:val="16"/>
                <w:szCs w:val="16"/>
              </w:rPr>
            </w:pPr>
            <w:r w:rsidRPr="00C26B09">
              <w:rPr>
                <w:rFonts w:ascii="Arial" w:hAnsi="Arial" w:cs="Arial"/>
                <w:sz w:val="16"/>
                <w:szCs w:val="16"/>
              </w:rPr>
              <w:t>National Cultural Heritage Account</w:t>
            </w:r>
          </w:p>
        </w:tc>
        <w:tc>
          <w:tcPr>
            <w:tcW w:w="901" w:type="dxa"/>
            <w:tcBorders>
              <w:top w:val="nil"/>
              <w:left w:val="nil"/>
              <w:bottom w:val="nil"/>
              <w:right w:val="nil"/>
            </w:tcBorders>
            <w:shd w:val="clear" w:color="auto" w:fill="auto"/>
            <w:noWrap/>
            <w:vAlign w:val="bottom"/>
            <w:hideMark/>
          </w:tcPr>
          <w:p w14:paraId="59DF1921" w14:textId="68FB0D60"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500 </w:t>
            </w:r>
          </w:p>
        </w:tc>
        <w:tc>
          <w:tcPr>
            <w:tcW w:w="821" w:type="dxa"/>
            <w:tcBorders>
              <w:top w:val="nil"/>
              <w:left w:val="nil"/>
              <w:bottom w:val="nil"/>
              <w:right w:val="nil"/>
            </w:tcBorders>
            <w:shd w:val="clear" w:color="000000" w:fill="E6E6E6"/>
            <w:noWrap/>
            <w:vAlign w:val="bottom"/>
            <w:hideMark/>
          </w:tcPr>
          <w:p w14:paraId="5ED3E5D9" w14:textId="78DED150"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500 </w:t>
            </w:r>
          </w:p>
        </w:tc>
        <w:tc>
          <w:tcPr>
            <w:tcW w:w="829" w:type="dxa"/>
            <w:gridSpan w:val="2"/>
            <w:tcBorders>
              <w:top w:val="nil"/>
              <w:left w:val="nil"/>
              <w:bottom w:val="nil"/>
              <w:right w:val="nil"/>
            </w:tcBorders>
            <w:shd w:val="clear" w:color="auto" w:fill="auto"/>
            <w:noWrap/>
            <w:vAlign w:val="bottom"/>
            <w:hideMark/>
          </w:tcPr>
          <w:p w14:paraId="02258E07" w14:textId="7C0F9CF2"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500 </w:t>
            </w:r>
          </w:p>
        </w:tc>
        <w:tc>
          <w:tcPr>
            <w:tcW w:w="851" w:type="dxa"/>
            <w:gridSpan w:val="2"/>
            <w:tcBorders>
              <w:top w:val="nil"/>
              <w:left w:val="nil"/>
              <w:bottom w:val="nil"/>
              <w:right w:val="nil"/>
            </w:tcBorders>
            <w:shd w:val="clear" w:color="auto" w:fill="auto"/>
            <w:noWrap/>
            <w:vAlign w:val="bottom"/>
            <w:hideMark/>
          </w:tcPr>
          <w:p w14:paraId="75C64E00" w14:textId="1D1530E3"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500 </w:t>
            </w:r>
          </w:p>
        </w:tc>
        <w:tc>
          <w:tcPr>
            <w:tcW w:w="850" w:type="dxa"/>
            <w:gridSpan w:val="2"/>
            <w:tcBorders>
              <w:top w:val="nil"/>
              <w:left w:val="nil"/>
              <w:bottom w:val="nil"/>
              <w:right w:val="nil"/>
            </w:tcBorders>
            <w:shd w:val="clear" w:color="auto" w:fill="auto"/>
            <w:noWrap/>
            <w:vAlign w:val="bottom"/>
            <w:hideMark/>
          </w:tcPr>
          <w:p w14:paraId="53AB3D54" w14:textId="38E3E67E"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500 </w:t>
            </w:r>
          </w:p>
        </w:tc>
      </w:tr>
      <w:tr w:rsidR="003243A3" w:rsidRPr="00C26B09" w14:paraId="3B377F7A" w14:textId="77777777" w:rsidTr="007E02F0">
        <w:trPr>
          <w:gridAfter w:val="1"/>
          <w:wAfter w:w="11" w:type="dxa"/>
          <w:trHeight w:val="204"/>
        </w:trPr>
        <w:tc>
          <w:tcPr>
            <w:tcW w:w="3402" w:type="dxa"/>
            <w:tcBorders>
              <w:top w:val="nil"/>
              <w:left w:val="nil"/>
              <w:bottom w:val="nil"/>
              <w:right w:val="nil"/>
            </w:tcBorders>
            <w:shd w:val="clear" w:color="auto" w:fill="auto"/>
            <w:hideMark/>
          </w:tcPr>
          <w:p w14:paraId="5AECC44C" w14:textId="77777777" w:rsidR="003243A3" w:rsidRPr="00C26B09" w:rsidRDefault="003243A3" w:rsidP="003243A3">
            <w:pPr>
              <w:spacing w:after="0" w:line="240" w:lineRule="auto"/>
              <w:ind w:left="113"/>
              <w:jc w:val="left"/>
              <w:rPr>
                <w:rFonts w:ascii="Arial" w:hAnsi="Arial" w:cs="Arial"/>
                <w:sz w:val="16"/>
                <w:szCs w:val="16"/>
              </w:rPr>
            </w:pPr>
            <w:r w:rsidRPr="00C26B09">
              <w:rPr>
                <w:rFonts w:ascii="Arial" w:hAnsi="Arial" w:cs="Arial"/>
                <w:sz w:val="16"/>
                <w:szCs w:val="16"/>
              </w:rPr>
              <w:t xml:space="preserve">Payments to corporate entities </w:t>
            </w:r>
            <w:r w:rsidRPr="00C26B09">
              <w:rPr>
                <w:rFonts w:ascii="Arial" w:hAnsi="Arial" w:cs="Arial"/>
                <w:sz w:val="16"/>
                <w:szCs w:val="16"/>
                <w:vertAlign w:val="superscript"/>
              </w:rPr>
              <w:t>(b)</w:t>
            </w:r>
          </w:p>
        </w:tc>
        <w:tc>
          <w:tcPr>
            <w:tcW w:w="901" w:type="dxa"/>
            <w:tcBorders>
              <w:top w:val="nil"/>
              <w:left w:val="nil"/>
              <w:bottom w:val="nil"/>
              <w:right w:val="nil"/>
            </w:tcBorders>
            <w:shd w:val="clear" w:color="auto" w:fill="auto"/>
            <w:noWrap/>
            <w:vAlign w:val="bottom"/>
            <w:hideMark/>
          </w:tcPr>
          <w:p w14:paraId="483383BB" w14:textId="77777777" w:rsidR="003243A3" w:rsidRPr="003243A3" w:rsidRDefault="003243A3" w:rsidP="003243A3">
            <w:pPr>
              <w:spacing w:after="0" w:line="240" w:lineRule="auto"/>
              <w:ind w:firstLineChars="100" w:firstLine="160"/>
              <w:jc w:val="right"/>
              <w:rPr>
                <w:rFonts w:ascii="Arial" w:hAnsi="Arial" w:cs="Arial"/>
                <w:sz w:val="16"/>
                <w:szCs w:val="16"/>
              </w:rPr>
            </w:pPr>
          </w:p>
        </w:tc>
        <w:tc>
          <w:tcPr>
            <w:tcW w:w="821" w:type="dxa"/>
            <w:tcBorders>
              <w:top w:val="nil"/>
              <w:left w:val="nil"/>
              <w:bottom w:val="nil"/>
              <w:right w:val="nil"/>
            </w:tcBorders>
            <w:shd w:val="clear" w:color="000000" w:fill="E6E6E6"/>
            <w:noWrap/>
            <w:vAlign w:val="bottom"/>
            <w:hideMark/>
          </w:tcPr>
          <w:p w14:paraId="7B517AE4" w14:textId="1A0E4A5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w:t>
            </w:r>
          </w:p>
        </w:tc>
        <w:tc>
          <w:tcPr>
            <w:tcW w:w="829" w:type="dxa"/>
            <w:gridSpan w:val="2"/>
            <w:tcBorders>
              <w:top w:val="nil"/>
              <w:left w:val="nil"/>
              <w:bottom w:val="nil"/>
              <w:right w:val="nil"/>
            </w:tcBorders>
            <w:shd w:val="clear" w:color="auto" w:fill="auto"/>
            <w:noWrap/>
            <w:vAlign w:val="bottom"/>
            <w:hideMark/>
          </w:tcPr>
          <w:p w14:paraId="7FE4747C" w14:textId="77777777" w:rsidR="003243A3" w:rsidRPr="003243A3" w:rsidRDefault="003243A3" w:rsidP="003243A3">
            <w:pPr>
              <w:spacing w:after="0" w:line="240" w:lineRule="auto"/>
              <w:jc w:val="right"/>
              <w:rPr>
                <w:rFonts w:ascii="Arial" w:hAnsi="Arial" w:cs="Arial"/>
                <w:sz w:val="16"/>
                <w:szCs w:val="16"/>
              </w:rPr>
            </w:pPr>
          </w:p>
        </w:tc>
        <w:tc>
          <w:tcPr>
            <w:tcW w:w="851" w:type="dxa"/>
            <w:gridSpan w:val="2"/>
            <w:tcBorders>
              <w:top w:val="nil"/>
              <w:left w:val="nil"/>
              <w:bottom w:val="nil"/>
              <w:right w:val="nil"/>
            </w:tcBorders>
            <w:shd w:val="clear" w:color="auto" w:fill="auto"/>
            <w:noWrap/>
            <w:vAlign w:val="bottom"/>
            <w:hideMark/>
          </w:tcPr>
          <w:p w14:paraId="7A55BC65" w14:textId="77777777" w:rsidR="003243A3" w:rsidRPr="003243A3" w:rsidRDefault="003243A3" w:rsidP="003243A3">
            <w:pPr>
              <w:spacing w:after="0" w:line="240" w:lineRule="auto"/>
              <w:jc w:val="right"/>
              <w:rPr>
                <w:rFonts w:ascii="Times New Roman" w:hAnsi="Times New Roman"/>
                <w:sz w:val="16"/>
                <w:szCs w:val="16"/>
              </w:rPr>
            </w:pPr>
          </w:p>
        </w:tc>
        <w:tc>
          <w:tcPr>
            <w:tcW w:w="850" w:type="dxa"/>
            <w:gridSpan w:val="2"/>
            <w:tcBorders>
              <w:top w:val="nil"/>
              <w:left w:val="nil"/>
              <w:bottom w:val="nil"/>
              <w:right w:val="nil"/>
            </w:tcBorders>
            <w:shd w:val="clear" w:color="auto" w:fill="auto"/>
            <w:noWrap/>
            <w:vAlign w:val="bottom"/>
            <w:hideMark/>
          </w:tcPr>
          <w:p w14:paraId="46295891" w14:textId="77777777" w:rsidR="003243A3" w:rsidRPr="003243A3" w:rsidRDefault="003243A3" w:rsidP="003243A3">
            <w:pPr>
              <w:spacing w:after="0" w:line="240" w:lineRule="auto"/>
              <w:jc w:val="right"/>
              <w:rPr>
                <w:rFonts w:ascii="Times New Roman" w:hAnsi="Times New Roman"/>
                <w:sz w:val="16"/>
                <w:szCs w:val="16"/>
              </w:rPr>
            </w:pPr>
          </w:p>
        </w:tc>
      </w:tr>
      <w:tr w:rsidR="003243A3" w:rsidRPr="00C26B09" w14:paraId="3B33E79D" w14:textId="77777777" w:rsidTr="007E02F0">
        <w:trPr>
          <w:gridAfter w:val="1"/>
          <w:wAfter w:w="11" w:type="dxa"/>
          <w:trHeight w:val="204"/>
        </w:trPr>
        <w:tc>
          <w:tcPr>
            <w:tcW w:w="3402" w:type="dxa"/>
            <w:tcBorders>
              <w:top w:val="nil"/>
              <w:left w:val="nil"/>
              <w:bottom w:val="nil"/>
              <w:right w:val="nil"/>
            </w:tcBorders>
            <w:shd w:val="clear" w:color="auto" w:fill="auto"/>
            <w:hideMark/>
          </w:tcPr>
          <w:p w14:paraId="5B224C20" w14:textId="77777777" w:rsidR="003243A3" w:rsidRPr="00C26B09" w:rsidRDefault="003243A3" w:rsidP="003243A3">
            <w:pPr>
              <w:spacing w:after="0" w:line="240" w:lineRule="auto"/>
              <w:ind w:left="227"/>
              <w:jc w:val="left"/>
              <w:rPr>
                <w:rFonts w:ascii="Arial" w:hAnsi="Arial" w:cs="Arial"/>
                <w:sz w:val="16"/>
                <w:szCs w:val="16"/>
              </w:rPr>
            </w:pPr>
            <w:r w:rsidRPr="00C26B09">
              <w:rPr>
                <w:rFonts w:ascii="Arial" w:hAnsi="Arial" w:cs="Arial"/>
                <w:sz w:val="16"/>
                <w:szCs w:val="16"/>
              </w:rPr>
              <w:t xml:space="preserve"> - Australia Council</w:t>
            </w:r>
          </w:p>
        </w:tc>
        <w:tc>
          <w:tcPr>
            <w:tcW w:w="901" w:type="dxa"/>
            <w:tcBorders>
              <w:top w:val="nil"/>
              <w:left w:val="nil"/>
              <w:bottom w:val="nil"/>
              <w:right w:val="nil"/>
            </w:tcBorders>
            <w:shd w:val="clear" w:color="auto" w:fill="auto"/>
            <w:noWrap/>
            <w:vAlign w:val="bottom"/>
            <w:hideMark/>
          </w:tcPr>
          <w:p w14:paraId="4DCF5B8A" w14:textId="2348650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214,883 </w:t>
            </w:r>
          </w:p>
        </w:tc>
        <w:tc>
          <w:tcPr>
            <w:tcW w:w="821" w:type="dxa"/>
            <w:tcBorders>
              <w:top w:val="nil"/>
              <w:left w:val="nil"/>
              <w:bottom w:val="nil"/>
              <w:right w:val="nil"/>
            </w:tcBorders>
            <w:shd w:val="clear" w:color="000000" w:fill="E6E6E6"/>
            <w:noWrap/>
            <w:vAlign w:val="bottom"/>
            <w:hideMark/>
          </w:tcPr>
          <w:p w14:paraId="26F796E6" w14:textId="2204FC91"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219,794 </w:t>
            </w:r>
          </w:p>
        </w:tc>
        <w:tc>
          <w:tcPr>
            <w:tcW w:w="829" w:type="dxa"/>
            <w:gridSpan w:val="2"/>
            <w:tcBorders>
              <w:top w:val="nil"/>
              <w:left w:val="nil"/>
              <w:bottom w:val="nil"/>
              <w:right w:val="nil"/>
            </w:tcBorders>
            <w:shd w:val="clear" w:color="auto" w:fill="auto"/>
            <w:noWrap/>
            <w:vAlign w:val="bottom"/>
            <w:hideMark/>
          </w:tcPr>
          <w:p w14:paraId="0364C043" w14:textId="7C684A1E"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219,247 </w:t>
            </w:r>
          </w:p>
        </w:tc>
        <w:tc>
          <w:tcPr>
            <w:tcW w:w="851" w:type="dxa"/>
            <w:gridSpan w:val="2"/>
            <w:tcBorders>
              <w:top w:val="nil"/>
              <w:left w:val="nil"/>
              <w:bottom w:val="nil"/>
              <w:right w:val="nil"/>
            </w:tcBorders>
            <w:shd w:val="clear" w:color="auto" w:fill="auto"/>
            <w:noWrap/>
            <w:vAlign w:val="bottom"/>
            <w:hideMark/>
          </w:tcPr>
          <w:p w14:paraId="4B30817D" w14:textId="6D59824A"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222,062 </w:t>
            </w:r>
          </w:p>
        </w:tc>
        <w:tc>
          <w:tcPr>
            <w:tcW w:w="850" w:type="dxa"/>
            <w:gridSpan w:val="2"/>
            <w:tcBorders>
              <w:top w:val="nil"/>
              <w:left w:val="nil"/>
              <w:bottom w:val="nil"/>
              <w:right w:val="nil"/>
            </w:tcBorders>
            <w:shd w:val="clear" w:color="auto" w:fill="auto"/>
            <w:noWrap/>
            <w:vAlign w:val="bottom"/>
            <w:hideMark/>
          </w:tcPr>
          <w:p w14:paraId="1EE46643" w14:textId="7125D13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225,701 </w:t>
            </w:r>
          </w:p>
        </w:tc>
      </w:tr>
      <w:tr w:rsidR="003243A3" w:rsidRPr="00C26B09" w14:paraId="5A4CFF05" w14:textId="77777777" w:rsidTr="007E02F0">
        <w:trPr>
          <w:gridAfter w:val="1"/>
          <w:wAfter w:w="11" w:type="dxa"/>
          <w:trHeight w:val="204"/>
        </w:trPr>
        <w:tc>
          <w:tcPr>
            <w:tcW w:w="3402" w:type="dxa"/>
            <w:tcBorders>
              <w:top w:val="nil"/>
              <w:left w:val="nil"/>
              <w:bottom w:val="nil"/>
              <w:right w:val="nil"/>
            </w:tcBorders>
            <w:shd w:val="clear" w:color="auto" w:fill="auto"/>
            <w:hideMark/>
          </w:tcPr>
          <w:p w14:paraId="5149529E" w14:textId="77777777" w:rsidR="003243A3" w:rsidRPr="00C26B09" w:rsidRDefault="003243A3" w:rsidP="003243A3">
            <w:pPr>
              <w:spacing w:after="0" w:line="240" w:lineRule="auto"/>
              <w:ind w:left="372" w:hanging="145"/>
              <w:jc w:val="left"/>
              <w:rPr>
                <w:rFonts w:ascii="Arial" w:hAnsi="Arial" w:cs="Arial"/>
                <w:sz w:val="16"/>
                <w:szCs w:val="16"/>
              </w:rPr>
            </w:pPr>
            <w:r w:rsidRPr="00C26B09">
              <w:rPr>
                <w:rFonts w:ascii="Arial" w:hAnsi="Arial" w:cs="Arial"/>
                <w:sz w:val="16"/>
                <w:szCs w:val="16"/>
              </w:rPr>
              <w:t xml:space="preserve"> - Australian Film, Television and Radio School</w:t>
            </w:r>
          </w:p>
        </w:tc>
        <w:tc>
          <w:tcPr>
            <w:tcW w:w="901" w:type="dxa"/>
            <w:tcBorders>
              <w:top w:val="nil"/>
              <w:left w:val="nil"/>
              <w:bottom w:val="nil"/>
              <w:right w:val="nil"/>
            </w:tcBorders>
            <w:shd w:val="clear" w:color="auto" w:fill="auto"/>
            <w:noWrap/>
            <w:vAlign w:val="bottom"/>
            <w:hideMark/>
          </w:tcPr>
          <w:p w14:paraId="04F35669" w14:textId="5135C8B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25,059 </w:t>
            </w:r>
          </w:p>
        </w:tc>
        <w:tc>
          <w:tcPr>
            <w:tcW w:w="821" w:type="dxa"/>
            <w:tcBorders>
              <w:top w:val="nil"/>
              <w:left w:val="nil"/>
              <w:bottom w:val="nil"/>
              <w:right w:val="nil"/>
            </w:tcBorders>
            <w:shd w:val="clear" w:color="000000" w:fill="E6E6E6"/>
            <w:noWrap/>
            <w:vAlign w:val="bottom"/>
            <w:hideMark/>
          </w:tcPr>
          <w:p w14:paraId="0646B9EA" w14:textId="471A11AE"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22,738 </w:t>
            </w:r>
          </w:p>
        </w:tc>
        <w:tc>
          <w:tcPr>
            <w:tcW w:w="829" w:type="dxa"/>
            <w:gridSpan w:val="2"/>
            <w:tcBorders>
              <w:top w:val="nil"/>
              <w:left w:val="nil"/>
              <w:bottom w:val="nil"/>
              <w:right w:val="nil"/>
            </w:tcBorders>
            <w:shd w:val="clear" w:color="auto" w:fill="auto"/>
            <w:noWrap/>
            <w:vAlign w:val="bottom"/>
            <w:hideMark/>
          </w:tcPr>
          <w:p w14:paraId="6256E939" w14:textId="7E402F18"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22,873 </w:t>
            </w:r>
          </w:p>
        </w:tc>
        <w:tc>
          <w:tcPr>
            <w:tcW w:w="851" w:type="dxa"/>
            <w:gridSpan w:val="2"/>
            <w:tcBorders>
              <w:top w:val="nil"/>
              <w:left w:val="nil"/>
              <w:bottom w:val="nil"/>
              <w:right w:val="nil"/>
            </w:tcBorders>
            <w:shd w:val="clear" w:color="auto" w:fill="auto"/>
            <w:noWrap/>
            <w:vAlign w:val="bottom"/>
            <w:hideMark/>
          </w:tcPr>
          <w:p w14:paraId="3B3E17C8" w14:textId="78080F46"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23,028 </w:t>
            </w:r>
          </w:p>
        </w:tc>
        <w:tc>
          <w:tcPr>
            <w:tcW w:w="850" w:type="dxa"/>
            <w:gridSpan w:val="2"/>
            <w:tcBorders>
              <w:top w:val="nil"/>
              <w:left w:val="nil"/>
              <w:bottom w:val="nil"/>
              <w:right w:val="nil"/>
            </w:tcBorders>
            <w:shd w:val="clear" w:color="auto" w:fill="auto"/>
            <w:noWrap/>
            <w:vAlign w:val="bottom"/>
            <w:hideMark/>
          </w:tcPr>
          <w:p w14:paraId="582338F5" w14:textId="4EF067A3"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23,212 </w:t>
            </w:r>
          </w:p>
        </w:tc>
      </w:tr>
      <w:tr w:rsidR="003243A3" w:rsidRPr="00C26B09" w14:paraId="4C39E05D" w14:textId="77777777" w:rsidTr="007E02F0">
        <w:trPr>
          <w:gridAfter w:val="1"/>
          <w:wAfter w:w="11" w:type="dxa"/>
          <w:trHeight w:val="204"/>
        </w:trPr>
        <w:tc>
          <w:tcPr>
            <w:tcW w:w="3402" w:type="dxa"/>
            <w:tcBorders>
              <w:top w:val="nil"/>
              <w:left w:val="nil"/>
              <w:bottom w:val="nil"/>
              <w:right w:val="nil"/>
            </w:tcBorders>
            <w:shd w:val="clear" w:color="auto" w:fill="auto"/>
            <w:hideMark/>
          </w:tcPr>
          <w:p w14:paraId="56E051DC" w14:textId="77777777" w:rsidR="003243A3" w:rsidRPr="00C26B09" w:rsidRDefault="003243A3" w:rsidP="003243A3">
            <w:pPr>
              <w:spacing w:after="0" w:line="240" w:lineRule="auto"/>
              <w:ind w:left="372" w:hanging="145"/>
              <w:jc w:val="left"/>
              <w:rPr>
                <w:rFonts w:ascii="Arial" w:hAnsi="Arial" w:cs="Arial"/>
                <w:sz w:val="16"/>
                <w:szCs w:val="16"/>
              </w:rPr>
            </w:pPr>
            <w:r w:rsidRPr="00C26B09">
              <w:rPr>
                <w:rFonts w:ascii="Arial" w:hAnsi="Arial" w:cs="Arial"/>
                <w:sz w:val="16"/>
                <w:szCs w:val="16"/>
              </w:rPr>
              <w:t xml:space="preserve"> - Australian National Maritime Museum</w:t>
            </w:r>
          </w:p>
        </w:tc>
        <w:tc>
          <w:tcPr>
            <w:tcW w:w="901" w:type="dxa"/>
            <w:tcBorders>
              <w:top w:val="nil"/>
              <w:left w:val="nil"/>
              <w:bottom w:val="nil"/>
              <w:right w:val="nil"/>
            </w:tcBorders>
            <w:shd w:val="clear" w:color="auto" w:fill="auto"/>
            <w:noWrap/>
            <w:vAlign w:val="bottom"/>
            <w:hideMark/>
          </w:tcPr>
          <w:p w14:paraId="76B1461A" w14:textId="4FA7B7FE"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22,548 </w:t>
            </w:r>
          </w:p>
        </w:tc>
        <w:tc>
          <w:tcPr>
            <w:tcW w:w="821" w:type="dxa"/>
            <w:tcBorders>
              <w:top w:val="nil"/>
              <w:left w:val="nil"/>
              <w:bottom w:val="nil"/>
              <w:right w:val="nil"/>
            </w:tcBorders>
            <w:shd w:val="clear" w:color="000000" w:fill="E6E6E6"/>
            <w:noWrap/>
            <w:vAlign w:val="bottom"/>
            <w:hideMark/>
          </w:tcPr>
          <w:p w14:paraId="09DB43D7" w14:textId="6F38B0AC"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24,125 </w:t>
            </w:r>
          </w:p>
        </w:tc>
        <w:tc>
          <w:tcPr>
            <w:tcW w:w="829" w:type="dxa"/>
            <w:gridSpan w:val="2"/>
            <w:tcBorders>
              <w:top w:val="nil"/>
              <w:left w:val="nil"/>
              <w:bottom w:val="nil"/>
              <w:right w:val="nil"/>
            </w:tcBorders>
            <w:shd w:val="clear" w:color="auto" w:fill="auto"/>
            <w:noWrap/>
            <w:vAlign w:val="bottom"/>
            <w:hideMark/>
          </w:tcPr>
          <w:p w14:paraId="3BC65444" w14:textId="360ADB95"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23,921 </w:t>
            </w:r>
          </w:p>
        </w:tc>
        <w:tc>
          <w:tcPr>
            <w:tcW w:w="851" w:type="dxa"/>
            <w:gridSpan w:val="2"/>
            <w:tcBorders>
              <w:top w:val="nil"/>
              <w:left w:val="nil"/>
              <w:bottom w:val="nil"/>
              <w:right w:val="nil"/>
            </w:tcBorders>
            <w:shd w:val="clear" w:color="auto" w:fill="auto"/>
            <w:noWrap/>
            <w:vAlign w:val="bottom"/>
            <w:hideMark/>
          </w:tcPr>
          <w:p w14:paraId="429B8148" w14:textId="072CC426"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20,380 </w:t>
            </w:r>
          </w:p>
        </w:tc>
        <w:tc>
          <w:tcPr>
            <w:tcW w:w="850" w:type="dxa"/>
            <w:gridSpan w:val="2"/>
            <w:tcBorders>
              <w:top w:val="nil"/>
              <w:left w:val="nil"/>
              <w:bottom w:val="nil"/>
              <w:right w:val="nil"/>
            </w:tcBorders>
            <w:shd w:val="clear" w:color="auto" w:fill="auto"/>
            <w:noWrap/>
            <w:vAlign w:val="bottom"/>
            <w:hideMark/>
          </w:tcPr>
          <w:p w14:paraId="62BB730F" w14:textId="16817220"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20,426 </w:t>
            </w:r>
          </w:p>
        </w:tc>
      </w:tr>
      <w:tr w:rsidR="003243A3" w:rsidRPr="00C26B09" w14:paraId="40F6168D" w14:textId="77777777" w:rsidTr="007E02F0">
        <w:trPr>
          <w:gridAfter w:val="1"/>
          <w:wAfter w:w="11" w:type="dxa"/>
          <w:trHeight w:val="204"/>
        </w:trPr>
        <w:tc>
          <w:tcPr>
            <w:tcW w:w="3402" w:type="dxa"/>
            <w:tcBorders>
              <w:top w:val="nil"/>
              <w:left w:val="nil"/>
              <w:bottom w:val="nil"/>
              <w:right w:val="nil"/>
            </w:tcBorders>
            <w:shd w:val="clear" w:color="auto" w:fill="auto"/>
            <w:hideMark/>
          </w:tcPr>
          <w:p w14:paraId="6361286C" w14:textId="77777777" w:rsidR="003243A3" w:rsidRPr="00C26B09" w:rsidRDefault="003243A3" w:rsidP="003243A3">
            <w:pPr>
              <w:spacing w:after="0" w:line="240" w:lineRule="auto"/>
              <w:ind w:left="372" w:hanging="145"/>
              <w:jc w:val="left"/>
              <w:rPr>
                <w:rFonts w:ascii="Arial" w:hAnsi="Arial" w:cs="Arial"/>
                <w:sz w:val="16"/>
                <w:szCs w:val="16"/>
              </w:rPr>
            </w:pPr>
            <w:r w:rsidRPr="00C26B09">
              <w:rPr>
                <w:rFonts w:ascii="Arial" w:hAnsi="Arial" w:cs="Arial"/>
                <w:sz w:val="16"/>
                <w:szCs w:val="16"/>
              </w:rPr>
              <w:t xml:space="preserve"> - National Film and Sound Archive of Australia</w:t>
            </w:r>
          </w:p>
        </w:tc>
        <w:tc>
          <w:tcPr>
            <w:tcW w:w="901" w:type="dxa"/>
            <w:tcBorders>
              <w:top w:val="nil"/>
              <w:left w:val="nil"/>
              <w:bottom w:val="nil"/>
              <w:right w:val="nil"/>
            </w:tcBorders>
            <w:shd w:val="clear" w:color="auto" w:fill="auto"/>
            <w:noWrap/>
            <w:vAlign w:val="bottom"/>
            <w:hideMark/>
          </w:tcPr>
          <w:p w14:paraId="2158B2DE" w14:textId="546E57FA"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26,535 </w:t>
            </w:r>
          </w:p>
        </w:tc>
        <w:tc>
          <w:tcPr>
            <w:tcW w:w="821" w:type="dxa"/>
            <w:tcBorders>
              <w:top w:val="nil"/>
              <w:left w:val="nil"/>
              <w:bottom w:val="nil"/>
              <w:right w:val="nil"/>
            </w:tcBorders>
            <w:shd w:val="clear" w:color="000000" w:fill="E6E6E6"/>
            <w:noWrap/>
            <w:vAlign w:val="bottom"/>
            <w:hideMark/>
          </w:tcPr>
          <w:p w14:paraId="62D2BD3F" w14:textId="215ADF57"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28,026 </w:t>
            </w:r>
          </w:p>
        </w:tc>
        <w:tc>
          <w:tcPr>
            <w:tcW w:w="829" w:type="dxa"/>
            <w:gridSpan w:val="2"/>
            <w:tcBorders>
              <w:top w:val="nil"/>
              <w:left w:val="nil"/>
              <w:bottom w:val="nil"/>
              <w:right w:val="nil"/>
            </w:tcBorders>
            <w:shd w:val="clear" w:color="auto" w:fill="auto"/>
            <w:noWrap/>
            <w:vAlign w:val="bottom"/>
            <w:hideMark/>
          </w:tcPr>
          <w:p w14:paraId="49B3087B" w14:textId="7036D77C"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29,543 </w:t>
            </w:r>
          </w:p>
        </w:tc>
        <w:tc>
          <w:tcPr>
            <w:tcW w:w="851" w:type="dxa"/>
            <w:gridSpan w:val="2"/>
            <w:tcBorders>
              <w:top w:val="nil"/>
              <w:left w:val="nil"/>
              <w:bottom w:val="nil"/>
              <w:right w:val="nil"/>
            </w:tcBorders>
            <w:shd w:val="clear" w:color="auto" w:fill="auto"/>
            <w:noWrap/>
            <w:vAlign w:val="bottom"/>
            <w:hideMark/>
          </w:tcPr>
          <w:p w14:paraId="7459346B" w14:textId="23F375F8"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30,169 </w:t>
            </w:r>
          </w:p>
        </w:tc>
        <w:tc>
          <w:tcPr>
            <w:tcW w:w="850" w:type="dxa"/>
            <w:gridSpan w:val="2"/>
            <w:tcBorders>
              <w:top w:val="nil"/>
              <w:left w:val="nil"/>
              <w:bottom w:val="nil"/>
              <w:right w:val="nil"/>
            </w:tcBorders>
            <w:shd w:val="clear" w:color="auto" w:fill="auto"/>
            <w:noWrap/>
            <w:vAlign w:val="bottom"/>
            <w:hideMark/>
          </w:tcPr>
          <w:p w14:paraId="1D3CCFA1" w14:textId="26EC0053"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30,491 </w:t>
            </w:r>
          </w:p>
        </w:tc>
      </w:tr>
      <w:tr w:rsidR="003243A3" w:rsidRPr="00C26B09" w14:paraId="218178C0" w14:textId="77777777" w:rsidTr="007E02F0">
        <w:trPr>
          <w:gridAfter w:val="1"/>
          <w:wAfter w:w="11" w:type="dxa"/>
          <w:trHeight w:val="204"/>
        </w:trPr>
        <w:tc>
          <w:tcPr>
            <w:tcW w:w="3402" w:type="dxa"/>
            <w:tcBorders>
              <w:top w:val="nil"/>
              <w:left w:val="nil"/>
              <w:bottom w:val="nil"/>
              <w:right w:val="nil"/>
            </w:tcBorders>
            <w:shd w:val="clear" w:color="auto" w:fill="auto"/>
            <w:hideMark/>
          </w:tcPr>
          <w:p w14:paraId="3BCBE881" w14:textId="77777777" w:rsidR="003243A3" w:rsidRPr="00C26B09" w:rsidRDefault="003243A3" w:rsidP="003243A3">
            <w:pPr>
              <w:spacing w:after="0" w:line="240" w:lineRule="auto"/>
              <w:ind w:left="372" w:hanging="145"/>
              <w:jc w:val="left"/>
              <w:rPr>
                <w:rFonts w:ascii="Arial" w:hAnsi="Arial" w:cs="Arial"/>
                <w:sz w:val="16"/>
                <w:szCs w:val="16"/>
              </w:rPr>
            </w:pPr>
            <w:r w:rsidRPr="00C26B09">
              <w:rPr>
                <w:rFonts w:ascii="Arial" w:hAnsi="Arial" w:cs="Arial"/>
                <w:sz w:val="16"/>
                <w:szCs w:val="16"/>
              </w:rPr>
              <w:t xml:space="preserve"> - National Gallery Australia</w:t>
            </w:r>
          </w:p>
        </w:tc>
        <w:tc>
          <w:tcPr>
            <w:tcW w:w="901" w:type="dxa"/>
            <w:tcBorders>
              <w:top w:val="nil"/>
              <w:left w:val="nil"/>
              <w:bottom w:val="nil"/>
              <w:right w:val="nil"/>
            </w:tcBorders>
            <w:shd w:val="clear" w:color="auto" w:fill="auto"/>
            <w:noWrap/>
            <w:vAlign w:val="bottom"/>
            <w:hideMark/>
          </w:tcPr>
          <w:p w14:paraId="18A36911" w14:textId="7F566903"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49,569 </w:t>
            </w:r>
          </w:p>
        </w:tc>
        <w:tc>
          <w:tcPr>
            <w:tcW w:w="821" w:type="dxa"/>
            <w:tcBorders>
              <w:top w:val="nil"/>
              <w:left w:val="nil"/>
              <w:bottom w:val="nil"/>
              <w:right w:val="nil"/>
            </w:tcBorders>
            <w:shd w:val="clear" w:color="000000" w:fill="E6E6E6"/>
            <w:noWrap/>
            <w:vAlign w:val="bottom"/>
            <w:hideMark/>
          </w:tcPr>
          <w:p w14:paraId="50028099" w14:textId="09BB1A65"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49,592 </w:t>
            </w:r>
          </w:p>
        </w:tc>
        <w:tc>
          <w:tcPr>
            <w:tcW w:w="829" w:type="dxa"/>
            <w:gridSpan w:val="2"/>
            <w:tcBorders>
              <w:top w:val="nil"/>
              <w:left w:val="nil"/>
              <w:bottom w:val="nil"/>
              <w:right w:val="nil"/>
            </w:tcBorders>
            <w:shd w:val="clear" w:color="auto" w:fill="auto"/>
            <w:noWrap/>
            <w:vAlign w:val="bottom"/>
            <w:hideMark/>
          </w:tcPr>
          <w:p w14:paraId="0B0C5C1B" w14:textId="43AE388A"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47,820 </w:t>
            </w:r>
          </w:p>
        </w:tc>
        <w:tc>
          <w:tcPr>
            <w:tcW w:w="851" w:type="dxa"/>
            <w:gridSpan w:val="2"/>
            <w:tcBorders>
              <w:top w:val="nil"/>
              <w:left w:val="nil"/>
              <w:bottom w:val="nil"/>
              <w:right w:val="nil"/>
            </w:tcBorders>
            <w:shd w:val="clear" w:color="auto" w:fill="auto"/>
            <w:noWrap/>
            <w:vAlign w:val="bottom"/>
            <w:hideMark/>
          </w:tcPr>
          <w:p w14:paraId="74362836" w14:textId="7DEAA9D6"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45,037 </w:t>
            </w:r>
          </w:p>
        </w:tc>
        <w:tc>
          <w:tcPr>
            <w:tcW w:w="850" w:type="dxa"/>
            <w:gridSpan w:val="2"/>
            <w:tcBorders>
              <w:top w:val="nil"/>
              <w:left w:val="nil"/>
              <w:bottom w:val="nil"/>
              <w:right w:val="nil"/>
            </w:tcBorders>
            <w:shd w:val="clear" w:color="auto" w:fill="auto"/>
            <w:noWrap/>
            <w:vAlign w:val="bottom"/>
            <w:hideMark/>
          </w:tcPr>
          <w:p w14:paraId="5CB1867E" w14:textId="5FF43E3F"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45,281 </w:t>
            </w:r>
          </w:p>
        </w:tc>
      </w:tr>
      <w:tr w:rsidR="003243A3" w:rsidRPr="00C26B09" w14:paraId="3DA49F9F" w14:textId="77777777" w:rsidTr="007E02F0">
        <w:trPr>
          <w:gridAfter w:val="1"/>
          <w:wAfter w:w="11" w:type="dxa"/>
          <w:trHeight w:val="204"/>
        </w:trPr>
        <w:tc>
          <w:tcPr>
            <w:tcW w:w="3402" w:type="dxa"/>
            <w:tcBorders>
              <w:top w:val="nil"/>
              <w:left w:val="nil"/>
              <w:bottom w:val="nil"/>
              <w:right w:val="nil"/>
            </w:tcBorders>
            <w:shd w:val="clear" w:color="auto" w:fill="auto"/>
            <w:hideMark/>
          </w:tcPr>
          <w:p w14:paraId="7F022394" w14:textId="77777777" w:rsidR="003243A3" w:rsidRPr="00C26B09" w:rsidRDefault="003243A3" w:rsidP="003243A3">
            <w:pPr>
              <w:spacing w:after="0" w:line="240" w:lineRule="auto"/>
              <w:ind w:left="372" w:hanging="145"/>
              <w:jc w:val="left"/>
              <w:rPr>
                <w:rFonts w:ascii="Arial" w:hAnsi="Arial" w:cs="Arial"/>
                <w:sz w:val="16"/>
                <w:szCs w:val="16"/>
              </w:rPr>
            </w:pPr>
            <w:r w:rsidRPr="00C26B09">
              <w:rPr>
                <w:rFonts w:ascii="Arial" w:hAnsi="Arial" w:cs="Arial"/>
                <w:sz w:val="16"/>
                <w:szCs w:val="16"/>
              </w:rPr>
              <w:t xml:space="preserve"> - National Library Australia</w:t>
            </w:r>
          </w:p>
        </w:tc>
        <w:tc>
          <w:tcPr>
            <w:tcW w:w="901" w:type="dxa"/>
            <w:tcBorders>
              <w:top w:val="nil"/>
              <w:left w:val="nil"/>
              <w:bottom w:val="nil"/>
              <w:right w:val="nil"/>
            </w:tcBorders>
            <w:shd w:val="clear" w:color="auto" w:fill="auto"/>
            <w:noWrap/>
            <w:vAlign w:val="bottom"/>
            <w:hideMark/>
          </w:tcPr>
          <w:p w14:paraId="101BF010" w14:textId="2D4C4FC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58,786 </w:t>
            </w:r>
          </w:p>
        </w:tc>
        <w:tc>
          <w:tcPr>
            <w:tcW w:w="821" w:type="dxa"/>
            <w:tcBorders>
              <w:top w:val="nil"/>
              <w:left w:val="nil"/>
              <w:bottom w:val="nil"/>
              <w:right w:val="nil"/>
            </w:tcBorders>
            <w:shd w:val="clear" w:color="000000" w:fill="E6E6E6"/>
            <w:noWrap/>
            <w:vAlign w:val="bottom"/>
            <w:hideMark/>
          </w:tcPr>
          <w:p w14:paraId="1AD53CB4" w14:textId="2FE2EA9C"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57,493 </w:t>
            </w:r>
          </w:p>
        </w:tc>
        <w:tc>
          <w:tcPr>
            <w:tcW w:w="829" w:type="dxa"/>
            <w:gridSpan w:val="2"/>
            <w:tcBorders>
              <w:top w:val="nil"/>
              <w:left w:val="nil"/>
              <w:bottom w:val="nil"/>
              <w:right w:val="nil"/>
            </w:tcBorders>
            <w:shd w:val="clear" w:color="auto" w:fill="auto"/>
            <w:noWrap/>
            <w:vAlign w:val="bottom"/>
            <w:hideMark/>
          </w:tcPr>
          <w:p w14:paraId="01868349" w14:textId="09731193"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60,880 </w:t>
            </w:r>
          </w:p>
        </w:tc>
        <w:tc>
          <w:tcPr>
            <w:tcW w:w="851" w:type="dxa"/>
            <w:gridSpan w:val="2"/>
            <w:tcBorders>
              <w:top w:val="nil"/>
              <w:left w:val="nil"/>
              <w:bottom w:val="nil"/>
              <w:right w:val="nil"/>
            </w:tcBorders>
            <w:shd w:val="clear" w:color="auto" w:fill="auto"/>
            <w:noWrap/>
            <w:vAlign w:val="bottom"/>
            <w:hideMark/>
          </w:tcPr>
          <w:p w14:paraId="20673C59" w14:textId="2B02E34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47,014 </w:t>
            </w:r>
          </w:p>
        </w:tc>
        <w:tc>
          <w:tcPr>
            <w:tcW w:w="850" w:type="dxa"/>
            <w:gridSpan w:val="2"/>
            <w:tcBorders>
              <w:top w:val="nil"/>
              <w:left w:val="nil"/>
              <w:bottom w:val="nil"/>
              <w:right w:val="nil"/>
            </w:tcBorders>
            <w:shd w:val="clear" w:color="auto" w:fill="auto"/>
            <w:noWrap/>
            <w:vAlign w:val="bottom"/>
            <w:hideMark/>
          </w:tcPr>
          <w:p w14:paraId="3382D7FC" w14:textId="3ACD83A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47,197 </w:t>
            </w:r>
          </w:p>
        </w:tc>
      </w:tr>
      <w:tr w:rsidR="003243A3" w:rsidRPr="00C26B09" w14:paraId="0E7DB8C0" w14:textId="77777777" w:rsidTr="007E02F0">
        <w:trPr>
          <w:gridAfter w:val="1"/>
          <w:wAfter w:w="11" w:type="dxa"/>
          <w:trHeight w:val="204"/>
        </w:trPr>
        <w:tc>
          <w:tcPr>
            <w:tcW w:w="3402" w:type="dxa"/>
            <w:tcBorders>
              <w:top w:val="nil"/>
              <w:left w:val="nil"/>
              <w:bottom w:val="nil"/>
              <w:right w:val="nil"/>
            </w:tcBorders>
            <w:shd w:val="clear" w:color="auto" w:fill="auto"/>
            <w:hideMark/>
          </w:tcPr>
          <w:p w14:paraId="6F8C7A60" w14:textId="77777777" w:rsidR="003243A3" w:rsidRPr="00C26B09" w:rsidRDefault="003243A3" w:rsidP="003243A3">
            <w:pPr>
              <w:spacing w:after="0" w:line="240" w:lineRule="auto"/>
              <w:ind w:left="372" w:hanging="145"/>
              <w:jc w:val="left"/>
              <w:rPr>
                <w:rFonts w:ascii="Arial" w:hAnsi="Arial" w:cs="Arial"/>
                <w:sz w:val="16"/>
                <w:szCs w:val="16"/>
              </w:rPr>
            </w:pPr>
            <w:r w:rsidRPr="00C26B09">
              <w:rPr>
                <w:rFonts w:ascii="Arial" w:hAnsi="Arial" w:cs="Arial"/>
                <w:sz w:val="16"/>
                <w:szCs w:val="16"/>
              </w:rPr>
              <w:t xml:space="preserve"> - National Museum Australia</w:t>
            </w:r>
          </w:p>
        </w:tc>
        <w:tc>
          <w:tcPr>
            <w:tcW w:w="901" w:type="dxa"/>
            <w:tcBorders>
              <w:top w:val="nil"/>
              <w:left w:val="nil"/>
              <w:bottom w:val="nil"/>
              <w:right w:val="nil"/>
            </w:tcBorders>
            <w:shd w:val="clear" w:color="auto" w:fill="auto"/>
            <w:noWrap/>
            <w:vAlign w:val="bottom"/>
            <w:hideMark/>
          </w:tcPr>
          <w:p w14:paraId="7B3FB4B3" w14:textId="5CCACE10"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42,353 </w:t>
            </w:r>
          </w:p>
        </w:tc>
        <w:tc>
          <w:tcPr>
            <w:tcW w:w="821" w:type="dxa"/>
            <w:tcBorders>
              <w:top w:val="nil"/>
              <w:left w:val="nil"/>
              <w:bottom w:val="nil"/>
              <w:right w:val="nil"/>
            </w:tcBorders>
            <w:shd w:val="clear" w:color="000000" w:fill="E6E6E6"/>
            <w:noWrap/>
            <w:vAlign w:val="bottom"/>
            <w:hideMark/>
          </w:tcPr>
          <w:p w14:paraId="560432BC" w14:textId="7DA2D393"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41,383 </w:t>
            </w:r>
          </w:p>
        </w:tc>
        <w:tc>
          <w:tcPr>
            <w:tcW w:w="829" w:type="dxa"/>
            <w:gridSpan w:val="2"/>
            <w:tcBorders>
              <w:top w:val="nil"/>
              <w:left w:val="nil"/>
              <w:bottom w:val="nil"/>
              <w:right w:val="nil"/>
            </w:tcBorders>
            <w:shd w:val="clear" w:color="auto" w:fill="auto"/>
            <w:noWrap/>
            <w:vAlign w:val="bottom"/>
            <w:hideMark/>
          </w:tcPr>
          <w:p w14:paraId="7A1B2BF0" w14:textId="6F5E5AE2"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41,478 </w:t>
            </w:r>
          </w:p>
        </w:tc>
        <w:tc>
          <w:tcPr>
            <w:tcW w:w="851" w:type="dxa"/>
            <w:gridSpan w:val="2"/>
            <w:tcBorders>
              <w:top w:val="nil"/>
              <w:left w:val="nil"/>
              <w:bottom w:val="nil"/>
              <w:right w:val="nil"/>
            </w:tcBorders>
            <w:shd w:val="clear" w:color="auto" w:fill="auto"/>
            <w:noWrap/>
            <w:vAlign w:val="bottom"/>
            <w:hideMark/>
          </w:tcPr>
          <w:p w14:paraId="7F7187A0" w14:textId="2E6BFFBD"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38,607 </w:t>
            </w:r>
          </w:p>
        </w:tc>
        <w:tc>
          <w:tcPr>
            <w:tcW w:w="850" w:type="dxa"/>
            <w:gridSpan w:val="2"/>
            <w:tcBorders>
              <w:top w:val="nil"/>
              <w:left w:val="nil"/>
              <w:bottom w:val="nil"/>
              <w:right w:val="nil"/>
            </w:tcBorders>
            <w:shd w:val="clear" w:color="auto" w:fill="auto"/>
            <w:noWrap/>
            <w:vAlign w:val="bottom"/>
            <w:hideMark/>
          </w:tcPr>
          <w:p w14:paraId="416D05A1" w14:textId="028BEB9E"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38,746 </w:t>
            </w:r>
          </w:p>
        </w:tc>
      </w:tr>
      <w:tr w:rsidR="003243A3" w:rsidRPr="00C26B09" w14:paraId="42D1425E" w14:textId="77777777" w:rsidTr="007E02F0">
        <w:trPr>
          <w:gridAfter w:val="1"/>
          <w:wAfter w:w="11" w:type="dxa"/>
          <w:trHeight w:val="204"/>
        </w:trPr>
        <w:tc>
          <w:tcPr>
            <w:tcW w:w="3402" w:type="dxa"/>
            <w:tcBorders>
              <w:top w:val="nil"/>
              <w:left w:val="nil"/>
              <w:bottom w:val="nil"/>
              <w:right w:val="nil"/>
            </w:tcBorders>
            <w:shd w:val="clear" w:color="auto" w:fill="auto"/>
            <w:hideMark/>
          </w:tcPr>
          <w:p w14:paraId="08254744" w14:textId="77777777" w:rsidR="003243A3" w:rsidRPr="00C26B09" w:rsidRDefault="003243A3" w:rsidP="003243A3">
            <w:pPr>
              <w:spacing w:after="0" w:line="240" w:lineRule="auto"/>
              <w:ind w:left="372" w:hanging="145"/>
              <w:jc w:val="left"/>
              <w:rPr>
                <w:rFonts w:ascii="Arial" w:hAnsi="Arial" w:cs="Arial"/>
                <w:sz w:val="16"/>
                <w:szCs w:val="16"/>
              </w:rPr>
            </w:pPr>
            <w:r w:rsidRPr="00C26B09">
              <w:rPr>
                <w:rFonts w:ascii="Arial" w:hAnsi="Arial" w:cs="Arial"/>
                <w:sz w:val="16"/>
                <w:szCs w:val="16"/>
              </w:rPr>
              <w:t xml:space="preserve"> - National Portrait Gallery of Australia</w:t>
            </w:r>
          </w:p>
        </w:tc>
        <w:tc>
          <w:tcPr>
            <w:tcW w:w="901" w:type="dxa"/>
            <w:tcBorders>
              <w:top w:val="nil"/>
              <w:left w:val="nil"/>
              <w:bottom w:val="nil"/>
              <w:right w:val="nil"/>
            </w:tcBorders>
            <w:shd w:val="clear" w:color="auto" w:fill="auto"/>
            <w:noWrap/>
            <w:vAlign w:val="bottom"/>
            <w:hideMark/>
          </w:tcPr>
          <w:p w14:paraId="192BA0F2" w14:textId="00AC2128"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12,845 </w:t>
            </w:r>
          </w:p>
        </w:tc>
        <w:tc>
          <w:tcPr>
            <w:tcW w:w="821" w:type="dxa"/>
            <w:tcBorders>
              <w:top w:val="nil"/>
              <w:left w:val="nil"/>
              <w:bottom w:val="nil"/>
              <w:right w:val="nil"/>
            </w:tcBorders>
            <w:shd w:val="clear" w:color="000000" w:fill="E6E6E6"/>
            <w:noWrap/>
            <w:vAlign w:val="bottom"/>
            <w:hideMark/>
          </w:tcPr>
          <w:p w14:paraId="39CA21F5" w14:textId="70F7BAB5"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12,475 </w:t>
            </w:r>
          </w:p>
        </w:tc>
        <w:tc>
          <w:tcPr>
            <w:tcW w:w="829" w:type="dxa"/>
            <w:gridSpan w:val="2"/>
            <w:tcBorders>
              <w:top w:val="nil"/>
              <w:left w:val="nil"/>
              <w:bottom w:val="nil"/>
              <w:right w:val="nil"/>
            </w:tcBorders>
            <w:shd w:val="clear" w:color="auto" w:fill="auto"/>
            <w:noWrap/>
            <w:vAlign w:val="bottom"/>
            <w:hideMark/>
          </w:tcPr>
          <w:p w14:paraId="1A8576C5" w14:textId="4A517467"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12,551 </w:t>
            </w:r>
          </w:p>
        </w:tc>
        <w:tc>
          <w:tcPr>
            <w:tcW w:w="851" w:type="dxa"/>
            <w:gridSpan w:val="2"/>
            <w:tcBorders>
              <w:top w:val="nil"/>
              <w:left w:val="nil"/>
              <w:bottom w:val="nil"/>
              <w:right w:val="nil"/>
            </w:tcBorders>
            <w:shd w:val="clear" w:color="auto" w:fill="auto"/>
            <w:noWrap/>
            <w:vAlign w:val="bottom"/>
            <w:hideMark/>
          </w:tcPr>
          <w:p w14:paraId="0D2A10FA" w14:textId="30C56366"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11,846 </w:t>
            </w:r>
          </w:p>
        </w:tc>
        <w:tc>
          <w:tcPr>
            <w:tcW w:w="850" w:type="dxa"/>
            <w:gridSpan w:val="2"/>
            <w:tcBorders>
              <w:top w:val="nil"/>
              <w:left w:val="nil"/>
              <w:bottom w:val="nil"/>
              <w:right w:val="nil"/>
            </w:tcBorders>
            <w:shd w:val="clear" w:color="auto" w:fill="auto"/>
            <w:noWrap/>
            <w:vAlign w:val="bottom"/>
            <w:hideMark/>
          </w:tcPr>
          <w:p w14:paraId="21D9FD25" w14:textId="01772F8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11,953 </w:t>
            </w:r>
          </w:p>
        </w:tc>
      </w:tr>
      <w:tr w:rsidR="003243A3" w:rsidRPr="00C26B09" w14:paraId="0A3B9194" w14:textId="77777777" w:rsidTr="007E02F0">
        <w:trPr>
          <w:gridAfter w:val="1"/>
          <w:wAfter w:w="11" w:type="dxa"/>
          <w:trHeight w:val="204"/>
        </w:trPr>
        <w:tc>
          <w:tcPr>
            <w:tcW w:w="3402" w:type="dxa"/>
            <w:tcBorders>
              <w:top w:val="nil"/>
              <w:left w:val="nil"/>
              <w:bottom w:val="nil"/>
              <w:right w:val="nil"/>
            </w:tcBorders>
            <w:shd w:val="clear" w:color="auto" w:fill="auto"/>
            <w:hideMark/>
          </w:tcPr>
          <w:p w14:paraId="70EBE663" w14:textId="77777777" w:rsidR="003243A3" w:rsidRPr="00C26B09" w:rsidRDefault="003243A3" w:rsidP="003243A3">
            <w:pPr>
              <w:spacing w:after="0" w:line="240" w:lineRule="auto"/>
              <w:ind w:left="372" w:hanging="145"/>
              <w:jc w:val="left"/>
              <w:rPr>
                <w:rFonts w:ascii="Arial" w:hAnsi="Arial" w:cs="Arial"/>
                <w:sz w:val="16"/>
                <w:szCs w:val="16"/>
              </w:rPr>
            </w:pPr>
            <w:r w:rsidRPr="00C26B09">
              <w:rPr>
                <w:rFonts w:ascii="Arial" w:hAnsi="Arial" w:cs="Arial"/>
                <w:sz w:val="16"/>
                <w:szCs w:val="16"/>
              </w:rPr>
              <w:t xml:space="preserve"> - Screen Australia</w:t>
            </w:r>
          </w:p>
        </w:tc>
        <w:tc>
          <w:tcPr>
            <w:tcW w:w="901" w:type="dxa"/>
            <w:tcBorders>
              <w:top w:val="nil"/>
              <w:left w:val="nil"/>
              <w:bottom w:val="nil"/>
              <w:right w:val="nil"/>
            </w:tcBorders>
            <w:shd w:val="clear" w:color="auto" w:fill="auto"/>
            <w:noWrap/>
            <w:vAlign w:val="bottom"/>
            <w:hideMark/>
          </w:tcPr>
          <w:p w14:paraId="24F266CB" w14:textId="18294FF8"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13,531 </w:t>
            </w:r>
          </w:p>
        </w:tc>
        <w:tc>
          <w:tcPr>
            <w:tcW w:w="821" w:type="dxa"/>
            <w:tcBorders>
              <w:top w:val="nil"/>
              <w:left w:val="nil"/>
              <w:bottom w:val="nil"/>
              <w:right w:val="nil"/>
            </w:tcBorders>
            <w:shd w:val="clear" w:color="000000" w:fill="E6E6E6"/>
            <w:noWrap/>
            <w:vAlign w:val="bottom"/>
            <w:hideMark/>
          </w:tcPr>
          <w:p w14:paraId="025E32EC" w14:textId="50031258"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39,466 </w:t>
            </w:r>
          </w:p>
        </w:tc>
        <w:tc>
          <w:tcPr>
            <w:tcW w:w="829" w:type="dxa"/>
            <w:gridSpan w:val="2"/>
            <w:tcBorders>
              <w:top w:val="nil"/>
              <w:left w:val="nil"/>
              <w:bottom w:val="nil"/>
              <w:right w:val="nil"/>
            </w:tcBorders>
            <w:shd w:val="clear" w:color="auto" w:fill="auto"/>
            <w:noWrap/>
            <w:vAlign w:val="bottom"/>
            <w:hideMark/>
          </w:tcPr>
          <w:p w14:paraId="72D42B8C" w14:textId="54964A49"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27,671 </w:t>
            </w:r>
          </w:p>
        </w:tc>
        <w:tc>
          <w:tcPr>
            <w:tcW w:w="851" w:type="dxa"/>
            <w:gridSpan w:val="2"/>
            <w:tcBorders>
              <w:top w:val="nil"/>
              <w:left w:val="nil"/>
              <w:bottom w:val="nil"/>
              <w:right w:val="nil"/>
            </w:tcBorders>
            <w:shd w:val="clear" w:color="auto" w:fill="auto"/>
            <w:noWrap/>
            <w:vAlign w:val="bottom"/>
            <w:hideMark/>
          </w:tcPr>
          <w:p w14:paraId="50979352" w14:textId="1117C32E"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11,565 </w:t>
            </w:r>
          </w:p>
        </w:tc>
        <w:tc>
          <w:tcPr>
            <w:tcW w:w="850" w:type="dxa"/>
            <w:gridSpan w:val="2"/>
            <w:tcBorders>
              <w:top w:val="nil"/>
              <w:left w:val="nil"/>
              <w:bottom w:val="nil"/>
              <w:right w:val="nil"/>
            </w:tcBorders>
            <w:shd w:val="clear" w:color="auto" w:fill="auto"/>
            <w:noWrap/>
            <w:vAlign w:val="bottom"/>
            <w:hideMark/>
          </w:tcPr>
          <w:p w14:paraId="61FB8C20" w14:textId="4FF0B89F" w:rsidR="003243A3" w:rsidRPr="003243A3" w:rsidRDefault="003243A3" w:rsidP="003243A3">
            <w:pPr>
              <w:spacing w:after="0" w:line="240" w:lineRule="auto"/>
              <w:jc w:val="right"/>
              <w:rPr>
                <w:rFonts w:ascii="Arial" w:hAnsi="Arial" w:cs="Arial"/>
                <w:sz w:val="16"/>
                <w:szCs w:val="16"/>
              </w:rPr>
            </w:pPr>
            <w:r w:rsidRPr="003243A3">
              <w:rPr>
                <w:rFonts w:ascii="Arial" w:hAnsi="Arial" w:cs="Arial"/>
                <w:sz w:val="16"/>
                <w:szCs w:val="16"/>
              </w:rPr>
              <w:t xml:space="preserve">11,678 </w:t>
            </w:r>
          </w:p>
        </w:tc>
      </w:tr>
      <w:tr w:rsidR="003243A3" w:rsidRPr="00C26B09" w14:paraId="626FBFA2" w14:textId="77777777" w:rsidTr="007E02F0">
        <w:trPr>
          <w:gridAfter w:val="1"/>
          <w:wAfter w:w="11" w:type="dxa"/>
          <w:trHeight w:val="204"/>
        </w:trPr>
        <w:tc>
          <w:tcPr>
            <w:tcW w:w="3402" w:type="dxa"/>
            <w:tcBorders>
              <w:top w:val="nil"/>
              <w:left w:val="nil"/>
              <w:bottom w:val="single" w:sz="4" w:space="0" w:color="auto"/>
              <w:right w:val="nil"/>
            </w:tcBorders>
            <w:shd w:val="clear" w:color="auto" w:fill="auto"/>
            <w:noWrap/>
            <w:hideMark/>
          </w:tcPr>
          <w:p w14:paraId="2A4C8819" w14:textId="77777777" w:rsidR="003243A3" w:rsidRPr="00C26B09" w:rsidRDefault="003243A3" w:rsidP="003243A3">
            <w:pPr>
              <w:spacing w:after="0" w:line="240" w:lineRule="auto"/>
              <w:jc w:val="left"/>
              <w:rPr>
                <w:rFonts w:ascii="Arial" w:hAnsi="Arial" w:cs="Arial"/>
                <w:b/>
                <w:bCs/>
                <w:sz w:val="16"/>
                <w:szCs w:val="16"/>
              </w:rPr>
            </w:pPr>
            <w:r w:rsidRPr="00C26B09">
              <w:rPr>
                <w:rFonts w:ascii="Arial" w:hAnsi="Arial" w:cs="Arial"/>
                <w:b/>
                <w:bCs/>
                <w:sz w:val="16"/>
                <w:szCs w:val="16"/>
              </w:rPr>
              <w:t>Total expenses for Program 6.1</w:t>
            </w:r>
          </w:p>
        </w:tc>
        <w:tc>
          <w:tcPr>
            <w:tcW w:w="901" w:type="dxa"/>
            <w:tcBorders>
              <w:top w:val="single" w:sz="4" w:space="0" w:color="auto"/>
              <w:left w:val="nil"/>
              <w:bottom w:val="single" w:sz="4" w:space="0" w:color="auto"/>
              <w:right w:val="nil"/>
            </w:tcBorders>
            <w:shd w:val="clear" w:color="auto" w:fill="auto"/>
            <w:noWrap/>
            <w:vAlign w:val="bottom"/>
            <w:hideMark/>
          </w:tcPr>
          <w:p w14:paraId="550DFCCD" w14:textId="2FD755C5" w:rsidR="003243A3" w:rsidRPr="003243A3" w:rsidRDefault="003243A3" w:rsidP="003243A3">
            <w:pPr>
              <w:spacing w:after="0" w:line="240" w:lineRule="auto"/>
              <w:jc w:val="right"/>
              <w:rPr>
                <w:rFonts w:ascii="Arial" w:hAnsi="Arial" w:cs="Arial"/>
                <w:b/>
                <w:bCs/>
                <w:sz w:val="16"/>
                <w:szCs w:val="16"/>
              </w:rPr>
            </w:pPr>
            <w:r w:rsidRPr="003243A3">
              <w:rPr>
                <w:rFonts w:ascii="Arial" w:hAnsi="Arial" w:cs="Arial"/>
                <w:b/>
                <w:bCs/>
                <w:sz w:val="16"/>
                <w:szCs w:val="16"/>
              </w:rPr>
              <w:t xml:space="preserve">870,709 </w:t>
            </w:r>
          </w:p>
        </w:tc>
        <w:tc>
          <w:tcPr>
            <w:tcW w:w="821" w:type="dxa"/>
            <w:tcBorders>
              <w:top w:val="single" w:sz="4" w:space="0" w:color="auto"/>
              <w:left w:val="nil"/>
              <w:bottom w:val="single" w:sz="4" w:space="0" w:color="auto"/>
              <w:right w:val="nil"/>
            </w:tcBorders>
            <w:shd w:val="clear" w:color="000000" w:fill="E6E6E6"/>
            <w:noWrap/>
            <w:vAlign w:val="bottom"/>
            <w:hideMark/>
          </w:tcPr>
          <w:p w14:paraId="14A81686" w14:textId="36B8BB1D" w:rsidR="003243A3" w:rsidRPr="003243A3" w:rsidRDefault="003243A3" w:rsidP="003243A3">
            <w:pPr>
              <w:spacing w:after="0" w:line="240" w:lineRule="auto"/>
              <w:jc w:val="right"/>
              <w:rPr>
                <w:rFonts w:ascii="Arial" w:hAnsi="Arial" w:cs="Arial"/>
                <w:b/>
                <w:bCs/>
                <w:sz w:val="16"/>
                <w:szCs w:val="16"/>
              </w:rPr>
            </w:pPr>
            <w:r w:rsidRPr="003243A3">
              <w:rPr>
                <w:rFonts w:ascii="Arial" w:hAnsi="Arial" w:cs="Arial"/>
                <w:b/>
                <w:bCs/>
                <w:sz w:val="16"/>
                <w:szCs w:val="16"/>
              </w:rPr>
              <w:t xml:space="preserve">995,183 </w:t>
            </w:r>
          </w:p>
        </w:tc>
        <w:tc>
          <w:tcPr>
            <w:tcW w:w="829" w:type="dxa"/>
            <w:gridSpan w:val="2"/>
            <w:tcBorders>
              <w:top w:val="single" w:sz="4" w:space="0" w:color="auto"/>
              <w:left w:val="nil"/>
              <w:bottom w:val="single" w:sz="4" w:space="0" w:color="auto"/>
              <w:right w:val="nil"/>
            </w:tcBorders>
            <w:shd w:val="clear" w:color="auto" w:fill="auto"/>
            <w:noWrap/>
            <w:vAlign w:val="bottom"/>
            <w:hideMark/>
          </w:tcPr>
          <w:p w14:paraId="0F74C230" w14:textId="57F7DE8D" w:rsidR="003243A3" w:rsidRPr="003243A3" w:rsidRDefault="003243A3" w:rsidP="003243A3">
            <w:pPr>
              <w:spacing w:after="0" w:line="240" w:lineRule="auto"/>
              <w:jc w:val="right"/>
              <w:rPr>
                <w:rFonts w:ascii="Arial" w:hAnsi="Arial" w:cs="Arial"/>
                <w:b/>
                <w:bCs/>
                <w:sz w:val="16"/>
                <w:szCs w:val="16"/>
              </w:rPr>
            </w:pPr>
            <w:r w:rsidRPr="003243A3">
              <w:rPr>
                <w:rFonts w:ascii="Arial" w:hAnsi="Arial" w:cs="Arial"/>
                <w:b/>
                <w:bCs/>
                <w:sz w:val="16"/>
                <w:szCs w:val="16"/>
              </w:rPr>
              <w:t xml:space="preserve">768,826 </w:t>
            </w:r>
          </w:p>
        </w:tc>
        <w:tc>
          <w:tcPr>
            <w:tcW w:w="851" w:type="dxa"/>
            <w:gridSpan w:val="2"/>
            <w:tcBorders>
              <w:top w:val="single" w:sz="4" w:space="0" w:color="auto"/>
              <w:left w:val="nil"/>
              <w:bottom w:val="single" w:sz="4" w:space="0" w:color="auto"/>
              <w:right w:val="nil"/>
            </w:tcBorders>
            <w:shd w:val="clear" w:color="auto" w:fill="auto"/>
            <w:noWrap/>
            <w:vAlign w:val="bottom"/>
            <w:hideMark/>
          </w:tcPr>
          <w:p w14:paraId="0D4A6510" w14:textId="364EDBEA" w:rsidR="003243A3" w:rsidRPr="003243A3" w:rsidRDefault="003243A3" w:rsidP="003243A3">
            <w:pPr>
              <w:spacing w:after="0" w:line="240" w:lineRule="auto"/>
              <w:jc w:val="right"/>
              <w:rPr>
                <w:rFonts w:ascii="Arial" w:hAnsi="Arial" w:cs="Arial"/>
                <w:b/>
                <w:bCs/>
                <w:sz w:val="16"/>
                <w:szCs w:val="16"/>
              </w:rPr>
            </w:pPr>
            <w:r w:rsidRPr="003243A3">
              <w:rPr>
                <w:rFonts w:ascii="Arial" w:hAnsi="Arial" w:cs="Arial"/>
                <w:b/>
                <w:bCs/>
                <w:sz w:val="16"/>
                <w:szCs w:val="16"/>
              </w:rPr>
              <w:t xml:space="preserve">734,471 </w:t>
            </w:r>
          </w:p>
        </w:tc>
        <w:tc>
          <w:tcPr>
            <w:tcW w:w="850" w:type="dxa"/>
            <w:gridSpan w:val="2"/>
            <w:tcBorders>
              <w:top w:val="single" w:sz="4" w:space="0" w:color="auto"/>
              <w:left w:val="nil"/>
              <w:bottom w:val="single" w:sz="4" w:space="0" w:color="auto"/>
              <w:right w:val="nil"/>
            </w:tcBorders>
            <w:shd w:val="clear" w:color="auto" w:fill="auto"/>
            <w:noWrap/>
            <w:vAlign w:val="bottom"/>
            <w:hideMark/>
          </w:tcPr>
          <w:p w14:paraId="7A13BE12" w14:textId="567D6770" w:rsidR="003243A3" w:rsidRPr="003243A3" w:rsidRDefault="003243A3" w:rsidP="003243A3">
            <w:pPr>
              <w:spacing w:after="0" w:line="240" w:lineRule="auto"/>
              <w:jc w:val="right"/>
              <w:rPr>
                <w:rFonts w:ascii="Arial" w:hAnsi="Arial" w:cs="Arial"/>
                <w:b/>
                <w:bCs/>
                <w:sz w:val="16"/>
                <w:szCs w:val="16"/>
              </w:rPr>
            </w:pPr>
            <w:r w:rsidRPr="003243A3">
              <w:rPr>
                <w:rFonts w:ascii="Arial" w:hAnsi="Arial" w:cs="Arial"/>
                <w:b/>
                <w:bCs/>
                <w:sz w:val="16"/>
                <w:szCs w:val="16"/>
              </w:rPr>
              <w:t xml:space="preserve">734,469 </w:t>
            </w:r>
          </w:p>
        </w:tc>
      </w:tr>
    </w:tbl>
    <w:p w14:paraId="08C99BD5" w14:textId="7CCFD11B" w:rsidR="00A27EC7" w:rsidRPr="00FF6B56" w:rsidRDefault="00FF6B56" w:rsidP="00F10ACD">
      <w:pPr>
        <w:pStyle w:val="TableGraphic"/>
        <w:numPr>
          <w:ilvl w:val="0"/>
          <w:numId w:val="42"/>
        </w:numPr>
        <w:spacing w:before="60"/>
        <w:ind w:left="284" w:hanging="284"/>
        <w:rPr>
          <w:rFonts w:ascii="Arial" w:hAnsi="Arial" w:cs="Arial"/>
          <w:i w:val="0"/>
          <w:color w:val="auto"/>
          <w:sz w:val="16"/>
          <w:szCs w:val="16"/>
        </w:rPr>
      </w:pPr>
      <w:r w:rsidRPr="00FF6B56">
        <w:rPr>
          <w:rFonts w:ascii="Arial" w:hAnsi="Arial" w:cs="Arial"/>
          <w:i w:val="0"/>
          <w:color w:val="auto"/>
          <w:sz w:val="16"/>
          <w:szCs w:val="16"/>
        </w:rPr>
        <w:t>These programs are funded under the Relief and Recovery Fund.</w:t>
      </w:r>
    </w:p>
    <w:p w14:paraId="17C6D5B6" w14:textId="722E0B1B" w:rsidR="00FF6B56" w:rsidRPr="00FF6B56" w:rsidRDefault="00FF6B56" w:rsidP="00F10ACD">
      <w:pPr>
        <w:pStyle w:val="ListParagraph"/>
        <w:numPr>
          <w:ilvl w:val="0"/>
          <w:numId w:val="42"/>
        </w:numPr>
        <w:ind w:left="284" w:hanging="284"/>
        <w:jc w:val="both"/>
        <w:rPr>
          <w:rFonts w:ascii="Arial" w:hAnsi="Arial" w:cs="Arial"/>
          <w:sz w:val="16"/>
          <w:szCs w:val="16"/>
        </w:rPr>
      </w:pPr>
      <w:r w:rsidRPr="00FF6B56">
        <w:rPr>
          <w:rFonts w:ascii="Arial" w:hAnsi="Arial" w:cs="Arial"/>
          <w:sz w:val="16"/>
          <w:szCs w:val="16"/>
        </w:rPr>
        <w:t xml:space="preserve">Relates to appropriation for corporate entities provided through the </w:t>
      </w:r>
      <w:r w:rsidR="008863D9">
        <w:rPr>
          <w:rFonts w:ascii="Arial" w:hAnsi="Arial" w:cs="Arial"/>
          <w:sz w:val="16"/>
          <w:szCs w:val="16"/>
        </w:rPr>
        <w:t>Department</w:t>
      </w:r>
      <w:r w:rsidRPr="00FF6B56">
        <w:rPr>
          <w:rFonts w:ascii="Arial" w:hAnsi="Arial" w:cs="Arial"/>
          <w:sz w:val="16"/>
          <w:szCs w:val="16"/>
        </w:rPr>
        <w:t>.</w:t>
      </w:r>
    </w:p>
    <w:p w14:paraId="53413D25" w14:textId="41388671" w:rsidR="00000153" w:rsidRPr="00000153" w:rsidRDefault="00000153" w:rsidP="00D864D6">
      <w:pPr>
        <w:tabs>
          <w:tab w:val="right" w:pos="7711"/>
        </w:tabs>
        <w:spacing w:after="0"/>
        <w:rPr>
          <w:rFonts w:ascii="Arial" w:hAnsi="Arial" w:cs="Arial"/>
          <w:b/>
          <w:bCs/>
        </w:rPr>
      </w:pPr>
      <w:r w:rsidRPr="00000153">
        <w:rPr>
          <w:rFonts w:ascii="Arial" w:hAnsi="Arial" w:cs="Arial"/>
          <w:b/>
          <w:bCs/>
        </w:rPr>
        <w:t>Performance criteria for Outcome 6</w:t>
      </w:r>
      <w:r w:rsidR="009E0B82">
        <w:rPr>
          <w:rFonts w:ascii="Arial" w:hAnsi="Arial" w:cs="Arial"/>
          <w:b/>
          <w:bCs/>
        </w:rPr>
        <w:tab/>
      </w:r>
    </w:p>
    <w:p w14:paraId="050C8CB6" w14:textId="516BE27D" w:rsidR="00D27037" w:rsidRDefault="00000153" w:rsidP="00D95DB5">
      <w:pPr>
        <w:jc w:val="left"/>
        <w:rPr>
          <w:rFonts w:ascii="Arial" w:hAnsi="Arial"/>
          <w:b/>
          <w:sz w:val="30"/>
        </w:rPr>
      </w:pPr>
      <w:r w:rsidRPr="00000153">
        <w:t xml:space="preserve">There has been no change to the performance criteria for Outcome 6 resulting from decisions made since the 2021–22 Budget. The </w:t>
      </w:r>
      <w:r w:rsidR="008863D9">
        <w:t>Department</w:t>
      </w:r>
      <w:r w:rsidRPr="00000153">
        <w:t xml:space="preserve">’s detailed performance criteria can be found in the </w:t>
      </w:r>
      <w:r w:rsidR="00360023" w:rsidRPr="00000153">
        <w:t xml:space="preserve">2021–22 </w:t>
      </w:r>
      <w:r w:rsidRPr="00000153">
        <w:t>Infrastructure, Transport, Regional Development and Communications PB Statements.</w:t>
      </w:r>
      <w:bookmarkStart w:id="319" w:name="_Toc112137880"/>
      <w:bookmarkStart w:id="320" w:name="_Toc112137902"/>
      <w:bookmarkStart w:id="321" w:name="_Toc210646455"/>
      <w:bookmarkStart w:id="322" w:name="_Toc210698434"/>
      <w:bookmarkStart w:id="323" w:name="_Toc210703217"/>
      <w:bookmarkStart w:id="324" w:name="_Toc93405044"/>
      <w:bookmarkStart w:id="325" w:name="_Toc143309827"/>
      <w:bookmarkStart w:id="326" w:name="OLE_LINK7"/>
      <w:bookmarkStart w:id="327" w:name="OLE_LINK8"/>
      <w:bookmarkStart w:id="328" w:name="_Toc35936966"/>
      <w:bookmarkStart w:id="329" w:name="_Toc77998691"/>
      <w:bookmarkStart w:id="330" w:name="_Toc79406120"/>
      <w:bookmarkStart w:id="331" w:name="_Toc79467822"/>
      <w:bookmarkStart w:id="332" w:name="_Toc112137881"/>
      <w:bookmarkStart w:id="333" w:name="_Toc112137903"/>
      <w:bookmarkStart w:id="334" w:name="_Toc210646456"/>
      <w:bookmarkStart w:id="335" w:name="_Toc210698435"/>
      <w:bookmarkStart w:id="336" w:name="_Toc492800629"/>
      <w:bookmarkStart w:id="337" w:name="_Toc436624160"/>
      <w:bookmarkStart w:id="338" w:name="_Toc436625461"/>
      <w:bookmarkStart w:id="339" w:name="_Toc449255783"/>
      <w:bookmarkStart w:id="340" w:name="_Toc490972415"/>
      <w:bookmarkStart w:id="341" w:name="_Toc491014635"/>
      <w:bookmarkStart w:id="342" w:name="_Toc491014777"/>
      <w:bookmarkStart w:id="343" w:name="_Toc491014957"/>
      <w:bookmarkStart w:id="344" w:name="_Toc491015104"/>
      <w:bookmarkStart w:id="345" w:name="_Toc491029247"/>
      <w:bookmarkStart w:id="346" w:name="_Toc491030336"/>
      <w:bookmarkStart w:id="347" w:name="_Toc491030795"/>
      <w:bookmarkStart w:id="348" w:name="_Toc491031358"/>
      <w:bookmarkStart w:id="349" w:name="_Toc491031945"/>
      <w:bookmarkStart w:id="350" w:name="_Toc491032124"/>
      <w:bookmarkStart w:id="351" w:name="_Toc491032226"/>
      <w:bookmarkStart w:id="352" w:name="_Toc491032333"/>
      <w:bookmarkStart w:id="353" w:name="_Toc491771728"/>
      <w:bookmarkStart w:id="354" w:name="_Toc491773303"/>
      <w:bookmarkStart w:id="355" w:name="_Toc23559358"/>
      <w:bookmarkStart w:id="356" w:name="_Toc23559392"/>
      <w:bookmarkStart w:id="357" w:name="_Toc23559679"/>
      <w:bookmarkStart w:id="358" w:name="_Toc23560148"/>
      <w:bookmarkStart w:id="359" w:name="_Toc23563441"/>
      <w:r w:rsidR="00D27037">
        <w:br w:type="page"/>
      </w:r>
    </w:p>
    <w:p w14:paraId="1986707F" w14:textId="0DF82E15" w:rsidR="006F19D3" w:rsidRPr="00F37CD1" w:rsidRDefault="006F19D3" w:rsidP="00F37CD1">
      <w:pPr>
        <w:pStyle w:val="Heading2-TOCDITRDC"/>
      </w:pPr>
      <w:bookmarkStart w:id="360" w:name="_Toc94854650"/>
      <w:r w:rsidRPr="00F37CD1">
        <w:lastRenderedPageBreak/>
        <w:t>Section 3</w:t>
      </w:r>
      <w:bookmarkStart w:id="361" w:name="_Toc436624159"/>
      <w:bookmarkStart w:id="362" w:name="_Toc436625460"/>
      <w:bookmarkStart w:id="363" w:name="_Toc446237038"/>
      <w:bookmarkStart w:id="364" w:name="_Toc449255782"/>
      <w:r w:rsidRPr="00F37CD1">
        <w:t xml:space="preserve">: Special account flows and budgeted financial </w:t>
      </w:r>
      <w:r w:rsidR="001D4659" w:rsidRPr="00F37CD1">
        <w:t>s</w:t>
      </w:r>
      <w:r w:rsidRPr="00F37CD1">
        <w:t>tatements</w:t>
      </w:r>
      <w:bookmarkStart w:id="365" w:name="_Toc190682316"/>
      <w:bookmarkStart w:id="366" w:name="_Toc190682533"/>
      <w:bookmarkStart w:id="367" w:name="_Toc210703218"/>
      <w:bookmarkEnd w:id="319"/>
      <w:bookmarkEnd w:id="320"/>
      <w:bookmarkEnd w:id="321"/>
      <w:bookmarkEnd w:id="322"/>
      <w:bookmarkEnd w:id="323"/>
      <w:bookmarkEnd w:id="324"/>
      <w:bookmarkEnd w:id="361"/>
      <w:bookmarkEnd w:id="362"/>
      <w:bookmarkEnd w:id="363"/>
      <w:bookmarkEnd w:id="364"/>
      <w:bookmarkEnd w:id="360"/>
    </w:p>
    <w:p w14:paraId="55968589" w14:textId="77777777" w:rsidR="006F19D3" w:rsidRPr="004D3E2B" w:rsidRDefault="006F19D3" w:rsidP="00B87CAB">
      <w:pPr>
        <w:pStyle w:val="Heading3DITRDC"/>
      </w:pPr>
      <w:bookmarkStart w:id="368" w:name="_Toc531095071"/>
      <w:bookmarkStart w:id="369" w:name="_Toc92992119"/>
      <w:bookmarkStart w:id="370" w:name="_Toc93405045"/>
      <w:bookmarkStart w:id="371" w:name="_Toc94854651"/>
      <w:r w:rsidRPr="004D3E2B">
        <w:t>3.1</w:t>
      </w:r>
      <w:r w:rsidRPr="004D3E2B">
        <w:tab/>
      </w:r>
      <w:bookmarkEnd w:id="365"/>
      <w:bookmarkEnd w:id="366"/>
      <w:bookmarkEnd w:id="367"/>
      <w:r w:rsidRPr="004D3E2B">
        <w:t>Special account flows</w:t>
      </w:r>
      <w:bookmarkEnd w:id="368"/>
      <w:bookmarkEnd w:id="369"/>
      <w:bookmarkEnd w:id="370"/>
      <w:bookmarkEnd w:id="371"/>
    </w:p>
    <w:p w14:paraId="0A8DCAF7" w14:textId="77777777" w:rsidR="00F51DAC" w:rsidRDefault="00F51DAC" w:rsidP="0036693C">
      <w:pPr>
        <w:pStyle w:val="Heading4"/>
        <w:spacing w:after="0"/>
      </w:pPr>
      <w:r w:rsidRPr="004928FF">
        <w:t xml:space="preserve">Estimates of </w:t>
      </w:r>
      <w:r w:rsidR="00C264AC">
        <w:t>s</w:t>
      </w:r>
      <w:r w:rsidR="00C264AC" w:rsidRPr="004928FF">
        <w:t xml:space="preserve">pecial </w:t>
      </w:r>
      <w:r w:rsidR="00C264AC">
        <w:t>a</w:t>
      </w:r>
      <w:r w:rsidR="00C264AC" w:rsidRPr="004928FF">
        <w:t xml:space="preserve">ccount </w:t>
      </w:r>
      <w:r w:rsidR="00C264AC">
        <w:t>f</w:t>
      </w:r>
      <w:r w:rsidR="00C264AC" w:rsidRPr="004928FF">
        <w:t>lows</w:t>
      </w:r>
      <w:bookmarkEnd w:id="325"/>
    </w:p>
    <w:bookmarkEnd w:id="326"/>
    <w:bookmarkEnd w:id="327"/>
    <w:p w14:paraId="7CB0124F" w14:textId="5838F08A" w:rsidR="00F51DAC" w:rsidRDefault="00F51DAC" w:rsidP="0036693C">
      <w:pPr>
        <w:jc w:val="left"/>
      </w:pPr>
      <w:r>
        <w:t xml:space="preserve">Special </w:t>
      </w:r>
      <w:r w:rsidR="004E017C">
        <w:t>A</w:t>
      </w:r>
      <w:r>
        <w:t>ccounts provide a means to set aside and record amounts used for</w:t>
      </w:r>
      <w:r w:rsidR="001F46A6">
        <w:t xml:space="preserve"> specified purposes. Table 3.1</w:t>
      </w:r>
      <w:r>
        <w:t xml:space="preserve"> shows the expected additions (receipts) and reductions (payments) for each account used by </w:t>
      </w:r>
      <w:r w:rsidR="00192B13">
        <w:t xml:space="preserve">the </w:t>
      </w:r>
      <w:r w:rsidR="008863D9">
        <w:t>Department</w:t>
      </w:r>
      <w:r w:rsidR="00D5737A">
        <w:t>.</w:t>
      </w:r>
    </w:p>
    <w:p w14:paraId="09BB63D4" w14:textId="77777777" w:rsidR="00F51DAC" w:rsidRPr="004E017C" w:rsidRDefault="001F46A6" w:rsidP="00F51DAC">
      <w:pPr>
        <w:pStyle w:val="TableHeading"/>
      </w:pPr>
      <w:r w:rsidRPr="00532A05">
        <w:t>Table 3.1</w:t>
      </w:r>
      <w:r w:rsidR="00F51DAC" w:rsidRPr="00532A05">
        <w:t xml:space="preserve">: Estimates of </w:t>
      </w:r>
      <w:r w:rsidR="00C264AC" w:rsidRPr="00532A05">
        <w:t>special account flows and balances</w:t>
      </w:r>
    </w:p>
    <w:tbl>
      <w:tblPr>
        <w:tblW w:w="0" w:type="auto"/>
        <w:tblLayout w:type="fixed"/>
        <w:tblCellMar>
          <w:left w:w="0" w:type="dxa"/>
          <w:right w:w="0" w:type="dxa"/>
        </w:tblCellMar>
        <w:tblLook w:val="04A0" w:firstRow="1" w:lastRow="0" w:firstColumn="1" w:lastColumn="0" w:noHBand="0" w:noVBand="1"/>
      </w:tblPr>
      <w:tblGrid>
        <w:gridCol w:w="2857"/>
        <w:gridCol w:w="893"/>
        <w:gridCol w:w="834"/>
        <w:gridCol w:w="1070"/>
        <w:gridCol w:w="864"/>
        <w:gridCol w:w="992"/>
      </w:tblGrid>
      <w:tr w:rsidR="00645E3F" w:rsidRPr="00E559BC" w14:paraId="512345EB" w14:textId="77777777" w:rsidTr="00645E3F">
        <w:trPr>
          <w:trHeight w:val="622"/>
        </w:trPr>
        <w:tc>
          <w:tcPr>
            <w:tcW w:w="2857" w:type="dxa"/>
            <w:tcBorders>
              <w:top w:val="single" w:sz="4" w:space="0" w:color="auto"/>
              <w:left w:val="nil"/>
              <w:right w:val="nil"/>
            </w:tcBorders>
            <w:shd w:val="clear" w:color="auto" w:fill="auto"/>
            <w:noWrap/>
            <w:vAlign w:val="bottom"/>
            <w:hideMark/>
          </w:tcPr>
          <w:p w14:paraId="27B5FFCD" w14:textId="77777777" w:rsidR="0036693C" w:rsidRPr="00E559BC" w:rsidRDefault="0036693C" w:rsidP="00E559BC">
            <w:pPr>
              <w:spacing w:after="0" w:line="240" w:lineRule="auto"/>
              <w:jc w:val="left"/>
              <w:rPr>
                <w:rFonts w:ascii="Arial" w:hAnsi="Arial" w:cs="Arial"/>
                <w:color w:val="000000"/>
                <w:sz w:val="16"/>
                <w:szCs w:val="16"/>
              </w:rPr>
            </w:pPr>
            <w:r w:rsidRPr="00E559BC">
              <w:rPr>
                <w:rFonts w:ascii="Arial" w:hAnsi="Arial" w:cs="Arial"/>
                <w:color w:val="000000"/>
                <w:sz w:val="16"/>
                <w:szCs w:val="16"/>
              </w:rPr>
              <w:t> </w:t>
            </w:r>
          </w:p>
          <w:p w14:paraId="4FBC9E21" w14:textId="0C231146" w:rsidR="0036693C" w:rsidRPr="00E559BC" w:rsidRDefault="0036693C" w:rsidP="00E559BC">
            <w:pPr>
              <w:spacing w:after="0" w:line="240" w:lineRule="auto"/>
              <w:jc w:val="left"/>
              <w:rPr>
                <w:rFonts w:ascii="Arial" w:hAnsi="Arial" w:cs="Arial"/>
                <w:color w:val="000000"/>
                <w:sz w:val="16"/>
                <w:szCs w:val="16"/>
              </w:rPr>
            </w:pPr>
            <w:r w:rsidRPr="00E559BC">
              <w:rPr>
                <w:rFonts w:ascii="Arial" w:hAnsi="Arial" w:cs="Arial"/>
                <w:color w:val="000000"/>
                <w:sz w:val="16"/>
                <w:szCs w:val="16"/>
              </w:rPr>
              <w:t> </w:t>
            </w:r>
          </w:p>
        </w:tc>
        <w:tc>
          <w:tcPr>
            <w:tcW w:w="893" w:type="dxa"/>
            <w:tcBorders>
              <w:top w:val="single" w:sz="4" w:space="0" w:color="auto"/>
              <w:left w:val="nil"/>
              <w:bottom w:val="single" w:sz="4" w:space="0" w:color="auto"/>
              <w:right w:val="nil"/>
            </w:tcBorders>
            <w:shd w:val="clear" w:color="auto" w:fill="auto"/>
            <w:noWrap/>
            <w:vAlign w:val="bottom"/>
            <w:hideMark/>
          </w:tcPr>
          <w:p w14:paraId="33F0101D" w14:textId="77777777" w:rsidR="0036693C" w:rsidRPr="00E559BC" w:rsidRDefault="0036693C" w:rsidP="0036693C">
            <w:pPr>
              <w:spacing w:after="0" w:line="240" w:lineRule="auto"/>
              <w:ind w:right="57"/>
              <w:jc w:val="center"/>
              <w:rPr>
                <w:rFonts w:ascii="Arial" w:hAnsi="Arial" w:cs="Arial"/>
                <w:color w:val="000000"/>
                <w:sz w:val="16"/>
                <w:szCs w:val="16"/>
              </w:rPr>
            </w:pPr>
            <w:r w:rsidRPr="00E559BC">
              <w:rPr>
                <w:rFonts w:ascii="Arial" w:hAnsi="Arial" w:cs="Arial"/>
                <w:color w:val="000000"/>
                <w:sz w:val="16"/>
                <w:szCs w:val="16"/>
              </w:rPr>
              <w:t>Outcome</w:t>
            </w:r>
          </w:p>
          <w:p w14:paraId="120B3BB9" w14:textId="1BA6EEBF" w:rsidR="0036693C" w:rsidRPr="00E559BC" w:rsidRDefault="0036693C" w:rsidP="0036693C">
            <w:pPr>
              <w:spacing w:after="0" w:line="240" w:lineRule="auto"/>
              <w:ind w:right="57"/>
              <w:jc w:val="center"/>
              <w:rPr>
                <w:rFonts w:ascii="Arial" w:hAnsi="Arial" w:cs="Arial"/>
                <w:color w:val="000000"/>
                <w:sz w:val="16"/>
                <w:szCs w:val="16"/>
              </w:rPr>
            </w:pPr>
            <w:r w:rsidRPr="00E559BC">
              <w:rPr>
                <w:rFonts w:ascii="Arial" w:hAnsi="Arial" w:cs="Arial"/>
                <w:color w:val="000000"/>
                <w:sz w:val="16"/>
                <w:szCs w:val="16"/>
              </w:rPr>
              <w:t> </w:t>
            </w:r>
          </w:p>
        </w:tc>
        <w:tc>
          <w:tcPr>
            <w:tcW w:w="834" w:type="dxa"/>
            <w:tcBorders>
              <w:top w:val="single" w:sz="4" w:space="0" w:color="auto"/>
              <w:left w:val="nil"/>
              <w:bottom w:val="single" w:sz="4" w:space="0" w:color="auto"/>
              <w:right w:val="nil"/>
            </w:tcBorders>
            <w:shd w:val="clear" w:color="auto" w:fill="auto"/>
            <w:noWrap/>
            <w:vAlign w:val="bottom"/>
            <w:hideMark/>
          </w:tcPr>
          <w:p w14:paraId="42A01D7C" w14:textId="77777777"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Opening</w:t>
            </w:r>
          </w:p>
          <w:p w14:paraId="1397E768" w14:textId="77777777"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Balance</w:t>
            </w:r>
          </w:p>
          <w:p w14:paraId="53FED29E" w14:textId="45952D97"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$'000</w:t>
            </w:r>
          </w:p>
        </w:tc>
        <w:tc>
          <w:tcPr>
            <w:tcW w:w="1070" w:type="dxa"/>
            <w:tcBorders>
              <w:top w:val="single" w:sz="4" w:space="0" w:color="auto"/>
              <w:left w:val="nil"/>
              <w:bottom w:val="single" w:sz="4" w:space="0" w:color="auto"/>
              <w:right w:val="nil"/>
            </w:tcBorders>
            <w:shd w:val="clear" w:color="000000" w:fill="E6E6E6"/>
            <w:noWrap/>
            <w:vAlign w:val="bottom"/>
            <w:hideMark/>
          </w:tcPr>
          <w:p w14:paraId="40CB1F2B" w14:textId="77777777"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Receipts</w:t>
            </w:r>
          </w:p>
          <w:p w14:paraId="4B7797C0" w14:textId="77777777"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 </w:t>
            </w:r>
          </w:p>
          <w:p w14:paraId="71E2C9E4" w14:textId="46058681"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$'000</w:t>
            </w:r>
          </w:p>
        </w:tc>
        <w:tc>
          <w:tcPr>
            <w:tcW w:w="864" w:type="dxa"/>
            <w:tcBorders>
              <w:top w:val="single" w:sz="4" w:space="0" w:color="auto"/>
              <w:left w:val="nil"/>
              <w:bottom w:val="single" w:sz="4" w:space="0" w:color="auto"/>
              <w:right w:val="nil"/>
            </w:tcBorders>
            <w:shd w:val="clear" w:color="000000" w:fill="E6E6E6"/>
            <w:noWrap/>
            <w:vAlign w:val="bottom"/>
            <w:hideMark/>
          </w:tcPr>
          <w:p w14:paraId="168B5CAD" w14:textId="77777777"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Payments</w:t>
            </w:r>
          </w:p>
          <w:p w14:paraId="7B6F1649" w14:textId="77777777"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 </w:t>
            </w:r>
          </w:p>
          <w:p w14:paraId="24682F82" w14:textId="6FB6EC9F"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$'000</w:t>
            </w:r>
          </w:p>
        </w:tc>
        <w:tc>
          <w:tcPr>
            <w:tcW w:w="992" w:type="dxa"/>
            <w:tcBorders>
              <w:top w:val="single" w:sz="4" w:space="0" w:color="auto"/>
              <w:left w:val="nil"/>
              <w:bottom w:val="single" w:sz="4" w:space="0" w:color="auto"/>
              <w:right w:val="nil"/>
            </w:tcBorders>
            <w:shd w:val="clear" w:color="000000" w:fill="E6E6E6"/>
            <w:noWrap/>
            <w:vAlign w:val="bottom"/>
            <w:hideMark/>
          </w:tcPr>
          <w:p w14:paraId="1AEE7D47" w14:textId="77777777"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Closing</w:t>
            </w:r>
          </w:p>
          <w:p w14:paraId="4A48DB3E" w14:textId="77777777"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Balance</w:t>
            </w:r>
          </w:p>
          <w:p w14:paraId="4BF3557C" w14:textId="680FBA2E" w:rsidR="0036693C" w:rsidRPr="00E559BC" w:rsidRDefault="0036693C" w:rsidP="0036693C">
            <w:pPr>
              <w:spacing w:after="0" w:line="240" w:lineRule="auto"/>
              <w:ind w:right="57"/>
              <w:jc w:val="right"/>
              <w:rPr>
                <w:rFonts w:ascii="Arial" w:hAnsi="Arial" w:cs="Arial"/>
                <w:color w:val="000000"/>
                <w:sz w:val="16"/>
                <w:szCs w:val="16"/>
              </w:rPr>
            </w:pPr>
            <w:r w:rsidRPr="00E559BC">
              <w:rPr>
                <w:rFonts w:ascii="Arial" w:hAnsi="Arial" w:cs="Arial"/>
                <w:color w:val="000000"/>
                <w:sz w:val="16"/>
                <w:szCs w:val="16"/>
              </w:rPr>
              <w:t>$'000</w:t>
            </w:r>
          </w:p>
        </w:tc>
      </w:tr>
      <w:tr w:rsidR="00645E3F" w:rsidRPr="00E559BC" w14:paraId="27198D1E" w14:textId="77777777" w:rsidTr="00645E3F">
        <w:trPr>
          <w:trHeight w:val="204"/>
        </w:trPr>
        <w:tc>
          <w:tcPr>
            <w:tcW w:w="2857" w:type="dxa"/>
            <w:tcBorders>
              <w:top w:val="nil"/>
              <w:left w:val="nil"/>
              <w:bottom w:val="nil"/>
              <w:right w:val="nil"/>
            </w:tcBorders>
            <w:shd w:val="clear" w:color="auto" w:fill="auto"/>
            <w:vAlign w:val="bottom"/>
            <w:hideMark/>
          </w:tcPr>
          <w:p w14:paraId="715B7FE6" w14:textId="77777777" w:rsidR="00E559BC" w:rsidRPr="00192B13" w:rsidRDefault="00E559BC" w:rsidP="00E559BC">
            <w:pPr>
              <w:spacing w:after="0" w:line="240" w:lineRule="auto"/>
              <w:jc w:val="left"/>
              <w:rPr>
                <w:rFonts w:ascii="Arial" w:hAnsi="Arial" w:cs="Arial"/>
                <w:sz w:val="16"/>
                <w:szCs w:val="16"/>
              </w:rPr>
            </w:pPr>
            <w:r w:rsidRPr="00192B13">
              <w:rPr>
                <w:rFonts w:ascii="Arial" w:hAnsi="Arial" w:cs="Arial"/>
                <w:sz w:val="16"/>
                <w:szCs w:val="16"/>
              </w:rPr>
              <w:t xml:space="preserve">Art Rental Special Account </w:t>
            </w:r>
            <w:r w:rsidRPr="00CD6F49">
              <w:rPr>
                <w:rFonts w:ascii="Arial" w:hAnsi="Arial" w:cs="Arial"/>
                <w:sz w:val="16"/>
                <w:szCs w:val="16"/>
              </w:rPr>
              <w:t>(D)</w:t>
            </w:r>
          </w:p>
        </w:tc>
        <w:tc>
          <w:tcPr>
            <w:tcW w:w="893" w:type="dxa"/>
            <w:tcBorders>
              <w:top w:val="single" w:sz="4" w:space="0" w:color="auto"/>
              <w:left w:val="nil"/>
              <w:bottom w:val="nil"/>
              <w:right w:val="nil"/>
            </w:tcBorders>
            <w:shd w:val="clear" w:color="auto" w:fill="auto"/>
            <w:vAlign w:val="bottom"/>
            <w:hideMark/>
          </w:tcPr>
          <w:p w14:paraId="5E46918A" w14:textId="77777777" w:rsidR="00E559BC" w:rsidRPr="00E559BC" w:rsidRDefault="00E559BC" w:rsidP="008C49BA">
            <w:pPr>
              <w:spacing w:after="0" w:line="240" w:lineRule="auto"/>
              <w:jc w:val="center"/>
              <w:rPr>
                <w:rFonts w:ascii="Arial" w:hAnsi="Arial" w:cs="Arial"/>
                <w:sz w:val="16"/>
                <w:szCs w:val="16"/>
              </w:rPr>
            </w:pPr>
            <w:r w:rsidRPr="00E559BC">
              <w:rPr>
                <w:rFonts w:ascii="Arial" w:hAnsi="Arial" w:cs="Arial"/>
                <w:sz w:val="16"/>
                <w:szCs w:val="16"/>
              </w:rPr>
              <w:t>6</w:t>
            </w:r>
          </w:p>
        </w:tc>
        <w:tc>
          <w:tcPr>
            <w:tcW w:w="834" w:type="dxa"/>
            <w:tcBorders>
              <w:top w:val="single" w:sz="4" w:space="0" w:color="auto"/>
              <w:left w:val="nil"/>
              <w:bottom w:val="nil"/>
              <w:right w:val="nil"/>
            </w:tcBorders>
            <w:shd w:val="clear" w:color="auto" w:fill="auto"/>
            <w:noWrap/>
            <w:vAlign w:val="bottom"/>
            <w:hideMark/>
          </w:tcPr>
          <w:p w14:paraId="544A460E" w14:textId="77777777" w:rsidR="00E559BC" w:rsidRPr="00E559BC" w:rsidRDefault="00E559BC" w:rsidP="0036693C">
            <w:pPr>
              <w:spacing w:after="0" w:line="240" w:lineRule="auto"/>
              <w:ind w:right="57"/>
              <w:jc w:val="right"/>
              <w:rPr>
                <w:rFonts w:ascii="Arial" w:hAnsi="Arial" w:cs="Arial"/>
                <w:sz w:val="16"/>
                <w:szCs w:val="16"/>
              </w:rPr>
            </w:pPr>
          </w:p>
        </w:tc>
        <w:tc>
          <w:tcPr>
            <w:tcW w:w="1070" w:type="dxa"/>
            <w:tcBorders>
              <w:top w:val="single" w:sz="4" w:space="0" w:color="auto"/>
              <w:left w:val="nil"/>
              <w:bottom w:val="nil"/>
              <w:right w:val="nil"/>
            </w:tcBorders>
            <w:shd w:val="clear" w:color="000000" w:fill="E6E6E6"/>
            <w:noWrap/>
            <w:vAlign w:val="bottom"/>
            <w:hideMark/>
          </w:tcPr>
          <w:p w14:paraId="406E68A5" w14:textId="24B1185A" w:rsidR="00E559BC" w:rsidRPr="00E559BC" w:rsidRDefault="00E559BC" w:rsidP="0036693C">
            <w:pPr>
              <w:spacing w:after="0" w:line="240" w:lineRule="auto"/>
              <w:ind w:right="57"/>
              <w:jc w:val="right"/>
              <w:rPr>
                <w:rFonts w:ascii="Arial" w:hAnsi="Arial" w:cs="Arial"/>
                <w:color w:val="000000"/>
                <w:sz w:val="16"/>
                <w:szCs w:val="16"/>
              </w:rPr>
            </w:pPr>
          </w:p>
        </w:tc>
        <w:tc>
          <w:tcPr>
            <w:tcW w:w="864" w:type="dxa"/>
            <w:tcBorders>
              <w:top w:val="single" w:sz="4" w:space="0" w:color="auto"/>
              <w:left w:val="nil"/>
              <w:bottom w:val="nil"/>
              <w:right w:val="nil"/>
            </w:tcBorders>
            <w:shd w:val="clear" w:color="000000" w:fill="E6E6E6"/>
            <w:noWrap/>
            <w:vAlign w:val="bottom"/>
            <w:hideMark/>
          </w:tcPr>
          <w:p w14:paraId="66B14872" w14:textId="38FFF7C2" w:rsidR="00E559BC" w:rsidRPr="00E559BC" w:rsidRDefault="00E559BC" w:rsidP="0036693C">
            <w:pPr>
              <w:spacing w:after="0" w:line="240" w:lineRule="auto"/>
              <w:ind w:right="57"/>
              <w:jc w:val="right"/>
              <w:rPr>
                <w:rFonts w:ascii="Arial" w:hAnsi="Arial" w:cs="Arial"/>
                <w:color w:val="000000"/>
                <w:sz w:val="16"/>
                <w:szCs w:val="16"/>
              </w:rPr>
            </w:pPr>
          </w:p>
        </w:tc>
        <w:tc>
          <w:tcPr>
            <w:tcW w:w="992" w:type="dxa"/>
            <w:tcBorders>
              <w:top w:val="single" w:sz="4" w:space="0" w:color="auto"/>
              <w:left w:val="nil"/>
              <w:bottom w:val="nil"/>
              <w:right w:val="nil"/>
            </w:tcBorders>
            <w:shd w:val="clear" w:color="000000" w:fill="E6E6E6"/>
            <w:noWrap/>
            <w:vAlign w:val="bottom"/>
            <w:hideMark/>
          </w:tcPr>
          <w:p w14:paraId="3A353AB2" w14:textId="4ED096C1" w:rsidR="00E559BC" w:rsidRPr="00E559BC" w:rsidRDefault="00E559BC" w:rsidP="0036693C">
            <w:pPr>
              <w:spacing w:after="0" w:line="240" w:lineRule="auto"/>
              <w:ind w:right="57"/>
              <w:jc w:val="right"/>
              <w:rPr>
                <w:rFonts w:ascii="Arial" w:hAnsi="Arial" w:cs="Arial"/>
                <w:color w:val="000000"/>
                <w:sz w:val="16"/>
                <w:szCs w:val="16"/>
              </w:rPr>
            </w:pPr>
          </w:p>
        </w:tc>
      </w:tr>
      <w:tr w:rsidR="00645E3F" w:rsidRPr="00E559BC" w14:paraId="4D4AD2AD" w14:textId="77777777" w:rsidTr="00645E3F">
        <w:trPr>
          <w:trHeight w:val="204"/>
        </w:trPr>
        <w:tc>
          <w:tcPr>
            <w:tcW w:w="2857" w:type="dxa"/>
            <w:tcBorders>
              <w:top w:val="nil"/>
              <w:left w:val="nil"/>
              <w:bottom w:val="nil"/>
              <w:right w:val="nil"/>
            </w:tcBorders>
            <w:shd w:val="clear" w:color="auto" w:fill="auto"/>
            <w:noWrap/>
            <w:tcMar>
              <w:top w:w="0" w:type="dxa"/>
              <w:left w:w="135" w:type="dxa"/>
              <w:bottom w:w="0" w:type="dxa"/>
              <w:right w:w="0" w:type="dxa"/>
            </w:tcMar>
            <w:vAlign w:val="bottom"/>
            <w:hideMark/>
          </w:tcPr>
          <w:p w14:paraId="1A477232" w14:textId="77777777" w:rsidR="00DD41B5" w:rsidRPr="00192B13" w:rsidRDefault="00DD41B5" w:rsidP="00DA54CA">
            <w:pPr>
              <w:spacing w:after="0" w:line="240" w:lineRule="auto"/>
              <w:jc w:val="left"/>
              <w:rPr>
                <w:rFonts w:ascii="Arial" w:hAnsi="Arial" w:cs="Arial"/>
                <w:b/>
                <w:bCs/>
                <w:sz w:val="16"/>
                <w:szCs w:val="16"/>
              </w:rPr>
            </w:pPr>
            <w:r w:rsidRPr="00192B13">
              <w:rPr>
                <w:rFonts w:ascii="Arial" w:hAnsi="Arial" w:cs="Arial"/>
                <w:b/>
                <w:bCs/>
                <w:sz w:val="16"/>
                <w:szCs w:val="16"/>
              </w:rPr>
              <w:t>2020-21</w:t>
            </w:r>
          </w:p>
        </w:tc>
        <w:tc>
          <w:tcPr>
            <w:tcW w:w="893" w:type="dxa"/>
            <w:tcBorders>
              <w:top w:val="nil"/>
              <w:left w:val="nil"/>
              <w:bottom w:val="nil"/>
              <w:right w:val="nil"/>
            </w:tcBorders>
            <w:shd w:val="clear" w:color="auto" w:fill="auto"/>
            <w:vAlign w:val="bottom"/>
            <w:hideMark/>
          </w:tcPr>
          <w:p w14:paraId="41F4A7C7" w14:textId="77777777" w:rsidR="00DD41B5" w:rsidRPr="00E559BC" w:rsidRDefault="00DD41B5" w:rsidP="00DD41B5">
            <w:pPr>
              <w:spacing w:after="0" w:line="240" w:lineRule="auto"/>
              <w:ind w:firstLineChars="100" w:firstLine="160"/>
              <w:jc w:val="right"/>
              <w:rPr>
                <w:rFonts w:ascii="Arial" w:hAnsi="Arial" w:cs="Arial"/>
                <w:b/>
                <w:bCs/>
                <w:sz w:val="16"/>
                <w:szCs w:val="16"/>
              </w:rPr>
            </w:pPr>
          </w:p>
        </w:tc>
        <w:tc>
          <w:tcPr>
            <w:tcW w:w="834" w:type="dxa"/>
            <w:tcBorders>
              <w:top w:val="nil"/>
              <w:left w:val="nil"/>
              <w:bottom w:val="nil"/>
              <w:right w:val="nil"/>
            </w:tcBorders>
            <w:shd w:val="clear" w:color="auto" w:fill="auto"/>
            <w:noWrap/>
            <w:vAlign w:val="bottom"/>
            <w:hideMark/>
          </w:tcPr>
          <w:p w14:paraId="61D55F4C" w14:textId="7D296781"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2,786</w:t>
            </w:r>
          </w:p>
        </w:tc>
        <w:tc>
          <w:tcPr>
            <w:tcW w:w="1070" w:type="dxa"/>
            <w:tcBorders>
              <w:top w:val="nil"/>
              <w:left w:val="nil"/>
              <w:bottom w:val="nil"/>
              <w:right w:val="nil"/>
            </w:tcBorders>
            <w:shd w:val="clear" w:color="C0C0C0" w:fill="E6E6E6"/>
            <w:noWrap/>
            <w:vAlign w:val="bottom"/>
            <w:hideMark/>
          </w:tcPr>
          <w:p w14:paraId="51B5D6ED" w14:textId="3874CD2E"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3,641</w:t>
            </w:r>
          </w:p>
        </w:tc>
        <w:tc>
          <w:tcPr>
            <w:tcW w:w="864" w:type="dxa"/>
            <w:tcBorders>
              <w:top w:val="nil"/>
              <w:left w:val="nil"/>
              <w:bottom w:val="nil"/>
              <w:right w:val="nil"/>
            </w:tcBorders>
            <w:shd w:val="clear" w:color="C0C0C0" w:fill="E6E6E6"/>
            <w:noWrap/>
            <w:vAlign w:val="bottom"/>
            <w:hideMark/>
          </w:tcPr>
          <w:p w14:paraId="480326A7" w14:textId="3ACF7955"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(3,608)</w:t>
            </w:r>
          </w:p>
        </w:tc>
        <w:tc>
          <w:tcPr>
            <w:tcW w:w="992" w:type="dxa"/>
            <w:tcBorders>
              <w:top w:val="nil"/>
              <w:left w:val="nil"/>
              <w:bottom w:val="nil"/>
              <w:right w:val="nil"/>
            </w:tcBorders>
            <w:shd w:val="clear" w:color="C0C0C0" w:fill="E6E6E6"/>
            <w:noWrap/>
            <w:vAlign w:val="bottom"/>
            <w:hideMark/>
          </w:tcPr>
          <w:p w14:paraId="3BEEA55E" w14:textId="73F03E4A"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2,819</w:t>
            </w:r>
          </w:p>
        </w:tc>
      </w:tr>
      <w:tr w:rsidR="00645E3F" w:rsidRPr="00E559BC" w14:paraId="4F50B0D9" w14:textId="77777777" w:rsidTr="00645E3F">
        <w:trPr>
          <w:trHeight w:val="204"/>
        </w:trPr>
        <w:tc>
          <w:tcPr>
            <w:tcW w:w="2857" w:type="dxa"/>
            <w:tcBorders>
              <w:top w:val="nil"/>
              <w:left w:val="nil"/>
              <w:bottom w:val="nil"/>
              <w:right w:val="nil"/>
            </w:tcBorders>
            <w:shd w:val="clear" w:color="auto" w:fill="auto"/>
            <w:tcMar>
              <w:top w:w="0" w:type="dxa"/>
              <w:left w:w="135" w:type="dxa"/>
              <w:bottom w:w="0" w:type="dxa"/>
              <w:right w:w="0" w:type="dxa"/>
            </w:tcMar>
            <w:vAlign w:val="bottom"/>
            <w:hideMark/>
          </w:tcPr>
          <w:p w14:paraId="4A811448" w14:textId="77777777" w:rsidR="00DD41B5" w:rsidRPr="00192B13" w:rsidRDefault="00DD41B5" w:rsidP="00DD41B5">
            <w:pPr>
              <w:spacing w:after="0" w:line="240" w:lineRule="auto"/>
              <w:jc w:val="left"/>
              <w:rPr>
                <w:rFonts w:ascii="Arial" w:hAnsi="Arial" w:cs="Arial"/>
                <w:iCs/>
                <w:sz w:val="16"/>
                <w:szCs w:val="16"/>
              </w:rPr>
            </w:pPr>
            <w:r w:rsidRPr="00192B13">
              <w:rPr>
                <w:rFonts w:ascii="Arial" w:hAnsi="Arial" w:cs="Arial"/>
                <w:iCs/>
                <w:sz w:val="16"/>
                <w:szCs w:val="16"/>
              </w:rPr>
              <w:t>2019-20</w:t>
            </w:r>
          </w:p>
        </w:tc>
        <w:tc>
          <w:tcPr>
            <w:tcW w:w="893" w:type="dxa"/>
            <w:tcBorders>
              <w:top w:val="nil"/>
              <w:left w:val="nil"/>
              <w:bottom w:val="nil"/>
              <w:right w:val="nil"/>
            </w:tcBorders>
            <w:shd w:val="clear" w:color="auto" w:fill="auto"/>
            <w:vAlign w:val="bottom"/>
            <w:hideMark/>
          </w:tcPr>
          <w:p w14:paraId="54F3FB67" w14:textId="77777777" w:rsidR="00DD41B5" w:rsidRPr="00E559BC" w:rsidRDefault="00DD41B5" w:rsidP="00DD41B5">
            <w:pPr>
              <w:spacing w:after="0" w:line="240" w:lineRule="auto"/>
              <w:ind w:firstLineChars="100" w:firstLine="160"/>
              <w:jc w:val="right"/>
              <w:rPr>
                <w:rFonts w:ascii="Arial" w:hAnsi="Arial" w:cs="Arial"/>
                <w:i/>
                <w:iCs/>
                <w:sz w:val="16"/>
                <w:szCs w:val="16"/>
              </w:rPr>
            </w:pPr>
          </w:p>
        </w:tc>
        <w:tc>
          <w:tcPr>
            <w:tcW w:w="834" w:type="dxa"/>
            <w:tcBorders>
              <w:top w:val="nil"/>
              <w:left w:val="nil"/>
              <w:bottom w:val="nil"/>
              <w:right w:val="nil"/>
            </w:tcBorders>
            <w:shd w:val="clear" w:color="auto" w:fill="auto"/>
            <w:noWrap/>
            <w:vAlign w:val="bottom"/>
            <w:hideMark/>
          </w:tcPr>
          <w:p w14:paraId="2F0071D1" w14:textId="6292A241"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2,061</w:t>
            </w:r>
          </w:p>
        </w:tc>
        <w:tc>
          <w:tcPr>
            <w:tcW w:w="1070" w:type="dxa"/>
            <w:tcBorders>
              <w:top w:val="nil"/>
              <w:left w:val="nil"/>
              <w:bottom w:val="nil"/>
              <w:right w:val="nil"/>
            </w:tcBorders>
            <w:shd w:val="clear" w:color="C0C0C0" w:fill="E6E6E6"/>
            <w:noWrap/>
            <w:vAlign w:val="bottom"/>
            <w:hideMark/>
          </w:tcPr>
          <w:p w14:paraId="3F1B18C5" w14:textId="2E677DBE"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4,038</w:t>
            </w:r>
          </w:p>
        </w:tc>
        <w:tc>
          <w:tcPr>
            <w:tcW w:w="864" w:type="dxa"/>
            <w:tcBorders>
              <w:top w:val="nil"/>
              <w:left w:val="nil"/>
              <w:bottom w:val="nil"/>
              <w:right w:val="nil"/>
            </w:tcBorders>
            <w:shd w:val="clear" w:color="C0C0C0" w:fill="E6E6E6"/>
            <w:noWrap/>
            <w:vAlign w:val="bottom"/>
            <w:hideMark/>
          </w:tcPr>
          <w:p w14:paraId="0D92201A" w14:textId="2A7D790A"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(3,313)</w:t>
            </w:r>
          </w:p>
        </w:tc>
        <w:tc>
          <w:tcPr>
            <w:tcW w:w="992" w:type="dxa"/>
            <w:tcBorders>
              <w:top w:val="nil"/>
              <w:left w:val="nil"/>
              <w:bottom w:val="nil"/>
              <w:right w:val="nil"/>
            </w:tcBorders>
            <w:shd w:val="clear" w:color="C0C0C0" w:fill="E6E6E6"/>
            <w:noWrap/>
            <w:vAlign w:val="bottom"/>
            <w:hideMark/>
          </w:tcPr>
          <w:p w14:paraId="39E63374" w14:textId="534FAB9A"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2,786</w:t>
            </w:r>
          </w:p>
        </w:tc>
      </w:tr>
      <w:tr w:rsidR="00645E3F" w:rsidRPr="00E559BC" w14:paraId="63CD1FD1" w14:textId="77777777" w:rsidTr="00645E3F">
        <w:trPr>
          <w:trHeight w:val="204"/>
        </w:trPr>
        <w:tc>
          <w:tcPr>
            <w:tcW w:w="2857" w:type="dxa"/>
            <w:tcBorders>
              <w:top w:val="nil"/>
              <w:left w:val="nil"/>
              <w:bottom w:val="nil"/>
              <w:right w:val="nil"/>
            </w:tcBorders>
            <w:shd w:val="clear" w:color="auto" w:fill="auto"/>
            <w:vAlign w:val="bottom"/>
            <w:hideMark/>
          </w:tcPr>
          <w:p w14:paraId="1C887D3D" w14:textId="0C86A539" w:rsidR="00DD41B5" w:rsidRPr="00192B13" w:rsidRDefault="00DD41B5" w:rsidP="003B2FC7">
            <w:pPr>
              <w:spacing w:after="0" w:line="240" w:lineRule="auto"/>
              <w:jc w:val="left"/>
              <w:rPr>
                <w:rFonts w:ascii="Arial" w:hAnsi="Arial" w:cs="Arial"/>
                <w:sz w:val="16"/>
                <w:szCs w:val="16"/>
              </w:rPr>
            </w:pPr>
            <w:r w:rsidRPr="00192B13">
              <w:rPr>
                <w:rFonts w:ascii="Arial" w:hAnsi="Arial" w:cs="Arial"/>
                <w:sz w:val="16"/>
                <w:szCs w:val="16"/>
              </w:rPr>
              <w:t>Christmas Island Phosphate Mining Rehabilitation Special Account 2016</w:t>
            </w:r>
            <w:r w:rsidR="003B2FC7">
              <w:rPr>
                <w:rFonts w:ascii="Arial" w:hAnsi="Arial" w:cs="Arial"/>
                <w:sz w:val="16"/>
                <w:szCs w:val="16"/>
              </w:rPr>
              <w:t> </w:t>
            </w:r>
            <w:r w:rsidRPr="00CD6F49">
              <w:rPr>
                <w:rFonts w:ascii="Arial" w:hAnsi="Arial" w:cs="Arial"/>
                <w:sz w:val="16"/>
                <w:szCs w:val="16"/>
              </w:rPr>
              <w:t>(A)</w:t>
            </w:r>
          </w:p>
        </w:tc>
        <w:tc>
          <w:tcPr>
            <w:tcW w:w="893" w:type="dxa"/>
            <w:tcBorders>
              <w:top w:val="nil"/>
              <w:left w:val="nil"/>
              <w:bottom w:val="nil"/>
              <w:right w:val="nil"/>
            </w:tcBorders>
            <w:shd w:val="clear" w:color="auto" w:fill="auto"/>
            <w:vAlign w:val="bottom"/>
            <w:hideMark/>
          </w:tcPr>
          <w:p w14:paraId="3B39431C" w14:textId="77777777" w:rsidR="00DD41B5" w:rsidRPr="00E559BC" w:rsidRDefault="00DD41B5" w:rsidP="00DD41B5">
            <w:pPr>
              <w:spacing w:after="0" w:line="240" w:lineRule="auto"/>
              <w:jc w:val="center"/>
              <w:rPr>
                <w:rFonts w:ascii="Arial" w:hAnsi="Arial" w:cs="Arial"/>
                <w:sz w:val="16"/>
                <w:szCs w:val="16"/>
              </w:rPr>
            </w:pPr>
            <w:r w:rsidRPr="00E559BC">
              <w:rPr>
                <w:rFonts w:ascii="Arial" w:hAnsi="Arial" w:cs="Arial"/>
                <w:sz w:val="16"/>
                <w:szCs w:val="16"/>
              </w:rPr>
              <w:t>4</w:t>
            </w:r>
          </w:p>
        </w:tc>
        <w:tc>
          <w:tcPr>
            <w:tcW w:w="834" w:type="dxa"/>
            <w:tcBorders>
              <w:top w:val="nil"/>
              <w:left w:val="nil"/>
              <w:bottom w:val="nil"/>
              <w:right w:val="nil"/>
            </w:tcBorders>
            <w:shd w:val="clear" w:color="auto" w:fill="auto"/>
            <w:noWrap/>
            <w:vAlign w:val="bottom"/>
            <w:hideMark/>
          </w:tcPr>
          <w:p w14:paraId="1ED05A9F" w14:textId="77777777" w:rsidR="00DD41B5" w:rsidRPr="00F94843" w:rsidRDefault="00DD41B5" w:rsidP="0036693C">
            <w:pPr>
              <w:spacing w:after="0" w:line="240" w:lineRule="auto"/>
              <w:ind w:right="57"/>
              <w:jc w:val="right"/>
              <w:rPr>
                <w:rFonts w:ascii="Arial" w:hAnsi="Arial" w:cs="Arial"/>
                <w:sz w:val="16"/>
                <w:szCs w:val="16"/>
              </w:rPr>
            </w:pPr>
          </w:p>
        </w:tc>
        <w:tc>
          <w:tcPr>
            <w:tcW w:w="1070" w:type="dxa"/>
            <w:tcBorders>
              <w:top w:val="nil"/>
              <w:left w:val="nil"/>
              <w:bottom w:val="nil"/>
              <w:right w:val="nil"/>
            </w:tcBorders>
            <w:shd w:val="clear" w:color="C0C0C0" w:fill="E6E6E6"/>
            <w:noWrap/>
            <w:vAlign w:val="bottom"/>
            <w:hideMark/>
          </w:tcPr>
          <w:p w14:paraId="3A314A3F" w14:textId="32771B06" w:rsidR="00DD41B5" w:rsidRPr="00F94843" w:rsidRDefault="00DD41B5" w:rsidP="0036693C">
            <w:pPr>
              <w:spacing w:after="0" w:line="240" w:lineRule="auto"/>
              <w:ind w:right="57"/>
              <w:jc w:val="right"/>
              <w:rPr>
                <w:rFonts w:ascii="Arial" w:hAnsi="Arial" w:cs="Arial"/>
                <w:b/>
                <w:bCs/>
                <w:sz w:val="16"/>
                <w:szCs w:val="16"/>
              </w:rPr>
            </w:pPr>
          </w:p>
        </w:tc>
        <w:tc>
          <w:tcPr>
            <w:tcW w:w="864" w:type="dxa"/>
            <w:tcBorders>
              <w:top w:val="nil"/>
              <w:left w:val="nil"/>
              <w:bottom w:val="nil"/>
              <w:right w:val="nil"/>
            </w:tcBorders>
            <w:shd w:val="clear" w:color="C0C0C0" w:fill="E6E6E6"/>
            <w:noWrap/>
            <w:vAlign w:val="bottom"/>
            <w:hideMark/>
          </w:tcPr>
          <w:p w14:paraId="0FFA2D7A" w14:textId="1E54741F" w:rsidR="00DD41B5" w:rsidRPr="00F94843" w:rsidRDefault="00DD41B5" w:rsidP="0036693C">
            <w:pPr>
              <w:spacing w:after="0" w:line="240" w:lineRule="auto"/>
              <w:ind w:right="57"/>
              <w:jc w:val="right"/>
              <w:rPr>
                <w:rFonts w:ascii="Arial" w:hAnsi="Arial" w:cs="Arial"/>
                <w:b/>
                <w:bCs/>
                <w:sz w:val="16"/>
                <w:szCs w:val="16"/>
              </w:rPr>
            </w:pPr>
          </w:p>
        </w:tc>
        <w:tc>
          <w:tcPr>
            <w:tcW w:w="992" w:type="dxa"/>
            <w:tcBorders>
              <w:top w:val="nil"/>
              <w:left w:val="nil"/>
              <w:bottom w:val="nil"/>
              <w:right w:val="nil"/>
            </w:tcBorders>
            <w:shd w:val="clear" w:color="C0C0C0" w:fill="E6E6E6"/>
            <w:noWrap/>
            <w:vAlign w:val="bottom"/>
            <w:hideMark/>
          </w:tcPr>
          <w:p w14:paraId="0BAF6BF4" w14:textId="28F792EB" w:rsidR="00DD41B5" w:rsidRPr="00F94843" w:rsidRDefault="00DD41B5" w:rsidP="0036693C">
            <w:pPr>
              <w:spacing w:after="0" w:line="240" w:lineRule="auto"/>
              <w:ind w:right="57"/>
              <w:jc w:val="right"/>
              <w:rPr>
                <w:rFonts w:ascii="Arial" w:hAnsi="Arial" w:cs="Arial"/>
                <w:b/>
                <w:bCs/>
                <w:sz w:val="16"/>
                <w:szCs w:val="16"/>
              </w:rPr>
            </w:pPr>
          </w:p>
        </w:tc>
      </w:tr>
      <w:tr w:rsidR="00645E3F" w:rsidRPr="00E559BC" w14:paraId="4DE89853" w14:textId="77777777" w:rsidTr="00645E3F">
        <w:trPr>
          <w:trHeight w:val="204"/>
        </w:trPr>
        <w:tc>
          <w:tcPr>
            <w:tcW w:w="2857" w:type="dxa"/>
            <w:tcBorders>
              <w:top w:val="nil"/>
              <w:left w:val="nil"/>
              <w:bottom w:val="nil"/>
              <w:right w:val="nil"/>
            </w:tcBorders>
            <w:shd w:val="clear" w:color="auto" w:fill="auto"/>
            <w:noWrap/>
            <w:tcMar>
              <w:top w:w="0" w:type="dxa"/>
              <w:left w:w="135" w:type="dxa"/>
              <w:bottom w:w="0" w:type="dxa"/>
              <w:right w:w="0" w:type="dxa"/>
            </w:tcMar>
            <w:vAlign w:val="bottom"/>
            <w:hideMark/>
          </w:tcPr>
          <w:p w14:paraId="4F4A8D43" w14:textId="77777777" w:rsidR="00DD41B5" w:rsidRPr="00192B13" w:rsidRDefault="00DD41B5" w:rsidP="00DD41B5">
            <w:pPr>
              <w:spacing w:after="0" w:line="240" w:lineRule="auto"/>
              <w:jc w:val="left"/>
              <w:rPr>
                <w:rFonts w:ascii="Arial" w:hAnsi="Arial" w:cs="Arial"/>
                <w:b/>
                <w:bCs/>
                <w:sz w:val="16"/>
                <w:szCs w:val="16"/>
              </w:rPr>
            </w:pPr>
            <w:r w:rsidRPr="00192B13">
              <w:rPr>
                <w:rFonts w:ascii="Arial" w:hAnsi="Arial" w:cs="Arial"/>
                <w:b/>
                <w:bCs/>
                <w:sz w:val="16"/>
                <w:szCs w:val="16"/>
              </w:rPr>
              <w:t>2021-22</w:t>
            </w:r>
          </w:p>
        </w:tc>
        <w:tc>
          <w:tcPr>
            <w:tcW w:w="893" w:type="dxa"/>
            <w:tcBorders>
              <w:top w:val="nil"/>
              <w:left w:val="nil"/>
              <w:bottom w:val="nil"/>
              <w:right w:val="nil"/>
            </w:tcBorders>
            <w:shd w:val="clear" w:color="auto" w:fill="auto"/>
            <w:vAlign w:val="bottom"/>
            <w:hideMark/>
          </w:tcPr>
          <w:p w14:paraId="7A1A123C" w14:textId="77777777" w:rsidR="00DD41B5" w:rsidRPr="00E559BC" w:rsidRDefault="00DD41B5" w:rsidP="00DD41B5">
            <w:pPr>
              <w:spacing w:after="0" w:line="240" w:lineRule="auto"/>
              <w:ind w:firstLineChars="100" w:firstLine="160"/>
              <w:jc w:val="right"/>
              <w:rPr>
                <w:rFonts w:ascii="Arial" w:hAnsi="Arial" w:cs="Arial"/>
                <w:b/>
                <w:bCs/>
                <w:sz w:val="16"/>
                <w:szCs w:val="16"/>
              </w:rPr>
            </w:pPr>
          </w:p>
        </w:tc>
        <w:tc>
          <w:tcPr>
            <w:tcW w:w="834" w:type="dxa"/>
            <w:tcBorders>
              <w:top w:val="nil"/>
              <w:left w:val="nil"/>
              <w:bottom w:val="nil"/>
              <w:right w:val="nil"/>
            </w:tcBorders>
            <w:shd w:val="clear" w:color="auto" w:fill="auto"/>
            <w:noWrap/>
            <w:vAlign w:val="bottom"/>
            <w:hideMark/>
          </w:tcPr>
          <w:p w14:paraId="553A9243" w14:textId="3CCC0A0D"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2,577</w:t>
            </w:r>
          </w:p>
        </w:tc>
        <w:tc>
          <w:tcPr>
            <w:tcW w:w="1070" w:type="dxa"/>
            <w:tcBorders>
              <w:top w:val="nil"/>
              <w:left w:val="nil"/>
              <w:bottom w:val="nil"/>
              <w:right w:val="nil"/>
            </w:tcBorders>
            <w:shd w:val="clear" w:color="C0C0C0" w:fill="E6E6E6"/>
            <w:noWrap/>
            <w:vAlign w:val="bottom"/>
            <w:hideMark/>
          </w:tcPr>
          <w:p w14:paraId="430A07F4" w14:textId="7AAA75E7"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1,200</w:t>
            </w:r>
          </w:p>
        </w:tc>
        <w:tc>
          <w:tcPr>
            <w:tcW w:w="864" w:type="dxa"/>
            <w:tcBorders>
              <w:top w:val="nil"/>
              <w:left w:val="nil"/>
              <w:bottom w:val="nil"/>
              <w:right w:val="nil"/>
            </w:tcBorders>
            <w:shd w:val="clear" w:color="C0C0C0" w:fill="E6E6E6"/>
            <w:noWrap/>
            <w:vAlign w:val="bottom"/>
            <w:hideMark/>
          </w:tcPr>
          <w:p w14:paraId="72DFFFE4" w14:textId="03ED122D"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(1,200)</w:t>
            </w:r>
          </w:p>
        </w:tc>
        <w:tc>
          <w:tcPr>
            <w:tcW w:w="992" w:type="dxa"/>
            <w:tcBorders>
              <w:top w:val="nil"/>
              <w:left w:val="nil"/>
              <w:bottom w:val="nil"/>
              <w:right w:val="nil"/>
            </w:tcBorders>
            <w:shd w:val="clear" w:color="C0C0C0" w:fill="E6E6E6"/>
            <w:noWrap/>
            <w:vAlign w:val="bottom"/>
            <w:hideMark/>
          </w:tcPr>
          <w:p w14:paraId="1668CF62" w14:textId="787A0F4F"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2,577</w:t>
            </w:r>
          </w:p>
        </w:tc>
      </w:tr>
      <w:tr w:rsidR="00645E3F" w:rsidRPr="00E559BC" w14:paraId="3405B243" w14:textId="77777777" w:rsidTr="00645E3F">
        <w:trPr>
          <w:trHeight w:val="204"/>
        </w:trPr>
        <w:tc>
          <w:tcPr>
            <w:tcW w:w="2857" w:type="dxa"/>
            <w:tcBorders>
              <w:top w:val="nil"/>
              <w:left w:val="nil"/>
              <w:bottom w:val="nil"/>
              <w:right w:val="nil"/>
            </w:tcBorders>
            <w:shd w:val="clear" w:color="auto" w:fill="auto"/>
            <w:tcMar>
              <w:top w:w="0" w:type="dxa"/>
              <w:left w:w="135" w:type="dxa"/>
              <w:bottom w:w="0" w:type="dxa"/>
              <w:right w:w="0" w:type="dxa"/>
            </w:tcMar>
            <w:vAlign w:val="bottom"/>
            <w:hideMark/>
          </w:tcPr>
          <w:p w14:paraId="6F288B0E" w14:textId="77777777" w:rsidR="00DD41B5" w:rsidRPr="00192B13" w:rsidRDefault="00DD41B5" w:rsidP="00DD41B5">
            <w:pPr>
              <w:spacing w:after="0" w:line="240" w:lineRule="auto"/>
              <w:jc w:val="left"/>
              <w:rPr>
                <w:rFonts w:ascii="Arial" w:hAnsi="Arial" w:cs="Arial"/>
                <w:iCs/>
                <w:sz w:val="16"/>
                <w:szCs w:val="16"/>
              </w:rPr>
            </w:pPr>
            <w:r w:rsidRPr="00192B13">
              <w:rPr>
                <w:rFonts w:ascii="Arial" w:hAnsi="Arial" w:cs="Arial"/>
                <w:iCs/>
                <w:sz w:val="16"/>
                <w:szCs w:val="16"/>
              </w:rPr>
              <w:t>2020-21</w:t>
            </w:r>
          </w:p>
        </w:tc>
        <w:tc>
          <w:tcPr>
            <w:tcW w:w="893" w:type="dxa"/>
            <w:tcBorders>
              <w:top w:val="nil"/>
              <w:left w:val="nil"/>
              <w:bottom w:val="nil"/>
              <w:right w:val="nil"/>
            </w:tcBorders>
            <w:shd w:val="clear" w:color="auto" w:fill="auto"/>
            <w:vAlign w:val="bottom"/>
            <w:hideMark/>
          </w:tcPr>
          <w:p w14:paraId="016B8F4D" w14:textId="77777777" w:rsidR="00DD41B5" w:rsidRPr="00E559BC" w:rsidRDefault="00DD41B5" w:rsidP="00DD41B5">
            <w:pPr>
              <w:spacing w:after="0" w:line="240" w:lineRule="auto"/>
              <w:ind w:firstLineChars="100" w:firstLine="160"/>
              <w:jc w:val="right"/>
              <w:rPr>
                <w:rFonts w:ascii="Arial" w:hAnsi="Arial" w:cs="Arial"/>
                <w:i/>
                <w:iCs/>
                <w:sz w:val="16"/>
                <w:szCs w:val="16"/>
              </w:rPr>
            </w:pPr>
          </w:p>
        </w:tc>
        <w:tc>
          <w:tcPr>
            <w:tcW w:w="834" w:type="dxa"/>
            <w:tcBorders>
              <w:top w:val="nil"/>
              <w:left w:val="nil"/>
              <w:bottom w:val="nil"/>
              <w:right w:val="nil"/>
            </w:tcBorders>
            <w:shd w:val="clear" w:color="auto" w:fill="auto"/>
            <w:noWrap/>
            <w:vAlign w:val="bottom"/>
            <w:hideMark/>
          </w:tcPr>
          <w:p w14:paraId="16653027" w14:textId="7DAA3538"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2,377</w:t>
            </w:r>
          </w:p>
        </w:tc>
        <w:tc>
          <w:tcPr>
            <w:tcW w:w="1070" w:type="dxa"/>
            <w:tcBorders>
              <w:top w:val="nil"/>
              <w:left w:val="nil"/>
              <w:bottom w:val="nil"/>
              <w:right w:val="nil"/>
            </w:tcBorders>
            <w:shd w:val="clear" w:color="C0C0C0" w:fill="E6E6E6"/>
            <w:noWrap/>
            <w:vAlign w:val="bottom"/>
            <w:hideMark/>
          </w:tcPr>
          <w:p w14:paraId="42F4FDF8" w14:textId="05C8985D"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1,041</w:t>
            </w:r>
          </w:p>
        </w:tc>
        <w:tc>
          <w:tcPr>
            <w:tcW w:w="864" w:type="dxa"/>
            <w:tcBorders>
              <w:top w:val="nil"/>
              <w:left w:val="nil"/>
              <w:bottom w:val="nil"/>
              <w:right w:val="nil"/>
            </w:tcBorders>
            <w:shd w:val="clear" w:color="C0C0C0" w:fill="E6E6E6"/>
            <w:noWrap/>
            <w:vAlign w:val="bottom"/>
            <w:hideMark/>
          </w:tcPr>
          <w:p w14:paraId="4BBFE21B" w14:textId="11E928DF"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(841)</w:t>
            </w:r>
          </w:p>
        </w:tc>
        <w:tc>
          <w:tcPr>
            <w:tcW w:w="992" w:type="dxa"/>
            <w:tcBorders>
              <w:top w:val="nil"/>
              <w:left w:val="nil"/>
              <w:bottom w:val="nil"/>
              <w:right w:val="nil"/>
            </w:tcBorders>
            <w:shd w:val="clear" w:color="C0C0C0" w:fill="E6E6E6"/>
            <w:noWrap/>
            <w:vAlign w:val="bottom"/>
            <w:hideMark/>
          </w:tcPr>
          <w:p w14:paraId="1B520139" w14:textId="7B89D45D"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2,577</w:t>
            </w:r>
          </w:p>
        </w:tc>
      </w:tr>
      <w:tr w:rsidR="00645E3F" w:rsidRPr="00E559BC" w14:paraId="23F11ADE" w14:textId="77777777" w:rsidTr="00645E3F">
        <w:trPr>
          <w:trHeight w:val="204"/>
        </w:trPr>
        <w:tc>
          <w:tcPr>
            <w:tcW w:w="2857" w:type="dxa"/>
            <w:tcBorders>
              <w:top w:val="nil"/>
              <w:left w:val="nil"/>
              <w:bottom w:val="nil"/>
              <w:right w:val="nil"/>
            </w:tcBorders>
            <w:shd w:val="clear" w:color="auto" w:fill="auto"/>
            <w:vAlign w:val="bottom"/>
            <w:hideMark/>
          </w:tcPr>
          <w:p w14:paraId="549C7EB7" w14:textId="77777777" w:rsidR="00DD41B5" w:rsidRPr="00192B13" w:rsidRDefault="00DD41B5" w:rsidP="00DD41B5">
            <w:pPr>
              <w:spacing w:after="0" w:line="240" w:lineRule="auto"/>
              <w:jc w:val="left"/>
              <w:rPr>
                <w:rFonts w:ascii="Arial" w:hAnsi="Arial" w:cs="Arial"/>
                <w:sz w:val="16"/>
                <w:szCs w:val="16"/>
              </w:rPr>
            </w:pPr>
            <w:r w:rsidRPr="00192B13">
              <w:rPr>
                <w:rFonts w:ascii="Arial" w:hAnsi="Arial" w:cs="Arial"/>
                <w:sz w:val="16"/>
                <w:szCs w:val="16"/>
              </w:rPr>
              <w:t xml:space="preserve">Cultural Special Account </w:t>
            </w:r>
            <w:r w:rsidRPr="00CD6F49">
              <w:rPr>
                <w:rFonts w:ascii="Arial" w:hAnsi="Arial" w:cs="Arial"/>
                <w:sz w:val="16"/>
                <w:szCs w:val="16"/>
              </w:rPr>
              <w:t>(D)</w:t>
            </w:r>
          </w:p>
        </w:tc>
        <w:tc>
          <w:tcPr>
            <w:tcW w:w="893" w:type="dxa"/>
            <w:tcBorders>
              <w:top w:val="nil"/>
              <w:left w:val="nil"/>
              <w:bottom w:val="nil"/>
              <w:right w:val="nil"/>
            </w:tcBorders>
            <w:shd w:val="clear" w:color="auto" w:fill="auto"/>
            <w:vAlign w:val="bottom"/>
            <w:hideMark/>
          </w:tcPr>
          <w:p w14:paraId="12B6050E" w14:textId="77777777" w:rsidR="00DD41B5" w:rsidRPr="00E559BC" w:rsidRDefault="00DD41B5" w:rsidP="00DD41B5">
            <w:pPr>
              <w:spacing w:after="0" w:line="240" w:lineRule="auto"/>
              <w:jc w:val="center"/>
              <w:rPr>
                <w:rFonts w:ascii="Arial" w:hAnsi="Arial" w:cs="Arial"/>
                <w:sz w:val="16"/>
                <w:szCs w:val="16"/>
              </w:rPr>
            </w:pPr>
            <w:r w:rsidRPr="00E559BC">
              <w:rPr>
                <w:rFonts w:ascii="Arial" w:hAnsi="Arial" w:cs="Arial"/>
                <w:sz w:val="16"/>
                <w:szCs w:val="16"/>
              </w:rPr>
              <w:t>6</w:t>
            </w:r>
          </w:p>
        </w:tc>
        <w:tc>
          <w:tcPr>
            <w:tcW w:w="834" w:type="dxa"/>
            <w:tcBorders>
              <w:top w:val="nil"/>
              <w:left w:val="nil"/>
              <w:bottom w:val="nil"/>
              <w:right w:val="nil"/>
            </w:tcBorders>
            <w:shd w:val="clear" w:color="auto" w:fill="auto"/>
            <w:noWrap/>
            <w:vAlign w:val="bottom"/>
            <w:hideMark/>
          </w:tcPr>
          <w:p w14:paraId="6BECA401" w14:textId="77777777" w:rsidR="00DD41B5" w:rsidRPr="00F94843" w:rsidRDefault="00DD41B5" w:rsidP="0036693C">
            <w:pPr>
              <w:spacing w:after="0" w:line="240" w:lineRule="auto"/>
              <w:ind w:right="57"/>
              <w:jc w:val="right"/>
              <w:rPr>
                <w:rFonts w:ascii="Arial" w:hAnsi="Arial" w:cs="Arial"/>
                <w:sz w:val="16"/>
                <w:szCs w:val="16"/>
              </w:rPr>
            </w:pPr>
          </w:p>
        </w:tc>
        <w:tc>
          <w:tcPr>
            <w:tcW w:w="1070" w:type="dxa"/>
            <w:tcBorders>
              <w:top w:val="nil"/>
              <w:left w:val="nil"/>
              <w:bottom w:val="nil"/>
              <w:right w:val="nil"/>
            </w:tcBorders>
            <w:shd w:val="clear" w:color="000000" w:fill="E6E6E6"/>
            <w:noWrap/>
            <w:vAlign w:val="bottom"/>
            <w:hideMark/>
          </w:tcPr>
          <w:p w14:paraId="705CA3DC" w14:textId="71A4F6E8" w:rsidR="00DD41B5" w:rsidRPr="00F94843" w:rsidRDefault="00DD41B5" w:rsidP="0036693C">
            <w:pPr>
              <w:spacing w:after="0" w:line="240" w:lineRule="auto"/>
              <w:ind w:right="57"/>
              <w:jc w:val="right"/>
              <w:rPr>
                <w:rFonts w:ascii="Arial" w:hAnsi="Arial" w:cs="Arial"/>
                <w:color w:val="000000"/>
                <w:sz w:val="16"/>
                <w:szCs w:val="16"/>
              </w:rPr>
            </w:pPr>
          </w:p>
        </w:tc>
        <w:tc>
          <w:tcPr>
            <w:tcW w:w="864" w:type="dxa"/>
            <w:tcBorders>
              <w:top w:val="nil"/>
              <w:left w:val="nil"/>
              <w:bottom w:val="nil"/>
              <w:right w:val="nil"/>
            </w:tcBorders>
            <w:shd w:val="clear" w:color="000000" w:fill="E6E6E6"/>
            <w:noWrap/>
            <w:vAlign w:val="bottom"/>
            <w:hideMark/>
          </w:tcPr>
          <w:p w14:paraId="2D072589" w14:textId="60A11DB0" w:rsidR="00DD41B5" w:rsidRPr="00F94843" w:rsidRDefault="00DD41B5" w:rsidP="0036693C">
            <w:pPr>
              <w:spacing w:after="0" w:line="240" w:lineRule="auto"/>
              <w:ind w:right="57"/>
              <w:jc w:val="right"/>
              <w:rPr>
                <w:rFonts w:ascii="Arial" w:hAnsi="Arial" w:cs="Arial"/>
                <w:color w:val="000000"/>
                <w:sz w:val="16"/>
                <w:szCs w:val="16"/>
              </w:rPr>
            </w:pPr>
          </w:p>
        </w:tc>
        <w:tc>
          <w:tcPr>
            <w:tcW w:w="992" w:type="dxa"/>
            <w:tcBorders>
              <w:top w:val="nil"/>
              <w:left w:val="nil"/>
              <w:bottom w:val="nil"/>
              <w:right w:val="nil"/>
            </w:tcBorders>
            <w:shd w:val="clear" w:color="000000" w:fill="E6E6E6"/>
            <w:noWrap/>
            <w:vAlign w:val="bottom"/>
            <w:hideMark/>
          </w:tcPr>
          <w:p w14:paraId="0637C0EE" w14:textId="1FFCC913" w:rsidR="00DD41B5" w:rsidRPr="00F94843" w:rsidRDefault="00DD41B5" w:rsidP="0036693C">
            <w:pPr>
              <w:spacing w:after="0" w:line="240" w:lineRule="auto"/>
              <w:ind w:right="57"/>
              <w:jc w:val="right"/>
              <w:rPr>
                <w:rFonts w:ascii="Arial" w:hAnsi="Arial" w:cs="Arial"/>
                <w:color w:val="000000"/>
                <w:sz w:val="16"/>
                <w:szCs w:val="16"/>
              </w:rPr>
            </w:pPr>
          </w:p>
        </w:tc>
      </w:tr>
      <w:tr w:rsidR="00645E3F" w:rsidRPr="00E559BC" w14:paraId="1ABE5074" w14:textId="77777777" w:rsidTr="00645E3F">
        <w:trPr>
          <w:trHeight w:val="204"/>
        </w:trPr>
        <w:tc>
          <w:tcPr>
            <w:tcW w:w="2857" w:type="dxa"/>
            <w:tcBorders>
              <w:top w:val="nil"/>
              <w:left w:val="nil"/>
              <w:bottom w:val="nil"/>
              <w:right w:val="nil"/>
            </w:tcBorders>
            <w:shd w:val="clear" w:color="auto" w:fill="auto"/>
            <w:noWrap/>
            <w:tcMar>
              <w:top w:w="0" w:type="dxa"/>
              <w:left w:w="135" w:type="dxa"/>
              <w:bottom w:w="0" w:type="dxa"/>
              <w:right w:w="0" w:type="dxa"/>
            </w:tcMar>
            <w:vAlign w:val="bottom"/>
            <w:hideMark/>
          </w:tcPr>
          <w:p w14:paraId="73A07729" w14:textId="77777777" w:rsidR="00DD41B5" w:rsidRPr="00192B13" w:rsidRDefault="00DD41B5" w:rsidP="00DD41B5">
            <w:pPr>
              <w:spacing w:after="0" w:line="240" w:lineRule="auto"/>
              <w:jc w:val="left"/>
              <w:rPr>
                <w:rFonts w:ascii="Arial" w:hAnsi="Arial" w:cs="Arial"/>
                <w:b/>
                <w:bCs/>
                <w:sz w:val="16"/>
                <w:szCs w:val="16"/>
              </w:rPr>
            </w:pPr>
            <w:r w:rsidRPr="00192B13">
              <w:rPr>
                <w:rFonts w:ascii="Arial" w:hAnsi="Arial" w:cs="Arial"/>
                <w:b/>
                <w:bCs/>
                <w:sz w:val="16"/>
                <w:szCs w:val="16"/>
              </w:rPr>
              <w:t>2021-22</w:t>
            </w:r>
          </w:p>
        </w:tc>
        <w:tc>
          <w:tcPr>
            <w:tcW w:w="893" w:type="dxa"/>
            <w:tcBorders>
              <w:top w:val="nil"/>
              <w:left w:val="nil"/>
              <w:bottom w:val="nil"/>
              <w:right w:val="nil"/>
            </w:tcBorders>
            <w:shd w:val="clear" w:color="auto" w:fill="auto"/>
            <w:vAlign w:val="bottom"/>
            <w:hideMark/>
          </w:tcPr>
          <w:p w14:paraId="6E0848CB" w14:textId="77777777" w:rsidR="00DD41B5" w:rsidRPr="00E559BC" w:rsidRDefault="00DD41B5" w:rsidP="00DD41B5">
            <w:pPr>
              <w:spacing w:after="0" w:line="240" w:lineRule="auto"/>
              <w:ind w:firstLineChars="100" w:firstLine="160"/>
              <w:jc w:val="right"/>
              <w:rPr>
                <w:rFonts w:ascii="Arial" w:hAnsi="Arial" w:cs="Arial"/>
                <w:b/>
                <w:bCs/>
                <w:sz w:val="16"/>
                <w:szCs w:val="16"/>
              </w:rPr>
            </w:pPr>
          </w:p>
        </w:tc>
        <w:tc>
          <w:tcPr>
            <w:tcW w:w="834" w:type="dxa"/>
            <w:tcBorders>
              <w:top w:val="nil"/>
              <w:left w:val="nil"/>
              <w:bottom w:val="nil"/>
              <w:right w:val="nil"/>
            </w:tcBorders>
            <w:shd w:val="clear" w:color="auto" w:fill="auto"/>
            <w:noWrap/>
            <w:vAlign w:val="bottom"/>
            <w:hideMark/>
          </w:tcPr>
          <w:p w14:paraId="4EDD78F9" w14:textId="3FBA931A"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832</w:t>
            </w:r>
          </w:p>
        </w:tc>
        <w:tc>
          <w:tcPr>
            <w:tcW w:w="1070" w:type="dxa"/>
            <w:tcBorders>
              <w:top w:val="nil"/>
              <w:left w:val="nil"/>
              <w:bottom w:val="nil"/>
              <w:right w:val="nil"/>
            </w:tcBorders>
            <w:shd w:val="clear" w:color="C0C0C0" w:fill="E6E6E6"/>
            <w:noWrap/>
            <w:vAlign w:val="bottom"/>
            <w:hideMark/>
          </w:tcPr>
          <w:p w14:paraId="2176D195" w14:textId="73AA24EF"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522</w:t>
            </w:r>
          </w:p>
        </w:tc>
        <w:tc>
          <w:tcPr>
            <w:tcW w:w="864" w:type="dxa"/>
            <w:tcBorders>
              <w:top w:val="nil"/>
              <w:left w:val="nil"/>
              <w:bottom w:val="nil"/>
              <w:right w:val="nil"/>
            </w:tcBorders>
            <w:shd w:val="clear" w:color="C0C0C0" w:fill="E6E6E6"/>
            <w:noWrap/>
            <w:vAlign w:val="bottom"/>
            <w:hideMark/>
          </w:tcPr>
          <w:p w14:paraId="665314E6" w14:textId="5689E104"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(968)</w:t>
            </w:r>
          </w:p>
        </w:tc>
        <w:tc>
          <w:tcPr>
            <w:tcW w:w="992" w:type="dxa"/>
            <w:tcBorders>
              <w:top w:val="nil"/>
              <w:left w:val="nil"/>
              <w:bottom w:val="nil"/>
              <w:right w:val="nil"/>
            </w:tcBorders>
            <w:shd w:val="clear" w:color="C0C0C0" w:fill="E6E6E6"/>
            <w:noWrap/>
            <w:vAlign w:val="bottom"/>
            <w:hideMark/>
          </w:tcPr>
          <w:p w14:paraId="1C55983E" w14:textId="6157D284"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386</w:t>
            </w:r>
          </w:p>
        </w:tc>
      </w:tr>
      <w:tr w:rsidR="00645E3F" w:rsidRPr="00E559BC" w14:paraId="3ED20D43" w14:textId="77777777" w:rsidTr="00645E3F">
        <w:trPr>
          <w:trHeight w:val="204"/>
        </w:trPr>
        <w:tc>
          <w:tcPr>
            <w:tcW w:w="2857" w:type="dxa"/>
            <w:tcBorders>
              <w:top w:val="nil"/>
              <w:left w:val="nil"/>
              <w:bottom w:val="nil"/>
              <w:right w:val="nil"/>
            </w:tcBorders>
            <w:shd w:val="clear" w:color="auto" w:fill="auto"/>
            <w:tcMar>
              <w:top w:w="0" w:type="dxa"/>
              <w:left w:w="135" w:type="dxa"/>
              <w:bottom w:w="0" w:type="dxa"/>
              <w:right w:w="0" w:type="dxa"/>
            </w:tcMar>
            <w:vAlign w:val="bottom"/>
            <w:hideMark/>
          </w:tcPr>
          <w:p w14:paraId="12212206" w14:textId="77777777" w:rsidR="00DD41B5" w:rsidRPr="00192B13" w:rsidRDefault="00DD41B5" w:rsidP="00DD41B5">
            <w:pPr>
              <w:spacing w:after="0" w:line="240" w:lineRule="auto"/>
              <w:jc w:val="left"/>
              <w:rPr>
                <w:rFonts w:ascii="Arial" w:hAnsi="Arial" w:cs="Arial"/>
                <w:iCs/>
                <w:sz w:val="16"/>
                <w:szCs w:val="16"/>
              </w:rPr>
            </w:pPr>
            <w:r w:rsidRPr="00192B13">
              <w:rPr>
                <w:rFonts w:ascii="Arial" w:hAnsi="Arial" w:cs="Arial"/>
                <w:iCs/>
                <w:sz w:val="16"/>
                <w:szCs w:val="16"/>
              </w:rPr>
              <w:t>2020-21</w:t>
            </w:r>
          </w:p>
        </w:tc>
        <w:tc>
          <w:tcPr>
            <w:tcW w:w="893" w:type="dxa"/>
            <w:tcBorders>
              <w:top w:val="nil"/>
              <w:left w:val="nil"/>
              <w:bottom w:val="nil"/>
              <w:right w:val="nil"/>
            </w:tcBorders>
            <w:shd w:val="clear" w:color="auto" w:fill="auto"/>
            <w:vAlign w:val="bottom"/>
            <w:hideMark/>
          </w:tcPr>
          <w:p w14:paraId="1C22F648" w14:textId="77777777" w:rsidR="00DD41B5" w:rsidRPr="00E559BC" w:rsidRDefault="00DD41B5" w:rsidP="00DD41B5">
            <w:pPr>
              <w:spacing w:after="0" w:line="240" w:lineRule="auto"/>
              <w:ind w:firstLineChars="100" w:firstLine="160"/>
              <w:jc w:val="right"/>
              <w:rPr>
                <w:rFonts w:ascii="Arial" w:hAnsi="Arial" w:cs="Arial"/>
                <w:i/>
                <w:iCs/>
                <w:sz w:val="16"/>
                <w:szCs w:val="16"/>
              </w:rPr>
            </w:pPr>
          </w:p>
        </w:tc>
        <w:tc>
          <w:tcPr>
            <w:tcW w:w="834" w:type="dxa"/>
            <w:tcBorders>
              <w:top w:val="nil"/>
              <w:left w:val="nil"/>
              <w:bottom w:val="nil"/>
              <w:right w:val="nil"/>
            </w:tcBorders>
            <w:shd w:val="clear" w:color="auto" w:fill="auto"/>
            <w:noWrap/>
            <w:vAlign w:val="bottom"/>
            <w:hideMark/>
          </w:tcPr>
          <w:p w14:paraId="044EE12E" w14:textId="01340F2A"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907</w:t>
            </w:r>
          </w:p>
        </w:tc>
        <w:tc>
          <w:tcPr>
            <w:tcW w:w="1070" w:type="dxa"/>
            <w:tcBorders>
              <w:top w:val="nil"/>
              <w:left w:val="nil"/>
              <w:bottom w:val="nil"/>
              <w:right w:val="nil"/>
            </w:tcBorders>
            <w:shd w:val="clear" w:color="C0C0C0" w:fill="E6E6E6"/>
            <w:noWrap/>
            <w:vAlign w:val="bottom"/>
            <w:hideMark/>
          </w:tcPr>
          <w:p w14:paraId="61215DF4" w14:textId="45365F60"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640</w:t>
            </w:r>
          </w:p>
        </w:tc>
        <w:tc>
          <w:tcPr>
            <w:tcW w:w="864" w:type="dxa"/>
            <w:tcBorders>
              <w:top w:val="nil"/>
              <w:left w:val="nil"/>
              <w:bottom w:val="nil"/>
              <w:right w:val="nil"/>
            </w:tcBorders>
            <w:shd w:val="clear" w:color="C0C0C0" w:fill="E6E6E6"/>
            <w:noWrap/>
            <w:vAlign w:val="bottom"/>
            <w:hideMark/>
          </w:tcPr>
          <w:p w14:paraId="581E34FA" w14:textId="55FC3D3A"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(715)</w:t>
            </w:r>
          </w:p>
        </w:tc>
        <w:tc>
          <w:tcPr>
            <w:tcW w:w="992" w:type="dxa"/>
            <w:tcBorders>
              <w:top w:val="nil"/>
              <w:left w:val="nil"/>
              <w:bottom w:val="nil"/>
              <w:right w:val="nil"/>
            </w:tcBorders>
            <w:shd w:val="clear" w:color="C0C0C0" w:fill="E6E6E6"/>
            <w:noWrap/>
            <w:vAlign w:val="bottom"/>
            <w:hideMark/>
          </w:tcPr>
          <w:p w14:paraId="19E344C6" w14:textId="51F5CAA7"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832</w:t>
            </w:r>
          </w:p>
        </w:tc>
      </w:tr>
      <w:tr w:rsidR="00645E3F" w:rsidRPr="00E559BC" w14:paraId="4ABC1928" w14:textId="77777777" w:rsidTr="00645E3F">
        <w:trPr>
          <w:trHeight w:val="204"/>
        </w:trPr>
        <w:tc>
          <w:tcPr>
            <w:tcW w:w="2857" w:type="dxa"/>
            <w:tcBorders>
              <w:top w:val="nil"/>
              <w:left w:val="nil"/>
              <w:bottom w:val="nil"/>
              <w:right w:val="nil"/>
            </w:tcBorders>
            <w:shd w:val="clear" w:color="auto" w:fill="auto"/>
            <w:vAlign w:val="bottom"/>
            <w:hideMark/>
          </w:tcPr>
          <w:p w14:paraId="4A7D1C59" w14:textId="77777777" w:rsidR="00DD41B5" w:rsidRPr="00192B13" w:rsidRDefault="00DD41B5" w:rsidP="00DD41B5">
            <w:pPr>
              <w:spacing w:after="0" w:line="240" w:lineRule="auto"/>
              <w:jc w:val="left"/>
              <w:rPr>
                <w:rFonts w:ascii="Arial" w:hAnsi="Arial" w:cs="Arial"/>
                <w:sz w:val="16"/>
                <w:szCs w:val="16"/>
              </w:rPr>
            </w:pPr>
            <w:r w:rsidRPr="00192B13">
              <w:rPr>
                <w:rFonts w:ascii="Arial" w:hAnsi="Arial" w:cs="Arial"/>
                <w:sz w:val="16"/>
                <w:szCs w:val="16"/>
              </w:rPr>
              <w:t xml:space="preserve">Indian Ocean Territories Special Account 2014 </w:t>
            </w:r>
            <w:r w:rsidRPr="00CD6F49">
              <w:rPr>
                <w:rFonts w:ascii="Arial" w:hAnsi="Arial" w:cs="Arial"/>
                <w:sz w:val="16"/>
                <w:szCs w:val="16"/>
              </w:rPr>
              <w:t>(A)</w:t>
            </w:r>
          </w:p>
        </w:tc>
        <w:tc>
          <w:tcPr>
            <w:tcW w:w="893" w:type="dxa"/>
            <w:tcBorders>
              <w:top w:val="nil"/>
              <w:left w:val="nil"/>
              <w:bottom w:val="nil"/>
              <w:right w:val="nil"/>
            </w:tcBorders>
            <w:shd w:val="clear" w:color="auto" w:fill="auto"/>
            <w:vAlign w:val="bottom"/>
            <w:hideMark/>
          </w:tcPr>
          <w:p w14:paraId="3CB56CA8" w14:textId="77777777" w:rsidR="00DD41B5" w:rsidRPr="00E559BC" w:rsidRDefault="00DD41B5" w:rsidP="00DD41B5">
            <w:pPr>
              <w:spacing w:after="0" w:line="240" w:lineRule="auto"/>
              <w:jc w:val="center"/>
              <w:rPr>
                <w:rFonts w:ascii="Arial" w:hAnsi="Arial" w:cs="Arial"/>
                <w:sz w:val="16"/>
                <w:szCs w:val="16"/>
              </w:rPr>
            </w:pPr>
            <w:r w:rsidRPr="00E559BC">
              <w:rPr>
                <w:rFonts w:ascii="Arial" w:hAnsi="Arial" w:cs="Arial"/>
                <w:sz w:val="16"/>
                <w:szCs w:val="16"/>
              </w:rPr>
              <w:t>4</w:t>
            </w:r>
          </w:p>
        </w:tc>
        <w:tc>
          <w:tcPr>
            <w:tcW w:w="834" w:type="dxa"/>
            <w:tcBorders>
              <w:top w:val="nil"/>
              <w:left w:val="nil"/>
              <w:bottom w:val="nil"/>
              <w:right w:val="nil"/>
            </w:tcBorders>
            <w:shd w:val="clear" w:color="auto" w:fill="auto"/>
            <w:noWrap/>
            <w:vAlign w:val="bottom"/>
            <w:hideMark/>
          </w:tcPr>
          <w:p w14:paraId="17163935" w14:textId="77777777" w:rsidR="00DD41B5" w:rsidRPr="00F94843" w:rsidRDefault="00DD41B5" w:rsidP="0036693C">
            <w:pPr>
              <w:spacing w:after="0" w:line="240" w:lineRule="auto"/>
              <w:ind w:right="57"/>
              <w:jc w:val="right"/>
              <w:rPr>
                <w:rFonts w:ascii="Arial" w:hAnsi="Arial" w:cs="Arial"/>
                <w:sz w:val="16"/>
                <w:szCs w:val="16"/>
              </w:rPr>
            </w:pPr>
          </w:p>
        </w:tc>
        <w:tc>
          <w:tcPr>
            <w:tcW w:w="1070" w:type="dxa"/>
            <w:tcBorders>
              <w:top w:val="nil"/>
              <w:left w:val="nil"/>
              <w:bottom w:val="nil"/>
              <w:right w:val="nil"/>
            </w:tcBorders>
            <w:shd w:val="clear" w:color="C0C0C0" w:fill="E6E6E6"/>
            <w:noWrap/>
            <w:vAlign w:val="bottom"/>
            <w:hideMark/>
          </w:tcPr>
          <w:p w14:paraId="4A9D675E" w14:textId="5D6C59BC" w:rsidR="00DD41B5" w:rsidRPr="00F94843" w:rsidRDefault="00DD41B5" w:rsidP="0036693C">
            <w:pPr>
              <w:spacing w:after="0" w:line="240" w:lineRule="auto"/>
              <w:ind w:right="57"/>
              <w:jc w:val="right"/>
              <w:rPr>
                <w:rFonts w:ascii="Arial" w:hAnsi="Arial" w:cs="Arial"/>
                <w:i/>
                <w:iCs/>
                <w:sz w:val="16"/>
                <w:szCs w:val="16"/>
              </w:rPr>
            </w:pPr>
          </w:p>
        </w:tc>
        <w:tc>
          <w:tcPr>
            <w:tcW w:w="864" w:type="dxa"/>
            <w:tcBorders>
              <w:top w:val="nil"/>
              <w:left w:val="nil"/>
              <w:bottom w:val="nil"/>
              <w:right w:val="nil"/>
            </w:tcBorders>
            <w:shd w:val="clear" w:color="C0C0C0" w:fill="E6E6E6"/>
            <w:noWrap/>
            <w:vAlign w:val="bottom"/>
            <w:hideMark/>
          </w:tcPr>
          <w:p w14:paraId="13935512" w14:textId="20BB5ECF" w:rsidR="00DD41B5" w:rsidRPr="00F94843" w:rsidRDefault="00DD41B5" w:rsidP="0036693C">
            <w:pPr>
              <w:spacing w:after="0" w:line="240" w:lineRule="auto"/>
              <w:ind w:right="57"/>
              <w:jc w:val="right"/>
              <w:rPr>
                <w:rFonts w:ascii="Arial" w:hAnsi="Arial" w:cs="Arial"/>
                <w:i/>
                <w:iCs/>
                <w:sz w:val="16"/>
                <w:szCs w:val="16"/>
              </w:rPr>
            </w:pPr>
          </w:p>
        </w:tc>
        <w:tc>
          <w:tcPr>
            <w:tcW w:w="992" w:type="dxa"/>
            <w:tcBorders>
              <w:top w:val="nil"/>
              <w:left w:val="nil"/>
              <w:bottom w:val="nil"/>
              <w:right w:val="nil"/>
            </w:tcBorders>
            <w:shd w:val="clear" w:color="C0C0C0" w:fill="E6E6E6"/>
            <w:noWrap/>
            <w:vAlign w:val="bottom"/>
            <w:hideMark/>
          </w:tcPr>
          <w:p w14:paraId="163357CD" w14:textId="4F30F90D" w:rsidR="00DD41B5" w:rsidRPr="00F94843" w:rsidRDefault="00DD41B5" w:rsidP="0036693C">
            <w:pPr>
              <w:spacing w:after="0" w:line="240" w:lineRule="auto"/>
              <w:ind w:right="57"/>
              <w:jc w:val="right"/>
              <w:rPr>
                <w:rFonts w:ascii="Arial" w:hAnsi="Arial" w:cs="Arial"/>
                <w:i/>
                <w:iCs/>
                <w:sz w:val="16"/>
                <w:szCs w:val="16"/>
              </w:rPr>
            </w:pPr>
          </w:p>
        </w:tc>
      </w:tr>
      <w:tr w:rsidR="00645E3F" w:rsidRPr="00E559BC" w14:paraId="17759AC0" w14:textId="77777777" w:rsidTr="00645E3F">
        <w:trPr>
          <w:trHeight w:val="204"/>
        </w:trPr>
        <w:tc>
          <w:tcPr>
            <w:tcW w:w="2857" w:type="dxa"/>
            <w:tcBorders>
              <w:top w:val="nil"/>
              <w:left w:val="nil"/>
              <w:bottom w:val="nil"/>
              <w:right w:val="nil"/>
            </w:tcBorders>
            <w:shd w:val="clear" w:color="auto" w:fill="auto"/>
            <w:noWrap/>
            <w:tcMar>
              <w:top w:w="0" w:type="dxa"/>
              <w:left w:w="135" w:type="dxa"/>
              <w:bottom w:w="0" w:type="dxa"/>
              <w:right w:w="0" w:type="dxa"/>
            </w:tcMar>
            <w:vAlign w:val="bottom"/>
            <w:hideMark/>
          </w:tcPr>
          <w:p w14:paraId="2D1DEA86" w14:textId="77777777" w:rsidR="00DD41B5" w:rsidRPr="00192B13" w:rsidRDefault="00DD41B5" w:rsidP="00DD41B5">
            <w:pPr>
              <w:spacing w:after="0" w:line="240" w:lineRule="auto"/>
              <w:jc w:val="left"/>
              <w:rPr>
                <w:rFonts w:ascii="Arial" w:hAnsi="Arial" w:cs="Arial"/>
                <w:b/>
                <w:bCs/>
                <w:sz w:val="16"/>
                <w:szCs w:val="16"/>
              </w:rPr>
            </w:pPr>
            <w:r w:rsidRPr="00192B13">
              <w:rPr>
                <w:rFonts w:ascii="Arial" w:hAnsi="Arial" w:cs="Arial"/>
                <w:b/>
                <w:bCs/>
                <w:sz w:val="16"/>
                <w:szCs w:val="16"/>
              </w:rPr>
              <w:t>2021-22</w:t>
            </w:r>
          </w:p>
        </w:tc>
        <w:tc>
          <w:tcPr>
            <w:tcW w:w="893" w:type="dxa"/>
            <w:tcBorders>
              <w:top w:val="nil"/>
              <w:left w:val="nil"/>
              <w:bottom w:val="nil"/>
              <w:right w:val="nil"/>
            </w:tcBorders>
            <w:shd w:val="clear" w:color="auto" w:fill="auto"/>
            <w:vAlign w:val="bottom"/>
            <w:hideMark/>
          </w:tcPr>
          <w:p w14:paraId="6FBAEC18" w14:textId="77777777" w:rsidR="00DD41B5" w:rsidRPr="00E559BC" w:rsidRDefault="00DD41B5" w:rsidP="00DD41B5">
            <w:pPr>
              <w:spacing w:after="0" w:line="240" w:lineRule="auto"/>
              <w:ind w:firstLineChars="100" w:firstLine="160"/>
              <w:jc w:val="right"/>
              <w:rPr>
                <w:rFonts w:ascii="Arial" w:hAnsi="Arial" w:cs="Arial"/>
                <w:b/>
                <w:bCs/>
                <w:sz w:val="16"/>
                <w:szCs w:val="16"/>
              </w:rPr>
            </w:pPr>
          </w:p>
        </w:tc>
        <w:tc>
          <w:tcPr>
            <w:tcW w:w="834" w:type="dxa"/>
            <w:tcBorders>
              <w:top w:val="nil"/>
              <w:left w:val="nil"/>
              <w:bottom w:val="nil"/>
              <w:right w:val="nil"/>
            </w:tcBorders>
            <w:shd w:val="clear" w:color="auto" w:fill="auto"/>
            <w:noWrap/>
            <w:vAlign w:val="bottom"/>
            <w:hideMark/>
          </w:tcPr>
          <w:p w14:paraId="7100579E" w14:textId="24CF3700"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3,865</w:t>
            </w:r>
          </w:p>
        </w:tc>
        <w:tc>
          <w:tcPr>
            <w:tcW w:w="1070" w:type="dxa"/>
            <w:tcBorders>
              <w:top w:val="nil"/>
              <w:left w:val="nil"/>
              <w:bottom w:val="nil"/>
              <w:right w:val="nil"/>
            </w:tcBorders>
            <w:shd w:val="clear" w:color="C0C0C0" w:fill="E6E6E6"/>
            <w:noWrap/>
            <w:vAlign w:val="bottom"/>
            <w:hideMark/>
          </w:tcPr>
          <w:p w14:paraId="352E2ED4" w14:textId="3C7DB538"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17,006</w:t>
            </w:r>
          </w:p>
        </w:tc>
        <w:tc>
          <w:tcPr>
            <w:tcW w:w="864" w:type="dxa"/>
            <w:tcBorders>
              <w:top w:val="nil"/>
              <w:left w:val="nil"/>
              <w:bottom w:val="nil"/>
              <w:right w:val="nil"/>
            </w:tcBorders>
            <w:shd w:val="clear" w:color="C0C0C0" w:fill="E6E6E6"/>
            <w:noWrap/>
            <w:vAlign w:val="bottom"/>
            <w:hideMark/>
          </w:tcPr>
          <w:p w14:paraId="47C73A2E" w14:textId="50C3FFF2"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(17,006)</w:t>
            </w:r>
          </w:p>
        </w:tc>
        <w:tc>
          <w:tcPr>
            <w:tcW w:w="992" w:type="dxa"/>
            <w:tcBorders>
              <w:top w:val="nil"/>
              <w:left w:val="nil"/>
              <w:bottom w:val="nil"/>
              <w:right w:val="nil"/>
            </w:tcBorders>
            <w:shd w:val="clear" w:color="C0C0C0" w:fill="E6E6E6"/>
            <w:noWrap/>
            <w:vAlign w:val="bottom"/>
            <w:hideMark/>
          </w:tcPr>
          <w:p w14:paraId="410FD545" w14:textId="3D9E045A"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3,865</w:t>
            </w:r>
          </w:p>
        </w:tc>
      </w:tr>
      <w:tr w:rsidR="00645E3F" w:rsidRPr="00E559BC" w14:paraId="43D5725D" w14:textId="77777777" w:rsidTr="00645E3F">
        <w:trPr>
          <w:trHeight w:val="204"/>
        </w:trPr>
        <w:tc>
          <w:tcPr>
            <w:tcW w:w="2857" w:type="dxa"/>
            <w:tcBorders>
              <w:top w:val="nil"/>
              <w:left w:val="nil"/>
              <w:bottom w:val="nil"/>
              <w:right w:val="nil"/>
            </w:tcBorders>
            <w:shd w:val="clear" w:color="auto" w:fill="auto"/>
            <w:tcMar>
              <w:top w:w="0" w:type="dxa"/>
              <w:left w:w="135" w:type="dxa"/>
              <w:bottom w:w="0" w:type="dxa"/>
              <w:right w:w="0" w:type="dxa"/>
            </w:tcMar>
            <w:vAlign w:val="bottom"/>
            <w:hideMark/>
          </w:tcPr>
          <w:p w14:paraId="15BE73B2" w14:textId="77777777" w:rsidR="00DD41B5" w:rsidRPr="00192B13" w:rsidRDefault="00DD41B5" w:rsidP="00DD41B5">
            <w:pPr>
              <w:spacing w:after="0" w:line="240" w:lineRule="auto"/>
              <w:jc w:val="left"/>
              <w:rPr>
                <w:rFonts w:ascii="Arial" w:hAnsi="Arial" w:cs="Arial"/>
                <w:iCs/>
                <w:sz w:val="16"/>
                <w:szCs w:val="16"/>
              </w:rPr>
            </w:pPr>
            <w:r w:rsidRPr="00192B13">
              <w:rPr>
                <w:rFonts w:ascii="Arial" w:hAnsi="Arial" w:cs="Arial"/>
                <w:iCs/>
                <w:sz w:val="16"/>
                <w:szCs w:val="16"/>
              </w:rPr>
              <w:t>2020-21</w:t>
            </w:r>
          </w:p>
        </w:tc>
        <w:tc>
          <w:tcPr>
            <w:tcW w:w="893" w:type="dxa"/>
            <w:tcBorders>
              <w:top w:val="nil"/>
              <w:left w:val="nil"/>
              <w:bottom w:val="nil"/>
              <w:right w:val="nil"/>
            </w:tcBorders>
            <w:shd w:val="clear" w:color="auto" w:fill="auto"/>
            <w:vAlign w:val="bottom"/>
            <w:hideMark/>
          </w:tcPr>
          <w:p w14:paraId="46693321" w14:textId="77777777" w:rsidR="00DD41B5" w:rsidRPr="00E559BC" w:rsidRDefault="00DD41B5" w:rsidP="00DD41B5">
            <w:pPr>
              <w:spacing w:after="0" w:line="240" w:lineRule="auto"/>
              <w:ind w:firstLineChars="100" w:firstLine="160"/>
              <w:jc w:val="right"/>
              <w:rPr>
                <w:rFonts w:ascii="Arial" w:hAnsi="Arial" w:cs="Arial"/>
                <w:i/>
                <w:iCs/>
                <w:sz w:val="16"/>
                <w:szCs w:val="16"/>
              </w:rPr>
            </w:pPr>
          </w:p>
        </w:tc>
        <w:tc>
          <w:tcPr>
            <w:tcW w:w="834" w:type="dxa"/>
            <w:tcBorders>
              <w:top w:val="nil"/>
              <w:left w:val="nil"/>
              <w:bottom w:val="nil"/>
              <w:right w:val="nil"/>
            </w:tcBorders>
            <w:shd w:val="clear" w:color="auto" w:fill="auto"/>
            <w:noWrap/>
            <w:vAlign w:val="bottom"/>
            <w:hideMark/>
          </w:tcPr>
          <w:p w14:paraId="4CDB4D0F" w14:textId="7219D6D2"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6,586</w:t>
            </w:r>
          </w:p>
        </w:tc>
        <w:tc>
          <w:tcPr>
            <w:tcW w:w="1070" w:type="dxa"/>
            <w:tcBorders>
              <w:top w:val="nil"/>
              <w:left w:val="nil"/>
              <w:bottom w:val="nil"/>
              <w:right w:val="nil"/>
            </w:tcBorders>
            <w:shd w:val="clear" w:color="C0C0C0" w:fill="E6E6E6"/>
            <w:noWrap/>
            <w:vAlign w:val="bottom"/>
            <w:hideMark/>
          </w:tcPr>
          <w:p w14:paraId="14280AA6" w14:textId="6453263B"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17,320</w:t>
            </w:r>
          </w:p>
        </w:tc>
        <w:tc>
          <w:tcPr>
            <w:tcW w:w="864" w:type="dxa"/>
            <w:tcBorders>
              <w:top w:val="nil"/>
              <w:left w:val="nil"/>
              <w:bottom w:val="nil"/>
              <w:right w:val="nil"/>
            </w:tcBorders>
            <w:shd w:val="clear" w:color="C0C0C0" w:fill="E6E6E6"/>
            <w:noWrap/>
            <w:vAlign w:val="bottom"/>
            <w:hideMark/>
          </w:tcPr>
          <w:p w14:paraId="5F2D3FBF" w14:textId="548C475C"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(20,041)</w:t>
            </w:r>
          </w:p>
        </w:tc>
        <w:tc>
          <w:tcPr>
            <w:tcW w:w="992" w:type="dxa"/>
            <w:tcBorders>
              <w:top w:val="nil"/>
              <w:left w:val="nil"/>
              <w:bottom w:val="nil"/>
              <w:right w:val="nil"/>
            </w:tcBorders>
            <w:shd w:val="clear" w:color="C0C0C0" w:fill="E6E6E6"/>
            <w:noWrap/>
            <w:vAlign w:val="bottom"/>
            <w:hideMark/>
          </w:tcPr>
          <w:p w14:paraId="65F35A20" w14:textId="64EE8DA8"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3,865</w:t>
            </w:r>
          </w:p>
        </w:tc>
      </w:tr>
      <w:tr w:rsidR="00645E3F" w:rsidRPr="00E559BC" w14:paraId="10029335" w14:textId="77777777" w:rsidTr="00645E3F">
        <w:trPr>
          <w:trHeight w:val="204"/>
        </w:trPr>
        <w:tc>
          <w:tcPr>
            <w:tcW w:w="2857" w:type="dxa"/>
            <w:tcBorders>
              <w:top w:val="nil"/>
              <w:left w:val="nil"/>
              <w:bottom w:val="nil"/>
              <w:right w:val="nil"/>
            </w:tcBorders>
            <w:shd w:val="clear" w:color="auto" w:fill="auto"/>
            <w:vAlign w:val="bottom"/>
            <w:hideMark/>
          </w:tcPr>
          <w:p w14:paraId="02EED995" w14:textId="77777777" w:rsidR="00DD41B5" w:rsidRPr="00192B13" w:rsidRDefault="00DD41B5" w:rsidP="00DD41B5">
            <w:pPr>
              <w:spacing w:after="0" w:line="240" w:lineRule="auto"/>
              <w:jc w:val="left"/>
              <w:rPr>
                <w:rFonts w:ascii="Arial" w:hAnsi="Arial" w:cs="Arial"/>
                <w:sz w:val="16"/>
                <w:szCs w:val="16"/>
              </w:rPr>
            </w:pPr>
            <w:r w:rsidRPr="00192B13">
              <w:rPr>
                <w:rFonts w:ascii="Arial" w:hAnsi="Arial" w:cs="Arial"/>
                <w:sz w:val="16"/>
                <w:szCs w:val="16"/>
              </w:rPr>
              <w:t xml:space="preserve">Indigenous Repatriation Special Account </w:t>
            </w:r>
            <w:r w:rsidRPr="00CD6F49">
              <w:rPr>
                <w:rFonts w:ascii="Arial" w:hAnsi="Arial" w:cs="Arial"/>
                <w:sz w:val="16"/>
                <w:szCs w:val="16"/>
              </w:rPr>
              <w:t>(D)</w:t>
            </w:r>
          </w:p>
        </w:tc>
        <w:tc>
          <w:tcPr>
            <w:tcW w:w="893" w:type="dxa"/>
            <w:tcBorders>
              <w:top w:val="nil"/>
              <w:left w:val="nil"/>
              <w:bottom w:val="nil"/>
              <w:right w:val="nil"/>
            </w:tcBorders>
            <w:shd w:val="clear" w:color="auto" w:fill="auto"/>
            <w:vAlign w:val="bottom"/>
            <w:hideMark/>
          </w:tcPr>
          <w:p w14:paraId="201DCC1F" w14:textId="77777777" w:rsidR="00DD41B5" w:rsidRPr="00E559BC" w:rsidRDefault="00DD41B5" w:rsidP="00DD41B5">
            <w:pPr>
              <w:spacing w:after="0" w:line="240" w:lineRule="auto"/>
              <w:jc w:val="center"/>
              <w:rPr>
                <w:rFonts w:ascii="Arial" w:hAnsi="Arial" w:cs="Arial"/>
                <w:sz w:val="16"/>
                <w:szCs w:val="16"/>
              </w:rPr>
            </w:pPr>
            <w:r w:rsidRPr="00E559BC">
              <w:rPr>
                <w:rFonts w:ascii="Arial" w:hAnsi="Arial" w:cs="Arial"/>
                <w:sz w:val="16"/>
                <w:szCs w:val="16"/>
              </w:rPr>
              <w:t>6</w:t>
            </w:r>
          </w:p>
        </w:tc>
        <w:tc>
          <w:tcPr>
            <w:tcW w:w="834" w:type="dxa"/>
            <w:tcBorders>
              <w:top w:val="nil"/>
              <w:left w:val="nil"/>
              <w:bottom w:val="nil"/>
              <w:right w:val="nil"/>
            </w:tcBorders>
            <w:shd w:val="clear" w:color="auto" w:fill="auto"/>
            <w:noWrap/>
            <w:vAlign w:val="bottom"/>
            <w:hideMark/>
          </w:tcPr>
          <w:p w14:paraId="322C9470" w14:textId="77777777" w:rsidR="00DD41B5" w:rsidRPr="00F94843" w:rsidRDefault="00DD41B5" w:rsidP="0036693C">
            <w:pPr>
              <w:spacing w:after="0" w:line="240" w:lineRule="auto"/>
              <w:ind w:right="57"/>
              <w:jc w:val="right"/>
              <w:rPr>
                <w:rFonts w:ascii="Arial" w:hAnsi="Arial" w:cs="Arial"/>
                <w:sz w:val="16"/>
                <w:szCs w:val="16"/>
              </w:rPr>
            </w:pPr>
          </w:p>
        </w:tc>
        <w:tc>
          <w:tcPr>
            <w:tcW w:w="1070" w:type="dxa"/>
            <w:tcBorders>
              <w:top w:val="nil"/>
              <w:left w:val="nil"/>
              <w:bottom w:val="nil"/>
              <w:right w:val="nil"/>
            </w:tcBorders>
            <w:shd w:val="clear" w:color="000000" w:fill="E6E6E6"/>
            <w:noWrap/>
            <w:vAlign w:val="bottom"/>
            <w:hideMark/>
          </w:tcPr>
          <w:p w14:paraId="734748A1" w14:textId="2EBD5946" w:rsidR="00DD41B5" w:rsidRPr="00F94843" w:rsidRDefault="00DD41B5" w:rsidP="0036693C">
            <w:pPr>
              <w:spacing w:after="0" w:line="240" w:lineRule="auto"/>
              <w:ind w:right="57"/>
              <w:jc w:val="right"/>
              <w:rPr>
                <w:rFonts w:ascii="Arial" w:hAnsi="Arial" w:cs="Arial"/>
                <w:color w:val="000000"/>
                <w:sz w:val="16"/>
                <w:szCs w:val="16"/>
              </w:rPr>
            </w:pPr>
          </w:p>
        </w:tc>
        <w:tc>
          <w:tcPr>
            <w:tcW w:w="864" w:type="dxa"/>
            <w:tcBorders>
              <w:top w:val="nil"/>
              <w:left w:val="nil"/>
              <w:bottom w:val="nil"/>
              <w:right w:val="nil"/>
            </w:tcBorders>
            <w:shd w:val="clear" w:color="000000" w:fill="E6E6E6"/>
            <w:noWrap/>
            <w:vAlign w:val="bottom"/>
            <w:hideMark/>
          </w:tcPr>
          <w:p w14:paraId="10BA2E52" w14:textId="311693D8" w:rsidR="00DD41B5" w:rsidRPr="00F94843" w:rsidRDefault="00DD41B5" w:rsidP="0036693C">
            <w:pPr>
              <w:spacing w:after="0" w:line="240" w:lineRule="auto"/>
              <w:ind w:right="57"/>
              <w:jc w:val="right"/>
              <w:rPr>
                <w:rFonts w:ascii="Arial" w:hAnsi="Arial" w:cs="Arial"/>
                <w:color w:val="000000"/>
                <w:sz w:val="16"/>
                <w:szCs w:val="16"/>
              </w:rPr>
            </w:pPr>
          </w:p>
        </w:tc>
        <w:tc>
          <w:tcPr>
            <w:tcW w:w="992" w:type="dxa"/>
            <w:tcBorders>
              <w:top w:val="nil"/>
              <w:left w:val="nil"/>
              <w:bottom w:val="nil"/>
              <w:right w:val="nil"/>
            </w:tcBorders>
            <w:shd w:val="clear" w:color="000000" w:fill="E6E6E6"/>
            <w:noWrap/>
            <w:vAlign w:val="bottom"/>
            <w:hideMark/>
          </w:tcPr>
          <w:p w14:paraId="518FAD92" w14:textId="4A328EE6" w:rsidR="00DD41B5" w:rsidRPr="00F94843" w:rsidRDefault="00DD41B5" w:rsidP="0036693C">
            <w:pPr>
              <w:spacing w:after="0" w:line="240" w:lineRule="auto"/>
              <w:ind w:right="57"/>
              <w:jc w:val="right"/>
              <w:rPr>
                <w:rFonts w:ascii="Arial" w:hAnsi="Arial" w:cs="Arial"/>
                <w:color w:val="000000"/>
                <w:sz w:val="16"/>
                <w:szCs w:val="16"/>
              </w:rPr>
            </w:pPr>
          </w:p>
        </w:tc>
      </w:tr>
      <w:tr w:rsidR="00645E3F" w:rsidRPr="00E559BC" w14:paraId="28487D57" w14:textId="77777777" w:rsidTr="00645E3F">
        <w:trPr>
          <w:trHeight w:val="204"/>
        </w:trPr>
        <w:tc>
          <w:tcPr>
            <w:tcW w:w="2857" w:type="dxa"/>
            <w:tcBorders>
              <w:top w:val="nil"/>
              <w:left w:val="nil"/>
              <w:bottom w:val="nil"/>
              <w:right w:val="nil"/>
            </w:tcBorders>
            <w:shd w:val="clear" w:color="auto" w:fill="auto"/>
            <w:noWrap/>
            <w:tcMar>
              <w:top w:w="0" w:type="dxa"/>
              <w:left w:w="135" w:type="dxa"/>
              <w:bottom w:w="0" w:type="dxa"/>
              <w:right w:w="0" w:type="dxa"/>
            </w:tcMar>
            <w:vAlign w:val="bottom"/>
            <w:hideMark/>
          </w:tcPr>
          <w:p w14:paraId="4DD61193" w14:textId="77777777" w:rsidR="00DD41B5" w:rsidRPr="00192B13" w:rsidRDefault="00DD41B5" w:rsidP="00DD41B5">
            <w:pPr>
              <w:spacing w:after="0" w:line="240" w:lineRule="auto"/>
              <w:jc w:val="left"/>
              <w:rPr>
                <w:rFonts w:ascii="Arial" w:hAnsi="Arial" w:cs="Arial"/>
                <w:b/>
                <w:bCs/>
                <w:sz w:val="16"/>
                <w:szCs w:val="16"/>
              </w:rPr>
            </w:pPr>
            <w:r w:rsidRPr="00192B13">
              <w:rPr>
                <w:rFonts w:ascii="Arial" w:hAnsi="Arial" w:cs="Arial"/>
                <w:b/>
                <w:bCs/>
                <w:sz w:val="16"/>
                <w:szCs w:val="16"/>
              </w:rPr>
              <w:t>2021-22</w:t>
            </w:r>
          </w:p>
        </w:tc>
        <w:tc>
          <w:tcPr>
            <w:tcW w:w="893" w:type="dxa"/>
            <w:tcBorders>
              <w:top w:val="nil"/>
              <w:left w:val="nil"/>
              <w:bottom w:val="nil"/>
              <w:right w:val="nil"/>
            </w:tcBorders>
            <w:shd w:val="clear" w:color="auto" w:fill="auto"/>
            <w:vAlign w:val="bottom"/>
            <w:hideMark/>
          </w:tcPr>
          <w:p w14:paraId="286D0C85" w14:textId="77777777" w:rsidR="00DD41B5" w:rsidRPr="00E559BC" w:rsidRDefault="00DD41B5" w:rsidP="00DD41B5">
            <w:pPr>
              <w:spacing w:after="0" w:line="240" w:lineRule="auto"/>
              <w:ind w:firstLineChars="100" w:firstLine="160"/>
              <w:jc w:val="right"/>
              <w:rPr>
                <w:rFonts w:ascii="Arial" w:hAnsi="Arial" w:cs="Arial"/>
                <w:b/>
                <w:bCs/>
                <w:sz w:val="16"/>
                <w:szCs w:val="16"/>
              </w:rPr>
            </w:pPr>
          </w:p>
        </w:tc>
        <w:tc>
          <w:tcPr>
            <w:tcW w:w="834" w:type="dxa"/>
            <w:tcBorders>
              <w:top w:val="nil"/>
              <w:left w:val="nil"/>
              <w:bottom w:val="nil"/>
              <w:right w:val="nil"/>
            </w:tcBorders>
            <w:shd w:val="clear" w:color="auto" w:fill="auto"/>
            <w:noWrap/>
            <w:vAlign w:val="bottom"/>
            <w:hideMark/>
          </w:tcPr>
          <w:p w14:paraId="7A86152B" w14:textId="10A0E7B2"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2,973</w:t>
            </w:r>
          </w:p>
        </w:tc>
        <w:tc>
          <w:tcPr>
            <w:tcW w:w="1070" w:type="dxa"/>
            <w:tcBorders>
              <w:top w:val="nil"/>
              <w:left w:val="nil"/>
              <w:bottom w:val="nil"/>
              <w:right w:val="nil"/>
            </w:tcBorders>
            <w:shd w:val="clear" w:color="C0C0C0" w:fill="E6E6E6"/>
            <w:noWrap/>
            <w:vAlign w:val="bottom"/>
            <w:hideMark/>
          </w:tcPr>
          <w:p w14:paraId="04E6FE12" w14:textId="07E55EDA"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694</w:t>
            </w:r>
          </w:p>
        </w:tc>
        <w:tc>
          <w:tcPr>
            <w:tcW w:w="864" w:type="dxa"/>
            <w:tcBorders>
              <w:top w:val="nil"/>
              <w:left w:val="nil"/>
              <w:bottom w:val="nil"/>
              <w:right w:val="nil"/>
            </w:tcBorders>
            <w:shd w:val="clear" w:color="C0C0C0" w:fill="E6E6E6"/>
            <w:noWrap/>
            <w:vAlign w:val="bottom"/>
            <w:hideMark/>
          </w:tcPr>
          <w:p w14:paraId="2CADBE4C" w14:textId="6B2BC456"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(694)</w:t>
            </w:r>
          </w:p>
        </w:tc>
        <w:tc>
          <w:tcPr>
            <w:tcW w:w="992" w:type="dxa"/>
            <w:tcBorders>
              <w:top w:val="nil"/>
              <w:left w:val="nil"/>
              <w:bottom w:val="nil"/>
              <w:right w:val="nil"/>
            </w:tcBorders>
            <w:shd w:val="clear" w:color="C0C0C0" w:fill="E6E6E6"/>
            <w:noWrap/>
            <w:vAlign w:val="bottom"/>
            <w:hideMark/>
          </w:tcPr>
          <w:p w14:paraId="206A4792" w14:textId="057473BE"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2,973</w:t>
            </w:r>
          </w:p>
        </w:tc>
      </w:tr>
      <w:tr w:rsidR="00645E3F" w:rsidRPr="00E559BC" w14:paraId="1C598501" w14:textId="77777777" w:rsidTr="00645E3F">
        <w:trPr>
          <w:trHeight w:val="204"/>
        </w:trPr>
        <w:tc>
          <w:tcPr>
            <w:tcW w:w="2857" w:type="dxa"/>
            <w:tcBorders>
              <w:top w:val="nil"/>
              <w:left w:val="nil"/>
              <w:bottom w:val="nil"/>
              <w:right w:val="nil"/>
            </w:tcBorders>
            <w:shd w:val="clear" w:color="auto" w:fill="auto"/>
            <w:tcMar>
              <w:top w:w="0" w:type="dxa"/>
              <w:left w:w="135" w:type="dxa"/>
              <w:bottom w:w="0" w:type="dxa"/>
              <w:right w:w="0" w:type="dxa"/>
            </w:tcMar>
            <w:vAlign w:val="bottom"/>
            <w:hideMark/>
          </w:tcPr>
          <w:p w14:paraId="7FFD2926" w14:textId="77777777" w:rsidR="00DD41B5" w:rsidRPr="00192B13" w:rsidRDefault="00DD41B5" w:rsidP="00DD41B5">
            <w:pPr>
              <w:spacing w:after="0" w:line="240" w:lineRule="auto"/>
              <w:jc w:val="left"/>
              <w:rPr>
                <w:rFonts w:ascii="Arial" w:hAnsi="Arial" w:cs="Arial"/>
                <w:iCs/>
                <w:sz w:val="16"/>
                <w:szCs w:val="16"/>
              </w:rPr>
            </w:pPr>
            <w:r w:rsidRPr="00192B13">
              <w:rPr>
                <w:rFonts w:ascii="Arial" w:hAnsi="Arial" w:cs="Arial"/>
                <w:iCs/>
                <w:sz w:val="16"/>
                <w:szCs w:val="16"/>
              </w:rPr>
              <w:t>2020-21</w:t>
            </w:r>
          </w:p>
        </w:tc>
        <w:tc>
          <w:tcPr>
            <w:tcW w:w="893" w:type="dxa"/>
            <w:tcBorders>
              <w:top w:val="nil"/>
              <w:left w:val="nil"/>
              <w:bottom w:val="nil"/>
              <w:right w:val="nil"/>
            </w:tcBorders>
            <w:shd w:val="clear" w:color="auto" w:fill="auto"/>
            <w:vAlign w:val="bottom"/>
            <w:hideMark/>
          </w:tcPr>
          <w:p w14:paraId="2E20A000" w14:textId="77777777" w:rsidR="00DD41B5" w:rsidRPr="00E559BC" w:rsidRDefault="00DD41B5" w:rsidP="00DD41B5">
            <w:pPr>
              <w:spacing w:after="0" w:line="240" w:lineRule="auto"/>
              <w:ind w:firstLineChars="100" w:firstLine="160"/>
              <w:jc w:val="right"/>
              <w:rPr>
                <w:rFonts w:ascii="Arial" w:hAnsi="Arial" w:cs="Arial"/>
                <w:i/>
                <w:iCs/>
                <w:sz w:val="16"/>
                <w:szCs w:val="16"/>
              </w:rPr>
            </w:pPr>
          </w:p>
        </w:tc>
        <w:tc>
          <w:tcPr>
            <w:tcW w:w="834" w:type="dxa"/>
            <w:tcBorders>
              <w:top w:val="nil"/>
              <w:left w:val="nil"/>
              <w:bottom w:val="nil"/>
              <w:right w:val="nil"/>
            </w:tcBorders>
            <w:shd w:val="clear" w:color="auto" w:fill="auto"/>
            <w:noWrap/>
            <w:vAlign w:val="bottom"/>
            <w:hideMark/>
          </w:tcPr>
          <w:p w14:paraId="34A6E9F5" w14:textId="5F88E962"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2,591</w:t>
            </w:r>
          </w:p>
        </w:tc>
        <w:tc>
          <w:tcPr>
            <w:tcW w:w="1070" w:type="dxa"/>
            <w:tcBorders>
              <w:top w:val="nil"/>
              <w:left w:val="nil"/>
              <w:bottom w:val="nil"/>
              <w:right w:val="nil"/>
            </w:tcBorders>
            <w:shd w:val="clear" w:color="C0C0C0" w:fill="E6E6E6"/>
            <w:noWrap/>
            <w:vAlign w:val="bottom"/>
            <w:hideMark/>
          </w:tcPr>
          <w:p w14:paraId="026A1A33" w14:textId="226E38A2"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834</w:t>
            </w:r>
          </w:p>
        </w:tc>
        <w:tc>
          <w:tcPr>
            <w:tcW w:w="864" w:type="dxa"/>
            <w:tcBorders>
              <w:top w:val="nil"/>
              <w:left w:val="nil"/>
              <w:bottom w:val="nil"/>
              <w:right w:val="nil"/>
            </w:tcBorders>
            <w:shd w:val="clear" w:color="C0C0C0" w:fill="E6E6E6"/>
            <w:noWrap/>
            <w:vAlign w:val="bottom"/>
            <w:hideMark/>
          </w:tcPr>
          <w:p w14:paraId="3B7BC0DD" w14:textId="6A574EE3"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(452)</w:t>
            </w:r>
          </w:p>
        </w:tc>
        <w:tc>
          <w:tcPr>
            <w:tcW w:w="992" w:type="dxa"/>
            <w:tcBorders>
              <w:top w:val="nil"/>
              <w:left w:val="nil"/>
              <w:bottom w:val="nil"/>
              <w:right w:val="nil"/>
            </w:tcBorders>
            <w:shd w:val="clear" w:color="C0C0C0" w:fill="E6E6E6"/>
            <w:noWrap/>
            <w:vAlign w:val="bottom"/>
            <w:hideMark/>
          </w:tcPr>
          <w:p w14:paraId="15A2A9D1" w14:textId="797F6522"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2,973</w:t>
            </w:r>
          </w:p>
        </w:tc>
      </w:tr>
      <w:tr w:rsidR="00645E3F" w:rsidRPr="00E559BC" w14:paraId="013EBF26" w14:textId="77777777" w:rsidTr="00645E3F">
        <w:trPr>
          <w:trHeight w:val="204"/>
        </w:trPr>
        <w:tc>
          <w:tcPr>
            <w:tcW w:w="2857" w:type="dxa"/>
            <w:tcBorders>
              <w:top w:val="nil"/>
              <w:left w:val="nil"/>
              <w:bottom w:val="nil"/>
              <w:right w:val="nil"/>
            </w:tcBorders>
            <w:shd w:val="clear" w:color="auto" w:fill="auto"/>
            <w:vAlign w:val="bottom"/>
            <w:hideMark/>
          </w:tcPr>
          <w:p w14:paraId="31EF792F" w14:textId="77777777" w:rsidR="00DD41B5" w:rsidRPr="00192B13" w:rsidRDefault="00DD41B5" w:rsidP="00DD41B5">
            <w:pPr>
              <w:spacing w:after="0" w:line="240" w:lineRule="auto"/>
              <w:jc w:val="left"/>
              <w:rPr>
                <w:rFonts w:ascii="Arial" w:hAnsi="Arial" w:cs="Arial"/>
                <w:sz w:val="16"/>
                <w:szCs w:val="16"/>
              </w:rPr>
            </w:pPr>
            <w:r w:rsidRPr="00192B13">
              <w:rPr>
                <w:rFonts w:ascii="Arial" w:hAnsi="Arial" w:cs="Arial"/>
                <w:sz w:val="16"/>
                <w:szCs w:val="16"/>
              </w:rPr>
              <w:t xml:space="preserve">Jervis Bay Territory Special Account 2014 </w:t>
            </w:r>
            <w:r w:rsidRPr="00CD6F49">
              <w:rPr>
                <w:rFonts w:ascii="Arial" w:hAnsi="Arial" w:cs="Arial"/>
                <w:sz w:val="16"/>
                <w:szCs w:val="16"/>
              </w:rPr>
              <w:t>(A)</w:t>
            </w:r>
          </w:p>
        </w:tc>
        <w:tc>
          <w:tcPr>
            <w:tcW w:w="893" w:type="dxa"/>
            <w:tcBorders>
              <w:top w:val="nil"/>
              <w:left w:val="nil"/>
              <w:bottom w:val="nil"/>
              <w:right w:val="nil"/>
            </w:tcBorders>
            <w:shd w:val="clear" w:color="auto" w:fill="auto"/>
            <w:vAlign w:val="bottom"/>
            <w:hideMark/>
          </w:tcPr>
          <w:p w14:paraId="4B08D7F7" w14:textId="77777777" w:rsidR="00DD41B5" w:rsidRPr="00E559BC" w:rsidRDefault="00DD41B5" w:rsidP="00DD41B5">
            <w:pPr>
              <w:spacing w:after="0" w:line="240" w:lineRule="auto"/>
              <w:jc w:val="center"/>
              <w:rPr>
                <w:rFonts w:ascii="Arial" w:hAnsi="Arial" w:cs="Arial"/>
                <w:sz w:val="16"/>
                <w:szCs w:val="16"/>
              </w:rPr>
            </w:pPr>
            <w:r w:rsidRPr="00E559BC">
              <w:rPr>
                <w:rFonts w:ascii="Arial" w:hAnsi="Arial" w:cs="Arial"/>
                <w:sz w:val="16"/>
                <w:szCs w:val="16"/>
              </w:rPr>
              <w:t>4</w:t>
            </w:r>
          </w:p>
        </w:tc>
        <w:tc>
          <w:tcPr>
            <w:tcW w:w="834" w:type="dxa"/>
            <w:tcBorders>
              <w:top w:val="nil"/>
              <w:left w:val="nil"/>
              <w:bottom w:val="nil"/>
              <w:right w:val="nil"/>
            </w:tcBorders>
            <w:shd w:val="clear" w:color="auto" w:fill="auto"/>
            <w:noWrap/>
            <w:vAlign w:val="bottom"/>
            <w:hideMark/>
          </w:tcPr>
          <w:p w14:paraId="2D51FB0B" w14:textId="77777777" w:rsidR="00DD41B5" w:rsidRPr="00E559BC" w:rsidRDefault="00DD41B5" w:rsidP="0036693C">
            <w:pPr>
              <w:spacing w:after="0" w:line="240" w:lineRule="auto"/>
              <w:ind w:right="57"/>
              <w:jc w:val="right"/>
              <w:rPr>
                <w:rFonts w:ascii="Arial" w:hAnsi="Arial" w:cs="Arial"/>
                <w:sz w:val="16"/>
                <w:szCs w:val="16"/>
              </w:rPr>
            </w:pPr>
          </w:p>
        </w:tc>
        <w:tc>
          <w:tcPr>
            <w:tcW w:w="1070" w:type="dxa"/>
            <w:tcBorders>
              <w:top w:val="nil"/>
              <w:left w:val="nil"/>
              <w:bottom w:val="nil"/>
              <w:right w:val="nil"/>
            </w:tcBorders>
            <w:shd w:val="clear" w:color="C0C0C0" w:fill="E6E6E6"/>
            <w:noWrap/>
            <w:vAlign w:val="bottom"/>
            <w:hideMark/>
          </w:tcPr>
          <w:p w14:paraId="3D18A672" w14:textId="2757B1BA" w:rsidR="00DD41B5" w:rsidRPr="00E559BC" w:rsidRDefault="00DD41B5" w:rsidP="0036693C">
            <w:pPr>
              <w:spacing w:after="0" w:line="240" w:lineRule="auto"/>
              <w:ind w:right="57"/>
              <w:jc w:val="right"/>
              <w:rPr>
                <w:rFonts w:ascii="Arial" w:hAnsi="Arial" w:cs="Arial"/>
                <w:i/>
                <w:iCs/>
                <w:sz w:val="16"/>
                <w:szCs w:val="16"/>
              </w:rPr>
            </w:pPr>
          </w:p>
        </w:tc>
        <w:tc>
          <w:tcPr>
            <w:tcW w:w="864" w:type="dxa"/>
            <w:tcBorders>
              <w:top w:val="nil"/>
              <w:left w:val="nil"/>
              <w:bottom w:val="nil"/>
              <w:right w:val="nil"/>
            </w:tcBorders>
            <w:shd w:val="clear" w:color="C0C0C0" w:fill="E6E6E6"/>
            <w:noWrap/>
            <w:vAlign w:val="bottom"/>
            <w:hideMark/>
          </w:tcPr>
          <w:p w14:paraId="75B627E5" w14:textId="6A4A0775" w:rsidR="00DD41B5" w:rsidRPr="00E559BC" w:rsidRDefault="00DD41B5" w:rsidP="0036693C">
            <w:pPr>
              <w:spacing w:after="0" w:line="240" w:lineRule="auto"/>
              <w:ind w:right="57"/>
              <w:jc w:val="right"/>
              <w:rPr>
                <w:rFonts w:ascii="Arial" w:hAnsi="Arial" w:cs="Arial"/>
                <w:i/>
                <w:iCs/>
                <w:sz w:val="16"/>
                <w:szCs w:val="16"/>
              </w:rPr>
            </w:pPr>
          </w:p>
        </w:tc>
        <w:tc>
          <w:tcPr>
            <w:tcW w:w="992" w:type="dxa"/>
            <w:tcBorders>
              <w:top w:val="nil"/>
              <w:left w:val="nil"/>
              <w:bottom w:val="nil"/>
              <w:right w:val="nil"/>
            </w:tcBorders>
            <w:shd w:val="clear" w:color="C0C0C0" w:fill="E6E6E6"/>
            <w:noWrap/>
            <w:vAlign w:val="bottom"/>
            <w:hideMark/>
          </w:tcPr>
          <w:p w14:paraId="68257D24" w14:textId="350CFA02" w:rsidR="00DD41B5" w:rsidRPr="00E559BC" w:rsidRDefault="00DD41B5" w:rsidP="0036693C">
            <w:pPr>
              <w:spacing w:after="0" w:line="240" w:lineRule="auto"/>
              <w:ind w:right="57"/>
              <w:jc w:val="right"/>
              <w:rPr>
                <w:rFonts w:ascii="Arial" w:hAnsi="Arial" w:cs="Arial"/>
                <w:i/>
                <w:iCs/>
                <w:sz w:val="16"/>
                <w:szCs w:val="16"/>
              </w:rPr>
            </w:pPr>
          </w:p>
        </w:tc>
      </w:tr>
      <w:tr w:rsidR="00645E3F" w:rsidRPr="00E559BC" w14:paraId="40CDE681" w14:textId="77777777" w:rsidTr="00645E3F">
        <w:trPr>
          <w:trHeight w:val="204"/>
        </w:trPr>
        <w:tc>
          <w:tcPr>
            <w:tcW w:w="2857" w:type="dxa"/>
            <w:tcBorders>
              <w:top w:val="nil"/>
              <w:left w:val="nil"/>
              <w:bottom w:val="nil"/>
              <w:right w:val="nil"/>
            </w:tcBorders>
            <w:shd w:val="clear" w:color="auto" w:fill="auto"/>
            <w:noWrap/>
            <w:tcMar>
              <w:top w:w="0" w:type="dxa"/>
              <w:left w:w="135" w:type="dxa"/>
              <w:bottom w:w="0" w:type="dxa"/>
              <w:right w:w="0" w:type="dxa"/>
            </w:tcMar>
            <w:vAlign w:val="bottom"/>
            <w:hideMark/>
          </w:tcPr>
          <w:p w14:paraId="5F37CBF3" w14:textId="77777777" w:rsidR="00DD41B5" w:rsidRPr="00192B13" w:rsidRDefault="00DD41B5" w:rsidP="00DD41B5">
            <w:pPr>
              <w:spacing w:after="0" w:line="240" w:lineRule="auto"/>
              <w:jc w:val="left"/>
              <w:rPr>
                <w:rFonts w:ascii="Arial" w:hAnsi="Arial" w:cs="Arial"/>
                <w:b/>
                <w:bCs/>
                <w:sz w:val="16"/>
                <w:szCs w:val="16"/>
              </w:rPr>
            </w:pPr>
            <w:r w:rsidRPr="00192B13">
              <w:rPr>
                <w:rFonts w:ascii="Arial" w:hAnsi="Arial" w:cs="Arial"/>
                <w:b/>
                <w:bCs/>
                <w:sz w:val="16"/>
                <w:szCs w:val="16"/>
              </w:rPr>
              <w:t>2021-22</w:t>
            </w:r>
          </w:p>
        </w:tc>
        <w:tc>
          <w:tcPr>
            <w:tcW w:w="893" w:type="dxa"/>
            <w:tcBorders>
              <w:top w:val="nil"/>
              <w:left w:val="nil"/>
              <w:bottom w:val="nil"/>
              <w:right w:val="nil"/>
            </w:tcBorders>
            <w:shd w:val="clear" w:color="auto" w:fill="auto"/>
            <w:vAlign w:val="bottom"/>
            <w:hideMark/>
          </w:tcPr>
          <w:p w14:paraId="7A981D7D" w14:textId="77777777" w:rsidR="00DD41B5" w:rsidRPr="00E559BC" w:rsidRDefault="00DD41B5" w:rsidP="00DD41B5">
            <w:pPr>
              <w:spacing w:after="0" w:line="240" w:lineRule="auto"/>
              <w:ind w:firstLineChars="100" w:firstLine="160"/>
              <w:jc w:val="right"/>
              <w:rPr>
                <w:rFonts w:ascii="Arial" w:hAnsi="Arial" w:cs="Arial"/>
                <w:b/>
                <w:bCs/>
                <w:sz w:val="16"/>
                <w:szCs w:val="16"/>
              </w:rPr>
            </w:pPr>
          </w:p>
        </w:tc>
        <w:tc>
          <w:tcPr>
            <w:tcW w:w="834" w:type="dxa"/>
            <w:tcBorders>
              <w:top w:val="nil"/>
              <w:left w:val="nil"/>
              <w:bottom w:val="nil"/>
              <w:right w:val="nil"/>
            </w:tcBorders>
            <w:shd w:val="clear" w:color="auto" w:fill="auto"/>
            <w:noWrap/>
            <w:vAlign w:val="bottom"/>
            <w:hideMark/>
          </w:tcPr>
          <w:p w14:paraId="38B04583" w14:textId="4DDFE4C9"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495</w:t>
            </w:r>
          </w:p>
        </w:tc>
        <w:tc>
          <w:tcPr>
            <w:tcW w:w="1070" w:type="dxa"/>
            <w:tcBorders>
              <w:top w:val="nil"/>
              <w:left w:val="nil"/>
              <w:bottom w:val="nil"/>
              <w:right w:val="nil"/>
            </w:tcBorders>
            <w:shd w:val="clear" w:color="C0C0C0" w:fill="E6E6E6"/>
            <w:noWrap/>
            <w:vAlign w:val="bottom"/>
            <w:hideMark/>
          </w:tcPr>
          <w:p w14:paraId="5D678B3B" w14:textId="2158C67E"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1,219</w:t>
            </w:r>
          </w:p>
        </w:tc>
        <w:tc>
          <w:tcPr>
            <w:tcW w:w="864" w:type="dxa"/>
            <w:tcBorders>
              <w:top w:val="nil"/>
              <w:left w:val="nil"/>
              <w:bottom w:val="nil"/>
              <w:right w:val="nil"/>
            </w:tcBorders>
            <w:shd w:val="clear" w:color="C0C0C0" w:fill="E6E6E6"/>
            <w:noWrap/>
            <w:vAlign w:val="bottom"/>
            <w:hideMark/>
          </w:tcPr>
          <w:p w14:paraId="68552BB3" w14:textId="64C5565A"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(1,219)</w:t>
            </w:r>
          </w:p>
        </w:tc>
        <w:tc>
          <w:tcPr>
            <w:tcW w:w="992" w:type="dxa"/>
            <w:tcBorders>
              <w:top w:val="nil"/>
              <w:left w:val="nil"/>
              <w:bottom w:val="nil"/>
              <w:right w:val="nil"/>
            </w:tcBorders>
            <w:shd w:val="clear" w:color="C0C0C0" w:fill="E6E6E6"/>
            <w:noWrap/>
            <w:vAlign w:val="bottom"/>
            <w:hideMark/>
          </w:tcPr>
          <w:p w14:paraId="267A66FE" w14:textId="65C39096"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495</w:t>
            </w:r>
          </w:p>
        </w:tc>
      </w:tr>
      <w:tr w:rsidR="00645E3F" w:rsidRPr="00E559BC" w14:paraId="0682BDDC" w14:textId="77777777" w:rsidTr="00645E3F">
        <w:trPr>
          <w:trHeight w:val="204"/>
        </w:trPr>
        <w:tc>
          <w:tcPr>
            <w:tcW w:w="2857" w:type="dxa"/>
            <w:tcBorders>
              <w:top w:val="nil"/>
              <w:left w:val="nil"/>
              <w:bottom w:val="nil"/>
              <w:right w:val="nil"/>
            </w:tcBorders>
            <w:shd w:val="clear" w:color="auto" w:fill="auto"/>
            <w:tcMar>
              <w:top w:w="0" w:type="dxa"/>
              <w:left w:w="135" w:type="dxa"/>
              <w:bottom w:w="0" w:type="dxa"/>
              <w:right w:w="0" w:type="dxa"/>
            </w:tcMar>
            <w:vAlign w:val="bottom"/>
            <w:hideMark/>
          </w:tcPr>
          <w:p w14:paraId="3610C099" w14:textId="77777777" w:rsidR="00DD41B5" w:rsidRPr="00192B13" w:rsidRDefault="00DD41B5" w:rsidP="00DD41B5">
            <w:pPr>
              <w:spacing w:after="0" w:line="240" w:lineRule="auto"/>
              <w:jc w:val="left"/>
              <w:rPr>
                <w:rFonts w:ascii="Arial" w:hAnsi="Arial" w:cs="Arial"/>
                <w:iCs/>
                <w:sz w:val="16"/>
                <w:szCs w:val="16"/>
              </w:rPr>
            </w:pPr>
            <w:r w:rsidRPr="00192B13">
              <w:rPr>
                <w:rFonts w:ascii="Arial" w:hAnsi="Arial" w:cs="Arial"/>
                <w:iCs/>
                <w:sz w:val="16"/>
                <w:szCs w:val="16"/>
              </w:rPr>
              <w:t>2020-21</w:t>
            </w:r>
          </w:p>
        </w:tc>
        <w:tc>
          <w:tcPr>
            <w:tcW w:w="893" w:type="dxa"/>
            <w:tcBorders>
              <w:top w:val="nil"/>
              <w:left w:val="nil"/>
              <w:bottom w:val="nil"/>
              <w:right w:val="nil"/>
            </w:tcBorders>
            <w:shd w:val="clear" w:color="auto" w:fill="auto"/>
            <w:vAlign w:val="bottom"/>
            <w:hideMark/>
          </w:tcPr>
          <w:p w14:paraId="3BB99057" w14:textId="77777777" w:rsidR="00DD41B5" w:rsidRPr="00E559BC" w:rsidRDefault="00DD41B5" w:rsidP="00DD41B5">
            <w:pPr>
              <w:spacing w:after="0" w:line="240" w:lineRule="auto"/>
              <w:ind w:firstLineChars="100" w:firstLine="160"/>
              <w:jc w:val="right"/>
              <w:rPr>
                <w:rFonts w:ascii="Arial" w:hAnsi="Arial" w:cs="Arial"/>
                <w:i/>
                <w:iCs/>
                <w:sz w:val="16"/>
                <w:szCs w:val="16"/>
              </w:rPr>
            </w:pPr>
          </w:p>
        </w:tc>
        <w:tc>
          <w:tcPr>
            <w:tcW w:w="834" w:type="dxa"/>
            <w:tcBorders>
              <w:top w:val="nil"/>
              <w:left w:val="nil"/>
              <w:bottom w:val="nil"/>
              <w:right w:val="nil"/>
            </w:tcBorders>
            <w:shd w:val="clear" w:color="auto" w:fill="auto"/>
            <w:noWrap/>
            <w:vAlign w:val="bottom"/>
            <w:hideMark/>
          </w:tcPr>
          <w:p w14:paraId="58E31C84" w14:textId="1A8EA8E8"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336</w:t>
            </w:r>
          </w:p>
        </w:tc>
        <w:tc>
          <w:tcPr>
            <w:tcW w:w="1070" w:type="dxa"/>
            <w:tcBorders>
              <w:top w:val="nil"/>
              <w:left w:val="nil"/>
              <w:bottom w:val="nil"/>
              <w:right w:val="nil"/>
            </w:tcBorders>
            <w:shd w:val="clear" w:color="C0C0C0" w:fill="E6E6E6"/>
            <w:noWrap/>
            <w:vAlign w:val="bottom"/>
            <w:hideMark/>
          </w:tcPr>
          <w:p w14:paraId="1BC9D5AA" w14:textId="6DF27AA9"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1,026</w:t>
            </w:r>
          </w:p>
        </w:tc>
        <w:tc>
          <w:tcPr>
            <w:tcW w:w="864" w:type="dxa"/>
            <w:tcBorders>
              <w:top w:val="nil"/>
              <w:left w:val="nil"/>
              <w:bottom w:val="nil"/>
              <w:right w:val="nil"/>
            </w:tcBorders>
            <w:shd w:val="clear" w:color="C0C0C0" w:fill="E6E6E6"/>
            <w:noWrap/>
            <w:vAlign w:val="bottom"/>
            <w:hideMark/>
          </w:tcPr>
          <w:p w14:paraId="291688D7" w14:textId="110F30E6"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(867)</w:t>
            </w:r>
          </w:p>
        </w:tc>
        <w:tc>
          <w:tcPr>
            <w:tcW w:w="992" w:type="dxa"/>
            <w:tcBorders>
              <w:top w:val="nil"/>
              <w:left w:val="nil"/>
              <w:bottom w:val="nil"/>
              <w:right w:val="nil"/>
            </w:tcBorders>
            <w:shd w:val="clear" w:color="C0C0C0" w:fill="E6E6E6"/>
            <w:noWrap/>
            <w:vAlign w:val="bottom"/>
            <w:hideMark/>
          </w:tcPr>
          <w:p w14:paraId="608C6EC7" w14:textId="0A588FF2"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495</w:t>
            </w:r>
          </w:p>
        </w:tc>
      </w:tr>
      <w:tr w:rsidR="00645E3F" w:rsidRPr="00E559BC" w14:paraId="77C7EB8A" w14:textId="77777777" w:rsidTr="00645E3F">
        <w:trPr>
          <w:trHeight w:val="204"/>
        </w:trPr>
        <w:tc>
          <w:tcPr>
            <w:tcW w:w="2857" w:type="dxa"/>
            <w:tcBorders>
              <w:top w:val="nil"/>
              <w:left w:val="nil"/>
              <w:bottom w:val="nil"/>
              <w:right w:val="nil"/>
            </w:tcBorders>
            <w:shd w:val="clear" w:color="auto" w:fill="auto"/>
            <w:vAlign w:val="bottom"/>
            <w:hideMark/>
          </w:tcPr>
          <w:p w14:paraId="71158D00" w14:textId="77777777" w:rsidR="00DD41B5" w:rsidRPr="00192B13" w:rsidRDefault="00DD41B5" w:rsidP="00DD41B5">
            <w:pPr>
              <w:spacing w:after="0" w:line="240" w:lineRule="auto"/>
              <w:jc w:val="left"/>
              <w:rPr>
                <w:rFonts w:ascii="Arial" w:hAnsi="Arial" w:cs="Arial"/>
                <w:sz w:val="16"/>
                <w:szCs w:val="16"/>
              </w:rPr>
            </w:pPr>
            <w:r w:rsidRPr="00192B13">
              <w:rPr>
                <w:rFonts w:ascii="Arial" w:hAnsi="Arial" w:cs="Arial"/>
                <w:sz w:val="16"/>
                <w:szCs w:val="16"/>
              </w:rPr>
              <w:t xml:space="preserve">Melbourne Airport New Runway Land Acquisition Special Account </w:t>
            </w:r>
            <w:r w:rsidRPr="00CD6F49">
              <w:rPr>
                <w:rFonts w:ascii="Arial" w:hAnsi="Arial" w:cs="Arial"/>
                <w:sz w:val="16"/>
                <w:szCs w:val="16"/>
              </w:rPr>
              <w:t>(A)</w:t>
            </w:r>
          </w:p>
        </w:tc>
        <w:tc>
          <w:tcPr>
            <w:tcW w:w="893" w:type="dxa"/>
            <w:tcBorders>
              <w:top w:val="nil"/>
              <w:left w:val="nil"/>
              <w:bottom w:val="nil"/>
              <w:right w:val="nil"/>
            </w:tcBorders>
            <w:shd w:val="clear" w:color="auto" w:fill="auto"/>
            <w:vAlign w:val="bottom"/>
            <w:hideMark/>
          </w:tcPr>
          <w:p w14:paraId="62CF372D" w14:textId="77777777" w:rsidR="00DD41B5" w:rsidRPr="00E559BC" w:rsidRDefault="00DD41B5" w:rsidP="00DD41B5">
            <w:pPr>
              <w:spacing w:after="0" w:line="240" w:lineRule="auto"/>
              <w:jc w:val="center"/>
              <w:rPr>
                <w:rFonts w:ascii="Arial" w:hAnsi="Arial" w:cs="Arial"/>
                <w:sz w:val="16"/>
                <w:szCs w:val="16"/>
              </w:rPr>
            </w:pPr>
            <w:r w:rsidRPr="00E559BC">
              <w:rPr>
                <w:rFonts w:ascii="Arial" w:hAnsi="Arial" w:cs="Arial"/>
                <w:sz w:val="16"/>
                <w:szCs w:val="16"/>
              </w:rPr>
              <w:t>2</w:t>
            </w:r>
          </w:p>
        </w:tc>
        <w:tc>
          <w:tcPr>
            <w:tcW w:w="834" w:type="dxa"/>
            <w:tcBorders>
              <w:top w:val="nil"/>
              <w:left w:val="nil"/>
              <w:bottom w:val="nil"/>
              <w:right w:val="nil"/>
            </w:tcBorders>
            <w:shd w:val="clear" w:color="auto" w:fill="auto"/>
            <w:noWrap/>
            <w:vAlign w:val="bottom"/>
            <w:hideMark/>
          </w:tcPr>
          <w:p w14:paraId="4284B50E" w14:textId="77777777" w:rsidR="00DD41B5" w:rsidRPr="00F94843" w:rsidRDefault="00DD41B5" w:rsidP="0036693C">
            <w:pPr>
              <w:spacing w:after="0" w:line="240" w:lineRule="auto"/>
              <w:ind w:right="57"/>
              <w:jc w:val="right"/>
              <w:rPr>
                <w:rFonts w:ascii="Arial" w:hAnsi="Arial" w:cs="Arial"/>
                <w:sz w:val="16"/>
                <w:szCs w:val="16"/>
              </w:rPr>
            </w:pPr>
          </w:p>
        </w:tc>
        <w:tc>
          <w:tcPr>
            <w:tcW w:w="1070" w:type="dxa"/>
            <w:tcBorders>
              <w:top w:val="nil"/>
              <w:left w:val="nil"/>
              <w:bottom w:val="nil"/>
              <w:right w:val="nil"/>
            </w:tcBorders>
            <w:shd w:val="clear" w:color="C0C0C0" w:fill="E6E6E6"/>
            <w:noWrap/>
            <w:vAlign w:val="bottom"/>
            <w:hideMark/>
          </w:tcPr>
          <w:p w14:paraId="7822AFA7" w14:textId="0296F5C8" w:rsidR="00DD41B5" w:rsidRPr="00F94843" w:rsidRDefault="00DD41B5" w:rsidP="0036693C">
            <w:pPr>
              <w:spacing w:after="0" w:line="240" w:lineRule="auto"/>
              <w:ind w:right="57"/>
              <w:jc w:val="right"/>
              <w:rPr>
                <w:rFonts w:ascii="Arial" w:hAnsi="Arial" w:cs="Arial"/>
                <w:i/>
                <w:iCs/>
                <w:sz w:val="16"/>
                <w:szCs w:val="16"/>
              </w:rPr>
            </w:pPr>
          </w:p>
        </w:tc>
        <w:tc>
          <w:tcPr>
            <w:tcW w:w="864" w:type="dxa"/>
            <w:tcBorders>
              <w:top w:val="nil"/>
              <w:left w:val="nil"/>
              <w:bottom w:val="nil"/>
              <w:right w:val="nil"/>
            </w:tcBorders>
            <w:shd w:val="clear" w:color="C0C0C0" w:fill="E6E6E6"/>
            <w:noWrap/>
            <w:vAlign w:val="bottom"/>
            <w:hideMark/>
          </w:tcPr>
          <w:p w14:paraId="65B98424" w14:textId="745FBC57" w:rsidR="00DD41B5" w:rsidRPr="00F94843" w:rsidRDefault="00DD41B5" w:rsidP="0036693C">
            <w:pPr>
              <w:spacing w:after="0" w:line="240" w:lineRule="auto"/>
              <w:ind w:right="57"/>
              <w:jc w:val="right"/>
              <w:rPr>
                <w:rFonts w:ascii="Arial" w:hAnsi="Arial" w:cs="Arial"/>
                <w:i/>
                <w:iCs/>
                <w:sz w:val="16"/>
                <w:szCs w:val="16"/>
              </w:rPr>
            </w:pPr>
          </w:p>
        </w:tc>
        <w:tc>
          <w:tcPr>
            <w:tcW w:w="992" w:type="dxa"/>
            <w:tcBorders>
              <w:top w:val="nil"/>
              <w:left w:val="nil"/>
              <w:bottom w:val="nil"/>
              <w:right w:val="nil"/>
            </w:tcBorders>
            <w:shd w:val="clear" w:color="C0C0C0" w:fill="E6E6E6"/>
            <w:noWrap/>
            <w:vAlign w:val="bottom"/>
            <w:hideMark/>
          </w:tcPr>
          <w:p w14:paraId="190F3744" w14:textId="17C948C6" w:rsidR="00DD41B5" w:rsidRPr="00F94843" w:rsidRDefault="00DD41B5" w:rsidP="0036693C">
            <w:pPr>
              <w:spacing w:after="0" w:line="240" w:lineRule="auto"/>
              <w:ind w:right="57"/>
              <w:jc w:val="right"/>
              <w:rPr>
                <w:rFonts w:ascii="Arial" w:hAnsi="Arial" w:cs="Arial"/>
                <w:i/>
                <w:iCs/>
                <w:sz w:val="16"/>
                <w:szCs w:val="16"/>
              </w:rPr>
            </w:pPr>
          </w:p>
        </w:tc>
      </w:tr>
      <w:tr w:rsidR="00645E3F" w:rsidRPr="00E559BC" w14:paraId="004E05CF" w14:textId="77777777" w:rsidTr="00645E3F">
        <w:trPr>
          <w:trHeight w:val="204"/>
        </w:trPr>
        <w:tc>
          <w:tcPr>
            <w:tcW w:w="2857" w:type="dxa"/>
            <w:tcBorders>
              <w:top w:val="nil"/>
              <w:left w:val="nil"/>
              <w:bottom w:val="nil"/>
              <w:right w:val="nil"/>
            </w:tcBorders>
            <w:shd w:val="clear" w:color="auto" w:fill="auto"/>
            <w:noWrap/>
            <w:tcMar>
              <w:top w:w="0" w:type="dxa"/>
              <w:left w:w="135" w:type="dxa"/>
              <w:bottom w:w="0" w:type="dxa"/>
              <w:right w:w="0" w:type="dxa"/>
            </w:tcMar>
            <w:vAlign w:val="bottom"/>
            <w:hideMark/>
          </w:tcPr>
          <w:p w14:paraId="4BA4040B" w14:textId="77777777" w:rsidR="00DD41B5" w:rsidRPr="00192B13" w:rsidRDefault="00DD41B5" w:rsidP="00DD41B5">
            <w:pPr>
              <w:spacing w:after="0" w:line="240" w:lineRule="auto"/>
              <w:jc w:val="left"/>
              <w:rPr>
                <w:rFonts w:ascii="Arial" w:hAnsi="Arial" w:cs="Arial"/>
                <w:b/>
                <w:bCs/>
                <w:sz w:val="16"/>
                <w:szCs w:val="16"/>
              </w:rPr>
            </w:pPr>
            <w:r w:rsidRPr="00192B13">
              <w:rPr>
                <w:rFonts w:ascii="Arial" w:hAnsi="Arial" w:cs="Arial"/>
                <w:b/>
                <w:bCs/>
                <w:sz w:val="16"/>
                <w:szCs w:val="16"/>
              </w:rPr>
              <w:t>2021-22</w:t>
            </w:r>
          </w:p>
        </w:tc>
        <w:tc>
          <w:tcPr>
            <w:tcW w:w="893" w:type="dxa"/>
            <w:tcBorders>
              <w:top w:val="nil"/>
              <w:left w:val="nil"/>
              <w:bottom w:val="nil"/>
              <w:right w:val="nil"/>
            </w:tcBorders>
            <w:shd w:val="clear" w:color="auto" w:fill="auto"/>
            <w:vAlign w:val="bottom"/>
            <w:hideMark/>
          </w:tcPr>
          <w:p w14:paraId="6E3BFE06" w14:textId="77777777" w:rsidR="00DD41B5" w:rsidRPr="00E559BC" w:rsidRDefault="00DD41B5" w:rsidP="00DD41B5">
            <w:pPr>
              <w:spacing w:after="0" w:line="240" w:lineRule="auto"/>
              <w:ind w:firstLineChars="100" w:firstLine="160"/>
              <w:jc w:val="right"/>
              <w:rPr>
                <w:rFonts w:ascii="Arial" w:hAnsi="Arial" w:cs="Arial"/>
                <w:b/>
                <w:bCs/>
                <w:sz w:val="16"/>
                <w:szCs w:val="16"/>
              </w:rPr>
            </w:pPr>
          </w:p>
        </w:tc>
        <w:tc>
          <w:tcPr>
            <w:tcW w:w="834" w:type="dxa"/>
            <w:tcBorders>
              <w:top w:val="nil"/>
              <w:left w:val="nil"/>
              <w:bottom w:val="nil"/>
              <w:right w:val="nil"/>
            </w:tcBorders>
            <w:shd w:val="clear" w:color="auto" w:fill="auto"/>
            <w:noWrap/>
            <w:vAlign w:val="bottom"/>
            <w:hideMark/>
          </w:tcPr>
          <w:p w14:paraId="0E8D18D4" w14:textId="1FF9A561"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47</w:t>
            </w:r>
          </w:p>
        </w:tc>
        <w:tc>
          <w:tcPr>
            <w:tcW w:w="1070" w:type="dxa"/>
            <w:tcBorders>
              <w:top w:val="nil"/>
              <w:left w:val="nil"/>
              <w:bottom w:val="nil"/>
              <w:right w:val="nil"/>
            </w:tcBorders>
            <w:shd w:val="clear" w:color="C0C0C0" w:fill="E6E6E6"/>
            <w:noWrap/>
            <w:vAlign w:val="bottom"/>
            <w:hideMark/>
          </w:tcPr>
          <w:p w14:paraId="55FE3F2D" w14:textId="474A3EB9"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864" w:type="dxa"/>
            <w:tcBorders>
              <w:top w:val="nil"/>
              <w:left w:val="nil"/>
              <w:bottom w:val="nil"/>
              <w:right w:val="nil"/>
            </w:tcBorders>
            <w:shd w:val="clear" w:color="C0C0C0" w:fill="E6E6E6"/>
            <w:noWrap/>
            <w:vAlign w:val="bottom"/>
            <w:hideMark/>
          </w:tcPr>
          <w:p w14:paraId="15CA8A1A" w14:textId="065519CD"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992" w:type="dxa"/>
            <w:tcBorders>
              <w:top w:val="nil"/>
              <w:left w:val="nil"/>
              <w:bottom w:val="nil"/>
              <w:right w:val="nil"/>
            </w:tcBorders>
            <w:shd w:val="clear" w:color="C0C0C0" w:fill="E6E6E6"/>
            <w:noWrap/>
            <w:vAlign w:val="bottom"/>
            <w:hideMark/>
          </w:tcPr>
          <w:p w14:paraId="1620B860" w14:textId="09CB71BE"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47</w:t>
            </w:r>
          </w:p>
        </w:tc>
      </w:tr>
      <w:tr w:rsidR="00645E3F" w:rsidRPr="00E559BC" w14:paraId="42AE74B8" w14:textId="77777777" w:rsidTr="00645E3F">
        <w:trPr>
          <w:trHeight w:val="204"/>
        </w:trPr>
        <w:tc>
          <w:tcPr>
            <w:tcW w:w="2857" w:type="dxa"/>
            <w:tcBorders>
              <w:top w:val="nil"/>
              <w:left w:val="nil"/>
              <w:bottom w:val="nil"/>
              <w:right w:val="nil"/>
            </w:tcBorders>
            <w:shd w:val="clear" w:color="auto" w:fill="auto"/>
            <w:tcMar>
              <w:top w:w="0" w:type="dxa"/>
              <w:left w:w="135" w:type="dxa"/>
              <w:bottom w:w="0" w:type="dxa"/>
              <w:right w:w="0" w:type="dxa"/>
            </w:tcMar>
            <w:vAlign w:val="bottom"/>
            <w:hideMark/>
          </w:tcPr>
          <w:p w14:paraId="4C417BE3" w14:textId="77777777" w:rsidR="00DD41B5" w:rsidRPr="00192B13" w:rsidRDefault="00DD41B5" w:rsidP="00DD41B5">
            <w:pPr>
              <w:spacing w:after="0" w:line="240" w:lineRule="auto"/>
              <w:jc w:val="left"/>
              <w:rPr>
                <w:rFonts w:ascii="Arial" w:hAnsi="Arial" w:cs="Arial"/>
                <w:iCs/>
                <w:sz w:val="16"/>
                <w:szCs w:val="16"/>
              </w:rPr>
            </w:pPr>
            <w:r w:rsidRPr="00192B13">
              <w:rPr>
                <w:rFonts w:ascii="Arial" w:hAnsi="Arial" w:cs="Arial"/>
                <w:iCs/>
                <w:sz w:val="16"/>
                <w:szCs w:val="16"/>
              </w:rPr>
              <w:t>2020-21</w:t>
            </w:r>
          </w:p>
        </w:tc>
        <w:tc>
          <w:tcPr>
            <w:tcW w:w="893" w:type="dxa"/>
            <w:tcBorders>
              <w:top w:val="nil"/>
              <w:left w:val="nil"/>
              <w:bottom w:val="nil"/>
              <w:right w:val="nil"/>
            </w:tcBorders>
            <w:shd w:val="clear" w:color="auto" w:fill="auto"/>
            <w:vAlign w:val="bottom"/>
            <w:hideMark/>
          </w:tcPr>
          <w:p w14:paraId="073A9B52" w14:textId="77777777" w:rsidR="00DD41B5" w:rsidRPr="00E559BC" w:rsidRDefault="00DD41B5" w:rsidP="00DD41B5">
            <w:pPr>
              <w:spacing w:after="0" w:line="240" w:lineRule="auto"/>
              <w:ind w:firstLineChars="100" w:firstLine="160"/>
              <w:jc w:val="right"/>
              <w:rPr>
                <w:rFonts w:ascii="Arial" w:hAnsi="Arial" w:cs="Arial"/>
                <w:i/>
                <w:iCs/>
                <w:sz w:val="16"/>
                <w:szCs w:val="16"/>
              </w:rPr>
            </w:pPr>
          </w:p>
        </w:tc>
        <w:tc>
          <w:tcPr>
            <w:tcW w:w="834" w:type="dxa"/>
            <w:tcBorders>
              <w:top w:val="nil"/>
              <w:left w:val="nil"/>
              <w:bottom w:val="nil"/>
              <w:right w:val="nil"/>
            </w:tcBorders>
            <w:shd w:val="clear" w:color="auto" w:fill="auto"/>
            <w:noWrap/>
            <w:vAlign w:val="bottom"/>
            <w:hideMark/>
          </w:tcPr>
          <w:p w14:paraId="6E655135" w14:textId="5CD73633"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48</w:t>
            </w:r>
          </w:p>
        </w:tc>
        <w:tc>
          <w:tcPr>
            <w:tcW w:w="1070" w:type="dxa"/>
            <w:tcBorders>
              <w:top w:val="nil"/>
              <w:left w:val="nil"/>
              <w:bottom w:val="nil"/>
              <w:right w:val="nil"/>
            </w:tcBorders>
            <w:shd w:val="clear" w:color="C0C0C0" w:fill="E6E6E6"/>
            <w:noWrap/>
            <w:vAlign w:val="bottom"/>
            <w:hideMark/>
          </w:tcPr>
          <w:p w14:paraId="3FE955D7" w14:textId="47473ADD"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4</w:t>
            </w:r>
          </w:p>
        </w:tc>
        <w:tc>
          <w:tcPr>
            <w:tcW w:w="864" w:type="dxa"/>
            <w:tcBorders>
              <w:top w:val="nil"/>
              <w:left w:val="nil"/>
              <w:bottom w:val="nil"/>
              <w:right w:val="nil"/>
            </w:tcBorders>
            <w:shd w:val="clear" w:color="C0C0C0" w:fill="E6E6E6"/>
            <w:noWrap/>
            <w:vAlign w:val="bottom"/>
            <w:hideMark/>
          </w:tcPr>
          <w:p w14:paraId="758EEF0C" w14:textId="2AC05F25"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(5)</w:t>
            </w:r>
          </w:p>
        </w:tc>
        <w:tc>
          <w:tcPr>
            <w:tcW w:w="992" w:type="dxa"/>
            <w:tcBorders>
              <w:top w:val="nil"/>
              <w:left w:val="nil"/>
              <w:bottom w:val="nil"/>
              <w:right w:val="nil"/>
            </w:tcBorders>
            <w:shd w:val="clear" w:color="C0C0C0" w:fill="E6E6E6"/>
            <w:noWrap/>
            <w:vAlign w:val="bottom"/>
            <w:hideMark/>
          </w:tcPr>
          <w:p w14:paraId="07758651" w14:textId="12A9FF30"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47</w:t>
            </w:r>
          </w:p>
        </w:tc>
      </w:tr>
      <w:tr w:rsidR="00645E3F" w:rsidRPr="00E559BC" w14:paraId="7609323B" w14:textId="77777777" w:rsidTr="00645E3F">
        <w:trPr>
          <w:trHeight w:val="204"/>
        </w:trPr>
        <w:tc>
          <w:tcPr>
            <w:tcW w:w="2857" w:type="dxa"/>
            <w:tcBorders>
              <w:top w:val="nil"/>
              <w:left w:val="nil"/>
              <w:bottom w:val="nil"/>
              <w:right w:val="nil"/>
            </w:tcBorders>
            <w:shd w:val="clear" w:color="auto" w:fill="auto"/>
            <w:vAlign w:val="bottom"/>
            <w:hideMark/>
          </w:tcPr>
          <w:p w14:paraId="3CDC5D5F" w14:textId="77777777" w:rsidR="00DD41B5" w:rsidRPr="00192B13" w:rsidRDefault="00DD41B5" w:rsidP="00DD41B5">
            <w:pPr>
              <w:spacing w:after="0" w:line="240" w:lineRule="auto"/>
              <w:jc w:val="left"/>
              <w:rPr>
                <w:rFonts w:ascii="Arial" w:hAnsi="Arial" w:cs="Arial"/>
                <w:sz w:val="16"/>
                <w:szCs w:val="16"/>
              </w:rPr>
            </w:pPr>
            <w:r w:rsidRPr="00192B13">
              <w:rPr>
                <w:rFonts w:ascii="Arial" w:hAnsi="Arial" w:cs="Arial"/>
                <w:sz w:val="16"/>
                <w:szCs w:val="16"/>
              </w:rPr>
              <w:t xml:space="preserve">National Cultural Heritage Account </w:t>
            </w:r>
            <w:r w:rsidRPr="00CD6F49">
              <w:rPr>
                <w:rFonts w:ascii="Arial" w:hAnsi="Arial" w:cs="Arial"/>
                <w:sz w:val="16"/>
                <w:szCs w:val="16"/>
              </w:rPr>
              <w:t>(A)</w:t>
            </w:r>
          </w:p>
        </w:tc>
        <w:tc>
          <w:tcPr>
            <w:tcW w:w="893" w:type="dxa"/>
            <w:tcBorders>
              <w:top w:val="nil"/>
              <w:left w:val="nil"/>
              <w:bottom w:val="nil"/>
              <w:right w:val="nil"/>
            </w:tcBorders>
            <w:shd w:val="clear" w:color="auto" w:fill="auto"/>
            <w:vAlign w:val="bottom"/>
            <w:hideMark/>
          </w:tcPr>
          <w:p w14:paraId="6CF6DAC7" w14:textId="77777777" w:rsidR="00DD41B5" w:rsidRPr="00E559BC" w:rsidRDefault="00DD41B5" w:rsidP="00DD41B5">
            <w:pPr>
              <w:spacing w:after="0" w:line="240" w:lineRule="auto"/>
              <w:jc w:val="center"/>
              <w:rPr>
                <w:rFonts w:ascii="Arial" w:hAnsi="Arial" w:cs="Arial"/>
                <w:sz w:val="16"/>
                <w:szCs w:val="16"/>
              </w:rPr>
            </w:pPr>
            <w:r w:rsidRPr="00E559BC">
              <w:rPr>
                <w:rFonts w:ascii="Arial" w:hAnsi="Arial" w:cs="Arial"/>
                <w:sz w:val="16"/>
                <w:szCs w:val="16"/>
              </w:rPr>
              <w:t>6</w:t>
            </w:r>
          </w:p>
        </w:tc>
        <w:tc>
          <w:tcPr>
            <w:tcW w:w="834" w:type="dxa"/>
            <w:tcBorders>
              <w:top w:val="nil"/>
              <w:left w:val="nil"/>
              <w:bottom w:val="nil"/>
              <w:right w:val="nil"/>
            </w:tcBorders>
            <w:shd w:val="clear" w:color="auto" w:fill="auto"/>
            <w:noWrap/>
            <w:vAlign w:val="bottom"/>
            <w:hideMark/>
          </w:tcPr>
          <w:p w14:paraId="5533F941" w14:textId="77777777" w:rsidR="00DD41B5" w:rsidRPr="00F94843" w:rsidRDefault="00DD41B5" w:rsidP="0036693C">
            <w:pPr>
              <w:spacing w:after="0" w:line="240" w:lineRule="auto"/>
              <w:ind w:right="57"/>
              <w:jc w:val="right"/>
              <w:rPr>
                <w:rFonts w:ascii="Arial" w:hAnsi="Arial" w:cs="Arial"/>
                <w:sz w:val="16"/>
                <w:szCs w:val="16"/>
              </w:rPr>
            </w:pPr>
          </w:p>
        </w:tc>
        <w:tc>
          <w:tcPr>
            <w:tcW w:w="1070" w:type="dxa"/>
            <w:tcBorders>
              <w:top w:val="nil"/>
              <w:left w:val="nil"/>
              <w:bottom w:val="nil"/>
              <w:right w:val="nil"/>
            </w:tcBorders>
            <w:shd w:val="clear" w:color="C0C0C0" w:fill="E6E6E6"/>
            <w:noWrap/>
            <w:vAlign w:val="bottom"/>
            <w:hideMark/>
          </w:tcPr>
          <w:p w14:paraId="45EE2148" w14:textId="1EAF922E" w:rsidR="00DD41B5" w:rsidRPr="00F94843" w:rsidRDefault="00DD41B5" w:rsidP="0036693C">
            <w:pPr>
              <w:spacing w:after="0" w:line="240" w:lineRule="auto"/>
              <w:ind w:right="57"/>
              <w:jc w:val="right"/>
              <w:rPr>
                <w:rFonts w:ascii="Arial" w:hAnsi="Arial" w:cs="Arial"/>
                <w:b/>
                <w:bCs/>
                <w:sz w:val="16"/>
                <w:szCs w:val="16"/>
              </w:rPr>
            </w:pPr>
          </w:p>
        </w:tc>
        <w:tc>
          <w:tcPr>
            <w:tcW w:w="864" w:type="dxa"/>
            <w:tcBorders>
              <w:top w:val="nil"/>
              <w:left w:val="nil"/>
              <w:bottom w:val="nil"/>
              <w:right w:val="nil"/>
            </w:tcBorders>
            <w:shd w:val="clear" w:color="C0C0C0" w:fill="E6E6E6"/>
            <w:noWrap/>
            <w:vAlign w:val="bottom"/>
            <w:hideMark/>
          </w:tcPr>
          <w:p w14:paraId="5B7FABDC" w14:textId="5087BBF6" w:rsidR="00DD41B5" w:rsidRPr="00F94843" w:rsidRDefault="00DD41B5" w:rsidP="0036693C">
            <w:pPr>
              <w:spacing w:after="0" w:line="240" w:lineRule="auto"/>
              <w:ind w:right="57"/>
              <w:jc w:val="right"/>
              <w:rPr>
                <w:rFonts w:ascii="Arial" w:hAnsi="Arial" w:cs="Arial"/>
                <w:b/>
                <w:bCs/>
                <w:sz w:val="16"/>
                <w:szCs w:val="16"/>
              </w:rPr>
            </w:pPr>
          </w:p>
        </w:tc>
        <w:tc>
          <w:tcPr>
            <w:tcW w:w="992" w:type="dxa"/>
            <w:tcBorders>
              <w:top w:val="nil"/>
              <w:left w:val="nil"/>
              <w:bottom w:val="nil"/>
              <w:right w:val="nil"/>
            </w:tcBorders>
            <w:shd w:val="clear" w:color="C0C0C0" w:fill="E6E6E6"/>
            <w:noWrap/>
            <w:vAlign w:val="bottom"/>
            <w:hideMark/>
          </w:tcPr>
          <w:p w14:paraId="4BF0F58E" w14:textId="0242B0A0" w:rsidR="00DD41B5" w:rsidRPr="00F94843" w:rsidRDefault="00DD41B5" w:rsidP="0036693C">
            <w:pPr>
              <w:spacing w:after="0" w:line="240" w:lineRule="auto"/>
              <w:ind w:right="57"/>
              <w:jc w:val="right"/>
              <w:rPr>
                <w:rFonts w:ascii="Arial" w:hAnsi="Arial" w:cs="Arial"/>
                <w:b/>
                <w:bCs/>
                <w:sz w:val="16"/>
                <w:szCs w:val="16"/>
              </w:rPr>
            </w:pPr>
          </w:p>
        </w:tc>
      </w:tr>
      <w:tr w:rsidR="00645E3F" w:rsidRPr="00E559BC" w14:paraId="1A67D6EC" w14:textId="77777777" w:rsidTr="00645E3F">
        <w:trPr>
          <w:trHeight w:val="204"/>
        </w:trPr>
        <w:tc>
          <w:tcPr>
            <w:tcW w:w="2857" w:type="dxa"/>
            <w:tcBorders>
              <w:top w:val="nil"/>
              <w:left w:val="nil"/>
              <w:bottom w:val="nil"/>
              <w:right w:val="nil"/>
            </w:tcBorders>
            <w:shd w:val="clear" w:color="auto" w:fill="auto"/>
            <w:noWrap/>
            <w:tcMar>
              <w:top w:w="0" w:type="dxa"/>
              <w:left w:w="135" w:type="dxa"/>
              <w:bottom w:w="0" w:type="dxa"/>
              <w:right w:w="0" w:type="dxa"/>
            </w:tcMar>
            <w:vAlign w:val="bottom"/>
            <w:hideMark/>
          </w:tcPr>
          <w:p w14:paraId="59D905FB" w14:textId="77777777" w:rsidR="00DD41B5" w:rsidRPr="00192B13" w:rsidRDefault="00DD41B5" w:rsidP="00DD41B5">
            <w:pPr>
              <w:spacing w:after="0" w:line="240" w:lineRule="auto"/>
              <w:jc w:val="left"/>
              <w:rPr>
                <w:rFonts w:ascii="Arial" w:hAnsi="Arial" w:cs="Arial"/>
                <w:b/>
                <w:bCs/>
                <w:sz w:val="16"/>
                <w:szCs w:val="16"/>
              </w:rPr>
            </w:pPr>
            <w:r w:rsidRPr="00192B13">
              <w:rPr>
                <w:rFonts w:ascii="Arial" w:hAnsi="Arial" w:cs="Arial"/>
                <w:b/>
                <w:bCs/>
                <w:sz w:val="16"/>
                <w:szCs w:val="16"/>
              </w:rPr>
              <w:t>2021-22</w:t>
            </w:r>
          </w:p>
        </w:tc>
        <w:tc>
          <w:tcPr>
            <w:tcW w:w="893" w:type="dxa"/>
            <w:tcBorders>
              <w:top w:val="nil"/>
              <w:left w:val="nil"/>
              <w:bottom w:val="nil"/>
              <w:right w:val="nil"/>
            </w:tcBorders>
            <w:shd w:val="clear" w:color="auto" w:fill="auto"/>
            <w:vAlign w:val="bottom"/>
            <w:hideMark/>
          </w:tcPr>
          <w:p w14:paraId="75C75475" w14:textId="77777777" w:rsidR="00DD41B5" w:rsidRPr="00E559BC" w:rsidRDefault="00DD41B5" w:rsidP="00DD41B5">
            <w:pPr>
              <w:spacing w:after="0" w:line="240" w:lineRule="auto"/>
              <w:ind w:firstLineChars="100" w:firstLine="160"/>
              <w:jc w:val="right"/>
              <w:rPr>
                <w:rFonts w:ascii="Arial" w:hAnsi="Arial" w:cs="Arial"/>
                <w:b/>
                <w:bCs/>
                <w:sz w:val="16"/>
                <w:szCs w:val="16"/>
              </w:rPr>
            </w:pPr>
          </w:p>
        </w:tc>
        <w:tc>
          <w:tcPr>
            <w:tcW w:w="834" w:type="dxa"/>
            <w:tcBorders>
              <w:top w:val="nil"/>
              <w:left w:val="nil"/>
              <w:bottom w:val="nil"/>
              <w:right w:val="nil"/>
            </w:tcBorders>
            <w:shd w:val="clear" w:color="auto" w:fill="auto"/>
            <w:noWrap/>
            <w:vAlign w:val="bottom"/>
            <w:hideMark/>
          </w:tcPr>
          <w:p w14:paraId="7B000A61" w14:textId="537E9EF3"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w:t>
            </w:r>
          </w:p>
        </w:tc>
        <w:tc>
          <w:tcPr>
            <w:tcW w:w="1070" w:type="dxa"/>
            <w:tcBorders>
              <w:top w:val="nil"/>
              <w:left w:val="nil"/>
              <w:bottom w:val="nil"/>
              <w:right w:val="nil"/>
            </w:tcBorders>
            <w:shd w:val="clear" w:color="C0C0C0" w:fill="E6E6E6"/>
            <w:noWrap/>
            <w:vAlign w:val="bottom"/>
            <w:hideMark/>
          </w:tcPr>
          <w:p w14:paraId="4B9B316F" w14:textId="3BA4AC4B"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500</w:t>
            </w:r>
          </w:p>
        </w:tc>
        <w:tc>
          <w:tcPr>
            <w:tcW w:w="864" w:type="dxa"/>
            <w:tcBorders>
              <w:top w:val="nil"/>
              <w:left w:val="nil"/>
              <w:bottom w:val="nil"/>
              <w:right w:val="nil"/>
            </w:tcBorders>
            <w:shd w:val="clear" w:color="C0C0C0" w:fill="E6E6E6"/>
            <w:noWrap/>
            <w:vAlign w:val="bottom"/>
            <w:hideMark/>
          </w:tcPr>
          <w:p w14:paraId="1BC45574" w14:textId="1EDEDCAD"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(500)</w:t>
            </w:r>
          </w:p>
        </w:tc>
        <w:tc>
          <w:tcPr>
            <w:tcW w:w="992" w:type="dxa"/>
            <w:tcBorders>
              <w:top w:val="nil"/>
              <w:left w:val="nil"/>
              <w:bottom w:val="nil"/>
              <w:right w:val="nil"/>
            </w:tcBorders>
            <w:shd w:val="clear" w:color="C0C0C0" w:fill="E6E6E6"/>
            <w:noWrap/>
            <w:vAlign w:val="bottom"/>
            <w:hideMark/>
          </w:tcPr>
          <w:p w14:paraId="560F0CB8" w14:textId="377285D3"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w:t>
            </w:r>
          </w:p>
        </w:tc>
      </w:tr>
      <w:tr w:rsidR="00645E3F" w:rsidRPr="00E559BC" w14:paraId="0DCA660C" w14:textId="77777777" w:rsidTr="00645E3F">
        <w:trPr>
          <w:trHeight w:val="204"/>
        </w:trPr>
        <w:tc>
          <w:tcPr>
            <w:tcW w:w="2857" w:type="dxa"/>
            <w:tcBorders>
              <w:top w:val="nil"/>
              <w:left w:val="nil"/>
              <w:bottom w:val="nil"/>
              <w:right w:val="nil"/>
            </w:tcBorders>
            <w:shd w:val="clear" w:color="auto" w:fill="auto"/>
            <w:tcMar>
              <w:top w:w="0" w:type="dxa"/>
              <w:left w:w="135" w:type="dxa"/>
              <w:bottom w:w="0" w:type="dxa"/>
              <w:right w:w="0" w:type="dxa"/>
            </w:tcMar>
            <w:vAlign w:val="bottom"/>
            <w:hideMark/>
          </w:tcPr>
          <w:p w14:paraId="1CACDAAD" w14:textId="77777777" w:rsidR="00DD41B5" w:rsidRPr="00192B13" w:rsidRDefault="00DD41B5" w:rsidP="00DD41B5">
            <w:pPr>
              <w:spacing w:after="0" w:line="240" w:lineRule="auto"/>
              <w:jc w:val="left"/>
              <w:rPr>
                <w:rFonts w:ascii="Arial" w:hAnsi="Arial" w:cs="Arial"/>
                <w:iCs/>
                <w:sz w:val="16"/>
                <w:szCs w:val="16"/>
              </w:rPr>
            </w:pPr>
            <w:r w:rsidRPr="00192B13">
              <w:rPr>
                <w:rFonts w:ascii="Arial" w:hAnsi="Arial" w:cs="Arial"/>
                <w:iCs/>
                <w:sz w:val="16"/>
                <w:szCs w:val="16"/>
              </w:rPr>
              <w:t>2020-21</w:t>
            </w:r>
          </w:p>
        </w:tc>
        <w:tc>
          <w:tcPr>
            <w:tcW w:w="893" w:type="dxa"/>
            <w:tcBorders>
              <w:top w:val="nil"/>
              <w:left w:val="nil"/>
              <w:bottom w:val="nil"/>
              <w:right w:val="nil"/>
            </w:tcBorders>
            <w:shd w:val="clear" w:color="auto" w:fill="auto"/>
            <w:vAlign w:val="bottom"/>
            <w:hideMark/>
          </w:tcPr>
          <w:p w14:paraId="2E4DE881" w14:textId="77777777" w:rsidR="00DD41B5" w:rsidRPr="00E559BC" w:rsidRDefault="00DD41B5" w:rsidP="00DD41B5">
            <w:pPr>
              <w:spacing w:after="0" w:line="240" w:lineRule="auto"/>
              <w:ind w:firstLineChars="100" w:firstLine="160"/>
              <w:jc w:val="right"/>
              <w:rPr>
                <w:rFonts w:ascii="Arial" w:hAnsi="Arial" w:cs="Arial"/>
                <w:i/>
                <w:iCs/>
                <w:sz w:val="16"/>
                <w:szCs w:val="16"/>
              </w:rPr>
            </w:pPr>
          </w:p>
        </w:tc>
        <w:tc>
          <w:tcPr>
            <w:tcW w:w="834" w:type="dxa"/>
            <w:tcBorders>
              <w:top w:val="nil"/>
              <w:left w:val="nil"/>
              <w:bottom w:val="nil"/>
              <w:right w:val="nil"/>
            </w:tcBorders>
            <w:shd w:val="clear" w:color="auto" w:fill="auto"/>
            <w:noWrap/>
            <w:vAlign w:val="bottom"/>
            <w:hideMark/>
          </w:tcPr>
          <w:p w14:paraId="7DDD658A" w14:textId="3F84BB8E"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w:t>
            </w:r>
          </w:p>
        </w:tc>
        <w:tc>
          <w:tcPr>
            <w:tcW w:w="1070" w:type="dxa"/>
            <w:tcBorders>
              <w:top w:val="nil"/>
              <w:left w:val="nil"/>
              <w:bottom w:val="nil"/>
              <w:right w:val="nil"/>
            </w:tcBorders>
            <w:shd w:val="clear" w:color="C0C0C0" w:fill="E6E6E6"/>
            <w:noWrap/>
            <w:vAlign w:val="bottom"/>
            <w:hideMark/>
          </w:tcPr>
          <w:p w14:paraId="318D66AE" w14:textId="621C1080"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500</w:t>
            </w:r>
          </w:p>
        </w:tc>
        <w:tc>
          <w:tcPr>
            <w:tcW w:w="864" w:type="dxa"/>
            <w:tcBorders>
              <w:top w:val="nil"/>
              <w:left w:val="nil"/>
              <w:bottom w:val="nil"/>
              <w:right w:val="nil"/>
            </w:tcBorders>
            <w:shd w:val="clear" w:color="C0C0C0" w:fill="E6E6E6"/>
            <w:noWrap/>
            <w:vAlign w:val="bottom"/>
            <w:hideMark/>
          </w:tcPr>
          <w:p w14:paraId="18A8EB51" w14:textId="7A9A18EA"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(500)</w:t>
            </w:r>
          </w:p>
        </w:tc>
        <w:tc>
          <w:tcPr>
            <w:tcW w:w="992" w:type="dxa"/>
            <w:tcBorders>
              <w:top w:val="nil"/>
              <w:left w:val="nil"/>
              <w:bottom w:val="nil"/>
              <w:right w:val="nil"/>
            </w:tcBorders>
            <w:shd w:val="clear" w:color="C0C0C0" w:fill="E6E6E6"/>
            <w:noWrap/>
            <w:vAlign w:val="bottom"/>
            <w:hideMark/>
          </w:tcPr>
          <w:p w14:paraId="23584E8E" w14:textId="69B1D723"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w:t>
            </w:r>
          </w:p>
        </w:tc>
      </w:tr>
      <w:tr w:rsidR="00645E3F" w:rsidRPr="00E559BC" w14:paraId="5487E759" w14:textId="77777777" w:rsidTr="00645E3F">
        <w:trPr>
          <w:trHeight w:val="204"/>
        </w:trPr>
        <w:tc>
          <w:tcPr>
            <w:tcW w:w="2857" w:type="dxa"/>
            <w:tcBorders>
              <w:top w:val="nil"/>
              <w:left w:val="nil"/>
              <w:bottom w:val="nil"/>
              <w:right w:val="nil"/>
            </w:tcBorders>
            <w:shd w:val="clear" w:color="auto" w:fill="auto"/>
            <w:vAlign w:val="bottom"/>
            <w:hideMark/>
          </w:tcPr>
          <w:p w14:paraId="12D896E2" w14:textId="77777777" w:rsidR="00DD41B5" w:rsidRPr="00192B13" w:rsidRDefault="00DD41B5" w:rsidP="00DD41B5">
            <w:pPr>
              <w:spacing w:after="0" w:line="240" w:lineRule="auto"/>
              <w:jc w:val="left"/>
              <w:rPr>
                <w:rFonts w:ascii="Arial" w:hAnsi="Arial" w:cs="Arial"/>
                <w:sz w:val="16"/>
                <w:szCs w:val="16"/>
              </w:rPr>
            </w:pPr>
            <w:r w:rsidRPr="00192B13">
              <w:rPr>
                <w:rFonts w:ascii="Arial" w:hAnsi="Arial" w:cs="Arial"/>
                <w:sz w:val="16"/>
                <w:szCs w:val="16"/>
              </w:rPr>
              <w:t xml:space="preserve">Public Interest Telecommunications Services Special Account </w:t>
            </w:r>
            <w:r w:rsidRPr="00CD6F49">
              <w:rPr>
                <w:rFonts w:ascii="Arial" w:hAnsi="Arial" w:cs="Arial"/>
                <w:sz w:val="16"/>
                <w:szCs w:val="16"/>
              </w:rPr>
              <w:t>(A)</w:t>
            </w:r>
            <w:r w:rsidRPr="00192B13">
              <w:rPr>
                <w:rFonts w:ascii="Arial" w:hAnsi="Arial" w:cs="Arial"/>
                <w:sz w:val="16"/>
                <w:szCs w:val="16"/>
              </w:rPr>
              <w:t xml:space="preserve"> and </w:t>
            </w:r>
            <w:r w:rsidRPr="00CD6F49">
              <w:rPr>
                <w:rFonts w:ascii="Arial" w:hAnsi="Arial" w:cs="Arial"/>
                <w:sz w:val="16"/>
                <w:szCs w:val="16"/>
              </w:rPr>
              <w:t>(D)</w:t>
            </w:r>
          </w:p>
        </w:tc>
        <w:tc>
          <w:tcPr>
            <w:tcW w:w="893" w:type="dxa"/>
            <w:tcBorders>
              <w:top w:val="nil"/>
              <w:left w:val="nil"/>
              <w:bottom w:val="nil"/>
              <w:right w:val="nil"/>
            </w:tcBorders>
            <w:shd w:val="clear" w:color="auto" w:fill="auto"/>
            <w:vAlign w:val="bottom"/>
            <w:hideMark/>
          </w:tcPr>
          <w:p w14:paraId="1A210E9B" w14:textId="77777777" w:rsidR="00DD41B5" w:rsidRPr="00E559BC" w:rsidRDefault="00DD41B5" w:rsidP="00DD41B5">
            <w:pPr>
              <w:spacing w:after="0" w:line="240" w:lineRule="auto"/>
              <w:jc w:val="center"/>
              <w:rPr>
                <w:rFonts w:ascii="Arial" w:hAnsi="Arial" w:cs="Arial"/>
                <w:sz w:val="16"/>
                <w:szCs w:val="16"/>
              </w:rPr>
            </w:pPr>
            <w:r w:rsidRPr="00E559BC">
              <w:rPr>
                <w:rFonts w:ascii="Arial" w:hAnsi="Arial" w:cs="Arial"/>
                <w:sz w:val="16"/>
                <w:szCs w:val="16"/>
              </w:rPr>
              <w:t>5</w:t>
            </w:r>
          </w:p>
        </w:tc>
        <w:tc>
          <w:tcPr>
            <w:tcW w:w="834" w:type="dxa"/>
            <w:tcBorders>
              <w:top w:val="nil"/>
              <w:left w:val="nil"/>
              <w:bottom w:val="nil"/>
              <w:right w:val="nil"/>
            </w:tcBorders>
            <w:shd w:val="clear" w:color="auto" w:fill="auto"/>
            <w:noWrap/>
            <w:vAlign w:val="bottom"/>
            <w:hideMark/>
          </w:tcPr>
          <w:p w14:paraId="013A141F" w14:textId="77777777" w:rsidR="00DD41B5" w:rsidRPr="00F94843" w:rsidRDefault="00DD41B5" w:rsidP="0036693C">
            <w:pPr>
              <w:spacing w:after="0" w:line="240" w:lineRule="auto"/>
              <w:ind w:right="57"/>
              <w:jc w:val="right"/>
              <w:rPr>
                <w:rFonts w:ascii="Arial" w:hAnsi="Arial" w:cs="Arial"/>
                <w:sz w:val="16"/>
                <w:szCs w:val="16"/>
              </w:rPr>
            </w:pPr>
          </w:p>
        </w:tc>
        <w:tc>
          <w:tcPr>
            <w:tcW w:w="1070" w:type="dxa"/>
            <w:tcBorders>
              <w:top w:val="nil"/>
              <w:left w:val="nil"/>
              <w:bottom w:val="nil"/>
              <w:right w:val="nil"/>
            </w:tcBorders>
            <w:shd w:val="clear" w:color="000000" w:fill="E6E6E6"/>
            <w:noWrap/>
            <w:vAlign w:val="bottom"/>
            <w:hideMark/>
          </w:tcPr>
          <w:p w14:paraId="2C22AB80" w14:textId="66975558" w:rsidR="00DD41B5" w:rsidRPr="00F94843" w:rsidRDefault="00DD41B5" w:rsidP="0036693C">
            <w:pPr>
              <w:spacing w:after="0" w:line="240" w:lineRule="auto"/>
              <w:ind w:right="57"/>
              <w:jc w:val="right"/>
              <w:rPr>
                <w:rFonts w:ascii="Arial" w:hAnsi="Arial" w:cs="Arial"/>
                <w:color w:val="000000"/>
                <w:sz w:val="16"/>
                <w:szCs w:val="16"/>
              </w:rPr>
            </w:pPr>
          </w:p>
        </w:tc>
        <w:tc>
          <w:tcPr>
            <w:tcW w:w="864" w:type="dxa"/>
            <w:tcBorders>
              <w:top w:val="nil"/>
              <w:left w:val="nil"/>
              <w:bottom w:val="nil"/>
              <w:right w:val="nil"/>
            </w:tcBorders>
            <w:shd w:val="clear" w:color="000000" w:fill="E6E6E6"/>
            <w:noWrap/>
            <w:vAlign w:val="bottom"/>
            <w:hideMark/>
          </w:tcPr>
          <w:p w14:paraId="491A16DB" w14:textId="56B205EE" w:rsidR="00DD41B5" w:rsidRPr="00F94843" w:rsidRDefault="00DD41B5" w:rsidP="0036693C">
            <w:pPr>
              <w:spacing w:after="0" w:line="240" w:lineRule="auto"/>
              <w:ind w:right="57"/>
              <w:jc w:val="right"/>
              <w:rPr>
                <w:rFonts w:ascii="Arial" w:hAnsi="Arial" w:cs="Arial"/>
                <w:color w:val="000000"/>
                <w:sz w:val="16"/>
                <w:szCs w:val="16"/>
              </w:rPr>
            </w:pPr>
          </w:p>
        </w:tc>
        <w:tc>
          <w:tcPr>
            <w:tcW w:w="992" w:type="dxa"/>
            <w:tcBorders>
              <w:top w:val="nil"/>
              <w:left w:val="nil"/>
              <w:bottom w:val="nil"/>
              <w:right w:val="nil"/>
            </w:tcBorders>
            <w:shd w:val="clear" w:color="000000" w:fill="E6E6E6"/>
            <w:noWrap/>
            <w:vAlign w:val="bottom"/>
            <w:hideMark/>
          </w:tcPr>
          <w:p w14:paraId="08EBAE3C" w14:textId="069A6A0F" w:rsidR="00DD41B5" w:rsidRPr="00F94843" w:rsidRDefault="00DD41B5" w:rsidP="0036693C">
            <w:pPr>
              <w:spacing w:after="0" w:line="240" w:lineRule="auto"/>
              <w:ind w:right="57"/>
              <w:jc w:val="right"/>
              <w:rPr>
                <w:rFonts w:ascii="Arial" w:hAnsi="Arial" w:cs="Arial"/>
                <w:color w:val="000000"/>
                <w:sz w:val="16"/>
                <w:szCs w:val="16"/>
              </w:rPr>
            </w:pPr>
          </w:p>
        </w:tc>
      </w:tr>
      <w:tr w:rsidR="00645E3F" w:rsidRPr="00E559BC" w14:paraId="6AC8FBAD" w14:textId="77777777" w:rsidTr="00645E3F">
        <w:trPr>
          <w:trHeight w:val="204"/>
        </w:trPr>
        <w:tc>
          <w:tcPr>
            <w:tcW w:w="2857" w:type="dxa"/>
            <w:tcBorders>
              <w:top w:val="nil"/>
              <w:left w:val="nil"/>
              <w:right w:val="nil"/>
            </w:tcBorders>
            <w:shd w:val="clear" w:color="auto" w:fill="auto"/>
            <w:noWrap/>
            <w:tcMar>
              <w:top w:w="0" w:type="dxa"/>
              <w:left w:w="135" w:type="dxa"/>
              <w:bottom w:w="0" w:type="dxa"/>
              <w:right w:w="0" w:type="dxa"/>
            </w:tcMar>
            <w:vAlign w:val="bottom"/>
            <w:hideMark/>
          </w:tcPr>
          <w:p w14:paraId="7CC319F8" w14:textId="77777777" w:rsidR="00DD41B5" w:rsidRPr="00192B13" w:rsidRDefault="00DD41B5" w:rsidP="00DD41B5">
            <w:pPr>
              <w:spacing w:after="0" w:line="240" w:lineRule="auto"/>
              <w:jc w:val="left"/>
              <w:rPr>
                <w:rFonts w:ascii="Arial" w:hAnsi="Arial" w:cs="Arial"/>
                <w:b/>
                <w:bCs/>
                <w:sz w:val="16"/>
                <w:szCs w:val="16"/>
              </w:rPr>
            </w:pPr>
            <w:r w:rsidRPr="00192B13">
              <w:rPr>
                <w:rFonts w:ascii="Arial" w:hAnsi="Arial" w:cs="Arial"/>
                <w:b/>
                <w:bCs/>
                <w:sz w:val="16"/>
                <w:szCs w:val="16"/>
              </w:rPr>
              <w:t>2021-22</w:t>
            </w:r>
          </w:p>
        </w:tc>
        <w:tc>
          <w:tcPr>
            <w:tcW w:w="893" w:type="dxa"/>
            <w:tcBorders>
              <w:top w:val="nil"/>
              <w:left w:val="nil"/>
              <w:right w:val="nil"/>
            </w:tcBorders>
            <w:shd w:val="clear" w:color="auto" w:fill="auto"/>
            <w:vAlign w:val="bottom"/>
            <w:hideMark/>
          </w:tcPr>
          <w:p w14:paraId="63C83AB9" w14:textId="77777777" w:rsidR="00DD41B5" w:rsidRPr="00E559BC" w:rsidRDefault="00DD41B5" w:rsidP="00DD41B5">
            <w:pPr>
              <w:spacing w:after="0" w:line="240" w:lineRule="auto"/>
              <w:ind w:firstLineChars="100" w:firstLine="160"/>
              <w:jc w:val="right"/>
              <w:rPr>
                <w:rFonts w:ascii="Arial" w:hAnsi="Arial" w:cs="Arial"/>
                <w:b/>
                <w:bCs/>
                <w:sz w:val="16"/>
                <w:szCs w:val="16"/>
              </w:rPr>
            </w:pPr>
          </w:p>
        </w:tc>
        <w:tc>
          <w:tcPr>
            <w:tcW w:w="834" w:type="dxa"/>
            <w:tcBorders>
              <w:top w:val="nil"/>
              <w:left w:val="nil"/>
              <w:right w:val="nil"/>
            </w:tcBorders>
            <w:shd w:val="clear" w:color="auto" w:fill="auto"/>
            <w:noWrap/>
            <w:vAlign w:val="bottom"/>
            <w:hideMark/>
          </w:tcPr>
          <w:p w14:paraId="1381C053" w14:textId="6CE378D2"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34,828</w:t>
            </w:r>
          </w:p>
        </w:tc>
        <w:tc>
          <w:tcPr>
            <w:tcW w:w="1070" w:type="dxa"/>
            <w:tcBorders>
              <w:top w:val="nil"/>
              <w:left w:val="nil"/>
              <w:bottom w:val="nil"/>
              <w:right w:val="nil"/>
            </w:tcBorders>
            <w:shd w:val="clear" w:color="C0C0C0" w:fill="E6E6E6"/>
            <w:noWrap/>
            <w:vAlign w:val="bottom"/>
            <w:hideMark/>
          </w:tcPr>
          <w:p w14:paraId="73BBDFF4" w14:textId="6D9EF30B"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341,740</w:t>
            </w:r>
          </w:p>
        </w:tc>
        <w:tc>
          <w:tcPr>
            <w:tcW w:w="864" w:type="dxa"/>
            <w:tcBorders>
              <w:top w:val="nil"/>
              <w:left w:val="nil"/>
              <w:bottom w:val="nil"/>
              <w:right w:val="nil"/>
            </w:tcBorders>
            <w:shd w:val="clear" w:color="C0C0C0" w:fill="E6E6E6"/>
            <w:noWrap/>
            <w:vAlign w:val="bottom"/>
            <w:hideMark/>
          </w:tcPr>
          <w:p w14:paraId="098B8F80" w14:textId="6711E1CD"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(340,294)</w:t>
            </w:r>
          </w:p>
        </w:tc>
        <w:tc>
          <w:tcPr>
            <w:tcW w:w="992" w:type="dxa"/>
            <w:tcBorders>
              <w:top w:val="nil"/>
              <w:left w:val="nil"/>
              <w:bottom w:val="nil"/>
              <w:right w:val="nil"/>
            </w:tcBorders>
            <w:shd w:val="clear" w:color="C0C0C0" w:fill="E6E6E6"/>
            <w:noWrap/>
            <w:vAlign w:val="bottom"/>
            <w:hideMark/>
          </w:tcPr>
          <w:p w14:paraId="4A0CDEB7" w14:textId="05DED66D" w:rsidR="00DD41B5" w:rsidRPr="00F94843" w:rsidRDefault="00DD41B5" w:rsidP="0036693C">
            <w:pPr>
              <w:spacing w:after="0" w:line="240" w:lineRule="auto"/>
              <w:ind w:right="57"/>
              <w:jc w:val="right"/>
              <w:rPr>
                <w:rFonts w:ascii="Arial" w:hAnsi="Arial" w:cs="Arial"/>
                <w:b/>
                <w:bCs/>
                <w:sz w:val="16"/>
                <w:szCs w:val="16"/>
              </w:rPr>
            </w:pPr>
            <w:r>
              <w:rPr>
                <w:rFonts w:ascii="Arial" w:hAnsi="Arial" w:cs="Arial"/>
                <w:b/>
                <w:bCs/>
                <w:sz w:val="16"/>
                <w:szCs w:val="16"/>
              </w:rPr>
              <w:t>36,274</w:t>
            </w:r>
          </w:p>
        </w:tc>
      </w:tr>
      <w:tr w:rsidR="00645E3F" w:rsidRPr="00E559BC" w14:paraId="4C4C9A46" w14:textId="77777777" w:rsidTr="00645E3F">
        <w:trPr>
          <w:trHeight w:val="204"/>
        </w:trPr>
        <w:tc>
          <w:tcPr>
            <w:tcW w:w="2857" w:type="dxa"/>
            <w:tcBorders>
              <w:top w:val="nil"/>
              <w:left w:val="nil"/>
              <w:bottom w:val="single" w:sz="4" w:space="0" w:color="auto"/>
              <w:right w:val="nil"/>
            </w:tcBorders>
            <w:shd w:val="clear" w:color="auto" w:fill="auto"/>
            <w:tcMar>
              <w:top w:w="0" w:type="dxa"/>
              <w:left w:w="135" w:type="dxa"/>
              <w:bottom w:w="0" w:type="dxa"/>
              <w:right w:w="0" w:type="dxa"/>
            </w:tcMar>
            <w:vAlign w:val="bottom"/>
            <w:hideMark/>
          </w:tcPr>
          <w:p w14:paraId="3B6C1CF3" w14:textId="77777777" w:rsidR="00DD41B5" w:rsidRPr="00192B13" w:rsidRDefault="00DD41B5" w:rsidP="00DD41B5">
            <w:pPr>
              <w:spacing w:after="0" w:line="240" w:lineRule="auto"/>
              <w:jc w:val="left"/>
              <w:rPr>
                <w:rFonts w:ascii="Arial" w:hAnsi="Arial" w:cs="Arial"/>
                <w:iCs/>
                <w:sz w:val="16"/>
                <w:szCs w:val="16"/>
              </w:rPr>
            </w:pPr>
            <w:r w:rsidRPr="00192B13">
              <w:rPr>
                <w:rFonts w:ascii="Arial" w:hAnsi="Arial" w:cs="Arial"/>
                <w:iCs/>
                <w:sz w:val="16"/>
                <w:szCs w:val="16"/>
              </w:rPr>
              <w:t>2020-21</w:t>
            </w:r>
          </w:p>
        </w:tc>
        <w:tc>
          <w:tcPr>
            <w:tcW w:w="893" w:type="dxa"/>
            <w:tcBorders>
              <w:top w:val="nil"/>
              <w:left w:val="nil"/>
              <w:bottom w:val="single" w:sz="4" w:space="0" w:color="auto"/>
              <w:right w:val="nil"/>
            </w:tcBorders>
            <w:shd w:val="clear" w:color="auto" w:fill="auto"/>
            <w:vAlign w:val="bottom"/>
            <w:hideMark/>
          </w:tcPr>
          <w:p w14:paraId="3D9F6EEB" w14:textId="77777777" w:rsidR="00DD41B5" w:rsidRPr="00E559BC" w:rsidRDefault="00DD41B5" w:rsidP="00DD41B5">
            <w:pPr>
              <w:spacing w:after="0" w:line="240" w:lineRule="auto"/>
              <w:ind w:firstLineChars="100" w:firstLine="160"/>
              <w:jc w:val="right"/>
              <w:rPr>
                <w:rFonts w:ascii="Arial" w:hAnsi="Arial" w:cs="Arial"/>
                <w:i/>
                <w:iCs/>
                <w:sz w:val="16"/>
                <w:szCs w:val="16"/>
              </w:rPr>
            </w:pPr>
          </w:p>
        </w:tc>
        <w:tc>
          <w:tcPr>
            <w:tcW w:w="834" w:type="dxa"/>
            <w:tcBorders>
              <w:top w:val="nil"/>
              <w:left w:val="nil"/>
              <w:bottom w:val="single" w:sz="4" w:space="0" w:color="auto"/>
              <w:right w:val="nil"/>
            </w:tcBorders>
            <w:shd w:val="clear" w:color="auto" w:fill="auto"/>
            <w:noWrap/>
            <w:vAlign w:val="bottom"/>
            <w:hideMark/>
          </w:tcPr>
          <w:p w14:paraId="286F02A4" w14:textId="50D4B697"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17,793</w:t>
            </w:r>
          </w:p>
        </w:tc>
        <w:tc>
          <w:tcPr>
            <w:tcW w:w="1070" w:type="dxa"/>
            <w:tcBorders>
              <w:top w:val="nil"/>
              <w:left w:val="nil"/>
              <w:bottom w:val="single" w:sz="4" w:space="0" w:color="auto"/>
              <w:right w:val="nil"/>
            </w:tcBorders>
            <w:shd w:val="clear" w:color="C0C0C0" w:fill="E6E6E6"/>
            <w:noWrap/>
            <w:vAlign w:val="bottom"/>
            <w:hideMark/>
          </w:tcPr>
          <w:p w14:paraId="45C51C2E" w14:textId="0B6D9208"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344,810</w:t>
            </w:r>
          </w:p>
        </w:tc>
        <w:tc>
          <w:tcPr>
            <w:tcW w:w="864" w:type="dxa"/>
            <w:tcBorders>
              <w:top w:val="nil"/>
              <w:left w:val="nil"/>
              <w:bottom w:val="single" w:sz="4" w:space="0" w:color="auto"/>
              <w:right w:val="nil"/>
            </w:tcBorders>
            <w:shd w:val="clear" w:color="C0C0C0" w:fill="E6E6E6"/>
            <w:noWrap/>
            <w:vAlign w:val="bottom"/>
            <w:hideMark/>
          </w:tcPr>
          <w:p w14:paraId="35D6D8F1" w14:textId="49308415"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(327,775)</w:t>
            </w:r>
          </w:p>
        </w:tc>
        <w:tc>
          <w:tcPr>
            <w:tcW w:w="992" w:type="dxa"/>
            <w:tcBorders>
              <w:top w:val="nil"/>
              <w:left w:val="nil"/>
              <w:bottom w:val="single" w:sz="4" w:space="0" w:color="auto"/>
              <w:right w:val="nil"/>
            </w:tcBorders>
            <w:shd w:val="clear" w:color="C0C0C0" w:fill="E6E6E6"/>
            <w:noWrap/>
            <w:vAlign w:val="bottom"/>
            <w:hideMark/>
          </w:tcPr>
          <w:p w14:paraId="0E4D734A" w14:textId="0587E1DA" w:rsidR="00DD41B5" w:rsidRPr="00F94843" w:rsidRDefault="00DD41B5" w:rsidP="0036693C">
            <w:pPr>
              <w:spacing w:after="0" w:line="240" w:lineRule="auto"/>
              <w:ind w:right="57"/>
              <w:jc w:val="right"/>
              <w:rPr>
                <w:rFonts w:ascii="Arial" w:hAnsi="Arial" w:cs="Arial"/>
                <w:sz w:val="16"/>
                <w:szCs w:val="16"/>
              </w:rPr>
            </w:pPr>
            <w:r>
              <w:rPr>
                <w:rFonts w:ascii="Arial" w:hAnsi="Arial" w:cs="Arial"/>
                <w:sz w:val="16"/>
                <w:szCs w:val="16"/>
              </w:rPr>
              <w:t>34,828</w:t>
            </w:r>
          </w:p>
        </w:tc>
      </w:tr>
    </w:tbl>
    <w:p w14:paraId="4D184BB1" w14:textId="3AA2D54A" w:rsidR="00D27037" w:rsidRDefault="00D27037">
      <w:pPr>
        <w:spacing w:after="0" w:line="240" w:lineRule="auto"/>
        <w:jc w:val="left"/>
        <w:rPr>
          <w:rFonts w:ascii="Arial" w:hAnsi="Arial"/>
          <w:b/>
          <w:lang w:val="x-none"/>
        </w:rPr>
      </w:pPr>
      <w:r>
        <w:br w:type="page"/>
      </w:r>
    </w:p>
    <w:p w14:paraId="2AC6D170" w14:textId="251C6340" w:rsidR="00532A05" w:rsidRPr="00532A05" w:rsidRDefault="00532A05" w:rsidP="00532A05">
      <w:pPr>
        <w:pStyle w:val="TableHeading"/>
        <w:rPr>
          <w:lang w:val="en-US"/>
        </w:rPr>
      </w:pPr>
      <w:r w:rsidRPr="00532A05">
        <w:lastRenderedPageBreak/>
        <w:t>Table 3.1: Estimates of special account flows and balances</w:t>
      </w:r>
      <w:r>
        <w:rPr>
          <w:lang w:val="en-US"/>
        </w:rPr>
        <w:t xml:space="preserve"> (continued)</w:t>
      </w:r>
    </w:p>
    <w:tbl>
      <w:tblPr>
        <w:tblW w:w="7694" w:type="dxa"/>
        <w:tblLook w:val="04A0" w:firstRow="1" w:lastRow="0" w:firstColumn="1" w:lastColumn="0" w:noHBand="0" w:noVBand="1"/>
      </w:tblPr>
      <w:tblGrid>
        <w:gridCol w:w="3119"/>
        <w:gridCol w:w="947"/>
        <w:gridCol w:w="936"/>
        <w:gridCol w:w="936"/>
        <w:gridCol w:w="1017"/>
        <w:gridCol w:w="936"/>
      </w:tblGrid>
      <w:tr w:rsidR="00532A05" w:rsidRPr="008C49BA" w14:paraId="246CFAFD" w14:textId="77777777" w:rsidTr="003B2FC7">
        <w:trPr>
          <w:trHeight w:val="204"/>
        </w:trPr>
        <w:tc>
          <w:tcPr>
            <w:tcW w:w="3119" w:type="dxa"/>
            <w:tcBorders>
              <w:top w:val="single" w:sz="4" w:space="0" w:color="auto"/>
              <w:left w:val="nil"/>
              <w:bottom w:val="nil"/>
              <w:right w:val="nil"/>
            </w:tcBorders>
            <w:shd w:val="clear" w:color="auto" w:fill="auto"/>
            <w:noWrap/>
            <w:vAlign w:val="bottom"/>
            <w:hideMark/>
          </w:tcPr>
          <w:p w14:paraId="16078751" w14:textId="77777777" w:rsidR="00532A05" w:rsidRPr="008C49BA" w:rsidRDefault="00532A05" w:rsidP="00532A05">
            <w:pPr>
              <w:spacing w:after="0" w:line="240" w:lineRule="auto"/>
              <w:jc w:val="left"/>
              <w:rPr>
                <w:rFonts w:ascii="Arial" w:hAnsi="Arial" w:cs="Arial"/>
                <w:color w:val="000000"/>
                <w:sz w:val="16"/>
                <w:szCs w:val="16"/>
              </w:rPr>
            </w:pPr>
            <w:r w:rsidRPr="008C49BA">
              <w:rPr>
                <w:rFonts w:ascii="Arial" w:hAnsi="Arial" w:cs="Arial"/>
                <w:color w:val="000000"/>
                <w:sz w:val="16"/>
                <w:szCs w:val="16"/>
              </w:rPr>
              <w:t> </w:t>
            </w:r>
          </w:p>
        </w:tc>
        <w:tc>
          <w:tcPr>
            <w:tcW w:w="947" w:type="dxa"/>
            <w:tcBorders>
              <w:top w:val="single" w:sz="4" w:space="0" w:color="auto"/>
              <w:left w:val="nil"/>
              <w:bottom w:val="nil"/>
              <w:right w:val="nil"/>
            </w:tcBorders>
            <w:shd w:val="clear" w:color="auto" w:fill="auto"/>
            <w:noWrap/>
            <w:vAlign w:val="bottom"/>
            <w:hideMark/>
          </w:tcPr>
          <w:p w14:paraId="39DEFAA1" w14:textId="77777777" w:rsidR="00532A05" w:rsidRPr="008C49BA" w:rsidRDefault="00532A05" w:rsidP="00532A05">
            <w:pPr>
              <w:spacing w:after="0" w:line="240" w:lineRule="auto"/>
              <w:jc w:val="center"/>
              <w:rPr>
                <w:rFonts w:ascii="Arial" w:hAnsi="Arial" w:cs="Arial"/>
                <w:color w:val="000000"/>
                <w:sz w:val="16"/>
                <w:szCs w:val="16"/>
              </w:rPr>
            </w:pPr>
            <w:r w:rsidRPr="008C49BA">
              <w:rPr>
                <w:rFonts w:ascii="Arial" w:hAnsi="Arial" w:cs="Arial"/>
                <w:color w:val="000000"/>
                <w:sz w:val="16"/>
                <w:szCs w:val="16"/>
              </w:rPr>
              <w:t>Outcome</w:t>
            </w:r>
          </w:p>
        </w:tc>
        <w:tc>
          <w:tcPr>
            <w:tcW w:w="936" w:type="dxa"/>
            <w:tcBorders>
              <w:top w:val="single" w:sz="4" w:space="0" w:color="auto"/>
              <w:left w:val="nil"/>
              <w:bottom w:val="nil"/>
              <w:right w:val="nil"/>
            </w:tcBorders>
            <w:shd w:val="clear" w:color="auto" w:fill="auto"/>
            <w:noWrap/>
            <w:vAlign w:val="bottom"/>
            <w:hideMark/>
          </w:tcPr>
          <w:p w14:paraId="3A41C1EA"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Opening</w:t>
            </w:r>
          </w:p>
        </w:tc>
        <w:tc>
          <w:tcPr>
            <w:tcW w:w="936" w:type="dxa"/>
            <w:tcBorders>
              <w:top w:val="single" w:sz="4" w:space="0" w:color="auto"/>
              <w:left w:val="nil"/>
              <w:bottom w:val="nil"/>
              <w:right w:val="nil"/>
            </w:tcBorders>
            <w:shd w:val="clear" w:color="000000" w:fill="E6E6E6"/>
            <w:noWrap/>
            <w:vAlign w:val="bottom"/>
            <w:hideMark/>
          </w:tcPr>
          <w:p w14:paraId="07B8F62B"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Receipts</w:t>
            </w:r>
          </w:p>
        </w:tc>
        <w:tc>
          <w:tcPr>
            <w:tcW w:w="1017" w:type="dxa"/>
            <w:tcBorders>
              <w:top w:val="single" w:sz="4" w:space="0" w:color="auto"/>
              <w:left w:val="nil"/>
              <w:bottom w:val="nil"/>
              <w:right w:val="nil"/>
            </w:tcBorders>
            <w:shd w:val="clear" w:color="000000" w:fill="E6E6E6"/>
            <w:noWrap/>
            <w:vAlign w:val="bottom"/>
            <w:hideMark/>
          </w:tcPr>
          <w:p w14:paraId="5DC88006"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Payments</w:t>
            </w:r>
          </w:p>
        </w:tc>
        <w:tc>
          <w:tcPr>
            <w:tcW w:w="936" w:type="dxa"/>
            <w:tcBorders>
              <w:top w:val="single" w:sz="4" w:space="0" w:color="auto"/>
              <w:left w:val="nil"/>
              <w:bottom w:val="nil"/>
              <w:right w:val="nil"/>
            </w:tcBorders>
            <w:shd w:val="clear" w:color="000000" w:fill="E6E6E6"/>
            <w:noWrap/>
            <w:vAlign w:val="bottom"/>
            <w:hideMark/>
          </w:tcPr>
          <w:p w14:paraId="6FE44D0E"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Closing</w:t>
            </w:r>
          </w:p>
        </w:tc>
      </w:tr>
      <w:tr w:rsidR="00532A05" w:rsidRPr="008C49BA" w14:paraId="4E7C708A" w14:textId="77777777" w:rsidTr="003B2FC7">
        <w:trPr>
          <w:trHeight w:val="204"/>
        </w:trPr>
        <w:tc>
          <w:tcPr>
            <w:tcW w:w="3119" w:type="dxa"/>
            <w:tcBorders>
              <w:top w:val="nil"/>
              <w:left w:val="nil"/>
              <w:bottom w:val="nil"/>
              <w:right w:val="nil"/>
            </w:tcBorders>
            <w:shd w:val="clear" w:color="auto" w:fill="auto"/>
            <w:noWrap/>
            <w:vAlign w:val="bottom"/>
            <w:hideMark/>
          </w:tcPr>
          <w:p w14:paraId="03E57AC7" w14:textId="77777777" w:rsidR="00532A05" w:rsidRPr="008C49BA" w:rsidRDefault="00532A05" w:rsidP="00532A05">
            <w:pPr>
              <w:spacing w:after="0" w:line="240" w:lineRule="auto"/>
              <w:jc w:val="right"/>
              <w:rPr>
                <w:rFonts w:ascii="Arial" w:hAnsi="Arial" w:cs="Arial"/>
                <w:color w:val="000000"/>
                <w:sz w:val="16"/>
                <w:szCs w:val="16"/>
              </w:rPr>
            </w:pPr>
          </w:p>
        </w:tc>
        <w:tc>
          <w:tcPr>
            <w:tcW w:w="947" w:type="dxa"/>
            <w:tcBorders>
              <w:top w:val="nil"/>
              <w:left w:val="nil"/>
              <w:bottom w:val="nil"/>
              <w:right w:val="nil"/>
            </w:tcBorders>
            <w:shd w:val="clear" w:color="auto" w:fill="auto"/>
            <w:noWrap/>
            <w:vAlign w:val="bottom"/>
            <w:hideMark/>
          </w:tcPr>
          <w:p w14:paraId="15A3E6FB" w14:textId="77777777" w:rsidR="00532A05" w:rsidRPr="008C49BA" w:rsidRDefault="00532A05" w:rsidP="00532A05">
            <w:pPr>
              <w:spacing w:after="0" w:line="240" w:lineRule="auto"/>
              <w:jc w:val="left"/>
              <w:rPr>
                <w:rFonts w:ascii="Arial" w:hAnsi="Arial" w:cs="Arial"/>
                <w:sz w:val="16"/>
                <w:szCs w:val="16"/>
              </w:rPr>
            </w:pPr>
          </w:p>
        </w:tc>
        <w:tc>
          <w:tcPr>
            <w:tcW w:w="936" w:type="dxa"/>
            <w:tcBorders>
              <w:top w:val="nil"/>
              <w:left w:val="nil"/>
              <w:bottom w:val="nil"/>
              <w:right w:val="nil"/>
            </w:tcBorders>
            <w:shd w:val="clear" w:color="auto" w:fill="auto"/>
            <w:noWrap/>
            <w:vAlign w:val="bottom"/>
            <w:hideMark/>
          </w:tcPr>
          <w:p w14:paraId="4BE0F7FC"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Balance</w:t>
            </w:r>
          </w:p>
        </w:tc>
        <w:tc>
          <w:tcPr>
            <w:tcW w:w="936" w:type="dxa"/>
            <w:tcBorders>
              <w:top w:val="nil"/>
              <w:left w:val="nil"/>
              <w:bottom w:val="nil"/>
              <w:right w:val="nil"/>
            </w:tcBorders>
            <w:shd w:val="clear" w:color="000000" w:fill="E6E6E6"/>
            <w:noWrap/>
            <w:vAlign w:val="bottom"/>
            <w:hideMark/>
          </w:tcPr>
          <w:p w14:paraId="10965F5C"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 </w:t>
            </w:r>
          </w:p>
        </w:tc>
        <w:tc>
          <w:tcPr>
            <w:tcW w:w="1017" w:type="dxa"/>
            <w:tcBorders>
              <w:top w:val="nil"/>
              <w:left w:val="nil"/>
              <w:bottom w:val="nil"/>
              <w:right w:val="nil"/>
            </w:tcBorders>
            <w:shd w:val="clear" w:color="000000" w:fill="E6E6E6"/>
            <w:noWrap/>
            <w:vAlign w:val="bottom"/>
            <w:hideMark/>
          </w:tcPr>
          <w:p w14:paraId="73D4F39B"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 </w:t>
            </w:r>
          </w:p>
        </w:tc>
        <w:tc>
          <w:tcPr>
            <w:tcW w:w="936" w:type="dxa"/>
            <w:tcBorders>
              <w:top w:val="nil"/>
              <w:left w:val="nil"/>
              <w:bottom w:val="nil"/>
              <w:right w:val="nil"/>
            </w:tcBorders>
            <w:shd w:val="clear" w:color="000000" w:fill="E6E6E6"/>
            <w:noWrap/>
            <w:vAlign w:val="bottom"/>
            <w:hideMark/>
          </w:tcPr>
          <w:p w14:paraId="4B928170"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Balance</w:t>
            </w:r>
          </w:p>
        </w:tc>
      </w:tr>
      <w:tr w:rsidR="00532A05" w:rsidRPr="008C49BA" w14:paraId="386730C9" w14:textId="77777777" w:rsidTr="003B2FC7">
        <w:trPr>
          <w:trHeight w:val="204"/>
        </w:trPr>
        <w:tc>
          <w:tcPr>
            <w:tcW w:w="3119" w:type="dxa"/>
            <w:tcBorders>
              <w:top w:val="nil"/>
              <w:left w:val="nil"/>
              <w:bottom w:val="single" w:sz="4" w:space="0" w:color="auto"/>
              <w:right w:val="nil"/>
            </w:tcBorders>
            <w:shd w:val="clear" w:color="auto" w:fill="auto"/>
            <w:noWrap/>
            <w:vAlign w:val="bottom"/>
            <w:hideMark/>
          </w:tcPr>
          <w:p w14:paraId="16F64995" w14:textId="77777777" w:rsidR="00532A05" w:rsidRPr="008C49BA" w:rsidRDefault="00532A05" w:rsidP="00532A05">
            <w:pPr>
              <w:spacing w:after="0" w:line="240" w:lineRule="auto"/>
              <w:jc w:val="left"/>
              <w:rPr>
                <w:rFonts w:ascii="Arial" w:hAnsi="Arial" w:cs="Arial"/>
                <w:color w:val="000000"/>
                <w:sz w:val="16"/>
                <w:szCs w:val="16"/>
              </w:rPr>
            </w:pPr>
            <w:r w:rsidRPr="008C49BA">
              <w:rPr>
                <w:rFonts w:ascii="Arial" w:hAnsi="Arial" w:cs="Arial"/>
                <w:color w:val="000000"/>
                <w:sz w:val="16"/>
                <w:szCs w:val="16"/>
              </w:rPr>
              <w:t> </w:t>
            </w:r>
          </w:p>
        </w:tc>
        <w:tc>
          <w:tcPr>
            <w:tcW w:w="947" w:type="dxa"/>
            <w:tcBorders>
              <w:top w:val="nil"/>
              <w:left w:val="nil"/>
              <w:bottom w:val="single" w:sz="4" w:space="0" w:color="auto"/>
              <w:right w:val="nil"/>
            </w:tcBorders>
            <w:shd w:val="clear" w:color="auto" w:fill="auto"/>
            <w:noWrap/>
            <w:vAlign w:val="bottom"/>
            <w:hideMark/>
          </w:tcPr>
          <w:p w14:paraId="01719EBE" w14:textId="77777777" w:rsidR="00532A05" w:rsidRPr="008C49BA" w:rsidRDefault="00532A05" w:rsidP="00532A05">
            <w:pPr>
              <w:spacing w:after="0" w:line="240" w:lineRule="auto"/>
              <w:jc w:val="center"/>
              <w:rPr>
                <w:rFonts w:ascii="Arial" w:hAnsi="Arial" w:cs="Arial"/>
                <w:color w:val="000000"/>
                <w:sz w:val="16"/>
                <w:szCs w:val="16"/>
              </w:rPr>
            </w:pPr>
            <w:r w:rsidRPr="008C49BA">
              <w:rPr>
                <w:rFonts w:ascii="Arial" w:hAnsi="Arial" w:cs="Arial"/>
                <w:color w:val="000000"/>
                <w:sz w:val="16"/>
                <w:szCs w:val="16"/>
              </w:rPr>
              <w:t> </w:t>
            </w:r>
          </w:p>
        </w:tc>
        <w:tc>
          <w:tcPr>
            <w:tcW w:w="936" w:type="dxa"/>
            <w:tcBorders>
              <w:top w:val="nil"/>
              <w:left w:val="nil"/>
              <w:bottom w:val="single" w:sz="4" w:space="0" w:color="auto"/>
              <w:right w:val="nil"/>
            </w:tcBorders>
            <w:shd w:val="clear" w:color="auto" w:fill="auto"/>
            <w:noWrap/>
            <w:vAlign w:val="bottom"/>
            <w:hideMark/>
          </w:tcPr>
          <w:p w14:paraId="7EE388AE"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$'000</w:t>
            </w:r>
          </w:p>
        </w:tc>
        <w:tc>
          <w:tcPr>
            <w:tcW w:w="936" w:type="dxa"/>
            <w:tcBorders>
              <w:top w:val="nil"/>
              <w:left w:val="nil"/>
              <w:bottom w:val="single" w:sz="4" w:space="0" w:color="auto"/>
              <w:right w:val="nil"/>
            </w:tcBorders>
            <w:shd w:val="clear" w:color="000000" w:fill="E6E6E6"/>
            <w:noWrap/>
            <w:vAlign w:val="bottom"/>
            <w:hideMark/>
          </w:tcPr>
          <w:p w14:paraId="79FF7B1D"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$'000</w:t>
            </w:r>
          </w:p>
        </w:tc>
        <w:tc>
          <w:tcPr>
            <w:tcW w:w="1017" w:type="dxa"/>
            <w:tcBorders>
              <w:top w:val="nil"/>
              <w:left w:val="nil"/>
              <w:bottom w:val="single" w:sz="4" w:space="0" w:color="auto"/>
              <w:right w:val="nil"/>
            </w:tcBorders>
            <w:shd w:val="clear" w:color="000000" w:fill="E6E6E6"/>
            <w:noWrap/>
            <w:vAlign w:val="bottom"/>
            <w:hideMark/>
          </w:tcPr>
          <w:p w14:paraId="5922EF4F"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$'000</w:t>
            </w:r>
          </w:p>
        </w:tc>
        <w:tc>
          <w:tcPr>
            <w:tcW w:w="936" w:type="dxa"/>
            <w:tcBorders>
              <w:top w:val="nil"/>
              <w:left w:val="nil"/>
              <w:bottom w:val="single" w:sz="4" w:space="0" w:color="auto"/>
              <w:right w:val="nil"/>
            </w:tcBorders>
            <w:shd w:val="clear" w:color="000000" w:fill="E6E6E6"/>
            <w:noWrap/>
            <w:vAlign w:val="bottom"/>
            <w:hideMark/>
          </w:tcPr>
          <w:p w14:paraId="2C439992" w14:textId="77777777" w:rsidR="00532A05" w:rsidRPr="008C49BA" w:rsidRDefault="00532A05" w:rsidP="00532A05">
            <w:pPr>
              <w:spacing w:after="0" w:line="240" w:lineRule="auto"/>
              <w:jc w:val="right"/>
              <w:rPr>
                <w:rFonts w:ascii="Arial" w:hAnsi="Arial" w:cs="Arial"/>
                <w:color w:val="000000"/>
                <w:sz w:val="16"/>
                <w:szCs w:val="16"/>
              </w:rPr>
            </w:pPr>
            <w:r w:rsidRPr="008C49BA">
              <w:rPr>
                <w:rFonts w:ascii="Arial" w:hAnsi="Arial" w:cs="Arial"/>
                <w:color w:val="000000"/>
                <w:sz w:val="16"/>
                <w:szCs w:val="16"/>
              </w:rPr>
              <w:t>$'000</w:t>
            </w:r>
          </w:p>
        </w:tc>
      </w:tr>
      <w:tr w:rsidR="00532A05" w:rsidRPr="008C49BA" w14:paraId="2726D6C7" w14:textId="77777777" w:rsidTr="003B2FC7">
        <w:trPr>
          <w:trHeight w:val="204"/>
        </w:trPr>
        <w:tc>
          <w:tcPr>
            <w:tcW w:w="3119" w:type="dxa"/>
            <w:tcBorders>
              <w:top w:val="nil"/>
              <w:left w:val="nil"/>
              <w:bottom w:val="nil"/>
              <w:right w:val="nil"/>
            </w:tcBorders>
            <w:shd w:val="clear" w:color="auto" w:fill="auto"/>
            <w:vAlign w:val="bottom"/>
            <w:hideMark/>
          </w:tcPr>
          <w:p w14:paraId="69C75214" w14:textId="77777777" w:rsidR="00532A05" w:rsidRPr="00192B13" w:rsidRDefault="00532A05" w:rsidP="00532A05">
            <w:pPr>
              <w:spacing w:after="0" w:line="240" w:lineRule="auto"/>
              <w:jc w:val="left"/>
              <w:rPr>
                <w:rFonts w:ascii="Arial" w:hAnsi="Arial" w:cs="Arial"/>
                <w:sz w:val="16"/>
                <w:szCs w:val="16"/>
              </w:rPr>
            </w:pPr>
            <w:r w:rsidRPr="00192B13">
              <w:rPr>
                <w:rFonts w:ascii="Arial" w:hAnsi="Arial" w:cs="Arial"/>
                <w:sz w:val="16"/>
                <w:szCs w:val="16"/>
              </w:rPr>
              <w:t xml:space="preserve">Services for Other Entities and Trust Moneys - Infrastructure Special Account </w:t>
            </w:r>
            <w:r w:rsidRPr="00CD6F49">
              <w:rPr>
                <w:rFonts w:ascii="Arial" w:hAnsi="Arial" w:cs="Arial"/>
                <w:sz w:val="16"/>
                <w:szCs w:val="16"/>
              </w:rPr>
              <w:t>(A)</w:t>
            </w:r>
            <w:r w:rsidRPr="0036693C">
              <w:rPr>
                <w:rFonts w:ascii="Arial" w:hAnsi="Arial" w:cs="Arial"/>
                <w:sz w:val="16"/>
                <w:szCs w:val="16"/>
                <w:vertAlign w:val="superscript"/>
              </w:rPr>
              <w:t xml:space="preserve"> </w:t>
            </w:r>
            <w:r w:rsidRPr="00192B13">
              <w:rPr>
                <w:rFonts w:ascii="Arial" w:hAnsi="Arial" w:cs="Arial"/>
                <w:sz w:val="16"/>
                <w:szCs w:val="16"/>
              </w:rPr>
              <w:t xml:space="preserve">and </w:t>
            </w:r>
            <w:r w:rsidRPr="00CD6F49">
              <w:rPr>
                <w:rFonts w:ascii="Arial" w:hAnsi="Arial" w:cs="Arial"/>
                <w:sz w:val="16"/>
                <w:szCs w:val="16"/>
              </w:rPr>
              <w:t>(D)</w:t>
            </w:r>
          </w:p>
        </w:tc>
        <w:tc>
          <w:tcPr>
            <w:tcW w:w="947" w:type="dxa"/>
            <w:tcBorders>
              <w:top w:val="nil"/>
              <w:left w:val="nil"/>
              <w:bottom w:val="nil"/>
              <w:right w:val="nil"/>
            </w:tcBorders>
            <w:shd w:val="clear" w:color="auto" w:fill="auto"/>
            <w:vAlign w:val="bottom"/>
            <w:hideMark/>
          </w:tcPr>
          <w:p w14:paraId="1EA4B8E9" w14:textId="77777777" w:rsidR="00532A05" w:rsidRPr="008C49BA" w:rsidRDefault="00532A05" w:rsidP="008C49BA">
            <w:pPr>
              <w:spacing w:after="0" w:line="240" w:lineRule="auto"/>
              <w:jc w:val="center"/>
              <w:rPr>
                <w:rFonts w:ascii="Arial" w:hAnsi="Arial" w:cs="Arial"/>
                <w:sz w:val="16"/>
                <w:szCs w:val="16"/>
              </w:rPr>
            </w:pPr>
            <w:r w:rsidRPr="008C49BA">
              <w:rPr>
                <w:rFonts w:ascii="Arial" w:hAnsi="Arial" w:cs="Arial"/>
                <w:sz w:val="16"/>
                <w:szCs w:val="16"/>
              </w:rPr>
              <w:t>1-4</w:t>
            </w:r>
          </w:p>
        </w:tc>
        <w:tc>
          <w:tcPr>
            <w:tcW w:w="936" w:type="dxa"/>
            <w:tcBorders>
              <w:top w:val="nil"/>
              <w:left w:val="nil"/>
              <w:bottom w:val="nil"/>
              <w:right w:val="nil"/>
            </w:tcBorders>
            <w:shd w:val="clear" w:color="auto" w:fill="auto"/>
            <w:noWrap/>
            <w:vAlign w:val="bottom"/>
            <w:hideMark/>
          </w:tcPr>
          <w:p w14:paraId="30568ED9" w14:textId="77777777" w:rsidR="00532A05" w:rsidRPr="008C49BA" w:rsidRDefault="00532A05" w:rsidP="008C49BA">
            <w:pPr>
              <w:spacing w:after="0" w:line="240" w:lineRule="auto"/>
              <w:jc w:val="right"/>
              <w:rPr>
                <w:rFonts w:ascii="Arial" w:hAnsi="Arial" w:cs="Arial"/>
                <w:sz w:val="16"/>
                <w:szCs w:val="16"/>
              </w:rPr>
            </w:pPr>
          </w:p>
        </w:tc>
        <w:tc>
          <w:tcPr>
            <w:tcW w:w="936" w:type="dxa"/>
            <w:tcBorders>
              <w:top w:val="nil"/>
              <w:left w:val="nil"/>
              <w:bottom w:val="nil"/>
              <w:right w:val="nil"/>
            </w:tcBorders>
            <w:shd w:val="clear" w:color="000000" w:fill="E6E6E6"/>
            <w:noWrap/>
            <w:vAlign w:val="bottom"/>
            <w:hideMark/>
          </w:tcPr>
          <w:p w14:paraId="03B2EA43" w14:textId="0B8982D3" w:rsidR="00532A05" w:rsidRPr="008C49BA" w:rsidRDefault="00532A05" w:rsidP="008C49BA">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000000" w:fill="E6E6E6"/>
            <w:noWrap/>
            <w:vAlign w:val="bottom"/>
            <w:hideMark/>
          </w:tcPr>
          <w:p w14:paraId="01D1AE23" w14:textId="356C8ADB" w:rsidR="00532A05" w:rsidRPr="008C49BA" w:rsidRDefault="00532A05" w:rsidP="008C49BA">
            <w:pPr>
              <w:spacing w:after="0" w:line="240" w:lineRule="auto"/>
              <w:jc w:val="right"/>
              <w:rPr>
                <w:rFonts w:ascii="Arial" w:hAnsi="Arial" w:cs="Arial"/>
                <w:color w:val="000000"/>
                <w:sz w:val="16"/>
                <w:szCs w:val="16"/>
              </w:rPr>
            </w:pPr>
          </w:p>
        </w:tc>
        <w:tc>
          <w:tcPr>
            <w:tcW w:w="936" w:type="dxa"/>
            <w:tcBorders>
              <w:top w:val="nil"/>
              <w:left w:val="nil"/>
              <w:bottom w:val="nil"/>
              <w:right w:val="nil"/>
            </w:tcBorders>
            <w:shd w:val="clear" w:color="000000" w:fill="E6E6E6"/>
            <w:noWrap/>
            <w:vAlign w:val="bottom"/>
            <w:hideMark/>
          </w:tcPr>
          <w:p w14:paraId="6412251E" w14:textId="2017C1DC" w:rsidR="00532A05" w:rsidRPr="008C49BA" w:rsidRDefault="00532A05" w:rsidP="008C49BA">
            <w:pPr>
              <w:spacing w:after="0" w:line="240" w:lineRule="auto"/>
              <w:jc w:val="right"/>
              <w:rPr>
                <w:rFonts w:ascii="Arial" w:hAnsi="Arial" w:cs="Arial"/>
                <w:color w:val="000000"/>
                <w:sz w:val="16"/>
                <w:szCs w:val="16"/>
              </w:rPr>
            </w:pPr>
          </w:p>
        </w:tc>
      </w:tr>
      <w:tr w:rsidR="00DD41B5" w:rsidRPr="008C49BA" w14:paraId="4A6CE4D2" w14:textId="77777777" w:rsidTr="003B2FC7">
        <w:trPr>
          <w:trHeight w:val="204"/>
        </w:trPr>
        <w:tc>
          <w:tcPr>
            <w:tcW w:w="3119" w:type="dxa"/>
            <w:tcBorders>
              <w:top w:val="nil"/>
              <w:left w:val="nil"/>
              <w:bottom w:val="nil"/>
              <w:right w:val="nil"/>
            </w:tcBorders>
            <w:shd w:val="clear" w:color="auto" w:fill="auto"/>
            <w:noWrap/>
            <w:vAlign w:val="bottom"/>
            <w:hideMark/>
          </w:tcPr>
          <w:p w14:paraId="180A69D6" w14:textId="77777777" w:rsidR="00DD41B5" w:rsidRPr="00192B13" w:rsidRDefault="00DD41B5" w:rsidP="00990528">
            <w:pPr>
              <w:spacing w:after="0" w:line="240" w:lineRule="auto"/>
              <w:ind w:left="113"/>
              <w:jc w:val="left"/>
              <w:rPr>
                <w:rFonts w:ascii="Arial" w:hAnsi="Arial" w:cs="Arial"/>
                <w:b/>
                <w:bCs/>
                <w:sz w:val="16"/>
                <w:szCs w:val="16"/>
              </w:rPr>
            </w:pPr>
            <w:r w:rsidRPr="00192B13">
              <w:rPr>
                <w:rFonts w:ascii="Arial" w:hAnsi="Arial" w:cs="Arial"/>
                <w:b/>
                <w:bCs/>
                <w:sz w:val="16"/>
                <w:szCs w:val="16"/>
              </w:rPr>
              <w:t>2021-22</w:t>
            </w:r>
          </w:p>
        </w:tc>
        <w:tc>
          <w:tcPr>
            <w:tcW w:w="947" w:type="dxa"/>
            <w:tcBorders>
              <w:top w:val="nil"/>
              <w:left w:val="nil"/>
              <w:bottom w:val="nil"/>
              <w:right w:val="nil"/>
            </w:tcBorders>
            <w:shd w:val="clear" w:color="auto" w:fill="auto"/>
            <w:vAlign w:val="bottom"/>
            <w:hideMark/>
          </w:tcPr>
          <w:p w14:paraId="628AEC8A" w14:textId="77777777" w:rsidR="00DD41B5" w:rsidRPr="008C49BA" w:rsidRDefault="00DD41B5" w:rsidP="00DD41B5">
            <w:pPr>
              <w:spacing w:after="0" w:line="240" w:lineRule="auto"/>
              <w:ind w:firstLineChars="100" w:firstLine="160"/>
              <w:jc w:val="right"/>
              <w:rPr>
                <w:rFonts w:ascii="Arial" w:hAnsi="Arial" w:cs="Arial"/>
                <w:b/>
                <w:bCs/>
                <w:sz w:val="16"/>
                <w:szCs w:val="16"/>
              </w:rPr>
            </w:pPr>
          </w:p>
        </w:tc>
        <w:tc>
          <w:tcPr>
            <w:tcW w:w="936" w:type="dxa"/>
            <w:tcBorders>
              <w:top w:val="nil"/>
              <w:left w:val="nil"/>
              <w:bottom w:val="nil"/>
              <w:right w:val="nil"/>
            </w:tcBorders>
            <w:shd w:val="clear" w:color="auto" w:fill="auto"/>
            <w:noWrap/>
            <w:vAlign w:val="bottom"/>
            <w:hideMark/>
          </w:tcPr>
          <w:p w14:paraId="06A15403" w14:textId="2C5D1A2D" w:rsidR="00DD41B5" w:rsidRPr="008C49BA" w:rsidRDefault="00DD41B5" w:rsidP="00DD41B5">
            <w:pPr>
              <w:spacing w:after="0" w:line="240" w:lineRule="auto"/>
              <w:jc w:val="right"/>
              <w:rPr>
                <w:rFonts w:ascii="Arial" w:hAnsi="Arial" w:cs="Arial"/>
                <w:b/>
                <w:bCs/>
                <w:sz w:val="16"/>
                <w:szCs w:val="16"/>
              </w:rPr>
            </w:pPr>
            <w:r>
              <w:rPr>
                <w:rFonts w:ascii="Arial" w:hAnsi="Arial" w:cs="Arial"/>
                <w:b/>
                <w:bCs/>
                <w:sz w:val="16"/>
                <w:szCs w:val="16"/>
              </w:rPr>
              <w:t>507</w:t>
            </w:r>
          </w:p>
        </w:tc>
        <w:tc>
          <w:tcPr>
            <w:tcW w:w="936" w:type="dxa"/>
            <w:tcBorders>
              <w:top w:val="nil"/>
              <w:left w:val="nil"/>
              <w:bottom w:val="nil"/>
              <w:right w:val="nil"/>
            </w:tcBorders>
            <w:shd w:val="clear" w:color="C0C0C0" w:fill="E6E6E6"/>
            <w:noWrap/>
            <w:vAlign w:val="bottom"/>
            <w:hideMark/>
          </w:tcPr>
          <w:p w14:paraId="76209D73" w14:textId="0AC1FB34" w:rsidR="00DD41B5" w:rsidRPr="008C49BA" w:rsidRDefault="00DD41B5" w:rsidP="00DD41B5">
            <w:pPr>
              <w:spacing w:after="0" w:line="240" w:lineRule="auto"/>
              <w:jc w:val="right"/>
              <w:rPr>
                <w:rFonts w:ascii="Arial" w:hAnsi="Arial" w:cs="Arial"/>
                <w:b/>
                <w:bCs/>
                <w:sz w:val="16"/>
                <w:szCs w:val="16"/>
              </w:rPr>
            </w:pPr>
            <w:r>
              <w:rPr>
                <w:rFonts w:ascii="Arial" w:hAnsi="Arial" w:cs="Arial"/>
                <w:b/>
                <w:bCs/>
                <w:sz w:val="16"/>
                <w:szCs w:val="16"/>
              </w:rPr>
              <w:t>-</w:t>
            </w:r>
          </w:p>
        </w:tc>
        <w:tc>
          <w:tcPr>
            <w:tcW w:w="1017" w:type="dxa"/>
            <w:tcBorders>
              <w:top w:val="nil"/>
              <w:left w:val="nil"/>
              <w:bottom w:val="nil"/>
              <w:right w:val="nil"/>
            </w:tcBorders>
            <w:shd w:val="clear" w:color="C0C0C0" w:fill="E6E6E6"/>
            <w:noWrap/>
            <w:vAlign w:val="bottom"/>
            <w:hideMark/>
          </w:tcPr>
          <w:p w14:paraId="5C4544FA" w14:textId="4ECEBEF9" w:rsidR="00DD41B5" w:rsidRPr="008C49BA" w:rsidRDefault="00DD41B5" w:rsidP="00DD41B5">
            <w:pPr>
              <w:spacing w:after="0" w:line="240" w:lineRule="auto"/>
              <w:jc w:val="right"/>
              <w:rPr>
                <w:rFonts w:ascii="Arial" w:hAnsi="Arial" w:cs="Arial"/>
                <w:b/>
                <w:bCs/>
                <w:sz w:val="16"/>
                <w:szCs w:val="16"/>
              </w:rPr>
            </w:pPr>
            <w:r>
              <w:rPr>
                <w:rFonts w:ascii="Arial" w:hAnsi="Arial" w:cs="Arial"/>
                <w:b/>
                <w:bCs/>
                <w:sz w:val="16"/>
                <w:szCs w:val="16"/>
              </w:rPr>
              <w:t>-</w:t>
            </w:r>
          </w:p>
        </w:tc>
        <w:tc>
          <w:tcPr>
            <w:tcW w:w="936" w:type="dxa"/>
            <w:tcBorders>
              <w:top w:val="nil"/>
              <w:left w:val="nil"/>
              <w:bottom w:val="nil"/>
              <w:right w:val="nil"/>
            </w:tcBorders>
            <w:shd w:val="clear" w:color="C0C0C0" w:fill="E6E6E6"/>
            <w:noWrap/>
            <w:vAlign w:val="bottom"/>
            <w:hideMark/>
          </w:tcPr>
          <w:p w14:paraId="687422EE" w14:textId="6C81426D" w:rsidR="00DD41B5" w:rsidRPr="008C49BA" w:rsidRDefault="00DD41B5" w:rsidP="00DD41B5">
            <w:pPr>
              <w:spacing w:after="0" w:line="240" w:lineRule="auto"/>
              <w:jc w:val="right"/>
              <w:rPr>
                <w:rFonts w:ascii="Arial" w:hAnsi="Arial" w:cs="Arial"/>
                <w:b/>
                <w:bCs/>
                <w:sz w:val="16"/>
                <w:szCs w:val="16"/>
              </w:rPr>
            </w:pPr>
            <w:r>
              <w:rPr>
                <w:rFonts w:ascii="Arial" w:hAnsi="Arial" w:cs="Arial"/>
                <w:b/>
                <w:bCs/>
                <w:sz w:val="16"/>
                <w:szCs w:val="16"/>
              </w:rPr>
              <w:t>507</w:t>
            </w:r>
          </w:p>
        </w:tc>
      </w:tr>
      <w:tr w:rsidR="00DD41B5" w:rsidRPr="008C49BA" w14:paraId="0E984150" w14:textId="77777777" w:rsidTr="003B2FC7">
        <w:trPr>
          <w:trHeight w:val="204"/>
        </w:trPr>
        <w:tc>
          <w:tcPr>
            <w:tcW w:w="3119" w:type="dxa"/>
            <w:tcBorders>
              <w:top w:val="nil"/>
              <w:left w:val="nil"/>
              <w:bottom w:val="nil"/>
              <w:right w:val="nil"/>
            </w:tcBorders>
            <w:shd w:val="clear" w:color="auto" w:fill="auto"/>
            <w:vAlign w:val="bottom"/>
            <w:hideMark/>
          </w:tcPr>
          <w:p w14:paraId="4E931665" w14:textId="77777777" w:rsidR="00DD41B5" w:rsidRPr="00192B13" w:rsidRDefault="00DD41B5" w:rsidP="00990528">
            <w:pPr>
              <w:spacing w:after="0" w:line="240" w:lineRule="auto"/>
              <w:ind w:left="113"/>
              <w:jc w:val="left"/>
              <w:rPr>
                <w:rFonts w:ascii="Arial" w:hAnsi="Arial" w:cs="Arial"/>
                <w:iCs/>
                <w:sz w:val="16"/>
                <w:szCs w:val="16"/>
              </w:rPr>
            </w:pPr>
            <w:r w:rsidRPr="00192B13">
              <w:rPr>
                <w:rFonts w:ascii="Arial" w:hAnsi="Arial" w:cs="Arial"/>
                <w:iCs/>
                <w:sz w:val="16"/>
                <w:szCs w:val="16"/>
              </w:rPr>
              <w:t>2020-21</w:t>
            </w:r>
          </w:p>
        </w:tc>
        <w:tc>
          <w:tcPr>
            <w:tcW w:w="947" w:type="dxa"/>
            <w:tcBorders>
              <w:top w:val="nil"/>
              <w:left w:val="nil"/>
              <w:bottom w:val="nil"/>
              <w:right w:val="nil"/>
            </w:tcBorders>
            <w:shd w:val="clear" w:color="auto" w:fill="auto"/>
            <w:vAlign w:val="bottom"/>
            <w:hideMark/>
          </w:tcPr>
          <w:p w14:paraId="7BCEECD1" w14:textId="77777777" w:rsidR="00DD41B5" w:rsidRPr="008C49BA" w:rsidRDefault="00DD41B5" w:rsidP="00DD41B5">
            <w:pPr>
              <w:spacing w:after="0" w:line="240" w:lineRule="auto"/>
              <w:ind w:firstLineChars="100" w:firstLine="160"/>
              <w:jc w:val="right"/>
              <w:rPr>
                <w:rFonts w:ascii="Arial" w:hAnsi="Arial" w:cs="Arial"/>
                <w:i/>
                <w:iCs/>
                <w:sz w:val="16"/>
                <w:szCs w:val="16"/>
              </w:rPr>
            </w:pPr>
          </w:p>
        </w:tc>
        <w:tc>
          <w:tcPr>
            <w:tcW w:w="936" w:type="dxa"/>
            <w:tcBorders>
              <w:top w:val="nil"/>
              <w:left w:val="nil"/>
              <w:bottom w:val="nil"/>
              <w:right w:val="nil"/>
            </w:tcBorders>
            <w:shd w:val="clear" w:color="auto" w:fill="auto"/>
            <w:noWrap/>
            <w:vAlign w:val="bottom"/>
            <w:hideMark/>
          </w:tcPr>
          <w:p w14:paraId="4C5FFCBF" w14:textId="35DE45FC" w:rsidR="00DD41B5" w:rsidRPr="008C49BA" w:rsidRDefault="00DD41B5" w:rsidP="00DD41B5">
            <w:pPr>
              <w:spacing w:after="0" w:line="240" w:lineRule="auto"/>
              <w:jc w:val="right"/>
              <w:rPr>
                <w:rFonts w:ascii="Arial" w:hAnsi="Arial" w:cs="Arial"/>
                <w:sz w:val="16"/>
                <w:szCs w:val="16"/>
              </w:rPr>
            </w:pPr>
            <w:r>
              <w:rPr>
                <w:rFonts w:ascii="Arial" w:hAnsi="Arial" w:cs="Arial"/>
                <w:sz w:val="16"/>
                <w:szCs w:val="16"/>
              </w:rPr>
              <w:t>108</w:t>
            </w:r>
          </w:p>
        </w:tc>
        <w:tc>
          <w:tcPr>
            <w:tcW w:w="936" w:type="dxa"/>
            <w:tcBorders>
              <w:top w:val="nil"/>
              <w:left w:val="nil"/>
              <w:bottom w:val="nil"/>
              <w:right w:val="nil"/>
            </w:tcBorders>
            <w:shd w:val="clear" w:color="C0C0C0" w:fill="E6E6E6"/>
            <w:noWrap/>
            <w:vAlign w:val="bottom"/>
            <w:hideMark/>
          </w:tcPr>
          <w:p w14:paraId="196FF7BE" w14:textId="2B2FAE16" w:rsidR="00DD41B5" w:rsidRPr="008C49BA" w:rsidRDefault="00DD41B5" w:rsidP="00DD41B5">
            <w:pPr>
              <w:spacing w:after="0" w:line="240" w:lineRule="auto"/>
              <w:jc w:val="right"/>
              <w:rPr>
                <w:rFonts w:ascii="Arial" w:hAnsi="Arial" w:cs="Arial"/>
                <w:sz w:val="16"/>
                <w:szCs w:val="16"/>
              </w:rPr>
            </w:pPr>
            <w:r>
              <w:rPr>
                <w:rFonts w:ascii="Arial" w:hAnsi="Arial" w:cs="Arial"/>
                <w:sz w:val="16"/>
                <w:szCs w:val="16"/>
              </w:rPr>
              <w:t>426</w:t>
            </w:r>
          </w:p>
        </w:tc>
        <w:tc>
          <w:tcPr>
            <w:tcW w:w="1017" w:type="dxa"/>
            <w:tcBorders>
              <w:top w:val="nil"/>
              <w:left w:val="nil"/>
              <w:bottom w:val="nil"/>
              <w:right w:val="nil"/>
            </w:tcBorders>
            <w:shd w:val="clear" w:color="C0C0C0" w:fill="E6E6E6"/>
            <w:noWrap/>
            <w:vAlign w:val="bottom"/>
            <w:hideMark/>
          </w:tcPr>
          <w:p w14:paraId="777FEB05" w14:textId="4585B757" w:rsidR="00DD41B5" w:rsidRPr="008C49BA" w:rsidRDefault="00DD41B5" w:rsidP="00DD41B5">
            <w:pPr>
              <w:spacing w:after="0" w:line="240" w:lineRule="auto"/>
              <w:jc w:val="right"/>
              <w:rPr>
                <w:rFonts w:ascii="Arial" w:hAnsi="Arial" w:cs="Arial"/>
                <w:sz w:val="16"/>
                <w:szCs w:val="16"/>
              </w:rPr>
            </w:pPr>
            <w:r>
              <w:rPr>
                <w:rFonts w:ascii="Arial" w:hAnsi="Arial" w:cs="Arial"/>
                <w:sz w:val="16"/>
                <w:szCs w:val="16"/>
              </w:rPr>
              <w:t>(27)</w:t>
            </w:r>
          </w:p>
        </w:tc>
        <w:tc>
          <w:tcPr>
            <w:tcW w:w="936" w:type="dxa"/>
            <w:tcBorders>
              <w:top w:val="nil"/>
              <w:left w:val="nil"/>
              <w:bottom w:val="nil"/>
              <w:right w:val="nil"/>
            </w:tcBorders>
            <w:shd w:val="clear" w:color="C0C0C0" w:fill="E6E6E6"/>
            <w:noWrap/>
            <w:vAlign w:val="bottom"/>
            <w:hideMark/>
          </w:tcPr>
          <w:p w14:paraId="01680519" w14:textId="5F365E27" w:rsidR="00DD41B5" w:rsidRPr="008C49BA" w:rsidRDefault="00DD41B5" w:rsidP="00DD41B5">
            <w:pPr>
              <w:spacing w:after="0" w:line="240" w:lineRule="auto"/>
              <w:jc w:val="right"/>
              <w:rPr>
                <w:rFonts w:ascii="Arial" w:hAnsi="Arial" w:cs="Arial"/>
                <w:sz w:val="16"/>
                <w:szCs w:val="16"/>
              </w:rPr>
            </w:pPr>
            <w:r>
              <w:rPr>
                <w:rFonts w:ascii="Arial" w:hAnsi="Arial" w:cs="Arial"/>
                <w:sz w:val="16"/>
                <w:szCs w:val="16"/>
              </w:rPr>
              <w:t>507</w:t>
            </w:r>
          </w:p>
        </w:tc>
      </w:tr>
      <w:tr w:rsidR="00DD41B5" w:rsidRPr="008C49BA" w14:paraId="2745635B" w14:textId="77777777" w:rsidTr="003B2FC7">
        <w:trPr>
          <w:trHeight w:val="204"/>
        </w:trPr>
        <w:tc>
          <w:tcPr>
            <w:tcW w:w="3119" w:type="dxa"/>
            <w:tcBorders>
              <w:top w:val="nil"/>
              <w:left w:val="nil"/>
              <w:right w:val="nil"/>
            </w:tcBorders>
            <w:shd w:val="clear" w:color="auto" w:fill="auto"/>
            <w:noWrap/>
            <w:vAlign w:val="bottom"/>
            <w:hideMark/>
          </w:tcPr>
          <w:p w14:paraId="5166BC77" w14:textId="3586583D" w:rsidR="00DD41B5" w:rsidRPr="00192B13" w:rsidRDefault="00DD41B5" w:rsidP="00753A31">
            <w:pPr>
              <w:spacing w:after="0" w:line="240" w:lineRule="auto"/>
              <w:jc w:val="left"/>
              <w:rPr>
                <w:rFonts w:ascii="Arial" w:hAnsi="Arial" w:cs="Arial"/>
                <w:b/>
                <w:bCs/>
                <w:color w:val="000000"/>
                <w:sz w:val="16"/>
                <w:szCs w:val="16"/>
              </w:rPr>
            </w:pPr>
            <w:r w:rsidRPr="00192B13">
              <w:rPr>
                <w:rFonts w:ascii="Arial" w:hAnsi="Arial" w:cs="Arial"/>
                <w:b/>
                <w:bCs/>
                <w:color w:val="000000"/>
                <w:sz w:val="16"/>
                <w:szCs w:val="16"/>
              </w:rPr>
              <w:t>Total Special Accounts 2021-22 estimate</w:t>
            </w:r>
          </w:p>
        </w:tc>
        <w:tc>
          <w:tcPr>
            <w:tcW w:w="947" w:type="dxa"/>
            <w:tcBorders>
              <w:top w:val="nil"/>
              <w:left w:val="nil"/>
              <w:right w:val="nil"/>
            </w:tcBorders>
            <w:shd w:val="clear" w:color="auto" w:fill="auto"/>
            <w:noWrap/>
            <w:vAlign w:val="bottom"/>
            <w:hideMark/>
          </w:tcPr>
          <w:p w14:paraId="6D591392" w14:textId="77777777" w:rsidR="00DD41B5" w:rsidRPr="008C49BA" w:rsidRDefault="00DD41B5" w:rsidP="00DD41B5">
            <w:pPr>
              <w:spacing w:after="0" w:line="240" w:lineRule="auto"/>
              <w:jc w:val="right"/>
              <w:rPr>
                <w:rFonts w:ascii="Arial" w:hAnsi="Arial" w:cs="Arial"/>
                <w:b/>
                <w:bCs/>
                <w:color w:val="000000"/>
                <w:sz w:val="16"/>
                <w:szCs w:val="16"/>
              </w:rPr>
            </w:pPr>
          </w:p>
        </w:tc>
        <w:tc>
          <w:tcPr>
            <w:tcW w:w="936" w:type="dxa"/>
            <w:tcBorders>
              <w:top w:val="single" w:sz="4" w:space="0" w:color="auto"/>
              <w:left w:val="nil"/>
              <w:right w:val="nil"/>
            </w:tcBorders>
            <w:shd w:val="clear" w:color="auto" w:fill="auto"/>
            <w:noWrap/>
            <w:vAlign w:val="bottom"/>
            <w:hideMark/>
          </w:tcPr>
          <w:p w14:paraId="0D50A8ED" w14:textId="43C6E80B" w:rsidR="00DD41B5" w:rsidRPr="008C49BA" w:rsidRDefault="00DD41B5" w:rsidP="00DD41B5">
            <w:pPr>
              <w:spacing w:after="0" w:line="240" w:lineRule="auto"/>
              <w:jc w:val="right"/>
              <w:rPr>
                <w:rFonts w:ascii="Arial" w:hAnsi="Arial" w:cs="Arial"/>
                <w:b/>
                <w:bCs/>
                <w:sz w:val="16"/>
                <w:szCs w:val="16"/>
              </w:rPr>
            </w:pPr>
            <w:r>
              <w:rPr>
                <w:rFonts w:ascii="Arial" w:hAnsi="Arial" w:cs="Arial"/>
                <w:b/>
                <w:bCs/>
                <w:sz w:val="16"/>
                <w:szCs w:val="16"/>
              </w:rPr>
              <w:t>48,910</w:t>
            </w:r>
          </w:p>
        </w:tc>
        <w:tc>
          <w:tcPr>
            <w:tcW w:w="936" w:type="dxa"/>
            <w:tcBorders>
              <w:top w:val="single" w:sz="4" w:space="0" w:color="auto"/>
              <w:left w:val="nil"/>
              <w:bottom w:val="nil"/>
              <w:right w:val="nil"/>
            </w:tcBorders>
            <w:shd w:val="clear" w:color="C0C0C0" w:fill="E6E6E6"/>
            <w:noWrap/>
            <w:vAlign w:val="bottom"/>
            <w:hideMark/>
          </w:tcPr>
          <w:p w14:paraId="6A6D3A53" w14:textId="40C0BAB9" w:rsidR="00DD41B5" w:rsidRPr="008C49BA" w:rsidRDefault="00DD41B5" w:rsidP="00DD41B5">
            <w:pPr>
              <w:spacing w:after="0" w:line="240" w:lineRule="auto"/>
              <w:jc w:val="right"/>
              <w:rPr>
                <w:rFonts w:ascii="Arial" w:hAnsi="Arial" w:cs="Arial"/>
                <w:b/>
                <w:bCs/>
                <w:sz w:val="16"/>
                <w:szCs w:val="16"/>
              </w:rPr>
            </w:pPr>
            <w:r>
              <w:rPr>
                <w:rFonts w:ascii="Arial" w:hAnsi="Arial" w:cs="Arial"/>
                <w:b/>
                <w:bCs/>
                <w:sz w:val="16"/>
                <w:szCs w:val="16"/>
              </w:rPr>
              <w:t>366,522</w:t>
            </w:r>
          </w:p>
        </w:tc>
        <w:tc>
          <w:tcPr>
            <w:tcW w:w="1017" w:type="dxa"/>
            <w:tcBorders>
              <w:top w:val="single" w:sz="4" w:space="0" w:color="auto"/>
              <w:left w:val="nil"/>
              <w:bottom w:val="nil"/>
              <w:right w:val="nil"/>
            </w:tcBorders>
            <w:shd w:val="clear" w:color="C0C0C0" w:fill="E6E6E6"/>
            <w:noWrap/>
            <w:vAlign w:val="bottom"/>
            <w:hideMark/>
          </w:tcPr>
          <w:p w14:paraId="7B638520" w14:textId="30C23AF3" w:rsidR="00DD41B5" w:rsidRPr="008C49BA" w:rsidRDefault="00DD41B5" w:rsidP="00DD41B5">
            <w:pPr>
              <w:spacing w:after="0" w:line="240" w:lineRule="auto"/>
              <w:jc w:val="right"/>
              <w:rPr>
                <w:rFonts w:ascii="Arial" w:hAnsi="Arial" w:cs="Arial"/>
                <w:b/>
                <w:bCs/>
                <w:sz w:val="16"/>
                <w:szCs w:val="16"/>
              </w:rPr>
            </w:pPr>
            <w:r>
              <w:rPr>
                <w:rFonts w:ascii="Arial" w:hAnsi="Arial" w:cs="Arial"/>
                <w:b/>
                <w:bCs/>
                <w:sz w:val="16"/>
                <w:szCs w:val="16"/>
              </w:rPr>
              <w:t>(365,489)</w:t>
            </w:r>
          </w:p>
        </w:tc>
        <w:tc>
          <w:tcPr>
            <w:tcW w:w="936" w:type="dxa"/>
            <w:tcBorders>
              <w:top w:val="single" w:sz="4" w:space="0" w:color="auto"/>
              <w:left w:val="nil"/>
              <w:bottom w:val="nil"/>
              <w:right w:val="nil"/>
            </w:tcBorders>
            <w:shd w:val="clear" w:color="C0C0C0" w:fill="E6E6E6"/>
            <w:noWrap/>
            <w:vAlign w:val="bottom"/>
            <w:hideMark/>
          </w:tcPr>
          <w:p w14:paraId="33F709F2" w14:textId="3CC8250C" w:rsidR="00DD41B5" w:rsidRPr="008C49BA" w:rsidRDefault="00DD41B5" w:rsidP="00DD41B5">
            <w:pPr>
              <w:spacing w:after="0" w:line="240" w:lineRule="auto"/>
              <w:jc w:val="right"/>
              <w:rPr>
                <w:rFonts w:ascii="Arial" w:hAnsi="Arial" w:cs="Arial"/>
                <w:b/>
                <w:bCs/>
                <w:sz w:val="16"/>
                <w:szCs w:val="16"/>
              </w:rPr>
            </w:pPr>
            <w:r>
              <w:rPr>
                <w:rFonts w:ascii="Arial" w:hAnsi="Arial" w:cs="Arial"/>
                <w:b/>
                <w:bCs/>
                <w:sz w:val="16"/>
                <w:szCs w:val="16"/>
              </w:rPr>
              <w:t>49,943</w:t>
            </w:r>
          </w:p>
        </w:tc>
      </w:tr>
      <w:tr w:rsidR="00DD41B5" w:rsidRPr="008C49BA" w14:paraId="1E183DA0" w14:textId="77777777" w:rsidTr="003B2FC7">
        <w:trPr>
          <w:trHeight w:val="204"/>
        </w:trPr>
        <w:tc>
          <w:tcPr>
            <w:tcW w:w="3119" w:type="dxa"/>
            <w:tcBorders>
              <w:top w:val="nil"/>
              <w:left w:val="nil"/>
              <w:bottom w:val="single" w:sz="4" w:space="0" w:color="auto"/>
              <w:right w:val="nil"/>
            </w:tcBorders>
            <w:shd w:val="clear" w:color="auto" w:fill="auto"/>
            <w:noWrap/>
            <w:vAlign w:val="bottom"/>
            <w:hideMark/>
          </w:tcPr>
          <w:p w14:paraId="2C0156C1" w14:textId="40DE3987" w:rsidR="00DD41B5" w:rsidRPr="00192B13" w:rsidRDefault="00DD41B5" w:rsidP="00DD41B5">
            <w:pPr>
              <w:spacing w:after="0" w:line="240" w:lineRule="auto"/>
              <w:jc w:val="left"/>
              <w:rPr>
                <w:rFonts w:ascii="Arial" w:hAnsi="Arial" w:cs="Arial"/>
                <w:color w:val="000000"/>
                <w:sz w:val="16"/>
                <w:szCs w:val="16"/>
              </w:rPr>
            </w:pPr>
            <w:r w:rsidRPr="00192B13">
              <w:rPr>
                <w:rFonts w:ascii="Arial" w:hAnsi="Arial" w:cs="Arial"/>
                <w:color w:val="000000"/>
                <w:sz w:val="16"/>
                <w:szCs w:val="16"/>
              </w:rPr>
              <w:t xml:space="preserve">Total Special Accounts </w:t>
            </w:r>
            <w:r>
              <w:rPr>
                <w:rFonts w:ascii="Arial" w:hAnsi="Arial" w:cs="Arial"/>
                <w:color w:val="000000"/>
                <w:sz w:val="16"/>
                <w:szCs w:val="16"/>
              </w:rPr>
              <w:t xml:space="preserve">2020-21 </w:t>
            </w:r>
            <w:r w:rsidRPr="00192B13">
              <w:rPr>
                <w:rFonts w:ascii="Arial" w:hAnsi="Arial" w:cs="Arial"/>
                <w:color w:val="000000"/>
                <w:sz w:val="16"/>
                <w:szCs w:val="16"/>
              </w:rPr>
              <w:t>actual</w:t>
            </w:r>
          </w:p>
        </w:tc>
        <w:tc>
          <w:tcPr>
            <w:tcW w:w="947" w:type="dxa"/>
            <w:tcBorders>
              <w:top w:val="nil"/>
              <w:left w:val="nil"/>
              <w:bottom w:val="single" w:sz="4" w:space="0" w:color="auto"/>
              <w:right w:val="nil"/>
            </w:tcBorders>
            <w:shd w:val="clear" w:color="auto" w:fill="auto"/>
            <w:noWrap/>
            <w:vAlign w:val="bottom"/>
            <w:hideMark/>
          </w:tcPr>
          <w:p w14:paraId="4A69E289" w14:textId="77777777" w:rsidR="00DD41B5" w:rsidRPr="008C49BA" w:rsidRDefault="00DD41B5" w:rsidP="00DD41B5">
            <w:pPr>
              <w:spacing w:after="0" w:line="240" w:lineRule="auto"/>
              <w:jc w:val="right"/>
              <w:rPr>
                <w:rFonts w:ascii="Arial" w:hAnsi="Arial" w:cs="Arial"/>
                <w:color w:val="000000"/>
                <w:sz w:val="16"/>
                <w:szCs w:val="16"/>
              </w:rPr>
            </w:pPr>
          </w:p>
        </w:tc>
        <w:tc>
          <w:tcPr>
            <w:tcW w:w="936" w:type="dxa"/>
            <w:tcBorders>
              <w:top w:val="nil"/>
              <w:left w:val="nil"/>
              <w:bottom w:val="single" w:sz="4" w:space="0" w:color="auto"/>
              <w:right w:val="nil"/>
            </w:tcBorders>
            <w:shd w:val="clear" w:color="auto" w:fill="auto"/>
            <w:noWrap/>
            <w:vAlign w:val="bottom"/>
            <w:hideMark/>
          </w:tcPr>
          <w:p w14:paraId="5B2472FE" w14:textId="65420F07" w:rsidR="00DD41B5" w:rsidRPr="008C49BA" w:rsidRDefault="00DD41B5" w:rsidP="00DD41B5">
            <w:pPr>
              <w:spacing w:after="0" w:line="240" w:lineRule="auto"/>
              <w:jc w:val="right"/>
              <w:rPr>
                <w:rFonts w:ascii="Arial" w:hAnsi="Arial" w:cs="Arial"/>
                <w:sz w:val="16"/>
                <w:szCs w:val="16"/>
              </w:rPr>
            </w:pPr>
            <w:r>
              <w:rPr>
                <w:rFonts w:ascii="Arial" w:hAnsi="Arial" w:cs="Arial"/>
                <w:sz w:val="16"/>
                <w:szCs w:val="16"/>
              </w:rPr>
              <w:t>32,807</w:t>
            </w:r>
          </w:p>
        </w:tc>
        <w:tc>
          <w:tcPr>
            <w:tcW w:w="936" w:type="dxa"/>
            <w:tcBorders>
              <w:top w:val="nil"/>
              <w:left w:val="nil"/>
              <w:bottom w:val="single" w:sz="4" w:space="0" w:color="auto"/>
              <w:right w:val="nil"/>
            </w:tcBorders>
            <w:shd w:val="clear" w:color="C0C0C0" w:fill="E6E6E6"/>
            <w:noWrap/>
            <w:vAlign w:val="bottom"/>
            <w:hideMark/>
          </w:tcPr>
          <w:p w14:paraId="205C5038" w14:textId="32477F4C" w:rsidR="00DD41B5" w:rsidRPr="008C49BA" w:rsidRDefault="00DD41B5" w:rsidP="00DD41B5">
            <w:pPr>
              <w:spacing w:after="0" w:line="240" w:lineRule="auto"/>
              <w:jc w:val="right"/>
              <w:rPr>
                <w:rFonts w:ascii="Arial" w:hAnsi="Arial" w:cs="Arial"/>
                <w:sz w:val="16"/>
                <w:szCs w:val="16"/>
              </w:rPr>
            </w:pPr>
            <w:r>
              <w:rPr>
                <w:rFonts w:ascii="Arial" w:hAnsi="Arial" w:cs="Arial"/>
                <w:sz w:val="16"/>
                <w:szCs w:val="16"/>
              </w:rPr>
              <w:t>370,639</w:t>
            </w:r>
          </w:p>
        </w:tc>
        <w:tc>
          <w:tcPr>
            <w:tcW w:w="1017" w:type="dxa"/>
            <w:tcBorders>
              <w:top w:val="nil"/>
              <w:left w:val="nil"/>
              <w:bottom w:val="single" w:sz="4" w:space="0" w:color="auto"/>
              <w:right w:val="nil"/>
            </w:tcBorders>
            <w:shd w:val="clear" w:color="C0C0C0" w:fill="E6E6E6"/>
            <w:noWrap/>
            <w:vAlign w:val="bottom"/>
            <w:hideMark/>
          </w:tcPr>
          <w:p w14:paraId="107E34EF" w14:textId="6D697A51" w:rsidR="00DD41B5" w:rsidRPr="008C49BA" w:rsidRDefault="00DD41B5" w:rsidP="00DD41B5">
            <w:pPr>
              <w:spacing w:after="0" w:line="240" w:lineRule="auto"/>
              <w:jc w:val="right"/>
              <w:rPr>
                <w:rFonts w:ascii="Arial" w:hAnsi="Arial" w:cs="Arial"/>
                <w:sz w:val="16"/>
                <w:szCs w:val="16"/>
              </w:rPr>
            </w:pPr>
            <w:r>
              <w:rPr>
                <w:rFonts w:ascii="Arial" w:hAnsi="Arial" w:cs="Arial"/>
                <w:sz w:val="16"/>
                <w:szCs w:val="16"/>
              </w:rPr>
              <w:t>(354,536)</w:t>
            </w:r>
          </w:p>
        </w:tc>
        <w:tc>
          <w:tcPr>
            <w:tcW w:w="936" w:type="dxa"/>
            <w:tcBorders>
              <w:top w:val="nil"/>
              <w:left w:val="nil"/>
              <w:bottom w:val="single" w:sz="4" w:space="0" w:color="auto"/>
              <w:right w:val="nil"/>
            </w:tcBorders>
            <w:shd w:val="clear" w:color="C0C0C0" w:fill="E6E6E6"/>
            <w:noWrap/>
            <w:vAlign w:val="bottom"/>
            <w:hideMark/>
          </w:tcPr>
          <w:p w14:paraId="54C17E54" w14:textId="7BEB54D5" w:rsidR="00DD41B5" w:rsidRPr="008C49BA" w:rsidRDefault="00DD41B5" w:rsidP="00DD41B5">
            <w:pPr>
              <w:spacing w:after="0" w:line="240" w:lineRule="auto"/>
              <w:jc w:val="right"/>
              <w:rPr>
                <w:rFonts w:ascii="Arial" w:hAnsi="Arial" w:cs="Arial"/>
                <w:sz w:val="16"/>
                <w:szCs w:val="16"/>
              </w:rPr>
            </w:pPr>
            <w:r>
              <w:rPr>
                <w:rFonts w:ascii="Arial" w:hAnsi="Arial" w:cs="Arial"/>
                <w:sz w:val="16"/>
                <w:szCs w:val="16"/>
              </w:rPr>
              <w:t>48,910</w:t>
            </w:r>
          </w:p>
        </w:tc>
      </w:tr>
    </w:tbl>
    <w:p w14:paraId="6C761D27" w14:textId="75A27AFD" w:rsidR="008C49BA" w:rsidRDefault="00F036D1" w:rsidP="00DB1C41">
      <w:pPr>
        <w:pStyle w:val="Source"/>
        <w:spacing w:before="60"/>
      </w:pPr>
      <w:r>
        <w:t>(A) -</w:t>
      </w:r>
      <w:r w:rsidR="008C49BA">
        <w:t xml:space="preserve"> Administered</w:t>
      </w:r>
    </w:p>
    <w:p w14:paraId="0A494B7F" w14:textId="546A26F7" w:rsidR="008C49BA" w:rsidRDefault="008C49BA" w:rsidP="008C49BA">
      <w:pPr>
        <w:pStyle w:val="Source"/>
      </w:pPr>
      <w:r>
        <w:t xml:space="preserve">(D) </w:t>
      </w:r>
      <w:r w:rsidR="00F036D1">
        <w:t>-</w:t>
      </w:r>
      <w:r>
        <w:t xml:space="preserve"> </w:t>
      </w:r>
      <w:r w:rsidR="008863D9">
        <w:t>Department</w:t>
      </w:r>
      <w:r>
        <w:t>al</w:t>
      </w:r>
    </w:p>
    <w:p w14:paraId="59509601" w14:textId="22838279" w:rsidR="00532A05" w:rsidRDefault="00532A05" w:rsidP="004D3E2B">
      <w:pPr>
        <w:pStyle w:val="SingleParagraph"/>
      </w:pPr>
    </w:p>
    <w:p w14:paraId="07BBA416" w14:textId="7E978E59" w:rsidR="00F51DAC" w:rsidRDefault="00F51DAC" w:rsidP="00B87CAB">
      <w:pPr>
        <w:pStyle w:val="Heading3DITRDC"/>
      </w:pPr>
      <w:bookmarkStart w:id="372" w:name="_Toc190682317"/>
      <w:bookmarkStart w:id="373" w:name="_Toc210703219"/>
      <w:bookmarkStart w:id="374" w:name="_Toc531095072"/>
      <w:bookmarkStart w:id="375" w:name="_Toc92992120"/>
      <w:bookmarkStart w:id="376" w:name="_Toc93405046"/>
      <w:bookmarkStart w:id="377" w:name="_Toc94854652"/>
      <w:r w:rsidRPr="005554F9">
        <w:t>3.2</w:t>
      </w:r>
      <w:r>
        <w:tab/>
        <w:t>Budgeted financial statements</w:t>
      </w:r>
      <w:bookmarkEnd w:id="372"/>
      <w:bookmarkEnd w:id="373"/>
      <w:bookmarkEnd w:id="374"/>
      <w:bookmarkEnd w:id="375"/>
      <w:bookmarkEnd w:id="376"/>
      <w:bookmarkEnd w:id="377"/>
    </w:p>
    <w:p w14:paraId="44928A8D" w14:textId="77777777" w:rsidR="00F51DAC" w:rsidRPr="004928FF" w:rsidRDefault="00A81E21" w:rsidP="000B5844">
      <w:pPr>
        <w:pStyle w:val="Heading4"/>
      </w:pPr>
      <w:r w:rsidRPr="00EC73D1">
        <w:t>3.2</w:t>
      </w:r>
      <w:r w:rsidR="00EC73D1" w:rsidRPr="00EC73D1">
        <w:rPr>
          <w:lang w:val="en-AU"/>
        </w:rPr>
        <w:t>.1</w:t>
      </w:r>
      <w:r w:rsidR="00F51DAC">
        <w:tab/>
      </w:r>
      <w:r w:rsidR="00F51DAC" w:rsidRPr="004928FF">
        <w:t xml:space="preserve">Analysis of </w:t>
      </w:r>
      <w:r w:rsidR="00C264AC">
        <w:t>b</w:t>
      </w:r>
      <w:r w:rsidR="00C264AC" w:rsidRPr="004928FF">
        <w:t xml:space="preserve">udgeted </w:t>
      </w:r>
      <w:r w:rsidR="00C264AC">
        <w:t>f</w:t>
      </w:r>
      <w:r w:rsidR="00C264AC" w:rsidRPr="004928FF">
        <w:t xml:space="preserve">inancial </w:t>
      </w:r>
      <w:r w:rsidR="00C264AC">
        <w:t>s</w:t>
      </w:r>
      <w:r w:rsidR="00C264AC" w:rsidRPr="004928FF">
        <w:t>tatements</w:t>
      </w:r>
      <w:bookmarkEnd w:id="328"/>
      <w:bookmarkEnd w:id="329"/>
      <w:bookmarkEnd w:id="330"/>
      <w:bookmarkEnd w:id="331"/>
      <w:bookmarkEnd w:id="332"/>
      <w:bookmarkEnd w:id="333"/>
      <w:bookmarkEnd w:id="334"/>
      <w:bookmarkEnd w:id="335"/>
    </w:p>
    <w:p w14:paraId="71997FBB" w14:textId="45043305" w:rsidR="00C33B7C" w:rsidRPr="00C90F5D" w:rsidRDefault="008863D9" w:rsidP="0036693C">
      <w:pPr>
        <w:pStyle w:val="ExampleText"/>
        <w:spacing w:after="0"/>
        <w:rPr>
          <w:b/>
          <w:i w:val="0"/>
          <w:color w:val="auto"/>
        </w:rPr>
      </w:pPr>
      <w:bookmarkStart w:id="378" w:name="_Toc77998692"/>
      <w:bookmarkStart w:id="379" w:name="_Toc79406121"/>
      <w:bookmarkStart w:id="380" w:name="_Toc79467823"/>
      <w:bookmarkStart w:id="381" w:name="_Toc112137882"/>
      <w:bookmarkStart w:id="382" w:name="_Toc112137904"/>
      <w:bookmarkStart w:id="383" w:name="_Toc210646457"/>
      <w:bookmarkStart w:id="384" w:name="_Toc210698436"/>
      <w:bookmarkStart w:id="385" w:name="_Toc35936967"/>
      <w:bookmarkStart w:id="386" w:name="_Toc533506534"/>
      <w:bookmarkStart w:id="387" w:name="_Toc533506609"/>
      <w:bookmarkStart w:id="388" w:name="_Toc533507059"/>
      <w:r>
        <w:rPr>
          <w:b/>
          <w:i w:val="0"/>
          <w:color w:val="auto"/>
        </w:rPr>
        <w:t>Department</w:t>
      </w:r>
      <w:r w:rsidR="00C33B7C">
        <w:rPr>
          <w:b/>
          <w:i w:val="0"/>
          <w:color w:val="auto"/>
        </w:rPr>
        <w:t>al</w:t>
      </w:r>
    </w:p>
    <w:p w14:paraId="28C60BC4" w14:textId="5148BE6F" w:rsidR="00C33B7C" w:rsidRPr="007614F5" w:rsidRDefault="00C33B7C" w:rsidP="00C33B7C">
      <w:pPr>
        <w:pStyle w:val="ExampleText"/>
        <w:spacing w:after="0"/>
        <w:rPr>
          <w:i w:val="0"/>
          <w:color w:val="auto"/>
        </w:rPr>
      </w:pPr>
      <w:r w:rsidRPr="007614F5">
        <w:rPr>
          <w:i w:val="0"/>
          <w:color w:val="auto"/>
        </w:rPr>
        <w:t xml:space="preserve">The </w:t>
      </w:r>
      <w:r w:rsidR="008863D9">
        <w:rPr>
          <w:i w:val="0"/>
          <w:color w:val="auto"/>
        </w:rPr>
        <w:t>Department</w:t>
      </w:r>
      <w:r w:rsidRPr="007614F5">
        <w:rPr>
          <w:i w:val="0"/>
          <w:color w:val="auto"/>
        </w:rPr>
        <w:t xml:space="preserve"> </w:t>
      </w:r>
      <w:r>
        <w:rPr>
          <w:i w:val="0"/>
          <w:color w:val="auto"/>
        </w:rPr>
        <w:t xml:space="preserve">recognised a surplus </w:t>
      </w:r>
      <w:r w:rsidR="00102378">
        <w:rPr>
          <w:i w:val="0"/>
          <w:color w:val="auto"/>
        </w:rPr>
        <w:t xml:space="preserve">of $21.3 million </w:t>
      </w:r>
      <w:r>
        <w:rPr>
          <w:i w:val="0"/>
          <w:color w:val="auto"/>
        </w:rPr>
        <w:t xml:space="preserve">in 2020-21 and </w:t>
      </w:r>
      <w:r w:rsidRPr="007614F5">
        <w:rPr>
          <w:i w:val="0"/>
          <w:color w:val="auto"/>
        </w:rPr>
        <w:t xml:space="preserve">is budgeting </w:t>
      </w:r>
      <w:r>
        <w:rPr>
          <w:i w:val="0"/>
          <w:color w:val="auto"/>
        </w:rPr>
        <w:t xml:space="preserve">to </w:t>
      </w:r>
      <w:r w:rsidRPr="007614F5">
        <w:rPr>
          <w:i w:val="0"/>
          <w:color w:val="auto"/>
        </w:rPr>
        <w:t xml:space="preserve">break even </w:t>
      </w:r>
      <w:r>
        <w:rPr>
          <w:i w:val="0"/>
          <w:color w:val="auto"/>
        </w:rPr>
        <w:t xml:space="preserve">in 2021-22 and </w:t>
      </w:r>
      <w:r w:rsidRPr="007614F5">
        <w:rPr>
          <w:i w:val="0"/>
          <w:color w:val="auto"/>
        </w:rPr>
        <w:t xml:space="preserve">across the forward estimates, after adjusting for depreciation and amortisation expenses, and adjustments for leases. </w:t>
      </w:r>
    </w:p>
    <w:p w14:paraId="50BE2828" w14:textId="77777777" w:rsidR="00C33B7C" w:rsidRPr="0086587C" w:rsidRDefault="00C33B7C" w:rsidP="00C33B7C">
      <w:pPr>
        <w:pStyle w:val="ExampleText"/>
        <w:spacing w:after="0"/>
        <w:rPr>
          <w:i w:val="0"/>
          <w:color w:val="auto"/>
          <w:highlight w:val="yellow"/>
        </w:rPr>
      </w:pPr>
    </w:p>
    <w:p w14:paraId="2A176B16" w14:textId="27AC1EE1" w:rsidR="00C33B7C" w:rsidRDefault="00C33B7C" w:rsidP="00C33B7C">
      <w:pPr>
        <w:pStyle w:val="ExampleText"/>
        <w:rPr>
          <w:i w:val="0"/>
          <w:color w:val="auto"/>
        </w:rPr>
      </w:pPr>
      <w:r w:rsidRPr="00B26126">
        <w:rPr>
          <w:i w:val="0"/>
          <w:color w:val="auto"/>
        </w:rPr>
        <w:t>The Comprehensive Income Statement (showing net cost of services) for the periods ended 30 June (Table 3.</w:t>
      </w:r>
      <w:r w:rsidR="00B76022">
        <w:rPr>
          <w:i w:val="0"/>
          <w:color w:val="auto"/>
        </w:rPr>
        <w:t>2</w:t>
      </w:r>
      <w:r>
        <w:rPr>
          <w:i w:val="0"/>
          <w:color w:val="auto"/>
        </w:rPr>
        <w:t>) reflects</w:t>
      </w:r>
      <w:r w:rsidRPr="00B26126">
        <w:rPr>
          <w:i w:val="0"/>
          <w:color w:val="auto"/>
        </w:rPr>
        <w:t xml:space="preserve"> the impact of these changes.</w:t>
      </w:r>
    </w:p>
    <w:p w14:paraId="5F73FBB0" w14:textId="77777777" w:rsidR="00C33B7C" w:rsidRPr="002E4B94" w:rsidRDefault="00C33B7C" w:rsidP="0036693C">
      <w:pPr>
        <w:pStyle w:val="ExampleText"/>
        <w:spacing w:after="0"/>
        <w:rPr>
          <w:b/>
          <w:i w:val="0"/>
          <w:color w:val="auto"/>
        </w:rPr>
      </w:pPr>
      <w:r w:rsidRPr="002E4B94">
        <w:rPr>
          <w:b/>
          <w:i w:val="0"/>
          <w:color w:val="auto"/>
        </w:rPr>
        <w:t>Administered</w:t>
      </w:r>
    </w:p>
    <w:p w14:paraId="7F8B80D3" w14:textId="77777777" w:rsidR="00C33B7C" w:rsidRPr="002E4B94" w:rsidRDefault="00C33B7C" w:rsidP="00C33B7C">
      <w:pPr>
        <w:pStyle w:val="ExampleText"/>
        <w:rPr>
          <w:i w:val="0"/>
          <w:color w:val="auto"/>
        </w:rPr>
      </w:pPr>
      <w:r w:rsidRPr="002E4B94">
        <w:rPr>
          <w:i w:val="0"/>
          <w:color w:val="auto"/>
        </w:rPr>
        <w:t>Administered Expenses have increased since the 202</w:t>
      </w:r>
      <w:r>
        <w:rPr>
          <w:i w:val="0"/>
          <w:color w:val="auto"/>
        </w:rPr>
        <w:t>1</w:t>
      </w:r>
      <w:r w:rsidRPr="002E4B94">
        <w:rPr>
          <w:i w:val="0"/>
          <w:color w:val="auto"/>
        </w:rPr>
        <w:t>-2</w:t>
      </w:r>
      <w:r>
        <w:rPr>
          <w:i w:val="0"/>
          <w:color w:val="auto"/>
        </w:rPr>
        <w:t>2</w:t>
      </w:r>
      <w:r w:rsidRPr="002E4B94">
        <w:rPr>
          <w:i w:val="0"/>
          <w:color w:val="auto"/>
        </w:rPr>
        <w:t xml:space="preserve"> </w:t>
      </w:r>
      <w:r>
        <w:rPr>
          <w:i w:val="0"/>
          <w:color w:val="auto"/>
        </w:rPr>
        <w:t>Budget</w:t>
      </w:r>
      <w:r w:rsidRPr="002E4B94">
        <w:rPr>
          <w:i w:val="0"/>
          <w:color w:val="auto"/>
        </w:rPr>
        <w:t xml:space="preserve"> due to new measures </w:t>
      </w:r>
      <w:r>
        <w:rPr>
          <w:i w:val="0"/>
          <w:color w:val="auto"/>
        </w:rPr>
        <w:t xml:space="preserve">since the 2021-22 Budget </w:t>
      </w:r>
      <w:r w:rsidRPr="002E4B94">
        <w:rPr>
          <w:i w:val="0"/>
          <w:color w:val="auto"/>
        </w:rPr>
        <w:t xml:space="preserve">and </w:t>
      </w:r>
      <w:r>
        <w:rPr>
          <w:i w:val="0"/>
          <w:color w:val="auto"/>
        </w:rPr>
        <w:t xml:space="preserve">changes in </w:t>
      </w:r>
      <w:r w:rsidRPr="002E4B94">
        <w:rPr>
          <w:i w:val="0"/>
          <w:color w:val="auto"/>
        </w:rPr>
        <w:t xml:space="preserve">indexation. Further details on measures can be found in the 2021-22 measures table (Table 1.2). </w:t>
      </w:r>
    </w:p>
    <w:p w14:paraId="25DA2274" w14:textId="55878BEE" w:rsidR="00C33B7C" w:rsidRDefault="00C33B7C" w:rsidP="00C33B7C">
      <w:pPr>
        <w:pStyle w:val="ExampleText"/>
        <w:rPr>
          <w:i w:val="0"/>
          <w:color w:val="auto"/>
        </w:rPr>
      </w:pPr>
      <w:r w:rsidRPr="00B26126">
        <w:rPr>
          <w:i w:val="0"/>
          <w:color w:val="auto"/>
        </w:rPr>
        <w:t>The Schedule of Budgeted Income and Expenses administered on behalf of Government for the periods ended 30 June (Table 3.</w:t>
      </w:r>
      <w:r w:rsidR="00B76022">
        <w:rPr>
          <w:i w:val="0"/>
          <w:color w:val="auto"/>
        </w:rPr>
        <w:t>8</w:t>
      </w:r>
      <w:r w:rsidRPr="00B26126">
        <w:rPr>
          <w:i w:val="0"/>
          <w:color w:val="auto"/>
        </w:rPr>
        <w:t>) reflect</w:t>
      </w:r>
      <w:r>
        <w:rPr>
          <w:i w:val="0"/>
          <w:color w:val="auto"/>
        </w:rPr>
        <w:t>s</w:t>
      </w:r>
      <w:r w:rsidRPr="00B26126">
        <w:rPr>
          <w:i w:val="0"/>
          <w:color w:val="auto"/>
        </w:rPr>
        <w:t xml:space="preserve"> the impact of these changes.</w:t>
      </w:r>
      <w:r>
        <w:rPr>
          <w:i w:val="0"/>
          <w:color w:val="auto"/>
        </w:rPr>
        <w:t xml:space="preserve"> </w:t>
      </w:r>
    </w:p>
    <w:p w14:paraId="10632F1C" w14:textId="77777777" w:rsidR="0057089F" w:rsidRDefault="0057089F">
      <w:pPr>
        <w:spacing w:after="0" w:line="240" w:lineRule="auto"/>
        <w:jc w:val="left"/>
        <w:rPr>
          <w:rFonts w:ascii="Arial" w:hAnsi="Arial"/>
          <w:b/>
          <w:lang w:val="x-none"/>
        </w:rPr>
      </w:pPr>
      <w:r>
        <w:br w:type="page"/>
      </w:r>
    </w:p>
    <w:p w14:paraId="7F96B51A" w14:textId="663B6A20" w:rsidR="00F51DAC" w:rsidRPr="004928FF" w:rsidRDefault="00F51DAC">
      <w:pPr>
        <w:pStyle w:val="Heading4"/>
      </w:pPr>
      <w:r w:rsidRPr="00EC73D1">
        <w:lastRenderedPageBreak/>
        <w:t>3.2.2</w:t>
      </w:r>
      <w:r>
        <w:tab/>
      </w:r>
      <w:r w:rsidRPr="004928FF">
        <w:t xml:space="preserve">Budgeted </w:t>
      </w:r>
      <w:r w:rsidR="00C264AC">
        <w:t>f</w:t>
      </w:r>
      <w:r w:rsidR="00C264AC" w:rsidRPr="004928FF">
        <w:t xml:space="preserve">inancial </w:t>
      </w:r>
      <w:r w:rsidR="00C264AC">
        <w:t>s</w:t>
      </w:r>
      <w:r w:rsidR="00C264AC" w:rsidRPr="004928FF">
        <w:t>tatements</w:t>
      </w:r>
      <w:bookmarkEnd w:id="378"/>
      <w:bookmarkEnd w:id="379"/>
      <w:bookmarkEnd w:id="380"/>
      <w:bookmarkEnd w:id="381"/>
      <w:bookmarkEnd w:id="382"/>
      <w:bookmarkEnd w:id="383"/>
      <w:bookmarkEnd w:id="384"/>
    </w:p>
    <w:bookmarkEnd w:id="385"/>
    <w:p w14:paraId="53AE94D0" w14:textId="3D3C89F0" w:rsidR="00F51DAC" w:rsidRDefault="00A81E21" w:rsidP="00F51DAC">
      <w:pPr>
        <w:pStyle w:val="TableHeading"/>
        <w:spacing w:before="0"/>
        <w:rPr>
          <w:snapToGrid w:val="0"/>
          <w:lang w:val="en-AU"/>
        </w:rPr>
      </w:pPr>
      <w:r w:rsidRPr="00267C90">
        <w:rPr>
          <w:snapToGrid w:val="0"/>
        </w:rPr>
        <w:t>Table 3.</w:t>
      </w:r>
      <w:r w:rsidR="001F46A6" w:rsidRPr="00267C90">
        <w:rPr>
          <w:snapToGrid w:val="0"/>
        </w:rPr>
        <w:t>2</w:t>
      </w:r>
      <w:r w:rsidR="00F51DAC" w:rsidRPr="00267C90">
        <w:rPr>
          <w:snapToGrid w:val="0"/>
        </w:rPr>
        <w:t xml:space="preserve">: Comprehensive </w:t>
      </w:r>
      <w:r w:rsidR="00622A38" w:rsidRPr="00267C90">
        <w:rPr>
          <w:snapToGrid w:val="0"/>
        </w:rPr>
        <w:t xml:space="preserve">income statement </w:t>
      </w:r>
      <w:r w:rsidR="00F51DAC" w:rsidRPr="00267C90">
        <w:rPr>
          <w:snapToGrid w:val="0"/>
        </w:rPr>
        <w:t>(</w:t>
      </w:r>
      <w:r w:rsidR="00622A38" w:rsidRPr="00267C90">
        <w:rPr>
          <w:snapToGrid w:val="0"/>
        </w:rPr>
        <w:t>showing net cost of services</w:t>
      </w:r>
      <w:r w:rsidR="00F51DAC" w:rsidRPr="00267C90">
        <w:rPr>
          <w:snapToGrid w:val="0"/>
        </w:rPr>
        <w:t>)</w:t>
      </w:r>
      <w:r w:rsidR="00327424" w:rsidRPr="00267C90">
        <w:rPr>
          <w:snapToGrid w:val="0"/>
          <w:lang w:val="en-AU"/>
        </w:rPr>
        <w:t xml:space="preserve"> for the period ended 30 June</w:t>
      </w:r>
    </w:p>
    <w:tbl>
      <w:tblPr>
        <w:tblW w:w="7700" w:type="dxa"/>
        <w:tblLook w:val="04A0" w:firstRow="1" w:lastRow="0" w:firstColumn="1" w:lastColumn="0" w:noHBand="0" w:noVBand="1"/>
      </w:tblPr>
      <w:tblGrid>
        <w:gridCol w:w="3120"/>
        <w:gridCol w:w="916"/>
        <w:gridCol w:w="916"/>
        <w:gridCol w:w="916"/>
        <w:gridCol w:w="916"/>
        <w:gridCol w:w="916"/>
      </w:tblGrid>
      <w:tr w:rsidR="003D788E" w:rsidRPr="003D788E" w14:paraId="5E78C908" w14:textId="77777777" w:rsidTr="00102378">
        <w:trPr>
          <w:trHeight w:val="586"/>
        </w:trPr>
        <w:tc>
          <w:tcPr>
            <w:tcW w:w="3120" w:type="dxa"/>
            <w:tcBorders>
              <w:top w:val="single" w:sz="4" w:space="0" w:color="auto"/>
              <w:left w:val="nil"/>
              <w:bottom w:val="nil"/>
              <w:right w:val="nil"/>
            </w:tcBorders>
            <w:shd w:val="clear" w:color="auto" w:fill="auto"/>
            <w:noWrap/>
            <w:hideMark/>
          </w:tcPr>
          <w:p w14:paraId="62204ACE" w14:textId="77777777" w:rsidR="003D788E" w:rsidRPr="003D788E" w:rsidRDefault="003D788E" w:rsidP="003D788E">
            <w:pPr>
              <w:spacing w:after="0" w:line="240" w:lineRule="auto"/>
              <w:jc w:val="left"/>
              <w:rPr>
                <w:rFonts w:ascii="Arial" w:hAnsi="Arial" w:cs="Arial"/>
                <w:b/>
                <w:bCs/>
                <w:sz w:val="16"/>
                <w:szCs w:val="16"/>
              </w:rPr>
            </w:pPr>
            <w:r w:rsidRPr="003D788E">
              <w:rPr>
                <w:rFonts w:ascii="Arial" w:hAnsi="Arial" w:cs="Arial"/>
                <w:b/>
                <w:bCs/>
                <w:sz w:val="16"/>
                <w:szCs w:val="16"/>
              </w:rPr>
              <w:t> </w:t>
            </w:r>
          </w:p>
        </w:tc>
        <w:tc>
          <w:tcPr>
            <w:tcW w:w="916" w:type="dxa"/>
            <w:tcBorders>
              <w:top w:val="single" w:sz="4" w:space="0" w:color="auto"/>
              <w:left w:val="nil"/>
              <w:bottom w:val="single" w:sz="4" w:space="0" w:color="auto"/>
              <w:right w:val="nil"/>
            </w:tcBorders>
            <w:shd w:val="clear" w:color="auto" w:fill="auto"/>
            <w:hideMark/>
          </w:tcPr>
          <w:p w14:paraId="0BE2BEB8" w14:textId="77777777" w:rsidR="003D788E" w:rsidRPr="003D788E" w:rsidRDefault="003D788E" w:rsidP="003D788E">
            <w:pPr>
              <w:spacing w:after="0" w:line="240" w:lineRule="auto"/>
              <w:jc w:val="right"/>
              <w:rPr>
                <w:rFonts w:ascii="Arial" w:hAnsi="Arial" w:cs="Arial"/>
                <w:sz w:val="16"/>
                <w:szCs w:val="16"/>
              </w:rPr>
            </w:pPr>
            <w:r w:rsidRPr="003D788E">
              <w:rPr>
                <w:rFonts w:ascii="Arial" w:hAnsi="Arial" w:cs="Arial"/>
                <w:sz w:val="16"/>
                <w:szCs w:val="16"/>
              </w:rPr>
              <w:t>2020-21</w:t>
            </w:r>
            <w:r w:rsidRPr="003D788E">
              <w:rPr>
                <w:rFonts w:ascii="Arial" w:hAnsi="Arial" w:cs="Arial"/>
                <w:sz w:val="16"/>
                <w:szCs w:val="16"/>
              </w:rPr>
              <w:br/>
              <w:t>Actual</w:t>
            </w:r>
            <w:r w:rsidRPr="003D788E">
              <w:rPr>
                <w:rFonts w:ascii="Arial" w:hAnsi="Arial" w:cs="Arial"/>
                <w:sz w:val="16"/>
                <w:szCs w:val="16"/>
              </w:rPr>
              <w:br/>
            </w:r>
            <w:r w:rsidRPr="003D788E">
              <w:rPr>
                <w:rFonts w:ascii="Arial" w:hAnsi="Arial" w:cs="Arial"/>
                <w:sz w:val="16"/>
                <w:szCs w:val="16"/>
              </w:rPr>
              <w:br/>
              <w:t>$'000</w:t>
            </w:r>
          </w:p>
        </w:tc>
        <w:tc>
          <w:tcPr>
            <w:tcW w:w="916" w:type="dxa"/>
            <w:tcBorders>
              <w:top w:val="single" w:sz="4" w:space="0" w:color="auto"/>
              <w:left w:val="nil"/>
              <w:bottom w:val="single" w:sz="4" w:space="0" w:color="auto"/>
              <w:right w:val="nil"/>
            </w:tcBorders>
            <w:shd w:val="clear" w:color="000000" w:fill="E6E6E6"/>
            <w:hideMark/>
          </w:tcPr>
          <w:p w14:paraId="14BB5251" w14:textId="05801B0D" w:rsidR="003D788E" w:rsidRPr="003D788E" w:rsidRDefault="003D788E" w:rsidP="00102378">
            <w:pPr>
              <w:spacing w:after="0" w:line="240" w:lineRule="auto"/>
              <w:jc w:val="right"/>
              <w:rPr>
                <w:rFonts w:ascii="Arial" w:hAnsi="Arial" w:cs="Arial"/>
                <w:sz w:val="16"/>
                <w:szCs w:val="16"/>
              </w:rPr>
            </w:pPr>
            <w:r w:rsidRPr="003D788E">
              <w:rPr>
                <w:rFonts w:ascii="Arial" w:hAnsi="Arial" w:cs="Arial"/>
                <w:sz w:val="16"/>
                <w:szCs w:val="16"/>
              </w:rPr>
              <w:t>2021-22</w:t>
            </w:r>
            <w:r w:rsidRPr="003D788E">
              <w:rPr>
                <w:rFonts w:ascii="Arial" w:hAnsi="Arial" w:cs="Arial"/>
                <w:sz w:val="16"/>
                <w:szCs w:val="16"/>
              </w:rPr>
              <w:br/>
              <w:t xml:space="preserve">Revised </w:t>
            </w:r>
            <w:r w:rsidR="00102378">
              <w:rPr>
                <w:rFonts w:ascii="Arial" w:hAnsi="Arial" w:cs="Arial"/>
                <w:sz w:val="16"/>
                <w:szCs w:val="16"/>
              </w:rPr>
              <w:t>B</w:t>
            </w:r>
            <w:r w:rsidRPr="003D788E">
              <w:rPr>
                <w:rFonts w:ascii="Arial" w:hAnsi="Arial" w:cs="Arial"/>
                <w:sz w:val="16"/>
                <w:szCs w:val="16"/>
              </w:rPr>
              <w:t>udget</w:t>
            </w:r>
            <w:r w:rsidRPr="003D788E">
              <w:rPr>
                <w:rFonts w:ascii="Arial" w:hAnsi="Arial" w:cs="Arial"/>
                <w:sz w:val="16"/>
                <w:szCs w:val="16"/>
              </w:rPr>
              <w:br/>
              <w:t>$'000</w:t>
            </w:r>
          </w:p>
        </w:tc>
        <w:tc>
          <w:tcPr>
            <w:tcW w:w="916" w:type="dxa"/>
            <w:tcBorders>
              <w:top w:val="single" w:sz="4" w:space="0" w:color="auto"/>
              <w:left w:val="nil"/>
              <w:bottom w:val="single" w:sz="4" w:space="0" w:color="auto"/>
              <w:right w:val="nil"/>
            </w:tcBorders>
            <w:shd w:val="clear" w:color="auto" w:fill="auto"/>
            <w:hideMark/>
          </w:tcPr>
          <w:p w14:paraId="7151AD1D" w14:textId="77777777" w:rsidR="003D788E" w:rsidRPr="003D788E" w:rsidRDefault="003D788E" w:rsidP="003D788E">
            <w:pPr>
              <w:spacing w:after="0" w:line="240" w:lineRule="auto"/>
              <w:jc w:val="right"/>
              <w:rPr>
                <w:rFonts w:ascii="Arial" w:hAnsi="Arial" w:cs="Arial"/>
                <w:sz w:val="16"/>
                <w:szCs w:val="16"/>
              </w:rPr>
            </w:pPr>
            <w:r w:rsidRPr="003D788E">
              <w:rPr>
                <w:rFonts w:ascii="Arial" w:hAnsi="Arial" w:cs="Arial"/>
                <w:sz w:val="16"/>
                <w:szCs w:val="16"/>
              </w:rPr>
              <w:t>2022-23</w:t>
            </w:r>
            <w:r w:rsidRPr="003D788E">
              <w:rPr>
                <w:rFonts w:ascii="Arial" w:hAnsi="Arial" w:cs="Arial"/>
                <w:sz w:val="16"/>
                <w:szCs w:val="16"/>
              </w:rPr>
              <w:br/>
              <w:t>Forward estimate</w:t>
            </w:r>
            <w:r w:rsidRPr="003D788E">
              <w:rPr>
                <w:rFonts w:ascii="Arial" w:hAnsi="Arial" w:cs="Arial"/>
                <w:sz w:val="16"/>
                <w:szCs w:val="16"/>
              </w:rPr>
              <w:br/>
              <w:t>$'000</w:t>
            </w:r>
          </w:p>
        </w:tc>
        <w:tc>
          <w:tcPr>
            <w:tcW w:w="916" w:type="dxa"/>
            <w:tcBorders>
              <w:top w:val="single" w:sz="4" w:space="0" w:color="auto"/>
              <w:left w:val="nil"/>
              <w:bottom w:val="single" w:sz="4" w:space="0" w:color="auto"/>
              <w:right w:val="nil"/>
            </w:tcBorders>
            <w:shd w:val="clear" w:color="auto" w:fill="auto"/>
            <w:hideMark/>
          </w:tcPr>
          <w:p w14:paraId="656B1A82" w14:textId="77777777" w:rsidR="003D788E" w:rsidRPr="003D788E" w:rsidRDefault="003D788E" w:rsidP="003D788E">
            <w:pPr>
              <w:spacing w:after="0" w:line="240" w:lineRule="auto"/>
              <w:jc w:val="right"/>
              <w:rPr>
                <w:rFonts w:ascii="Arial" w:hAnsi="Arial" w:cs="Arial"/>
                <w:sz w:val="16"/>
                <w:szCs w:val="16"/>
              </w:rPr>
            </w:pPr>
            <w:r w:rsidRPr="003D788E">
              <w:rPr>
                <w:rFonts w:ascii="Arial" w:hAnsi="Arial" w:cs="Arial"/>
                <w:sz w:val="16"/>
                <w:szCs w:val="16"/>
              </w:rPr>
              <w:t>2023-24</w:t>
            </w:r>
            <w:r w:rsidRPr="003D788E">
              <w:rPr>
                <w:rFonts w:ascii="Arial" w:hAnsi="Arial" w:cs="Arial"/>
                <w:sz w:val="16"/>
                <w:szCs w:val="16"/>
              </w:rPr>
              <w:br/>
              <w:t>Forward estimate</w:t>
            </w:r>
            <w:r w:rsidRPr="003D788E">
              <w:rPr>
                <w:rFonts w:ascii="Arial" w:hAnsi="Arial" w:cs="Arial"/>
                <w:sz w:val="16"/>
                <w:szCs w:val="16"/>
              </w:rPr>
              <w:br/>
              <w:t>$'000</w:t>
            </w:r>
          </w:p>
        </w:tc>
        <w:tc>
          <w:tcPr>
            <w:tcW w:w="916" w:type="dxa"/>
            <w:tcBorders>
              <w:top w:val="single" w:sz="4" w:space="0" w:color="auto"/>
              <w:left w:val="nil"/>
              <w:bottom w:val="single" w:sz="4" w:space="0" w:color="auto"/>
              <w:right w:val="nil"/>
            </w:tcBorders>
            <w:shd w:val="clear" w:color="auto" w:fill="auto"/>
            <w:hideMark/>
          </w:tcPr>
          <w:p w14:paraId="58E4D97F" w14:textId="77777777" w:rsidR="003D788E" w:rsidRPr="003D788E" w:rsidRDefault="003D788E" w:rsidP="003D788E">
            <w:pPr>
              <w:spacing w:after="0" w:line="240" w:lineRule="auto"/>
              <w:jc w:val="right"/>
              <w:rPr>
                <w:rFonts w:ascii="Arial" w:hAnsi="Arial" w:cs="Arial"/>
                <w:sz w:val="16"/>
                <w:szCs w:val="16"/>
              </w:rPr>
            </w:pPr>
            <w:r w:rsidRPr="003D788E">
              <w:rPr>
                <w:rFonts w:ascii="Arial" w:hAnsi="Arial" w:cs="Arial"/>
                <w:sz w:val="16"/>
                <w:szCs w:val="16"/>
              </w:rPr>
              <w:t>2024-25</w:t>
            </w:r>
            <w:r w:rsidRPr="003D788E">
              <w:rPr>
                <w:rFonts w:ascii="Arial" w:hAnsi="Arial" w:cs="Arial"/>
                <w:sz w:val="16"/>
                <w:szCs w:val="16"/>
              </w:rPr>
              <w:br/>
              <w:t>Forward estimate</w:t>
            </w:r>
            <w:r w:rsidRPr="003D788E">
              <w:rPr>
                <w:rFonts w:ascii="Arial" w:hAnsi="Arial" w:cs="Arial"/>
                <w:sz w:val="16"/>
                <w:szCs w:val="16"/>
              </w:rPr>
              <w:br/>
              <w:t>$'000</w:t>
            </w:r>
          </w:p>
        </w:tc>
      </w:tr>
      <w:tr w:rsidR="003D788E" w:rsidRPr="003D788E" w14:paraId="0B102089" w14:textId="77777777" w:rsidTr="00950536">
        <w:trPr>
          <w:trHeight w:val="204"/>
        </w:trPr>
        <w:tc>
          <w:tcPr>
            <w:tcW w:w="3120" w:type="dxa"/>
            <w:tcBorders>
              <w:top w:val="nil"/>
              <w:left w:val="nil"/>
              <w:bottom w:val="nil"/>
              <w:right w:val="nil"/>
            </w:tcBorders>
            <w:shd w:val="clear" w:color="auto" w:fill="auto"/>
            <w:noWrap/>
            <w:hideMark/>
          </w:tcPr>
          <w:p w14:paraId="5AC52753" w14:textId="77777777" w:rsidR="003D788E" w:rsidRPr="003D788E" w:rsidRDefault="003D788E" w:rsidP="003D788E">
            <w:pPr>
              <w:spacing w:after="0" w:line="240" w:lineRule="auto"/>
              <w:jc w:val="left"/>
              <w:rPr>
                <w:rFonts w:ascii="Arial" w:hAnsi="Arial" w:cs="Arial"/>
                <w:b/>
                <w:bCs/>
                <w:sz w:val="16"/>
                <w:szCs w:val="16"/>
              </w:rPr>
            </w:pPr>
            <w:r w:rsidRPr="003D788E">
              <w:rPr>
                <w:rFonts w:ascii="Arial" w:hAnsi="Arial" w:cs="Arial"/>
                <w:b/>
                <w:bCs/>
                <w:sz w:val="16"/>
                <w:szCs w:val="16"/>
              </w:rPr>
              <w:t>EXPENSES</w:t>
            </w:r>
          </w:p>
        </w:tc>
        <w:tc>
          <w:tcPr>
            <w:tcW w:w="916" w:type="dxa"/>
            <w:tcBorders>
              <w:top w:val="nil"/>
              <w:left w:val="nil"/>
              <w:bottom w:val="nil"/>
              <w:right w:val="nil"/>
            </w:tcBorders>
            <w:shd w:val="clear" w:color="auto" w:fill="auto"/>
            <w:noWrap/>
            <w:vAlign w:val="bottom"/>
            <w:hideMark/>
          </w:tcPr>
          <w:p w14:paraId="588278D0" w14:textId="77777777" w:rsidR="003D788E" w:rsidRPr="003D788E" w:rsidRDefault="003D788E" w:rsidP="003D788E">
            <w:pPr>
              <w:spacing w:after="0" w:line="240" w:lineRule="auto"/>
              <w:jc w:val="left"/>
              <w:rPr>
                <w:rFonts w:ascii="Arial" w:hAnsi="Arial" w:cs="Arial"/>
                <w:b/>
                <w:bCs/>
                <w:sz w:val="16"/>
                <w:szCs w:val="16"/>
              </w:rPr>
            </w:pPr>
          </w:p>
        </w:tc>
        <w:tc>
          <w:tcPr>
            <w:tcW w:w="916" w:type="dxa"/>
            <w:tcBorders>
              <w:top w:val="nil"/>
              <w:left w:val="nil"/>
              <w:bottom w:val="nil"/>
              <w:right w:val="nil"/>
            </w:tcBorders>
            <w:shd w:val="clear" w:color="000000" w:fill="E6E6E6"/>
            <w:noWrap/>
            <w:vAlign w:val="bottom"/>
            <w:hideMark/>
          </w:tcPr>
          <w:p w14:paraId="20619F5A" w14:textId="2D57B00C" w:rsidR="003D788E" w:rsidRPr="003D788E" w:rsidRDefault="003D788E" w:rsidP="003D788E">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auto" w:fill="auto"/>
            <w:noWrap/>
            <w:vAlign w:val="bottom"/>
            <w:hideMark/>
          </w:tcPr>
          <w:p w14:paraId="5C2B06BA" w14:textId="77777777" w:rsidR="003D788E" w:rsidRPr="003D788E" w:rsidRDefault="003D788E" w:rsidP="003D788E">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auto" w:fill="auto"/>
            <w:noWrap/>
            <w:vAlign w:val="bottom"/>
            <w:hideMark/>
          </w:tcPr>
          <w:p w14:paraId="79ADEEE6" w14:textId="77777777" w:rsidR="003D788E" w:rsidRPr="003D788E" w:rsidRDefault="003D788E" w:rsidP="003D788E">
            <w:pPr>
              <w:spacing w:after="0" w:line="240" w:lineRule="auto"/>
              <w:jc w:val="right"/>
              <w:rPr>
                <w:rFonts w:ascii="Times New Roman" w:hAnsi="Times New Roman"/>
              </w:rPr>
            </w:pPr>
          </w:p>
        </w:tc>
        <w:tc>
          <w:tcPr>
            <w:tcW w:w="916" w:type="dxa"/>
            <w:tcBorders>
              <w:top w:val="nil"/>
              <w:left w:val="nil"/>
              <w:bottom w:val="nil"/>
              <w:right w:val="nil"/>
            </w:tcBorders>
            <w:shd w:val="clear" w:color="auto" w:fill="auto"/>
            <w:noWrap/>
            <w:vAlign w:val="bottom"/>
            <w:hideMark/>
          </w:tcPr>
          <w:p w14:paraId="20B2EBE3" w14:textId="77777777" w:rsidR="003D788E" w:rsidRPr="003D788E" w:rsidRDefault="003D788E" w:rsidP="003D788E">
            <w:pPr>
              <w:spacing w:after="0" w:line="240" w:lineRule="auto"/>
              <w:jc w:val="right"/>
              <w:rPr>
                <w:rFonts w:ascii="Times New Roman" w:hAnsi="Times New Roman"/>
              </w:rPr>
            </w:pPr>
          </w:p>
        </w:tc>
      </w:tr>
      <w:tr w:rsidR="00633D2B" w:rsidRPr="003D788E" w14:paraId="40F34E39" w14:textId="77777777" w:rsidTr="00950536">
        <w:trPr>
          <w:trHeight w:val="204"/>
        </w:trPr>
        <w:tc>
          <w:tcPr>
            <w:tcW w:w="3120" w:type="dxa"/>
            <w:tcBorders>
              <w:top w:val="nil"/>
              <w:left w:val="nil"/>
              <w:bottom w:val="nil"/>
              <w:right w:val="nil"/>
            </w:tcBorders>
            <w:shd w:val="clear" w:color="auto" w:fill="auto"/>
            <w:noWrap/>
            <w:hideMark/>
          </w:tcPr>
          <w:p w14:paraId="04BCDCAC" w14:textId="77777777" w:rsidR="00633D2B" w:rsidRPr="003D788E" w:rsidRDefault="00633D2B" w:rsidP="00633D2B">
            <w:pPr>
              <w:spacing w:after="0" w:line="240" w:lineRule="auto"/>
              <w:ind w:left="113"/>
              <w:jc w:val="left"/>
              <w:rPr>
                <w:rFonts w:ascii="Arial" w:hAnsi="Arial" w:cs="Arial"/>
                <w:sz w:val="16"/>
                <w:szCs w:val="16"/>
              </w:rPr>
            </w:pPr>
            <w:r w:rsidRPr="003D788E">
              <w:rPr>
                <w:rFonts w:ascii="Arial" w:hAnsi="Arial" w:cs="Arial"/>
                <w:sz w:val="16"/>
                <w:szCs w:val="16"/>
              </w:rPr>
              <w:t>Employee benefits</w:t>
            </w:r>
          </w:p>
        </w:tc>
        <w:tc>
          <w:tcPr>
            <w:tcW w:w="916" w:type="dxa"/>
            <w:tcBorders>
              <w:top w:val="nil"/>
              <w:left w:val="nil"/>
              <w:bottom w:val="nil"/>
              <w:right w:val="nil"/>
            </w:tcBorders>
            <w:shd w:val="clear" w:color="auto" w:fill="auto"/>
            <w:noWrap/>
            <w:vAlign w:val="bottom"/>
            <w:hideMark/>
          </w:tcPr>
          <w:p w14:paraId="5C6A6F1A" w14:textId="5339D59F"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206,787</w:t>
            </w:r>
          </w:p>
        </w:tc>
        <w:tc>
          <w:tcPr>
            <w:tcW w:w="916" w:type="dxa"/>
            <w:tcBorders>
              <w:top w:val="nil"/>
              <w:left w:val="nil"/>
              <w:bottom w:val="nil"/>
              <w:right w:val="nil"/>
            </w:tcBorders>
            <w:shd w:val="clear" w:color="000000" w:fill="E6E6E6"/>
            <w:noWrap/>
            <w:vAlign w:val="bottom"/>
            <w:hideMark/>
          </w:tcPr>
          <w:p w14:paraId="7A351042" w14:textId="6CC50FB9"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236,344</w:t>
            </w:r>
          </w:p>
        </w:tc>
        <w:tc>
          <w:tcPr>
            <w:tcW w:w="916" w:type="dxa"/>
            <w:tcBorders>
              <w:top w:val="nil"/>
              <w:left w:val="nil"/>
              <w:bottom w:val="nil"/>
              <w:right w:val="nil"/>
            </w:tcBorders>
            <w:shd w:val="clear" w:color="auto" w:fill="auto"/>
            <w:noWrap/>
            <w:vAlign w:val="bottom"/>
            <w:hideMark/>
          </w:tcPr>
          <w:p w14:paraId="60BDAFAE" w14:textId="5EF919AD"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243,485</w:t>
            </w:r>
          </w:p>
        </w:tc>
        <w:tc>
          <w:tcPr>
            <w:tcW w:w="916" w:type="dxa"/>
            <w:tcBorders>
              <w:top w:val="nil"/>
              <w:left w:val="nil"/>
              <w:bottom w:val="nil"/>
              <w:right w:val="nil"/>
            </w:tcBorders>
            <w:shd w:val="clear" w:color="auto" w:fill="auto"/>
            <w:noWrap/>
            <w:vAlign w:val="bottom"/>
            <w:hideMark/>
          </w:tcPr>
          <w:p w14:paraId="6809A237" w14:textId="155AEA3A"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243,892</w:t>
            </w:r>
          </w:p>
        </w:tc>
        <w:tc>
          <w:tcPr>
            <w:tcW w:w="916" w:type="dxa"/>
            <w:tcBorders>
              <w:top w:val="nil"/>
              <w:left w:val="nil"/>
              <w:bottom w:val="nil"/>
              <w:right w:val="nil"/>
            </w:tcBorders>
            <w:shd w:val="clear" w:color="auto" w:fill="auto"/>
            <w:noWrap/>
            <w:vAlign w:val="bottom"/>
            <w:hideMark/>
          </w:tcPr>
          <w:p w14:paraId="54A1096C" w14:textId="5BD86785"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248,299</w:t>
            </w:r>
          </w:p>
        </w:tc>
      </w:tr>
      <w:tr w:rsidR="00633D2B" w:rsidRPr="003D788E" w14:paraId="627BD61B" w14:textId="77777777" w:rsidTr="00950536">
        <w:trPr>
          <w:trHeight w:val="204"/>
        </w:trPr>
        <w:tc>
          <w:tcPr>
            <w:tcW w:w="3120" w:type="dxa"/>
            <w:tcBorders>
              <w:top w:val="nil"/>
              <w:left w:val="nil"/>
              <w:bottom w:val="nil"/>
              <w:right w:val="nil"/>
            </w:tcBorders>
            <w:shd w:val="clear" w:color="auto" w:fill="auto"/>
            <w:noWrap/>
            <w:hideMark/>
          </w:tcPr>
          <w:p w14:paraId="510CC051" w14:textId="77777777" w:rsidR="00633D2B" w:rsidRPr="003D788E" w:rsidRDefault="00633D2B" w:rsidP="00633D2B">
            <w:pPr>
              <w:spacing w:after="0" w:line="240" w:lineRule="auto"/>
              <w:ind w:left="113"/>
              <w:jc w:val="left"/>
              <w:rPr>
                <w:rFonts w:ascii="Arial" w:hAnsi="Arial" w:cs="Arial"/>
                <w:sz w:val="16"/>
                <w:szCs w:val="16"/>
              </w:rPr>
            </w:pPr>
            <w:r w:rsidRPr="003D788E">
              <w:rPr>
                <w:rFonts w:ascii="Arial" w:hAnsi="Arial" w:cs="Arial"/>
                <w:sz w:val="16"/>
                <w:szCs w:val="16"/>
              </w:rPr>
              <w:t>Suppliers</w:t>
            </w:r>
          </w:p>
        </w:tc>
        <w:tc>
          <w:tcPr>
            <w:tcW w:w="916" w:type="dxa"/>
            <w:tcBorders>
              <w:top w:val="nil"/>
              <w:left w:val="nil"/>
              <w:bottom w:val="nil"/>
              <w:right w:val="nil"/>
            </w:tcBorders>
            <w:shd w:val="clear" w:color="auto" w:fill="auto"/>
            <w:noWrap/>
            <w:vAlign w:val="bottom"/>
            <w:hideMark/>
          </w:tcPr>
          <w:p w14:paraId="713AB492" w14:textId="180838DA"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122,733</w:t>
            </w:r>
          </w:p>
        </w:tc>
        <w:tc>
          <w:tcPr>
            <w:tcW w:w="916" w:type="dxa"/>
            <w:tcBorders>
              <w:top w:val="nil"/>
              <w:left w:val="nil"/>
              <w:bottom w:val="nil"/>
              <w:right w:val="nil"/>
            </w:tcBorders>
            <w:shd w:val="clear" w:color="000000" w:fill="E6E6E6"/>
            <w:noWrap/>
            <w:vAlign w:val="bottom"/>
            <w:hideMark/>
          </w:tcPr>
          <w:p w14:paraId="742E3A60" w14:textId="0E79CD61"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162,402</w:t>
            </w:r>
          </w:p>
        </w:tc>
        <w:tc>
          <w:tcPr>
            <w:tcW w:w="916" w:type="dxa"/>
            <w:tcBorders>
              <w:top w:val="nil"/>
              <w:left w:val="nil"/>
              <w:bottom w:val="nil"/>
              <w:right w:val="nil"/>
            </w:tcBorders>
            <w:shd w:val="clear" w:color="auto" w:fill="auto"/>
            <w:noWrap/>
            <w:vAlign w:val="bottom"/>
            <w:hideMark/>
          </w:tcPr>
          <w:p w14:paraId="2C826019" w14:textId="71C8AEF8"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159,144</w:t>
            </w:r>
          </w:p>
        </w:tc>
        <w:tc>
          <w:tcPr>
            <w:tcW w:w="916" w:type="dxa"/>
            <w:tcBorders>
              <w:top w:val="nil"/>
              <w:left w:val="nil"/>
              <w:bottom w:val="nil"/>
              <w:right w:val="nil"/>
            </w:tcBorders>
            <w:shd w:val="clear" w:color="auto" w:fill="auto"/>
            <w:noWrap/>
            <w:vAlign w:val="bottom"/>
            <w:hideMark/>
          </w:tcPr>
          <w:p w14:paraId="20AD763A" w14:textId="3AED4ACB"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102,227</w:t>
            </w:r>
          </w:p>
        </w:tc>
        <w:tc>
          <w:tcPr>
            <w:tcW w:w="916" w:type="dxa"/>
            <w:tcBorders>
              <w:top w:val="nil"/>
              <w:left w:val="nil"/>
              <w:bottom w:val="nil"/>
              <w:right w:val="nil"/>
            </w:tcBorders>
            <w:shd w:val="clear" w:color="auto" w:fill="auto"/>
            <w:noWrap/>
            <w:vAlign w:val="bottom"/>
            <w:hideMark/>
          </w:tcPr>
          <w:p w14:paraId="399D4C10" w14:textId="3C5B1A66"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54,750</w:t>
            </w:r>
          </w:p>
        </w:tc>
      </w:tr>
      <w:tr w:rsidR="00633D2B" w:rsidRPr="003D788E" w14:paraId="752028AF" w14:textId="77777777" w:rsidTr="00950536">
        <w:trPr>
          <w:trHeight w:val="204"/>
        </w:trPr>
        <w:tc>
          <w:tcPr>
            <w:tcW w:w="3120" w:type="dxa"/>
            <w:tcBorders>
              <w:top w:val="nil"/>
              <w:left w:val="nil"/>
              <w:bottom w:val="nil"/>
              <w:right w:val="nil"/>
            </w:tcBorders>
            <w:shd w:val="clear" w:color="auto" w:fill="auto"/>
            <w:noWrap/>
            <w:hideMark/>
          </w:tcPr>
          <w:p w14:paraId="43D1B0E9" w14:textId="77777777" w:rsidR="00633D2B" w:rsidRPr="003D788E" w:rsidRDefault="00633D2B" w:rsidP="00633D2B">
            <w:pPr>
              <w:spacing w:after="0" w:line="240" w:lineRule="auto"/>
              <w:ind w:left="113"/>
              <w:jc w:val="left"/>
              <w:rPr>
                <w:rFonts w:ascii="Arial" w:hAnsi="Arial" w:cs="Arial"/>
                <w:sz w:val="16"/>
                <w:szCs w:val="16"/>
              </w:rPr>
            </w:pPr>
            <w:r w:rsidRPr="003D788E">
              <w:rPr>
                <w:rFonts w:ascii="Arial" w:hAnsi="Arial" w:cs="Arial"/>
                <w:sz w:val="16"/>
                <w:szCs w:val="16"/>
              </w:rPr>
              <w:t>Grants and contributions</w:t>
            </w:r>
          </w:p>
        </w:tc>
        <w:tc>
          <w:tcPr>
            <w:tcW w:w="916" w:type="dxa"/>
            <w:tcBorders>
              <w:top w:val="nil"/>
              <w:left w:val="nil"/>
              <w:bottom w:val="nil"/>
              <w:right w:val="nil"/>
            </w:tcBorders>
            <w:shd w:val="clear" w:color="auto" w:fill="auto"/>
            <w:noWrap/>
            <w:vAlign w:val="bottom"/>
            <w:hideMark/>
          </w:tcPr>
          <w:p w14:paraId="5E7CB216" w14:textId="0E108DEE"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9,078</w:t>
            </w:r>
          </w:p>
        </w:tc>
        <w:tc>
          <w:tcPr>
            <w:tcW w:w="916" w:type="dxa"/>
            <w:tcBorders>
              <w:top w:val="nil"/>
              <w:left w:val="nil"/>
              <w:bottom w:val="nil"/>
              <w:right w:val="nil"/>
            </w:tcBorders>
            <w:shd w:val="clear" w:color="000000" w:fill="E6E6E6"/>
            <w:noWrap/>
            <w:vAlign w:val="bottom"/>
            <w:hideMark/>
          </w:tcPr>
          <w:p w14:paraId="70C8CEDB" w14:textId="2C2192E4"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6,300</w:t>
            </w:r>
          </w:p>
        </w:tc>
        <w:tc>
          <w:tcPr>
            <w:tcW w:w="916" w:type="dxa"/>
            <w:tcBorders>
              <w:top w:val="nil"/>
              <w:left w:val="nil"/>
              <w:bottom w:val="nil"/>
              <w:right w:val="nil"/>
            </w:tcBorders>
            <w:shd w:val="clear" w:color="auto" w:fill="auto"/>
            <w:noWrap/>
            <w:vAlign w:val="bottom"/>
            <w:hideMark/>
          </w:tcPr>
          <w:p w14:paraId="62B491BB" w14:textId="1F0D0DD8"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4,400</w:t>
            </w:r>
          </w:p>
        </w:tc>
        <w:tc>
          <w:tcPr>
            <w:tcW w:w="916" w:type="dxa"/>
            <w:tcBorders>
              <w:top w:val="nil"/>
              <w:left w:val="nil"/>
              <w:bottom w:val="nil"/>
              <w:right w:val="nil"/>
            </w:tcBorders>
            <w:shd w:val="clear" w:color="auto" w:fill="auto"/>
            <w:noWrap/>
            <w:vAlign w:val="bottom"/>
            <w:hideMark/>
          </w:tcPr>
          <w:p w14:paraId="44479B9C" w14:textId="52D8E937"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2,200</w:t>
            </w:r>
          </w:p>
        </w:tc>
        <w:tc>
          <w:tcPr>
            <w:tcW w:w="916" w:type="dxa"/>
            <w:tcBorders>
              <w:top w:val="nil"/>
              <w:left w:val="nil"/>
              <w:bottom w:val="nil"/>
              <w:right w:val="nil"/>
            </w:tcBorders>
            <w:shd w:val="clear" w:color="auto" w:fill="auto"/>
            <w:noWrap/>
            <w:vAlign w:val="bottom"/>
            <w:hideMark/>
          </w:tcPr>
          <w:p w14:paraId="0A298000" w14:textId="6677C356"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w:t>
            </w:r>
          </w:p>
        </w:tc>
      </w:tr>
      <w:tr w:rsidR="00633D2B" w:rsidRPr="003D788E" w14:paraId="0B16048B" w14:textId="77777777" w:rsidTr="00950536">
        <w:trPr>
          <w:trHeight w:val="204"/>
        </w:trPr>
        <w:tc>
          <w:tcPr>
            <w:tcW w:w="3120" w:type="dxa"/>
            <w:tcBorders>
              <w:top w:val="nil"/>
              <w:left w:val="nil"/>
              <w:bottom w:val="nil"/>
              <w:right w:val="nil"/>
            </w:tcBorders>
            <w:shd w:val="clear" w:color="auto" w:fill="auto"/>
            <w:noWrap/>
            <w:hideMark/>
          </w:tcPr>
          <w:p w14:paraId="6DC5B39D" w14:textId="77777777" w:rsidR="00633D2B" w:rsidRPr="003D788E" w:rsidRDefault="00633D2B" w:rsidP="00633D2B">
            <w:pPr>
              <w:spacing w:after="0" w:line="240" w:lineRule="auto"/>
              <w:ind w:left="113"/>
              <w:jc w:val="left"/>
              <w:rPr>
                <w:rFonts w:ascii="Arial" w:hAnsi="Arial" w:cs="Arial"/>
                <w:sz w:val="16"/>
                <w:szCs w:val="16"/>
              </w:rPr>
            </w:pPr>
            <w:r w:rsidRPr="003D788E">
              <w:rPr>
                <w:rFonts w:ascii="Arial" w:hAnsi="Arial" w:cs="Arial"/>
                <w:sz w:val="16"/>
                <w:szCs w:val="16"/>
              </w:rPr>
              <w:t xml:space="preserve">Depreciation and amortisation </w:t>
            </w:r>
            <w:r w:rsidRPr="00950536">
              <w:rPr>
                <w:rFonts w:ascii="Arial" w:hAnsi="Arial" w:cs="Arial"/>
                <w:sz w:val="16"/>
                <w:szCs w:val="16"/>
                <w:vertAlign w:val="superscript"/>
              </w:rPr>
              <w:t>(a)</w:t>
            </w:r>
          </w:p>
        </w:tc>
        <w:tc>
          <w:tcPr>
            <w:tcW w:w="916" w:type="dxa"/>
            <w:tcBorders>
              <w:top w:val="nil"/>
              <w:left w:val="nil"/>
              <w:bottom w:val="nil"/>
              <w:right w:val="nil"/>
            </w:tcBorders>
            <w:shd w:val="clear" w:color="auto" w:fill="auto"/>
            <w:noWrap/>
            <w:vAlign w:val="bottom"/>
            <w:hideMark/>
          </w:tcPr>
          <w:p w14:paraId="5488798E" w14:textId="1B8DAAB6"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35,883</w:t>
            </w:r>
          </w:p>
        </w:tc>
        <w:tc>
          <w:tcPr>
            <w:tcW w:w="916" w:type="dxa"/>
            <w:tcBorders>
              <w:top w:val="nil"/>
              <w:left w:val="nil"/>
              <w:bottom w:val="nil"/>
              <w:right w:val="nil"/>
            </w:tcBorders>
            <w:shd w:val="clear" w:color="000000" w:fill="E6E6E6"/>
            <w:noWrap/>
            <w:vAlign w:val="bottom"/>
            <w:hideMark/>
          </w:tcPr>
          <w:p w14:paraId="12AC2F9B" w14:textId="24DAD43F"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36,638</w:t>
            </w:r>
          </w:p>
        </w:tc>
        <w:tc>
          <w:tcPr>
            <w:tcW w:w="916" w:type="dxa"/>
            <w:tcBorders>
              <w:top w:val="nil"/>
              <w:left w:val="nil"/>
              <w:bottom w:val="nil"/>
              <w:right w:val="nil"/>
            </w:tcBorders>
            <w:shd w:val="clear" w:color="auto" w:fill="auto"/>
            <w:noWrap/>
            <w:vAlign w:val="bottom"/>
            <w:hideMark/>
          </w:tcPr>
          <w:p w14:paraId="72AAF9D0" w14:textId="7A0D3D57"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36,963</w:t>
            </w:r>
          </w:p>
        </w:tc>
        <w:tc>
          <w:tcPr>
            <w:tcW w:w="916" w:type="dxa"/>
            <w:tcBorders>
              <w:top w:val="nil"/>
              <w:left w:val="nil"/>
              <w:bottom w:val="nil"/>
              <w:right w:val="nil"/>
            </w:tcBorders>
            <w:shd w:val="clear" w:color="auto" w:fill="auto"/>
            <w:noWrap/>
            <w:vAlign w:val="bottom"/>
            <w:hideMark/>
          </w:tcPr>
          <w:p w14:paraId="243E9CB9" w14:textId="68F7253E"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36,910</w:t>
            </w:r>
          </w:p>
        </w:tc>
        <w:tc>
          <w:tcPr>
            <w:tcW w:w="916" w:type="dxa"/>
            <w:tcBorders>
              <w:top w:val="nil"/>
              <w:left w:val="nil"/>
              <w:bottom w:val="nil"/>
              <w:right w:val="nil"/>
            </w:tcBorders>
            <w:shd w:val="clear" w:color="auto" w:fill="auto"/>
            <w:noWrap/>
            <w:vAlign w:val="bottom"/>
            <w:hideMark/>
          </w:tcPr>
          <w:p w14:paraId="110F17F0" w14:textId="6C5CB86D"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36,910</w:t>
            </w:r>
          </w:p>
        </w:tc>
      </w:tr>
      <w:tr w:rsidR="00633D2B" w:rsidRPr="003D788E" w14:paraId="3792F881" w14:textId="77777777" w:rsidTr="00950536">
        <w:trPr>
          <w:trHeight w:val="204"/>
        </w:trPr>
        <w:tc>
          <w:tcPr>
            <w:tcW w:w="3120" w:type="dxa"/>
            <w:tcBorders>
              <w:top w:val="nil"/>
              <w:left w:val="nil"/>
              <w:bottom w:val="nil"/>
              <w:right w:val="nil"/>
            </w:tcBorders>
            <w:shd w:val="clear" w:color="auto" w:fill="auto"/>
            <w:noWrap/>
            <w:hideMark/>
          </w:tcPr>
          <w:p w14:paraId="66B8FE5E" w14:textId="77777777" w:rsidR="00633D2B" w:rsidRPr="003D788E" w:rsidRDefault="00633D2B" w:rsidP="00633D2B">
            <w:pPr>
              <w:spacing w:after="0" w:line="240" w:lineRule="auto"/>
              <w:ind w:left="113"/>
              <w:jc w:val="left"/>
              <w:rPr>
                <w:rFonts w:ascii="Arial" w:hAnsi="Arial" w:cs="Arial"/>
                <w:sz w:val="16"/>
                <w:szCs w:val="16"/>
              </w:rPr>
            </w:pPr>
            <w:r w:rsidRPr="003D788E">
              <w:rPr>
                <w:rFonts w:ascii="Arial" w:hAnsi="Arial" w:cs="Arial"/>
                <w:sz w:val="16"/>
                <w:szCs w:val="16"/>
              </w:rPr>
              <w:t>Finance costs</w:t>
            </w:r>
          </w:p>
        </w:tc>
        <w:tc>
          <w:tcPr>
            <w:tcW w:w="916" w:type="dxa"/>
            <w:tcBorders>
              <w:top w:val="nil"/>
              <w:left w:val="nil"/>
              <w:bottom w:val="nil"/>
              <w:right w:val="nil"/>
            </w:tcBorders>
            <w:shd w:val="clear" w:color="auto" w:fill="auto"/>
            <w:noWrap/>
            <w:vAlign w:val="bottom"/>
            <w:hideMark/>
          </w:tcPr>
          <w:p w14:paraId="62034CFD" w14:textId="3C1C25EF"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1,339</w:t>
            </w:r>
          </w:p>
        </w:tc>
        <w:tc>
          <w:tcPr>
            <w:tcW w:w="916" w:type="dxa"/>
            <w:tcBorders>
              <w:top w:val="nil"/>
              <w:left w:val="nil"/>
              <w:bottom w:val="nil"/>
              <w:right w:val="nil"/>
            </w:tcBorders>
            <w:shd w:val="clear" w:color="000000" w:fill="E6E6E6"/>
            <w:noWrap/>
            <w:vAlign w:val="bottom"/>
            <w:hideMark/>
          </w:tcPr>
          <w:p w14:paraId="33AD74E1" w14:textId="1EE810E0"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2,491</w:t>
            </w:r>
          </w:p>
        </w:tc>
        <w:tc>
          <w:tcPr>
            <w:tcW w:w="916" w:type="dxa"/>
            <w:tcBorders>
              <w:top w:val="nil"/>
              <w:left w:val="nil"/>
              <w:bottom w:val="nil"/>
              <w:right w:val="nil"/>
            </w:tcBorders>
            <w:shd w:val="clear" w:color="auto" w:fill="auto"/>
            <w:noWrap/>
            <w:vAlign w:val="bottom"/>
            <w:hideMark/>
          </w:tcPr>
          <w:p w14:paraId="2069B5F4" w14:textId="47DC2D0D"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2,008</w:t>
            </w:r>
          </w:p>
        </w:tc>
        <w:tc>
          <w:tcPr>
            <w:tcW w:w="916" w:type="dxa"/>
            <w:tcBorders>
              <w:top w:val="nil"/>
              <w:left w:val="nil"/>
              <w:bottom w:val="nil"/>
              <w:right w:val="nil"/>
            </w:tcBorders>
            <w:shd w:val="clear" w:color="auto" w:fill="auto"/>
            <w:noWrap/>
            <w:vAlign w:val="bottom"/>
            <w:hideMark/>
          </w:tcPr>
          <w:p w14:paraId="12761FCB" w14:textId="64B93718"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1,890</w:t>
            </w:r>
          </w:p>
        </w:tc>
        <w:tc>
          <w:tcPr>
            <w:tcW w:w="916" w:type="dxa"/>
            <w:tcBorders>
              <w:top w:val="nil"/>
              <w:left w:val="nil"/>
              <w:bottom w:val="nil"/>
              <w:right w:val="nil"/>
            </w:tcBorders>
            <w:shd w:val="clear" w:color="auto" w:fill="auto"/>
            <w:noWrap/>
            <w:vAlign w:val="bottom"/>
            <w:hideMark/>
          </w:tcPr>
          <w:p w14:paraId="58AE7387" w14:textId="308378B9"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1,890</w:t>
            </w:r>
          </w:p>
        </w:tc>
      </w:tr>
      <w:tr w:rsidR="00633D2B" w:rsidRPr="003D788E" w14:paraId="5F3AFD92" w14:textId="77777777" w:rsidTr="00950536">
        <w:trPr>
          <w:trHeight w:val="204"/>
        </w:trPr>
        <w:tc>
          <w:tcPr>
            <w:tcW w:w="3120" w:type="dxa"/>
            <w:tcBorders>
              <w:top w:val="nil"/>
              <w:left w:val="nil"/>
              <w:bottom w:val="nil"/>
              <w:right w:val="nil"/>
            </w:tcBorders>
            <w:shd w:val="clear" w:color="auto" w:fill="auto"/>
            <w:noWrap/>
            <w:hideMark/>
          </w:tcPr>
          <w:p w14:paraId="1C544D60" w14:textId="77777777" w:rsidR="00633D2B" w:rsidRPr="003D788E" w:rsidRDefault="00633D2B" w:rsidP="00633D2B">
            <w:pPr>
              <w:spacing w:after="0" w:line="240" w:lineRule="auto"/>
              <w:ind w:left="113"/>
              <w:jc w:val="left"/>
              <w:rPr>
                <w:rFonts w:ascii="Arial" w:hAnsi="Arial" w:cs="Arial"/>
                <w:sz w:val="16"/>
                <w:szCs w:val="16"/>
              </w:rPr>
            </w:pPr>
            <w:r w:rsidRPr="003D788E">
              <w:rPr>
                <w:rFonts w:ascii="Arial" w:hAnsi="Arial" w:cs="Arial"/>
                <w:sz w:val="16"/>
                <w:szCs w:val="16"/>
              </w:rPr>
              <w:t>Write-down and impairment of assets</w:t>
            </w:r>
          </w:p>
        </w:tc>
        <w:tc>
          <w:tcPr>
            <w:tcW w:w="916" w:type="dxa"/>
            <w:tcBorders>
              <w:top w:val="nil"/>
              <w:left w:val="nil"/>
              <w:bottom w:val="nil"/>
              <w:right w:val="nil"/>
            </w:tcBorders>
            <w:shd w:val="clear" w:color="auto" w:fill="auto"/>
            <w:noWrap/>
            <w:vAlign w:val="bottom"/>
            <w:hideMark/>
          </w:tcPr>
          <w:p w14:paraId="69290D8D" w14:textId="3EBB255A"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613</w:t>
            </w:r>
          </w:p>
        </w:tc>
        <w:tc>
          <w:tcPr>
            <w:tcW w:w="916" w:type="dxa"/>
            <w:tcBorders>
              <w:top w:val="nil"/>
              <w:left w:val="nil"/>
              <w:bottom w:val="nil"/>
              <w:right w:val="nil"/>
            </w:tcBorders>
            <w:shd w:val="clear" w:color="000000" w:fill="E6E6E6"/>
            <w:noWrap/>
            <w:vAlign w:val="bottom"/>
            <w:hideMark/>
          </w:tcPr>
          <w:p w14:paraId="66F9C478" w14:textId="2C94C6DD"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w:t>
            </w:r>
          </w:p>
        </w:tc>
        <w:tc>
          <w:tcPr>
            <w:tcW w:w="916" w:type="dxa"/>
            <w:tcBorders>
              <w:top w:val="nil"/>
              <w:left w:val="nil"/>
              <w:bottom w:val="nil"/>
              <w:right w:val="nil"/>
            </w:tcBorders>
            <w:shd w:val="clear" w:color="auto" w:fill="auto"/>
            <w:noWrap/>
            <w:vAlign w:val="bottom"/>
            <w:hideMark/>
          </w:tcPr>
          <w:p w14:paraId="16F31F2A" w14:textId="629DC59B"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w:t>
            </w:r>
          </w:p>
        </w:tc>
        <w:tc>
          <w:tcPr>
            <w:tcW w:w="916" w:type="dxa"/>
            <w:tcBorders>
              <w:top w:val="nil"/>
              <w:left w:val="nil"/>
              <w:bottom w:val="nil"/>
              <w:right w:val="nil"/>
            </w:tcBorders>
            <w:shd w:val="clear" w:color="auto" w:fill="auto"/>
            <w:noWrap/>
            <w:vAlign w:val="bottom"/>
            <w:hideMark/>
          </w:tcPr>
          <w:p w14:paraId="07FF537F" w14:textId="59B2A36C"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w:t>
            </w:r>
          </w:p>
        </w:tc>
        <w:tc>
          <w:tcPr>
            <w:tcW w:w="916" w:type="dxa"/>
            <w:tcBorders>
              <w:top w:val="nil"/>
              <w:left w:val="nil"/>
              <w:bottom w:val="nil"/>
              <w:right w:val="nil"/>
            </w:tcBorders>
            <w:shd w:val="clear" w:color="auto" w:fill="auto"/>
            <w:noWrap/>
            <w:vAlign w:val="bottom"/>
            <w:hideMark/>
          </w:tcPr>
          <w:p w14:paraId="6932DC51" w14:textId="35345774"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w:t>
            </w:r>
          </w:p>
        </w:tc>
      </w:tr>
      <w:tr w:rsidR="00633D2B" w:rsidRPr="003D788E" w14:paraId="53595A25" w14:textId="77777777" w:rsidTr="00950536">
        <w:trPr>
          <w:trHeight w:val="204"/>
        </w:trPr>
        <w:tc>
          <w:tcPr>
            <w:tcW w:w="3120" w:type="dxa"/>
            <w:tcBorders>
              <w:top w:val="nil"/>
              <w:left w:val="nil"/>
              <w:bottom w:val="nil"/>
              <w:right w:val="nil"/>
            </w:tcBorders>
            <w:shd w:val="clear" w:color="auto" w:fill="auto"/>
            <w:noWrap/>
            <w:hideMark/>
          </w:tcPr>
          <w:p w14:paraId="751EA453" w14:textId="77777777" w:rsidR="00633D2B" w:rsidRPr="003D788E" w:rsidRDefault="00633D2B" w:rsidP="00633D2B">
            <w:pPr>
              <w:spacing w:after="0" w:line="240" w:lineRule="auto"/>
              <w:ind w:left="113"/>
              <w:jc w:val="left"/>
              <w:rPr>
                <w:rFonts w:ascii="Arial" w:hAnsi="Arial" w:cs="Arial"/>
                <w:sz w:val="16"/>
                <w:szCs w:val="16"/>
              </w:rPr>
            </w:pPr>
            <w:r w:rsidRPr="003D788E">
              <w:rPr>
                <w:rFonts w:ascii="Arial" w:hAnsi="Arial" w:cs="Arial"/>
                <w:sz w:val="16"/>
                <w:szCs w:val="16"/>
              </w:rPr>
              <w:t>Other expenses</w:t>
            </w:r>
          </w:p>
        </w:tc>
        <w:tc>
          <w:tcPr>
            <w:tcW w:w="916" w:type="dxa"/>
            <w:tcBorders>
              <w:top w:val="nil"/>
              <w:left w:val="nil"/>
              <w:bottom w:val="nil"/>
              <w:right w:val="nil"/>
            </w:tcBorders>
            <w:shd w:val="clear" w:color="auto" w:fill="auto"/>
            <w:noWrap/>
            <w:vAlign w:val="bottom"/>
            <w:hideMark/>
          </w:tcPr>
          <w:p w14:paraId="3392FFA3" w14:textId="340BC23A"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393</w:t>
            </w:r>
          </w:p>
        </w:tc>
        <w:tc>
          <w:tcPr>
            <w:tcW w:w="916" w:type="dxa"/>
            <w:tcBorders>
              <w:top w:val="nil"/>
              <w:left w:val="nil"/>
              <w:bottom w:val="nil"/>
              <w:right w:val="nil"/>
            </w:tcBorders>
            <w:shd w:val="clear" w:color="000000" w:fill="E6E6E6"/>
            <w:noWrap/>
            <w:vAlign w:val="bottom"/>
            <w:hideMark/>
          </w:tcPr>
          <w:p w14:paraId="2965D0E1" w14:textId="4226F0AE"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w:t>
            </w:r>
          </w:p>
        </w:tc>
        <w:tc>
          <w:tcPr>
            <w:tcW w:w="916" w:type="dxa"/>
            <w:tcBorders>
              <w:top w:val="nil"/>
              <w:left w:val="nil"/>
              <w:bottom w:val="nil"/>
              <w:right w:val="nil"/>
            </w:tcBorders>
            <w:shd w:val="clear" w:color="auto" w:fill="auto"/>
            <w:noWrap/>
            <w:vAlign w:val="bottom"/>
            <w:hideMark/>
          </w:tcPr>
          <w:p w14:paraId="420B1836" w14:textId="6AEC133B"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w:t>
            </w:r>
          </w:p>
        </w:tc>
        <w:tc>
          <w:tcPr>
            <w:tcW w:w="916" w:type="dxa"/>
            <w:tcBorders>
              <w:top w:val="nil"/>
              <w:left w:val="nil"/>
              <w:bottom w:val="nil"/>
              <w:right w:val="nil"/>
            </w:tcBorders>
            <w:shd w:val="clear" w:color="auto" w:fill="auto"/>
            <w:noWrap/>
            <w:vAlign w:val="bottom"/>
            <w:hideMark/>
          </w:tcPr>
          <w:p w14:paraId="3EACAC9B" w14:textId="7DAABE55"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w:t>
            </w:r>
          </w:p>
        </w:tc>
        <w:tc>
          <w:tcPr>
            <w:tcW w:w="916" w:type="dxa"/>
            <w:tcBorders>
              <w:top w:val="nil"/>
              <w:left w:val="nil"/>
              <w:bottom w:val="nil"/>
              <w:right w:val="nil"/>
            </w:tcBorders>
            <w:shd w:val="clear" w:color="auto" w:fill="auto"/>
            <w:noWrap/>
            <w:vAlign w:val="bottom"/>
            <w:hideMark/>
          </w:tcPr>
          <w:p w14:paraId="016679C0" w14:textId="1A54C57B"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w:t>
            </w:r>
          </w:p>
        </w:tc>
      </w:tr>
      <w:tr w:rsidR="00633D2B" w:rsidRPr="003D788E" w14:paraId="6101F354" w14:textId="77777777" w:rsidTr="00950536">
        <w:trPr>
          <w:trHeight w:val="204"/>
        </w:trPr>
        <w:tc>
          <w:tcPr>
            <w:tcW w:w="3120" w:type="dxa"/>
            <w:tcBorders>
              <w:top w:val="nil"/>
              <w:left w:val="nil"/>
              <w:bottom w:val="nil"/>
              <w:right w:val="nil"/>
            </w:tcBorders>
            <w:shd w:val="clear" w:color="auto" w:fill="auto"/>
            <w:noWrap/>
            <w:hideMark/>
          </w:tcPr>
          <w:p w14:paraId="25E41B68" w14:textId="77777777" w:rsidR="00633D2B" w:rsidRPr="003D788E" w:rsidRDefault="00633D2B" w:rsidP="00633D2B">
            <w:pPr>
              <w:spacing w:after="0" w:line="240" w:lineRule="auto"/>
              <w:jc w:val="left"/>
              <w:rPr>
                <w:rFonts w:ascii="Arial" w:hAnsi="Arial" w:cs="Arial"/>
                <w:b/>
                <w:bCs/>
                <w:sz w:val="16"/>
                <w:szCs w:val="16"/>
              </w:rPr>
            </w:pPr>
            <w:r w:rsidRPr="003D788E">
              <w:rPr>
                <w:rFonts w:ascii="Arial" w:hAnsi="Arial" w:cs="Arial"/>
                <w:b/>
                <w:bCs/>
                <w:sz w:val="16"/>
                <w:szCs w:val="16"/>
              </w:rPr>
              <w:t>Total expenses</w:t>
            </w:r>
          </w:p>
        </w:tc>
        <w:tc>
          <w:tcPr>
            <w:tcW w:w="916" w:type="dxa"/>
            <w:tcBorders>
              <w:top w:val="single" w:sz="4" w:space="0" w:color="auto"/>
              <w:left w:val="nil"/>
              <w:bottom w:val="single" w:sz="4" w:space="0" w:color="auto"/>
              <w:right w:val="nil"/>
            </w:tcBorders>
            <w:shd w:val="clear" w:color="auto" w:fill="auto"/>
            <w:noWrap/>
            <w:vAlign w:val="bottom"/>
            <w:hideMark/>
          </w:tcPr>
          <w:p w14:paraId="3AFC1B2E" w14:textId="4128CA3D"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376,826</w:t>
            </w:r>
          </w:p>
        </w:tc>
        <w:tc>
          <w:tcPr>
            <w:tcW w:w="916" w:type="dxa"/>
            <w:tcBorders>
              <w:top w:val="single" w:sz="4" w:space="0" w:color="auto"/>
              <w:left w:val="nil"/>
              <w:bottom w:val="single" w:sz="4" w:space="0" w:color="auto"/>
              <w:right w:val="nil"/>
            </w:tcBorders>
            <w:shd w:val="clear" w:color="000000" w:fill="E6E6E6"/>
            <w:noWrap/>
            <w:vAlign w:val="bottom"/>
            <w:hideMark/>
          </w:tcPr>
          <w:p w14:paraId="74AB889A" w14:textId="54E355BC"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444,175</w:t>
            </w:r>
          </w:p>
        </w:tc>
        <w:tc>
          <w:tcPr>
            <w:tcW w:w="916" w:type="dxa"/>
            <w:tcBorders>
              <w:top w:val="single" w:sz="4" w:space="0" w:color="auto"/>
              <w:left w:val="nil"/>
              <w:bottom w:val="single" w:sz="4" w:space="0" w:color="auto"/>
              <w:right w:val="nil"/>
            </w:tcBorders>
            <w:shd w:val="clear" w:color="auto" w:fill="auto"/>
            <w:noWrap/>
            <w:vAlign w:val="bottom"/>
            <w:hideMark/>
          </w:tcPr>
          <w:p w14:paraId="73A4746D" w14:textId="305CE364"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446,000</w:t>
            </w:r>
          </w:p>
        </w:tc>
        <w:tc>
          <w:tcPr>
            <w:tcW w:w="916" w:type="dxa"/>
            <w:tcBorders>
              <w:top w:val="single" w:sz="4" w:space="0" w:color="auto"/>
              <w:left w:val="nil"/>
              <w:bottom w:val="single" w:sz="4" w:space="0" w:color="auto"/>
              <w:right w:val="nil"/>
            </w:tcBorders>
            <w:shd w:val="clear" w:color="auto" w:fill="auto"/>
            <w:noWrap/>
            <w:vAlign w:val="bottom"/>
            <w:hideMark/>
          </w:tcPr>
          <w:p w14:paraId="07137CCD" w14:textId="768C41DA"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387,119</w:t>
            </w:r>
          </w:p>
        </w:tc>
        <w:tc>
          <w:tcPr>
            <w:tcW w:w="916" w:type="dxa"/>
            <w:tcBorders>
              <w:top w:val="single" w:sz="4" w:space="0" w:color="auto"/>
              <w:left w:val="nil"/>
              <w:bottom w:val="single" w:sz="4" w:space="0" w:color="auto"/>
              <w:right w:val="nil"/>
            </w:tcBorders>
            <w:shd w:val="clear" w:color="auto" w:fill="auto"/>
            <w:noWrap/>
            <w:vAlign w:val="bottom"/>
            <w:hideMark/>
          </w:tcPr>
          <w:p w14:paraId="11A77A0D" w14:textId="7DC72FD1"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341,849</w:t>
            </w:r>
          </w:p>
        </w:tc>
      </w:tr>
      <w:tr w:rsidR="00633D2B" w:rsidRPr="003D788E" w14:paraId="20365E97" w14:textId="77777777" w:rsidTr="00950536">
        <w:trPr>
          <w:trHeight w:val="204"/>
        </w:trPr>
        <w:tc>
          <w:tcPr>
            <w:tcW w:w="3120" w:type="dxa"/>
            <w:tcBorders>
              <w:top w:val="nil"/>
              <w:left w:val="nil"/>
              <w:bottom w:val="nil"/>
              <w:right w:val="nil"/>
            </w:tcBorders>
            <w:shd w:val="clear" w:color="auto" w:fill="auto"/>
            <w:noWrap/>
            <w:hideMark/>
          </w:tcPr>
          <w:p w14:paraId="22E0B69C" w14:textId="77777777" w:rsidR="00633D2B" w:rsidRPr="003D788E" w:rsidRDefault="00633D2B" w:rsidP="00633D2B">
            <w:pPr>
              <w:spacing w:after="0" w:line="240" w:lineRule="auto"/>
              <w:jc w:val="left"/>
              <w:rPr>
                <w:rFonts w:ascii="Arial" w:hAnsi="Arial" w:cs="Arial"/>
                <w:b/>
                <w:bCs/>
                <w:sz w:val="16"/>
                <w:szCs w:val="16"/>
              </w:rPr>
            </w:pPr>
            <w:r w:rsidRPr="003D788E">
              <w:rPr>
                <w:rFonts w:ascii="Arial" w:hAnsi="Arial" w:cs="Arial"/>
                <w:b/>
                <w:bCs/>
                <w:sz w:val="16"/>
                <w:szCs w:val="16"/>
              </w:rPr>
              <w:t xml:space="preserve">LESS: </w:t>
            </w:r>
          </w:p>
        </w:tc>
        <w:tc>
          <w:tcPr>
            <w:tcW w:w="916" w:type="dxa"/>
            <w:tcBorders>
              <w:top w:val="nil"/>
              <w:left w:val="nil"/>
              <w:bottom w:val="nil"/>
              <w:right w:val="nil"/>
            </w:tcBorders>
            <w:shd w:val="clear" w:color="auto" w:fill="auto"/>
            <w:noWrap/>
            <w:vAlign w:val="bottom"/>
            <w:hideMark/>
          </w:tcPr>
          <w:p w14:paraId="21CA3107" w14:textId="77777777" w:rsidR="00633D2B" w:rsidRPr="003D788E" w:rsidRDefault="00633D2B" w:rsidP="00633D2B">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000000" w:fill="E6E6E6"/>
            <w:noWrap/>
            <w:vAlign w:val="bottom"/>
            <w:hideMark/>
          </w:tcPr>
          <w:p w14:paraId="64C78F6A" w14:textId="5D826D38" w:rsidR="00633D2B" w:rsidRPr="003D788E" w:rsidRDefault="00633D2B" w:rsidP="00633D2B">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auto" w:fill="auto"/>
            <w:noWrap/>
            <w:vAlign w:val="bottom"/>
            <w:hideMark/>
          </w:tcPr>
          <w:p w14:paraId="56D5C659" w14:textId="77777777" w:rsidR="00633D2B" w:rsidRPr="003D788E" w:rsidRDefault="00633D2B" w:rsidP="00633D2B">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auto" w:fill="auto"/>
            <w:noWrap/>
            <w:vAlign w:val="bottom"/>
            <w:hideMark/>
          </w:tcPr>
          <w:p w14:paraId="6227334D" w14:textId="77777777" w:rsidR="00633D2B" w:rsidRPr="003D788E" w:rsidRDefault="00633D2B" w:rsidP="00633D2B">
            <w:pPr>
              <w:spacing w:after="0" w:line="240" w:lineRule="auto"/>
              <w:jc w:val="right"/>
              <w:rPr>
                <w:rFonts w:ascii="Times New Roman" w:hAnsi="Times New Roman"/>
              </w:rPr>
            </w:pPr>
          </w:p>
        </w:tc>
        <w:tc>
          <w:tcPr>
            <w:tcW w:w="916" w:type="dxa"/>
            <w:tcBorders>
              <w:top w:val="nil"/>
              <w:left w:val="nil"/>
              <w:bottom w:val="nil"/>
              <w:right w:val="nil"/>
            </w:tcBorders>
            <w:shd w:val="clear" w:color="auto" w:fill="auto"/>
            <w:noWrap/>
            <w:vAlign w:val="bottom"/>
            <w:hideMark/>
          </w:tcPr>
          <w:p w14:paraId="14E7EB30" w14:textId="77777777" w:rsidR="00633D2B" w:rsidRPr="003D788E" w:rsidRDefault="00633D2B" w:rsidP="00633D2B">
            <w:pPr>
              <w:spacing w:after="0" w:line="240" w:lineRule="auto"/>
              <w:jc w:val="right"/>
              <w:rPr>
                <w:rFonts w:ascii="Times New Roman" w:hAnsi="Times New Roman"/>
              </w:rPr>
            </w:pPr>
          </w:p>
        </w:tc>
      </w:tr>
      <w:tr w:rsidR="00633D2B" w:rsidRPr="003D788E" w14:paraId="0E256E3B" w14:textId="77777777" w:rsidTr="00950536">
        <w:trPr>
          <w:trHeight w:val="204"/>
        </w:trPr>
        <w:tc>
          <w:tcPr>
            <w:tcW w:w="3120" w:type="dxa"/>
            <w:tcBorders>
              <w:top w:val="nil"/>
              <w:left w:val="nil"/>
              <w:bottom w:val="nil"/>
              <w:right w:val="nil"/>
            </w:tcBorders>
            <w:shd w:val="clear" w:color="auto" w:fill="auto"/>
            <w:noWrap/>
            <w:hideMark/>
          </w:tcPr>
          <w:p w14:paraId="60D78BA3" w14:textId="77777777" w:rsidR="00633D2B" w:rsidRPr="003D788E" w:rsidRDefault="00633D2B" w:rsidP="00633D2B">
            <w:pPr>
              <w:spacing w:after="0" w:line="240" w:lineRule="auto"/>
              <w:jc w:val="left"/>
              <w:rPr>
                <w:rFonts w:ascii="Arial" w:hAnsi="Arial" w:cs="Arial"/>
                <w:b/>
                <w:bCs/>
                <w:sz w:val="16"/>
                <w:szCs w:val="16"/>
              </w:rPr>
            </w:pPr>
            <w:r w:rsidRPr="003D788E">
              <w:rPr>
                <w:rFonts w:ascii="Arial" w:hAnsi="Arial" w:cs="Arial"/>
                <w:b/>
                <w:bCs/>
                <w:sz w:val="16"/>
                <w:szCs w:val="16"/>
              </w:rPr>
              <w:t>OWN-SOURCE INCOME</w:t>
            </w:r>
          </w:p>
        </w:tc>
        <w:tc>
          <w:tcPr>
            <w:tcW w:w="916" w:type="dxa"/>
            <w:tcBorders>
              <w:top w:val="nil"/>
              <w:left w:val="nil"/>
              <w:bottom w:val="nil"/>
              <w:right w:val="nil"/>
            </w:tcBorders>
            <w:shd w:val="clear" w:color="auto" w:fill="auto"/>
            <w:noWrap/>
            <w:vAlign w:val="bottom"/>
            <w:hideMark/>
          </w:tcPr>
          <w:p w14:paraId="4814E2AD" w14:textId="77777777" w:rsidR="00633D2B" w:rsidRPr="003D788E" w:rsidRDefault="00633D2B" w:rsidP="00633D2B">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000000" w:fill="E6E6E6"/>
            <w:noWrap/>
            <w:vAlign w:val="bottom"/>
            <w:hideMark/>
          </w:tcPr>
          <w:p w14:paraId="6448E75A" w14:textId="6FA4E6C4" w:rsidR="00633D2B" w:rsidRPr="003D788E" w:rsidRDefault="00633D2B" w:rsidP="00633D2B">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auto" w:fill="auto"/>
            <w:noWrap/>
            <w:vAlign w:val="bottom"/>
            <w:hideMark/>
          </w:tcPr>
          <w:p w14:paraId="5BE06619" w14:textId="77777777" w:rsidR="00633D2B" w:rsidRPr="003D788E" w:rsidRDefault="00633D2B" w:rsidP="00633D2B">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auto" w:fill="auto"/>
            <w:noWrap/>
            <w:vAlign w:val="bottom"/>
            <w:hideMark/>
          </w:tcPr>
          <w:p w14:paraId="4AB9B754" w14:textId="77777777" w:rsidR="00633D2B" w:rsidRPr="003D788E" w:rsidRDefault="00633D2B" w:rsidP="00633D2B">
            <w:pPr>
              <w:spacing w:after="0" w:line="240" w:lineRule="auto"/>
              <w:jc w:val="right"/>
              <w:rPr>
                <w:rFonts w:ascii="Times New Roman" w:hAnsi="Times New Roman"/>
              </w:rPr>
            </w:pPr>
          </w:p>
        </w:tc>
        <w:tc>
          <w:tcPr>
            <w:tcW w:w="916" w:type="dxa"/>
            <w:tcBorders>
              <w:top w:val="nil"/>
              <w:left w:val="nil"/>
              <w:bottom w:val="nil"/>
              <w:right w:val="nil"/>
            </w:tcBorders>
            <w:shd w:val="clear" w:color="auto" w:fill="auto"/>
            <w:noWrap/>
            <w:vAlign w:val="bottom"/>
            <w:hideMark/>
          </w:tcPr>
          <w:p w14:paraId="51BB0115" w14:textId="77777777" w:rsidR="00633D2B" w:rsidRPr="003D788E" w:rsidRDefault="00633D2B" w:rsidP="00633D2B">
            <w:pPr>
              <w:spacing w:after="0" w:line="240" w:lineRule="auto"/>
              <w:jc w:val="right"/>
              <w:rPr>
                <w:rFonts w:ascii="Times New Roman" w:hAnsi="Times New Roman"/>
              </w:rPr>
            </w:pPr>
          </w:p>
        </w:tc>
      </w:tr>
      <w:tr w:rsidR="00633D2B" w:rsidRPr="003D788E" w14:paraId="7F593239" w14:textId="77777777" w:rsidTr="00950536">
        <w:trPr>
          <w:trHeight w:val="204"/>
        </w:trPr>
        <w:tc>
          <w:tcPr>
            <w:tcW w:w="3120" w:type="dxa"/>
            <w:tcBorders>
              <w:top w:val="nil"/>
              <w:left w:val="nil"/>
              <w:bottom w:val="nil"/>
              <w:right w:val="nil"/>
            </w:tcBorders>
            <w:shd w:val="clear" w:color="auto" w:fill="auto"/>
            <w:noWrap/>
            <w:hideMark/>
          </w:tcPr>
          <w:p w14:paraId="4D027A9D" w14:textId="77777777" w:rsidR="00633D2B" w:rsidRPr="003D788E" w:rsidRDefault="00633D2B" w:rsidP="00633D2B">
            <w:pPr>
              <w:spacing w:after="0" w:line="240" w:lineRule="auto"/>
              <w:ind w:left="113"/>
              <w:jc w:val="left"/>
              <w:rPr>
                <w:rFonts w:ascii="Arial" w:hAnsi="Arial" w:cs="Arial"/>
                <w:b/>
                <w:bCs/>
                <w:sz w:val="16"/>
                <w:szCs w:val="16"/>
              </w:rPr>
            </w:pPr>
            <w:r w:rsidRPr="003D788E">
              <w:rPr>
                <w:rFonts w:ascii="Arial" w:hAnsi="Arial" w:cs="Arial"/>
                <w:b/>
                <w:bCs/>
                <w:sz w:val="16"/>
                <w:szCs w:val="16"/>
              </w:rPr>
              <w:t>Own-source revenue</w:t>
            </w:r>
          </w:p>
        </w:tc>
        <w:tc>
          <w:tcPr>
            <w:tcW w:w="916" w:type="dxa"/>
            <w:tcBorders>
              <w:top w:val="nil"/>
              <w:left w:val="nil"/>
              <w:bottom w:val="nil"/>
              <w:right w:val="nil"/>
            </w:tcBorders>
            <w:shd w:val="clear" w:color="auto" w:fill="auto"/>
            <w:noWrap/>
            <w:vAlign w:val="bottom"/>
            <w:hideMark/>
          </w:tcPr>
          <w:p w14:paraId="7326C72D" w14:textId="77777777" w:rsidR="00633D2B" w:rsidRPr="003D788E" w:rsidRDefault="00633D2B" w:rsidP="00633D2B">
            <w:pPr>
              <w:spacing w:after="0" w:line="240" w:lineRule="auto"/>
              <w:ind w:firstLineChars="100" w:firstLine="160"/>
              <w:jc w:val="right"/>
              <w:rPr>
                <w:rFonts w:ascii="Arial" w:hAnsi="Arial" w:cs="Arial"/>
                <w:b/>
                <w:bCs/>
                <w:sz w:val="16"/>
                <w:szCs w:val="16"/>
              </w:rPr>
            </w:pPr>
          </w:p>
        </w:tc>
        <w:tc>
          <w:tcPr>
            <w:tcW w:w="916" w:type="dxa"/>
            <w:tcBorders>
              <w:top w:val="nil"/>
              <w:left w:val="nil"/>
              <w:bottom w:val="nil"/>
              <w:right w:val="nil"/>
            </w:tcBorders>
            <w:shd w:val="clear" w:color="000000" w:fill="E6E6E6"/>
            <w:noWrap/>
            <w:vAlign w:val="bottom"/>
            <w:hideMark/>
          </w:tcPr>
          <w:p w14:paraId="31B40A00" w14:textId="2435DCD9" w:rsidR="00633D2B" w:rsidRPr="003D788E" w:rsidRDefault="00633D2B" w:rsidP="00633D2B">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auto" w:fill="auto"/>
            <w:noWrap/>
            <w:vAlign w:val="bottom"/>
            <w:hideMark/>
          </w:tcPr>
          <w:p w14:paraId="62F07731" w14:textId="77777777" w:rsidR="00633D2B" w:rsidRPr="003D788E" w:rsidRDefault="00633D2B" w:rsidP="00633D2B">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auto" w:fill="auto"/>
            <w:noWrap/>
            <w:vAlign w:val="bottom"/>
            <w:hideMark/>
          </w:tcPr>
          <w:p w14:paraId="3E1980CC" w14:textId="77777777" w:rsidR="00633D2B" w:rsidRPr="003D788E" w:rsidRDefault="00633D2B" w:rsidP="00633D2B">
            <w:pPr>
              <w:spacing w:after="0" w:line="240" w:lineRule="auto"/>
              <w:jc w:val="right"/>
              <w:rPr>
                <w:rFonts w:ascii="Times New Roman" w:hAnsi="Times New Roman"/>
              </w:rPr>
            </w:pPr>
          </w:p>
        </w:tc>
        <w:tc>
          <w:tcPr>
            <w:tcW w:w="916" w:type="dxa"/>
            <w:tcBorders>
              <w:top w:val="nil"/>
              <w:left w:val="nil"/>
              <w:bottom w:val="nil"/>
              <w:right w:val="nil"/>
            </w:tcBorders>
            <w:shd w:val="clear" w:color="auto" w:fill="auto"/>
            <w:noWrap/>
            <w:vAlign w:val="bottom"/>
            <w:hideMark/>
          </w:tcPr>
          <w:p w14:paraId="736EDE75" w14:textId="77777777" w:rsidR="00633D2B" w:rsidRPr="003D788E" w:rsidRDefault="00633D2B" w:rsidP="00633D2B">
            <w:pPr>
              <w:spacing w:after="0" w:line="240" w:lineRule="auto"/>
              <w:jc w:val="right"/>
              <w:rPr>
                <w:rFonts w:ascii="Times New Roman" w:hAnsi="Times New Roman"/>
              </w:rPr>
            </w:pPr>
          </w:p>
        </w:tc>
      </w:tr>
      <w:tr w:rsidR="00633D2B" w:rsidRPr="003D788E" w14:paraId="1DE1C9BF" w14:textId="77777777" w:rsidTr="00950536">
        <w:trPr>
          <w:trHeight w:val="204"/>
        </w:trPr>
        <w:tc>
          <w:tcPr>
            <w:tcW w:w="3120" w:type="dxa"/>
            <w:tcBorders>
              <w:top w:val="nil"/>
              <w:left w:val="nil"/>
              <w:bottom w:val="nil"/>
              <w:right w:val="nil"/>
            </w:tcBorders>
            <w:shd w:val="clear" w:color="auto" w:fill="auto"/>
            <w:noWrap/>
            <w:hideMark/>
          </w:tcPr>
          <w:p w14:paraId="1BE8C180" w14:textId="77777777" w:rsidR="00633D2B" w:rsidRPr="003D788E" w:rsidRDefault="00633D2B" w:rsidP="00633D2B">
            <w:pPr>
              <w:spacing w:after="0" w:line="240" w:lineRule="auto"/>
              <w:ind w:left="113"/>
              <w:jc w:val="left"/>
              <w:rPr>
                <w:rFonts w:ascii="Arial" w:hAnsi="Arial" w:cs="Arial"/>
                <w:sz w:val="16"/>
                <w:szCs w:val="16"/>
              </w:rPr>
            </w:pPr>
            <w:r w:rsidRPr="003D788E">
              <w:rPr>
                <w:rFonts w:ascii="Arial" w:hAnsi="Arial" w:cs="Arial"/>
                <w:sz w:val="16"/>
                <w:szCs w:val="16"/>
              </w:rPr>
              <w:t>Revenue from contracts with customers</w:t>
            </w:r>
          </w:p>
        </w:tc>
        <w:tc>
          <w:tcPr>
            <w:tcW w:w="916" w:type="dxa"/>
            <w:tcBorders>
              <w:top w:val="nil"/>
              <w:left w:val="nil"/>
              <w:bottom w:val="nil"/>
              <w:right w:val="nil"/>
            </w:tcBorders>
            <w:shd w:val="clear" w:color="auto" w:fill="auto"/>
            <w:noWrap/>
            <w:vAlign w:val="bottom"/>
            <w:hideMark/>
          </w:tcPr>
          <w:p w14:paraId="4B540AAA" w14:textId="41663D2F"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6,588</w:t>
            </w:r>
          </w:p>
        </w:tc>
        <w:tc>
          <w:tcPr>
            <w:tcW w:w="916" w:type="dxa"/>
            <w:tcBorders>
              <w:top w:val="nil"/>
              <w:left w:val="nil"/>
              <w:bottom w:val="nil"/>
              <w:right w:val="nil"/>
            </w:tcBorders>
            <w:shd w:val="clear" w:color="000000" w:fill="E6E6E6"/>
            <w:noWrap/>
            <w:vAlign w:val="bottom"/>
            <w:hideMark/>
          </w:tcPr>
          <w:p w14:paraId="7229FA51" w14:textId="0A461170"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3,707</w:t>
            </w:r>
          </w:p>
        </w:tc>
        <w:tc>
          <w:tcPr>
            <w:tcW w:w="916" w:type="dxa"/>
            <w:tcBorders>
              <w:top w:val="nil"/>
              <w:left w:val="nil"/>
              <w:bottom w:val="nil"/>
              <w:right w:val="nil"/>
            </w:tcBorders>
            <w:shd w:val="clear" w:color="auto" w:fill="auto"/>
            <w:noWrap/>
            <w:vAlign w:val="bottom"/>
            <w:hideMark/>
          </w:tcPr>
          <w:p w14:paraId="4F74D81B" w14:textId="3D17B59A"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3,780</w:t>
            </w:r>
          </w:p>
        </w:tc>
        <w:tc>
          <w:tcPr>
            <w:tcW w:w="916" w:type="dxa"/>
            <w:tcBorders>
              <w:top w:val="nil"/>
              <w:left w:val="nil"/>
              <w:bottom w:val="nil"/>
              <w:right w:val="nil"/>
            </w:tcBorders>
            <w:shd w:val="clear" w:color="auto" w:fill="auto"/>
            <w:noWrap/>
            <w:vAlign w:val="bottom"/>
            <w:hideMark/>
          </w:tcPr>
          <w:p w14:paraId="50936630" w14:textId="519EAC76"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3,780</w:t>
            </w:r>
          </w:p>
        </w:tc>
        <w:tc>
          <w:tcPr>
            <w:tcW w:w="916" w:type="dxa"/>
            <w:tcBorders>
              <w:top w:val="nil"/>
              <w:left w:val="nil"/>
              <w:bottom w:val="nil"/>
              <w:right w:val="nil"/>
            </w:tcBorders>
            <w:shd w:val="clear" w:color="auto" w:fill="auto"/>
            <w:noWrap/>
            <w:vAlign w:val="bottom"/>
            <w:hideMark/>
          </w:tcPr>
          <w:p w14:paraId="41C42C3C" w14:textId="4F4B0AB3" w:rsidR="00633D2B" w:rsidRPr="003D788E" w:rsidRDefault="00633D2B" w:rsidP="00633D2B">
            <w:pPr>
              <w:spacing w:after="0" w:line="240" w:lineRule="auto"/>
              <w:jc w:val="right"/>
              <w:rPr>
                <w:rFonts w:ascii="Arial" w:hAnsi="Arial" w:cs="Arial"/>
                <w:b/>
                <w:bCs/>
                <w:sz w:val="16"/>
                <w:szCs w:val="16"/>
              </w:rPr>
            </w:pPr>
            <w:r>
              <w:rPr>
                <w:rFonts w:ascii="Arial" w:hAnsi="Arial" w:cs="Arial"/>
                <w:sz w:val="16"/>
                <w:szCs w:val="16"/>
              </w:rPr>
              <w:t>3,780</w:t>
            </w:r>
          </w:p>
        </w:tc>
      </w:tr>
      <w:tr w:rsidR="00633D2B" w:rsidRPr="003D788E" w14:paraId="3CD1844C" w14:textId="77777777" w:rsidTr="00950536">
        <w:trPr>
          <w:trHeight w:val="204"/>
        </w:trPr>
        <w:tc>
          <w:tcPr>
            <w:tcW w:w="3120" w:type="dxa"/>
            <w:tcBorders>
              <w:top w:val="nil"/>
              <w:left w:val="nil"/>
              <w:bottom w:val="nil"/>
              <w:right w:val="nil"/>
            </w:tcBorders>
            <w:shd w:val="clear" w:color="auto" w:fill="auto"/>
            <w:noWrap/>
            <w:hideMark/>
          </w:tcPr>
          <w:p w14:paraId="7A0576F4" w14:textId="77777777" w:rsidR="00633D2B" w:rsidRPr="003D788E" w:rsidRDefault="00633D2B" w:rsidP="00633D2B">
            <w:pPr>
              <w:spacing w:after="0" w:line="240" w:lineRule="auto"/>
              <w:ind w:left="113"/>
              <w:jc w:val="left"/>
              <w:rPr>
                <w:rFonts w:ascii="Arial" w:hAnsi="Arial" w:cs="Arial"/>
                <w:sz w:val="16"/>
                <w:szCs w:val="16"/>
              </w:rPr>
            </w:pPr>
            <w:r w:rsidRPr="003D788E">
              <w:rPr>
                <w:rFonts w:ascii="Arial" w:hAnsi="Arial" w:cs="Arial"/>
                <w:sz w:val="16"/>
                <w:szCs w:val="16"/>
              </w:rPr>
              <w:t>Rental income</w:t>
            </w:r>
          </w:p>
        </w:tc>
        <w:tc>
          <w:tcPr>
            <w:tcW w:w="916" w:type="dxa"/>
            <w:tcBorders>
              <w:top w:val="nil"/>
              <w:left w:val="nil"/>
              <w:bottom w:val="nil"/>
              <w:right w:val="nil"/>
            </w:tcBorders>
            <w:shd w:val="clear" w:color="auto" w:fill="auto"/>
            <w:noWrap/>
            <w:vAlign w:val="bottom"/>
            <w:hideMark/>
          </w:tcPr>
          <w:p w14:paraId="3EB1754A" w14:textId="0CE65B15"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6,366</w:t>
            </w:r>
          </w:p>
        </w:tc>
        <w:tc>
          <w:tcPr>
            <w:tcW w:w="916" w:type="dxa"/>
            <w:tcBorders>
              <w:top w:val="nil"/>
              <w:left w:val="nil"/>
              <w:bottom w:val="nil"/>
              <w:right w:val="nil"/>
            </w:tcBorders>
            <w:shd w:val="clear" w:color="000000" w:fill="E6E6E6"/>
            <w:noWrap/>
            <w:vAlign w:val="bottom"/>
            <w:hideMark/>
          </w:tcPr>
          <w:p w14:paraId="38ED5B18" w14:textId="7C40F73D"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5,154</w:t>
            </w:r>
          </w:p>
        </w:tc>
        <w:tc>
          <w:tcPr>
            <w:tcW w:w="916" w:type="dxa"/>
            <w:tcBorders>
              <w:top w:val="nil"/>
              <w:left w:val="nil"/>
              <w:bottom w:val="nil"/>
              <w:right w:val="nil"/>
            </w:tcBorders>
            <w:shd w:val="clear" w:color="auto" w:fill="auto"/>
            <w:noWrap/>
            <w:vAlign w:val="bottom"/>
            <w:hideMark/>
          </w:tcPr>
          <w:p w14:paraId="04CC7EF0" w14:textId="6359CB5B"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5,154</w:t>
            </w:r>
          </w:p>
        </w:tc>
        <w:tc>
          <w:tcPr>
            <w:tcW w:w="916" w:type="dxa"/>
            <w:tcBorders>
              <w:top w:val="nil"/>
              <w:left w:val="nil"/>
              <w:bottom w:val="nil"/>
              <w:right w:val="nil"/>
            </w:tcBorders>
            <w:shd w:val="clear" w:color="auto" w:fill="auto"/>
            <w:noWrap/>
            <w:vAlign w:val="bottom"/>
            <w:hideMark/>
          </w:tcPr>
          <w:p w14:paraId="342E8126" w14:textId="06DB46FE"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5,154</w:t>
            </w:r>
          </w:p>
        </w:tc>
        <w:tc>
          <w:tcPr>
            <w:tcW w:w="916" w:type="dxa"/>
            <w:tcBorders>
              <w:top w:val="nil"/>
              <w:left w:val="nil"/>
              <w:bottom w:val="nil"/>
              <w:right w:val="nil"/>
            </w:tcBorders>
            <w:shd w:val="clear" w:color="auto" w:fill="auto"/>
            <w:noWrap/>
            <w:vAlign w:val="bottom"/>
            <w:hideMark/>
          </w:tcPr>
          <w:p w14:paraId="771D5EFA" w14:textId="253F2517"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5,154</w:t>
            </w:r>
          </w:p>
        </w:tc>
      </w:tr>
      <w:tr w:rsidR="00633D2B" w:rsidRPr="003D788E" w14:paraId="3BC310A2" w14:textId="77777777" w:rsidTr="00950536">
        <w:trPr>
          <w:trHeight w:val="204"/>
        </w:trPr>
        <w:tc>
          <w:tcPr>
            <w:tcW w:w="3120" w:type="dxa"/>
            <w:tcBorders>
              <w:top w:val="nil"/>
              <w:left w:val="nil"/>
              <w:bottom w:val="nil"/>
              <w:right w:val="nil"/>
            </w:tcBorders>
            <w:shd w:val="clear" w:color="auto" w:fill="auto"/>
            <w:noWrap/>
            <w:hideMark/>
          </w:tcPr>
          <w:p w14:paraId="4CCD2B9B" w14:textId="77777777" w:rsidR="00633D2B" w:rsidRPr="003D788E" w:rsidRDefault="00633D2B" w:rsidP="00102378">
            <w:pPr>
              <w:spacing w:after="0" w:line="240" w:lineRule="auto"/>
              <w:ind w:left="113"/>
              <w:jc w:val="left"/>
              <w:rPr>
                <w:rFonts w:ascii="Arial" w:hAnsi="Arial" w:cs="Arial"/>
                <w:sz w:val="16"/>
                <w:szCs w:val="16"/>
              </w:rPr>
            </w:pPr>
            <w:r w:rsidRPr="003D788E">
              <w:rPr>
                <w:rFonts w:ascii="Arial" w:hAnsi="Arial" w:cs="Arial"/>
                <w:sz w:val="16"/>
                <w:szCs w:val="16"/>
              </w:rPr>
              <w:t>Other revenue</w:t>
            </w:r>
          </w:p>
        </w:tc>
        <w:tc>
          <w:tcPr>
            <w:tcW w:w="916" w:type="dxa"/>
            <w:tcBorders>
              <w:top w:val="nil"/>
              <w:left w:val="nil"/>
              <w:bottom w:val="nil"/>
              <w:right w:val="nil"/>
            </w:tcBorders>
            <w:shd w:val="clear" w:color="auto" w:fill="auto"/>
            <w:noWrap/>
            <w:vAlign w:val="bottom"/>
            <w:hideMark/>
          </w:tcPr>
          <w:p w14:paraId="760EA489" w14:textId="027E9A48"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3,317</w:t>
            </w:r>
          </w:p>
        </w:tc>
        <w:tc>
          <w:tcPr>
            <w:tcW w:w="916" w:type="dxa"/>
            <w:tcBorders>
              <w:top w:val="nil"/>
              <w:left w:val="nil"/>
              <w:bottom w:val="nil"/>
              <w:right w:val="nil"/>
            </w:tcBorders>
            <w:shd w:val="clear" w:color="000000" w:fill="E6E6E6"/>
            <w:noWrap/>
            <w:vAlign w:val="bottom"/>
            <w:hideMark/>
          </w:tcPr>
          <w:p w14:paraId="2ACB03B2" w14:textId="4DF1751A"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2,432</w:t>
            </w:r>
          </w:p>
        </w:tc>
        <w:tc>
          <w:tcPr>
            <w:tcW w:w="916" w:type="dxa"/>
            <w:tcBorders>
              <w:top w:val="nil"/>
              <w:left w:val="nil"/>
              <w:bottom w:val="nil"/>
              <w:right w:val="nil"/>
            </w:tcBorders>
            <w:shd w:val="clear" w:color="auto" w:fill="auto"/>
            <w:noWrap/>
            <w:vAlign w:val="bottom"/>
            <w:hideMark/>
          </w:tcPr>
          <w:p w14:paraId="49599B1B" w14:textId="43264216"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1,895</w:t>
            </w:r>
          </w:p>
        </w:tc>
        <w:tc>
          <w:tcPr>
            <w:tcW w:w="916" w:type="dxa"/>
            <w:tcBorders>
              <w:top w:val="nil"/>
              <w:left w:val="nil"/>
              <w:bottom w:val="nil"/>
              <w:right w:val="nil"/>
            </w:tcBorders>
            <w:shd w:val="clear" w:color="auto" w:fill="auto"/>
            <w:noWrap/>
            <w:vAlign w:val="bottom"/>
            <w:hideMark/>
          </w:tcPr>
          <w:p w14:paraId="0DA033AD" w14:textId="2DC21618"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3,022</w:t>
            </w:r>
          </w:p>
        </w:tc>
        <w:tc>
          <w:tcPr>
            <w:tcW w:w="916" w:type="dxa"/>
            <w:tcBorders>
              <w:top w:val="nil"/>
              <w:left w:val="nil"/>
              <w:bottom w:val="nil"/>
              <w:right w:val="nil"/>
            </w:tcBorders>
            <w:shd w:val="clear" w:color="auto" w:fill="auto"/>
            <w:noWrap/>
            <w:vAlign w:val="bottom"/>
            <w:hideMark/>
          </w:tcPr>
          <w:p w14:paraId="55EB37A8" w14:textId="09D650DE"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3,022</w:t>
            </w:r>
          </w:p>
        </w:tc>
      </w:tr>
      <w:tr w:rsidR="00633D2B" w:rsidRPr="003D788E" w14:paraId="5813378D" w14:textId="77777777" w:rsidTr="00950536">
        <w:trPr>
          <w:trHeight w:val="204"/>
        </w:trPr>
        <w:tc>
          <w:tcPr>
            <w:tcW w:w="3120" w:type="dxa"/>
            <w:tcBorders>
              <w:top w:val="nil"/>
              <w:left w:val="nil"/>
              <w:bottom w:val="nil"/>
              <w:right w:val="nil"/>
            </w:tcBorders>
            <w:shd w:val="clear" w:color="auto" w:fill="auto"/>
            <w:noWrap/>
            <w:hideMark/>
          </w:tcPr>
          <w:p w14:paraId="4561E035" w14:textId="77777777" w:rsidR="00633D2B" w:rsidRPr="003D788E" w:rsidRDefault="00633D2B" w:rsidP="00633D2B">
            <w:pPr>
              <w:spacing w:after="0" w:line="240" w:lineRule="auto"/>
              <w:ind w:left="113"/>
              <w:jc w:val="left"/>
              <w:rPr>
                <w:rFonts w:ascii="Arial" w:hAnsi="Arial" w:cs="Arial"/>
                <w:b/>
                <w:bCs/>
                <w:sz w:val="16"/>
                <w:szCs w:val="16"/>
              </w:rPr>
            </w:pPr>
            <w:r w:rsidRPr="003D788E">
              <w:rPr>
                <w:rFonts w:ascii="Arial" w:hAnsi="Arial" w:cs="Arial"/>
                <w:b/>
                <w:bCs/>
                <w:sz w:val="16"/>
                <w:szCs w:val="16"/>
              </w:rPr>
              <w:t>Total own-source revenue</w:t>
            </w:r>
          </w:p>
        </w:tc>
        <w:tc>
          <w:tcPr>
            <w:tcW w:w="916" w:type="dxa"/>
            <w:tcBorders>
              <w:top w:val="single" w:sz="4" w:space="0" w:color="auto"/>
              <w:left w:val="nil"/>
              <w:bottom w:val="single" w:sz="4" w:space="0" w:color="auto"/>
              <w:right w:val="nil"/>
            </w:tcBorders>
            <w:shd w:val="clear" w:color="auto" w:fill="auto"/>
            <w:noWrap/>
            <w:vAlign w:val="bottom"/>
            <w:hideMark/>
          </w:tcPr>
          <w:p w14:paraId="56E3246C" w14:textId="7DE90653"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16,271</w:t>
            </w:r>
          </w:p>
        </w:tc>
        <w:tc>
          <w:tcPr>
            <w:tcW w:w="916" w:type="dxa"/>
            <w:tcBorders>
              <w:top w:val="single" w:sz="4" w:space="0" w:color="auto"/>
              <w:left w:val="nil"/>
              <w:bottom w:val="single" w:sz="4" w:space="0" w:color="auto"/>
              <w:right w:val="nil"/>
            </w:tcBorders>
            <w:shd w:val="clear" w:color="000000" w:fill="E6E6E6"/>
            <w:noWrap/>
            <w:vAlign w:val="bottom"/>
            <w:hideMark/>
          </w:tcPr>
          <w:p w14:paraId="62F934E6" w14:textId="6FA48866"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11,293</w:t>
            </w:r>
          </w:p>
        </w:tc>
        <w:tc>
          <w:tcPr>
            <w:tcW w:w="916" w:type="dxa"/>
            <w:tcBorders>
              <w:top w:val="single" w:sz="4" w:space="0" w:color="auto"/>
              <w:left w:val="nil"/>
              <w:bottom w:val="single" w:sz="4" w:space="0" w:color="auto"/>
              <w:right w:val="nil"/>
            </w:tcBorders>
            <w:shd w:val="clear" w:color="auto" w:fill="auto"/>
            <w:noWrap/>
            <w:vAlign w:val="bottom"/>
            <w:hideMark/>
          </w:tcPr>
          <w:p w14:paraId="0D6F4A74" w14:textId="1611A0C7"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10,829</w:t>
            </w:r>
          </w:p>
        </w:tc>
        <w:tc>
          <w:tcPr>
            <w:tcW w:w="916" w:type="dxa"/>
            <w:tcBorders>
              <w:top w:val="single" w:sz="4" w:space="0" w:color="auto"/>
              <w:left w:val="nil"/>
              <w:bottom w:val="single" w:sz="4" w:space="0" w:color="auto"/>
              <w:right w:val="nil"/>
            </w:tcBorders>
            <w:shd w:val="clear" w:color="auto" w:fill="auto"/>
            <w:noWrap/>
            <w:vAlign w:val="bottom"/>
            <w:hideMark/>
          </w:tcPr>
          <w:p w14:paraId="0187F107" w14:textId="3D519F2D"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11,956</w:t>
            </w:r>
          </w:p>
        </w:tc>
        <w:tc>
          <w:tcPr>
            <w:tcW w:w="916" w:type="dxa"/>
            <w:tcBorders>
              <w:top w:val="single" w:sz="4" w:space="0" w:color="auto"/>
              <w:left w:val="nil"/>
              <w:bottom w:val="single" w:sz="4" w:space="0" w:color="auto"/>
              <w:right w:val="nil"/>
            </w:tcBorders>
            <w:shd w:val="clear" w:color="auto" w:fill="auto"/>
            <w:noWrap/>
            <w:vAlign w:val="bottom"/>
            <w:hideMark/>
          </w:tcPr>
          <w:p w14:paraId="57364573" w14:textId="7F54539E"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11,956</w:t>
            </w:r>
          </w:p>
        </w:tc>
      </w:tr>
      <w:tr w:rsidR="00633D2B" w:rsidRPr="003D788E" w14:paraId="6CAAB19F" w14:textId="77777777" w:rsidTr="00950536">
        <w:trPr>
          <w:trHeight w:val="204"/>
        </w:trPr>
        <w:tc>
          <w:tcPr>
            <w:tcW w:w="3120" w:type="dxa"/>
            <w:tcBorders>
              <w:top w:val="nil"/>
              <w:left w:val="nil"/>
              <w:bottom w:val="nil"/>
              <w:right w:val="nil"/>
            </w:tcBorders>
            <w:shd w:val="clear" w:color="auto" w:fill="auto"/>
            <w:noWrap/>
            <w:hideMark/>
          </w:tcPr>
          <w:p w14:paraId="7446FB4E" w14:textId="77777777" w:rsidR="00633D2B" w:rsidRPr="003D788E" w:rsidRDefault="00633D2B" w:rsidP="00633D2B">
            <w:pPr>
              <w:spacing w:after="0" w:line="240" w:lineRule="auto"/>
              <w:ind w:firstLineChars="100" w:firstLine="160"/>
              <w:jc w:val="left"/>
              <w:rPr>
                <w:rFonts w:ascii="Arial" w:hAnsi="Arial" w:cs="Arial"/>
                <w:b/>
                <w:bCs/>
                <w:sz w:val="16"/>
                <w:szCs w:val="16"/>
              </w:rPr>
            </w:pPr>
            <w:r w:rsidRPr="003D788E">
              <w:rPr>
                <w:rFonts w:ascii="Arial" w:hAnsi="Arial" w:cs="Arial"/>
                <w:b/>
                <w:bCs/>
                <w:sz w:val="16"/>
                <w:szCs w:val="16"/>
              </w:rPr>
              <w:t>Gains</w:t>
            </w:r>
          </w:p>
        </w:tc>
        <w:tc>
          <w:tcPr>
            <w:tcW w:w="916" w:type="dxa"/>
            <w:tcBorders>
              <w:top w:val="nil"/>
              <w:left w:val="nil"/>
              <w:bottom w:val="nil"/>
              <w:right w:val="nil"/>
            </w:tcBorders>
            <w:shd w:val="clear" w:color="auto" w:fill="auto"/>
            <w:noWrap/>
            <w:vAlign w:val="bottom"/>
            <w:hideMark/>
          </w:tcPr>
          <w:p w14:paraId="6223CC6E" w14:textId="77777777" w:rsidR="00633D2B" w:rsidRPr="003D788E" w:rsidRDefault="00633D2B" w:rsidP="00633D2B">
            <w:pPr>
              <w:spacing w:after="0" w:line="240" w:lineRule="auto"/>
              <w:ind w:firstLineChars="100" w:firstLine="160"/>
              <w:jc w:val="right"/>
              <w:rPr>
                <w:rFonts w:ascii="Arial" w:hAnsi="Arial" w:cs="Arial"/>
                <w:b/>
                <w:bCs/>
                <w:sz w:val="16"/>
                <w:szCs w:val="16"/>
              </w:rPr>
            </w:pPr>
          </w:p>
        </w:tc>
        <w:tc>
          <w:tcPr>
            <w:tcW w:w="916" w:type="dxa"/>
            <w:tcBorders>
              <w:top w:val="nil"/>
              <w:left w:val="nil"/>
              <w:bottom w:val="nil"/>
              <w:right w:val="nil"/>
            </w:tcBorders>
            <w:shd w:val="clear" w:color="000000" w:fill="E6E6E6"/>
            <w:noWrap/>
            <w:vAlign w:val="bottom"/>
            <w:hideMark/>
          </w:tcPr>
          <w:p w14:paraId="126683C9" w14:textId="6118BF2B" w:rsidR="00633D2B" w:rsidRPr="003D788E" w:rsidRDefault="00633D2B" w:rsidP="00633D2B">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auto" w:fill="auto"/>
            <w:noWrap/>
            <w:vAlign w:val="bottom"/>
            <w:hideMark/>
          </w:tcPr>
          <w:p w14:paraId="01DA781C" w14:textId="77777777" w:rsidR="00633D2B" w:rsidRPr="003D788E" w:rsidRDefault="00633D2B" w:rsidP="00633D2B">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auto" w:fill="auto"/>
            <w:noWrap/>
            <w:vAlign w:val="bottom"/>
            <w:hideMark/>
          </w:tcPr>
          <w:p w14:paraId="353E8597" w14:textId="77777777" w:rsidR="00633D2B" w:rsidRPr="003D788E" w:rsidRDefault="00633D2B" w:rsidP="00633D2B">
            <w:pPr>
              <w:spacing w:after="0" w:line="240" w:lineRule="auto"/>
              <w:jc w:val="right"/>
              <w:rPr>
                <w:rFonts w:ascii="Times New Roman" w:hAnsi="Times New Roman"/>
              </w:rPr>
            </w:pPr>
          </w:p>
        </w:tc>
        <w:tc>
          <w:tcPr>
            <w:tcW w:w="916" w:type="dxa"/>
            <w:tcBorders>
              <w:top w:val="nil"/>
              <w:left w:val="nil"/>
              <w:bottom w:val="nil"/>
              <w:right w:val="nil"/>
            </w:tcBorders>
            <w:shd w:val="clear" w:color="auto" w:fill="auto"/>
            <w:noWrap/>
            <w:vAlign w:val="bottom"/>
            <w:hideMark/>
          </w:tcPr>
          <w:p w14:paraId="3A97CD45" w14:textId="77777777" w:rsidR="00633D2B" w:rsidRPr="003D788E" w:rsidRDefault="00633D2B" w:rsidP="00633D2B">
            <w:pPr>
              <w:spacing w:after="0" w:line="240" w:lineRule="auto"/>
              <w:jc w:val="right"/>
              <w:rPr>
                <w:rFonts w:ascii="Times New Roman" w:hAnsi="Times New Roman"/>
              </w:rPr>
            </w:pPr>
          </w:p>
        </w:tc>
      </w:tr>
      <w:tr w:rsidR="00633D2B" w:rsidRPr="003D788E" w14:paraId="0CB462CC" w14:textId="77777777" w:rsidTr="00950536">
        <w:trPr>
          <w:trHeight w:val="204"/>
        </w:trPr>
        <w:tc>
          <w:tcPr>
            <w:tcW w:w="3120" w:type="dxa"/>
            <w:tcBorders>
              <w:top w:val="nil"/>
              <w:left w:val="nil"/>
              <w:bottom w:val="nil"/>
              <w:right w:val="nil"/>
            </w:tcBorders>
            <w:shd w:val="clear" w:color="auto" w:fill="auto"/>
            <w:noWrap/>
            <w:hideMark/>
          </w:tcPr>
          <w:p w14:paraId="6B6D0DA1" w14:textId="77777777" w:rsidR="00633D2B" w:rsidRPr="003D788E" w:rsidRDefault="00633D2B" w:rsidP="00633D2B">
            <w:pPr>
              <w:spacing w:after="0" w:line="240" w:lineRule="auto"/>
              <w:ind w:firstLineChars="200" w:firstLine="320"/>
              <w:jc w:val="left"/>
              <w:rPr>
                <w:rFonts w:ascii="Arial" w:hAnsi="Arial" w:cs="Arial"/>
                <w:sz w:val="16"/>
                <w:szCs w:val="16"/>
              </w:rPr>
            </w:pPr>
            <w:r w:rsidRPr="003D788E">
              <w:rPr>
                <w:rFonts w:ascii="Arial" w:hAnsi="Arial" w:cs="Arial"/>
                <w:sz w:val="16"/>
                <w:szCs w:val="16"/>
              </w:rPr>
              <w:t>Other gains</w:t>
            </w:r>
          </w:p>
        </w:tc>
        <w:tc>
          <w:tcPr>
            <w:tcW w:w="916" w:type="dxa"/>
            <w:tcBorders>
              <w:top w:val="nil"/>
              <w:left w:val="nil"/>
              <w:bottom w:val="nil"/>
              <w:right w:val="nil"/>
            </w:tcBorders>
            <w:shd w:val="clear" w:color="auto" w:fill="auto"/>
            <w:noWrap/>
            <w:vAlign w:val="bottom"/>
            <w:hideMark/>
          </w:tcPr>
          <w:p w14:paraId="51B0D6D8" w14:textId="0D6ACEAF"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182</w:t>
            </w:r>
          </w:p>
        </w:tc>
        <w:tc>
          <w:tcPr>
            <w:tcW w:w="916" w:type="dxa"/>
            <w:tcBorders>
              <w:top w:val="nil"/>
              <w:left w:val="nil"/>
              <w:bottom w:val="nil"/>
              <w:right w:val="nil"/>
            </w:tcBorders>
            <w:shd w:val="clear" w:color="000000" w:fill="E6E6E6"/>
            <w:noWrap/>
            <w:vAlign w:val="bottom"/>
            <w:hideMark/>
          </w:tcPr>
          <w:p w14:paraId="082EF1F7" w14:textId="5587BEEE"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570</w:t>
            </w:r>
          </w:p>
        </w:tc>
        <w:tc>
          <w:tcPr>
            <w:tcW w:w="916" w:type="dxa"/>
            <w:tcBorders>
              <w:top w:val="nil"/>
              <w:left w:val="nil"/>
              <w:bottom w:val="nil"/>
              <w:right w:val="nil"/>
            </w:tcBorders>
            <w:shd w:val="clear" w:color="auto" w:fill="auto"/>
            <w:noWrap/>
            <w:vAlign w:val="bottom"/>
            <w:hideMark/>
          </w:tcPr>
          <w:p w14:paraId="0C054DE0" w14:textId="53B48282"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570</w:t>
            </w:r>
          </w:p>
        </w:tc>
        <w:tc>
          <w:tcPr>
            <w:tcW w:w="916" w:type="dxa"/>
            <w:tcBorders>
              <w:top w:val="nil"/>
              <w:left w:val="nil"/>
              <w:bottom w:val="nil"/>
              <w:right w:val="nil"/>
            </w:tcBorders>
            <w:shd w:val="clear" w:color="auto" w:fill="auto"/>
            <w:noWrap/>
            <w:vAlign w:val="bottom"/>
            <w:hideMark/>
          </w:tcPr>
          <w:p w14:paraId="4289463E" w14:textId="4EFF8B18"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570</w:t>
            </w:r>
          </w:p>
        </w:tc>
        <w:tc>
          <w:tcPr>
            <w:tcW w:w="916" w:type="dxa"/>
            <w:tcBorders>
              <w:top w:val="nil"/>
              <w:left w:val="nil"/>
              <w:bottom w:val="nil"/>
              <w:right w:val="nil"/>
            </w:tcBorders>
            <w:shd w:val="clear" w:color="auto" w:fill="auto"/>
            <w:noWrap/>
            <w:vAlign w:val="bottom"/>
            <w:hideMark/>
          </w:tcPr>
          <w:p w14:paraId="27589762" w14:textId="3C87F7B4"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570</w:t>
            </w:r>
          </w:p>
        </w:tc>
      </w:tr>
      <w:tr w:rsidR="00633D2B" w:rsidRPr="003D788E" w14:paraId="748344BC" w14:textId="77777777" w:rsidTr="00950536">
        <w:trPr>
          <w:trHeight w:val="204"/>
        </w:trPr>
        <w:tc>
          <w:tcPr>
            <w:tcW w:w="3120" w:type="dxa"/>
            <w:tcBorders>
              <w:top w:val="nil"/>
              <w:left w:val="nil"/>
              <w:bottom w:val="nil"/>
              <w:right w:val="nil"/>
            </w:tcBorders>
            <w:shd w:val="clear" w:color="auto" w:fill="auto"/>
            <w:noWrap/>
            <w:hideMark/>
          </w:tcPr>
          <w:p w14:paraId="7F3ED790" w14:textId="77777777" w:rsidR="00633D2B" w:rsidRPr="003D788E" w:rsidRDefault="00633D2B" w:rsidP="00633D2B">
            <w:pPr>
              <w:spacing w:after="0" w:line="240" w:lineRule="auto"/>
              <w:ind w:firstLineChars="100" w:firstLine="160"/>
              <w:jc w:val="left"/>
              <w:rPr>
                <w:rFonts w:ascii="Arial" w:hAnsi="Arial" w:cs="Arial"/>
                <w:b/>
                <w:bCs/>
                <w:sz w:val="16"/>
                <w:szCs w:val="16"/>
              </w:rPr>
            </w:pPr>
            <w:r w:rsidRPr="003D788E">
              <w:rPr>
                <w:rFonts w:ascii="Arial" w:hAnsi="Arial" w:cs="Arial"/>
                <w:b/>
                <w:bCs/>
                <w:sz w:val="16"/>
                <w:szCs w:val="16"/>
              </w:rPr>
              <w:t>Total gains</w:t>
            </w:r>
          </w:p>
        </w:tc>
        <w:tc>
          <w:tcPr>
            <w:tcW w:w="916" w:type="dxa"/>
            <w:tcBorders>
              <w:top w:val="single" w:sz="4" w:space="0" w:color="auto"/>
              <w:left w:val="nil"/>
              <w:bottom w:val="single" w:sz="4" w:space="0" w:color="auto"/>
              <w:right w:val="nil"/>
            </w:tcBorders>
            <w:shd w:val="clear" w:color="auto" w:fill="auto"/>
            <w:noWrap/>
            <w:vAlign w:val="bottom"/>
            <w:hideMark/>
          </w:tcPr>
          <w:p w14:paraId="28E0BD01" w14:textId="47368204"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182</w:t>
            </w:r>
          </w:p>
        </w:tc>
        <w:tc>
          <w:tcPr>
            <w:tcW w:w="916" w:type="dxa"/>
            <w:tcBorders>
              <w:top w:val="single" w:sz="4" w:space="0" w:color="auto"/>
              <w:left w:val="nil"/>
              <w:bottom w:val="single" w:sz="4" w:space="0" w:color="auto"/>
              <w:right w:val="nil"/>
            </w:tcBorders>
            <w:shd w:val="clear" w:color="000000" w:fill="E6E6E6"/>
            <w:noWrap/>
            <w:vAlign w:val="bottom"/>
            <w:hideMark/>
          </w:tcPr>
          <w:p w14:paraId="50BF956C" w14:textId="1126B430"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570</w:t>
            </w:r>
          </w:p>
        </w:tc>
        <w:tc>
          <w:tcPr>
            <w:tcW w:w="916" w:type="dxa"/>
            <w:tcBorders>
              <w:top w:val="single" w:sz="4" w:space="0" w:color="auto"/>
              <w:left w:val="nil"/>
              <w:bottom w:val="single" w:sz="4" w:space="0" w:color="auto"/>
              <w:right w:val="nil"/>
            </w:tcBorders>
            <w:shd w:val="clear" w:color="auto" w:fill="auto"/>
            <w:noWrap/>
            <w:vAlign w:val="bottom"/>
            <w:hideMark/>
          </w:tcPr>
          <w:p w14:paraId="60D423B4" w14:textId="14DB5C06"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570</w:t>
            </w:r>
          </w:p>
        </w:tc>
        <w:tc>
          <w:tcPr>
            <w:tcW w:w="916" w:type="dxa"/>
            <w:tcBorders>
              <w:top w:val="single" w:sz="4" w:space="0" w:color="auto"/>
              <w:left w:val="nil"/>
              <w:bottom w:val="single" w:sz="4" w:space="0" w:color="auto"/>
              <w:right w:val="nil"/>
            </w:tcBorders>
            <w:shd w:val="clear" w:color="auto" w:fill="auto"/>
            <w:noWrap/>
            <w:vAlign w:val="bottom"/>
            <w:hideMark/>
          </w:tcPr>
          <w:p w14:paraId="456A9791" w14:textId="3E6609B4"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570</w:t>
            </w:r>
          </w:p>
        </w:tc>
        <w:tc>
          <w:tcPr>
            <w:tcW w:w="916" w:type="dxa"/>
            <w:tcBorders>
              <w:top w:val="single" w:sz="4" w:space="0" w:color="auto"/>
              <w:left w:val="nil"/>
              <w:bottom w:val="single" w:sz="4" w:space="0" w:color="auto"/>
              <w:right w:val="nil"/>
            </w:tcBorders>
            <w:shd w:val="clear" w:color="auto" w:fill="auto"/>
            <w:noWrap/>
            <w:vAlign w:val="bottom"/>
            <w:hideMark/>
          </w:tcPr>
          <w:p w14:paraId="25457416" w14:textId="6B8F08B8"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570</w:t>
            </w:r>
          </w:p>
        </w:tc>
      </w:tr>
      <w:tr w:rsidR="00633D2B" w:rsidRPr="003D788E" w14:paraId="1B41654B" w14:textId="77777777" w:rsidTr="00950536">
        <w:trPr>
          <w:trHeight w:val="204"/>
        </w:trPr>
        <w:tc>
          <w:tcPr>
            <w:tcW w:w="3120" w:type="dxa"/>
            <w:tcBorders>
              <w:top w:val="nil"/>
              <w:left w:val="nil"/>
              <w:bottom w:val="nil"/>
              <w:right w:val="nil"/>
            </w:tcBorders>
            <w:shd w:val="clear" w:color="auto" w:fill="auto"/>
            <w:noWrap/>
            <w:hideMark/>
          </w:tcPr>
          <w:p w14:paraId="6AF0CAD8" w14:textId="77777777" w:rsidR="00633D2B" w:rsidRPr="003D788E" w:rsidRDefault="00633D2B" w:rsidP="00633D2B">
            <w:pPr>
              <w:spacing w:after="0" w:line="240" w:lineRule="auto"/>
              <w:jc w:val="left"/>
              <w:rPr>
                <w:rFonts w:ascii="Arial" w:hAnsi="Arial" w:cs="Arial"/>
                <w:b/>
                <w:bCs/>
                <w:sz w:val="16"/>
                <w:szCs w:val="16"/>
              </w:rPr>
            </w:pPr>
            <w:r w:rsidRPr="003D788E">
              <w:rPr>
                <w:rFonts w:ascii="Arial" w:hAnsi="Arial" w:cs="Arial"/>
                <w:b/>
                <w:bCs/>
                <w:sz w:val="16"/>
                <w:szCs w:val="16"/>
              </w:rPr>
              <w:t>Total own-source income</w:t>
            </w:r>
          </w:p>
        </w:tc>
        <w:tc>
          <w:tcPr>
            <w:tcW w:w="916" w:type="dxa"/>
            <w:tcBorders>
              <w:top w:val="single" w:sz="4" w:space="0" w:color="auto"/>
              <w:left w:val="nil"/>
              <w:bottom w:val="single" w:sz="4" w:space="0" w:color="auto"/>
              <w:right w:val="nil"/>
            </w:tcBorders>
            <w:shd w:val="clear" w:color="auto" w:fill="auto"/>
            <w:noWrap/>
            <w:vAlign w:val="bottom"/>
            <w:hideMark/>
          </w:tcPr>
          <w:p w14:paraId="32A2A5B3" w14:textId="694E5BE0"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16,453</w:t>
            </w:r>
          </w:p>
        </w:tc>
        <w:tc>
          <w:tcPr>
            <w:tcW w:w="916" w:type="dxa"/>
            <w:tcBorders>
              <w:top w:val="single" w:sz="4" w:space="0" w:color="auto"/>
              <w:left w:val="nil"/>
              <w:bottom w:val="single" w:sz="4" w:space="0" w:color="auto"/>
              <w:right w:val="nil"/>
            </w:tcBorders>
            <w:shd w:val="clear" w:color="000000" w:fill="E6E6E6"/>
            <w:noWrap/>
            <w:vAlign w:val="bottom"/>
            <w:hideMark/>
          </w:tcPr>
          <w:p w14:paraId="24BB86CA" w14:textId="7E2782E7"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11,863</w:t>
            </w:r>
          </w:p>
        </w:tc>
        <w:tc>
          <w:tcPr>
            <w:tcW w:w="916" w:type="dxa"/>
            <w:tcBorders>
              <w:top w:val="single" w:sz="4" w:space="0" w:color="auto"/>
              <w:left w:val="nil"/>
              <w:bottom w:val="single" w:sz="4" w:space="0" w:color="auto"/>
              <w:right w:val="nil"/>
            </w:tcBorders>
            <w:shd w:val="clear" w:color="auto" w:fill="auto"/>
            <w:noWrap/>
            <w:vAlign w:val="bottom"/>
            <w:hideMark/>
          </w:tcPr>
          <w:p w14:paraId="492EC727" w14:textId="4CD5D2A6"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11,399</w:t>
            </w:r>
          </w:p>
        </w:tc>
        <w:tc>
          <w:tcPr>
            <w:tcW w:w="916" w:type="dxa"/>
            <w:tcBorders>
              <w:top w:val="single" w:sz="4" w:space="0" w:color="auto"/>
              <w:left w:val="nil"/>
              <w:bottom w:val="single" w:sz="4" w:space="0" w:color="auto"/>
              <w:right w:val="nil"/>
            </w:tcBorders>
            <w:shd w:val="clear" w:color="auto" w:fill="auto"/>
            <w:noWrap/>
            <w:vAlign w:val="bottom"/>
            <w:hideMark/>
          </w:tcPr>
          <w:p w14:paraId="229AFFDB" w14:textId="41FF1886"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12,526</w:t>
            </w:r>
          </w:p>
        </w:tc>
        <w:tc>
          <w:tcPr>
            <w:tcW w:w="916" w:type="dxa"/>
            <w:tcBorders>
              <w:top w:val="single" w:sz="4" w:space="0" w:color="auto"/>
              <w:left w:val="nil"/>
              <w:bottom w:val="single" w:sz="4" w:space="0" w:color="auto"/>
              <w:right w:val="nil"/>
            </w:tcBorders>
            <w:shd w:val="clear" w:color="auto" w:fill="auto"/>
            <w:noWrap/>
            <w:vAlign w:val="bottom"/>
            <w:hideMark/>
          </w:tcPr>
          <w:p w14:paraId="2F56427C" w14:textId="725CADEF"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12,526</w:t>
            </w:r>
          </w:p>
        </w:tc>
      </w:tr>
      <w:tr w:rsidR="00633D2B" w:rsidRPr="003D788E" w14:paraId="6D81D2C2" w14:textId="77777777" w:rsidTr="00950536">
        <w:trPr>
          <w:trHeight w:val="204"/>
        </w:trPr>
        <w:tc>
          <w:tcPr>
            <w:tcW w:w="3120" w:type="dxa"/>
            <w:tcBorders>
              <w:top w:val="nil"/>
              <w:left w:val="nil"/>
              <w:bottom w:val="nil"/>
              <w:right w:val="nil"/>
            </w:tcBorders>
            <w:shd w:val="clear" w:color="auto" w:fill="auto"/>
            <w:hideMark/>
          </w:tcPr>
          <w:p w14:paraId="36D7A458" w14:textId="08457825" w:rsidR="00633D2B" w:rsidRPr="003D788E" w:rsidRDefault="00633D2B" w:rsidP="00633D2B">
            <w:pPr>
              <w:spacing w:after="0" w:line="240" w:lineRule="auto"/>
              <w:jc w:val="left"/>
              <w:rPr>
                <w:rFonts w:ascii="Arial" w:hAnsi="Arial" w:cs="Arial"/>
                <w:b/>
                <w:bCs/>
                <w:color w:val="000000"/>
                <w:sz w:val="16"/>
                <w:szCs w:val="16"/>
              </w:rPr>
            </w:pPr>
            <w:r w:rsidRPr="003D788E">
              <w:rPr>
                <w:rFonts w:ascii="Arial" w:hAnsi="Arial" w:cs="Arial"/>
                <w:b/>
                <w:bCs/>
                <w:color w:val="000000"/>
                <w:sz w:val="16"/>
                <w:szCs w:val="16"/>
              </w:rPr>
              <w:t>Net (cost of)/contribution by</w:t>
            </w:r>
            <w:r>
              <w:rPr>
                <w:rFonts w:ascii="Arial" w:hAnsi="Arial" w:cs="Arial"/>
                <w:b/>
                <w:bCs/>
                <w:color w:val="000000"/>
                <w:sz w:val="16"/>
                <w:szCs w:val="16"/>
              </w:rPr>
              <w:t xml:space="preserve"> </w:t>
            </w:r>
            <w:r w:rsidRPr="003D788E">
              <w:rPr>
                <w:rFonts w:ascii="Arial" w:hAnsi="Arial" w:cs="Arial"/>
                <w:b/>
                <w:bCs/>
                <w:color w:val="000000"/>
                <w:sz w:val="16"/>
                <w:szCs w:val="16"/>
              </w:rPr>
              <w:t>services</w:t>
            </w:r>
          </w:p>
        </w:tc>
        <w:tc>
          <w:tcPr>
            <w:tcW w:w="916" w:type="dxa"/>
            <w:tcBorders>
              <w:top w:val="nil"/>
              <w:left w:val="nil"/>
              <w:bottom w:val="single" w:sz="4" w:space="0" w:color="auto"/>
              <w:right w:val="nil"/>
            </w:tcBorders>
            <w:shd w:val="clear" w:color="auto" w:fill="auto"/>
            <w:noWrap/>
            <w:vAlign w:val="bottom"/>
            <w:hideMark/>
          </w:tcPr>
          <w:p w14:paraId="09C8A35B" w14:textId="789B0090"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(360,373)</w:t>
            </w:r>
          </w:p>
        </w:tc>
        <w:tc>
          <w:tcPr>
            <w:tcW w:w="916" w:type="dxa"/>
            <w:tcBorders>
              <w:top w:val="nil"/>
              <w:left w:val="nil"/>
              <w:bottom w:val="single" w:sz="4" w:space="0" w:color="auto"/>
              <w:right w:val="nil"/>
            </w:tcBorders>
            <w:shd w:val="clear" w:color="000000" w:fill="E6E6E6"/>
            <w:noWrap/>
            <w:vAlign w:val="bottom"/>
            <w:hideMark/>
          </w:tcPr>
          <w:p w14:paraId="712F964C" w14:textId="38168C64"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(432,312)</w:t>
            </w:r>
          </w:p>
        </w:tc>
        <w:tc>
          <w:tcPr>
            <w:tcW w:w="916" w:type="dxa"/>
            <w:tcBorders>
              <w:top w:val="nil"/>
              <w:left w:val="nil"/>
              <w:bottom w:val="single" w:sz="4" w:space="0" w:color="auto"/>
              <w:right w:val="nil"/>
            </w:tcBorders>
            <w:shd w:val="clear" w:color="auto" w:fill="auto"/>
            <w:noWrap/>
            <w:vAlign w:val="bottom"/>
            <w:hideMark/>
          </w:tcPr>
          <w:p w14:paraId="49A5E34F" w14:textId="36188EEB"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(434,601)</w:t>
            </w:r>
          </w:p>
        </w:tc>
        <w:tc>
          <w:tcPr>
            <w:tcW w:w="916" w:type="dxa"/>
            <w:tcBorders>
              <w:top w:val="nil"/>
              <w:left w:val="nil"/>
              <w:bottom w:val="single" w:sz="4" w:space="0" w:color="auto"/>
              <w:right w:val="nil"/>
            </w:tcBorders>
            <w:shd w:val="clear" w:color="auto" w:fill="auto"/>
            <w:noWrap/>
            <w:vAlign w:val="bottom"/>
            <w:hideMark/>
          </w:tcPr>
          <w:p w14:paraId="7C0E37B8" w14:textId="29B5D9B9"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(374,593)</w:t>
            </w:r>
          </w:p>
        </w:tc>
        <w:tc>
          <w:tcPr>
            <w:tcW w:w="916" w:type="dxa"/>
            <w:tcBorders>
              <w:top w:val="nil"/>
              <w:left w:val="nil"/>
              <w:bottom w:val="single" w:sz="4" w:space="0" w:color="auto"/>
              <w:right w:val="nil"/>
            </w:tcBorders>
            <w:shd w:val="clear" w:color="auto" w:fill="auto"/>
            <w:noWrap/>
            <w:vAlign w:val="bottom"/>
            <w:hideMark/>
          </w:tcPr>
          <w:p w14:paraId="487C8EDF" w14:textId="63BA8723"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(329,323)</w:t>
            </w:r>
          </w:p>
        </w:tc>
      </w:tr>
      <w:tr w:rsidR="00633D2B" w:rsidRPr="003D788E" w14:paraId="254FF969" w14:textId="77777777" w:rsidTr="00950536">
        <w:trPr>
          <w:trHeight w:val="204"/>
        </w:trPr>
        <w:tc>
          <w:tcPr>
            <w:tcW w:w="3120" w:type="dxa"/>
            <w:tcBorders>
              <w:top w:val="nil"/>
              <w:left w:val="nil"/>
              <w:bottom w:val="nil"/>
              <w:right w:val="nil"/>
            </w:tcBorders>
            <w:shd w:val="clear" w:color="auto" w:fill="auto"/>
            <w:noWrap/>
            <w:hideMark/>
          </w:tcPr>
          <w:p w14:paraId="287F3CD6" w14:textId="77777777" w:rsidR="00633D2B" w:rsidRPr="003D788E" w:rsidRDefault="00633D2B" w:rsidP="00633D2B">
            <w:pPr>
              <w:spacing w:after="0" w:line="240" w:lineRule="auto"/>
              <w:ind w:left="113"/>
              <w:jc w:val="left"/>
              <w:rPr>
                <w:rFonts w:ascii="Arial" w:hAnsi="Arial" w:cs="Arial"/>
                <w:sz w:val="16"/>
                <w:szCs w:val="16"/>
              </w:rPr>
            </w:pPr>
            <w:r w:rsidRPr="003D788E">
              <w:rPr>
                <w:rFonts w:ascii="Arial" w:hAnsi="Arial" w:cs="Arial"/>
                <w:sz w:val="16"/>
                <w:szCs w:val="16"/>
              </w:rPr>
              <w:t>Revenue from Government</w:t>
            </w:r>
          </w:p>
        </w:tc>
        <w:tc>
          <w:tcPr>
            <w:tcW w:w="916" w:type="dxa"/>
            <w:tcBorders>
              <w:top w:val="nil"/>
              <w:left w:val="nil"/>
              <w:bottom w:val="single" w:sz="4" w:space="0" w:color="auto"/>
              <w:right w:val="nil"/>
            </w:tcBorders>
            <w:shd w:val="clear" w:color="auto" w:fill="auto"/>
            <w:noWrap/>
            <w:vAlign w:val="bottom"/>
            <w:hideMark/>
          </w:tcPr>
          <w:p w14:paraId="344DA7FF" w14:textId="6889A12F"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366,843</w:t>
            </w:r>
          </w:p>
        </w:tc>
        <w:tc>
          <w:tcPr>
            <w:tcW w:w="916" w:type="dxa"/>
            <w:tcBorders>
              <w:top w:val="nil"/>
              <w:left w:val="nil"/>
              <w:bottom w:val="single" w:sz="4" w:space="0" w:color="auto"/>
              <w:right w:val="nil"/>
            </w:tcBorders>
            <w:shd w:val="clear" w:color="000000" w:fill="E6E6E6"/>
            <w:noWrap/>
            <w:vAlign w:val="bottom"/>
            <w:hideMark/>
          </w:tcPr>
          <w:p w14:paraId="2232BBB4" w14:textId="02F96F8E"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414,609</w:t>
            </w:r>
          </w:p>
        </w:tc>
        <w:tc>
          <w:tcPr>
            <w:tcW w:w="916" w:type="dxa"/>
            <w:tcBorders>
              <w:top w:val="nil"/>
              <w:left w:val="nil"/>
              <w:bottom w:val="single" w:sz="4" w:space="0" w:color="auto"/>
              <w:right w:val="nil"/>
            </w:tcBorders>
            <w:shd w:val="clear" w:color="auto" w:fill="auto"/>
            <w:noWrap/>
            <w:vAlign w:val="bottom"/>
            <w:hideMark/>
          </w:tcPr>
          <w:p w14:paraId="0F57A89C" w14:textId="36394825"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417,570</w:t>
            </w:r>
          </w:p>
        </w:tc>
        <w:tc>
          <w:tcPr>
            <w:tcW w:w="916" w:type="dxa"/>
            <w:tcBorders>
              <w:top w:val="nil"/>
              <w:left w:val="nil"/>
              <w:bottom w:val="single" w:sz="4" w:space="0" w:color="auto"/>
              <w:right w:val="nil"/>
            </w:tcBorders>
            <w:shd w:val="clear" w:color="auto" w:fill="auto"/>
            <w:noWrap/>
            <w:vAlign w:val="bottom"/>
            <w:hideMark/>
          </w:tcPr>
          <w:p w14:paraId="30EC0F56" w14:textId="4E9177B4"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357,678</w:t>
            </w:r>
          </w:p>
        </w:tc>
        <w:tc>
          <w:tcPr>
            <w:tcW w:w="916" w:type="dxa"/>
            <w:tcBorders>
              <w:top w:val="nil"/>
              <w:left w:val="nil"/>
              <w:bottom w:val="single" w:sz="4" w:space="0" w:color="auto"/>
              <w:right w:val="nil"/>
            </w:tcBorders>
            <w:shd w:val="clear" w:color="auto" w:fill="auto"/>
            <w:noWrap/>
            <w:vAlign w:val="bottom"/>
            <w:hideMark/>
          </w:tcPr>
          <w:p w14:paraId="6B152597" w14:textId="3DAA1114" w:rsidR="00633D2B" w:rsidRPr="003D788E" w:rsidRDefault="00633D2B" w:rsidP="00633D2B">
            <w:pPr>
              <w:spacing w:after="0" w:line="240" w:lineRule="auto"/>
              <w:jc w:val="right"/>
              <w:rPr>
                <w:rFonts w:ascii="Arial" w:hAnsi="Arial" w:cs="Arial"/>
                <w:sz w:val="16"/>
                <w:szCs w:val="16"/>
              </w:rPr>
            </w:pPr>
            <w:r>
              <w:rPr>
                <w:rFonts w:ascii="Arial" w:hAnsi="Arial" w:cs="Arial"/>
                <w:sz w:val="16"/>
                <w:szCs w:val="16"/>
              </w:rPr>
              <w:t>312,408</w:t>
            </w:r>
          </w:p>
        </w:tc>
      </w:tr>
      <w:tr w:rsidR="00633D2B" w:rsidRPr="003D788E" w14:paraId="0C9899B6" w14:textId="77777777" w:rsidTr="00950536">
        <w:trPr>
          <w:trHeight w:val="204"/>
        </w:trPr>
        <w:tc>
          <w:tcPr>
            <w:tcW w:w="3120" w:type="dxa"/>
            <w:tcBorders>
              <w:top w:val="nil"/>
              <w:left w:val="nil"/>
              <w:bottom w:val="nil"/>
              <w:right w:val="nil"/>
            </w:tcBorders>
            <w:shd w:val="clear" w:color="auto" w:fill="auto"/>
            <w:hideMark/>
          </w:tcPr>
          <w:p w14:paraId="081FE5D3" w14:textId="1A27C2C2" w:rsidR="00633D2B" w:rsidRPr="003D788E" w:rsidRDefault="00633D2B" w:rsidP="00633D2B">
            <w:pPr>
              <w:spacing w:after="0" w:line="240" w:lineRule="auto"/>
              <w:jc w:val="left"/>
              <w:rPr>
                <w:rFonts w:ascii="Arial" w:hAnsi="Arial" w:cs="Arial"/>
                <w:b/>
                <w:bCs/>
                <w:sz w:val="16"/>
                <w:szCs w:val="16"/>
              </w:rPr>
            </w:pPr>
            <w:r w:rsidRPr="003D788E">
              <w:rPr>
                <w:rFonts w:ascii="Arial" w:hAnsi="Arial" w:cs="Arial"/>
                <w:b/>
                <w:bCs/>
                <w:sz w:val="16"/>
                <w:szCs w:val="16"/>
              </w:rPr>
              <w:t>Surplus/(deficit) attributable to the</w:t>
            </w:r>
            <w:r>
              <w:rPr>
                <w:rFonts w:ascii="Arial" w:hAnsi="Arial" w:cs="Arial"/>
                <w:b/>
                <w:bCs/>
                <w:sz w:val="16"/>
                <w:szCs w:val="16"/>
              </w:rPr>
              <w:t xml:space="preserve"> </w:t>
            </w:r>
            <w:r w:rsidRPr="003D788E">
              <w:rPr>
                <w:rFonts w:ascii="Arial" w:hAnsi="Arial" w:cs="Arial"/>
                <w:b/>
                <w:bCs/>
                <w:sz w:val="16"/>
                <w:szCs w:val="16"/>
              </w:rPr>
              <w:t>Australian Government</w:t>
            </w:r>
          </w:p>
        </w:tc>
        <w:tc>
          <w:tcPr>
            <w:tcW w:w="916" w:type="dxa"/>
            <w:tcBorders>
              <w:top w:val="nil"/>
              <w:left w:val="nil"/>
              <w:bottom w:val="single" w:sz="4" w:space="0" w:color="auto"/>
              <w:right w:val="nil"/>
            </w:tcBorders>
            <w:shd w:val="clear" w:color="auto" w:fill="auto"/>
            <w:noWrap/>
            <w:vAlign w:val="bottom"/>
            <w:hideMark/>
          </w:tcPr>
          <w:p w14:paraId="4AC0775D" w14:textId="405DFA31"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6,470</w:t>
            </w:r>
          </w:p>
        </w:tc>
        <w:tc>
          <w:tcPr>
            <w:tcW w:w="916" w:type="dxa"/>
            <w:tcBorders>
              <w:top w:val="nil"/>
              <w:left w:val="nil"/>
              <w:bottom w:val="single" w:sz="4" w:space="0" w:color="auto"/>
              <w:right w:val="nil"/>
            </w:tcBorders>
            <w:shd w:val="clear" w:color="000000" w:fill="E6E6E6"/>
            <w:noWrap/>
            <w:vAlign w:val="bottom"/>
            <w:hideMark/>
          </w:tcPr>
          <w:p w14:paraId="54B00EF7" w14:textId="6D6C6425"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(17,703)</w:t>
            </w:r>
          </w:p>
        </w:tc>
        <w:tc>
          <w:tcPr>
            <w:tcW w:w="916" w:type="dxa"/>
            <w:tcBorders>
              <w:top w:val="nil"/>
              <w:left w:val="nil"/>
              <w:bottom w:val="single" w:sz="4" w:space="0" w:color="auto"/>
              <w:right w:val="nil"/>
            </w:tcBorders>
            <w:shd w:val="clear" w:color="auto" w:fill="auto"/>
            <w:noWrap/>
            <w:vAlign w:val="bottom"/>
            <w:hideMark/>
          </w:tcPr>
          <w:p w14:paraId="013AEDF4" w14:textId="3D2AB1FF"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(17,031)</w:t>
            </w:r>
          </w:p>
        </w:tc>
        <w:tc>
          <w:tcPr>
            <w:tcW w:w="916" w:type="dxa"/>
            <w:tcBorders>
              <w:top w:val="nil"/>
              <w:left w:val="nil"/>
              <w:bottom w:val="single" w:sz="4" w:space="0" w:color="auto"/>
              <w:right w:val="nil"/>
            </w:tcBorders>
            <w:shd w:val="clear" w:color="auto" w:fill="auto"/>
            <w:noWrap/>
            <w:vAlign w:val="bottom"/>
            <w:hideMark/>
          </w:tcPr>
          <w:p w14:paraId="4CC76369" w14:textId="2B776068"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(16,915)</w:t>
            </w:r>
          </w:p>
        </w:tc>
        <w:tc>
          <w:tcPr>
            <w:tcW w:w="916" w:type="dxa"/>
            <w:tcBorders>
              <w:top w:val="nil"/>
              <w:left w:val="nil"/>
              <w:bottom w:val="single" w:sz="4" w:space="0" w:color="auto"/>
              <w:right w:val="nil"/>
            </w:tcBorders>
            <w:shd w:val="clear" w:color="auto" w:fill="auto"/>
            <w:noWrap/>
            <w:vAlign w:val="bottom"/>
            <w:hideMark/>
          </w:tcPr>
          <w:p w14:paraId="183D8EB6" w14:textId="0EA1A30B" w:rsidR="00633D2B" w:rsidRPr="003D788E" w:rsidRDefault="00633D2B" w:rsidP="00633D2B">
            <w:pPr>
              <w:spacing w:after="0" w:line="240" w:lineRule="auto"/>
              <w:jc w:val="right"/>
              <w:rPr>
                <w:rFonts w:ascii="Arial" w:hAnsi="Arial" w:cs="Arial"/>
                <w:b/>
                <w:bCs/>
                <w:sz w:val="16"/>
                <w:szCs w:val="16"/>
              </w:rPr>
            </w:pPr>
            <w:r>
              <w:rPr>
                <w:rFonts w:ascii="Arial" w:hAnsi="Arial" w:cs="Arial"/>
                <w:b/>
                <w:bCs/>
                <w:sz w:val="16"/>
                <w:szCs w:val="16"/>
              </w:rPr>
              <w:t>(16,915)</w:t>
            </w:r>
          </w:p>
        </w:tc>
      </w:tr>
      <w:tr w:rsidR="003D788E" w:rsidRPr="003D788E" w14:paraId="2F55FDB7" w14:textId="77777777" w:rsidTr="00950536">
        <w:trPr>
          <w:trHeight w:val="204"/>
        </w:trPr>
        <w:tc>
          <w:tcPr>
            <w:tcW w:w="3120" w:type="dxa"/>
            <w:tcBorders>
              <w:top w:val="nil"/>
              <w:left w:val="nil"/>
              <w:bottom w:val="single" w:sz="4" w:space="0" w:color="auto"/>
              <w:right w:val="nil"/>
            </w:tcBorders>
            <w:shd w:val="clear" w:color="auto" w:fill="auto"/>
            <w:hideMark/>
          </w:tcPr>
          <w:p w14:paraId="2FEA8DAF" w14:textId="27753BB8" w:rsidR="003D788E" w:rsidRPr="003D788E" w:rsidRDefault="003D788E" w:rsidP="00950536">
            <w:pPr>
              <w:spacing w:after="0" w:line="240" w:lineRule="auto"/>
              <w:jc w:val="left"/>
              <w:rPr>
                <w:rFonts w:ascii="Arial" w:hAnsi="Arial" w:cs="Arial"/>
                <w:b/>
                <w:bCs/>
                <w:sz w:val="16"/>
                <w:szCs w:val="16"/>
              </w:rPr>
            </w:pPr>
            <w:r w:rsidRPr="003D788E">
              <w:rPr>
                <w:rFonts w:ascii="Arial" w:hAnsi="Arial" w:cs="Arial"/>
                <w:b/>
                <w:bCs/>
                <w:sz w:val="16"/>
                <w:szCs w:val="16"/>
              </w:rPr>
              <w:t>Total comprehensive income/(loss) attributable to the Australian</w:t>
            </w:r>
            <w:r w:rsidR="00950536">
              <w:rPr>
                <w:rFonts w:ascii="Arial" w:hAnsi="Arial" w:cs="Arial"/>
                <w:b/>
                <w:bCs/>
                <w:sz w:val="16"/>
                <w:szCs w:val="16"/>
              </w:rPr>
              <w:t xml:space="preserve"> </w:t>
            </w:r>
            <w:r w:rsidRPr="003D788E">
              <w:rPr>
                <w:rFonts w:ascii="Arial" w:hAnsi="Arial" w:cs="Arial"/>
                <w:b/>
                <w:bCs/>
                <w:sz w:val="16"/>
                <w:szCs w:val="16"/>
              </w:rPr>
              <w:t>Government</w:t>
            </w:r>
          </w:p>
        </w:tc>
        <w:tc>
          <w:tcPr>
            <w:tcW w:w="916" w:type="dxa"/>
            <w:tcBorders>
              <w:top w:val="nil"/>
              <w:left w:val="nil"/>
              <w:bottom w:val="single" w:sz="4" w:space="0" w:color="auto"/>
              <w:right w:val="nil"/>
            </w:tcBorders>
            <w:shd w:val="clear" w:color="auto" w:fill="auto"/>
            <w:noWrap/>
            <w:vAlign w:val="bottom"/>
            <w:hideMark/>
          </w:tcPr>
          <w:p w14:paraId="544A2CB8" w14:textId="0500228C" w:rsidR="003D788E" w:rsidRPr="003D788E" w:rsidRDefault="003D788E" w:rsidP="003D788E">
            <w:pPr>
              <w:spacing w:after="0" w:line="240" w:lineRule="auto"/>
              <w:jc w:val="right"/>
              <w:rPr>
                <w:rFonts w:ascii="Arial" w:hAnsi="Arial" w:cs="Arial"/>
                <w:b/>
                <w:bCs/>
                <w:sz w:val="16"/>
                <w:szCs w:val="16"/>
              </w:rPr>
            </w:pPr>
            <w:r w:rsidRPr="003D788E">
              <w:rPr>
                <w:rFonts w:ascii="Arial" w:hAnsi="Arial" w:cs="Arial"/>
                <w:b/>
                <w:bCs/>
                <w:sz w:val="16"/>
                <w:szCs w:val="16"/>
              </w:rPr>
              <w:t>6,470</w:t>
            </w:r>
          </w:p>
        </w:tc>
        <w:tc>
          <w:tcPr>
            <w:tcW w:w="916" w:type="dxa"/>
            <w:tcBorders>
              <w:top w:val="nil"/>
              <w:left w:val="nil"/>
              <w:bottom w:val="single" w:sz="4" w:space="0" w:color="auto"/>
              <w:right w:val="nil"/>
            </w:tcBorders>
            <w:shd w:val="clear" w:color="000000" w:fill="E6E6E6"/>
            <w:noWrap/>
            <w:vAlign w:val="bottom"/>
            <w:hideMark/>
          </w:tcPr>
          <w:p w14:paraId="3CA266E3" w14:textId="77777777" w:rsidR="003D788E" w:rsidRPr="003D788E" w:rsidRDefault="003D788E" w:rsidP="003D788E">
            <w:pPr>
              <w:spacing w:after="0" w:line="240" w:lineRule="auto"/>
              <w:jc w:val="right"/>
              <w:rPr>
                <w:rFonts w:ascii="Arial" w:hAnsi="Arial" w:cs="Arial"/>
                <w:b/>
                <w:bCs/>
                <w:sz w:val="16"/>
                <w:szCs w:val="16"/>
              </w:rPr>
            </w:pPr>
            <w:r w:rsidRPr="003D788E">
              <w:rPr>
                <w:rFonts w:ascii="Arial" w:hAnsi="Arial" w:cs="Arial"/>
                <w:b/>
                <w:bCs/>
                <w:sz w:val="16"/>
                <w:szCs w:val="16"/>
              </w:rPr>
              <w:t>(17,703)</w:t>
            </w:r>
          </w:p>
        </w:tc>
        <w:tc>
          <w:tcPr>
            <w:tcW w:w="916" w:type="dxa"/>
            <w:tcBorders>
              <w:top w:val="nil"/>
              <w:left w:val="nil"/>
              <w:bottom w:val="single" w:sz="4" w:space="0" w:color="auto"/>
              <w:right w:val="nil"/>
            </w:tcBorders>
            <w:shd w:val="clear" w:color="auto" w:fill="auto"/>
            <w:noWrap/>
            <w:vAlign w:val="bottom"/>
            <w:hideMark/>
          </w:tcPr>
          <w:p w14:paraId="3D51D65A" w14:textId="77777777" w:rsidR="003D788E" w:rsidRPr="003D788E" w:rsidRDefault="003D788E" w:rsidP="003D788E">
            <w:pPr>
              <w:spacing w:after="0" w:line="240" w:lineRule="auto"/>
              <w:jc w:val="right"/>
              <w:rPr>
                <w:rFonts w:ascii="Arial" w:hAnsi="Arial" w:cs="Arial"/>
                <w:b/>
                <w:bCs/>
                <w:sz w:val="16"/>
                <w:szCs w:val="16"/>
              </w:rPr>
            </w:pPr>
            <w:r w:rsidRPr="003D788E">
              <w:rPr>
                <w:rFonts w:ascii="Arial" w:hAnsi="Arial" w:cs="Arial"/>
                <w:b/>
                <w:bCs/>
                <w:sz w:val="16"/>
                <w:szCs w:val="16"/>
              </w:rPr>
              <w:t>(17,031)</w:t>
            </w:r>
          </w:p>
        </w:tc>
        <w:tc>
          <w:tcPr>
            <w:tcW w:w="916" w:type="dxa"/>
            <w:tcBorders>
              <w:top w:val="nil"/>
              <w:left w:val="nil"/>
              <w:bottom w:val="single" w:sz="4" w:space="0" w:color="auto"/>
              <w:right w:val="nil"/>
            </w:tcBorders>
            <w:shd w:val="clear" w:color="auto" w:fill="auto"/>
            <w:noWrap/>
            <w:vAlign w:val="bottom"/>
            <w:hideMark/>
          </w:tcPr>
          <w:p w14:paraId="079903E7" w14:textId="77777777" w:rsidR="003D788E" w:rsidRPr="003D788E" w:rsidRDefault="003D788E" w:rsidP="003D788E">
            <w:pPr>
              <w:spacing w:after="0" w:line="240" w:lineRule="auto"/>
              <w:jc w:val="right"/>
              <w:rPr>
                <w:rFonts w:ascii="Arial" w:hAnsi="Arial" w:cs="Arial"/>
                <w:b/>
                <w:bCs/>
                <w:sz w:val="16"/>
                <w:szCs w:val="16"/>
              </w:rPr>
            </w:pPr>
            <w:r w:rsidRPr="003D788E">
              <w:rPr>
                <w:rFonts w:ascii="Arial" w:hAnsi="Arial" w:cs="Arial"/>
                <w:b/>
                <w:bCs/>
                <w:sz w:val="16"/>
                <w:szCs w:val="16"/>
              </w:rPr>
              <w:t>(16,915)</w:t>
            </w:r>
          </w:p>
        </w:tc>
        <w:tc>
          <w:tcPr>
            <w:tcW w:w="916" w:type="dxa"/>
            <w:tcBorders>
              <w:top w:val="nil"/>
              <w:left w:val="nil"/>
              <w:bottom w:val="single" w:sz="4" w:space="0" w:color="auto"/>
              <w:right w:val="nil"/>
            </w:tcBorders>
            <w:shd w:val="clear" w:color="auto" w:fill="auto"/>
            <w:noWrap/>
            <w:vAlign w:val="bottom"/>
            <w:hideMark/>
          </w:tcPr>
          <w:p w14:paraId="14377A28" w14:textId="77777777" w:rsidR="003D788E" w:rsidRPr="003D788E" w:rsidRDefault="003D788E" w:rsidP="003D788E">
            <w:pPr>
              <w:spacing w:after="0" w:line="240" w:lineRule="auto"/>
              <w:jc w:val="right"/>
              <w:rPr>
                <w:rFonts w:ascii="Arial" w:hAnsi="Arial" w:cs="Arial"/>
                <w:b/>
                <w:bCs/>
                <w:sz w:val="16"/>
                <w:szCs w:val="16"/>
              </w:rPr>
            </w:pPr>
            <w:r w:rsidRPr="003D788E">
              <w:rPr>
                <w:rFonts w:ascii="Arial" w:hAnsi="Arial" w:cs="Arial"/>
                <w:b/>
                <w:bCs/>
                <w:sz w:val="16"/>
                <w:szCs w:val="16"/>
              </w:rPr>
              <w:t>(16,915)</w:t>
            </w:r>
          </w:p>
        </w:tc>
      </w:tr>
    </w:tbl>
    <w:p w14:paraId="11ED3BC2" w14:textId="77777777" w:rsidR="00102378" w:rsidRPr="00102378" w:rsidRDefault="00102378" w:rsidP="00102378">
      <w:pPr>
        <w:pStyle w:val="TableGraphic"/>
        <w:pBdr>
          <w:bottom w:val="single" w:sz="4" w:space="1" w:color="auto"/>
        </w:pBdr>
        <w:ind w:right="12"/>
        <w:rPr>
          <w:rFonts w:ascii="Arial" w:hAnsi="Arial"/>
          <w:b/>
          <w:i w:val="0"/>
          <w:snapToGrid w:val="0"/>
          <w:color w:val="auto"/>
          <w:sz w:val="16"/>
          <w:szCs w:val="16"/>
        </w:rPr>
      </w:pPr>
      <w:r w:rsidRPr="00102378">
        <w:rPr>
          <w:rFonts w:ascii="Arial" w:hAnsi="Arial"/>
          <w:b/>
          <w:i w:val="0"/>
          <w:snapToGrid w:val="0"/>
          <w:color w:val="auto"/>
          <w:sz w:val="16"/>
          <w:szCs w:val="16"/>
        </w:rPr>
        <w:t>Note: Impact of net cash appropriation arrangements</w:t>
      </w:r>
    </w:p>
    <w:tbl>
      <w:tblPr>
        <w:tblW w:w="7655" w:type="dxa"/>
        <w:tblLook w:val="04A0" w:firstRow="1" w:lastRow="0" w:firstColumn="1" w:lastColumn="0" w:noHBand="0" w:noVBand="1"/>
      </w:tblPr>
      <w:tblGrid>
        <w:gridCol w:w="3119"/>
        <w:gridCol w:w="913"/>
        <w:gridCol w:w="910"/>
        <w:gridCol w:w="895"/>
        <w:gridCol w:w="980"/>
        <w:gridCol w:w="838"/>
      </w:tblGrid>
      <w:tr w:rsidR="00102378" w:rsidRPr="00E84832" w14:paraId="6143CEB0" w14:textId="77777777" w:rsidTr="00102378">
        <w:trPr>
          <w:trHeight w:val="204"/>
        </w:trPr>
        <w:tc>
          <w:tcPr>
            <w:tcW w:w="3119" w:type="dxa"/>
            <w:tcBorders>
              <w:left w:val="nil"/>
              <w:right w:val="nil"/>
            </w:tcBorders>
            <w:shd w:val="clear" w:color="auto" w:fill="auto"/>
            <w:vAlign w:val="center"/>
            <w:hideMark/>
          </w:tcPr>
          <w:p w14:paraId="0868B96D" w14:textId="77777777" w:rsidR="00102378" w:rsidRPr="00E84832" w:rsidRDefault="00102378" w:rsidP="00852545">
            <w:pPr>
              <w:spacing w:after="0" w:line="240" w:lineRule="auto"/>
              <w:jc w:val="left"/>
              <w:rPr>
                <w:rFonts w:ascii="Arial" w:hAnsi="Arial" w:cs="Arial"/>
                <w:b/>
                <w:bCs/>
                <w:color w:val="000000"/>
                <w:sz w:val="16"/>
                <w:szCs w:val="16"/>
              </w:rPr>
            </w:pPr>
            <w:r w:rsidRPr="00E84832">
              <w:rPr>
                <w:rFonts w:ascii="Arial" w:hAnsi="Arial" w:cs="Arial"/>
                <w:b/>
                <w:bCs/>
                <w:color w:val="000000"/>
                <w:sz w:val="16"/>
                <w:szCs w:val="16"/>
              </w:rPr>
              <w:t>Total comprehensive income/(loss)</w:t>
            </w:r>
            <w:r>
              <w:rPr>
                <w:rFonts w:ascii="Arial" w:hAnsi="Arial" w:cs="Arial"/>
                <w:b/>
                <w:bCs/>
                <w:color w:val="000000"/>
                <w:sz w:val="16"/>
                <w:szCs w:val="16"/>
              </w:rPr>
              <w:t xml:space="preserve"> </w:t>
            </w:r>
            <w:r w:rsidRPr="00E84832">
              <w:rPr>
                <w:rFonts w:ascii="Arial" w:hAnsi="Arial" w:cs="Arial"/>
                <w:b/>
                <w:bCs/>
                <w:color w:val="000000"/>
                <w:sz w:val="16"/>
                <w:szCs w:val="16"/>
              </w:rPr>
              <w:t>- as per the statement of</w:t>
            </w:r>
            <w:r>
              <w:rPr>
                <w:rFonts w:ascii="Arial" w:hAnsi="Arial" w:cs="Arial"/>
                <w:b/>
                <w:bCs/>
                <w:color w:val="000000"/>
                <w:sz w:val="16"/>
                <w:szCs w:val="16"/>
              </w:rPr>
              <w:t xml:space="preserve"> </w:t>
            </w:r>
            <w:r w:rsidRPr="00E84832">
              <w:rPr>
                <w:rFonts w:ascii="Arial" w:hAnsi="Arial" w:cs="Arial"/>
                <w:b/>
                <w:bCs/>
                <w:color w:val="000000"/>
                <w:sz w:val="16"/>
                <w:szCs w:val="16"/>
              </w:rPr>
              <w:t>comprehensive income</w:t>
            </w:r>
          </w:p>
        </w:tc>
        <w:tc>
          <w:tcPr>
            <w:tcW w:w="913" w:type="dxa"/>
            <w:tcBorders>
              <w:left w:val="nil"/>
              <w:right w:val="nil"/>
            </w:tcBorders>
            <w:shd w:val="clear" w:color="auto" w:fill="auto"/>
            <w:vAlign w:val="bottom"/>
            <w:hideMark/>
          </w:tcPr>
          <w:p w14:paraId="349E4AD0" w14:textId="77777777" w:rsidR="00102378" w:rsidRPr="00E84832" w:rsidRDefault="00102378" w:rsidP="00852545">
            <w:pPr>
              <w:spacing w:after="0" w:line="240" w:lineRule="auto"/>
              <w:jc w:val="right"/>
              <w:rPr>
                <w:rFonts w:ascii="Arial" w:hAnsi="Arial" w:cs="Arial"/>
                <w:b/>
                <w:bCs/>
                <w:sz w:val="16"/>
                <w:szCs w:val="16"/>
              </w:rPr>
            </w:pPr>
            <w:r w:rsidRPr="00E84832">
              <w:rPr>
                <w:rFonts w:ascii="Arial" w:hAnsi="Arial" w:cs="Arial"/>
                <w:b/>
                <w:bCs/>
                <w:sz w:val="16"/>
                <w:szCs w:val="16"/>
              </w:rPr>
              <w:t>6,470</w:t>
            </w:r>
          </w:p>
        </w:tc>
        <w:tc>
          <w:tcPr>
            <w:tcW w:w="910" w:type="dxa"/>
            <w:tcBorders>
              <w:left w:val="nil"/>
              <w:right w:val="nil"/>
            </w:tcBorders>
            <w:shd w:val="clear" w:color="000000" w:fill="E6E6E6"/>
            <w:vAlign w:val="bottom"/>
            <w:hideMark/>
          </w:tcPr>
          <w:p w14:paraId="37A8DA97" w14:textId="77777777" w:rsidR="00102378" w:rsidRPr="00E84832" w:rsidRDefault="00102378" w:rsidP="00852545">
            <w:pPr>
              <w:spacing w:after="0" w:line="240" w:lineRule="auto"/>
              <w:jc w:val="right"/>
              <w:rPr>
                <w:rFonts w:ascii="Arial" w:hAnsi="Arial" w:cs="Arial"/>
                <w:b/>
                <w:bCs/>
                <w:sz w:val="16"/>
                <w:szCs w:val="16"/>
              </w:rPr>
            </w:pPr>
            <w:r w:rsidRPr="00E84832">
              <w:rPr>
                <w:rFonts w:ascii="Arial" w:hAnsi="Arial" w:cs="Arial"/>
                <w:b/>
                <w:bCs/>
                <w:sz w:val="16"/>
                <w:szCs w:val="16"/>
              </w:rPr>
              <w:t>(17,703)</w:t>
            </w:r>
          </w:p>
        </w:tc>
        <w:tc>
          <w:tcPr>
            <w:tcW w:w="895" w:type="dxa"/>
            <w:tcBorders>
              <w:left w:val="nil"/>
              <w:right w:val="nil"/>
            </w:tcBorders>
            <w:shd w:val="clear" w:color="auto" w:fill="auto"/>
            <w:vAlign w:val="bottom"/>
            <w:hideMark/>
          </w:tcPr>
          <w:p w14:paraId="63D6A234" w14:textId="77777777" w:rsidR="00102378" w:rsidRPr="00E84832" w:rsidRDefault="00102378" w:rsidP="00852545">
            <w:pPr>
              <w:spacing w:after="0" w:line="240" w:lineRule="auto"/>
              <w:jc w:val="right"/>
              <w:rPr>
                <w:rFonts w:ascii="Arial" w:hAnsi="Arial" w:cs="Arial"/>
                <w:b/>
                <w:bCs/>
                <w:sz w:val="16"/>
                <w:szCs w:val="16"/>
              </w:rPr>
            </w:pPr>
            <w:r w:rsidRPr="00E84832">
              <w:rPr>
                <w:rFonts w:ascii="Arial" w:hAnsi="Arial" w:cs="Arial"/>
                <w:b/>
                <w:bCs/>
                <w:sz w:val="16"/>
                <w:szCs w:val="16"/>
              </w:rPr>
              <w:t>(17,031)</w:t>
            </w:r>
          </w:p>
        </w:tc>
        <w:tc>
          <w:tcPr>
            <w:tcW w:w="980" w:type="dxa"/>
            <w:tcBorders>
              <w:left w:val="nil"/>
              <w:right w:val="nil"/>
            </w:tcBorders>
            <w:shd w:val="clear" w:color="auto" w:fill="auto"/>
            <w:vAlign w:val="bottom"/>
            <w:hideMark/>
          </w:tcPr>
          <w:p w14:paraId="3C198C71" w14:textId="77777777" w:rsidR="00102378" w:rsidRPr="00E84832" w:rsidRDefault="00102378" w:rsidP="00852545">
            <w:pPr>
              <w:spacing w:after="0" w:line="240" w:lineRule="auto"/>
              <w:jc w:val="right"/>
              <w:rPr>
                <w:rFonts w:ascii="Arial" w:hAnsi="Arial" w:cs="Arial"/>
                <w:b/>
                <w:bCs/>
                <w:sz w:val="16"/>
                <w:szCs w:val="16"/>
              </w:rPr>
            </w:pPr>
            <w:r w:rsidRPr="00E84832">
              <w:rPr>
                <w:rFonts w:ascii="Arial" w:hAnsi="Arial" w:cs="Arial"/>
                <w:b/>
                <w:bCs/>
                <w:sz w:val="16"/>
                <w:szCs w:val="16"/>
              </w:rPr>
              <w:t>(16,915)</w:t>
            </w:r>
          </w:p>
        </w:tc>
        <w:tc>
          <w:tcPr>
            <w:tcW w:w="838" w:type="dxa"/>
            <w:tcBorders>
              <w:left w:val="nil"/>
              <w:right w:val="nil"/>
            </w:tcBorders>
            <w:shd w:val="clear" w:color="auto" w:fill="auto"/>
            <w:vAlign w:val="bottom"/>
            <w:hideMark/>
          </w:tcPr>
          <w:p w14:paraId="3B2DA5F0" w14:textId="77777777" w:rsidR="00102378" w:rsidRPr="00E84832" w:rsidRDefault="00102378" w:rsidP="00852545">
            <w:pPr>
              <w:spacing w:after="0" w:line="240" w:lineRule="auto"/>
              <w:jc w:val="right"/>
              <w:rPr>
                <w:rFonts w:ascii="Arial" w:hAnsi="Arial" w:cs="Arial"/>
                <w:b/>
                <w:bCs/>
                <w:sz w:val="16"/>
                <w:szCs w:val="16"/>
              </w:rPr>
            </w:pPr>
            <w:r w:rsidRPr="00E84832">
              <w:rPr>
                <w:rFonts w:ascii="Arial" w:hAnsi="Arial" w:cs="Arial"/>
                <w:b/>
                <w:bCs/>
                <w:sz w:val="16"/>
                <w:szCs w:val="16"/>
              </w:rPr>
              <w:t>(16,915)</w:t>
            </w:r>
          </w:p>
        </w:tc>
      </w:tr>
      <w:tr w:rsidR="00102378" w:rsidRPr="00E84832" w14:paraId="6C6CF869" w14:textId="77777777" w:rsidTr="00102378">
        <w:trPr>
          <w:trHeight w:val="204"/>
        </w:trPr>
        <w:tc>
          <w:tcPr>
            <w:tcW w:w="3119" w:type="dxa"/>
            <w:tcBorders>
              <w:top w:val="nil"/>
              <w:left w:val="nil"/>
              <w:bottom w:val="nil"/>
              <w:right w:val="nil"/>
            </w:tcBorders>
            <w:shd w:val="clear" w:color="auto" w:fill="auto"/>
            <w:hideMark/>
          </w:tcPr>
          <w:p w14:paraId="015D225D" w14:textId="0E88EAAB" w:rsidR="00102378" w:rsidRPr="00E84832" w:rsidRDefault="00102378" w:rsidP="00102378">
            <w:pPr>
              <w:spacing w:after="0" w:line="240" w:lineRule="auto"/>
              <w:ind w:left="113"/>
              <w:jc w:val="left"/>
              <w:rPr>
                <w:rFonts w:ascii="Arial" w:hAnsi="Arial" w:cs="Arial"/>
                <w:color w:val="000000"/>
                <w:sz w:val="16"/>
                <w:szCs w:val="16"/>
              </w:rPr>
            </w:pPr>
            <w:r>
              <w:rPr>
                <w:rFonts w:ascii="Arial" w:hAnsi="Arial" w:cs="Arial"/>
                <w:color w:val="000000"/>
                <w:sz w:val="16"/>
                <w:szCs w:val="16"/>
              </w:rPr>
              <w:t>plu</w:t>
            </w:r>
            <w:r w:rsidRPr="00E84832">
              <w:rPr>
                <w:rFonts w:ascii="Arial" w:hAnsi="Arial" w:cs="Arial"/>
                <w:color w:val="000000"/>
                <w:sz w:val="16"/>
                <w:szCs w:val="16"/>
              </w:rPr>
              <w:t>s: depreciation/amortisation</w:t>
            </w:r>
            <w:r>
              <w:rPr>
                <w:rFonts w:ascii="Arial" w:hAnsi="Arial" w:cs="Arial"/>
                <w:color w:val="000000"/>
                <w:sz w:val="16"/>
                <w:szCs w:val="16"/>
              </w:rPr>
              <w:t xml:space="preserve"> of assets </w:t>
            </w:r>
            <w:r w:rsidRPr="00E84832">
              <w:rPr>
                <w:rFonts w:ascii="Arial" w:hAnsi="Arial" w:cs="Arial"/>
                <w:color w:val="000000"/>
                <w:sz w:val="16"/>
                <w:szCs w:val="16"/>
              </w:rPr>
              <w:t>funded through</w:t>
            </w:r>
            <w:r>
              <w:rPr>
                <w:rFonts w:ascii="Arial" w:hAnsi="Arial" w:cs="Arial"/>
                <w:color w:val="000000"/>
                <w:sz w:val="16"/>
                <w:szCs w:val="16"/>
              </w:rPr>
              <w:t xml:space="preserve"> </w:t>
            </w:r>
            <w:r w:rsidRPr="00E84832">
              <w:rPr>
                <w:rFonts w:ascii="Arial" w:hAnsi="Arial" w:cs="Arial"/>
                <w:color w:val="000000"/>
                <w:sz w:val="16"/>
                <w:szCs w:val="16"/>
              </w:rPr>
              <w:t>appropriations</w:t>
            </w:r>
            <w:r>
              <w:rPr>
                <w:rFonts w:ascii="Arial" w:hAnsi="Arial" w:cs="Arial"/>
                <w:color w:val="000000"/>
                <w:sz w:val="16"/>
                <w:szCs w:val="16"/>
              </w:rPr>
              <w:t> </w:t>
            </w:r>
            <w:r w:rsidRPr="00E84832">
              <w:rPr>
                <w:rFonts w:ascii="Arial" w:hAnsi="Arial" w:cs="Arial"/>
                <w:color w:val="000000"/>
                <w:sz w:val="16"/>
                <w:szCs w:val="16"/>
                <w:vertAlign w:val="superscript"/>
              </w:rPr>
              <w:t>(a)</w:t>
            </w:r>
          </w:p>
        </w:tc>
        <w:tc>
          <w:tcPr>
            <w:tcW w:w="913" w:type="dxa"/>
            <w:tcBorders>
              <w:top w:val="nil"/>
              <w:left w:val="nil"/>
              <w:bottom w:val="nil"/>
              <w:right w:val="nil"/>
            </w:tcBorders>
            <w:shd w:val="clear" w:color="auto" w:fill="auto"/>
            <w:noWrap/>
            <w:vAlign w:val="bottom"/>
            <w:hideMark/>
          </w:tcPr>
          <w:p w14:paraId="6CFBF6E4"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14,162</w:t>
            </w:r>
          </w:p>
        </w:tc>
        <w:tc>
          <w:tcPr>
            <w:tcW w:w="910" w:type="dxa"/>
            <w:tcBorders>
              <w:top w:val="nil"/>
              <w:left w:val="nil"/>
              <w:bottom w:val="nil"/>
              <w:right w:val="nil"/>
            </w:tcBorders>
            <w:shd w:val="clear" w:color="000000" w:fill="E6E6E6"/>
            <w:noWrap/>
            <w:vAlign w:val="bottom"/>
            <w:hideMark/>
          </w:tcPr>
          <w:p w14:paraId="193B7002"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16,411</w:t>
            </w:r>
          </w:p>
        </w:tc>
        <w:tc>
          <w:tcPr>
            <w:tcW w:w="895" w:type="dxa"/>
            <w:tcBorders>
              <w:top w:val="nil"/>
              <w:left w:val="nil"/>
              <w:bottom w:val="nil"/>
              <w:right w:val="nil"/>
            </w:tcBorders>
            <w:shd w:val="clear" w:color="auto" w:fill="auto"/>
            <w:noWrap/>
            <w:vAlign w:val="bottom"/>
            <w:hideMark/>
          </w:tcPr>
          <w:p w14:paraId="1844C064"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16,795</w:t>
            </w:r>
          </w:p>
        </w:tc>
        <w:tc>
          <w:tcPr>
            <w:tcW w:w="980" w:type="dxa"/>
            <w:tcBorders>
              <w:top w:val="nil"/>
              <w:left w:val="nil"/>
              <w:bottom w:val="nil"/>
              <w:right w:val="nil"/>
            </w:tcBorders>
            <w:shd w:val="clear" w:color="auto" w:fill="auto"/>
            <w:noWrap/>
            <w:vAlign w:val="bottom"/>
            <w:hideMark/>
          </w:tcPr>
          <w:p w14:paraId="209570A1"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16,678</w:t>
            </w:r>
          </w:p>
        </w:tc>
        <w:tc>
          <w:tcPr>
            <w:tcW w:w="838" w:type="dxa"/>
            <w:tcBorders>
              <w:top w:val="nil"/>
              <w:left w:val="nil"/>
              <w:bottom w:val="nil"/>
              <w:right w:val="nil"/>
            </w:tcBorders>
            <w:shd w:val="clear" w:color="auto" w:fill="auto"/>
            <w:noWrap/>
            <w:vAlign w:val="bottom"/>
            <w:hideMark/>
          </w:tcPr>
          <w:p w14:paraId="200EA216"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16,678</w:t>
            </w:r>
          </w:p>
        </w:tc>
      </w:tr>
      <w:tr w:rsidR="00102378" w:rsidRPr="00E84832" w14:paraId="2AAA4866" w14:textId="77777777" w:rsidTr="00102378">
        <w:trPr>
          <w:trHeight w:val="204"/>
        </w:trPr>
        <w:tc>
          <w:tcPr>
            <w:tcW w:w="3119" w:type="dxa"/>
            <w:tcBorders>
              <w:top w:val="nil"/>
              <w:left w:val="nil"/>
              <w:bottom w:val="nil"/>
              <w:right w:val="nil"/>
            </w:tcBorders>
            <w:shd w:val="clear" w:color="auto" w:fill="auto"/>
            <w:hideMark/>
          </w:tcPr>
          <w:p w14:paraId="2B82CCDB" w14:textId="77777777" w:rsidR="00102378" w:rsidRPr="00E84832" w:rsidRDefault="00102378" w:rsidP="00852545">
            <w:pPr>
              <w:spacing w:after="0" w:line="240" w:lineRule="auto"/>
              <w:ind w:left="113"/>
              <w:jc w:val="left"/>
              <w:rPr>
                <w:rFonts w:ascii="Arial" w:hAnsi="Arial" w:cs="Arial"/>
                <w:color w:val="000000"/>
                <w:sz w:val="16"/>
                <w:szCs w:val="16"/>
              </w:rPr>
            </w:pPr>
            <w:r>
              <w:rPr>
                <w:rFonts w:ascii="Arial" w:hAnsi="Arial" w:cs="Arial"/>
                <w:color w:val="000000"/>
                <w:sz w:val="16"/>
                <w:szCs w:val="16"/>
              </w:rPr>
              <w:t>plu</w:t>
            </w:r>
            <w:r w:rsidRPr="00E84832">
              <w:rPr>
                <w:rFonts w:ascii="Arial" w:hAnsi="Arial" w:cs="Arial"/>
                <w:color w:val="000000"/>
                <w:sz w:val="16"/>
                <w:szCs w:val="16"/>
              </w:rPr>
              <w:t xml:space="preserve">s: depreciation of ROU </w:t>
            </w:r>
            <w:r w:rsidRPr="00E84832">
              <w:rPr>
                <w:rFonts w:ascii="Arial" w:hAnsi="Arial" w:cs="Arial"/>
                <w:color w:val="000000"/>
                <w:sz w:val="16"/>
                <w:szCs w:val="16"/>
                <w:vertAlign w:val="superscript"/>
              </w:rPr>
              <w:t>(b)</w:t>
            </w:r>
          </w:p>
        </w:tc>
        <w:tc>
          <w:tcPr>
            <w:tcW w:w="913" w:type="dxa"/>
            <w:tcBorders>
              <w:top w:val="nil"/>
              <w:left w:val="nil"/>
              <w:bottom w:val="nil"/>
              <w:right w:val="nil"/>
            </w:tcBorders>
            <w:shd w:val="clear" w:color="auto" w:fill="auto"/>
            <w:noWrap/>
            <w:vAlign w:val="bottom"/>
            <w:hideMark/>
          </w:tcPr>
          <w:p w14:paraId="53F9B903"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21,721</w:t>
            </w:r>
          </w:p>
        </w:tc>
        <w:tc>
          <w:tcPr>
            <w:tcW w:w="910" w:type="dxa"/>
            <w:tcBorders>
              <w:top w:val="nil"/>
              <w:left w:val="nil"/>
              <w:bottom w:val="nil"/>
              <w:right w:val="nil"/>
            </w:tcBorders>
            <w:shd w:val="clear" w:color="000000" w:fill="E6E6E6"/>
            <w:noWrap/>
            <w:vAlign w:val="bottom"/>
            <w:hideMark/>
          </w:tcPr>
          <w:p w14:paraId="2E3B7E8F"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20,227</w:t>
            </w:r>
          </w:p>
        </w:tc>
        <w:tc>
          <w:tcPr>
            <w:tcW w:w="895" w:type="dxa"/>
            <w:tcBorders>
              <w:top w:val="nil"/>
              <w:left w:val="nil"/>
              <w:bottom w:val="nil"/>
              <w:right w:val="nil"/>
            </w:tcBorders>
            <w:shd w:val="clear" w:color="auto" w:fill="auto"/>
            <w:noWrap/>
            <w:vAlign w:val="bottom"/>
            <w:hideMark/>
          </w:tcPr>
          <w:p w14:paraId="3B72FEF4"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20,168</w:t>
            </w:r>
          </w:p>
        </w:tc>
        <w:tc>
          <w:tcPr>
            <w:tcW w:w="980" w:type="dxa"/>
            <w:tcBorders>
              <w:top w:val="nil"/>
              <w:left w:val="nil"/>
              <w:bottom w:val="nil"/>
              <w:right w:val="nil"/>
            </w:tcBorders>
            <w:shd w:val="clear" w:color="auto" w:fill="auto"/>
            <w:noWrap/>
            <w:vAlign w:val="bottom"/>
            <w:hideMark/>
          </w:tcPr>
          <w:p w14:paraId="45ABA9A9"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20,232</w:t>
            </w:r>
          </w:p>
        </w:tc>
        <w:tc>
          <w:tcPr>
            <w:tcW w:w="838" w:type="dxa"/>
            <w:tcBorders>
              <w:top w:val="nil"/>
              <w:left w:val="nil"/>
              <w:bottom w:val="nil"/>
              <w:right w:val="nil"/>
            </w:tcBorders>
            <w:shd w:val="clear" w:color="auto" w:fill="auto"/>
            <w:noWrap/>
            <w:vAlign w:val="bottom"/>
            <w:hideMark/>
          </w:tcPr>
          <w:p w14:paraId="65989C1F"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20,232</w:t>
            </w:r>
          </w:p>
        </w:tc>
      </w:tr>
      <w:tr w:rsidR="00102378" w:rsidRPr="00E84832" w14:paraId="3926B958" w14:textId="77777777" w:rsidTr="00102378">
        <w:trPr>
          <w:trHeight w:val="204"/>
        </w:trPr>
        <w:tc>
          <w:tcPr>
            <w:tcW w:w="3119" w:type="dxa"/>
            <w:tcBorders>
              <w:top w:val="nil"/>
              <w:left w:val="nil"/>
              <w:bottom w:val="nil"/>
              <w:right w:val="nil"/>
            </w:tcBorders>
            <w:shd w:val="clear" w:color="auto" w:fill="auto"/>
            <w:hideMark/>
          </w:tcPr>
          <w:p w14:paraId="61A8438D" w14:textId="323A192B" w:rsidR="00102378" w:rsidRPr="00E84832" w:rsidRDefault="00102378" w:rsidP="00102378">
            <w:pPr>
              <w:spacing w:after="0" w:line="240" w:lineRule="auto"/>
              <w:ind w:left="113"/>
              <w:jc w:val="left"/>
              <w:rPr>
                <w:rFonts w:ascii="Arial" w:hAnsi="Arial" w:cs="Arial"/>
                <w:color w:val="000000"/>
                <w:sz w:val="16"/>
                <w:szCs w:val="16"/>
              </w:rPr>
            </w:pPr>
            <w:r>
              <w:rPr>
                <w:rFonts w:ascii="Arial" w:hAnsi="Arial" w:cs="Arial"/>
                <w:color w:val="000000"/>
                <w:sz w:val="16"/>
                <w:szCs w:val="16"/>
              </w:rPr>
              <w:t>les</w:t>
            </w:r>
            <w:r w:rsidRPr="00E84832">
              <w:rPr>
                <w:rFonts w:ascii="Arial" w:hAnsi="Arial" w:cs="Arial"/>
                <w:color w:val="000000"/>
                <w:sz w:val="16"/>
                <w:szCs w:val="16"/>
              </w:rPr>
              <w:t>s</w:t>
            </w:r>
            <w:r>
              <w:rPr>
                <w:rFonts w:ascii="Arial" w:hAnsi="Arial" w:cs="Arial"/>
                <w:color w:val="000000"/>
                <w:sz w:val="16"/>
                <w:szCs w:val="16"/>
              </w:rPr>
              <w:t>:</w:t>
            </w:r>
            <w:r w:rsidRPr="00E84832">
              <w:rPr>
                <w:rFonts w:ascii="Arial" w:hAnsi="Arial" w:cs="Arial"/>
                <w:color w:val="000000"/>
                <w:sz w:val="16"/>
                <w:szCs w:val="16"/>
              </w:rPr>
              <w:t xml:space="preserve"> principal repayments </w:t>
            </w:r>
            <w:r w:rsidRPr="00E84832">
              <w:rPr>
                <w:rFonts w:ascii="Arial" w:hAnsi="Arial" w:cs="Arial"/>
                <w:color w:val="000000"/>
                <w:sz w:val="16"/>
                <w:szCs w:val="16"/>
                <w:vertAlign w:val="superscript"/>
              </w:rPr>
              <w:t>(b)</w:t>
            </w:r>
          </w:p>
        </w:tc>
        <w:tc>
          <w:tcPr>
            <w:tcW w:w="913" w:type="dxa"/>
            <w:tcBorders>
              <w:top w:val="nil"/>
              <w:left w:val="nil"/>
              <w:bottom w:val="nil"/>
              <w:right w:val="nil"/>
            </w:tcBorders>
            <w:shd w:val="clear" w:color="auto" w:fill="auto"/>
            <w:noWrap/>
            <w:vAlign w:val="bottom"/>
            <w:hideMark/>
          </w:tcPr>
          <w:p w14:paraId="0F34518A"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(21,075)</w:t>
            </w:r>
          </w:p>
        </w:tc>
        <w:tc>
          <w:tcPr>
            <w:tcW w:w="910" w:type="dxa"/>
            <w:tcBorders>
              <w:top w:val="nil"/>
              <w:left w:val="nil"/>
              <w:bottom w:val="nil"/>
              <w:right w:val="nil"/>
            </w:tcBorders>
            <w:shd w:val="clear" w:color="000000" w:fill="E6E6E6"/>
            <w:noWrap/>
            <w:vAlign w:val="bottom"/>
            <w:hideMark/>
          </w:tcPr>
          <w:p w14:paraId="6528E263"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(18,935)</w:t>
            </w:r>
          </w:p>
        </w:tc>
        <w:tc>
          <w:tcPr>
            <w:tcW w:w="895" w:type="dxa"/>
            <w:tcBorders>
              <w:top w:val="nil"/>
              <w:left w:val="nil"/>
              <w:bottom w:val="nil"/>
              <w:right w:val="nil"/>
            </w:tcBorders>
            <w:shd w:val="clear" w:color="auto" w:fill="auto"/>
            <w:noWrap/>
            <w:vAlign w:val="bottom"/>
            <w:hideMark/>
          </w:tcPr>
          <w:p w14:paraId="6C81E633"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(19,932)</w:t>
            </w:r>
          </w:p>
        </w:tc>
        <w:tc>
          <w:tcPr>
            <w:tcW w:w="980" w:type="dxa"/>
            <w:tcBorders>
              <w:top w:val="nil"/>
              <w:left w:val="nil"/>
              <w:bottom w:val="nil"/>
              <w:right w:val="nil"/>
            </w:tcBorders>
            <w:shd w:val="clear" w:color="auto" w:fill="auto"/>
            <w:noWrap/>
            <w:vAlign w:val="bottom"/>
            <w:hideMark/>
          </w:tcPr>
          <w:p w14:paraId="4E69247E"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(19,995)</w:t>
            </w:r>
          </w:p>
        </w:tc>
        <w:tc>
          <w:tcPr>
            <w:tcW w:w="838" w:type="dxa"/>
            <w:tcBorders>
              <w:top w:val="nil"/>
              <w:left w:val="nil"/>
              <w:bottom w:val="nil"/>
              <w:right w:val="nil"/>
            </w:tcBorders>
            <w:shd w:val="clear" w:color="auto" w:fill="auto"/>
            <w:noWrap/>
            <w:vAlign w:val="bottom"/>
            <w:hideMark/>
          </w:tcPr>
          <w:p w14:paraId="32A9DA41" w14:textId="77777777" w:rsidR="00102378" w:rsidRPr="00E84832" w:rsidRDefault="00102378" w:rsidP="00852545">
            <w:pPr>
              <w:spacing w:after="0" w:line="240" w:lineRule="auto"/>
              <w:jc w:val="right"/>
              <w:rPr>
                <w:rFonts w:ascii="Arial" w:hAnsi="Arial" w:cs="Arial"/>
                <w:sz w:val="16"/>
                <w:szCs w:val="16"/>
              </w:rPr>
            </w:pPr>
            <w:r>
              <w:rPr>
                <w:rFonts w:ascii="Arial" w:hAnsi="Arial" w:cs="Arial"/>
                <w:sz w:val="16"/>
                <w:szCs w:val="16"/>
              </w:rPr>
              <w:t>(19,995)</w:t>
            </w:r>
          </w:p>
        </w:tc>
      </w:tr>
      <w:tr w:rsidR="00102378" w:rsidRPr="00E84832" w14:paraId="461F4574" w14:textId="77777777" w:rsidTr="00102378">
        <w:trPr>
          <w:trHeight w:val="204"/>
        </w:trPr>
        <w:tc>
          <w:tcPr>
            <w:tcW w:w="3119" w:type="dxa"/>
            <w:tcBorders>
              <w:top w:val="nil"/>
              <w:left w:val="nil"/>
              <w:bottom w:val="single" w:sz="4" w:space="0" w:color="auto"/>
              <w:right w:val="nil"/>
            </w:tcBorders>
            <w:shd w:val="clear" w:color="auto" w:fill="auto"/>
            <w:vAlign w:val="center"/>
            <w:hideMark/>
          </w:tcPr>
          <w:p w14:paraId="1DA1349F" w14:textId="77777777" w:rsidR="00102378" w:rsidRPr="00E84832" w:rsidRDefault="00102378" w:rsidP="00852545">
            <w:pPr>
              <w:spacing w:after="0" w:line="240" w:lineRule="auto"/>
              <w:jc w:val="left"/>
              <w:rPr>
                <w:rFonts w:ascii="Arial" w:hAnsi="Arial" w:cs="Arial"/>
                <w:b/>
                <w:bCs/>
                <w:color w:val="000000"/>
                <w:sz w:val="16"/>
                <w:szCs w:val="16"/>
              </w:rPr>
            </w:pPr>
            <w:r w:rsidRPr="00633D2B">
              <w:rPr>
                <w:rFonts w:ascii="Arial" w:hAnsi="Arial" w:cs="Arial"/>
                <w:b/>
                <w:bCs/>
                <w:color w:val="000000"/>
                <w:sz w:val="16"/>
                <w:szCs w:val="16"/>
              </w:rPr>
              <w:t>Net Cash Operating Surplus/(Deficit)</w:t>
            </w:r>
          </w:p>
        </w:tc>
        <w:tc>
          <w:tcPr>
            <w:tcW w:w="913" w:type="dxa"/>
            <w:tcBorders>
              <w:top w:val="single" w:sz="4" w:space="0" w:color="auto"/>
              <w:left w:val="nil"/>
              <w:bottom w:val="single" w:sz="4" w:space="0" w:color="auto"/>
              <w:right w:val="nil"/>
            </w:tcBorders>
            <w:shd w:val="clear" w:color="auto" w:fill="auto"/>
            <w:vAlign w:val="bottom"/>
            <w:hideMark/>
          </w:tcPr>
          <w:p w14:paraId="4C6C6E75" w14:textId="77777777" w:rsidR="00102378" w:rsidRPr="00E84832" w:rsidRDefault="00102378" w:rsidP="00852545">
            <w:pPr>
              <w:spacing w:after="0" w:line="240" w:lineRule="auto"/>
              <w:jc w:val="right"/>
              <w:rPr>
                <w:rFonts w:ascii="Arial" w:hAnsi="Arial" w:cs="Arial"/>
                <w:b/>
                <w:bCs/>
                <w:sz w:val="16"/>
                <w:szCs w:val="16"/>
              </w:rPr>
            </w:pPr>
            <w:r w:rsidRPr="00E84832">
              <w:rPr>
                <w:rFonts w:ascii="Arial" w:hAnsi="Arial" w:cs="Arial"/>
                <w:b/>
                <w:bCs/>
                <w:color w:val="000000"/>
                <w:sz w:val="16"/>
                <w:szCs w:val="16"/>
              </w:rPr>
              <w:t>21,278</w:t>
            </w:r>
          </w:p>
        </w:tc>
        <w:tc>
          <w:tcPr>
            <w:tcW w:w="910" w:type="dxa"/>
            <w:tcBorders>
              <w:top w:val="single" w:sz="4" w:space="0" w:color="auto"/>
              <w:left w:val="nil"/>
              <w:bottom w:val="single" w:sz="4" w:space="0" w:color="auto"/>
              <w:right w:val="nil"/>
            </w:tcBorders>
            <w:shd w:val="clear" w:color="000000" w:fill="E6E6E6"/>
            <w:vAlign w:val="bottom"/>
            <w:hideMark/>
          </w:tcPr>
          <w:p w14:paraId="76D66F45" w14:textId="77777777" w:rsidR="00102378" w:rsidRPr="00E84832" w:rsidRDefault="00102378" w:rsidP="00852545">
            <w:pPr>
              <w:spacing w:after="0" w:line="240" w:lineRule="auto"/>
              <w:jc w:val="right"/>
              <w:rPr>
                <w:rFonts w:ascii="Arial" w:hAnsi="Arial" w:cs="Arial"/>
                <w:b/>
                <w:bCs/>
                <w:sz w:val="16"/>
                <w:szCs w:val="16"/>
              </w:rPr>
            </w:pPr>
            <w:r w:rsidRPr="00E84832">
              <w:rPr>
                <w:rFonts w:ascii="Arial" w:hAnsi="Arial" w:cs="Arial"/>
                <w:b/>
                <w:bCs/>
                <w:color w:val="000000"/>
                <w:sz w:val="16"/>
                <w:szCs w:val="16"/>
              </w:rPr>
              <w:t>-</w:t>
            </w:r>
          </w:p>
        </w:tc>
        <w:tc>
          <w:tcPr>
            <w:tcW w:w="895" w:type="dxa"/>
            <w:tcBorders>
              <w:top w:val="single" w:sz="4" w:space="0" w:color="auto"/>
              <w:left w:val="nil"/>
              <w:bottom w:val="single" w:sz="4" w:space="0" w:color="auto"/>
              <w:right w:val="nil"/>
            </w:tcBorders>
            <w:shd w:val="clear" w:color="auto" w:fill="auto"/>
            <w:vAlign w:val="bottom"/>
            <w:hideMark/>
          </w:tcPr>
          <w:p w14:paraId="1B779212" w14:textId="77777777" w:rsidR="00102378" w:rsidRPr="00E84832" w:rsidRDefault="00102378" w:rsidP="00852545">
            <w:pPr>
              <w:spacing w:after="0" w:line="240" w:lineRule="auto"/>
              <w:jc w:val="right"/>
              <w:rPr>
                <w:rFonts w:ascii="Arial" w:hAnsi="Arial" w:cs="Arial"/>
                <w:b/>
                <w:bCs/>
                <w:sz w:val="16"/>
                <w:szCs w:val="16"/>
              </w:rPr>
            </w:pPr>
            <w:r w:rsidRPr="00E84832">
              <w:rPr>
                <w:rFonts w:ascii="Arial" w:hAnsi="Arial" w:cs="Arial"/>
                <w:b/>
                <w:bCs/>
                <w:color w:val="000000"/>
                <w:sz w:val="16"/>
                <w:szCs w:val="16"/>
              </w:rPr>
              <w:t>-</w:t>
            </w:r>
          </w:p>
        </w:tc>
        <w:tc>
          <w:tcPr>
            <w:tcW w:w="980" w:type="dxa"/>
            <w:tcBorders>
              <w:top w:val="single" w:sz="4" w:space="0" w:color="auto"/>
              <w:left w:val="nil"/>
              <w:bottom w:val="single" w:sz="4" w:space="0" w:color="auto"/>
              <w:right w:val="nil"/>
            </w:tcBorders>
            <w:shd w:val="clear" w:color="auto" w:fill="auto"/>
            <w:vAlign w:val="bottom"/>
            <w:hideMark/>
          </w:tcPr>
          <w:p w14:paraId="552B7482" w14:textId="77777777" w:rsidR="00102378" w:rsidRPr="00E84832" w:rsidRDefault="00102378" w:rsidP="00852545">
            <w:pPr>
              <w:spacing w:after="0" w:line="240" w:lineRule="auto"/>
              <w:jc w:val="right"/>
              <w:rPr>
                <w:rFonts w:ascii="Arial" w:hAnsi="Arial" w:cs="Arial"/>
                <w:b/>
                <w:bCs/>
                <w:sz w:val="16"/>
                <w:szCs w:val="16"/>
              </w:rPr>
            </w:pPr>
            <w:r w:rsidRPr="00E84832">
              <w:rPr>
                <w:rFonts w:ascii="Arial" w:hAnsi="Arial" w:cs="Arial"/>
                <w:b/>
                <w:bCs/>
                <w:color w:val="000000"/>
                <w:sz w:val="16"/>
                <w:szCs w:val="16"/>
              </w:rPr>
              <w:t>-</w:t>
            </w:r>
          </w:p>
        </w:tc>
        <w:tc>
          <w:tcPr>
            <w:tcW w:w="838" w:type="dxa"/>
            <w:tcBorders>
              <w:top w:val="single" w:sz="4" w:space="0" w:color="auto"/>
              <w:left w:val="nil"/>
              <w:bottom w:val="single" w:sz="4" w:space="0" w:color="auto"/>
              <w:right w:val="nil"/>
            </w:tcBorders>
            <w:shd w:val="clear" w:color="auto" w:fill="auto"/>
            <w:vAlign w:val="bottom"/>
            <w:hideMark/>
          </w:tcPr>
          <w:p w14:paraId="7F21935D" w14:textId="77777777" w:rsidR="00102378" w:rsidRPr="00E84832" w:rsidRDefault="00102378" w:rsidP="00852545">
            <w:pPr>
              <w:spacing w:after="0" w:line="240" w:lineRule="auto"/>
              <w:jc w:val="right"/>
              <w:rPr>
                <w:rFonts w:ascii="Arial" w:hAnsi="Arial" w:cs="Arial"/>
                <w:b/>
                <w:bCs/>
                <w:sz w:val="16"/>
                <w:szCs w:val="16"/>
              </w:rPr>
            </w:pPr>
            <w:r w:rsidRPr="00E84832">
              <w:rPr>
                <w:rFonts w:ascii="Arial" w:hAnsi="Arial" w:cs="Arial"/>
                <w:b/>
                <w:bCs/>
                <w:color w:val="000000"/>
                <w:sz w:val="16"/>
                <w:szCs w:val="16"/>
              </w:rPr>
              <w:t>-</w:t>
            </w:r>
          </w:p>
        </w:tc>
      </w:tr>
    </w:tbl>
    <w:p w14:paraId="38B857EC" w14:textId="77777777" w:rsidR="00102378" w:rsidRPr="009C33E9" w:rsidRDefault="00102378" w:rsidP="00102378">
      <w:pPr>
        <w:pStyle w:val="ChartandTableFootnoteAlpha"/>
        <w:numPr>
          <w:ilvl w:val="0"/>
          <w:numId w:val="0"/>
        </w:numPr>
        <w:spacing w:before="60"/>
        <w:ind w:left="397" w:hanging="397"/>
        <w:jc w:val="left"/>
      </w:pPr>
      <w:r w:rsidRPr="009C33E9">
        <w:t>Prepared on Australian Accounting Standards basis.</w:t>
      </w:r>
    </w:p>
    <w:p w14:paraId="1311B7FA" w14:textId="77777777" w:rsidR="00102378" w:rsidRPr="005839AB" w:rsidRDefault="00102378" w:rsidP="00F10ACD">
      <w:pPr>
        <w:pStyle w:val="ChartandTableFootnoteAlpha"/>
        <w:numPr>
          <w:ilvl w:val="0"/>
          <w:numId w:val="60"/>
        </w:numPr>
        <w:tabs>
          <w:tab w:val="clear" w:pos="397"/>
        </w:tabs>
        <w:autoSpaceDE w:val="0"/>
        <w:autoSpaceDN w:val="0"/>
        <w:adjustRightInd w:val="0"/>
        <w:ind w:left="426" w:hanging="426"/>
        <w:jc w:val="left"/>
        <w:rPr>
          <w:rFonts w:cs="Arial"/>
          <w:szCs w:val="16"/>
        </w:rPr>
      </w:pPr>
      <w:r w:rsidRPr="005839AB">
        <w:rPr>
          <w:rFonts w:cs="Arial"/>
          <w:szCs w:val="16"/>
        </w:rPr>
        <w:t>From 2010-11, the Government introduced the net cash appropriation arrangement that provided non</w:t>
      </w:r>
      <w:r w:rsidRPr="005839AB">
        <w:rPr>
          <w:rFonts w:cs="Arial"/>
          <w:szCs w:val="16"/>
        </w:rPr>
        <w:noBreakHyphen/>
        <w:t xml:space="preserve">corporate Commonwealth entities with a separate </w:t>
      </w:r>
      <w:r>
        <w:rPr>
          <w:rFonts w:cs="Arial"/>
          <w:szCs w:val="16"/>
        </w:rPr>
        <w:t>Department</w:t>
      </w:r>
      <w:r w:rsidRPr="005839AB">
        <w:rPr>
          <w:rFonts w:cs="Arial"/>
          <w:szCs w:val="16"/>
        </w:rPr>
        <w:t xml:space="preserve">al Capital Budget (DCB) under Appropriation Act (No.1) or Bill (No. 3). This replaced revenue appropriations provided under Appropriation Act (No.1) or Bill (No.3) used for depreciation/amortisation expenses. For information regarding DCB, refer to Table 3.6 </w:t>
      </w:r>
      <w:r>
        <w:rPr>
          <w:rFonts w:cs="Arial"/>
          <w:szCs w:val="16"/>
        </w:rPr>
        <w:t>Department</w:t>
      </w:r>
      <w:r w:rsidRPr="005839AB">
        <w:rPr>
          <w:rFonts w:cs="Arial"/>
          <w:szCs w:val="16"/>
        </w:rPr>
        <w:t>al Capital Budget Statement.</w:t>
      </w:r>
    </w:p>
    <w:p w14:paraId="29CBB0FD" w14:textId="7C50D431" w:rsidR="00102378" w:rsidRDefault="00102378" w:rsidP="00102378">
      <w:pPr>
        <w:pStyle w:val="ChartandTableFootnoteAlpha"/>
        <w:numPr>
          <w:ilvl w:val="0"/>
          <w:numId w:val="4"/>
        </w:numPr>
        <w:tabs>
          <w:tab w:val="clear" w:pos="397"/>
        </w:tabs>
        <w:ind w:left="426" w:hanging="426"/>
        <w:jc w:val="left"/>
      </w:pPr>
      <w:r w:rsidRPr="0010438C">
        <w:t>Applies</w:t>
      </w:r>
      <w:r w:rsidR="00FB203F">
        <w:t xml:space="preserve"> to</w:t>
      </w:r>
      <w:r w:rsidRPr="0010438C">
        <w:t xml:space="preserve"> leases under AASB 16 Leases.</w:t>
      </w:r>
    </w:p>
    <w:p w14:paraId="54D7DC86" w14:textId="77777777" w:rsidR="00990528" w:rsidRPr="00990528" w:rsidRDefault="00990528" w:rsidP="00990528"/>
    <w:p w14:paraId="65786730" w14:textId="6CDAA14C" w:rsidR="00EC0B94" w:rsidRDefault="00EC0B94">
      <w:pPr>
        <w:spacing w:after="0" w:line="240" w:lineRule="auto"/>
        <w:jc w:val="left"/>
        <w:rPr>
          <w:rFonts w:ascii="Arial" w:hAnsi="Arial"/>
          <w:snapToGrid w:val="0"/>
          <w:sz w:val="16"/>
        </w:rPr>
      </w:pPr>
      <w:r>
        <w:rPr>
          <w:snapToGrid w:val="0"/>
        </w:rPr>
        <w:br w:type="page"/>
      </w:r>
    </w:p>
    <w:p w14:paraId="571B9106" w14:textId="4F34DE45" w:rsidR="00F51DAC" w:rsidRDefault="00A81E21" w:rsidP="00F51DAC">
      <w:pPr>
        <w:pStyle w:val="TableHeading"/>
        <w:spacing w:before="0"/>
        <w:rPr>
          <w:b w:val="0"/>
          <w:snapToGrid w:val="0"/>
        </w:rPr>
      </w:pPr>
      <w:r w:rsidRPr="00EC0B94">
        <w:rPr>
          <w:snapToGrid w:val="0"/>
        </w:rPr>
        <w:lastRenderedPageBreak/>
        <w:t>Table 3.</w:t>
      </w:r>
      <w:r w:rsidR="001F46A6" w:rsidRPr="00EC0B94">
        <w:rPr>
          <w:snapToGrid w:val="0"/>
        </w:rPr>
        <w:t>3</w:t>
      </w:r>
      <w:r w:rsidR="00F51DAC" w:rsidRPr="00EC0B94">
        <w:rPr>
          <w:snapToGrid w:val="0"/>
        </w:rPr>
        <w:t xml:space="preserve">: Budgeted </w:t>
      </w:r>
      <w:r w:rsidR="008863D9">
        <w:rPr>
          <w:snapToGrid w:val="0"/>
        </w:rPr>
        <w:t>Department</w:t>
      </w:r>
      <w:r w:rsidR="00622A38" w:rsidRPr="00EC0B94">
        <w:rPr>
          <w:snapToGrid w:val="0"/>
        </w:rPr>
        <w:t xml:space="preserve">al balance sheet </w:t>
      </w:r>
      <w:r w:rsidR="00F51DAC" w:rsidRPr="00EC0B94">
        <w:rPr>
          <w:snapToGrid w:val="0"/>
        </w:rPr>
        <w:t>(as at 30 June)</w:t>
      </w:r>
      <w:r w:rsidR="00EC73D1" w:rsidRPr="00EC73D1">
        <w:rPr>
          <w:b w:val="0"/>
          <w:snapToGrid w:val="0"/>
        </w:rPr>
        <w:t xml:space="preserve"> </w:t>
      </w:r>
    </w:p>
    <w:tbl>
      <w:tblPr>
        <w:tblW w:w="0" w:type="auto"/>
        <w:tblLayout w:type="fixed"/>
        <w:tblLook w:val="04A0" w:firstRow="1" w:lastRow="0" w:firstColumn="1" w:lastColumn="0" w:noHBand="0" w:noVBand="1"/>
      </w:tblPr>
      <w:tblGrid>
        <w:gridCol w:w="3261"/>
        <w:gridCol w:w="860"/>
        <w:gridCol w:w="860"/>
        <w:gridCol w:w="860"/>
        <w:gridCol w:w="860"/>
        <w:gridCol w:w="860"/>
      </w:tblGrid>
      <w:tr w:rsidR="00102378" w:rsidRPr="00F963C2" w14:paraId="24209BD6" w14:textId="77777777" w:rsidTr="0057089F">
        <w:trPr>
          <w:trHeight w:val="204"/>
        </w:trPr>
        <w:tc>
          <w:tcPr>
            <w:tcW w:w="3261" w:type="dxa"/>
            <w:tcBorders>
              <w:top w:val="single" w:sz="4" w:space="0" w:color="auto"/>
              <w:left w:val="nil"/>
              <w:bottom w:val="nil"/>
              <w:right w:val="nil"/>
            </w:tcBorders>
            <w:shd w:val="clear" w:color="auto" w:fill="auto"/>
            <w:noWrap/>
            <w:hideMark/>
          </w:tcPr>
          <w:p w14:paraId="188F476D" w14:textId="77777777" w:rsidR="00102378" w:rsidRPr="00F963C2" w:rsidRDefault="00102378" w:rsidP="00102378">
            <w:pPr>
              <w:spacing w:after="0" w:line="240" w:lineRule="auto"/>
              <w:jc w:val="left"/>
              <w:rPr>
                <w:rFonts w:ascii="Arial" w:hAnsi="Arial" w:cs="Arial"/>
                <w:b/>
                <w:bCs/>
                <w:sz w:val="16"/>
                <w:szCs w:val="16"/>
              </w:rPr>
            </w:pPr>
            <w:r w:rsidRPr="00F963C2">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auto" w:fill="auto"/>
            <w:vAlign w:val="bottom"/>
            <w:hideMark/>
          </w:tcPr>
          <w:p w14:paraId="4BB3CFE1" w14:textId="77777777" w:rsidR="00102378" w:rsidRPr="00F963C2" w:rsidRDefault="00102378" w:rsidP="00102378">
            <w:pPr>
              <w:spacing w:after="0" w:line="240" w:lineRule="auto"/>
              <w:jc w:val="right"/>
              <w:rPr>
                <w:rFonts w:ascii="Arial" w:hAnsi="Arial" w:cs="Arial"/>
                <w:sz w:val="16"/>
                <w:szCs w:val="16"/>
              </w:rPr>
            </w:pPr>
            <w:r w:rsidRPr="00F963C2">
              <w:rPr>
                <w:rFonts w:ascii="Arial" w:hAnsi="Arial" w:cs="Arial"/>
                <w:sz w:val="16"/>
                <w:szCs w:val="16"/>
              </w:rPr>
              <w:t>2020-21</w:t>
            </w:r>
            <w:r w:rsidRPr="00F963C2">
              <w:rPr>
                <w:rFonts w:ascii="Arial" w:hAnsi="Arial" w:cs="Arial"/>
                <w:sz w:val="16"/>
                <w:szCs w:val="16"/>
              </w:rPr>
              <w:br/>
              <w:t>Actual</w:t>
            </w:r>
            <w:r w:rsidRPr="00F963C2">
              <w:rPr>
                <w:rFonts w:ascii="Arial" w:hAnsi="Arial" w:cs="Arial"/>
                <w:sz w:val="16"/>
                <w:szCs w:val="16"/>
              </w:rPr>
              <w:br/>
            </w:r>
            <w:r w:rsidRPr="00F963C2">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E6E6E6"/>
            <w:hideMark/>
          </w:tcPr>
          <w:p w14:paraId="4C3AB5D1" w14:textId="4877EC28" w:rsidR="00102378" w:rsidRPr="00F963C2" w:rsidRDefault="00102378" w:rsidP="00102378">
            <w:pPr>
              <w:spacing w:after="0" w:line="240" w:lineRule="auto"/>
              <w:jc w:val="right"/>
              <w:rPr>
                <w:rFonts w:ascii="Arial" w:hAnsi="Arial" w:cs="Arial"/>
                <w:sz w:val="16"/>
                <w:szCs w:val="16"/>
              </w:rPr>
            </w:pPr>
            <w:r w:rsidRPr="003D788E">
              <w:rPr>
                <w:rFonts w:ascii="Arial" w:hAnsi="Arial" w:cs="Arial"/>
                <w:sz w:val="16"/>
                <w:szCs w:val="16"/>
              </w:rPr>
              <w:t>2021-22</w:t>
            </w:r>
            <w:r w:rsidRPr="003D788E">
              <w:rPr>
                <w:rFonts w:ascii="Arial" w:hAnsi="Arial" w:cs="Arial"/>
                <w:sz w:val="16"/>
                <w:szCs w:val="16"/>
              </w:rPr>
              <w:br/>
              <w:t xml:space="preserve">Revised </w:t>
            </w:r>
            <w:r>
              <w:rPr>
                <w:rFonts w:ascii="Arial" w:hAnsi="Arial" w:cs="Arial"/>
                <w:sz w:val="16"/>
                <w:szCs w:val="16"/>
              </w:rPr>
              <w:t>B</w:t>
            </w:r>
            <w:r w:rsidRPr="003D788E">
              <w:rPr>
                <w:rFonts w:ascii="Arial" w:hAnsi="Arial" w:cs="Arial"/>
                <w:sz w:val="16"/>
                <w:szCs w:val="16"/>
              </w:rPr>
              <w:t>udget</w:t>
            </w:r>
            <w:r w:rsidRPr="003D788E">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035DECEB" w14:textId="77777777" w:rsidR="00102378" w:rsidRPr="00F963C2" w:rsidRDefault="00102378" w:rsidP="00102378">
            <w:pPr>
              <w:spacing w:after="0" w:line="240" w:lineRule="auto"/>
              <w:jc w:val="right"/>
              <w:rPr>
                <w:rFonts w:ascii="Arial" w:hAnsi="Arial" w:cs="Arial"/>
                <w:sz w:val="16"/>
                <w:szCs w:val="16"/>
              </w:rPr>
            </w:pPr>
            <w:r w:rsidRPr="00F963C2">
              <w:rPr>
                <w:rFonts w:ascii="Arial" w:hAnsi="Arial" w:cs="Arial"/>
                <w:sz w:val="16"/>
                <w:szCs w:val="16"/>
              </w:rPr>
              <w:t>2022-23</w:t>
            </w:r>
            <w:r w:rsidRPr="00F963C2">
              <w:rPr>
                <w:rFonts w:ascii="Arial" w:hAnsi="Arial" w:cs="Arial"/>
                <w:sz w:val="16"/>
                <w:szCs w:val="16"/>
              </w:rPr>
              <w:br/>
              <w:t>Forward estimate</w:t>
            </w:r>
            <w:r w:rsidRPr="00F963C2">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4556AC9E" w14:textId="77777777" w:rsidR="00102378" w:rsidRPr="00F963C2" w:rsidRDefault="00102378" w:rsidP="00102378">
            <w:pPr>
              <w:spacing w:after="0" w:line="240" w:lineRule="auto"/>
              <w:jc w:val="right"/>
              <w:rPr>
                <w:rFonts w:ascii="Arial" w:hAnsi="Arial" w:cs="Arial"/>
                <w:sz w:val="16"/>
                <w:szCs w:val="16"/>
              </w:rPr>
            </w:pPr>
            <w:r w:rsidRPr="00F963C2">
              <w:rPr>
                <w:rFonts w:ascii="Arial" w:hAnsi="Arial" w:cs="Arial"/>
                <w:sz w:val="16"/>
                <w:szCs w:val="16"/>
              </w:rPr>
              <w:t>2023-24</w:t>
            </w:r>
            <w:r w:rsidRPr="00F963C2">
              <w:rPr>
                <w:rFonts w:ascii="Arial" w:hAnsi="Arial" w:cs="Arial"/>
                <w:sz w:val="16"/>
                <w:szCs w:val="16"/>
              </w:rPr>
              <w:br/>
              <w:t>Forward estimate</w:t>
            </w:r>
            <w:r w:rsidRPr="00F963C2">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2928FA8C" w14:textId="77777777" w:rsidR="00102378" w:rsidRPr="00F963C2" w:rsidRDefault="00102378" w:rsidP="00102378">
            <w:pPr>
              <w:spacing w:after="0" w:line="240" w:lineRule="auto"/>
              <w:jc w:val="right"/>
              <w:rPr>
                <w:rFonts w:ascii="Arial" w:hAnsi="Arial" w:cs="Arial"/>
                <w:sz w:val="16"/>
                <w:szCs w:val="16"/>
              </w:rPr>
            </w:pPr>
            <w:r w:rsidRPr="00F963C2">
              <w:rPr>
                <w:rFonts w:ascii="Arial" w:hAnsi="Arial" w:cs="Arial"/>
                <w:sz w:val="16"/>
                <w:szCs w:val="16"/>
              </w:rPr>
              <w:t>2024-25</w:t>
            </w:r>
            <w:r w:rsidRPr="00F963C2">
              <w:rPr>
                <w:rFonts w:ascii="Arial" w:hAnsi="Arial" w:cs="Arial"/>
                <w:sz w:val="16"/>
                <w:szCs w:val="16"/>
              </w:rPr>
              <w:br/>
              <w:t>Forward estimate</w:t>
            </w:r>
            <w:r w:rsidRPr="00F963C2">
              <w:rPr>
                <w:rFonts w:ascii="Arial" w:hAnsi="Arial" w:cs="Arial"/>
                <w:sz w:val="16"/>
                <w:szCs w:val="16"/>
              </w:rPr>
              <w:br/>
              <w:t>$'000</w:t>
            </w:r>
          </w:p>
        </w:tc>
      </w:tr>
      <w:tr w:rsidR="00F963C2" w:rsidRPr="00F963C2" w14:paraId="413DD8E4" w14:textId="77777777" w:rsidTr="0057089F">
        <w:trPr>
          <w:trHeight w:val="204"/>
        </w:trPr>
        <w:tc>
          <w:tcPr>
            <w:tcW w:w="3261" w:type="dxa"/>
            <w:tcBorders>
              <w:top w:val="nil"/>
              <w:left w:val="nil"/>
              <w:bottom w:val="nil"/>
              <w:right w:val="nil"/>
            </w:tcBorders>
            <w:shd w:val="clear" w:color="auto" w:fill="auto"/>
            <w:noWrap/>
            <w:vAlign w:val="center"/>
            <w:hideMark/>
          </w:tcPr>
          <w:p w14:paraId="12072574" w14:textId="77777777" w:rsidR="00F963C2" w:rsidRPr="00F963C2" w:rsidRDefault="00F963C2" w:rsidP="00F963C2">
            <w:pPr>
              <w:spacing w:after="0" w:line="240" w:lineRule="auto"/>
              <w:jc w:val="left"/>
              <w:rPr>
                <w:rFonts w:ascii="Arial" w:hAnsi="Arial" w:cs="Arial"/>
                <w:b/>
                <w:bCs/>
                <w:color w:val="000000"/>
                <w:sz w:val="16"/>
                <w:szCs w:val="16"/>
              </w:rPr>
            </w:pPr>
            <w:r w:rsidRPr="00F963C2">
              <w:rPr>
                <w:rFonts w:ascii="Arial" w:hAnsi="Arial" w:cs="Arial"/>
                <w:b/>
                <w:bCs/>
                <w:color w:val="000000"/>
                <w:sz w:val="16"/>
                <w:szCs w:val="16"/>
              </w:rPr>
              <w:t>ASSETS</w:t>
            </w:r>
          </w:p>
        </w:tc>
        <w:tc>
          <w:tcPr>
            <w:tcW w:w="860" w:type="dxa"/>
            <w:tcBorders>
              <w:top w:val="nil"/>
              <w:left w:val="nil"/>
              <w:bottom w:val="nil"/>
              <w:right w:val="nil"/>
            </w:tcBorders>
            <w:shd w:val="clear" w:color="auto" w:fill="auto"/>
            <w:noWrap/>
            <w:vAlign w:val="bottom"/>
            <w:hideMark/>
          </w:tcPr>
          <w:p w14:paraId="37349C46" w14:textId="77777777" w:rsidR="00F963C2" w:rsidRPr="00F963C2" w:rsidRDefault="00F963C2" w:rsidP="00523B0D">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auto" w:fill="E6E6E6"/>
            <w:noWrap/>
            <w:vAlign w:val="bottom"/>
            <w:hideMark/>
          </w:tcPr>
          <w:p w14:paraId="785BE7B1" w14:textId="6F150630" w:rsidR="00F963C2" w:rsidRPr="00F963C2" w:rsidRDefault="00F963C2" w:rsidP="00523B0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8D46F54" w14:textId="77777777" w:rsidR="00F963C2" w:rsidRPr="00F963C2" w:rsidRDefault="00F963C2" w:rsidP="00523B0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08BFD770" w14:textId="77777777" w:rsidR="00F963C2" w:rsidRPr="00F963C2" w:rsidRDefault="00F963C2" w:rsidP="00523B0D">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42B8A925" w14:textId="77777777" w:rsidR="00F963C2" w:rsidRPr="00F963C2" w:rsidRDefault="00F963C2" w:rsidP="00523B0D">
            <w:pPr>
              <w:spacing w:after="0" w:line="240" w:lineRule="auto"/>
              <w:jc w:val="right"/>
              <w:rPr>
                <w:rFonts w:ascii="Times New Roman" w:hAnsi="Times New Roman"/>
              </w:rPr>
            </w:pPr>
          </w:p>
        </w:tc>
      </w:tr>
      <w:tr w:rsidR="00F963C2" w:rsidRPr="00F963C2" w14:paraId="74BD4859" w14:textId="77777777" w:rsidTr="0057089F">
        <w:trPr>
          <w:trHeight w:val="204"/>
        </w:trPr>
        <w:tc>
          <w:tcPr>
            <w:tcW w:w="3261" w:type="dxa"/>
            <w:tcBorders>
              <w:top w:val="nil"/>
              <w:left w:val="nil"/>
              <w:bottom w:val="nil"/>
              <w:right w:val="nil"/>
            </w:tcBorders>
            <w:shd w:val="clear" w:color="auto" w:fill="auto"/>
            <w:noWrap/>
            <w:vAlign w:val="center"/>
            <w:hideMark/>
          </w:tcPr>
          <w:p w14:paraId="7CB6849B" w14:textId="77777777" w:rsidR="00F963C2" w:rsidRPr="00F963C2" w:rsidRDefault="00F963C2" w:rsidP="00AE58A7">
            <w:pPr>
              <w:spacing w:after="0" w:line="240" w:lineRule="auto"/>
              <w:ind w:left="113"/>
              <w:jc w:val="left"/>
              <w:rPr>
                <w:rFonts w:ascii="Arial" w:hAnsi="Arial" w:cs="Arial"/>
                <w:b/>
                <w:bCs/>
                <w:color w:val="000000"/>
                <w:sz w:val="16"/>
                <w:szCs w:val="16"/>
              </w:rPr>
            </w:pPr>
            <w:r w:rsidRPr="00F963C2">
              <w:rPr>
                <w:rFonts w:ascii="Arial" w:hAnsi="Arial" w:cs="Arial"/>
                <w:b/>
                <w:bCs/>
                <w:color w:val="000000"/>
                <w:sz w:val="16"/>
                <w:szCs w:val="16"/>
              </w:rPr>
              <w:t>Financial assets</w:t>
            </w:r>
          </w:p>
        </w:tc>
        <w:tc>
          <w:tcPr>
            <w:tcW w:w="860" w:type="dxa"/>
            <w:tcBorders>
              <w:top w:val="nil"/>
              <w:left w:val="nil"/>
              <w:bottom w:val="nil"/>
              <w:right w:val="nil"/>
            </w:tcBorders>
            <w:shd w:val="clear" w:color="auto" w:fill="auto"/>
            <w:noWrap/>
            <w:vAlign w:val="bottom"/>
            <w:hideMark/>
          </w:tcPr>
          <w:p w14:paraId="010A3017" w14:textId="77777777" w:rsidR="00F963C2" w:rsidRPr="00F963C2" w:rsidRDefault="00F963C2" w:rsidP="00523B0D">
            <w:pPr>
              <w:spacing w:after="0" w:line="240" w:lineRule="auto"/>
              <w:ind w:firstLineChars="100" w:firstLine="160"/>
              <w:jc w:val="right"/>
              <w:rPr>
                <w:rFonts w:ascii="Arial" w:hAnsi="Arial" w:cs="Arial"/>
                <w:b/>
                <w:bCs/>
                <w:color w:val="000000"/>
                <w:sz w:val="16"/>
                <w:szCs w:val="16"/>
              </w:rPr>
            </w:pPr>
          </w:p>
        </w:tc>
        <w:tc>
          <w:tcPr>
            <w:tcW w:w="860" w:type="dxa"/>
            <w:tcBorders>
              <w:top w:val="nil"/>
              <w:left w:val="nil"/>
              <w:bottom w:val="nil"/>
              <w:right w:val="nil"/>
            </w:tcBorders>
            <w:shd w:val="clear" w:color="auto" w:fill="E6E6E6"/>
            <w:noWrap/>
            <w:vAlign w:val="bottom"/>
            <w:hideMark/>
          </w:tcPr>
          <w:p w14:paraId="7EE3868B" w14:textId="149B4711" w:rsidR="00F963C2" w:rsidRPr="00F963C2" w:rsidRDefault="00F963C2" w:rsidP="00523B0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9AD786E" w14:textId="77777777" w:rsidR="00F963C2" w:rsidRPr="00F963C2" w:rsidRDefault="00F963C2" w:rsidP="00523B0D">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0EF21BF6" w14:textId="77777777" w:rsidR="00F963C2" w:rsidRPr="00F963C2" w:rsidRDefault="00F963C2" w:rsidP="00523B0D">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7927538D" w14:textId="77777777" w:rsidR="00F963C2" w:rsidRPr="00F963C2" w:rsidRDefault="00F963C2" w:rsidP="00523B0D">
            <w:pPr>
              <w:spacing w:after="0" w:line="240" w:lineRule="auto"/>
              <w:jc w:val="right"/>
              <w:rPr>
                <w:rFonts w:ascii="Times New Roman" w:hAnsi="Times New Roman"/>
              </w:rPr>
            </w:pPr>
          </w:p>
        </w:tc>
      </w:tr>
      <w:tr w:rsidR="00426B92" w:rsidRPr="00F963C2" w14:paraId="7C69838B" w14:textId="77777777" w:rsidTr="0057089F">
        <w:trPr>
          <w:trHeight w:val="204"/>
        </w:trPr>
        <w:tc>
          <w:tcPr>
            <w:tcW w:w="3261" w:type="dxa"/>
            <w:tcBorders>
              <w:top w:val="nil"/>
              <w:left w:val="nil"/>
              <w:bottom w:val="nil"/>
              <w:right w:val="nil"/>
            </w:tcBorders>
            <w:shd w:val="clear" w:color="auto" w:fill="auto"/>
            <w:noWrap/>
            <w:vAlign w:val="center"/>
            <w:hideMark/>
          </w:tcPr>
          <w:p w14:paraId="1C8D6F8D"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 xml:space="preserve">Cash </w:t>
            </w:r>
            <w:r w:rsidRPr="00F963C2">
              <w:rPr>
                <w:rFonts w:ascii="Arial" w:hAnsi="Arial" w:cs="Arial"/>
                <w:sz w:val="16"/>
                <w:szCs w:val="16"/>
              </w:rPr>
              <w:t>and cash equivalents</w:t>
            </w:r>
          </w:p>
        </w:tc>
        <w:tc>
          <w:tcPr>
            <w:tcW w:w="860" w:type="dxa"/>
            <w:tcBorders>
              <w:top w:val="nil"/>
              <w:left w:val="nil"/>
              <w:bottom w:val="nil"/>
              <w:right w:val="nil"/>
            </w:tcBorders>
            <w:shd w:val="clear" w:color="auto" w:fill="auto"/>
            <w:noWrap/>
            <w:vAlign w:val="bottom"/>
            <w:hideMark/>
          </w:tcPr>
          <w:p w14:paraId="78FD3961" w14:textId="22CC3D55"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12,100</w:t>
            </w:r>
          </w:p>
        </w:tc>
        <w:tc>
          <w:tcPr>
            <w:tcW w:w="860" w:type="dxa"/>
            <w:tcBorders>
              <w:top w:val="nil"/>
              <w:left w:val="nil"/>
              <w:bottom w:val="nil"/>
              <w:right w:val="nil"/>
            </w:tcBorders>
            <w:shd w:val="clear" w:color="auto" w:fill="E6E6E6"/>
            <w:noWrap/>
            <w:vAlign w:val="bottom"/>
            <w:hideMark/>
          </w:tcPr>
          <w:p w14:paraId="258F312E" w14:textId="1059BB86"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12,210</w:t>
            </w:r>
          </w:p>
        </w:tc>
        <w:tc>
          <w:tcPr>
            <w:tcW w:w="860" w:type="dxa"/>
            <w:tcBorders>
              <w:top w:val="nil"/>
              <w:left w:val="nil"/>
              <w:bottom w:val="nil"/>
              <w:right w:val="nil"/>
            </w:tcBorders>
            <w:shd w:val="clear" w:color="auto" w:fill="auto"/>
            <w:noWrap/>
            <w:vAlign w:val="bottom"/>
            <w:hideMark/>
          </w:tcPr>
          <w:p w14:paraId="015E7DC4" w14:textId="5D7BCEC2"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12,210</w:t>
            </w:r>
          </w:p>
        </w:tc>
        <w:tc>
          <w:tcPr>
            <w:tcW w:w="860" w:type="dxa"/>
            <w:tcBorders>
              <w:top w:val="nil"/>
              <w:left w:val="nil"/>
              <w:bottom w:val="nil"/>
              <w:right w:val="nil"/>
            </w:tcBorders>
            <w:shd w:val="clear" w:color="auto" w:fill="auto"/>
            <w:noWrap/>
            <w:vAlign w:val="bottom"/>
            <w:hideMark/>
          </w:tcPr>
          <w:p w14:paraId="210B89B1" w14:textId="71B7C276"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12,210</w:t>
            </w:r>
          </w:p>
        </w:tc>
        <w:tc>
          <w:tcPr>
            <w:tcW w:w="860" w:type="dxa"/>
            <w:tcBorders>
              <w:top w:val="nil"/>
              <w:left w:val="nil"/>
              <w:bottom w:val="nil"/>
              <w:right w:val="nil"/>
            </w:tcBorders>
            <w:shd w:val="clear" w:color="auto" w:fill="auto"/>
            <w:noWrap/>
            <w:vAlign w:val="bottom"/>
            <w:hideMark/>
          </w:tcPr>
          <w:p w14:paraId="52AE1BB3" w14:textId="31AC2ED7"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12,210</w:t>
            </w:r>
          </w:p>
        </w:tc>
      </w:tr>
      <w:tr w:rsidR="00426B92" w:rsidRPr="00F963C2" w14:paraId="407A9257" w14:textId="77777777" w:rsidTr="0057089F">
        <w:trPr>
          <w:trHeight w:val="204"/>
        </w:trPr>
        <w:tc>
          <w:tcPr>
            <w:tcW w:w="3261" w:type="dxa"/>
            <w:tcBorders>
              <w:top w:val="nil"/>
              <w:left w:val="nil"/>
              <w:bottom w:val="nil"/>
              <w:right w:val="nil"/>
            </w:tcBorders>
            <w:shd w:val="clear" w:color="auto" w:fill="auto"/>
            <w:noWrap/>
            <w:vAlign w:val="center"/>
            <w:hideMark/>
          </w:tcPr>
          <w:p w14:paraId="76E86806" w14:textId="77777777" w:rsidR="00426B92" w:rsidRPr="00F963C2" w:rsidRDefault="00426B92" w:rsidP="00426B92">
            <w:pPr>
              <w:spacing w:after="0" w:line="240" w:lineRule="auto"/>
              <w:ind w:left="227"/>
              <w:jc w:val="left"/>
              <w:rPr>
                <w:rFonts w:ascii="Arial" w:hAnsi="Arial" w:cs="Arial"/>
                <w:sz w:val="16"/>
                <w:szCs w:val="16"/>
              </w:rPr>
            </w:pPr>
            <w:r w:rsidRPr="00F963C2">
              <w:rPr>
                <w:rFonts w:ascii="Arial" w:hAnsi="Arial" w:cs="Arial"/>
                <w:sz w:val="16"/>
                <w:szCs w:val="16"/>
              </w:rPr>
              <w:t>Trade and other receivables</w:t>
            </w:r>
          </w:p>
        </w:tc>
        <w:tc>
          <w:tcPr>
            <w:tcW w:w="860" w:type="dxa"/>
            <w:tcBorders>
              <w:top w:val="nil"/>
              <w:left w:val="nil"/>
              <w:bottom w:val="nil"/>
              <w:right w:val="nil"/>
            </w:tcBorders>
            <w:shd w:val="clear" w:color="auto" w:fill="auto"/>
            <w:noWrap/>
            <w:vAlign w:val="bottom"/>
            <w:hideMark/>
          </w:tcPr>
          <w:p w14:paraId="4CEBAA30" w14:textId="358DBF41"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155,650</w:t>
            </w:r>
          </w:p>
        </w:tc>
        <w:tc>
          <w:tcPr>
            <w:tcW w:w="860" w:type="dxa"/>
            <w:tcBorders>
              <w:top w:val="nil"/>
              <w:left w:val="nil"/>
              <w:bottom w:val="nil"/>
              <w:right w:val="nil"/>
            </w:tcBorders>
            <w:shd w:val="clear" w:color="auto" w:fill="E6E6E6"/>
            <w:noWrap/>
            <w:vAlign w:val="bottom"/>
            <w:hideMark/>
          </w:tcPr>
          <w:p w14:paraId="07ECBE98" w14:textId="19EEEF97"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157,725</w:t>
            </w:r>
          </w:p>
        </w:tc>
        <w:tc>
          <w:tcPr>
            <w:tcW w:w="860" w:type="dxa"/>
            <w:tcBorders>
              <w:top w:val="nil"/>
              <w:left w:val="nil"/>
              <w:bottom w:val="nil"/>
              <w:right w:val="nil"/>
            </w:tcBorders>
            <w:shd w:val="clear" w:color="auto" w:fill="auto"/>
            <w:noWrap/>
            <w:vAlign w:val="bottom"/>
            <w:hideMark/>
          </w:tcPr>
          <w:p w14:paraId="205887D1" w14:textId="7E6A3890"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170,355</w:t>
            </w:r>
          </w:p>
        </w:tc>
        <w:tc>
          <w:tcPr>
            <w:tcW w:w="860" w:type="dxa"/>
            <w:tcBorders>
              <w:top w:val="nil"/>
              <w:left w:val="nil"/>
              <w:bottom w:val="nil"/>
              <w:right w:val="nil"/>
            </w:tcBorders>
            <w:shd w:val="clear" w:color="auto" w:fill="auto"/>
            <w:noWrap/>
            <w:vAlign w:val="bottom"/>
            <w:hideMark/>
          </w:tcPr>
          <w:p w14:paraId="7F5F120C" w14:textId="4C08DBCE"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157,824</w:t>
            </w:r>
          </w:p>
        </w:tc>
        <w:tc>
          <w:tcPr>
            <w:tcW w:w="860" w:type="dxa"/>
            <w:tcBorders>
              <w:top w:val="nil"/>
              <w:left w:val="nil"/>
              <w:bottom w:val="nil"/>
              <w:right w:val="nil"/>
            </w:tcBorders>
            <w:shd w:val="clear" w:color="auto" w:fill="auto"/>
            <w:noWrap/>
            <w:vAlign w:val="bottom"/>
            <w:hideMark/>
          </w:tcPr>
          <w:p w14:paraId="7D444E3E" w14:textId="0AE55278"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147,133</w:t>
            </w:r>
          </w:p>
        </w:tc>
      </w:tr>
      <w:tr w:rsidR="00426B92" w:rsidRPr="00F963C2" w14:paraId="51EBD195" w14:textId="77777777" w:rsidTr="0057089F">
        <w:trPr>
          <w:trHeight w:val="204"/>
        </w:trPr>
        <w:tc>
          <w:tcPr>
            <w:tcW w:w="3261" w:type="dxa"/>
            <w:tcBorders>
              <w:top w:val="nil"/>
              <w:left w:val="nil"/>
              <w:bottom w:val="nil"/>
              <w:right w:val="nil"/>
            </w:tcBorders>
            <w:shd w:val="clear" w:color="auto" w:fill="auto"/>
            <w:noWrap/>
            <w:vAlign w:val="center"/>
            <w:hideMark/>
          </w:tcPr>
          <w:p w14:paraId="394CEA26"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Accrued revenue</w:t>
            </w:r>
          </w:p>
        </w:tc>
        <w:tc>
          <w:tcPr>
            <w:tcW w:w="860" w:type="dxa"/>
            <w:tcBorders>
              <w:top w:val="nil"/>
              <w:left w:val="nil"/>
              <w:bottom w:val="nil"/>
              <w:right w:val="nil"/>
            </w:tcBorders>
            <w:shd w:val="clear" w:color="auto" w:fill="auto"/>
            <w:noWrap/>
            <w:vAlign w:val="bottom"/>
            <w:hideMark/>
          </w:tcPr>
          <w:p w14:paraId="56BF85C6" w14:textId="1A9976E6"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582</w:t>
            </w:r>
          </w:p>
        </w:tc>
        <w:tc>
          <w:tcPr>
            <w:tcW w:w="860" w:type="dxa"/>
            <w:tcBorders>
              <w:top w:val="nil"/>
              <w:left w:val="nil"/>
              <w:bottom w:val="nil"/>
              <w:right w:val="nil"/>
            </w:tcBorders>
            <w:shd w:val="clear" w:color="auto" w:fill="E6E6E6"/>
            <w:noWrap/>
            <w:vAlign w:val="bottom"/>
            <w:hideMark/>
          </w:tcPr>
          <w:p w14:paraId="0C7BF232" w14:textId="0C731CF7"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472</w:t>
            </w:r>
          </w:p>
        </w:tc>
        <w:tc>
          <w:tcPr>
            <w:tcW w:w="860" w:type="dxa"/>
            <w:tcBorders>
              <w:top w:val="nil"/>
              <w:left w:val="nil"/>
              <w:bottom w:val="nil"/>
              <w:right w:val="nil"/>
            </w:tcBorders>
            <w:shd w:val="clear" w:color="auto" w:fill="auto"/>
            <w:noWrap/>
            <w:vAlign w:val="bottom"/>
            <w:hideMark/>
          </w:tcPr>
          <w:p w14:paraId="0A0725E9" w14:textId="372AE72E"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472</w:t>
            </w:r>
          </w:p>
        </w:tc>
        <w:tc>
          <w:tcPr>
            <w:tcW w:w="860" w:type="dxa"/>
            <w:tcBorders>
              <w:top w:val="nil"/>
              <w:left w:val="nil"/>
              <w:bottom w:val="nil"/>
              <w:right w:val="nil"/>
            </w:tcBorders>
            <w:shd w:val="clear" w:color="auto" w:fill="auto"/>
            <w:noWrap/>
            <w:vAlign w:val="bottom"/>
            <w:hideMark/>
          </w:tcPr>
          <w:p w14:paraId="4F460288" w14:textId="03F39313"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472</w:t>
            </w:r>
          </w:p>
        </w:tc>
        <w:tc>
          <w:tcPr>
            <w:tcW w:w="860" w:type="dxa"/>
            <w:tcBorders>
              <w:top w:val="nil"/>
              <w:left w:val="nil"/>
              <w:bottom w:val="nil"/>
              <w:right w:val="nil"/>
            </w:tcBorders>
            <w:shd w:val="clear" w:color="auto" w:fill="auto"/>
            <w:noWrap/>
            <w:vAlign w:val="bottom"/>
            <w:hideMark/>
          </w:tcPr>
          <w:p w14:paraId="4BDBFFA9" w14:textId="325DFEB2"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472</w:t>
            </w:r>
          </w:p>
        </w:tc>
      </w:tr>
      <w:tr w:rsidR="00426B92" w:rsidRPr="00F963C2" w14:paraId="58A4EEF1" w14:textId="77777777" w:rsidTr="0057089F">
        <w:trPr>
          <w:trHeight w:val="204"/>
        </w:trPr>
        <w:tc>
          <w:tcPr>
            <w:tcW w:w="3261" w:type="dxa"/>
            <w:tcBorders>
              <w:top w:val="nil"/>
              <w:left w:val="nil"/>
              <w:bottom w:val="nil"/>
              <w:right w:val="nil"/>
            </w:tcBorders>
            <w:shd w:val="clear" w:color="auto" w:fill="auto"/>
            <w:noWrap/>
            <w:vAlign w:val="center"/>
            <w:hideMark/>
          </w:tcPr>
          <w:p w14:paraId="5ED41D24" w14:textId="77777777" w:rsidR="00426B92" w:rsidRPr="00F963C2" w:rsidRDefault="00426B92" w:rsidP="00426B92">
            <w:pPr>
              <w:spacing w:after="0" w:line="240" w:lineRule="auto"/>
              <w:ind w:left="113"/>
              <w:jc w:val="left"/>
              <w:rPr>
                <w:rFonts w:ascii="Arial" w:hAnsi="Arial" w:cs="Arial"/>
                <w:b/>
                <w:bCs/>
                <w:i/>
                <w:iCs/>
                <w:color w:val="000000"/>
                <w:sz w:val="16"/>
                <w:szCs w:val="16"/>
              </w:rPr>
            </w:pPr>
            <w:r w:rsidRPr="00F963C2">
              <w:rPr>
                <w:rFonts w:ascii="Arial" w:hAnsi="Arial" w:cs="Arial"/>
                <w:b/>
                <w:bCs/>
                <w:i/>
                <w:iCs/>
                <w:color w:val="000000"/>
                <w:sz w:val="16"/>
                <w:szCs w:val="16"/>
              </w:rPr>
              <w:t>Total financial assets</w:t>
            </w:r>
          </w:p>
        </w:tc>
        <w:tc>
          <w:tcPr>
            <w:tcW w:w="860" w:type="dxa"/>
            <w:tcBorders>
              <w:top w:val="single" w:sz="4" w:space="0" w:color="000000"/>
              <w:left w:val="nil"/>
              <w:bottom w:val="single" w:sz="4" w:space="0" w:color="000000"/>
              <w:right w:val="nil"/>
            </w:tcBorders>
            <w:shd w:val="clear" w:color="auto" w:fill="auto"/>
            <w:noWrap/>
            <w:vAlign w:val="bottom"/>
            <w:hideMark/>
          </w:tcPr>
          <w:p w14:paraId="0A6ECA05" w14:textId="4F1D131D"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168,332</w:t>
            </w:r>
          </w:p>
        </w:tc>
        <w:tc>
          <w:tcPr>
            <w:tcW w:w="860" w:type="dxa"/>
            <w:tcBorders>
              <w:top w:val="single" w:sz="4" w:space="0" w:color="000000"/>
              <w:left w:val="nil"/>
              <w:bottom w:val="single" w:sz="4" w:space="0" w:color="000000"/>
              <w:right w:val="nil"/>
            </w:tcBorders>
            <w:shd w:val="clear" w:color="auto" w:fill="E6E6E6"/>
            <w:noWrap/>
            <w:vAlign w:val="bottom"/>
            <w:hideMark/>
          </w:tcPr>
          <w:p w14:paraId="5748D06C" w14:textId="4360F40B"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170,407</w:t>
            </w:r>
          </w:p>
        </w:tc>
        <w:tc>
          <w:tcPr>
            <w:tcW w:w="860" w:type="dxa"/>
            <w:tcBorders>
              <w:top w:val="single" w:sz="4" w:space="0" w:color="000000"/>
              <w:left w:val="nil"/>
              <w:bottom w:val="single" w:sz="4" w:space="0" w:color="000000"/>
              <w:right w:val="nil"/>
            </w:tcBorders>
            <w:shd w:val="clear" w:color="auto" w:fill="auto"/>
            <w:noWrap/>
            <w:vAlign w:val="bottom"/>
            <w:hideMark/>
          </w:tcPr>
          <w:p w14:paraId="1F709854" w14:textId="4C105EFA"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183,037</w:t>
            </w:r>
          </w:p>
        </w:tc>
        <w:tc>
          <w:tcPr>
            <w:tcW w:w="860" w:type="dxa"/>
            <w:tcBorders>
              <w:top w:val="single" w:sz="4" w:space="0" w:color="000000"/>
              <w:left w:val="nil"/>
              <w:bottom w:val="single" w:sz="4" w:space="0" w:color="000000"/>
              <w:right w:val="nil"/>
            </w:tcBorders>
            <w:shd w:val="clear" w:color="auto" w:fill="auto"/>
            <w:noWrap/>
            <w:vAlign w:val="bottom"/>
            <w:hideMark/>
          </w:tcPr>
          <w:p w14:paraId="3D9080DE" w14:textId="735A53DB"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170,506</w:t>
            </w:r>
          </w:p>
        </w:tc>
        <w:tc>
          <w:tcPr>
            <w:tcW w:w="860" w:type="dxa"/>
            <w:tcBorders>
              <w:top w:val="single" w:sz="4" w:space="0" w:color="000000"/>
              <w:left w:val="nil"/>
              <w:bottom w:val="single" w:sz="4" w:space="0" w:color="000000"/>
              <w:right w:val="nil"/>
            </w:tcBorders>
            <w:shd w:val="clear" w:color="auto" w:fill="auto"/>
            <w:noWrap/>
            <w:vAlign w:val="bottom"/>
            <w:hideMark/>
          </w:tcPr>
          <w:p w14:paraId="6BACA0E2" w14:textId="4012945C"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159,815</w:t>
            </w:r>
          </w:p>
        </w:tc>
      </w:tr>
      <w:tr w:rsidR="00426B92" w:rsidRPr="00F963C2" w14:paraId="098F22E1" w14:textId="77777777" w:rsidTr="0057089F">
        <w:trPr>
          <w:trHeight w:val="204"/>
        </w:trPr>
        <w:tc>
          <w:tcPr>
            <w:tcW w:w="3261" w:type="dxa"/>
            <w:tcBorders>
              <w:top w:val="nil"/>
              <w:left w:val="nil"/>
              <w:bottom w:val="nil"/>
              <w:right w:val="nil"/>
            </w:tcBorders>
            <w:shd w:val="clear" w:color="auto" w:fill="auto"/>
            <w:noWrap/>
            <w:vAlign w:val="center"/>
            <w:hideMark/>
          </w:tcPr>
          <w:p w14:paraId="4A6F82AB" w14:textId="77777777" w:rsidR="00426B92" w:rsidRPr="00F963C2" w:rsidRDefault="00426B92" w:rsidP="00426B92">
            <w:pPr>
              <w:spacing w:after="0" w:line="240" w:lineRule="auto"/>
              <w:ind w:left="113"/>
              <w:jc w:val="left"/>
              <w:rPr>
                <w:rFonts w:ascii="Arial" w:hAnsi="Arial" w:cs="Arial"/>
                <w:b/>
                <w:bCs/>
                <w:color w:val="000000"/>
                <w:sz w:val="16"/>
                <w:szCs w:val="16"/>
              </w:rPr>
            </w:pPr>
            <w:r w:rsidRPr="00F963C2">
              <w:rPr>
                <w:rFonts w:ascii="Arial" w:hAnsi="Arial" w:cs="Arial"/>
                <w:b/>
                <w:bCs/>
                <w:color w:val="000000"/>
                <w:sz w:val="16"/>
                <w:szCs w:val="16"/>
              </w:rPr>
              <w:t>Non-financial assets</w:t>
            </w:r>
          </w:p>
        </w:tc>
        <w:tc>
          <w:tcPr>
            <w:tcW w:w="860" w:type="dxa"/>
            <w:tcBorders>
              <w:top w:val="nil"/>
              <w:left w:val="nil"/>
              <w:bottom w:val="nil"/>
              <w:right w:val="nil"/>
            </w:tcBorders>
            <w:shd w:val="clear" w:color="auto" w:fill="auto"/>
            <w:noWrap/>
            <w:vAlign w:val="bottom"/>
            <w:hideMark/>
          </w:tcPr>
          <w:p w14:paraId="32F4C246" w14:textId="77777777" w:rsidR="00426B92" w:rsidRPr="00F963C2" w:rsidRDefault="00426B92" w:rsidP="00426B92">
            <w:pPr>
              <w:spacing w:after="0" w:line="240" w:lineRule="auto"/>
              <w:ind w:firstLineChars="100" w:firstLine="160"/>
              <w:jc w:val="right"/>
              <w:rPr>
                <w:rFonts w:ascii="Arial" w:hAnsi="Arial" w:cs="Arial"/>
                <w:b/>
                <w:bCs/>
                <w:color w:val="000000"/>
                <w:sz w:val="16"/>
                <w:szCs w:val="16"/>
              </w:rPr>
            </w:pPr>
          </w:p>
        </w:tc>
        <w:tc>
          <w:tcPr>
            <w:tcW w:w="860" w:type="dxa"/>
            <w:tcBorders>
              <w:top w:val="nil"/>
              <w:left w:val="nil"/>
              <w:bottom w:val="nil"/>
              <w:right w:val="nil"/>
            </w:tcBorders>
            <w:shd w:val="clear" w:color="auto" w:fill="E6E6E6"/>
            <w:noWrap/>
            <w:vAlign w:val="bottom"/>
            <w:hideMark/>
          </w:tcPr>
          <w:p w14:paraId="72CDBD56" w14:textId="23D26B75"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59E57823" w14:textId="77777777"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533EC622" w14:textId="77777777" w:rsidR="00426B92" w:rsidRPr="00F963C2" w:rsidRDefault="00426B92" w:rsidP="00426B92">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2A43E403" w14:textId="77777777" w:rsidR="00426B92" w:rsidRPr="00F963C2" w:rsidRDefault="00426B92" w:rsidP="00426B92">
            <w:pPr>
              <w:spacing w:after="0" w:line="240" w:lineRule="auto"/>
              <w:jc w:val="right"/>
              <w:rPr>
                <w:rFonts w:ascii="Times New Roman" w:hAnsi="Times New Roman"/>
              </w:rPr>
            </w:pPr>
          </w:p>
        </w:tc>
      </w:tr>
      <w:tr w:rsidR="00426B92" w:rsidRPr="00F963C2" w14:paraId="774DED5F" w14:textId="77777777" w:rsidTr="0057089F">
        <w:trPr>
          <w:trHeight w:val="204"/>
        </w:trPr>
        <w:tc>
          <w:tcPr>
            <w:tcW w:w="3261" w:type="dxa"/>
            <w:tcBorders>
              <w:top w:val="nil"/>
              <w:left w:val="nil"/>
              <w:bottom w:val="nil"/>
              <w:right w:val="nil"/>
            </w:tcBorders>
            <w:shd w:val="clear" w:color="auto" w:fill="auto"/>
            <w:noWrap/>
            <w:vAlign w:val="center"/>
            <w:hideMark/>
          </w:tcPr>
          <w:p w14:paraId="5339D8C5"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Buildings</w:t>
            </w:r>
          </w:p>
        </w:tc>
        <w:tc>
          <w:tcPr>
            <w:tcW w:w="860" w:type="dxa"/>
            <w:tcBorders>
              <w:top w:val="nil"/>
              <w:left w:val="nil"/>
              <w:bottom w:val="nil"/>
              <w:right w:val="nil"/>
            </w:tcBorders>
            <w:shd w:val="clear" w:color="auto" w:fill="auto"/>
            <w:noWrap/>
            <w:vAlign w:val="bottom"/>
            <w:hideMark/>
          </w:tcPr>
          <w:p w14:paraId="6D3DDEE5" w14:textId="5A713FC5"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135,564</w:t>
            </w:r>
          </w:p>
        </w:tc>
        <w:tc>
          <w:tcPr>
            <w:tcW w:w="860" w:type="dxa"/>
            <w:tcBorders>
              <w:top w:val="nil"/>
              <w:left w:val="nil"/>
              <w:bottom w:val="nil"/>
              <w:right w:val="nil"/>
            </w:tcBorders>
            <w:shd w:val="clear" w:color="auto" w:fill="E6E6E6"/>
            <w:noWrap/>
            <w:vAlign w:val="bottom"/>
            <w:hideMark/>
          </w:tcPr>
          <w:p w14:paraId="799CF584" w14:textId="45A8415B"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113,183</w:t>
            </w:r>
          </w:p>
        </w:tc>
        <w:tc>
          <w:tcPr>
            <w:tcW w:w="860" w:type="dxa"/>
            <w:tcBorders>
              <w:top w:val="nil"/>
              <w:left w:val="nil"/>
              <w:bottom w:val="nil"/>
              <w:right w:val="nil"/>
            </w:tcBorders>
            <w:shd w:val="clear" w:color="auto" w:fill="auto"/>
            <w:noWrap/>
            <w:vAlign w:val="bottom"/>
            <w:hideMark/>
          </w:tcPr>
          <w:p w14:paraId="1583D2C0" w14:textId="62E02343"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91,045</w:t>
            </w:r>
          </w:p>
        </w:tc>
        <w:tc>
          <w:tcPr>
            <w:tcW w:w="860" w:type="dxa"/>
            <w:tcBorders>
              <w:top w:val="nil"/>
              <w:left w:val="nil"/>
              <w:bottom w:val="nil"/>
              <w:right w:val="nil"/>
            </w:tcBorders>
            <w:shd w:val="clear" w:color="auto" w:fill="auto"/>
            <w:noWrap/>
            <w:vAlign w:val="bottom"/>
            <w:hideMark/>
          </w:tcPr>
          <w:p w14:paraId="7D38C4B9" w14:textId="4BB5AE0F"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68,863</w:t>
            </w:r>
          </w:p>
        </w:tc>
        <w:tc>
          <w:tcPr>
            <w:tcW w:w="860" w:type="dxa"/>
            <w:tcBorders>
              <w:top w:val="nil"/>
              <w:left w:val="nil"/>
              <w:bottom w:val="nil"/>
              <w:right w:val="nil"/>
            </w:tcBorders>
            <w:shd w:val="clear" w:color="auto" w:fill="auto"/>
            <w:noWrap/>
            <w:vAlign w:val="bottom"/>
            <w:hideMark/>
          </w:tcPr>
          <w:p w14:paraId="05DFD729" w14:textId="13E364CC"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70,682</w:t>
            </w:r>
          </w:p>
        </w:tc>
      </w:tr>
      <w:tr w:rsidR="00426B92" w:rsidRPr="00F963C2" w14:paraId="33D5F13D" w14:textId="77777777" w:rsidTr="0057089F">
        <w:trPr>
          <w:trHeight w:val="204"/>
        </w:trPr>
        <w:tc>
          <w:tcPr>
            <w:tcW w:w="3261" w:type="dxa"/>
            <w:tcBorders>
              <w:top w:val="nil"/>
              <w:left w:val="nil"/>
              <w:bottom w:val="nil"/>
              <w:right w:val="nil"/>
            </w:tcBorders>
            <w:shd w:val="clear" w:color="auto" w:fill="auto"/>
            <w:noWrap/>
            <w:vAlign w:val="center"/>
            <w:hideMark/>
          </w:tcPr>
          <w:p w14:paraId="03985F89"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Property, plant and equipment</w:t>
            </w:r>
          </w:p>
        </w:tc>
        <w:tc>
          <w:tcPr>
            <w:tcW w:w="860" w:type="dxa"/>
            <w:tcBorders>
              <w:top w:val="nil"/>
              <w:left w:val="nil"/>
              <w:bottom w:val="nil"/>
              <w:right w:val="nil"/>
            </w:tcBorders>
            <w:shd w:val="clear" w:color="auto" w:fill="auto"/>
            <w:noWrap/>
            <w:vAlign w:val="bottom"/>
            <w:hideMark/>
          </w:tcPr>
          <w:p w14:paraId="0795AE5D" w14:textId="159E9671"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18,804</w:t>
            </w:r>
          </w:p>
        </w:tc>
        <w:tc>
          <w:tcPr>
            <w:tcW w:w="860" w:type="dxa"/>
            <w:tcBorders>
              <w:top w:val="nil"/>
              <w:left w:val="nil"/>
              <w:bottom w:val="nil"/>
              <w:right w:val="nil"/>
            </w:tcBorders>
            <w:shd w:val="clear" w:color="auto" w:fill="E6E6E6"/>
            <w:noWrap/>
            <w:vAlign w:val="bottom"/>
            <w:hideMark/>
          </w:tcPr>
          <w:p w14:paraId="144EE3FB" w14:textId="7FFE2698"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13,832</w:t>
            </w:r>
          </w:p>
        </w:tc>
        <w:tc>
          <w:tcPr>
            <w:tcW w:w="860" w:type="dxa"/>
            <w:tcBorders>
              <w:top w:val="nil"/>
              <w:left w:val="nil"/>
              <w:bottom w:val="nil"/>
              <w:right w:val="nil"/>
            </w:tcBorders>
            <w:shd w:val="clear" w:color="auto" w:fill="auto"/>
            <w:noWrap/>
            <w:vAlign w:val="bottom"/>
            <w:hideMark/>
          </w:tcPr>
          <w:p w14:paraId="318CBE85" w14:textId="541B823D"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9,334</w:t>
            </w:r>
          </w:p>
        </w:tc>
        <w:tc>
          <w:tcPr>
            <w:tcW w:w="860" w:type="dxa"/>
            <w:tcBorders>
              <w:top w:val="nil"/>
              <w:left w:val="nil"/>
              <w:bottom w:val="nil"/>
              <w:right w:val="nil"/>
            </w:tcBorders>
            <w:shd w:val="clear" w:color="auto" w:fill="auto"/>
            <w:noWrap/>
            <w:vAlign w:val="bottom"/>
            <w:hideMark/>
          </w:tcPr>
          <w:p w14:paraId="7F75BFD7" w14:textId="3E604317"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7,248</w:t>
            </w:r>
          </w:p>
        </w:tc>
        <w:tc>
          <w:tcPr>
            <w:tcW w:w="860" w:type="dxa"/>
            <w:tcBorders>
              <w:top w:val="nil"/>
              <w:left w:val="nil"/>
              <w:bottom w:val="nil"/>
              <w:right w:val="nil"/>
            </w:tcBorders>
            <w:shd w:val="clear" w:color="auto" w:fill="auto"/>
            <w:noWrap/>
            <w:vAlign w:val="bottom"/>
            <w:hideMark/>
          </w:tcPr>
          <w:p w14:paraId="634D9EE7" w14:textId="0DFA9689"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8,197</w:t>
            </w:r>
          </w:p>
        </w:tc>
      </w:tr>
      <w:tr w:rsidR="00426B92" w:rsidRPr="00F963C2" w14:paraId="48D5F354" w14:textId="77777777" w:rsidTr="0057089F">
        <w:trPr>
          <w:trHeight w:val="204"/>
        </w:trPr>
        <w:tc>
          <w:tcPr>
            <w:tcW w:w="3261" w:type="dxa"/>
            <w:tcBorders>
              <w:top w:val="nil"/>
              <w:left w:val="nil"/>
              <w:bottom w:val="nil"/>
              <w:right w:val="nil"/>
            </w:tcBorders>
            <w:shd w:val="clear" w:color="auto" w:fill="auto"/>
            <w:noWrap/>
            <w:vAlign w:val="center"/>
            <w:hideMark/>
          </w:tcPr>
          <w:p w14:paraId="31948B86"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Intangibles</w:t>
            </w:r>
          </w:p>
        </w:tc>
        <w:tc>
          <w:tcPr>
            <w:tcW w:w="860" w:type="dxa"/>
            <w:tcBorders>
              <w:top w:val="nil"/>
              <w:left w:val="nil"/>
              <w:bottom w:val="nil"/>
              <w:right w:val="nil"/>
            </w:tcBorders>
            <w:shd w:val="clear" w:color="auto" w:fill="auto"/>
            <w:noWrap/>
            <w:vAlign w:val="bottom"/>
            <w:hideMark/>
          </w:tcPr>
          <w:p w14:paraId="2AB96FC5" w14:textId="616DBCB1"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40,341</w:t>
            </w:r>
          </w:p>
        </w:tc>
        <w:tc>
          <w:tcPr>
            <w:tcW w:w="860" w:type="dxa"/>
            <w:tcBorders>
              <w:top w:val="nil"/>
              <w:left w:val="nil"/>
              <w:bottom w:val="nil"/>
              <w:right w:val="nil"/>
            </w:tcBorders>
            <w:shd w:val="clear" w:color="auto" w:fill="E6E6E6"/>
            <w:noWrap/>
            <w:vAlign w:val="bottom"/>
            <w:hideMark/>
          </w:tcPr>
          <w:p w14:paraId="2701951C" w14:textId="49ECB19C"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65,278</w:t>
            </w:r>
          </w:p>
        </w:tc>
        <w:tc>
          <w:tcPr>
            <w:tcW w:w="860" w:type="dxa"/>
            <w:tcBorders>
              <w:top w:val="nil"/>
              <w:left w:val="nil"/>
              <w:bottom w:val="nil"/>
              <w:right w:val="nil"/>
            </w:tcBorders>
            <w:shd w:val="clear" w:color="auto" w:fill="auto"/>
            <w:noWrap/>
            <w:vAlign w:val="bottom"/>
            <w:hideMark/>
          </w:tcPr>
          <w:p w14:paraId="02C22406" w14:textId="18668950"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54,172</w:t>
            </w:r>
          </w:p>
        </w:tc>
        <w:tc>
          <w:tcPr>
            <w:tcW w:w="860" w:type="dxa"/>
            <w:tcBorders>
              <w:top w:val="nil"/>
              <w:left w:val="nil"/>
              <w:bottom w:val="nil"/>
              <w:right w:val="nil"/>
            </w:tcBorders>
            <w:shd w:val="clear" w:color="auto" w:fill="auto"/>
            <w:noWrap/>
            <w:vAlign w:val="bottom"/>
            <w:hideMark/>
          </w:tcPr>
          <w:p w14:paraId="6CECAD47" w14:textId="30AE7B29"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52,877</w:t>
            </w:r>
          </w:p>
        </w:tc>
        <w:tc>
          <w:tcPr>
            <w:tcW w:w="860" w:type="dxa"/>
            <w:tcBorders>
              <w:top w:val="nil"/>
              <w:left w:val="nil"/>
              <w:bottom w:val="nil"/>
              <w:right w:val="nil"/>
            </w:tcBorders>
            <w:shd w:val="clear" w:color="auto" w:fill="auto"/>
            <w:noWrap/>
            <w:vAlign w:val="bottom"/>
            <w:hideMark/>
          </w:tcPr>
          <w:p w14:paraId="4EC0785A" w14:textId="30B7971B"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60,278</w:t>
            </w:r>
          </w:p>
        </w:tc>
      </w:tr>
      <w:tr w:rsidR="00426B92" w:rsidRPr="00F963C2" w14:paraId="518440B9" w14:textId="77777777" w:rsidTr="0057089F">
        <w:trPr>
          <w:trHeight w:val="204"/>
        </w:trPr>
        <w:tc>
          <w:tcPr>
            <w:tcW w:w="3261" w:type="dxa"/>
            <w:tcBorders>
              <w:top w:val="nil"/>
              <w:left w:val="nil"/>
              <w:bottom w:val="nil"/>
              <w:right w:val="nil"/>
            </w:tcBorders>
            <w:shd w:val="clear" w:color="auto" w:fill="auto"/>
            <w:noWrap/>
            <w:vAlign w:val="center"/>
            <w:hideMark/>
          </w:tcPr>
          <w:p w14:paraId="52E4C72A"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Heritage and Cultural</w:t>
            </w:r>
          </w:p>
        </w:tc>
        <w:tc>
          <w:tcPr>
            <w:tcW w:w="860" w:type="dxa"/>
            <w:tcBorders>
              <w:top w:val="nil"/>
              <w:left w:val="nil"/>
              <w:bottom w:val="nil"/>
              <w:right w:val="nil"/>
            </w:tcBorders>
            <w:shd w:val="clear" w:color="auto" w:fill="auto"/>
            <w:noWrap/>
            <w:vAlign w:val="bottom"/>
            <w:hideMark/>
          </w:tcPr>
          <w:p w14:paraId="2DB97472" w14:textId="0E2CBE07"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36,107</w:t>
            </w:r>
          </w:p>
        </w:tc>
        <w:tc>
          <w:tcPr>
            <w:tcW w:w="860" w:type="dxa"/>
            <w:tcBorders>
              <w:top w:val="nil"/>
              <w:left w:val="nil"/>
              <w:bottom w:val="nil"/>
              <w:right w:val="nil"/>
            </w:tcBorders>
            <w:shd w:val="clear" w:color="auto" w:fill="E6E6E6"/>
            <w:noWrap/>
            <w:vAlign w:val="bottom"/>
            <w:hideMark/>
          </w:tcPr>
          <w:p w14:paraId="3EB4F941" w14:textId="6582D680"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35,965</w:t>
            </w:r>
          </w:p>
        </w:tc>
        <w:tc>
          <w:tcPr>
            <w:tcW w:w="860" w:type="dxa"/>
            <w:tcBorders>
              <w:top w:val="nil"/>
              <w:left w:val="nil"/>
              <w:bottom w:val="nil"/>
              <w:right w:val="nil"/>
            </w:tcBorders>
            <w:shd w:val="clear" w:color="auto" w:fill="auto"/>
            <w:noWrap/>
            <w:vAlign w:val="bottom"/>
            <w:hideMark/>
          </w:tcPr>
          <w:p w14:paraId="3FCB0329" w14:textId="676BE309"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35,823</w:t>
            </w:r>
          </w:p>
        </w:tc>
        <w:tc>
          <w:tcPr>
            <w:tcW w:w="860" w:type="dxa"/>
            <w:tcBorders>
              <w:top w:val="nil"/>
              <w:left w:val="nil"/>
              <w:bottom w:val="nil"/>
              <w:right w:val="nil"/>
            </w:tcBorders>
            <w:shd w:val="clear" w:color="auto" w:fill="auto"/>
            <w:noWrap/>
            <w:vAlign w:val="bottom"/>
            <w:hideMark/>
          </w:tcPr>
          <w:p w14:paraId="6A451FD9" w14:textId="30F1B7BF"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35,681</w:t>
            </w:r>
          </w:p>
        </w:tc>
        <w:tc>
          <w:tcPr>
            <w:tcW w:w="860" w:type="dxa"/>
            <w:tcBorders>
              <w:top w:val="nil"/>
              <w:left w:val="nil"/>
              <w:bottom w:val="nil"/>
              <w:right w:val="nil"/>
            </w:tcBorders>
            <w:shd w:val="clear" w:color="auto" w:fill="auto"/>
            <w:noWrap/>
            <w:vAlign w:val="bottom"/>
            <w:hideMark/>
          </w:tcPr>
          <w:p w14:paraId="78E3AD82" w14:textId="4422EE4E"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35,681</w:t>
            </w:r>
          </w:p>
        </w:tc>
      </w:tr>
      <w:tr w:rsidR="00426B92" w:rsidRPr="00F963C2" w14:paraId="17BE65CE" w14:textId="77777777" w:rsidTr="0057089F">
        <w:trPr>
          <w:trHeight w:val="204"/>
        </w:trPr>
        <w:tc>
          <w:tcPr>
            <w:tcW w:w="3261" w:type="dxa"/>
            <w:tcBorders>
              <w:top w:val="nil"/>
              <w:left w:val="nil"/>
              <w:bottom w:val="nil"/>
              <w:right w:val="nil"/>
            </w:tcBorders>
            <w:shd w:val="clear" w:color="auto" w:fill="auto"/>
            <w:noWrap/>
            <w:vAlign w:val="center"/>
            <w:hideMark/>
          </w:tcPr>
          <w:p w14:paraId="59B3D3A5"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Other non-financial assets</w:t>
            </w:r>
          </w:p>
        </w:tc>
        <w:tc>
          <w:tcPr>
            <w:tcW w:w="860" w:type="dxa"/>
            <w:tcBorders>
              <w:top w:val="nil"/>
              <w:left w:val="nil"/>
              <w:bottom w:val="nil"/>
              <w:right w:val="nil"/>
            </w:tcBorders>
            <w:shd w:val="clear" w:color="auto" w:fill="auto"/>
            <w:noWrap/>
            <w:vAlign w:val="bottom"/>
            <w:hideMark/>
          </w:tcPr>
          <w:p w14:paraId="62CB43FF" w14:textId="0B1D10F6"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4,966</w:t>
            </w:r>
          </w:p>
        </w:tc>
        <w:tc>
          <w:tcPr>
            <w:tcW w:w="860" w:type="dxa"/>
            <w:tcBorders>
              <w:top w:val="nil"/>
              <w:left w:val="nil"/>
              <w:bottom w:val="nil"/>
              <w:right w:val="nil"/>
            </w:tcBorders>
            <w:shd w:val="clear" w:color="auto" w:fill="E6E6E6"/>
            <w:noWrap/>
            <w:vAlign w:val="bottom"/>
            <w:hideMark/>
          </w:tcPr>
          <w:p w14:paraId="2AFC6C6C" w14:textId="7520730C"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4,513</w:t>
            </w:r>
          </w:p>
        </w:tc>
        <w:tc>
          <w:tcPr>
            <w:tcW w:w="860" w:type="dxa"/>
            <w:tcBorders>
              <w:top w:val="nil"/>
              <w:left w:val="nil"/>
              <w:bottom w:val="nil"/>
              <w:right w:val="nil"/>
            </w:tcBorders>
            <w:shd w:val="clear" w:color="auto" w:fill="auto"/>
            <w:noWrap/>
            <w:vAlign w:val="bottom"/>
            <w:hideMark/>
          </w:tcPr>
          <w:p w14:paraId="30D83C75" w14:textId="78EA90B6"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4,513</w:t>
            </w:r>
          </w:p>
        </w:tc>
        <w:tc>
          <w:tcPr>
            <w:tcW w:w="860" w:type="dxa"/>
            <w:tcBorders>
              <w:top w:val="nil"/>
              <w:left w:val="nil"/>
              <w:bottom w:val="nil"/>
              <w:right w:val="nil"/>
            </w:tcBorders>
            <w:shd w:val="clear" w:color="auto" w:fill="auto"/>
            <w:noWrap/>
            <w:vAlign w:val="bottom"/>
            <w:hideMark/>
          </w:tcPr>
          <w:p w14:paraId="72942A72" w14:textId="59BE91F9"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4,513</w:t>
            </w:r>
          </w:p>
        </w:tc>
        <w:tc>
          <w:tcPr>
            <w:tcW w:w="860" w:type="dxa"/>
            <w:tcBorders>
              <w:top w:val="nil"/>
              <w:left w:val="nil"/>
              <w:bottom w:val="nil"/>
              <w:right w:val="nil"/>
            </w:tcBorders>
            <w:shd w:val="clear" w:color="auto" w:fill="auto"/>
            <w:noWrap/>
            <w:vAlign w:val="bottom"/>
            <w:hideMark/>
          </w:tcPr>
          <w:p w14:paraId="392D3E5E" w14:textId="7EF2E109"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4,513</w:t>
            </w:r>
          </w:p>
        </w:tc>
      </w:tr>
      <w:tr w:rsidR="00426B92" w:rsidRPr="00F963C2" w14:paraId="47DFF537" w14:textId="77777777" w:rsidTr="0057089F">
        <w:trPr>
          <w:trHeight w:val="204"/>
        </w:trPr>
        <w:tc>
          <w:tcPr>
            <w:tcW w:w="3261" w:type="dxa"/>
            <w:tcBorders>
              <w:top w:val="nil"/>
              <w:left w:val="nil"/>
              <w:bottom w:val="nil"/>
              <w:right w:val="nil"/>
            </w:tcBorders>
            <w:shd w:val="clear" w:color="auto" w:fill="auto"/>
            <w:noWrap/>
            <w:vAlign w:val="center"/>
            <w:hideMark/>
          </w:tcPr>
          <w:p w14:paraId="7E545883" w14:textId="77777777" w:rsidR="00426B92" w:rsidRPr="00F963C2" w:rsidRDefault="00426B92" w:rsidP="00426B92">
            <w:pPr>
              <w:spacing w:after="0" w:line="240" w:lineRule="auto"/>
              <w:ind w:left="113"/>
              <w:jc w:val="left"/>
              <w:rPr>
                <w:rFonts w:ascii="Arial" w:hAnsi="Arial" w:cs="Arial"/>
                <w:b/>
                <w:bCs/>
                <w:i/>
                <w:iCs/>
                <w:color w:val="000000"/>
                <w:sz w:val="16"/>
                <w:szCs w:val="16"/>
              </w:rPr>
            </w:pPr>
            <w:r w:rsidRPr="00F963C2">
              <w:rPr>
                <w:rFonts w:ascii="Arial" w:hAnsi="Arial" w:cs="Arial"/>
                <w:b/>
                <w:bCs/>
                <w:i/>
                <w:iCs/>
                <w:color w:val="000000"/>
                <w:sz w:val="16"/>
                <w:szCs w:val="16"/>
              </w:rPr>
              <w:t>Total non-financial assets</w:t>
            </w:r>
          </w:p>
        </w:tc>
        <w:tc>
          <w:tcPr>
            <w:tcW w:w="860" w:type="dxa"/>
            <w:tcBorders>
              <w:top w:val="single" w:sz="4" w:space="0" w:color="000000"/>
              <w:left w:val="nil"/>
              <w:bottom w:val="single" w:sz="4" w:space="0" w:color="000000"/>
              <w:right w:val="nil"/>
            </w:tcBorders>
            <w:shd w:val="clear" w:color="auto" w:fill="auto"/>
            <w:noWrap/>
            <w:vAlign w:val="bottom"/>
            <w:hideMark/>
          </w:tcPr>
          <w:p w14:paraId="04D4A124" w14:textId="39838A72"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235,782</w:t>
            </w:r>
          </w:p>
        </w:tc>
        <w:tc>
          <w:tcPr>
            <w:tcW w:w="860" w:type="dxa"/>
            <w:tcBorders>
              <w:top w:val="single" w:sz="4" w:space="0" w:color="000000"/>
              <w:left w:val="nil"/>
              <w:bottom w:val="single" w:sz="4" w:space="0" w:color="000000"/>
              <w:right w:val="nil"/>
            </w:tcBorders>
            <w:shd w:val="clear" w:color="auto" w:fill="E6E6E6"/>
            <w:noWrap/>
            <w:vAlign w:val="bottom"/>
            <w:hideMark/>
          </w:tcPr>
          <w:p w14:paraId="6C3685D1" w14:textId="4B7D62BF"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232,771</w:t>
            </w:r>
          </w:p>
        </w:tc>
        <w:tc>
          <w:tcPr>
            <w:tcW w:w="860" w:type="dxa"/>
            <w:tcBorders>
              <w:top w:val="single" w:sz="4" w:space="0" w:color="000000"/>
              <w:left w:val="nil"/>
              <w:bottom w:val="single" w:sz="4" w:space="0" w:color="000000"/>
              <w:right w:val="nil"/>
            </w:tcBorders>
            <w:shd w:val="clear" w:color="auto" w:fill="auto"/>
            <w:noWrap/>
            <w:vAlign w:val="bottom"/>
            <w:hideMark/>
          </w:tcPr>
          <w:p w14:paraId="02B8956C" w14:textId="35686A97"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194,887</w:t>
            </w:r>
          </w:p>
        </w:tc>
        <w:tc>
          <w:tcPr>
            <w:tcW w:w="860" w:type="dxa"/>
            <w:tcBorders>
              <w:top w:val="single" w:sz="4" w:space="0" w:color="000000"/>
              <w:left w:val="nil"/>
              <w:bottom w:val="single" w:sz="4" w:space="0" w:color="000000"/>
              <w:right w:val="nil"/>
            </w:tcBorders>
            <w:shd w:val="clear" w:color="auto" w:fill="auto"/>
            <w:noWrap/>
            <w:vAlign w:val="bottom"/>
            <w:hideMark/>
          </w:tcPr>
          <w:p w14:paraId="7E48F253" w14:textId="3F9E3971"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169,182</w:t>
            </w:r>
          </w:p>
        </w:tc>
        <w:tc>
          <w:tcPr>
            <w:tcW w:w="860" w:type="dxa"/>
            <w:tcBorders>
              <w:top w:val="single" w:sz="4" w:space="0" w:color="000000"/>
              <w:left w:val="nil"/>
              <w:bottom w:val="single" w:sz="4" w:space="0" w:color="000000"/>
              <w:right w:val="nil"/>
            </w:tcBorders>
            <w:shd w:val="clear" w:color="auto" w:fill="auto"/>
            <w:noWrap/>
            <w:vAlign w:val="bottom"/>
            <w:hideMark/>
          </w:tcPr>
          <w:p w14:paraId="4F854CCB" w14:textId="5B59A651"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179,351</w:t>
            </w:r>
          </w:p>
        </w:tc>
      </w:tr>
      <w:tr w:rsidR="00426B92" w:rsidRPr="00F963C2" w14:paraId="5C239DB6" w14:textId="77777777" w:rsidTr="0057089F">
        <w:trPr>
          <w:trHeight w:val="204"/>
        </w:trPr>
        <w:tc>
          <w:tcPr>
            <w:tcW w:w="3261" w:type="dxa"/>
            <w:tcBorders>
              <w:top w:val="nil"/>
              <w:left w:val="nil"/>
              <w:bottom w:val="nil"/>
              <w:right w:val="nil"/>
            </w:tcBorders>
            <w:shd w:val="clear" w:color="auto" w:fill="auto"/>
            <w:noWrap/>
            <w:vAlign w:val="center"/>
            <w:hideMark/>
          </w:tcPr>
          <w:p w14:paraId="75CF2747" w14:textId="77777777" w:rsidR="00426B92" w:rsidRPr="00F963C2" w:rsidRDefault="00426B92" w:rsidP="00426B92">
            <w:pPr>
              <w:spacing w:after="0" w:line="240" w:lineRule="auto"/>
              <w:jc w:val="left"/>
              <w:rPr>
                <w:rFonts w:ascii="Arial" w:hAnsi="Arial" w:cs="Arial"/>
                <w:b/>
                <w:bCs/>
                <w:color w:val="000000"/>
                <w:sz w:val="16"/>
                <w:szCs w:val="16"/>
              </w:rPr>
            </w:pPr>
            <w:r w:rsidRPr="00F963C2">
              <w:rPr>
                <w:rFonts w:ascii="Arial" w:hAnsi="Arial" w:cs="Arial"/>
                <w:b/>
                <w:bCs/>
                <w:color w:val="000000"/>
                <w:sz w:val="16"/>
                <w:szCs w:val="16"/>
              </w:rPr>
              <w:t>Total assets</w:t>
            </w:r>
          </w:p>
        </w:tc>
        <w:tc>
          <w:tcPr>
            <w:tcW w:w="860" w:type="dxa"/>
            <w:tcBorders>
              <w:top w:val="nil"/>
              <w:left w:val="nil"/>
              <w:bottom w:val="single" w:sz="4" w:space="0" w:color="000000"/>
              <w:right w:val="nil"/>
            </w:tcBorders>
            <w:shd w:val="clear" w:color="auto" w:fill="auto"/>
            <w:noWrap/>
            <w:vAlign w:val="bottom"/>
            <w:hideMark/>
          </w:tcPr>
          <w:p w14:paraId="2722C901" w14:textId="63177563"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404,114</w:t>
            </w:r>
          </w:p>
        </w:tc>
        <w:tc>
          <w:tcPr>
            <w:tcW w:w="860" w:type="dxa"/>
            <w:tcBorders>
              <w:top w:val="nil"/>
              <w:left w:val="nil"/>
              <w:bottom w:val="single" w:sz="4" w:space="0" w:color="000000"/>
              <w:right w:val="nil"/>
            </w:tcBorders>
            <w:shd w:val="clear" w:color="auto" w:fill="E6E6E6"/>
            <w:noWrap/>
            <w:vAlign w:val="bottom"/>
            <w:hideMark/>
          </w:tcPr>
          <w:p w14:paraId="7C85E8BA" w14:textId="3D65E2E3"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403,178</w:t>
            </w:r>
          </w:p>
        </w:tc>
        <w:tc>
          <w:tcPr>
            <w:tcW w:w="860" w:type="dxa"/>
            <w:tcBorders>
              <w:top w:val="nil"/>
              <w:left w:val="nil"/>
              <w:bottom w:val="single" w:sz="4" w:space="0" w:color="000000"/>
              <w:right w:val="nil"/>
            </w:tcBorders>
            <w:shd w:val="clear" w:color="auto" w:fill="auto"/>
            <w:noWrap/>
            <w:vAlign w:val="bottom"/>
            <w:hideMark/>
          </w:tcPr>
          <w:p w14:paraId="383E1EB5" w14:textId="27BFEC00"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377,924</w:t>
            </w:r>
          </w:p>
        </w:tc>
        <w:tc>
          <w:tcPr>
            <w:tcW w:w="860" w:type="dxa"/>
            <w:tcBorders>
              <w:top w:val="nil"/>
              <w:left w:val="nil"/>
              <w:bottom w:val="single" w:sz="4" w:space="0" w:color="000000"/>
              <w:right w:val="nil"/>
            </w:tcBorders>
            <w:shd w:val="clear" w:color="auto" w:fill="auto"/>
            <w:noWrap/>
            <w:vAlign w:val="bottom"/>
            <w:hideMark/>
          </w:tcPr>
          <w:p w14:paraId="422CD866" w14:textId="24643844"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339,688</w:t>
            </w:r>
          </w:p>
        </w:tc>
        <w:tc>
          <w:tcPr>
            <w:tcW w:w="860" w:type="dxa"/>
            <w:tcBorders>
              <w:top w:val="nil"/>
              <w:left w:val="nil"/>
              <w:bottom w:val="single" w:sz="4" w:space="0" w:color="000000"/>
              <w:right w:val="nil"/>
            </w:tcBorders>
            <w:shd w:val="clear" w:color="auto" w:fill="auto"/>
            <w:noWrap/>
            <w:vAlign w:val="bottom"/>
            <w:hideMark/>
          </w:tcPr>
          <w:p w14:paraId="4D76A84E" w14:textId="64221558"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339,166</w:t>
            </w:r>
          </w:p>
        </w:tc>
      </w:tr>
      <w:tr w:rsidR="00426B92" w:rsidRPr="00F963C2" w14:paraId="57F03CB7" w14:textId="77777777" w:rsidTr="0057089F">
        <w:trPr>
          <w:trHeight w:val="204"/>
        </w:trPr>
        <w:tc>
          <w:tcPr>
            <w:tcW w:w="3261" w:type="dxa"/>
            <w:tcBorders>
              <w:top w:val="nil"/>
              <w:left w:val="nil"/>
              <w:bottom w:val="nil"/>
              <w:right w:val="nil"/>
            </w:tcBorders>
            <w:shd w:val="clear" w:color="auto" w:fill="auto"/>
            <w:noWrap/>
            <w:vAlign w:val="center"/>
            <w:hideMark/>
          </w:tcPr>
          <w:p w14:paraId="5D66461A" w14:textId="77777777" w:rsidR="00426B92" w:rsidRPr="00F963C2" w:rsidRDefault="00426B92" w:rsidP="00426B92">
            <w:pPr>
              <w:spacing w:after="0" w:line="240" w:lineRule="auto"/>
              <w:jc w:val="left"/>
              <w:rPr>
                <w:rFonts w:ascii="Arial" w:hAnsi="Arial" w:cs="Arial"/>
                <w:b/>
                <w:bCs/>
                <w:color w:val="000000"/>
                <w:sz w:val="16"/>
                <w:szCs w:val="16"/>
              </w:rPr>
            </w:pPr>
            <w:r w:rsidRPr="00F963C2">
              <w:rPr>
                <w:rFonts w:ascii="Arial" w:hAnsi="Arial" w:cs="Arial"/>
                <w:b/>
                <w:bCs/>
                <w:color w:val="000000"/>
                <w:sz w:val="16"/>
                <w:szCs w:val="16"/>
              </w:rPr>
              <w:t>LIABILITIES</w:t>
            </w:r>
          </w:p>
        </w:tc>
        <w:tc>
          <w:tcPr>
            <w:tcW w:w="860" w:type="dxa"/>
            <w:tcBorders>
              <w:top w:val="nil"/>
              <w:left w:val="nil"/>
              <w:bottom w:val="nil"/>
              <w:right w:val="nil"/>
            </w:tcBorders>
            <w:shd w:val="clear" w:color="auto" w:fill="auto"/>
            <w:noWrap/>
            <w:vAlign w:val="bottom"/>
            <w:hideMark/>
          </w:tcPr>
          <w:p w14:paraId="379C3E5E" w14:textId="77777777" w:rsidR="00426B92" w:rsidRPr="00F963C2" w:rsidRDefault="00426B92" w:rsidP="00426B92">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auto" w:fill="E6E6E6"/>
            <w:noWrap/>
            <w:vAlign w:val="bottom"/>
            <w:hideMark/>
          </w:tcPr>
          <w:p w14:paraId="00117DB6" w14:textId="0A99CB1B"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3A104F43" w14:textId="77777777"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1EBD9443" w14:textId="77777777" w:rsidR="00426B92" w:rsidRPr="00F963C2" w:rsidRDefault="00426B92" w:rsidP="00426B92">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69ED8410" w14:textId="77777777" w:rsidR="00426B92" w:rsidRPr="00F963C2" w:rsidRDefault="00426B92" w:rsidP="00426B92">
            <w:pPr>
              <w:spacing w:after="0" w:line="240" w:lineRule="auto"/>
              <w:jc w:val="right"/>
              <w:rPr>
                <w:rFonts w:ascii="Times New Roman" w:hAnsi="Times New Roman"/>
              </w:rPr>
            </w:pPr>
          </w:p>
        </w:tc>
      </w:tr>
      <w:tr w:rsidR="00426B92" w:rsidRPr="00F963C2" w14:paraId="3D7DAECD" w14:textId="77777777" w:rsidTr="0057089F">
        <w:trPr>
          <w:trHeight w:val="204"/>
        </w:trPr>
        <w:tc>
          <w:tcPr>
            <w:tcW w:w="3261" w:type="dxa"/>
            <w:tcBorders>
              <w:top w:val="nil"/>
              <w:left w:val="nil"/>
              <w:bottom w:val="nil"/>
              <w:right w:val="nil"/>
            </w:tcBorders>
            <w:shd w:val="clear" w:color="auto" w:fill="auto"/>
            <w:noWrap/>
            <w:vAlign w:val="center"/>
            <w:hideMark/>
          </w:tcPr>
          <w:p w14:paraId="36562FB1" w14:textId="77777777" w:rsidR="00426B92" w:rsidRPr="00F963C2" w:rsidRDefault="00426B92" w:rsidP="00426B92">
            <w:pPr>
              <w:spacing w:after="0" w:line="240" w:lineRule="auto"/>
              <w:ind w:left="113"/>
              <w:jc w:val="left"/>
              <w:rPr>
                <w:rFonts w:ascii="Arial" w:hAnsi="Arial" w:cs="Arial"/>
                <w:b/>
                <w:bCs/>
                <w:color w:val="000000"/>
                <w:sz w:val="16"/>
                <w:szCs w:val="16"/>
              </w:rPr>
            </w:pPr>
            <w:r w:rsidRPr="00F963C2">
              <w:rPr>
                <w:rFonts w:ascii="Arial" w:hAnsi="Arial" w:cs="Arial"/>
                <w:b/>
                <w:bCs/>
                <w:color w:val="000000"/>
                <w:sz w:val="16"/>
                <w:szCs w:val="16"/>
              </w:rPr>
              <w:t>Payables</w:t>
            </w:r>
          </w:p>
        </w:tc>
        <w:tc>
          <w:tcPr>
            <w:tcW w:w="860" w:type="dxa"/>
            <w:tcBorders>
              <w:top w:val="nil"/>
              <w:left w:val="nil"/>
              <w:bottom w:val="nil"/>
              <w:right w:val="nil"/>
            </w:tcBorders>
            <w:shd w:val="clear" w:color="auto" w:fill="auto"/>
            <w:noWrap/>
            <w:vAlign w:val="bottom"/>
            <w:hideMark/>
          </w:tcPr>
          <w:p w14:paraId="237072C4" w14:textId="77777777" w:rsidR="00426B92" w:rsidRPr="00F963C2" w:rsidRDefault="00426B92" w:rsidP="00426B92">
            <w:pPr>
              <w:spacing w:after="0" w:line="240" w:lineRule="auto"/>
              <w:ind w:firstLineChars="100" w:firstLine="160"/>
              <w:jc w:val="right"/>
              <w:rPr>
                <w:rFonts w:ascii="Arial" w:hAnsi="Arial" w:cs="Arial"/>
                <w:b/>
                <w:bCs/>
                <w:color w:val="000000"/>
                <w:sz w:val="16"/>
                <w:szCs w:val="16"/>
              </w:rPr>
            </w:pPr>
          </w:p>
        </w:tc>
        <w:tc>
          <w:tcPr>
            <w:tcW w:w="860" w:type="dxa"/>
            <w:tcBorders>
              <w:top w:val="nil"/>
              <w:left w:val="nil"/>
              <w:bottom w:val="nil"/>
              <w:right w:val="nil"/>
            </w:tcBorders>
            <w:shd w:val="clear" w:color="auto" w:fill="E6E6E6"/>
            <w:noWrap/>
            <w:vAlign w:val="bottom"/>
            <w:hideMark/>
          </w:tcPr>
          <w:p w14:paraId="2BEF9E66" w14:textId="49118122"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229C76B0" w14:textId="77777777"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67820A4A" w14:textId="77777777" w:rsidR="00426B92" w:rsidRPr="00F963C2" w:rsidRDefault="00426B92" w:rsidP="00426B92">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02D1963F" w14:textId="77777777" w:rsidR="00426B92" w:rsidRPr="00F963C2" w:rsidRDefault="00426B92" w:rsidP="00426B92">
            <w:pPr>
              <w:spacing w:after="0" w:line="240" w:lineRule="auto"/>
              <w:jc w:val="right"/>
              <w:rPr>
                <w:rFonts w:ascii="Times New Roman" w:hAnsi="Times New Roman"/>
              </w:rPr>
            </w:pPr>
          </w:p>
        </w:tc>
      </w:tr>
      <w:tr w:rsidR="00426B92" w:rsidRPr="00F963C2" w14:paraId="3CA58FB3" w14:textId="77777777" w:rsidTr="0057089F">
        <w:trPr>
          <w:trHeight w:val="204"/>
        </w:trPr>
        <w:tc>
          <w:tcPr>
            <w:tcW w:w="3261" w:type="dxa"/>
            <w:tcBorders>
              <w:top w:val="nil"/>
              <w:left w:val="nil"/>
              <w:bottom w:val="nil"/>
              <w:right w:val="nil"/>
            </w:tcBorders>
            <w:shd w:val="clear" w:color="auto" w:fill="auto"/>
            <w:noWrap/>
            <w:vAlign w:val="center"/>
            <w:hideMark/>
          </w:tcPr>
          <w:p w14:paraId="19A7C5FE"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Suppliers</w:t>
            </w:r>
          </w:p>
        </w:tc>
        <w:tc>
          <w:tcPr>
            <w:tcW w:w="860" w:type="dxa"/>
            <w:tcBorders>
              <w:top w:val="nil"/>
              <w:left w:val="nil"/>
              <w:bottom w:val="nil"/>
              <w:right w:val="nil"/>
            </w:tcBorders>
            <w:shd w:val="clear" w:color="auto" w:fill="auto"/>
            <w:noWrap/>
            <w:vAlign w:val="bottom"/>
            <w:hideMark/>
          </w:tcPr>
          <w:p w14:paraId="546371BF" w14:textId="3F93C347"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31,103</w:t>
            </w:r>
          </w:p>
        </w:tc>
        <w:tc>
          <w:tcPr>
            <w:tcW w:w="860" w:type="dxa"/>
            <w:tcBorders>
              <w:top w:val="nil"/>
              <w:left w:val="nil"/>
              <w:bottom w:val="nil"/>
              <w:right w:val="nil"/>
            </w:tcBorders>
            <w:shd w:val="clear" w:color="auto" w:fill="E6E6E6"/>
            <w:noWrap/>
            <w:vAlign w:val="bottom"/>
            <w:hideMark/>
          </w:tcPr>
          <w:p w14:paraId="060F8960" w14:textId="22B7510A"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41,050</w:t>
            </w:r>
          </w:p>
        </w:tc>
        <w:tc>
          <w:tcPr>
            <w:tcW w:w="860" w:type="dxa"/>
            <w:tcBorders>
              <w:top w:val="nil"/>
              <w:left w:val="nil"/>
              <w:bottom w:val="nil"/>
              <w:right w:val="nil"/>
            </w:tcBorders>
            <w:shd w:val="clear" w:color="auto" w:fill="auto"/>
            <w:noWrap/>
            <w:vAlign w:val="bottom"/>
            <w:hideMark/>
          </w:tcPr>
          <w:p w14:paraId="1D15EB50" w14:textId="6DACA2BB"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39,049</w:t>
            </w:r>
          </w:p>
        </w:tc>
        <w:tc>
          <w:tcPr>
            <w:tcW w:w="860" w:type="dxa"/>
            <w:tcBorders>
              <w:top w:val="nil"/>
              <w:left w:val="nil"/>
              <w:bottom w:val="nil"/>
              <w:right w:val="nil"/>
            </w:tcBorders>
            <w:shd w:val="clear" w:color="auto" w:fill="auto"/>
            <w:noWrap/>
            <w:vAlign w:val="bottom"/>
            <w:hideMark/>
          </w:tcPr>
          <w:p w14:paraId="6CF121D1" w14:textId="12EBBF52"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26,186</w:t>
            </w:r>
          </w:p>
        </w:tc>
        <w:tc>
          <w:tcPr>
            <w:tcW w:w="860" w:type="dxa"/>
            <w:tcBorders>
              <w:top w:val="nil"/>
              <w:left w:val="nil"/>
              <w:bottom w:val="nil"/>
              <w:right w:val="nil"/>
            </w:tcBorders>
            <w:shd w:val="clear" w:color="auto" w:fill="auto"/>
            <w:noWrap/>
            <w:vAlign w:val="bottom"/>
            <w:hideMark/>
          </w:tcPr>
          <w:p w14:paraId="79AB533F" w14:textId="7917691A"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14,017</w:t>
            </w:r>
          </w:p>
        </w:tc>
      </w:tr>
      <w:tr w:rsidR="00426B92" w:rsidRPr="00F963C2" w14:paraId="4C2DD90F" w14:textId="77777777" w:rsidTr="0057089F">
        <w:trPr>
          <w:trHeight w:val="204"/>
        </w:trPr>
        <w:tc>
          <w:tcPr>
            <w:tcW w:w="3261" w:type="dxa"/>
            <w:tcBorders>
              <w:top w:val="nil"/>
              <w:left w:val="nil"/>
              <w:bottom w:val="nil"/>
              <w:right w:val="nil"/>
            </w:tcBorders>
            <w:shd w:val="clear" w:color="auto" w:fill="auto"/>
            <w:noWrap/>
            <w:vAlign w:val="center"/>
            <w:hideMark/>
          </w:tcPr>
          <w:p w14:paraId="36868A96"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Other payables</w:t>
            </w:r>
          </w:p>
        </w:tc>
        <w:tc>
          <w:tcPr>
            <w:tcW w:w="860" w:type="dxa"/>
            <w:tcBorders>
              <w:top w:val="nil"/>
              <w:left w:val="nil"/>
              <w:bottom w:val="nil"/>
              <w:right w:val="nil"/>
            </w:tcBorders>
            <w:shd w:val="clear" w:color="auto" w:fill="auto"/>
            <w:noWrap/>
            <w:vAlign w:val="bottom"/>
            <w:hideMark/>
          </w:tcPr>
          <w:p w14:paraId="627F7E0C" w14:textId="1228131E"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9,874</w:t>
            </w:r>
          </w:p>
        </w:tc>
        <w:tc>
          <w:tcPr>
            <w:tcW w:w="860" w:type="dxa"/>
            <w:tcBorders>
              <w:top w:val="nil"/>
              <w:left w:val="nil"/>
              <w:bottom w:val="nil"/>
              <w:right w:val="nil"/>
            </w:tcBorders>
            <w:shd w:val="clear" w:color="auto" w:fill="E6E6E6"/>
            <w:noWrap/>
            <w:vAlign w:val="bottom"/>
            <w:hideMark/>
          </w:tcPr>
          <w:p w14:paraId="50137F3B" w14:textId="2672255D"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3,473</w:t>
            </w:r>
          </w:p>
        </w:tc>
        <w:tc>
          <w:tcPr>
            <w:tcW w:w="860" w:type="dxa"/>
            <w:tcBorders>
              <w:top w:val="nil"/>
              <w:left w:val="nil"/>
              <w:bottom w:val="nil"/>
              <w:right w:val="nil"/>
            </w:tcBorders>
            <w:shd w:val="clear" w:color="auto" w:fill="auto"/>
            <w:noWrap/>
            <w:vAlign w:val="bottom"/>
            <w:hideMark/>
          </w:tcPr>
          <w:p w14:paraId="1704D15A" w14:textId="041034DC"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3,473</w:t>
            </w:r>
          </w:p>
        </w:tc>
        <w:tc>
          <w:tcPr>
            <w:tcW w:w="860" w:type="dxa"/>
            <w:tcBorders>
              <w:top w:val="nil"/>
              <w:left w:val="nil"/>
              <w:bottom w:val="nil"/>
              <w:right w:val="nil"/>
            </w:tcBorders>
            <w:shd w:val="clear" w:color="auto" w:fill="auto"/>
            <w:noWrap/>
            <w:vAlign w:val="bottom"/>
            <w:hideMark/>
          </w:tcPr>
          <w:p w14:paraId="2EE03826" w14:textId="7CC887C0"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3,473</w:t>
            </w:r>
          </w:p>
        </w:tc>
        <w:tc>
          <w:tcPr>
            <w:tcW w:w="860" w:type="dxa"/>
            <w:tcBorders>
              <w:top w:val="nil"/>
              <w:left w:val="nil"/>
              <w:bottom w:val="nil"/>
              <w:right w:val="nil"/>
            </w:tcBorders>
            <w:shd w:val="clear" w:color="auto" w:fill="auto"/>
            <w:noWrap/>
            <w:vAlign w:val="bottom"/>
            <w:hideMark/>
          </w:tcPr>
          <w:p w14:paraId="6AD6C419" w14:textId="340CDAEB"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3,473</w:t>
            </w:r>
          </w:p>
        </w:tc>
      </w:tr>
      <w:tr w:rsidR="00426B92" w:rsidRPr="00F963C2" w14:paraId="78EEFE76" w14:textId="77777777" w:rsidTr="0057089F">
        <w:trPr>
          <w:trHeight w:val="204"/>
        </w:trPr>
        <w:tc>
          <w:tcPr>
            <w:tcW w:w="3261" w:type="dxa"/>
            <w:tcBorders>
              <w:top w:val="nil"/>
              <w:left w:val="nil"/>
              <w:bottom w:val="nil"/>
              <w:right w:val="nil"/>
            </w:tcBorders>
            <w:shd w:val="clear" w:color="auto" w:fill="auto"/>
            <w:noWrap/>
            <w:vAlign w:val="center"/>
            <w:hideMark/>
          </w:tcPr>
          <w:p w14:paraId="15ECF689" w14:textId="01FF1388" w:rsidR="00426B92" w:rsidRPr="00F963C2" w:rsidRDefault="00426B92" w:rsidP="00426B92">
            <w:pPr>
              <w:spacing w:after="0" w:line="240" w:lineRule="auto"/>
              <w:jc w:val="left"/>
              <w:rPr>
                <w:rFonts w:ascii="Arial" w:hAnsi="Arial" w:cs="Arial"/>
                <w:b/>
                <w:bCs/>
                <w:i/>
                <w:iCs/>
                <w:color w:val="000000"/>
                <w:sz w:val="16"/>
                <w:szCs w:val="16"/>
              </w:rPr>
            </w:pPr>
            <w:r w:rsidRPr="00F963C2">
              <w:rPr>
                <w:rFonts w:ascii="Arial" w:hAnsi="Arial" w:cs="Arial"/>
                <w:b/>
                <w:bCs/>
                <w:i/>
                <w:iCs/>
                <w:color w:val="000000"/>
                <w:sz w:val="16"/>
                <w:szCs w:val="16"/>
              </w:rPr>
              <w:t>Total payables</w:t>
            </w:r>
          </w:p>
        </w:tc>
        <w:tc>
          <w:tcPr>
            <w:tcW w:w="860" w:type="dxa"/>
            <w:tcBorders>
              <w:top w:val="single" w:sz="4" w:space="0" w:color="000000"/>
              <w:left w:val="nil"/>
              <w:bottom w:val="single" w:sz="4" w:space="0" w:color="000000"/>
              <w:right w:val="nil"/>
            </w:tcBorders>
            <w:shd w:val="clear" w:color="auto" w:fill="auto"/>
            <w:noWrap/>
            <w:vAlign w:val="bottom"/>
            <w:hideMark/>
          </w:tcPr>
          <w:p w14:paraId="3EBA9054" w14:textId="6A322D3B"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40,977</w:t>
            </w:r>
          </w:p>
        </w:tc>
        <w:tc>
          <w:tcPr>
            <w:tcW w:w="860" w:type="dxa"/>
            <w:tcBorders>
              <w:top w:val="single" w:sz="4" w:space="0" w:color="000000"/>
              <w:left w:val="nil"/>
              <w:bottom w:val="single" w:sz="4" w:space="0" w:color="000000"/>
              <w:right w:val="nil"/>
            </w:tcBorders>
            <w:shd w:val="clear" w:color="auto" w:fill="E6E6E6"/>
            <w:noWrap/>
            <w:vAlign w:val="bottom"/>
            <w:hideMark/>
          </w:tcPr>
          <w:p w14:paraId="163FC6F4" w14:textId="50E93294"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44,523</w:t>
            </w:r>
          </w:p>
        </w:tc>
        <w:tc>
          <w:tcPr>
            <w:tcW w:w="860" w:type="dxa"/>
            <w:tcBorders>
              <w:top w:val="single" w:sz="4" w:space="0" w:color="000000"/>
              <w:left w:val="nil"/>
              <w:bottom w:val="single" w:sz="4" w:space="0" w:color="000000"/>
              <w:right w:val="nil"/>
            </w:tcBorders>
            <w:shd w:val="clear" w:color="auto" w:fill="auto"/>
            <w:noWrap/>
            <w:vAlign w:val="bottom"/>
            <w:hideMark/>
          </w:tcPr>
          <w:p w14:paraId="27C0295A" w14:textId="5A490E93"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42,522</w:t>
            </w:r>
          </w:p>
        </w:tc>
        <w:tc>
          <w:tcPr>
            <w:tcW w:w="860" w:type="dxa"/>
            <w:tcBorders>
              <w:top w:val="single" w:sz="4" w:space="0" w:color="000000"/>
              <w:left w:val="nil"/>
              <w:bottom w:val="single" w:sz="4" w:space="0" w:color="000000"/>
              <w:right w:val="nil"/>
            </w:tcBorders>
            <w:shd w:val="clear" w:color="auto" w:fill="auto"/>
            <w:noWrap/>
            <w:vAlign w:val="bottom"/>
            <w:hideMark/>
          </w:tcPr>
          <w:p w14:paraId="11FF29B4" w14:textId="27ACDABD"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29,659</w:t>
            </w:r>
          </w:p>
        </w:tc>
        <w:tc>
          <w:tcPr>
            <w:tcW w:w="860" w:type="dxa"/>
            <w:tcBorders>
              <w:top w:val="single" w:sz="4" w:space="0" w:color="000000"/>
              <w:left w:val="nil"/>
              <w:bottom w:val="single" w:sz="4" w:space="0" w:color="000000"/>
              <w:right w:val="nil"/>
            </w:tcBorders>
            <w:shd w:val="clear" w:color="auto" w:fill="auto"/>
            <w:noWrap/>
            <w:vAlign w:val="bottom"/>
            <w:hideMark/>
          </w:tcPr>
          <w:p w14:paraId="04EFA73A" w14:textId="266AE04C"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17,490</w:t>
            </w:r>
          </w:p>
        </w:tc>
      </w:tr>
      <w:tr w:rsidR="00426B92" w:rsidRPr="00F963C2" w14:paraId="742F2B3C" w14:textId="77777777" w:rsidTr="0057089F">
        <w:trPr>
          <w:trHeight w:val="204"/>
        </w:trPr>
        <w:tc>
          <w:tcPr>
            <w:tcW w:w="3261" w:type="dxa"/>
            <w:tcBorders>
              <w:top w:val="nil"/>
              <w:left w:val="nil"/>
              <w:bottom w:val="nil"/>
              <w:right w:val="nil"/>
            </w:tcBorders>
            <w:shd w:val="clear" w:color="auto" w:fill="auto"/>
            <w:noWrap/>
            <w:vAlign w:val="center"/>
            <w:hideMark/>
          </w:tcPr>
          <w:p w14:paraId="03A4DD06" w14:textId="77777777" w:rsidR="00426B92" w:rsidRPr="00F963C2" w:rsidRDefault="00426B92" w:rsidP="00426B92">
            <w:pPr>
              <w:spacing w:after="0" w:line="240" w:lineRule="auto"/>
              <w:ind w:left="113"/>
              <w:jc w:val="left"/>
              <w:rPr>
                <w:rFonts w:ascii="Arial" w:hAnsi="Arial" w:cs="Arial"/>
                <w:b/>
                <w:bCs/>
                <w:color w:val="000000"/>
                <w:sz w:val="16"/>
                <w:szCs w:val="16"/>
              </w:rPr>
            </w:pPr>
            <w:r w:rsidRPr="00F963C2">
              <w:rPr>
                <w:rFonts w:ascii="Arial" w:hAnsi="Arial" w:cs="Arial"/>
                <w:b/>
                <w:bCs/>
                <w:color w:val="000000"/>
                <w:sz w:val="16"/>
                <w:szCs w:val="16"/>
              </w:rPr>
              <w:t>Interest bearing liabilities</w:t>
            </w:r>
          </w:p>
        </w:tc>
        <w:tc>
          <w:tcPr>
            <w:tcW w:w="860" w:type="dxa"/>
            <w:tcBorders>
              <w:top w:val="nil"/>
              <w:left w:val="nil"/>
              <w:bottom w:val="nil"/>
              <w:right w:val="nil"/>
            </w:tcBorders>
            <w:shd w:val="clear" w:color="auto" w:fill="auto"/>
            <w:noWrap/>
            <w:vAlign w:val="bottom"/>
            <w:hideMark/>
          </w:tcPr>
          <w:p w14:paraId="66BFCEDF" w14:textId="77777777" w:rsidR="00426B92" w:rsidRPr="00F963C2" w:rsidRDefault="00426B92" w:rsidP="00426B92">
            <w:pPr>
              <w:spacing w:after="0" w:line="240" w:lineRule="auto"/>
              <w:ind w:firstLineChars="100" w:firstLine="160"/>
              <w:jc w:val="right"/>
              <w:rPr>
                <w:rFonts w:ascii="Arial" w:hAnsi="Arial" w:cs="Arial"/>
                <w:b/>
                <w:bCs/>
                <w:color w:val="000000"/>
                <w:sz w:val="16"/>
                <w:szCs w:val="16"/>
              </w:rPr>
            </w:pPr>
          </w:p>
        </w:tc>
        <w:tc>
          <w:tcPr>
            <w:tcW w:w="860" w:type="dxa"/>
            <w:tcBorders>
              <w:top w:val="nil"/>
              <w:left w:val="nil"/>
              <w:bottom w:val="nil"/>
              <w:right w:val="nil"/>
            </w:tcBorders>
            <w:shd w:val="clear" w:color="auto" w:fill="E6E6E6"/>
            <w:noWrap/>
            <w:vAlign w:val="bottom"/>
            <w:hideMark/>
          </w:tcPr>
          <w:p w14:paraId="67703AD8" w14:textId="6D2B9069"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578E57A5" w14:textId="77777777"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0AC5335B" w14:textId="77777777" w:rsidR="00426B92" w:rsidRPr="00F963C2" w:rsidRDefault="00426B92" w:rsidP="00426B92">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4A4FD870" w14:textId="77777777" w:rsidR="00426B92" w:rsidRPr="00F963C2" w:rsidRDefault="00426B92" w:rsidP="00426B92">
            <w:pPr>
              <w:spacing w:after="0" w:line="240" w:lineRule="auto"/>
              <w:jc w:val="right"/>
              <w:rPr>
                <w:rFonts w:ascii="Times New Roman" w:hAnsi="Times New Roman"/>
              </w:rPr>
            </w:pPr>
          </w:p>
        </w:tc>
      </w:tr>
      <w:tr w:rsidR="00426B92" w:rsidRPr="00F963C2" w14:paraId="66D15221" w14:textId="77777777" w:rsidTr="0057089F">
        <w:trPr>
          <w:trHeight w:val="204"/>
        </w:trPr>
        <w:tc>
          <w:tcPr>
            <w:tcW w:w="3261" w:type="dxa"/>
            <w:tcBorders>
              <w:top w:val="nil"/>
              <w:left w:val="nil"/>
              <w:bottom w:val="nil"/>
              <w:right w:val="nil"/>
            </w:tcBorders>
            <w:shd w:val="clear" w:color="auto" w:fill="auto"/>
            <w:noWrap/>
            <w:vAlign w:val="center"/>
            <w:hideMark/>
          </w:tcPr>
          <w:p w14:paraId="509A81E0"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Leases</w:t>
            </w:r>
          </w:p>
        </w:tc>
        <w:tc>
          <w:tcPr>
            <w:tcW w:w="860" w:type="dxa"/>
            <w:tcBorders>
              <w:top w:val="nil"/>
              <w:left w:val="nil"/>
              <w:bottom w:val="nil"/>
              <w:right w:val="nil"/>
            </w:tcBorders>
            <w:shd w:val="clear" w:color="auto" w:fill="auto"/>
            <w:noWrap/>
            <w:vAlign w:val="bottom"/>
            <w:hideMark/>
          </w:tcPr>
          <w:p w14:paraId="52754990" w14:textId="3B4FECF4"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115,114</w:t>
            </w:r>
          </w:p>
        </w:tc>
        <w:tc>
          <w:tcPr>
            <w:tcW w:w="860" w:type="dxa"/>
            <w:tcBorders>
              <w:top w:val="nil"/>
              <w:left w:val="nil"/>
              <w:bottom w:val="nil"/>
              <w:right w:val="nil"/>
            </w:tcBorders>
            <w:shd w:val="clear" w:color="auto" w:fill="E6E6E6"/>
            <w:noWrap/>
            <w:vAlign w:val="bottom"/>
            <w:hideMark/>
          </w:tcPr>
          <w:p w14:paraId="7893F552" w14:textId="04421A32"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97,230</w:t>
            </w:r>
          </w:p>
        </w:tc>
        <w:tc>
          <w:tcPr>
            <w:tcW w:w="860" w:type="dxa"/>
            <w:tcBorders>
              <w:top w:val="nil"/>
              <w:left w:val="nil"/>
              <w:bottom w:val="nil"/>
              <w:right w:val="nil"/>
            </w:tcBorders>
            <w:shd w:val="clear" w:color="auto" w:fill="auto"/>
            <w:noWrap/>
            <w:vAlign w:val="bottom"/>
            <w:hideMark/>
          </w:tcPr>
          <w:p w14:paraId="5F374D16" w14:textId="76F3A390"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78,539</w:t>
            </w:r>
          </w:p>
        </w:tc>
        <w:tc>
          <w:tcPr>
            <w:tcW w:w="860" w:type="dxa"/>
            <w:tcBorders>
              <w:top w:val="nil"/>
              <w:left w:val="nil"/>
              <w:bottom w:val="nil"/>
              <w:right w:val="nil"/>
            </w:tcBorders>
            <w:shd w:val="clear" w:color="auto" w:fill="auto"/>
            <w:noWrap/>
            <w:vAlign w:val="bottom"/>
            <w:hideMark/>
          </w:tcPr>
          <w:p w14:paraId="67954066" w14:textId="7BD6BC60"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59,794</w:t>
            </w:r>
          </w:p>
        </w:tc>
        <w:tc>
          <w:tcPr>
            <w:tcW w:w="860" w:type="dxa"/>
            <w:tcBorders>
              <w:top w:val="nil"/>
              <w:left w:val="nil"/>
              <w:bottom w:val="nil"/>
              <w:right w:val="nil"/>
            </w:tcBorders>
            <w:shd w:val="clear" w:color="auto" w:fill="auto"/>
            <w:noWrap/>
            <w:vAlign w:val="bottom"/>
            <w:hideMark/>
          </w:tcPr>
          <w:p w14:paraId="63D4691C" w14:textId="7805B2D2"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59,794</w:t>
            </w:r>
          </w:p>
        </w:tc>
      </w:tr>
      <w:tr w:rsidR="00426B92" w:rsidRPr="00F963C2" w14:paraId="703C27F5" w14:textId="77777777" w:rsidTr="0057089F">
        <w:trPr>
          <w:trHeight w:val="204"/>
        </w:trPr>
        <w:tc>
          <w:tcPr>
            <w:tcW w:w="3261" w:type="dxa"/>
            <w:tcBorders>
              <w:top w:val="nil"/>
              <w:left w:val="nil"/>
              <w:bottom w:val="nil"/>
              <w:right w:val="nil"/>
            </w:tcBorders>
            <w:shd w:val="clear" w:color="auto" w:fill="auto"/>
            <w:noWrap/>
            <w:vAlign w:val="center"/>
            <w:hideMark/>
          </w:tcPr>
          <w:p w14:paraId="0748989A" w14:textId="77777777" w:rsidR="00426B92" w:rsidRPr="00F963C2" w:rsidRDefault="00426B92" w:rsidP="00426B92">
            <w:pPr>
              <w:spacing w:after="0" w:line="240" w:lineRule="auto"/>
              <w:ind w:firstLineChars="100" w:firstLine="160"/>
              <w:jc w:val="left"/>
              <w:rPr>
                <w:rFonts w:ascii="Arial" w:hAnsi="Arial" w:cs="Arial"/>
                <w:b/>
                <w:bCs/>
                <w:i/>
                <w:iCs/>
                <w:color w:val="000000"/>
                <w:sz w:val="16"/>
                <w:szCs w:val="16"/>
              </w:rPr>
            </w:pPr>
            <w:r w:rsidRPr="00F963C2">
              <w:rPr>
                <w:rFonts w:ascii="Arial" w:hAnsi="Arial" w:cs="Arial"/>
                <w:b/>
                <w:bCs/>
                <w:i/>
                <w:iCs/>
                <w:color w:val="000000"/>
                <w:sz w:val="16"/>
                <w:szCs w:val="16"/>
              </w:rPr>
              <w:t>Total interest bearing liabilities</w:t>
            </w:r>
          </w:p>
        </w:tc>
        <w:tc>
          <w:tcPr>
            <w:tcW w:w="860" w:type="dxa"/>
            <w:tcBorders>
              <w:top w:val="single" w:sz="4" w:space="0" w:color="000000"/>
              <w:left w:val="nil"/>
              <w:bottom w:val="single" w:sz="4" w:space="0" w:color="000000"/>
              <w:right w:val="nil"/>
            </w:tcBorders>
            <w:shd w:val="clear" w:color="auto" w:fill="auto"/>
            <w:noWrap/>
            <w:vAlign w:val="bottom"/>
            <w:hideMark/>
          </w:tcPr>
          <w:p w14:paraId="071312E8" w14:textId="6FBE3AE3"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115,114</w:t>
            </w:r>
          </w:p>
        </w:tc>
        <w:tc>
          <w:tcPr>
            <w:tcW w:w="860" w:type="dxa"/>
            <w:tcBorders>
              <w:top w:val="single" w:sz="4" w:space="0" w:color="000000"/>
              <w:left w:val="nil"/>
              <w:bottom w:val="single" w:sz="4" w:space="0" w:color="000000"/>
              <w:right w:val="nil"/>
            </w:tcBorders>
            <w:shd w:val="clear" w:color="auto" w:fill="E6E6E6"/>
            <w:noWrap/>
            <w:vAlign w:val="bottom"/>
            <w:hideMark/>
          </w:tcPr>
          <w:p w14:paraId="01C90249" w14:textId="7926C910"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97,230</w:t>
            </w:r>
          </w:p>
        </w:tc>
        <w:tc>
          <w:tcPr>
            <w:tcW w:w="860" w:type="dxa"/>
            <w:tcBorders>
              <w:top w:val="single" w:sz="4" w:space="0" w:color="000000"/>
              <w:left w:val="nil"/>
              <w:bottom w:val="single" w:sz="4" w:space="0" w:color="000000"/>
              <w:right w:val="nil"/>
            </w:tcBorders>
            <w:shd w:val="clear" w:color="auto" w:fill="auto"/>
            <w:noWrap/>
            <w:vAlign w:val="bottom"/>
            <w:hideMark/>
          </w:tcPr>
          <w:p w14:paraId="1769603F" w14:textId="72EDE352"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78,539</w:t>
            </w:r>
          </w:p>
        </w:tc>
        <w:tc>
          <w:tcPr>
            <w:tcW w:w="860" w:type="dxa"/>
            <w:tcBorders>
              <w:top w:val="single" w:sz="4" w:space="0" w:color="000000"/>
              <w:left w:val="nil"/>
              <w:bottom w:val="single" w:sz="4" w:space="0" w:color="000000"/>
              <w:right w:val="nil"/>
            </w:tcBorders>
            <w:shd w:val="clear" w:color="auto" w:fill="auto"/>
            <w:noWrap/>
            <w:vAlign w:val="bottom"/>
            <w:hideMark/>
          </w:tcPr>
          <w:p w14:paraId="409E0D6E" w14:textId="26D06FBC"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59,794</w:t>
            </w:r>
          </w:p>
        </w:tc>
        <w:tc>
          <w:tcPr>
            <w:tcW w:w="860" w:type="dxa"/>
            <w:tcBorders>
              <w:top w:val="single" w:sz="4" w:space="0" w:color="000000"/>
              <w:left w:val="nil"/>
              <w:bottom w:val="single" w:sz="4" w:space="0" w:color="000000"/>
              <w:right w:val="nil"/>
            </w:tcBorders>
            <w:shd w:val="clear" w:color="auto" w:fill="auto"/>
            <w:noWrap/>
            <w:vAlign w:val="bottom"/>
            <w:hideMark/>
          </w:tcPr>
          <w:p w14:paraId="0A761CD1" w14:textId="2EC8EE77"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59,794</w:t>
            </w:r>
          </w:p>
        </w:tc>
      </w:tr>
      <w:tr w:rsidR="00426B92" w:rsidRPr="00F963C2" w14:paraId="57C6F1D7" w14:textId="77777777" w:rsidTr="0057089F">
        <w:trPr>
          <w:trHeight w:val="204"/>
        </w:trPr>
        <w:tc>
          <w:tcPr>
            <w:tcW w:w="3261" w:type="dxa"/>
            <w:tcBorders>
              <w:top w:val="nil"/>
              <w:left w:val="nil"/>
              <w:bottom w:val="nil"/>
              <w:right w:val="nil"/>
            </w:tcBorders>
            <w:shd w:val="clear" w:color="auto" w:fill="auto"/>
            <w:noWrap/>
            <w:vAlign w:val="center"/>
            <w:hideMark/>
          </w:tcPr>
          <w:p w14:paraId="4ED5DE62" w14:textId="77777777" w:rsidR="00426B92" w:rsidRPr="00F963C2" w:rsidRDefault="00426B92" w:rsidP="00426B92">
            <w:pPr>
              <w:spacing w:after="0" w:line="240" w:lineRule="auto"/>
              <w:ind w:left="113"/>
              <w:jc w:val="left"/>
              <w:rPr>
                <w:rFonts w:ascii="Arial" w:hAnsi="Arial" w:cs="Arial"/>
                <w:b/>
                <w:bCs/>
                <w:color w:val="000000"/>
                <w:sz w:val="16"/>
                <w:szCs w:val="16"/>
              </w:rPr>
            </w:pPr>
            <w:r w:rsidRPr="00F963C2">
              <w:rPr>
                <w:rFonts w:ascii="Arial" w:hAnsi="Arial" w:cs="Arial"/>
                <w:b/>
                <w:bCs/>
                <w:color w:val="000000"/>
                <w:sz w:val="16"/>
                <w:szCs w:val="16"/>
              </w:rPr>
              <w:t>Provisions</w:t>
            </w:r>
          </w:p>
        </w:tc>
        <w:tc>
          <w:tcPr>
            <w:tcW w:w="860" w:type="dxa"/>
            <w:tcBorders>
              <w:top w:val="nil"/>
              <w:left w:val="nil"/>
              <w:bottom w:val="nil"/>
              <w:right w:val="nil"/>
            </w:tcBorders>
            <w:shd w:val="clear" w:color="auto" w:fill="auto"/>
            <w:noWrap/>
            <w:vAlign w:val="bottom"/>
            <w:hideMark/>
          </w:tcPr>
          <w:p w14:paraId="7DC14385" w14:textId="77777777" w:rsidR="00426B92" w:rsidRPr="00F963C2" w:rsidRDefault="00426B92" w:rsidP="00426B92">
            <w:pPr>
              <w:spacing w:after="0" w:line="240" w:lineRule="auto"/>
              <w:ind w:firstLineChars="100" w:firstLine="160"/>
              <w:jc w:val="right"/>
              <w:rPr>
                <w:rFonts w:ascii="Arial" w:hAnsi="Arial" w:cs="Arial"/>
                <w:b/>
                <w:bCs/>
                <w:color w:val="000000"/>
                <w:sz w:val="16"/>
                <w:szCs w:val="16"/>
              </w:rPr>
            </w:pPr>
          </w:p>
        </w:tc>
        <w:tc>
          <w:tcPr>
            <w:tcW w:w="860" w:type="dxa"/>
            <w:tcBorders>
              <w:top w:val="nil"/>
              <w:left w:val="nil"/>
              <w:bottom w:val="nil"/>
              <w:right w:val="nil"/>
            </w:tcBorders>
            <w:shd w:val="clear" w:color="auto" w:fill="E6E6E6"/>
            <w:noWrap/>
            <w:vAlign w:val="bottom"/>
            <w:hideMark/>
          </w:tcPr>
          <w:p w14:paraId="7A48310F" w14:textId="6D711E40"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3E8F1472" w14:textId="77777777"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121026F8" w14:textId="77777777" w:rsidR="00426B92" w:rsidRPr="00F963C2" w:rsidRDefault="00426B92" w:rsidP="00426B92">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10B3AB7F" w14:textId="77777777" w:rsidR="00426B92" w:rsidRPr="00F963C2" w:rsidRDefault="00426B92" w:rsidP="00426B92">
            <w:pPr>
              <w:spacing w:after="0" w:line="240" w:lineRule="auto"/>
              <w:jc w:val="right"/>
              <w:rPr>
                <w:rFonts w:ascii="Times New Roman" w:hAnsi="Times New Roman"/>
              </w:rPr>
            </w:pPr>
          </w:p>
        </w:tc>
      </w:tr>
      <w:tr w:rsidR="00426B92" w:rsidRPr="00F963C2" w14:paraId="31785F57" w14:textId="77777777" w:rsidTr="0057089F">
        <w:trPr>
          <w:trHeight w:val="204"/>
        </w:trPr>
        <w:tc>
          <w:tcPr>
            <w:tcW w:w="3261" w:type="dxa"/>
            <w:tcBorders>
              <w:top w:val="nil"/>
              <w:left w:val="nil"/>
              <w:bottom w:val="nil"/>
              <w:right w:val="nil"/>
            </w:tcBorders>
            <w:shd w:val="clear" w:color="auto" w:fill="auto"/>
            <w:noWrap/>
            <w:vAlign w:val="center"/>
            <w:hideMark/>
          </w:tcPr>
          <w:p w14:paraId="0638A29F"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Employee provisions</w:t>
            </w:r>
          </w:p>
        </w:tc>
        <w:tc>
          <w:tcPr>
            <w:tcW w:w="860" w:type="dxa"/>
            <w:tcBorders>
              <w:top w:val="nil"/>
              <w:left w:val="nil"/>
              <w:bottom w:val="nil"/>
              <w:right w:val="nil"/>
            </w:tcBorders>
            <w:shd w:val="clear" w:color="auto" w:fill="auto"/>
            <w:noWrap/>
            <w:vAlign w:val="bottom"/>
            <w:hideMark/>
          </w:tcPr>
          <w:p w14:paraId="45C35540" w14:textId="27A260FB"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69,393</w:t>
            </w:r>
          </w:p>
        </w:tc>
        <w:tc>
          <w:tcPr>
            <w:tcW w:w="860" w:type="dxa"/>
            <w:tcBorders>
              <w:top w:val="nil"/>
              <w:left w:val="nil"/>
              <w:bottom w:val="nil"/>
              <w:right w:val="nil"/>
            </w:tcBorders>
            <w:shd w:val="clear" w:color="auto" w:fill="E6E6E6"/>
            <w:noWrap/>
            <w:vAlign w:val="bottom"/>
            <w:hideMark/>
          </w:tcPr>
          <w:p w14:paraId="71AA4785" w14:textId="1B6F4E09"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79,312</w:t>
            </w:r>
          </w:p>
        </w:tc>
        <w:tc>
          <w:tcPr>
            <w:tcW w:w="860" w:type="dxa"/>
            <w:tcBorders>
              <w:top w:val="nil"/>
              <w:left w:val="nil"/>
              <w:bottom w:val="nil"/>
              <w:right w:val="nil"/>
            </w:tcBorders>
            <w:shd w:val="clear" w:color="auto" w:fill="auto"/>
            <w:noWrap/>
            <w:vAlign w:val="bottom"/>
            <w:hideMark/>
          </w:tcPr>
          <w:p w14:paraId="2C86C044" w14:textId="18116260"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81,708</w:t>
            </w:r>
          </w:p>
        </w:tc>
        <w:tc>
          <w:tcPr>
            <w:tcW w:w="860" w:type="dxa"/>
            <w:tcBorders>
              <w:top w:val="nil"/>
              <w:left w:val="nil"/>
              <w:bottom w:val="nil"/>
              <w:right w:val="nil"/>
            </w:tcBorders>
            <w:shd w:val="clear" w:color="auto" w:fill="auto"/>
            <w:noWrap/>
            <w:vAlign w:val="bottom"/>
            <w:hideMark/>
          </w:tcPr>
          <w:p w14:paraId="488AA96C" w14:textId="6DF7ABB4"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81,845</w:t>
            </w:r>
          </w:p>
        </w:tc>
        <w:tc>
          <w:tcPr>
            <w:tcW w:w="860" w:type="dxa"/>
            <w:tcBorders>
              <w:top w:val="nil"/>
              <w:left w:val="nil"/>
              <w:bottom w:val="nil"/>
              <w:right w:val="nil"/>
            </w:tcBorders>
            <w:shd w:val="clear" w:color="auto" w:fill="auto"/>
            <w:noWrap/>
            <w:vAlign w:val="bottom"/>
            <w:hideMark/>
          </w:tcPr>
          <w:p w14:paraId="0A928155" w14:textId="51830662"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83,323</w:t>
            </w:r>
          </w:p>
        </w:tc>
      </w:tr>
      <w:tr w:rsidR="00426B92" w:rsidRPr="00F963C2" w14:paraId="2E80A6DD" w14:textId="77777777" w:rsidTr="0057089F">
        <w:trPr>
          <w:trHeight w:val="204"/>
        </w:trPr>
        <w:tc>
          <w:tcPr>
            <w:tcW w:w="3261" w:type="dxa"/>
            <w:tcBorders>
              <w:top w:val="nil"/>
              <w:left w:val="nil"/>
              <w:bottom w:val="nil"/>
              <w:right w:val="nil"/>
            </w:tcBorders>
            <w:shd w:val="clear" w:color="auto" w:fill="auto"/>
            <w:noWrap/>
            <w:vAlign w:val="center"/>
            <w:hideMark/>
          </w:tcPr>
          <w:p w14:paraId="71EE4EB1"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Other provisions</w:t>
            </w:r>
          </w:p>
        </w:tc>
        <w:tc>
          <w:tcPr>
            <w:tcW w:w="860" w:type="dxa"/>
            <w:tcBorders>
              <w:top w:val="nil"/>
              <w:left w:val="nil"/>
              <w:bottom w:val="nil"/>
              <w:right w:val="nil"/>
            </w:tcBorders>
            <w:shd w:val="clear" w:color="auto" w:fill="auto"/>
            <w:noWrap/>
            <w:vAlign w:val="bottom"/>
            <w:hideMark/>
          </w:tcPr>
          <w:p w14:paraId="5E4DBE15" w14:textId="2A98D052"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713</w:t>
            </w:r>
          </w:p>
        </w:tc>
        <w:tc>
          <w:tcPr>
            <w:tcW w:w="860" w:type="dxa"/>
            <w:tcBorders>
              <w:top w:val="nil"/>
              <w:left w:val="nil"/>
              <w:bottom w:val="nil"/>
              <w:right w:val="nil"/>
            </w:tcBorders>
            <w:shd w:val="clear" w:color="auto" w:fill="E6E6E6"/>
            <w:noWrap/>
            <w:vAlign w:val="bottom"/>
            <w:hideMark/>
          </w:tcPr>
          <w:p w14:paraId="6782071D" w14:textId="437C90C9"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714</w:t>
            </w:r>
          </w:p>
        </w:tc>
        <w:tc>
          <w:tcPr>
            <w:tcW w:w="860" w:type="dxa"/>
            <w:tcBorders>
              <w:top w:val="nil"/>
              <w:left w:val="nil"/>
              <w:bottom w:val="nil"/>
              <w:right w:val="nil"/>
            </w:tcBorders>
            <w:shd w:val="clear" w:color="auto" w:fill="auto"/>
            <w:noWrap/>
            <w:vAlign w:val="bottom"/>
            <w:hideMark/>
          </w:tcPr>
          <w:p w14:paraId="0257DB6D" w14:textId="1CCB554D"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714</w:t>
            </w:r>
          </w:p>
        </w:tc>
        <w:tc>
          <w:tcPr>
            <w:tcW w:w="860" w:type="dxa"/>
            <w:tcBorders>
              <w:top w:val="nil"/>
              <w:left w:val="nil"/>
              <w:bottom w:val="nil"/>
              <w:right w:val="nil"/>
            </w:tcBorders>
            <w:shd w:val="clear" w:color="auto" w:fill="auto"/>
            <w:noWrap/>
            <w:vAlign w:val="bottom"/>
            <w:hideMark/>
          </w:tcPr>
          <w:p w14:paraId="7F8989AF" w14:textId="3F941C20"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714</w:t>
            </w:r>
          </w:p>
        </w:tc>
        <w:tc>
          <w:tcPr>
            <w:tcW w:w="860" w:type="dxa"/>
            <w:tcBorders>
              <w:top w:val="nil"/>
              <w:left w:val="nil"/>
              <w:bottom w:val="nil"/>
              <w:right w:val="nil"/>
            </w:tcBorders>
            <w:shd w:val="clear" w:color="auto" w:fill="auto"/>
            <w:noWrap/>
            <w:vAlign w:val="bottom"/>
            <w:hideMark/>
          </w:tcPr>
          <w:p w14:paraId="5A73FB68" w14:textId="3007D776"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714</w:t>
            </w:r>
          </w:p>
        </w:tc>
      </w:tr>
      <w:tr w:rsidR="00426B92" w:rsidRPr="00F963C2" w14:paraId="62AC8EFD" w14:textId="77777777" w:rsidTr="0057089F">
        <w:trPr>
          <w:trHeight w:val="204"/>
        </w:trPr>
        <w:tc>
          <w:tcPr>
            <w:tcW w:w="3261" w:type="dxa"/>
            <w:tcBorders>
              <w:top w:val="nil"/>
              <w:left w:val="nil"/>
              <w:bottom w:val="nil"/>
              <w:right w:val="nil"/>
            </w:tcBorders>
            <w:shd w:val="clear" w:color="auto" w:fill="auto"/>
            <w:noWrap/>
            <w:vAlign w:val="center"/>
            <w:hideMark/>
          </w:tcPr>
          <w:p w14:paraId="188E3D36" w14:textId="77777777" w:rsidR="00426B92" w:rsidRPr="00F963C2" w:rsidRDefault="00426B92" w:rsidP="00426B92">
            <w:pPr>
              <w:spacing w:after="0" w:line="240" w:lineRule="auto"/>
              <w:ind w:left="113"/>
              <w:jc w:val="left"/>
              <w:rPr>
                <w:rFonts w:ascii="Arial" w:hAnsi="Arial" w:cs="Arial"/>
                <w:b/>
                <w:bCs/>
                <w:i/>
                <w:iCs/>
                <w:color w:val="000000"/>
                <w:sz w:val="16"/>
                <w:szCs w:val="16"/>
              </w:rPr>
            </w:pPr>
            <w:r w:rsidRPr="00F963C2">
              <w:rPr>
                <w:rFonts w:ascii="Arial" w:hAnsi="Arial" w:cs="Arial"/>
                <w:b/>
                <w:bCs/>
                <w:i/>
                <w:iCs/>
                <w:color w:val="000000"/>
                <w:sz w:val="16"/>
                <w:szCs w:val="16"/>
              </w:rPr>
              <w:t>Total provisions</w:t>
            </w:r>
          </w:p>
        </w:tc>
        <w:tc>
          <w:tcPr>
            <w:tcW w:w="860" w:type="dxa"/>
            <w:tcBorders>
              <w:top w:val="single" w:sz="4" w:space="0" w:color="000000"/>
              <w:left w:val="nil"/>
              <w:bottom w:val="single" w:sz="4" w:space="0" w:color="000000"/>
              <w:right w:val="nil"/>
            </w:tcBorders>
            <w:shd w:val="clear" w:color="auto" w:fill="auto"/>
            <w:noWrap/>
            <w:vAlign w:val="bottom"/>
            <w:hideMark/>
          </w:tcPr>
          <w:p w14:paraId="23CEFAB0" w14:textId="48432CB0"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70,106</w:t>
            </w:r>
          </w:p>
        </w:tc>
        <w:tc>
          <w:tcPr>
            <w:tcW w:w="860" w:type="dxa"/>
            <w:tcBorders>
              <w:top w:val="single" w:sz="4" w:space="0" w:color="000000"/>
              <w:left w:val="nil"/>
              <w:bottom w:val="single" w:sz="4" w:space="0" w:color="000000"/>
              <w:right w:val="nil"/>
            </w:tcBorders>
            <w:shd w:val="clear" w:color="auto" w:fill="E6E6E6"/>
            <w:noWrap/>
            <w:vAlign w:val="bottom"/>
            <w:hideMark/>
          </w:tcPr>
          <w:p w14:paraId="56740302" w14:textId="2B62DA02"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80,026</w:t>
            </w:r>
          </w:p>
        </w:tc>
        <w:tc>
          <w:tcPr>
            <w:tcW w:w="860" w:type="dxa"/>
            <w:tcBorders>
              <w:top w:val="single" w:sz="4" w:space="0" w:color="000000"/>
              <w:left w:val="nil"/>
              <w:bottom w:val="single" w:sz="4" w:space="0" w:color="000000"/>
              <w:right w:val="nil"/>
            </w:tcBorders>
            <w:shd w:val="clear" w:color="auto" w:fill="auto"/>
            <w:noWrap/>
            <w:vAlign w:val="bottom"/>
            <w:hideMark/>
          </w:tcPr>
          <w:p w14:paraId="3BA45219" w14:textId="4D453CDE"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82,422</w:t>
            </w:r>
          </w:p>
        </w:tc>
        <w:tc>
          <w:tcPr>
            <w:tcW w:w="860" w:type="dxa"/>
            <w:tcBorders>
              <w:top w:val="single" w:sz="4" w:space="0" w:color="000000"/>
              <w:left w:val="nil"/>
              <w:bottom w:val="single" w:sz="4" w:space="0" w:color="000000"/>
              <w:right w:val="nil"/>
            </w:tcBorders>
            <w:shd w:val="clear" w:color="auto" w:fill="auto"/>
            <w:noWrap/>
            <w:vAlign w:val="bottom"/>
            <w:hideMark/>
          </w:tcPr>
          <w:p w14:paraId="29EE51EA" w14:textId="7E3AB7B6"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82,559</w:t>
            </w:r>
          </w:p>
        </w:tc>
        <w:tc>
          <w:tcPr>
            <w:tcW w:w="860" w:type="dxa"/>
            <w:tcBorders>
              <w:top w:val="single" w:sz="4" w:space="0" w:color="000000"/>
              <w:left w:val="nil"/>
              <w:bottom w:val="single" w:sz="4" w:space="0" w:color="000000"/>
              <w:right w:val="nil"/>
            </w:tcBorders>
            <w:shd w:val="clear" w:color="auto" w:fill="auto"/>
            <w:noWrap/>
            <w:vAlign w:val="bottom"/>
            <w:hideMark/>
          </w:tcPr>
          <w:p w14:paraId="36C946C4" w14:textId="664F594A"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84,037</w:t>
            </w:r>
          </w:p>
        </w:tc>
      </w:tr>
      <w:tr w:rsidR="00426B92" w:rsidRPr="00F963C2" w14:paraId="637E71FD" w14:textId="77777777" w:rsidTr="0057089F">
        <w:trPr>
          <w:trHeight w:val="204"/>
        </w:trPr>
        <w:tc>
          <w:tcPr>
            <w:tcW w:w="3261" w:type="dxa"/>
            <w:tcBorders>
              <w:top w:val="nil"/>
              <w:left w:val="nil"/>
              <w:right w:val="nil"/>
            </w:tcBorders>
            <w:shd w:val="clear" w:color="auto" w:fill="auto"/>
            <w:noWrap/>
            <w:vAlign w:val="center"/>
            <w:hideMark/>
          </w:tcPr>
          <w:p w14:paraId="10F66C2F" w14:textId="77777777" w:rsidR="00426B92" w:rsidRPr="00F963C2" w:rsidRDefault="00426B92" w:rsidP="00426B92">
            <w:pPr>
              <w:spacing w:after="0" w:line="240" w:lineRule="auto"/>
              <w:jc w:val="left"/>
              <w:rPr>
                <w:rFonts w:ascii="Arial" w:hAnsi="Arial" w:cs="Arial"/>
                <w:b/>
                <w:bCs/>
                <w:color w:val="000000"/>
                <w:sz w:val="16"/>
                <w:szCs w:val="16"/>
              </w:rPr>
            </w:pPr>
            <w:r w:rsidRPr="00F963C2">
              <w:rPr>
                <w:rFonts w:ascii="Arial" w:hAnsi="Arial" w:cs="Arial"/>
                <w:b/>
                <w:bCs/>
                <w:color w:val="000000"/>
                <w:sz w:val="16"/>
                <w:szCs w:val="16"/>
              </w:rPr>
              <w:t>Total liabilities</w:t>
            </w:r>
          </w:p>
        </w:tc>
        <w:tc>
          <w:tcPr>
            <w:tcW w:w="860" w:type="dxa"/>
            <w:tcBorders>
              <w:top w:val="single" w:sz="4" w:space="0" w:color="auto"/>
              <w:left w:val="nil"/>
              <w:bottom w:val="single" w:sz="4" w:space="0" w:color="auto"/>
              <w:right w:val="nil"/>
            </w:tcBorders>
            <w:shd w:val="clear" w:color="auto" w:fill="auto"/>
            <w:noWrap/>
            <w:vAlign w:val="bottom"/>
            <w:hideMark/>
          </w:tcPr>
          <w:p w14:paraId="58A10C9B" w14:textId="46CD285C"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226,197</w:t>
            </w:r>
          </w:p>
        </w:tc>
        <w:tc>
          <w:tcPr>
            <w:tcW w:w="860" w:type="dxa"/>
            <w:tcBorders>
              <w:top w:val="single" w:sz="4" w:space="0" w:color="auto"/>
              <w:left w:val="nil"/>
              <w:bottom w:val="single" w:sz="4" w:space="0" w:color="auto"/>
              <w:right w:val="nil"/>
            </w:tcBorders>
            <w:shd w:val="clear" w:color="auto" w:fill="E6E6E6"/>
            <w:noWrap/>
            <w:vAlign w:val="bottom"/>
            <w:hideMark/>
          </w:tcPr>
          <w:p w14:paraId="356D85BA" w14:textId="3DCEBB5B"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221,779</w:t>
            </w:r>
          </w:p>
        </w:tc>
        <w:tc>
          <w:tcPr>
            <w:tcW w:w="860" w:type="dxa"/>
            <w:tcBorders>
              <w:top w:val="single" w:sz="4" w:space="0" w:color="auto"/>
              <w:left w:val="nil"/>
              <w:bottom w:val="single" w:sz="4" w:space="0" w:color="auto"/>
              <w:right w:val="nil"/>
            </w:tcBorders>
            <w:shd w:val="clear" w:color="auto" w:fill="auto"/>
            <w:noWrap/>
            <w:vAlign w:val="bottom"/>
            <w:hideMark/>
          </w:tcPr>
          <w:p w14:paraId="45B00E3B" w14:textId="4D1B76E8"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203,483</w:t>
            </w:r>
          </w:p>
        </w:tc>
        <w:tc>
          <w:tcPr>
            <w:tcW w:w="860" w:type="dxa"/>
            <w:tcBorders>
              <w:top w:val="single" w:sz="4" w:space="0" w:color="auto"/>
              <w:left w:val="nil"/>
              <w:bottom w:val="single" w:sz="4" w:space="0" w:color="auto"/>
              <w:right w:val="nil"/>
            </w:tcBorders>
            <w:shd w:val="clear" w:color="auto" w:fill="auto"/>
            <w:noWrap/>
            <w:vAlign w:val="bottom"/>
            <w:hideMark/>
          </w:tcPr>
          <w:p w14:paraId="0E1EC939" w14:textId="3739B147"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172,012</w:t>
            </w:r>
          </w:p>
        </w:tc>
        <w:tc>
          <w:tcPr>
            <w:tcW w:w="860" w:type="dxa"/>
            <w:tcBorders>
              <w:top w:val="single" w:sz="4" w:space="0" w:color="auto"/>
              <w:left w:val="nil"/>
              <w:bottom w:val="single" w:sz="4" w:space="0" w:color="auto"/>
              <w:right w:val="nil"/>
            </w:tcBorders>
            <w:shd w:val="clear" w:color="auto" w:fill="auto"/>
            <w:noWrap/>
            <w:vAlign w:val="bottom"/>
            <w:hideMark/>
          </w:tcPr>
          <w:p w14:paraId="4E1A56BD" w14:textId="71CA6469"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161,321</w:t>
            </w:r>
          </w:p>
        </w:tc>
      </w:tr>
      <w:tr w:rsidR="00426B92" w:rsidRPr="00F963C2" w14:paraId="184BF64B" w14:textId="77777777" w:rsidTr="0057089F">
        <w:trPr>
          <w:trHeight w:val="204"/>
        </w:trPr>
        <w:tc>
          <w:tcPr>
            <w:tcW w:w="3261" w:type="dxa"/>
            <w:tcBorders>
              <w:top w:val="nil"/>
              <w:left w:val="nil"/>
              <w:right w:val="nil"/>
            </w:tcBorders>
            <w:shd w:val="clear" w:color="auto" w:fill="auto"/>
            <w:noWrap/>
            <w:vAlign w:val="center"/>
            <w:hideMark/>
          </w:tcPr>
          <w:p w14:paraId="04E7F53E" w14:textId="77777777" w:rsidR="00426B92" w:rsidRPr="00F963C2" w:rsidRDefault="00426B92" w:rsidP="00426B92">
            <w:pPr>
              <w:spacing w:after="0" w:line="240" w:lineRule="auto"/>
              <w:jc w:val="left"/>
              <w:rPr>
                <w:rFonts w:ascii="Arial" w:hAnsi="Arial" w:cs="Arial"/>
                <w:b/>
                <w:bCs/>
                <w:sz w:val="16"/>
                <w:szCs w:val="16"/>
              </w:rPr>
            </w:pPr>
            <w:r w:rsidRPr="00F963C2">
              <w:rPr>
                <w:rFonts w:ascii="Arial" w:hAnsi="Arial" w:cs="Arial"/>
                <w:b/>
                <w:bCs/>
                <w:sz w:val="16"/>
                <w:szCs w:val="16"/>
              </w:rPr>
              <w:t>Net assets</w:t>
            </w:r>
          </w:p>
        </w:tc>
        <w:tc>
          <w:tcPr>
            <w:tcW w:w="860" w:type="dxa"/>
            <w:tcBorders>
              <w:top w:val="nil"/>
              <w:left w:val="nil"/>
              <w:bottom w:val="single" w:sz="4" w:space="0" w:color="auto"/>
              <w:right w:val="nil"/>
            </w:tcBorders>
            <w:shd w:val="clear" w:color="auto" w:fill="auto"/>
            <w:noWrap/>
            <w:vAlign w:val="bottom"/>
            <w:hideMark/>
          </w:tcPr>
          <w:p w14:paraId="51B80870" w14:textId="0A340AA2"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177,917</w:t>
            </w:r>
          </w:p>
        </w:tc>
        <w:tc>
          <w:tcPr>
            <w:tcW w:w="860" w:type="dxa"/>
            <w:tcBorders>
              <w:top w:val="nil"/>
              <w:left w:val="nil"/>
              <w:bottom w:val="single" w:sz="4" w:space="0" w:color="auto"/>
              <w:right w:val="nil"/>
            </w:tcBorders>
            <w:shd w:val="clear" w:color="auto" w:fill="E6E6E6"/>
            <w:noWrap/>
            <w:vAlign w:val="bottom"/>
            <w:hideMark/>
          </w:tcPr>
          <w:p w14:paraId="1C28A461" w14:textId="3877833C"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181,399</w:t>
            </w:r>
          </w:p>
        </w:tc>
        <w:tc>
          <w:tcPr>
            <w:tcW w:w="860" w:type="dxa"/>
            <w:tcBorders>
              <w:top w:val="nil"/>
              <w:left w:val="nil"/>
              <w:bottom w:val="single" w:sz="4" w:space="0" w:color="auto"/>
              <w:right w:val="nil"/>
            </w:tcBorders>
            <w:shd w:val="clear" w:color="auto" w:fill="auto"/>
            <w:noWrap/>
            <w:vAlign w:val="bottom"/>
            <w:hideMark/>
          </w:tcPr>
          <w:p w14:paraId="5E36E219" w14:textId="43E61C61"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174,441</w:t>
            </w:r>
          </w:p>
        </w:tc>
        <w:tc>
          <w:tcPr>
            <w:tcW w:w="860" w:type="dxa"/>
            <w:tcBorders>
              <w:top w:val="nil"/>
              <w:left w:val="nil"/>
              <w:bottom w:val="single" w:sz="4" w:space="0" w:color="auto"/>
              <w:right w:val="nil"/>
            </w:tcBorders>
            <w:shd w:val="clear" w:color="auto" w:fill="auto"/>
            <w:noWrap/>
            <w:vAlign w:val="bottom"/>
            <w:hideMark/>
          </w:tcPr>
          <w:p w14:paraId="7A8CB025" w14:textId="6AA27778"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167,676</w:t>
            </w:r>
          </w:p>
        </w:tc>
        <w:tc>
          <w:tcPr>
            <w:tcW w:w="860" w:type="dxa"/>
            <w:tcBorders>
              <w:top w:val="nil"/>
              <w:left w:val="nil"/>
              <w:bottom w:val="single" w:sz="4" w:space="0" w:color="auto"/>
              <w:right w:val="nil"/>
            </w:tcBorders>
            <w:shd w:val="clear" w:color="auto" w:fill="auto"/>
            <w:noWrap/>
            <w:vAlign w:val="bottom"/>
            <w:hideMark/>
          </w:tcPr>
          <w:p w14:paraId="024E7E32" w14:textId="05B51F8B"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177,845</w:t>
            </w:r>
          </w:p>
        </w:tc>
      </w:tr>
      <w:tr w:rsidR="00426B92" w:rsidRPr="00F963C2" w14:paraId="6B220D77" w14:textId="77777777" w:rsidTr="0057089F">
        <w:trPr>
          <w:trHeight w:val="204"/>
        </w:trPr>
        <w:tc>
          <w:tcPr>
            <w:tcW w:w="3261" w:type="dxa"/>
            <w:tcBorders>
              <w:top w:val="nil"/>
              <w:left w:val="nil"/>
              <w:bottom w:val="nil"/>
              <w:right w:val="nil"/>
            </w:tcBorders>
            <w:shd w:val="clear" w:color="auto" w:fill="auto"/>
            <w:noWrap/>
            <w:vAlign w:val="center"/>
            <w:hideMark/>
          </w:tcPr>
          <w:p w14:paraId="35346295" w14:textId="77777777" w:rsidR="00426B92" w:rsidRPr="00F963C2" w:rsidRDefault="00426B92" w:rsidP="00426B92">
            <w:pPr>
              <w:spacing w:after="0" w:line="240" w:lineRule="auto"/>
              <w:jc w:val="left"/>
              <w:rPr>
                <w:rFonts w:ascii="Arial" w:hAnsi="Arial" w:cs="Arial"/>
                <w:b/>
                <w:bCs/>
                <w:color w:val="000000"/>
                <w:sz w:val="16"/>
                <w:szCs w:val="16"/>
              </w:rPr>
            </w:pPr>
            <w:r w:rsidRPr="00F963C2">
              <w:rPr>
                <w:rFonts w:ascii="Arial" w:hAnsi="Arial" w:cs="Arial"/>
                <w:b/>
                <w:bCs/>
                <w:color w:val="000000"/>
                <w:sz w:val="16"/>
                <w:szCs w:val="16"/>
              </w:rPr>
              <w:t>EQUITY</w:t>
            </w:r>
          </w:p>
        </w:tc>
        <w:tc>
          <w:tcPr>
            <w:tcW w:w="860" w:type="dxa"/>
            <w:tcBorders>
              <w:top w:val="nil"/>
              <w:left w:val="nil"/>
              <w:bottom w:val="nil"/>
              <w:right w:val="nil"/>
            </w:tcBorders>
            <w:shd w:val="clear" w:color="auto" w:fill="auto"/>
            <w:noWrap/>
            <w:vAlign w:val="bottom"/>
            <w:hideMark/>
          </w:tcPr>
          <w:p w14:paraId="35B6B59D" w14:textId="77777777" w:rsidR="00426B92" w:rsidRPr="00F963C2" w:rsidRDefault="00426B92" w:rsidP="00426B92">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auto" w:fill="E6E6E6"/>
            <w:noWrap/>
            <w:vAlign w:val="bottom"/>
            <w:hideMark/>
          </w:tcPr>
          <w:p w14:paraId="3D620673" w14:textId="1087C535"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49E4F61" w14:textId="77777777"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85821C3" w14:textId="77777777" w:rsidR="00426B92" w:rsidRPr="00F963C2" w:rsidRDefault="00426B92" w:rsidP="00426B92">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68143AD6" w14:textId="77777777" w:rsidR="00426B92" w:rsidRPr="00F963C2" w:rsidRDefault="00426B92" w:rsidP="00426B92">
            <w:pPr>
              <w:spacing w:after="0" w:line="240" w:lineRule="auto"/>
              <w:jc w:val="right"/>
              <w:rPr>
                <w:rFonts w:ascii="Times New Roman" w:hAnsi="Times New Roman"/>
              </w:rPr>
            </w:pPr>
          </w:p>
        </w:tc>
      </w:tr>
      <w:tr w:rsidR="00426B92" w:rsidRPr="00F963C2" w14:paraId="08DB4F8C" w14:textId="77777777" w:rsidTr="0057089F">
        <w:trPr>
          <w:trHeight w:val="204"/>
        </w:trPr>
        <w:tc>
          <w:tcPr>
            <w:tcW w:w="3261" w:type="dxa"/>
            <w:tcBorders>
              <w:top w:val="nil"/>
              <w:left w:val="nil"/>
              <w:bottom w:val="nil"/>
              <w:right w:val="nil"/>
            </w:tcBorders>
            <w:shd w:val="clear" w:color="auto" w:fill="auto"/>
            <w:noWrap/>
            <w:vAlign w:val="center"/>
            <w:hideMark/>
          </w:tcPr>
          <w:p w14:paraId="146B7363" w14:textId="77777777" w:rsidR="00426B92" w:rsidRPr="00F963C2" w:rsidRDefault="00426B92" w:rsidP="00426B92">
            <w:pPr>
              <w:spacing w:after="0" w:line="240" w:lineRule="auto"/>
              <w:ind w:left="113"/>
              <w:jc w:val="left"/>
              <w:rPr>
                <w:rFonts w:ascii="Arial" w:hAnsi="Arial" w:cs="Arial"/>
                <w:b/>
                <w:bCs/>
                <w:color w:val="000000"/>
                <w:sz w:val="16"/>
                <w:szCs w:val="16"/>
              </w:rPr>
            </w:pPr>
            <w:r w:rsidRPr="00F963C2">
              <w:rPr>
                <w:rFonts w:ascii="Arial" w:hAnsi="Arial" w:cs="Arial"/>
                <w:b/>
                <w:bCs/>
                <w:color w:val="000000"/>
                <w:sz w:val="16"/>
                <w:szCs w:val="16"/>
              </w:rPr>
              <w:t>Parent entity interest</w:t>
            </w:r>
          </w:p>
        </w:tc>
        <w:tc>
          <w:tcPr>
            <w:tcW w:w="860" w:type="dxa"/>
            <w:tcBorders>
              <w:top w:val="nil"/>
              <w:left w:val="nil"/>
              <w:bottom w:val="nil"/>
              <w:right w:val="nil"/>
            </w:tcBorders>
            <w:shd w:val="clear" w:color="auto" w:fill="auto"/>
            <w:noWrap/>
            <w:vAlign w:val="bottom"/>
            <w:hideMark/>
          </w:tcPr>
          <w:p w14:paraId="793658D4" w14:textId="77777777" w:rsidR="00426B92" w:rsidRPr="00F963C2" w:rsidRDefault="00426B92" w:rsidP="00426B92">
            <w:pPr>
              <w:spacing w:after="0" w:line="240" w:lineRule="auto"/>
              <w:ind w:firstLineChars="100" w:firstLine="160"/>
              <w:jc w:val="right"/>
              <w:rPr>
                <w:rFonts w:ascii="Arial" w:hAnsi="Arial" w:cs="Arial"/>
                <w:b/>
                <w:bCs/>
                <w:color w:val="000000"/>
                <w:sz w:val="16"/>
                <w:szCs w:val="16"/>
              </w:rPr>
            </w:pPr>
          </w:p>
        </w:tc>
        <w:tc>
          <w:tcPr>
            <w:tcW w:w="860" w:type="dxa"/>
            <w:tcBorders>
              <w:top w:val="nil"/>
              <w:left w:val="nil"/>
              <w:bottom w:val="nil"/>
              <w:right w:val="nil"/>
            </w:tcBorders>
            <w:shd w:val="clear" w:color="auto" w:fill="E6E6E6"/>
            <w:noWrap/>
            <w:vAlign w:val="bottom"/>
            <w:hideMark/>
          </w:tcPr>
          <w:p w14:paraId="34FAC23D" w14:textId="43A52E16"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12FA7681" w14:textId="77777777" w:rsidR="00426B92" w:rsidRPr="00F963C2" w:rsidRDefault="00426B92" w:rsidP="00426B92">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2DA0EC43" w14:textId="77777777" w:rsidR="00426B92" w:rsidRPr="00F963C2" w:rsidRDefault="00426B92" w:rsidP="00426B92">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11947F10" w14:textId="77777777" w:rsidR="00426B92" w:rsidRPr="00F963C2" w:rsidRDefault="00426B92" w:rsidP="00426B92">
            <w:pPr>
              <w:spacing w:after="0" w:line="240" w:lineRule="auto"/>
              <w:jc w:val="right"/>
              <w:rPr>
                <w:rFonts w:ascii="Times New Roman" w:hAnsi="Times New Roman"/>
              </w:rPr>
            </w:pPr>
          </w:p>
        </w:tc>
      </w:tr>
      <w:tr w:rsidR="00426B92" w:rsidRPr="00F963C2" w14:paraId="15438EB7" w14:textId="77777777" w:rsidTr="0057089F">
        <w:trPr>
          <w:trHeight w:val="204"/>
        </w:trPr>
        <w:tc>
          <w:tcPr>
            <w:tcW w:w="3261" w:type="dxa"/>
            <w:tcBorders>
              <w:top w:val="nil"/>
              <w:left w:val="nil"/>
              <w:bottom w:val="nil"/>
              <w:right w:val="nil"/>
            </w:tcBorders>
            <w:shd w:val="clear" w:color="auto" w:fill="auto"/>
            <w:noWrap/>
            <w:vAlign w:val="center"/>
            <w:hideMark/>
          </w:tcPr>
          <w:p w14:paraId="60877351"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Contributed equity</w:t>
            </w:r>
          </w:p>
        </w:tc>
        <w:tc>
          <w:tcPr>
            <w:tcW w:w="860" w:type="dxa"/>
            <w:tcBorders>
              <w:top w:val="nil"/>
              <w:left w:val="nil"/>
              <w:bottom w:val="nil"/>
              <w:right w:val="nil"/>
            </w:tcBorders>
            <w:shd w:val="clear" w:color="auto" w:fill="auto"/>
            <w:noWrap/>
            <w:vAlign w:val="bottom"/>
            <w:hideMark/>
          </w:tcPr>
          <w:p w14:paraId="475FD2E0" w14:textId="32E5E5CC"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11,837</w:t>
            </w:r>
          </w:p>
        </w:tc>
        <w:tc>
          <w:tcPr>
            <w:tcW w:w="860" w:type="dxa"/>
            <w:tcBorders>
              <w:top w:val="nil"/>
              <w:left w:val="nil"/>
              <w:bottom w:val="nil"/>
              <w:right w:val="nil"/>
            </w:tcBorders>
            <w:shd w:val="clear" w:color="auto" w:fill="E6E6E6"/>
            <w:noWrap/>
            <w:vAlign w:val="bottom"/>
            <w:hideMark/>
          </w:tcPr>
          <w:p w14:paraId="4229BD28" w14:textId="38AD9ADA"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32,826</w:t>
            </w:r>
          </w:p>
        </w:tc>
        <w:tc>
          <w:tcPr>
            <w:tcW w:w="860" w:type="dxa"/>
            <w:tcBorders>
              <w:top w:val="nil"/>
              <w:left w:val="nil"/>
              <w:bottom w:val="nil"/>
              <w:right w:val="nil"/>
            </w:tcBorders>
            <w:shd w:val="clear" w:color="auto" w:fill="auto"/>
            <w:noWrap/>
            <w:vAlign w:val="bottom"/>
            <w:hideMark/>
          </w:tcPr>
          <w:p w14:paraId="564A82F1" w14:textId="771A6B91"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42,704</w:t>
            </w:r>
          </w:p>
        </w:tc>
        <w:tc>
          <w:tcPr>
            <w:tcW w:w="860" w:type="dxa"/>
            <w:tcBorders>
              <w:top w:val="nil"/>
              <w:left w:val="nil"/>
              <w:bottom w:val="nil"/>
              <w:right w:val="nil"/>
            </w:tcBorders>
            <w:shd w:val="clear" w:color="auto" w:fill="auto"/>
            <w:noWrap/>
            <w:vAlign w:val="bottom"/>
            <w:hideMark/>
          </w:tcPr>
          <w:p w14:paraId="038E4879" w14:textId="4B9D99BA"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52,659</w:t>
            </w:r>
          </w:p>
        </w:tc>
        <w:tc>
          <w:tcPr>
            <w:tcW w:w="860" w:type="dxa"/>
            <w:tcBorders>
              <w:top w:val="nil"/>
              <w:left w:val="nil"/>
              <w:bottom w:val="nil"/>
              <w:right w:val="nil"/>
            </w:tcBorders>
            <w:shd w:val="clear" w:color="auto" w:fill="auto"/>
            <w:noWrap/>
            <w:vAlign w:val="bottom"/>
            <w:hideMark/>
          </w:tcPr>
          <w:p w14:paraId="047EF32C" w14:textId="781F5EBE"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62,828</w:t>
            </w:r>
          </w:p>
        </w:tc>
      </w:tr>
      <w:tr w:rsidR="00426B92" w:rsidRPr="00F963C2" w14:paraId="713C3513" w14:textId="77777777" w:rsidTr="0057089F">
        <w:trPr>
          <w:trHeight w:val="204"/>
        </w:trPr>
        <w:tc>
          <w:tcPr>
            <w:tcW w:w="3261" w:type="dxa"/>
            <w:tcBorders>
              <w:top w:val="nil"/>
              <w:left w:val="nil"/>
              <w:bottom w:val="nil"/>
              <w:right w:val="nil"/>
            </w:tcBorders>
            <w:shd w:val="clear" w:color="auto" w:fill="auto"/>
            <w:noWrap/>
            <w:vAlign w:val="center"/>
            <w:hideMark/>
          </w:tcPr>
          <w:p w14:paraId="5BC6D101"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Reserves</w:t>
            </w:r>
          </w:p>
        </w:tc>
        <w:tc>
          <w:tcPr>
            <w:tcW w:w="860" w:type="dxa"/>
            <w:tcBorders>
              <w:top w:val="nil"/>
              <w:left w:val="nil"/>
              <w:bottom w:val="nil"/>
              <w:right w:val="nil"/>
            </w:tcBorders>
            <w:shd w:val="clear" w:color="auto" w:fill="auto"/>
            <w:noWrap/>
            <w:vAlign w:val="bottom"/>
            <w:hideMark/>
          </w:tcPr>
          <w:p w14:paraId="754CFAFC" w14:textId="6682879F"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42,001</w:t>
            </w:r>
          </w:p>
        </w:tc>
        <w:tc>
          <w:tcPr>
            <w:tcW w:w="860" w:type="dxa"/>
            <w:tcBorders>
              <w:top w:val="nil"/>
              <w:left w:val="nil"/>
              <w:bottom w:val="nil"/>
              <w:right w:val="nil"/>
            </w:tcBorders>
            <w:shd w:val="clear" w:color="auto" w:fill="E6E6E6"/>
            <w:noWrap/>
            <w:vAlign w:val="bottom"/>
            <w:hideMark/>
          </w:tcPr>
          <w:p w14:paraId="25459DC5" w14:textId="3899CE7B"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42,001</w:t>
            </w:r>
          </w:p>
        </w:tc>
        <w:tc>
          <w:tcPr>
            <w:tcW w:w="860" w:type="dxa"/>
            <w:tcBorders>
              <w:top w:val="nil"/>
              <w:left w:val="nil"/>
              <w:bottom w:val="nil"/>
              <w:right w:val="nil"/>
            </w:tcBorders>
            <w:shd w:val="clear" w:color="auto" w:fill="auto"/>
            <w:noWrap/>
            <w:vAlign w:val="bottom"/>
            <w:hideMark/>
          </w:tcPr>
          <w:p w14:paraId="7AC24ABB" w14:textId="7F9317DA"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42,001</w:t>
            </w:r>
          </w:p>
        </w:tc>
        <w:tc>
          <w:tcPr>
            <w:tcW w:w="860" w:type="dxa"/>
            <w:tcBorders>
              <w:top w:val="nil"/>
              <w:left w:val="nil"/>
              <w:bottom w:val="nil"/>
              <w:right w:val="nil"/>
            </w:tcBorders>
            <w:shd w:val="clear" w:color="auto" w:fill="auto"/>
            <w:noWrap/>
            <w:vAlign w:val="bottom"/>
            <w:hideMark/>
          </w:tcPr>
          <w:p w14:paraId="0AB9E2AB" w14:textId="4906F7DC"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42,001</w:t>
            </w:r>
          </w:p>
        </w:tc>
        <w:tc>
          <w:tcPr>
            <w:tcW w:w="860" w:type="dxa"/>
            <w:tcBorders>
              <w:top w:val="nil"/>
              <w:left w:val="nil"/>
              <w:bottom w:val="nil"/>
              <w:right w:val="nil"/>
            </w:tcBorders>
            <w:shd w:val="clear" w:color="auto" w:fill="auto"/>
            <w:noWrap/>
            <w:vAlign w:val="bottom"/>
            <w:hideMark/>
          </w:tcPr>
          <w:p w14:paraId="183981FB" w14:textId="2B5FA1E4"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42,001</w:t>
            </w:r>
          </w:p>
        </w:tc>
      </w:tr>
      <w:tr w:rsidR="00426B92" w:rsidRPr="00F963C2" w14:paraId="6AED358F" w14:textId="77777777" w:rsidTr="0057089F">
        <w:trPr>
          <w:trHeight w:val="204"/>
        </w:trPr>
        <w:tc>
          <w:tcPr>
            <w:tcW w:w="3261" w:type="dxa"/>
            <w:tcBorders>
              <w:top w:val="nil"/>
              <w:left w:val="nil"/>
              <w:bottom w:val="nil"/>
              <w:right w:val="nil"/>
            </w:tcBorders>
            <w:shd w:val="clear" w:color="auto" w:fill="auto"/>
            <w:vAlign w:val="center"/>
            <w:hideMark/>
          </w:tcPr>
          <w:p w14:paraId="2DCD1144" w14:textId="77777777" w:rsidR="00426B92" w:rsidRPr="00F963C2" w:rsidRDefault="00426B92" w:rsidP="00426B92">
            <w:pPr>
              <w:spacing w:after="0" w:line="240" w:lineRule="auto"/>
              <w:ind w:left="227"/>
              <w:jc w:val="left"/>
              <w:rPr>
                <w:rFonts w:ascii="Arial" w:hAnsi="Arial" w:cs="Arial"/>
                <w:color w:val="000000"/>
                <w:sz w:val="16"/>
                <w:szCs w:val="16"/>
              </w:rPr>
            </w:pPr>
            <w:r w:rsidRPr="00F963C2">
              <w:rPr>
                <w:rFonts w:ascii="Arial" w:hAnsi="Arial" w:cs="Arial"/>
                <w:color w:val="000000"/>
                <w:sz w:val="16"/>
                <w:szCs w:val="16"/>
              </w:rPr>
              <w:t>Accumulated surplus</w:t>
            </w:r>
          </w:p>
        </w:tc>
        <w:tc>
          <w:tcPr>
            <w:tcW w:w="860" w:type="dxa"/>
            <w:tcBorders>
              <w:top w:val="nil"/>
              <w:left w:val="nil"/>
              <w:bottom w:val="nil"/>
              <w:right w:val="nil"/>
            </w:tcBorders>
            <w:shd w:val="clear" w:color="auto" w:fill="auto"/>
            <w:noWrap/>
            <w:vAlign w:val="bottom"/>
            <w:hideMark/>
          </w:tcPr>
          <w:p w14:paraId="2F1C1ED1" w14:textId="0ED2820C"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124,079</w:t>
            </w:r>
          </w:p>
        </w:tc>
        <w:tc>
          <w:tcPr>
            <w:tcW w:w="860" w:type="dxa"/>
            <w:tcBorders>
              <w:top w:val="nil"/>
              <w:left w:val="nil"/>
              <w:bottom w:val="nil"/>
              <w:right w:val="nil"/>
            </w:tcBorders>
            <w:shd w:val="clear" w:color="auto" w:fill="E6E6E6"/>
            <w:noWrap/>
            <w:vAlign w:val="bottom"/>
            <w:hideMark/>
          </w:tcPr>
          <w:p w14:paraId="64D70BD8" w14:textId="3CD3AE26"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106,572</w:t>
            </w:r>
          </w:p>
        </w:tc>
        <w:tc>
          <w:tcPr>
            <w:tcW w:w="860" w:type="dxa"/>
            <w:tcBorders>
              <w:top w:val="nil"/>
              <w:left w:val="nil"/>
              <w:bottom w:val="nil"/>
              <w:right w:val="nil"/>
            </w:tcBorders>
            <w:shd w:val="clear" w:color="auto" w:fill="auto"/>
            <w:noWrap/>
            <w:vAlign w:val="bottom"/>
            <w:hideMark/>
          </w:tcPr>
          <w:p w14:paraId="28EE4818" w14:textId="1FCCAC97"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89,736</w:t>
            </w:r>
          </w:p>
        </w:tc>
        <w:tc>
          <w:tcPr>
            <w:tcW w:w="860" w:type="dxa"/>
            <w:tcBorders>
              <w:top w:val="nil"/>
              <w:left w:val="nil"/>
              <w:bottom w:val="nil"/>
              <w:right w:val="nil"/>
            </w:tcBorders>
            <w:shd w:val="clear" w:color="auto" w:fill="auto"/>
            <w:noWrap/>
            <w:vAlign w:val="bottom"/>
            <w:hideMark/>
          </w:tcPr>
          <w:p w14:paraId="58508667" w14:textId="0A05ECF5"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73,016</w:t>
            </w:r>
          </w:p>
        </w:tc>
        <w:tc>
          <w:tcPr>
            <w:tcW w:w="860" w:type="dxa"/>
            <w:tcBorders>
              <w:top w:val="nil"/>
              <w:left w:val="nil"/>
              <w:bottom w:val="nil"/>
              <w:right w:val="nil"/>
            </w:tcBorders>
            <w:shd w:val="clear" w:color="auto" w:fill="auto"/>
            <w:noWrap/>
            <w:vAlign w:val="bottom"/>
            <w:hideMark/>
          </w:tcPr>
          <w:p w14:paraId="2440F469" w14:textId="20602D27" w:rsidR="00426B92" w:rsidRPr="00F963C2" w:rsidRDefault="00426B92" w:rsidP="00426B92">
            <w:pPr>
              <w:spacing w:after="0" w:line="240" w:lineRule="auto"/>
              <w:jc w:val="right"/>
              <w:rPr>
                <w:rFonts w:ascii="Arial" w:hAnsi="Arial" w:cs="Arial"/>
                <w:sz w:val="16"/>
                <w:szCs w:val="16"/>
              </w:rPr>
            </w:pPr>
            <w:r>
              <w:rPr>
                <w:rFonts w:ascii="Arial" w:hAnsi="Arial" w:cs="Arial"/>
                <w:sz w:val="16"/>
                <w:szCs w:val="16"/>
              </w:rPr>
              <w:t>73,016</w:t>
            </w:r>
          </w:p>
        </w:tc>
      </w:tr>
      <w:tr w:rsidR="00426B92" w:rsidRPr="00F963C2" w14:paraId="2A141B86" w14:textId="77777777" w:rsidTr="0057089F">
        <w:trPr>
          <w:trHeight w:val="204"/>
        </w:trPr>
        <w:tc>
          <w:tcPr>
            <w:tcW w:w="3261" w:type="dxa"/>
            <w:tcBorders>
              <w:top w:val="nil"/>
              <w:left w:val="nil"/>
              <w:bottom w:val="nil"/>
              <w:right w:val="nil"/>
            </w:tcBorders>
            <w:shd w:val="clear" w:color="auto" w:fill="auto"/>
            <w:noWrap/>
            <w:vAlign w:val="center"/>
            <w:hideMark/>
          </w:tcPr>
          <w:p w14:paraId="292CB1DA" w14:textId="77777777" w:rsidR="00426B92" w:rsidRPr="00F963C2" w:rsidRDefault="00426B92" w:rsidP="00426B92">
            <w:pPr>
              <w:spacing w:after="0" w:line="240" w:lineRule="auto"/>
              <w:ind w:left="113"/>
              <w:jc w:val="left"/>
              <w:rPr>
                <w:rFonts w:ascii="Arial" w:hAnsi="Arial" w:cs="Arial"/>
                <w:b/>
                <w:bCs/>
                <w:i/>
                <w:iCs/>
                <w:color w:val="000000"/>
                <w:sz w:val="16"/>
                <w:szCs w:val="16"/>
              </w:rPr>
            </w:pPr>
            <w:r w:rsidRPr="00F963C2">
              <w:rPr>
                <w:rFonts w:ascii="Arial" w:hAnsi="Arial" w:cs="Arial"/>
                <w:b/>
                <w:bCs/>
                <w:i/>
                <w:iCs/>
                <w:color w:val="000000"/>
                <w:sz w:val="16"/>
                <w:szCs w:val="16"/>
              </w:rPr>
              <w:t>Total parent entity interest</w:t>
            </w:r>
          </w:p>
        </w:tc>
        <w:tc>
          <w:tcPr>
            <w:tcW w:w="860" w:type="dxa"/>
            <w:tcBorders>
              <w:top w:val="single" w:sz="4" w:space="0" w:color="000000"/>
              <w:left w:val="nil"/>
              <w:bottom w:val="single" w:sz="4" w:space="0" w:color="000000"/>
              <w:right w:val="nil"/>
            </w:tcBorders>
            <w:shd w:val="clear" w:color="auto" w:fill="auto"/>
            <w:noWrap/>
            <w:vAlign w:val="bottom"/>
            <w:hideMark/>
          </w:tcPr>
          <w:p w14:paraId="32AFB843" w14:textId="24B0E2D9"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177,917</w:t>
            </w:r>
          </w:p>
        </w:tc>
        <w:tc>
          <w:tcPr>
            <w:tcW w:w="860" w:type="dxa"/>
            <w:tcBorders>
              <w:top w:val="single" w:sz="4" w:space="0" w:color="000000"/>
              <w:left w:val="nil"/>
              <w:bottom w:val="single" w:sz="4" w:space="0" w:color="000000"/>
              <w:right w:val="nil"/>
            </w:tcBorders>
            <w:shd w:val="clear" w:color="auto" w:fill="E6E6E6"/>
            <w:noWrap/>
            <w:vAlign w:val="bottom"/>
            <w:hideMark/>
          </w:tcPr>
          <w:p w14:paraId="1A3CA16F" w14:textId="30FB62B8"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181,399</w:t>
            </w:r>
          </w:p>
        </w:tc>
        <w:tc>
          <w:tcPr>
            <w:tcW w:w="860" w:type="dxa"/>
            <w:tcBorders>
              <w:top w:val="single" w:sz="4" w:space="0" w:color="000000"/>
              <w:left w:val="nil"/>
              <w:bottom w:val="single" w:sz="4" w:space="0" w:color="000000"/>
              <w:right w:val="nil"/>
            </w:tcBorders>
            <w:shd w:val="clear" w:color="auto" w:fill="auto"/>
            <w:noWrap/>
            <w:vAlign w:val="bottom"/>
            <w:hideMark/>
          </w:tcPr>
          <w:p w14:paraId="2309D08E" w14:textId="3706F60D"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174,441</w:t>
            </w:r>
          </w:p>
        </w:tc>
        <w:tc>
          <w:tcPr>
            <w:tcW w:w="860" w:type="dxa"/>
            <w:tcBorders>
              <w:top w:val="single" w:sz="4" w:space="0" w:color="000000"/>
              <w:left w:val="nil"/>
              <w:bottom w:val="single" w:sz="4" w:space="0" w:color="000000"/>
              <w:right w:val="nil"/>
            </w:tcBorders>
            <w:shd w:val="clear" w:color="auto" w:fill="auto"/>
            <w:noWrap/>
            <w:vAlign w:val="bottom"/>
            <w:hideMark/>
          </w:tcPr>
          <w:p w14:paraId="4A929806" w14:textId="211A15F5"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167,676</w:t>
            </w:r>
          </w:p>
        </w:tc>
        <w:tc>
          <w:tcPr>
            <w:tcW w:w="860" w:type="dxa"/>
            <w:tcBorders>
              <w:top w:val="single" w:sz="4" w:space="0" w:color="000000"/>
              <w:left w:val="nil"/>
              <w:bottom w:val="single" w:sz="4" w:space="0" w:color="000000"/>
              <w:right w:val="nil"/>
            </w:tcBorders>
            <w:shd w:val="clear" w:color="auto" w:fill="auto"/>
            <w:noWrap/>
            <w:vAlign w:val="bottom"/>
            <w:hideMark/>
          </w:tcPr>
          <w:p w14:paraId="74DF001C" w14:textId="00C92B8E" w:rsidR="00426B92" w:rsidRPr="00F963C2" w:rsidRDefault="00426B92" w:rsidP="00426B92">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177,845</w:t>
            </w:r>
          </w:p>
        </w:tc>
      </w:tr>
      <w:tr w:rsidR="00426B92" w:rsidRPr="00F963C2" w14:paraId="21A06A0C" w14:textId="77777777" w:rsidTr="0057089F">
        <w:trPr>
          <w:trHeight w:val="204"/>
        </w:trPr>
        <w:tc>
          <w:tcPr>
            <w:tcW w:w="3261" w:type="dxa"/>
            <w:tcBorders>
              <w:top w:val="nil"/>
              <w:left w:val="nil"/>
              <w:bottom w:val="single" w:sz="4" w:space="0" w:color="000000"/>
              <w:right w:val="nil"/>
            </w:tcBorders>
            <w:shd w:val="clear" w:color="auto" w:fill="auto"/>
            <w:noWrap/>
            <w:vAlign w:val="center"/>
            <w:hideMark/>
          </w:tcPr>
          <w:p w14:paraId="6070A624" w14:textId="77777777" w:rsidR="00426B92" w:rsidRPr="00F963C2" w:rsidRDefault="00426B92" w:rsidP="00426B92">
            <w:pPr>
              <w:spacing w:after="0" w:line="240" w:lineRule="auto"/>
              <w:jc w:val="left"/>
              <w:rPr>
                <w:rFonts w:ascii="Arial" w:hAnsi="Arial" w:cs="Arial"/>
                <w:b/>
                <w:bCs/>
                <w:color w:val="000000"/>
                <w:sz w:val="16"/>
                <w:szCs w:val="16"/>
              </w:rPr>
            </w:pPr>
            <w:r w:rsidRPr="00F963C2">
              <w:rPr>
                <w:rFonts w:ascii="Arial" w:hAnsi="Arial" w:cs="Arial"/>
                <w:b/>
                <w:bCs/>
                <w:color w:val="000000"/>
                <w:sz w:val="16"/>
                <w:szCs w:val="16"/>
              </w:rPr>
              <w:t>Total equity</w:t>
            </w:r>
          </w:p>
        </w:tc>
        <w:tc>
          <w:tcPr>
            <w:tcW w:w="860" w:type="dxa"/>
            <w:tcBorders>
              <w:top w:val="nil"/>
              <w:left w:val="nil"/>
              <w:bottom w:val="single" w:sz="4" w:space="0" w:color="000000"/>
              <w:right w:val="nil"/>
            </w:tcBorders>
            <w:shd w:val="clear" w:color="auto" w:fill="auto"/>
            <w:noWrap/>
            <w:vAlign w:val="bottom"/>
            <w:hideMark/>
          </w:tcPr>
          <w:p w14:paraId="5CA29156" w14:textId="40988801"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177,917</w:t>
            </w:r>
          </w:p>
        </w:tc>
        <w:tc>
          <w:tcPr>
            <w:tcW w:w="860" w:type="dxa"/>
            <w:tcBorders>
              <w:top w:val="nil"/>
              <w:left w:val="nil"/>
              <w:bottom w:val="single" w:sz="4" w:space="0" w:color="000000"/>
              <w:right w:val="nil"/>
            </w:tcBorders>
            <w:shd w:val="clear" w:color="auto" w:fill="E6E6E6"/>
            <w:noWrap/>
            <w:vAlign w:val="bottom"/>
            <w:hideMark/>
          </w:tcPr>
          <w:p w14:paraId="63AE7D69" w14:textId="36A668A7"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181,399</w:t>
            </w:r>
          </w:p>
        </w:tc>
        <w:tc>
          <w:tcPr>
            <w:tcW w:w="860" w:type="dxa"/>
            <w:tcBorders>
              <w:top w:val="nil"/>
              <w:left w:val="nil"/>
              <w:bottom w:val="single" w:sz="4" w:space="0" w:color="000000"/>
              <w:right w:val="nil"/>
            </w:tcBorders>
            <w:shd w:val="clear" w:color="auto" w:fill="auto"/>
            <w:noWrap/>
            <w:vAlign w:val="bottom"/>
            <w:hideMark/>
          </w:tcPr>
          <w:p w14:paraId="380E17EF" w14:textId="2909AF41"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174,441</w:t>
            </w:r>
          </w:p>
        </w:tc>
        <w:tc>
          <w:tcPr>
            <w:tcW w:w="860" w:type="dxa"/>
            <w:tcBorders>
              <w:top w:val="nil"/>
              <w:left w:val="nil"/>
              <w:bottom w:val="single" w:sz="4" w:space="0" w:color="000000"/>
              <w:right w:val="nil"/>
            </w:tcBorders>
            <w:shd w:val="clear" w:color="auto" w:fill="auto"/>
            <w:noWrap/>
            <w:vAlign w:val="bottom"/>
            <w:hideMark/>
          </w:tcPr>
          <w:p w14:paraId="0FB91028" w14:textId="73950942"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167,676</w:t>
            </w:r>
          </w:p>
        </w:tc>
        <w:tc>
          <w:tcPr>
            <w:tcW w:w="860" w:type="dxa"/>
            <w:tcBorders>
              <w:top w:val="nil"/>
              <w:left w:val="nil"/>
              <w:bottom w:val="single" w:sz="4" w:space="0" w:color="000000"/>
              <w:right w:val="nil"/>
            </w:tcBorders>
            <w:shd w:val="clear" w:color="auto" w:fill="auto"/>
            <w:noWrap/>
            <w:vAlign w:val="bottom"/>
            <w:hideMark/>
          </w:tcPr>
          <w:p w14:paraId="49AD8A53" w14:textId="37910F1B" w:rsidR="00426B92" w:rsidRPr="00F963C2" w:rsidRDefault="00426B92" w:rsidP="00426B92">
            <w:pPr>
              <w:spacing w:after="0" w:line="240" w:lineRule="auto"/>
              <w:jc w:val="right"/>
              <w:rPr>
                <w:rFonts w:ascii="Arial" w:hAnsi="Arial" w:cs="Arial"/>
                <w:b/>
                <w:bCs/>
                <w:color w:val="000000"/>
                <w:sz w:val="16"/>
                <w:szCs w:val="16"/>
              </w:rPr>
            </w:pPr>
            <w:r>
              <w:rPr>
                <w:rFonts w:ascii="Arial" w:hAnsi="Arial" w:cs="Arial"/>
                <w:b/>
                <w:bCs/>
                <w:color w:val="000000"/>
                <w:sz w:val="16"/>
                <w:szCs w:val="16"/>
              </w:rPr>
              <w:t>177,845</w:t>
            </w:r>
          </w:p>
        </w:tc>
      </w:tr>
    </w:tbl>
    <w:p w14:paraId="5797854B" w14:textId="5D49824C" w:rsidR="000C3374" w:rsidRPr="00EC0B94" w:rsidRDefault="00EC0B94" w:rsidP="003351E2">
      <w:pPr>
        <w:pStyle w:val="TableGraphic"/>
        <w:spacing w:before="60"/>
        <w:rPr>
          <w:rFonts w:ascii="Arial" w:hAnsi="Arial" w:cs="Arial"/>
          <w:color w:val="auto"/>
          <w:sz w:val="16"/>
        </w:rPr>
      </w:pPr>
      <w:r w:rsidRPr="00EC0B94">
        <w:rPr>
          <w:rFonts w:ascii="Arial" w:hAnsi="Arial" w:cs="Arial"/>
          <w:i w:val="0"/>
          <w:color w:val="auto"/>
          <w:sz w:val="16"/>
        </w:rPr>
        <w:t>Prepared on Australian Accounting Standards basis.</w:t>
      </w:r>
    </w:p>
    <w:p w14:paraId="680EDB5F" w14:textId="77777777" w:rsidR="00F51DAC" w:rsidRPr="00014438" w:rsidRDefault="00F51DAC" w:rsidP="00E15CF3">
      <w:pPr>
        <w:pStyle w:val="SingleParagraph"/>
        <w:rPr>
          <w:snapToGrid w:val="0"/>
        </w:rPr>
      </w:pPr>
    </w:p>
    <w:p w14:paraId="19F85C46" w14:textId="7B5F4882" w:rsidR="00710147" w:rsidRPr="009C33E9" w:rsidRDefault="00710147" w:rsidP="009C33E9">
      <w:pPr>
        <w:pStyle w:val="Source"/>
      </w:pPr>
    </w:p>
    <w:p w14:paraId="224F4D1F" w14:textId="77777777" w:rsidR="00807D8E" w:rsidRDefault="00807D8E">
      <w:pPr>
        <w:spacing w:after="0" w:line="240" w:lineRule="auto"/>
        <w:jc w:val="left"/>
        <w:rPr>
          <w:rFonts w:ascii="Arial" w:hAnsi="Arial"/>
          <w:b/>
          <w:snapToGrid w:val="0"/>
          <w:lang w:val="x-none"/>
        </w:rPr>
      </w:pPr>
      <w:r>
        <w:rPr>
          <w:snapToGrid w:val="0"/>
        </w:rPr>
        <w:br w:type="page"/>
      </w:r>
    </w:p>
    <w:p w14:paraId="4904124E" w14:textId="21E7C473" w:rsidR="00FA4915" w:rsidRDefault="00A81E21" w:rsidP="00FA4915">
      <w:pPr>
        <w:pStyle w:val="TableHeading"/>
        <w:spacing w:before="0"/>
        <w:rPr>
          <w:b w:val="0"/>
          <w:snapToGrid w:val="0"/>
        </w:rPr>
      </w:pPr>
      <w:r w:rsidRPr="00EC0B94">
        <w:rPr>
          <w:snapToGrid w:val="0"/>
        </w:rPr>
        <w:lastRenderedPageBreak/>
        <w:t>Table 3.</w:t>
      </w:r>
      <w:r w:rsidR="001F46A6" w:rsidRPr="00EC0B94">
        <w:rPr>
          <w:snapToGrid w:val="0"/>
        </w:rPr>
        <w:t>4</w:t>
      </w:r>
      <w:r w:rsidR="00FA4915" w:rsidRPr="00EC0B94">
        <w:rPr>
          <w:snapToGrid w:val="0"/>
        </w:rPr>
        <w:t xml:space="preserve">: </w:t>
      </w:r>
      <w:r w:rsidR="008863D9">
        <w:rPr>
          <w:snapToGrid w:val="0"/>
        </w:rPr>
        <w:t>Department</w:t>
      </w:r>
      <w:r w:rsidR="00FA4915" w:rsidRPr="00EC0B94">
        <w:rPr>
          <w:snapToGrid w:val="0"/>
        </w:rPr>
        <w:t xml:space="preserve">al </w:t>
      </w:r>
      <w:r w:rsidR="00622A38" w:rsidRPr="00EC0B94">
        <w:rPr>
          <w:snapToGrid w:val="0"/>
        </w:rPr>
        <w:t>statement of changes in equity — summary of movemen</w:t>
      </w:r>
      <w:r w:rsidR="00FA4915" w:rsidRPr="00EC0B94">
        <w:rPr>
          <w:snapToGrid w:val="0"/>
        </w:rPr>
        <w:t>t (</w:t>
      </w:r>
      <w:r w:rsidR="007E02F0">
        <w:rPr>
          <w:snapToGrid w:val="0"/>
        </w:rPr>
        <w:t>2021-</w:t>
      </w:r>
      <w:r w:rsidR="00377489">
        <w:rPr>
          <w:snapToGrid w:val="0"/>
        </w:rPr>
        <w:t>22</w:t>
      </w:r>
      <w:r w:rsidR="007E02F0">
        <w:rPr>
          <w:snapToGrid w:val="0"/>
          <w:lang w:val="en-US"/>
        </w:rPr>
        <w:t xml:space="preserve"> </w:t>
      </w:r>
      <w:r w:rsidR="00377489">
        <w:rPr>
          <w:snapToGrid w:val="0"/>
        </w:rPr>
        <w:t>Budget year</w:t>
      </w:r>
      <w:r w:rsidR="00FA4915" w:rsidRPr="00EC0B94">
        <w:rPr>
          <w:snapToGrid w:val="0"/>
        </w:rPr>
        <w:t>)</w:t>
      </w:r>
      <w:r w:rsidR="00EC73D1" w:rsidRPr="00EC73D1">
        <w:rPr>
          <w:b w:val="0"/>
          <w:snapToGrid w:val="0"/>
        </w:rPr>
        <w:t xml:space="preserve"> </w:t>
      </w:r>
    </w:p>
    <w:tbl>
      <w:tblPr>
        <w:tblW w:w="7599" w:type="dxa"/>
        <w:tblLook w:val="04A0" w:firstRow="1" w:lastRow="0" w:firstColumn="1" w:lastColumn="0" w:noHBand="0" w:noVBand="1"/>
      </w:tblPr>
      <w:tblGrid>
        <w:gridCol w:w="3119"/>
        <w:gridCol w:w="1120"/>
        <w:gridCol w:w="1120"/>
        <w:gridCol w:w="1120"/>
        <w:gridCol w:w="1120"/>
      </w:tblGrid>
      <w:tr w:rsidR="002A0915" w:rsidRPr="002A0915" w14:paraId="140A1B73" w14:textId="77777777" w:rsidTr="00102378">
        <w:trPr>
          <w:trHeight w:val="496"/>
        </w:trPr>
        <w:tc>
          <w:tcPr>
            <w:tcW w:w="3119" w:type="dxa"/>
            <w:tcBorders>
              <w:top w:val="single" w:sz="4" w:space="0" w:color="auto"/>
              <w:left w:val="nil"/>
              <w:bottom w:val="nil"/>
              <w:right w:val="nil"/>
            </w:tcBorders>
            <w:shd w:val="clear" w:color="auto" w:fill="auto"/>
            <w:noWrap/>
            <w:vAlign w:val="center"/>
            <w:hideMark/>
          </w:tcPr>
          <w:p w14:paraId="141A8B8F" w14:textId="77777777" w:rsidR="002A0915" w:rsidRPr="002A0915" w:rsidRDefault="002A0915" w:rsidP="002A0915">
            <w:pPr>
              <w:spacing w:after="0" w:line="240" w:lineRule="auto"/>
              <w:jc w:val="right"/>
              <w:rPr>
                <w:rFonts w:ascii="Arial" w:hAnsi="Arial" w:cs="Arial"/>
                <w:color w:val="000000"/>
                <w:sz w:val="16"/>
                <w:szCs w:val="16"/>
              </w:rPr>
            </w:pPr>
            <w:r w:rsidRPr="002A0915">
              <w:rPr>
                <w:rFonts w:ascii="Arial" w:hAnsi="Arial" w:cs="Arial"/>
                <w:color w:val="000000"/>
                <w:sz w:val="16"/>
                <w:szCs w:val="16"/>
              </w:rPr>
              <w:t> </w:t>
            </w:r>
          </w:p>
        </w:tc>
        <w:tc>
          <w:tcPr>
            <w:tcW w:w="1120" w:type="dxa"/>
            <w:tcBorders>
              <w:top w:val="single" w:sz="4" w:space="0" w:color="auto"/>
              <w:left w:val="nil"/>
              <w:bottom w:val="single" w:sz="4" w:space="0" w:color="000000"/>
              <w:right w:val="nil"/>
            </w:tcBorders>
            <w:shd w:val="clear" w:color="auto" w:fill="auto"/>
            <w:vAlign w:val="bottom"/>
            <w:hideMark/>
          </w:tcPr>
          <w:p w14:paraId="5968B16F" w14:textId="77777777" w:rsidR="002A0915" w:rsidRPr="002A0915" w:rsidRDefault="002A0915" w:rsidP="002A0915">
            <w:pPr>
              <w:spacing w:after="0" w:line="240" w:lineRule="auto"/>
              <w:jc w:val="right"/>
              <w:rPr>
                <w:rFonts w:ascii="Arial" w:hAnsi="Arial" w:cs="Arial"/>
                <w:color w:val="000000"/>
                <w:sz w:val="16"/>
                <w:szCs w:val="16"/>
              </w:rPr>
            </w:pPr>
            <w:r w:rsidRPr="002A0915">
              <w:rPr>
                <w:rFonts w:ascii="Arial" w:hAnsi="Arial" w:cs="Arial"/>
                <w:color w:val="000000"/>
                <w:sz w:val="16"/>
                <w:szCs w:val="16"/>
              </w:rPr>
              <w:t>Retained</w:t>
            </w:r>
            <w:r w:rsidRPr="002A0915">
              <w:rPr>
                <w:rFonts w:ascii="Arial" w:hAnsi="Arial" w:cs="Arial"/>
                <w:color w:val="000000"/>
                <w:sz w:val="16"/>
                <w:szCs w:val="16"/>
              </w:rPr>
              <w:br/>
              <w:t>earnings</w:t>
            </w:r>
            <w:r w:rsidRPr="002A0915">
              <w:rPr>
                <w:rFonts w:ascii="Arial" w:hAnsi="Arial" w:cs="Arial"/>
                <w:color w:val="000000"/>
                <w:sz w:val="16"/>
                <w:szCs w:val="16"/>
              </w:rPr>
              <w:br/>
            </w:r>
            <w:r w:rsidRPr="002A0915">
              <w:rPr>
                <w:rFonts w:ascii="Arial" w:hAnsi="Arial" w:cs="Arial"/>
                <w:color w:val="000000"/>
                <w:sz w:val="16"/>
                <w:szCs w:val="16"/>
              </w:rPr>
              <w:br/>
              <w:t>$'000</w:t>
            </w:r>
          </w:p>
        </w:tc>
        <w:tc>
          <w:tcPr>
            <w:tcW w:w="1120" w:type="dxa"/>
            <w:tcBorders>
              <w:top w:val="single" w:sz="4" w:space="0" w:color="auto"/>
              <w:left w:val="nil"/>
              <w:bottom w:val="single" w:sz="4" w:space="0" w:color="000000"/>
              <w:right w:val="nil"/>
            </w:tcBorders>
            <w:shd w:val="clear" w:color="auto" w:fill="auto"/>
            <w:vAlign w:val="bottom"/>
            <w:hideMark/>
          </w:tcPr>
          <w:p w14:paraId="206BC9EA" w14:textId="77777777" w:rsidR="002A0915" w:rsidRPr="002A0915" w:rsidRDefault="002A0915" w:rsidP="002A0915">
            <w:pPr>
              <w:spacing w:after="0" w:line="240" w:lineRule="auto"/>
              <w:jc w:val="right"/>
              <w:rPr>
                <w:rFonts w:ascii="Arial" w:hAnsi="Arial" w:cs="Arial"/>
                <w:color w:val="000000"/>
                <w:sz w:val="16"/>
                <w:szCs w:val="16"/>
              </w:rPr>
            </w:pPr>
            <w:r w:rsidRPr="002A0915">
              <w:rPr>
                <w:rFonts w:ascii="Arial" w:hAnsi="Arial" w:cs="Arial"/>
                <w:color w:val="000000"/>
                <w:sz w:val="16"/>
                <w:szCs w:val="16"/>
              </w:rPr>
              <w:t>Asset</w:t>
            </w:r>
            <w:r w:rsidRPr="002A0915">
              <w:rPr>
                <w:rFonts w:ascii="Arial" w:hAnsi="Arial" w:cs="Arial"/>
                <w:color w:val="000000"/>
                <w:sz w:val="16"/>
                <w:szCs w:val="16"/>
              </w:rPr>
              <w:br/>
              <w:t>revaluation</w:t>
            </w:r>
            <w:r w:rsidRPr="002A0915">
              <w:rPr>
                <w:rFonts w:ascii="Arial" w:hAnsi="Arial" w:cs="Arial"/>
                <w:color w:val="000000"/>
                <w:sz w:val="16"/>
                <w:szCs w:val="16"/>
              </w:rPr>
              <w:br/>
              <w:t>reserve</w:t>
            </w:r>
            <w:r w:rsidRPr="002A0915">
              <w:rPr>
                <w:rFonts w:ascii="Arial" w:hAnsi="Arial" w:cs="Arial"/>
                <w:color w:val="000000"/>
                <w:sz w:val="16"/>
                <w:szCs w:val="16"/>
              </w:rPr>
              <w:br/>
              <w:t>$'000</w:t>
            </w:r>
          </w:p>
        </w:tc>
        <w:tc>
          <w:tcPr>
            <w:tcW w:w="1120" w:type="dxa"/>
            <w:tcBorders>
              <w:top w:val="single" w:sz="4" w:space="0" w:color="auto"/>
              <w:left w:val="nil"/>
              <w:bottom w:val="single" w:sz="4" w:space="0" w:color="000000"/>
              <w:right w:val="nil"/>
            </w:tcBorders>
            <w:shd w:val="clear" w:color="auto" w:fill="auto"/>
            <w:vAlign w:val="bottom"/>
            <w:hideMark/>
          </w:tcPr>
          <w:p w14:paraId="622DE0A2" w14:textId="77777777" w:rsidR="002A0915" w:rsidRPr="002A0915" w:rsidRDefault="002A0915" w:rsidP="002A0915">
            <w:pPr>
              <w:spacing w:after="0" w:line="240" w:lineRule="auto"/>
              <w:jc w:val="right"/>
              <w:rPr>
                <w:rFonts w:ascii="Arial" w:hAnsi="Arial" w:cs="Arial"/>
                <w:color w:val="000000"/>
                <w:sz w:val="16"/>
                <w:szCs w:val="16"/>
              </w:rPr>
            </w:pPr>
            <w:r w:rsidRPr="002A0915">
              <w:rPr>
                <w:rFonts w:ascii="Arial" w:hAnsi="Arial" w:cs="Arial"/>
                <w:color w:val="000000"/>
                <w:sz w:val="16"/>
                <w:szCs w:val="16"/>
              </w:rPr>
              <w:t>Contributed</w:t>
            </w:r>
            <w:r w:rsidRPr="002A0915">
              <w:rPr>
                <w:rFonts w:ascii="Arial" w:hAnsi="Arial" w:cs="Arial"/>
                <w:color w:val="000000"/>
                <w:sz w:val="16"/>
                <w:szCs w:val="16"/>
              </w:rPr>
              <w:br/>
              <w:t>equity/</w:t>
            </w:r>
            <w:r w:rsidRPr="002A0915">
              <w:rPr>
                <w:rFonts w:ascii="Arial" w:hAnsi="Arial" w:cs="Arial"/>
                <w:color w:val="000000"/>
                <w:sz w:val="16"/>
                <w:szCs w:val="16"/>
              </w:rPr>
              <w:br/>
              <w:t>capital</w:t>
            </w:r>
            <w:r w:rsidRPr="002A0915">
              <w:rPr>
                <w:rFonts w:ascii="Arial" w:hAnsi="Arial" w:cs="Arial"/>
                <w:color w:val="000000"/>
                <w:sz w:val="16"/>
                <w:szCs w:val="16"/>
              </w:rPr>
              <w:br/>
              <w:t>$'000</w:t>
            </w:r>
          </w:p>
        </w:tc>
        <w:tc>
          <w:tcPr>
            <w:tcW w:w="1120" w:type="dxa"/>
            <w:tcBorders>
              <w:top w:val="single" w:sz="4" w:space="0" w:color="auto"/>
              <w:left w:val="nil"/>
              <w:bottom w:val="single" w:sz="4" w:space="0" w:color="000000"/>
              <w:right w:val="nil"/>
            </w:tcBorders>
            <w:shd w:val="clear" w:color="auto" w:fill="auto"/>
            <w:vAlign w:val="bottom"/>
            <w:hideMark/>
          </w:tcPr>
          <w:p w14:paraId="150FA3C3" w14:textId="77777777" w:rsidR="002A0915" w:rsidRPr="002A0915" w:rsidRDefault="002A0915" w:rsidP="002A0915">
            <w:pPr>
              <w:spacing w:after="0" w:line="240" w:lineRule="auto"/>
              <w:jc w:val="right"/>
              <w:rPr>
                <w:rFonts w:ascii="Arial" w:hAnsi="Arial" w:cs="Arial"/>
                <w:color w:val="000000"/>
                <w:sz w:val="16"/>
                <w:szCs w:val="16"/>
              </w:rPr>
            </w:pPr>
            <w:r w:rsidRPr="002A0915">
              <w:rPr>
                <w:rFonts w:ascii="Arial" w:hAnsi="Arial" w:cs="Arial"/>
                <w:color w:val="000000"/>
                <w:sz w:val="16"/>
                <w:szCs w:val="16"/>
              </w:rPr>
              <w:t>Total</w:t>
            </w:r>
            <w:r w:rsidRPr="002A0915">
              <w:rPr>
                <w:rFonts w:ascii="Arial" w:hAnsi="Arial" w:cs="Arial"/>
                <w:color w:val="000000"/>
                <w:sz w:val="16"/>
                <w:szCs w:val="16"/>
              </w:rPr>
              <w:br/>
              <w:t xml:space="preserve">equity </w:t>
            </w:r>
            <w:r w:rsidRPr="002A0915">
              <w:rPr>
                <w:rFonts w:ascii="Arial" w:hAnsi="Arial" w:cs="Arial"/>
                <w:color w:val="000000"/>
                <w:sz w:val="16"/>
                <w:szCs w:val="16"/>
              </w:rPr>
              <w:br/>
            </w:r>
            <w:r w:rsidRPr="002A0915">
              <w:rPr>
                <w:rFonts w:ascii="Arial" w:hAnsi="Arial" w:cs="Arial"/>
                <w:color w:val="000000"/>
                <w:sz w:val="16"/>
                <w:szCs w:val="16"/>
              </w:rPr>
              <w:br/>
              <w:t>$'000</w:t>
            </w:r>
          </w:p>
        </w:tc>
      </w:tr>
      <w:tr w:rsidR="002A0915" w:rsidRPr="002A0915" w14:paraId="47147AF0" w14:textId="77777777" w:rsidTr="002A0915">
        <w:trPr>
          <w:trHeight w:val="204"/>
        </w:trPr>
        <w:tc>
          <w:tcPr>
            <w:tcW w:w="3119" w:type="dxa"/>
            <w:tcBorders>
              <w:top w:val="nil"/>
              <w:left w:val="nil"/>
              <w:bottom w:val="nil"/>
              <w:right w:val="nil"/>
            </w:tcBorders>
            <w:shd w:val="clear" w:color="auto" w:fill="auto"/>
            <w:vAlign w:val="center"/>
            <w:hideMark/>
          </w:tcPr>
          <w:p w14:paraId="62CBD9AD" w14:textId="77777777" w:rsidR="002A0915" w:rsidRPr="002A0915" w:rsidRDefault="002A0915" w:rsidP="002A0915">
            <w:pPr>
              <w:spacing w:after="0" w:line="240" w:lineRule="auto"/>
              <w:jc w:val="left"/>
              <w:rPr>
                <w:rFonts w:ascii="Arial" w:hAnsi="Arial" w:cs="Arial"/>
                <w:b/>
                <w:bCs/>
                <w:color w:val="000000"/>
                <w:sz w:val="16"/>
                <w:szCs w:val="16"/>
              </w:rPr>
            </w:pPr>
            <w:r w:rsidRPr="002A0915">
              <w:rPr>
                <w:rFonts w:ascii="Arial" w:hAnsi="Arial" w:cs="Arial"/>
                <w:b/>
                <w:bCs/>
                <w:color w:val="000000"/>
                <w:sz w:val="16"/>
                <w:szCs w:val="16"/>
              </w:rPr>
              <w:t>Opening balance as at 1 July 2021</w:t>
            </w:r>
          </w:p>
        </w:tc>
        <w:tc>
          <w:tcPr>
            <w:tcW w:w="1120" w:type="dxa"/>
            <w:tcBorders>
              <w:top w:val="nil"/>
              <w:left w:val="nil"/>
              <w:bottom w:val="nil"/>
              <w:right w:val="nil"/>
            </w:tcBorders>
            <w:shd w:val="clear" w:color="auto" w:fill="auto"/>
            <w:noWrap/>
            <w:vAlign w:val="bottom"/>
            <w:hideMark/>
          </w:tcPr>
          <w:p w14:paraId="416AA5F4" w14:textId="77777777" w:rsidR="002A0915" w:rsidRPr="002A0915" w:rsidRDefault="002A0915" w:rsidP="00523B0D">
            <w:pPr>
              <w:spacing w:after="0" w:line="240" w:lineRule="auto"/>
              <w:jc w:val="righ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bottom"/>
            <w:hideMark/>
          </w:tcPr>
          <w:p w14:paraId="336D4EE5" w14:textId="77777777" w:rsidR="002A0915" w:rsidRPr="002A0915" w:rsidRDefault="002A0915" w:rsidP="00523B0D">
            <w:pPr>
              <w:spacing w:after="0" w:line="240" w:lineRule="auto"/>
              <w:jc w:val="right"/>
              <w:rPr>
                <w:rFonts w:ascii="Times New Roman" w:hAnsi="Times New Roman"/>
              </w:rPr>
            </w:pPr>
          </w:p>
        </w:tc>
        <w:tc>
          <w:tcPr>
            <w:tcW w:w="1120" w:type="dxa"/>
            <w:tcBorders>
              <w:top w:val="nil"/>
              <w:left w:val="nil"/>
              <w:bottom w:val="nil"/>
              <w:right w:val="nil"/>
            </w:tcBorders>
            <w:shd w:val="clear" w:color="auto" w:fill="auto"/>
            <w:noWrap/>
            <w:vAlign w:val="bottom"/>
            <w:hideMark/>
          </w:tcPr>
          <w:p w14:paraId="03786516" w14:textId="77777777" w:rsidR="002A0915" w:rsidRPr="002A0915" w:rsidRDefault="002A0915" w:rsidP="00523B0D">
            <w:pPr>
              <w:spacing w:after="0" w:line="240" w:lineRule="auto"/>
              <w:jc w:val="right"/>
              <w:rPr>
                <w:rFonts w:ascii="Times New Roman" w:hAnsi="Times New Roman"/>
              </w:rPr>
            </w:pPr>
          </w:p>
        </w:tc>
        <w:tc>
          <w:tcPr>
            <w:tcW w:w="1120" w:type="dxa"/>
            <w:tcBorders>
              <w:top w:val="nil"/>
              <w:left w:val="nil"/>
              <w:bottom w:val="nil"/>
              <w:right w:val="nil"/>
            </w:tcBorders>
            <w:shd w:val="clear" w:color="auto" w:fill="auto"/>
            <w:noWrap/>
            <w:vAlign w:val="bottom"/>
            <w:hideMark/>
          </w:tcPr>
          <w:p w14:paraId="3CCAB1D1" w14:textId="77777777" w:rsidR="002A0915" w:rsidRPr="002A0915" w:rsidRDefault="002A0915" w:rsidP="00523B0D">
            <w:pPr>
              <w:spacing w:after="0" w:line="240" w:lineRule="auto"/>
              <w:jc w:val="right"/>
              <w:rPr>
                <w:rFonts w:ascii="Times New Roman" w:hAnsi="Times New Roman"/>
              </w:rPr>
            </w:pPr>
          </w:p>
        </w:tc>
      </w:tr>
      <w:tr w:rsidR="00D37E8A" w:rsidRPr="002A0915" w14:paraId="24B87859" w14:textId="77777777" w:rsidTr="002A0915">
        <w:trPr>
          <w:trHeight w:val="204"/>
        </w:trPr>
        <w:tc>
          <w:tcPr>
            <w:tcW w:w="3119" w:type="dxa"/>
            <w:tcBorders>
              <w:top w:val="nil"/>
              <w:left w:val="nil"/>
              <w:bottom w:val="nil"/>
              <w:right w:val="nil"/>
            </w:tcBorders>
            <w:shd w:val="clear" w:color="auto" w:fill="auto"/>
            <w:vAlign w:val="center"/>
            <w:hideMark/>
          </w:tcPr>
          <w:p w14:paraId="77BD251F" w14:textId="1CDE1643" w:rsidR="00D37E8A" w:rsidRPr="002A0915" w:rsidRDefault="00D37E8A" w:rsidP="00D37E8A">
            <w:pPr>
              <w:spacing w:after="0" w:line="240" w:lineRule="auto"/>
              <w:ind w:left="113"/>
              <w:jc w:val="left"/>
              <w:rPr>
                <w:rFonts w:ascii="Arial" w:hAnsi="Arial" w:cs="Arial"/>
                <w:color w:val="000000"/>
                <w:sz w:val="16"/>
                <w:szCs w:val="16"/>
              </w:rPr>
            </w:pPr>
            <w:r w:rsidRPr="002A0915">
              <w:rPr>
                <w:rFonts w:ascii="Arial" w:hAnsi="Arial" w:cs="Arial"/>
                <w:color w:val="000000"/>
                <w:sz w:val="16"/>
                <w:szCs w:val="16"/>
              </w:rPr>
              <w:t>Balance carried forward from</w:t>
            </w:r>
            <w:r>
              <w:rPr>
                <w:rFonts w:ascii="Arial" w:hAnsi="Arial" w:cs="Arial"/>
                <w:color w:val="000000"/>
                <w:sz w:val="16"/>
                <w:szCs w:val="16"/>
              </w:rPr>
              <w:t xml:space="preserve"> </w:t>
            </w:r>
            <w:r w:rsidRPr="002A0915">
              <w:rPr>
                <w:rFonts w:ascii="Arial" w:hAnsi="Arial" w:cs="Arial"/>
                <w:color w:val="000000"/>
                <w:sz w:val="16"/>
                <w:szCs w:val="16"/>
              </w:rPr>
              <w:t>previous period</w:t>
            </w:r>
          </w:p>
        </w:tc>
        <w:tc>
          <w:tcPr>
            <w:tcW w:w="1120" w:type="dxa"/>
            <w:tcBorders>
              <w:top w:val="nil"/>
              <w:left w:val="nil"/>
              <w:bottom w:val="nil"/>
              <w:right w:val="nil"/>
            </w:tcBorders>
            <w:shd w:val="clear" w:color="auto" w:fill="auto"/>
            <w:noWrap/>
            <w:vAlign w:val="bottom"/>
            <w:hideMark/>
          </w:tcPr>
          <w:p w14:paraId="2E461198" w14:textId="5E4AE348"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124,079</w:t>
            </w:r>
          </w:p>
        </w:tc>
        <w:tc>
          <w:tcPr>
            <w:tcW w:w="1120" w:type="dxa"/>
            <w:tcBorders>
              <w:top w:val="nil"/>
              <w:left w:val="nil"/>
              <w:bottom w:val="nil"/>
              <w:right w:val="nil"/>
            </w:tcBorders>
            <w:shd w:val="clear" w:color="auto" w:fill="auto"/>
            <w:noWrap/>
            <w:vAlign w:val="bottom"/>
            <w:hideMark/>
          </w:tcPr>
          <w:p w14:paraId="511DCD75" w14:textId="79FE1DB1"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42,001</w:t>
            </w:r>
          </w:p>
        </w:tc>
        <w:tc>
          <w:tcPr>
            <w:tcW w:w="1120" w:type="dxa"/>
            <w:tcBorders>
              <w:top w:val="nil"/>
              <w:left w:val="nil"/>
              <w:bottom w:val="nil"/>
              <w:right w:val="nil"/>
            </w:tcBorders>
            <w:shd w:val="clear" w:color="auto" w:fill="auto"/>
            <w:noWrap/>
            <w:vAlign w:val="bottom"/>
            <w:hideMark/>
          </w:tcPr>
          <w:p w14:paraId="7F5FE827" w14:textId="24C5F5A8"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11,837</w:t>
            </w:r>
          </w:p>
        </w:tc>
        <w:tc>
          <w:tcPr>
            <w:tcW w:w="1120" w:type="dxa"/>
            <w:tcBorders>
              <w:top w:val="nil"/>
              <w:left w:val="nil"/>
              <w:bottom w:val="nil"/>
              <w:right w:val="nil"/>
            </w:tcBorders>
            <w:shd w:val="clear" w:color="auto" w:fill="auto"/>
            <w:noWrap/>
            <w:vAlign w:val="bottom"/>
            <w:hideMark/>
          </w:tcPr>
          <w:p w14:paraId="1D5A1A87" w14:textId="596DE64D"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177,917</w:t>
            </w:r>
          </w:p>
        </w:tc>
      </w:tr>
      <w:tr w:rsidR="00D37E8A" w:rsidRPr="002A0915" w14:paraId="1523163A" w14:textId="77777777" w:rsidTr="002A0915">
        <w:trPr>
          <w:trHeight w:val="204"/>
        </w:trPr>
        <w:tc>
          <w:tcPr>
            <w:tcW w:w="3119" w:type="dxa"/>
            <w:tcBorders>
              <w:top w:val="nil"/>
              <w:left w:val="nil"/>
              <w:bottom w:val="nil"/>
              <w:right w:val="nil"/>
            </w:tcBorders>
            <w:shd w:val="clear" w:color="auto" w:fill="auto"/>
            <w:vAlign w:val="center"/>
            <w:hideMark/>
          </w:tcPr>
          <w:p w14:paraId="53EDB6DD" w14:textId="77777777" w:rsidR="00D37E8A" w:rsidRPr="002A0915" w:rsidRDefault="00D37E8A" w:rsidP="00D37E8A">
            <w:pPr>
              <w:spacing w:after="0" w:line="240" w:lineRule="auto"/>
              <w:jc w:val="left"/>
              <w:rPr>
                <w:rFonts w:ascii="Arial" w:hAnsi="Arial" w:cs="Arial"/>
                <w:b/>
                <w:bCs/>
                <w:i/>
                <w:iCs/>
                <w:color w:val="000000"/>
                <w:sz w:val="16"/>
                <w:szCs w:val="16"/>
              </w:rPr>
            </w:pPr>
            <w:r w:rsidRPr="002A0915">
              <w:rPr>
                <w:rFonts w:ascii="Arial" w:hAnsi="Arial" w:cs="Arial"/>
                <w:b/>
                <w:bCs/>
                <w:i/>
                <w:iCs/>
                <w:color w:val="000000"/>
                <w:sz w:val="16"/>
                <w:szCs w:val="16"/>
              </w:rPr>
              <w:t>Adjusted opening balance</w:t>
            </w:r>
          </w:p>
        </w:tc>
        <w:tc>
          <w:tcPr>
            <w:tcW w:w="1120" w:type="dxa"/>
            <w:tcBorders>
              <w:top w:val="single" w:sz="4" w:space="0" w:color="000000"/>
              <w:left w:val="nil"/>
              <w:bottom w:val="single" w:sz="4" w:space="0" w:color="000000"/>
              <w:right w:val="nil"/>
            </w:tcBorders>
            <w:shd w:val="clear" w:color="auto" w:fill="auto"/>
            <w:noWrap/>
            <w:vAlign w:val="bottom"/>
            <w:hideMark/>
          </w:tcPr>
          <w:p w14:paraId="618D0F87" w14:textId="6829019F"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124,079</w:t>
            </w:r>
          </w:p>
        </w:tc>
        <w:tc>
          <w:tcPr>
            <w:tcW w:w="1120" w:type="dxa"/>
            <w:tcBorders>
              <w:top w:val="single" w:sz="4" w:space="0" w:color="000000"/>
              <w:left w:val="nil"/>
              <w:bottom w:val="single" w:sz="4" w:space="0" w:color="000000"/>
              <w:right w:val="nil"/>
            </w:tcBorders>
            <w:shd w:val="clear" w:color="auto" w:fill="auto"/>
            <w:noWrap/>
            <w:vAlign w:val="bottom"/>
            <w:hideMark/>
          </w:tcPr>
          <w:p w14:paraId="7B99A6AD" w14:textId="08300EF3"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42,001</w:t>
            </w:r>
          </w:p>
        </w:tc>
        <w:tc>
          <w:tcPr>
            <w:tcW w:w="1120" w:type="dxa"/>
            <w:tcBorders>
              <w:top w:val="single" w:sz="4" w:space="0" w:color="000000"/>
              <w:left w:val="nil"/>
              <w:bottom w:val="single" w:sz="4" w:space="0" w:color="000000"/>
              <w:right w:val="nil"/>
            </w:tcBorders>
            <w:shd w:val="clear" w:color="auto" w:fill="auto"/>
            <w:noWrap/>
            <w:vAlign w:val="bottom"/>
            <w:hideMark/>
          </w:tcPr>
          <w:p w14:paraId="509C259F" w14:textId="36BA401E"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11,837</w:t>
            </w:r>
          </w:p>
        </w:tc>
        <w:tc>
          <w:tcPr>
            <w:tcW w:w="1120" w:type="dxa"/>
            <w:tcBorders>
              <w:top w:val="single" w:sz="4" w:space="0" w:color="000000"/>
              <w:left w:val="nil"/>
              <w:bottom w:val="single" w:sz="4" w:space="0" w:color="000000"/>
              <w:right w:val="nil"/>
            </w:tcBorders>
            <w:shd w:val="clear" w:color="auto" w:fill="auto"/>
            <w:noWrap/>
            <w:vAlign w:val="bottom"/>
            <w:hideMark/>
          </w:tcPr>
          <w:p w14:paraId="115C1876" w14:textId="223A8F73"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177,917</w:t>
            </w:r>
          </w:p>
        </w:tc>
      </w:tr>
      <w:tr w:rsidR="00D37E8A" w:rsidRPr="002A0915" w14:paraId="268372C0" w14:textId="77777777" w:rsidTr="002A0915">
        <w:trPr>
          <w:trHeight w:val="204"/>
        </w:trPr>
        <w:tc>
          <w:tcPr>
            <w:tcW w:w="3119" w:type="dxa"/>
            <w:tcBorders>
              <w:top w:val="nil"/>
              <w:left w:val="nil"/>
              <w:bottom w:val="nil"/>
              <w:right w:val="nil"/>
            </w:tcBorders>
            <w:shd w:val="clear" w:color="auto" w:fill="auto"/>
            <w:noWrap/>
            <w:vAlign w:val="center"/>
            <w:hideMark/>
          </w:tcPr>
          <w:p w14:paraId="7E185AC0" w14:textId="77777777" w:rsidR="00D37E8A" w:rsidRPr="002A0915" w:rsidRDefault="00D37E8A" w:rsidP="00D37E8A">
            <w:pPr>
              <w:spacing w:after="0" w:line="240" w:lineRule="auto"/>
              <w:jc w:val="left"/>
              <w:rPr>
                <w:rFonts w:ascii="Arial" w:hAnsi="Arial" w:cs="Arial"/>
                <w:b/>
                <w:bCs/>
                <w:color w:val="000000"/>
                <w:sz w:val="16"/>
                <w:szCs w:val="16"/>
              </w:rPr>
            </w:pPr>
            <w:r w:rsidRPr="002A0915">
              <w:rPr>
                <w:rFonts w:ascii="Arial" w:hAnsi="Arial" w:cs="Arial"/>
                <w:b/>
                <w:bCs/>
                <w:color w:val="000000"/>
                <w:sz w:val="16"/>
                <w:szCs w:val="16"/>
              </w:rPr>
              <w:t>Comprehensive income</w:t>
            </w:r>
          </w:p>
        </w:tc>
        <w:tc>
          <w:tcPr>
            <w:tcW w:w="1120" w:type="dxa"/>
            <w:tcBorders>
              <w:top w:val="nil"/>
              <w:left w:val="nil"/>
              <w:bottom w:val="nil"/>
              <w:right w:val="nil"/>
            </w:tcBorders>
            <w:shd w:val="clear" w:color="auto" w:fill="auto"/>
            <w:noWrap/>
            <w:vAlign w:val="bottom"/>
            <w:hideMark/>
          </w:tcPr>
          <w:p w14:paraId="075E73FC" w14:textId="77777777" w:rsidR="00D37E8A" w:rsidRPr="002A0915" w:rsidRDefault="00D37E8A" w:rsidP="00D37E8A">
            <w:pPr>
              <w:spacing w:after="0" w:line="240" w:lineRule="auto"/>
              <w:jc w:val="righ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bottom"/>
            <w:hideMark/>
          </w:tcPr>
          <w:p w14:paraId="4D944451" w14:textId="77777777" w:rsidR="00D37E8A" w:rsidRPr="002A0915" w:rsidRDefault="00D37E8A" w:rsidP="00D37E8A">
            <w:pPr>
              <w:spacing w:after="0" w:line="240" w:lineRule="auto"/>
              <w:jc w:val="right"/>
              <w:rPr>
                <w:rFonts w:ascii="Times New Roman" w:hAnsi="Times New Roman"/>
              </w:rPr>
            </w:pPr>
          </w:p>
        </w:tc>
        <w:tc>
          <w:tcPr>
            <w:tcW w:w="1120" w:type="dxa"/>
            <w:tcBorders>
              <w:top w:val="nil"/>
              <w:left w:val="nil"/>
              <w:bottom w:val="nil"/>
              <w:right w:val="nil"/>
            </w:tcBorders>
            <w:shd w:val="clear" w:color="auto" w:fill="auto"/>
            <w:noWrap/>
            <w:vAlign w:val="bottom"/>
            <w:hideMark/>
          </w:tcPr>
          <w:p w14:paraId="4C0DB2FD" w14:textId="77777777" w:rsidR="00D37E8A" w:rsidRPr="002A0915" w:rsidRDefault="00D37E8A" w:rsidP="00D37E8A">
            <w:pPr>
              <w:spacing w:after="0" w:line="240" w:lineRule="auto"/>
              <w:jc w:val="right"/>
              <w:rPr>
                <w:rFonts w:ascii="Times New Roman" w:hAnsi="Times New Roman"/>
              </w:rPr>
            </w:pPr>
          </w:p>
        </w:tc>
        <w:tc>
          <w:tcPr>
            <w:tcW w:w="1120" w:type="dxa"/>
            <w:tcBorders>
              <w:top w:val="nil"/>
              <w:left w:val="nil"/>
              <w:bottom w:val="nil"/>
              <w:right w:val="nil"/>
            </w:tcBorders>
            <w:shd w:val="clear" w:color="auto" w:fill="auto"/>
            <w:noWrap/>
            <w:vAlign w:val="bottom"/>
            <w:hideMark/>
          </w:tcPr>
          <w:p w14:paraId="44986C67" w14:textId="77777777" w:rsidR="00D37E8A" w:rsidRPr="002A0915" w:rsidRDefault="00D37E8A" w:rsidP="00D37E8A">
            <w:pPr>
              <w:spacing w:after="0" w:line="240" w:lineRule="auto"/>
              <w:jc w:val="right"/>
              <w:rPr>
                <w:rFonts w:ascii="Times New Roman" w:hAnsi="Times New Roman"/>
              </w:rPr>
            </w:pPr>
          </w:p>
        </w:tc>
      </w:tr>
      <w:tr w:rsidR="00D37E8A" w:rsidRPr="002A0915" w14:paraId="4B7BAF6E" w14:textId="77777777" w:rsidTr="002A0915">
        <w:trPr>
          <w:trHeight w:val="204"/>
        </w:trPr>
        <w:tc>
          <w:tcPr>
            <w:tcW w:w="3119" w:type="dxa"/>
            <w:tcBorders>
              <w:top w:val="nil"/>
              <w:left w:val="nil"/>
              <w:bottom w:val="nil"/>
              <w:right w:val="nil"/>
            </w:tcBorders>
            <w:shd w:val="clear" w:color="auto" w:fill="auto"/>
            <w:noWrap/>
            <w:vAlign w:val="center"/>
            <w:hideMark/>
          </w:tcPr>
          <w:p w14:paraId="1BD60698" w14:textId="77777777" w:rsidR="00D37E8A" w:rsidRPr="002A0915" w:rsidRDefault="00D37E8A" w:rsidP="00D37E8A">
            <w:pPr>
              <w:spacing w:after="0" w:line="240" w:lineRule="auto"/>
              <w:ind w:left="113"/>
              <w:jc w:val="left"/>
              <w:rPr>
                <w:rFonts w:ascii="Arial" w:hAnsi="Arial" w:cs="Arial"/>
                <w:sz w:val="16"/>
                <w:szCs w:val="16"/>
              </w:rPr>
            </w:pPr>
            <w:r w:rsidRPr="002A0915">
              <w:rPr>
                <w:rFonts w:ascii="Arial" w:hAnsi="Arial" w:cs="Arial"/>
                <w:sz w:val="16"/>
                <w:szCs w:val="16"/>
              </w:rPr>
              <w:t>Surplus/(deficit) for the period</w:t>
            </w:r>
          </w:p>
        </w:tc>
        <w:tc>
          <w:tcPr>
            <w:tcW w:w="1120" w:type="dxa"/>
            <w:tcBorders>
              <w:top w:val="nil"/>
              <w:left w:val="nil"/>
              <w:bottom w:val="nil"/>
              <w:right w:val="nil"/>
            </w:tcBorders>
            <w:shd w:val="clear" w:color="auto" w:fill="auto"/>
            <w:noWrap/>
            <w:vAlign w:val="bottom"/>
            <w:hideMark/>
          </w:tcPr>
          <w:p w14:paraId="7CC7BCB2" w14:textId="76B33299"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(17,507)</w:t>
            </w:r>
          </w:p>
        </w:tc>
        <w:tc>
          <w:tcPr>
            <w:tcW w:w="1120" w:type="dxa"/>
            <w:tcBorders>
              <w:top w:val="nil"/>
              <w:left w:val="nil"/>
              <w:bottom w:val="nil"/>
              <w:right w:val="nil"/>
            </w:tcBorders>
            <w:shd w:val="clear" w:color="auto" w:fill="auto"/>
            <w:noWrap/>
            <w:vAlign w:val="bottom"/>
            <w:hideMark/>
          </w:tcPr>
          <w:p w14:paraId="159F03CF" w14:textId="3B9DEC5E"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20" w:type="dxa"/>
            <w:tcBorders>
              <w:top w:val="nil"/>
              <w:left w:val="nil"/>
              <w:bottom w:val="nil"/>
              <w:right w:val="nil"/>
            </w:tcBorders>
            <w:shd w:val="clear" w:color="auto" w:fill="auto"/>
            <w:noWrap/>
            <w:vAlign w:val="bottom"/>
            <w:hideMark/>
          </w:tcPr>
          <w:p w14:paraId="1061DB84" w14:textId="3481B7D4"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20" w:type="dxa"/>
            <w:tcBorders>
              <w:top w:val="nil"/>
              <w:left w:val="nil"/>
              <w:bottom w:val="nil"/>
              <w:right w:val="nil"/>
            </w:tcBorders>
            <w:shd w:val="clear" w:color="auto" w:fill="auto"/>
            <w:noWrap/>
            <w:vAlign w:val="bottom"/>
            <w:hideMark/>
          </w:tcPr>
          <w:p w14:paraId="152F1D17" w14:textId="3CA19643"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(17,507)</w:t>
            </w:r>
          </w:p>
        </w:tc>
      </w:tr>
      <w:tr w:rsidR="00D37E8A" w:rsidRPr="002A0915" w14:paraId="72432C6E" w14:textId="77777777" w:rsidTr="002A0915">
        <w:trPr>
          <w:trHeight w:val="204"/>
        </w:trPr>
        <w:tc>
          <w:tcPr>
            <w:tcW w:w="3119" w:type="dxa"/>
            <w:tcBorders>
              <w:top w:val="nil"/>
              <w:left w:val="nil"/>
              <w:bottom w:val="nil"/>
              <w:right w:val="nil"/>
            </w:tcBorders>
            <w:shd w:val="clear" w:color="auto" w:fill="auto"/>
            <w:vAlign w:val="center"/>
            <w:hideMark/>
          </w:tcPr>
          <w:p w14:paraId="6305F204" w14:textId="77777777" w:rsidR="00D37E8A" w:rsidRPr="002A0915" w:rsidRDefault="00D37E8A" w:rsidP="00D37E8A">
            <w:pPr>
              <w:spacing w:after="0" w:line="240" w:lineRule="auto"/>
              <w:jc w:val="left"/>
              <w:rPr>
                <w:rFonts w:ascii="Arial" w:hAnsi="Arial" w:cs="Arial"/>
                <w:b/>
                <w:bCs/>
                <w:i/>
                <w:iCs/>
                <w:color w:val="000000"/>
                <w:sz w:val="16"/>
                <w:szCs w:val="16"/>
              </w:rPr>
            </w:pPr>
            <w:r w:rsidRPr="002A0915">
              <w:rPr>
                <w:rFonts w:ascii="Arial" w:hAnsi="Arial" w:cs="Arial"/>
                <w:b/>
                <w:bCs/>
                <w:i/>
                <w:iCs/>
                <w:color w:val="000000"/>
                <w:sz w:val="16"/>
                <w:szCs w:val="16"/>
              </w:rPr>
              <w:t>Total comprehensive income</w:t>
            </w:r>
          </w:p>
        </w:tc>
        <w:tc>
          <w:tcPr>
            <w:tcW w:w="1120" w:type="dxa"/>
            <w:tcBorders>
              <w:top w:val="single" w:sz="4" w:space="0" w:color="000000"/>
              <w:left w:val="nil"/>
              <w:bottom w:val="nil"/>
              <w:right w:val="nil"/>
            </w:tcBorders>
            <w:shd w:val="clear" w:color="auto" w:fill="auto"/>
            <w:noWrap/>
            <w:vAlign w:val="bottom"/>
            <w:hideMark/>
          </w:tcPr>
          <w:p w14:paraId="7622623C" w14:textId="29E4A45B"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(17,507)</w:t>
            </w:r>
          </w:p>
        </w:tc>
        <w:tc>
          <w:tcPr>
            <w:tcW w:w="1120" w:type="dxa"/>
            <w:tcBorders>
              <w:top w:val="single" w:sz="4" w:space="0" w:color="000000"/>
              <w:left w:val="nil"/>
              <w:bottom w:val="nil"/>
              <w:right w:val="nil"/>
            </w:tcBorders>
            <w:shd w:val="clear" w:color="auto" w:fill="auto"/>
            <w:noWrap/>
            <w:vAlign w:val="bottom"/>
            <w:hideMark/>
          </w:tcPr>
          <w:p w14:paraId="201F8F62" w14:textId="6F760625"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120" w:type="dxa"/>
            <w:tcBorders>
              <w:top w:val="single" w:sz="4" w:space="0" w:color="000000"/>
              <w:left w:val="nil"/>
              <w:bottom w:val="nil"/>
              <w:right w:val="nil"/>
            </w:tcBorders>
            <w:shd w:val="clear" w:color="auto" w:fill="auto"/>
            <w:noWrap/>
            <w:vAlign w:val="bottom"/>
            <w:hideMark/>
          </w:tcPr>
          <w:p w14:paraId="75CC788B" w14:textId="1DD6BA3F"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120" w:type="dxa"/>
            <w:tcBorders>
              <w:top w:val="single" w:sz="4" w:space="0" w:color="000000"/>
              <w:left w:val="nil"/>
              <w:bottom w:val="nil"/>
              <w:right w:val="nil"/>
            </w:tcBorders>
            <w:shd w:val="clear" w:color="auto" w:fill="auto"/>
            <w:noWrap/>
            <w:vAlign w:val="bottom"/>
            <w:hideMark/>
          </w:tcPr>
          <w:p w14:paraId="40395373" w14:textId="7B1C3F2D"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(17,507)</w:t>
            </w:r>
          </w:p>
        </w:tc>
      </w:tr>
      <w:tr w:rsidR="00D37E8A" w:rsidRPr="002A0915" w14:paraId="6C06B4FB" w14:textId="77777777" w:rsidTr="002A0915">
        <w:trPr>
          <w:trHeight w:val="204"/>
        </w:trPr>
        <w:tc>
          <w:tcPr>
            <w:tcW w:w="3119" w:type="dxa"/>
            <w:tcBorders>
              <w:top w:val="nil"/>
              <w:left w:val="nil"/>
              <w:bottom w:val="nil"/>
              <w:right w:val="nil"/>
            </w:tcBorders>
            <w:shd w:val="clear" w:color="auto" w:fill="auto"/>
            <w:noWrap/>
            <w:vAlign w:val="center"/>
            <w:hideMark/>
          </w:tcPr>
          <w:p w14:paraId="160C6702" w14:textId="77777777" w:rsidR="00D37E8A" w:rsidRPr="002A0915" w:rsidRDefault="00D37E8A" w:rsidP="00D37E8A">
            <w:pPr>
              <w:spacing w:after="0" w:line="240" w:lineRule="auto"/>
              <w:ind w:left="113"/>
              <w:jc w:val="left"/>
              <w:rPr>
                <w:rFonts w:ascii="Arial" w:hAnsi="Arial" w:cs="Arial"/>
                <w:color w:val="000000"/>
                <w:sz w:val="16"/>
                <w:szCs w:val="16"/>
              </w:rPr>
            </w:pPr>
            <w:r w:rsidRPr="002A0915">
              <w:rPr>
                <w:rFonts w:ascii="Arial" w:hAnsi="Arial" w:cs="Arial"/>
                <w:color w:val="000000"/>
                <w:sz w:val="16"/>
                <w:szCs w:val="16"/>
              </w:rPr>
              <w:t>of which:</w:t>
            </w:r>
          </w:p>
        </w:tc>
        <w:tc>
          <w:tcPr>
            <w:tcW w:w="1120" w:type="dxa"/>
            <w:tcBorders>
              <w:top w:val="single" w:sz="4" w:space="0" w:color="000000"/>
              <w:left w:val="nil"/>
              <w:bottom w:val="nil"/>
              <w:right w:val="nil"/>
            </w:tcBorders>
            <w:shd w:val="clear" w:color="auto" w:fill="auto"/>
            <w:noWrap/>
            <w:vAlign w:val="bottom"/>
            <w:hideMark/>
          </w:tcPr>
          <w:p w14:paraId="74D872B1" w14:textId="51B3BFA7" w:rsidR="00D37E8A" w:rsidRPr="002A0915" w:rsidRDefault="00D37E8A" w:rsidP="00D37E8A">
            <w:pPr>
              <w:spacing w:after="0" w:line="240" w:lineRule="auto"/>
              <w:jc w:val="right"/>
              <w:rPr>
                <w:rFonts w:ascii="Arial" w:hAnsi="Arial" w:cs="Arial"/>
                <w:color w:val="000000"/>
                <w:sz w:val="16"/>
                <w:szCs w:val="16"/>
              </w:rPr>
            </w:pPr>
          </w:p>
        </w:tc>
        <w:tc>
          <w:tcPr>
            <w:tcW w:w="1120" w:type="dxa"/>
            <w:tcBorders>
              <w:top w:val="single" w:sz="4" w:space="0" w:color="000000"/>
              <w:left w:val="nil"/>
              <w:bottom w:val="nil"/>
              <w:right w:val="nil"/>
            </w:tcBorders>
            <w:shd w:val="clear" w:color="auto" w:fill="auto"/>
            <w:noWrap/>
            <w:vAlign w:val="bottom"/>
            <w:hideMark/>
          </w:tcPr>
          <w:p w14:paraId="2EB4EEA2" w14:textId="77CC4F6B" w:rsidR="00D37E8A" w:rsidRPr="002A0915" w:rsidRDefault="00D37E8A" w:rsidP="00D37E8A">
            <w:pPr>
              <w:spacing w:after="0" w:line="240" w:lineRule="auto"/>
              <w:jc w:val="right"/>
              <w:rPr>
                <w:rFonts w:ascii="Arial" w:hAnsi="Arial" w:cs="Arial"/>
                <w:color w:val="000000"/>
                <w:sz w:val="16"/>
                <w:szCs w:val="16"/>
              </w:rPr>
            </w:pPr>
          </w:p>
        </w:tc>
        <w:tc>
          <w:tcPr>
            <w:tcW w:w="1120" w:type="dxa"/>
            <w:tcBorders>
              <w:top w:val="single" w:sz="4" w:space="0" w:color="000000"/>
              <w:left w:val="nil"/>
              <w:bottom w:val="nil"/>
              <w:right w:val="nil"/>
            </w:tcBorders>
            <w:shd w:val="clear" w:color="auto" w:fill="auto"/>
            <w:noWrap/>
            <w:vAlign w:val="bottom"/>
            <w:hideMark/>
          </w:tcPr>
          <w:p w14:paraId="6E3379EA" w14:textId="740FAF55" w:rsidR="00D37E8A" w:rsidRPr="002A0915" w:rsidRDefault="00D37E8A" w:rsidP="00D37E8A">
            <w:pPr>
              <w:spacing w:after="0" w:line="240" w:lineRule="auto"/>
              <w:jc w:val="right"/>
              <w:rPr>
                <w:rFonts w:ascii="Arial" w:hAnsi="Arial" w:cs="Arial"/>
                <w:color w:val="000000"/>
                <w:sz w:val="16"/>
                <w:szCs w:val="16"/>
              </w:rPr>
            </w:pPr>
          </w:p>
        </w:tc>
        <w:tc>
          <w:tcPr>
            <w:tcW w:w="1120" w:type="dxa"/>
            <w:tcBorders>
              <w:top w:val="single" w:sz="4" w:space="0" w:color="000000"/>
              <w:left w:val="nil"/>
              <w:bottom w:val="nil"/>
              <w:right w:val="nil"/>
            </w:tcBorders>
            <w:shd w:val="clear" w:color="auto" w:fill="auto"/>
            <w:noWrap/>
            <w:vAlign w:val="bottom"/>
            <w:hideMark/>
          </w:tcPr>
          <w:p w14:paraId="47D907A2" w14:textId="18C64CA3" w:rsidR="00D37E8A" w:rsidRPr="002A0915" w:rsidRDefault="00D37E8A" w:rsidP="00D37E8A">
            <w:pPr>
              <w:spacing w:after="0" w:line="240" w:lineRule="auto"/>
              <w:jc w:val="right"/>
              <w:rPr>
                <w:rFonts w:ascii="Arial" w:hAnsi="Arial" w:cs="Arial"/>
                <w:color w:val="000000"/>
                <w:sz w:val="16"/>
                <w:szCs w:val="16"/>
              </w:rPr>
            </w:pPr>
          </w:p>
        </w:tc>
      </w:tr>
      <w:tr w:rsidR="00D37E8A" w:rsidRPr="002A0915" w14:paraId="0E3D5E6D" w14:textId="77777777" w:rsidTr="002A0915">
        <w:trPr>
          <w:trHeight w:val="204"/>
        </w:trPr>
        <w:tc>
          <w:tcPr>
            <w:tcW w:w="3119" w:type="dxa"/>
            <w:tcBorders>
              <w:top w:val="nil"/>
              <w:left w:val="nil"/>
              <w:bottom w:val="nil"/>
              <w:right w:val="nil"/>
            </w:tcBorders>
            <w:shd w:val="clear" w:color="auto" w:fill="auto"/>
            <w:vAlign w:val="center"/>
            <w:hideMark/>
          </w:tcPr>
          <w:p w14:paraId="5859E6EF" w14:textId="74AC73B8" w:rsidR="00D37E8A" w:rsidRPr="002A0915" w:rsidRDefault="00D37E8A" w:rsidP="00D37E8A">
            <w:pPr>
              <w:spacing w:after="0" w:line="240" w:lineRule="auto"/>
              <w:ind w:left="227"/>
              <w:jc w:val="left"/>
              <w:rPr>
                <w:rFonts w:ascii="Arial" w:hAnsi="Arial" w:cs="Arial"/>
                <w:color w:val="000000"/>
                <w:sz w:val="16"/>
                <w:szCs w:val="16"/>
              </w:rPr>
            </w:pPr>
            <w:r w:rsidRPr="002A0915">
              <w:rPr>
                <w:rFonts w:ascii="Arial" w:hAnsi="Arial" w:cs="Arial"/>
                <w:color w:val="000000"/>
                <w:sz w:val="16"/>
                <w:szCs w:val="16"/>
              </w:rPr>
              <w:t>Attributable to the Australian</w:t>
            </w:r>
            <w:r>
              <w:rPr>
                <w:rFonts w:ascii="Arial" w:hAnsi="Arial" w:cs="Arial"/>
                <w:color w:val="000000"/>
                <w:sz w:val="16"/>
                <w:szCs w:val="16"/>
              </w:rPr>
              <w:t xml:space="preserve"> </w:t>
            </w:r>
            <w:r w:rsidRPr="002A0915">
              <w:rPr>
                <w:rFonts w:ascii="Arial" w:hAnsi="Arial" w:cs="Arial"/>
                <w:color w:val="000000"/>
                <w:sz w:val="16"/>
                <w:szCs w:val="16"/>
              </w:rPr>
              <w:t>Government</w:t>
            </w:r>
          </w:p>
        </w:tc>
        <w:tc>
          <w:tcPr>
            <w:tcW w:w="1120" w:type="dxa"/>
            <w:tcBorders>
              <w:top w:val="nil"/>
              <w:left w:val="nil"/>
              <w:bottom w:val="nil"/>
              <w:right w:val="nil"/>
            </w:tcBorders>
            <w:shd w:val="clear" w:color="auto" w:fill="auto"/>
            <w:noWrap/>
            <w:vAlign w:val="bottom"/>
            <w:hideMark/>
          </w:tcPr>
          <w:p w14:paraId="0BFD5271" w14:textId="51F39452"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(17,507)</w:t>
            </w:r>
          </w:p>
        </w:tc>
        <w:tc>
          <w:tcPr>
            <w:tcW w:w="1120" w:type="dxa"/>
            <w:tcBorders>
              <w:top w:val="nil"/>
              <w:left w:val="nil"/>
              <w:bottom w:val="nil"/>
              <w:right w:val="nil"/>
            </w:tcBorders>
            <w:shd w:val="clear" w:color="auto" w:fill="auto"/>
            <w:noWrap/>
            <w:vAlign w:val="bottom"/>
            <w:hideMark/>
          </w:tcPr>
          <w:p w14:paraId="105076F2" w14:textId="0A76CD54"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20" w:type="dxa"/>
            <w:tcBorders>
              <w:top w:val="nil"/>
              <w:left w:val="nil"/>
              <w:bottom w:val="nil"/>
              <w:right w:val="nil"/>
            </w:tcBorders>
            <w:shd w:val="clear" w:color="auto" w:fill="auto"/>
            <w:noWrap/>
            <w:vAlign w:val="bottom"/>
            <w:hideMark/>
          </w:tcPr>
          <w:p w14:paraId="79EFD6BC" w14:textId="0AAFC744"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20" w:type="dxa"/>
            <w:tcBorders>
              <w:top w:val="nil"/>
              <w:left w:val="nil"/>
              <w:bottom w:val="nil"/>
              <w:right w:val="nil"/>
            </w:tcBorders>
            <w:shd w:val="clear" w:color="auto" w:fill="auto"/>
            <w:noWrap/>
            <w:vAlign w:val="bottom"/>
            <w:hideMark/>
          </w:tcPr>
          <w:p w14:paraId="010DECAD" w14:textId="79E8A333"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(17,507)</w:t>
            </w:r>
          </w:p>
        </w:tc>
      </w:tr>
      <w:tr w:rsidR="00D37E8A" w:rsidRPr="002A0915" w14:paraId="374FCBEB" w14:textId="77777777" w:rsidTr="002A0915">
        <w:trPr>
          <w:trHeight w:val="204"/>
        </w:trPr>
        <w:tc>
          <w:tcPr>
            <w:tcW w:w="3119" w:type="dxa"/>
            <w:tcBorders>
              <w:top w:val="nil"/>
              <w:left w:val="nil"/>
              <w:bottom w:val="nil"/>
              <w:right w:val="nil"/>
            </w:tcBorders>
            <w:shd w:val="clear" w:color="auto" w:fill="auto"/>
            <w:noWrap/>
            <w:vAlign w:val="center"/>
            <w:hideMark/>
          </w:tcPr>
          <w:p w14:paraId="635C2A34" w14:textId="77777777" w:rsidR="00D37E8A" w:rsidRPr="002A0915" w:rsidRDefault="00D37E8A" w:rsidP="00D37E8A">
            <w:pPr>
              <w:spacing w:after="0" w:line="240" w:lineRule="auto"/>
              <w:jc w:val="left"/>
              <w:rPr>
                <w:rFonts w:ascii="Arial" w:hAnsi="Arial" w:cs="Arial"/>
                <w:b/>
                <w:bCs/>
                <w:color w:val="000000"/>
                <w:sz w:val="16"/>
                <w:szCs w:val="16"/>
              </w:rPr>
            </w:pPr>
            <w:r w:rsidRPr="002A0915">
              <w:rPr>
                <w:rFonts w:ascii="Arial" w:hAnsi="Arial" w:cs="Arial"/>
                <w:b/>
                <w:bCs/>
                <w:color w:val="000000"/>
                <w:sz w:val="16"/>
                <w:szCs w:val="16"/>
              </w:rPr>
              <w:t>Transactions with owners</w:t>
            </w:r>
          </w:p>
        </w:tc>
        <w:tc>
          <w:tcPr>
            <w:tcW w:w="1120" w:type="dxa"/>
            <w:tcBorders>
              <w:top w:val="nil"/>
              <w:left w:val="nil"/>
              <w:bottom w:val="nil"/>
              <w:right w:val="nil"/>
            </w:tcBorders>
            <w:shd w:val="clear" w:color="auto" w:fill="auto"/>
            <w:noWrap/>
            <w:vAlign w:val="bottom"/>
            <w:hideMark/>
          </w:tcPr>
          <w:p w14:paraId="61CBF17B" w14:textId="77777777" w:rsidR="00D37E8A" w:rsidRPr="002A0915" w:rsidRDefault="00D37E8A" w:rsidP="00D37E8A">
            <w:pPr>
              <w:spacing w:after="0" w:line="240" w:lineRule="auto"/>
              <w:jc w:val="right"/>
              <w:rPr>
                <w:rFonts w:ascii="Arial" w:hAnsi="Arial" w:cs="Arial"/>
                <w:b/>
                <w:bCs/>
                <w:color w:val="000000"/>
                <w:sz w:val="16"/>
                <w:szCs w:val="16"/>
              </w:rPr>
            </w:pPr>
          </w:p>
        </w:tc>
        <w:tc>
          <w:tcPr>
            <w:tcW w:w="1120" w:type="dxa"/>
            <w:tcBorders>
              <w:top w:val="nil"/>
              <w:left w:val="nil"/>
              <w:bottom w:val="nil"/>
              <w:right w:val="nil"/>
            </w:tcBorders>
            <w:shd w:val="clear" w:color="auto" w:fill="auto"/>
            <w:noWrap/>
            <w:vAlign w:val="bottom"/>
            <w:hideMark/>
          </w:tcPr>
          <w:p w14:paraId="67FBE315" w14:textId="77777777" w:rsidR="00D37E8A" w:rsidRPr="002A0915" w:rsidRDefault="00D37E8A" w:rsidP="00D37E8A">
            <w:pPr>
              <w:spacing w:after="0" w:line="240" w:lineRule="auto"/>
              <w:jc w:val="right"/>
              <w:rPr>
                <w:rFonts w:ascii="Times New Roman" w:hAnsi="Times New Roman"/>
              </w:rPr>
            </w:pPr>
          </w:p>
        </w:tc>
        <w:tc>
          <w:tcPr>
            <w:tcW w:w="1120" w:type="dxa"/>
            <w:tcBorders>
              <w:top w:val="nil"/>
              <w:left w:val="nil"/>
              <w:bottom w:val="nil"/>
              <w:right w:val="nil"/>
            </w:tcBorders>
            <w:shd w:val="clear" w:color="auto" w:fill="auto"/>
            <w:noWrap/>
            <w:vAlign w:val="bottom"/>
            <w:hideMark/>
          </w:tcPr>
          <w:p w14:paraId="45438FF2" w14:textId="77777777" w:rsidR="00D37E8A" w:rsidRPr="002A0915" w:rsidRDefault="00D37E8A" w:rsidP="00D37E8A">
            <w:pPr>
              <w:spacing w:after="0" w:line="240" w:lineRule="auto"/>
              <w:jc w:val="right"/>
              <w:rPr>
                <w:rFonts w:ascii="Times New Roman" w:hAnsi="Times New Roman"/>
              </w:rPr>
            </w:pPr>
          </w:p>
        </w:tc>
        <w:tc>
          <w:tcPr>
            <w:tcW w:w="1120" w:type="dxa"/>
            <w:tcBorders>
              <w:top w:val="nil"/>
              <w:left w:val="nil"/>
              <w:bottom w:val="nil"/>
              <w:right w:val="nil"/>
            </w:tcBorders>
            <w:shd w:val="clear" w:color="auto" w:fill="auto"/>
            <w:noWrap/>
            <w:vAlign w:val="bottom"/>
            <w:hideMark/>
          </w:tcPr>
          <w:p w14:paraId="4BF5FF4B" w14:textId="77777777" w:rsidR="00D37E8A" w:rsidRPr="002A0915" w:rsidRDefault="00D37E8A" w:rsidP="00D37E8A">
            <w:pPr>
              <w:spacing w:after="0" w:line="240" w:lineRule="auto"/>
              <w:jc w:val="right"/>
              <w:rPr>
                <w:rFonts w:ascii="Times New Roman" w:hAnsi="Times New Roman"/>
              </w:rPr>
            </w:pPr>
          </w:p>
        </w:tc>
      </w:tr>
      <w:tr w:rsidR="00D37E8A" w:rsidRPr="002A0915" w14:paraId="7C86B927" w14:textId="77777777" w:rsidTr="002A0915">
        <w:trPr>
          <w:trHeight w:val="204"/>
        </w:trPr>
        <w:tc>
          <w:tcPr>
            <w:tcW w:w="3119" w:type="dxa"/>
            <w:tcBorders>
              <w:top w:val="nil"/>
              <w:left w:val="nil"/>
              <w:bottom w:val="nil"/>
              <w:right w:val="nil"/>
            </w:tcBorders>
            <w:shd w:val="clear" w:color="auto" w:fill="auto"/>
            <w:noWrap/>
            <w:vAlign w:val="center"/>
            <w:hideMark/>
          </w:tcPr>
          <w:p w14:paraId="0B4ED0E3" w14:textId="7A1927AD" w:rsidR="00D37E8A" w:rsidRPr="002A0915" w:rsidRDefault="00D37E8A" w:rsidP="00D37E8A">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Pr="002A0915">
              <w:rPr>
                <w:rFonts w:ascii="Arial" w:hAnsi="Arial" w:cs="Arial"/>
                <w:color w:val="000000"/>
                <w:sz w:val="16"/>
                <w:szCs w:val="16"/>
              </w:rPr>
              <w:t>al Capital Budget (DCB)</w:t>
            </w:r>
          </w:p>
        </w:tc>
        <w:tc>
          <w:tcPr>
            <w:tcW w:w="1120" w:type="dxa"/>
            <w:tcBorders>
              <w:top w:val="nil"/>
              <w:left w:val="nil"/>
              <w:bottom w:val="nil"/>
              <w:right w:val="nil"/>
            </w:tcBorders>
            <w:shd w:val="clear" w:color="auto" w:fill="auto"/>
            <w:noWrap/>
            <w:vAlign w:val="bottom"/>
            <w:hideMark/>
          </w:tcPr>
          <w:p w14:paraId="69B0581F" w14:textId="147C3494"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20" w:type="dxa"/>
            <w:tcBorders>
              <w:top w:val="nil"/>
              <w:left w:val="nil"/>
              <w:bottom w:val="nil"/>
              <w:right w:val="nil"/>
            </w:tcBorders>
            <w:shd w:val="clear" w:color="auto" w:fill="auto"/>
            <w:noWrap/>
            <w:vAlign w:val="bottom"/>
            <w:hideMark/>
          </w:tcPr>
          <w:p w14:paraId="2D319E4A" w14:textId="7BF9C011"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20" w:type="dxa"/>
            <w:tcBorders>
              <w:top w:val="nil"/>
              <w:left w:val="nil"/>
              <w:bottom w:val="nil"/>
              <w:right w:val="nil"/>
            </w:tcBorders>
            <w:shd w:val="clear" w:color="auto" w:fill="auto"/>
            <w:noWrap/>
            <w:vAlign w:val="bottom"/>
            <w:hideMark/>
          </w:tcPr>
          <w:p w14:paraId="63924E7A" w14:textId="374A561F"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20,989</w:t>
            </w:r>
          </w:p>
        </w:tc>
        <w:tc>
          <w:tcPr>
            <w:tcW w:w="1120" w:type="dxa"/>
            <w:tcBorders>
              <w:top w:val="nil"/>
              <w:left w:val="nil"/>
              <w:bottom w:val="nil"/>
              <w:right w:val="nil"/>
            </w:tcBorders>
            <w:shd w:val="clear" w:color="auto" w:fill="auto"/>
            <w:noWrap/>
            <w:vAlign w:val="bottom"/>
            <w:hideMark/>
          </w:tcPr>
          <w:p w14:paraId="7ED9971A" w14:textId="39D6A62C" w:rsidR="00D37E8A" w:rsidRPr="002A0915" w:rsidRDefault="00D37E8A" w:rsidP="00D37E8A">
            <w:pPr>
              <w:spacing w:after="0" w:line="240" w:lineRule="auto"/>
              <w:jc w:val="right"/>
              <w:rPr>
                <w:rFonts w:ascii="Arial" w:hAnsi="Arial" w:cs="Arial"/>
                <w:color w:val="000000"/>
                <w:sz w:val="16"/>
                <w:szCs w:val="16"/>
              </w:rPr>
            </w:pPr>
            <w:r>
              <w:rPr>
                <w:rFonts w:ascii="Arial" w:hAnsi="Arial" w:cs="Arial"/>
                <w:color w:val="000000"/>
                <w:sz w:val="16"/>
                <w:szCs w:val="16"/>
              </w:rPr>
              <w:t>20,989</w:t>
            </w:r>
          </w:p>
        </w:tc>
      </w:tr>
      <w:tr w:rsidR="00D37E8A" w:rsidRPr="002A0915" w14:paraId="47399711" w14:textId="77777777" w:rsidTr="002A0915">
        <w:trPr>
          <w:trHeight w:val="204"/>
        </w:trPr>
        <w:tc>
          <w:tcPr>
            <w:tcW w:w="3119" w:type="dxa"/>
            <w:tcBorders>
              <w:top w:val="nil"/>
              <w:left w:val="nil"/>
              <w:bottom w:val="nil"/>
              <w:right w:val="nil"/>
            </w:tcBorders>
            <w:shd w:val="clear" w:color="auto" w:fill="auto"/>
            <w:vAlign w:val="center"/>
            <w:hideMark/>
          </w:tcPr>
          <w:p w14:paraId="5779FEFC" w14:textId="38A1008F" w:rsidR="00D37E8A" w:rsidRPr="002A0915" w:rsidRDefault="00D37E8A" w:rsidP="00D37E8A">
            <w:pPr>
              <w:spacing w:after="0" w:line="240" w:lineRule="auto"/>
              <w:jc w:val="left"/>
              <w:rPr>
                <w:rFonts w:ascii="Arial" w:hAnsi="Arial" w:cs="Arial"/>
                <w:b/>
                <w:bCs/>
                <w:i/>
                <w:iCs/>
                <w:color w:val="000000"/>
                <w:sz w:val="16"/>
                <w:szCs w:val="16"/>
              </w:rPr>
            </w:pPr>
            <w:r w:rsidRPr="002A0915">
              <w:rPr>
                <w:rFonts w:ascii="Arial" w:hAnsi="Arial" w:cs="Arial"/>
                <w:b/>
                <w:bCs/>
                <w:i/>
                <w:iCs/>
                <w:color w:val="000000"/>
                <w:sz w:val="16"/>
                <w:szCs w:val="16"/>
              </w:rPr>
              <w:t>Sub-total transactions with</w:t>
            </w:r>
            <w:r>
              <w:rPr>
                <w:rFonts w:ascii="Arial" w:hAnsi="Arial" w:cs="Arial"/>
                <w:b/>
                <w:bCs/>
                <w:i/>
                <w:iCs/>
                <w:color w:val="000000"/>
                <w:sz w:val="16"/>
                <w:szCs w:val="16"/>
              </w:rPr>
              <w:t xml:space="preserve"> </w:t>
            </w:r>
            <w:r w:rsidRPr="002A0915">
              <w:rPr>
                <w:rFonts w:ascii="Arial" w:hAnsi="Arial" w:cs="Arial"/>
                <w:b/>
                <w:bCs/>
                <w:i/>
                <w:iCs/>
                <w:color w:val="000000"/>
                <w:sz w:val="16"/>
                <w:szCs w:val="16"/>
              </w:rPr>
              <w:t>owners</w:t>
            </w:r>
          </w:p>
        </w:tc>
        <w:tc>
          <w:tcPr>
            <w:tcW w:w="1120" w:type="dxa"/>
            <w:tcBorders>
              <w:top w:val="single" w:sz="4" w:space="0" w:color="000000"/>
              <w:left w:val="nil"/>
              <w:bottom w:val="single" w:sz="4" w:space="0" w:color="000000"/>
              <w:right w:val="nil"/>
            </w:tcBorders>
            <w:shd w:val="clear" w:color="auto" w:fill="auto"/>
            <w:noWrap/>
            <w:vAlign w:val="bottom"/>
            <w:hideMark/>
          </w:tcPr>
          <w:p w14:paraId="7E37E016" w14:textId="7AB1C7B0"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120" w:type="dxa"/>
            <w:tcBorders>
              <w:top w:val="single" w:sz="4" w:space="0" w:color="000000"/>
              <w:left w:val="nil"/>
              <w:bottom w:val="single" w:sz="4" w:space="0" w:color="000000"/>
              <w:right w:val="nil"/>
            </w:tcBorders>
            <w:shd w:val="clear" w:color="auto" w:fill="auto"/>
            <w:noWrap/>
            <w:vAlign w:val="bottom"/>
            <w:hideMark/>
          </w:tcPr>
          <w:p w14:paraId="409CA454" w14:textId="1146A5C0"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120" w:type="dxa"/>
            <w:tcBorders>
              <w:top w:val="single" w:sz="4" w:space="0" w:color="000000"/>
              <w:left w:val="nil"/>
              <w:bottom w:val="single" w:sz="4" w:space="0" w:color="000000"/>
              <w:right w:val="nil"/>
            </w:tcBorders>
            <w:shd w:val="clear" w:color="auto" w:fill="auto"/>
            <w:noWrap/>
            <w:vAlign w:val="bottom"/>
            <w:hideMark/>
          </w:tcPr>
          <w:p w14:paraId="5458F990" w14:textId="5E515F23"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20,989</w:t>
            </w:r>
          </w:p>
        </w:tc>
        <w:tc>
          <w:tcPr>
            <w:tcW w:w="1120" w:type="dxa"/>
            <w:tcBorders>
              <w:top w:val="single" w:sz="4" w:space="0" w:color="000000"/>
              <w:left w:val="nil"/>
              <w:bottom w:val="single" w:sz="4" w:space="0" w:color="000000"/>
              <w:right w:val="nil"/>
            </w:tcBorders>
            <w:shd w:val="clear" w:color="auto" w:fill="auto"/>
            <w:noWrap/>
            <w:vAlign w:val="bottom"/>
            <w:hideMark/>
          </w:tcPr>
          <w:p w14:paraId="746AFB5A" w14:textId="72BB97E1" w:rsidR="00D37E8A" w:rsidRPr="002A0915" w:rsidRDefault="00D37E8A" w:rsidP="00D37E8A">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20,989</w:t>
            </w:r>
          </w:p>
        </w:tc>
      </w:tr>
      <w:tr w:rsidR="00D37E8A" w:rsidRPr="002A0915" w14:paraId="327B49AD" w14:textId="77777777" w:rsidTr="002A0915">
        <w:trPr>
          <w:trHeight w:val="204"/>
        </w:trPr>
        <w:tc>
          <w:tcPr>
            <w:tcW w:w="3119" w:type="dxa"/>
            <w:tcBorders>
              <w:top w:val="nil"/>
              <w:left w:val="nil"/>
              <w:bottom w:val="nil"/>
              <w:right w:val="nil"/>
            </w:tcBorders>
            <w:shd w:val="clear" w:color="auto" w:fill="auto"/>
            <w:vAlign w:val="center"/>
            <w:hideMark/>
          </w:tcPr>
          <w:p w14:paraId="07654C42" w14:textId="11D1E744" w:rsidR="00D37E8A" w:rsidRPr="002A0915" w:rsidRDefault="00D37E8A" w:rsidP="00D37E8A">
            <w:pPr>
              <w:spacing w:after="0" w:line="240" w:lineRule="auto"/>
              <w:jc w:val="left"/>
              <w:rPr>
                <w:rFonts w:ascii="Arial" w:hAnsi="Arial" w:cs="Arial"/>
                <w:b/>
                <w:bCs/>
                <w:color w:val="000000"/>
                <w:sz w:val="16"/>
                <w:szCs w:val="16"/>
              </w:rPr>
            </w:pPr>
            <w:r w:rsidRPr="002A0915">
              <w:rPr>
                <w:rFonts w:ascii="Arial" w:hAnsi="Arial" w:cs="Arial"/>
                <w:b/>
                <w:bCs/>
                <w:color w:val="000000"/>
                <w:sz w:val="16"/>
                <w:szCs w:val="16"/>
              </w:rPr>
              <w:t>Estimated closing balance as at</w:t>
            </w:r>
            <w:r>
              <w:rPr>
                <w:rFonts w:ascii="Arial" w:hAnsi="Arial" w:cs="Arial"/>
                <w:b/>
                <w:bCs/>
                <w:color w:val="000000"/>
                <w:sz w:val="16"/>
                <w:szCs w:val="16"/>
              </w:rPr>
              <w:t xml:space="preserve"> </w:t>
            </w:r>
            <w:r w:rsidRPr="002A0915">
              <w:rPr>
                <w:rFonts w:ascii="Arial" w:hAnsi="Arial" w:cs="Arial"/>
                <w:b/>
                <w:bCs/>
                <w:color w:val="000000"/>
                <w:sz w:val="16"/>
                <w:szCs w:val="16"/>
              </w:rPr>
              <w:t>30</w:t>
            </w:r>
            <w:r>
              <w:rPr>
                <w:rFonts w:ascii="Arial" w:hAnsi="Arial" w:cs="Arial"/>
                <w:b/>
                <w:bCs/>
                <w:color w:val="000000"/>
                <w:sz w:val="16"/>
                <w:szCs w:val="16"/>
              </w:rPr>
              <w:t> </w:t>
            </w:r>
            <w:r w:rsidRPr="002A0915">
              <w:rPr>
                <w:rFonts w:ascii="Arial" w:hAnsi="Arial" w:cs="Arial"/>
                <w:b/>
                <w:bCs/>
                <w:color w:val="000000"/>
                <w:sz w:val="16"/>
                <w:szCs w:val="16"/>
              </w:rPr>
              <w:t>June 2022</w:t>
            </w:r>
          </w:p>
        </w:tc>
        <w:tc>
          <w:tcPr>
            <w:tcW w:w="1120" w:type="dxa"/>
            <w:tcBorders>
              <w:top w:val="nil"/>
              <w:left w:val="nil"/>
              <w:bottom w:val="single" w:sz="4" w:space="0" w:color="auto"/>
              <w:right w:val="nil"/>
            </w:tcBorders>
            <w:shd w:val="clear" w:color="auto" w:fill="auto"/>
            <w:noWrap/>
            <w:vAlign w:val="bottom"/>
            <w:hideMark/>
          </w:tcPr>
          <w:p w14:paraId="542B34BA" w14:textId="21BE8E99" w:rsidR="00D37E8A" w:rsidRPr="002A0915" w:rsidRDefault="00D37E8A" w:rsidP="00D37E8A">
            <w:pPr>
              <w:spacing w:after="0" w:line="240" w:lineRule="auto"/>
              <w:jc w:val="right"/>
              <w:rPr>
                <w:rFonts w:ascii="Arial" w:hAnsi="Arial" w:cs="Arial"/>
                <w:b/>
                <w:bCs/>
                <w:color w:val="000000"/>
                <w:sz w:val="16"/>
                <w:szCs w:val="16"/>
              </w:rPr>
            </w:pPr>
            <w:r>
              <w:rPr>
                <w:rFonts w:ascii="Arial" w:hAnsi="Arial" w:cs="Arial"/>
                <w:b/>
                <w:bCs/>
                <w:color w:val="000000"/>
                <w:sz w:val="16"/>
                <w:szCs w:val="16"/>
              </w:rPr>
              <w:t>106,572</w:t>
            </w:r>
          </w:p>
        </w:tc>
        <w:tc>
          <w:tcPr>
            <w:tcW w:w="1120" w:type="dxa"/>
            <w:tcBorders>
              <w:top w:val="nil"/>
              <w:left w:val="nil"/>
              <w:bottom w:val="single" w:sz="4" w:space="0" w:color="auto"/>
              <w:right w:val="nil"/>
            </w:tcBorders>
            <w:shd w:val="clear" w:color="auto" w:fill="auto"/>
            <w:noWrap/>
            <w:vAlign w:val="bottom"/>
            <w:hideMark/>
          </w:tcPr>
          <w:p w14:paraId="1892989E" w14:textId="267140CD" w:rsidR="00D37E8A" w:rsidRPr="002A0915" w:rsidRDefault="00D37E8A" w:rsidP="00D37E8A">
            <w:pPr>
              <w:spacing w:after="0" w:line="240" w:lineRule="auto"/>
              <w:jc w:val="right"/>
              <w:rPr>
                <w:rFonts w:ascii="Arial" w:hAnsi="Arial" w:cs="Arial"/>
                <w:b/>
                <w:bCs/>
                <w:color w:val="000000"/>
                <w:sz w:val="16"/>
                <w:szCs w:val="16"/>
              </w:rPr>
            </w:pPr>
            <w:r>
              <w:rPr>
                <w:rFonts w:ascii="Arial" w:hAnsi="Arial" w:cs="Arial"/>
                <w:b/>
                <w:bCs/>
                <w:color w:val="000000"/>
                <w:sz w:val="16"/>
                <w:szCs w:val="16"/>
              </w:rPr>
              <w:t>42,001</w:t>
            </w:r>
          </w:p>
        </w:tc>
        <w:tc>
          <w:tcPr>
            <w:tcW w:w="1120" w:type="dxa"/>
            <w:tcBorders>
              <w:top w:val="nil"/>
              <w:left w:val="nil"/>
              <w:bottom w:val="single" w:sz="4" w:space="0" w:color="auto"/>
              <w:right w:val="nil"/>
            </w:tcBorders>
            <w:shd w:val="clear" w:color="auto" w:fill="auto"/>
            <w:noWrap/>
            <w:vAlign w:val="bottom"/>
            <w:hideMark/>
          </w:tcPr>
          <w:p w14:paraId="4AF59F18" w14:textId="61CFBB4F" w:rsidR="00D37E8A" w:rsidRPr="002A0915" w:rsidRDefault="00D37E8A" w:rsidP="00D37E8A">
            <w:pPr>
              <w:spacing w:after="0" w:line="240" w:lineRule="auto"/>
              <w:jc w:val="right"/>
              <w:rPr>
                <w:rFonts w:ascii="Arial" w:hAnsi="Arial" w:cs="Arial"/>
                <w:b/>
                <w:bCs/>
                <w:color w:val="000000"/>
                <w:sz w:val="16"/>
                <w:szCs w:val="16"/>
              </w:rPr>
            </w:pPr>
            <w:r>
              <w:rPr>
                <w:rFonts w:ascii="Arial" w:hAnsi="Arial" w:cs="Arial"/>
                <w:b/>
                <w:bCs/>
                <w:color w:val="000000"/>
                <w:sz w:val="16"/>
                <w:szCs w:val="16"/>
              </w:rPr>
              <w:t>32,826</w:t>
            </w:r>
          </w:p>
        </w:tc>
        <w:tc>
          <w:tcPr>
            <w:tcW w:w="1120" w:type="dxa"/>
            <w:tcBorders>
              <w:top w:val="nil"/>
              <w:left w:val="nil"/>
              <w:bottom w:val="single" w:sz="4" w:space="0" w:color="auto"/>
              <w:right w:val="nil"/>
            </w:tcBorders>
            <w:shd w:val="clear" w:color="auto" w:fill="auto"/>
            <w:noWrap/>
            <w:vAlign w:val="bottom"/>
            <w:hideMark/>
          </w:tcPr>
          <w:p w14:paraId="4BE53050" w14:textId="7951A06F" w:rsidR="00D37E8A" w:rsidRPr="002A0915" w:rsidRDefault="00D37E8A" w:rsidP="00D37E8A">
            <w:pPr>
              <w:spacing w:after="0" w:line="240" w:lineRule="auto"/>
              <w:jc w:val="right"/>
              <w:rPr>
                <w:rFonts w:ascii="Arial" w:hAnsi="Arial" w:cs="Arial"/>
                <w:b/>
                <w:bCs/>
                <w:color w:val="000000"/>
                <w:sz w:val="16"/>
                <w:szCs w:val="16"/>
              </w:rPr>
            </w:pPr>
            <w:r>
              <w:rPr>
                <w:rFonts w:ascii="Arial" w:hAnsi="Arial" w:cs="Arial"/>
                <w:b/>
                <w:bCs/>
                <w:color w:val="000000"/>
                <w:sz w:val="16"/>
                <w:szCs w:val="16"/>
              </w:rPr>
              <w:t>181,399</w:t>
            </w:r>
          </w:p>
        </w:tc>
      </w:tr>
      <w:tr w:rsidR="00D37E8A" w:rsidRPr="002A0915" w14:paraId="777B6A84" w14:textId="77777777" w:rsidTr="002A0915">
        <w:trPr>
          <w:trHeight w:val="204"/>
        </w:trPr>
        <w:tc>
          <w:tcPr>
            <w:tcW w:w="3119" w:type="dxa"/>
            <w:tcBorders>
              <w:top w:val="nil"/>
              <w:left w:val="nil"/>
              <w:bottom w:val="single" w:sz="4" w:space="0" w:color="000000"/>
              <w:right w:val="nil"/>
            </w:tcBorders>
            <w:shd w:val="clear" w:color="auto" w:fill="auto"/>
            <w:vAlign w:val="center"/>
            <w:hideMark/>
          </w:tcPr>
          <w:p w14:paraId="3EC638CE" w14:textId="093D6068" w:rsidR="00D37E8A" w:rsidRPr="002A0915" w:rsidRDefault="00D37E8A" w:rsidP="00D37E8A">
            <w:pPr>
              <w:spacing w:after="0" w:line="240" w:lineRule="auto"/>
              <w:jc w:val="left"/>
              <w:rPr>
                <w:rFonts w:ascii="Arial" w:hAnsi="Arial" w:cs="Arial"/>
                <w:b/>
                <w:bCs/>
                <w:color w:val="000000"/>
                <w:sz w:val="16"/>
                <w:szCs w:val="16"/>
              </w:rPr>
            </w:pPr>
            <w:r w:rsidRPr="002A0915">
              <w:rPr>
                <w:rFonts w:ascii="Arial" w:hAnsi="Arial" w:cs="Arial"/>
                <w:b/>
                <w:bCs/>
                <w:color w:val="000000"/>
                <w:sz w:val="16"/>
                <w:szCs w:val="16"/>
              </w:rPr>
              <w:t>Closing balance attributable to</w:t>
            </w:r>
            <w:r>
              <w:rPr>
                <w:rFonts w:ascii="Arial" w:hAnsi="Arial" w:cs="Arial"/>
                <w:b/>
                <w:bCs/>
                <w:color w:val="000000"/>
                <w:sz w:val="16"/>
                <w:szCs w:val="16"/>
              </w:rPr>
              <w:t xml:space="preserve"> </w:t>
            </w:r>
            <w:r w:rsidRPr="002A0915">
              <w:rPr>
                <w:rFonts w:ascii="Arial" w:hAnsi="Arial" w:cs="Arial"/>
                <w:b/>
                <w:bCs/>
                <w:color w:val="000000"/>
                <w:sz w:val="16"/>
                <w:szCs w:val="16"/>
              </w:rPr>
              <w:t>the Australian Government</w:t>
            </w:r>
          </w:p>
        </w:tc>
        <w:tc>
          <w:tcPr>
            <w:tcW w:w="1120" w:type="dxa"/>
            <w:tcBorders>
              <w:top w:val="nil"/>
              <w:left w:val="nil"/>
              <w:bottom w:val="single" w:sz="4" w:space="0" w:color="auto"/>
              <w:right w:val="nil"/>
            </w:tcBorders>
            <w:shd w:val="clear" w:color="auto" w:fill="auto"/>
            <w:noWrap/>
            <w:vAlign w:val="bottom"/>
            <w:hideMark/>
          </w:tcPr>
          <w:p w14:paraId="557E1133" w14:textId="4B84C141" w:rsidR="00D37E8A" w:rsidRPr="002A0915" w:rsidRDefault="00D37E8A" w:rsidP="00D37E8A">
            <w:pPr>
              <w:spacing w:after="0" w:line="240" w:lineRule="auto"/>
              <w:jc w:val="right"/>
              <w:rPr>
                <w:rFonts w:ascii="Arial" w:hAnsi="Arial" w:cs="Arial"/>
                <w:b/>
                <w:bCs/>
                <w:color w:val="000000"/>
                <w:sz w:val="16"/>
                <w:szCs w:val="16"/>
              </w:rPr>
            </w:pPr>
            <w:r>
              <w:rPr>
                <w:rFonts w:ascii="Arial" w:hAnsi="Arial" w:cs="Arial"/>
                <w:b/>
                <w:bCs/>
                <w:color w:val="000000"/>
                <w:sz w:val="16"/>
                <w:szCs w:val="16"/>
              </w:rPr>
              <w:t>106,572</w:t>
            </w:r>
          </w:p>
        </w:tc>
        <w:tc>
          <w:tcPr>
            <w:tcW w:w="1120" w:type="dxa"/>
            <w:tcBorders>
              <w:top w:val="nil"/>
              <w:left w:val="nil"/>
              <w:bottom w:val="single" w:sz="4" w:space="0" w:color="auto"/>
              <w:right w:val="nil"/>
            </w:tcBorders>
            <w:shd w:val="clear" w:color="auto" w:fill="auto"/>
            <w:noWrap/>
            <w:vAlign w:val="bottom"/>
            <w:hideMark/>
          </w:tcPr>
          <w:p w14:paraId="6066AD9D" w14:textId="3EF6A910" w:rsidR="00D37E8A" w:rsidRPr="002A0915" w:rsidRDefault="00D37E8A" w:rsidP="00D37E8A">
            <w:pPr>
              <w:spacing w:after="0" w:line="240" w:lineRule="auto"/>
              <w:jc w:val="right"/>
              <w:rPr>
                <w:rFonts w:ascii="Arial" w:hAnsi="Arial" w:cs="Arial"/>
                <w:b/>
                <w:bCs/>
                <w:color w:val="000000"/>
                <w:sz w:val="16"/>
                <w:szCs w:val="16"/>
              </w:rPr>
            </w:pPr>
            <w:r>
              <w:rPr>
                <w:rFonts w:ascii="Arial" w:hAnsi="Arial" w:cs="Arial"/>
                <w:b/>
                <w:bCs/>
                <w:color w:val="000000"/>
                <w:sz w:val="16"/>
                <w:szCs w:val="16"/>
              </w:rPr>
              <w:t>42,001</w:t>
            </w:r>
          </w:p>
        </w:tc>
        <w:tc>
          <w:tcPr>
            <w:tcW w:w="1120" w:type="dxa"/>
            <w:tcBorders>
              <w:top w:val="nil"/>
              <w:left w:val="nil"/>
              <w:bottom w:val="single" w:sz="4" w:space="0" w:color="auto"/>
              <w:right w:val="nil"/>
            </w:tcBorders>
            <w:shd w:val="clear" w:color="auto" w:fill="auto"/>
            <w:noWrap/>
            <w:vAlign w:val="bottom"/>
            <w:hideMark/>
          </w:tcPr>
          <w:p w14:paraId="5E1F42F0" w14:textId="17C0AB79" w:rsidR="00D37E8A" w:rsidRPr="002A0915" w:rsidRDefault="00D37E8A" w:rsidP="00D37E8A">
            <w:pPr>
              <w:spacing w:after="0" w:line="240" w:lineRule="auto"/>
              <w:jc w:val="right"/>
              <w:rPr>
                <w:rFonts w:ascii="Arial" w:hAnsi="Arial" w:cs="Arial"/>
                <w:b/>
                <w:bCs/>
                <w:color w:val="000000"/>
                <w:sz w:val="16"/>
                <w:szCs w:val="16"/>
              </w:rPr>
            </w:pPr>
            <w:r>
              <w:rPr>
                <w:rFonts w:ascii="Arial" w:hAnsi="Arial" w:cs="Arial"/>
                <w:b/>
                <w:bCs/>
                <w:color w:val="000000"/>
                <w:sz w:val="16"/>
                <w:szCs w:val="16"/>
              </w:rPr>
              <w:t>32,826</w:t>
            </w:r>
          </w:p>
        </w:tc>
        <w:tc>
          <w:tcPr>
            <w:tcW w:w="1120" w:type="dxa"/>
            <w:tcBorders>
              <w:top w:val="nil"/>
              <w:left w:val="nil"/>
              <w:bottom w:val="single" w:sz="4" w:space="0" w:color="auto"/>
              <w:right w:val="nil"/>
            </w:tcBorders>
            <w:shd w:val="clear" w:color="auto" w:fill="auto"/>
            <w:noWrap/>
            <w:vAlign w:val="bottom"/>
            <w:hideMark/>
          </w:tcPr>
          <w:p w14:paraId="7057E865" w14:textId="557F0092" w:rsidR="00D37E8A" w:rsidRPr="002A0915" w:rsidRDefault="00D37E8A" w:rsidP="00D37E8A">
            <w:pPr>
              <w:spacing w:after="0" w:line="240" w:lineRule="auto"/>
              <w:jc w:val="right"/>
              <w:rPr>
                <w:rFonts w:ascii="Arial" w:hAnsi="Arial" w:cs="Arial"/>
                <w:b/>
                <w:bCs/>
                <w:color w:val="000000"/>
                <w:sz w:val="16"/>
                <w:szCs w:val="16"/>
              </w:rPr>
            </w:pPr>
            <w:r>
              <w:rPr>
                <w:rFonts w:ascii="Arial" w:hAnsi="Arial" w:cs="Arial"/>
                <w:b/>
                <w:bCs/>
                <w:color w:val="000000"/>
                <w:sz w:val="16"/>
                <w:szCs w:val="16"/>
              </w:rPr>
              <w:t>181,399</w:t>
            </w:r>
          </w:p>
        </w:tc>
      </w:tr>
    </w:tbl>
    <w:p w14:paraId="7C738BC0" w14:textId="1391C5B6" w:rsidR="00543672" w:rsidRPr="003351E2" w:rsidRDefault="001B1E37" w:rsidP="003351E2">
      <w:pPr>
        <w:pStyle w:val="Source"/>
        <w:spacing w:before="60"/>
        <w:rPr>
          <w:snapToGrid w:val="0"/>
        </w:rPr>
      </w:pPr>
      <w:r w:rsidRPr="003351E2">
        <w:t>Prepared on Australian Accounting Standards basis</w:t>
      </w:r>
      <w:r w:rsidR="00543672" w:rsidRPr="003351E2">
        <w:rPr>
          <w:snapToGrid w:val="0"/>
        </w:rPr>
        <w:t>.</w:t>
      </w:r>
    </w:p>
    <w:p w14:paraId="77C53776" w14:textId="27E7D2FB" w:rsidR="004C3AF0" w:rsidRDefault="004C3AF0">
      <w:pPr>
        <w:spacing w:after="0" w:line="240" w:lineRule="auto"/>
        <w:jc w:val="left"/>
        <w:rPr>
          <w:rFonts w:ascii="Arial" w:hAnsi="Arial"/>
          <w:sz w:val="16"/>
        </w:rPr>
      </w:pPr>
      <w:r>
        <w:rPr>
          <w:rFonts w:ascii="Arial" w:hAnsi="Arial"/>
          <w:sz w:val="16"/>
        </w:rPr>
        <w:br w:type="page"/>
      </w:r>
    </w:p>
    <w:p w14:paraId="302C4014" w14:textId="484D3812" w:rsidR="000C3374" w:rsidRDefault="00A81E21" w:rsidP="00192B13">
      <w:pPr>
        <w:pStyle w:val="TableHeading"/>
        <w:spacing w:before="0"/>
      </w:pPr>
      <w:r w:rsidRPr="00D63885">
        <w:rPr>
          <w:snapToGrid w:val="0"/>
        </w:rPr>
        <w:lastRenderedPageBreak/>
        <w:t>Table 3</w:t>
      </w:r>
      <w:r w:rsidR="00F51DAC" w:rsidRPr="00D63885">
        <w:rPr>
          <w:snapToGrid w:val="0"/>
        </w:rPr>
        <w:t>.</w:t>
      </w:r>
      <w:r w:rsidR="001F46A6" w:rsidRPr="00D63885">
        <w:rPr>
          <w:snapToGrid w:val="0"/>
        </w:rPr>
        <w:t>5</w:t>
      </w:r>
      <w:r w:rsidR="00F51DAC" w:rsidRPr="00D63885">
        <w:rPr>
          <w:snapToGrid w:val="0"/>
        </w:rPr>
        <w:t xml:space="preserve">: Budgeted </w:t>
      </w:r>
      <w:r w:rsidR="008863D9">
        <w:rPr>
          <w:snapToGrid w:val="0"/>
        </w:rPr>
        <w:t>Department</w:t>
      </w:r>
      <w:r w:rsidR="00622A38" w:rsidRPr="00D63885">
        <w:rPr>
          <w:snapToGrid w:val="0"/>
        </w:rPr>
        <w:t xml:space="preserve">al statement of cash flows </w:t>
      </w:r>
      <w:r w:rsidR="00F51DAC" w:rsidRPr="00D63885">
        <w:rPr>
          <w:snapToGrid w:val="0"/>
        </w:rPr>
        <w:t>(</w:t>
      </w:r>
      <w:r w:rsidR="00622A38" w:rsidRPr="00D63885">
        <w:rPr>
          <w:snapToGrid w:val="0"/>
          <w:lang w:val="en-AU"/>
        </w:rPr>
        <w:t>for the period ended</w:t>
      </w:r>
      <w:r w:rsidR="00F51DAC" w:rsidRPr="00D63885">
        <w:rPr>
          <w:snapToGrid w:val="0"/>
        </w:rPr>
        <w:t xml:space="preserve"> 30 June)</w:t>
      </w:r>
      <w:r w:rsidR="00941A17" w:rsidRPr="00941A17">
        <w:t xml:space="preserve"> </w:t>
      </w:r>
    </w:p>
    <w:tbl>
      <w:tblPr>
        <w:tblW w:w="0" w:type="auto"/>
        <w:tblLayout w:type="fixed"/>
        <w:tblLook w:val="04A0" w:firstRow="1" w:lastRow="0" w:firstColumn="1" w:lastColumn="0" w:noHBand="0" w:noVBand="1"/>
      </w:tblPr>
      <w:tblGrid>
        <w:gridCol w:w="3261"/>
        <w:gridCol w:w="869"/>
        <w:gridCol w:w="870"/>
        <w:gridCol w:w="870"/>
        <w:gridCol w:w="870"/>
        <w:gridCol w:w="870"/>
      </w:tblGrid>
      <w:tr w:rsidR="00102378" w:rsidRPr="00D2230D" w14:paraId="7938644C" w14:textId="77777777" w:rsidTr="007E02F0">
        <w:trPr>
          <w:trHeight w:val="456"/>
        </w:trPr>
        <w:tc>
          <w:tcPr>
            <w:tcW w:w="3261" w:type="dxa"/>
            <w:tcBorders>
              <w:top w:val="single" w:sz="4" w:space="0" w:color="auto"/>
              <w:left w:val="nil"/>
              <w:bottom w:val="nil"/>
              <w:right w:val="nil"/>
            </w:tcBorders>
            <w:shd w:val="clear" w:color="auto" w:fill="auto"/>
            <w:noWrap/>
            <w:hideMark/>
          </w:tcPr>
          <w:p w14:paraId="6D2ECD77" w14:textId="77777777" w:rsidR="00102378" w:rsidRPr="00D2230D" w:rsidRDefault="00102378" w:rsidP="00102378">
            <w:pPr>
              <w:spacing w:after="0" w:line="240" w:lineRule="auto"/>
              <w:jc w:val="left"/>
              <w:rPr>
                <w:rFonts w:ascii="Arial" w:hAnsi="Arial" w:cs="Arial"/>
                <w:b/>
                <w:bCs/>
                <w:sz w:val="16"/>
                <w:szCs w:val="16"/>
              </w:rPr>
            </w:pPr>
            <w:r w:rsidRPr="00D2230D">
              <w:rPr>
                <w:rFonts w:ascii="Arial" w:hAnsi="Arial" w:cs="Arial"/>
                <w:b/>
                <w:bCs/>
                <w:sz w:val="16"/>
                <w:szCs w:val="16"/>
              </w:rPr>
              <w:t> </w:t>
            </w:r>
          </w:p>
        </w:tc>
        <w:tc>
          <w:tcPr>
            <w:tcW w:w="869" w:type="dxa"/>
            <w:tcBorders>
              <w:top w:val="single" w:sz="4" w:space="0" w:color="auto"/>
              <w:left w:val="nil"/>
              <w:bottom w:val="single" w:sz="4" w:space="0" w:color="auto"/>
              <w:right w:val="nil"/>
            </w:tcBorders>
            <w:shd w:val="clear" w:color="auto" w:fill="auto"/>
            <w:vAlign w:val="bottom"/>
            <w:hideMark/>
          </w:tcPr>
          <w:p w14:paraId="378D4ECF" w14:textId="77777777" w:rsidR="00102378" w:rsidRPr="00D2230D" w:rsidRDefault="00102378" w:rsidP="00102378">
            <w:pPr>
              <w:spacing w:after="0" w:line="240" w:lineRule="auto"/>
              <w:jc w:val="right"/>
              <w:rPr>
                <w:rFonts w:ascii="Arial" w:hAnsi="Arial" w:cs="Arial"/>
                <w:sz w:val="16"/>
                <w:szCs w:val="16"/>
              </w:rPr>
            </w:pPr>
            <w:r w:rsidRPr="00D2230D">
              <w:rPr>
                <w:rFonts w:ascii="Arial" w:hAnsi="Arial" w:cs="Arial"/>
                <w:sz w:val="16"/>
                <w:szCs w:val="16"/>
              </w:rPr>
              <w:t>2020-21 Actual</w:t>
            </w:r>
            <w:r w:rsidRPr="00D2230D">
              <w:rPr>
                <w:rFonts w:ascii="Arial" w:hAnsi="Arial" w:cs="Arial"/>
                <w:sz w:val="16"/>
                <w:szCs w:val="16"/>
              </w:rPr>
              <w:br/>
            </w:r>
            <w:r w:rsidRPr="00D2230D">
              <w:rPr>
                <w:rFonts w:ascii="Arial" w:hAnsi="Arial" w:cs="Arial"/>
                <w:sz w:val="16"/>
                <w:szCs w:val="16"/>
              </w:rPr>
              <w:br/>
              <w:t>$'000</w:t>
            </w:r>
          </w:p>
        </w:tc>
        <w:tc>
          <w:tcPr>
            <w:tcW w:w="870" w:type="dxa"/>
            <w:tcBorders>
              <w:top w:val="single" w:sz="4" w:space="0" w:color="auto"/>
              <w:left w:val="nil"/>
              <w:bottom w:val="single" w:sz="4" w:space="0" w:color="auto"/>
              <w:right w:val="nil"/>
            </w:tcBorders>
            <w:shd w:val="clear" w:color="000000" w:fill="E6E6E6"/>
            <w:hideMark/>
          </w:tcPr>
          <w:p w14:paraId="43152959" w14:textId="648CD1F0" w:rsidR="00102378" w:rsidRPr="00D2230D" w:rsidRDefault="00102378" w:rsidP="00102378">
            <w:pPr>
              <w:spacing w:after="0" w:line="240" w:lineRule="auto"/>
              <w:jc w:val="right"/>
              <w:rPr>
                <w:rFonts w:ascii="Arial" w:hAnsi="Arial" w:cs="Arial"/>
                <w:sz w:val="16"/>
                <w:szCs w:val="16"/>
              </w:rPr>
            </w:pPr>
            <w:r w:rsidRPr="003D788E">
              <w:rPr>
                <w:rFonts w:ascii="Arial" w:hAnsi="Arial" w:cs="Arial"/>
                <w:sz w:val="16"/>
                <w:szCs w:val="16"/>
              </w:rPr>
              <w:t>2021-22</w:t>
            </w:r>
            <w:r w:rsidRPr="003D788E">
              <w:rPr>
                <w:rFonts w:ascii="Arial" w:hAnsi="Arial" w:cs="Arial"/>
                <w:sz w:val="16"/>
                <w:szCs w:val="16"/>
              </w:rPr>
              <w:br/>
              <w:t xml:space="preserve">Revised </w:t>
            </w:r>
            <w:r>
              <w:rPr>
                <w:rFonts w:ascii="Arial" w:hAnsi="Arial" w:cs="Arial"/>
                <w:sz w:val="16"/>
                <w:szCs w:val="16"/>
              </w:rPr>
              <w:t>B</w:t>
            </w:r>
            <w:r w:rsidRPr="003D788E">
              <w:rPr>
                <w:rFonts w:ascii="Arial" w:hAnsi="Arial" w:cs="Arial"/>
                <w:sz w:val="16"/>
                <w:szCs w:val="16"/>
              </w:rPr>
              <w:t>udget</w:t>
            </w:r>
            <w:r w:rsidRPr="003D788E">
              <w:rPr>
                <w:rFonts w:ascii="Arial" w:hAnsi="Arial" w:cs="Arial"/>
                <w:sz w:val="16"/>
                <w:szCs w:val="16"/>
              </w:rPr>
              <w:br/>
              <w:t>$'000</w:t>
            </w:r>
          </w:p>
        </w:tc>
        <w:tc>
          <w:tcPr>
            <w:tcW w:w="870" w:type="dxa"/>
            <w:tcBorders>
              <w:top w:val="single" w:sz="4" w:space="0" w:color="auto"/>
              <w:left w:val="nil"/>
              <w:bottom w:val="single" w:sz="4" w:space="0" w:color="auto"/>
              <w:right w:val="nil"/>
            </w:tcBorders>
            <w:shd w:val="clear" w:color="auto" w:fill="auto"/>
            <w:vAlign w:val="bottom"/>
            <w:hideMark/>
          </w:tcPr>
          <w:p w14:paraId="1DE0267B" w14:textId="77777777" w:rsidR="00102378" w:rsidRPr="00D2230D" w:rsidRDefault="00102378" w:rsidP="00102378">
            <w:pPr>
              <w:spacing w:after="0" w:line="240" w:lineRule="auto"/>
              <w:jc w:val="right"/>
              <w:rPr>
                <w:rFonts w:ascii="Arial" w:hAnsi="Arial" w:cs="Arial"/>
                <w:sz w:val="16"/>
                <w:szCs w:val="16"/>
              </w:rPr>
            </w:pPr>
            <w:r w:rsidRPr="00D2230D">
              <w:rPr>
                <w:rFonts w:ascii="Arial" w:hAnsi="Arial" w:cs="Arial"/>
                <w:sz w:val="16"/>
                <w:szCs w:val="16"/>
              </w:rPr>
              <w:t>2022-23 Forward estimate</w:t>
            </w:r>
            <w:r w:rsidRPr="00D2230D">
              <w:rPr>
                <w:rFonts w:ascii="Arial" w:hAnsi="Arial" w:cs="Arial"/>
                <w:sz w:val="16"/>
                <w:szCs w:val="16"/>
              </w:rPr>
              <w:br/>
              <w:t>$'000</w:t>
            </w:r>
          </w:p>
        </w:tc>
        <w:tc>
          <w:tcPr>
            <w:tcW w:w="870" w:type="dxa"/>
            <w:tcBorders>
              <w:top w:val="single" w:sz="4" w:space="0" w:color="auto"/>
              <w:left w:val="nil"/>
              <w:bottom w:val="single" w:sz="4" w:space="0" w:color="auto"/>
              <w:right w:val="nil"/>
            </w:tcBorders>
            <w:shd w:val="clear" w:color="auto" w:fill="auto"/>
            <w:vAlign w:val="bottom"/>
            <w:hideMark/>
          </w:tcPr>
          <w:p w14:paraId="3B310CC8" w14:textId="77777777" w:rsidR="00102378" w:rsidRPr="00D2230D" w:rsidRDefault="00102378" w:rsidP="00102378">
            <w:pPr>
              <w:spacing w:after="0" w:line="240" w:lineRule="auto"/>
              <w:jc w:val="right"/>
              <w:rPr>
                <w:rFonts w:ascii="Arial" w:hAnsi="Arial" w:cs="Arial"/>
                <w:sz w:val="16"/>
                <w:szCs w:val="16"/>
              </w:rPr>
            </w:pPr>
            <w:r w:rsidRPr="00D2230D">
              <w:rPr>
                <w:rFonts w:ascii="Arial" w:hAnsi="Arial" w:cs="Arial"/>
                <w:sz w:val="16"/>
                <w:szCs w:val="16"/>
              </w:rPr>
              <w:t>2023-24 Forward estimate</w:t>
            </w:r>
            <w:r w:rsidRPr="00D2230D">
              <w:rPr>
                <w:rFonts w:ascii="Arial" w:hAnsi="Arial" w:cs="Arial"/>
                <w:sz w:val="16"/>
                <w:szCs w:val="16"/>
              </w:rPr>
              <w:br/>
              <w:t>$'000</w:t>
            </w:r>
          </w:p>
        </w:tc>
        <w:tc>
          <w:tcPr>
            <w:tcW w:w="870" w:type="dxa"/>
            <w:tcBorders>
              <w:top w:val="single" w:sz="4" w:space="0" w:color="auto"/>
              <w:left w:val="nil"/>
              <w:bottom w:val="single" w:sz="4" w:space="0" w:color="auto"/>
              <w:right w:val="nil"/>
            </w:tcBorders>
            <w:shd w:val="clear" w:color="auto" w:fill="auto"/>
            <w:vAlign w:val="bottom"/>
            <w:hideMark/>
          </w:tcPr>
          <w:p w14:paraId="63C43529" w14:textId="77777777" w:rsidR="00102378" w:rsidRPr="00D2230D" w:rsidRDefault="00102378" w:rsidP="00102378">
            <w:pPr>
              <w:spacing w:after="0" w:line="240" w:lineRule="auto"/>
              <w:jc w:val="right"/>
              <w:rPr>
                <w:rFonts w:ascii="Arial" w:hAnsi="Arial" w:cs="Arial"/>
                <w:sz w:val="16"/>
                <w:szCs w:val="16"/>
              </w:rPr>
            </w:pPr>
            <w:r w:rsidRPr="00D2230D">
              <w:rPr>
                <w:rFonts w:ascii="Arial" w:hAnsi="Arial" w:cs="Arial"/>
                <w:sz w:val="16"/>
                <w:szCs w:val="16"/>
              </w:rPr>
              <w:t>2024-25</w:t>
            </w:r>
            <w:r w:rsidRPr="00D2230D">
              <w:rPr>
                <w:rFonts w:ascii="Arial" w:hAnsi="Arial" w:cs="Arial"/>
                <w:sz w:val="16"/>
                <w:szCs w:val="16"/>
              </w:rPr>
              <w:br/>
              <w:t>Forward estimate</w:t>
            </w:r>
            <w:r w:rsidRPr="00D2230D">
              <w:rPr>
                <w:rFonts w:ascii="Arial" w:hAnsi="Arial" w:cs="Arial"/>
                <w:sz w:val="16"/>
                <w:szCs w:val="16"/>
              </w:rPr>
              <w:br/>
              <w:t>$'000</w:t>
            </w:r>
          </w:p>
        </w:tc>
      </w:tr>
      <w:tr w:rsidR="00D2230D" w:rsidRPr="00D2230D" w14:paraId="4E7F3498" w14:textId="77777777" w:rsidTr="007E02F0">
        <w:trPr>
          <w:trHeight w:val="204"/>
        </w:trPr>
        <w:tc>
          <w:tcPr>
            <w:tcW w:w="3261" w:type="dxa"/>
            <w:tcBorders>
              <w:top w:val="nil"/>
              <w:left w:val="nil"/>
              <w:bottom w:val="nil"/>
              <w:right w:val="nil"/>
            </w:tcBorders>
            <w:shd w:val="clear" w:color="auto" w:fill="auto"/>
            <w:noWrap/>
            <w:vAlign w:val="center"/>
            <w:hideMark/>
          </w:tcPr>
          <w:p w14:paraId="036CA1DD" w14:textId="77777777" w:rsidR="00D2230D" w:rsidRPr="00D2230D" w:rsidRDefault="00D2230D" w:rsidP="00D2230D">
            <w:pPr>
              <w:spacing w:after="0" w:line="240" w:lineRule="auto"/>
              <w:jc w:val="left"/>
              <w:rPr>
                <w:rFonts w:ascii="Arial" w:hAnsi="Arial" w:cs="Arial"/>
                <w:b/>
                <w:bCs/>
                <w:color w:val="000000"/>
                <w:sz w:val="16"/>
                <w:szCs w:val="16"/>
              </w:rPr>
            </w:pPr>
            <w:r w:rsidRPr="00D2230D">
              <w:rPr>
                <w:rFonts w:ascii="Arial" w:hAnsi="Arial" w:cs="Arial"/>
                <w:b/>
                <w:bCs/>
                <w:color w:val="000000"/>
                <w:sz w:val="16"/>
                <w:szCs w:val="16"/>
              </w:rPr>
              <w:t>OPERATING ACTIVITIES</w:t>
            </w:r>
          </w:p>
        </w:tc>
        <w:tc>
          <w:tcPr>
            <w:tcW w:w="869" w:type="dxa"/>
            <w:tcBorders>
              <w:top w:val="nil"/>
              <w:left w:val="nil"/>
              <w:bottom w:val="nil"/>
              <w:right w:val="nil"/>
            </w:tcBorders>
            <w:shd w:val="clear" w:color="auto" w:fill="auto"/>
            <w:noWrap/>
            <w:vAlign w:val="bottom"/>
            <w:hideMark/>
          </w:tcPr>
          <w:p w14:paraId="798A3E46" w14:textId="77777777" w:rsidR="00D2230D" w:rsidRPr="00D2230D" w:rsidRDefault="00D2230D" w:rsidP="007201FC">
            <w:pPr>
              <w:spacing w:after="0" w:line="240" w:lineRule="auto"/>
              <w:jc w:val="right"/>
              <w:rPr>
                <w:rFonts w:ascii="Arial" w:hAnsi="Arial" w:cs="Arial"/>
                <w:b/>
                <w:bCs/>
                <w:color w:val="000000"/>
                <w:sz w:val="16"/>
                <w:szCs w:val="16"/>
              </w:rPr>
            </w:pPr>
          </w:p>
        </w:tc>
        <w:tc>
          <w:tcPr>
            <w:tcW w:w="870" w:type="dxa"/>
            <w:tcBorders>
              <w:top w:val="nil"/>
              <w:left w:val="nil"/>
              <w:bottom w:val="nil"/>
              <w:right w:val="nil"/>
            </w:tcBorders>
            <w:shd w:val="clear" w:color="000000" w:fill="E6E6E6"/>
            <w:noWrap/>
            <w:vAlign w:val="bottom"/>
            <w:hideMark/>
          </w:tcPr>
          <w:p w14:paraId="4783FCF7" w14:textId="747B5667" w:rsidR="00D2230D" w:rsidRPr="00D2230D" w:rsidRDefault="00D2230D" w:rsidP="007201FC">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2D8C5B2F" w14:textId="77777777" w:rsidR="00D2230D" w:rsidRPr="00D2230D" w:rsidRDefault="00D2230D" w:rsidP="007201FC">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7C92F08A" w14:textId="77777777" w:rsidR="00D2230D" w:rsidRPr="00D2230D" w:rsidRDefault="00D2230D" w:rsidP="007201FC">
            <w:pPr>
              <w:spacing w:after="0" w:line="240" w:lineRule="auto"/>
              <w:jc w:val="right"/>
              <w:rPr>
                <w:rFonts w:ascii="Times New Roman" w:hAnsi="Times New Roman"/>
              </w:rPr>
            </w:pPr>
          </w:p>
        </w:tc>
        <w:tc>
          <w:tcPr>
            <w:tcW w:w="870" w:type="dxa"/>
            <w:tcBorders>
              <w:top w:val="nil"/>
              <w:left w:val="nil"/>
              <w:bottom w:val="nil"/>
              <w:right w:val="nil"/>
            </w:tcBorders>
            <w:shd w:val="clear" w:color="auto" w:fill="auto"/>
            <w:noWrap/>
            <w:vAlign w:val="bottom"/>
            <w:hideMark/>
          </w:tcPr>
          <w:p w14:paraId="2C22CF80" w14:textId="77777777" w:rsidR="00D2230D" w:rsidRPr="00D2230D" w:rsidRDefault="00D2230D" w:rsidP="007201FC">
            <w:pPr>
              <w:spacing w:after="0" w:line="240" w:lineRule="auto"/>
              <w:jc w:val="right"/>
              <w:rPr>
                <w:rFonts w:ascii="Times New Roman" w:hAnsi="Times New Roman"/>
              </w:rPr>
            </w:pPr>
          </w:p>
        </w:tc>
      </w:tr>
      <w:tr w:rsidR="00D2230D" w:rsidRPr="00D2230D" w14:paraId="7EEDC0A6" w14:textId="77777777" w:rsidTr="007E02F0">
        <w:trPr>
          <w:trHeight w:val="204"/>
        </w:trPr>
        <w:tc>
          <w:tcPr>
            <w:tcW w:w="3261" w:type="dxa"/>
            <w:tcBorders>
              <w:top w:val="nil"/>
              <w:left w:val="nil"/>
              <w:bottom w:val="nil"/>
              <w:right w:val="nil"/>
            </w:tcBorders>
            <w:shd w:val="clear" w:color="auto" w:fill="auto"/>
            <w:noWrap/>
            <w:vAlign w:val="center"/>
            <w:hideMark/>
          </w:tcPr>
          <w:p w14:paraId="011195EC" w14:textId="77777777" w:rsidR="00D2230D" w:rsidRPr="00D2230D" w:rsidRDefault="00D2230D" w:rsidP="00D2230D">
            <w:pPr>
              <w:spacing w:after="0" w:line="240" w:lineRule="auto"/>
              <w:ind w:left="113"/>
              <w:jc w:val="left"/>
              <w:rPr>
                <w:rFonts w:ascii="Arial" w:hAnsi="Arial" w:cs="Arial"/>
                <w:b/>
                <w:bCs/>
                <w:color w:val="000000"/>
                <w:sz w:val="16"/>
                <w:szCs w:val="16"/>
              </w:rPr>
            </w:pPr>
            <w:r w:rsidRPr="00D2230D">
              <w:rPr>
                <w:rFonts w:ascii="Arial" w:hAnsi="Arial" w:cs="Arial"/>
                <w:b/>
                <w:bCs/>
                <w:color w:val="000000"/>
                <w:sz w:val="16"/>
                <w:szCs w:val="16"/>
              </w:rPr>
              <w:t>Cash received</w:t>
            </w:r>
          </w:p>
        </w:tc>
        <w:tc>
          <w:tcPr>
            <w:tcW w:w="869" w:type="dxa"/>
            <w:tcBorders>
              <w:top w:val="nil"/>
              <w:left w:val="nil"/>
              <w:bottom w:val="nil"/>
              <w:right w:val="nil"/>
            </w:tcBorders>
            <w:shd w:val="clear" w:color="auto" w:fill="auto"/>
            <w:noWrap/>
            <w:vAlign w:val="bottom"/>
            <w:hideMark/>
          </w:tcPr>
          <w:p w14:paraId="1AB12506" w14:textId="77777777" w:rsidR="00D2230D" w:rsidRPr="00D2230D" w:rsidRDefault="00D2230D" w:rsidP="007201FC">
            <w:pPr>
              <w:spacing w:after="0" w:line="240" w:lineRule="auto"/>
              <w:ind w:firstLineChars="100" w:firstLine="160"/>
              <w:jc w:val="right"/>
              <w:rPr>
                <w:rFonts w:ascii="Arial" w:hAnsi="Arial" w:cs="Arial"/>
                <w:b/>
                <w:bCs/>
                <w:color w:val="000000"/>
                <w:sz w:val="16"/>
                <w:szCs w:val="16"/>
              </w:rPr>
            </w:pPr>
          </w:p>
        </w:tc>
        <w:tc>
          <w:tcPr>
            <w:tcW w:w="870" w:type="dxa"/>
            <w:tcBorders>
              <w:top w:val="nil"/>
              <w:left w:val="nil"/>
              <w:bottom w:val="nil"/>
              <w:right w:val="nil"/>
            </w:tcBorders>
            <w:shd w:val="clear" w:color="000000" w:fill="E6E6E6"/>
            <w:noWrap/>
            <w:vAlign w:val="bottom"/>
            <w:hideMark/>
          </w:tcPr>
          <w:p w14:paraId="18E62A0E" w14:textId="3AAE927F" w:rsidR="00D2230D" w:rsidRPr="00D2230D" w:rsidRDefault="00D2230D" w:rsidP="007201FC">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50E81604" w14:textId="77777777" w:rsidR="00D2230D" w:rsidRPr="00D2230D" w:rsidRDefault="00D2230D" w:rsidP="007201FC">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72A17F1D" w14:textId="77777777" w:rsidR="00D2230D" w:rsidRPr="00D2230D" w:rsidRDefault="00D2230D" w:rsidP="007201FC">
            <w:pPr>
              <w:spacing w:after="0" w:line="240" w:lineRule="auto"/>
              <w:jc w:val="right"/>
              <w:rPr>
                <w:rFonts w:ascii="Times New Roman" w:hAnsi="Times New Roman"/>
              </w:rPr>
            </w:pPr>
          </w:p>
        </w:tc>
        <w:tc>
          <w:tcPr>
            <w:tcW w:w="870" w:type="dxa"/>
            <w:tcBorders>
              <w:top w:val="nil"/>
              <w:left w:val="nil"/>
              <w:bottom w:val="nil"/>
              <w:right w:val="nil"/>
            </w:tcBorders>
            <w:shd w:val="clear" w:color="auto" w:fill="auto"/>
            <w:noWrap/>
            <w:vAlign w:val="bottom"/>
            <w:hideMark/>
          </w:tcPr>
          <w:p w14:paraId="38967405" w14:textId="77777777" w:rsidR="00D2230D" w:rsidRPr="00D2230D" w:rsidRDefault="00D2230D" w:rsidP="007201FC">
            <w:pPr>
              <w:spacing w:after="0" w:line="240" w:lineRule="auto"/>
              <w:jc w:val="right"/>
              <w:rPr>
                <w:rFonts w:ascii="Times New Roman" w:hAnsi="Times New Roman"/>
              </w:rPr>
            </w:pPr>
          </w:p>
        </w:tc>
      </w:tr>
      <w:tr w:rsidR="004C3AF0" w:rsidRPr="00D2230D" w14:paraId="22F75B71" w14:textId="77777777" w:rsidTr="007E02F0">
        <w:trPr>
          <w:trHeight w:val="204"/>
        </w:trPr>
        <w:tc>
          <w:tcPr>
            <w:tcW w:w="3261" w:type="dxa"/>
            <w:tcBorders>
              <w:top w:val="nil"/>
              <w:left w:val="nil"/>
              <w:bottom w:val="nil"/>
              <w:right w:val="nil"/>
            </w:tcBorders>
            <w:shd w:val="clear" w:color="auto" w:fill="auto"/>
            <w:noWrap/>
            <w:vAlign w:val="center"/>
            <w:hideMark/>
          </w:tcPr>
          <w:p w14:paraId="0204A289" w14:textId="777777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Appropriations</w:t>
            </w:r>
          </w:p>
        </w:tc>
        <w:tc>
          <w:tcPr>
            <w:tcW w:w="869" w:type="dxa"/>
            <w:tcBorders>
              <w:top w:val="nil"/>
              <w:left w:val="nil"/>
              <w:bottom w:val="nil"/>
              <w:right w:val="nil"/>
            </w:tcBorders>
            <w:shd w:val="clear" w:color="auto" w:fill="auto"/>
            <w:noWrap/>
            <w:vAlign w:val="bottom"/>
            <w:hideMark/>
          </w:tcPr>
          <w:p w14:paraId="06DC098F" w14:textId="1E4A7350"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376,239</w:t>
            </w:r>
          </w:p>
        </w:tc>
        <w:tc>
          <w:tcPr>
            <w:tcW w:w="870" w:type="dxa"/>
            <w:tcBorders>
              <w:top w:val="nil"/>
              <w:left w:val="nil"/>
              <w:bottom w:val="nil"/>
              <w:right w:val="nil"/>
            </w:tcBorders>
            <w:shd w:val="clear" w:color="000000" w:fill="E6E6E6"/>
            <w:noWrap/>
            <w:vAlign w:val="bottom"/>
            <w:hideMark/>
          </w:tcPr>
          <w:p w14:paraId="426777BC" w14:textId="29367FEF"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412,828</w:t>
            </w:r>
          </w:p>
        </w:tc>
        <w:tc>
          <w:tcPr>
            <w:tcW w:w="870" w:type="dxa"/>
            <w:tcBorders>
              <w:top w:val="nil"/>
              <w:left w:val="nil"/>
              <w:bottom w:val="nil"/>
              <w:right w:val="nil"/>
            </w:tcBorders>
            <w:shd w:val="clear" w:color="auto" w:fill="auto"/>
            <w:noWrap/>
            <w:vAlign w:val="bottom"/>
            <w:hideMark/>
          </w:tcPr>
          <w:p w14:paraId="16694E64" w14:textId="2AD6AC52"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415,635</w:t>
            </w:r>
          </w:p>
        </w:tc>
        <w:tc>
          <w:tcPr>
            <w:tcW w:w="870" w:type="dxa"/>
            <w:tcBorders>
              <w:top w:val="nil"/>
              <w:left w:val="nil"/>
              <w:bottom w:val="nil"/>
              <w:right w:val="nil"/>
            </w:tcBorders>
            <w:shd w:val="clear" w:color="auto" w:fill="auto"/>
            <w:noWrap/>
            <w:vAlign w:val="bottom"/>
            <w:hideMark/>
          </w:tcPr>
          <w:p w14:paraId="60F11A7B" w14:textId="089D9DFC"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356,225</w:t>
            </w:r>
          </w:p>
        </w:tc>
        <w:tc>
          <w:tcPr>
            <w:tcW w:w="870" w:type="dxa"/>
            <w:tcBorders>
              <w:top w:val="nil"/>
              <w:left w:val="nil"/>
              <w:bottom w:val="nil"/>
              <w:right w:val="nil"/>
            </w:tcBorders>
            <w:shd w:val="clear" w:color="auto" w:fill="auto"/>
            <w:noWrap/>
            <w:vAlign w:val="bottom"/>
            <w:hideMark/>
          </w:tcPr>
          <w:p w14:paraId="1C91DDD1" w14:textId="21C27802"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312,408</w:t>
            </w:r>
          </w:p>
        </w:tc>
      </w:tr>
      <w:tr w:rsidR="004C3AF0" w:rsidRPr="00D2230D" w14:paraId="2ED9575E" w14:textId="77777777" w:rsidTr="007E02F0">
        <w:trPr>
          <w:trHeight w:val="204"/>
        </w:trPr>
        <w:tc>
          <w:tcPr>
            <w:tcW w:w="3261" w:type="dxa"/>
            <w:tcBorders>
              <w:top w:val="nil"/>
              <w:left w:val="nil"/>
              <w:bottom w:val="nil"/>
              <w:right w:val="nil"/>
            </w:tcBorders>
            <w:shd w:val="clear" w:color="000000" w:fill="FFFFFF"/>
            <w:vAlign w:val="center"/>
            <w:hideMark/>
          </w:tcPr>
          <w:p w14:paraId="067BC097" w14:textId="777777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Revenue from contracts with customers</w:t>
            </w:r>
          </w:p>
        </w:tc>
        <w:tc>
          <w:tcPr>
            <w:tcW w:w="869" w:type="dxa"/>
            <w:tcBorders>
              <w:top w:val="nil"/>
              <w:left w:val="nil"/>
              <w:bottom w:val="nil"/>
              <w:right w:val="nil"/>
            </w:tcBorders>
            <w:shd w:val="clear" w:color="auto" w:fill="auto"/>
            <w:noWrap/>
            <w:vAlign w:val="bottom"/>
            <w:hideMark/>
          </w:tcPr>
          <w:p w14:paraId="54981FB8" w14:textId="3C82A5B1"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8,082</w:t>
            </w:r>
          </w:p>
        </w:tc>
        <w:tc>
          <w:tcPr>
            <w:tcW w:w="870" w:type="dxa"/>
            <w:tcBorders>
              <w:top w:val="nil"/>
              <w:left w:val="nil"/>
              <w:bottom w:val="nil"/>
              <w:right w:val="nil"/>
            </w:tcBorders>
            <w:shd w:val="clear" w:color="000000" w:fill="E6E6E6"/>
            <w:noWrap/>
            <w:vAlign w:val="bottom"/>
            <w:hideMark/>
          </w:tcPr>
          <w:p w14:paraId="6B05BEE4" w14:textId="7B1B3D48"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7,608</w:t>
            </w:r>
          </w:p>
        </w:tc>
        <w:tc>
          <w:tcPr>
            <w:tcW w:w="870" w:type="dxa"/>
            <w:tcBorders>
              <w:top w:val="nil"/>
              <w:left w:val="nil"/>
              <w:bottom w:val="nil"/>
              <w:right w:val="nil"/>
            </w:tcBorders>
            <w:shd w:val="clear" w:color="auto" w:fill="auto"/>
            <w:noWrap/>
            <w:vAlign w:val="bottom"/>
            <w:hideMark/>
          </w:tcPr>
          <w:p w14:paraId="567923FE" w14:textId="5F0AE605"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5,734</w:t>
            </w:r>
          </w:p>
        </w:tc>
        <w:tc>
          <w:tcPr>
            <w:tcW w:w="870" w:type="dxa"/>
            <w:tcBorders>
              <w:top w:val="nil"/>
              <w:left w:val="nil"/>
              <w:bottom w:val="nil"/>
              <w:right w:val="nil"/>
            </w:tcBorders>
            <w:shd w:val="clear" w:color="auto" w:fill="auto"/>
            <w:noWrap/>
            <w:vAlign w:val="bottom"/>
            <w:hideMark/>
          </w:tcPr>
          <w:p w14:paraId="0066A829" w14:textId="40273930"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5,734</w:t>
            </w:r>
          </w:p>
        </w:tc>
        <w:tc>
          <w:tcPr>
            <w:tcW w:w="870" w:type="dxa"/>
            <w:tcBorders>
              <w:top w:val="nil"/>
              <w:left w:val="nil"/>
              <w:bottom w:val="nil"/>
              <w:right w:val="nil"/>
            </w:tcBorders>
            <w:shd w:val="clear" w:color="auto" w:fill="auto"/>
            <w:noWrap/>
            <w:vAlign w:val="bottom"/>
            <w:hideMark/>
          </w:tcPr>
          <w:p w14:paraId="7D4DDB0C" w14:textId="3BC9CB71"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5,734</w:t>
            </w:r>
          </w:p>
        </w:tc>
      </w:tr>
      <w:tr w:rsidR="004C3AF0" w:rsidRPr="00D2230D" w14:paraId="7C3D2A55" w14:textId="77777777" w:rsidTr="007E02F0">
        <w:trPr>
          <w:trHeight w:val="204"/>
        </w:trPr>
        <w:tc>
          <w:tcPr>
            <w:tcW w:w="3261" w:type="dxa"/>
            <w:tcBorders>
              <w:top w:val="nil"/>
              <w:left w:val="nil"/>
              <w:bottom w:val="nil"/>
              <w:right w:val="nil"/>
            </w:tcBorders>
            <w:shd w:val="clear" w:color="auto" w:fill="auto"/>
            <w:noWrap/>
            <w:vAlign w:val="center"/>
            <w:hideMark/>
          </w:tcPr>
          <w:p w14:paraId="62F98AB0" w14:textId="777777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GST received</w:t>
            </w:r>
          </w:p>
        </w:tc>
        <w:tc>
          <w:tcPr>
            <w:tcW w:w="869" w:type="dxa"/>
            <w:tcBorders>
              <w:top w:val="nil"/>
              <w:left w:val="nil"/>
              <w:bottom w:val="nil"/>
              <w:right w:val="nil"/>
            </w:tcBorders>
            <w:shd w:val="clear" w:color="auto" w:fill="auto"/>
            <w:noWrap/>
            <w:vAlign w:val="bottom"/>
            <w:hideMark/>
          </w:tcPr>
          <w:p w14:paraId="1A4A5E1A" w14:textId="478E8232"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9,256</w:t>
            </w:r>
          </w:p>
        </w:tc>
        <w:tc>
          <w:tcPr>
            <w:tcW w:w="870" w:type="dxa"/>
            <w:tcBorders>
              <w:top w:val="nil"/>
              <w:left w:val="nil"/>
              <w:bottom w:val="nil"/>
              <w:right w:val="nil"/>
            </w:tcBorders>
            <w:shd w:val="clear" w:color="000000" w:fill="E6E6E6"/>
            <w:noWrap/>
            <w:vAlign w:val="bottom"/>
            <w:hideMark/>
          </w:tcPr>
          <w:p w14:paraId="3208CEF5" w14:textId="41259154"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0" w:type="dxa"/>
            <w:tcBorders>
              <w:top w:val="nil"/>
              <w:left w:val="nil"/>
              <w:bottom w:val="nil"/>
              <w:right w:val="nil"/>
            </w:tcBorders>
            <w:shd w:val="clear" w:color="auto" w:fill="auto"/>
            <w:noWrap/>
            <w:vAlign w:val="bottom"/>
            <w:hideMark/>
          </w:tcPr>
          <w:p w14:paraId="16F859BC" w14:textId="59452333"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0" w:type="dxa"/>
            <w:tcBorders>
              <w:top w:val="nil"/>
              <w:left w:val="nil"/>
              <w:bottom w:val="nil"/>
              <w:right w:val="nil"/>
            </w:tcBorders>
            <w:shd w:val="clear" w:color="auto" w:fill="auto"/>
            <w:noWrap/>
            <w:vAlign w:val="bottom"/>
            <w:hideMark/>
          </w:tcPr>
          <w:p w14:paraId="509734C6" w14:textId="4C6433A5"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0" w:type="dxa"/>
            <w:tcBorders>
              <w:top w:val="nil"/>
              <w:left w:val="nil"/>
              <w:bottom w:val="nil"/>
              <w:right w:val="nil"/>
            </w:tcBorders>
            <w:shd w:val="clear" w:color="auto" w:fill="auto"/>
            <w:noWrap/>
            <w:vAlign w:val="bottom"/>
            <w:hideMark/>
          </w:tcPr>
          <w:p w14:paraId="53D0619A" w14:textId="3B1E0BCC"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4C3AF0" w:rsidRPr="00D2230D" w14:paraId="3E4AA95B" w14:textId="77777777" w:rsidTr="007E02F0">
        <w:trPr>
          <w:trHeight w:val="204"/>
        </w:trPr>
        <w:tc>
          <w:tcPr>
            <w:tcW w:w="3261" w:type="dxa"/>
            <w:tcBorders>
              <w:top w:val="nil"/>
              <w:left w:val="nil"/>
              <w:bottom w:val="nil"/>
              <w:right w:val="nil"/>
            </w:tcBorders>
            <w:shd w:val="clear" w:color="auto" w:fill="auto"/>
            <w:noWrap/>
            <w:vAlign w:val="center"/>
            <w:hideMark/>
          </w:tcPr>
          <w:p w14:paraId="518DF377" w14:textId="777777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 xml:space="preserve">Other </w:t>
            </w:r>
          </w:p>
        </w:tc>
        <w:tc>
          <w:tcPr>
            <w:tcW w:w="869" w:type="dxa"/>
            <w:tcBorders>
              <w:top w:val="nil"/>
              <w:left w:val="nil"/>
              <w:bottom w:val="nil"/>
              <w:right w:val="nil"/>
            </w:tcBorders>
            <w:shd w:val="clear" w:color="auto" w:fill="auto"/>
            <w:noWrap/>
            <w:vAlign w:val="bottom"/>
            <w:hideMark/>
          </w:tcPr>
          <w:p w14:paraId="4DC20E59" w14:textId="0AB75632"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8,832</w:t>
            </w:r>
          </w:p>
        </w:tc>
        <w:tc>
          <w:tcPr>
            <w:tcW w:w="870" w:type="dxa"/>
            <w:tcBorders>
              <w:top w:val="nil"/>
              <w:left w:val="nil"/>
              <w:bottom w:val="nil"/>
              <w:right w:val="nil"/>
            </w:tcBorders>
            <w:shd w:val="clear" w:color="000000" w:fill="E6E6E6"/>
            <w:noWrap/>
            <w:vAlign w:val="bottom"/>
            <w:hideMark/>
          </w:tcPr>
          <w:p w14:paraId="28AD3850" w14:textId="367281C6"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5,217</w:t>
            </w:r>
          </w:p>
        </w:tc>
        <w:tc>
          <w:tcPr>
            <w:tcW w:w="870" w:type="dxa"/>
            <w:tcBorders>
              <w:top w:val="nil"/>
              <w:left w:val="nil"/>
              <w:bottom w:val="nil"/>
              <w:right w:val="nil"/>
            </w:tcBorders>
            <w:shd w:val="clear" w:color="auto" w:fill="auto"/>
            <w:noWrap/>
            <w:vAlign w:val="bottom"/>
            <w:hideMark/>
          </w:tcPr>
          <w:p w14:paraId="18560F96" w14:textId="61E958F4"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4,680</w:t>
            </w:r>
          </w:p>
        </w:tc>
        <w:tc>
          <w:tcPr>
            <w:tcW w:w="870" w:type="dxa"/>
            <w:tcBorders>
              <w:top w:val="nil"/>
              <w:left w:val="nil"/>
              <w:bottom w:val="nil"/>
              <w:right w:val="nil"/>
            </w:tcBorders>
            <w:shd w:val="clear" w:color="auto" w:fill="auto"/>
            <w:noWrap/>
            <w:vAlign w:val="bottom"/>
            <w:hideMark/>
          </w:tcPr>
          <w:p w14:paraId="38A09BA6" w14:textId="5006622E"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5,807</w:t>
            </w:r>
          </w:p>
        </w:tc>
        <w:tc>
          <w:tcPr>
            <w:tcW w:w="870" w:type="dxa"/>
            <w:tcBorders>
              <w:top w:val="nil"/>
              <w:left w:val="nil"/>
              <w:bottom w:val="nil"/>
              <w:right w:val="nil"/>
            </w:tcBorders>
            <w:shd w:val="clear" w:color="auto" w:fill="auto"/>
            <w:noWrap/>
            <w:vAlign w:val="bottom"/>
            <w:hideMark/>
          </w:tcPr>
          <w:p w14:paraId="048004F4" w14:textId="1FF15AE0"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5,807</w:t>
            </w:r>
          </w:p>
        </w:tc>
      </w:tr>
      <w:tr w:rsidR="004C3AF0" w:rsidRPr="00D2230D" w14:paraId="3E0C662B" w14:textId="77777777" w:rsidTr="007E02F0">
        <w:trPr>
          <w:trHeight w:val="204"/>
        </w:trPr>
        <w:tc>
          <w:tcPr>
            <w:tcW w:w="3261" w:type="dxa"/>
            <w:tcBorders>
              <w:top w:val="nil"/>
              <w:left w:val="nil"/>
              <w:bottom w:val="nil"/>
              <w:right w:val="nil"/>
            </w:tcBorders>
            <w:shd w:val="clear" w:color="auto" w:fill="auto"/>
            <w:noWrap/>
            <w:vAlign w:val="center"/>
            <w:hideMark/>
          </w:tcPr>
          <w:p w14:paraId="514FE20C" w14:textId="77777777" w:rsidR="004C3AF0" w:rsidRPr="00D2230D" w:rsidRDefault="004C3AF0" w:rsidP="004C3AF0">
            <w:pPr>
              <w:spacing w:after="0" w:line="240" w:lineRule="auto"/>
              <w:ind w:left="113"/>
              <w:jc w:val="left"/>
              <w:rPr>
                <w:rFonts w:ascii="Arial" w:hAnsi="Arial" w:cs="Arial"/>
                <w:b/>
                <w:bCs/>
                <w:i/>
                <w:iCs/>
                <w:color w:val="000000"/>
                <w:sz w:val="16"/>
                <w:szCs w:val="16"/>
              </w:rPr>
            </w:pPr>
            <w:r w:rsidRPr="00D2230D">
              <w:rPr>
                <w:rFonts w:ascii="Arial" w:hAnsi="Arial" w:cs="Arial"/>
                <w:b/>
                <w:bCs/>
                <w:i/>
                <w:iCs/>
                <w:color w:val="000000"/>
                <w:sz w:val="16"/>
                <w:szCs w:val="16"/>
              </w:rPr>
              <w:t>Total cash received</w:t>
            </w:r>
          </w:p>
        </w:tc>
        <w:tc>
          <w:tcPr>
            <w:tcW w:w="869" w:type="dxa"/>
            <w:tcBorders>
              <w:top w:val="single" w:sz="4" w:space="0" w:color="000000"/>
              <w:left w:val="nil"/>
              <w:bottom w:val="single" w:sz="4" w:space="0" w:color="000000"/>
              <w:right w:val="nil"/>
            </w:tcBorders>
            <w:shd w:val="clear" w:color="auto" w:fill="auto"/>
            <w:noWrap/>
            <w:vAlign w:val="bottom"/>
            <w:hideMark/>
          </w:tcPr>
          <w:p w14:paraId="009FC5F9" w14:textId="093806E4"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402,409</w:t>
            </w:r>
          </w:p>
        </w:tc>
        <w:tc>
          <w:tcPr>
            <w:tcW w:w="870" w:type="dxa"/>
            <w:tcBorders>
              <w:top w:val="single" w:sz="4" w:space="0" w:color="000000"/>
              <w:left w:val="nil"/>
              <w:bottom w:val="single" w:sz="4" w:space="0" w:color="000000"/>
              <w:right w:val="nil"/>
            </w:tcBorders>
            <w:shd w:val="clear" w:color="000000" w:fill="E6E6E6"/>
            <w:noWrap/>
            <w:vAlign w:val="bottom"/>
            <w:hideMark/>
          </w:tcPr>
          <w:p w14:paraId="0C7A8C3F" w14:textId="456CFF31"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425,653</w:t>
            </w:r>
          </w:p>
        </w:tc>
        <w:tc>
          <w:tcPr>
            <w:tcW w:w="870" w:type="dxa"/>
            <w:tcBorders>
              <w:top w:val="single" w:sz="4" w:space="0" w:color="000000"/>
              <w:left w:val="nil"/>
              <w:bottom w:val="single" w:sz="4" w:space="0" w:color="000000"/>
              <w:right w:val="nil"/>
            </w:tcBorders>
            <w:shd w:val="clear" w:color="auto" w:fill="auto"/>
            <w:noWrap/>
            <w:vAlign w:val="bottom"/>
            <w:hideMark/>
          </w:tcPr>
          <w:p w14:paraId="5462F580" w14:textId="0186D4A5"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426,049</w:t>
            </w:r>
          </w:p>
        </w:tc>
        <w:tc>
          <w:tcPr>
            <w:tcW w:w="870" w:type="dxa"/>
            <w:tcBorders>
              <w:top w:val="single" w:sz="4" w:space="0" w:color="000000"/>
              <w:left w:val="nil"/>
              <w:bottom w:val="single" w:sz="4" w:space="0" w:color="000000"/>
              <w:right w:val="nil"/>
            </w:tcBorders>
            <w:shd w:val="clear" w:color="auto" w:fill="auto"/>
            <w:noWrap/>
            <w:vAlign w:val="bottom"/>
            <w:hideMark/>
          </w:tcPr>
          <w:p w14:paraId="7370FFB5" w14:textId="2C986940"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367,766</w:t>
            </w:r>
          </w:p>
        </w:tc>
        <w:tc>
          <w:tcPr>
            <w:tcW w:w="870" w:type="dxa"/>
            <w:tcBorders>
              <w:top w:val="single" w:sz="4" w:space="0" w:color="000000"/>
              <w:left w:val="nil"/>
              <w:bottom w:val="single" w:sz="4" w:space="0" w:color="000000"/>
              <w:right w:val="nil"/>
            </w:tcBorders>
            <w:shd w:val="clear" w:color="auto" w:fill="auto"/>
            <w:noWrap/>
            <w:vAlign w:val="bottom"/>
            <w:hideMark/>
          </w:tcPr>
          <w:p w14:paraId="510EC0EF" w14:textId="6E0A95A3"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323,949</w:t>
            </w:r>
          </w:p>
        </w:tc>
      </w:tr>
      <w:tr w:rsidR="00D2230D" w:rsidRPr="00D2230D" w14:paraId="43D3B356" w14:textId="77777777" w:rsidTr="007E02F0">
        <w:trPr>
          <w:trHeight w:val="204"/>
        </w:trPr>
        <w:tc>
          <w:tcPr>
            <w:tcW w:w="3261" w:type="dxa"/>
            <w:tcBorders>
              <w:top w:val="nil"/>
              <w:left w:val="nil"/>
              <w:bottom w:val="nil"/>
              <w:right w:val="nil"/>
            </w:tcBorders>
            <w:shd w:val="clear" w:color="auto" w:fill="auto"/>
            <w:noWrap/>
            <w:vAlign w:val="center"/>
            <w:hideMark/>
          </w:tcPr>
          <w:p w14:paraId="7CB85530" w14:textId="77777777" w:rsidR="00D2230D" w:rsidRPr="00D2230D" w:rsidRDefault="00D2230D" w:rsidP="00D2230D">
            <w:pPr>
              <w:spacing w:after="0" w:line="240" w:lineRule="auto"/>
              <w:ind w:left="113"/>
              <w:jc w:val="left"/>
              <w:rPr>
                <w:rFonts w:ascii="Arial" w:hAnsi="Arial" w:cs="Arial"/>
                <w:b/>
                <w:bCs/>
                <w:color w:val="000000"/>
                <w:sz w:val="16"/>
                <w:szCs w:val="16"/>
              </w:rPr>
            </w:pPr>
            <w:r w:rsidRPr="00D2230D">
              <w:rPr>
                <w:rFonts w:ascii="Arial" w:hAnsi="Arial" w:cs="Arial"/>
                <w:b/>
                <w:bCs/>
                <w:color w:val="000000"/>
                <w:sz w:val="16"/>
                <w:szCs w:val="16"/>
              </w:rPr>
              <w:t>Cash used</w:t>
            </w:r>
          </w:p>
        </w:tc>
        <w:tc>
          <w:tcPr>
            <w:tcW w:w="869" w:type="dxa"/>
            <w:tcBorders>
              <w:top w:val="nil"/>
              <w:left w:val="nil"/>
              <w:bottom w:val="nil"/>
              <w:right w:val="nil"/>
            </w:tcBorders>
            <w:shd w:val="clear" w:color="auto" w:fill="auto"/>
            <w:noWrap/>
            <w:vAlign w:val="bottom"/>
            <w:hideMark/>
          </w:tcPr>
          <w:p w14:paraId="46A8FCE9" w14:textId="77777777" w:rsidR="00D2230D" w:rsidRPr="00D2230D" w:rsidRDefault="00D2230D" w:rsidP="007201FC">
            <w:pPr>
              <w:spacing w:after="0" w:line="240" w:lineRule="auto"/>
              <w:ind w:firstLineChars="100" w:firstLine="160"/>
              <w:jc w:val="right"/>
              <w:rPr>
                <w:rFonts w:ascii="Arial" w:hAnsi="Arial" w:cs="Arial"/>
                <w:b/>
                <w:bCs/>
                <w:color w:val="000000"/>
                <w:sz w:val="16"/>
                <w:szCs w:val="16"/>
              </w:rPr>
            </w:pPr>
          </w:p>
        </w:tc>
        <w:tc>
          <w:tcPr>
            <w:tcW w:w="870" w:type="dxa"/>
            <w:tcBorders>
              <w:top w:val="nil"/>
              <w:left w:val="nil"/>
              <w:bottom w:val="nil"/>
              <w:right w:val="nil"/>
            </w:tcBorders>
            <w:shd w:val="clear" w:color="000000" w:fill="E6E6E6"/>
            <w:noWrap/>
            <w:vAlign w:val="bottom"/>
            <w:hideMark/>
          </w:tcPr>
          <w:p w14:paraId="5BFB54D4" w14:textId="77788951" w:rsidR="00D2230D" w:rsidRPr="00D2230D" w:rsidRDefault="00D2230D" w:rsidP="007201FC">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53F22F38" w14:textId="77777777" w:rsidR="00D2230D" w:rsidRPr="00D2230D" w:rsidRDefault="00D2230D" w:rsidP="007201FC">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0D0A47E5" w14:textId="77777777" w:rsidR="00D2230D" w:rsidRPr="00D2230D" w:rsidRDefault="00D2230D" w:rsidP="007201FC">
            <w:pPr>
              <w:spacing w:after="0" w:line="240" w:lineRule="auto"/>
              <w:jc w:val="right"/>
              <w:rPr>
                <w:rFonts w:ascii="Times New Roman" w:hAnsi="Times New Roman"/>
              </w:rPr>
            </w:pPr>
          </w:p>
        </w:tc>
        <w:tc>
          <w:tcPr>
            <w:tcW w:w="870" w:type="dxa"/>
            <w:tcBorders>
              <w:top w:val="nil"/>
              <w:left w:val="nil"/>
              <w:bottom w:val="nil"/>
              <w:right w:val="nil"/>
            </w:tcBorders>
            <w:shd w:val="clear" w:color="auto" w:fill="auto"/>
            <w:noWrap/>
            <w:vAlign w:val="bottom"/>
            <w:hideMark/>
          </w:tcPr>
          <w:p w14:paraId="5E74D9C8" w14:textId="77777777" w:rsidR="00D2230D" w:rsidRPr="00D2230D" w:rsidRDefault="00D2230D" w:rsidP="007201FC">
            <w:pPr>
              <w:spacing w:after="0" w:line="240" w:lineRule="auto"/>
              <w:jc w:val="right"/>
              <w:rPr>
                <w:rFonts w:ascii="Times New Roman" w:hAnsi="Times New Roman"/>
              </w:rPr>
            </w:pPr>
          </w:p>
        </w:tc>
      </w:tr>
      <w:tr w:rsidR="004C3AF0" w:rsidRPr="00D2230D" w14:paraId="2529D5AD" w14:textId="77777777" w:rsidTr="007E02F0">
        <w:trPr>
          <w:trHeight w:val="204"/>
        </w:trPr>
        <w:tc>
          <w:tcPr>
            <w:tcW w:w="3261" w:type="dxa"/>
            <w:tcBorders>
              <w:top w:val="nil"/>
              <w:left w:val="nil"/>
              <w:bottom w:val="nil"/>
              <w:right w:val="nil"/>
            </w:tcBorders>
            <w:shd w:val="clear" w:color="auto" w:fill="auto"/>
            <w:noWrap/>
            <w:vAlign w:val="center"/>
            <w:hideMark/>
          </w:tcPr>
          <w:p w14:paraId="2B93B060" w14:textId="777777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Employees</w:t>
            </w:r>
          </w:p>
        </w:tc>
        <w:tc>
          <w:tcPr>
            <w:tcW w:w="869" w:type="dxa"/>
            <w:tcBorders>
              <w:top w:val="nil"/>
              <w:left w:val="nil"/>
              <w:bottom w:val="nil"/>
              <w:right w:val="nil"/>
            </w:tcBorders>
            <w:shd w:val="clear" w:color="auto" w:fill="auto"/>
            <w:noWrap/>
            <w:vAlign w:val="bottom"/>
            <w:hideMark/>
          </w:tcPr>
          <w:p w14:paraId="5BE22D50" w14:textId="271B8E4E"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208,301</w:t>
            </w:r>
          </w:p>
        </w:tc>
        <w:tc>
          <w:tcPr>
            <w:tcW w:w="870" w:type="dxa"/>
            <w:tcBorders>
              <w:top w:val="nil"/>
              <w:left w:val="nil"/>
              <w:bottom w:val="nil"/>
              <w:right w:val="nil"/>
            </w:tcBorders>
            <w:shd w:val="clear" w:color="000000" w:fill="E6E6E6"/>
            <w:noWrap/>
            <w:vAlign w:val="bottom"/>
            <w:hideMark/>
          </w:tcPr>
          <w:p w14:paraId="0EF1391F" w14:textId="672F20C6"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234,649</w:t>
            </w:r>
          </w:p>
        </w:tc>
        <w:tc>
          <w:tcPr>
            <w:tcW w:w="870" w:type="dxa"/>
            <w:tcBorders>
              <w:top w:val="nil"/>
              <w:left w:val="nil"/>
              <w:bottom w:val="nil"/>
              <w:right w:val="nil"/>
            </w:tcBorders>
            <w:shd w:val="clear" w:color="auto" w:fill="auto"/>
            <w:noWrap/>
            <w:vAlign w:val="bottom"/>
            <w:hideMark/>
          </w:tcPr>
          <w:p w14:paraId="572912AE" w14:textId="16092EFD"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241,745</w:t>
            </w:r>
          </w:p>
        </w:tc>
        <w:tc>
          <w:tcPr>
            <w:tcW w:w="870" w:type="dxa"/>
            <w:tcBorders>
              <w:top w:val="nil"/>
              <w:left w:val="nil"/>
              <w:bottom w:val="nil"/>
              <w:right w:val="nil"/>
            </w:tcBorders>
            <w:shd w:val="clear" w:color="auto" w:fill="auto"/>
            <w:noWrap/>
            <w:vAlign w:val="bottom"/>
            <w:hideMark/>
          </w:tcPr>
          <w:p w14:paraId="5DBE94CC" w14:textId="795C5854"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242,634</w:t>
            </w:r>
          </w:p>
        </w:tc>
        <w:tc>
          <w:tcPr>
            <w:tcW w:w="870" w:type="dxa"/>
            <w:tcBorders>
              <w:top w:val="nil"/>
              <w:left w:val="nil"/>
              <w:bottom w:val="nil"/>
              <w:right w:val="nil"/>
            </w:tcBorders>
            <w:shd w:val="clear" w:color="auto" w:fill="auto"/>
            <w:noWrap/>
            <w:vAlign w:val="bottom"/>
            <w:hideMark/>
          </w:tcPr>
          <w:p w14:paraId="735F2C0D" w14:textId="66B58619"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248,299</w:t>
            </w:r>
          </w:p>
        </w:tc>
      </w:tr>
      <w:tr w:rsidR="004C3AF0" w:rsidRPr="00D2230D" w14:paraId="6922C711" w14:textId="77777777" w:rsidTr="007E02F0">
        <w:trPr>
          <w:trHeight w:val="204"/>
        </w:trPr>
        <w:tc>
          <w:tcPr>
            <w:tcW w:w="3261" w:type="dxa"/>
            <w:tcBorders>
              <w:top w:val="nil"/>
              <w:left w:val="nil"/>
              <w:bottom w:val="nil"/>
              <w:right w:val="nil"/>
            </w:tcBorders>
            <w:shd w:val="clear" w:color="auto" w:fill="auto"/>
            <w:noWrap/>
            <w:vAlign w:val="center"/>
            <w:hideMark/>
          </w:tcPr>
          <w:p w14:paraId="50F71780" w14:textId="777777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Suppliers and Grants</w:t>
            </w:r>
          </w:p>
        </w:tc>
        <w:tc>
          <w:tcPr>
            <w:tcW w:w="869" w:type="dxa"/>
            <w:tcBorders>
              <w:top w:val="nil"/>
              <w:left w:val="nil"/>
              <w:bottom w:val="nil"/>
              <w:right w:val="nil"/>
            </w:tcBorders>
            <w:shd w:val="clear" w:color="auto" w:fill="auto"/>
            <w:noWrap/>
            <w:vAlign w:val="bottom"/>
            <w:hideMark/>
          </w:tcPr>
          <w:p w14:paraId="324D788B" w14:textId="5CE66963"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140,601</w:t>
            </w:r>
          </w:p>
        </w:tc>
        <w:tc>
          <w:tcPr>
            <w:tcW w:w="870" w:type="dxa"/>
            <w:tcBorders>
              <w:top w:val="nil"/>
              <w:left w:val="nil"/>
              <w:bottom w:val="nil"/>
              <w:right w:val="nil"/>
            </w:tcBorders>
            <w:shd w:val="clear" w:color="000000" w:fill="E6E6E6"/>
            <w:noWrap/>
            <w:vAlign w:val="bottom"/>
            <w:hideMark/>
          </w:tcPr>
          <w:p w14:paraId="61164DAD" w14:textId="0E65E1EB"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157,428</w:t>
            </w:r>
          </w:p>
        </w:tc>
        <w:tc>
          <w:tcPr>
            <w:tcW w:w="870" w:type="dxa"/>
            <w:tcBorders>
              <w:top w:val="nil"/>
              <w:left w:val="nil"/>
              <w:bottom w:val="nil"/>
              <w:right w:val="nil"/>
            </w:tcBorders>
            <w:shd w:val="clear" w:color="auto" w:fill="auto"/>
            <w:noWrap/>
            <w:vAlign w:val="bottom"/>
            <w:hideMark/>
          </w:tcPr>
          <w:p w14:paraId="2FAED63E" w14:textId="7598BDDF"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162,364</w:t>
            </w:r>
          </w:p>
        </w:tc>
        <w:tc>
          <w:tcPr>
            <w:tcW w:w="870" w:type="dxa"/>
            <w:tcBorders>
              <w:top w:val="nil"/>
              <w:left w:val="nil"/>
              <w:bottom w:val="nil"/>
              <w:right w:val="nil"/>
            </w:tcBorders>
            <w:shd w:val="clear" w:color="auto" w:fill="auto"/>
            <w:noWrap/>
            <w:vAlign w:val="bottom"/>
            <w:hideMark/>
          </w:tcPr>
          <w:p w14:paraId="615DCDAE" w14:textId="7FB91B7A"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103,247</w:t>
            </w:r>
          </w:p>
        </w:tc>
        <w:tc>
          <w:tcPr>
            <w:tcW w:w="870" w:type="dxa"/>
            <w:tcBorders>
              <w:top w:val="nil"/>
              <w:left w:val="nil"/>
              <w:bottom w:val="nil"/>
              <w:right w:val="nil"/>
            </w:tcBorders>
            <w:shd w:val="clear" w:color="auto" w:fill="auto"/>
            <w:noWrap/>
            <w:vAlign w:val="bottom"/>
            <w:hideMark/>
          </w:tcPr>
          <w:p w14:paraId="66A87F26" w14:textId="7B60271B"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53,765</w:t>
            </w:r>
          </w:p>
        </w:tc>
      </w:tr>
      <w:tr w:rsidR="004C3AF0" w:rsidRPr="00D2230D" w14:paraId="0D168830" w14:textId="77777777" w:rsidTr="007E02F0">
        <w:trPr>
          <w:trHeight w:val="204"/>
        </w:trPr>
        <w:tc>
          <w:tcPr>
            <w:tcW w:w="3261" w:type="dxa"/>
            <w:tcBorders>
              <w:top w:val="nil"/>
              <w:left w:val="nil"/>
              <w:bottom w:val="nil"/>
              <w:right w:val="nil"/>
            </w:tcBorders>
            <w:shd w:val="clear" w:color="auto" w:fill="auto"/>
            <w:vAlign w:val="center"/>
            <w:hideMark/>
          </w:tcPr>
          <w:p w14:paraId="763BD773" w14:textId="777777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Section 74 receipts transferred to the OPA</w:t>
            </w:r>
          </w:p>
        </w:tc>
        <w:tc>
          <w:tcPr>
            <w:tcW w:w="869" w:type="dxa"/>
            <w:tcBorders>
              <w:top w:val="nil"/>
              <w:left w:val="nil"/>
              <w:bottom w:val="nil"/>
              <w:right w:val="nil"/>
            </w:tcBorders>
            <w:shd w:val="clear" w:color="auto" w:fill="auto"/>
            <w:noWrap/>
            <w:vAlign w:val="bottom"/>
            <w:hideMark/>
          </w:tcPr>
          <w:p w14:paraId="70C555C7" w14:textId="32C92687"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22,917</w:t>
            </w:r>
          </w:p>
        </w:tc>
        <w:tc>
          <w:tcPr>
            <w:tcW w:w="870" w:type="dxa"/>
            <w:tcBorders>
              <w:top w:val="nil"/>
              <w:left w:val="nil"/>
              <w:bottom w:val="nil"/>
              <w:right w:val="nil"/>
            </w:tcBorders>
            <w:shd w:val="clear" w:color="000000" w:fill="E6E6E6"/>
            <w:noWrap/>
            <w:vAlign w:val="bottom"/>
            <w:hideMark/>
          </w:tcPr>
          <w:p w14:paraId="5D78AF00" w14:textId="69D7DC49"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0" w:type="dxa"/>
            <w:tcBorders>
              <w:top w:val="nil"/>
              <w:left w:val="nil"/>
              <w:bottom w:val="nil"/>
              <w:right w:val="nil"/>
            </w:tcBorders>
            <w:shd w:val="clear" w:color="auto" w:fill="auto"/>
            <w:noWrap/>
            <w:vAlign w:val="bottom"/>
            <w:hideMark/>
          </w:tcPr>
          <w:p w14:paraId="79DE68A4" w14:textId="192AD528"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0" w:type="dxa"/>
            <w:tcBorders>
              <w:top w:val="nil"/>
              <w:left w:val="nil"/>
              <w:bottom w:val="nil"/>
              <w:right w:val="nil"/>
            </w:tcBorders>
            <w:shd w:val="clear" w:color="auto" w:fill="auto"/>
            <w:noWrap/>
            <w:vAlign w:val="bottom"/>
            <w:hideMark/>
          </w:tcPr>
          <w:p w14:paraId="64614D05" w14:textId="1B4023F1"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0" w:type="dxa"/>
            <w:tcBorders>
              <w:top w:val="nil"/>
              <w:left w:val="nil"/>
              <w:bottom w:val="nil"/>
              <w:right w:val="nil"/>
            </w:tcBorders>
            <w:shd w:val="clear" w:color="auto" w:fill="auto"/>
            <w:noWrap/>
            <w:vAlign w:val="bottom"/>
            <w:hideMark/>
          </w:tcPr>
          <w:p w14:paraId="03D492F6" w14:textId="06AFA82D"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4C3AF0" w:rsidRPr="00D2230D" w14:paraId="68573724" w14:textId="77777777" w:rsidTr="007E02F0">
        <w:trPr>
          <w:trHeight w:val="204"/>
        </w:trPr>
        <w:tc>
          <w:tcPr>
            <w:tcW w:w="3261" w:type="dxa"/>
            <w:tcBorders>
              <w:top w:val="nil"/>
              <w:left w:val="nil"/>
              <w:bottom w:val="nil"/>
              <w:right w:val="nil"/>
            </w:tcBorders>
            <w:shd w:val="clear" w:color="auto" w:fill="auto"/>
            <w:noWrap/>
            <w:vAlign w:val="center"/>
            <w:hideMark/>
          </w:tcPr>
          <w:p w14:paraId="34736258" w14:textId="77777777" w:rsidR="004C3AF0" w:rsidRPr="00D2230D" w:rsidRDefault="004C3AF0" w:rsidP="004C3AF0">
            <w:pPr>
              <w:spacing w:after="0" w:line="240" w:lineRule="auto"/>
              <w:ind w:left="227"/>
              <w:jc w:val="left"/>
              <w:rPr>
                <w:rFonts w:ascii="Arial" w:hAnsi="Arial" w:cs="Arial"/>
                <w:sz w:val="16"/>
                <w:szCs w:val="16"/>
              </w:rPr>
            </w:pPr>
            <w:r w:rsidRPr="00D2230D">
              <w:rPr>
                <w:rFonts w:ascii="Arial" w:hAnsi="Arial" w:cs="Arial"/>
                <w:sz w:val="16"/>
                <w:szCs w:val="16"/>
              </w:rPr>
              <w:t>Interest payments on lease liability</w:t>
            </w:r>
          </w:p>
        </w:tc>
        <w:tc>
          <w:tcPr>
            <w:tcW w:w="869" w:type="dxa"/>
            <w:tcBorders>
              <w:top w:val="nil"/>
              <w:left w:val="nil"/>
              <w:bottom w:val="nil"/>
              <w:right w:val="nil"/>
            </w:tcBorders>
            <w:shd w:val="clear" w:color="auto" w:fill="auto"/>
            <w:noWrap/>
            <w:vAlign w:val="bottom"/>
            <w:hideMark/>
          </w:tcPr>
          <w:p w14:paraId="499099B1" w14:textId="1BD36EBD"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1,336</w:t>
            </w:r>
          </w:p>
        </w:tc>
        <w:tc>
          <w:tcPr>
            <w:tcW w:w="870" w:type="dxa"/>
            <w:tcBorders>
              <w:top w:val="nil"/>
              <w:left w:val="nil"/>
              <w:bottom w:val="nil"/>
              <w:right w:val="nil"/>
            </w:tcBorders>
            <w:shd w:val="clear" w:color="000000" w:fill="E6E6E6"/>
            <w:noWrap/>
            <w:vAlign w:val="bottom"/>
            <w:hideMark/>
          </w:tcPr>
          <w:p w14:paraId="4B64FF54" w14:textId="194BF878"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2,425</w:t>
            </w:r>
          </w:p>
        </w:tc>
        <w:tc>
          <w:tcPr>
            <w:tcW w:w="870" w:type="dxa"/>
            <w:tcBorders>
              <w:top w:val="nil"/>
              <w:left w:val="nil"/>
              <w:bottom w:val="nil"/>
              <w:right w:val="nil"/>
            </w:tcBorders>
            <w:shd w:val="clear" w:color="auto" w:fill="auto"/>
            <w:noWrap/>
            <w:vAlign w:val="bottom"/>
            <w:hideMark/>
          </w:tcPr>
          <w:p w14:paraId="7CA42629" w14:textId="1287C2BA"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1,942</w:t>
            </w:r>
          </w:p>
        </w:tc>
        <w:tc>
          <w:tcPr>
            <w:tcW w:w="870" w:type="dxa"/>
            <w:tcBorders>
              <w:top w:val="nil"/>
              <w:left w:val="nil"/>
              <w:bottom w:val="nil"/>
              <w:right w:val="nil"/>
            </w:tcBorders>
            <w:shd w:val="clear" w:color="auto" w:fill="auto"/>
            <w:noWrap/>
            <w:vAlign w:val="bottom"/>
            <w:hideMark/>
          </w:tcPr>
          <w:p w14:paraId="4058DB45" w14:textId="7D4616B5"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1,824</w:t>
            </w:r>
          </w:p>
        </w:tc>
        <w:tc>
          <w:tcPr>
            <w:tcW w:w="870" w:type="dxa"/>
            <w:tcBorders>
              <w:top w:val="nil"/>
              <w:left w:val="nil"/>
              <w:bottom w:val="nil"/>
              <w:right w:val="nil"/>
            </w:tcBorders>
            <w:shd w:val="clear" w:color="auto" w:fill="auto"/>
            <w:noWrap/>
            <w:vAlign w:val="bottom"/>
            <w:hideMark/>
          </w:tcPr>
          <w:p w14:paraId="2BE0C0F5" w14:textId="04E2265A"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1,824</w:t>
            </w:r>
          </w:p>
        </w:tc>
      </w:tr>
      <w:tr w:rsidR="004C3AF0" w:rsidRPr="00D2230D" w14:paraId="0704DB91" w14:textId="77777777" w:rsidTr="007E02F0">
        <w:trPr>
          <w:trHeight w:val="204"/>
        </w:trPr>
        <w:tc>
          <w:tcPr>
            <w:tcW w:w="3261" w:type="dxa"/>
            <w:tcBorders>
              <w:top w:val="nil"/>
              <w:left w:val="nil"/>
              <w:bottom w:val="nil"/>
              <w:right w:val="nil"/>
            </w:tcBorders>
            <w:shd w:val="clear" w:color="auto" w:fill="auto"/>
            <w:noWrap/>
            <w:vAlign w:val="center"/>
            <w:hideMark/>
          </w:tcPr>
          <w:p w14:paraId="74EB4C7F" w14:textId="777777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Other</w:t>
            </w:r>
          </w:p>
        </w:tc>
        <w:tc>
          <w:tcPr>
            <w:tcW w:w="869" w:type="dxa"/>
            <w:tcBorders>
              <w:top w:val="nil"/>
              <w:left w:val="nil"/>
              <w:bottom w:val="nil"/>
              <w:right w:val="nil"/>
            </w:tcBorders>
            <w:shd w:val="clear" w:color="auto" w:fill="auto"/>
            <w:noWrap/>
            <w:vAlign w:val="bottom"/>
            <w:hideMark/>
          </w:tcPr>
          <w:p w14:paraId="01E29DF9" w14:textId="72E60343"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0" w:type="dxa"/>
            <w:tcBorders>
              <w:top w:val="nil"/>
              <w:left w:val="nil"/>
              <w:bottom w:val="nil"/>
              <w:right w:val="nil"/>
            </w:tcBorders>
            <w:shd w:val="clear" w:color="000000" w:fill="E6E6E6"/>
            <w:noWrap/>
            <w:vAlign w:val="bottom"/>
            <w:hideMark/>
          </w:tcPr>
          <w:p w14:paraId="6DD31A6B" w14:textId="7D1826DC"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66</w:t>
            </w:r>
          </w:p>
        </w:tc>
        <w:tc>
          <w:tcPr>
            <w:tcW w:w="870" w:type="dxa"/>
            <w:tcBorders>
              <w:top w:val="nil"/>
              <w:left w:val="nil"/>
              <w:bottom w:val="nil"/>
              <w:right w:val="nil"/>
            </w:tcBorders>
            <w:shd w:val="clear" w:color="auto" w:fill="auto"/>
            <w:noWrap/>
            <w:vAlign w:val="bottom"/>
            <w:hideMark/>
          </w:tcPr>
          <w:p w14:paraId="56A96738" w14:textId="2297BA23"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66</w:t>
            </w:r>
          </w:p>
        </w:tc>
        <w:tc>
          <w:tcPr>
            <w:tcW w:w="870" w:type="dxa"/>
            <w:tcBorders>
              <w:top w:val="nil"/>
              <w:left w:val="nil"/>
              <w:bottom w:val="nil"/>
              <w:right w:val="nil"/>
            </w:tcBorders>
            <w:shd w:val="clear" w:color="auto" w:fill="auto"/>
            <w:noWrap/>
            <w:vAlign w:val="bottom"/>
            <w:hideMark/>
          </w:tcPr>
          <w:p w14:paraId="3BE9B2ED" w14:textId="31CCA011"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66</w:t>
            </w:r>
          </w:p>
        </w:tc>
        <w:tc>
          <w:tcPr>
            <w:tcW w:w="870" w:type="dxa"/>
            <w:tcBorders>
              <w:top w:val="nil"/>
              <w:left w:val="nil"/>
              <w:bottom w:val="nil"/>
              <w:right w:val="nil"/>
            </w:tcBorders>
            <w:shd w:val="clear" w:color="auto" w:fill="auto"/>
            <w:noWrap/>
            <w:vAlign w:val="bottom"/>
            <w:hideMark/>
          </w:tcPr>
          <w:p w14:paraId="0F81F0F0" w14:textId="12256D5E"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66</w:t>
            </w:r>
          </w:p>
        </w:tc>
      </w:tr>
      <w:tr w:rsidR="004C3AF0" w:rsidRPr="00D2230D" w14:paraId="008CAE6F" w14:textId="77777777" w:rsidTr="007E02F0">
        <w:trPr>
          <w:trHeight w:val="204"/>
        </w:trPr>
        <w:tc>
          <w:tcPr>
            <w:tcW w:w="3261" w:type="dxa"/>
            <w:tcBorders>
              <w:top w:val="nil"/>
              <w:left w:val="nil"/>
              <w:bottom w:val="nil"/>
              <w:right w:val="nil"/>
            </w:tcBorders>
            <w:shd w:val="clear" w:color="auto" w:fill="auto"/>
            <w:noWrap/>
            <w:vAlign w:val="center"/>
            <w:hideMark/>
          </w:tcPr>
          <w:p w14:paraId="6067FBE0" w14:textId="77777777" w:rsidR="004C3AF0" w:rsidRPr="00D2230D" w:rsidRDefault="004C3AF0" w:rsidP="004C3AF0">
            <w:pPr>
              <w:spacing w:after="0" w:line="240" w:lineRule="auto"/>
              <w:ind w:left="113"/>
              <w:jc w:val="left"/>
              <w:rPr>
                <w:rFonts w:ascii="Arial" w:hAnsi="Arial" w:cs="Arial"/>
                <w:b/>
                <w:bCs/>
                <w:i/>
                <w:iCs/>
                <w:color w:val="000000"/>
                <w:sz w:val="16"/>
                <w:szCs w:val="16"/>
              </w:rPr>
            </w:pPr>
            <w:r w:rsidRPr="00D2230D">
              <w:rPr>
                <w:rFonts w:ascii="Arial" w:hAnsi="Arial" w:cs="Arial"/>
                <w:b/>
                <w:bCs/>
                <w:i/>
                <w:iCs/>
                <w:color w:val="000000"/>
                <w:sz w:val="16"/>
                <w:szCs w:val="16"/>
              </w:rPr>
              <w:t>Total cash used</w:t>
            </w:r>
          </w:p>
        </w:tc>
        <w:tc>
          <w:tcPr>
            <w:tcW w:w="869" w:type="dxa"/>
            <w:tcBorders>
              <w:top w:val="single" w:sz="4" w:space="0" w:color="000000"/>
              <w:left w:val="nil"/>
              <w:bottom w:val="nil"/>
              <w:right w:val="nil"/>
            </w:tcBorders>
            <w:shd w:val="clear" w:color="auto" w:fill="auto"/>
            <w:noWrap/>
            <w:vAlign w:val="bottom"/>
            <w:hideMark/>
          </w:tcPr>
          <w:p w14:paraId="1036B50B" w14:textId="40E163AC"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373,155</w:t>
            </w:r>
          </w:p>
        </w:tc>
        <w:tc>
          <w:tcPr>
            <w:tcW w:w="870" w:type="dxa"/>
            <w:tcBorders>
              <w:top w:val="single" w:sz="4" w:space="0" w:color="000000"/>
              <w:left w:val="nil"/>
              <w:bottom w:val="nil"/>
              <w:right w:val="nil"/>
            </w:tcBorders>
            <w:shd w:val="clear" w:color="000000" w:fill="E6E6E6"/>
            <w:noWrap/>
            <w:vAlign w:val="bottom"/>
            <w:hideMark/>
          </w:tcPr>
          <w:p w14:paraId="1DCC135B" w14:textId="21B9A3FD"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394,568</w:t>
            </w:r>
          </w:p>
        </w:tc>
        <w:tc>
          <w:tcPr>
            <w:tcW w:w="870" w:type="dxa"/>
            <w:tcBorders>
              <w:top w:val="single" w:sz="4" w:space="0" w:color="000000"/>
              <w:left w:val="nil"/>
              <w:bottom w:val="nil"/>
              <w:right w:val="nil"/>
            </w:tcBorders>
            <w:shd w:val="clear" w:color="auto" w:fill="auto"/>
            <w:noWrap/>
            <w:vAlign w:val="bottom"/>
            <w:hideMark/>
          </w:tcPr>
          <w:p w14:paraId="390F51EA" w14:textId="69D4E6F7"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406,117</w:t>
            </w:r>
          </w:p>
        </w:tc>
        <w:tc>
          <w:tcPr>
            <w:tcW w:w="870" w:type="dxa"/>
            <w:tcBorders>
              <w:top w:val="single" w:sz="4" w:space="0" w:color="000000"/>
              <w:left w:val="nil"/>
              <w:bottom w:val="nil"/>
              <w:right w:val="nil"/>
            </w:tcBorders>
            <w:shd w:val="clear" w:color="auto" w:fill="auto"/>
            <w:noWrap/>
            <w:vAlign w:val="bottom"/>
            <w:hideMark/>
          </w:tcPr>
          <w:p w14:paraId="1BC65F44" w14:textId="27AD8B91"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347,771</w:t>
            </w:r>
          </w:p>
        </w:tc>
        <w:tc>
          <w:tcPr>
            <w:tcW w:w="870" w:type="dxa"/>
            <w:tcBorders>
              <w:top w:val="single" w:sz="4" w:space="0" w:color="000000"/>
              <w:left w:val="nil"/>
              <w:bottom w:val="nil"/>
              <w:right w:val="nil"/>
            </w:tcBorders>
            <w:shd w:val="clear" w:color="auto" w:fill="auto"/>
            <w:noWrap/>
            <w:vAlign w:val="bottom"/>
            <w:hideMark/>
          </w:tcPr>
          <w:p w14:paraId="244184B4" w14:textId="47CFFA7D"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303,954</w:t>
            </w:r>
          </w:p>
        </w:tc>
      </w:tr>
      <w:tr w:rsidR="00D2230D" w:rsidRPr="00D2230D" w14:paraId="154A6FF2" w14:textId="77777777" w:rsidTr="007E02F0">
        <w:trPr>
          <w:trHeight w:val="204"/>
        </w:trPr>
        <w:tc>
          <w:tcPr>
            <w:tcW w:w="3261" w:type="dxa"/>
            <w:tcBorders>
              <w:top w:val="nil"/>
              <w:left w:val="nil"/>
              <w:bottom w:val="nil"/>
              <w:right w:val="nil"/>
            </w:tcBorders>
            <w:shd w:val="clear" w:color="auto" w:fill="auto"/>
            <w:vAlign w:val="center"/>
            <w:hideMark/>
          </w:tcPr>
          <w:p w14:paraId="300C7EEA" w14:textId="147F6D01" w:rsidR="00D2230D" w:rsidRPr="00D2230D" w:rsidRDefault="00D2230D" w:rsidP="00D2230D">
            <w:pPr>
              <w:spacing w:after="0" w:line="240" w:lineRule="auto"/>
              <w:jc w:val="left"/>
              <w:rPr>
                <w:rFonts w:ascii="Arial" w:hAnsi="Arial" w:cs="Arial"/>
                <w:b/>
                <w:bCs/>
                <w:color w:val="000000"/>
                <w:sz w:val="16"/>
                <w:szCs w:val="16"/>
              </w:rPr>
            </w:pPr>
            <w:r w:rsidRPr="00D2230D">
              <w:rPr>
                <w:rFonts w:ascii="Arial" w:hAnsi="Arial" w:cs="Arial"/>
                <w:b/>
                <w:bCs/>
                <w:color w:val="000000"/>
                <w:sz w:val="16"/>
                <w:szCs w:val="16"/>
              </w:rPr>
              <w:t>Net cash from/(used by)</w:t>
            </w:r>
            <w:r>
              <w:rPr>
                <w:rFonts w:ascii="Arial" w:hAnsi="Arial" w:cs="Arial"/>
                <w:b/>
                <w:bCs/>
                <w:color w:val="000000"/>
                <w:sz w:val="16"/>
                <w:szCs w:val="16"/>
              </w:rPr>
              <w:t xml:space="preserve"> </w:t>
            </w:r>
            <w:r w:rsidRPr="00D2230D">
              <w:rPr>
                <w:rFonts w:ascii="Arial" w:hAnsi="Arial" w:cs="Arial"/>
                <w:b/>
                <w:bCs/>
                <w:color w:val="000000"/>
                <w:sz w:val="16"/>
                <w:szCs w:val="16"/>
              </w:rPr>
              <w:t>operating activities</w:t>
            </w:r>
          </w:p>
        </w:tc>
        <w:tc>
          <w:tcPr>
            <w:tcW w:w="869" w:type="dxa"/>
            <w:tcBorders>
              <w:top w:val="single" w:sz="4" w:space="0" w:color="auto"/>
              <w:left w:val="nil"/>
              <w:bottom w:val="single" w:sz="4" w:space="0" w:color="auto"/>
              <w:right w:val="nil"/>
            </w:tcBorders>
            <w:shd w:val="clear" w:color="auto" w:fill="auto"/>
            <w:noWrap/>
            <w:vAlign w:val="bottom"/>
            <w:hideMark/>
          </w:tcPr>
          <w:p w14:paraId="6A6D9F63" w14:textId="66AB3261" w:rsidR="00D2230D" w:rsidRPr="00D2230D" w:rsidRDefault="00D2230D" w:rsidP="007201FC">
            <w:pPr>
              <w:spacing w:after="0" w:line="240" w:lineRule="auto"/>
              <w:jc w:val="right"/>
              <w:rPr>
                <w:rFonts w:ascii="Arial" w:hAnsi="Arial" w:cs="Arial"/>
                <w:b/>
                <w:bCs/>
                <w:color w:val="000000"/>
                <w:sz w:val="16"/>
                <w:szCs w:val="16"/>
              </w:rPr>
            </w:pPr>
            <w:r w:rsidRPr="00D2230D">
              <w:rPr>
                <w:rFonts w:ascii="Arial" w:hAnsi="Arial" w:cs="Arial"/>
                <w:b/>
                <w:bCs/>
                <w:color w:val="000000"/>
                <w:sz w:val="16"/>
                <w:szCs w:val="16"/>
              </w:rPr>
              <w:t>29,254</w:t>
            </w:r>
          </w:p>
        </w:tc>
        <w:tc>
          <w:tcPr>
            <w:tcW w:w="870" w:type="dxa"/>
            <w:tcBorders>
              <w:top w:val="single" w:sz="4" w:space="0" w:color="auto"/>
              <w:left w:val="nil"/>
              <w:bottom w:val="single" w:sz="4" w:space="0" w:color="auto"/>
              <w:right w:val="nil"/>
            </w:tcBorders>
            <w:shd w:val="clear" w:color="000000" w:fill="E6E6E6"/>
            <w:noWrap/>
            <w:vAlign w:val="bottom"/>
            <w:hideMark/>
          </w:tcPr>
          <w:p w14:paraId="0A889024" w14:textId="50B89FF5" w:rsidR="00D2230D" w:rsidRPr="00D2230D" w:rsidRDefault="00D2230D" w:rsidP="007201FC">
            <w:pPr>
              <w:spacing w:after="0" w:line="240" w:lineRule="auto"/>
              <w:jc w:val="right"/>
              <w:rPr>
                <w:rFonts w:ascii="Arial" w:hAnsi="Arial" w:cs="Arial"/>
                <w:b/>
                <w:bCs/>
                <w:color w:val="000000"/>
                <w:sz w:val="16"/>
                <w:szCs w:val="16"/>
              </w:rPr>
            </w:pPr>
            <w:r w:rsidRPr="00D2230D">
              <w:rPr>
                <w:rFonts w:ascii="Arial" w:hAnsi="Arial" w:cs="Arial"/>
                <w:b/>
                <w:bCs/>
                <w:color w:val="000000"/>
                <w:sz w:val="16"/>
                <w:szCs w:val="16"/>
              </w:rPr>
              <w:t>31,085</w:t>
            </w:r>
          </w:p>
        </w:tc>
        <w:tc>
          <w:tcPr>
            <w:tcW w:w="870" w:type="dxa"/>
            <w:tcBorders>
              <w:top w:val="single" w:sz="4" w:space="0" w:color="auto"/>
              <w:left w:val="nil"/>
              <w:bottom w:val="single" w:sz="4" w:space="0" w:color="auto"/>
              <w:right w:val="nil"/>
            </w:tcBorders>
            <w:shd w:val="clear" w:color="auto" w:fill="auto"/>
            <w:noWrap/>
            <w:vAlign w:val="bottom"/>
            <w:hideMark/>
          </w:tcPr>
          <w:p w14:paraId="340E77EA" w14:textId="55DD6959" w:rsidR="00D2230D" w:rsidRPr="00D2230D" w:rsidRDefault="00D2230D" w:rsidP="007201FC">
            <w:pPr>
              <w:spacing w:after="0" w:line="240" w:lineRule="auto"/>
              <w:jc w:val="right"/>
              <w:rPr>
                <w:rFonts w:ascii="Arial" w:hAnsi="Arial" w:cs="Arial"/>
                <w:b/>
                <w:bCs/>
                <w:color w:val="000000"/>
                <w:sz w:val="16"/>
                <w:szCs w:val="16"/>
              </w:rPr>
            </w:pPr>
            <w:r w:rsidRPr="00D2230D">
              <w:rPr>
                <w:rFonts w:ascii="Arial" w:hAnsi="Arial" w:cs="Arial"/>
                <w:b/>
                <w:bCs/>
                <w:color w:val="000000"/>
                <w:sz w:val="16"/>
                <w:szCs w:val="16"/>
              </w:rPr>
              <w:t>19,932</w:t>
            </w:r>
          </w:p>
        </w:tc>
        <w:tc>
          <w:tcPr>
            <w:tcW w:w="870" w:type="dxa"/>
            <w:tcBorders>
              <w:top w:val="single" w:sz="4" w:space="0" w:color="auto"/>
              <w:left w:val="nil"/>
              <w:bottom w:val="single" w:sz="4" w:space="0" w:color="auto"/>
              <w:right w:val="nil"/>
            </w:tcBorders>
            <w:shd w:val="clear" w:color="auto" w:fill="auto"/>
            <w:noWrap/>
            <w:vAlign w:val="bottom"/>
            <w:hideMark/>
          </w:tcPr>
          <w:p w14:paraId="2A1B26BF" w14:textId="2A1F5207" w:rsidR="00D2230D" w:rsidRPr="00D2230D" w:rsidRDefault="00D2230D" w:rsidP="007201FC">
            <w:pPr>
              <w:spacing w:after="0" w:line="240" w:lineRule="auto"/>
              <w:jc w:val="right"/>
              <w:rPr>
                <w:rFonts w:ascii="Arial" w:hAnsi="Arial" w:cs="Arial"/>
                <w:b/>
                <w:bCs/>
                <w:color w:val="000000"/>
                <w:sz w:val="16"/>
                <w:szCs w:val="16"/>
              </w:rPr>
            </w:pPr>
            <w:r w:rsidRPr="00D2230D">
              <w:rPr>
                <w:rFonts w:ascii="Arial" w:hAnsi="Arial" w:cs="Arial"/>
                <w:b/>
                <w:bCs/>
                <w:color w:val="000000"/>
                <w:sz w:val="16"/>
                <w:szCs w:val="16"/>
              </w:rPr>
              <w:t>19,995</w:t>
            </w:r>
          </w:p>
        </w:tc>
        <w:tc>
          <w:tcPr>
            <w:tcW w:w="870" w:type="dxa"/>
            <w:tcBorders>
              <w:top w:val="single" w:sz="4" w:space="0" w:color="auto"/>
              <w:left w:val="nil"/>
              <w:bottom w:val="single" w:sz="4" w:space="0" w:color="auto"/>
              <w:right w:val="nil"/>
            </w:tcBorders>
            <w:shd w:val="clear" w:color="auto" w:fill="auto"/>
            <w:noWrap/>
            <w:vAlign w:val="bottom"/>
            <w:hideMark/>
          </w:tcPr>
          <w:p w14:paraId="6EAA45F3" w14:textId="0E9A9017" w:rsidR="00D2230D" w:rsidRPr="00D2230D" w:rsidRDefault="00D2230D" w:rsidP="007201FC">
            <w:pPr>
              <w:spacing w:after="0" w:line="240" w:lineRule="auto"/>
              <w:jc w:val="right"/>
              <w:rPr>
                <w:rFonts w:ascii="Arial" w:hAnsi="Arial" w:cs="Arial"/>
                <w:b/>
                <w:bCs/>
                <w:color w:val="000000"/>
                <w:sz w:val="16"/>
                <w:szCs w:val="16"/>
              </w:rPr>
            </w:pPr>
            <w:r w:rsidRPr="00D2230D">
              <w:rPr>
                <w:rFonts w:ascii="Arial" w:hAnsi="Arial" w:cs="Arial"/>
                <w:b/>
                <w:bCs/>
                <w:color w:val="000000"/>
                <w:sz w:val="16"/>
                <w:szCs w:val="16"/>
              </w:rPr>
              <w:t>19,995</w:t>
            </w:r>
          </w:p>
        </w:tc>
      </w:tr>
      <w:tr w:rsidR="00D2230D" w:rsidRPr="00D2230D" w14:paraId="35DAD146" w14:textId="77777777" w:rsidTr="007E02F0">
        <w:trPr>
          <w:trHeight w:val="204"/>
        </w:trPr>
        <w:tc>
          <w:tcPr>
            <w:tcW w:w="3261" w:type="dxa"/>
            <w:tcBorders>
              <w:top w:val="nil"/>
              <w:left w:val="nil"/>
              <w:bottom w:val="nil"/>
              <w:right w:val="nil"/>
            </w:tcBorders>
            <w:shd w:val="clear" w:color="auto" w:fill="auto"/>
            <w:noWrap/>
            <w:vAlign w:val="center"/>
            <w:hideMark/>
          </w:tcPr>
          <w:p w14:paraId="63B54358" w14:textId="77777777" w:rsidR="00D2230D" w:rsidRPr="00D2230D" w:rsidRDefault="00D2230D" w:rsidP="00D2230D">
            <w:pPr>
              <w:spacing w:after="0" w:line="240" w:lineRule="auto"/>
              <w:jc w:val="left"/>
              <w:rPr>
                <w:rFonts w:ascii="Arial" w:hAnsi="Arial" w:cs="Arial"/>
                <w:b/>
                <w:bCs/>
                <w:color w:val="000000"/>
                <w:sz w:val="16"/>
                <w:szCs w:val="16"/>
              </w:rPr>
            </w:pPr>
            <w:r w:rsidRPr="00D2230D">
              <w:rPr>
                <w:rFonts w:ascii="Arial" w:hAnsi="Arial" w:cs="Arial"/>
                <w:b/>
                <w:bCs/>
                <w:color w:val="000000"/>
                <w:sz w:val="16"/>
                <w:szCs w:val="16"/>
              </w:rPr>
              <w:t>INVESTING ACTIVITIES</w:t>
            </w:r>
          </w:p>
        </w:tc>
        <w:tc>
          <w:tcPr>
            <w:tcW w:w="869" w:type="dxa"/>
            <w:tcBorders>
              <w:top w:val="nil"/>
              <w:left w:val="nil"/>
              <w:bottom w:val="nil"/>
              <w:right w:val="nil"/>
            </w:tcBorders>
            <w:shd w:val="clear" w:color="auto" w:fill="auto"/>
            <w:noWrap/>
            <w:vAlign w:val="bottom"/>
            <w:hideMark/>
          </w:tcPr>
          <w:p w14:paraId="3BE57C28" w14:textId="77777777" w:rsidR="00D2230D" w:rsidRPr="00D2230D" w:rsidRDefault="00D2230D" w:rsidP="007201FC">
            <w:pPr>
              <w:spacing w:after="0" w:line="240" w:lineRule="auto"/>
              <w:jc w:val="right"/>
              <w:rPr>
                <w:rFonts w:ascii="Arial" w:hAnsi="Arial" w:cs="Arial"/>
                <w:b/>
                <w:bCs/>
                <w:color w:val="000000"/>
                <w:sz w:val="16"/>
                <w:szCs w:val="16"/>
              </w:rPr>
            </w:pPr>
          </w:p>
        </w:tc>
        <w:tc>
          <w:tcPr>
            <w:tcW w:w="870" w:type="dxa"/>
            <w:tcBorders>
              <w:top w:val="nil"/>
              <w:left w:val="nil"/>
              <w:bottom w:val="nil"/>
              <w:right w:val="nil"/>
            </w:tcBorders>
            <w:shd w:val="clear" w:color="000000" w:fill="E6E6E6"/>
            <w:noWrap/>
            <w:vAlign w:val="bottom"/>
            <w:hideMark/>
          </w:tcPr>
          <w:p w14:paraId="6DD8E7AA" w14:textId="5A968903" w:rsidR="00D2230D" w:rsidRPr="00D2230D" w:rsidRDefault="00D2230D" w:rsidP="007201FC">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353C5C7F" w14:textId="77777777" w:rsidR="00D2230D" w:rsidRPr="00D2230D" w:rsidRDefault="00D2230D" w:rsidP="007201FC">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67B531CD" w14:textId="77777777" w:rsidR="00D2230D" w:rsidRPr="00D2230D" w:rsidRDefault="00D2230D" w:rsidP="007201FC">
            <w:pPr>
              <w:spacing w:after="0" w:line="240" w:lineRule="auto"/>
              <w:jc w:val="right"/>
              <w:rPr>
                <w:rFonts w:ascii="Times New Roman" w:hAnsi="Times New Roman"/>
              </w:rPr>
            </w:pPr>
          </w:p>
        </w:tc>
        <w:tc>
          <w:tcPr>
            <w:tcW w:w="870" w:type="dxa"/>
            <w:tcBorders>
              <w:top w:val="nil"/>
              <w:left w:val="nil"/>
              <w:bottom w:val="nil"/>
              <w:right w:val="nil"/>
            </w:tcBorders>
            <w:shd w:val="clear" w:color="auto" w:fill="auto"/>
            <w:noWrap/>
            <w:vAlign w:val="bottom"/>
            <w:hideMark/>
          </w:tcPr>
          <w:p w14:paraId="2D44721F" w14:textId="77777777" w:rsidR="00D2230D" w:rsidRPr="00D2230D" w:rsidRDefault="00D2230D" w:rsidP="007201FC">
            <w:pPr>
              <w:spacing w:after="0" w:line="240" w:lineRule="auto"/>
              <w:jc w:val="right"/>
              <w:rPr>
                <w:rFonts w:ascii="Times New Roman" w:hAnsi="Times New Roman"/>
              </w:rPr>
            </w:pPr>
          </w:p>
        </w:tc>
      </w:tr>
      <w:tr w:rsidR="00D2230D" w:rsidRPr="00D2230D" w14:paraId="4C5B84FE" w14:textId="77777777" w:rsidTr="007E02F0">
        <w:trPr>
          <w:trHeight w:val="204"/>
        </w:trPr>
        <w:tc>
          <w:tcPr>
            <w:tcW w:w="3261" w:type="dxa"/>
            <w:tcBorders>
              <w:top w:val="nil"/>
              <w:left w:val="nil"/>
              <w:bottom w:val="nil"/>
              <w:right w:val="nil"/>
            </w:tcBorders>
            <w:shd w:val="clear" w:color="auto" w:fill="auto"/>
            <w:noWrap/>
            <w:vAlign w:val="center"/>
            <w:hideMark/>
          </w:tcPr>
          <w:p w14:paraId="269B453F" w14:textId="77777777" w:rsidR="00D2230D" w:rsidRPr="00D2230D" w:rsidRDefault="00D2230D" w:rsidP="007201FC">
            <w:pPr>
              <w:spacing w:after="0" w:line="240" w:lineRule="auto"/>
              <w:ind w:left="113"/>
              <w:jc w:val="left"/>
              <w:rPr>
                <w:rFonts w:ascii="Arial" w:hAnsi="Arial" w:cs="Arial"/>
                <w:b/>
                <w:bCs/>
                <w:color w:val="000000"/>
                <w:sz w:val="16"/>
                <w:szCs w:val="16"/>
              </w:rPr>
            </w:pPr>
            <w:r w:rsidRPr="00D2230D">
              <w:rPr>
                <w:rFonts w:ascii="Arial" w:hAnsi="Arial" w:cs="Arial"/>
                <w:b/>
                <w:bCs/>
                <w:color w:val="000000"/>
                <w:sz w:val="16"/>
                <w:szCs w:val="16"/>
              </w:rPr>
              <w:t>Cash used</w:t>
            </w:r>
          </w:p>
        </w:tc>
        <w:tc>
          <w:tcPr>
            <w:tcW w:w="869" w:type="dxa"/>
            <w:tcBorders>
              <w:top w:val="nil"/>
              <w:left w:val="nil"/>
              <w:bottom w:val="nil"/>
              <w:right w:val="nil"/>
            </w:tcBorders>
            <w:shd w:val="clear" w:color="auto" w:fill="auto"/>
            <w:noWrap/>
            <w:vAlign w:val="bottom"/>
            <w:hideMark/>
          </w:tcPr>
          <w:p w14:paraId="2DBC3B0F" w14:textId="77777777" w:rsidR="00D2230D" w:rsidRPr="00D2230D" w:rsidRDefault="00D2230D" w:rsidP="007201FC">
            <w:pPr>
              <w:spacing w:after="0" w:line="240" w:lineRule="auto"/>
              <w:ind w:firstLineChars="100" w:firstLine="160"/>
              <w:jc w:val="right"/>
              <w:rPr>
                <w:rFonts w:ascii="Arial" w:hAnsi="Arial" w:cs="Arial"/>
                <w:b/>
                <w:bCs/>
                <w:color w:val="000000"/>
                <w:sz w:val="16"/>
                <w:szCs w:val="16"/>
              </w:rPr>
            </w:pPr>
          </w:p>
        </w:tc>
        <w:tc>
          <w:tcPr>
            <w:tcW w:w="870" w:type="dxa"/>
            <w:tcBorders>
              <w:top w:val="nil"/>
              <w:left w:val="nil"/>
              <w:bottom w:val="nil"/>
              <w:right w:val="nil"/>
            </w:tcBorders>
            <w:shd w:val="clear" w:color="000000" w:fill="E6E6E6"/>
            <w:noWrap/>
            <w:vAlign w:val="bottom"/>
            <w:hideMark/>
          </w:tcPr>
          <w:p w14:paraId="293278A1" w14:textId="5C131CF1" w:rsidR="00D2230D" w:rsidRPr="00D2230D" w:rsidRDefault="00D2230D" w:rsidP="007201FC">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104A8B96" w14:textId="77777777" w:rsidR="00D2230D" w:rsidRPr="00D2230D" w:rsidRDefault="00D2230D" w:rsidP="007201FC">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16D9BDD4" w14:textId="77777777" w:rsidR="00D2230D" w:rsidRPr="00D2230D" w:rsidRDefault="00D2230D" w:rsidP="007201FC">
            <w:pPr>
              <w:spacing w:after="0" w:line="240" w:lineRule="auto"/>
              <w:jc w:val="right"/>
              <w:rPr>
                <w:rFonts w:ascii="Times New Roman" w:hAnsi="Times New Roman"/>
              </w:rPr>
            </w:pPr>
          </w:p>
        </w:tc>
        <w:tc>
          <w:tcPr>
            <w:tcW w:w="870" w:type="dxa"/>
            <w:tcBorders>
              <w:top w:val="nil"/>
              <w:left w:val="nil"/>
              <w:bottom w:val="nil"/>
              <w:right w:val="nil"/>
            </w:tcBorders>
            <w:shd w:val="clear" w:color="auto" w:fill="auto"/>
            <w:noWrap/>
            <w:vAlign w:val="bottom"/>
            <w:hideMark/>
          </w:tcPr>
          <w:p w14:paraId="3A543AAB" w14:textId="77777777" w:rsidR="00D2230D" w:rsidRPr="00D2230D" w:rsidRDefault="00D2230D" w:rsidP="007201FC">
            <w:pPr>
              <w:spacing w:after="0" w:line="240" w:lineRule="auto"/>
              <w:jc w:val="right"/>
              <w:rPr>
                <w:rFonts w:ascii="Times New Roman" w:hAnsi="Times New Roman"/>
              </w:rPr>
            </w:pPr>
          </w:p>
        </w:tc>
      </w:tr>
      <w:tr w:rsidR="004C3AF0" w:rsidRPr="00D2230D" w14:paraId="79F4A09B" w14:textId="77777777" w:rsidTr="007E02F0">
        <w:trPr>
          <w:trHeight w:val="204"/>
        </w:trPr>
        <w:tc>
          <w:tcPr>
            <w:tcW w:w="3261" w:type="dxa"/>
            <w:tcBorders>
              <w:top w:val="nil"/>
              <w:left w:val="nil"/>
              <w:bottom w:val="nil"/>
              <w:right w:val="nil"/>
            </w:tcBorders>
            <w:shd w:val="clear" w:color="auto" w:fill="auto"/>
            <w:vAlign w:val="bottom"/>
            <w:hideMark/>
          </w:tcPr>
          <w:p w14:paraId="6E09DA10" w14:textId="777777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Purchase of land, buildings, property, plant and equipment and intangibles</w:t>
            </w:r>
          </w:p>
        </w:tc>
        <w:tc>
          <w:tcPr>
            <w:tcW w:w="869" w:type="dxa"/>
            <w:tcBorders>
              <w:top w:val="nil"/>
              <w:left w:val="nil"/>
              <w:bottom w:val="nil"/>
              <w:right w:val="nil"/>
            </w:tcBorders>
            <w:shd w:val="clear" w:color="auto" w:fill="auto"/>
            <w:noWrap/>
            <w:vAlign w:val="bottom"/>
            <w:hideMark/>
          </w:tcPr>
          <w:p w14:paraId="0AFF9732" w14:textId="10C96BD3"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19,339</w:t>
            </w:r>
          </w:p>
        </w:tc>
        <w:tc>
          <w:tcPr>
            <w:tcW w:w="870" w:type="dxa"/>
            <w:tcBorders>
              <w:top w:val="nil"/>
              <w:left w:val="nil"/>
              <w:bottom w:val="nil"/>
              <w:right w:val="nil"/>
            </w:tcBorders>
            <w:shd w:val="clear" w:color="000000" w:fill="E6E6E6"/>
            <w:noWrap/>
            <w:vAlign w:val="bottom"/>
            <w:hideMark/>
          </w:tcPr>
          <w:p w14:paraId="0A58048D" w14:textId="1A3A2C09"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33,029</w:t>
            </w:r>
          </w:p>
        </w:tc>
        <w:tc>
          <w:tcPr>
            <w:tcW w:w="870" w:type="dxa"/>
            <w:tcBorders>
              <w:top w:val="nil"/>
              <w:left w:val="nil"/>
              <w:bottom w:val="nil"/>
              <w:right w:val="nil"/>
            </w:tcBorders>
            <w:shd w:val="clear" w:color="auto" w:fill="auto"/>
            <w:noWrap/>
            <w:vAlign w:val="bottom"/>
            <w:hideMark/>
          </w:tcPr>
          <w:p w14:paraId="6DB34F37" w14:textId="44B81974"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9,878</w:t>
            </w:r>
          </w:p>
        </w:tc>
        <w:tc>
          <w:tcPr>
            <w:tcW w:w="870" w:type="dxa"/>
            <w:tcBorders>
              <w:top w:val="nil"/>
              <w:left w:val="nil"/>
              <w:bottom w:val="nil"/>
              <w:right w:val="nil"/>
            </w:tcBorders>
            <w:shd w:val="clear" w:color="auto" w:fill="auto"/>
            <w:noWrap/>
            <w:vAlign w:val="bottom"/>
            <w:hideMark/>
          </w:tcPr>
          <w:p w14:paraId="12F2E173" w14:textId="65B55C38"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9,955</w:t>
            </w:r>
          </w:p>
        </w:tc>
        <w:tc>
          <w:tcPr>
            <w:tcW w:w="870" w:type="dxa"/>
            <w:tcBorders>
              <w:top w:val="nil"/>
              <w:left w:val="nil"/>
              <w:bottom w:val="nil"/>
              <w:right w:val="nil"/>
            </w:tcBorders>
            <w:shd w:val="clear" w:color="auto" w:fill="auto"/>
            <w:noWrap/>
            <w:vAlign w:val="bottom"/>
            <w:hideMark/>
          </w:tcPr>
          <w:p w14:paraId="0ABFC4FC" w14:textId="799FAB74"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10,169</w:t>
            </w:r>
          </w:p>
        </w:tc>
      </w:tr>
      <w:tr w:rsidR="004C3AF0" w:rsidRPr="00D2230D" w14:paraId="5BAC6D7E" w14:textId="77777777" w:rsidTr="007E02F0">
        <w:trPr>
          <w:trHeight w:val="204"/>
        </w:trPr>
        <w:tc>
          <w:tcPr>
            <w:tcW w:w="3261" w:type="dxa"/>
            <w:tcBorders>
              <w:top w:val="nil"/>
              <w:left w:val="nil"/>
              <w:bottom w:val="nil"/>
              <w:right w:val="nil"/>
            </w:tcBorders>
            <w:shd w:val="clear" w:color="auto" w:fill="auto"/>
            <w:noWrap/>
            <w:vAlign w:val="center"/>
            <w:hideMark/>
          </w:tcPr>
          <w:p w14:paraId="38C248D4" w14:textId="77777777" w:rsidR="004C3AF0" w:rsidRPr="00D2230D" w:rsidRDefault="004C3AF0" w:rsidP="004C3AF0">
            <w:pPr>
              <w:spacing w:after="0" w:line="240" w:lineRule="auto"/>
              <w:ind w:left="113"/>
              <w:jc w:val="left"/>
              <w:rPr>
                <w:rFonts w:ascii="Arial" w:hAnsi="Arial" w:cs="Arial"/>
                <w:b/>
                <w:bCs/>
                <w:i/>
                <w:iCs/>
                <w:color w:val="000000"/>
                <w:sz w:val="16"/>
                <w:szCs w:val="16"/>
              </w:rPr>
            </w:pPr>
            <w:r w:rsidRPr="00D2230D">
              <w:rPr>
                <w:rFonts w:ascii="Arial" w:hAnsi="Arial" w:cs="Arial"/>
                <w:b/>
                <w:bCs/>
                <w:i/>
                <w:iCs/>
                <w:color w:val="000000"/>
                <w:sz w:val="16"/>
                <w:szCs w:val="16"/>
              </w:rPr>
              <w:t>Total cash used</w:t>
            </w:r>
          </w:p>
        </w:tc>
        <w:tc>
          <w:tcPr>
            <w:tcW w:w="869" w:type="dxa"/>
            <w:tcBorders>
              <w:top w:val="single" w:sz="4" w:space="0" w:color="000000"/>
              <w:left w:val="nil"/>
              <w:bottom w:val="single" w:sz="4" w:space="0" w:color="000000"/>
              <w:right w:val="nil"/>
            </w:tcBorders>
            <w:shd w:val="clear" w:color="auto" w:fill="auto"/>
            <w:noWrap/>
            <w:vAlign w:val="bottom"/>
            <w:hideMark/>
          </w:tcPr>
          <w:p w14:paraId="1070C3DC" w14:textId="7D817C8B"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19,339</w:t>
            </w:r>
          </w:p>
        </w:tc>
        <w:tc>
          <w:tcPr>
            <w:tcW w:w="870" w:type="dxa"/>
            <w:tcBorders>
              <w:top w:val="single" w:sz="4" w:space="0" w:color="000000"/>
              <w:left w:val="nil"/>
              <w:bottom w:val="single" w:sz="4" w:space="0" w:color="000000"/>
              <w:right w:val="nil"/>
            </w:tcBorders>
            <w:shd w:val="clear" w:color="000000" w:fill="E6E6E6"/>
            <w:noWrap/>
            <w:vAlign w:val="bottom"/>
            <w:hideMark/>
          </w:tcPr>
          <w:p w14:paraId="51169667" w14:textId="6B93E6FD"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33,029</w:t>
            </w:r>
          </w:p>
        </w:tc>
        <w:tc>
          <w:tcPr>
            <w:tcW w:w="870" w:type="dxa"/>
            <w:tcBorders>
              <w:top w:val="single" w:sz="4" w:space="0" w:color="000000"/>
              <w:left w:val="nil"/>
              <w:bottom w:val="single" w:sz="4" w:space="0" w:color="000000"/>
              <w:right w:val="nil"/>
            </w:tcBorders>
            <w:shd w:val="clear" w:color="auto" w:fill="auto"/>
            <w:noWrap/>
            <w:vAlign w:val="bottom"/>
            <w:hideMark/>
          </w:tcPr>
          <w:p w14:paraId="6A94D232" w14:textId="241179EA"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9,878</w:t>
            </w:r>
          </w:p>
        </w:tc>
        <w:tc>
          <w:tcPr>
            <w:tcW w:w="870" w:type="dxa"/>
            <w:tcBorders>
              <w:top w:val="single" w:sz="4" w:space="0" w:color="000000"/>
              <w:left w:val="nil"/>
              <w:bottom w:val="single" w:sz="4" w:space="0" w:color="000000"/>
              <w:right w:val="nil"/>
            </w:tcBorders>
            <w:shd w:val="clear" w:color="auto" w:fill="auto"/>
            <w:noWrap/>
            <w:vAlign w:val="bottom"/>
            <w:hideMark/>
          </w:tcPr>
          <w:p w14:paraId="6A50ADC4" w14:textId="4D7EBF2D"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9,955</w:t>
            </w:r>
          </w:p>
        </w:tc>
        <w:tc>
          <w:tcPr>
            <w:tcW w:w="870" w:type="dxa"/>
            <w:tcBorders>
              <w:top w:val="single" w:sz="4" w:space="0" w:color="000000"/>
              <w:left w:val="nil"/>
              <w:bottom w:val="single" w:sz="4" w:space="0" w:color="000000"/>
              <w:right w:val="nil"/>
            </w:tcBorders>
            <w:shd w:val="clear" w:color="auto" w:fill="auto"/>
            <w:noWrap/>
            <w:vAlign w:val="bottom"/>
            <w:hideMark/>
          </w:tcPr>
          <w:p w14:paraId="34271DBB" w14:textId="127911E5"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10,169</w:t>
            </w:r>
          </w:p>
        </w:tc>
      </w:tr>
      <w:tr w:rsidR="004C3AF0" w:rsidRPr="00D2230D" w14:paraId="1DE15CD4" w14:textId="77777777" w:rsidTr="007E02F0">
        <w:trPr>
          <w:trHeight w:val="204"/>
        </w:trPr>
        <w:tc>
          <w:tcPr>
            <w:tcW w:w="3261" w:type="dxa"/>
            <w:tcBorders>
              <w:top w:val="nil"/>
              <w:left w:val="nil"/>
              <w:bottom w:val="nil"/>
              <w:right w:val="nil"/>
            </w:tcBorders>
            <w:shd w:val="clear" w:color="auto" w:fill="auto"/>
            <w:vAlign w:val="center"/>
            <w:hideMark/>
          </w:tcPr>
          <w:p w14:paraId="00F15D75" w14:textId="6B5B7CB6" w:rsidR="004C3AF0" w:rsidRPr="00D2230D" w:rsidRDefault="004C3AF0" w:rsidP="004C3AF0">
            <w:pPr>
              <w:spacing w:after="0" w:line="240" w:lineRule="auto"/>
              <w:jc w:val="left"/>
              <w:rPr>
                <w:rFonts w:ascii="Arial" w:hAnsi="Arial" w:cs="Arial"/>
                <w:b/>
                <w:bCs/>
                <w:color w:val="000000"/>
                <w:sz w:val="16"/>
                <w:szCs w:val="16"/>
              </w:rPr>
            </w:pPr>
            <w:r w:rsidRPr="00D2230D">
              <w:rPr>
                <w:rFonts w:ascii="Arial" w:hAnsi="Arial" w:cs="Arial"/>
                <w:b/>
                <w:bCs/>
                <w:color w:val="000000"/>
                <w:sz w:val="16"/>
                <w:szCs w:val="16"/>
              </w:rPr>
              <w:t>Net cash from/(used by)</w:t>
            </w:r>
            <w:r>
              <w:rPr>
                <w:rFonts w:ascii="Arial" w:hAnsi="Arial" w:cs="Arial"/>
                <w:b/>
                <w:bCs/>
                <w:color w:val="000000"/>
                <w:sz w:val="16"/>
                <w:szCs w:val="16"/>
              </w:rPr>
              <w:t xml:space="preserve"> </w:t>
            </w:r>
            <w:r w:rsidRPr="00D2230D">
              <w:rPr>
                <w:rFonts w:ascii="Arial" w:hAnsi="Arial" w:cs="Arial"/>
                <w:b/>
                <w:bCs/>
                <w:color w:val="000000"/>
                <w:sz w:val="16"/>
                <w:szCs w:val="16"/>
              </w:rPr>
              <w:t>investing activities</w:t>
            </w:r>
          </w:p>
        </w:tc>
        <w:tc>
          <w:tcPr>
            <w:tcW w:w="869" w:type="dxa"/>
            <w:tcBorders>
              <w:top w:val="nil"/>
              <w:left w:val="nil"/>
              <w:bottom w:val="single" w:sz="4" w:space="0" w:color="auto"/>
              <w:right w:val="nil"/>
            </w:tcBorders>
            <w:shd w:val="clear" w:color="auto" w:fill="auto"/>
            <w:noWrap/>
            <w:vAlign w:val="bottom"/>
            <w:hideMark/>
          </w:tcPr>
          <w:p w14:paraId="469B0D72" w14:textId="6C871F75"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(19,339)</w:t>
            </w:r>
          </w:p>
        </w:tc>
        <w:tc>
          <w:tcPr>
            <w:tcW w:w="870" w:type="dxa"/>
            <w:tcBorders>
              <w:top w:val="nil"/>
              <w:left w:val="nil"/>
              <w:bottom w:val="single" w:sz="4" w:space="0" w:color="auto"/>
              <w:right w:val="nil"/>
            </w:tcBorders>
            <w:shd w:val="clear" w:color="000000" w:fill="E6E6E6"/>
            <w:noWrap/>
            <w:vAlign w:val="bottom"/>
            <w:hideMark/>
          </w:tcPr>
          <w:p w14:paraId="455FB43E" w14:textId="12D1D9E3"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(33,029)</w:t>
            </w:r>
          </w:p>
        </w:tc>
        <w:tc>
          <w:tcPr>
            <w:tcW w:w="870" w:type="dxa"/>
            <w:tcBorders>
              <w:top w:val="nil"/>
              <w:left w:val="nil"/>
              <w:bottom w:val="single" w:sz="4" w:space="0" w:color="auto"/>
              <w:right w:val="nil"/>
            </w:tcBorders>
            <w:shd w:val="clear" w:color="auto" w:fill="auto"/>
            <w:noWrap/>
            <w:vAlign w:val="bottom"/>
            <w:hideMark/>
          </w:tcPr>
          <w:p w14:paraId="03928E10" w14:textId="086DC725"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(9,878)</w:t>
            </w:r>
          </w:p>
        </w:tc>
        <w:tc>
          <w:tcPr>
            <w:tcW w:w="870" w:type="dxa"/>
            <w:tcBorders>
              <w:top w:val="nil"/>
              <w:left w:val="nil"/>
              <w:bottom w:val="single" w:sz="4" w:space="0" w:color="auto"/>
              <w:right w:val="nil"/>
            </w:tcBorders>
            <w:shd w:val="clear" w:color="auto" w:fill="auto"/>
            <w:noWrap/>
            <w:vAlign w:val="bottom"/>
            <w:hideMark/>
          </w:tcPr>
          <w:p w14:paraId="28609FA1" w14:textId="493AACE1"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(9,955)</w:t>
            </w:r>
          </w:p>
        </w:tc>
        <w:tc>
          <w:tcPr>
            <w:tcW w:w="870" w:type="dxa"/>
            <w:tcBorders>
              <w:top w:val="nil"/>
              <w:left w:val="nil"/>
              <w:bottom w:val="single" w:sz="4" w:space="0" w:color="auto"/>
              <w:right w:val="nil"/>
            </w:tcBorders>
            <w:shd w:val="clear" w:color="auto" w:fill="auto"/>
            <w:noWrap/>
            <w:vAlign w:val="bottom"/>
            <w:hideMark/>
          </w:tcPr>
          <w:p w14:paraId="1DD8B696" w14:textId="08C336E4"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(10,169)</w:t>
            </w:r>
          </w:p>
        </w:tc>
      </w:tr>
      <w:tr w:rsidR="004C3AF0" w:rsidRPr="00D2230D" w14:paraId="00A3EC74" w14:textId="77777777" w:rsidTr="007E02F0">
        <w:trPr>
          <w:trHeight w:val="204"/>
        </w:trPr>
        <w:tc>
          <w:tcPr>
            <w:tcW w:w="3261" w:type="dxa"/>
            <w:tcBorders>
              <w:top w:val="nil"/>
              <w:left w:val="nil"/>
              <w:bottom w:val="nil"/>
              <w:right w:val="nil"/>
            </w:tcBorders>
            <w:shd w:val="clear" w:color="auto" w:fill="auto"/>
            <w:noWrap/>
            <w:vAlign w:val="center"/>
            <w:hideMark/>
          </w:tcPr>
          <w:p w14:paraId="69B2FDAA" w14:textId="77777777" w:rsidR="004C3AF0" w:rsidRPr="00D2230D" w:rsidRDefault="004C3AF0" w:rsidP="004C3AF0">
            <w:pPr>
              <w:spacing w:after="0" w:line="240" w:lineRule="auto"/>
              <w:jc w:val="left"/>
              <w:rPr>
                <w:rFonts w:ascii="Arial" w:hAnsi="Arial" w:cs="Arial"/>
                <w:b/>
                <w:bCs/>
                <w:color w:val="000000"/>
                <w:sz w:val="16"/>
                <w:szCs w:val="16"/>
              </w:rPr>
            </w:pPr>
            <w:r w:rsidRPr="00D2230D">
              <w:rPr>
                <w:rFonts w:ascii="Arial" w:hAnsi="Arial" w:cs="Arial"/>
                <w:b/>
                <w:bCs/>
                <w:color w:val="000000"/>
                <w:sz w:val="16"/>
                <w:szCs w:val="16"/>
              </w:rPr>
              <w:t>FINANCING ACTIVITIES</w:t>
            </w:r>
          </w:p>
        </w:tc>
        <w:tc>
          <w:tcPr>
            <w:tcW w:w="869" w:type="dxa"/>
            <w:tcBorders>
              <w:top w:val="nil"/>
              <w:left w:val="nil"/>
              <w:bottom w:val="nil"/>
              <w:right w:val="nil"/>
            </w:tcBorders>
            <w:shd w:val="clear" w:color="auto" w:fill="auto"/>
            <w:noWrap/>
            <w:vAlign w:val="bottom"/>
            <w:hideMark/>
          </w:tcPr>
          <w:p w14:paraId="12BA5BFF" w14:textId="77777777" w:rsidR="004C3AF0" w:rsidRPr="00D2230D" w:rsidRDefault="004C3AF0" w:rsidP="004C3AF0">
            <w:pPr>
              <w:spacing w:after="0" w:line="240" w:lineRule="auto"/>
              <w:jc w:val="right"/>
              <w:rPr>
                <w:rFonts w:ascii="Arial" w:hAnsi="Arial" w:cs="Arial"/>
                <w:b/>
                <w:bCs/>
                <w:color w:val="000000"/>
                <w:sz w:val="16"/>
                <w:szCs w:val="16"/>
              </w:rPr>
            </w:pPr>
          </w:p>
        </w:tc>
        <w:tc>
          <w:tcPr>
            <w:tcW w:w="870" w:type="dxa"/>
            <w:tcBorders>
              <w:top w:val="nil"/>
              <w:left w:val="nil"/>
              <w:bottom w:val="nil"/>
              <w:right w:val="nil"/>
            </w:tcBorders>
            <w:shd w:val="clear" w:color="000000" w:fill="E6E6E6"/>
            <w:noWrap/>
            <w:vAlign w:val="bottom"/>
            <w:hideMark/>
          </w:tcPr>
          <w:p w14:paraId="1267F512" w14:textId="49B02AEC" w:rsidR="004C3AF0" w:rsidRPr="00D2230D" w:rsidRDefault="004C3AF0" w:rsidP="004C3AF0">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39316631" w14:textId="77777777" w:rsidR="004C3AF0" w:rsidRPr="00D2230D" w:rsidRDefault="004C3AF0" w:rsidP="004C3AF0">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372A378C" w14:textId="77777777" w:rsidR="004C3AF0" w:rsidRPr="00D2230D" w:rsidRDefault="004C3AF0" w:rsidP="004C3AF0">
            <w:pPr>
              <w:spacing w:after="0" w:line="240" w:lineRule="auto"/>
              <w:jc w:val="right"/>
              <w:rPr>
                <w:rFonts w:ascii="Times New Roman" w:hAnsi="Times New Roman"/>
              </w:rPr>
            </w:pPr>
          </w:p>
        </w:tc>
        <w:tc>
          <w:tcPr>
            <w:tcW w:w="870" w:type="dxa"/>
            <w:tcBorders>
              <w:top w:val="nil"/>
              <w:left w:val="nil"/>
              <w:bottom w:val="nil"/>
              <w:right w:val="nil"/>
            </w:tcBorders>
            <w:shd w:val="clear" w:color="auto" w:fill="auto"/>
            <w:noWrap/>
            <w:vAlign w:val="bottom"/>
            <w:hideMark/>
          </w:tcPr>
          <w:p w14:paraId="69A1D637" w14:textId="77777777" w:rsidR="004C3AF0" w:rsidRPr="00D2230D" w:rsidRDefault="004C3AF0" w:rsidP="004C3AF0">
            <w:pPr>
              <w:spacing w:after="0" w:line="240" w:lineRule="auto"/>
              <w:jc w:val="right"/>
              <w:rPr>
                <w:rFonts w:ascii="Times New Roman" w:hAnsi="Times New Roman"/>
              </w:rPr>
            </w:pPr>
          </w:p>
        </w:tc>
      </w:tr>
      <w:tr w:rsidR="004C3AF0" w:rsidRPr="00D2230D" w14:paraId="3E6EDC92" w14:textId="77777777" w:rsidTr="007E02F0">
        <w:trPr>
          <w:trHeight w:val="204"/>
        </w:trPr>
        <w:tc>
          <w:tcPr>
            <w:tcW w:w="3261" w:type="dxa"/>
            <w:tcBorders>
              <w:top w:val="nil"/>
              <w:left w:val="nil"/>
              <w:bottom w:val="nil"/>
              <w:right w:val="nil"/>
            </w:tcBorders>
            <w:shd w:val="clear" w:color="auto" w:fill="auto"/>
            <w:noWrap/>
            <w:vAlign w:val="center"/>
            <w:hideMark/>
          </w:tcPr>
          <w:p w14:paraId="2BB2C3E8" w14:textId="77777777" w:rsidR="004C3AF0" w:rsidRPr="00D2230D" w:rsidRDefault="004C3AF0" w:rsidP="004C3AF0">
            <w:pPr>
              <w:spacing w:after="0" w:line="240" w:lineRule="auto"/>
              <w:ind w:left="113"/>
              <w:jc w:val="left"/>
              <w:rPr>
                <w:rFonts w:ascii="Arial" w:hAnsi="Arial" w:cs="Arial"/>
                <w:b/>
                <w:bCs/>
                <w:color w:val="000000"/>
                <w:sz w:val="16"/>
                <w:szCs w:val="16"/>
              </w:rPr>
            </w:pPr>
            <w:r w:rsidRPr="00D2230D">
              <w:rPr>
                <w:rFonts w:ascii="Arial" w:hAnsi="Arial" w:cs="Arial"/>
                <w:b/>
                <w:bCs/>
                <w:color w:val="000000"/>
                <w:sz w:val="16"/>
                <w:szCs w:val="16"/>
              </w:rPr>
              <w:t>Cash received</w:t>
            </w:r>
          </w:p>
        </w:tc>
        <w:tc>
          <w:tcPr>
            <w:tcW w:w="869" w:type="dxa"/>
            <w:tcBorders>
              <w:top w:val="nil"/>
              <w:left w:val="nil"/>
              <w:bottom w:val="nil"/>
              <w:right w:val="nil"/>
            </w:tcBorders>
            <w:shd w:val="clear" w:color="auto" w:fill="auto"/>
            <w:noWrap/>
            <w:vAlign w:val="bottom"/>
            <w:hideMark/>
          </w:tcPr>
          <w:p w14:paraId="041263BE" w14:textId="77777777" w:rsidR="004C3AF0" w:rsidRPr="00D2230D" w:rsidRDefault="004C3AF0" w:rsidP="004C3AF0">
            <w:pPr>
              <w:spacing w:after="0" w:line="240" w:lineRule="auto"/>
              <w:ind w:firstLineChars="100" w:firstLine="160"/>
              <w:jc w:val="right"/>
              <w:rPr>
                <w:rFonts w:ascii="Arial" w:hAnsi="Arial" w:cs="Arial"/>
                <w:b/>
                <w:bCs/>
                <w:color w:val="000000"/>
                <w:sz w:val="16"/>
                <w:szCs w:val="16"/>
              </w:rPr>
            </w:pPr>
          </w:p>
        </w:tc>
        <w:tc>
          <w:tcPr>
            <w:tcW w:w="870" w:type="dxa"/>
            <w:tcBorders>
              <w:top w:val="nil"/>
              <w:left w:val="nil"/>
              <w:bottom w:val="nil"/>
              <w:right w:val="nil"/>
            </w:tcBorders>
            <w:shd w:val="clear" w:color="000000" w:fill="E6E6E6"/>
            <w:noWrap/>
            <w:vAlign w:val="bottom"/>
            <w:hideMark/>
          </w:tcPr>
          <w:p w14:paraId="50892170" w14:textId="066B8A70" w:rsidR="004C3AF0" w:rsidRPr="00D2230D" w:rsidRDefault="004C3AF0" w:rsidP="004C3AF0">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37D4AABB" w14:textId="77777777" w:rsidR="004C3AF0" w:rsidRPr="00D2230D" w:rsidRDefault="004C3AF0" w:rsidP="004C3AF0">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74A68C6A" w14:textId="77777777" w:rsidR="004C3AF0" w:rsidRPr="00D2230D" w:rsidRDefault="004C3AF0" w:rsidP="004C3AF0">
            <w:pPr>
              <w:spacing w:after="0" w:line="240" w:lineRule="auto"/>
              <w:jc w:val="right"/>
              <w:rPr>
                <w:rFonts w:ascii="Times New Roman" w:hAnsi="Times New Roman"/>
              </w:rPr>
            </w:pPr>
          </w:p>
        </w:tc>
        <w:tc>
          <w:tcPr>
            <w:tcW w:w="870" w:type="dxa"/>
            <w:tcBorders>
              <w:top w:val="nil"/>
              <w:left w:val="nil"/>
              <w:bottom w:val="nil"/>
              <w:right w:val="nil"/>
            </w:tcBorders>
            <w:shd w:val="clear" w:color="auto" w:fill="auto"/>
            <w:noWrap/>
            <w:vAlign w:val="bottom"/>
            <w:hideMark/>
          </w:tcPr>
          <w:p w14:paraId="3465BF76" w14:textId="77777777" w:rsidR="004C3AF0" w:rsidRPr="00D2230D" w:rsidRDefault="004C3AF0" w:rsidP="004C3AF0">
            <w:pPr>
              <w:spacing w:after="0" w:line="240" w:lineRule="auto"/>
              <w:jc w:val="right"/>
              <w:rPr>
                <w:rFonts w:ascii="Times New Roman" w:hAnsi="Times New Roman"/>
              </w:rPr>
            </w:pPr>
          </w:p>
        </w:tc>
      </w:tr>
      <w:tr w:rsidR="004C3AF0" w:rsidRPr="00D2230D" w14:paraId="50E7EBC9" w14:textId="77777777" w:rsidTr="007E02F0">
        <w:trPr>
          <w:trHeight w:val="204"/>
        </w:trPr>
        <w:tc>
          <w:tcPr>
            <w:tcW w:w="3261" w:type="dxa"/>
            <w:tcBorders>
              <w:top w:val="nil"/>
              <w:left w:val="nil"/>
              <w:bottom w:val="nil"/>
              <w:right w:val="nil"/>
            </w:tcBorders>
            <w:shd w:val="clear" w:color="auto" w:fill="auto"/>
            <w:noWrap/>
            <w:vAlign w:val="center"/>
            <w:hideMark/>
          </w:tcPr>
          <w:p w14:paraId="3E10AA8D" w14:textId="777777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Contributed equity</w:t>
            </w:r>
          </w:p>
        </w:tc>
        <w:tc>
          <w:tcPr>
            <w:tcW w:w="869" w:type="dxa"/>
            <w:tcBorders>
              <w:top w:val="nil"/>
              <w:left w:val="nil"/>
              <w:bottom w:val="nil"/>
              <w:right w:val="nil"/>
            </w:tcBorders>
            <w:shd w:val="clear" w:color="auto" w:fill="auto"/>
            <w:noWrap/>
            <w:vAlign w:val="bottom"/>
            <w:hideMark/>
          </w:tcPr>
          <w:p w14:paraId="206BB113" w14:textId="66AA90F9"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12,981</w:t>
            </w:r>
          </w:p>
        </w:tc>
        <w:tc>
          <w:tcPr>
            <w:tcW w:w="870" w:type="dxa"/>
            <w:tcBorders>
              <w:top w:val="nil"/>
              <w:left w:val="nil"/>
              <w:bottom w:val="nil"/>
              <w:right w:val="nil"/>
            </w:tcBorders>
            <w:shd w:val="clear" w:color="000000" w:fill="E6E6E6"/>
            <w:noWrap/>
            <w:vAlign w:val="bottom"/>
            <w:hideMark/>
          </w:tcPr>
          <w:p w14:paraId="5E74F52D" w14:textId="388899B1"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20,989</w:t>
            </w:r>
          </w:p>
        </w:tc>
        <w:tc>
          <w:tcPr>
            <w:tcW w:w="870" w:type="dxa"/>
            <w:tcBorders>
              <w:top w:val="nil"/>
              <w:left w:val="nil"/>
              <w:bottom w:val="nil"/>
              <w:right w:val="nil"/>
            </w:tcBorders>
            <w:shd w:val="clear" w:color="auto" w:fill="auto"/>
            <w:noWrap/>
            <w:vAlign w:val="bottom"/>
            <w:hideMark/>
          </w:tcPr>
          <w:p w14:paraId="47EE9FEE" w14:textId="6B7CF117"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9,878</w:t>
            </w:r>
          </w:p>
        </w:tc>
        <w:tc>
          <w:tcPr>
            <w:tcW w:w="870" w:type="dxa"/>
            <w:tcBorders>
              <w:top w:val="nil"/>
              <w:left w:val="nil"/>
              <w:bottom w:val="nil"/>
              <w:right w:val="nil"/>
            </w:tcBorders>
            <w:shd w:val="clear" w:color="auto" w:fill="auto"/>
            <w:noWrap/>
            <w:vAlign w:val="bottom"/>
            <w:hideMark/>
          </w:tcPr>
          <w:p w14:paraId="287A4C79" w14:textId="3339FEBC"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9,955</w:t>
            </w:r>
          </w:p>
        </w:tc>
        <w:tc>
          <w:tcPr>
            <w:tcW w:w="870" w:type="dxa"/>
            <w:tcBorders>
              <w:top w:val="nil"/>
              <w:left w:val="nil"/>
              <w:bottom w:val="nil"/>
              <w:right w:val="nil"/>
            </w:tcBorders>
            <w:shd w:val="clear" w:color="auto" w:fill="auto"/>
            <w:noWrap/>
            <w:vAlign w:val="bottom"/>
            <w:hideMark/>
          </w:tcPr>
          <w:p w14:paraId="76D47DB8" w14:textId="52EE440B"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10,169</w:t>
            </w:r>
          </w:p>
        </w:tc>
      </w:tr>
      <w:tr w:rsidR="004C3AF0" w:rsidRPr="00D2230D" w14:paraId="6C2D7953" w14:textId="77777777" w:rsidTr="007E02F0">
        <w:trPr>
          <w:trHeight w:val="204"/>
        </w:trPr>
        <w:tc>
          <w:tcPr>
            <w:tcW w:w="3261" w:type="dxa"/>
            <w:tcBorders>
              <w:top w:val="nil"/>
              <w:left w:val="nil"/>
              <w:bottom w:val="nil"/>
              <w:right w:val="nil"/>
            </w:tcBorders>
            <w:shd w:val="clear" w:color="auto" w:fill="auto"/>
            <w:noWrap/>
            <w:vAlign w:val="center"/>
            <w:hideMark/>
          </w:tcPr>
          <w:p w14:paraId="6C4D663E" w14:textId="77777777" w:rsidR="004C3AF0" w:rsidRPr="00D2230D" w:rsidRDefault="004C3AF0" w:rsidP="004C3AF0">
            <w:pPr>
              <w:spacing w:after="0" w:line="240" w:lineRule="auto"/>
              <w:ind w:firstLineChars="100" w:firstLine="160"/>
              <w:jc w:val="left"/>
              <w:rPr>
                <w:rFonts w:ascii="Arial" w:hAnsi="Arial" w:cs="Arial"/>
                <w:b/>
                <w:bCs/>
                <w:i/>
                <w:iCs/>
                <w:color w:val="000000"/>
                <w:sz w:val="16"/>
                <w:szCs w:val="16"/>
              </w:rPr>
            </w:pPr>
            <w:r w:rsidRPr="00D2230D">
              <w:rPr>
                <w:rFonts w:ascii="Arial" w:hAnsi="Arial" w:cs="Arial"/>
                <w:b/>
                <w:bCs/>
                <w:i/>
                <w:iCs/>
                <w:color w:val="000000"/>
                <w:sz w:val="16"/>
                <w:szCs w:val="16"/>
              </w:rPr>
              <w:t>Total cash received</w:t>
            </w:r>
          </w:p>
        </w:tc>
        <w:tc>
          <w:tcPr>
            <w:tcW w:w="869" w:type="dxa"/>
            <w:tcBorders>
              <w:top w:val="single" w:sz="4" w:space="0" w:color="000000"/>
              <w:left w:val="nil"/>
              <w:bottom w:val="single" w:sz="4" w:space="0" w:color="000000"/>
              <w:right w:val="nil"/>
            </w:tcBorders>
            <w:shd w:val="clear" w:color="auto" w:fill="auto"/>
            <w:noWrap/>
            <w:vAlign w:val="bottom"/>
            <w:hideMark/>
          </w:tcPr>
          <w:p w14:paraId="70584BC3" w14:textId="19B53A5B"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12,981</w:t>
            </w:r>
          </w:p>
        </w:tc>
        <w:tc>
          <w:tcPr>
            <w:tcW w:w="870" w:type="dxa"/>
            <w:tcBorders>
              <w:top w:val="single" w:sz="4" w:space="0" w:color="000000"/>
              <w:left w:val="nil"/>
              <w:bottom w:val="single" w:sz="4" w:space="0" w:color="000000"/>
              <w:right w:val="nil"/>
            </w:tcBorders>
            <w:shd w:val="clear" w:color="000000" w:fill="E6E6E6"/>
            <w:noWrap/>
            <w:vAlign w:val="bottom"/>
            <w:hideMark/>
          </w:tcPr>
          <w:p w14:paraId="065F5FC5" w14:textId="588C7F29"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20,989</w:t>
            </w:r>
          </w:p>
        </w:tc>
        <w:tc>
          <w:tcPr>
            <w:tcW w:w="870" w:type="dxa"/>
            <w:tcBorders>
              <w:top w:val="single" w:sz="4" w:space="0" w:color="000000"/>
              <w:left w:val="nil"/>
              <w:bottom w:val="single" w:sz="4" w:space="0" w:color="000000"/>
              <w:right w:val="nil"/>
            </w:tcBorders>
            <w:shd w:val="clear" w:color="auto" w:fill="auto"/>
            <w:noWrap/>
            <w:vAlign w:val="bottom"/>
            <w:hideMark/>
          </w:tcPr>
          <w:p w14:paraId="13E9B9A6" w14:textId="20F73A63"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9,878</w:t>
            </w:r>
          </w:p>
        </w:tc>
        <w:tc>
          <w:tcPr>
            <w:tcW w:w="870" w:type="dxa"/>
            <w:tcBorders>
              <w:top w:val="single" w:sz="4" w:space="0" w:color="000000"/>
              <w:left w:val="nil"/>
              <w:bottom w:val="single" w:sz="4" w:space="0" w:color="000000"/>
              <w:right w:val="nil"/>
            </w:tcBorders>
            <w:shd w:val="clear" w:color="auto" w:fill="auto"/>
            <w:noWrap/>
            <w:vAlign w:val="bottom"/>
            <w:hideMark/>
          </w:tcPr>
          <w:p w14:paraId="0883C7CF" w14:textId="4787B06C"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9,955</w:t>
            </w:r>
          </w:p>
        </w:tc>
        <w:tc>
          <w:tcPr>
            <w:tcW w:w="870" w:type="dxa"/>
            <w:tcBorders>
              <w:top w:val="single" w:sz="4" w:space="0" w:color="000000"/>
              <w:left w:val="nil"/>
              <w:bottom w:val="single" w:sz="4" w:space="0" w:color="000000"/>
              <w:right w:val="nil"/>
            </w:tcBorders>
            <w:shd w:val="clear" w:color="auto" w:fill="auto"/>
            <w:noWrap/>
            <w:vAlign w:val="bottom"/>
            <w:hideMark/>
          </w:tcPr>
          <w:p w14:paraId="42951402" w14:textId="3B87EB83"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10,169</w:t>
            </w:r>
          </w:p>
        </w:tc>
      </w:tr>
      <w:tr w:rsidR="004C3AF0" w:rsidRPr="00D2230D" w14:paraId="69BCED35" w14:textId="77777777" w:rsidTr="007E02F0">
        <w:trPr>
          <w:trHeight w:val="204"/>
        </w:trPr>
        <w:tc>
          <w:tcPr>
            <w:tcW w:w="3261" w:type="dxa"/>
            <w:tcBorders>
              <w:top w:val="nil"/>
              <w:left w:val="nil"/>
              <w:bottom w:val="nil"/>
              <w:right w:val="nil"/>
            </w:tcBorders>
            <w:shd w:val="clear" w:color="auto" w:fill="auto"/>
            <w:noWrap/>
            <w:vAlign w:val="center"/>
            <w:hideMark/>
          </w:tcPr>
          <w:p w14:paraId="279454DF" w14:textId="77777777" w:rsidR="004C3AF0" w:rsidRPr="00D2230D" w:rsidRDefault="004C3AF0" w:rsidP="004C3AF0">
            <w:pPr>
              <w:spacing w:after="0" w:line="240" w:lineRule="auto"/>
              <w:ind w:left="113"/>
              <w:jc w:val="left"/>
              <w:rPr>
                <w:rFonts w:ascii="Arial" w:hAnsi="Arial" w:cs="Arial"/>
                <w:b/>
                <w:bCs/>
                <w:color w:val="000000"/>
                <w:sz w:val="16"/>
                <w:szCs w:val="16"/>
              </w:rPr>
            </w:pPr>
            <w:r w:rsidRPr="00D2230D">
              <w:rPr>
                <w:rFonts w:ascii="Arial" w:hAnsi="Arial" w:cs="Arial"/>
                <w:b/>
                <w:bCs/>
                <w:color w:val="000000"/>
                <w:sz w:val="16"/>
                <w:szCs w:val="16"/>
              </w:rPr>
              <w:t>Cash used</w:t>
            </w:r>
          </w:p>
        </w:tc>
        <w:tc>
          <w:tcPr>
            <w:tcW w:w="869" w:type="dxa"/>
            <w:tcBorders>
              <w:top w:val="nil"/>
              <w:left w:val="nil"/>
              <w:bottom w:val="nil"/>
              <w:right w:val="nil"/>
            </w:tcBorders>
            <w:shd w:val="clear" w:color="auto" w:fill="auto"/>
            <w:noWrap/>
            <w:vAlign w:val="bottom"/>
            <w:hideMark/>
          </w:tcPr>
          <w:p w14:paraId="0088C243" w14:textId="77777777" w:rsidR="004C3AF0" w:rsidRPr="00D2230D" w:rsidRDefault="004C3AF0" w:rsidP="004C3AF0">
            <w:pPr>
              <w:spacing w:after="0" w:line="240" w:lineRule="auto"/>
              <w:ind w:firstLineChars="100" w:firstLine="160"/>
              <w:jc w:val="right"/>
              <w:rPr>
                <w:rFonts w:ascii="Arial" w:hAnsi="Arial" w:cs="Arial"/>
                <w:b/>
                <w:bCs/>
                <w:color w:val="000000"/>
                <w:sz w:val="16"/>
                <w:szCs w:val="16"/>
              </w:rPr>
            </w:pPr>
          </w:p>
        </w:tc>
        <w:tc>
          <w:tcPr>
            <w:tcW w:w="870" w:type="dxa"/>
            <w:tcBorders>
              <w:top w:val="nil"/>
              <w:left w:val="nil"/>
              <w:bottom w:val="nil"/>
              <w:right w:val="nil"/>
            </w:tcBorders>
            <w:shd w:val="clear" w:color="000000" w:fill="E6E6E6"/>
            <w:noWrap/>
            <w:vAlign w:val="bottom"/>
            <w:hideMark/>
          </w:tcPr>
          <w:p w14:paraId="19913040" w14:textId="6862D6FB" w:rsidR="004C3AF0" w:rsidRPr="00D2230D" w:rsidRDefault="004C3AF0" w:rsidP="004C3AF0">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71F4CBA8" w14:textId="77777777" w:rsidR="004C3AF0" w:rsidRPr="00D2230D" w:rsidRDefault="004C3AF0" w:rsidP="004C3AF0">
            <w:pPr>
              <w:spacing w:after="0" w:line="240" w:lineRule="auto"/>
              <w:jc w:val="right"/>
              <w:rPr>
                <w:rFonts w:ascii="Arial" w:hAnsi="Arial" w:cs="Arial"/>
                <w:color w:val="000000"/>
                <w:sz w:val="16"/>
                <w:szCs w:val="16"/>
              </w:rPr>
            </w:pPr>
          </w:p>
        </w:tc>
        <w:tc>
          <w:tcPr>
            <w:tcW w:w="870" w:type="dxa"/>
            <w:tcBorders>
              <w:top w:val="nil"/>
              <w:left w:val="nil"/>
              <w:bottom w:val="nil"/>
              <w:right w:val="nil"/>
            </w:tcBorders>
            <w:shd w:val="clear" w:color="auto" w:fill="auto"/>
            <w:noWrap/>
            <w:vAlign w:val="bottom"/>
            <w:hideMark/>
          </w:tcPr>
          <w:p w14:paraId="5735F184" w14:textId="77777777" w:rsidR="004C3AF0" w:rsidRPr="00D2230D" w:rsidRDefault="004C3AF0" w:rsidP="004C3AF0">
            <w:pPr>
              <w:spacing w:after="0" w:line="240" w:lineRule="auto"/>
              <w:jc w:val="right"/>
              <w:rPr>
                <w:rFonts w:ascii="Times New Roman" w:hAnsi="Times New Roman"/>
              </w:rPr>
            </w:pPr>
          </w:p>
        </w:tc>
        <w:tc>
          <w:tcPr>
            <w:tcW w:w="870" w:type="dxa"/>
            <w:tcBorders>
              <w:top w:val="nil"/>
              <w:left w:val="nil"/>
              <w:bottom w:val="nil"/>
              <w:right w:val="nil"/>
            </w:tcBorders>
            <w:shd w:val="clear" w:color="auto" w:fill="auto"/>
            <w:noWrap/>
            <w:vAlign w:val="bottom"/>
            <w:hideMark/>
          </w:tcPr>
          <w:p w14:paraId="4B7F3263" w14:textId="77777777" w:rsidR="004C3AF0" w:rsidRPr="00D2230D" w:rsidRDefault="004C3AF0" w:rsidP="004C3AF0">
            <w:pPr>
              <w:spacing w:after="0" w:line="240" w:lineRule="auto"/>
              <w:jc w:val="right"/>
              <w:rPr>
                <w:rFonts w:ascii="Times New Roman" w:hAnsi="Times New Roman"/>
              </w:rPr>
            </w:pPr>
          </w:p>
        </w:tc>
      </w:tr>
      <w:tr w:rsidR="004C3AF0" w:rsidRPr="00D2230D" w14:paraId="000D642C" w14:textId="77777777" w:rsidTr="007E02F0">
        <w:trPr>
          <w:trHeight w:val="204"/>
        </w:trPr>
        <w:tc>
          <w:tcPr>
            <w:tcW w:w="3261" w:type="dxa"/>
            <w:tcBorders>
              <w:top w:val="nil"/>
              <w:left w:val="nil"/>
              <w:bottom w:val="nil"/>
              <w:right w:val="nil"/>
            </w:tcBorders>
            <w:shd w:val="clear" w:color="auto" w:fill="auto"/>
            <w:noWrap/>
            <w:vAlign w:val="center"/>
            <w:hideMark/>
          </w:tcPr>
          <w:p w14:paraId="0FE50404" w14:textId="4EB1AB77" w:rsidR="004C3AF0" w:rsidRPr="00D2230D" w:rsidRDefault="004C3AF0" w:rsidP="004C3AF0">
            <w:pPr>
              <w:spacing w:after="0" w:line="240" w:lineRule="auto"/>
              <w:ind w:left="227"/>
              <w:jc w:val="left"/>
              <w:rPr>
                <w:rFonts w:ascii="Arial" w:hAnsi="Arial" w:cs="Arial"/>
                <w:color w:val="000000"/>
                <w:sz w:val="16"/>
                <w:szCs w:val="16"/>
              </w:rPr>
            </w:pPr>
            <w:r w:rsidRPr="00D2230D">
              <w:rPr>
                <w:rFonts w:ascii="Arial" w:hAnsi="Arial" w:cs="Arial"/>
                <w:color w:val="000000"/>
                <w:sz w:val="16"/>
                <w:szCs w:val="16"/>
              </w:rPr>
              <w:t>Princip</w:t>
            </w:r>
            <w:r>
              <w:rPr>
                <w:rFonts w:ascii="Arial" w:hAnsi="Arial" w:cs="Arial"/>
                <w:color w:val="000000"/>
                <w:sz w:val="16"/>
                <w:szCs w:val="16"/>
              </w:rPr>
              <w:t>a</w:t>
            </w:r>
            <w:r w:rsidRPr="00D2230D">
              <w:rPr>
                <w:rFonts w:ascii="Arial" w:hAnsi="Arial" w:cs="Arial"/>
                <w:color w:val="000000"/>
                <w:sz w:val="16"/>
                <w:szCs w:val="16"/>
              </w:rPr>
              <w:t>l payments on lease liability</w:t>
            </w:r>
          </w:p>
        </w:tc>
        <w:tc>
          <w:tcPr>
            <w:tcW w:w="869" w:type="dxa"/>
            <w:tcBorders>
              <w:top w:val="nil"/>
              <w:left w:val="nil"/>
              <w:bottom w:val="nil"/>
              <w:right w:val="nil"/>
            </w:tcBorders>
            <w:shd w:val="clear" w:color="auto" w:fill="auto"/>
            <w:noWrap/>
            <w:vAlign w:val="bottom"/>
            <w:hideMark/>
          </w:tcPr>
          <w:p w14:paraId="5FD7C74C" w14:textId="32DE4595"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21,075</w:t>
            </w:r>
          </w:p>
        </w:tc>
        <w:tc>
          <w:tcPr>
            <w:tcW w:w="870" w:type="dxa"/>
            <w:tcBorders>
              <w:top w:val="nil"/>
              <w:left w:val="nil"/>
              <w:bottom w:val="nil"/>
              <w:right w:val="nil"/>
            </w:tcBorders>
            <w:shd w:val="clear" w:color="000000" w:fill="E6E6E6"/>
            <w:noWrap/>
            <w:vAlign w:val="bottom"/>
            <w:hideMark/>
          </w:tcPr>
          <w:p w14:paraId="74059123" w14:textId="14203C46"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18,935</w:t>
            </w:r>
          </w:p>
        </w:tc>
        <w:tc>
          <w:tcPr>
            <w:tcW w:w="870" w:type="dxa"/>
            <w:tcBorders>
              <w:top w:val="nil"/>
              <w:left w:val="nil"/>
              <w:bottom w:val="nil"/>
              <w:right w:val="nil"/>
            </w:tcBorders>
            <w:shd w:val="clear" w:color="auto" w:fill="auto"/>
            <w:noWrap/>
            <w:vAlign w:val="bottom"/>
            <w:hideMark/>
          </w:tcPr>
          <w:p w14:paraId="149DE673" w14:textId="33B5066C"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19,932</w:t>
            </w:r>
          </w:p>
        </w:tc>
        <w:tc>
          <w:tcPr>
            <w:tcW w:w="870" w:type="dxa"/>
            <w:tcBorders>
              <w:top w:val="nil"/>
              <w:left w:val="nil"/>
              <w:bottom w:val="nil"/>
              <w:right w:val="nil"/>
            </w:tcBorders>
            <w:shd w:val="clear" w:color="auto" w:fill="auto"/>
            <w:noWrap/>
            <w:vAlign w:val="bottom"/>
            <w:hideMark/>
          </w:tcPr>
          <w:p w14:paraId="089E91A3" w14:textId="42C43187"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19,995</w:t>
            </w:r>
          </w:p>
        </w:tc>
        <w:tc>
          <w:tcPr>
            <w:tcW w:w="870" w:type="dxa"/>
            <w:tcBorders>
              <w:top w:val="nil"/>
              <w:left w:val="nil"/>
              <w:bottom w:val="nil"/>
              <w:right w:val="nil"/>
            </w:tcBorders>
            <w:shd w:val="clear" w:color="auto" w:fill="auto"/>
            <w:noWrap/>
            <w:vAlign w:val="bottom"/>
            <w:hideMark/>
          </w:tcPr>
          <w:p w14:paraId="4645D51C" w14:textId="7BACEF24"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19,995</w:t>
            </w:r>
          </w:p>
        </w:tc>
      </w:tr>
      <w:tr w:rsidR="004C3AF0" w:rsidRPr="00D2230D" w14:paraId="195333A1" w14:textId="77777777" w:rsidTr="007E02F0">
        <w:trPr>
          <w:trHeight w:val="204"/>
        </w:trPr>
        <w:tc>
          <w:tcPr>
            <w:tcW w:w="3261" w:type="dxa"/>
            <w:tcBorders>
              <w:top w:val="nil"/>
              <w:left w:val="nil"/>
              <w:bottom w:val="nil"/>
              <w:right w:val="nil"/>
            </w:tcBorders>
            <w:shd w:val="clear" w:color="auto" w:fill="auto"/>
            <w:noWrap/>
            <w:vAlign w:val="center"/>
            <w:hideMark/>
          </w:tcPr>
          <w:p w14:paraId="1CC8AD06" w14:textId="77777777" w:rsidR="004C3AF0" w:rsidRPr="00D2230D" w:rsidRDefault="004C3AF0" w:rsidP="004C3AF0">
            <w:pPr>
              <w:spacing w:after="0" w:line="240" w:lineRule="auto"/>
              <w:ind w:left="113"/>
              <w:jc w:val="left"/>
              <w:rPr>
                <w:rFonts w:ascii="Arial" w:hAnsi="Arial" w:cs="Arial"/>
                <w:b/>
                <w:bCs/>
                <w:i/>
                <w:iCs/>
                <w:color w:val="000000"/>
                <w:sz w:val="16"/>
                <w:szCs w:val="16"/>
              </w:rPr>
            </w:pPr>
            <w:r w:rsidRPr="00D2230D">
              <w:rPr>
                <w:rFonts w:ascii="Arial" w:hAnsi="Arial" w:cs="Arial"/>
                <w:b/>
                <w:bCs/>
                <w:color w:val="000000"/>
                <w:sz w:val="16"/>
                <w:szCs w:val="16"/>
              </w:rPr>
              <w:t>Total cash used</w:t>
            </w:r>
          </w:p>
        </w:tc>
        <w:tc>
          <w:tcPr>
            <w:tcW w:w="869" w:type="dxa"/>
            <w:tcBorders>
              <w:top w:val="single" w:sz="4" w:space="0" w:color="000000"/>
              <w:left w:val="nil"/>
              <w:bottom w:val="single" w:sz="4" w:space="0" w:color="000000"/>
              <w:right w:val="nil"/>
            </w:tcBorders>
            <w:shd w:val="clear" w:color="auto" w:fill="auto"/>
            <w:noWrap/>
            <w:vAlign w:val="bottom"/>
            <w:hideMark/>
          </w:tcPr>
          <w:p w14:paraId="59A28C22" w14:textId="345F35E2"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21,075</w:t>
            </w:r>
          </w:p>
        </w:tc>
        <w:tc>
          <w:tcPr>
            <w:tcW w:w="870" w:type="dxa"/>
            <w:tcBorders>
              <w:top w:val="single" w:sz="4" w:space="0" w:color="000000"/>
              <w:left w:val="nil"/>
              <w:bottom w:val="single" w:sz="4" w:space="0" w:color="000000"/>
              <w:right w:val="nil"/>
            </w:tcBorders>
            <w:shd w:val="clear" w:color="000000" w:fill="E6E6E6"/>
            <w:noWrap/>
            <w:vAlign w:val="bottom"/>
            <w:hideMark/>
          </w:tcPr>
          <w:p w14:paraId="4BE6CA5E" w14:textId="43A2F80B"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18,935</w:t>
            </w:r>
          </w:p>
        </w:tc>
        <w:tc>
          <w:tcPr>
            <w:tcW w:w="870" w:type="dxa"/>
            <w:tcBorders>
              <w:top w:val="single" w:sz="4" w:space="0" w:color="000000"/>
              <w:left w:val="nil"/>
              <w:bottom w:val="single" w:sz="4" w:space="0" w:color="000000"/>
              <w:right w:val="nil"/>
            </w:tcBorders>
            <w:shd w:val="clear" w:color="auto" w:fill="auto"/>
            <w:noWrap/>
            <w:vAlign w:val="bottom"/>
            <w:hideMark/>
          </w:tcPr>
          <w:p w14:paraId="6FEE6611" w14:textId="5E1288C6"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19,932</w:t>
            </w:r>
          </w:p>
        </w:tc>
        <w:tc>
          <w:tcPr>
            <w:tcW w:w="870" w:type="dxa"/>
            <w:tcBorders>
              <w:top w:val="single" w:sz="4" w:space="0" w:color="000000"/>
              <w:left w:val="nil"/>
              <w:bottom w:val="single" w:sz="4" w:space="0" w:color="000000"/>
              <w:right w:val="nil"/>
            </w:tcBorders>
            <w:shd w:val="clear" w:color="auto" w:fill="auto"/>
            <w:noWrap/>
            <w:vAlign w:val="bottom"/>
            <w:hideMark/>
          </w:tcPr>
          <w:p w14:paraId="27CE85ED" w14:textId="0815F86A"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c>
          <w:tcPr>
            <w:tcW w:w="870" w:type="dxa"/>
            <w:tcBorders>
              <w:top w:val="single" w:sz="4" w:space="0" w:color="000000"/>
              <w:left w:val="nil"/>
              <w:bottom w:val="single" w:sz="4" w:space="0" w:color="000000"/>
              <w:right w:val="nil"/>
            </w:tcBorders>
            <w:shd w:val="clear" w:color="auto" w:fill="auto"/>
            <w:noWrap/>
            <w:vAlign w:val="bottom"/>
            <w:hideMark/>
          </w:tcPr>
          <w:p w14:paraId="38F4905E" w14:textId="4DE79DE0" w:rsidR="004C3AF0" w:rsidRPr="00D2230D" w:rsidRDefault="004C3AF0" w:rsidP="004C3AF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r>
      <w:tr w:rsidR="004C3AF0" w:rsidRPr="00D2230D" w14:paraId="40E90BD9" w14:textId="77777777" w:rsidTr="007E02F0">
        <w:trPr>
          <w:trHeight w:val="204"/>
        </w:trPr>
        <w:tc>
          <w:tcPr>
            <w:tcW w:w="3261" w:type="dxa"/>
            <w:tcBorders>
              <w:top w:val="nil"/>
              <w:left w:val="nil"/>
              <w:bottom w:val="nil"/>
              <w:right w:val="nil"/>
            </w:tcBorders>
            <w:shd w:val="clear" w:color="auto" w:fill="auto"/>
            <w:vAlign w:val="center"/>
            <w:hideMark/>
          </w:tcPr>
          <w:p w14:paraId="27F053EC" w14:textId="1EB4E423" w:rsidR="004C3AF0" w:rsidRPr="00D2230D" w:rsidRDefault="004C3AF0" w:rsidP="004C3AF0">
            <w:pPr>
              <w:spacing w:after="0" w:line="240" w:lineRule="auto"/>
              <w:jc w:val="left"/>
              <w:rPr>
                <w:rFonts w:ascii="Arial" w:hAnsi="Arial" w:cs="Arial"/>
                <w:b/>
                <w:bCs/>
                <w:color w:val="000000"/>
                <w:sz w:val="16"/>
                <w:szCs w:val="16"/>
              </w:rPr>
            </w:pPr>
            <w:r w:rsidRPr="00D2230D">
              <w:rPr>
                <w:rFonts w:ascii="Arial" w:hAnsi="Arial" w:cs="Arial"/>
                <w:b/>
                <w:bCs/>
                <w:color w:val="000000"/>
                <w:sz w:val="16"/>
                <w:szCs w:val="16"/>
              </w:rPr>
              <w:t>Net cash from/(used by)</w:t>
            </w:r>
            <w:r>
              <w:rPr>
                <w:rFonts w:ascii="Arial" w:hAnsi="Arial" w:cs="Arial"/>
                <w:b/>
                <w:bCs/>
                <w:color w:val="000000"/>
                <w:sz w:val="16"/>
                <w:szCs w:val="16"/>
              </w:rPr>
              <w:t xml:space="preserve"> </w:t>
            </w:r>
            <w:r w:rsidRPr="00D2230D">
              <w:rPr>
                <w:rFonts w:ascii="Arial" w:hAnsi="Arial" w:cs="Arial"/>
                <w:b/>
                <w:bCs/>
                <w:color w:val="000000"/>
                <w:sz w:val="16"/>
                <w:szCs w:val="16"/>
              </w:rPr>
              <w:t>financing activities</w:t>
            </w:r>
          </w:p>
        </w:tc>
        <w:tc>
          <w:tcPr>
            <w:tcW w:w="869" w:type="dxa"/>
            <w:tcBorders>
              <w:top w:val="nil"/>
              <w:left w:val="nil"/>
              <w:bottom w:val="single" w:sz="4" w:space="0" w:color="000000"/>
              <w:right w:val="nil"/>
            </w:tcBorders>
            <w:shd w:val="clear" w:color="auto" w:fill="auto"/>
            <w:noWrap/>
            <w:vAlign w:val="bottom"/>
            <w:hideMark/>
          </w:tcPr>
          <w:p w14:paraId="49D0538F" w14:textId="2F90815C"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(8,094)</w:t>
            </w:r>
          </w:p>
        </w:tc>
        <w:tc>
          <w:tcPr>
            <w:tcW w:w="870" w:type="dxa"/>
            <w:tcBorders>
              <w:top w:val="nil"/>
              <w:left w:val="nil"/>
              <w:bottom w:val="single" w:sz="4" w:space="0" w:color="000000"/>
              <w:right w:val="nil"/>
            </w:tcBorders>
            <w:shd w:val="clear" w:color="000000" w:fill="E6E6E6"/>
            <w:noWrap/>
            <w:vAlign w:val="bottom"/>
            <w:hideMark/>
          </w:tcPr>
          <w:p w14:paraId="58227215" w14:textId="49A06A06"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2,054</w:t>
            </w:r>
          </w:p>
        </w:tc>
        <w:tc>
          <w:tcPr>
            <w:tcW w:w="870" w:type="dxa"/>
            <w:tcBorders>
              <w:top w:val="nil"/>
              <w:left w:val="nil"/>
              <w:bottom w:val="single" w:sz="4" w:space="0" w:color="000000"/>
              <w:right w:val="nil"/>
            </w:tcBorders>
            <w:shd w:val="clear" w:color="auto" w:fill="auto"/>
            <w:noWrap/>
            <w:vAlign w:val="bottom"/>
            <w:hideMark/>
          </w:tcPr>
          <w:p w14:paraId="3C7F875D" w14:textId="1791E77E"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(10,054)</w:t>
            </w:r>
          </w:p>
        </w:tc>
        <w:tc>
          <w:tcPr>
            <w:tcW w:w="870" w:type="dxa"/>
            <w:tcBorders>
              <w:top w:val="nil"/>
              <w:left w:val="nil"/>
              <w:bottom w:val="single" w:sz="4" w:space="0" w:color="000000"/>
              <w:right w:val="nil"/>
            </w:tcBorders>
            <w:shd w:val="clear" w:color="auto" w:fill="auto"/>
            <w:noWrap/>
            <w:vAlign w:val="bottom"/>
            <w:hideMark/>
          </w:tcPr>
          <w:p w14:paraId="0378DEAB" w14:textId="38E65BFD"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(10,040)</w:t>
            </w:r>
          </w:p>
        </w:tc>
        <w:tc>
          <w:tcPr>
            <w:tcW w:w="870" w:type="dxa"/>
            <w:tcBorders>
              <w:top w:val="nil"/>
              <w:left w:val="nil"/>
              <w:bottom w:val="single" w:sz="4" w:space="0" w:color="000000"/>
              <w:right w:val="nil"/>
            </w:tcBorders>
            <w:shd w:val="clear" w:color="auto" w:fill="auto"/>
            <w:noWrap/>
            <w:vAlign w:val="bottom"/>
            <w:hideMark/>
          </w:tcPr>
          <w:p w14:paraId="4F02FE77" w14:textId="2A031121"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(9,826)</w:t>
            </w:r>
          </w:p>
        </w:tc>
      </w:tr>
      <w:tr w:rsidR="004C3AF0" w:rsidRPr="00D2230D" w14:paraId="1E4A2E82" w14:textId="77777777" w:rsidTr="007E02F0">
        <w:trPr>
          <w:trHeight w:val="204"/>
        </w:trPr>
        <w:tc>
          <w:tcPr>
            <w:tcW w:w="3261" w:type="dxa"/>
            <w:tcBorders>
              <w:top w:val="nil"/>
              <w:left w:val="nil"/>
              <w:bottom w:val="nil"/>
              <w:right w:val="nil"/>
            </w:tcBorders>
            <w:shd w:val="clear" w:color="auto" w:fill="auto"/>
            <w:vAlign w:val="center"/>
            <w:hideMark/>
          </w:tcPr>
          <w:p w14:paraId="47785DE5" w14:textId="586650C9" w:rsidR="004C3AF0" w:rsidRPr="00D2230D" w:rsidRDefault="004C3AF0" w:rsidP="004C3AF0">
            <w:pPr>
              <w:spacing w:after="0" w:line="240" w:lineRule="auto"/>
              <w:jc w:val="left"/>
              <w:rPr>
                <w:rFonts w:ascii="Arial" w:hAnsi="Arial" w:cs="Arial"/>
                <w:b/>
                <w:bCs/>
                <w:color w:val="000000"/>
                <w:sz w:val="16"/>
                <w:szCs w:val="16"/>
              </w:rPr>
            </w:pPr>
            <w:r w:rsidRPr="00D2230D">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D2230D">
              <w:rPr>
                <w:rFonts w:ascii="Arial" w:hAnsi="Arial" w:cs="Arial"/>
                <w:b/>
                <w:bCs/>
                <w:color w:val="000000"/>
                <w:sz w:val="16"/>
                <w:szCs w:val="16"/>
              </w:rPr>
              <w:t>held</w:t>
            </w:r>
          </w:p>
        </w:tc>
        <w:tc>
          <w:tcPr>
            <w:tcW w:w="869" w:type="dxa"/>
            <w:tcBorders>
              <w:top w:val="nil"/>
              <w:left w:val="nil"/>
              <w:bottom w:val="single" w:sz="4" w:space="0" w:color="000000"/>
              <w:right w:val="nil"/>
            </w:tcBorders>
            <w:shd w:val="clear" w:color="auto" w:fill="auto"/>
            <w:noWrap/>
            <w:vAlign w:val="bottom"/>
            <w:hideMark/>
          </w:tcPr>
          <w:p w14:paraId="6FB700C4" w14:textId="2A10453E"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1,821</w:t>
            </w:r>
          </w:p>
        </w:tc>
        <w:tc>
          <w:tcPr>
            <w:tcW w:w="870" w:type="dxa"/>
            <w:tcBorders>
              <w:top w:val="nil"/>
              <w:left w:val="nil"/>
              <w:bottom w:val="single" w:sz="4" w:space="0" w:color="000000"/>
              <w:right w:val="nil"/>
            </w:tcBorders>
            <w:shd w:val="clear" w:color="000000" w:fill="E6E6E6"/>
            <w:noWrap/>
            <w:vAlign w:val="bottom"/>
            <w:hideMark/>
          </w:tcPr>
          <w:p w14:paraId="5AA55297" w14:textId="4D3D25ED"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110</w:t>
            </w:r>
          </w:p>
        </w:tc>
        <w:tc>
          <w:tcPr>
            <w:tcW w:w="870" w:type="dxa"/>
            <w:tcBorders>
              <w:top w:val="nil"/>
              <w:left w:val="nil"/>
              <w:bottom w:val="single" w:sz="4" w:space="0" w:color="000000"/>
              <w:right w:val="nil"/>
            </w:tcBorders>
            <w:shd w:val="clear" w:color="auto" w:fill="auto"/>
            <w:noWrap/>
            <w:vAlign w:val="bottom"/>
            <w:hideMark/>
          </w:tcPr>
          <w:p w14:paraId="135E6092" w14:textId="3DE4DD19"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70" w:type="dxa"/>
            <w:tcBorders>
              <w:top w:val="nil"/>
              <w:left w:val="nil"/>
              <w:bottom w:val="single" w:sz="4" w:space="0" w:color="000000"/>
              <w:right w:val="nil"/>
            </w:tcBorders>
            <w:shd w:val="clear" w:color="auto" w:fill="auto"/>
            <w:noWrap/>
            <w:vAlign w:val="bottom"/>
            <w:hideMark/>
          </w:tcPr>
          <w:p w14:paraId="26AB823B" w14:textId="1002E66C"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70" w:type="dxa"/>
            <w:tcBorders>
              <w:top w:val="nil"/>
              <w:left w:val="nil"/>
              <w:bottom w:val="single" w:sz="4" w:space="0" w:color="000000"/>
              <w:right w:val="nil"/>
            </w:tcBorders>
            <w:shd w:val="clear" w:color="auto" w:fill="auto"/>
            <w:noWrap/>
            <w:vAlign w:val="bottom"/>
            <w:hideMark/>
          </w:tcPr>
          <w:p w14:paraId="1CAFC5F6" w14:textId="5A4E64A5" w:rsidR="004C3AF0" w:rsidRPr="00D2230D" w:rsidRDefault="004C3AF0" w:rsidP="004C3AF0">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4C3AF0" w:rsidRPr="00D2230D" w14:paraId="47D2A413" w14:textId="77777777" w:rsidTr="007E02F0">
        <w:trPr>
          <w:trHeight w:val="204"/>
        </w:trPr>
        <w:tc>
          <w:tcPr>
            <w:tcW w:w="3261" w:type="dxa"/>
            <w:tcBorders>
              <w:top w:val="nil"/>
              <w:left w:val="nil"/>
              <w:bottom w:val="nil"/>
              <w:right w:val="nil"/>
            </w:tcBorders>
            <w:shd w:val="clear" w:color="auto" w:fill="auto"/>
            <w:vAlign w:val="center"/>
            <w:hideMark/>
          </w:tcPr>
          <w:p w14:paraId="1EE6F749" w14:textId="3BAE5E63" w:rsidR="004C3AF0" w:rsidRPr="00D2230D" w:rsidRDefault="004C3AF0" w:rsidP="00102378">
            <w:pPr>
              <w:spacing w:before="60" w:after="0" w:line="240" w:lineRule="auto"/>
              <w:jc w:val="left"/>
              <w:rPr>
                <w:rFonts w:ascii="Arial" w:hAnsi="Arial" w:cs="Arial"/>
                <w:color w:val="000000"/>
                <w:sz w:val="16"/>
                <w:szCs w:val="16"/>
              </w:rPr>
            </w:pPr>
            <w:r w:rsidRPr="00D2230D">
              <w:rPr>
                <w:rFonts w:ascii="Arial" w:hAnsi="Arial" w:cs="Arial"/>
                <w:color w:val="000000"/>
                <w:sz w:val="16"/>
                <w:szCs w:val="16"/>
              </w:rPr>
              <w:t>Cash and cash equivalents at the</w:t>
            </w:r>
            <w:r>
              <w:rPr>
                <w:rFonts w:ascii="Arial" w:hAnsi="Arial" w:cs="Arial"/>
                <w:color w:val="000000"/>
                <w:sz w:val="16"/>
                <w:szCs w:val="16"/>
              </w:rPr>
              <w:t xml:space="preserve"> </w:t>
            </w:r>
            <w:r w:rsidRPr="00D2230D">
              <w:rPr>
                <w:rFonts w:ascii="Arial" w:hAnsi="Arial" w:cs="Arial"/>
                <w:color w:val="000000"/>
                <w:sz w:val="16"/>
                <w:szCs w:val="16"/>
              </w:rPr>
              <w:t>beginning of the reporting period</w:t>
            </w:r>
          </w:p>
        </w:tc>
        <w:tc>
          <w:tcPr>
            <w:tcW w:w="869" w:type="dxa"/>
            <w:tcBorders>
              <w:top w:val="nil"/>
              <w:left w:val="nil"/>
              <w:bottom w:val="nil"/>
              <w:right w:val="nil"/>
            </w:tcBorders>
            <w:shd w:val="clear" w:color="auto" w:fill="auto"/>
            <w:noWrap/>
            <w:vAlign w:val="bottom"/>
            <w:hideMark/>
          </w:tcPr>
          <w:p w14:paraId="1DA97EFE" w14:textId="0C77FC9D"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10,279</w:t>
            </w:r>
          </w:p>
        </w:tc>
        <w:tc>
          <w:tcPr>
            <w:tcW w:w="870" w:type="dxa"/>
            <w:tcBorders>
              <w:top w:val="nil"/>
              <w:left w:val="nil"/>
              <w:bottom w:val="nil"/>
              <w:right w:val="nil"/>
            </w:tcBorders>
            <w:shd w:val="clear" w:color="000000" w:fill="E6E6E6"/>
            <w:noWrap/>
            <w:vAlign w:val="bottom"/>
            <w:hideMark/>
          </w:tcPr>
          <w:p w14:paraId="0A799717" w14:textId="7222D15F"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12,100</w:t>
            </w:r>
          </w:p>
        </w:tc>
        <w:tc>
          <w:tcPr>
            <w:tcW w:w="870" w:type="dxa"/>
            <w:tcBorders>
              <w:top w:val="nil"/>
              <w:left w:val="nil"/>
              <w:bottom w:val="nil"/>
              <w:right w:val="nil"/>
            </w:tcBorders>
            <w:shd w:val="clear" w:color="auto" w:fill="auto"/>
            <w:noWrap/>
            <w:vAlign w:val="bottom"/>
            <w:hideMark/>
          </w:tcPr>
          <w:p w14:paraId="75A60566" w14:textId="3CC72E83"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12,210</w:t>
            </w:r>
          </w:p>
        </w:tc>
        <w:tc>
          <w:tcPr>
            <w:tcW w:w="870" w:type="dxa"/>
            <w:tcBorders>
              <w:top w:val="nil"/>
              <w:left w:val="nil"/>
              <w:bottom w:val="nil"/>
              <w:right w:val="nil"/>
            </w:tcBorders>
            <w:shd w:val="clear" w:color="auto" w:fill="auto"/>
            <w:noWrap/>
            <w:vAlign w:val="bottom"/>
            <w:hideMark/>
          </w:tcPr>
          <w:p w14:paraId="7D2A1529" w14:textId="40501AF3"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12,210</w:t>
            </w:r>
          </w:p>
        </w:tc>
        <w:tc>
          <w:tcPr>
            <w:tcW w:w="870" w:type="dxa"/>
            <w:tcBorders>
              <w:top w:val="nil"/>
              <w:left w:val="nil"/>
              <w:bottom w:val="nil"/>
              <w:right w:val="nil"/>
            </w:tcBorders>
            <w:shd w:val="clear" w:color="auto" w:fill="auto"/>
            <w:noWrap/>
            <w:vAlign w:val="bottom"/>
            <w:hideMark/>
          </w:tcPr>
          <w:p w14:paraId="527AB084" w14:textId="5C26C16E" w:rsidR="004C3AF0" w:rsidRPr="00D2230D" w:rsidRDefault="004C3AF0" w:rsidP="004C3AF0">
            <w:pPr>
              <w:spacing w:after="0" w:line="240" w:lineRule="auto"/>
              <w:jc w:val="right"/>
              <w:rPr>
                <w:rFonts w:ascii="Arial" w:hAnsi="Arial" w:cs="Arial"/>
                <w:color w:val="000000"/>
                <w:sz w:val="16"/>
                <w:szCs w:val="16"/>
              </w:rPr>
            </w:pPr>
            <w:r>
              <w:rPr>
                <w:rFonts w:ascii="Arial" w:hAnsi="Arial" w:cs="Arial"/>
                <w:color w:val="000000"/>
                <w:sz w:val="16"/>
                <w:szCs w:val="16"/>
              </w:rPr>
              <w:t>12,210</w:t>
            </w:r>
          </w:p>
        </w:tc>
      </w:tr>
      <w:tr w:rsidR="004C3AF0" w:rsidRPr="00D2230D" w14:paraId="33485089" w14:textId="77777777" w:rsidTr="007E02F0">
        <w:trPr>
          <w:trHeight w:val="204"/>
        </w:trPr>
        <w:tc>
          <w:tcPr>
            <w:tcW w:w="3261" w:type="dxa"/>
            <w:tcBorders>
              <w:top w:val="nil"/>
              <w:left w:val="nil"/>
              <w:bottom w:val="single" w:sz="4" w:space="0" w:color="auto"/>
              <w:right w:val="nil"/>
            </w:tcBorders>
            <w:shd w:val="clear" w:color="auto" w:fill="auto"/>
            <w:vAlign w:val="center"/>
            <w:hideMark/>
          </w:tcPr>
          <w:p w14:paraId="76ED4ADC" w14:textId="674BD557" w:rsidR="004C3AF0" w:rsidRPr="00D2230D" w:rsidRDefault="004C3AF0" w:rsidP="004C3AF0">
            <w:pPr>
              <w:spacing w:after="0" w:line="240" w:lineRule="auto"/>
              <w:jc w:val="left"/>
              <w:rPr>
                <w:rFonts w:ascii="Arial" w:hAnsi="Arial" w:cs="Arial"/>
                <w:b/>
                <w:bCs/>
                <w:color w:val="000000"/>
                <w:sz w:val="16"/>
                <w:szCs w:val="16"/>
              </w:rPr>
            </w:pPr>
            <w:r w:rsidRPr="00D2230D">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D2230D">
              <w:rPr>
                <w:rFonts w:ascii="Arial" w:hAnsi="Arial" w:cs="Arial"/>
                <w:b/>
                <w:bCs/>
                <w:color w:val="000000"/>
                <w:sz w:val="16"/>
                <w:szCs w:val="16"/>
              </w:rPr>
              <w:t>the end of the reporting period</w:t>
            </w:r>
          </w:p>
        </w:tc>
        <w:tc>
          <w:tcPr>
            <w:tcW w:w="869" w:type="dxa"/>
            <w:tcBorders>
              <w:top w:val="single" w:sz="4" w:space="0" w:color="000000"/>
              <w:left w:val="nil"/>
              <w:bottom w:val="single" w:sz="4" w:space="0" w:color="auto"/>
              <w:right w:val="nil"/>
            </w:tcBorders>
            <w:shd w:val="clear" w:color="auto" w:fill="auto"/>
            <w:noWrap/>
            <w:vAlign w:val="bottom"/>
            <w:hideMark/>
          </w:tcPr>
          <w:p w14:paraId="085DD196" w14:textId="55D77B0B" w:rsidR="004C3AF0" w:rsidRPr="004C3AF0" w:rsidRDefault="004C3AF0" w:rsidP="004C3AF0">
            <w:pPr>
              <w:spacing w:after="0" w:line="240" w:lineRule="auto"/>
              <w:jc w:val="right"/>
              <w:rPr>
                <w:rFonts w:ascii="Arial" w:hAnsi="Arial" w:cs="Arial"/>
                <w:b/>
                <w:color w:val="000000"/>
                <w:sz w:val="16"/>
                <w:szCs w:val="16"/>
              </w:rPr>
            </w:pPr>
            <w:r w:rsidRPr="004C3AF0">
              <w:rPr>
                <w:rFonts w:ascii="Arial" w:hAnsi="Arial" w:cs="Arial"/>
                <w:b/>
                <w:color w:val="000000"/>
                <w:sz w:val="16"/>
                <w:szCs w:val="16"/>
              </w:rPr>
              <w:t>12,100</w:t>
            </w:r>
          </w:p>
        </w:tc>
        <w:tc>
          <w:tcPr>
            <w:tcW w:w="870" w:type="dxa"/>
            <w:tcBorders>
              <w:top w:val="single" w:sz="4" w:space="0" w:color="000000"/>
              <w:left w:val="nil"/>
              <w:bottom w:val="single" w:sz="4" w:space="0" w:color="auto"/>
              <w:right w:val="nil"/>
            </w:tcBorders>
            <w:shd w:val="clear" w:color="000000" w:fill="E6E6E6"/>
            <w:noWrap/>
            <w:vAlign w:val="bottom"/>
            <w:hideMark/>
          </w:tcPr>
          <w:p w14:paraId="123E1E1E" w14:textId="469825EB" w:rsidR="004C3AF0" w:rsidRPr="004C3AF0" w:rsidRDefault="004C3AF0" w:rsidP="004C3AF0">
            <w:pPr>
              <w:spacing w:after="0" w:line="240" w:lineRule="auto"/>
              <w:jc w:val="right"/>
              <w:rPr>
                <w:rFonts w:ascii="Arial" w:hAnsi="Arial" w:cs="Arial"/>
                <w:b/>
                <w:color w:val="000000"/>
                <w:sz w:val="16"/>
                <w:szCs w:val="16"/>
              </w:rPr>
            </w:pPr>
            <w:r w:rsidRPr="004C3AF0">
              <w:rPr>
                <w:rFonts w:ascii="Arial" w:hAnsi="Arial" w:cs="Arial"/>
                <w:b/>
                <w:color w:val="000000"/>
                <w:sz w:val="16"/>
                <w:szCs w:val="16"/>
              </w:rPr>
              <w:t>12,210</w:t>
            </w:r>
          </w:p>
        </w:tc>
        <w:tc>
          <w:tcPr>
            <w:tcW w:w="870" w:type="dxa"/>
            <w:tcBorders>
              <w:top w:val="single" w:sz="4" w:space="0" w:color="000000"/>
              <w:left w:val="nil"/>
              <w:bottom w:val="single" w:sz="4" w:space="0" w:color="auto"/>
              <w:right w:val="nil"/>
            </w:tcBorders>
            <w:shd w:val="clear" w:color="auto" w:fill="auto"/>
            <w:noWrap/>
            <w:vAlign w:val="bottom"/>
            <w:hideMark/>
          </w:tcPr>
          <w:p w14:paraId="74162855" w14:textId="55F388CE" w:rsidR="004C3AF0" w:rsidRPr="004C3AF0" w:rsidRDefault="004C3AF0" w:rsidP="004C3AF0">
            <w:pPr>
              <w:spacing w:after="0" w:line="240" w:lineRule="auto"/>
              <w:jc w:val="right"/>
              <w:rPr>
                <w:rFonts w:ascii="Arial" w:hAnsi="Arial" w:cs="Arial"/>
                <w:b/>
                <w:color w:val="000000"/>
                <w:sz w:val="16"/>
                <w:szCs w:val="16"/>
              </w:rPr>
            </w:pPr>
            <w:r w:rsidRPr="004C3AF0">
              <w:rPr>
                <w:rFonts w:ascii="Arial" w:hAnsi="Arial" w:cs="Arial"/>
                <w:b/>
                <w:color w:val="000000"/>
                <w:sz w:val="16"/>
                <w:szCs w:val="16"/>
              </w:rPr>
              <w:t>12,210</w:t>
            </w:r>
          </w:p>
        </w:tc>
        <w:tc>
          <w:tcPr>
            <w:tcW w:w="870" w:type="dxa"/>
            <w:tcBorders>
              <w:top w:val="single" w:sz="4" w:space="0" w:color="000000"/>
              <w:left w:val="nil"/>
              <w:bottom w:val="single" w:sz="4" w:space="0" w:color="auto"/>
              <w:right w:val="nil"/>
            </w:tcBorders>
            <w:shd w:val="clear" w:color="auto" w:fill="auto"/>
            <w:noWrap/>
            <w:vAlign w:val="bottom"/>
            <w:hideMark/>
          </w:tcPr>
          <w:p w14:paraId="11163101" w14:textId="7AD417E8" w:rsidR="004C3AF0" w:rsidRPr="004C3AF0" w:rsidRDefault="004C3AF0" w:rsidP="004C3AF0">
            <w:pPr>
              <w:spacing w:after="0" w:line="240" w:lineRule="auto"/>
              <w:jc w:val="right"/>
              <w:rPr>
                <w:rFonts w:ascii="Arial" w:hAnsi="Arial" w:cs="Arial"/>
                <w:b/>
                <w:color w:val="000000"/>
                <w:sz w:val="16"/>
                <w:szCs w:val="16"/>
              </w:rPr>
            </w:pPr>
            <w:r w:rsidRPr="004C3AF0">
              <w:rPr>
                <w:rFonts w:ascii="Arial" w:hAnsi="Arial" w:cs="Arial"/>
                <w:b/>
                <w:color w:val="000000"/>
                <w:sz w:val="16"/>
                <w:szCs w:val="16"/>
              </w:rPr>
              <w:t>12,210</w:t>
            </w:r>
          </w:p>
        </w:tc>
        <w:tc>
          <w:tcPr>
            <w:tcW w:w="870" w:type="dxa"/>
            <w:tcBorders>
              <w:top w:val="single" w:sz="4" w:space="0" w:color="000000"/>
              <w:left w:val="nil"/>
              <w:bottom w:val="single" w:sz="4" w:space="0" w:color="auto"/>
              <w:right w:val="nil"/>
            </w:tcBorders>
            <w:shd w:val="clear" w:color="auto" w:fill="auto"/>
            <w:noWrap/>
            <w:vAlign w:val="bottom"/>
            <w:hideMark/>
          </w:tcPr>
          <w:p w14:paraId="1B62AB0A" w14:textId="35A60DA7" w:rsidR="004C3AF0" w:rsidRPr="004C3AF0" w:rsidRDefault="004C3AF0" w:rsidP="004C3AF0">
            <w:pPr>
              <w:spacing w:after="0" w:line="240" w:lineRule="auto"/>
              <w:jc w:val="right"/>
              <w:rPr>
                <w:rFonts w:ascii="Arial" w:hAnsi="Arial" w:cs="Arial"/>
                <w:b/>
                <w:color w:val="000000"/>
                <w:sz w:val="16"/>
                <w:szCs w:val="16"/>
              </w:rPr>
            </w:pPr>
            <w:r w:rsidRPr="004C3AF0">
              <w:rPr>
                <w:rFonts w:ascii="Arial" w:hAnsi="Arial" w:cs="Arial"/>
                <w:b/>
                <w:color w:val="000000"/>
                <w:sz w:val="16"/>
                <w:szCs w:val="16"/>
              </w:rPr>
              <w:t>12,210</w:t>
            </w:r>
          </w:p>
        </w:tc>
      </w:tr>
    </w:tbl>
    <w:p w14:paraId="081B1194" w14:textId="2A4931C1" w:rsidR="00F51DAC" w:rsidRPr="009C33E9" w:rsidRDefault="00F51DAC" w:rsidP="000F2C2A">
      <w:pPr>
        <w:pStyle w:val="Source"/>
        <w:spacing w:before="60"/>
      </w:pPr>
      <w:r w:rsidRPr="009C33E9">
        <w:t>Prepared on Australian Accounting Standards basis.</w:t>
      </w:r>
    </w:p>
    <w:p w14:paraId="117E1750" w14:textId="77777777" w:rsidR="00FC5CDE" w:rsidRDefault="00FC5CDE">
      <w:pPr>
        <w:pStyle w:val="Source"/>
        <w:rPr>
          <w:snapToGrid w:val="0"/>
        </w:rPr>
      </w:pPr>
    </w:p>
    <w:p w14:paraId="40F03C4C" w14:textId="3014371E" w:rsidR="00D63885" w:rsidRDefault="00941A17" w:rsidP="000F2C2A">
      <w:pPr>
        <w:pStyle w:val="TableGraphic"/>
      </w:pPr>
      <w:r w:rsidRPr="00941A17">
        <w:rPr>
          <w:i w:val="0"/>
        </w:rPr>
        <w:t xml:space="preserve"> </w:t>
      </w:r>
      <w:r w:rsidR="00D63885">
        <w:rPr>
          <w:i w:val="0"/>
        </w:rPr>
        <w:br w:type="page"/>
      </w:r>
    </w:p>
    <w:p w14:paraId="47B99F10" w14:textId="507BECA3" w:rsidR="00F51DAC" w:rsidRDefault="00A81E21" w:rsidP="00F51DAC">
      <w:pPr>
        <w:pStyle w:val="TableHeading"/>
        <w:spacing w:before="0"/>
        <w:rPr>
          <w:b w:val="0"/>
          <w:snapToGrid w:val="0"/>
        </w:rPr>
      </w:pPr>
      <w:r w:rsidRPr="00267C90">
        <w:rPr>
          <w:snapToGrid w:val="0"/>
        </w:rPr>
        <w:lastRenderedPageBreak/>
        <w:t>Table 3.</w:t>
      </w:r>
      <w:r w:rsidR="001F46A6" w:rsidRPr="00267C90">
        <w:rPr>
          <w:snapToGrid w:val="0"/>
        </w:rPr>
        <w:t>6</w:t>
      </w:r>
      <w:r w:rsidR="00F51DAC" w:rsidRPr="00267C90">
        <w:rPr>
          <w:snapToGrid w:val="0"/>
        </w:rPr>
        <w:t xml:space="preserve">: </w:t>
      </w:r>
      <w:r w:rsidR="008863D9">
        <w:rPr>
          <w:snapToGrid w:val="0"/>
          <w:lang w:val="en-AU"/>
        </w:rPr>
        <w:t>Department</w:t>
      </w:r>
      <w:r w:rsidR="00327424" w:rsidRPr="00267C90">
        <w:rPr>
          <w:snapToGrid w:val="0"/>
          <w:lang w:val="en-AU"/>
        </w:rPr>
        <w:t xml:space="preserve">al </w:t>
      </w:r>
      <w:r w:rsidR="00622A38" w:rsidRPr="00267C90">
        <w:rPr>
          <w:snapToGrid w:val="0"/>
        </w:rPr>
        <w:t>capital budget statement</w:t>
      </w:r>
      <w:r w:rsidR="00622A38" w:rsidRPr="00267C90">
        <w:rPr>
          <w:snapToGrid w:val="0"/>
          <w:lang w:val="en-AU"/>
        </w:rPr>
        <w:t xml:space="preserve"> </w:t>
      </w:r>
      <w:r w:rsidR="00327424" w:rsidRPr="00267C90">
        <w:rPr>
          <w:snapToGrid w:val="0"/>
          <w:lang w:val="en-AU"/>
        </w:rPr>
        <w:t>(for the period ended 30 June)</w:t>
      </w:r>
      <w:r w:rsidR="008D4221" w:rsidRPr="008D4221">
        <w:rPr>
          <w:b w:val="0"/>
          <w:snapToGrid w:val="0"/>
        </w:rPr>
        <w:t xml:space="preserve"> </w:t>
      </w:r>
    </w:p>
    <w:tbl>
      <w:tblPr>
        <w:tblW w:w="0" w:type="auto"/>
        <w:tblLayout w:type="fixed"/>
        <w:tblLook w:val="04A0" w:firstRow="1" w:lastRow="0" w:firstColumn="1" w:lastColumn="0" w:noHBand="0" w:noVBand="1"/>
      </w:tblPr>
      <w:tblGrid>
        <w:gridCol w:w="3402"/>
        <w:gridCol w:w="860"/>
        <w:gridCol w:w="860"/>
        <w:gridCol w:w="860"/>
        <w:gridCol w:w="860"/>
        <w:gridCol w:w="860"/>
      </w:tblGrid>
      <w:tr w:rsidR="00102378" w:rsidRPr="007201FC" w14:paraId="252EC4AF" w14:textId="77777777" w:rsidTr="00102378">
        <w:trPr>
          <w:trHeight w:val="592"/>
        </w:trPr>
        <w:tc>
          <w:tcPr>
            <w:tcW w:w="3402" w:type="dxa"/>
            <w:tcBorders>
              <w:top w:val="single" w:sz="4" w:space="0" w:color="auto"/>
              <w:left w:val="nil"/>
              <w:bottom w:val="nil"/>
              <w:right w:val="nil"/>
            </w:tcBorders>
            <w:shd w:val="clear" w:color="auto" w:fill="auto"/>
            <w:noWrap/>
            <w:hideMark/>
          </w:tcPr>
          <w:p w14:paraId="7EA39CCF" w14:textId="77777777" w:rsidR="00102378" w:rsidRPr="007201FC" w:rsidRDefault="00102378" w:rsidP="00102378">
            <w:pPr>
              <w:spacing w:after="0" w:line="240" w:lineRule="auto"/>
              <w:jc w:val="left"/>
              <w:rPr>
                <w:rFonts w:ascii="Arial" w:hAnsi="Arial" w:cs="Arial"/>
                <w:b/>
                <w:bCs/>
                <w:sz w:val="16"/>
                <w:szCs w:val="16"/>
              </w:rPr>
            </w:pPr>
            <w:r w:rsidRPr="007201FC">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auto" w:fill="auto"/>
            <w:vAlign w:val="bottom"/>
            <w:hideMark/>
          </w:tcPr>
          <w:p w14:paraId="65C39E38" w14:textId="77777777" w:rsidR="00102378" w:rsidRPr="007201FC" w:rsidRDefault="00102378" w:rsidP="00102378">
            <w:pPr>
              <w:spacing w:after="0" w:line="240" w:lineRule="auto"/>
              <w:jc w:val="right"/>
              <w:rPr>
                <w:rFonts w:ascii="Arial" w:hAnsi="Arial" w:cs="Arial"/>
                <w:sz w:val="16"/>
                <w:szCs w:val="16"/>
              </w:rPr>
            </w:pPr>
            <w:r w:rsidRPr="007201FC">
              <w:rPr>
                <w:rFonts w:ascii="Arial" w:hAnsi="Arial" w:cs="Arial"/>
                <w:sz w:val="16"/>
                <w:szCs w:val="16"/>
              </w:rPr>
              <w:t>2020-21 Actual</w:t>
            </w:r>
            <w:r w:rsidRPr="007201FC">
              <w:rPr>
                <w:rFonts w:ascii="Arial" w:hAnsi="Arial" w:cs="Arial"/>
                <w:sz w:val="16"/>
                <w:szCs w:val="16"/>
              </w:rPr>
              <w:br/>
            </w:r>
            <w:r w:rsidRPr="007201FC">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hideMark/>
          </w:tcPr>
          <w:p w14:paraId="1C99AF46" w14:textId="54F4BE00" w:rsidR="00102378" w:rsidRPr="007201FC" w:rsidRDefault="00102378" w:rsidP="00102378">
            <w:pPr>
              <w:spacing w:after="0" w:line="240" w:lineRule="auto"/>
              <w:jc w:val="right"/>
              <w:rPr>
                <w:rFonts w:ascii="Arial" w:hAnsi="Arial" w:cs="Arial"/>
                <w:sz w:val="16"/>
                <w:szCs w:val="16"/>
              </w:rPr>
            </w:pPr>
            <w:r w:rsidRPr="003D788E">
              <w:rPr>
                <w:rFonts w:ascii="Arial" w:hAnsi="Arial" w:cs="Arial"/>
                <w:sz w:val="16"/>
                <w:szCs w:val="16"/>
              </w:rPr>
              <w:t>2021-22</w:t>
            </w:r>
            <w:r w:rsidRPr="003D788E">
              <w:rPr>
                <w:rFonts w:ascii="Arial" w:hAnsi="Arial" w:cs="Arial"/>
                <w:sz w:val="16"/>
                <w:szCs w:val="16"/>
              </w:rPr>
              <w:br/>
              <w:t xml:space="preserve">Revised </w:t>
            </w:r>
            <w:r>
              <w:rPr>
                <w:rFonts w:ascii="Arial" w:hAnsi="Arial" w:cs="Arial"/>
                <w:sz w:val="16"/>
                <w:szCs w:val="16"/>
              </w:rPr>
              <w:t>B</w:t>
            </w:r>
            <w:r w:rsidRPr="003D788E">
              <w:rPr>
                <w:rFonts w:ascii="Arial" w:hAnsi="Arial" w:cs="Arial"/>
                <w:sz w:val="16"/>
                <w:szCs w:val="16"/>
              </w:rPr>
              <w:t>udget</w:t>
            </w:r>
            <w:r w:rsidRPr="003D788E">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4EE5DD9B" w14:textId="77777777" w:rsidR="00102378" w:rsidRPr="007201FC" w:rsidRDefault="00102378" w:rsidP="00102378">
            <w:pPr>
              <w:spacing w:after="0" w:line="240" w:lineRule="auto"/>
              <w:jc w:val="right"/>
              <w:rPr>
                <w:rFonts w:ascii="Arial" w:hAnsi="Arial" w:cs="Arial"/>
                <w:sz w:val="16"/>
                <w:szCs w:val="16"/>
              </w:rPr>
            </w:pPr>
            <w:r w:rsidRPr="007201FC">
              <w:rPr>
                <w:rFonts w:ascii="Arial" w:hAnsi="Arial" w:cs="Arial"/>
                <w:sz w:val="16"/>
                <w:szCs w:val="16"/>
              </w:rPr>
              <w:t>2022-23 Forward estimate</w:t>
            </w:r>
            <w:r w:rsidRPr="007201FC">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63736098" w14:textId="77777777" w:rsidR="00102378" w:rsidRPr="007201FC" w:rsidRDefault="00102378" w:rsidP="00102378">
            <w:pPr>
              <w:spacing w:after="0" w:line="240" w:lineRule="auto"/>
              <w:jc w:val="right"/>
              <w:rPr>
                <w:rFonts w:ascii="Arial" w:hAnsi="Arial" w:cs="Arial"/>
                <w:sz w:val="16"/>
                <w:szCs w:val="16"/>
              </w:rPr>
            </w:pPr>
            <w:r w:rsidRPr="007201FC">
              <w:rPr>
                <w:rFonts w:ascii="Arial" w:hAnsi="Arial" w:cs="Arial"/>
                <w:sz w:val="16"/>
                <w:szCs w:val="16"/>
              </w:rPr>
              <w:t>2023-24 Forward estimate</w:t>
            </w:r>
            <w:r w:rsidRPr="007201FC">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5C4D8687" w14:textId="77777777" w:rsidR="00102378" w:rsidRPr="007201FC" w:rsidRDefault="00102378" w:rsidP="00102378">
            <w:pPr>
              <w:spacing w:after="0" w:line="240" w:lineRule="auto"/>
              <w:jc w:val="right"/>
              <w:rPr>
                <w:rFonts w:ascii="Arial" w:hAnsi="Arial" w:cs="Arial"/>
                <w:sz w:val="16"/>
                <w:szCs w:val="16"/>
              </w:rPr>
            </w:pPr>
            <w:r w:rsidRPr="007201FC">
              <w:rPr>
                <w:rFonts w:ascii="Arial" w:hAnsi="Arial" w:cs="Arial"/>
                <w:sz w:val="16"/>
                <w:szCs w:val="16"/>
              </w:rPr>
              <w:t>2024-25</w:t>
            </w:r>
            <w:r w:rsidRPr="007201FC">
              <w:rPr>
                <w:rFonts w:ascii="Arial" w:hAnsi="Arial" w:cs="Arial"/>
                <w:sz w:val="16"/>
                <w:szCs w:val="16"/>
              </w:rPr>
              <w:br/>
              <w:t>Forward estimate</w:t>
            </w:r>
            <w:r w:rsidRPr="007201FC">
              <w:rPr>
                <w:rFonts w:ascii="Arial" w:hAnsi="Arial" w:cs="Arial"/>
                <w:sz w:val="16"/>
                <w:szCs w:val="16"/>
              </w:rPr>
              <w:br/>
              <w:t>$'000</w:t>
            </w:r>
          </w:p>
        </w:tc>
      </w:tr>
      <w:tr w:rsidR="007201FC" w:rsidRPr="007201FC" w14:paraId="01621E1B" w14:textId="77777777" w:rsidTr="00E62F55">
        <w:trPr>
          <w:trHeight w:val="204"/>
        </w:trPr>
        <w:tc>
          <w:tcPr>
            <w:tcW w:w="3402" w:type="dxa"/>
            <w:tcBorders>
              <w:top w:val="nil"/>
              <w:left w:val="nil"/>
              <w:bottom w:val="nil"/>
              <w:right w:val="nil"/>
            </w:tcBorders>
            <w:shd w:val="clear" w:color="auto" w:fill="auto"/>
            <w:noWrap/>
            <w:vAlign w:val="bottom"/>
            <w:hideMark/>
          </w:tcPr>
          <w:p w14:paraId="0E3C26AC" w14:textId="77777777" w:rsidR="007201FC" w:rsidRPr="007201FC" w:rsidRDefault="007201FC" w:rsidP="007201FC">
            <w:pPr>
              <w:spacing w:after="0" w:line="240" w:lineRule="auto"/>
              <w:jc w:val="left"/>
              <w:rPr>
                <w:rFonts w:ascii="Arial" w:hAnsi="Arial" w:cs="Arial"/>
                <w:b/>
                <w:bCs/>
                <w:sz w:val="16"/>
                <w:szCs w:val="16"/>
              </w:rPr>
            </w:pPr>
            <w:r w:rsidRPr="007201FC">
              <w:rPr>
                <w:rFonts w:ascii="Arial" w:hAnsi="Arial" w:cs="Arial"/>
                <w:b/>
                <w:bCs/>
                <w:sz w:val="16"/>
                <w:szCs w:val="16"/>
              </w:rPr>
              <w:t>NEW CAPITAL APPROPRIATIONS</w:t>
            </w:r>
          </w:p>
        </w:tc>
        <w:tc>
          <w:tcPr>
            <w:tcW w:w="860" w:type="dxa"/>
            <w:tcBorders>
              <w:top w:val="nil"/>
              <w:left w:val="nil"/>
              <w:bottom w:val="nil"/>
              <w:right w:val="nil"/>
            </w:tcBorders>
            <w:shd w:val="clear" w:color="auto" w:fill="auto"/>
            <w:noWrap/>
            <w:vAlign w:val="bottom"/>
            <w:hideMark/>
          </w:tcPr>
          <w:p w14:paraId="34A457B2" w14:textId="77777777" w:rsidR="007201FC" w:rsidRPr="007201FC" w:rsidRDefault="007201FC" w:rsidP="007201FC">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bottom"/>
            <w:hideMark/>
          </w:tcPr>
          <w:p w14:paraId="1FC51EE2" w14:textId="19DB9E24" w:rsidR="007201FC" w:rsidRPr="007201FC" w:rsidRDefault="007201FC" w:rsidP="007201F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683E880F" w14:textId="77777777" w:rsidR="007201FC" w:rsidRPr="007201FC" w:rsidRDefault="007201FC" w:rsidP="007201F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1F69DFC" w14:textId="77777777" w:rsidR="007201FC" w:rsidRPr="007201FC" w:rsidRDefault="007201FC" w:rsidP="007201FC">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2D17B406" w14:textId="77777777" w:rsidR="007201FC" w:rsidRPr="007201FC" w:rsidRDefault="007201FC" w:rsidP="007201FC">
            <w:pPr>
              <w:spacing w:after="0" w:line="240" w:lineRule="auto"/>
              <w:jc w:val="right"/>
              <w:rPr>
                <w:rFonts w:ascii="Times New Roman" w:hAnsi="Times New Roman"/>
              </w:rPr>
            </w:pPr>
          </w:p>
        </w:tc>
      </w:tr>
      <w:tr w:rsidR="007201FC" w:rsidRPr="007201FC" w14:paraId="20DB9B23" w14:textId="77777777" w:rsidTr="00E62F55">
        <w:trPr>
          <w:trHeight w:val="204"/>
        </w:trPr>
        <w:tc>
          <w:tcPr>
            <w:tcW w:w="3402" w:type="dxa"/>
            <w:tcBorders>
              <w:top w:val="nil"/>
              <w:left w:val="nil"/>
              <w:bottom w:val="nil"/>
              <w:right w:val="nil"/>
            </w:tcBorders>
            <w:shd w:val="clear" w:color="auto" w:fill="auto"/>
            <w:noWrap/>
            <w:vAlign w:val="center"/>
            <w:hideMark/>
          </w:tcPr>
          <w:p w14:paraId="2C298FB5" w14:textId="77777777" w:rsidR="007201FC" w:rsidRPr="007201FC" w:rsidRDefault="007201FC" w:rsidP="007201FC">
            <w:pPr>
              <w:spacing w:after="0" w:line="240" w:lineRule="auto"/>
              <w:ind w:left="113"/>
              <w:jc w:val="left"/>
              <w:rPr>
                <w:rFonts w:ascii="Arial" w:hAnsi="Arial" w:cs="Arial"/>
                <w:sz w:val="16"/>
                <w:szCs w:val="16"/>
              </w:rPr>
            </w:pPr>
            <w:r w:rsidRPr="007201FC">
              <w:rPr>
                <w:rFonts w:ascii="Arial" w:hAnsi="Arial" w:cs="Arial"/>
                <w:sz w:val="16"/>
                <w:szCs w:val="16"/>
              </w:rPr>
              <w:t>Capital budget - Act No. 1 and Bill 3 (DCB)</w:t>
            </w:r>
          </w:p>
        </w:tc>
        <w:tc>
          <w:tcPr>
            <w:tcW w:w="860" w:type="dxa"/>
            <w:tcBorders>
              <w:top w:val="nil"/>
              <w:left w:val="nil"/>
              <w:bottom w:val="nil"/>
              <w:right w:val="nil"/>
            </w:tcBorders>
            <w:shd w:val="clear" w:color="auto" w:fill="auto"/>
            <w:noWrap/>
            <w:vAlign w:val="bottom"/>
            <w:hideMark/>
          </w:tcPr>
          <w:p w14:paraId="517AD870" w14:textId="194E8227"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12,981</w:t>
            </w:r>
          </w:p>
        </w:tc>
        <w:tc>
          <w:tcPr>
            <w:tcW w:w="860" w:type="dxa"/>
            <w:tcBorders>
              <w:top w:val="nil"/>
              <w:left w:val="nil"/>
              <w:bottom w:val="nil"/>
              <w:right w:val="nil"/>
            </w:tcBorders>
            <w:shd w:val="clear" w:color="000000" w:fill="E6E6E6"/>
            <w:noWrap/>
            <w:vAlign w:val="bottom"/>
            <w:hideMark/>
          </w:tcPr>
          <w:p w14:paraId="70CE232E" w14:textId="73E3D90C"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20,989</w:t>
            </w:r>
          </w:p>
        </w:tc>
        <w:tc>
          <w:tcPr>
            <w:tcW w:w="860" w:type="dxa"/>
            <w:tcBorders>
              <w:top w:val="nil"/>
              <w:left w:val="nil"/>
              <w:bottom w:val="nil"/>
              <w:right w:val="nil"/>
            </w:tcBorders>
            <w:shd w:val="clear" w:color="auto" w:fill="auto"/>
            <w:noWrap/>
            <w:vAlign w:val="bottom"/>
            <w:hideMark/>
          </w:tcPr>
          <w:p w14:paraId="2F287FD1" w14:textId="070A9B1F"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9,878</w:t>
            </w:r>
          </w:p>
        </w:tc>
        <w:tc>
          <w:tcPr>
            <w:tcW w:w="860" w:type="dxa"/>
            <w:tcBorders>
              <w:top w:val="nil"/>
              <w:left w:val="nil"/>
              <w:bottom w:val="nil"/>
              <w:right w:val="nil"/>
            </w:tcBorders>
            <w:shd w:val="clear" w:color="auto" w:fill="auto"/>
            <w:noWrap/>
            <w:vAlign w:val="bottom"/>
            <w:hideMark/>
          </w:tcPr>
          <w:p w14:paraId="3FBC422D" w14:textId="3CEDAE2F"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9,955</w:t>
            </w:r>
          </w:p>
        </w:tc>
        <w:tc>
          <w:tcPr>
            <w:tcW w:w="860" w:type="dxa"/>
            <w:tcBorders>
              <w:top w:val="nil"/>
              <w:left w:val="nil"/>
              <w:bottom w:val="nil"/>
              <w:right w:val="nil"/>
            </w:tcBorders>
            <w:shd w:val="clear" w:color="auto" w:fill="auto"/>
            <w:noWrap/>
            <w:vAlign w:val="bottom"/>
            <w:hideMark/>
          </w:tcPr>
          <w:p w14:paraId="34439C9A" w14:textId="05400437"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10,169</w:t>
            </w:r>
          </w:p>
        </w:tc>
      </w:tr>
      <w:tr w:rsidR="007201FC" w:rsidRPr="007201FC" w14:paraId="1B496467" w14:textId="77777777" w:rsidTr="00E62F55">
        <w:trPr>
          <w:trHeight w:val="204"/>
        </w:trPr>
        <w:tc>
          <w:tcPr>
            <w:tcW w:w="3402" w:type="dxa"/>
            <w:tcBorders>
              <w:top w:val="nil"/>
              <w:left w:val="nil"/>
              <w:bottom w:val="nil"/>
              <w:right w:val="nil"/>
            </w:tcBorders>
            <w:shd w:val="clear" w:color="auto" w:fill="auto"/>
            <w:noWrap/>
            <w:vAlign w:val="center"/>
            <w:hideMark/>
          </w:tcPr>
          <w:p w14:paraId="23DB435E" w14:textId="77777777" w:rsidR="007201FC" w:rsidRPr="007201FC" w:rsidRDefault="007201FC" w:rsidP="007201FC">
            <w:pPr>
              <w:spacing w:after="0" w:line="240" w:lineRule="auto"/>
              <w:jc w:val="left"/>
              <w:rPr>
                <w:rFonts w:ascii="Arial" w:hAnsi="Arial" w:cs="Arial"/>
                <w:b/>
                <w:bCs/>
                <w:sz w:val="16"/>
                <w:szCs w:val="16"/>
              </w:rPr>
            </w:pPr>
            <w:r w:rsidRPr="007201FC">
              <w:rPr>
                <w:rFonts w:ascii="Arial" w:hAnsi="Arial" w:cs="Arial"/>
                <w:b/>
                <w:bCs/>
                <w:sz w:val="16"/>
                <w:szCs w:val="16"/>
              </w:rPr>
              <w:t>Total new capital appropriations</w:t>
            </w:r>
          </w:p>
        </w:tc>
        <w:tc>
          <w:tcPr>
            <w:tcW w:w="860" w:type="dxa"/>
            <w:tcBorders>
              <w:top w:val="single" w:sz="4" w:space="0" w:color="auto"/>
              <w:left w:val="nil"/>
              <w:bottom w:val="single" w:sz="4" w:space="0" w:color="auto"/>
              <w:right w:val="nil"/>
            </w:tcBorders>
            <w:shd w:val="clear" w:color="auto" w:fill="auto"/>
            <w:noWrap/>
            <w:vAlign w:val="bottom"/>
            <w:hideMark/>
          </w:tcPr>
          <w:p w14:paraId="2DB422B9" w14:textId="03EE5BDF"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12,981</w:t>
            </w:r>
          </w:p>
        </w:tc>
        <w:tc>
          <w:tcPr>
            <w:tcW w:w="860" w:type="dxa"/>
            <w:tcBorders>
              <w:top w:val="single" w:sz="4" w:space="0" w:color="auto"/>
              <w:left w:val="nil"/>
              <w:bottom w:val="single" w:sz="4" w:space="0" w:color="auto"/>
              <w:right w:val="nil"/>
            </w:tcBorders>
            <w:shd w:val="clear" w:color="000000" w:fill="E6E6E6"/>
            <w:noWrap/>
            <w:vAlign w:val="bottom"/>
            <w:hideMark/>
          </w:tcPr>
          <w:p w14:paraId="72A4E82C" w14:textId="6A471BBA"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20,989</w:t>
            </w:r>
          </w:p>
        </w:tc>
        <w:tc>
          <w:tcPr>
            <w:tcW w:w="860" w:type="dxa"/>
            <w:tcBorders>
              <w:top w:val="single" w:sz="4" w:space="0" w:color="auto"/>
              <w:left w:val="nil"/>
              <w:bottom w:val="single" w:sz="4" w:space="0" w:color="auto"/>
              <w:right w:val="nil"/>
            </w:tcBorders>
            <w:shd w:val="clear" w:color="auto" w:fill="auto"/>
            <w:noWrap/>
            <w:vAlign w:val="bottom"/>
            <w:hideMark/>
          </w:tcPr>
          <w:p w14:paraId="3B6BDF70" w14:textId="44FFA4BB"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9,878</w:t>
            </w:r>
          </w:p>
        </w:tc>
        <w:tc>
          <w:tcPr>
            <w:tcW w:w="860" w:type="dxa"/>
            <w:tcBorders>
              <w:top w:val="single" w:sz="4" w:space="0" w:color="auto"/>
              <w:left w:val="nil"/>
              <w:bottom w:val="single" w:sz="4" w:space="0" w:color="auto"/>
              <w:right w:val="nil"/>
            </w:tcBorders>
            <w:shd w:val="clear" w:color="auto" w:fill="auto"/>
            <w:noWrap/>
            <w:vAlign w:val="bottom"/>
            <w:hideMark/>
          </w:tcPr>
          <w:p w14:paraId="3467A47B" w14:textId="1E5F84EF"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9,955</w:t>
            </w:r>
          </w:p>
        </w:tc>
        <w:tc>
          <w:tcPr>
            <w:tcW w:w="860" w:type="dxa"/>
            <w:tcBorders>
              <w:top w:val="single" w:sz="4" w:space="0" w:color="auto"/>
              <w:left w:val="nil"/>
              <w:bottom w:val="single" w:sz="4" w:space="0" w:color="auto"/>
              <w:right w:val="nil"/>
            </w:tcBorders>
            <w:shd w:val="clear" w:color="auto" w:fill="auto"/>
            <w:noWrap/>
            <w:vAlign w:val="bottom"/>
            <w:hideMark/>
          </w:tcPr>
          <w:p w14:paraId="071DBF87" w14:textId="517B86FC"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10,169</w:t>
            </w:r>
          </w:p>
        </w:tc>
      </w:tr>
      <w:tr w:rsidR="007201FC" w:rsidRPr="007201FC" w14:paraId="2A0A20F1" w14:textId="77777777" w:rsidTr="00E62F55">
        <w:trPr>
          <w:trHeight w:val="204"/>
        </w:trPr>
        <w:tc>
          <w:tcPr>
            <w:tcW w:w="3402" w:type="dxa"/>
            <w:tcBorders>
              <w:top w:val="nil"/>
              <w:left w:val="nil"/>
              <w:bottom w:val="nil"/>
              <w:right w:val="nil"/>
            </w:tcBorders>
            <w:shd w:val="clear" w:color="auto" w:fill="auto"/>
            <w:noWrap/>
            <w:vAlign w:val="center"/>
            <w:hideMark/>
          </w:tcPr>
          <w:p w14:paraId="699D8C65" w14:textId="77777777" w:rsidR="007201FC" w:rsidRPr="007201FC" w:rsidRDefault="007201FC" w:rsidP="007201FC">
            <w:pPr>
              <w:spacing w:after="0" w:line="240" w:lineRule="auto"/>
              <w:ind w:left="113"/>
              <w:jc w:val="left"/>
              <w:rPr>
                <w:rFonts w:ascii="Arial" w:hAnsi="Arial" w:cs="Arial"/>
                <w:b/>
                <w:bCs/>
                <w:sz w:val="16"/>
                <w:szCs w:val="16"/>
              </w:rPr>
            </w:pPr>
            <w:r w:rsidRPr="007201FC">
              <w:rPr>
                <w:rFonts w:ascii="Arial" w:hAnsi="Arial" w:cs="Arial"/>
                <w:b/>
                <w:bCs/>
                <w:sz w:val="16"/>
                <w:szCs w:val="16"/>
              </w:rPr>
              <w:t>Provided for:</w:t>
            </w:r>
          </w:p>
        </w:tc>
        <w:tc>
          <w:tcPr>
            <w:tcW w:w="860" w:type="dxa"/>
            <w:tcBorders>
              <w:top w:val="nil"/>
              <w:left w:val="nil"/>
              <w:bottom w:val="nil"/>
              <w:right w:val="nil"/>
            </w:tcBorders>
            <w:shd w:val="clear" w:color="auto" w:fill="auto"/>
            <w:noWrap/>
            <w:vAlign w:val="bottom"/>
            <w:hideMark/>
          </w:tcPr>
          <w:p w14:paraId="5C1FFBBF" w14:textId="77777777" w:rsidR="007201FC" w:rsidRPr="007201FC" w:rsidRDefault="007201FC" w:rsidP="007201FC">
            <w:pPr>
              <w:spacing w:after="0" w:line="240" w:lineRule="auto"/>
              <w:ind w:firstLineChars="100" w:firstLine="160"/>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bottom"/>
            <w:hideMark/>
          </w:tcPr>
          <w:p w14:paraId="5209AE4B" w14:textId="0AF65A4D" w:rsidR="007201FC" w:rsidRPr="007201FC" w:rsidRDefault="007201FC" w:rsidP="007201FC">
            <w:pPr>
              <w:spacing w:after="0" w:line="240" w:lineRule="auto"/>
              <w:jc w:val="right"/>
              <w:rPr>
                <w:rFonts w:ascii="Arial" w:hAnsi="Arial" w:cs="Arial"/>
                <w:i/>
                <w:iCs/>
                <w:sz w:val="16"/>
                <w:szCs w:val="16"/>
              </w:rPr>
            </w:pPr>
          </w:p>
        </w:tc>
        <w:tc>
          <w:tcPr>
            <w:tcW w:w="860" w:type="dxa"/>
            <w:tcBorders>
              <w:top w:val="nil"/>
              <w:left w:val="nil"/>
              <w:bottom w:val="nil"/>
              <w:right w:val="nil"/>
            </w:tcBorders>
            <w:shd w:val="clear" w:color="auto" w:fill="auto"/>
            <w:noWrap/>
            <w:vAlign w:val="bottom"/>
            <w:hideMark/>
          </w:tcPr>
          <w:p w14:paraId="58706044" w14:textId="77777777" w:rsidR="007201FC" w:rsidRPr="007201FC" w:rsidRDefault="007201FC" w:rsidP="007201FC">
            <w:pPr>
              <w:spacing w:after="0" w:line="240" w:lineRule="auto"/>
              <w:jc w:val="right"/>
              <w:rPr>
                <w:rFonts w:ascii="Arial" w:hAnsi="Arial" w:cs="Arial"/>
                <w:i/>
                <w:iCs/>
                <w:sz w:val="16"/>
                <w:szCs w:val="16"/>
              </w:rPr>
            </w:pPr>
          </w:p>
        </w:tc>
        <w:tc>
          <w:tcPr>
            <w:tcW w:w="860" w:type="dxa"/>
            <w:tcBorders>
              <w:top w:val="nil"/>
              <w:left w:val="nil"/>
              <w:bottom w:val="nil"/>
              <w:right w:val="nil"/>
            </w:tcBorders>
            <w:shd w:val="clear" w:color="auto" w:fill="auto"/>
            <w:noWrap/>
            <w:vAlign w:val="bottom"/>
            <w:hideMark/>
          </w:tcPr>
          <w:p w14:paraId="6A29F58E" w14:textId="77777777" w:rsidR="007201FC" w:rsidRPr="007201FC" w:rsidRDefault="007201FC" w:rsidP="007201FC">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66BE3528" w14:textId="77777777" w:rsidR="007201FC" w:rsidRPr="007201FC" w:rsidRDefault="007201FC" w:rsidP="007201FC">
            <w:pPr>
              <w:spacing w:after="0" w:line="240" w:lineRule="auto"/>
              <w:jc w:val="right"/>
              <w:rPr>
                <w:rFonts w:ascii="Times New Roman" w:hAnsi="Times New Roman"/>
              </w:rPr>
            </w:pPr>
          </w:p>
        </w:tc>
      </w:tr>
      <w:tr w:rsidR="007201FC" w:rsidRPr="007201FC" w14:paraId="6E47CC6E" w14:textId="77777777" w:rsidTr="00E62F55">
        <w:trPr>
          <w:trHeight w:val="204"/>
        </w:trPr>
        <w:tc>
          <w:tcPr>
            <w:tcW w:w="3402" w:type="dxa"/>
            <w:tcBorders>
              <w:top w:val="nil"/>
              <w:left w:val="nil"/>
              <w:bottom w:val="nil"/>
              <w:right w:val="nil"/>
            </w:tcBorders>
            <w:shd w:val="clear" w:color="auto" w:fill="auto"/>
            <w:noWrap/>
            <w:vAlign w:val="center"/>
            <w:hideMark/>
          </w:tcPr>
          <w:p w14:paraId="619E761F" w14:textId="77777777" w:rsidR="007201FC" w:rsidRPr="007201FC" w:rsidRDefault="007201FC" w:rsidP="007201FC">
            <w:pPr>
              <w:spacing w:after="0" w:line="240" w:lineRule="auto"/>
              <w:ind w:left="227"/>
              <w:jc w:val="left"/>
              <w:rPr>
                <w:rFonts w:ascii="Arial" w:hAnsi="Arial" w:cs="Arial"/>
                <w:sz w:val="16"/>
                <w:szCs w:val="16"/>
              </w:rPr>
            </w:pPr>
            <w:r w:rsidRPr="007201FC">
              <w:rPr>
                <w:rFonts w:ascii="Arial" w:hAnsi="Arial" w:cs="Arial"/>
                <w:sz w:val="16"/>
                <w:szCs w:val="16"/>
              </w:rPr>
              <w:t>Purchase of non-financial assets</w:t>
            </w:r>
          </w:p>
        </w:tc>
        <w:tc>
          <w:tcPr>
            <w:tcW w:w="860" w:type="dxa"/>
            <w:tcBorders>
              <w:top w:val="nil"/>
              <w:left w:val="nil"/>
              <w:bottom w:val="nil"/>
              <w:right w:val="nil"/>
            </w:tcBorders>
            <w:shd w:val="clear" w:color="auto" w:fill="auto"/>
            <w:noWrap/>
            <w:vAlign w:val="bottom"/>
            <w:hideMark/>
          </w:tcPr>
          <w:p w14:paraId="1726626C" w14:textId="27F2ECE7"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12,981</w:t>
            </w:r>
          </w:p>
        </w:tc>
        <w:tc>
          <w:tcPr>
            <w:tcW w:w="860" w:type="dxa"/>
            <w:tcBorders>
              <w:top w:val="nil"/>
              <w:left w:val="nil"/>
              <w:bottom w:val="nil"/>
              <w:right w:val="nil"/>
            </w:tcBorders>
            <w:shd w:val="clear" w:color="000000" w:fill="E6E6E6"/>
            <w:noWrap/>
            <w:vAlign w:val="bottom"/>
            <w:hideMark/>
          </w:tcPr>
          <w:p w14:paraId="369A96F0" w14:textId="2D7724D9"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20,989</w:t>
            </w:r>
          </w:p>
        </w:tc>
        <w:tc>
          <w:tcPr>
            <w:tcW w:w="860" w:type="dxa"/>
            <w:tcBorders>
              <w:top w:val="nil"/>
              <w:left w:val="nil"/>
              <w:bottom w:val="nil"/>
              <w:right w:val="nil"/>
            </w:tcBorders>
            <w:shd w:val="clear" w:color="auto" w:fill="auto"/>
            <w:noWrap/>
            <w:vAlign w:val="bottom"/>
            <w:hideMark/>
          </w:tcPr>
          <w:p w14:paraId="639D3686" w14:textId="4ECD64E2"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9,878</w:t>
            </w:r>
          </w:p>
        </w:tc>
        <w:tc>
          <w:tcPr>
            <w:tcW w:w="860" w:type="dxa"/>
            <w:tcBorders>
              <w:top w:val="nil"/>
              <w:left w:val="nil"/>
              <w:bottom w:val="nil"/>
              <w:right w:val="nil"/>
            </w:tcBorders>
            <w:shd w:val="clear" w:color="auto" w:fill="auto"/>
            <w:noWrap/>
            <w:vAlign w:val="bottom"/>
            <w:hideMark/>
          </w:tcPr>
          <w:p w14:paraId="21419B82" w14:textId="38A419F4"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9,955</w:t>
            </w:r>
          </w:p>
        </w:tc>
        <w:tc>
          <w:tcPr>
            <w:tcW w:w="860" w:type="dxa"/>
            <w:tcBorders>
              <w:top w:val="nil"/>
              <w:left w:val="nil"/>
              <w:bottom w:val="nil"/>
              <w:right w:val="nil"/>
            </w:tcBorders>
            <w:shd w:val="clear" w:color="auto" w:fill="auto"/>
            <w:noWrap/>
            <w:vAlign w:val="bottom"/>
            <w:hideMark/>
          </w:tcPr>
          <w:p w14:paraId="6CF7821F" w14:textId="0A84760B"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10,169</w:t>
            </w:r>
          </w:p>
        </w:tc>
      </w:tr>
      <w:tr w:rsidR="007201FC" w:rsidRPr="007201FC" w14:paraId="2838ABC3" w14:textId="77777777" w:rsidTr="00E62F55">
        <w:trPr>
          <w:trHeight w:val="204"/>
        </w:trPr>
        <w:tc>
          <w:tcPr>
            <w:tcW w:w="3402" w:type="dxa"/>
            <w:tcBorders>
              <w:top w:val="nil"/>
              <w:left w:val="nil"/>
              <w:bottom w:val="nil"/>
              <w:right w:val="nil"/>
            </w:tcBorders>
            <w:shd w:val="clear" w:color="auto" w:fill="auto"/>
            <w:noWrap/>
            <w:vAlign w:val="center"/>
            <w:hideMark/>
          </w:tcPr>
          <w:p w14:paraId="537A8AD3" w14:textId="77777777" w:rsidR="007201FC" w:rsidRPr="007201FC" w:rsidRDefault="007201FC" w:rsidP="007201FC">
            <w:pPr>
              <w:spacing w:after="0" w:line="240" w:lineRule="auto"/>
              <w:ind w:left="113"/>
              <w:jc w:val="left"/>
              <w:rPr>
                <w:rFonts w:ascii="Arial" w:hAnsi="Arial" w:cs="Arial"/>
                <w:b/>
                <w:bCs/>
                <w:sz w:val="16"/>
                <w:szCs w:val="16"/>
              </w:rPr>
            </w:pPr>
            <w:r w:rsidRPr="007201FC">
              <w:rPr>
                <w:rFonts w:ascii="Arial" w:hAnsi="Arial" w:cs="Arial"/>
                <w:b/>
                <w:bCs/>
                <w:sz w:val="16"/>
                <w:szCs w:val="16"/>
              </w:rPr>
              <w:t>Total items</w:t>
            </w:r>
          </w:p>
        </w:tc>
        <w:tc>
          <w:tcPr>
            <w:tcW w:w="860" w:type="dxa"/>
            <w:tcBorders>
              <w:top w:val="single" w:sz="4" w:space="0" w:color="auto"/>
              <w:left w:val="nil"/>
              <w:bottom w:val="single" w:sz="4" w:space="0" w:color="auto"/>
              <w:right w:val="nil"/>
            </w:tcBorders>
            <w:shd w:val="clear" w:color="auto" w:fill="auto"/>
            <w:noWrap/>
            <w:vAlign w:val="bottom"/>
            <w:hideMark/>
          </w:tcPr>
          <w:p w14:paraId="1F2CAC07" w14:textId="16B133A7"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12,981</w:t>
            </w:r>
          </w:p>
        </w:tc>
        <w:tc>
          <w:tcPr>
            <w:tcW w:w="860" w:type="dxa"/>
            <w:tcBorders>
              <w:top w:val="single" w:sz="4" w:space="0" w:color="auto"/>
              <w:left w:val="nil"/>
              <w:bottom w:val="single" w:sz="4" w:space="0" w:color="auto"/>
              <w:right w:val="nil"/>
            </w:tcBorders>
            <w:shd w:val="clear" w:color="000000" w:fill="E6E6E6"/>
            <w:noWrap/>
            <w:vAlign w:val="bottom"/>
            <w:hideMark/>
          </w:tcPr>
          <w:p w14:paraId="0FD04730" w14:textId="2717553A"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20,989</w:t>
            </w:r>
          </w:p>
        </w:tc>
        <w:tc>
          <w:tcPr>
            <w:tcW w:w="860" w:type="dxa"/>
            <w:tcBorders>
              <w:top w:val="single" w:sz="4" w:space="0" w:color="auto"/>
              <w:left w:val="nil"/>
              <w:bottom w:val="single" w:sz="4" w:space="0" w:color="auto"/>
              <w:right w:val="nil"/>
            </w:tcBorders>
            <w:shd w:val="clear" w:color="auto" w:fill="auto"/>
            <w:noWrap/>
            <w:vAlign w:val="bottom"/>
            <w:hideMark/>
          </w:tcPr>
          <w:p w14:paraId="4447AA38" w14:textId="452D5774"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9,878</w:t>
            </w:r>
          </w:p>
        </w:tc>
        <w:tc>
          <w:tcPr>
            <w:tcW w:w="860" w:type="dxa"/>
            <w:tcBorders>
              <w:top w:val="single" w:sz="4" w:space="0" w:color="auto"/>
              <w:left w:val="nil"/>
              <w:bottom w:val="single" w:sz="4" w:space="0" w:color="auto"/>
              <w:right w:val="nil"/>
            </w:tcBorders>
            <w:shd w:val="clear" w:color="auto" w:fill="auto"/>
            <w:noWrap/>
            <w:vAlign w:val="bottom"/>
            <w:hideMark/>
          </w:tcPr>
          <w:p w14:paraId="0C59FF83" w14:textId="7780DE9F"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9,955</w:t>
            </w:r>
          </w:p>
        </w:tc>
        <w:tc>
          <w:tcPr>
            <w:tcW w:w="860" w:type="dxa"/>
            <w:tcBorders>
              <w:top w:val="single" w:sz="4" w:space="0" w:color="auto"/>
              <w:left w:val="nil"/>
              <w:bottom w:val="single" w:sz="4" w:space="0" w:color="auto"/>
              <w:right w:val="nil"/>
            </w:tcBorders>
            <w:shd w:val="clear" w:color="auto" w:fill="auto"/>
            <w:noWrap/>
            <w:vAlign w:val="bottom"/>
            <w:hideMark/>
          </w:tcPr>
          <w:p w14:paraId="73ABFDE8" w14:textId="25E95FAB"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10,169</w:t>
            </w:r>
          </w:p>
        </w:tc>
      </w:tr>
      <w:tr w:rsidR="007201FC" w:rsidRPr="007201FC" w14:paraId="7FB72358" w14:textId="77777777" w:rsidTr="00E62F55">
        <w:trPr>
          <w:trHeight w:val="204"/>
        </w:trPr>
        <w:tc>
          <w:tcPr>
            <w:tcW w:w="3402" w:type="dxa"/>
            <w:tcBorders>
              <w:top w:val="nil"/>
              <w:left w:val="nil"/>
              <w:bottom w:val="nil"/>
              <w:right w:val="nil"/>
            </w:tcBorders>
            <w:shd w:val="clear" w:color="auto" w:fill="auto"/>
            <w:vAlign w:val="center"/>
            <w:hideMark/>
          </w:tcPr>
          <w:p w14:paraId="212222B2" w14:textId="388789CD" w:rsidR="007201FC" w:rsidRPr="007201FC" w:rsidRDefault="007201FC" w:rsidP="007201FC">
            <w:pPr>
              <w:spacing w:after="0" w:line="240" w:lineRule="auto"/>
              <w:jc w:val="left"/>
              <w:rPr>
                <w:rFonts w:ascii="Arial" w:hAnsi="Arial" w:cs="Arial"/>
                <w:b/>
                <w:bCs/>
                <w:sz w:val="16"/>
                <w:szCs w:val="16"/>
              </w:rPr>
            </w:pPr>
            <w:r w:rsidRPr="007201FC">
              <w:rPr>
                <w:rFonts w:ascii="Arial" w:hAnsi="Arial" w:cs="Arial"/>
                <w:b/>
                <w:bCs/>
                <w:sz w:val="16"/>
                <w:szCs w:val="16"/>
              </w:rPr>
              <w:t>PURCHASE OF NON-FINANCIAL</w:t>
            </w:r>
            <w:r>
              <w:rPr>
                <w:rFonts w:ascii="Arial" w:hAnsi="Arial" w:cs="Arial"/>
                <w:b/>
                <w:bCs/>
                <w:sz w:val="16"/>
                <w:szCs w:val="16"/>
              </w:rPr>
              <w:t xml:space="preserve"> </w:t>
            </w:r>
            <w:r w:rsidRPr="007201FC">
              <w:rPr>
                <w:rFonts w:ascii="Arial" w:hAnsi="Arial" w:cs="Arial"/>
                <w:b/>
                <w:bCs/>
                <w:sz w:val="16"/>
                <w:szCs w:val="16"/>
              </w:rPr>
              <w:t>ASSETS</w:t>
            </w:r>
          </w:p>
        </w:tc>
        <w:tc>
          <w:tcPr>
            <w:tcW w:w="860" w:type="dxa"/>
            <w:tcBorders>
              <w:top w:val="nil"/>
              <w:left w:val="nil"/>
              <w:bottom w:val="nil"/>
              <w:right w:val="nil"/>
            </w:tcBorders>
            <w:shd w:val="clear" w:color="auto" w:fill="auto"/>
            <w:vAlign w:val="bottom"/>
            <w:hideMark/>
          </w:tcPr>
          <w:p w14:paraId="3599CBC0" w14:textId="77777777" w:rsidR="007201FC" w:rsidRPr="007201FC" w:rsidRDefault="007201FC" w:rsidP="007201FC">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vAlign w:val="bottom"/>
            <w:hideMark/>
          </w:tcPr>
          <w:p w14:paraId="682A4A5B" w14:textId="0507D7CD" w:rsidR="007201FC" w:rsidRPr="007201FC" w:rsidRDefault="007201FC" w:rsidP="007201F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vAlign w:val="bottom"/>
            <w:hideMark/>
          </w:tcPr>
          <w:p w14:paraId="39737B72" w14:textId="77777777" w:rsidR="007201FC" w:rsidRPr="007201FC" w:rsidRDefault="007201FC" w:rsidP="007201F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vAlign w:val="bottom"/>
            <w:hideMark/>
          </w:tcPr>
          <w:p w14:paraId="1E539DF5" w14:textId="77777777" w:rsidR="007201FC" w:rsidRPr="007201FC" w:rsidRDefault="007201FC" w:rsidP="007201FC">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vAlign w:val="bottom"/>
            <w:hideMark/>
          </w:tcPr>
          <w:p w14:paraId="08DF75CE" w14:textId="77777777" w:rsidR="007201FC" w:rsidRPr="007201FC" w:rsidRDefault="007201FC" w:rsidP="007201FC">
            <w:pPr>
              <w:spacing w:after="0" w:line="240" w:lineRule="auto"/>
              <w:jc w:val="right"/>
              <w:rPr>
                <w:rFonts w:ascii="Times New Roman" w:hAnsi="Times New Roman"/>
              </w:rPr>
            </w:pPr>
          </w:p>
        </w:tc>
      </w:tr>
      <w:tr w:rsidR="007201FC" w:rsidRPr="007201FC" w14:paraId="109DA0EC" w14:textId="77777777" w:rsidTr="00E62F55">
        <w:trPr>
          <w:trHeight w:val="204"/>
        </w:trPr>
        <w:tc>
          <w:tcPr>
            <w:tcW w:w="3402" w:type="dxa"/>
            <w:tcBorders>
              <w:top w:val="nil"/>
              <w:left w:val="nil"/>
              <w:bottom w:val="nil"/>
              <w:right w:val="nil"/>
            </w:tcBorders>
            <w:shd w:val="clear" w:color="auto" w:fill="auto"/>
            <w:vAlign w:val="center"/>
            <w:hideMark/>
          </w:tcPr>
          <w:p w14:paraId="2FD3DA0F" w14:textId="77777777" w:rsidR="007201FC" w:rsidRPr="007201FC" w:rsidRDefault="007201FC" w:rsidP="007201FC">
            <w:pPr>
              <w:spacing w:after="0" w:line="240" w:lineRule="auto"/>
              <w:ind w:left="113"/>
              <w:jc w:val="left"/>
              <w:rPr>
                <w:rFonts w:ascii="Arial" w:hAnsi="Arial" w:cs="Arial"/>
                <w:sz w:val="16"/>
                <w:szCs w:val="16"/>
              </w:rPr>
            </w:pPr>
            <w:r w:rsidRPr="007201FC">
              <w:rPr>
                <w:rFonts w:ascii="Arial" w:hAnsi="Arial" w:cs="Arial"/>
                <w:sz w:val="16"/>
                <w:szCs w:val="16"/>
              </w:rPr>
              <w:t xml:space="preserve">Funded by capital appropriation - DCB </w:t>
            </w:r>
          </w:p>
        </w:tc>
        <w:tc>
          <w:tcPr>
            <w:tcW w:w="860" w:type="dxa"/>
            <w:tcBorders>
              <w:top w:val="nil"/>
              <w:left w:val="nil"/>
              <w:bottom w:val="nil"/>
              <w:right w:val="nil"/>
            </w:tcBorders>
            <w:shd w:val="clear" w:color="auto" w:fill="auto"/>
            <w:noWrap/>
            <w:vAlign w:val="bottom"/>
            <w:hideMark/>
          </w:tcPr>
          <w:p w14:paraId="6D614B49" w14:textId="18EE7B30"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12,981</w:t>
            </w:r>
          </w:p>
        </w:tc>
        <w:tc>
          <w:tcPr>
            <w:tcW w:w="860" w:type="dxa"/>
            <w:tcBorders>
              <w:top w:val="nil"/>
              <w:left w:val="nil"/>
              <w:bottom w:val="nil"/>
              <w:right w:val="nil"/>
            </w:tcBorders>
            <w:shd w:val="clear" w:color="000000" w:fill="E6E6E6"/>
            <w:noWrap/>
            <w:vAlign w:val="bottom"/>
            <w:hideMark/>
          </w:tcPr>
          <w:p w14:paraId="4892278E" w14:textId="0FF89E42"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20,989</w:t>
            </w:r>
          </w:p>
        </w:tc>
        <w:tc>
          <w:tcPr>
            <w:tcW w:w="860" w:type="dxa"/>
            <w:tcBorders>
              <w:top w:val="nil"/>
              <w:left w:val="nil"/>
              <w:bottom w:val="nil"/>
              <w:right w:val="nil"/>
            </w:tcBorders>
            <w:shd w:val="clear" w:color="auto" w:fill="auto"/>
            <w:noWrap/>
            <w:vAlign w:val="bottom"/>
            <w:hideMark/>
          </w:tcPr>
          <w:p w14:paraId="2A044C20" w14:textId="4FDBF7D5"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9,878</w:t>
            </w:r>
          </w:p>
        </w:tc>
        <w:tc>
          <w:tcPr>
            <w:tcW w:w="860" w:type="dxa"/>
            <w:tcBorders>
              <w:top w:val="nil"/>
              <w:left w:val="nil"/>
              <w:bottom w:val="nil"/>
              <w:right w:val="nil"/>
            </w:tcBorders>
            <w:shd w:val="clear" w:color="auto" w:fill="auto"/>
            <w:noWrap/>
            <w:vAlign w:val="bottom"/>
            <w:hideMark/>
          </w:tcPr>
          <w:p w14:paraId="01E943CA" w14:textId="44BF8683"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9,955</w:t>
            </w:r>
          </w:p>
        </w:tc>
        <w:tc>
          <w:tcPr>
            <w:tcW w:w="860" w:type="dxa"/>
            <w:tcBorders>
              <w:top w:val="nil"/>
              <w:left w:val="nil"/>
              <w:bottom w:val="nil"/>
              <w:right w:val="nil"/>
            </w:tcBorders>
            <w:shd w:val="clear" w:color="auto" w:fill="auto"/>
            <w:noWrap/>
            <w:vAlign w:val="bottom"/>
            <w:hideMark/>
          </w:tcPr>
          <w:p w14:paraId="6CDA5FE4" w14:textId="02982B28"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10,169</w:t>
            </w:r>
          </w:p>
        </w:tc>
      </w:tr>
      <w:tr w:rsidR="007201FC" w:rsidRPr="007201FC" w14:paraId="7420364B" w14:textId="77777777" w:rsidTr="00E62F55">
        <w:trPr>
          <w:trHeight w:val="204"/>
        </w:trPr>
        <w:tc>
          <w:tcPr>
            <w:tcW w:w="3402" w:type="dxa"/>
            <w:tcBorders>
              <w:top w:val="nil"/>
              <w:left w:val="nil"/>
              <w:bottom w:val="nil"/>
              <w:right w:val="nil"/>
            </w:tcBorders>
            <w:shd w:val="clear" w:color="auto" w:fill="auto"/>
            <w:vAlign w:val="center"/>
            <w:hideMark/>
          </w:tcPr>
          <w:p w14:paraId="0A33484B" w14:textId="45AB7F3A" w:rsidR="007201FC" w:rsidRPr="007201FC" w:rsidRDefault="007201FC" w:rsidP="007201FC">
            <w:pPr>
              <w:spacing w:after="0" w:line="240" w:lineRule="auto"/>
              <w:ind w:left="113"/>
              <w:jc w:val="left"/>
              <w:rPr>
                <w:rFonts w:ascii="Arial" w:hAnsi="Arial" w:cs="Arial"/>
                <w:sz w:val="16"/>
                <w:szCs w:val="16"/>
              </w:rPr>
            </w:pPr>
            <w:r w:rsidRPr="007201FC">
              <w:rPr>
                <w:rFonts w:ascii="Arial" w:hAnsi="Arial" w:cs="Arial"/>
                <w:sz w:val="16"/>
                <w:szCs w:val="16"/>
              </w:rPr>
              <w:t xml:space="preserve">Funded internally from </w:t>
            </w:r>
            <w:r w:rsidR="008863D9">
              <w:rPr>
                <w:rFonts w:ascii="Arial" w:hAnsi="Arial" w:cs="Arial"/>
                <w:sz w:val="16"/>
                <w:szCs w:val="16"/>
              </w:rPr>
              <w:t>Department</w:t>
            </w:r>
            <w:r w:rsidRPr="007201FC">
              <w:rPr>
                <w:rFonts w:ascii="Arial" w:hAnsi="Arial" w:cs="Arial"/>
                <w:sz w:val="16"/>
                <w:szCs w:val="16"/>
              </w:rPr>
              <w:t>al</w:t>
            </w:r>
            <w:r>
              <w:rPr>
                <w:rFonts w:ascii="Arial" w:hAnsi="Arial" w:cs="Arial"/>
                <w:sz w:val="16"/>
                <w:szCs w:val="16"/>
              </w:rPr>
              <w:t xml:space="preserve"> </w:t>
            </w:r>
            <w:r w:rsidRPr="007201FC">
              <w:rPr>
                <w:rFonts w:ascii="Arial" w:hAnsi="Arial" w:cs="Arial"/>
                <w:sz w:val="16"/>
                <w:szCs w:val="16"/>
              </w:rPr>
              <w:t xml:space="preserve">resources </w:t>
            </w:r>
            <w:r w:rsidRPr="007201FC">
              <w:rPr>
                <w:rFonts w:ascii="Arial" w:hAnsi="Arial" w:cs="Arial"/>
                <w:sz w:val="16"/>
                <w:szCs w:val="16"/>
                <w:vertAlign w:val="superscript"/>
              </w:rPr>
              <w:t>(a)</w:t>
            </w:r>
          </w:p>
        </w:tc>
        <w:tc>
          <w:tcPr>
            <w:tcW w:w="860" w:type="dxa"/>
            <w:tcBorders>
              <w:top w:val="nil"/>
              <w:left w:val="nil"/>
              <w:bottom w:val="nil"/>
              <w:right w:val="nil"/>
            </w:tcBorders>
            <w:shd w:val="clear" w:color="auto" w:fill="auto"/>
            <w:noWrap/>
            <w:vAlign w:val="bottom"/>
            <w:hideMark/>
          </w:tcPr>
          <w:p w14:paraId="6C690E74" w14:textId="22BC4FA9"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8,223</w:t>
            </w:r>
          </w:p>
        </w:tc>
        <w:tc>
          <w:tcPr>
            <w:tcW w:w="860" w:type="dxa"/>
            <w:tcBorders>
              <w:top w:val="nil"/>
              <w:left w:val="nil"/>
              <w:bottom w:val="nil"/>
              <w:right w:val="nil"/>
            </w:tcBorders>
            <w:shd w:val="clear" w:color="000000" w:fill="E6E6E6"/>
            <w:noWrap/>
            <w:vAlign w:val="bottom"/>
            <w:hideMark/>
          </w:tcPr>
          <w:p w14:paraId="155C7499" w14:textId="2D48CDBB"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12,040</w:t>
            </w:r>
          </w:p>
        </w:tc>
        <w:tc>
          <w:tcPr>
            <w:tcW w:w="860" w:type="dxa"/>
            <w:tcBorders>
              <w:top w:val="nil"/>
              <w:left w:val="nil"/>
              <w:bottom w:val="nil"/>
              <w:right w:val="nil"/>
            </w:tcBorders>
            <w:shd w:val="clear" w:color="auto" w:fill="auto"/>
            <w:noWrap/>
            <w:vAlign w:val="bottom"/>
            <w:hideMark/>
          </w:tcPr>
          <w:p w14:paraId="16F1E02F" w14:textId="5D09466A"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w:t>
            </w:r>
          </w:p>
        </w:tc>
        <w:tc>
          <w:tcPr>
            <w:tcW w:w="860" w:type="dxa"/>
            <w:tcBorders>
              <w:top w:val="nil"/>
              <w:left w:val="nil"/>
              <w:bottom w:val="nil"/>
              <w:right w:val="nil"/>
            </w:tcBorders>
            <w:shd w:val="clear" w:color="auto" w:fill="auto"/>
            <w:noWrap/>
            <w:vAlign w:val="bottom"/>
            <w:hideMark/>
          </w:tcPr>
          <w:p w14:paraId="5832334E" w14:textId="47DF3549"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w:t>
            </w:r>
          </w:p>
        </w:tc>
        <w:tc>
          <w:tcPr>
            <w:tcW w:w="860" w:type="dxa"/>
            <w:tcBorders>
              <w:top w:val="nil"/>
              <w:left w:val="nil"/>
              <w:bottom w:val="nil"/>
              <w:right w:val="nil"/>
            </w:tcBorders>
            <w:shd w:val="clear" w:color="auto" w:fill="auto"/>
            <w:noWrap/>
            <w:vAlign w:val="bottom"/>
            <w:hideMark/>
          </w:tcPr>
          <w:p w14:paraId="18E71513" w14:textId="590C171F"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w:t>
            </w:r>
          </w:p>
        </w:tc>
      </w:tr>
      <w:tr w:rsidR="007201FC" w:rsidRPr="007201FC" w14:paraId="34C47A1F" w14:textId="77777777" w:rsidTr="00E62F55">
        <w:trPr>
          <w:trHeight w:val="204"/>
        </w:trPr>
        <w:tc>
          <w:tcPr>
            <w:tcW w:w="3402" w:type="dxa"/>
            <w:tcBorders>
              <w:top w:val="nil"/>
              <w:left w:val="nil"/>
              <w:bottom w:val="nil"/>
              <w:right w:val="nil"/>
            </w:tcBorders>
            <w:shd w:val="clear" w:color="auto" w:fill="auto"/>
            <w:noWrap/>
            <w:vAlign w:val="center"/>
            <w:hideMark/>
          </w:tcPr>
          <w:p w14:paraId="12CFC486" w14:textId="77777777" w:rsidR="007201FC" w:rsidRPr="007201FC" w:rsidRDefault="007201FC" w:rsidP="007201FC">
            <w:pPr>
              <w:spacing w:after="0" w:line="240" w:lineRule="auto"/>
              <w:jc w:val="left"/>
              <w:rPr>
                <w:rFonts w:ascii="Arial" w:hAnsi="Arial" w:cs="Arial"/>
                <w:b/>
                <w:bCs/>
                <w:sz w:val="16"/>
                <w:szCs w:val="16"/>
              </w:rPr>
            </w:pPr>
            <w:r w:rsidRPr="007201FC">
              <w:rPr>
                <w:rFonts w:ascii="Arial" w:hAnsi="Arial" w:cs="Arial"/>
                <w:b/>
                <w:bCs/>
                <w:sz w:val="16"/>
                <w:szCs w:val="16"/>
              </w:rPr>
              <w:t>TOTAL</w:t>
            </w:r>
          </w:p>
        </w:tc>
        <w:tc>
          <w:tcPr>
            <w:tcW w:w="860" w:type="dxa"/>
            <w:tcBorders>
              <w:top w:val="single" w:sz="4" w:space="0" w:color="auto"/>
              <w:left w:val="nil"/>
              <w:bottom w:val="single" w:sz="4" w:space="0" w:color="auto"/>
              <w:right w:val="nil"/>
            </w:tcBorders>
            <w:shd w:val="clear" w:color="auto" w:fill="auto"/>
            <w:noWrap/>
            <w:vAlign w:val="bottom"/>
            <w:hideMark/>
          </w:tcPr>
          <w:p w14:paraId="47B30419" w14:textId="3FDFE5CA"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21,204</w:t>
            </w:r>
          </w:p>
        </w:tc>
        <w:tc>
          <w:tcPr>
            <w:tcW w:w="860" w:type="dxa"/>
            <w:tcBorders>
              <w:top w:val="single" w:sz="4" w:space="0" w:color="auto"/>
              <w:left w:val="nil"/>
              <w:bottom w:val="single" w:sz="4" w:space="0" w:color="auto"/>
              <w:right w:val="nil"/>
            </w:tcBorders>
            <w:shd w:val="clear" w:color="000000" w:fill="E6E6E6"/>
            <w:noWrap/>
            <w:vAlign w:val="bottom"/>
            <w:hideMark/>
          </w:tcPr>
          <w:p w14:paraId="39B10E7F" w14:textId="0B7F54F2"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33,029</w:t>
            </w:r>
          </w:p>
        </w:tc>
        <w:tc>
          <w:tcPr>
            <w:tcW w:w="860" w:type="dxa"/>
            <w:tcBorders>
              <w:top w:val="single" w:sz="4" w:space="0" w:color="auto"/>
              <w:left w:val="nil"/>
              <w:bottom w:val="single" w:sz="4" w:space="0" w:color="auto"/>
              <w:right w:val="nil"/>
            </w:tcBorders>
            <w:shd w:val="clear" w:color="auto" w:fill="auto"/>
            <w:noWrap/>
            <w:vAlign w:val="bottom"/>
            <w:hideMark/>
          </w:tcPr>
          <w:p w14:paraId="5885E8B0" w14:textId="2EEA843C"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9,878</w:t>
            </w:r>
          </w:p>
        </w:tc>
        <w:tc>
          <w:tcPr>
            <w:tcW w:w="860" w:type="dxa"/>
            <w:tcBorders>
              <w:top w:val="single" w:sz="4" w:space="0" w:color="auto"/>
              <w:left w:val="nil"/>
              <w:bottom w:val="single" w:sz="4" w:space="0" w:color="auto"/>
              <w:right w:val="nil"/>
            </w:tcBorders>
            <w:shd w:val="clear" w:color="auto" w:fill="auto"/>
            <w:noWrap/>
            <w:vAlign w:val="bottom"/>
            <w:hideMark/>
          </w:tcPr>
          <w:p w14:paraId="243C9DE0" w14:textId="75DFADBD"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9,955</w:t>
            </w:r>
          </w:p>
        </w:tc>
        <w:tc>
          <w:tcPr>
            <w:tcW w:w="860" w:type="dxa"/>
            <w:tcBorders>
              <w:top w:val="single" w:sz="4" w:space="0" w:color="auto"/>
              <w:left w:val="nil"/>
              <w:bottom w:val="single" w:sz="4" w:space="0" w:color="auto"/>
              <w:right w:val="nil"/>
            </w:tcBorders>
            <w:shd w:val="clear" w:color="auto" w:fill="auto"/>
            <w:noWrap/>
            <w:vAlign w:val="bottom"/>
            <w:hideMark/>
          </w:tcPr>
          <w:p w14:paraId="44817078" w14:textId="2119117D"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10,169</w:t>
            </w:r>
          </w:p>
        </w:tc>
      </w:tr>
      <w:tr w:rsidR="007201FC" w:rsidRPr="007201FC" w14:paraId="18BF0FDD" w14:textId="77777777" w:rsidTr="00E62F55">
        <w:trPr>
          <w:trHeight w:val="204"/>
        </w:trPr>
        <w:tc>
          <w:tcPr>
            <w:tcW w:w="3402" w:type="dxa"/>
            <w:tcBorders>
              <w:top w:val="nil"/>
              <w:left w:val="nil"/>
              <w:bottom w:val="nil"/>
              <w:right w:val="nil"/>
            </w:tcBorders>
            <w:shd w:val="clear" w:color="auto" w:fill="auto"/>
            <w:vAlign w:val="center"/>
            <w:hideMark/>
          </w:tcPr>
          <w:p w14:paraId="708DB886" w14:textId="7475739F" w:rsidR="007201FC" w:rsidRPr="007201FC" w:rsidRDefault="007201FC" w:rsidP="007201FC">
            <w:pPr>
              <w:spacing w:after="0" w:line="240" w:lineRule="auto"/>
              <w:jc w:val="left"/>
              <w:rPr>
                <w:rFonts w:ascii="Arial" w:hAnsi="Arial" w:cs="Arial"/>
                <w:b/>
                <w:bCs/>
                <w:sz w:val="16"/>
                <w:szCs w:val="16"/>
              </w:rPr>
            </w:pPr>
            <w:r w:rsidRPr="007201FC">
              <w:rPr>
                <w:rFonts w:ascii="Arial" w:hAnsi="Arial" w:cs="Arial"/>
                <w:b/>
                <w:bCs/>
                <w:sz w:val="16"/>
                <w:szCs w:val="16"/>
              </w:rPr>
              <w:t>RECONCILIATION OF CASH USED</w:t>
            </w:r>
            <w:r>
              <w:rPr>
                <w:rFonts w:ascii="Arial" w:hAnsi="Arial" w:cs="Arial"/>
                <w:b/>
                <w:bCs/>
                <w:sz w:val="16"/>
                <w:szCs w:val="16"/>
              </w:rPr>
              <w:t xml:space="preserve"> </w:t>
            </w:r>
            <w:r w:rsidRPr="007201FC">
              <w:rPr>
                <w:rFonts w:ascii="Arial" w:hAnsi="Arial" w:cs="Arial"/>
                <w:b/>
                <w:bCs/>
                <w:sz w:val="16"/>
                <w:szCs w:val="16"/>
              </w:rPr>
              <w:t>TO ACQUIRE ASSETS TO ASSET</w:t>
            </w:r>
            <w:r>
              <w:rPr>
                <w:rFonts w:ascii="Arial" w:hAnsi="Arial" w:cs="Arial"/>
                <w:b/>
                <w:bCs/>
                <w:sz w:val="16"/>
                <w:szCs w:val="16"/>
              </w:rPr>
              <w:t xml:space="preserve"> </w:t>
            </w:r>
            <w:r w:rsidRPr="007201FC">
              <w:rPr>
                <w:rFonts w:ascii="Arial" w:hAnsi="Arial" w:cs="Arial"/>
                <w:b/>
                <w:bCs/>
                <w:sz w:val="16"/>
                <w:szCs w:val="16"/>
              </w:rPr>
              <w:t>MOVEMENT TABLE</w:t>
            </w:r>
          </w:p>
        </w:tc>
        <w:tc>
          <w:tcPr>
            <w:tcW w:w="860" w:type="dxa"/>
            <w:tcBorders>
              <w:top w:val="nil"/>
              <w:left w:val="nil"/>
              <w:bottom w:val="nil"/>
              <w:right w:val="nil"/>
            </w:tcBorders>
            <w:shd w:val="clear" w:color="auto" w:fill="auto"/>
            <w:noWrap/>
            <w:vAlign w:val="bottom"/>
            <w:hideMark/>
          </w:tcPr>
          <w:p w14:paraId="07ECCE8A" w14:textId="77777777" w:rsidR="007201FC" w:rsidRPr="007201FC" w:rsidRDefault="007201FC" w:rsidP="007201FC">
            <w:pPr>
              <w:spacing w:after="0" w:line="240" w:lineRule="auto"/>
              <w:jc w:val="right"/>
              <w:rPr>
                <w:rFonts w:ascii="Arial" w:hAnsi="Arial" w:cs="Arial"/>
                <w:b/>
                <w:bCs/>
                <w:sz w:val="16"/>
                <w:szCs w:val="16"/>
              </w:rPr>
            </w:pPr>
          </w:p>
        </w:tc>
        <w:tc>
          <w:tcPr>
            <w:tcW w:w="860" w:type="dxa"/>
            <w:tcBorders>
              <w:top w:val="nil"/>
              <w:left w:val="nil"/>
              <w:bottom w:val="nil"/>
              <w:right w:val="nil"/>
            </w:tcBorders>
            <w:shd w:val="clear" w:color="000000" w:fill="E6E6E6"/>
            <w:noWrap/>
            <w:vAlign w:val="bottom"/>
            <w:hideMark/>
          </w:tcPr>
          <w:p w14:paraId="22BC404D" w14:textId="59C0BC8E" w:rsidR="007201FC" w:rsidRPr="007201FC" w:rsidRDefault="007201FC" w:rsidP="007201F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2AFB9E58" w14:textId="77777777" w:rsidR="007201FC" w:rsidRPr="007201FC" w:rsidRDefault="007201FC" w:rsidP="007201FC">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11F65DAE" w14:textId="77777777" w:rsidR="007201FC" w:rsidRPr="007201FC" w:rsidRDefault="007201FC" w:rsidP="007201FC">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bottom"/>
            <w:hideMark/>
          </w:tcPr>
          <w:p w14:paraId="3374892B" w14:textId="77777777" w:rsidR="007201FC" w:rsidRPr="007201FC" w:rsidRDefault="007201FC" w:rsidP="007201FC">
            <w:pPr>
              <w:spacing w:after="0" w:line="240" w:lineRule="auto"/>
              <w:jc w:val="right"/>
              <w:rPr>
                <w:rFonts w:ascii="Times New Roman" w:hAnsi="Times New Roman"/>
              </w:rPr>
            </w:pPr>
          </w:p>
        </w:tc>
      </w:tr>
      <w:tr w:rsidR="007201FC" w:rsidRPr="007201FC" w14:paraId="2A20B146" w14:textId="77777777" w:rsidTr="00E62F55">
        <w:trPr>
          <w:trHeight w:val="204"/>
        </w:trPr>
        <w:tc>
          <w:tcPr>
            <w:tcW w:w="3402" w:type="dxa"/>
            <w:tcBorders>
              <w:top w:val="nil"/>
              <w:left w:val="nil"/>
              <w:bottom w:val="nil"/>
              <w:right w:val="nil"/>
            </w:tcBorders>
            <w:shd w:val="clear" w:color="auto" w:fill="auto"/>
            <w:noWrap/>
            <w:vAlign w:val="center"/>
            <w:hideMark/>
          </w:tcPr>
          <w:p w14:paraId="74D05192" w14:textId="77777777" w:rsidR="007201FC" w:rsidRPr="007201FC" w:rsidRDefault="007201FC" w:rsidP="007201FC">
            <w:pPr>
              <w:spacing w:after="0" w:line="240" w:lineRule="auto"/>
              <w:ind w:left="113"/>
              <w:jc w:val="left"/>
              <w:rPr>
                <w:rFonts w:ascii="Arial" w:hAnsi="Arial" w:cs="Arial"/>
                <w:sz w:val="16"/>
                <w:szCs w:val="16"/>
              </w:rPr>
            </w:pPr>
            <w:r w:rsidRPr="007201FC">
              <w:rPr>
                <w:rFonts w:ascii="Arial" w:hAnsi="Arial" w:cs="Arial"/>
                <w:sz w:val="16"/>
                <w:szCs w:val="16"/>
              </w:rPr>
              <w:t>Total purchases</w:t>
            </w:r>
          </w:p>
        </w:tc>
        <w:tc>
          <w:tcPr>
            <w:tcW w:w="860" w:type="dxa"/>
            <w:tcBorders>
              <w:top w:val="nil"/>
              <w:left w:val="nil"/>
              <w:bottom w:val="nil"/>
              <w:right w:val="nil"/>
            </w:tcBorders>
            <w:shd w:val="clear" w:color="auto" w:fill="auto"/>
            <w:noWrap/>
            <w:vAlign w:val="bottom"/>
            <w:hideMark/>
          </w:tcPr>
          <w:p w14:paraId="76D64865" w14:textId="520E6CC0"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21,204</w:t>
            </w:r>
          </w:p>
        </w:tc>
        <w:tc>
          <w:tcPr>
            <w:tcW w:w="860" w:type="dxa"/>
            <w:tcBorders>
              <w:top w:val="nil"/>
              <w:left w:val="nil"/>
              <w:bottom w:val="nil"/>
              <w:right w:val="nil"/>
            </w:tcBorders>
            <w:shd w:val="clear" w:color="000000" w:fill="E6E6E6"/>
            <w:noWrap/>
            <w:vAlign w:val="bottom"/>
            <w:hideMark/>
          </w:tcPr>
          <w:p w14:paraId="15A43C5C" w14:textId="0E6EE170"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33,029</w:t>
            </w:r>
          </w:p>
        </w:tc>
        <w:tc>
          <w:tcPr>
            <w:tcW w:w="860" w:type="dxa"/>
            <w:tcBorders>
              <w:top w:val="nil"/>
              <w:left w:val="nil"/>
              <w:bottom w:val="nil"/>
              <w:right w:val="nil"/>
            </w:tcBorders>
            <w:shd w:val="clear" w:color="auto" w:fill="auto"/>
            <w:noWrap/>
            <w:vAlign w:val="bottom"/>
            <w:hideMark/>
          </w:tcPr>
          <w:p w14:paraId="58AC5E07" w14:textId="4ECB3770"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9,878</w:t>
            </w:r>
          </w:p>
        </w:tc>
        <w:tc>
          <w:tcPr>
            <w:tcW w:w="860" w:type="dxa"/>
            <w:tcBorders>
              <w:top w:val="nil"/>
              <w:left w:val="nil"/>
              <w:bottom w:val="nil"/>
              <w:right w:val="nil"/>
            </w:tcBorders>
            <w:shd w:val="clear" w:color="auto" w:fill="auto"/>
            <w:noWrap/>
            <w:vAlign w:val="bottom"/>
            <w:hideMark/>
          </w:tcPr>
          <w:p w14:paraId="67A00CC1" w14:textId="651AB4E7"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9,955</w:t>
            </w:r>
          </w:p>
        </w:tc>
        <w:tc>
          <w:tcPr>
            <w:tcW w:w="860" w:type="dxa"/>
            <w:tcBorders>
              <w:top w:val="nil"/>
              <w:left w:val="nil"/>
              <w:bottom w:val="nil"/>
              <w:right w:val="nil"/>
            </w:tcBorders>
            <w:shd w:val="clear" w:color="auto" w:fill="auto"/>
            <w:noWrap/>
            <w:vAlign w:val="bottom"/>
            <w:hideMark/>
          </w:tcPr>
          <w:p w14:paraId="02163CA2" w14:textId="4C9AED5D" w:rsidR="007201FC" w:rsidRPr="007201FC" w:rsidRDefault="007201FC" w:rsidP="007201FC">
            <w:pPr>
              <w:spacing w:after="0" w:line="240" w:lineRule="auto"/>
              <w:jc w:val="right"/>
              <w:rPr>
                <w:rFonts w:ascii="Arial" w:hAnsi="Arial" w:cs="Arial"/>
                <w:sz w:val="16"/>
                <w:szCs w:val="16"/>
              </w:rPr>
            </w:pPr>
            <w:r w:rsidRPr="007201FC">
              <w:rPr>
                <w:rFonts w:ascii="Arial" w:hAnsi="Arial" w:cs="Arial"/>
                <w:sz w:val="16"/>
                <w:szCs w:val="16"/>
              </w:rPr>
              <w:t>10,169</w:t>
            </w:r>
          </w:p>
        </w:tc>
      </w:tr>
      <w:tr w:rsidR="007201FC" w:rsidRPr="007201FC" w14:paraId="7841D6AE" w14:textId="77777777" w:rsidTr="00E62F55">
        <w:trPr>
          <w:trHeight w:val="204"/>
        </w:trPr>
        <w:tc>
          <w:tcPr>
            <w:tcW w:w="3402" w:type="dxa"/>
            <w:tcBorders>
              <w:top w:val="nil"/>
              <w:left w:val="nil"/>
              <w:bottom w:val="single" w:sz="4" w:space="0" w:color="auto"/>
              <w:right w:val="nil"/>
            </w:tcBorders>
            <w:shd w:val="clear" w:color="auto" w:fill="auto"/>
            <w:vAlign w:val="center"/>
            <w:hideMark/>
          </w:tcPr>
          <w:p w14:paraId="433D9A88" w14:textId="77777777" w:rsidR="007201FC" w:rsidRPr="007201FC" w:rsidRDefault="007201FC" w:rsidP="007201FC">
            <w:pPr>
              <w:spacing w:after="0" w:line="240" w:lineRule="auto"/>
              <w:jc w:val="left"/>
              <w:rPr>
                <w:rFonts w:ascii="Arial" w:hAnsi="Arial" w:cs="Arial"/>
                <w:b/>
                <w:bCs/>
                <w:sz w:val="16"/>
                <w:szCs w:val="16"/>
              </w:rPr>
            </w:pPr>
            <w:r w:rsidRPr="007201FC">
              <w:rPr>
                <w:rFonts w:ascii="Arial" w:hAnsi="Arial" w:cs="Arial"/>
                <w:b/>
                <w:bCs/>
                <w:sz w:val="16"/>
                <w:szCs w:val="16"/>
              </w:rPr>
              <w:t>Total cash used to acquire assets</w:t>
            </w:r>
          </w:p>
        </w:tc>
        <w:tc>
          <w:tcPr>
            <w:tcW w:w="860" w:type="dxa"/>
            <w:tcBorders>
              <w:top w:val="single" w:sz="4" w:space="0" w:color="auto"/>
              <w:left w:val="nil"/>
              <w:bottom w:val="single" w:sz="4" w:space="0" w:color="auto"/>
              <w:right w:val="nil"/>
            </w:tcBorders>
            <w:shd w:val="clear" w:color="auto" w:fill="auto"/>
            <w:noWrap/>
            <w:vAlign w:val="bottom"/>
            <w:hideMark/>
          </w:tcPr>
          <w:p w14:paraId="2D5E248E" w14:textId="6E90F4C1"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21,204</w:t>
            </w:r>
          </w:p>
        </w:tc>
        <w:tc>
          <w:tcPr>
            <w:tcW w:w="860" w:type="dxa"/>
            <w:tcBorders>
              <w:top w:val="single" w:sz="4" w:space="0" w:color="auto"/>
              <w:left w:val="nil"/>
              <w:bottom w:val="single" w:sz="4" w:space="0" w:color="auto"/>
              <w:right w:val="nil"/>
            </w:tcBorders>
            <w:shd w:val="clear" w:color="000000" w:fill="E6E6E6"/>
            <w:noWrap/>
            <w:vAlign w:val="bottom"/>
            <w:hideMark/>
          </w:tcPr>
          <w:p w14:paraId="0FAD2A90" w14:textId="4A0A8680"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33,029</w:t>
            </w:r>
          </w:p>
        </w:tc>
        <w:tc>
          <w:tcPr>
            <w:tcW w:w="860" w:type="dxa"/>
            <w:tcBorders>
              <w:top w:val="single" w:sz="4" w:space="0" w:color="auto"/>
              <w:left w:val="nil"/>
              <w:bottom w:val="single" w:sz="4" w:space="0" w:color="auto"/>
              <w:right w:val="nil"/>
            </w:tcBorders>
            <w:shd w:val="clear" w:color="auto" w:fill="auto"/>
            <w:noWrap/>
            <w:vAlign w:val="bottom"/>
            <w:hideMark/>
          </w:tcPr>
          <w:p w14:paraId="01469B07" w14:textId="10D6B60B"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9,878</w:t>
            </w:r>
          </w:p>
        </w:tc>
        <w:tc>
          <w:tcPr>
            <w:tcW w:w="860" w:type="dxa"/>
            <w:tcBorders>
              <w:top w:val="single" w:sz="4" w:space="0" w:color="auto"/>
              <w:left w:val="nil"/>
              <w:bottom w:val="single" w:sz="4" w:space="0" w:color="auto"/>
              <w:right w:val="nil"/>
            </w:tcBorders>
            <w:shd w:val="clear" w:color="auto" w:fill="auto"/>
            <w:noWrap/>
            <w:vAlign w:val="bottom"/>
            <w:hideMark/>
          </w:tcPr>
          <w:p w14:paraId="0CB5FE50" w14:textId="181279CC"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9,955</w:t>
            </w:r>
          </w:p>
        </w:tc>
        <w:tc>
          <w:tcPr>
            <w:tcW w:w="860" w:type="dxa"/>
            <w:tcBorders>
              <w:top w:val="single" w:sz="4" w:space="0" w:color="auto"/>
              <w:left w:val="nil"/>
              <w:bottom w:val="single" w:sz="4" w:space="0" w:color="auto"/>
              <w:right w:val="nil"/>
            </w:tcBorders>
            <w:shd w:val="clear" w:color="auto" w:fill="auto"/>
            <w:noWrap/>
            <w:vAlign w:val="bottom"/>
            <w:hideMark/>
          </w:tcPr>
          <w:p w14:paraId="3CEA0154" w14:textId="17D74A9F" w:rsidR="007201FC" w:rsidRPr="007201FC" w:rsidRDefault="007201FC" w:rsidP="007201FC">
            <w:pPr>
              <w:spacing w:after="0" w:line="240" w:lineRule="auto"/>
              <w:jc w:val="right"/>
              <w:rPr>
                <w:rFonts w:ascii="Arial" w:hAnsi="Arial" w:cs="Arial"/>
                <w:b/>
                <w:bCs/>
                <w:sz w:val="16"/>
                <w:szCs w:val="16"/>
              </w:rPr>
            </w:pPr>
            <w:r w:rsidRPr="007201FC">
              <w:rPr>
                <w:rFonts w:ascii="Arial" w:hAnsi="Arial" w:cs="Arial"/>
                <w:b/>
                <w:bCs/>
                <w:sz w:val="16"/>
                <w:szCs w:val="16"/>
              </w:rPr>
              <w:t>10,169</w:t>
            </w:r>
          </w:p>
        </w:tc>
      </w:tr>
    </w:tbl>
    <w:p w14:paraId="35B66791" w14:textId="77777777" w:rsidR="007201FC" w:rsidRPr="001C4FAC" w:rsidRDefault="007201FC" w:rsidP="007201FC">
      <w:pPr>
        <w:pStyle w:val="ChartandTableFootnoteAlpha"/>
        <w:numPr>
          <w:ilvl w:val="0"/>
          <w:numId w:val="0"/>
        </w:numPr>
        <w:spacing w:before="60" w:after="0"/>
        <w:rPr>
          <w:rFonts w:cs="Arial"/>
          <w:szCs w:val="16"/>
        </w:rPr>
      </w:pPr>
      <w:r w:rsidRPr="001C4FAC">
        <w:rPr>
          <w:rFonts w:cs="Arial"/>
          <w:szCs w:val="16"/>
        </w:rPr>
        <w:t>Prepared on Australian Accounting Standards basis.</w:t>
      </w:r>
    </w:p>
    <w:p w14:paraId="49198E9B" w14:textId="691CAE04" w:rsidR="00941A17" w:rsidRPr="007B6D90" w:rsidRDefault="007B6D90" w:rsidP="007B6D90">
      <w:pPr>
        <w:pStyle w:val="ChartandTableFootnoteAlpha"/>
        <w:numPr>
          <w:ilvl w:val="0"/>
          <w:numId w:val="5"/>
        </w:numPr>
        <w:tabs>
          <w:tab w:val="clear" w:pos="397"/>
          <w:tab w:val="left" w:pos="284"/>
        </w:tabs>
        <w:ind w:left="284" w:hanging="284"/>
        <w:rPr>
          <w:rFonts w:cs="Arial"/>
          <w:szCs w:val="16"/>
        </w:rPr>
      </w:pPr>
      <w:r w:rsidRPr="007B6D90">
        <w:rPr>
          <w:rFonts w:cs="Arial"/>
          <w:szCs w:val="16"/>
        </w:rPr>
        <w:t>Amounts funded from prior year Departmental Capital Budget (DCB) and internal reserves.</w:t>
      </w:r>
    </w:p>
    <w:p w14:paraId="725EC456" w14:textId="77777777" w:rsidR="00BA015C" w:rsidRDefault="00BA015C" w:rsidP="00BA015C">
      <w:pPr>
        <w:pStyle w:val="TableHeading"/>
        <w:spacing w:before="0" w:after="0"/>
        <w:rPr>
          <w:snapToGrid w:val="0"/>
        </w:rPr>
      </w:pPr>
      <w:r>
        <w:rPr>
          <w:snapToGrid w:val="0"/>
        </w:rPr>
        <w:br w:type="page"/>
      </w:r>
    </w:p>
    <w:p w14:paraId="13DCECA6" w14:textId="5CE36911" w:rsidR="00BA015C" w:rsidRDefault="00BA015C" w:rsidP="00BA015C">
      <w:pPr>
        <w:pStyle w:val="TableHeading"/>
        <w:spacing w:before="0" w:after="0"/>
        <w:rPr>
          <w:snapToGrid w:val="0"/>
        </w:rPr>
      </w:pPr>
      <w:r w:rsidRPr="00267C90">
        <w:rPr>
          <w:snapToGrid w:val="0"/>
        </w:rPr>
        <w:lastRenderedPageBreak/>
        <w:t>Table 3.</w:t>
      </w:r>
      <w:r w:rsidRPr="00267C90">
        <w:rPr>
          <w:snapToGrid w:val="0"/>
          <w:lang w:val="en-AU"/>
        </w:rPr>
        <w:t>7</w:t>
      </w:r>
      <w:r w:rsidRPr="00267C90">
        <w:rPr>
          <w:snapToGrid w:val="0"/>
        </w:rPr>
        <w:t xml:space="preserve">: Statement of </w:t>
      </w:r>
      <w:r w:rsidR="008863D9">
        <w:rPr>
          <w:snapToGrid w:val="0"/>
          <w:lang w:val="en-AU"/>
        </w:rPr>
        <w:t>Department</w:t>
      </w:r>
      <w:r w:rsidRPr="00267C90">
        <w:rPr>
          <w:snapToGrid w:val="0"/>
          <w:lang w:val="en-AU"/>
        </w:rPr>
        <w:t xml:space="preserve">al </w:t>
      </w:r>
      <w:r w:rsidRPr="00267C90">
        <w:rPr>
          <w:snapToGrid w:val="0"/>
        </w:rPr>
        <w:t>asset movements (</w:t>
      </w:r>
      <w:r w:rsidR="00377489">
        <w:rPr>
          <w:snapToGrid w:val="0"/>
          <w:lang w:val="en-AU"/>
        </w:rPr>
        <w:t>2021-22 Budget year</w:t>
      </w:r>
      <w:r w:rsidRPr="00267C90">
        <w:rPr>
          <w:snapToGrid w:val="0"/>
        </w:rPr>
        <w:t>)</w:t>
      </w:r>
    </w:p>
    <w:tbl>
      <w:tblPr>
        <w:tblW w:w="0" w:type="auto"/>
        <w:tblLayout w:type="fixed"/>
        <w:tblLook w:val="04A0" w:firstRow="1" w:lastRow="0" w:firstColumn="1" w:lastColumn="0" w:noHBand="0" w:noVBand="1"/>
      </w:tblPr>
      <w:tblGrid>
        <w:gridCol w:w="2977"/>
        <w:gridCol w:w="899"/>
        <w:gridCol w:w="964"/>
        <w:gridCol w:w="981"/>
        <w:gridCol w:w="899"/>
        <w:gridCol w:w="899"/>
      </w:tblGrid>
      <w:tr w:rsidR="009569E3" w:rsidRPr="00D1226C" w14:paraId="7743958F" w14:textId="77777777" w:rsidTr="00852545">
        <w:trPr>
          <w:trHeight w:val="203"/>
        </w:trPr>
        <w:tc>
          <w:tcPr>
            <w:tcW w:w="2977" w:type="dxa"/>
            <w:tcBorders>
              <w:top w:val="single" w:sz="4" w:space="0" w:color="auto"/>
              <w:left w:val="nil"/>
              <w:bottom w:val="nil"/>
              <w:right w:val="nil"/>
            </w:tcBorders>
            <w:shd w:val="clear" w:color="auto" w:fill="auto"/>
            <w:noWrap/>
            <w:vAlign w:val="center"/>
            <w:hideMark/>
          </w:tcPr>
          <w:p w14:paraId="04BE3A16" w14:textId="77777777" w:rsidR="009569E3" w:rsidRPr="00D1226C" w:rsidRDefault="009569E3" w:rsidP="00D1226C">
            <w:pPr>
              <w:spacing w:after="0" w:line="240" w:lineRule="auto"/>
              <w:jc w:val="left"/>
              <w:rPr>
                <w:rFonts w:ascii="Arial" w:hAnsi="Arial" w:cs="Arial"/>
                <w:sz w:val="16"/>
                <w:szCs w:val="16"/>
              </w:rPr>
            </w:pPr>
            <w:r w:rsidRPr="00D1226C">
              <w:rPr>
                <w:rFonts w:ascii="Arial" w:hAnsi="Arial" w:cs="Arial"/>
                <w:sz w:val="16"/>
                <w:szCs w:val="16"/>
              </w:rPr>
              <w:t> </w:t>
            </w:r>
          </w:p>
        </w:tc>
        <w:tc>
          <w:tcPr>
            <w:tcW w:w="4642" w:type="dxa"/>
            <w:gridSpan w:val="5"/>
            <w:tcBorders>
              <w:top w:val="single" w:sz="4" w:space="0" w:color="auto"/>
              <w:left w:val="nil"/>
              <w:bottom w:val="single" w:sz="4" w:space="0" w:color="auto"/>
              <w:right w:val="nil"/>
            </w:tcBorders>
            <w:shd w:val="clear" w:color="auto" w:fill="auto"/>
            <w:vAlign w:val="bottom"/>
          </w:tcPr>
          <w:p w14:paraId="20A1B904" w14:textId="01CC698F" w:rsidR="009569E3" w:rsidRPr="009569E3" w:rsidRDefault="009569E3" w:rsidP="009569E3">
            <w:pPr>
              <w:spacing w:after="0" w:line="240" w:lineRule="auto"/>
              <w:jc w:val="center"/>
              <w:rPr>
                <w:rFonts w:ascii="Arial" w:hAnsi="Arial" w:cs="Arial"/>
                <w:b/>
                <w:sz w:val="16"/>
                <w:szCs w:val="16"/>
              </w:rPr>
            </w:pPr>
            <w:r w:rsidRPr="009569E3">
              <w:rPr>
                <w:rFonts w:ascii="Arial" w:hAnsi="Arial" w:cs="Arial"/>
                <w:b/>
                <w:sz w:val="16"/>
                <w:szCs w:val="16"/>
              </w:rPr>
              <w:t>Asset Category</w:t>
            </w:r>
          </w:p>
        </w:tc>
      </w:tr>
      <w:tr w:rsidR="009569E3" w:rsidRPr="00D1226C" w14:paraId="01F7D1EB" w14:textId="77777777" w:rsidTr="009569E3">
        <w:trPr>
          <w:trHeight w:val="203"/>
        </w:trPr>
        <w:tc>
          <w:tcPr>
            <w:tcW w:w="2977" w:type="dxa"/>
            <w:tcBorders>
              <w:left w:val="nil"/>
              <w:bottom w:val="nil"/>
              <w:right w:val="nil"/>
            </w:tcBorders>
            <w:shd w:val="clear" w:color="auto" w:fill="auto"/>
            <w:noWrap/>
            <w:vAlign w:val="center"/>
          </w:tcPr>
          <w:p w14:paraId="23731B9E" w14:textId="77777777" w:rsidR="009569E3" w:rsidRPr="00D1226C" w:rsidRDefault="009569E3" w:rsidP="009569E3">
            <w:pPr>
              <w:spacing w:after="0" w:line="240" w:lineRule="auto"/>
              <w:jc w:val="left"/>
              <w:rPr>
                <w:rFonts w:ascii="Arial" w:hAnsi="Arial" w:cs="Arial"/>
                <w:sz w:val="16"/>
                <w:szCs w:val="16"/>
              </w:rPr>
            </w:pPr>
          </w:p>
        </w:tc>
        <w:tc>
          <w:tcPr>
            <w:tcW w:w="899" w:type="dxa"/>
            <w:tcBorders>
              <w:top w:val="single" w:sz="4" w:space="0" w:color="auto"/>
              <w:left w:val="nil"/>
              <w:bottom w:val="single" w:sz="4" w:space="0" w:color="auto"/>
              <w:right w:val="nil"/>
            </w:tcBorders>
            <w:shd w:val="clear" w:color="auto" w:fill="auto"/>
            <w:vAlign w:val="bottom"/>
          </w:tcPr>
          <w:p w14:paraId="11F75125" w14:textId="7E7BCD63" w:rsidR="009569E3" w:rsidRPr="00D1226C" w:rsidRDefault="009569E3" w:rsidP="009569E3">
            <w:pPr>
              <w:spacing w:after="0" w:line="240" w:lineRule="auto"/>
              <w:jc w:val="right"/>
              <w:rPr>
                <w:rFonts w:ascii="Arial" w:hAnsi="Arial" w:cs="Arial"/>
                <w:sz w:val="16"/>
                <w:szCs w:val="16"/>
              </w:rPr>
            </w:pPr>
            <w:r w:rsidRPr="00D1226C">
              <w:rPr>
                <w:rFonts w:ascii="Arial" w:hAnsi="Arial" w:cs="Arial"/>
                <w:sz w:val="16"/>
                <w:szCs w:val="16"/>
              </w:rPr>
              <w:t>Buildings</w:t>
            </w:r>
            <w:r w:rsidRPr="00D1226C">
              <w:rPr>
                <w:rFonts w:ascii="Arial" w:hAnsi="Arial" w:cs="Arial"/>
                <w:sz w:val="16"/>
                <w:szCs w:val="16"/>
              </w:rPr>
              <w:br/>
            </w:r>
            <w:r w:rsidRPr="00D1226C">
              <w:rPr>
                <w:rFonts w:ascii="Arial" w:hAnsi="Arial" w:cs="Arial"/>
                <w:sz w:val="16"/>
                <w:szCs w:val="16"/>
              </w:rPr>
              <w:br/>
            </w:r>
            <w:r w:rsidRPr="00D1226C">
              <w:rPr>
                <w:rFonts w:ascii="Arial" w:hAnsi="Arial" w:cs="Arial"/>
                <w:sz w:val="16"/>
                <w:szCs w:val="16"/>
              </w:rPr>
              <w:br/>
            </w:r>
            <w:r w:rsidRPr="00D1226C">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bottom"/>
          </w:tcPr>
          <w:p w14:paraId="57F0BCA0" w14:textId="214AE563" w:rsidR="009569E3" w:rsidRPr="00D1226C" w:rsidRDefault="009569E3" w:rsidP="009569E3">
            <w:pPr>
              <w:spacing w:after="0" w:line="240" w:lineRule="auto"/>
              <w:jc w:val="right"/>
              <w:rPr>
                <w:rFonts w:ascii="Arial" w:hAnsi="Arial" w:cs="Arial"/>
                <w:sz w:val="16"/>
                <w:szCs w:val="16"/>
              </w:rPr>
            </w:pPr>
            <w:r w:rsidRPr="00D1226C">
              <w:rPr>
                <w:rFonts w:ascii="Arial" w:hAnsi="Arial" w:cs="Arial"/>
                <w:sz w:val="16"/>
                <w:szCs w:val="16"/>
              </w:rPr>
              <w:t>Other</w:t>
            </w:r>
            <w:r w:rsidRPr="00D1226C">
              <w:rPr>
                <w:rFonts w:ascii="Arial" w:hAnsi="Arial" w:cs="Arial"/>
                <w:sz w:val="16"/>
                <w:szCs w:val="16"/>
              </w:rPr>
              <w:br/>
              <w:t>property,</w:t>
            </w:r>
            <w:r w:rsidRPr="00D1226C">
              <w:rPr>
                <w:rFonts w:ascii="Arial" w:hAnsi="Arial" w:cs="Arial"/>
                <w:sz w:val="16"/>
                <w:szCs w:val="16"/>
              </w:rPr>
              <w:br/>
              <w:t>plant and</w:t>
            </w:r>
            <w:r w:rsidRPr="00D1226C">
              <w:rPr>
                <w:rFonts w:ascii="Arial" w:hAnsi="Arial" w:cs="Arial"/>
                <w:sz w:val="16"/>
                <w:szCs w:val="16"/>
              </w:rPr>
              <w:br/>
              <w:t>equipment</w:t>
            </w:r>
            <w:r w:rsidRPr="00D1226C">
              <w:rPr>
                <w:rFonts w:ascii="Arial" w:hAnsi="Arial" w:cs="Arial"/>
                <w:sz w:val="16"/>
                <w:szCs w:val="16"/>
              </w:rPr>
              <w:br/>
              <w:t>$'000</w:t>
            </w:r>
          </w:p>
        </w:tc>
        <w:tc>
          <w:tcPr>
            <w:tcW w:w="981" w:type="dxa"/>
            <w:tcBorders>
              <w:top w:val="single" w:sz="4" w:space="0" w:color="auto"/>
              <w:left w:val="nil"/>
              <w:bottom w:val="single" w:sz="4" w:space="0" w:color="auto"/>
              <w:right w:val="nil"/>
            </w:tcBorders>
            <w:shd w:val="clear" w:color="auto" w:fill="auto"/>
            <w:vAlign w:val="bottom"/>
          </w:tcPr>
          <w:p w14:paraId="49812B34" w14:textId="2982E00C" w:rsidR="009569E3" w:rsidRPr="00D1226C" w:rsidRDefault="009569E3" w:rsidP="009569E3">
            <w:pPr>
              <w:spacing w:after="0" w:line="240" w:lineRule="auto"/>
              <w:jc w:val="right"/>
              <w:rPr>
                <w:rFonts w:ascii="Arial" w:hAnsi="Arial" w:cs="Arial"/>
                <w:sz w:val="16"/>
                <w:szCs w:val="16"/>
              </w:rPr>
            </w:pPr>
            <w:r w:rsidRPr="00D1226C">
              <w:rPr>
                <w:rFonts w:ascii="Arial" w:hAnsi="Arial" w:cs="Arial"/>
                <w:sz w:val="16"/>
                <w:szCs w:val="16"/>
              </w:rPr>
              <w:t>Computer</w:t>
            </w:r>
            <w:r w:rsidRPr="00D1226C">
              <w:rPr>
                <w:rFonts w:ascii="Arial" w:hAnsi="Arial" w:cs="Arial"/>
                <w:sz w:val="16"/>
                <w:szCs w:val="16"/>
              </w:rPr>
              <w:br/>
              <w:t>software and</w:t>
            </w:r>
            <w:r w:rsidRPr="00D1226C">
              <w:rPr>
                <w:rFonts w:ascii="Arial" w:hAnsi="Arial" w:cs="Arial"/>
                <w:sz w:val="16"/>
                <w:szCs w:val="16"/>
              </w:rPr>
              <w:br/>
              <w:t>intangibles</w:t>
            </w:r>
            <w:r w:rsidRPr="00D1226C">
              <w:rPr>
                <w:rFonts w:ascii="Arial" w:hAnsi="Arial" w:cs="Arial"/>
                <w:sz w:val="16"/>
                <w:szCs w:val="16"/>
              </w:rPr>
              <w:br/>
              <w:t>$'000</w:t>
            </w:r>
          </w:p>
        </w:tc>
        <w:tc>
          <w:tcPr>
            <w:tcW w:w="899" w:type="dxa"/>
            <w:tcBorders>
              <w:top w:val="single" w:sz="4" w:space="0" w:color="auto"/>
              <w:left w:val="nil"/>
              <w:bottom w:val="single" w:sz="4" w:space="0" w:color="auto"/>
              <w:right w:val="nil"/>
            </w:tcBorders>
            <w:shd w:val="clear" w:color="auto" w:fill="auto"/>
            <w:vAlign w:val="bottom"/>
          </w:tcPr>
          <w:p w14:paraId="7B634500" w14:textId="5B29EBE4" w:rsidR="009569E3" w:rsidRPr="00D1226C" w:rsidRDefault="009569E3" w:rsidP="009569E3">
            <w:pPr>
              <w:spacing w:after="0" w:line="240" w:lineRule="auto"/>
              <w:jc w:val="right"/>
              <w:rPr>
                <w:rFonts w:ascii="Arial" w:hAnsi="Arial" w:cs="Arial"/>
                <w:sz w:val="16"/>
                <w:szCs w:val="16"/>
              </w:rPr>
            </w:pPr>
            <w:r w:rsidRPr="00D1226C">
              <w:rPr>
                <w:rFonts w:ascii="Arial" w:hAnsi="Arial" w:cs="Arial"/>
                <w:sz w:val="16"/>
                <w:szCs w:val="16"/>
              </w:rPr>
              <w:t>Heritage</w:t>
            </w:r>
            <w:r w:rsidRPr="00D1226C">
              <w:rPr>
                <w:rFonts w:ascii="Arial" w:hAnsi="Arial" w:cs="Arial"/>
                <w:sz w:val="16"/>
                <w:szCs w:val="16"/>
              </w:rPr>
              <w:br/>
              <w:t>and</w:t>
            </w:r>
            <w:r w:rsidRPr="00D1226C">
              <w:rPr>
                <w:rFonts w:ascii="Arial" w:hAnsi="Arial" w:cs="Arial"/>
                <w:sz w:val="16"/>
                <w:szCs w:val="16"/>
              </w:rPr>
              <w:br/>
              <w:t>cultural</w:t>
            </w:r>
            <w:r w:rsidRPr="00D1226C">
              <w:rPr>
                <w:rFonts w:ascii="Arial" w:hAnsi="Arial" w:cs="Arial"/>
                <w:sz w:val="16"/>
                <w:szCs w:val="16"/>
              </w:rPr>
              <w:br/>
            </w:r>
            <w:r w:rsidRPr="00D1226C">
              <w:rPr>
                <w:rFonts w:ascii="Arial" w:hAnsi="Arial" w:cs="Arial"/>
                <w:sz w:val="16"/>
                <w:szCs w:val="16"/>
              </w:rPr>
              <w:br/>
              <w:t>$'000</w:t>
            </w:r>
          </w:p>
        </w:tc>
        <w:tc>
          <w:tcPr>
            <w:tcW w:w="899" w:type="dxa"/>
            <w:tcBorders>
              <w:top w:val="single" w:sz="4" w:space="0" w:color="auto"/>
              <w:left w:val="nil"/>
              <w:bottom w:val="single" w:sz="4" w:space="0" w:color="auto"/>
              <w:right w:val="nil"/>
            </w:tcBorders>
            <w:shd w:val="clear" w:color="auto" w:fill="auto"/>
            <w:vAlign w:val="bottom"/>
          </w:tcPr>
          <w:p w14:paraId="2A5B0C69" w14:textId="06F46883" w:rsidR="009569E3" w:rsidRPr="00D1226C" w:rsidRDefault="009569E3" w:rsidP="009569E3">
            <w:pPr>
              <w:spacing w:after="0" w:line="240" w:lineRule="auto"/>
              <w:jc w:val="right"/>
              <w:rPr>
                <w:rFonts w:ascii="Arial" w:hAnsi="Arial" w:cs="Arial"/>
                <w:sz w:val="16"/>
                <w:szCs w:val="16"/>
              </w:rPr>
            </w:pPr>
            <w:r w:rsidRPr="00D1226C">
              <w:rPr>
                <w:rFonts w:ascii="Arial" w:hAnsi="Arial" w:cs="Arial"/>
                <w:sz w:val="16"/>
                <w:szCs w:val="16"/>
              </w:rPr>
              <w:t>Total</w:t>
            </w:r>
            <w:r w:rsidRPr="00D1226C">
              <w:rPr>
                <w:rFonts w:ascii="Arial" w:hAnsi="Arial" w:cs="Arial"/>
                <w:sz w:val="16"/>
                <w:szCs w:val="16"/>
              </w:rPr>
              <w:br/>
            </w:r>
            <w:r w:rsidRPr="00D1226C">
              <w:rPr>
                <w:rFonts w:ascii="Arial" w:hAnsi="Arial" w:cs="Arial"/>
                <w:sz w:val="16"/>
                <w:szCs w:val="16"/>
              </w:rPr>
              <w:br/>
            </w:r>
            <w:r w:rsidRPr="00D1226C">
              <w:rPr>
                <w:rFonts w:ascii="Arial" w:hAnsi="Arial" w:cs="Arial"/>
                <w:sz w:val="16"/>
                <w:szCs w:val="16"/>
              </w:rPr>
              <w:br/>
            </w:r>
            <w:r w:rsidRPr="00D1226C">
              <w:rPr>
                <w:rFonts w:ascii="Arial" w:hAnsi="Arial" w:cs="Arial"/>
                <w:sz w:val="16"/>
                <w:szCs w:val="16"/>
              </w:rPr>
              <w:br/>
              <w:t>$'000</w:t>
            </w:r>
          </w:p>
        </w:tc>
      </w:tr>
      <w:tr w:rsidR="009569E3" w:rsidRPr="00D1226C" w14:paraId="6540F905" w14:textId="77777777" w:rsidTr="005C472A">
        <w:trPr>
          <w:trHeight w:val="204"/>
        </w:trPr>
        <w:tc>
          <w:tcPr>
            <w:tcW w:w="2977" w:type="dxa"/>
            <w:tcBorders>
              <w:top w:val="nil"/>
              <w:left w:val="nil"/>
              <w:bottom w:val="nil"/>
              <w:right w:val="nil"/>
            </w:tcBorders>
            <w:shd w:val="clear" w:color="auto" w:fill="auto"/>
            <w:vAlign w:val="bottom"/>
            <w:hideMark/>
          </w:tcPr>
          <w:p w14:paraId="76CD773F" w14:textId="77777777" w:rsidR="009569E3" w:rsidRPr="00D1226C" w:rsidRDefault="009569E3" w:rsidP="009569E3">
            <w:pPr>
              <w:spacing w:after="0" w:line="240" w:lineRule="auto"/>
              <w:jc w:val="left"/>
              <w:rPr>
                <w:rFonts w:ascii="Arial" w:hAnsi="Arial" w:cs="Arial"/>
                <w:b/>
                <w:bCs/>
                <w:sz w:val="16"/>
                <w:szCs w:val="16"/>
              </w:rPr>
            </w:pPr>
            <w:r w:rsidRPr="00D1226C">
              <w:rPr>
                <w:rFonts w:ascii="Arial" w:hAnsi="Arial" w:cs="Arial"/>
                <w:b/>
                <w:bCs/>
                <w:sz w:val="16"/>
                <w:szCs w:val="16"/>
              </w:rPr>
              <w:t>As at 1 July 2021</w:t>
            </w:r>
          </w:p>
        </w:tc>
        <w:tc>
          <w:tcPr>
            <w:tcW w:w="899" w:type="dxa"/>
            <w:tcBorders>
              <w:top w:val="nil"/>
              <w:left w:val="nil"/>
              <w:bottom w:val="nil"/>
              <w:right w:val="nil"/>
            </w:tcBorders>
            <w:shd w:val="clear" w:color="auto" w:fill="auto"/>
            <w:noWrap/>
            <w:vAlign w:val="bottom"/>
            <w:hideMark/>
          </w:tcPr>
          <w:p w14:paraId="4364A618" w14:textId="77777777" w:rsidR="009569E3" w:rsidRPr="00D1226C" w:rsidRDefault="009569E3" w:rsidP="009569E3">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0744CA74" w14:textId="77777777" w:rsidR="009569E3" w:rsidRPr="00D1226C" w:rsidRDefault="009569E3" w:rsidP="009569E3">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75176E8C" w14:textId="77777777" w:rsidR="009569E3" w:rsidRPr="00D1226C" w:rsidRDefault="009569E3" w:rsidP="009569E3">
            <w:pPr>
              <w:spacing w:after="0" w:line="240" w:lineRule="auto"/>
              <w:jc w:val="right"/>
              <w:rPr>
                <w:rFonts w:ascii="Times New Roman" w:hAnsi="Times New Roman"/>
              </w:rPr>
            </w:pPr>
          </w:p>
        </w:tc>
        <w:tc>
          <w:tcPr>
            <w:tcW w:w="899" w:type="dxa"/>
            <w:tcBorders>
              <w:top w:val="nil"/>
              <w:left w:val="nil"/>
              <w:bottom w:val="nil"/>
              <w:right w:val="nil"/>
            </w:tcBorders>
            <w:shd w:val="clear" w:color="auto" w:fill="auto"/>
            <w:noWrap/>
            <w:vAlign w:val="bottom"/>
            <w:hideMark/>
          </w:tcPr>
          <w:p w14:paraId="1EF8E9B9" w14:textId="77777777" w:rsidR="009569E3" w:rsidRPr="00D1226C" w:rsidRDefault="009569E3" w:rsidP="009569E3">
            <w:pPr>
              <w:spacing w:after="0" w:line="240" w:lineRule="auto"/>
              <w:jc w:val="right"/>
              <w:rPr>
                <w:rFonts w:ascii="Times New Roman" w:hAnsi="Times New Roman"/>
              </w:rPr>
            </w:pPr>
          </w:p>
        </w:tc>
        <w:tc>
          <w:tcPr>
            <w:tcW w:w="899" w:type="dxa"/>
            <w:tcBorders>
              <w:top w:val="nil"/>
              <w:left w:val="nil"/>
              <w:bottom w:val="nil"/>
              <w:right w:val="nil"/>
            </w:tcBorders>
            <w:shd w:val="clear" w:color="auto" w:fill="auto"/>
            <w:noWrap/>
            <w:vAlign w:val="bottom"/>
            <w:hideMark/>
          </w:tcPr>
          <w:p w14:paraId="4E2B113C" w14:textId="77777777" w:rsidR="009569E3" w:rsidRPr="00D1226C" w:rsidRDefault="009569E3" w:rsidP="009569E3">
            <w:pPr>
              <w:spacing w:after="0" w:line="240" w:lineRule="auto"/>
              <w:jc w:val="right"/>
              <w:rPr>
                <w:rFonts w:ascii="Times New Roman" w:hAnsi="Times New Roman"/>
              </w:rPr>
            </w:pPr>
          </w:p>
        </w:tc>
      </w:tr>
      <w:tr w:rsidR="009569E3" w:rsidRPr="00D1226C" w14:paraId="32B628B2" w14:textId="77777777" w:rsidTr="005C472A">
        <w:trPr>
          <w:trHeight w:val="204"/>
        </w:trPr>
        <w:tc>
          <w:tcPr>
            <w:tcW w:w="2977" w:type="dxa"/>
            <w:tcBorders>
              <w:top w:val="nil"/>
              <w:left w:val="nil"/>
              <w:bottom w:val="nil"/>
              <w:right w:val="nil"/>
            </w:tcBorders>
            <w:shd w:val="clear" w:color="auto" w:fill="auto"/>
            <w:vAlign w:val="bottom"/>
            <w:hideMark/>
          </w:tcPr>
          <w:p w14:paraId="089E26F0" w14:textId="77777777" w:rsidR="009569E3" w:rsidRPr="00D1226C" w:rsidRDefault="009569E3" w:rsidP="009569E3">
            <w:pPr>
              <w:spacing w:after="0" w:line="240" w:lineRule="auto"/>
              <w:ind w:left="113"/>
              <w:jc w:val="left"/>
              <w:rPr>
                <w:rFonts w:ascii="Arial" w:hAnsi="Arial" w:cs="Arial"/>
                <w:sz w:val="16"/>
                <w:szCs w:val="16"/>
              </w:rPr>
            </w:pPr>
            <w:r w:rsidRPr="00D1226C">
              <w:rPr>
                <w:rFonts w:ascii="Arial" w:hAnsi="Arial" w:cs="Arial"/>
                <w:sz w:val="16"/>
                <w:szCs w:val="16"/>
              </w:rPr>
              <w:t xml:space="preserve">Gross book value </w:t>
            </w:r>
          </w:p>
        </w:tc>
        <w:tc>
          <w:tcPr>
            <w:tcW w:w="899" w:type="dxa"/>
            <w:tcBorders>
              <w:top w:val="nil"/>
              <w:left w:val="nil"/>
              <w:bottom w:val="nil"/>
              <w:right w:val="nil"/>
            </w:tcBorders>
            <w:shd w:val="clear" w:color="auto" w:fill="auto"/>
            <w:noWrap/>
            <w:vAlign w:val="bottom"/>
            <w:hideMark/>
          </w:tcPr>
          <w:p w14:paraId="36486ACD" w14:textId="24CB02F5"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33,928</w:t>
            </w:r>
          </w:p>
        </w:tc>
        <w:tc>
          <w:tcPr>
            <w:tcW w:w="964" w:type="dxa"/>
            <w:tcBorders>
              <w:top w:val="nil"/>
              <w:left w:val="nil"/>
              <w:bottom w:val="nil"/>
              <w:right w:val="nil"/>
            </w:tcBorders>
            <w:shd w:val="clear" w:color="auto" w:fill="auto"/>
            <w:noWrap/>
            <w:vAlign w:val="bottom"/>
            <w:hideMark/>
          </w:tcPr>
          <w:p w14:paraId="13361B5C" w14:textId="1B3D45C0"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28,213</w:t>
            </w:r>
          </w:p>
        </w:tc>
        <w:tc>
          <w:tcPr>
            <w:tcW w:w="981" w:type="dxa"/>
            <w:tcBorders>
              <w:top w:val="nil"/>
              <w:left w:val="nil"/>
              <w:bottom w:val="nil"/>
              <w:right w:val="nil"/>
            </w:tcBorders>
            <w:shd w:val="clear" w:color="auto" w:fill="auto"/>
            <w:noWrap/>
            <w:vAlign w:val="bottom"/>
            <w:hideMark/>
          </w:tcPr>
          <w:p w14:paraId="1DC44695" w14:textId="18A99AF0"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82,415</w:t>
            </w:r>
          </w:p>
        </w:tc>
        <w:tc>
          <w:tcPr>
            <w:tcW w:w="899" w:type="dxa"/>
            <w:tcBorders>
              <w:top w:val="nil"/>
              <w:left w:val="nil"/>
              <w:bottom w:val="nil"/>
              <w:right w:val="nil"/>
            </w:tcBorders>
            <w:shd w:val="clear" w:color="auto" w:fill="auto"/>
            <w:noWrap/>
            <w:vAlign w:val="bottom"/>
            <w:hideMark/>
          </w:tcPr>
          <w:p w14:paraId="0DD47169" w14:textId="3DA9A7E7"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36,701</w:t>
            </w:r>
          </w:p>
        </w:tc>
        <w:tc>
          <w:tcPr>
            <w:tcW w:w="899" w:type="dxa"/>
            <w:tcBorders>
              <w:top w:val="nil"/>
              <w:left w:val="nil"/>
              <w:bottom w:val="nil"/>
              <w:right w:val="nil"/>
            </w:tcBorders>
            <w:shd w:val="clear" w:color="auto" w:fill="auto"/>
            <w:noWrap/>
            <w:vAlign w:val="bottom"/>
            <w:hideMark/>
          </w:tcPr>
          <w:p w14:paraId="2A0F9439" w14:textId="309B2408"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181,257</w:t>
            </w:r>
          </w:p>
        </w:tc>
      </w:tr>
      <w:tr w:rsidR="009569E3" w:rsidRPr="00D1226C" w14:paraId="081CAF25" w14:textId="77777777" w:rsidTr="005C472A">
        <w:trPr>
          <w:trHeight w:val="204"/>
        </w:trPr>
        <w:tc>
          <w:tcPr>
            <w:tcW w:w="2977" w:type="dxa"/>
            <w:tcBorders>
              <w:top w:val="nil"/>
              <w:left w:val="nil"/>
              <w:bottom w:val="nil"/>
              <w:right w:val="nil"/>
            </w:tcBorders>
            <w:shd w:val="clear" w:color="auto" w:fill="auto"/>
            <w:noWrap/>
            <w:vAlign w:val="center"/>
            <w:hideMark/>
          </w:tcPr>
          <w:p w14:paraId="11441447" w14:textId="77777777" w:rsidR="009569E3" w:rsidRPr="00D1226C" w:rsidRDefault="009569E3" w:rsidP="009569E3">
            <w:pPr>
              <w:spacing w:after="0" w:line="240" w:lineRule="auto"/>
              <w:ind w:left="113"/>
              <w:jc w:val="left"/>
              <w:rPr>
                <w:rFonts w:ascii="Arial" w:hAnsi="Arial" w:cs="Arial"/>
                <w:sz w:val="16"/>
                <w:szCs w:val="16"/>
              </w:rPr>
            </w:pPr>
            <w:r w:rsidRPr="00D1226C">
              <w:rPr>
                <w:rFonts w:ascii="Arial" w:hAnsi="Arial" w:cs="Arial"/>
                <w:sz w:val="16"/>
                <w:szCs w:val="16"/>
              </w:rPr>
              <w:t>Gross book value - ROU assets</w:t>
            </w:r>
          </w:p>
        </w:tc>
        <w:tc>
          <w:tcPr>
            <w:tcW w:w="899" w:type="dxa"/>
            <w:tcBorders>
              <w:top w:val="nil"/>
              <w:left w:val="nil"/>
              <w:bottom w:val="nil"/>
              <w:right w:val="nil"/>
            </w:tcBorders>
            <w:shd w:val="clear" w:color="auto" w:fill="auto"/>
            <w:noWrap/>
            <w:vAlign w:val="bottom"/>
            <w:hideMark/>
          </w:tcPr>
          <w:p w14:paraId="7BCA9293" w14:textId="4AC21BF3"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154,860</w:t>
            </w:r>
          </w:p>
        </w:tc>
        <w:tc>
          <w:tcPr>
            <w:tcW w:w="964" w:type="dxa"/>
            <w:tcBorders>
              <w:top w:val="nil"/>
              <w:left w:val="nil"/>
              <w:bottom w:val="nil"/>
              <w:right w:val="nil"/>
            </w:tcBorders>
            <w:shd w:val="clear" w:color="auto" w:fill="auto"/>
            <w:noWrap/>
            <w:vAlign w:val="bottom"/>
            <w:hideMark/>
          </w:tcPr>
          <w:p w14:paraId="256606BE" w14:textId="13B71957"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154</w:t>
            </w:r>
          </w:p>
        </w:tc>
        <w:tc>
          <w:tcPr>
            <w:tcW w:w="981" w:type="dxa"/>
            <w:tcBorders>
              <w:top w:val="nil"/>
              <w:left w:val="nil"/>
              <w:bottom w:val="nil"/>
              <w:right w:val="nil"/>
            </w:tcBorders>
            <w:shd w:val="clear" w:color="auto" w:fill="auto"/>
            <w:noWrap/>
            <w:vAlign w:val="bottom"/>
            <w:hideMark/>
          </w:tcPr>
          <w:p w14:paraId="561D6BE2" w14:textId="7253CCD5"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41C0942B" w14:textId="13E60A5B"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14011203" w14:textId="7B280C03"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155,014</w:t>
            </w:r>
          </w:p>
        </w:tc>
      </w:tr>
      <w:tr w:rsidR="009569E3" w:rsidRPr="00D1226C" w14:paraId="4E1D92C3" w14:textId="77777777" w:rsidTr="005C472A">
        <w:trPr>
          <w:trHeight w:val="204"/>
        </w:trPr>
        <w:tc>
          <w:tcPr>
            <w:tcW w:w="2977" w:type="dxa"/>
            <w:tcBorders>
              <w:top w:val="nil"/>
              <w:left w:val="nil"/>
              <w:bottom w:val="nil"/>
              <w:right w:val="nil"/>
            </w:tcBorders>
            <w:shd w:val="clear" w:color="auto" w:fill="auto"/>
            <w:vAlign w:val="bottom"/>
            <w:hideMark/>
          </w:tcPr>
          <w:p w14:paraId="4F77DECE" w14:textId="74489A7A" w:rsidR="009569E3" w:rsidRPr="00D1226C" w:rsidRDefault="009569E3" w:rsidP="009569E3">
            <w:pPr>
              <w:spacing w:after="0" w:line="240" w:lineRule="auto"/>
              <w:ind w:left="113"/>
              <w:jc w:val="left"/>
              <w:rPr>
                <w:rFonts w:ascii="Arial" w:hAnsi="Arial" w:cs="Arial"/>
                <w:sz w:val="16"/>
                <w:szCs w:val="16"/>
              </w:rPr>
            </w:pPr>
            <w:r w:rsidRPr="00D1226C">
              <w:rPr>
                <w:rFonts w:ascii="Arial" w:hAnsi="Arial" w:cs="Arial"/>
                <w:sz w:val="16"/>
                <w:szCs w:val="16"/>
              </w:rPr>
              <w:t>Accumulated depreciation/</w:t>
            </w:r>
            <w:r>
              <w:rPr>
                <w:rFonts w:ascii="Arial" w:hAnsi="Arial" w:cs="Arial"/>
                <w:sz w:val="16"/>
                <w:szCs w:val="16"/>
              </w:rPr>
              <w:t xml:space="preserve"> </w:t>
            </w:r>
            <w:r w:rsidRPr="00D1226C">
              <w:rPr>
                <w:rFonts w:ascii="Arial" w:hAnsi="Arial" w:cs="Arial"/>
                <w:sz w:val="16"/>
                <w:szCs w:val="16"/>
              </w:rPr>
              <w:t>amortisation and impairment</w:t>
            </w:r>
          </w:p>
        </w:tc>
        <w:tc>
          <w:tcPr>
            <w:tcW w:w="899" w:type="dxa"/>
            <w:tcBorders>
              <w:top w:val="nil"/>
              <w:left w:val="nil"/>
              <w:bottom w:val="nil"/>
              <w:right w:val="nil"/>
            </w:tcBorders>
            <w:shd w:val="clear" w:color="auto" w:fill="auto"/>
            <w:noWrap/>
            <w:vAlign w:val="bottom"/>
            <w:hideMark/>
          </w:tcPr>
          <w:p w14:paraId="44AB5FCD" w14:textId="2FC7646A"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(9,558)</w:t>
            </w:r>
          </w:p>
        </w:tc>
        <w:tc>
          <w:tcPr>
            <w:tcW w:w="964" w:type="dxa"/>
            <w:tcBorders>
              <w:top w:val="nil"/>
              <w:left w:val="nil"/>
              <w:bottom w:val="nil"/>
              <w:right w:val="nil"/>
            </w:tcBorders>
            <w:shd w:val="clear" w:color="auto" w:fill="auto"/>
            <w:noWrap/>
            <w:vAlign w:val="bottom"/>
            <w:hideMark/>
          </w:tcPr>
          <w:p w14:paraId="7D870294" w14:textId="0BA345B7"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(9,490)</w:t>
            </w:r>
          </w:p>
        </w:tc>
        <w:tc>
          <w:tcPr>
            <w:tcW w:w="981" w:type="dxa"/>
            <w:tcBorders>
              <w:top w:val="nil"/>
              <w:left w:val="nil"/>
              <w:bottom w:val="nil"/>
              <w:right w:val="nil"/>
            </w:tcBorders>
            <w:shd w:val="clear" w:color="auto" w:fill="auto"/>
            <w:noWrap/>
            <w:vAlign w:val="bottom"/>
            <w:hideMark/>
          </w:tcPr>
          <w:p w14:paraId="3F7AD011" w14:textId="17A8DFD9"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(42,074)</w:t>
            </w:r>
          </w:p>
        </w:tc>
        <w:tc>
          <w:tcPr>
            <w:tcW w:w="899" w:type="dxa"/>
            <w:tcBorders>
              <w:top w:val="nil"/>
              <w:left w:val="nil"/>
              <w:bottom w:val="nil"/>
              <w:right w:val="nil"/>
            </w:tcBorders>
            <w:shd w:val="clear" w:color="auto" w:fill="auto"/>
            <w:noWrap/>
            <w:vAlign w:val="bottom"/>
            <w:hideMark/>
          </w:tcPr>
          <w:p w14:paraId="658CF005" w14:textId="5426BF51"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(594)</w:t>
            </w:r>
          </w:p>
        </w:tc>
        <w:tc>
          <w:tcPr>
            <w:tcW w:w="899" w:type="dxa"/>
            <w:tcBorders>
              <w:top w:val="nil"/>
              <w:left w:val="nil"/>
              <w:bottom w:val="nil"/>
              <w:right w:val="nil"/>
            </w:tcBorders>
            <w:shd w:val="clear" w:color="auto" w:fill="auto"/>
            <w:noWrap/>
            <w:vAlign w:val="bottom"/>
            <w:hideMark/>
          </w:tcPr>
          <w:p w14:paraId="6AE0D378" w14:textId="573361DB"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(61,716)</w:t>
            </w:r>
          </w:p>
        </w:tc>
      </w:tr>
      <w:tr w:rsidR="009569E3" w:rsidRPr="00D1226C" w14:paraId="12228289" w14:textId="77777777" w:rsidTr="005C472A">
        <w:trPr>
          <w:trHeight w:val="204"/>
        </w:trPr>
        <w:tc>
          <w:tcPr>
            <w:tcW w:w="2977" w:type="dxa"/>
            <w:tcBorders>
              <w:top w:val="nil"/>
              <w:left w:val="nil"/>
              <w:bottom w:val="nil"/>
              <w:right w:val="nil"/>
            </w:tcBorders>
            <w:shd w:val="clear" w:color="auto" w:fill="auto"/>
            <w:vAlign w:val="center"/>
            <w:hideMark/>
          </w:tcPr>
          <w:p w14:paraId="5F941988" w14:textId="5F49636D" w:rsidR="009569E3" w:rsidRPr="00D1226C" w:rsidRDefault="009569E3" w:rsidP="009569E3">
            <w:pPr>
              <w:spacing w:after="0" w:line="240" w:lineRule="auto"/>
              <w:ind w:left="113"/>
              <w:jc w:val="left"/>
              <w:rPr>
                <w:rFonts w:ascii="Arial" w:hAnsi="Arial" w:cs="Arial"/>
                <w:sz w:val="16"/>
                <w:szCs w:val="16"/>
              </w:rPr>
            </w:pPr>
            <w:r w:rsidRPr="00D1226C">
              <w:rPr>
                <w:rFonts w:ascii="Arial" w:hAnsi="Arial" w:cs="Arial"/>
                <w:sz w:val="16"/>
                <w:szCs w:val="16"/>
              </w:rPr>
              <w:t>Accumulated depreciation/</w:t>
            </w:r>
            <w:r>
              <w:rPr>
                <w:rFonts w:ascii="Arial" w:hAnsi="Arial" w:cs="Arial"/>
                <w:sz w:val="16"/>
                <w:szCs w:val="16"/>
              </w:rPr>
              <w:t xml:space="preserve"> </w:t>
            </w:r>
            <w:r w:rsidR="006A053E" w:rsidRPr="00D1226C">
              <w:rPr>
                <w:rFonts w:ascii="Arial" w:hAnsi="Arial" w:cs="Arial"/>
                <w:sz w:val="16"/>
                <w:szCs w:val="16"/>
              </w:rPr>
              <w:t>amortisation</w:t>
            </w:r>
            <w:r w:rsidRPr="00D1226C">
              <w:rPr>
                <w:rFonts w:ascii="Arial" w:hAnsi="Arial" w:cs="Arial"/>
                <w:sz w:val="16"/>
                <w:szCs w:val="16"/>
              </w:rPr>
              <w:t xml:space="preserve"> and impairment - ROU assets</w:t>
            </w:r>
          </w:p>
        </w:tc>
        <w:tc>
          <w:tcPr>
            <w:tcW w:w="899" w:type="dxa"/>
            <w:tcBorders>
              <w:top w:val="nil"/>
              <w:left w:val="nil"/>
              <w:bottom w:val="nil"/>
              <w:right w:val="nil"/>
            </w:tcBorders>
            <w:shd w:val="clear" w:color="auto" w:fill="auto"/>
            <w:noWrap/>
            <w:vAlign w:val="bottom"/>
            <w:hideMark/>
          </w:tcPr>
          <w:p w14:paraId="4FA45650" w14:textId="0A453D7C"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(43,666)</w:t>
            </w:r>
          </w:p>
        </w:tc>
        <w:tc>
          <w:tcPr>
            <w:tcW w:w="964" w:type="dxa"/>
            <w:tcBorders>
              <w:top w:val="nil"/>
              <w:left w:val="nil"/>
              <w:bottom w:val="nil"/>
              <w:right w:val="nil"/>
            </w:tcBorders>
            <w:shd w:val="clear" w:color="auto" w:fill="auto"/>
            <w:noWrap/>
            <w:vAlign w:val="bottom"/>
            <w:hideMark/>
          </w:tcPr>
          <w:p w14:paraId="6E902815" w14:textId="4BDEAFFD"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(73)</w:t>
            </w:r>
          </w:p>
        </w:tc>
        <w:tc>
          <w:tcPr>
            <w:tcW w:w="981" w:type="dxa"/>
            <w:tcBorders>
              <w:top w:val="nil"/>
              <w:left w:val="nil"/>
              <w:bottom w:val="nil"/>
              <w:right w:val="nil"/>
            </w:tcBorders>
            <w:shd w:val="clear" w:color="auto" w:fill="auto"/>
            <w:noWrap/>
            <w:vAlign w:val="bottom"/>
            <w:hideMark/>
          </w:tcPr>
          <w:p w14:paraId="2B5E927C" w14:textId="4A61CFD1"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66266567" w14:textId="256E612A"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6A0D0FC2" w14:textId="297D6767"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(43,739)</w:t>
            </w:r>
          </w:p>
        </w:tc>
      </w:tr>
      <w:tr w:rsidR="009569E3" w:rsidRPr="00D1226C" w14:paraId="50B9E1CD" w14:textId="77777777" w:rsidTr="005C472A">
        <w:trPr>
          <w:trHeight w:val="204"/>
        </w:trPr>
        <w:tc>
          <w:tcPr>
            <w:tcW w:w="2977" w:type="dxa"/>
            <w:tcBorders>
              <w:top w:val="nil"/>
              <w:left w:val="nil"/>
              <w:bottom w:val="nil"/>
              <w:right w:val="nil"/>
            </w:tcBorders>
            <w:shd w:val="clear" w:color="auto" w:fill="auto"/>
            <w:vAlign w:val="bottom"/>
            <w:hideMark/>
          </w:tcPr>
          <w:p w14:paraId="50F67B50" w14:textId="77777777" w:rsidR="009569E3" w:rsidRPr="00D1226C" w:rsidRDefault="009569E3" w:rsidP="009569E3">
            <w:pPr>
              <w:spacing w:after="0" w:line="240" w:lineRule="auto"/>
              <w:jc w:val="left"/>
              <w:rPr>
                <w:rFonts w:ascii="Arial" w:hAnsi="Arial" w:cs="Arial"/>
                <w:b/>
                <w:bCs/>
                <w:sz w:val="16"/>
                <w:szCs w:val="16"/>
              </w:rPr>
            </w:pPr>
            <w:r w:rsidRPr="00D1226C">
              <w:rPr>
                <w:rFonts w:ascii="Arial" w:hAnsi="Arial" w:cs="Arial"/>
                <w:b/>
                <w:bCs/>
                <w:sz w:val="16"/>
                <w:szCs w:val="16"/>
              </w:rPr>
              <w:t>Opening net book balance</w:t>
            </w:r>
          </w:p>
        </w:tc>
        <w:tc>
          <w:tcPr>
            <w:tcW w:w="899" w:type="dxa"/>
            <w:tcBorders>
              <w:top w:val="single" w:sz="4" w:space="0" w:color="auto"/>
              <w:left w:val="nil"/>
              <w:bottom w:val="single" w:sz="4" w:space="0" w:color="auto"/>
              <w:right w:val="nil"/>
            </w:tcBorders>
            <w:shd w:val="clear" w:color="auto" w:fill="auto"/>
            <w:noWrap/>
            <w:vAlign w:val="bottom"/>
            <w:hideMark/>
          </w:tcPr>
          <w:p w14:paraId="1AE59916" w14:textId="169252BD"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135,564</w:t>
            </w:r>
          </w:p>
        </w:tc>
        <w:tc>
          <w:tcPr>
            <w:tcW w:w="964" w:type="dxa"/>
            <w:tcBorders>
              <w:top w:val="single" w:sz="4" w:space="0" w:color="auto"/>
              <w:left w:val="nil"/>
              <w:bottom w:val="single" w:sz="4" w:space="0" w:color="auto"/>
              <w:right w:val="nil"/>
            </w:tcBorders>
            <w:shd w:val="clear" w:color="auto" w:fill="auto"/>
            <w:noWrap/>
            <w:vAlign w:val="bottom"/>
            <w:hideMark/>
          </w:tcPr>
          <w:p w14:paraId="752E9F7B" w14:textId="067CE545"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18,804</w:t>
            </w:r>
          </w:p>
        </w:tc>
        <w:tc>
          <w:tcPr>
            <w:tcW w:w="981" w:type="dxa"/>
            <w:tcBorders>
              <w:top w:val="single" w:sz="4" w:space="0" w:color="auto"/>
              <w:left w:val="nil"/>
              <w:bottom w:val="single" w:sz="4" w:space="0" w:color="auto"/>
              <w:right w:val="nil"/>
            </w:tcBorders>
            <w:shd w:val="clear" w:color="auto" w:fill="auto"/>
            <w:noWrap/>
            <w:vAlign w:val="bottom"/>
            <w:hideMark/>
          </w:tcPr>
          <w:p w14:paraId="18A91E42" w14:textId="00743BEC"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40,341</w:t>
            </w:r>
          </w:p>
        </w:tc>
        <w:tc>
          <w:tcPr>
            <w:tcW w:w="899" w:type="dxa"/>
            <w:tcBorders>
              <w:top w:val="single" w:sz="4" w:space="0" w:color="auto"/>
              <w:left w:val="nil"/>
              <w:bottom w:val="single" w:sz="4" w:space="0" w:color="auto"/>
              <w:right w:val="nil"/>
            </w:tcBorders>
            <w:shd w:val="clear" w:color="auto" w:fill="auto"/>
            <w:noWrap/>
            <w:vAlign w:val="bottom"/>
            <w:hideMark/>
          </w:tcPr>
          <w:p w14:paraId="2AFA8519" w14:textId="062B7486"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36,107</w:t>
            </w:r>
          </w:p>
        </w:tc>
        <w:tc>
          <w:tcPr>
            <w:tcW w:w="899" w:type="dxa"/>
            <w:tcBorders>
              <w:top w:val="single" w:sz="4" w:space="0" w:color="auto"/>
              <w:left w:val="nil"/>
              <w:bottom w:val="single" w:sz="4" w:space="0" w:color="auto"/>
              <w:right w:val="nil"/>
            </w:tcBorders>
            <w:shd w:val="clear" w:color="auto" w:fill="auto"/>
            <w:noWrap/>
            <w:vAlign w:val="bottom"/>
            <w:hideMark/>
          </w:tcPr>
          <w:p w14:paraId="67D0CF9E" w14:textId="4C21FD77"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230,816</w:t>
            </w:r>
          </w:p>
        </w:tc>
      </w:tr>
      <w:tr w:rsidR="009569E3" w:rsidRPr="00D1226C" w14:paraId="7D79EECE" w14:textId="77777777" w:rsidTr="005C472A">
        <w:trPr>
          <w:trHeight w:val="204"/>
        </w:trPr>
        <w:tc>
          <w:tcPr>
            <w:tcW w:w="2977" w:type="dxa"/>
            <w:tcBorders>
              <w:top w:val="nil"/>
              <w:left w:val="nil"/>
              <w:bottom w:val="nil"/>
              <w:right w:val="nil"/>
            </w:tcBorders>
            <w:shd w:val="clear" w:color="auto" w:fill="auto"/>
            <w:vAlign w:val="bottom"/>
            <w:hideMark/>
          </w:tcPr>
          <w:p w14:paraId="0618438D" w14:textId="77777777" w:rsidR="009569E3" w:rsidRPr="00D1226C" w:rsidRDefault="009569E3" w:rsidP="009569E3">
            <w:pPr>
              <w:spacing w:after="0" w:line="240" w:lineRule="auto"/>
              <w:jc w:val="left"/>
              <w:rPr>
                <w:rFonts w:ascii="Arial" w:hAnsi="Arial" w:cs="Arial"/>
                <w:b/>
                <w:bCs/>
                <w:sz w:val="16"/>
                <w:szCs w:val="16"/>
              </w:rPr>
            </w:pPr>
            <w:r w:rsidRPr="00D1226C">
              <w:rPr>
                <w:rFonts w:ascii="Arial" w:hAnsi="Arial" w:cs="Arial"/>
                <w:b/>
                <w:bCs/>
                <w:sz w:val="16"/>
                <w:szCs w:val="16"/>
              </w:rPr>
              <w:t>Capital asset additions</w:t>
            </w:r>
          </w:p>
        </w:tc>
        <w:tc>
          <w:tcPr>
            <w:tcW w:w="899" w:type="dxa"/>
            <w:tcBorders>
              <w:top w:val="nil"/>
              <w:left w:val="nil"/>
              <w:bottom w:val="nil"/>
              <w:right w:val="nil"/>
            </w:tcBorders>
            <w:shd w:val="clear" w:color="auto" w:fill="auto"/>
            <w:noWrap/>
            <w:vAlign w:val="bottom"/>
            <w:hideMark/>
          </w:tcPr>
          <w:p w14:paraId="6BE43609" w14:textId="77777777" w:rsidR="009569E3" w:rsidRPr="00D1226C" w:rsidRDefault="009569E3" w:rsidP="009569E3">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2CF9F1DB" w14:textId="77777777" w:rsidR="009569E3" w:rsidRPr="00D1226C" w:rsidRDefault="009569E3" w:rsidP="009569E3">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0BC01855" w14:textId="77777777" w:rsidR="009569E3" w:rsidRPr="00D1226C" w:rsidRDefault="009569E3" w:rsidP="009569E3">
            <w:pPr>
              <w:spacing w:after="0" w:line="240" w:lineRule="auto"/>
              <w:jc w:val="right"/>
              <w:rPr>
                <w:rFonts w:ascii="Times New Roman" w:hAnsi="Times New Roman"/>
              </w:rPr>
            </w:pPr>
          </w:p>
        </w:tc>
        <w:tc>
          <w:tcPr>
            <w:tcW w:w="899" w:type="dxa"/>
            <w:tcBorders>
              <w:top w:val="nil"/>
              <w:left w:val="nil"/>
              <w:bottom w:val="nil"/>
              <w:right w:val="nil"/>
            </w:tcBorders>
            <w:shd w:val="clear" w:color="auto" w:fill="auto"/>
            <w:noWrap/>
            <w:vAlign w:val="bottom"/>
            <w:hideMark/>
          </w:tcPr>
          <w:p w14:paraId="63722A13" w14:textId="77777777" w:rsidR="009569E3" w:rsidRPr="00D1226C" w:rsidRDefault="009569E3" w:rsidP="009569E3">
            <w:pPr>
              <w:spacing w:after="0" w:line="240" w:lineRule="auto"/>
              <w:jc w:val="right"/>
              <w:rPr>
                <w:rFonts w:ascii="Times New Roman" w:hAnsi="Times New Roman"/>
              </w:rPr>
            </w:pPr>
          </w:p>
        </w:tc>
        <w:tc>
          <w:tcPr>
            <w:tcW w:w="899" w:type="dxa"/>
            <w:tcBorders>
              <w:top w:val="nil"/>
              <w:left w:val="nil"/>
              <w:bottom w:val="nil"/>
              <w:right w:val="nil"/>
            </w:tcBorders>
            <w:shd w:val="clear" w:color="auto" w:fill="auto"/>
            <w:noWrap/>
            <w:vAlign w:val="bottom"/>
            <w:hideMark/>
          </w:tcPr>
          <w:p w14:paraId="2DC519C2" w14:textId="77777777" w:rsidR="009569E3" w:rsidRPr="00D1226C" w:rsidRDefault="009569E3" w:rsidP="009569E3">
            <w:pPr>
              <w:spacing w:after="0" w:line="240" w:lineRule="auto"/>
              <w:jc w:val="right"/>
              <w:rPr>
                <w:rFonts w:ascii="Times New Roman" w:hAnsi="Times New Roman"/>
              </w:rPr>
            </w:pPr>
          </w:p>
        </w:tc>
      </w:tr>
      <w:tr w:rsidR="009569E3" w:rsidRPr="00D1226C" w14:paraId="4920B2F3" w14:textId="77777777" w:rsidTr="005C472A">
        <w:trPr>
          <w:trHeight w:val="204"/>
        </w:trPr>
        <w:tc>
          <w:tcPr>
            <w:tcW w:w="2977" w:type="dxa"/>
            <w:tcBorders>
              <w:top w:val="nil"/>
              <w:left w:val="nil"/>
              <w:bottom w:val="nil"/>
              <w:right w:val="nil"/>
            </w:tcBorders>
            <w:shd w:val="clear" w:color="auto" w:fill="auto"/>
            <w:vAlign w:val="bottom"/>
            <w:hideMark/>
          </w:tcPr>
          <w:p w14:paraId="49CB520A" w14:textId="0C1729E5" w:rsidR="009569E3" w:rsidRPr="00D1226C" w:rsidRDefault="009569E3" w:rsidP="009569E3">
            <w:pPr>
              <w:spacing w:after="0" w:line="240" w:lineRule="auto"/>
              <w:ind w:left="113"/>
              <w:jc w:val="left"/>
              <w:rPr>
                <w:rFonts w:ascii="Arial" w:hAnsi="Arial" w:cs="Arial"/>
                <w:b/>
                <w:bCs/>
                <w:sz w:val="16"/>
                <w:szCs w:val="16"/>
              </w:rPr>
            </w:pPr>
            <w:r w:rsidRPr="00D1226C">
              <w:rPr>
                <w:rFonts w:ascii="Arial" w:hAnsi="Arial" w:cs="Arial"/>
                <w:b/>
                <w:bCs/>
                <w:sz w:val="16"/>
                <w:szCs w:val="16"/>
              </w:rPr>
              <w:t>Estimated expenditure on new</w:t>
            </w:r>
            <w:r>
              <w:rPr>
                <w:rFonts w:ascii="Arial" w:hAnsi="Arial" w:cs="Arial"/>
                <w:b/>
                <w:bCs/>
                <w:sz w:val="16"/>
                <w:szCs w:val="16"/>
              </w:rPr>
              <w:t xml:space="preserve"> </w:t>
            </w:r>
            <w:r w:rsidRPr="00D1226C">
              <w:rPr>
                <w:rFonts w:ascii="Arial" w:hAnsi="Arial" w:cs="Arial"/>
                <w:b/>
                <w:bCs/>
                <w:sz w:val="16"/>
                <w:szCs w:val="16"/>
              </w:rPr>
              <w:t>or replacement assets</w:t>
            </w:r>
          </w:p>
        </w:tc>
        <w:tc>
          <w:tcPr>
            <w:tcW w:w="899" w:type="dxa"/>
            <w:tcBorders>
              <w:top w:val="nil"/>
              <w:left w:val="nil"/>
              <w:bottom w:val="nil"/>
              <w:right w:val="nil"/>
            </w:tcBorders>
            <w:shd w:val="clear" w:color="auto" w:fill="auto"/>
            <w:noWrap/>
            <w:vAlign w:val="bottom"/>
            <w:hideMark/>
          </w:tcPr>
          <w:p w14:paraId="1817378E" w14:textId="77777777" w:rsidR="009569E3" w:rsidRPr="00D1226C" w:rsidRDefault="009569E3" w:rsidP="009569E3">
            <w:pPr>
              <w:spacing w:after="0" w:line="240" w:lineRule="auto"/>
              <w:ind w:firstLineChars="100" w:firstLine="160"/>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4DBB07F8" w14:textId="77777777" w:rsidR="009569E3" w:rsidRPr="00D1226C" w:rsidRDefault="009569E3" w:rsidP="009569E3">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1B2D9694" w14:textId="77777777" w:rsidR="009569E3" w:rsidRPr="00D1226C" w:rsidRDefault="009569E3" w:rsidP="009569E3">
            <w:pPr>
              <w:spacing w:after="0" w:line="240" w:lineRule="auto"/>
              <w:jc w:val="right"/>
              <w:rPr>
                <w:rFonts w:ascii="Times New Roman" w:hAnsi="Times New Roman"/>
              </w:rPr>
            </w:pPr>
          </w:p>
        </w:tc>
        <w:tc>
          <w:tcPr>
            <w:tcW w:w="899" w:type="dxa"/>
            <w:tcBorders>
              <w:top w:val="nil"/>
              <w:left w:val="nil"/>
              <w:bottom w:val="nil"/>
              <w:right w:val="nil"/>
            </w:tcBorders>
            <w:shd w:val="clear" w:color="auto" w:fill="auto"/>
            <w:noWrap/>
            <w:vAlign w:val="bottom"/>
            <w:hideMark/>
          </w:tcPr>
          <w:p w14:paraId="3EF66B4E" w14:textId="77777777" w:rsidR="009569E3" w:rsidRPr="00D1226C" w:rsidRDefault="009569E3" w:rsidP="009569E3">
            <w:pPr>
              <w:spacing w:after="0" w:line="240" w:lineRule="auto"/>
              <w:jc w:val="right"/>
              <w:rPr>
                <w:rFonts w:ascii="Times New Roman" w:hAnsi="Times New Roman"/>
              </w:rPr>
            </w:pPr>
          </w:p>
        </w:tc>
        <w:tc>
          <w:tcPr>
            <w:tcW w:w="899" w:type="dxa"/>
            <w:tcBorders>
              <w:top w:val="nil"/>
              <w:left w:val="nil"/>
              <w:bottom w:val="nil"/>
              <w:right w:val="nil"/>
            </w:tcBorders>
            <w:shd w:val="clear" w:color="auto" w:fill="auto"/>
            <w:noWrap/>
            <w:vAlign w:val="bottom"/>
            <w:hideMark/>
          </w:tcPr>
          <w:p w14:paraId="0E7F6A61" w14:textId="77777777" w:rsidR="009569E3" w:rsidRPr="00D1226C" w:rsidRDefault="009569E3" w:rsidP="009569E3">
            <w:pPr>
              <w:spacing w:after="0" w:line="240" w:lineRule="auto"/>
              <w:jc w:val="right"/>
              <w:rPr>
                <w:rFonts w:ascii="Times New Roman" w:hAnsi="Times New Roman"/>
              </w:rPr>
            </w:pPr>
          </w:p>
        </w:tc>
      </w:tr>
      <w:tr w:rsidR="009569E3" w:rsidRPr="00D1226C" w14:paraId="165D3E7E" w14:textId="77777777" w:rsidTr="005C472A">
        <w:trPr>
          <w:trHeight w:val="204"/>
        </w:trPr>
        <w:tc>
          <w:tcPr>
            <w:tcW w:w="2977" w:type="dxa"/>
            <w:tcBorders>
              <w:top w:val="nil"/>
              <w:left w:val="nil"/>
              <w:bottom w:val="nil"/>
              <w:right w:val="nil"/>
            </w:tcBorders>
            <w:shd w:val="clear" w:color="auto" w:fill="auto"/>
            <w:vAlign w:val="bottom"/>
            <w:hideMark/>
          </w:tcPr>
          <w:p w14:paraId="067DF876" w14:textId="23E39D21" w:rsidR="009569E3" w:rsidRPr="00D1226C" w:rsidRDefault="009569E3" w:rsidP="00012F6D">
            <w:pPr>
              <w:spacing w:after="0" w:line="240" w:lineRule="auto"/>
              <w:ind w:left="227"/>
              <w:jc w:val="left"/>
              <w:rPr>
                <w:rFonts w:ascii="Arial" w:hAnsi="Arial" w:cs="Arial"/>
                <w:sz w:val="16"/>
                <w:szCs w:val="16"/>
              </w:rPr>
            </w:pPr>
            <w:r w:rsidRPr="00D1226C">
              <w:rPr>
                <w:rFonts w:ascii="Arial" w:hAnsi="Arial" w:cs="Arial"/>
                <w:sz w:val="16"/>
                <w:szCs w:val="16"/>
              </w:rPr>
              <w:t xml:space="preserve">By purchase </w:t>
            </w:r>
            <w:r>
              <w:rPr>
                <w:rFonts w:ascii="Arial" w:hAnsi="Arial" w:cs="Arial"/>
                <w:sz w:val="16"/>
                <w:szCs w:val="16"/>
              </w:rPr>
              <w:t>–</w:t>
            </w:r>
            <w:r w:rsidRPr="00D1226C">
              <w:rPr>
                <w:rFonts w:ascii="Arial" w:hAnsi="Arial" w:cs="Arial"/>
                <w:sz w:val="16"/>
                <w:szCs w:val="16"/>
              </w:rPr>
              <w:t xml:space="preserve"> appropriation</w:t>
            </w:r>
            <w:r>
              <w:rPr>
                <w:rFonts w:ascii="Arial" w:hAnsi="Arial" w:cs="Arial"/>
                <w:sz w:val="16"/>
                <w:szCs w:val="16"/>
              </w:rPr>
              <w:t xml:space="preserve"> </w:t>
            </w:r>
            <w:r w:rsidRPr="00D1226C">
              <w:rPr>
                <w:rFonts w:ascii="Arial" w:hAnsi="Arial" w:cs="Arial"/>
                <w:sz w:val="16"/>
                <w:szCs w:val="16"/>
              </w:rPr>
              <w:t xml:space="preserve">ordinary annual services </w:t>
            </w:r>
            <w:r w:rsidRPr="00D1226C">
              <w:rPr>
                <w:rFonts w:ascii="Arial" w:hAnsi="Arial" w:cs="Arial"/>
                <w:sz w:val="16"/>
                <w:szCs w:val="16"/>
                <w:vertAlign w:val="superscript"/>
              </w:rPr>
              <w:t>(a)</w:t>
            </w:r>
          </w:p>
        </w:tc>
        <w:tc>
          <w:tcPr>
            <w:tcW w:w="899" w:type="dxa"/>
            <w:tcBorders>
              <w:top w:val="nil"/>
              <w:left w:val="nil"/>
              <w:bottom w:val="nil"/>
              <w:right w:val="nil"/>
            </w:tcBorders>
            <w:shd w:val="clear" w:color="auto" w:fill="auto"/>
            <w:noWrap/>
            <w:vAlign w:val="bottom"/>
            <w:hideMark/>
          </w:tcPr>
          <w:p w14:paraId="29B174BA" w14:textId="4F0599D3"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486</w:t>
            </w:r>
          </w:p>
        </w:tc>
        <w:tc>
          <w:tcPr>
            <w:tcW w:w="964" w:type="dxa"/>
            <w:tcBorders>
              <w:top w:val="nil"/>
              <w:left w:val="nil"/>
              <w:bottom w:val="nil"/>
              <w:right w:val="nil"/>
            </w:tcBorders>
            <w:shd w:val="clear" w:color="auto" w:fill="auto"/>
            <w:noWrap/>
            <w:vAlign w:val="bottom"/>
            <w:hideMark/>
          </w:tcPr>
          <w:p w14:paraId="17D7BD58" w14:textId="24EB1B35"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418</w:t>
            </w:r>
          </w:p>
        </w:tc>
        <w:tc>
          <w:tcPr>
            <w:tcW w:w="981" w:type="dxa"/>
            <w:tcBorders>
              <w:top w:val="nil"/>
              <w:left w:val="nil"/>
              <w:bottom w:val="nil"/>
              <w:right w:val="nil"/>
            </w:tcBorders>
            <w:shd w:val="clear" w:color="auto" w:fill="auto"/>
            <w:noWrap/>
            <w:vAlign w:val="bottom"/>
            <w:hideMark/>
          </w:tcPr>
          <w:p w14:paraId="4A878E2B" w14:textId="6A7F74C7"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32,125</w:t>
            </w:r>
          </w:p>
        </w:tc>
        <w:tc>
          <w:tcPr>
            <w:tcW w:w="899" w:type="dxa"/>
            <w:tcBorders>
              <w:top w:val="nil"/>
              <w:left w:val="nil"/>
              <w:bottom w:val="nil"/>
              <w:right w:val="nil"/>
            </w:tcBorders>
            <w:shd w:val="clear" w:color="auto" w:fill="auto"/>
            <w:noWrap/>
            <w:vAlign w:val="bottom"/>
            <w:hideMark/>
          </w:tcPr>
          <w:p w14:paraId="4D65E01C" w14:textId="36AFDCCC"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58537FDE" w14:textId="13B6442C"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33,029</w:t>
            </w:r>
          </w:p>
        </w:tc>
      </w:tr>
      <w:tr w:rsidR="009569E3" w:rsidRPr="00D1226C" w14:paraId="6E1F84C6" w14:textId="77777777" w:rsidTr="005C472A">
        <w:trPr>
          <w:trHeight w:val="204"/>
        </w:trPr>
        <w:tc>
          <w:tcPr>
            <w:tcW w:w="2977" w:type="dxa"/>
            <w:tcBorders>
              <w:top w:val="nil"/>
              <w:left w:val="nil"/>
              <w:bottom w:val="nil"/>
              <w:right w:val="nil"/>
            </w:tcBorders>
            <w:shd w:val="clear" w:color="auto" w:fill="auto"/>
            <w:vAlign w:val="center"/>
            <w:hideMark/>
          </w:tcPr>
          <w:p w14:paraId="12332F42" w14:textId="3B60D42D" w:rsidR="009569E3" w:rsidRPr="00D1226C" w:rsidRDefault="009569E3" w:rsidP="00012F6D">
            <w:pPr>
              <w:spacing w:after="0" w:line="240" w:lineRule="auto"/>
              <w:ind w:left="227"/>
              <w:jc w:val="left"/>
              <w:rPr>
                <w:rFonts w:ascii="Arial" w:hAnsi="Arial" w:cs="Arial"/>
                <w:sz w:val="16"/>
                <w:szCs w:val="16"/>
              </w:rPr>
            </w:pPr>
            <w:r w:rsidRPr="00D1226C">
              <w:rPr>
                <w:rFonts w:ascii="Arial" w:hAnsi="Arial" w:cs="Arial"/>
                <w:sz w:val="16"/>
                <w:szCs w:val="16"/>
              </w:rPr>
              <w:t>By purchase - appropriation ordinary</w:t>
            </w:r>
            <w:r>
              <w:rPr>
                <w:rFonts w:ascii="Arial" w:hAnsi="Arial" w:cs="Arial"/>
                <w:sz w:val="16"/>
                <w:szCs w:val="16"/>
              </w:rPr>
              <w:t xml:space="preserve"> </w:t>
            </w:r>
            <w:r w:rsidRPr="00D1226C">
              <w:rPr>
                <w:rFonts w:ascii="Arial" w:hAnsi="Arial" w:cs="Arial"/>
                <w:sz w:val="16"/>
                <w:szCs w:val="16"/>
              </w:rPr>
              <w:t>annual services - ROU assets</w:t>
            </w:r>
          </w:p>
        </w:tc>
        <w:tc>
          <w:tcPr>
            <w:tcW w:w="899" w:type="dxa"/>
            <w:tcBorders>
              <w:top w:val="nil"/>
              <w:left w:val="nil"/>
              <w:bottom w:val="nil"/>
              <w:right w:val="nil"/>
            </w:tcBorders>
            <w:shd w:val="clear" w:color="auto" w:fill="auto"/>
            <w:noWrap/>
            <w:vAlign w:val="bottom"/>
            <w:hideMark/>
          </w:tcPr>
          <w:p w14:paraId="50A8B564" w14:textId="5261F917"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1,035</w:t>
            </w:r>
          </w:p>
        </w:tc>
        <w:tc>
          <w:tcPr>
            <w:tcW w:w="964" w:type="dxa"/>
            <w:tcBorders>
              <w:top w:val="nil"/>
              <w:left w:val="nil"/>
              <w:bottom w:val="nil"/>
              <w:right w:val="nil"/>
            </w:tcBorders>
            <w:shd w:val="clear" w:color="auto" w:fill="auto"/>
            <w:noWrap/>
            <w:vAlign w:val="bottom"/>
            <w:hideMark/>
          </w:tcPr>
          <w:p w14:paraId="7343A2EE" w14:textId="139DCE89"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16</w:t>
            </w:r>
          </w:p>
        </w:tc>
        <w:tc>
          <w:tcPr>
            <w:tcW w:w="981" w:type="dxa"/>
            <w:tcBorders>
              <w:top w:val="nil"/>
              <w:left w:val="nil"/>
              <w:bottom w:val="nil"/>
              <w:right w:val="nil"/>
            </w:tcBorders>
            <w:shd w:val="clear" w:color="auto" w:fill="auto"/>
            <w:noWrap/>
            <w:vAlign w:val="bottom"/>
            <w:hideMark/>
          </w:tcPr>
          <w:p w14:paraId="04CE69FE" w14:textId="280915D1"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7DC4ED8B" w14:textId="7F96C7AB"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06D9D726" w14:textId="5676D5AB"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1,051</w:t>
            </w:r>
          </w:p>
        </w:tc>
      </w:tr>
      <w:tr w:rsidR="009569E3" w:rsidRPr="00D1226C" w14:paraId="5DDB6266" w14:textId="77777777" w:rsidTr="005C472A">
        <w:trPr>
          <w:trHeight w:val="204"/>
        </w:trPr>
        <w:tc>
          <w:tcPr>
            <w:tcW w:w="2977" w:type="dxa"/>
            <w:tcBorders>
              <w:top w:val="nil"/>
              <w:left w:val="nil"/>
              <w:bottom w:val="nil"/>
              <w:right w:val="nil"/>
            </w:tcBorders>
            <w:shd w:val="clear" w:color="auto" w:fill="auto"/>
            <w:vAlign w:val="bottom"/>
            <w:hideMark/>
          </w:tcPr>
          <w:p w14:paraId="4A359411" w14:textId="77777777" w:rsidR="009569E3" w:rsidRPr="00D1226C" w:rsidRDefault="009569E3" w:rsidP="009569E3">
            <w:pPr>
              <w:spacing w:after="0" w:line="240" w:lineRule="auto"/>
              <w:ind w:left="113"/>
              <w:jc w:val="left"/>
              <w:rPr>
                <w:rFonts w:ascii="Arial" w:hAnsi="Arial" w:cs="Arial"/>
                <w:b/>
                <w:bCs/>
                <w:sz w:val="16"/>
                <w:szCs w:val="16"/>
              </w:rPr>
            </w:pPr>
            <w:r w:rsidRPr="00D1226C">
              <w:rPr>
                <w:rFonts w:ascii="Arial" w:hAnsi="Arial" w:cs="Arial"/>
                <w:b/>
                <w:bCs/>
                <w:sz w:val="16"/>
                <w:szCs w:val="16"/>
              </w:rPr>
              <w:t>Total additions</w:t>
            </w:r>
          </w:p>
        </w:tc>
        <w:tc>
          <w:tcPr>
            <w:tcW w:w="899" w:type="dxa"/>
            <w:tcBorders>
              <w:top w:val="single" w:sz="4" w:space="0" w:color="auto"/>
              <w:left w:val="nil"/>
              <w:bottom w:val="nil"/>
              <w:right w:val="nil"/>
            </w:tcBorders>
            <w:shd w:val="clear" w:color="auto" w:fill="auto"/>
            <w:noWrap/>
            <w:vAlign w:val="bottom"/>
            <w:hideMark/>
          </w:tcPr>
          <w:p w14:paraId="047E3F00" w14:textId="27EFE65A"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1,521</w:t>
            </w:r>
          </w:p>
        </w:tc>
        <w:tc>
          <w:tcPr>
            <w:tcW w:w="964" w:type="dxa"/>
            <w:tcBorders>
              <w:top w:val="single" w:sz="4" w:space="0" w:color="auto"/>
              <w:left w:val="nil"/>
              <w:bottom w:val="nil"/>
              <w:right w:val="nil"/>
            </w:tcBorders>
            <w:shd w:val="clear" w:color="auto" w:fill="auto"/>
            <w:noWrap/>
            <w:vAlign w:val="bottom"/>
            <w:hideMark/>
          </w:tcPr>
          <w:p w14:paraId="7A4388E9" w14:textId="3964CD62"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434</w:t>
            </w:r>
          </w:p>
        </w:tc>
        <w:tc>
          <w:tcPr>
            <w:tcW w:w="981" w:type="dxa"/>
            <w:tcBorders>
              <w:top w:val="single" w:sz="4" w:space="0" w:color="auto"/>
              <w:left w:val="nil"/>
              <w:bottom w:val="nil"/>
              <w:right w:val="nil"/>
            </w:tcBorders>
            <w:shd w:val="clear" w:color="auto" w:fill="auto"/>
            <w:noWrap/>
            <w:vAlign w:val="bottom"/>
            <w:hideMark/>
          </w:tcPr>
          <w:p w14:paraId="0BE84F67" w14:textId="6B27F567"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32,125</w:t>
            </w:r>
          </w:p>
        </w:tc>
        <w:tc>
          <w:tcPr>
            <w:tcW w:w="899" w:type="dxa"/>
            <w:tcBorders>
              <w:top w:val="single" w:sz="4" w:space="0" w:color="auto"/>
              <w:left w:val="nil"/>
              <w:bottom w:val="nil"/>
              <w:right w:val="nil"/>
            </w:tcBorders>
            <w:shd w:val="clear" w:color="auto" w:fill="auto"/>
            <w:noWrap/>
            <w:vAlign w:val="bottom"/>
            <w:hideMark/>
          </w:tcPr>
          <w:p w14:paraId="6A3AE687" w14:textId="76FE5139"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w:t>
            </w:r>
          </w:p>
        </w:tc>
        <w:tc>
          <w:tcPr>
            <w:tcW w:w="899" w:type="dxa"/>
            <w:tcBorders>
              <w:top w:val="single" w:sz="4" w:space="0" w:color="auto"/>
              <w:left w:val="nil"/>
              <w:bottom w:val="nil"/>
              <w:right w:val="nil"/>
            </w:tcBorders>
            <w:shd w:val="clear" w:color="auto" w:fill="auto"/>
            <w:noWrap/>
            <w:vAlign w:val="bottom"/>
            <w:hideMark/>
          </w:tcPr>
          <w:p w14:paraId="70AAA726" w14:textId="157EEBA0"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34,080</w:t>
            </w:r>
          </w:p>
        </w:tc>
      </w:tr>
      <w:tr w:rsidR="009569E3" w:rsidRPr="00D1226C" w14:paraId="2C6C1F78" w14:textId="77777777" w:rsidTr="005C472A">
        <w:trPr>
          <w:trHeight w:val="204"/>
        </w:trPr>
        <w:tc>
          <w:tcPr>
            <w:tcW w:w="2977" w:type="dxa"/>
            <w:tcBorders>
              <w:top w:val="nil"/>
              <w:left w:val="nil"/>
              <w:bottom w:val="nil"/>
              <w:right w:val="nil"/>
            </w:tcBorders>
            <w:shd w:val="clear" w:color="auto" w:fill="auto"/>
            <w:vAlign w:val="bottom"/>
            <w:hideMark/>
          </w:tcPr>
          <w:p w14:paraId="445ADE29" w14:textId="77777777" w:rsidR="009569E3" w:rsidRPr="00D1226C" w:rsidRDefault="009569E3" w:rsidP="009569E3">
            <w:pPr>
              <w:spacing w:after="0" w:line="240" w:lineRule="auto"/>
              <w:ind w:left="113"/>
              <w:jc w:val="left"/>
              <w:rPr>
                <w:rFonts w:ascii="Arial" w:hAnsi="Arial" w:cs="Arial"/>
                <w:b/>
                <w:bCs/>
                <w:sz w:val="16"/>
                <w:szCs w:val="16"/>
              </w:rPr>
            </w:pPr>
            <w:r w:rsidRPr="00D1226C">
              <w:rPr>
                <w:rFonts w:ascii="Arial" w:hAnsi="Arial" w:cs="Arial"/>
                <w:b/>
                <w:bCs/>
                <w:sz w:val="16"/>
                <w:szCs w:val="16"/>
              </w:rPr>
              <w:t>Other movements</w:t>
            </w:r>
          </w:p>
        </w:tc>
        <w:tc>
          <w:tcPr>
            <w:tcW w:w="899" w:type="dxa"/>
            <w:tcBorders>
              <w:top w:val="single" w:sz="4" w:space="0" w:color="auto"/>
              <w:left w:val="nil"/>
              <w:bottom w:val="nil"/>
              <w:right w:val="nil"/>
            </w:tcBorders>
            <w:shd w:val="clear" w:color="auto" w:fill="auto"/>
            <w:noWrap/>
            <w:vAlign w:val="bottom"/>
            <w:hideMark/>
          </w:tcPr>
          <w:p w14:paraId="6D09B571" w14:textId="41220C9A" w:rsidR="009569E3" w:rsidRPr="00D1226C" w:rsidRDefault="009569E3" w:rsidP="009569E3">
            <w:pPr>
              <w:spacing w:after="0" w:line="240" w:lineRule="auto"/>
              <w:jc w:val="right"/>
              <w:rPr>
                <w:rFonts w:ascii="Arial" w:hAnsi="Arial" w:cs="Arial"/>
                <w:b/>
                <w:bCs/>
                <w:sz w:val="16"/>
                <w:szCs w:val="16"/>
              </w:rPr>
            </w:pPr>
          </w:p>
        </w:tc>
        <w:tc>
          <w:tcPr>
            <w:tcW w:w="964" w:type="dxa"/>
            <w:tcBorders>
              <w:top w:val="single" w:sz="4" w:space="0" w:color="auto"/>
              <w:left w:val="nil"/>
              <w:bottom w:val="nil"/>
              <w:right w:val="nil"/>
            </w:tcBorders>
            <w:shd w:val="clear" w:color="auto" w:fill="auto"/>
            <w:noWrap/>
            <w:vAlign w:val="bottom"/>
            <w:hideMark/>
          </w:tcPr>
          <w:p w14:paraId="28829521" w14:textId="524A419E" w:rsidR="009569E3" w:rsidRPr="00D1226C" w:rsidRDefault="009569E3" w:rsidP="009569E3">
            <w:pPr>
              <w:spacing w:after="0" w:line="240" w:lineRule="auto"/>
              <w:jc w:val="right"/>
              <w:rPr>
                <w:rFonts w:ascii="Arial" w:hAnsi="Arial" w:cs="Arial"/>
                <w:b/>
                <w:bCs/>
                <w:sz w:val="16"/>
                <w:szCs w:val="16"/>
              </w:rPr>
            </w:pPr>
          </w:p>
        </w:tc>
        <w:tc>
          <w:tcPr>
            <w:tcW w:w="981" w:type="dxa"/>
            <w:tcBorders>
              <w:top w:val="single" w:sz="4" w:space="0" w:color="auto"/>
              <w:left w:val="nil"/>
              <w:bottom w:val="nil"/>
              <w:right w:val="nil"/>
            </w:tcBorders>
            <w:shd w:val="clear" w:color="auto" w:fill="auto"/>
            <w:noWrap/>
            <w:vAlign w:val="bottom"/>
            <w:hideMark/>
          </w:tcPr>
          <w:p w14:paraId="349FEE2D" w14:textId="05C423CB" w:rsidR="009569E3" w:rsidRPr="00D1226C" w:rsidRDefault="009569E3" w:rsidP="009569E3">
            <w:pPr>
              <w:spacing w:after="0" w:line="240" w:lineRule="auto"/>
              <w:jc w:val="right"/>
              <w:rPr>
                <w:rFonts w:ascii="Arial" w:hAnsi="Arial" w:cs="Arial"/>
                <w:b/>
                <w:bCs/>
                <w:sz w:val="16"/>
                <w:szCs w:val="16"/>
              </w:rPr>
            </w:pPr>
          </w:p>
        </w:tc>
        <w:tc>
          <w:tcPr>
            <w:tcW w:w="899" w:type="dxa"/>
            <w:tcBorders>
              <w:top w:val="single" w:sz="4" w:space="0" w:color="auto"/>
              <w:left w:val="nil"/>
              <w:bottom w:val="nil"/>
              <w:right w:val="nil"/>
            </w:tcBorders>
            <w:shd w:val="clear" w:color="auto" w:fill="auto"/>
            <w:noWrap/>
            <w:vAlign w:val="bottom"/>
            <w:hideMark/>
          </w:tcPr>
          <w:p w14:paraId="7681105B" w14:textId="509DCA9B" w:rsidR="009569E3" w:rsidRPr="00D1226C" w:rsidRDefault="009569E3" w:rsidP="009569E3">
            <w:pPr>
              <w:spacing w:after="0" w:line="240" w:lineRule="auto"/>
              <w:jc w:val="right"/>
              <w:rPr>
                <w:rFonts w:ascii="Arial" w:hAnsi="Arial" w:cs="Arial"/>
                <w:b/>
                <w:bCs/>
                <w:sz w:val="16"/>
                <w:szCs w:val="16"/>
              </w:rPr>
            </w:pPr>
          </w:p>
        </w:tc>
        <w:tc>
          <w:tcPr>
            <w:tcW w:w="899" w:type="dxa"/>
            <w:tcBorders>
              <w:top w:val="single" w:sz="4" w:space="0" w:color="auto"/>
              <w:left w:val="nil"/>
              <w:bottom w:val="nil"/>
              <w:right w:val="nil"/>
            </w:tcBorders>
            <w:shd w:val="clear" w:color="auto" w:fill="auto"/>
            <w:noWrap/>
            <w:vAlign w:val="bottom"/>
            <w:hideMark/>
          </w:tcPr>
          <w:p w14:paraId="505D755C" w14:textId="50728E6C" w:rsidR="009569E3" w:rsidRPr="00D1226C" w:rsidRDefault="009569E3" w:rsidP="009569E3">
            <w:pPr>
              <w:spacing w:after="0" w:line="240" w:lineRule="auto"/>
              <w:jc w:val="right"/>
              <w:rPr>
                <w:rFonts w:ascii="Arial" w:hAnsi="Arial" w:cs="Arial"/>
                <w:b/>
                <w:bCs/>
                <w:sz w:val="16"/>
                <w:szCs w:val="16"/>
              </w:rPr>
            </w:pPr>
          </w:p>
        </w:tc>
      </w:tr>
      <w:tr w:rsidR="009569E3" w:rsidRPr="00D1226C" w14:paraId="769498E5" w14:textId="77777777" w:rsidTr="005C472A">
        <w:trPr>
          <w:trHeight w:val="204"/>
        </w:trPr>
        <w:tc>
          <w:tcPr>
            <w:tcW w:w="2977" w:type="dxa"/>
            <w:tcBorders>
              <w:top w:val="nil"/>
              <w:left w:val="nil"/>
              <w:bottom w:val="nil"/>
              <w:right w:val="nil"/>
            </w:tcBorders>
            <w:shd w:val="clear" w:color="auto" w:fill="auto"/>
            <w:vAlign w:val="bottom"/>
            <w:hideMark/>
          </w:tcPr>
          <w:p w14:paraId="4AFFF84A" w14:textId="77777777" w:rsidR="009569E3" w:rsidRPr="00D1226C" w:rsidRDefault="009569E3" w:rsidP="00075298">
            <w:pPr>
              <w:spacing w:after="0" w:line="240" w:lineRule="auto"/>
              <w:ind w:left="227"/>
              <w:jc w:val="left"/>
              <w:rPr>
                <w:rFonts w:ascii="Arial" w:hAnsi="Arial" w:cs="Arial"/>
                <w:sz w:val="16"/>
                <w:szCs w:val="16"/>
              </w:rPr>
            </w:pPr>
            <w:r w:rsidRPr="00D1226C">
              <w:rPr>
                <w:rFonts w:ascii="Arial" w:hAnsi="Arial" w:cs="Arial"/>
                <w:sz w:val="16"/>
                <w:szCs w:val="16"/>
              </w:rPr>
              <w:t>Depreciation/amortisation expense</w:t>
            </w:r>
          </w:p>
        </w:tc>
        <w:tc>
          <w:tcPr>
            <w:tcW w:w="899" w:type="dxa"/>
            <w:tcBorders>
              <w:top w:val="nil"/>
              <w:left w:val="nil"/>
              <w:bottom w:val="nil"/>
              <w:right w:val="nil"/>
            </w:tcBorders>
            <w:shd w:val="clear" w:color="auto" w:fill="auto"/>
            <w:noWrap/>
            <w:vAlign w:val="bottom"/>
            <w:hideMark/>
          </w:tcPr>
          <w:p w14:paraId="58E5037A" w14:textId="4F5147D6"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(3,690)</w:t>
            </w:r>
          </w:p>
        </w:tc>
        <w:tc>
          <w:tcPr>
            <w:tcW w:w="964" w:type="dxa"/>
            <w:tcBorders>
              <w:top w:val="nil"/>
              <w:left w:val="nil"/>
              <w:bottom w:val="nil"/>
              <w:right w:val="nil"/>
            </w:tcBorders>
            <w:shd w:val="clear" w:color="auto" w:fill="auto"/>
            <w:noWrap/>
            <w:vAlign w:val="bottom"/>
            <w:hideMark/>
          </w:tcPr>
          <w:p w14:paraId="64C33BEE" w14:textId="69DF5DC7"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(5,391)</w:t>
            </w:r>
          </w:p>
        </w:tc>
        <w:tc>
          <w:tcPr>
            <w:tcW w:w="981" w:type="dxa"/>
            <w:tcBorders>
              <w:top w:val="nil"/>
              <w:left w:val="nil"/>
              <w:bottom w:val="nil"/>
              <w:right w:val="nil"/>
            </w:tcBorders>
            <w:shd w:val="clear" w:color="auto" w:fill="auto"/>
            <w:noWrap/>
            <w:vAlign w:val="bottom"/>
            <w:hideMark/>
          </w:tcPr>
          <w:p w14:paraId="30DF06C8" w14:textId="3C795020"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(7,188)</w:t>
            </w:r>
          </w:p>
        </w:tc>
        <w:tc>
          <w:tcPr>
            <w:tcW w:w="899" w:type="dxa"/>
            <w:tcBorders>
              <w:top w:val="nil"/>
              <w:left w:val="nil"/>
              <w:bottom w:val="nil"/>
              <w:right w:val="nil"/>
            </w:tcBorders>
            <w:shd w:val="clear" w:color="auto" w:fill="auto"/>
            <w:noWrap/>
            <w:vAlign w:val="bottom"/>
            <w:hideMark/>
          </w:tcPr>
          <w:p w14:paraId="77140104" w14:textId="484A3F70"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(142)</w:t>
            </w:r>
          </w:p>
        </w:tc>
        <w:tc>
          <w:tcPr>
            <w:tcW w:w="899" w:type="dxa"/>
            <w:tcBorders>
              <w:top w:val="nil"/>
              <w:left w:val="nil"/>
              <w:bottom w:val="nil"/>
              <w:right w:val="nil"/>
            </w:tcBorders>
            <w:shd w:val="clear" w:color="auto" w:fill="auto"/>
            <w:noWrap/>
            <w:vAlign w:val="bottom"/>
            <w:hideMark/>
          </w:tcPr>
          <w:p w14:paraId="5577F8E7" w14:textId="71D8BA05"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(16,411)</w:t>
            </w:r>
          </w:p>
        </w:tc>
      </w:tr>
      <w:tr w:rsidR="009569E3" w:rsidRPr="00D1226C" w14:paraId="24F53EF1" w14:textId="77777777" w:rsidTr="005C472A">
        <w:trPr>
          <w:trHeight w:val="204"/>
        </w:trPr>
        <w:tc>
          <w:tcPr>
            <w:tcW w:w="2977" w:type="dxa"/>
            <w:tcBorders>
              <w:top w:val="nil"/>
              <w:left w:val="nil"/>
              <w:bottom w:val="nil"/>
              <w:right w:val="nil"/>
            </w:tcBorders>
            <w:shd w:val="clear" w:color="auto" w:fill="auto"/>
            <w:vAlign w:val="center"/>
            <w:hideMark/>
          </w:tcPr>
          <w:p w14:paraId="3DBA875F" w14:textId="1A6BBEC2" w:rsidR="009569E3" w:rsidRPr="00D1226C" w:rsidRDefault="009569E3" w:rsidP="00075298">
            <w:pPr>
              <w:spacing w:after="0" w:line="240" w:lineRule="auto"/>
              <w:ind w:left="227"/>
              <w:jc w:val="left"/>
              <w:rPr>
                <w:rFonts w:ascii="Arial" w:hAnsi="Arial" w:cs="Arial"/>
                <w:sz w:val="16"/>
                <w:szCs w:val="16"/>
              </w:rPr>
            </w:pPr>
            <w:r w:rsidRPr="00D1226C">
              <w:rPr>
                <w:rFonts w:ascii="Arial" w:hAnsi="Arial" w:cs="Arial"/>
                <w:sz w:val="16"/>
                <w:szCs w:val="16"/>
              </w:rPr>
              <w:t>Depreciation/amortisation on</w:t>
            </w:r>
            <w:r>
              <w:rPr>
                <w:rFonts w:ascii="Arial" w:hAnsi="Arial" w:cs="Arial"/>
                <w:sz w:val="16"/>
                <w:szCs w:val="16"/>
              </w:rPr>
              <w:t xml:space="preserve"> </w:t>
            </w:r>
            <w:r w:rsidRPr="00D1226C">
              <w:rPr>
                <w:rFonts w:ascii="Arial" w:hAnsi="Arial" w:cs="Arial"/>
                <w:sz w:val="16"/>
                <w:szCs w:val="16"/>
              </w:rPr>
              <w:t>ROU assets</w:t>
            </w:r>
          </w:p>
        </w:tc>
        <w:tc>
          <w:tcPr>
            <w:tcW w:w="899" w:type="dxa"/>
            <w:tcBorders>
              <w:top w:val="nil"/>
              <w:left w:val="nil"/>
              <w:bottom w:val="nil"/>
              <w:right w:val="nil"/>
            </w:tcBorders>
            <w:shd w:val="clear" w:color="auto" w:fill="auto"/>
            <w:noWrap/>
            <w:vAlign w:val="bottom"/>
            <w:hideMark/>
          </w:tcPr>
          <w:p w14:paraId="37E81CDB" w14:textId="203CC747"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(20,212)</w:t>
            </w:r>
          </w:p>
        </w:tc>
        <w:tc>
          <w:tcPr>
            <w:tcW w:w="964" w:type="dxa"/>
            <w:tcBorders>
              <w:top w:val="nil"/>
              <w:left w:val="nil"/>
              <w:bottom w:val="nil"/>
              <w:right w:val="nil"/>
            </w:tcBorders>
            <w:shd w:val="clear" w:color="auto" w:fill="auto"/>
            <w:noWrap/>
            <w:vAlign w:val="bottom"/>
            <w:hideMark/>
          </w:tcPr>
          <w:p w14:paraId="5EA7D320" w14:textId="13DF430E"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(15)</w:t>
            </w:r>
          </w:p>
        </w:tc>
        <w:tc>
          <w:tcPr>
            <w:tcW w:w="981" w:type="dxa"/>
            <w:tcBorders>
              <w:top w:val="nil"/>
              <w:left w:val="nil"/>
              <w:bottom w:val="nil"/>
              <w:right w:val="nil"/>
            </w:tcBorders>
            <w:shd w:val="clear" w:color="auto" w:fill="auto"/>
            <w:noWrap/>
            <w:vAlign w:val="bottom"/>
            <w:hideMark/>
          </w:tcPr>
          <w:p w14:paraId="675B5D19" w14:textId="55CEB793"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370F6631" w14:textId="76656348"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64D04508" w14:textId="0CB6966F"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(20,227)</w:t>
            </w:r>
          </w:p>
        </w:tc>
      </w:tr>
      <w:tr w:rsidR="009569E3" w:rsidRPr="00D1226C" w14:paraId="60D9CC02" w14:textId="77777777" w:rsidTr="005C472A">
        <w:trPr>
          <w:trHeight w:val="204"/>
        </w:trPr>
        <w:tc>
          <w:tcPr>
            <w:tcW w:w="2977" w:type="dxa"/>
            <w:tcBorders>
              <w:top w:val="nil"/>
              <w:left w:val="nil"/>
              <w:bottom w:val="nil"/>
              <w:right w:val="nil"/>
            </w:tcBorders>
            <w:shd w:val="clear" w:color="auto" w:fill="auto"/>
            <w:vAlign w:val="bottom"/>
            <w:hideMark/>
          </w:tcPr>
          <w:p w14:paraId="6F7C60C4" w14:textId="77777777" w:rsidR="009569E3" w:rsidRPr="00D1226C" w:rsidRDefault="009569E3" w:rsidP="009569E3">
            <w:pPr>
              <w:spacing w:after="0" w:line="240" w:lineRule="auto"/>
              <w:ind w:left="113"/>
              <w:jc w:val="left"/>
              <w:rPr>
                <w:rFonts w:ascii="Arial" w:hAnsi="Arial" w:cs="Arial"/>
                <w:b/>
                <w:bCs/>
                <w:sz w:val="16"/>
                <w:szCs w:val="16"/>
              </w:rPr>
            </w:pPr>
            <w:r w:rsidRPr="00D1226C">
              <w:rPr>
                <w:rFonts w:ascii="Arial" w:hAnsi="Arial" w:cs="Arial"/>
                <w:b/>
                <w:bCs/>
                <w:sz w:val="16"/>
                <w:szCs w:val="16"/>
              </w:rPr>
              <w:t>Total other movements</w:t>
            </w:r>
          </w:p>
        </w:tc>
        <w:tc>
          <w:tcPr>
            <w:tcW w:w="899" w:type="dxa"/>
            <w:tcBorders>
              <w:top w:val="single" w:sz="4" w:space="0" w:color="auto"/>
              <w:left w:val="nil"/>
              <w:bottom w:val="single" w:sz="4" w:space="0" w:color="auto"/>
              <w:right w:val="nil"/>
            </w:tcBorders>
            <w:shd w:val="clear" w:color="auto" w:fill="auto"/>
            <w:noWrap/>
            <w:vAlign w:val="bottom"/>
            <w:hideMark/>
          </w:tcPr>
          <w:p w14:paraId="11992868" w14:textId="009F7BC1"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(23,902)</w:t>
            </w:r>
          </w:p>
        </w:tc>
        <w:tc>
          <w:tcPr>
            <w:tcW w:w="964" w:type="dxa"/>
            <w:tcBorders>
              <w:top w:val="single" w:sz="4" w:space="0" w:color="auto"/>
              <w:left w:val="nil"/>
              <w:bottom w:val="single" w:sz="4" w:space="0" w:color="auto"/>
              <w:right w:val="nil"/>
            </w:tcBorders>
            <w:shd w:val="clear" w:color="auto" w:fill="auto"/>
            <w:noWrap/>
            <w:vAlign w:val="bottom"/>
            <w:hideMark/>
          </w:tcPr>
          <w:p w14:paraId="3BAFD228" w14:textId="25B7D5FB"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(5,406)</w:t>
            </w:r>
          </w:p>
        </w:tc>
        <w:tc>
          <w:tcPr>
            <w:tcW w:w="981" w:type="dxa"/>
            <w:tcBorders>
              <w:top w:val="single" w:sz="4" w:space="0" w:color="auto"/>
              <w:left w:val="nil"/>
              <w:bottom w:val="single" w:sz="4" w:space="0" w:color="auto"/>
              <w:right w:val="nil"/>
            </w:tcBorders>
            <w:shd w:val="clear" w:color="auto" w:fill="auto"/>
            <w:noWrap/>
            <w:vAlign w:val="bottom"/>
            <w:hideMark/>
          </w:tcPr>
          <w:p w14:paraId="631E2118" w14:textId="37894C9C"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(7,188)</w:t>
            </w:r>
          </w:p>
        </w:tc>
        <w:tc>
          <w:tcPr>
            <w:tcW w:w="899" w:type="dxa"/>
            <w:tcBorders>
              <w:top w:val="single" w:sz="4" w:space="0" w:color="auto"/>
              <w:left w:val="nil"/>
              <w:bottom w:val="single" w:sz="4" w:space="0" w:color="auto"/>
              <w:right w:val="nil"/>
            </w:tcBorders>
            <w:shd w:val="clear" w:color="auto" w:fill="auto"/>
            <w:noWrap/>
            <w:vAlign w:val="bottom"/>
            <w:hideMark/>
          </w:tcPr>
          <w:p w14:paraId="15E88A63" w14:textId="00828730"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(142)</w:t>
            </w:r>
          </w:p>
        </w:tc>
        <w:tc>
          <w:tcPr>
            <w:tcW w:w="899" w:type="dxa"/>
            <w:tcBorders>
              <w:top w:val="single" w:sz="4" w:space="0" w:color="auto"/>
              <w:left w:val="nil"/>
              <w:bottom w:val="single" w:sz="4" w:space="0" w:color="auto"/>
              <w:right w:val="nil"/>
            </w:tcBorders>
            <w:shd w:val="clear" w:color="auto" w:fill="auto"/>
            <w:noWrap/>
            <w:vAlign w:val="bottom"/>
            <w:hideMark/>
          </w:tcPr>
          <w:p w14:paraId="1511A453" w14:textId="5F1B9BB3"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(36,638)</w:t>
            </w:r>
          </w:p>
        </w:tc>
      </w:tr>
      <w:tr w:rsidR="009569E3" w:rsidRPr="00D1226C" w14:paraId="559EA7B2" w14:textId="77777777" w:rsidTr="005C472A">
        <w:trPr>
          <w:trHeight w:val="204"/>
        </w:trPr>
        <w:tc>
          <w:tcPr>
            <w:tcW w:w="2977" w:type="dxa"/>
            <w:tcBorders>
              <w:top w:val="nil"/>
              <w:left w:val="nil"/>
              <w:bottom w:val="nil"/>
              <w:right w:val="nil"/>
            </w:tcBorders>
            <w:shd w:val="clear" w:color="auto" w:fill="auto"/>
            <w:vAlign w:val="bottom"/>
            <w:hideMark/>
          </w:tcPr>
          <w:p w14:paraId="1E7449FC" w14:textId="77777777" w:rsidR="009569E3" w:rsidRPr="00D1226C" w:rsidRDefault="009569E3" w:rsidP="009569E3">
            <w:pPr>
              <w:spacing w:after="0" w:line="240" w:lineRule="auto"/>
              <w:jc w:val="left"/>
              <w:rPr>
                <w:rFonts w:ascii="Arial" w:hAnsi="Arial" w:cs="Arial"/>
                <w:b/>
                <w:bCs/>
                <w:sz w:val="16"/>
                <w:szCs w:val="16"/>
              </w:rPr>
            </w:pPr>
            <w:r w:rsidRPr="00D1226C">
              <w:rPr>
                <w:rFonts w:ascii="Arial" w:hAnsi="Arial" w:cs="Arial"/>
                <w:b/>
                <w:bCs/>
                <w:sz w:val="16"/>
                <w:szCs w:val="16"/>
              </w:rPr>
              <w:t>As at 30 June 2022</w:t>
            </w:r>
          </w:p>
        </w:tc>
        <w:tc>
          <w:tcPr>
            <w:tcW w:w="899" w:type="dxa"/>
            <w:tcBorders>
              <w:top w:val="nil"/>
              <w:left w:val="nil"/>
              <w:bottom w:val="nil"/>
              <w:right w:val="nil"/>
            </w:tcBorders>
            <w:shd w:val="clear" w:color="auto" w:fill="auto"/>
            <w:noWrap/>
            <w:vAlign w:val="bottom"/>
            <w:hideMark/>
          </w:tcPr>
          <w:p w14:paraId="6E47198B" w14:textId="77777777" w:rsidR="009569E3" w:rsidRPr="00D1226C" w:rsidRDefault="009569E3" w:rsidP="009569E3">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38ABD0E6" w14:textId="77777777" w:rsidR="009569E3" w:rsidRPr="00D1226C" w:rsidRDefault="009569E3" w:rsidP="009569E3">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3279D482" w14:textId="77777777" w:rsidR="009569E3" w:rsidRPr="00D1226C" w:rsidRDefault="009569E3" w:rsidP="009569E3">
            <w:pPr>
              <w:spacing w:after="0" w:line="240" w:lineRule="auto"/>
              <w:jc w:val="right"/>
              <w:rPr>
                <w:rFonts w:ascii="Times New Roman" w:hAnsi="Times New Roman"/>
              </w:rPr>
            </w:pPr>
          </w:p>
        </w:tc>
        <w:tc>
          <w:tcPr>
            <w:tcW w:w="899" w:type="dxa"/>
            <w:tcBorders>
              <w:top w:val="nil"/>
              <w:left w:val="nil"/>
              <w:bottom w:val="nil"/>
              <w:right w:val="nil"/>
            </w:tcBorders>
            <w:shd w:val="clear" w:color="auto" w:fill="auto"/>
            <w:noWrap/>
            <w:vAlign w:val="bottom"/>
            <w:hideMark/>
          </w:tcPr>
          <w:p w14:paraId="06DA479C" w14:textId="77777777" w:rsidR="009569E3" w:rsidRPr="00D1226C" w:rsidRDefault="009569E3" w:rsidP="009569E3">
            <w:pPr>
              <w:spacing w:after="0" w:line="240" w:lineRule="auto"/>
              <w:jc w:val="right"/>
              <w:rPr>
                <w:rFonts w:ascii="Times New Roman" w:hAnsi="Times New Roman"/>
              </w:rPr>
            </w:pPr>
          </w:p>
        </w:tc>
        <w:tc>
          <w:tcPr>
            <w:tcW w:w="899" w:type="dxa"/>
            <w:tcBorders>
              <w:top w:val="nil"/>
              <w:left w:val="nil"/>
              <w:bottom w:val="nil"/>
              <w:right w:val="nil"/>
            </w:tcBorders>
            <w:shd w:val="clear" w:color="auto" w:fill="auto"/>
            <w:noWrap/>
            <w:vAlign w:val="bottom"/>
            <w:hideMark/>
          </w:tcPr>
          <w:p w14:paraId="7EF9F0FA" w14:textId="77777777" w:rsidR="009569E3" w:rsidRPr="00D1226C" w:rsidRDefault="009569E3" w:rsidP="009569E3">
            <w:pPr>
              <w:spacing w:after="0" w:line="240" w:lineRule="auto"/>
              <w:jc w:val="right"/>
              <w:rPr>
                <w:rFonts w:ascii="Times New Roman" w:hAnsi="Times New Roman"/>
              </w:rPr>
            </w:pPr>
          </w:p>
        </w:tc>
      </w:tr>
      <w:tr w:rsidR="009569E3" w:rsidRPr="00D1226C" w14:paraId="720BCF34" w14:textId="77777777" w:rsidTr="005C472A">
        <w:trPr>
          <w:trHeight w:val="204"/>
        </w:trPr>
        <w:tc>
          <w:tcPr>
            <w:tcW w:w="2977" w:type="dxa"/>
            <w:tcBorders>
              <w:top w:val="nil"/>
              <w:left w:val="nil"/>
              <w:bottom w:val="nil"/>
              <w:right w:val="nil"/>
            </w:tcBorders>
            <w:shd w:val="clear" w:color="auto" w:fill="auto"/>
            <w:vAlign w:val="center"/>
            <w:hideMark/>
          </w:tcPr>
          <w:p w14:paraId="429441B0" w14:textId="77777777" w:rsidR="009569E3" w:rsidRPr="00D1226C" w:rsidRDefault="009569E3" w:rsidP="009569E3">
            <w:pPr>
              <w:spacing w:after="0" w:line="240" w:lineRule="auto"/>
              <w:ind w:left="113"/>
              <w:jc w:val="left"/>
              <w:rPr>
                <w:rFonts w:ascii="Arial" w:hAnsi="Arial" w:cs="Arial"/>
                <w:sz w:val="16"/>
                <w:szCs w:val="16"/>
              </w:rPr>
            </w:pPr>
            <w:r w:rsidRPr="00D1226C">
              <w:rPr>
                <w:rFonts w:ascii="Arial" w:hAnsi="Arial" w:cs="Arial"/>
                <w:sz w:val="16"/>
                <w:szCs w:val="16"/>
              </w:rPr>
              <w:t>Gross book value</w:t>
            </w:r>
          </w:p>
        </w:tc>
        <w:tc>
          <w:tcPr>
            <w:tcW w:w="899" w:type="dxa"/>
            <w:tcBorders>
              <w:top w:val="nil"/>
              <w:left w:val="nil"/>
              <w:bottom w:val="nil"/>
              <w:right w:val="nil"/>
            </w:tcBorders>
            <w:shd w:val="clear" w:color="auto" w:fill="auto"/>
            <w:noWrap/>
            <w:vAlign w:val="bottom"/>
            <w:hideMark/>
          </w:tcPr>
          <w:p w14:paraId="4CA8D79A" w14:textId="2A9EBC0A"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34,414</w:t>
            </w:r>
          </w:p>
        </w:tc>
        <w:tc>
          <w:tcPr>
            <w:tcW w:w="964" w:type="dxa"/>
            <w:tcBorders>
              <w:top w:val="nil"/>
              <w:left w:val="nil"/>
              <w:bottom w:val="nil"/>
              <w:right w:val="nil"/>
            </w:tcBorders>
            <w:shd w:val="clear" w:color="auto" w:fill="auto"/>
            <w:noWrap/>
            <w:vAlign w:val="bottom"/>
            <w:hideMark/>
          </w:tcPr>
          <w:p w14:paraId="0464008C" w14:textId="26A0A147"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28,631</w:t>
            </w:r>
          </w:p>
        </w:tc>
        <w:tc>
          <w:tcPr>
            <w:tcW w:w="981" w:type="dxa"/>
            <w:tcBorders>
              <w:top w:val="nil"/>
              <w:left w:val="nil"/>
              <w:bottom w:val="nil"/>
              <w:right w:val="nil"/>
            </w:tcBorders>
            <w:shd w:val="clear" w:color="auto" w:fill="auto"/>
            <w:noWrap/>
            <w:vAlign w:val="bottom"/>
            <w:hideMark/>
          </w:tcPr>
          <w:p w14:paraId="0B75A6EC" w14:textId="7B57EBDE"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114,540</w:t>
            </w:r>
          </w:p>
        </w:tc>
        <w:tc>
          <w:tcPr>
            <w:tcW w:w="899" w:type="dxa"/>
            <w:tcBorders>
              <w:top w:val="nil"/>
              <w:left w:val="nil"/>
              <w:bottom w:val="nil"/>
              <w:right w:val="nil"/>
            </w:tcBorders>
            <w:shd w:val="clear" w:color="auto" w:fill="auto"/>
            <w:noWrap/>
            <w:vAlign w:val="bottom"/>
            <w:hideMark/>
          </w:tcPr>
          <w:p w14:paraId="3B9157B8" w14:textId="7700A3FF"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36,701</w:t>
            </w:r>
          </w:p>
        </w:tc>
        <w:tc>
          <w:tcPr>
            <w:tcW w:w="899" w:type="dxa"/>
            <w:tcBorders>
              <w:top w:val="nil"/>
              <w:left w:val="nil"/>
              <w:bottom w:val="nil"/>
              <w:right w:val="nil"/>
            </w:tcBorders>
            <w:shd w:val="clear" w:color="auto" w:fill="auto"/>
            <w:noWrap/>
            <w:vAlign w:val="bottom"/>
            <w:hideMark/>
          </w:tcPr>
          <w:p w14:paraId="51DEF939" w14:textId="6EA073AE"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214,286</w:t>
            </w:r>
          </w:p>
        </w:tc>
      </w:tr>
      <w:tr w:rsidR="009569E3" w:rsidRPr="00D1226C" w14:paraId="18980281" w14:textId="77777777" w:rsidTr="005C472A">
        <w:trPr>
          <w:trHeight w:val="204"/>
        </w:trPr>
        <w:tc>
          <w:tcPr>
            <w:tcW w:w="2977" w:type="dxa"/>
            <w:tcBorders>
              <w:top w:val="nil"/>
              <w:left w:val="nil"/>
              <w:bottom w:val="nil"/>
              <w:right w:val="nil"/>
            </w:tcBorders>
            <w:shd w:val="clear" w:color="auto" w:fill="auto"/>
            <w:vAlign w:val="center"/>
            <w:hideMark/>
          </w:tcPr>
          <w:p w14:paraId="4A18F361" w14:textId="77777777" w:rsidR="009569E3" w:rsidRPr="00D1226C" w:rsidRDefault="009569E3" w:rsidP="009569E3">
            <w:pPr>
              <w:spacing w:after="0" w:line="240" w:lineRule="auto"/>
              <w:ind w:left="113"/>
              <w:jc w:val="left"/>
              <w:rPr>
                <w:rFonts w:ascii="Arial" w:hAnsi="Arial" w:cs="Arial"/>
                <w:sz w:val="16"/>
                <w:szCs w:val="16"/>
              </w:rPr>
            </w:pPr>
            <w:r w:rsidRPr="00D1226C">
              <w:rPr>
                <w:rFonts w:ascii="Arial" w:hAnsi="Arial" w:cs="Arial"/>
                <w:sz w:val="16"/>
                <w:szCs w:val="16"/>
              </w:rPr>
              <w:t>Gross book value - ROU assets</w:t>
            </w:r>
          </w:p>
        </w:tc>
        <w:tc>
          <w:tcPr>
            <w:tcW w:w="899" w:type="dxa"/>
            <w:tcBorders>
              <w:top w:val="nil"/>
              <w:left w:val="nil"/>
              <w:bottom w:val="nil"/>
              <w:right w:val="nil"/>
            </w:tcBorders>
            <w:shd w:val="clear" w:color="auto" w:fill="auto"/>
            <w:noWrap/>
            <w:vAlign w:val="bottom"/>
            <w:hideMark/>
          </w:tcPr>
          <w:p w14:paraId="3A3DA2E3" w14:textId="1C82D8C4"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155,895</w:t>
            </w:r>
          </w:p>
        </w:tc>
        <w:tc>
          <w:tcPr>
            <w:tcW w:w="964" w:type="dxa"/>
            <w:tcBorders>
              <w:top w:val="nil"/>
              <w:left w:val="nil"/>
              <w:bottom w:val="nil"/>
              <w:right w:val="nil"/>
            </w:tcBorders>
            <w:shd w:val="clear" w:color="auto" w:fill="auto"/>
            <w:noWrap/>
            <w:vAlign w:val="bottom"/>
            <w:hideMark/>
          </w:tcPr>
          <w:p w14:paraId="699E9F5A" w14:textId="62C2A919"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170</w:t>
            </w:r>
          </w:p>
        </w:tc>
        <w:tc>
          <w:tcPr>
            <w:tcW w:w="981" w:type="dxa"/>
            <w:tcBorders>
              <w:top w:val="nil"/>
              <w:left w:val="nil"/>
              <w:bottom w:val="nil"/>
              <w:right w:val="nil"/>
            </w:tcBorders>
            <w:shd w:val="clear" w:color="auto" w:fill="auto"/>
            <w:noWrap/>
            <w:vAlign w:val="bottom"/>
            <w:hideMark/>
          </w:tcPr>
          <w:p w14:paraId="05542514" w14:textId="60DE1260"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081F1A87" w14:textId="4273D51A"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2C49719B" w14:textId="70C31352"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156,065</w:t>
            </w:r>
          </w:p>
        </w:tc>
      </w:tr>
      <w:tr w:rsidR="009569E3" w:rsidRPr="00D1226C" w14:paraId="0F539617" w14:textId="77777777" w:rsidTr="005C472A">
        <w:trPr>
          <w:trHeight w:val="204"/>
        </w:trPr>
        <w:tc>
          <w:tcPr>
            <w:tcW w:w="2977" w:type="dxa"/>
            <w:tcBorders>
              <w:top w:val="nil"/>
              <w:left w:val="nil"/>
              <w:bottom w:val="nil"/>
              <w:right w:val="nil"/>
            </w:tcBorders>
            <w:shd w:val="clear" w:color="auto" w:fill="auto"/>
            <w:vAlign w:val="center"/>
            <w:hideMark/>
          </w:tcPr>
          <w:p w14:paraId="1AA4D560" w14:textId="4D9F9166" w:rsidR="009569E3" w:rsidRPr="00D1226C" w:rsidRDefault="009569E3" w:rsidP="009569E3">
            <w:pPr>
              <w:spacing w:after="0" w:line="240" w:lineRule="auto"/>
              <w:ind w:left="113"/>
              <w:jc w:val="left"/>
              <w:rPr>
                <w:rFonts w:ascii="Arial" w:hAnsi="Arial" w:cs="Arial"/>
                <w:sz w:val="16"/>
                <w:szCs w:val="16"/>
              </w:rPr>
            </w:pPr>
            <w:r w:rsidRPr="00D1226C">
              <w:rPr>
                <w:rFonts w:ascii="Arial" w:hAnsi="Arial" w:cs="Arial"/>
                <w:sz w:val="16"/>
                <w:szCs w:val="16"/>
              </w:rPr>
              <w:t>Accumulated depreciation/</w:t>
            </w:r>
            <w:r>
              <w:rPr>
                <w:rFonts w:ascii="Arial" w:hAnsi="Arial" w:cs="Arial"/>
                <w:sz w:val="16"/>
                <w:szCs w:val="16"/>
              </w:rPr>
              <w:t xml:space="preserve"> </w:t>
            </w:r>
            <w:r w:rsidRPr="00D1226C">
              <w:rPr>
                <w:rFonts w:ascii="Arial" w:hAnsi="Arial" w:cs="Arial"/>
                <w:sz w:val="16"/>
                <w:szCs w:val="16"/>
              </w:rPr>
              <w:t>amortisation and impairment</w:t>
            </w:r>
          </w:p>
        </w:tc>
        <w:tc>
          <w:tcPr>
            <w:tcW w:w="899" w:type="dxa"/>
            <w:tcBorders>
              <w:top w:val="nil"/>
              <w:left w:val="nil"/>
              <w:bottom w:val="nil"/>
              <w:right w:val="nil"/>
            </w:tcBorders>
            <w:shd w:val="clear" w:color="auto" w:fill="auto"/>
            <w:noWrap/>
            <w:vAlign w:val="bottom"/>
            <w:hideMark/>
          </w:tcPr>
          <w:p w14:paraId="409A746E" w14:textId="349CBBAE"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(13,248)</w:t>
            </w:r>
          </w:p>
        </w:tc>
        <w:tc>
          <w:tcPr>
            <w:tcW w:w="964" w:type="dxa"/>
            <w:tcBorders>
              <w:top w:val="nil"/>
              <w:left w:val="nil"/>
              <w:bottom w:val="nil"/>
              <w:right w:val="nil"/>
            </w:tcBorders>
            <w:shd w:val="clear" w:color="auto" w:fill="auto"/>
            <w:noWrap/>
            <w:vAlign w:val="bottom"/>
            <w:hideMark/>
          </w:tcPr>
          <w:p w14:paraId="00716E6A" w14:textId="49875002"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(14,881)</w:t>
            </w:r>
          </w:p>
        </w:tc>
        <w:tc>
          <w:tcPr>
            <w:tcW w:w="981" w:type="dxa"/>
            <w:tcBorders>
              <w:top w:val="nil"/>
              <w:left w:val="nil"/>
              <w:bottom w:val="nil"/>
              <w:right w:val="nil"/>
            </w:tcBorders>
            <w:shd w:val="clear" w:color="auto" w:fill="auto"/>
            <w:noWrap/>
            <w:vAlign w:val="bottom"/>
            <w:hideMark/>
          </w:tcPr>
          <w:p w14:paraId="1AA592CE" w14:textId="31F28056"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(49,262)</w:t>
            </w:r>
          </w:p>
        </w:tc>
        <w:tc>
          <w:tcPr>
            <w:tcW w:w="899" w:type="dxa"/>
            <w:tcBorders>
              <w:top w:val="nil"/>
              <w:left w:val="nil"/>
              <w:bottom w:val="nil"/>
              <w:right w:val="nil"/>
            </w:tcBorders>
            <w:shd w:val="clear" w:color="auto" w:fill="auto"/>
            <w:noWrap/>
            <w:vAlign w:val="bottom"/>
            <w:hideMark/>
          </w:tcPr>
          <w:p w14:paraId="5CFDA873" w14:textId="010E51F7"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(736)</w:t>
            </w:r>
          </w:p>
        </w:tc>
        <w:tc>
          <w:tcPr>
            <w:tcW w:w="899" w:type="dxa"/>
            <w:tcBorders>
              <w:top w:val="nil"/>
              <w:left w:val="nil"/>
              <w:bottom w:val="nil"/>
              <w:right w:val="nil"/>
            </w:tcBorders>
            <w:shd w:val="clear" w:color="auto" w:fill="auto"/>
            <w:noWrap/>
            <w:vAlign w:val="bottom"/>
            <w:hideMark/>
          </w:tcPr>
          <w:p w14:paraId="0A34314A" w14:textId="33B78726"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(78,127)</w:t>
            </w:r>
          </w:p>
        </w:tc>
      </w:tr>
      <w:tr w:rsidR="009569E3" w:rsidRPr="00D1226C" w14:paraId="58C2D076" w14:textId="77777777" w:rsidTr="005C472A">
        <w:trPr>
          <w:trHeight w:val="204"/>
        </w:trPr>
        <w:tc>
          <w:tcPr>
            <w:tcW w:w="2977" w:type="dxa"/>
            <w:tcBorders>
              <w:top w:val="nil"/>
              <w:left w:val="nil"/>
              <w:bottom w:val="nil"/>
              <w:right w:val="nil"/>
            </w:tcBorders>
            <w:shd w:val="clear" w:color="auto" w:fill="auto"/>
            <w:vAlign w:val="center"/>
            <w:hideMark/>
          </w:tcPr>
          <w:p w14:paraId="14B1984C" w14:textId="4FC60F7A" w:rsidR="009569E3" w:rsidRPr="00D1226C" w:rsidRDefault="009569E3" w:rsidP="009569E3">
            <w:pPr>
              <w:spacing w:after="0" w:line="240" w:lineRule="auto"/>
              <w:ind w:left="113"/>
              <w:jc w:val="left"/>
              <w:rPr>
                <w:rFonts w:ascii="Arial" w:hAnsi="Arial" w:cs="Arial"/>
                <w:sz w:val="16"/>
                <w:szCs w:val="16"/>
              </w:rPr>
            </w:pPr>
            <w:r w:rsidRPr="00D1226C">
              <w:rPr>
                <w:rFonts w:ascii="Arial" w:hAnsi="Arial" w:cs="Arial"/>
                <w:sz w:val="16"/>
                <w:szCs w:val="16"/>
              </w:rPr>
              <w:t>Accumulated depreciation/</w:t>
            </w:r>
            <w:r>
              <w:rPr>
                <w:rFonts w:ascii="Arial" w:hAnsi="Arial" w:cs="Arial"/>
                <w:sz w:val="16"/>
                <w:szCs w:val="16"/>
              </w:rPr>
              <w:t xml:space="preserve"> </w:t>
            </w:r>
            <w:r w:rsidRPr="00D1226C">
              <w:rPr>
                <w:rFonts w:ascii="Arial" w:hAnsi="Arial" w:cs="Arial"/>
                <w:sz w:val="16"/>
                <w:szCs w:val="16"/>
              </w:rPr>
              <w:t>amortisation and impairment - ROU assets</w:t>
            </w:r>
          </w:p>
        </w:tc>
        <w:tc>
          <w:tcPr>
            <w:tcW w:w="899" w:type="dxa"/>
            <w:tcBorders>
              <w:top w:val="nil"/>
              <w:left w:val="nil"/>
              <w:bottom w:val="nil"/>
              <w:right w:val="nil"/>
            </w:tcBorders>
            <w:shd w:val="clear" w:color="auto" w:fill="auto"/>
            <w:noWrap/>
            <w:vAlign w:val="bottom"/>
            <w:hideMark/>
          </w:tcPr>
          <w:p w14:paraId="7C2C47F7" w14:textId="0554CD86"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(63,878)</w:t>
            </w:r>
          </w:p>
        </w:tc>
        <w:tc>
          <w:tcPr>
            <w:tcW w:w="964" w:type="dxa"/>
            <w:tcBorders>
              <w:top w:val="nil"/>
              <w:left w:val="nil"/>
              <w:bottom w:val="nil"/>
              <w:right w:val="nil"/>
            </w:tcBorders>
            <w:shd w:val="clear" w:color="auto" w:fill="auto"/>
            <w:noWrap/>
            <w:vAlign w:val="bottom"/>
            <w:hideMark/>
          </w:tcPr>
          <w:p w14:paraId="49D1BCF3" w14:textId="14275FC9"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(88)</w:t>
            </w:r>
          </w:p>
        </w:tc>
        <w:tc>
          <w:tcPr>
            <w:tcW w:w="981" w:type="dxa"/>
            <w:tcBorders>
              <w:top w:val="nil"/>
              <w:left w:val="nil"/>
              <w:bottom w:val="nil"/>
              <w:right w:val="nil"/>
            </w:tcBorders>
            <w:shd w:val="clear" w:color="auto" w:fill="auto"/>
            <w:noWrap/>
            <w:vAlign w:val="bottom"/>
            <w:hideMark/>
          </w:tcPr>
          <w:p w14:paraId="0E4A979D" w14:textId="06C91892"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5EA713A3" w14:textId="6BC03C2E"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w:t>
            </w:r>
          </w:p>
        </w:tc>
        <w:tc>
          <w:tcPr>
            <w:tcW w:w="899" w:type="dxa"/>
            <w:tcBorders>
              <w:top w:val="nil"/>
              <w:left w:val="nil"/>
              <w:bottom w:val="nil"/>
              <w:right w:val="nil"/>
            </w:tcBorders>
            <w:shd w:val="clear" w:color="auto" w:fill="auto"/>
            <w:noWrap/>
            <w:vAlign w:val="bottom"/>
            <w:hideMark/>
          </w:tcPr>
          <w:p w14:paraId="4AA9377F" w14:textId="0C79E198" w:rsidR="009569E3" w:rsidRPr="00D1226C" w:rsidRDefault="009569E3" w:rsidP="009569E3">
            <w:pPr>
              <w:spacing w:after="0" w:line="240" w:lineRule="auto"/>
              <w:jc w:val="right"/>
              <w:rPr>
                <w:rFonts w:ascii="Arial" w:hAnsi="Arial" w:cs="Arial"/>
                <w:sz w:val="16"/>
                <w:szCs w:val="16"/>
              </w:rPr>
            </w:pPr>
            <w:r>
              <w:rPr>
                <w:rFonts w:ascii="Arial" w:hAnsi="Arial" w:cs="Arial"/>
                <w:sz w:val="16"/>
                <w:szCs w:val="16"/>
              </w:rPr>
              <w:t>(63,966)</w:t>
            </w:r>
          </w:p>
        </w:tc>
      </w:tr>
      <w:tr w:rsidR="009569E3" w:rsidRPr="00D1226C" w14:paraId="57561E0D" w14:textId="77777777" w:rsidTr="005C472A">
        <w:trPr>
          <w:trHeight w:val="204"/>
        </w:trPr>
        <w:tc>
          <w:tcPr>
            <w:tcW w:w="2977" w:type="dxa"/>
            <w:tcBorders>
              <w:top w:val="nil"/>
              <w:left w:val="nil"/>
              <w:bottom w:val="single" w:sz="4" w:space="0" w:color="auto"/>
              <w:right w:val="nil"/>
            </w:tcBorders>
            <w:shd w:val="clear" w:color="auto" w:fill="auto"/>
            <w:noWrap/>
            <w:vAlign w:val="bottom"/>
            <w:hideMark/>
          </w:tcPr>
          <w:p w14:paraId="44C42A17" w14:textId="77777777" w:rsidR="009569E3" w:rsidRPr="00D1226C" w:rsidRDefault="009569E3" w:rsidP="009569E3">
            <w:pPr>
              <w:spacing w:after="0" w:line="240" w:lineRule="auto"/>
              <w:jc w:val="left"/>
              <w:rPr>
                <w:rFonts w:ascii="Arial" w:hAnsi="Arial" w:cs="Arial"/>
                <w:b/>
                <w:bCs/>
                <w:sz w:val="16"/>
                <w:szCs w:val="16"/>
              </w:rPr>
            </w:pPr>
            <w:r w:rsidRPr="00D1226C">
              <w:rPr>
                <w:rFonts w:ascii="Arial" w:hAnsi="Arial" w:cs="Arial"/>
                <w:b/>
                <w:bCs/>
                <w:sz w:val="16"/>
                <w:szCs w:val="16"/>
              </w:rPr>
              <w:t>Closing net book balance</w:t>
            </w:r>
          </w:p>
        </w:tc>
        <w:tc>
          <w:tcPr>
            <w:tcW w:w="899" w:type="dxa"/>
            <w:tcBorders>
              <w:top w:val="single" w:sz="4" w:space="0" w:color="auto"/>
              <w:left w:val="nil"/>
              <w:bottom w:val="single" w:sz="4" w:space="0" w:color="auto"/>
              <w:right w:val="nil"/>
            </w:tcBorders>
            <w:shd w:val="clear" w:color="auto" w:fill="auto"/>
            <w:noWrap/>
            <w:vAlign w:val="bottom"/>
            <w:hideMark/>
          </w:tcPr>
          <w:p w14:paraId="348F8B6C" w14:textId="48D191D1"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113,183</w:t>
            </w:r>
          </w:p>
        </w:tc>
        <w:tc>
          <w:tcPr>
            <w:tcW w:w="964" w:type="dxa"/>
            <w:tcBorders>
              <w:top w:val="single" w:sz="4" w:space="0" w:color="auto"/>
              <w:left w:val="nil"/>
              <w:bottom w:val="single" w:sz="4" w:space="0" w:color="auto"/>
              <w:right w:val="nil"/>
            </w:tcBorders>
            <w:shd w:val="clear" w:color="auto" w:fill="auto"/>
            <w:noWrap/>
            <w:vAlign w:val="bottom"/>
            <w:hideMark/>
          </w:tcPr>
          <w:p w14:paraId="01E48AA0" w14:textId="2AD3E85A"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13,832</w:t>
            </w:r>
          </w:p>
        </w:tc>
        <w:tc>
          <w:tcPr>
            <w:tcW w:w="981" w:type="dxa"/>
            <w:tcBorders>
              <w:top w:val="single" w:sz="4" w:space="0" w:color="auto"/>
              <w:left w:val="nil"/>
              <w:bottom w:val="single" w:sz="4" w:space="0" w:color="auto"/>
              <w:right w:val="nil"/>
            </w:tcBorders>
            <w:shd w:val="clear" w:color="auto" w:fill="auto"/>
            <w:noWrap/>
            <w:vAlign w:val="bottom"/>
            <w:hideMark/>
          </w:tcPr>
          <w:p w14:paraId="37A6CE2E" w14:textId="1E858DFA"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65,278</w:t>
            </w:r>
          </w:p>
        </w:tc>
        <w:tc>
          <w:tcPr>
            <w:tcW w:w="899" w:type="dxa"/>
            <w:tcBorders>
              <w:top w:val="single" w:sz="4" w:space="0" w:color="auto"/>
              <w:left w:val="nil"/>
              <w:bottom w:val="single" w:sz="4" w:space="0" w:color="auto"/>
              <w:right w:val="nil"/>
            </w:tcBorders>
            <w:shd w:val="clear" w:color="auto" w:fill="auto"/>
            <w:noWrap/>
            <w:vAlign w:val="bottom"/>
            <w:hideMark/>
          </w:tcPr>
          <w:p w14:paraId="15407B14" w14:textId="04A47C07"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35,965</w:t>
            </w:r>
          </w:p>
        </w:tc>
        <w:tc>
          <w:tcPr>
            <w:tcW w:w="899" w:type="dxa"/>
            <w:tcBorders>
              <w:top w:val="single" w:sz="4" w:space="0" w:color="auto"/>
              <w:left w:val="nil"/>
              <w:bottom w:val="single" w:sz="4" w:space="0" w:color="auto"/>
              <w:right w:val="nil"/>
            </w:tcBorders>
            <w:shd w:val="clear" w:color="auto" w:fill="auto"/>
            <w:noWrap/>
            <w:vAlign w:val="bottom"/>
            <w:hideMark/>
          </w:tcPr>
          <w:p w14:paraId="65BE79DE" w14:textId="3536C19B" w:rsidR="009569E3" w:rsidRPr="00D1226C" w:rsidRDefault="009569E3" w:rsidP="009569E3">
            <w:pPr>
              <w:spacing w:after="0" w:line="240" w:lineRule="auto"/>
              <w:jc w:val="right"/>
              <w:rPr>
                <w:rFonts w:ascii="Arial" w:hAnsi="Arial" w:cs="Arial"/>
                <w:b/>
                <w:bCs/>
                <w:sz w:val="16"/>
                <w:szCs w:val="16"/>
              </w:rPr>
            </w:pPr>
            <w:r>
              <w:rPr>
                <w:rFonts w:ascii="Arial" w:hAnsi="Arial" w:cs="Arial"/>
                <w:b/>
                <w:bCs/>
                <w:sz w:val="16"/>
                <w:szCs w:val="16"/>
              </w:rPr>
              <w:t>228,258</w:t>
            </w:r>
          </w:p>
        </w:tc>
      </w:tr>
    </w:tbl>
    <w:p w14:paraId="0E8BD956" w14:textId="628FAAB6" w:rsidR="00D1226C" w:rsidRPr="003E23E8" w:rsidRDefault="003E23E8" w:rsidP="003E23E8">
      <w:pPr>
        <w:pStyle w:val="TableGraphic"/>
        <w:spacing w:before="60"/>
        <w:rPr>
          <w:rFonts w:ascii="Arial" w:hAnsi="Arial" w:cs="Arial"/>
          <w:i w:val="0"/>
          <w:color w:val="auto"/>
          <w:sz w:val="16"/>
          <w:lang w:val="x-none"/>
        </w:rPr>
      </w:pPr>
      <w:r w:rsidRPr="003E23E8">
        <w:rPr>
          <w:rFonts w:ascii="Arial" w:hAnsi="Arial" w:cs="Arial"/>
          <w:i w:val="0"/>
          <w:color w:val="auto"/>
          <w:sz w:val="16"/>
          <w:lang w:val="x-none"/>
        </w:rPr>
        <w:t>Prepared on Australian Accounting Standards basis.</w:t>
      </w:r>
    </w:p>
    <w:p w14:paraId="4DC3DA4F" w14:textId="4367E18B" w:rsidR="00D1226C" w:rsidRPr="00C143C9" w:rsidRDefault="0057089F" w:rsidP="00F10ACD">
      <w:pPr>
        <w:pStyle w:val="ListParagraph"/>
        <w:numPr>
          <w:ilvl w:val="0"/>
          <w:numId w:val="65"/>
        </w:numPr>
        <w:spacing w:after="0" w:line="240" w:lineRule="auto"/>
        <w:ind w:left="284" w:hanging="284"/>
        <w:rPr>
          <w:rFonts w:ascii="Arial" w:hAnsi="Arial" w:cs="Arial"/>
          <w:sz w:val="16"/>
        </w:rPr>
      </w:pPr>
      <w:r>
        <w:rPr>
          <w:rFonts w:ascii="Arial" w:hAnsi="Arial" w:cs="Arial"/>
          <w:sz w:val="16"/>
        </w:rPr>
        <w:t>‘</w:t>
      </w:r>
      <w:r w:rsidR="00C143C9" w:rsidRPr="00C143C9">
        <w:rPr>
          <w:rFonts w:ascii="Arial" w:hAnsi="Arial" w:cs="Arial"/>
          <w:sz w:val="16"/>
        </w:rPr>
        <w:t>Appropriation ordinary annual services’ refers to funding provided through Appropriation Bill (No. 1) 2021-2022 for depreciation/</w:t>
      </w:r>
      <w:proofErr w:type="spellStart"/>
      <w:r w:rsidR="00C143C9" w:rsidRPr="00C143C9">
        <w:rPr>
          <w:rFonts w:ascii="Arial" w:hAnsi="Arial" w:cs="Arial"/>
          <w:sz w:val="16"/>
        </w:rPr>
        <w:t>amortisation</w:t>
      </w:r>
      <w:proofErr w:type="spellEnd"/>
      <w:r w:rsidR="00C143C9" w:rsidRPr="00C143C9">
        <w:rPr>
          <w:rFonts w:ascii="Arial" w:hAnsi="Arial" w:cs="Arial"/>
          <w:sz w:val="16"/>
        </w:rPr>
        <w:t xml:space="preserve"> expenses, Departmental Capital Budget or other operational expenses.</w:t>
      </w:r>
    </w:p>
    <w:bookmarkEnd w:id="336"/>
    <w:bookmarkEnd w:id="386"/>
    <w:bookmarkEnd w:id="387"/>
    <w:bookmarkEnd w:id="388"/>
    <w:p w14:paraId="7501518D" w14:textId="77777777" w:rsidR="008F2DBE" w:rsidRDefault="008F2DBE">
      <w:pPr>
        <w:spacing w:after="0" w:line="240" w:lineRule="auto"/>
        <w:jc w:val="left"/>
        <w:rPr>
          <w:rFonts w:ascii="Arial" w:hAnsi="Arial"/>
          <w:b/>
          <w:snapToGrid w:val="0"/>
          <w:highlight w:val="yellow"/>
          <w:lang w:val="x-none"/>
        </w:rPr>
      </w:pPr>
      <w:r>
        <w:rPr>
          <w:snapToGrid w:val="0"/>
          <w:highlight w:val="yellow"/>
        </w:rPr>
        <w:br w:type="page"/>
      </w:r>
    </w:p>
    <w:p w14:paraId="3BB91E7E" w14:textId="2AAE3230" w:rsidR="00F51DAC" w:rsidRDefault="007D5358" w:rsidP="00F51DAC">
      <w:pPr>
        <w:pStyle w:val="TableHeading"/>
        <w:spacing w:before="0"/>
        <w:rPr>
          <w:b w:val="0"/>
          <w:snapToGrid w:val="0"/>
        </w:rPr>
      </w:pPr>
      <w:r w:rsidRPr="00267C90">
        <w:rPr>
          <w:snapToGrid w:val="0"/>
        </w:rPr>
        <w:lastRenderedPageBreak/>
        <w:t>Table 3.</w:t>
      </w:r>
      <w:r w:rsidR="001F46A6" w:rsidRPr="00267C90">
        <w:rPr>
          <w:snapToGrid w:val="0"/>
        </w:rPr>
        <w:t>8</w:t>
      </w:r>
      <w:r w:rsidR="00F51DAC" w:rsidRPr="00267C90">
        <w:rPr>
          <w:snapToGrid w:val="0"/>
        </w:rPr>
        <w:t xml:space="preserve">: Schedule of </w:t>
      </w:r>
      <w:r w:rsidR="00550253" w:rsidRPr="00267C90">
        <w:rPr>
          <w:snapToGrid w:val="0"/>
        </w:rPr>
        <w:t>budgeted income and expenses administered on behalf of</w:t>
      </w:r>
      <w:r w:rsidR="00F51DAC" w:rsidRPr="00267C90">
        <w:rPr>
          <w:snapToGrid w:val="0"/>
        </w:rPr>
        <w:t xml:space="preserve"> </w:t>
      </w:r>
      <w:r w:rsidR="004E017C" w:rsidRPr="00267C90">
        <w:rPr>
          <w:snapToGrid w:val="0"/>
        </w:rPr>
        <w:t>G</w:t>
      </w:r>
      <w:r w:rsidR="00F51DAC" w:rsidRPr="00267C90">
        <w:rPr>
          <w:snapToGrid w:val="0"/>
        </w:rPr>
        <w:t>overnment (for the period ended 30 June)</w:t>
      </w:r>
      <w:r w:rsidR="008D4221" w:rsidRPr="008D4221">
        <w:rPr>
          <w:b w:val="0"/>
          <w:snapToGrid w:val="0"/>
        </w:rPr>
        <w:t xml:space="preserve"> </w:t>
      </w:r>
    </w:p>
    <w:tbl>
      <w:tblPr>
        <w:tblW w:w="7797" w:type="dxa"/>
        <w:tblLayout w:type="fixed"/>
        <w:tblLook w:val="04A0" w:firstRow="1" w:lastRow="0" w:firstColumn="1" w:lastColumn="0" w:noHBand="0" w:noVBand="1"/>
      </w:tblPr>
      <w:tblGrid>
        <w:gridCol w:w="2552"/>
        <w:gridCol w:w="1047"/>
        <w:gridCol w:w="1035"/>
        <w:gridCol w:w="1035"/>
        <w:gridCol w:w="1035"/>
        <w:gridCol w:w="1093"/>
      </w:tblGrid>
      <w:tr w:rsidR="00102378" w:rsidRPr="00C62E5C" w14:paraId="3C5B3720" w14:textId="77777777" w:rsidTr="00852545">
        <w:trPr>
          <w:trHeight w:val="638"/>
        </w:trPr>
        <w:tc>
          <w:tcPr>
            <w:tcW w:w="2552" w:type="dxa"/>
            <w:tcBorders>
              <w:top w:val="single" w:sz="4" w:space="0" w:color="auto"/>
              <w:left w:val="nil"/>
              <w:bottom w:val="nil"/>
              <w:right w:val="nil"/>
            </w:tcBorders>
            <w:shd w:val="clear" w:color="auto" w:fill="auto"/>
            <w:noWrap/>
            <w:hideMark/>
          </w:tcPr>
          <w:p w14:paraId="5C6686C8" w14:textId="77777777" w:rsidR="00102378" w:rsidRPr="00C62E5C" w:rsidRDefault="00102378" w:rsidP="00102378">
            <w:pPr>
              <w:spacing w:after="0" w:line="240" w:lineRule="auto"/>
              <w:jc w:val="left"/>
              <w:rPr>
                <w:rFonts w:ascii="Arial" w:hAnsi="Arial" w:cs="Arial"/>
                <w:b/>
                <w:bCs/>
                <w:sz w:val="16"/>
                <w:szCs w:val="16"/>
              </w:rPr>
            </w:pPr>
            <w:r w:rsidRPr="00C62E5C">
              <w:rPr>
                <w:rFonts w:ascii="Arial" w:hAnsi="Arial" w:cs="Arial"/>
                <w:b/>
                <w:bCs/>
                <w:sz w:val="16"/>
                <w:szCs w:val="16"/>
              </w:rPr>
              <w:t> </w:t>
            </w:r>
          </w:p>
        </w:tc>
        <w:tc>
          <w:tcPr>
            <w:tcW w:w="1047" w:type="dxa"/>
            <w:tcBorders>
              <w:top w:val="single" w:sz="4" w:space="0" w:color="auto"/>
              <w:left w:val="nil"/>
              <w:bottom w:val="single" w:sz="4" w:space="0" w:color="auto"/>
              <w:right w:val="nil"/>
            </w:tcBorders>
            <w:shd w:val="clear" w:color="auto" w:fill="auto"/>
            <w:vAlign w:val="bottom"/>
            <w:hideMark/>
          </w:tcPr>
          <w:p w14:paraId="644D85AA" w14:textId="77777777" w:rsidR="00102378" w:rsidRPr="00C62E5C" w:rsidRDefault="00102378" w:rsidP="00102378">
            <w:pPr>
              <w:spacing w:after="0" w:line="240" w:lineRule="auto"/>
              <w:jc w:val="right"/>
              <w:rPr>
                <w:rFonts w:ascii="Arial" w:hAnsi="Arial" w:cs="Arial"/>
                <w:sz w:val="16"/>
                <w:szCs w:val="16"/>
              </w:rPr>
            </w:pPr>
            <w:r w:rsidRPr="00C62E5C">
              <w:rPr>
                <w:rFonts w:ascii="Arial" w:hAnsi="Arial" w:cs="Arial"/>
                <w:sz w:val="16"/>
                <w:szCs w:val="16"/>
              </w:rPr>
              <w:t>2020-21 Actual</w:t>
            </w:r>
            <w:r w:rsidRPr="00C62E5C">
              <w:rPr>
                <w:rFonts w:ascii="Arial" w:hAnsi="Arial" w:cs="Arial"/>
                <w:sz w:val="16"/>
                <w:szCs w:val="16"/>
              </w:rPr>
              <w:br/>
            </w:r>
            <w:r w:rsidRPr="00C62E5C">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000000" w:fill="E6E6E6"/>
            <w:hideMark/>
          </w:tcPr>
          <w:p w14:paraId="0D0DB0E3" w14:textId="31136EEF" w:rsidR="00102378" w:rsidRPr="00C62E5C" w:rsidRDefault="00102378" w:rsidP="00102378">
            <w:pPr>
              <w:spacing w:after="0" w:line="240" w:lineRule="auto"/>
              <w:jc w:val="right"/>
              <w:rPr>
                <w:rFonts w:ascii="Arial" w:hAnsi="Arial" w:cs="Arial"/>
                <w:sz w:val="16"/>
                <w:szCs w:val="16"/>
              </w:rPr>
            </w:pPr>
            <w:r w:rsidRPr="003D788E">
              <w:rPr>
                <w:rFonts w:ascii="Arial" w:hAnsi="Arial" w:cs="Arial"/>
                <w:sz w:val="16"/>
                <w:szCs w:val="16"/>
              </w:rPr>
              <w:t>2021-22</w:t>
            </w:r>
            <w:r w:rsidRPr="003D788E">
              <w:rPr>
                <w:rFonts w:ascii="Arial" w:hAnsi="Arial" w:cs="Arial"/>
                <w:sz w:val="16"/>
                <w:szCs w:val="16"/>
              </w:rPr>
              <w:br/>
              <w:t xml:space="preserve">Revised </w:t>
            </w:r>
            <w:r>
              <w:rPr>
                <w:rFonts w:ascii="Arial" w:hAnsi="Arial" w:cs="Arial"/>
                <w:sz w:val="16"/>
                <w:szCs w:val="16"/>
              </w:rPr>
              <w:t>B</w:t>
            </w:r>
            <w:r w:rsidRPr="003D788E">
              <w:rPr>
                <w:rFonts w:ascii="Arial" w:hAnsi="Arial" w:cs="Arial"/>
                <w:sz w:val="16"/>
                <w:szCs w:val="16"/>
              </w:rPr>
              <w:t>udget</w:t>
            </w:r>
            <w:r w:rsidRPr="003D788E">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14:paraId="6147BE0B" w14:textId="77777777" w:rsidR="00102378" w:rsidRPr="00C62E5C" w:rsidRDefault="00102378" w:rsidP="00102378">
            <w:pPr>
              <w:spacing w:after="0" w:line="240" w:lineRule="auto"/>
              <w:jc w:val="right"/>
              <w:rPr>
                <w:rFonts w:ascii="Arial" w:hAnsi="Arial" w:cs="Arial"/>
                <w:sz w:val="16"/>
                <w:szCs w:val="16"/>
              </w:rPr>
            </w:pPr>
            <w:r w:rsidRPr="00C62E5C">
              <w:rPr>
                <w:rFonts w:ascii="Arial" w:hAnsi="Arial" w:cs="Arial"/>
                <w:sz w:val="16"/>
                <w:szCs w:val="16"/>
              </w:rPr>
              <w:t>2022-23 Forward estimate</w:t>
            </w:r>
            <w:r w:rsidRPr="00C62E5C">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14:paraId="18529413" w14:textId="77777777" w:rsidR="00102378" w:rsidRPr="00C62E5C" w:rsidRDefault="00102378" w:rsidP="00102378">
            <w:pPr>
              <w:spacing w:after="0" w:line="240" w:lineRule="auto"/>
              <w:jc w:val="right"/>
              <w:rPr>
                <w:rFonts w:ascii="Arial" w:hAnsi="Arial" w:cs="Arial"/>
                <w:sz w:val="16"/>
                <w:szCs w:val="16"/>
              </w:rPr>
            </w:pPr>
            <w:r w:rsidRPr="00C62E5C">
              <w:rPr>
                <w:rFonts w:ascii="Arial" w:hAnsi="Arial" w:cs="Arial"/>
                <w:sz w:val="16"/>
                <w:szCs w:val="16"/>
              </w:rPr>
              <w:t>2023-24 Forward estimate</w:t>
            </w:r>
            <w:r w:rsidRPr="00C62E5C">
              <w:rPr>
                <w:rFonts w:ascii="Arial" w:hAnsi="Arial" w:cs="Arial"/>
                <w:sz w:val="16"/>
                <w:szCs w:val="16"/>
              </w:rPr>
              <w:br/>
              <w:t>$'000</w:t>
            </w:r>
          </w:p>
        </w:tc>
        <w:tc>
          <w:tcPr>
            <w:tcW w:w="1093" w:type="dxa"/>
            <w:tcBorders>
              <w:top w:val="single" w:sz="4" w:space="0" w:color="auto"/>
              <w:left w:val="nil"/>
              <w:bottom w:val="single" w:sz="4" w:space="0" w:color="auto"/>
              <w:right w:val="nil"/>
            </w:tcBorders>
            <w:shd w:val="clear" w:color="auto" w:fill="auto"/>
            <w:vAlign w:val="bottom"/>
            <w:hideMark/>
          </w:tcPr>
          <w:p w14:paraId="33075BD8" w14:textId="77777777" w:rsidR="00102378" w:rsidRPr="00C62E5C" w:rsidRDefault="00102378" w:rsidP="00102378">
            <w:pPr>
              <w:spacing w:after="0" w:line="240" w:lineRule="auto"/>
              <w:jc w:val="right"/>
              <w:rPr>
                <w:rFonts w:ascii="Arial" w:hAnsi="Arial" w:cs="Arial"/>
                <w:sz w:val="16"/>
                <w:szCs w:val="16"/>
              </w:rPr>
            </w:pPr>
            <w:r w:rsidRPr="00C62E5C">
              <w:rPr>
                <w:rFonts w:ascii="Arial" w:hAnsi="Arial" w:cs="Arial"/>
                <w:sz w:val="16"/>
                <w:szCs w:val="16"/>
              </w:rPr>
              <w:t>2024-25</w:t>
            </w:r>
            <w:r w:rsidRPr="00C62E5C">
              <w:rPr>
                <w:rFonts w:ascii="Arial" w:hAnsi="Arial" w:cs="Arial"/>
                <w:sz w:val="16"/>
                <w:szCs w:val="16"/>
              </w:rPr>
              <w:br/>
              <w:t>Forward estimate</w:t>
            </w:r>
            <w:r w:rsidRPr="00C62E5C">
              <w:rPr>
                <w:rFonts w:ascii="Arial" w:hAnsi="Arial" w:cs="Arial"/>
                <w:sz w:val="16"/>
                <w:szCs w:val="16"/>
              </w:rPr>
              <w:br/>
              <w:t>$'000</w:t>
            </w:r>
          </w:p>
        </w:tc>
      </w:tr>
      <w:tr w:rsidR="00C62E5C" w:rsidRPr="00C62E5C" w14:paraId="71B4977F" w14:textId="77777777" w:rsidTr="00852545">
        <w:trPr>
          <w:trHeight w:val="204"/>
        </w:trPr>
        <w:tc>
          <w:tcPr>
            <w:tcW w:w="2552" w:type="dxa"/>
            <w:tcBorders>
              <w:top w:val="nil"/>
              <w:left w:val="nil"/>
              <w:bottom w:val="nil"/>
              <w:right w:val="nil"/>
            </w:tcBorders>
            <w:shd w:val="clear" w:color="auto" w:fill="auto"/>
            <w:noWrap/>
            <w:vAlign w:val="center"/>
            <w:hideMark/>
          </w:tcPr>
          <w:p w14:paraId="125E8F4F" w14:textId="77777777" w:rsidR="00C62E5C" w:rsidRPr="00C62E5C" w:rsidRDefault="00C62E5C" w:rsidP="00C62E5C">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EXPENSES</w:t>
            </w:r>
          </w:p>
        </w:tc>
        <w:tc>
          <w:tcPr>
            <w:tcW w:w="1047" w:type="dxa"/>
            <w:tcBorders>
              <w:top w:val="nil"/>
              <w:left w:val="nil"/>
              <w:bottom w:val="nil"/>
              <w:right w:val="nil"/>
            </w:tcBorders>
            <w:shd w:val="clear" w:color="auto" w:fill="auto"/>
            <w:noWrap/>
            <w:vAlign w:val="bottom"/>
            <w:hideMark/>
          </w:tcPr>
          <w:p w14:paraId="50AC8484" w14:textId="77777777" w:rsidR="00C62E5C" w:rsidRPr="00C62E5C" w:rsidRDefault="00C62E5C" w:rsidP="00C62E5C">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0564AC59" w14:textId="40478919" w:rsidR="00C62E5C" w:rsidRPr="00C62E5C" w:rsidRDefault="00C62E5C" w:rsidP="00C62E5C">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0234977F" w14:textId="77777777" w:rsidR="00C62E5C" w:rsidRPr="00C62E5C" w:rsidRDefault="00C62E5C" w:rsidP="00C62E5C">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36A4895A" w14:textId="77777777" w:rsidR="00C62E5C" w:rsidRPr="00C62E5C" w:rsidRDefault="00C62E5C" w:rsidP="00C62E5C">
            <w:pPr>
              <w:spacing w:after="0" w:line="240" w:lineRule="auto"/>
              <w:jc w:val="right"/>
              <w:rPr>
                <w:rFonts w:ascii="Times New Roman" w:hAnsi="Times New Roman"/>
              </w:rPr>
            </w:pPr>
          </w:p>
        </w:tc>
        <w:tc>
          <w:tcPr>
            <w:tcW w:w="1093" w:type="dxa"/>
            <w:tcBorders>
              <w:top w:val="nil"/>
              <w:left w:val="nil"/>
              <w:bottom w:val="nil"/>
              <w:right w:val="nil"/>
            </w:tcBorders>
            <w:shd w:val="clear" w:color="auto" w:fill="auto"/>
            <w:noWrap/>
            <w:vAlign w:val="bottom"/>
            <w:hideMark/>
          </w:tcPr>
          <w:p w14:paraId="61360D99" w14:textId="77777777" w:rsidR="00C62E5C" w:rsidRPr="00C62E5C" w:rsidRDefault="00C62E5C" w:rsidP="00C62E5C">
            <w:pPr>
              <w:spacing w:after="0" w:line="240" w:lineRule="auto"/>
              <w:jc w:val="right"/>
              <w:rPr>
                <w:rFonts w:ascii="Times New Roman" w:hAnsi="Times New Roman"/>
              </w:rPr>
            </w:pPr>
          </w:p>
        </w:tc>
      </w:tr>
      <w:tr w:rsidR="003C4C14" w:rsidRPr="00C62E5C" w14:paraId="37E7A6B1" w14:textId="77777777" w:rsidTr="00852545">
        <w:trPr>
          <w:trHeight w:val="204"/>
        </w:trPr>
        <w:tc>
          <w:tcPr>
            <w:tcW w:w="2552" w:type="dxa"/>
            <w:tcBorders>
              <w:top w:val="nil"/>
              <w:left w:val="nil"/>
              <w:bottom w:val="nil"/>
              <w:right w:val="nil"/>
            </w:tcBorders>
            <w:shd w:val="clear" w:color="auto" w:fill="auto"/>
            <w:noWrap/>
            <w:vAlign w:val="center"/>
            <w:hideMark/>
          </w:tcPr>
          <w:p w14:paraId="3824D913" w14:textId="77777777" w:rsidR="003C4C14" w:rsidRPr="00C62E5C" w:rsidRDefault="003C4C14" w:rsidP="003C4C14">
            <w:pPr>
              <w:spacing w:after="0" w:line="240" w:lineRule="auto"/>
              <w:ind w:left="113"/>
              <w:jc w:val="left"/>
              <w:rPr>
                <w:rFonts w:ascii="Arial" w:hAnsi="Arial" w:cs="Arial"/>
                <w:color w:val="000000"/>
                <w:sz w:val="16"/>
                <w:szCs w:val="16"/>
              </w:rPr>
            </w:pPr>
            <w:r w:rsidRPr="00C62E5C">
              <w:rPr>
                <w:rFonts w:ascii="Arial" w:hAnsi="Arial" w:cs="Arial"/>
                <w:color w:val="000000"/>
                <w:sz w:val="16"/>
                <w:szCs w:val="16"/>
              </w:rPr>
              <w:t>Employee benefits</w:t>
            </w:r>
          </w:p>
        </w:tc>
        <w:tc>
          <w:tcPr>
            <w:tcW w:w="1047" w:type="dxa"/>
            <w:tcBorders>
              <w:top w:val="nil"/>
              <w:left w:val="nil"/>
              <w:bottom w:val="nil"/>
              <w:right w:val="nil"/>
            </w:tcBorders>
            <w:shd w:val="clear" w:color="auto" w:fill="auto"/>
            <w:noWrap/>
            <w:vAlign w:val="bottom"/>
            <w:hideMark/>
          </w:tcPr>
          <w:p w14:paraId="78A88424" w14:textId="7D0785B2"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15,970</w:t>
            </w:r>
          </w:p>
        </w:tc>
        <w:tc>
          <w:tcPr>
            <w:tcW w:w="1035" w:type="dxa"/>
            <w:tcBorders>
              <w:top w:val="nil"/>
              <w:left w:val="nil"/>
              <w:bottom w:val="nil"/>
              <w:right w:val="nil"/>
            </w:tcBorders>
            <w:shd w:val="clear" w:color="000000" w:fill="E6E6E6"/>
            <w:noWrap/>
            <w:vAlign w:val="bottom"/>
            <w:hideMark/>
          </w:tcPr>
          <w:p w14:paraId="73E25BE6" w14:textId="24A0E60B"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16,623</w:t>
            </w:r>
          </w:p>
        </w:tc>
        <w:tc>
          <w:tcPr>
            <w:tcW w:w="1035" w:type="dxa"/>
            <w:tcBorders>
              <w:top w:val="nil"/>
              <w:left w:val="nil"/>
              <w:bottom w:val="nil"/>
              <w:right w:val="nil"/>
            </w:tcBorders>
            <w:shd w:val="clear" w:color="auto" w:fill="auto"/>
            <w:noWrap/>
            <w:vAlign w:val="bottom"/>
            <w:hideMark/>
          </w:tcPr>
          <w:p w14:paraId="4DEC8C73" w14:textId="4BA5E885"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16,948</w:t>
            </w:r>
          </w:p>
        </w:tc>
        <w:tc>
          <w:tcPr>
            <w:tcW w:w="1035" w:type="dxa"/>
            <w:tcBorders>
              <w:top w:val="nil"/>
              <w:left w:val="nil"/>
              <w:bottom w:val="nil"/>
              <w:right w:val="nil"/>
            </w:tcBorders>
            <w:shd w:val="clear" w:color="auto" w:fill="auto"/>
            <w:noWrap/>
            <w:vAlign w:val="bottom"/>
            <w:hideMark/>
          </w:tcPr>
          <w:p w14:paraId="06D50866" w14:textId="36D61CD2"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17,284</w:t>
            </w:r>
          </w:p>
        </w:tc>
        <w:tc>
          <w:tcPr>
            <w:tcW w:w="1093" w:type="dxa"/>
            <w:tcBorders>
              <w:top w:val="nil"/>
              <w:left w:val="nil"/>
              <w:bottom w:val="nil"/>
              <w:right w:val="nil"/>
            </w:tcBorders>
            <w:shd w:val="clear" w:color="auto" w:fill="auto"/>
            <w:noWrap/>
            <w:vAlign w:val="bottom"/>
            <w:hideMark/>
          </w:tcPr>
          <w:p w14:paraId="35AFE4C2" w14:textId="4F1C6A59"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17,284</w:t>
            </w:r>
          </w:p>
        </w:tc>
      </w:tr>
      <w:tr w:rsidR="003C4C14" w:rsidRPr="00C62E5C" w14:paraId="4EDAEF59" w14:textId="77777777" w:rsidTr="00852545">
        <w:trPr>
          <w:trHeight w:val="204"/>
        </w:trPr>
        <w:tc>
          <w:tcPr>
            <w:tcW w:w="2552" w:type="dxa"/>
            <w:tcBorders>
              <w:top w:val="nil"/>
              <w:left w:val="nil"/>
              <w:bottom w:val="nil"/>
              <w:right w:val="nil"/>
            </w:tcBorders>
            <w:shd w:val="clear" w:color="auto" w:fill="auto"/>
            <w:noWrap/>
            <w:vAlign w:val="center"/>
            <w:hideMark/>
          </w:tcPr>
          <w:p w14:paraId="4CF2A154" w14:textId="77777777" w:rsidR="003C4C14" w:rsidRPr="00C62E5C" w:rsidRDefault="003C4C14" w:rsidP="003C4C14">
            <w:pPr>
              <w:spacing w:after="0" w:line="240" w:lineRule="auto"/>
              <w:ind w:left="113"/>
              <w:jc w:val="left"/>
              <w:rPr>
                <w:rFonts w:ascii="Arial" w:hAnsi="Arial" w:cs="Arial"/>
                <w:color w:val="000000"/>
                <w:sz w:val="16"/>
                <w:szCs w:val="16"/>
              </w:rPr>
            </w:pPr>
            <w:r w:rsidRPr="00C62E5C">
              <w:rPr>
                <w:rFonts w:ascii="Arial" w:hAnsi="Arial" w:cs="Arial"/>
                <w:color w:val="000000"/>
                <w:sz w:val="16"/>
                <w:szCs w:val="16"/>
              </w:rPr>
              <w:t>Suppliers</w:t>
            </w:r>
          </w:p>
        </w:tc>
        <w:tc>
          <w:tcPr>
            <w:tcW w:w="1047" w:type="dxa"/>
            <w:tcBorders>
              <w:top w:val="nil"/>
              <w:left w:val="nil"/>
              <w:bottom w:val="nil"/>
              <w:right w:val="nil"/>
            </w:tcBorders>
            <w:shd w:val="clear" w:color="auto" w:fill="auto"/>
            <w:noWrap/>
            <w:vAlign w:val="bottom"/>
            <w:hideMark/>
          </w:tcPr>
          <w:p w14:paraId="1323E2DE" w14:textId="1028ABCE"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560,075</w:t>
            </w:r>
          </w:p>
        </w:tc>
        <w:tc>
          <w:tcPr>
            <w:tcW w:w="1035" w:type="dxa"/>
            <w:tcBorders>
              <w:top w:val="nil"/>
              <w:left w:val="nil"/>
              <w:bottom w:val="nil"/>
              <w:right w:val="nil"/>
            </w:tcBorders>
            <w:shd w:val="clear" w:color="000000" w:fill="E6E6E6"/>
            <w:noWrap/>
            <w:vAlign w:val="bottom"/>
            <w:hideMark/>
          </w:tcPr>
          <w:p w14:paraId="62C31FD6" w14:textId="0353BEA7"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696,493</w:t>
            </w:r>
          </w:p>
        </w:tc>
        <w:tc>
          <w:tcPr>
            <w:tcW w:w="1035" w:type="dxa"/>
            <w:tcBorders>
              <w:top w:val="nil"/>
              <w:left w:val="nil"/>
              <w:bottom w:val="nil"/>
              <w:right w:val="nil"/>
            </w:tcBorders>
            <w:shd w:val="clear" w:color="auto" w:fill="auto"/>
            <w:noWrap/>
            <w:vAlign w:val="bottom"/>
            <w:hideMark/>
          </w:tcPr>
          <w:p w14:paraId="72A92FA1" w14:textId="3EC5C4B7"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605,611</w:t>
            </w:r>
          </w:p>
        </w:tc>
        <w:tc>
          <w:tcPr>
            <w:tcW w:w="1035" w:type="dxa"/>
            <w:tcBorders>
              <w:top w:val="nil"/>
              <w:left w:val="nil"/>
              <w:bottom w:val="nil"/>
              <w:right w:val="nil"/>
            </w:tcBorders>
            <w:shd w:val="clear" w:color="auto" w:fill="auto"/>
            <w:noWrap/>
            <w:vAlign w:val="bottom"/>
            <w:hideMark/>
          </w:tcPr>
          <w:p w14:paraId="5F9519FD" w14:textId="4418753A"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538,740</w:t>
            </w:r>
          </w:p>
        </w:tc>
        <w:tc>
          <w:tcPr>
            <w:tcW w:w="1093" w:type="dxa"/>
            <w:tcBorders>
              <w:top w:val="nil"/>
              <w:left w:val="nil"/>
              <w:bottom w:val="nil"/>
              <w:right w:val="nil"/>
            </w:tcBorders>
            <w:shd w:val="clear" w:color="auto" w:fill="auto"/>
            <w:noWrap/>
            <w:vAlign w:val="bottom"/>
            <w:hideMark/>
          </w:tcPr>
          <w:p w14:paraId="7612EB54" w14:textId="79560D41"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532,991</w:t>
            </w:r>
          </w:p>
        </w:tc>
      </w:tr>
      <w:tr w:rsidR="003C4C14" w:rsidRPr="00C62E5C" w14:paraId="41AF3358" w14:textId="77777777" w:rsidTr="00852545">
        <w:trPr>
          <w:trHeight w:val="204"/>
        </w:trPr>
        <w:tc>
          <w:tcPr>
            <w:tcW w:w="2552" w:type="dxa"/>
            <w:tcBorders>
              <w:top w:val="nil"/>
              <w:left w:val="nil"/>
              <w:bottom w:val="nil"/>
              <w:right w:val="nil"/>
            </w:tcBorders>
            <w:shd w:val="clear" w:color="auto" w:fill="auto"/>
            <w:noWrap/>
            <w:vAlign w:val="center"/>
            <w:hideMark/>
          </w:tcPr>
          <w:p w14:paraId="401D10A9" w14:textId="77777777" w:rsidR="003C4C14" w:rsidRPr="00C62E5C" w:rsidRDefault="003C4C14" w:rsidP="003C4C14">
            <w:pPr>
              <w:spacing w:after="0" w:line="240" w:lineRule="auto"/>
              <w:ind w:left="113"/>
              <w:jc w:val="left"/>
              <w:rPr>
                <w:rFonts w:ascii="Arial" w:hAnsi="Arial" w:cs="Arial"/>
                <w:color w:val="000000"/>
                <w:sz w:val="16"/>
                <w:szCs w:val="16"/>
              </w:rPr>
            </w:pPr>
            <w:r w:rsidRPr="00C62E5C">
              <w:rPr>
                <w:rFonts w:ascii="Arial" w:hAnsi="Arial" w:cs="Arial"/>
                <w:color w:val="000000"/>
                <w:sz w:val="16"/>
                <w:szCs w:val="16"/>
              </w:rPr>
              <w:t>Subsidies</w:t>
            </w:r>
          </w:p>
        </w:tc>
        <w:tc>
          <w:tcPr>
            <w:tcW w:w="1047" w:type="dxa"/>
            <w:tcBorders>
              <w:top w:val="nil"/>
              <w:left w:val="nil"/>
              <w:bottom w:val="nil"/>
              <w:right w:val="nil"/>
            </w:tcBorders>
            <w:shd w:val="clear" w:color="auto" w:fill="auto"/>
            <w:noWrap/>
            <w:vAlign w:val="bottom"/>
            <w:hideMark/>
          </w:tcPr>
          <w:p w14:paraId="3614E961" w14:textId="754778FC"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2,459,303</w:t>
            </w:r>
          </w:p>
        </w:tc>
        <w:tc>
          <w:tcPr>
            <w:tcW w:w="1035" w:type="dxa"/>
            <w:tcBorders>
              <w:top w:val="nil"/>
              <w:left w:val="nil"/>
              <w:bottom w:val="nil"/>
              <w:right w:val="nil"/>
            </w:tcBorders>
            <w:shd w:val="clear" w:color="000000" w:fill="E6E6E6"/>
            <w:noWrap/>
            <w:vAlign w:val="bottom"/>
            <w:hideMark/>
          </w:tcPr>
          <w:p w14:paraId="5B49FABD" w14:textId="51F95DD9"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1,789,878</w:t>
            </w:r>
          </w:p>
        </w:tc>
        <w:tc>
          <w:tcPr>
            <w:tcW w:w="1035" w:type="dxa"/>
            <w:tcBorders>
              <w:top w:val="nil"/>
              <w:left w:val="nil"/>
              <w:bottom w:val="nil"/>
              <w:right w:val="nil"/>
            </w:tcBorders>
            <w:shd w:val="clear" w:color="auto" w:fill="auto"/>
            <w:noWrap/>
            <w:vAlign w:val="bottom"/>
            <w:hideMark/>
          </w:tcPr>
          <w:p w14:paraId="40250FF5" w14:textId="669222E0"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1,011,163</w:t>
            </w:r>
          </w:p>
        </w:tc>
        <w:tc>
          <w:tcPr>
            <w:tcW w:w="1035" w:type="dxa"/>
            <w:tcBorders>
              <w:top w:val="nil"/>
              <w:left w:val="nil"/>
              <w:bottom w:val="nil"/>
              <w:right w:val="nil"/>
            </w:tcBorders>
            <w:shd w:val="clear" w:color="auto" w:fill="auto"/>
            <w:noWrap/>
            <w:vAlign w:val="bottom"/>
            <w:hideMark/>
          </w:tcPr>
          <w:p w14:paraId="68E20809" w14:textId="0F50CB70"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1,030,318</w:t>
            </w:r>
          </w:p>
        </w:tc>
        <w:tc>
          <w:tcPr>
            <w:tcW w:w="1093" w:type="dxa"/>
            <w:tcBorders>
              <w:top w:val="nil"/>
              <w:left w:val="nil"/>
              <w:bottom w:val="nil"/>
              <w:right w:val="nil"/>
            </w:tcBorders>
            <w:shd w:val="clear" w:color="auto" w:fill="auto"/>
            <w:noWrap/>
            <w:vAlign w:val="bottom"/>
            <w:hideMark/>
          </w:tcPr>
          <w:p w14:paraId="425B3FE6" w14:textId="299935EC"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1,056,172</w:t>
            </w:r>
          </w:p>
        </w:tc>
      </w:tr>
      <w:tr w:rsidR="003C4C14" w:rsidRPr="00C62E5C" w14:paraId="19C00724" w14:textId="77777777" w:rsidTr="00852545">
        <w:trPr>
          <w:trHeight w:val="204"/>
        </w:trPr>
        <w:tc>
          <w:tcPr>
            <w:tcW w:w="2552" w:type="dxa"/>
            <w:tcBorders>
              <w:top w:val="nil"/>
              <w:left w:val="nil"/>
              <w:bottom w:val="nil"/>
              <w:right w:val="nil"/>
            </w:tcBorders>
            <w:shd w:val="clear" w:color="auto" w:fill="auto"/>
            <w:noWrap/>
            <w:vAlign w:val="center"/>
            <w:hideMark/>
          </w:tcPr>
          <w:p w14:paraId="79519A2C" w14:textId="77777777" w:rsidR="003C4C14" w:rsidRPr="00C62E5C" w:rsidRDefault="003C4C14" w:rsidP="003C4C14">
            <w:pPr>
              <w:spacing w:after="0" w:line="240" w:lineRule="auto"/>
              <w:ind w:left="113"/>
              <w:jc w:val="left"/>
              <w:rPr>
                <w:rFonts w:ascii="Arial" w:hAnsi="Arial" w:cs="Arial"/>
                <w:color w:val="000000"/>
                <w:sz w:val="16"/>
                <w:szCs w:val="16"/>
              </w:rPr>
            </w:pPr>
            <w:r w:rsidRPr="00C62E5C">
              <w:rPr>
                <w:rFonts w:ascii="Arial" w:hAnsi="Arial" w:cs="Arial"/>
                <w:color w:val="000000"/>
                <w:sz w:val="16"/>
                <w:szCs w:val="16"/>
              </w:rPr>
              <w:t>Grants</w:t>
            </w:r>
          </w:p>
        </w:tc>
        <w:tc>
          <w:tcPr>
            <w:tcW w:w="1047" w:type="dxa"/>
            <w:tcBorders>
              <w:top w:val="nil"/>
              <w:left w:val="nil"/>
              <w:bottom w:val="nil"/>
              <w:right w:val="nil"/>
            </w:tcBorders>
            <w:shd w:val="clear" w:color="auto" w:fill="auto"/>
            <w:noWrap/>
            <w:vAlign w:val="bottom"/>
            <w:hideMark/>
          </w:tcPr>
          <w:p w14:paraId="4A9476B4" w14:textId="75B654FB"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5,659,851</w:t>
            </w:r>
          </w:p>
        </w:tc>
        <w:tc>
          <w:tcPr>
            <w:tcW w:w="1035" w:type="dxa"/>
            <w:tcBorders>
              <w:top w:val="nil"/>
              <w:left w:val="nil"/>
              <w:bottom w:val="nil"/>
              <w:right w:val="nil"/>
            </w:tcBorders>
            <w:shd w:val="clear" w:color="000000" w:fill="E6E6E6"/>
            <w:noWrap/>
            <w:vAlign w:val="bottom"/>
            <w:hideMark/>
          </w:tcPr>
          <w:p w14:paraId="3C9AC6CF" w14:textId="6EE70E80"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5,029,153</w:t>
            </w:r>
          </w:p>
        </w:tc>
        <w:tc>
          <w:tcPr>
            <w:tcW w:w="1035" w:type="dxa"/>
            <w:tcBorders>
              <w:top w:val="nil"/>
              <w:left w:val="nil"/>
              <w:bottom w:val="nil"/>
              <w:right w:val="nil"/>
            </w:tcBorders>
            <w:shd w:val="clear" w:color="auto" w:fill="auto"/>
            <w:noWrap/>
            <w:vAlign w:val="bottom"/>
            <w:hideMark/>
          </w:tcPr>
          <w:p w14:paraId="18C9D0DD" w14:textId="3124454E"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5,751,605</w:t>
            </w:r>
          </w:p>
        </w:tc>
        <w:tc>
          <w:tcPr>
            <w:tcW w:w="1035" w:type="dxa"/>
            <w:tcBorders>
              <w:top w:val="nil"/>
              <w:left w:val="nil"/>
              <w:bottom w:val="nil"/>
              <w:right w:val="nil"/>
            </w:tcBorders>
            <w:shd w:val="clear" w:color="auto" w:fill="auto"/>
            <w:noWrap/>
            <w:vAlign w:val="bottom"/>
            <w:hideMark/>
          </w:tcPr>
          <w:p w14:paraId="115E63B6" w14:textId="57837E1A"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4,600,125</w:t>
            </w:r>
          </w:p>
        </w:tc>
        <w:tc>
          <w:tcPr>
            <w:tcW w:w="1093" w:type="dxa"/>
            <w:tcBorders>
              <w:top w:val="nil"/>
              <w:left w:val="nil"/>
              <w:bottom w:val="nil"/>
              <w:right w:val="nil"/>
            </w:tcBorders>
            <w:shd w:val="clear" w:color="auto" w:fill="auto"/>
            <w:noWrap/>
            <w:vAlign w:val="bottom"/>
            <w:hideMark/>
          </w:tcPr>
          <w:p w14:paraId="6D240426" w14:textId="6A899132"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4,356,469</w:t>
            </w:r>
          </w:p>
        </w:tc>
      </w:tr>
      <w:tr w:rsidR="003C4C14" w:rsidRPr="00C62E5C" w14:paraId="2D16DFED" w14:textId="77777777" w:rsidTr="00852545">
        <w:trPr>
          <w:trHeight w:val="204"/>
        </w:trPr>
        <w:tc>
          <w:tcPr>
            <w:tcW w:w="2552" w:type="dxa"/>
            <w:tcBorders>
              <w:top w:val="nil"/>
              <w:left w:val="nil"/>
              <w:bottom w:val="nil"/>
              <w:right w:val="nil"/>
            </w:tcBorders>
            <w:shd w:val="clear" w:color="auto" w:fill="auto"/>
            <w:noWrap/>
            <w:vAlign w:val="center"/>
            <w:hideMark/>
          </w:tcPr>
          <w:p w14:paraId="76DEA1C1" w14:textId="77777777" w:rsidR="003C4C14" w:rsidRPr="00C62E5C" w:rsidRDefault="003C4C14" w:rsidP="003C4C14">
            <w:pPr>
              <w:spacing w:after="0" w:line="240" w:lineRule="auto"/>
              <w:ind w:left="113"/>
              <w:jc w:val="left"/>
              <w:rPr>
                <w:rFonts w:ascii="Arial" w:hAnsi="Arial" w:cs="Arial"/>
                <w:color w:val="000000"/>
                <w:sz w:val="16"/>
                <w:szCs w:val="16"/>
              </w:rPr>
            </w:pPr>
            <w:r w:rsidRPr="00C62E5C">
              <w:rPr>
                <w:rFonts w:ascii="Arial" w:hAnsi="Arial" w:cs="Arial"/>
                <w:color w:val="000000"/>
                <w:sz w:val="16"/>
                <w:szCs w:val="16"/>
              </w:rPr>
              <w:t xml:space="preserve">Depreciation and amortisation </w:t>
            </w:r>
          </w:p>
        </w:tc>
        <w:tc>
          <w:tcPr>
            <w:tcW w:w="1047" w:type="dxa"/>
            <w:tcBorders>
              <w:top w:val="nil"/>
              <w:left w:val="nil"/>
              <w:bottom w:val="nil"/>
              <w:right w:val="nil"/>
            </w:tcBorders>
            <w:shd w:val="clear" w:color="auto" w:fill="auto"/>
            <w:noWrap/>
            <w:vAlign w:val="bottom"/>
            <w:hideMark/>
          </w:tcPr>
          <w:p w14:paraId="55F0535C" w14:textId="3A941EA1"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56,853</w:t>
            </w:r>
          </w:p>
        </w:tc>
        <w:tc>
          <w:tcPr>
            <w:tcW w:w="1035" w:type="dxa"/>
            <w:tcBorders>
              <w:top w:val="nil"/>
              <w:left w:val="nil"/>
              <w:bottom w:val="nil"/>
              <w:right w:val="nil"/>
            </w:tcBorders>
            <w:shd w:val="clear" w:color="000000" w:fill="E6E6E6"/>
            <w:noWrap/>
            <w:vAlign w:val="bottom"/>
            <w:hideMark/>
          </w:tcPr>
          <w:p w14:paraId="7FBAE023" w14:textId="5F67DCCE"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52,565</w:t>
            </w:r>
          </w:p>
        </w:tc>
        <w:tc>
          <w:tcPr>
            <w:tcW w:w="1035" w:type="dxa"/>
            <w:tcBorders>
              <w:top w:val="nil"/>
              <w:left w:val="nil"/>
              <w:bottom w:val="nil"/>
              <w:right w:val="nil"/>
            </w:tcBorders>
            <w:shd w:val="clear" w:color="auto" w:fill="auto"/>
            <w:noWrap/>
            <w:vAlign w:val="bottom"/>
            <w:hideMark/>
          </w:tcPr>
          <w:p w14:paraId="3F359840" w14:textId="2E8EAE44"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47,619</w:t>
            </w:r>
          </w:p>
        </w:tc>
        <w:tc>
          <w:tcPr>
            <w:tcW w:w="1035" w:type="dxa"/>
            <w:tcBorders>
              <w:top w:val="nil"/>
              <w:left w:val="nil"/>
              <w:bottom w:val="nil"/>
              <w:right w:val="nil"/>
            </w:tcBorders>
            <w:shd w:val="clear" w:color="auto" w:fill="auto"/>
            <w:noWrap/>
            <w:vAlign w:val="bottom"/>
            <w:hideMark/>
          </w:tcPr>
          <w:p w14:paraId="061E9AB5" w14:textId="32C041F8"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47,750</w:t>
            </w:r>
          </w:p>
        </w:tc>
        <w:tc>
          <w:tcPr>
            <w:tcW w:w="1093" w:type="dxa"/>
            <w:tcBorders>
              <w:top w:val="nil"/>
              <w:left w:val="nil"/>
              <w:bottom w:val="nil"/>
              <w:right w:val="nil"/>
            </w:tcBorders>
            <w:shd w:val="clear" w:color="auto" w:fill="auto"/>
            <w:noWrap/>
            <w:vAlign w:val="bottom"/>
            <w:hideMark/>
          </w:tcPr>
          <w:p w14:paraId="5F21C1DB" w14:textId="14AF83B7"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47,173</w:t>
            </w:r>
          </w:p>
        </w:tc>
      </w:tr>
      <w:tr w:rsidR="003C4C14" w:rsidRPr="00C62E5C" w14:paraId="2EE031A1" w14:textId="77777777" w:rsidTr="00852545">
        <w:trPr>
          <w:trHeight w:val="204"/>
        </w:trPr>
        <w:tc>
          <w:tcPr>
            <w:tcW w:w="2552" w:type="dxa"/>
            <w:tcBorders>
              <w:top w:val="nil"/>
              <w:left w:val="nil"/>
              <w:bottom w:val="nil"/>
              <w:right w:val="nil"/>
            </w:tcBorders>
            <w:shd w:val="clear" w:color="auto" w:fill="auto"/>
            <w:vAlign w:val="center"/>
            <w:hideMark/>
          </w:tcPr>
          <w:p w14:paraId="61995A1E" w14:textId="77777777" w:rsidR="003C4C14" w:rsidRPr="00C62E5C" w:rsidRDefault="003C4C14" w:rsidP="003C4C14">
            <w:pPr>
              <w:spacing w:after="0" w:line="240" w:lineRule="auto"/>
              <w:ind w:left="113"/>
              <w:jc w:val="left"/>
              <w:rPr>
                <w:rFonts w:ascii="Arial" w:hAnsi="Arial" w:cs="Arial"/>
                <w:color w:val="000000"/>
                <w:sz w:val="16"/>
                <w:szCs w:val="16"/>
              </w:rPr>
            </w:pPr>
            <w:r w:rsidRPr="00C62E5C">
              <w:rPr>
                <w:rFonts w:ascii="Arial" w:hAnsi="Arial" w:cs="Arial"/>
                <w:color w:val="000000"/>
                <w:sz w:val="16"/>
                <w:szCs w:val="16"/>
              </w:rPr>
              <w:t>Write-down and impairment of assets</w:t>
            </w:r>
          </w:p>
        </w:tc>
        <w:tc>
          <w:tcPr>
            <w:tcW w:w="1047" w:type="dxa"/>
            <w:tcBorders>
              <w:top w:val="nil"/>
              <w:left w:val="nil"/>
              <w:bottom w:val="nil"/>
              <w:right w:val="nil"/>
            </w:tcBorders>
            <w:shd w:val="clear" w:color="auto" w:fill="auto"/>
            <w:noWrap/>
            <w:vAlign w:val="bottom"/>
            <w:hideMark/>
          </w:tcPr>
          <w:p w14:paraId="532314A1" w14:textId="2C5CB4EF"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308</w:t>
            </w:r>
          </w:p>
        </w:tc>
        <w:tc>
          <w:tcPr>
            <w:tcW w:w="1035" w:type="dxa"/>
            <w:tcBorders>
              <w:top w:val="nil"/>
              <w:left w:val="nil"/>
              <w:bottom w:val="nil"/>
              <w:right w:val="nil"/>
            </w:tcBorders>
            <w:shd w:val="clear" w:color="000000" w:fill="E6E6E6"/>
            <w:noWrap/>
            <w:vAlign w:val="bottom"/>
            <w:hideMark/>
          </w:tcPr>
          <w:p w14:paraId="03DB3544" w14:textId="7B960A2A"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8,046</w:t>
            </w:r>
          </w:p>
        </w:tc>
        <w:tc>
          <w:tcPr>
            <w:tcW w:w="1035" w:type="dxa"/>
            <w:tcBorders>
              <w:top w:val="nil"/>
              <w:left w:val="nil"/>
              <w:bottom w:val="nil"/>
              <w:right w:val="nil"/>
            </w:tcBorders>
            <w:shd w:val="clear" w:color="auto" w:fill="auto"/>
            <w:noWrap/>
            <w:vAlign w:val="bottom"/>
            <w:hideMark/>
          </w:tcPr>
          <w:p w14:paraId="0B971DD7" w14:textId="4610E930"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44,675</w:t>
            </w:r>
          </w:p>
        </w:tc>
        <w:tc>
          <w:tcPr>
            <w:tcW w:w="1035" w:type="dxa"/>
            <w:tcBorders>
              <w:top w:val="nil"/>
              <w:left w:val="nil"/>
              <w:bottom w:val="nil"/>
              <w:right w:val="nil"/>
            </w:tcBorders>
            <w:shd w:val="clear" w:color="auto" w:fill="auto"/>
            <w:noWrap/>
            <w:vAlign w:val="bottom"/>
            <w:hideMark/>
          </w:tcPr>
          <w:p w14:paraId="3F60740F" w14:textId="11CEC110"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65,972</w:t>
            </w:r>
          </w:p>
        </w:tc>
        <w:tc>
          <w:tcPr>
            <w:tcW w:w="1093" w:type="dxa"/>
            <w:tcBorders>
              <w:top w:val="nil"/>
              <w:left w:val="nil"/>
              <w:bottom w:val="nil"/>
              <w:right w:val="nil"/>
            </w:tcBorders>
            <w:shd w:val="clear" w:color="auto" w:fill="auto"/>
            <w:noWrap/>
            <w:vAlign w:val="bottom"/>
            <w:hideMark/>
          </w:tcPr>
          <w:p w14:paraId="72512AB4" w14:textId="43D1487F"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40,908</w:t>
            </w:r>
          </w:p>
        </w:tc>
      </w:tr>
      <w:tr w:rsidR="003C4C14" w:rsidRPr="00C62E5C" w14:paraId="7FBDA28F" w14:textId="77777777" w:rsidTr="00852545">
        <w:trPr>
          <w:trHeight w:val="204"/>
        </w:trPr>
        <w:tc>
          <w:tcPr>
            <w:tcW w:w="2552" w:type="dxa"/>
            <w:tcBorders>
              <w:top w:val="nil"/>
              <w:left w:val="nil"/>
              <w:bottom w:val="nil"/>
              <w:right w:val="nil"/>
            </w:tcBorders>
            <w:shd w:val="clear" w:color="auto" w:fill="auto"/>
            <w:noWrap/>
            <w:vAlign w:val="center"/>
            <w:hideMark/>
          </w:tcPr>
          <w:p w14:paraId="69DCB93D" w14:textId="77777777" w:rsidR="003C4C14" w:rsidRPr="00C62E5C" w:rsidRDefault="003C4C14" w:rsidP="003C4C14">
            <w:pPr>
              <w:spacing w:after="0" w:line="240" w:lineRule="auto"/>
              <w:ind w:left="113"/>
              <w:jc w:val="left"/>
              <w:rPr>
                <w:rFonts w:ascii="Arial" w:hAnsi="Arial" w:cs="Arial"/>
                <w:color w:val="000000"/>
                <w:sz w:val="16"/>
                <w:szCs w:val="16"/>
              </w:rPr>
            </w:pPr>
            <w:r w:rsidRPr="00C62E5C">
              <w:rPr>
                <w:rFonts w:ascii="Arial" w:hAnsi="Arial" w:cs="Arial"/>
                <w:color w:val="000000"/>
                <w:sz w:val="16"/>
                <w:szCs w:val="16"/>
              </w:rPr>
              <w:t>Payments to corporate entities</w:t>
            </w:r>
          </w:p>
        </w:tc>
        <w:tc>
          <w:tcPr>
            <w:tcW w:w="1047" w:type="dxa"/>
            <w:tcBorders>
              <w:top w:val="nil"/>
              <w:left w:val="nil"/>
              <w:bottom w:val="nil"/>
              <w:right w:val="nil"/>
            </w:tcBorders>
            <w:shd w:val="clear" w:color="auto" w:fill="auto"/>
            <w:noWrap/>
            <w:vAlign w:val="bottom"/>
            <w:hideMark/>
          </w:tcPr>
          <w:p w14:paraId="53BB4B80" w14:textId="4ED70721"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2,060,440</w:t>
            </w:r>
          </w:p>
        </w:tc>
        <w:tc>
          <w:tcPr>
            <w:tcW w:w="1035" w:type="dxa"/>
            <w:tcBorders>
              <w:top w:val="nil"/>
              <w:left w:val="nil"/>
              <w:bottom w:val="nil"/>
              <w:right w:val="nil"/>
            </w:tcBorders>
            <w:shd w:val="clear" w:color="000000" w:fill="E6E6E6"/>
            <w:noWrap/>
            <w:vAlign w:val="bottom"/>
            <w:hideMark/>
          </w:tcPr>
          <w:p w14:paraId="534C4E62" w14:textId="2A395268"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2,116,638</w:t>
            </w:r>
          </w:p>
        </w:tc>
        <w:tc>
          <w:tcPr>
            <w:tcW w:w="1035" w:type="dxa"/>
            <w:tcBorders>
              <w:top w:val="nil"/>
              <w:left w:val="nil"/>
              <w:bottom w:val="nil"/>
              <w:right w:val="nil"/>
            </w:tcBorders>
            <w:shd w:val="clear" w:color="auto" w:fill="auto"/>
            <w:noWrap/>
            <w:vAlign w:val="bottom"/>
            <w:hideMark/>
          </w:tcPr>
          <w:p w14:paraId="3167DA1F" w14:textId="741B3C51"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2,042,159</w:t>
            </w:r>
          </w:p>
        </w:tc>
        <w:tc>
          <w:tcPr>
            <w:tcW w:w="1035" w:type="dxa"/>
            <w:tcBorders>
              <w:top w:val="nil"/>
              <w:left w:val="nil"/>
              <w:bottom w:val="nil"/>
              <w:right w:val="nil"/>
            </w:tcBorders>
            <w:shd w:val="clear" w:color="auto" w:fill="auto"/>
            <w:noWrap/>
            <w:vAlign w:val="bottom"/>
            <w:hideMark/>
          </w:tcPr>
          <w:p w14:paraId="7827ACE7" w14:textId="53E5D5C7"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2,027,013</w:t>
            </w:r>
          </w:p>
        </w:tc>
        <w:tc>
          <w:tcPr>
            <w:tcW w:w="1093" w:type="dxa"/>
            <w:tcBorders>
              <w:top w:val="nil"/>
              <w:left w:val="nil"/>
              <w:bottom w:val="nil"/>
              <w:right w:val="nil"/>
            </w:tcBorders>
            <w:shd w:val="clear" w:color="auto" w:fill="auto"/>
            <w:noWrap/>
            <w:vAlign w:val="bottom"/>
            <w:hideMark/>
          </w:tcPr>
          <w:p w14:paraId="25210B5D" w14:textId="334711EE"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2,015,846</w:t>
            </w:r>
          </w:p>
        </w:tc>
      </w:tr>
      <w:tr w:rsidR="003C4C14" w:rsidRPr="00C62E5C" w14:paraId="731C6368" w14:textId="77777777" w:rsidTr="00852545">
        <w:trPr>
          <w:trHeight w:val="204"/>
        </w:trPr>
        <w:tc>
          <w:tcPr>
            <w:tcW w:w="2552" w:type="dxa"/>
            <w:tcBorders>
              <w:top w:val="nil"/>
              <w:left w:val="nil"/>
              <w:bottom w:val="nil"/>
              <w:right w:val="nil"/>
            </w:tcBorders>
            <w:shd w:val="clear" w:color="auto" w:fill="auto"/>
            <w:noWrap/>
            <w:vAlign w:val="center"/>
            <w:hideMark/>
          </w:tcPr>
          <w:p w14:paraId="2912357F" w14:textId="77777777" w:rsidR="003C4C14" w:rsidRPr="00C62E5C" w:rsidRDefault="003C4C14" w:rsidP="003C4C14">
            <w:pPr>
              <w:spacing w:after="0" w:line="240" w:lineRule="auto"/>
              <w:ind w:left="113"/>
              <w:jc w:val="left"/>
              <w:rPr>
                <w:rFonts w:ascii="Arial" w:hAnsi="Arial" w:cs="Arial"/>
                <w:color w:val="000000"/>
                <w:sz w:val="16"/>
                <w:szCs w:val="16"/>
              </w:rPr>
            </w:pPr>
            <w:r w:rsidRPr="00C62E5C">
              <w:rPr>
                <w:rFonts w:ascii="Arial" w:hAnsi="Arial" w:cs="Arial"/>
                <w:color w:val="000000"/>
                <w:sz w:val="16"/>
                <w:szCs w:val="16"/>
              </w:rPr>
              <w:t>Other expenses</w:t>
            </w:r>
          </w:p>
        </w:tc>
        <w:tc>
          <w:tcPr>
            <w:tcW w:w="1047" w:type="dxa"/>
            <w:tcBorders>
              <w:top w:val="nil"/>
              <w:left w:val="nil"/>
              <w:bottom w:val="nil"/>
              <w:right w:val="nil"/>
            </w:tcBorders>
            <w:shd w:val="clear" w:color="auto" w:fill="auto"/>
            <w:noWrap/>
            <w:vAlign w:val="bottom"/>
            <w:hideMark/>
          </w:tcPr>
          <w:p w14:paraId="3A9B1231" w14:textId="48879ABF"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17,895</w:t>
            </w:r>
          </w:p>
        </w:tc>
        <w:tc>
          <w:tcPr>
            <w:tcW w:w="1035" w:type="dxa"/>
            <w:tcBorders>
              <w:top w:val="nil"/>
              <w:left w:val="nil"/>
              <w:bottom w:val="nil"/>
              <w:right w:val="nil"/>
            </w:tcBorders>
            <w:shd w:val="clear" w:color="000000" w:fill="E6E6E6"/>
            <w:noWrap/>
            <w:vAlign w:val="bottom"/>
            <w:hideMark/>
          </w:tcPr>
          <w:p w14:paraId="6A15BF75" w14:textId="15486F93"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386,148</w:t>
            </w:r>
          </w:p>
        </w:tc>
        <w:tc>
          <w:tcPr>
            <w:tcW w:w="1035" w:type="dxa"/>
            <w:tcBorders>
              <w:top w:val="nil"/>
              <w:left w:val="nil"/>
              <w:bottom w:val="nil"/>
              <w:right w:val="nil"/>
            </w:tcBorders>
            <w:shd w:val="clear" w:color="auto" w:fill="auto"/>
            <w:noWrap/>
            <w:vAlign w:val="bottom"/>
            <w:hideMark/>
          </w:tcPr>
          <w:p w14:paraId="5F5EEDA7" w14:textId="16ED1A3E"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609,070</w:t>
            </w:r>
          </w:p>
        </w:tc>
        <w:tc>
          <w:tcPr>
            <w:tcW w:w="1035" w:type="dxa"/>
            <w:tcBorders>
              <w:top w:val="nil"/>
              <w:left w:val="nil"/>
              <w:bottom w:val="nil"/>
              <w:right w:val="nil"/>
            </w:tcBorders>
            <w:shd w:val="clear" w:color="auto" w:fill="auto"/>
            <w:noWrap/>
            <w:vAlign w:val="bottom"/>
            <w:hideMark/>
          </w:tcPr>
          <w:p w14:paraId="57D00D10" w14:textId="21148D13"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446,906</w:t>
            </w:r>
          </w:p>
        </w:tc>
        <w:tc>
          <w:tcPr>
            <w:tcW w:w="1093" w:type="dxa"/>
            <w:tcBorders>
              <w:top w:val="nil"/>
              <w:left w:val="nil"/>
              <w:bottom w:val="nil"/>
              <w:right w:val="nil"/>
            </w:tcBorders>
            <w:shd w:val="clear" w:color="auto" w:fill="auto"/>
            <w:noWrap/>
            <w:vAlign w:val="bottom"/>
            <w:hideMark/>
          </w:tcPr>
          <w:p w14:paraId="63920024" w14:textId="2C74CF7F"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197,091</w:t>
            </w:r>
          </w:p>
        </w:tc>
      </w:tr>
      <w:tr w:rsidR="003C4C14" w:rsidRPr="00C62E5C" w14:paraId="2E641424" w14:textId="77777777" w:rsidTr="00852545">
        <w:trPr>
          <w:trHeight w:val="204"/>
        </w:trPr>
        <w:tc>
          <w:tcPr>
            <w:tcW w:w="2552" w:type="dxa"/>
            <w:tcBorders>
              <w:top w:val="nil"/>
              <w:left w:val="nil"/>
              <w:bottom w:val="nil"/>
              <w:right w:val="nil"/>
            </w:tcBorders>
            <w:shd w:val="clear" w:color="auto" w:fill="auto"/>
            <w:vAlign w:val="center"/>
            <w:hideMark/>
          </w:tcPr>
          <w:p w14:paraId="231E7010" w14:textId="103AEDE0" w:rsidR="003C4C14" w:rsidRPr="00C62E5C" w:rsidRDefault="003C4C14" w:rsidP="003C4C14">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Total expenses administered on</w:t>
            </w:r>
            <w:r>
              <w:rPr>
                <w:rFonts w:ascii="Arial" w:hAnsi="Arial" w:cs="Arial"/>
                <w:b/>
                <w:bCs/>
                <w:color w:val="000000"/>
                <w:sz w:val="16"/>
                <w:szCs w:val="16"/>
              </w:rPr>
              <w:t xml:space="preserve"> </w:t>
            </w:r>
            <w:r w:rsidRPr="00C62E5C">
              <w:rPr>
                <w:rFonts w:ascii="Arial" w:hAnsi="Arial" w:cs="Arial"/>
                <w:b/>
                <w:bCs/>
                <w:color w:val="000000"/>
                <w:sz w:val="16"/>
                <w:szCs w:val="16"/>
              </w:rPr>
              <w:t>behalf of Government</w:t>
            </w:r>
          </w:p>
        </w:tc>
        <w:tc>
          <w:tcPr>
            <w:tcW w:w="1047" w:type="dxa"/>
            <w:tcBorders>
              <w:top w:val="single" w:sz="4" w:space="0" w:color="auto"/>
              <w:left w:val="nil"/>
              <w:bottom w:val="single" w:sz="4" w:space="0" w:color="auto"/>
              <w:right w:val="nil"/>
            </w:tcBorders>
            <w:shd w:val="clear" w:color="auto" w:fill="auto"/>
            <w:noWrap/>
            <w:vAlign w:val="bottom"/>
            <w:hideMark/>
          </w:tcPr>
          <w:p w14:paraId="61BDE336" w14:textId="1848FA74"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10,830,695</w:t>
            </w:r>
          </w:p>
        </w:tc>
        <w:tc>
          <w:tcPr>
            <w:tcW w:w="1035" w:type="dxa"/>
            <w:tcBorders>
              <w:top w:val="single" w:sz="4" w:space="0" w:color="auto"/>
              <w:left w:val="nil"/>
              <w:bottom w:val="single" w:sz="4" w:space="0" w:color="auto"/>
              <w:right w:val="nil"/>
            </w:tcBorders>
            <w:shd w:val="clear" w:color="000000" w:fill="E6E6E6"/>
            <w:noWrap/>
            <w:vAlign w:val="bottom"/>
            <w:hideMark/>
          </w:tcPr>
          <w:p w14:paraId="4CC280CF" w14:textId="42BCFA46"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10,095,544</w:t>
            </w:r>
          </w:p>
        </w:tc>
        <w:tc>
          <w:tcPr>
            <w:tcW w:w="1035" w:type="dxa"/>
            <w:tcBorders>
              <w:top w:val="single" w:sz="4" w:space="0" w:color="auto"/>
              <w:left w:val="nil"/>
              <w:bottom w:val="single" w:sz="4" w:space="0" w:color="auto"/>
              <w:right w:val="nil"/>
            </w:tcBorders>
            <w:shd w:val="clear" w:color="auto" w:fill="auto"/>
            <w:noWrap/>
            <w:vAlign w:val="bottom"/>
            <w:hideMark/>
          </w:tcPr>
          <w:p w14:paraId="5CD45825" w14:textId="66DA29DE"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10,128,850</w:t>
            </w:r>
          </w:p>
        </w:tc>
        <w:tc>
          <w:tcPr>
            <w:tcW w:w="1035" w:type="dxa"/>
            <w:tcBorders>
              <w:top w:val="single" w:sz="4" w:space="0" w:color="auto"/>
              <w:left w:val="nil"/>
              <w:bottom w:val="single" w:sz="4" w:space="0" w:color="auto"/>
              <w:right w:val="nil"/>
            </w:tcBorders>
            <w:shd w:val="clear" w:color="auto" w:fill="auto"/>
            <w:noWrap/>
            <w:vAlign w:val="bottom"/>
            <w:hideMark/>
          </w:tcPr>
          <w:p w14:paraId="59466034" w14:textId="5A850CB4"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8,774,108</w:t>
            </w:r>
          </w:p>
        </w:tc>
        <w:tc>
          <w:tcPr>
            <w:tcW w:w="1093" w:type="dxa"/>
            <w:tcBorders>
              <w:top w:val="single" w:sz="4" w:space="0" w:color="auto"/>
              <w:left w:val="nil"/>
              <w:bottom w:val="single" w:sz="4" w:space="0" w:color="auto"/>
              <w:right w:val="nil"/>
            </w:tcBorders>
            <w:shd w:val="clear" w:color="auto" w:fill="auto"/>
            <w:noWrap/>
            <w:vAlign w:val="bottom"/>
            <w:hideMark/>
          </w:tcPr>
          <w:p w14:paraId="7BE57FC8" w14:textId="3D45342D"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8,263,934</w:t>
            </w:r>
          </w:p>
        </w:tc>
      </w:tr>
      <w:tr w:rsidR="003C4C14" w:rsidRPr="00C62E5C" w14:paraId="0370C787" w14:textId="77777777" w:rsidTr="00852545">
        <w:trPr>
          <w:trHeight w:val="204"/>
        </w:trPr>
        <w:tc>
          <w:tcPr>
            <w:tcW w:w="2552" w:type="dxa"/>
            <w:tcBorders>
              <w:top w:val="nil"/>
              <w:left w:val="nil"/>
              <w:bottom w:val="nil"/>
              <w:right w:val="nil"/>
            </w:tcBorders>
            <w:shd w:val="clear" w:color="auto" w:fill="auto"/>
            <w:noWrap/>
            <w:vAlign w:val="center"/>
            <w:hideMark/>
          </w:tcPr>
          <w:p w14:paraId="506585EA" w14:textId="77777777" w:rsidR="003C4C14" w:rsidRPr="00C62E5C" w:rsidRDefault="003C4C14" w:rsidP="003C4C14">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LESS:</w:t>
            </w:r>
          </w:p>
        </w:tc>
        <w:tc>
          <w:tcPr>
            <w:tcW w:w="1047" w:type="dxa"/>
            <w:tcBorders>
              <w:top w:val="nil"/>
              <w:left w:val="nil"/>
              <w:bottom w:val="nil"/>
              <w:right w:val="nil"/>
            </w:tcBorders>
            <w:shd w:val="clear" w:color="auto" w:fill="auto"/>
            <w:noWrap/>
            <w:vAlign w:val="bottom"/>
            <w:hideMark/>
          </w:tcPr>
          <w:p w14:paraId="61CF3DDE" w14:textId="77777777" w:rsidR="003C4C14" w:rsidRPr="00C62E5C" w:rsidRDefault="003C4C14" w:rsidP="003C4C14">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66856203" w14:textId="22EF7392"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260DEA4D" w14:textId="77777777"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7EE2644F" w14:textId="77777777" w:rsidR="003C4C14" w:rsidRPr="00C62E5C" w:rsidRDefault="003C4C14" w:rsidP="003C4C14">
            <w:pPr>
              <w:spacing w:after="0" w:line="240" w:lineRule="auto"/>
              <w:jc w:val="right"/>
              <w:rPr>
                <w:rFonts w:ascii="Times New Roman" w:hAnsi="Times New Roman"/>
              </w:rPr>
            </w:pPr>
          </w:p>
        </w:tc>
        <w:tc>
          <w:tcPr>
            <w:tcW w:w="1093" w:type="dxa"/>
            <w:tcBorders>
              <w:top w:val="nil"/>
              <w:left w:val="nil"/>
              <w:bottom w:val="nil"/>
              <w:right w:val="nil"/>
            </w:tcBorders>
            <w:shd w:val="clear" w:color="auto" w:fill="auto"/>
            <w:noWrap/>
            <w:vAlign w:val="bottom"/>
            <w:hideMark/>
          </w:tcPr>
          <w:p w14:paraId="4E2F30D2" w14:textId="77777777" w:rsidR="003C4C14" w:rsidRPr="00C62E5C" w:rsidRDefault="003C4C14" w:rsidP="003C4C14">
            <w:pPr>
              <w:spacing w:after="0" w:line="240" w:lineRule="auto"/>
              <w:jc w:val="right"/>
              <w:rPr>
                <w:rFonts w:ascii="Times New Roman" w:hAnsi="Times New Roman"/>
              </w:rPr>
            </w:pPr>
          </w:p>
        </w:tc>
      </w:tr>
      <w:tr w:rsidR="003C4C14" w:rsidRPr="00C62E5C" w14:paraId="52475577" w14:textId="77777777" w:rsidTr="00852545">
        <w:trPr>
          <w:trHeight w:val="204"/>
        </w:trPr>
        <w:tc>
          <w:tcPr>
            <w:tcW w:w="2552" w:type="dxa"/>
            <w:tcBorders>
              <w:top w:val="nil"/>
              <w:left w:val="nil"/>
              <w:bottom w:val="nil"/>
              <w:right w:val="nil"/>
            </w:tcBorders>
            <w:shd w:val="clear" w:color="auto" w:fill="auto"/>
            <w:noWrap/>
            <w:vAlign w:val="center"/>
            <w:hideMark/>
          </w:tcPr>
          <w:p w14:paraId="18A3345A" w14:textId="77777777" w:rsidR="003C4C14" w:rsidRPr="00C62E5C" w:rsidRDefault="003C4C14" w:rsidP="003C4C14">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OWN-SOURCE INCOME</w:t>
            </w:r>
          </w:p>
        </w:tc>
        <w:tc>
          <w:tcPr>
            <w:tcW w:w="1047" w:type="dxa"/>
            <w:tcBorders>
              <w:top w:val="nil"/>
              <w:left w:val="nil"/>
              <w:bottom w:val="nil"/>
              <w:right w:val="nil"/>
            </w:tcBorders>
            <w:shd w:val="clear" w:color="auto" w:fill="auto"/>
            <w:noWrap/>
            <w:vAlign w:val="bottom"/>
            <w:hideMark/>
          </w:tcPr>
          <w:p w14:paraId="481C1DE9" w14:textId="77777777" w:rsidR="003C4C14" w:rsidRPr="00C62E5C" w:rsidRDefault="003C4C14" w:rsidP="003C4C14">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79B45CD7" w14:textId="57317DFB"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175AA536" w14:textId="77777777"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0B80BAE6" w14:textId="77777777" w:rsidR="003C4C14" w:rsidRPr="00C62E5C" w:rsidRDefault="003C4C14" w:rsidP="003C4C14">
            <w:pPr>
              <w:spacing w:after="0" w:line="240" w:lineRule="auto"/>
              <w:jc w:val="right"/>
              <w:rPr>
                <w:rFonts w:ascii="Times New Roman" w:hAnsi="Times New Roman"/>
              </w:rPr>
            </w:pPr>
          </w:p>
        </w:tc>
        <w:tc>
          <w:tcPr>
            <w:tcW w:w="1093" w:type="dxa"/>
            <w:tcBorders>
              <w:top w:val="nil"/>
              <w:left w:val="nil"/>
              <w:bottom w:val="nil"/>
              <w:right w:val="nil"/>
            </w:tcBorders>
            <w:shd w:val="clear" w:color="auto" w:fill="auto"/>
            <w:noWrap/>
            <w:vAlign w:val="bottom"/>
            <w:hideMark/>
          </w:tcPr>
          <w:p w14:paraId="648EB875" w14:textId="77777777" w:rsidR="003C4C14" w:rsidRPr="00C62E5C" w:rsidRDefault="003C4C14" w:rsidP="003C4C14">
            <w:pPr>
              <w:spacing w:after="0" w:line="240" w:lineRule="auto"/>
              <w:jc w:val="right"/>
              <w:rPr>
                <w:rFonts w:ascii="Times New Roman" w:hAnsi="Times New Roman"/>
              </w:rPr>
            </w:pPr>
          </w:p>
        </w:tc>
      </w:tr>
      <w:tr w:rsidR="003C4C14" w:rsidRPr="00C62E5C" w14:paraId="6B3A0EAD" w14:textId="77777777" w:rsidTr="00852545">
        <w:trPr>
          <w:trHeight w:val="204"/>
        </w:trPr>
        <w:tc>
          <w:tcPr>
            <w:tcW w:w="2552" w:type="dxa"/>
            <w:tcBorders>
              <w:top w:val="nil"/>
              <w:left w:val="nil"/>
              <w:bottom w:val="nil"/>
              <w:right w:val="nil"/>
            </w:tcBorders>
            <w:shd w:val="clear" w:color="auto" w:fill="auto"/>
            <w:noWrap/>
            <w:vAlign w:val="center"/>
            <w:hideMark/>
          </w:tcPr>
          <w:p w14:paraId="15A6A4D4" w14:textId="77777777" w:rsidR="003C4C14" w:rsidRPr="00C62E5C" w:rsidRDefault="003C4C14" w:rsidP="003C4C14">
            <w:pPr>
              <w:spacing w:after="0" w:line="240" w:lineRule="auto"/>
              <w:ind w:left="113"/>
              <w:jc w:val="left"/>
              <w:rPr>
                <w:rFonts w:ascii="Arial" w:hAnsi="Arial" w:cs="Arial"/>
                <w:b/>
                <w:bCs/>
                <w:color w:val="000000"/>
                <w:sz w:val="16"/>
                <w:szCs w:val="16"/>
              </w:rPr>
            </w:pPr>
            <w:r w:rsidRPr="00C62E5C">
              <w:rPr>
                <w:rFonts w:ascii="Arial" w:hAnsi="Arial" w:cs="Arial"/>
                <w:b/>
                <w:bCs/>
                <w:color w:val="000000"/>
                <w:sz w:val="16"/>
                <w:szCs w:val="16"/>
              </w:rPr>
              <w:t>Own-source revenue</w:t>
            </w:r>
          </w:p>
        </w:tc>
        <w:tc>
          <w:tcPr>
            <w:tcW w:w="1047" w:type="dxa"/>
            <w:tcBorders>
              <w:top w:val="nil"/>
              <w:left w:val="nil"/>
              <w:bottom w:val="nil"/>
              <w:right w:val="nil"/>
            </w:tcBorders>
            <w:shd w:val="clear" w:color="auto" w:fill="auto"/>
            <w:noWrap/>
            <w:vAlign w:val="bottom"/>
            <w:hideMark/>
          </w:tcPr>
          <w:p w14:paraId="350E1063" w14:textId="77777777" w:rsidR="003C4C14" w:rsidRPr="00C62E5C" w:rsidRDefault="003C4C14" w:rsidP="003C4C14">
            <w:pPr>
              <w:spacing w:after="0" w:line="240" w:lineRule="auto"/>
              <w:ind w:firstLineChars="100" w:firstLine="16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779788B8" w14:textId="20BAED23"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0B64E41F" w14:textId="77777777"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389034AE" w14:textId="77777777" w:rsidR="003C4C14" w:rsidRPr="00C62E5C" w:rsidRDefault="003C4C14" w:rsidP="003C4C14">
            <w:pPr>
              <w:spacing w:after="0" w:line="240" w:lineRule="auto"/>
              <w:jc w:val="right"/>
              <w:rPr>
                <w:rFonts w:ascii="Times New Roman" w:hAnsi="Times New Roman"/>
              </w:rPr>
            </w:pPr>
          </w:p>
        </w:tc>
        <w:tc>
          <w:tcPr>
            <w:tcW w:w="1093" w:type="dxa"/>
            <w:tcBorders>
              <w:top w:val="nil"/>
              <w:left w:val="nil"/>
              <w:bottom w:val="nil"/>
              <w:right w:val="nil"/>
            </w:tcBorders>
            <w:shd w:val="clear" w:color="auto" w:fill="auto"/>
            <w:noWrap/>
            <w:vAlign w:val="bottom"/>
            <w:hideMark/>
          </w:tcPr>
          <w:p w14:paraId="0F41D2A0" w14:textId="77777777" w:rsidR="003C4C14" w:rsidRPr="00C62E5C" w:rsidRDefault="003C4C14" w:rsidP="003C4C14">
            <w:pPr>
              <w:spacing w:after="0" w:line="240" w:lineRule="auto"/>
              <w:jc w:val="right"/>
              <w:rPr>
                <w:rFonts w:ascii="Times New Roman" w:hAnsi="Times New Roman"/>
              </w:rPr>
            </w:pPr>
          </w:p>
        </w:tc>
      </w:tr>
      <w:tr w:rsidR="003C4C14" w:rsidRPr="00C62E5C" w14:paraId="4E08FF0F" w14:textId="77777777" w:rsidTr="00852545">
        <w:trPr>
          <w:trHeight w:val="204"/>
        </w:trPr>
        <w:tc>
          <w:tcPr>
            <w:tcW w:w="2552" w:type="dxa"/>
            <w:tcBorders>
              <w:top w:val="nil"/>
              <w:left w:val="nil"/>
              <w:bottom w:val="nil"/>
              <w:right w:val="nil"/>
            </w:tcBorders>
            <w:shd w:val="clear" w:color="auto" w:fill="auto"/>
            <w:noWrap/>
            <w:vAlign w:val="center"/>
            <w:hideMark/>
          </w:tcPr>
          <w:p w14:paraId="2D51F8C9" w14:textId="77777777" w:rsidR="003C4C14" w:rsidRPr="00C62E5C" w:rsidRDefault="003C4C14" w:rsidP="003C4C14">
            <w:pPr>
              <w:spacing w:after="0" w:line="240" w:lineRule="auto"/>
              <w:ind w:left="227"/>
              <w:jc w:val="left"/>
              <w:rPr>
                <w:rFonts w:ascii="Arial" w:hAnsi="Arial" w:cs="Arial"/>
                <w:b/>
                <w:bCs/>
                <w:color w:val="000000"/>
                <w:sz w:val="16"/>
                <w:szCs w:val="16"/>
              </w:rPr>
            </w:pPr>
            <w:r w:rsidRPr="00C62E5C">
              <w:rPr>
                <w:rFonts w:ascii="Arial" w:hAnsi="Arial" w:cs="Arial"/>
                <w:b/>
                <w:bCs/>
                <w:color w:val="000000"/>
                <w:sz w:val="16"/>
                <w:szCs w:val="16"/>
              </w:rPr>
              <w:t>Taxation revenue</w:t>
            </w:r>
          </w:p>
        </w:tc>
        <w:tc>
          <w:tcPr>
            <w:tcW w:w="1047" w:type="dxa"/>
            <w:tcBorders>
              <w:top w:val="nil"/>
              <w:left w:val="nil"/>
              <w:bottom w:val="nil"/>
              <w:right w:val="nil"/>
            </w:tcBorders>
            <w:shd w:val="clear" w:color="auto" w:fill="auto"/>
            <w:noWrap/>
            <w:vAlign w:val="bottom"/>
            <w:hideMark/>
          </w:tcPr>
          <w:p w14:paraId="3CC20D43" w14:textId="77777777" w:rsidR="003C4C14" w:rsidRPr="00C62E5C" w:rsidRDefault="003C4C14" w:rsidP="003C4C14">
            <w:pPr>
              <w:spacing w:after="0" w:line="240" w:lineRule="auto"/>
              <w:ind w:firstLineChars="200" w:firstLine="32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7B839FCC" w14:textId="3E282138"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03965ADC" w14:textId="77777777"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3A28663D" w14:textId="77777777" w:rsidR="003C4C14" w:rsidRPr="00C62E5C" w:rsidRDefault="003C4C14" w:rsidP="003C4C14">
            <w:pPr>
              <w:spacing w:after="0" w:line="240" w:lineRule="auto"/>
              <w:jc w:val="right"/>
              <w:rPr>
                <w:rFonts w:ascii="Times New Roman" w:hAnsi="Times New Roman"/>
              </w:rPr>
            </w:pPr>
          </w:p>
        </w:tc>
        <w:tc>
          <w:tcPr>
            <w:tcW w:w="1093" w:type="dxa"/>
            <w:tcBorders>
              <w:top w:val="nil"/>
              <w:left w:val="nil"/>
              <w:bottom w:val="nil"/>
              <w:right w:val="nil"/>
            </w:tcBorders>
            <w:shd w:val="clear" w:color="auto" w:fill="auto"/>
            <w:noWrap/>
            <w:vAlign w:val="bottom"/>
            <w:hideMark/>
          </w:tcPr>
          <w:p w14:paraId="3AE71477" w14:textId="77777777" w:rsidR="003C4C14" w:rsidRPr="00C62E5C" w:rsidRDefault="003C4C14" w:rsidP="003C4C14">
            <w:pPr>
              <w:spacing w:after="0" w:line="240" w:lineRule="auto"/>
              <w:jc w:val="right"/>
              <w:rPr>
                <w:rFonts w:ascii="Times New Roman" w:hAnsi="Times New Roman"/>
              </w:rPr>
            </w:pPr>
          </w:p>
        </w:tc>
      </w:tr>
      <w:tr w:rsidR="003C4C14" w:rsidRPr="00C62E5C" w14:paraId="587ABF94" w14:textId="77777777" w:rsidTr="00852545">
        <w:trPr>
          <w:trHeight w:val="204"/>
        </w:trPr>
        <w:tc>
          <w:tcPr>
            <w:tcW w:w="2552" w:type="dxa"/>
            <w:tcBorders>
              <w:top w:val="nil"/>
              <w:left w:val="nil"/>
              <w:bottom w:val="nil"/>
              <w:right w:val="nil"/>
            </w:tcBorders>
            <w:shd w:val="clear" w:color="auto" w:fill="auto"/>
            <w:noWrap/>
            <w:vAlign w:val="center"/>
            <w:hideMark/>
          </w:tcPr>
          <w:p w14:paraId="4A2DB685" w14:textId="77777777" w:rsidR="003C4C14" w:rsidRPr="00C62E5C" w:rsidRDefault="003C4C14" w:rsidP="003C4C14">
            <w:pPr>
              <w:spacing w:after="0" w:line="240" w:lineRule="auto"/>
              <w:ind w:left="340"/>
              <w:jc w:val="left"/>
              <w:rPr>
                <w:rFonts w:ascii="Arial" w:hAnsi="Arial" w:cs="Arial"/>
                <w:color w:val="000000"/>
                <w:sz w:val="16"/>
                <w:szCs w:val="16"/>
              </w:rPr>
            </w:pPr>
            <w:r w:rsidRPr="00C62E5C">
              <w:rPr>
                <w:rFonts w:ascii="Arial" w:hAnsi="Arial" w:cs="Arial"/>
                <w:color w:val="000000"/>
                <w:sz w:val="16"/>
                <w:szCs w:val="16"/>
              </w:rPr>
              <w:t>Other taxes</w:t>
            </w:r>
          </w:p>
        </w:tc>
        <w:tc>
          <w:tcPr>
            <w:tcW w:w="1047" w:type="dxa"/>
            <w:tcBorders>
              <w:top w:val="nil"/>
              <w:left w:val="nil"/>
              <w:bottom w:val="nil"/>
              <w:right w:val="nil"/>
            </w:tcBorders>
            <w:shd w:val="clear" w:color="auto" w:fill="auto"/>
            <w:noWrap/>
            <w:vAlign w:val="bottom"/>
            <w:hideMark/>
          </w:tcPr>
          <w:p w14:paraId="56BFDE83" w14:textId="248F4274"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14,753</w:t>
            </w:r>
          </w:p>
        </w:tc>
        <w:tc>
          <w:tcPr>
            <w:tcW w:w="1035" w:type="dxa"/>
            <w:tcBorders>
              <w:top w:val="nil"/>
              <w:left w:val="nil"/>
              <w:bottom w:val="nil"/>
              <w:right w:val="nil"/>
            </w:tcBorders>
            <w:shd w:val="clear" w:color="000000" w:fill="E6E6E6"/>
            <w:noWrap/>
            <w:vAlign w:val="bottom"/>
            <w:hideMark/>
          </w:tcPr>
          <w:p w14:paraId="19C82B66" w14:textId="26F51F34"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42,091</w:t>
            </w:r>
          </w:p>
        </w:tc>
        <w:tc>
          <w:tcPr>
            <w:tcW w:w="1035" w:type="dxa"/>
            <w:tcBorders>
              <w:top w:val="nil"/>
              <w:left w:val="nil"/>
              <w:bottom w:val="nil"/>
              <w:right w:val="nil"/>
            </w:tcBorders>
            <w:shd w:val="clear" w:color="auto" w:fill="auto"/>
            <w:noWrap/>
            <w:vAlign w:val="bottom"/>
            <w:hideMark/>
          </w:tcPr>
          <w:p w14:paraId="2F35996F" w14:textId="24BAD72C"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43,787</w:t>
            </w:r>
          </w:p>
        </w:tc>
        <w:tc>
          <w:tcPr>
            <w:tcW w:w="1035" w:type="dxa"/>
            <w:tcBorders>
              <w:top w:val="nil"/>
              <w:left w:val="nil"/>
              <w:bottom w:val="nil"/>
              <w:right w:val="nil"/>
            </w:tcBorders>
            <w:shd w:val="clear" w:color="auto" w:fill="auto"/>
            <w:noWrap/>
            <w:vAlign w:val="bottom"/>
            <w:hideMark/>
          </w:tcPr>
          <w:p w14:paraId="364C05B3" w14:textId="2EDD7F30"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43,068</w:t>
            </w:r>
          </w:p>
        </w:tc>
        <w:tc>
          <w:tcPr>
            <w:tcW w:w="1093" w:type="dxa"/>
            <w:tcBorders>
              <w:top w:val="nil"/>
              <w:left w:val="nil"/>
              <w:bottom w:val="nil"/>
              <w:right w:val="nil"/>
            </w:tcBorders>
            <w:shd w:val="clear" w:color="auto" w:fill="auto"/>
            <w:noWrap/>
            <w:vAlign w:val="bottom"/>
            <w:hideMark/>
          </w:tcPr>
          <w:p w14:paraId="1D837DB8" w14:textId="026523DE"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45,006</w:t>
            </w:r>
          </w:p>
        </w:tc>
      </w:tr>
      <w:tr w:rsidR="003C4C14" w:rsidRPr="00C62E5C" w14:paraId="70A6202E" w14:textId="77777777" w:rsidTr="00852545">
        <w:trPr>
          <w:trHeight w:val="204"/>
        </w:trPr>
        <w:tc>
          <w:tcPr>
            <w:tcW w:w="2552" w:type="dxa"/>
            <w:tcBorders>
              <w:top w:val="nil"/>
              <w:left w:val="nil"/>
              <w:bottom w:val="nil"/>
              <w:right w:val="nil"/>
            </w:tcBorders>
            <w:shd w:val="clear" w:color="auto" w:fill="auto"/>
            <w:noWrap/>
            <w:vAlign w:val="center"/>
            <w:hideMark/>
          </w:tcPr>
          <w:p w14:paraId="78147265" w14:textId="77777777" w:rsidR="003C4C14" w:rsidRPr="00075298" w:rsidRDefault="003C4C14" w:rsidP="003C4C14">
            <w:pPr>
              <w:spacing w:after="0" w:line="240" w:lineRule="auto"/>
              <w:ind w:left="227"/>
              <w:jc w:val="left"/>
              <w:rPr>
                <w:rFonts w:ascii="Arial" w:hAnsi="Arial" w:cs="Arial"/>
                <w:b/>
                <w:bCs/>
                <w:iCs/>
                <w:color w:val="000000"/>
                <w:sz w:val="16"/>
                <w:szCs w:val="16"/>
              </w:rPr>
            </w:pPr>
            <w:r w:rsidRPr="00075298">
              <w:rPr>
                <w:rFonts w:ascii="Arial" w:hAnsi="Arial" w:cs="Arial"/>
                <w:b/>
                <w:bCs/>
                <w:iCs/>
                <w:color w:val="000000"/>
                <w:sz w:val="16"/>
                <w:szCs w:val="16"/>
              </w:rPr>
              <w:t>Total taxation revenue</w:t>
            </w:r>
          </w:p>
        </w:tc>
        <w:tc>
          <w:tcPr>
            <w:tcW w:w="1047" w:type="dxa"/>
            <w:tcBorders>
              <w:top w:val="single" w:sz="4" w:space="0" w:color="auto"/>
              <w:left w:val="nil"/>
              <w:bottom w:val="single" w:sz="4" w:space="0" w:color="auto"/>
              <w:right w:val="nil"/>
            </w:tcBorders>
            <w:shd w:val="clear" w:color="auto" w:fill="auto"/>
            <w:noWrap/>
            <w:vAlign w:val="bottom"/>
            <w:hideMark/>
          </w:tcPr>
          <w:p w14:paraId="43758088" w14:textId="7D1D9D70" w:rsidR="003C4C14" w:rsidRPr="00C62E5C" w:rsidRDefault="003C4C14" w:rsidP="003C4C1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14,753</w:t>
            </w:r>
          </w:p>
        </w:tc>
        <w:tc>
          <w:tcPr>
            <w:tcW w:w="1035" w:type="dxa"/>
            <w:tcBorders>
              <w:top w:val="single" w:sz="4" w:space="0" w:color="auto"/>
              <w:left w:val="nil"/>
              <w:bottom w:val="single" w:sz="4" w:space="0" w:color="auto"/>
              <w:right w:val="nil"/>
            </w:tcBorders>
            <w:shd w:val="clear" w:color="000000" w:fill="E6E6E6"/>
            <w:noWrap/>
            <w:vAlign w:val="bottom"/>
            <w:hideMark/>
          </w:tcPr>
          <w:p w14:paraId="0DD0B45B" w14:textId="742DCED1" w:rsidR="003C4C14" w:rsidRPr="00C62E5C" w:rsidRDefault="003C4C14" w:rsidP="003C4C1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42,091</w:t>
            </w:r>
          </w:p>
        </w:tc>
        <w:tc>
          <w:tcPr>
            <w:tcW w:w="1035" w:type="dxa"/>
            <w:tcBorders>
              <w:top w:val="single" w:sz="4" w:space="0" w:color="auto"/>
              <w:left w:val="nil"/>
              <w:bottom w:val="single" w:sz="4" w:space="0" w:color="auto"/>
              <w:right w:val="nil"/>
            </w:tcBorders>
            <w:shd w:val="clear" w:color="auto" w:fill="auto"/>
            <w:noWrap/>
            <w:vAlign w:val="bottom"/>
            <w:hideMark/>
          </w:tcPr>
          <w:p w14:paraId="1AA3BD76" w14:textId="1C6425E2" w:rsidR="003C4C14" w:rsidRPr="00C62E5C" w:rsidRDefault="003C4C14" w:rsidP="003C4C1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43,787</w:t>
            </w:r>
          </w:p>
        </w:tc>
        <w:tc>
          <w:tcPr>
            <w:tcW w:w="1035" w:type="dxa"/>
            <w:tcBorders>
              <w:top w:val="single" w:sz="4" w:space="0" w:color="auto"/>
              <w:left w:val="nil"/>
              <w:bottom w:val="single" w:sz="4" w:space="0" w:color="auto"/>
              <w:right w:val="nil"/>
            </w:tcBorders>
            <w:shd w:val="clear" w:color="auto" w:fill="auto"/>
            <w:noWrap/>
            <w:vAlign w:val="bottom"/>
            <w:hideMark/>
          </w:tcPr>
          <w:p w14:paraId="16A80667" w14:textId="490E0F9D" w:rsidR="003C4C14" w:rsidRPr="00C62E5C" w:rsidRDefault="003C4C14" w:rsidP="003C4C1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43,068</w:t>
            </w:r>
          </w:p>
        </w:tc>
        <w:tc>
          <w:tcPr>
            <w:tcW w:w="1093" w:type="dxa"/>
            <w:tcBorders>
              <w:top w:val="single" w:sz="4" w:space="0" w:color="auto"/>
              <w:left w:val="nil"/>
              <w:bottom w:val="single" w:sz="4" w:space="0" w:color="auto"/>
              <w:right w:val="nil"/>
            </w:tcBorders>
            <w:shd w:val="clear" w:color="auto" w:fill="auto"/>
            <w:noWrap/>
            <w:vAlign w:val="bottom"/>
            <w:hideMark/>
          </w:tcPr>
          <w:p w14:paraId="470A492D" w14:textId="3B79E2EF" w:rsidR="003C4C14" w:rsidRPr="00C62E5C" w:rsidRDefault="003C4C14" w:rsidP="003C4C1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45,006</w:t>
            </w:r>
          </w:p>
        </w:tc>
      </w:tr>
      <w:tr w:rsidR="003C4C14" w:rsidRPr="00C62E5C" w14:paraId="6DD1ED15" w14:textId="77777777" w:rsidTr="00852545">
        <w:trPr>
          <w:trHeight w:val="204"/>
        </w:trPr>
        <w:tc>
          <w:tcPr>
            <w:tcW w:w="2552" w:type="dxa"/>
            <w:tcBorders>
              <w:top w:val="nil"/>
              <w:left w:val="nil"/>
              <w:bottom w:val="nil"/>
              <w:right w:val="nil"/>
            </w:tcBorders>
            <w:shd w:val="clear" w:color="auto" w:fill="auto"/>
            <w:noWrap/>
            <w:vAlign w:val="center"/>
            <w:hideMark/>
          </w:tcPr>
          <w:p w14:paraId="302D86F0" w14:textId="77777777" w:rsidR="003C4C14" w:rsidRPr="00075298" w:rsidRDefault="003C4C14" w:rsidP="003C4C14">
            <w:pPr>
              <w:spacing w:after="0" w:line="240" w:lineRule="auto"/>
              <w:ind w:left="227"/>
              <w:jc w:val="left"/>
              <w:rPr>
                <w:rFonts w:ascii="Arial" w:hAnsi="Arial" w:cs="Arial"/>
                <w:b/>
                <w:bCs/>
                <w:color w:val="000000"/>
                <w:sz w:val="16"/>
                <w:szCs w:val="16"/>
              </w:rPr>
            </w:pPr>
            <w:r w:rsidRPr="00075298">
              <w:rPr>
                <w:rFonts w:ascii="Arial" w:hAnsi="Arial" w:cs="Arial"/>
                <w:b/>
                <w:bCs/>
                <w:iCs/>
                <w:color w:val="000000"/>
                <w:sz w:val="16"/>
                <w:szCs w:val="16"/>
              </w:rPr>
              <w:t>Non-taxation revenue</w:t>
            </w:r>
          </w:p>
        </w:tc>
        <w:tc>
          <w:tcPr>
            <w:tcW w:w="1047" w:type="dxa"/>
            <w:tcBorders>
              <w:top w:val="nil"/>
              <w:left w:val="nil"/>
              <w:bottom w:val="nil"/>
              <w:right w:val="nil"/>
            </w:tcBorders>
            <w:shd w:val="clear" w:color="auto" w:fill="auto"/>
            <w:noWrap/>
            <w:vAlign w:val="bottom"/>
            <w:hideMark/>
          </w:tcPr>
          <w:p w14:paraId="5D9E7356" w14:textId="77777777" w:rsidR="003C4C14" w:rsidRPr="00C62E5C" w:rsidRDefault="003C4C14" w:rsidP="003C4C14">
            <w:pPr>
              <w:spacing w:after="0" w:line="240" w:lineRule="auto"/>
              <w:ind w:firstLineChars="200" w:firstLine="32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22BB9564" w14:textId="4E03D00D"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115EED6E" w14:textId="77777777"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01C74F1C" w14:textId="77777777" w:rsidR="003C4C14" w:rsidRPr="00C62E5C" w:rsidRDefault="003C4C14" w:rsidP="003C4C14">
            <w:pPr>
              <w:spacing w:after="0" w:line="240" w:lineRule="auto"/>
              <w:jc w:val="right"/>
              <w:rPr>
                <w:rFonts w:ascii="Times New Roman" w:hAnsi="Times New Roman"/>
              </w:rPr>
            </w:pPr>
          </w:p>
        </w:tc>
        <w:tc>
          <w:tcPr>
            <w:tcW w:w="1093" w:type="dxa"/>
            <w:tcBorders>
              <w:top w:val="nil"/>
              <w:left w:val="nil"/>
              <w:bottom w:val="nil"/>
              <w:right w:val="nil"/>
            </w:tcBorders>
            <w:shd w:val="clear" w:color="auto" w:fill="auto"/>
            <w:noWrap/>
            <w:vAlign w:val="bottom"/>
            <w:hideMark/>
          </w:tcPr>
          <w:p w14:paraId="563296D9" w14:textId="77777777" w:rsidR="003C4C14" w:rsidRPr="00C62E5C" w:rsidRDefault="003C4C14" w:rsidP="003C4C14">
            <w:pPr>
              <w:spacing w:after="0" w:line="240" w:lineRule="auto"/>
              <w:jc w:val="right"/>
              <w:rPr>
                <w:rFonts w:ascii="Times New Roman" w:hAnsi="Times New Roman"/>
              </w:rPr>
            </w:pPr>
          </w:p>
        </w:tc>
      </w:tr>
      <w:tr w:rsidR="003C4C14" w:rsidRPr="00C62E5C" w14:paraId="3FD222FC" w14:textId="77777777" w:rsidTr="00852545">
        <w:trPr>
          <w:trHeight w:val="204"/>
        </w:trPr>
        <w:tc>
          <w:tcPr>
            <w:tcW w:w="2552" w:type="dxa"/>
            <w:tcBorders>
              <w:top w:val="nil"/>
              <w:left w:val="nil"/>
              <w:bottom w:val="nil"/>
              <w:right w:val="nil"/>
            </w:tcBorders>
            <w:shd w:val="clear" w:color="000000" w:fill="FFFFFF"/>
            <w:vAlign w:val="center"/>
            <w:hideMark/>
          </w:tcPr>
          <w:p w14:paraId="29811ED7" w14:textId="77777777" w:rsidR="003C4C14" w:rsidRPr="00C62E5C" w:rsidRDefault="003C4C14" w:rsidP="003C4C14">
            <w:pPr>
              <w:spacing w:after="0" w:line="240" w:lineRule="auto"/>
              <w:ind w:left="340"/>
              <w:jc w:val="left"/>
              <w:rPr>
                <w:rFonts w:ascii="Arial" w:hAnsi="Arial" w:cs="Arial"/>
                <w:color w:val="000000"/>
                <w:sz w:val="16"/>
                <w:szCs w:val="16"/>
              </w:rPr>
            </w:pPr>
            <w:r w:rsidRPr="00C62E5C">
              <w:rPr>
                <w:rFonts w:ascii="Arial" w:hAnsi="Arial" w:cs="Arial"/>
                <w:color w:val="000000"/>
                <w:sz w:val="16"/>
                <w:szCs w:val="16"/>
              </w:rPr>
              <w:t>Revenue from contracts with customers</w:t>
            </w:r>
          </w:p>
        </w:tc>
        <w:tc>
          <w:tcPr>
            <w:tcW w:w="1047" w:type="dxa"/>
            <w:tcBorders>
              <w:top w:val="nil"/>
              <w:left w:val="nil"/>
              <w:bottom w:val="nil"/>
              <w:right w:val="nil"/>
            </w:tcBorders>
            <w:shd w:val="clear" w:color="auto" w:fill="auto"/>
            <w:noWrap/>
            <w:vAlign w:val="bottom"/>
            <w:hideMark/>
          </w:tcPr>
          <w:p w14:paraId="5988DA46" w14:textId="03516BC7"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39,622</w:t>
            </w:r>
          </w:p>
        </w:tc>
        <w:tc>
          <w:tcPr>
            <w:tcW w:w="1035" w:type="dxa"/>
            <w:tcBorders>
              <w:top w:val="nil"/>
              <w:left w:val="nil"/>
              <w:bottom w:val="nil"/>
              <w:right w:val="nil"/>
            </w:tcBorders>
            <w:shd w:val="clear" w:color="000000" w:fill="E6E6E6"/>
            <w:noWrap/>
            <w:vAlign w:val="bottom"/>
            <w:hideMark/>
          </w:tcPr>
          <w:p w14:paraId="722A83CC" w14:textId="65A057BB"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17,814</w:t>
            </w:r>
          </w:p>
        </w:tc>
        <w:tc>
          <w:tcPr>
            <w:tcW w:w="1035" w:type="dxa"/>
            <w:tcBorders>
              <w:top w:val="nil"/>
              <w:left w:val="nil"/>
              <w:bottom w:val="nil"/>
              <w:right w:val="nil"/>
            </w:tcBorders>
            <w:shd w:val="clear" w:color="auto" w:fill="auto"/>
            <w:noWrap/>
            <w:vAlign w:val="bottom"/>
            <w:hideMark/>
          </w:tcPr>
          <w:p w14:paraId="640F172D" w14:textId="535281BE"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17,891</w:t>
            </w:r>
          </w:p>
        </w:tc>
        <w:tc>
          <w:tcPr>
            <w:tcW w:w="1035" w:type="dxa"/>
            <w:tcBorders>
              <w:top w:val="nil"/>
              <w:left w:val="nil"/>
              <w:bottom w:val="nil"/>
              <w:right w:val="nil"/>
            </w:tcBorders>
            <w:shd w:val="clear" w:color="auto" w:fill="auto"/>
            <w:noWrap/>
            <w:vAlign w:val="bottom"/>
            <w:hideMark/>
          </w:tcPr>
          <w:p w14:paraId="31F9131B" w14:textId="1F483A94"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17,818</w:t>
            </w:r>
          </w:p>
        </w:tc>
        <w:tc>
          <w:tcPr>
            <w:tcW w:w="1093" w:type="dxa"/>
            <w:tcBorders>
              <w:top w:val="nil"/>
              <w:left w:val="nil"/>
              <w:bottom w:val="nil"/>
              <w:right w:val="nil"/>
            </w:tcBorders>
            <w:shd w:val="clear" w:color="auto" w:fill="auto"/>
            <w:noWrap/>
            <w:vAlign w:val="bottom"/>
            <w:hideMark/>
          </w:tcPr>
          <w:p w14:paraId="3B5ED304" w14:textId="30FC1077"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17,793</w:t>
            </w:r>
          </w:p>
        </w:tc>
      </w:tr>
      <w:tr w:rsidR="003C4C14" w:rsidRPr="00C62E5C" w14:paraId="1E84AD02" w14:textId="77777777" w:rsidTr="00852545">
        <w:trPr>
          <w:trHeight w:val="204"/>
        </w:trPr>
        <w:tc>
          <w:tcPr>
            <w:tcW w:w="2552" w:type="dxa"/>
            <w:tcBorders>
              <w:top w:val="nil"/>
              <w:left w:val="nil"/>
              <w:bottom w:val="nil"/>
              <w:right w:val="nil"/>
            </w:tcBorders>
            <w:shd w:val="clear" w:color="auto" w:fill="auto"/>
            <w:noWrap/>
            <w:vAlign w:val="center"/>
            <w:hideMark/>
          </w:tcPr>
          <w:p w14:paraId="7B94F1EA" w14:textId="77777777" w:rsidR="003C4C14" w:rsidRPr="00C62E5C" w:rsidRDefault="003C4C14" w:rsidP="003C4C14">
            <w:pPr>
              <w:spacing w:after="0" w:line="240" w:lineRule="auto"/>
              <w:ind w:left="340"/>
              <w:jc w:val="left"/>
              <w:rPr>
                <w:rFonts w:ascii="Arial" w:hAnsi="Arial" w:cs="Arial"/>
                <w:sz w:val="16"/>
                <w:szCs w:val="16"/>
              </w:rPr>
            </w:pPr>
            <w:r w:rsidRPr="00C62E5C">
              <w:rPr>
                <w:rFonts w:ascii="Arial" w:hAnsi="Arial" w:cs="Arial"/>
                <w:sz w:val="16"/>
                <w:szCs w:val="16"/>
              </w:rPr>
              <w:t>Regulatory and other fees</w:t>
            </w:r>
          </w:p>
        </w:tc>
        <w:tc>
          <w:tcPr>
            <w:tcW w:w="1047" w:type="dxa"/>
            <w:tcBorders>
              <w:top w:val="nil"/>
              <w:left w:val="nil"/>
              <w:bottom w:val="nil"/>
              <w:right w:val="nil"/>
            </w:tcBorders>
            <w:shd w:val="clear" w:color="auto" w:fill="auto"/>
            <w:noWrap/>
            <w:vAlign w:val="bottom"/>
            <w:hideMark/>
          </w:tcPr>
          <w:p w14:paraId="1C118C14" w14:textId="511070C2"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132,808</w:t>
            </w:r>
          </w:p>
        </w:tc>
        <w:tc>
          <w:tcPr>
            <w:tcW w:w="1035" w:type="dxa"/>
            <w:tcBorders>
              <w:top w:val="nil"/>
              <w:left w:val="nil"/>
              <w:bottom w:val="nil"/>
              <w:right w:val="nil"/>
            </w:tcBorders>
            <w:shd w:val="clear" w:color="000000" w:fill="E6E6E6"/>
            <w:noWrap/>
            <w:vAlign w:val="bottom"/>
            <w:hideMark/>
          </w:tcPr>
          <w:p w14:paraId="6837AEA9" w14:textId="7EC29FE9"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154,377</w:t>
            </w:r>
          </w:p>
        </w:tc>
        <w:tc>
          <w:tcPr>
            <w:tcW w:w="1035" w:type="dxa"/>
            <w:tcBorders>
              <w:top w:val="nil"/>
              <w:left w:val="nil"/>
              <w:bottom w:val="nil"/>
              <w:right w:val="nil"/>
            </w:tcBorders>
            <w:shd w:val="clear" w:color="auto" w:fill="auto"/>
            <w:noWrap/>
            <w:vAlign w:val="bottom"/>
            <w:hideMark/>
          </w:tcPr>
          <w:p w14:paraId="3B34699A" w14:textId="0B7D9AE5"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168,528</w:t>
            </w:r>
          </w:p>
        </w:tc>
        <w:tc>
          <w:tcPr>
            <w:tcW w:w="1035" w:type="dxa"/>
            <w:tcBorders>
              <w:top w:val="nil"/>
              <w:left w:val="nil"/>
              <w:bottom w:val="nil"/>
              <w:right w:val="nil"/>
            </w:tcBorders>
            <w:shd w:val="clear" w:color="auto" w:fill="auto"/>
            <w:noWrap/>
            <w:vAlign w:val="bottom"/>
            <w:hideMark/>
          </w:tcPr>
          <w:p w14:paraId="64C41B79" w14:textId="6CABF05F"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173,470</w:t>
            </w:r>
          </w:p>
        </w:tc>
        <w:tc>
          <w:tcPr>
            <w:tcW w:w="1093" w:type="dxa"/>
            <w:tcBorders>
              <w:top w:val="nil"/>
              <w:left w:val="nil"/>
              <w:bottom w:val="nil"/>
              <w:right w:val="nil"/>
            </w:tcBorders>
            <w:shd w:val="clear" w:color="auto" w:fill="auto"/>
            <w:noWrap/>
            <w:vAlign w:val="bottom"/>
            <w:hideMark/>
          </w:tcPr>
          <w:p w14:paraId="525EEBB0" w14:textId="1B315AA9"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175,950</w:t>
            </w:r>
          </w:p>
        </w:tc>
      </w:tr>
      <w:tr w:rsidR="003C4C14" w:rsidRPr="00C62E5C" w14:paraId="32FE7FF8" w14:textId="77777777" w:rsidTr="00852545">
        <w:trPr>
          <w:trHeight w:val="204"/>
        </w:trPr>
        <w:tc>
          <w:tcPr>
            <w:tcW w:w="2552" w:type="dxa"/>
            <w:tcBorders>
              <w:top w:val="nil"/>
              <w:left w:val="nil"/>
              <w:bottom w:val="nil"/>
              <w:right w:val="nil"/>
            </w:tcBorders>
            <w:shd w:val="clear" w:color="auto" w:fill="auto"/>
            <w:noWrap/>
            <w:vAlign w:val="center"/>
            <w:hideMark/>
          </w:tcPr>
          <w:p w14:paraId="62EDF90C" w14:textId="77777777" w:rsidR="003C4C14" w:rsidRPr="00C62E5C" w:rsidRDefault="003C4C14" w:rsidP="003C4C14">
            <w:pPr>
              <w:spacing w:after="0" w:line="240" w:lineRule="auto"/>
              <w:ind w:left="340"/>
              <w:jc w:val="left"/>
              <w:rPr>
                <w:rFonts w:ascii="Arial" w:hAnsi="Arial" w:cs="Arial"/>
                <w:color w:val="000000"/>
                <w:sz w:val="16"/>
                <w:szCs w:val="16"/>
              </w:rPr>
            </w:pPr>
            <w:r w:rsidRPr="00C62E5C">
              <w:rPr>
                <w:rFonts w:ascii="Arial" w:hAnsi="Arial" w:cs="Arial"/>
                <w:color w:val="000000"/>
                <w:sz w:val="16"/>
                <w:szCs w:val="16"/>
              </w:rPr>
              <w:t>Interest</w:t>
            </w:r>
          </w:p>
        </w:tc>
        <w:tc>
          <w:tcPr>
            <w:tcW w:w="1047" w:type="dxa"/>
            <w:tcBorders>
              <w:top w:val="nil"/>
              <w:left w:val="nil"/>
              <w:bottom w:val="nil"/>
              <w:right w:val="nil"/>
            </w:tcBorders>
            <w:shd w:val="clear" w:color="auto" w:fill="auto"/>
            <w:noWrap/>
            <w:vAlign w:val="bottom"/>
            <w:hideMark/>
          </w:tcPr>
          <w:p w14:paraId="5E781A99" w14:textId="4F6FB978"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790,797</w:t>
            </w:r>
          </w:p>
        </w:tc>
        <w:tc>
          <w:tcPr>
            <w:tcW w:w="1035" w:type="dxa"/>
            <w:tcBorders>
              <w:top w:val="nil"/>
              <w:left w:val="nil"/>
              <w:bottom w:val="nil"/>
              <w:right w:val="nil"/>
            </w:tcBorders>
            <w:shd w:val="clear" w:color="000000" w:fill="E6E6E6"/>
            <w:noWrap/>
            <w:vAlign w:val="bottom"/>
            <w:hideMark/>
          </w:tcPr>
          <w:p w14:paraId="40A1463C" w14:textId="0C2B13A7"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473,073</w:t>
            </w:r>
          </w:p>
        </w:tc>
        <w:tc>
          <w:tcPr>
            <w:tcW w:w="1035" w:type="dxa"/>
            <w:tcBorders>
              <w:top w:val="nil"/>
              <w:left w:val="nil"/>
              <w:bottom w:val="nil"/>
              <w:right w:val="nil"/>
            </w:tcBorders>
            <w:shd w:val="clear" w:color="auto" w:fill="auto"/>
            <w:noWrap/>
            <w:vAlign w:val="bottom"/>
            <w:hideMark/>
          </w:tcPr>
          <w:p w14:paraId="06103FCC" w14:textId="6B9DA616"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487,248</w:t>
            </w:r>
          </w:p>
        </w:tc>
        <w:tc>
          <w:tcPr>
            <w:tcW w:w="1035" w:type="dxa"/>
            <w:tcBorders>
              <w:top w:val="nil"/>
              <w:left w:val="nil"/>
              <w:bottom w:val="nil"/>
              <w:right w:val="nil"/>
            </w:tcBorders>
            <w:shd w:val="clear" w:color="auto" w:fill="auto"/>
            <w:noWrap/>
            <w:vAlign w:val="bottom"/>
            <w:hideMark/>
          </w:tcPr>
          <w:p w14:paraId="386C19FA" w14:textId="19F99195"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601,066</w:t>
            </w:r>
          </w:p>
        </w:tc>
        <w:tc>
          <w:tcPr>
            <w:tcW w:w="1093" w:type="dxa"/>
            <w:tcBorders>
              <w:top w:val="nil"/>
              <w:left w:val="nil"/>
              <w:bottom w:val="nil"/>
              <w:right w:val="nil"/>
            </w:tcBorders>
            <w:shd w:val="clear" w:color="auto" w:fill="auto"/>
            <w:noWrap/>
            <w:vAlign w:val="bottom"/>
            <w:hideMark/>
          </w:tcPr>
          <w:p w14:paraId="262D4D62" w14:textId="1652B0B6"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386,073</w:t>
            </w:r>
          </w:p>
        </w:tc>
      </w:tr>
      <w:tr w:rsidR="003C4C14" w:rsidRPr="00C62E5C" w14:paraId="378F5529" w14:textId="77777777" w:rsidTr="00852545">
        <w:trPr>
          <w:trHeight w:val="204"/>
        </w:trPr>
        <w:tc>
          <w:tcPr>
            <w:tcW w:w="2552" w:type="dxa"/>
            <w:tcBorders>
              <w:top w:val="nil"/>
              <w:left w:val="nil"/>
              <w:bottom w:val="nil"/>
              <w:right w:val="nil"/>
            </w:tcBorders>
            <w:shd w:val="clear" w:color="auto" w:fill="auto"/>
            <w:noWrap/>
            <w:vAlign w:val="center"/>
            <w:hideMark/>
          </w:tcPr>
          <w:p w14:paraId="68801EFD" w14:textId="77777777" w:rsidR="003C4C14" w:rsidRPr="00C62E5C" w:rsidRDefault="003C4C14" w:rsidP="003C4C14">
            <w:pPr>
              <w:spacing w:after="0" w:line="240" w:lineRule="auto"/>
              <w:ind w:left="340"/>
              <w:jc w:val="left"/>
              <w:rPr>
                <w:rFonts w:ascii="Arial" w:hAnsi="Arial" w:cs="Arial"/>
                <w:color w:val="000000"/>
                <w:sz w:val="16"/>
                <w:szCs w:val="16"/>
              </w:rPr>
            </w:pPr>
            <w:r w:rsidRPr="00C62E5C">
              <w:rPr>
                <w:rFonts w:ascii="Arial" w:hAnsi="Arial" w:cs="Arial"/>
                <w:color w:val="000000"/>
                <w:sz w:val="16"/>
                <w:szCs w:val="16"/>
              </w:rPr>
              <w:t>Dividends</w:t>
            </w:r>
          </w:p>
        </w:tc>
        <w:tc>
          <w:tcPr>
            <w:tcW w:w="1047" w:type="dxa"/>
            <w:tcBorders>
              <w:top w:val="nil"/>
              <w:left w:val="nil"/>
              <w:bottom w:val="nil"/>
              <w:right w:val="nil"/>
            </w:tcBorders>
            <w:shd w:val="clear" w:color="auto" w:fill="auto"/>
            <w:noWrap/>
            <w:vAlign w:val="bottom"/>
            <w:hideMark/>
          </w:tcPr>
          <w:p w14:paraId="1631BE35" w14:textId="7D51F6B4"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126,441</w:t>
            </w:r>
          </w:p>
        </w:tc>
        <w:tc>
          <w:tcPr>
            <w:tcW w:w="1035" w:type="dxa"/>
            <w:tcBorders>
              <w:top w:val="nil"/>
              <w:left w:val="nil"/>
              <w:bottom w:val="nil"/>
              <w:right w:val="nil"/>
            </w:tcBorders>
            <w:shd w:val="clear" w:color="000000" w:fill="E6E6E6"/>
            <w:noWrap/>
            <w:vAlign w:val="bottom"/>
            <w:hideMark/>
          </w:tcPr>
          <w:p w14:paraId="0D5AB91F" w14:textId="4C724742"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106,900</w:t>
            </w:r>
          </w:p>
        </w:tc>
        <w:tc>
          <w:tcPr>
            <w:tcW w:w="1035" w:type="dxa"/>
            <w:tcBorders>
              <w:top w:val="nil"/>
              <w:left w:val="nil"/>
              <w:bottom w:val="nil"/>
              <w:right w:val="nil"/>
            </w:tcBorders>
            <w:shd w:val="clear" w:color="auto" w:fill="auto"/>
            <w:noWrap/>
            <w:vAlign w:val="bottom"/>
            <w:hideMark/>
          </w:tcPr>
          <w:p w14:paraId="6C7C80C6" w14:textId="57249028"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57,200</w:t>
            </w:r>
          </w:p>
        </w:tc>
        <w:tc>
          <w:tcPr>
            <w:tcW w:w="1035" w:type="dxa"/>
            <w:tcBorders>
              <w:top w:val="nil"/>
              <w:left w:val="nil"/>
              <w:bottom w:val="nil"/>
              <w:right w:val="nil"/>
            </w:tcBorders>
            <w:shd w:val="clear" w:color="auto" w:fill="auto"/>
            <w:noWrap/>
            <w:vAlign w:val="bottom"/>
            <w:hideMark/>
          </w:tcPr>
          <w:p w14:paraId="7F6513B4" w14:textId="30BB3EED"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55,900</w:t>
            </w:r>
          </w:p>
        </w:tc>
        <w:tc>
          <w:tcPr>
            <w:tcW w:w="1093" w:type="dxa"/>
            <w:tcBorders>
              <w:top w:val="nil"/>
              <w:left w:val="nil"/>
              <w:bottom w:val="nil"/>
              <w:right w:val="nil"/>
            </w:tcBorders>
            <w:shd w:val="clear" w:color="auto" w:fill="auto"/>
            <w:noWrap/>
            <w:vAlign w:val="bottom"/>
            <w:hideMark/>
          </w:tcPr>
          <w:p w14:paraId="63B1D042" w14:textId="1A69CF42"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74,100</w:t>
            </w:r>
          </w:p>
        </w:tc>
      </w:tr>
      <w:tr w:rsidR="003C4C14" w:rsidRPr="00C62E5C" w14:paraId="3F354104" w14:textId="77777777" w:rsidTr="00852545">
        <w:trPr>
          <w:trHeight w:val="204"/>
        </w:trPr>
        <w:tc>
          <w:tcPr>
            <w:tcW w:w="2552" w:type="dxa"/>
            <w:tcBorders>
              <w:top w:val="nil"/>
              <w:left w:val="nil"/>
              <w:bottom w:val="nil"/>
              <w:right w:val="nil"/>
            </w:tcBorders>
            <w:shd w:val="clear" w:color="auto" w:fill="auto"/>
            <w:noWrap/>
            <w:vAlign w:val="center"/>
            <w:hideMark/>
          </w:tcPr>
          <w:p w14:paraId="10C2CFED" w14:textId="77777777" w:rsidR="003C4C14" w:rsidRPr="00C62E5C" w:rsidRDefault="003C4C14" w:rsidP="003C4C14">
            <w:pPr>
              <w:spacing w:after="0" w:line="240" w:lineRule="auto"/>
              <w:ind w:left="340"/>
              <w:jc w:val="left"/>
              <w:rPr>
                <w:rFonts w:ascii="Arial" w:hAnsi="Arial" w:cs="Arial"/>
                <w:color w:val="000000"/>
                <w:sz w:val="16"/>
                <w:szCs w:val="16"/>
              </w:rPr>
            </w:pPr>
            <w:r w:rsidRPr="00C62E5C">
              <w:rPr>
                <w:rFonts w:ascii="Arial" w:hAnsi="Arial" w:cs="Arial"/>
                <w:color w:val="000000"/>
                <w:sz w:val="16"/>
                <w:szCs w:val="16"/>
              </w:rPr>
              <w:t>Rental income</w:t>
            </w:r>
          </w:p>
        </w:tc>
        <w:tc>
          <w:tcPr>
            <w:tcW w:w="1047" w:type="dxa"/>
            <w:tcBorders>
              <w:top w:val="nil"/>
              <w:left w:val="nil"/>
              <w:bottom w:val="nil"/>
              <w:right w:val="nil"/>
            </w:tcBorders>
            <w:shd w:val="clear" w:color="auto" w:fill="auto"/>
            <w:noWrap/>
            <w:vAlign w:val="bottom"/>
            <w:hideMark/>
          </w:tcPr>
          <w:p w14:paraId="1CAF7C42" w14:textId="6840E38D"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4,350</w:t>
            </w:r>
          </w:p>
        </w:tc>
        <w:tc>
          <w:tcPr>
            <w:tcW w:w="1035" w:type="dxa"/>
            <w:tcBorders>
              <w:top w:val="nil"/>
              <w:left w:val="nil"/>
              <w:bottom w:val="nil"/>
              <w:right w:val="nil"/>
            </w:tcBorders>
            <w:shd w:val="clear" w:color="000000" w:fill="E6E6E6"/>
            <w:noWrap/>
            <w:vAlign w:val="bottom"/>
            <w:hideMark/>
          </w:tcPr>
          <w:p w14:paraId="133EBC8E" w14:textId="1C668A7E"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4,148</w:t>
            </w:r>
          </w:p>
        </w:tc>
        <w:tc>
          <w:tcPr>
            <w:tcW w:w="1035" w:type="dxa"/>
            <w:tcBorders>
              <w:top w:val="nil"/>
              <w:left w:val="nil"/>
              <w:bottom w:val="nil"/>
              <w:right w:val="nil"/>
            </w:tcBorders>
            <w:shd w:val="clear" w:color="auto" w:fill="auto"/>
            <w:noWrap/>
            <w:vAlign w:val="bottom"/>
            <w:hideMark/>
          </w:tcPr>
          <w:p w14:paraId="68D45F7C" w14:textId="24DBB753"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4,382</w:t>
            </w:r>
          </w:p>
        </w:tc>
        <w:tc>
          <w:tcPr>
            <w:tcW w:w="1035" w:type="dxa"/>
            <w:tcBorders>
              <w:top w:val="nil"/>
              <w:left w:val="nil"/>
              <w:bottom w:val="nil"/>
              <w:right w:val="nil"/>
            </w:tcBorders>
            <w:shd w:val="clear" w:color="auto" w:fill="auto"/>
            <w:noWrap/>
            <w:vAlign w:val="bottom"/>
            <w:hideMark/>
          </w:tcPr>
          <w:p w14:paraId="36601853" w14:textId="1C14C3CC"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4,525</w:t>
            </w:r>
          </w:p>
        </w:tc>
        <w:tc>
          <w:tcPr>
            <w:tcW w:w="1093" w:type="dxa"/>
            <w:tcBorders>
              <w:top w:val="nil"/>
              <w:left w:val="nil"/>
              <w:bottom w:val="nil"/>
              <w:right w:val="nil"/>
            </w:tcBorders>
            <w:shd w:val="clear" w:color="auto" w:fill="auto"/>
            <w:noWrap/>
            <w:vAlign w:val="bottom"/>
            <w:hideMark/>
          </w:tcPr>
          <w:p w14:paraId="1F9200CB" w14:textId="63A81803"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4,657</w:t>
            </w:r>
          </w:p>
        </w:tc>
      </w:tr>
      <w:tr w:rsidR="003C4C14" w:rsidRPr="00C62E5C" w14:paraId="680BF866" w14:textId="77777777" w:rsidTr="00852545">
        <w:trPr>
          <w:trHeight w:val="204"/>
        </w:trPr>
        <w:tc>
          <w:tcPr>
            <w:tcW w:w="2552" w:type="dxa"/>
            <w:tcBorders>
              <w:top w:val="nil"/>
              <w:left w:val="nil"/>
              <w:bottom w:val="nil"/>
              <w:right w:val="nil"/>
            </w:tcBorders>
            <w:shd w:val="clear" w:color="auto" w:fill="auto"/>
            <w:noWrap/>
            <w:vAlign w:val="center"/>
            <w:hideMark/>
          </w:tcPr>
          <w:p w14:paraId="790C050D" w14:textId="77777777" w:rsidR="003C4C14" w:rsidRPr="00C62E5C" w:rsidRDefault="003C4C14" w:rsidP="003C4C14">
            <w:pPr>
              <w:spacing w:after="0" w:line="240" w:lineRule="auto"/>
              <w:ind w:left="340"/>
              <w:jc w:val="left"/>
              <w:rPr>
                <w:rFonts w:ascii="Arial" w:hAnsi="Arial" w:cs="Arial"/>
                <w:color w:val="000000"/>
                <w:sz w:val="16"/>
                <w:szCs w:val="16"/>
              </w:rPr>
            </w:pPr>
            <w:r w:rsidRPr="00C62E5C">
              <w:rPr>
                <w:rFonts w:ascii="Arial" w:hAnsi="Arial" w:cs="Arial"/>
                <w:color w:val="000000"/>
                <w:sz w:val="16"/>
                <w:szCs w:val="16"/>
              </w:rPr>
              <w:t>Other revenue</w:t>
            </w:r>
          </w:p>
        </w:tc>
        <w:tc>
          <w:tcPr>
            <w:tcW w:w="1047" w:type="dxa"/>
            <w:tcBorders>
              <w:top w:val="nil"/>
              <w:left w:val="nil"/>
              <w:bottom w:val="nil"/>
              <w:right w:val="nil"/>
            </w:tcBorders>
            <w:shd w:val="clear" w:color="auto" w:fill="auto"/>
            <w:noWrap/>
            <w:vAlign w:val="bottom"/>
            <w:hideMark/>
          </w:tcPr>
          <w:p w14:paraId="5D2AB251" w14:textId="42AE200E"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103,708</w:t>
            </w:r>
          </w:p>
        </w:tc>
        <w:tc>
          <w:tcPr>
            <w:tcW w:w="1035" w:type="dxa"/>
            <w:tcBorders>
              <w:top w:val="nil"/>
              <w:left w:val="nil"/>
              <w:bottom w:val="nil"/>
              <w:right w:val="nil"/>
            </w:tcBorders>
            <w:shd w:val="clear" w:color="000000" w:fill="E6E6E6"/>
            <w:noWrap/>
            <w:vAlign w:val="bottom"/>
            <w:hideMark/>
          </w:tcPr>
          <w:p w14:paraId="4A07AB29" w14:textId="2D108151"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12,054</w:t>
            </w:r>
          </w:p>
        </w:tc>
        <w:tc>
          <w:tcPr>
            <w:tcW w:w="1035" w:type="dxa"/>
            <w:tcBorders>
              <w:top w:val="nil"/>
              <w:left w:val="nil"/>
              <w:bottom w:val="nil"/>
              <w:right w:val="nil"/>
            </w:tcBorders>
            <w:shd w:val="clear" w:color="auto" w:fill="auto"/>
            <w:noWrap/>
            <w:vAlign w:val="bottom"/>
            <w:hideMark/>
          </w:tcPr>
          <w:p w14:paraId="233E26A7" w14:textId="6D3DDE29"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18,312</w:t>
            </w:r>
          </w:p>
        </w:tc>
        <w:tc>
          <w:tcPr>
            <w:tcW w:w="1035" w:type="dxa"/>
            <w:tcBorders>
              <w:top w:val="nil"/>
              <w:left w:val="nil"/>
              <w:bottom w:val="nil"/>
              <w:right w:val="nil"/>
            </w:tcBorders>
            <w:shd w:val="clear" w:color="auto" w:fill="auto"/>
            <w:noWrap/>
            <w:vAlign w:val="bottom"/>
            <w:hideMark/>
          </w:tcPr>
          <w:p w14:paraId="225D9795" w14:textId="7980ADA6"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10,660</w:t>
            </w:r>
          </w:p>
        </w:tc>
        <w:tc>
          <w:tcPr>
            <w:tcW w:w="1093" w:type="dxa"/>
            <w:tcBorders>
              <w:top w:val="nil"/>
              <w:left w:val="nil"/>
              <w:bottom w:val="nil"/>
              <w:right w:val="nil"/>
            </w:tcBorders>
            <w:shd w:val="clear" w:color="auto" w:fill="auto"/>
            <w:noWrap/>
            <w:vAlign w:val="bottom"/>
            <w:hideMark/>
          </w:tcPr>
          <w:p w14:paraId="7B8CEA78" w14:textId="5892A2BA"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4,800</w:t>
            </w:r>
          </w:p>
        </w:tc>
      </w:tr>
      <w:tr w:rsidR="003C4C14" w:rsidRPr="00C62E5C" w14:paraId="06EA10FC" w14:textId="77777777" w:rsidTr="00852545">
        <w:trPr>
          <w:trHeight w:val="204"/>
        </w:trPr>
        <w:tc>
          <w:tcPr>
            <w:tcW w:w="2552" w:type="dxa"/>
            <w:tcBorders>
              <w:top w:val="nil"/>
              <w:left w:val="nil"/>
              <w:bottom w:val="nil"/>
              <w:right w:val="nil"/>
            </w:tcBorders>
            <w:shd w:val="clear" w:color="auto" w:fill="auto"/>
            <w:noWrap/>
            <w:vAlign w:val="center"/>
            <w:hideMark/>
          </w:tcPr>
          <w:p w14:paraId="2E45562B" w14:textId="77777777" w:rsidR="003C4C14" w:rsidRPr="00C62E5C" w:rsidRDefault="003C4C14" w:rsidP="003C4C14">
            <w:pPr>
              <w:spacing w:after="0" w:line="240" w:lineRule="auto"/>
              <w:ind w:left="227"/>
              <w:jc w:val="left"/>
              <w:rPr>
                <w:rFonts w:ascii="Arial" w:hAnsi="Arial" w:cs="Arial"/>
                <w:b/>
                <w:bCs/>
                <w:i/>
                <w:iCs/>
                <w:color w:val="000000"/>
                <w:sz w:val="16"/>
                <w:szCs w:val="16"/>
              </w:rPr>
            </w:pPr>
            <w:r w:rsidRPr="00C62E5C">
              <w:rPr>
                <w:rFonts w:ascii="Arial" w:hAnsi="Arial" w:cs="Arial"/>
                <w:b/>
                <w:bCs/>
                <w:i/>
                <w:iCs/>
                <w:color w:val="000000"/>
                <w:sz w:val="16"/>
                <w:szCs w:val="16"/>
              </w:rPr>
              <w:t>Total non-taxation revenue</w:t>
            </w:r>
          </w:p>
        </w:tc>
        <w:tc>
          <w:tcPr>
            <w:tcW w:w="1047" w:type="dxa"/>
            <w:tcBorders>
              <w:top w:val="single" w:sz="4" w:space="0" w:color="auto"/>
              <w:left w:val="nil"/>
              <w:bottom w:val="single" w:sz="4" w:space="0" w:color="auto"/>
              <w:right w:val="nil"/>
            </w:tcBorders>
            <w:shd w:val="clear" w:color="auto" w:fill="auto"/>
            <w:noWrap/>
            <w:vAlign w:val="bottom"/>
            <w:hideMark/>
          </w:tcPr>
          <w:p w14:paraId="350785CA" w14:textId="0C79A94B" w:rsidR="003C4C14" w:rsidRPr="00C62E5C" w:rsidRDefault="003C4C14" w:rsidP="003C4C1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1,197,726</w:t>
            </w:r>
          </w:p>
        </w:tc>
        <w:tc>
          <w:tcPr>
            <w:tcW w:w="1035" w:type="dxa"/>
            <w:tcBorders>
              <w:top w:val="single" w:sz="4" w:space="0" w:color="auto"/>
              <w:left w:val="nil"/>
              <w:bottom w:val="single" w:sz="4" w:space="0" w:color="auto"/>
              <w:right w:val="nil"/>
            </w:tcBorders>
            <w:shd w:val="clear" w:color="000000" w:fill="E6E6E6"/>
            <w:noWrap/>
            <w:vAlign w:val="bottom"/>
            <w:hideMark/>
          </w:tcPr>
          <w:p w14:paraId="7CA46BDF" w14:textId="32604F0E" w:rsidR="003C4C14" w:rsidRPr="00C62E5C" w:rsidRDefault="003C4C14" w:rsidP="003C4C1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768,366</w:t>
            </w:r>
          </w:p>
        </w:tc>
        <w:tc>
          <w:tcPr>
            <w:tcW w:w="1035" w:type="dxa"/>
            <w:tcBorders>
              <w:top w:val="single" w:sz="4" w:space="0" w:color="auto"/>
              <w:left w:val="nil"/>
              <w:bottom w:val="single" w:sz="4" w:space="0" w:color="auto"/>
              <w:right w:val="nil"/>
            </w:tcBorders>
            <w:shd w:val="clear" w:color="auto" w:fill="auto"/>
            <w:noWrap/>
            <w:vAlign w:val="bottom"/>
            <w:hideMark/>
          </w:tcPr>
          <w:p w14:paraId="4ACB53E1" w14:textId="33C59764" w:rsidR="003C4C14" w:rsidRPr="00C62E5C" w:rsidRDefault="003C4C14" w:rsidP="003C4C1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753,561</w:t>
            </w:r>
          </w:p>
        </w:tc>
        <w:tc>
          <w:tcPr>
            <w:tcW w:w="1035" w:type="dxa"/>
            <w:tcBorders>
              <w:top w:val="single" w:sz="4" w:space="0" w:color="auto"/>
              <w:left w:val="nil"/>
              <w:bottom w:val="single" w:sz="4" w:space="0" w:color="auto"/>
              <w:right w:val="nil"/>
            </w:tcBorders>
            <w:shd w:val="clear" w:color="auto" w:fill="auto"/>
            <w:noWrap/>
            <w:vAlign w:val="bottom"/>
            <w:hideMark/>
          </w:tcPr>
          <w:p w14:paraId="755DC0F7" w14:textId="3E4D9FDC" w:rsidR="003C4C14" w:rsidRPr="00C62E5C" w:rsidRDefault="003C4C14" w:rsidP="003C4C1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863,439</w:t>
            </w:r>
          </w:p>
        </w:tc>
        <w:tc>
          <w:tcPr>
            <w:tcW w:w="1093" w:type="dxa"/>
            <w:tcBorders>
              <w:top w:val="single" w:sz="4" w:space="0" w:color="auto"/>
              <w:left w:val="nil"/>
              <w:bottom w:val="single" w:sz="4" w:space="0" w:color="auto"/>
              <w:right w:val="nil"/>
            </w:tcBorders>
            <w:shd w:val="clear" w:color="auto" w:fill="auto"/>
            <w:noWrap/>
            <w:vAlign w:val="bottom"/>
            <w:hideMark/>
          </w:tcPr>
          <w:p w14:paraId="28C0C8F4" w14:textId="42FA8E2B" w:rsidR="003C4C14" w:rsidRPr="00C62E5C" w:rsidRDefault="003C4C14" w:rsidP="003C4C1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663,373</w:t>
            </w:r>
          </w:p>
        </w:tc>
      </w:tr>
      <w:tr w:rsidR="003C4C14" w:rsidRPr="00C62E5C" w14:paraId="3A1E3B0A" w14:textId="77777777" w:rsidTr="00852545">
        <w:trPr>
          <w:trHeight w:val="204"/>
        </w:trPr>
        <w:tc>
          <w:tcPr>
            <w:tcW w:w="2552" w:type="dxa"/>
            <w:tcBorders>
              <w:top w:val="nil"/>
              <w:left w:val="nil"/>
              <w:bottom w:val="nil"/>
              <w:right w:val="nil"/>
            </w:tcBorders>
            <w:shd w:val="clear" w:color="auto" w:fill="auto"/>
            <w:vAlign w:val="center"/>
            <w:hideMark/>
          </w:tcPr>
          <w:p w14:paraId="5C9A4CF1" w14:textId="2ACA5316" w:rsidR="003C4C14" w:rsidRPr="00C62E5C" w:rsidRDefault="003C4C14" w:rsidP="003C4C14">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Total own-source revenue</w:t>
            </w:r>
            <w:r>
              <w:rPr>
                <w:rFonts w:ascii="Arial" w:hAnsi="Arial" w:cs="Arial"/>
                <w:b/>
                <w:bCs/>
                <w:color w:val="000000"/>
                <w:sz w:val="16"/>
                <w:szCs w:val="16"/>
              </w:rPr>
              <w:t xml:space="preserve"> </w:t>
            </w:r>
            <w:r w:rsidRPr="00C62E5C">
              <w:rPr>
                <w:rFonts w:ascii="Arial" w:hAnsi="Arial" w:cs="Arial"/>
                <w:b/>
                <w:bCs/>
                <w:color w:val="000000"/>
                <w:sz w:val="16"/>
                <w:szCs w:val="16"/>
              </w:rPr>
              <w:t>administered on behalf of</w:t>
            </w:r>
            <w:r>
              <w:rPr>
                <w:rFonts w:ascii="Arial" w:hAnsi="Arial" w:cs="Arial"/>
                <w:b/>
                <w:bCs/>
                <w:color w:val="000000"/>
                <w:sz w:val="16"/>
                <w:szCs w:val="16"/>
              </w:rPr>
              <w:t xml:space="preserve"> </w:t>
            </w:r>
            <w:r w:rsidRPr="00C62E5C">
              <w:rPr>
                <w:rFonts w:ascii="Arial" w:hAnsi="Arial" w:cs="Arial"/>
                <w:b/>
                <w:bCs/>
                <w:color w:val="000000"/>
                <w:sz w:val="16"/>
                <w:szCs w:val="16"/>
              </w:rPr>
              <w:t>Government</w:t>
            </w:r>
          </w:p>
        </w:tc>
        <w:tc>
          <w:tcPr>
            <w:tcW w:w="1047" w:type="dxa"/>
            <w:tcBorders>
              <w:top w:val="nil"/>
              <w:left w:val="nil"/>
              <w:bottom w:val="single" w:sz="4" w:space="0" w:color="auto"/>
              <w:right w:val="nil"/>
            </w:tcBorders>
            <w:shd w:val="clear" w:color="auto" w:fill="auto"/>
            <w:noWrap/>
            <w:vAlign w:val="bottom"/>
            <w:hideMark/>
          </w:tcPr>
          <w:p w14:paraId="268698A3" w14:textId="212CD9E5"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1,212,479</w:t>
            </w:r>
          </w:p>
        </w:tc>
        <w:tc>
          <w:tcPr>
            <w:tcW w:w="1035" w:type="dxa"/>
            <w:tcBorders>
              <w:top w:val="nil"/>
              <w:left w:val="nil"/>
              <w:bottom w:val="single" w:sz="4" w:space="0" w:color="auto"/>
              <w:right w:val="nil"/>
            </w:tcBorders>
            <w:shd w:val="clear" w:color="000000" w:fill="E6E6E6"/>
            <w:noWrap/>
            <w:vAlign w:val="bottom"/>
            <w:hideMark/>
          </w:tcPr>
          <w:p w14:paraId="149A6BF3" w14:textId="50AFEA9A"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810,457</w:t>
            </w:r>
          </w:p>
        </w:tc>
        <w:tc>
          <w:tcPr>
            <w:tcW w:w="1035" w:type="dxa"/>
            <w:tcBorders>
              <w:top w:val="nil"/>
              <w:left w:val="nil"/>
              <w:bottom w:val="single" w:sz="4" w:space="0" w:color="auto"/>
              <w:right w:val="nil"/>
            </w:tcBorders>
            <w:shd w:val="clear" w:color="auto" w:fill="auto"/>
            <w:noWrap/>
            <w:vAlign w:val="bottom"/>
            <w:hideMark/>
          </w:tcPr>
          <w:p w14:paraId="032C0EBD" w14:textId="07C7E992"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797,348</w:t>
            </w:r>
          </w:p>
        </w:tc>
        <w:tc>
          <w:tcPr>
            <w:tcW w:w="1035" w:type="dxa"/>
            <w:tcBorders>
              <w:top w:val="nil"/>
              <w:left w:val="nil"/>
              <w:bottom w:val="single" w:sz="4" w:space="0" w:color="auto"/>
              <w:right w:val="nil"/>
            </w:tcBorders>
            <w:shd w:val="clear" w:color="auto" w:fill="auto"/>
            <w:noWrap/>
            <w:vAlign w:val="bottom"/>
            <w:hideMark/>
          </w:tcPr>
          <w:p w14:paraId="4C3E2ABF" w14:textId="1B582E6E"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906,507</w:t>
            </w:r>
          </w:p>
        </w:tc>
        <w:tc>
          <w:tcPr>
            <w:tcW w:w="1093" w:type="dxa"/>
            <w:tcBorders>
              <w:top w:val="nil"/>
              <w:left w:val="nil"/>
              <w:bottom w:val="single" w:sz="4" w:space="0" w:color="auto"/>
              <w:right w:val="nil"/>
            </w:tcBorders>
            <w:shd w:val="clear" w:color="auto" w:fill="auto"/>
            <w:noWrap/>
            <w:vAlign w:val="bottom"/>
            <w:hideMark/>
          </w:tcPr>
          <w:p w14:paraId="07FAC32D" w14:textId="20F9E1C4"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708,379</w:t>
            </w:r>
          </w:p>
        </w:tc>
      </w:tr>
      <w:tr w:rsidR="003C4C14" w:rsidRPr="00C62E5C" w14:paraId="3820F9F0" w14:textId="77777777" w:rsidTr="00852545">
        <w:trPr>
          <w:trHeight w:val="204"/>
        </w:trPr>
        <w:tc>
          <w:tcPr>
            <w:tcW w:w="2552" w:type="dxa"/>
            <w:tcBorders>
              <w:top w:val="nil"/>
              <w:left w:val="nil"/>
              <w:bottom w:val="nil"/>
              <w:right w:val="nil"/>
            </w:tcBorders>
            <w:shd w:val="clear" w:color="auto" w:fill="auto"/>
            <w:noWrap/>
            <w:vAlign w:val="center"/>
            <w:hideMark/>
          </w:tcPr>
          <w:p w14:paraId="34CBB01F" w14:textId="77777777" w:rsidR="003C4C14" w:rsidRPr="00C62E5C" w:rsidRDefault="003C4C14" w:rsidP="003C4C14">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Gains</w:t>
            </w:r>
          </w:p>
        </w:tc>
        <w:tc>
          <w:tcPr>
            <w:tcW w:w="1047" w:type="dxa"/>
            <w:tcBorders>
              <w:top w:val="nil"/>
              <w:left w:val="nil"/>
              <w:bottom w:val="nil"/>
              <w:right w:val="nil"/>
            </w:tcBorders>
            <w:shd w:val="clear" w:color="auto" w:fill="auto"/>
            <w:noWrap/>
            <w:vAlign w:val="bottom"/>
            <w:hideMark/>
          </w:tcPr>
          <w:p w14:paraId="053065AA" w14:textId="77777777" w:rsidR="003C4C14" w:rsidRPr="00C62E5C" w:rsidRDefault="003C4C14" w:rsidP="003C4C14">
            <w:pPr>
              <w:spacing w:after="0" w:line="240" w:lineRule="auto"/>
              <w:ind w:firstLineChars="100" w:firstLine="16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2CB8DA6A" w14:textId="2D56F1B3"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4A9FDC10" w14:textId="77777777" w:rsidR="003C4C14" w:rsidRPr="00C62E5C" w:rsidRDefault="003C4C14" w:rsidP="003C4C14">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71CA3D8F" w14:textId="77777777" w:rsidR="003C4C14" w:rsidRPr="00C62E5C" w:rsidRDefault="003C4C14" w:rsidP="003C4C14">
            <w:pPr>
              <w:spacing w:after="0" w:line="240" w:lineRule="auto"/>
              <w:jc w:val="right"/>
              <w:rPr>
                <w:rFonts w:ascii="Times New Roman" w:hAnsi="Times New Roman"/>
              </w:rPr>
            </w:pPr>
          </w:p>
        </w:tc>
        <w:tc>
          <w:tcPr>
            <w:tcW w:w="1093" w:type="dxa"/>
            <w:tcBorders>
              <w:top w:val="nil"/>
              <w:left w:val="nil"/>
              <w:bottom w:val="nil"/>
              <w:right w:val="nil"/>
            </w:tcBorders>
            <w:shd w:val="clear" w:color="auto" w:fill="auto"/>
            <w:noWrap/>
            <w:vAlign w:val="bottom"/>
            <w:hideMark/>
          </w:tcPr>
          <w:p w14:paraId="76A8786E" w14:textId="77777777" w:rsidR="003C4C14" w:rsidRPr="00C62E5C" w:rsidRDefault="003C4C14" w:rsidP="003C4C14">
            <w:pPr>
              <w:spacing w:after="0" w:line="240" w:lineRule="auto"/>
              <w:jc w:val="right"/>
              <w:rPr>
                <w:rFonts w:ascii="Times New Roman" w:hAnsi="Times New Roman"/>
              </w:rPr>
            </w:pPr>
          </w:p>
        </w:tc>
      </w:tr>
      <w:tr w:rsidR="003C4C14" w:rsidRPr="00C62E5C" w14:paraId="57D2701F" w14:textId="77777777" w:rsidTr="00852545">
        <w:trPr>
          <w:trHeight w:val="204"/>
        </w:trPr>
        <w:tc>
          <w:tcPr>
            <w:tcW w:w="2552" w:type="dxa"/>
            <w:tcBorders>
              <w:top w:val="nil"/>
              <w:left w:val="nil"/>
              <w:bottom w:val="nil"/>
              <w:right w:val="nil"/>
            </w:tcBorders>
            <w:shd w:val="clear" w:color="auto" w:fill="auto"/>
            <w:noWrap/>
            <w:vAlign w:val="center"/>
            <w:hideMark/>
          </w:tcPr>
          <w:p w14:paraId="64214E44" w14:textId="77777777" w:rsidR="003C4C14" w:rsidRPr="00C62E5C" w:rsidRDefault="003C4C14" w:rsidP="003C4C14">
            <w:pPr>
              <w:spacing w:after="0" w:line="240" w:lineRule="auto"/>
              <w:ind w:left="113"/>
              <w:jc w:val="left"/>
              <w:rPr>
                <w:rFonts w:ascii="Arial" w:hAnsi="Arial" w:cs="Arial"/>
                <w:color w:val="000000"/>
                <w:sz w:val="16"/>
                <w:szCs w:val="16"/>
              </w:rPr>
            </w:pPr>
            <w:r w:rsidRPr="00C62E5C">
              <w:rPr>
                <w:rFonts w:ascii="Arial" w:hAnsi="Arial" w:cs="Arial"/>
                <w:color w:val="000000"/>
                <w:sz w:val="16"/>
                <w:szCs w:val="16"/>
              </w:rPr>
              <w:t>Other gains</w:t>
            </w:r>
          </w:p>
        </w:tc>
        <w:tc>
          <w:tcPr>
            <w:tcW w:w="1047" w:type="dxa"/>
            <w:tcBorders>
              <w:top w:val="nil"/>
              <w:left w:val="nil"/>
              <w:bottom w:val="nil"/>
              <w:right w:val="nil"/>
            </w:tcBorders>
            <w:shd w:val="clear" w:color="auto" w:fill="auto"/>
            <w:noWrap/>
            <w:vAlign w:val="bottom"/>
            <w:hideMark/>
          </w:tcPr>
          <w:p w14:paraId="6CC47DFD" w14:textId="7B831D2A"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5,998</w:t>
            </w:r>
          </w:p>
        </w:tc>
        <w:tc>
          <w:tcPr>
            <w:tcW w:w="1035" w:type="dxa"/>
            <w:tcBorders>
              <w:top w:val="nil"/>
              <w:left w:val="nil"/>
              <w:bottom w:val="nil"/>
              <w:right w:val="nil"/>
            </w:tcBorders>
            <w:shd w:val="clear" w:color="000000" w:fill="E6E6E6"/>
            <w:noWrap/>
            <w:vAlign w:val="bottom"/>
            <w:hideMark/>
          </w:tcPr>
          <w:p w14:paraId="49223358" w14:textId="7002DCD9"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35" w:type="dxa"/>
            <w:tcBorders>
              <w:top w:val="nil"/>
              <w:left w:val="nil"/>
              <w:bottom w:val="nil"/>
              <w:right w:val="nil"/>
            </w:tcBorders>
            <w:shd w:val="clear" w:color="auto" w:fill="auto"/>
            <w:noWrap/>
            <w:vAlign w:val="bottom"/>
            <w:hideMark/>
          </w:tcPr>
          <w:p w14:paraId="4018881E" w14:textId="38DF7621"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35" w:type="dxa"/>
            <w:tcBorders>
              <w:top w:val="nil"/>
              <w:left w:val="nil"/>
              <w:bottom w:val="nil"/>
              <w:right w:val="nil"/>
            </w:tcBorders>
            <w:shd w:val="clear" w:color="auto" w:fill="auto"/>
            <w:noWrap/>
            <w:vAlign w:val="bottom"/>
            <w:hideMark/>
          </w:tcPr>
          <w:p w14:paraId="082AB5E0" w14:textId="6FC3AF38"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93" w:type="dxa"/>
            <w:tcBorders>
              <w:top w:val="nil"/>
              <w:left w:val="nil"/>
              <w:bottom w:val="nil"/>
              <w:right w:val="nil"/>
            </w:tcBorders>
            <w:shd w:val="clear" w:color="auto" w:fill="auto"/>
            <w:noWrap/>
            <w:vAlign w:val="bottom"/>
            <w:hideMark/>
          </w:tcPr>
          <w:p w14:paraId="69901715" w14:textId="4125F260" w:rsidR="003C4C14" w:rsidRPr="00C62E5C" w:rsidRDefault="003C4C14" w:rsidP="003C4C14">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3C4C14" w:rsidRPr="00C62E5C" w14:paraId="2C1B283B" w14:textId="77777777" w:rsidTr="00852545">
        <w:trPr>
          <w:trHeight w:val="204"/>
        </w:trPr>
        <w:tc>
          <w:tcPr>
            <w:tcW w:w="2552" w:type="dxa"/>
            <w:tcBorders>
              <w:top w:val="nil"/>
              <w:left w:val="nil"/>
              <w:bottom w:val="nil"/>
              <w:right w:val="nil"/>
            </w:tcBorders>
            <w:shd w:val="clear" w:color="auto" w:fill="auto"/>
            <w:vAlign w:val="center"/>
            <w:hideMark/>
          </w:tcPr>
          <w:p w14:paraId="3F2439E4" w14:textId="1F64492E" w:rsidR="003C4C14" w:rsidRPr="00C62E5C" w:rsidRDefault="003C4C14" w:rsidP="003C4C14">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Total gains administered on</w:t>
            </w:r>
            <w:r>
              <w:rPr>
                <w:rFonts w:ascii="Arial" w:hAnsi="Arial" w:cs="Arial"/>
                <w:b/>
                <w:bCs/>
                <w:color w:val="000000"/>
                <w:sz w:val="16"/>
                <w:szCs w:val="16"/>
              </w:rPr>
              <w:t xml:space="preserve"> </w:t>
            </w:r>
            <w:r w:rsidRPr="00C62E5C">
              <w:rPr>
                <w:rFonts w:ascii="Arial" w:hAnsi="Arial" w:cs="Arial"/>
                <w:b/>
                <w:bCs/>
                <w:color w:val="000000"/>
                <w:sz w:val="16"/>
                <w:szCs w:val="16"/>
              </w:rPr>
              <w:t>behalf of Government</w:t>
            </w:r>
          </w:p>
        </w:tc>
        <w:tc>
          <w:tcPr>
            <w:tcW w:w="1047" w:type="dxa"/>
            <w:tcBorders>
              <w:top w:val="single" w:sz="4" w:space="0" w:color="auto"/>
              <w:left w:val="nil"/>
              <w:bottom w:val="single" w:sz="4" w:space="0" w:color="auto"/>
              <w:right w:val="nil"/>
            </w:tcBorders>
            <w:shd w:val="clear" w:color="auto" w:fill="auto"/>
            <w:noWrap/>
            <w:vAlign w:val="bottom"/>
            <w:hideMark/>
          </w:tcPr>
          <w:p w14:paraId="6BCDB77E" w14:textId="67D0309A"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5,998</w:t>
            </w:r>
          </w:p>
        </w:tc>
        <w:tc>
          <w:tcPr>
            <w:tcW w:w="1035" w:type="dxa"/>
            <w:tcBorders>
              <w:top w:val="single" w:sz="4" w:space="0" w:color="auto"/>
              <w:left w:val="nil"/>
              <w:bottom w:val="single" w:sz="4" w:space="0" w:color="auto"/>
              <w:right w:val="nil"/>
            </w:tcBorders>
            <w:shd w:val="clear" w:color="000000" w:fill="E6E6E6"/>
            <w:noWrap/>
            <w:vAlign w:val="bottom"/>
            <w:hideMark/>
          </w:tcPr>
          <w:p w14:paraId="4E054A8B" w14:textId="38E57B15"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35" w:type="dxa"/>
            <w:tcBorders>
              <w:top w:val="single" w:sz="4" w:space="0" w:color="auto"/>
              <w:left w:val="nil"/>
              <w:bottom w:val="single" w:sz="4" w:space="0" w:color="auto"/>
              <w:right w:val="nil"/>
            </w:tcBorders>
            <w:shd w:val="clear" w:color="auto" w:fill="auto"/>
            <w:noWrap/>
            <w:vAlign w:val="bottom"/>
            <w:hideMark/>
          </w:tcPr>
          <w:p w14:paraId="3C099462" w14:textId="56AFA720"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35" w:type="dxa"/>
            <w:tcBorders>
              <w:top w:val="single" w:sz="4" w:space="0" w:color="auto"/>
              <w:left w:val="nil"/>
              <w:bottom w:val="single" w:sz="4" w:space="0" w:color="auto"/>
              <w:right w:val="nil"/>
            </w:tcBorders>
            <w:shd w:val="clear" w:color="auto" w:fill="auto"/>
            <w:noWrap/>
            <w:vAlign w:val="bottom"/>
            <w:hideMark/>
          </w:tcPr>
          <w:p w14:paraId="568E3DEE" w14:textId="2BAB4FF1"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93" w:type="dxa"/>
            <w:tcBorders>
              <w:top w:val="single" w:sz="4" w:space="0" w:color="auto"/>
              <w:left w:val="nil"/>
              <w:bottom w:val="single" w:sz="4" w:space="0" w:color="auto"/>
              <w:right w:val="nil"/>
            </w:tcBorders>
            <w:shd w:val="clear" w:color="auto" w:fill="auto"/>
            <w:noWrap/>
            <w:vAlign w:val="bottom"/>
            <w:hideMark/>
          </w:tcPr>
          <w:p w14:paraId="29EAB47F" w14:textId="662697CE"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3C4C14" w:rsidRPr="00C62E5C" w14:paraId="0275F1FC" w14:textId="77777777" w:rsidTr="00852545">
        <w:trPr>
          <w:trHeight w:val="204"/>
        </w:trPr>
        <w:tc>
          <w:tcPr>
            <w:tcW w:w="2552" w:type="dxa"/>
            <w:tcBorders>
              <w:top w:val="nil"/>
              <w:left w:val="nil"/>
              <w:bottom w:val="nil"/>
              <w:right w:val="nil"/>
            </w:tcBorders>
            <w:shd w:val="clear" w:color="auto" w:fill="auto"/>
            <w:vAlign w:val="center"/>
            <w:hideMark/>
          </w:tcPr>
          <w:p w14:paraId="28E32CD6" w14:textId="59EA88C3" w:rsidR="003C4C14" w:rsidRPr="00C62E5C" w:rsidRDefault="003C4C14" w:rsidP="003C4C14">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Total own-sourced income</w:t>
            </w:r>
            <w:r>
              <w:rPr>
                <w:rFonts w:ascii="Arial" w:hAnsi="Arial" w:cs="Arial"/>
                <w:b/>
                <w:bCs/>
                <w:color w:val="000000"/>
                <w:sz w:val="16"/>
                <w:szCs w:val="16"/>
              </w:rPr>
              <w:t xml:space="preserve"> </w:t>
            </w:r>
            <w:r w:rsidRPr="00C62E5C">
              <w:rPr>
                <w:rFonts w:ascii="Arial" w:hAnsi="Arial" w:cs="Arial"/>
                <w:b/>
                <w:bCs/>
                <w:color w:val="000000"/>
                <w:sz w:val="16"/>
                <w:szCs w:val="16"/>
              </w:rPr>
              <w:t>administered on behalf of</w:t>
            </w:r>
            <w:r>
              <w:rPr>
                <w:rFonts w:ascii="Arial" w:hAnsi="Arial" w:cs="Arial"/>
                <w:b/>
                <w:bCs/>
                <w:color w:val="000000"/>
                <w:sz w:val="16"/>
                <w:szCs w:val="16"/>
              </w:rPr>
              <w:t xml:space="preserve"> </w:t>
            </w:r>
            <w:r w:rsidRPr="00C62E5C">
              <w:rPr>
                <w:rFonts w:ascii="Arial" w:hAnsi="Arial" w:cs="Arial"/>
                <w:b/>
                <w:bCs/>
                <w:color w:val="000000"/>
                <w:sz w:val="16"/>
                <w:szCs w:val="16"/>
              </w:rPr>
              <w:t>Government</w:t>
            </w:r>
          </w:p>
        </w:tc>
        <w:tc>
          <w:tcPr>
            <w:tcW w:w="1047" w:type="dxa"/>
            <w:tcBorders>
              <w:top w:val="nil"/>
              <w:left w:val="nil"/>
              <w:bottom w:val="single" w:sz="4" w:space="0" w:color="auto"/>
              <w:right w:val="nil"/>
            </w:tcBorders>
            <w:shd w:val="clear" w:color="auto" w:fill="auto"/>
            <w:noWrap/>
            <w:vAlign w:val="bottom"/>
            <w:hideMark/>
          </w:tcPr>
          <w:p w14:paraId="2E3BD992" w14:textId="719AB012"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1,218,477</w:t>
            </w:r>
          </w:p>
        </w:tc>
        <w:tc>
          <w:tcPr>
            <w:tcW w:w="1035" w:type="dxa"/>
            <w:tcBorders>
              <w:top w:val="nil"/>
              <w:left w:val="nil"/>
              <w:bottom w:val="single" w:sz="4" w:space="0" w:color="auto"/>
              <w:right w:val="nil"/>
            </w:tcBorders>
            <w:shd w:val="clear" w:color="000000" w:fill="E6E6E6"/>
            <w:noWrap/>
            <w:vAlign w:val="bottom"/>
            <w:hideMark/>
          </w:tcPr>
          <w:p w14:paraId="491688FC" w14:textId="56619481"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810,457</w:t>
            </w:r>
          </w:p>
        </w:tc>
        <w:tc>
          <w:tcPr>
            <w:tcW w:w="1035" w:type="dxa"/>
            <w:tcBorders>
              <w:top w:val="nil"/>
              <w:left w:val="nil"/>
              <w:bottom w:val="single" w:sz="4" w:space="0" w:color="auto"/>
              <w:right w:val="nil"/>
            </w:tcBorders>
            <w:shd w:val="clear" w:color="auto" w:fill="auto"/>
            <w:noWrap/>
            <w:vAlign w:val="bottom"/>
            <w:hideMark/>
          </w:tcPr>
          <w:p w14:paraId="00920850" w14:textId="788AFD57"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797,348</w:t>
            </w:r>
          </w:p>
        </w:tc>
        <w:tc>
          <w:tcPr>
            <w:tcW w:w="1035" w:type="dxa"/>
            <w:tcBorders>
              <w:top w:val="nil"/>
              <w:left w:val="nil"/>
              <w:bottom w:val="single" w:sz="4" w:space="0" w:color="auto"/>
              <w:right w:val="nil"/>
            </w:tcBorders>
            <w:shd w:val="clear" w:color="auto" w:fill="auto"/>
            <w:noWrap/>
            <w:vAlign w:val="bottom"/>
            <w:hideMark/>
          </w:tcPr>
          <w:p w14:paraId="7D559397" w14:textId="0725E2B4"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906,507</w:t>
            </w:r>
          </w:p>
        </w:tc>
        <w:tc>
          <w:tcPr>
            <w:tcW w:w="1093" w:type="dxa"/>
            <w:tcBorders>
              <w:top w:val="nil"/>
              <w:left w:val="nil"/>
              <w:bottom w:val="single" w:sz="4" w:space="0" w:color="auto"/>
              <w:right w:val="nil"/>
            </w:tcBorders>
            <w:shd w:val="clear" w:color="auto" w:fill="auto"/>
            <w:noWrap/>
            <w:vAlign w:val="bottom"/>
            <w:hideMark/>
          </w:tcPr>
          <w:p w14:paraId="570C0057" w14:textId="5376BCAD"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708,379</w:t>
            </w:r>
          </w:p>
        </w:tc>
      </w:tr>
      <w:tr w:rsidR="003C4C14" w:rsidRPr="00C62E5C" w14:paraId="5589D87E" w14:textId="77777777" w:rsidTr="00852545">
        <w:trPr>
          <w:trHeight w:val="204"/>
        </w:trPr>
        <w:tc>
          <w:tcPr>
            <w:tcW w:w="2552" w:type="dxa"/>
            <w:tcBorders>
              <w:top w:val="nil"/>
              <w:left w:val="nil"/>
              <w:bottom w:val="nil"/>
              <w:right w:val="nil"/>
            </w:tcBorders>
            <w:shd w:val="clear" w:color="auto" w:fill="auto"/>
            <w:vAlign w:val="center"/>
            <w:hideMark/>
          </w:tcPr>
          <w:p w14:paraId="01D10500" w14:textId="0D62E888" w:rsidR="003C4C14" w:rsidRPr="00C62E5C" w:rsidRDefault="003C4C14" w:rsidP="003C4C14">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Net (cost of)/contribution by</w:t>
            </w:r>
            <w:r>
              <w:rPr>
                <w:rFonts w:ascii="Arial" w:hAnsi="Arial" w:cs="Arial"/>
                <w:b/>
                <w:bCs/>
                <w:color w:val="000000"/>
                <w:sz w:val="16"/>
                <w:szCs w:val="16"/>
              </w:rPr>
              <w:t xml:space="preserve"> </w:t>
            </w:r>
            <w:r w:rsidRPr="00C62E5C">
              <w:rPr>
                <w:rFonts w:ascii="Arial" w:hAnsi="Arial" w:cs="Arial"/>
                <w:b/>
                <w:bCs/>
                <w:color w:val="000000"/>
                <w:sz w:val="16"/>
                <w:szCs w:val="16"/>
              </w:rPr>
              <w:t>services</w:t>
            </w:r>
          </w:p>
        </w:tc>
        <w:tc>
          <w:tcPr>
            <w:tcW w:w="1047" w:type="dxa"/>
            <w:tcBorders>
              <w:top w:val="nil"/>
              <w:left w:val="nil"/>
              <w:bottom w:val="single" w:sz="4" w:space="0" w:color="auto"/>
              <w:right w:val="nil"/>
            </w:tcBorders>
            <w:shd w:val="clear" w:color="auto" w:fill="auto"/>
            <w:noWrap/>
            <w:vAlign w:val="bottom"/>
            <w:hideMark/>
          </w:tcPr>
          <w:p w14:paraId="4AB98A2C" w14:textId="3C276DC8"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(9,612,218)</w:t>
            </w:r>
          </w:p>
        </w:tc>
        <w:tc>
          <w:tcPr>
            <w:tcW w:w="1035" w:type="dxa"/>
            <w:tcBorders>
              <w:top w:val="nil"/>
              <w:left w:val="nil"/>
              <w:bottom w:val="single" w:sz="4" w:space="0" w:color="auto"/>
              <w:right w:val="nil"/>
            </w:tcBorders>
            <w:shd w:val="clear" w:color="000000" w:fill="E6E6E6"/>
            <w:noWrap/>
            <w:vAlign w:val="bottom"/>
            <w:hideMark/>
          </w:tcPr>
          <w:p w14:paraId="4AF69B29" w14:textId="00362292"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(9,285,087)</w:t>
            </w:r>
          </w:p>
        </w:tc>
        <w:tc>
          <w:tcPr>
            <w:tcW w:w="1035" w:type="dxa"/>
            <w:tcBorders>
              <w:top w:val="nil"/>
              <w:left w:val="nil"/>
              <w:bottom w:val="single" w:sz="4" w:space="0" w:color="auto"/>
              <w:right w:val="nil"/>
            </w:tcBorders>
            <w:shd w:val="clear" w:color="auto" w:fill="auto"/>
            <w:noWrap/>
            <w:vAlign w:val="bottom"/>
            <w:hideMark/>
          </w:tcPr>
          <w:p w14:paraId="71AB5CA4" w14:textId="15746FF6"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(9,331,502)</w:t>
            </w:r>
          </w:p>
        </w:tc>
        <w:tc>
          <w:tcPr>
            <w:tcW w:w="1035" w:type="dxa"/>
            <w:tcBorders>
              <w:top w:val="nil"/>
              <w:left w:val="nil"/>
              <w:bottom w:val="single" w:sz="4" w:space="0" w:color="auto"/>
              <w:right w:val="nil"/>
            </w:tcBorders>
            <w:shd w:val="clear" w:color="auto" w:fill="auto"/>
            <w:noWrap/>
            <w:vAlign w:val="bottom"/>
            <w:hideMark/>
          </w:tcPr>
          <w:p w14:paraId="560DFD3B" w14:textId="782E98A7"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(7,867,601)</w:t>
            </w:r>
          </w:p>
        </w:tc>
        <w:tc>
          <w:tcPr>
            <w:tcW w:w="1093" w:type="dxa"/>
            <w:tcBorders>
              <w:top w:val="nil"/>
              <w:left w:val="nil"/>
              <w:bottom w:val="single" w:sz="4" w:space="0" w:color="auto"/>
              <w:right w:val="nil"/>
            </w:tcBorders>
            <w:shd w:val="clear" w:color="auto" w:fill="auto"/>
            <w:noWrap/>
            <w:vAlign w:val="bottom"/>
            <w:hideMark/>
          </w:tcPr>
          <w:p w14:paraId="71B8B1CC" w14:textId="4770859B"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(7,555,555)</w:t>
            </w:r>
          </w:p>
        </w:tc>
      </w:tr>
      <w:tr w:rsidR="003C4C14" w:rsidRPr="00C62E5C" w14:paraId="3396B6F8" w14:textId="77777777" w:rsidTr="00852545">
        <w:trPr>
          <w:trHeight w:val="204"/>
        </w:trPr>
        <w:tc>
          <w:tcPr>
            <w:tcW w:w="2552" w:type="dxa"/>
            <w:tcBorders>
              <w:top w:val="nil"/>
              <w:left w:val="nil"/>
              <w:bottom w:val="nil"/>
              <w:right w:val="nil"/>
            </w:tcBorders>
            <w:shd w:val="clear" w:color="auto" w:fill="auto"/>
            <w:noWrap/>
            <w:vAlign w:val="center"/>
            <w:hideMark/>
          </w:tcPr>
          <w:p w14:paraId="24433D81" w14:textId="77777777" w:rsidR="003C4C14" w:rsidRPr="00C62E5C" w:rsidRDefault="003C4C14" w:rsidP="003C4C14">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 xml:space="preserve">Surplus/(deficit) </w:t>
            </w:r>
          </w:p>
        </w:tc>
        <w:tc>
          <w:tcPr>
            <w:tcW w:w="1047" w:type="dxa"/>
            <w:tcBorders>
              <w:top w:val="nil"/>
              <w:left w:val="nil"/>
              <w:bottom w:val="single" w:sz="4" w:space="0" w:color="auto"/>
              <w:right w:val="nil"/>
            </w:tcBorders>
            <w:shd w:val="clear" w:color="auto" w:fill="auto"/>
            <w:noWrap/>
            <w:vAlign w:val="bottom"/>
            <w:hideMark/>
          </w:tcPr>
          <w:p w14:paraId="429B4EA3" w14:textId="34003363"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(9,612,218)</w:t>
            </w:r>
          </w:p>
        </w:tc>
        <w:tc>
          <w:tcPr>
            <w:tcW w:w="1035" w:type="dxa"/>
            <w:tcBorders>
              <w:top w:val="nil"/>
              <w:left w:val="nil"/>
              <w:bottom w:val="single" w:sz="4" w:space="0" w:color="auto"/>
              <w:right w:val="nil"/>
            </w:tcBorders>
            <w:shd w:val="clear" w:color="000000" w:fill="E6E6E6"/>
            <w:noWrap/>
            <w:vAlign w:val="bottom"/>
            <w:hideMark/>
          </w:tcPr>
          <w:p w14:paraId="5B2495B6" w14:textId="151204E2"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(9,285,087)</w:t>
            </w:r>
          </w:p>
        </w:tc>
        <w:tc>
          <w:tcPr>
            <w:tcW w:w="1035" w:type="dxa"/>
            <w:tcBorders>
              <w:top w:val="nil"/>
              <w:left w:val="nil"/>
              <w:bottom w:val="single" w:sz="4" w:space="0" w:color="auto"/>
              <w:right w:val="nil"/>
            </w:tcBorders>
            <w:shd w:val="clear" w:color="auto" w:fill="auto"/>
            <w:noWrap/>
            <w:vAlign w:val="bottom"/>
            <w:hideMark/>
          </w:tcPr>
          <w:p w14:paraId="2590406F" w14:textId="3BF70A8C"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(9,331,502)</w:t>
            </w:r>
          </w:p>
        </w:tc>
        <w:tc>
          <w:tcPr>
            <w:tcW w:w="1035" w:type="dxa"/>
            <w:tcBorders>
              <w:top w:val="nil"/>
              <w:left w:val="nil"/>
              <w:bottom w:val="single" w:sz="4" w:space="0" w:color="auto"/>
              <w:right w:val="nil"/>
            </w:tcBorders>
            <w:shd w:val="clear" w:color="auto" w:fill="auto"/>
            <w:noWrap/>
            <w:vAlign w:val="bottom"/>
            <w:hideMark/>
          </w:tcPr>
          <w:p w14:paraId="2A04A995" w14:textId="6679A2C5"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(7,867,601)</w:t>
            </w:r>
          </w:p>
        </w:tc>
        <w:tc>
          <w:tcPr>
            <w:tcW w:w="1093" w:type="dxa"/>
            <w:tcBorders>
              <w:top w:val="nil"/>
              <w:left w:val="nil"/>
              <w:bottom w:val="single" w:sz="4" w:space="0" w:color="auto"/>
              <w:right w:val="nil"/>
            </w:tcBorders>
            <w:shd w:val="clear" w:color="auto" w:fill="auto"/>
            <w:noWrap/>
            <w:vAlign w:val="bottom"/>
            <w:hideMark/>
          </w:tcPr>
          <w:p w14:paraId="0FEA8901" w14:textId="6752B2CF" w:rsidR="003C4C14" w:rsidRPr="00C62E5C" w:rsidRDefault="003C4C14" w:rsidP="003C4C14">
            <w:pPr>
              <w:spacing w:after="0" w:line="240" w:lineRule="auto"/>
              <w:jc w:val="right"/>
              <w:rPr>
                <w:rFonts w:ascii="Arial" w:hAnsi="Arial" w:cs="Arial"/>
                <w:b/>
                <w:bCs/>
                <w:color w:val="000000"/>
                <w:sz w:val="16"/>
                <w:szCs w:val="16"/>
              </w:rPr>
            </w:pPr>
            <w:r>
              <w:rPr>
                <w:rFonts w:ascii="Arial" w:hAnsi="Arial" w:cs="Arial"/>
                <w:b/>
                <w:bCs/>
                <w:color w:val="000000"/>
                <w:sz w:val="16"/>
                <w:szCs w:val="16"/>
              </w:rPr>
              <w:t>(7,555,555)</w:t>
            </w:r>
          </w:p>
        </w:tc>
      </w:tr>
      <w:tr w:rsidR="00C62E5C" w:rsidRPr="00C62E5C" w14:paraId="1CF0C0C3" w14:textId="77777777" w:rsidTr="00852545">
        <w:trPr>
          <w:trHeight w:val="204"/>
        </w:trPr>
        <w:tc>
          <w:tcPr>
            <w:tcW w:w="3599" w:type="dxa"/>
            <w:gridSpan w:val="2"/>
            <w:tcBorders>
              <w:top w:val="nil"/>
              <w:left w:val="nil"/>
              <w:bottom w:val="nil"/>
              <w:right w:val="nil"/>
            </w:tcBorders>
            <w:shd w:val="clear" w:color="auto" w:fill="auto"/>
            <w:noWrap/>
            <w:vAlign w:val="bottom"/>
            <w:hideMark/>
          </w:tcPr>
          <w:p w14:paraId="37F60623" w14:textId="77777777" w:rsidR="00C62E5C" w:rsidRPr="00C62E5C" w:rsidRDefault="00C62E5C" w:rsidP="00C62E5C">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OTHER COMPREHENSIVE INCOME</w:t>
            </w:r>
          </w:p>
        </w:tc>
        <w:tc>
          <w:tcPr>
            <w:tcW w:w="1035" w:type="dxa"/>
            <w:tcBorders>
              <w:top w:val="nil"/>
              <w:left w:val="nil"/>
              <w:bottom w:val="nil"/>
              <w:right w:val="nil"/>
            </w:tcBorders>
            <w:shd w:val="clear" w:color="000000" w:fill="E6E6E6"/>
            <w:noWrap/>
            <w:vAlign w:val="bottom"/>
            <w:hideMark/>
          </w:tcPr>
          <w:p w14:paraId="74562F79" w14:textId="075C1D59" w:rsidR="00C62E5C" w:rsidRPr="00C62E5C" w:rsidRDefault="00C62E5C" w:rsidP="00C62E5C">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29682F18" w14:textId="77777777" w:rsidR="00C62E5C" w:rsidRPr="00C62E5C" w:rsidRDefault="00C62E5C" w:rsidP="00C62E5C">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1CE36232" w14:textId="77777777" w:rsidR="00C62E5C" w:rsidRPr="00C62E5C" w:rsidRDefault="00C62E5C" w:rsidP="00C62E5C">
            <w:pPr>
              <w:spacing w:after="0" w:line="240" w:lineRule="auto"/>
              <w:jc w:val="right"/>
              <w:rPr>
                <w:rFonts w:ascii="Times New Roman" w:hAnsi="Times New Roman"/>
              </w:rPr>
            </w:pPr>
          </w:p>
        </w:tc>
        <w:tc>
          <w:tcPr>
            <w:tcW w:w="1093" w:type="dxa"/>
            <w:tcBorders>
              <w:top w:val="nil"/>
              <w:left w:val="nil"/>
              <w:bottom w:val="nil"/>
              <w:right w:val="nil"/>
            </w:tcBorders>
            <w:shd w:val="clear" w:color="auto" w:fill="auto"/>
            <w:noWrap/>
            <w:vAlign w:val="bottom"/>
            <w:hideMark/>
          </w:tcPr>
          <w:p w14:paraId="5A3ACDA9" w14:textId="77777777" w:rsidR="00C62E5C" w:rsidRPr="00C62E5C" w:rsidRDefault="00C62E5C" w:rsidP="00C62E5C">
            <w:pPr>
              <w:spacing w:after="0" w:line="240" w:lineRule="auto"/>
              <w:jc w:val="right"/>
              <w:rPr>
                <w:rFonts w:ascii="Times New Roman" w:hAnsi="Times New Roman"/>
              </w:rPr>
            </w:pPr>
          </w:p>
        </w:tc>
      </w:tr>
      <w:tr w:rsidR="00C62E5C" w:rsidRPr="00C62E5C" w14:paraId="02A7731C" w14:textId="77777777" w:rsidTr="00852545">
        <w:trPr>
          <w:trHeight w:val="204"/>
        </w:trPr>
        <w:tc>
          <w:tcPr>
            <w:tcW w:w="2552" w:type="dxa"/>
            <w:tcBorders>
              <w:top w:val="nil"/>
              <w:left w:val="nil"/>
              <w:bottom w:val="nil"/>
              <w:right w:val="nil"/>
            </w:tcBorders>
            <w:shd w:val="clear" w:color="auto" w:fill="auto"/>
            <w:vAlign w:val="center"/>
            <w:hideMark/>
          </w:tcPr>
          <w:p w14:paraId="5B1FAFB0" w14:textId="59038030" w:rsidR="00C62E5C" w:rsidRPr="00C62E5C" w:rsidRDefault="00C62E5C" w:rsidP="00C62E5C">
            <w:pPr>
              <w:spacing w:after="0" w:line="240" w:lineRule="auto"/>
              <w:ind w:left="113"/>
              <w:jc w:val="left"/>
              <w:rPr>
                <w:rFonts w:ascii="Arial" w:hAnsi="Arial" w:cs="Arial"/>
                <w:b/>
                <w:bCs/>
                <w:color w:val="000000"/>
                <w:sz w:val="16"/>
                <w:szCs w:val="16"/>
              </w:rPr>
            </w:pPr>
            <w:r w:rsidRPr="00C62E5C">
              <w:rPr>
                <w:rFonts w:ascii="Arial" w:hAnsi="Arial" w:cs="Arial"/>
                <w:b/>
                <w:bCs/>
                <w:color w:val="000000"/>
                <w:sz w:val="16"/>
                <w:szCs w:val="16"/>
              </w:rPr>
              <w:t>Items not subject of subsequent</w:t>
            </w:r>
            <w:r>
              <w:rPr>
                <w:rFonts w:ascii="Arial" w:hAnsi="Arial" w:cs="Arial"/>
                <w:b/>
                <w:bCs/>
                <w:color w:val="000000"/>
                <w:sz w:val="16"/>
                <w:szCs w:val="16"/>
              </w:rPr>
              <w:t xml:space="preserve"> </w:t>
            </w:r>
            <w:r w:rsidRPr="00C62E5C">
              <w:rPr>
                <w:rFonts w:ascii="Arial" w:hAnsi="Arial" w:cs="Arial"/>
                <w:b/>
                <w:bCs/>
                <w:color w:val="000000"/>
                <w:sz w:val="16"/>
                <w:szCs w:val="16"/>
              </w:rPr>
              <w:t>reclassification to net cost of</w:t>
            </w:r>
            <w:r>
              <w:rPr>
                <w:rFonts w:ascii="Arial" w:hAnsi="Arial" w:cs="Arial"/>
                <w:b/>
                <w:bCs/>
                <w:color w:val="000000"/>
                <w:sz w:val="16"/>
                <w:szCs w:val="16"/>
              </w:rPr>
              <w:t xml:space="preserve"> </w:t>
            </w:r>
            <w:r w:rsidRPr="00C62E5C">
              <w:rPr>
                <w:rFonts w:ascii="Arial" w:hAnsi="Arial" w:cs="Arial"/>
                <w:b/>
                <w:bCs/>
                <w:color w:val="000000"/>
                <w:sz w:val="16"/>
                <w:szCs w:val="16"/>
              </w:rPr>
              <w:t>services</w:t>
            </w:r>
          </w:p>
        </w:tc>
        <w:tc>
          <w:tcPr>
            <w:tcW w:w="1047" w:type="dxa"/>
            <w:tcBorders>
              <w:top w:val="nil"/>
              <w:left w:val="nil"/>
              <w:bottom w:val="nil"/>
              <w:right w:val="nil"/>
            </w:tcBorders>
            <w:shd w:val="clear" w:color="auto" w:fill="auto"/>
            <w:noWrap/>
            <w:vAlign w:val="bottom"/>
            <w:hideMark/>
          </w:tcPr>
          <w:p w14:paraId="69A3CB47" w14:textId="77777777" w:rsidR="00C62E5C" w:rsidRPr="00C62E5C" w:rsidRDefault="00C62E5C" w:rsidP="00C62E5C">
            <w:pPr>
              <w:spacing w:after="0" w:line="240" w:lineRule="auto"/>
              <w:ind w:firstLineChars="100" w:firstLine="16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4BBA428D" w14:textId="2CC12EA4" w:rsidR="00C62E5C" w:rsidRPr="00C62E5C" w:rsidRDefault="00C62E5C" w:rsidP="00C62E5C">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4397FA4F" w14:textId="77777777" w:rsidR="00C62E5C" w:rsidRPr="00C62E5C" w:rsidRDefault="00C62E5C" w:rsidP="00C62E5C">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386A6F6F" w14:textId="77777777" w:rsidR="00C62E5C" w:rsidRPr="00C62E5C" w:rsidRDefault="00C62E5C" w:rsidP="00C62E5C">
            <w:pPr>
              <w:spacing w:after="0" w:line="240" w:lineRule="auto"/>
              <w:jc w:val="right"/>
              <w:rPr>
                <w:rFonts w:ascii="Times New Roman" w:hAnsi="Times New Roman"/>
              </w:rPr>
            </w:pPr>
          </w:p>
        </w:tc>
        <w:tc>
          <w:tcPr>
            <w:tcW w:w="1093" w:type="dxa"/>
            <w:tcBorders>
              <w:top w:val="nil"/>
              <w:left w:val="nil"/>
              <w:bottom w:val="nil"/>
              <w:right w:val="nil"/>
            </w:tcBorders>
            <w:shd w:val="clear" w:color="auto" w:fill="auto"/>
            <w:noWrap/>
            <w:vAlign w:val="bottom"/>
            <w:hideMark/>
          </w:tcPr>
          <w:p w14:paraId="6641BAC8" w14:textId="77777777" w:rsidR="00C62E5C" w:rsidRPr="00C62E5C" w:rsidRDefault="00C62E5C" w:rsidP="00C62E5C">
            <w:pPr>
              <w:spacing w:after="0" w:line="240" w:lineRule="auto"/>
              <w:jc w:val="right"/>
              <w:rPr>
                <w:rFonts w:ascii="Times New Roman" w:hAnsi="Times New Roman"/>
              </w:rPr>
            </w:pPr>
          </w:p>
        </w:tc>
      </w:tr>
      <w:tr w:rsidR="007A180C" w:rsidRPr="00C62E5C" w14:paraId="68380C71" w14:textId="77777777" w:rsidTr="00852545">
        <w:trPr>
          <w:trHeight w:val="204"/>
        </w:trPr>
        <w:tc>
          <w:tcPr>
            <w:tcW w:w="2552" w:type="dxa"/>
            <w:tcBorders>
              <w:top w:val="nil"/>
              <w:left w:val="nil"/>
              <w:bottom w:val="nil"/>
              <w:right w:val="nil"/>
            </w:tcBorders>
            <w:shd w:val="clear" w:color="auto" w:fill="auto"/>
            <w:vAlign w:val="center"/>
            <w:hideMark/>
          </w:tcPr>
          <w:p w14:paraId="6CF7B496" w14:textId="2B29E9A0" w:rsidR="007A180C" w:rsidRPr="00C62E5C" w:rsidRDefault="007A180C" w:rsidP="007A180C">
            <w:pPr>
              <w:spacing w:after="0" w:line="240" w:lineRule="auto"/>
              <w:ind w:left="227"/>
              <w:jc w:val="left"/>
              <w:rPr>
                <w:rFonts w:ascii="Arial" w:hAnsi="Arial" w:cs="Arial"/>
                <w:sz w:val="16"/>
                <w:szCs w:val="16"/>
              </w:rPr>
            </w:pPr>
            <w:r w:rsidRPr="00C62E5C">
              <w:rPr>
                <w:rFonts w:ascii="Arial" w:hAnsi="Arial" w:cs="Arial"/>
                <w:sz w:val="16"/>
                <w:szCs w:val="16"/>
              </w:rPr>
              <w:t>Changes in asset revaluation surplus</w:t>
            </w:r>
          </w:p>
        </w:tc>
        <w:tc>
          <w:tcPr>
            <w:tcW w:w="1047" w:type="dxa"/>
            <w:tcBorders>
              <w:top w:val="nil"/>
              <w:left w:val="nil"/>
              <w:bottom w:val="nil"/>
              <w:right w:val="nil"/>
            </w:tcBorders>
            <w:shd w:val="clear" w:color="auto" w:fill="auto"/>
            <w:noWrap/>
            <w:vAlign w:val="bottom"/>
            <w:hideMark/>
          </w:tcPr>
          <w:p w14:paraId="75D7E044" w14:textId="2AE7FA71" w:rsidR="007A180C" w:rsidRPr="00C62E5C" w:rsidRDefault="007A180C" w:rsidP="007A180C">
            <w:pPr>
              <w:spacing w:after="0" w:line="240" w:lineRule="auto"/>
              <w:jc w:val="right"/>
              <w:rPr>
                <w:rFonts w:ascii="Arial" w:hAnsi="Arial" w:cs="Arial"/>
                <w:color w:val="000000"/>
                <w:sz w:val="16"/>
                <w:szCs w:val="16"/>
              </w:rPr>
            </w:pPr>
            <w:r>
              <w:rPr>
                <w:rFonts w:ascii="Arial" w:hAnsi="Arial" w:cs="Arial"/>
                <w:color w:val="000000"/>
                <w:sz w:val="16"/>
                <w:szCs w:val="16"/>
              </w:rPr>
              <w:t>2,731,465</w:t>
            </w:r>
          </w:p>
        </w:tc>
        <w:tc>
          <w:tcPr>
            <w:tcW w:w="1035" w:type="dxa"/>
            <w:tcBorders>
              <w:top w:val="nil"/>
              <w:left w:val="nil"/>
              <w:bottom w:val="nil"/>
              <w:right w:val="nil"/>
            </w:tcBorders>
            <w:shd w:val="clear" w:color="000000" w:fill="E6E6E6"/>
            <w:noWrap/>
            <w:vAlign w:val="bottom"/>
            <w:hideMark/>
          </w:tcPr>
          <w:p w14:paraId="75C398B2" w14:textId="207F9D84" w:rsidR="007A180C" w:rsidRPr="00C62E5C" w:rsidRDefault="007A180C" w:rsidP="007A180C">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35" w:type="dxa"/>
            <w:tcBorders>
              <w:top w:val="nil"/>
              <w:left w:val="nil"/>
              <w:bottom w:val="nil"/>
              <w:right w:val="nil"/>
            </w:tcBorders>
            <w:shd w:val="clear" w:color="auto" w:fill="auto"/>
            <w:noWrap/>
            <w:vAlign w:val="bottom"/>
            <w:hideMark/>
          </w:tcPr>
          <w:p w14:paraId="6BC5D893" w14:textId="5ACA89F9" w:rsidR="007A180C" w:rsidRPr="00C62E5C" w:rsidRDefault="007A180C" w:rsidP="007A180C">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35" w:type="dxa"/>
            <w:tcBorders>
              <w:top w:val="nil"/>
              <w:left w:val="nil"/>
              <w:bottom w:val="nil"/>
              <w:right w:val="nil"/>
            </w:tcBorders>
            <w:shd w:val="clear" w:color="auto" w:fill="auto"/>
            <w:noWrap/>
            <w:vAlign w:val="bottom"/>
            <w:hideMark/>
          </w:tcPr>
          <w:p w14:paraId="20127F9B" w14:textId="271BF811" w:rsidR="007A180C" w:rsidRPr="00C62E5C" w:rsidRDefault="007A180C" w:rsidP="007A180C">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93" w:type="dxa"/>
            <w:tcBorders>
              <w:top w:val="nil"/>
              <w:left w:val="nil"/>
              <w:bottom w:val="nil"/>
              <w:right w:val="nil"/>
            </w:tcBorders>
            <w:shd w:val="clear" w:color="auto" w:fill="auto"/>
            <w:noWrap/>
            <w:vAlign w:val="bottom"/>
            <w:hideMark/>
          </w:tcPr>
          <w:p w14:paraId="00B62F0F" w14:textId="77085926" w:rsidR="007A180C" w:rsidRPr="00C62E5C" w:rsidRDefault="007A180C" w:rsidP="007A180C">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7A180C" w:rsidRPr="00C62E5C" w14:paraId="634E8DD7" w14:textId="77777777" w:rsidTr="00852545">
        <w:trPr>
          <w:trHeight w:val="204"/>
        </w:trPr>
        <w:tc>
          <w:tcPr>
            <w:tcW w:w="2552" w:type="dxa"/>
            <w:tcBorders>
              <w:top w:val="nil"/>
              <w:left w:val="nil"/>
              <w:bottom w:val="nil"/>
              <w:right w:val="nil"/>
            </w:tcBorders>
            <w:shd w:val="clear" w:color="auto" w:fill="auto"/>
            <w:noWrap/>
            <w:vAlign w:val="center"/>
            <w:hideMark/>
          </w:tcPr>
          <w:p w14:paraId="49423B85" w14:textId="77777777" w:rsidR="007A180C" w:rsidRPr="00C62E5C" w:rsidRDefault="007A180C" w:rsidP="007A180C">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Total other comprehensive income</w:t>
            </w:r>
          </w:p>
        </w:tc>
        <w:tc>
          <w:tcPr>
            <w:tcW w:w="1047" w:type="dxa"/>
            <w:tcBorders>
              <w:top w:val="single" w:sz="4" w:space="0" w:color="000000"/>
              <w:left w:val="nil"/>
              <w:bottom w:val="single" w:sz="4" w:space="0" w:color="000000"/>
              <w:right w:val="nil"/>
            </w:tcBorders>
            <w:shd w:val="clear" w:color="auto" w:fill="auto"/>
            <w:noWrap/>
            <w:vAlign w:val="bottom"/>
            <w:hideMark/>
          </w:tcPr>
          <w:p w14:paraId="0CF234E9" w14:textId="1650F0C2" w:rsidR="007A180C" w:rsidRPr="00C62E5C" w:rsidRDefault="007A180C" w:rsidP="007A180C">
            <w:pPr>
              <w:spacing w:after="0" w:line="240" w:lineRule="auto"/>
              <w:jc w:val="right"/>
              <w:rPr>
                <w:rFonts w:ascii="Arial" w:hAnsi="Arial" w:cs="Arial"/>
                <w:b/>
                <w:bCs/>
                <w:color w:val="000000"/>
                <w:sz w:val="16"/>
                <w:szCs w:val="16"/>
              </w:rPr>
            </w:pPr>
            <w:r>
              <w:rPr>
                <w:rFonts w:ascii="Arial" w:hAnsi="Arial" w:cs="Arial"/>
                <w:b/>
                <w:bCs/>
                <w:color w:val="000000"/>
                <w:sz w:val="16"/>
                <w:szCs w:val="16"/>
              </w:rPr>
              <w:t>2,731,465</w:t>
            </w:r>
          </w:p>
        </w:tc>
        <w:tc>
          <w:tcPr>
            <w:tcW w:w="1035" w:type="dxa"/>
            <w:tcBorders>
              <w:top w:val="single" w:sz="4" w:space="0" w:color="000000"/>
              <w:left w:val="nil"/>
              <w:bottom w:val="single" w:sz="4" w:space="0" w:color="000000"/>
              <w:right w:val="nil"/>
            </w:tcBorders>
            <w:shd w:val="clear" w:color="000000" w:fill="E6E6E6"/>
            <w:noWrap/>
            <w:vAlign w:val="bottom"/>
            <w:hideMark/>
          </w:tcPr>
          <w:p w14:paraId="42E48F15" w14:textId="3A30EFF5" w:rsidR="007A180C" w:rsidRPr="00C62E5C" w:rsidRDefault="007A180C" w:rsidP="007A180C">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35" w:type="dxa"/>
            <w:tcBorders>
              <w:top w:val="single" w:sz="4" w:space="0" w:color="000000"/>
              <w:left w:val="nil"/>
              <w:bottom w:val="single" w:sz="4" w:space="0" w:color="000000"/>
              <w:right w:val="nil"/>
            </w:tcBorders>
            <w:shd w:val="clear" w:color="auto" w:fill="auto"/>
            <w:noWrap/>
            <w:vAlign w:val="bottom"/>
            <w:hideMark/>
          </w:tcPr>
          <w:p w14:paraId="5551FA8F" w14:textId="02726DAA" w:rsidR="007A180C" w:rsidRPr="00C62E5C" w:rsidRDefault="007A180C" w:rsidP="007A180C">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35" w:type="dxa"/>
            <w:tcBorders>
              <w:top w:val="single" w:sz="4" w:space="0" w:color="000000"/>
              <w:left w:val="nil"/>
              <w:bottom w:val="single" w:sz="4" w:space="0" w:color="000000"/>
              <w:right w:val="nil"/>
            </w:tcBorders>
            <w:shd w:val="clear" w:color="auto" w:fill="auto"/>
            <w:noWrap/>
            <w:vAlign w:val="bottom"/>
            <w:hideMark/>
          </w:tcPr>
          <w:p w14:paraId="4506294C" w14:textId="7AE5B632" w:rsidR="007A180C" w:rsidRPr="00C62E5C" w:rsidRDefault="007A180C" w:rsidP="007A180C">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093" w:type="dxa"/>
            <w:tcBorders>
              <w:top w:val="single" w:sz="4" w:space="0" w:color="000000"/>
              <w:left w:val="nil"/>
              <w:bottom w:val="single" w:sz="4" w:space="0" w:color="000000"/>
              <w:right w:val="nil"/>
            </w:tcBorders>
            <w:shd w:val="clear" w:color="auto" w:fill="auto"/>
            <w:noWrap/>
            <w:vAlign w:val="bottom"/>
            <w:hideMark/>
          </w:tcPr>
          <w:p w14:paraId="186B3149" w14:textId="598B9925" w:rsidR="007A180C" w:rsidRPr="00C62E5C" w:rsidRDefault="007A180C" w:rsidP="007A180C">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7A180C" w:rsidRPr="00C62E5C" w14:paraId="6D5132B7" w14:textId="77777777" w:rsidTr="00852545">
        <w:trPr>
          <w:trHeight w:val="204"/>
        </w:trPr>
        <w:tc>
          <w:tcPr>
            <w:tcW w:w="2552" w:type="dxa"/>
            <w:tcBorders>
              <w:top w:val="nil"/>
              <w:left w:val="nil"/>
              <w:bottom w:val="single" w:sz="4" w:space="0" w:color="000000"/>
              <w:right w:val="nil"/>
            </w:tcBorders>
            <w:shd w:val="clear" w:color="auto" w:fill="auto"/>
            <w:noWrap/>
            <w:vAlign w:val="center"/>
            <w:hideMark/>
          </w:tcPr>
          <w:p w14:paraId="57A46684" w14:textId="77777777" w:rsidR="007A180C" w:rsidRPr="00C62E5C" w:rsidRDefault="007A180C" w:rsidP="007A180C">
            <w:pPr>
              <w:spacing w:after="0" w:line="240" w:lineRule="auto"/>
              <w:jc w:val="left"/>
              <w:rPr>
                <w:rFonts w:ascii="Arial" w:hAnsi="Arial" w:cs="Arial"/>
                <w:b/>
                <w:bCs/>
                <w:color w:val="000000"/>
                <w:sz w:val="16"/>
                <w:szCs w:val="16"/>
              </w:rPr>
            </w:pPr>
            <w:r w:rsidRPr="00C62E5C">
              <w:rPr>
                <w:rFonts w:ascii="Arial" w:hAnsi="Arial" w:cs="Arial"/>
                <w:b/>
                <w:bCs/>
                <w:color w:val="000000"/>
                <w:sz w:val="16"/>
                <w:szCs w:val="16"/>
              </w:rPr>
              <w:t>Total comprehensive income/(loss)</w:t>
            </w:r>
          </w:p>
        </w:tc>
        <w:tc>
          <w:tcPr>
            <w:tcW w:w="1047" w:type="dxa"/>
            <w:tcBorders>
              <w:top w:val="nil"/>
              <w:left w:val="nil"/>
              <w:bottom w:val="single" w:sz="4" w:space="0" w:color="000000"/>
              <w:right w:val="nil"/>
            </w:tcBorders>
            <w:shd w:val="clear" w:color="auto" w:fill="auto"/>
            <w:noWrap/>
            <w:vAlign w:val="bottom"/>
            <w:hideMark/>
          </w:tcPr>
          <w:p w14:paraId="58FDC7FE" w14:textId="0676346C" w:rsidR="007A180C" w:rsidRPr="00C62E5C" w:rsidRDefault="007A180C" w:rsidP="007A180C">
            <w:pPr>
              <w:spacing w:after="0" w:line="240" w:lineRule="auto"/>
              <w:jc w:val="right"/>
              <w:rPr>
                <w:rFonts w:ascii="Arial" w:hAnsi="Arial" w:cs="Arial"/>
                <w:b/>
                <w:bCs/>
                <w:color w:val="000000"/>
                <w:sz w:val="16"/>
                <w:szCs w:val="16"/>
              </w:rPr>
            </w:pPr>
            <w:r>
              <w:rPr>
                <w:rFonts w:ascii="Arial" w:hAnsi="Arial" w:cs="Arial"/>
                <w:b/>
                <w:bCs/>
                <w:color w:val="000000"/>
                <w:sz w:val="16"/>
                <w:szCs w:val="16"/>
              </w:rPr>
              <w:t>(6,880,753)</w:t>
            </w:r>
          </w:p>
        </w:tc>
        <w:tc>
          <w:tcPr>
            <w:tcW w:w="1035" w:type="dxa"/>
            <w:tcBorders>
              <w:top w:val="nil"/>
              <w:left w:val="nil"/>
              <w:bottom w:val="single" w:sz="4" w:space="0" w:color="000000"/>
              <w:right w:val="nil"/>
            </w:tcBorders>
            <w:shd w:val="clear" w:color="000000" w:fill="E6E6E6"/>
            <w:noWrap/>
            <w:vAlign w:val="bottom"/>
            <w:hideMark/>
          </w:tcPr>
          <w:p w14:paraId="1AEE46A6" w14:textId="63702E40" w:rsidR="007A180C" w:rsidRPr="00C62E5C" w:rsidRDefault="007A180C" w:rsidP="007A180C">
            <w:pPr>
              <w:spacing w:after="0" w:line="240" w:lineRule="auto"/>
              <w:jc w:val="right"/>
              <w:rPr>
                <w:rFonts w:ascii="Arial" w:hAnsi="Arial" w:cs="Arial"/>
                <w:b/>
                <w:bCs/>
                <w:color w:val="000000"/>
                <w:sz w:val="16"/>
                <w:szCs w:val="16"/>
              </w:rPr>
            </w:pPr>
            <w:r>
              <w:rPr>
                <w:rFonts w:ascii="Arial" w:hAnsi="Arial" w:cs="Arial"/>
                <w:b/>
                <w:bCs/>
                <w:color w:val="000000"/>
                <w:sz w:val="16"/>
                <w:szCs w:val="16"/>
              </w:rPr>
              <w:t>(9,285,087)</w:t>
            </w:r>
          </w:p>
        </w:tc>
        <w:tc>
          <w:tcPr>
            <w:tcW w:w="1035" w:type="dxa"/>
            <w:tcBorders>
              <w:top w:val="nil"/>
              <w:left w:val="nil"/>
              <w:bottom w:val="single" w:sz="4" w:space="0" w:color="000000"/>
              <w:right w:val="nil"/>
            </w:tcBorders>
            <w:shd w:val="clear" w:color="auto" w:fill="auto"/>
            <w:noWrap/>
            <w:vAlign w:val="bottom"/>
            <w:hideMark/>
          </w:tcPr>
          <w:p w14:paraId="42190CF2" w14:textId="008B5210" w:rsidR="007A180C" w:rsidRPr="00C62E5C" w:rsidRDefault="007A180C" w:rsidP="007A180C">
            <w:pPr>
              <w:spacing w:after="0" w:line="240" w:lineRule="auto"/>
              <w:jc w:val="right"/>
              <w:rPr>
                <w:rFonts w:ascii="Arial" w:hAnsi="Arial" w:cs="Arial"/>
                <w:b/>
                <w:bCs/>
                <w:color w:val="000000"/>
                <w:sz w:val="16"/>
                <w:szCs w:val="16"/>
              </w:rPr>
            </w:pPr>
            <w:r>
              <w:rPr>
                <w:rFonts w:ascii="Arial" w:hAnsi="Arial" w:cs="Arial"/>
                <w:b/>
                <w:bCs/>
                <w:color w:val="000000"/>
                <w:sz w:val="16"/>
                <w:szCs w:val="16"/>
              </w:rPr>
              <w:t>(9,331,502)</w:t>
            </w:r>
          </w:p>
        </w:tc>
        <w:tc>
          <w:tcPr>
            <w:tcW w:w="1035" w:type="dxa"/>
            <w:tcBorders>
              <w:top w:val="nil"/>
              <w:left w:val="nil"/>
              <w:bottom w:val="single" w:sz="4" w:space="0" w:color="000000"/>
              <w:right w:val="nil"/>
            </w:tcBorders>
            <w:shd w:val="clear" w:color="auto" w:fill="auto"/>
            <w:noWrap/>
            <w:vAlign w:val="bottom"/>
            <w:hideMark/>
          </w:tcPr>
          <w:p w14:paraId="5612740F" w14:textId="23CA2479" w:rsidR="007A180C" w:rsidRPr="00C62E5C" w:rsidRDefault="007A180C" w:rsidP="007A180C">
            <w:pPr>
              <w:spacing w:after="0" w:line="240" w:lineRule="auto"/>
              <w:jc w:val="right"/>
              <w:rPr>
                <w:rFonts w:ascii="Arial" w:hAnsi="Arial" w:cs="Arial"/>
                <w:b/>
                <w:bCs/>
                <w:color w:val="000000"/>
                <w:sz w:val="16"/>
                <w:szCs w:val="16"/>
              </w:rPr>
            </w:pPr>
            <w:r>
              <w:rPr>
                <w:rFonts w:ascii="Arial" w:hAnsi="Arial" w:cs="Arial"/>
                <w:b/>
                <w:bCs/>
                <w:color w:val="000000"/>
                <w:sz w:val="16"/>
                <w:szCs w:val="16"/>
              </w:rPr>
              <w:t>(7,867,601)</w:t>
            </w:r>
          </w:p>
        </w:tc>
        <w:tc>
          <w:tcPr>
            <w:tcW w:w="1093" w:type="dxa"/>
            <w:tcBorders>
              <w:top w:val="nil"/>
              <w:left w:val="nil"/>
              <w:bottom w:val="single" w:sz="4" w:space="0" w:color="000000"/>
              <w:right w:val="nil"/>
            </w:tcBorders>
            <w:shd w:val="clear" w:color="auto" w:fill="auto"/>
            <w:noWrap/>
            <w:vAlign w:val="bottom"/>
            <w:hideMark/>
          </w:tcPr>
          <w:p w14:paraId="1CFB3C9E" w14:textId="3D5B406D" w:rsidR="007A180C" w:rsidRPr="00C62E5C" w:rsidRDefault="007A180C" w:rsidP="007A180C">
            <w:pPr>
              <w:spacing w:after="0" w:line="240" w:lineRule="auto"/>
              <w:jc w:val="right"/>
              <w:rPr>
                <w:rFonts w:ascii="Arial" w:hAnsi="Arial" w:cs="Arial"/>
                <w:b/>
                <w:bCs/>
                <w:color w:val="000000"/>
                <w:sz w:val="16"/>
                <w:szCs w:val="16"/>
              </w:rPr>
            </w:pPr>
            <w:r>
              <w:rPr>
                <w:rFonts w:ascii="Arial" w:hAnsi="Arial" w:cs="Arial"/>
                <w:b/>
                <w:bCs/>
                <w:color w:val="000000"/>
                <w:sz w:val="16"/>
                <w:szCs w:val="16"/>
              </w:rPr>
              <w:t>(7,555,555)</w:t>
            </w:r>
          </w:p>
        </w:tc>
      </w:tr>
    </w:tbl>
    <w:p w14:paraId="6863FDA1" w14:textId="5A7E0552" w:rsidR="00DD0374" w:rsidRDefault="008F2DBE" w:rsidP="00C3104B">
      <w:pPr>
        <w:pStyle w:val="ChartandTableFootnoteAlpha"/>
        <w:numPr>
          <w:ilvl w:val="0"/>
          <w:numId w:val="0"/>
        </w:numPr>
      </w:pPr>
      <w:r w:rsidRPr="00AC530C">
        <w:t>Prepared on Australian Accounting Standards basis</w:t>
      </w:r>
      <w:r w:rsidR="0064350A">
        <w:t>.</w:t>
      </w:r>
    </w:p>
    <w:p w14:paraId="4FB866A3" w14:textId="0C3004E6" w:rsidR="00F51DAC" w:rsidRDefault="00F51DAC" w:rsidP="005C472A">
      <w:pPr>
        <w:pStyle w:val="TableHeading"/>
        <w:spacing w:before="0" w:after="0"/>
        <w:rPr>
          <w:snapToGrid w:val="0"/>
        </w:rPr>
      </w:pPr>
      <w:r w:rsidRPr="00D23CE2">
        <w:rPr>
          <w:snapToGrid w:val="0"/>
        </w:rPr>
        <w:lastRenderedPageBreak/>
        <w:t>Table</w:t>
      </w:r>
      <w:r w:rsidR="004E017C" w:rsidRPr="00D23CE2">
        <w:rPr>
          <w:snapToGrid w:val="0"/>
        </w:rPr>
        <w:t xml:space="preserve"> </w:t>
      </w:r>
      <w:r w:rsidR="007D5358" w:rsidRPr="00D23CE2">
        <w:rPr>
          <w:snapToGrid w:val="0"/>
        </w:rPr>
        <w:t>3.</w:t>
      </w:r>
      <w:r w:rsidR="001F46A6" w:rsidRPr="00D23CE2">
        <w:rPr>
          <w:snapToGrid w:val="0"/>
        </w:rPr>
        <w:t>9</w:t>
      </w:r>
      <w:r w:rsidRPr="00D23CE2">
        <w:rPr>
          <w:snapToGrid w:val="0"/>
        </w:rPr>
        <w:t xml:space="preserve">: Schedule of </w:t>
      </w:r>
      <w:r w:rsidR="009E5300" w:rsidRPr="00D23CE2">
        <w:rPr>
          <w:snapToGrid w:val="0"/>
        </w:rPr>
        <w:t xml:space="preserve">budgeted assets and liabilities administered on behalf </w:t>
      </w:r>
      <w:r w:rsidRPr="00D23CE2">
        <w:rPr>
          <w:snapToGrid w:val="0"/>
        </w:rPr>
        <w:t xml:space="preserve">of </w:t>
      </w:r>
      <w:r w:rsidR="004E017C" w:rsidRPr="00D23CE2">
        <w:rPr>
          <w:snapToGrid w:val="0"/>
        </w:rPr>
        <w:t>G</w:t>
      </w:r>
      <w:r w:rsidRPr="00D23CE2">
        <w:rPr>
          <w:snapToGrid w:val="0"/>
        </w:rPr>
        <w:t>overnment (as at 30 June)</w:t>
      </w:r>
    </w:p>
    <w:tbl>
      <w:tblPr>
        <w:tblW w:w="0" w:type="auto"/>
        <w:tblLayout w:type="fixed"/>
        <w:tblLook w:val="04A0" w:firstRow="1" w:lastRow="0" w:firstColumn="1" w:lastColumn="0" w:noHBand="0" w:noVBand="1"/>
      </w:tblPr>
      <w:tblGrid>
        <w:gridCol w:w="2410"/>
        <w:gridCol w:w="1017"/>
        <w:gridCol w:w="1017"/>
        <w:gridCol w:w="1017"/>
        <w:gridCol w:w="1017"/>
        <w:gridCol w:w="1017"/>
      </w:tblGrid>
      <w:tr w:rsidR="00102378" w:rsidRPr="00C04A9A" w14:paraId="094F1A75" w14:textId="77777777" w:rsidTr="00D40125">
        <w:trPr>
          <w:trHeight w:val="598"/>
        </w:trPr>
        <w:tc>
          <w:tcPr>
            <w:tcW w:w="2410" w:type="dxa"/>
            <w:tcBorders>
              <w:top w:val="single" w:sz="4" w:space="0" w:color="auto"/>
              <w:left w:val="nil"/>
              <w:bottom w:val="nil"/>
              <w:right w:val="nil"/>
            </w:tcBorders>
            <w:shd w:val="clear" w:color="auto" w:fill="auto"/>
            <w:noWrap/>
            <w:hideMark/>
          </w:tcPr>
          <w:p w14:paraId="349ECAB3" w14:textId="77777777" w:rsidR="00102378" w:rsidRPr="00C04A9A" w:rsidRDefault="00102378" w:rsidP="00102378">
            <w:pPr>
              <w:spacing w:after="0" w:line="240" w:lineRule="auto"/>
              <w:jc w:val="left"/>
              <w:rPr>
                <w:rFonts w:ascii="Arial" w:hAnsi="Arial" w:cs="Arial"/>
                <w:b/>
                <w:bCs/>
                <w:sz w:val="16"/>
                <w:szCs w:val="16"/>
              </w:rPr>
            </w:pPr>
            <w:r w:rsidRPr="00C04A9A">
              <w:rPr>
                <w:rFonts w:ascii="Arial" w:hAnsi="Arial" w:cs="Arial"/>
                <w:b/>
                <w:bCs/>
                <w:sz w:val="16"/>
                <w:szCs w:val="16"/>
              </w:rPr>
              <w:t> </w:t>
            </w:r>
          </w:p>
        </w:tc>
        <w:tc>
          <w:tcPr>
            <w:tcW w:w="1017" w:type="dxa"/>
            <w:tcBorders>
              <w:top w:val="single" w:sz="4" w:space="0" w:color="auto"/>
              <w:left w:val="nil"/>
              <w:bottom w:val="single" w:sz="4" w:space="0" w:color="auto"/>
              <w:right w:val="nil"/>
            </w:tcBorders>
            <w:shd w:val="clear" w:color="auto" w:fill="auto"/>
            <w:vAlign w:val="bottom"/>
            <w:hideMark/>
          </w:tcPr>
          <w:p w14:paraId="4AD31622" w14:textId="77777777" w:rsidR="00102378" w:rsidRPr="00C04A9A" w:rsidRDefault="00102378" w:rsidP="00102378">
            <w:pPr>
              <w:spacing w:after="0" w:line="240" w:lineRule="auto"/>
              <w:jc w:val="right"/>
              <w:rPr>
                <w:rFonts w:ascii="Arial" w:hAnsi="Arial" w:cs="Arial"/>
                <w:sz w:val="16"/>
                <w:szCs w:val="16"/>
              </w:rPr>
            </w:pPr>
            <w:r w:rsidRPr="00C04A9A">
              <w:rPr>
                <w:rFonts w:ascii="Arial" w:hAnsi="Arial" w:cs="Arial"/>
                <w:sz w:val="16"/>
                <w:szCs w:val="16"/>
              </w:rPr>
              <w:t>2020-21 Actual</w:t>
            </w:r>
            <w:r w:rsidRPr="00C04A9A">
              <w:rPr>
                <w:rFonts w:ascii="Arial" w:hAnsi="Arial" w:cs="Arial"/>
                <w:sz w:val="16"/>
                <w:szCs w:val="16"/>
              </w:rPr>
              <w:br/>
            </w:r>
            <w:r w:rsidRPr="00C04A9A">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000000" w:fill="E6E6E6"/>
            <w:hideMark/>
          </w:tcPr>
          <w:p w14:paraId="1F04FFC7" w14:textId="508B284A" w:rsidR="00102378" w:rsidRPr="00C04A9A" w:rsidRDefault="00102378" w:rsidP="00102378">
            <w:pPr>
              <w:spacing w:after="0" w:line="240" w:lineRule="auto"/>
              <w:jc w:val="right"/>
              <w:rPr>
                <w:rFonts w:ascii="Arial" w:hAnsi="Arial" w:cs="Arial"/>
                <w:sz w:val="16"/>
                <w:szCs w:val="16"/>
              </w:rPr>
            </w:pPr>
            <w:r w:rsidRPr="003D788E">
              <w:rPr>
                <w:rFonts w:ascii="Arial" w:hAnsi="Arial" w:cs="Arial"/>
                <w:sz w:val="16"/>
                <w:szCs w:val="16"/>
              </w:rPr>
              <w:t>2021-22</w:t>
            </w:r>
            <w:r w:rsidRPr="003D788E">
              <w:rPr>
                <w:rFonts w:ascii="Arial" w:hAnsi="Arial" w:cs="Arial"/>
                <w:sz w:val="16"/>
                <w:szCs w:val="16"/>
              </w:rPr>
              <w:br/>
              <w:t xml:space="preserve">Revised </w:t>
            </w:r>
            <w:r>
              <w:rPr>
                <w:rFonts w:ascii="Arial" w:hAnsi="Arial" w:cs="Arial"/>
                <w:sz w:val="16"/>
                <w:szCs w:val="16"/>
              </w:rPr>
              <w:t>B</w:t>
            </w:r>
            <w:r w:rsidRPr="003D788E">
              <w:rPr>
                <w:rFonts w:ascii="Arial" w:hAnsi="Arial" w:cs="Arial"/>
                <w:sz w:val="16"/>
                <w:szCs w:val="16"/>
              </w:rPr>
              <w:t>udget</w:t>
            </w:r>
            <w:r w:rsidRPr="003D788E">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bottom"/>
            <w:hideMark/>
          </w:tcPr>
          <w:p w14:paraId="1DD53E93" w14:textId="77777777" w:rsidR="00102378" w:rsidRPr="00C04A9A" w:rsidRDefault="00102378" w:rsidP="00102378">
            <w:pPr>
              <w:spacing w:after="0" w:line="240" w:lineRule="auto"/>
              <w:jc w:val="right"/>
              <w:rPr>
                <w:rFonts w:ascii="Arial" w:hAnsi="Arial" w:cs="Arial"/>
                <w:sz w:val="16"/>
                <w:szCs w:val="16"/>
              </w:rPr>
            </w:pPr>
            <w:r w:rsidRPr="00C04A9A">
              <w:rPr>
                <w:rFonts w:ascii="Arial" w:hAnsi="Arial" w:cs="Arial"/>
                <w:sz w:val="16"/>
                <w:szCs w:val="16"/>
              </w:rPr>
              <w:t>2022-23 Forward estimate</w:t>
            </w:r>
            <w:r w:rsidRPr="00C04A9A">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bottom"/>
            <w:hideMark/>
          </w:tcPr>
          <w:p w14:paraId="18CE599B" w14:textId="77777777" w:rsidR="00102378" w:rsidRPr="00C04A9A" w:rsidRDefault="00102378" w:rsidP="00102378">
            <w:pPr>
              <w:spacing w:after="0" w:line="240" w:lineRule="auto"/>
              <w:jc w:val="right"/>
              <w:rPr>
                <w:rFonts w:ascii="Arial" w:hAnsi="Arial" w:cs="Arial"/>
                <w:sz w:val="16"/>
                <w:szCs w:val="16"/>
              </w:rPr>
            </w:pPr>
            <w:r w:rsidRPr="00C04A9A">
              <w:rPr>
                <w:rFonts w:ascii="Arial" w:hAnsi="Arial" w:cs="Arial"/>
                <w:sz w:val="16"/>
                <w:szCs w:val="16"/>
              </w:rPr>
              <w:t>2023-24 Forward estimate</w:t>
            </w:r>
            <w:r w:rsidRPr="00C04A9A">
              <w:rPr>
                <w:rFonts w:ascii="Arial" w:hAnsi="Arial" w:cs="Arial"/>
                <w:sz w:val="16"/>
                <w:szCs w:val="16"/>
              </w:rPr>
              <w:br/>
              <w:t>$'000</w:t>
            </w:r>
          </w:p>
        </w:tc>
        <w:tc>
          <w:tcPr>
            <w:tcW w:w="1017" w:type="dxa"/>
            <w:tcBorders>
              <w:top w:val="single" w:sz="4" w:space="0" w:color="auto"/>
              <w:left w:val="nil"/>
              <w:bottom w:val="single" w:sz="4" w:space="0" w:color="auto"/>
              <w:right w:val="nil"/>
            </w:tcBorders>
            <w:shd w:val="clear" w:color="auto" w:fill="auto"/>
            <w:vAlign w:val="bottom"/>
            <w:hideMark/>
          </w:tcPr>
          <w:p w14:paraId="3F505EBC" w14:textId="77777777" w:rsidR="00102378" w:rsidRPr="00C04A9A" w:rsidRDefault="00102378" w:rsidP="00102378">
            <w:pPr>
              <w:spacing w:after="0" w:line="240" w:lineRule="auto"/>
              <w:jc w:val="right"/>
              <w:rPr>
                <w:rFonts w:ascii="Arial" w:hAnsi="Arial" w:cs="Arial"/>
                <w:sz w:val="16"/>
                <w:szCs w:val="16"/>
              </w:rPr>
            </w:pPr>
            <w:r w:rsidRPr="00C04A9A">
              <w:rPr>
                <w:rFonts w:ascii="Arial" w:hAnsi="Arial" w:cs="Arial"/>
                <w:sz w:val="16"/>
                <w:szCs w:val="16"/>
              </w:rPr>
              <w:t>2024-25</w:t>
            </w:r>
            <w:r w:rsidRPr="00C04A9A">
              <w:rPr>
                <w:rFonts w:ascii="Arial" w:hAnsi="Arial" w:cs="Arial"/>
                <w:sz w:val="16"/>
                <w:szCs w:val="16"/>
              </w:rPr>
              <w:br/>
              <w:t>Forward estimate</w:t>
            </w:r>
            <w:r w:rsidRPr="00C04A9A">
              <w:rPr>
                <w:rFonts w:ascii="Arial" w:hAnsi="Arial" w:cs="Arial"/>
                <w:sz w:val="16"/>
                <w:szCs w:val="16"/>
              </w:rPr>
              <w:br/>
              <w:t>$'000</w:t>
            </w:r>
          </w:p>
        </w:tc>
      </w:tr>
      <w:tr w:rsidR="00C04A9A" w:rsidRPr="00C04A9A" w14:paraId="061A2F6E" w14:textId="77777777" w:rsidTr="00D40125">
        <w:trPr>
          <w:trHeight w:val="203"/>
        </w:trPr>
        <w:tc>
          <w:tcPr>
            <w:tcW w:w="2410" w:type="dxa"/>
            <w:tcBorders>
              <w:top w:val="nil"/>
              <w:left w:val="nil"/>
              <w:bottom w:val="nil"/>
              <w:right w:val="nil"/>
            </w:tcBorders>
            <w:shd w:val="clear" w:color="auto" w:fill="auto"/>
            <w:noWrap/>
            <w:vAlign w:val="center"/>
            <w:hideMark/>
          </w:tcPr>
          <w:p w14:paraId="3AB6AAE9" w14:textId="77777777" w:rsidR="00C04A9A" w:rsidRPr="00C04A9A" w:rsidRDefault="00C04A9A" w:rsidP="00C04A9A">
            <w:pPr>
              <w:spacing w:after="0" w:line="240" w:lineRule="auto"/>
              <w:jc w:val="left"/>
              <w:rPr>
                <w:rFonts w:ascii="Arial" w:hAnsi="Arial" w:cs="Arial"/>
                <w:b/>
                <w:bCs/>
                <w:color w:val="000000"/>
                <w:sz w:val="16"/>
                <w:szCs w:val="16"/>
              </w:rPr>
            </w:pPr>
            <w:r w:rsidRPr="00C04A9A">
              <w:rPr>
                <w:rFonts w:ascii="Arial" w:hAnsi="Arial" w:cs="Arial"/>
                <w:b/>
                <w:bCs/>
                <w:color w:val="000000"/>
                <w:sz w:val="16"/>
                <w:szCs w:val="16"/>
              </w:rPr>
              <w:t xml:space="preserve">ASSETS </w:t>
            </w:r>
          </w:p>
        </w:tc>
        <w:tc>
          <w:tcPr>
            <w:tcW w:w="1017" w:type="dxa"/>
            <w:tcBorders>
              <w:top w:val="nil"/>
              <w:left w:val="nil"/>
              <w:bottom w:val="nil"/>
              <w:right w:val="nil"/>
            </w:tcBorders>
            <w:shd w:val="clear" w:color="auto" w:fill="auto"/>
            <w:noWrap/>
            <w:vAlign w:val="bottom"/>
            <w:hideMark/>
          </w:tcPr>
          <w:p w14:paraId="0CC76D29" w14:textId="77777777" w:rsidR="00C04A9A" w:rsidRPr="00C04A9A" w:rsidRDefault="00C04A9A" w:rsidP="00C04A9A">
            <w:pPr>
              <w:spacing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59B3806E" w14:textId="7460A577" w:rsidR="00C04A9A" w:rsidRPr="00C04A9A" w:rsidRDefault="00C04A9A" w:rsidP="00C04A9A">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5652E130" w14:textId="77777777" w:rsidR="00C04A9A" w:rsidRPr="00C04A9A" w:rsidRDefault="00C04A9A" w:rsidP="00C04A9A">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4495D77D" w14:textId="77777777" w:rsidR="00C04A9A" w:rsidRPr="00C04A9A" w:rsidRDefault="00C04A9A" w:rsidP="00C04A9A">
            <w:pPr>
              <w:spacing w:after="0" w:line="240" w:lineRule="auto"/>
              <w:jc w:val="right"/>
              <w:rPr>
                <w:rFonts w:ascii="Times New Roman" w:hAnsi="Times New Roman"/>
              </w:rPr>
            </w:pPr>
          </w:p>
        </w:tc>
        <w:tc>
          <w:tcPr>
            <w:tcW w:w="1017" w:type="dxa"/>
            <w:tcBorders>
              <w:top w:val="nil"/>
              <w:left w:val="nil"/>
              <w:bottom w:val="nil"/>
              <w:right w:val="nil"/>
            </w:tcBorders>
            <w:shd w:val="clear" w:color="auto" w:fill="auto"/>
            <w:noWrap/>
            <w:vAlign w:val="bottom"/>
            <w:hideMark/>
          </w:tcPr>
          <w:p w14:paraId="4378A336" w14:textId="77777777" w:rsidR="00C04A9A" w:rsidRPr="00C04A9A" w:rsidRDefault="00C04A9A" w:rsidP="00C04A9A">
            <w:pPr>
              <w:spacing w:after="0" w:line="240" w:lineRule="auto"/>
              <w:jc w:val="right"/>
              <w:rPr>
                <w:rFonts w:ascii="Times New Roman" w:hAnsi="Times New Roman"/>
              </w:rPr>
            </w:pPr>
          </w:p>
        </w:tc>
      </w:tr>
      <w:tr w:rsidR="00C04A9A" w:rsidRPr="00C04A9A" w14:paraId="1A5625F3" w14:textId="77777777" w:rsidTr="00D40125">
        <w:trPr>
          <w:trHeight w:val="203"/>
        </w:trPr>
        <w:tc>
          <w:tcPr>
            <w:tcW w:w="2410" w:type="dxa"/>
            <w:tcBorders>
              <w:top w:val="nil"/>
              <w:left w:val="nil"/>
              <w:bottom w:val="nil"/>
              <w:right w:val="nil"/>
            </w:tcBorders>
            <w:shd w:val="clear" w:color="auto" w:fill="auto"/>
            <w:noWrap/>
            <w:vAlign w:val="center"/>
            <w:hideMark/>
          </w:tcPr>
          <w:p w14:paraId="359A3626" w14:textId="77777777" w:rsidR="00C04A9A" w:rsidRPr="00C04A9A" w:rsidRDefault="00C04A9A" w:rsidP="00C04A9A">
            <w:pPr>
              <w:spacing w:after="0" w:line="240" w:lineRule="auto"/>
              <w:ind w:left="113"/>
              <w:jc w:val="left"/>
              <w:rPr>
                <w:rFonts w:ascii="Arial" w:hAnsi="Arial" w:cs="Arial"/>
                <w:b/>
                <w:bCs/>
                <w:color w:val="000000"/>
                <w:sz w:val="16"/>
                <w:szCs w:val="16"/>
              </w:rPr>
            </w:pPr>
            <w:r w:rsidRPr="00C04A9A">
              <w:rPr>
                <w:rFonts w:ascii="Arial" w:hAnsi="Arial" w:cs="Arial"/>
                <w:b/>
                <w:bCs/>
                <w:color w:val="000000"/>
                <w:sz w:val="16"/>
                <w:szCs w:val="16"/>
              </w:rPr>
              <w:t>Financial assets</w:t>
            </w:r>
          </w:p>
        </w:tc>
        <w:tc>
          <w:tcPr>
            <w:tcW w:w="1017" w:type="dxa"/>
            <w:tcBorders>
              <w:top w:val="nil"/>
              <w:left w:val="nil"/>
              <w:bottom w:val="nil"/>
              <w:right w:val="nil"/>
            </w:tcBorders>
            <w:shd w:val="clear" w:color="auto" w:fill="auto"/>
            <w:noWrap/>
            <w:vAlign w:val="bottom"/>
            <w:hideMark/>
          </w:tcPr>
          <w:p w14:paraId="781C2991" w14:textId="77777777" w:rsidR="00C04A9A" w:rsidRPr="00C04A9A" w:rsidRDefault="00C04A9A" w:rsidP="00C04A9A">
            <w:pPr>
              <w:spacing w:after="0" w:line="240" w:lineRule="auto"/>
              <w:ind w:firstLineChars="100" w:firstLine="160"/>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6B7390BE" w14:textId="3AB8AE62" w:rsidR="00C04A9A" w:rsidRPr="00C04A9A" w:rsidRDefault="00C04A9A" w:rsidP="00C04A9A">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4B84A69C" w14:textId="77777777" w:rsidR="00C04A9A" w:rsidRPr="00C04A9A" w:rsidRDefault="00C04A9A" w:rsidP="00C04A9A">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3AF88391" w14:textId="77777777" w:rsidR="00C04A9A" w:rsidRPr="00C04A9A" w:rsidRDefault="00C04A9A" w:rsidP="00C04A9A">
            <w:pPr>
              <w:spacing w:after="0" w:line="240" w:lineRule="auto"/>
              <w:jc w:val="right"/>
              <w:rPr>
                <w:rFonts w:ascii="Times New Roman" w:hAnsi="Times New Roman"/>
              </w:rPr>
            </w:pPr>
          </w:p>
        </w:tc>
        <w:tc>
          <w:tcPr>
            <w:tcW w:w="1017" w:type="dxa"/>
            <w:tcBorders>
              <w:top w:val="nil"/>
              <w:left w:val="nil"/>
              <w:bottom w:val="nil"/>
              <w:right w:val="nil"/>
            </w:tcBorders>
            <w:shd w:val="clear" w:color="auto" w:fill="auto"/>
            <w:noWrap/>
            <w:vAlign w:val="bottom"/>
            <w:hideMark/>
          </w:tcPr>
          <w:p w14:paraId="6ADC23CB" w14:textId="77777777" w:rsidR="00C04A9A" w:rsidRPr="00C04A9A" w:rsidRDefault="00C04A9A" w:rsidP="00C04A9A">
            <w:pPr>
              <w:spacing w:after="0" w:line="240" w:lineRule="auto"/>
              <w:jc w:val="right"/>
              <w:rPr>
                <w:rFonts w:ascii="Times New Roman" w:hAnsi="Times New Roman"/>
              </w:rPr>
            </w:pPr>
          </w:p>
        </w:tc>
      </w:tr>
      <w:tr w:rsidR="00682704" w:rsidRPr="00C04A9A" w14:paraId="3F165C07" w14:textId="77777777" w:rsidTr="00D40125">
        <w:trPr>
          <w:trHeight w:val="203"/>
        </w:trPr>
        <w:tc>
          <w:tcPr>
            <w:tcW w:w="2410" w:type="dxa"/>
            <w:tcBorders>
              <w:top w:val="nil"/>
              <w:left w:val="nil"/>
              <w:bottom w:val="nil"/>
              <w:right w:val="nil"/>
            </w:tcBorders>
            <w:shd w:val="clear" w:color="auto" w:fill="auto"/>
            <w:noWrap/>
            <w:vAlign w:val="center"/>
            <w:hideMark/>
          </w:tcPr>
          <w:p w14:paraId="75FA90D9" w14:textId="77777777" w:rsidR="00682704" w:rsidRPr="00C04A9A" w:rsidRDefault="00682704" w:rsidP="00682704">
            <w:pPr>
              <w:spacing w:after="0" w:line="240" w:lineRule="auto"/>
              <w:ind w:left="227"/>
              <w:jc w:val="left"/>
              <w:rPr>
                <w:rFonts w:ascii="Arial" w:hAnsi="Arial" w:cs="Arial"/>
                <w:sz w:val="16"/>
                <w:szCs w:val="16"/>
              </w:rPr>
            </w:pPr>
            <w:r w:rsidRPr="00C04A9A">
              <w:rPr>
                <w:rFonts w:ascii="Arial" w:hAnsi="Arial" w:cs="Arial"/>
                <w:sz w:val="16"/>
                <w:szCs w:val="16"/>
              </w:rPr>
              <w:t>Cash and cash equivalents</w:t>
            </w:r>
          </w:p>
        </w:tc>
        <w:tc>
          <w:tcPr>
            <w:tcW w:w="1017" w:type="dxa"/>
            <w:tcBorders>
              <w:top w:val="nil"/>
              <w:left w:val="nil"/>
              <w:bottom w:val="nil"/>
              <w:right w:val="nil"/>
            </w:tcBorders>
            <w:shd w:val="clear" w:color="auto" w:fill="auto"/>
            <w:noWrap/>
            <w:vAlign w:val="bottom"/>
            <w:hideMark/>
          </w:tcPr>
          <w:p w14:paraId="2893D02A" w14:textId="0939CCB2"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41,989</w:t>
            </w:r>
          </w:p>
        </w:tc>
        <w:tc>
          <w:tcPr>
            <w:tcW w:w="1017" w:type="dxa"/>
            <w:tcBorders>
              <w:top w:val="nil"/>
              <w:left w:val="nil"/>
              <w:bottom w:val="nil"/>
              <w:right w:val="nil"/>
            </w:tcBorders>
            <w:shd w:val="clear" w:color="000000" w:fill="E6E6E6"/>
            <w:noWrap/>
            <w:vAlign w:val="bottom"/>
            <w:hideMark/>
          </w:tcPr>
          <w:p w14:paraId="49A5B47F" w14:textId="096E8775"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41,989</w:t>
            </w:r>
          </w:p>
        </w:tc>
        <w:tc>
          <w:tcPr>
            <w:tcW w:w="1017" w:type="dxa"/>
            <w:tcBorders>
              <w:top w:val="nil"/>
              <w:left w:val="nil"/>
              <w:bottom w:val="nil"/>
              <w:right w:val="nil"/>
            </w:tcBorders>
            <w:shd w:val="clear" w:color="auto" w:fill="auto"/>
            <w:noWrap/>
            <w:vAlign w:val="bottom"/>
            <w:hideMark/>
          </w:tcPr>
          <w:p w14:paraId="750A52C9" w14:textId="704F4F38"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41,989</w:t>
            </w:r>
          </w:p>
        </w:tc>
        <w:tc>
          <w:tcPr>
            <w:tcW w:w="1017" w:type="dxa"/>
            <w:tcBorders>
              <w:top w:val="nil"/>
              <w:left w:val="nil"/>
              <w:bottom w:val="nil"/>
              <w:right w:val="nil"/>
            </w:tcBorders>
            <w:shd w:val="clear" w:color="auto" w:fill="auto"/>
            <w:noWrap/>
            <w:vAlign w:val="bottom"/>
            <w:hideMark/>
          </w:tcPr>
          <w:p w14:paraId="2816E361" w14:textId="2D9F0EA2"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41,989</w:t>
            </w:r>
          </w:p>
        </w:tc>
        <w:tc>
          <w:tcPr>
            <w:tcW w:w="1017" w:type="dxa"/>
            <w:tcBorders>
              <w:top w:val="nil"/>
              <w:left w:val="nil"/>
              <w:bottom w:val="nil"/>
              <w:right w:val="nil"/>
            </w:tcBorders>
            <w:shd w:val="clear" w:color="auto" w:fill="auto"/>
            <w:noWrap/>
            <w:vAlign w:val="bottom"/>
            <w:hideMark/>
          </w:tcPr>
          <w:p w14:paraId="111DCB8B" w14:textId="4A0116EC"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41,989</w:t>
            </w:r>
          </w:p>
        </w:tc>
      </w:tr>
      <w:tr w:rsidR="00682704" w:rsidRPr="00C04A9A" w14:paraId="285FA63A" w14:textId="77777777" w:rsidTr="00D40125">
        <w:trPr>
          <w:trHeight w:val="203"/>
        </w:trPr>
        <w:tc>
          <w:tcPr>
            <w:tcW w:w="2410" w:type="dxa"/>
            <w:tcBorders>
              <w:top w:val="nil"/>
              <w:left w:val="nil"/>
              <w:bottom w:val="nil"/>
              <w:right w:val="nil"/>
            </w:tcBorders>
            <w:shd w:val="clear" w:color="auto" w:fill="auto"/>
            <w:noWrap/>
            <w:vAlign w:val="center"/>
            <w:hideMark/>
          </w:tcPr>
          <w:p w14:paraId="57D54BCA" w14:textId="77777777" w:rsidR="00682704" w:rsidRPr="00C04A9A" w:rsidRDefault="00682704" w:rsidP="00682704">
            <w:pPr>
              <w:spacing w:after="0" w:line="240" w:lineRule="auto"/>
              <w:ind w:left="227"/>
              <w:jc w:val="left"/>
              <w:rPr>
                <w:rFonts w:ascii="Arial" w:hAnsi="Arial" w:cs="Arial"/>
                <w:sz w:val="16"/>
                <w:szCs w:val="16"/>
              </w:rPr>
            </w:pPr>
            <w:r w:rsidRPr="00C04A9A">
              <w:rPr>
                <w:rFonts w:ascii="Arial" w:hAnsi="Arial" w:cs="Arial"/>
                <w:sz w:val="16"/>
                <w:szCs w:val="16"/>
              </w:rPr>
              <w:t>Receivables</w:t>
            </w:r>
          </w:p>
        </w:tc>
        <w:tc>
          <w:tcPr>
            <w:tcW w:w="1017" w:type="dxa"/>
            <w:tcBorders>
              <w:top w:val="nil"/>
              <w:left w:val="nil"/>
              <w:bottom w:val="nil"/>
              <w:right w:val="nil"/>
            </w:tcBorders>
            <w:shd w:val="clear" w:color="auto" w:fill="auto"/>
            <w:noWrap/>
            <w:vAlign w:val="bottom"/>
            <w:hideMark/>
          </w:tcPr>
          <w:p w14:paraId="2CC956A8" w14:textId="26D92CCF"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15,410,406</w:t>
            </w:r>
          </w:p>
        </w:tc>
        <w:tc>
          <w:tcPr>
            <w:tcW w:w="1017" w:type="dxa"/>
            <w:tcBorders>
              <w:top w:val="nil"/>
              <w:left w:val="nil"/>
              <w:bottom w:val="nil"/>
              <w:right w:val="nil"/>
            </w:tcBorders>
            <w:shd w:val="clear" w:color="000000" w:fill="E6E6E6"/>
            <w:noWrap/>
            <w:vAlign w:val="bottom"/>
            <w:hideMark/>
          </w:tcPr>
          <w:p w14:paraId="430E2F71" w14:textId="7498C934"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10,233,731</w:t>
            </w:r>
          </w:p>
        </w:tc>
        <w:tc>
          <w:tcPr>
            <w:tcW w:w="1017" w:type="dxa"/>
            <w:tcBorders>
              <w:top w:val="nil"/>
              <w:left w:val="nil"/>
              <w:bottom w:val="nil"/>
              <w:right w:val="nil"/>
            </w:tcBorders>
            <w:shd w:val="clear" w:color="auto" w:fill="auto"/>
            <w:noWrap/>
            <w:vAlign w:val="bottom"/>
            <w:hideMark/>
          </w:tcPr>
          <w:p w14:paraId="123ED5AD" w14:textId="246BBF16"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11,185,581</w:t>
            </w:r>
          </w:p>
        </w:tc>
        <w:tc>
          <w:tcPr>
            <w:tcW w:w="1017" w:type="dxa"/>
            <w:tcBorders>
              <w:top w:val="nil"/>
              <w:left w:val="nil"/>
              <w:bottom w:val="nil"/>
              <w:right w:val="nil"/>
            </w:tcBorders>
            <w:shd w:val="clear" w:color="auto" w:fill="auto"/>
            <w:noWrap/>
            <w:vAlign w:val="bottom"/>
            <w:hideMark/>
          </w:tcPr>
          <w:p w14:paraId="0F97F63D" w14:textId="548E77BF"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5,208,340</w:t>
            </w:r>
          </w:p>
        </w:tc>
        <w:tc>
          <w:tcPr>
            <w:tcW w:w="1017" w:type="dxa"/>
            <w:tcBorders>
              <w:top w:val="nil"/>
              <w:left w:val="nil"/>
              <w:bottom w:val="nil"/>
              <w:right w:val="nil"/>
            </w:tcBorders>
            <w:shd w:val="clear" w:color="auto" w:fill="auto"/>
            <w:noWrap/>
            <w:vAlign w:val="bottom"/>
            <w:hideMark/>
          </w:tcPr>
          <w:p w14:paraId="53CE31F7" w14:textId="7894C289"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6,153,541</w:t>
            </w:r>
          </w:p>
        </w:tc>
      </w:tr>
      <w:tr w:rsidR="00682704" w:rsidRPr="00C04A9A" w14:paraId="5F7FE336" w14:textId="77777777" w:rsidTr="00D40125">
        <w:trPr>
          <w:trHeight w:val="203"/>
        </w:trPr>
        <w:tc>
          <w:tcPr>
            <w:tcW w:w="2410" w:type="dxa"/>
            <w:tcBorders>
              <w:top w:val="nil"/>
              <w:left w:val="nil"/>
              <w:bottom w:val="nil"/>
              <w:right w:val="nil"/>
            </w:tcBorders>
            <w:shd w:val="clear" w:color="auto" w:fill="auto"/>
            <w:noWrap/>
            <w:vAlign w:val="center"/>
            <w:hideMark/>
          </w:tcPr>
          <w:p w14:paraId="7878BC35" w14:textId="77777777" w:rsidR="00682704" w:rsidRPr="00C04A9A" w:rsidRDefault="00682704" w:rsidP="00682704">
            <w:pPr>
              <w:spacing w:after="0" w:line="240" w:lineRule="auto"/>
              <w:ind w:left="227"/>
              <w:jc w:val="left"/>
              <w:rPr>
                <w:rFonts w:ascii="Arial" w:hAnsi="Arial" w:cs="Arial"/>
                <w:sz w:val="16"/>
                <w:szCs w:val="16"/>
              </w:rPr>
            </w:pPr>
            <w:r w:rsidRPr="00C04A9A">
              <w:rPr>
                <w:rFonts w:ascii="Arial" w:hAnsi="Arial" w:cs="Arial"/>
                <w:sz w:val="16"/>
                <w:szCs w:val="16"/>
              </w:rPr>
              <w:t>Other investments</w:t>
            </w:r>
          </w:p>
        </w:tc>
        <w:tc>
          <w:tcPr>
            <w:tcW w:w="1017" w:type="dxa"/>
            <w:tcBorders>
              <w:top w:val="nil"/>
              <w:left w:val="nil"/>
              <w:bottom w:val="nil"/>
              <w:right w:val="nil"/>
            </w:tcBorders>
            <w:shd w:val="clear" w:color="auto" w:fill="auto"/>
            <w:noWrap/>
            <w:vAlign w:val="bottom"/>
            <w:hideMark/>
          </w:tcPr>
          <w:p w14:paraId="4AD945D9" w14:textId="7DF7EE0A"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35,720,055</w:t>
            </w:r>
          </w:p>
        </w:tc>
        <w:tc>
          <w:tcPr>
            <w:tcW w:w="1017" w:type="dxa"/>
            <w:tcBorders>
              <w:top w:val="nil"/>
              <w:left w:val="nil"/>
              <w:bottom w:val="nil"/>
              <w:right w:val="nil"/>
            </w:tcBorders>
            <w:shd w:val="clear" w:color="000000" w:fill="E6E6E6"/>
            <w:noWrap/>
            <w:vAlign w:val="bottom"/>
            <w:hideMark/>
          </w:tcPr>
          <w:p w14:paraId="0C5974C5" w14:textId="2B73E19B"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37,868,736</w:t>
            </w:r>
          </w:p>
        </w:tc>
        <w:tc>
          <w:tcPr>
            <w:tcW w:w="1017" w:type="dxa"/>
            <w:tcBorders>
              <w:top w:val="nil"/>
              <w:left w:val="nil"/>
              <w:bottom w:val="nil"/>
              <w:right w:val="nil"/>
            </w:tcBorders>
            <w:shd w:val="clear" w:color="auto" w:fill="auto"/>
            <w:noWrap/>
            <w:vAlign w:val="bottom"/>
            <w:hideMark/>
          </w:tcPr>
          <w:p w14:paraId="5EE1625C" w14:textId="17A2C769"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42,625,221</w:t>
            </w:r>
          </w:p>
        </w:tc>
        <w:tc>
          <w:tcPr>
            <w:tcW w:w="1017" w:type="dxa"/>
            <w:tcBorders>
              <w:top w:val="nil"/>
              <w:left w:val="nil"/>
              <w:bottom w:val="nil"/>
              <w:right w:val="nil"/>
            </w:tcBorders>
            <w:shd w:val="clear" w:color="auto" w:fill="auto"/>
            <w:noWrap/>
            <w:vAlign w:val="bottom"/>
            <w:hideMark/>
          </w:tcPr>
          <w:p w14:paraId="0787577D" w14:textId="5AC8C14A"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46,876,603</w:t>
            </w:r>
          </w:p>
        </w:tc>
        <w:tc>
          <w:tcPr>
            <w:tcW w:w="1017" w:type="dxa"/>
            <w:tcBorders>
              <w:top w:val="nil"/>
              <w:left w:val="nil"/>
              <w:bottom w:val="nil"/>
              <w:right w:val="nil"/>
            </w:tcBorders>
            <w:shd w:val="clear" w:color="auto" w:fill="auto"/>
            <w:noWrap/>
            <w:vAlign w:val="bottom"/>
            <w:hideMark/>
          </w:tcPr>
          <w:p w14:paraId="6E3417BF" w14:textId="62AC0BEC"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50,720,479</w:t>
            </w:r>
          </w:p>
        </w:tc>
      </w:tr>
      <w:tr w:rsidR="00682704" w:rsidRPr="00C04A9A" w14:paraId="283E54F1" w14:textId="77777777" w:rsidTr="00D40125">
        <w:trPr>
          <w:trHeight w:val="203"/>
        </w:trPr>
        <w:tc>
          <w:tcPr>
            <w:tcW w:w="2410" w:type="dxa"/>
            <w:tcBorders>
              <w:top w:val="nil"/>
              <w:left w:val="nil"/>
              <w:bottom w:val="nil"/>
              <w:right w:val="nil"/>
            </w:tcBorders>
            <w:shd w:val="clear" w:color="auto" w:fill="auto"/>
            <w:noWrap/>
            <w:vAlign w:val="center"/>
            <w:hideMark/>
          </w:tcPr>
          <w:p w14:paraId="483C6CF4" w14:textId="77777777" w:rsidR="00682704" w:rsidRPr="00C04A9A" w:rsidRDefault="00682704" w:rsidP="00682704">
            <w:pPr>
              <w:spacing w:after="0" w:line="240" w:lineRule="auto"/>
              <w:ind w:left="227"/>
              <w:jc w:val="left"/>
              <w:rPr>
                <w:rFonts w:ascii="Arial" w:hAnsi="Arial" w:cs="Arial"/>
                <w:sz w:val="16"/>
                <w:szCs w:val="16"/>
              </w:rPr>
            </w:pPr>
            <w:r w:rsidRPr="00C04A9A">
              <w:rPr>
                <w:rFonts w:ascii="Arial" w:hAnsi="Arial" w:cs="Arial"/>
                <w:sz w:val="16"/>
                <w:szCs w:val="16"/>
              </w:rPr>
              <w:t>Other financial assets</w:t>
            </w:r>
          </w:p>
        </w:tc>
        <w:tc>
          <w:tcPr>
            <w:tcW w:w="1017" w:type="dxa"/>
            <w:tcBorders>
              <w:top w:val="nil"/>
              <w:left w:val="nil"/>
              <w:bottom w:val="nil"/>
              <w:right w:val="nil"/>
            </w:tcBorders>
            <w:shd w:val="clear" w:color="auto" w:fill="auto"/>
            <w:noWrap/>
            <w:vAlign w:val="bottom"/>
            <w:hideMark/>
          </w:tcPr>
          <w:p w14:paraId="512C9A6A" w14:textId="7D5246FB"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83,804</w:t>
            </w:r>
          </w:p>
        </w:tc>
        <w:tc>
          <w:tcPr>
            <w:tcW w:w="1017" w:type="dxa"/>
            <w:tcBorders>
              <w:top w:val="nil"/>
              <w:left w:val="nil"/>
              <w:bottom w:val="nil"/>
              <w:right w:val="nil"/>
            </w:tcBorders>
            <w:shd w:val="clear" w:color="000000" w:fill="E6E6E6"/>
            <w:noWrap/>
            <w:vAlign w:val="bottom"/>
            <w:hideMark/>
          </w:tcPr>
          <w:p w14:paraId="372CC32E" w14:textId="5879FAC0"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83,804</w:t>
            </w:r>
          </w:p>
        </w:tc>
        <w:tc>
          <w:tcPr>
            <w:tcW w:w="1017" w:type="dxa"/>
            <w:tcBorders>
              <w:top w:val="nil"/>
              <w:left w:val="nil"/>
              <w:bottom w:val="nil"/>
              <w:right w:val="nil"/>
            </w:tcBorders>
            <w:shd w:val="clear" w:color="auto" w:fill="auto"/>
            <w:noWrap/>
            <w:vAlign w:val="bottom"/>
            <w:hideMark/>
          </w:tcPr>
          <w:p w14:paraId="4B487A0D" w14:textId="5A95836C"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83,804</w:t>
            </w:r>
          </w:p>
        </w:tc>
        <w:tc>
          <w:tcPr>
            <w:tcW w:w="1017" w:type="dxa"/>
            <w:tcBorders>
              <w:top w:val="nil"/>
              <w:left w:val="nil"/>
              <w:bottom w:val="nil"/>
              <w:right w:val="nil"/>
            </w:tcBorders>
            <w:shd w:val="clear" w:color="auto" w:fill="auto"/>
            <w:noWrap/>
            <w:vAlign w:val="bottom"/>
            <w:hideMark/>
          </w:tcPr>
          <w:p w14:paraId="367F235C" w14:textId="34DFA0C0"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83,804</w:t>
            </w:r>
          </w:p>
        </w:tc>
        <w:tc>
          <w:tcPr>
            <w:tcW w:w="1017" w:type="dxa"/>
            <w:tcBorders>
              <w:top w:val="nil"/>
              <w:left w:val="nil"/>
              <w:bottom w:val="nil"/>
              <w:right w:val="nil"/>
            </w:tcBorders>
            <w:shd w:val="clear" w:color="auto" w:fill="auto"/>
            <w:noWrap/>
            <w:vAlign w:val="bottom"/>
            <w:hideMark/>
          </w:tcPr>
          <w:p w14:paraId="467C43B5" w14:textId="0226A96A"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83,804</w:t>
            </w:r>
          </w:p>
        </w:tc>
      </w:tr>
      <w:tr w:rsidR="00682704" w:rsidRPr="00C04A9A" w14:paraId="0E19B6C9" w14:textId="77777777" w:rsidTr="00D40125">
        <w:trPr>
          <w:trHeight w:val="203"/>
        </w:trPr>
        <w:tc>
          <w:tcPr>
            <w:tcW w:w="2410" w:type="dxa"/>
            <w:tcBorders>
              <w:top w:val="nil"/>
              <w:left w:val="nil"/>
              <w:bottom w:val="nil"/>
              <w:right w:val="nil"/>
            </w:tcBorders>
            <w:shd w:val="clear" w:color="auto" w:fill="auto"/>
            <w:noWrap/>
            <w:vAlign w:val="center"/>
            <w:hideMark/>
          </w:tcPr>
          <w:p w14:paraId="7A4D6163" w14:textId="77777777" w:rsidR="00682704" w:rsidRPr="00C04A9A" w:rsidRDefault="00682704" w:rsidP="00682704">
            <w:pPr>
              <w:spacing w:after="0" w:line="240" w:lineRule="auto"/>
              <w:ind w:left="113"/>
              <w:jc w:val="left"/>
              <w:rPr>
                <w:rFonts w:ascii="Arial" w:hAnsi="Arial" w:cs="Arial"/>
                <w:b/>
                <w:bCs/>
                <w:i/>
                <w:iCs/>
                <w:color w:val="000000"/>
                <w:sz w:val="16"/>
                <w:szCs w:val="16"/>
              </w:rPr>
            </w:pPr>
            <w:r w:rsidRPr="00C04A9A">
              <w:rPr>
                <w:rFonts w:ascii="Arial" w:hAnsi="Arial" w:cs="Arial"/>
                <w:b/>
                <w:bCs/>
                <w:i/>
                <w:iCs/>
                <w:color w:val="000000"/>
                <w:sz w:val="16"/>
                <w:szCs w:val="16"/>
              </w:rPr>
              <w:t>Total financial assets</w:t>
            </w:r>
          </w:p>
        </w:tc>
        <w:tc>
          <w:tcPr>
            <w:tcW w:w="1017" w:type="dxa"/>
            <w:tcBorders>
              <w:top w:val="single" w:sz="4" w:space="0" w:color="000000"/>
              <w:left w:val="nil"/>
              <w:bottom w:val="single" w:sz="4" w:space="0" w:color="000000"/>
              <w:right w:val="nil"/>
            </w:tcBorders>
            <w:shd w:val="clear" w:color="auto" w:fill="auto"/>
            <w:noWrap/>
            <w:vAlign w:val="bottom"/>
            <w:hideMark/>
          </w:tcPr>
          <w:p w14:paraId="059E09E1" w14:textId="203DFBCF"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51,256,254</w:t>
            </w:r>
          </w:p>
        </w:tc>
        <w:tc>
          <w:tcPr>
            <w:tcW w:w="1017" w:type="dxa"/>
            <w:tcBorders>
              <w:top w:val="single" w:sz="4" w:space="0" w:color="000000"/>
              <w:left w:val="nil"/>
              <w:bottom w:val="single" w:sz="4" w:space="0" w:color="000000"/>
              <w:right w:val="nil"/>
            </w:tcBorders>
            <w:shd w:val="clear" w:color="000000" w:fill="E6E6E6"/>
            <w:noWrap/>
            <w:vAlign w:val="bottom"/>
            <w:hideMark/>
          </w:tcPr>
          <w:p w14:paraId="1AEDBA68" w14:textId="04F205CD"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48,228,260</w:t>
            </w:r>
          </w:p>
        </w:tc>
        <w:tc>
          <w:tcPr>
            <w:tcW w:w="1017" w:type="dxa"/>
            <w:tcBorders>
              <w:top w:val="single" w:sz="4" w:space="0" w:color="000000"/>
              <w:left w:val="nil"/>
              <w:bottom w:val="single" w:sz="4" w:space="0" w:color="000000"/>
              <w:right w:val="nil"/>
            </w:tcBorders>
            <w:shd w:val="clear" w:color="auto" w:fill="auto"/>
            <w:noWrap/>
            <w:vAlign w:val="bottom"/>
            <w:hideMark/>
          </w:tcPr>
          <w:p w14:paraId="2D14EE11" w14:textId="53D54C88"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53,936,595</w:t>
            </w:r>
          </w:p>
        </w:tc>
        <w:tc>
          <w:tcPr>
            <w:tcW w:w="1017" w:type="dxa"/>
            <w:tcBorders>
              <w:top w:val="single" w:sz="4" w:space="0" w:color="000000"/>
              <w:left w:val="nil"/>
              <w:bottom w:val="single" w:sz="4" w:space="0" w:color="000000"/>
              <w:right w:val="nil"/>
            </w:tcBorders>
            <w:shd w:val="clear" w:color="auto" w:fill="auto"/>
            <w:noWrap/>
            <w:vAlign w:val="bottom"/>
            <w:hideMark/>
          </w:tcPr>
          <w:p w14:paraId="16FDC431" w14:textId="38E5ED0D"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52,210,736</w:t>
            </w:r>
          </w:p>
        </w:tc>
        <w:tc>
          <w:tcPr>
            <w:tcW w:w="1017" w:type="dxa"/>
            <w:tcBorders>
              <w:top w:val="single" w:sz="4" w:space="0" w:color="000000"/>
              <w:left w:val="nil"/>
              <w:bottom w:val="single" w:sz="4" w:space="0" w:color="000000"/>
              <w:right w:val="nil"/>
            </w:tcBorders>
            <w:shd w:val="clear" w:color="auto" w:fill="auto"/>
            <w:noWrap/>
            <w:vAlign w:val="bottom"/>
            <w:hideMark/>
          </w:tcPr>
          <w:p w14:paraId="205C4041" w14:textId="67C3D7EC"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56,999,813</w:t>
            </w:r>
          </w:p>
        </w:tc>
      </w:tr>
      <w:tr w:rsidR="00682704" w:rsidRPr="00C04A9A" w14:paraId="72D92385" w14:textId="77777777" w:rsidTr="00D40125">
        <w:trPr>
          <w:trHeight w:val="203"/>
        </w:trPr>
        <w:tc>
          <w:tcPr>
            <w:tcW w:w="2410" w:type="dxa"/>
            <w:tcBorders>
              <w:top w:val="nil"/>
              <w:left w:val="nil"/>
              <w:bottom w:val="nil"/>
              <w:right w:val="nil"/>
            </w:tcBorders>
            <w:shd w:val="clear" w:color="auto" w:fill="auto"/>
            <w:noWrap/>
            <w:vAlign w:val="center"/>
            <w:hideMark/>
          </w:tcPr>
          <w:p w14:paraId="0B860734" w14:textId="77777777" w:rsidR="00682704" w:rsidRPr="00C04A9A" w:rsidRDefault="00682704" w:rsidP="00682704">
            <w:pPr>
              <w:spacing w:after="0" w:line="240" w:lineRule="auto"/>
              <w:ind w:left="113"/>
              <w:jc w:val="left"/>
              <w:rPr>
                <w:rFonts w:ascii="Arial" w:hAnsi="Arial" w:cs="Arial"/>
                <w:b/>
                <w:bCs/>
                <w:color w:val="000000"/>
                <w:sz w:val="16"/>
                <w:szCs w:val="16"/>
              </w:rPr>
            </w:pPr>
            <w:r w:rsidRPr="00C04A9A">
              <w:rPr>
                <w:rFonts w:ascii="Arial" w:hAnsi="Arial" w:cs="Arial"/>
                <w:b/>
                <w:bCs/>
                <w:color w:val="000000"/>
                <w:sz w:val="16"/>
                <w:szCs w:val="16"/>
              </w:rPr>
              <w:t>Non-financial assets</w:t>
            </w:r>
          </w:p>
        </w:tc>
        <w:tc>
          <w:tcPr>
            <w:tcW w:w="1017" w:type="dxa"/>
            <w:tcBorders>
              <w:top w:val="nil"/>
              <w:left w:val="nil"/>
              <w:bottom w:val="nil"/>
              <w:right w:val="nil"/>
            </w:tcBorders>
            <w:shd w:val="clear" w:color="auto" w:fill="auto"/>
            <w:noWrap/>
            <w:vAlign w:val="bottom"/>
            <w:hideMark/>
          </w:tcPr>
          <w:p w14:paraId="2FCF02A0" w14:textId="77777777" w:rsidR="00682704" w:rsidRPr="00C04A9A" w:rsidRDefault="00682704" w:rsidP="00682704">
            <w:pPr>
              <w:spacing w:after="0" w:line="240" w:lineRule="auto"/>
              <w:ind w:firstLineChars="100" w:firstLine="160"/>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33A47876" w14:textId="5F3F6E85" w:rsidR="00682704" w:rsidRPr="00C04A9A" w:rsidRDefault="00682704" w:rsidP="00682704">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47AE1385" w14:textId="77777777" w:rsidR="00682704" w:rsidRPr="00C04A9A" w:rsidRDefault="00682704" w:rsidP="00682704">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7C2FA82F" w14:textId="77777777" w:rsidR="00682704" w:rsidRPr="00C04A9A" w:rsidRDefault="00682704" w:rsidP="00682704">
            <w:pPr>
              <w:spacing w:after="0" w:line="240" w:lineRule="auto"/>
              <w:jc w:val="right"/>
              <w:rPr>
                <w:rFonts w:ascii="Times New Roman" w:hAnsi="Times New Roman"/>
              </w:rPr>
            </w:pPr>
          </w:p>
        </w:tc>
        <w:tc>
          <w:tcPr>
            <w:tcW w:w="1017" w:type="dxa"/>
            <w:tcBorders>
              <w:top w:val="nil"/>
              <w:left w:val="nil"/>
              <w:bottom w:val="nil"/>
              <w:right w:val="nil"/>
            </w:tcBorders>
            <w:shd w:val="clear" w:color="auto" w:fill="auto"/>
            <w:noWrap/>
            <w:vAlign w:val="bottom"/>
            <w:hideMark/>
          </w:tcPr>
          <w:p w14:paraId="4B540F3B" w14:textId="77777777" w:rsidR="00682704" w:rsidRPr="00C04A9A" w:rsidRDefault="00682704" w:rsidP="00682704">
            <w:pPr>
              <w:spacing w:after="0" w:line="240" w:lineRule="auto"/>
              <w:jc w:val="right"/>
              <w:rPr>
                <w:rFonts w:ascii="Times New Roman" w:hAnsi="Times New Roman"/>
              </w:rPr>
            </w:pPr>
          </w:p>
        </w:tc>
      </w:tr>
      <w:tr w:rsidR="00682704" w:rsidRPr="00C04A9A" w14:paraId="38EDA053" w14:textId="77777777" w:rsidTr="00D40125">
        <w:trPr>
          <w:trHeight w:val="203"/>
        </w:trPr>
        <w:tc>
          <w:tcPr>
            <w:tcW w:w="2410" w:type="dxa"/>
            <w:tcBorders>
              <w:top w:val="nil"/>
              <w:left w:val="nil"/>
              <w:bottom w:val="nil"/>
              <w:right w:val="nil"/>
            </w:tcBorders>
            <w:shd w:val="clear" w:color="auto" w:fill="auto"/>
            <w:noWrap/>
            <w:vAlign w:val="center"/>
            <w:hideMark/>
          </w:tcPr>
          <w:p w14:paraId="0F34A466" w14:textId="77777777" w:rsidR="00682704" w:rsidRPr="00C04A9A" w:rsidRDefault="00682704" w:rsidP="00682704">
            <w:pPr>
              <w:spacing w:after="0" w:line="240" w:lineRule="auto"/>
              <w:ind w:left="227"/>
              <w:jc w:val="left"/>
              <w:rPr>
                <w:rFonts w:ascii="Arial" w:hAnsi="Arial" w:cs="Arial"/>
                <w:sz w:val="16"/>
                <w:szCs w:val="16"/>
              </w:rPr>
            </w:pPr>
            <w:r w:rsidRPr="00C04A9A">
              <w:rPr>
                <w:rFonts w:ascii="Arial" w:hAnsi="Arial" w:cs="Arial"/>
                <w:sz w:val="16"/>
                <w:szCs w:val="16"/>
              </w:rPr>
              <w:t>Land and buildings</w:t>
            </w:r>
          </w:p>
        </w:tc>
        <w:tc>
          <w:tcPr>
            <w:tcW w:w="1017" w:type="dxa"/>
            <w:tcBorders>
              <w:top w:val="nil"/>
              <w:left w:val="nil"/>
              <w:bottom w:val="nil"/>
              <w:right w:val="nil"/>
            </w:tcBorders>
            <w:shd w:val="clear" w:color="auto" w:fill="auto"/>
            <w:noWrap/>
            <w:vAlign w:val="bottom"/>
            <w:hideMark/>
          </w:tcPr>
          <w:p w14:paraId="719392ED" w14:textId="1F7FD2D7"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206,528</w:t>
            </w:r>
          </w:p>
        </w:tc>
        <w:tc>
          <w:tcPr>
            <w:tcW w:w="1017" w:type="dxa"/>
            <w:tcBorders>
              <w:top w:val="nil"/>
              <w:left w:val="nil"/>
              <w:bottom w:val="nil"/>
              <w:right w:val="nil"/>
            </w:tcBorders>
            <w:shd w:val="clear" w:color="000000" w:fill="E6E6E6"/>
            <w:noWrap/>
            <w:vAlign w:val="bottom"/>
            <w:hideMark/>
          </w:tcPr>
          <w:p w14:paraId="45787EF1" w14:textId="05C83283"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203,785</w:t>
            </w:r>
          </w:p>
        </w:tc>
        <w:tc>
          <w:tcPr>
            <w:tcW w:w="1017" w:type="dxa"/>
            <w:tcBorders>
              <w:top w:val="nil"/>
              <w:left w:val="nil"/>
              <w:bottom w:val="nil"/>
              <w:right w:val="nil"/>
            </w:tcBorders>
            <w:shd w:val="clear" w:color="auto" w:fill="auto"/>
            <w:noWrap/>
            <w:vAlign w:val="bottom"/>
            <w:hideMark/>
          </w:tcPr>
          <w:p w14:paraId="3AAAAC4F" w14:textId="6C468C1A"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200,559</w:t>
            </w:r>
          </w:p>
        </w:tc>
        <w:tc>
          <w:tcPr>
            <w:tcW w:w="1017" w:type="dxa"/>
            <w:tcBorders>
              <w:top w:val="nil"/>
              <w:left w:val="nil"/>
              <w:bottom w:val="nil"/>
              <w:right w:val="nil"/>
            </w:tcBorders>
            <w:shd w:val="clear" w:color="auto" w:fill="auto"/>
            <w:noWrap/>
            <w:vAlign w:val="bottom"/>
            <w:hideMark/>
          </w:tcPr>
          <w:p w14:paraId="40A1147D" w14:textId="6979AA58"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206,620</w:t>
            </w:r>
          </w:p>
        </w:tc>
        <w:tc>
          <w:tcPr>
            <w:tcW w:w="1017" w:type="dxa"/>
            <w:tcBorders>
              <w:top w:val="nil"/>
              <w:left w:val="nil"/>
              <w:bottom w:val="nil"/>
              <w:right w:val="nil"/>
            </w:tcBorders>
            <w:shd w:val="clear" w:color="auto" w:fill="auto"/>
            <w:noWrap/>
            <w:vAlign w:val="bottom"/>
            <w:hideMark/>
          </w:tcPr>
          <w:p w14:paraId="7E9BC551" w14:textId="7B88D732"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197,516</w:t>
            </w:r>
          </w:p>
        </w:tc>
      </w:tr>
      <w:tr w:rsidR="00682704" w:rsidRPr="00C04A9A" w14:paraId="04159F75" w14:textId="77777777" w:rsidTr="00D40125">
        <w:trPr>
          <w:trHeight w:val="203"/>
        </w:trPr>
        <w:tc>
          <w:tcPr>
            <w:tcW w:w="2410" w:type="dxa"/>
            <w:tcBorders>
              <w:top w:val="nil"/>
              <w:left w:val="nil"/>
              <w:bottom w:val="nil"/>
              <w:right w:val="nil"/>
            </w:tcBorders>
            <w:shd w:val="clear" w:color="auto" w:fill="auto"/>
            <w:noWrap/>
            <w:vAlign w:val="center"/>
            <w:hideMark/>
          </w:tcPr>
          <w:p w14:paraId="0F2C5936" w14:textId="77777777" w:rsidR="00682704" w:rsidRPr="00C04A9A" w:rsidRDefault="00682704" w:rsidP="00682704">
            <w:pPr>
              <w:spacing w:after="0" w:line="240" w:lineRule="auto"/>
              <w:ind w:left="227"/>
              <w:jc w:val="left"/>
              <w:rPr>
                <w:rFonts w:ascii="Arial" w:hAnsi="Arial" w:cs="Arial"/>
                <w:sz w:val="16"/>
                <w:szCs w:val="16"/>
              </w:rPr>
            </w:pPr>
            <w:r w:rsidRPr="00C04A9A">
              <w:rPr>
                <w:rFonts w:ascii="Arial" w:hAnsi="Arial" w:cs="Arial"/>
                <w:sz w:val="16"/>
                <w:szCs w:val="16"/>
              </w:rPr>
              <w:t>Property, plant and equipment</w:t>
            </w:r>
          </w:p>
        </w:tc>
        <w:tc>
          <w:tcPr>
            <w:tcW w:w="1017" w:type="dxa"/>
            <w:tcBorders>
              <w:top w:val="nil"/>
              <w:left w:val="nil"/>
              <w:bottom w:val="nil"/>
              <w:right w:val="nil"/>
            </w:tcBorders>
            <w:shd w:val="clear" w:color="auto" w:fill="auto"/>
            <w:noWrap/>
            <w:vAlign w:val="bottom"/>
            <w:hideMark/>
          </w:tcPr>
          <w:p w14:paraId="336723EA" w14:textId="4BB48237"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447,851</w:t>
            </w:r>
          </w:p>
        </w:tc>
        <w:tc>
          <w:tcPr>
            <w:tcW w:w="1017" w:type="dxa"/>
            <w:tcBorders>
              <w:top w:val="nil"/>
              <w:left w:val="nil"/>
              <w:bottom w:val="nil"/>
              <w:right w:val="nil"/>
            </w:tcBorders>
            <w:shd w:val="clear" w:color="000000" w:fill="E6E6E6"/>
            <w:noWrap/>
            <w:vAlign w:val="bottom"/>
            <w:hideMark/>
          </w:tcPr>
          <w:p w14:paraId="16D9A3CC" w14:textId="66F444EE"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450,953</w:t>
            </w:r>
          </w:p>
        </w:tc>
        <w:tc>
          <w:tcPr>
            <w:tcW w:w="1017" w:type="dxa"/>
            <w:tcBorders>
              <w:top w:val="nil"/>
              <w:left w:val="nil"/>
              <w:bottom w:val="nil"/>
              <w:right w:val="nil"/>
            </w:tcBorders>
            <w:shd w:val="clear" w:color="auto" w:fill="auto"/>
            <w:noWrap/>
            <w:vAlign w:val="bottom"/>
            <w:hideMark/>
          </w:tcPr>
          <w:p w14:paraId="366D9024" w14:textId="44054D34"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493,820</w:t>
            </w:r>
          </w:p>
        </w:tc>
        <w:tc>
          <w:tcPr>
            <w:tcW w:w="1017" w:type="dxa"/>
            <w:tcBorders>
              <w:top w:val="nil"/>
              <w:left w:val="nil"/>
              <w:bottom w:val="nil"/>
              <w:right w:val="nil"/>
            </w:tcBorders>
            <w:shd w:val="clear" w:color="auto" w:fill="auto"/>
            <w:noWrap/>
            <w:vAlign w:val="bottom"/>
            <w:hideMark/>
          </w:tcPr>
          <w:p w14:paraId="243F9669" w14:textId="1A6FAF91"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515,880</w:t>
            </w:r>
          </w:p>
        </w:tc>
        <w:tc>
          <w:tcPr>
            <w:tcW w:w="1017" w:type="dxa"/>
            <w:tcBorders>
              <w:top w:val="nil"/>
              <w:left w:val="nil"/>
              <w:bottom w:val="nil"/>
              <w:right w:val="nil"/>
            </w:tcBorders>
            <w:shd w:val="clear" w:color="auto" w:fill="auto"/>
            <w:noWrap/>
            <w:vAlign w:val="bottom"/>
            <w:hideMark/>
          </w:tcPr>
          <w:p w14:paraId="367A121C" w14:textId="49AF01D3"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516,067</w:t>
            </w:r>
          </w:p>
        </w:tc>
      </w:tr>
      <w:tr w:rsidR="00682704" w:rsidRPr="00C04A9A" w14:paraId="473784F6" w14:textId="77777777" w:rsidTr="00D40125">
        <w:trPr>
          <w:trHeight w:val="203"/>
        </w:trPr>
        <w:tc>
          <w:tcPr>
            <w:tcW w:w="2410" w:type="dxa"/>
            <w:tcBorders>
              <w:top w:val="nil"/>
              <w:left w:val="nil"/>
              <w:bottom w:val="nil"/>
              <w:right w:val="nil"/>
            </w:tcBorders>
            <w:shd w:val="clear" w:color="auto" w:fill="auto"/>
            <w:noWrap/>
            <w:vAlign w:val="center"/>
            <w:hideMark/>
          </w:tcPr>
          <w:p w14:paraId="4C92F277" w14:textId="77777777" w:rsidR="00682704" w:rsidRPr="00C04A9A" w:rsidRDefault="00682704" w:rsidP="00682704">
            <w:pPr>
              <w:spacing w:after="0" w:line="240" w:lineRule="auto"/>
              <w:ind w:left="227"/>
              <w:jc w:val="left"/>
              <w:rPr>
                <w:rFonts w:ascii="Arial" w:hAnsi="Arial" w:cs="Arial"/>
                <w:sz w:val="16"/>
                <w:szCs w:val="16"/>
              </w:rPr>
            </w:pPr>
            <w:r w:rsidRPr="00C04A9A">
              <w:rPr>
                <w:rFonts w:ascii="Arial" w:hAnsi="Arial" w:cs="Arial"/>
                <w:sz w:val="16"/>
                <w:szCs w:val="16"/>
              </w:rPr>
              <w:t>Heritage and cultural assets</w:t>
            </w:r>
          </w:p>
        </w:tc>
        <w:tc>
          <w:tcPr>
            <w:tcW w:w="1017" w:type="dxa"/>
            <w:tcBorders>
              <w:top w:val="nil"/>
              <w:left w:val="nil"/>
              <w:bottom w:val="nil"/>
              <w:right w:val="nil"/>
            </w:tcBorders>
            <w:shd w:val="clear" w:color="auto" w:fill="auto"/>
            <w:noWrap/>
            <w:vAlign w:val="bottom"/>
            <w:hideMark/>
          </w:tcPr>
          <w:p w14:paraId="3C6CAA74" w14:textId="59E5E5AD"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173,869</w:t>
            </w:r>
          </w:p>
        </w:tc>
        <w:tc>
          <w:tcPr>
            <w:tcW w:w="1017" w:type="dxa"/>
            <w:tcBorders>
              <w:top w:val="nil"/>
              <w:left w:val="nil"/>
              <w:bottom w:val="nil"/>
              <w:right w:val="nil"/>
            </w:tcBorders>
            <w:shd w:val="clear" w:color="000000" w:fill="E6E6E6"/>
            <w:noWrap/>
            <w:vAlign w:val="bottom"/>
            <w:hideMark/>
          </w:tcPr>
          <w:p w14:paraId="2FD3FB35" w14:textId="63A8F882"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172,345</w:t>
            </w:r>
          </w:p>
        </w:tc>
        <w:tc>
          <w:tcPr>
            <w:tcW w:w="1017" w:type="dxa"/>
            <w:tcBorders>
              <w:top w:val="nil"/>
              <w:left w:val="nil"/>
              <w:bottom w:val="nil"/>
              <w:right w:val="nil"/>
            </w:tcBorders>
            <w:shd w:val="clear" w:color="auto" w:fill="auto"/>
            <w:noWrap/>
            <w:vAlign w:val="bottom"/>
            <w:hideMark/>
          </w:tcPr>
          <w:p w14:paraId="7258FCA3" w14:textId="64528B2F"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170,464</w:t>
            </w:r>
          </w:p>
        </w:tc>
        <w:tc>
          <w:tcPr>
            <w:tcW w:w="1017" w:type="dxa"/>
            <w:tcBorders>
              <w:top w:val="nil"/>
              <w:left w:val="nil"/>
              <w:bottom w:val="nil"/>
              <w:right w:val="nil"/>
            </w:tcBorders>
            <w:shd w:val="clear" w:color="auto" w:fill="auto"/>
            <w:noWrap/>
            <w:vAlign w:val="bottom"/>
            <w:hideMark/>
          </w:tcPr>
          <w:p w14:paraId="5AE0F7FE" w14:textId="4DB282DC"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168,582</w:t>
            </w:r>
          </w:p>
        </w:tc>
        <w:tc>
          <w:tcPr>
            <w:tcW w:w="1017" w:type="dxa"/>
            <w:tcBorders>
              <w:top w:val="nil"/>
              <w:left w:val="nil"/>
              <w:bottom w:val="nil"/>
              <w:right w:val="nil"/>
            </w:tcBorders>
            <w:shd w:val="clear" w:color="auto" w:fill="auto"/>
            <w:noWrap/>
            <w:vAlign w:val="bottom"/>
            <w:hideMark/>
          </w:tcPr>
          <w:p w14:paraId="0396B201" w14:textId="54530444"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167,782</w:t>
            </w:r>
          </w:p>
        </w:tc>
      </w:tr>
      <w:tr w:rsidR="00682704" w:rsidRPr="00C04A9A" w14:paraId="139878E5" w14:textId="77777777" w:rsidTr="00D40125">
        <w:trPr>
          <w:trHeight w:val="203"/>
        </w:trPr>
        <w:tc>
          <w:tcPr>
            <w:tcW w:w="2410" w:type="dxa"/>
            <w:tcBorders>
              <w:top w:val="nil"/>
              <w:left w:val="nil"/>
              <w:bottom w:val="nil"/>
              <w:right w:val="nil"/>
            </w:tcBorders>
            <w:shd w:val="clear" w:color="auto" w:fill="auto"/>
            <w:noWrap/>
            <w:vAlign w:val="center"/>
            <w:hideMark/>
          </w:tcPr>
          <w:p w14:paraId="37F4BED7" w14:textId="77777777" w:rsidR="00682704" w:rsidRPr="00C04A9A" w:rsidRDefault="00682704" w:rsidP="00682704">
            <w:pPr>
              <w:spacing w:after="0" w:line="240" w:lineRule="auto"/>
              <w:ind w:left="227"/>
              <w:jc w:val="left"/>
              <w:rPr>
                <w:rFonts w:ascii="Arial" w:hAnsi="Arial" w:cs="Arial"/>
                <w:sz w:val="16"/>
                <w:szCs w:val="16"/>
              </w:rPr>
            </w:pPr>
            <w:r w:rsidRPr="00C04A9A">
              <w:rPr>
                <w:rFonts w:ascii="Arial" w:hAnsi="Arial" w:cs="Arial"/>
                <w:sz w:val="16"/>
                <w:szCs w:val="16"/>
              </w:rPr>
              <w:t>Intangibles</w:t>
            </w:r>
          </w:p>
        </w:tc>
        <w:tc>
          <w:tcPr>
            <w:tcW w:w="1017" w:type="dxa"/>
            <w:tcBorders>
              <w:top w:val="nil"/>
              <w:left w:val="nil"/>
              <w:bottom w:val="nil"/>
              <w:right w:val="nil"/>
            </w:tcBorders>
            <w:shd w:val="clear" w:color="auto" w:fill="auto"/>
            <w:noWrap/>
            <w:vAlign w:val="bottom"/>
            <w:hideMark/>
          </w:tcPr>
          <w:p w14:paraId="434A000B" w14:textId="0FD79673"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6,766</w:t>
            </w:r>
          </w:p>
        </w:tc>
        <w:tc>
          <w:tcPr>
            <w:tcW w:w="1017" w:type="dxa"/>
            <w:tcBorders>
              <w:top w:val="nil"/>
              <w:left w:val="nil"/>
              <w:bottom w:val="nil"/>
              <w:right w:val="nil"/>
            </w:tcBorders>
            <w:shd w:val="clear" w:color="000000" w:fill="E6E6E6"/>
            <w:noWrap/>
            <w:vAlign w:val="bottom"/>
            <w:hideMark/>
          </w:tcPr>
          <w:p w14:paraId="08F079D8" w14:textId="5CB362E9"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6,749</w:t>
            </w:r>
          </w:p>
        </w:tc>
        <w:tc>
          <w:tcPr>
            <w:tcW w:w="1017" w:type="dxa"/>
            <w:tcBorders>
              <w:top w:val="nil"/>
              <w:left w:val="nil"/>
              <w:bottom w:val="nil"/>
              <w:right w:val="nil"/>
            </w:tcBorders>
            <w:shd w:val="clear" w:color="auto" w:fill="auto"/>
            <w:noWrap/>
            <w:vAlign w:val="bottom"/>
            <w:hideMark/>
          </w:tcPr>
          <w:p w14:paraId="0C7F10C3" w14:textId="68E67A21"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6,749</w:t>
            </w:r>
          </w:p>
        </w:tc>
        <w:tc>
          <w:tcPr>
            <w:tcW w:w="1017" w:type="dxa"/>
            <w:tcBorders>
              <w:top w:val="nil"/>
              <w:left w:val="nil"/>
              <w:bottom w:val="nil"/>
              <w:right w:val="nil"/>
            </w:tcBorders>
            <w:shd w:val="clear" w:color="auto" w:fill="auto"/>
            <w:noWrap/>
            <w:vAlign w:val="bottom"/>
            <w:hideMark/>
          </w:tcPr>
          <w:p w14:paraId="01B2D2A6" w14:textId="6CE83CFF"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6,749</w:t>
            </w:r>
          </w:p>
        </w:tc>
        <w:tc>
          <w:tcPr>
            <w:tcW w:w="1017" w:type="dxa"/>
            <w:tcBorders>
              <w:top w:val="nil"/>
              <w:left w:val="nil"/>
              <w:bottom w:val="nil"/>
              <w:right w:val="nil"/>
            </w:tcBorders>
            <w:shd w:val="clear" w:color="auto" w:fill="auto"/>
            <w:noWrap/>
            <w:vAlign w:val="bottom"/>
            <w:hideMark/>
          </w:tcPr>
          <w:p w14:paraId="4447DA8F" w14:textId="2478E9E4"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6,749</w:t>
            </w:r>
          </w:p>
        </w:tc>
      </w:tr>
      <w:tr w:rsidR="00682704" w:rsidRPr="00C04A9A" w14:paraId="5A7A2585" w14:textId="77777777" w:rsidTr="00D40125">
        <w:trPr>
          <w:trHeight w:val="203"/>
        </w:trPr>
        <w:tc>
          <w:tcPr>
            <w:tcW w:w="2410" w:type="dxa"/>
            <w:tcBorders>
              <w:top w:val="nil"/>
              <w:left w:val="nil"/>
              <w:bottom w:val="nil"/>
              <w:right w:val="nil"/>
            </w:tcBorders>
            <w:shd w:val="clear" w:color="auto" w:fill="auto"/>
            <w:noWrap/>
            <w:vAlign w:val="center"/>
            <w:hideMark/>
          </w:tcPr>
          <w:p w14:paraId="5B62A49C" w14:textId="77777777" w:rsidR="00682704" w:rsidRPr="00C04A9A" w:rsidRDefault="00682704" w:rsidP="00682704">
            <w:pPr>
              <w:spacing w:after="0" w:line="240" w:lineRule="auto"/>
              <w:ind w:left="227"/>
              <w:jc w:val="left"/>
              <w:rPr>
                <w:rFonts w:ascii="Arial" w:hAnsi="Arial" w:cs="Arial"/>
                <w:sz w:val="16"/>
                <w:szCs w:val="16"/>
              </w:rPr>
            </w:pPr>
            <w:r w:rsidRPr="00C04A9A">
              <w:rPr>
                <w:rFonts w:ascii="Arial" w:hAnsi="Arial" w:cs="Arial"/>
                <w:sz w:val="16"/>
                <w:szCs w:val="16"/>
              </w:rPr>
              <w:t>Inventories</w:t>
            </w:r>
          </w:p>
        </w:tc>
        <w:tc>
          <w:tcPr>
            <w:tcW w:w="1017" w:type="dxa"/>
            <w:tcBorders>
              <w:top w:val="nil"/>
              <w:left w:val="nil"/>
              <w:bottom w:val="nil"/>
              <w:right w:val="nil"/>
            </w:tcBorders>
            <w:shd w:val="clear" w:color="auto" w:fill="auto"/>
            <w:noWrap/>
            <w:vAlign w:val="bottom"/>
            <w:hideMark/>
          </w:tcPr>
          <w:p w14:paraId="7251D015" w14:textId="4DB18EFE"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2,632</w:t>
            </w:r>
          </w:p>
        </w:tc>
        <w:tc>
          <w:tcPr>
            <w:tcW w:w="1017" w:type="dxa"/>
            <w:tcBorders>
              <w:top w:val="nil"/>
              <w:left w:val="nil"/>
              <w:bottom w:val="nil"/>
              <w:right w:val="nil"/>
            </w:tcBorders>
            <w:shd w:val="clear" w:color="000000" w:fill="E6E6E6"/>
            <w:noWrap/>
            <w:vAlign w:val="bottom"/>
            <w:hideMark/>
          </w:tcPr>
          <w:p w14:paraId="47A8A68C" w14:textId="2FC784D6"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268,122</w:t>
            </w:r>
          </w:p>
        </w:tc>
        <w:tc>
          <w:tcPr>
            <w:tcW w:w="1017" w:type="dxa"/>
            <w:tcBorders>
              <w:top w:val="nil"/>
              <w:left w:val="nil"/>
              <w:bottom w:val="nil"/>
              <w:right w:val="nil"/>
            </w:tcBorders>
            <w:shd w:val="clear" w:color="auto" w:fill="auto"/>
            <w:noWrap/>
            <w:vAlign w:val="bottom"/>
            <w:hideMark/>
          </w:tcPr>
          <w:p w14:paraId="2C0A1882" w14:textId="143FC210"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268,122</w:t>
            </w:r>
          </w:p>
        </w:tc>
        <w:tc>
          <w:tcPr>
            <w:tcW w:w="1017" w:type="dxa"/>
            <w:tcBorders>
              <w:top w:val="nil"/>
              <w:left w:val="nil"/>
              <w:bottom w:val="nil"/>
              <w:right w:val="nil"/>
            </w:tcBorders>
            <w:shd w:val="clear" w:color="auto" w:fill="auto"/>
            <w:noWrap/>
            <w:vAlign w:val="bottom"/>
            <w:hideMark/>
          </w:tcPr>
          <w:p w14:paraId="1A5B104A" w14:textId="6D049BC1"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268,122</w:t>
            </w:r>
          </w:p>
        </w:tc>
        <w:tc>
          <w:tcPr>
            <w:tcW w:w="1017" w:type="dxa"/>
            <w:tcBorders>
              <w:top w:val="nil"/>
              <w:left w:val="nil"/>
              <w:bottom w:val="nil"/>
              <w:right w:val="nil"/>
            </w:tcBorders>
            <w:shd w:val="clear" w:color="auto" w:fill="auto"/>
            <w:noWrap/>
            <w:vAlign w:val="bottom"/>
            <w:hideMark/>
          </w:tcPr>
          <w:p w14:paraId="328CB14A" w14:textId="64D820F0"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268,122</w:t>
            </w:r>
          </w:p>
        </w:tc>
      </w:tr>
      <w:tr w:rsidR="00682704" w:rsidRPr="00C04A9A" w14:paraId="47BC2692" w14:textId="77777777" w:rsidTr="00D40125">
        <w:trPr>
          <w:trHeight w:val="203"/>
        </w:trPr>
        <w:tc>
          <w:tcPr>
            <w:tcW w:w="2410" w:type="dxa"/>
            <w:tcBorders>
              <w:top w:val="nil"/>
              <w:left w:val="nil"/>
              <w:bottom w:val="nil"/>
              <w:right w:val="nil"/>
            </w:tcBorders>
            <w:shd w:val="clear" w:color="auto" w:fill="auto"/>
            <w:noWrap/>
            <w:vAlign w:val="center"/>
            <w:hideMark/>
          </w:tcPr>
          <w:p w14:paraId="1AFE3DA7" w14:textId="77777777" w:rsidR="00682704" w:rsidRPr="00C04A9A" w:rsidRDefault="00682704" w:rsidP="00682704">
            <w:pPr>
              <w:spacing w:after="0" w:line="240" w:lineRule="auto"/>
              <w:ind w:left="227"/>
              <w:jc w:val="left"/>
              <w:rPr>
                <w:rFonts w:ascii="Arial" w:hAnsi="Arial" w:cs="Arial"/>
                <w:sz w:val="16"/>
                <w:szCs w:val="16"/>
              </w:rPr>
            </w:pPr>
            <w:r w:rsidRPr="00C04A9A">
              <w:rPr>
                <w:rFonts w:ascii="Arial" w:hAnsi="Arial" w:cs="Arial"/>
                <w:sz w:val="16"/>
                <w:szCs w:val="16"/>
              </w:rPr>
              <w:t>Other non-financial assets</w:t>
            </w:r>
          </w:p>
        </w:tc>
        <w:tc>
          <w:tcPr>
            <w:tcW w:w="1017" w:type="dxa"/>
            <w:tcBorders>
              <w:top w:val="nil"/>
              <w:left w:val="nil"/>
              <w:bottom w:val="nil"/>
              <w:right w:val="nil"/>
            </w:tcBorders>
            <w:shd w:val="clear" w:color="auto" w:fill="auto"/>
            <w:noWrap/>
            <w:vAlign w:val="bottom"/>
            <w:hideMark/>
          </w:tcPr>
          <w:p w14:paraId="268FFD72" w14:textId="527491B2"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3,071</w:t>
            </w:r>
          </w:p>
        </w:tc>
        <w:tc>
          <w:tcPr>
            <w:tcW w:w="1017" w:type="dxa"/>
            <w:tcBorders>
              <w:top w:val="nil"/>
              <w:left w:val="nil"/>
              <w:bottom w:val="nil"/>
              <w:right w:val="nil"/>
            </w:tcBorders>
            <w:shd w:val="clear" w:color="000000" w:fill="E6E6E6"/>
            <w:noWrap/>
            <w:vAlign w:val="bottom"/>
            <w:hideMark/>
          </w:tcPr>
          <w:p w14:paraId="7CFAC6B7" w14:textId="5D0632D4"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2,888</w:t>
            </w:r>
          </w:p>
        </w:tc>
        <w:tc>
          <w:tcPr>
            <w:tcW w:w="1017" w:type="dxa"/>
            <w:tcBorders>
              <w:top w:val="nil"/>
              <w:left w:val="nil"/>
              <w:bottom w:val="nil"/>
              <w:right w:val="nil"/>
            </w:tcBorders>
            <w:shd w:val="clear" w:color="auto" w:fill="auto"/>
            <w:noWrap/>
            <w:vAlign w:val="bottom"/>
            <w:hideMark/>
          </w:tcPr>
          <w:p w14:paraId="3BA6658C" w14:textId="51D8CEB3"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2,976</w:t>
            </w:r>
          </w:p>
        </w:tc>
        <w:tc>
          <w:tcPr>
            <w:tcW w:w="1017" w:type="dxa"/>
            <w:tcBorders>
              <w:top w:val="nil"/>
              <w:left w:val="nil"/>
              <w:bottom w:val="nil"/>
              <w:right w:val="nil"/>
            </w:tcBorders>
            <w:shd w:val="clear" w:color="auto" w:fill="auto"/>
            <w:noWrap/>
            <w:vAlign w:val="bottom"/>
            <w:hideMark/>
          </w:tcPr>
          <w:p w14:paraId="79928A7E" w14:textId="057E8126"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3,179</w:t>
            </w:r>
          </w:p>
        </w:tc>
        <w:tc>
          <w:tcPr>
            <w:tcW w:w="1017" w:type="dxa"/>
            <w:tcBorders>
              <w:top w:val="nil"/>
              <w:left w:val="nil"/>
              <w:bottom w:val="nil"/>
              <w:right w:val="nil"/>
            </w:tcBorders>
            <w:shd w:val="clear" w:color="auto" w:fill="auto"/>
            <w:noWrap/>
            <w:vAlign w:val="bottom"/>
            <w:hideMark/>
          </w:tcPr>
          <w:p w14:paraId="05D7ED6D" w14:textId="612D334B"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3,222</w:t>
            </w:r>
          </w:p>
        </w:tc>
      </w:tr>
      <w:tr w:rsidR="00682704" w:rsidRPr="00C04A9A" w14:paraId="6555C73D" w14:textId="77777777" w:rsidTr="00D40125">
        <w:trPr>
          <w:trHeight w:val="203"/>
        </w:trPr>
        <w:tc>
          <w:tcPr>
            <w:tcW w:w="2410" w:type="dxa"/>
            <w:tcBorders>
              <w:top w:val="nil"/>
              <w:left w:val="nil"/>
              <w:bottom w:val="nil"/>
              <w:right w:val="nil"/>
            </w:tcBorders>
            <w:shd w:val="clear" w:color="auto" w:fill="auto"/>
            <w:noWrap/>
            <w:vAlign w:val="center"/>
            <w:hideMark/>
          </w:tcPr>
          <w:p w14:paraId="18207CD1" w14:textId="77777777" w:rsidR="00682704" w:rsidRPr="00C04A9A" w:rsidRDefault="00682704" w:rsidP="00682704">
            <w:pPr>
              <w:spacing w:after="0" w:line="240" w:lineRule="auto"/>
              <w:ind w:left="113"/>
              <w:jc w:val="left"/>
              <w:rPr>
                <w:rFonts w:ascii="Arial" w:hAnsi="Arial" w:cs="Arial"/>
                <w:b/>
                <w:bCs/>
                <w:i/>
                <w:iCs/>
                <w:color w:val="000000"/>
                <w:sz w:val="16"/>
                <w:szCs w:val="16"/>
              </w:rPr>
            </w:pPr>
            <w:r w:rsidRPr="00C04A9A">
              <w:rPr>
                <w:rFonts w:ascii="Arial" w:hAnsi="Arial" w:cs="Arial"/>
                <w:b/>
                <w:bCs/>
                <w:i/>
                <w:iCs/>
                <w:color w:val="000000"/>
                <w:sz w:val="16"/>
                <w:szCs w:val="16"/>
              </w:rPr>
              <w:t>Total non-financial assets</w:t>
            </w:r>
          </w:p>
        </w:tc>
        <w:tc>
          <w:tcPr>
            <w:tcW w:w="1017" w:type="dxa"/>
            <w:tcBorders>
              <w:top w:val="single" w:sz="4" w:space="0" w:color="000000"/>
              <w:left w:val="nil"/>
              <w:bottom w:val="single" w:sz="4" w:space="0" w:color="000000"/>
              <w:right w:val="nil"/>
            </w:tcBorders>
            <w:shd w:val="clear" w:color="000000" w:fill="FFFFFF"/>
            <w:noWrap/>
            <w:vAlign w:val="bottom"/>
            <w:hideMark/>
          </w:tcPr>
          <w:p w14:paraId="3161263C" w14:textId="1E15AFB2"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840,717</w:t>
            </w:r>
          </w:p>
        </w:tc>
        <w:tc>
          <w:tcPr>
            <w:tcW w:w="1017" w:type="dxa"/>
            <w:tcBorders>
              <w:top w:val="single" w:sz="4" w:space="0" w:color="000000"/>
              <w:left w:val="nil"/>
              <w:bottom w:val="single" w:sz="4" w:space="0" w:color="000000"/>
              <w:right w:val="nil"/>
            </w:tcBorders>
            <w:shd w:val="clear" w:color="000000" w:fill="E6E6E6"/>
            <w:noWrap/>
            <w:vAlign w:val="bottom"/>
            <w:hideMark/>
          </w:tcPr>
          <w:p w14:paraId="77048A22" w14:textId="41020546"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1,104,842</w:t>
            </w:r>
          </w:p>
        </w:tc>
        <w:tc>
          <w:tcPr>
            <w:tcW w:w="1017" w:type="dxa"/>
            <w:tcBorders>
              <w:top w:val="single" w:sz="4" w:space="0" w:color="000000"/>
              <w:left w:val="nil"/>
              <w:bottom w:val="single" w:sz="4" w:space="0" w:color="000000"/>
              <w:right w:val="nil"/>
            </w:tcBorders>
            <w:shd w:val="clear" w:color="auto" w:fill="auto"/>
            <w:noWrap/>
            <w:vAlign w:val="bottom"/>
            <w:hideMark/>
          </w:tcPr>
          <w:p w14:paraId="04343F5A" w14:textId="05911E75"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1,142,690</w:t>
            </w:r>
          </w:p>
        </w:tc>
        <w:tc>
          <w:tcPr>
            <w:tcW w:w="1017" w:type="dxa"/>
            <w:tcBorders>
              <w:top w:val="single" w:sz="4" w:space="0" w:color="000000"/>
              <w:left w:val="nil"/>
              <w:bottom w:val="single" w:sz="4" w:space="0" w:color="000000"/>
              <w:right w:val="nil"/>
            </w:tcBorders>
            <w:shd w:val="clear" w:color="auto" w:fill="auto"/>
            <w:noWrap/>
            <w:vAlign w:val="bottom"/>
            <w:hideMark/>
          </w:tcPr>
          <w:p w14:paraId="636F230E" w14:textId="2B4A21AE"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1,169,132</w:t>
            </w:r>
          </w:p>
        </w:tc>
        <w:tc>
          <w:tcPr>
            <w:tcW w:w="1017" w:type="dxa"/>
            <w:tcBorders>
              <w:top w:val="single" w:sz="4" w:space="0" w:color="000000"/>
              <w:left w:val="nil"/>
              <w:bottom w:val="single" w:sz="4" w:space="0" w:color="000000"/>
              <w:right w:val="nil"/>
            </w:tcBorders>
            <w:shd w:val="clear" w:color="auto" w:fill="auto"/>
            <w:noWrap/>
            <w:vAlign w:val="bottom"/>
            <w:hideMark/>
          </w:tcPr>
          <w:p w14:paraId="39A0B53D" w14:textId="55FAEC5F"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1,159,458</w:t>
            </w:r>
          </w:p>
        </w:tc>
      </w:tr>
      <w:tr w:rsidR="00682704" w:rsidRPr="00C04A9A" w14:paraId="60A625F2" w14:textId="77777777" w:rsidTr="00D40125">
        <w:trPr>
          <w:trHeight w:val="203"/>
        </w:trPr>
        <w:tc>
          <w:tcPr>
            <w:tcW w:w="2410" w:type="dxa"/>
            <w:tcBorders>
              <w:top w:val="nil"/>
              <w:left w:val="nil"/>
              <w:bottom w:val="nil"/>
              <w:right w:val="nil"/>
            </w:tcBorders>
            <w:shd w:val="clear" w:color="auto" w:fill="auto"/>
            <w:noWrap/>
            <w:vAlign w:val="center"/>
            <w:hideMark/>
          </w:tcPr>
          <w:p w14:paraId="26C96673" w14:textId="77777777" w:rsidR="00682704" w:rsidRPr="00C04A9A" w:rsidRDefault="00682704" w:rsidP="00682704">
            <w:pPr>
              <w:spacing w:after="0" w:line="240" w:lineRule="auto"/>
              <w:ind w:left="227"/>
              <w:jc w:val="left"/>
              <w:rPr>
                <w:rFonts w:ascii="Arial" w:hAnsi="Arial" w:cs="Arial"/>
                <w:color w:val="000000"/>
                <w:sz w:val="16"/>
                <w:szCs w:val="16"/>
              </w:rPr>
            </w:pPr>
            <w:r w:rsidRPr="00C04A9A">
              <w:rPr>
                <w:rFonts w:ascii="Arial" w:hAnsi="Arial" w:cs="Arial"/>
                <w:color w:val="000000"/>
                <w:sz w:val="16"/>
                <w:szCs w:val="16"/>
              </w:rPr>
              <w:t>Assets held for sale</w:t>
            </w:r>
          </w:p>
        </w:tc>
        <w:tc>
          <w:tcPr>
            <w:tcW w:w="1017" w:type="dxa"/>
            <w:tcBorders>
              <w:top w:val="nil"/>
              <w:left w:val="nil"/>
              <w:bottom w:val="nil"/>
              <w:right w:val="nil"/>
            </w:tcBorders>
            <w:shd w:val="clear" w:color="000000" w:fill="FFFFFF"/>
            <w:noWrap/>
            <w:vAlign w:val="bottom"/>
            <w:hideMark/>
          </w:tcPr>
          <w:p w14:paraId="176C03D9" w14:textId="164AE263"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265,390</w:t>
            </w:r>
          </w:p>
        </w:tc>
        <w:tc>
          <w:tcPr>
            <w:tcW w:w="1017" w:type="dxa"/>
            <w:tcBorders>
              <w:top w:val="nil"/>
              <w:left w:val="nil"/>
              <w:bottom w:val="nil"/>
              <w:right w:val="nil"/>
            </w:tcBorders>
            <w:shd w:val="clear" w:color="000000" w:fill="E6E6E6"/>
            <w:noWrap/>
            <w:vAlign w:val="bottom"/>
            <w:hideMark/>
          </w:tcPr>
          <w:p w14:paraId="25DC6CE8" w14:textId="51DBBCB1"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017" w:type="dxa"/>
            <w:tcBorders>
              <w:top w:val="nil"/>
              <w:left w:val="nil"/>
              <w:bottom w:val="nil"/>
              <w:right w:val="nil"/>
            </w:tcBorders>
            <w:shd w:val="clear" w:color="auto" w:fill="auto"/>
            <w:noWrap/>
            <w:vAlign w:val="bottom"/>
            <w:hideMark/>
          </w:tcPr>
          <w:p w14:paraId="144AC84A" w14:textId="75E2AC23"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017" w:type="dxa"/>
            <w:tcBorders>
              <w:top w:val="nil"/>
              <w:left w:val="nil"/>
              <w:bottom w:val="nil"/>
              <w:right w:val="nil"/>
            </w:tcBorders>
            <w:shd w:val="clear" w:color="auto" w:fill="auto"/>
            <w:noWrap/>
            <w:vAlign w:val="bottom"/>
            <w:hideMark/>
          </w:tcPr>
          <w:p w14:paraId="13F287B7" w14:textId="13F2B2C1"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c>
          <w:tcPr>
            <w:tcW w:w="1017" w:type="dxa"/>
            <w:tcBorders>
              <w:top w:val="nil"/>
              <w:left w:val="nil"/>
              <w:bottom w:val="nil"/>
              <w:right w:val="nil"/>
            </w:tcBorders>
            <w:shd w:val="clear" w:color="auto" w:fill="auto"/>
            <w:noWrap/>
            <w:vAlign w:val="bottom"/>
            <w:hideMark/>
          </w:tcPr>
          <w:p w14:paraId="5A4D403C" w14:textId="60C0494A"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w:t>
            </w:r>
          </w:p>
        </w:tc>
      </w:tr>
      <w:tr w:rsidR="00682704" w:rsidRPr="00C04A9A" w14:paraId="7959BF4A" w14:textId="77777777" w:rsidTr="00D40125">
        <w:trPr>
          <w:trHeight w:val="203"/>
        </w:trPr>
        <w:tc>
          <w:tcPr>
            <w:tcW w:w="2410" w:type="dxa"/>
            <w:tcBorders>
              <w:top w:val="nil"/>
              <w:left w:val="nil"/>
              <w:bottom w:val="nil"/>
              <w:right w:val="nil"/>
            </w:tcBorders>
            <w:shd w:val="clear" w:color="auto" w:fill="auto"/>
            <w:vAlign w:val="center"/>
            <w:hideMark/>
          </w:tcPr>
          <w:p w14:paraId="610AA12F" w14:textId="595189A6" w:rsidR="00682704" w:rsidRPr="00C04A9A" w:rsidRDefault="00682704" w:rsidP="00682704">
            <w:pPr>
              <w:spacing w:after="0" w:line="240" w:lineRule="auto"/>
              <w:jc w:val="left"/>
              <w:rPr>
                <w:rFonts w:ascii="Arial" w:hAnsi="Arial" w:cs="Arial"/>
                <w:b/>
                <w:bCs/>
                <w:color w:val="000000"/>
                <w:sz w:val="16"/>
                <w:szCs w:val="16"/>
              </w:rPr>
            </w:pPr>
            <w:r w:rsidRPr="00C04A9A">
              <w:rPr>
                <w:rFonts w:ascii="Arial" w:hAnsi="Arial" w:cs="Arial"/>
                <w:b/>
                <w:bCs/>
                <w:color w:val="000000"/>
                <w:sz w:val="16"/>
                <w:szCs w:val="16"/>
              </w:rPr>
              <w:t>Total assets administered on</w:t>
            </w:r>
            <w:r>
              <w:rPr>
                <w:rFonts w:ascii="Arial" w:hAnsi="Arial" w:cs="Arial"/>
                <w:b/>
                <w:bCs/>
                <w:color w:val="000000"/>
                <w:sz w:val="16"/>
                <w:szCs w:val="16"/>
              </w:rPr>
              <w:t xml:space="preserve"> </w:t>
            </w:r>
            <w:r w:rsidRPr="00C04A9A">
              <w:rPr>
                <w:rFonts w:ascii="Arial" w:hAnsi="Arial" w:cs="Arial"/>
                <w:b/>
                <w:bCs/>
                <w:color w:val="000000"/>
                <w:sz w:val="16"/>
                <w:szCs w:val="16"/>
              </w:rPr>
              <w:t>behalf of Government</w:t>
            </w:r>
          </w:p>
        </w:tc>
        <w:tc>
          <w:tcPr>
            <w:tcW w:w="1017" w:type="dxa"/>
            <w:tcBorders>
              <w:top w:val="single" w:sz="4" w:space="0" w:color="auto"/>
              <w:left w:val="nil"/>
              <w:bottom w:val="single" w:sz="4" w:space="0" w:color="auto"/>
              <w:right w:val="nil"/>
            </w:tcBorders>
            <w:shd w:val="clear" w:color="auto" w:fill="auto"/>
            <w:noWrap/>
            <w:vAlign w:val="bottom"/>
            <w:hideMark/>
          </w:tcPr>
          <w:p w14:paraId="6FD673F8" w14:textId="4BC8780B"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52,362,361</w:t>
            </w:r>
          </w:p>
        </w:tc>
        <w:tc>
          <w:tcPr>
            <w:tcW w:w="1017" w:type="dxa"/>
            <w:tcBorders>
              <w:top w:val="single" w:sz="4" w:space="0" w:color="auto"/>
              <w:left w:val="nil"/>
              <w:bottom w:val="single" w:sz="4" w:space="0" w:color="auto"/>
              <w:right w:val="nil"/>
            </w:tcBorders>
            <w:shd w:val="clear" w:color="000000" w:fill="E6E6E6"/>
            <w:noWrap/>
            <w:vAlign w:val="bottom"/>
            <w:hideMark/>
          </w:tcPr>
          <w:p w14:paraId="112BE084" w14:textId="64B227DE"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49,333,102</w:t>
            </w:r>
          </w:p>
        </w:tc>
        <w:tc>
          <w:tcPr>
            <w:tcW w:w="1017" w:type="dxa"/>
            <w:tcBorders>
              <w:top w:val="single" w:sz="4" w:space="0" w:color="auto"/>
              <w:left w:val="nil"/>
              <w:bottom w:val="single" w:sz="4" w:space="0" w:color="auto"/>
              <w:right w:val="nil"/>
            </w:tcBorders>
            <w:shd w:val="clear" w:color="auto" w:fill="auto"/>
            <w:noWrap/>
            <w:vAlign w:val="bottom"/>
            <w:hideMark/>
          </w:tcPr>
          <w:p w14:paraId="5B50DF53" w14:textId="21B062BE"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55,079,285</w:t>
            </w:r>
          </w:p>
        </w:tc>
        <w:tc>
          <w:tcPr>
            <w:tcW w:w="1017" w:type="dxa"/>
            <w:tcBorders>
              <w:top w:val="single" w:sz="4" w:space="0" w:color="auto"/>
              <w:left w:val="nil"/>
              <w:bottom w:val="single" w:sz="4" w:space="0" w:color="auto"/>
              <w:right w:val="nil"/>
            </w:tcBorders>
            <w:shd w:val="clear" w:color="auto" w:fill="auto"/>
            <w:noWrap/>
            <w:vAlign w:val="bottom"/>
            <w:hideMark/>
          </w:tcPr>
          <w:p w14:paraId="489455E8" w14:textId="06C8C681"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53,379,868</w:t>
            </w:r>
          </w:p>
        </w:tc>
        <w:tc>
          <w:tcPr>
            <w:tcW w:w="1017" w:type="dxa"/>
            <w:tcBorders>
              <w:top w:val="single" w:sz="4" w:space="0" w:color="auto"/>
              <w:left w:val="nil"/>
              <w:bottom w:val="single" w:sz="4" w:space="0" w:color="auto"/>
              <w:right w:val="nil"/>
            </w:tcBorders>
            <w:shd w:val="clear" w:color="auto" w:fill="auto"/>
            <w:noWrap/>
            <w:vAlign w:val="bottom"/>
            <w:hideMark/>
          </w:tcPr>
          <w:p w14:paraId="7DB08E8D" w14:textId="5F73EE2C"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58,159,271</w:t>
            </w:r>
          </w:p>
        </w:tc>
      </w:tr>
      <w:tr w:rsidR="00682704" w:rsidRPr="00C04A9A" w14:paraId="2FBF3A6E" w14:textId="77777777" w:rsidTr="00D40125">
        <w:trPr>
          <w:trHeight w:val="203"/>
        </w:trPr>
        <w:tc>
          <w:tcPr>
            <w:tcW w:w="2410" w:type="dxa"/>
            <w:tcBorders>
              <w:top w:val="nil"/>
              <w:left w:val="nil"/>
              <w:bottom w:val="nil"/>
              <w:right w:val="nil"/>
            </w:tcBorders>
            <w:shd w:val="clear" w:color="auto" w:fill="auto"/>
            <w:noWrap/>
            <w:vAlign w:val="center"/>
            <w:hideMark/>
          </w:tcPr>
          <w:p w14:paraId="030C74B2" w14:textId="77777777" w:rsidR="00682704" w:rsidRPr="00C04A9A" w:rsidRDefault="00682704" w:rsidP="00682704">
            <w:pPr>
              <w:spacing w:after="0" w:line="240" w:lineRule="auto"/>
              <w:jc w:val="left"/>
              <w:rPr>
                <w:rFonts w:ascii="Arial" w:hAnsi="Arial" w:cs="Arial"/>
                <w:b/>
                <w:bCs/>
                <w:color w:val="000000"/>
                <w:sz w:val="16"/>
                <w:szCs w:val="16"/>
              </w:rPr>
            </w:pPr>
            <w:r w:rsidRPr="00C04A9A">
              <w:rPr>
                <w:rFonts w:ascii="Arial" w:hAnsi="Arial" w:cs="Arial"/>
                <w:b/>
                <w:bCs/>
                <w:color w:val="000000"/>
                <w:sz w:val="16"/>
                <w:szCs w:val="16"/>
              </w:rPr>
              <w:t>LIABILITIES</w:t>
            </w:r>
          </w:p>
        </w:tc>
        <w:tc>
          <w:tcPr>
            <w:tcW w:w="1017" w:type="dxa"/>
            <w:tcBorders>
              <w:top w:val="nil"/>
              <w:left w:val="nil"/>
              <w:bottom w:val="nil"/>
              <w:right w:val="nil"/>
            </w:tcBorders>
            <w:shd w:val="clear" w:color="auto" w:fill="auto"/>
            <w:noWrap/>
            <w:vAlign w:val="bottom"/>
            <w:hideMark/>
          </w:tcPr>
          <w:p w14:paraId="0FE5790E" w14:textId="77777777" w:rsidR="00682704" w:rsidRPr="00C04A9A" w:rsidRDefault="00682704" w:rsidP="00682704">
            <w:pPr>
              <w:spacing w:after="0" w:line="240" w:lineRule="auto"/>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7161BDE4" w14:textId="7D84E75F" w:rsidR="00682704" w:rsidRPr="00C04A9A" w:rsidRDefault="00682704" w:rsidP="00682704">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4DBEC053" w14:textId="77777777" w:rsidR="00682704" w:rsidRPr="00C04A9A" w:rsidRDefault="00682704" w:rsidP="00682704">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29E50A98" w14:textId="77777777" w:rsidR="00682704" w:rsidRPr="00C04A9A" w:rsidRDefault="00682704" w:rsidP="00682704">
            <w:pPr>
              <w:spacing w:after="0" w:line="240" w:lineRule="auto"/>
              <w:jc w:val="right"/>
              <w:rPr>
                <w:rFonts w:ascii="Times New Roman" w:hAnsi="Times New Roman"/>
              </w:rPr>
            </w:pPr>
          </w:p>
        </w:tc>
        <w:tc>
          <w:tcPr>
            <w:tcW w:w="1017" w:type="dxa"/>
            <w:tcBorders>
              <w:top w:val="nil"/>
              <w:left w:val="nil"/>
              <w:bottom w:val="nil"/>
              <w:right w:val="nil"/>
            </w:tcBorders>
            <w:shd w:val="clear" w:color="auto" w:fill="auto"/>
            <w:noWrap/>
            <w:vAlign w:val="bottom"/>
            <w:hideMark/>
          </w:tcPr>
          <w:p w14:paraId="52D425E9" w14:textId="77777777" w:rsidR="00682704" w:rsidRPr="00C04A9A" w:rsidRDefault="00682704" w:rsidP="00682704">
            <w:pPr>
              <w:spacing w:after="0" w:line="240" w:lineRule="auto"/>
              <w:jc w:val="right"/>
              <w:rPr>
                <w:rFonts w:ascii="Times New Roman" w:hAnsi="Times New Roman"/>
              </w:rPr>
            </w:pPr>
          </w:p>
        </w:tc>
      </w:tr>
      <w:tr w:rsidR="00682704" w:rsidRPr="00C04A9A" w14:paraId="3A2B6994" w14:textId="77777777" w:rsidTr="00D40125">
        <w:trPr>
          <w:trHeight w:val="203"/>
        </w:trPr>
        <w:tc>
          <w:tcPr>
            <w:tcW w:w="2410" w:type="dxa"/>
            <w:tcBorders>
              <w:top w:val="nil"/>
              <w:left w:val="nil"/>
              <w:bottom w:val="nil"/>
              <w:right w:val="nil"/>
            </w:tcBorders>
            <w:shd w:val="clear" w:color="auto" w:fill="auto"/>
            <w:noWrap/>
            <w:vAlign w:val="center"/>
            <w:hideMark/>
          </w:tcPr>
          <w:p w14:paraId="56315F2F" w14:textId="77777777" w:rsidR="00682704" w:rsidRPr="00C04A9A" w:rsidRDefault="00682704" w:rsidP="00682704">
            <w:pPr>
              <w:spacing w:after="0" w:line="240" w:lineRule="auto"/>
              <w:ind w:left="113"/>
              <w:jc w:val="left"/>
              <w:rPr>
                <w:rFonts w:ascii="Arial" w:hAnsi="Arial" w:cs="Arial"/>
                <w:b/>
                <w:bCs/>
                <w:color w:val="000000"/>
                <w:sz w:val="16"/>
                <w:szCs w:val="16"/>
              </w:rPr>
            </w:pPr>
            <w:r w:rsidRPr="00C04A9A">
              <w:rPr>
                <w:rFonts w:ascii="Arial" w:hAnsi="Arial" w:cs="Arial"/>
                <w:b/>
                <w:bCs/>
                <w:color w:val="000000"/>
                <w:sz w:val="16"/>
                <w:szCs w:val="16"/>
              </w:rPr>
              <w:t>Payables</w:t>
            </w:r>
          </w:p>
        </w:tc>
        <w:tc>
          <w:tcPr>
            <w:tcW w:w="1017" w:type="dxa"/>
            <w:tcBorders>
              <w:top w:val="nil"/>
              <w:left w:val="nil"/>
              <w:bottom w:val="nil"/>
              <w:right w:val="nil"/>
            </w:tcBorders>
            <w:shd w:val="clear" w:color="auto" w:fill="auto"/>
            <w:noWrap/>
            <w:vAlign w:val="bottom"/>
            <w:hideMark/>
          </w:tcPr>
          <w:p w14:paraId="3F1D6404" w14:textId="77777777" w:rsidR="00682704" w:rsidRPr="00C04A9A" w:rsidRDefault="00682704" w:rsidP="00682704">
            <w:pPr>
              <w:spacing w:after="0" w:line="240" w:lineRule="auto"/>
              <w:ind w:firstLineChars="100" w:firstLine="160"/>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6592D467" w14:textId="6EAD1C19" w:rsidR="00682704" w:rsidRPr="00C04A9A" w:rsidRDefault="00682704" w:rsidP="00682704">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4CEB6349" w14:textId="77777777" w:rsidR="00682704" w:rsidRPr="00C04A9A" w:rsidRDefault="00682704" w:rsidP="00682704">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7D4CC8A0" w14:textId="77777777" w:rsidR="00682704" w:rsidRPr="00C04A9A" w:rsidRDefault="00682704" w:rsidP="00682704">
            <w:pPr>
              <w:spacing w:after="0" w:line="240" w:lineRule="auto"/>
              <w:jc w:val="right"/>
              <w:rPr>
                <w:rFonts w:ascii="Times New Roman" w:hAnsi="Times New Roman"/>
              </w:rPr>
            </w:pPr>
          </w:p>
        </w:tc>
        <w:tc>
          <w:tcPr>
            <w:tcW w:w="1017" w:type="dxa"/>
            <w:tcBorders>
              <w:top w:val="nil"/>
              <w:left w:val="nil"/>
              <w:bottom w:val="nil"/>
              <w:right w:val="nil"/>
            </w:tcBorders>
            <w:shd w:val="clear" w:color="auto" w:fill="auto"/>
            <w:noWrap/>
            <w:vAlign w:val="bottom"/>
            <w:hideMark/>
          </w:tcPr>
          <w:p w14:paraId="05B98B8E" w14:textId="77777777" w:rsidR="00682704" w:rsidRPr="00C04A9A" w:rsidRDefault="00682704" w:rsidP="00682704">
            <w:pPr>
              <w:spacing w:after="0" w:line="240" w:lineRule="auto"/>
              <w:jc w:val="right"/>
              <w:rPr>
                <w:rFonts w:ascii="Times New Roman" w:hAnsi="Times New Roman"/>
              </w:rPr>
            </w:pPr>
          </w:p>
        </w:tc>
      </w:tr>
      <w:tr w:rsidR="00682704" w:rsidRPr="00C04A9A" w14:paraId="0EF9EFAE" w14:textId="77777777" w:rsidTr="00D40125">
        <w:trPr>
          <w:trHeight w:val="203"/>
        </w:trPr>
        <w:tc>
          <w:tcPr>
            <w:tcW w:w="2410" w:type="dxa"/>
            <w:tcBorders>
              <w:top w:val="nil"/>
              <w:left w:val="nil"/>
              <w:bottom w:val="nil"/>
              <w:right w:val="nil"/>
            </w:tcBorders>
            <w:shd w:val="clear" w:color="auto" w:fill="auto"/>
            <w:noWrap/>
            <w:vAlign w:val="center"/>
            <w:hideMark/>
          </w:tcPr>
          <w:p w14:paraId="2E7E25F0" w14:textId="77777777" w:rsidR="00682704" w:rsidRPr="00C04A9A" w:rsidRDefault="00682704" w:rsidP="00682704">
            <w:pPr>
              <w:spacing w:after="0" w:line="240" w:lineRule="auto"/>
              <w:ind w:left="227"/>
              <w:jc w:val="left"/>
              <w:rPr>
                <w:rFonts w:ascii="Arial" w:hAnsi="Arial" w:cs="Arial"/>
                <w:color w:val="000000"/>
                <w:sz w:val="16"/>
                <w:szCs w:val="16"/>
              </w:rPr>
            </w:pPr>
            <w:r w:rsidRPr="00C04A9A">
              <w:rPr>
                <w:rFonts w:ascii="Arial" w:hAnsi="Arial" w:cs="Arial"/>
                <w:color w:val="000000"/>
                <w:sz w:val="16"/>
                <w:szCs w:val="16"/>
              </w:rPr>
              <w:t>Suppliers</w:t>
            </w:r>
          </w:p>
        </w:tc>
        <w:tc>
          <w:tcPr>
            <w:tcW w:w="1017" w:type="dxa"/>
            <w:tcBorders>
              <w:top w:val="nil"/>
              <w:left w:val="nil"/>
              <w:bottom w:val="nil"/>
              <w:right w:val="nil"/>
            </w:tcBorders>
            <w:shd w:val="clear" w:color="auto" w:fill="auto"/>
            <w:noWrap/>
            <w:vAlign w:val="bottom"/>
            <w:hideMark/>
          </w:tcPr>
          <w:p w14:paraId="3882337E" w14:textId="021BDD34"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353,698</w:t>
            </w:r>
          </w:p>
        </w:tc>
        <w:tc>
          <w:tcPr>
            <w:tcW w:w="1017" w:type="dxa"/>
            <w:tcBorders>
              <w:top w:val="nil"/>
              <w:left w:val="nil"/>
              <w:bottom w:val="nil"/>
              <w:right w:val="nil"/>
            </w:tcBorders>
            <w:shd w:val="clear" w:color="000000" w:fill="E6E6E6"/>
            <w:noWrap/>
            <w:vAlign w:val="bottom"/>
            <w:hideMark/>
          </w:tcPr>
          <w:p w14:paraId="75FE314D" w14:textId="0201B995"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362,671</w:t>
            </w:r>
          </w:p>
        </w:tc>
        <w:tc>
          <w:tcPr>
            <w:tcW w:w="1017" w:type="dxa"/>
            <w:tcBorders>
              <w:top w:val="nil"/>
              <w:left w:val="nil"/>
              <w:bottom w:val="nil"/>
              <w:right w:val="nil"/>
            </w:tcBorders>
            <w:shd w:val="clear" w:color="auto" w:fill="auto"/>
            <w:noWrap/>
            <w:vAlign w:val="bottom"/>
            <w:hideMark/>
          </w:tcPr>
          <w:p w14:paraId="33B65095" w14:textId="17394A9F"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362,671</w:t>
            </w:r>
          </w:p>
        </w:tc>
        <w:tc>
          <w:tcPr>
            <w:tcW w:w="1017" w:type="dxa"/>
            <w:tcBorders>
              <w:top w:val="nil"/>
              <w:left w:val="nil"/>
              <w:bottom w:val="nil"/>
              <w:right w:val="nil"/>
            </w:tcBorders>
            <w:shd w:val="clear" w:color="auto" w:fill="auto"/>
            <w:noWrap/>
            <w:vAlign w:val="bottom"/>
            <w:hideMark/>
          </w:tcPr>
          <w:p w14:paraId="743E3679" w14:textId="0BF076CC"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362,671</w:t>
            </w:r>
          </w:p>
        </w:tc>
        <w:tc>
          <w:tcPr>
            <w:tcW w:w="1017" w:type="dxa"/>
            <w:tcBorders>
              <w:top w:val="nil"/>
              <w:left w:val="nil"/>
              <w:bottom w:val="nil"/>
              <w:right w:val="nil"/>
            </w:tcBorders>
            <w:shd w:val="clear" w:color="auto" w:fill="auto"/>
            <w:noWrap/>
            <w:vAlign w:val="bottom"/>
            <w:hideMark/>
          </w:tcPr>
          <w:p w14:paraId="11BCB1B4" w14:textId="230A3570"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362,671</w:t>
            </w:r>
          </w:p>
        </w:tc>
      </w:tr>
      <w:tr w:rsidR="00682704" w:rsidRPr="00C04A9A" w14:paraId="55395113" w14:textId="77777777" w:rsidTr="00D40125">
        <w:trPr>
          <w:trHeight w:val="203"/>
        </w:trPr>
        <w:tc>
          <w:tcPr>
            <w:tcW w:w="2410" w:type="dxa"/>
            <w:tcBorders>
              <w:top w:val="nil"/>
              <w:left w:val="nil"/>
              <w:bottom w:val="nil"/>
              <w:right w:val="nil"/>
            </w:tcBorders>
            <w:shd w:val="clear" w:color="auto" w:fill="auto"/>
            <w:noWrap/>
            <w:vAlign w:val="center"/>
            <w:hideMark/>
          </w:tcPr>
          <w:p w14:paraId="256C9CE9" w14:textId="77777777" w:rsidR="00682704" w:rsidRPr="00C04A9A" w:rsidRDefault="00682704" w:rsidP="00682704">
            <w:pPr>
              <w:spacing w:after="0" w:line="240" w:lineRule="auto"/>
              <w:ind w:left="227"/>
              <w:jc w:val="left"/>
              <w:rPr>
                <w:rFonts w:ascii="Arial" w:hAnsi="Arial" w:cs="Arial"/>
                <w:color w:val="000000"/>
                <w:sz w:val="16"/>
                <w:szCs w:val="16"/>
              </w:rPr>
            </w:pPr>
            <w:r w:rsidRPr="00C04A9A">
              <w:rPr>
                <w:rFonts w:ascii="Arial" w:hAnsi="Arial" w:cs="Arial"/>
                <w:color w:val="000000"/>
                <w:sz w:val="16"/>
                <w:szCs w:val="16"/>
              </w:rPr>
              <w:t>Subsidies</w:t>
            </w:r>
          </w:p>
        </w:tc>
        <w:tc>
          <w:tcPr>
            <w:tcW w:w="1017" w:type="dxa"/>
            <w:tcBorders>
              <w:top w:val="nil"/>
              <w:left w:val="nil"/>
              <w:bottom w:val="nil"/>
              <w:right w:val="nil"/>
            </w:tcBorders>
            <w:shd w:val="clear" w:color="auto" w:fill="auto"/>
            <w:noWrap/>
            <w:vAlign w:val="bottom"/>
            <w:hideMark/>
          </w:tcPr>
          <w:p w14:paraId="52CC610C" w14:textId="59B0DC5A"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100,306</w:t>
            </w:r>
          </w:p>
        </w:tc>
        <w:tc>
          <w:tcPr>
            <w:tcW w:w="1017" w:type="dxa"/>
            <w:tcBorders>
              <w:top w:val="nil"/>
              <w:left w:val="nil"/>
              <w:bottom w:val="nil"/>
              <w:right w:val="nil"/>
            </w:tcBorders>
            <w:shd w:val="clear" w:color="000000" w:fill="E6E6E6"/>
            <w:noWrap/>
            <w:vAlign w:val="bottom"/>
            <w:hideMark/>
          </w:tcPr>
          <w:p w14:paraId="05B3F15D" w14:textId="71024814"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80,306</w:t>
            </w:r>
          </w:p>
        </w:tc>
        <w:tc>
          <w:tcPr>
            <w:tcW w:w="1017" w:type="dxa"/>
            <w:tcBorders>
              <w:top w:val="nil"/>
              <w:left w:val="nil"/>
              <w:bottom w:val="nil"/>
              <w:right w:val="nil"/>
            </w:tcBorders>
            <w:shd w:val="clear" w:color="auto" w:fill="auto"/>
            <w:noWrap/>
            <w:vAlign w:val="bottom"/>
            <w:hideMark/>
          </w:tcPr>
          <w:p w14:paraId="633F34C1" w14:textId="7F9409DE"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80,306</w:t>
            </w:r>
          </w:p>
        </w:tc>
        <w:tc>
          <w:tcPr>
            <w:tcW w:w="1017" w:type="dxa"/>
            <w:tcBorders>
              <w:top w:val="nil"/>
              <w:left w:val="nil"/>
              <w:bottom w:val="nil"/>
              <w:right w:val="nil"/>
            </w:tcBorders>
            <w:shd w:val="clear" w:color="auto" w:fill="auto"/>
            <w:noWrap/>
            <w:vAlign w:val="bottom"/>
            <w:hideMark/>
          </w:tcPr>
          <w:p w14:paraId="0AD7C441" w14:textId="6D4B8B59"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80,306</w:t>
            </w:r>
          </w:p>
        </w:tc>
        <w:tc>
          <w:tcPr>
            <w:tcW w:w="1017" w:type="dxa"/>
            <w:tcBorders>
              <w:top w:val="nil"/>
              <w:left w:val="nil"/>
              <w:bottom w:val="nil"/>
              <w:right w:val="nil"/>
            </w:tcBorders>
            <w:shd w:val="clear" w:color="auto" w:fill="auto"/>
            <w:noWrap/>
            <w:vAlign w:val="bottom"/>
            <w:hideMark/>
          </w:tcPr>
          <w:p w14:paraId="1290B9EC" w14:textId="062DBF5C"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80,306</w:t>
            </w:r>
          </w:p>
        </w:tc>
      </w:tr>
      <w:tr w:rsidR="00682704" w:rsidRPr="00C04A9A" w14:paraId="4C7ADBE3" w14:textId="77777777" w:rsidTr="00D40125">
        <w:trPr>
          <w:trHeight w:val="203"/>
        </w:trPr>
        <w:tc>
          <w:tcPr>
            <w:tcW w:w="2410" w:type="dxa"/>
            <w:tcBorders>
              <w:top w:val="nil"/>
              <w:left w:val="nil"/>
              <w:bottom w:val="nil"/>
              <w:right w:val="nil"/>
            </w:tcBorders>
            <w:shd w:val="clear" w:color="auto" w:fill="auto"/>
            <w:noWrap/>
            <w:vAlign w:val="center"/>
            <w:hideMark/>
          </w:tcPr>
          <w:p w14:paraId="12E8248A" w14:textId="77777777" w:rsidR="00682704" w:rsidRPr="00C04A9A" w:rsidRDefault="00682704" w:rsidP="00682704">
            <w:pPr>
              <w:spacing w:after="0" w:line="240" w:lineRule="auto"/>
              <w:ind w:left="227"/>
              <w:jc w:val="left"/>
              <w:rPr>
                <w:rFonts w:ascii="Arial" w:hAnsi="Arial" w:cs="Arial"/>
                <w:color w:val="000000"/>
                <w:sz w:val="16"/>
                <w:szCs w:val="16"/>
              </w:rPr>
            </w:pPr>
            <w:r w:rsidRPr="00C04A9A">
              <w:rPr>
                <w:rFonts w:ascii="Arial" w:hAnsi="Arial" w:cs="Arial"/>
                <w:color w:val="000000"/>
                <w:sz w:val="16"/>
                <w:szCs w:val="16"/>
              </w:rPr>
              <w:t>Grants</w:t>
            </w:r>
          </w:p>
        </w:tc>
        <w:tc>
          <w:tcPr>
            <w:tcW w:w="1017" w:type="dxa"/>
            <w:tcBorders>
              <w:top w:val="nil"/>
              <w:left w:val="nil"/>
              <w:bottom w:val="nil"/>
              <w:right w:val="nil"/>
            </w:tcBorders>
            <w:shd w:val="clear" w:color="auto" w:fill="auto"/>
            <w:noWrap/>
            <w:vAlign w:val="bottom"/>
            <w:hideMark/>
          </w:tcPr>
          <w:p w14:paraId="6ECE856A" w14:textId="2412E0CC"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94,662</w:t>
            </w:r>
          </w:p>
        </w:tc>
        <w:tc>
          <w:tcPr>
            <w:tcW w:w="1017" w:type="dxa"/>
            <w:tcBorders>
              <w:top w:val="nil"/>
              <w:left w:val="nil"/>
              <w:bottom w:val="nil"/>
              <w:right w:val="nil"/>
            </w:tcBorders>
            <w:shd w:val="clear" w:color="000000" w:fill="E6E6E6"/>
            <w:noWrap/>
            <w:vAlign w:val="bottom"/>
            <w:hideMark/>
          </w:tcPr>
          <w:p w14:paraId="03E1380F" w14:textId="0346CAAE"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95,914</w:t>
            </w:r>
          </w:p>
        </w:tc>
        <w:tc>
          <w:tcPr>
            <w:tcW w:w="1017" w:type="dxa"/>
            <w:tcBorders>
              <w:top w:val="nil"/>
              <w:left w:val="nil"/>
              <w:bottom w:val="nil"/>
              <w:right w:val="nil"/>
            </w:tcBorders>
            <w:shd w:val="clear" w:color="auto" w:fill="auto"/>
            <w:noWrap/>
            <w:vAlign w:val="bottom"/>
            <w:hideMark/>
          </w:tcPr>
          <w:p w14:paraId="7230575C" w14:textId="4DDA1D26"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95,593</w:t>
            </w:r>
          </w:p>
        </w:tc>
        <w:tc>
          <w:tcPr>
            <w:tcW w:w="1017" w:type="dxa"/>
            <w:tcBorders>
              <w:top w:val="nil"/>
              <w:left w:val="nil"/>
              <w:bottom w:val="nil"/>
              <w:right w:val="nil"/>
            </w:tcBorders>
            <w:shd w:val="clear" w:color="auto" w:fill="auto"/>
            <w:noWrap/>
            <w:vAlign w:val="bottom"/>
            <w:hideMark/>
          </w:tcPr>
          <w:p w14:paraId="4394624D" w14:textId="439D0D87"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95,731</w:t>
            </w:r>
          </w:p>
        </w:tc>
        <w:tc>
          <w:tcPr>
            <w:tcW w:w="1017" w:type="dxa"/>
            <w:tcBorders>
              <w:top w:val="nil"/>
              <w:left w:val="nil"/>
              <w:bottom w:val="nil"/>
              <w:right w:val="nil"/>
            </w:tcBorders>
            <w:shd w:val="clear" w:color="auto" w:fill="auto"/>
            <w:noWrap/>
            <w:vAlign w:val="bottom"/>
            <w:hideMark/>
          </w:tcPr>
          <w:p w14:paraId="2E8C03CF" w14:textId="7B1CD2E6"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96,366</w:t>
            </w:r>
          </w:p>
        </w:tc>
      </w:tr>
      <w:tr w:rsidR="00682704" w:rsidRPr="00C04A9A" w14:paraId="5C94B410" w14:textId="77777777" w:rsidTr="00D40125">
        <w:trPr>
          <w:trHeight w:val="203"/>
        </w:trPr>
        <w:tc>
          <w:tcPr>
            <w:tcW w:w="2410" w:type="dxa"/>
            <w:tcBorders>
              <w:top w:val="nil"/>
              <w:left w:val="nil"/>
              <w:bottom w:val="nil"/>
              <w:right w:val="nil"/>
            </w:tcBorders>
            <w:shd w:val="clear" w:color="auto" w:fill="auto"/>
            <w:noWrap/>
            <w:vAlign w:val="center"/>
            <w:hideMark/>
          </w:tcPr>
          <w:p w14:paraId="20527C71" w14:textId="77777777" w:rsidR="00682704" w:rsidRPr="00C04A9A" w:rsidRDefault="00682704" w:rsidP="00682704">
            <w:pPr>
              <w:spacing w:after="0" w:line="240" w:lineRule="auto"/>
              <w:ind w:left="227"/>
              <w:jc w:val="left"/>
              <w:rPr>
                <w:rFonts w:ascii="Arial" w:hAnsi="Arial" w:cs="Arial"/>
                <w:color w:val="000000"/>
                <w:sz w:val="16"/>
                <w:szCs w:val="16"/>
              </w:rPr>
            </w:pPr>
            <w:r w:rsidRPr="00C04A9A">
              <w:rPr>
                <w:rFonts w:ascii="Arial" w:hAnsi="Arial" w:cs="Arial"/>
                <w:color w:val="000000"/>
                <w:sz w:val="16"/>
                <w:szCs w:val="16"/>
              </w:rPr>
              <w:t>Other payables</w:t>
            </w:r>
          </w:p>
        </w:tc>
        <w:tc>
          <w:tcPr>
            <w:tcW w:w="1017" w:type="dxa"/>
            <w:tcBorders>
              <w:top w:val="nil"/>
              <w:left w:val="nil"/>
              <w:bottom w:val="nil"/>
              <w:right w:val="nil"/>
            </w:tcBorders>
            <w:shd w:val="clear" w:color="auto" w:fill="auto"/>
            <w:noWrap/>
            <w:vAlign w:val="bottom"/>
            <w:hideMark/>
          </w:tcPr>
          <w:p w14:paraId="177CC0E3" w14:textId="1BD3C01C"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9,283</w:t>
            </w:r>
          </w:p>
        </w:tc>
        <w:tc>
          <w:tcPr>
            <w:tcW w:w="1017" w:type="dxa"/>
            <w:tcBorders>
              <w:top w:val="nil"/>
              <w:left w:val="nil"/>
              <w:bottom w:val="nil"/>
              <w:right w:val="nil"/>
            </w:tcBorders>
            <w:shd w:val="clear" w:color="000000" w:fill="E6E6E6"/>
            <w:noWrap/>
            <w:vAlign w:val="bottom"/>
            <w:hideMark/>
          </w:tcPr>
          <w:p w14:paraId="28008308" w14:textId="257DC412"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526,925</w:t>
            </w:r>
          </w:p>
        </w:tc>
        <w:tc>
          <w:tcPr>
            <w:tcW w:w="1017" w:type="dxa"/>
            <w:tcBorders>
              <w:top w:val="nil"/>
              <w:left w:val="nil"/>
              <w:bottom w:val="nil"/>
              <w:right w:val="nil"/>
            </w:tcBorders>
            <w:shd w:val="clear" w:color="auto" w:fill="auto"/>
            <w:noWrap/>
            <w:vAlign w:val="bottom"/>
            <w:hideMark/>
          </w:tcPr>
          <w:p w14:paraId="36AF9715" w14:textId="64D7AE78"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611,735</w:t>
            </w:r>
          </w:p>
        </w:tc>
        <w:tc>
          <w:tcPr>
            <w:tcW w:w="1017" w:type="dxa"/>
            <w:tcBorders>
              <w:top w:val="nil"/>
              <w:left w:val="nil"/>
              <w:bottom w:val="nil"/>
              <w:right w:val="nil"/>
            </w:tcBorders>
            <w:shd w:val="clear" w:color="auto" w:fill="auto"/>
            <w:noWrap/>
            <w:vAlign w:val="bottom"/>
            <w:hideMark/>
          </w:tcPr>
          <w:p w14:paraId="0943DDEB" w14:textId="414D19D2"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295,714</w:t>
            </w:r>
          </w:p>
        </w:tc>
        <w:tc>
          <w:tcPr>
            <w:tcW w:w="1017" w:type="dxa"/>
            <w:tcBorders>
              <w:top w:val="nil"/>
              <w:left w:val="nil"/>
              <w:bottom w:val="nil"/>
              <w:right w:val="nil"/>
            </w:tcBorders>
            <w:shd w:val="clear" w:color="auto" w:fill="auto"/>
            <w:noWrap/>
            <w:vAlign w:val="bottom"/>
            <w:hideMark/>
          </w:tcPr>
          <w:p w14:paraId="0BA53952" w14:textId="45E45A2A"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23,318</w:t>
            </w:r>
          </w:p>
        </w:tc>
      </w:tr>
      <w:tr w:rsidR="00682704" w:rsidRPr="00C04A9A" w14:paraId="64A3BEF4" w14:textId="77777777" w:rsidTr="00D40125">
        <w:trPr>
          <w:trHeight w:val="203"/>
        </w:trPr>
        <w:tc>
          <w:tcPr>
            <w:tcW w:w="2410" w:type="dxa"/>
            <w:tcBorders>
              <w:top w:val="nil"/>
              <w:left w:val="nil"/>
              <w:bottom w:val="nil"/>
              <w:right w:val="nil"/>
            </w:tcBorders>
            <w:shd w:val="clear" w:color="auto" w:fill="auto"/>
            <w:noWrap/>
            <w:vAlign w:val="center"/>
            <w:hideMark/>
          </w:tcPr>
          <w:p w14:paraId="4FCCA945" w14:textId="77777777" w:rsidR="00682704" w:rsidRPr="00C04A9A" w:rsidRDefault="00682704" w:rsidP="00682704">
            <w:pPr>
              <w:spacing w:after="0" w:line="240" w:lineRule="auto"/>
              <w:ind w:left="113"/>
              <w:jc w:val="left"/>
              <w:rPr>
                <w:rFonts w:ascii="Arial" w:hAnsi="Arial" w:cs="Arial"/>
                <w:b/>
                <w:bCs/>
                <w:i/>
                <w:iCs/>
                <w:color w:val="000000"/>
                <w:sz w:val="16"/>
                <w:szCs w:val="16"/>
              </w:rPr>
            </w:pPr>
            <w:r w:rsidRPr="00C04A9A">
              <w:rPr>
                <w:rFonts w:ascii="Arial" w:hAnsi="Arial" w:cs="Arial"/>
                <w:b/>
                <w:bCs/>
                <w:i/>
                <w:iCs/>
                <w:color w:val="000000"/>
                <w:sz w:val="16"/>
                <w:szCs w:val="16"/>
              </w:rPr>
              <w:t>Total payables</w:t>
            </w:r>
          </w:p>
        </w:tc>
        <w:tc>
          <w:tcPr>
            <w:tcW w:w="1017" w:type="dxa"/>
            <w:tcBorders>
              <w:top w:val="single" w:sz="4" w:space="0" w:color="000000"/>
              <w:left w:val="nil"/>
              <w:bottom w:val="single" w:sz="4" w:space="0" w:color="000000"/>
              <w:right w:val="nil"/>
            </w:tcBorders>
            <w:shd w:val="clear" w:color="auto" w:fill="auto"/>
            <w:noWrap/>
            <w:vAlign w:val="bottom"/>
            <w:hideMark/>
          </w:tcPr>
          <w:p w14:paraId="7986A5A3" w14:textId="6463E508"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557,949</w:t>
            </w:r>
          </w:p>
        </w:tc>
        <w:tc>
          <w:tcPr>
            <w:tcW w:w="1017" w:type="dxa"/>
            <w:tcBorders>
              <w:top w:val="single" w:sz="4" w:space="0" w:color="000000"/>
              <w:left w:val="nil"/>
              <w:bottom w:val="single" w:sz="4" w:space="0" w:color="000000"/>
              <w:right w:val="nil"/>
            </w:tcBorders>
            <w:shd w:val="clear" w:color="000000" w:fill="E6E6E6"/>
            <w:noWrap/>
            <w:vAlign w:val="bottom"/>
            <w:hideMark/>
          </w:tcPr>
          <w:p w14:paraId="3D8D5BCC" w14:textId="675653B2"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1,065,816</w:t>
            </w:r>
          </w:p>
        </w:tc>
        <w:tc>
          <w:tcPr>
            <w:tcW w:w="1017" w:type="dxa"/>
            <w:tcBorders>
              <w:top w:val="single" w:sz="4" w:space="0" w:color="000000"/>
              <w:left w:val="nil"/>
              <w:bottom w:val="single" w:sz="4" w:space="0" w:color="000000"/>
              <w:right w:val="nil"/>
            </w:tcBorders>
            <w:shd w:val="clear" w:color="auto" w:fill="auto"/>
            <w:noWrap/>
            <w:vAlign w:val="bottom"/>
            <w:hideMark/>
          </w:tcPr>
          <w:p w14:paraId="73076511" w14:textId="75D5D42A"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1,150,305</w:t>
            </w:r>
          </w:p>
        </w:tc>
        <w:tc>
          <w:tcPr>
            <w:tcW w:w="1017" w:type="dxa"/>
            <w:tcBorders>
              <w:top w:val="single" w:sz="4" w:space="0" w:color="000000"/>
              <w:left w:val="nil"/>
              <w:bottom w:val="single" w:sz="4" w:space="0" w:color="000000"/>
              <w:right w:val="nil"/>
            </w:tcBorders>
            <w:shd w:val="clear" w:color="auto" w:fill="auto"/>
            <w:noWrap/>
            <w:vAlign w:val="bottom"/>
            <w:hideMark/>
          </w:tcPr>
          <w:p w14:paraId="7DBD33B5" w14:textId="27393CCE"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834,422</w:t>
            </w:r>
          </w:p>
        </w:tc>
        <w:tc>
          <w:tcPr>
            <w:tcW w:w="1017" w:type="dxa"/>
            <w:tcBorders>
              <w:top w:val="single" w:sz="4" w:space="0" w:color="000000"/>
              <w:left w:val="nil"/>
              <w:bottom w:val="single" w:sz="4" w:space="0" w:color="000000"/>
              <w:right w:val="nil"/>
            </w:tcBorders>
            <w:shd w:val="clear" w:color="auto" w:fill="auto"/>
            <w:noWrap/>
            <w:vAlign w:val="bottom"/>
            <w:hideMark/>
          </w:tcPr>
          <w:p w14:paraId="5E75B4BE" w14:textId="59DE73E4"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562,661</w:t>
            </w:r>
          </w:p>
        </w:tc>
      </w:tr>
      <w:tr w:rsidR="00682704" w:rsidRPr="00C04A9A" w14:paraId="28D67BCE" w14:textId="77777777" w:rsidTr="00D40125">
        <w:trPr>
          <w:trHeight w:val="203"/>
        </w:trPr>
        <w:tc>
          <w:tcPr>
            <w:tcW w:w="2410" w:type="dxa"/>
            <w:tcBorders>
              <w:top w:val="nil"/>
              <w:left w:val="nil"/>
              <w:bottom w:val="nil"/>
              <w:right w:val="nil"/>
            </w:tcBorders>
            <w:shd w:val="clear" w:color="auto" w:fill="auto"/>
            <w:noWrap/>
            <w:vAlign w:val="center"/>
            <w:hideMark/>
          </w:tcPr>
          <w:p w14:paraId="78E17FFD" w14:textId="77777777" w:rsidR="00682704" w:rsidRPr="00C04A9A" w:rsidRDefault="00682704" w:rsidP="00682704">
            <w:pPr>
              <w:spacing w:after="0" w:line="240" w:lineRule="auto"/>
              <w:ind w:left="113"/>
              <w:jc w:val="left"/>
              <w:rPr>
                <w:rFonts w:ascii="Arial" w:hAnsi="Arial" w:cs="Arial"/>
                <w:b/>
                <w:bCs/>
                <w:color w:val="000000"/>
                <w:sz w:val="16"/>
                <w:szCs w:val="16"/>
              </w:rPr>
            </w:pPr>
            <w:r w:rsidRPr="00C04A9A">
              <w:rPr>
                <w:rFonts w:ascii="Arial" w:hAnsi="Arial" w:cs="Arial"/>
                <w:b/>
                <w:bCs/>
                <w:color w:val="000000"/>
                <w:sz w:val="16"/>
                <w:szCs w:val="16"/>
              </w:rPr>
              <w:t>Provisions</w:t>
            </w:r>
          </w:p>
        </w:tc>
        <w:tc>
          <w:tcPr>
            <w:tcW w:w="1017" w:type="dxa"/>
            <w:tcBorders>
              <w:top w:val="nil"/>
              <w:left w:val="nil"/>
              <w:bottom w:val="nil"/>
              <w:right w:val="nil"/>
            </w:tcBorders>
            <w:shd w:val="clear" w:color="auto" w:fill="auto"/>
            <w:noWrap/>
            <w:vAlign w:val="bottom"/>
            <w:hideMark/>
          </w:tcPr>
          <w:p w14:paraId="7DF7F595" w14:textId="77777777" w:rsidR="00682704" w:rsidRPr="00C04A9A" w:rsidRDefault="00682704" w:rsidP="00682704">
            <w:pPr>
              <w:spacing w:after="0" w:line="240" w:lineRule="auto"/>
              <w:ind w:firstLineChars="100" w:firstLine="160"/>
              <w:jc w:val="right"/>
              <w:rPr>
                <w:rFonts w:ascii="Arial" w:hAnsi="Arial" w:cs="Arial"/>
                <w:b/>
                <w:bCs/>
                <w:color w:val="000000"/>
                <w:sz w:val="16"/>
                <w:szCs w:val="16"/>
              </w:rPr>
            </w:pPr>
          </w:p>
        </w:tc>
        <w:tc>
          <w:tcPr>
            <w:tcW w:w="1017" w:type="dxa"/>
            <w:tcBorders>
              <w:top w:val="nil"/>
              <w:left w:val="nil"/>
              <w:bottom w:val="nil"/>
              <w:right w:val="nil"/>
            </w:tcBorders>
            <w:shd w:val="clear" w:color="000000" w:fill="E6E6E6"/>
            <w:noWrap/>
            <w:vAlign w:val="bottom"/>
            <w:hideMark/>
          </w:tcPr>
          <w:p w14:paraId="2C954BE4" w14:textId="4610CF7D" w:rsidR="00682704" w:rsidRPr="00C04A9A" w:rsidRDefault="00682704" w:rsidP="00682704">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768D3FEB" w14:textId="77777777" w:rsidR="00682704" w:rsidRPr="00C04A9A" w:rsidRDefault="00682704" w:rsidP="00682704">
            <w:pPr>
              <w:spacing w:after="0" w:line="240" w:lineRule="auto"/>
              <w:jc w:val="right"/>
              <w:rPr>
                <w:rFonts w:ascii="Arial" w:hAnsi="Arial" w:cs="Arial"/>
                <w:color w:val="000000"/>
                <w:sz w:val="16"/>
                <w:szCs w:val="16"/>
              </w:rPr>
            </w:pPr>
          </w:p>
        </w:tc>
        <w:tc>
          <w:tcPr>
            <w:tcW w:w="1017" w:type="dxa"/>
            <w:tcBorders>
              <w:top w:val="nil"/>
              <w:left w:val="nil"/>
              <w:bottom w:val="nil"/>
              <w:right w:val="nil"/>
            </w:tcBorders>
            <w:shd w:val="clear" w:color="auto" w:fill="auto"/>
            <w:noWrap/>
            <w:vAlign w:val="bottom"/>
            <w:hideMark/>
          </w:tcPr>
          <w:p w14:paraId="23DA0F43" w14:textId="77777777" w:rsidR="00682704" w:rsidRPr="00C04A9A" w:rsidRDefault="00682704" w:rsidP="00682704">
            <w:pPr>
              <w:spacing w:after="0" w:line="240" w:lineRule="auto"/>
              <w:jc w:val="right"/>
              <w:rPr>
                <w:rFonts w:ascii="Times New Roman" w:hAnsi="Times New Roman"/>
              </w:rPr>
            </w:pPr>
          </w:p>
        </w:tc>
        <w:tc>
          <w:tcPr>
            <w:tcW w:w="1017" w:type="dxa"/>
            <w:tcBorders>
              <w:top w:val="nil"/>
              <w:left w:val="nil"/>
              <w:bottom w:val="nil"/>
              <w:right w:val="nil"/>
            </w:tcBorders>
            <w:shd w:val="clear" w:color="auto" w:fill="auto"/>
            <w:noWrap/>
            <w:vAlign w:val="bottom"/>
            <w:hideMark/>
          </w:tcPr>
          <w:p w14:paraId="7F883E99" w14:textId="77777777" w:rsidR="00682704" w:rsidRPr="00C04A9A" w:rsidRDefault="00682704" w:rsidP="00682704">
            <w:pPr>
              <w:spacing w:after="0" w:line="240" w:lineRule="auto"/>
              <w:jc w:val="right"/>
              <w:rPr>
                <w:rFonts w:ascii="Times New Roman" w:hAnsi="Times New Roman"/>
              </w:rPr>
            </w:pPr>
          </w:p>
        </w:tc>
      </w:tr>
      <w:tr w:rsidR="00682704" w:rsidRPr="00C04A9A" w14:paraId="4C797AFA" w14:textId="77777777" w:rsidTr="00D40125">
        <w:trPr>
          <w:trHeight w:val="203"/>
        </w:trPr>
        <w:tc>
          <w:tcPr>
            <w:tcW w:w="2410" w:type="dxa"/>
            <w:tcBorders>
              <w:top w:val="nil"/>
              <w:left w:val="nil"/>
              <w:bottom w:val="nil"/>
              <w:right w:val="nil"/>
            </w:tcBorders>
            <w:shd w:val="clear" w:color="auto" w:fill="auto"/>
            <w:noWrap/>
            <w:vAlign w:val="center"/>
            <w:hideMark/>
          </w:tcPr>
          <w:p w14:paraId="47584A01" w14:textId="77777777" w:rsidR="00682704" w:rsidRPr="00C04A9A" w:rsidRDefault="00682704" w:rsidP="00682704">
            <w:pPr>
              <w:spacing w:after="0" w:line="240" w:lineRule="auto"/>
              <w:ind w:left="227"/>
              <w:jc w:val="left"/>
              <w:rPr>
                <w:rFonts w:ascii="Arial" w:hAnsi="Arial" w:cs="Arial"/>
                <w:color w:val="000000"/>
                <w:sz w:val="16"/>
                <w:szCs w:val="16"/>
              </w:rPr>
            </w:pPr>
            <w:r w:rsidRPr="00C04A9A">
              <w:rPr>
                <w:rFonts w:ascii="Arial" w:hAnsi="Arial" w:cs="Arial"/>
                <w:color w:val="000000"/>
                <w:sz w:val="16"/>
                <w:szCs w:val="16"/>
              </w:rPr>
              <w:t>Employee provisions</w:t>
            </w:r>
          </w:p>
        </w:tc>
        <w:tc>
          <w:tcPr>
            <w:tcW w:w="1017" w:type="dxa"/>
            <w:tcBorders>
              <w:top w:val="nil"/>
              <w:left w:val="nil"/>
              <w:bottom w:val="nil"/>
              <w:right w:val="nil"/>
            </w:tcBorders>
            <w:shd w:val="clear" w:color="auto" w:fill="auto"/>
            <w:noWrap/>
            <w:vAlign w:val="bottom"/>
            <w:hideMark/>
          </w:tcPr>
          <w:p w14:paraId="211BDCBC" w14:textId="0DF4CA33"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4,205</w:t>
            </w:r>
          </w:p>
        </w:tc>
        <w:tc>
          <w:tcPr>
            <w:tcW w:w="1017" w:type="dxa"/>
            <w:tcBorders>
              <w:top w:val="nil"/>
              <w:left w:val="nil"/>
              <w:bottom w:val="nil"/>
              <w:right w:val="nil"/>
            </w:tcBorders>
            <w:shd w:val="clear" w:color="000000" w:fill="E6E6E6"/>
            <w:noWrap/>
            <w:vAlign w:val="bottom"/>
            <w:hideMark/>
          </w:tcPr>
          <w:p w14:paraId="44EFE001" w14:textId="02FDCD90"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4,456</w:t>
            </w:r>
          </w:p>
        </w:tc>
        <w:tc>
          <w:tcPr>
            <w:tcW w:w="1017" w:type="dxa"/>
            <w:tcBorders>
              <w:top w:val="nil"/>
              <w:left w:val="nil"/>
              <w:bottom w:val="nil"/>
              <w:right w:val="nil"/>
            </w:tcBorders>
            <w:shd w:val="clear" w:color="auto" w:fill="auto"/>
            <w:noWrap/>
            <w:vAlign w:val="bottom"/>
            <w:hideMark/>
          </w:tcPr>
          <w:p w14:paraId="417159AF" w14:textId="5DC3C848"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4,456</w:t>
            </w:r>
          </w:p>
        </w:tc>
        <w:tc>
          <w:tcPr>
            <w:tcW w:w="1017" w:type="dxa"/>
            <w:tcBorders>
              <w:top w:val="nil"/>
              <w:left w:val="nil"/>
              <w:bottom w:val="nil"/>
              <w:right w:val="nil"/>
            </w:tcBorders>
            <w:shd w:val="clear" w:color="auto" w:fill="auto"/>
            <w:noWrap/>
            <w:vAlign w:val="bottom"/>
            <w:hideMark/>
          </w:tcPr>
          <w:p w14:paraId="348A67D1" w14:textId="3AE74A20"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4,456</w:t>
            </w:r>
          </w:p>
        </w:tc>
        <w:tc>
          <w:tcPr>
            <w:tcW w:w="1017" w:type="dxa"/>
            <w:tcBorders>
              <w:top w:val="nil"/>
              <w:left w:val="nil"/>
              <w:bottom w:val="nil"/>
              <w:right w:val="nil"/>
            </w:tcBorders>
            <w:shd w:val="clear" w:color="auto" w:fill="auto"/>
            <w:noWrap/>
            <w:vAlign w:val="bottom"/>
            <w:hideMark/>
          </w:tcPr>
          <w:p w14:paraId="3CBD7D37" w14:textId="5613818B"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4,456</w:t>
            </w:r>
          </w:p>
        </w:tc>
      </w:tr>
      <w:tr w:rsidR="00682704" w:rsidRPr="00C04A9A" w14:paraId="5182B400" w14:textId="77777777" w:rsidTr="00D40125">
        <w:trPr>
          <w:trHeight w:val="203"/>
        </w:trPr>
        <w:tc>
          <w:tcPr>
            <w:tcW w:w="2410" w:type="dxa"/>
            <w:tcBorders>
              <w:top w:val="nil"/>
              <w:left w:val="nil"/>
              <w:bottom w:val="nil"/>
              <w:right w:val="nil"/>
            </w:tcBorders>
            <w:shd w:val="clear" w:color="auto" w:fill="auto"/>
            <w:noWrap/>
            <w:vAlign w:val="center"/>
            <w:hideMark/>
          </w:tcPr>
          <w:p w14:paraId="6B6F940C" w14:textId="77777777" w:rsidR="00682704" w:rsidRPr="00C04A9A" w:rsidRDefault="00682704" w:rsidP="00682704">
            <w:pPr>
              <w:spacing w:after="0" w:line="240" w:lineRule="auto"/>
              <w:ind w:left="227"/>
              <w:jc w:val="left"/>
              <w:rPr>
                <w:rFonts w:ascii="Arial" w:hAnsi="Arial" w:cs="Arial"/>
                <w:color w:val="000000"/>
                <w:sz w:val="16"/>
                <w:szCs w:val="16"/>
              </w:rPr>
            </w:pPr>
            <w:r w:rsidRPr="00C04A9A">
              <w:rPr>
                <w:rFonts w:ascii="Arial" w:hAnsi="Arial" w:cs="Arial"/>
                <w:color w:val="000000"/>
                <w:sz w:val="16"/>
                <w:szCs w:val="16"/>
              </w:rPr>
              <w:t>Other provisions</w:t>
            </w:r>
          </w:p>
        </w:tc>
        <w:tc>
          <w:tcPr>
            <w:tcW w:w="1017" w:type="dxa"/>
            <w:tcBorders>
              <w:top w:val="nil"/>
              <w:left w:val="nil"/>
              <w:bottom w:val="nil"/>
              <w:right w:val="nil"/>
            </w:tcBorders>
            <w:shd w:val="clear" w:color="auto" w:fill="auto"/>
            <w:noWrap/>
            <w:vAlign w:val="bottom"/>
            <w:hideMark/>
          </w:tcPr>
          <w:p w14:paraId="328F7849" w14:textId="455D9C1E"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413,840</w:t>
            </w:r>
          </w:p>
        </w:tc>
        <w:tc>
          <w:tcPr>
            <w:tcW w:w="1017" w:type="dxa"/>
            <w:tcBorders>
              <w:top w:val="nil"/>
              <w:left w:val="nil"/>
              <w:bottom w:val="nil"/>
              <w:right w:val="nil"/>
            </w:tcBorders>
            <w:shd w:val="clear" w:color="000000" w:fill="E6E6E6"/>
            <w:noWrap/>
            <w:vAlign w:val="bottom"/>
            <w:hideMark/>
          </w:tcPr>
          <w:p w14:paraId="45065FF6" w14:textId="333B16F2"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702,899</w:t>
            </w:r>
          </w:p>
        </w:tc>
        <w:tc>
          <w:tcPr>
            <w:tcW w:w="1017" w:type="dxa"/>
            <w:tcBorders>
              <w:top w:val="nil"/>
              <w:left w:val="nil"/>
              <w:bottom w:val="nil"/>
              <w:right w:val="nil"/>
            </w:tcBorders>
            <w:shd w:val="clear" w:color="auto" w:fill="auto"/>
            <w:noWrap/>
            <w:vAlign w:val="bottom"/>
            <w:hideMark/>
          </w:tcPr>
          <w:p w14:paraId="209C393C" w14:textId="7CEC18E7"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740,213</w:t>
            </w:r>
          </w:p>
        </w:tc>
        <w:tc>
          <w:tcPr>
            <w:tcW w:w="1017" w:type="dxa"/>
            <w:tcBorders>
              <w:top w:val="nil"/>
              <w:left w:val="nil"/>
              <w:bottom w:val="nil"/>
              <w:right w:val="nil"/>
            </w:tcBorders>
            <w:shd w:val="clear" w:color="auto" w:fill="auto"/>
            <w:noWrap/>
            <w:vAlign w:val="bottom"/>
            <w:hideMark/>
          </w:tcPr>
          <w:p w14:paraId="244C769C" w14:textId="088451B4"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770,752</w:t>
            </w:r>
          </w:p>
        </w:tc>
        <w:tc>
          <w:tcPr>
            <w:tcW w:w="1017" w:type="dxa"/>
            <w:tcBorders>
              <w:top w:val="nil"/>
              <w:left w:val="nil"/>
              <w:bottom w:val="nil"/>
              <w:right w:val="nil"/>
            </w:tcBorders>
            <w:shd w:val="clear" w:color="auto" w:fill="auto"/>
            <w:noWrap/>
            <w:vAlign w:val="bottom"/>
            <w:hideMark/>
          </w:tcPr>
          <w:p w14:paraId="246F00E9" w14:textId="573F1C90" w:rsidR="00682704" w:rsidRPr="00C04A9A" w:rsidRDefault="00682704" w:rsidP="00682704">
            <w:pPr>
              <w:spacing w:after="0" w:line="240" w:lineRule="auto"/>
              <w:jc w:val="right"/>
              <w:rPr>
                <w:rFonts w:ascii="Arial" w:hAnsi="Arial" w:cs="Arial"/>
                <w:color w:val="000000"/>
                <w:sz w:val="16"/>
                <w:szCs w:val="16"/>
              </w:rPr>
            </w:pPr>
            <w:r>
              <w:rPr>
                <w:rFonts w:ascii="Arial" w:hAnsi="Arial" w:cs="Arial"/>
                <w:color w:val="000000"/>
                <w:sz w:val="16"/>
                <w:szCs w:val="16"/>
              </w:rPr>
              <w:t>801,875</w:t>
            </w:r>
          </w:p>
        </w:tc>
      </w:tr>
      <w:tr w:rsidR="00682704" w:rsidRPr="00C04A9A" w14:paraId="7CD3F47E" w14:textId="77777777" w:rsidTr="00D40125">
        <w:trPr>
          <w:trHeight w:val="203"/>
        </w:trPr>
        <w:tc>
          <w:tcPr>
            <w:tcW w:w="2410" w:type="dxa"/>
            <w:tcBorders>
              <w:top w:val="nil"/>
              <w:left w:val="nil"/>
              <w:bottom w:val="nil"/>
              <w:right w:val="nil"/>
            </w:tcBorders>
            <w:shd w:val="clear" w:color="auto" w:fill="auto"/>
            <w:noWrap/>
            <w:vAlign w:val="center"/>
            <w:hideMark/>
          </w:tcPr>
          <w:p w14:paraId="1E40372C" w14:textId="77777777" w:rsidR="00682704" w:rsidRPr="00C04A9A" w:rsidRDefault="00682704" w:rsidP="00682704">
            <w:pPr>
              <w:spacing w:after="0" w:line="240" w:lineRule="auto"/>
              <w:ind w:left="113"/>
              <w:jc w:val="left"/>
              <w:rPr>
                <w:rFonts w:ascii="Arial" w:hAnsi="Arial" w:cs="Arial"/>
                <w:b/>
                <w:bCs/>
                <w:i/>
                <w:iCs/>
                <w:color w:val="000000"/>
                <w:sz w:val="16"/>
                <w:szCs w:val="16"/>
              </w:rPr>
            </w:pPr>
            <w:r w:rsidRPr="00C04A9A">
              <w:rPr>
                <w:rFonts w:ascii="Arial" w:hAnsi="Arial" w:cs="Arial"/>
                <w:b/>
                <w:bCs/>
                <w:i/>
                <w:iCs/>
                <w:color w:val="000000"/>
                <w:sz w:val="16"/>
                <w:szCs w:val="16"/>
              </w:rPr>
              <w:t>Total provisions</w:t>
            </w:r>
          </w:p>
        </w:tc>
        <w:tc>
          <w:tcPr>
            <w:tcW w:w="1017" w:type="dxa"/>
            <w:tcBorders>
              <w:top w:val="single" w:sz="4" w:space="0" w:color="000000"/>
              <w:left w:val="nil"/>
              <w:bottom w:val="single" w:sz="4" w:space="0" w:color="000000"/>
              <w:right w:val="nil"/>
            </w:tcBorders>
            <w:shd w:val="clear" w:color="auto" w:fill="auto"/>
            <w:noWrap/>
            <w:vAlign w:val="bottom"/>
            <w:hideMark/>
          </w:tcPr>
          <w:p w14:paraId="20915E4A" w14:textId="2B37A6AB"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418,045</w:t>
            </w:r>
          </w:p>
        </w:tc>
        <w:tc>
          <w:tcPr>
            <w:tcW w:w="1017" w:type="dxa"/>
            <w:tcBorders>
              <w:top w:val="single" w:sz="4" w:space="0" w:color="000000"/>
              <w:left w:val="nil"/>
              <w:bottom w:val="single" w:sz="4" w:space="0" w:color="000000"/>
              <w:right w:val="nil"/>
            </w:tcBorders>
            <w:shd w:val="clear" w:color="000000" w:fill="E6E6E6"/>
            <w:noWrap/>
            <w:vAlign w:val="bottom"/>
            <w:hideMark/>
          </w:tcPr>
          <w:p w14:paraId="03DB056B" w14:textId="1101A63F"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707,355</w:t>
            </w:r>
          </w:p>
        </w:tc>
        <w:tc>
          <w:tcPr>
            <w:tcW w:w="1017" w:type="dxa"/>
            <w:tcBorders>
              <w:top w:val="single" w:sz="4" w:space="0" w:color="000000"/>
              <w:left w:val="nil"/>
              <w:bottom w:val="single" w:sz="4" w:space="0" w:color="000000"/>
              <w:right w:val="nil"/>
            </w:tcBorders>
            <w:shd w:val="clear" w:color="auto" w:fill="auto"/>
            <w:noWrap/>
            <w:vAlign w:val="bottom"/>
            <w:hideMark/>
          </w:tcPr>
          <w:p w14:paraId="046B86C2" w14:textId="0753743D"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744,669</w:t>
            </w:r>
          </w:p>
        </w:tc>
        <w:tc>
          <w:tcPr>
            <w:tcW w:w="1017" w:type="dxa"/>
            <w:tcBorders>
              <w:top w:val="single" w:sz="4" w:space="0" w:color="000000"/>
              <w:left w:val="nil"/>
              <w:bottom w:val="single" w:sz="4" w:space="0" w:color="000000"/>
              <w:right w:val="nil"/>
            </w:tcBorders>
            <w:shd w:val="clear" w:color="auto" w:fill="auto"/>
            <w:noWrap/>
            <w:vAlign w:val="bottom"/>
            <w:hideMark/>
          </w:tcPr>
          <w:p w14:paraId="2C1D6C63" w14:textId="279F083A"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775,208</w:t>
            </w:r>
          </w:p>
        </w:tc>
        <w:tc>
          <w:tcPr>
            <w:tcW w:w="1017" w:type="dxa"/>
            <w:tcBorders>
              <w:top w:val="single" w:sz="4" w:space="0" w:color="000000"/>
              <w:left w:val="nil"/>
              <w:bottom w:val="single" w:sz="4" w:space="0" w:color="000000"/>
              <w:right w:val="nil"/>
            </w:tcBorders>
            <w:shd w:val="clear" w:color="auto" w:fill="auto"/>
            <w:noWrap/>
            <w:vAlign w:val="bottom"/>
            <w:hideMark/>
          </w:tcPr>
          <w:p w14:paraId="7FD3D65F" w14:textId="1B0B582A"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806,331</w:t>
            </w:r>
          </w:p>
        </w:tc>
      </w:tr>
      <w:tr w:rsidR="00682704" w:rsidRPr="00C04A9A" w14:paraId="1E8369B6" w14:textId="77777777" w:rsidTr="00D40125">
        <w:trPr>
          <w:trHeight w:val="203"/>
        </w:trPr>
        <w:tc>
          <w:tcPr>
            <w:tcW w:w="2410" w:type="dxa"/>
            <w:tcBorders>
              <w:top w:val="nil"/>
              <w:left w:val="nil"/>
              <w:bottom w:val="nil"/>
              <w:right w:val="nil"/>
            </w:tcBorders>
            <w:shd w:val="clear" w:color="auto" w:fill="auto"/>
            <w:vAlign w:val="center"/>
            <w:hideMark/>
          </w:tcPr>
          <w:p w14:paraId="6A577AE2" w14:textId="74CDD659" w:rsidR="00682704" w:rsidRPr="00C04A9A" w:rsidRDefault="00682704" w:rsidP="00682704">
            <w:pPr>
              <w:spacing w:after="0" w:line="240" w:lineRule="auto"/>
              <w:jc w:val="left"/>
              <w:rPr>
                <w:rFonts w:ascii="Arial" w:hAnsi="Arial" w:cs="Arial"/>
                <w:b/>
                <w:bCs/>
                <w:color w:val="000000"/>
                <w:sz w:val="16"/>
                <w:szCs w:val="16"/>
              </w:rPr>
            </w:pPr>
            <w:r w:rsidRPr="00C04A9A">
              <w:rPr>
                <w:rFonts w:ascii="Arial" w:hAnsi="Arial" w:cs="Arial"/>
                <w:b/>
                <w:bCs/>
                <w:color w:val="000000"/>
                <w:sz w:val="16"/>
                <w:szCs w:val="16"/>
              </w:rPr>
              <w:t>Total liabilities administered on</w:t>
            </w:r>
            <w:r>
              <w:rPr>
                <w:rFonts w:ascii="Arial" w:hAnsi="Arial" w:cs="Arial"/>
                <w:b/>
                <w:bCs/>
                <w:color w:val="000000"/>
                <w:sz w:val="16"/>
                <w:szCs w:val="16"/>
              </w:rPr>
              <w:t xml:space="preserve"> </w:t>
            </w:r>
            <w:r w:rsidRPr="00C04A9A">
              <w:rPr>
                <w:rFonts w:ascii="Arial" w:hAnsi="Arial" w:cs="Arial"/>
                <w:b/>
                <w:bCs/>
                <w:color w:val="000000"/>
                <w:sz w:val="16"/>
                <w:szCs w:val="16"/>
              </w:rPr>
              <w:t>behalf of Government</w:t>
            </w:r>
          </w:p>
        </w:tc>
        <w:tc>
          <w:tcPr>
            <w:tcW w:w="1017" w:type="dxa"/>
            <w:tcBorders>
              <w:top w:val="nil"/>
              <w:left w:val="nil"/>
              <w:bottom w:val="single" w:sz="4" w:space="0" w:color="000000"/>
              <w:right w:val="nil"/>
            </w:tcBorders>
            <w:shd w:val="clear" w:color="auto" w:fill="auto"/>
            <w:noWrap/>
            <w:vAlign w:val="bottom"/>
            <w:hideMark/>
          </w:tcPr>
          <w:p w14:paraId="39122CB5" w14:textId="1D41F47D"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975,994</w:t>
            </w:r>
          </w:p>
        </w:tc>
        <w:tc>
          <w:tcPr>
            <w:tcW w:w="1017" w:type="dxa"/>
            <w:tcBorders>
              <w:top w:val="nil"/>
              <w:left w:val="nil"/>
              <w:bottom w:val="single" w:sz="4" w:space="0" w:color="000000"/>
              <w:right w:val="nil"/>
            </w:tcBorders>
            <w:shd w:val="clear" w:color="000000" w:fill="E6E6E6"/>
            <w:noWrap/>
            <w:vAlign w:val="bottom"/>
            <w:hideMark/>
          </w:tcPr>
          <w:p w14:paraId="0949F838" w14:textId="064D1FDA"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1,773,171</w:t>
            </w:r>
          </w:p>
        </w:tc>
        <w:tc>
          <w:tcPr>
            <w:tcW w:w="1017" w:type="dxa"/>
            <w:tcBorders>
              <w:top w:val="nil"/>
              <w:left w:val="nil"/>
              <w:bottom w:val="single" w:sz="4" w:space="0" w:color="000000"/>
              <w:right w:val="nil"/>
            </w:tcBorders>
            <w:shd w:val="clear" w:color="auto" w:fill="auto"/>
            <w:noWrap/>
            <w:vAlign w:val="bottom"/>
            <w:hideMark/>
          </w:tcPr>
          <w:p w14:paraId="75C4355C" w14:textId="57CBA9C3"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1,894,974</w:t>
            </w:r>
          </w:p>
        </w:tc>
        <w:tc>
          <w:tcPr>
            <w:tcW w:w="1017" w:type="dxa"/>
            <w:tcBorders>
              <w:top w:val="nil"/>
              <w:left w:val="nil"/>
              <w:bottom w:val="single" w:sz="4" w:space="0" w:color="000000"/>
              <w:right w:val="nil"/>
            </w:tcBorders>
            <w:shd w:val="clear" w:color="auto" w:fill="auto"/>
            <w:noWrap/>
            <w:vAlign w:val="bottom"/>
            <w:hideMark/>
          </w:tcPr>
          <w:p w14:paraId="03401365" w14:textId="3B3C8731"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1,609,630</w:t>
            </w:r>
          </w:p>
        </w:tc>
        <w:tc>
          <w:tcPr>
            <w:tcW w:w="1017" w:type="dxa"/>
            <w:tcBorders>
              <w:top w:val="nil"/>
              <w:left w:val="nil"/>
              <w:bottom w:val="single" w:sz="4" w:space="0" w:color="000000"/>
              <w:right w:val="nil"/>
            </w:tcBorders>
            <w:shd w:val="clear" w:color="auto" w:fill="auto"/>
            <w:noWrap/>
            <w:vAlign w:val="bottom"/>
            <w:hideMark/>
          </w:tcPr>
          <w:p w14:paraId="4C34BEAA" w14:textId="1C1B251D"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1,368,992</w:t>
            </w:r>
          </w:p>
        </w:tc>
      </w:tr>
      <w:tr w:rsidR="00682704" w:rsidRPr="00C04A9A" w14:paraId="54E967D7" w14:textId="77777777" w:rsidTr="00D40125">
        <w:trPr>
          <w:trHeight w:val="203"/>
        </w:trPr>
        <w:tc>
          <w:tcPr>
            <w:tcW w:w="2410" w:type="dxa"/>
            <w:tcBorders>
              <w:top w:val="nil"/>
              <w:left w:val="nil"/>
              <w:bottom w:val="single" w:sz="4" w:space="0" w:color="000000"/>
              <w:right w:val="nil"/>
            </w:tcBorders>
            <w:shd w:val="clear" w:color="auto" w:fill="auto"/>
            <w:noWrap/>
            <w:vAlign w:val="center"/>
            <w:hideMark/>
          </w:tcPr>
          <w:p w14:paraId="327B2F74" w14:textId="77777777" w:rsidR="00682704" w:rsidRPr="00C04A9A" w:rsidRDefault="00682704" w:rsidP="00682704">
            <w:pPr>
              <w:spacing w:after="0" w:line="240" w:lineRule="auto"/>
              <w:jc w:val="left"/>
              <w:rPr>
                <w:rFonts w:ascii="Arial" w:hAnsi="Arial" w:cs="Arial"/>
                <w:b/>
                <w:bCs/>
                <w:color w:val="000000"/>
                <w:sz w:val="16"/>
                <w:szCs w:val="16"/>
              </w:rPr>
            </w:pPr>
            <w:r w:rsidRPr="00C04A9A">
              <w:rPr>
                <w:rFonts w:ascii="Arial" w:hAnsi="Arial" w:cs="Arial"/>
                <w:b/>
                <w:bCs/>
                <w:color w:val="000000"/>
                <w:sz w:val="16"/>
                <w:szCs w:val="16"/>
              </w:rPr>
              <w:t>Net assets/(liabilities)</w:t>
            </w:r>
          </w:p>
        </w:tc>
        <w:tc>
          <w:tcPr>
            <w:tcW w:w="1017" w:type="dxa"/>
            <w:tcBorders>
              <w:top w:val="nil"/>
              <w:left w:val="nil"/>
              <w:bottom w:val="single" w:sz="4" w:space="0" w:color="000000"/>
              <w:right w:val="nil"/>
            </w:tcBorders>
            <w:shd w:val="clear" w:color="auto" w:fill="auto"/>
            <w:noWrap/>
            <w:vAlign w:val="bottom"/>
            <w:hideMark/>
          </w:tcPr>
          <w:p w14:paraId="3AD841CB" w14:textId="586B99DB"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51,386,367</w:t>
            </w:r>
          </w:p>
        </w:tc>
        <w:tc>
          <w:tcPr>
            <w:tcW w:w="1017" w:type="dxa"/>
            <w:tcBorders>
              <w:top w:val="nil"/>
              <w:left w:val="nil"/>
              <w:bottom w:val="single" w:sz="4" w:space="0" w:color="000000"/>
              <w:right w:val="nil"/>
            </w:tcBorders>
            <w:shd w:val="clear" w:color="000000" w:fill="E6E6E6"/>
            <w:noWrap/>
            <w:vAlign w:val="bottom"/>
            <w:hideMark/>
          </w:tcPr>
          <w:p w14:paraId="1560DB9F" w14:textId="32FA5BF9" w:rsidR="00682704" w:rsidRPr="00C04A9A" w:rsidRDefault="00682704" w:rsidP="0068270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47,559,931</w:t>
            </w:r>
          </w:p>
        </w:tc>
        <w:tc>
          <w:tcPr>
            <w:tcW w:w="1017" w:type="dxa"/>
            <w:tcBorders>
              <w:top w:val="nil"/>
              <w:left w:val="nil"/>
              <w:bottom w:val="single" w:sz="4" w:space="0" w:color="000000"/>
              <w:right w:val="nil"/>
            </w:tcBorders>
            <w:shd w:val="clear" w:color="auto" w:fill="auto"/>
            <w:noWrap/>
            <w:vAlign w:val="bottom"/>
            <w:hideMark/>
          </w:tcPr>
          <w:p w14:paraId="3FD61231" w14:textId="49A72B22"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53,184,311</w:t>
            </w:r>
          </w:p>
        </w:tc>
        <w:tc>
          <w:tcPr>
            <w:tcW w:w="1017" w:type="dxa"/>
            <w:tcBorders>
              <w:top w:val="nil"/>
              <w:left w:val="nil"/>
              <w:bottom w:val="single" w:sz="4" w:space="0" w:color="000000"/>
              <w:right w:val="nil"/>
            </w:tcBorders>
            <w:shd w:val="clear" w:color="auto" w:fill="auto"/>
            <w:noWrap/>
            <w:vAlign w:val="bottom"/>
            <w:hideMark/>
          </w:tcPr>
          <w:p w14:paraId="1284BAD2" w14:textId="2D2EA2BA"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51,770,238</w:t>
            </w:r>
          </w:p>
        </w:tc>
        <w:tc>
          <w:tcPr>
            <w:tcW w:w="1017" w:type="dxa"/>
            <w:tcBorders>
              <w:top w:val="nil"/>
              <w:left w:val="nil"/>
              <w:bottom w:val="single" w:sz="4" w:space="0" w:color="000000"/>
              <w:right w:val="nil"/>
            </w:tcBorders>
            <w:shd w:val="clear" w:color="auto" w:fill="auto"/>
            <w:noWrap/>
            <w:vAlign w:val="bottom"/>
            <w:hideMark/>
          </w:tcPr>
          <w:p w14:paraId="08FFB5AD" w14:textId="71257835" w:rsidR="00682704" w:rsidRPr="00C04A9A" w:rsidRDefault="00682704" w:rsidP="00682704">
            <w:pPr>
              <w:spacing w:after="0" w:line="240" w:lineRule="auto"/>
              <w:jc w:val="right"/>
              <w:rPr>
                <w:rFonts w:ascii="Arial" w:hAnsi="Arial" w:cs="Arial"/>
                <w:b/>
                <w:bCs/>
                <w:color w:val="000000"/>
                <w:sz w:val="16"/>
                <w:szCs w:val="16"/>
              </w:rPr>
            </w:pPr>
            <w:r>
              <w:rPr>
                <w:rFonts w:ascii="Arial" w:hAnsi="Arial" w:cs="Arial"/>
                <w:b/>
                <w:bCs/>
                <w:color w:val="000000"/>
                <w:sz w:val="16"/>
                <w:szCs w:val="16"/>
              </w:rPr>
              <w:t>56,790,279</w:t>
            </w:r>
          </w:p>
        </w:tc>
      </w:tr>
    </w:tbl>
    <w:p w14:paraId="219BFFEC" w14:textId="3BD093F0" w:rsidR="00F51DAC" w:rsidRPr="00AC530C" w:rsidRDefault="00F51DAC" w:rsidP="00C04A9A">
      <w:pPr>
        <w:pStyle w:val="Source"/>
        <w:spacing w:before="60"/>
      </w:pPr>
      <w:r w:rsidRPr="00AC530C">
        <w:t>Prepared on Australian Accounting Standards basis.</w:t>
      </w:r>
    </w:p>
    <w:p w14:paraId="64650822" w14:textId="77777777" w:rsidR="00CC5BB6" w:rsidRDefault="00CC5BB6" w:rsidP="00F51DAC">
      <w:pPr>
        <w:pStyle w:val="TableHeading"/>
        <w:spacing w:before="0"/>
        <w:rPr>
          <w:snapToGrid w:val="0"/>
          <w:highlight w:val="yellow"/>
        </w:rPr>
      </w:pPr>
    </w:p>
    <w:p w14:paraId="1C8340CD" w14:textId="77777777" w:rsidR="00D23CE2" w:rsidRDefault="00D23CE2">
      <w:pPr>
        <w:spacing w:after="0" w:line="240" w:lineRule="auto"/>
        <w:jc w:val="left"/>
        <w:rPr>
          <w:rFonts w:ascii="Arial" w:hAnsi="Arial"/>
          <w:b/>
          <w:snapToGrid w:val="0"/>
          <w:highlight w:val="yellow"/>
          <w:lang w:val="x-none"/>
        </w:rPr>
      </w:pPr>
      <w:r>
        <w:rPr>
          <w:snapToGrid w:val="0"/>
          <w:highlight w:val="yellow"/>
        </w:rPr>
        <w:br w:type="page"/>
      </w:r>
    </w:p>
    <w:p w14:paraId="08D8922E" w14:textId="089D956F" w:rsidR="00F51DAC" w:rsidRDefault="001F46A6" w:rsidP="00F51DAC">
      <w:pPr>
        <w:pStyle w:val="TableHeading"/>
        <w:spacing w:before="0"/>
        <w:rPr>
          <w:snapToGrid w:val="0"/>
        </w:rPr>
      </w:pPr>
      <w:r w:rsidRPr="00D23CE2">
        <w:rPr>
          <w:snapToGrid w:val="0"/>
        </w:rPr>
        <w:lastRenderedPageBreak/>
        <w:t>Table 3.10</w:t>
      </w:r>
      <w:r w:rsidR="00F51DAC" w:rsidRPr="00D23CE2">
        <w:rPr>
          <w:snapToGrid w:val="0"/>
        </w:rPr>
        <w:t xml:space="preserve">: Schedule of </w:t>
      </w:r>
      <w:r w:rsidR="001E4A2D" w:rsidRPr="00D23CE2">
        <w:rPr>
          <w:snapToGrid w:val="0"/>
        </w:rPr>
        <w:t xml:space="preserve">budgeted administered cash flows </w:t>
      </w:r>
      <w:r w:rsidR="000C3374" w:rsidRPr="00D23CE2">
        <w:rPr>
          <w:snapToGrid w:val="0"/>
        </w:rPr>
        <w:t>(for the period ended 30 June)</w:t>
      </w:r>
      <w:r w:rsidR="000C3374">
        <w:rPr>
          <w:snapToGrid w:val="0"/>
        </w:rPr>
        <w:t xml:space="preserve"> </w:t>
      </w:r>
    </w:p>
    <w:tbl>
      <w:tblPr>
        <w:tblW w:w="0" w:type="auto"/>
        <w:tblLayout w:type="fixed"/>
        <w:tblLook w:val="04A0" w:firstRow="1" w:lastRow="0" w:firstColumn="1" w:lastColumn="0" w:noHBand="0" w:noVBand="1"/>
      </w:tblPr>
      <w:tblGrid>
        <w:gridCol w:w="2410"/>
        <w:gridCol w:w="1035"/>
        <w:gridCol w:w="1035"/>
        <w:gridCol w:w="1075"/>
        <w:gridCol w:w="1075"/>
        <w:gridCol w:w="1035"/>
      </w:tblGrid>
      <w:tr w:rsidR="00102378" w:rsidRPr="006F6AC8" w14:paraId="542181DF" w14:textId="77777777" w:rsidTr="00852545">
        <w:trPr>
          <w:trHeight w:val="204"/>
        </w:trPr>
        <w:tc>
          <w:tcPr>
            <w:tcW w:w="2410" w:type="dxa"/>
            <w:tcBorders>
              <w:top w:val="single" w:sz="4" w:space="0" w:color="auto"/>
              <w:left w:val="nil"/>
              <w:bottom w:val="nil"/>
              <w:right w:val="nil"/>
            </w:tcBorders>
            <w:shd w:val="clear" w:color="auto" w:fill="auto"/>
            <w:noWrap/>
            <w:hideMark/>
          </w:tcPr>
          <w:p w14:paraId="28A9455D" w14:textId="7FA2967D" w:rsidR="00102378" w:rsidRPr="003643AE" w:rsidRDefault="00102378" w:rsidP="00102378">
            <w:pPr>
              <w:spacing w:after="0" w:line="240" w:lineRule="auto"/>
              <w:jc w:val="left"/>
              <w:rPr>
                <w:rFonts w:ascii="Arial" w:hAnsi="Arial" w:cs="Arial"/>
                <w:b/>
                <w:bCs/>
                <w:sz w:val="16"/>
                <w:szCs w:val="16"/>
              </w:rPr>
            </w:pPr>
          </w:p>
        </w:tc>
        <w:tc>
          <w:tcPr>
            <w:tcW w:w="1035" w:type="dxa"/>
            <w:tcBorders>
              <w:top w:val="single" w:sz="4" w:space="0" w:color="auto"/>
              <w:left w:val="nil"/>
              <w:bottom w:val="single" w:sz="4" w:space="0" w:color="auto"/>
              <w:right w:val="nil"/>
            </w:tcBorders>
            <w:shd w:val="clear" w:color="auto" w:fill="auto"/>
            <w:vAlign w:val="bottom"/>
            <w:hideMark/>
          </w:tcPr>
          <w:p w14:paraId="00D6CFD7" w14:textId="77777777" w:rsidR="00102378" w:rsidRPr="003643AE" w:rsidRDefault="00102378" w:rsidP="00102378">
            <w:pPr>
              <w:spacing w:after="0" w:line="240" w:lineRule="auto"/>
              <w:jc w:val="right"/>
              <w:rPr>
                <w:rFonts w:ascii="Arial" w:hAnsi="Arial" w:cs="Arial"/>
                <w:sz w:val="16"/>
                <w:szCs w:val="16"/>
              </w:rPr>
            </w:pPr>
            <w:r w:rsidRPr="003643AE">
              <w:rPr>
                <w:rFonts w:ascii="Arial" w:hAnsi="Arial" w:cs="Arial"/>
                <w:sz w:val="16"/>
                <w:szCs w:val="16"/>
              </w:rPr>
              <w:t>2020-21 Actual</w:t>
            </w:r>
            <w:r w:rsidRPr="003643AE">
              <w:rPr>
                <w:rFonts w:ascii="Arial" w:hAnsi="Arial" w:cs="Arial"/>
                <w:sz w:val="16"/>
                <w:szCs w:val="16"/>
              </w:rPr>
              <w:br/>
            </w:r>
            <w:r w:rsidRPr="003643AE">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000000" w:fill="E6E6E6"/>
            <w:hideMark/>
          </w:tcPr>
          <w:p w14:paraId="4BF0106B" w14:textId="4C8ACF2B" w:rsidR="00102378" w:rsidRPr="003643AE" w:rsidRDefault="00102378" w:rsidP="00102378">
            <w:pPr>
              <w:spacing w:after="0" w:line="240" w:lineRule="auto"/>
              <w:jc w:val="right"/>
              <w:rPr>
                <w:rFonts w:ascii="Arial" w:hAnsi="Arial" w:cs="Arial"/>
                <w:sz w:val="16"/>
                <w:szCs w:val="16"/>
              </w:rPr>
            </w:pPr>
            <w:r w:rsidRPr="003D788E">
              <w:rPr>
                <w:rFonts w:ascii="Arial" w:hAnsi="Arial" w:cs="Arial"/>
                <w:sz w:val="16"/>
                <w:szCs w:val="16"/>
              </w:rPr>
              <w:t>2021-22</w:t>
            </w:r>
            <w:r w:rsidRPr="003D788E">
              <w:rPr>
                <w:rFonts w:ascii="Arial" w:hAnsi="Arial" w:cs="Arial"/>
                <w:sz w:val="16"/>
                <w:szCs w:val="16"/>
              </w:rPr>
              <w:br/>
              <w:t xml:space="preserve">Revised </w:t>
            </w:r>
            <w:r>
              <w:rPr>
                <w:rFonts w:ascii="Arial" w:hAnsi="Arial" w:cs="Arial"/>
                <w:sz w:val="16"/>
                <w:szCs w:val="16"/>
              </w:rPr>
              <w:t>B</w:t>
            </w:r>
            <w:r w:rsidRPr="003D788E">
              <w:rPr>
                <w:rFonts w:ascii="Arial" w:hAnsi="Arial" w:cs="Arial"/>
                <w:sz w:val="16"/>
                <w:szCs w:val="16"/>
              </w:rPr>
              <w:t>udget</w:t>
            </w:r>
            <w:r w:rsidRPr="003D788E">
              <w:rPr>
                <w:rFonts w:ascii="Arial" w:hAnsi="Arial" w:cs="Arial"/>
                <w:sz w:val="16"/>
                <w:szCs w:val="16"/>
              </w:rPr>
              <w:br/>
              <w:t>$'000</w:t>
            </w:r>
          </w:p>
        </w:tc>
        <w:tc>
          <w:tcPr>
            <w:tcW w:w="1075" w:type="dxa"/>
            <w:tcBorders>
              <w:top w:val="single" w:sz="4" w:space="0" w:color="auto"/>
              <w:left w:val="nil"/>
              <w:bottom w:val="single" w:sz="4" w:space="0" w:color="auto"/>
              <w:right w:val="nil"/>
            </w:tcBorders>
            <w:shd w:val="clear" w:color="auto" w:fill="auto"/>
            <w:vAlign w:val="bottom"/>
            <w:hideMark/>
          </w:tcPr>
          <w:p w14:paraId="53B2C43E" w14:textId="77777777" w:rsidR="00102378" w:rsidRPr="003643AE" w:rsidRDefault="00102378" w:rsidP="00102378">
            <w:pPr>
              <w:spacing w:after="0" w:line="240" w:lineRule="auto"/>
              <w:jc w:val="right"/>
              <w:rPr>
                <w:rFonts w:ascii="Arial" w:hAnsi="Arial" w:cs="Arial"/>
                <w:sz w:val="16"/>
                <w:szCs w:val="16"/>
              </w:rPr>
            </w:pPr>
            <w:r w:rsidRPr="003643AE">
              <w:rPr>
                <w:rFonts w:ascii="Arial" w:hAnsi="Arial" w:cs="Arial"/>
                <w:sz w:val="16"/>
                <w:szCs w:val="16"/>
              </w:rPr>
              <w:t>2022-23 Forward estimate</w:t>
            </w:r>
            <w:r w:rsidRPr="003643AE">
              <w:rPr>
                <w:rFonts w:ascii="Arial" w:hAnsi="Arial" w:cs="Arial"/>
                <w:sz w:val="16"/>
                <w:szCs w:val="16"/>
              </w:rPr>
              <w:br/>
              <w:t>$'000</w:t>
            </w:r>
          </w:p>
        </w:tc>
        <w:tc>
          <w:tcPr>
            <w:tcW w:w="1075" w:type="dxa"/>
            <w:tcBorders>
              <w:top w:val="single" w:sz="4" w:space="0" w:color="auto"/>
              <w:left w:val="nil"/>
              <w:bottom w:val="single" w:sz="4" w:space="0" w:color="auto"/>
              <w:right w:val="nil"/>
            </w:tcBorders>
            <w:shd w:val="clear" w:color="auto" w:fill="auto"/>
            <w:vAlign w:val="bottom"/>
            <w:hideMark/>
          </w:tcPr>
          <w:p w14:paraId="0C1F6EFF" w14:textId="77777777" w:rsidR="00102378" w:rsidRPr="003643AE" w:rsidRDefault="00102378" w:rsidP="00102378">
            <w:pPr>
              <w:spacing w:after="0" w:line="240" w:lineRule="auto"/>
              <w:jc w:val="right"/>
              <w:rPr>
                <w:rFonts w:ascii="Arial" w:hAnsi="Arial" w:cs="Arial"/>
                <w:sz w:val="16"/>
                <w:szCs w:val="16"/>
              </w:rPr>
            </w:pPr>
            <w:r w:rsidRPr="003643AE">
              <w:rPr>
                <w:rFonts w:ascii="Arial" w:hAnsi="Arial" w:cs="Arial"/>
                <w:sz w:val="16"/>
                <w:szCs w:val="16"/>
              </w:rPr>
              <w:t>2023-24 Forward estimate</w:t>
            </w:r>
            <w:r w:rsidRPr="003643AE">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14:paraId="2CF1D267" w14:textId="77777777" w:rsidR="00102378" w:rsidRPr="003643AE" w:rsidRDefault="00102378" w:rsidP="00102378">
            <w:pPr>
              <w:spacing w:after="0" w:line="240" w:lineRule="auto"/>
              <w:jc w:val="right"/>
              <w:rPr>
                <w:rFonts w:ascii="Arial" w:hAnsi="Arial" w:cs="Arial"/>
                <w:sz w:val="16"/>
                <w:szCs w:val="16"/>
              </w:rPr>
            </w:pPr>
            <w:r w:rsidRPr="003643AE">
              <w:rPr>
                <w:rFonts w:ascii="Arial" w:hAnsi="Arial" w:cs="Arial"/>
                <w:sz w:val="16"/>
                <w:szCs w:val="16"/>
              </w:rPr>
              <w:t>2024-25</w:t>
            </w:r>
            <w:r w:rsidRPr="003643AE">
              <w:rPr>
                <w:rFonts w:ascii="Arial" w:hAnsi="Arial" w:cs="Arial"/>
                <w:sz w:val="16"/>
                <w:szCs w:val="16"/>
              </w:rPr>
              <w:br/>
              <w:t>Forward estimate</w:t>
            </w:r>
            <w:r w:rsidRPr="003643AE">
              <w:rPr>
                <w:rFonts w:ascii="Arial" w:hAnsi="Arial" w:cs="Arial"/>
                <w:sz w:val="16"/>
                <w:szCs w:val="16"/>
              </w:rPr>
              <w:br/>
              <w:t>$'000</w:t>
            </w:r>
          </w:p>
        </w:tc>
      </w:tr>
      <w:tr w:rsidR="003643AE" w:rsidRPr="003643AE" w14:paraId="49EDE9A9" w14:textId="77777777" w:rsidTr="00682704">
        <w:trPr>
          <w:trHeight w:val="204"/>
        </w:trPr>
        <w:tc>
          <w:tcPr>
            <w:tcW w:w="2410" w:type="dxa"/>
            <w:tcBorders>
              <w:top w:val="nil"/>
              <w:left w:val="nil"/>
              <w:bottom w:val="nil"/>
              <w:right w:val="nil"/>
            </w:tcBorders>
            <w:shd w:val="clear" w:color="auto" w:fill="auto"/>
            <w:noWrap/>
            <w:vAlign w:val="center"/>
            <w:hideMark/>
          </w:tcPr>
          <w:p w14:paraId="24803AA7" w14:textId="77777777" w:rsidR="003643AE" w:rsidRPr="003643AE" w:rsidRDefault="003643AE" w:rsidP="003643AE">
            <w:pPr>
              <w:spacing w:after="0" w:line="240" w:lineRule="auto"/>
              <w:jc w:val="left"/>
              <w:rPr>
                <w:rFonts w:ascii="Arial" w:hAnsi="Arial" w:cs="Arial"/>
                <w:b/>
                <w:bCs/>
                <w:color w:val="000000"/>
                <w:sz w:val="16"/>
                <w:szCs w:val="16"/>
              </w:rPr>
            </w:pPr>
            <w:r w:rsidRPr="003643AE">
              <w:rPr>
                <w:rFonts w:ascii="Arial" w:hAnsi="Arial" w:cs="Arial"/>
                <w:b/>
                <w:bCs/>
                <w:color w:val="000000"/>
                <w:sz w:val="16"/>
                <w:szCs w:val="16"/>
              </w:rPr>
              <w:t>OPERATING ACTIVITIES</w:t>
            </w:r>
          </w:p>
        </w:tc>
        <w:tc>
          <w:tcPr>
            <w:tcW w:w="1035" w:type="dxa"/>
            <w:tcBorders>
              <w:top w:val="nil"/>
              <w:left w:val="nil"/>
              <w:bottom w:val="nil"/>
              <w:right w:val="nil"/>
            </w:tcBorders>
            <w:shd w:val="clear" w:color="auto" w:fill="auto"/>
            <w:noWrap/>
            <w:vAlign w:val="bottom"/>
            <w:hideMark/>
          </w:tcPr>
          <w:p w14:paraId="6656EF0F" w14:textId="77777777" w:rsidR="003643AE" w:rsidRPr="003643AE" w:rsidRDefault="003643AE" w:rsidP="003643AE">
            <w:pPr>
              <w:spacing w:after="0" w:line="240" w:lineRule="auto"/>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301DFCD9" w14:textId="22D8D517" w:rsidR="003643AE" w:rsidRPr="003643AE" w:rsidRDefault="003643AE" w:rsidP="003643AE">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0979E7FA" w14:textId="77777777" w:rsidR="003643AE" w:rsidRPr="003643AE" w:rsidRDefault="003643AE" w:rsidP="003643AE">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24C51ED0" w14:textId="77777777" w:rsidR="003643AE" w:rsidRPr="003643AE" w:rsidRDefault="003643AE" w:rsidP="003643AE">
            <w:pPr>
              <w:spacing w:after="0" w:line="240" w:lineRule="auto"/>
              <w:jc w:val="right"/>
              <w:rPr>
                <w:rFonts w:ascii="Times New Roman" w:hAnsi="Times New Roman"/>
              </w:rPr>
            </w:pPr>
          </w:p>
        </w:tc>
        <w:tc>
          <w:tcPr>
            <w:tcW w:w="1035" w:type="dxa"/>
            <w:tcBorders>
              <w:top w:val="nil"/>
              <w:left w:val="nil"/>
              <w:bottom w:val="nil"/>
              <w:right w:val="nil"/>
            </w:tcBorders>
            <w:shd w:val="clear" w:color="auto" w:fill="auto"/>
            <w:noWrap/>
            <w:vAlign w:val="bottom"/>
            <w:hideMark/>
          </w:tcPr>
          <w:p w14:paraId="393BE5DC" w14:textId="77777777" w:rsidR="003643AE" w:rsidRPr="003643AE" w:rsidRDefault="003643AE" w:rsidP="003643AE">
            <w:pPr>
              <w:spacing w:after="0" w:line="240" w:lineRule="auto"/>
              <w:jc w:val="right"/>
              <w:rPr>
                <w:rFonts w:ascii="Times New Roman" w:hAnsi="Times New Roman"/>
              </w:rPr>
            </w:pPr>
          </w:p>
        </w:tc>
      </w:tr>
      <w:tr w:rsidR="003643AE" w:rsidRPr="003643AE" w14:paraId="404D4B2A" w14:textId="77777777" w:rsidTr="00682704">
        <w:trPr>
          <w:trHeight w:val="204"/>
        </w:trPr>
        <w:tc>
          <w:tcPr>
            <w:tcW w:w="2410" w:type="dxa"/>
            <w:tcBorders>
              <w:top w:val="nil"/>
              <w:left w:val="nil"/>
              <w:bottom w:val="nil"/>
              <w:right w:val="nil"/>
            </w:tcBorders>
            <w:shd w:val="clear" w:color="auto" w:fill="auto"/>
            <w:noWrap/>
            <w:vAlign w:val="center"/>
            <w:hideMark/>
          </w:tcPr>
          <w:p w14:paraId="4729CFD6" w14:textId="77777777" w:rsidR="003643AE" w:rsidRPr="003643AE" w:rsidRDefault="003643AE" w:rsidP="003643AE">
            <w:pPr>
              <w:spacing w:after="0" w:line="240" w:lineRule="auto"/>
              <w:ind w:left="113"/>
              <w:jc w:val="left"/>
              <w:rPr>
                <w:rFonts w:ascii="Arial" w:hAnsi="Arial" w:cs="Arial"/>
                <w:b/>
                <w:bCs/>
                <w:color w:val="000000"/>
                <w:sz w:val="16"/>
                <w:szCs w:val="16"/>
              </w:rPr>
            </w:pPr>
            <w:r w:rsidRPr="003643AE">
              <w:rPr>
                <w:rFonts w:ascii="Arial" w:hAnsi="Arial" w:cs="Arial"/>
                <w:b/>
                <w:bCs/>
                <w:color w:val="000000"/>
                <w:sz w:val="16"/>
                <w:szCs w:val="16"/>
              </w:rPr>
              <w:t>Cash received</w:t>
            </w:r>
          </w:p>
        </w:tc>
        <w:tc>
          <w:tcPr>
            <w:tcW w:w="1035" w:type="dxa"/>
            <w:tcBorders>
              <w:top w:val="nil"/>
              <w:left w:val="nil"/>
              <w:bottom w:val="nil"/>
              <w:right w:val="nil"/>
            </w:tcBorders>
            <w:shd w:val="clear" w:color="auto" w:fill="auto"/>
            <w:noWrap/>
            <w:vAlign w:val="bottom"/>
            <w:hideMark/>
          </w:tcPr>
          <w:p w14:paraId="2A171D9C" w14:textId="77777777" w:rsidR="003643AE" w:rsidRPr="003643AE" w:rsidRDefault="003643AE" w:rsidP="003643AE">
            <w:pPr>
              <w:spacing w:after="0" w:line="240" w:lineRule="auto"/>
              <w:ind w:firstLineChars="100" w:firstLine="160"/>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53D7AD7B" w14:textId="73739417" w:rsidR="003643AE" w:rsidRPr="003643AE" w:rsidRDefault="003643AE" w:rsidP="003643AE">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14273049" w14:textId="77777777" w:rsidR="003643AE" w:rsidRPr="003643AE" w:rsidRDefault="003643AE" w:rsidP="003643AE">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3E7429E0" w14:textId="77777777" w:rsidR="003643AE" w:rsidRPr="003643AE" w:rsidRDefault="003643AE" w:rsidP="003643AE">
            <w:pPr>
              <w:spacing w:after="0" w:line="240" w:lineRule="auto"/>
              <w:jc w:val="right"/>
              <w:rPr>
                <w:rFonts w:ascii="Times New Roman" w:hAnsi="Times New Roman"/>
              </w:rPr>
            </w:pPr>
          </w:p>
        </w:tc>
        <w:tc>
          <w:tcPr>
            <w:tcW w:w="1035" w:type="dxa"/>
            <w:tcBorders>
              <w:top w:val="nil"/>
              <w:left w:val="nil"/>
              <w:bottom w:val="nil"/>
              <w:right w:val="nil"/>
            </w:tcBorders>
            <w:shd w:val="clear" w:color="auto" w:fill="auto"/>
            <w:noWrap/>
            <w:vAlign w:val="bottom"/>
            <w:hideMark/>
          </w:tcPr>
          <w:p w14:paraId="0977498D" w14:textId="77777777" w:rsidR="003643AE" w:rsidRPr="003643AE" w:rsidRDefault="003643AE" w:rsidP="003643AE">
            <w:pPr>
              <w:spacing w:after="0" w:line="240" w:lineRule="auto"/>
              <w:jc w:val="right"/>
              <w:rPr>
                <w:rFonts w:ascii="Times New Roman" w:hAnsi="Times New Roman"/>
              </w:rPr>
            </w:pPr>
          </w:p>
        </w:tc>
      </w:tr>
      <w:tr w:rsidR="001A02A4" w:rsidRPr="003643AE" w14:paraId="28369261" w14:textId="77777777" w:rsidTr="00682704">
        <w:trPr>
          <w:trHeight w:val="204"/>
        </w:trPr>
        <w:tc>
          <w:tcPr>
            <w:tcW w:w="2410" w:type="dxa"/>
            <w:tcBorders>
              <w:top w:val="nil"/>
              <w:left w:val="nil"/>
              <w:bottom w:val="nil"/>
              <w:right w:val="nil"/>
            </w:tcBorders>
            <w:shd w:val="clear" w:color="auto" w:fill="auto"/>
            <w:vAlign w:val="center"/>
            <w:hideMark/>
          </w:tcPr>
          <w:p w14:paraId="704952C9"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Revenue from contracts with customers</w:t>
            </w:r>
          </w:p>
        </w:tc>
        <w:tc>
          <w:tcPr>
            <w:tcW w:w="1035" w:type="dxa"/>
            <w:tcBorders>
              <w:top w:val="nil"/>
              <w:left w:val="nil"/>
              <w:bottom w:val="nil"/>
              <w:right w:val="nil"/>
            </w:tcBorders>
            <w:shd w:val="clear" w:color="auto" w:fill="auto"/>
            <w:noWrap/>
            <w:vAlign w:val="bottom"/>
            <w:hideMark/>
          </w:tcPr>
          <w:p w14:paraId="47F9E2A1" w14:textId="65E0E493"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38,972</w:t>
            </w:r>
          </w:p>
        </w:tc>
        <w:tc>
          <w:tcPr>
            <w:tcW w:w="1035" w:type="dxa"/>
            <w:tcBorders>
              <w:top w:val="nil"/>
              <w:left w:val="nil"/>
              <w:bottom w:val="nil"/>
              <w:right w:val="nil"/>
            </w:tcBorders>
            <w:shd w:val="clear" w:color="000000" w:fill="E6E6E6"/>
            <w:noWrap/>
            <w:vAlign w:val="bottom"/>
            <w:hideMark/>
          </w:tcPr>
          <w:p w14:paraId="58780CD5" w14:textId="7FADC8B8"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38,764</w:t>
            </w:r>
          </w:p>
        </w:tc>
        <w:tc>
          <w:tcPr>
            <w:tcW w:w="1075" w:type="dxa"/>
            <w:tcBorders>
              <w:top w:val="nil"/>
              <w:left w:val="nil"/>
              <w:bottom w:val="nil"/>
              <w:right w:val="nil"/>
            </w:tcBorders>
            <w:shd w:val="clear" w:color="auto" w:fill="auto"/>
            <w:noWrap/>
            <w:vAlign w:val="bottom"/>
            <w:hideMark/>
          </w:tcPr>
          <w:p w14:paraId="10913920" w14:textId="48FA3B92"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37,765</w:t>
            </w:r>
          </w:p>
        </w:tc>
        <w:tc>
          <w:tcPr>
            <w:tcW w:w="1075" w:type="dxa"/>
            <w:tcBorders>
              <w:top w:val="nil"/>
              <w:left w:val="nil"/>
              <w:bottom w:val="nil"/>
              <w:right w:val="nil"/>
            </w:tcBorders>
            <w:shd w:val="clear" w:color="auto" w:fill="auto"/>
            <w:noWrap/>
            <w:vAlign w:val="bottom"/>
            <w:hideMark/>
          </w:tcPr>
          <w:p w14:paraId="2E4929C3" w14:textId="42CC2C47"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42,221</w:t>
            </w:r>
          </w:p>
        </w:tc>
        <w:tc>
          <w:tcPr>
            <w:tcW w:w="1035" w:type="dxa"/>
            <w:tcBorders>
              <w:top w:val="nil"/>
              <w:left w:val="nil"/>
              <w:bottom w:val="nil"/>
              <w:right w:val="nil"/>
            </w:tcBorders>
            <w:shd w:val="clear" w:color="auto" w:fill="auto"/>
            <w:noWrap/>
            <w:vAlign w:val="bottom"/>
            <w:hideMark/>
          </w:tcPr>
          <w:p w14:paraId="47D3ECF7" w14:textId="2DCB6A46"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54,684</w:t>
            </w:r>
          </w:p>
        </w:tc>
      </w:tr>
      <w:tr w:rsidR="001A02A4" w:rsidRPr="003643AE" w14:paraId="733465CD" w14:textId="77777777" w:rsidTr="00682704">
        <w:trPr>
          <w:trHeight w:val="204"/>
        </w:trPr>
        <w:tc>
          <w:tcPr>
            <w:tcW w:w="2410" w:type="dxa"/>
            <w:tcBorders>
              <w:top w:val="nil"/>
              <w:left w:val="nil"/>
              <w:bottom w:val="nil"/>
              <w:right w:val="nil"/>
            </w:tcBorders>
            <w:shd w:val="clear" w:color="auto" w:fill="auto"/>
            <w:noWrap/>
            <w:vAlign w:val="center"/>
            <w:hideMark/>
          </w:tcPr>
          <w:p w14:paraId="509A5420"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Dividends</w:t>
            </w:r>
          </w:p>
        </w:tc>
        <w:tc>
          <w:tcPr>
            <w:tcW w:w="1035" w:type="dxa"/>
            <w:tcBorders>
              <w:top w:val="nil"/>
              <w:left w:val="nil"/>
              <w:bottom w:val="nil"/>
              <w:right w:val="nil"/>
            </w:tcBorders>
            <w:shd w:val="clear" w:color="auto" w:fill="auto"/>
            <w:noWrap/>
            <w:vAlign w:val="bottom"/>
            <w:hideMark/>
          </w:tcPr>
          <w:p w14:paraId="4B9A3501" w14:textId="6FB8C808"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126,441</w:t>
            </w:r>
          </w:p>
        </w:tc>
        <w:tc>
          <w:tcPr>
            <w:tcW w:w="1035" w:type="dxa"/>
            <w:tcBorders>
              <w:top w:val="nil"/>
              <w:left w:val="nil"/>
              <w:bottom w:val="nil"/>
              <w:right w:val="nil"/>
            </w:tcBorders>
            <w:shd w:val="clear" w:color="000000" w:fill="E6E6E6"/>
            <w:noWrap/>
            <w:vAlign w:val="bottom"/>
            <w:hideMark/>
          </w:tcPr>
          <w:p w14:paraId="75F037FC" w14:textId="1EDEDB7C"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106,900</w:t>
            </w:r>
          </w:p>
        </w:tc>
        <w:tc>
          <w:tcPr>
            <w:tcW w:w="1075" w:type="dxa"/>
            <w:tcBorders>
              <w:top w:val="nil"/>
              <w:left w:val="nil"/>
              <w:bottom w:val="nil"/>
              <w:right w:val="nil"/>
            </w:tcBorders>
            <w:shd w:val="clear" w:color="auto" w:fill="auto"/>
            <w:noWrap/>
            <w:vAlign w:val="bottom"/>
            <w:hideMark/>
          </w:tcPr>
          <w:p w14:paraId="1BA0A979" w14:textId="6696F232"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57,200</w:t>
            </w:r>
          </w:p>
        </w:tc>
        <w:tc>
          <w:tcPr>
            <w:tcW w:w="1075" w:type="dxa"/>
            <w:tcBorders>
              <w:top w:val="nil"/>
              <w:left w:val="nil"/>
              <w:bottom w:val="nil"/>
              <w:right w:val="nil"/>
            </w:tcBorders>
            <w:shd w:val="clear" w:color="auto" w:fill="auto"/>
            <w:noWrap/>
            <w:vAlign w:val="bottom"/>
            <w:hideMark/>
          </w:tcPr>
          <w:p w14:paraId="7D924239" w14:textId="47D65350"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55,900</w:t>
            </w:r>
          </w:p>
        </w:tc>
        <w:tc>
          <w:tcPr>
            <w:tcW w:w="1035" w:type="dxa"/>
            <w:tcBorders>
              <w:top w:val="nil"/>
              <w:left w:val="nil"/>
              <w:bottom w:val="nil"/>
              <w:right w:val="nil"/>
            </w:tcBorders>
            <w:shd w:val="clear" w:color="auto" w:fill="auto"/>
            <w:noWrap/>
            <w:vAlign w:val="bottom"/>
            <w:hideMark/>
          </w:tcPr>
          <w:p w14:paraId="6F03788B" w14:textId="0446F42A"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74,100</w:t>
            </w:r>
          </w:p>
        </w:tc>
      </w:tr>
      <w:tr w:rsidR="001A02A4" w:rsidRPr="003643AE" w14:paraId="4FB9D3A1" w14:textId="77777777" w:rsidTr="00682704">
        <w:trPr>
          <w:trHeight w:val="204"/>
        </w:trPr>
        <w:tc>
          <w:tcPr>
            <w:tcW w:w="2410" w:type="dxa"/>
            <w:tcBorders>
              <w:top w:val="nil"/>
              <w:left w:val="nil"/>
              <w:bottom w:val="nil"/>
              <w:right w:val="nil"/>
            </w:tcBorders>
            <w:shd w:val="clear" w:color="auto" w:fill="auto"/>
            <w:noWrap/>
            <w:vAlign w:val="center"/>
            <w:hideMark/>
          </w:tcPr>
          <w:p w14:paraId="3C326CAC"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Taxes</w:t>
            </w:r>
          </w:p>
        </w:tc>
        <w:tc>
          <w:tcPr>
            <w:tcW w:w="1035" w:type="dxa"/>
            <w:tcBorders>
              <w:top w:val="nil"/>
              <w:left w:val="nil"/>
              <w:bottom w:val="nil"/>
              <w:right w:val="nil"/>
            </w:tcBorders>
            <w:shd w:val="clear" w:color="auto" w:fill="auto"/>
            <w:noWrap/>
            <w:vAlign w:val="bottom"/>
            <w:hideMark/>
          </w:tcPr>
          <w:p w14:paraId="757FDE6B" w14:textId="3111A967"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14,753</w:t>
            </w:r>
          </w:p>
        </w:tc>
        <w:tc>
          <w:tcPr>
            <w:tcW w:w="1035" w:type="dxa"/>
            <w:tcBorders>
              <w:top w:val="nil"/>
              <w:left w:val="nil"/>
              <w:bottom w:val="nil"/>
              <w:right w:val="nil"/>
            </w:tcBorders>
            <w:shd w:val="clear" w:color="000000" w:fill="E6E6E6"/>
            <w:noWrap/>
            <w:vAlign w:val="bottom"/>
            <w:hideMark/>
          </w:tcPr>
          <w:p w14:paraId="4584AA34" w14:textId="0D9CAC76"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41,491</w:t>
            </w:r>
          </w:p>
        </w:tc>
        <w:tc>
          <w:tcPr>
            <w:tcW w:w="1075" w:type="dxa"/>
            <w:tcBorders>
              <w:top w:val="nil"/>
              <w:left w:val="nil"/>
              <w:bottom w:val="nil"/>
              <w:right w:val="nil"/>
            </w:tcBorders>
            <w:shd w:val="clear" w:color="auto" w:fill="auto"/>
            <w:noWrap/>
            <w:vAlign w:val="bottom"/>
            <w:hideMark/>
          </w:tcPr>
          <w:p w14:paraId="0D826622" w14:textId="4E90EEC0"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43,187</w:t>
            </w:r>
          </w:p>
        </w:tc>
        <w:tc>
          <w:tcPr>
            <w:tcW w:w="1075" w:type="dxa"/>
            <w:tcBorders>
              <w:top w:val="nil"/>
              <w:left w:val="nil"/>
              <w:bottom w:val="nil"/>
              <w:right w:val="nil"/>
            </w:tcBorders>
            <w:shd w:val="clear" w:color="auto" w:fill="auto"/>
            <w:noWrap/>
            <w:vAlign w:val="bottom"/>
            <w:hideMark/>
          </w:tcPr>
          <w:p w14:paraId="5E94E6A3" w14:textId="29242B52"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42,468</w:t>
            </w:r>
          </w:p>
        </w:tc>
        <w:tc>
          <w:tcPr>
            <w:tcW w:w="1035" w:type="dxa"/>
            <w:tcBorders>
              <w:top w:val="nil"/>
              <w:left w:val="nil"/>
              <w:bottom w:val="nil"/>
              <w:right w:val="nil"/>
            </w:tcBorders>
            <w:shd w:val="clear" w:color="auto" w:fill="auto"/>
            <w:noWrap/>
            <w:vAlign w:val="bottom"/>
            <w:hideMark/>
          </w:tcPr>
          <w:p w14:paraId="1160F593" w14:textId="6B9EAE0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45,006</w:t>
            </w:r>
          </w:p>
        </w:tc>
      </w:tr>
      <w:tr w:rsidR="001A02A4" w:rsidRPr="003643AE" w14:paraId="2110267D" w14:textId="77777777" w:rsidTr="00682704">
        <w:trPr>
          <w:trHeight w:val="204"/>
        </w:trPr>
        <w:tc>
          <w:tcPr>
            <w:tcW w:w="2410" w:type="dxa"/>
            <w:tcBorders>
              <w:top w:val="nil"/>
              <w:left w:val="nil"/>
              <w:bottom w:val="nil"/>
              <w:right w:val="nil"/>
            </w:tcBorders>
            <w:shd w:val="clear" w:color="auto" w:fill="auto"/>
            <w:noWrap/>
            <w:vAlign w:val="center"/>
            <w:hideMark/>
          </w:tcPr>
          <w:p w14:paraId="26F8AF6A"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Regulatory and other fees</w:t>
            </w:r>
          </w:p>
        </w:tc>
        <w:tc>
          <w:tcPr>
            <w:tcW w:w="1035" w:type="dxa"/>
            <w:tcBorders>
              <w:top w:val="nil"/>
              <w:left w:val="nil"/>
              <w:bottom w:val="nil"/>
              <w:right w:val="nil"/>
            </w:tcBorders>
            <w:shd w:val="clear" w:color="auto" w:fill="auto"/>
            <w:noWrap/>
            <w:vAlign w:val="bottom"/>
            <w:hideMark/>
          </w:tcPr>
          <w:p w14:paraId="2D6E4CE0" w14:textId="4186EFBA"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132,831</w:t>
            </w:r>
          </w:p>
        </w:tc>
        <w:tc>
          <w:tcPr>
            <w:tcW w:w="1035" w:type="dxa"/>
            <w:tcBorders>
              <w:top w:val="nil"/>
              <w:left w:val="nil"/>
              <w:bottom w:val="nil"/>
              <w:right w:val="nil"/>
            </w:tcBorders>
            <w:shd w:val="clear" w:color="000000" w:fill="E6E6E6"/>
            <w:noWrap/>
            <w:vAlign w:val="bottom"/>
            <w:hideMark/>
          </w:tcPr>
          <w:p w14:paraId="7B87FF45" w14:textId="70A77A6D"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100,000</w:t>
            </w:r>
          </w:p>
        </w:tc>
        <w:tc>
          <w:tcPr>
            <w:tcW w:w="1075" w:type="dxa"/>
            <w:tcBorders>
              <w:top w:val="nil"/>
              <w:left w:val="nil"/>
              <w:bottom w:val="nil"/>
              <w:right w:val="nil"/>
            </w:tcBorders>
            <w:shd w:val="clear" w:color="auto" w:fill="auto"/>
            <w:noWrap/>
            <w:vAlign w:val="bottom"/>
            <w:hideMark/>
          </w:tcPr>
          <w:p w14:paraId="2B58E85D" w14:textId="641088DA"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115,000</w:t>
            </w:r>
          </w:p>
        </w:tc>
        <w:tc>
          <w:tcPr>
            <w:tcW w:w="1075" w:type="dxa"/>
            <w:tcBorders>
              <w:top w:val="nil"/>
              <w:left w:val="nil"/>
              <w:bottom w:val="nil"/>
              <w:right w:val="nil"/>
            </w:tcBorders>
            <w:shd w:val="clear" w:color="auto" w:fill="auto"/>
            <w:noWrap/>
            <w:vAlign w:val="bottom"/>
            <w:hideMark/>
          </w:tcPr>
          <w:p w14:paraId="0CD6F9A7" w14:textId="695F0AB4"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115,000</w:t>
            </w:r>
          </w:p>
        </w:tc>
        <w:tc>
          <w:tcPr>
            <w:tcW w:w="1035" w:type="dxa"/>
            <w:tcBorders>
              <w:top w:val="nil"/>
              <w:left w:val="nil"/>
              <w:bottom w:val="nil"/>
              <w:right w:val="nil"/>
            </w:tcBorders>
            <w:shd w:val="clear" w:color="auto" w:fill="auto"/>
            <w:noWrap/>
            <w:vAlign w:val="bottom"/>
            <w:hideMark/>
          </w:tcPr>
          <w:p w14:paraId="2E34222F" w14:textId="7E2A90BA"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160,000</w:t>
            </w:r>
          </w:p>
        </w:tc>
      </w:tr>
      <w:tr w:rsidR="001A02A4" w:rsidRPr="003643AE" w14:paraId="6CB957AB" w14:textId="77777777" w:rsidTr="00682704">
        <w:trPr>
          <w:trHeight w:val="204"/>
        </w:trPr>
        <w:tc>
          <w:tcPr>
            <w:tcW w:w="2410" w:type="dxa"/>
            <w:tcBorders>
              <w:top w:val="nil"/>
              <w:left w:val="nil"/>
              <w:bottom w:val="nil"/>
              <w:right w:val="nil"/>
            </w:tcBorders>
            <w:shd w:val="clear" w:color="auto" w:fill="auto"/>
            <w:noWrap/>
            <w:vAlign w:val="center"/>
            <w:hideMark/>
          </w:tcPr>
          <w:p w14:paraId="03A152D8"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Other</w:t>
            </w:r>
          </w:p>
        </w:tc>
        <w:tc>
          <w:tcPr>
            <w:tcW w:w="1035" w:type="dxa"/>
            <w:tcBorders>
              <w:top w:val="nil"/>
              <w:left w:val="nil"/>
              <w:bottom w:val="nil"/>
              <w:right w:val="nil"/>
            </w:tcBorders>
            <w:shd w:val="clear" w:color="auto" w:fill="auto"/>
            <w:noWrap/>
            <w:vAlign w:val="bottom"/>
            <w:hideMark/>
          </w:tcPr>
          <w:p w14:paraId="5EF3DC3E" w14:textId="41FF1AA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239,191</w:t>
            </w:r>
          </w:p>
        </w:tc>
        <w:tc>
          <w:tcPr>
            <w:tcW w:w="1035" w:type="dxa"/>
            <w:tcBorders>
              <w:top w:val="nil"/>
              <w:left w:val="nil"/>
              <w:bottom w:val="nil"/>
              <w:right w:val="nil"/>
            </w:tcBorders>
            <w:shd w:val="clear" w:color="000000" w:fill="E6E6E6"/>
            <w:noWrap/>
            <w:vAlign w:val="bottom"/>
            <w:hideMark/>
          </w:tcPr>
          <w:p w14:paraId="4C552411" w14:textId="72ADF52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12,952</w:t>
            </w:r>
          </w:p>
        </w:tc>
        <w:tc>
          <w:tcPr>
            <w:tcW w:w="1075" w:type="dxa"/>
            <w:tcBorders>
              <w:top w:val="nil"/>
              <w:left w:val="nil"/>
              <w:bottom w:val="nil"/>
              <w:right w:val="nil"/>
            </w:tcBorders>
            <w:shd w:val="clear" w:color="auto" w:fill="auto"/>
            <w:noWrap/>
            <w:vAlign w:val="bottom"/>
            <w:hideMark/>
          </w:tcPr>
          <w:p w14:paraId="79558F71" w14:textId="16A2780B"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19,263</w:t>
            </w:r>
          </w:p>
        </w:tc>
        <w:tc>
          <w:tcPr>
            <w:tcW w:w="1075" w:type="dxa"/>
            <w:tcBorders>
              <w:top w:val="nil"/>
              <w:left w:val="nil"/>
              <w:bottom w:val="nil"/>
              <w:right w:val="nil"/>
            </w:tcBorders>
            <w:shd w:val="clear" w:color="auto" w:fill="auto"/>
            <w:noWrap/>
            <w:vAlign w:val="bottom"/>
            <w:hideMark/>
          </w:tcPr>
          <w:p w14:paraId="626CD823" w14:textId="71E3EB2D"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11,660</w:t>
            </w:r>
          </w:p>
        </w:tc>
        <w:tc>
          <w:tcPr>
            <w:tcW w:w="1035" w:type="dxa"/>
            <w:tcBorders>
              <w:top w:val="nil"/>
              <w:left w:val="nil"/>
              <w:bottom w:val="nil"/>
              <w:right w:val="nil"/>
            </w:tcBorders>
            <w:shd w:val="clear" w:color="auto" w:fill="auto"/>
            <w:noWrap/>
            <w:vAlign w:val="bottom"/>
            <w:hideMark/>
          </w:tcPr>
          <w:p w14:paraId="04AC9AC0" w14:textId="4FC20B7E"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5,800</w:t>
            </w:r>
          </w:p>
        </w:tc>
      </w:tr>
      <w:tr w:rsidR="001A02A4" w:rsidRPr="00B02F25" w14:paraId="25A7D538" w14:textId="77777777" w:rsidTr="00682704">
        <w:trPr>
          <w:trHeight w:val="204"/>
        </w:trPr>
        <w:tc>
          <w:tcPr>
            <w:tcW w:w="2410" w:type="dxa"/>
            <w:tcBorders>
              <w:top w:val="nil"/>
              <w:left w:val="nil"/>
              <w:bottom w:val="nil"/>
              <w:right w:val="nil"/>
            </w:tcBorders>
            <w:shd w:val="clear" w:color="auto" w:fill="auto"/>
            <w:noWrap/>
            <w:vAlign w:val="center"/>
            <w:hideMark/>
          </w:tcPr>
          <w:p w14:paraId="1D652380" w14:textId="77777777" w:rsidR="001A02A4" w:rsidRPr="00B02F25" w:rsidRDefault="001A02A4" w:rsidP="001A02A4">
            <w:pPr>
              <w:spacing w:after="0" w:line="240" w:lineRule="auto"/>
              <w:ind w:left="113"/>
              <w:jc w:val="left"/>
              <w:rPr>
                <w:rFonts w:ascii="Arial" w:hAnsi="Arial" w:cs="Arial"/>
                <w:b/>
                <w:bCs/>
                <w:i/>
                <w:color w:val="000000"/>
                <w:sz w:val="16"/>
                <w:szCs w:val="16"/>
              </w:rPr>
            </w:pPr>
            <w:r w:rsidRPr="00B02F25">
              <w:rPr>
                <w:rFonts w:ascii="Arial" w:hAnsi="Arial" w:cs="Arial"/>
                <w:b/>
                <w:bCs/>
                <w:i/>
                <w:color w:val="000000"/>
                <w:sz w:val="16"/>
                <w:szCs w:val="16"/>
              </w:rPr>
              <w:t>Total cash received</w:t>
            </w:r>
          </w:p>
        </w:tc>
        <w:tc>
          <w:tcPr>
            <w:tcW w:w="1035" w:type="dxa"/>
            <w:tcBorders>
              <w:top w:val="single" w:sz="4" w:space="0" w:color="000000"/>
              <w:left w:val="nil"/>
              <w:bottom w:val="single" w:sz="4" w:space="0" w:color="000000"/>
              <w:right w:val="nil"/>
            </w:tcBorders>
            <w:shd w:val="clear" w:color="auto" w:fill="auto"/>
            <w:noWrap/>
            <w:vAlign w:val="bottom"/>
            <w:hideMark/>
          </w:tcPr>
          <w:p w14:paraId="4C0F9A06" w14:textId="623FBB36" w:rsidR="001A02A4" w:rsidRPr="00B02F25" w:rsidRDefault="001A02A4" w:rsidP="001A02A4">
            <w:pPr>
              <w:spacing w:after="0" w:line="240" w:lineRule="auto"/>
              <w:jc w:val="right"/>
              <w:rPr>
                <w:rFonts w:ascii="Arial" w:hAnsi="Arial" w:cs="Arial"/>
                <w:b/>
                <w:bCs/>
                <w:i/>
                <w:iCs/>
                <w:color w:val="000000"/>
                <w:sz w:val="16"/>
                <w:szCs w:val="16"/>
              </w:rPr>
            </w:pPr>
            <w:r w:rsidRPr="00B02F25">
              <w:rPr>
                <w:rFonts w:ascii="Arial" w:hAnsi="Arial" w:cs="Arial"/>
                <w:b/>
                <w:bCs/>
                <w:i/>
                <w:iCs/>
                <w:color w:val="000000"/>
                <w:sz w:val="16"/>
                <w:szCs w:val="16"/>
              </w:rPr>
              <w:t>552,188</w:t>
            </w:r>
          </w:p>
        </w:tc>
        <w:tc>
          <w:tcPr>
            <w:tcW w:w="1035" w:type="dxa"/>
            <w:tcBorders>
              <w:top w:val="single" w:sz="4" w:space="0" w:color="000000"/>
              <w:left w:val="nil"/>
              <w:bottom w:val="single" w:sz="4" w:space="0" w:color="000000"/>
              <w:right w:val="nil"/>
            </w:tcBorders>
            <w:shd w:val="clear" w:color="000000" w:fill="E6E6E6"/>
            <w:noWrap/>
            <w:vAlign w:val="bottom"/>
            <w:hideMark/>
          </w:tcPr>
          <w:p w14:paraId="0D94BEAF" w14:textId="41FDE9AC" w:rsidR="001A02A4" w:rsidRPr="00B02F25" w:rsidRDefault="001A02A4" w:rsidP="001A02A4">
            <w:pPr>
              <w:spacing w:after="0" w:line="240" w:lineRule="auto"/>
              <w:jc w:val="right"/>
              <w:rPr>
                <w:rFonts w:ascii="Arial" w:hAnsi="Arial" w:cs="Arial"/>
                <w:b/>
                <w:bCs/>
                <w:i/>
                <w:iCs/>
                <w:color w:val="000000"/>
                <w:sz w:val="16"/>
                <w:szCs w:val="16"/>
              </w:rPr>
            </w:pPr>
            <w:r w:rsidRPr="00B02F25">
              <w:rPr>
                <w:rFonts w:ascii="Arial" w:hAnsi="Arial" w:cs="Arial"/>
                <w:b/>
                <w:bCs/>
                <w:i/>
                <w:iCs/>
                <w:color w:val="000000"/>
                <w:sz w:val="16"/>
                <w:szCs w:val="16"/>
              </w:rPr>
              <w:t>300,107</w:t>
            </w:r>
          </w:p>
        </w:tc>
        <w:tc>
          <w:tcPr>
            <w:tcW w:w="1075" w:type="dxa"/>
            <w:tcBorders>
              <w:top w:val="single" w:sz="4" w:space="0" w:color="000000"/>
              <w:left w:val="nil"/>
              <w:bottom w:val="single" w:sz="4" w:space="0" w:color="000000"/>
              <w:right w:val="nil"/>
            </w:tcBorders>
            <w:shd w:val="clear" w:color="auto" w:fill="auto"/>
            <w:noWrap/>
            <w:vAlign w:val="bottom"/>
            <w:hideMark/>
          </w:tcPr>
          <w:p w14:paraId="1E6405A2" w14:textId="44FA4A45" w:rsidR="001A02A4" w:rsidRPr="00B02F25" w:rsidRDefault="001A02A4" w:rsidP="001A02A4">
            <w:pPr>
              <w:spacing w:after="0" w:line="240" w:lineRule="auto"/>
              <w:jc w:val="right"/>
              <w:rPr>
                <w:rFonts w:ascii="Arial" w:hAnsi="Arial" w:cs="Arial"/>
                <w:b/>
                <w:bCs/>
                <w:i/>
                <w:iCs/>
                <w:color w:val="000000"/>
                <w:sz w:val="16"/>
                <w:szCs w:val="16"/>
              </w:rPr>
            </w:pPr>
            <w:r w:rsidRPr="00B02F25">
              <w:rPr>
                <w:rFonts w:ascii="Arial" w:hAnsi="Arial" w:cs="Arial"/>
                <w:b/>
                <w:bCs/>
                <w:i/>
                <w:iCs/>
                <w:color w:val="000000"/>
                <w:sz w:val="16"/>
                <w:szCs w:val="16"/>
              </w:rPr>
              <w:t>272,415</w:t>
            </w:r>
          </w:p>
        </w:tc>
        <w:tc>
          <w:tcPr>
            <w:tcW w:w="1075" w:type="dxa"/>
            <w:tcBorders>
              <w:top w:val="single" w:sz="4" w:space="0" w:color="000000"/>
              <w:left w:val="nil"/>
              <w:bottom w:val="single" w:sz="4" w:space="0" w:color="000000"/>
              <w:right w:val="nil"/>
            </w:tcBorders>
            <w:shd w:val="clear" w:color="auto" w:fill="auto"/>
            <w:noWrap/>
            <w:vAlign w:val="bottom"/>
            <w:hideMark/>
          </w:tcPr>
          <w:p w14:paraId="7E38EB51" w14:textId="51000A4A" w:rsidR="001A02A4" w:rsidRPr="00B02F25" w:rsidRDefault="001A02A4" w:rsidP="001A02A4">
            <w:pPr>
              <w:spacing w:after="0" w:line="240" w:lineRule="auto"/>
              <w:jc w:val="right"/>
              <w:rPr>
                <w:rFonts w:ascii="Arial" w:hAnsi="Arial" w:cs="Arial"/>
                <w:b/>
                <w:bCs/>
                <w:i/>
                <w:iCs/>
                <w:color w:val="000000"/>
                <w:sz w:val="16"/>
                <w:szCs w:val="16"/>
              </w:rPr>
            </w:pPr>
            <w:r w:rsidRPr="00B02F25">
              <w:rPr>
                <w:rFonts w:ascii="Arial" w:hAnsi="Arial" w:cs="Arial"/>
                <w:b/>
                <w:bCs/>
                <w:i/>
                <w:iCs/>
                <w:color w:val="000000"/>
                <w:sz w:val="16"/>
                <w:szCs w:val="16"/>
              </w:rPr>
              <w:t>267,249</w:t>
            </w:r>
          </w:p>
        </w:tc>
        <w:tc>
          <w:tcPr>
            <w:tcW w:w="1035" w:type="dxa"/>
            <w:tcBorders>
              <w:top w:val="single" w:sz="4" w:space="0" w:color="000000"/>
              <w:left w:val="nil"/>
              <w:bottom w:val="single" w:sz="4" w:space="0" w:color="000000"/>
              <w:right w:val="nil"/>
            </w:tcBorders>
            <w:shd w:val="clear" w:color="auto" w:fill="auto"/>
            <w:noWrap/>
            <w:vAlign w:val="bottom"/>
            <w:hideMark/>
          </w:tcPr>
          <w:p w14:paraId="68A88FF7" w14:textId="09978ED4" w:rsidR="001A02A4" w:rsidRPr="00B02F25" w:rsidRDefault="001A02A4" w:rsidP="001A02A4">
            <w:pPr>
              <w:spacing w:after="0" w:line="240" w:lineRule="auto"/>
              <w:jc w:val="right"/>
              <w:rPr>
                <w:rFonts w:ascii="Arial" w:hAnsi="Arial" w:cs="Arial"/>
                <w:b/>
                <w:bCs/>
                <w:i/>
                <w:iCs/>
                <w:color w:val="000000"/>
                <w:sz w:val="16"/>
                <w:szCs w:val="16"/>
              </w:rPr>
            </w:pPr>
            <w:r w:rsidRPr="00B02F25">
              <w:rPr>
                <w:rFonts w:ascii="Arial" w:hAnsi="Arial" w:cs="Arial"/>
                <w:b/>
                <w:bCs/>
                <w:i/>
                <w:iCs/>
                <w:color w:val="000000"/>
                <w:sz w:val="16"/>
                <w:szCs w:val="16"/>
              </w:rPr>
              <w:t>339,590</w:t>
            </w:r>
          </w:p>
        </w:tc>
      </w:tr>
      <w:tr w:rsidR="001A02A4" w:rsidRPr="003643AE" w14:paraId="1975D906" w14:textId="77777777" w:rsidTr="00682704">
        <w:trPr>
          <w:trHeight w:val="204"/>
        </w:trPr>
        <w:tc>
          <w:tcPr>
            <w:tcW w:w="2410" w:type="dxa"/>
            <w:tcBorders>
              <w:top w:val="nil"/>
              <w:left w:val="nil"/>
              <w:bottom w:val="nil"/>
              <w:right w:val="nil"/>
            </w:tcBorders>
            <w:shd w:val="clear" w:color="auto" w:fill="auto"/>
            <w:noWrap/>
            <w:vAlign w:val="center"/>
            <w:hideMark/>
          </w:tcPr>
          <w:p w14:paraId="32AB7AB2" w14:textId="77777777" w:rsidR="001A02A4" w:rsidRPr="003643AE" w:rsidRDefault="001A02A4" w:rsidP="001A02A4">
            <w:pPr>
              <w:spacing w:after="0" w:line="240" w:lineRule="auto"/>
              <w:ind w:left="113"/>
              <w:jc w:val="left"/>
              <w:rPr>
                <w:rFonts w:ascii="Arial" w:hAnsi="Arial" w:cs="Arial"/>
                <w:b/>
                <w:bCs/>
                <w:color w:val="000000"/>
                <w:sz w:val="16"/>
                <w:szCs w:val="16"/>
              </w:rPr>
            </w:pPr>
            <w:r w:rsidRPr="003643AE">
              <w:rPr>
                <w:rFonts w:ascii="Arial" w:hAnsi="Arial" w:cs="Arial"/>
                <w:b/>
                <w:bCs/>
                <w:color w:val="000000"/>
                <w:sz w:val="16"/>
                <w:szCs w:val="16"/>
              </w:rPr>
              <w:t>Cash used</w:t>
            </w:r>
          </w:p>
        </w:tc>
        <w:tc>
          <w:tcPr>
            <w:tcW w:w="1035" w:type="dxa"/>
            <w:tcBorders>
              <w:top w:val="nil"/>
              <w:left w:val="nil"/>
              <w:bottom w:val="nil"/>
              <w:right w:val="nil"/>
            </w:tcBorders>
            <w:shd w:val="clear" w:color="auto" w:fill="auto"/>
            <w:noWrap/>
            <w:vAlign w:val="bottom"/>
            <w:hideMark/>
          </w:tcPr>
          <w:p w14:paraId="778EBEBA" w14:textId="77777777" w:rsidR="001A02A4" w:rsidRPr="003643AE" w:rsidRDefault="001A02A4" w:rsidP="001A02A4">
            <w:pPr>
              <w:spacing w:after="0" w:line="240" w:lineRule="auto"/>
              <w:ind w:firstLineChars="100" w:firstLine="160"/>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3A37CB06" w14:textId="164F1B9B" w:rsidR="001A02A4" w:rsidRPr="003643AE" w:rsidRDefault="001A02A4" w:rsidP="001A02A4">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09747CED" w14:textId="77777777" w:rsidR="001A02A4" w:rsidRPr="003643AE" w:rsidRDefault="001A02A4" w:rsidP="001A02A4">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54E9381C" w14:textId="77777777" w:rsidR="001A02A4" w:rsidRPr="003643AE" w:rsidRDefault="001A02A4" w:rsidP="001A02A4">
            <w:pPr>
              <w:spacing w:after="0" w:line="240" w:lineRule="auto"/>
              <w:jc w:val="right"/>
              <w:rPr>
                <w:rFonts w:ascii="Times New Roman" w:hAnsi="Times New Roman"/>
              </w:rPr>
            </w:pPr>
          </w:p>
        </w:tc>
        <w:tc>
          <w:tcPr>
            <w:tcW w:w="1035" w:type="dxa"/>
            <w:tcBorders>
              <w:top w:val="nil"/>
              <w:left w:val="nil"/>
              <w:bottom w:val="nil"/>
              <w:right w:val="nil"/>
            </w:tcBorders>
            <w:shd w:val="clear" w:color="auto" w:fill="auto"/>
            <w:noWrap/>
            <w:vAlign w:val="bottom"/>
            <w:hideMark/>
          </w:tcPr>
          <w:p w14:paraId="121A63DD" w14:textId="77777777" w:rsidR="001A02A4" w:rsidRPr="003643AE" w:rsidRDefault="001A02A4" w:rsidP="001A02A4">
            <w:pPr>
              <w:spacing w:after="0" w:line="240" w:lineRule="auto"/>
              <w:jc w:val="right"/>
              <w:rPr>
                <w:rFonts w:ascii="Times New Roman" w:hAnsi="Times New Roman"/>
              </w:rPr>
            </w:pPr>
          </w:p>
        </w:tc>
      </w:tr>
      <w:tr w:rsidR="001A02A4" w:rsidRPr="003643AE" w14:paraId="065766B8" w14:textId="77777777" w:rsidTr="00682704">
        <w:trPr>
          <w:trHeight w:val="204"/>
        </w:trPr>
        <w:tc>
          <w:tcPr>
            <w:tcW w:w="2410" w:type="dxa"/>
            <w:tcBorders>
              <w:top w:val="nil"/>
              <w:left w:val="nil"/>
              <w:bottom w:val="nil"/>
              <w:right w:val="nil"/>
            </w:tcBorders>
            <w:shd w:val="clear" w:color="auto" w:fill="auto"/>
            <w:noWrap/>
            <w:vAlign w:val="center"/>
            <w:hideMark/>
          </w:tcPr>
          <w:p w14:paraId="59137672"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Grant payments</w:t>
            </w:r>
          </w:p>
        </w:tc>
        <w:tc>
          <w:tcPr>
            <w:tcW w:w="1035" w:type="dxa"/>
            <w:tcBorders>
              <w:top w:val="nil"/>
              <w:left w:val="nil"/>
              <w:bottom w:val="nil"/>
              <w:right w:val="nil"/>
            </w:tcBorders>
            <w:shd w:val="clear" w:color="auto" w:fill="auto"/>
            <w:noWrap/>
            <w:vAlign w:val="bottom"/>
            <w:hideMark/>
          </w:tcPr>
          <w:p w14:paraId="5AB3E740" w14:textId="73E2D2CF"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5,603,396</w:t>
            </w:r>
          </w:p>
        </w:tc>
        <w:tc>
          <w:tcPr>
            <w:tcW w:w="1035" w:type="dxa"/>
            <w:tcBorders>
              <w:top w:val="nil"/>
              <w:left w:val="nil"/>
              <w:bottom w:val="nil"/>
              <w:right w:val="nil"/>
            </w:tcBorders>
            <w:shd w:val="clear" w:color="000000" w:fill="E6E6E6"/>
            <w:noWrap/>
            <w:vAlign w:val="bottom"/>
            <w:hideMark/>
          </w:tcPr>
          <w:p w14:paraId="42BB7B69" w14:textId="5FBE56AB"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5,027,899</w:t>
            </w:r>
          </w:p>
        </w:tc>
        <w:tc>
          <w:tcPr>
            <w:tcW w:w="1075" w:type="dxa"/>
            <w:tcBorders>
              <w:top w:val="nil"/>
              <w:left w:val="nil"/>
              <w:bottom w:val="nil"/>
              <w:right w:val="nil"/>
            </w:tcBorders>
            <w:shd w:val="clear" w:color="auto" w:fill="auto"/>
            <w:noWrap/>
            <w:vAlign w:val="bottom"/>
            <w:hideMark/>
          </w:tcPr>
          <w:p w14:paraId="2D7A39F8" w14:textId="240FC78C"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5,751,926</w:t>
            </w:r>
          </w:p>
        </w:tc>
        <w:tc>
          <w:tcPr>
            <w:tcW w:w="1075" w:type="dxa"/>
            <w:tcBorders>
              <w:top w:val="nil"/>
              <w:left w:val="nil"/>
              <w:bottom w:val="nil"/>
              <w:right w:val="nil"/>
            </w:tcBorders>
            <w:shd w:val="clear" w:color="auto" w:fill="auto"/>
            <w:noWrap/>
            <w:vAlign w:val="bottom"/>
            <w:hideMark/>
          </w:tcPr>
          <w:p w14:paraId="450EBC3B" w14:textId="0C670F2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4,599,987</w:t>
            </w:r>
          </w:p>
        </w:tc>
        <w:tc>
          <w:tcPr>
            <w:tcW w:w="1035" w:type="dxa"/>
            <w:tcBorders>
              <w:top w:val="nil"/>
              <w:left w:val="nil"/>
              <w:bottom w:val="nil"/>
              <w:right w:val="nil"/>
            </w:tcBorders>
            <w:shd w:val="clear" w:color="auto" w:fill="auto"/>
            <w:noWrap/>
            <w:vAlign w:val="bottom"/>
            <w:hideMark/>
          </w:tcPr>
          <w:p w14:paraId="6157F4CE" w14:textId="68BCA447"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4,355,834</w:t>
            </w:r>
          </w:p>
        </w:tc>
      </w:tr>
      <w:tr w:rsidR="001A02A4" w:rsidRPr="003643AE" w14:paraId="18AF1830" w14:textId="77777777" w:rsidTr="00682704">
        <w:trPr>
          <w:trHeight w:val="204"/>
        </w:trPr>
        <w:tc>
          <w:tcPr>
            <w:tcW w:w="2410" w:type="dxa"/>
            <w:tcBorders>
              <w:top w:val="nil"/>
              <w:left w:val="nil"/>
              <w:bottom w:val="nil"/>
              <w:right w:val="nil"/>
            </w:tcBorders>
            <w:shd w:val="clear" w:color="auto" w:fill="auto"/>
            <w:noWrap/>
            <w:vAlign w:val="center"/>
            <w:hideMark/>
          </w:tcPr>
          <w:p w14:paraId="620C5930"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Subsidies paid</w:t>
            </w:r>
          </w:p>
        </w:tc>
        <w:tc>
          <w:tcPr>
            <w:tcW w:w="1035" w:type="dxa"/>
            <w:tcBorders>
              <w:top w:val="nil"/>
              <w:left w:val="nil"/>
              <w:bottom w:val="nil"/>
              <w:right w:val="nil"/>
            </w:tcBorders>
            <w:shd w:val="clear" w:color="auto" w:fill="auto"/>
            <w:noWrap/>
            <w:vAlign w:val="bottom"/>
            <w:hideMark/>
          </w:tcPr>
          <w:p w14:paraId="0EC6770F" w14:textId="27F72D9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2,083,100</w:t>
            </w:r>
          </w:p>
        </w:tc>
        <w:tc>
          <w:tcPr>
            <w:tcW w:w="1035" w:type="dxa"/>
            <w:tcBorders>
              <w:top w:val="nil"/>
              <w:left w:val="nil"/>
              <w:bottom w:val="nil"/>
              <w:right w:val="nil"/>
            </w:tcBorders>
            <w:shd w:val="clear" w:color="000000" w:fill="E6E6E6"/>
            <w:noWrap/>
            <w:vAlign w:val="bottom"/>
            <w:hideMark/>
          </w:tcPr>
          <w:p w14:paraId="6ED22E26" w14:textId="509C7549"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1,120,083</w:t>
            </w:r>
          </w:p>
        </w:tc>
        <w:tc>
          <w:tcPr>
            <w:tcW w:w="1075" w:type="dxa"/>
            <w:tcBorders>
              <w:top w:val="nil"/>
              <w:left w:val="nil"/>
              <w:bottom w:val="nil"/>
              <w:right w:val="nil"/>
            </w:tcBorders>
            <w:shd w:val="clear" w:color="auto" w:fill="auto"/>
            <w:noWrap/>
            <w:vAlign w:val="bottom"/>
            <w:hideMark/>
          </w:tcPr>
          <w:p w14:paraId="10414E62" w14:textId="1D4C484A"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303,621</w:t>
            </w:r>
          </w:p>
        </w:tc>
        <w:tc>
          <w:tcPr>
            <w:tcW w:w="1075" w:type="dxa"/>
            <w:tcBorders>
              <w:top w:val="nil"/>
              <w:left w:val="nil"/>
              <w:bottom w:val="nil"/>
              <w:right w:val="nil"/>
            </w:tcBorders>
            <w:shd w:val="clear" w:color="auto" w:fill="auto"/>
            <w:noWrap/>
            <w:vAlign w:val="bottom"/>
            <w:hideMark/>
          </w:tcPr>
          <w:p w14:paraId="3468D2B4" w14:textId="127DFF66"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287,415</w:t>
            </w:r>
          </w:p>
        </w:tc>
        <w:tc>
          <w:tcPr>
            <w:tcW w:w="1035" w:type="dxa"/>
            <w:tcBorders>
              <w:top w:val="nil"/>
              <w:left w:val="nil"/>
              <w:bottom w:val="nil"/>
              <w:right w:val="nil"/>
            </w:tcBorders>
            <w:shd w:val="clear" w:color="auto" w:fill="auto"/>
            <w:noWrap/>
            <w:vAlign w:val="bottom"/>
            <w:hideMark/>
          </w:tcPr>
          <w:p w14:paraId="346819B6" w14:textId="06BBAE98"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282,146</w:t>
            </w:r>
          </w:p>
        </w:tc>
      </w:tr>
      <w:tr w:rsidR="001A02A4" w:rsidRPr="003643AE" w14:paraId="11A3BE1C" w14:textId="77777777" w:rsidTr="00682704">
        <w:trPr>
          <w:trHeight w:val="204"/>
        </w:trPr>
        <w:tc>
          <w:tcPr>
            <w:tcW w:w="2410" w:type="dxa"/>
            <w:tcBorders>
              <w:top w:val="nil"/>
              <w:left w:val="nil"/>
              <w:bottom w:val="nil"/>
              <w:right w:val="nil"/>
            </w:tcBorders>
            <w:shd w:val="clear" w:color="auto" w:fill="auto"/>
            <w:noWrap/>
            <w:vAlign w:val="center"/>
            <w:hideMark/>
          </w:tcPr>
          <w:p w14:paraId="103F9E57"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Employee benefits</w:t>
            </w:r>
          </w:p>
        </w:tc>
        <w:tc>
          <w:tcPr>
            <w:tcW w:w="1035" w:type="dxa"/>
            <w:tcBorders>
              <w:top w:val="nil"/>
              <w:left w:val="nil"/>
              <w:bottom w:val="nil"/>
              <w:right w:val="nil"/>
            </w:tcBorders>
            <w:shd w:val="clear" w:color="auto" w:fill="auto"/>
            <w:noWrap/>
            <w:vAlign w:val="bottom"/>
            <w:hideMark/>
          </w:tcPr>
          <w:p w14:paraId="73AA2C38" w14:textId="6925BC1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15,760</w:t>
            </w:r>
          </w:p>
        </w:tc>
        <w:tc>
          <w:tcPr>
            <w:tcW w:w="1035" w:type="dxa"/>
            <w:tcBorders>
              <w:top w:val="nil"/>
              <w:left w:val="nil"/>
              <w:bottom w:val="nil"/>
              <w:right w:val="nil"/>
            </w:tcBorders>
            <w:shd w:val="clear" w:color="000000" w:fill="E6E6E6"/>
            <w:noWrap/>
            <w:vAlign w:val="bottom"/>
            <w:hideMark/>
          </w:tcPr>
          <w:p w14:paraId="626F5E85" w14:textId="67AD5AAD"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16,623</w:t>
            </w:r>
          </w:p>
        </w:tc>
        <w:tc>
          <w:tcPr>
            <w:tcW w:w="1075" w:type="dxa"/>
            <w:tcBorders>
              <w:top w:val="nil"/>
              <w:left w:val="nil"/>
              <w:bottom w:val="nil"/>
              <w:right w:val="nil"/>
            </w:tcBorders>
            <w:shd w:val="clear" w:color="auto" w:fill="auto"/>
            <w:noWrap/>
            <w:vAlign w:val="bottom"/>
            <w:hideMark/>
          </w:tcPr>
          <w:p w14:paraId="658A1005" w14:textId="007C9204"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16,948</w:t>
            </w:r>
          </w:p>
        </w:tc>
        <w:tc>
          <w:tcPr>
            <w:tcW w:w="1075" w:type="dxa"/>
            <w:tcBorders>
              <w:top w:val="nil"/>
              <w:left w:val="nil"/>
              <w:bottom w:val="nil"/>
              <w:right w:val="nil"/>
            </w:tcBorders>
            <w:shd w:val="clear" w:color="auto" w:fill="auto"/>
            <w:noWrap/>
            <w:vAlign w:val="bottom"/>
            <w:hideMark/>
          </w:tcPr>
          <w:p w14:paraId="7C958BBF" w14:textId="45FA5DE6"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17,284</w:t>
            </w:r>
          </w:p>
        </w:tc>
        <w:tc>
          <w:tcPr>
            <w:tcW w:w="1035" w:type="dxa"/>
            <w:tcBorders>
              <w:top w:val="nil"/>
              <w:left w:val="nil"/>
              <w:bottom w:val="nil"/>
              <w:right w:val="nil"/>
            </w:tcBorders>
            <w:shd w:val="clear" w:color="auto" w:fill="auto"/>
            <w:noWrap/>
            <w:vAlign w:val="bottom"/>
            <w:hideMark/>
          </w:tcPr>
          <w:p w14:paraId="101F08DD" w14:textId="30F10E1C"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17,284</w:t>
            </w:r>
          </w:p>
        </w:tc>
      </w:tr>
      <w:tr w:rsidR="001A02A4" w:rsidRPr="003643AE" w14:paraId="77576558" w14:textId="77777777" w:rsidTr="00682704">
        <w:trPr>
          <w:trHeight w:val="204"/>
        </w:trPr>
        <w:tc>
          <w:tcPr>
            <w:tcW w:w="2410" w:type="dxa"/>
            <w:tcBorders>
              <w:top w:val="nil"/>
              <w:left w:val="nil"/>
              <w:bottom w:val="nil"/>
              <w:right w:val="nil"/>
            </w:tcBorders>
            <w:shd w:val="clear" w:color="auto" w:fill="auto"/>
            <w:noWrap/>
            <w:vAlign w:val="center"/>
            <w:hideMark/>
          </w:tcPr>
          <w:p w14:paraId="51C0F803"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Suppliers</w:t>
            </w:r>
          </w:p>
        </w:tc>
        <w:tc>
          <w:tcPr>
            <w:tcW w:w="1035" w:type="dxa"/>
            <w:tcBorders>
              <w:top w:val="nil"/>
              <w:left w:val="nil"/>
              <w:bottom w:val="nil"/>
              <w:right w:val="nil"/>
            </w:tcBorders>
            <w:shd w:val="clear" w:color="auto" w:fill="auto"/>
            <w:noWrap/>
            <w:vAlign w:val="bottom"/>
            <w:hideMark/>
          </w:tcPr>
          <w:p w14:paraId="72F75BA3" w14:textId="2AB7070A"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707,840</w:t>
            </w:r>
          </w:p>
        </w:tc>
        <w:tc>
          <w:tcPr>
            <w:tcW w:w="1035" w:type="dxa"/>
            <w:tcBorders>
              <w:top w:val="nil"/>
              <w:left w:val="nil"/>
              <w:bottom w:val="nil"/>
              <w:right w:val="nil"/>
            </w:tcBorders>
            <w:shd w:val="clear" w:color="000000" w:fill="E6E6E6"/>
            <w:noWrap/>
            <w:vAlign w:val="bottom"/>
            <w:hideMark/>
          </w:tcPr>
          <w:p w14:paraId="1683602C" w14:textId="4A95CD52"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687,619</w:t>
            </w:r>
          </w:p>
        </w:tc>
        <w:tc>
          <w:tcPr>
            <w:tcW w:w="1075" w:type="dxa"/>
            <w:tcBorders>
              <w:top w:val="nil"/>
              <w:left w:val="nil"/>
              <w:bottom w:val="nil"/>
              <w:right w:val="nil"/>
            </w:tcBorders>
            <w:shd w:val="clear" w:color="auto" w:fill="auto"/>
            <w:noWrap/>
            <w:vAlign w:val="bottom"/>
            <w:hideMark/>
          </w:tcPr>
          <w:p w14:paraId="490D3773" w14:textId="6FF28F97"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605,611</w:t>
            </w:r>
          </w:p>
        </w:tc>
        <w:tc>
          <w:tcPr>
            <w:tcW w:w="1075" w:type="dxa"/>
            <w:tcBorders>
              <w:top w:val="nil"/>
              <w:left w:val="nil"/>
              <w:bottom w:val="nil"/>
              <w:right w:val="nil"/>
            </w:tcBorders>
            <w:shd w:val="clear" w:color="auto" w:fill="auto"/>
            <w:noWrap/>
            <w:vAlign w:val="bottom"/>
            <w:hideMark/>
          </w:tcPr>
          <w:p w14:paraId="1B150AD9" w14:textId="477B74AA"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538,740</w:t>
            </w:r>
          </w:p>
        </w:tc>
        <w:tc>
          <w:tcPr>
            <w:tcW w:w="1035" w:type="dxa"/>
            <w:tcBorders>
              <w:top w:val="nil"/>
              <w:left w:val="nil"/>
              <w:bottom w:val="nil"/>
              <w:right w:val="nil"/>
            </w:tcBorders>
            <w:shd w:val="clear" w:color="auto" w:fill="auto"/>
            <w:noWrap/>
            <w:vAlign w:val="bottom"/>
            <w:hideMark/>
          </w:tcPr>
          <w:p w14:paraId="114DF908" w14:textId="66376B4E"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550,275</w:t>
            </w:r>
          </w:p>
        </w:tc>
      </w:tr>
      <w:tr w:rsidR="001A02A4" w:rsidRPr="003643AE" w14:paraId="4A79DB7E" w14:textId="77777777" w:rsidTr="00682704">
        <w:trPr>
          <w:trHeight w:val="204"/>
        </w:trPr>
        <w:tc>
          <w:tcPr>
            <w:tcW w:w="2410" w:type="dxa"/>
            <w:tcBorders>
              <w:top w:val="nil"/>
              <w:left w:val="nil"/>
              <w:bottom w:val="nil"/>
              <w:right w:val="nil"/>
            </w:tcBorders>
            <w:shd w:val="clear" w:color="auto" w:fill="auto"/>
            <w:vAlign w:val="center"/>
            <w:hideMark/>
          </w:tcPr>
          <w:p w14:paraId="6ED7DF12"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Payments to corporate entities</w:t>
            </w:r>
          </w:p>
        </w:tc>
        <w:tc>
          <w:tcPr>
            <w:tcW w:w="1035" w:type="dxa"/>
            <w:tcBorders>
              <w:top w:val="nil"/>
              <w:left w:val="nil"/>
              <w:bottom w:val="nil"/>
              <w:right w:val="nil"/>
            </w:tcBorders>
            <w:shd w:val="clear" w:color="auto" w:fill="auto"/>
            <w:noWrap/>
            <w:vAlign w:val="bottom"/>
            <w:hideMark/>
          </w:tcPr>
          <w:p w14:paraId="6A95AA5A" w14:textId="771C8F76"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2,060,440</w:t>
            </w:r>
          </w:p>
        </w:tc>
        <w:tc>
          <w:tcPr>
            <w:tcW w:w="1035" w:type="dxa"/>
            <w:tcBorders>
              <w:top w:val="nil"/>
              <w:left w:val="nil"/>
              <w:bottom w:val="nil"/>
              <w:right w:val="nil"/>
            </w:tcBorders>
            <w:shd w:val="clear" w:color="000000" w:fill="E6E6E6"/>
            <w:noWrap/>
            <w:vAlign w:val="bottom"/>
            <w:hideMark/>
          </w:tcPr>
          <w:p w14:paraId="0AB51F6E" w14:textId="1DB892F0"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2,116,638</w:t>
            </w:r>
          </w:p>
        </w:tc>
        <w:tc>
          <w:tcPr>
            <w:tcW w:w="1075" w:type="dxa"/>
            <w:tcBorders>
              <w:top w:val="nil"/>
              <w:left w:val="nil"/>
              <w:bottom w:val="nil"/>
              <w:right w:val="nil"/>
            </w:tcBorders>
            <w:shd w:val="clear" w:color="auto" w:fill="auto"/>
            <w:noWrap/>
            <w:vAlign w:val="bottom"/>
            <w:hideMark/>
          </w:tcPr>
          <w:p w14:paraId="6183858B" w14:textId="4CE9B869"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2,042,159</w:t>
            </w:r>
          </w:p>
        </w:tc>
        <w:tc>
          <w:tcPr>
            <w:tcW w:w="1075" w:type="dxa"/>
            <w:tcBorders>
              <w:top w:val="nil"/>
              <w:left w:val="nil"/>
              <w:bottom w:val="nil"/>
              <w:right w:val="nil"/>
            </w:tcBorders>
            <w:shd w:val="clear" w:color="auto" w:fill="auto"/>
            <w:noWrap/>
            <w:vAlign w:val="bottom"/>
            <w:hideMark/>
          </w:tcPr>
          <w:p w14:paraId="0DA70362" w14:textId="3D5468F7"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2,027,013</w:t>
            </w:r>
          </w:p>
        </w:tc>
        <w:tc>
          <w:tcPr>
            <w:tcW w:w="1035" w:type="dxa"/>
            <w:tcBorders>
              <w:top w:val="nil"/>
              <w:left w:val="nil"/>
              <w:bottom w:val="nil"/>
              <w:right w:val="nil"/>
            </w:tcBorders>
            <w:shd w:val="clear" w:color="auto" w:fill="auto"/>
            <w:noWrap/>
            <w:vAlign w:val="bottom"/>
            <w:hideMark/>
          </w:tcPr>
          <w:p w14:paraId="5B3990EE" w14:textId="6A4B96E2"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2,015,846</w:t>
            </w:r>
          </w:p>
        </w:tc>
      </w:tr>
      <w:tr w:rsidR="001A02A4" w:rsidRPr="003643AE" w14:paraId="6E442FC5" w14:textId="77777777" w:rsidTr="00682704">
        <w:trPr>
          <w:trHeight w:val="204"/>
        </w:trPr>
        <w:tc>
          <w:tcPr>
            <w:tcW w:w="2410" w:type="dxa"/>
            <w:tcBorders>
              <w:top w:val="nil"/>
              <w:left w:val="nil"/>
              <w:bottom w:val="nil"/>
              <w:right w:val="nil"/>
            </w:tcBorders>
            <w:shd w:val="clear" w:color="auto" w:fill="auto"/>
            <w:noWrap/>
            <w:vAlign w:val="center"/>
            <w:hideMark/>
          </w:tcPr>
          <w:p w14:paraId="3FE6533B" w14:textId="77777777" w:rsidR="001A02A4" w:rsidRPr="003643AE" w:rsidRDefault="001A02A4" w:rsidP="001A02A4">
            <w:pPr>
              <w:spacing w:after="0" w:line="240" w:lineRule="auto"/>
              <w:ind w:left="227"/>
              <w:jc w:val="left"/>
              <w:rPr>
                <w:rFonts w:ascii="Arial" w:hAnsi="Arial" w:cs="Arial"/>
                <w:sz w:val="16"/>
                <w:szCs w:val="16"/>
              </w:rPr>
            </w:pPr>
            <w:r w:rsidRPr="003643AE">
              <w:rPr>
                <w:rFonts w:ascii="Arial" w:hAnsi="Arial" w:cs="Arial"/>
                <w:sz w:val="16"/>
                <w:szCs w:val="16"/>
              </w:rPr>
              <w:t>Other</w:t>
            </w:r>
          </w:p>
        </w:tc>
        <w:tc>
          <w:tcPr>
            <w:tcW w:w="1035" w:type="dxa"/>
            <w:tcBorders>
              <w:top w:val="nil"/>
              <w:left w:val="nil"/>
              <w:bottom w:val="nil"/>
              <w:right w:val="nil"/>
            </w:tcBorders>
            <w:shd w:val="clear" w:color="auto" w:fill="auto"/>
            <w:noWrap/>
            <w:vAlign w:val="bottom"/>
            <w:hideMark/>
          </w:tcPr>
          <w:p w14:paraId="0213CBD7" w14:textId="70E83D0E"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13,921</w:t>
            </w:r>
          </w:p>
        </w:tc>
        <w:tc>
          <w:tcPr>
            <w:tcW w:w="1035" w:type="dxa"/>
            <w:tcBorders>
              <w:top w:val="nil"/>
              <w:left w:val="nil"/>
              <w:bottom w:val="nil"/>
              <w:right w:val="nil"/>
            </w:tcBorders>
            <w:shd w:val="clear" w:color="000000" w:fill="E6E6E6"/>
            <w:noWrap/>
            <w:vAlign w:val="bottom"/>
            <w:hideMark/>
          </w:tcPr>
          <w:p w14:paraId="4C7F9C92" w14:textId="187B43F0"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14,426</w:t>
            </w:r>
          </w:p>
        </w:tc>
        <w:tc>
          <w:tcPr>
            <w:tcW w:w="1075" w:type="dxa"/>
            <w:tcBorders>
              <w:top w:val="nil"/>
              <w:left w:val="nil"/>
              <w:bottom w:val="nil"/>
              <w:right w:val="nil"/>
            </w:tcBorders>
            <w:shd w:val="clear" w:color="auto" w:fill="auto"/>
            <w:noWrap/>
            <w:vAlign w:val="bottom"/>
            <w:hideMark/>
          </w:tcPr>
          <w:p w14:paraId="56A65FFC" w14:textId="4BEA1FC9"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9,665</w:t>
            </w:r>
          </w:p>
        </w:tc>
        <w:tc>
          <w:tcPr>
            <w:tcW w:w="1075" w:type="dxa"/>
            <w:tcBorders>
              <w:top w:val="nil"/>
              <w:left w:val="nil"/>
              <w:bottom w:val="nil"/>
              <w:right w:val="nil"/>
            </w:tcBorders>
            <w:shd w:val="clear" w:color="auto" w:fill="auto"/>
            <w:noWrap/>
            <w:vAlign w:val="bottom"/>
            <w:hideMark/>
          </w:tcPr>
          <w:p w14:paraId="47BD3A50" w14:textId="6FD23470"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9,852</w:t>
            </w:r>
          </w:p>
        </w:tc>
        <w:tc>
          <w:tcPr>
            <w:tcW w:w="1035" w:type="dxa"/>
            <w:tcBorders>
              <w:top w:val="nil"/>
              <w:left w:val="nil"/>
              <w:bottom w:val="nil"/>
              <w:right w:val="nil"/>
            </w:tcBorders>
            <w:shd w:val="clear" w:color="auto" w:fill="auto"/>
            <w:noWrap/>
            <w:vAlign w:val="bottom"/>
            <w:hideMark/>
          </w:tcPr>
          <w:p w14:paraId="4172DAE4" w14:textId="6E32A56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10,389</w:t>
            </w:r>
          </w:p>
        </w:tc>
      </w:tr>
      <w:tr w:rsidR="001A02A4" w:rsidRPr="003643AE" w14:paraId="4211CF52" w14:textId="77777777" w:rsidTr="00682704">
        <w:trPr>
          <w:trHeight w:val="204"/>
        </w:trPr>
        <w:tc>
          <w:tcPr>
            <w:tcW w:w="2410" w:type="dxa"/>
            <w:tcBorders>
              <w:top w:val="nil"/>
              <w:left w:val="nil"/>
              <w:bottom w:val="nil"/>
              <w:right w:val="nil"/>
            </w:tcBorders>
            <w:shd w:val="clear" w:color="auto" w:fill="auto"/>
            <w:noWrap/>
            <w:vAlign w:val="center"/>
            <w:hideMark/>
          </w:tcPr>
          <w:p w14:paraId="48E99BB1" w14:textId="77777777" w:rsidR="001A02A4" w:rsidRPr="003643AE" w:rsidRDefault="001A02A4" w:rsidP="001A02A4">
            <w:pPr>
              <w:spacing w:after="0" w:line="240" w:lineRule="auto"/>
              <w:ind w:left="113"/>
              <w:jc w:val="left"/>
              <w:rPr>
                <w:rFonts w:ascii="Arial" w:hAnsi="Arial" w:cs="Arial"/>
                <w:b/>
                <w:bCs/>
                <w:i/>
                <w:iCs/>
                <w:color w:val="000000"/>
                <w:sz w:val="16"/>
                <w:szCs w:val="16"/>
              </w:rPr>
            </w:pPr>
            <w:r w:rsidRPr="003643AE">
              <w:rPr>
                <w:rFonts w:ascii="Arial" w:hAnsi="Arial" w:cs="Arial"/>
                <w:b/>
                <w:bCs/>
                <w:i/>
                <w:iCs/>
                <w:color w:val="000000"/>
                <w:sz w:val="16"/>
                <w:szCs w:val="16"/>
              </w:rPr>
              <w:t>Total cash used</w:t>
            </w:r>
          </w:p>
        </w:tc>
        <w:tc>
          <w:tcPr>
            <w:tcW w:w="1035" w:type="dxa"/>
            <w:tcBorders>
              <w:top w:val="single" w:sz="4" w:space="0" w:color="000000"/>
              <w:left w:val="nil"/>
              <w:bottom w:val="single" w:sz="4" w:space="0" w:color="000000"/>
              <w:right w:val="nil"/>
            </w:tcBorders>
            <w:shd w:val="clear" w:color="auto" w:fill="auto"/>
            <w:noWrap/>
            <w:vAlign w:val="bottom"/>
            <w:hideMark/>
          </w:tcPr>
          <w:p w14:paraId="4506AA58" w14:textId="28000582"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10,484,457</w:t>
            </w:r>
          </w:p>
        </w:tc>
        <w:tc>
          <w:tcPr>
            <w:tcW w:w="1035" w:type="dxa"/>
            <w:tcBorders>
              <w:top w:val="single" w:sz="4" w:space="0" w:color="000000"/>
              <w:left w:val="nil"/>
              <w:bottom w:val="single" w:sz="4" w:space="0" w:color="000000"/>
              <w:right w:val="nil"/>
            </w:tcBorders>
            <w:shd w:val="clear" w:color="000000" w:fill="E6E6E6"/>
            <w:noWrap/>
            <w:vAlign w:val="bottom"/>
            <w:hideMark/>
          </w:tcPr>
          <w:p w14:paraId="2BC1D207" w14:textId="23E022C5"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8,983,288</w:t>
            </w:r>
          </w:p>
        </w:tc>
        <w:tc>
          <w:tcPr>
            <w:tcW w:w="1075" w:type="dxa"/>
            <w:tcBorders>
              <w:top w:val="single" w:sz="4" w:space="0" w:color="000000"/>
              <w:left w:val="nil"/>
              <w:bottom w:val="single" w:sz="4" w:space="0" w:color="000000"/>
              <w:right w:val="nil"/>
            </w:tcBorders>
            <w:shd w:val="clear" w:color="auto" w:fill="auto"/>
            <w:noWrap/>
            <w:vAlign w:val="bottom"/>
            <w:hideMark/>
          </w:tcPr>
          <w:p w14:paraId="45A32B23" w14:textId="68A2B189"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8,729,930</w:t>
            </w:r>
          </w:p>
        </w:tc>
        <w:tc>
          <w:tcPr>
            <w:tcW w:w="1075" w:type="dxa"/>
            <w:tcBorders>
              <w:top w:val="single" w:sz="4" w:space="0" w:color="000000"/>
              <w:left w:val="nil"/>
              <w:bottom w:val="single" w:sz="4" w:space="0" w:color="000000"/>
              <w:right w:val="nil"/>
            </w:tcBorders>
            <w:shd w:val="clear" w:color="auto" w:fill="auto"/>
            <w:noWrap/>
            <w:vAlign w:val="bottom"/>
            <w:hideMark/>
          </w:tcPr>
          <w:p w14:paraId="1FBABA54" w14:textId="4481CA08"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7,480,291</w:t>
            </w:r>
          </w:p>
        </w:tc>
        <w:tc>
          <w:tcPr>
            <w:tcW w:w="1035" w:type="dxa"/>
            <w:tcBorders>
              <w:top w:val="single" w:sz="4" w:space="0" w:color="000000"/>
              <w:left w:val="nil"/>
              <w:bottom w:val="single" w:sz="4" w:space="0" w:color="000000"/>
              <w:right w:val="nil"/>
            </w:tcBorders>
            <w:shd w:val="clear" w:color="auto" w:fill="auto"/>
            <w:noWrap/>
            <w:vAlign w:val="bottom"/>
            <w:hideMark/>
          </w:tcPr>
          <w:p w14:paraId="598AEF79" w14:textId="42307903"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7,231,774</w:t>
            </w:r>
          </w:p>
        </w:tc>
      </w:tr>
      <w:tr w:rsidR="001A02A4" w:rsidRPr="003643AE" w14:paraId="63A4D29A" w14:textId="77777777" w:rsidTr="00682704">
        <w:trPr>
          <w:trHeight w:val="204"/>
        </w:trPr>
        <w:tc>
          <w:tcPr>
            <w:tcW w:w="2410" w:type="dxa"/>
            <w:tcBorders>
              <w:top w:val="nil"/>
              <w:left w:val="nil"/>
              <w:bottom w:val="nil"/>
              <w:right w:val="nil"/>
            </w:tcBorders>
            <w:shd w:val="clear" w:color="auto" w:fill="auto"/>
            <w:vAlign w:val="center"/>
            <w:hideMark/>
          </w:tcPr>
          <w:p w14:paraId="404B58E0" w14:textId="3FF2C2C4" w:rsidR="001A02A4" w:rsidRPr="003643AE" w:rsidRDefault="001A02A4" w:rsidP="001A02A4">
            <w:pPr>
              <w:spacing w:after="0" w:line="240" w:lineRule="auto"/>
              <w:jc w:val="left"/>
              <w:rPr>
                <w:rFonts w:ascii="Arial" w:hAnsi="Arial" w:cs="Arial"/>
                <w:b/>
                <w:bCs/>
                <w:color w:val="000000"/>
                <w:sz w:val="16"/>
                <w:szCs w:val="16"/>
              </w:rPr>
            </w:pPr>
            <w:r w:rsidRPr="003643AE">
              <w:rPr>
                <w:rFonts w:ascii="Arial" w:hAnsi="Arial" w:cs="Arial"/>
                <w:b/>
                <w:bCs/>
                <w:color w:val="000000"/>
                <w:sz w:val="16"/>
                <w:szCs w:val="16"/>
              </w:rPr>
              <w:t>Net cash from/(used by)</w:t>
            </w:r>
            <w:r>
              <w:rPr>
                <w:rFonts w:ascii="Arial" w:hAnsi="Arial" w:cs="Arial"/>
                <w:b/>
                <w:bCs/>
                <w:color w:val="000000"/>
                <w:sz w:val="16"/>
                <w:szCs w:val="16"/>
              </w:rPr>
              <w:t xml:space="preserve"> </w:t>
            </w:r>
            <w:r w:rsidRPr="003643AE">
              <w:rPr>
                <w:rFonts w:ascii="Arial" w:hAnsi="Arial" w:cs="Arial"/>
                <w:b/>
                <w:bCs/>
                <w:color w:val="000000"/>
                <w:sz w:val="16"/>
                <w:szCs w:val="16"/>
              </w:rPr>
              <w:t>operating activities</w:t>
            </w:r>
          </w:p>
        </w:tc>
        <w:tc>
          <w:tcPr>
            <w:tcW w:w="1035" w:type="dxa"/>
            <w:tcBorders>
              <w:top w:val="nil"/>
              <w:left w:val="nil"/>
              <w:bottom w:val="single" w:sz="4" w:space="0" w:color="000000"/>
              <w:right w:val="nil"/>
            </w:tcBorders>
            <w:shd w:val="clear" w:color="auto" w:fill="auto"/>
            <w:noWrap/>
            <w:vAlign w:val="bottom"/>
            <w:hideMark/>
          </w:tcPr>
          <w:p w14:paraId="259D6C48" w14:textId="42E06F32" w:rsidR="001A02A4" w:rsidRPr="003643AE" w:rsidRDefault="001A02A4" w:rsidP="001A02A4">
            <w:pPr>
              <w:spacing w:after="0" w:line="240" w:lineRule="auto"/>
              <w:jc w:val="right"/>
              <w:rPr>
                <w:rFonts w:ascii="Arial" w:hAnsi="Arial" w:cs="Arial"/>
                <w:b/>
                <w:bCs/>
                <w:color w:val="000000"/>
                <w:sz w:val="16"/>
                <w:szCs w:val="16"/>
              </w:rPr>
            </w:pPr>
            <w:r>
              <w:rPr>
                <w:rFonts w:ascii="Arial" w:hAnsi="Arial" w:cs="Arial"/>
                <w:b/>
                <w:bCs/>
                <w:color w:val="000000"/>
                <w:sz w:val="16"/>
                <w:szCs w:val="16"/>
              </w:rPr>
              <w:t>(9,932,269)</w:t>
            </w:r>
          </w:p>
        </w:tc>
        <w:tc>
          <w:tcPr>
            <w:tcW w:w="1035" w:type="dxa"/>
            <w:tcBorders>
              <w:top w:val="nil"/>
              <w:left w:val="nil"/>
              <w:bottom w:val="single" w:sz="4" w:space="0" w:color="000000"/>
              <w:right w:val="nil"/>
            </w:tcBorders>
            <w:shd w:val="clear" w:color="000000" w:fill="E6E6E6"/>
            <w:noWrap/>
            <w:vAlign w:val="bottom"/>
            <w:hideMark/>
          </w:tcPr>
          <w:p w14:paraId="234FD702" w14:textId="799FEE92" w:rsidR="001A02A4" w:rsidRPr="003643AE" w:rsidRDefault="001A02A4" w:rsidP="001A02A4">
            <w:pPr>
              <w:spacing w:after="0" w:line="240" w:lineRule="auto"/>
              <w:jc w:val="right"/>
              <w:rPr>
                <w:rFonts w:ascii="Arial" w:hAnsi="Arial" w:cs="Arial"/>
                <w:b/>
                <w:bCs/>
                <w:color w:val="000000"/>
                <w:sz w:val="16"/>
                <w:szCs w:val="16"/>
              </w:rPr>
            </w:pPr>
            <w:r>
              <w:rPr>
                <w:rFonts w:ascii="Arial" w:hAnsi="Arial" w:cs="Arial"/>
                <w:b/>
                <w:bCs/>
                <w:color w:val="000000"/>
                <w:sz w:val="16"/>
                <w:szCs w:val="16"/>
              </w:rPr>
              <w:t>(8,683,181)</w:t>
            </w:r>
          </w:p>
        </w:tc>
        <w:tc>
          <w:tcPr>
            <w:tcW w:w="1075" w:type="dxa"/>
            <w:tcBorders>
              <w:top w:val="nil"/>
              <w:left w:val="nil"/>
              <w:bottom w:val="single" w:sz="4" w:space="0" w:color="000000"/>
              <w:right w:val="nil"/>
            </w:tcBorders>
            <w:shd w:val="clear" w:color="auto" w:fill="auto"/>
            <w:noWrap/>
            <w:vAlign w:val="bottom"/>
            <w:hideMark/>
          </w:tcPr>
          <w:p w14:paraId="48F81AD4" w14:textId="44C955CB" w:rsidR="001A02A4" w:rsidRPr="003643AE" w:rsidRDefault="001A02A4" w:rsidP="001A02A4">
            <w:pPr>
              <w:spacing w:after="0" w:line="240" w:lineRule="auto"/>
              <w:jc w:val="right"/>
              <w:rPr>
                <w:rFonts w:ascii="Arial" w:hAnsi="Arial" w:cs="Arial"/>
                <w:b/>
                <w:bCs/>
                <w:color w:val="000000"/>
                <w:sz w:val="16"/>
                <w:szCs w:val="16"/>
              </w:rPr>
            </w:pPr>
            <w:r>
              <w:rPr>
                <w:rFonts w:ascii="Arial" w:hAnsi="Arial" w:cs="Arial"/>
                <w:b/>
                <w:bCs/>
                <w:color w:val="000000"/>
                <w:sz w:val="16"/>
                <w:szCs w:val="16"/>
              </w:rPr>
              <w:t>(8,457,515)</w:t>
            </w:r>
          </w:p>
        </w:tc>
        <w:tc>
          <w:tcPr>
            <w:tcW w:w="1075" w:type="dxa"/>
            <w:tcBorders>
              <w:top w:val="nil"/>
              <w:left w:val="nil"/>
              <w:bottom w:val="single" w:sz="4" w:space="0" w:color="000000"/>
              <w:right w:val="nil"/>
            </w:tcBorders>
            <w:shd w:val="clear" w:color="auto" w:fill="auto"/>
            <w:noWrap/>
            <w:vAlign w:val="bottom"/>
            <w:hideMark/>
          </w:tcPr>
          <w:p w14:paraId="712A0C35" w14:textId="742DD9D9" w:rsidR="001A02A4" w:rsidRPr="003643AE" w:rsidRDefault="001A02A4" w:rsidP="001A02A4">
            <w:pPr>
              <w:spacing w:after="0" w:line="240" w:lineRule="auto"/>
              <w:jc w:val="right"/>
              <w:rPr>
                <w:rFonts w:ascii="Arial" w:hAnsi="Arial" w:cs="Arial"/>
                <w:b/>
                <w:bCs/>
                <w:color w:val="000000"/>
                <w:sz w:val="16"/>
                <w:szCs w:val="16"/>
              </w:rPr>
            </w:pPr>
            <w:r>
              <w:rPr>
                <w:rFonts w:ascii="Arial" w:hAnsi="Arial" w:cs="Arial"/>
                <w:b/>
                <w:bCs/>
                <w:color w:val="000000"/>
                <w:sz w:val="16"/>
                <w:szCs w:val="16"/>
              </w:rPr>
              <w:t>(7,213,042)</w:t>
            </w:r>
          </w:p>
        </w:tc>
        <w:tc>
          <w:tcPr>
            <w:tcW w:w="1035" w:type="dxa"/>
            <w:tcBorders>
              <w:top w:val="nil"/>
              <w:left w:val="nil"/>
              <w:bottom w:val="single" w:sz="4" w:space="0" w:color="000000"/>
              <w:right w:val="nil"/>
            </w:tcBorders>
            <w:shd w:val="clear" w:color="auto" w:fill="auto"/>
            <w:noWrap/>
            <w:vAlign w:val="bottom"/>
            <w:hideMark/>
          </w:tcPr>
          <w:p w14:paraId="75233B3F" w14:textId="30904ACD" w:rsidR="001A02A4" w:rsidRPr="003643AE" w:rsidRDefault="001A02A4" w:rsidP="001A02A4">
            <w:pPr>
              <w:spacing w:after="0" w:line="240" w:lineRule="auto"/>
              <w:jc w:val="right"/>
              <w:rPr>
                <w:rFonts w:ascii="Arial" w:hAnsi="Arial" w:cs="Arial"/>
                <w:b/>
                <w:bCs/>
                <w:color w:val="000000"/>
                <w:sz w:val="16"/>
                <w:szCs w:val="16"/>
              </w:rPr>
            </w:pPr>
            <w:r>
              <w:rPr>
                <w:rFonts w:ascii="Arial" w:hAnsi="Arial" w:cs="Arial"/>
                <w:b/>
                <w:bCs/>
                <w:color w:val="000000"/>
                <w:sz w:val="16"/>
                <w:szCs w:val="16"/>
              </w:rPr>
              <w:t>(6,892,184)</w:t>
            </w:r>
          </w:p>
        </w:tc>
      </w:tr>
      <w:tr w:rsidR="00682704" w:rsidRPr="003643AE" w14:paraId="562CD270" w14:textId="77777777" w:rsidTr="00682704">
        <w:trPr>
          <w:trHeight w:val="204"/>
        </w:trPr>
        <w:tc>
          <w:tcPr>
            <w:tcW w:w="2410" w:type="dxa"/>
            <w:tcBorders>
              <w:top w:val="nil"/>
              <w:left w:val="nil"/>
              <w:bottom w:val="nil"/>
              <w:right w:val="nil"/>
            </w:tcBorders>
            <w:shd w:val="clear" w:color="auto" w:fill="auto"/>
            <w:noWrap/>
            <w:vAlign w:val="center"/>
            <w:hideMark/>
          </w:tcPr>
          <w:p w14:paraId="45303B62" w14:textId="77777777" w:rsidR="00682704" w:rsidRPr="003643AE" w:rsidRDefault="00682704" w:rsidP="00682704">
            <w:pPr>
              <w:spacing w:after="0" w:line="240" w:lineRule="auto"/>
              <w:jc w:val="left"/>
              <w:rPr>
                <w:rFonts w:ascii="Arial" w:hAnsi="Arial" w:cs="Arial"/>
                <w:b/>
                <w:bCs/>
                <w:color w:val="000000"/>
                <w:sz w:val="16"/>
                <w:szCs w:val="16"/>
              </w:rPr>
            </w:pPr>
            <w:r w:rsidRPr="003643AE">
              <w:rPr>
                <w:rFonts w:ascii="Arial" w:hAnsi="Arial" w:cs="Arial"/>
                <w:b/>
                <w:bCs/>
                <w:color w:val="000000"/>
                <w:sz w:val="16"/>
                <w:szCs w:val="16"/>
              </w:rPr>
              <w:t>INVESTING ACTIVITIES</w:t>
            </w:r>
          </w:p>
        </w:tc>
        <w:tc>
          <w:tcPr>
            <w:tcW w:w="1035" w:type="dxa"/>
            <w:tcBorders>
              <w:top w:val="nil"/>
              <w:left w:val="nil"/>
              <w:bottom w:val="nil"/>
              <w:right w:val="nil"/>
            </w:tcBorders>
            <w:shd w:val="clear" w:color="auto" w:fill="auto"/>
            <w:noWrap/>
            <w:vAlign w:val="bottom"/>
            <w:hideMark/>
          </w:tcPr>
          <w:p w14:paraId="6662E57B" w14:textId="77777777" w:rsidR="00682704" w:rsidRPr="003643AE" w:rsidRDefault="00682704" w:rsidP="001A02A4">
            <w:pPr>
              <w:spacing w:after="0" w:line="240" w:lineRule="auto"/>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7B0A9970" w14:textId="3E600896" w:rsidR="00682704" w:rsidRPr="003643AE" w:rsidRDefault="00682704" w:rsidP="001A02A4">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60AD6442" w14:textId="77777777" w:rsidR="00682704" w:rsidRPr="003643AE" w:rsidRDefault="00682704" w:rsidP="001A02A4">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76EC1A81" w14:textId="77777777" w:rsidR="00682704" w:rsidRPr="003643AE" w:rsidRDefault="00682704" w:rsidP="001A02A4">
            <w:pPr>
              <w:spacing w:after="0" w:line="240" w:lineRule="auto"/>
              <w:jc w:val="right"/>
              <w:rPr>
                <w:rFonts w:ascii="Times New Roman" w:hAnsi="Times New Roman"/>
              </w:rPr>
            </w:pPr>
          </w:p>
        </w:tc>
        <w:tc>
          <w:tcPr>
            <w:tcW w:w="1035" w:type="dxa"/>
            <w:tcBorders>
              <w:top w:val="nil"/>
              <w:left w:val="nil"/>
              <w:bottom w:val="nil"/>
              <w:right w:val="nil"/>
            </w:tcBorders>
            <w:shd w:val="clear" w:color="auto" w:fill="auto"/>
            <w:noWrap/>
            <w:vAlign w:val="bottom"/>
            <w:hideMark/>
          </w:tcPr>
          <w:p w14:paraId="5AC1C198" w14:textId="77777777" w:rsidR="00682704" w:rsidRPr="003643AE" w:rsidRDefault="00682704" w:rsidP="001A02A4">
            <w:pPr>
              <w:spacing w:after="0" w:line="240" w:lineRule="auto"/>
              <w:jc w:val="right"/>
              <w:rPr>
                <w:rFonts w:ascii="Times New Roman" w:hAnsi="Times New Roman"/>
              </w:rPr>
            </w:pPr>
          </w:p>
        </w:tc>
      </w:tr>
      <w:tr w:rsidR="00682704" w:rsidRPr="003643AE" w14:paraId="696A20B8" w14:textId="77777777" w:rsidTr="00682704">
        <w:trPr>
          <w:trHeight w:val="204"/>
        </w:trPr>
        <w:tc>
          <w:tcPr>
            <w:tcW w:w="2410" w:type="dxa"/>
            <w:tcBorders>
              <w:top w:val="nil"/>
              <w:left w:val="nil"/>
              <w:bottom w:val="nil"/>
              <w:right w:val="nil"/>
            </w:tcBorders>
            <w:shd w:val="clear" w:color="auto" w:fill="auto"/>
            <w:noWrap/>
            <w:vAlign w:val="center"/>
            <w:hideMark/>
          </w:tcPr>
          <w:p w14:paraId="1091F3F3" w14:textId="77777777" w:rsidR="00682704" w:rsidRPr="003643AE" w:rsidRDefault="00682704" w:rsidP="00682704">
            <w:pPr>
              <w:spacing w:after="0" w:line="240" w:lineRule="auto"/>
              <w:ind w:left="113"/>
              <w:jc w:val="left"/>
              <w:rPr>
                <w:rFonts w:ascii="Arial" w:hAnsi="Arial" w:cs="Arial"/>
                <w:b/>
                <w:bCs/>
                <w:color w:val="000000"/>
                <w:sz w:val="16"/>
                <w:szCs w:val="16"/>
              </w:rPr>
            </w:pPr>
            <w:r w:rsidRPr="003643AE">
              <w:rPr>
                <w:rFonts w:ascii="Arial" w:hAnsi="Arial" w:cs="Arial"/>
                <w:b/>
                <w:bCs/>
                <w:color w:val="000000"/>
                <w:sz w:val="16"/>
                <w:szCs w:val="16"/>
              </w:rPr>
              <w:t>Cash received</w:t>
            </w:r>
          </w:p>
        </w:tc>
        <w:tc>
          <w:tcPr>
            <w:tcW w:w="1035" w:type="dxa"/>
            <w:tcBorders>
              <w:top w:val="nil"/>
              <w:left w:val="nil"/>
              <w:bottom w:val="nil"/>
              <w:right w:val="nil"/>
            </w:tcBorders>
            <w:shd w:val="clear" w:color="auto" w:fill="auto"/>
            <w:noWrap/>
            <w:vAlign w:val="bottom"/>
            <w:hideMark/>
          </w:tcPr>
          <w:p w14:paraId="4A485BE9" w14:textId="77777777" w:rsidR="00682704" w:rsidRPr="003643AE" w:rsidRDefault="00682704" w:rsidP="001A02A4">
            <w:pPr>
              <w:spacing w:after="0" w:line="240" w:lineRule="auto"/>
              <w:ind w:firstLineChars="100" w:firstLine="16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54FAE10B" w14:textId="05363930" w:rsidR="00682704" w:rsidRPr="003643AE" w:rsidRDefault="00682704" w:rsidP="001A02A4">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37985650" w14:textId="77777777" w:rsidR="00682704" w:rsidRPr="003643AE" w:rsidRDefault="00682704" w:rsidP="001A02A4">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6A340371" w14:textId="77777777" w:rsidR="00682704" w:rsidRPr="003643AE" w:rsidRDefault="00682704" w:rsidP="001A02A4">
            <w:pPr>
              <w:spacing w:after="0" w:line="240" w:lineRule="auto"/>
              <w:jc w:val="right"/>
              <w:rPr>
                <w:rFonts w:ascii="Times New Roman" w:hAnsi="Times New Roman"/>
              </w:rPr>
            </w:pPr>
          </w:p>
        </w:tc>
        <w:tc>
          <w:tcPr>
            <w:tcW w:w="1035" w:type="dxa"/>
            <w:tcBorders>
              <w:top w:val="nil"/>
              <w:left w:val="nil"/>
              <w:bottom w:val="nil"/>
              <w:right w:val="nil"/>
            </w:tcBorders>
            <w:shd w:val="clear" w:color="auto" w:fill="auto"/>
            <w:noWrap/>
            <w:vAlign w:val="bottom"/>
            <w:hideMark/>
          </w:tcPr>
          <w:p w14:paraId="6874F1B8" w14:textId="77777777" w:rsidR="00682704" w:rsidRPr="003643AE" w:rsidRDefault="00682704" w:rsidP="001A02A4">
            <w:pPr>
              <w:spacing w:after="0" w:line="240" w:lineRule="auto"/>
              <w:jc w:val="right"/>
              <w:rPr>
                <w:rFonts w:ascii="Times New Roman" w:hAnsi="Times New Roman"/>
              </w:rPr>
            </w:pPr>
          </w:p>
        </w:tc>
      </w:tr>
      <w:tr w:rsidR="001A02A4" w:rsidRPr="003643AE" w14:paraId="5861E6E6" w14:textId="77777777" w:rsidTr="00682704">
        <w:trPr>
          <w:trHeight w:val="204"/>
        </w:trPr>
        <w:tc>
          <w:tcPr>
            <w:tcW w:w="2410" w:type="dxa"/>
            <w:tcBorders>
              <w:top w:val="nil"/>
              <w:left w:val="nil"/>
              <w:bottom w:val="nil"/>
              <w:right w:val="nil"/>
            </w:tcBorders>
            <w:shd w:val="clear" w:color="auto" w:fill="auto"/>
            <w:vAlign w:val="center"/>
            <w:hideMark/>
          </w:tcPr>
          <w:p w14:paraId="27761CDE" w14:textId="77777777" w:rsidR="001A02A4" w:rsidRPr="003643AE" w:rsidRDefault="001A02A4" w:rsidP="001A02A4">
            <w:pPr>
              <w:spacing w:after="0" w:line="240" w:lineRule="auto"/>
              <w:ind w:left="227"/>
              <w:jc w:val="left"/>
              <w:rPr>
                <w:rFonts w:ascii="Arial" w:hAnsi="Arial" w:cs="Arial"/>
                <w:color w:val="000000"/>
                <w:sz w:val="16"/>
                <w:szCs w:val="16"/>
              </w:rPr>
            </w:pPr>
            <w:r w:rsidRPr="003643AE">
              <w:rPr>
                <w:rFonts w:ascii="Arial" w:hAnsi="Arial" w:cs="Arial"/>
                <w:color w:val="000000"/>
                <w:sz w:val="16"/>
                <w:szCs w:val="16"/>
              </w:rPr>
              <w:t>Repayments of advances and loans</w:t>
            </w:r>
          </w:p>
        </w:tc>
        <w:tc>
          <w:tcPr>
            <w:tcW w:w="1035" w:type="dxa"/>
            <w:tcBorders>
              <w:top w:val="nil"/>
              <w:left w:val="nil"/>
              <w:bottom w:val="nil"/>
              <w:right w:val="nil"/>
            </w:tcBorders>
            <w:shd w:val="clear" w:color="auto" w:fill="auto"/>
            <w:noWrap/>
            <w:vAlign w:val="bottom"/>
            <w:hideMark/>
          </w:tcPr>
          <w:p w14:paraId="793E4B4F" w14:textId="75FCA6F2"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6,303,771</w:t>
            </w:r>
          </w:p>
        </w:tc>
        <w:tc>
          <w:tcPr>
            <w:tcW w:w="1035" w:type="dxa"/>
            <w:tcBorders>
              <w:top w:val="nil"/>
              <w:left w:val="nil"/>
              <w:bottom w:val="nil"/>
              <w:right w:val="nil"/>
            </w:tcBorders>
            <w:shd w:val="clear" w:color="000000" w:fill="E6E6E6"/>
            <w:noWrap/>
            <w:vAlign w:val="bottom"/>
            <w:hideMark/>
          </w:tcPr>
          <w:p w14:paraId="65DC0DA8" w14:textId="789D78F0"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5,958,393</w:t>
            </w:r>
          </w:p>
        </w:tc>
        <w:tc>
          <w:tcPr>
            <w:tcW w:w="1075" w:type="dxa"/>
            <w:tcBorders>
              <w:top w:val="nil"/>
              <w:left w:val="nil"/>
              <w:bottom w:val="nil"/>
              <w:right w:val="nil"/>
            </w:tcBorders>
            <w:shd w:val="clear" w:color="auto" w:fill="auto"/>
            <w:noWrap/>
            <w:vAlign w:val="bottom"/>
            <w:hideMark/>
          </w:tcPr>
          <w:p w14:paraId="4604DEE4" w14:textId="4C358619"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24,654</w:t>
            </w:r>
          </w:p>
        </w:tc>
        <w:tc>
          <w:tcPr>
            <w:tcW w:w="1075" w:type="dxa"/>
            <w:tcBorders>
              <w:top w:val="nil"/>
              <w:left w:val="nil"/>
              <w:bottom w:val="nil"/>
              <w:right w:val="nil"/>
            </w:tcBorders>
            <w:shd w:val="clear" w:color="auto" w:fill="auto"/>
            <w:noWrap/>
            <w:vAlign w:val="bottom"/>
            <w:hideMark/>
          </w:tcPr>
          <w:p w14:paraId="43E7AA25" w14:textId="3C66511D"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7,408,352</w:t>
            </w:r>
          </w:p>
        </w:tc>
        <w:tc>
          <w:tcPr>
            <w:tcW w:w="1035" w:type="dxa"/>
            <w:tcBorders>
              <w:top w:val="nil"/>
              <w:left w:val="nil"/>
              <w:bottom w:val="nil"/>
              <w:right w:val="nil"/>
            </w:tcBorders>
            <w:shd w:val="clear" w:color="auto" w:fill="auto"/>
            <w:noWrap/>
            <w:vAlign w:val="bottom"/>
            <w:hideMark/>
          </w:tcPr>
          <w:p w14:paraId="297714B3" w14:textId="3C428BD2"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80,420</w:t>
            </w:r>
          </w:p>
        </w:tc>
      </w:tr>
      <w:tr w:rsidR="001A02A4" w:rsidRPr="003643AE" w14:paraId="51289AD8" w14:textId="77777777" w:rsidTr="00682704">
        <w:trPr>
          <w:trHeight w:val="204"/>
        </w:trPr>
        <w:tc>
          <w:tcPr>
            <w:tcW w:w="2410" w:type="dxa"/>
            <w:tcBorders>
              <w:top w:val="nil"/>
              <w:left w:val="nil"/>
              <w:bottom w:val="nil"/>
              <w:right w:val="nil"/>
            </w:tcBorders>
            <w:shd w:val="clear" w:color="auto" w:fill="auto"/>
            <w:noWrap/>
            <w:vAlign w:val="center"/>
            <w:hideMark/>
          </w:tcPr>
          <w:p w14:paraId="3EE3F785" w14:textId="77777777" w:rsidR="001A02A4" w:rsidRPr="003643AE" w:rsidRDefault="001A02A4" w:rsidP="001A02A4">
            <w:pPr>
              <w:spacing w:after="0" w:line="240" w:lineRule="auto"/>
              <w:ind w:left="227"/>
              <w:jc w:val="left"/>
              <w:rPr>
                <w:rFonts w:ascii="Arial" w:hAnsi="Arial" w:cs="Arial"/>
                <w:color w:val="000000"/>
                <w:sz w:val="16"/>
                <w:szCs w:val="16"/>
              </w:rPr>
            </w:pPr>
            <w:r w:rsidRPr="003643AE">
              <w:rPr>
                <w:rFonts w:ascii="Arial" w:hAnsi="Arial" w:cs="Arial"/>
                <w:color w:val="000000"/>
                <w:sz w:val="16"/>
                <w:szCs w:val="16"/>
              </w:rPr>
              <w:t>Other</w:t>
            </w:r>
          </w:p>
        </w:tc>
        <w:tc>
          <w:tcPr>
            <w:tcW w:w="1035" w:type="dxa"/>
            <w:tcBorders>
              <w:top w:val="nil"/>
              <w:left w:val="nil"/>
              <w:bottom w:val="nil"/>
              <w:right w:val="nil"/>
            </w:tcBorders>
            <w:shd w:val="clear" w:color="auto" w:fill="auto"/>
            <w:noWrap/>
            <w:vAlign w:val="bottom"/>
            <w:hideMark/>
          </w:tcPr>
          <w:p w14:paraId="4A9B8DB8" w14:textId="5FFAB94D"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694,838</w:t>
            </w:r>
          </w:p>
        </w:tc>
        <w:tc>
          <w:tcPr>
            <w:tcW w:w="1035" w:type="dxa"/>
            <w:tcBorders>
              <w:top w:val="nil"/>
              <w:left w:val="nil"/>
              <w:bottom w:val="nil"/>
              <w:right w:val="nil"/>
            </w:tcBorders>
            <w:shd w:val="clear" w:color="000000" w:fill="E6E6E6"/>
            <w:noWrap/>
            <w:vAlign w:val="bottom"/>
            <w:hideMark/>
          </w:tcPr>
          <w:p w14:paraId="4C98B4F8" w14:textId="30A399C9"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358,791</w:t>
            </w:r>
          </w:p>
        </w:tc>
        <w:tc>
          <w:tcPr>
            <w:tcW w:w="1075" w:type="dxa"/>
            <w:tcBorders>
              <w:top w:val="nil"/>
              <w:left w:val="nil"/>
              <w:bottom w:val="nil"/>
              <w:right w:val="nil"/>
            </w:tcBorders>
            <w:shd w:val="clear" w:color="auto" w:fill="auto"/>
            <w:noWrap/>
            <w:vAlign w:val="bottom"/>
            <w:hideMark/>
          </w:tcPr>
          <w:p w14:paraId="196361DE" w14:textId="0F4F938E"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312,756</w:t>
            </w:r>
          </w:p>
        </w:tc>
        <w:tc>
          <w:tcPr>
            <w:tcW w:w="1075" w:type="dxa"/>
            <w:tcBorders>
              <w:top w:val="nil"/>
              <w:left w:val="nil"/>
              <w:bottom w:val="nil"/>
              <w:right w:val="nil"/>
            </w:tcBorders>
            <w:shd w:val="clear" w:color="auto" w:fill="auto"/>
            <w:noWrap/>
            <w:vAlign w:val="bottom"/>
            <w:hideMark/>
          </w:tcPr>
          <w:p w14:paraId="14AE37F9" w14:textId="7ADC78C3"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323,405</w:t>
            </w:r>
          </w:p>
        </w:tc>
        <w:tc>
          <w:tcPr>
            <w:tcW w:w="1035" w:type="dxa"/>
            <w:tcBorders>
              <w:top w:val="nil"/>
              <w:left w:val="nil"/>
              <w:bottom w:val="nil"/>
              <w:right w:val="nil"/>
            </w:tcBorders>
            <w:shd w:val="clear" w:color="auto" w:fill="auto"/>
            <w:noWrap/>
            <w:vAlign w:val="bottom"/>
            <w:hideMark/>
          </w:tcPr>
          <w:p w14:paraId="7AA61961" w14:textId="7711CA4C"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67,003</w:t>
            </w:r>
          </w:p>
        </w:tc>
      </w:tr>
      <w:tr w:rsidR="001A02A4" w:rsidRPr="003643AE" w14:paraId="44CE5F85" w14:textId="77777777" w:rsidTr="00682704">
        <w:trPr>
          <w:trHeight w:val="204"/>
        </w:trPr>
        <w:tc>
          <w:tcPr>
            <w:tcW w:w="2410" w:type="dxa"/>
            <w:tcBorders>
              <w:top w:val="nil"/>
              <w:left w:val="nil"/>
              <w:bottom w:val="nil"/>
              <w:right w:val="nil"/>
            </w:tcBorders>
            <w:shd w:val="clear" w:color="auto" w:fill="auto"/>
            <w:vAlign w:val="center"/>
            <w:hideMark/>
          </w:tcPr>
          <w:p w14:paraId="1DC92D02" w14:textId="321B009E" w:rsidR="001A02A4" w:rsidRPr="003643AE" w:rsidRDefault="001A02A4" w:rsidP="001A02A4">
            <w:pPr>
              <w:spacing w:after="0" w:line="240" w:lineRule="auto"/>
              <w:ind w:left="227"/>
              <w:jc w:val="left"/>
              <w:rPr>
                <w:rFonts w:ascii="Arial" w:hAnsi="Arial" w:cs="Arial"/>
                <w:color w:val="000000"/>
                <w:sz w:val="16"/>
                <w:szCs w:val="16"/>
              </w:rPr>
            </w:pPr>
            <w:r w:rsidRPr="003643AE">
              <w:rPr>
                <w:rFonts w:ascii="Arial" w:hAnsi="Arial" w:cs="Arial"/>
                <w:color w:val="000000"/>
                <w:sz w:val="16"/>
                <w:szCs w:val="16"/>
              </w:rPr>
              <w:t xml:space="preserve">Proceeds from sales of </w:t>
            </w:r>
            <w:r w:rsidR="006A053E" w:rsidRPr="003643AE">
              <w:rPr>
                <w:rFonts w:ascii="Arial" w:hAnsi="Arial" w:cs="Arial"/>
                <w:color w:val="000000"/>
                <w:sz w:val="16"/>
                <w:szCs w:val="16"/>
              </w:rPr>
              <w:t>property</w:t>
            </w:r>
            <w:r w:rsidRPr="003643AE">
              <w:rPr>
                <w:rFonts w:ascii="Arial" w:hAnsi="Arial" w:cs="Arial"/>
                <w:color w:val="000000"/>
                <w:sz w:val="16"/>
                <w:szCs w:val="16"/>
              </w:rPr>
              <w:t>, plant and equipment</w:t>
            </w:r>
          </w:p>
        </w:tc>
        <w:tc>
          <w:tcPr>
            <w:tcW w:w="1035" w:type="dxa"/>
            <w:tcBorders>
              <w:top w:val="nil"/>
              <w:left w:val="nil"/>
              <w:bottom w:val="nil"/>
              <w:right w:val="nil"/>
            </w:tcBorders>
            <w:shd w:val="clear" w:color="auto" w:fill="auto"/>
            <w:noWrap/>
            <w:vAlign w:val="bottom"/>
            <w:hideMark/>
          </w:tcPr>
          <w:p w14:paraId="49D065B7" w14:textId="008AB063"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26</w:t>
            </w:r>
          </w:p>
        </w:tc>
        <w:tc>
          <w:tcPr>
            <w:tcW w:w="1035" w:type="dxa"/>
            <w:tcBorders>
              <w:top w:val="nil"/>
              <w:left w:val="nil"/>
              <w:bottom w:val="nil"/>
              <w:right w:val="nil"/>
            </w:tcBorders>
            <w:shd w:val="clear" w:color="000000" w:fill="E6E6E6"/>
            <w:noWrap/>
            <w:vAlign w:val="bottom"/>
            <w:hideMark/>
          </w:tcPr>
          <w:p w14:paraId="5ADAFBF7" w14:textId="639D734B"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5" w:type="dxa"/>
            <w:tcBorders>
              <w:top w:val="nil"/>
              <w:left w:val="nil"/>
              <w:bottom w:val="nil"/>
              <w:right w:val="nil"/>
            </w:tcBorders>
            <w:shd w:val="clear" w:color="auto" w:fill="auto"/>
            <w:noWrap/>
            <w:vAlign w:val="bottom"/>
            <w:hideMark/>
          </w:tcPr>
          <w:p w14:paraId="1E010E72" w14:textId="2A5D005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75" w:type="dxa"/>
            <w:tcBorders>
              <w:top w:val="nil"/>
              <w:left w:val="nil"/>
              <w:bottom w:val="nil"/>
              <w:right w:val="nil"/>
            </w:tcBorders>
            <w:shd w:val="clear" w:color="auto" w:fill="auto"/>
            <w:noWrap/>
            <w:vAlign w:val="bottom"/>
            <w:hideMark/>
          </w:tcPr>
          <w:p w14:paraId="2993EB7B" w14:textId="4CE27407"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35" w:type="dxa"/>
            <w:tcBorders>
              <w:top w:val="nil"/>
              <w:left w:val="nil"/>
              <w:bottom w:val="nil"/>
              <w:right w:val="nil"/>
            </w:tcBorders>
            <w:shd w:val="clear" w:color="auto" w:fill="auto"/>
            <w:noWrap/>
            <w:vAlign w:val="bottom"/>
            <w:hideMark/>
          </w:tcPr>
          <w:p w14:paraId="2ABD8CC6" w14:textId="2689FE6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A02A4" w:rsidRPr="003643AE" w14:paraId="52B3B9DF" w14:textId="77777777" w:rsidTr="00682704">
        <w:trPr>
          <w:trHeight w:val="204"/>
        </w:trPr>
        <w:tc>
          <w:tcPr>
            <w:tcW w:w="2410" w:type="dxa"/>
            <w:tcBorders>
              <w:top w:val="nil"/>
              <w:left w:val="nil"/>
              <w:bottom w:val="nil"/>
              <w:right w:val="nil"/>
            </w:tcBorders>
            <w:shd w:val="clear" w:color="auto" w:fill="auto"/>
            <w:noWrap/>
            <w:vAlign w:val="center"/>
            <w:hideMark/>
          </w:tcPr>
          <w:p w14:paraId="3C33581E" w14:textId="77777777" w:rsidR="001A02A4" w:rsidRPr="003643AE" w:rsidRDefault="001A02A4" w:rsidP="001A02A4">
            <w:pPr>
              <w:spacing w:after="0" w:line="240" w:lineRule="auto"/>
              <w:ind w:left="113"/>
              <w:jc w:val="left"/>
              <w:rPr>
                <w:rFonts w:ascii="Arial" w:hAnsi="Arial" w:cs="Arial"/>
                <w:b/>
                <w:bCs/>
                <w:i/>
                <w:iCs/>
                <w:color w:val="000000"/>
                <w:sz w:val="16"/>
                <w:szCs w:val="16"/>
              </w:rPr>
            </w:pPr>
            <w:r w:rsidRPr="003643AE">
              <w:rPr>
                <w:rFonts w:ascii="Arial" w:hAnsi="Arial" w:cs="Arial"/>
                <w:b/>
                <w:bCs/>
                <w:i/>
                <w:iCs/>
                <w:color w:val="000000"/>
                <w:sz w:val="16"/>
                <w:szCs w:val="16"/>
              </w:rPr>
              <w:t>Total cash received</w:t>
            </w:r>
          </w:p>
        </w:tc>
        <w:tc>
          <w:tcPr>
            <w:tcW w:w="1035" w:type="dxa"/>
            <w:tcBorders>
              <w:top w:val="single" w:sz="4" w:space="0" w:color="000000"/>
              <w:left w:val="nil"/>
              <w:bottom w:val="single" w:sz="4" w:space="0" w:color="000000"/>
              <w:right w:val="nil"/>
            </w:tcBorders>
            <w:shd w:val="clear" w:color="auto" w:fill="auto"/>
            <w:noWrap/>
            <w:vAlign w:val="bottom"/>
            <w:hideMark/>
          </w:tcPr>
          <w:p w14:paraId="18C858D5" w14:textId="16F137F8"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6,998,635</w:t>
            </w:r>
          </w:p>
        </w:tc>
        <w:tc>
          <w:tcPr>
            <w:tcW w:w="1035" w:type="dxa"/>
            <w:tcBorders>
              <w:top w:val="single" w:sz="4" w:space="0" w:color="000000"/>
              <w:left w:val="nil"/>
              <w:bottom w:val="single" w:sz="4" w:space="0" w:color="000000"/>
              <w:right w:val="nil"/>
            </w:tcBorders>
            <w:shd w:val="clear" w:color="000000" w:fill="E6E6E6"/>
            <w:noWrap/>
            <w:vAlign w:val="bottom"/>
            <w:hideMark/>
          </w:tcPr>
          <w:p w14:paraId="5904A65D" w14:textId="3EFCDF50"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6,317,184</w:t>
            </w:r>
          </w:p>
        </w:tc>
        <w:tc>
          <w:tcPr>
            <w:tcW w:w="1075" w:type="dxa"/>
            <w:tcBorders>
              <w:top w:val="single" w:sz="4" w:space="0" w:color="000000"/>
              <w:left w:val="nil"/>
              <w:bottom w:val="single" w:sz="4" w:space="0" w:color="000000"/>
              <w:right w:val="nil"/>
            </w:tcBorders>
            <w:shd w:val="clear" w:color="auto" w:fill="auto"/>
            <w:noWrap/>
            <w:vAlign w:val="bottom"/>
            <w:hideMark/>
          </w:tcPr>
          <w:p w14:paraId="226F2676" w14:textId="060FDF13"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337,410</w:t>
            </w:r>
          </w:p>
        </w:tc>
        <w:tc>
          <w:tcPr>
            <w:tcW w:w="1075" w:type="dxa"/>
            <w:tcBorders>
              <w:top w:val="single" w:sz="4" w:space="0" w:color="000000"/>
              <w:left w:val="nil"/>
              <w:bottom w:val="single" w:sz="4" w:space="0" w:color="000000"/>
              <w:right w:val="nil"/>
            </w:tcBorders>
            <w:shd w:val="clear" w:color="auto" w:fill="auto"/>
            <w:noWrap/>
            <w:vAlign w:val="bottom"/>
            <w:hideMark/>
          </w:tcPr>
          <w:p w14:paraId="1D234D31" w14:textId="29ED9BAB"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7,731,757</w:t>
            </w:r>
          </w:p>
        </w:tc>
        <w:tc>
          <w:tcPr>
            <w:tcW w:w="1035" w:type="dxa"/>
            <w:tcBorders>
              <w:top w:val="single" w:sz="4" w:space="0" w:color="000000"/>
              <w:left w:val="nil"/>
              <w:bottom w:val="single" w:sz="4" w:space="0" w:color="000000"/>
              <w:right w:val="nil"/>
            </w:tcBorders>
            <w:shd w:val="clear" w:color="auto" w:fill="auto"/>
            <w:noWrap/>
            <w:vAlign w:val="bottom"/>
            <w:hideMark/>
          </w:tcPr>
          <w:p w14:paraId="6E551FD9" w14:textId="1B79B8B4"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147,423</w:t>
            </w:r>
          </w:p>
        </w:tc>
      </w:tr>
      <w:tr w:rsidR="001A02A4" w:rsidRPr="003643AE" w14:paraId="3DBE0103" w14:textId="77777777" w:rsidTr="00682704">
        <w:trPr>
          <w:trHeight w:val="204"/>
        </w:trPr>
        <w:tc>
          <w:tcPr>
            <w:tcW w:w="2410" w:type="dxa"/>
            <w:tcBorders>
              <w:top w:val="nil"/>
              <w:left w:val="nil"/>
              <w:bottom w:val="nil"/>
              <w:right w:val="nil"/>
            </w:tcBorders>
            <w:shd w:val="clear" w:color="auto" w:fill="auto"/>
            <w:noWrap/>
            <w:vAlign w:val="center"/>
            <w:hideMark/>
          </w:tcPr>
          <w:p w14:paraId="53EE8B88" w14:textId="77777777" w:rsidR="001A02A4" w:rsidRPr="003643AE" w:rsidRDefault="001A02A4" w:rsidP="001A02A4">
            <w:pPr>
              <w:spacing w:after="0" w:line="240" w:lineRule="auto"/>
              <w:ind w:left="113"/>
              <w:jc w:val="left"/>
              <w:rPr>
                <w:rFonts w:ascii="Arial" w:hAnsi="Arial" w:cs="Arial"/>
                <w:b/>
                <w:bCs/>
                <w:color w:val="000000"/>
                <w:sz w:val="16"/>
                <w:szCs w:val="16"/>
              </w:rPr>
            </w:pPr>
            <w:r w:rsidRPr="003643AE">
              <w:rPr>
                <w:rFonts w:ascii="Arial" w:hAnsi="Arial" w:cs="Arial"/>
                <w:b/>
                <w:bCs/>
                <w:color w:val="000000"/>
                <w:sz w:val="16"/>
                <w:szCs w:val="16"/>
              </w:rPr>
              <w:t>Cash used</w:t>
            </w:r>
          </w:p>
        </w:tc>
        <w:tc>
          <w:tcPr>
            <w:tcW w:w="1035" w:type="dxa"/>
            <w:tcBorders>
              <w:top w:val="nil"/>
              <w:left w:val="nil"/>
              <w:bottom w:val="nil"/>
              <w:right w:val="nil"/>
            </w:tcBorders>
            <w:shd w:val="clear" w:color="auto" w:fill="auto"/>
            <w:noWrap/>
            <w:vAlign w:val="bottom"/>
            <w:hideMark/>
          </w:tcPr>
          <w:p w14:paraId="016BD35A" w14:textId="77777777" w:rsidR="001A02A4" w:rsidRPr="003643AE" w:rsidRDefault="001A02A4" w:rsidP="001A02A4">
            <w:pPr>
              <w:spacing w:after="0" w:line="240" w:lineRule="auto"/>
              <w:ind w:firstLineChars="100" w:firstLine="160"/>
              <w:jc w:val="righ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2097C93D" w14:textId="27AF931B" w:rsidR="001A02A4" w:rsidRPr="003643AE" w:rsidRDefault="001A02A4" w:rsidP="001A02A4">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7A0FDCB5" w14:textId="77777777" w:rsidR="001A02A4" w:rsidRPr="003643AE" w:rsidRDefault="001A02A4" w:rsidP="001A02A4">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vAlign w:val="bottom"/>
            <w:hideMark/>
          </w:tcPr>
          <w:p w14:paraId="4D931642" w14:textId="77777777" w:rsidR="001A02A4" w:rsidRPr="003643AE" w:rsidRDefault="001A02A4" w:rsidP="001A02A4">
            <w:pPr>
              <w:spacing w:after="0" w:line="240" w:lineRule="auto"/>
              <w:jc w:val="right"/>
              <w:rPr>
                <w:rFonts w:ascii="Times New Roman" w:hAnsi="Times New Roman"/>
              </w:rPr>
            </w:pPr>
          </w:p>
        </w:tc>
        <w:tc>
          <w:tcPr>
            <w:tcW w:w="1035" w:type="dxa"/>
            <w:tcBorders>
              <w:top w:val="nil"/>
              <w:left w:val="nil"/>
              <w:bottom w:val="nil"/>
              <w:right w:val="nil"/>
            </w:tcBorders>
            <w:shd w:val="clear" w:color="auto" w:fill="auto"/>
            <w:noWrap/>
            <w:vAlign w:val="bottom"/>
            <w:hideMark/>
          </w:tcPr>
          <w:p w14:paraId="1EC9C602" w14:textId="77777777" w:rsidR="001A02A4" w:rsidRPr="003643AE" w:rsidRDefault="001A02A4" w:rsidP="001A02A4">
            <w:pPr>
              <w:spacing w:after="0" w:line="240" w:lineRule="auto"/>
              <w:jc w:val="right"/>
              <w:rPr>
                <w:rFonts w:ascii="Times New Roman" w:hAnsi="Times New Roman"/>
              </w:rPr>
            </w:pPr>
          </w:p>
        </w:tc>
      </w:tr>
      <w:tr w:rsidR="001A02A4" w:rsidRPr="003643AE" w14:paraId="69F22326" w14:textId="77777777" w:rsidTr="00682704">
        <w:trPr>
          <w:trHeight w:val="204"/>
        </w:trPr>
        <w:tc>
          <w:tcPr>
            <w:tcW w:w="2410" w:type="dxa"/>
            <w:tcBorders>
              <w:top w:val="nil"/>
              <w:left w:val="nil"/>
              <w:bottom w:val="nil"/>
              <w:right w:val="nil"/>
            </w:tcBorders>
            <w:shd w:val="clear" w:color="auto" w:fill="auto"/>
            <w:vAlign w:val="center"/>
            <w:hideMark/>
          </w:tcPr>
          <w:p w14:paraId="3D39921A" w14:textId="77777777" w:rsidR="001A02A4" w:rsidRPr="003643AE" w:rsidRDefault="001A02A4" w:rsidP="001A02A4">
            <w:pPr>
              <w:spacing w:after="0" w:line="240" w:lineRule="auto"/>
              <w:ind w:left="227"/>
              <w:jc w:val="left"/>
              <w:rPr>
                <w:rFonts w:ascii="Arial" w:hAnsi="Arial" w:cs="Arial"/>
                <w:color w:val="000000"/>
                <w:sz w:val="16"/>
                <w:szCs w:val="16"/>
              </w:rPr>
            </w:pPr>
            <w:r w:rsidRPr="003643AE">
              <w:rPr>
                <w:rFonts w:ascii="Arial" w:hAnsi="Arial" w:cs="Arial"/>
                <w:color w:val="000000"/>
                <w:sz w:val="16"/>
                <w:szCs w:val="16"/>
              </w:rPr>
              <w:t>Purchase of property, plant and equipment and intangibles</w:t>
            </w:r>
          </w:p>
        </w:tc>
        <w:tc>
          <w:tcPr>
            <w:tcW w:w="1035" w:type="dxa"/>
            <w:tcBorders>
              <w:top w:val="nil"/>
              <w:left w:val="nil"/>
              <w:bottom w:val="nil"/>
              <w:right w:val="nil"/>
            </w:tcBorders>
            <w:shd w:val="clear" w:color="auto" w:fill="auto"/>
            <w:noWrap/>
            <w:vAlign w:val="bottom"/>
            <w:hideMark/>
          </w:tcPr>
          <w:p w14:paraId="64A6CA42" w14:textId="15AB31C0"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21,182</w:t>
            </w:r>
          </w:p>
        </w:tc>
        <w:tc>
          <w:tcPr>
            <w:tcW w:w="1035" w:type="dxa"/>
            <w:tcBorders>
              <w:top w:val="nil"/>
              <w:left w:val="nil"/>
              <w:bottom w:val="nil"/>
              <w:right w:val="nil"/>
            </w:tcBorders>
            <w:shd w:val="clear" w:color="000000" w:fill="E6E6E6"/>
            <w:noWrap/>
            <w:vAlign w:val="bottom"/>
            <w:hideMark/>
          </w:tcPr>
          <w:p w14:paraId="6DAA2582" w14:textId="63A05C67"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51,384</w:t>
            </w:r>
          </w:p>
        </w:tc>
        <w:tc>
          <w:tcPr>
            <w:tcW w:w="1075" w:type="dxa"/>
            <w:tcBorders>
              <w:top w:val="nil"/>
              <w:left w:val="nil"/>
              <w:bottom w:val="nil"/>
              <w:right w:val="nil"/>
            </w:tcBorders>
            <w:shd w:val="clear" w:color="auto" w:fill="auto"/>
            <w:noWrap/>
            <w:vAlign w:val="bottom"/>
            <w:hideMark/>
          </w:tcPr>
          <w:p w14:paraId="336DDCC5" w14:textId="1A05CA77"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85,379</w:t>
            </w:r>
          </w:p>
        </w:tc>
        <w:tc>
          <w:tcPr>
            <w:tcW w:w="1075" w:type="dxa"/>
            <w:tcBorders>
              <w:top w:val="nil"/>
              <w:left w:val="nil"/>
              <w:bottom w:val="nil"/>
              <w:right w:val="nil"/>
            </w:tcBorders>
            <w:shd w:val="clear" w:color="auto" w:fill="auto"/>
            <w:noWrap/>
            <w:vAlign w:val="bottom"/>
            <w:hideMark/>
          </w:tcPr>
          <w:p w14:paraId="18BB44D1" w14:textId="6B34F20C"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73,989</w:t>
            </w:r>
          </w:p>
        </w:tc>
        <w:tc>
          <w:tcPr>
            <w:tcW w:w="1035" w:type="dxa"/>
            <w:tcBorders>
              <w:top w:val="nil"/>
              <w:left w:val="nil"/>
              <w:bottom w:val="nil"/>
              <w:right w:val="nil"/>
            </w:tcBorders>
            <w:shd w:val="clear" w:color="auto" w:fill="auto"/>
            <w:noWrap/>
            <w:vAlign w:val="bottom"/>
            <w:hideMark/>
          </w:tcPr>
          <w:p w14:paraId="634BB1D5" w14:textId="6936A6C0"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37,456</w:t>
            </w:r>
          </w:p>
        </w:tc>
      </w:tr>
      <w:tr w:rsidR="001A02A4" w:rsidRPr="003643AE" w14:paraId="1641A816" w14:textId="77777777" w:rsidTr="00682704">
        <w:trPr>
          <w:trHeight w:val="204"/>
        </w:trPr>
        <w:tc>
          <w:tcPr>
            <w:tcW w:w="2410" w:type="dxa"/>
            <w:tcBorders>
              <w:top w:val="nil"/>
              <w:left w:val="nil"/>
              <w:bottom w:val="nil"/>
              <w:right w:val="nil"/>
            </w:tcBorders>
            <w:shd w:val="clear" w:color="auto" w:fill="auto"/>
            <w:noWrap/>
            <w:vAlign w:val="center"/>
            <w:hideMark/>
          </w:tcPr>
          <w:p w14:paraId="093B62CB" w14:textId="77777777" w:rsidR="001A02A4" w:rsidRPr="003643AE" w:rsidRDefault="001A02A4" w:rsidP="001A02A4">
            <w:pPr>
              <w:spacing w:after="0" w:line="240" w:lineRule="auto"/>
              <w:ind w:left="227"/>
              <w:jc w:val="left"/>
              <w:rPr>
                <w:rFonts w:ascii="Arial" w:hAnsi="Arial" w:cs="Arial"/>
                <w:color w:val="000000"/>
                <w:sz w:val="16"/>
                <w:szCs w:val="16"/>
              </w:rPr>
            </w:pPr>
            <w:r w:rsidRPr="003643AE">
              <w:rPr>
                <w:rFonts w:ascii="Arial" w:hAnsi="Arial" w:cs="Arial"/>
                <w:color w:val="000000"/>
                <w:sz w:val="16"/>
                <w:szCs w:val="16"/>
              </w:rPr>
              <w:t>Advances and loans made</w:t>
            </w:r>
          </w:p>
        </w:tc>
        <w:tc>
          <w:tcPr>
            <w:tcW w:w="1035" w:type="dxa"/>
            <w:tcBorders>
              <w:top w:val="nil"/>
              <w:left w:val="nil"/>
              <w:bottom w:val="nil"/>
              <w:right w:val="nil"/>
            </w:tcBorders>
            <w:shd w:val="clear" w:color="auto" w:fill="auto"/>
            <w:noWrap/>
            <w:vAlign w:val="bottom"/>
            <w:hideMark/>
          </w:tcPr>
          <w:p w14:paraId="4649AE22" w14:textId="70A7FF4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42,000</w:t>
            </w:r>
          </w:p>
        </w:tc>
        <w:tc>
          <w:tcPr>
            <w:tcW w:w="1035" w:type="dxa"/>
            <w:tcBorders>
              <w:top w:val="nil"/>
              <w:left w:val="nil"/>
              <w:bottom w:val="nil"/>
              <w:right w:val="nil"/>
            </w:tcBorders>
            <w:shd w:val="clear" w:color="000000" w:fill="E6E6E6"/>
            <w:noWrap/>
            <w:vAlign w:val="bottom"/>
            <w:hideMark/>
          </w:tcPr>
          <w:p w14:paraId="13AA2486" w14:textId="77F8ED01"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536,600</w:t>
            </w:r>
          </w:p>
        </w:tc>
        <w:tc>
          <w:tcPr>
            <w:tcW w:w="1075" w:type="dxa"/>
            <w:tcBorders>
              <w:top w:val="nil"/>
              <w:left w:val="nil"/>
              <w:bottom w:val="nil"/>
              <w:right w:val="nil"/>
            </w:tcBorders>
            <w:shd w:val="clear" w:color="auto" w:fill="auto"/>
            <w:noWrap/>
            <w:vAlign w:val="bottom"/>
            <w:hideMark/>
          </w:tcPr>
          <w:p w14:paraId="0147D7D0" w14:textId="23A931C8"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1,360,700</w:t>
            </w:r>
          </w:p>
        </w:tc>
        <w:tc>
          <w:tcPr>
            <w:tcW w:w="1075" w:type="dxa"/>
            <w:tcBorders>
              <w:top w:val="nil"/>
              <w:left w:val="nil"/>
              <w:bottom w:val="nil"/>
              <w:right w:val="nil"/>
            </w:tcBorders>
            <w:shd w:val="clear" w:color="auto" w:fill="auto"/>
            <w:noWrap/>
            <w:vAlign w:val="bottom"/>
            <w:hideMark/>
          </w:tcPr>
          <w:p w14:paraId="3C2F03B4" w14:textId="2CE78738"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1,972,100</w:t>
            </w:r>
          </w:p>
        </w:tc>
        <w:tc>
          <w:tcPr>
            <w:tcW w:w="1035" w:type="dxa"/>
            <w:tcBorders>
              <w:top w:val="nil"/>
              <w:left w:val="nil"/>
              <w:bottom w:val="nil"/>
              <w:right w:val="nil"/>
            </w:tcBorders>
            <w:shd w:val="clear" w:color="auto" w:fill="auto"/>
            <w:noWrap/>
            <w:vAlign w:val="bottom"/>
            <w:hideMark/>
          </w:tcPr>
          <w:p w14:paraId="72ADF29F" w14:textId="493B46B6"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1,206,600</w:t>
            </w:r>
          </w:p>
        </w:tc>
      </w:tr>
      <w:tr w:rsidR="001A02A4" w:rsidRPr="003643AE" w14:paraId="487600CC" w14:textId="77777777" w:rsidTr="00682704">
        <w:trPr>
          <w:trHeight w:val="204"/>
        </w:trPr>
        <w:tc>
          <w:tcPr>
            <w:tcW w:w="2410" w:type="dxa"/>
            <w:tcBorders>
              <w:top w:val="nil"/>
              <w:left w:val="nil"/>
              <w:bottom w:val="nil"/>
              <w:right w:val="nil"/>
            </w:tcBorders>
            <w:shd w:val="clear" w:color="auto" w:fill="auto"/>
            <w:noWrap/>
            <w:vAlign w:val="center"/>
            <w:hideMark/>
          </w:tcPr>
          <w:p w14:paraId="6FDA243D" w14:textId="77777777" w:rsidR="001A02A4" w:rsidRPr="003643AE" w:rsidRDefault="001A02A4" w:rsidP="001A02A4">
            <w:pPr>
              <w:spacing w:after="0" w:line="240" w:lineRule="auto"/>
              <w:ind w:left="227"/>
              <w:jc w:val="left"/>
              <w:rPr>
                <w:rFonts w:ascii="Arial" w:hAnsi="Arial" w:cs="Arial"/>
                <w:color w:val="000000"/>
                <w:sz w:val="16"/>
                <w:szCs w:val="16"/>
              </w:rPr>
            </w:pPr>
            <w:r w:rsidRPr="003643AE">
              <w:rPr>
                <w:rFonts w:ascii="Arial" w:hAnsi="Arial" w:cs="Arial"/>
                <w:color w:val="000000"/>
                <w:sz w:val="16"/>
                <w:szCs w:val="16"/>
              </w:rPr>
              <w:t>Other</w:t>
            </w:r>
          </w:p>
        </w:tc>
        <w:tc>
          <w:tcPr>
            <w:tcW w:w="1035" w:type="dxa"/>
            <w:tcBorders>
              <w:top w:val="nil"/>
              <w:left w:val="nil"/>
              <w:bottom w:val="nil"/>
              <w:right w:val="nil"/>
            </w:tcBorders>
            <w:shd w:val="clear" w:color="auto" w:fill="auto"/>
            <w:noWrap/>
            <w:vAlign w:val="bottom"/>
            <w:hideMark/>
          </w:tcPr>
          <w:p w14:paraId="1EAD269B" w14:textId="0214860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1,453,656</w:t>
            </w:r>
          </w:p>
        </w:tc>
        <w:tc>
          <w:tcPr>
            <w:tcW w:w="1035" w:type="dxa"/>
            <w:tcBorders>
              <w:top w:val="nil"/>
              <w:left w:val="nil"/>
              <w:bottom w:val="nil"/>
              <w:right w:val="nil"/>
            </w:tcBorders>
            <w:shd w:val="clear" w:color="000000" w:fill="E6E6E6"/>
            <w:noWrap/>
            <w:vAlign w:val="bottom"/>
            <w:hideMark/>
          </w:tcPr>
          <w:p w14:paraId="73AED841" w14:textId="68660F62"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2,184,163</w:t>
            </w:r>
          </w:p>
        </w:tc>
        <w:tc>
          <w:tcPr>
            <w:tcW w:w="1075" w:type="dxa"/>
            <w:tcBorders>
              <w:top w:val="nil"/>
              <w:left w:val="nil"/>
              <w:bottom w:val="nil"/>
              <w:right w:val="nil"/>
            </w:tcBorders>
            <w:shd w:val="clear" w:color="auto" w:fill="auto"/>
            <w:noWrap/>
            <w:vAlign w:val="bottom"/>
            <w:hideMark/>
          </w:tcPr>
          <w:p w14:paraId="15AB2E8D" w14:textId="2E690AD5"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4,794,816</w:t>
            </w:r>
          </w:p>
        </w:tc>
        <w:tc>
          <w:tcPr>
            <w:tcW w:w="1075" w:type="dxa"/>
            <w:tcBorders>
              <w:top w:val="nil"/>
              <w:left w:val="nil"/>
              <w:bottom w:val="nil"/>
              <w:right w:val="nil"/>
            </w:tcBorders>
            <w:shd w:val="clear" w:color="auto" w:fill="auto"/>
            <w:noWrap/>
            <w:vAlign w:val="bottom"/>
            <w:hideMark/>
          </w:tcPr>
          <w:p w14:paraId="6325914A" w14:textId="0ED14AE6"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4,251,382</w:t>
            </w:r>
          </w:p>
        </w:tc>
        <w:tc>
          <w:tcPr>
            <w:tcW w:w="1035" w:type="dxa"/>
            <w:tcBorders>
              <w:top w:val="nil"/>
              <w:left w:val="nil"/>
              <w:bottom w:val="nil"/>
              <w:right w:val="nil"/>
            </w:tcBorders>
            <w:shd w:val="clear" w:color="auto" w:fill="auto"/>
            <w:noWrap/>
            <w:vAlign w:val="bottom"/>
            <w:hideMark/>
          </w:tcPr>
          <w:p w14:paraId="3343BB52" w14:textId="0E3311E7" w:rsidR="001A02A4" w:rsidRPr="003643AE" w:rsidRDefault="001A02A4" w:rsidP="001A02A4">
            <w:pPr>
              <w:spacing w:after="0" w:line="240" w:lineRule="auto"/>
              <w:jc w:val="right"/>
              <w:rPr>
                <w:rFonts w:ascii="Arial" w:hAnsi="Arial" w:cs="Arial"/>
                <w:color w:val="000000"/>
                <w:sz w:val="16"/>
                <w:szCs w:val="16"/>
              </w:rPr>
            </w:pPr>
            <w:r>
              <w:rPr>
                <w:rFonts w:ascii="Arial" w:hAnsi="Arial" w:cs="Arial"/>
                <w:color w:val="000000"/>
                <w:sz w:val="16"/>
                <w:szCs w:val="16"/>
              </w:rPr>
              <w:t>3,843,876</w:t>
            </w:r>
          </w:p>
        </w:tc>
      </w:tr>
      <w:tr w:rsidR="001A02A4" w:rsidRPr="003643AE" w14:paraId="1639C77D" w14:textId="77777777" w:rsidTr="00682704">
        <w:trPr>
          <w:trHeight w:val="204"/>
        </w:trPr>
        <w:tc>
          <w:tcPr>
            <w:tcW w:w="2410" w:type="dxa"/>
            <w:tcBorders>
              <w:top w:val="nil"/>
              <w:left w:val="nil"/>
              <w:bottom w:val="nil"/>
              <w:right w:val="nil"/>
            </w:tcBorders>
            <w:shd w:val="clear" w:color="auto" w:fill="auto"/>
            <w:noWrap/>
            <w:vAlign w:val="center"/>
            <w:hideMark/>
          </w:tcPr>
          <w:p w14:paraId="72095AF0" w14:textId="77777777" w:rsidR="001A02A4" w:rsidRPr="003643AE" w:rsidRDefault="001A02A4" w:rsidP="001A02A4">
            <w:pPr>
              <w:spacing w:after="0" w:line="240" w:lineRule="auto"/>
              <w:ind w:left="113"/>
              <w:jc w:val="left"/>
              <w:rPr>
                <w:rFonts w:ascii="Arial" w:hAnsi="Arial" w:cs="Arial"/>
                <w:b/>
                <w:bCs/>
                <w:i/>
                <w:iCs/>
                <w:color w:val="000000"/>
                <w:sz w:val="16"/>
                <w:szCs w:val="16"/>
              </w:rPr>
            </w:pPr>
            <w:r w:rsidRPr="003643AE">
              <w:rPr>
                <w:rFonts w:ascii="Arial" w:hAnsi="Arial" w:cs="Arial"/>
                <w:b/>
                <w:bCs/>
                <w:i/>
                <w:iCs/>
                <w:color w:val="000000"/>
                <w:sz w:val="16"/>
                <w:szCs w:val="16"/>
              </w:rPr>
              <w:t>Total cash used</w:t>
            </w:r>
          </w:p>
        </w:tc>
        <w:tc>
          <w:tcPr>
            <w:tcW w:w="1035" w:type="dxa"/>
            <w:tcBorders>
              <w:top w:val="single" w:sz="4" w:space="0" w:color="000000"/>
              <w:left w:val="nil"/>
              <w:bottom w:val="single" w:sz="4" w:space="0" w:color="000000"/>
              <w:right w:val="nil"/>
            </w:tcBorders>
            <w:shd w:val="clear" w:color="auto" w:fill="auto"/>
            <w:noWrap/>
            <w:vAlign w:val="bottom"/>
            <w:hideMark/>
          </w:tcPr>
          <w:p w14:paraId="6BF2984E" w14:textId="5842952C"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1,516,838</w:t>
            </w:r>
          </w:p>
        </w:tc>
        <w:tc>
          <w:tcPr>
            <w:tcW w:w="1035" w:type="dxa"/>
            <w:tcBorders>
              <w:top w:val="single" w:sz="4" w:space="0" w:color="000000"/>
              <w:left w:val="nil"/>
              <w:bottom w:val="single" w:sz="4" w:space="0" w:color="000000"/>
              <w:right w:val="nil"/>
            </w:tcBorders>
            <w:shd w:val="clear" w:color="000000" w:fill="E6E6E6"/>
            <w:noWrap/>
            <w:vAlign w:val="bottom"/>
            <w:hideMark/>
          </w:tcPr>
          <w:p w14:paraId="54C9D08F" w14:textId="0D61930D"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2,772,147</w:t>
            </w:r>
          </w:p>
        </w:tc>
        <w:tc>
          <w:tcPr>
            <w:tcW w:w="1075" w:type="dxa"/>
            <w:tcBorders>
              <w:top w:val="single" w:sz="4" w:space="0" w:color="000000"/>
              <w:left w:val="nil"/>
              <w:bottom w:val="single" w:sz="4" w:space="0" w:color="000000"/>
              <w:right w:val="nil"/>
            </w:tcBorders>
            <w:shd w:val="clear" w:color="auto" w:fill="auto"/>
            <w:noWrap/>
            <w:vAlign w:val="bottom"/>
            <w:hideMark/>
          </w:tcPr>
          <w:p w14:paraId="5D52F143" w14:textId="735319EF"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6,240,895</w:t>
            </w:r>
          </w:p>
        </w:tc>
        <w:tc>
          <w:tcPr>
            <w:tcW w:w="1075" w:type="dxa"/>
            <w:tcBorders>
              <w:top w:val="single" w:sz="4" w:space="0" w:color="000000"/>
              <w:left w:val="nil"/>
              <w:bottom w:val="single" w:sz="4" w:space="0" w:color="000000"/>
              <w:right w:val="nil"/>
            </w:tcBorders>
            <w:shd w:val="clear" w:color="auto" w:fill="auto"/>
            <w:noWrap/>
            <w:vAlign w:val="bottom"/>
            <w:hideMark/>
          </w:tcPr>
          <w:p w14:paraId="51FE8615" w14:textId="5616D936"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6,297,471</w:t>
            </w:r>
          </w:p>
        </w:tc>
        <w:tc>
          <w:tcPr>
            <w:tcW w:w="1035" w:type="dxa"/>
            <w:tcBorders>
              <w:top w:val="single" w:sz="4" w:space="0" w:color="000000"/>
              <w:left w:val="nil"/>
              <w:bottom w:val="single" w:sz="4" w:space="0" w:color="000000"/>
              <w:right w:val="nil"/>
            </w:tcBorders>
            <w:shd w:val="clear" w:color="auto" w:fill="auto"/>
            <w:noWrap/>
            <w:vAlign w:val="bottom"/>
            <w:hideMark/>
          </w:tcPr>
          <w:p w14:paraId="2C6ABF4D" w14:textId="4597E254" w:rsidR="001A02A4" w:rsidRPr="003643AE" w:rsidRDefault="001A02A4" w:rsidP="001A02A4">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5,087,932</w:t>
            </w:r>
          </w:p>
        </w:tc>
      </w:tr>
      <w:tr w:rsidR="001A02A4" w:rsidRPr="003643AE" w14:paraId="5C94D7C7" w14:textId="77777777" w:rsidTr="00682704">
        <w:trPr>
          <w:trHeight w:val="204"/>
        </w:trPr>
        <w:tc>
          <w:tcPr>
            <w:tcW w:w="2410" w:type="dxa"/>
            <w:tcBorders>
              <w:top w:val="nil"/>
              <w:left w:val="nil"/>
              <w:bottom w:val="single" w:sz="4" w:space="0" w:color="auto"/>
              <w:right w:val="nil"/>
            </w:tcBorders>
            <w:shd w:val="clear" w:color="auto" w:fill="auto"/>
            <w:vAlign w:val="center"/>
            <w:hideMark/>
          </w:tcPr>
          <w:p w14:paraId="41A6CA12" w14:textId="110EEEEB" w:rsidR="001A02A4" w:rsidRPr="003643AE" w:rsidRDefault="001A02A4" w:rsidP="001A02A4">
            <w:pPr>
              <w:spacing w:after="0" w:line="240" w:lineRule="auto"/>
              <w:jc w:val="left"/>
              <w:rPr>
                <w:rFonts w:ascii="Arial" w:hAnsi="Arial" w:cs="Arial"/>
                <w:b/>
                <w:bCs/>
                <w:color w:val="000000"/>
                <w:sz w:val="16"/>
                <w:szCs w:val="16"/>
              </w:rPr>
            </w:pPr>
            <w:r w:rsidRPr="003643AE">
              <w:rPr>
                <w:rFonts w:ascii="Arial" w:hAnsi="Arial" w:cs="Arial"/>
                <w:b/>
                <w:bCs/>
                <w:color w:val="000000"/>
                <w:sz w:val="16"/>
                <w:szCs w:val="16"/>
              </w:rPr>
              <w:t>Net cash from/(used by)</w:t>
            </w:r>
            <w:r>
              <w:rPr>
                <w:rFonts w:ascii="Arial" w:hAnsi="Arial" w:cs="Arial"/>
                <w:b/>
                <w:bCs/>
                <w:color w:val="000000"/>
                <w:sz w:val="16"/>
                <w:szCs w:val="16"/>
              </w:rPr>
              <w:t xml:space="preserve"> </w:t>
            </w:r>
            <w:r w:rsidRPr="003643AE">
              <w:rPr>
                <w:rFonts w:ascii="Arial" w:hAnsi="Arial" w:cs="Arial"/>
                <w:b/>
                <w:bCs/>
                <w:color w:val="000000"/>
                <w:sz w:val="16"/>
                <w:szCs w:val="16"/>
              </w:rPr>
              <w:t>investing activities</w:t>
            </w:r>
          </w:p>
        </w:tc>
        <w:tc>
          <w:tcPr>
            <w:tcW w:w="1035" w:type="dxa"/>
            <w:tcBorders>
              <w:top w:val="nil"/>
              <w:left w:val="nil"/>
              <w:bottom w:val="single" w:sz="4" w:space="0" w:color="auto"/>
              <w:right w:val="nil"/>
            </w:tcBorders>
            <w:shd w:val="clear" w:color="auto" w:fill="auto"/>
            <w:noWrap/>
            <w:vAlign w:val="bottom"/>
            <w:hideMark/>
          </w:tcPr>
          <w:p w14:paraId="36A2EF34" w14:textId="6ED29810" w:rsidR="001A02A4" w:rsidRPr="003643AE" w:rsidRDefault="001A02A4" w:rsidP="001A02A4">
            <w:pPr>
              <w:spacing w:after="0" w:line="240" w:lineRule="auto"/>
              <w:jc w:val="right"/>
              <w:rPr>
                <w:rFonts w:ascii="Arial" w:hAnsi="Arial" w:cs="Arial"/>
                <w:b/>
                <w:bCs/>
                <w:color w:val="000000"/>
                <w:sz w:val="16"/>
                <w:szCs w:val="16"/>
              </w:rPr>
            </w:pPr>
            <w:r>
              <w:rPr>
                <w:rFonts w:ascii="Arial" w:hAnsi="Arial" w:cs="Arial"/>
                <w:b/>
                <w:bCs/>
                <w:color w:val="000000"/>
                <w:sz w:val="16"/>
                <w:szCs w:val="16"/>
              </w:rPr>
              <w:t>5,481,797</w:t>
            </w:r>
          </w:p>
        </w:tc>
        <w:tc>
          <w:tcPr>
            <w:tcW w:w="1035" w:type="dxa"/>
            <w:tcBorders>
              <w:top w:val="nil"/>
              <w:left w:val="nil"/>
              <w:bottom w:val="single" w:sz="4" w:space="0" w:color="auto"/>
              <w:right w:val="nil"/>
            </w:tcBorders>
            <w:shd w:val="clear" w:color="000000" w:fill="E6E6E6"/>
            <w:noWrap/>
            <w:vAlign w:val="bottom"/>
            <w:hideMark/>
          </w:tcPr>
          <w:p w14:paraId="23BF6F7D" w14:textId="20209F11" w:rsidR="001A02A4" w:rsidRPr="003643AE" w:rsidRDefault="001A02A4" w:rsidP="001A02A4">
            <w:pPr>
              <w:spacing w:after="0" w:line="240" w:lineRule="auto"/>
              <w:jc w:val="right"/>
              <w:rPr>
                <w:rFonts w:ascii="Arial" w:hAnsi="Arial" w:cs="Arial"/>
                <w:b/>
                <w:bCs/>
                <w:color w:val="000000"/>
                <w:sz w:val="16"/>
                <w:szCs w:val="16"/>
              </w:rPr>
            </w:pPr>
            <w:r>
              <w:rPr>
                <w:rFonts w:ascii="Arial" w:hAnsi="Arial" w:cs="Arial"/>
                <w:b/>
                <w:bCs/>
                <w:color w:val="000000"/>
                <w:sz w:val="16"/>
                <w:szCs w:val="16"/>
              </w:rPr>
              <w:t>3,545,037</w:t>
            </w:r>
          </w:p>
        </w:tc>
        <w:tc>
          <w:tcPr>
            <w:tcW w:w="1075" w:type="dxa"/>
            <w:tcBorders>
              <w:top w:val="nil"/>
              <w:left w:val="nil"/>
              <w:bottom w:val="single" w:sz="4" w:space="0" w:color="auto"/>
              <w:right w:val="nil"/>
            </w:tcBorders>
            <w:shd w:val="clear" w:color="auto" w:fill="auto"/>
            <w:noWrap/>
            <w:vAlign w:val="bottom"/>
            <w:hideMark/>
          </w:tcPr>
          <w:p w14:paraId="0224E0D6" w14:textId="74019F20" w:rsidR="001A02A4" w:rsidRPr="003643AE" w:rsidRDefault="001A02A4" w:rsidP="001A02A4">
            <w:pPr>
              <w:spacing w:after="0" w:line="240" w:lineRule="auto"/>
              <w:jc w:val="right"/>
              <w:rPr>
                <w:rFonts w:ascii="Arial" w:hAnsi="Arial" w:cs="Arial"/>
                <w:b/>
                <w:bCs/>
                <w:color w:val="000000"/>
                <w:sz w:val="16"/>
                <w:szCs w:val="16"/>
              </w:rPr>
            </w:pPr>
            <w:r>
              <w:rPr>
                <w:rFonts w:ascii="Arial" w:hAnsi="Arial" w:cs="Arial"/>
                <w:b/>
                <w:bCs/>
                <w:color w:val="000000"/>
                <w:sz w:val="16"/>
                <w:szCs w:val="16"/>
              </w:rPr>
              <w:t>(5,903,485)</w:t>
            </w:r>
          </w:p>
        </w:tc>
        <w:tc>
          <w:tcPr>
            <w:tcW w:w="1075" w:type="dxa"/>
            <w:tcBorders>
              <w:top w:val="nil"/>
              <w:left w:val="nil"/>
              <w:bottom w:val="single" w:sz="4" w:space="0" w:color="auto"/>
              <w:right w:val="nil"/>
            </w:tcBorders>
            <w:shd w:val="clear" w:color="auto" w:fill="auto"/>
            <w:noWrap/>
            <w:vAlign w:val="bottom"/>
            <w:hideMark/>
          </w:tcPr>
          <w:p w14:paraId="5BD21DB9" w14:textId="1E830F64" w:rsidR="001A02A4" w:rsidRPr="003643AE" w:rsidRDefault="001A02A4" w:rsidP="001A02A4">
            <w:pPr>
              <w:spacing w:after="0" w:line="240" w:lineRule="auto"/>
              <w:jc w:val="right"/>
              <w:rPr>
                <w:rFonts w:ascii="Arial" w:hAnsi="Arial" w:cs="Arial"/>
                <w:b/>
                <w:bCs/>
                <w:color w:val="000000"/>
                <w:sz w:val="16"/>
                <w:szCs w:val="16"/>
              </w:rPr>
            </w:pPr>
            <w:r>
              <w:rPr>
                <w:rFonts w:ascii="Arial" w:hAnsi="Arial" w:cs="Arial"/>
                <w:b/>
                <w:bCs/>
                <w:color w:val="000000"/>
                <w:sz w:val="16"/>
                <w:szCs w:val="16"/>
              </w:rPr>
              <w:t>1,434,286</w:t>
            </w:r>
          </w:p>
        </w:tc>
        <w:tc>
          <w:tcPr>
            <w:tcW w:w="1035" w:type="dxa"/>
            <w:tcBorders>
              <w:top w:val="nil"/>
              <w:left w:val="nil"/>
              <w:bottom w:val="single" w:sz="4" w:space="0" w:color="auto"/>
              <w:right w:val="nil"/>
            </w:tcBorders>
            <w:shd w:val="clear" w:color="auto" w:fill="auto"/>
            <w:noWrap/>
            <w:vAlign w:val="bottom"/>
            <w:hideMark/>
          </w:tcPr>
          <w:p w14:paraId="26CB33F4" w14:textId="74714736" w:rsidR="001A02A4" w:rsidRPr="003643AE" w:rsidRDefault="001A02A4" w:rsidP="001A02A4">
            <w:pPr>
              <w:spacing w:after="0" w:line="240" w:lineRule="auto"/>
              <w:jc w:val="right"/>
              <w:rPr>
                <w:rFonts w:ascii="Arial" w:hAnsi="Arial" w:cs="Arial"/>
                <w:b/>
                <w:bCs/>
                <w:color w:val="000000"/>
                <w:sz w:val="16"/>
                <w:szCs w:val="16"/>
              </w:rPr>
            </w:pPr>
            <w:r>
              <w:rPr>
                <w:rFonts w:ascii="Arial" w:hAnsi="Arial" w:cs="Arial"/>
                <w:b/>
                <w:bCs/>
                <w:color w:val="000000"/>
                <w:sz w:val="16"/>
                <w:szCs w:val="16"/>
              </w:rPr>
              <w:t>(4,940,509)</w:t>
            </w:r>
          </w:p>
        </w:tc>
      </w:tr>
    </w:tbl>
    <w:p w14:paraId="207A8A82" w14:textId="72CDF37F" w:rsidR="003643AE" w:rsidRPr="000A1D32" w:rsidRDefault="003643AE" w:rsidP="003643AE">
      <w:pPr>
        <w:pStyle w:val="TableGraphic"/>
        <w:rPr>
          <w:color w:val="auto"/>
          <w:lang w:val="x-none"/>
        </w:rPr>
      </w:pPr>
    </w:p>
    <w:p w14:paraId="6FCEFA82" w14:textId="5354BEDE" w:rsidR="00E61D06" w:rsidRDefault="00E61D06">
      <w:pPr>
        <w:spacing w:after="0" w:line="240" w:lineRule="auto"/>
        <w:jc w:val="left"/>
        <w:rPr>
          <w:rFonts w:ascii="Arial" w:hAnsi="Arial"/>
          <w:sz w:val="16"/>
        </w:rPr>
      </w:pPr>
      <w:r>
        <w:br w:type="page"/>
      </w:r>
    </w:p>
    <w:p w14:paraId="01A4EFAF" w14:textId="247994AE" w:rsidR="001E4A2D" w:rsidRDefault="007D5358" w:rsidP="001E4A2D">
      <w:pPr>
        <w:pStyle w:val="TableHeading"/>
        <w:spacing w:before="0"/>
        <w:rPr>
          <w:snapToGrid w:val="0"/>
          <w:lang w:val="en-AU"/>
        </w:rPr>
      </w:pPr>
      <w:bookmarkStart w:id="389" w:name="OLE_LINK1"/>
      <w:r w:rsidRPr="00D23CE2">
        <w:rPr>
          <w:snapToGrid w:val="0"/>
        </w:rPr>
        <w:lastRenderedPageBreak/>
        <w:t>Table 3.</w:t>
      </w:r>
      <w:r w:rsidR="001F46A6" w:rsidRPr="00D23CE2">
        <w:rPr>
          <w:snapToGrid w:val="0"/>
        </w:rPr>
        <w:t>10</w:t>
      </w:r>
      <w:r w:rsidR="001E4A2D" w:rsidRPr="00D23CE2">
        <w:rPr>
          <w:snapToGrid w:val="0"/>
        </w:rPr>
        <w:t>: Schedule of budgeted administered cash flows (for the period ended 30 June)</w:t>
      </w:r>
      <w:r w:rsidR="001E4A2D" w:rsidRPr="00D23CE2">
        <w:rPr>
          <w:snapToGrid w:val="0"/>
          <w:lang w:val="en-AU"/>
        </w:rPr>
        <w:t xml:space="preserve"> (continued)</w:t>
      </w:r>
    </w:p>
    <w:tbl>
      <w:tblPr>
        <w:tblW w:w="7621" w:type="dxa"/>
        <w:tblLook w:val="04A0" w:firstRow="1" w:lastRow="0" w:firstColumn="1" w:lastColumn="0" w:noHBand="0" w:noVBand="1"/>
      </w:tblPr>
      <w:tblGrid>
        <w:gridCol w:w="2268"/>
        <w:gridCol w:w="1035"/>
        <w:gridCol w:w="1035"/>
        <w:gridCol w:w="1124"/>
        <w:gridCol w:w="1035"/>
        <w:gridCol w:w="1124"/>
      </w:tblGrid>
      <w:tr w:rsidR="00102378" w:rsidRPr="0099051B" w14:paraId="22F80BB3" w14:textId="77777777" w:rsidTr="00852545">
        <w:trPr>
          <w:trHeight w:val="204"/>
        </w:trPr>
        <w:tc>
          <w:tcPr>
            <w:tcW w:w="2268" w:type="dxa"/>
            <w:tcBorders>
              <w:top w:val="single" w:sz="4" w:space="0" w:color="auto"/>
              <w:left w:val="nil"/>
              <w:bottom w:val="nil"/>
              <w:right w:val="nil"/>
            </w:tcBorders>
            <w:shd w:val="clear" w:color="auto" w:fill="auto"/>
            <w:noWrap/>
            <w:hideMark/>
          </w:tcPr>
          <w:p w14:paraId="102DD593" w14:textId="77777777" w:rsidR="00102378" w:rsidRPr="0099051B" w:rsidRDefault="00102378" w:rsidP="00102378">
            <w:pPr>
              <w:spacing w:after="0" w:line="240" w:lineRule="auto"/>
              <w:jc w:val="left"/>
              <w:rPr>
                <w:rFonts w:ascii="Arial" w:hAnsi="Arial" w:cs="Arial"/>
                <w:b/>
                <w:bCs/>
                <w:sz w:val="16"/>
                <w:szCs w:val="16"/>
              </w:rPr>
            </w:pPr>
            <w:r w:rsidRPr="0099051B">
              <w:rPr>
                <w:rFonts w:ascii="Arial" w:hAnsi="Arial" w:cs="Arial"/>
                <w:b/>
                <w:bCs/>
                <w:sz w:val="16"/>
                <w:szCs w:val="16"/>
              </w:rPr>
              <w:t> </w:t>
            </w:r>
          </w:p>
        </w:tc>
        <w:tc>
          <w:tcPr>
            <w:tcW w:w="1035" w:type="dxa"/>
            <w:tcBorders>
              <w:top w:val="single" w:sz="4" w:space="0" w:color="auto"/>
              <w:left w:val="nil"/>
              <w:bottom w:val="single" w:sz="4" w:space="0" w:color="auto"/>
              <w:right w:val="nil"/>
            </w:tcBorders>
            <w:shd w:val="clear" w:color="auto" w:fill="auto"/>
            <w:vAlign w:val="bottom"/>
            <w:hideMark/>
          </w:tcPr>
          <w:p w14:paraId="496722C5" w14:textId="77777777" w:rsidR="00102378" w:rsidRPr="0099051B" w:rsidRDefault="00102378" w:rsidP="00102378">
            <w:pPr>
              <w:spacing w:after="0" w:line="240" w:lineRule="auto"/>
              <w:jc w:val="right"/>
              <w:rPr>
                <w:rFonts w:ascii="Arial" w:hAnsi="Arial" w:cs="Arial"/>
                <w:sz w:val="16"/>
                <w:szCs w:val="16"/>
              </w:rPr>
            </w:pPr>
            <w:r w:rsidRPr="0099051B">
              <w:rPr>
                <w:rFonts w:ascii="Arial" w:hAnsi="Arial" w:cs="Arial"/>
                <w:sz w:val="16"/>
                <w:szCs w:val="16"/>
              </w:rPr>
              <w:t>2020-21 Actual</w:t>
            </w:r>
            <w:r w:rsidRPr="0099051B">
              <w:rPr>
                <w:rFonts w:ascii="Arial" w:hAnsi="Arial" w:cs="Arial"/>
                <w:sz w:val="16"/>
                <w:szCs w:val="16"/>
              </w:rPr>
              <w:br/>
            </w:r>
            <w:r w:rsidRPr="0099051B">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000000" w:fill="E6E6E6"/>
            <w:hideMark/>
          </w:tcPr>
          <w:p w14:paraId="14ADCC84" w14:textId="002E82E0" w:rsidR="00102378" w:rsidRPr="0099051B" w:rsidRDefault="00102378" w:rsidP="00102378">
            <w:pPr>
              <w:spacing w:after="0" w:line="240" w:lineRule="auto"/>
              <w:jc w:val="right"/>
              <w:rPr>
                <w:rFonts w:ascii="Arial" w:hAnsi="Arial" w:cs="Arial"/>
                <w:sz w:val="16"/>
                <w:szCs w:val="16"/>
              </w:rPr>
            </w:pPr>
            <w:r w:rsidRPr="003D788E">
              <w:rPr>
                <w:rFonts w:ascii="Arial" w:hAnsi="Arial" w:cs="Arial"/>
                <w:sz w:val="16"/>
                <w:szCs w:val="16"/>
              </w:rPr>
              <w:t>2021-22</w:t>
            </w:r>
            <w:r w:rsidRPr="003D788E">
              <w:rPr>
                <w:rFonts w:ascii="Arial" w:hAnsi="Arial" w:cs="Arial"/>
                <w:sz w:val="16"/>
                <w:szCs w:val="16"/>
              </w:rPr>
              <w:br/>
              <w:t xml:space="preserve">Revised </w:t>
            </w:r>
            <w:r>
              <w:rPr>
                <w:rFonts w:ascii="Arial" w:hAnsi="Arial" w:cs="Arial"/>
                <w:sz w:val="16"/>
                <w:szCs w:val="16"/>
              </w:rPr>
              <w:t>B</w:t>
            </w:r>
            <w:r w:rsidRPr="003D788E">
              <w:rPr>
                <w:rFonts w:ascii="Arial" w:hAnsi="Arial" w:cs="Arial"/>
                <w:sz w:val="16"/>
                <w:szCs w:val="16"/>
              </w:rPr>
              <w:t>udget</w:t>
            </w:r>
            <w:r w:rsidRPr="003D788E">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6A8B9B79" w14:textId="77777777" w:rsidR="00102378" w:rsidRPr="0099051B" w:rsidRDefault="00102378" w:rsidP="00102378">
            <w:pPr>
              <w:spacing w:after="0" w:line="240" w:lineRule="auto"/>
              <w:jc w:val="right"/>
              <w:rPr>
                <w:rFonts w:ascii="Arial" w:hAnsi="Arial" w:cs="Arial"/>
                <w:sz w:val="16"/>
                <w:szCs w:val="16"/>
              </w:rPr>
            </w:pPr>
            <w:r w:rsidRPr="0099051B">
              <w:rPr>
                <w:rFonts w:ascii="Arial" w:hAnsi="Arial" w:cs="Arial"/>
                <w:sz w:val="16"/>
                <w:szCs w:val="16"/>
              </w:rPr>
              <w:t>2022-23 Forward estimate</w:t>
            </w:r>
            <w:r w:rsidRPr="0099051B">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vAlign w:val="bottom"/>
            <w:hideMark/>
          </w:tcPr>
          <w:p w14:paraId="08D861A7" w14:textId="77777777" w:rsidR="00102378" w:rsidRPr="0099051B" w:rsidRDefault="00102378" w:rsidP="00102378">
            <w:pPr>
              <w:spacing w:after="0" w:line="240" w:lineRule="auto"/>
              <w:jc w:val="right"/>
              <w:rPr>
                <w:rFonts w:ascii="Arial" w:hAnsi="Arial" w:cs="Arial"/>
                <w:sz w:val="16"/>
                <w:szCs w:val="16"/>
              </w:rPr>
            </w:pPr>
            <w:r w:rsidRPr="0099051B">
              <w:rPr>
                <w:rFonts w:ascii="Arial" w:hAnsi="Arial" w:cs="Arial"/>
                <w:sz w:val="16"/>
                <w:szCs w:val="16"/>
              </w:rPr>
              <w:t>2023-24 Forward estimate</w:t>
            </w:r>
            <w:r w:rsidRPr="0099051B">
              <w:rPr>
                <w:rFonts w:ascii="Arial" w:hAnsi="Arial" w:cs="Arial"/>
                <w:sz w:val="16"/>
                <w:szCs w:val="16"/>
              </w:rPr>
              <w:br/>
              <w:t>$'000</w:t>
            </w:r>
          </w:p>
        </w:tc>
        <w:tc>
          <w:tcPr>
            <w:tcW w:w="1124" w:type="dxa"/>
            <w:tcBorders>
              <w:top w:val="single" w:sz="4" w:space="0" w:color="auto"/>
              <w:left w:val="nil"/>
              <w:bottom w:val="single" w:sz="4" w:space="0" w:color="auto"/>
              <w:right w:val="nil"/>
            </w:tcBorders>
            <w:shd w:val="clear" w:color="auto" w:fill="auto"/>
            <w:vAlign w:val="bottom"/>
            <w:hideMark/>
          </w:tcPr>
          <w:p w14:paraId="7026FE56" w14:textId="77777777" w:rsidR="00102378" w:rsidRPr="0099051B" w:rsidRDefault="00102378" w:rsidP="00102378">
            <w:pPr>
              <w:spacing w:after="0" w:line="240" w:lineRule="auto"/>
              <w:jc w:val="right"/>
              <w:rPr>
                <w:rFonts w:ascii="Arial" w:hAnsi="Arial" w:cs="Arial"/>
                <w:sz w:val="16"/>
                <w:szCs w:val="16"/>
              </w:rPr>
            </w:pPr>
            <w:r w:rsidRPr="0099051B">
              <w:rPr>
                <w:rFonts w:ascii="Arial" w:hAnsi="Arial" w:cs="Arial"/>
                <w:sz w:val="16"/>
                <w:szCs w:val="16"/>
              </w:rPr>
              <w:t>2024-25</w:t>
            </w:r>
            <w:r w:rsidRPr="0099051B">
              <w:rPr>
                <w:rFonts w:ascii="Arial" w:hAnsi="Arial" w:cs="Arial"/>
                <w:sz w:val="16"/>
                <w:szCs w:val="16"/>
              </w:rPr>
              <w:br/>
              <w:t>Forward estimate</w:t>
            </w:r>
            <w:r w:rsidRPr="0099051B">
              <w:rPr>
                <w:rFonts w:ascii="Arial" w:hAnsi="Arial" w:cs="Arial"/>
                <w:sz w:val="16"/>
                <w:szCs w:val="16"/>
              </w:rPr>
              <w:br/>
              <w:t>$'000</w:t>
            </w:r>
          </w:p>
        </w:tc>
      </w:tr>
      <w:tr w:rsidR="0099051B" w:rsidRPr="0099051B" w14:paraId="56F01798" w14:textId="77777777" w:rsidTr="0092501F">
        <w:trPr>
          <w:trHeight w:val="204"/>
        </w:trPr>
        <w:tc>
          <w:tcPr>
            <w:tcW w:w="2268" w:type="dxa"/>
            <w:tcBorders>
              <w:top w:val="nil"/>
              <w:left w:val="nil"/>
              <w:bottom w:val="nil"/>
              <w:right w:val="nil"/>
            </w:tcBorders>
            <w:shd w:val="clear" w:color="auto" w:fill="auto"/>
            <w:noWrap/>
            <w:vAlign w:val="center"/>
            <w:hideMark/>
          </w:tcPr>
          <w:p w14:paraId="20E59F95" w14:textId="77777777" w:rsidR="0099051B" w:rsidRPr="0099051B" w:rsidRDefault="0099051B" w:rsidP="0099051B">
            <w:pPr>
              <w:spacing w:after="0" w:line="240" w:lineRule="auto"/>
              <w:jc w:val="left"/>
              <w:rPr>
                <w:rFonts w:ascii="Arial" w:hAnsi="Arial" w:cs="Arial"/>
                <w:b/>
                <w:bCs/>
                <w:color w:val="000000"/>
                <w:sz w:val="16"/>
                <w:szCs w:val="16"/>
              </w:rPr>
            </w:pPr>
            <w:r w:rsidRPr="0099051B">
              <w:rPr>
                <w:rFonts w:ascii="Arial" w:hAnsi="Arial" w:cs="Arial"/>
                <w:b/>
                <w:bCs/>
                <w:color w:val="000000"/>
                <w:sz w:val="16"/>
                <w:szCs w:val="16"/>
              </w:rPr>
              <w:t>FINANCING ACTIVITIES</w:t>
            </w:r>
          </w:p>
        </w:tc>
        <w:tc>
          <w:tcPr>
            <w:tcW w:w="1035" w:type="dxa"/>
            <w:tcBorders>
              <w:top w:val="nil"/>
              <w:left w:val="nil"/>
              <w:bottom w:val="nil"/>
              <w:right w:val="nil"/>
            </w:tcBorders>
            <w:shd w:val="clear" w:color="auto" w:fill="auto"/>
            <w:noWrap/>
            <w:vAlign w:val="bottom"/>
            <w:hideMark/>
          </w:tcPr>
          <w:p w14:paraId="2427CA88" w14:textId="77777777" w:rsidR="0099051B" w:rsidRPr="0099051B" w:rsidRDefault="0099051B" w:rsidP="0099051B">
            <w:pPr>
              <w:spacing w:after="0" w:line="240" w:lineRule="auto"/>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25918E1D" w14:textId="6EBE4022" w:rsidR="0099051B" w:rsidRPr="0099051B" w:rsidRDefault="0099051B" w:rsidP="0099051B">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5C05A5AE" w14:textId="77777777" w:rsidR="0099051B" w:rsidRPr="0099051B" w:rsidRDefault="0099051B" w:rsidP="0099051B">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5FB1F86C" w14:textId="77777777" w:rsidR="0099051B" w:rsidRPr="0099051B" w:rsidRDefault="0099051B" w:rsidP="0099051B">
            <w:pPr>
              <w:spacing w:after="0" w:line="240" w:lineRule="auto"/>
              <w:jc w:val="right"/>
              <w:rPr>
                <w:rFonts w:ascii="Times New Roman" w:hAnsi="Times New Roman"/>
              </w:rPr>
            </w:pPr>
          </w:p>
        </w:tc>
        <w:tc>
          <w:tcPr>
            <w:tcW w:w="1124" w:type="dxa"/>
            <w:tcBorders>
              <w:top w:val="nil"/>
              <w:left w:val="nil"/>
              <w:bottom w:val="nil"/>
              <w:right w:val="nil"/>
            </w:tcBorders>
            <w:shd w:val="clear" w:color="auto" w:fill="auto"/>
            <w:noWrap/>
            <w:vAlign w:val="bottom"/>
            <w:hideMark/>
          </w:tcPr>
          <w:p w14:paraId="49943CDF" w14:textId="77777777" w:rsidR="0099051B" w:rsidRPr="0099051B" w:rsidRDefault="0099051B" w:rsidP="0099051B">
            <w:pPr>
              <w:spacing w:after="0" w:line="240" w:lineRule="auto"/>
              <w:jc w:val="right"/>
              <w:rPr>
                <w:rFonts w:ascii="Times New Roman" w:hAnsi="Times New Roman"/>
              </w:rPr>
            </w:pPr>
          </w:p>
        </w:tc>
      </w:tr>
      <w:tr w:rsidR="0099051B" w:rsidRPr="0099051B" w14:paraId="51F60084" w14:textId="77777777" w:rsidTr="0092501F">
        <w:trPr>
          <w:trHeight w:val="204"/>
        </w:trPr>
        <w:tc>
          <w:tcPr>
            <w:tcW w:w="2268" w:type="dxa"/>
            <w:tcBorders>
              <w:top w:val="nil"/>
              <w:left w:val="nil"/>
              <w:bottom w:val="nil"/>
              <w:right w:val="nil"/>
            </w:tcBorders>
            <w:shd w:val="clear" w:color="auto" w:fill="auto"/>
            <w:noWrap/>
            <w:vAlign w:val="center"/>
            <w:hideMark/>
          </w:tcPr>
          <w:p w14:paraId="53C6013A" w14:textId="77777777" w:rsidR="0099051B" w:rsidRPr="0099051B" w:rsidRDefault="0099051B" w:rsidP="0099051B">
            <w:pPr>
              <w:spacing w:after="0" w:line="240" w:lineRule="auto"/>
              <w:ind w:left="113"/>
              <w:jc w:val="left"/>
              <w:rPr>
                <w:rFonts w:ascii="Arial" w:hAnsi="Arial" w:cs="Arial"/>
                <w:b/>
                <w:bCs/>
                <w:color w:val="000000"/>
                <w:sz w:val="16"/>
                <w:szCs w:val="16"/>
              </w:rPr>
            </w:pPr>
            <w:r w:rsidRPr="0099051B">
              <w:rPr>
                <w:rFonts w:ascii="Arial" w:hAnsi="Arial" w:cs="Arial"/>
                <w:b/>
                <w:bCs/>
                <w:color w:val="000000"/>
                <w:sz w:val="16"/>
                <w:szCs w:val="16"/>
              </w:rPr>
              <w:t>Cash received</w:t>
            </w:r>
          </w:p>
        </w:tc>
        <w:tc>
          <w:tcPr>
            <w:tcW w:w="1035" w:type="dxa"/>
            <w:tcBorders>
              <w:top w:val="nil"/>
              <w:left w:val="nil"/>
              <w:bottom w:val="nil"/>
              <w:right w:val="nil"/>
            </w:tcBorders>
            <w:shd w:val="clear" w:color="auto" w:fill="auto"/>
            <w:noWrap/>
            <w:vAlign w:val="bottom"/>
            <w:hideMark/>
          </w:tcPr>
          <w:p w14:paraId="6E29F432" w14:textId="77777777" w:rsidR="0099051B" w:rsidRPr="0099051B" w:rsidRDefault="0099051B" w:rsidP="0099051B">
            <w:pPr>
              <w:spacing w:after="0" w:line="240" w:lineRule="auto"/>
              <w:ind w:firstLineChars="100" w:firstLine="160"/>
              <w:jc w:val="left"/>
              <w:rPr>
                <w:rFonts w:ascii="Arial" w:hAnsi="Arial" w:cs="Arial"/>
                <w:b/>
                <w:bCs/>
                <w:color w:val="000000"/>
                <w:sz w:val="16"/>
                <w:szCs w:val="16"/>
              </w:rPr>
            </w:pPr>
          </w:p>
        </w:tc>
        <w:tc>
          <w:tcPr>
            <w:tcW w:w="1035" w:type="dxa"/>
            <w:tcBorders>
              <w:top w:val="nil"/>
              <w:left w:val="nil"/>
              <w:bottom w:val="nil"/>
              <w:right w:val="nil"/>
            </w:tcBorders>
            <w:shd w:val="clear" w:color="000000" w:fill="E6E6E6"/>
            <w:noWrap/>
            <w:vAlign w:val="bottom"/>
            <w:hideMark/>
          </w:tcPr>
          <w:p w14:paraId="5A8A121B" w14:textId="13AF5AE1" w:rsidR="0099051B" w:rsidRPr="0099051B" w:rsidRDefault="0099051B" w:rsidP="0099051B">
            <w:pPr>
              <w:spacing w:after="0" w:line="240" w:lineRule="auto"/>
              <w:jc w:val="right"/>
              <w:rPr>
                <w:rFonts w:ascii="Arial" w:hAnsi="Arial" w:cs="Arial"/>
                <w:color w:val="000000"/>
                <w:sz w:val="16"/>
                <w:szCs w:val="16"/>
              </w:rPr>
            </w:pPr>
          </w:p>
        </w:tc>
        <w:tc>
          <w:tcPr>
            <w:tcW w:w="1124" w:type="dxa"/>
            <w:tcBorders>
              <w:top w:val="nil"/>
              <w:left w:val="nil"/>
              <w:bottom w:val="nil"/>
              <w:right w:val="nil"/>
            </w:tcBorders>
            <w:shd w:val="clear" w:color="auto" w:fill="auto"/>
            <w:noWrap/>
            <w:vAlign w:val="bottom"/>
            <w:hideMark/>
          </w:tcPr>
          <w:p w14:paraId="7DE57E08" w14:textId="77777777" w:rsidR="0099051B" w:rsidRPr="0099051B" w:rsidRDefault="0099051B" w:rsidP="0099051B">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6820EC25" w14:textId="77777777" w:rsidR="0099051B" w:rsidRPr="0099051B" w:rsidRDefault="0099051B" w:rsidP="0099051B">
            <w:pPr>
              <w:spacing w:after="0" w:line="240" w:lineRule="auto"/>
              <w:jc w:val="right"/>
              <w:rPr>
                <w:rFonts w:ascii="Times New Roman" w:hAnsi="Times New Roman"/>
              </w:rPr>
            </w:pPr>
          </w:p>
        </w:tc>
        <w:tc>
          <w:tcPr>
            <w:tcW w:w="1124" w:type="dxa"/>
            <w:tcBorders>
              <w:top w:val="nil"/>
              <w:left w:val="nil"/>
              <w:bottom w:val="nil"/>
              <w:right w:val="nil"/>
            </w:tcBorders>
            <w:shd w:val="clear" w:color="auto" w:fill="auto"/>
            <w:noWrap/>
            <w:vAlign w:val="bottom"/>
            <w:hideMark/>
          </w:tcPr>
          <w:p w14:paraId="52102F5E" w14:textId="77777777" w:rsidR="0099051B" w:rsidRPr="0099051B" w:rsidRDefault="0099051B" w:rsidP="0099051B">
            <w:pPr>
              <w:spacing w:after="0" w:line="240" w:lineRule="auto"/>
              <w:jc w:val="right"/>
              <w:rPr>
                <w:rFonts w:ascii="Times New Roman" w:hAnsi="Times New Roman"/>
              </w:rPr>
            </w:pPr>
          </w:p>
        </w:tc>
      </w:tr>
      <w:tr w:rsidR="00D14058" w:rsidRPr="0099051B" w14:paraId="548534B2" w14:textId="77777777" w:rsidTr="0092501F">
        <w:trPr>
          <w:trHeight w:val="204"/>
        </w:trPr>
        <w:tc>
          <w:tcPr>
            <w:tcW w:w="2268" w:type="dxa"/>
            <w:tcBorders>
              <w:top w:val="nil"/>
              <w:left w:val="nil"/>
              <w:bottom w:val="nil"/>
              <w:right w:val="nil"/>
            </w:tcBorders>
            <w:shd w:val="clear" w:color="auto" w:fill="auto"/>
            <w:noWrap/>
            <w:vAlign w:val="center"/>
            <w:hideMark/>
          </w:tcPr>
          <w:p w14:paraId="657E99D9" w14:textId="77777777" w:rsidR="00D14058" w:rsidRPr="0099051B" w:rsidRDefault="00D14058" w:rsidP="00D14058">
            <w:pPr>
              <w:spacing w:after="0" w:line="240" w:lineRule="auto"/>
              <w:ind w:left="227"/>
              <w:jc w:val="left"/>
              <w:rPr>
                <w:rFonts w:ascii="Arial" w:hAnsi="Arial" w:cs="Arial"/>
                <w:color w:val="000000"/>
                <w:sz w:val="16"/>
                <w:szCs w:val="16"/>
              </w:rPr>
            </w:pPr>
            <w:r w:rsidRPr="0099051B">
              <w:rPr>
                <w:rFonts w:ascii="Arial" w:hAnsi="Arial" w:cs="Arial"/>
                <w:sz w:val="16"/>
                <w:szCs w:val="16"/>
              </w:rPr>
              <w:t>Other</w:t>
            </w:r>
          </w:p>
        </w:tc>
        <w:tc>
          <w:tcPr>
            <w:tcW w:w="1035" w:type="dxa"/>
            <w:tcBorders>
              <w:top w:val="nil"/>
              <w:left w:val="nil"/>
              <w:bottom w:val="nil"/>
              <w:right w:val="nil"/>
            </w:tcBorders>
            <w:shd w:val="clear" w:color="auto" w:fill="auto"/>
            <w:noWrap/>
            <w:vAlign w:val="bottom"/>
            <w:hideMark/>
          </w:tcPr>
          <w:p w14:paraId="44E10820" w14:textId="60FA45C7"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244,138 </w:t>
            </w:r>
          </w:p>
        </w:tc>
        <w:tc>
          <w:tcPr>
            <w:tcW w:w="1035" w:type="dxa"/>
            <w:tcBorders>
              <w:top w:val="nil"/>
              <w:left w:val="nil"/>
              <w:bottom w:val="nil"/>
              <w:right w:val="nil"/>
            </w:tcBorders>
            <w:shd w:val="clear" w:color="000000" w:fill="E6E6E6"/>
            <w:noWrap/>
            <w:vAlign w:val="bottom"/>
            <w:hideMark/>
          </w:tcPr>
          <w:p w14:paraId="08019BDB" w14:textId="37544771"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bottom"/>
            <w:hideMark/>
          </w:tcPr>
          <w:p w14:paraId="40C4C712" w14:textId="0210F179"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 </w:t>
            </w:r>
          </w:p>
        </w:tc>
        <w:tc>
          <w:tcPr>
            <w:tcW w:w="1035" w:type="dxa"/>
            <w:tcBorders>
              <w:top w:val="nil"/>
              <w:left w:val="nil"/>
              <w:bottom w:val="nil"/>
              <w:right w:val="nil"/>
            </w:tcBorders>
            <w:shd w:val="clear" w:color="auto" w:fill="auto"/>
            <w:noWrap/>
            <w:vAlign w:val="bottom"/>
            <w:hideMark/>
          </w:tcPr>
          <w:p w14:paraId="5815E550" w14:textId="76CD6927"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 </w:t>
            </w:r>
          </w:p>
        </w:tc>
        <w:tc>
          <w:tcPr>
            <w:tcW w:w="1124" w:type="dxa"/>
            <w:tcBorders>
              <w:top w:val="nil"/>
              <w:left w:val="nil"/>
              <w:bottom w:val="nil"/>
              <w:right w:val="nil"/>
            </w:tcBorders>
            <w:shd w:val="clear" w:color="auto" w:fill="auto"/>
            <w:noWrap/>
            <w:vAlign w:val="bottom"/>
            <w:hideMark/>
          </w:tcPr>
          <w:p w14:paraId="5B0B1DDB" w14:textId="02A78DA3"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 </w:t>
            </w:r>
          </w:p>
        </w:tc>
      </w:tr>
      <w:tr w:rsidR="00D14058" w:rsidRPr="00B02F25" w14:paraId="1947A778" w14:textId="77777777" w:rsidTr="0092501F">
        <w:trPr>
          <w:trHeight w:val="204"/>
        </w:trPr>
        <w:tc>
          <w:tcPr>
            <w:tcW w:w="2268" w:type="dxa"/>
            <w:tcBorders>
              <w:top w:val="nil"/>
              <w:left w:val="nil"/>
              <w:bottom w:val="nil"/>
              <w:right w:val="nil"/>
            </w:tcBorders>
            <w:shd w:val="clear" w:color="auto" w:fill="auto"/>
            <w:noWrap/>
            <w:vAlign w:val="center"/>
            <w:hideMark/>
          </w:tcPr>
          <w:p w14:paraId="15437E36" w14:textId="77777777" w:rsidR="00D14058" w:rsidRPr="00B02F25" w:rsidRDefault="00D14058" w:rsidP="00D14058">
            <w:pPr>
              <w:spacing w:after="0" w:line="240" w:lineRule="auto"/>
              <w:ind w:left="113"/>
              <w:jc w:val="left"/>
              <w:rPr>
                <w:rFonts w:ascii="Arial" w:hAnsi="Arial" w:cs="Arial"/>
                <w:b/>
                <w:bCs/>
                <w:iCs/>
                <w:color w:val="000000"/>
                <w:sz w:val="16"/>
                <w:szCs w:val="16"/>
              </w:rPr>
            </w:pPr>
            <w:r w:rsidRPr="00B02F25">
              <w:rPr>
                <w:rFonts w:ascii="Arial" w:hAnsi="Arial" w:cs="Arial"/>
                <w:b/>
                <w:bCs/>
                <w:color w:val="000000"/>
                <w:sz w:val="16"/>
                <w:szCs w:val="16"/>
              </w:rPr>
              <w:t>Total cash used</w:t>
            </w:r>
          </w:p>
        </w:tc>
        <w:tc>
          <w:tcPr>
            <w:tcW w:w="1035" w:type="dxa"/>
            <w:tcBorders>
              <w:top w:val="single" w:sz="4" w:space="0" w:color="000000"/>
              <w:left w:val="nil"/>
              <w:bottom w:val="single" w:sz="4" w:space="0" w:color="000000"/>
              <w:right w:val="nil"/>
            </w:tcBorders>
            <w:shd w:val="clear" w:color="auto" w:fill="auto"/>
            <w:noWrap/>
            <w:vAlign w:val="bottom"/>
            <w:hideMark/>
          </w:tcPr>
          <w:p w14:paraId="594DA685" w14:textId="77BCB972" w:rsidR="00D14058" w:rsidRPr="00D14058" w:rsidRDefault="00D14058" w:rsidP="00D14058">
            <w:pPr>
              <w:spacing w:after="0" w:line="240" w:lineRule="auto"/>
              <w:jc w:val="right"/>
              <w:rPr>
                <w:rFonts w:ascii="Arial" w:hAnsi="Arial" w:cs="Arial"/>
                <w:b/>
                <w:bCs/>
                <w:iCs/>
                <w:color w:val="000000"/>
                <w:sz w:val="16"/>
                <w:szCs w:val="16"/>
              </w:rPr>
            </w:pPr>
            <w:r w:rsidRPr="00D14058">
              <w:rPr>
                <w:rFonts w:ascii="Arial" w:hAnsi="Arial" w:cs="Arial"/>
                <w:b/>
                <w:bCs/>
                <w:i/>
                <w:iCs/>
                <w:color w:val="000000"/>
                <w:sz w:val="16"/>
                <w:szCs w:val="16"/>
              </w:rPr>
              <w:t xml:space="preserve">244,138 </w:t>
            </w:r>
          </w:p>
        </w:tc>
        <w:tc>
          <w:tcPr>
            <w:tcW w:w="1035" w:type="dxa"/>
            <w:tcBorders>
              <w:top w:val="single" w:sz="4" w:space="0" w:color="000000"/>
              <w:left w:val="nil"/>
              <w:bottom w:val="single" w:sz="4" w:space="0" w:color="000000"/>
              <w:right w:val="nil"/>
            </w:tcBorders>
            <w:shd w:val="clear" w:color="000000" w:fill="E6E6E6"/>
            <w:noWrap/>
            <w:vAlign w:val="bottom"/>
            <w:hideMark/>
          </w:tcPr>
          <w:p w14:paraId="12FA3268" w14:textId="474F0B0C" w:rsidR="00D14058" w:rsidRPr="00D14058" w:rsidRDefault="00D14058" w:rsidP="00D14058">
            <w:pPr>
              <w:spacing w:after="0" w:line="240" w:lineRule="auto"/>
              <w:jc w:val="right"/>
              <w:rPr>
                <w:rFonts w:ascii="Arial" w:hAnsi="Arial" w:cs="Arial"/>
                <w:b/>
                <w:bCs/>
                <w:iCs/>
                <w:color w:val="000000"/>
                <w:sz w:val="16"/>
                <w:szCs w:val="16"/>
              </w:rPr>
            </w:pPr>
            <w:r w:rsidRPr="00D14058">
              <w:rPr>
                <w:rFonts w:ascii="Arial" w:hAnsi="Arial" w:cs="Arial"/>
                <w:b/>
                <w:bCs/>
                <w:i/>
                <w:iCs/>
                <w:color w:val="000000"/>
                <w:sz w:val="16"/>
                <w:szCs w:val="16"/>
              </w:rPr>
              <w:t xml:space="preserve">- </w:t>
            </w:r>
          </w:p>
        </w:tc>
        <w:tc>
          <w:tcPr>
            <w:tcW w:w="1124" w:type="dxa"/>
            <w:tcBorders>
              <w:top w:val="single" w:sz="4" w:space="0" w:color="000000"/>
              <w:left w:val="nil"/>
              <w:bottom w:val="single" w:sz="4" w:space="0" w:color="000000"/>
              <w:right w:val="nil"/>
            </w:tcBorders>
            <w:shd w:val="clear" w:color="auto" w:fill="auto"/>
            <w:noWrap/>
            <w:vAlign w:val="bottom"/>
            <w:hideMark/>
          </w:tcPr>
          <w:p w14:paraId="236C7D73" w14:textId="291408E2" w:rsidR="00D14058" w:rsidRPr="00D14058" w:rsidRDefault="00D14058" w:rsidP="00D14058">
            <w:pPr>
              <w:spacing w:after="0" w:line="240" w:lineRule="auto"/>
              <w:jc w:val="right"/>
              <w:rPr>
                <w:rFonts w:ascii="Arial" w:hAnsi="Arial" w:cs="Arial"/>
                <w:b/>
                <w:bCs/>
                <w:iCs/>
                <w:color w:val="000000"/>
                <w:sz w:val="16"/>
                <w:szCs w:val="16"/>
              </w:rPr>
            </w:pPr>
            <w:r w:rsidRPr="00D14058">
              <w:rPr>
                <w:rFonts w:ascii="Arial" w:hAnsi="Arial" w:cs="Arial"/>
                <w:b/>
                <w:bCs/>
                <w:i/>
                <w:iCs/>
                <w:color w:val="000000"/>
                <w:sz w:val="16"/>
                <w:szCs w:val="16"/>
              </w:rPr>
              <w:t xml:space="preserve">- </w:t>
            </w:r>
          </w:p>
        </w:tc>
        <w:tc>
          <w:tcPr>
            <w:tcW w:w="1035" w:type="dxa"/>
            <w:tcBorders>
              <w:top w:val="single" w:sz="4" w:space="0" w:color="000000"/>
              <w:left w:val="nil"/>
              <w:bottom w:val="single" w:sz="4" w:space="0" w:color="000000"/>
              <w:right w:val="nil"/>
            </w:tcBorders>
            <w:shd w:val="clear" w:color="auto" w:fill="auto"/>
            <w:noWrap/>
            <w:vAlign w:val="bottom"/>
            <w:hideMark/>
          </w:tcPr>
          <w:p w14:paraId="14156B10" w14:textId="696C3AF5" w:rsidR="00D14058" w:rsidRPr="00D14058" w:rsidRDefault="00D14058" w:rsidP="00D14058">
            <w:pPr>
              <w:spacing w:after="0" w:line="240" w:lineRule="auto"/>
              <w:jc w:val="right"/>
              <w:rPr>
                <w:rFonts w:ascii="Arial" w:hAnsi="Arial" w:cs="Arial"/>
                <w:b/>
                <w:bCs/>
                <w:iCs/>
                <w:color w:val="000000"/>
                <w:sz w:val="16"/>
                <w:szCs w:val="16"/>
              </w:rPr>
            </w:pPr>
            <w:r w:rsidRPr="00D14058">
              <w:rPr>
                <w:rFonts w:ascii="Arial" w:hAnsi="Arial" w:cs="Arial"/>
                <w:b/>
                <w:bCs/>
                <w:i/>
                <w:iCs/>
                <w:color w:val="000000"/>
                <w:sz w:val="16"/>
                <w:szCs w:val="16"/>
              </w:rPr>
              <w:t xml:space="preserve">- </w:t>
            </w:r>
          </w:p>
        </w:tc>
        <w:tc>
          <w:tcPr>
            <w:tcW w:w="1124" w:type="dxa"/>
            <w:tcBorders>
              <w:top w:val="single" w:sz="4" w:space="0" w:color="000000"/>
              <w:left w:val="nil"/>
              <w:bottom w:val="single" w:sz="4" w:space="0" w:color="000000"/>
              <w:right w:val="nil"/>
            </w:tcBorders>
            <w:shd w:val="clear" w:color="auto" w:fill="auto"/>
            <w:noWrap/>
            <w:vAlign w:val="bottom"/>
            <w:hideMark/>
          </w:tcPr>
          <w:p w14:paraId="14B906D4" w14:textId="4F19FEE6" w:rsidR="00D14058" w:rsidRPr="00D14058" w:rsidRDefault="00D14058" w:rsidP="00D14058">
            <w:pPr>
              <w:spacing w:after="0" w:line="240" w:lineRule="auto"/>
              <w:jc w:val="right"/>
              <w:rPr>
                <w:rFonts w:ascii="Arial" w:hAnsi="Arial" w:cs="Arial"/>
                <w:b/>
                <w:bCs/>
                <w:iCs/>
                <w:color w:val="000000"/>
                <w:sz w:val="16"/>
                <w:szCs w:val="16"/>
              </w:rPr>
            </w:pPr>
            <w:r w:rsidRPr="00D14058">
              <w:rPr>
                <w:rFonts w:ascii="Arial" w:hAnsi="Arial" w:cs="Arial"/>
                <w:b/>
                <w:bCs/>
                <w:i/>
                <w:iCs/>
                <w:color w:val="000000"/>
                <w:sz w:val="16"/>
                <w:szCs w:val="16"/>
              </w:rPr>
              <w:t xml:space="preserve">- </w:t>
            </w:r>
          </w:p>
        </w:tc>
      </w:tr>
      <w:tr w:rsidR="00D14058" w:rsidRPr="0099051B" w14:paraId="533F2E7B" w14:textId="77777777" w:rsidTr="0092501F">
        <w:trPr>
          <w:trHeight w:val="204"/>
        </w:trPr>
        <w:tc>
          <w:tcPr>
            <w:tcW w:w="2268" w:type="dxa"/>
            <w:tcBorders>
              <w:top w:val="nil"/>
              <w:left w:val="nil"/>
              <w:bottom w:val="nil"/>
              <w:right w:val="nil"/>
            </w:tcBorders>
            <w:shd w:val="clear" w:color="auto" w:fill="auto"/>
            <w:vAlign w:val="center"/>
            <w:hideMark/>
          </w:tcPr>
          <w:p w14:paraId="6CF05FC3" w14:textId="4B2BB122" w:rsidR="00D14058" w:rsidRPr="0099051B" w:rsidRDefault="00D14058" w:rsidP="00D14058">
            <w:pPr>
              <w:spacing w:after="0" w:line="240" w:lineRule="auto"/>
              <w:jc w:val="left"/>
              <w:rPr>
                <w:rFonts w:ascii="Arial" w:hAnsi="Arial" w:cs="Arial"/>
                <w:b/>
                <w:bCs/>
                <w:color w:val="000000"/>
                <w:sz w:val="16"/>
                <w:szCs w:val="16"/>
              </w:rPr>
            </w:pPr>
            <w:r w:rsidRPr="0099051B">
              <w:rPr>
                <w:rFonts w:ascii="Arial" w:hAnsi="Arial" w:cs="Arial"/>
                <w:b/>
                <w:bCs/>
                <w:color w:val="000000"/>
                <w:sz w:val="16"/>
                <w:szCs w:val="16"/>
              </w:rPr>
              <w:t>Net cash from/(used by)</w:t>
            </w:r>
            <w:r>
              <w:rPr>
                <w:rFonts w:ascii="Arial" w:hAnsi="Arial" w:cs="Arial"/>
                <w:b/>
                <w:bCs/>
                <w:color w:val="000000"/>
                <w:sz w:val="16"/>
                <w:szCs w:val="16"/>
              </w:rPr>
              <w:t xml:space="preserve"> </w:t>
            </w:r>
            <w:r w:rsidRPr="0099051B">
              <w:rPr>
                <w:rFonts w:ascii="Arial" w:hAnsi="Arial" w:cs="Arial"/>
                <w:b/>
                <w:bCs/>
                <w:color w:val="000000"/>
                <w:sz w:val="16"/>
                <w:szCs w:val="16"/>
              </w:rPr>
              <w:t>financing activities</w:t>
            </w:r>
          </w:p>
        </w:tc>
        <w:tc>
          <w:tcPr>
            <w:tcW w:w="1035" w:type="dxa"/>
            <w:tcBorders>
              <w:top w:val="nil"/>
              <w:left w:val="nil"/>
              <w:bottom w:val="single" w:sz="4" w:space="0" w:color="auto"/>
              <w:right w:val="nil"/>
            </w:tcBorders>
            <w:shd w:val="clear" w:color="auto" w:fill="auto"/>
            <w:noWrap/>
            <w:vAlign w:val="bottom"/>
            <w:hideMark/>
          </w:tcPr>
          <w:p w14:paraId="5C96AC61" w14:textId="513AB89A" w:rsidR="00D14058" w:rsidRPr="00D14058" w:rsidRDefault="00D14058" w:rsidP="00D14058">
            <w:pPr>
              <w:spacing w:after="0" w:line="240" w:lineRule="auto"/>
              <w:jc w:val="right"/>
              <w:rPr>
                <w:rFonts w:ascii="Arial" w:hAnsi="Arial" w:cs="Arial"/>
                <w:b/>
                <w:bCs/>
                <w:color w:val="000000"/>
                <w:sz w:val="16"/>
                <w:szCs w:val="16"/>
              </w:rPr>
            </w:pPr>
            <w:r w:rsidRPr="00D14058">
              <w:rPr>
                <w:rFonts w:ascii="Arial" w:hAnsi="Arial" w:cs="Arial"/>
                <w:b/>
                <w:bCs/>
                <w:color w:val="000000"/>
                <w:sz w:val="16"/>
                <w:szCs w:val="16"/>
              </w:rPr>
              <w:t xml:space="preserve">244,138 </w:t>
            </w:r>
          </w:p>
        </w:tc>
        <w:tc>
          <w:tcPr>
            <w:tcW w:w="1035" w:type="dxa"/>
            <w:tcBorders>
              <w:top w:val="nil"/>
              <w:left w:val="nil"/>
              <w:bottom w:val="single" w:sz="4" w:space="0" w:color="auto"/>
              <w:right w:val="nil"/>
            </w:tcBorders>
            <w:shd w:val="clear" w:color="000000" w:fill="E6E6E6"/>
            <w:noWrap/>
            <w:vAlign w:val="bottom"/>
            <w:hideMark/>
          </w:tcPr>
          <w:p w14:paraId="1B5FFED9" w14:textId="35D13C43" w:rsidR="00D14058" w:rsidRPr="00D14058" w:rsidRDefault="00D14058" w:rsidP="00D14058">
            <w:pPr>
              <w:spacing w:after="0" w:line="240" w:lineRule="auto"/>
              <w:jc w:val="right"/>
              <w:rPr>
                <w:rFonts w:ascii="Arial" w:hAnsi="Arial" w:cs="Arial"/>
                <w:b/>
                <w:bCs/>
                <w:color w:val="000000"/>
                <w:sz w:val="16"/>
                <w:szCs w:val="16"/>
              </w:rPr>
            </w:pPr>
            <w:r w:rsidRPr="00D14058">
              <w:rPr>
                <w:rFonts w:ascii="Arial" w:hAnsi="Arial" w:cs="Arial"/>
                <w:b/>
                <w:bCs/>
                <w:color w:val="000000"/>
                <w:sz w:val="16"/>
                <w:szCs w:val="16"/>
              </w:rPr>
              <w:t xml:space="preserve">- </w:t>
            </w:r>
          </w:p>
        </w:tc>
        <w:tc>
          <w:tcPr>
            <w:tcW w:w="1124" w:type="dxa"/>
            <w:tcBorders>
              <w:top w:val="nil"/>
              <w:left w:val="nil"/>
              <w:bottom w:val="single" w:sz="4" w:space="0" w:color="auto"/>
              <w:right w:val="nil"/>
            </w:tcBorders>
            <w:shd w:val="clear" w:color="auto" w:fill="auto"/>
            <w:noWrap/>
            <w:vAlign w:val="bottom"/>
            <w:hideMark/>
          </w:tcPr>
          <w:p w14:paraId="4CC09D1A" w14:textId="53CE490B" w:rsidR="00D14058" w:rsidRPr="00D14058" w:rsidRDefault="00D14058" w:rsidP="00D14058">
            <w:pPr>
              <w:spacing w:after="0" w:line="240" w:lineRule="auto"/>
              <w:jc w:val="right"/>
              <w:rPr>
                <w:rFonts w:ascii="Arial" w:hAnsi="Arial" w:cs="Arial"/>
                <w:b/>
                <w:bCs/>
                <w:color w:val="000000"/>
                <w:sz w:val="16"/>
                <w:szCs w:val="16"/>
              </w:rPr>
            </w:pPr>
            <w:r w:rsidRPr="00D14058">
              <w:rPr>
                <w:rFonts w:ascii="Arial" w:hAnsi="Arial" w:cs="Arial"/>
                <w:b/>
                <w:bCs/>
                <w:color w:val="000000"/>
                <w:sz w:val="16"/>
                <w:szCs w:val="16"/>
              </w:rPr>
              <w:t xml:space="preserve">- </w:t>
            </w:r>
          </w:p>
        </w:tc>
        <w:tc>
          <w:tcPr>
            <w:tcW w:w="1035" w:type="dxa"/>
            <w:tcBorders>
              <w:top w:val="nil"/>
              <w:left w:val="nil"/>
              <w:bottom w:val="single" w:sz="4" w:space="0" w:color="auto"/>
              <w:right w:val="nil"/>
            </w:tcBorders>
            <w:shd w:val="clear" w:color="auto" w:fill="auto"/>
            <w:noWrap/>
            <w:vAlign w:val="bottom"/>
            <w:hideMark/>
          </w:tcPr>
          <w:p w14:paraId="1457D939" w14:textId="24DFA629" w:rsidR="00D14058" w:rsidRPr="00D14058" w:rsidRDefault="00D14058" w:rsidP="00D14058">
            <w:pPr>
              <w:spacing w:after="0" w:line="240" w:lineRule="auto"/>
              <w:jc w:val="right"/>
              <w:rPr>
                <w:rFonts w:ascii="Arial" w:hAnsi="Arial" w:cs="Arial"/>
                <w:b/>
                <w:bCs/>
                <w:color w:val="000000"/>
                <w:sz w:val="16"/>
                <w:szCs w:val="16"/>
              </w:rPr>
            </w:pPr>
            <w:r w:rsidRPr="00D14058">
              <w:rPr>
                <w:rFonts w:ascii="Arial" w:hAnsi="Arial" w:cs="Arial"/>
                <w:b/>
                <w:bCs/>
                <w:color w:val="000000"/>
                <w:sz w:val="16"/>
                <w:szCs w:val="16"/>
              </w:rPr>
              <w:t xml:space="preserve">- </w:t>
            </w:r>
          </w:p>
        </w:tc>
        <w:tc>
          <w:tcPr>
            <w:tcW w:w="1124" w:type="dxa"/>
            <w:tcBorders>
              <w:top w:val="nil"/>
              <w:left w:val="nil"/>
              <w:bottom w:val="single" w:sz="4" w:space="0" w:color="auto"/>
              <w:right w:val="nil"/>
            </w:tcBorders>
            <w:shd w:val="clear" w:color="auto" w:fill="auto"/>
            <w:noWrap/>
            <w:vAlign w:val="bottom"/>
            <w:hideMark/>
          </w:tcPr>
          <w:p w14:paraId="09350CF8" w14:textId="2983CCAB" w:rsidR="00D14058" w:rsidRPr="00D14058" w:rsidRDefault="00D14058" w:rsidP="00D14058">
            <w:pPr>
              <w:spacing w:after="0" w:line="240" w:lineRule="auto"/>
              <w:jc w:val="right"/>
              <w:rPr>
                <w:rFonts w:ascii="Arial" w:hAnsi="Arial" w:cs="Arial"/>
                <w:b/>
                <w:bCs/>
                <w:color w:val="000000"/>
                <w:sz w:val="16"/>
                <w:szCs w:val="16"/>
              </w:rPr>
            </w:pPr>
            <w:r w:rsidRPr="00D14058">
              <w:rPr>
                <w:rFonts w:ascii="Arial" w:hAnsi="Arial" w:cs="Arial"/>
                <w:b/>
                <w:bCs/>
                <w:color w:val="000000"/>
                <w:sz w:val="16"/>
                <w:szCs w:val="16"/>
              </w:rPr>
              <w:t xml:space="preserve">- </w:t>
            </w:r>
          </w:p>
        </w:tc>
      </w:tr>
      <w:tr w:rsidR="00D14058" w:rsidRPr="0099051B" w14:paraId="76D3FBC3" w14:textId="77777777" w:rsidTr="0092501F">
        <w:trPr>
          <w:trHeight w:val="204"/>
        </w:trPr>
        <w:tc>
          <w:tcPr>
            <w:tcW w:w="2268" w:type="dxa"/>
            <w:tcBorders>
              <w:top w:val="nil"/>
              <w:left w:val="nil"/>
              <w:bottom w:val="nil"/>
              <w:right w:val="nil"/>
            </w:tcBorders>
            <w:shd w:val="clear" w:color="auto" w:fill="auto"/>
            <w:vAlign w:val="center"/>
            <w:hideMark/>
          </w:tcPr>
          <w:p w14:paraId="39E6FADA" w14:textId="36592183" w:rsidR="00D14058" w:rsidRPr="0099051B" w:rsidRDefault="00D14058" w:rsidP="00D14058">
            <w:pPr>
              <w:spacing w:after="0" w:line="240" w:lineRule="auto"/>
              <w:jc w:val="left"/>
              <w:rPr>
                <w:rFonts w:ascii="Arial" w:hAnsi="Arial" w:cs="Arial"/>
                <w:b/>
                <w:bCs/>
                <w:i/>
                <w:iCs/>
                <w:color w:val="000000"/>
                <w:sz w:val="16"/>
                <w:szCs w:val="16"/>
              </w:rPr>
            </w:pPr>
            <w:r w:rsidRPr="0099051B">
              <w:rPr>
                <w:rFonts w:ascii="Arial" w:hAnsi="Arial" w:cs="Arial"/>
                <w:b/>
                <w:bCs/>
                <w:i/>
                <w:iCs/>
                <w:color w:val="000000"/>
                <w:sz w:val="16"/>
                <w:szCs w:val="16"/>
              </w:rPr>
              <w:t>Net increase/(decrease) in cash held</w:t>
            </w:r>
          </w:p>
        </w:tc>
        <w:tc>
          <w:tcPr>
            <w:tcW w:w="1035" w:type="dxa"/>
            <w:tcBorders>
              <w:top w:val="nil"/>
              <w:left w:val="nil"/>
              <w:bottom w:val="single" w:sz="4" w:space="0" w:color="auto"/>
              <w:right w:val="nil"/>
            </w:tcBorders>
            <w:shd w:val="clear" w:color="auto" w:fill="auto"/>
            <w:noWrap/>
            <w:vAlign w:val="bottom"/>
            <w:hideMark/>
          </w:tcPr>
          <w:p w14:paraId="6D3252B0" w14:textId="4308CBCA" w:rsidR="00D14058" w:rsidRPr="00D14058" w:rsidRDefault="00D14058" w:rsidP="00D14058">
            <w:pPr>
              <w:spacing w:after="0" w:line="240" w:lineRule="auto"/>
              <w:jc w:val="right"/>
              <w:rPr>
                <w:rFonts w:ascii="Arial" w:hAnsi="Arial" w:cs="Arial"/>
                <w:b/>
                <w:bCs/>
                <w:i/>
                <w:iCs/>
                <w:color w:val="000000"/>
                <w:sz w:val="16"/>
                <w:szCs w:val="16"/>
              </w:rPr>
            </w:pPr>
            <w:r w:rsidRPr="00D14058">
              <w:rPr>
                <w:rFonts w:ascii="Arial" w:hAnsi="Arial" w:cs="Arial"/>
                <w:b/>
                <w:bCs/>
                <w:i/>
                <w:iCs/>
                <w:color w:val="000000"/>
                <w:sz w:val="16"/>
                <w:szCs w:val="16"/>
              </w:rPr>
              <w:t>(4,206,334)</w:t>
            </w:r>
          </w:p>
        </w:tc>
        <w:tc>
          <w:tcPr>
            <w:tcW w:w="1035" w:type="dxa"/>
            <w:tcBorders>
              <w:top w:val="nil"/>
              <w:left w:val="nil"/>
              <w:bottom w:val="single" w:sz="4" w:space="0" w:color="auto"/>
              <w:right w:val="nil"/>
            </w:tcBorders>
            <w:shd w:val="clear" w:color="000000" w:fill="E6E6E6"/>
            <w:noWrap/>
            <w:vAlign w:val="bottom"/>
            <w:hideMark/>
          </w:tcPr>
          <w:p w14:paraId="3E9B0D71" w14:textId="72EC9BB9" w:rsidR="00D14058" w:rsidRPr="00D14058" w:rsidRDefault="00D14058" w:rsidP="00D14058">
            <w:pPr>
              <w:spacing w:after="0" w:line="240" w:lineRule="auto"/>
              <w:jc w:val="right"/>
              <w:rPr>
                <w:rFonts w:ascii="Arial" w:hAnsi="Arial" w:cs="Arial"/>
                <w:b/>
                <w:bCs/>
                <w:i/>
                <w:iCs/>
                <w:color w:val="000000"/>
                <w:sz w:val="16"/>
                <w:szCs w:val="16"/>
              </w:rPr>
            </w:pPr>
            <w:r w:rsidRPr="00D14058">
              <w:rPr>
                <w:rFonts w:ascii="Arial" w:hAnsi="Arial" w:cs="Arial"/>
                <w:b/>
                <w:bCs/>
                <w:i/>
                <w:iCs/>
                <w:color w:val="000000"/>
                <w:sz w:val="16"/>
                <w:szCs w:val="16"/>
              </w:rPr>
              <w:t>(5,138,144)</w:t>
            </w:r>
          </w:p>
        </w:tc>
        <w:tc>
          <w:tcPr>
            <w:tcW w:w="1124" w:type="dxa"/>
            <w:tcBorders>
              <w:top w:val="nil"/>
              <w:left w:val="nil"/>
              <w:bottom w:val="single" w:sz="4" w:space="0" w:color="auto"/>
              <w:right w:val="nil"/>
            </w:tcBorders>
            <w:shd w:val="clear" w:color="auto" w:fill="auto"/>
            <w:noWrap/>
            <w:vAlign w:val="bottom"/>
            <w:hideMark/>
          </w:tcPr>
          <w:p w14:paraId="5D5F8A48" w14:textId="13D1B30D" w:rsidR="00D14058" w:rsidRPr="00D14058" w:rsidRDefault="00D14058" w:rsidP="00D14058">
            <w:pPr>
              <w:spacing w:after="0" w:line="240" w:lineRule="auto"/>
              <w:jc w:val="right"/>
              <w:rPr>
                <w:rFonts w:ascii="Arial" w:hAnsi="Arial" w:cs="Arial"/>
                <w:b/>
                <w:bCs/>
                <w:i/>
                <w:iCs/>
                <w:color w:val="000000"/>
                <w:sz w:val="16"/>
                <w:szCs w:val="16"/>
              </w:rPr>
            </w:pPr>
            <w:r w:rsidRPr="00D14058">
              <w:rPr>
                <w:rFonts w:ascii="Arial" w:hAnsi="Arial" w:cs="Arial"/>
                <w:b/>
                <w:bCs/>
                <w:i/>
                <w:iCs/>
                <w:color w:val="000000"/>
                <w:sz w:val="16"/>
                <w:szCs w:val="16"/>
              </w:rPr>
              <w:t>(14,361,000)</w:t>
            </w:r>
          </w:p>
        </w:tc>
        <w:tc>
          <w:tcPr>
            <w:tcW w:w="1035" w:type="dxa"/>
            <w:tcBorders>
              <w:top w:val="nil"/>
              <w:left w:val="nil"/>
              <w:bottom w:val="single" w:sz="4" w:space="0" w:color="auto"/>
              <w:right w:val="nil"/>
            </w:tcBorders>
            <w:shd w:val="clear" w:color="auto" w:fill="auto"/>
            <w:noWrap/>
            <w:vAlign w:val="bottom"/>
            <w:hideMark/>
          </w:tcPr>
          <w:p w14:paraId="3548CB04" w14:textId="08BD9BE0" w:rsidR="00D14058" w:rsidRPr="00D14058" w:rsidRDefault="00D14058" w:rsidP="00D14058">
            <w:pPr>
              <w:spacing w:after="0" w:line="240" w:lineRule="auto"/>
              <w:jc w:val="right"/>
              <w:rPr>
                <w:rFonts w:ascii="Arial" w:hAnsi="Arial" w:cs="Arial"/>
                <w:b/>
                <w:bCs/>
                <w:i/>
                <w:iCs/>
                <w:color w:val="000000"/>
                <w:sz w:val="16"/>
                <w:szCs w:val="16"/>
              </w:rPr>
            </w:pPr>
            <w:r w:rsidRPr="00D14058">
              <w:rPr>
                <w:rFonts w:ascii="Arial" w:hAnsi="Arial" w:cs="Arial"/>
                <w:b/>
                <w:bCs/>
                <w:i/>
                <w:iCs/>
                <w:color w:val="000000"/>
                <w:sz w:val="16"/>
                <w:szCs w:val="16"/>
              </w:rPr>
              <w:t>(5,778,756)</w:t>
            </w:r>
          </w:p>
        </w:tc>
        <w:tc>
          <w:tcPr>
            <w:tcW w:w="1124" w:type="dxa"/>
            <w:tcBorders>
              <w:top w:val="nil"/>
              <w:left w:val="nil"/>
              <w:bottom w:val="single" w:sz="4" w:space="0" w:color="auto"/>
              <w:right w:val="nil"/>
            </w:tcBorders>
            <w:shd w:val="clear" w:color="auto" w:fill="auto"/>
            <w:noWrap/>
            <w:vAlign w:val="bottom"/>
            <w:hideMark/>
          </w:tcPr>
          <w:p w14:paraId="44A130A5" w14:textId="5958C1B9" w:rsidR="00D14058" w:rsidRPr="00D14058" w:rsidRDefault="00D14058" w:rsidP="00D14058">
            <w:pPr>
              <w:spacing w:after="0" w:line="240" w:lineRule="auto"/>
              <w:jc w:val="right"/>
              <w:rPr>
                <w:rFonts w:ascii="Arial" w:hAnsi="Arial" w:cs="Arial"/>
                <w:b/>
                <w:bCs/>
                <w:i/>
                <w:iCs/>
                <w:color w:val="000000"/>
                <w:sz w:val="16"/>
                <w:szCs w:val="16"/>
              </w:rPr>
            </w:pPr>
            <w:r w:rsidRPr="00D14058">
              <w:rPr>
                <w:rFonts w:ascii="Arial" w:hAnsi="Arial" w:cs="Arial"/>
                <w:b/>
                <w:bCs/>
                <w:i/>
                <w:iCs/>
                <w:color w:val="000000"/>
                <w:sz w:val="16"/>
                <w:szCs w:val="16"/>
              </w:rPr>
              <w:t>(11,832,693)</w:t>
            </w:r>
          </w:p>
        </w:tc>
      </w:tr>
      <w:tr w:rsidR="00D14058" w:rsidRPr="0099051B" w14:paraId="5B5830F2" w14:textId="77777777" w:rsidTr="0092501F">
        <w:trPr>
          <w:trHeight w:val="204"/>
        </w:trPr>
        <w:tc>
          <w:tcPr>
            <w:tcW w:w="2268" w:type="dxa"/>
            <w:tcBorders>
              <w:top w:val="nil"/>
              <w:left w:val="nil"/>
              <w:bottom w:val="nil"/>
              <w:right w:val="nil"/>
            </w:tcBorders>
            <w:shd w:val="clear" w:color="auto" w:fill="auto"/>
            <w:vAlign w:val="center"/>
            <w:hideMark/>
          </w:tcPr>
          <w:p w14:paraId="3D6E4F2B" w14:textId="7F9CE863" w:rsidR="00D14058" w:rsidRPr="0099051B" w:rsidRDefault="00D14058" w:rsidP="00D14058">
            <w:pPr>
              <w:spacing w:after="0" w:line="240" w:lineRule="auto"/>
              <w:jc w:val="left"/>
              <w:rPr>
                <w:rFonts w:ascii="Arial" w:hAnsi="Arial" w:cs="Arial"/>
                <w:sz w:val="16"/>
                <w:szCs w:val="16"/>
              </w:rPr>
            </w:pPr>
            <w:r w:rsidRPr="0099051B">
              <w:rPr>
                <w:rFonts w:ascii="Arial" w:hAnsi="Arial" w:cs="Arial"/>
                <w:sz w:val="16"/>
                <w:szCs w:val="16"/>
              </w:rPr>
              <w:t>Cash and cash equivalents a</w:t>
            </w:r>
            <w:r>
              <w:rPr>
                <w:rFonts w:ascii="Arial" w:hAnsi="Arial" w:cs="Arial"/>
                <w:sz w:val="16"/>
                <w:szCs w:val="16"/>
              </w:rPr>
              <w:t xml:space="preserve">t </w:t>
            </w:r>
            <w:r w:rsidRPr="0099051B">
              <w:rPr>
                <w:rFonts w:ascii="Arial" w:hAnsi="Arial" w:cs="Arial"/>
                <w:sz w:val="16"/>
                <w:szCs w:val="16"/>
              </w:rPr>
              <w:t>beginning of reporting period</w:t>
            </w:r>
          </w:p>
        </w:tc>
        <w:tc>
          <w:tcPr>
            <w:tcW w:w="1035" w:type="dxa"/>
            <w:tcBorders>
              <w:top w:val="nil"/>
              <w:left w:val="nil"/>
              <w:bottom w:val="nil"/>
              <w:right w:val="nil"/>
            </w:tcBorders>
            <w:shd w:val="clear" w:color="auto" w:fill="auto"/>
            <w:noWrap/>
            <w:vAlign w:val="bottom"/>
            <w:hideMark/>
          </w:tcPr>
          <w:p w14:paraId="4BDFEAAE" w14:textId="2E6DE422"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27,153 </w:t>
            </w:r>
          </w:p>
        </w:tc>
        <w:tc>
          <w:tcPr>
            <w:tcW w:w="1035" w:type="dxa"/>
            <w:tcBorders>
              <w:top w:val="nil"/>
              <w:left w:val="nil"/>
              <w:bottom w:val="nil"/>
              <w:right w:val="nil"/>
            </w:tcBorders>
            <w:shd w:val="clear" w:color="000000" w:fill="E6E6E6"/>
            <w:noWrap/>
            <w:vAlign w:val="bottom"/>
            <w:hideMark/>
          </w:tcPr>
          <w:p w14:paraId="683AE8AE" w14:textId="476F8D88"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41,989 </w:t>
            </w:r>
          </w:p>
        </w:tc>
        <w:tc>
          <w:tcPr>
            <w:tcW w:w="1124" w:type="dxa"/>
            <w:tcBorders>
              <w:top w:val="nil"/>
              <w:left w:val="nil"/>
              <w:bottom w:val="nil"/>
              <w:right w:val="nil"/>
            </w:tcBorders>
            <w:shd w:val="clear" w:color="auto" w:fill="auto"/>
            <w:noWrap/>
            <w:vAlign w:val="bottom"/>
            <w:hideMark/>
          </w:tcPr>
          <w:p w14:paraId="36FD4263" w14:textId="08F86DCE"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41,989 </w:t>
            </w:r>
          </w:p>
        </w:tc>
        <w:tc>
          <w:tcPr>
            <w:tcW w:w="1035" w:type="dxa"/>
            <w:tcBorders>
              <w:top w:val="nil"/>
              <w:left w:val="nil"/>
              <w:bottom w:val="nil"/>
              <w:right w:val="nil"/>
            </w:tcBorders>
            <w:shd w:val="clear" w:color="auto" w:fill="auto"/>
            <w:noWrap/>
            <w:vAlign w:val="bottom"/>
            <w:hideMark/>
          </w:tcPr>
          <w:p w14:paraId="2CE8AE60" w14:textId="38252D7A"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41,989 </w:t>
            </w:r>
          </w:p>
        </w:tc>
        <w:tc>
          <w:tcPr>
            <w:tcW w:w="1124" w:type="dxa"/>
            <w:tcBorders>
              <w:top w:val="nil"/>
              <w:left w:val="nil"/>
              <w:bottom w:val="nil"/>
              <w:right w:val="nil"/>
            </w:tcBorders>
            <w:shd w:val="clear" w:color="auto" w:fill="auto"/>
            <w:noWrap/>
            <w:vAlign w:val="bottom"/>
            <w:hideMark/>
          </w:tcPr>
          <w:p w14:paraId="75766D9E" w14:textId="2D8A3492"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41,989 </w:t>
            </w:r>
          </w:p>
        </w:tc>
      </w:tr>
      <w:tr w:rsidR="00D14058" w:rsidRPr="0099051B" w14:paraId="49BB17C6" w14:textId="77777777" w:rsidTr="0092501F">
        <w:trPr>
          <w:trHeight w:val="204"/>
        </w:trPr>
        <w:tc>
          <w:tcPr>
            <w:tcW w:w="2268" w:type="dxa"/>
            <w:tcBorders>
              <w:top w:val="nil"/>
              <w:left w:val="nil"/>
              <w:bottom w:val="nil"/>
              <w:right w:val="nil"/>
            </w:tcBorders>
            <w:shd w:val="clear" w:color="auto" w:fill="auto"/>
            <w:vAlign w:val="center"/>
            <w:hideMark/>
          </w:tcPr>
          <w:p w14:paraId="615A9924" w14:textId="77777777" w:rsidR="00D14058" w:rsidRPr="0099051B" w:rsidRDefault="00D14058" w:rsidP="00D14058">
            <w:pPr>
              <w:spacing w:after="0" w:line="240" w:lineRule="auto"/>
              <w:jc w:val="left"/>
              <w:rPr>
                <w:rFonts w:ascii="Arial" w:hAnsi="Arial" w:cs="Arial"/>
                <w:sz w:val="16"/>
                <w:szCs w:val="16"/>
              </w:rPr>
            </w:pPr>
            <w:r w:rsidRPr="0099051B">
              <w:rPr>
                <w:rFonts w:ascii="Arial" w:hAnsi="Arial" w:cs="Arial"/>
                <w:sz w:val="16"/>
                <w:szCs w:val="16"/>
              </w:rPr>
              <w:t>Cash from Official Public Account for:</w:t>
            </w:r>
          </w:p>
        </w:tc>
        <w:tc>
          <w:tcPr>
            <w:tcW w:w="1035" w:type="dxa"/>
            <w:tcBorders>
              <w:top w:val="nil"/>
              <w:left w:val="nil"/>
              <w:bottom w:val="nil"/>
              <w:right w:val="nil"/>
            </w:tcBorders>
            <w:shd w:val="clear" w:color="auto" w:fill="auto"/>
            <w:noWrap/>
            <w:vAlign w:val="bottom"/>
            <w:hideMark/>
          </w:tcPr>
          <w:p w14:paraId="6BB1E320" w14:textId="77777777" w:rsidR="00D14058" w:rsidRPr="00D14058" w:rsidRDefault="00D14058" w:rsidP="00D14058">
            <w:pPr>
              <w:spacing w:after="0" w:line="240" w:lineRule="auto"/>
              <w:ind w:firstLineChars="100" w:firstLine="160"/>
              <w:jc w:val="right"/>
              <w:rPr>
                <w:rFonts w:ascii="Arial" w:hAnsi="Arial" w:cs="Arial"/>
                <w:color w:val="000000"/>
                <w:sz w:val="16"/>
                <w:szCs w:val="16"/>
              </w:rPr>
            </w:pPr>
          </w:p>
        </w:tc>
        <w:tc>
          <w:tcPr>
            <w:tcW w:w="1035" w:type="dxa"/>
            <w:tcBorders>
              <w:top w:val="nil"/>
              <w:left w:val="nil"/>
              <w:bottom w:val="nil"/>
              <w:right w:val="nil"/>
            </w:tcBorders>
            <w:shd w:val="clear" w:color="000000" w:fill="E6E6E6"/>
            <w:noWrap/>
            <w:vAlign w:val="bottom"/>
            <w:hideMark/>
          </w:tcPr>
          <w:p w14:paraId="226335CB" w14:textId="2A0F89C0"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w:t>
            </w:r>
          </w:p>
        </w:tc>
        <w:tc>
          <w:tcPr>
            <w:tcW w:w="1124" w:type="dxa"/>
            <w:tcBorders>
              <w:top w:val="nil"/>
              <w:left w:val="nil"/>
              <w:bottom w:val="nil"/>
              <w:right w:val="nil"/>
            </w:tcBorders>
            <w:shd w:val="clear" w:color="auto" w:fill="auto"/>
            <w:noWrap/>
            <w:vAlign w:val="bottom"/>
            <w:hideMark/>
          </w:tcPr>
          <w:p w14:paraId="53136744" w14:textId="77777777" w:rsidR="00D14058" w:rsidRPr="00D14058" w:rsidRDefault="00D14058" w:rsidP="00D14058">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2A6D7039" w14:textId="77777777" w:rsidR="00D14058" w:rsidRPr="00D14058" w:rsidRDefault="00D14058" w:rsidP="00D14058">
            <w:pPr>
              <w:spacing w:after="0" w:line="240" w:lineRule="auto"/>
              <w:jc w:val="right"/>
              <w:rPr>
                <w:rFonts w:ascii="Times New Roman" w:hAnsi="Times New Roman"/>
                <w:sz w:val="16"/>
                <w:szCs w:val="16"/>
              </w:rPr>
            </w:pPr>
          </w:p>
        </w:tc>
        <w:tc>
          <w:tcPr>
            <w:tcW w:w="1124" w:type="dxa"/>
            <w:tcBorders>
              <w:top w:val="nil"/>
              <w:left w:val="nil"/>
              <w:bottom w:val="nil"/>
              <w:right w:val="nil"/>
            </w:tcBorders>
            <w:shd w:val="clear" w:color="auto" w:fill="auto"/>
            <w:noWrap/>
            <w:vAlign w:val="bottom"/>
            <w:hideMark/>
          </w:tcPr>
          <w:p w14:paraId="4377105A" w14:textId="77777777" w:rsidR="00D14058" w:rsidRPr="00D14058" w:rsidRDefault="00D14058" w:rsidP="00D14058">
            <w:pPr>
              <w:spacing w:after="0" w:line="240" w:lineRule="auto"/>
              <w:jc w:val="right"/>
              <w:rPr>
                <w:rFonts w:ascii="Times New Roman" w:hAnsi="Times New Roman"/>
                <w:sz w:val="16"/>
                <w:szCs w:val="16"/>
              </w:rPr>
            </w:pPr>
          </w:p>
        </w:tc>
      </w:tr>
      <w:tr w:rsidR="00D14058" w:rsidRPr="0099051B" w14:paraId="1CF09BBD" w14:textId="77777777" w:rsidTr="0092501F">
        <w:trPr>
          <w:trHeight w:val="204"/>
        </w:trPr>
        <w:tc>
          <w:tcPr>
            <w:tcW w:w="2268" w:type="dxa"/>
            <w:tcBorders>
              <w:top w:val="nil"/>
              <w:left w:val="nil"/>
              <w:bottom w:val="nil"/>
              <w:right w:val="nil"/>
            </w:tcBorders>
            <w:shd w:val="clear" w:color="auto" w:fill="auto"/>
            <w:noWrap/>
            <w:vAlign w:val="center"/>
            <w:hideMark/>
          </w:tcPr>
          <w:p w14:paraId="298BE0EC" w14:textId="599A125F" w:rsidR="00D14058" w:rsidRPr="0099051B" w:rsidRDefault="00D14058" w:rsidP="00D14058">
            <w:pPr>
              <w:spacing w:after="0" w:line="240" w:lineRule="auto"/>
              <w:ind w:left="113"/>
              <w:jc w:val="left"/>
              <w:rPr>
                <w:rFonts w:ascii="Arial" w:hAnsi="Arial" w:cs="Arial"/>
                <w:color w:val="000000"/>
                <w:sz w:val="16"/>
                <w:szCs w:val="16"/>
              </w:rPr>
            </w:pPr>
            <w:r>
              <w:rPr>
                <w:rFonts w:ascii="Arial" w:hAnsi="Arial" w:cs="Arial"/>
                <w:color w:val="000000"/>
                <w:sz w:val="16"/>
                <w:szCs w:val="16"/>
              </w:rPr>
              <w:t xml:space="preserve">- </w:t>
            </w:r>
            <w:r w:rsidRPr="0099051B">
              <w:rPr>
                <w:rFonts w:ascii="Arial" w:hAnsi="Arial" w:cs="Arial"/>
                <w:color w:val="000000"/>
                <w:sz w:val="16"/>
                <w:szCs w:val="16"/>
              </w:rPr>
              <w:t>Appropriations</w:t>
            </w:r>
          </w:p>
        </w:tc>
        <w:tc>
          <w:tcPr>
            <w:tcW w:w="1035" w:type="dxa"/>
            <w:tcBorders>
              <w:top w:val="nil"/>
              <w:left w:val="nil"/>
              <w:bottom w:val="nil"/>
              <w:right w:val="nil"/>
            </w:tcBorders>
            <w:shd w:val="clear" w:color="auto" w:fill="auto"/>
            <w:noWrap/>
            <w:vAlign w:val="bottom"/>
            <w:hideMark/>
          </w:tcPr>
          <w:p w14:paraId="764076FA" w14:textId="59B2C35E"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11,738,805 </w:t>
            </w:r>
          </w:p>
        </w:tc>
        <w:tc>
          <w:tcPr>
            <w:tcW w:w="1035" w:type="dxa"/>
            <w:tcBorders>
              <w:top w:val="nil"/>
              <w:left w:val="nil"/>
              <w:bottom w:val="nil"/>
              <w:right w:val="nil"/>
            </w:tcBorders>
            <w:shd w:val="clear" w:color="000000" w:fill="E6E6E6"/>
            <w:noWrap/>
            <w:vAlign w:val="bottom"/>
            <w:hideMark/>
          </w:tcPr>
          <w:p w14:paraId="22214C55" w14:textId="57744D55"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11,209,704 </w:t>
            </w:r>
          </w:p>
        </w:tc>
        <w:tc>
          <w:tcPr>
            <w:tcW w:w="1124" w:type="dxa"/>
            <w:tcBorders>
              <w:top w:val="nil"/>
              <w:left w:val="nil"/>
              <w:bottom w:val="nil"/>
              <w:right w:val="nil"/>
            </w:tcBorders>
            <w:shd w:val="clear" w:color="auto" w:fill="auto"/>
            <w:noWrap/>
            <w:vAlign w:val="bottom"/>
            <w:hideMark/>
          </w:tcPr>
          <w:p w14:paraId="727A27ED" w14:textId="3A79B0A9"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14,736,915 </w:t>
            </w:r>
          </w:p>
        </w:tc>
        <w:tc>
          <w:tcPr>
            <w:tcW w:w="1035" w:type="dxa"/>
            <w:tcBorders>
              <w:top w:val="nil"/>
              <w:left w:val="nil"/>
              <w:bottom w:val="nil"/>
              <w:right w:val="nil"/>
            </w:tcBorders>
            <w:shd w:val="clear" w:color="auto" w:fill="auto"/>
            <w:noWrap/>
            <w:vAlign w:val="bottom"/>
            <w:hideMark/>
          </w:tcPr>
          <w:p w14:paraId="535AA123" w14:textId="34CF64F1"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13,860,487 </w:t>
            </w:r>
          </w:p>
        </w:tc>
        <w:tc>
          <w:tcPr>
            <w:tcW w:w="1124" w:type="dxa"/>
            <w:tcBorders>
              <w:top w:val="nil"/>
              <w:left w:val="nil"/>
              <w:bottom w:val="nil"/>
              <w:right w:val="nil"/>
            </w:tcBorders>
            <w:shd w:val="clear" w:color="auto" w:fill="auto"/>
            <w:noWrap/>
            <w:vAlign w:val="bottom"/>
            <w:hideMark/>
          </w:tcPr>
          <w:p w14:paraId="56E4A73C" w14:textId="6EE2FC63"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xml:space="preserve">12,084,697 </w:t>
            </w:r>
          </w:p>
        </w:tc>
      </w:tr>
      <w:tr w:rsidR="00D14058" w:rsidRPr="0099051B" w14:paraId="748B4ECC" w14:textId="77777777" w:rsidTr="0092501F">
        <w:trPr>
          <w:trHeight w:val="204"/>
        </w:trPr>
        <w:tc>
          <w:tcPr>
            <w:tcW w:w="2268" w:type="dxa"/>
            <w:tcBorders>
              <w:top w:val="nil"/>
              <w:left w:val="nil"/>
              <w:bottom w:val="nil"/>
              <w:right w:val="nil"/>
            </w:tcBorders>
            <w:shd w:val="clear" w:color="auto" w:fill="auto"/>
            <w:vAlign w:val="center"/>
            <w:hideMark/>
          </w:tcPr>
          <w:p w14:paraId="55936D90" w14:textId="77777777" w:rsidR="00D14058" w:rsidRPr="0099051B" w:rsidRDefault="00D14058" w:rsidP="00D14058">
            <w:pPr>
              <w:spacing w:after="0" w:line="240" w:lineRule="auto"/>
              <w:jc w:val="left"/>
              <w:rPr>
                <w:rFonts w:ascii="Arial" w:hAnsi="Arial" w:cs="Arial"/>
                <w:i/>
                <w:iCs/>
                <w:color w:val="000000"/>
                <w:sz w:val="16"/>
                <w:szCs w:val="16"/>
              </w:rPr>
            </w:pPr>
            <w:r w:rsidRPr="0099051B">
              <w:rPr>
                <w:rFonts w:ascii="Arial" w:hAnsi="Arial" w:cs="Arial"/>
                <w:i/>
                <w:iCs/>
                <w:color w:val="000000"/>
                <w:sz w:val="16"/>
                <w:szCs w:val="16"/>
              </w:rPr>
              <w:t>Total cash from Official Public Account</w:t>
            </w:r>
          </w:p>
        </w:tc>
        <w:tc>
          <w:tcPr>
            <w:tcW w:w="1035" w:type="dxa"/>
            <w:tcBorders>
              <w:top w:val="single" w:sz="4" w:space="0" w:color="000000"/>
              <w:left w:val="nil"/>
              <w:bottom w:val="nil"/>
              <w:right w:val="nil"/>
            </w:tcBorders>
            <w:shd w:val="clear" w:color="000000" w:fill="FFFFFF"/>
            <w:noWrap/>
            <w:vAlign w:val="bottom"/>
            <w:hideMark/>
          </w:tcPr>
          <w:p w14:paraId="13DF073B" w14:textId="3CE78C93" w:rsidR="00D14058" w:rsidRPr="00D14058" w:rsidRDefault="00D14058" w:rsidP="00D14058">
            <w:pPr>
              <w:spacing w:after="0" w:line="240" w:lineRule="auto"/>
              <w:jc w:val="right"/>
              <w:rPr>
                <w:rFonts w:ascii="Arial" w:hAnsi="Arial" w:cs="Arial"/>
                <w:i/>
                <w:iCs/>
                <w:color w:val="000000"/>
                <w:sz w:val="16"/>
                <w:szCs w:val="16"/>
              </w:rPr>
            </w:pPr>
            <w:r w:rsidRPr="00D14058">
              <w:rPr>
                <w:rFonts w:ascii="Arial" w:hAnsi="Arial" w:cs="Arial"/>
                <w:i/>
                <w:iCs/>
                <w:color w:val="000000"/>
                <w:sz w:val="16"/>
                <w:szCs w:val="16"/>
              </w:rPr>
              <w:t xml:space="preserve">11,738,805 </w:t>
            </w:r>
          </w:p>
        </w:tc>
        <w:tc>
          <w:tcPr>
            <w:tcW w:w="1035" w:type="dxa"/>
            <w:tcBorders>
              <w:top w:val="single" w:sz="4" w:space="0" w:color="000000"/>
              <w:left w:val="nil"/>
              <w:bottom w:val="nil"/>
              <w:right w:val="nil"/>
            </w:tcBorders>
            <w:shd w:val="clear" w:color="000000" w:fill="E6E6E6"/>
            <w:noWrap/>
            <w:vAlign w:val="bottom"/>
            <w:hideMark/>
          </w:tcPr>
          <w:p w14:paraId="6E2514B5" w14:textId="5BDAEA7F" w:rsidR="00D14058" w:rsidRPr="00D14058" w:rsidRDefault="00D14058" w:rsidP="00D14058">
            <w:pPr>
              <w:spacing w:after="0" w:line="240" w:lineRule="auto"/>
              <w:jc w:val="right"/>
              <w:rPr>
                <w:rFonts w:ascii="Arial" w:hAnsi="Arial" w:cs="Arial"/>
                <w:i/>
                <w:iCs/>
                <w:color w:val="000000"/>
                <w:sz w:val="16"/>
                <w:szCs w:val="16"/>
              </w:rPr>
            </w:pPr>
            <w:r w:rsidRPr="00D14058">
              <w:rPr>
                <w:rFonts w:ascii="Arial" w:hAnsi="Arial" w:cs="Arial"/>
                <w:i/>
                <w:iCs/>
                <w:color w:val="000000"/>
                <w:sz w:val="16"/>
                <w:szCs w:val="16"/>
              </w:rPr>
              <w:t xml:space="preserve">11,209,704 </w:t>
            </w:r>
          </w:p>
        </w:tc>
        <w:tc>
          <w:tcPr>
            <w:tcW w:w="1124" w:type="dxa"/>
            <w:tcBorders>
              <w:top w:val="single" w:sz="4" w:space="0" w:color="000000"/>
              <w:left w:val="nil"/>
              <w:bottom w:val="nil"/>
              <w:right w:val="nil"/>
            </w:tcBorders>
            <w:shd w:val="clear" w:color="auto" w:fill="auto"/>
            <w:noWrap/>
            <w:vAlign w:val="bottom"/>
            <w:hideMark/>
          </w:tcPr>
          <w:p w14:paraId="1F985F63" w14:textId="07128580" w:rsidR="00D14058" w:rsidRPr="00D14058" w:rsidRDefault="00D14058" w:rsidP="00D14058">
            <w:pPr>
              <w:spacing w:after="0" w:line="240" w:lineRule="auto"/>
              <w:jc w:val="right"/>
              <w:rPr>
                <w:rFonts w:ascii="Arial" w:hAnsi="Arial" w:cs="Arial"/>
                <w:i/>
                <w:iCs/>
                <w:color w:val="000000"/>
                <w:sz w:val="16"/>
                <w:szCs w:val="16"/>
              </w:rPr>
            </w:pPr>
            <w:r w:rsidRPr="00D14058">
              <w:rPr>
                <w:rFonts w:ascii="Arial" w:hAnsi="Arial" w:cs="Arial"/>
                <w:i/>
                <w:iCs/>
                <w:color w:val="000000"/>
                <w:sz w:val="16"/>
                <w:szCs w:val="16"/>
              </w:rPr>
              <w:t xml:space="preserve">14,736,915 </w:t>
            </w:r>
          </w:p>
        </w:tc>
        <w:tc>
          <w:tcPr>
            <w:tcW w:w="1035" w:type="dxa"/>
            <w:tcBorders>
              <w:top w:val="single" w:sz="4" w:space="0" w:color="000000"/>
              <w:left w:val="nil"/>
              <w:bottom w:val="nil"/>
              <w:right w:val="nil"/>
            </w:tcBorders>
            <w:shd w:val="clear" w:color="auto" w:fill="auto"/>
            <w:noWrap/>
            <w:vAlign w:val="bottom"/>
            <w:hideMark/>
          </w:tcPr>
          <w:p w14:paraId="339027B7" w14:textId="2832D81D" w:rsidR="00D14058" w:rsidRPr="00D14058" w:rsidRDefault="00D14058" w:rsidP="00D14058">
            <w:pPr>
              <w:spacing w:after="0" w:line="240" w:lineRule="auto"/>
              <w:jc w:val="right"/>
              <w:rPr>
                <w:rFonts w:ascii="Arial" w:hAnsi="Arial" w:cs="Arial"/>
                <w:i/>
                <w:iCs/>
                <w:color w:val="000000"/>
                <w:sz w:val="16"/>
                <w:szCs w:val="16"/>
              </w:rPr>
            </w:pPr>
            <w:r w:rsidRPr="00D14058">
              <w:rPr>
                <w:rFonts w:ascii="Arial" w:hAnsi="Arial" w:cs="Arial"/>
                <w:i/>
                <w:iCs/>
                <w:color w:val="000000"/>
                <w:sz w:val="16"/>
                <w:szCs w:val="16"/>
              </w:rPr>
              <w:t xml:space="preserve">13,860,487 </w:t>
            </w:r>
          </w:p>
        </w:tc>
        <w:tc>
          <w:tcPr>
            <w:tcW w:w="1124" w:type="dxa"/>
            <w:tcBorders>
              <w:top w:val="single" w:sz="4" w:space="0" w:color="000000"/>
              <w:left w:val="nil"/>
              <w:bottom w:val="nil"/>
              <w:right w:val="nil"/>
            </w:tcBorders>
            <w:shd w:val="clear" w:color="auto" w:fill="auto"/>
            <w:noWrap/>
            <w:vAlign w:val="bottom"/>
            <w:hideMark/>
          </w:tcPr>
          <w:p w14:paraId="3C506DA6" w14:textId="39DD3397" w:rsidR="00D14058" w:rsidRPr="00D14058" w:rsidRDefault="00D14058" w:rsidP="00D14058">
            <w:pPr>
              <w:spacing w:after="0" w:line="240" w:lineRule="auto"/>
              <w:jc w:val="right"/>
              <w:rPr>
                <w:rFonts w:ascii="Arial" w:hAnsi="Arial" w:cs="Arial"/>
                <w:i/>
                <w:iCs/>
                <w:color w:val="000000"/>
                <w:sz w:val="16"/>
                <w:szCs w:val="16"/>
              </w:rPr>
            </w:pPr>
            <w:r w:rsidRPr="00D14058">
              <w:rPr>
                <w:rFonts w:ascii="Arial" w:hAnsi="Arial" w:cs="Arial"/>
                <w:i/>
                <w:iCs/>
                <w:color w:val="000000"/>
                <w:sz w:val="16"/>
                <w:szCs w:val="16"/>
              </w:rPr>
              <w:t xml:space="preserve">12,084,697 </w:t>
            </w:r>
          </w:p>
        </w:tc>
      </w:tr>
      <w:tr w:rsidR="00D14058" w:rsidRPr="0099051B" w14:paraId="5AD84732" w14:textId="77777777" w:rsidTr="0092501F">
        <w:trPr>
          <w:trHeight w:val="204"/>
        </w:trPr>
        <w:tc>
          <w:tcPr>
            <w:tcW w:w="2268" w:type="dxa"/>
            <w:tcBorders>
              <w:top w:val="nil"/>
              <w:left w:val="nil"/>
              <w:bottom w:val="nil"/>
              <w:right w:val="nil"/>
            </w:tcBorders>
            <w:shd w:val="clear" w:color="auto" w:fill="auto"/>
            <w:noWrap/>
            <w:vAlign w:val="center"/>
            <w:hideMark/>
          </w:tcPr>
          <w:p w14:paraId="1F5ACB9E" w14:textId="77777777" w:rsidR="00D14058" w:rsidRPr="0099051B" w:rsidRDefault="00D14058" w:rsidP="00D14058">
            <w:pPr>
              <w:spacing w:after="0" w:line="240" w:lineRule="auto"/>
              <w:jc w:val="left"/>
              <w:rPr>
                <w:rFonts w:ascii="Arial" w:hAnsi="Arial" w:cs="Arial"/>
                <w:color w:val="000000"/>
                <w:sz w:val="16"/>
                <w:szCs w:val="16"/>
              </w:rPr>
            </w:pPr>
            <w:r w:rsidRPr="0099051B">
              <w:rPr>
                <w:rFonts w:ascii="Arial" w:hAnsi="Arial" w:cs="Arial"/>
                <w:color w:val="000000"/>
                <w:sz w:val="16"/>
                <w:szCs w:val="16"/>
              </w:rPr>
              <w:t>Cash to Official Public Account for:</w:t>
            </w:r>
          </w:p>
        </w:tc>
        <w:tc>
          <w:tcPr>
            <w:tcW w:w="1035" w:type="dxa"/>
            <w:tcBorders>
              <w:top w:val="single" w:sz="4" w:space="0" w:color="auto"/>
              <w:left w:val="nil"/>
              <w:bottom w:val="nil"/>
              <w:right w:val="nil"/>
            </w:tcBorders>
            <w:shd w:val="clear" w:color="auto" w:fill="auto"/>
            <w:noWrap/>
            <w:vAlign w:val="bottom"/>
            <w:hideMark/>
          </w:tcPr>
          <w:p w14:paraId="79422843" w14:textId="7610F5DA"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w:t>
            </w:r>
          </w:p>
        </w:tc>
        <w:tc>
          <w:tcPr>
            <w:tcW w:w="1035" w:type="dxa"/>
            <w:tcBorders>
              <w:top w:val="single" w:sz="4" w:space="0" w:color="auto"/>
              <w:left w:val="nil"/>
              <w:bottom w:val="nil"/>
              <w:right w:val="nil"/>
            </w:tcBorders>
            <w:shd w:val="clear" w:color="000000" w:fill="E6E6E6"/>
            <w:noWrap/>
            <w:vAlign w:val="bottom"/>
            <w:hideMark/>
          </w:tcPr>
          <w:p w14:paraId="7A0F978F" w14:textId="03B4AFC6"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w:t>
            </w:r>
          </w:p>
        </w:tc>
        <w:tc>
          <w:tcPr>
            <w:tcW w:w="1124" w:type="dxa"/>
            <w:tcBorders>
              <w:top w:val="single" w:sz="4" w:space="0" w:color="auto"/>
              <w:left w:val="nil"/>
              <w:bottom w:val="nil"/>
              <w:right w:val="nil"/>
            </w:tcBorders>
            <w:shd w:val="clear" w:color="auto" w:fill="auto"/>
            <w:noWrap/>
            <w:vAlign w:val="bottom"/>
            <w:hideMark/>
          </w:tcPr>
          <w:p w14:paraId="433647A7" w14:textId="45C7F0E8"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w:t>
            </w:r>
          </w:p>
        </w:tc>
        <w:tc>
          <w:tcPr>
            <w:tcW w:w="1035" w:type="dxa"/>
            <w:tcBorders>
              <w:top w:val="single" w:sz="4" w:space="0" w:color="auto"/>
              <w:left w:val="nil"/>
              <w:bottom w:val="nil"/>
              <w:right w:val="nil"/>
            </w:tcBorders>
            <w:shd w:val="clear" w:color="auto" w:fill="auto"/>
            <w:noWrap/>
            <w:vAlign w:val="bottom"/>
            <w:hideMark/>
          </w:tcPr>
          <w:p w14:paraId="1467B181" w14:textId="2271D40B"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w:t>
            </w:r>
          </w:p>
        </w:tc>
        <w:tc>
          <w:tcPr>
            <w:tcW w:w="1124" w:type="dxa"/>
            <w:tcBorders>
              <w:top w:val="single" w:sz="4" w:space="0" w:color="auto"/>
              <w:left w:val="nil"/>
              <w:bottom w:val="nil"/>
              <w:right w:val="nil"/>
            </w:tcBorders>
            <w:shd w:val="clear" w:color="auto" w:fill="auto"/>
            <w:noWrap/>
            <w:vAlign w:val="bottom"/>
            <w:hideMark/>
          </w:tcPr>
          <w:p w14:paraId="6911618D" w14:textId="03E062B9"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 </w:t>
            </w:r>
          </w:p>
        </w:tc>
      </w:tr>
      <w:tr w:rsidR="00D14058" w:rsidRPr="0099051B" w14:paraId="5FF0C997" w14:textId="77777777" w:rsidTr="0092501F">
        <w:trPr>
          <w:trHeight w:val="204"/>
        </w:trPr>
        <w:tc>
          <w:tcPr>
            <w:tcW w:w="2268" w:type="dxa"/>
            <w:tcBorders>
              <w:top w:val="nil"/>
              <w:left w:val="nil"/>
              <w:bottom w:val="nil"/>
              <w:right w:val="nil"/>
            </w:tcBorders>
            <w:shd w:val="clear" w:color="auto" w:fill="auto"/>
            <w:noWrap/>
            <w:vAlign w:val="center"/>
            <w:hideMark/>
          </w:tcPr>
          <w:p w14:paraId="3630355D" w14:textId="77777777" w:rsidR="00D14058" w:rsidRPr="0099051B" w:rsidRDefault="00D14058" w:rsidP="00D14058">
            <w:pPr>
              <w:spacing w:after="0" w:line="240" w:lineRule="auto"/>
              <w:ind w:left="113"/>
              <w:jc w:val="left"/>
              <w:rPr>
                <w:rFonts w:ascii="Arial" w:hAnsi="Arial" w:cs="Arial"/>
                <w:color w:val="000000"/>
                <w:sz w:val="16"/>
                <w:szCs w:val="16"/>
              </w:rPr>
            </w:pPr>
            <w:r w:rsidRPr="0099051B">
              <w:rPr>
                <w:rFonts w:ascii="Arial" w:hAnsi="Arial" w:cs="Arial"/>
                <w:color w:val="000000"/>
                <w:sz w:val="16"/>
                <w:szCs w:val="16"/>
              </w:rPr>
              <w:t>Appropriations</w:t>
            </w:r>
          </w:p>
        </w:tc>
        <w:tc>
          <w:tcPr>
            <w:tcW w:w="1035" w:type="dxa"/>
            <w:tcBorders>
              <w:top w:val="nil"/>
              <w:left w:val="nil"/>
              <w:bottom w:val="nil"/>
              <w:right w:val="nil"/>
            </w:tcBorders>
            <w:shd w:val="clear" w:color="auto" w:fill="auto"/>
            <w:noWrap/>
            <w:vAlign w:val="bottom"/>
            <w:hideMark/>
          </w:tcPr>
          <w:p w14:paraId="727BEF59" w14:textId="47883A39"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(7,517,635)</w:t>
            </w:r>
          </w:p>
        </w:tc>
        <w:tc>
          <w:tcPr>
            <w:tcW w:w="1035" w:type="dxa"/>
            <w:tcBorders>
              <w:top w:val="nil"/>
              <w:left w:val="nil"/>
              <w:bottom w:val="nil"/>
              <w:right w:val="nil"/>
            </w:tcBorders>
            <w:shd w:val="clear" w:color="000000" w:fill="E6E6E6"/>
            <w:noWrap/>
            <w:vAlign w:val="bottom"/>
            <w:hideMark/>
          </w:tcPr>
          <w:p w14:paraId="179A1CE0" w14:textId="23B73151"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(6,071,560)</w:t>
            </w:r>
          </w:p>
        </w:tc>
        <w:tc>
          <w:tcPr>
            <w:tcW w:w="1124" w:type="dxa"/>
            <w:tcBorders>
              <w:top w:val="nil"/>
              <w:left w:val="nil"/>
              <w:bottom w:val="nil"/>
              <w:right w:val="nil"/>
            </w:tcBorders>
            <w:shd w:val="clear" w:color="auto" w:fill="auto"/>
            <w:noWrap/>
            <w:vAlign w:val="bottom"/>
            <w:hideMark/>
          </w:tcPr>
          <w:p w14:paraId="0E527473" w14:textId="7C3803DF"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(375,915)</w:t>
            </w:r>
          </w:p>
        </w:tc>
        <w:tc>
          <w:tcPr>
            <w:tcW w:w="1035" w:type="dxa"/>
            <w:tcBorders>
              <w:top w:val="nil"/>
              <w:left w:val="nil"/>
              <w:bottom w:val="nil"/>
              <w:right w:val="nil"/>
            </w:tcBorders>
            <w:shd w:val="clear" w:color="auto" w:fill="auto"/>
            <w:noWrap/>
            <w:vAlign w:val="bottom"/>
            <w:hideMark/>
          </w:tcPr>
          <w:p w14:paraId="0C4A26AA" w14:textId="7C7B7B84"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(8,081,731)</w:t>
            </w:r>
          </w:p>
        </w:tc>
        <w:tc>
          <w:tcPr>
            <w:tcW w:w="1124" w:type="dxa"/>
            <w:tcBorders>
              <w:top w:val="nil"/>
              <w:left w:val="nil"/>
              <w:bottom w:val="nil"/>
              <w:right w:val="nil"/>
            </w:tcBorders>
            <w:shd w:val="clear" w:color="auto" w:fill="auto"/>
            <w:noWrap/>
            <w:vAlign w:val="bottom"/>
            <w:hideMark/>
          </w:tcPr>
          <w:p w14:paraId="13B9F4CB" w14:textId="7FD2A6D3" w:rsidR="00D14058" w:rsidRPr="00D14058" w:rsidRDefault="00D14058" w:rsidP="00D14058">
            <w:pPr>
              <w:spacing w:after="0" w:line="240" w:lineRule="auto"/>
              <w:jc w:val="right"/>
              <w:rPr>
                <w:rFonts w:ascii="Arial" w:hAnsi="Arial" w:cs="Arial"/>
                <w:color w:val="000000"/>
                <w:sz w:val="16"/>
                <w:szCs w:val="16"/>
              </w:rPr>
            </w:pPr>
            <w:r w:rsidRPr="00D14058">
              <w:rPr>
                <w:rFonts w:ascii="Arial" w:hAnsi="Arial" w:cs="Arial"/>
                <w:color w:val="000000"/>
                <w:sz w:val="16"/>
                <w:szCs w:val="16"/>
              </w:rPr>
              <w:t>(252,004)</w:t>
            </w:r>
          </w:p>
        </w:tc>
      </w:tr>
      <w:tr w:rsidR="00D14058" w:rsidRPr="0099051B" w14:paraId="2EA3328C" w14:textId="77777777" w:rsidTr="0092501F">
        <w:trPr>
          <w:trHeight w:val="204"/>
        </w:trPr>
        <w:tc>
          <w:tcPr>
            <w:tcW w:w="2268" w:type="dxa"/>
            <w:tcBorders>
              <w:top w:val="nil"/>
              <w:left w:val="nil"/>
              <w:bottom w:val="nil"/>
              <w:right w:val="nil"/>
            </w:tcBorders>
            <w:shd w:val="clear" w:color="auto" w:fill="auto"/>
            <w:vAlign w:val="center"/>
            <w:hideMark/>
          </w:tcPr>
          <w:p w14:paraId="33728863" w14:textId="77777777" w:rsidR="00D14058" w:rsidRPr="0099051B" w:rsidRDefault="00D14058" w:rsidP="00D14058">
            <w:pPr>
              <w:spacing w:after="0" w:line="240" w:lineRule="auto"/>
              <w:jc w:val="left"/>
              <w:rPr>
                <w:rFonts w:ascii="Arial" w:hAnsi="Arial" w:cs="Arial"/>
                <w:i/>
                <w:iCs/>
                <w:color w:val="000000"/>
                <w:sz w:val="16"/>
                <w:szCs w:val="16"/>
              </w:rPr>
            </w:pPr>
            <w:r w:rsidRPr="0099051B">
              <w:rPr>
                <w:rFonts w:ascii="Arial" w:hAnsi="Arial" w:cs="Arial"/>
                <w:i/>
                <w:iCs/>
                <w:color w:val="000000"/>
                <w:sz w:val="16"/>
                <w:szCs w:val="16"/>
              </w:rPr>
              <w:t>Total cash to Official Public Account</w:t>
            </w:r>
          </w:p>
        </w:tc>
        <w:tc>
          <w:tcPr>
            <w:tcW w:w="1035" w:type="dxa"/>
            <w:tcBorders>
              <w:top w:val="single" w:sz="4" w:space="0" w:color="000000"/>
              <w:left w:val="nil"/>
              <w:bottom w:val="nil"/>
              <w:right w:val="nil"/>
            </w:tcBorders>
            <w:shd w:val="clear" w:color="auto" w:fill="auto"/>
            <w:noWrap/>
            <w:vAlign w:val="bottom"/>
            <w:hideMark/>
          </w:tcPr>
          <w:p w14:paraId="4BE71255" w14:textId="52709A69" w:rsidR="00D14058" w:rsidRPr="00D14058" w:rsidRDefault="00D14058" w:rsidP="00D14058">
            <w:pPr>
              <w:spacing w:after="0" w:line="240" w:lineRule="auto"/>
              <w:jc w:val="right"/>
              <w:rPr>
                <w:rFonts w:ascii="Arial" w:hAnsi="Arial" w:cs="Arial"/>
                <w:i/>
                <w:iCs/>
                <w:color w:val="000000"/>
                <w:sz w:val="16"/>
                <w:szCs w:val="16"/>
              </w:rPr>
            </w:pPr>
            <w:r w:rsidRPr="00D14058">
              <w:rPr>
                <w:rFonts w:ascii="Arial" w:hAnsi="Arial" w:cs="Arial"/>
                <w:i/>
                <w:iCs/>
                <w:color w:val="000000"/>
                <w:sz w:val="16"/>
                <w:szCs w:val="16"/>
              </w:rPr>
              <w:t>(7,517,635)</w:t>
            </w:r>
          </w:p>
        </w:tc>
        <w:tc>
          <w:tcPr>
            <w:tcW w:w="1035" w:type="dxa"/>
            <w:tcBorders>
              <w:top w:val="single" w:sz="4" w:space="0" w:color="000000"/>
              <w:left w:val="nil"/>
              <w:bottom w:val="nil"/>
              <w:right w:val="nil"/>
            </w:tcBorders>
            <w:shd w:val="clear" w:color="000000" w:fill="E6E6E6"/>
            <w:noWrap/>
            <w:vAlign w:val="bottom"/>
            <w:hideMark/>
          </w:tcPr>
          <w:p w14:paraId="7AB734F2" w14:textId="73AB4D47" w:rsidR="00D14058" w:rsidRPr="00D14058" w:rsidRDefault="00D14058" w:rsidP="00D14058">
            <w:pPr>
              <w:spacing w:after="0" w:line="240" w:lineRule="auto"/>
              <w:jc w:val="right"/>
              <w:rPr>
                <w:rFonts w:ascii="Arial" w:hAnsi="Arial" w:cs="Arial"/>
                <w:i/>
                <w:iCs/>
                <w:color w:val="000000"/>
                <w:sz w:val="16"/>
                <w:szCs w:val="16"/>
              </w:rPr>
            </w:pPr>
            <w:r w:rsidRPr="00D14058">
              <w:rPr>
                <w:rFonts w:ascii="Arial" w:hAnsi="Arial" w:cs="Arial"/>
                <w:i/>
                <w:iCs/>
                <w:color w:val="000000"/>
                <w:sz w:val="16"/>
                <w:szCs w:val="16"/>
              </w:rPr>
              <w:t>(6,071,560)</w:t>
            </w:r>
          </w:p>
        </w:tc>
        <w:tc>
          <w:tcPr>
            <w:tcW w:w="1124" w:type="dxa"/>
            <w:tcBorders>
              <w:top w:val="single" w:sz="4" w:space="0" w:color="000000"/>
              <w:left w:val="nil"/>
              <w:bottom w:val="nil"/>
              <w:right w:val="nil"/>
            </w:tcBorders>
            <w:shd w:val="clear" w:color="auto" w:fill="auto"/>
            <w:noWrap/>
            <w:vAlign w:val="bottom"/>
            <w:hideMark/>
          </w:tcPr>
          <w:p w14:paraId="61772199" w14:textId="30651F0B" w:rsidR="00D14058" w:rsidRPr="00D14058" w:rsidRDefault="00D14058" w:rsidP="00D14058">
            <w:pPr>
              <w:spacing w:after="0" w:line="240" w:lineRule="auto"/>
              <w:jc w:val="right"/>
              <w:rPr>
                <w:rFonts w:ascii="Arial" w:hAnsi="Arial" w:cs="Arial"/>
                <w:i/>
                <w:iCs/>
                <w:color w:val="000000"/>
                <w:sz w:val="16"/>
                <w:szCs w:val="16"/>
              </w:rPr>
            </w:pPr>
            <w:r w:rsidRPr="00D14058">
              <w:rPr>
                <w:rFonts w:ascii="Arial" w:hAnsi="Arial" w:cs="Arial"/>
                <w:i/>
                <w:iCs/>
                <w:color w:val="000000"/>
                <w:sz w:val="16"/>
                <w:szCs w:val="16"/>
              </w:rPr>
              <w:t>(375,915)</w:t>
            </w:r>
          </w:p>
        </w:tc>
        <w:tc>
          <w:tcPr>
            <w:tcW w:w="1035" w:type="dxa"/>
            <w:tcBorders>
              <w:top w:val="single" w:sz="4" w:space="0" w:color="000000"/>
              <w:left w:val="nil"/>
              <w:bottom w:val="nil"/>
              <w:right w:val="nil"/>
            </w:tcBorders>
            <w:shd w:val="clear" w:color="auto" w:fill="auto"/>
            <w:noWrap/>
            <w:vAlign w:val="bottom"/>
            <w:hideMark/>
          </w:tcPr>
          <w:p w14:paraId="3250C3D3" w14:textId="5E0683C0" w:rsidR="00D14058" w:rsidRPr="00D14058" w:rsidRDefault="00D14058" w:rsidP="00D14058">
            <w:pPr>
              <w:spacing w:after="0" w:line="240" w:lineRule="auto"/>
              <w:jc w:val="right"/>
              <w:rPr>
                <w:rFonts w:ascii="Arial" w:hAnsi="Arial" w:cs="Arial"/>
                <w:i/>
                <w:iCs/>
                <w:color w:val="000000"/>
                <w:sz w:val="16"/>
                <w:szCs w:val="16"/>
              </w:rPr>
            </w:pPr>
            <w:r w:rsidRPr="00D14058">
              <w:rPr>
                <w:rFonts w:ascii="Arial" w:hAnsi="Arial" w:cs="Arial"/>
                <w:i/>
                <w:iCs/>
                <w:color w:val="000000"/>
                <w:sz w:val="16"/>
                <w:szCs w:val="16"/>
              </w:rPr>
              <w:t>(8,081,731)</w:t>
            </w:r>
          </w:p>
        </w:tc>
        <w:tc>
          <w:tcPr>
            <w:tcW w:w="1124" w:type="dxa"/>
            <w:tcBorders>
              <w:top w:val="single" w:sz="4" w:space="0" w:color="000000"/>
              <w:left w:val="nil"/>
              <w:bottom w:val="nil"/>
              <w:right w:val="nil"/>
            </w:tcBorders>
            <w:shd w:val="clear" w:color="auto" w:fill="auto"/>
            <w:noWrap/>
            <w:vAlign w:val="bottom"/>
            <w:hideMark/>
          </w:tcPr>
          <w:p w14:paraId="5F7535F0" w14:textId="0722DFD9" w:rsidR="00D14058" w:rsidRPr="00D14058" w:rsidRDefault="00D14058" w:rsidP="00D14058">
            <w:pPr>
              <w:spacing w:after="0" w:line="240" w:lineRule="auto"/>
              <w:jc w:val="right"/>
              <w:rPr>
                <w:rFonts w:ascii="Arial" w:hAnsi="Arial" w:cs="Arial"/>
                <w:i/>
                <w:iCs/>
                <w:color w:val="000000"/>
                <w:sz w:val="16"/>
                <w:szCs w:val="16"/>
              </w:rPr>
            </w:pPr>
            <w:r w:rsidRPr="00D14058">
              <w:rPr>
                <w:rFonts w:ascii="Arial" w:hAnsi="Arial" w:cs="Arial"/>
                <w:i/>
                <w:iCs/>
                <w:color w:val="000000"/>
                <w:sz w:val="16"/>
                <w:szCs w:val="16"/>
              </w:rPr>
              <w:t>(252,004)</w:t>
            </w:r>
          </w:p>
        </w:tc>
      </w:tr>
      <w:tr w:rsidR="00D14058" w:rsidRPr="0099051B" w14:paraId="513D435E" w14:textId="77777777" w:rsidTr="0092501F">
        <w:trPr>
          <w:trHeight w:val="204"/>
        </w:trPr>
        <w:tc>
          <w:tcPr>
            <w:tcW w:w="2268" w:type="dxa"/>
            <w:tcBorders>
              <w:top w:val="nil"/>
              <w:left w:val="nil"/>
              <w:bottom w:val="single" w:sz="4" w:space="0" w:color="auto"/>
              <w:right w:val="nil"/>
            </w:tcBorders>
            <w:shd w:val="clear" w:color="auto" w:fill="auto"/>
            <w:vAlign w:val="center"/>
            <w:hideMark/>
          </w:tcPr>
          <w:p w14:paraId="45D6F016" w14:textId="77777777" w:rsidR="00D14058" w:rsidRPr="0099051B" w:rsidRDefault="00D14058" w:rsidP="00D14058">
            <w:pPr>
              <w:spacing w:after="0" w:line="240" w:lineRule="auto"/>
              <w:jc w:val="left"/>
              <w:rPr>
                <w:rFonts w:ascii="Arial" w:hAnsi="Arial" w:cs="Arial"/>
                <w:b/>
                <w:bCs/>
                <w:color w:val="000000"/>
                <w:sz w:val="16"/>
                <w:szCs w:val="16"/>
              </w:rPr>
            </w:pPr>
            <w:r w:rsidRPr="0099051B">
              <w:rPr>
                <w:rFonts w:ascii="Arial" w:hAnsi="Arial" w:cs="Arial"/>
                <w:b/>
                <w:bCs/>
                <w:color w:val="000000"/>
                <w:sz w:val="16"/>
                <w:szCs w:val="16"/>
              </w:rPr>
              <w:t>Cash and cash equivalents at end of reporting period</w:t>
            </w:r>
          </w:p>
        </w:tc>
        <w:tc>
          <w:tcPr>
            <w:tcW w:w="1035" w:type="dxa"/>
            <w:tcBorders>
              <w:top w:val="single" w:sz="4" w:space="0" w:color="000000"/>
              <w:left w:val="nil"/>
              <w:bottom w:val="single" w:sz="4" w:space="0" w:color="auto"/>
              <w:right w:val="nil"/>
            </w:tcBorders>
            <w:shd w:val="clear" w:color="auto" w:fill="auto"/>
            <w:noWrap/>
            <w:vAlign w:val="bottom"/>
            <w:hideMark/>
          </w:tcPr>
          <w:p w14:paraId="61C563EA" w14:textId="6B9AAEB4" w:rsidR="00D14058" w:rsidRPr="00D14058" w:rsidRDefault="00D14058" w:rsidP="00D14058">
            <w:pPr>
              <w:spacing w:after="0" w:line="240" w:lineRule="auto"/>
              <w:jc w:val="right"/>
              <w:rPr>
                <w:rFonts w:ascii="Arial" w:hAnsi="Arial" w:cs="Arial"/>
                <w:b/>
                <w:bCs/>
                <w:color w:val="000000"/>
                <w:sz w:val="16"/>
                <w:szCs w:val="16"/>
              </w:rPr>
            </w:pPr>
            <w:r w:rsidRPr="00D14058">
              <w:rPr>
                <w:rFonts w:ascii="Arial" w:hAnsi="Arial" w:cs="Arial"/>
                <w:b/>
                <w:bCs/>
                <w:color w:val="000000"/>
                <w:sz w:val="16"/>
                <w:szCs w:val="16"/>
              </w:rPr>
              <w:t xml:space="preserve">41,989 </w:t>
            </w:r>
          </w:p>
        </w:tc>
        <w:tc>
          <w:tcPr>
            <w:tcW w:w="1035" w:type="dxa"/>
            <w:tcBorders>
              <w:top w:val="single" w:sz="4" w:space="0" w:color="000000"/>
              <w:left w:val="nil"/>
              <w:bottom w:val="single" w:sz="4" w:space="0" w:color="auto"/>
              <w:right w:val="nil"/>
            </w:tcBorders>
            <w:shd w:val="clear" w:color="000000" w:fill="E6E6E6"/>
            <w:noWrap/>
            <w:vAlign w:val="bottom"/>
            <w:hideMark/>
          </w:tcPr>
          <w:p w14:paraId="6C9705BC" w14:textId="675419BA" w:rsidR="00D14058" w:rsidRPr="00D14058" w:rsidRDefault="00D14058" w:rsidP="00D14058">
            <w:pPr>
              <w:spacing w:after="0" w:line="240" w:lineRule="auto"/>
              <w:jc w:val="right"/>
              <w:rPr>
                <w:rFonts w:ascii="Arial" w:hAnsi="Arial" w:cs="Arial"/>
                <w:b/>
                <w:bCs/>
                <w:color w:val="000000"/>
                <w:sz w:val="16"/>
                <w:szCs w:val="16"/>
              </w:rPr>
            </w:pPr>
            <w:r w:rsidRPr="00D14058">
              <w:rPr>
                <w:rFonts w:ascii="Arial" w:hAnsi="Arial" w:cs="Arial"/>
                <w:b/>
                <w:bCs/>
                <w:color w:val="000000"/>
                <w:sz w:val="16"/>
                <w:szCs w:val="16"/>
              </w:rPr>
              <w:t xml:space="preserve">41,989 </w:t>
            </w:r>
          </w:p>
        </w:tc>
        <w:tc>
          <w:tcPr>
            <w:tcW w:w="1124" w:type="dxa"/>
            <w:tcBorders>
              <w:top w:val="single" w:sz="4" w:space="0" w:color="000000"/>
              <w:left w:val="nil"/>
              <w:bottom w:val="single" w:sz="4" w:space="0" w:color="auto"/>
              <w:right w:val="nil"/>
            </w:tcBorders>
            <w:shd w:val="clear" w:color="auto" w:fill="auto"/>
            <w:noWrap/>
            <w:vAlign w:val="bottom"/>
            <w:hideMark/>
          </w:tcPr>
          <w:p w14:paraId="78C3F58E" w14:textId="65A063DF" w:rsidR="00D14058" w:rsidRPr="00D14058" w:rsidRDefault="00D14058" w:rsidP="00D14058">
            <w:pPr>
              <w:spacing w:after="0" w:line="240" w:lineRule="auto"/>
              <w:jc w:val="right"/>
              <w:rPr>
                <w:rFonts w:ascii="Arial" w:hAnsi="Arial" w:cs="Arial"/>
                <w:b/>
                <w:bCs/>
                <w:color w:val="000000"/>
                <w:sz w:val="16"/>
                <w:szCs w:val="16"/>
              </w:rPr>
            </w:pPr>
            <w:r w:rsidRPr="00D14058">
              <w:rPr>
                <w:rFonts w:ascii="Arial" w:hAnsi="Arial" w:cs="Arial"/>
                <w:b/>
                <w:bCs/>
                <w:color w:val="000000"/>
                <w:sz w:val="16"/>
                <w:szCs w:val="16"/>
              </w:rPr>
              <w:t xml:space="preserve">41,989 </w:t>
            </w:r>
          </w:p>
        </w:tc>
        <w:tc>
          <w:tcPr>
            <w:tcW w:w="1035" w:type="dxa"/>
            <w:tcBorders>
              <w:top w:val="single" w:sz="4" w:space="0" w:color="000000"/>
              <w:left w:val="nil"/>
              <w:bottom w:val="single" w:sz="4" w:space="0" w:color="auto"/>
              <w:right w:val="nil"/>
            </w:tcBorders>
            <w:shd w:val="clear" w:color="auto" w:fill="auto"/>
            <w:noWrap/>
            <w:vAlign w:val="bottom"/>
            <w:hideMark/>
          </w:tcPr>
          <w:p w14:paraId="10B036F5" w14:textId="6CB6ADBB" w:rsidR="00D14058" w:rsidRPr="00D14058" w:rsidRDefault="00D14058" w:rsidP="00D14058">
            <w:pPr>
              <w:spacing w:after="0" w:line="240" w:lineRule="auto"/>
              <w:jc w:val="right"/>
              <w:rPr>
                <w:rFonts w:ascii="Arial" w:hAnsi="Arial" w:cs="Arial"/>
                <w:b/>
                <w:bCs/>
                <w:color w:val="000000"/>
                <w:sz w:val="16"/>
                <w:szCs w:val="16"/>
              </w:rPr>
            </w:pPr>
            <w:r w:rsidRPr="00D14058">
              <w:rPr>
                <w:rFonts w:ascii="Arial" w:hAnsi="Arial" w:cs="Arial"/>
                <w:b/>
                <w:bCs/>
                <w:color w:val="000000"/>
                <w:sz w:val="16"/>
                <w:szCs w:val="16"/>
              </w:rPr>
              <w:t xml:space="preserve">41,989 </w:t>
            </w:r>
          </w:p>
        </w:tc>
        <w:tc>
          <w:tcPr>
            <w:tcW w:w="1124" w:type="dxa"/>
            <w:tcBorders>
              <w:top w:val="single" w:sz="4" w:space="0" w:color="000000"/>
              <w:left w:val="nil"/>
              <w:bottom w:val="single" w:sz="4" w:space="0" w:color="auto"/>
              <w:right w:val="nil"/>
            </w:tcBorders>
            <w:shd w:val="clear" w:color="auto" w:fill="auto"/>
            <w:noWrap/>
            <w:vAlign w:val="bottom"/>
            <w:hideMark/>
          </w:tcPr>
          <w:p w14:paraId="53391DE9" w14:textId="5BC7B640" w:rsidR="00D14058" w:rsidRPr="00D14058" w:rsidRDefault="00D14058" w:rsidP="00D14058">
            <w:pPr>
              <w:spacing w:after="0" w:line="240" w:lineRule="auto"/>
              <w:jc w:val="right"/>
              <w:rPr>
                <w:rFonts w:ascii="Arial" w:hAnsi="Arial" w:cs="Arial"/>
                <w:b/>
                <w:bCs/>
                <w:color w:val="000000"/>
                <w:sz w:val="16"/>
                <w:szCs w:val="16"/>
              </w:rPr>
            </w:pPr>
            <w:r w:rsidRPr="00D14058">
              <w:rPr>
                <w:rFonts w:ascii="Arial" w:hAnsi="Arial" w:cs="Arial"/>
                <w:b/>
                <w:bCs/>
                <w:color w:val="000000"/>
                <w:sz w:val="16"/>
                <w:szCs w:val="16"/>
              </w:rPr>
              <w:t xml:space="preserve">41,989 </w:t>
            </w:r>
          </w:p>
        </w:tc>
      </w:tr>
    </w:tbl>
    <w:bookmarkEnd w:id="389"/>
    <w:p w14:paraId="5B4EF188" w14:textId="346637B8" w:rsidR="00BB21C5" w:rsidRPr="00E61D06" w:rsidRDefault="00BB21C5" w:rsidP="0099051B">
      <w:pPr>
        <w:pStyle w:val="Source"/>
        <w:spacing w:before="60"/>
        <w:rPr>
          <w:rFonts w:cs="Arial"/>
          <w:szCs w:val="16"/>
        </w:rPr>
      </w:pPr>
      <w:r w:rsidRPr="00E61D06">
        <w:rPr>
          <w:rFonts w:cs="Arial"/>
          <w:szCs w:val="16"/>
        </w:rPr>
        <w:t>Prepared on Australian Accounting Standards basis.</w:t>
      </w:r>
    </w:p>
    <w:p w14:paraId="7E94E218" w14:textId="6C33AEB6" w:rsidR="00E61D06" w:rsidRPr="00771AA9" w:rsidRDefault="00E61D06">
      <w:pPr>
        <w:spacing w:after="0" w:line="240" w:lineRule="auto"/>
        <w:jc w:val="left"/>
        <w:rPr>
          <w:i/>
        </w:rPr>
      </w:pPr>
      <w:r>
        <w:br w:type="page"/>
      </w:r>
    </w:p>
    <w:p w14:paraId="4F61FDB1" w14:textId="489F2ECB" w:rsidR="004F14E4" w:rsidRDefault="007D5358" w:rsidP="004F14E4">
      <w:pPr>
        <w:pStyle w:val="TableHeading"/>
        <w:spacing w:before="0"/>
        <w:rPr>
          <w:snapToGrid w:val="0"/>
          <w:lang w:val="en-AU"/>
        </w:rPr>
      </w:pPr>
      <w:r w:rsidRPr="00D23CE2">
        <w:rPr>
          <w:snapToGrid w:val="0"/>
        </w:rPr>
        <w:lastRenderedPageBreak/>
        <w:t>Table 3.</w:t>
      </w:r>
      <w:r w:rsidR="001F46A6" w:rsidRPr="00D23CE2">
        <w:rPr>
          <w:snapToGrid w:val="0"/>
        </w:rPr>
        <w:t>11</w:t>
      </w:r>
      <w:r w:rsidR="004F14E4" w:rsidRPr="00D23CE2">
        <w:rPr>
          <w:snapToGrid w:val="0"/>
        </w:rPr>
        <w:t xml:space="preserve">: Schedule of </w:t>
      </w:r>
      <w:r w:rsidR="001E4A2D" w:rsidRPr="00D23CE2">
        <w:rPr>
          <w:snapToGrid w:val="0"/>
        </w:rPr>
        <w:t>administered capital budget</w:t>
      </w:r>
      <w:r w:rsidR="001E4A2D" w:rsidRPr="00D23CE2">
        <w:rPr>
          <w:snapToGrid w:val="0"/>
          <w:lang w:val="en-AU"/>
        </w:rPr>
        <w:t xml:space="preserve"> </w:t>
      </w:r>
      <w:r w:rsidR="00327424" w:rsidRPr="00D23CE2">
        <w:rPr>
          <w:snapToGrid w:val="0"/>
          <w:lang w:val="en-AU"/>
        </w:rPr>
        <w:t>(for the period ended 30 June)</w:t>
      </w:r>
    </w:p>
    <w:tbl>
      <w:tblPr>
        <w:tblW w:w="7671" w:type="dxa"/>
        <w:tblLook w:val="04A0" w:firstRow="1" w:lastRow="0" w:firstColumn="1" w:lastColumn="0" w:noHBand="0" w:noVBand="1"/>
      </w:tblPr>
      <w:tblGrid>
        <w:gridCol w:w="2996"/>
        <w:gridCol w:w="936"/>
        <w:gridCol w:w="928"/>
        <w:gridCol w:w="937"/>
        <w:gridCol w:w="937"/>
        <w:gridCol w:w="937"/>
      </w:tblGrid>
      <w:tr w:rsidR="00102378" w:rsidRPr="0099051B" w14:paraId="670B9251" w14:textId="77777777" w:rsidTr="00852545">
        <w:trPr>
          <w:trHeight w:val="204"/>
        </w:trPr>
        <w:tc>
          <w:tcPr>
            <w:tcW w:w="2996" w:type="dxa"/>
            <w:tcBorders>
              <w:top w:val="single" w:sz="4" w:space="0" w:color="auto"/>
              <w:left w:val="nil"/>
              <w:bottom w:val="nil"/>
              <w:right w:val="nil"/>
            </w:tcBorders>
            <w:shd w:val="clear" w:color="auto" w:fill="auto"/>
            <w:noWrap/>
            <w:hideMark/>
          </w:tcPr>
          <w:p w14:paraId="7440E53D" w14:textId="77777777" w:rsidR="00102378" w:rsidRPr="0099051B" w:rsidRDefault="00102378" w:rsidP="00102378">
            <w:pPr>
              <w:spacing w:after="0" w:line="240" w:lineRule="auto"/>
              <w:jc w:val="left"/>
              <w:rPr>
                <w:rFonts w:ascii="Arial" w:hAnsi="Arial" w:cs="Arial"/>
                <w:b/>
                <w:bCs/>
                <w:sz w:val="16"/>
                <w:szCs w:val="16"/>
              </w:rPr>
            </w:pPr>
            <w:r w:rsidRPr="0099051B">
              <w:rPr>
                <w:rFonts w:ascii="Arial" w:hAnsi="Arial" w:cs="Arial"/>
                <w:b/>
                <w:bCs/>
                <w:sz w:val="16"/>
                <w:szCs w:val="16"/>
              </w:rPr>
              <w:t> </w:t>
            </w:r>
          </w:p>
        </w:tc>
        <w:tc>
          <w:tcPr>
            <w:tcW w:w="936" w:type="dxa"/>
            <w:tcBorders>
              <w:top w:val="single" w:sz="4" w:space="0" w:color="auto"/>
              <w:left w:val="nil"/>
              <w:bottom w:val="single" w:sz="4" w:space="0" w:color="auto"/>
              <w:right w:val="nil"/>
            </w:tcBorders>
            <w:shd w:val="clear" w:color="auto" w:fill="auto"/>
            <w:vAlign w:val="bottom"/>
            <w:hideMark/>
          </w:tcPr>
          <w:p w14:paraId="78A75CDA" w14:textId="77777777" w:rsidR="00102378" w:rsidRPr="0099051B" w:rsidRDefault="00102378" w:rsidP="00102378">
            <w:pPr>
              <w:spacing w:after="0" w:line="240" w:lineRule="auto"/>
              <w:jc w:val="right"/>
              <w:rPr>
                <w:rFonts w:ascii="Arial" w:hAnsi="Arial" w:cs="Arial"/>
                <w:sz w:val="16"/>
                <w:szCs w:val="16"/>
              </w:rPr>
            </w:pPr>
            <w:r w:rsidRPr="0099051B">
              <w:rPr>
                <w:rFonts w:ascii="Arial" w:hAnsi="Arial" w:cs="Arial"/>
                <w:sz w:val="16"/>
                <w:szCs w:val="16"/>
              </w:rPr>
              <w:t>2020-21 Actual</w:t>
            </w:r>
            <w:r w:rsidRPr="0099051B">
              <w:rPr>
                <w:rFonts w:ascii="Arial" w:hAnsi="Arial" w:cs="Arial"/>
                <w:sz w:val="16"/>
                <w:szCs w:val="16"/>
              </w:rPr>
              <w:br/>
            </w:r>
            <w:r w:rsidRPr="0099051B">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000000" w:fill="E6E6E6"/>
            <w:hideMark/>
          </w:tcPr>
          <w:p w14:paraId="47A21599" w14:textId="52C9ACA1" w:rsidR="00102378" w:rsidRPr="0099051B" w:rsidRDefault="00102378" w:rsidP="00102378">
            <w:pPr>
              <w:spacing w:after="0" w:line="240" w:lineRule="auto"/>
              <w:jc w:val="right"/>
              <w:rPr>
                <w:rFonts w:ascii="Arial" w:hAnsi="Arial" w:cs="Arial"/>
                <w:sz w:val="16"/>
                <w:szCs w:val="16"/>
              </w:rPr>
            </w:pPr>
            <w:r w:rsidRPr="003D788E">
              <w:rPr>
                <w:rFonts w:ascii="Arial" w:hAnsi="Arial" w:cs="Arial"/>
                <w:sz w:val="16"/>
                <w:szCs w:val="16"/>
              </w:rPr>
              <w:t>2021-22</w:t>
            </w:r>
            <w:r w:rsidRPr="003D788E">
              <w:rPr>
                <w:rFonts w:ascii="Arial" w:hAnsi="Arial" w:cs="Arial"/>
                <w:sz w:val="16"/>
                <w:szCs w:val="16"/>
              </w:rPr>
              <w:br/>
              <w:t xml:space="preserve">Revised </w:t>
            </w:r>
            <w:r>
              <w:rPr>
                <w:rFonts w:ascii="Arial" w:hAnsi="Arial" w:cs="Arial"/>
                <w:sz w:val="16"/>
                <w:szCs w:val="16"/>
              </w:rPr>
              <w:t>B</w:t>
            </w:r>
            <w:r w:rsidRPr="003D788E">
              <w:rPr>
                <w:rFonts w:ascii="Arial" w:hAnsi="Arial" w:cs="Arial"/>
                <w:sz w:val="16"/>
                <w:szCs w:val="16"/>
              </w:rPr>
              <w:t>udget</w:t>
            </w:r>
            <w:r w:rsidRPr="003D788E">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302378E8" w14:textId="77777777" w:rsidR="00102378" w:rsidRPr="0099051B" w:rsidRDefault="00102378" w:rsidP="00102378">
            <w:pPr>
              <w:spacing w:after="0" w:line="240" w:lineRule="auto"/>
              <w:jc w:val="right"/>
              <w:rPr>
                <w:rFonts w:ascii="Arial" w:hAnsi="Arial" w:cs="Arial"/>
                <w:sz w:val="16"/>
                <w:szCs w:val="16"/>
              </w:rPr>
            </w:pPr>
            <w:r w:rsidRPr="0099051B">
              <w:rPr>
                <w:rFonts w:ascii="Arial" w:hAnsi="Arial" w:cs="Arial"/>
                <w:sz w:val="16"/>
                <w:szCs w:val="16"/>
              </w:rPr>
              <w:t>2022-23 Forward estimate</w:t>
            </w:r>
            <w:r w:rsidRPr="0099051B">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5BE22C74" w14:textId="77777777" w:rsidR="00102378" w:rsidRPr="0099051B" w:rsidRDefault="00102378" w:rsidP="00102378">
            <w:pPr>
              <w:spacing w:after="0" w:line="240" w:lineRule="auto"/>
              <w:jc w:val="right"/>
              <w:rPr>
                <w:rFonts w:ascii="Arial" w:hAnsi="Arial" w:cs="Arial"/>
                <w:sz w:val="16"/>
                <w:szCs w:val="16"/>
              </w:rPr>
            </w:pPr>
            <w:r w:rsidRPr="0099051B">
              <w:rPr>
                <w:rFonts w:ascii="Arial" w:hAnsi="Arial" w:cs="Arial"/>
                <w:sz w:val="16"/>
                <w:szCs w:val="16"/>
              </w:rPr>
              <w:t>2023-24 Forward estimate</w:t>
            </w:r>
            <w:r w:rsidRPr="0099051B">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0ED0459F" w14:textId="77777777" w:rsidR="00102378" w:rsidRPr="0099051B" w:rsidRDefault="00102378" w:rsidP="00102378">
            <w:pPr>
              <w:spacing w:after="0" w:line="240" w:lineRule="auto"/>
              <w:jc w:val="right"/>
              <w:rPr>
                <w:rFonts w:ascii="Arial" w:hAnsi="Arial" w:cs="Arial"/>
                <w:sz w:val="16"/>
                <w:szCs w:val="16"/>
              </w:rPr>
            </w:pPr>
            <w:r w:rsidRPr="0099051B">
              <w:rPr>
                <w:rFonts w:ascii="Arial" w:hAnsi="Arial" w:cs="Arial"/>
                <w:sz w:val="16"/>
                <w:szCs w:val="16"/>
              </w:rPr>
              <w:t>2024-25</w:t>
            </w:r>
            <w:r w:rsidRPr="0099051B">
              <w:rPr>
                <w:rFonts w:ascii="Arial" w:hAnsi="Arial" w:cs="Arial"/>
                <w:sz w:val="16"/>
                <w:szCs w:val="16"/>
              </w:rPr>
              <w:br/>
              <w:t>Forward estimate</w:t>
            </w:r>
            <w:r w:rsidRPr="0099051B">
              <w:rPr>
                <w:rFonts w:ascii="Arial" w:hAnsi="Arial" w:cs="Arial"/>
                <w:sz w:val="16"/>
                <w:szCs w:val="16"/>
              </w:rPr>
              <w:br/>
              <w:t>$'000</w:t>
            </w:r>
          </w:p>
        </w:tc>
      </w:tr>
      <w:tr w:rsidR="0099051B" w:rsidRPr="0099051B" w14:paraId="1B88207D" w14:textId="77777777" w:rsidTr="00852545">
        <w:trPr>
          <w:trHeight w:val="204"/>
        </w:trPr>
        <w:tc>
          <w:tcPr>
            <w:tcW w:w="2996" w:type="dxa"/>
            <w:tcBorders>
              <w:top w:val="nil"/>
              <w:left w:val="nil"/>
              <w:bottom w:val="nil"/>
              <w:right w:val="nil"/>
            </w:tcBorders>
            <w:shd w:val="clear" w:color="auto" w:fill="auto"/>
            <w:noWrap/>
            <w:vAlign w:val="bottom"/>
            <w:hideMark/>
          </w:tcPr>
          <w:p w14:paraId="41F9180D" w14:textId="77777777" w:rsidR="0099051B" w:rsidRPr="00852545" w:rsidRDefault="0099051B" w:rsidP="0099051B">
            <w:pPr>
              <w:spacing w:after="0" w:line="240" w:lineRule="auto"/>
              <w:jc w:val="left"/>
              <w:rPr>
                <w:rFonts w:ascii="Arial" w:hAnsi="Arial" w:cs="Arial"/>
                <w:b/>
                <w:bCs/>
                <w:sz w:val="16"/>
                <w:szCs w:val="16"/>
              </w:rPr>
            </w:pPr>
            <w:r w:rsidRPr="00852545">
              <w:rPr>
                <w:rFonts w:ascii="Arial" w:hAnsi="Arial" w:cs="Arial"/>
                <w:b/>
                <w:bCs/>
                <w:sz w:val="16"/>
                <w:szCs w:val="16"/>
              </w:rPr>
              <w:t>NEW CAPITAL APPROPRIATIONS</w:t>
            </w:r>
          </w:p>
        </w:tc>
        <w:tc>
          <w:tcPr>
            <w:tcW w:w="936" w:type="dxa"/>
            <w:tcBorders>
              <w:top w:val="nil"/>
              <w:left w:val="nil"/>
              <w:bottom w:val="nil"/>
              <w:right w:val="nil"/>
            </w:tcBorders>
            <w:shd w:val="clear" w:color="auto" w:fill="auto"/>
            <w:noWrap/>
            <w:vAlign w:val="bottom"/>
            <w:hideMark/>
          </w:tcPr>
          <w:p w14:paraId="0C1C7069" w14:textId="77777777" w:rsidR="0099051B" w:rsidRPr="00852545" w:rsidRDefault="0099051B" w:rsidP="0099051B">
            <w:pPr>
              <w:spacing w:after="0" w:line="240" w:lineRule="auto"/>
              <w:jc w:val="left"/>
              <w:rPr>
                <w:rFonts w:ascii="Arial" w:hAnsi="Arial" w:cs="Arial"/>
                <w:b/>
                <w:bCs/>
                <w:sz w:val="16"/>
                <w:szCs w:val="16"/>
              </w:rPr>
            </w:pPr>
          </w:p>
        </w:tc>
        <w:tc>
          <w:tcPr>
            <w:tcW w:w="928" w:type="dxa"/>
            <w:tcBorders>
              <w:top w:val="nil"/>
              <w:left w:val="nil"/>
              <w:bottom w:val="nil"/>
              <w:right w:val="nil"/>
            </w:tcBorders>
            <w:shd w:val="clear" w:color="000000" w:fill="E6E6E6"/>
            <w:noWrap/>
            <w:vAlign w:val="bottom"/>
            <w:hideMark/>
          </w:tcPr>
          <w:p w14:paraId="3A111CC6" w14:textId="41B77BCD" w:rsidR="0099051B" w:rsidRPr="00852545" w:rsidRDefault="0099051B" w:rsidP="0099051B">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3D89AD59" w14:textId="77777777" w:rsidR="0099051B" w:rsidRPr="00852545" w:rsidRDefault="0099051B" w:rsidP="0099051B">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65CC0BDE" w14:textId="77777777" w:rsidR="0099051B" w:rsidRPr="00852545" w:rsidRDefault="0099051B" w:rsidP="0099051B">
            <w:pPr>
              <w:spacing w:after="0" w:line="240" w:lineRule="auto"/>
              <w:jc w:val="right"/>
              <w:rPr>
                <w:rFonts w:ascii="Times New Roman" w:hAnsi="Times New Roman"/>
                <w:sz w:val="16"/>
                <w:szCs w:val="16"/>
              </w:rPr>
            </w:pPr>
          </w:p>
        </w:tc>
        <w:tc>
          <w:tcPr>
            <w:tcW w:w="937" w:type="dxa"/>
            <w:tcBorders>
              <w:top w:val="nil"/>
              <w:left w:val="nil"/>
              <w:bottom w:val="nil"/>
              <w:right w:val="nil"/>
            </w:tcBorders>
            <w:shd w:val="clear" w:color="auto" w:fill="auto"/>
            <w:noWrap/>
            <w:vAlign w:val="bottom"/>
            <w:hideMark/>
          </w:tcPr>
          <w:p w14:paraId="5FF02A00" w14:textId="77777777" w:rsidR="0099051B" w:rsidRPr="00852545" w:rsidRDefault="0099051B" w:rsidP="0099051B">
            <w:pPr>
              <w:spacing w:after="0" w:line="240" w:lineRule="auto"/>
              <w:jc w:val="right"/>
              <w:rPr>
                <w:rFonts w:ascii="Times New Roman" w:hAnsi="Times New Roman"/>
                <w:sz w:val="16"/>
                <w:szCs w:val="16"/>
              </w:rPr>
            </w:pPr>
          </w:p>
        </w:tc>
      </w:tr>
      <w:tr w:rsidR="00BA06CF" w:rsidRPr="0099051B" w14:paraId="24FDB047" w14:textId="77777777" w:rsidTr="00852545">
        <w:trPr>
          <w:trHeight w:val="204"/>
        </w:trPr>
        <w:tc>
          <w:tcPr>
            <w:tcW w:w="2996" w:type="dxa"/>
            <w:tcBorders>
              <w:top w:val="nil"/>
              <w:left w:val="nil"/>
              <w:bottom w:val="nil"/>
              <w:right w:val="nil"/>
            </w:tcBorders>
            <w:shd w:val="clear" w:color="auto" w:fill="auto"/>
            <w:noWrap/>
            <w:vAlign w:val="bottom"/>
            <w:hideMark/>
          </w:tcPr>
          <w:p w14:paraId="505310C2" w14:textId="77777777" w:rsidR="00BA06CF" w:rsidRPr="00852545" w:rsidRDefault="00BA06CF" w:rsidP="00BA06CF">
            <w:pPr>
              <w:spacing w:after="0" w:line="240" w:lineRule="auto"/>
              <w:ind w:left="113"/>
              <w:jc w:val="left"/>
              <w:rPr>
                <w:rFonts w:ascii="Arial" w:hAnsi="Arial" w:cs="Arial"/>
                <w:sz w:val="16"/>
                <w:szCs w:val="16"/>
              </w:rPr>
            </w:pPr>
            <w:r w:rsidRPr="00852545">
              <w:rPr>
                <w:rFonts w:ascii="Arial" w:hAnsi="Arial" w:cs="Arial"/>
                <w:sz w:val="16"/>
                <w:szCs w:val="16"/>
              </w:rPr>
              <w:t>Capital budget - Bill 1 (ACB)</w:t>
            </w:r>
          </w:p>
        </w:tc>
        <w:tc>
          <w:tcPr>
            <w:tcW w:w="936" w:type="dxa"/>
            <w:tcBorders>
              <w:top w:val="nil"/>
              <w:left w:val="nil"/>
              <w:bottom w:val="nil"/>
              <w:right w:val="nil"/>
            </w:tcBorders>
            <w:shd w:val="clear" w:color="auto" w:fill="auto"/>
            <w:noWrap/>
            <w:vAlign w:val="bottom"/>
            <w:hideMark/>
          </w:tcPr>
          <w:p w14:paraId="1DB6C8E8" w14:textId="624D825C" w:rsidR="00BA06CF" w:rsidRPr="00852545" w:rsidRDefault="00BA06CF" w:rsidP="00BA06CF">
            <w:pPr>
              <w:spacing w:after="0" w:line="240" w:lineRule="auto"/>
              <w:jc w:val="right"/>
              <w:rPr>
                <w:rFonts w:ascii="Arial" w:hAnsi="Arial" w:cs="Arial"/>
                <w:sz w:val="16"/>
                <w:szCs w:val="16"/>
              </w:rPr>
            </w:pPr>
            <w:r w:rsidRPr="00852545">
              <w:rPr>
                <w:rFonts w:ascii="Arial" w:hAnsi="Arial" w:cs="Arial"/>
                <w:sz w:val="16"/>
                <w:szCs w:val="16"/>
              </w:rPr>
              <w:t>16,762</w:t>
            </w:r>
          </w:p>
        </w:tc>
        <w:tc>
          <w:tcPr>
            <w:tcW w:w="928" w:type="dxa"/>
            <w:tcBorders>
              <w:top w:val="nil"/>
              <w:left w:val="nil"/>
              <w:bottom w:val="nil"/>
              <w:right w:val="nil"/>
            </w:tcBorders>
            <w:shd w:val="clear" w:color="000000" w:fill="E6E6E6"/>
            <w:noWrap/>
            <w:vAlign w:val="bottom"/>
            <w:hideMark/>
          </w:tcPr>
          <w:p w14:paraId="08462B60" w14:textId="528EEAE6" w:rsidR="00BA06CF" w:rsidRPr="00852545" w:rsidRDefault="00BA06CF" w:rsidP="00BA06CF">
            <w:pPr>
              <w:spacing w:after="0" w:line="240" w:lineRule="auto"/>
              <w:jc w:val="right"/>
              <w:rPr>
                <w:rFonts w:ascii="Arial" w:hAnsi="Arial" w:cs="Arial"/>
                <w:color w:val="000000"/>
                <w:sz w:val="16"/>
                <w:szCs w:val="16"/>
              </w:rPr>
            </w:pPr>
            <w:r w:rsidRPr="00852545">
              <w:rPr>
                <w:rFonts w:ascii="Arial" w:hAnsi="Arial" w:cs="Arial"/>
                <w:color w:val="000000"/>
                <w:sz w:val="16"/>
                <w:szCs w:val="16"/>
              </w:rPr>
              <w:t>19,857</w:t>
            </w:r>
          </w:p>
        </w:tc>
        <w:tc>
          <w:tcPr>
            <w:tcW w:w="937" w:type="dxa"/>
            <w:tcBorders>
              <w:top w:val="nil"/>
              <w:left w:val="nil"/>
              <w:bottom w:val="nil"/>
              <w:right w:val="nil"/>
            </w:tcBorders>
            <w:shd w:val="clear" w:color="auto" w:fill="auto"/>
            <w:noWrap/>
            <w:vAlign w:val="bottom"/>
            <w:hideMark/>
          </w:tcPr>
          <w:p w14:paraId="06FAB31B" w14:textId="4FD64D79" w:rsidR="00BA06CF" w:rsidRPr="00852545" w:rsidRDefault="00BA06CF" w:rsidP="00BA06CF">
            <w:pPr>
              <w:spacing w:after="0" w:line="240" w:lineRule="auto"/>
              <w:jc w:val="right"/>
              <w:rPr>
                <w:rFonts w:ascii="Arial" w:hAnsi="Arial" w:cs="Arial"/>
                <w:sz w:val="16"/>
                <w:szCs w:val="16"/>
              </w:rPr>
            </w:pPr>
            <w:r w:rsidRPr="00852545">
              <w:rPr>
                <w:rFonts w:ascii="Arial" w:hAnsi="Arial" w:cs="Arial"/>
                <w:sz w:val="16"/>
                <w:szCs w:val="16"/>
              </w:rPr>
              <w:t>23,151</w:t>
            </w:r>
          </w:p>
        </w:tc>
        <w:tc>
          <w:tcPr>
            <w:tcW w:w="937" w:type="dxa"/>
            <w:tcBorders>
              <w:top w:val="nil"/>
              <w:left w:val="nil"/>
              <w:bottom w:val="nil"/>
              <w:right w:val="nil"/>
            </w:tcBorders>
            <w:shd w:val="clear" w:color="auto" w:fill="auto"/>
            <w:noWrap/>
            <w:vAlign w:val="bottom"/>
            <w:hideMark/>
          </w:tcPr>
          <w:p w14:paraId="5AB5D33F" w14:textId="6B670594" w:rsidR="00BA06CF" w:rsidRPr="00852545" w:rsidRDefault="00BA06CF" w:rsidP="00BA06CF">
            <w:pPr>
              <w:spacing w:after="0" w:line="240" w:lineRule="auto"/>
              <w:jc w:val="right"/>
              <w:rPr>
                <w:rFonts w:ascii="Arial" w:hAnsi="Arial" w:cs="Arial"/>
                <w:sz w:val="16"/>
                <w:szCs w:val="16"/>
              </w:rPr>
            </w:pPr>
            <w:r w:rsidRPr="00852545">
              <w:rPr>
                <w:rFonts w:ascii="Arial" w:hAnsi="Arial" w:cs="Arial"/>
                <w:sz w:val="16"/>
                <w:szCs w:val="16"/>
              </w:rPr>
              <w:t>20,545</w:t>
            </w:r>
          </w:p>
        </w:tc>
        <w:tc>
          <w:tcPr>
            <w:tcW w:w="937" w:type="dxa"/>
            <w:tcBorders>
              <w:top w:val="nil"/>
              <w:left w:val="nil"/>
              <w:bottom w:val="nil"/>
              <w:right w:val="nil"/>
            </w:tcBorders>
            <w:shd w:val="clear" w:color="auto" w:fill="auto"/>
            <w:noWrap/>
            <w:vAlign w:val="bottom"/>
            <w:hideMark/>
          </w:tcPr>
          <w:p w14:paraId="0C75F9D2" w14:textId="6A4DEACF" w:rsidR="00BA06CF" w:rsidRPr="00852545" w:rsidRDefault="00BA06CF" w:rsidP="00BA06CF">
            <w:pPr>
              <w:spacing w:after="0" w:line="240" w:lineRule="auto"/>
              <w:jc w:val="right"/>
              <w:rPr>
                <w:rFonts w:ascii="Arial" w:hAnsi="Arial" w:cs="Arial"/>
                <w:sz w:val="16"/>
                <w:szCs w:val="16"/>
              </w:rPr>
            </w:pPr>
            <w:r w:rsidRPr="00852545">
              <w:rPr>
                <w:rFonts w:ascii="Arial" w:hAnsi="Arial" w:cs="Arial"/>
                <w:sz w:val="16"/>
                <w:szCs w:val="16"/>
              </w:rPr>
              <w:t>17,446</w:t>
            </w:r>
          </w:p>
        </w:tc>
      </w:tr>
      <w:tr w:rsidR="00BA06CF" w:rsidRPr="0099051B" w14:paraId="1F07AC92" w14:textId="77777777" w:rsidTr="00852545">
        <w:trPr>
          <w:trHeight w:val="204"/>
        </w:trPr>
        <w:tc>
          <w:tcPr>
            <w:tcW w:w="2996" w:type="dxa"/>
            <w:tcBorders>
              <w:top w:val="nil"/>
              <w:left w:val="nil"/>
              <w:bottom w:val="nil"/>
              <w:right w:val="nil"/>
            </w:tcBorders>
            <w:shd w:val="clear" w:color="000000" w:fill="FFFFFF"/>
            <w:vAlign w:val="bottom"/>
            <w:hideMark/>
          </w:tcPr>
          <w:p w14:paraId="3360561B" w14:textId="45CA63D3" w:rsidR="00BA06CF" w:rsidRPr="00852545" w:rsidRDefault="00BA06CF" w:rsidP="00BA06CF">
            <w:pPr>
              <w:spacing w:after="0" w:line="240" w:lineRule="auto"/>
              <w:ind w:left="113"/>
              <w:jc w:val="left"/>
              <w:rPr>
                <w:rFonts w:ascii="Arial" w:hAnsi="Arial" w:cs="Arial"/>
                <w:sz w:val="16"/>
                <w:szCs w:val="16"/>
              </w:rPr>
            </w:pPr>
            <w:r w:rsidRPr="00852545">
              <w:rPr>
                <w:rFonts w:ascii="Arial" w:hAnsi="Arial" w:cs="Arial"/>
                <w:sz w:val="16"/>
                <w:szCs w:val="16"/>
              </w:rPr>
              <w:t>Administered Assets and Liabilities - Bill 2</w:t>
            </w:r>
          </w:p>
        </w:tc>
        <w:tc>
          <w:tcPr>
            <w:tcW w:w="936" w:type="dxa"/>
            <w:tcBorders>
              <w:top w:val="nil"/>
              <w:left w:val="nil"/>
              <w:bottom w:val="nil"/>
              <w:right w:val="nil"/>
            </w:tcBorders>
            <w:shd w:val="clear" w:color="auto" w:fill="auto"/>
            <w:noWrap/>
            <w:vAlign w:val="bottom"/>
            <w:hideMark/>
          </w:tcPr>
          <w:p w14:paraId="11D41A23" w14:textId="4A3604B4" w:rsidR="00BA06CF" w:rsidRPr="00852545" w:rsidRDefault="00BA06CF" w:rsidP="00BA06CF">
            <w:pPr>
              <w:spacing w:after="0" w:line="240" w:lineRule="auto"/>
              <w:jc w:val="right"/>
              <w:rPr>
                <w:rFonts w:ascii="Arial" w:hAnsi="Arial" w:cs="Arial"/>
                <w:sz w:val="16"/>
                <w:szCs w:val="16"/>
              </w:rPr>
            </w:pPr>
            <w:r w:rsidRPr="00852545">
              <w:rPr>
                <w:rFonts w:ascii="Arial" w:hAnsi="Arial" w:cs="Arial"/>
                <w:sz w:val="16"/>
                <w:szCs w:val="16"/>
              </w:rPr>
              <w:t>1,413,402</w:t>
            </w:r>
          </w:p>
        </w:tc>
        <w:tc>
          <w:tcPr>
            <w:tcW w:w="928" w:type="dxa"/>
            <w:tcBorders>
              <w:top w:val="nil"/>
              <w:left w:val="nil"/>
              <w:bottom w:val="nil"/>
              <w:right w:val="nil"/>
            </w:tcBorders>
            <w:shd w:val="clear" w:color="000000" w:fill="E6E6E6"/>
            <w:noWrap/>
            <w:vAlign w:val="bottom"/>
            <w:hideMark/>
          </w:tcPr>
          <w:p w14:paraId="10FB5967" w14:textId="155F50C0" w:rsidR="00BA06CF" w:rsidRPr="00852545" w:rsidRDefault="00BA06CF" w:rsidP="00BA06CF">
            <w:pPr>
              <w:spacing w:after="0" w:line="240" w:lineRule="auto"/>
              <w:jc w:val="right"/>
              <w:rPr>
                <w:rFonts w:ascii="Arial" w:hAnsi="Arial" w:cs="Arial"/>
                <w:color w:val="000000"/>
                <w:sz w:val="16"/>
                <w:szCs w:val="16"/>
              </w:rPr>
            </w:pPr>
            <w:r w:rsidRPr="00852545">
              <w:rPr>
                <w:rFonts w:ascii="Arial" w:hAnsi="Arial" w:cs="Arial"/>
                <w:color w:val="000000"/>
                <w:sz w:val="16"/>
                <w:szCs w:val="16"/>
              </w:rPr>
              <w:t>2,131,167</w:t>
            </w:r>
          </w:p>
        </w:tc>
        <w:tc>
          <w:tcPr>
            <w:tcW w:w="937" w:type="dxa"/>
            <w:tcBorders>
              <w:top w:val="nil"/>
              <w:left w:val="nil"/>
              <w:bottom w:val="nil"/>
              <w:right w:val="nil"/>
            </w:tcBorders>
            <w:shd w:val="clear" w:color="000000" w:fill="FFFFFF"/>
            <w:noWrap/>
            <w:vAlign w:val="bottom"/>
            <w:hideMark/>
          </w:tcPr>
          <w:p w14:paraId="15A19019" w14:textId="04A983AF" w:rsidR="00BA06CF" w:rsidRPr="00852545" w:rsidRDefault="00BA06CF" w:rsidP="00BA06CF">
            <w:pPr>
              <w:spacing w:after="0" w:line="240" w:lineRule="auto"/>
              <w:jc w:val="right"/>
              <w:rPr>
                <w:rFonts w:ascii="Arial" w:hAnsi="Arial" w:cs="Arial"/>
                <w:sz w:val="16"/>
                <w:szCs w:val="16"/>
              </w:rPr>
            </w:pPr>
            <w:r w:rsidRPr="00852545">
              <w:rPr>
                <w:rFonts w:ascii="Arial" w:hAnsi="Arial" w:cs="Arial"/>
                <w:sz w:val="16"/>
                <w:szCs w:val="16"/>
              </w:rPr>
              <w:t>4,696,453</w:t>
            </w:r>
          </w:p>
        </w:tc>
        <w:tc>
          <w:tcPr>
            <w:tcW w:w="937" w:type="dxa"/>
            <w:tcBorders>
              <w:top w:val="nil"/>
              <w:left w:val="nil"/>
              <w:bottom w:val="nil"/>
              <w:right w:val="nil"/>
            </w:tcBorders>
            <w:shd w:val="clear" w:color="000000" w:fill="FFFFFF"/>
            <w:noWrap/>
            <w:vAlign w:val="bottom"/>
            <w:hideMark/>
          </w:tcPr>
          <w:p w14:paraId="7221D417" w14:textId="762D914F" w:rsidR="00BA06CF" w:rsidRPr="00852545" w:rsidRDefault="00BA06CF" w:rsidP="00BA06CF">
            <w:pPr>
              <w:spacing w:after="0" w:line="240" w:lineRule="auto"/>
              <w:jc w:val="right"/>
              <w:rPr>
                <w:rFonts w:ascii="Arial" w:hAnsi="Arial" w:cs="Arial"/>
                <w:sz w:val="16"/>
                <w:szCs w:val="16"/>
              </w:rPr>
            </w:pPr>
            <w:r w:rsidRPr="00852545">
              <w:rPr>
                <w:rFonts w:ascii="Arial" w:hAnsi="Arial" w:cs="Arial"/>
                <w:sz w:val="16"/>
                <w:szCs w:val="16"/>
              </w:rPr>
              <w:t>4,156,362</w:t>
            </w:r>
          </w:p>
        </w:tc>
        <w:tc>
          <w:tcPr>
            <w:tcW w:w="937" w:type="dxa"/>
            <w:tcBorders>
              <w:top w:val="nil"/>
              <w:left w:val="nil"/>
              <w:bottom w:val="nil"/>
              <w:right w:val="nil"/>
            </w:tcBorders>
            <w:shd w:val="clear" w:color="000000" w:fill="FFFFFF"/>
            <w:noWrap/>
            <w:vAlign w:val="bottom"/>
            <w:hideMark/>
          </w:tcPr>
          <w:p w14:paraId="16D25B5D" w14:textId="4D2C8181" w:rsidR="00BA06CF" w:rsidRPr="00852545" w:rsidRDefault="00BA06CF" w:rsidP="00BA06CF">
            <w:pPr>
              <w:spacing w:after="0" w:line="240" w:lineRule="auto"/>
              <w:jc w:val="right"/>
              <w:rPr>
                <w:rFonts w:ascii="Arial" w:hAnsi="Arial" w:cs="Arial"/>
                <w:sz w:val="16"/>
                <w:szCs w:val="16"/>
              </w:rPr>
            </w:pPr>
            <w:r w:rsidRPr="00852545">
              <w:rPr>
                <w:rFonts w:ascii="Arial" w:hAnsi="Arial" w:cs="Arial"/>
                <w:sz w:val="16"/>
                <w:szCs w:val="16"/>
              </w:rPr>
              <w:t>3,728,018</w:t>
            </w:r>
          </w:p>
        </w:tc>
      </w:tr>
      <w:tr w:rsidR="00BA06CF" w:rsidRPr="0099051B" w14:paraId="596D23D2" w14:textId="77777777" w:rsidTr="00852545">
        <w:trPr>
          <w:trHeight w:val="204"/>
        </w:trPr>
        <w:tc>
          <w:tcPr>
            <w:tcW w:w="2996" w:type="dxa"/>
            <w:tcBorders>
              <w:top w:val="nil"/>
              <w:left w:val="nil"/>
              <w:bottom w:val="nil"/>
              <w:right w:val="nil"/>
            </w:tcBorders>
            <w:shd w:val="clear" w:color="auto" w:fill="auto"/>
            <w:noWrap/>
            <w:vAlign w:val="bottom"/>
            <w:hideMark/>
          </w:tcPr>
          <w:p w14:paraId="04740FD8" w14:textId="77777777" w:rsidR="00BA06CF" w:rsidRPr="00852545" w:rsidRDefault="00BA06CF" w:rsidP="00BA06CF">
            <w:pPr>
              <w:spacing w:after="0" w:line="240" w:lineRule="auto"/>
              <w:jc w:val="left"/>
              <w:rPr>
                <w:rFonts w:ascii="Arial" w:hAnsi="Arial" w:cs="Arial"/>
                <w:b/>
                <w:bCs/>
                <w:sz w:val="16"/>
                <w:szCs w:val="16"/>
              </w:rPr>
            </w:pPr>
            <w:r w:rsidRPr="00852545">
              <w:rPr>
                <w:rFonts w:ascii="Arial" w:hAnsi="Arial" w:cs="Arial"/>
                <w:b/>
                <w:bCs/>
                <w:sz w:val="16"/>
                <w:szCs w:val="16"/>
              </w:rPr>
              <w:t>Total new capital appropriations</w:t>
            </w:r>
          </w:p>
        </w:tc>
        <w:tc>
          <w:tcPr>
            <w:tcW w:w="936" w:type="dxa"/>
            <w:tcBorders>
              <w:top w:val="single" w:sz="4" w:space="0" w:color="auto"/>
              <w:left w:val="nil"/>
              <w:bottom w:val="single" w:sz="4" w:space="0" w:color="auto"/>
              <w:right w:val="nil"/>
            </w:tcBorders>
            <w:shd w:val="clear" w:color="auto" w:fill="auto"/>
            <w:noWrap/>
            <w:vAlign w:val="bottom"/>
            <w:hideMark/>
          </w:tcPr>
          <w:p w14:paraId="73908AC9" w14:textId="3F710ACE" w:rsidR="00BA06CF" w:rsidRPr="00852545" w:rsidRDefault="00BA06CF" w:rsidP="00BA06CF">
            <w:pPr>
              <w:spacing w:after="0" w:line="240" w:lineRule="auto"/>
              <w:jc w:val="right"/>
              <w:rPr>
                <w:rFonts w:ascii="Arial" w:hAnsi="Arial" w:cs="Arial"/>
                <w:b/>
                <w:bCs/>
                <w:sz w:val="16"/>
                <w:szCs w:val="16"/>
              </w:rPr>
            </w:pPr>
            <w:r w:rsidRPr="00852545">
              <w:rPr>
                <w:rFonts w:ascii="Arial" w:hAnsi="Arial" w:cs="Arial"/>
                <w:b/>
                <w:bCs/>
                <w:sz w:val="16"/>
                <w:szCs w:val="16"/>
              </w:rPr>
              <w:t>1,430,164</w:t>
            </w:r>
          </w:p>
        </w:tc>
        <w:tc>
          <w:tcPr>
            <w:tcW w:w="928" w:type="dxa"/>
            <w:tcBorders>
              <w:top w:val="single" w:sz="4" w:space="0" w:color="000000"/>
              <w:left w:val="nil"/>
              <w:bottom w:val="single" w:sz="4" w:space="0" w:color="000000"/>
              <w:right w:val="nil"/>
            </w:tcBorders>
            <w:shd w:val="clear" w:color="000000" w:fill="E6E6E6"/>
            <w:noWrap/>
            <w:vAlign w:val="bottom"/>
            <w:hideMark/>
          </w:tcPr>
          <w:p w14:paraId="0B293F81" w14:textId="6EB84B9D" w:rsidR="00BA06CF" w:rsidRPr="00852545" w:rsidRDefault="00BA06CF" w:rsidP="00BA06CF">
            <w:pPr>
              <w:spacing w:after="0" w:line="240" w:lineRule="auto"/>
              <w:jc w:val="right"/>
              <w:rPr>
                <w:rFonts w:ascii="Arial" w:hAnsi="Arial" w:cs="Arial"/>
                <w:b/>
                <w:bCs/>
                <w:color w:val="000000"/>
                <w:sz w:val="16"/>
                <w:szCs w:val="16"/>
              </w:rPr>
            </w:pPr>
            <w:r w:rsidRPr="00852545">
              <w:rPr>
                <w:rFonts w:ascii="Arial" w:hAnsi="Arial" w:cs="Arial"/>
                <w:b/>
                <w:bCs/>
                <w:color w:val="000000"/>
                <w:sz w:val="16"/>
                <w:szCs w:val="16"/>
              </w:rPr>
              <w:t>2,151,024</w:t>
            </w:r>
          </w:p>
        </w:tc>
        <w:tc>
          <w:tcPr>
            <w:tcW w:w="937" w:type="dxa"/>
            <w:tcBorders>
              <w:top w:val="single" w:sz="4" w:space="0" w:color="auto"/>
              <w:left w:val="nil"/>
              <w:bottom w:val="single" w:sz="4" w:space="0" w:color="auto"/>
              <w:right w:val="nil"/>
            </w:tcBorders>
            <w:shd w:val="clear" w:color="auto" w:fill="auto"/>
            <w:noWrap/>
            <w:vAlign w:val="bottom"/>
            <w:hideMark/>
          </w:tcPr>
          <w:p w14:paraId="4875DC5A" w14:textId="2F39AA84" w:rsidR="00BA06CF" w:rsidRPr="00852545" w:rsidRDefault="00BA06CF" w:rsidP="00BA06CF">
            <w:pPr>
              <w:spacing w:after="0" w:line="240" w:lineRule="auto"/>
              <w:jc w:val="right"/>
              <w:rPr>
                <w:rFonts w:ascii="Arial" w:hAnsi="Arial" w:cs="Arial"/>
                <w:b/>
                <w:bCs/>
                <w:sz w:val="16"/>
                <w:szCs w:val="16"/>
              </w:rPr>
            </w:pPr>
            <w:r w:rsidRPr="00852545">
              <w:rPr>
                <w:rFonts w:ascii="Arial" w:hAnsi="Arial" w:cs="Arial"/>
                <w:b/>
                <w:bCs/>
                <w:sz w:val="16"/>
                <w:szCs w:val="16"/>
              </w:rPr>
              <w:t>4,719,604</w:t>
            </w:r>
          </w:p>
        </w:tc>
        <w:tc>
          <w:tcPr>
            <w:tcW w:w="937" w:type="dxa"/>
            <w:tcBorders>
              <w:top w:val="single" w:sz="4" w:space="0" w:color="auto"/>
              <w:left w:val="nil"/>
              <w:bottom w:val="single" w:sz="4" w:space="0" w:color="auto"/>
              <w:right w:val="nil"/>
            </w:tcBorders>
            <w:shd w:val="clear" w:color="auto" w:fill="auto"/>
            <w:noWrap/>
            <w:vAlign w:val="bottom"/>
            <w:hideMark/>
          </w:tcPr>
          <w:p w14:paraId="6C935424" w14:textId="524F53C2" w:rsidR="00BA06CF" w:rsidRPr="00852545" w:rsidRDefault="00BA06CF" w:rsidP="00BA06CF">
            <w:pPr>
              <w:spacing w:after="0" w:line="240" w:lineRule="auto"/>
              <w:jc w:val="right"/>
              <w:rPr>
                <w:rFonts w:ascii="Arial" w:hAnsi="Arial" w:cs="Arial"/>
                <w:b/>
                <w:bCs/>
                <w:sz w:val="16"/>
                <w:szCs w:val="16"/>
              </w:rPr>
            </w:pPr>
            <w:r w:rsidRPr="00852545">
              <w:rPr>
                <w:rFonts w:ascii="Arial" w:hAnsi="Arial" w:cs="Arial"/>
                <w:b/>
                <w:bCs/>
                <w:sz w:val="16"/>
                <w:szCs w:val="16"/>
              </w:rPr>
              <w:t>4,176,907</w:t>
            </w:r>
          </w:p>
        </w:tc>
        <w:tc>
          <w:tcPr>
            <w:tcW w:w="937" w:type="dxa"/>
            <w:tcBorders>
              <w:top w:val="single" w:sz="4" w:space="0" w:color="auto"/>
              <w:left w:val="nil"/>
              <w:bottom w:val="single" w:sz="4" w:space="0" w:color="auto"/>
              <w:right w:val="nil"/>
            </w:tcBorders>
            <w:shd w:val="clear" w:color="auto" w:fill="auto"/>
            <w:noWrap/>
            <w:vAlign w:val="bottom"/>
            <w:hideMark/>
          </w:tcPr>
          <w:p w14:paraId="6B0FD50C" w14:textId="484D1018" w:rsidR="00BA06CF" w:rsidRPr="00852545" w:rsidRDefault="00BA06CF" w:rsidP="00BA06CF">
            <w:pPr>
              <w:spacing w:after="0" w:line="240" w:lineRule="auto"/>
              <w:jc w:val="right"/>
              <w:rPr>
                <w:rFonts w:ascii="Arial" w:hAnsi="Arial" w:cs="Arial"/>
                <w:b/>
                <w:bCs/>
                <w:sz w:val="16"/>
                <w:szCs w:val="16"/>
              </w:rPr>
            </w:pPr>
            <w:r w:rsidRPr="00852545">
              <w:rPr>
                <w:rFonts w:ascii="Arial" w:hAnsi="Arial" w:cs="Arial"/>
                <w:b/>
                <w:bCs/>
                <w:sz w:val="16"/>
                <w:szCs w:val="16"/>
              </w:rPr>
              <w:t>3,745,464</w:t>
            </w:r>
          </w:p>
        </w:tc>
      </w:tr>
      <w:tr w:rsidR="00BA06CF" w:rsidRPr="0099051B" w14:paraId="07A60477" w14:textId="77777777" w:rsidTr="00852545">
        <w:trPr>
          <w:trHeight w:val="204"/>
        </w:trPr>
        <w:tc>
          <w:tcPr>
            <w:tcW w:w="2996" w:type="dxa"/>
            <w:tcBorders>
              <w:top w:val="nil"/>
              <w:left w:val="nil"/>
              <w:bottom w:val="nil"/>
              <w:right w:val="nil"/>
            </w:tcBorders>
            <w:shd w:val="clear" w:color="auto" w:fill="auto"/>
            <w:noWrap/>
            <w:vAlign w:val="bottom"/>
            <w:hideMark/>
          </w:tcPr>
          <w:p w14:paraId="4B040FDF" w14:textId="77777777" w:rsidR="00BA06CF" w:rsidRPr="00852545" w:rsidRDefault="00BA06CF" w:rsidP="00BA06CF">
            <w:pPr>
              <w:spacing w:after="0" w:line="240" w:lineRule="auto"/>
              <w:ind w:left="113"/>
              <w:jc w:val="left"/>
              <w:rPr>
                <w:rFonts w:ascii="Arial" w:hAnsi="Arial" w:cs="Arial"/>
                <w:b/>
                <w:bCs/>
                <w:iCs/>
                <w:sz w:val="16"/>
                <w:szCs w:val="16"/>
              </w:rPr>
            </w:pPr>
            <w:r w:rsidRPr="00852545">
              <w:rPr>
                <w:rFonts w:ascii="Arial" w:hAnsi="Arial" w:cs="Arial"/>
                <w:b/>
                <w:bCs/>
                <w:iCs/>
                <w:sz w:val="16"/>
                <w:szCs w:val="16"/>
              </w:rPr>
              <w:t>Provided for:</w:t>
            </w:r>
          </w:p>
        </w:tc>
        <w:tc>
          <w:tcPr>
            <w:tcW w:w="936" w:type="dxa"/>
            <w:tcBorders>
              <w:top w:val="nil"/>
              <w:left w:val="nil"/>
              <w:bottom w:val="nil"/>
              <w:right w:val="nil"/>
            </w:tcBorders>
            <w:shd w:val="clear" w:color="auto" w:fill="auto"/>
            <w:noWrap/>
            <w:vAlign w:val="bottom"/>
            <w:hideMark/>
          </w:tcPr>
          <w:p w14:paraId="75E1BD05" w14:textId="77777777" w:rsidR="00BA06CF" w:rsidRPr="00852545" w:rsidRDefault="00BA06CF" w:rsidP="00BA06CF">
            <w:pPr>
              <w:spacing w:after="0" w:line="240" w:lineRule="auto"/>
              <w:ind w:firstLineChars="100" w:firstLine="160"/>
              <w:jc w:val="left"/>
              <w:rPr>
                <w:rFonts w:ascii="Arial" w:hAnsi="Arial" w:cs="Arial"/>
                <w:b/>
                <w:bCs/>
                <w:iCs/>
                <w:sz w:val="16"/>
                <w:szCs w:val="16"/>
              </w:rPr>
            </w:pPr>
          </w:p>
        </w:tc>
        <w:tc>
          <w:tcPr>
            <w:tcW w:w="928" w:type="dxa"/>
            <w:tcBorders>
              <w:top w:val="nil"/>
              <w:left w:val="nil"/>
              <w:bottom w:val="nil"/>
              <w:right w:val="nil"/>
            </w:tcBorders>
            <w:shd w:val="clear" w:color="000000" w:fill="E6E6E6"/>
            <w:noWrap/>
            <w:vAlign w:val="bottom"/>
            <w:hideMark/>
          </w:tcPr>
          <w:p w14:paraId="701D4EF1" w14:textId="4F6F41A8" w:rsidR="00BA06CF" w:rsidRPr="00852545" w:rsidRDefault="00BA06CF" w:rsidP="00BA06C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2F6A6392" w14:textId="77777777" w:rsidR="00BA06CF" w:rsidRPr="00852545" w:rsidRDefault="00BA06CF" w:rsidP="00BA06C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1F7AA0CC" w14:textId="77777777" w:rsidR="00BA06CF" w:rsidRPr="00852545" w:rsidRDefault="00BA06CF" w:rsidP="00BA06CF">
            <w:pPr>
              <w:spacing w:after="0" w:line="240" w:lineRule="auto"/>
              <w:jc w:val="right"/>
              <w:rPr>
                <w:rFonts w:ascii="Times New Roman" w:hAnsi="Times New Roman"/>
                <w:sz w:val="16"/>
                <w:szCs w:val="16"/>
              </w:rPr>
            </w:pPr>
          </w:p>
        </w:tc>
        <w:tc>
          <w:tcPr>
            <w:tcW w:w="937" w:type="dxa"/>
            <w:tcBorders>
              <w:top w:val="nil"/>
              <w:left w:val="nil"/>
              <w:bottom w:val="nil"/>
              <w:right w:val="nil"/>
            </w:tcBorders>
            <w:shd w:val="clear" w:color="auto" w:fill="auto"/>
            <w:noWrap/>
            <w:vAlign w:val="bottom"/>
            <w:hideMark/>
          </w:tcPr>
          <w:p w14:paraId="3E7773E6" w14:textId="77777777" w:rsidR="00BA06CF" w:rsidRPr="00852545" w:rsidRDefault="00BA06CF" w:rsidP="00BA06CF">
            <w:pPr>
              <w:spacing w:after="0" w:line="240" w:lineRule="auto"/>
              <w:jc w:val="right"/>
              <w:rPr>
                <w:rFonts w:ascii="Times New Roman" w:hAnsi="Times New Roman"/>
                <w:sz w:val="16"/>
                <w:szCs w:val="16"/>
              </w:rPr>
            </w:pPr>
          </w:p>
        </w:tc>
      </w:tr>
      <w:tr w:rsidR="00BA06CF" w:rsidRPr="0099051B" w14:paraId="1D4DAB39" w14:textId="77777777" w:rsidTr="00852545">
        <w:trPr>
          <w:trHeight w:val="204"/>
        </w:trPr>
        <w:tc>
          <w:tcPr>
            <w:tcW w:w="2996" w:type="dxa"/>
            <w:tcBorders>
              <w:top w:val="nil"/>
              <w:left w:val="nil"/>
              <w:bottom w:val="nil"/>
              <w:right w:val="nil"/>
            </w:tcBorders>
            <w:shd w:val="clear" w:color="auto" w:fill="auto"/>
            <w:noWrap/>
            <w:vAlign w:val="bottom"/>
            <w:hideMark/>
          </w:tcPr>
          <w:p w14:paraId="07060EC5" w14:textId="77777777" w:rsidR="00BA06CF" w:rsidRPr="00852545" w:rsidRDefault="00BA06CF" w:rsidP="00BA06CF">
            <w:pPr>
              <w:spacing w:after="0" w:line="240" w:lineRule="auto"/>
              <w:ind w:left="227"/>
              <w:jc w:val="left"/>
              <w:rPr>
                <w:rFonts w:ascii="Arial" w:hAnsi="Arial" w:cs="Arial"/>
                <w:iCs/>
                <w:sz w:val="16"/>
                <w:szCs w:val="16"/>
              </w:rPr>
            </w:pPr>
            <w:r w:rsidRPr="00852545">
              <w:rPr>
                <w:rFonts w:ascii="Arial" w:hAnsi="Arial" w:cs="Arial"/>
                <w:iCs/>
                <w:sz w:val="16"/>
                <w:szCs w:val="16"/>
              </w:rPr>
              <w:t>Purchase of non-financial assets</w:t>
            </w:r>
          </w:p>
        </w:tc>
        <w:tc>
          <w:tcPr>
            <w:tcW w:w="936" w:type="dxa"/>
            <w:tcBorders>
              <w:top w:val="nil"/>
              <w:left w:val="nil"/>
              <w:bottom w:val="nil"/>
              <w:right w:val="nil"/>
            </w:tcBorders>
            <w:shd w:val="clear" w:color="auto" w:fill="auto"/>
            <w:noWrap/>
            <w:vAlign w:val="bottom"/>
            <w:hideMark/>
          </w:tcPr>
          <w:p w14:paraId="0E713E43" w14:textId="7A36BB2B" w:rsidR="00BA06CF" w:rsidRPr="00852545" w:rsidRDefault="00BA06CF" w:rsidP="00BA06CF">
            <w:pPr>
              <w:spacing w:after="0" w:line="240" w:lineRule="auto"/>
              <w:jc w:val="right"/>
              <w:rPr>
                <w:rFonts w:ascii="Arial" w:hAnsi="Arial" w:cs="Arial"/>
                <w:iCs/>
                <w:sz w:val="16"/>
                <w:szCs w:val="16"/>
              </w:rPr>
            </w:pPr>
            <w:r w:rsidRPr="00852545">
              <w:rPr>
                <w:rFonts w:ascii="Arial" w:hAnsi="Arial" w:cs="Arial"/>
                <w:iCs/>
                <w:sz w:val="16"/>
                <w:szCs w:val="16"/>
              </w:rPr>
              <w:t>26,384</w:t>
            </w:r>
          </w:p>
        </w:tc>
        <w:tc>
          <w:tcPr>
            <w:tcW w:w="928" w:type="dxa"/>
            <w:tcBorders>
              <w:top w:val="nil"/>
              <w:left w:val="nil"/>
              <w:bottom w:val="nil"/>
              <w:right w:val="nil"/>
            </w:tcBorders>
            <w:shd w:val="clear" w:color="000000" w:fill="E6E6E6"/>
            <w:noWrap/>
            <w:vAlign w:val="bottom"/>
            <w:hideMark/>
          </w:tcPr>
          <w:p w14:paraId="296E47A3" w14:textId="20B76B77" w:rsidR="00BA06CF" w:rsidRPr="00852545" w:rsidRDefault="00BA06CF" w:rsidP="00BA06CF">
            <w:pPr>
              <w:spacing w:after="0" w:line="240" w:lineRule="auto"/>
              <w:jc w:val="right"/>
              <w:rPr>
                <w:rFonts w:ascii="Arial" w:hAnsi="Arial" w:cs="Arial"/>
                <w:color w:val="000000"/>
                <w:sz w:val="16"/>
                <w:szCs w:val="16"/>
              </w:rPr>
            </w:pPr>
            <w:r w:rsidRPr="00852545">
              <w:rPr>
                <w:rFonts w:ascii="Arial" w:hAnsi="Arial" w:cs="Arial"/>
                <w:color w:val="000000"/>
                <w:sz w:val="16"/>
                <w:szCs w:val="16"/>
              </w:rPr>
              <w:t>42,578</w:t>
            </w:r>
          </w:p>
        </w:tc>
        <w:tc>
          <w:tcPr>
            <w:tcW w:w="937" w:type="dxa"/>
            <w:tcBorders>
              <w:top w:val="nil"/>
              <w:left w:val="nil"/>
              <w:bottom w:val="nil"/>
              <w:right w:val="nil"/>
            </w:tcBorders>
            <w:shd w:val="clear" w:color="auto" w:fill="auto"/>
            <w:noWrap/>
            <w:vAlign w:val="bottom"/>
            <w:hideMark/>
          </w:tcPr>
          <w:p w14:paraId="06BF1401" w14:textId="37A27E09" w:rsidR="00BA06CF" w:rsidRPr="00852545" w:rsidRDefault="00BA06CF" w:rsidP="00BA06CF">
            <w:pPr>
              <w:spacing w:after="0" w:line="240" w:lineRule="auto"/>
              <w:jc w:val="right"/>
              <w:rPr>
                <w:rFonts w:ascii="Arial" w:hAnsi="Arial" w:cs="Arial"/>
                <w:iCs/>
                <w:sz w:val="16"/>
                <w:szCs w:val="16"/>
              </w:rPr>
            </w:pPr>
            <w:r w:rsidRPr="00852545">
              <w:rPr>
                <w:rFonts w:ascii="Arial" w:hAnsi="Arial" w:cs="Arial"/>
                <w:iCs/>
                <w:sz w:val="16"/>
                <w:szCs w:val="16"/>
              </w:rPr>
              <w:t>63,790</w:t>
            </w:r>
          </w:p>
        </w:tc>
        <w:tc>
          <w:tcPr>
            <w:tcW w:w="937" w:type="dxa"/>
            <w:tcBorders>
              <w:top w:val="nil"/>
              <w:left w:val="nil"/>
              <w:bottom w:val="nil"/>
              <w:right w:val="nil"/>
            </w:tcBorders>
            <w:shd w:val="clear" w:color="auto" w:fill="auto"/>
            <w:noWrap/>
            <w:vAlign w:val="bottom"/>
            <w:hideMark/>
          </w:tcPr>
          <w:p w14:paraId="6B6F3165" w14:textId="6FC9F5E2" w:rsidR="00BA06CF" w:rsidRPr="00852545" w:rsidRDefault="00BA06CF" w:rsidP="00BA06CF">
            <w:pPr>
              <w:spacing w:after="0" w:line="240" w:lineRule="auto"/>
              <w:jc w:val="right"/>
              <w:rPr>
                <w:rFonts w:ascii="Arial" w:hAnsi="Arial" w:cs="Arial"/>
                <w:iCs/>
                <w:sz w:val="16"/>
                <w:szCs w:val="16"/>
              </w:rPr>
            </w:pPr>
            <w:r w:rsidRPr="00852545">
              <w:rPr>
                <w:rFonts w:ascii="Arial" w:hAnsi="Arial" w:cs="Arial"/>
                <w:iCs/>
                <w:sz w:val="16"/>
                <w:szCs w:val="16"/>
              </w:rPr>
              <w:t>64,919</w:t>
            </w:r>
          </w:p>
        </w:tc>
        <w:tc>
          <w:tcPr>
            <w:tcW w:w="937" w:type="dxa"/>
            <w:tcBorders>
              <w:top w:val="nil"/>
              <w:left w:val="nil"/>
              <w:bottom w:val="nil"/>
              <w:right w:val="nil"/>
            </w:tcBorders>
            <w:shd w:val="clear" w:color="auto" w:fill="auto"/>
            <w:noWrap/>
            <w:vAlign w:val="bottom"/>
            <w:hideMark/>
          </w:tcPr>
          <w:p w14:paraId="23C6D106" w14:textId="31EADE68" w:rsidR="00BA06CF" w:rsidRPr="00852545" w:rsidRDefault="00BA06CF" w:rsidP="00BA06CF">
            <w:pPr>
              <w:spacing w:after="0" w:line="240" w:lineRule="auto"/>
              <w:jc w:val="right"/>
              <w:rPr>
                <w:rFonts w:ascii="Arial" w:hAnsi="Arial" w:cs="Arial"/>
                <w:iCs/>
                <w:sz w:val="16"/>
                <w:szCs w:val="16"/>
              </w:rPr>
            </w:pPr>
            <w:r w:rsidRPr="00852545">
              <w:rPr>
                <w:rFonts w:ascii="Arial" w:hAnsi="Arial" w:cs="Arial"/>
                <w:iCs/>
                <w:sz w:val="16"/>
                <w:szCs w:val="16"/>
              </w:rPr>
              <w:t>37,456</w:t>
            </w:r>
          </w:p>
        </w:tc>
      </w:tr>
      <w:tr w:rsidR="00BA06CF" w:rsidRPr="0099051B" w14:paraId="7FBBB3A8" w14:textId="77777777" w:rsidTr="00852545">
        <w:trPr>
          <w:trHeight w:val="204"/>
        </w:trPr>
        <w:tc>
          <w:tcPr>
            <w:tcW w:w="2996" w:type="dxa"/>
            <w:tcBorders>
              <w:top w:val="nil"/>
              <w:left w:val="nil"/>
              <w:bottom w:val="nil"/>
              <w:right w:val="nil"/>
            </w:tcBorders>
            <w:shd w:val="clear" w:color="auto" w:fill="auto"/>
            <w:noWrap/>
            <w:vAlign w:val="bottom"/>
            <w:hideMark/>
          </w:tcPr>
          <w:p w14:paraId="47AE6D98" w14:textId="77777777" w:rsidR="00BA06CF" w:rsidRPr="00852545" w:rsidRDefault="00BA06CF" w:rsidP="00BA06CF">
            <w:pPr>
              <w:spacing w:after="0" w:line="240" w:lineRule="auto"/>
              <w:ind w:left="227"/>
              <w:jc w:val="left"/>
              <w:rPr>
                <w:rFonts w:ascii="Arial" w:hAnsi="Arial" w:cs="Arial"/>
                <w:iCs/>
                <w:sz w:val="16"/>
                <w:szCs w:val="16"/>
              </w:rPr>
            </w:pPr>
            <w:r w:rsidRPr="00852545">
              <w:rPr>
                <w:rFonts w:ascii="Arial" w:hAnsi="Arial" w:cs="Arial"/>
                <w:iCs/>
                <w:sz w:val="16"/>
                <w:szCs w:val="16"/>
              </w:rPr>
              <w:t>Other Items</w:t>
            </w:r>
          </w:p>
        </w:tc>
        <w:tc>
          <w:tcPr>
            <w:tcW w:w="936" w:type="dxa"/>
            <w:tcBorders>
              <w:top w:val="nil"/>
              <w:left w:val="nil"/>
              <w:bottom w:val="nil"/>
              <w:right w:val="nil"/>
            </w:tcBorders>
            <w:shd w:val="clear" w:color="auto" w:fill="auto"/>
            <w:noWrap/>
            <w:vAlign w:val="bottom"/>
            <w:hideMark/>
          </w:tcPr>
          <w:p w14:paraId="09AF296D" w14:textId="1A6306A3" w:rsidR="00BA06CF" w:rsidRPr="00852545" w:rsidRDefault="00BA06CF" w:rsidP="00BA06CF">
            <w:pPr>
              <w:spacing w:after="0" w:line="240" w:lineRule="auto"/>
              <w:jc w:val="right"/>
              <w:rPr>
                <w:rFonts w:ascii="Arial" w:hAnsi="Arial" w:cs="Arial"/>
                <w:iCs/>
                <w:sz w:val="16"/>
                <w:szCs w:val="16"/>
              </w:rPr>
            </w:pPr>
            <w:r w:rsidRPr="00852545">
              <w:rPr>
                <w:rFonts w:ascii="Arial" w:hAnsi="Arial" w:cs="Arial"/>
                <w:iCs/>
                <w:sz w:val="16"/>
                <w:szCs w:val="16"/>
              </w:rPr>
              <w:t>1,403,780</w:t>
            </w:r>
          </w:p>
        </w:tc>
        <w:tc>
          <w:tcPr>
            <w:tcW w:w="928" w:type="dxa"/>
            <w:tcBorders>
              <w:top w:val="nil"/>
              <w:left w:val="nil"/>
              <w:bottom w:val="nil"/>
              <w:right w:val="nil"/>
            </w:tcBorders>
            <w:shd w:val="clear" w:color="000000" w:fill="E6E6E6"/>
            <w:noWrap/>
            <w:vAlign w:val="bottom"/>
            <w:hideMark/>
          </w:tcPr>
          <w:p w14:paraId="1FD4FFD5" w14:textId="6402604C" w:rsidR="00BA06CF" w:rsidRPr="00852545" w:rsidRDefault="00BA06CF" w:rsidP="00BA06CF">
            <w:pPr>
              <w:spacing w:after="0" w:line="240" w:lineRule="auto"/>
              <w:jc w:val="right"/>
              <w:rPr>
                <w:rFonts w:ascii="Arial" w:hAnsi="Arial" w:cs="Arial"/>
                <w:color w:val="000000"/>
                <w:sz w:val="16"/>
                <w:szCs w:val="16"/>
              </w:rPr>
            </w:pPr>
            <w:r w:rsidRPr="00852545">
              <w:rPr>
                <w:rFonts w:ascii="Arial" w:hAnsi="Arial" w:cs="Arial"/>
                <w:color w:val="000000"/>
                <w:sz w:val="16"/>
                <w:szCs w:val="16"/>
              </w:rPr>
              <w:t>2,108,446</w:t>
            </w:r>
          </w:p>
        </w:tc>
        <w:tc>
          <w:tcPr>
            <w:tcW w:w="937" w:type="dxa"/>
            <w:tcBorders>
              <w:top w:val="nil"/>
              <w:left w:val="nil"/>
              <w:bottom w:val="nil"/>
              <w:right w:val="nil"/>
            </w:tcBorders>
            <w:shd w:val="clear" w:color="auto" w:fill="auto"/>
            <w:noWrap/>
            <w:vAlign w:val="bottom"/>
            <w:hideMark/>
          </w:tcPr>
          <w:p w14:paraId="496761EC" w14:textId="4A352F95" w:rsidR="00BA06CF" w:rsidRPr="00852545" w:rsidRDefault="00BA06CF" w:rsidP="00BA06CF">
            <w:pPr>
              <w:spacing w:after="0" w:line="240" w:lineRule="auto"/>
              <w:jc w:val="right"/>
              <w:rPr>
                <w:rFonts w:ascii="Arial" w:hAnsi="Arial" w:cs="Arial"/>
                <w:iCs/>
                <w:sz w:val="16"/>
                <w:szCs w:val="16"/>
              </w:rPr>
            </w:pPr>
            <w:r w:rsidRPr="00852545">
              <w:rPr>
                <w:rFonts w:ascii="Arial" w:hAnsi="Arial" w:cs="Arial"/>
                <w:iCs/>
                <w:sz w:val="16"/>
                <w:szCs w:val="16"/>
              </w:rPr>
              <w:t>4,655,814</w:t>
            </w:r>
          </w:p>
        </w:tc>
        <w:tc>
          <w:tcPr>
            <w:tcW w:w="937" w:type="dxa"/>
            <w:tcBorders>
              <w:top w:val="nil"/>
              <w:left w:val="nil"/>
              <w:bottom w:val="nil"/>
              <w:right w:val="nil"/>
            </w:tcBorders>
            <w:shd w:val="clear" w:color="auto" w:fill="auto"/>
            <w:noWrap/>
            <w:vAlign w:val="bottom"/>
            <w:hideMark/>
          </w:tcPr>
          <w:p w14:paraId="1E2488E2" w14:textId="756F3726" w:rsidR="00BA06CF" w:rsidRPr="00852545" w:rsidRDefault="00BA06CF" w:rsidP="00BA06CF">
            <w:pPr>
              <w:spacing w:after="0" w:line="240" w:lineRule="auto"/>
              <w:jc w:val="right"/>
              <w:rPr>
                <w:rFonts w:ascii="Arial" w:hAnsi="Arial" w:cs="Arial"/>
                <w:iCs/>
                <w:sz w:val="16"/>
                <w:szCs w:val="16"/>
              </w:rPr>
            </w:pPr>
            <w:r w:rsidRPr="00852545">
              <w:rPr>
                <w:rFonts w:ascii="Arial" w:hAnsi="Arial" w:cs="Arial"/>
                <w:iCs/>
                <w:sz w:val="16"/>
                <w:szCs w:val="16"/>
              </w:rPr>
              <w:t>4,111,988</w:t>
            </w:r>
          </w:p>
        </w:tc>
        <w:tc>
          <w:tcPr>
            <w:tcW w:w="937" w:type="dxa"/>
            <w:tcBorders>
              <w:top w:val="nil"/>
              <w:left w:val="nil"/>
              <w:bottom w:val="nil"/>
              <w:right w:val="nil"/>
            </w:tcBorders>
            <w:shd w:val="clear" w:color="auto" w:fill="auto"/>
            <w:noWrap/>
            <w:vAlign w:val="bottom"/>
            <w:hideMark/>
          </w:tcPr>
          <w:p w14:paraId="7AA3FA06" w14:textId="46A3ACB5" w:rsidR="00BA06CF" w:rsidRPr="00852545" w:rsidRDefault="00BA06CF" w:rsidP="00BA06CF">
            <w:pPr>
              <w:spacing w:after="0" w:line="240" w:lineRule="auto"/>
              <w:jc w:val="right"/>
              <w:rPr>
                <w:rFonts w:ascii="Arial" w:hAnsi="Arial" w:cs="Arial"/>
                <w:iCs/>
                <w:sz w:val="16"/>
                <w:szCs w:val="16"/>
              </w:rPr>
            </w:pPr>
            <w:r w:rsidRPr="00852545">
              <w:rPr>
                <w:rFonts w:ascii="Arial" w:hAnsi="Arial" w:cs="Arial"/>
                <w:iCs/>
                <w:sz w:val="16"/>
                <w:szCs w:val="16"/>
              </w:rPr>
              <w:t>3,708,008</w:t>
            </w:r>
          </w:p>
        </w:tc>
      </w:tr>
      <w:tr w:rsidR="00BA06CF" w:rsidRPr="0099051B" w14:paraId="74C74031" w14:textId="77777777" w:rsidTr="00852545">
        <w:trPr>
          <w:trHeight w:val="204"/>
        </w:trPr>
        <w:tc>
          <w:tcPr>
            <w:tcW w:w="2996" w:type="dxa"/>
            <w:tcBorders>
              <w:top w:val="nil"/>
              <w:left w:val="nil"/>
              <w:bottom w:val="nil"/>
              <w:right w:val="nil"/>
            </w:tcBorders>
            <w:shd w:val="clear" w:color="auto" w:fill="auto"/>
            <w:noWrap/>
            <w:vAlign w:val="bottom"/>
            <w:hideMark/>
          </w:tcPr>
          <w:p w14:paraId="5EE8416B" w14:textId="77777777" w:rsidR="00BA06CF" w:rsidRPr="00852545" w:rsidRDefault="00BA06CF" w:rsidP="00BA06CF">
            <w:pPr>
              <w:spacing w:after="0" w:line="240" w:lineRule="auto"/>
              <w:ind w:left="113"/>
              <w:jc w:val="left"/>
              <w:rPr>
                <w:rFonts w:ascii="Arial" w:hAnsi="Arial" w:cs="Arial"/>
                <w:b/>
                <w:bCs/>
                <w:iCs/>
                <w:sz w:val="16"/>
                <w:szCs w:val="16"/>
              </w:rPr>
            </w:pPr>
            <w:r w:rsidRPr="00852545">
              <w:rPr>
                <w:rFonts w:ascii="Arial" w:hAnsi="Arial" w:cs="Arial"/>
                <w:b/>
                <w:bCs/>
                <w:iCs/>
                <w:sz w:val="16"/>
                <w:szCs w:val="16"/>
              </w:rPr>
              <w:t>Total items</w:t>
            </w:r>
          </w:p>
        </w:tc>
        <w:tc>
          <w:tcPr>
            <w:tcW w:w="936" w:type="dxa"/>
            <w:tcBorders>
              <w:top w:val="single" w:sz="4" w:space="0" w:color="auto"/>
              <w:left w:val="nil"/>
              <w:bottom w:val="single" w:sz="4" w:space="0" w:color="auto"/>
              <w:right w:val="nil"/>
            </w:tcBorders>
            <w:shd w:val="clear" w:color="auto" w:fill="auto"/>
            <w:noWrap/>
            <w:vAlign w:val="bottom"/>
            <w:hideMark/>
          </w:tcPr>
          <w:p w14:paraId="0F229CC9" w14:textId="102577FE" w:rsidR="00BA06CF" w:rsidRPr="00852545" w:rsidRDefault="00BA06CF" w:rsidP="00BA06CF">
            <w:pPr>
              <w:spacing w:after="0" w:line="240" w:lineRule="auto"/>
              <w:jc w:val="right"/>
              <w:rPr>
                <w:rFonts w:ascii="Arial" w:hAnsi="Arial" w:cs="Arial"/>
                <w:b/>
                <w:bCs/>
                <w:iCs/>
                <w:sz w:val="16"/>
                <w:szCs w:val="16"/>
              </w:rPr>
            </w:pPr>
            <w:r w:rsidRPr="00852545">
              <w:rPr>
                <w:rFonts w:ascii="Arial" w:hAnsi="Arial" w:cs="Arial"/>
                <w:b/>
                <w:bCs/>
                <w:iCs/>
                <w:sz w:val="16"/>
                <w:szCs w:val="16"/>
              </w:rPr>
              <w:t>1,430,164</w:t>
            </w:r>
          </w:p>
        </w:tc>
        <w:tc>
          <w:tcPr>
            <w:tcW w:w="928" w:type="dxa"/>
            <w:tcBorders>
              <w:top w:val="single" w:sz="4" w:space="0" w:color="auto"/>
              <w:left w:val="nil"/>
              <w:bottom w:val="single" w:sz="4" w:space="0" w:color="auto"/>
              <w:right w:val="nil"/>
            </w:tcBorders>
            <w:shd w:val="clear" w:color="000000" w:fill="E6E6E6"/>
            <w:noWrap/>
            <w:vAlign w:val="bottom"/>
            <w:hideMark/>
          </w:tcPr>
          <w:p w14:paraId="3DE5889C" w14:textId="087915C2" w:rsidR="00BA06CF" w:rsidRPr="00852545" w:rsidRDefault="00BA06CF" w:rsidP="00BA06CF">
            <w:pPr>
              <w:spacing w:after="0" w:line="240" w:lineRule="auto"/>
              <w:jc w:val="right"/>
              <w:rPr>
                <w:rFonts w:ascii="Arial" w:hAnsi="Arial" w:cs="Arial"/>
                <w:b/>
                <w:bCs/>
                <w:color w:val="000000"/>
                <w:sz w:val="16"/>
                <w:szCs w:val="16"/>
              </w:rPr>
            </w:pPr>
            <w:r w:rsidRPr="00852545">
              <w:rPr>
                <w:rFonts w:ascii="Arial" w:hAnsi="Arial" w:cs="Arial"/>
                <w:b/>
                <w:bCs/>
                <w:color w:val="000000"/>
                <w:sz w:val="16"/>
                <w:szCs w:val="16"/>
              </w:rPr>
              <w:t>2,151,024</w:t>
            </w:r>
          </w:p>
        </w:tc>
        <w:tc>
          <w:tcPr>
            <w:tcW w:w="937" w:type="dxa"/>
            <w:tcBorders>
              <w:top w:val="single" w:sz="4" w:space="0" w:color="auto"/>
              <w:left w:val="nil"/>
              <w:bottom w:val="single" w:sz="4" w:space="0" w:color="auto"/>
              <w:right w:val="nil"/>
            </w:tcBorders>
            <w:shd w:val="clear" w:color="auto" w:fill="auto"/>
            <w:noWrap/>
            <w:vAlign w:val="bottom"/>
            <w:hideMark/>
          </w:tcPr>
          <w:p w14:paraId="29B6AE5A" w14:textId="284455B8" w:rsidR="00BA06CF" w:rsidRPr="00852545" w:rsidRDefault="00BA06CF" w:rsidP="00BA06CF">
            <w:pPr>
              <w:spacing w:after="0" w:line="240" w:lineRule="auto"/>
              <w:jc w:val="right"/>
              <w:rPr>
                <w:rFonts w:ascii="Arial" w:hAnsi="Arial" w:cs="Arial"/>
                <w:b/>
                <w:bCs/>
                <w:iCs/>
                <w:sz w:val="16"/>
                <w:szCs w:val="16"/>
              </w:rPr>
            </w:pPr>
            <w:r w:rsidRPr="00852545">
              <w:rPr>
                <w:rFonts w:ascii="Arial" w:hAnsi="Arial" w:cs="Arial"/>
                <w:b/>
                <w:bCs/>
                <w:iCs/>
                <w:sz w:val="16"/>
                <w:szCs w:val="16"/>
              </w:rPr>
              <w:t>4,719,604</w:t>
            </w:r>
          </w:p>
        </w:tc>
        <w:tc>
          <w:tcPr>
            <w:tcW w:w="937" w:type="dxa"/>
            <w:tcBorders>
              <w:top w:val="single" w:sz="4" w:space="0" w:color="auto"/>
              <w:left w:val="nil"/>
              <w:bottom w:val="single" w:sz="4" w:space="0" w:color="auto"/>
              <w:right w:val="nil"/>
            </w:tcBorders>
            <w:shd w:val="clear" w:color="auto" w:fill="auto"/>
            <w:noWrap/>
            <w:vAlign w:val="bottom"/>
            <w:hideMark/>
          </w:tcPr>
          <w:p w14:paraId="604B78D4" w14:textId="60994E0E" w:rsidR="00BA06CF" w:rsidRPr="00852545" w:rsidRDefault="00BA06CF" w:rsidP="00BA06CF">
            <w:pPr>
              <w:spacing w:after="0" w:line="240" w:lineRule="auto"/>
              <w:jc w:val="right"/>
              <w:rPr>
                <w:rFonts w:ascii="Arial" w:hAnsi="Arial" w:cs="Arial"/>
                <w:b/>
                <w:bCs/>
                <w:iCs/>
                <w:sz w:val="16"/>
                <w:szCs w:val="16"/>
              </w:rPr>
            </w:pPr>
            <w:r w:rsidRPr="00852545">
              <w:rPr>
                <w:rFonts w:ascii="Arial" w:hAnsi="Arial" w:cs="Arial"/>
                <w:b/>
                <w:bCs/>
                <w:iCs/>
                <w:sz w:val="16"/>
                <w:szCs w:val="16"/>
              </w:rPr>
              <w:t>4,176,907</w:t>
            </w:r>
          </w:p>
        </w:tc>
        <w:tc>
          <w:tcPr>
            <w:tcW w:w="937" w:type="dxa"/>
            <w:tcBorders>
              <w:top w:val="single" w:sz="4" w:space="0" w:color="auto"/>
              <w:left w:val="nil"/>
              <w:bottom w:val="single" w:sz="4" w:space="0" w:color="auto"/>
              <w:right w:val="nil"/>
            </w:tcBorders>
            <w:shd w:val="clear" w:color="auto" w:fill="auto"/>
            <w:noWrap/>
            <w:vAlign w:val="bottom"/>
            <w:hideMark/>
          </w:tcPr>
          <w:p w14:paraId="4A673774" w14:textId="74546399" w:rsidR="00BA06CF" w:rsidRPr="00852545" w:rsidRDefault="00BA06CF" w:rsidP="00BA06CF">
            <w:pPr>
              <w:spacing w:after="0" w:line="240" w:lineRule="auto"/>
              <w:jc w:val="right"/>
              <w:rPr>
                <w:rFonts w:ascii="Arial" w:hAnsi="Arial" w:cs="Arial"/>
                <w:b/>
                <w:bCs/>
                <w:iCs/>
                <w:sz w:val="16"/>
                <w:szCs w:val="16"/>
              </w:rPr>
            </w:pPr>
            <w:r w:rsidRPr="00852545">
              <w:rPr>
                <w:rFonts w:ascii="Arial" w:hAnsi="Arial" w:cs="Arial"/>
                <w:b/>
                <w:bCs/>
                <w:iCs/>
                <w:sz w:val="16"/>
                <w:szCs w:val="16"/>
              </w:rPr>
              <w:t>3,745,464</w:t>
            </w:r>
          </w:p>
        </w:tc>
      </w:tr>
      <w:tr w:rsidR="00BA06CF" w:rsidRPr="0099051B" w14:paraId="301E79E1" w14:textId="77777777" w:rsidTr="00852545">
        <w:trPr>
          <w:trHeight w:val="204"/>
        </w:trPr>
        <w:tc>
          <w:tcPr>
            <w:tcW w:w="2996" w:type="dxa"/>
            <w:tcBorders>
              <w:top w:val="nil"/>
              <w:left w:val="nil"/>
              <w:bottom w:val="nil"/>
              <w:right w:val="nil"/>
            </w:tcBorders>
            <w:shd w:val="clear" w:color="auto" w:fill="auto"/>
            <w:vAlign w:val="bottom"/>
            <w:hideMark/>
          </w:tcPr>
          <w:p w14:paraId="1AF69CF3" w14:textId="38FBDE39" w:rsidR="00BA06CF" w:rsidRPr="00852545" w:rsidRDefault="00BA06CF" w:rsidP="00BA06CF">
            <w:pPr>
              <w:spacing w:after="0" w:line="240" w:lineRule="auto"/>
              <w:jc w:val="left"/>
              <w:rPr>
                <w:rFonts w:ascii="Arial" w:hAnsi="Arial" w:cs="Arial"/>
                <w:b/>
                <w:bCs/>
                <w:sz w:val="16"/>
                <w:szCs w:val="16"/>
              </w:rPr>
            </w:pPr>
            <w:r w:rsidRPr="00852545">
              <w:rPr>
                <w:rFonts w:ascii="Arial" w:hAnsi="Arial" w:cs="Arial"/>
                <w:b/>
                <w:bCs/>
                <w:sz w:val="16"/>
                <w:szCs w:val="16"/>
              </w:rPr>
              <w:t>PURCHASE OF NON-FINANCIAL ASSETS</w:t>
            </w:r>
          </w:p>
        </w:tc>
        <w:tc>
          <w:tcPr>
            <w:tcW w:w="936" w:type="dxa"/>
            <w:tcBorders>
              <w:top w:val="nil"/>
              <w:left w:val="nil"/>
              <w:bottom w:val="nil"/>
              <w:right w:val="nil"/>
            </w:tcBorders>
            <w:shd w:val="clear" w:color="auto" w:fill="auto"/>
            <w:noWrap/>
            <w:vAlign w:val="bottom"/>
            <w:hideMark/>
          </w:tcPr>
          <w:p w14:paraId="01EFE794" w14:textId="77777777" w:rsidR="00BA06CF" w:rsidRPr="00852545" w:rsidRDefault="00BA06CF" w:rsidP="00BA06CF">
            <w:pPr>
              <w:spacing w:after="0" w:line="240" w:lineRule="auto"/>
              <w:jc w:val="left"/>
              <w:rPr>
                <w:rFonts w:ascii="Arial" w:hAnsi="Arial" w:cs="Arial"/>
                <w:b/>
                <w:bCs/>
                <w:sz w:val="16"/>
                <w:szCs w:val="16"/>
              </w:rPr>
            </w:pPr>
          </w:p>
        </w:tc>
        <w:tc>
          <w:tcPr>
            <w:tcW w:w="928" w:type="dxa"/>
            <w:tcBorders>
              <w:top w:val="nil"/>
              <w:left w:val="nil"/>
              <w:bottom w:val="nil"/>
              <w:right w:val="nil"/>
            </w:tcBorders>
            <w:shd w:val="clear" w:color="000000" w:fill="E6E6E6"/>
            <w:noWrap/>
            <w:vAlign w:val="bottom"/>
            <w:hideMark/>
          </w:tcPr>
          <w:p w14:paraId="6B93CF50" w14:textId="647DCFBA" w:rsidR="00BA06CF" w:rsidRPr="00852545" w:rsidRDefault="00BA06CF" w:rsidP="00BA06C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208512E6" w14:textId="77777777" w:rsidR="00BA06CF" w:rsidRPr="00852545" w:rsidRDefault="00BA06CF" w:rsidP="00BA06C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2C32BC13" w14:textId="77777777" w:rsidR="00BA06CF" w:rsidRPr="00852545" w:rsidRDefault="00BA06CF" w:rsidP="00BA06CF">
            <w:pPr>
              <w:spacing w:after="0" w:line="240" w:lineRule="auto"/>
              <w:jc w:val="right"/>
              <w:rPr>
                <w:rFonts w:ascii="Times New Roman" w:hAnsi="Times New Roman"/>
                <w:sz w:val="16"/>
                <w:szCs w:val="16"/>
              </w:rPr>
            </w:pPr>
          </w:p>
        </w:tc>
        <w:tc>
          <w:tcPr>
            <w:tcW w:w="937" w:type="dxa"/>
            <w:tcBorders>
              <w:top w:val="nil"/>
              <w:left w:val="nil"/>
              <w:bottom w:val="nil"/>
              <w:right w:val="nil"/>
            </w:tcBorders>
            <w:shd w:val="clear" w:color="auto" w:fill="auto"/>
            <w:noWrap/>
            <w:vAlign w:val="bottom"/>
            <w:hideMark/>
          </w:tcPr>
          <w:p w14:paraId="3165F96C" w14:textId="77777777" w:rsidR="00BA06CF" w:rsidRPr="00852545" w:rsidRDefault="00BA06CF" w:rsidP="00BA06CF">
            <w:pPr>
              <w:spacing w:after="0" w:line="240" w:lineRule="auto"/>
              <w:jc w:val="right"/>
              <w:rPr>
                <w:rFonts w:ascii="Times New Roman" w:hAnsi="Times New Roman"/>
                <w:sz w:val="16"/>
                <w:szCs w:val="16"/>
              </w:rPr>
            </w:pPr>
          </w:p>
        </w:tc>
      </w:tr>
      <w:tr w:rsidR="004B6527" w:rsidRPr="0099051B" w14:paraId="5E6A8E58" w14:textId="77777777" w:rsidTr="00852545">
        <w:trPr>
          <w:trHeight w:val="204"/>
        </w:trPr>
        <w:tc>
          <w:tcPr>
            <w:tcW w:w="2996" w:type="dxa"/>
            <w:tcBorders>
              <w:top w:val="nil"/>
              <w:left w:val="nil"/>
              <w:bottom w:val="nil"/>
              <w:right w:val="nil"/>
            </w:tcBorders>
            <w:shd w:val="clear" w:color="auto" w:fill="auto"/>
            <w:noWrap/>
            <w:vAlign w:val="bottom"/>
            <w:hideMark/>
          </w:tcPr>
          <w:p w14:paraId="1C3677D2" w14:textId="77777777" w:rsidR="004B6527" w:rsidRPr="00852545" w:rsidRDefault="004B6527" w:rsidP="004B6527">
            <w:pPr>
              <w:spacing w:after="0" w:line="240" w:lineRule="auto"/>
              <w:ind w:left="113"/>
              <w:jc w:val="left"/>
              <w:rPr>
                <w:rFonts w:ascii="Arial" w:hAnsi="Arial" w:cs="Arial"/>
                <w:sz w:val="16"/>
                <w:szCs w:val="16"/>
              </w:rPr>
            </w:pPr>
            <w:r w:rsidRPr="00852545">
              <w:rPr>
                <w:rFonts w:ascii="Arial" w:hAnsi="Arial" w:cs="Arial"/>
                <w:sz w:val="16"/>
                <w:szCs w:val="16"/>
              </w:rPr>
              <w:t xml:space="preserve">Funded by capital appropriations </w:t>
            </w:r>
          </w:p>
        </w:tc>
        <w:tc>
          <w:tcPr>
            <w:tcW w:w="936" w:type="dxa"/>
            <w:tcBorders>
              <w:top w:val="nil"/>
              <w:left w:val="nil"/>
              <w:bottom w:val="nil"/>
              <w:right w:val="nil"/>
            </w:tcBorders>
            <w:shd w:val="clear" w:color="auto" w:fill="auto"/>
            <w:noWrap/>
            <w:vAlign w:val="bottom"/>
            <w:hideMark/>
          </w:tcPr>
          <w:p w14:paraId="709F66E9" w14:textId="68638841"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9,622 </w:t>
            </w:r>
          </w:p>
        </w:tc>
        <w:tc>
          <w:tcPr>
            <w:tcW w:w="928" w:type="dxa"/>
            <w:tcBorders>
              <w:top w:val="nil"/>
              <w:left w:val="nil"/>
              <w:bottom w:val="nil"/>
              <w:right w:val="nil"/>
            </w:tcBorders>
            <w:shd w:val="clear" w:color="000000" w:fill="E6E6E6"/>
            <w:noWrap/>
            <w:vAlign w:val="bottom"/>
            <w:hideMark/>
          </w:tcPr>
          <w:p w14:paraId="2E3BFE9E" w14:textId="379847D0" w:rsidR="004B6527" w:rsidRPr="00852545" w:rsidRDefault="004B6527" w:rsidP="004B6527">
            <w:pPr>
              <w:spacing w:after="0" w:line="240" w:lineRule="auto"/>
              <w:jc w:val="right"/>
              <w:rPr>
                <w:rFonts w:ascii="Arial" w:hAnsi="Arial" w:cs="Arial"/>
                <w:color w:val="000000"/>
                <w:sz w:val="16"/>
                <w:szCs w:val="16"/>
              </w:rPr>
            </w:pPr>
            <w:r>
              <w:rPr>
                <w:rFonts w:ascii="Arial" w:hAnsi="Arial" w:cs="Arial"/>
                <w:color w:val="000000"/>
                <w:sz w:val="16"/>
                <w:szCs w:val="16"/>
              </w:rPr>
              <w:t xml:space="preserve">30,022 </w:t>
            </w:r>
          </w:p>
        </w:tc>
        <w:tc>
          <w:tcPr>
            <w:tcW w:w="937" w:type="dxa"/>
            <w:tcBorders>
              <w:top w:val="nil"/>
              <w:left w:val="nil"/>
              <w:bottom w:val="nil"/>
              <w:right w:val="nil"/>
            </w:tcBorders>
            <w:shd w:val="clear" w:color="auto" w:fill="auto"/>
            <w:noWrap/>
            <w:vAlign w:val="bottom"/>
            <w:hideMark/>
          </w:tcPr>
          <w:p w14:paraId="4EA3C48C" w14:textId="0C1B3064"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62,248 </w:t>
            </w:r>
          </w:p>
        </w:tc>
        <w:tc>
          <w:tcPr>
            <w:tcW w:w="937" w:type="dxa"/>
            <w:tcBorders>
              <w:top w:val="nil"/>
              <w:left w:val="nil"/>
              <w:bottom w:val="nil"/>
              <w:right w:val="nil"/>
            </w:tcBorders>
            <w:shd w:val="clear" w:color="auto" w:fill="auto"/>
            <w:noWrap/>
            <w:vAlign w:val="bottom"/>
            <w:hideMark/>
          </w:tcPr>
          <w:p w14:paraId="7BB7FDD5" w14:textId="73E5F48A"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53,424 </w:t>
            </w:r>
          </w:p>
        </w:tc>
        <w:tc>
          <w:tcPr>
            <w:tcW w:w="937" w:type="dxa"/>
            <w:tcBorders>
              <w:top w:val="nil"/>
              <w:left w:val="nil"/>
              <w:bottom w:val="nil"/>
              <w:right w:val="nil"/>
            </w:tcBorders>
            <w:shd w:val="clear" w:color="auto" w:fill="auto"/>
            <w:noWrap/>
            <w:vAlign w:val="bottom"/>
            <w:hideMark/>
          </w:tcPr>
          <w:p w14:paraId="5C91BF73" w14:textId="45FA4914"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20,010 </w:t>
            </w:r>
          </w:p>
        </w:tc>
      </w:tr>
      <w:tr w:rsidR="004B6527" w:rsidRPr="0099051B" w14:paraId="06ED21F6" w14:textId="77777777" w:rsidTr="00852545">
        <w:trPr>
          <w:trHeight w:val="204"/>
        </w:trPr>
        <w:tc>
          <w:tcPr>
            <w:tcW w:w="2996" w:type="dxa"/>
            <w:tcBorders>
              <w:top w:val="nil"/>
              <w:left w:val="nil"/>
              <w:bottom w:val="nil"/>
              <w:right w:val="nil"/>
            </w:tcBorders>
            <w:shd w:val="clear" w:color="auto" w:fill="auto"/>
            <w:vAlign w:val="bottom"/>
            <w:hideMark/>
          </w:tcPr>
          <w:p w14:paraId="38E3B191" w14:textId="77777777" w:rsidR="004B6527" w:rsidRPr="00852545" w:rsidRDefault="004B6527" w:rsidP="004B6527">
            <w:pPr>
              <w:spacing w:after="0" w:line="240" w:lineRule="auto"/>
              <w:ind w:left="113"/>
              <w:jc w:val="left"/>
              <w:rPr>
                <w:rFonts w:ascii="Arial" w:hAnsi="Arial" w:cs="Arial"/>
                <w:sz w:val="16"/>
                <w:szCs w:val="16"/>
              </w:rPr>
            </w:pPr>
            <w:r w:rsidRPr="00852545">
              <w:rPr>
                <w:rFonts w:ascii="Arial" w:hAnsi="Arial" w:cs="Arial"/>
                <w:sz w:val="16"/>
                <w:szCs w:val="16"/>
              </w:rPr>
              <w:t>Funded by capital appropriation - ACB</w:t>
            </w:r>
          </w:p>
        </w:tc>
        <w:tc>
          <w:tcPr>
            <w:tcW w:w="936" w:type="dxa"/>
            <w:tcBorders>
              <w:top w:val="nil"/>
              <w:left w:val="nil"/>
              <w:bottom w:val="nil"/>
              <w:right w:val="nil"/>
            </w:tcBorders>
            <w:shd w:val="clear" w:color="auto" w:fill="auto"/>
            <w:noWrap/>
            <w:vAlign w:val="bottom"/>
            <w:hideMark/>
          </w:tcPr>
          <w:p w14:paraId="121FDB39" w14:textId="77D9015A"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16,762 </w:t>
            </w:r>
          </w:p>
        </w:tc>
        <w:tc>
          <w:tcPr>
            <w:tcW w:w="928" w:type="dxa"/>
            <w:tcBorders>
              <w:top w:val="nil"/>
              <w:left w:val="nil"/>
              <w:bottom w:val="nil"/>
              <w:right w:val="nil"/>
            </w:tcBorders>
            <w:shd w:val="clear" w:color="000000" w:fill="E6E6E6"/>
            <w:noWrap/>
            <w:vAlign w:val="bottom"/>
            <w:hideMark/>
          </w:tcPr>
          <w:p w14:paraId="6B29E17C" w14:textId="6F32CB70" w:rsidR="004B6527" w:rsidRPr="00852545" w:rsidRDefault="004B6527" w:rsidP="004B6527">
            <w:pPr>
              <w:spacing w:after="0" w:line="240" w:lineRule="auto"/>
              <w:jc w:val="right"/>
              <w:rPr>
                <w:rFonts w:ascii="Arial" w:hAnsi="Arial" w:cs="Arial"/>
                <w:color w:val="000000"/>
                <w:sz w:val="16"/>
                <w:szCs w:val="16"/>
              </w:rPr>
            </w:pPr>
            <w:r>
              <w:rPr>
                <w:rFonts w:ascii="Arial" w:hAnsi="Arial" w:cs="Arial"/>
                <w:color w:val="000000"/>
                <w:sz w:val="16"/>
                <w:szCs w:val="16"/>
              </w:rPr>
              <w:t xml:space="preserve">21,362 </w:t>
            </w:r>
          </w:p>
        </w:tc>
        <w:tc>
          <w:tcPr>
            <w:tcW w:w="937" w:type="dxa"/>
            <w:tcBorders>
              <w:top w:val="nil"/>
              <w:left w:val="nil"/>
              <w:bottom w:val="nil"/>
              <w:right w:val="nil"/>
            </w:tcBorders>
            <w:shd w:val="clear" w:color="auto" w:fill="auto"/>
            <w:noWrap/>
            <w:vAlign w:val="bottom"/>
            <w:hideMark/>
          </w:tcPr>
          <w:p w14:paraId="40BC52B3" w14:textId="1FD95C8C"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23,151 </w:t>
            </w:r>
          </w:p>
        </w:tc>
        <w:tc>
          <w:tcPr>
            <w:tcW w:w="937" w:type="dxa"/>
            <w:tcBorders>
              <w:top w:val="nil"/>
              <w:left w:val="nil"/>
              <w:bottom w:val="nil"/>
              <w:right w:val="nil"/>
            </w:tcBorders>
            <w:shd w:val="clear" w:color="auto" w:fill="auto"/>
            <w:noWrap/>
            <w:vAlign w:val="bottom"/>
            <w:hideMark/>
          </w:tcPr>
          <w:p w14:paraId="13BD7239" w14:textId="1665B3E8"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20,545 </w:t>
            </w:r>
          </w:p>
        </w:tc>
        <w:tc>
          <w:tcPr>
            <w:tcW w:w="937" w:type="dxa"/>
            <w:tcBorders>
              <w:top w:val="nil"/>
              <w:left w:val="nil"/>
              <w:bottom w:val="nil"/>
              <w:right w:val="nil"/>
            </w:tcBorders>
            <w:shd w:val="clear" w:color="auto" w:fill="auto"/>
            <w:noWrap/>
            <w:vAlign w:val="bottom"/>
            <w:hideMark/>
          </w:tcPr>
          <w:p w14:paraId="65D3BC56" w14:textId="4037DCF5"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17,446 </w:t>
            </w:r>
          </w:p>
        </w:tc>
      </w:tr>
      <w:tr w:rsidR="004B6527" w:rsidRPr="0099051B" w14:paraId="5103A999" w14:textId="77777777" w:rsidTr="00852545">
        <w:trPr>
          <w:trHeight w:val="204"/>
        </w:trPr>
        <w:tc>
          <w:tcPr>
            <w:tcW w:w="2996" w:type="dxa"/>
            <w:tcBorders>
              <w:top w:val="nil"/>
              <w:left w:val="nil"/>
              <w:bottom w:val="nil"/>
              <w:right w:val="nil"/>
            </w:tcBorders>
            <w:shd w:val="clear" w:color="auto" w:fill="auto"/>
            <w:noWrap/>
            <w:vAlign w:val="bottom"/>
            <w:hideMark/>
          </w:tcPr>
          <w:p w14:paraId="523C915D" w14:textId="77777777" w:rsidR="004B6527" w:rsidRPr="00852545" w:rsidRDefault="004B6527" w:rsidP="004B6527">
            <w:pPr>
              <w:spacing w:after="0" w:line="240" w:lineRule="auto"/>
              <w:jc w:val="left"/>
              <w:rPr>
                <w:rFonts w:ascii="Arial" w:hAnsi="Arial" w:cs="Arial"/>
                <w:b/>
                <w:bCs/>
                <w:sz w:val="16"/>
                <w:szCs w:val="16"/>
              </w:rPr>
            </w:pPr>
            <w:r w:rsidRPr="00852545">
              <w:rPr>
                <w:rFonts w:ascii="Arial" w:hAnsi="Arial" w:cs="Arial"/>
                <w:b/>
                <w:bCs/>
                <w:sz w:val="16"/>
                <w:szCs w:val="16"/>
              </w:rPr>
              <w:t>TOTAL</w:t>
            </w:r>
          </w:p>
        </w:tc>
        <w:tc>
          <w:tcPr>
            <w:tcW w:w="936" w:type="dxa"/>
            <w:tcBorders>
              <w:top w:val="single" w:sz="4" w:space="0" w:color="auto"/>
              <w:left w:val="nil"/>
              <w:bottom w:val="single" w:sz="4" w:space="0" w:color="auto"/>
              <w:right w:val="nil"/>
            </w:tcBorders>
            <w:shd w:val="clear" w:color="auto" w:fill="auto"/>
            <w:noWrap/>
            <w:vAlign w:val="bottom"/>
            <w:hideMark/>
          </w:tcPr>
          <w:p w14:paraId="78A1830F" w14:textId="25043A13" w:rsidR="004B6527" w:rsidRPr="00852545" w:rsidRDefault="004B6527" w:rsidP="004B6527">
            <w:pPr>
              <w:spacing w:after="0" w:line="240" w:lineRule="auto"/>
              <w:jc w:val="right"/>
              <w:rPr>
                <w:rFonts w:ascii="Arial" w:hAnsi="Arial" w:cs="Arial"/>
                <w:b/>
                <w:bCs/>
                <w:sz w:val="16"/>
                <w:szCs w:val="16"/>
              </w:rPr>
            </w:pPr>
            <w:r>
              <w:rPr>
                <w:rFonts w:ascii="Arial" w:hAnsi="Arial" w:cs="Arial"/>
                <w:b/>
                <w:bCs/>
                <w:sz w:val="16"/>
                <w:szCs w:val="16"/>
              </w:rPr>
              <w:t xml:space="preserve">26,384 </w:t>
            </w:r>
          </w:p>
        </w:tc>
        <w:tc>
          <w:tcPr>
            <w:tcW w:w="928" w:type="dxa"/>
            <w:tcBorders>
              <w:top w:val="single" w:sz="4" w:space="0" w:color="000000"/>
              <w:left w:val="nil"/>
              <w:bottom w:val="single" w:sz="4" w:space="0" w:color="auto"/>
              <w:right w:val="nil"/>
            </w:tcBorders>
            <w:shd w:val="clear" w:color="000000" w:fill="E6E6E6"/>
            <w:noWrap/>
            <w:vAlign w:val="bottom"/>
            <w:hideMark/>
          </w:tcPr>
          <w:p w14:paraId="672DD454" w14:textId="35396F10" w:rsidR="004B6527" w:rsidRPr="00852545" w:rsidRDefault="004B6527" w:rsidP="004B6527">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51,384 </w:t>
            </w:r>
          </w:p>
        </w:tc>
        <w:tc>
          <w:tcPr>
            <w:tcW w:w="937" w:type="dxa"/>
            <w:tcBorders>
              <w:top w:val="single" w:sz="4" w:space="0" w:color="auto"/>
              <w:left w:val="nil"/>
              <w:bottom w:val="single" w:sz="4" w:space="0" w:color="auto"/>
              <w:right w:val="nil"/>
            </w:tcBorders>
            <w:shd w:val="clear" w:color="auto" w:fill="auto"/>
            <w:noWrap/>
            <w:vAlign w:val="bottom"/>
            <w:hideMark/>
          </w:tcPr>
          <w:p w14:paraId="64377A59" w14:textId="3606577A" w:rsidR="004B6527" w:rsidRPr="00852545" w:rsidRDefault="004B6527" w:rsidP="004B6527">
            <w:pPr>
              <w:spacing w:after="0" w:line="240" w:lineRule="auto"/>
              <w:jc w:val="right"/>
              <w:rPr>
                <w:rFonts w:ascii="Arial" w:hAnsi="Arial" w:cs="Arial"/>
                <w:b/>
                <w:bCs/>
                <w:sz w:val="16"/>
                <w:szCs w:val="16"/>
              </w:rPr>
            </w:pPr>
            <w:r>
              <w:rPr>
                <w:rFonts w:ascii="Arial" w:hAnsi="Arial" w:cs="Arial"/>
                <w:b/>
                <w:bCs/>
                <w:sz w:val="16"/>
                <w:szCs w:val="16"/>
              </w:rPr>
              <w:t xml:space="preserve">85,399 </w:t>
            </w:r>
          </w:p>
        </w:tc>
        <w:tc>
          <w:tcPr>
            <w:tcW w:w="937" w:type="dxa"/>
            <w:tcBorders>
              <w:top w:val="single" w:sz="4" w:space="0" w:color="auto"/>
              <w:left w:val="nil"/>
              <w:bottom w:val="single" w:sz="4" w:space="0" w:color="auto"/>
              <w:right w:val="nil"/>
            </w:tcBorders>
            <w:shd w:val="clear" w:color="auto" w:fill="auto"/>
            <w:noWrap/>
            <w:vAlign w:val="bottom"/>
            <w:hideMark/>
          </w:tcPr>
          <w:p w14:paraId="3F5D8E62" w14:textId="1675A1A3" w:rsidR="004B6527" w:rsidRPr="00852545" w:rsidRDefault="004B6527" w:rsidP="004B6527">
            <w:pPr>
              <w:spacing w:after="0" w:line="240" w:lineRule="auto"/>
              <w:jc w:val="right"/>
              <w:rPr>
                <w:rFonts w:ascii="Arial" w:hAnsi="Arial" w:cs="Arial"/>
                <w:b/>
                <w:bCs/>
                <w:sz w:val="16"/>
                <w:szCs w:val="16"/>
              </w:rPr>
            </w:pPr>
            <w:r>
              <w:rPr>
                <w:rFonts w:ascii="Arial" w:hAnsi="Arial" w:cs="Arial"/>
                <w:b/>
                <w:bCs/>
                <w:sz w:val="16"/>
                <w:szCs w:val="16"/>
              </w:rPr>
              <w:t xml:space="preserve">73,969 </w:t>
            </w:r>
          </w:p>
        </w:tc>
        <w:tc>
          <w:tcPr>
            <w:tcW w:w="937" w:type="dxa"/>
            <w:tcBorders>
              <w:top w:val="single" w:sz="4" w:space="0" w:color="auto"/>
              <w:left w:val="nil"/>
              <w:bottom w:val="single" w:sz="4" w:space="0" w:color="auto"/>
              <w:right w:val="nil"/>
            </w:tcBorders>
            <w:shd w:val="clear" w:color="auto" w:fill="auto"/>
            <w:noWrap/>
            <w:vAlign w:val="bottom"/>
            <w:hideMark/>
          </w:tcPr>
          <w:p w14:paraId="032C2E95" w14:textId="17ACF229" w:rsidR="004B6527" w:rsidRPr="00852545" w:rsidRDefault="004B6527" w:rsidP="004B6527">
            <w:pPr>
              <w:spacing w:after="0" w:line="240" w:lineRule="auto"/>
              <w:jc w:val="right"/>
              <w:rPr>
                <w:rFonts w:ascii="Arial" w:hAnsi="Arial" w:cs="Arial"/>
                <w:b/>
                <w:bCs/>
                <w:sz w:val="16"/>
                <w:szCs w:val="16"/>
              </w:rPr>
            </w:pPr>
            <w:r>
              <w:rPr>
                <w:rFonts w:ascii="Arial" w:hAnsi="Arial" w:cs="Arial"/>
                <w:b/>
                <w:bCs/>
                <w:sz w:val="16"/>
                <w:szCs w:val="16"/>
              </w:rPr>
              <w:t xml:space="preserve">37,456 </w:t>
            </w:r>
          </w:p>
        </w:tc>
      </w:tr>
      <w:tr w:rsidR="004B6527" w:rsidRPr="0099051B" w14:paraId="3ED0DBD2" w14:textId="77777777" w:rsidTr="00852545">
        <w:trPr>
          <w:trHeight w:val="204"/>
        </w:trPr>
        <w:tc>
          <w:tcPr>
            <w:tcW w:w="2996" w:type="dxa"/>
            <w:tcBorders>
              <w:top w:val="nil"/>
              <w:left w:val="nil"/>
              <w:bottom w:val="nil"/>
              <w:right w:val="nil"/>
            </w:tcBorders>
            <w:shd w:val="clear" w:color="auto" w:fill="auto"/>
            <w:vAlign w:val="bottom"/>
            <w:hideMark/>
          </w:tcPr>
          <w:p w14:paraId="148E3784" w14:textId="73E43AA0" w:rsidR="004B6527" w:rsidRPr="00852545" w:rsidRDefault="004B6527" w:rsidP="004B6527">
            <w:pPr>
              <w:spacing w:after="0" w:line="240" w:lineRule="auto"/>
              <w:jc w:val="left"/>
              <w:rPr>
                <w:rFonts w:ascii="Arial" w:hAnsi="Arial" w:cs="Arial"/>
                <w:b/>
                <w:bCs/>
                <w:sz w:val="16"/>
                <w:szCs w:val="16"/>
              </w:rPr>
            </w:pPr>
            <w:r w:rsidRPr="00852545">
              <w:rPr>
                <w:rFonts w:ascii="Arial" w:hAnsi="Arial" w:cs="Arial"/>
                <w:b/>
                <w:bCs/>
                <w:sz w:val="16"/>
                <w:szCs w:val="16"/>
              </w:rPr>
              <w:t>RECONCILIATION OF CASH USED TO ACQUIRE ASSETS TO ASSET MOVEMENT TABLE</w:t>
            </w:r>
          </w:p>
        </w:tc>
        <w:tc>
          <w:tcPr>
            <w:tcW w:w="936" w:type="dxa"/>
            <w:tcBorders>
              <w:top w:val="nil"/>
              <w:left w:val="nil"/>
              <w:bottom w:val="nil"/>
              <w:right w:val="nil"/>
            </w:tcBorders>
            <w:shd w:val="clear" w:color="auto" w:fill="auto"/>
            <w:noWrap/>
            <w:vAlign w:val="bottom"/>
            <w:hideMark/>
          </w:tcPr>
          <w:p w14:paraId="2EF480C5" w14:textId="77777777" w:rsidR="004B6527" w:rsidRPr="00852545" w:rsidRDefault="004B6527" w:rsidP="004B6527">
            <w:pPr>
              <w:spacing w:after="0" w:line="240" w:lineRule="auto"/>
              <w:jc w:val="left"/>
              <w:rPr>
                <w:rFonts w:ascii="Arial" w:hAnsi="Arial" w:cs="Arial"/>
                <w:b/>
                <w:bCs/>
                <w:sz w:val="16"/>
                <w:szCs w:val="16"/>
              </w:rPr>
            </w:pPr>
          </w:p>
        </w:tc>
        <w:tc>
          <w:tcPr>
            <w:tcW w:w="928" w:type="dxa"/>
            <w:tcBorders>
              <w:top w:val="nil"/>
              <w:left w:val="nil"/>
              <w:bottom w:val="nil"/>
              <w:right w:val="nil"/>
            </w:tcBorders>
            <w:shd w:val="clear" w:color="000000" w:fill="E6E6E6"/>
            <w:noWrap/>
            <w:vAlign w:val="bottom"/>
            <w:hideMark/>
          </w:tcPr>
          <w:p w14:paraId="74FCD9C8" w14:textId="60D2C644" w:rsidR="004B6527" w:rsidRPr="00852545" w:rsidRDefault="004B6527" w:rsidP="004B6527">
            <w:pPr>
              <w:spacing w:after="0" w:line="240" w:lineRule="auto"/>
              <w:jc w:val="right"/>
              <w:rPr>
                <w:rFonts w:ascii="Arial" w:hAnsi="Arial" w:cs="Arial"/>
                <w:color w:val="000000"/>
                <w:sz w:val="16"/>
                <w:szCs w:val="16"/>
              </w:rPr>
            </w:pPr>
            <w:r>
              <w:rPr>
                <w:rFonts w:ascii="Arial" w:hAnsi="Arial" w:cs="Arial"/>
                <w:color w:val="000000"/>
                <w:sz w:val="16"/>
                <w:szCs w:val="16"/>
              </w:rPr>
              <w:t> </w:t>
            </w:r>
          </w:p>
        </w:tc>
        <w:tc>
          <w:tcPr>
            <w:tcW w:w="937" w:type="dxa"/>
            <w:tcBorders>
              <w:top w:val="nil"/>
              <w:left w:val="nil"/>
              <w:bottom w:val="nil"/>
              <w:right w:val="nil"/>
            </w:tcBorders>
            <w:shd w:val="clear" w:color="auto" w:fill="auto"/>
            <w:noWrap/>
            <w:vAlign w:val="bottom"/>
            <w:hideMark/>
          </w:tcPr>
          <w:p w14:paraId="233BD428" w14:textId="77777777" w:rsidR="004B6527" w:rsidRPr="00852545" w:rsidRDefault="004B6527" w:rsidP="004B6527">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4946B7CE" w14:textId="77777777" w:rsidR="004B6527" w:rsidRPr="00852545" w:rsidRDefault="004B6527" w:rsidP="004B6527">
            <w:pPr>
              <w:spacing w:after="0" w:line="240" w:lineRule="auto"/>
              <w:jc w:val="right"/>
              <w:rPr>
                <w:rFonts w:ascii="Times New Roman" w:hAnsi="Times New Roman"/>
                <w:sz w:val="16"/>
                <w:szCs w:val="16"/>
              </w:rPr>
            </w:pPr>
          </w:p>
        </w:tc>
        <w:tc>
          <w:tcPr>
            <w:tcW w:w="937" w:type="dxa"/>
            <w:tcBorders>
              <w:top w:val="nil"/>
              <w:left w:val="nil"/>
              <w:bottom w:val="nil"/>
              <w:right w:val="nil"/>
            </w:tcBorders>
            <w:shd w:val="clear" w:color="auto" w:fill="auto"/>
            <w:noWrap/>
            <w:vAlign w:val="bottom"/>
            <w:hideMark/>
          </w:tcPr>
          <w:p w14:paraId="3906394C" w14:textId="77777777" w:rsidR="004B6527" w:rsidRPr="00852545" w:rsidRDefault="004B6527" w:rsidP="004B6527">
            <w:pPr>
              <w:spacing w:after="0" w:line="240" w:lineRule="auto"/>
              <w:jc w:val="right"/>
              <w:rPr>
                <w:rFonts w:ascii="Times New Roman" w:hAnsi="Times New Roman"/>
                <w:sz w:val="16"/>
                <w:szCs w:val="16"/>
              </w:rPr>
            </w:pPr>
          </w:p>
        </w:tc>
      </w:tr>
      <w:tr w:rsidR="004B6527" w:rsidRPr="0099051B" w14:paraId="1DDA7674" w14:textId="77777777" w:rsidTr="00852545">
        <w:trPr>
          <w:trHeight w:val="204"/>
        </w:trPr>
        <w:tc>
          <w:tcPr>
            <w:tcW w:w="2996" w:type="dxa"/>
            <w:tcBorders>
              <w:top w:val="nil"/>
              <w:left w:val="nil"/>
              <w:bottom w:val="nil"/>
              <w:right w:val="nil"/>
            </w:tcBorders>
            <w:shd w:val="clear" w:color="auto" w:fill="auto"/>
            <w:noWrap/>
            <w:vAlign w:val="bottom"/>
            <w:hideMark/>
          </w:tcPr>
          <w:p w14:paraId="6D8DDE81" w14:textId="77777777" w:rsidR="004B6527" w:rsidRPr="00852545" w:rsidRDefault="004B6527" w:rsidP="004B6527">
            <w:pPr>
              <w:spacing w:after="0" w:line="240" w:lineRule="auto"/>
              <w:ind w:left="113"/>
              <w:jc w:val="left"/>
              <w:rPr>
                <w:rFonts w:ascii="Arial" w:hAnsi="Arial" w:cs="Arial"/>
                <w:sz w:val="16"/>
                <w:szCs w:val="16"/>
              </w:rPr>
            </w:pPr>
            <w:r w:rsidRPr="00852545">
              <w:rPr>
                <w:rFonts w:ascii="Arial" w:hAnsi="Arial" w:cs="Arial"/>
                <w:sz w:val="16"/>
                <w:szCs w:val="16"/>
              </w:rPr>
              <w:t>Total accrual purchases</w:t>
            </w:r>
          </w:p>
        </w:tc>
        <w:tc>
          <w:tcPr>
            <w:tcW w:w="936" w:type="dxa"/>
            <w:tcBorders>
              <w:top w:val="nil"/>
              <w:left w:val="nil"/>
              <w:bottom w:val="nil"/>
              <w:right w:val="nil"/>
            </w:tcBorders>
            <w:shd w:val="clear" w:color="auto" w:fill="auto"/>
            <w:noWrap/>
            <w:vAlign w:val="bottom"/>
            <w:hideMark/>
          </w:tcPr>
          <w:p w14:paraId="769DE52F" w14:textId="3AFDCEC7"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26,384 </w:t>
            </w:r>
          </w:p>
        </w:tc>
        <w:tc>
          <w:tcPr>
            <w:tcW w:w="928" w:type="dxa"/>
            <w:tcBorders>
              <w:top w:val="nil"/>
              <w:left w:val="nil"/>
              <w:bottom w:val="nil"/>
              <w:right w:val="nil"/>
            </w:tcBorders>
            <w:shd w:val="clear" w:color="000000" w:fill="E6E6E6"/>
            <w:noWrap/>
            <w:vAlign w:val="bottom"/>
            <w:hideMark/>
          </w:tcPr>
          <w:p w14:paraId="226E32B0" w14:textId="34A4F672" w:rsidR="004B6527" w:rsidRPr="00852545" w:rsidRDefault="004B6527" w:rsidP="004B6527">
            <w:pPr>
              <w:spacing w:after="0" w:line="240" w:lineRule="auto"/>
              <w:jc w:val="right"/>
              <w:rPr>
                <w:rFonts w:ascii="Arial" w:hAnsi="Arial" w:cs="Arial"/>
                <w:color w:val="000000"/>
                <w:sz w:val="16"/>
                <w:szCs w:val="16"/>
              </w:rPr>
            </w:pPr>
            <w:r>
              <w:rPr>
                <w:rFonts w:ascii="Arial" w:hAnsi="Arial" w:cs="Arial"/>
                <w:color w:val="000000"/>
                <w:sz w:val="16"/>
                <w:szCs w:val="16"/>
              </w:rPr>
              <w:t xml:space="preserve">51,384 </w:t>
            </w:r>
          </w:p>
        </w:tc>
        <w:tc>
          <w:tcPr>
            <w:tcW w:w="937" w:type="dxa"/>
            <w:tcBorders>
              <w:top w:val="nil"/>
              <w:left w:val="nil"/>
              <w:bottom w:val="nil"/>
              <w:right w:val="nil"/>
            </w:tcBorders>
            <w:shd w:val="clear" w:color="auto" w:fill="auto"/>
            <w:noWrap/>
            <w:vAlign w:val="bottom"/>
            <w:hideMark/>
          </w:tcPr>
          <w:p w14:paraId="789B5217" w14:textId="0DE73B8F"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85,399 </w:t>
            </w:r>
          </w:p>
        </w:tc>
        <w:tc>
          <w:tcPr>
            <w:tcW w:w="937" w:type="dxa"/>
            <w:tcBorders>
              <w:top w:val="nil"/>
              <w:left w:val="nil"/>
              <w:bottom w:val="nil"/>
              <w:right w:val="nil"/>
            </w:tcBorders>
            <w:shd w:val="clear" w:color="auto" w:fill="auto"/>
            <w:noWrap/>
            <w:vAlign w:val="bottom"/>
            <w:hideMark/>
          </w:tcPr>
          <w:p w14:paraId="79A9397C" w14:textId="2D7CD7A9"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73,969 </w:t>
            </w:r>
          </w:p>
        </w:tc>
        <w:tc>
          <w:tcPr>
            <w:tcW w:w="937" w:type="dxa"/>
            <w:tcBorders>
              <w:top w:val="nil"/>
              <w:left w:val="nil"/>
              <w:bottom w:val="nil"/>
              <w:right w:val="nil"/>
            </w:tcBorders>
            <w:shd w:val="clear" w:color="auto" w:fill="auto"/>
            <w:noWrap/>
            <w:vAlign w:val="bottom"/>
            <w:hideMark/>
          </w:tcPr>
          <w:p w14:paraId="6C0F3112" w14:textId="696E24FD" w:rsidR="004B6527" w:rsidRPr="00852545" w:rsidRDefault="004B6527" w:rsidP="004B6527">
            <w:pPr>
              <w:spacing w:after="0" w:line="240" w:lineRule="auto"/>
              <w:jc w:val="right"/>
              <w:rPr>
                <w:rFonts w:ascii="Arial" w:hAnsi="Arial" w:cs="Arial"/>
                <w:sz w:val="16"/>
                <w:szCs w:val="16"/>
              </w:rPr>
            </w:pPr>
            <w:r>
              <w:rPr>
                <w:rFonts w:ascii="Arial" w:hAnsi="Arial" w:cs="Arial"/>
                <w:sz w:val="16"/>
                <w:szCs w:val="16"/>
              </w:rPr>
              <w:t xml:space="preserve">37,456 </w:t>
            </w:r>
          </w:p>
        </w:tc>
      </w:tr>
      <w:tr w:rsidR="004B6527" w:rsidRPr="0099051B" w14:paraId="26C547D5" w14:textId="77777777" w:rsidTr="00852545">
        <w:trPr>
          <w:trHeight w:val="204"/>
        </w:trPr>
        <w:tc>
          <w:tcPr>
            <w:tcW w:w="2996" w:type="dxa"/>
            <w:tcBorders>
              <w:top w:val="nil"/>
              <w:left w:val="nil"/>
              <w:bottom w:val="single" w:sz="4" w:space="0" w:color="auto"/>
              <w:right w:val="nil"/>
            </w:tcBorders>
            <w:shd w:val="clear" w:color="auto" w:fill="auto"/>
            <w:vAlign w:val="bottom"/>
            <w:hideMark/>
          </w:tcPr>
          <w:p w14:paraId="60FEFDCE" w14:textId="77777777" w:rsidR="004B6527" w:rsidRPr="00852545" w:rsidRDefault="004B6527" w:rsidP="004B6527">
            <w:pPr>
              <w:spacing w:after="0" w:line="240" w:lineRule="auto"/>
              <w:jc w:val="left"/>
              <w:rPr>
                <w:rFonts w:ascii="Arial" w:hAnsi="Arial" w:cs="Arial"/>
                <w:b/>
                <w:bCs/>
                <w:sz w:val="16"/>
                <w:szCs w:val="16"/>
              </w:rPr>
            </w:pPr>
            <w:r w:rsidRPr="00852545">
              <w:rPr>
                <w:rFonts w:ascii="Arial" w:hAnsi="Arial" w:cs="Arial"/>
                <w:b/>
                <w:bCs/>
                <w:sz w:val="16"/>
                <w:szCs w:val="16"/>
              </w:rPr>
              <w:t>Total cash used to acquire assets</w:t>
            </w:r>
          </w:p>
        </w:tc>
        <w:tc>
          <w:tcPr>
            <w:tcW w:w="936" w:type="dxa"/>
            <w:tcBorders>
              <w:top w:val="single" w:sz="4" w:space="0" w:color="auto"/>
              <w:left w:val="nil"/>
              <w:bottom w:val="single" w:sz="4" w:space="0" w:color="auto"/>
              <w:right w:val="nil"/>
            </w:tcBorders>
            <w:shd w:val="clear" w:color="auto" w:fill="auto"/>
            <w:noWrap/>
            <w:vAlign w:val="bottom"/>
            <w:hideMark/>
          </w:tcPr>
          <w:p w14:paraId="315BB47C" w14:textId="7E353D65" w:rsidR="004B6527" w:rsidRPr="00852545" w:rsidRDefault="004B6527" w:rsidP="004B6527">
            <w:pPr>
              <w:spacing w:after="0" w:line="240" w:lineRule="auto"/>
              <w:jc w:val="right"/>
              <w:rPr>
                <w:rFonts w:ascii="Arial" w:hAnsi="Arial" w:cs="Arial"/>
                <w:b/>
                <w:bCs/>
                <w:sz w:val="16"/>
                <w:szCs w:val="16"/>
              </w:rPr>
            </w:pPr>
            <w:r>
              <w:rPr>
                <w:rFonts w:ascii="Arial" w:hAnsi="Arial" w:cs="Arial"/>
                <w:b/>
                <w:bCs/>
                <w:sz w:val="16"/>
                <w:szCs w:val="16"/>
              </w:rPr>
              <w:t xml:space="preserve">26,384 </w:t>
            </w:r>
          </w:p>
        </w:tc>
        <w:tc>
          <w:tcPr>
            <w:tcW w:w="928" w:type="dxa"/>
            <w:tcBorders>
              <w:top w:val="single" w:sz="4" w:space="0" w:color="auto"/>
              <w:left w:val="nil"/>
              <w:bottom w:val="single" w:sz="4" w:space="0" w:color="auto"/>
              <w:right w:val="nil"/>
            </w:tcBorders>
            <w:shd w:val="clear" w:color="000000" w:fill="E6E6E6"/>
            <w:noWrap/>
            <w:vAlign w:val="bottom"/>
            <w:hideMark/>
          </w:tcPr>
          <w:p w14:paraId="2627BB10" w14:textId="09F8E590" w:rsidR="004B6527" w:rsidRPr="00852545" w:rsidRDefault="004B6527" w:rsidP="004B6527">
            <w:pPr>
              <w:spacing w:after="0" w:line="240" w:lineRule="auto"/>
              <w:jc w:val="right"/>
              <w:rPr>
                <w:rFonts w:ascii="Arial" w:hAnsi="Arial" w:cs="Arial"/>
                <w:b/>
                <w:bCs/>
                <w:color w:val="000000"/>
                <w:sz w:val="16"/>
                <w:szCs w:val="16"/>
              </w:rPr>
            </w:pPr>
            <w:r>
              <w:rPr>
                <w:rFonts w:ascii="Arial" w:hAnsi="Arial" w:cs="Arial"/>
                <w:b/>
                <w:bCs/>
                <w:color w:val="000000"/>
                <w:sz w:val="16"/>
                <w:szCs w:val="16"/>
              </w:rPr>
              <w:t xml:space="preserve">51,384 </w:t>
            </w:r>
          </w:p>
        </w:tc>
        <w:tc>
          <w:tcPr>
            <w:tcW w:w="937" w:type="dxa"/>
            <w:tcBorders>
              <w:top w:val="single" w:sz="4" w:space="0" w:color="auto"/>
              <w:left w:val="nil"/>
              <w:bottom w:val="single" w:sz="4" w:space="0" w:color="auto"/>
              <w:right w:val="nil"/>
            </w:tcBorders>
            <w:shd w:val="clear" w:color="auto" w:fill="auto"/>
            <w:noWrap/>
            <w:vAlign w:val="bottom"/>
            <w:hideMark/>
          </w:tcPr>
          <w:p w14:paraId="5D400943" w14:textId="7EAB4348" w:rsidR="004B6527" w:rsidRPr="00852545" w:rsidRDefault="004B6527" w:rsidP="004B6527">
            <w:pPr>
              <w:spacing w:after="0" w:line="240" w:lineRule="auto"/>
              <w:jc w:val="right"/>
              <w:rPr>
                <w:rFonts w:ascii="Arial" w:hAnsi="Arial" w:cs="Arial"/>
                <w:b/>
                <w:bCs/>
                <w:sz w:val="16"/>
                <w:szCs w:val="16"/>
              </w:rPr>
            </w:pPr>
            <w:r>
              <w:rPr>
                <w:rFonts w:ascii="Arial" w:hAnsi="Arial" w:cs="Arial"/>
                <w:b/>
                <w:bCs/>
                <w:sz w:val="16"/>
                <w:szCs w:val="16"/>
              </w:rPr>
              <w:t xml:space="preserve">85,399 </w:t>
            </w:r>
          </w:p>
        </w:tc>
        <w:tc>
          <w:tcPr>
            <w:tcW w:w="937" w:type="dxa"/>
            <w:tcBorders>
              <w:top w:val="single" w:sz="4" w:space="0" w:color="auto"/>
              <w:left w:val="nil"/>
              <w:bottom w:val="single" w:sz="4" w:space="0" w:color="auto"/>
              <w:right w:val="nil"/>
            </w:tcBorders>
            <w:shd w:val="clear" w:color="auto" w:fill="auto"/>
            <w:noWrap/>
            <w:vAlign w:val="bottom"/>
            <w:hideMark/>
          </w:tcPr>
          <w:p w14:paraId="7CB02EDF" w14:textId="5DE2E9FF" w:rsidR="004B6527" w:rsidRPr="00852545" w:rsidRDefault="004B6527" w:rsidP="004B6527">
            <w:pPr>
              <w:spacing w:after="0" w:line="240" w:lineRule="auto"/>
              <w:jc w:val="right"/>
              <w:rPr>
                <w:rFonts w:ascii="Arial" w:hAnsi="Arial" w:cs="Arial"/>
                <w:b/>
                <w:bCs/>
                <w:sz w:val="16"/>
                <w:szCs w:val="16"/>
              </w:rPr>
            </w:pPr>
            <w:r>
              <w:rPr>
                <w:rFonts w:ascii="Arial" w:hAnsi="Arial" w:cs="Arial"/>
                <w:b/>
                <w:bCs/>
                <w:sz w:val="16"/>
                <w:szCs w:val="16"/>
              </w:rPr>
              <w:t xml:space="preserve">73,969 </w:t>
            </w:r>
          </w:p>
        </w:tc>
        <w:tc>
          <w:tcPr>
            <w:tcW w:w="937" w:type="dxa"/>
            <w:tcBorders>
              <w:top w:val="single" w:sz="4" w:space="0" w:color="auto"/>
              <w:left w:val="nil"/>
              <w:bottom w:val="single" w:sz="4" w:space="0" w:color="auto"/>
              <w:right w:val="nil"/>
            </w:tcBorders>
            <w:shd w:val="clear" w:color="auto" w:fill="auto"/>
            <w:noWrap/>
            <w:vAlign w:val="bottom"/>
            <w:hideMark/>
          </w:tcPr>
          <w:p w14:paraId="0E03118F" w14:textId="26D4E880" w:rsidR="004B6527" w:rsidRPr="00852545" w:rsidRDefault="004B6527" w:rsidP="004B6527">
            <w:pPr>
              <w:spacing w:after="0" w:line="240" w:lineRule="auto"/>
              <w:jc w:val="right"/>
              <w:rPr>
                <w:rFonts w:ascii="Arial" w:hAnsi="Arial" w:cs="Arial"/>
                <w:b/>
                <w:bCs/>
                <w:sz w:val="16"/>
                <w:szCs w:val="16"/>
              </w:rPr>
            </w:pPr>
            <w:r>
              <w:rPr>
                <w:rFonts w:ascii="Arial" w:hAnsi="Arial" w:cs="Arial"/>
                <w:b/>
                <w:bCs/>
                <w:sz w:val="16"/>
                <w:szCs w:val="16"/>
              </w:rPr>
              <w:t xml:space="preserve">37,456 </w:t>
            </w:r>
          </w:p>
        </w:tc>
      </w:tr>
    </w:tbl>
    <w:p w14:paraId="1DD2F1FF" w14:textId="47A2FADA" w:rsidR="0099051B" w:rsidRPr="00296907" w:rsidRDefault="00296907" w:rsidP="00296907">
      <w:pPr>
        <w:pStyle w:val="TableGraphic"/>
        <w:spacing w:before="60"/>
        <w:rPr>
          <w:rFonts w:ascii="Arial" w:hAnsi="Arial" w:cs="Arial"/>
          <w:i w:val="0"/>
          <w:color w:val="auto"/>
          <w:sz w:val="16"/>
        </w:rPr>
      </w:pPr>
      <w:r w:rsidRPr="00296907">
        <w:rPr>
          <w:rFonts w:ascii="Arial" w:hAnsi="Arial" w:cs="Arial"/>
          <w:i w:val="0"/>
          <w:color w:val="auto"/>
          <w:sz w:val="16"/>
        </w:rPr>
        <w:t>Prepared on Australian Accounting Standards basis.</w:t>
      </w:r>
    </w:p>
    <w:p w14:paraId="11BCD7FC" w14:textId="02842FC6" w:rsidR="00BA015C" w:rsidRDefault="00BA015C" w:rsidP="00F51DAC">
      <w:pPr>
        <w:pStyle w:val="SingleParagraph"/>
        <w:rPr>
          <w:snapToGrid w:val="0"/>
        </w:rPr>
      </w:pPr>
      <w:r>
        <w:rPr>
          <w:snapToGrid w:val="0"/>
        </w:rPr>
        <w:br w:type="page"/>
      </w:r>
    </w:p>
    <w:p w14:paraId="0501F1A0" w14:textId="33C0D8E7" w:rsidR="00BA015C" w:rsidRDefault="00BA015C" w:rsidP="00BA015C">
      <w:pPr>
        <w:pStyle w:val="TableHeading"/>
        <w:spacing w:before="0"/>
        <w:rPr>
          <w:snapToGrid w:val="0"/>
        </w:rPr>
      </w:pPr>
      <w:r w:rsidRPr="00D23CE2">
        <w:rPr>
          <w:snapToGrid w:val="0"/>
        </w:rPr>
        <w:lastRenderedPageBreak/>
        <w:t>Table 3.1</w:t>
      </w:r>
      <w:r w:rsidRPr="00D23CE2">
        <w:rPr>
          <w:snapToGrid w:val="0"/>
          <w:lang w:val="en-AU"/>
        </w:rPr>
        <w:t>2</w:t>
      </w:r>
      <w:r w:rsidRPr="00D23CE2">
        <w:rPr>
          <w:snapToGrid w:val="0"/>
        </w:rPr>
        <w:t>: Statement of administered asset movements (</w:t>
      </w:r>
      <w:r w:rsidRPr="00D23CE2">
        <w:rPr>
          <w:snapToGrid w:val="0"/>
          <w:lang w:val="en-AU"/>
        </w:rPr>
        <w:t>2021-22 Budget year</w:t>
      </w:r>
      <w:r w:rsidRPr="00D23CE2">
        <w:rPr>
          <w:snapToGrid w:val="0"/>
        </w:rPr>
        <w:t>)</w:t>
      </w:r>
    </w:p>
    <w:tbl>
      <w:tblPr>
        <w:tblW w:w="7740" w:type="dxa"/>
        <w:tblLook w:val="04A0" w:firstRow="1" w:lastRow="0" w:firstColumn="1" w:lastColumn="0" w:noHBand="0" w:noVBand="1"/>
      </w:tblPr>
      <w:tblGrid>
        <w:gridCol w:w="2268"/>
        <w:gridCol w:w="816"/>
        <w:gridCol w:w="866"/>
        <w:gridCol w:w="964"/>
        <w:gridCol w:w="917"/>
        <w:gridCol w:w="981"/>
        <w:gridCol w:w="928"/>
      </w:tblGrid>
      <w:tr w:rsidR="00852545" w:rsidRPr="00296907" w14:paraId="7DFCCF04" w14:textId="77777777" w:rsidTr="00852545">
        <w:trPr>
          <w:trHeight w:val="56"/>
        </w:trPr>
        <w:tc>
          <w:tcPr>
            <w:tcW w:w="2268" w:type="dxa"/>
            <w:tcBorders>
              <w:top w:val="single" w:sz="4" w:space="0" w:color="auto"/>
              <w:left w:val="nil"/>
              <w:bottom w:val="nil"/>
              <w:right w:val="nil"/>
            </w:tcBorders>
            <w:shd w:val="clear" w:color="auto" w:fill="auto"/>
            <w:noWrap/>
            <w:vAlign w:val="bottom"/>
            <w:hideMark/>
          </w:tcPr>
          <w:p w14:paraId="0EC5DA86" w14:textId="77777777" w:rsidR="00852545" w:rsidRPr="00296907" w:rsidRDefault="00852545" w:rsidP="00296907">
            <w:pPr>
              <w:spacing w:after="0" w:line="240" w:lineRule="auto"/>
              <w:jc w:val="left"/>
              <w:rPr>
                <w:rFonts w:ascii="Arial" w:hAnsi="Arial" w:cs="Arial"/>
                <w:sz w:val="16"/>
                <w:szCs w:val="16"/>
              </w:rPr>
            </w:pPr>
            <w:r w:rsidRPr="00296907">
              <w:rPr>
                <w:rFonts w:ascii="Arial" w:hAnsi="Arial" w:cs="Arial"/>
                <w:sz w:val="16"/>
                <w:szCs w:val="16"/>
              </w:rPr>
              <w:t> </w:t>
            </w:r>
          </w:p>
        </w:tc>
        <w:tc>
          <w:tcPr>
            <w:tcW w:w="5472" w:type="dxa"/>
            <w:gridSpan w:val="6"/>
            <w:tcBorders>
              <w:top w:val="single" w:sz="4" w:space="0" w:color="auto"/>
              <w:left w:val="nil"/>
              <w:bottom w:val="single" w:sz="4" w:space="0" w:color="auto"/>
              <w:right w:val="nil"/>
            </w:tcBorders>
            <w:shd w:val="clear" w:color="auto" w:fill="auto"/>
            <w:vAlign w:val="bottom"/>
          </w:tcPr>
          <w:p w14:paraId="3DA4FFF9" w14:textId="3645FBEE" w:rsidR="00852545" w:rsidRPr="00852545" w:rsidRDefault="00852545" w:rsidP="00852545">
            <w:pPr>
              <w:spacing w:after="0" w:line="240" w:lineRule="auto"/>
              <w:jc w:val="center"/>
              <w:rPr>
                <w:rFonts w:ascii="Arial" w:hAnsi="Arial" w:cs="Arial"/>
                <w:b/>
                <w:sz w:val="16"/>
                <w:szCs w:val="16"/>
              </w:rPr>
            </w:pPr>
            <w:r w:rsidRPr="00852545">
              <w:rPr>
                <w:rFonts w:ascii="Arial" w:hAnsi="Arial" w:cs="Arial"/>
                <w:b/>
                <w:sz w:val="16"/>
                <w:szCs w:val="16"/>
              </w:rPr>
              <w:t>Asset Category</w:t>
            </w:r>
          </w:p>
        </w:tc>
      </w:tr>
      <w:tr w:rsidR="00852545" w:rsidRPr="00296907" w14:paraId="5C3A67D6" w14:textId="77777777" w:rsidTr="00852545">
        <w:trPr>
          <w:trHeight w:val="875"/>
        </w:trPr>
        <w:tc>
          <w:tcPr>
            <w:tcW w:w="2268" w:type="dxa"/>
            <w:tcBorders>
              <w:left w:val="nil"/>
              <w:bottom w:val="nil"/>
              <w:right w:val="nil"/>
            </w:tcBorders>
            <w:shd w:val="clear" w:color="auto" w:fill="auto"/>
            <w:noWrap/>
            <w:vAlign w:val="bottom"/>
          </w:tcPr>
          <w:p w14:paraId="750F2481" w14:textId="77777777" w:rsidR="00852545" w:rsidRPr="00296907" w:rsidRDefault="00852545" w:rsidP="00852545">
            <w:pPr>
              <w:spacing w:after="0" w:line="240" w:lineRule="auto"/>
              <w:jc w:val="left"/>
              <w:rPr>
                <w:rFonts w:ascii="Arial" w:hAnsi="Arial" w:cs="Arial"/>
                <w:sz w:val="16"/>
                <w:szCs w:val="16"/>
              </w:rPr>
            </w:pPr>
          </w:p>
        </w:tc>
        <w:tc>
          <w:tcPr>
            <w:tcW w:w="816" w:type="dxa"/>
            <w:tcBorders>
              <w:top w:val="single" w:sz="4" w:space="0" w:color="auto"/>
              <w:left w:val="nil"/>
              <w:bottom w:val="single" w:sz="4" w:space="0" w:color="auto"/>
              <w:right w:val="nil"/>
            </w:tcBorders>
            <w:shd w:val="clear" w:color="auto" w:fill="auto"/>
            <w:vAlign w:val="bottom"/>
          </w:tcPr>
          <w:p w14:paraId="60F8702F" w14:textId="373D1DC7" w:rsidR="00852545" w:rsidRPr="00296907" w:rsidRDefault="00852545" w:rsidP="00852545">
            <w:pPr>
              <w:spacing w:after="0" w:line="240" w:lineRule="auto"/>
              <w:jc w:val="right"/>
              <w:rPr>
                <w:rFonts w:ascii="Arial" w:hAnsi="Arial" w:cs="Arial"/>
                <w:sz w:val="16"/>
                <w:szCs w:val="16"/>
              </w:rPr>
            </w:pPr>
            <w:r w:rsidRPr="00296907">
              <w:rPr>
                <w:rFonts w:ascii="Arial" w:hAnsi="Arial" w:cs="Arial"/>
                <w:sz w:val="16"/>
                <w:szCs w:val="16"/>
              </w:rPr>
              <w:t>Land</w:t>
            </w:r>
            <w:r w:rsidRPr="00296907">
              <w:rPr>
                <w:rFonts w:ascii="Arial" w:hAnsi="Arial" w:cs="Arial"/>
                <w:sz w:val="16"/>
                <w:szCs w:val="16"/>
              </w:rPr>
              <w:br/>
            </w:r>
            <w:r w:rsidRPr="00296907">
              <w:rPr>
                <w:rFonts w:ascii="Arial" w:hAnsi="Arial" w:cs="Arial"/>
                <w:sz w:val="16"/>
                <w:szCs w:val="16"/>
              </w:rPr>
              <w:br/>
            </w:r>
            <w:r w:rsidRPr="00296907">
              <w:rPr>
                <w:rFonts w:ascii="Arial" w:hAnsi="Arial" w:cs="Arial"/>
                <w:sz w:val="16"/>
                <w:szCs w:val="16"/>
              </w:rPr>
              <w:br/>
            </w:r>
            <w:r w:rsidRPr="00296907">
              <w:rPr>
                <w:rFonts w:ascii="Arial" w:hAnsi="Arial" w:cs="Arial"/>
                <w:sz w:val="16"/>
                <w:szCs w:val="16"/>
              </w:rPr>
              <w:br/>
              <w:t>$'000</w:t>
            </w:r>
          </w:p>
        </w:tc>
        <w:tc>
          <w:tcPr>
            <w:tcW w:w="866" w:type="dxa"/>
            <w:tcBorders>
              <w:top w:val="single" w:sz="4" w:space="0" w:color="auto"/>
              <w:left w:val="nil"/>
              <w:bottom w:val="single" w:sz="4" w:space="0" w:color="auto"/>
              <w:right w:val="nil"/>
            </w:tcBorders>
            <w:shd w:val="clear" w:color="auto" w:fill="auto"/>
            <w:vAlign w:val="bottom"/>
          </w:tcPr>
          <w:p w14:paraId="35F496B6" w14:textId="3EAC2180" w:rsidR="00852545" w:rsidRPr="00296907" w:rsidRDefault="00852545" w:rsidP="00852545">
            <w:pPr>
              <w:spacing w:after="0" w:line="240" w:lineRule="auto"/>
              <w:jc w:val="right"/>
              <w:rPr>
                <w:rFonts w:ascii="Arial" w:hAnsi="Arial" w:cs="Arial"/>
                <w:sz w:val="16"/>
                <w:szCs w:val="16"/>
              </w:rPr>
            </w:pPr>
            <w:r w:rsidRPr="00296907">
              <w:rPr>
                <w:rFonts w:ascii="Arial" w:hAnsi="Arial" w:cs="Arial"/>
                <w:sz w:val="16"/>
                <w:szCs w:val="16"/>
              </w:rPr>
              <w:t>Buildings</w:t>
            </w:r>
            <w:r w:rsidRPr="00296907">
              <w:rPr>
                <w:rFonts w:ascii="Arial" w:hAnsi="Arial" w:cs="Arial"/>
                <w:sz w:val="16"/>
                <w:szCs w:val="16"/>
              </w:rPr>
              <w:br/>
            </w:r>
            <w:r w:rsidRPr="00296907">
              <w:rPr>
                <w:rFonts w:ascii="Arial" w:hAnsi="Arial" w:cs="Arial"/>
                <w:sz w:val="16"/>
                <w:szCs w:val="16"/>
              </w:rPr>
              <w:br/>
            </w:r>
            <w:r w:rsidRPr="00296907">
              <w:rPr>
                <w:rFonts w:ascii="Arial" w:hAnsi="Arial" w:cs="Arial"/>
                <w:sz w:val="16"/>
                <w:szCs w:val="16"/>
              </w:rPr>
              <w:br/>
            </w:r>
            <w:r w:rsidRPr="00296907">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bottom"/>
          </w:tcPr>
          <w:p w14:paraId="0346A394" w14:textId="6C8E0CE8" w:rsidR="00852545" w:rsidRPr="00296907" w:rsidRDefault="00852545" w:rsidP="00852545">
            <w:pPr>
              <w:spacing w:after="0" w:line="240" w:lineRule="auto"/>
              <w:jc w:val="right"/>
              <w:rPr>
                <w:rFonts w:ascii="Arial" w:hAnsi="Arial" w:cs="Arial"/>
                <w:sz w:val="16"/>
                <w:szCs w:val="16"/>
              </w:rPr>
            </w:pPr>
            <w:r w:rsidRPr="00296907">
              <w:rPr>
                <w:rFonts w:ascii="Arial" w:hAnsi="Arial" w:cs="Arial"/>
                <w:sz w:val="16"/>
                <w:szCs w:val="16"/>
              </w:rPr>
              <w:t>Other</w:t>
            </w:r>
            <w:r w:rsidRPr="00296907">
              <w:rPr>
                <w:rFonts w:ascii="Arial" w:hAnsi="Arial" w:cs="Arial"/>
                <w:sz w:val="16"/>
                <w:szCs w:val="16"/>
              </w:rPr>
              <w:br/>
              <w:t>property,</w:t>
            </w:r>
            <w:r w:rsidRPr="00296907">
              <w:rPr>
                <w:rFonts w:ascii="Arial" w:hAnsi="Arial" w:cs="Arial"/>
                <w:sz w:val="16"/>
                <w:szCs w:val="16"/>
              </w:rPr>
              <w:br/>
              <w:t>plant and</w:t>
            </w:r>
            <w:r w:rsidRPr="00296907">
              <w:rPr>
                <w:rFonts w:ascii="Arial" w:hAnsi="Arial" w:cs="Arial"/>
                <w:sz w:val="16"/>
                <w:szCs w:val="16"/>
              </w:rPr>
              <w:br/>
              <w:t>equipment</w:t>
            </w:r>
            <w:r w:rsidRPr="00296907">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vAlign w:val="bottom"/>
          </w:tcPr>
          <w:p w14:paraId="47FE27FA" w14:textId="2091FF38" w:rsidR="00852545" w:rsidRPr="00296907" w:rsidRDefault="00852545" w:rsidP="00852545">
            <w:pPr>
              <w:spacing w:after="0" w:line="240" w:lineRule="auto"/>
              <w:jc w:val="right"/>
              <w:rPr>
                <w:rFonts w:ascii="Arial" w:hAnsi="Arial" w:cs="Arial"/>
                <w:sz w:val="16"/>
                <w:szCs w:val="16"/>
              </w:rPr>
            </w:pPr>
            <w:r w:rsidRPr="00296907">
              <w:rPr>
                <w:rFonts w:ascii="Arial" w:hAnsi="Arial" w:cs="Arial"/>
                <w:sz w:val="16"/>
                <w:szCs w:val="16"/>
              </w:rPr>
              <w:t>Heritage</w:t>
            </w:r>
            <w:r w:rsidRPr="00296907">
              <w:rPr>
                <w:rFonts w:ascii="Arial" w:hAnsi="Arial" w:cs="Arial"/>
                <w:sz w:val="16"/>
                <w:szCs w:val="16"/>
              </w:rPr>
              <w:br/>
              <w:t>and</w:t>
            </w:r>
            <w:r w:rsidRPr="00296907">
              <w:rPr>
                <w:rFonts w:ascii="Arial" w:hAnsi="Arial" w:cs="Arial"/>
                <w:sz w:val="16"/>
                <w:szCs w:val="16"/>
              </w:rPr>
              <w:br/>
              <w:t>cultural</w:t>
            </w:r>
            <w:r w:rsidRPr="00296907">
              <w:rPr>
                <w:rFonts w:ascii="Arial" w:hAnsi="Arial" w:cs="Arial"/>
                <w:sz w:val="16"/>
                <w:szCs w:val="16"/>
              </w:rPr>
              <w:br/>
            </w:r>
            <w:r w:rsidRPr="00296907">
              <w:rPr>
                <w:rFonts w:ascii="Arial" w:hAnsi="Arial" w:cs="Arial"/>
                <w:sz w:val="16"/>
                <w:szCs w:val="16"/>
              </w:rPr>
              <w:br/>
              <w:t>$'000</w:t>
            </w:r>
          </w:p>
        </w:tc>
        <w:tc>
          <w:tcPr>
            <w:tcW w:w="981" w:type="dxa"/>
            <w:tcBorders>
              <w:top w:val="single" w:sz="4" w:space="0" w:color="auto"/>
              <w:left w:val="nil"/>
              <w:bottom w:val="single" w:sz="4" w:space="0" w:color="auto"/>
              <w:right w:val="nil"/>
            </w:tcBorders>
            <w:shd w:val="clear" w:color="auto" w:fill="auto"/>
            <w:vAlign w:val="bottom"/>
          </w:tcPr>
          <w:p w14:paraId="7C507909" w14:textId="1BF8C038" w:rsidR="00852545" w:rsidRPr="00296907" w:rsidRDefault="00852545" w:rsidP="00852545">
            <w:pPr>
              <w:spacing w:after="0" w:line="240" w:lineRule="auto"/>
              <w:jc w:val="right"/>
              <w:rPr>
                <w:rFonts w:ascii="Arial" w:hAnsi="Arial" w:cs="Arial"/>
                <w:sz w:val="16"/>
                <w:szCs w:val="16"/>
              </w:rPr>
            </w:pPr>
            <w:r w:rsidRPr="00296907">
              <w:rPr>
                <w:rFonts w:ascii="Arial" w:hAnsi="Arial" w:cs="Arial"/>
                <w:sz w:val="16"/>
                <w:szCs w:val="16"/>
              </w:rPr>
              <w:t>Computer</w:t>
            </w:r>
            <w:r w:rsidRPr="00296907">
              <w:rPr>
                <w:rFonts w:ascii="Arial" w:hAnsi="Arial" w:cs="Arial"/>
                <w:sz w:val="16"/>
                <w:szCs w:val="16"/>
              </w:rPr>
              <w:br/>
              <w:t>software and</w:t>
            </w:r>
            <w:r w:rsidRPr="00296907">
              <w:rPr>
                <w:rFonts w:ascii="Arial" w:hAnsi="Arial" w:cs="Arial"/>
                <w:sz w:val="16"/>
                <w:szCs w:val="16"/>
              </w:rPr>
              <w:br/>
              <w:t>intangibles</w:t>
            </w:r>
            <w:r w:rsidRPr="00296907">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bottom"/>
          </w:tcPr>
          <w:p w14:paraId="36404F99" w14:textId="30F2D2A7" w:rsidR="00852545" w:rsidRPr="00296907" w:rsidRDefault="00852545" w:rsidP="00852545">
            <w:pPr>
              <w:spacing w:after="0" w:line="240" w:lineRule="auto"/>
              <w:jc w:val="right"/>
              <w:rPr>
                <w:rFonts w:ascii="Arial" w:hAnsi="Arial" w:cs="Arial"/>
                <w:sz w:val="16"/>
                <w:szCs w:val="16"/>
              </w:rPr>
            </w:pPr>
            <w:r w:rsidRPr="00296907">
              <w:rPr>
                <w:rFonts w:ascii="Arial" w:hAnsi="Arial" w:cs="Arial"/>
                <w:sz w:val="16"/>
                <w:szCs w:val="16"/>
              </w:rPr>
              <w:t>Total</w:t>
            </w:r>
            <w:r w:rsidRPr="00296907">
              <w:rPr>
                <w:rFonts w:ascii="Arial" w:hAnsi="Arial" w:cs="Arial"/>
                <w:sz w:val="16"/>
                <w:szCs w:val="16"/>
              </w:rPr>
              <w:br/>
            </w:r>
            <w:r w:rsidRPr="00296907">
              <w:rPr>
                <w:rFonts w:ascii="Arial" w:hAnsi="Arial" w:cs="Arial"/>
                <w:sz w:val="16"/>
                <w:szCs w:val="16"/>
              </w:rPr>
              <w:br/>
            </w:r>
            <w:r w:rsidRPr="00296907">
              <w:rPr>
                <w:rFonts w:ascii="Arial" w:hAnsi="Arial" w:cs="Arial"/>
                <w:sz w:val="16"/>
                <w:szCs w:val="16"/>
              </w:rPr>
              <w:br/>
            </w:r>
            <w:r w:rsidRPr="00296907">
              <w:rPr>
                <w:rFonts w:ascii="Arial" w:hAnsi="Arial" w:cs="Arial"/>
                <w:sz w:val="16"/>
                <w:szCs w:val="16"/>
              </w:rPr>
              <w:br/>
              <w:t>$'000</w:t>
            </w:r>
          </w:p>
        </w:tc>
      </w:tr>
      <w:tr w:rsidR="00852545" w:rsidRPr="00296907" w14:paraId="3619723A" w14:textId="77777777" w:rsidTr="005C472A">
        <w:trPr>
          <w:trHeight w:val="203"/>
        </w:trPr>
        <w:tc>
          <w:tcPr>
            <w:tcW w:w="2268" w:type="dxa"/>
            <w:tcBorders>
              <w:top w:val="nil"/>
              <w:left w:val="nil"/>
              <w:bottom w:val="nil"/>
              <w:right w:val="nil"/>
            </w:tcBorders>
            <w:shd w:val="clear" w:color="auto" w:fill="auto"/>
            <w:vAlign w:val="bottom"/>
            <w:hideMark/>
          </w:tcPr>
          <w:p w14:paraId="669ECB4E" w14:textId="77777777" w:rsidR="00852545" w:rsidRPr="00296907" w:rsidRDefault="00852545" w:rsidP="00852545">
            <w:pPr>
              <w:spacing w:after="0" w:line="240" w:lineRule="auto"/>
              <w:jc w:val="left"/>
              <w:rPr>
                <w:rFonts w:ascii="Arial" w:hAnsi="Arial" w:cs="Arial"/>
                <w:b/>
                <w:bCs/>
                <w:sz w:val="16"/>
                <w:szCs w:val="16"/>
              </w:rPr>
            </w:pPr>
            <w:r w:rsidRPr="00296907">
              <w:rPr>
                <w:rFonts w:ascii="Arial" w:hAnsi="Arial" w:cs="Arial"/>
                <w:b/>
                <w:bCs/>
                <w:sz w:val="16"/>
                <w:szCs w:val="16"/>
              </w:rPr>
              <w:t>As at 1 July 2021</w:t>
            </w:r>
          </w:p>
        </w:tc>
        <w:tc>
          <w:tcPr>
            <w:tcW w:w="816" w:type="dxa"/>
            <w:tcBorders>
              <w:top w:val="nil"/>
              <w:left w:val="nil"/>
              <w:bottom w:val="nil"/>
              <w:right w:val="nil"/>
            </w:tcBorders>
            <w:shd w:val="clear" w:color="auto" w:fill="auto"/>
            <w:noWrap/>
            <w:vAlign w:val="bottom"/>
            <w:hideMark/>
          </w:tcPr>
          <w:p w14:paraId="74EA5D1A" w14:textId="77777777" w:rsidR="00852545" w:rsidRPr="00296907" w:rsidRDefault="00852545" w:rsidP="00852545">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5E02B29E" w14:textId="77777777" w:rsidR="00852545" w:rsidRPr="00296907" w:rsidRDefault="00852545" w:rsidP="00852545">
            <w:pPr>
              <w:spacing w:after="0" w:line="240" w:lineRule="auto"/>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288B4120" w14:textId="77777777" w:rsidR="00852545" w:rsidRPr="00296907" w:rsidRDefault="00852545" w:rsidP="00852545">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014E276B" w14:textId="77777777" w:rsidR="00852545" w:rsidRPr="00296907" w:rsidRDefault="00852545" w:rsidP="00852545">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2E4AEF97" w14:textId="77777777" w:rsidR="00852545" w:rsidRPr="00296907" w:rsidRDefault="00852545" w:rsidP="0085254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bottom"/>
            <w:hideMark/>
          </w:tcPr>
          <w:p w14:paraId="0BD644C8" w14:textId="77777777" w:rsidR="00852545" w:rsidRPr="00296907" w:rsidRDefault="00852545" w:rsidP="00852545">
            <w:pPr>
              <w:spacing w:after="0" w:line="240" w:lineRule="auto"/>
              <w:jc w:val="right"/>
              <w:rPr>
                <w:rFonts w:ascii="Times New Roman" w:hAnsi="Times New Roman"/>
              </w:rPr>
            </w:pPr>
          </w:p>
        </w:tc>
      </w:tr>
      <w:tr w:rsidR="00852545" w:rsidRPr="00296907" w14:paraId="2BA82947" w14:textId="77777777" w:rsidTr="005C472A">
        <w:trPr>
          <w:trHeight w:val="203"/>
        </w:trPr>
        <w:tc>
          <w:tcPr>
            <w:tcW w:w="2268" w:type="dxa"/>
            <w:tcBorders>
              <w:top w:val="nil"/>
              <w:left w:val="nil"/>
              <w:bottom w:val="nil"/>
              <w:right w:val="nil"/>
            </w:tcBorders>
            <w:shd w:val="clear" w:color="auto" w:fill="auto"/>
            <w:vAlign w:val="bottom"/>
            <w:hideMark/>
          </w:tcPr>
          <w:p w14:paraId="093FFACB" w14:textId="77777777" w:rsidR="00852545" w:rsidRPr="00296907" w:rsidRDefault="00852545" w:rsidP="00852545">
            <w:pPr>
              <w:spacing w:after="0" w:line="240" w:lineRule="auto"/>
              <w:ind w:left="113"/>
              <w:jc w:val="left"/>
              <w:rPr>
                <w:rFonts w:ascii="Arial" w:hAnsi="Arial" w:cs="Arial"/>
                <w:sz w:val="16"/>
                <w:szCs w:val="16"/>
              </w:rPr>
            </w:pPr>
            <w:r w:rsidRPr="00296907">
              <w:rPr>
                <w:rFonts w:ascii="Arial" w:hAnsi="Arial" w:cs="Arial"/>
                <w:sz w:val="16"/>
                <w:szCs w:val="16"/>
              </w:rPr>
              <w:t xml:space="preserve">Gross book value </w:t>
            </w:r>
          </w:p>
        </w:tc>
        <w:tc>
          <w:tcPr>
            <w:tcW w:w="816" w:type="dxa"/>
            <w:tcBorders>
              <w:top w:val="nil"/>
              <w:left w:val="nil"/>
              <w:bottom w:val="nil"/>
              <w:right w:val="nil"/>
            </w:tcBorders>
            <w:shd w:val="clear" w:color="auto" w:fill="auto"/>
            <w:noWrap/>
            <w:vAlign w:val="bottom"/>
            <w:hideMark/>
          </w:tcPr>
          <w:p w14:paraId="76850620" w14:textId="6E33F104"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66,756</w:t>
            </w:r>
          </w:p>
        </w:tc>
        <w:tc>
          <w:tcPr>
            <w:tcW w:w="866" w:type="dxa"/>
            <w:tcBorders>
              <w:top w:val="nil"/>
              <w:left w:val="nil"/>
              <w:bottom w:val="nil"/>
              <w:right w:val="nil"/>
            </w:tcBorders>
            <w:shd w:val="clear" w:color="auto" w:fill="auto"/>
            <w:noWrap/>
            <w:vAlign w:val="bottom"/>
            <w:hideMark/>
          </w:tcPr>
          <w:p w14:paraId="6848E54B" w14:textId="59B211F9"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169,344</w:t>
            </w:r>
          </w:p>
        </w:tc>
        <w:tc>
          <w:tcPr>
            <w:tcW w:w="964" w:type="dxa"/>
            <w:tcBorders>
              <w:top w:val="nil"/>
              <w:left w:val="nil"/>
              <w:bottom w:val="nil"/>
              <w:right w:val="nil"/>
            </w:tcBorders>
            <w:shd w:val="clear" w:color="auto" w:fill="auto"/>
            <w:noWrap/>
            <w:vAlign w:val="bottom"/>
            <w:hideMark/>
          </w:tcPr>
          <w:p w14:paraId="4F916F32" w14:textId="1F687079"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541,760</w:t>
            </w:r>
          </w:p>
        </w:tc>
        <w:tc>
          <w:tcPr>
            <w:tcW w:w="917" w:type="dxa"/>
            <w:tcBorders>
              <w:top w:val="nil"/>
              <w:left w:val="nil"/>
              <w:bottom w:val="nil"/>
              <w:right w:val="nil"/>
            </w:tcBorders>
            <w:shd w:val="clear" w:color="auto" w:fill="auto"/>
            <w:noWrap/>
            <w:vAlign w:val="bottom"/>
            <w:hideMark/>
          </w:tcPr>
          <w:p w14:paraId="1963C229" w14:textId="04AFA4D5"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178,762</w:t>
            </w:r>
          </w:p>
        </w:tc>
        <w:tc>
          <w:tcPr>
            <w:tcW w:w="981" w:type="dxa"/>
            <w:tcBorders>
              <w:top w:val="nil"/>
              <w:left w:val="nil"/>
              <w:bottom w:val="nil"/>
              <w:right w:val="nil"/>
            </w:tcBorders>
            <w:shd w:val="clear" w:color="auto" w:fill="auto"/>
            <w:noWrap/>
            <w:vAlign w:val="bottom"/>
            <w:hideMark/>
          </w:tcPr>
          <w:p w14:paraId="231C4F13" w14:textId="61532ECF"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8,097</w:t>
            </w:r>
          </w:p>
        </w:tc>
        <w:tc>
          <w:tcPr>
            <w:tcW w:w="928" w:type="dxa"/>
            <w:tcBorders>
              <w:top w:val="nil"/>
              <w:left w:val="nil"/>
              <w:bottom w:val="nil"/>
              <w:right w:val="nil"/>
            </w:tcBorders>
            <w:shd w:val="clear" w:color="auto" w:fill="auto"/>
            <w:noWrap/>
            <w:vAlign w:val="bottom"/>
            <w:hideMark/>
          </w:tcPr>
          <w:p w14:paraId="10125DE1" w14:textId="4F379437"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964,719</w:t>
            </w:r>
          </w:p>
        </w:tc>
      </w:tr>
      <w:tr w:rsidR="00852545" w:rsidRPr="00296907" w14:paraId="6599E296" w14:textId="77777777" w:rsidTr="005C472A">
        <w:trPr>
          <w:trHeight w:val="203"/>
        </w:trPr>
        <w:tc>
          <w:tcPr>
            <w:tcW w:w="2268" w:type="dxa"/>
            <w:tcBorders>
              <w:top w:val="nil"/>
              <w:left w:val="nil"/>
              <w:bottom w:val="nil"/>
              <w:right w:val="nil"/>
            </w:tcBorders>
            <w:shd w:val="clear" w:color="auto" w:fill="auto"/>
            <w:vAlign w:val="bottom"/>
            <w:hideMark/>
          </w:tcPr>
          <w:p w14:paraId="6D444688" w14:textId="45554393" w:rsidR="00852545" w:rsidRPr="00296907" w:rsidRDefault="00852545" w:rsidP="00852545">
            <w:pPr>
              <w:spacing w:after="0" w:line="240" w:lineRule="auto"/>
              <w:ind w:left="113"/>
              <w:jc w:val="left"/>
              <w:rPr>
                <w:rFonts w:ascii="Arial" w:hAnsi="Arial" w:cs="Arial"/>
                <w:sz w:val="16"/>
                <w:szCs w:val="16"/>
              </w:rPr>
            </w:pPr>
            <w:r w:rsidRPr="00296907">
              <w:rPr>
                <w:rFonts w:ascii="Arial" w:hAnsi="Arial" w:cs="Arial"/>
                <w:sz w:val="16"/>
                <w:szCs w:val="16"/>
              </w:rPr>
              <w:t>Accumulated depreciation/</w:t>
            </w:r>
            <w:r>
              <w:rPr>
                <w:rFonts w:ascii="Arial" w:hAnsi="Arial" w:cs="Arial"/>
                <w:sz w:val="16"/>
                <w:szCs w:val="16"/>
              </w:rPr>
              <w:t xml:space="preserve"> </w:t>
            </w:r>
            <w:r w:rsidRPr="00296907">
              <w:rPr>
                <w:rFonts w:ascii="Arial" w:hAnsi="Arial" w:cs="Arial"/>
                <w:sz w:val="16"/>
                <w:szCs w:val="16"/>
              </w:rPr>
              <w:t>amortisation</w:t>
            </w:r>
            <w:r>
              <w:rPr>
                <w:rFonts w:ascii="Arial" w:hAnsi="Arial" w:cs="Arial"/>
                <w:sz w:val="16"/>
                <w:szCs w:val="16"/>
              </w:rPr>
              <w:t xml:space="preserve"> </w:t>
            </w:r>
            <w:r w:rsidRPr="00296907">
              <w:rPr>
                <w:rFonts w:ascii="Arial" w:hAnsi="Arial" w:cs="Arial"/>
                <w:sz w:val="16"/>
                <w:szCs w:val="16"/>
              </w:rPr>
              <w:t>and impairment</w:t>
            </w:r>
          </w:p>
        </w:tc>
        <w:tc>
          <w:tcPr>
            <w:tcW w:w="816" w:type="dxa"/>
            <w:tcBorders>
              <w:top w:val="nil"/>
              <w:left w:val="nil"/>
              <w:bottom w:val="nil"/>
              <w:right w:val="nil"/>
            </w:tcBorders>
            <w:shd w:val="clear" w:color="auto" w:fill="auto"/>
            <w:noWrap/>
            <w:vAlign w:val="bottom"/>
            <w:hideMark/>
          </w:tcPr>
          <w:p w14:paraId="6F52C305" w14:textId="223DD3BB"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55107B25" w14:textId="54B8650E"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(29,567)</w:t>
            </w:r>
          </w:p>
        </w:tc>
        <w:tc>
          <w:tcPr>
            <w:tcW w:w="964" w:type="dxa"/>
            <w:tcBorders>
              <w:top w:val="nil"/>
              <w:left w:val="nil"/>
              <w:bottom w:val="nil"/>
              <w:right w:val="nil"/>
            </w:tcBorders>
            <w:shd w:val="clear" w:color="auto" w:fill="auto"/>
            <w:noWrap/>
            <w:vAlign w:val="bottom"/>
            <w:hideMark/>
          </w:tcPr>
          <w:p w14:paraId="74511CAB" w14:textId="29E56CA4"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(93,909)</w:t>
            </w:r>
          </w:p>
        </w:tc>
        <w:tc>
          <w:tcPr>
            <w:tcW w:w="917" w:type="dxa"/>
            <w:tcBorders>
              <w:top w:val="nil"/>
              <w:left w:val="nil"/>
              <w:bottom w:val="nil"/>
              <w:right w:val="nil"/>
            </w:tcBorders>
            <w:shd w:val="clear" w:color="auto" w:fill="auto"/>
            <w:noWrap/>
            <w:vAlign w:val="bottom"/>
            <w:hideMark/>
          </w:tcPr>
          <w:p w14:paraId="66C5D157" w14:textId="5F11E76E"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(4,896)</w:t>
            </w:r>
          </w:p>
        </w:tc>
        <w:tc>
          <w:tcPr>
            <w:tcW w:w="981" w:type="dxa"/>
            <w:tcBorders>
              <w:top w:val="nil"/>
              <w:left w:val="nil"/>
              <w:bottom w:val="nil"/>
              <w:right w:val="nil"/>
            </w:tcBorders>
            <w:shd w:val="clear" w:color="auto" w:fill="auto"/>
            <w:noWrap/>
            <w:vAlign w:val="bottom"/>
            <w:hideMark/>
          </w:tcPr>
          <w:p w14:paraId="4DFCF54F" w14:textId="08270653"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(1,334)</w:t>
            </w:r>
          </w:p>
        </w:tc>
        <w:tc>
          <w:tcPr>
            <w:tcW w:w="928" w:type="dxa"/>
            <w:tcBorders>
              <w:top w:val="nil"/>
              <w:left w:val="nil"/>
              <w:bottom w:val="nil"/>
              <w:right w:val="nil"/>
            </w:tcBorders>
            <w:shd w:val="clear" w:color="auto" w:fill="auto"/>
            <w:noWrap/>
            <w:vAlign w:val="bottom"/>
            <w:hideMark/>
          </w:tcPr>
          <w:p w14:paraId="7C5BB774" w14:textId="5FE06FC5"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(129,706)</w:t>
            </w:r>
          </w:p>
        </w:tc>
      </w:tr>
      <w:tr w:rsidR="00852545" w:rsidRPr="00296907" w14:paraId="3D385BF2" w14:textId="77777777" w:rsidTr="005C472A">
        <w:trPr>
          <w:trHeight w:val="203"/>
        </w:trPr>
        <w:tc>
          <w:tcPr>
            <w:tcW w:w="2268" w:type="dxa"/>
            <w:tcBorders>
              <w:top w:val="nil"/>
              <w:left w:val="nil"/>
              <w:bottom w:val="nil"/>
              <w:right w:val="nil"/>
            </w:tcBorders>
            <w:shd w:val="clear" w:color="auto" w:fill="auto"/>
            <w:vAlign w:val="bottom"/>
            <w:hideMark/>
          </w:tcPr>
          <w:p w14:paraId="5B9681A9" w14:textId="77777777" w:rsidR="00852545" w:rsidRPr="00296907" w:rsidRDefault="00852545" w:rsidP="00852545">
            <w:pPr>
              <w:spacing w:after="0" w:line="240" w:lineRule="auto"/>
              <w:jc w:val="left"/>
              <w:rPr>
                <w:rFonts w:ascii="Arial" w:hAnsi="Arial" w:cs="Arial"/>
                <w:b/>
                <w:bCs/>
                <w:sz w:val="16"/>
                <w:szCs w:val="16"/>
              </w:rPr>
            </w:pPr>
            <w:r w:rsidRPr="00296907">
              <w:rPr>
                <w:rFonts w:ascii="Arial" w:hAnsi="Arial" w:cs="Arial"/>
                <w:b/>
                <w:bCs/>
                <w:sz w:val="16"/>
                <w:szCs w:val="16"/>
              </w:rPr>
              <w:t>Opening net book balance</w:t>
            </w:r>
          </w:p>
        </w:tc>
        <w:tc>
          <w:tcPr>
            <w:tcW w:w="816" w:type="dxa"/>
            <w:tcBorders>
              <w:top w:val="single" w:sz="4" w:space="0" w:color="auto"/>
              <w:left w:val="nil"/>
              <w:bottom w:val="single" w:sz="4" w:space="0" w:color="auto"/>
              <w:right w:val="nil"/>
            </w:tcBorders>
            <w:shd w:val="clear" w:color="auto" w:fill="auto"/>
            <w:noWrap/>
            <w:vAlign w:val="bottom"/>
            <w:hideMark/>
          </w:tcPr>
          <w:p w14:paraId="37F9232F" w14:textId="38F066EE"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66,756</w:t>
            </w:r>
          </w:p>
        </w:tc>
        <w:tc>
          <w:tcPr>
            <w:tcW w:w="866" w:type="dxa"/>
            <w:tcBorders>
              <w:top w:val="single" w:sz="4" w:space="0" w:color="auto"/>
              <w:left w:val="nil"/>
              <w:bottom w:val="single" w:sz="4" w:space="0" w:color="auto"/>
              <w:right w:val="nil"/>
            </w:tcBorders>
            <w:shd w:val="clear" w:color="auto" w:fill="auto"/>
            <w:noWrap/>
            <w:vAlign w:val="bottom"/>
            <w:hideMark/>
          </w:tcPr>
          <w:p w14:paraId="6BC7A667" w14:textId="79A98290"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139,777</w:t>
            </w:r>
          </w:p>
        </w:tc>
        <w:tc>
          <w:tcPr>
            <w:tcW w:w="964" w:type="dxa"/>
            <w:tcBorders>
              <w:top w:val="single" w:sz="4" w:space="0" w:color="auto"/>
              <w:left w:val="nil"/>
              <w:bottom w:val="single" w:sz="4" w:space="0" w:color="auto"/>
              <w:right w:val="nil"/>
            </w:tcBorders>
            <w:shd w:val="clear" w:color="auto" w:fill="auto"/>
            <w:noWrap/>
            <w:vAlign w:val="bottom"/>
            <w:hideMark/>
          </w:tcPr>
          <w:p w14:paraId="65479F92" w14:textId="7702C0CD"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447,851</w:t>
            </w:r>
          </w:p>
        </w:tc>
        <w:tc>
          <w:tcPr>
            <w:tcW w:w="917" w:type="dxa"/>
            <w:tcBorders>
              <w:top w:val="single" w:sz="4" w:space="0" w:color="auto"/>
              <w:left w:val="nil"/>
              <w:bottom w:val="single" w:sz="4" w:space="0" w:color="auto"/>
              <w:right w:val="nil"/>
            </w:tcBorders>
            <w:shd w:val="clear" w:color="auto" w:fill="auto"/>
            <w:noWrap/>
            <w:vAlign w:val="bottom"/>
            <w:hideMark/>
          </w:tcPr>
          <w:p w14:paraId="07C1A272" w14:textId="3FAB674B"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173,866</w:t>
            </w:r>
          </w:p>
        </w:tc>
        <w:tc>
          <w:tcPr>
            <w:tcW w:w="981" w:type="dxa"/>
            <w:tcBorders>
              <w:top w:val="single" w:sz="4" w:space="0" w:color="auto"/>
              <w:left w:val="nil"/>
              <w:bottom w:val="single" w:sz="4" w:space="0" w:color="auto"/>
              <w:right w:val="nil"/>
            </w:tcBorders>
            <w:shd w:val="clear" w:color="auto" w:fill="auto"/>
            <w:noWrap/>
            <w:vAlign w:val="bottom"/>
            <w:hideMark/>
          </w:tcPr>
          <w:p w14:paraId="2A81B34D" w14:textId="2DA67499"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6,763</w:t>
            </w:r>
          </w:p>
        </w:tc>
        <w:tc>
          <w:tcPr>
            <w:tcW w:w="928" w:type="dxa"/>
            <w:tcBorders>
              <w:top w:val="single" w:sz="4" w:space="0" w:color="auto"/>
              <w:left w:val="nil"/>
              <w:bottom w:val="single" w:sz="4" w:space="0" w:color="auto"/>
              <w:right w:val="nil"/>
            </w:tcBorders>
            <w:shd w:val="clear" w:color="auto" w:fill="auto"/>
            <w:noWrap/>
            <w:vAlign w:val="bottom"/>
            <w:hideMark/>
          </w:tcPr>
          <w:p w14:paraId="4CC85A2D" w14:textId="65D3EEF1"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835,013</w:t>
            </w:r>
          </w:p>
        </w:tc>
      </w:tr>
      <w:tr w:rsidR="00852545" w:rsidRPr="00296907" w14:paraId="15BAAAB3" w14:textId="77777777" w:rsidTr="005C472A">
        <w:trPr>
          <w:trHeight w:val="203"/>
        </w:trPr>
        <w:tc>
          <w:tcPr>
            <w:tcW w:w="2268" w:type="dxa"/>
            <w:tcBorders>
              <w:top w:val="nil"/>
              <w:left w:val="nil"/>
              <w:bottom w:val="nil"/>
              <w:right w:val="nil"/>
            </w:tcBorders>
            <w:shd w:val="clear" w:color="auto" w:fill="auto"/>
            <w:vAlign w:val="bottom"/>
            <w:hideMark/>
          </w:tcPr>
          <w:p w14:paraId="362C2676" w14:textId="77777777" w:rsidR="00852545" w:rsidRPr="00296907" w:rsidRDefault="00852545" w:rsidP="00852545">
            <w:pPr>
              <w:spacing w:after="0" w:line="240" w:lineRule="auto"/>
              <w:jc w:val="left"/>
              <w:rPr>
                <w:rFonts w:ascii="Arial" w:hAnsi="Arial" w:cs="Arial"/>
                <w:b/>
                <w:bCs/>
                <w:sz w:val="16"/>
                <w:szCs w:val="16"/>
              </w:rPr>
            </w:pPr>
            <w:r w:rsidRPr="00296907">
              <w:rPr>
                <w:rFonts w:ascii="Arial" w:hAnsi="Arial" w:cs="Arial"/>
                <w:b/>
                <w:bCs/>
                <w:sz w:val="16"/>
                <w:szCs w:val="16"/>
              </w:rPr>
              <w:t>CAPITAL ASSET ADDITIONS</w:t>
            </w:r>
          </w:p>
        </w:tc>
        <w:tc>
          <w:tcPr>
            <w:tcW w:w="816" w:type="dxa"/>
            <w:tcBorders>
              <w:top w:val="nil"/>
              <w:left w:val="nil"/>
              <w:bottom w:val="nil"/>
              <w:right w:val="nil"/>
            </w:tcBorders>
            <w:shd w:val="clear" w:color="auto" w:fill="auto"/>
            <w:noWrap/>
            <w:vAlign w:val="bottom"/>
            <w:hideMark/>
          </w:tcPr>
          <w:p w14:paraId="56CC44A6" w14:textId="77777777" w:rsidR="00852545" w:rsidRPr="00296907" w:rsidRDefault="00852545" w:rsidP="00852545">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75726E97" w14:textId="77777777" w:rsidR="00852545" w:rsidRPr="00296907" w:rsidRDefault="00852545" w:rsidP="00852545">
            <w:pPr>
              <w:spacing w:after="0" w:line="240" w:lineRule="auto"/>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42099256" w14:textId="77777777" w:rsidR="00852545" w:rsidRPr="00296907" w:rsidRDefault="00852545" w:rsidP="00852545">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043FD446" w14:textId="77777777" w:rsidR="00852545" w:rsidRPr="00296907" w:rsidRDefault="00852545" w:rsidP="00852545">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1FBF2B8B" w14:textId="77777777" w:rsidR="00852545" w:rsidRPr="00296907" w:rsidRDefault="00852545" w:rsidP="0085254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bottom"/>
            <w:hideMark/>
          </w:tcPr>
          <w:p w14:paraId="03F62A1F" w14:textId="77777777" w:rsidR="00852545" w:rsidRPr="00296907" w:rsidRDefault="00852545" w:rsidP="00852545">
            <w:pPr>
              <w:spacing w:after="0" w:line="240" w:lineRule="auto"/>
              <w:jc w:val="right"/>
              <w:rPr>
                <w:rFonts w:ascii="Times New Roman" w:hAnsi="Times New Roman"/>
              </w:rPr>
            </w:pPr>
          </w:p>
        </w:tc>
      </w:tr>
      <w:tr w:rsidR="00852545" w:rsidRPr="00296907" w14:paraId="7EFB7FF7" w14:textId="77777777" w:rsidTr="005C472A">
        <w:trPr>
          <w:trHeight w:val="203"/>
        </w:trPr>
        <w:tc>
          <w:tcPr>
            <w:tcW w:w="2268" w:type="dxa"/>
            <w:tcBorders>
              <w:top w:val="nil"/>
              <w:left w:val="nil"/>
              <w:bottom w:val="nil"/>
              <w:right w:val="nil"/>
            </w:tcBorders>
            <w:shd w:val="clear" w:color="auto" w:fill="auto"/>
            <w:vAlign w:val="bottom"/>
            <w:hideMark/>
          </w:tcPr>
          <w:p w14:paraId="35335AC9" w14:textId="76026246" w:rsidR="00852545" w:rsidRPr="00296907" w:rsidRDefault="00852545" w:rsidP="00852545">
            <w:pPr>
              <w:spacing w:after="0" w:line="240" w:lineRule="auto"/>
              <w:ind w:left="113"/>
              <w:jc w:val="left"/>
              <w:rPr>
                <w:rFonts w:ascii="Arial" w:hAnsi="Arial" w:cs="Arial"/>
                <w:b/>
                <w:bCs/>
                <w:sz w:val="16"/>
                <w:szCs w:val="16"/>
              </w:rPr>
            </w:pPr>
            <w:r w:rsidRPr="00296907">
              <w:rPr>
                <w:rFonts w:ascii="Arial" w:hAnsi="Arial" w:cs="Arial"/>
                <w:b/>
                <w:bCs/>
                <w:sz w:val="16"/>
                <w:szCs w:val="16"/>
              </w:rPr>
              <w:t>Estimated expenditure on new or</w:t>
            </w:r>
            <w:r>
              <w:rPr>
                <w:rFonts w:ascii="Arial" w:hAnsi="Arial" w:cs="Arial"/>
                <w:b/>
                <w:bCs/>
                <w:sz w:val="16"/>
                <w:szCs w:val="16"/>
              </w:rPr>
              <w:t xml:space="preserve"> </w:t>
            </w:r>
            <w:r w:rsidRPr="00296907">
              <w:rPr>
                <w:rFonts w:ascii="Arial" w:hAnsi="Arial" w:cs="Arial"/>
                <w:b/>
                <w:bCs/>
                <w:sz w:val="16"/>
                <w:szCs w:val="16"/>
              </w:rPr>
              <w:t>replacement assets</w:t>
            </w:r>
          </w:p>
        </w:tc>
        <w:tc>
          <w:tcPr>
            <w:tcW w:w="816" w:type="dxa"/>
            <w:tcBorders>
              <w:top w:val="nil"/>
              <w:left w:val="nil"/>
              <w:bottom w:val="nil"/>
              <w:right w:val="nil"/>
            </w:tcBorders>
            <w:shd w:val="clear" w:color="auto" w:fill="auto"/>
            <w:noWrap/>
            <w:vAlign w:val="bottom"/>
            <w:hideMark/>
          </w:tcPr>
          <w:p w14:paraId="0E2EAEFC" w14:textId="77777777" w:rsidR="00852545" w:rsidRPr="00296907" w:rsidRDefault="00852545" w:rsidP="00852545">
            <w:pPr>
              <w:spacing w:after="0" w:line="240" w:lineRule="auto"/>
              <w:ind w:firstLineChars="100" w:firstLine="160"/>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2FFBA47B" w14:textId="77777777" w:rsidR="00852545" w:rsidRPr="00296907" w:rsidRDefault="00852545" w:rsidP="00852545">
            <w:pPr>
              <w:spacing w:after="0" w:line="240" w:lineRule="auto"/>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63E1DF98" w14:textId="77777777" w:rsidR="00852545" w:rsidRPr="00296907" w:rsidRDefault="00852545" w:rsidP="00852545">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6B4BAD0C" w14:textId="77777777" w:rsidR="00852545" w:rsidRPr="00296907" w:rsidRDefault="00852545" w:rsidP="00852545">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513A959A" w14:textId="77777777" w:rsidR="00852545" w:rsidRPr="00296907" w:rsidRDefault="00852545" w:rsidP="0085254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bottom"/>
            <w:hideMark/>
          </w:tcPr>
          <w:p w14:paraId="4F8A12AE" w14:textId="77777777" w:rsidR="00852545" w:rsidRPr="00296907" w:rsidRDefault="00852545" w:rsidP="00852545">
            <w:pPr>
              <w:spacing w:after="0" w:line="240" w:lineRule="auto"/>
              <w:jc w:val="right"/>
              <w:rPr>
                <w:rFonts w:ascii="Times New Roman" w:hAnsi="Times New Roman"/>
              </w:rPr>
            </w:pPr>
          </w:p>
        </w:tc>
      </w:tr>
      <w:tr w:rsidR="00852545" w:rsidRPr="00296907" w14:paraId="3B6F0D91" w14:textId="77777777" w:rsidTr="005C472A">
        <w:trPr>
          <w:trHeight w:val="203"/>
        </w:trPr>
        <w:tc>
          <w:tcPr>
            <w:tcW w:w="2268" w:type="dxa"/>
            <w:tcBorders>
              <w:top w:val="nil"/>
              <w:left w:val="nil"/>
              <w:bottom w:val="nil"/>
              <w:right w:val="nil"/>
            </w:tcBorders>
            <w:shd w:val="clear" w:color="auto" w:fill="auto"/>
            <w:vAlign w:val="bottom"/>
            <w:hideMark/>
          </w:tcPr>
          <w:p w14:paraId="11691002" w14:textId="77777777" w:rsidR="00852545" w:rsidRPr="00296907" w:rsidRDefault="00852545" w:rsidP="00852545">
            <w:pPr>
              <w:spacing w:after="0" w:line="240" w:lineRule="auto"/>
              <w:ind w:left="227"/>
              <w:jc w:val="left"/>
              <w:rPr>
                <w:rFonts w:ascii="Arial" w:hAnsi="Arial" w:cs="Arial"/>
                <w:sz w:val="16"/>
                <w:szCs w:val="16"/>
              </w:rPr>
            </w:pPr>
            <w:r w:rsidRPr="00296907">
              <w:rPr>
                <w:rFonts w:ascii="Arial" w:hAnsi="Arial" w:cs="Arial"/>
                <w:sz w:val="16"/>
                <w:szCs w:val="16"/>
              </w:rPr>
              <w:t xml:space="preserve">By purchase - appropriation equity </w:t>
            </w:r>
          </w:p>
        </w:tc>
        <w:tc>
          <w:tcPr>
            <w:tcW w:w="816" w:type="dxa"/>
            <w:tcBorders>
              <w:top w:val="nil"/>
              <w:left w:val="nil"/>
              <w:bottom w:val="nil"/>
              <w:right w:val="nil"/>
            </w:tcBorders>
            <w:shd w:val="clear" w:color="auto" w:fill="auto"/>
            <w:noWrap/>
            <w:vAlign w:val="bottom"/>
            <w:hideMark/>
          </w:tcPr>
          <w:p w14:paraId="0697D826" w14:textId="0E8279D5"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20</w:t>
            </w:r>
          </w:p>
        </w:tc>
        <w:tc>
          <w:tcPr>
            <w:tcW w:w="866" w:type="dxa"/>
            <w:tcBorders>
              <w:top w:val="nil"/>
              <w:left w:val="nil"/>
              <w:bottom w:val="nil"/>
              <w:right w:val="nil"/>
            </w:tcBorders>
            <w:shd w:val="clear" w:color="auto" w:fill="auto"/>
            <w:noWrap/>
            <w:vAlign w:val="bottom"/>
            <w:hideMark/>
          </w:tcPr>
          <w:p w14:paraId="0A4BDEDC" w14:textId="3E889188"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6,613</w:t>
            </w:r>
          </w:p>
        </w:tc>
        <w:tc>
          <w:tcPr>
            <w:tcW w:w="964" w:type="dxa"/>
            <w:tcBorders>
              <w:top w:val="nil"/>
              <w:left w:val="nil"/>
              <w:bottom w:val="nil"/>
              <w:right w:val="nil"/>
            </w:tcBorders>
            <w:shd w:val="clear" w:color="auto" w:fill="auto"/>
            <w:noWrap/>
            <w:vAlign w:val="bottom"/>
            <w:hideMark/>
          </w:tcPr>
          <w:p w14:paraId="1BB1421D" w14:textId="1843EE3E"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43,849</w:t>
            </w:r>
          </w:p>
        </w:tc>
        <w:tc>
          <w:tcPr>
            <w:tcW w:w="917" w:type="dxa"/>
            <w:tcBorders>
              <w:top w:val="nil"/>
              <w:left w:val="nil"/>
              <w:bottom w:val="nil"/>
              <w:right w:val="nil"/>
            </w:tcBorders>
            <w:shd w:val="clear" w:color="auto" w:fill="auto"/>
            <w:noWrap/>
            <w:vAlign w:val="bottom"/>
            <w:hideMark/>
          </w:tcPr>
          <w:p w14:paraId="7A42221B" w14:textId="01178037"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902</w:t>
            </w:r>
          </w:p>
        </w:tc>
        <w:tc>
          <w:tcPr>
            <w:tcW w:w="981" w:type="dxa"/>
            <w:tcBorders>
              <w:top w:val="nil"/>
              <w:left w:val="nil"/>
              <w:bottom w:val="nil"/>
              <w:right w:val="nil"/>
            </w:tcBorders>
            <w:shd w:val="clear" w:color="auto" w:fill="auto"/>
            <w:noWrap/>
            <w:vAlign w:val="bottom"/>
            <w:hideMark/>
          </w:tcPr>
          <w:p w14:paraId="56236243" w14:textId="7D9E8097"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267D994E" w14:textId="44B80D0E"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51,384</w:t>
            </w:r>
          </w:p>
        </w:tc>
      </w:tr>
      <w:tr w:rsidR="00852545" w:rsidRPr="00296907" w14:paraId="043A3C9C" w14:textId="77777777" w:rsidTr="005C472A">
        <w:trPr>
          <w:trHeight w:val="203"/>
        </w:trPr>
        <w:tc>
          <w:tcPr>
            <w:tcW w:w="2268" w:type="dxa"/>
            <w:tcBorders>
              <w:top w:val="nil"/>
              <w:left w:val="nil"/>
              <w:bottom w:val="nil"/>
              <w:right w:val="nil"/>
            </w:tcBorders>
            <w:shd w:val="clear" w:color="auto" w:fill="auto"/>
            <w:vAlign w:val="bottom"/>
            <w:hideMark/>
          </w:tcPr>
          <w:p w14:paraId="2E68516A" w14:textId="77777777" w:rsidR="00852545" w:rsidRPr="00296907" w:rsidRDefault="00852545" w:rsidP="00852545">
            <w:pPr>
              <w:spacing w:after="0" w:line="240" w:lineRule="auto"/>
              <w:ind w:left="113"/>
              <w:jc w:val="left"/>
              <w:rPr>
                <w:rFonts w:ascii="Arial" w:hAnsi="Arial" w:cs="Arial"/>
                <w:b/>
                <w:bCs/>
                <w:sz w:val="16"/>
                <w:szCs w:val="16"/>
              </w:rPr>
            </w:pPr>
            <w:r w:rsidRPr="00296907">
              <w:rPr>
                <w:rFonts w:ascii="Arial" w:hAnsi="Arial" w:cs="Arial"/>
                <w:b/>
                <w:bCs/>
                <w:sz w:val="16"/>
                <w:szCs w:val="16"/>
              </w:rPr>
              <w:t>Total additions</w:t>
            </w:r>
          </w:p>
        </w:tc>
        <w:tc>
          <w:tcPr>
            <w:tcW w:w="816" w:type="dxa"/>
            <w:tcBorders>
              <w:top w:val="single" w:sz="4" w:space="0" w:color="auto"/>
              <w:left w:val="nil"/>
              <w:bottom w:val="nil"/>
              <w:right w:val="nil"/>
            </w:tcBorders>
            <w:shd w:val="clear" w:color="auto" w:fill="auto"/>
            <w:noWrap/>
            <w:vAlign w:val="bottom"/>
            <w:hideMark/>
          </w:tcPr>
          <w:p w14:paraId="73080BE6" w14:textId="63D99C30" w:rsidR="00852545" w:rsidRPr="00296907" w:rsidRDefault="00852545" w:rsidP="00852545">
            <w:pPr>
              <w:spacing w:after="0" w:line="240" w:lineRule="auto"/>
              <w:ind w:left="113"/>
              <w:jc w:val="right"/>
              <w:rPr>
                <w:rFonts w:ascii="Arial" w:hAnsi="Arial" w:cs="Arial"/>
                <w:b/>
                <w:bCs/>
                <w:sz w:val="16"/>
                <w:szCs w:val="16"/>
              </w:rPr>
            </w:pPr>
            <w:r>
              <w:rPr>
                <w:rFonts w:ascii="Arial" w:hAnsi="Arial" w:cs="Arial"/>
                <w:b/>
                <w:bCs/>
                <w:sz w:val="16"/>
                <w:szCs w:val="16"/>
              </w:rPr>
              <w:t>20</w:t>
            </w:r>
          </w:p>
        </w:tc>
        <w:tc>
          <w:tcPr>
            <w:tcW w:w="866" w:type="dxa"/>
            <w:tcBorders>
              <w:top w:val="single" w:sz="4" w:space="0" w:color="auto"/>
              <w:left w:val="nil"/>
              <w:bottom w:val="nil"/>
              <w:right w:val="nil"/>
            </w:tcBorders>
            <w:shd w:val="clear" w:color="auto" w:fill="auto"/>
            <w:noWrap/>
            <w:vAlign w:val="bottom"/>
            <w:hideMark/>
          </w:tcPr>
          <w:p w14:paraId="16BD5FD5" w14:textId="2E49CFEE" w:rsidR="00852545" w:rsidRPr="00296907" w:rsidRDefault="00852545" w:rsidP="00852545">
            <w:pPr>
              <w:spacing w:after="0" w:line="240" w:lineRule="auto"/>
              <w:ind w:left="113"/>
              <w:jc w:val="right"/>
              <w:rPr>
                <w:rFonts w:ascii="Arial" w:hAnsi="Arial" w:cs="Arial"/>
                <w:b/>
                <w:bCs/>
                <w:sz w:val="16"/>
                <w:szCs w:val="16"/>
              </w:rPr>
            </w:pPr>
            <w:r>
              <w:rPr>
                <w:rFonts w:ascii="Arial" w:hAnsi="Arial" w:cs="Arial"/>
                <w:b/>
                <w:bCs/>
                <w:sz w:val="16"/>
                <w:szCs w:val="16"/>
              </w:rPr>
              <w:t>6,613</w:t>
            </w:r>
          </w:p>
        </w:tc>
        <w:tc>
          <w:tcPr>
            <w:tcW w:w="964" w:type="dxa"/>
            <w:tcBorders>
              <w:top w:val="single" w:sz="4" w:space="0" w:color="auto"/>
              <w:left w:val="nil"/>
              <w:bottom w:val="nil"/>
              <w:right w:val="nil"/>
            </w:tcBorders>
            <w:shd w:val="clear" w:color="auto" w:fill="auto"/>
            <w:noWrap/>
            <w:vAlign w:val="bottom"/>
            <w:hideMark/>
          </w:tcPr>
          <w:p w14:paraId="7A1229CB" w14:textId="60BAA5EA" w:rsidR="00852545" w:rsidRPr="00296907" w:rsidRDefault="00852545" w:rsidP="00852545">
            <w:pPr>
              <w:spacing w:after="0" w:line="240" w:lineRule="auto"/>
              <w:ind w:left="113"/>
              <w:jc w:val="right"/>
              <w:rPr>
                <w:rFonts w:ascii="Arial" w:hAnsi="Arial" w:cs="Arial"/>
                <w:b/>
                <w:bCs/>
                <w:sz w:val="16"/>
                <w:szCs w:val="16"/>
              </w:rPr>
            </w:pPr>
            <w:r>
              <w:rPr>
                <w:rFonts w:ascii="Arial" w:hAnsi="Arial" w:cs="Arial"/>
                <w:b/>
                <w:bCs/>
                <w:sz w:val="16"/>
                <w:szCs w:val="16"/>
              </w:rPr>
              <w:t>43,849</w:t>
            </w:r>
          </w:p>
        </w:tc>
        <w:tc>
          <w:tcPr>
            <w:tcW w:w="917" w:type="dxa"/>
            <w:tcBorders>
              <w:top w:val="single" w:sz="4" w:space="0" w:color="auto"/>
              <w:left w:val="nil"/>
              <w:bottom w:val="nil"/>
              <w:right w:val="nil"/>
            </w:tcBorders>
            <w:shd w:val="clear" w:color="auto" w:fill="auto"/>
            <w:noWrap/>
            <w:vAlign w:val="bottom"/>
            <w:hideMark/>
          </w:tcPr>
          <w:p w14:paraId="25DA5286" w14:textId="737BF4A5" w:rsidR="00852545" w:rsidRPr="00296907" w:rsidRDefault="00852545" w:rsidP="00852545">
            <w:pPr>
              <w:spacing w:after="0" w:line="240" w:lineRule="auto"/>
              <w:ind w:left="113"/>
              <w:jc w:val="right"/>
              <w:rPr>
                <w:rFonts w:ascii="Arial" w:hAnsi="Arial" w:cs="Arial"/>
                <w:b/>
                <w:bCs/>
                <w:sz w:val="16"/>
                <w:szCs w:val="16"/>
              </w:rPr>
            </w:pPr>
            <w:r>
              <w:rPr>
                <w:rFonts w:ascii="Arial" w:hAnsi="Arial" w:cs="Arial"/>
                <w:b/>
                <w:bCs/>
                <w:sz w:val="16"/>
                <w:szCs w:val="16"/>
              </w:rPr>
              <w:t>902</w:t>
            </w:r>
          </w:p>
        </w:tc>
        <w:tc>
          <w:tcPr>
            <w:tcW w:w="981" w:type="dxa"/>
            <w:tcBorders>
              <w:top w:val="single" w:sz="4" w:space="0" w:color="auto"/>
              <w:left w:val="nil"/>
              <w:bottom w:val="nil"/>
              <w:right w:val="nil"/>
            </w:tcBorders>
            <w:shd w:val="clear" w:color="auto" w:fill="auto"/>
            <w:noWrap/>
            <w:vAlign w:val="bottom"/>
            <w:hideMark/>
          </w:tcPr>
          <w:p w14:paraId="439CA93C" w14:textId="75655AB2" w:rsidR="00852545" w:rsidRPr="00296907" w:rsidRDefault="00852545" w:rsidP="00852545">
            <w:pPr>
              <w:spacing w:after="0" w:line="240" w:lineRule="auto"/>
              <w:ind w:left="113"/>
              <w:jc w:val="right"/>
              <w:rPr>
                <w:rFonts w:ascii="Arial" w:hAnsi="Arial" w:cs="Arial"/>
                <w:b/>
                <w:bCs/>
                <w:sz w:val="16"/>
                <w:szCs w:val="16"/>
              </w:rPr>
            </w:pPr>
            <w:r>
              <w:rPr>
                <w:rFonts w:ascii="Arial" w:hAnsi="Arial" w:cs="Arial"/>
                <w:b/>
                <w:bCs/>
                <w:sz w:val="16"/>
                <w:szCs w:val="16"/>
              </w:rPr>
              <w:t>-</w:t>
            </w:r>
          </w:p>
        </w:tc>
        <w:tc>
          <w:tcPr>
            <w:tcW w:w="928" w:type="dxa"/>
            <w:tcBorders>
              <w:top w:val="single" w:sz="4" w:space="0" w:color="auto"/>
              <w:left w:val="nil"/>
              <w:bottom w:val="nil"/>
              <w:right w:val="nil"/>
            </w:tcBorders>
            <w:shd w:val="clear" w:color="auto" w:fill="auto"/>
            <w:noWrap/>
            <w:vAlign w:val="bottom"/>
            <w:hideMark/>
          </w:tcPr>
          <w:p w14:paraId="6C15325E" w14:textId="4C554923" w:rsidR="00852545" w:rsidRPr="00296907" w:rsidRDefault="00852545" w:rsidP="00852545">
            <w:pPr>
              <w:spacing w:after="0" w:line="240" w:lineRule="auto"/>
              <w:ind w:left="113"/>
              <w:jc w:val="right"/>
              <w:rPr>
                <w:rFonts w:ascii="Arial" w:hAnsi="Arial" w:cs="Arial"/>
                <w:b/>
                <w:bCs/>
                <w:sz w:val="16"/>
                <w:szCs w:val="16"/>
              </w:rPr>
            </w:pPr>
            <w:r>
              <w:rPr>
                <w:rFonts w:ascii="Arial" w:hAnsi="Arial" w:cs="Arial"/>
                <w:b/>
                <w:bCs/>
                <w:sz w:val="16"/>
                <w:szCs w:val="16"/>
              </w:rPr>
              <w:t>51,384</w:t>
            </w:r>
          </w:p>
        </w:tc>
      </w:tr>
      <w:tr w:rsidR="00852545" w:rsidRPr="00296907" w14:paraId="11C69877" w14:textId="77777777" w:rsidTr="005C472A">
        <w:trPr>
          <w:trHeight w:val="203"/>
        </w:trPr>
        <w:tc>
          <w:tcPr>
            <w:tcW w:w="2268" w:type="dxa"/>
            <w:tcBorders>
              <w:top w:val="nil"/>
              <w:left w:val="nil"/>
              <w:bottom w:val="nil"/>
              <w:right w:val="nil"/>
            </w:tcBorders>
            <w:shd w:val="clear" w:color="auto" w:fill="auto"/>
            <w:vAlign w:val="bottom"/>
            <w:hideMark/>
          </w:tcPr>
          <w:p w14:paraId="4933D4E8" w14:textId="77777777" w:rsidR="00852545" w:rsidRPr="00296907" w:rsidRDefault="00852545" w:rsidP="00852545">
            <w:pPr>
              <w:spacing w:after="0" w:line="240" w:lineRule="auto"/>
              <w:ind w:left="113"/>
              <w:jc w:val="left"/>
              <w:rPr>
                <w:rFonts w:ascii="Arial" w:hAnsi="Arial" w:cs="Arial"/>
                <w:b/>
                <w:bCs/>
                <w:sz w:val="16"/>
                <w:szCs w:val="16"/>
              </w:rPr>
            </w:pPr>
            <w:r w:rsidRPr="00296907">
              <w:rPr>
                <w:rFonts w:ascii="Arial" w:hAnsi="Arial" w:cs="Arial"/>
                <w:b/>
                <w:bCs/>
                <w:sz w:val="16"/>
                <w:szCs w:val="16"/>
              </w:rPr>
              <w:t>Other movements</w:t>
            </w:r>
          </w:p>
        </w:tc>
        <w:tc>
          <w:tcPr>
            <w:tcW w:w="816" w:type="dxa"/>
            <w:tcBorders>
              <w:top w:val="single" w:sz="4" w:space="0" w:color="auto"/>
              <w:left w:val="nil"/>
              <w:bottom w:val="nil"/>
              <w:right w:val="nil"/>
            </w:tcBorders>
            <w:shd w:val="clear" w:color="auto" w:fill="auto"/>
            <w:noWrap/>
            <w:vAlign w:val="bottom"/>
            <w:hideMark/>
          </w:tcPr>
          <w:p w14:paraId="647BB6E0" w14:textId="7EE3A1E5" w:rsidR="00852545" w:rsidRPr="00296907" w:rsidRDefault="00852545" w:rsidP="00852545">
            <w:pPr>
              <w:spacing w:after="0" w:line="240" w:lineRule="auto"/>
              <w:ind w:left="113"/>
              <w:jc w:val="right"/>
              <w:rPr>
                <w:rFonts w:ascii="Arial" w:hAnsi="Arial" w:cs="Arial"/>
                <w:b/>
                <w:bCs/>
                <w:sz w:val="16"/>
                <w:szCs w:val="16"/>
              </w:rPr>
            </w:pPr>
          </w:p>
        </w:tc>
        <w:tc>
          <w:tcPr>
            <w:tcW w:w="866" w:type="dxa"/>
            <w:tcBorders>
              <w:top w:val="single" w:sz="4" w:space="0" w:color="auto"/>
              <w:left w:val="nil"/>
              <w:bottom w:val="nil"/>
              <w:right w:val="nil"/>
            </w:tcBorders>
            <w:shd w:val="clear" w:color="auto" w:fill="auto"/>
            <w:noWrap/>
            <w:vAlign w:val="bottom"/>
            <w:hideMark/>
          </w:tcPr>
          <w:p w14:paraId="79238D1B" w14:textId="7DC6DAC1" w:rsidR="00852545" w:rsidRPr="00296907" w:rsidRDefault="00852545" w:rsidP="00852545">
            <w:pPr>
              <w:spacing w:after="0" w:line="240" w:lineRule="auto"/>
              <w:ind w:left="113"/>
              <w:jc w:val="right"/>
              <w:rPr>
                <w:rFonts w:ascii="Arial" w:hAnsi="Arial" w:cs="Arial"/>
                <w:b/>
                <w:bCs/>
                <w:sz w:val="16"/>
                <w:szCs w:val="16"/>
              </w:rPr>
            </w:pPr>
          </w:p>
        </w:tc>
        <w:tc>
          <w:tcPr>
            <w:tcW w:w="964" w:type="dxa"/>
            <w:tcBorders>
              <w:top w:val="single" w:sz="4" w:space="0" w:color="auto"/>
              <w:left w:val="nil"/>
              <w:bottom w:val="nil"/>
              <w:right w:val="nil"/>
            </w:tcBorders>
            <w:shd w:val="clear" w:color="auto" w:fill="auto"/>
            <w:noWrap/>
            <w:vAlign w:val="bottom"/>
            <w:hideMark/>
          </w:tcPr>
          <w:p w14:paraId="63E94DED" w14:textId="50C31506" w:rsidR="00852545" w:rsidRPr="00296907" w:rsidRDefault="00852545" w:rsidP="00852545">
            <w:pPr>
              <w:spacing w:after="0" w:line="240" w:lineRule="auto"/>
              <w:ind w:left="113"/>
              <w:jc w:val="right"/>
              <w:rPr>
                <w:rFonts w:ascii="Arial" w:hAnsi="Arial" w:cs="Arial"/>
                <w:b/>
                <w:bCs/>
                <w:sz w:val="16"/>
                <w:szCs w:val="16"/>
              </w:rPr>
            </w:pPr>
          </w:p>
        </w:tc>
        <w:tc>
          <w:tcPr>
            <w:tcW w:w="917" w:type="dxa"/>
            <w:tcBorders>
              <w:top w:val="single" w:sz="4" w:space="0" w:color="auto"/>
              <w:left w:val="nil"/>
              <w:bottom w:val="nil"/>
              <w:right w:val="nil"/>
            </w:tcBorders>
            <w:shd w:val="clear" w:color="auto" w:fill="auto"/>
            <w:noWrap/>
            <w:vAlign w:val="bottom"/>
            <w:hideMark/>
          </w:tcPr>
          <w:p w14:paraId="085F6687" w14:textId="670A6B35" w:rsidR="00852545" w:rsidRPr="00296907" w:rsidRDefault="00852545" w:rsidP="00852545">
            <w:pPr>
              <w:spacing w:after="0" w:line="240" w:lineRule="auto"/>
              <w:ind w:left="113"/>
              <w:jc w:val="right"/>
              <w:rPr>
                <w:rFonts w:ascii="Arial" w:hAnsi="Arial" w:cs="Arial"/>
                <w:b/>
                <w:bCs/>
                <w:sz w:val="16"/>
                <w:szCs w:val="16"/>
              </w:rPr>
            </w:pPr>
          </w:p>
        </w:tc>
        <w:tc>
          <w:tcPr>
            <w:tcW w:w="981" w:type="dxa"/>
            <w:tcBorders>
              <w:top w:val="single" w:sz="4" w:space="0" w:color="auto"/>
              <w:left w:val="nil"/>
              <w:bottom w:val="nil"/>
              <w:right w:val="nil"/>
            </w:tcBorders>
            <w:shd w:val="clear" w:color="auto" w:fill="auto"/>
            <w:noWrap/>
            <w:vAlign w:val="bottom"/>
            <w:hideMark/>
          </w:tcPr>
          <w:p w14:paraId="4EECEBF5" w14:textId="15BFBCE7" w:rsidR="00852545" w:rsidRPr="00296907" w:rsidRDefault="00852545" w:rsidP="00852545">
            <w:pPr>
              <w:spacing w:after="0" w:line="240" w:lineRule="auto"/>
              <w:ind w:left="113"/>
              <w:jc w:val="right"/>
              <w:rPr>
                <w:rFonts w:ascii="Arial" w:hAnsi="Arial" w:cs="Arial"/>
                <w:b/>
                <w:bCs/>
                <w:sz w:val="16"/>
                <w:szCs w:val="16"/>
              </w:rPr>
            </w:pPr>
          </w:p>
        </w:tc>
        <w:tc>
          <w:tcPr>
            <w:tcW w:w="928" w:type="dxa"/>
            <w:tcBorders>
              <w:top w:val="single" w:sz="4" w:space="0" w:color="auto"/>
              <w:left w:val="nil"/>
              <w:bottom w:val="nil"/>
              <w:right w:val="nil"/>
            </w:tcBorders>
            <w:shd w:val="clear" w:color="auto" w:fill="auto"/>
            <w:noWrap/>
            <w:vAlign w:val="bottom"/>
            <w:hideMark/>
          </w:tcPr>
          <w:p w14:paraId="72250891" w14:textId="77BEABED" w:rsidR="00852545" w:rsidRPr="00296907" w:rsidRDefault="00852545" w:rsidP="00852545">
            <w:pPr>
              <w:spacing w:after="0" w:line="240" w:lineRule="auto"/>
              <w:ind w:left="113"/>
              <w:jc w:val="right"/>
              <w:rPr>
                <w:rFonts w:ascii="Arial" w:hAnsi="Arial" w:cs="Arial"/>
                <w:b/>
                <w:bCs/>
                <w:sz w:val="16"/>
                <w:szCs w:val="16"/>
              </w:rPr>
            </w:pPr>
          </w:p>
        </w:tc>
      </w:tr>
      <w:tr w:rsidR="00852545" w:rsidRPr="00296907" w14:paraId="60CE1D66" w14:textId="77777777" w:rsidTr="005C472A">
        <w:trPr>
          <w:trHeight w:val="203"/>
        </w:trPr>
        <w:tc>
          <w:tcPr>
            <w:tcW w:w="2268" w:type="dxa"/>
            <w:tcBorders>
              <w:top w:val="nil"/>
              <w:left w:val="nil"/>
              <w:bottom w:val="nil"/>
              <w:right w:val="nil"/>
            </w:tcBorders>
            <w:shd w:val="clear" w:color="auto" w:fill="auto"/>
            <w:vAlign w:val="bottom"/>
            <w:hideMark/>
          </w:tcPr>
          <w:p w14:paraId="0AD3D564" w14:textId="77777777" w:rsidR="00852545" w:rsidRPr="00296907" w:rsidRDefault="00852545" w:rsidP="00852545">
            <w:pPr>
              <w:spacing w:after="0" w:line="240" w:lineRule="auto"/>
              <w:ind w:left="227"/>
              <w:jc w:val="left"/>
              <w:rPr>
                <w:rFonts w:ascii="Arial" w:hAnsi="Arial" w:cs="Arial"/>
                <w:sz w:val="16"/>
                <w:szCs w:val="16"/>
              </w:rPr>
            </w:pPr>
            <w:r w:rsidRPr="00296907">
              <w:rPr>
                <w:rFonts w:ascii="Arial" w:hAnsi="Arial" w:cs="Arial"/>
                <w:sz w:val="16"/>
                <w:szCs w:val="16"/>
              </w:rPr>
              <w:t>Depreciation/amortisation expense</w:t>
            </w:r>
          </w:p>
        </w:tc>
        <w:tc>
          <w:tcPr>
            <w:tcW w:w="816" w:type="dxa"/>
            <w:tcBorders>
              <w:top w:val="nil"/>
              <w:left w:val="nil"/>
              <w:bottom w:val="nil"/>
              <w:right w:val="nil"/>
            </w:tcBorders>
            <w:shd w:val="clear" w:color="auto" w:fill="auto"/>
            <w:noWrap/>
            <w:vAlign w:val="bottom"/>
            <w:hideMark/>
          </w:tcPr>
          <w:p w14:paraId="7BAE0DBA" w14:textId="68D6A446"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5F51A5CF" w14:textId="1A4866BA"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(9,381)</w:t>
            </w:r>
          </w:p>
        </w:tc>
        <w:tc>
          <w:tcPr>
            <w:tcW w:w="964" w:type="dxa"/>
            <w:tcBorders>
              <w:top w:val="nil"/>
              <w:left w:val="nil"/>
              <w:bottom w:val="nil"/>
              <w:right w:val="nil"/>
            </w:tcBorders>
            <w:shd w:val="clear" w:color="auto" w:fill="auto"/>
            <w:noWrap/>
            <w:vAlign w:val="bottom"/>
            <w:hideMark/>
          </w:tcPr>
          <w:p w14:paraId="5A52DF2C" w14:textId="2FE38E1A"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(40,747)</w:t>
            </w:r>
          </w:p>
        </w:tc>
        <w:tc>
          <w:tcPr>
            <w:tcW w:w="917" w:type="dxa"/>
            <w:tcBorders>
              <w:top w:val="nil"/>
              <w:left w:val="nil"/>
              <w:bottom w:val="nil"/>
              <w:right w:val="nil"/>
            </w:tcBorders>
            <w:shd w:val="clear" w:color="auto" w:fill="auto"/>
            <w:noWrap/>
            <w:vAlign w:val="bottom"/>
            <w:hideMark/>
          </w:tcPr>
          <w:p w14:paraId="3848872E" w14:textId="73B2151C"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(2,423)</w:t>
            </w:r>
          </w:p>
        </w:tc>
        <w:tc>
          <w:tcPr>
            <w:tcW w:w="981" w:type="dxa"/>
            <w:tcBorders>
              <w:top w:val="nil"/>
              <w:left w:val="nil"/>
              <w:bottom w:val="nil"/>
              <w:right w:val="nil"/>
            </w:tcBorders>
            <w:shd w:val="clear" w:color="auto" w:fill="auto"/>
            <w:noWrap/>
            <w:vAlign w:val="bottom"/>
            <w:hideMark/>
          </w:tcPr>
          <w:p w14:paraId="5176D4A3" w14:textId="75F4FFD4"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(14)</w:t>
            </w:r>
          </w:p>
        </w:tc>
        <w:tc>
          <w:tcPr>
            <w:tcW w:w="928" w:type="dxa"/>
            <w:tcBorders>
              <w:top w:val="nil"/>
              <w:left w:val="nil"/>
              <w:bottom w:val="nil"/>
              <w:right w:val="nil"/>
            </w:tcBorders>
            <w:shd w:val="clear" w:color="auto" w:fill="auto"/>
            <w:noWrap/>
            <w:vAlign w:val="bottom"/>
            <w:hideMark/>
          </w:tcPr>
          <w:p w14:paraId="56C864C1" w14:textId="5FA30DBD"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(52,565)</w:t>
            </w:r>
          </w:p>
        </w:tc>
      </w:tr>
      <w:tr w:rsidR="00852545" w:rsidRPr="00296907" w14:paraId="3558D043" w14:textId="77777777" w:rsidTr="005C472A">
        <w:trPr>
          <w:trHeight w:val="203"/>
        </w:trPr>
        <w:tc>
          <w:tcPr>
            <w:tcW w:w="2268" w:type="dxa"/>
            <w:tcBorders>
              <w:top w:val="nil"/>
              <w:left w:val="nil"/>
              <w:bottom w:val="nil"/>
              <w:right w:val="nil"/>
            </w:tcBorders>
            <w:shd w:val="clear" w:color="auto" w:fill="auto"/>
            <w:vAlign w:val="bottom"/>
            <w:hideMark/>
          </w:tcPr>
          <w:p w14:paraId="5E4AB15D" w14:textId="77777777" w:rsidR="00852545" w:rsidRPr="00296907" w:rsidRDefault="00852545" w:rsidP="00852545">
            <w:pPr>
              <w:spacing w:after="0" w:line="240" w:lineRule="auto"/>
              <w:ind w:left="113"/>
              <w:jc w:val="left"/>
              <w:rPr>
                <w:rFonts w:ascii="Arial" w:hAnsi="Arial" w:cs="Arial"/>
                <w:b/>
                <w:bCs/>
                <w:sz w:val="16"/>
                <w:szCs w:val="16"/>
              </w:rPr>
            </w:pPr>
            <w:r w:rsidRPr="00296907">
              <w:rPr>
                <w:rFonts w:ascii="Arial" w:hAnsi="Arial" w:cs="Arial"/>
                <w:b/>
                <w:bCs/>
                <w:sz w:val="16"/>
                <w:szCs w:val="16"/>
              </w:rPr>
              <w:t>Total other movements</w:t>
            </w:r>
          </w:p>
        </w:tc>
        <w:tc>
          <w:tcPr>
            <w:tcW w:w="816" w:type="dxa"/>
            <w:tcBorders>
              <w:top w:val="single" w:sz="4" w:space="0" w:color="auto"/>
              <w:left w:val="nil"/>
              <w:bottom w:val="single" w:sz="4" w:space="0" w:color="auto"/>
              <w:right w:val="nil"/>
            </w:tcBorders>
            <w:shd w:val="clear" w:color="auto" w:fill="auto"/>
            <w:noWrap/>
            <w:vAlign w:val="bottom"/>
            <w:hideMark/>
          </w:tcPr>
          <w:p w14:paraId="7283186B" w14:textId="0D68F0F7"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w:t>
            </w:r>
          </w:p>
        </w:tc>
        <w:tc>
          <w:tcPr>
            <w:tcW w:w="866" w:type="dxa"/>
            <w:tcBorders>
              <w:top w:val="single" w:sz="4" w:space="0" w:color="auto"/>
              <w:left w:val="nil"/>
              <w:bottom w:val="single" w:sz="4" w:space="0" w:color="auto"/>
              <w:right w:val="nil"/>
            </w:tcBorders>
            <w:shd w:val="clear" w:color="auto" w:fill="auto"/>
            <w:noWrap/>
            <w:vAlign w:val="bottom"/>
            <w:hideMark/>
          </w:tcPr>
          <w:p w14:paraId="2A4CC6B2" w14:textId="31CD70B5"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(9,381)</w:t>
            </w:r>
          </w:p>
        </w:tc>
        <w:tc>
          <w:tcPr>
            <w:tcW w:w="964" w:type="dxa"/>
            <w:tcBorders>
              <w:top w:val="single" w:sz="4" w:space="0" w:color="auto"/>
              <w:left w:val="nil"/>
              <w:bottom w:val="single" w:sz="4" w:space="0" w:color="auto"/>
              <w:right w:val="nil"/>
            </w:tcBorders>
            <w:shd w:val="clear" w:color="auto" w:fill="auto"/>
            <w:noWrap/>
            <w:vAlign w:val="bottom"/>
            <w:hideMark/>
          </w:tcPr>
          <w:p w14:paraId="5E6F5E06" w14:textId="39A54B8B"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(40,747)</w:t>
            </w:r>
          </w:p>
        </w:tc>
        <w:tc>
          <w:tcPr>
            <w:tcW w:w="917" w:type="dxa"/>
            <w:tcBorders>
              <w:top w:val="single" w:sz="4" w:space="0" w:color="auto"/>
              <w:left w:val="nil"/>
              <w:bottom w:val="single" w:sz="4" w:space="0" w:color="auto"/>
              <w:right w:val="nil"/>
            </w:tcBorders>
            <w:shd w:val="clear" w:color="auto" w:fill="auto"/>
            <w:noWrap/>
            <w:vAlign w:val="bottom"/>
            <w:hideMark/>
          </w:tcPr>
          <w:p w14:paraId="7176F155" w14:textId="35C9B3FE"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(2,423)</w:t>
            </w:r>
          </w:p>
        </w:tc>
        <w:tc>
          <w:tcPr>
            <w:tcW w:w="981" w:type="dxa"/>
            <w:tcBorders>
              <w:top w:val="single" w:sz="4" w:space="0" w:color="auto"/>
              <w:left w:val="nil"/>
              <w:bottom w:val="single" w:sz="4" w:space="0" w:color="auto"/>
              <w:right w:val="nil"/>
            </w:tcBorders>
            <w:shd w:val="clear" w:color="auto" w:fill="auto"/>
            <w:noWrap/>
            <w:vAlign w:val="bottom"/>
            <w:hideMark/>
          </w:tcPr>
          <w:p w14:paraId="7B152BF5" w14:textId="3D0754C0"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(14)</w:t>
            </w:r>
          </w:p>
        </w:tc>
        <w:tc>
          <w:tcPr>
            <w:tcW w:w="928" w:type="dxa"/>
            <w:tcBorders>
              <w:top w:val="single" w:sz="4" w:space="0" w:color="auto"/>
              <w:left w:val="nil"/>
              <w:bottom w:val="single" w:sz="4" w:space="0" w:color="auto"/>
              <w:right w:val="nil"/>
            </w:tcBorders>
            <w:shd w:val="clear" w:color="auto" w:fill="auto"/>
            <w:noWrap/>
            <w:vAlign w:val="bottom"/>
            <w:hideMark/>
          </w:tcPr>
          <w:p w14:paraId="76444D5D" w14:textId="26538D05"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(52,565)</w:t>
            </w:r>
          </w:p>
        </w:tc>
      </w:tr>
      <w:tr w:rsidR="00852545" w:rsidRPr="00296907" w14:paraId="0C700E8D" w14:textId="77777777" w:rsidTr="005C472A">
        <w:trPr>
          <w:trHeight w:val="203"/>
        </w:trPr>
        <w:tc>
          <w:tcPr>
            <w:tcW w:w="2268" w:type="dxa"/>
            <w:tcBorders>
              <w:top w:val="nil"/>
              <w:left w:val="nil"/>
              <w:bottom w:val="nil"/>
              <w:right w:val="nil"/>
            </w:tcBorders>
            <w:shd w:val="clear" w:color="auto" w:fill="auto"/>
            <w:vAlign w:val="bottom"/>
            <w:hideMark/>
          </w:tcPr>
          <w:p w14:paraId="2B3A6E56" w14:textId="77777777" w:rsidR="00852545" w:rsidRPr="00296907" w:rsidRDefault="00852545" w:rsidP="00852545">
            <w:pPr>
              <w:spacing w:after="0" w:line="240" w:lineRule="auto"/>
              <w:jc w:val="left"/>
              <w:rPr>
                <w:rFonts w:ascii="Arial" w:hAnsi="Arial" w:cs="Arial"/>
                <w:b/>
                <w:bCs/>
                <w:sz w:val="16"/>
                <w:szCs w:val="16"/>
              </w:rPr>
            </w:pPr>
            <w:r w:rsidRPr="00296907">
              <w:rPr>
                <w:rFonts w:ascii="Arial" w:hAnsi="Arial" w:cs="Arial"/>
                <w:b/>
                <w:bCs/>
                <w:sz w:val="16"/>
                <w:szCs w:val="16"/>
              </w:rPr>
              <w:t>As at 30 June 2022</w:t>
            </w:r>
          </w:p>
        </w:tc>
        <w:tc>
          <w:tcPr>
            <w:tcW w:w="816" w:type="dxa"/>
            <w:tcBorders>
              <w:top w:val="nil"/>
              <w:left w:val="nil"/>
              <w:bottom w:val="nil"/>
              <w:right w:val="nil"/>
            </w:tcBorders>
            <w:shd w:val="clear" w:color="auto" w:fill="auto"/>
            <w:noWrap/>
            <w:vAlign w:val="bottom"/>
            <w:hideMark/>
          </w:tcPr>
          <w:p w14:paraId="7BA7A478" w14:textId="77777777" w:rsidR="00852545" w:rsidRPr="00296907" w:rsidRDefault="00852545" w:rsidP="00852545">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695D7784" w14:textId="77777777" w:rsidR="00852545" w:rsidRPr="00296907" w:rsidRDefault="00852545" w:rsidP="00852545">
            <w:pPr>
              <w:spacing w:after="0" w:line="240" w:lineRule="auto"/>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41BF00C2" w14:textId="77777777" w:rsidR="00852545" w:rsidRPr="00296907" w:rsidRDefault="00852545" w:rsidP="00852545">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578CEB57" w14:textId="77777777" w:rsidR="00852545" w:rsidRPr="00296907" w:rsidRDefault="00852545" w:rsidP="00852545">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542D52C7" w14:textId="77777777" w:rsidR="00852545" w:rsidRPr="00296907" w:rsidRDefault="00852545" w:rsidP="00852545">
            <w:pPr>
              <w:spacing w:after="0" w:line="240" w:lineRule="auto"/>
              <w:jc w:val="right"/>
              <w:rPr>
                <w:rFonts w:ascii="Times New Roman" w:hAnsi="Times New Roman"/>
              </w:rPr>
            </w:pPr>
          </w:p>
        </w:tc>
        <w:tc>
          <w:tcPr>
            <w:tcW w:w="928" w:type="dxa"/>
            <w:tcBorders>
              <w:top w:val="nil"/>
              <w:left w:val="nil"/>
              <w:bottom w:val="nil"/>
              <w:right w:val="nil"/>
            </w:tcBorders>
            <w:shd w:val="clear" w:color="auto" w:fill="auto"/>
            <w:noWrap/>
            <w:vAlign w:val="bottom"/>
            <w:hideMark/>
          </w:tcPr>
          <w:p w14:paraId="69CD84E4" w14:textId="77777777" w:rsidR="00852545" w:rsidRPr="00296907" w:rsidRDefault="00852545" w:rsidP="00852545">
            <w:pPr>
              <w:spacing w:after="0" w:line="240" w:lineRule="auto"/>
              <w:jc w:val="right"/>
              <w:rPr>
                <w:rFonts w:ascii="Times New Roman" w:hAnsi="Times New Roman"/>
              </w:rPr>
            </w:pPr>
          </w:p>
        </w:tc>
      </w:tr>
      <w:tr w:rsidR="00852545" w:rsidRPr="00296907" w14:paraId="2CAF8CEF" w14:textId="77777777" w:rsidTr="005C472A">
        <w:trPr>
          <w:trHeight w:val="203"/>
        </w:trPr>
        <w:tc>
          <w:tcPr>
            <w:tcW w:w="2268" w:type="dxa"/>
            <w:tcBorders>
              <w:top w:val="nil"/>
              <w:left w:val="nil"/>
              <w:bottom w:val="nil"/>
              <w:right w:val="nil"/>
            </w:tcBorders>
            <w:shd w:val="clear" w:color="auto" w:fill="auto"/>
            <w:vAlign w:val="center"/>
            <w:hideMark/>
          </w:tcPr>
          <w:p w14:paraId="41EAE408" w14:textId="77777777" w:rsidR="00852545" w:rsidRPr="00296907" w:rsidRDefault="00852545" w:rsidP="00852545">
            <w:pPr>
              <w:spacing w:after="0" w:line="240" w:lineRule="auto"/>
              <w:ind w:left="113"/>
              <w:jc w:val="left"/>
              <w:rPr>
                <w:rFonts w:ascii="Arial" w:hAnsi="Arial" w:cs="Arial"/>
                <w:sz w:val="16"/>
                <w:szCs w:val="16"/>
              </w:rPr>
            </w:pPr>
            <w:r w:rsidRPr="00296907">
              <w:rPr>
                <w:rFonts w:ascii="Arial" w:hAnsi="Arial" w:cs="Arial"/>
                <w:sz w:val="16"/>
                <w:szCs w:val="16"/>
              </w:rPr>
              <w:t>Gross book value</w:t>
            </w:r>
          </w:p>
        </w:tc>
        <w:tc>
          <w:tcPr>
            <w:tcW w:w="816" w:type="dxa"/>
            <w:tcBorders>
              <w:top w:val="nil"/>
              <w:left w:val="nil"/>
              <w:bottom w:val="nil"/>
              <w:right w:val="nil"/>
            </w:tcBorders>
            <w:shd w:val="clear" w:color="auto" w:fill="auto"/>
            <w:noWrap/>
            <w:vAlign w:val="bottom"/>
            <w:hideMark/>
          </w:tcPr>
          <w:p w14:paraId="6B3AD235" w14:textId="0DF0FDEA"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66,776</w:t>
            </w:r>
          </w:p>
        </w:tc>
        <w:tc>
          <w:tcPr>
            <w:tcW w:w="866" w:type="dxa"/>
            <w:tcBorders>
              <w:top w:val="nil"/>
              <w:left w:val="nil"/>
              <w:bottom w:val="nil"/>
              <w:right w:val="nil"/>
            </w:tcBorders>
            <w:shd w:val="clear" w:color="auto" w:fill="auto"/>
            <w:noWrap/>
            <w:vAlign w:val="bottom"/>
            <w:hideMark/>
          </w:tcPr>
          <w:p w14:paraId="4A9F2A26" w14:textId="7149A6BD"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175,957</w:t>
            </w:r>
          </w:p>
        </w:tc>
        <w:tc>
          <w:tcPr>
            <w:tcW w:w="964" w:type="dxa"/>
            <w:tcBorders>
              <w:top w:val="nil"/>
              <w:left w:val="nil"/>
              <w:bottom w:val="nil"/>
              <w:right w:val="nil"/>
            </w:tcBorders>
            <w:shd w:val="clear" w:color="auto" w:fill="auto"/>
            <w:noWrap/>
            <w:vAlign w:val="bottom"/>
            <w:hideMark/>
          </w:tcPr>
          <w:p w14:paraId="5720C70D" w14:textId="318E8B5C"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585,609</w:t>
            </w:r>
          </w:p>
        </w:tc>
        <w:tc>
          <w:tcPr>
            <w:tcW w:w="917" w:type="dxa"/>
            <w:tcBorders>
              <w:top w:val="nil"/>
              <w:left w:val="nil"/>
              <w:bottom w:val="nil"/>
              <w:right w:val="nil"/>
            </w:tcBorders>
            <w:shd w:val="clear" w:color="auto" w:fill="auto"/>
            <w:noWrap/>
            <w:vAlign w:val="bottom"/>
            <w:hideMark/>
          </w:tcPr>
          <w:p w14:paraId="1F810FFF" w14:textId="44851513"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179,664</w:t>
            </w:r>
          </w:p>
        </w:tc>
        <w:tc>
          <w:tcPr>
            <w:tcW w:w="981" w:type="dxa"/>
            <w:tcBorders>
              <w:top w:val="nil"/>
              <w:left w:val="nil"/>
              <w:bottom w:val="nil"/>
              <w:right w:val="nil"/>
            </w:tcBorders>
            <w:shd w:val="clear" w:color="auto" w:fill="auto"/>
            <w:noWrap/>
            <w:vAlign w:val="bottom"/>
            <w:hideMark/>
          </w:tcPr>
          <w:p w14:paraId="354F6E0C" w14:textId="40864CC6"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8,097</w:t>
            </w:r>
          </w:p>
        </w:tc>
        <w:tc>
          <w:tcPr>
            <w:tcW w:w="928" w:type="dxa"/>
            <w:tcBorders>
              <w:top w:val="nil"/>
              <w:left w:val="nil"/>
              <w:bottom w:val="nil"/>
              <w:right w:val="nil"/>
            </w:tcBorders>
            <w:shd w:val="clear" w:color="auto" w:fill="auto"/>
            <w:noWrap/>
            <w:vAlign w:val="bottom"/>
            <w:hideMark/>
          </w:tcPr>
          <w:p w14:paraId="433D95FB" w14:textId="7B3C1DB8"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1,016,103</w:t>
            </w:r>
          </w:p>
        </w:tc>
      </w:tr>
      <w:tr w:rsidR="00852545" w:rsidRPr="00296907" w14:paraId="30D8D23B" w14:textId="77777777" w:rsidTr="007A359F">
        <w:trPr>
          <w:trHeight w:val="203"/>
        </w:trPr>
        <w:tc>
          <w:tcPr>
            <w:tcW w:w="2268" w:type="dxa"/>
            <w:tcBorders>
              <w:top w:val="nil"/>
              <w:left w:val="nil"/>
              <w:bottom w:val="nil"/>
              <w:right w:val="nil"/>
            </w:tcBorders>
            <w:shd w:val="clear" w:color="auto" w:fill="auto"/>
            <w:vAlign w:val="center"/>
            <w:hideMark/>
          </w:tcPr>
          <w:p w14:paraId="65BE82FD" w14:textId="6465C01A" w:rsidR="00852545" w:rsidRPr="00296907" w:rsidRDefault="00852545" w:rsidP="00852545">
            <w:pPr>
              <w:spacing w:after="0" w:line="240" w:lineRule="auto"/>
              <w:ind w:left="113"/>
              <w:jc w:val="left"/>
              <w:rPr>
                <w:rFonts w:ascii="Arial" w:hAnsi="Arial" w:cs="Arial"/>
                <w:sz w:val="16"/>
                <w:szCs w:val="16"/>
              </w:rPr>
            </w:pPr>
            <w:r w:rsidRPr="00296907">
              <w:rPr>
                <w:rFonts w:ascii="Arial" w:hAnsi="Arial" w:cs="Arial"/>
                <w:sz w:val="16"/>
                <w:szCs w:val="16"/>
              </w:rPr>
              <w:t>Accumulated depreciation/</w:t>
            </w:r>
            <w:r>
              <w:rPr>
                <w:rFonts w:ascii="Arial" w:hAnsi="Arial" w:cs="Arial"/>
                <w:sz w:val="16"/>
                <w:szCs w:val="16"/>
              </w:rPr>
              <w:t xml:space="preserve"> </w:t>
            </w:r>
            <w:r w:rsidRPr="00296907">
              <w:rPr>
                <w:rFonts w:ascii="Arial" w:hAnsi="Arial" w:cs="Arial"/>
                <w:sz w:val="16"/>
                <w:szCs w:val="16"/>
              </w:rPr>
              <w:t>amortisation and impairment</w:t>
            </w:r>
          </w:p>
        </w:tc>
        <w:tc>
          <w:tcPr>
            <w:tcW w:w="816" w:type="dxa"/>
            <w:tcBorders>
              <w:top w:val="nil"/>
              <w:left w:val="nil"/>
              <w:bottom w:val="nil"/>
              <w:right w:val="nil"/>
            </w:tcBorders>
            <w:shd w:val="clear" w:color="auto" w:fill="auto"/>
            <w:noWrap/>
            <w:vAlign w:val="bottom"/>
            <w:hideMark/>
          </w:tcPr>
          <w:p w14:paraId="58B41FC4" w14:textId="4C4D1B39"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113385B6" w14:textId="08CC680E"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(38,948)</w:t>
            </w:r>
          </w:p>
        </w:tc>
        <w:tc>
          <w:tcPr>
            <w:tcW w:w="964" w:type="dxa"/>
            <w:tcBorders>
              <w:top w:val="nil"/>
              <w:left w:val="nil"/>
              <w:bottom w:val="nil"/>
              <w:right w:val="nil"/>
            </w:tcBorders>
            <w:shd w:val="clear" w:color="auto" w:fill="auto"/>
            <w:noWrap/>
            <w:vAlign w:val="bottom"/>
            <w:hideMark/>
          </w:tcPr>
          <w:p w14:paraId="009D52FD" w14:textId="094FBE2A"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(134,656)</w:t>
            </w:r>
          </w:p>
        </w:tc>
        <w:tc>
          <w:tcPr>
            <w:tcW w:w="917" w:type="dxa"/>
            <w:tcBorders>
              <w:top w:val="nil"/>
              <w:left w:val="nil"/>
              <w:bottom w:val="nil"/>
              <w:right w:val="nil"/>
            </w:tcBorders>
            <w:shd w:val="clear" w:color="auto" w:fill="auto"/>
            <w:noWrap/>
            <w:vAlign w:val="bottom"/>
            <w:hideMark/>
          </w:tcPr>
          <w:p w14:paraId="2E856C68" w14:textId="322FC2C8"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(7,319)</w:t>
            </w:r>
          </w:p>
        </w:tc>
        <w:tc>
          <w:tcPr>
            <w:tcW w:w="981" w:type="dxa"/>
            <w:tcBorders>
              <w:top w:val="nil"/>
              <w:left w:val="nil"/>
              <w:bottom w:val="nil"/>
              <w:right w:val="nil"/>
            </w:tcBorders>
            <w:shd w:val="clear" w:color="auto" w:fill="auto"/>
            <w:noWrap/>
            <w:vAlign w:val="bottom"/>
            <w:hideMark/>
          </w:tcPr>
          <w:p w14:paraId="4F9CA9F9" w14:textId="3C4E78EA"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(1,348)</w:t>
            </w:r>
          </w:p>
        </w:tc>
        <w:tc>
          <w:tcPr>
            <w:tcW w:w="928" w:type="dxa"/>
            <w:tcBorders>
              <w:top w:val="nil"/>
              <w:left w:val="nil"/>
              <w:bottom w:val="nil"/>
              <w:right w:val="nil"/>
            </w:tcBorders>
            <w:shd w:val="clear" w:color="auto" w:fill="auto"/>
            <w:noWrap/>
            <w:vAlign w:val="bottom"/>
            <w:hideMark/>
          </w:tcPr>
          <w:p w14:paraId="483192C8" w14:textId="660D2CF4" w:rsidR="00852545" w:rsidRPr="00296907" w:rsidRDefault="00852545" w:rsidP="00852545">
            <w:pPr>
              <w:spacing w:after="0" w:line="240" w:lineRule="auto"/>
              <w:jc w:val="right"/>
              <w:rPr>
                <w:rFonts w:ascii="Arial" w:hAnsi="Arial" w:cs="Arial"/>
                <w:sz w:val="16"/>
                <w:szCs w:val="16"/>
              </w:rPr>
            </w:pPr>
            <w:r>
              <w:rPr>
                <w:rFonts w:ascii="Arial" w:hAnsi="Arial" w:cs="Arial"/>
                <w:sz w:val="16"/>
                <w:szCs w:val="16"/>
              </w:rPr>
              <w:t>(182,271)</w:t>
            </w:r>
          </w:p>
        </w:tc>
      </w:tr>
      <w:tr w:rsidR="00852545" w:rsidRPr="00296907" w14:paraId="0E2F07E3" w14:textId="77777777" w:rsidTr="005C472A">
        <w:trPr>
          <w:trHeight w:val="203"/>
        </w:trPr>
        <w:tc>
          <w:tcPr>
            <w:tcW w:w="2268" w:type="dxa"/>
            <w:tcBorders>
              <w:top w:val="nil"/>
              <w:left w:val="nil"/>
              <w:bottom w:val="single" w:sz="4" w:space="0" w:color="auto"/>
              <w:right w:val="nil"/>
            </w:tcBorders>
            <w:shd w:val="clear" w:color="auto" w:fill="auto"/>
            <w:noWrap/>
            <w:vAlign w:val="bottom"/>
            <w:hideMark/>
          </w:tcPr>
          <w:p w14:paraId="0905F788" w14:textId="77777777" w:rsidR="00852545" w:rsidRPr="00296907" w:rsidRDefault="00852545" w:rsidP="00852545">
            <w:pPr>
              <w:spacing w:after="0" w:line="240" w:lineRule="auto"/>
              <w:jc w:val="left"/>
              <w:rPr>
                <w:rFonts w:ascii="Arial" w:hAnsi="Arial" w:cs="Arial"/>
                <w:b/>
                <w:bCs/>
                <w:sz w:val="16"/>
                <w:szCs w:val="16"/>
              </w:rPr>
            </w:pPr>
            <w:r w:rsidRPr="00296907">
              <w:rPr>
                <w:rFonts w:ascii="Arial" w:hAnsi="Arial" w:cs="Arial"/>
                <w:b/>
                <w:bCs/>
                <w:sz w:val="16"/>
                <w:szCs w:val="16"/>
              </w:rPr>
              <w:t>Closing net book balance</w:t>
            </w:r>
          </w:p>
        </w:tc>
        <w:tc>
          <w:tcPr>
            <w:tcW w:w="816" w:type="dxa"/>
            <w:tcBorders>
              <w:top w:val="single" w:sz="4" w:space="0" w:color="auto"/>
              <w:left w:val="nil"/>
              <w:bottom w:val="single" w:sz="4" w:space="0" w:color="auto"/>
              <w:right w:val="nil"/>
            </w:tcBorders>
            <w:shd w:val="clear" w:color="auto" w:fill="auto"/>
            <w:noWrap/>
            <w:vAlign w:val="bottom"/>
            <w:hideMark/>
          </w:tcPr>
          <w:p w14:paraId="44F5C491" w14:textId="451A2B74"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66,776</w:t>
            </w:r>
          </w:p>
        </w:tc>
        <w:tc>
          <w:tcPr>
            <w:tcW w:w="866" w:type="dxa"/>
            <w:tcBorders>
              <w:top w:val="single" w:sz="4" w:space="0" w:color="auto"/>
              <w:left w:val="nil"/>
              <w:bottom w:val="single" w:sz="4" w:space="0" w:color="auto"/>
              <w:right w:val="nil"/>
            </w:tcBorders>
            <w:shd w:val="clear" w:color="auto" w:fill="auto"/>
            <w:noWrap/>
            <w:vAlign w:val="bottom"/>
            <w:hideMark/>
          </w:tcPr>
          <w:p w14:paraId="2382D64E" w14:textId="1801E180"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137,009</w:t>
            </w:r>
          </w:p>
        </w:tc>
        <w:tc>
          <w:tcPr>
            <w:tcW w:w="964" w:type="dxa"/>
            <w:tcBorders>
              <w:top w:val="single" w:sz="4" w:space="0" w:color="auto"/>
              <w:left w:val="nil"/>
              <w:bottom w:val="single" w:sz="4" w:space="0" w:color="auto"/>
              <w:right w:val="nil"/>
            </w:tcBorders>
            <w:shd w:val="clear" w:color="auto" w:fill="auto"/>
            <w:noWrap/>
            <w:vAlign w:val="bottom"/>
            <w:hideMark/>
          </w:tcPr>
          <w:p w14:paraId="6D6429D4" w14:textId="1B34B59B"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450,953</w:t>
            </w:r>
          </w:p>
        </w:tc>
        <w:tc>
          <w:tcPr>
            <w:tcW w:w="917" w:type="dxa"/>
            <w:tcBorders>
              <w:top w:val="single" w:sz="4" w:space="0" w:color="auto"/>
              <w:left w:val="nil"/>
              <w:bottom w:val="single" w:sz="4" w:space="0" w:color="auto"/>
              <w:right w:val="nil"/>
            </w:tcBorders>
            <w:shd w:val="clear" w:color="auto" w:fill="auto"/>
            <w:noWrap/>
            <w:vAlign w:val="bottom"/>
            <w:hideMark/>
          </w:tcPr>
          <w:p w14:paraId="36A58C66" w14:textId="5027C76F"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172,345</w:t>
            </w:r>
          </w:p>
        </w:tc>
        <w:tc>
          <w:tcPr>
            <w:tcW w:w="981" w:type="dxa"/>
            <w:tcBorders>
              <w:top w:val="single" w:sz="4" w:space="0" w:color="auto"/>
              <w:left w:val="nil"/>
              <w:bottom w:val="single" w:sz="4" w:space="0" w:color="auto"/>
              <w:right w:val="nil"/>
            </w:tcBorders>
            <w:shd w:val="clear" w:color="auto" w:fill="auto"/>
            <w:noWrap/>
            <w:vAlign w:val="bottom"/>
            <w:hideMark/>
          </w:tcPr>
          <w:p w14:paraId="0807EB91" w14:textId="211ADC25"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6,749</w:t>
            </w:r>
          </w:p>
        </w:tc>
        <w:tc>
          <w:tcPr>
            <w:tcW w:w="928" w:type="dxa"/>
            <w:tcBorders>
              <w:top w:val="single" w:sz="4" w:space="0" w:color="auto"/>
              <w:left w:val="nil"/>
              <w:bottom w:val="single" w:sz="4" w:space="0" w:color="auto"/>
              <w:right w:val="nil"/>
            </w:tcBorders>
            <w:shd w:val="clear" w:color="auto" w:fill="auto"/>
            <w:noWrap/>
            <w:vAlign w:val="bottom"/>
            <w:hideMark/>
          </w:tcPr>
          <w:p w14:paraId="32E4CA3B" w14:textId="1E7C43B9" w:rsidR="00852545" w:rsidRPr="00296907" w:rsidRDefault="00852545" w:rsidP="00852545">
            <w:pPr>
              <w:spacing w:after="0" w:line="240" w:lineRule="auto"/>
              <w:jc w:val="right"/>
              <w:rPr>
                <w:rFonts w:ascii="Arial" w:hAnsi="Arial" w:cs="Arial"/>
                <w:b/>
                <w:bCs/>
                <w:sz w:val="16"/>
                <w:szCs w:val="16"/>
              </w:rPr>
            </w:pPr>
            <w:r>
              <w:rPr>
                <w:rFonts w:ascii="Arial" w:hAnsi="Arial" w:cs="Arial"/>
                <w:b/>
                <w:bCs/>
                <w:sz w:val="16"/>
                <w:szCs w:val="16"/>
              </w:rPr>
              <w:t>833,832</w:t>
            </w:r>
          </w:p>
        </w:tc>
      </w:tr>
    </w:tbl>
    <w:p w14:paraId="084DD829" w14:textId="3E1294D5" w:rsidR="00296907" w:rsidRPr="00EF3858" w:rsidRDefault="00EF3858" w:rsidP="00EF3858">
      <w:pPr>
        <w:pStyle w:val="TableGraphic"/>
        <w:spacing w:before="60"/>
        <w:rPr>
          <w:rFonts w:ascii="Arial" w:hAnsi="Arial" w:cs="Arial"/>
          <w:i w:val="0"/>
          <w:color w:val="auto"/>
          <w:sz w:val="16"/>
          <w:lang w:val="x-none"/>
        </w:rPr>
      </w:pPr>
      <w:r w:rsidRPr="00EF3858">
        <w:rPr>
          <w:rFonts w:ascii="Arial" w:hAnsi="Arial" w:cs="Arial"/>
          <w:i w:val="0"/>
          <w:color w:val="auto"/>
          <w:sz w:val="16"/>
          <w:lang w:val="x-none"/>
        </w:rPr>
        <w:t>Prepared on Australian Accounting Standards basis.</w:t>
      </w:r>
    </w:p>
    <w:p w14:paraId="7C3E2E96" w14:textId="3ABE1EC0" w:rsidR="00BA015C" w:rsidRDefault="00BA015C" w:rsidP="00BA015C">
      <w:pPr>
        <w:rPr>
          <w:lang w:val="x-none"/>
        </w:rPr>
      </w:pPr>
    </w:p>
    <w:p w14:paraId="666B6E3C" w14:textId="77777777" w:rsidR="00BE5611" w:rsidRDefault="00BE5611" w:rsidP="00BA015C">
      <w:pPr>
        <w:rPr>
          <w:lang w:val="x-none"/>
        </w:rPr>
        <w:sectPr w:rsidR="00BE5611" w:rsidSect="002D0488">
          <w:footerReference w:type="default" r:id="rId62"/>
          <w:headerReference w:type="first" r:id="rId63"/>
          <w:footerReference w:type="first" r:id="rId64"/>
          <w:type w:val="oddPage"/>
          <w:pgSz w:w="11907" w:h="16840" w:code="9"/>
          <w:pgMar w:top="2835" w:right="2268" w:bottom="2466" w:left="2098" w:header="1814" w:footer="1814" w:gutter="0"/>
          <w:cols w:space="720"/>
          <w:titlePg/>
        </w:sectPr>
      </w:pPr>
    </w:p>
    <w:p w14:paraId="2AAE904E" w14:textId="00588E1D" w:rsidR="00BA015C" w:rsidRDefault="00BA015C" w:rsidP="00BA015C">
      <w:pPr>
        <w:rPr>
          <w:lang w:val="x-none"/>
        </w:rPr>
      </w:pPr>
    </w:p>
    <w:p w14:paraId="6182E77C" w14:textId="4DCF4A23" w:rsidR="00482BA5" w:rsidRDefault="004D18FD" w:rsidP="00157D6F">
      <w:pPr>
        <w:pStyle w:val="PartHeading-NoTOC"/>
      </w:pPr>
      <w:r w:rsidRPr="004D18FD">
        <w:t>Australian Communications and Media Authority</w:t>
      </w:r>
    </w:p>
    <w:p w14:paraId="245BF144" w14:textId="77777777" w:rsidR="00625914" w:rsidRDefault="00625914" w:rsidP="00157D6F">
      <w:pPr>
        <w:pStyle w:val="PartHeading-NoTOC"/>
      </w:pPr>
    </w:p>
    <w:p w14:paraId="03716ABC" w14:textId="4D0204E7" w:rsidR="00914885" w:rsidRDefault="00914885" w:rsidP="00D17655">
      <w:pPr>
        <w:pStyle w:val="PartHeading-NoTOC"/>
      </w:pPr>
      <w:r>
        <w:t xml:space="preserve"> Additional Estimates Statements</w:t>
      </w:r>
    </w:p>
    <w:p w14:paraId="31186692" w14:textId="47675FC2" w:rsidR="00914885" w:rsidRDefault="00914885" w:rsidP="00914885"/>
    <w:p w14:paraId="38636752" w14:textId="77777777" w:rsidR="00BE5611" w:rsidRDefault="00BE5611" w:rsidP="00914885">
      <w:pPr>
        <w:sectPr w:rsidR="00BE5611" w:rsidSect="005A601A">
          <w:headerReference w:type="first" r:id="rId65"/>
          <w:footerReference w:type="first" r:id="rId66"/>
          <w:type w:val="oddPage"/>
          <w:pgSz w:w="11907" w:h="16840" w:code="9"/>
          <w:pgMar w:top="2835" w:right="2098" w:bottom="2466" w:left="2098" w:header="1814" w:footer="1814" w:gutter="0"/>
          <w:cols w:space="720"/>
          <w:vAlign w:val="center"/>
          <w:titlePg/>
        </w:sectPr>
      </w:pPr>
    </w:p>
    <w:p w14:paraId="3C6A1A71" w14:textId="77777777" w:rsidR="00983E22" w:rsidRDefault="00983E22" w:rsidP="00252B31">
      <w:pPr>
        <w:pStyle w:val="Heading1-NoTOC"/>
      </w:pPr>
      <w:r>
        <w:lastRenderedPageBreak/>
        <w:t>Australian Communications and Media Authority</w:t>
      </w:r>
    </w:p>
    <w:p w14:paraId="21AA5691" w14:textId="15003B0D" w:rsidR="00B634FB" w:rsidRDefault="00B634FB">
      <w:pPr>
        <w:pStyle w:val="TOC1"/>
        <w:rPr>
          <w:rFonts w:asciiTheme="minorHAnsi" w:eastAsiaTheme="minorEastAsia" w:hAnsiTheme="minorHAnsi" w:cstheme="minorBidi"/>
          <w:b w:val="0"/>
          <w:noProof/>
          <w:sz w:val="22"/>
          <w:szCs w:val="22"/>
        </w:rPr>
      </w:pPr>
      <w:r>
        <w:fldChar w:fldCharType="begin"/>
      </w:r>
      <w:r>
        <w:instrText xml:space="preserve"> TOC \h \z \t "Heading 2 - TOC ACMA,1,Heading 3 ACMA,2" </w:instrText>
      </w:r>
      <w:r>
        <w:fldChar w:fldCharType="separate"/>
      </w:r>
      <w:hyperlink w:anchor="_Toc92990342" w:history="1">
        <w:r w:rsidRPr="00B66332">
          <w:rPr>
            <w:rStyle w:val="Hyperlink"/>
            <w:noProof/>
          </w:rPr>
          <w:t>Section 1: Entity overview and resources</w:t>
        </w:r>
        <w:r>
          <w:rPr>
            <w:noProof/>
            <w:webHidden/>
          </w:rPr>
          <w:tab/>
        </w:r>
        <w:r>
          <w:rPr>
            <w:noProof/>
            <w:webHidden/>
          </w:rPr>
          <w:fldChar w:fldCharType="begin"/>
        </w:r>
        <w:r>
          <w:rPr>
            <w:noProof/>
            <w:webHidden/>
          </w:rPr>
          <w:instrText xml:space="preserve"> PAGEREF _Toc92990342 \h </w:instrText>
        </w:r>
        <w:r>
          <w:rPr>
            <w:noProof/>
            <w:webHidden/>
          </w:rPr>
        </w:r>
        <w:r>
          <w:rPr>
            <w:noProof/>
            <w:webHidden/>
          </w:rPr>
          <w:fldChar w:fldCharType="separate"/>
        </w:r>
        <w:r w:rsidR="003B5862">
          <w:rPr>
            <w:noProof/>
            <w:webHidden/>
          </w:rPr>
          <w:t>81</w:t>
        </w:r>
        <w:r>
          <w:rPr>
            <w:noProof/>
            <w:webHidden/>
          </w:rPr>
          <w:fldChar w:fldCharType="end"/>
        </w:r>
      </w:hyperlink>
    </w:p>
    <w:p w14:paraId="1EC7BD9D" w14:textId="48FC0062" w:rsidR="00B634FB" w:rsidRDefault="005616C5">
      <w:pPr>
        <w:pStyle w:val="TOC2"/>
        <w:tabs>
          <w:tab w:val="left" w:pos="660"/>
        </w:tabs>
        <w:rPr>
          <w:rFonts w:asciiTheme="minorHAnsi" w:eastAsiaTheme="minorEastAsia" w:hAnsiTheme="minorHAnsi" w:cstheme="minorBidi"/>
          <w:noProof/>
          <w:sz w:val="22"/>
          <w:szCs w:val="22"/>
        </w:rPr>
      </w:pPr>
      <w:hyperlink w:anchor="_Toc92990343" w:history="1">
        <w:r w:rsidR="00B634FB" w:rsidRPr="00B66332">
          <w:rPr>
            <w:rStyle w:val="Hyperlink"/>
            <w:noProof/>
          </w:rPr>
          <w:t>1.1</w:t>
        </w:r>
        <w:r w:rsidR="00B634FB">
          <w:rPr>
            <w:rFonts w:asciiTheme="minorHAnsi" w:eastAsiaTheme="minorEastAsia" w:hAnsiTheme="minorHAnsi" w:cstheme="minorBidi"/>
            <w:noProof/>
            <w:sz w:val="22"/>
            <w:szCs w:val="22"/>
          </w:rPr>
          <w:tab/>
        </w:r>
        <w:r w:rsidR="00B634FB" w:rsidRPr="00B66332">
          <w:rPr>
            <w:rStyle w:val="Hyperlink"/>
            <w:noProof/>
          </w:rPr>
          <w:t>Strategic direction statement</w:t>
        </w:r>
        <w:r w:rsidR="00B634FB">
          <w:rPr>
            <w:noProof/>
            <w:webHidden/>
          </w:rPr>
          <w:tab/>
        </w:r>
        <w:r w:rsidR="00B634FB">
          <w:rPr>
            <w:noProof/>
            <w:webHidden/>
          </w:rPr>
          <w:fldChar w:fldCharType="begin"/>
        </w:r>
        <w:r w:rsidR="00B634FB">
          <w:rPr>
            <w:noProof/>
            <w:webHidden/>
          </w:rPr>
          <w:instrText xml:space="preserve"> PAGEREF _Toc92990343 \h </w:instrText>
        </w:r>
        <w:r w:rsidR="00B634FB">
          <w:rPr>
            <w:noProof/>
            <w:webHidden/>
          </w:rPr>
        </w:r>
        <w:r w:rsidR="00B634FB">
          <w:rPr>
            <w:noProof/>
            <w:webHidden/>
          </w:rPr>
          <w:fldChar w:fldCharType="separate"/>
        </w:r>
        <w:r w:rsidR="003B5862">
          <w:rPr>
            <w:noProof/>
            <w:webHidden/>
          </w:rPr>
          <w:t>81</w:t>
        </w:r>
        <w:r w:rsidR="00B634FB">
          <w:rPr>
            <w:noProof/>
            <w:webHidden/>
          </w:rPr>
          <w:fldChar w:fldCharType="end"/>
        </w:r>
      </w:hyperlink>
    </w:p>
    <w:p w14:paraId="6FC1E7B4" w14:textId="621A3F33" w:rsidR="00B634FB" w:rsidRDefault="005616C5">
      <w:pPr>
        <w:pStyle w:val="TOC2"/>
        <w:tabs>
          <w:tab w:val="left" w:pos="660"/>
        </w:tabs>
        <w:rPr>
          <w:rFonts w:asciiTheme="minorHAnsi" w:eastAsiaTheme="minorEastAsia" w:hAnsiTheme="minorHAnsi" w:cstheme="minorBidi"/>
          <w:noProof/>
          <w:sz w:val="22"/>
          <w:szCs w:val="22"/>
        </w:rPr>
      </w:pPr>
      <w:hyperlink w:anchor="_Toc92990344" w:history="1">
        <w:r w:rsidR="00B634FB" w:rsidRPr="00B66332">
          <w:rPr>
            <w:rStyle w:val="Hyperlink"/>
            <w:noProof/>
          </w:rPr>
          <w:t>1.2</w:t>
        </w:r>
        <w:r w:rsidR="00B634FB">
          <w:rPr>
            <w:rFonts w:asciiTheme="minorHAnsi" w:eastAsiaTheme="minorEastAsia" w:hAnsiTheme="minorHAnsi" w:cstheme="minorBidi"/>
            <w:noProof/>
            <w:sz w:val="22"/>
            <w:szCs w:val="22"/>
          </w:rPr>
          <w:tab/>
        </w:r>
        <w:r w:rsidR="00B634FB" w:rsidRPr="00B66332">
          <w:rPr>
            <w:rStyle w:val="Hyperlink"/>
            <w:noProof/>
          </w:rPr>
          <w:t>Entity resource statement</w:t>
        </w:r>
        <w:r w:rsidR="00B634FB">
          <w:rPr>
            <w:noProof/>
            <w:webHidden/>
          </w:rPr>
          <w:tab/>
        </w:r>
        <w:r w:rsidR="00B634FB">
          <w:rPr>
            <w:noProof/>
            <w:webHidden/>
          </w:rPr>
          <w:fldChar w:fldCharType="begin"/>
        </w:r>
        <w:r w:rsidR="00B634FB">
          <w:rPr>
            <w:noProof/>
            <w:webHidden/>
          </w:rPr>
          <w:instrText xml:space="preserve"> PAGEREF _Toc92990344 \h </w:instrText>
        </w:r>
        <w:r w:rsidR="00B634FB">
          <w:rPr>
            <w:noProof/>
            <w:webHidden/>
          </w:rPr>
        </w:r>
        <w:r w:rsidR="00B634FB">
          <w:rPr>
            <w:noProof/>
            <w:webHidden/>
          </w:rPr>
          <w:fldChar w:fldCharType="separate"/>
        </w:r>
        <w:r w:rsidR="003B5862">
          <w:rPr>
            <w:noProof/>
            <w:webHidden/>
          </w:rPr>
          <w:t>82</w:t>
        </w:r>
        <w:r w:rsidR="00B634FB">
          <w:rPr>
            <w:noProof/>
            <w:webHidden/>
          </w:rPr>
          <w:fldChar w:fldCharType="end"/>
        </w:r>
      </w:hyperlink>
    </w:p>
    <w:p w14:paraId="7CE2E304" w14:textId="653C7ADC" w:rsidR="00B634FB" w:rsidRDefault="005616C5">
      <w:pPr>
        <w:pStyle w:val="TOC2"/>
        <w:tabs>
          <w:tab w:val="left" w:pos="660"/>
        </w:tabs>
        <w:rPr>
          <w:rFonts w:asciiTheme="minorHAnsi" w:eastAsiaTheme="minorEastAsia" w:hAnsiTheme="minorHAnsi" w:cstheme="minorBidi"/>
          <w:noProof/>
          <w:sz w:val="22"/>
          <w:szCs w:val="22"/>
        </w:rPr>
      </w:pPr>
      <w:hyperlink w:anchor="_Toc92990345" w:history="1">
        <w:r w:rsidR="00B634FB" w:rsidRPr="00B66332">
          <w:rPr>
            <w:rStyle w:val="Hyperlink"/>
            <w:noProof/>
          </w:rPr>
          <w:t>1.3</w:t>
        </w:r>
        <w:r w:rsidR="00B634FB">
          <w:rPr>
            <w:rFonts w:asciiTheme="minorHAnsi" w:eastAsiaTheme="minorEastAsia" w:hAnsiTheme="minorHAnsi" w:cstheme="minorBidi"/>
            <w:noProof/>
            <w:sz w:val="22"/>
            <w:szCs w:val="22"/>
          </w:rPr>
          <w:tab/>
        </w:r>
        <w:r w:rsidR="00B634FB" w:rsidRPr="00B66332">
          <w:rPr>
            <w:rStyle w:val="Hyperlink"/>
            <w:noProof/>
          </w:rPr>
          <w:t>Entity measures</w:t>
        </w:r>
        <w:r w:rsidR="00B634FB">
          <w:rPr>
            <w:noProof/>
            <w:webHidden/>
          </w:rPr>
          <w:tab/>
        </w:r>
        <w:r w:rsidR="00B634FB">
          <w:rPr>
            <w:noProof/>
            <w:webHidden/>
          </w:rPr>
          <w:fldChar w:fldCharType="begin"/>
        </w:r>
        <w:r w:rsidR="00B634FB">
          <w:rPr>
            <w:noProof/>
            <w:webHidden/>
          </w:rPr>
          <w:instrText xml:space="preserve"> PAGEREF _Toc92990345 \h </w:instrText>
        </w:r>
        <w:r w:rsidR="00B634FB">
          <w:rPr>
            <w:noProof/>
            <w:webHidden/>
          </w:rPr>
        </w:r>
        <w:r w:rsidR="00B634FB">
          <w:rPr>
            <w:noProof/>
            <w:webHidden/>
          </w:rPr>
          <w:fldChar w:fldCharType="separate"/>
        </w:r>
        <w:r w:rsidR="003B5862">
          <w:rPr>
            <w:noProof/>
            <w:webHidden/>
          </w:rPr>
          <w:t>83</w:t>
        </w:r>
        <w:r w:rsidR="00B634FB">
          <w:rPr>
            <w:noProof/>
            <w:webHidden/>
          </w:rPr>
          <w:fldChar w:fldCharType="end"/>
        </w:r>
      </w:hyperlink>
    </w:p>
    <w:p w14:paraId="272C0FC2" w14:textId="7481B20C" w:rsidR="00B634FB" w:rsidRDefault="005616C5">
      <w:pPr>
        <w:pStyle w:val="TOC2"/>
        <w:tabs>
          <w:tab w:val="left" w:pos="660"/>
        </w:tabs>
        <w:rPr>
          <w:rFonts w:asciiTheme="minorHAnsi" w:eastAsiaTheme="minorEastAsia" w:hAnsiTheme="minorHAnsi" w:cstheme="minorBidi"/>
          <w:noProof/>
          <w:sz w:val="22"/>
          <w:szCs w:val="22"/>
        </w:rPr>
      </w:pPr>
      <w:hyperlink w:anchor="_Toc92990346" w:history="1">
        <w:r w:rsidR="00B634FB" w:rsidRPr="00B66332">
          <w:rPr>
            <w:rStyle w:val="Hyperlink"/>
            <w:noProof/>
          </w:rPr>
          <w:t>1.4</w:t>
        </w:r>
        <w:r w:rsidR="00B634FB">
          <w:rPr>
            <w:rFonts w:asciiTheme="minorHAnsi" w:eastAsiaTheme="minorEastAsia" w:hAnsiTheme="minorHAnsi" w:cstheme="minorBidi"/>
            <w:noProof/>
            <w:sz w:val="22"/>
            <w:szCs w:val="22"/>
          </w:rPr>
          <w:tab/>
        </w:r>
        <w:r w:rsidR="00B634FB" w:rsidRPr="00B66332">
          <w:rPr>
            <w:rStyle w:val="Hyperlink"/>
            <w:noProof/>
          </w:rPr>
          <w:t>Additional estimates, resourcing and variations to outcomes</w:t>
        </w:r>
        <w:r w:rsidR="00B634FB">
          <w:rPr>
            <w:noProof/>
            <w:webHidden/>
          </w:rPr>
          <w:tab/>
        </w:r>
        <w:r w:rsidR="00B634FB">
          <w:rPr>
            <w:noProof/>
            <w:webHidden/>
          </w:rPr>
          <w:fldChar w:fldCharType="begin"/>
        </w:r>
        <w:r w:rsidR="00B634FB">
          <w:rPr>
            <w:noProof/>
            <w:webHidden/>
          </w:rPr>
          <w:instrText xml:space="preserve"> PAGEREF _Toc92990346 \h </w:instrText>
        </w:r>
        <w:r w:rsidR="00B634FB">
          <w:rPr>
            <w:noProof/>
            <w:webHidden/>
          </w:rPr>
        </w:r>
        <w:r w:rsidR="00B634FB">
          <w:rPr>
            <w:noProof/>
            <w:webHidden/>
          </w:rPr>
          <w:fldChar w:fldCharType="separate"/>
        </w:r>
        <w:r w:rsidR="003B5862">
          <w:rPr>
            <w:noProof/>
            <w:webHidden/>
          </w:rPr>
          <w:t>84</w:t>
        </w:r>
        <w:r w:rsidR="00B634FB">
          <w:rPr>
            <w:noProof/>
            <w:webHidden/>
          </w:rPr>
          <w:fldChar w:fldCharType="end"/>
        </w:r>
      </w:hyperlink>
    </w:p>
    <w:p w14:paraId="60655054" w14:textId="278840D3" w:rsidR="00B634FB" w:rsidRDefault="005616C5">
      <w:pPr>
        <w:pStyle w:val="TOC2"/>
        <w:tabs>
          <w:tab w:val="left" w:pos="660"/>
        </w:tabs>
        <w:rPr>
          <w:rFonts w:asciiTheme="minorHAnsi" w:eastAsiaTheme="minorEastAsia" w:hAnsiTheme="minorHAnsi" w:cstheme="minorBidi"/>
          <w:noProof/>
          <w:sz w:val="22"/>
          <w:szCs w:val="22"/>
        </w:rPr>
      </w:pPr>
      <w:hyperlink w:anchor="_Toc92990347" w:history="1">
        <w:r w:rsidR="00B634FB" w:rsidRPr="00B66332">
          <w:rPr>
            <w:rStyle w:val="Hyperlink"/>
            <w:noProof/>
          </w:rPr>
          <w:t>1.5</w:t>
        </w:r>
        <w:r w:rsidR="00B634FB">
          <w:rPr>
            <w:rFonts w:asciiTheme="minorHAnsi" w:eastAsiaTheme="minorEastAsia" w:hAnsiTheme="minorHAnsi" w:cstheme="minorBidi"/>
            <w:noProof/>
            <w:sz w:val="22"/>
            <w:szCs w:val="22"/>
          </w:rPr>
          <w:tab/>
        </w:r>
        <w:r w:rsidR="00B634FB" w:rsidRPr="00B66332">
          <w:rPr>
            <w:rStyle w:val="Hyperlink"/>
            <w:noProof/>
          </w:rPr>
          <w:t>Breakdown of additional estimates by appropriation bill</w:t>
        </w:r>
        <w:r w:rsidR="00B634FB">
          <w:rPr>
            <w:noProof/>
            <w:webHidden/>
          </w:rPr>
          <w:tab/>
        </w:r>
        <w:r w:rsidR="00B634FB">
          <w:rPr>
            <w:noProof/>
            <w:webHidden/>
          </w:rPr>
          <w:fldChar w:fldCharType="begin"/>
        </w:r>
        <w:r w:rsidR="00B634FB">
          <w:rPr>
            <w:noProof/>
            <w:webHidden/>
          </w:rPr>
          <w:instrText xml:space="preserve"> PAGEREF _Toc92990347 \h </w:instrText>
        </w:r>
        <w:r w:rsidR="00B634FB">
          <w:rPr>
            <w:noProof/>
            <w:webHidden/>
          </w:rPr>
        </w:r>
        <w:r w:rsidR="00B634FB">
          <w:rPr>
            <w:noProof/>
            <w:webHidden/>
          </w:rPr>
          <w:fldChar w:fldCharType="separate"/>
        </w:r>
        <w:r w:rsidR="003B5862">
          <w:rPr>
            <w:noProof/>
            <w:webHidden/>
          </w:rPr>
          <w:t>85</w:t>
        </w:r>
        <w:r w:rsidR="00B634FB">
          <w:rPr>
            <w:noProof/>
            <w:webHidden/>
          </w:rPr>
          <w:fldChar w:fldCharType="end"/>
        </w:r>
      </w:hyperlink>
    </w:p>
    <w:p w14:paraId="29C791F7" w14:textId="74FE2F31" w:rsidR="00B634FB" w:rsidRDefault="005616C5">
      <w:pPr>
        <w:pStyle w:val="TOC1"/>
        <w:rPr>
          <w:rFonts w:asciiTheme="minorHAnsi" w:eastAsiaTheme="minorEastAsia" w:hAnsiTheme="minorHAnsi" w:cstheme="minorBidi"/>
          <w:b w:val="0"/>
          <w:noProof/>
          <w:sz w:val="22"/>
          <w:szCs w:val="22"/>
        </w:rPr>
      </w:pPr>
      <w:hyperlink w:anchor="_Toc92990348" w:history="1">
        <w:r w:rsidR="00B634FB" w:rsidRPr="00B66332">
          <w:rPr>
            <w:rStyle w:val="Hyperlink"/>
            <w:noProof/>
          </w:rPr>
          <w:t>Section 2: Revisions to outcomes and planned performance</w:t>
        </w:r>
        <w:r w:rsidR="00B634FB">
          <w:rPr>
            <w:noProof/>
            <w:webHidden/>
          </w:rPr>
          <w:tab/>
        </w:r>
        <w:r w:rsidR="00B634FB">
          <w:rPr>
            <w:noProof/>
            <w:webHidden/>
          </w:rPr>
          <w:fldChar w:fldCharType="begin"/>
        </w:r>
        <w:r w:rsidR="00B634FB">
          <w:rPr>
            <w:noProof/>
            <w:webHidden/>
          </w:rPr>
          <w:instrText xml:space="preserve"> PAGEREF _Toc92990348 \h </w:instrText>
        </w:r>
        <w:r w:rsidR="00B634FB">
          <w:rPr>
            <w:noProof/>
            <w:webHidden/>
          </w:rPr>
        </w:r>
        <w:r w:rsidR="00B634FB">
          <w:rPr>
            <w:noProof/>
            <w:webHidden/>
          </w:rPr>
          <w:fldChar w:fldCharType="separate"/>
        </w:r>
        <w:r w:rsidR="003B5862">
          <w:rPr>
            <w:noProof/>
            <w:webHidden/>
          </w:rPr>
          <w:t>86</w:t>
        </w:r>
        <w:r w:rsidR="00B634FB">
          <w:rPr>
            <w:noProof/>
            <w:webHidden/>
          </w:rPr>
          <w:fldChar w:fldCharType="end"/>
        </w:r>
      </w:hyperlink>
    </w:p>
    <w:p w14:paraId="68377656" w14:textId="0C5F302F" w:rsidR="00B634FB" w:rsidRDefault="005616C5">
      <w:pPr>
        <w:pStyle w:val="TOC2"/>
        <w:tabs>
          <w:tab w:val="left" w:pos="660"/>
        </w:tabs>
        <w:rPr>
          <w:rFonts w:asciiTheme="minorHAnsi" w:eastAsiaTheme="minorEastAsia" w:hAnsiTheme="minorHAnsi" w:cstheme="minorBidi"/>
          <w:noProof/>
          <w:sz w:val="22"/>
          <w:szCs w:val="22"/>
        </w:rPr>
      </w:pPr>
      <w:hyperlink w:anchor="_Toc92990349" w:history="1">
        <w:r w:rsidR="00B634FB" w:rsidRPr="00B66332">
          <w:rPr>
            <w:rStyle w:val="Hyperlink"/>
            <w:noProof/>
          </w:rPr>
          <w:t>2.1</w:t>
        </w:r>
        <w:r w:rsidR="00B634FB">
          <w:rPr>
            <w:rFonts w:asciiTheme="minorHAnsi" w:eastAsiaTheme="minorEastAsia" w:hAnsiTheme="minorHAnsi" w:cstheme="minorBidi"/>
            <w:noProof/>
            <w:sz w:val="22"/>
            <w:szCs w:val="22"/>
          </w:rPr>
          <w:tab/>
        </w:r>
        <w:r w:rsidR="00B634FB" w:rsidRPr="00B66332">
          <w:rPr>
            <w:rStyle w:val="Hyperlink"/>
            <w:noProof/>
          </w:rPr>
          <w:t>Changes to outcome and program structures</w:t>
        </w:r>
        <w:r w:rsidR="00B634FB">
          <w:rPr>
            <w:noProof/>
            <w:webHidden/>
          </w:rPr>
          <w:tab/>
        </w:r>
        <w:r w:rsidR="00B634FB">
          <w:rPr>
            <w:noProof/>
            <w:webHidden/>
          </w:rPr>
          <w:fldChar w:fldCharType="begin"/>
        </w:r>
        <w:r w:rsidR="00B634FB">
          <w:rPr>
            <w:noProof/>
            <w:webHidden/>
          </w:rPr>
          <w:instrText xml:space="preserve"> PAGEREF _Toc92990349 \h </w:instrText>
        </w:r>
        <w:r w:rsidR="00B634FB">
          <w:rPr>
            <w:noProof/>
            <w:webHidden/>
          </w:rPr>
        </w:r>
        <w:r w:rsidR="00B634FB">
          <w:rPr>
            <w:noProof/>
            <w:webHidden/>
          </w:rPr>
          <w:fldChar w:fldCharType="separate"/>
        </w:r>
        <w:r w:rsidR="003B5862">
          <w:rPr>
            <w:noProof/>
            <w:webHidden/>
          </w:rPr>
          <w:t>86</w:t>
        </w:r>
        <w:r w:rsidR="00B634FB">
          <w:rPr>
            <w:noProof/>
            <w:webHidden/>
          </w:rPr>
          <w:fldChar w:fldCharType="end"/>
        </w:r>
      </w:hyperlink>
    </w:p>
    <w:p w14:paraId="32C3B7A1" w14:textId="2E60B55E" w:rsidR="00B634FB" w:rsidRDefault="005616C5">
      <w:pPr>
        <w:pStyle w:val="TOC2"/>
        <w:tabs>
          <w:tab w:val="left" w:pos="660"/>
        </w:tabs>
        <w:rPr>
          <w:rFonts w:asciiTheme="minorHAnsi" w:eastAsiaTheme="minorEastAsia" w:hAnsiTheme="minorHAnsi" w:cstheme="minorBidi"/>
          <w:noProof/>
          <w:sz w:val="22"/>
          <w:szCs w:val="22"/>
        </w:rPr>
      </w:pPr>
      <w:hyperlink w:anchor="_Toc92990350" w:history="1">
        <w:r w:rsidR="00B634FB" w:rsidRPr="00B66332">
          <w:rPr>
            <w:rStyle w:val="Hyperlink"/>
            <w:noProof/>
          </w:rPr>
          <w:t>2.</w:t>
        </w:r>
        <w:r w:rsidR="00B634FB" w:rsidRPr="00B66332">
          <w:rPr>
            <w:rStyle w:val="Hyperlink"/>
            <w:noProof/>
            <w:lang w:val="en-US"/>
          </w:rPr>
          <w:t>2</w:t>
        </w:r>
        <w:r w:rsidR="00B634FB">
          <w:rPr>
            <w:rFonts w:asciiTheme="minorHAnsi" w:eastAsiaTheme="minorEastAsia" w:hAnsiTheme="minorHAnsi" w:cstheme="minorBidi"/>
            <w:noProof/>
            <w:sz w:val="22"/>
            <w:szCs w:val="22"/>
          </w:rPr>
          <w:tab/>
        </w:r>
        <w:r w:rsidR="00B634FB" w:rsidRPr="00B66332">
          <w:rPr>
            <w:rStyle w:val="Hyperlink"/>
            <w:noProof/>
          </w:rPr>
          <w:t>Budgeted expenses and performance for outcome 1</w:t>
        </w:r>
        <w:r w:rsidR="00B634FB">
          <w:rPr>
            <w:noProof/>
            <w:webHidden/>
          </w:rPr>
          <w:tab/>
        </w:r>
        <w:r w:rsidR="00B634FB">
          <w:rPr>
            <w:noProof/>
            <w:webHidden/>
          </w:rPr>
          <w:fldChar w:fldCharType="begin"/>
        </w:r>
        <w:r w:rsidR="00B634FB">
          <w:rPr>
            <w:noProof/>
            <w:webHidden/>
          </w:rPr>
          <w:instrText xml:space="preserve"> PAGEREF _Toc92990350 \h </w:instrText>
        </w:r>
        <w:r w:rsidR="00B634FB">
          <w:rPr>
            <w:noProof/>
            <w:webHidden/>
          </w:rPr>
        </w:r>
        <w:r w:rsidR="00B634FB">
          <w:rPr>
            <w:noProof/>
            <w:webHidden/>
          </w:rPr>
          <w:fldChar w:fldCharType="separate"/>
        </w:r>
        <w:r w:rsidR="003B5862">
          <w:rPr>
            <w:noProof/>
            <w:webHidden/>
          </w:rPr>
          <w:t>86</w:t>
        </w:r>
        <w:r w:rsidR="00B634FB">
          <w:rPr>
            <w:noProof/>
            <w:webHidden/>
          </w:rPr>
          <w:fldChar w:fldCharType="end"/>
        </w:r>
      </w:hyperlink>
    </w:p>
    <w:p w14:paraId="19687508" w14:textId="4CAE9AF9" w:rsidR="00B634FB" w:rsidRDefault="005616C5">
      <w:pPr>
        <w:pStyle w:val="TOC1"/>
        <w:rPr>
          <w:rFonts w:asciiTheme="minorHAnsi" w:eastAsiaTheme="minorEastAsia" w:hAnsiTheme="minorHAnsi" w:cstheme="minorBidi"/>
          <w:b w:val="0"/>
          <w:noProof/>
          <w:sz w:val="22"/>
          <w:szCs w:val="22"/>
        </w:rPr>
      </w:pPr>
      <w:hyperlink w:anchor="_Toc92990351" w:history="1">
        <w:r w:rsidR="00B634FB" w:rsidRPr="00B66332">
          <w:rPr>
            <w:rStyle w:val="Hyperlink"/>
            <w:noProof/>
          </w:rPr>
          <w:t>Section 3: Special account flows and budgeted financial statements</w:t>
        </w:r>
        <w:r w:rsidR="00B634FB">
          <w:rPr>
            <w:noProof/>
            <w:webHidden/>
          </w:rPr>
          <w:tab/>
        </w:r>
        <w:r w:rsidR="00B634FB">
          <w:rPr>
            <w:noProof/>
            <w:webHidden/>
          </w:rPr>
          <w:fldChar w:fldCharType="begin"/>
        </w:r>
        <w:r w:rsidR="00B634FB">
          <w:rPr>
            <w:noProof/>
            <w:webHidden/>
          </w:rPr>
          <w:instrText xml:space="preserve"> PAGEREF _Toc92990351 \h </w:instrText>
        </w:r>
        <w:r w:rsidR="00B634FB">
          <w:rPr>
            <w:noProof/>
            <w:webHidden/>
          </w:rPr>
        </w:r>
        <w:r w:rsidR="00B634FB">
          <w:rPr>
            <w:noProof/>
            <w:webHidden/>
          </w:rPr>
          <w:fldChar w:fldCharType="separate"/>
        </w:r>
        <w:r w:rsidR="003B5862">
          <w:rPr>
            <w:noProof/>
            <w:webHidden/>
          </w:rPr>
          <w:t>89</w:t>
        </w:r>
        <w:r w:rsidR="00B634FB">
          <w:rPr>
            <w:noProof/>
            <w:webHidden/>
          </w:rPr>
          <w:fldChar w:fldCharType="end"/>
        </w:r>
      </w:hyperlink>
    </w:p>
    <w:p w14:paraId="575E69B4" w14:textId="70061069" w:rsidR="00B634FB" w:rsidRDefault="005616C5">
      <w:pPr>
        <w:pStyle w:val="TOC2"/>
        <w:tabs>
          <w:tab w:val="left" w:pos="660"/>
        </w:tabs>
        <w:rPr>
          <w:rFonts w:asciiTheme="minorHAnsi" w:eastAsiaTheme="minorEastAsia" w:hAnsiTheme="minorHAnsi" w:cstheme="minorBidi"/>
          <w:noProof/>
          <w:sz w:val="22"/>
          <w:szCs w:val="22"/>
        </w:rPr>
      </w:pPr>
      <w:hyperlink w:anchor="_Toc92990352" w:history="1">
        <w:r w:rsidR="00B634FB" w:rsidRPr="00B66332">
          <w:rPr>
            <w:rStyle w:val="Hyperlink"/>
            <w:noProof/>
          </w:rPr>
          <w:t>3.1</w:t>
        </w:r>
        <w:r w:rsidR="00B634FB">
          <w:rPr>
            <w:rFonts w:asciiTheme="minorHAnsi" w:eastAsiaTheme="minorEastAsia" w:hAnsiTheme="minorHAnsi" w:cstheme="minorBidi"/>
            <w:noProof/>
            <w:sz w:val="22"/>
            <w:szCs w:val="22"/>
          </w:rPr>
          <w:tab/>
        </w:r>
        <w:r w:rsidR="00B634FB" w:rsidRPr="00B66332">
          <w:rPr>
            <w:rStyle w:val="Hyperlink"/>
            <w:noProof/>
          </w:rPr>
          <w:t>Special account flows</w:t>
        </w:r>
        <w:r w:rsidR="00B634FB">
          <w:rPr>
            <w:noProof/>
            <w:webHidden/>
          </w:rPr>
          <w:tab/>
        </w:r>
        <w:r w:rsidR="00B634FB">
          <w:rPr>
            <w:noProof/>
            <w:webHidden/>
          </w:rPr>
          <w:fldChar w:fldCharType="begin"/>
        </w:r>
        <w:r w:rsidR="00B634FB">
          <w:rPr>
            <w:noProof/>
            <w:webHidden/>
          </w:rPr>
          <w:instrText xml:space="preserve"> PAGEREF _Toc92990352 \h </w:instrText>
        </w:r>
        <w:r w:rsidR="00B634FB">
          <w:rPr>
            <w:noProof/>
            <w:webHidden/>
          </w:rPr>
        </w:r>
        <w:r w:rsidR="00B634FB">
          <w:rPr>
            <w:noProof/>
            <w:webHidden/>
          </w:rPr>
          <w:fldChar w:fldCharType="separate"/>
        </w:r>
        <w:r w:rsidR="003B5862">
          <w:rPr>
            <w:noProof/>
            <w:webHidden/>
          </w:rPr>
          <w:t>89</w:t>
        </w:r>
        <w:r w:rsidR="00B634FB">
          <w:rPr>
            <w:noProof/>
            <w:webHidden/>
          </w:rPr>
          <w:fldChar w:fldCharType="end"/>
        </w:r>
      </w:hyperlink>
    </w:p>
    <w:p w14:paraId="5C0A0843" w14:textId="1478815D" w:rsidR="00B634FB" w:rsidRDefault="005616C5">
      <w:pPr>
        <w:pStyle w:val="TOC2"/>
        <w:tabs>
          <w:tab w:val="left" w:pos="660"/>
        </w:tabs>
        <w:rPr>
          <w:rFonts w:asciiTheme="minorHAnsi" w:eastAsiaTheme="minorEastAsia" w:hAnsiTheme="minorHAnsi" w:cstheme="minorBidi"/>
          <w:noProof/>
          <w:sz w:val="22"/>
          <w:szCs w:val="22"/>
        </w:rPr>
      </w:pPr>
      <w:hyperlink w:anchor="_Toc92990353" w:history="1">
        <w:r w:rsidR="00B634FB" w:rsidRPr="00B66332">
          <w:rPr>
            <w:rStyle w:val="Hyperlink"/>
            <w:noProof/>
          </w:rPr>
          <w:t>3.2</w:t>
        </w:r>
        <w:r w:rsidR="00B634FB">
          <w:rPr>
            <w:rFonts w:asciiTheme="minorHAnsi" w:eastAsiaTheme="minorEastAsia" w:hAnsiTheme="minorHAnsi" w:cstheme="minorBidi"/>
            <w:noProof/>
            <w:sz w:val="22"/>
            <w:szCs w:val="22"/>
          </w:rPr>
          <w:tab/>
        </w:r>
        <w:r w:rsidR="00B634FB" w:rsidRPr="00B66332">
          <w:rPr>
            <w:rStyle w:val="Hyperlink"/>
            <w:noProof/>
          </w:rPr>
          <w:t>Budgeted financial statements</w:t>
        </w:r>
        <w:r w:rsidR="00B634FB">
          <w:rPr>
            <w:noProof/>
            <w:webHidden/>
          </w:rPr>
          <w:tab/>
        </w:r>
        <w:r w:rsidR="00B634FB">
          <w:rPr>
            <w:noProof/>
            <w:webHidden/>
          </w:rPr>
          <w:fldChar w:fldCharType="begin"/>
        </w:r>
        <w:r w:rsidR="00B634FB">
          <w:rPr>
            <w:noProof/>
            <w:webHidden/>
          </w:rPr>
          <w:instrText xml:space="preserve"> PAGEREF _Toc92990353 \h </w:instrText>
        </w:r>
        <w:r w:rsidR="00B634FB">
          <w:rPr>
            <w:noProof/>
            <w:webHidden/>
          </w:rPr>
        </w:r>
        <w:r w:rsidR="00B634FB">
          <w:rPr>
            <w:noProof/>
            <w:webHidden/>
          </w:rPr>
          <w:fldChar w:fldCharType="separate"/>
        </w:r>
        <w:r w:rsidR="003B5862">
          <w:rPr>
            <w:noProof/>
            <w:webHidden/>
          </w:rPr>
          <w:t>89</w:t>
        </w:r>
        <w:r w:rsidR="00B634FB">
          <w:rPr>
            <w:noProof/>
            <w:webHidden/>
          </w:rPr>
          <w:fldChar w:fldCharType="end"/>
        </w:r>
      </w:hyperlink>
    </w:p>
    <w:p w14:paraId="4A145B74" w14:textId="1F9B7380" w:rsidR="00914885" w:rsidRDefault="00B634FB" w:rsidP="00914885">
      <w:r>
        <w:fldChar w:fldCharType="end"/>
      </w:r>
    </w:p>
    <w:p w14:paraId="4A775AC9" w14:textId="77777777" w:rsidR="00B634FB" w:rsidRPr="0035086F" w:rsidRDefault="00B634FB" w:rsidP="00914885"/>
    <w:p w14:paraId="29742B62" w14:textId="77777777" w:rsidR="00BE5611" w:rsidRDefault="00BE5611" w:rsidP="00914885">
      <w:pPr>
        <w:sectPr w:rsidR="00BE5611" w:rsidSect="005A601A">
          <w:headerReference w:type="even" r:id="rId67"/>
          <w:headerReference w:type="default" r:id="rId68"/>
          <w:headerReference w:type="first" r:id="rId69"/>
          <w:footerReference w:type="first" r:id="rId70"/>
          <w:type w:val="oddPage"/>
          <w:pgSz w:w="11907" w:h="16840" w:code="9"/>
          <w:pgMar w:top="2835" w:right="2098" w:bottom="2466" w:left="2098" w:header="1814" w:footer="1814" w:gutter="0"/>
          <w:cols w:space="720"/>
          <w:titlePg/>
        </w:sectPr>
      </w:pPr>
    </w:p>
    <w:p w14:paraId="09A13F45" w14:textId="2C399ED5" w:rsidR="00914885" w:rsidRDefault="00EC28BF" w:rsidP="00914885">
      <w:pPr>
        <w:pStyle w:val="Heading1-LVL2"/>
      </w:pPr>
      <w:bookmarkStart w:id="390" w:name="_Toc63841397"/>
      <w:bookmarkStart w:id="391" w:name="_Toc94198472"/>
      <w:r>
        <w:rPr>
          <w:lang w:val="en-US"/>
        </w:rPr>
        <w:lastRenderedPageBreak/>
        <w:t>Australian Communications and Media Authority</w:t>
      </w:r>
      <w:bookmarkEnd w:id="390"/>
      <w:bookmarkEnd w:id="391"/>
    </w:p>
    <w:p w14:paraId="0A04FC15" w14:textId="539F7B22" w:rsidR="00914885" w:rsidRPr="00F045E6" w:rsidRDefault="00914885" w:rsidP="00337BD9">
      <w:pPr>
        <w:pStyle w:val="Heading2-TOCACMA"/>
      </w:pPr>
      <w:bookmarkStart w:id="392" w:name="_Toc92990342"/>
      <w:r w:rsidRPr="00F045E6">
        <w:t>Section 1: Entity overview and resources</w:t>
      </w:r>
      <w:bookmarkEnd w:id="392"/>
    </w:p>
    <w:p w14:paraId="7C476613" w14:textId="69A0BDCC" w:rsidR="00914885" w:rsidRPr="002322E9" w:rsidRDefault="00914885" w:rsidP="00337BD9">
      <w:pPr>
        <w:pStyle w:val="Heading3ACMA"/>
      </w:pPr>
      <w:bookmarkStart w:id="393" w:name="_Toc92990343"/>
      <w:r>
        <w:t>1.1</w:t>
      </w:r>
      <w:r>
        <w:tab/>
      </w:r>
      <w:r w:rsidRPr="004928FF">
        <w:t>Strategic direction</w:t>
      </w:r>
      <w:r>
        <w:t xml:space="preserve"> statement</w:t>
      </w:r>
      <w:bookmarkEnd w:id="393"/>
    </w:p>
    <w:p w14:paraId="70BA379D" w14:textId="4A7F3ADD" w:rsidR="00014421" w:rsidRDefault="00014421" w:rsidP="00014421">
      <w:pPr>
        <w:spacing w:after="120"/>
        <w:jc w:val="left"/>
      </w:pPr>
      <w:r w:rsidRPr="006D506E">
        <w:t xml:space="preserve">The Australian Communications and Media Authority (ACMA) is Australia's regulator for telecommunications, broadcasting, </w:t>
      </w:r>
      <w:proofErr w:type="spellStart"/>
      <w:r w:rsidRPr="006D506E">
        <w:t>radiocommunications</w:t>
      </w:r>
      <w:proofErr w:type="spellEnd"/>
      <w:r w:rsidRPr="006D506E">
        <w:t xml:space="preserve">, unsolicited communications and certain online content. </w:t>
      </w:r>
      <w:r>
        <w:t xml:space="preserve">The ACMA’s purpose is to maximise the economic and social benefits of communications infrastructure, services and content for all Australia by: </w:t>
      </w:r>
    </w:p>
    <w:p w14:paraId="32F46B16" w14:textId="208ECB58" w:rsidR="00014421" w:rsidRDefault="00014421" w:rsidP="009B54D8">
      <w:pPr>
        <w:numPr>
          <w:ilvl w:val="0"/>
          <w:numId w:val="20"/>
        </w:numPr>
        <w:spacing w:after="120" w:line="240" w:lineRule="auto"/>
        <w:ind w:left="357" w:hanging="357"/>
        <w:jc w:val="left"/>
      </w:pPr>
      <w:r>
        <w:t xml:space="preserve">maintaining, enforcing and improving regulation to drive industry performance and protect consumers </w:t>
      </w:r>
    </w:p>
    <w:p w14:paraId="65BCF7F1" w14:textId="7E584F43" w:rsidR="00014421" w:rsidRDefault="00014421" w:rsidP="009B54D8">
      <w:pPr>
        <w:numPr>
          <w:ilvl w:val="0"/>
          <w:numId w:val="20"/>
        </w:numPr>
        <w:spacing w:after="120" w:line="240" w:lineRule="auto"/>
        <w:ind w:left="357" w:hanging="357"/>
        <w:jc w:val="left"/>
      </w:pPr>
      <w:r>
        <w:t xml:space="preserve">managing public resources to enable industry to deliver existing and new services </w:t>
      </w:r>
    </w:p>
    <w:p w14:paraId="1D80C74C" w14:textId="6E28138C" w:rsidR="00014421" w:rsidRDefault="00014421" w:rsidP="009B54D8">
      <w:pPr>
        <w:numPr>
          <w:ilvl w:val="0"/>
          <w:numId w:val="20"/>
        </w:numPr>
        <w:spacing w:after="120" w:line="240" w:lineRule="auto"/>
        <w:ind w:left="357" w:hanging="357"/>
        <w:jc w:val="left"/>
      </w:pPr>
      <w:proofErr w:type="gramStart"/>
      <w:r>
        <w:t>understanding</w:t>
      </w:r>
      <w:proofErr w:type="gramEnd"/>
      <w:r>
        <w:t xml:space="preserve"> the changing communications sector to inform decision-making. </w:t>
      </w:r>
    </w:p>
    <w:p w14:paraId="706A73EA" w14:textId="19076D07" w:rsidR="00014421" w:rsidRPr="008200B4" w:rsidRDefault="00014421" w:rsidP="00014421">
      <w:pPr>
        <w:jc w:val="left"/>
      </w:pPr>
      <w:r>
        <w:t xml:space="preserve">There has been no significant change to the strategic direction of the ACMA from that outlined in the </w:t>
      </w:r>
      <w:r w:rsidR="00852545" w:rsidRPr="006D506E">
        <w:t>2021-22</w:t>
      </w:r>
      <w:r w:rsidR="00852545">
        <w:t xml:space="preserve"> Infrastructure, Transport, Regional Development and Communications PB</w:t>
      </w:r>
      <w:r w:rsidRPr="006D506E">
        <w:t xml:space="preserve"> Statements</w:t>
      </w:r>
      <w:r>
        <w:t>.</w:t>
      </w:r>
    </w:p>
    <w:p w14:paraId="35DDEEDB" w14:textId="3EEDD8E3" w:rsidR="00914885" w:rsidRDefault="00014421" w:rsidP="00014421">
      <w:pPr>
        <w:spacing w:after="0"/>
        <w:jc w:val="left"/>
      </w:pPr>
      <w:r>
        <w:t xml:space="preserve">The </w:t>
      </w:r>
      <w:proofErr w:type="spellStart"/>
      <w:r>
        <w:t>eSafety</w:t>
      </w:r>
      <w:proofErr w:type="spellEnd"/>
      <w:r>
        <w:t xml:space="preserve"> Commissioner is an independent statutory officer. The Office of the </w:t>
      </w:r>
      <w:proofErr w:type="spellStart"/>
      <w:r>
        <w:t>eSafety</w:t>
      </w:r>
      <w:proofErr w:type="spellEnd"/>
      <w:r>
        <w:t xml:space="preserve"> Commissioner (</w:t>
      </w:r>
      <w:proofErr w:type="spellStart"/>
      <w:r>
        <w:t>eSafety</w:t>
      </w:r>
      <w:proofErr w:type="spellEnd"/>
      <w:r>
        <w:t xml:space="preserve">) is committed to empowering all Australians to have safer, more positive experiences online. In accordance with the </w:t>
      </w:r>
      <w:r>
        <w:rPr>
          <w:i/>
        </w:rPr>
        <w:t>Enhancing Online Safety Act 2015</w:t>
      </w:r>
      <w:r>
        <w:t xml:space="preserve">, </w:t>
      </w:r>
      <w:proofErr w:type="spellStart"/>
      <w:r>
        <w:t>eSafety</w:t>
      </w:r>
      <w:proofErr w:type="spellEnd"/>
      <w:r>
        <w:t xml:space="preserve"> aims to support positive online experiences through national leadership, administration of statutory schemes, and education and awareness activities that promote online safety for all Australians.</w:t>
      </w:r>
    </w:p>
    <w:p w14:paraId="1E210860" w14:textId="77777777" w:rsidR="00914885" w:rsidRDefault="00914885" w:rsidP="00914885">
      <w:pPr>
        <w:spacing w:after="0" w:line="240" w:lineRule="auto"/>
        <w:jc w:val="left"/>
        <w:rPr>
          <w:lang w:val="en-US"/>
        </w:rPr>
      </w:pPr>
      <w:r>
        <w:rPr>
          <w:lang w:val="en-US"/>
        </w:rPr>
        <w:br w:type="page"/>
      </w:r>
    </w:p>
    <w:p w14:paraId="7CBBEC7A" w14:textId="2E05C55D" w:rsidR="00914885" w:rsidRPr="004928FF" w:rsidRDefault="00914885" w:rsidP="00040AAA">
      <w:pPr>
        <w:pStyle w:val="Heading3ACMA"/>
      </w:pPr>
      <w:bookmarkStart w:id="394" w:name="_Toc92990344"/>
      <w:r>
        <w:lastRenderedPageBreak/>
        <w:t>1.2</w:t>
      </w:r>
      <w:r>
        <w:tab/>
        <w:t>Entity resource statement</w:t>
      </w:r>
      <w:bookmarkEnd w:id="394"/>
    </w:p>
    <w:p w14:paraId="506BEEF1" w14:textId="4E424D05" w:rsidR="00830B11" w:rsidRPr="003C498E" w:rsidRDefault="00014421" w:rsidP="00074EAB">
      <w:pPr>
        <w:jc w:val="left"/>
      </w:pPr>
      <w:r w:rsidRPr="0044717A">
        <w:t xml:space="preserve">The </w:t>
      </w:r>
      <w:r w:rsidR="005C472A">
        <w:t>ACMA</w:t>
      </w:r>
      <w:r w:rsidRPr="0044717A">
        <w:t xml:space="preserve"> resource statement details the resourcing for </w:t>
      </w:r>
      <w:r>
        <w:t>the ACMA</w:t>
      </w:r>
      <w:r w:rsidRPr="0044717A">
        <w:t xml:space="preserve"> at Additional Estimates. Table 1.1 shows the total resourc</w:t>
      </w:r>
      <w:r>
        <w:t>es from all sources for the 2021-22</w:t>
      </w:r>
      <w:r w:rsidRPr="0044717A">
        <w:t xml:space="preserve"> Budget year, including variat</w:t>
      </w:r>
      <w:r w:rsidR="00161932">
        <w:t>ions through Appropriation Bill</w:t>
      </w:r>
      <w:r w:rsidRPr="0044717A">
        <w:t xml:space="preserve"> No. </w:t>
      </w:r>
      <w:r>
        <w:t>3</w:t>
      </w:r>
      <w:r w:rsidRPr="003C498E">
        <w:t>.</w:t>
      </w:r>
      <w:r w:rsidR="00914885" w:rsidRPr="003C498E">
        <w:t xml:space="preserve"> </w:t>
      </w:r>
    </w:p>
    <w:p w14:paraId="15B310B8" w14:textId="7ACEB88D" w:rsidR="003158AC" w:rsidRPr="003158AC" w:rsidRDefault="003158AC" w:rsidP="003158AC">
      <w:pPr>
        <w:keepNext/>
        <w:spacing w:after="20" w:line="240" w:lineRule="auto"/>
        <w:jc w:val="left"/>
        <w:rPr>
          <w:rFonts w:ascii="Arial" w:hAnsi="Arial"/>
          <w:b/>
          <w:color w:val="000000"/>
          <w:lang w:val="x-none" w:eastAsia="x-none"/>
        </w:rPr>
      </w:pPr>
      <w:r w:rsidRPr="003158AC">
        <w:rPr>
          <w:rFonts w:ascii="Arial" w:hAnsi="Arial"/>
          <w:b/>
          <w:color w:val="000000"/>
          <w:lang w:val="x-none" w:eastAsia="x-none"/>
        </w:rPr>
        <w:t xml:space="preserve">Table 1.1: </w:t>
      </w:r>
      <w:r w:rsidRPr="003158AC">
        <w:rPr>
          <w:rFonts w:ascii="Arial" w:hAnsi="Arial"/>
          <w:b/>
          <w:color w:val="000000"/>
          <w:lang w:eastAsia="x-none"/>
        </w:rPr>
        <w:t>ACMA</w:t>
      </w:r>
      <w:r w:rsidRPr="003158AC">
        <w:rPr>
          <w:rFonts w:ascii="Arial" w:hAnsi="Arial"/>
          <w:b/>
          <w:color w:val="000000"/>
          <w:lang w:val="x-none" w:eastAsia="x-none"/>
        </w:rPr>
        <w:t xml:space="preserve"> resource statement — Additional Estimates for 2021-22 as at</w:t>
      </w:r>
      <w:r w:rsidRPr="003158AC">
        <w:rPr>
          <w:rFonts w:ascii="Arial" w:hAnsi="Arial"/>
          <w:b/>
          <w:color w:val="000000"/>
          <w:lang w:eastAsia="x-none"/>
        </w:rPr>
        <w:t xml:space="preserve"> </w:t>
      </w:r>
      <w:r w:rsidRPr="003158AC">
        <w:rPr>
          <w:rFonts w:ascii="Arial" w:hAnsi="Arial"/>
          <w:b/>
          <w:color w:val="000000"/>
          <w:lang w:val="x-none" w:eastAsia="x-none"/>
        </w:rPr>
        <w:t>February 2022</w:t>
      </w:r>
    </w:p>
    <w:tbl>
      <w:tblPr>
        <w:tblW w:w="7655" w:type="dxa"/>
        <w:tblLook w:val="04A0" w:firstRow="1" w:lastRow="0" w:firstColumn="1" w:lastColumn="0" w:noHBand="0" w:noVBand="1"/>
      </w:tblPr>
      <w:tblGrid>
        <w:gridCol w:w="3402"/>
        <w:gridCol w:w="1150"/>
        <w:gridCol w:w="1066"/>
        <w:gridCol w:w="1009"/>
        <w:gridCol w:w="1028"/>
      </w:tblGrid>
      <w:tr w:rsidR="00830B11" w:rsidRPr="00B22A82" w14:paraId="1C9B9011" w14:textId="77777777" w:rsidTr="00B22A82">
        <w:trPr>
          <w:trHeight w:val="771"/>
        </w:trPr>
        <w:tc>
          <w:tcPr>
            <w:tcW w:w="3402" w:type="dxa"/>
            <w:tcBorders>
              <w:top w:val="single" w:sz="4" w:space="0" w:color="auto"/>
              <w:left w:val="nil"/>
              <w:bottom w:val="nil"/>
              <w:right w:val="nil"/>
            </w:tcBorders>
            <w:shd w:val="clear" w:color="000000" w:fill="FFFFFF"/>
            <w:vAlign w:val="bottom"/>
            <w:hideMark/>
          </w:tcPr>
          <w:p w14:paraId="3D1BE58B" w14:textId="77777777" w:rsidR="00830B11" w:rsidRPr="00B22A82" w:rsidRDefault="00830B11" w:rsidP="004C6D93">
            <w:pPr>
              <w:spacing w:after="0" w:line="240" w:lineRule="auto"/>
              <w:jc w:val="left"/>
              <w:rPr>
                <w:rFonts w:ascii="Arial" w:hAnsi="Arial" w:cs="Arial"/>
                <w:color w:val="000000"/>
                <w:sz w:val="16"/>
                <w:szCs w:val="16"/>
              </w:rPr>
            </w:pPr>
            <w:r w:rsidRPr="00B22A82">
              <w:rPr>
                <w:rFonts w:ascii="Arial" w:hAnsi="Arial" w:cs="Arial"/>
                <w:color w:val="000000"/>
                <w:sz w:val="16"/>
                <w:szCs w:val="16"/>
              </w:rPr>
              <w:t> </w:t>
            </w:r>
          </w:p>
        </w:tc>
        <w:tc>
          <w:tcPr>
            <w:tcW w:w="1150" w:type="dxa"/>
            <w:tcBorders>
              <w:top w:val="single" w:sz="4" w:space="0" w:color="auto"/>
              <w:left w:val="nil"/>
              <w:bottom w:val="single" w:sz="4" w:space="0" w:color="auto"/>
              <w:right w:val="nil"/>
            </w:tcBorders>
            <w:shd w:val="clear" w:color="000000" w:fill="FFFFFF"/>
            <w:vAlign w:val="bottom"/>
            <w:hideMark/>
          </w:tcPr>
          <w:p w14:paraId="7241E720" w14:textId="77777777" w:rsidR="00830B11" w:rsidRPr="00B22A82" w:rsidRDefault="00830B11" w:rsidP="004C6D93">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Actual</w:t>
            </w:r>
            <w:r w:rsidRPr="00B22A82">
              <w:rPr>
                <w:rFonts w:ascii="Arial" w:hAnsi="Arial" w:cs="Arial"/>
                <w:iCs/>
                <w:color w:val="000000"/>
                <w:sz w:val="16"/>
                <w:szCs w:val="16"/>
              </w:rPr>
              <w:br/>
              <w:t>available</w:t>
            </w:r>
            <w:r w:rsidRPr="00B22A82">
              <w:rPr>
                <w:rFonts w:ascii="Arial" w:hAnsi="Arial" w:cs="Arial"/>
                <w:iCs/>
                <w:color w:val="000000"/>
                <w:sz w:val="16"/>
                <w:szCs w:val="16"/>
              </w:rPr>
              <w:br/>
              <w:t>appropriation</w:t>
            </w:r>
            <w:r w:rsidRPr="00B22A82">
              <w:rPr>
                <w:rFonts w:ascii="Arial" w:hAnsi="Arial" w:cs="Arial"/>
                <w:iCs/>
                <w:color w:val="000000"/>
                <w:sz w:val="16"/>
                <w:szCs w:val="16"/>
              </w:rPr>
              <w:br/>
            </w:r>
            <w:r w:rsidRPr="00B22A82">
              <w:rPr>
                <w:rFonts w:ascii="Arial" w:hAnsi="Arial" w:cs="Arial"/>
                <w:iCs/>
                <w:color w:val="000000"/>
                <w:sz w:val="16"/>
                <w:szCs w:val="16"/>
              </w:rPr>
              <w:br/>
              <w:t>2020-21</w:t>
            </w:r>
            <w:r w:rsidRPr="00B22A82">
              <w:rPr>
                <w:rFonts w:ascii="Arial" w:hAnsi="Arial" w:cs="Arial"/>
                <w:iCs/>
                <w:color w:val="000000"/>
                <w:sz w:val="16"/>
                <w:szCs w:val="16"/>
              </w:rPr>
              <w:br/>
              <w:t>$'000</w:t>
            </w:r>
          </w:p>
        </w:tc>
        <w:tc>
          <w:tcPr>
            <w:tcW w:w="1066" w:type="dxa"/>
            <w:tcBorders>
              <w:top w:val="single" w:sz="4" w:space="0" w:color="auto"/>
              <w:left w:val="nil"/>
              <w:bottom w:val="single" w:sz="4" w:space="0" w:color="auto"/>
              <w:right w:val="nil"/>
            </w:tcBorders>
            <w:shd w:val="clear" w:color="000000" w:fill="FFFFFF"/>
            <w:vAlign w:val="bottom"/>
            <w:hideMark/>
          </w:tcPr>
          <w:p w14:paraId="654CAA76" w14:textId="77777777" w:rsidR="00830B11" w:rsidRPr="00B22A82" w:rsidRDefault="00830B11" w:rsidP="004C6D93">
            <w:pPr>
              <w:spacing w:after="0" w:line="240" w:lineRule="auto"/>
              <w:jc w:val="right"/>
              <w:rPr>
                <w:rFonts w:ascii="Arial" w:hAnsi="Arial" w:cs="Arial"/>
                <w:color w:val="000000"/>
                <w:sz w:val="16"/>
                <w:szCs w:val="16"/>
              </w:rPr>
            </w:pPr>
            <w:r w:rsidRPr="00B22A82">
              <w:rPr>
                <w:rFonts w:ascii="Arial" w:hAnsi="Arial" w:cs="Arial"/>
                <w:color w:val="000000"/>
                <w:sz w:val="16"/>
                <w:szCs w:val="16"/>
              </w:rPr>
              <w:t>Estimate</w:t>
            </w:r>
            <w:r w:rsidRPr="00B22A82">
              <w:rPr>
                <w:rFonts w:ascii="Arial" w:hAnsi="Arial" w:cs="Arial"/>
                <w:color w:val="000000"/>
                <w:sz w:val="16"/>
                <w:szCs w:val="16"/>
              </w:rPr>
              <w:br/>
              <w:t>as at</w:t>
            </w:r>
            <w:r w:rsidRPr="00B22A82">
              <w:rPr>
                <w:rFonts w:ascii="Arial" w:hAnsi="Arial" w:cs="Arial"/>
                <w:color w:val="000000"/>
                <w:sz w:val="16"/>
                <w:szCs w:val="16"/>
              </w:rPr>
              <w:br/>
              <w:t>Budget</w:t>
            </w:r>
            <w:r w:rsidRPr="00B22A82">
              <w:rPr>
                <w:rFonts w:ascii="Arial" w:hAnsi="Arial" w:cs="Arial"/>
                <w:color w:val="000000"/>
                <w:sz w:val="16"/>
                <w:szCs w:val="16"/>
              </w:rPr>
              <w:br/>
            </w:r>
            <w:r w:rsidRPr="00B22A82">
              <w:rPr>
                <w:rFonts w:ascii="Arial" w:hAnsi="Arial" w:cs="Arial"/>
                <w:color w:val="000000"/>
                <w:sz w:val="16"/>
                <w:szCs w:val="16"/>
              </w:rPr>
              <w:br/>
              <w:t>2021-22</w:t>
            </w:r>
            <w:r w:rsidRPr="00B22A82">
              <w:rPr>
                <w:rFonts w:ascii="Arial" w:hAnsi="Arial" w:cs="Arial"/>
                <w:color w:val="000000"/>
                <w:sz w:val="16"/>
                <w:szCs w:val="16"/>
              </w:rPr>
              <w:br/>
              <w:t>$'000</w:t>
            </w:r>
          </w:p>
        </w:tc>
        <w:tc>
          <w:tcPr>
            <w:tcW w:w="1009" w:type="dxa"/>
            <w:tcBorders>
              <w:top w:val="single" w:sz="4" w:space="0" w:color="auto"/>
              <w:left w:val="nil"/>
              <w:bottom w:val="single" w:sz="4" w:space="0" w:color="auto"/>
              <w:right w:val="nil"/>
            </w:tcBorders>
            <w:shd w:val="clear" w:color="000000" w:fill="FFFFFF"/>
            <w:vAlign w:val="bottom"/>
            <w:hideMark/>
          </w:tcPr>
          <w:p w14:paraId="49346A2D" w14:textId="77777777" w:rsidR="00830B11" w:rsidRPr="00B22A82" w:rsidRDefault="00830B11" w:rsidP="004C6D93">
            <w:pPr>
              <w:spacing w:after="0" w:line="240" w:lineRule="auto"/>
              <w:jc w:val="right"/>
              <w:rPr>
                <w:rFonts w:ascii="Arial" w:hAnsi="Arial" w:cs="Arial"/>
                <w:color w:val="000000"/>
                <w:sz w:val="16"/>
                <w:szCs w:val="16"/>
              </w:rPr>
            </w:pPr>
            <w:r w:rsidRPr="00B22A82">
              <w:rPr>
                <w:rFonts w:ascii="Arial" w:hAnsi="Arial" w:cs="Arial"/>
                <w:color w:val="000000"/>
                <w:sz w:val="16"/>
                <w:szCs w:val="16"/>
              </w:rPr>
              <w:t>Proposed</w:t>
            </w:r>
            <w:r w:rsidRPr="00B22A82">
              <w:rPr>
                <w:rFonts w:ascii="Arial" w:hAnsi="Arial" w:cs="Arial"/>
                <w:color w:val="000000"/>
                <w:sz w:val="16"/>
                <w:szCs w:val="16"/>
              </w:rPr>
              <w:br/>
              <w:t>Additional</w:t>
            </w:r>
            <w:r w:rsidRPr="00B22A82">
              <w:rPr>
                <w:rFonts w:ascii="Arial" w:hAnsi="Arial" w:cs="Arial"/>
                <w:color w:val="000000"/>
                <w:sz w:val="16"/>
                <w:szCs w:val="16"/>
              </w:rPr>
              <w:br/>
              <w:t>Estimates</w:t>
            </w:r>
            <w:r w:rsidRPr="00B22A82">
              <w:rPr>
                <w:rFonts w:ascii="Arial" w:hAnsi="Arial" w:cs="Arial"/>
                <w:color w:val="000000"/>
                <w:sz w:val="16"/>
                <w:szCs w:val="16"/>
              </w:rPr>
              <w:br/>
            </w:r>
            <w:r w:rsidRPr="00B22A82">
              <w:rPr>
                <w:rFonts w:ascii="Arial" w:hAnsi="Arial" w:cs="Arial"/>
                <w:color w:val="000000"/>
                <w:sz w:val="16"/>
                <w:szCs w:val="16"/>
              </w:rPr>
              <w:br/>
              <w:t>2021-22</w:t>
            </w:r>
            <w:r w:rsidRPr="00B22A82">
              <w:rPr>
                <w:rFonts w:ascii="Arial" w:hAnsi="Arial" w:cs="Arial"/>
                <w:color w:val="000000"/>
                <w:sz w:val="16"/>
                <w:szCs w:val="16"/>
              </w:rPr>
              <w:br/>
              <w:t>$'000</w:t>
            </w:r>
          </w:p>
        </w:tc>
        <w:tc>
          <w:tcPr>
            <w:tcW w:w="1028" w:type="dxa"/>
            <w:tcBorders>
              <w:top w:val="single" w:sz="4" w:space="0" w:color="auto"/>
              <w:left w:val="nil"/>
              <w:bottom w:val="single" w:sz="4" w:space="0" w:color="auto"/>
              <w:right w:val="nil"/>
            </w:tcBorders>
            <w:shd w:val="clear" w:color="000000" w:fill="E6E6E6"/>
            <w:vAlign w:val="bottom"/>
            <w:hideMark/>
          </w:tcPr>
          <w:p w14:paraId="7ADA1D1B" w14:textId="77777777" w:rsidR="00830B11" w:rsidRPr="00B22A82" w:rsidRDefault="00830B11" w:rsidP="004C6D93">
            <w:pPr>
              <w:spacing w:after="0" w:line="240" w:lineRule="auto"/>
              <w:jc w:val="right"/>
              <w:rPr>
                <w:rFonts w:ascii="Arial" w:hAnsi="Arial" w:cs="Arial"/>
                <w:color w:val="000000"/>
                <w:sz w:val="16"/>
                <w:szCs w:val="16"/>
              </w:rPr>
            </w:pPr>
            <w:r w:rsidRPr="00B22A82">
              <w:rPr>
                <w:rFonts w:ascii="Arial" w:hAnsi="Arial" w:cs="Arial"/>
                <w:color w:val="000000"/>
                <w:sz w:val="16"/>
                <w:szCs w:val="16"/>
              </w:rPr>
              <w:t>Total</w:t>
            </w:r>
            <w:r w:rsidRPr="00B22A82">
              <w:rPr>
                <w:rFonts w:ascii="Arial" w:hAnsi="Arial" w:cs="Arial"/>
                <w:color w:val="000000"/>
                <w:sz w:val="16"/>
                <w:szCs w:val="16"/>
              </w:rPr>
              <w:br/>
              <w:t>estimate at</w:t>
            </w:r>
            <w:r w:rsidRPr="00B22A82">
              <w:rPr>
                <w:rFonts w:ascii="Arial" w:hAnsi="Arial" w:cs="Arial"/>
                <w:color w:val="000000"/>
                <w:sz w:val="16"/>
                <w:szCs w:val="16"/>
              </w:rPr>
              <w:br/>
              <w:t>Additional</w:t>
            </w:r>
            <w:r w:rsidRPr="00B22A82">
              <w:rPr>
                <w:rFonts w:ascii="Arial" w:hAnsi="Arial" w:cs="Arial"/>
                <w:color w:val="000000"/>
                <w:sz w:val="16"/>
                <w:szCs w:val="16"/>
              </w:rPr>
              <w:br/>
              <w:t>Estimates</w:t>
            </w:r>
            <w:r w:rsidRPr="00B22A82">
              <w:rPr>
                <w:rFonts w:ascii="Arial" w:hAnsi="Arial" w:cs="Arial"/>
                <w:color w:val="000000"/>
                <w:sz w:val="16"/>
                <w:szCs w:val="16"/>
              </w:rPr>
              <w:br/>
              <w:t>2021-22</w:t>
            </w:r>
            <w:r w:rsidRPr="00B22A82">
              <w:rPr>
                <w:rFonts w:ascii="Arial" w:hAnsi="Arial" w:cs="Arial"/>
                <w:color w:val="000000"/>
                <w:sz w:val="16"/>
                <w:szCs w:val="16"/>
              </w:rPr>
              <w:br/>
              <w:t>$'000</w:t>
            </w:r>
          </w:p>
        </w:tc>
      </w:tr>
      <w:tr w:rsidR="00830B11" w:rsidRPr="00B22A82" w14:paraId="29FC0804" w14:textId="77777777" w:rsidTr="00B22A82">
        <w:trPr>
          <w:trHeight w:val="204"/>
        </w:trPr>
        <w:tc>
          <w:tcPr>
            <w:tcW w:w="3402" w:type="dxa"/>
            <w:tcBorders>
              <w:top w:val="nil"/>
              <w:left w:val="nil"/>
              <w:bottom w:val="nil"/>
              <w:right w:val="nil"/>
            </w:tcBorders>
            <w:shd w:val="clear" w:color="000000" w:fill="FFFFFF"/>
            <w:vAlign w:val="bottom"/>
            <w:hideMark/>
          </w:tcPr>
          <w:p w14:paraId="16F2AE60" w14:textId="5C551A05" w:rsidR="00830B11" w:rsidRPr="00B22A82" w:rsidRDefault="008863D9" w:rsidP="004C6D93">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830B11" w:rsidRPr="00B22A82">
              <w:rPr>
                <w:rFonts w:ascii="Arial" w:hAnsi="Arial" w:cs="Arial"/>
                <w:b/>
                <w:bCs/>
                <w:color w:val="000000"/>
                <w:sz w:val="16"/>
                <w:szCs w:val="16"/>
              </w:rPr>
              <w:t>al</w:t>
            </w:r>
          </w:p>
        </w:tc>
        <w:tc>
          <w:tcPr>
            <w:tcW w:w="1150" w:type="dxa"/>
            <w:tcBorders>
              <w:top w:val="nil"/>
              <w:left w:val="nil"/>
              <w:bottom w:val="nil"/>
              <w:right w:val="nil"/>
            </w:tcBorders>
            <w:shd w:val="clear" w:color="000000" w:fill="FFFFFF"/>
            <w:vAlign w:val="bottom"/>
            <w:hideMark/>
          </w:tcPr>
          <w:p w14:paraId="77185650" w14:textId="6B31CBC1" w:rsidR="00830B11" w:rsidRPr="00B22A82" w:rsidRDefault="00830B11" w:rsidP="00C3755A">
            <w:pPr>
              <w:spacing w:after="0" w:line="240" w:lineRule="auto"/>
              <w:jc w:val="right"/>
              <w:rPr>
                <w:rFonts w:ascii="Arial" w:hAnsi="Arial" w:cs="Arial"/>
                <w:iCs/>
                <w:color w:val="000000"/>
                <w:sz w:val="16"/>
                <w:szCs w:val="16"/>
              </w:rPr>
            </w:pPr>
          </w:p>
        </w:tc>
        <w:tc>
          <w:tcPr>
            <w:tcW w:w="1066" w:type="dxa"/>
            <w:tcBorders>
              <w:top w:val="nil"/>
              <w:left w:val="nil"/>
              <w:bottom w:val="nil"/>
              <w:right w:val="nil"/>
            </w:tcBorders>
            <w:shd w:val="clear" w:color="000000" w:fill="FFFFFF"/>
            <w:vAlign w:val="bottom"/>
            <w:hideMark/>
          </w:tcPr>
          <w:p w14:paraId="7BB4392A" w14:textId="7062A3BF" w:rsidR="00830B11" w:rsidRPr="00B22A82" w:rsidRDefault="00830B11" w:rsidP="00C3755A">
            <w:pPr>
              <w:spacing w:after="0" w:line="240" w:lineRule="auto"/>
              <w:jc w:val="right"/>
              <w:rPr>
                <w:rFonts w:ascii="Arial" w:hAnsi="Arial" w:cs="Arial"/>
                <w:iCs/>
                <w:color w:val="000000"/>
                <w:sz w:val="16"/>
                <w:szCs w:val="16"/>
              </w:rPr>
            </w:pPr>
          </w:p>
        </w:tc>
        <w:tc>
          <w:tcPr>
            <w:tcW w:w="1009" w:type="dxa"/>
            <w:tcBorders>
              <w:top w:val="nil"/>
              <w:left w:val="nil"/>
              <w:bottom w:val="nil"/>
              <w:right w:val="nil"/>
            </w:tcBorders>
            <w:shd w:val="clear" w:color="000000" w:fill="FFFFFF"/>
            <w:vAlign w:val="bottom"/>
            <w:hideMark/>
          </w:tcPr>
          <w:p w14:paraId="4C01F512" w14:textId="1330D83E" w:rsidR="00830B11" w:rsidRPr="00B22A82" w:rsidRDefault="00830B11" w:rsidP="00C3755A">
            <w:pPr>
              <w:spacing w:after="0" w:line="240" w:lineRule="auto"/>
              <w:jc w:val="right"/>
              <w:rPr>
                <w:rFonts w:ascii="Arial" w:hAnsi="Arial" w:cs="Arial"/>
                <w:iCs/>
                <w:color w:val="000000"/>
                <w:sz w:val="16"/>
                <w:szCs w:val="16"/>
              </w:rPr>
            </w:pPr>
          </w:p>
        </w:tc>
        <w:tc>
          <w:tcPr>
            <w:tcW w:w="1028" w:type="dxa"/>
            <w:tcBorders>
              <w:top w:val="nil"/>
              <w:left w:val="nil"/>
              <w:bottom w:val="nil"/>
              <w:right w:val="nil"/>
            </w:tcBorders>
            <w:shd w:val="clear" w:color="000000" w:fill="E6E6E6"/>
            <w:vAlign w:val="bottom"/>
            <w:hideMark/>
          </w:tcPr>
          <w:p w14:paraId="02239447" w14:textId="53E46DC2" w:rsidR="00830B11" w:rsidRPr="00B22A82" w:rsidRDefault="00830B11" w:rsidP="00C3755A">
            <w:pPr>
              <w:spacing w:after="0" w:line="240" w:lineRule="auto"/>
              <w:jc w:val="right"/>
              <w:rPr>
                <w:rFonts w:ascii="Arial" w:hAnsi="Arial" w:cs="Arial"/>
                <w:color w:val="000000"/>
                <w:sz w:val="16"/>
                <w:szCs w:val="16"/>
              </w:rPr>
            </w:pPr>
          </w:p>
        </w:tc>
      </w:tr>
      <w:tr w:rsidR="00830B11" w:rsidRPr="00B22A82" w14:paraId="25802092" w14:textId="77777777" w:rsidTr="00B22A82">
        <w:trPr>
          <w:trHeight w:val="204"/>
        </w:trPr>
        <w:tc>
          <w:tcPr>
            <w:tcW w:w="3402" w:type="dxa"/>
            <w:tcBorders>
              <w:top w:val="nil"/>
              <w:left w:val="nil"/>
              <w:bottom w:val="nil"/>
              <w:right w:val="nil"/>
            </w:tcBorders>
            <w:shd w:val="clear" w:color="000000" w:fill="FFFFFF"/>
            <w:vAlign w:val="bottom"/>
            <w:hideMark/>
          </w:tcPr>
          <w:p w14:paraId="44CC38FA" w14:textId="77777777" w:rsidR="00830B11" w:rsidRPr="00B22A82" w:rsidRDefault="00830B11" w:rsidP="004C6D93">
            <w:pPr>
              <w:spacing w:after="0" w:line="240" w:lineRule="auto"/>
              <w:jc w:val="left"/>
              <w:rPr>
                <w:rFonts w:ascii="Arial" w:hAnsi="Arial" w:cs="Arial"/>
                <w:color w:val="000000"/>
                <w:sz w:val="16"/>
                <w:szCs w:val="16"/>
              </w:rPr>
            </w:pPr>
            <w:r w:rsidRPr="00B22A82">
              <w:rPr>
                <w:rFonts w:ascii="Arial" w:hAnsi="Arial" w:cs="Arial"/>
                <w:color w:val="000000"/>
                <w:sz w:val="16"/>
                <w:szCs w:val="16"/>
              </w:rPr>
              <w:t xml:space="preserve">Annual appropriations - ordinary annual services </w:t>
            </w:r>
            <w:r w:rsidRPr="00B22A82">
              <w:rPr>
                <w:rFonts w:ascii="Arial" w:hAnsi="Arial" w:cs="Arial"/>
                <w:color w:val="000000"/>
                <w:sz w:val="16"/>
                <w:szCs w:val="16"/>
                <w:vertAlign w:val="superscript"/>
              </w:rPr>
              <w:t>(a)</w:t>
            </w:r>
          </w:p>
        </w:tc>
        <w:tc>
          <w:tcPr>
            <w:tcW w:w="1150" w:type="dxa"/>
            <w:tcBorders>
              <w:top w:val="nil"/>
              <w:left w:val="nil"/>
              <w:bottom w:val="nil"/>
              <w:right w:val="nil"/>
            </w:tcBorders>
            <w:shd w:val="clear" w:color="000000" w:fill="FFFFFF"/>
            <w:vAlign w:val="bottom"/>
            <w:hideMark/>
          </w:tcPr>
          <w:p w14:paraId="69B2B026" w14:textId="7D537DE5" w:rsidR="00830B11" w:rsidRPr="00B22A82" w:rsidRDefault="00830B11" w:rsidP="00C3755A">
            <w:pPr>
              <w:spacing w:after="0" w:line="240" w:lineRule="auto"/>
              <w:jc w:val="right"/>
              <w:rPr>
                <w:rFonts w:ascii="Arial" w:hAnsi="Arial" w:cs="Arial"/>
                <w:iCs/>
                <w:color w:val="000000"/>
                <w:sz w:val="16"/>
                <w:szCs w:val="16"/>
              </w:rPr>
            </w:pPr>
          </w:p>
        </w:tc>
        <w:tc>
          <w:tcPr>
            <w:tcW w:w="1066" w:type="dxa"/>
            <w:tcBorders>
              <w:top w:val="nil"/>
              <w:left w:val="nil"/>
              <w:bottom w:val="nil"/>
              <w:right w:val="nil"/>
            </w:tcBorders>
            <w:shd w:val="clear" w:color="000000" w:fill="FFFFFF"/>
            <w:vAlign w:val="bottom"/>
            <w:hideMark/>
          </w:tcPr>
          <w:p w14:paraId="071CA023" w14:textId="0711B2E8" w:rsidR="00830B11" w:rsidRPr="00B22A82" w:rsidRDefault="00830B11" w:rsidP="00C3755A">
            <w:pPr>
              <w:spacing w:after="0" w:line="240" w:lineRule="auto"/>
              <w:jc w:val="right"/>
              <w:rPr>
                <w:rFonts w:ascii="Arial" w:hAnsi="Arial" w:cs="Arial"/>
                <w:iCs/>
                <w:color w:val="000000"/>
                <w:sz w:val="16"/>
                <w:szCs w:val="16"/>
              </w:rPr>
            </w:pPr>
          </w:p>
        </w:tc>
        <w:tc>
          <w:tcPr>
            <w:tcW w:w="1009" w:type="dxa"/>
            <w:tcBorders>
              <w:top w:val="nil"/>
              <w:left w:val="nil"/>
              <w:bottom w:val="nil"/>
              <w:right w:val="nil"/>
            </w:tcBorders>
            <w:shd w:val="clear" w:color="000000" w:fill="FFFFFF"/>
            <w:vAlign w:val="bottom"/>
            <w:hideMark/>
          </w:tcPr>
          <w:p w14:paraId="70381BA1" w14:textId="4D09135F" w:rsidR="00830B11" w:rsidRPr="00B22A82" w:rsidRDefault="00830B11" w:rsidP="00C3755A">
            <w:pPr>
              <w:spacing w:after="0" w:line="240" w:lineRule="auto"/>
              <w:jc w:val="right"/>
              <w:rPr>
                <w:rFonts w:ascii="Arial" w:hAnsi="Arial" w:cs="Arial"/>
                <w:iCs/>
                <w:color w:val="000000"/>
                <w:sz w:val="16"/>
                <w:szCs w:val="16"/>
              </w:rPr>
            </w:pPr>
          </w:p>
        </w:tc>
        <w:tc>
          <w:tcPr>
            <w:tcW w:w="1028" w:type="dxa"/>
            <w:tcBorders>
              <w:top w:val="nil"/>
              <w:left w:val="nil"/>
              <w:bottom w:val="nil"/>
              <w:right w:val="nil"/>
            </w:tcBorders>
            <w:shd w:val="clear" w:color="000000" w:fill="E6E6E6"/>
            <w:vAlign w:val="bottom"/>
            <w:hideMark/>
          </w:tcPr>
          <w:p w14:paraId="3388E32E" w14:textId="7038F9FA" w:rsidR="00830B11" w:rsidRPr="00B22A82" w:rsidRDefault="00830B11" w:rsidP="00C3755A">
            <w:pPr>
              <w:spacing w:after="0" w:line="240" w:lineRule="auto"/>
              <w:jc w:val="right"/>
              <w:rPr>
                <w:rFonts w:ascii="Arial" w:hAnsi="Arial" w:cs="Arial"/>
                <w:color w:val="000000"/>
                <w:sz w:val="16"/>
                <w:szCs w:val="16"/>
              </w:rPr>
            </w:pPr>
          </w:p>
        </w:tc>
      </w:tr>
      <w:tr w:rsidR="00830B11" w:rsidRPr="00B22A82" w14:paraId="1069A7C5" w14:textId="77777777" w:rsidTr="00B22A82">
        <w:trPr>
          <w:trHeight w:val="204"/>
        </w:trPr>
        <w:tc>
          <w:tcPr>
            <w:tcW w:w="3402" w:type="dxa"/>
            <w:tcBorders>
              <w:top w:val="nil"/>
              <w:left w:val="nil"/>
              <w:bottom w:val="nil"/>
              <w:right w:val="nil"/>
            </w:tcBorders>
            <w:shd w:val="clear" w:color="000000" w:fill="FFFFFF"/>
            <w:vAlign w:val="bottom"/>
            <w:hideMark/>
          </w:tcPr>
          <w:p w14:paraId="3F6E581B" w14:textId="00134DC1" w:rsidR="00830B11" w:rsidRPr="00B22A82" w:rsidRDefault="00830B11" w:rsidP="003374C0">
            <w:pPr>
              <w:spacing w:after="0" w:line="240" w:lineRule="auto"/>
              <w:ind w:left="113"/>
              <w:jc w:val="left"/>
              <w:rPr>
                <w:rFonts w:ascii="Arial" w:hAnsi="Arial" w:cs="Arial"/>
                <w:color w:val="000000"/>
                <w:sz w:val="16"/>
                <w:szCs w:val="16"/>
              </w:rPr>
            </w:pPr>
            <w:r w:rsidRPr="00B22A82">
              <w:rPr>
                <w:rFonts w:ascii="Arial" w:hAnsi="Arial" w:cs="Arial"/>
                <w:color w:val="000000"/>
                <w:sz w:val="16"/>
                <w:szCs w:val="16"/>
              </w:rPr>
              <w:t>Prior year appropriations available</w:t>
            </w:r>
          </w:p>
        </w:tc>
        <w:tc>
          <w:tcPr>
            <w:tcW w:w="1150" w:type="dxa"/>
            <w:tcBorders>
              <w:top w:val="nil"/>
              <w:left w:val="nil"/>
              <w:bottom w:val="nil"/>
              <w:right w:val="nil"/>
            </w:tcBorders>
            <w:shd w:val="clear" w:color="auto" w:fill="auto"/>
            <w:vAlign w:val="bottom"/>
            <w:hideMark/>
          </w:tcPr>
          <w:p w14:paraId="0736E033" w14:textId="54DADD30"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34,410</w:t>
            </w:r>
          </w:p>
        </w:tc>
        <w:tc>
          <w:tcPr>
            <w:tcW w:w="1066" w:type="dxa"/>
            <w:tcBorders>
              <w:top w:val="nil"/>
              <w:left w:val="nil"/>
              <w:bottom w:val="nil"/>
              <w:right w:val="nil"/>
            </w:tcBorders>
            <w:shd w:val="clear" w:color="000000" w:fill="FFFFFF"/>
            <w:vAlign w:val="bottom"/>
            <w:hideMark/>
          </w:tcPr>
          <w:p w14:paraId="5F43B694" w14:textId="6B644D88"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34,325</w:t>
            </w:r>
          </w:p>
        </w:tc>
        <w:tc>
          <w:tcPr>
            <w:tcW w:w="1009" w:type="dxa"/>
            <w:tcBorders>
              <w:top w:val="nil"/>
              <w:left w:val="nil"/>
              <w:bottom w:val="nil"/>
              <w:right w:val="nil"/>
            </w:tcBorders>
            <w:shd w:val="clear" w:color="000000" w:fill="FFFFFF"/>
            <w:vAlign w:val="bottom"/>
            <w:hideMark/>
          </w:tcPr>
          <w:p w14:paraId="43C0327E" w14:textId="01FF451C"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nil"/>
              <w:left w:val="nil"/>
              <w:bottom w:val="nil"/>
              <w:right w:val="nil"/>
            </w:tcBorders>
            <w:shd w:val="clear" w:color="000000" w:fill="E6E6E6"/>
            <w:vAlign w:val="bottom"/>
            <w:hideMark/>
          </w:tcPr>
          <w:p w14:paraId="3F5DE6BD" w14:textId="390AE976"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34,325</w:t>
            </w:r>
          </w:p>
        </w:tc>
      </w:tr>
      <w:tr w:rsidR="00830B11" w:rsidRPr="00B22A82" w14:paraId="5FEA9821" w14:textId="77777777" w:rsidTr="00B22A82">
        <w:trPr>
          <w:trHeight w:val="204"/>
        </w:trPr>
        <w:tc>
          <w:tcPr>
            <w:tcW w:w="3402" w:type="dxa"/>
            <w:tcBorders>
              <w:top w:val="nil"/>
              <w:left w:val="nil"/>
              <w:bottom w:val="nil"/>
              <w:right w:val="nil"/>
            </w:tcBorders>
            <w:shd w:val="clear" w:color="000000" w:fill="FFFFFF"/>
            <w:vAlign w:val="bottom"/>
            <w:hideMark/>
          </w:tcPr>
          <w:p w14:paraId="4055F281" w14:textId="31B26573" w:rsidR="00830B11" w:rsidRPr="00B22A82" w:rsidRDefault="008863D9" w:rsidP="003374C0">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00830B11" w:rsidRPr="00B22A82">
              <w:rPr>
                <w:rFonts w:ascii="Arial" w:hAnsi="Arial" w:cs="Arial"/>
                <w:color w:val="000000"/>
                <w:sz w:val="16"/>
                <w:szCs w:val="16"/>
              </w:rPr>
              <w:t xml:space="preserve">al appropriation </w:t>
            </w:r>
            <w:r w:rsidR="00830B11" w:rsidRPr="00B22A82">
              <w:rPr>
                <w:rFonts w:ascii="Arial" w:hAnsi="Arial" w:cs="Arial"/>
                <w:color w:val="000000"/>
                <w:sz w:val="16"/>
                <w:szCs w:val="16"/>
                <w:vertAlign w:val="superscript"/>
              </w:rPr>
              <w:t>(b)</w:t>
            </w:r>
          </w:p>
        </w:tc>
        <w:tc>
          <w:tcPr>
            <w:tcW w:w="1150" w:type="dxa"/>
            <w:tcBorders>
              <w:top w:val="nil"/>
              <w:left w:val="nil"/>
              <w:bottom w:val="nil"/>
              <w:right w:val="nil"/>
            </w:tcBorders>
            <w:shd w:val="clear" w:color="000000" w:fill="FFFFFF"/>
            <w:vAlign w:val="bottom"/>
            <w:hideMark/>
          </w:tcPr>
          <w:p w14:paraId="3C4512B5" w14:textId="72AB26BD"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101,006</w:t>
            </w:r>
          </w:p>
        </w:tc>
        <w:tc>
          <w:tcPr>
            <w:tcW w:w="1066" w:type="dxa"/>
            <w:tcBorders>
              <w:top w:val="nil"/>
              <w:left w:val="nil"/>
              <w:bottom w:val="nil"/>
              <w:right w:val="nil"/>
            </w:tcBorders>
            <w:shd w:val="clear" w:color="000000" w:fill="FFFFFF"/>
            <w:vAlign w:val="bottom"/>
            <w:hideMark/>
          </w:tcPr>
          <w:p w14:paraId="40EB8D69" w14:textId="2AFA0D75"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119,869</w:t>
            </w:r>
          </w:p>
        </w:tc>
        <w:tc>
          <w:tcPr>
            <w:tcW w:w="1009" w:type="dxa"/>
            <w:tcBorders>
              <w:top w:val="nil"/>
              <w:left w:val="nil"/>
              <w:bottom w:val="nil"/>
              <w:right w:val="nil"/>
            </w:tcBorders>
            <w:shd w:val="clear" w:color="000000" w:fill="FFFFFF"/>
            <w:vAlign w:val="bottom"/>
            <w:hideMark/>
          </w:tcPr>
          <w:p w14:paraId="279CBEF3" w14:textId="55E31174"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1,513</w:t>
            </w:r>
          </w:p>
        </w:tc>
        <w:tc>
          <w:tcPr>
            <w:tcW w:w="1028" w:type="dxa"/>
            <w:tcBorders>
              <w:top w:val="nil"/>
              <w:left w:val="nil"/>
              <w:bottom w:val="nil"/>
              <w:right w:val="nil"/>
            </w:tcBorders>
            <w:shd w:val="clear" w:color="000000" w:fill="E6E6E6"/>
            <w:vAlign w:val="bottom"/>
            <w:hideMark/>
          </w:tcPr>
          <w:p w14:paraId="435646E5" w14:textId="032161B7"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121,382</w:t>
            </w:r>
          </w:p>
        </w:tc>
      </w:tr>
      <w:tr w:rsidR="00830B11" w:rsidRPr="00B22A82" w14:paraId="45B3F078" w14:textId="77777777" w:rsidTr="00B22A82">
        <w:trPr>
          <w:trHeight w:val="204"/>
        </w:trPr>
        <w:tc>
          <w:tcPr>
            <w:tcW w:w="3402" w:type="dxa"/>
            <w:tcBorders>
              <w:top w:val="nil"/>
              <w:left w:val="nil"/>
              <w:bottom w:val="nil"/>
              <w:right w:val="nil"/>
            </w:tcBorders>
            <w:shd w:val="clear" w:color="000000" w:fill="FFFFFF"/>
            <w:vAlign w:val="bottom"/>
            <w:hideMark/>
          </w:tcPr>
          <w:p w14:paraId="45DB1B21" w14:textId="2BF2F056" w:rsidR="00830B11" w:rsidRPr="00B22A82" w:rsidRDefault="00830B11" w:rsidP="003374C0">
            <w:pPr>
              <w:spacing w:after="0" w:line="240" w:lineRule="auto"/>
              <w:ind w:left="113"/>
              <w:jc w:val="left"/>
              <w:rPr>
                <w:rFonts w:ascii="Arial" w:hAnsi="Arial" w:cs="Arial"/>
                <w:color w:val="000000"/>
                <w:sz w:val="16"/>
                <w:szCs w:val="16"/>
              </w:rPr>
            </w:pPr>
            <w:r w:rsidRPr="00B22A82">
              <w:rPr>
                <w:rFonts w:ascii="Arial" w:hAnsi="Arial" w:cs="Arial"/>
                <w:color w:val="000000"/>
                <w:sz w:val="16"/>
                <w:szCs w:val="16"/>
              </w:rPr>
              <w:t xml:space="preserve">s74 External Revenue </w:t>
            </w:r>
            <w:r w:rsidRPr="00B22A82">
              <w:rPr>
                <w:rFonts w:ascii="Arial" w:hAnsi="Arial" w:cs="Arial"/>
                <w:color w:val="000000"/>
                <w:sz w:val="16"/>
                <w:szCs w:val="16"/>
                <w:vertAlign w:val="superscript"/>
              </w:rPr>
              <w:t>(c)</w:t>
            </w:r>
          </w:p>
        </w:tc>
        <w:tc>
          <w:tcPr>
            <w:tcW w:w="1150" w:type="dxa"/>
            <w:tcBorders>
              <w:top w:val="nil"/>
              <w:left w:val="nil"/>
              <w:bottom w:val="nil"/>
              <w:right w:val="nil"/>
            </w:tcBorders>
            <w:shd w:val="clear" w:color="000000" w:fill="FFFFFF"/>
            <w:vAlign w:val="bottom"/>
            <w:hideMark/>
          </w:tcPr>
          <w:p w14:paraId="01ACA579" w14:textId="32AE6367"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2,298</w:t>
            </w:r>
          </w:p>
        </w:tc>
        <w:tc>
          <w:tcPr>
            <w:tcW w:w="1066" w:type="dxa"/>
            <w:tcBorders>
              <w:top w:val="nil"/>
              <w:left w:val="nil"/>
              <w:bottom w:val="nil"/>
              <w:right w:val="nil"/>
            </w:tcBorders>
            <w:shd w:val="clear" w:color="000000" w:fill="FFFFFF"/>
            <w:vAlign w:val="bottom"/>
            <w:hideMark/>
          </w:tcPr>
          <w:p w14:paraId="5754B652" w14:textId="6728298E"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100</w:t>
            </w:r>
          </w:p>
        </w:tc>
        <w:tc>
          <w:tcPr>
            <w:tcW w:w="1009" w:type="dxa"/>
            <w:tcBorders>
              <w:top w:val="nil"/>
              <w:left w:val="nil"/>
              <w:bottom w:val="nil"/>
              <w:right w:val="nil"/>
            </w:tcBorders>
            <w:shd w:val="clear" w:color="000000" w:fill="FFFFFF"/>
            <w:vAlign w:val="bottom"/>
            <w:hideMark/>
          </w:tcPr>
          <w:p w14:paraId="67E35DCD" w14:textId="0ACF13D7"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nil"/>
              <w:left w:val="nil"/>
              <w:bottom w:val="nil"/>
              <w:right w:val="nil"/>
            </w:tcBorders>
            <w:shd w:val="clear" w:color="000000" w:fill="E6E6E6"/>
            <w:vAlign w:val="bottom"/>
            <w:hideMark/>
          </w:tcPr>
          <w:p w14:paraId="1892758A" w14:textId="4538DE1F"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100</w:t>
            </w:r>
          </w:p>
        </w:tc>
      </w:tr>
      <w:tr w:rsidR="00830B11" w:rsidRPr="00B22A82" w14:paraId="1F8DC622" w14:textId="77777777" w:rsidTr="00B22A82">
        <w:trPr>
          <w:trHeight w:val="204"/>
        </w:trPr>
        <w:tc>
          <w:tcPr>
            <w:tcW w:w="3402" w:type="dxa"/>
            <w:tcBorders>
              <w:top w:val="nil"/>
              <w:left w:val="nil"/>
              <w:bottom w:val="nil"/>
              <w:right w:val="nil"/>
            </w:tcBorders>
            <w:shd w:val="clear" w:color="000000" w:fill="FFFFFF"/>
            <w:vAlign w:val="bottom"/>
            <w:hideMark/>
          </w:tcPr>
          <w:p w14:paraId="231D146C" w14:textId="7C90FE15" w:rsidR="00830B11" w:rsidRPr="00B22A82" w:rsidRDefault="008863D9" w:rsidP="003374C0">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00830B11" w:rsidRPr="00B22A82">
              <w:rPr>
                <w:rFonts w:ascii="Arial" w:hAnsi="Arial" w:cs="Arial"/>
                <w:color w:val="000000"/>
                <w:sz w:val="16"/>
                <w:szCs w:val="16"/>
              </w:rPr>
              <w:t xml:space="preserve">al capital budget </w:t>
            </w:r>
            <w:r w:rsidR="00830B11" w:rsidRPr="00B22A82">
              <w:rPr>
                <w:rFonts w:ascii="Arial" w:hAnsi="Arial" w:cs="Arial"/>
                <w:color w:val="000000"/>
                <w:sz w:val="16"/>
                <w:szCs w:val="16"/>
                <w:vertAlign w:val="superscript"/>
              </w:rPr>
              <w:t>(d)</w:t>
            </w:r>
          </w:p>
        </w:tc>
        <w:tc>
          <w:tcPr>
            <w:tcW w:w="1150" w:type="dxa"/>
            <w:tcBorders>
              <w:top w:val="nil"/>
              <w:left w:val="nil"/>
              <w:bottom w:val="nil"/>
              <w:right w:val="nil"/>
            </w:tcBorders>
            <w:shd w:val="clear" w:color="000000" w:fill="FFFFFF"/>
            <w:vAlign w:val="bottom"/>
            <w:hideMark/>
          </w:tcPr>
          <w:p w14:paraId="2DA52B22" w14:textId="31AE1BE3"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13,076</w:t>
            </w:r>
          </w:p>
        </w:tc>
        <w:tc>
          <w:tcPr>
            <w:tcW w:w="1066" w:type="dxa"/>
            <w:tcBorders>
              <w:top w:val="nil"/>
              <w:left w:val="nil"/>
              <w:bottom w:val="nil"/>
              <w:right w:val="nil"/>
            </w:tcBorders>
            <w:shd w:val="clear" w:color="000000" w:fill="FFFFFF"/>
            <w:vAlign w:val="bottom"/>
            <w:hideMark/>
          </w:tcPr>
          <w:p w14:paraId="34747E29" w14:textId="7F709805"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15,788</w:t>
            </w:r>
          </w:p>
        </w:tc>
        <w:tc>
          <w:tcPr>
            <w:tcW w:w="1009" w:type="dxa"/>
            <w:tcBorders>
              <w:top w:val="nil"/>
              <w:left w:val="nil"/>
              <w:bottom w:val="nil"/>
              <w:right w:val="nil"/>
            </w:tcBorders>
            <w:shd w:val="clear" w:color="000000" w:fill="FFFFFF"/>
            <w:vAlign w:val="bottom"/>
            <w:hideMark/>
          </w:tcPr>
          <w:p w14:paraId="7418B752" w14:textId="1D84FFBD"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nil"/>
              <w:left w:val="nil"/>
              <w:bottom w:val="nil"/>
              <w:right w:val="nil"/>
            </w:tcBorders>
            <w:shd w:val="clear" w:color="000000" w:fill="E6E6E6"/>
            <w:vAlign w:val="bottom"/>
            <w:hideMark/>
          </w:tcPr>
          <w:p w14:paraId="733DA91E" w14:textId="1253BC52"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15,788</w:t>
            </w:r>
          </w:p>
        </w:tc>
      </w:tr>
      <w:tr w:rsidR="00830B11" w:rsidRPr="00B22A82" w14:paraId="3B7F73E9" w14:textId="77777777" w:rsidTr="00B22A82">
        <w:trPr>
          <w:trHeight w:val="204"/>
        </w:trPr>
        <w:tc>
          <w:tcPr>
            <w:tcW w:w="3402" w:type="dxa"/>
            <w:tcBorders>
              <w:top w:val="nil"/>
              <w:left w:val="nil"/>
              <w:bottom w:val="nil"/>
              <w:right w:val="nil"/>
            </w:tcBorders>
            <w:shd w:val="clear" w:color="000000" w:fill="FFFFFF"/>
            <w:vAlign w:val="bottom"/>
            <w:hideMark/>
          </w:tcPr>
          <w:p w14:paraId="1CF6BEED" w14:textId="2F2DCFFD" w:rsidR="00830B11" w:rsidRPr="00B22A82" w:rsidRDefault="00830B11" w:rsidP="004C6D93">
            <w:pPr>
              <w:spacing w:after="0" w:line="240" w:lineRule="auto"/>
              <w:jc w:val="left"/>
              <w:rPr>
                <w:rFonts w:ascii="Arial" w:hAnsi="Arial" w:cs="Arial"/>
                <w:iCs/>
                <w:color w:val="000000"/>
                <w:sz w:val="16"/>
                <w:szCs w:val="16"/>
              </w:rPr>
            </w:pPr>
            <w:r w:rsidRPr="00B22A82">
              <w:rPr>
                <w:rFonts w:ascii="Arial" w:hAnsi="Arial" w:cs="Arial"/>
                <w:iCs/>
                <w:color w:val="000000"/>
                <w:sz w:val="16"/>
                <w:szCs w:val="16"/>
              </w:rPr>
              <w:t xml:space="preserve">Total </w:t>
            </w:r>
            <w:r w:rsidR="008863D9">
              <w:rPr>
                <w:rFonts w:ascii="Arial" w:hAnsi="Arial" w:cs="Arial"/>
                <w:iCs/>
                <w:color w:val="000000"/>
                <w:sz w:val="16"/>
                <w:szCs w:val="16"/>
              </w:rPr>
              <w:t>Department</w:t>
            </w:r>
            <w:r w:rsidRPr="00B22A82">
              <w:rPr>
                <w:rFonts w:ascii="Arial" w:hAnsi="Arial" w:cs="Arial"/>
                <w:iCs/>
                <w:color w:val="000000"/>
                <w:sz w:val="16"/>
                <w:szCs w:val="16"/>
              </w:rPr>
              <w:t>al annual appropriations</w:t>
            </w:r>
          </w:p>
        </w:tc>
        <w:tc>
          <w:tcPr>
            <w:tcW w:w="1150" w:type="dxa"/>
            <w:tcBorders>
              <w:top w:val="single" w:sz="4" w:space="0" w:color="auto"/>
              <w:left w:val="nil"/>
              <w:bottom w:val="single" w:sz="4" w:space="0" w:color="auto"/>
              <w:right w:val="nil"/>
            </w:tcBorders>
            <w:shd w:val="clear" w:color="000000" w:fill="FFFFFF"/>
            <w:vAlign w:val="bottom"/>
            <w:hideMark/>
          </w:tcPr>
          <w:p w14:paraId="410742E5" w14:textId="316C5448"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150,790</w:t>
            </w:r>
          </w:p>
        </w:tc>
        <w:tc>
          <w:tcPr>
            <w:tcW w:w="1066" w:type="dxa"/>
            <w:tcBorders>
              <w:top w:val="single" w:sz="4" w:space="0" w:color="auto"/>
              <w:left w:val="nil"/>
              <w:bottom w:val="single" w:sz="4" w:space="0" w:color="auto"/>
              <w:right w:val="nil"/>
            </w:tcBorders>
            <w:shd w:val="clear" w:color="000000" w:fill="FFFFFF"/>
            <w:vAlign w:val="bottom"/>
            <w:hideMark/>
          </w:tcPr>
          <w:p w14:paraId="4E9E18E4" w14:textId="23EA145E"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170,082</w:t>
            </w:r>
          </w:p>
        </w:tc>
        <w:tc>
          <w:tcPr>
            <w:tcW w:w="1009" w:type="dxa"/>
            <w:tcBorders>
              <w:top w:val="single" w:sz="4" w:space="0" w:color="auto"/>
              <w:left w:val="nil"/>
              <w:bottom w:val="single" w:sz="4" w:space="0" w:color="auto"/>
              <w:right w:val="nil"/>
            </w:tcBorders>
            <w:shd w:val="clear" w:color="000000" w:fill="FFFFFF"/>
            <w:vAlign w:val="bottom"/>
            <w:hideMark/>
          </w:tcPr>
          <w:p w14:paraId="222DCA88" w14:textId="661C1531"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1,513</w:t>
            </w:r>
          </w:p>
        </w:tc>
        <w:tc>
          <w:tcPr>
            <w:tcW w:w="1028" w:type="dxa"/>
            <w:tcBorders>
              <w:top w:val="single" w:sz="4" w:space="0" w:color="auto"/>
              <w:left w:val="nil"/>
              <w:bottom w:val="single" w:sz="4" w:space="0" w:color="auto"/>
              <w:right w:val="nil"/>
            </w:tcBorders>
            <w:shd w:val="clear" w:color="000000" w:fill="E6E6E6"/>
            <w:vAlign w:val="bottom"/>
            <w:hideMark/>
          </w:tcPr>
          <w:p w14:paraId="51BF85DE" w14:textId="5E65D7BC"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171,595</w:t>
            </w:r>
          </w:p>
        </w:tc>
      </w:tr>
      <w:tr w:rsidR="00830B11" w:rsidRPr="00B22A82" w14:paraId="6B93C490" w14:textId="77777777" w:rsidTr="00B22A82">
        <w:trPr>
          <w:trHeight w:val="204"/>
        </w:trPr>
        <w:tc>
          <w:tcPr>
            <w:tcW w:w="3402" w:type="dxa"/>
            <w:tcBorders>
              <w:top w:val="nil"/>
              <w:left w:val="nil"/>
              <w:bottom w:val="nil"/>
              <w:right w:val="nil"/>
            </w:tcBorders>
            <w:shd w:val="clear" w:color="000000" w:fill="FFFFFF"/>
            <w:vAlign w:val="bottom"/>
            <w:hideMark/>
          </w:tcPr>
          <w:p w14:paraId="238E7874" w14:textId="77777777" w:rsidR="00830B11" w:rsidRPr="00B22A82" w:rsidRDefault="00830B11" w:rsidP="004C6D93">
            <w:pPr>
              <w:spacing w:after="0" w:line="240" w:lineRule="auto"/>
              <w:jc w:val="left"/>
              <w:rPr>
                <w:rFonts w:ascii="Arial" w:hAnsi="Arial" w:cs="Arial"/>
                <w:color w:val="000000"/>
                <w:sz w:val="16"/>
                <w:szCs w:val="16"/>
              </w:rPr>
            </w:pPr>
            <w:r w:rsidRPr="00B22A82">
              <w:rPr>
                <w:rFonts w:ascii="Arial" w:hAnsi="Arial" w:cs="Arial"/>
                <w:color w:val="000000"/>
                <w:sz w:val="16"/>
                <w:szCs w:val="16"/>
              </w:rPr>
              <w:t xml:space="preserve">Special accounts </w:t>
            </w:r>
            <w:r w:rsidRPr="00B22A82">
              <w:rPr>
                <w:rFonts w:ascii="Arial" w:hAnsi="Arial" w:cs="Arial"/>
                <w:color w:val="000000"/>
                <w:sz w:val="16"/>
                <w:szCs w:val="16"/>
                <w:vertAlign w:val="superscript"/>
              </w:rPr>
              <w:t>(e)</w:t>
            </w:r>
          </w:p>
        </w:tc>
        <w:tc>
          <w:tcPr>
            <w:tcW w:w="1150" w:type="dxa"/>
            <w:tcBorders>
              <w:top w:val="nil"/>
              <w:left w:val="nil"/>
              <w:bottom w:val="nil"/>
              <w:right w:val="nil"/>
            </w:tcBorders>
            <w:shd w:val="clear" w:color="000000" w:fill="FFFFFF"/>
            <w:vAlign w:val="bottom"/>
            <w:hideMark/>
          </w:tcPr>
          <w:p w14:paraId="2BAFC692" w14:textId="04122676" w:rsidR="00830B11" w:rsidRPr="00B22A82" w:rsidRDefault="00830B11" w:rsidP="00C3755A">
            <w:pPr>
              <w:spacing w:after="0" w:line="240" w:lineRule="auto"/>
              <w:jc w:val="right"/>
              <w:rPr>
                <w:rFonts w:ascii="Arial" w:hAnsi="Arial" w:cs="Arial"/>
                <w:iCs/>
                <w:color w:val="000000"/>
                <w:sz w:val="16"/>
                <w:szCs w:val="16"/>
              </w:rPr>
            </w:pPr>
          </w:p>
        </w:tc>
        <w:tc>
          <w:tcPr>
            <w:tcW w:w="1066" w:type="dxa"/>
            <w:tcBorders>
              <w:top w:val="nil"/>
              <w:left w:val="nil"/>
              <w:bottom w:val="nil"/>
              <w:right w:val="nil"/>
            </w:tcBorders>
            <w:shd w:val="clear" w:color="000000" w:fill="FFFFFF"/>
            <w:vAlign w:val="bottom"/>
            <w:hideMark/>
          </w:tcPr>
          <w:p w14:paraId="11618D02" w14:textId="475A2434" w:rsidR="00830B11" w:rsidRPr="00B22A82" w:rsidRDefault="00830B11" w:rsidP="00C3755A">
            <w:pPr>
              <w:spacing w:after="0" w:line="240" w:lineRule="auto"/>
              <w:jc w:val="right"/>
              <w:rPr>
                <w:rFonts w:ascii="Arial" w:hAnsi="Arial" w:cs="Arial"/>
                <w:color w:val="000000"/>
                <w:sz w:val="16"/>
                <w:szCs w:val="16"/>
              </w:rPr>
            </w:pPr>
          </w:p>
        </w:tc>
        <w:tc>
          <w:tcPr>
            <w:tcW w:w="1009" w:type="dxa"/>
            <w:tcBorders>
              <w:top w:val="nil"/>
              <w:left w:val="nil"/>
              <w:bottom w:val="nil"/>
              <w:right w:val="nil"/>
            </w:tcBorders>
            <w:shd w:val="clear" w:color="000000" w:fill="FFFFFF"/>
            <w:vAlign w:val="bottom"/>
            <w:hideMark/>
          </w:tcPr>
          <w:p w14:paraId="666B4184" w14:textId="682BC697" w:rsidR="00830B11" w:rsidRPr="00B22A82" w:rsidRDefault="00830B11" w:rsidP="00C3755A">
            <w:pPr>
              <w:spacing w:after="0" w:line="240" w:lineRule="auto"/>
              <w:jc w:val="right"/>
              <w:rPr>
                <w:rFonts w:ascii="Arial" w:hAnsi="Arial" w:cs="Arial"/>
                <w:color w:val="000000"/>
                <w:sz w:val="16"/>
                <w:szCs w:val="16"/>
              </w:rPr>
            </w:pPr>
          </w:p>
        </w:tc>
        <w:tc>
          <w:tcPr>
            <w:tcW w:w="1028" w:type="dxa"/>
            <w:tcBorders>
              <w:top w:val="nil"/>
              <w:left w:val="nil"/>
              <w:bottom w:val="nil"/>
              <w:right w:val="nil"/>
            </w:tcBorders>
            <w:shd w:val="clear" w:color="000000" w:fill="E6E6E6"/>
            <w:vAlign w:val="bottom"/>
            <w:hideMark/>
          </w:tcPr>
          <w:p w14:paraId="3BBD6335" w14:textId="726E77AD" w:rsidR="00830B11" w:rsidRPr="00B22A82" w:rsidRDefault="00830B11" w:rsidP="00C3755A">
            <w:pPr>
              <w:spacing w:after="0" w:line="240" w:lineRule="auto"/>
              <w:jc w:val="right"/>
              <w:rPr>
                <w:rFonts w:ascii="Arial" w:hAnsi="Arial" w:cs="Arial"/>
                <w:color w:val="000000"/>
                <w:sz w:val="16"/>
                <w:szCs w:val="16"/>
              </w:rPr>
            </w:pPr>
          </w:p>
        </w:tc>
      </w:tr>
      <w:tr w:rsidR="00830B11" w:rsidRPr="00B22A82" w14:paraId="15BA190F" w14:textId="77777777" w:rsidTr="00B22A82">
        <w:trPr>
          <w:trHeight w:val="204"/>
        </w:trPr>
        <w:tc>
          <w:tcPr>
            <w:tcW w:w="3402" w:type="dxa"/>
            <w:tcBorders>
              <w:top w:val="nil"/>
              <w:left w:val="nil"/>
              <w:bottom w:val="nil"/>
              <w:right w:val="nil"/>
            </w:tcBorders>
            <w:shd w:val="clear" w:color="000000" w:fill="FFFFFF"/>
            <w:vAlign w:val="bottom"/>
            <w:hideMark/>
          </w:tcPr>
          <w:p w14:paraId="1EE8C020" w14:textId="5F832ED4" w:rsidR="00830B11" w:rsidRPr="00B22A82" w:rsidRDefault="00830B11" w:rsidP="003374C0">
            <w:pPr>
              <w:spacing w:after="0" w:line="240" w:lineRule="auto"/>
              <w:ind w:left="113"/>
              <w:jc w:val="left"/>
              <w:rPr>
                <w:rFonts w:ascii="Arial" w:hAnsi="Arial" w:cs="Arial"/>
                <w:color w:val="000000"/>
                <w:sz w:val="16"/>
                <w:szCs w:val="16"/>
              </w:rPr>
            </w:pPr>
            <w:r w:rsidRPr="00B22A82">
              <w:rPr>
                <w:rFonts w:ascii="Arial" w:hAnsi="Arial" w:cs="Arial"/>
                <w:color w:val="000000"/>
                <w:sz w:val="16"/>
                <w:szCs w:val="16"/>
              </w:rPr>
              <w:t>Opening balance</w:t>
            </w:r>
          </w:p>
        </w:tc>
        <w:tc>
          <w:tcPr>
            <w:tcW w:w="1150" w:type="dxa"/>
            <w:tcBorders>
              <w:top w:val="nil"/>
              <w:left w:val="nil"/>
              <w:bottom w:val="nil"/>
              <w:right w:val="nil"/>
            </w:tcBorders>
            <w:shd w:val="clear" w:color="000000" w:fill="FFFFFF"/>
            <w:vAlign w:val="bottom"/>
            <w:hideMark/>
          </w:tcPr>
          <w:p w14:paraId="621F502F" w14:textId="12F22C79"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1,796</w:t>
            </w:r>
          </w:p>
        </w:tc>
        <w:tc>
          <w:tcPr>
            <w:tcW w:w="1066" w:type="dxa"/>
            <w:tcBorders>
              <w:top w:val="nil"/>
              <w:left w:val="nil"/>
              <w:bottom w:val="nil"/>
              <w:right w:val="nil"/>
            </w:tcBorders>
            <w:shd w:val="clear" w:color="000000" w:fill="FFFFFF"/>
            <w:vAlign w:val="bottom"/>
            <w:hideMark/>
          </w:tcPr>
          <w:p w14:paraId="6653FCA1" w14:textId="6FA0E4E9"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1,796</w:t>
            </w:r>
          </w:p>
        </w:tc>
        <w:tc>
          <w:tcPr>
            <w:tcW w:w="1009" w:type="dxa"/>
            <w:tcBorders>
              <w:top w:val="nil"/>
              <w:left w:val="nil"/>
              <w:bottom w:val="nil"/>
              <w:right w:val="nil"/>
            </w:tcBorders>
            <w:shd w:val="clear" w:color="000000" w:fill="FFFFFF"/>
            <w:vAlign w:val="bottom"/>
            <w:hideMark/>
          </w:tcPr>
          <w:p w14:paraId="3F0F995C" w14:textId="0A7ABF60"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nil"/>
              <w:left w:val="nil"/>
              <w:bottom w:val="nil"/>
              <w:right w:val="nil"/>
            </w:tcBorders>
            <w:shd w:val="clear" w:color="000000" w:fill="E6E6E6"/>
            <w:vAlign w:val="bottom"/>
            <w:hideMark/>
          </w:tcPr>
          <w:p w14:paraId="547B3556" w14:textId="220C7BC0"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1,796</w:t>
            </w:r>
          </w:p>
        </w:tc>
      </w:tr>
      <w:tr w:rsidR="00830B11" w:rsidRPr="00B22A82" w14:paraId="3B851FE7" w14:textId="77777777" w:rsidTr="00B22A82">
        <w:trPr>
          <w:trHeight w:val="204"/>
        </w:trPr>
        <w:tc>
          <w:tcPr>
            <w:tcW w:w="3402" w:type="dxa"/>
            <w:tcBorders>
              <w:top w:val="nil"/>
              <w:left w:val="nil"/>
              <w:bottom w:val="nil"/>
              <w:right w:val="nil"/>
            </w:tcBorders>
            <w:shd w:val="clear" w:color="000000" w:fill="FFFFFF"/>
            <w:vAlign w:val="bottom"/>
            <w:hideMark/>
          </w:tcPr>
          <w:p w14:paraId="1F600EBF" w14:textId="4B6614EC" w:rsidR="00830B11" w:rsidRPr="00B22A82" w:rsidRDefault="00830B11" w:rsidP="003374C0">
            <w:pPr>
              <w:spacing w:after="0" w:line="240" w:lineRule="auto"/>
              <w:ind w:left="113"/>
              <w:jc w:val="left"/>
              <w:rPr>
                <w:rFonts w:ascii="Arial" w:hAnsi="Arial" w:cs="Arial"/>
                <w:color w:val="000000"/>
                <w:sz w:val="16"/>
                <w:szCs w:val="16"/>
              </w:rPr>
            </w:pPr>
            <w:r w:rsidRPr="00B22A82">
              <w:rPr>
                <w:rFonts w:ascii="Arial" w:hAnsi="Arial" w:cs="Arial"/>
                <w:color w:val="000000"/>
                <w:sz w:val="16"/>
                <w:szCs w:val="16"/>
              </w:rPr>
              <w:t xml:space="preserve">Appropriation receipts </w:t>
            </w:r>
            <w:r w:rsidRPr="00B22A82">
              <w:rPr>
                <w:rFonts w:ascii="Arial" w:hAnsi="Arial" w:cs="Arial"/>
                <w:color w:val="000000"/>
                <w:sz w:val="16"/>
                <w:szCs w:val="16"/>
                <w:vertAlign w:val="superscript"/>
              </w:rPr>
              <w:t>(f)</w:t>
            </w:r>
          </w:p>
        </w:tc>
        <w:tc>
          <w:tcPr>
            <w:tcW w:w="1150" w:type="dxa"/>
            <w:tcBorders>
              <w:top w:val="nil"/>
              <w:left w:val="nil"/>
              <w:bottom w:val="nil"/>
              <w:right w:val="nil"/>
            </w:tcBorders>
            <w:shd w:val="clear" w:color="000000" w:fill="FFFFFF"/>
            <w:vAlign w:val="bottom"/>
            <w:hideMark/>
          </w:tcPr>
          <w:p w14:paraId="43227500" w14:textId="53F43F3A"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25,354</w:t>
            </w:r>
          </w:p>
        </w:tc>
        <w:tc>
          <w:tcPr>
            <w:tcW w:w="1066" w:type="dxa"/>
            <w:tcBorders>
              <w:top w:val="nil"/>
              <w:left w:val="nil"/>
              <w:bottom w:val="nil"/>
              <w:right w:val="nil"/>
            </w:tcBorders>
            <w:shd w:val="clear" w:color="000000" w:fill="FFFFFF"/>
            <w:vAlign w:val="bottom"/>
            <w:hideMark/>
          </w:tcPr>
          <w:p w14:paraId="1BEF6302" w14:textId="5C2A830A"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44,636</w:t>
            </w:r>
          </w:p>
        </w:tc>
        <w:tc>
          <w:tcPr>
            <w:tcW w:w="1009" w:type="dxa"/>
            <w:tcBorders>
              <w:top w:val="nil"/>
              <w:left w:val="nil"/>
              <w:bottom w:val="nil"/>
              <w:right w:val="nil"/>
            </w:tcBorders>
            <w:shd w:val="clear" w:color="000000" w:fill="FFFFFF"/>
            <w:vAlign w:val="bottom"/>
            <w:hideMark/>
          </w:tcPr>
          <w:p w14:paraId="49B60DAE" w14:textId="65F1F0D8"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nil"/>
              <w:left w:val="nil"/>
              <w:bottom w:val="nil"/>
              <w:right w:val="nil"/>
            </w:tcBorders>
            <w:shd w:val="clear" w:color="000000" w:fill="E6E6E6"/>
            <w:vAlign w:val="bottom"/>
            <w:hideMark/>
          </w:tcPr>
          <w:p w14:paraId="6837B0C3" w14:textId="0DB182FC"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44,636</w:t>
            </w:r>
          </w:p>
        </w:tc>
      </w:tr>
      <w:tr w:rsidR="00830B11" w:rsidRPr="00B22A82" w14:paraId="1F4CB7AE" w14:textId="77777777" w:rsidTr="00B22A82">
        <w:trPr>
          <w:trHeight w:val="204"/>
        </w:trPr>
        <w:tc>
          <w:tcPr>
            <w:tcW w:w="3402" w:type="dxa"/>
            <w:tcBorders>
              <w:top w:val="nil"/>
              <w:left w:val="nil"/>
              <w:bottom w:val="nil"/>
              <w:right w:val="nil"/>
            </w:tcBorders>
            <w:shd w:val="clear" w:color="000000" w:fill="FFFFFF"/>
            <w:vAlign w:val="bottom"/>
            <w:hideMark/>
          </w:tcPr>
          <w:p w14:paraId="7D25AC71" w14:textId="667F592F" w:rsidR="00830B11" w:rsidRPr="00B22A82" w:rsidRDefault="00830B11" w:rsidP="003374C0">
            <w:pPr>
              <w:spacing w:after="0" w:line="240" w:lineRule="auto"/>
              <w:ind w:left="113"/>
              <w:jc w:val="left"/>
              <w:rPr>
                <w:rFonts w:ascii="Arial" w:hAnsi="Arial" w:cs="Arial"/>
                <w:color w:val="000000"/>
                <w:sz w:val="16"/>
                <w:szCs w:val="16"/>
              </w:rPr>
            </w:pPr>
            <w:r w:rsidRPr="00B22A82">
              <w:rPr>
                <w:rFonts w:ascii="Arial" w:hAnsi="Arial" w:cs="Arial"/>
                <w:color w:val="000000"/>
                <w:sz w:val="16"/>
                <w:szCs w:val="16"/>
              </w:rPr>
              <w:t>Non-appropriation receipts</w:t>
            </w:r>
          </w:p>
        </w:tc>
        <w:tc>
          <w:tcPr>
            <w:tcW w:w="1150" w:type="dxa"/>
            <w:tcBorders>
              <w:top w:val="nil"/>
              <w:left w:val="nil"/>
              <w:bottom w:val="nil"/>
              <w:right w:val="nil"/>
            </w:tcBorders>
            <w:shd w:val="clear" w:color="000000" w:fill="FFFFFF"/>
            <w:vAlign w:val="bottom"/>
            <w:hideMark/>
          </w:tcPr>
          <w:p w14:paraId="29556EDA" w14:textId="6DFAC254"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900</w:t>
            </w:r>
          </w:p>
        </w:tc>
        <w:tc>
          <w:tcPr>
            <w:tcW w:w="1066" w:type="dxa"/>
            <w:tcBorders>
              <w:top w:val="nil"/>
              <w:left w:val="nil"/>
              <w:bottom w:val="nil"/>
              <w:right w:val="nil"/>
            </w:tcBorders>
            <w:shd w:val="clear" w:color="000000" w:fill="FFFFFF"/>
            <w:vAlign w:val="bottom"/>
            <w:hideMark/>
          </w:tcPr>
          <w:p w14:paraId="4D8A6827" w14:textId="47FE06FA"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09" w:type="dxa"/>
            <w:tcBorders>
              <w:top w:val="nil"/>
              <w:left w:val="nil"/>
              <w:bottom w:val="nil"/>
              <w:right w:val="nil"/>
            </w:tcBorders>
            <w:shd w:val="clear" w:color="000000" w:fill="FFFFFF"/>
            <w:vAlign w:val="bottom"/>
            <w:hideMark/>
          </w:tcPr>
          <w:p w14:paraId="51CA7A88" w14:textId="775E8566"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nil"/>
              <w:left w:val="nil"/>
              <w:bottom w:val="nil"/>
              <w:right w:val="nil"/>
            </w:tcBorders>
            <w:shd w:val="clear" w:color="000000" w:fill="E6E6E6"/>
            <w:vAlign w:val="bottom"/>
            <w:hideMark/>
          </w:tcPr>
          <w:p w14:paraId="5FCB8F7E" w14:textId="00309F6E"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r>
      <w:tr w:rsidR="00830B11" w:rsidRPr="00B22A82" w14:paraId="76D5E228" w14:textId="77777777" w:rsidTr="00B22A82">
        <w:trPr>
          <w:trHeight w:val="204"/>
        </w:trPr>
        <w:tc>
          <w:tcPr>
            <w:tcW w:w="3402" w:type="dxa"/>
            <w:tcBorders>
              <w:top w:val="nil"/>
              <w:left w:val="nil"/>
              <w:bottom w:val="nil"/>
              <w:right w:val="nil"/>
            </w:tcBorders>
            <w:shd w:val="clear" w:color="000000" w:fill="FFFFFF"/>
            <w:vAlign w:val="bottom"/>
            <w:hideMark/>
          </w:tcPr>
          <w:p w14:paraId="5D2F5F0F" w14:textId="77777777" w:rsidR="00830B11" w:rsidRPr="00B22A82" w:rsidRDefault="00830B11" w:rsidP="004C6D93">
            <w:pPr>
              <w:spacing w:after="0" w:line="240" w:lineRule="auto"/>
              <w:jc w:val="left"/>
              <w:rPr>
                <w:rFonts w:ascii="Arial" w:hAnsi="Arial" w:cs="Arial"/>
                <w:iCs/>
                <w:color w:val="000000"/>
                <w:sz w:val="16"/>
                <w:szCs w:val="16"/>
              </w:rPr>
            </w:pPr>
            <w:r w:rsidRPr="00B22A82">
              <w:rPr>
                <w:rFonts w:ascii="Arial" w:hAnsi="Arial" w:cs="Arial"/>
                <w:iCs/>
                <w:color w:val="000000"/>
                <w:sz w:val="16"/>
                <w:szCs w:val="16"/>
              </w:rPr>
              <w:t>Total special accounts</w:t>
            </w:r>
          </w:p>
        </w:tc>
        <w:tc>
          <w:tcPr>
            <w:tcW w:w="1150" w:type="dxa"/>
            <w:tcBorders>
              <w:top w:val="single" w:sz="4" w:space="0" w:color="auto"/>
              <w:left w:val="nil"/>
              <w:bottom w:val="single" w:sz="4" w:space="0" w:color="auto"/>
              <w:right w:val="nil"/>
            </w:tcBorders>
            <w:shd w:val="clear" w:color="000000" w:fill="FFFFFF"/>
            <w:vAlign w:val="bottom"/>
            <w:hideMark/>
          </w:tcPr>
          <w:p w14:paraId="7D5E9BE9" w14:textId="6460FEB9"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28,050</w:t>
            </w:r>
          </w:p>
        </w:tc>
        <w:tc>
          <w:tcPr>
            <w:tcW w:w="1066" w:type="dxa"/>
            <w:tcBorders>
              <w:top w:val="single" w:sz="4" w:space="0" w:color="auto"/>
              <w:left w:val="nil"/>
              <w:bottom w:val="single" w:sz="4" w:space="0" w:color="auto"/>
              <w:right w:val="nil"/>
            </w:tcBorders>
            <w:shd w:val="clear" w:color="000000" w:fill="FFFFFF"/>
            <w:vAlign w:val="bottom"/>
            <w:hideMark/>
          </w:tcPr>
          <w:p w14:paraId="31903534" w14:textId="7818EF26"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46,432</w:t>
            </w:r>
          </w:p>
        </w:tc>
        <w:tc>
          <w:tcPr>
            <w:tcW w:w="1009" w:type="dxa"/>
            <w:tcBorders>
              <w:top w:val="single" w:sz="4" w:space="0" w:color="auto"/>
              <w:left w:val="nil"/>
              <w:bottom w:val="single" w:sz="4" w:space="0" w:color="auto"/>
              <w:right w:val="nil"/>
            </w:tcBorders>
            <w:shd w:val="clear" w:color="000000" w:fill="FFFFFF"/>
            <w:vAlign w:val="bottom"/>
            <w:hideMark/>
          </w:tcPr>
          <w:p w14:paraId="0455D39A" w14:textId="6F9B7B44"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single" w:sz="4" w:space="0" w:color="auto"/>
              <w:left w:val="nil"/>
              <w:bottom w:val="single" w:sz="4" w:space="0" w:color="auto"/>
              <w:right w:val="nil"/>
            </w:tcBorders>
            <w:shd w:val="clear" w:color="000000" w:fill="E6E6E6"/>
            <w:vAlign w:val="bottom"/>
            <w:hideMark/>
          </w:tcPr>
          <w:p w14:paraId="6BA367E6" w14:textId="3AD4C049"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46,432</w:t>
            </w:r>
          </w:p>
        </w:tc>
      </w:tr>
      <w:tr w:rsidR="00830B11" w:rsidRPr="00B22A82" w14:paraId="6C1EE63A" w14:textId="77777777" w:rsidTr="00B22A82">
        <w:trPr>
          <w:trHeight w:val="204"/>
        </w:trPr>
        <w:tc>
          <w:tcPr>
            <w:tcW w:w="3402" w:type="dxa"/>
            <w:tcBorders>
              <w:top w:val="nil"/>
              <w:left w:val="nil"/>
              <w:bottom w:val="nil"/>
              <w:right w:val="nil"/>
            </w:tcBorders>
            <w:shd w:val="clear" w:color="000000" w:fill="FFFFFF"/>
            <w:vAlign w:val="bottom"/>
            <w:hideMark/>
          </w:tcPr>
          <w:p w14:paraId="0651FF43" w14:textId="521DA385" w:rsidR="00830B11" w:rsidRPr="00B22A82" w:rsidRDefault="00830B11" w:rsidP="00D12B65">
            <w:pPr>
              <w:spacing w:after="0" w:line="240" w:lineRule="auto"/>
              <w:jc w:val="left"/>
              <w:rPr>
                <w:rFonts w:ascii="Arial" w:hAnsi="Arial" w:cs="Arial"/>
                <w:iCs/>
                <w:color w:val="000000"/>
                <w:sz w:val="16"/>
                <w:szCs w:val="16"/>
              </w:rPr>
            </w:pPr>
            <w:r w:rsidRPr="00B22A82">
              <w:rPr>
                <w:rFonts w:ascii="Arial" w:hAnsi="Arial" w:cs="Arial"/>
                <w:iCs/>
                <w:color w:val="000000"/>
                <w:sz w:val="16"/>
                <w:szCs w:val="16"/>
              </w:rPr>
              <w:t xml:space="preserve">less </w:t>
            </w:r>
            <w:r w:rsidR="008863D9">
              <w:rPr>
                <w:rFonts w:ascii="Arial" w:hAnsi="Arial" w:cs="Arial"/>
                <w:iCs/>
                <w:color w:val="000000"/>
                <w:sz w:val="16"/>
                <w:szCs w:val="16"/>
              </w:rPr>
              <w:t>Department</w:t>
            </w:r>
            <w:r w:rsidRPr="00B22A82">
              <w:rPr>
                <w:rFonts w:ascii="Arial" w:hAnsi="Arial" w:cs="Arial"/>
                <w:iCs/>
                <w:color w:val="000000"/>
                <w:sz w:val="16"/>
                <w:szCs w:val="16"/>
              </w:rPr>
              <w:t>al appropriations drawn from annual/special appropriations and credited to special accounts</w:t>
            </w:r>
          </w:p>
        </w:tc>
        <w:tc>
          <w:tcPr>
            <w:tcW w:w="1150" w:type="dxa"/>
            <w:tcBorders>
              <w:top w:val="nil"/>
              <w:left w:val="nil"/>
              <w:bottom w:val="nil"/>
              <w:right w:val="nil"/>
            </w:tcBorders>
            <w:shd w:val="clear" w:color="000000" w:fill="FFFFFF"/>
            <w:vAlign w:val="bottom"/>
            <w:hideMark/>
          </w:tcPr>
          <w:p w14:paraId="12BA6204" w14:textId="0EE18F9B"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25,354</w:t>
            </w:r>
          </w:p>
        </w:tc>
        <w:tc>
          <w:tcPr>
            <w:tcW w:w="1066" w:type="dxa"/>
            <w:tcBorders>
              <w:top w:val="nil"/>
              <w:left w:val="nil"/>
              <w:bottom w:val="nil"/>
              <w:right w:val="nil"/>
            </w:tcBorders>
            <w:shd w:val="clear" w:color="000000" w:fill="FFFFFF"/>
            <w:vAlign w:val="bottom"/>
            <w:hideMark/>
          </w:tcPr>
          <w:p w14:paraId="134F0188" w14:textId="7E4EF40A"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44,636</w:t>
            </w:r>
          </w:p>
        </w:tc>
        <w:tc>
          <w:tcPr>
            <w:tcW w:w="1009" w:type="dxa"/>
            <w:tcBorders>
              <w:top w:val="nil"/>
              <w:left w:val="nil"/>
              <w:bottom w:val="nil"/>
              <w:right w:val="nil"/>
            </w:tcBorders>
            <w:shd w:val="clear" w:color="000000" w:fill="FFFFFF"/>
            <w:vAlign w:val="bottom"/>
            <w:hideMark/>
          </w:tcPr>
          <w:p w14:paraId="58FA7C39" w14:textId="35F50F75"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nil"/>
              <w:left w:val="nil"/>
              <w:bottom w:val="nil"/>
              <w:right w:val="nil"/>
            </w:tcBorders>
            <w:shd w:val="clear" w:color="000000" w:fill="E6E6E6"/>
            <w:vAlign w:val="bottom"/>
            <w:hideMark/>
          </w:tcPr>
          <w:p w14:paraId="1C7C6AEE" w14:textId="155EBDAB"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44,636</w:t>
            </w:r>
          </w:p>
        </w:tc>
      </w:tr>
      <w:tr w:rsidR="00830B11" w:rsidRPr="00B22A82" w14:paraId="4A203C5C" w14:textId="77777777" w:rsidTr="00B22A82">
        <w:trPr>
          <w:trHeight w:val="204"/>
        </w:trPr>
        <w:tc>
          <w:tcPr>
            <w:tcW w:w="3402" w:type="dxa"/>
            <w:tcBorders>
              <w:top w:val="nil"/>
              <w:left w:val="nil"/>
              <w:bottom w:val="nil"/>
              <w:right w:val="nil"/>
            </w:tcBorders>
            <w:shd w:val="clear" w:color="000000" w:fill="FFFFFF"/>
            <w:vAlign w:val="bottom"/>
            <w:hideMark/>
          </w:tcPr>
          <w:p w14:paraId="787340FE" w14:textId="4989E740" w:rsidR="00830B11" w:rsidRPr="00B22A82" w:rsidRDefault="00830B11" w:rsidP="004C6D93">
            <w:pPr>
              <w:spacing w:after="0" w:line="240" w:lineRule="auto"/>
              <w:jc w:val="left"/>
              <w:rPr>
                <w:rFonts w:ascii="Arial" w:hAnsi="Arial" w:cs="Arial"/>
                <w:b/>
                <w:bCs/>
                <w:iCs/>
                <w:color w:val="000000"/>
                <w:sz w:val="16"/>
                <w:szCs w:val="16"/>
              </w:rPr>
            </w:pPr>
            <w:r w:rsidRPr="00B22A82">
              <w:rPr>
                <w:rFonts w:ascii="Arial" w:hAnsi="Arial" w:cs="Arial"/>
                <w:b/>
                <w:bCs/>
                <w:iCs/>
                <w:color w:val="000000"/>
                <w:sz w:val="16"/>
                <w:szCs w:val="16"/>
              </w:rPr>
              <w:t xml:space="preserve">Total </w:t>
            </w:r>
            <w:r w:rsidR="008863D9">
              <w:rPr>
                <w:rFonts w:ascii="Arial" w:hAnsi="Arial" w:cs="Arial"/>
                <w:b/>
                <w:bCs/>
                <w:iCs/>
                <w:color w:val="000000"/>
                <w:sz w:val="16"/>
                <w:szCs w:val="16"/>
              </w:rPr>
              <w:t>Department</w:t>
            </w:r>
            <w:r w:rsidRPr="00B22A82">
              <w:rPr>
                <w:rFonts w:ascii="Arial" w:hAnsi="Arial" w:cs="Arial"/>
                <w:b/>
                <w:bCs/>
                <w:iCs/>
                <w:color w:val="000000"/>
                <w:sz w:val="16"/>
                <w:szCs w:val="16"/>
              </w:rPr>
              <w:t>al resourcing</w:t>
            </w:r>
          </w:p>
        </w:tc>
        <w:tc>
          <w:tcPr>
            <w:tcW w:w="1150" w:type="dxa"/>
            <w:tcBorders>
              <w:top w:val="single" w:sz="4" w:space="0" w:color="auto"/>
              <w:left w:val="nil"/>
              <w:bottom w:val="single" w:sz="4" w:space="0" w:color="auto"/>
              <w:right w:val="nil"/>
            </w:tcBorders>
            <w:shd w:val="clear" w:color="000000" w:fill="FFFFFF"/>
            <w:vAlign w:val="bottom"/>
            <w:hideMark/>
          </w:tcPr>
          <w:p w14:paraId="78914F46" w14:textId="6E9F0B81" w:rsidR="00830B11" w:rsidRPr="00B22A82" w:rsidRDefault="00830B11" w:rsidP="00C3755A">
            <w:pPr>
              <w:spacing w:after="0" w:line="240" w:lineRule="auto"/>
              <w:jc w:val="right"/>
              <w:rPr>
                <w:rFonts w:ascii="Arial" w:hAnsi="Arial" w:cs="Arial"/>
                <w:b/>
                <w:bCs/>
                <w:iCs/>
                <w:color w:val="000000"/>
                <w:sz w:val="16"/>
                <w:szCs w:val="16"/>
              </w:rPr>
            </w:pPr>
            <w:r w:rsidRPr="00B22A82">
              <w:rPr>
                <w:rFonts w:ascii="Arial" w:hAnsi="Arial" w:cs="Arial"/>
                <w:b/>
                <w:bCs/>
                <w:iCs/>
                <w:color w:val="000000"/>
                <w:sz w:val="16"/>
                <w:szCs w:val="16"/>
              </w:rPr>
              <w:t>153,486</w:t>
            </w:r>
          </w:p>
        </w:tc>
        <w:tc>
          <w:tcPr>
            <w:tcW w:w="1066" w:type="dxa"/>
            <w:tcBorders>
              <w:top w:val="single" w:sz="4" w:space="0" w:color="auto"/>
              <w:left w:val="nil"/>
              <w:bottom w:val="single" w:sz="4" w:space="0" w:color="auto"/>
              <w:right w:val="nil"/>
            </w:tcBorders>
            <w:shd w:val="clear" w:color="000000" w:fill="FFFFFF"/>
            <w:vAlign w:val="bottom"/>
            <w:hideMark/>
          </w:tcPr>
          <w:p w14:paraId="799B2C22" w14:textId="66895184" w:rsidR="00830B11" w:rsidRPr="00B22A82" w:rsidRDefault="00830B11" w:rsidP="00C3755A">
            <w:pPr>
              <w:spacing w:after="0" w:line="240" w:lineRule="auto"/>
              <w:jc w:val="right"/>
              <w:rPr>
                <w:rFonts w:ascii="Arial" w:hAnsi="Arial" w:cs="Arial"/>
                <w:b/>
                <w:bCs/>
                <w:color w:val="000000"/>
                <w:sz w:val="16"/>
                <w:szCs w:val="16"/>
              </w:rPr>
            </w:pPr>
            <w:r w:rsidRPr="00B22A82">
              <w:rPr>
                <w:rFonts w:ascii="Arial" w:hAnsi="Arial" w:cs="Arial"/>
                <w:b/>
                <w:bCs/>
                <w:color w:val="000000"/>
                <w:sz w:val="16"/>
                <w:szCs w:val="16"/>
              </w:rPr>
              <w:t>171,878</w:t>
            </w:r>
          </w:p>
        </w:tc>
        <w:tc>
          <w:tcPr>
            <w:tcW w:w="1009" w:type="dxa"/>
            <w:tcBorders>
              <w:top w:val="single" w:sz="4" w:space="0" w:color="auto"/>
              <w:left w:val="nil"/>
              <w:bottom w:val="single" w:sz="4" w:space="0" w:color="auto"/>
              <w:right w:val="nil"/>
            </w:tcBorders>
            <w:shd w:val="clear" w:color="000000" w:fill="FFFFFF"/>
            <w:vAlign w:val="bottom"/>
            <w:hideMark/>
          </w:tcPr>
          <w:p w14:paraId="50F9105B" w14:textId="3D092652" w:rsidR="00830B11" w:rsidRPr="00B22A82" w:rsidRDefault="00830B11" w:rsidP="00C3755A">
            <w:pPr>
              <w:spacing w:after="0" w:line="240" w:lineRule="auto"/>
              <w:jc w:val="right"/>
              <w:rPr>
                <w:rFonts w:ascii="Arial" w:hAnsi="Arial" w:cs="Arial"/>
                <w:b/>
                <w:bCs/>
                <w:color w:val="000000"/>
                <w:sz w:val="16"/>
                <w:szCs w:val="16"/>
              </w:rPr>
            </w:pPr>
            <w:r w:rsidRPr="00B22A82">
              <w:rPr>
                <w:rFonts w:ascii="Arial" w:hAnsi="Arial" w:cs="Arial"/>
                <w:b/>
                <w:bCs/>
                <w:color w:val="000000"/>
                <w:sz w:val="16"/>
                <w:szCs w:val="16"/>
              </w:rPr>
              <w:t>1,513</w:t>
            </w:r>
          </w:p>
        </w:tc>
        <w:tc>
          <w:tcPr>
            <w:tcW w:w="1028" w:type="dxa"/>
            <w:tcBorders>
              <w:top w:val="single" w:sz="4" w:space="0" w:color="auto"/>
              <w:left w:val="nil"/>
              <w:bottom w:val="single" w:sz="4" w:space="0" w:color="auto"/>
              <w:right w:val="nil"/>
            </w:tcBorders>
            <w:shd w:val="clear" w:color="000000" w:fill="E6E6E6"/>
            <w:vAlign w:val="bottom"/>
            <w:hideMark/>
          </w:tcPr>
          <w:p w14:paraId="7DF56492" w14:textId="230FEAD0" w:rsidR="00830B11" w:rsidRPr="00B22A82" w:rsidRDefault="00830B11" w:rsidP="00C3755A">
            <w:pPr>
              <w:spacing w:after="0" w:line="240" w:lineRule="auto"/>
              <w:jc w:val="right"/>
              <w:rPr>
                <w:rFonts w:ascii="Arial" w:hAnsi="Arial" w:cs="Arial"/>
                <w:b/>
                <w:bCs/>
                <w:color w:val="000000"/>
                <w:sz w:val="16"/>
                <w:szCs w:val="16"/>
              </w:rPr>
            </w:pPr>
            <w:r w:rsidRPr="00B22A82">
              <w:rPr>
                <w:rFonts w:ascii="Arial" w:hAnsi="Arial" w:cs="Arial"/>
                <w:b/>
                <w:bCs/>
                <w:color w:val="000000"/>
                <w:sz w:val="16"/>
                <w:szCs w:val="16"/>
              </w:rPr>
              <w:t>173,391</w:t>
            </w:r>
          </w:p>
        </w:tc>
      </w:tr>
      <w:tr w:rsidR="00830B11" w:rsidRPr="00B22A82" w14:paraId="62F06FC9" w14:textId="77777777" w:rsidTr="00B22A82">
        <w:trPr>
          <w:trHeight w:val="204"/>
        </w:trPr>
        <w:tc>
          <w:tcPr>
            <w:tcW w:w="3402" w:type="dxa"/>
            <w:tcBorders>
              <w:top w:val="nil"/>
              <w:left w:val="nil"/>
              <w:bottom w:val="nil"/>
              <w:right w:val="nil"/>
            </w:tcBorders>
            <w:shd w:val="clear" w:color="000000" w:fill="FFFFFF"/>
            <w:vAlign w:val="bottom"/>
            <w:hideMark/>
          </w:tcPr>
          <w:p w14:paraId="51B8710F" w14:textId="77777777" w:rsidR="00830B11" w:rsidRPr="00B22A82" w:rsidRDefault="00830B11" w:rsidP="004C6D93">
            <w:pPr>
              <w:spacing w:after="0" w:line="240" w:lineRule="auto"/>
              <w:jc w:val="left"/>
              <w:rPr>
                <w:rFonts w:ascii="Arial" w:hAnsi="Arial" w:cs="Arial"/>
                <w:b/>
                <w:bCs/>
                <w:color w:val="000000"/>
                <w:sz w:val="16"/>
                <w:szCs w:val="16"/>
              </w:rPr>
            </w:pPr>
            <w:r w:rsidRPr="00B22A82">
              <w:rPr>
                <w:rFonts w:ascii="Arial" w:hAnsi="Arial" w:cs="Arial"/>
                <w:b/>
                <w:bCs/>
                <w:color w:val="000000"/>
                <w:sz w:val="16"/>
                <w:szCs w:val="16"/>
              </w:rPr>
              <w:t>Administered</w:t>
            </w:r>
          </w:p>
        </w:tc>
        <w:tc>
          <w:tcPr>
            <w:tcW w:w="1150" w:type="dxa"/>
            <w:tcBorders>
              <w:top w:val="nil"/>
              <w:left w:val="nil"/>
              <w:bottom w:val="nil"/>
              <w:right w:val="nil"/>
            </w:tcBorders>
            <w:shd w:val="clear" w:color="000000" w:fill="FFFFFF"/>
            <w:vAlign w:val="bottom"/>
            <w:hideMark/>
          </w:tcPr>
          <w:p w14:paraId="2BD62BE9" w14:textId="34AFEAEE" w:rsidR="00830B11" w:rsidRPr="00B22A82" w:rsidRDefault="00830B11" w:rsidP="00C3755A">
            <w:pPr>
              <w:spacing w:after="0" w:line="240" w:lineRule="auto"/>
              <w:jc w:val="right"/>
              <w:rPr>
                <w:rFonts w:ascii="Arial" w:hAnsi="Arial" w:cs="Arial"/>
                <w:b/>
                <w:iCs/>
                <w:color w:val="000000"/>
                <w:sz w:val="16"/>
                <w:szCs w:val="16"/>
              </w:rPr>
            </w:pPr>
          </w:p>
        </w:tc>
        <w:tc>
          <w:tcPr>
            <w:tcW w:w="1066" w:type="dxa"/>
            <w:tcBorders>
              <w:top w:val="nil"/>
              <w:left w:val="nil"/>
              <w:bottom w:val="nil"/>
              <w:right w:val="nil"/>
            </w:tcBorders>
            <w:shd w:val="clear" w:color="000000" w:fill="FFFFFF"/>
            <w:vAlign w:val="bottom"/>
            <w:hideMark/>
          </w:tcPr>
          <w:p w14:paraId="525F4CDB" w14:textId="5BD47D3B" w:rsidR="00830B11" w:rsidRPr="00B22A82" w:rsidRDefault="00830B11" w:rsidP="00C3755A">
            <w:pPr>
              <w:spacing w:after="0" w:line="240" w:lineRule="auto"/>
              <w:jc w:val="right"/>
              <w:rPr>
                <w:rFonts w:ascii="Arial" w:hAnsi="Arial" w:cs="Arial"/>
                <w:b/>
                <w:color w:val="000000"/>
                <w:sz w:val="16"/>
                <w:szCs w:val="16"/>
              </w:rPr>
            </w:pPr>
          </w:p>
        </w:tc>
        <w:tc>
          <w:tcPr>
            <w:tcW w:w="1009" w:type="dxa"/>
            <w:tcBorders>
              <w:top w:val="nil"/>
              <w:left w:val="nil"/>
              <w:bottom w:val="nil"/>
              <w:right w:val="nil"/>
            </w:tcBorders>
            <w:shd w:val="clear" w:color="000000" w:fill="FFFFFF"/>
            <w:vAlign w:val="bottom"/>
            <w:hideMark/>
          </w:tcPr>
          <w:p w14:paraId="2D1444C7" w14:textId="01D5394C" w:rsidR="00830B11" w:rsidRPr="00B22A82" w:rsidRDefault="00830B11" w:rsidP="00C3755A">
            <w:pPr>
              <w:spacing w:after="0" w:line="240" w:lineRule="auto"/>
              <w:jc w:val="right"/>
              <w:rPr>
                <w:rFonts w:ascii="Arial" w:hAnsi="Arial" w:cs="Arial"/>
                <w:b/>
                <w:color w:val="000000"/>
                <w:sz w:val="16"/>
                <w:szCs w:val="16"/>
              </w:rPr>
            </w:pPr>
          </w:p>
        </w:tc>
        <w:tc>
          <w:tcPr>
            <w:tcW w:w="1028" w:type="dxa"/>
            <w:tcBorders>
              <w:top w:val="nil"/>
              <w:left w:val="nil"/>
              <w:bottom w:val="nil"/>
              <w:right w:val="nil"/>
            </w:tcBorders>
            <w:shd w:val="clear" w:color="000000" w:fill="E6E6E6"/>
            <w:vAlign w:val="bottom"/>
            <w:hideMark/>
          </w:tcPr>
          <w:p w14:paraId="7D9F4A40" w14:textId="6C03CB8F" w:rsidR="00830B11" w:rsidRPr="00B22A82" w:rsidRDefault="00830B11" w:rsidP="00C3755A">
            <w:pPr>
              <w:spacing w:after="0" w:line="240" w:lineRule="auto"/>
              <w:jc w:val="right"/>
              <w:rPr>
                <w:rFonts w:ascii="Arial" w:hAnsi="Arial" w:cs="Arial"/>
                <w:b/>
                <w:color w:val="000000"/>
                <w:sz w:val="16"/>
                <w:szCs w:val="16"/>
              </w:rPr>
            </w:pPr>
          </w:p>
        </w:tc>
      </w:tr>
      <w:tr w:rsidR="00830B11" w:rsidRPr="00B22A82" w14:paraId="4C98D676" w14:textId="77777777" w:rsidTr="00B22A82">
        <w:trPr>
          <w:trHeight w:val="204"/>
        </w:trPr>
        <w:tc>
          <w:tcPr>
            <w:tcW w:w="3402" w:type="dxa"/>
            <w:tcBorders>
              <w:top w:val="nil"/>
              <w:left w:val="nil"/>
              <w:bottom w:val="nil"/>
              <w:right w:val="nil"/>
            </w:tcBorders>
            <w:shd w:val="clear" w:color="000000" w:fill="FFFFFF"/>
            <w:vAlign w:val="bottom"/>
            <w:hideMark/>
          </w:tcPr>
          <w:p w14:paraId="3CFD59A5" w14:textId="77777777" w:rsidR="00830B11" w:rsidRPr="00B22A82" w:rsidRDefault="00830B11" w:rsidP="004C6D93">
            <w:pPr>
              <w:spacing w:after="0" w:line="240" w:lineRule="auto"/>
              <w:jc w:val="left"/>
              <w:rPr>
                <w:rFonts w:ascii="Arial" w:hAnsi="Arial" w:cs="Arial"/>
                <w:color w:val="000000"/>
                <w:sz w:val="16"/>
                <w:szCs w:val="16"/>
              </w:rPr>
            </w:pPr>
            <w:r w:rsidRPr="00B22A82">
              <w:rPr>
                <w:rFonts w:ascii="Arial" w:hAnsi="Arial" w:cs="Arial"/>
                <w:color w:val="000000"/>
                <w:sz w:val="16"/>
                <w:szCs w:val="16"/>
              </w:rPr>
              <w:t xml:space="preserve">Annual appropriations - ordinary annual services </w:t>
            </w:r>
            <w:r w:rsidRPr="00B22A82">
              <w:rPr>
                <w:rFonts w:ascii="Arial" w:hAnsi="Arial" w:cs="Arial"/>
                <w:color w:val="000000"/>
                <w:sz w:val="16"/>
                <w:szCs w:val="16"/>
                <w:vertAlign w:val="superscript"/>
              </w:rPr>
              <w:t>(a)</w:t>
            </w:r>
          </w:p>
        </w:tc>
        <w:tc>
          <w:tcPr>
            <w:tcW w:w="1150" w:type="dxa"/>
            <w:tcBorders>
              <w:top w:val="nil"/>
              <w:left w:val="nil"/>
              <w:bottom w:val="nil"/>
              <w:right w:val="nil"/>
            </w:tcBorders>
            <w:shd w:val="clear" w:color="000000" w:fill="FFFFFF"/>
            <w:vAlign w:val="bottom"/>
            <w:hideMark/>
          </w:tcPr>
          <w:p w14:paraId="5E64F0CC" w14:textId="68A51A92" w:rsidR="00830B11" w:rsidRPr="00B22A82" w:rsidRDefault="00830B11" w:rsidP="00C3755A">
            <w:pPr>
              <w:spacing w:after="0" w:line="240" w:lineRule="auto"/>
              <w:jc w:val="right"/>
              <w:rPr>
                <w:rFonts w:ascii="Arial" w:hAnsi="Arial" w:cs="Arial"/>
                <w:iCs/>
                <w:color w:val="000000"/>
                <w:sz w:val="16"/>
                <w:szCs w:val="16"/>
              </w:rPr>
            </w:pPr>
          </w:p>
        </w:tc>
        <w:tc>
          <w:tcPr>
            <w:tcW w:w="1066" w:type="dxa"/>
            <w:tcBorders>
              <w:top w:val="nil"/>
              <w:left w:val="nil"/>
              <w:bottom w:val="nil"/>
              <w:right w:val="nil"/>
            </w:tcBorders>
            <w:shd w:val="clear" w:color="000000" w:fill="FFFFFF"/>
            <w:vAlign w:val="bottom"/>
            <w:hideMark/>
          </w:tcPr>
          <w:p w14:paraId="6176A47D" w14:textId="20F939EB" w:rsidR="00830B11" w:rsidRPr="00B22A82" w:rsidRDefault="00830B11" w:rsidP="00C3755A">
            <w:pPr>
              <w:spacing w:after="0" w:line="240" w:lineRule="auto"/>
              <w:jc w:val="right"/>
              <w:rPr>
                <w:rFonts w:ascii="Arial" w:hAnsi="Arial" w:cs="Arial"/>
                <w:color w:val="000000"/>
                <w:sz w:val="16"/>
                <w:szCs w:val="16"/>
              </w:rPr>
            </w:pPr>
          </w:p>
        </w:tc>
        <w:tc>
          <w:tcPr>
            <w:tcW w:w="1009" w:type="dxa"/>
            <w:tcBorders>
              <w:top w:val="nil"/>
              <w:left w:val="nil"/>
              <w:bottom w:val="nil"/>
              <w:right w:val="nil"/>
            </w:tcBorders>
            <w:shd w:val="clear" w:color="000000" w:fill="FFFFFF"/>
            <w:vAlign w:val="bottom"/>
            <w:hideMark/>
          </w:tcPr>
          <w:p w14:paraId="1F913C35" w14:textId="142FAEE9" w:rsidR="00830B11" w:rsidRPr="00B22A82" w:rsidRDefault="00830B11" w:rsidP="00C3755A">
            <w:pPr>
              <w:spacing w:after="0" w:line="240" w:lineRule="auto"/>
              <w:jc w:val="right"/>
              <w:rPr>
                <w:rFonts w:ascii="Arial" w:hAnsi="Arial" w:cs="Arial"/>
                <w:color w:val="000000"/>
                <w:sz w:val="16"/>
                <w:szCs w:val="16"/>
              </w:rPr>
            </w:pPr>
          </w:p>
        </w:tc>
        <w:tc>
          <w:tcPr>
            <w:tcW w:w="1028" w:type="dxa"/>
            <w:tcBorders>
              <w:top w:val="nil"/>
              <w:left w:val="nil"/>
              <w:bottom w:val="nil"/>
              <w:right w:val="nil"/>
            </w:tcBorders>
            <w:shd w:val="clear" w:color="000000" w:fill="E6E6E6"/>
            <w:vAlign w:val="bottom"/>
            <w:hideMark/>
          </w:tcPr>
          <w:p w14:paraId="21BF8D34" w14:textId="0455DF83" w:rsidR="00830B11" w:rsidRPr="00B22A82" w:rsidRDefault="00830B11" w:rsidP="00C3755A">
            <w:pPr>
              <w:spacing w:after="0" w:line="240" w:lineRule="auto"/>
              <w:jc w:val="right"/>
              <w:rPr>
                <w:rFonts w:ascii="Arial" w:hAnsi="Arial" w:cs="Arial"/>
                <w:color w:val="000000"/>
                <w:sz w:val="16"/>
                <w:szCs w:val="16"/>
              </w:rPr>
            </w:pPr>
          </w:p>
        </w:tc>
      </w:tr>
      <w:tr w:rsidR="00830B11" w:rsidRPr="00B22A82" w14:paraId="6E32D086" w14:textId="77777777" w:rsidTr="00B22A82">
        <w:trPr>
          <w:trHeight w:val="204"/>
        </w:trPr>
        <w:tc>
          <w:tcPr>
            <w:tcW w:w="3402" w:type="dxa"/>
            <w:tcBorders>
              <w:top w:val="nil"/>
              <w:left w:val="nil"/>
              <w:bottom w:val="nil"/>
              <w:right w:val="nil"/>
            </w:tcBorders>
            <w:shd w:val="clear" w:color="000000" w:fill="FFFFFF"/>
            <w:vAlign w:val="bottom"/>
            <w:hideMark/>
          </w:tcPr>
          <w:p w14:paraId="1E684D27" w14:textId="4BAD777B" w:rsidR="00830B11" w:rsidRPr="00B22A82" w:rsidRDefault="00830B11" w:rsidP="00D12B65">
            <w:pPr>
              <w:spacing w:after="0" w:line="240" w:lineRule="auto"/>
              <w:ind w:left="113"/>
              <w:jc w:val="left"/>
              <w:rPr>
                <w:rFonts w:ascii="Arial" w:hAnsi="Arial" w:cs="Arial"/>
                <w:color w:val="000000"/>
                <w:sz w:val="16"/>
                <w:szCs w:val="16"/>
              </w:rPr>
            </w:pPr>
            <w:r w:rsidRPr="00B22A82">
              <w:rPr>
                <w:rFonts w:ascii="Arial" w:hAnsi="Arial" w:cs="Arial"/>
                <w:color w:val="000000"/>
                <w:sz w:val="16"/>
                <w:szCs w:val="16"/>
              </w:rPr>
              <w:t>Prior year appropriations available</w:t>
            </w:r>
          </w:p>
        </w:tc>
        <w:tc>
          <w:tcPr>
            <w:tcW w:w="1150" w:type="dxa"/>
            <w:tcBorders>
              <w:top w:val="nil"/>
              <w:left w:val="nil"/>
              <w:bottom w:val="nil"/>
              <w:right w:val="nil"/>
            </w:tcBorders>
            <w:shd w:val="clear" w:color="auto" w:fill="auto"/>
            <w:vAlign w:val="bottom"/>
            <w:hideMark/>
          </w:tcPr>
          <w:p w14:paraId="2264944E" w14:textId="6D6C6746"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w:t>
            </w:r>
          </w:p>
        </w:tc>
        <w:tc>
          <w:tcPr>
            <w:tcW w:w="1066" w:type="dxa"/>
            <w:tcBorders>
              <w:top w:val="nil"/>
              <w:left w:val="nil"/>
              <w:bottom w:val="nil"/>
              <w:right w:val="nil"/>
            </w:tcBorders>
            <w:shd w:val="clear" w:color="000000" w:fill="FFFFFF"/>
            <w:vAlign w:val="bottom"/>
            <w:hideMark/>
          </w:tcPr>
          <w:p w14:paraId="079A4497" w14:textId="72C2DB97"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2,250</w:t>
            </w:r>
          </w:p>
        </w:tc>
        <w:tc>
          <w:tcPr>
            <w:tcW w:w="1009" w:type="dxa"/>
            <w:tcBorders>
              <w:top w:val="nil"/>
              <w:left w:val="nil"/>
              <w:bottom w:val="nil"/>
              <w:right w:val="nil"/>
            </w:tcBorders>
            <w:shd w:val="clear" w:color="000000" w:fill="FFFFFF"/>
            <w:vAlign w:val="bottom"/>
            <w:hideMark/>
          </w:tcPr>
          <w:p w14:paraId="4445F693" w14:textId="386F371A"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nil"/>
              <w:left w:val="nil"/>
              <w:bottom w:val="nil"/>
              <w:right w:val="nil"/>
            </w:tcBorders>
            <w:shd w:val="clear" w:color="000000" w:fill="E6E6E6"/>
            <w:vAlign w:val="bottom"/>
            <w:hideMark/>
          </w:tcPr>
          <w:p w14:paraId="4B113533" w14:textId="1DA1B50B"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2,250</w:t>
            </w:r>
          </w:p>
        </w:tc>
      </w:tr>
      <w:tr w:rsidR="00830B11" w:rsidRPr="00B22A82" w14:paraId="1E4AD32B" w14:textId="77777777" w:rsidTr="00B22A82">
        <w:trPr>
          <w:trHeight w:val="204"/>
        </w:trPr>
        <w:tc>
          <w:tcPr>
            <w:tcW w:w="3402" w:type="dxa"/>
            <w:tcBorders>
              <w:top w:val="nil"/>
              <w:left w:val="nil"/>
              <w:bottom w:val="nil"/>
              <w:right w:val="nil"/>
            </w:tcBorders>
            <w:shd w:val="clear" w:color="000000" w:fill="FFFFFF"/>
            <w:vAlign w:val="bottom"/>
            <w:hideMark/>
          </w:tcPr>
          <w:p w14:paraId="2E768D35" w14:textId="3C141CB8" w:rsidR="00830B11" w:rsidRPr="00B22A82" w:rsidRDefault="00830B11" w:rsidP="005C34CA">
            <w:pPr>
              <w:spacing w:after="0" w:line="240" w:lineRule="auto"/>
              <w:ind w:left="113"/>
              <w:jc w:val="left"/>
              <w:rPr>
                <w:rFonts w:ascii="Arial" w:hAnsi="Arial" w:cs="Arial"/>
                <w:color w:val="000000"/>
                <w:sz w:val="16"/>
                <w:szCs w:val="16"/>
              </w:rPr>
            </w:pPr>
            <w:r w:rsidRPr="00B22A82">
              <w:rPr>
                <w:rFonts w:ascii="Arial" w:hAnsi="Arial" w:cs="Arial"/>
                <w:color w:val="000000"/>
                <w:sz w:val="16"/>
                <w:szCs w:val="16"/>
              </w:rPr>
              <w:t>Outcome 1</w:t>
            </w:r>
          </w:p>
        </w:tc>
        <w:tc>
          <w:tcPr>
            <w:tcW w:w="1150" w:type="dxa"/>
            <w:tcBorders>
              <w:top w:val="nil"/>
              <w:left w:val="nil"/>
              <w:bottom w:val="nil"/>
              <w:right w:val="nil"/>
            </w:tcBorders>
            <w:shd w:val="clear" w:color="000000" w:fill="FFFFFF"/>
            <w:vAlign w:val="bottom"/>
            <w:hideMark/>
          </w:tcPr>
          <w:p w14:paraId="1513ECB8" w14:textId="5FAB1D3E"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12,988</w:t>
            </w:r>
          </w:p>
        </w:tc>
        <w:tc>
          <w:tcPr>
            <w:tcW w:w="1066" w:type="dxa"/>
            <w:tcBorders>
              <w:top w:val="nil"/>
              <w:left w:val="nil"/>
              <w:bottom w:val="nil"/>
              <w:right w:val="nil"/>
            </w:tcBorders>
            <w:shd w:val="clear" w:color="000000" w:fill="FFFFFF"/>
            <w:vAlign w:val="bottom"/>
            <w:hideMark/>
          </w:tcPr>
          <w:p w14:paraId="386D06BE" w14:textId="428DC0D8"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6,694</w:t>
            </w:r>
          </w:p>
        </w:tc>
        <w:tc>
          <w:tcPr>
            <w:tcW w:w="1009" w:type="dxa"/>
            <w:tcBorders>
              <w:top w:val="nil"/>
              <w:left w:val="nil"/>
              <w:bottom w:val="nil"/>
              <w:right w:val="nil"/>
            </w:tcBorders>
            <w:shd w:val="clear" w:color="000000" w:fill="FFFFFF"/>
            <w:vAlign w:val="bottom"/>
            <w:hideMark/>
          </w:tcPr>
          <w:p w14:paraId="49A86DD5" w14:textId="532BF8D5"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nil"/>
              <w:left w:val="nil"/>
              <w:bottom w:val="nil"/>
              <w:right w:val="nil"/>
            </w:tcBorders>
            <w:shd w:val="clear" w:color="000000" w:fill="E6E6E6"/>
            <w:vAlign w:val="bottom"/>
            <w:hideMark/>
          </w:tcPr>
          <w:p w14:paraId="5D8A50CE" w14:textId="58F5DF77"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6,694</w:t>
            </w:r>
          </w:p>
        </w:tc>
      </w:tr>
      <w:tr w:rsidR="00830B11" w:rsidRPr="00B22A82" w14:paraId="516746C3" w14:textId="77777777" w:rsidTr="00B22A82">
        <w:trPr>
          <w:trHeight w:val="204"/>
        </w:trPr>
        <w:tc>
          <w:tcPr>
            <w:tcW w:w="3402" w:type="dxa"/>
            <w:tcBorders>
              <w:top w:val="nil"/>
              <w:left w:val="nil"/>
              <w:bottom w:val="nil"/>
              <w:right w:val="nil"/>
            </w:tcBorders>
            <w:shd w:val="clear" w:color="000000" w:fill="FFFFFF"/>
            <w:vAlign w:val="bottom"/>
            <w:hideMark/>
          </w:tcPr>
          <w:p w14:paraId="3793D46A" w14:textId="77777777" w:rsidR="00830B11" w:rsidRPr="00B22A82" w:rsidRDefault="00830B11" w:rsidP="004C6D93">
            <w:pPr>
              <w:spacing w:after="0" w:line="240" w:lineRule="auto"/>
              <w:jc w:val="left"/>
              <w:rPr>
                <w:rFonts w:ascii="Arial" w:hAnsi="Arial" w:cs="Arial"/>
                <w:color w:val="000000"/>
                <w:sz w:val="16"/>
                <w:szCs w:val="16"/>
              </w:rPr>
            </w:pPr>
            <w:r w:rsidRPr="00B22A82">
              <w:rPr>
                <w:rFonts w:ascii="Arial" w:hAnsi="Arial" w:cs="Arial"/>
                <w:color w:val="000000"/>
                <w:sz w:val="16"/>
                <w:szCs w:val="16"/>
              </w:rPr>
              <w:t>Total administered annual appropriations</w:t>
            </w:r>
          </w:p>
        </w:tc>
        <w:tc>
          <w:tcPr>
            <w:tcW w:w="1150" w:type="dxa"/>
            <w:tcBorders>
              <w:top w:val="single" w:sz="4" w:space="0" w:color="auto"/>
              <w:left w:val="nil"/>
              <w:bottom w:val="single" w:sz="4" w:space="0" w:color="auto"/>
              <w:right w:val="nil"/>
            </w:tcBorders>
            <w:shd w:val="clear" w:color="000000" w:fill="FFFFFF"/>
            <w:vAlign w:val="bottom"/>
            <w:hideMark/>
          </w:tcPr>
          <w:p w14:paraId="3D48BE66" w14:textId="6B8ABB22" w:rsidR="00830B11" w:rsidRPr="00B22A82" w:rsidRDefault="00830B11" w:rsidP="00C3755A">
            <w:pPr>
              <w:spacing w:after="0" w:line="240" w:lineRule="auto"/>
              <w:jc w:val="right"/>
              <w:rPr>
                <w:rFonts w:ascii="Arial" w:hAnsi="Arial" w:cs="Arial"/>
                <w:b/>
                <w:iCs/>
                <w:color w:val="000000"/>
                <w:sz w:val="16"/>
                <w:szCs w:val="16"/>
              </w:rPr>
            </w:pPr>
            <w:r w:rsidRPr="00B22A82">
              <w:rPr>
                <w:rFonts w:ascii="Arial" w:hAnsi="Arial" w:cs="Arial"/>
                <w:b/>
                <w:iCs/>
                <w:color w:val="000000"/>
                <w:sz w:val="16"/>
                <w:szCs w:val="16"/>
              </w:rPr>
              <w:t>12,988</w:t>
            </w:r>
          </w:p>
        </w:tc>
        <w:tc>
          <w:tcPr>
            <w:tcW w:w="1066" w:type="dxa"/>
            <w:tcBorders>
              <w:top w:val="single" w:sz="4" w:space="0" w:color="auto"/>
              <w:left w:val="nil"/>
              <w:bottom w:val="single" w:sz="4" w:space="0" w:color="auto"/>
              <w:right w:val="nil"/>
            </w:tcBorders>
            <w:shd w:val="clear" w:color="000000" w:fill="FFFFFF"/>
            <w:vAlign w:val="bottom"/>
            <w:hideMark/>
          </w:tcPr>
          <w:p w14:paraId="2ABD2B5E" w14:textId="4439FE90" w:rsidR="00830B11" w:rsidRPr="00B22A82" w:rsidRDefault="00830B11" w:rsidP="00C3755A">
            <w:pPr>
              <w:spacing w:after="0" w:line="240" w:lineRule="auto"/>
              <w:jc w:val="right"/>
              <w:rPr>
                <w:rFonts w:ascii="Arial" w:hAnsi="Arial" w:cs="Arial"/>
                <w:b/>
                <w:color w:val="000000"/>
                <w:sz w:val="16"/>
                <w:szCs w:val="16"/>
              </w:rPr>
            </w:pPr>
            <w:r w:rsidRPr="00B22A82">
              <w:rPr>
                <w:rFonts w:ascii="Arial" w:hAnsi="Arial" w:cs="Arial"/>
                <w:b/>
                <w:color w:val="000000"/>
                <w:sz w:val="16"/>
                <w:szCs w:val="16"/>
              </w:rPr>
              <w:t>8,944</w:t>
            </w:r>
          </w:p>
        </w:tc>
        <w:tc>
          <w:tcPr>
            <w:tcW w:w="1009" w:type="dxa"/>
            <w:tcBorders>
              <w:top w:val="single" w:sz="4" w:space="0" w:color="auto"/>
              <w:left w:val="nil"/>
              <w:bottom w:val="single" w:sz="4" w:space="0" w:color="auto"/>
              <w:right w:val="nil"/>
            </w:tcBorders>
            <w:shd w:val="clear" w:color="000000" w:fill="FFFFFF"/>
            <w:vAlign w:val="bottom"/>
            <w:hideMark/>
          </w:tcPr>
          <w:p w14:paraId="36358699" w14:textId="7FE7B3D9" w:rsidR="00830B11" w:rsidRPr="00B22A82" w:rsidRDefault="00830B11" w:rsidP="00C3755A">
            <w:pPr>
              <w:spacing w:after="0" w:line="240" w:lineRule="auto"/>
              <w:jc w:val="right"/>
              <w:rPr>
                <w:rFonts w:ascii="Arial" w:hAnsi="Arial" w:cs="Arial"/>
                <w:b/>
                <w:color w:val="000000"/>
                <w:sz w:val="16"/>
                <w:szCs w:val="16"/>
              </w:rPr>
            </w:pPr>
            <w:r w:rsidRPr="00B22A82">
              <w:rPr>
                <w:rFonts w:ascii="Arial" w:hAnsi="Arial" w:cs="Arial"/>
                <w:b/>
                <w:color w:val="000000"/>
                <w:sz w:val="16"/>
                <w:szCs w:val="16"/>
              </w:rPr>
              <w:t>-</w:t>
            </w:r>
          </w:p>
        </w:tc>
        <w:tc>
          <w:tcPr>
            <w:tcW w:w="1028" w:type="dxa"/>
            <w:tcBorders>
              <w:top w:val="single" w:sz="4" w:space="0" w:color="auto"/>
              <w:left w:val="nil"/>
              <w:bottom w:val="single" w:sz="4" w:space="0" w:color="auto"/>
              <w:right w:val="nil"/>
            </w:tcBorders>
            <w:shd w:val="clear" w:color="000000" w:fill="E6E6E6"/>
            <w:vAlign w:val="bottom"/>
            <w:hideMark/>
          </w:tcPr>
          <w:p w14:paraId="3E796011" w14:textId="76EB8E5B" w:rsidR="00830B11" w:rsidRPr="00B22A82" w:rsidRDefault="00830B11" w:rsidP="00C3755A">
            <w:pPr>
              <w:spacing w:after="0" w:line="240" w:lineRule="auto"/>
              <w:jc w:val="right"/>
              <w:rPr>
                <w:rFonts w:ascii="Arial" w:hAnsi="Arial" w:cs="Arial"/>
                <w:b/>
                <w:color w:val="000000"/>
                <w:sz w:val="16"/>
                <w:szCs w:val="16"/>
              </w:rPr>
            </w:pPr>
            <w:r w:rsidRPr="00B22A82">
              <w:rPr>
                <w:rFonts w:ascii="Arial" w:hAnsi="Arial" w:cs="Arial"/>
                <w:b/>
                <w:color w:val="000000"/>
                <w:sz w:val="16"/>
                <w:szCs w:val="16"/>
              </w:rPr>
              <w:t>8,944</w:t>
            </w:r>
          </w:p>
        </w:tc>
      </w:tr>
      <w:tr w:rsidR="00830B11" w:rsidRPr="00B22A82" w14:paraId="25209C9E" w14:textId="77777777" w:rsidTr="00B22A82">
        <w:trPr>
          <w:trHeight w:val="204"/>
        </w:trPr>
        <w:tc>
          <w:tcPr>
            <w:tcW w:w="3402" w:type="dxa"/>
            <w:tcBorders>
              <w:top w:val="nil"/>
              <w:left w:val="nil"/>
              <w:bottom w:val="nil"/>
              <w:right w:val="nil"/>
            </w:tcBorders>
            <w:shd w:val="clear" w:color="000000" w:fill="FFFFFF"/>
            <w:vAlign w:val="bottom"/>
            <w:hideMark/>
          </w:tcPr>
          <w:p w14:paraId="021297D6" w14:textId="77777777" w:rsidR="00830B11" w:rsidRPr="00B22A82" w:rsidRDefault="00830B11" w:rsidP="004C6D93">
            <w:pPr>
              <w:spacing w:after="0" w:line="240" w:lineRule="auto"/>
              <w:jc w:val="left"/>
              <w:rPr>
                <w:rFonts w:ascii="Arial" w:hAnsi="Arial" w:cs="Arial"/>
                <w:color w:val="000000"/>
                <w:sz w:val="16"/>
                <w:szCs w:val="16"/>
              </w:rPr>
            </w:pPr>
            <w:r w:rsidRPr="00B22A82">
              <w:rPr>
                <w:rFonts w:ascii="Arial" w:hAnsi="Arial" w:cs="Arial"/>
                <w:color w:val="000000"/>
                <w:sz w:val="16"/>
                <w:szCs w:val="16"/>
              </w:rPr>
              <w:t xml:space="preserve">Administered special appropriations </w:t>
            </w:r>
          </w:p>
        </w:tc>
        <w:tc>
          <w:tcPr>
            <w:tcW w:w="1150" w:type="dxa"/>
            <w:tcBorders>
              <w:top w:val="single" w:sz="4" w:space="0" w:color="auto"/>
              <w:left w:val="nil"/>
              <w:bottom w:val="nil"/>
              <w:right w:val="nil"/>
            </w:tcBorders>
            <w:shd w:val="clear" w:color="000000" w:fill="FFFFFF"/>
            <w:vAlign w:val="bottom"/>
            <w:hideMark/>
          </w:tcPr>
          <w:p w14:paraId="1E579CEC" w14:textId="45C12315" w:rsidR="00830B11" w:rsidRPr="00B22A82" w:rsidRDefault="00830B11" w:rsidP="00C3755A">
            <w:pPr>
              <w:spacing w:after="0" w:line="240" w:lineRule="auto"/>
              <w:jc w:val="right"/>
              <w:rPr>
                <w:rFonts w:ascii="Arial" w:hAnsi="Arial" w:cs="Arial"/>
                <w:b/>
                <w:iCs/>
                <w:color w:val="000000"/>
                <w:sz w:val="16"/>
                <w:szCs w:val="16"/>
              </w:rPr>
            </w:pPr>
          </w:p>
        </w:tc>
        <w:tc>
          <w:tcPr>
            <w:tcW w:w="1066" w:type="dxa"/>
            <w:tcBorders>
              <w:top w:val="single" w:sz="4" w:space="0" w:color="auto"/>
              <w:left w:val="nil"/>
              <w:bottom w:val="nil"/>
              <w:right w:val="nil"/>
            </w:tcBorders>
            <w:shd w:val="clear" w:color="000000" w:fill="FFFFFF"/>
            <w:vAlign w:val="bottom"/>
            <w:hideMark/>
          </w:tcPr>
          <w:p w14:paraId="222BDBB6" w14:textId="1D6BB75F" w:rsidR="00830B11" w:rsidRPr="00B22A82" w:rsidRDefault="00830B11" w:rsidP="00C3755A">
            <w:pPr>
              <w:spacing w:after="0" w:line="240" w:lineRule="auto"/>
              <w:jc w:val="right"/>
              <w:rPr>
                <w:rFonts w:ascii="Arial" w:hAnsi="Arial" w:cs="Arial"/>
                <w:b/>
                <w:color w:val="000000"/>
                <w:sz w:val="16"/>
                <w:szCs w:val="16"/>
              </w:rPr>
            </w:pPr>
          </w:p>
        </w:tc>
        <w:tc>
          <w:tcPr>
            <w:tcW w:w="1009" w:type="dxa"/>
            <w:tcBorders>
              <w:top w:val="single" w:sz="4" w:space="0" w:color="auto"/>
              <w:left w:val="nil"/>
              <w:bottom w:val="nil"/>
              <w:right w:val="nil"/>
            </w:tcBorders>
            <w:shd w:val="clear" w:color="000000" w:fill="FFFFFF"/>
            <w:vAlign w:val="bottom"/>
            <w:hideMark/>
          </w:tcPr>
          <w:p w14:paraId="079894A9" w14:textId="486669B7" w:rsidR="00830B11" w:rsidRPr="00B22A82" w:rsidRDefault="00830B11" w:rsidP="00C3755A">
            <w:pPr>
              <w:spacing w:after="0" w:line="240" w:lineRule="auto"/>
              <w:jc w:val="right"/>
              <w:rPr>
                <w:rFonts w:ascii="Arial" w:hAnsi="Arial" w:cs="Arial"/>
                <w:b/>
                <w:color w:val="000000"/>
                <w:sz w:val="16"/>
                <w:szCs w:val="16"/>
              </w:rPr>
            </w:pPr>
          </w:p>
        </w:tc>
        <w:tc>
          <w:tcPr>
            <w:tcW w:w="1028" w:type="dxa"/>
            <w:tcBorders>
              <w:top w:val="single" w:sz="4" w:space="0" w:color="auto"/>
              <w:left w:val="nil"/>
              <w:bottom w:val="nil"/>
              <w:right w:val="nil"/>
            </w:tcBorders>
            <w:shd w:val="clear" w:color="000000" w:fill="E6E6E6"/>
            <w:vAlign w:val="bottom"/>
            <w:hideMark/>
          </w:tcPr>
          <w:p w14:paraId="038BCC13" w14:textId="1BF25FC8" w:rsidR="00830B11" w:rsidRPr="00B22A82" w:rsidRDefault="00830B11" w:rsidP="00C3755A">
            <w:pPr>
              <w:spacing w:after="0" w:line="240" w:lineRule="auto"/>
              <w:jc w:val="right"/>
              <w:rPr>
                <w:rFonts w:ascii="Arial" w:hAnsi="Arial" w:cs="Arial"/>
                <w:b/>
                <w:color w:val="000000"/>
                <w:sz w:val="16"/>
                <w:szCs w:val="16"/>
              </w:rPr>
            </w:pPr>
          </w:p>
        </w:tc>
      </w:tr>
      <w:tr w:rsidR="00830B11" w:rsidRPr="00B22A82" w14:paraId="0DC3DB5D" w14:textId="77777777" w:rsidTr="00B22A82">
        <w:trPr>
          <w:trHeight w:val="204"/>
        </w:trPr>
        <w:tc>
          <w:tcPr>
            <w:tcW w:w="3402" w:type="dxa"/>
            <w:tcBorders>
              <w:top w:val="nil"/>
              <w:left w:val="nil"/>
              <w:bottom w:val="nil"/>
              <w:right w:val="nil"/>
            </w:tcBorders>
            <w:shd w:val="clear" w:color="000000" w:fill="FFFFFF"/>
            <w:vAlign w:val="bottom"/>
            <w:hideMark/>
          </w:tcPr>
          <w:p w14:paraId="6F251736" w14:textId="1F04101C" w:rsidR="00830B11" w:rsidRPr="00B22A82" w:rsidRDefault="00830B11" w:rsidP="005C34CA">
            <w:pPr>
              <w:spacing w:after="0" w:line="240" w:lineRule="auto"/>
              <w:ind w:left="113"/>
              <w:jc w:val="left"/>
              <w:rPr>
                <w:rFonts w:ascii="Arial" w:hAnsi="Arial" w:cs="Arial"/>
                <w:color w:val="000000"/>
                <w:sz w:val="16"/>
                <w:szCs w:val="16"/>
              </w:rPr>
            </w:pPr>
            <w:r w:rsidRPr="00B22A82">
              <w:rPr>
                <w:rFonts w:ascii="Arial" w:hAnsi="Arial" w:cs="Arial"/>
                <w:color w:val="000000"/>
                <w:sz w:val="16"/>
                <w:szCs w:val="16"/>
              </w:rPr>
              <w:t xml:space="preserve">Outcome 1 </w:t>
            </w:r>
            <w:r w:rsidRPr="00B22A82">
              <w:rPr>
                <w:rFonts w:ascii="Arial" w:hAnsi="Arial" w:cs="Arial"/>
                <w:color w:val="000000"/>
                <w:sz w:val="16"/>
                <w:szCs w:val="16"/>
                <w:vertAlign w:val="superscript"/>
              </w:rPr>
              <w:t>(g)</w:t>
            </w:r>
          </w:p>
        </w:tc>
        <w:tc>
          <w:tcPr>
            <w:tcW w:w="1150" w:type="dxa"/>
            <w:tcBorders>
              <w:top w:val="nil"/>
              <w:left w:val="nil"/>
              <w:bottom w:val="single" w:sz="4" w:space="0" w:color="auto"/>
              <w:right w:val="nil"/>
            </w:tcBorders>
            <w:shd w:val="clear" w:color="000000" w:fill="FFFFFF"/>
            <w:vAlign w:val="bottom"/>
            <w:hideMark/>
          </w:tcPr>
          <w:p w14:paraId="7CF86D32" w14:textId="3C514E61"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7,146</w:t>
            </w:r>
          </w:p>
        </w:tc>
        <w:tc>
          <w:tcPr>
            <w:tcW w:w="1066" w:type="dxa"/>
            <w:tcBorders>
              <w:top w:val="nil"/>
              <w:left w:val="nil"/>
              <w:bottom w:val="single" w:sz="4" w:space="0" w:color="auto"/>
              <w:right w:val="nil"/>
            </w:tcBorders>
            <w:shd w:val="clear" w:color="000000" w:fill="FFFFFF"/>
            <w:vAlign w:val="bottom"/>
            <w:hideMark/>
          </w:tcPr>
          <w:p w14:paraId="61821DA9" w14:textId="1638A719"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8,300</w:t>
            </w:r>
          </w:p>
        </w:tc>
        <w:tc>
          <w:tcPr>
            <w:tcW w:w="1009" w:type="dxa"/>
            <w:tcBorders>
              <w:top w:val="nil"/>
              <w:left w:val="nil"/>
              <w:bottom w:val="single" w:sz="4" w:space="0" w:color="auto"/>
              <w:right w:val="nil"/>
            </w:tcBorders>
            <w:shd w:val="clear" w:color="000000" w:fill="FFFFFF"/>
            <w:vAlign w:val="bottom"/>
            <w:hideMark/>
          </w:tcPr>
          <w:p w14:paraId="57B8B808" w14:textId="166F24FB"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nil"/>
              <w:left w:val="nil"/>
              <w:bottom w:val="single" w:sz="4" w:space="0" w:color="auto"/>
              <w:right w:val="nil"/>
            </w:tcBorders>
            <w:shd w:val="clear" w:color="000000" w:fill="E6E6E6"/>
            <w:vAlign w:val="bottom"/>
            <w:hideMark/>
          </w:tcPr>
          <w:p w14:paraId="6478EA5D" w14:textId="40EA5BD1"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8,300</w:t>
            </w:r>
          </w:p>
        </w:tc>
      </w:tr>
      <w:tr w:rsidR="00830B11" w:rsidRPr="00B22A82" w14:paraId="5A898B4E" w14:textId="77777777" w:rsidTr="00B22A82">
        <w:trPr>
          <w:trHeight w:val="204"/>
        </w:trPr>
        <w:tc>
          <w:tcPr>
            <w:tcW w:w="3402" w:type="dxa"/>
            <w:tcBorders>
              <w:top w:val="nil"/>
              <w:left w:val="nil"/>
              <w:bottom w:val="nil"/>
              <w:right w:val="nil"/>
            </w:tcBorders>
            <w:shd w:val="clear" w:color="000000" w:fill="FFFFFF"/>
            <w:vAlign w:val="bottom"/>
            <w:hideMark/>
          </w:tcPr>
          <w:p w14:paraId="2DC32FA4" w14:textId="77777777" w:rsidR="00830B11" w:rsidRPr="00B22A82" w:rsidRDefault="00830B11" w:rsidP="004C6D93">
            <w:pPr>
              <w:spacing w:after="0" w:line="240" w:lineRule="auto"/>
              <w:jc w:val="left"/>
              <w:rPr>
                <w:rFonts w:ascii="Arial" w:hAnsi="Arial" w:cs="Arial"/>
                <w:iCs/>
                <w:color w:val="000000"/>
                <w:sz w:val="16"/>
                <w:szCs w:val="16"/>
              </w:rPr>
            </w:pPr>
            <w:r w:rsidRPr="00B22A82">
              <w:rPr>
                <w:rFonts w:ascii="Arial" w:hAnsi="Arial" w:cs="Arial"/>
                <w:iCs/>
                <w:color w:val="000000"/>
                <w:sz w:val="16"/>
                <w:szCs w:val="16"/>
              </w:rPr>
              <w:t xml:space="preserve">Total administered special appropriations </w:t>
            </w:r>
          </w:p>
        </w:tc>
        <w:tc>
          <w:tcPr>
            <w:tcW w:w="1150" w:type="dxa"/>
            <w:tcBorders>
              <w:top w:val="nil"/>
              <w:left w:val="nil"/>
              <w:bottom w:val="single" w:sz="4" w:space="0" w:color="auto"/>
              <w:right w:val="nil"/>
            </w:tcBorders>
            <w:shd w:val="clear" w:color="000000" w:fill="FFFFFF"/>
            <w:vAlign w:val="bottom"/>
            <w:hideMark/>
          </w:tcPr>
          <w:p w14:paraId="34076A8A" w14:textId="79D14853" w:rsidR="00830B11" w:rsidRPr="00B22A82" w:rsidRDefault="00830B11" w:rsidP="00C3755A">
            <w:pPr>
              <w:spacing w:after="0" w:line="240" w:lineRule="auto"/>
              <w:jc w:val="right"/>
              <w:rPr>
                <w:rFonts w:ascii="Arial" w:hAnsi="Arial" w:cs="Arial"/>
                <w:iCs/>
                <w:color w:val="000000"/>
                <w:sz w:val="16"/>
                <w:szCs w:val="16"/>
              </w:rPr>
            </w:pPr>
            <w:r w:rsidRPr="00B22A82">
              <w:rPr>
                <w:rFonts w:ascii="Arial" w:hAnsi="Arial" w:cs="Arial"/>
                <w:iCs/>
                <w:color w:val="000000"/>
                <w:sz w:val="16"/>
                <w:szCs w:val="16"/>
              </w:rPr>
              <w:t>7,146</w:t>
            </w:r>
          </w:p>
        </w:tc>
        <w:tc>
          <w:tcPr>
            <w:tcW w:w="1066" w:type="dxa"/>
            <w:tcBorders>
              <w:top w:val="nil"/>
              <w:left w:val="nil"/>
              <w:bottom w:val="single" w:sz="4" w:space="0" w:color="auto"/>
              <w:right w:val="nil"/>
            </w:tcBorders>
            <w:shd w:val="clear" w:color="000000" w:fill="FFFFFF"/>
            <w:vAlign w:val="bottom"/>
            <w:hideMark/>
          </w:tcPr>
          <w:p w14:paraId="1B8F004F" w14:textId="6CD08B77"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8,300</w:t>
            </w:r>
          </w:p>
        </w:tc>
        <w:tc>
          <w:tcPr>
            <w:tcW w:w="1009" w:type="dxa"/>
            <w:tcBorders>
              <w:top w:val="nil"/>
              <w:left w:val="nil"/>
              <w:bottom w:val="single" w:sz="4" w:space="0" w:color="auto"/>
              <w:right w:val="nil"/>
            </w:tcBorders>
            <w:shd w:val="clear" w:color="000000" w:fill="FFFFFF"/>
            <w:vAlign w:val="bottom"/>
            <w:hideMark/>
          </w:tcPr>
          <w:p w14:paraId="580B97D0" w14:textId="1783430D"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w:t>
            </w:r>
          </w:p>
        </w:tc>
        <w:tc>
          <w:tcPr>
            <w:tcW w:w="1028" w:type="dxa"/>
            <w:tcBorders>
              <w:top w:val="single" w:sz="4" w:space="0" w:color="auto"/>
              <w:left w:val="nil"/>
              <w:bottom w:val="single" w:sz="4" w:space="0" w:color="auto"/>
              <w:right w:val="nil"/>
            </w:tcBorders>
            <w:shd w:val="clear" w:color="000000" w:fill="E6E6E6"/>
            <w:vAlign w:val="bottom"/>
            <w:hideMark/>
          </w:tcPr>
          <w:p w14:paraId="4FCBDA7B" w14:textId="21B01614" w:rsidR="00830B11" w:rsidRPr="00B22A82" w:rsidRDefault="00830B11" w:rsidP="00C3755A">
            <w:pPr>
              <w:spacing w:after="0" w:line="240" w:lineRule="auto"/>
              <w:jc w:val="right"/>
              <w:rPr>
                <w:rFonts w:ascii="Arial" w:hAnsi="Arial" w:cs="Arial"/>
                <w:color w:val="000000"/>
                <w:sz w:val="16"/>
                <w:szCs w:val="16"/>
              </w:rPr>
            </w:pPr>
            <w:r w:rsidRPr="00B22A82">
              <w:rPr>
                <w:rFonts w:ascii="Arial" w:hAnsi="Arial" w:cs="Arial"/>
                <w:color w:val="000000"/>
                <w:sz w:val="16"/>
                <w:szCs w:val="16"/>
              </w:rPr>
              <w:t>8,300</w:t>
            </w:r>
          </w:p>
        </w:tc>
      </w:tr>
      <w:tr w:rsidR="00830B11" w:rsidRPr="00B22A82" w14:paraId="589301EE" w14:textId="77777777" w:rsidTr="00B22A82">
        <w:trPr>
          <w:trHeight w:val="204"/>
        </w:trPr>
        <w:tc>
          <w:tcPr>
            <w:tcW w:w="3402" w:type="dxa"/>
            <w:tcBorders>
              <w:top w:val="nil"/>
              <w:left w:val="nil"/>
              <w:bottom w:val="nil"/>
              <w:right w:val="nil"/>
            </w:tcBorders>
            <w:shd w:val="clear" w:color="000000" w:fill="FFFFFF"/>
            <w:vAlign w:val="bottom"/>
            <w:hideMark/>
          </w:tcPr>
          <w:p w14:paraId="69B21B61" w14:textId="77777777" w:rsidR="00830B11" w:rsidRPr="00B22A82" w:rsidRDefault="00830B11" w:rsidP="004C6D93">
            <w:pPr>
              <w:spacing w:after="0" w:line="240" w:lineRule="auto"/>
              <w:jc w:val="left"/>
              <w:rPr>
                <w:rFonts w:ascii="Arial" w:hAnsi="Arial" w:cs="Arial"/>
                <w:b/>
                <w:bCs/>
                <w:iCs/>
                <w:color w:val="000000"/>
                <w:sz w:val="16"/>
                <w:szCs w:val="16"/>
              </w:rPr>
            </w:pPr>
            <w:r w:rsidRPr="00B22A82">
              <w:rPr>
                <w:rFonts w:ascii="Arial" w:hAnsi="Arial" w:cs="Arial"/>
                <w:b/>
                <w:bCs/>
                <w:iCs/>
                <w:color w:val="000000"/>
                <w:sz w:val="16"/>
                <w:szCs w:val="16"/>
              </w:rPr>
              <w:t>Total administered resourcing</w:t>
            </w:r>
          </w:p>
        </w:tc>
        <w:tc>
          <w:tcPr>
            <w:tcW w:w="1150" w:type="dxa"/>
            <w:tcBorders>
              <w:top w:val="single" w:sz="4" w:space="0" w:color="auto"/>
              <w:left w:val="nil"/>
              <w:bottom w:val="single" w:sz="4" w:space="0" w:color="auto"/>
              <w:right w:val="nil"/>
            </w:tcBorders>
            <w:shd w:val="clear" w:color="000000" w:fill="FFFFFF"/>
            <w:vAlign w:val="bottom"/>
            <w:hideMark/>
          </w:tcPr>
          <w:p w14:paraId="70D15597" w14:textId="7B4BB442" w:rsidR="00830B11" w:rsidRPr="00B22A82" w:rsidRDefault="00830B11" w:rsidP="00C3755A">
            <w:pPr>
              <w:spacing w:after="0" w:line="240" w:lineRule="auto"/>
              <w:jc w:val="right"/>
              <w:rPr>
                <w:rFonts w:ascii="Arial" w:hAnsi="Arial" w:cs="Arial"/>
                <w:b/>
                <w:bCs/>
                <w:iCs/>
                <w:color w:val="000000"/>
                <w:sz w:val="16"/>
                <w:szCs w:val="16"/>
              </w:rPr>
            </w:pPr>
            <w:r w:rsidRPr="00B22A82">
              <w:rPr>
                <w:rFonts w:ascii="Arial" w:hAnsi="Arial" w:cs="Arial"/>
                <w:b/>
                <w:bCs/>
                <w:iCs/>
                <w:color w:val="000000"/>
                <w:sz w:val="16"/>
                <w:szCs w:val="16"/>
              </w:rPr>
              <w:t>20,134</w:t>
            </w:r>
          </w:p>
        </w:tc>
        <w:tc>
          <w:tcPr>
            <w:tcW w:w="1066" w:type="dxa"/>
            <w:tcBorders>
              <w:top w:val="single" w:sz="4" w:space="0" w:color="auto"/>
              <w:left w:val="nil"/>
              <w:bottom w:val="single" w:sz="4" w:space="0" w:color="auto"/>
              <w:right w:val="nil"/>
            </w:tcBorders>
            <w:shd w:val="clear" w:color="000000" w:fill="FFFFFF"/>
            <w:vAlign w:val="bottom"/>
            <w:hideMark/>
          </w:tcPr>
          <w:p w14:paraId="29CD7DA4" w14:textId="224F549E" w:rsidR="00830B11" w:rsidRPr="00B22A82" w:rsidRDefault="00830B11" w:rsidP="00C3755A">
            <w:pPr>
              <w:spacing w:after="0" w:line="240" w:lineRule="auto"/>
              <w:jc w:val="right"/>
              <w:rPr>
                <w:rFonts w:ascii="Arial" w:hAnsi="Arial" w:cs="Arial"/>
                <w:b/>
                <w:bCs/>
                <w:color w:val="000000"/>
                <w:sz w:val="16"/>
                <w:szCs w:val="16"/>
              </w:rPr>
            </w:pPr>
            <w:r w:rsidRPr="00B22A82">
              <w:rPr>
                <w:rFonts w:ascii="Arial" w:hAnsi="Arial" w:cs="Arial"/>
                <w:b/>
                <w:bCs/>
                <w:color w:val="000000"/>
                <w:sz w:val="16"/>
                <w:szCs w:val="16"/>
              </w:rPr>
              <w:t>17,244</w:t>
            </w:r>
          </w:p>
        </w:tc>
        <w:tc>
          <w:tcPr>
            <w:tcW w:w="1009" w:type="dxa"/>
            <w:tcBorders>
              <w:top w:val="single" w:sz="4" w:space="0" w:color="auto"/>
              <w:left w:val="nil"/>
              <w:bottom w:val="single" w:sz="4" w:space="0" w:color="auto"/>
              <w:right w:val="nil"/>
            </w:tcBorders>
            <w:shd w:val="clear" w:color="000000" w:fill="FFFFFF"/>
            <w:vAlign w:val="bottom"/>
            <w:hideMark/>
          </w:tcPr>
          <w:p w14:paraId="4B59B2C0" w14:textId="586E08FD" w:rsidR="00830B11" w:rsidRPr="00B22A82" w:rsidRDefault="00830B11" w:rsidP="00C3755A">
            <w:pPr>
              <w:spacing w:after="0" w:line="240" w:lineRule="auto"/>
              <w:jc w:val="right"/>
              <w:rPr>
                <w:rFonts w:ascii="Arial" w:hAnsi="Arial" w:cs="Arial"/>
                <w:b/>
                <w:bCs/>
                <w:color w:val="000000"/>
                <w:sz w:val="16"/>
                <w:szCs w:val="16"/>
              </w:rPr>
            </w:pPr>
            <w:r w:rsidRPr="00B22A82">
              <w:rPr>
                <w:rFonts w:ascii="Arial" w:hAnsi="Arial" w:cs="Arial"/>
                <w:b/>
                <w:bCs/>
                <w:color w:val="000000"/>
                <w:sz w:val="16"/>
                <w:szCs w:val="16"/>
              </w:rPr>
              <w:t>-</w:t>
            </w:r>
          </w:p>
        </w:tc>
        <w:tc>
          <w:tcPr>
            <w:tcW w:w="1028" w:type="dxa"/>
            <w:tcBorders>
              <w:top w:val="single" w:sz="4" w:space="0" w:color="auto"/>
              <w:left w:val="nil"/>
              <w:bottom w:val="single" w:sz="4" w:space="0" w:color="auto"/>
              <w:right w:val="nil"/>
            </w:tcBorders>
            <w:shd w:val="clear" w:color="000000" w:fill="E6E6E6"/>
            <w:vAlign w:val="bottom"/>
            <w:hideMark/>
          </w:tcPr>
          <w:p w14:paraId="4B2B561A" w14:textId="105BB8B7" w:rsidR="00830B11" w:rsidRPr="00B22A82" w:rsidRDefault="00830B11" w:rsidP="00C3755A">
            <w:pPr>
              <w:spacing w:after="0" w:line="240" w:lineRule="auto"/>
              <w:jc w:val="right"/>
              <w:rPr>
                <w:rFonts w:ascii="Arial" w:hAnsi="Arial" w:cs="Arial"/>
                <w:b/>
                <w:bCs/>
                <w:color w:val="000000"/>
                <w:sz w:val="16"/>
                <w:szCs w:val="16"/>
              </w:rPr>
            </w:pPr>
            <w:r w:rsidRPr="00B22A82">
              <w:rPr>
                <w:rFonts w:ascii="Arial" w:hAnsi="Arial" w:cs="Arial"/>
                <w:b/>
                <w:bCs/>
                <w:color w:val="000000"/>
                <w:sz w:val="16"/>
                <w:szCs w:val="16"/>
              </w:rPr>
              <w:t>17,244</w:t>
            </w:r>
          </w:p>
        </w:tc>
      </w:tr>
      <w:tr w:rsidR="00830B11" w:rsidRPr="00B22A82" w14:paraId="555F163F" w14:textId="77777777" w:rsidTr="00B22A82">
        <w:trPr>
          <w:trHeight w:val="204"/>
        </w:trPr>
        <w:tc>
          <w:tcPr>
            <w:tcW w:w="3402" w:type="dxa"/>
            <w:tcBorders>
              <w:top w:val="nil"/>
              <w:left w:val="nil"/>
              <w:bottom w:val="single" w:sz="4" w:space="0" w:color="auto"/>
              <w:right w:val="nil"/>
            </w:tcBorders>
            <w:shd w:val="clear" w:color="000000" w:fill="FFFFFF"/>
            <w:vAlign w:val="bottom"/>
            <w:hideMark/>
          </w:tcPr>
          <w:p w14:paraId="1ABDE32D" w14:textId="77777777" w:rsidR="00830B11" w:rsidRPr="00B22A82" w:rsidRDefault="00830B11" w:rsidP="004C6D93">
            <w:pPr>
              <w:spacing w:after="0" w:line="240" w:lineRule="auto"/>
              <w:jc w:val="left"/>
              <w:rPr>
                <w:rFonts w:ascii="Arial" w:hAnsi="Arial" w:cs="Arial"/>
                <w:b/>
                <w:bCs/>
                <w:color w:val="000000"/>
                <w:sz w:val="16"/>
                <w:szCs w:val="16"/>
              </w:rPr>
            </w:pPr>
            <w:r w:rsidRPr="00B22A82">
              <w:rPr>
                <w:rFonts w:ascii="Arial" w:hAnsi="Arial" w:cs="Arial"/>
                <w:b/>
                <w:bCs/>
                <w:color w:val="000000"/>
                <w:sz w:val="16"/>
                <w:szCs w:val="16"/>
              </w:rPr>
              <w:t>Total resourcing for the ACMA</w:t>
            </w:r>
          </w:p>
        </w:tc>
        <w:tc>
          <w:tcPr>
            <w:tcW w:w="1150" w:type="dxa"/>
            <w:tcBorders>
              <w:top w:val="single" w:sz="4" w:space="0" w:color="auto"/>
              <w:left w:val="nil"/>
              <w:bottom w:val="single" w:sz="4" w:space="0" w:color="auto"/>
              <w:right w:val="nil"/>
            </w:tcBorders>
            <w:shd w:val="clear" w:color="000000" w:fill="FFFFFF"/>
            <w:vAlign w:val="bottom"/>
            <w:hideMark/>
          </w:tcPr>
          <w:p w14:paraId="01C0F56A" w14:textId="29CA000D" w:rsidR="00830B11" w:rsidRPr="00B22A82" w:rsidRDefault="00830B11" w:rsidP="00C3755A">
            <w:pPr>
              <w:spacing w:after="0" w:line="240" w:lineRule="auto"/>
              <w:jc w:val="right"/>
              <w:rPr>
                <w:rFonts w:ascii="Arial" w:hAnsi="Arial" w:cs="Arial"/>
                <w:b/>
                <w:bCs/>
                <w:iCs/>
                <w:color w:val="000000"/>
                <w:sz w:val="16"/>
                <w:szCs w:val="16"/>
              </w:rPr>
            </w:pPr>
            <w:r w:rsidRPr="00B22A82">
              <w:rPr>
                <w:rFonts w:ascii="Arial" w:hAnsi="Arial" w:cs="Arial"/>
                <w:b/>
                <w:bCs/>
                <w:iCs/>
                <w:color w:val="000000"/>
                <w:sz w:val="16"/>
                <w:szCs w:val="16"/>
              </w:rPr>
              <w:t>173,620</w:t>
            </w:r>
          </w:p>
        </w:tc>
        <w:tc>
          <w:tcPr>
            <w:tcW w:w="1066" w:type="dxa"/>
            <w:tcBorders>
              <w:top w:val="nil"/>
              <w:left w:val="nil"/>
              <w:bottom w:val="single" w:sz="4" w:space="0" w:color="auto"/>
              <w:right w:val="nil"/>
            </w:tcBorders>
            <w:shd w:val="clear" w:color="000000" w:fill="FFFFFF"/>
            <w:vAlign w:val="bottom"/>
            <w:hideMark/>
          </w:tcPr>
          <w:p w14:paraId="6293A298" w14:textId="4570B5B5" w:rsidR="00830B11" w:rsidRPr="00B22A82" w:rsidRDefault="00830B11" w:rsidP="00C3755A">
            <w:pPr>
              <w:spacing w:after="0" w:line="240" w:lineRule="auto"/>
              <w:jc w:val="right"/>
              <w:rPr>
                <w:rFonts w:ascii="Arial" w:hAnsi="Arial" w:cs="Arial"/>
                <w:b/>
                <w:bCs/>
                <w:color w:val="000000"/>
                <w:sz w:val="16"/>
                <w:szCs w:val="16"/>
              </w:rPr>
            </w:pPr>
            <w:r w:rsidRPr="00B22A82">
              <w:rPr>
                <w:rFonts w:ascii="Arial" w:hAnsi="Arial" w:cs="Arial"/>
                <w:b/>
                <w:bCs/>
                <w:color w:val="000000"/>
                <w:sz w:val="16"/>
                <w:szCs w:val="16"/>
              </w:rPr>
              <w:t>189,122</w:t>
            </w:r>
          </w:p>
        </w:tc>
        <w:tc>
          <w:tcPr>
            <w:tcW w:w="1009" w:type="dxa"/>
            <w:tcBorders>
              <w:top w:val="nil"/>
              <w:left w:val="nil"/>
              <w:bottom w:val="single" w:sz="4" w:space="0" w:color="auto"/>
              <w:right w:val="nil"/>
            </w:tcBorders>
            <w:shd w:val="clear" w:color="000000" w:fill="FFFFFF"/>
            <w:vAlign w:val="bottom"/>
            <w:hideMark/>
          </w:tcPr>
          <w:p w14:paraId="54D19F2D" w14:textId="0FF7C96F" w:rsidR="00830B11" w:rsidRPr="00B22A82" w:rsidRDefault="00830B11" w:rsidP="00C3755A">
            <w:pPr>
              <w:spacing w:after="0" w:line="240" w:lineRule="auto"/>
              <w:jc w:val="right"/>
              <w:rPr>
                <w:rFonts w:ascii="Arial" w:hAnsi="Arial" w:cs="Arial"/>
                <w:b/>
                <w:bCs/>
                <w:color w:val="000000"/>
                <w:sz w:val="16"/>
                <w:szCs w:val="16"/>
              </w:rPr>
            </w:pPr>
            <w:r w:rsidRPr="00B22A82">
              <w:rPr>
                <w:rFonts w:ascii="Arial" w:hAnsi="Arial" w:cs="Arial"/>
                <w:b/>
                <w:bCs/>
                <w:color w:val="000000"/>
                <w:sz w:val="16"/>
                <w:szCs w:val="16"/>
              </w:rPr>
              <w:t>1,513</w:t>
            </w:r>
          </w:p>
        </w:tc>
        <w:tc>
          <w:tcPr>
            <w:tcW w:w="1028" w:type="dxa"/>
            <w:tcBorders>
              <w:top w:val="single" w:sz="4" w:space="0" w:color="auto"/>
              <w:left w:val="nil"/>
              <w:bottom w:val="single" w:sz="4" w:space="0" w:color="auto"/>
              <w:right w:val="nil"/>
            </w:tcBorders>
            <w:shd w:val="clear" w:color="000000" w:fill="E6E6E6"/>
            <w:vAlign w:val="bottom"/>
            <w:hideMark/>
          </w:tcPr>
          <w:p w14:paraId="08D458CB" w14:textId="2FF75149" w:rsidR="00830B11" w:rsidRPr="00B22A82" w:rsidRDefault="00830B11" w:rsidP="00C3755A">
            <w:pPr>
              <w:spacing w:after="0" w:line="240" w:lineRule="auto"/>
              <w:jc w:val="right"/>
              <w:rPr>
                <w:rFonts w:ascii="Arial" w:hAnsi="Arial" w:cs="Arial"/>
                <w:b/>
                <w:bCs/>
                <w:color w:val="000000"/>
                <w:sz w:val="16"/>
                <w:szCs w:val="16"/>
              </w:rPr>
            </w:pPr>
            <w:r w:rsidRPr="00B22A82">
              <w:rPr>
                <w:rFonts w:ascii="Arial" w:hAnsi="Arial" w:cs="Arial"/>
                <w:b/>
                <w:bCs/>
                <w:color w:val="000000"/>
                <w:sz w:val="16"/>
                <w:szCs w:val="16"/>
              </w:rPr>
              <w:t>190,635</w:t>
            </w:r>
          </w:p>
        </w:tc>
      </w:tr>
    </w:tbl>
    <w:p w14:paraId="734457FB" w14:textId="77777777" w:rsidR="00AC43A2" w:rsidRDefault="00AC43A2" w:rsidP="00830B11">
      <w:pPr>
        <w:spacing w:after="0" w:line="240" w:lineRule="auto"/>
        <w:rPr>
          <w:rFonts w:ascii="Arial" w:hAnsi="Arial"/>
          <w:color w:val="000000"/>
          <w:sz w:val="16"/>
          <w:lang w:val="x-none" w:eastAsia="x-none"/>
        </w:rPr>
      </w:pPr>
    </w:p>
    <w:tbl>
      <w:tblPr>
        <w:tblW w:w="7655" w:type="dxa"/>
        <w:tblLook w:val="04A0" w:firstRow="1" w:lastRow="0" w:firstColumn="1" w:lastColumn="0" w:noHBand="0" w:noVBand="1"/>
      </w:tblPr>
      <w:tblGrid>
        <w:gridCol w:w="4111"/>
        <w:gridCol w:w="283"/>
        <w:gridCol w:w="1100"/>
        <w:gridCol w:w="1168"/>
        <w:gridCol w:w="993"/>
      </w:tblGrid>
      <w:tr w:rsidR="00AC43A2" w:rsidRPr="00AC43A2" w14:paraId="26EEC22A" w14:textId="77777777" w:rsidTr="00B22A82">
        <w:trPr>
          <w:trHeight w:val="204"/>
        </w:trPr>
        <w:tc>
          <w:tcPr>
            <w:tcW w:w="4111" w:type="dxa"/>
            <w:tcBorders>
              <w:top w:val="single" w:sz="4" w:space="0" w:color="auto"/>
              <w:left w:val="nil"/>
              <w:bottom w:val="nil"/>
              <w:right w:val="nil"/>
            </w:tcBorders>
            <w:shd w:val="clear" w:color="000000" w:fill="FFFFFF"/>
            <w:vAlign w:val="bottom"/>
            <w:hideMark/>
          </w:tcPr>
          <w:p w14:paraId="7F707F10" w14:textId="77777777" w:rsidR="00AC43A2" w:rsidRPr="00AC43A2" w:rsidRDefault="00AC43A2" w:rsidP="00AC43A2">
            <w:pPr>
              <w:spacing w:after="0" w:line="240" w:lineRule="auto"/>
              <w:jc w:val="left"/>
              <w:rPr>
                <w:rFonts w:ascii="Arial" w:hAnsi="Arial" w:cs="Arial"/>
                <w:color w:val="000000"/>
                <w:sz w:val="16"/>
                <w:szCs w:val="16"/>
              </w:rPr>
            </w:pPr>
            <w:r w:rsidRPr="00AC43A2">
              <w:rPr>
                <w:rFonts w:ascii="Arial" w:hAnsi="Arial" w:cs="Arial"/>
                <w:color w:val="000000"/>
                <w:sz w:val="16"/>
                <w:szCs w:val="16"/>
              </w:rPr>
              <w:t> </w:t>
            </w:r>
          </w:p>
        </w:tc>
        <w:tc>
          <w:tcPr>
            <w:tcW w:w="283" w:type="dxa"/>
            <w:tcBorders>
              <w:top w:val="single" w:sz="4" w:space="0" w:color="auto"/>
              <w:left w:val="nil"/>
              <w:bottom w:val="nil"/>
              <w:right w:val="nil"/>
            </w:tcBorders>
            <w:shd w:val="clear" w:color="000000" w:fill="FFFFFF"/>
            <w:noWrap/>
            <w:vAlign w:val="bottom"/>
            <w:hideMark/>
          </w:tcPr>
          <w:p w14:paraId="19C78F50" w14:textId="77777777" w:rsidR="00AC43A2" w:rsidRPr="00AC43A2" w:rsidRDefault="00AC43A2" w:rsidP="00AC43A2">
            <w:pPr>
              <w:spacing w:after="0" w:line="240" w:lineRule="auto"/>
              <w:jc w:val="left"/>
              <w:rPr>
                <w:rFonts w:ascii="Arial" w:hAnsi="Arial" w:cs="Arial"/>
                <w:color w:val="000000"/>
                <w:sz w:val="16"/>
                <w:szCs w:val="16"/>
              </w:rPr>
            </w:pPr>
            <w:r w:rsidRPr="00AC43A2">
              <w:rPr>
                <w:rFonts w:ascii="Arial" w:hAnsi="Arial" w:cs="Arial"/>
                <w:color w:val="000000"/>
                <w:sz w:val="16"/>
                <w:szCs w:val="16"/>
              </w:rPr>
              <w:t> </w:t>
            </w:r>
          </w:p>
        </w:tc>
        <w:tc>
          <w:tcPr>
            <w:tcW w:w="1100" w:type="dxa"/>
            <w:tcBorders>
              <w:top w:val="single" w:sz="4" w:space="0" w:color="auto"/>
              <w:left w:val="nil"/>
              <w:bottom w:val="nil"/>
              <w:right w:val="nil"/>
            </w:tcBorders>
            <w:shd w:val="clear" w:color="000000" w:fill="FFFFFF"/>
            <w:vAlign w:val="bottom"/>
            <w:hideMark/>
          </w:tcPr>
          <w:p w14:paraId="17D1A557" w14:textId="77777777" w:rsidR="00AC43A2" w:rsidRPr="00AC43A2" w:rsidRDefault="00AC43A2" w:rsidP="00AC43A2">
            <w:pPr>
              <w:spacing w:after="0" w:line="240" w:lineRule="auto"/>
              <w:jc w:val="right"/>
              <w:rPr>
                <w:rFonts w:ascii="Arial" w:hAnsi="Arial" w:cs="Arial"/>
                <w:i/>
                <w:iCs/>
                <w:color w:val="000000"/>
                <w:sz w:val="16"/>
                <w:szCs w:val="16"/>
              </w:rPr>
            </w:pPr>
            <w:r w:rsidRPr="00AC43A2">
              <w:rPr>
                <w:rFonts w:ascii="Arial" w:hAnsi="Arial" w:cs="Arial"/>
                <w:i/>
                <w:iCs/>
                <w:color w:val="000000"/>
                <w:sz w:val="16"/>
                <w:szCs w:val="16"/>
              </w:rPr>
              <w:t> </w:t>
            </w:r>
          </w:p>
        </w:tc>
        <w:tc>
          <w:tcPr>
            <w:tcW w:w="1168" w:type="dxa"/>
            <w:tcBorders>
              <w:top w:val="single" w:sz="4" w:space="0" w:color="auto"/>
              <w:left w:val="nil"/>
              <w:bottom w:val="single" w:sz="4" w:space="0" w:color="auto"/>
              <w:right w:val="nil"/>
            </w:tcBorders>
            <w:shd w:val="clear" w:color="auto" w:fill="auto"/>
            <w:vAlign w:val="bottom"/>
            <w:hideMark/>
          </w:tcPr>
          <w:p w14:paraId="60C0B3B3" w14:textId="77777777" w:rsidR="00AC43A2" w:rsidRPr="001F2D0F" w:rsidRDefault="00AC43A2" w:rsidP="00AC43A2">
            <w:pPr>
              <w:spacing w:after="0" w:line="240" w:lineRule="auto"/>
              <w:jc w:val="right"/>
              <w:rPr>
                <w:rFonts w:ascii="Arial" w:hAnsi="Arial" w:cs="Arial"/>
                <w:iCs/>
                <w:color w:val="000000"/>
                <w:sz w:val="16"/>
                <w:szCs w:val="16"/>
              </w:rPr>
            </w:pPr>
            <w:r w:rsidRPr="001F2D0F">
              <w:rPr>
                <w:rFonts w:ascii="Arial" w:hAnsi="Arial" w:cs="Arial"/>
                <w:iCs/>
                <w:color w:val="000000"/>
                <w:sz w:val="16"/>
                <w:szCs w:val="16"/>
              </w:rPr>
              <w:t>Actual</w:t>
            </w:r>
            <w:r w:rsidRPr="001F2D0F">
              <w:rPr>
                <w:rFonts w:ascii="Arial" w:hAnsi="Arial" w:cs="Arial"/>
                <w:iCs/>
                <w:color w:val="000000"/>
                <w:sz w:val="16"/>
                <w:szCs w:val="16"/>
              </w:rPr>
              <w:br/>
              <w:t>2020-21</w:t>
            </w:r>
          </w:p>
        </w:tc>
        <w:tc>
          <w:tcPr>
            <w:tcW w:w="993" w:type="dxa"/>
            <w:tcBorders>
              <w:top w:val="single" w:sz="4" w:space="0" w:color="auto"/>
              <w:left w:val="nil"/>
              <w:bottom w:val="single" w:sz="4" w:space="0" w:color="auto"/>
              <w:right w:val="nil"/>
            </w:tcBorders>
            <w:shd w:val="clear" w:color="000000" w:fill="E6E6E6"/>
            <w:noWrap/>
            <w:vAlign w:val="bottom"/>
            <w:hideMark/>
          </w:tcPr>
          <w:p w14:paraId="5BBAC39A" w14:textId="77777777" w:rsidR="00AC43A2" w:rsidRPr="00AC43A2" w:rsidRDefault="00AC43A2" w:rsidP="00AC43A2">
            <w:pPr>
              <w:spacing w:after="0" w:line="240" w:lineRule="auto"/>
              <w:jc w:val="right"/>
              <w:rPr>
                <w:rFonts w:ascii="Arial" w:hAnsi="Arial" w:cs="Arial"/>
                <w:color w:val="000000"/>
                <w:sz w:val="16"/>
                <w:szCs w:val="16"/>
              </w:rPr>
            </w:pPr>
            <w:r w:rsidRPr="00AC43A2">
              <w:rPr>
                <w:rFonts w:ascii="Arial" w:hAnsi="Arial" w:cs="Arial"/>
                <w:color w:val="000000"/>
                <w:sz w:val="16"/>
                <w:szCs w:val="16"/>
              </w:rPr>
              <w:t>2021-22</w:t>
            </w:r>
          </w:p>
        </w:tc>
      </w:tr>
      <w:tr w:rsidR="00AC43A2" w:rsidRPr="00AC43A2" w14:paraId="0D9E4A79" w14:textId="77777777" w:rsidTr="00B22A82">
        <w:trPr>
          <w:trHeight w:val="204"/>
        </w:trPr>
        <w:tc>
          <w:tcPr>
            <w:tcW w:w="4111" w:type="dxa"/>
            <w:tcBorders>
              <w:top w:val="nil"/>
              <w:left w:val="nil"/>
              <w:bottom w:val="single" w:sz="4" w:space="0" w:color="auto"/>
              <w:right w:val="nil"/>
            </w:tcBorders>
            <w:shd w:val="clear" w:color="000000" w:fill="FFFFFF"/>
            <w:vAlign w:val="bottom"/>
            <w:hideMark/>
          </w:tcPr>
          <w:p w14:paraId="309B8938" w14:textId="77777777" w:rsidR="00AC43A2" w:rsidRPr="00AC43A2" w:rsidRDefault="00AC43A2" w:rsidP="00AC43A2">
            <w:pPr>
              <w:spacing w:after="0" w:line="240" w:lineRule="auto"/>
              <w:jc w:val="left"/>
              <w:rPr>
                <w:rFonts w:ascii="Arial" w:hAnsi="Arial" w:cs="Arial"/>
                <w:b/>
                <w:bCs/>
                <w:color w:val="000000"/>
                <w:sz w:val="16"/>
                <w:szCs w:val="16"/>
              </w:rPr>
            </w:pPr>
            <w:r w:rsidRPr="00AC43A2">
              <w:rPr>
                <w:rFonts w:ascii="Arial" w:hAnsi="Arial" w:cs="Arial"/>
                <w:b/>
                <w:bCs/>
                <w:color w:val="000000"/>
                <w:sz w:val="16"/>
                <w:szCs w:val="16"/>
              </w:rPr>
              <w:t>Average staffing level (number)</w:t>
            </w:r>
          </w:p>
        </w:tc>
        <w:tc>
          <w:tcPr>
            <w:tcW w:w="283" w:type="dxa"/>
            <w:tcBorders>
              <w:top w:val="nil"/>
              <w:left w:val="nil"/>
              <w:bottom w:val="single" w:sz="4" w:space="0" w:color="auto"/>
              <w:right w:val="nil"/>
            </w:tcBorders>
            <w:shd w:val="clear" w:color="000000" w:fill="FFFFFF"/>
            <w:noWrap/>
            <w:vAlign w:val="bottom"/>
            <w:hideMark/>
          </w:tcPr>
          <w:p w14:paraId="59EBF984" w14:textId="52DD92B8" w:rsidR="00AC43A2" w:rsidRPr="00AC43A2" w:rsidRDefault="00AC43A2" w:rsidP="00C3755A">
            <w:pPr>
              <w:spacing w:after="0" w:line="240" w:lineRule="auto"/>
              <w:jc w:val="right"/>
              <w:rPr>
                <w:rFonts w:ascii="Arial" w:hAnsi="Arial" w:cs="Arial"/>
                <w:color w:val="000000"/>
                <w:sz w:val="16"/>
                <w:szCs w:val="16"/>
              </w:rPr>
            </w:pPr>
          </w:p>
        </w:tc>
        <w:tc>
          <w:tcPr>
            <w:tcW w:w="1100" w:type="dxa"/>
            <w:tcBorders>
              <w:top w:val="nil"/>
              <w:left w:val="nil"/>
              <w:bottom w:val="single" w:sz="4" w:space="0" w:color="auto"/>
              <w:right w:val="nil"/>
            </w:tcBorders>
            <w:shd w:val="clear" w:color="000000" w:fill="FFFFFF"/>
            <w:vAlign w:val="bottom"/>
            <w:hideMark/>
          </w:tcPr>
          <w:p w14:paraId="4CD0246E" w14:textId="1952860C" w:rsidR="00AC43A2" w:rsidRPr="00AC43A2" w:rsidRDefault="00AC43A2" w:rsidP="00C3755A">
            <w:pPr>
              <w:spacing w:after="0" w:line="240" w:lineRule="auto"/>
              <w:jc w:val="right"/>
              <w:rPr>
                <w:rFonts w:ascii="Arial" w:hAnsi="Arial" w:cs="Arial"/>
                <w:i/>
                <w:iCs/>
                <w:color w:val="000000"/>
                <w:sz w:val="16"/>
                <w:szCs w:val="16"/>
              </w:rPr>
            </w:pPr>
          </w:p>
        </w:tc>
        <w:tc>
          <w:tcPr>
            <w:tcW w:w="1168" w:type="dxa"/>
            <w:tcBorders>
              <w:top w:val="nil"/>
              <w:left w:val="nil"/>
              <w:bottom w:val="single" w:sz="4" w:space="0" w:color="auto"/>
              <w:right w:val="nil"/>
            </w:tcBorders>
            <w:shd w:val="clear" w:color="000000" w:fill="FFFFFF"/>
            <w:vAlign w:val="bottom"/>
            <w:hideMark/>
          </w:tcPr>
          <w:p w14:paraId="681263E1" w14:textId="0DED2EBD" w:rsidR="00AC43A2" w:rsidRPr="001F2D0F" w:rsidRDefault="00AC43A2" w:rsidP="00C3755A">
            <w:pPr>
              <w:spacing w:after="0" w:line="240" w:lineRule="auto"/>
              <w:jc w:val="right"/>
              <w:rPr>
                <w:rFonts w:ascii="Arial" w:hAnsi="Arial" w:cs="Arial"/>
                <w:iCs/>
                <w:color w:val="000000"/>
                <w:sz w:val="16"/>
                <w:szCs w:val="16"/>
              </w:rPr>
            </w:pPr>
            <w:r w:rsidRPr="001F2D0F">
              <w:rPr>
                <w:rFonts w:ascii="Arial" w:hAnsi="Arial" w:cs="Arial"/>
                <w:iCs/>
                <w:color w:val="000000"/>
                <w:sz w:val="16"/>
                <w:szCs w:val="16"/>
              </w:rPr>
              <w:t>431</w:t>
            </w:r>
          </w:p>
        </w:tc>
        <w:tc>
          <w:tcPr>
            <w:tcW w:w="993" w:type="dxa"/>
            <w:tcBorders>
              <w:top w:val="nil"/>
              <w:left w:val="nil"/>
              <w:bottom w:val="single" w:sz="4" w:space="0" w:color="auto"/>
              <w:right w:val="nil"/>
            </w:tcBorders>
            <w:shd w:val="clear" w:color="000000" w:fill="E6E6E6"/>
            <w:vAlign w:val="bottom"/>
            <w:hideMark/>
          </w:tcPr>
          <w:p w14:paraId="248E995D" w14:textId="5F26BADC" w:rsidR="00AC43A2" w:rsidRPr="00AC43A2" w:rsidRDefault="00AC43A2" w:rsidP="00C3755A">
            <w:pPr>
              <w:spacing w:after="0" w:line="240" w:lineRule="auto"/>
              <w:jc w:val="right"/>
              <w:rPr>
                <w:rFonts w:ascii="Arial" w:hAnsi="Arial" w:cs="Arial"/>
                <w:color w:val="000000"/>
                <w:sz w:val="16"/>
                <w:szCs w:val="16"/>
              </w:rPr>
            </w:pPr>
            <w:r w:rsidRPr="00AC43A2">
              <w:rPr>
                <w:rFonts w:ascii="Arial" w:hAnsi="Arial" w:cs="Arial"/>
                <w:color w:val="000000"/>
                <w:sz w:val="16"/>
                <w:szCs w:val="16"/>
              </w:rPr>
              <w:t>518</w:t>
            </w:r>
          </w:p>
        </w:tc>
      </w:tr>
    </w:tbl>
    <w:p w14:paraId="62764353" w14:textId="77777777" w:rsidR="00F86201" w:rsidRPr="00523B0D" w:rsidRDefault="00F86201" w:rsidP="000B7D3B">
      <w:pPr>
        <w:spacing w:before="60" w:after="0" w:line="240" w:lineRule="auto"/>
      </w:pPr>
      <w:r w:rsidRPr="008344E9">
        <w:rPr>
          <w:rFonts w:ascii="Arial" w:hAnsi="Arial"/>
          <w:color w:val="000000"/>
          <w:sz w:val="16"/>
          <w:lang w:val="x-none" w:eastAsia="x-none"/>
        </w:rPr>
        <w:t>Prepared on a resourcing (that is, appropriations available) basis.</w:t>
      </w:r>
    </w:p>
    <w:p w14:paraId="2257A139" w14:textId="18CDAE76" w:rsidR="00830B11" w:rsidRDefault="00830B11" w:rsidP="00B22A82">
      <w:pPr>
        <w:spacing w:after="0" w:line="240" w:lineRule="auto"/>
        <w:rPr>
          <w:rFonts w:ascii="Arial" w:hAnsi="Arial"/>
          <w:color w:val="000000"/>
          <w:sz w:val="16"/>
          <w:lang w:val="x-none" w:eastAsia="x-none"/>
        </w:rPr>
      </w:pPr>
      <w:r w:rsidRPr="00CB76EF">
        <w:rPr>
          <w:rFonts w:ascii="Arial" w:hAnsi="Arial"/>
          <w:color w:val="000000"/>
          <w:sz w:val="16"/>
          <w:lang w:val="x-none" w:eastAsia="x-none"/>
        </w:rPr>
        <w:t>All figures shown above are GST exclusive - these may not match figures in the cash flow statement</w:t>
      </w:r>
      <w:r w:rsidRPr="008344E9">
        <w:rPr>
          <w:rFonts w:ascii="Arial" w:hAnsi="Arial"/>
          <w:color w:val="000000"/>
          <w:sz w:val="16"/>
          <w:lang w:val="x-none" w:eastAsia="x-none"/>
        </w:rPr>
        <w:t>.</w:t>
      </w:r>
    </w:p>
    <w:p w14:paraId="61C65EF1" w14:textId="6C63B465" w:rsidR="00830B11" w:rsidRPr="004A5430" w:rsidRDefault="00830B11" w:rsidP="00F10ACD">
      <w:pPr>
        <w:numPr>
          <w:ilvl w:val="0"/>
          <w:numId w:val="48"/>
        </w:numPr>
        <w:spacing w:after="0" w:line="240" w:lineRule="auto"/>
        <w:ind w:left="284" w:hanging="284"/>
        <w:rPr>
          <w:rFonts w:ascii="Arial" w:hAnsi="Arial" w:cs="Arial"/>
          <w:color w:val="000000"/>
          <w:sz w:val="16"/>
          <w:szCs w:val="16"/>
        </w:rPr>
      </w:pPr>
      <w:r w:rsidRPr="004A5430">
        <w:rPr>
          <w:rFonts w:ascii="Arial" w:hAnsi="Arial" w:cs="Arial"/>
          <w:color w:val="000000"/>
          <w:sz w:val="16"/>
          <w:szCs w:val="16"/>
          <w:lang w:val="x-none" w:eastAsia="x-none"/>
        </w:rPr>
        <w:t xml:space="preserve">Appropriation </w:t>
      </w:r>
      <w:r w:rsidR="00852545">
        <w:rPr>
          <w:rFonts w:ascii="Arial" w:hAnsi="Arial" w:cs="Arial"/>
          <w:color w:val="000000"/>
          <w:sz w:val="16"/>
          <w:szCs w:val="16"/>
          <w:lang w:eastAsia="x-none"/>
        </w:rPr>
        <w:t>Act</w:t>
      </w:r>
      <w:r w:rsidRPr="004A5430">
        <w:rPr>
          <w:rFonts w:ascii="Arial" w:hAnsi="Arial" w:cs="Arial"/>
          <w:color w:val="000000"/>
          <w:sz w:val="16"/>
          <w:szCs w:val="16"/>
          <w:lang w:val="x-none" w:eastAsia="x-none"/>
        </w:rPr>
        <w:t xml:space="preserve"> (No. 1) 2021-22 and Appropriation Bill (No. 3) 2021-22 </w:t>
      </w:r>
    </w:p>
    <w:p w14:paraId="12352AF4" w14:textId="2ABAE7F4" w:rsidR="00830B11" w:rsidRDefault="00830B11" w:rsidP="00F10ACD">
      <w:pPr>
        <w:numPr>
          <w:ilvl w:val="0"/>
          <w:numId w:val="48"/>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 xml:space="preserve">Excludes </w:t>
      </w:r>
      <w:r w:rsidR="008863D9">
        <w:rPr>
          <w:rFonts w:ascii="Arial" w:hAnsi="Arial" w:cs="Arial"/>
          <w:color w:val="000000"/>
          <w:sz w:val="16"/>
          <w:szCs w:val="16"/>
        </w:rPr>
        <w:t>Department</w:t>
      </w:r>
      <w:r w:rsidRPr="001071C7">
        <w:rPr>
          <w:rFonts w:ascii="Arial" w:hAnsi="Arial" w:cs="Arial"/>
          <w:color w:val="000000"/>
          <w:sz w:val="16"/>
          <w:szCs w:val="16"/>
        </w:rPr>
        <w:t>al capital bu</w:t>
      </w:r>
      <w:r>
        <w:rPr>
          <w:rFonts w:ascii="Arial" w:hAnsi="Arial" w:cs="Arial"/>
          <w:color w:val="000000"/>
          <w:sz w:val="16"/>
          <w:szCs w:val="16"/>
        </w:rPr>
        <w:t>d</w:t>
      </w:r>
      <w:r w:rsidRPr="001071C7">
        <w:rPr>
          <w:rFonts w:ascii="Arial" w:hAnsi="Arial" w:cs="Arial"/>
          <w:color w:val="000000"/>
          <w:sz w:val="16"/>
          <w:szCs w:val="16"/>
        </w:rPr>
        <w:t>get (DCB).</w:t>
      </w:r>
    </w:p>
    <w:p w14:paraId="1CBD9F98" w14:textId="77777777" w:rsidR="00830B11" w:rsidRDefault="00830B11" w:rsidP="00F10ACD">
      <w:pPr>
        <w:numPr>
          <w:ilvl w:val="0"/>
          <w:numId w:val="48"/>
        </w:numPr>
        <w:spacing w:after="0" w:line="240" w:lineRule="auto"/>
        <w:ind w:left="284" w:hanging="284"/>
        <w:rPr>
          <w:rFonts w:ascii="Arial" w:hAnsi="Arial" w:cs="Arial"/>
          <w:color w:val="000000"/>
          <w:sz w:val="16"/>
          <w:szCs w:val="16"/>
        </w:rPr>
      </w:pPr>
      <w:r w:rsidRPr="004A5430">
        <w:rPr>
          <w:rFonts w:ascii="Arial" w:hAnsi="Arial" w:cs="Arial"/>
          <w:color w:val="000000"/>
          <w:sz w:val="16"/>
          <w:szCs w:val="16"/>
        </w:rPr>
        <w:t xml:space="preserve">Estimated external revenue receipts under section 74 of the PGPA Act. </w:t>
      </w:r>
    </w:p>
    <w:p w14:paraId="31A0529A" w14:textId="334D0A8A" w:rsidR="00830B11" w:rsidRPr="001071C7" w:rsidRDefault="008863D9" w:rsidP="00F10ACD">
      <w:pPr>
        <w:numPr>
          <w:ilvl w:val="0"/>
          <w:numId w:val="48"/>
        </w:numPr>
        <w:spacing w:after="0" w:line="240" w:lineRule="auto"/>
        <w:ind w:left="284" w:hanging="284"/>
        <w:rPr>
          <w:rFonts w:ascii="Arial" w:hAnsi="Arial" w:cs="Arial"/>
          <w:color w:val="000000"/>
          <w:sz w:val="16"/>
          <w:szCs w:val="16"/>
        </w:rPr>
      </w:pPr>
      <w:r>
        <w:rPr>
          <w:rFonts w:ascii="Arial" w:hAnsi="Arial" w:cs="Arial"/>
          <w:color w:val="000000"/>
          <w:sz w:val="16"/>
          <w:szCs w:val="16"/>
        </w:rPr>
        <w:t>Department</w:t>
      </w:r>
      <w:r w:rsidR="00830B11" w:rsidRPr="001071C7">
        <w:rPr>
          <w:rFonts w:ascii="Arial" w:hAnsi="Arial" w:cs="Arial"/>
          <w:color w:val="000000"/>
          <w:sz w:val="16"/>
          <w:szCs w:val="16"/>
        </w:rPr>
        <w:t>al capital budgets are not separately identified in Appropriation Bill (No.1) and form part of ordinary annual services items. Please refer to Table 3.</w:t>
      </w:r>
      <w:r w:rsidR="00830B11">
        <w:rPr>
          <w:rFonts w:ascii="Arial" w:hAnsi="Arial" w:cs="Arial"/>
          <w:color w:val="000000"/>
          <w:sz w:val="16"/>
          <w:szCs w:val="16"/>
        </w:rPr>
        <w:t>6</w:t>
      </w:r>
      <w:r w:rsidR="00830B11" w:rsidRPr="001071C7">
        <w:rPr>
          <w:rFonts w:ascii="Arial" w:hAnsi="Arial" w:cs="Arial"/>
          <w:color w:val="000000"/>
          <w:sz w:val="16"/>
          <w:szCs w:val="16"/>
        </w:rPr>
        <w:t xml:space="preserve"> for further details. For accounting purposes, this amount has been designated as a 'contribution by owner'.</w:t>
      </w:r>
    </w:p>
    <w:p w14:paraId="6E8DA340" w14:textId="77777777" w:rsidR="00830B11" w:rsidRDefault="00830B11" w:rsidP="00F10ACD">
      <w:pPr>
        <w:numPr>
          <w:ilvl w:val="0"/>
          <w:numId w:val="48"/>
        </w:numPr>
        <w:spacing w:after="0" w:line="240" w:lineRule="auto"/>
        <w:ind w:left="284" w:hanging="284"/>
        <w:rPr>
          <w:rFonts w:ascii="Arial" w:hAnsi="Arial" w:cs="Arial"/>
          <w:color w:val="000000"/>
          <w:sz w:val="16"/>
          <w:szCs w:val="16"/>
        </w:rPr>
      </w:pPr>
      <w:r w:rsidRPr="004A5430">
        <w:rPr>
          <w:rFonts w:ascii="Arial" w:hAnsi="Arial" w:cs="Arial"/>
          <w:color w:val="000000"/>
          <w:sz w:val="16"/>
          <w:szCs w:val="16"/>
        </w:rPr>
        <w:t>Excludes trust moneys held in Services for Other Entities and Trust Moneys (SOETM) and other special accounts. For further information on special accounts, please refer to Table 3.1. Please also see Table 2.2.1 for further information on outcome and program expenses broken down by various funding sources, e.g</w:t>
      </w:r>
      <w:r>
        <w:rPr>
          <w:rFonts w:ascii="Arial" w:hAnsi="Arial" w:cs="Arial"/>
          <w:color w:val="000000"/>
          <w:sz w:val="16"/>
          <w:szCs w:val="16"/>
        </w:rPr>
        <w:t>.</w:t>
      </w:r>
      <w:r w:rsidRPr="004A5430">
        <w:rPr>
          <w:rFonts w:ascii="Arial" w:hAnsi="Arial" w:cs="Arial"/>
          <w:color w:val="000000"/>
          <w:sz w:val="16"/>
          <w:szCs w:val="16"/>
        </w:rPr>
        <w:t xml:space="preserve"> annual appropriations, special appropriations and special accounts. </w:t>
      </w:r>
    </w:p>
    <w:p w14:paraId="4ABCCF20" w14:textId="77777777" w:rsidR="00830B11" w:rsidRDefault="00830B11" w:rsidP="00F10ACD">
      <w:pPr>
        <w:numPr>
          <w:ilvl w:val="0"/>
          <w:numId w:val="48"/>
        </w:numPr>
        <w:spacing w:after="0" w:line="240" w:lineRule="auto"/>
        <w:ind w:left="284" w:hanging="284"/>
        <w:rPr>
          <w:rFonts w:ascii="Arial" w:hAnsi="Arial" w:cs="Arial"/>
          <w:color w:val="000000"/>
          <w:sz w:val="16"/>
          <w:szCs w:val="16"/>
        </w:rPr>
      </w:pPr>
      <w:r w:rsidRPr="00941058">
        <w:rPr>
          <w:rFonts w:ascii="Arial" w:hAnsi="Arial" w:cs="Arial"/>
          <w:color w:val="000000"/>
          <w:sz w:val="16"/>
          <w:szCs w:val="16"/>
        </w:rPr>
        <w:lastRenderedPageBreak/>
        <w:t>Amounts credited to the special account</w:t>
      </w:r>
      <w:r>
        <w:rPr>
          <w:rFonts w:ascii="Arial" w:hAnsi="Arial" w:cs="Arial"/>
          <w:color w:val="000000"/>
          <w:sz w:val="16"/>
          <w:szCs w:val="16"/>
        </w:rPr>
        <w:t>s</w:t>
      </w:r>
      <w:r w:rsidRPr="00941058">
        <w:rPr>
          <w:rFonts w:ascii="Arial" w:hAnsi="Arial" w:cs="Arial"/>
          <w:color w:val="000000"/>
          <w:sz w:val="16"/>
          <w:szCs w:val="16"/>
        </w:rPr>
        <w:t xml:space="preserve"> from the ACMA's annual and special appropriations. </w:t>
      </w:r>
    </w:p>
    <w:p w14:paraId="4862E8A6" w14:textId="77777777" w:rsidR="00830B11" w:rsidRDefault="00830B11" w:rsidP="00F10ACD">
      <w:pPr>
        <w:numPr>
          <w:ilvl w:val="0"/>
          <w:numId w:val="48"/>
        </w:numPr>
        <w:spacing w:after="0" w:line="240" w:lineRule="auto"/>
        <w:ind w:left="284" w:hanging="284"/>
        <w:rPr>
          <w:rFonts w:ascii="Arial" w:hAnsi="Arial" w:cs="Arial"/>
          <w:color w:val="000000"/>
          <w:sz w:val="16"/>
          <w:szCs w:val="16"/>
        </w:rPr>
      </w:pPr>
      <w:r w:rsidRPr="00941058">
        <w:rPr>
          <w:rFonts w:ascii="Arial" w:hAnsi="Arial" w:cs="Arial"/>
          <w:color w:val="000000"/>
          <w:sz w:val="16"/>
          <w:szCs w:val="16"/>
        </w:rPr>
        <w:t xml:space="preserve">Includes Section 77 refunds under the PGPA Act which are not included as expenditure. </w:t>
      </w:r>
    </w:p>
    <w:p w14:paraId="39C5264C" w14:textId="6DF604FF" w:rsidR="00914885" w:rsidRPr="00643B7D" w:rsidRDefault="00914885" w:rsidP="00FB6A01">
      <w:pPr>
        <w:pStyle w:val="Heading3ACMA"/>
      </w:pPr>
      <w:bookmarkStart w:id="395" w:name="_Toc92990345"/>
      <w:r>
        <w:t>1.3</w:t>
      </w:r>
      <w:r>
        <w:tab/>
        <w:t>Entity measures</w:t>
      </w:r>
      <w:bookmarkEnd w:id="395"/>
    </w:p>
    <w:p w14:paraId="0CAC0C2B" w14:textId="77777777" w:rsidR="00830B11" w:rsidRPr="00486E77" w:rsidRDefault="00830B11" w:rsidP="00830B11">
      <w:pPr>
        <w:jc w:val="left"/>
      </w:pPr>
      <w:r>
        <w:t xml:space="preserve">Table 1.2 summarises new Government measures taken since the 2021-22 Budget. The table is split into receipt and payment measures, with the affected program </w:t>
      </w:r>
      <w:r w:rsidRPr="00486E77">
        <w:t>identified.</w:t>
      </w:r>
    </w:p>
    <w:p w14:paraId="3F5B7F99" w14:textId="65E9E990" w:rsidR="00830B11" w:rsidRDefault="00830B11" w:rsidP="00830B11">
      <w:pPr>
        <w:pStyle w:val="TableHeading"/>
        <w:rPr>
          <w:lang w:val="en-US"/>
        </w:rPr>
      </w:pPr>
      <w:r w:rsidRPr="009A40DD">
        <w:t>Table 1.2:</w:t>
      </w:r>
      <w:r w:rsidR="00590D44">
        <w:rPr>
          <w:lang w:val="en-US"/>
        </w:rPr>
        <w:t xml:space="preserve"> The</w:t>
      </w:r>
      <w:r w:rsidRPr="009A40DD">
        <w:t xml:space="preserve"> </w:t>
      </w:r>
      <w:r>
        <w:rPr>
          <w:lang w:val="en-AU"/>
        </w:rPr>
        <w:t>ACMA</w:t>
      </w:r>
      <w:r w:rsidRPr="009A40DD">
        <w:t xml:space="preserve"> </w:t>
      </w:r>
      <w:r>
        <w:rPr>
          <w:lang w:val="en-AU"/>
        </w:rPr>
        <w:t xml:space="preserve">2021-22 </w:t>
      </w:r>
      <w:r>
        <w:rPr>
          <w:lang w:val="en-US"/>
        </w:rPr>
        <w:t>measures since Budget</w:t>
      </w:r>
    </w:p>
    <w:tbl>
      <w:tblPr>
        <w:tblW w:w="7651" w:type="dxa"/>
        <w:tblLook w:val="04A0" w:firstRow="1" w:lastRow="0" w:firstColumn="1" w:lastColumn="0" w:noHBand="0" w:noVBand="1"/>
      </w:tblPr>
      <w:tblGrid>
        <w:gridCol w:w="3261"/>
        <w:gridCol w:w="830"/>
        <w:gridCol w:w="866"/>
        <w:gridCol w:w="851"/>
        <w:gridCol w:w="992"/>
        <w:gridCol w:w="851"/>
      </w:tblGrid>
      <w:tr w:rsidR="00634BCB" w:rsidRPr="00634BCB" w14:paraId="2B0EBD60" w14:textId="77777777" w:rsidTr="00B86D56">
        <w:trPr>
          <w:trHeight w:val="252"/>
        </w:trPr>
        <w:tc>
          <w:tcPr>
            <w:tcW w:w="3261" w:type="dxa"/>
            <w:tcBorders>
              <w:top w:val="single" w:sz="4" w:space="0" w:color="auto"/>
              <w:left w:val="nil"/>
              <w:bottom w:val="nil"/>
              <w:right w:val="nil"/>
            </w:tcBorders>
            <w:shd w:val="clear" w:color="auto" w:fill="auto"/>
            <w:noWrap/>
            <w:vAlign w:val="bottom"/>
            <w:hideMark/>
          </w:tcPr>
          <w:p w14:paraId="54F59441" w14:textId="77777777" w:rsidR="00634BCB" w:rsidRPr="00634BCB" w:rsidRDefault="00634BCB" w:rsidP="00634BCB">
            <w:pPr>
              <w:spacing w:after="0" w:line="240" w:lineRule="auto"/>
              <w:jc w:val="left"/>
              <w:rPr>
                <w:rFonts w:ascii="Arial" w:hAnsi="Arial" w:cs="Arial"/>
                <w:sz w:val="16"/>
                <w:szCs w:val="16"/>
              </w:rPr>
            </w:pPr>
            <w:r w:rsidRPr="00634BCB">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14:paraId="6C456B7C" w14:textId="77777777" w:rsidR="00634BCB" w:rsidRPr="00634BCB" w:rsidRDefault="00634BCB" w:rsidP="00634BCB">
            <w:pPr>
              <w:spacing w:after="0" w:line="240" w:lineRule="auto"/>
              <w:jc w:val="left"/>
              <w:rPr>
                <w:rFonts w:ascii="Arial" w:hAnsi="Arial" w:cs="Arial"/>
                <w:sz w:val="16"/>
                <w:szCs w:val="16"/>
              </w:rPr>
            </w:pPr>
            <w:r w:rsidRPr="00634BCB">
              <w:rPr>
                <w:rFonts w:ascii="Arial" w:hAnsi="Arial" w:cs="Arial"/>
                <w:sz w:val="16"/>
                <w:szCs w:val="16"/>
              </w:rPr>
              <w:t>Program</w:t>
            </w:r>
          </w:p>
        </w:tc>
        <w:tc>
          <w:tcPr>
            <w:tcW w:w="866" w:type="dxa"/>
            <w:tcBorders>
              <w:top w:val="single" w:sz="4" w:space="0" w:color="auto"/>
              <w:left w:val="nil"/>
              <w:bottom w:val="single" w:sz="4" w:space="0" w:color="auto"/>
              <w:right w:val="nil"/>
            </w:tcBorders>
            <w:shd w:val="clear" w:color="000000" w:fill="E6E6E6"/>
            <w:vAlign w:val="bottom"/>
            <w:hideMark/>
          </w:tcPr>
          <w:p w14:paraId="3E396723" w14:textId="77777777" w:rsidR="00634BCB" w:rsidRPr="00634BCB" w:rsidRDefault="00634BCB" w:rsidP="00634BCB">
            <w:pPr>
              <w:spacing w:after="0" w:line="240" w:lineRule="auto"/>
              <w:jc w:val="right"/>
              <w:rPr>
                <w:rFonts w:ascii="Arial" w:hAnsi="Arial" w:cs="Arial"/>
                <w:sz w:val="16"/>
                <w:szCs w:val="16"/>
              </w:rPr>
            </w:pPr>
            <w:r w:rsidRPr="00634BCB">
              <w:rPr>
                <w:rFonts w:ascii="Arial" w:hAnsi="Arial" w:cs="Arial"/>
                <w:sz w:val="16"/>
                <w:szCs w:val="16"/>
              </w:rPr>
              <w:t>2021-22</w:t>
            </w:r>
            <w:r w:rsidRPr="00634BCB">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3B36838E" w14:textId="77777777" w:rsidR="00634BCB" w:rsidRPr="00634BCB" w:rsidRDefault="00634BCB" w:rsidP="00634BCB">
            <w:pPr>
              <w:spacing w:after="0" w:line="240" w:lineRule="auto"/>
              <w:jc w:val="right"/>
              <w:rPr>
                <w:rFonts w:ascii="Arial" w:hAnsi="Arial" w:cs="Arial"/>
                <w:sz w:val="16"/>
                <w:szCs w:val="16"/>
              </w:rPr>
            </w:pPr>
            <w:r w:rsidRPr="00634BCB">
              <w:rPr>
                <w:rFonts w:ascii="Arial" w:hAnsi="Arial" w:cs="Arial"/>
                <w:sz w:val="16"/>
                <w:szCs w:val="16"/>
              </w:rPr>
              <w:t>2022-23</w:t>
            </w:r>
            <w:r w:rsidRPr="00634BCB">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000000" w:fill="E6E6E6"/>
            <w:vAlign w:val="bottom"/>
            <w:hideMark/>
          </w:tcPr>
          <w:p w14:paraId="3561B042" w14:textId="77777777" w:rsidR="00634BCB" w:rsidRPr="00634BCB" w:rsidRDefault="00634BCB" w:rsidP="00634BCB">
            <w:pPr>
              <w:spacing w:after="0" w:line="240" w:lineRule="auto"/>
              <w:jc w:val="right"/>
              <w:rPr>
                <w:rFonts w:ascii="Arial" w:hAnsi="Arial" w:cs="Arial"/>
                <w:sz w:val="16"/>
                <w:szCs w:val="16"/>
              </w:rPr>
            </w:pPr>
            <w:r w:rsidRPr="00634BCB">
              <w:rPr>
                <w:rFonts w:ascii="Arial" w:hAnsi="Arial" w:cs="Arial"/>
                <w:sz w:val="16"/>
                <w:szCs w:val="16"/>
              </w:rPr>
              <w:t>2023-24</w:t>
            </w:r>
            <w:r w:rsidRPr="00634BCB">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7FB3AD5D" w14:textId="77777777" w:rsidR="00634BCB" w:rsidRPr="00634BCB" w:rsidRDefault="00634BCB" w:rsidP="00634BCB">
            <w:pPr>
              <w:spacing w:after="0" w:line="240" w:lineRule="auto"/>
              <w:jc w:val="right"/>
              <w:rPr>
                <w:rFonts w:ascii="Arial" w:hAnsi="Arial" w:cs="Arial"/>
                <w:sz w:val="16"/>
                <w:szCs w:val="16"/>
              </w:rPr>
            </w:pPr>
            <w:r w:rsidRPr="00634BCB">
              <w:rPr>
                <w:rFonts w:ascii="Arial" w:hAnsi="Arial" w:cs="Arial"/>
                <w:sz w:val="16"/>
                <w:szCs w:val="16"/>
              </w:rPr>
              <w:t>2024-25</w:t>
            </w:r>
            <w:r w:rsidRPr="00634BCB">
              <w:rPr>
                <w:rFonts w:ascii="Arial" w:hAnsi="Arial" w:cs="Arial"/>
                <w:sz w:val="16"/>
                <w:szCs w:val="16"/>
              </w:rPr>
              <w:br/>
              <w:t>$'000</w:t>
            </w:r>
          </w:p>
        </w:tc>
      </w:tr>
      <w:tr w:rsidR="00634BCB" w:rsidRPr="00634BCB" w14:paraId="1070B8D2" w14:textId="77777777" w:rsidTr="00634BCB">
        <w:trPr>
          <w:trHeight w:val="204"/>
        </w:trPr>
        <w:tc>
          <w:tcPr>
            <w:tcW w:w="3261" w:type="dxa"/>
            <w:tcBorders>
              <w:top w:val="nil"/>
              <w:left w:val="nil"/>
              <w:bottom w:val="nil"/>
              <w:right w:val="nil"/>
            </w:tcBorders>
            <w:shd w:val="clear" w:color="auto" w:fill="auto"/>
            <w:noWrap/>
            <w:vAlign w:val="bottom"/>
            <w:hideMark/>
          </w:tcPr>
          <w:p w14:paraId="6F83D7A0" w14:textId="77777777" w:rsidR="00634BCB" w:rsidRPr="00634BCB" w:rsidRDefault="00634BCB" w:rsidP="00634BCB">
            <w:pPr>
              <w:spacing w:after="0" w:line="240" w:lineRule="auto"/>
              <w:jc w:val="left"/>
              <w:rPr>
                <w:rFonts w:ascii="Arial" w:hAnsi="Arial" w:cs="Arial"/>
                <w:b/>
                <w:bCs/>
                <w:sz w:val="16"/>
                <w:szCs w:val="16"/>
              </w:rPr>
            </w:pPr>
            <w:r w:rsidRPr="00634BCB">
              <w:rPr>
                <w:rFonts w:ascii="Arial" w:hAnsi="Arial" w:cs="Arial"/>
                <w:b/>
                <w:bCs/>
                <w:sz w:val="16"/>
                <w:szCs w:val="16"/>
              </w:rPr>
              <w:t>Receipt measures</w:t>
            </w:r>
          </w:p>
        </w:tc>
        <w:tc>
          <w:tcPr>
            <w:tcW w:w="830" w:type="dxa"/>
            <w:tcBorders>
              <w:top w:val="nil"/>
              <w:left w:val="nil"/>
              <w:bottom w:val="nil"/>
              <w:right w:val="nil"/>
            </w:tcBorders>
            <w:shd w:val="clear" w:color="auto" w:fill="auto"/>
            <w:noWrap/>
            <w:vAlign w:val="bottom"/>
            <w:hideMark/>
          </w:tcPr>
          <w:p w14:paraId="2FF40778" w14:textId="77777777" w:rsidR="00634BCB" w:rsidRPr="00634BCB" w:rsidRDefault="00634BCB" w:rsidP="00B1162E">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000000" w:fill="E6E6E6"/>
            <w:noWrap/>
            <w:vAlign w:val="bottom"/>
            <w:hideMark/>
          </w:tcPr>
          <w:p w14:paraId="3FCF4143" w14:textId="7421C42F" w:rsidR="00634BCB" w:rsidRPr="00634BCB" w:rsidRDefault="00634BCB" w:rsidP="00B1162E">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0D0789CD" w14:textId="77777777" w:rsidR="00634BCB" w:rsidRPr="00634BCB" w:rsidRDefault="00634BCB" w:rsidP="00B1162E">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14:paraId="753E2482" w14:textId="4E703383" w:rsidR="00634BCB" w:rsidRPr="00634BCB" w:rsidRDefault="00634BCB" w:rsidP="00B1162E">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6C0B816A" w14:textId="77777777" w:rsidR="00634BCB" w:rsidRPr="00634BCB" w:rsidRDefault="00634BCB" w:rsidP="00B1162E">
            <w:pPr>
              <w:spacing w:after="0" w:line="240" w:lineRule="auto"/>
              <w:jc w:val="right"/>
              <w:rPr>
                <w:rFonts w:ascii="Arial" w:hAnsi="Arial" w:cs="Arial"/>
                <w:sz w:val="16"/>
                <w:szCs w:val="16"/>
              </w:rPr>
            </w:pPr>
          </w:p>
        </w:tc>
      </w:tr>
      <w:tr w:rsidR="00634BCB" w:rsidRPr="00634BCB" w14:paraId="0417FCC5" w14:textId="77777777" w:rsidTr="00634BCB">
        <w:trPr>
          <w:trHeight w:val="204"/>
        </w:trPr>
        <w:tc>
          <w:tcPr>
            <w:tcW w:w="3261" w:type="dxa"/>
            <w:tcBorders>
              <w:top w:val="nil"/>
              <w:left w:val="nil"/>
              <w:bottom w:val="nil"/>
              <w:right w:val="nil"/>
            </w:tcBorders>
            <w:shd w:val="clear" w:color="auto" w:fill="auto"/>
            <w:vAlign w:val="bottom"/>
            <w:hideMark/>
          </w:tcPr>
          <w:p w14:paraId="4F6F06C3" w14:textId="77777777" w:rsidR="00634BCB" w:rsidRPr="00634BCB" w:rsidRDefault="00634BCB" w:rsidP="00634BCB">
            <w:pPr>
              <w:spacing w:after="0" w:line="240" w:lineRule="auto"/>
              <w:jc w:val="left"/>
              <w:rPr>
                <w:rFonts w:ascii="Arial" w:hAnsi="Arial" w:cs="Arial"/>
                <w:sz w:val="16"/>
                <w:szCs w:val="16"/>
              </w:rPr>
            </w:pPr>
            <w:r w:rsidRPr="00634BCB">
              <w:rPr>
                <w:rFonts w:ascii="Arial" w:hAnsi="Arial" w:cs="Arial"/>
                <w:sz w:val="16"/>
                <w:szCs w:val="16"/>
              </w:rPr>
              <w:t>Extending the Commercial Broadcasting Tax Transitional Support Payments</w:t>
            </w:r>
          </w:p>
        </w:tc>
        <w:tc>
          <w:tcPr>
            <w:tcW w:w="830" w:type="dxa"/>
            <w:tcBorders>
              <w:top w:val="nil"/>
              <w:left w:val="nil"/>
              <w:bottom w:val="nil"/>
              <w:right w:val="nil"/>
            </w:tcBorders>
            <w:shd w:val="clear" w:color="auto" w:fill="auto"/>
            <w:noWrap/>
            <w:vAlign w:val="bottom"/>
            <w:hideMark/>
          </w:tcPr>
          <w:p w14:paraId="716342B3" w14:textId="77777777" w:rsidR="00634BCB" w:rsidRPr="00634BCB" w:rsidRDefault="00634BCB" w:rsidP="00B1162E">
            <w:pPr>
              <w:spacing w:after="0" w:line="240" w:lineRule="auto"/>
              <w:jc w:val="center"/>
              <w:rPr>
                <w:rFonts w:ascii="Arial" w:hAnsi="Arial" w:cs="Arial"/>
                <w:sz w:val="16"/>
                <w:szCs w:val="16"/>
              </w:rPr>
            </w:pPr>
            <w:r w:rsidRPr="00634BCB">
              <w:rPr>
                <w:rFonts w:ascii="Arial" w:hAnsi="Arial" w:cs="Arial"/>
                <w:sz w:val="16"/>
                <w:szCs w:val="16"/>
              </w:rPr>
              <w:t>1.1</w:t>
            </w:r>
          </w:p>
        </w:tc>
        <w:tc>
          <w:tcPr>
            <w:tcW w:w="866" w:type="dxa"/>
            <w:tcBorders>
              <w:top w:val="nil"/>
              <w:left w:val="nil"/>
              <w:bottom w:val="nil"/>
              <w:right w:val="nil"/>
            </w:tcBorders>
            <w:shd w:val="clear" w:color="000000" w:fill="E6E6E6"/>
            <w:noWrap/>
            <w:vAlign w:val="bottom"/>
            <w:hideMark/>
          </w:tcPr>
          <w:p w14:paraId="0802C165" w14:textId="41750CEB" w:rsidR="00634BCB" w:rsidRPr="00634BCB" w:rsidRDefault="00634BCB" w:rsidP="00B1162E">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6CC1F69D" w14:textId="77777777" w:rsidR="00634BCB" w:rsidRPr="00634BCB" w:rsidRDefault="00634BCB" w:rsidP="00B1162E">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14:paraId="681EC458" w14:textId="427D7587" w:rsidR="00634BCB" w:rsidRPr="00634BCB" w:rsidRDefault="00634BCB" w:rsidP="00B1162E">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7F5F3F9A" w14:textId="77777777" w:rsidR="00634BCB" w:rsidRPr="00634BCB" w:rsidRDefault="00634BCB" w:rsidP="00B1162E">
            <w:pPr>
              <w:spacing w:after="0" w:line="240" w:lineRule="auto"/>
              <w:jc w:val="right"/>
              <w:rPr>
                <w:rFonts w:ascii="Arial" w:hAnsi="Arial" w:cs="Arial"/>
                <w:sz w:val="16"/>
                <w:szCs w:val="16"/>
              </w:rPr>
            </w:pPr>
          </w:p>
        </w:tc>
      </w:tr>
      <w:tr w:rsidR="00634BCB" w:rsidRPr="00634BCB" w14:paraId="31ED5711" w14:textId="77777777" w:rsidTr="00553851">
        <w:trPr>
          <w:trHeight w:val="204"/>
        </w:trPr>
        <w:tc>
          <w:tcPr>
            <w:tcW w:w="3261" w:type="dxa"/>
            <w:tcBorders>
              <w:top w:val="nil"/>
              <w:left w:val="nil"/>
              <w:bottom w:val="nil"/>
              <w:right w:val="nil"/>
            </w:tcBorders>
            <w:shd w:val="clear" w:color="auto" w:fill="auto"/>
            <w:vAlign w:val="bottom"/>
            <w:hideMark/>
          </w:tcPr>
          <w:p w14:paraId="2748D4EE" w14:textId="3390FAAF" w:rsidR="00634BCB" w:rsidRPr="00634BCB" w:rsidRDefault="00634BCB" w:rsidP="00B1162E">
            <w:pPr>
              <w:spacing w:after="0" w:line="240" w:lineRule="auto"/>
              <w:ind w:left="113"/>
              <w:jc w:val="left"/>
              <w:rPr>
                <w:rFonts w:ascii="Arial" w:hAnsi="Arial" w:cs="Arial"/>
                <w:sz w:val="16"/>
                <w:szCs w:val="16"/>
              </w:rPr>
            </w:pPr>
            <w:r w:rsidRPr="00634BCB">
              <w:rPr>
                <w:rFonts w:ascii="Arial" w:hAnsi="Arial" w:cs="Arial"/>
                <w:sz w:val="16"/>
                <w:szCs w:val="16"/>
              </w:rPr>
              <w:t xml:space="preserve">Administered </w:t>
            </w:r>
            <w:r w:rsidR="001346D5">
              <w:rPr>
                <w:rFonts w:ascii="Arial" w:hAnsi="Arial" w:cs="Arial"/>
                <w:sz w:val="16"/>
                <w:szCs w:val="16"/>
              </w:rPr>
              <w:t>receipts</w:t>
            </w:r>
          </w:p>
        </w:tc>
        <w:tc>
          <w:tcPr>
            <w:tcW w:w="830" w:type="dxa"/>
            <w:tcBorders>
              <w:top w:val="nil"/>
              <w:left w:val="nil"/>
              <w:bottom w:val="nil"/>
              <w:right w:val="nil"/>
            </w:tcBorders>
            <w:shd w:val="clear" w:color="auto" w:fill="auto"/>
            <w:noWrap/>
            <w:vAlign w:val="bottom"/>
            <w:hideMark/>
          </w:tcPr>
          <w:p w14:paraId="301D6D41" w14:textId="77777777" w:rsidR="00634BCB" w:rsidRPr="00634BCB" w:rsidRDefault="00634BCB" w:rsidP="00B1162E">
            <w:pPr>
              <w:spacing w:after="0" w:line="240" w:lineRule="auto"/>
              <w:ind w:firstLineChars="100" w:firstLine="160"/>
              <w:jc w:val="right"/>
              <w:rPr>
                <w:rFonts w:ascii="Arial" w:hAnsi="Arial" w:cs="Arial"/>
                <w:sz w:val="16"/>
                <w:szCs w:val="16"/>
              </w:rPr>
            </w:pPr>
          </w:p>
        </w:tc>
        <w:tc>
          <w:tcPr>
            <w:tcW w:w="866" w:type="dxa"/>
            <w:tcBorders>
              <w:top w:val="nil"/>
              <w:left w:val="nil"/>
              <w:right w:val="nil"/>
            </w:tcBorders>
            <w:shd w:val="clear" w:color="000000" w:fill="E6E6E6"/>
            <w:noWrap/>
            <w:vAlign w:val="bottom"/>
            <w:hideMark/>
          </w:tcPr>
          <w:p w14:paraId="73F51254" w14:textId="77777777"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w:t>
            </w:r>
          </w:p>
        </w:tc>
        <w:tc>
          <w:tcPr>
            <w:tcW w:w="851" w:type="dxa"/>
            <w:tcBorders>
              <w:top w:val="nil"/>
              <w:left w:val="nil"/>
              <w:right w:val="nil"/>
            </w:tcBorders>
            <w:shd w:val="clear" w:color="auto" w:fill="auto"/>
            <w:noWrap/>
            <w:vAlign w:val="bottom"/>
            <w:hideMark/>
          </w:tcPr>
          <w:p w14:paraId="1BCD17CE" w14:textId="198B542A"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(4,764)</w:t>
            </w:r>
          </w:p>
        </w:tc>
        <w:tc>
          <w:tcPr>
            <w:tcW w:w="992" w:type="dxa"/>
            <w:tcBorders>
              <w:top w:val="nil"/>
              <w:left w:val="nil"/>
              <w:right w:val="nil"/>
            </w:tcBorders>
            <w:shd w:val="clear" w:color="000000" w:fill="E6E6E6"/>
            <w:noWrap/>
            <w:vAlign w:val="bottom"/>
            <w:hideMark/>
          </w:tcPr>
          <w:p w14:paraId="2616F3E8" w14:textId="24224D8E"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(4,764)</w:t>
            </w:r>
          </w:p>
        </w:tc>
        <w:tc>
          <w:tcPr>
            <w:tcW w:w="851" w:type="dxa"/>
            <w:tcBorders>
              <w:top w:val="nil"/>
              <w:left w:val="nil"/>
              <w:right w:val="nil"/>
            </w:tcBorders>
            <w:shd w:val="clear" w:color="auto" w:fill="auto"/>
            <w:noWrap/>
            <w:vAlign w:val="bottom"/>
            <w:hideMark/>
          </w:tcPr>
          <w:p w14:paraId="5997DC5A" w14:textId="77777777"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w:t>
            </w:r>
          </w:p>
        </w:tc>
      </w:tr>
      <w:tr w:rsidR="00634BCB" w:rsidRPr="00634BCB" w14:paraId="1963A9BA" w14:textId="77777777" w:rsidTr="00553851">
        <w:trPr>
          <w:trHeight w:val="204"/>
        </w:trPr>
        <w:tc>
          <w:tcPr>
            <w:tcW w:w="3261" w:type="dxa"/>
            <w:tcBorders>
              <w:top w:val="nil"/>
              <w:left w:val="nil"/>
              <w:bottom w:val="nil"/>
              <w:right w:val="nil"/>
            </w:tcBorders>
            <w:shd w:val="clear" w:color="auto" w:fill="auto"/>
            <w:noWrap/>
            <w:vAlign w:val="bottom"/>
            <w:hideMark/>
          </w:tcPr>
          <w:p w14:paraId="7931F001" w14:textId="77777777" w:rsidR="00634BCB" w:rsidRPr="00634BCB" w:rsidRDefault="00634BCB" w:rsidP="00634BCB">
            <w:pPr>
              <w:spacing w:after="0" w:line="240" w:lineRule="auto"/>
              <w:jc w:val="left"/>
              <w:rPr>
                <w:rFonts w:ascii="Arial" w:hAnsi="Arial" w:cs="Arial"/>
                <w:b/>
                <w:bCs/>
                <w:sz w:val="16"/>
                <w:szCs w:val="16"/>
              </w:rPr>
            </w:pPr>
            <w:r w:rsidRPr="00634BCB">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0BD1457C" w14:textId="77777777" w:rsidR="00634BCB" w:rsidRPr="00634BCB" w:rsidRDefault="00634BCB" w:rsidP="00B1162E">
            <w:pPr>
              <w:spacing w:after="0" w:line="240" w:lineRule="auto"/>
              <w:jc w:val="right"/>
              <w:rPr>
                <w:rFonts w:ascii="Arial" w:hAnsi="Arial" w:cs="Arial"/>
                <w:b/>
                <w:bCs/>
                <w:sz w:val="16"/>
                <w:szCs w:val="16"/>
              </w:rPr>
            </w:pPr>
          </w:p>
        </w:tc>
        <w:tc>
          <w:tcPr>
            <w:tcW w:w="866" w:type="dxa"/>
            <w:tcBorders>
              <w:top w:val="nil"/>
              <w:left w:val="nil"/>
              <w:bottom w:val="single" w:sz="4" w:space="0" w:color="auto"/>
              <w:right w:val="nil"/>
            </w:tcBorders>
            <w:shd w:val="clear" w:color="000000" w:fill="E6E6E6"/>
            <w:noWrap/>
            <w:vAlign w:val="bottom"/>
            <w:hideMark/>
          </w:tcPr>
          <w:p w14:paraId="766367E8" w14:textId="77777777"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w:t>
            </w:r>
          </w:p>
        </w:tc>
        <w:tc>
          <w:tcPr>
            <w:tcW w:w="851" w:type="dxa"/>
            <w:tcBorders>
              <w:top w:val="nil"/>
              <w:left w:val="nil"/>
              <w:bottom w:val="single" w:sz="4" w:space="0" w:color="auto"/>
              <w:right w:val="nil"/>
            </w:tcBorders>
            <w:shd w:val="clear" w:color="auto" w:fill="auto"/>
            <w:noWrap/>
            <w:vAlign w:val="bottom"/>
            <w:hideMark/>
          </w:tcPr>
          <w:p w14:paraId="5E962285" w14:textId="12BAA3B9"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(4,764)</w:t>
            </w:r>
          </w:p>
        </w:tc>
        <w:tc>
          <w:tcPr>
            <w:tcW w:w="992" w:type="dxa"/>
            <w:tcBorders>
              <w:top w:val="nil"/>
              <w:left w:val="nil"/>
              <w:bottom w:val="single" w:sz="4" w:space="0" w:color="auto"/>
              <w:right w:val="nil"/>
            </w:tcBorders>
            <w:shd w:val="clear" w:color="000000" w:fill="E6E6E6"/>
            <w:noWrap/>
            <w:vAlign w:val="bottom"/>
            <w:hideMark/>
          </w:tcPr>
          <w:p w14:paraId="40B7303E" w14:textId="50EC4690"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(4,764)</w:t>
            </w:r>
          </w:p>
        </w:tc>
        <w:tc>
          <w:tcPr>
            <w:tcW w:w="851" w:type="dxa"/>
            <w:tcBorders>
              <w:top w:val="nil"/>
              <w:left w:val="nil"/>
              <w:bottom w:val="single" w:sz="4" w:space="0" w:color="auto"/>
              <w:right w:val="nil"/>
            </w:tcBorders>
            <w:shd w:val="clear" w:color="auto" w:fill="auto"/>
            <w:noWrap/>
            <w:vAlign w:val="bottom"/>
            <w:hideMark/>
          </w:tcPr>
          <w:p w14:paraId="4EC291E4" w14:textId="77777777"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w:t>
            </w:r>
          </w:p>
        </w:tc>
      </w:tr>
      <w:tr w:rsidR="00634BCB" w:rsidRPr="00634BCB" w14:paraId="56F3EB95" w14:textId="77777777" w:rsidTr="00553851">
        <w:trPr>
          <w:trHeight w:val="204"/>
        </w:trPr>
        <w:tc>
          <w:tcPr>
            <w:tcW w:w="3261" w:type="dxa"/>
            <w:tcBorders>
              <w:top w:val="nil"/>
              <w:left w:val="nil"/>
              <w:bottom w:val="nil"/>
              <w:right w:val="nil"/>
            </w:tcBorders>
            <w:shd w:val="clear" w:color="auto" w:fill="auto"/>
            <w:noWrap/>
            <w:vAlign w:val="bottom"/>
            <w:hideMark/>
          </w:tcPr>
          <w:p w14:paraId="1F730C81" w14:textId="77777777" w:rsidR="00634BCB" w:rsidRPr="00634BCB" w:rsidRDefault="00634BCB" w:rsidP="00634BCB">
            <w:pPr>
              <w:spacing w:after="0" w:line="240" w:lineRule="auto"/>
              <w:jc w:val="left"/>
              <w:rPr>
                <w:rFonts w:ascii="Arial" w:hAnsi="Arial" w:cs="Arial"/>
                <w:b/>
                <w:bCs/>
                <w:sz w:val="16"/>
                <w:szCs w:val="16"/>
              </w:rPr>
            </w:pPr>
            <w:r w:rsidRPr="00634BCB">
              <w:rPr>
                <w:rFonts w:ascii="Arial" w:hAnsi="Arial" w:cs="Arial"/>
                <w:b/>
                <w:bCs/>
                <w:sz w:val="16"/>
                <w:szCs w:val="16"/>
              </w:rPr>
              <w:t>Total receipt measures</w:t>
            </w:r>
          </w:p>
        </w:tc>
        <w:tc>
          <w:tcPr>
            <w:tcW w:w="830" w:type="dxa"/>
            <w:tcBorders>
              <w:top w:val="nil"/>
              <w:left w:val="nil"/>
              <w:bottom w:val="nil"/>
              <w:right w:val="nil"/>
            </w:tcBorders>
            <w:shd w:val="clear" w:color="auto" w:fill="auto"/>
            <w:noWrap/>
            <w:vAlign w:val="bottom"/>
            <w:hideMark/>
          </w:tcPr>
          <w:p w14:paraId="1BB372BA" w14:textId="77777777" w:rsidR="00634BCB" w:rsidRPr="00634BCB" w:rsidRDefault="00634BCB" w:rsidP="00B1162E">
            <w:pPr>
              <w:spacing w:after="0" w:line="240" w:lineRule="auto"/>
              <w:jc w:val="right"/>
              <w:rPr>
                <w:rFonts w:ascii="Arial" w:hAnsi="Arial" w:cs="Arial"/>
                <w:b/>
                <w:bCs/>
                <w:sz w:val="16"/>
                <w:szCs w:val="16"/>
              </w:rPr>
            </w:pPr>
          </w:p>
        </w:tc>
        <w:tc>
          <w:tcPr>
            <w:tcW w:w="866" w:type="dxa"/>
            <w:tcBorders>
              <w:top w:val="single" w:sz="4" w:space="0" w:color="auto"/>
              <w:left w:val="nil"/>
              <w:bottom w:val="nil"/>
              <w:right w:val="nil"/>
            </w:tcBorders>
            <w:shd w:val="clear" w:color="000000" w:fill="E6E6E6"/>
            <w:noWrap/>
            <w:vAlign w:val="bottom"/>
            <w:hideMark/>
          </w:tcPr>
          <w:p w14:paraId="4E451672" w14:textId="135BE6DF" w:rsidR="00634BCB" w:rsidRPr="00634BCB" w:rsidRDefault="00634BCB" w:rsidP="00B1162E">
            <w:pPr>
              <w:spacing w:after="0" w:line="240" w:lineRule="auto"/>
              <w:jc w:val="right"/>
              <w:rPr>
                <w:rFonts w:ascii="Arial" w:hAnsi="Arial" w:cs="Arial"/>
                <w:b/>
                <w:bCs/>
                <w:sz w:val="16"/>
                <w:szCs w:val="16"/>
              </w:rPr>
            </w:pPr>
          </w:p>
        </w:tc>
        <w:tc>
          <w:tcPr>
            <w:tcW w:w="851" w:type="dxa"/>
            <w:tcBorders>
              <w:top w:val="single" w:sz="4" w:space="0" w:color="auto"/>
              <w:left w:val="nil"/>
              <w:bottom w:val="nil"/>
              <w:right w:val="nil"/>
            </w:tcBorders>
            <w:shd w:val="clear" w:color="auto" w:fill="auto"/>
            <w:noWrap/>
            <w:vAlign w:val="bottom"/>
            <w:hideMark/>
          </w:tcPr>
          <w:p w14:paraId="4B7AFB30" w14:textId="77777777" w:rsidR="00634BCB" w:rsidRPr="00634BCB" w:rsidRDefault="00634BCB" w:rsidP="00B1162E">
            <w:pPr>
              <w:spacing w:after="0" w:line="240" w:lineRule="auto"/>
              <w:jc w:val="right"/>
              <w:rPr>
                <w:rFonts w:ascii="Arial" w:hAnsi="Arial" w:cs="Arial"/>
                <w:b/>
                <w:bCs/>
                <w:sz w:val="16"/>
                <w:szCs w:val="16"/>
              </w:rPr>
            </w:pPr>
          </w:p>
        </w:tc>
        <w:tc>
          <w:tcPr>
            <w:tcW w:w="992" w:type="dxa"/>
            <w:tcBorders>
              <w:top w:val="single" w:sz="4" w:space="0" w:color="auto"/>
              <w:left w:val="nil"/>
              <w:bottom w:val="nil"/>
              <w:right w:val="nil"/>
            </w:tcBorders>
            <w:shd w:val="clear" w:color="000000" w:fill="E6E6E6"/>
            <w:noWrap/>
            <w:vAlign w:val="bottom"/>
            <w:hideMark/>
          </w:tcPr>
          <w:p w14:paraId="4803503B" w14:textId="47B4A359" w:rsidR="00634BCB" w:rsidRPr="00634BCB" w:rsidRDefault="00634BCB" w:rsidP="00B1162E">
            <w:pPr>
              <w:spacing w:after="0" w:line="240" w:lineRule="auto"/>
              <w:jc w:val="right"/>
              <w:rPr>
                <w:rFonts w:ascii="Arial" w:hAnsi="Arial" w:cs="Arial"/>
                <w:b/>
                <w:bCs/>
                <w:sz w:val="16"/>
                <w:szCs w:val="16"/>
              </w:rPr>
            </w:pPr>
          </w:p>
        </w:tc>
        <w:tc>
          <w:tcPr>
            <w:tcW w:w="851" w:type="dxa"/>
            <w:tcBorders>
              <w:top w:val="single" w:sz="4" w:space="0" w:color="auto"/>
              <w:left w:val="nil"/>
              <w:bottom w:val="nil"/>
              <w:right w:val="nil"/>
            </w:tcBorders>
            <w:shd w:val="clear" w:color="auto" w:fill="auto"/>
            <w:noWrap/>
            <w:vAlign w:val="bottom"/>
            <w:hideMark/>
          </w:tcPr>
          <w:p w14:paraId="4229C193" w14:textId="77777777" w:rsidR="00634BCB" w:rsidRPr="00634BCB" w:rsidRDefault="00634BCB" w:rsidP="00B1162E">
            <w:pPr>
              <w:spacing w:after="0" w:line="240" w:lineRule="auto"/>
              <w:jc w:val="right"/>
              <w:rPr>
                <w:rFonts w:ascii="Arial" w:hAnsi="Arial" w:cs="Arial"/>
                <w:b/>
                <w:bCs/>
                <w:sz w:val="16"/>
                <w:szCs w:val="16"/>
              </w:rPr>
            </w:pPr>
          </w:p>
        </w:tc>
      </w:tr>
      <w:tr w:rsidR="00634BCB" w:rsidRPr="00634BCB" w14:paraId="5229F8A3" w14:textId="77777777" w:rsidTr="00634BCB">
        <w:trPr>
          <w:trHeight w:val="204"/>
        </w:trPr>
        <w:tc>
          <w:tcPr>
            <w:tcW w:w="3261" w:type="dxa"/>
            <w:tcBorders>
              <w:top w:val="nil"/>
              <w:left w:val="nil"/>
              <w:bottom w:val="nil"/>
              <w:right w:val="nil"/>
            </w:tcBorders>
            <w:shd w:val="clear" w:color="auto" w:fill="auto"/>
            <w:noWrap/>
            <w:vAlign w:val="bottom"/>
            <w:hideMark/>
          </w:tcPr>
          <w:p w14:paraId="66A1A265" w14:textId="77777777" w:rsidR="00634BCB" w:rsidRPr="00634BCB" w:rsidRDefault="00634BCB" w:rsidP="00B1162E">
            <w:pPr>
              <w:spacing w:after="0" w:line="240" w:lineRule="auto"/>
              <w:ind w:left="113"/>
              <w:jc w:val="left"/>
              <w:rPr>
                <w:rFonts w:ascii="Arial" w:hAnsi="Arial" w:cs="Arial"/>
                <w:sz w:val="16"/>
                <w:szCs w:val="16"/>
              </w:rPr>
            </w:pPr>
            <w:r w:rsidRPr="00634BCB">
              <w:rPr>
                <w:rFonts w:ascii="Arial" w:hAnsi="Arial" w:cs="Arial"/>
                <w:sz w:val="16"/>
                <w:szCs w:val="16"/>
              </w:rPr>
              <w:t>Administered</w:t>
            </w:r>
          </w:p>
        </w:tc>
        <w:tc>
          <w:tcPr>
            <w:tcW w:w="830" w:type="dxa"/>
            <w:tcBorders>
              <w:top w:val="nil"/>
              <w:left w:val="nil"/>
              <w:bottom w:val="nil"/>
              <w:right w:val="nil"/>
            </w:tcBorders>
            <w:shd w:val="clear" w:color="auto" w:fill="auto"/>
            <w:noWrap/>
            <w:vAlign w:val="bottom"/>
            <w:hideMark/>
          </w:tcPr>
          <w:p w14:paraId="61DFF2C7" w14:textId="77777777" w:rsidR="00634BCB" w:rsidRPr="00634BCB" w:rsidRDefault="00634BCB" w:rsidP="00B1162E">
            <w:pPr>
              <w:spacing w:after="0" w:line="240" w:lineRule="auto"/>
              <w:ind w:firstLineChars="100" w:firstLine="160"/>
              <w:jc w:val="right"/>
              <w:rPr>
                <w:rFonts w:ascii="Arial" w:hAnsi="Arial" w:cs="Arial"/>
                <w:sz w:val="16"/>
                <w:szCs w:val="16"/>
              </w:rPr>
            </w:pPr>
          </w:p>
        </w:tc>
        <w:tc>
          <w:tcPr>
            <w:tcW w:w="866" w:type="dxa"/>
            <w:tcBorders>
              <w:top w:val="nil"/>
              <w:left w:val="nil"/>
              <w:bottom w:val="nil"/>
              <w:right w:val="nil"/>
            </w:tcBorders>
            <w:shd w:val="clear" w:color="000000" w:fill="E6E6E6"/>
            <w:noWrap/>
            <w:vAlign w:val="bottom"/>
            <w:hideMark/>
          </w:tcPr>
          <w:p w14:paraId="6771A052" w14:textId="77777777"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0D205670" w14:textId="581F0961"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(4,764)</w:t>
            </w:r>
          </w:p>
        </w:tc>
        <w:tc>
          <w:tcPr>
            <w:tcW w:w="992" w:type="dxa"/>
            <w:tcBorders>
              <w:top w:val="nil"/>
              <w:left w:val="nil"/>
              <w:bottom w:val="nil"/>
              <w:right w:val="nil"/>
            </w:tcBorders>
            <w:shd w:val="clear" w:color="000000" w:fill="E6E6E6"/>
            <w:noWrap/>
            <w:vAlign w:val="bottom"/>
            <w:hideMark/>
          </w:tcPr>
          <w:p w14:paraId="2CA0C8B3" w14:textId="0CF72DD1"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(4,764)</w:t>
            </w:r>
          </w:p>
        </w:tc>
        <w:tc>
          <w:tcPr>
            <w:tcW w:w="851" w:type="dxa"/>
            <w:tcBorders>
              <w:top w:val="nil"/>
              <w:left w:val="nil"/>
              <w:bottom w:val="nil"/>
              <w:right w:val="nil"/>
            </w:tcBorders>
            <w:shd w:val="clear" w:color="auto" w:fill="auto"/>
            <w:noWrap/>
            <w:vAlign w:val="bottom"/>
            <w:hideMark/>
          </w:tcPr>
          <w:p w14:paraId="2F4055D7" w14:textId="77777777"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w:t>
            </w:r>
          </w:p>
        </w:tc>
      </w:tr>
      <w:tr w:rsidR="00634BCB" w:rsidRPr="00634BCB" w14:paraId="0D011F6B" w14:textId="77777777" w:rsidTr="00634BCB">
        <w:trPr>
          <w:trHeight w:val="204"/>
        </w:trPr>
        <w:tc>
          <w:tcPr>
            <w:tcW w:w="3261" w:type="dxa"/>
            <w:tcBorders>
              <w:top w:val="nil"/>
              <w:left w:val="nil"/>
              <w:bottom w:val="nil"/>
              <w:right w:val="nil"/>
            </w:tcBorders>
            <w:shd w:val="clear" w:color="auto" w:fill="auto"/>
            <w:noWrap/>
            <w:vAlign w:val="bottom"/>
            <w:hideMark/>
          </w:tcPr>
          <w:p w14:paraId="2F3475C2" w14:textId="77777777" w:rsidR="00634BCB" w:rsidRPr="00634BCB" w:rsidRDefault="00634BCB" w:rsidP="00634BCB">
            <w:pPr>
              <w:spacing w:after="0" w:line="240" w:lineRule="auto"/>
              <w:jc w:val="left"/>
              <w:rPr>
                <w:rFonts w:ascii="Arial" w:hAnsi="Arial" w:cs="Arial"/>
                <w:b/>
                <w:bCs/>
                <w:sz w:val="16"/>
                <w:szCs w:val="16"/>
              </w:rPr>
            </w:pPr>
            <w:r w:rsidRPr="00634BCB">
              <w:rPr>
                <w:rFonts w:ascii="Arial" w:hAnsi="Arial" w:cs="Arial"/>
                <w:b/>
                <w:bCs/>
                <w:sz w:val="16"/>
                <w:szCs w:val="16"/>
              </w:rPr>
              <w:t>Total</w:t>
            </w:r>
          </w:p>
        </w:tc>
        <w:tc>
          <w:tcPr>
            <w:tcW w:w="830" w:type="dxa"/>
            <w:tcBorders>
              <w:top w:val="nil"/>
              <w:left w:val="nil"/>
              <w:bottom w:val="nil"/>
              <w:right w:val="nil"/>
            </w:tcBorders>
            <w:shd w:val="clear" w:color="auto" w:fill="auto"/>
            <w:noWrap/>
            <w:vAlign w:val="bottom"/>
            <w:hideMark/>
          </w:tcPr>
          <w:p w14:paraId="0A966693" w14:textId="77777777" w:rsidR="00634BCB" w:rsidRPr="00634BCB" w:rsidRDefault="00634BCB" w:rsidP="00B1162E">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000000" w:fill="E6E6E6"/>
            <w:noWrap/>
            <w:vAlign w:val="bottom"/>
            <w:hideMark/>
          </w:tcPr>
          <w:p w14:paraId="46E9D9BD" w14:textId="77777777"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w:t>
            </w:r>
          </w:p>
        </w:tc>
        <w:tc>
          <w:tcPr>
            <w:tcW w:w="851" w:type="dxa"/>
            <w:tcBorders>
              <w:top w:val="nil"/>
              <w:left w:val="nil"/>
              <w:bottom w:val="nil"/>
              <w:right w:val="nil"/>
            </w:tcBorders>
            <w:shd w:val="clear" w:color="auto" w:fill="auto"/>
            <w:noWrap/>
            <w:vAlign w:val="bottom"/>
            <w:hideMark/>
          </w:tcPr>
          <w:p w14:paraId="1452F451" w14:textId="783513DD"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(4,764)</w:t>
            </w:r>
          </w:p>
        </w:tc>
        <w:tc>
          <w:tcPr>
            <w:tcW w:w="992" w:type="dxa"/>
            <w:tcBorders>
              <w:top w:val="nil"/>
              <w:left w:val="nil"/>
              <w:bottom w:val="nil"/>
              <w:right w:val="nil"/>
            </w:tcBorders>
            <w:shd w:val="clear" w:color="000000" w:fill="E6E6E6"/>
            <w:noWrap/>
            <w:vAlign w:val="bottom"/>
            <w:hideMark/>
          </w:tcPr>
          <w:p w14:paraId="4D7373EF" w14:textId="1DF2CABB"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(4,764)</w:t>
            </w:r>
          </w:p>
        </w:tc>
        <w:tc>
          <w:tcPr>
            <w:tcW w:w="851" w:type="dxa"/>
            <w:tcBorders>
              <w:top w:val="nil"/>
              <w:left w:val="nil"/>
              <w:bottom w:val="nil"/>
              <w:right w:val="nil"/>
            </w:tcBorders>
            <w:shd w:val="clear" w:color="auto" w:fill="auto"/>
            <w:noWrap/>
            <w:vAlign w:val="bottom"/>
            <w:hideMark/>
          </w:tcPr>
          <w:p w14:paraId="61336D9E" w14:textId="77777777"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w:t>
            </w:r>
          </w:p>
        </w:tc>
      </w:tr>
      <w:tr w:rsidR="00634BCB" w:rsidRPr="00634BCB" w14:paraId="7B0FE5FE" w14:textId="77777777" w:rsidTr="00634BCB">
        <w:trPr>
          <w:trHeight w:val="204"/>
        </w:trPr>
        <w:tc>
          <w:tcPr>
            <w:tcW w:w="3261" w:type="dxa"/>
            <w:tcBorders>
              <w:top w:val="nil"/>
              <w:left w:val="nil"/>
              <w:bottom w:val="nil"/>
              <w:right w:val="nil"/>
            </w:tcBorders>
            <w:shd w:val="clear" w:color="auto" w:fill="auto"/>
            <w:vAlign w:val="bottom"/>
            <w:hideMark/>
          </w:tcPr>
          <w:p w14:paraId="7F1EF740" w14:textId="77777777" w:rsidR="00634BCB" w:rsidRPr="00634BCB" w:rsidRDefault="00634BCB" w:rsidP="00553851">
            <w:pPr>
              <w:spacing w:before="60" w:after="0" w:line="240" w:lineRule="auto"/>
              <w:jc w:val="left"/>
              <w:rPr>
                <w:rFonts w:ascii="Arial" w:hAnsi="Arial" w:cs="Arial"/>
                <w:b/>
                <w:bCs/>
                <w:sz w:val="16"/>
                <w:szCs w:val="16"/>
              </w:rPr>
            </w:pPr>
            <w:r w:rsidRPr="00634BCB">
              <w:rPr>
                <w:rFonts w:ascii="Arial" w:hAnsi="Arial" w:cs="Arial"/>
                <w:b/>
                <w:bCs/>
                <w:sz w:val="16"/>
                <w:szCs w:val="16"/>
              </w:rPr>
              <w:t>Payment measures</w:t>
            </w:r>
          </w:p>
        </w:tc>
        <w:tc>
          <w:tcPr>
            <w:tcW w:w="830" w:type="dxa"/>
            <w:tcBorders>
              <w:top w:val="nil"/>
              <w:left w:val="nil"/>
              <w:bottom w:val="nil"/>
              <w:right w:val="nil"/>
            </w:tcBorders>
            <w:shd w:val="clear" w:color="auto" w:fill="auto"/>
            <w:noWrap/>
            <w:vAlign w:val="bottom"/>
            <w:hideMark/>
          </w:tcPr>
          <w:p w14:paraId="620058F8" w14:textId="77777777" w:rsidR="00634BCB" w:rsidRPr="00634BCB" w:rsidRDefault="00634BCB" w:rsidP="00B1162E">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000000" w:fill="E6E6E6"/>
            <w:noWrap/>
            <w:vAlign w:val="bottom"/>
            <w:hideMark/>
          </w:tcPr>
          <w:p w14:paraId="426212B6" w14:textId="065836B0" w:rsidR="00634BCB" w:rsidRPr="00634BCB" w:rsidRDefault="00634BCB" w:rsidP="00B1162E">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4774AA2E" w14:textId="77777777" w:rsidR="00634BCB" w:rsidRPr="00634BCB" w:rsidRDefault="00634BCB" w:rsidP="00B1162E">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14:paraId="61B18D49" w14:textId="0136ADBF" w:rsidR="00634BCB" w:rsidRPr="00634BCB" w:rsidRDefault="00634BCB" w:rsidP="00B1162E">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73861CE8" w14:textId="77777777" w:rsidR="00634BCB" w:rsidRPr="00634BCB" w:rsidRDefault="00634BCB" w:rsidP="00B1162E">
            <w:pPr>
              <w:spacing w:after="0" w:line="240" w:lineRule="auto"/>
              <w:jc w:val="right"/>
              <w:rPr>
                <w:rFonts w:ascii="Arial" w:hAnsi="Arial" w:cs="Arial"/>
                <w:sz w:val="16"/>
                <w:szCs w:val="16"/>
              </w:rPr>
            </w:pPr>
          </w:p>
        </w:tc>
      </w:tr>
      <w:tr w:rsidR="00634BCB" w:rsidRPr="00634BCB" w14:paraId="2E5D9D68" w14:textId="77777777" w:rsidTr="00634BCB">
        <w:trPr>
          <w:trHeight w:val="204"/>
        </w:trPr>
        <w:tc>
          <w:tcPr>
            <w:tcW w:w="3261" w:type="dxa"/>
            <w:tcBorders>
              <w:top w:val="nil"/>
              <w:left w:val="nil"/>
              <w:bottom w:val="nil"/>
              <w:right w:val="nil"/>
            </w:tcBorders>
            <w:shd w:val="clear" w:color="auto" w:fill="auto"/>
            <w:vAlign w:val="bottom"/>
            <w:hideMark/>
          </w:tcPr>
          <w:p w14:paraId="2BF728E7" w14:textId="4B392B61" w:rsidR="00634BCB" w:rsidRPr="00634BCB" w:rsidRDefault="00634BCB" w:rsidP="00634BCB">
            <w:pPr>
              <w:spacing w:after="0" w:line="240" w:lineRule="auto"/>
              <w:jc w:val="left"/>
              <w:rPr>
                <w:rFonts w:ascii="Arial" w:hAnsi="Arial" w:cs="Arial"/>
                <w:sz w:val="16"/>
                <w:szCs w:val="16"/>
              </w:rPr>
            </w:pPr>
            <w:r w:rsidRPr="00634BCB">
              <w:rPr>
                <w:rFonts w:ascii="Arial" w:hAnsi="Arial" w:cs="Arial"/>
                <w:sz w:val="16"/>
                <w:szCs w:val="16"/>
              </w:rPr>
              <w:t>Media Sector Reforms</w:t>
            </w:r>
            <w:r w:rsidR="009836BC">
              <w:rPr>
                <w:rFonts w:ascii="Arial" w:hAnsi="Arial" w:cs="Arial"/>
                <w:sz w:val="16"/>
                <w:szCs w:val="16"/>
              </w:rPr>
              <w:t xml:space="preserve"> </w:t>
            </w:r>
            <w:r w:rsidR="009836BC" w:rsidRPr="009836BC">
              <w:rPr>
                <w:rFonts w:ascii="Arial" w:hAnsi="Arial" w:cs="Arial"/>
                <w:sz w:val="16"/>
                <w:szCs w:val="16"/>
                <w:vertAlign w:val="superscript"/>
              </w:rPr>
              <w:t>(a)</w:t>
            </w:r>
          </w:p>
        </w:tc>
        <w:tc>
          <w:tcPr>
            <w:tcW w:w="830" w:type="dxa"/>
            <w:tcBorders>
              <w:top w:val="nil"/>
              <w:left w:val="nil"/>
              <w:bottom w:val="nil"/>
              <w:right w:val="nil"/>
            </w:tcBorders>
            <w:shd w:val="clear" w:color="auto" w:fill="auto"/>
            <w:noWrap/>
            <w:vAlign w:val="bottom"/>
            <w:hideMark/>
          </w:tcPr>
          <w:p w14:paraId="43E8E17C" w14:textId="77777777" w:rsidR="00634BCB" w:rsidRPr="00634BCB" w:rsidRDefault="00634BCB" w:rsidP="00B1162E">
            <w:pPr>
              <w:spacing w:after="0" w:line="240" w:lineRule="auto"/>
              <w:jc w:val="center"/>
              <w:rPr>
                <w:rFonts w:ascii="Arial" w:hAnsi="Arial" w:cs="Arial"/>
                <w:sz w:val="16"/>
                <w:szCs w:val="16"/>
              </w:rPr>
            </w:pPr>
            <w:r w:rsidRPr="00634BCB">
              <w:rPr>
                <w:rFonts w:ascii="Arial" w:hAnsi="Arial" w:cs="Arial"/>
                <w:sz w:val="16"/>
                <w:szCs w:val="16"/>
              </w:rPr>
              <w:t>1.1,1.2</w:t>
            </w:r>
          </w:p>
        </w:tc>
        <w:tc>
          <w:tcPr>
            <w:tcW w:w="866" w:type="dxa"/>
            <w:tcBorders>
              <w:top w:val="nil"/>
              <w:left w:val="nil"/>
              <w:bottom w:val="nil"/>
              <w:right w:val="nil"/>
            </w:tcBorders>
            <w:shd w:val="clear" w:color="000000" w:fill="E6E6E6"/>
            <w:noWrap/>
            <w:vAlign w:val="bottom"/>
            <w:hideMark/>
          </w:tcPr>
          <w:p w14:paraId="581F3B65" w14:textId="29B42785" w:rsidR="00634BCB" w:rsidRPr="00634BCB" w:rsidRDefault="00634BCB" w:rsidP="00B1162E">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41367A5E" w14:textId="77777777" w:rsidR="00634BCB" w:rsidRPr="00634BCB" w:rsidRDefault="00634BCB" w:rsidP="00B1162E">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14:paraId="62013878" w14:textId="7F5CD675" w:rsidR="00634BCB" w:rsidRPr="00634BCB" w:rsidRDefault="00634BCB" w:rsidP="00B1162E">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63E04901" w14:textId="77777777" w:rsidR="00634BCB" w:rsidRPr="00634BCB" w:rsidRDefault="00634BCB" w:rsidP="00B1162E">
            <w:pPr>
              <w:spacing w:after="0" w:line="240" w:lineRule="auto"/>
              <w:jc w:val="right"/>
              <w:rPr>
                <w:rFonts w:ascii="Arial" w:hAnsi="Arial" w:cs="Arial"/>
                <w:sz w:val="16"/>
                <w:szCs w:val="16"/>
              </w:rPr>
            </w:pPr>
          </w:p>
        </w:tc>
      </w:tr>
      <w:tr w:rsidR="00634BCB" w:rsidRPr="00634BCB" w14:paraId="267E54D6" w14:textId="77777777" w:rsidTr="00553851">
        <w:trPr>
          <w:trHeight w:val="204"/>
        </w:trPr>
        <w:tc>
          <w:tcPr>
            <w:tcW w:w="3261" w:type="dxa"/>
            <w:tcBorders>
              <w:top w:val="nil"/>
              <w:left w:val="nil"/>
              <w:bottom w:val="nil"/>
              <w:right w:val="nil"/>
            </w:tcBorders>
            <w:shd w:val="clear" w:color="auto" w:fill="auto"/>
            <w:noWrap/>
            <w:vAlign w:val="bottom"/>
            <w:hideMark/>
          </w:tcPr>
          <w:p w14:paraId="586C63CA" w14:textId="0C12C09C" w:rsidR="00634BCB" w:rsidRPr="00634BCB" w:rsidRDefault="008863D9" w:rsidP="00B1162E">
            <w:pPr>
              <w:spacing w:after="0" w:line="240" w:lineRule="auto"/>
              <w:ind w:left="113"/>
              <w:jc w:val="left"/>
              <w:rPr>
                <w:rFonts w:ascii="Arial" w:hAnsi="Arial" w:cs="Arial"/>
                <w:sz w:val="16"/>
                <w:szCs w:val="16"/>
              </w:rPr>
            </w:pPr>
            <w:r>
              <w:rPr>
                <w:rFonts w:ascii="Arial" w:hAnsi="Arial" w:cs="Arial"/>
                <w:sz w:val="16"/>
                <w:szCs w:val="16"/>
              </w:rPr>
              <w:t>Department</w:t>
            </w:r>
            <w:r w:rsidR="00634BCB" w:rsidRPr="00634BCB">
              <w:rPr>
                <w:rFonts w:ascii="Arial" w:hAnsi="Arial" w:cs="Arial"/>
                <w:sz w:val="16"/>
                <w:szCs w:val="16"/>
              </w:rPr>
              <w:t xml:space="preserve">al </w:t>
            </w:r>
            <w:r w:rsidR="001346D5">
              <w:rPr>
                <w:rFonts w:ascii="Arial" w:hAnsi="Arial" w:cs="Arial"/>
                <w:sz w:val="16"/>
                <w:szCs w:val="16"/>
              </w:rPr>
              <w:t>payments</w:t>
            </w:r>
          </w:p>
        </w:tc>
        <w:tc>
          <w:tcPr>
            <w:tcW w:w="830" w:type="dxa"/>
            <w:tcBorders>
              <w:top w:val="nil"/>
              <w:left w:val="nil"/>
              <w:bottom w:val="nil"/>
              <w:right w:val="nil"/>
            </w:tcBorders>
            <w:shd w:val="clear" w:color="auto" w:fill="auto"/>
            <w:noWrap/>
            <w:vAlign w:val="bottom"/>
            <w:hideMark/>
          </w:tcPr>
          <w:p w14:paraId="513D2163" w14:textId="77777777" w:rsidR="00634BCB" w:rsidRPr="00634BCB" w:rsidRDefault="00634BCB" w:rsidP="00B1162E">
            <w:pPr>
              <w:spacing w:after="0" w:line="240" w:lineRule="auto"/>
              <w:ind w:firstLineChars="100" w:firstLine="160"/>
              <w:jc w:val="right"/>
              <w:rPr>
                <w:rFonts w:ascii="Arial" w:hAnsi="Arial" w:cs="Arial"/>
                <w:sz w:val="16"/>
                <w:szCs w:val="16"/>
              </w:rPr>
            </w:pPr>
          </w:p>
        </w:tc>
        <w:tc>
          <w:tcPr>
            <w:tcW w:w="866" w:type="dxa"/>
            <w:tcBorders>
              <w:top w:val="nil"/>
              <w:left w:val="nil"/>
              <w:right w:val="nil"/>
            </w:tcBorders>
            <w:shd w:val="clear" w:color="000000" w:fill="E6E6E6"/>
            <w:noWrap/>
            <w:vAlign w:val="bottom"/>
            <w:hideMark/>
          </w:tcPr>
          <w:p w14:paraId="3136A71C" w14:textId="74AE09D8"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813</w:t>
            </w:r>
          </w:p>
        </w:tc>
        <w:tc>
          <w:tcPr>
            <w:tcW w:w="851" w:type="dxa"/>
            <w:tcBorders>
              <w:top w:val="nil"/>
              <w:left w:val="nil"/>
              <w:right w:val="nil"/>
            </w:tcBorders>
            <w:shd w:val="clear" w:color="auto" w:fill="auto"/>
            <w:noWrap/>
            <w:vAlign w:val="bottom"/>
            <w:hideMark/>
          </w:tcPr>
          <w:p w14:paraId="18B5B657" w14:textId="0085D8C3"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2,977</w:t>
            </w:r>
          </w:p>
        </w:tc>
        <w:tc>
          <w:tcPr>
            <w:tcW w:w="992" w:type="dxa"/>
            <w:tcBorders>
              <w:top w:val="nil"/>
              <w:left w:val="nil"/>
              <w:right w:val="nil"/>
            </w:tcBorders>
            <w:shd w:val="clear" w:color="000000" w:fill="E6E6E6"/>
            <w:noWrap/>
            <w:vAlign w:val="bottom"/>
            <w:hideMark/>
          </w:tcPr>
          <w:p w14:paraId="0E20E0EE" w14:textId="01A50D68"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925</w:t>
            </w:r>
          </w:p>
        </w:tc>
        <w:tc>
          <w:tcPr>
            <w:tcW w:w="851" w:type="dxa"/>
            <w:tcBorders>
              <w:top w:val="nil"/>
              <w:left w:val="nil"/>
              <w:right w:val="nil"/>
            </w:tcBorders>
            <w:shd w:val="clear" w:color="auto" w:fill="auto"/>
            <w:noWrap/>
            <w:vAlign w:val="bottom"/>
            <w:hideMark/>
          </w:tcPr>
          <w:p w14:paraId="1E61BC37" w14:textId="3F638F84"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750</w:t>
            </w:r>
          </w:p>
        </w:tc>
      </w:tr>
      <w:tr w:rsidR="00634BCB" w:rsidRPr="00634BCB" w14:paraId="69DD1316" w14:textId="77777777" w:rsidTr="00553851">
        <w:trPr>
          <w:trHeight w:val="204"/>
        </w:trPr>
        <w:tc>
          <w:tcPr>
            <w:tcW w:w="3261" w:type="dxa"/>
            <w:tcBorders>
              <w:top w:val="nil"/>
              <w:left w:val="nil"/>
              <w:bottom w:val="nil"/>
              <w:right w:val="nil"/>
            </w:tcBorders>
            <w:shd w:val="clear" w:color="auto" w:fill="auto"/>
            <w:noWrap/>
            <w:vAlign w:val="bottom"/>
            <w:hideMark/>
          </w:tcPr>
          <w:p w14:paraId="57895AD3" w14:textId="77777777" w:rsidR="00634BCB" w:rsidRPr="00634BCB" w:rsidRDefault="00634BCB" w:rsidP="00634BCB">
            <w:pPr>
              <w:spacing w:after="0" w:line="240" w:lineRule="auto"/>
              <w:jc w:val="left"/>
              <w:rPr>
                <w:rFonts w:ascii="Arial" w:hAnsi="Arial" w:cs="Arial"/>
                <w:b/>
                <w:bCs/>
                <w:sz w:val="16"/>
                <w:szCs w:val="16"/>
              </w:rPr>
            </w:pPr>
            <w:r w:rsidRPr="00634BCB">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4B6E3CA0" w14:textId="77777777" w:rsidR="00634BCB" w:rsidRPr="00634BCB" w:rsidRDefault="00634BCB" w:rsidP="00B1162E">
            <w:pPr>
              <w:spacing w:after="0" w:line="240" w:lineRule="auto"/>
              <w:jc w:val="right"/>
              <w:rPr>
                <w:rFonts w:ascii="Arial" w:hAnsi="Arial" w:cs="Arial"/>
                <w:b/>
                <w:bCs/>
                <w:sz w:val="16"/>
                <w:szCs w:val="16"/>
              </w:rPr>
            </w:pPr>
          </w:p>
        </w:tc>
        <w:tc>
          <w:tcPr>
            <w:tcW w:w="866" w:type="dxa"/>
            <w:tcBorders>
              <w:top w:val="nil"/>
              <w:left w:val="nil"/>
              <w:bottom w:val="single" w:sz="4" w:space="0" w:color="auto"/>
              <w:right w:val="nil"/>
            </w:tcBorders>
            <w:shd w:val="clear" w:color="000000" w:fill="E6E6E6"/>
            <w:noWrap/>
            <w:vAlign w:val="bottom"/>
            <w:hideMark/>
          </w:tcPr>
          <w:p w14:paraId="5F189626" w14:textId="485A6504"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813</w:t>
            </w:r>
          </w:p>
        </w:tc>
        <w:tc>
          <w:tcPr>
            <w:tcW w:w="851" w:type="dxa"/>
            <w:tcBorders>
              <w:top w:val="nil"/>
              <w:left w:val="nil"/>
              <w:bottom w:val="single" w:sz="4" w:space="0" w:color="auto"/>
              <w:right w:val="nil"/>
            </w:tcBorders>
            <w:shd w:val="clear" w:color="auto" w:fill="auto"/>
            <w:noWrap/>
            <w:vAlign w:val="bottom"/>
            <w:hideMark/>
          </w:tcPr>
          <w:p w14:paraId="4D450958" w14:textId="6265FBE5"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2,977</w:t>
            </w:r>
          </w:p>
        </w:tc>
        <w:tc>
          <w:tcPr>
            <w:tcW w:w="992" w:type="dxa"/>
            <w:tcBorders>
              <w:top w:val="nil"/>
              <w:left w:val="nil"/>
              <w:bottom w:val="single" w:sz="4" w:space="0" w:color="auto"/>
              <w:right w:val="nil"/>
            </w:tcBorders>
            <w:shd w:val="clear" w:color="000000" w:fill="E6E6E6"/>
            <w:noWrap/>
            <w:vAlign w:val="bottom"/>
            <w:hideMark/>
          </w:tcPr>
          <w:p w14:paraId="6C845121" w14:textId="6523F870"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925</w:t>
            </w:r>
          </w:p>
        </w:tc>
        <w:tc>
          <w:tcPr>
            <w:tcW w:w="851" w:type="dxa"/>
            <w:tcBorders>
              <w:top w:val="nil"/>
              <w:left w:val="nil"/>
              <w:bottom w:val="single" w:sz="4" w:space="0" w:color="auto"/>
              <w:right w:val="nil"/>
            </w:tcBorders>
            <w:shd w:val="clear" w:color="auto" w:fill="auto"/>
            <w:noWrap/>
            <w:vAlign w:val="bottom"/>
            <w:hideMark/>
          </w:tcPr>
          <w:p w14:paraId="2B2948DD" w14:textId="0F0BAEE5"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750</w:t>
            </w:r>
          </w:p>
        </w:tc>
      </w:tr>
      <w:tr w:rsidR="00634BCB" w:rsidRPr="00634BCB" w14:paraId="71562769" w14:textId="77777777" w:rsidTr="00553851">
        <w:trPr>
          <w:trHeight w:val="204"/>
        </w:trPr>
        <w:tc>
          <w:tcPr>
            <w:tcW w:w="3261" w:type="dxa"/>
            <w:tcBorders>
              <w:top w:val="nil"/>
              <w:left w:val="nil"/>
              <w:bottom w:val="nil"/>
              <w:right w:val="nil"/>
            </w:tcBorders>
            <w:shd w:val="clear" w:color="auto" w:fill="auto"/>
            <w:noWrap/>
            <w:vAlign w:val="bottom"/>
            <w:hideMark/>
          </w:tcPr>
          <w:p w14:paraId="613213CC" w14:textId="77777777" w:rsidR="00634BCB" w:rsidRPr="00634BCB" w:rsidRDefault="00634BCB" w:rsidP="00634BCB">
            <w:pPr>
              <w:spacing w:after="0" w:line="240" w:lineRule="auto"/>
              <w:jc w:val="left"/>
              <w:rPr>
                <w:rFonts w:ascii="Arial" w:hAnsi="Arial" w:cs="Arial"/>
                <w:b/>
                <w:bCs/>
                <w:sz w:val="16"/>
                <w:szCs w:val="16"/>
              </w:rPr>
            </w:pPr>
            <w:r w:rsidRPr="00634BCB">
              <w:rPr>
                <w:rFonts w:ascii="Arial" w:hAnsi="Arial" w:cs="Arial"/>
                <w:b/>
                <w:bCs/>
                <w:sz w:val="16"/>
                <w:szCs w:val="16"/>
              </w:rPr>
              <w:t>Total payment measures</w:t>
            </w:r>
          </w:p>
        </w:tc>
        <w:tc>
          <w:tcPr>
            <w:tcW w:w="830" w:type="dxa"/>
            <w:tcBorders>
              <w:top w:val="nil"/>
              <w:left w:val="nil"/>
              <w:bottom w:val="nil"/>
              <w:right w:val="nil"/>
            </w:tcBorders>
            <w:shd w:val="clear" w:color="auto" w:fill="auto"/>
            <w:noWrap/>
            <w:vAlign w:val="bottom"/>
            <w:hideMark/>
          </w:tcPr>
          <w:p w14:paraId="592E6D06" w14:textId="77777777" w:rsidR="00634BCB" w:rsidRPr="00634BCB" w:rsidRDefault="00634BCB" w:rsidP="00B1162E">
            <w:pPr>
              <w:spacing w:after="0" w:line="240" w:lineRule="auto"/>
              <w:jc w:val="right"/>
              <w:rPr>
                <w:rFonts w:ascii="Arial" w:hAnsi="Arial" w:cs="Arial"/>
                <w:b/>
                <w:bCs/>
                <w:sz w:val="16"/>
                <w:szCs w:val="16"/>
              </w:rPr>
            </w:pPr>
          </w:p>
        </w:tc>
        <w:tc>
          <w:tcPr>
            <w:tcW w:w="866" w:type="dxa"/>
            <w:tcBorders>
              <w:top w:val="single" w:sz="4" w:space="0" w:color="auto"/>
              <w:left w:val="nil"/>
              <w:bottom w:val="nil"/>
              <w:right w:val="nil"/>
            </w:tcBorders>
            <w:shd w:val="clear" w:color="000000" w:fill="E6E6E6"/>
            <w:noWrap/>
            <w:vAlign w:val="bottom"/>
            <w:hideMark/>
          </w:tcPr>
          <w:p w14:paraId="651958F1" w14:textId="4E413067" w:rsidR="00634BCB" w:rsidRPr="00634BCB" w:rsidRDefault="00634BCB" w:rsidP="00B1162E">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auto" w:fill="auto"/>
            <w:noWrap/>
            <w:vAlign w:val="bottom"/>
            <w:hideMark/>
          </w:tcPr>
          <w:p w14:paraId="1876069F" w14:textId="77777777" w:rsidR="00634BCB" w:rsidRPr="00634BCB" w:rsidRDefault="00634BCB" w:rsidP="00B1162E">
            <w:pPr>
              <w:spacing w:after="0" w:line="240" w:lineRule="auto"/>
              <w:jc w:val="right"/>
              <w:rPr>
                <w:rFonts w:ascii="Arial" w:hAnsi="Arial" w:cs="Arial"/>
                <w:sz w:val="16"/>
                <w:szCs w:val="16"/>
              </w:rPr>
            </w:pPr>
          </w:p>
        </w:tc>
        <w:tc>
          <w:tcPr>
            <w:tcW w:w="992" w:type="dxa"/>
            <w:tcBorders>
              <w:top w:val="single" w:sz="4" w:space="0" w:color="auto"/>
              <w:left w:val="nil"/>
              <w:bottom w:val="nil"/>
              <w:right w:val="nil"/>
            </w:tcBorders>
            <w:shd w:val="clear" w:color="000000" w:fill="E6E6E6"/>
            <w:noWrap/>
            <w:vAlign w:val="bottom"/>
            <w:hideMark/>
          </w:tcPr>
          <w:p w14:paraId="02E8B8EA" w14:textId="35EAB583" w:rsidR="00634BCB" w:rsidRPr="00634BCB" w:rsidRDefault="00634BCB" w:rsidP="00B1162E">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auto" w:fill="auto"/>
            <w:noWrap/>
            <w:vAlign w:val="bottom"/>
            <w:hideMark/>
          </w:tcPr>
          <w:p w14:paraId="350A907F" w14:textId="77777777" w:rsidR="00634BCB" w:rsidRPr="00634BCB" w:rsidRDefault="00634BCB" w:rsidP="00B1162E">
            <w:pPr>
              <w:spacing w:after="0" w:line="240" w:lineRule="auto"/>
              <w:jc w:val="right"/>
              <w:rPr>
                <w:rFonts w:ascii="Arial" w:hAnsi="Arial" w:cs="Arial"/>
                <w:sz w:val="16"/>
                <w:szCs w:val="16"/>
              </w:rPr>
            </w:pPr>
          </w:p>
        </w:tc>
      </w:tr>
      <w:tr w:rsidR="00634BCB" w:rsidRPr="00634BCB" w14:paraId="08AE9E2E" w14:textId="77777777" w:rsidTr="00634BCB">
        <w:trPr>
          <w:trHeight w:val="204"/>
        </w:trPr>
        <w:tc>
          <w:tcPr>
            <w:tcW w:w="3261" w:type="dxa"/>
            <w:tcBorders>
              <w:top w:val="nil"/>
              <w:left w:val="nil"/>
              <w:bottom w:val="nil"/>
              <w:right w:val="nil"/>
            </w:tcBorders>
            <w:shd w:val="clear" w:color="auto" w:fill="auto"/>
            <w:noWrap/>
            <w:vAlign w:val="bottom"/>
            <w:hideMark/>
          </w:tcPr>
          <w:p w14:paraId="1132DEBC" w14:textId="657BDD84" w:rsidR="00634BCB" w:rsidRPr="00634BCB" w:rsidRDefault="008863D9" w:rsidP="00B1162E">
            <w:pPr>
              <w:spacing w:after="0" w:line="240" w:lineRule="auto"/>
              <w:ind w:left="113"/>
              <w:jc w:val="left"/>
              <w:rPr>
                <w:rFonts w:ascii="Arial" w:hAnsi="Arial" w:cs="Arial"/>
                <w:sz w:val="16"/>
                <w:szCs w:val="16"/>
              </w:rPr>
            </w:pPr>
            <w:r>
              <w:rPr>
                <w:rFonts w:ascii="Arial" w:hAnsi="Arial" w:cs="Arial"/>
                <w:sz w:val="16"/>
                <w:szCs w:val="16"/>
              </w:rPr>
              <w:t>Department</w:t>
            </w:r>
            <w:r w:rsidR="00634BCB" w:rsidRPr="00634BCB">
              <w:rPr>
                <w:rFonts w:ascii="Arial" w:hAnsi="Arial" w:cs="Arial"/>
                <w:sz w:val="16"/>
                <w:szCs w:val="16"/>
              </w:rPr>
              <w:t>al</w:t>
            </w:r>
          </w:p>
        </w:tc>
        <w:tc>
          <w:tcPr>
            <w:tcW w:w="830" w:type="dxa"/>
            <w:tcBorders>
              <w:top w:val="nil"/>
              <w:left w:val="nil"/>
              <w:bottom w:val="nil"/>
              <w:right w:val="nil"/>
            </w:tcBorders>
            <w:shd w:val="clear" w:color="auto" w:fill="auto"/>
            <w:noWrap/>
            <w:vAlign w:val="bottom"/>
            <w:hideMark/>
          </w:tcPr>
          <w:p w14:paraId="679781E0" w14:textId="77777777" w:rsidR="00634BCB" w:rsidRPr="00634BCB" w:rsidRDefault="00634BCB" w:rsidP="00B1162E">
            <w:pPr>
              <w:spacing w:after="0" w:line="240" w:lineRule="auto"/>
              <w:ind w:firstLineChars="100" w:firstLine="160"/>
              <w:jc w:val="right"/>
              <w:rPr>
                <w:rFonts w:ascii="Arial" w:hAnsi="Arial" w:cs="Arial"/>
                <w:sz w:val="16"/>
                <w:szCs w:val="16"/>
              </w:rPr>
            </w:pPr>
          </w:p>
        </w:tc>
        <w:tc>
          <w:tcPr>
            <w:tcW w:w="866" w:type="dxa"/>
            <w:tcBorders>
              <w:top w:val="nil"/>
              <w:left w:val="nil"/>
              <w:bottom w:val="nil"/>
              <w:right w:val="nil"/>
            </w:tcBorders>
            <w:shd w:val="clear" w:color="000000" w:fill="E6E6E6"/>
            <w:noWrap/>
            <w:vAlign w:val="bottom"/>
            <w:hideMark/>
          </w:tcPr>
          <w:p w14:paraId="3A5E5554" w14:textId="08EE8FF3"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813</w:t>
            </w:r>
          </w:p>
        </w:tc>
        <w:tc>
          <w:tcPr>
            <w:tcW w:w="851" w:type="dxa"/>
            <w:tcBorders>
              <w:top w:val="nil"/>
              <w:left w:val="nil"/>
              <w:bottom w:val="nil"/>
              <w:right w:val="nil"/>
            </w:tcBorders>
            <w:shd w:val="clear" w:color="auto" w:fill="auto"/>
            <w:noWrap/>
            <w:vAlign w:val="bottom"/>
            <w:hideMark/>
          </w:tcPr>
          <w:p w14:paraId="4FFC4105" w14:textId="452FD10E"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2,977</w:t>
            </w:r>
          </w:p>
        </w:tc>
        <w:tc>
          <w:tcPr>
            <w:tcW w:w="992" w:type="dxa"/>
            <w:tcBorders>
              <w:top w:val="nil"/>
              <w:left w:val="nil"/>
              <w:bottom w:val="nil"/>
              <w:right w:val="nil"/>
            </w:tcBorders>
            <w:shd w:val="clear" w:color="000000" w:fill="E6E6E6"/>
            <w:noWrap/>
            <w:vAlign w:val="bottom"/>
            <w:hideMark/>
          </w:tcPr>
          <w:p w14:paraId="1B573DED" w14:textId="03DFCC5F"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925</w:t>
            </w:r>
          </w:p>
        </w:tc>
        <w:tc>
          <w:tcPr>
            <w:tcW w:w="851" w:type="dxa"/>
            <w:tcBorders>
              <w:top w:val="nil"/>
              <w:left w:val="nil"/>
              <w:bottom w:val="nil"/>
              <w:right w:val="nil"/>
            </w:tcBorders>
            <w:shd w:val="clear" w:color="auto" w:fill="auto"/>
            <w:noWrap/>
            <w:vAlign w:val="bottom"/>
            <w:hideMark/>
          </w:tcPr>
          <w:p w14:paraId="7CEF7028" w14:textId="0ACB42A9" w:rsidR="00634BCB" w:rsidRPr="00634BCB" w:rsidRDefault="00634BCB" w:rsidP="00B1162E">
            <w:pPr>
              <w:spacing w:after="0" w:line="240" w:lineRule="auto"/>
              <w:jc w:val="right"/>
              <w:rPr>
                <w:rFonts w:ascii="Arial" w:hAnsi="Arial" w:cs="Arial"/>
                <w:sz w:val="16"/>
                <w:szCs w:val="16"/>
              </w:rPr>
            </w:pPr>
            <w:r w:rsidRPr="00634BCB">
              <w:rPr>
                <w:rFonts w:ascii="Arial" w:hAnsi="Arial" w:cs="Arial"/>
                <w:sz w:val="16"/>
                <w:szCs w:val="16"/>
              </w:rPr>
              <w:t>750</w:t>
            </w:r>
          </w:p>
        </w:tc>
      </w:tr>
      <w:tr w:rsidR="00634BCB" w:rsidRPr="00634BCB" w14:paraId="1F1E0F56" w14:textId="77777777" w:rsidTr="00634BCB">
        <w:trPr>
          <w:trHeight w:val="204"/>
        </w:trPr>
        <w:tc>
          <w:tcPr>
            <w:tcW w:w="3261" w:type="dxa"/>
            <w:tcBorders>
              <w:top w:val="nil"/>
              <w:left w:val="nil"/>
              <w:bottom w:val="single" w:sz="4" w:space="0" w:color="auto"/>
              <w:right w:val="nil"/>
            </w:tcBorders>
            <w:shd w:val="clear" w:color="auto" w:fill="auto"/>
            <w:noWrap/>
            <w:vAlign w:val="bottom"/>
            <w:hideMark/>
          </w:tcPr>
          <w:p w14:paraId="2DF6F0B3" w14:textId="77777777" w:rsidR="00634BCB" w:rsidRPr="00634BCB" w:rsidRDefault="00634BCB" w:rsidP="00634BCB">
            <w:pPr>
              <w:spacing w:after="0" w:line="240" w:lineRule="auto"/>
              <w:jc w:val="left"/>
              <w:rPr>
                <w:rFonts w:ascii="Arial" w:hAnsi="Arial" w:cs="Arial"/>
                <w:b/>
                <w:bCs/>
                <w:sz w:val="16"/>
                <w:szCs w:val="16"/>
              </w:rPr>
            </w:pPr>
            <w:r w:rsidRPr="00634BCB">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vAlign w:val="bottom"/>
            <w:hideMark/>
          </w:tcPr>
          <w:p w14:paraId="757CE063" w14:textId="32C90345" w:rsidR="00634BCB" w:rsidRPr="00634BCB" w:rsidRDefault="00634BCB" w:rsidP="00B1162E">
            <w:pPr>
              <w:spacing w:after="0" w:line="240" w:lineRule="auto"/>
              <w:jc w:val="right"/>
              <w:rPr>
                <w:rFonts w:ascii="Arial" w:hAnsi="Arial" w:cs="Arial"/>
                <w:b/>
                <w:bCs/>
                <w:sz w:val="16"/>
                <w:szCs w:val="16"/>
              </w:rPr>
            </w:pPr>
          </w:p>
        </w:tc>
        <w:tc>
          <w:tcPr>
            <w:tcW w:w="866" w:type="dxa"/>
            <w:tcBorders>
              <w:top w:val="nil"/>
              <w:left w:val="nil"/>
              <w:bottom w:val="single" w:sz="4" w:space="0" w:color="auto"/>
              <w:right w:val="nil"/>
            </w:tcBorders>
            <w:shd w:val="clear" w:color="000000" w:fill="E6E6E6"/>
            <w:noWrap/>
            <w:vAlign w:val="bottom"/>
            <w:hideMark/>
          </w:tcPr>
          <w:p w14:paraId="52B91C3E" w14:textId="2CBA7005"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813</w:t>
            </w:r>
          </w:p>
        </w:tc>
        <w:tc>
          <w:tcPr>
            <w:tcW w:w="851" w:type="dxa"/>
            <w:tcBorders>
              <w:top w:val="nil"/>
              <w:left w:val="nil"/>
              <w:bottom w:val="single" w:sz="4" w:space="0" w:color="auto"/>
              <w:right w:val="nil"/>
            </w:tcBorders>
            <w:shd w:val="clear" w:color="auto" w:fill="auto"/>
            <w:noWrap/>
            <w:vAlign w:val="bottom"/>
            <w:hideMark/>
          </w:tcPr>
          <w:p w14:paraId="227D4E1E" w14:textId="3D517D75"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2,977</w:t>
            </w:r>
          </w:p>
        </w:tc>
        <w:tc>
          <w:tcPr>
            <w:tcW w:w="992" w:type="dxa"/>
            <w:tcBorders>
              <w:top w:val="nil"/>
              <w:left w:val="nil"/>
              <w:bottom w:val="single" w:sz="4" w:space="0" w:color="auto"/>
              <w:right w:val="nil"/>
            </w:tcBorders>
            <w:shd w:val="clear" w:color="000000" w:fill="E6E6E6"/>
            <w:noWrap/>
            <w:vAlign w:val="bottom"/>
            <w:hideMark/>
          </w:tcPr>
          <w:p w14:paraId="3C2A9556" w14:textId="25D11614"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925</w:t>
            </w:r>
          </w:p>
        </w:tc>
        <w:tc>
          <w:tcPr>
            <w:tcW w:w="851" w:type="dxa"/>
            <w:tcBorders>
              <w:top w:val="nil"/>
              <w:left w:val="nil"/>
              <w:bottom w:val="single" w:sz="4" w:space="0" w:color="auto"/>
              <w:right w:val="nil"/>
            </w:tcBorders>
            <w:shd w:val="clear" w:color="auto" w:fill="auto"/>
            <w:noWrap/>
            <w:vAlign w:val="bottom"/>
            <w:hideMark/>
          </w:tcPr>
          <w:p w14:paraId="48AFE62C" w14:textId="167B86A7" w:rsidR="00634BCB" w:rsidRPr="00634BCB" w:rsidRDefault="00634BCB" w:rsidP="00B1162E">
            <w:pPr>
              <w:spacing w:after="0" w:line="240" w:lineRule="auto"/>
              <w:jc w:val="right"/>
              <w:rPr>
                <w:rFonts w:ascii="Arial" w:hAnsi="Arial" w:cs="Arial"/>
                <w:b/>
                <w:bCs/>
                <w:sz w:val="16"/>
                <w:szCs w:val="16"/>
              </w:rPr>
            </w:pPr>
            <w:r w:rsidRPr="00634BCB">
              <w:rPr>
                <w:rFonts w:ascii="Arial" w:hAnsi="Arial" w:cs="Arial"/>
                <w:b/>
                <w:bCs/>
                <w:sz w:val="16"/>
                <w:szCs w:val="16"/>
              </w:rPr>
              <w:t>750</w:t>
            </w:r>
          </w:p>
        </w:tc>
      </w:tr>
    </w:tbl>
    <w:p w14:paraId="17E01DAD" w14:textId="77777777" w:rsidR="006F6AC8" w:rsidRPr="006F6AC8" w:rsidRDefault="006F6AC8" w:rsidP="00DD69D9">
      <w:pPr>
        <w:spacing w:before="60" w:after="0" w:line="240" w:lineRule="auto"/>
        <w:rPr>
          <w:rFonts w:ascii="Arial" w:hAnsi="Arial"/>
          <w:color w:val="000000"/>
          <w:sz w:val="16"/>
          <w:lang w:val="x-none" w:eastAsia="x-none"/>
        </w:rPr>
      </w:pPr>
      <w:r w:rsidRPr="006F6AC8">
        <w:rPr>
          <w:rFonts w:ascii="Arial" w:hAnsi="Arial"/>
          <w:color w:val="000000"/>
          <w:sz w:val="16"/>
          <w:lang w:val="x-none" w:eastAsia="x-none"/>
        </w:rPr>
        <w:t>Prepared on a Government Financial Statistics (Underlying Cash) basis. Figures displayed as a negative (-) represent a decrease in funds and a positive (+) represent an increase in funds.</w:t>
      </w:r>
    </w:p>
    <w:p w14:paraId="0098835D" w14:textId="7601D07B" w:rsidR="009836BC" w:rsidRPr="004A5430" w:rsidRDefault="009836BC" w:rsidP="00F10ACD">
      <w:pPr>
        <w:numPr>
          <w:ilvl w:val="0"/>
          <w:numId w:val="45"/>
        </w:numPr>
        <w:spacing w:after="0" w:line="240" w:lineRule="auto"/>
        <w:rPr>
          <w:rFonts w:ascii="Arial" w:hAnsi="Arial" w:cs="Arial"/>
          <w:color w:val="000000"/>
          <w:sz w:val="16"/>
          <w:szCs w:val="16"/>
        </w:rPr>
      </w:pPr>
      <w:r>
        <w:rPr>
          <w:rFonts w:ascii="Arial" w:hAnsi="Arial" w:cs="Arial"/>
          <w:color w:val="000000"/>
          <w:sz w:val="16"/>
          <w:szCs w:val="16"/>
          <w:lang w:eastAsia="x-none"/>
        </w:rPr>
        <w:t xml:space="preserve">Measure relates to a decision </w:t>
      </w:r>
      <w:r w:rsidR="00C11261">
        <w:rPr>
          <w:rFonts w:ascii="Arial" w:hAnsi="Arial" w:cs="Arial"/>
          <w:color w:val="000000"/>
          <w:sz w:val="16"/>
          <w:szCs w:val="16"/>
          <w:lang w:eastAsia="x-none"/>
        </w:rPr>
        <w:t>announced</w:t>
      </w:r>
      <w:r>
        <w:rPr>
          <w:rFonts w:ascii="Arial" w:hAnsi="Arial" w:cs="Arial"/>
          <w:color w:val="000000"/>
          <w:sz w:val="16"/>
          <w:szCs w:val="16"/>
          <w:lang w:eastAsia="x-none"/>
        </w:rPr>
        <w:t xml:space="preserve"> </w:t>
      </w:r>
      <w:r w:rsidR="006E595F">
        <w:rPr>
          <w:rFonts w:ascii="Arial" w:hAnsi="Arial" w:cs="Arial"/>
          <w:color w:val="000000"/>
          <w:sz w:val="16"/>
          <w:szCs w:val="16"/>
          <w:lang w:eastAsia="x-none"/>
        </w:rPr>
        <w:t>after the</w:t>
      </w:r>
      <w:r>
        <w:rPr>
          <w:rFonts w:ascii="Arial" w:hAnsi="Arial" w:cs="Arial"/>
          <w:color w:val="000000"/>
          <w:sz w:val="16"/>
          <w:szCs w:val="16"/>
          <w:lang w:eastAsia="x-none"/>
        </w:rPr>
        <w:t xml:space="preserve"> 2021-22 Mid-Year Economic and Fiscal Outlook (MYEFO) statement.</w:t>
      </w:r>
      <w:r w:rsidRPr="004A5430">
        <w:rPr>
          <w:rFonts w:ascii="Arial" w:hAnsi="Arial" w:cs="Arial"/>
          <w:color w:val="000000"/>
          <w:sz w:val="16"/>
          <w:szCs w:val="16"/>
          <w:lang w:val="x-none" w:eastAsia="x-none"/>
        </w:rPr>
        <w:t xml:space="preserve"> </w:t>
      </w:r>
    </w:p>
    <w:p w14:paraId="2F632B0B" w14:textId="77777777" w:rsidR="00914885" w:rsidRPr="00643B7D" w:rsidRDefault="00914885" w:rsidP="00914885">
      <w:pPr>
        <w:pStyle w:val="Source"/>
      </w:pPr>
    </w:p>
    <w:p w14:paraId="16EEC060" w14:textId="34A40480" w:rsidR="00914885" w:rsidRPr="00157D6F" w:rsidRDefault="00914885" w:rsidP="00157D6F">
      <w:pPr>
        <w:pStyle w:val="Heading3ACMA"/>
      </w:pPr>
      <w:r>
        <w:br w:type="page"/>
      </w:r>
      <w:bookmarkStart w:id="396" w:name="_Toc92990346"/>
      <w:r w:rsidRPr="00157D6F">
        <w:lastRenderedPageBreak/>
        <w:t>1.4</w:t>
      </w:r>
      <w:r w:rsidRPr="00157D6F">
        <w:tab/>
        <w:t>Additional estimates, resourcing and variations to outcomes</w:t>
      </w:r>
      <w:bookmarkEnd w:id="396"/>
    </w:p>
    <w:p w14:paraId="3C57FD41" w14:textId="69879406" w:rsidR="00830B11" w:rsidRPr="00312E93" w:rsidRDefault="00830B11" w:rsidP="00830B11">
      <w:pPr>
        <w:jc w:val="left"/>
      </w:pPr>
      <w:r w:rsidRPr="00D81F65">
        <w:t>The following table detail</w:t>
      </w:r>
      <w:r w:rsidR="00852545">
        <w:t>s</w:t>
      </w:r>
      <w:r w:rsidRPr="00D81F65">
        <w:t xml:space="preserve"> the changes to the resourcing for </w:t>
      </w:r>
      <w:r>
        <w:t>the ACMA</w:t>
      </w:r>
      <w:r w:rsidRPr="00D81F65">
        <w:t xml:space="preserve"> at Additional Estimates, by outcome. Table 1.3 details the additional estimates resulting from new measures and other variations since the </w:t>
      </w:r>
      <w:r>
        <w:t>2021-22</w:t>
      </w:r>
      <w:r w:rsidRPr="00D81F65">
        <w:t xml:space="preserve"> Budget in Appropriation Bill No. 3. </w:t>
      </w:r>
    </w:p>
    <w:p w14:paraId="169B85A0" w14:textId="4AC371ED" w:rsidR="00830B11" w:rsidRDefault="00830B11" w:rsidP="00830B11">
      <w:pPr>
        <w:pStyle w:val="TableHeading"/>
      </w:pPr>
      <w:r w:rsidRPr="00D81F65">
        <w:t xml:space="preserve">Table 1.3: Additional estimates and other variations to outcomes since </w:t>
      </w:r>
      <w:r>
        <w:t>202</w:t>
      </w:r>
      <w:r>
        <w:rPr>
          <w:lang w:val="en-GB"/>
        </w:rPr>
        <w:t>1-22</w:t>
      </w:r>
      <w:r w:rsidRPr="00D81F65">
        <w:t xml:space="preserve"> Budget</w:t>
      </w:r>
    </w:p>
    <w:tbl>
      <w:tblPr>
        <w:tblW w:w="7425" w:type="dxa"/>
        <w:tblLook w:val="04A0" w:firstRow="1" w:lastRow="0" w:firstColumn="1" w:lastColumn="0" w:noHBand="0" w:noVBand="1"/>
      </w:tblPr>
      <w:tblGrid>
        <w:gridCol w:w="3119"/>
        <w:gridCol w:w="866"/>
        <w:gridCol w:w="860"/>
        <w:gridCol w:w="860"/>
        <w:gridCol w:w="860"/>
        <w:gridCol w:w="860"/>
      </w:tblGrid>
      <w:tr w:rsidR="00AE6789" w:rsidRPr="00AE6789" w14:paraId="612837E5" w14:textId="77777777" w:rsidTr="00D94F71">
        <w:trPr>
          <w:trHeight w:val="96"/>
        </w:trPr>
        <w:tc>
          <w:tcPr>
            <w:tcW w:w="3119" w:type="dxa"/>
            <w:tcBorders>
              <w:top w:val="single" w:sz="4" w:space="0" w:color="auto"/>
              <w:left w:val="nil"/>
              <w:bottom w:val="nil"/>
              <w:right w:val="nil"/>
            </w:tcBorders>
            <w:shd w:val="clear" w:color="auto" w:fill="auto"/>
            <w:noWrap/>
            <w:hideMark/>
          </w:tcPr>
          <w:p w14:paraId="6A4BED8B" w14:textId="77777777" w:rsidR="00AE6789" w:rsidRPr="00AE6789" w:rsidRDefault="00AE6789" w:rsidP="00AE6789">
            <w:pPr>
              <w:spacing w:after="0" w:line="240" w:lineRule="auto"/>
              <w:jc w:val="left"/>
              <w:rPr>
                <w:rFonts w:ascii="Arial" w:hAnsi="Arial" w:cs="Arial"/>
                <w:color w:val="000000"/>
                <w:sz w:val="16"/>
                <w:szCs w:val="16"/>
              </w:rPr>
            </w:pPr>
            <w:r w:rsidRPr="00AE6789">
              <w:rPr>
                <w:rFonts w:ascii="Arial" w:hAnsi="Arial" w:cs="Arial"/>
                <w:color w:val="000000"/>
                <w:sz w:val="16"/>
                <w:szCs w:val="16"/>
              </w:rPr>
              <w:t> </w:t>
            </w:r>
          </w:p>
        </w:tc>
        <w:tc>
          <w:tcPr>
            <w:tcW w:w="866" w:type="dxa"/>
            <w:tcBorders>
              <w:top w:val="single" w:sz="4" w:space="0" w:color="auto"/>
              <w:left w:val="nil"/>
              <w:bottom w:val="single" w:sz="4" w:space="0" w:color="auto"/>
              <w:right w:val="nil"/>
            </w:tcBorders>
            <w:shd w:val="clear" w:color="auto" w:fill="auto"/>
            <w:hideMark/>
          </w:tcPr>
          <w:p w14:paraId="7DE4E8C0" w14:textId="77777777" w:rsidR="00AE6789" w:rsidRPr="00AE6789" w:rsidRDefault="00AE6789" w:rsidP="00AE6789">
            <w:pPr>
              <w:spacing w:after="0" w:line="240" w:lineRule="auto"/>
              <w:jc w:val="center"/>
              <w:rPr>
                <w:rFonts w:ascii="Arial" w:hAnsi="Arial" w:cs="Arial"/>
                <w:color w:val="000000"/>
                <w:sz w:val="16"/>
                <w:szCs w:val="16"/>
              </w:rPr>
            </w:pPr>
            <w:r w:rsidRPr="00AE6789">
              <w:rPr>
                <w:rFonts w:ascii="Arial" w:hAnsi="Arial" w:cs="Arial"/>
                <w:color w:val="000000"/>
                <w:sz w:val="16"/>
                <w:szCs w:val="16"/>
              </w:rPr>
              <w:t>Program impacted</w:t>
            </w:r>
          </w:p>
        </w:tc>
        <w:tc>
          <w:tcPr>
            <w:tcW w:w="860" w:type="dxa"/>
            <w:tcBorders>
              <w:top w:val="single" w:sz="4" w:space="0" w:color="auto"/>
              <w:left w:val="nil"/>
              <w:bottom w:val="single" w:sz="4" w:space="0" w:color="auto"/>
              <w:right w:val="nil"/>
            </w:tcBorders>
            <w:shd w:val="clear" w:color="000000" w:fill="E6E6E6"/>
            <w:hideMark/>
          </w:tcPr>
          <w:p w14:paraId="51C2063C" w14:textId="77777777"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2021-22</w:t>
            </w:r>
            <w:r w:rsidRPr="00AE6789">
              <w:rPr>
                <w:rFonts w:ascii="Arial" w:hAnsi="Arial" w:cs="Arial"/>
                <w:sz w:val="16"/>
                <w:szCs w:val="16"/>
              </w:rPr>
              <w:br/>
              <w:t>$'000</w:t>
            </w:r>
          </w:p>
        </w:tc>
        <w:tc>
          <w:tcPr>
            <w:tcW w:w="860" w:type="dxa"/>
            <w:tcBorders>
              <w:top w:val="single" w:sz="4" w:space="0" w:color="auto"/>
              <w:left w:val="nil"/>
              <w:bottom w:val="single" w:sz="4" w:space="0" w:color="000000"/>
              <w:right w:val="nil"/>
            </w:tcBorders>
            <w:shd w:val="clear" w:color="auto" w:fill="auto"/>
            <w:hideMark/>
          </w:tcPr>
          <w:p w14:paraId="1B7608A3" w14:textId="77777777" w:rsidR="00AE6789" w:rsidRPr="00AE6789" w:rsidRDefault="00AE6789" w:rsidP="00AE6789">
            <w:pPr>
              <w:spacing w:after="0" w:line="240" w:lineRule="auto"/>
              <w:jc w:val="right"/>
              <w:rPr>
                <w:rFonts w:ascii="Arial" w:hAnsi="Arial" w:cs="Arial"/>
                <w:color w:val="000000"/>
                <w:sz w:val="16"/>
                <w:szCs w:val="16"/>
              </w:rPr>
            </w:pPr>
            <w:r w:rsidRPr="00AE6789">
              <w:rPr>
                <w:rFonts w:ascii="Arial" w:hAnsi="Arial" w:cs="Arial"/>
                <w:color w:val="000000"/>
                <w:sz w:val="16"/>
                <w:szCs w:val="16"/>
              </w:rPr>
              <w:t>2022-23</w:t>
            </w:r>
            <w:r w:rsidRPr="00AE6789">
              <w:rPr>
                <w:rFonts w:ascii="Arial" w:hAnsi="Arial" w:cs="Arial"/>
                <w:color w:val="000000"/>
                <w:sz w:val="16"/>
                <w:szCs w:val="16"/>
              </w:rPr>
              <w:br/>
              <w:t>$'000</w:t>
            </w:r>
          </w:p>
        </w:tc>
        <w:tc>
          <w:tcPr>
            <w:tcW w:w="860" w:type="dxa"/>
            <w:tcBorders>
              <w:top w:val="single" w:sz="4" w:space="0" w:color="auto"/>
              <w:left w:val="nil"/>
              <w:bottom w:val="single" w:sz="4" w:space="0" w:color="000000"/>
              <w:right w:val="nil"/>
            </w:tcBorders>
            <w:shd w:val="clear" w:color="auto" w:fill="auto"/>
            <w:hideMark/>
          </w:tcPr>
          <w:p w14:paraId="1A360AB7" w14:textId="77777777" w:rsidR="00AE6789" w:rsidRPr="00AE6789" w:rsidRDefault="00AE6789" w:rsidP="00AE6789">
            <w:pPr>
              <w:spacing w:after="0" w:line="240" w:lineRule="auto"/>
              <w:jc w:val="right"/>
              <w:rPr>
                <w:rFonts w:ascii="Arial" w:hAnsi="Arial" w:cs="Arial"/>
                <w:color w:val="000000"/>
                <w:sz w:val="16"/>
                <w:szCs w:val="16"/>
              </w:rPr>
            </w:pPr>
            <w:r w:rsidRPr="00AE6789">
              <w:rPr>
                <w:rFonts w:ascii="Arial" w:hAnsi="Arial" w:cs="Arial"/>
                <w:color w:val="000000"/>
                <w:sz w:val="16"/>
                <w:szCs w:val="16"/>
              </w:rPr>
              <w:t>2023-24</w:t>
            </w:r>
            <w:r w:rsidRPr="00AE6789">
              <w:rPr>
                <w:rFonts w:ascii="Arial" w:hAnsi="Arial" w:cs="Arial"/>
                <w:color w:val="000000"/>
                <w:sz w:val="16"/>
                <w:szCs w:val="16"/>
              </w:rPr>
              <w:br/>
              <w:t>$'000</w:t>
            </w:r>
          </w:p>
        </w:tc>
        <w:tc>
          <w:tcPr>
            <w:tcW w:w="860" w:type="dxa"/>
            <w:tcBorders>
              <w:top w:val="single" w:sz="4" w:space="0" w:color="auto"/>
              <w:left w:val="nil"/>
              <w:bottom w:val="single" w:sz="4" w:space="0" w:color="000000"/>
              <w:right w:val="nil"/>
            </w:tcBorders>
            <w:shd w:val="clear" w:color="auto" w:fill="auto"/>
            <w:hideMark/>
          </w:tcPr>
          <w:p w14:paraId="2645DC7C" w14:textId="77777777" w:rsidR="00AE6789" w:rsidRPr="00AE6789" w:rsidRDefault="00AE6789" w:rsidP="00AE6789">
            <w:pPr>
              <w:spacing w:after="0" w:line="240" w:lineRule="auto"/>
              <w:jc w:val="right"/>
              <w:rPr>
                <w:rFonts w:ascii="Arial" w:hAnsi="Arial" w:cs="Arial"/>
                <w:color w:val="000000"/>
                <w:sz w:val="16"/>
                <w:szCs w:val="16"/>
              </w:rPr>
            </w:pPr>
            <w:r w:rsidRPr="00AE6789">
              <w:rPr>
                <w:rFonts w:ascii="Arial" w:hAnsi="Arial" w:cs="Arial"/>
                <w:color w:val="000000"/>
                <w:sz w:val="16"/>
                <w:szCs w:val="16"/>
              </w:rPr>
              <w:t>2024-25</w:t>
            </w:r>
            <w:r w:rsidRPr="00AE6789">
              <w:rPr>
                <w:rFonts w:ascii="Arial" w:hAnsi="Arial" w:cs="Arial"/>
                <w:color w:val="000000"/>
                <w:sz w:val="16"/>
                <w:szCs w:val="16"/>
              </w:rPr>
              <w:br/>
              <w:t>$'000</w:t>
            </w:r>
          </w:p>
        </w:tc>
      </w:tr>
      <w:tr w:rsidR="00AE6789" w:rsidRPr="00AE6789" w14:paraId="287F8C24" w14:textId="77777777" w:rsidTr="00D94F71">
        <w:trPr>
          <w:trHeight w:val="204"/>
        </w:trPr>
        <w:tc>
          <w:tcPr>
            <w:tcW w:w="3119" w:type="dxa"/>
            <w:tcBorders>
              <w:top w:val="nil"/>
              <w:left w:val="nil"/>
              <w:bottom w:val="nil"/>
              <w:right w:val="nil"/>
            </w:tcBorders>
            <w:shd w:val="clear" w:color="auto" w:fill="auto"/>
            <w:noWrap/>
            <w:hideMark/>
          </w:tcPr>
          <w:p w14:paraId="5EF52488" w14:textId="77777777" w:rsidR="00AE6789" w:rsidRPr="00AE6789" w:rsidRDefault="00AE6789" w:rsidP="00AE6789">
            <w:pPr>
              <w:spacing w:after="0" w:line="240" w:lineRule="auto"/>
              <w:jc w:val="left"/>
              <w:rPr>
                <w:rFonts w:ascii="Arial" w:hAnsi="Arial" w:cs="Arial"/>
                <w:b/>
                <w:bCs/>
                <w:color w:val="000000"/>
                <w:sz w:val="16"/>
                <w:szCs w:val="16"/>
              </w:rPr>
            </w:pPr>
            <w:r w:rsidRPr="00AE6789">
              <w:rPr>
                <w:rFonts w:ascii="Arial" w:hAnsi="Arial" w:cs="Arial"/>
                <w:b/>
                <w:bCs/>
                <w:color w:val="000000"/>
                <w:sz w:val="16"/>
                <w:szCs w:val="16"/>
              </w:rPr>
              <w:t>Outcome 1</w:t>
            </w:r>
          </w:p>
        </w:tc>
        <w:tc>
          <w:tcPr>
            <w:tcW w:w="866" w:type="dxa"/>
            <w:tcBorders>
              <w:top w:val="nil"/>
              <w:left w:val="nil"/>
              <w:bottom w:val="nil"/>
              <w:right w:val="nil"/>
            </w:tcBorders>
            <w:shd w:val="clear" w:color="auto" w:fill="auto"/>
            <w:noWrap/>
            <w:vAlign w:val="bottom"/>
            <w:hideMark/>
          </w:tcPr>
          <w:p w14:paraId="7D875529" w14:textId="77777777" w:rsidR="00AE6789" w:rsidRPr="00AE6789" w:rsidRDefault="00AE6789" w:rsidP="00AE6789">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4BDB0B57" w14:textId="07336D4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2D4EF5C7"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9379FB8"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5F73A2B" w14:textId="77777777" w:rsidR="00AE6789" w:rsidRPr="00AE6789" w:rsidRDefault="00AE6789" w:rsidP="00AE6789">
            <w:pPr>
              <w:spacing w:after="0" w:line="240" w:lineRule="auto"/>
              <w:jc w:val="right"/>
              <w:rPr>
                <w:rFonts w:ascii="Arial" w:hAnsi="Arial" w:cs="Arial"/>
                <w:sz w:val="16"/>
                <w:szCs w:val="16"/>
              </w:rPr>
            </w:pPr>
          </w:p>
        </w:tc>
      </w:tr>
      <w:tr w:rsidR="00AE6789" w:rsidRPr="00AE6789" w14:paraId="3C89957D" w14:textId="77777777" w:rsidTr="00D94F71">
        <w:trPr>
          <w:trHeight w:val="204"/>
        </w:trPr>
        <w:tc>
          <w:tcPr>
            <w:tcW w:w="3119" w:type="dxa"/>
            <w:tcBorders>
              <w:top w:val="nil"/>
              <w:left w:val="nil"/>
              <w:bottom w:val="nil"/>
              <w:right w:val="nil"/>
            </w:tcBorders>
            <w:shd w:val="clear" w:color="auto" w:fill="auto"/>
            <w:noWrap/>
            <w:hideMark/>
          </w:tcPr>
          <w:p w14:paraId="4030191F" w14:textId="77777777" w:rsidR="00AE6789" w:rsidRPr="00AE6789" w:rsidRDefault="00AE6789" w:rsidP="00AE6789">
            <w:pPr>
              <w:spacing w:after="0" w:line="240" w:lineRule="auto"/>
              <w:jc w:val="left"/>
              <w:rPr>
                <w:rFonts w:ascii="Arial" w:hAnsi="Arial" w:cs="Arial"/>
                <w:b/>
                <w:bCs/>
                <w:color w:val="000000"/>
                <w:sz w:val="16"/>
                <w:szCs w:val="16"/>
              </w:rPr>
            </w:pPr>
            <w:r w:rsidRPr="00AE6789">
              <w:rPr>
                <w:rFonts w:ascii="Arial" w:hAnsi="Arial" w:cs="Arial"/>
                <w:b/>
                <w:bCs/>
                <w:color w:val="000000"/>
                <w:sz w:val="16"/>
                <w:szCs w:val="16"/>
              </w:rPr>
              <w:t xml:space="preserve">Administered </w:t>
            </w:r>
          </w:p>
        </w:tc>
        <w:tc>
          <w:tcPr>
            <w:tcW w:w="866" w:type="dxa"/>
            <w:tcBorders>
              <w:top w:val="nil"/>
              <w:left w:val="nil"/>
              <w:bottom w:val="nil"/>
              <w:right w:val="nil"/>
            </w:tcBorders>
            <w:shd w:val="clear" w:color="auto" w:fill="auto"/>
            <w:noWrap/>
            <w:vAlign w:val="bottom"/>
            <w:hideMark/>
          </w:tcPr>
          <w:p w14:paraId="10407E26" w14:textId="77777777" w:rsidR="00AE6789" w:rsidRPr="00AE6789" w:rsidRDefault="00AE6789" w:rsidP="00AE6789">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15344103" w14:textId="5AF3FEE1"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10AED554"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1E3AA4B3"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ACD2ECF" w14:textId="77777777" w:rsidR="00AE6789" w:rsidRPr="00AE6789" w:rsidRDefault="00AE6789" w:rsidP="00AE6789">
            <w:pPr>
              <w:spacing w:after="0" w:line="240" w:lineRule="auto"/>
              <w:jc w:val="right"/>
              <w:rPr>
                <w:rFonts w:ascii="Arial" w:hAnsi="Arial" w:cs="Arial"/>
                <w:sz w:val="16"/>
                <w:szCs w:val="16"/>
              </w:rPr>
            </w:pPr>
          </w:p>
        </w:tc>
      </w:tr>
      <w:tr w:rsidR="00AE6789" w:rsidRPr="00AE6789" w14:paraId="2E2E2B3F" w14:textId="77777777" w:rsidTr="00D94F71">
        <w:trPr>
          <w:trHeight w:val="204"/>
        </w:trPr>
        <w:tc>
          <w:tcPr>
            <w:tcW w:w="3119" w:type="dxa"/>
            <w:tcBorders>
              <w:top w:val="nil"/>
              <w:left w:val="nil"/>
              <w:bottom w:val="nil"/>
              <w:right w:val="nil"/>
            </w:tcBorders>
            <w:shd w:val="clear" w:color="auto" w:fill="auto"/>
            <w:noWrap/>
            <w:hideMark/>
          </w:tcPr>
          <w:p w14:paraId="0538B188" w14:textId="77777777" w:rsidR="00AE6789" w:rsidRPr="00AE6789" w:rsidRDefault="00AE6789" w:rsidP="00A9622F">
            <w:pPr>
              <w:spacing w:after="0" w:line="240" w:lineRule="auto"/>
              <w:ind w:left="113"/>
              <w:jc w:val="left"/>
              <w:rPr>
                <w:rFonts w:ascii="Arial" w:hAnsi="Arial" w:cs="Arial"/>
                <w:b/>
                <w:bCs/>
                <w:color w:val="000000"/>
                <w:sz w:val="16"/>
                <w:szCs w:val="16"/>
              </w:rPr>
            </w:pPr>
            <w:r w:rsidRPr="00AE6789">
              <w:rPr>
                <w:rFonts w:ascii="Arial" w:hAnsi="Arial" w:cs="Arial"/>
                <w:b/>
                <w:bCs/>
                <w:color w:val="000000"/>
                <w:sz w:val="16"/>
                <w:szCs w:val="16"/>
              </w:rPr>
              <w:t>Measures</w:t>
            </w:r>
          </w:p>
        </w:tc>
        <w:tc>
          <w:tcPr>
            <w:tcW w:w="866" w:type="dxa"/>
            <w:tcBorders>
              <w:top w:val="nil"/>
              <w:left w:val="nil"/>
              <w:right w:val="nil"/>
            </w:tcBorders>
            <w:shd w:val="clear" w:color="auto" w:fill="auto"/>
            <w:noWrap/>
            <w:vAlign w:val="bottom"/>
            <w:hideMark/>
          </w:tcPr>
          <w:p w14:paraId="6AFF6F11" w14:textId="77777777" w:rsidR="00AE6789" w:rsidRPr="00AE6789" w:rsidRDefault="00AE6789" w:rsidP="00AE6789">
            <w:pPr>
              <w:spacing w:after="0" w:line="240" w:lineRule="auto"/>
              <w:ind w:firstLineChars="100" w:firstLine="160"/>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6454D603" w14:textId="5D85DF85"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25A30E3A"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B659870"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03960AEF" w14:textId="77777777" w:rsidR="00AE6789" w:rsidRPr="00AE6789" w:rsidRDefault="00AE6789" w:rsidP="00AE6789">
            <w:pPr>
              <w:spacing w:after="0" w:line="240" w:lineRule="auto"/>
              <w:jc w:val="right"/>
              <w:rPr>
                <w:rFonts w:ascii="Arial" w:hAnsi="Arial" w:cs="Arial"/>
                <w:sz w:val="16"/>
                <w:szCs w:val="16"/>
              </w:rPr>
            </w:pPr>
          </w:p>
        </w:tc>
      </w:tr>
      <w:tr w:rsidR="00AE6789" w:rsidRPr="00AE6789" w14:paraId="3715A9A6" w14:textId="77777777" w:rsidTr="00D94F71">
        <w:trPr>
          <w:trHeight w:val="204"/>
        </w:trPr>
        <w:tc>
          <w:tcPr>
            <w:tcW w:w="3119" w:type="dxa"/>
            <w:tcBorders>
              <w:top w:val="nil"/>
              <w:left w:val="nil"/>
              <w:bottom w:val="nil"/>
              <w:right w:val="nil"/>
            </w:tcBorders>
            <w:shd w:val="clear" w:color="auto" w:fill="auto"/>
            <w:hideMark/>
          </w:tcPr>
          <w:p w14:paraId="3C3DE11C" w14:textId="77777777" w:rsidR="00AE6789" w:rsidRPr="00AE6789" w:rsidRDefault="00AE6789" w:rsidP="00A9622F">
            <w:pPr>
              <w:spacing w:after="0" w:line="240" w:lineRule="auto"/>
              <w:ind w:left="227"/>
              <w:jc w:val="left"/>
              <w:rPr>
                <w:rFonts w:ascii="Arial" w:hAnsi="Arial" w:cs="Arial"/>
                <w:color w:val="000000"/>
                <w:sz w:val="16"/>
                <w:szCs w:val="16"/>
              </w:rPr>
            </w:pPr>
            <w:r w:rsidRPr="00AE6789">
              <w:rPr>
                <w:rFonts w:ascii="Arial" w:hAnsi="Arial" w:cs="Arial"/>
                <w:color w:val="000000"/>
                <w:sz w:val="16"/>
                <w:szCs w:val="16"/>
              </w:rPr>
              <w:t>Extending the Commercial Broadcasting Tax Transitional Support Payments</w:t>
            </w:r>
          </w:p>
        </w:tc>
        <w:tc>
          <w:tcPr>
            <w:tcW w:w="866" w:type="dxa"/>
            <w:tcBorders>
              <w:top w:val="nil"/>
              <w:left w:val="nil"/>
              <w:bottom w:val="nil"/>
              <w:right w:val="nil"/>
            </w:tcBorders>
            <w:shd w:val="clear" w:color="auto" w:fill="auto"/>
            <w:noWrap/>
            <w:vAlign w:val="bottom"/>
            <w:hideMark/>
          </w:tcPr>
          <w:p w14:paraId="2CF1C51E" w14:textId="77777777" w:rsidR="00AE6789" w:rsidRPr="00AE6789" w:rsidRDefault="00AE6789" w:rsidP="00AE6789">
            <w:pPr>
              <w:spacing w:after="0" w:line="240" w:lineRule="auto"/>
              <w:jc w:val="center"/>
              <w:rPr>
                <w:rFonts w:ascii="Arial" w:hAnsi="Arial" w:cs="Arial"/>
                <w:sz w:val="16"/>
                <w:szCs w:val="16"/>
              </w:rPr>
            </w:pPr>
            <w:r w:rsidRPr="00AE6789">
              <w:rPr>
                <w:rFonts w:ascii="Arial" w:hAnsi="Arial" w:cs="Arial"/>
                <w:sz w:val="16"/>
                <w:szCs w:val="16"/>
              </w:rPr>
              <w:t>1.1</w:t>
            </w:r>
          </w:p>
        </w:tc>
        <w:tc>
          <w:tcPr>
            <w:tcW w:w="860" w:type="dxa"/>
            <w:tcBorders>
              <w:top w:val="nil"/>
              <w:left w:val="nil"/>
              <w:bottom w:val="nil"/>
              <w:right w:val="nil"/>
            </w:tcBorders>
            <w:shd w:val="clear" w:color="000000" w:fill="E6E6E6"/>
            <w:noWrap/>
            <w:vAlign w:val="bottom"/>
            <w:hideMark/>
          </w:tcPr>
          <w:p w14:paraId="5223D07C" w14:textId="77777777"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w:t>
            </w:r>
          </w:p>
        </w:tc>
        <w:tc>
          <w:tcPr>
            <w:tcW w:w="860" w:type="dxa"/>
            <w:tcBorders>
              <w:top w:val="nil"/>
              <w:left w:val="nil"/>
              <w:bottom w:val="nil"/>
              <w:right w:val="nil"/>
            </w:tcBorders>
            <w:shd w:val="clear" w:color="auto" w:fill="auto"/>
            <w:noWrap/>
            <w:vAlign w:val="bottom"/>
            <w:hideMark/>
          </w:tcPr>
          <w:p w14:paraId="430214EA" w14:textId="77777777" w:rsidR="00AE6789" w:rsidRPr="00AE6789" w:rsidRDefault="00AE6789" w:rsidP="00AE6789">
            <w:pPr>
              <w:spacing w:after="0" w:line="240" w:lineRule="auto"/>
              <w:jc w:val="right"/>
              <w:rPr>
                <w:rFonts w:ascii="Arial" w:hAnsi="Arial" w:cs="Arial"/>
                <w:color w:val="000000"/>
                <w:sz w:val="16"/>
                <w:szCs w:val="16"/>
              </w:rPr>
            </w:pPr>
            <w:r w:rsidRPr="00AE6789">
              <w:rPr>
                <w:rFonts w:ascii="Arial" w:hAnsi="Arial" w:cs="Arial"/>
                <w:color w:val="000000"/>
                <w:sz w:val="16"/>
                <w:szCs w:val="16"/>
              </w:rPr>
              <w:t>(4,764)</w:t>
            </w:r>
          </w:p>
        </w:tc>
        <w:tc>
          <w:tcPr>
            <w:tcW w:w="860" w:type="dxa"/>
            <w:tcBorders>
              <w:top w:val="nil"/>
              <w:left w:val="nil"/>
              <w:bottom w:val="nil"/>
              <w:right w:val="nil"/>
            </w:tcBorders>
            <w:shd w:val="clear" w:color="auto" w:fill="auto"/>
            <w:noWrap/>
            <w:vAlign w:val="bottom"/>
            <w:hideMark/>
          </w:tcPr>
          <w:p w14:paraId="41E9361D" w14:textId="77777777" w:rsidR="00AE6789" w:rsidRPr="00AE6789" w:rsidRDefault="00AE6789" w:rsidP="00AE6789">
            <w:pPr>
              <w:spacing w:after="0" w:line="240" w:lineRule="auto"/>
              <w:jc w:val="right"/>
              <w:rPr>
                <w:rFonts w:ascii="Arial" w:hAnsi="Arial" w:cs="Arial"/>
                <w:color w:val="000000"/>
                <w:sz w:val="16"/>
                <w:szCs w:val="16"/>
              </w:rPr>
            </w:pPr>
            <w:r w:rsidRPr="00AE6789">
              <w:rPr>
                <w:rFonts w:ascii="Arial" w:hAnsi="Arial" w:cs="Arial"/>
                <w:color w:val="000000"/>
                <w:sz w:val="16"/>
                <w:szCs w:val="16"/>
              </w:rPr>
              <w:t>(4,764)</w:t>
            </w:r>
          </w:p>
        </w:tc>
        <w:tc>
          <w:tcPr>
            <w:tcW w:w="860" w:type="dxa"/>
            <w:tcBorders>
              <w:top w:val="nil"/>
              <w:left w:val="nil"/>
              <w:bottom w:val="nil"/>
              <w:right w:val="nil"/>
            </w:tcBorders>
            <w:shd w:val="clear" w:color="auto" w:fill="auto"/>
            <w:noWrap/>
            <w:vAlign w:val="bottom"/>
            <w:hideMark/>
          </w:tcPr>
          <w:p w14:paraId="2ACDDFF6" w14:textId="73DCCCBA" w:rsidR="00AE6789" w:rsidRPr="00AE6789" w:rsidRDefault="00AE6789" w:rsidP="00AE6789">
            <w:pPr>
              <w:spacing w:after="0" w:line="240" w:lineRule="auto"/>
              <w:jc w:val="right"/>
              <w:rPr>
                <w:rFonts w:ascii="Arial" w:hAnsi="Arial" w:cs="Arial"/>
                <w:color w:val="000000"/>
                <w:sz w:val="16"/>
                <w:szCs w:val="16"/>
              </w:rPr>
            </w:pPr>
            <w:r w:rsidRPr="00AE6789">
              <w:rPr>
                <w:rFonts w:ascii="Arial" w:hAnsi="Arial" w:cs="Arial"/>
                <w:color w:val="000000"/>
                <w:sz w:val="16"/>
                <w:szCs w:val="16"/>
              </w:rPr>
              <w:t>-</w:t>
            </w:r>
          </w:p>
        </w:tc>
      </w:tr>
      <w:tr w:rsidR="00AE6789" w:rsidRPr="00AE6789" w14:paraId="3AB63A66" w14:textId="77777777" w:rsidTr="00D94F71">
        <w:trPr>
          <w:trHeight w:val="204"/>
        </w:trPr>
        <w:tc>
          <w:tcPr>
            <w:tcW w:w="3119" w:type="dxa"/>
            <w:tcBorders>
              <w:top w:val="nil"/>
              <w:left w:val="nil"/>
              <w:bottom w:val="nil"/>
              <w:right w:val="nil"/>
            </w:tcBorders>
            <w:shd w:val="clear" w:color="auto" w:fill="auto"/>
            <w:noWrap/>
            <w:hideMark/>
          </w:tcPr>
          <w:p w14:paraId="551A1181" w14:textId="77777777" w:rsidR="00AE6789" w:rsidRPr="00AE6789" w:rsidRDefault="00AE6789" w:rsidP="00A9622F">
            <w:pPr>
              <w:spacing w:after="0" w:line="240" w:lineRule="auto"/>
              <w:ind w:left="113"/>
              <w:jc w:val="left"/>
              <w:rPr>
                <w:rFonts w:ascii="Arial" w:hAnsi="Arial" w:cs="Arial"/>
                <w:b/>
                <w:bCs/>
                <w:color w:val="000000"/>
                <w:sz w:val="16"/>
                <w:szCs w:val="16"/>
              </w:rPr>
            </w:pPr>
            <w:r w:rsidRPr="00AE6789">
              <w:rPr>
                <w:rFonts w:ascii="Arial" w:hAnsi="Arial" w:cs="Arial"/>
                <w:b/>
                <w:bCs/>
                <w:color w:val="000000"/>
                <w:sz w:val="16"/>
                <w:szCs w:val="16"/>
              </w:rPr>
              <w:t>Other Variations</w:t>
            </w:r>
          </w:p>
        </w:tc>
        <w:tc>
          <w:tcPr>
            <w:tcW w:w="866" w:type="dxa"/>
            <w:tcBorders>
              <w:top w:val="nil"/>
              <w:left w:val="nil"/>
              <w:bottom w:val="nil"/>
              <w:right w:val="nil"/>
            </w:tcBorders>
            <w:shd w:val="clear" w:color="auto" w:fill="auto"/>
            <w:noWrap/>
            <w:vAlign w:val="bottom"/>
            <w:hideMark/>
          </w:tcPr>
          <w:p w14:paraId="641E77A6" w14:textId="77777777" w:rsidR="00AE6789" w:rsidRPr="00AE6789" w:rsidRDefault="00AE6789" w:rsidP="00AE6789">
            <w:pPr>
              <w:spacing w:after="0" w:line="240" w:lineRule="auto"/>
              <w:ind w:firstLineChars="200" w:firstLine="320"/>
              <w:jc w:val="center"/>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FE109D2" w14:textId="78A6EC7C"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742BA6B"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55F681E6"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6CE2251A" w14:textId="77777777" w:rsidR="00AE6789" w:rsidRPr="00AE6789" w:rsidRDefault="00AE6789" w:rsidP="00AE6789">
            <w:pPr>
              <w:spacing w:after="0" w:line="240" w:lineRule="auto"/>
              <w:jc w:val="right"/>
              <w:rPr>
                <w:rFonts w:ascii="Arial" w:hAnsi="Arial" w:cs="Arial"/>
                <w:sz w:val="16"/>
                <w:szCs w:val="16"/>
              </w:rPr>
            </w:pPr>
          </w:p>
        </w:tc>
      </w:tr>
      <w:tr w:rsidR="00AE6789" w:rsidRPr="00AE6789" w14:paraId="51F80A0F" w14:textId="77777777" w:rsidTr="00D94F71">
        <w:trPr>
          <w:trHeight w:val="204"/>
        </w:trPr>
        <w:tc>
          <w:tcPr>
            <w:tcW w:w="3119" w:type="dxa"/>
            <w:tcBorders>
              <w:top w:val="nil"/>
              <w:left w:val="nil"/>
              <w:right w:val="nil"/>
            </w:tcBorders>
            <w:shd w:val="clear" w:color="auto" w:fill="auto"/>
            <w:noWrap/>
            <w:hideMark/>
          </w:tcPr>
          <w:p w14:paraId="7BEB40E1" w14:textId="77777777" w:rsidR="00AE6789" w:rsidRPr="00AE6789" w:rsidRDefault="00AE6789" w:rsidP="00A9622F">
            <w:pPr>
              <w:spacing w:after="0" w:line="240" w:lineRule="auto"/>
              <w:ind w:left="227"/>
              <w:jc w:val="left"/>
              <w:rPr>
                <w:rFonts w:ascii="Arial" w:hAnsi="Arial" w:cs="Arial"/>
                <w:color w:val="000000"/>
                <w:sz w:val="16"/>
                <w:szCs w:val="16"/>
              </w:rPr>
            </w:pPr>
            <w:r w:rsidRPr="00AE6789">
              <w:rPr>
                <w:rFonts w:ascii="Arial" w:hAnsi="Arial" w:cs="Arial"/>
                <w:color w:val="000000"/>
                <w:sz w:val="16"/>
                <w:szCs w:val="16"/>
              </w:rPr>
              <w:t>National Self-Exclusion Register</w:t>
            </w:r>
          </w:p>
        </w:tc>
        <w:tc>
          <w:tcPr>
            <w:tcW w:w="866" w:type="dxa"/>
            <w:tcBorders>
              <w:top w:val="nil"/>
              <w:left w:val="nil"/>
              <w:bottom w:val="nil"/>
              <w:right w:val="nil"/>
            </w:tcBorders>
            <w:shd w:val="clear" w:color="auto" w:fill="auto"/>
            <w:noWrap/>
            <w:vAlign w:val="bottom"/>
            <w:hideMark/>
          </w:tcPr>
          <w:p w14:paraId="0B24F22D" w14:textId="77777777" w:rsidR="00AE6789" w:rsidRPr="00AE6789" w:rsidRDefault="00AE6789" w:rsidP="00AE6789">
            <w:pPr>
              <w:spacing w:after="0" w:line="240" w:lineRule="auto"/>
              <w:jc w:val="center"/>
              <w:rPr>
                <w:rFonts w:ascii="Arial" w:hAnsi="Arial" w:cs="Arial"/>
                <w:sz w:val="16"/>
                <w:szCs w:val="16"/>
              </w:rPr>
            </w:pPr>
            <w:r w:rsidRPr="00AE6789">
              <w:rPr>
                <w:rFonts w:ascii="Arial" w:hAnsi="Arial" w:cs="Arial"/>
                <w:sz w:val="16"/>
                <w:szCs w:val="16"/>
              </w:rPr>
              <w:t>1.2</w:t>
            </w:r>
          </w:p>
        </w:tc>
        <w:tc>
          <w:tcPr>
            <w:tcW w:w="860" w:type="dxa"/>
            <w:tcBorders>
              <w:top w:val="nil"/>
              <w:left w:val="nil"/>
              <w:bottom w:val="nil"/>
              <w:right w:val="nil"/>
            </w:tcBorders>
            <w:shd w:val="clear" w:color="000000" w:fill="E6E6E6"/>
            <w:noWrap/>
            <w:vAlign w:val="bottom"/>
            <w:hideMark/>
          </w:tcPr>
          <w:p w14:paraId="236B5455" w14:textId="6FDC49F7"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(5,719)</w:t>
            </w:r>
          </w:p>
        </w:tc>
        <w:tc>
          <w:tcPr>
            <w:tcW w:w="860" w:type="dxa"/>
            <w:tcBorders>
              <w:top w:val="nil"/>
              <w:left w:val="nil"/>
              <w:bottom w:val="nil"/>
              <w:right w:val="nil"/>
            </w:tcBorders>
            <w:shd w:val="clear" w:color="auto" w:fill="auto"/>
            <w:noWrap/>
            <w:vAlign w:val="bottom"/>
            <w:hideMark/>
          </w:tcPr>
          <w:p w14:paraId="678F0C41" w14:textId="710E7958" w:rsidR="00AE6789" w:rsidRPr="00AE6789" w:rsidRDefault="00AE6789" w:rsidP="00AE6789">
            <w:pPr>
              <w:spacing w:after="0" w:line="240" w:lineRule="auto"/>
              <w:jc w:val="right"/>
              <w:rPr>
                <w:rFonts w:ascii="Arial" w:hAnsi="Arial" w:cs="Arial"/>
                <w:color w:val="000000"/>
                <w:sz w:val="16"/>
                <w:szCs w:val="16"/>
              </w:rPr>
            </w:pPr>
            <w:r w:rsidRPr="00AE6789">
              <w:rPr>
                <w:rFonts w:ascii="Arial" w:hAnsi="Arial" w:cs="Arial"/>
                <w:color w:val="000000"/>
                <w:sz w:val="16"/>
                <w:szCs w:val="16"/>
              </w:rPr>
              <w:t>2,134</w:t>
            </w:r>
          </w:p>
        </w:tc>
        <w:tc>
          <w:tcPr>
            <w:tcW w:w="860" w:type="dxa"/>
            <w:tcBorders>
              <w:top w:val="nil"/>
              <w:left w:val="nil"/>
              <w:bottom w:val="nil"/>
              <w:right w:val="nil"/>
            </w:tcBorders>
            <w:shd w:val="clear" w:color="auto" w:fill="auto"/>
            <w:noWrap/>
            <w:vAlign w:val="bottom"/>
            <w:hideMark/>
          </w:tcPr>
          <w:p w14:paraId="75D60F79" w14:textId="53522578" w:rsidR="00AE6789" w:rsidRPr="00AE6789" w:rsidRDefault="00AE6789" w:rsidP="00AE6789">
            <w:pPr>
              <w:spacing w:after="0" w:line="240" w:lineRule="auto"/>
              <w:jc w:val="right"/>
              <w:rPr>
                <w:rFonts w:ascii="Arial" w:hAnsi="Arial" w:cs="Arial"/>
                <w:color w:val="000000"/>
                <w:sz w:val="16"/>
                <w:szCs w:val="16"/>
              </w:rPr>
            </w:pPr>
            <w:r w:rsidRPr="00AE6789">
              <w:rPr>
                <w:rFonts w:ascii="Arial" w:hAnsi="Arial" w:cs="Arial"/>
                <w:color w:val="000000"/>
                <w:sz w:val="16"/>
                <w:szCs w:val="16"/>
              </w:rPr>
              <w:t>2,588</w:t>
            </w:r>
          </w:p>
        </w:tc>
        <w:tc>
          <w:tcPr>
            <w:tcW w:w="860" w:type="dxa"/>
            <w:tcBorders>
              <w:top w:val="nil"/>
              <w:left w:val="nil"/>
              <w:bottom w:val="nil"/>
              <w:right w:val="nil"/>
            </w:tcBorders>
            <w:shd w:val="clear" w:color="auto" w:fill="auto"/>
            <w:noWrap/>
            <w:vAlign w:val="bottom"/>
            <w:hideMark/>
          </w:tcPr>
          <w:p w14:paraId="301C8A72" w14:textId="11745A38" w:rsidR="00AE6789" w:rsidRPr="00AE6789" w:rsidRDefault="00AE6789" w:rsidP="00AE6789">
            <w:pPr>
              <w:spacing w:after="0" w:line="240" w:lineRule="auto"/>
              <w:jc w:val="right"/>
              <w:rPr>
                <w:rFonts w:ascii="Arial" w:hAnsi="Arial" w:cs="Arial"/>
                <w:color w:val="000000"/>
                <w:sz w:val="16"/>
                <w:szCs w:val="16"/>
              </w:rPr>
            </w:pPr>
            <w:r w:rsidRPr="00AE6789">
              <w:rPr>
                <w:rFonts w:ascii="Arial" w:hAnsi="Arial" w:cs="Arial"/>
                <w:color w:val="000000"/>
                <w:sz w:val="16"/>
                <w:szCs w:val="16"/>
              </w:rPr>
              <w:t>2,653</w:t>
            </w:r>
          </w:p>
        </w:tc>
      </w:tr>
      <w:tr w:rsidR="00AE6789" w:rsidRPr="00AE6789" w14:paraId="043BCE20" w14:textId="77777777" w:rsidTr="00D94F71">
        <w:trPr>
          <w:trHeight w:val="204"/>
        </w:trPr>
        <w:tc>
          <w:tcPr>
            <w:tcW w:w="3119" w:type="dxa"/>
            <w:tcBorders>
              <w:top w:val="nil"/>
              <w:left w:val="nil"/>
              <w:right w:val="nil"/>
            </w:tcBorders>
            <w:shd w:val="clear" w:color="auto" w:fill="auto"/>
            <w:hideMark/>
          </w:tcPr>
          <w:p w14:paraId="33A6C8B4" w14:textId="73DF9414" w:rsidR="00AE6789" w:rsidRPr="00AE6789" w:rsidRDefault="00AE6789" w:rsidP="005C22B1">
            <w:pPr>
              <w:spacing w:after="0" w:line="240" w:lineRule="auto"/>
              <w:jc w:val="left"/>
              <w:rPr>
                <w:rFonts w:ascii="Arial" w:hAnsi="Arial" w:cs="Arial"/>
                <w:b/>
                <w:bCs/>
                <w:color w:val="000000"/>
                <w:sz w:val="16"/>
                <w:szCs w:val="16"/>
              </w:rPr>
            </w:pPr>
            <w:r w:rsidRPr="00AE6789">
              <w:rPr>
                <w:rFonts w:ascii="Arial" w:hAnsi="Arial" w:cs="Arial"/>
                <w:b/>
                <w:bCs/>
                <w:color w:val="000000"/>
                <w:sz w:val="16"/>
                <w:szCs w:val="16"/>
              </w:rPr>
              <w:t>Net impact on appropriations for</w:t>
            </w:r>
            <w:r w:rsidR="005C22B1">
              <w:rPr>
                <w:rFonts w:ascii="Arial" w:hAnsi="Arial" w:cs="Arial"/>
                <w:b/>
                <w:bCs/>
                <w:color w:val="000000"/>
                <w:sz w:val="16"/>
                <w:szCs w:val="16"/>
              </w:rPr>
              <w:t xml:space="preserve"> </w:t>
            </w:r>
            <w:r w:rsidR="00B02F25">
              <w:rPr>
                <w:rFonts w:ascii="Arial" w:hAnsi="Arial" w:cs="Arial"/>
                <w:b/>
                <w:bCs/>
                <w:color w:val="000000"/>
                <w:sz w:val="16"/>
                <w:szCs w:val="16"/>
              </w:rPr>
              <w:t>Outcome 1 (A</w:t>
            </w:r>
            <w:r w:rsidRPr="00AE6789">
              <w:rPr>
                <w:rFonts w:ascii="Arial" w:hAnsi="Arial" w:cs="Arial"/>
                <w:b/>
                <w:bCs/>
                <w:color w:val="000000"/>
                <w:sz w:val="16"/>
                <w:szCs w:val="16"/>
              </w:rPr>
              <w:t>dministered)</w:t>
            </w:r>
          </w:p>
        </w:tc>
        <w:tc>
          <w:tcPr>
            <w:tcW w:w="866" w:type="dxa"/>
            <w:tcBorders>
              <w:top w:val="nil"/>
              <w:left w:val="nil"/>
              <w:right w:val="nil"/>
            </w:tcBorders>
            <w:shd w:val="clear" w:color="auto" w:fill="auto"/>
            <w:noWrap/>
            <w:vAlign w:val="bottom"/>
            <w:hideMark/>
          </w:tcPr>
          <w:p w14:paraId="206E6068" w14:textId="37B5BFDB" w:rsidR="00AE6789" w:rsidRPr="00AE6789" w:rsidRDefault="00AE6789" w:rsidP="00AE6789">
            <w:pPr>
              <w:spacing w:after="0" w:line="240" w:lineRule="auto"/>
              <w:jc w:val="center"/>
              <w:rPr>
                <w:rFonts w:ascii="Arial" w:hAnsi="Arial" w:cs="Arial"/>
                <w:color w:val="000000"/>
                <w:sz w:val="16"/>
                <w:szCs w:val="16"/>
              </w:rPr>
            </w:pPr>
          </w:p>
        </w:tc>
        <w:tc>
          <w:tcPr>
            <w:tcW w:w="860" w:type="dxa"/>
            <w:tcBorders>
              <w:top w:val="single" w:sz="4" w:space="0" w:color="auto"/>
              <w:left w:val="nil"/>
              <w:bottom w:val="single" w:sz="4" w:space="0" w:color="000000"/>
              <w:right w:val="nil"/>
            </w:tcBorders>
            <w:shd w:val="clear" w:color="000000" w:fill="E6E6E6"/>
            <w:noWrap/>
            <w:vAlign w:val="bottom"/>
            <w:hideMark/>
          </w:tcPr>
          <w:p w14:paraId="45754667" w14:textId="77777777" w:rsidR="00AE6789" w:rsidRPr="00AE6789" w:rsidRDefault="00AE6789" w:rsidP="00AE6789">
            <w:pPr>
              <w:spacing w:after="0" w:line="240" w:lineRule="auto"/>
              <w:jc w:val="right"/>
              <w:rPr>
                <w:rFonts w:ascii="Arial" w:hAnsi="Arial" w:cs="Arial"/>
                <w:b/>
                <w:bCs/>
                <w:sz w:val="16"/>
                <w:szCs w:val="16"/>
              </w:rPr>
            </w:pPr>
            <w:r w:rsidRPr="00AE6789">
              <w:rPr>
                <w:rFonts w:ascii="Arial" w:hAnsi="Arial" w:cs="Arial"/>
                <w:b/>
                <w:bCs/>
                <w:sz w:val="16"/>
                <w:szCs w:val="16"/>
              </w:rPr>
              <w:t>(5,719)</w:t>
            </w:r>
          </w:p>
        </w:tc>
        <w:tc>
          <w:tcPr>
            <w:tcW w:w="860" w:type="dxa"/>
            <w:tcBorders>
              <w:top w:val="single" w:sz="4" w:space="0" w:color="auto"/>
              <w:left w:val="nil"/>
              <w:bottom w:val="single" w:sz="4" w:space="0" w:color="000000"/>
              <w:right w:val="nil"/>
            </w:tcBorders>
            <w:shd w:val="clear" w:color="auto" w:fill="auto"/>
            <w:noWrap/>
            <w:vAlign w:val="bottom"/>
            <w:hideMark/>
          </w:tcPr>
          <w:p w14:paraId="3F1AC857" w14:textId="77777777" w:rsidR="00AE6789" w:rsidRPr="00AE6789" w:rsidRDefault="00AE6789" w:rsidP="00AE6789">
            <w:pPr>
              <w:spacing w:after="0" w:line="240" w:lineRule="auto"/>
              <w:jc w:val="right"/>
              <w:rPr>
                <w:rFonts w:ascii="Arial" w:hAnsi="Arial" w:cs="Arial"/>
                <w:b/>
                <w:bCs/>
                <w:color w:val="000000"/>
                <w:sz w:val="16"/>
                <w:szCs w:val="16"/>
              </w:rPr>
            </w:pPr>
            <w:r w:rsidRPr="00AE6789">
              <w:rPr>
                <w:rFonts w:ascii="Arial" w:hAnsi="Arial" w:cs="Arial"/>
                <w:b/>
                <w:bCs/>
                <w:color w:val="000000"/>
                <w:sz w:val="16"/>
                <w:szCs w:val="16"/>
              </w:rPr>
              <w:t>(2,630)</w:t>
            </w:r>
          </w:p>
        </w:tc>
        <w:tc>
          <w:tcPr>
            <w:tcW w:w="860" w:type="dxa"/>
            <w:tcBorders>
              <w:top w:val="single" w:sz="4" w:space="0" w:color="auto"/>
              <w:left w:val="nil"/>
              <w:bottom w:val="single" w:sz="4" w:space="0" w:color="000000"/>
              <w:right w:val="nil"/>
            </w:tcBorders>
            <w:shd w:val="clear" w:color="auto" w:fill="auto"/>
            <w:noWrap/>
            <w:vAlign w:val="bottom"/>
            <w:hideMark/>
          </w:tcPr>
          <w:p w14:paraId="0184932B" w14:textId="77777777" w:rsidR="00AE6789" w:rsidRPr="00AE6789" w:rsidRDefault="00AE6789" w:rsidP="00AE6789">
            <w:pPr>
              <w:spacing w:after="0" w:line="240" w:lineRule="auto"/>
              <w:jc w:val="right"/>
              <w:rPr>
                <w:rFonts w:ascii="Arial" w:hAnsi="Arial" w:cs="Arial"/>
                <w:b/>
                <w:bCs/>
                <w:color w:val="000000"/>
                <w:sz w:val="16"/>
                <w:szCs w:val="16"/>
              </w:rPr>
            </w:pPr>
            <w:r w:rsidRPr="00AE6789">
              <w:rPr>
                <w:rFonts w:ascii="Arial" w:hAnsi="Arial" w:cs="Arial"/>
                <w:b/>
                <w:bCs/>
                <w:color w:val="000000"/>
                <w:sz w:val="16"/>
                <w:szCs w:val="16"/>
              </w:rPr>
              <w:t>(2,176)</w:t>
            </w:r>
          </w:p>
        </w:tc>
        <w:tc>
          <w:tcPr>
            <w:tcW w:w="860" w:type="dxa"/>
            <w:tcBorders>
              <w:top w:val="single" w:sz="4" w:space="0" w:color="auto"/>
              <w:left w:val="nil"/>
              <w:bottom w:val="single" w:sz="4" w:space="0" w:color="000000"/>
              <w:right w:val="nil"/>
            </w:tcBorders>
            <w:shd w:val="clear" w:color="auto" w:fill="auto"/>
            <w:noWrap/>
            <w:vAlign w:val="bottom"/>
            <w:hideMark/>
          </w:tcPr>
          <w:p w14:paraId="560E78C4" w14:textId="528E0029" w:rsidR="00AE6789" w:rsidRPr="00AE6789" w:rsidRDefault="00AE6789" w:rsidP="00AE6789">
            <w:pPr>
              <w:spacing w:after="0" w:line="240" w:lineRule="auto"/>
              <w:jc w:val="right"/>
              <w:rPr>
                <w:rFonts w:ascii="Arial" w:hAnsi="Arial" w:cs="Arial"/>
                <w:b/>
                <w:bCs/>
                <w:color w:val="000000"/>
                <w:sz w:val="16"/>
                <w:szCs w:val="16"/>
              </w:rPr>
            </w:pPr>
            <w:r w:rsidRPr="00AE6789">
              <w:rPr>
                <w:rFonts w:ascii="Arial" w:hAnsi="Arial" w:cs="Arial"/>
                <w:b/>
                <w:bCs/>
                <w:color w:val="000000"/>
                <w:sz w:val="16"/>
                <w:szCs w:val="16"/>
              </w:rPr>
              <w:t>2,653</w:t>
            </w:r>
          </w:p>
        </w:tc>
      </w:tr>
      <w:tr w:rsidR="00AE6789" w:rsidRPr="00AE6789" w14:paraId="10DE37F1" w14:textId="77777777" w:rsidTr="00D94F71">
        <w:trPr>
          <w:trHeight w:val="204"/>
        </w:trPr>
        <w:tc>
          <w:tcPr>
            <w:tcW w:w="3119" w:type="dxa"/>
            <w:tcBorders>
              <w:top w:val="nil"/>
              <w:left w:val="nil"/>
              <w:bottom w:val="nil"/>
              <w:right w:val="nil"/>
            </w:tcBorders>
            <w:shd w:val="clear" w:color="auto" w:fill="auto"/>
            <w:hideMark/>
          </w:tcPr>
          <w:p w14:paraId="055F552E" w14:textId="55742FF4" w:rsidR="00AE6789" w:rsidRPr="00AE6789" w:rsidRDefault="008863D9" w:rsidP="00AE6789">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AE6789" w:rsidRPr="00AE6789">
              <w:rPr>
                <w:rFonts w:ascii="Arial" w:hAnsi="Arial" w:cs="Arial"/>
                <w:b/>
                <w:bCs/>
                <w:color w:val="000000"/>
                <w:sz w:val="16"/>
                <w:szCs w:val="16"/>
              </w:rPr>
              <w:t xml:space="preserve">al </w:t>
            </w:r>
          </w:p>
        </w:tc>
        <w:tc>
          <w:tcPr>
            <w:tcW w:w="866" w:type="dxa"/>
            <w:tcBorders>
              <w:top w:val="nil"/>
              <w:left w:val="nil"/>
              <w:bottom w:val="nil"/>
              <w:right w:val="nil"/>
            </w:tcBorders>
            <w:shd w:val="clear" w:color="auto" w:fill="auto"/>
            <w:noWrap/>
            <w:vAlign w:val="bottom"/>
            <w:hideMark/>
          </w:tcPr>
          <w:p w14:paraId="355377FD" w14:textId="77777777" w:rsidR="00AE6789" w:rsidRPr="00AE6789" w:rsidRDefault="00AE6789" w:rsidP="00AE6789">
            <w:pPr>
              <w:spacing w:after="0" w:line="240" w:lineRule="auto"/>
              <w:jc w:val="center"/>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5E2EFA2D" w14:textId="2CA9094D"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B40854F"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0547164C"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132F18FC" w14:textId="77777777" w:rsidR="00AE6789" w:rsidRPr="00AE6789" w:rsidRDefault="00AE6789" w:rsidP="00AE6789">
            <w:pPr>
              <w:spacing w:after="0" w:line="240" w:lineRule="auto"/>
              <w:jc w:val="right"/>
              <w:rPr>
                <w:rFonts w:ascii="Arial" w:hAnsi="Arial" w:cs="Arial"/>
                <w:sz w:val="16"/>
                <w:szCs w:val="16"/>
              </w:rPr>
            </w:pPr>
          </w:p>
        </w:tc>
      </w:tr>
      <w:tr w:rsidR="00AE6789" w:rsidRPr="00AE6789" w14:paraId="29F644C0" w14:textId="77777777" w:rsidTr="00D94F71">
        <w:trPr>
          <w:trHeight w:val="204"/>
        </w:trPr>
        <w:tc>
          <w:tcPr>
            <w:tcW w:w="3119" w:type="dxa"/>
            <w:tcBorders>
              <w:top w:val="nil"/>
              <w:left w:val="nil"/>
              <w:bottom w:val="nil"/>
              <w:right w:val="nil"/>
            </w:tcBorders>
            <w:shd w:val="clear" w:color="auto" w:fill="auto"/>
            <w:noWrap/>
            <w:hideMark/>
          </w:tcPr>
          <w:p w14:paraId="3814DB76" w14:textId="77777777" w:rsidR="00AE6789" w:rsidRPr="00AE6789" w:rsidRDefault="00AE6789" w:rsidP="005C22B1">
            <w:pPr>
              <w:spacing w:after="0" w:line="240" w:lineRule="auto"/>
              <w:ind w:left="113"/>
              <w:jc w:val="left"/>
              <w:rPr>
                <w:rFonts w:ascii="Arial" w:hAnsi="Arial" w:cs="Arial"/>
                <w:b/>
                <w:bCs/>
                <w:color w:val="000000"/>
                <w:sz w:val="16"/>
                <w:szCs w:val="16"/>
              </w:rPr>
            </w:pPr>
            <w:r w:rsidRPr="00AE6789">
              <w:rPr>
                <w:rFonts w:ascii="Arial" w:hAnsi="Arial" w:cs="Arial"/>
                <w:b/>
                <w:bCs/>
                <w:color w:val="000000"/>
                <w:sz w:val="16"/>
                <w:szCs w:val="16"/>
              </w:rPr>
              <w:t>Measures</w:t>
            </w:r>
          </w:p>
        </w:tc>
        <w:tc>
          <w:tcPr>
            <w:tcW w:w="866" w:type="dxa"/>
            <w:tcBorders>
              <w:top w:val="nil"/>
              <w:left w:val="nil"/>
              <w:bottom w:val="nil"/>
              <w:right w:val="nil"/>
            </w:tcBorders>
            <w:shd w:val="clear" w:color="auto" w:fill="auto"/>
            <w:noWrap/>
            <w:vAlign w:val="bottom"/>
            <w:hideMark/>
          </w:tcPr>
          <w:p w14:paraId="13341F94" w14:textId="77777777" w:rsidR="00AE6789" w:rsidRPr="00AE6789" w:rsidRDefault="00AE6789" w:rsidP="00AE6789">
            <w:pPr>
              <w:spacing w:after="0" w:line="240" w:lineRule="auto"/>
              <w:ind w:firstLineChars="100" w:firstLine="160"/>
              <w:jc w:val="center"/>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51AC1ED9" w14:textId="6BD691BB"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53283982"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932FF6D"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447DD236" w14:textId="77777777" w:rsidR="00AE6789" w:rsidRPr="00AE6789" w:rsidRDefault="00AE6789" w:rsidP="00AE6789">
            <w:pPr>
              <w:spacing w:after="0" w:line="240" w:lineRule="auto"/>
              <w:jc w:val="right"/>
              <w:rPr>
                <w:rFonts w:ascii="Arial" w:hAnsi="Arial" w:cs="Arial"/>
                <w:sz w:val="16"/>
                <w:szCs w:val="16"/>
              </w:rPr>
            </w:pPr>
          </w:p>
        </w:tc>
      </w:tr>
      <w:tr w:rsidR="00AE6789" w:rsidRPr="00AE6789" w14:paraId="1A93EB79" w14:textId="77777777" w:rsidTr="00D94F71">
        <w:trPr>
          <w:trHeight w:val="204"/>
        </w:trPr>
        <w:tc>
          <w:tcPr>
            <w:tcW w:w="3119" w:type="dxa"/>
            <w:tcBorders>
              <w:top w:val="nil"/>
              <w:left w:val="nil"/>
              <w:bottom w:val="nil"/>
              <w:right w:val="nil"/>
            </w:tcBorders>
            <w:shd w:val="clear" w:color="auto" w:fill="auto"/>
            <w:vAlign w:val="bottom"/>
            <w:hideMark/>
          </w:tcPr>
          <w:p w14:paraId="67B83923" w14:textId="77777777" w:rsidR="00AE6789" w:rsidRPr="00AE6789" w:rsidRDefault="00AE6789" w:rsidP="00852545">
            <w:pPr>
              <w:spacing w:after="0" w:line="240" w:lineRule="auto"/>
              <w:ind w:left="227"/>
              <w:jc w:val="left"/>
              <w:rPr>
                <w:rFonts w:ascii="Arial" w:hAnsi="Arial" w:cs="Arial"/>
                <w:sz w:val="16"/>
                <w:szCs w:val="16"/>
              </w:rPr>
            </w:pPr>
            <w:r w:rsidRPr="00AE6789">
              <w:rPr>
                <w:rFonts w:ascii="Arial" w:hAnsi="Arial" w:cs="Arial"/>
                <w:sz w:val="16"/>
                <w:szCs w:val="16"/>
              </w:rPr>
              <w:t>Media Sector Reforms</w:t>
            </w:r>
          </w:p>
        </w:tc>
        <w:tc>
          <w:tcPr>
            <w:tcW w:w="866" w:type="dxa"/>
            <w:tcBorders>
              <w:top w:val="nil"/>
              <w:left w:val="nil"/>
              <w:bottom w:val="nil"/>
              <w:right w:val="nil"/>
            </w:tcBorders>
            <w:shd w:val="clear" w:color="auto" w:fill="auto"/>
            <w:noWrap/>
            <w:vAlign w:val="bottom"/>
            <w:hideMark/>
          </w:tcPr>
          <w:p w14:paraId="2174E72E" w14:textId="21A1AD12" w:rsidR="00AE6789" w:rsidRPr="00AE6789" w:rsidRDefault="00AE6789" w:rsidP="00AE6789">
            <w:pPr>
              <w:spacing w:after="0" w:line="240" w:lineRule="auto"/>
              <w:jc w:val="center"/>
              <w:rPr>
                <w:rFonts w:ascii="Arial" w:hAnsi="Arial" w:cs="Arial"/>
                <w:sz w:val="16"/>
                <w:szCs w:val="16"/>
              </w:rPr>
            </w:pPr>
            <w:r w:rsidRPr="00AE6789">
              <w:rPr>
                <w:rFonts w:ascii="Arial" w:hAnsi="Arial" w:cs="Arial"/>
                <w:sz w:val="16"/>
                <w:szCs w:val="16"/>
              </w:rPr>
              <w:t>1.1,1.2</w:t>
            </w:r>
          </w:p>
        </w:tc>
        <w:tc>
          <w:tcPr>
            <w:tcW w:w="860" w:type="dxa"/>
            <w:tcBorders>
              <w:top w:val="nil"/>
              <w:left w:val="nil"/>
              <w:bottom w:val="nil"/>
              <w:right w:val="nil"/>
            </w:tcBorders>
            <w:shd w:val="clear" w:color="000000" w:fill="E6E6E6"/>
            <w:noWrap/>
            <w:vAlign w:val="bottom"/>
            <w:hideMark/>
          </w:tcPr>
          <w:p w14:paraId="1CD5A608" w14:textId="2D94D7B9"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813</w:t>
            </w:r>
          </w:p>
        </w:tc>
        <w:tc>
          <w:tcPr>
            <w:tcW w:w="860" w:type="dxa"/>
            <w:tcBorders>
              <w:top w:val="nil"/>
              <w:left w:val="nil"/>
              <w:bottom w:val="nil"/>
              <w:right w:val="nil"/>
            </w:tcBorders>
            <w:shd w:val="clear" w:color="auto" w:fill="auto"/>
            <w:noWrap/>
            <w:vAlign w:val="bottom"/>
            <w:hideMark/>
          </w:tcPr>
          <w:p w14:paraId="4B4F3DF9" w14:textId="363DA7FB"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2,977</w:t>
            </w:r>
          </w:p>
        </w:tc>
        <w:tc>
          <w:tcPr>
            <w:tcW w:w="860" w:type="dxa"/>
            <w:tcBorders>
              <w:top w:val="nil"/>
              <w:left w:val="nil"/>
              <w:bottom w:val="nil"/>
              <w:right w:val="nil"/>
            </w:tcBorders>
            <w:shd w:val="clear" w:color="auto" w:fill="auto"/>
            <w:noWrap/>
            <w:vAlign w:val="bottom"/>
            <w:hideMark/>
          </w:tcPr>
          <w:p w14:paraId="3A0954B8" w14:textId="327F0B07"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925</w:t>
            </w:r>
          </w:p>
        </w:tc>
        <w:tc>
          <w:tcPr>
            <w:tcW w:w="860" w:type="dxa"/>
            <w:tcBorders>
              <w:top w:val="nil"/>
              <w:left w:val="nil"/>
              <w:bottom w:val="nil"/>
              <w:right w:val="nil"/>
            </w:tcBorders>
            <w:shd w:val="clear" w:color="auto" w:fill="auto"/>
            <w:noWrap/>
            <w:vAlign w:val="bottom"/>
            <w:hideMark/>
          </w:tcPr>
          <w:p w14:paraId="1303F9D4" w14:textId="7C16EDC0"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750</w:t>
            </w:r>
          </w:p>
        </w:tc>
      </w:tr>
      <w:tr w:rsidR="00AE6789" w:rsidRPr="00AE6789" w14:paraId="34019E06" w14:textId="77777777" w:rsidTr="00D94F71">
        <w:trPr>
          <w:trHeight w:val="204"/>
        </w:trPr>
        <w:tc>
          <w:tcPr>
            <w:tcW w:w="3119" w:type="dxa"/>
            <w:tcBorders>
              <w:top w:val="nil"/>
              <w:left w:val="nil"/>
              <w:bottom w:val="nil"/>
              <w:right w:val="nil"/>
            </w:tcBorders>
            <w:shd w:val="clear" w:color="auto" w:fill="auto"/>
            <w:noWrap/>
            <w:hideMark/>
          </w:tcPr>
          <w:p w14:paraId="37BD2FF0" w14:textId="0D540DB3" w:rsidR="00AE6789" w:rsidRPr="00AE6789" w:rsidRDefault="00A9622F" w:rsidP="00A9622F">
            <w:pPr>
              <w:spacing w:after="0" w:line="240" w:lineRule="auto"/>
              <w:ind w:left="113"/>
              <w:jc w:val="left"/>
              <w:rPr>
                <w:rFonts w:ascii="Arial" w:hAnsi="Arial" w:cs="Arial"/>
                <w:b/>
                <w:bCs/>
                <w:color w:val="000000"/>
                <w:sz w:val="16"/>
                <w:szCs w:val="16"/>
              </w:rPr>
            </w:pPr>
            <w:r w:rsidRPr="00AE6789">
              <w:rPr>
                <w:rFonts w:ascii="Arial" w:hAnsi="Arial" w:cs="Arial"/>
                <w:b/>
                <w:bCs/>
                <w:color w:val="000000"/>
                <w:sz w:val="16"/>
                <w:szCs w:val="16"/>
              </w:rPr>
              <w:t xml:space="preserve">Other Variations </w:t>
            </w:r>
          </w:p>
        </w:tc>
        <w:tc>
          <w:tcPr>
            <w:tcW w:w="866" w:type="dxa"/>
            <w:tcBorders>
              <w:top w:val="nil"/>
              <w:left w:val="nil"/>
              <w:bottom w:val="nil"/>
              <w:right w:val="nil"/>
            </w:tcBorders>
            <w:shd w:val="clear" w:color="auto" w:fill="auto"/>
            <w:noWrap/>
            <w:vAlign w:val="bottom"/>
            <w:hideMark/>
          </w:tcPr>
          <w:p w14:paraId="6FE4DFC1" w14:textId="77777777" w:rsidR="00AE6789" w:rsidRPr="00AE6789" w:rsidRDefault="00AE6789" w:rsidP="00AE6789">
            <w:pPr>
              <w:spacing w:after="0" w:line="240" w:lineRule="auto"/>
              <w:ind w:firstLineChars="200" w:firstLine="320"/>
              <w:jc w:val="center"/>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3A68D996" w14:textId="16ABEBFE"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63702DAD"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61952C0C" w14:textId="77777777" w:rsidR="00AE6789" w:rsidRPr="00AE6789" w:rsidRDefault="00AE6789" w:rsidP="00AE6789">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32C7BF46" w14:textId="77777777" w:rsidR="00AE6789" w:rsidRPr="00AE6789" w:rsidRDefault="00AE6789" w:rsidP="00AE6789">
            <w:pPr>
              <w:spacing w:after="0" w:line="240" w:lineRule="auto"/>
              <w:jc w:val="right"/>
              <w:rPr>
                <w:rFonts w:ascii="Arial" w:hAnsi="Arial" w:cs="Arial"/>
                <w:sz w:val="16"/>
                <w:szCs w:val="16"/>
              </w:rPr>
            </w:pPr>
          </w:p>
        </w:tc>
      </w:tr>
      <w:tr w:rsidR="00AE6789" w:rsidRPr="00AE6789" w14:paraId="4BFA180E" w14:textId="77777777" w:rsidTr="00D94F71">
        <w:trPr>
          <w:trHeight w:val="204"/>
        </w:trPr>
        <w:tc>
          <w:tcPr>
            <w:tcW w:w="3119" w:type="dxa"/>
            <w:tcBorders>
              <w:top w:val="nil"/>
              <w:left w:val="nil"/>
              <w:bottom w:val="nil"/>
              <w:right w:val="nil"/>
            </w:tcBorders>
            <w:shd w:val="clear" w:color="auto" w:fill="auto"/>
            <w:noWrap/>
            <w:hideMark/>
          </w:tcPr>
          <w:p w14:paraId="3D180B7F" w14:textId="77777777" w:rsidR="00AE6789" w:rsidRPr="00AE6789" w:rsidRDefault="00AE6789" w:rsidP="00BE2136">
            <w:pPr>
              <w:spacing w:after="0" w:line="240" w:lineRule="auto"/>
              <w:ind w:left="227"/>
              <w:jc w:val="left"/>
              <w:rPr>
                <w:rFonts w:ascii="Arial" w:hAnsi="Arial" w:cs="Arial"/>
                <w:color w:val="000000"/>
                <w:sz w:val="16"/>
                <w:szCs w:val="16"/>
              </w:rPr>
            </w:pPr>
            <w:r w:rsidRPr="00AE6789">
              <w:rPr>
                <w:rFonts w:ascii="Arial" w:hAnsi="Arial" w:cs="Arial"/>
                <w:color w:val="000000"/>
                <w:sz w:val="16"/>
                <w:szCs w:val="16"/>
              </w:rPr>
              <w:t>Changes in Parameters</w:t>
            </w:r>
          </w:p>
        </w:tc>
        <w:tc>
          <w:tcPr>
            <w:tcW w:w="866" w:type="dxa"/>
            <w:tcBorders>
              <w:top w:val="nil"/>
              <w:left w:val="nil"/>
              <w:bottom w:val="nil"/>
              <w:right w:val="nil"/>
            </w:tcBorders>
            <w:shd w:val="clear" w:color="auto" w:fill="auto"/>
            <w:noWrap/>
            <w:vAlign w:val="bottom"/>
            <w:hideMark/>
          </w:tcPr>
          <w:p w14:paraId="5E7DCD45" w14:textId="77777777" w:rsidR="00AE6789" w:rsidRPr="00AE6789" w:rsidRDefault="00AE6789" w:rsidP="00AE6789">
            <w:pPr>
              <w:spacing w:after="0" w:line="240" w:lineRule="auto"/>
              <w:jc w:val="center"/>
              <w:rPr>
                <w:rFonts w:ascii="Arial" w:hAnsi="Arial" w:cs="Arial"/>
                <w:sz w:val="16"/>
                <w:szCs w:val="16"/>
              </w:rPr>
            </w:pPr>
            <w:r w:rsidRPr="00AE6789">
              <w:rPr>
                <w:rFonts w:ascii="Arial" w:hAnsi="Arial" w:cs="Arial"/>
                <w:sz w:val="16"/>
                <w:szCs w:val="16"/>
              </w:rPr>
              <w:t>All</w:t>
            </w:r>
          </w:p>
        </w:tc>
        <w:tc>
          <w:tcPr>
            <w:tcW w:w="860" w:type="dxa"/>
            <w:tcBorders>
              <w:top w:val="nil"/>
              <w:left w:val="nil"/>
              <w:bottom w:val="nil"/>
              <w:right w:val="nil"/>
            </w:tcBorders>
            <w:shd w:val="clear" w:color="000000" w:fill="E6E6E6"/>
            <w:noWrap/>
            <w:vAlign w:val="bottom"/>
            <w:hideMark/>
          </w:tcPr>
          <w:p w14:paraId="1B38AA82" w14:textId="77777777"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w:t>
            </w:r>
          </w:p>
        </w:tc>
        <w:tc>
          <w:tcPr>
            <w:tcW w:w="860" w:type="dxa"/>
            <w:tcBorders>
              <w:top w:val="nil"/>
              <w:left w:val="nil"/>
              <w:bottom w:val="nil"/>
              <w:right w:val="nil"/>
            </w:tcBorders>
            <w:shd w:val="clear" w:color="auto" w:fill="auto"/>
            <w:noWrap/>
            <w:vAlign w:val="bottom"/>
            <w:hideMark/>
          </w:tcPr>
          <w:p w14:paraId="67F1F9EB" w14:textId="438C8749"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120</w:t>
            </w:r>
          </w:p>
        </w:tc>
        <w:tc>
          <w:tcPr>
            <w:tcW w:w="860" w:type="dxa"/>
            <w:tcBorders>
              <w:top w:val="nil"/>
              <w:left w:val="nil"/>
              <w:bottom w:val="nil"/>
              <w:right w:val="nil"/>
            </w:tcBorders>
            <w:shd w:val="clear" w:color="auto" w:fill="auto"/>
            <w:noWrap/>
            <w:vAlign w:val="bottom"/>
            <w:hideMark/>
          </w:tcPr>
          <w:p w14:paraId="490D8B28" w14:textId="7B278849"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273</w:t>
            </w:r>
          </w:p>
        </w:tc>
        <w:tc>
          <w:tcPr>
            <w:tcW w:w="860" w:type="dxa"/>
            <w:tcBorders>
              <w:top w:val="nil"/>
              <w:left w:val="nil"/>
              <w:bottom w:val="nil"/>
              <w:right w:val="nil"/>
            </w:tcBorders>
            <w:shd w:val="clear" w:color="auto" w:fill="auto"/>
            <w:noWrap/>
            <w:vAlign w:val="bottom"/>
            <w:hideMark/>
          </w:tcPr>
          <w:p w14:paraId="27A04EC1" w14:textId="5D8726F1"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640</w:t>
            </w:r>
          </w:p>
        </w:tc>
      </w:tr>
      <w:tr w:rsidR="00AE6789" w:rsidRPr="00AE6789" w14:paraId="28CB64BF" w14:textId="77777777" w:rsidTr="00D94F71">
        <w:trPr>
          <w:trHeight w:val="204"/>
        </w:trPr>
        <w:tc>
          <w:tcPr>
            <w:tcW w:w="3119" w:type="dxa"/>
            <w:tcBorders>
              <w:top w:val="nil"/>
              <w:left w:val="nil"/>
              <w:bottom w:val="nil"/>
              <w:right w:val="nil"/>
            </w:tcBorders>
            <w:shd w:val="clear" w:color="auto" w:fill="auto"/>
            <w:noWrap/>
            <w:hideMark/>
          </w:tcPr>
          <w:p w14:paraId="0EE18B65" w14:textId="77777777" w:rsidR="00AE6789" w:rsidRPr="00AE6789" w:rsidRDefault="00AE6789" w:rsidP="00BE2136">
            <w:pPr>
              <w:spacing w:after="0" w:line="240" w:lineRule="auto"/>
              <w:ind w:left="227"/>
              <w:jc w:val="left"/>
              <w:rPr>
                <w:rFonts w:ascii="Arial" w:hAnsi="Arial" w:cs="Arial"/>
                <w:color w:val="000000"/>
                <w:sz w:val="16"/>
                <w:szCs w:val="16"/>
              </w:rPr>
            </w:pPr>
            <w:r w:rsidRPr="00AE6789">
              <w:rPr>
                <w:rFonts w:ascii="Arial" w:hAnsi="Arial" w:cs="Arial"/>
                <w:color w:val="000000"/>
                <w:sz w:val="16"/>
                <w:szCs w:val="16"/>
              </w:rPr>
              <w:t>National Self-Exclusion Register</w:t>
            </w:r>
          </w:p>
        </w:tc>
        <w:tc>
          <w:tcPr>
            <w:tcW w:w="866" w:type="dxa"/>
            <w:tcBorders>
              <w:top w:val="nil"/>
              <w:left w:val="nil"/>
              <w:bottom w:val="nil"/>
              <w:right w:val="nil"/>
            </w:tcBorders>
            <w:shd w:val="clear" w:color="auto" w:fill="auto"/>
            <w:noWrap/>
            <w:vAlign w:val="bottom"/>
            <w:hideMark/>
          </w:tcPr>
          <w:p w14:paraId="7DAD5217" w14:textId="77777777" w:rsidR="00AE6789" w:rsidRPr="00AE6789" w:rsidRDefault="00AE6789" w:rsidP="00AE6789">
            <w:pPr>
              <w:spacing w:after="0" w:line="240" w:lineRule="auto"/>
              <w:jc w:val="center"/>
              <w:rPr>
                <w:rFonts w:ascii="Arial" w:hAnsi="Arial" w:cs="Arial"/>
                <w:sz w:val="16"/>
                <w:szCs w:val="16"/>
              </w:rPr>
            </w:pPr>
            <w:r w:rsidRPr="00AE6789">
              <w:rPr>
                <w:rFonts w:ascii="Arial" w:hAnsi="Arial" w:cs="Arial"/>
                <w:sz w:val="16"/>
                <w:szCs w:val="16"/>
              </w:rPr>
              <w:t>1.2</w:t>
            </w:r>
          </w:p>
        </w:tc>
        <w:tc>
          <w:tcPr>
            <w:tcW w:w="860" w:type="dxa"/>
            <w:tcBorders>
              <w:top w:val="nil"/>
              <w:left w:val="nil"/>
              <w:bottom w:val="nil"/>
              <w:right w:val="nil"/>
            </w:tcBorders>
            <w:shd w:val="clear" w:color="000000" w:fill="E6E6E6"/>
            <w:noWrap/>
            <w:vAlign w:val="bottom"/>
            <w:hideMark/>
          </w:tcPr>
          <w:p w14:paraId="7D334998" w14:textId="6E5CC18B"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700</w:t>
            </w:r>
          </w:p>
        </w:tc>
        <w:tc>
          <w:tcPr>
            <w:tcW w:w="860" w:type="dxa"/>
            <w:tcBorders>
              <w:top w:val="nil"/>
              <w:left w:val="nil"/>
              <w:bottom w:val="nil"/>
              <w:right w:val="nil"/>
            </w:tcBorders>
            <w:shd w:val="clear" w:color="auto" w:fill="auto"/>
            <w:noWrap/>
            <w:vAlign w:val="bottom"/>
            <w:hideMark/>
          </w:tcPr>
          <w:p w14:paraId="339B3532" w14:textId="4A6374C8"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1,994</w:t>
            </w:r>
          </w:p>
        </w:tc>
        <w:tc>
          <w:tcPr>
            <w:tcW w:w="860" w:type="dxa"/>
            <w:tcBorders>
              <w:top w:val="nil"/>
              <w:left w:val="nil"/>
              <w:bottom w:val="nil"/>
              <w:right w:val="nil"/>
            </w:tcBorders>
            <w:shd w:val="clear" w:color="auto" w:fill="auto"/>
            <w:noWrap/>
            <w:vAlign w:val="bottom"/>
            <w:hideMark/>
          </w:tcPr>
          <w:p w14:paraId="64548512" w14:textId="00011E37"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1,297</w:t>
            </w:r>
          </w:p>
        </w:tc>
        <w:tc>
          <w:tcPr>
            <w:tcW w:w="860" w:type="dxa"/>
            <w:tcBorders>
              <w:top w:val="nil"/>
              <w:left w:val="nil"/>
              <w:bottom w:val="nil"/>
              <w:right w:val="nil"/>
            </w:tcBorders>
            <w:shd w:val="clear" w:color="auto" w:fill="auto"/>
            <w:noWrap/>
            <w:vAlign w:val="bottom"/>
            <w:hideMark/>
          </w:tcPr>
          <w:p w14:paraId="1981EF70" w14:textId="5E434D11" w:rsidR="00AE6789" w:rsidRPr="00AE6789" w:rsidRDefault="00AE6789" w:rsidP="00AE6789">
            <w:pPr>
              <w:spacing w:after="0" w:line="240" w:lineRule="auto"/>
              <w:jc w:val="right"/>
              <w:rPr>
                <w:rFonts w:ascii="Arial" w:hAnsi="Arial" w:cs="Arial"/>
                <w:sz w:val="16"/>
                <w:szCs w:val="16"/>
              </w:rPr>
            </w:pPr>
            <w:r w:rsidRPr="00AE6789">
              <w:rPr>
                <w:rFonts w:ascii="Arial" w:hAnsi="Arial" w:cs="Arial"/>
                <w:sz w:val="16"/>
                <w:szCs w:val="16"/>
              </w:rPr>
              <w:t>675</w:t>
            </w:r>
          </w:p>
        </w:tc>
      </w:tr>
      <w:tr w:rsidR="00AE6789" w:rsidRPr="00AE6789" w14:paraId="30AE2BB5" w14:textId="77777777" w:rsidTr="00D94F71">
        <w:trPr>
          <w:trHeight w:val="204"/>
        </w:trPr>
        <w:tc>
          <w:tcPr>
            <w:tcW w:w="3119" w:type="dxa"/>
            <w:tcBorders>
              <w:top w:val="nil"/>
              <w:left w:val="nil"/>
              <w:bottom w:val="nil"/>
              <w:right w:val="nil"/>
            </w:tcBorders>
            <w:shd w:val="clear" w:color="auto" w:fill="auto"/>
            <w:hideMark/>
          </w:tcPr>
          <w:p w14:paraId="1DE4AAB0" w14:textId="24690E2D" w:rsidR="00AE6789" w:rsidRPr="00AE6789" w:rsidRDefault="00AE6789" w:rsidP="00590D44">
            <w:pPr>
              <w:spacing w:after="0" w:line="240" w:lineRule="auto"/>
              <w:jc w:val="left"/>
              <w:rPr>
                <w:rFonts w:ascii="Arial" w:hAnsi="Arial" w:cs="Arial"/>
                <w:b/>
                <w:bCs/>
                <w:color w:val="000000"/>
                <w:sz w:val="16"/>
                <w:szCs w:val="16"/>
              </w:rPr>
            </w:pPr>
            <w:r w:rsidRPr="00AE6789">
              <w:rPr>
                <w:rFonts w:ascii="Arial" w:hAnsi="Arial" w:cs="Arial"/>
                <w:b/>
                <w:bCs/>
                <w:color w:val="000000"/>
                <w:sz w:val="16"/>
                <w:szCs w:val="16"/>
              </w:rPr>
              <w:t>Ne</w:t>
            </w:r>
            <w:r w:rsidR="000672C0">
              <w:rPr>
                <w:rFonts w:ascii="Arial" w:hAnsi="Arial" w:cs="Arial"/>
                <w:b/>
                <w:bCs/>
                <w:color w:val="000000"/>
                <w:sz w:val="16"/>
                <w:szCs w:val="16"/>
              </w:rPr>
              <w:t>t impact on appropriations for</w:t>
            </w:r>
            <w:r w:rsidR="00590D44">
              <w:rPr>
                <w:rFonts w:ascii="Arial" w:hAnsi="Arial" w:cs="Arial"/>
                <w:b/>
                <w:bCs/>
                <w:color w:val="000000"/>
                <w:sz w:val="16"/>
                <w:szCs w:val="16"/>
              </w:rPr>
              <w:t xml:space="preserve"> </w:t>
            </w:r>
            <w:r w:rsidRPr="00AE6789">
              <w:rPr>
                <w:rFonts w:ascii="Arial" w:hAnsi="Arial" w:cs="Arial"/>
                <w:b/>
                <w:bCs/>
                <w:color w:val="000000"/>
                <w:sz w:val="16"/>
                <w:szCs w:val="16"/>
              </w:rPr>
              <w:t>Outcome 1 (</w:t>
            </w:r>
            <w:r w:rsidR="00B02F25">
              <w:rPr>
                <w:rFonts w:ascii="Arial" w:hAnsi="Arial" w:cs="Arial"/>
                <w:b/>
                <w:bCs/>
                <w:color w:val="000000"/>
                <w:sz w:val="16"/>
                <w:szCs w:val="16"/>
              </w:rPr>
              <w:t>D</w:t>
            </w:r>
            <w:r w:rsidR="008863D9">
              <w:rPr>
                <w:rFonts w:ascii="Arial" w:hAnsi="Arial" w:cs="Arial"/>
                <w:b/>
                <w:bCs/>
                <w:color w:val="000000"/>
                <w:sz w:val="16"/>
                <w:szCs w:val="16"/>
              </w:rPr>
              <w:t>epartment</w:t>
            </w:r>
            <w:r w:rsidRPr="00AE6789">
              <w:rPr>
                <w:rFonts w:ascii="Arial" w:hAnsi="Arial" w:cs="Arial"/>
                <w:b/>
                <w:bCs/>
                <w:color w:val="000000"/>
                <w:sz w:val="16"/>
                <w:szCs w:val="16"/>
              </w:rPr>
              <w:t>al)</w:t>
            </w:r>
          </w:p>
        </w:tc>
        <w:tc>
          <w:tcPr>
            <w:tcW w:w="866" w:type="dxa"/>
            <w:tcBorders>
              <w:top w:val="nil"/>
              <w:left w:val="nil"/>
              <w:bottom w:val="nil"/>
              <w:right w:val="nil"/>
            </w:tcBorders>
            <w:shd w:val="clear" w:color="auto" w:fill="auto"/>
            <w:noWrap/>
            <w:vAlign w:val="bottom"/>
            <w:hideMark/>
          </w:tcPr>
          <w:p w14:paraId="6874D75C" w14:textId="77777777" w:rsidR="00AE6789" w:rsidRPr="00AE6789" w:rsidRDefault="00AE6789" w:rsidP="00AE6789">
            <w:pPr>
              <w:spacing w:after="0" w:line="240" w:lineRule="auto"/>
              <w:jc w:val="center"/>
              <w:rPr>
                <w:rFonts w:ascii="Arial" w:hAnsi="Arial" w:cs="Arial"/>
                <w:b/>
                <w:bCs/>
                <w:color w:val="000000"/>
                <w:sz w:val="16"/>
                <w:szCs w:val="16"/>
              </w:rPr>
            </w:pPr>
          </w:p>
        </w:tc>
        <w:tc>
          <w:tcPr>
            <w:tcW w:w="860" w:type="dxa"/>
            <w:tcBorders>
              <w:top w:val="single" w:sz="4" w:space="0" w:color="auto"/>
              <w:left w:val="nil"/>
              <w:bottom w:val="single" w:sz="4" w:space="0" w:color="auto"/>
              <w:right w:val="nil"/>
            </w:tcBorders>
            <w:shd w:val="clear" w:color="000000" w:fill="E6E6E6"/>
            <w:noWrap/>
            <w:vAlign w:val="bottom"/>
            <w:hideMark/>
          </w:tcPr>
          <w:p w14:paraId="6576D1D1" w14:textId="56F0659B" w:rsidR="00AE6789" w:rsidRPr="00AE6789" w:rsidRDefault="00AE6789" w:rsidP="00AE6789">
            <w:pPr>
              <w:spacing w:after="0" w:line="240" w:lineRule="auto"/>
              <w:jc w:val="right"/>
              <w:rPr>
                <w:rFonts w:ascii="Arial" w:hAnsi="Arial" w:cs="Arial"/>
                <w:b/>
                <w:bCs/>
                <w:sz w:val="16"/>
                <w:szCs w:val="16"/>
              </w:rPr>
            </w:pPr>
            <w:r w:rsidRPr="00AE6789">
              <w:rPr>
                <w:rFonts w:ascii="Arial" w:hAnsi="Arial" w:cs="Arial"/>
                <w:b/>
                <w:bCs/>
                <w:sz w:val="16"/>
                <w:szCs w:val="16"/>
              </w:rPr>
              <w:t>1,513</w:t>
            </w:r>
          </w:p>
        </w:tc>
        <w:tc>
          <w:tcPr>
            <w:tcW w:w="860" w:type="dxa"/>
            <w:tcBorders>
              <w:top w:val="single" w:sz="4" w:space="0" w:color="auto"/>
              <w:left w:val="nil"/>
              <w:bottom w:val="single" w:sz="4" w:space="0" w:color="auto"/>
              <w:right w:val="nil"/>
            </w:tcBorders>
            <w:shd w:val="clear" w:color="auto" w:fill="auto"/>
            <w:noWrap/>
            <w:vAlign w:val="bottom"/>
            <w:hideMark/>
          </w:tcPr>
          <w:p w14:paraId="1A5C2043" w14:textId="5F76E2BE" w:rsidR="00AE6789" w:rsidRPr="00AE6789" w:rsidRDefault="00AE6789" w:rsidP="00AE6789">
            <w:pPr>
              <w:spacing w:after="0" w:line="240" w:lineRule="auto"/>
              <w:jc w:val="right"/>
              <w:rPr>
                <w:rFonts w:ascii="Arial" w:hAnsi="Arial" w:cs="Arial"/>
                <w:b/>
                <w:bCs/>
                <w:color w:val="000000"/>
                <w:sz w:val="16"/>
                <w:szCs w:val="16"/>
              </w:rPr>
            </w:pPr>
            <w:r w:rsidRPr="00AE6789">
              <w:rPr>
                <w:rFonts w:ascii="Arial" w:hAnsi="Arial" w:cs="Arial"/>
                <w:b/>
                <w:bCs/>
                <w:color w:val="000000"/>
                <w:sz w:val="16"/>
                <w:szCs w:val="16"/>
              </w:rPr>
              <w:t>5,091</w:t>
            </w:r>
          </w:p>
        </w:tc>
        <w:tc>
          <w:tcPr>
            <w:tcW w:w="860" w:type="dxa"/>
            <w:tcBorders>
              <w:top w:val="single" w:sz="4" w:space="0" w:color="auto"/>
              <w:left w:val="nil"/>
              <w:bottom w:val="single" w:sz="4" w:space="0" w:color="auto"/>
              <w:right w:val="nil"/>
            </w:tcBorders>
            <w:shd w:val="clear" w:color="auto" w:fill="auto"/>
            <w:noWrap/>
            <w:vAlign w:val="bottom"/>
            <w:hideMark/>
          </w:tcPr>
          <w:p w14:paraId="5B4E5BF1" w14:textId="6EE58164" w:rsidR="00AE6789" w:rsidRPr="00AE6789" w:rsidRDefault="00AE6789" w:rsidP="00AE6789">
            <w:pPr>
              <w:spacing w:after="0" w:line="240" w:lineRule="auto"/>
              <w:jc w:val="right"/>
              <w:rPr>
                <w:rFonts w:ascii="Arial" w:hAnsi="Arial" w:cs="Arial"/>
                <w:b/>
                <w:bCs/>
                <w:color w:val="000000"/>
                <w:sz w:val="16"/>
                <w:szCs w:val="16"/>
              </w:rPr>
            </w:pPr>
            <w:r w:rsidRPr="00AE6789">
              <w:rPr>
                <w:rFonts w:ascii="Arial" w:hAnsi="Arial" w:cs="Arial"/>
                <w:b/>
                <w:bCs/>
                <w:color w:val="000000"/>
                <w:sz w:val="16"/>
                <w:szCs w:val="16"/>
              </w:rPr>
              <w:t>2,495</w:t>
            </w:r>
          </w:p>
        </w:tc>
        <w:tc>
          <w:tcPr>
            <w:tcW w:w="860" w:type="dxa"/>
            <w:tcBorders>
              <w:top w:val="single" w:sz="4" w:space="0" w:color="auto"/>
              <w:left w:val="nil"/>
              <w:bottom w:val="single" w:sz="4" w:space="0" w:color="auto"/>
              <w:right w:val="nil"/>
            </w:tcBorders>
            <w:shd w:val="clear" w:color="auto" w:fill="auto"/>
            <w:noWrap/>
            <w:vAlign w:val="bottom"/>
            <w:hideMark/>
          </w:tcPr>
          <w:p w14:paraId="682A0FD4" w14:textId="75A1C885" w:rsidR="00AE6789" w:rsidRPr="00AE6789" w:rsidRDefault="00AE6789" w:rsidP="00AE6789">
            <w:pPr>
              <w:spacing w:after="0" w:line="240" w:lineRule="auto"/>
              <w:jc w:val="right"/>
              <w:rPr>
                <w:rFonts w:ascii="Arial" w:hAnsi="Arial" w:cs="Arial"/>
                <w:b/>
                <w:bCs/>
                <w:color w:val="000000"/>
                <w:sz w:val="16"/>
                <w:szCs w:val="16"/>
              </w:rPr>
            </w:pPr>
            <w:r w:rsidRPr="00AE6789">
              <w:rPr>
                <w:rFonts w:ascii="Arial" w:hAnsi="Arial" w:cs="Arial"/>
                <w:b/>
                <w:bCs/>
                <w:color w:val="000000"/>
                <w:sz w:val="16"/>
                <w:szCs w:val="16"/>
              </w:rPr>
              <w:t>2,065</w:t>
            </w:r>
          </w:p>
        </w:tc>
      </w:tr>
      <w:tr w:rsidR="00AE6789" w:rsidRPr="00AE6789" w14:paraId="385A43D8" w14:textId="77777777" w:rsidTr="00D94F71">
        <w:trPr>
          <w:trHeight w:val="204"/>
        </w:trPr>
        <w:tc>
          <w:tcPr>
            <w:tcW w:w="3119" w:type="dxa"/>
            <w:tcBorders>
              <w:top w:val="nil"/>
              <w:left w:val="nil"/>
              <w:bottom w:val="single" w:sz="4" w:space="0" w:color="auto"/>
              <w:right w:val="nil"/>
            </w:tcBorders>
            <w:shd w:val="clear" w:color="auto" w:fill="auto"/>
            <w:hideMark/>
          </w:tcPr>
          <w:p w14:paraId="24CF839D" w14:textId="47F69D48" w:rsidR="00AE6789" w:rsidRPr="00AE6789" w:rsidRDefault="00AE6789" w:rsidP="00590D44">
            <w:pPr>
              <w:spacing w:after="0" w:line="240" w:lineRule="auto"/>
              <w:jc w:val="left"/>
              <w:rPr>
                <w:rFonts w:ascii="Arial" w:hAnsi="Arial" w:cs="Arial"/>
                <w:b/>
                <w:bCs/>
                <w:color w:val="000000"/>
                <w:sz w:val="16"/>
                <w:szCs w:val="16"/>
              </w:rPr>
            </w:pPr>
            <w:r w:rsidRPr="00AE6789">
              <w:rPr>
                <w:rFonts w:ascii="Arial" w:hAnsi="Arial" w:cs="Arial"/>
                <w:b/>
                <w:bCs/>
                <w:color w:val="000000"/>
                <w:sz w:val="16"/>
                <w:szCs w:val="16"/>
              </w:rPr>
              <w:t>Tota</w:t>
            </w:r>
            <w:r w:rsidR="000672C0">
              <w:rPr>
                <w:rFonts w:ascii="Arial" w:hAnsi="Arial" w:cs="Arial"/>
                <w:b/>
                <w:bCs/>
                <w:color w:val="000000"/>
                <w:sz w:val="16"/>
                <w:szCs w:val="16"/>
              </w:rPr>
              <w:t>l net impact on appropriations</w:t>
            </w:r>
            <w:r w:rsidR="00590D44">
              <w:rPr>
                <w:rFonts w:ascii="Arial" w:hAnsi="Arial" w:cs="Arial"/>
                <w:b/>
                <w:bCs/>
                <w:color w:val="000000"/>
                <w:sz w:val="16"/>
                <w:szCs w:val="16"/>
              </w:rPr>
              <w:t xml:space="preserve"> </w:t>
            </w:r>
            <w:r w:rsidRPr="00AE6789">
              <w:rPr>
                <w:rFonts w:ascii="Arial" w:hAnsi="Arial" w:cs="Arial"/>
                <w:b/>
                <w:bCs/>
                <w:color w:val="000000"/>
                <w:sz w:val="16"/>
                <w:szCs w:val="16"/>
              </w:rPr>
              <w:t>for Outcome 1</w:t>
            </w:r>
          </w:p>
        </w:tc>
        <w:tc>
          <w:tcPr>
            <w:tcW w:w="866" w:type="dxa"/>
            <w:tcBorders>
              <w:top w:val="nil"/>
              <w:left w:val="nil"/>
              <w:bottom w:val="single" w:sz="4" w:space="0" w:color="auto"/>
              <w:right w:val="nil"/>
            </w:tcBorders>
            <w:shd w:val="clear" w:color="auto" w:fill="auto"/>
            <w:noWrap/>
            <w:vAlign w:val="bottom"/>
            <w:hideMark/>
          </w:tcPr>
          <w:p w14:paraId="47F8F51A" w14:textId="5A96856F" w:rsidR="00AE6789" w:rsidRPr="00AE6789" w:rsidRDefault="00AE6789" w:rsidP="00AE6789">
            <w:pPr>
              <w:spacing w:after="0" w:line="240" w:lineRule="auto"/>
              <w:jc w:val="right"/>
              <w:rPr>
                <w:rFonts w:ascii="Arial" w:hAnsi="Arial" w:cs="Arial"/>
                <w:color w:val="000000"/>
                <w:sz w:val="16"/>
                <w:szCs w:val="16"/>
              </w:rPr>
            </w:pPr>
          </w:p>
        </w:tc>
        <w:tc>
          <w:tcPr>
            <w:tcW w:w="860" w:type="dxa"/>
            <w:tcBorders>
              <w:top w:val="nil"/>
              <w:left w:val="nil"/>
              <w:bottom w:val="single" w:sz="4" w:space="0" w:color="auto"/>
              <w:right w:val="nil"/>
            </w:tcBorders>
            <w:shd w:val="clear" w:color="000000" w:fill="E6E6E6"/>
            <w:noWrap/>
            <w:vAlign w:val="bottom"/>
            <w:hideMark/>
          </w:tcPr>
          <w:p w14:paraId="34DFC2D5" w14:textId="77777777" w:rsidR="00AE6789" w:rsidRPr="00AE6789" w:rsidRDefault="00AE6789" w:rsidP="00AE6789">
            <w:pPr>
              <w:spacing w:after="0" w:line="240" w:lineRule="auto"/>
              <w:jc w:val="right"/>
              <w:rPr>
                <w:rFonts w:ascii="Arial" w:hAnsi="Arial" w:cs="Arial"/>
                <w:b/>
                <w:bCs/>
                <w:sz w:val="16"/>
                <w:szCs w:val="16"/>
              </w:rPr>
            </w:pPr>
            <w:r w:rsidRPr="00AE6789">
              <w:rPr>
                <w:rFonts w:ascii="Arial" w:hAnsi="Arial" w:cs="Arial"/>
                <w:b/>
                <w:bCs/>
                <w:sz w:val="16"/>
                <w:szCs w:val="16"/>
              </w:rPr>
              <w:t>(4,206)</w:t>
            </w:r>
          </w:p>
        </w:tc>
        <w:tc>
          <w:tcPr>
            <w:tcW w:w="860" w:type="dxa"/>
            <w:tcBorders>
              <w:top w:val="nil"/>
              <w:left w:val="nil"/>
              <w:bottom w:val="single" w:sz="4" w:space="0" w:color="auto"/>
              <w:right w:val="nil"/>
            </w:tcBorders>
            <w:shd w:val="clear" w:color="auto" w:fill="auto"/>
            <w:noWrap/>
            <w:vAlign w:val="bottom"/>
            <w:hideMark/>
          </w:tcPr>
          <w:p w14:paraId="07423DCC" w14:textId="5B89DB8C" w:rsidR="00AE6789" w:rsidRPr="00AE6789" w:rsidRDefault="00AE6789" w:rsidP="00AE6789">
            <w:pPr>
              <w:spacing w:after="0" w:line="240" w:lineRule="auto"/>
              <w:jc w:val="right"/>
              <w:rPr>
                <w:rFonts w:ascii="Arial" w:hAnsi="Arial" w:cs="Arial"/>
                <w:b/>
                <w:bCs/>
                <w:color w:val="000000"/>
                <w:sz w:val="16"/>
                <w:szCs w:val="16"/>
              </w:rPr>
            </w:pPr>
            <w:r w:rsidRPr="00AE6789">
              <w:rPr>
                <w:rFonts w:ascii="Arial" w:hAnsi="Arial" w:cs="Arial"/>
                <w:b/>
                <w:bCs/>
                <w:color w:val="000000"/>
                <w:sz w:val="16"/>
                <w:szCs w:val="16"/>
              </w:rPr>
              <w:t>2,461</w:t>
            </w:r>
          </w:p>
        </w:tc>
        <w:tc>
          <w:tcPr>
            <w:tcW w:w="860" w:type="dxa"/>
            <w:tcBorders>
              <w:top w:val="nil"/>
              <w:left w:val="nil"/>
              <w:bottom w:val="single" w:sz="4" w:space="0" w:color="auto"/>
              <w:right w:val="nil"/>
            </w:tcBorders>
            <w:shd w:val="clear" w:color="auto" w:fill="auto"/>
            <w:noWrap/>
            <w:vAlign w:val="bottom"/>
            <w:hideMark/>
          </w:tcPr>
          <w:p w14:paraId="13497B7A" w14:textId="52B87D19" w:rsidR="00AE6789" w:rsidRPr="00AE6789" w:rsidRDefault="00AE6789" w:rsidP="00AE6789">
            <w:pPr>
              <w:spacing w:after="0" w:line="240" w:lineRule="auto"/>
              <w:jc w:val="right"/>
              <w:rPr>
                <w:rFonts w:ascii="Arial" w:hAnsi="Arial" w:cs="Arial"/>
                <w:b/>
                <w:bCs/>
                <w:color w:val="000000"/>
                <w:sz w:val="16"/>
                <w:szCs w:val="16"/>
              </w:rPr>
            </w:pPr>
            <w:r w:rsidRPr="00AE6789">
              <w:rPr>
                <w:rFonts w:ascii="Arial" w:hAnsi="Arial" w:cs="Arial"/>
                <w:b/>
                <w:bCs/>
                <w:color w:val="000000"/>
                <w:sz w:val="16"/>
                <w:szCs w:val="16"/>
              </w:rPr>
              <w:t>319</w:t>
            </w:r>
          </w:p>
        </w:tc>
        <w:tc>
          <w:tcPr>
            <w:tcW w:w="860" w:type="dxa"/>
            <w:tcBorders>
              <w:top w:val="nil"/>
              <w:left w:val="nil"/>
              <w:bottom w:val="single" w:sz="4" w:space="0" w:color="auto"/>
              <w:right w:val="nil"/>
            </w:tcBorders>
            <w:shd w:val="clear" w:color="auto" w:fill="auto"/>
            <w:noWrap/>
            <w:vAlign w:val="bottom"/>
            <w:hideMark/>
          </w:tcPr>
          <w:p w14:paraId="0512ABED" w14:textId="0AA40FDC" w:rsidR="00AE6789" w:rsidRPr="00AE6789" w:rsidRDefault="00AE6789" w:rsidP="00AE6789">
            <w:pPr>
              <w:spacing w:after="0" w:line="240" w:lineRule="auto"/>
              <w:jc w:val="right"/>
              <w:rPr>
                <w:rFonts w:ascii="Arial" w:hAnsi="Arial" w:cs="Arial"/>
                <w:b/>
                <w:bCs/>
                <w:color w:val="000000"/>
                <w:sz w:val="16"/>
                <w:szCs w:val="16"/>
              </w:rPr>
            </w:pPr>
            <w:r w:rsidRPr="00AE6789">
              <w:rPr>
                <w:rFonts w:ascii="Arial" w:hAnsi="Arial" w:cs="Arial"/>
                <w:b/>
                <w:bCs/>
                <w:color w:val="000000"/>
                <w:sz w:val="16"/>
                <w:szCs w:val="16"/>
              </w:rPr>
              <w:t>4,718</w:t>
            </w:r>
          </w:p>
        </w:tc>
      </w:tr>
    </w:tbl>
    <w:p w14:paraId="3B4A4047" w14:textId="16380B3B" w:rsidR="00830B11" w:rsidRPr="00157D6F" w:rsidRDefault="00830B11" w:rsidP="007469EF">
      <w:pPr>
        <w:rPr>
          <w:rStyle w:val="normaltextrun"/>
          <w:rFonts w:ascii="Arial" w:hAnsi="Arial" w:cs="Arial"/>
        </w:rPr>
      </w:pPr>
      <w:r w:rsidRPr="00157D6F">
        <w:rPr>
          <w:rStyle w:val="normaltextrun"/>
          <w:rFonts w:ascii="Arial" w:hAnsi="Arial" w:cs="Arial"/>
          <w:sz w:val="16"/>
        </w:rPr>
        <w:t>Prepared on a resourcing (that is, appropriations available) basis.</w:t>
      </w:r>
      <w:r w:rsidRPr="00157D6F">
        <w:rPr>
          <w:rStyle w:val="normaltextrun"/>
          <w:rFonts w:ascii="Arial" w:hAnsi="Arial" w:cs="Arial"/>
        </w:rPr>
        <w:br w:type="page"/>
      </w:r>
    </w:p>
    <w:p w14:paraId="768D914D" w14:textId="2D0D3F43" w:rsidR="00914885" w:rsidRPr="00564C0F" w:rsidRDefault="00914885" w:rsidP="00FB6A01">
      <w:pPr>
        <w:pStyle w:val="Heading3ACMA"/>
      </w:pPr>
      <w:bookmarkStart w:id="397" w:name="_Toc92990347"/>
      <w:r>
        <w:lastRenderedPageBreak/>
        <w:t>1.5</w:t>
      </w:r>
      <w:r>
        <w:tab/>
      </w:r>
      <w:r w:rsidRPr="00564C0F">
        <w:t>Breakdown of additional estimates by appropriation bill</w:t>
      </w:r>
      <w:bookmarkEnd w:id="397"/>
    </w:p>
    <w:p w14:paraId="300C39E0" w14:textId="64793A1D" w:rsidR="00914885" w:rsidRPr="00564C0F" w:rsidRDefault="00455E59" w:rsidP="005E6027">
      <w:pPr>
        <w:jc w:val="left"/>
      </w:pPr>
      <w:r w:rsidRPr="000968CC">
        <w:t>The following table detail</w:t>
      </w:r>
      <w:r w:rsidR="00852545">
        <w:t>s</w:t>
      </w:r>
      <w:r w:rsidRPr="000968CC">
        <w:t xml:space="preserve"> the additional estimates sought for the </w:t>
      </w:r>
      <w:r w:rsidR="00796877">
        <w:t>ACMA</w:t>
      </w:r>
      <w:r w:rsidR="00796877" w:rsidRPr="000968CC">
        <w:t xml:space="preserve"> </w:t>
      </w:r>
      <w:r w:rsidRPr="000968CC">
        <w:t>through Appropriation Bills No. 3</w:t>
      </w:r>
      <w:r w:rsidR="00796877">
        <w:t xml:space="preserve"> and 4</w:t>
      </w:r>
      <w:r w:rsidRPr="000968CC">
        <w:t>.</w:t>
      </w:r>
    </w:p>
    <w:p w14:paraId="4B729E7F" w14:textId="77777777" w:rsidR="00455E59" w:rsidRPr="00455E59" w:rsidRDefault="00455E59" w:rsidP="00455E59">
      <w:pPr>
        <w:keepNext/>
        <w:spacing w:after="20" w:line="240" w:lineRule="auto"/>
        <w:jc w:val="left"/>
        <w:rPr>
          <w:rFonts w:ascii="Arial" w:hAnsi="Arial"/>
          <w:b/>
          <w:color w:val="000000"/>
          <w:lang w:val="en-GB" w:eastAsia="x-none"/>
        </w:rPr>
      </w:pPr>
      <w:r w:rsidRPr="00455E59">
        <w:rPr>
          <w:rFonts w:ascii="Arial" w:hAnsi="Arial"/>
          <w:b/>
          <w:color w:val="000000"/>
          <w:lang w:val="x-none" w:eastAsia="x-none"/>
        </w:rPr>
        <w:t>Table 1.4: Appropriation Bill (No. 3) 202</w:t>
      </w:r>
      <w:r w:rsidRPr="00455E59">
        <w:rPr>
          <w:rFonts w:ascii="Arial" w:hAnsi="Arial"/>
          <w:b/>
          <w:color w:val="000000"/>
          <w:lang w:val="en-GB" w:eastAsia="x-none"/>
        </w:rPr>
        <w:t>1-22</w:t>
      </w:r>
    </w:p>
    <w:tbl>
      <w:tblPr>
        <w:tblW w:w="7657" w:type="dxa"/>
        <w:tblLook w:val="04A0" w:firstRow="1" w:lastRow="0" w:firstColumn="1" w:lastColumn="0" w:noHBand="0" w:noVBand="1"/>
      </w:tblPr>
      <w:tblGrid>
        <w:gridCol w:w="3119"/>
        <w:gridCol w:w="940"/>
        <w:gridCol w:w="880"/>
        <w:gridCol w:w="880"/>
        <w:gridCol w:w="919"/>
        <w:gridCol w:w="919"/>
      </w:tblGrid>
      <w:tr w:rsidR="005714D6" w:rsidRPr="005714D6" w14:paraId="010D3678" w14:textId="77777777" w:rsidTr="00B02F25">
        <w:trPr>
          <w:trHeight w:val="458"/>
        </w:trPr>
        <w:tc>
          <w:tcPr>
            <w:tcW w:w="3119" w:type="dxa"/>
            <w:tcBorders>
              <w:top w:val="single" w:sz="4" w:space="0" w:color="auto"/>
              <w:left w:val="nil"/>
              <w:bottom w:val="nil"/>
              <w:right w:val="nil"/>
            </w:tcBorders>
            <w:shd w:val="clear" w:color="auto" w:fill="auto"/>
            <w:noWrap/>
            <w:vAlign w:val="center"/>
            <w:hideMark/>
          </w:tcPr>
          <w:p w14:paraId="357301DF" w14:textId="77777777" w:rsidR="005714D6" w:rsidRPr="005714D6" w:rsidRDefault="005714D6" w:rsidP="005714D6">
            <w:pPr>
              <w:spacing w:after="0" w:line="240" w:lineRule="auto"/>
              <w:jc w:val="left"/>
              <w:rPr>
                <w:rFonts w:ascii="Arial" w:hAnsi="Arial" w:cs="Arial"/>
                <w:color w:val="000000"/>
                <w:sz w:val="16"/>
                <w:szCs w:val="16"/>
              </w:rPr>
            </w:pPr>
            <w:r w:rsidRPr="005714D6">
              <w:rPr>
                <w:rFonts w:ascii="Arial" w:hAnsi="Arial" w:cs="Arial"/>
                <w:color w:val="000000"/>
                <w:sz w:val="16"/>
                <w:szCs w:val="16"/>
              </w:rPr>
              <w:t> </w:t>
            </w:r>
          </w:p>
        </w:tc>
        <w:tc>
          <w:tcPr>
            <w:tcW w:w="940" w:type="dxa"/>
            <w:tcBorders>
              <w:top w:val="single" w:sz="4" w:space="0" w:color="auto"/>
              <w:left w:val="nil"/>
              <w:bottom w:val="single" w:sz="4" w:space="0" w:color="000000"/>
              <w:right w:val="nil"/>
            </w:tcBorders>
            <w:shd w:val="clear" w:color="auto" w:fill="auto"/>
            <w:vAlign w:val="center"/>
            <w:hideMark/>
          </w:tcPr>
          <w:p w14:paraId="181BA141" w14:textId="77777777" w:rsidR="005714D6" w:rsidRPr="00D413BA" w:rsidRDefault="005714D6" w:rsidP="005714D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2020-21</w:t>
            </w:r>
            <w:r w:rsidRPr="00D413BA">
              <w:rPr>
                <w:rFonts w:ascii="Arial" w:hAnsi="Arial" w:cs="Arial"/>
                <w:iCs/>
                <w:color w:val="000000"/>
                <w:sz w:val="16"/>
                <w:szCs w:val="16"/>
              </w:rPr>
              <w:br/>
              <w:t>Available</w:t>
            </w:r>
            <w:r w:rsidRPr="00D413BA">
              <w:rPr>
                <w:rFonts w:ascii="Arial" w:hAnsi="Arial" w:cs="Arial"/>
                <w:iCs/>
                <w:color w:val="000000"/>
                <w:sz w:val="16"/>
                <w:szCs w:val="16"/>
              </w:rPr>
              <w:br/>
              <w:t>$'000</w:t>
            </w:r>
          </w:p>
        </w:tc>
        <w:tc>
          <w:tcPr>
            <w:tcW w:w="880" w:type="dxa"/>
            <w:tcBorders>
              <w:top w:val="single" w:sz="4" w:space="0" w:color="auto"/>
              <w:left w:val="nil"/>
              <w:bottom w:val="single" w:sz="4" w:space="0" w:color="000000"/>
              <w:right w:val="nil"/>
            </w:tcBorders>
            <w:shd w:val="clear" w:color="auto" w:fill="auto"/>
            <w:vAlign w:val="center"/>
            <w:hideMark/>
          </w:tcPr>
          <w:p w14:paraId="7705FAE6" w14:textId="77777777" w:rsidR="005714D6" w:rsidRPr="005714D6" w:rsidRDefault="005714D6" w:rsidP="005714D6">
            <w:pPr>
              <w:spacing w:after="0" w:line="240" w:lineRule="auto"/>
              <w:jc w:val="right"/>
              <w:rPr>
                <w:rFonts w:ascii="Arial" w:hAnsi="Arial" w:cs="Arial"/>
                <w:color w:val="000000"/>
                <w:sz w:val="16"/>
                <w:szCs w:val="16"/>
              </w:rPr>
            </w:pPr>
            <w:r w:rsidRPr="005714D6">
              <w:rPr>
                <w:rFonts w:ascii="Arial" w:hAnsi="Arial" w:cs="Arial"/>
                <w:color w:val="000000"/>
                <w:sz w:val="16"/>
                <w:szCs w:val="16"/>
              </w:rPr>
              <w:t>2021-22</w:t>
            </w:r>
            <w:r w:rsidRPr="005714D6">
              <w:rPr>
                <w:rFonts w:ascii="Arial" w:hAnsi="Arial" w:cs="Arial"/>
                <w:color w:val="000000"/>
                <w:sz w:val="16"/>
                <w:szCs w:val="16"/>
              </w:rPr>
              <w:br/>
              <w:t>Budget</w:t>
            </w:r>
            <w:r w:rsidRPr="005714D6">
              <w:rPr>
                <w:rFonts w:ascii="Arial" w:hAnsi="Arial" w:cs="Arial"/>
                <w:color w:val="000000"/>
                <w:sz w:val="16"/>
                <w:szCs w:val="16"/>
              </w:rPr>
              <w:br/>
              <w:t>$'000</w:t>
            </w:r>
          </w:p>
        </w:tc>
        <w:tc>
          <w:tcPr>
            <w:tcW w:w="880" w:type="dxa"/>
            <w:tcBorders>
              <w:top w:val="single" w:sz="4" w:space="0" w:color="auto"/>
              <w:left w:val="nil"/>
              <w:bottom w:val="single" w:sz="4" w:space="0" w:color="000000"/>
              <w:right w:val="nil"/>
            </w:tcBorders>
            <w:shd w:val="clear" w:color="auto" w:fill="auto"/>
            <w:vAlign w:val="center"/>
            <w:hideMark/>
          </w:tcPr>
          <w:p w14:paraId="3B7743EA" w14:textId="77777777" w:rsidR="005714D6" w:rsidRPr="005714D6" w:rsidRDefault="005714D6" w:rsidP="005714D6">
            <w:pPr>
              <w:spacing w:after="0" w:line="240" w:lineRule="auto"/>
              <w:jc w:val="right"/>
              <w:rPr>
                <w:rFonts w:ascii="Arial" w:hAnsi="Arial" w:cs="Arial"/>
                <w:color w:val="000000"/>
                <w:sz w:val="16"/>
                <w:szCs w:val="16"/>
              </w:rPr>
            </w:pPr>
            <w:r w:rsidRPr="005714D6">
              <w:rPr>
                <w:rFonts w:ascii="Arial" w:hAnsi="Arial" w:cs="Arial"/>
                <w:color w:val="000000"/>
                <w:sz w:val="16"/>
                <w:szCs w:val="16"/>
              </w:rPr>
              <w:t>2021-22</w:t>
            </w:r>
            <w:r w:rsidRPr="005714D6">
              <w:rPr>
                <w:rFonts w:ascii="Arial" w:hAnsi="Arial" w:cs="Arial"/>
                <w:color w:val="000000"/>
                <w:sz w:val="16"/>
                <w:szCs w:val="16"/>
              </w:rPr>
              <w:br/>
              <w:t>Revised</w:t>
            </w:r>
            <w:r w:rsidRPr="005714D6">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6975334F" w14:textId="77777777" w:rsidR="005714D6" w:rsidRPr="005714D6" w:rsidRDefault="005714D6" w:rsidP="005714D6">
            <w:pPr>
              <w:spacing w:after="0" w:line="240" w:lineRule="auto"/>
              <w:jc w:val="right"/>
              <w:rPr>
                <w:rFonts w:ascii="Arial" w:hAnsi="Arial" w:cs="Arial"/>
                <w:color w:val="000000"/>
                <w:sz w:val="16"/>
                <w:szCs w:val="16"/>
              </w:rPr>
            </w:pPr>
            <w:r w:rsidRPr="005714D6">
              <w:rPr>
                <w:rFonts w:ascii="Arial" w:hAnsi="Arial" w:cs="Arial"/>
                <w:color w:val="000000"/>
                <w:sz w:val="16"/>
                <w:szCs w:val="16"/>
              </w:rPr>
              <w:t>Additional Estimates</w:t>
            </w:r>
            <w:r w:rsidRPr="005714D6">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503E4C98" w14:textId="77777777" w:rsidR="005714D6" w:rsidRPr="005714D6" w:rsidRDefault="005714D6" w:rsidP="005714D6">
            <w:pPr>
              <w:spacing w:after="0" w:line="240" w:lineRule="auto"/>
              <w:jc w:val="right"/>
              <w:rPr>
                <w:rFonts w:ascii="Arial" w:hAnsi="Arial" w:cs="Arial"/>
                <w:color w:val="000000"/>
                <w:sz w:val="16"/>
                <w:szCs w:val="16"/>
              </w:rPr>
            </w:pPr>
            <w:r w:rsidRPr="005714D6">
              <w:rPr>
                <w:rFonts w:ascii="Arial" w:hAnsi="Arial" w:cs="Arial"/>
                <w:color w:val="000000"/>
                <w:sz w:val="16"/>
                <w:szCs w:val="16"/>
              </w:rPr>
              <w:t>Reduced Estimates</w:t>
            </w:r>
            <w:r w:rsidRPr="005714D6">
              <w:rPr>
                <w:rFonts w:ascii="Arial" w:hAnsi="Arial" w:cs="Arial"/>
                <w:color w:val="000000"/>
                <w:sz w:val="16"/>
                <w:szCs w:val="16"/>
              </w:rPr>
              <w:br/>
              <w:t>$'000</w:t>
            </w:r>
          </w:p>
        </w:tc>
      </w:tr>
      <w:tr w:rsidR="005714D6" w:rsidRPr="005714D6" w14:paraId="2A5CC599" w14:textId="77777777" w:rsidTr="00B02F25">
        <w:trPr>
          <w:trHeight w:val="204"/>
        </w:trPr>
        <w:tc>
          <w:tcPr>
            <w:tcW w:w="3119" w:type="dxa"/>
            <w:tcBorders>
              <w:top w:val="nil"/>
              <w:left w:val="nil"/>
              <w:bottom w:val="nil"/>
              <w:right w:val="nil"/>
            </w:tcBorders>
            <w:shd w:val="clear" w:color="auto" w:fill="auto"/>
            <w:noWrap/>
            <w:vAlign w:val="center"/>
            <w:hideMark/>
          </w:tcPr>
          <w:p w14:paraId="72EF4580" w14:textId="77777777" w:rsidR="005714D6" w:rsidRPr="005714D6" w:rsidRDefault="005714D6" w:rsidP="005714D6">
            <w:pPr>
              <w:spacing w:after="0" w:line="240" w:lineRule="auto"/>
              <w:jc w:val="left"/>
              <w:rPr>
                <w:rFonts w:ascii="Arial" w:hAnsi="Arial" w:cs="Arial"/>
                <w:b/>
                <w:bCs/>
                <w:color w:val="000000"/>
                <w:sz w:val="16"/>
                <w:szCs w:val="16"/>
              </w:rPr>
            </w:pPr>
            <w:r w:rsidRPr="005714D6">
              <w:rPr>
                <w:rFonts w:ascii="Arial" w:hAnsi="Arial" w:cs="Arial"/>
                <w:b/>
                <w:bCs/>
                <w:color w:val="000000"/>
                <w:sz w:val="16"/>
                <w:szCs w:val="16"/>
              </w:rPr>
              <w:t>Administered items</w:t>
            </w:r>
          </w:p>
        </w:tc>
        <w:tc>
          <w:tcPr>
            <w:tcW w:w="940" w:type="dxa"/>
            <w:tcBorders>
              <w:top w:val="nil"/>
              <w:left w:val="nil"/>
              <w:bottom w:val="nil"/>
              <w:right w:val="nil"/>
            </w:tcBorders>
            <w:shd w:val="clear" w:color="auto" w:fill="auto"/>
            <w:noWrap/>
            <w:vAlign w:val="bottom"/>
            <w:hideMark/>
          </w:tcPr>
          <w:p w14:paraId="604A2A46" w14:textId="77777777" w:rsidR="005714D6" w:rsidRPr="005714D6" w:rsidRDefault="005714D6" w:rsidP="007469E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bottom"/>
            <w:hideMark/>
          </w:tcPr>
          <w:p w14:paraId="18449EAB" w14:textId="77777777" w:rsidR="005714D6" w:rsidRPr="005714D6" w:rsidRDefault="005714D6" w:rsidP="007469E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1B87B46E" w14:textId="77777777" w:rsidR="005714D6" w:rsidRPr="005714D6" w:rsidRDefault="005714D6" w:rsidP="007469EF">
            <w:pPr>
              <w:spacing w:after="0" w:line="240" w:lineRule="auto"/>
              <w:jc w:val="right"/>
              <w:rPr>
                <w:rFonts w:ascii="Arial" w:hAnsi="Arial" w:cs="Arial"/>
                <w:sz w:val="16"/>
                <w:szCs w:val="16"/>
              </w:rPr>
            </w:pPr>
          </w:p>
        </w:tc>
        <w:tc>
          <w:tcPr>
            <w:tcW w:w="919" w:type="dxa"/>
            <w:tcBorders>
              <w:top w:val="nil"/>
              <w:left w:val="nil"/>
              <w:bottom w:val="nil"/>
              <w:right w:val="nil"/>
            </w:tcBorders>
            <w:shd w:val="clear" w:color="000000" w:fill="E6E6E6"/>
            <w:noWrap/>
            <w:vAlign w:val="bottom"/>
            <w:hideMark/>
          </w:tcPr>
          <w:p w14:paraId="40219D2D" w14:textId="27B1612D" w:rsidR="005714D6" w:rsidRPr="005714D6" w:rsidRDefault="005714D6" w:rsidP="007469EF">
            <w:pPr>
              <w:spacing w:after="0" w:line="240" w:lineRule="auto"/>
              <w:jc w:val="right"/>
              <w:rPr>
                <w:rFonts w:ascii="Arial" w:hAnsi="Arial" w:cs="Arial"/>
                <w:color w:val="000000"/>
                <w:sz w:val="16"/>
                <w:szCs w:val="16"/>
              </w:rPr>
            </w:pPr>
          </w:p>
        </w:tc>
        <w:tc>
          <w:tcPr>
            <w:tcW w:w="919" w:type="dxa"/>
            <w:tcBorders>
              <w:top w:val="nil"/>
              <w:left w:val="nil"/>
              <w:bottom w:val="nil"/>
              <w:right w:val="nil"/>
            </w:tcBorders>
            <w:shd w:val="clear" w:color="000000" w:fill="E6E6E6"/>
            <w:noWrap/>
            <w:vAlign w:val="bottom"/>
            <w:hideMark/>
          </w:tcPr>
          <w:p w14:paraId="6497B08C" w14:textId="5AE9B5CA" w:rsidR="005714D6" w:rsidRPr="005714D6" w:rsidRDefault="005714D6" w:rsidP="007469EF">
            <w:pPr>
              <w:spacing w:after="0" w:line="240" w:lineRule="auto"/>
              <w:jc w:val="right"/>
              <w:rPr>
                <w:rFonts w:ascii="Arial" w:hAnsi="Arial" w:cs="Arial"/>
                <w:color w:val="000000"/>
                <w:sz w:val="16"/>
                <w:szCs w:val="16"/>
              </w:rPr>
            </w:pPr>
          </w:p>
        </w:tc>
      </w:tr>
      <w:tr w:rsidR="005714D6" w:rsidRPr="005714D6" w14:paraId="3BECA49A" w14:textId="77777777" w:rsidTr="00B02F25">
        <w:trPr>
          <w:trHeight w:val="204"/>
        </w:trPr>
        <w:tc>
          <w:tcPr>
            <w:tcW w:w="3119" w:type="dxa"/>
            <w:tcBorders>
              <w:top w:val="nil"/>
              <w:left w:val="nil"/>
              <w:bottom w:val="nil"/>
              <w:right w:val="nil"/>
            </w:tcBorders>
            <w:shd w:val="clear" w:color="auto" w:fill="auto"/>
            <w:vAlign w:val="center"/>
            <w:hideMark/>
          </w:tcPr>
          <w:p w14:paraId="22E63FAF" w14:textId="77777777" w:rsidR="007469EF" w:rsidRDefault="005714D6" w:rsidP="007469EF">
            <w:pPr>
              <w:spacing w:after="0" w:line="240" w:lineRule="auto"/>
              <w:ind w:left="113"/>
              <w:jc w:val="left"/>
              <w:rPr>
                <w:rFonts w:ascii="Arial" w:hAnsi="Arial" w:cs="Arial"/>
                <w:b/>
                <w:bCs/>
                <w:color w:val="000000"/>
                <w:sz w:val="16"/>
                <w:szCs w:val="16"/>
              </w:rPr>
            </w:pPr>
            <w:r w:rsidRPr="005714D6">
              <w:rPr>
                <w:rFonts w:ascii="Arial" w:hAnsi="Arial" w:cs="Arial"/>
                <w:b/>
                <w:bCs/>
                <w:color w:val="000000"/>
                <w:sz w:val="16"/>
                <w:szCs w:val="16"/>
              </w:rPr>
              <w:t xml:space="preserve">Outcome 1 </w:t>
            </w:r>
          </w:p>
          <w:p w14:paraId="44155726" w14:textId="44F26A56" w:rsidR="005714D6" w:rsidRPr="005714D6" w:rsidRDefault="005714D6" w:rsidP="007469EF">
            <w:pPr>
              <w:spacing w:after="0" w:line="240" w:lineRule="auto"/>
              <w:ind w:left="113"/>
              <w:jc w:val="left"/>
              <w:rPr>
                <w:rFonts w:ascii="Arial" w:hAnsi="Arial" w:cs="Arial"/>
                <w:b/>
                <w:bCs/>
                <w:color w:val="000000"/>
                <w:sz w:val="16"/>
                <w:szCs w:val="16"/>
              </w:rPr>
            </w:pPr>
            <w:r w:rsidRPr="005714D6">
              <w:rPr>
                <w:rFonts w:ascii="Arial" w:hAnsi="Arial" w:cs="Arial"/>
                <w:color w:val="000000"/>
                <w:sz w:val="16"/>
                <w:szCs w:val="16"/>
              </w:rPr>
              <w:t>A communications and media environment that balances the needs of industry and the Australian community through regulation, education and advice</w:t>
            </w:r>
          </w:p>
        </w:tc>
        <w:tc>
          <w:tcPr>
            <w:tcW w:w="940" w:type="dxa"/>
            <w:tcBorders>
              <w:top w:val="nil"/>
              <w:left w:val="nil"/>
              <w:bottom w:val="nil"/>
              <w:right w:val="nil"/>
            </w:tcBorders>
            <w:shd w:val="clear" w:color="auto" w:fill="auto"/>
            <w:noWrap/>
            <w:vAlign w:val="bottom"/>
            <w:hideMark/>
          </w:tcPr>
          <w:p w14:paraId="01BD1B1C" w14:textId="52EFFA4C" w:rsidR="005714D6" w:rsidRPr="005714D6" w:rsidRDefault="005714D6" w:rsidP="007469EF">
            <w:pPr>
              <w:spacing w:after="0" w:line="240" w:lineRule="auto"/>
              <w:jc w:val="right"/>
              <w:rPr>
                <w:rFonts w:ascii="Arial" w:hAnsi="Arial" w:cs="Arial"/>
                <w:color w:val="000000"/>
                <w:sz w:val="16"/>
                <w:szCs w:val="16"/>
              </w:rPr>
            </w:pPr>
            <w:r w:rsidRPr="005714D6">
              <w:rPr>
                <w:rFonts w:ascii="Arial" w:hAnsi="Arial" w:cs="Arial"/>
                <w:color w:val="000000"/>
                <w:sz w:val="16"/>
                <w:szCs w:val="16"/>
              </w:rPr>
              <w:t>12,988</w:t>
            </w:r>
          </w:p>
        </w:tc>
        <w:tc>
          <w:tcPr>
            <w:tcW w:w="880" w:type="dxa"/>
            <w:tcBorders>
              <w:top w:val="nil"/>
              <w:left w:val="nil"/>
              <w:bottom w:val="nil"/>
              <w:right w:val="nil"/>
            </w:tcBorders>
            <w:shd w:val="clear" w:color="auto" w:fill="auto"/>
            <w:noWrap/>
            <w:vAlign w:val="bottom"/>
            <w:hideMark/>
          </w:tcPr>
          <w:p w14:paraId="4EC5AD87" w14:textId="5B620F5F" w:rsidR="005714D6" w:rsidRPr="005714D6" w:rsidRDefault="005714D6" w:rsidP="007469EF">
            <w:pPr>
              <w:spacing w:after="0" w:line="240" w:lineRule="auto"/>
              <w:jc w:val="right"/>
              <w:rPr>
                <w:rFonts w:ascii="Arial" w:hAnsi="Arial" w:cs="Arial"/>
                <w:color w:val="000000"/>
                <w:sz w:val="16"/>
                <w:szCs w:val="16"/>
              </w:rPr>
            </w:pPr>
            <w:r w:rsidRPr="005714D6">
              <w:rPr>
                <w:rFonts w:ascii="Arial" w:hAnsi="Arial" w:cs="Arial"/>
                <w:color w:val="000000"/>
                <w:sz w:val="16"/>
                <w:szCs w:val="16"/>
              </w:rPr>
              <w:t>6,694</w:t>
            </w:r>
          </w:p>
        </w:tc>
        <w:tc>
          <w:tcPr>
            <w:tcW w:w="880" w:type="dxa"/>
            <w:tcBorders>
              <w:top w:val="nil"/>
              <w:left w:val="nil"/>
              <w:bottom w:val="nil"/>
              <w:right w:val="nil"/>
            </w:tcBorders>
            <w:shd w:val="clear" w:color="auto" w:fill="auto"/>
            <w:noWrap/>
            <w:vAlign w:val="bottom"/>
            <w:hideMark/>
          </w:tcPr>
          <w:p w14:paraId="109F0245" w14:textId="5BF4A094" w:rsidR="005714D6" w:rsidRPr="005714D6" w:rsidRDefault="005714D6" w:rsidP="007469EF">
            <w:pPr>
              <w:spacing w:after="0" w:line="240" w:lineRule="auto"/>
              <w:jc w:val="right"/>
              <w:rPr>
                <w:rFonts w:ascii="Arial" w:hAnsi="Arial" w:cs="Arial"/>
                <w:color w:val="000000"/>
                <w:sz w:val="16"/>
                <w:szCs w:val="16"/>
              </w:rPr>
            </w:pPr>
            <w:r w:rsidRPr="005714D6">
              <w:rPr>
                <w:rFonts w:ascii="Arial" w:hAnsi="Arial" w:cs="Arial"/>
                <w:color w:val="000000"/>
                <w:sz w:val="16"/>
                <w:szCs w:val="16"/>
              </w:rPr>
              <w:t>6,694</w:t>
            </w:r>
          </w:p>
        </w:tc>
        <w:tc>
          <w:tcPr>
            <w:tcW w:w="919" w:type="dxa"/>
            <w:tcBorders>
              <w:top w:val="nil"/>
              <w:left w:val="nil"/>
              <w:bottom w:val="nil"/>
              <w:right w:val="nil"/>
            </w:tcBorders>
            <w:shd w:val="clear" w:color="000000" w:fill="E6E6E6"/>
            <w:noWrap/>
            <w:vAlign w:val="bottom"/>
            <w:hideMark/>
          </w:tcPr>
          <w:p w14:paraId="3F26BC9A" w14:textId="52C12B46" w:rsidR="005714D6" w:rsidRPr="005714D6" w:rsidRDefault="005714D6" w:rsidP="007469EF">
            <w:pPr>
              <w:spacing w:after="0" w:line="240" w:lineRule="auto"/>
              <w:jc w:val="right"/>
              <w:rPr>
                <w:rFonts w:ascii="Arial" w:hAnsi="Arial" w:cs="Arial"/>
                <w:color w:val="000000"/>
                <w:sz w:val="16"/>
                <w:szCs w:val="16"/>
              </w:rPr>
            </w:pPr>
            <w:r w:rsidRPr="005714D6">
              <w:rPr>
                <w:rFonts w:ascii="Arial" w:hAnsi="Arial" w:cs="Arial"/>
                <w:color w:val="000000"/>
                <w:sz w:val="16"/>
                <w:szCs w:val="16"/>
              </w:rPr>
              <w:t>-</w:t>
            </w:r>
          </w:p>
        </w:tc>
        <w:tc>
          <w:tcPr>
            <w:tcW w:w="919" w:type="dxa"/>
            <w:tcBorders>
              <w:top w:val="nil"/>
              <w:left w:val="nil"/>
              <w:bottom w:val="nil"/>
              <w:right w:val="nil"/>
            </w:tcBorders>
            <w:shd w:val="clear" w:color="000000" w:fill="E6E6E6"/>
            <w:noWrap/>
            <w:vAlign w:val="bottom"/>
            <w:hideMark/>
          </w:tcPr>
          <w:p w14:paraId="4C1E27E0" w14:textId="57A610A4" w:rsidR="005714D6" w:rsidRPr="005714D6" w:rsidRDefault="005714D6" w:rsidP="007469EF">
            <w:pPr>
              <w:spacing w:after="0" w:line="240" w:lineRule="auto"/>
              <w:jc w:val="right"/>
              <w:rPr>
                <w:rFonts w:ascii="Arial" w:hAnsi="Arial" w:cs="Arial"/>
                <w:color w:val="000000"/>
                <w:sz w:val="16"/>
                <w:szCs w:val="16"/>
              </w:rPr>
            </w:pPr>
            <w:r w:rsidRPr="005714D6">
              <w:rPr>
                <w:rFonts w:ascii="Arial" w:hAnsi="Arial" w:cs="Arial"/>
                <w:color w:val="000000"/>
                <w:sz w:val="16"/>
                <w:szCs w:val="16"/>
              </w:rPr>
              <w:t>-</w:t>
            </w:r>
          </w:p>
        </w:tc>
      </w:tr>
      <w:tr w:rsidR="005714D6" w:rsidRPr="005714D6" w14:paraId="75911953" w14:textId="77777777" w:rsidTr="00B02F25">
        <w:trPr>
          <w:trHeight w:val="204"/>
        </w:trPr>
        <w:tc>
          <w:tcPr>
            <w:tcW w:w="3119" w:type="dxa"/>
            <w:tcBorders>
              <w:top w:val="nil"/>
              <w:left w:val="nil"/>
              <w:bottom w:val="nil"/>
              <w:right w:val="nil"/>
            </w:tcBorders>
            <w:shd w:val="clear" w:color="auto" w:fill="auto"/>
            <w:noWrap/>
            <w:vAlign w:val="center"/>
            <w:hideMark/>
          </w:tcPr>
          <w:p w14:paraId="007374D3" w14:textId="312348B4" w:rsidR="005714D6" w:rsidRPr="005714D6" w:rsidRDefault="00B02F25" w:rsidP="005714D6">
            <w:pPr>
              <w:spacing w:after="0" w:line="240" w:lineRule="auto"/>
              <w:jc w:val="left"/>
              <w:rPr>
                <w:rFonts w:ascii="Arial" w:hAnsi="Arial" w:cs="Arial"/>
                <w:b/>
                <w:bCs/>
                <w:color w:val="000000"/>
                <w:sz w:val="16"/>
                <w:szCs w:val="16"/>
              </w:rPr>
            </w:pPr>
            <w:r>
              <w:rPr>
                <w:rFonts w:ascii="Arial" w:hAnsi="Arial" w:cs="Arial"/>
                <w:b/>
                <w:bCs/>
                <w:color w:val="000000"/>
                <w:sz w:val="16"/>
                <w:szCs w:val="16"/>
              </w:rPr>
              <w:t>Total A</w:t>
            </w:r>
            <w:r w:rsidR="005714D6" w:rsidRPr="005714D6">
              <w:rPr>
                <w:rFonts w:ascii="Arial" w:hAnsi="Arial" w:cs="Arial"/>
                <w:b/>
                <w:bCs/>
                <w:color w:val="000000"/>
                <w:sz w:val="16"/>
                <w:szCs w:val="16"/>
              </w:rPr>
              <w:t>dministered</w:t>
            </w:r>
          </w:p>
        </w:tc>
        <w:tc>
          <w:tcPr>
            <w:tcW w:w="940" w:type="dxa"/>
            <w:tcBorders>
              <w:top w:val="single" w:sz="4" w:space="0" w:color="000000"/>
              <w:left w:val="nil"/>
              <w:bottom w:val="single" w:sz="4" w:space="0" w:color="000000"/>
              <w:right w:val="nil"/>
            </w:tcBorders>
            <w:shd w:val="clear" w:color="auto" w:fill="auto"/>
            <w:noWrap/>
            <w:vAlign w:val="bottom"/>
            <w:hideMark/>
          </w:tcPr>
          <w:p w14:paraId="68558410" w14:textId="18D95938"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12,988</w:t>
            </w:r>
          </w:p>
        </w:tc>
        <w:tc>
          <w:tcPr>
            <w:tcW w:w="880" w:type="dxa"/>
            <w:tcBorders>
              <w:top w:val="single" w:sz="4" w:space="0" w:color="000000"/>
              <w:left w:val="nil"/>
              <w:bottom w:val="single" w:sz="4" w:space="0" w:color="000000"/>
              <w:right w:val="nil"/>
            </w:tcBorders>
            <w:shd w:val="clear" w:color="auto" w:fill="auto"/>
            <w:noWrap/>
            <w:vAlign w:val="bottom"/>
            <w:hideMark/>
          </w:tcPr>
          <w:p w14:paraId="33B8499C" w14:textId="65407390"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6,694</w:t>
            </w:r>
          </w:p>
        </w:tc>
        <w:tc>
          <w:tcPr>
            <w:tcW w:w="880" w:type="dxa"/>
            <w:tcBorders>
              <w:top w:val="single" w:sz="4" w:space="0" w:color="000000"/>
              <w:left w:val="nil"/>
              <w:bottom w:val="single" w:sz="4" w:space="0" w:color="000000"/>
              <w:right w:val="nil"/>
            </w:tcBorders>
            <w:shd w:val="clear" w:color="auto" w:fill="auto"/>
            <w:noWrap/>
            <w:vAlign w:val="bottom"/>
            <w:hideMark/>
          </w:tcPr>
          <w:p w14:paraId="3FECA4E9" w14:textId="749E3A52"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6,694</w:t>
            </w:r>
          </w:p>
        </w:tc>
        <w:tc>
          <w:tcPr>
            <w:tcW w:w="919" w:type="dxa"/>
            <w:tcBorders>
              <w:top w:val="single" w:sz="4" w:space="0" w:color="000000"/>
              <w:left w:val="nil"/>
              <w:bottom w:val="single" w:sz="4" w:space="0" w:color="000000"/>
              <w:right w:val="nil"/>
            </w:tcBorders>
            <w:shd w:val="clear" w:color="000000" w:fill="E6E6E6"/>
            <w:noWrap/>
            <w:vAlign w:val="bottom"/>
            <w:hideMark/>
          </w:tcPr>
          <w:p w14:paraId="747F642B" w14:textId="753041EA"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w:t>
            </w:r>
          </w:p>
        </w:tc>
        <w:tc>
          <w:tcPr>
            <w:tcW w:w="919" w:type="dxa"/>
            <w:tcBorders>
              <w:top w:val="single" w:sz="4" w:space="0" w:color="000000"/>
              <w:left w:val="nil"/>
              <w:bottom w:val="single" w:sz="4" w:space="0" w:color="000000"/>
              <w:right w:val="nil"/>
            </w:tcBorders>
            <w:shd w:val="clear" w:color="000000" w:fill="E6E6E6"/>
            <w:noWrap/>
            <w:vAlign w:val="bottom"/>
            <w:hideMark/>
          </w:tcPr>
          <w:p w14:paraId="5632CA8B" w14:textId="575D9E06"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w:t>
            </w:r>
          </w:p>
        </w:tc>
      </w:tr>
      <w:tr w:rsidR="005714D6" w:rsidRPr="005714D6" w14:paraId="75BE6F42" w14:textId="77777777" w:rsidTr="00B02F25">
        <w:trPr>
          <w:trHeight w:val="204"/>
        </w:trPr>
        <w:tc>
          <w:tcPr>
            <w:tcW w:w="3119" w:type="dxa"/>
            <w:tcBorders>
              <w:top w:val="nil"/>
              <w:left w:val="nil"/>
              <w:bottom w:val="nil"/>
              <w:right w:val="nil"/>
            </w:tcBorders>
            <w:shd w:val="clear" w:color="auto" w:fill="auto"/>
            <w:noWrap/>
            <w:vAlign w:val="center"/>
            <w:hideMark/>
          </w:tcPr>
          <w:p w14:paraId="5A857565" w14:textId="1C9F519B" w:rsidR="005714D6" w:rsidRPr="005714D6" w:rsidRDefault="008863D9" w:rsidP="005714D6">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5714D6" w:rsidRPr="005714D6">
              <w:rPr>
                <w:rFonts w:ascii="Arial" w:hAnsi="Arial" w:cs="Arial"/>
                <w:b/>
                <w:bCs/>
                <w:color w:val="000000"/>
                <w:sz w:val="16"/>
                <w:szCs w:val="16"/>
              </w:rPr>
              <w:t>al programs</w:t>
            </w:r>
          </w:p>
        </w:tc>
        <w:tc>
          <w:tcPr>
            <w:tcW w:w="940" w:type="dxa"/>
            <w:tcBorders>
              <w:top w:val="nil"/>
              <w:left w:val="nil"/>
              <w:bottom w:val="nil"/>
              <w:right w:val="nil"/>
            </w:tcBorders>
            <w:shd w:val="clear" w:color="auto" w:fill="auto"/>
            <w:noWrap/>
            <w:vAlign w:val="bottom"/>
            <w:hideMark/>
          </w:tcPr>
          <w:p w14:paraId="4CF5816D" w14:textId="77777777" w:rsidR="005714D6" w:rsidRPr="005714D6" w:rsidRDefault="005714D6" w:rsidP="007469EF">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bottom"/>
            <w:hideMark/>
          </w:tcPr>
          <w:p w14:paraId="0173155B" w14:textId="77777777" w:rsidR="005714D6" w:rsidRPr="005714D6" w:rsidRDefault="005714D6" w:rsidP="007469EF">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70706F8" w14:textId="77777777" w:rsidR="005714D6" w:rsidRPr="005714D6" w:rsidRDefault="005714D6" w:rsidP="007469EF">
            <w:pPr>
              <w:spacing w:after="0" w:line="240" w:lineRule="auto"/>
              <w:jc w:val="right"/>
              <w:rPr>
                <w:rFonts w:ascii="Arial" w:hAnsi="Arial" w:cs="Arial"/>
                <w:sz w:val="16"/>
                <w:szCs w:val="16"/>
              </w:rPr>
            </w:pPr>
          </w:p>
        </w:tc>
        <w:tc>
          <w:tcPr>
            <w:tcW w:w="919" w:type="dxa"/>
            <w:tcBorders>
              <w:top w:val="nil"/>
              <w:left w:val="nil"/>
              <w:bottom w:val="nil"/>
              <w:right w:val="nil"/>
            </w:tcBorders>
            <w:shd w:val="clear" w:color="000000" w:fill="E6E6E6"/>
            <w:noWrap/>
            <w:vAlign w:val="bottom"/>
            <w:hideMark/>
          </w:tcPr>
          <w:p w14:paraId="23A339CE" w14:textId="3D843B4C" w:rsidR="005714D6" w:rsidRPr="005714D6" w:rsidRDefault="005714D6" w:rsidP="007469EF">
            <w:pPr>
              <w:spacing w:after="0" w:line="240" w:lineRule="auto"/>
              <w:jc w:val="right"/>
              <w:rPr>
                <w:rFonts w:ascii="Arial" w:hAnsi="Arial" w:cs="Arial"/>
                <w:color w:val="000000"/>
                <w:sz w:val="16"/>
                <w:szCs w:val="16"/>
              </w:rPr>
            </w:pPr>
          </w:p>
        </w:tc>
        <w:tc>
          <w:tcPr>
            <w:tcW w:w="919" w:type="dxa"/>
            <w:tcBorders>
              <w:top w:val="nil"/>
              <w:left w:val="nil"/>
              <w:bottom w:val="nil"/>
              <w:right w:val="nil"/>
            </w:tcBorders>
            <w:shd w:val="clear" w:color="000000" w:fill="E6E6E6"/>
            <w:noWrap/>
            <w:vAlign w:val="bottom"/>
            <w:hideMark/>
          </w:tcPr>
          <w:p w14:paraId="47ED4D61" w14:textId="14E3BAC3" w:rsidR="005714D6" w:rsidRPr="005714D6" w:rsidRDefault="005714D6" w:rsidP="007469EF">
            <w:pPr>
              <w:spacing w:after="0" w:line="240" w:lineRule="auto"/>
              <w:jc w:val="right"/>
              <w:rPr>
                <w:rFonts w:ascii="Arial" w:hAnsi="Arial" w:cs="Arial"/>
                <w:color w:val="000000"/>
                <w:sz w:val="16"/>
                <w:szCs w:val="16"/>
              </w:rPr>
            </w:pPr>
          </w:p>
        </w:tc>
      </w:tr>
      <w:tr w:rsidR="005714D6" w:rsidRPr="005714D6" w14:paraId="0DB7C311" w14:textId="77777777" w:rsidTr="00B02F25">
        <w:trPr>
          <w:trHeight w:val="204"/>
        </w:trPr>
        <w:tc>
          <w:tcPr>
            <w:tcW w:w="3119" w:type="dxa"/>
            <w:tcBorders>
              <w:top w:val="nil"/>
              <w:left w:val="nil"/>
              <w:bottom w:val="nil"/>
              <w:right w:val="nil"/>
            </w:tcBorders>
            <w:shd w:val="clear" w:color="auto" w:fill="auto"/>
            <w:vAlign w:val="center"/>
            <w:hideMark/>
          </w:tcPr>
          <w:p w14:paraId="0B8B5455" w14:textId="77777777" w:rsidR="007469EF" w:rsidRDefault="005714D6" w:rsidP="007469EF">
            <w:pPr>
              <w:spacing w:after="0" w:line="240" w:lineRule="auto"/>
              <w:ind w:left="113"/>
              <w:jc w:val="left"/>
              <w:rPr>
                <w:rFonts w:ascii="Arial" w:hAnsi="Arial" w:cs="Arial"/>
                <w:b/>
                <w:bCs/>
                <w:color w:val="000000"/>
                <w:sz w:val="16"/>
                <w:szCs w:val="16"/>
              </w:rPr>
            </w:pPr>
            <w:r w:rsidRPr="005714D6">
              <w:rPr>
                <w:rFonts w:ascii="Arial" w:hAnsi="Arial" w:cs="Arial"/>
                <w:b/>
                <w:bCs/>
                <w:color w:val="000000"/>
                <w:sz w:val="16"/>
                <w:szCs w:val="16"/>
              </w:rPr>
              <w:t>Outcome 1</w:t>
            </w:r>
          </w:p>
          <w:p w14:paraId="25BF1BD5" w14:textId="4EE1D9FB" w:rsidR="005714D6" w:rsidRPr="005714D6" w:rsidRDefault="005714D6" w:rsidP="007469EF">
            <w:pPr>
              <w:spacing w:after="0" w:line="240" w:lineRule="auto"/>
              <w:ind w:left="113"/>
              <w:jc w:val="left"/>
              <w:rPr>
                <w:rFonts w:ascii="Arial" w:hAnsi="Arial" w:cs="Arial"/>
                <w:b/>
                <w:bCs/>
                <w:color w:val="000000"/>
                <w:sz w:val="16"/>
                <w:szCs w:val="16"/>
              </w:rPr>
            </w:pPr>
            <w:r w:rsidRPr="005714D6">
              <w:rPr>
                <w:rFonts w:ascii="Arial" w:hAnsi="Arial" w:cs="Arial"/>
                <w:color w:val="000000"/>
                <w:sz w:val="16"/>
                <w:szCs w:val="16"/>
              </w:rPr>
              <w:t>A communications and media environment that balances the needs of industry and the Australian community through regulation, education and advice</w:t>
            </w:r>
          </w:p>
        </w:tc>
        <w:tc>
          <w:tcPr>
            <w:tcW w:w="940" w:type="dxa"/>
            <w:tcBorders>
              <w:top w:val="nil"/>
              <w:left w:val="nil"/>
              <w:bottom w:val="nil"/>
              <w:right w:val="nil"/>
            </w:tcBorders>
            <w:shd w:val="clear" w:color="auto" w:fill="auto"/>
            <w:noWrap/>
            <w:vAlign w:val="bottom"/>
            <w:hideMark/>
          </w:tcPr>
          <w:p w14:paraId="2F9B80BD" w14:textId="7F8090BF" w:rsidR="005714D6" w:rsidRPr="005714D6" w:rsidRDefault="005714D6" w:rsidP="007469EF">
            <w:pPr>
              <w:spacing w:after="0" w:line="240" w:lineRule="auto"/>
              <w:jc w:val="right"/>
              <w:rPr>
                <w:rFonts w:ascii="Arial" w:hAnsi="Arial" w:cs="Arial"/>
                <w:color w:val="000000"/>
                <w:sz w:val="16"/>
                <w:szCs w:val="16"/>
              </w:rPr>
            </w:pPr>
            <w:r w:rsidRPr="005714D6">
              <w:rPr>
                <w:rFonts w:ascii="Arial" w:hAnsi="Arial" w:cs="Arial"/>
                <w:color w:val="000000"/>
                <w:sz w:val="16"/>
                <w:szCs w:val="16"/>
              </w:rPr>
              <w:t>114,082</w:t>
            </w:r>
          </w:p>
        </w:tc>
        <w:tc>
          <w:tcPr>
            <w:tcW w:w="880" w:type="dxa"/>
            <w:tcBorders>
              <w:top w:val="nil"/>
              <w:left w:val="nil"/>
              <w:bottom w:val="nil"/>
              <w:right w:val="nil"/>
            </w:tcBorders>
            <w:shd w:val="clear" w:color="auto" w:fill="auto"/>
            <w:noWrap/>
            <w:vAlign w:val="bottom"/>
            <w:hideMark/>
          </w:tcPr>
          <w:p w14:paraId="7BA69BA3" w14:textId="023DDB4A" w:rsidR="005714D6" w:rsidRPr="005714D6" w:rsidRDefault="005714D6" w:rsidP="007469EF">
            <w:pPr>
              <w:spacing w:after="0" w:line="240" w:lineRule="auto"/>
              <w:jc w:val="right"/>
              <w:rPr>
                <w:rFonts w:ascii="Arial" w:hAnsi="Arial" w:cs="Arial"/>
                <w:color w:val="000000"/>
                <w:sz w:val="16"/>
                <w:szCs w:val="16"/>
              </w:rPr>
            </w:pPr>
            <w:r w:rsidRPr="005714D6">
              <w:rPr>
                <w:rFonts w:ascii="Arial" w:hAnsi="Arial" w:cs="Arial"/>
                <w:color w:val="000000"/>
                <w:sz w:val="16"/>
                <w:szCs w:val="16"/>
              </w:rPr>
              <w:t>135,657</w:t>
            </w:r>
          </w:p>
        </w:tc>
        <w:tc>
          <w:tcPr>
            <w:tcW w:w="880" w:type="dxa"/>
            <w:tcBorders>
              <w:top w:val="nil"/>
              <w:left w:val="nil"/>
              <w:bottom w:val="nil"/>
              <w:right w:val="nil"/>
            </w:tcBorders>
            <w:shd w:val="clear" w:color="auto" w:fill="auto"/>
            <w:noWrap/>
            <w:vAlign w:val="bottom"/>
            <w:hideMark/>
          </w:tcPr>
          <w:p w14:paraId="41ADB945" w14:textId="1A124894" w:rsidR="005714D6" w:rsidRPr="005714D6" w:rsidRDefault="005714D6" w:rsidP="007469EF">
            <w:pPr>
              <w:spacing w:after="0" w:line="240" w:lineRule="auto"/>
              <w:jc w:val="right"/>
              <w:rPr>
                <w:rFonts w:ascii="Arial" w:hAnsi="Arial" w:cs="Arial"/>
                <w:color w:val="000000"/>
                <w:sz w:val="16"/>
                <w:szCs w:val="16"/>
              </w:rPr>
            </w:pPr>
            <w:r w:rsidRPr="005714D6">
              <w:rPr>
                <w:rFonts w:ascii="Arial" w:hAnsi="Arial" w:cs="Arial"/>
                <w:color w:val="000000"/>
                <w:sz w:val="16"/>
                <w:szCs w:val="16"/>
              </w:rPr>
              <w:t>137,170</w:t>
            </w:r>
          </w:p>
        </w:tc>
        <w:tc>
          <w:tcPr>
            <w:tcW w:w="919" w:type="dxa"/>
            <w:tcBorders>
              <w:top w:val="nil"/>
              <w:left w:val="nil"/>
              <w:bottom w:val="nil"/>
              <w:right w:val="nil"/>
            </w:tcBorders>
            <w:shd w:val="clear" w:color="000000" w:fill="E6E6E6"/>
            <w:noWrap/>
            <w:vAlign w:val="bottom"/>
            <w:hideMark/>
          </w:tcPr>
          <w:p w14:paraId="40A96C0D" w14:textId="4A770D11" w:rsidR="005714D6" w:rsidRPr="005714D6" w:rsidRDefault="005714D6" w:rsidP="007469EF">
            <w:pPr>
              <w:spacing w:after="0" w:line="240" w:lineRule="auto"/>
              <w:jc w:val="right"/>
              <w:rPr>
                <w:rFonts w:ascii="Arial" w:hAnsi="Arial" w:cs="Arial"/>
                <w:color w:val="000000"/>
                <w:sz w:val="16"/>
                <w:szCs w:val="16"/>
              </w:rPr>
            </w:pPr>
            <w:r w:rsidRPr="005714D6">
              <w:rPr>
                <w:rFonts w:ascii="Arial" w:hAnsi="Arial" w:cs="Arial"/>
                <w:color w:val="000000"/>
                <w:sz w:val="16"/>
                <w:szCs w:val="16"/>
              </w:rPr>
              <w:t>1,513</w:t>
            </w:r>
          </w:p>
        </w:tc>
        <w:tc>
          <w:tcPr>
            <w:tcW w:w="919" w:type="dxa"/>
            <w:tcBorders>
              <w:top w:val="nil"/>
              <w:left w:val="nil"/>
              <w:bottom w:val="nil"/>
              <w:right w:val="nil"/>
            </w:tcBorders>
            <w:shd w:val="clear" w:color="000000" w:fill="E6E6E6"/>
            <w:noWrap/>
            <w:vAlign w:val="bottom"/>
            <w:hideMark/>
          </w:tcPr>
          <w:p w14:paraId="3EA2FC59" w14:textId="543D119A" w:rsidR="005714D6" w:rsidRPr="005714D6" w:rsidRDefault="005714D6" w:rsidP="007469EF">
            <w:pPr>
              <w:spacing w:after="0" w:line="240" w:lineRule="auto"/>
              <w:jc w:val="right"/>
              <w:rPr>
                <w:rFonts w:ascii="Arial" w:hAnsi="Arial" w:cs="Arial"/>
                <w:color w:val="000000"/>
                <w:sz w:val="16"/>
                <w:szCs w:val="16"/>
              </w:rPr>
            </w:pPr>
            <w:r w:rsidRPr="005714D6">
              <w:rPr>
                <w:rFonts w:ascii="Arial" w:hAnsi="Arial" w:cs="Arial"/>
                <w:color w:val="000000"/>
                <w:sz w:val="16"/>
                <w:szCs w:val="16"/>
              </w:rPr>
              <w:t>-</w:t>
            </w:r>
          </w:p>
        </w:tc>
      </w:tr>
      <w:tr w:rsidR="005714D6" w:rsidRPr="005714D6" w14:paraId="36FCBFD5" w14:textId="77777777" w:rsidTr="00B02F25">
        <w:trPr>
          <w:trHeight w:val="204"/>
        </w:trPr>
        <w:tc>
          <w:tcPr>
            <w:tcW w:w="3119" w:type="dxa"/>
            <w:tcBorders>
              <w:top w:val="nil"/>
              <w:left w:val="nil"/>
              <w:bottom w:val="nil"/>
              <w:right w:val="nil"/>
            </w:tcBorders>
            <w:shd w:val="clear" w:color="auto" w:fill="auto"/>
            <w:noWrap/>
            <w:vAlign w:val="center"/>
            <w:hideMark/>
          </w:tcPr>
          <w:p w14:paraId="5DC329C2" w14:textId="03044B96" w:rsidR="005714D6" w:rsidRPr="005714D6" w:rsidRDefault="005714D6" w:rsidP="005714D6">
            <w:pPr>
              <w:spacing w:after="0" w:line="240" w:lineRule="auto"/>
              <w:jc w:val="left"/>
              <w:rPr>
                <w:rFonts w:ascii="Arial" w:hAnsi="Arial" w:cs="Arial"/>
                <w:b/>
                <w:bCs/>
                <w:color w:val="000000"/>
                <w:sz w:val="16"/>
                <w:szCs w:val="16"/>
              </w:rPr>
            </w:pPr>
            <w:r w:rsidRPr="005714D6">
              <w:rPr>
                <w:rFonts w:ascii="Arial" w:hAnsi="Arial" w:cs="Arial"/>
                <w:b/>
                <w:bCs/>
                <w:color w:val="000000"/>
                <w:sz w:val="16"/>
                <w:szCs w:val="16"/>
              </w:rPr>
              <w:t xml:space="preserve">Total </w:t>
            </w:r>
            <w:r w:rsidR="00D94F71">
              <w:rPr>
                <w:rFonts w:ascii="Arial" w:hAnsi="Arial" w:cs="Arial"/>
                <w:b/>
                <w:bCs/>
                <w:color w:val="000000"/>
                <w:sz w:val="16"/>
                <w:szCs w:val="16"/>
              </w:rPr>
              <w:t>D</w:t>
            </w:r>
            <w:r w:rsidR="008863D9">
              <w:rPr>
                <w:rFonts w:ascii="Arial" w:hAnsi="Arial" w:cs="Arial"/>
                <w:b/>
                <w:bCs/>
                <w:color w:val="000000"/>
                <w:sz w:val="16"/>
                <w:szCs w:val="16"/>
              </w:rPr>
              <w:t>epartment</w:t>
            </w:r>
            <w:r w:rsidRPr="005714D6">
              <w:rPr>
                <w:rFonts w:ascii="Arial" w:hAnsi="Arial" w:cs="Arial"/>
                <w:b/>
                <w:bCs/>
                <w:color w:val="000000"/>
                <w:sz w:val="16"/>
                <w:szCs w:val="16"/>
              </w:rPr>
              <w:t>al</w:t>
            </w:r>
          </w:p>
        </w:tc>
        <w:tc>
          <w:tcPr>
            <w:tcW w:w="940" w:type="dxa"/>
            <w:tcBorders>
              <w:top w:val="single" w:sz="4" w:space="0" w:color="000000"/>
              <w:left w:val="nil"/>
              <w:bottom w:val="single" w:sz="4" w:space="0" w:color="000000"/>
              <w:right w:val="nil"/>
            </w:tcBorders>
            <w:shd w:val="clear" w:color="auto" w:fill="auto"/>
            <w:noWrap/>
            <w:vAlign w:val="bottom"/>
            <w:hideMark/>
          </w:tcPr>
          <w:p w14:paraId="2325D55D" w14:textId="45D92546"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114,082</w:t>
            </w:r>
          </w:p>
        </w:tc>
        <w:tc>
          <w:tcPr>
            <w:tcW w:w="880" w:type="dxa"/>
            <w:tcBorders>
              <w:top w:val="single" w:sz="4" w:space="0" w:color="000000"/>
              <w:left w:val="nil"/>
              <w:bottom w:val="single" w:sz="4" w:space="0" w:color="000000"/>
              <w:right w:val="nil"/>
            </w:tcBorders>
            <w:shd w:val="clear" w:color="auto" w:fill="auto"/>
            <w:noWrap/>
            <w:vAlign w:val="bottom"/>
            <w:hideMark/>
          </w:tcPr>
          <w:p w14:paraId="7D771B1C" w14:textId="3677D096"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135,657</w:t>
            </w:r>
          </w:p>
        </w:tc>
        <w:tc>
          <w:tcPr>
            <w:tcW w:w="880" w:type="dxa"/>
            <w:tcBorders>
              <w:top w:val="single" w:sz="4" w:space="0" w:color="000000"/>
              <w:left w:val="nil"/>
              <w:bottom w:val="single" w:sz="4" w:space="0" w:color="000000"/>
              <w:right w:val="nil"/>
            </w:tcBorders>
            <w:shd w:val="clear" w:color="auto" w:fill="auto"/>
            <w:noWrap/>
            <w:vAlign w:val="bottom"/>
            <w:hideMark/>
          </w:tcPr>
          <w:p w14:paraId="5D580891" w14:textId="2D89E262"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137,170</w:t>
            </w:r>
          </w:p>
        </w:tc>
        <w:tc>
          <w:tcPr>
            <w:tcW w:w="919" w:type="dxa"/>
            <w:tcBorders>
              <w:top w:val="single" w:sz="4" w:space="0" w:color="000000"/>
              <w:left w:val="nil"/>
              <w:bottom w:val="single" w:sz="4" w:space="0" w:color="000000"/>
              <w:right w:val="nil"/>
            </w:tcBorders>
            <w:shd w:val="clear" w:color="000000" w:fill="E6E6E6"/>
            <w:noWrap/>
            <w:vAlign w:val="bottom"/>
            <w:hideMark/>
          </w:tcPr>
          <w:p w14:paraId="154D8536" w14:textId="1DBEA5EA"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1,513</w:t>
            </w:r>
          </w:p>
        </w:tc>
        <w:tc>
          <w:tcPr>
            <w:tcW w:w="919" w:type="dxa"/>
            <w:tcBorders>
              <w:top w:val="single" w:sz="4" w:space="0" w:color="000000"/>
              <w:left w:val="nil"/>
              <w:bottom w:val="single" w:sz="4" w:space="0" w:color="000000"/>
              <w:right w:val="nil"/>
            </w:tcBorders>
            <w:shd w:val="clear" w:color="000000" w:fill="E6E6E6"/>
            <w:noWrap/>
            <w:vAlign w:val="bottom"/>
            <w:hideMark/>
          </w:tcPr>
          <w:p w14:paraId="59FC169F" w14:textId="35EFD375"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w:t>
            </w:r>
          </w:p>
        </w:tc>
      </w:tr>
      <w:tr w:rsidR="005714D6" w:rsidRPr="005714D6" w14:paraId="656D922A" w14:textId="77777777" w:rsidTr="00B02F25">
        <w:trPr>
          <w:trHeight w:val="204"/>
        </w:trPr>
        <w:tc>
          <w:tcPr>
            <w:tcW w:w="3119" w:type="dxa"/>
            <w:tcBorders>
              <w:top w:val="nil"/>
              <w:left w:val="nil"/>
              <w:bottom w:val="single" w:sz="4" w:space="0" w:color="000000"/>
              <w:right w:val="nil"/>
            </w:tcBorders>
            <w:shd w:val="clear" w:color="auto" w:fill="auto"/>
            <w:vAlign w:val="center"/>
            <w:hideMark/>
          </w:tcPr>
          <w:p w14:paraId="195821B4" w14:textId="426F08E9" w:rsidR="005714D6" w:rsidRPr="005714D6" w:rsidRDefault="00B02F25" w:rsidP="007469EF">
            <w:pPr>
              <w:spacing w:after="0" w:line="240" w:lineRule="auto"/>
              <w:jc w:val="left"/>
              <w:rPr>
                <w:rFonts w:ascii="Arial" w:hAnsi="Arial" w:cs="Arial"/>
                <w:b/>
                <w:bCs/>
                <w:color w:val="000000"/>
                <w:sz w:val="16"/>
                <w:szCs w:val="16"/>
              </w:rPr>
            </w:pPr>
            <w:r>
              <w:rPr>
                <w:rFonts w:ascii="Arial" w:hAnsi="Arial" w:cs="Arial"/>
                <w:b/>
                <w:bCs/>
                <w:color w:val="000000"/>
                <w:sz w:val="16"/>
                <w:szCs w:val="16"/>
              </w:rPr>
              <w:t>Total A</w:t>
            </w:r>
            <w:r w:rsidR="005714D6" w:rsidRPr="005714D6">
              <w:rPr>
                <w:rFonts w:ascii="Arial" w:hAnsi="Arial" w:cs="Arial"/>
                <w:b/>
                <w:bCs/>
                <w:color w:val="000000"/>
                <w:sz w:val="16"/>
                <w:szCs w:val="16"/>
              </w:rPr>
              <w:t>dministered</w:t>
            </w:r>
            <w:r w:rsidR="007469EF">
              <w:rPr>
                <w:rFonts w:ascii="Arial" w:hAnsi="Arial" w:cs="Arial"/>
                <w:b/>
                <w:bCs/>
                <w:color w:val="000000"/>
                <w:sz w:val="16"/>
                <w:szCs w:val="16"/>
              </w:rPr>
              <w:t xml:space="preserve"> </w:t>
            </w:r>
            <w:r w:rsidR="005714D6" w:rsidRPr="005714D6">
              <w:rPr>
                <w:rFonts w:ascii="Arial" w:hAnsi="Arial" w:cs="Arial"/>
                <w:b/>
                <w:bCs/>
                <w:color w:val="000000"/>
                <w:sz w:val="16"/>
                <w:szCs w:val="16"/>
              </w:rPr>
              <w:t xml:space="preserve">and </w:t>
            </w:r>
            <w:r w:rsidR="00D94F71">
              <w:rPr>
                <w:rFonts w:ascii="Arial" w:hAnsi="Arial" w:cs="Arial"/>
                <w:b/>
                <w:bCs/>
                <w:color w:val="000000"/>
                <w:sz w:val="16"/>
                <w:szCs w:val="16"/>
              </w:rPr>
              <w:t>D</w:t>
            </w:r>
            <w:r w:rsidR="008863D9">
              <w:rPr>
                <w:rFonts w:ascii="Arial" w:hAnsi="Arial" w:cs="Arial"/>
                <w:b/>
                <w:bCs/>
                <w:color w:val="000000"/>
                <w:sz w:val="16"/>
                <w:szCs w:val="16"/>
              </w:rPr>
              <w:t>epartment</w:t>
            </w:r>
            <w:r w:rsidR="005714D6" w:rsidRPr="005714D6">
              <w:rPr>
                <w:rFonts w:ascii="Arial" w:hAnsi="Arial" w:cs="Arial"/>
                <w:b/>
                <w:bCs/>
                <w:color w:val="000000"/>
                <w:sz w:val="16"/>
                <w:szCs w:val="16"/>
              </w:rPr>
              <w:t>al</w:t>
            </w:r>
          </w:p>
        </w:tc>
        <w:tc>
          <w:tcPr>
            <w:tcW w:w="940" w:type="dxa"/>
            <w:tcBorders>
              <w:top w:val="nil"/>
              <w:left w:val="nil"/>
              <w:bottom w:val="single" w:sz="4" w:space="0" w:color="000000"/>
              <w:right w:val="nil"/>
            </w:tcBorders>
            <w:shd w:val="clear" w:color="auto" w:fill="auto"/>
            <w:noWrap/>
            <w:vAlign w:val="bottom"/>
            <w:hideMark/>
          </w:tcPr>
          <w:p w14:paraId="6511A944" w14:textId="4C8FF3FD"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127,070</w:t>
            </w:r>
          </w:p>
        </w:tc>
        <w:tc>
          <w:tcPr>
            <w:tcW w:w="880" w:type="dxa"/>
            <w:tcBorders>
              <w:top w:val="nil"/>
              <w:left w:val="nil"/>
              <w:bottom w:val="single" w:sz="4" w:space="0" w:color="000000"/>
              <w:right w:val="nil"/>
            </w:tcBorders>
            <w:shd w:val="clear" w:color="auto" w:fill="auto"/>
            <w:noWrap/>
            <w:vAlign w:val="bottom"/>
            <w:hideMark/>
          </w:tcPr>
          <w:p w14:paraId="71977C5A" w14:textId="49900B80"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142,351</w:t>
            </w:r>
          </w:p>
        </w:tc>
        <w:tc>
          <w:tcPr>
            <w:tcW w:w="880" w:type="dxa"/>
            <w:tcBorders>
              <w:top w:val="nil"/>
              <w:left w:val="nil"/>
              <w:bottom w:val="single" w:sz="4" w:space="0" w:color="000000"/>
              <w:right w:val="nil"/>
            </w:tcBorders>
            <w:shd w:val="clear" w:color="auto" w:fill="auto"/>
            <w:noWrap/>
            <w:vAlign w:val="bottom"/>
            <w:hideMark/>
          </w:tcPr>
          <w:p w14:paraId="5B8A830D" w14:textId="3615F821"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143,864</w:t>
            </w:r>
          </w:p>
        </w:tc>
        <w:tc>
          <w:tcPr>
            <w:tcW w:w="919" w:type="dxa"/>
            <w:tcBorders>
              <w:top w:val="nil"/>
              <w:left w:val="nil"/>
              <w:bottom w:val="single" w:sz="4" w:space="0" w:color="000000"/>
              <w:right w:val="nil"/>
            </w:tcBorders>
            <w:shd w:val="clear" w:color="000000" w:fill="E6E6E6"/>
            <w:noWrap/>
            <w:vAlign w:val="bottom"/>
            <w:hideMark/>
          </w:tcPr>
          <w:p w14:paraId="6BD27B63" w14:textId="03DCE089"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1,513</w:t>
            </w:r>
          </w:p>
        </w:tc>
        <w:tc>
          <w:tcPr>
            <w:tcW w:w="919" w:type="dxa"/>
            <w:tcBorders>
              <w:top w:val="nil"/>
              <w:left w:val="nil"/>
              <w:bottom w:val="single" w:sz="4" w:space="0" w:color="000000"/>
              <w:right w:val="nil"/>
            </w:tcBorders>
            <w:shd w:val="clear" w:color="000000" w:fill="E6E6E6"/>
            <w:noWrap/>
            <w:vAlign w:val="bottom"/>
            <w:hideMark/>
          </w:tcPr>
          <w:p w14:paraId="04D473DD" w14:textId="4B9E9361" w:rsidR="005714D6" w:rsidRPr="005714D6" w:rsidRDefault="005714D6" w:rsidP="007469EF">
            <w:pPr>
              <w:spacing w:after="0" w:line="240" w:lineRule="auto"/>
              <w:jc w:val="right"/>
              <w:rPr>
                <w:rFonts w:ascii="Arial" w:hAnsi="Arial" w:cs="Arial"/>
                <w:b/>
                <w:bCs/>
                <w:color w:val="000000"/>
                <w:sz w:val="16"/>
                <w:szCs w:val="16"/>
              </w:rPr>
            </w:pPr>
            <w:r w:rsidRPr="005714D6">
              <w:rPr>
                <w:rFonts w:ascii="Arial" w:hAnsi="Arial" w:cs="Arial"/>
                <w:b/>
                <w:bCs/>
                <w:color w:val="000000"/>
                <w:sz w:val="16"/>
                <w:szCs w:val="16"/>
              </w:rPr>
              <w:t>-</w:t>
            </w:r>
          </w:p>
        </w:tc>
      </w:tr>
    </w:tbl>
    <w:p w14:paraId="794981D7" w14:textId="67B2978E" w:rsidR="000B6E1F" w:rsidRDefault="000B6E1F" w:rsidP="00455E59">
      <w:pPr>
        <w:spacing w:after="0" w:line="240" w:lineRule="auto"/>
        <w:jc w:val="left"/>
      </w:pPr>
    </w:p>
    <w:p w14:paraId="3D284F56" w14:textId="77777777" w:rsidR="000B6E1F" w:rsidRPr="00CD6FA0" w:rsidRDefault="000B6E1F" w:rsidP="000B6E1F">
      <w:pPr>
        <w:pStyle w:val="TableHeading"/>
        <w:rPr>
          <w:lang w:val="en-AU"/>
        </w:rPr>
      </w:pPr>
      <w:r w:rsidRPr="00564C0F">
        <w:t>Table 1.5: Appropriation B</w:t>
      </w:r>
      <w:r>
        <w:t>ill (No. 4</w:t>
      </w:r>
      <w:r w:rsidRPr="00564C0F">
        <w:t xml:space="preserve">) </w:t>
      </w:r>
      <w:r>
        <w:rPr>
          <w:lang w:val="en-AU"/>
        </w:rPr>
        <w:t>2021-22</w:t>
      </w:r>
    </w:p>
    <w:p w14:paraId="3175B3A2" w14:textId="04FCE454" w:rsidR="00C4608A" w:rsidRPr="00C4608A" w:rsidRDefault="000B6E1F" w:rsidP="007F4710">
      <w:pPr>
        <w:pStyle w:val="TableGraphic"/>
        <w:jc w:val="left"/>
        <w:rPr>
          <w:i w:val="0"/>
          <w:color w:val="auto"/>
        </w:rPr>
      </w:pPr>
      <w:r w:rsidRPr="00C4608A">
        <w:rPr>
          <w:i w:val="0"/>
          <w:color w:val="auto"/>
        </w:rPr>
        <w:t>The ACMA is not seeking additional Appropriation through Appropriation Bill</w:t>
      </w:r>
      <w:r w:rsidR="00C4608A" w:rsidRPr="00C4608A">
        <w:rPr>
          <w:i w:val="0"/>
          <w:color w:val="auto"/>
        </w:rPr>
        <w:t xml:space="preserve"> </w:t>
      </w:r>
      <w:r w:rsidRPr="00C4608A">
        <w:rPr>
          <w:i w:val="0"/>
          <w:color w:val="auto"/>
        </w:rPr>
        <w:t>(No.</w:t>
      </w:r>
      <w:r w:rsidR="00852545">
        <w:rPr>
          <w:i w:val="0"/>
          <w:color w:val="auto"/>
        </w:rPr>
        <w:t xml:space="preserve"> </w:t>
      </w:r>
      <w:r w:rsidRPr="00C4608A">
        <w:rPr>
          <w:i w:val="0"/>
          <w:color w:val="auto"/>
        </w:rPr>
        <w:t>4</w:t>
      </w:r>
      <w:r w:rsidR="00C4608A" w:rsidRPr="00C4608A">
        <w:rPr>
          <w:i w:val="0"/>
          <w:color w:val="auto"/>
        </w:rPr>
        <w:t>)</w:t>
      </w:r>
      <w:r w:rsidR="00852545">
        <w:rPr>
          <w:i w:val="0"/>
          <w:color w:val="auto"/>
        </w:rPr>
        <w:t>.</w:t>
      </w:r>
    </w:p>
    <w:p w14:paraId="73C855AA" w14:textId="4B063A98" w:rsidR="00914885" w:rsidRDefault="00914885" w:rsidP="000B6E1F">
      <w:pPr>
        <w:pStyle w:val="TableGraphic"/>
      </w:pPr>
      <w:r>
        <w:br w:type="page"/>
      </w:r>
    </w:p>
    <w:p w14:paraId="456A9465" w14:textId="1E1F39F5" w:rsidR="00914885" w:rsidRPr="00E41681" w:rsidRDefault="00914885" w:rsidP="00FB6A01">
      <w:pPr>
        <w:pStyle w:val="Heading2-TOCACMA"/>
      </w:pPr>
      <w:bookmarkStart w:id="398" w:name="_Toc92990348"/>
      <w:r w:rsidRPr="00E41681">
        <w:lastRenderedPageBreak/>
        <w:t>Section 2: Revisions to outcomes and planned performance</w:t>
      </w:r>
      <w:bookmarkEnd w:id="398"/>
    </w:p>
    <w:p w14:paraId="24CBCB06" w14:textId="17FAB661" w:rsidR="00914885" w:rsidRDefault="00914885" w:rsidP="00FB6A01">
      <w:pPr>
        <w:pStyle w:val="Heading3ACMA"/>
      </w:pPr>
      <w:bookmarkStart w:id="399" w:name="_Toc92990349"/>
      <w:r>
        <w:t>2.</w:t>
      </w:r>
      <w:r w:rsidR="00F40B12">
        <w:t>1</w:t>
      </w:r>
      <w:r>
        <w:tab/>
        <w:t>Changes to</w:t>
      </w:r>
      <w:r w:rsidR="00F40B12">
        <w:t xml:space="preserve"> outcome and program structures</w:t>
      </w:r>
      <w:bookmarkEnd w:id="399"/>
    </w:p>
    <w:p w14:paraId="393860F9" w14:textId="694922DB" w:rsidR="00914885" w:rsidRPr="00074EAB" w:rsidRDefault="00F40B12" w:rsidP="007469EF">
      <w:pPr>
        <w:jc w:val="left"/>
      </w:pPr>
      <w:r>
        <w:t>There has been no change to the ACMA’s outcome and program structure resulting from decisions made since the 2021-22 Budget.</w:t>
      </w:r>
      <w:r w:rsidR="00914885" w:rsidRPr="00074EAB">
        <w:t xml:space="preserve"> </w:t>
      </w:r>
    </w:p>
    <w:p w14:paraId="57A381CC" w14:textId="0209F058" w:rsidR="00914885" w:rsidRDefault="00914885" w:rsidP="00FB6A01">
      <w:pPr>
        <w:pStyle w:val="Heading3ACMA"/>
      </w:pPr>
      <w:bookmarkStart w:id="400" w:name="_Toc92990350"/>
      <w:r>
        <w:t>2.</w:t>
      </w:r>
      <w:r w:rsidR="00F40B12">
        <w:rPr>
          <w:lang w:val="en-US"/>
        </w:rPr>
        <w:t>2</w:t>
      </w:r>
      <w:r>
        <w:tab/>
        <w:t>Budgete</w:t>
      </w:r>
      <w:r w:rsidR="00DF1494">
        <w:t>d expenses and performance for O</w:t>
      </w:r>
      <w:r>
        <w:t xml:space="preserve">utcome </w:t>
      </w:r>
      <w:r w:rsidR="00F40B12">
        <w:t>1</w:t>
      </w:r>
      <w:bookmarkEnd w:id="40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F40B12" w:rsidRPr="005E6F2B" w14:paraId="6458F7A8" w14:textId="77777777" w:rsidTr="00F40B12">
        <w:tc>
          <w:tcPr>
            <w:tcW w:w="7705" w:type="dxa"/>
            <w:tcBorders>
              <w:top w:val="single" w:sz="2" w:space="0" w:color="auto"/>
              <w:left w:val="single" w:sz="2" w:space="0" w:color="auto"/>
              <w:bottom w:val="single" w:sz="2" w:space="0" w:color="auto"/>
              <w:right w:val="single" w:sz="2" w:space="0" w:color="auto"/>
            </w:tcBorders>
            <w:shd w:val="clear" w:color="auto" w:fill="E6E6E6"/>
          </w:tcPr>
          <w:p w14:paraId="64FD4BFC" w14:textId="77777777" w:rsidR="00F40B12" w:rsidRPr="00F40B12" w:rsidRDefault="00F40B12" w:rsidP="00161932">
            <w:pPr>
              <w:pStyle w:val="TableColumnHeadingLeft"/>
              <w:jc w:val="left"/>
              <w:rPr>
                <w:sz w:val="20"/>
              </w:rPr>
            </w:pPr>
            <w:r w:rsidRPr="00F40B12">
              <w:rPr>
                <w:sz w:val="20"/>
              </w:rPr>
              <w:t>Outcome 1: A communications and media environment that balances the needs of the industry and the Australian community through regulation, education and advice</w:t>
            </w:r>
          </w:p>
        </w:tc>
      </w:tr>
    </w:tbl>
    <w:p w14:paraId="711D804C" w14:textId="77777777" w:rsidR="00914885" w:rsidRPr="005E6F2B" w:rsidRDefault="00914885" w:rsidP="00914885">
      <w:pPr>
        <w:pStyle w:val="NoSpacing"/>
      </w:pPr>
    </w:p>
    <w:p w14:paraId="13CFE371" w14:textId="629B0487" w:rsidR="00914885" w:rsidRDefault="00914885" w:rsidP="00914885">
      <w:pPr>
        <w:pStyle w:val="Heading4"/>
      </w:pPr>
      <w:r w:rsidRPr="00F862B3">
        <w:rPr>
          <w:sz w:val="22"/>
          <w:szCs w:val="22"/>
        </w:rPr>
        <w:t>Linked programs</w:t>
      </w:r>
      <w:r w:rsidRPr="005E6F2B">
        <w:t xml:space="preserve"> </w:t>
      </w:r>
    </w:p>
    <w:p w14:paraId="700991F2" w14:textId="02D80A66" w:rsidR="00F40B12" w:rsidRDefault="00F40B12" w:rsidP="007469EF">
      <w:pPr>
        <w:jc w:val="left"/>
      </w:pPr>
      <w:r>
        <w:t xml:space="preserve">There has been no change to </w:t>
      </w:r>
      <w:r w:rsidR="00852545">
        <w:t>l</w:t>
      </w:r>
      <w:r>
        <w:t xml:space="preserve">inked programs for Outcome 1 resulting from decisions made since the 2021-22 Budget. Details of the ACMA’s linked programs can be found in the </w:t>
      </w:r>
      <w:r w:rsidR="00360023">
        <w:t xml:space="preserve">2021-22 </w:t>
      </w:r>
      <w:r>
        <w:t>Infrastructure, Transport, Regional Development and Communications PB Statements.</w:t>
      </w:r>
    </w:p>
    <w:p w14:paraId="56BBAC22" w14:textId="77777777" w:rsidR="00F40B12" w:rsidRPr="00446612" w:rsidRDefault="00F40B12" w:rsidP="00F40B12">
      <w:pPr>
        <w:pStyle w:val="Heading4"/>
      </w:pPr>
      <w:r w:rsidRPr="00446612">
        <w:t xml:space="preserve">Budgeted expenses for Outcome </w:t>
      </w:r>
      <w:r>
        <w:t>1</w:t>
      </w:r>
    </w:p>
    <w:p w14:paraId="6F2BA859" w14:textId="34761A81" w:rsidR="00BE3024" w:rsidRDefault="00F40B12" w:rsidP="00BE3024">
      <w:pPr>
        <w:jc w:val="left"/>
      </w:pPr>
      <w:r w:rsidRPr="00BE3024">
        <w:t xml:space="preserve">This table shows how much the </w:t>
      </w:r>
      <w:r w:rsidR="00796877">
        <w:t>ACMA</w:t>
      </w:r>
      <w:r w:rsidR="00796877" w:rsidRPr="00BE3024">
        <w:t xml:space="preserve"> </w:t>
      </w:r>
      <w:r w:rsidRPr="00BE3024">
        <w:t xml:space="preserve">intends to spend (on an accrual basis) on achieving the outcome, broken </w:t>
      </w:r>
      <w:r w:rsidR="00852545">
        <w:t>down by program, as well as by A</w:t>
      </w:r>
      <w:r w:rsidRPr="00BE3024">
        <w:t xml:space="preserve">dministered and </w:t>
      </w:r>
      <w:r w:rsidR="008863D9">
        <w:t>Department</w:t>
      </w:r>
      <w:r w:rsidR="00BE3024" w:rsidRPr="00BE3024">
        <w:t>al funding sources.</w:t>
      </w:r>
    </w:p>
    <w:p w14:paraId="5704C4B4" w14:textId="7783D228" w:rsidR="00F40B12" w:rsidRDefault="00F40B12" w:rsidP="00F40B12">
      <w:pPr>
        <w:pStyle w:val="TableHeading"/>
        <w:rPr>
          <w:lang w:val="en-AU"/>
        </w:rPr>
      </w:pPr>
      <w:r w:rsidRPr="00BE3024">
        <w:t>Table 2.</w:t>
      </w:r>
      <w:r w:rsidRPr="00BE3024">
        <w:rPr>
          <w:lang w:val="en-AU"/>
        </w:rPr>
        <w:t>2</w:t>
      </w:r>
      <w:r w:rsidRPr="00BE3024">
        <w:t xml:space="preserve">.1: Budgeted expenses for Outcome </w:t>
      </w:r>
      <w:r w:rsidRPr="00BE3024">
        <w:rPr>
          <w:lang w:val="en-AU"/>
        </w:rPr>
        <w:t>1</w:t>
      </w:r>
    </w:p>
    <w:tbl>
      <w:tblPr>
        <w:tblW w:w="7311" w:type="dxa"/>
        <w:tblLook w:val="04A0" w:firstRow="1" w:lastRow="0" w:firstColumn="1" w:lastColumn="0" w:noHBand="0" w:noVBand="1"/>
      </w:tblPr>
      <w:tblGrid>
        <w:gridCol w:w="2860"/>
        <w:gridCol w:w="901"/>
        <w:gridCol w:w="910"/>
        <w:gridCol w:w="880"/>
        <w:gridCol w:w="880"/>
        <w:gridCol w:w="880"/>
      </w:tblGrid>
      <w:tr w:rsidR="004C6D93" w:rsidRPr="00C5339C" w14:paraId="6328BC64" w14:textId="77777777" w:rsidTr="00B86D56">
        <w:trPr>
          <w:trHeight w:val="792"/>
        </w:trPr>
        <w:tc>
          <w:tcPr>
            <w:tcW w:w="2860" w:type="dxa"/>
            <w:tcBorders>
              <w:top w:val="single" w:sz="4" w:space="0" w:color="auto"/>
              <w:left w:val="nil"/>
              <w:bottom w:val="single" w:sz="4" w:space="0" w:color="auto"/>
              <w:right w:val="nil"/>
            </w:tcBorders>
            <w:shd w:val="clear" w:color="auto" w:fill="auto"/>
            <w:vAlign w:val="center"/>
            <w:hideMark/>
          </w:tcPr>
          <w:p w14:paraId="0D75E5E8" w14:textId="77777777" w:rsidR="004C6D93" w:rsidRPr="00C5339C" w:rsidRDefault="004C6D93" w:rsidP="004C6D93">
            <w:pPr>
              <w:spacing w:after="0" w:line="240" w:lineRule="auto"/>
              <w:jc w:val="left"/>
              <w:rPr>
                <w:rFonts w:ascii="Arial" w:hAnsi="Arial" w:cs="Arial"/>
                <w:b/>
                <w:bCs/>
                <w:color w:val="000000"/>
                <w:sz w:val="16"/>
                <w:szCs w:val="16"/>
              </w:rPr>
            </w:pPr>
            <w:r w:rsidRPr="00C5339C">
              <w:rPr>
                <w:rFonts w:ascii="Arial" w:hAnsi="Arial" w:cs="Arial"/>
                <w:b/>
                <w:bCs/>
                <w:color w:val="000000"/>
                <w:sz w:val="16"/>
                <w:szCs w:val="16"/>
              </w:rPr>
              <w:t> </w:t>
            </w:r>
          </w:p>
        </w:tc>
        <w:tc>
          <w:tcPr>
            <w:tcW w:w="901" w:type="dxa"/>
            <w:tcBorders>
              <w:top w:val="single" w:sz="4" w:space="0" w:color="auto"/>
              <w:left w:val="nil"/>
              <w:bottom w:val="single" w:sz="4" w:space="0" w:color="auto"/>
              <w:right w:val="nil"/>
            </w:tcBorders>
            <w:shd w:val="clear" w:color="auto" w:fill="auto"/>
            <w:vAlign w:val="bottom"/>
            <w:hideMark/>
          </w:tcPr>
          <w:p w14:paraId="7F01B69D" w14:textId="6EDB9245" w:rsidR="004C6D93" w:rsidRPr="00C5339C" w:rsidRDefault="004C6D93" w:rsidP="00852545">
            <w:pPr>
              <w:spacing w:after="0" w:line="240" w:lineRule="auto"/>
              <w:jc w:val="right"/>
              <w:rPr>
                <w:rFonts w:ascii="Arial" w:hAnsi="Arial" w:cs="Arial"/>
                <w:color w:val="000000"/>
                <w:sz w:val="16"/>
                <w:szCs w:val="16"/>
              </w:rPr>
            </w:pPr>
            <w:r w:rsidRPr="00C5339C">
              <w:rPr>
                <w:rFonts w:ascii="Arial" w:hAnsi="Arial" w:cs="Arial"/>
                <w:color w:val="000000"/>
                <w:sz w:val="16"/>
                <w:szCs w:val="16"/>
              </w:rPr>
              <w:t>2020-21</w:t>
            </w:r>
            <w:r w:rsidRPr="00C5339C">
              <w:rPr>
                <w:rFonts w:ascii="Arial" w:hAnsi="Arial" w:cs="Arial"/>
                <w:color w:val="000000"/>
                <w:sz w:val="16"/>
                <w:szCs w:val="16"/>
              </w:rPr>
              <w:br/>
              <w:t>Actual</w:t>
            </w:r>
            <w:r w:rsidRPr="00C5339C">
              <w:rPr>
                <w:rFonts w:ascii="Arial" w:hAnsi="Arial" w:cs="Arial"/>
                <w:color w:val="000000"/>
                <w:sz w:val="16"/>
                <w:szCs w:val="16"/>
              </w:rPr>
              <w:br/>
              <w:t>expenses</w:t>
            </w:r>
            <w:r w:rsidRPr="00C5339C">
              <w:rPr>
                <w:rFonts w:ascii="Arial" w:hAnsi="Arial" w:cs="Arial"/>
                <w:color w:val="000000"/>
                <w:sz w:val="16"/>
                <w:szCs w:val="16"/>
              </w:rPr>
              <w:br/>
              <w:t>$'000</w:t>
            </w:r>
          </w:p>
        </w:tc>
        <w:tc>
          <w:tcPr>
            <w:tcW w:w="910" w:type="dxa"/>
            <w:tcBorders>
              <w:top w:val="single" w:sz="4" w:space="0" w:color="auto"/>
              <w:left w:val="nil"/>
              <w:bottom w:val="single" w:sz="4" w:space="0" w:color="auto"/>
              <w:right w:val="nil"/>
            </w:tcBorders>
            <w:shd w:val="clear" w:color="000000" w:fill="E6E6E6"/>
            <w:vAlign w:val="bottom"/>
            <w:hideMark/>
          </w:tcPr>
          <w:p w14:paraId="7FC7B438" w14:textId="314122F9" w:rsidR="004C6D93" w:rsidRPr="00C5339C" w:rsidRDefault="004C6D93" w:rsidP="00852545">
            <w:pPr>
              <w:spacing w:after="0" w:line="240" w:lineRule="auto"/>
              <w:jc w:val="right"/>
              <w:rPr>
                <w:rFonts w:ascii="Arial" w:hAnsi="Arial" w:cs="Arial"/>
                <w:color w:val="000000"/>
                <w:sz w:val="16"/>
                <w:szCs w:val="16"/>
              </w:rPr>
            </w:pPr>
            <w:r w:rsidRPr="00C5339C">
              <w:rPr>
                <w:rFonts w:ascii="Arial" w:hAnsi="Arial" w:cs="Arial"/>
                <w:color w:val="000000"/>
                <w:sz w:val="16"/>
                <w:szCs w:val="16"/>
              </w:rPr>
              <w:t>2021-22</w:t>
            </w:r>
            <w:r w:rsidRPr="00C5339C">
              <w:rPr>
                <w:rFonts w:ascii="Arial" w:hAnsi="Arial" w:cs="Arial"/>
                <w:color w:val="000000"/>
                <w:sz w:val="16"/>
                <w:szCs w:val="16"/>
              </w:rPr>
              <w:br/>
              <w:t xml:space="preserve">Revised </w:t>
            </w:r>
            <w:r w:rsidR="00852545">
              <w:rPr>
                <w:rFonts w:ascii="Arial" w:hAnsi="Arial" w:cs="Arial"/>
                <w:color w:val="000000"/>
                <w:sz w:val="16"/>
                <w:szCs w:val="16"/>
              </w:rPr>
              <w:t>Budget</w:t>
            </w:r>
            <w:r w:rsidRPr="00C5339C">
              <w:rPr>
                <w:rFonts w:ascii="Arial" w:hAnsi="Arial" w:cs="Arial"/>
                <w:color w:val="000000"/>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2B59CD0B" w14:textId="3AC4EB4E" w:rsidR="004C6D93" w:rsidRPr="00C5339C" w:rsidRDefault="004C6D93" w:rsidP="00852545">
            <w:pPr>
              <w:spacing w:after="0" w:line="240" w:lineRule="auto"/>
              <w:jc w:val="right"/>
              <w:rPr>
                <w:rFonts w:ascii="Arial" w:hAnsi="Arial" w:cs="Arial"/>
                <w:sz w:val="16"/>
                <w:szCs w:val="16"/>
              </w:rPr>
            </w:pPr>
            <w:r w:rsidRPr="00C5339C">
              <w:rPr>
                <w:rFonts w:ascii="Arial" w:hAnsi="Arial" w:cs="Arial"/>
                <w:sz w:val="16"/>
                <w:szCs w:val="16"/>
              </w:rPr>
              <w:t>2022-23</w:t>
            </w:r>
            <w:r w:rsidRPr="00C5339C">
              <w:rPr>
                <w:rFonts w:ascii="Arial" w:hAnsi="Arial" w:cs="Arial"/>
                <w:sz w:val="16"/>
                <w:szCs w:val="16"/>
              </w:rPr>
              <w:br/>
              <w:t>Forward</w:t>
            </w:r>
            <w:r w:rsidRPr="00C5339C">
              <w:rPr>
                <w:rFonts w:ascii="Arial" w:hAnsi="Arial" w:cs="Arial"/>
                <w:sz w:val="16"/>
                <w:szCs w:val="16"/>
              </w:rPr>
              <w:br/>
              <w:t>estimate</w:t>
            </w:r>
            <w:r w:rsidRPr="00C5339C">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2F1BECD9" w14:textId="4AD8C56C" w:rsidR="004C6D93" w:rsidRPr="00C5339C" w:rsidRDefault="004C6D93" w:rsidP="00852545">
            <w:pPr>
              <w:spacing w:after="0" w:line="240" w:lineRule="auto"/>
              <w:jc w:val="right"/>
              <w:rPr>
                <w:rFonts w:ascii="Arial" w:hAnsi="Arial" w:cs="Arial"/>
                <w:sz w:val="16"/>
                <w:szCs w:val="16"/>
              </w:rPr>
            </w:pPr>
            <w:r w:rsidRPr="00C5339C">
              <w:rPr>
                <w:rFonts w:ascii="Arial" w:hAnsi="Arial" w:cs="Arial"/>
                <w:sz w:val="16"/>
                <w:szCs w:val="16"/>
              </w:rPr>
              <w:t>2023-24</w:t>
            </w:r>
            <w:r w:rsidRPr="00C5339C">
              <w:rPr>
                <w:rFonts w:ascii="Arial" w:hAnsi="Arial" w:cs="Arial"/>
                <w:sz w:val="16"/>
                <w:szCs w:val="16"/>
              </w:rPr>
              <w:br/>
              <w:t>Forward</w:t>
            </w:r>
            <w:r w:rsidRPr="00C5339C">
              <w:rPr>
                <w:rFonts w:ascii="Arial" w:hAnsi="Arial" w:cs="Arial"/>
                <w:sz w:val="16"/>
                <w:szCs w:val="16"/>
              </w:rPr>
              <w:br/>
              <w:t>estimate</w:t>
            </w:r>
            <w:r w:rsidRPr="00C5339C">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5D5A101B" w14:textId="0E28BCAC" w:rsidR="004C6D93" w:rsidRPr="00C5339C" w:rsidRDefault="004C6D93" w:rsidP="00852545">
            <w:pPr>
              <w:spacing w:after="0" w:line="240" w:lineRule="auto"/>
              <w:jc w:val="right"/>
              <w:rPr>
                <w:rFonts w:ascii="Arial" w:hAnsi="Arial" w:cs="Arial"/>
                <w:sz w:val="16"/>
                <w:szCs w:val="16"/>
              </w:rPr>
            </w:pPr>
            <w:r w:rsidRPr="00C5339C">
              <w:rPr>
                <w:rFonts w:ascii="Arial" w:hAnsi="Arial" w:cs="Arial"/>
                <w:sz w:val="16"/>
                <w:szCs w:val="16"/>
              </w:rPr>
              <w:t>2024-25</w:t>
            </w:r>
            <w:r w:rsidRPr="00C5339C">
              <w:rPr>
                <w:rFonts w:ascii="Arial" w:hAnsi="Arial" w:cs="Arial"/>
                <w:sz w:val="16"/>
                <w:szCs w:val="16"/>
              </w:rPr>
              <w:br/>
              <w:t>Forward</w:t>
            </w:r>
            <w:r w:rsidRPr="00C5339C">
              <w:rPr>
                <w:rFonts w:ascii="Arial" w:hAnsi="Arial" w:cs="Arial"/>
                <w:sz w:val="16"/>
                <w:szCs w:val="16"/>
              </w:rPr>
              <w:br/>
              <w:t>estimate</w:t>
            </w:r>
            <w:r w:rsidRPr="00C5339C">
              <w:rPr>
                <w:rFonts w:ascii="Arial" w:hAnsi="Arial" w:cs="Arial"/>
                <w:sz w:val="16"/>
                <w:szCs w:val="16"/>
              </w:rPr>
              <w:br/>
              <w:t>$'000</w:t>
            </w:r>
          </w:p>
        </w:tc>
      </w:tr>
      <w:tr w:rsidR="004C6D93" w:rsidRPr="00C5339C" w14:paraId="4881F45F" w14:textId="77777777" w:rsidTr="00161932">
        <w:trPr>
          <w:trHeight w:val="225"/>
        </w:trPr>
        <w:tc>
          <w:tcPr>
            <w:tcW w:w="7311" w:type="dxa"/>
            <w:gridSpan w:val="6"/>
            <w:tcBorders>
              <w:top w:val="single" w:sz="4" w:space="0" w:color="auto"/>
              <w:left w:val="nil"/>
              <w:bottom w:val="nil"/>
              <w:right w:val="nil"/>
            </w:tcBorders>
            <w:shd w:val="clear" w:color="000000" w:fill="E6E6E6"/>
            <w:vAlign w:val="center"/>
            <w:hideMark/>
          </w:tcPr>
          <w:p w14:paraId="2CD02757" w14:textId="77777777" w:rsidR="004C6D93" w:rsidRPr="00C5339C" w:rsidRDefault="004C6D93" w:rsidP="004C6D93">
            <w:pPr>
              <w:spacing w:after="0" w:line="240" w:lineRule="auto"/>
              <w:jc w:val="left"/>
              <w:rPr>
                <w:rFonts w:ascii="Arial" w:hAnsi="Arial" w:cs="Arial"/>
                <w:b/>
                <w:bCs/>
                <w:sz w:val="16"/>
                <w:szCs w:val="16"/>
              </w:rPr>
            </w:pPr>
            <w:r w:rsidRPr="00C5339C">
              <w:rPr>
                <w:rFonts w:ascii="Arial" w:hAnsi="Arial" w:cs="Arial"/>
                <w:b/>
                <w:bCs/>
                <w:sz w:val="16"/>
                <w:szCs w:val="16"/>
              </w:rPr>
              <w:t>Program 1.1:  Communications regulation, planning and licensing</w:t>
            </w:r>
          </w:p>
        </w:tc>
      </w:tr>
      <w:tr w:rsidR="004C6D93" w:rsidRPr="00C5339C" w14:paraId="60C17984" w14:textId="77777777" w:rsidTr="00161932">
        <w:trPr>
          <w:trHeight w:val="204"/>
        </w:trPr>
        <w:tc>
          <w:tcPr>
            <w:tcW w:w="2860" w:type="dxa"/>
            <w:tcBorders>
              <w:top w:val="single" w:sz="4" w:space="0" w:color="000000"/>
              <w:left w:val="nil"/>
              <w:bottom w:val="nil"/>
              <w:right w:val="nil"/>
            </w:tcBorders>
            <w:shd w:val="clear" w:color="auto" w:fill="auto"/>
            <w:noWrap/>
            <w:vAlign w:val="center"/>
            <w:hideMark/>
          </w:tcPr>
          <w:p w14:paraId="3C88AA18" w14:textId="77777777" w:rsidR="004C6D93" w:rsidRPr="00C5339C" w:rsidRDefault="004C6D93" w:rsidP="004C6D93">
            <w:pPr>
              <w:spacing w:after="0" w:line="240" w:lineRule="auto"/>
              <w:jc w:val="left"/>
              <w:rPr>
                <w:rFonts w:ascii="Arial" w:hAnsi="Arial" w:cs="Arial"/>
                <w:sz w:val="16"/>
                <w:szCs w:val="16"/>
              </w:rPr>
            </w:pPr>
            <w:r w:rsidRPr="00C5339C">
              <w:rPr>
                <w:rFonts w:ascii="Arial" w:hAnsi="Arial" w:cs="Arial"/>
                <w:sz w:val="16"/>
                <w:szCs w:val="16"/>
              </w:rPr>
              <w:t>Administered expenses</w:t>
            </w:r>
          </w:p>
        </w:tc>
        <w:tc>
          <w:tcPr>
            <w:tcW w:w="901" w:type="dxa"/>
            <w:tcBorders>
              <w:top w:val="single" w:sz="4" w:space="0" w:color="000000"/>
              <w:left w:val="nil"/>
              <w:bottom w:val="nil"/>
              <w:right w:val="nil"/>
            </w:tcBorders>
            <w:shd w:val="clear" w:color="auto" w:fill="auto"/>
            <w:noWrap/>
            <w:vAlign w:val="bottom"/>
            <w:hideMark/>
          </w:tcPr>
          <w:p w14:paraId="61F21C6E" w14:textId="0576AF5B" w:rsidR="004C6D93" w:rsidRPr="00C5339C" w:rsidRDefault="004C6D93" w:rsidP="004C6D93">
            <w:pPr>
              <w:spacing w:after="0" w:line="240" w:lineRule="auto"/>
              <w:jc w:val="right"/>
              <w:rPr>
                <w:rFonts w:ascii="Arial" w:hAnsi="Arial" w:cs="Arial"/>
                <w:color w:val="000000"/>
                <w:sz w:val="16"/>
                <w:szCs w:val="16"/>
              </w:rPr>
            </w:pPr>
          </w:p>
        </w:tc>
        <w:tc>
          <w:tcPr>
            <w:tcW w:w="910" w:type="dxa"/>
            <w:tcBorders>
              <w:top w:val="single" w:sz="4" w:space="0" w:color="000000"/>
              <w:left w:val="nil"/>
              <w:bottom w:val="nil"/>
              <w:right w:val="nil"/>
            </w:tcBorders>
            <w:shd w:val="clear" w:color="000000" w:fill="E6E6E6"/>
            <w:noWrap/>
            <w:vAlign w:val="bottom"/>
            <w:hideMark/>
          </w:tcPr>
          <w:p w14:paraId="20398D44" w14:textId="3531F620" w:rsidR="004C6D93" w:rsidRPr="00C5339C" w:rsidRDefault="004C6D93" w:rsidP="004C6D93">
            <w:pPr>
              <w:spacing w:after="0" w:line="240" w:lineRule="auto"/>
              <w:jc w:val="right"/>
              <w:rPr>
                <w:rFonts w:ascii="Arial" w:hAnsi="Arial" w:cs="Arial"/>
                <w:sz w:val="16"/>
                <w:szCs w:val="16"/>
              </w:rPr>
            </w:pPr>
          </w:p>
        </w:tc>
        <w:tc>
          <w:tcPr>
            <w:tcW w:w="880" w:type="dxa"/>
            <w:tcBorders>
              <w:top w:val="single" w:sz="4" w:space="0" w:color="000000"/>
              <w:left w:val="nil"/>
              <w:bottom w:val="nil"/>
              <w:right w:val="nil"/>
            </w:tcBorders>
            <w:shd w:val="clear" w:color="auto" w:fill="auto"/>
            <w:noWrap/>
            <w:vAlign w:val="bottom"/>
            <w:hideMark/>
          </w:tcPr>
          <w:p w14:paraId="5AED335B" w14:textId="58BBE8B7" w:rsidR="004C6D93" w:rsidRPr="00C5339C" w:rsidRDefault="004C6D93" w:rsidP="004C6D93">
            <w:pPr>
              <w:spacing w:after="0" w:line="240" w:lineRule="auto"/>
              <w:jc w:val="left"/>
              <w:rPr>
                <w:rFonts w:ascii="Arial" w:hAnsi="Arial" w:cs="Arial"/>
                <w:sz w:val="16"/>
                <w:szCs w:val="16"/>
              </w:rPr>
            </w:pPr>
          </w:p>
        </w:tc>
        <w:tc>
          <w:tcPr>
            <w:tcW w:w="880" w:type="dxa"/>
            <w:tcBorders>
              <w:top w:val="single" w:sz="4" w:space="0" w:color="000000"/>
              <w:left w:val="nil"/>
              <w:bottom w:val="nil"/>
              <w:right w:val="nil"/>
            </w:tcBorders>
            <w:shd w:val="clear" w:color="auto" w:fill="auto"/>
            <w:noWrap/>
            <w:vAlign w:val="bottom"/>
            <w:hideMark/>
          </w:tcPr>
          <w:p w14:paraId="58D8191A" w14:textId="3BDB8C12" w:rsidR="004C6D93" w:rsidRPr="00C5339C" w:rsidRDefault="004C6D93" w:rsidP="004C6D93">
            <w:pPr>
              <w:spacing w:after="0" w:line="240" w:lineRule="auto"/>
              <w:jc w:val="left"/>
              <w:rPr>
                <w:rFonts w:ascii="Arial" w:hAnsi="Arial" w:cs="Arial"/>
                <w:sz w:val="16"/>
                <w:szCs w:val="16"/>
              </w:rPr>
            </w:pPr>
          </w:p>
        </w:tc>
        <w:tc>
          <w:tcPr>
            <w:tcW w:w="880" w:type="dxa"/>
            <w:tcBorders>
              <w:top w:val="single" w:sz="4" w:space="0" w:color="000000"/>
              <w:left w:val="nil"/>
              <w:bottom w:val="nil"/>
              <w:right w:val="nil"/>
            </w:tcBorders>
            <w:shd w:val="clear" w:color="auto" w:fill="auto"/>
            <w:noWrap/>
            <w:vAlign w:val="bottom"/>
            <w:hideMark/>
          </w:tcPr>
          <w:p w14:paraId="7547DBA0" w14:textId="70997557" w:rsidR="004C6D93" w:rsidRPr="00C5339C" w:rsidRDefault="004C6D93" w:rsidP="004C6D93">
            <w:pPr>
              <w:spacing w:after="0" w:line="240" w:lineRule="auto"/>
              <w:jc w:val="left"/>
              <w:rPr>
                <w:rFonts w:ascii="Arial" w:hAnsi="Arial" w:cs="Arial"/>
                <w:sz w:val="16"/>
                <w:szCs w:val="16"/>
              </w:rPr>
            </w:pPr>
          </w:p>
        </w:tc>
      </w:tr>
      <w:tr w:rsidR="004C6D93" w:rsidRPr="00C5339C" w14:paraId="50878542" w14:textId="77777777" w:rsidTr="00161932">
        <w:trPr>
          <w:trHeight w:val="204"/>
        </w:trPr>
        <w:tc>
          <w:tcPr>
            <w:tcW w:w="2860" w:type="dxa"/>
            <w:tcBorders>
              <w:top w:val="nil"/>
              <w:left w:val="nil"/>
              <w:bottom w:val="nil"/>
              <w:right w:val="nil"/>
            </w:tcBorders>
            <w:shd w:val="clear" w:color="auto" w:fill="auto"/>
            <w:vAlign w:val="center"/>
            <w:hideMark/>
          </w:tcPr>
          <w:p w14:paraId="795FA879" w14:textId="1A4E5B12" w:rsidR="004C6D93" w:rsidRPr="00C5339C" w:rsidRDefault="004C6D93" w:rsidP="00C5339C">
            <w:pPr>
              <w:spacing w:after="0" w:line="240" w:lineRule="auto"/>
              <w:ind w:left="113"/>
              <w:jc w:val="left"/>
              <w:rPr>
                <w:rFonts w:ascii="Arial" w:hAnsi="Arial" w:cs="Arial"/>
                <w:sz w:val="16"/>
                <w:szCs w:val="16"/>
              </w:rPr>
            </w:pPr>
            <w:r w:rsidRPr="00C5339C">
              <w:rPr>
                <w:rFonts w:ascii="Arial" w:hAnsi="Arial" w:cs="Arial"/>
                <w:sz w:val="16"/>
                <w:szCs w:val="16"/>
              </w:rPr>
              <w:t>Ordinary annual services</w:t>
            </w:r>
            <w:r w:rsidR="00C5339C" w:rsidRPr="00C5339C">
              <w:rPr>
                <w:rFonts w:ascii="Arial" w:hAnsi="Arial" w:cs="Arial"/>
                <w:sz w:val="16"/>
                <w:szCs w:val="16"/>
              </w:rPr>
              <w:t xml:space="preserve"> </w:t>
            </w:r>
            <w:r w:rsidRPr="00C5339C">
              <w:rPr>
                <w:rFonts w:ascii="Arial" w:hAnsi="Arial" w:cs="Arial"/>
                <w:sz w:val="16"/>
                <w:szCs w:val="16"/>
              </w:rPr>
              <w:t>(Appropriation Bill No. 1)</w:t>
            </w:r>
          </w:p>
        </w:tc>
        <w:tc>
          <w:tcPr>
            <w:tcW w:w="901" w:type="dxa"/>
            <w:tcBorders>
              <w:top w:val="nil"/>
              <w:left w:val="nil"/>
              <w:bottom w:val="nil"/>
              <w:right w:val="nil"/>
            </w:tcBorders>
            <w:shd w:val="clear" w:color="auto" w:fill="auto"/>
            <w:noWrap/>
            <w:vAlign w:val="bottom"/>
            <w:hideMark/>
          </w:tcPr>
          <w:p w14:paraId="65CF1CE5" w14:textId="4A376C89" w:rsidR="004C6D93" w:rsidRPr="00C5339C" w:rsidRDefault="004C6D93" w:rsidP="004C6D93">
            <w:pPr>
              <w:spacing w:after="0" w:line="240" w:lineRule="auto"/>
              <w:jc w:val="right"/>
              <w:rPr>
                <w:rFonts w:ascii="Arial" w:hAnsi="Arial" w:cs="Arial"/>
                <w:color w:val="000000"/>
                <w:sz w:val="16"/>
                <w:szCs w:val="16"/>
              </w:rPr>
            </w:pPr>
            <w:r w:rsidRPr="00C5339C">
              <w:rPr>
                <w:rFonts w:ascii="Arial" w:hAnsi="Arial" w:cs="Arial"/>
                <w:color w:val="000000"/>
                <w:sz w:val="16"/>
                <w:szCs w:val="16"/>
              </w:rPr>
              <w:t>303</w:t>
            </w:r>
          </w:p>
        </w:tc>
        <w:tc>
          <w:tcPr>
            <w:tcW w:w="910" w:type="dxa"/>
            <w:tcBorders>
              <w:top w:val="nil"/>
              <w:left w:val="nil"/>
              <w:bottom w:val="nil"/>
              <w:right w:val="nil"/>
            </w:tcBorders>
            <w:shd w:val="clear" w:color="000000" w:fill="E6E6E6"/>
            <w:noWrap/>
            <w:vAlign w:val="bottom"/>
            <w:hideMark/>
          </w:tcPr>
          <w:p w14:paraId="55946F9B" w14:textId="4B4BAD31"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50</w:t>
            </w:r>
          </w:p>
        </w:tc>
        <w:tc>
          <w:tcPr>
            <w:tcW w:w="880" w:type="dxa"/>
            <w:tcBorders>
              <w:top w:val="nil"/>
              <w:left w:val="nil"/>
              <w:bottom w:val="nil"/>
              <w:right w:val="nil"/>
            </w:tcBorders>
            <w:shd w:val="clear" w:color="auto" w:fill="auto"/>
            <w:noWrap/>
            <w:vAlign w:val="bottom"/>
            <w:hideMark/>
          </w:tcPr>
          <w:p w14:paraId="3A8A7529" w14:textId="31402072"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50</w:t>
            </w:r>
          </w:p>
        </w:tc>
        <w:tc>
          <w:tcPr>
            <w:tcW w:w="880" w:type="dxa"/>
            <w:tcBorders>
              <w:top w:val="nil"/>
              <w:left w:val="nil"/>
              <w:bottom w:val="nil"/>
              <w:right w:val="nil"/>
            </w:tcBorders>
            <w:shd w:val="clear" w:color="auto" w:fill="auto"/>
            <w:noWrap/>
            <w:vAlign w:val="bottom"/>
            <w:hideMark/>
          </w:tcPr>
          <w:p w14:paraId="6CBD764A" w14:textId="0429819F"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50</w:t>
            </w:r>
          </w:p>
        </w:tc>
        <w:tc>
          <w:tcPr>
            <w:tcW w:w="880" w:type="dxa"/>
            <w:tcBorders>
              <w:top w:val="nil"/>
              <w:left w:val="nil"/>
              <w:bottom w:val="nil"/>
              <w:right w:val="nil"/>
            </w:tcBorders>
            <w:shd w:val="clear" w:color="auto" w:fill="auto"/>
            <w:noWrap/>
            <w:vAlign w:val="bottom"/>
            <w:hideMark/>
          </w:tcPr>
          <w:p w14:paraId="3B6FF144" w14:textId="475E59D3"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50</w:t>
            </w:r>
          </w:p>
        </w:tc>
      </w:tr>
      <w:tr w:rsidR="004C6D93" w:rsidRPr="00C5339C" w14:paraId="510386F0" w14:textId="77777777" w:rsidTr="00161932">
        <w:trPr>
          <w:trHeight w:val="204"/>
        </w:trPr>
        <w:tc>
          <w:tcPr>
            <w:tcW w:w="2860" w:type="dxa"/>
            <w:tcBorders>
              <w:top w:val="nil"/>
              <w:left w:val="nil"/>
              <w:bottom w:val="nil"/>
              <w:right w:val="nil"/>
            </w:tcBorders>
            <w:shd w:val="clear" w:color="000000" w:fill="FFFFFF"/>
            <w:vAlign w:val="center"/>
            <w:hideMark/>
          </w:tcPr>
          <w:p w14:paraId="7A1020B8" w14:textId="77777777" w:rsidR="004C6D93" w:rsidRPr="00C5339C" w:rsidRDefault="004C6D93" w:rsidP="00C5339C">
            <w:pPr>
              <w:spacing w:after="0" w:line="240" w:lineRule="auto"/>
              <w:jc w:val="right"/>
              <w:rPr>
                <w:rFonts w:ascii="Arial" w:hAnsi="Arial" w:cs="Arial"/>
                <w:b/>
                <w:bCs/>
                <w:sz w:val="16"/>
                <w:szCs w:val="16"/>
              </w:rPr>
            </w:pPr>
            <w:r w:rsidRPr="00C5339C">
              <w:rPr>
                <w:rFonts w:ascii="Arial" w:hAnsi="Arial" w:cs="Arial"/>
                <w:b/>
                <w:bCs/>
                <w:sz w:val="16"/>
                <w:szCs w:val="16"/>
              </w:rPr>
              <w:t>Administered total</w:t>
            </w:r>
          </w:p>
        </w:tc>
        <w:tc>
          <w:tcPr>
            <w:tcW w:w="901" w:type="dxa"/>
            <w:tcBorders>
              <w:top w:val="single" w:sz="4" w:space="0" w:color="000000"/>
              <w:left w:val="nil"/>
              <w:bottom w:val="single" w:sz="4" w:space="0" w:color="000000"/>
              <w:right w:val="nil"/>
            </w:tcBorders>
            <w:shd w:val="clear" w:color="auto" w:fill="auto"/>
            <w:noWrap/>
            <w:vAlign w:val="bottom"/>
            <w:hideMark/>
          </w:tcPr>
          <w:p w14:paraId="57C43AB0" w14:textId="09A8BBD0" w:rsidR="004C6D93" w:rsidRPr="00753A31" w:rsidRDefault="004C6D93" w:rsidP="004C6D93">
            <w:pPr>
              <w:spacing w:after="0" w:line="240" w:lineRule="auto"/>
              <w:jc w:val="right"/>
              <w:rPr>
                <w:rFonts w:ascii="Arial" w:hAnsi="Arial" w:cs="Arial"/>
                <w:b/>
                <w:color w:val="000000"/>
                <w:sz w:val="16"/>
                <w:szCs w:val="16"/>
              </w:rPr>
            </w:pPr>
            <w:r w:rsidRPr="00753A31">
              <w:rPr>
                <w:rFonts w:ascii="Arial" w:hAnsi="Arial" w:cs="Arial"/>
                <w:b/>
                <w:color w:val="000000"/>
                <w:sz w:val="16"/>
                <w:szCs w:val="16"/>
              </w:rPr>
              <w:t>303</w:t>
            </w:r>
          </w:p>
        </w:tc>
        <w:tc>
          <w:tcPr>
            <w:tcW w:w="910" w:type="dxa"/>
            <w:tcBorders>
              <w:top w:val="single" w:sz="4" w:space="0" w:color="000000"/>
              <w:left w:val="nil"/>
              <w:bottom w:val="single" w:sz="4" w:space="0" w:color="000000"/>
              <w:right w:val="nil"/>
            </w:tcBorders>
            <w:shd w:val="clear" w:color="000000" w:fill="E6E6E6"/>
            <w:noWrap/>
            <w:vAlign w:val="bottom"/>
            <w:hideMark/>
          </w:tcPr>
          <w:p w14:paraId="1E0C57EB" w14:textId="2939CAF8" w:rsidR="004C6D93" w:rsidRPr="00753A31" w:rsidRDefault="004C6D93" w:rsidP="004C6D93">
            <w:pPr>
              <w:spacing w:after="0" w:line="240" w:lineRule="auto"/>
              <w:jc w:val="right"/>
              <w:rPr>
                <w:rFonts w:ascii="Arial" w:hAnsi="Arial" w:cs="Arial"/>
                <w:b/>
                <w:sz w:val="16"/>
                <w:szCs w:val="16"/>
              </w:rPr>
            </w:pPr>
            <w:r w:rsidRPr="00753A31">
              <w:rPr>
                <w:rFonts w:ascii="Arial" w:hAnsi="Arial" w:cs="Arial"/>
                <w:b/>
                <w:sz w:val="16"/>
                <w:szCs w:val="16"/>
              </w:rPr>
              <w:t>50</w:t>
            </w:r>
          </w:p>
        </w:tc>
        <w:tc>
          <w:tcPr>
            <w:tcW w:w="880" w:type="dxa"/>
            <w:tcBorders>
              <w:top w:val="single" w:sz="4" w:space="0" w:color="000000"/>
              <w:left w:val="nil"/>
              <w:bottom w:val="single" w:sz="4" w:space="0" w:color="000000"/>
              <w:right w:val="nil"/>
            </w:tcBorders>
            <w:shd w:val="clear" w:color="auto" w:fill="auto"/>
            <w:noWrap/>
            <w:vAlign w:val="bottom"/>
            <w:hideMark/>
          </w:tcPr>
          <w:p w14:paraId="5A958E03" w14:textId="292C4C9C" w:rsidR="004C6D93" w:rsidRPr="00753A31" w:rsidRDefault="004C6D93" w:rsidP="004C6D93">
            <w:pPr>
              <w:spacing w:after="0" w:line="240" w:lineRule="auto"/>
              <w:jc w:val="right"/>
              <w:rPr>
                <w:rFonts w:ascii="Arial" w:hAnsi="Arial" w:cs="Arial"/>
                <w:b/>
                <w:sz w:val="16"/>
                <w:szCs w:val="16"/>
              </w:rPr>
            </w:pPr>
            <w:r w:rsidRPr="00753A31">
              <w:rPr>
                <w:rFonts w:ascii="Arial" w:hAnsi="Arial" w:cs="Arial"/>
                <w:b/>
                <w:sz w:val="16"/>
                <w:szCs w:val="16"/>
              </w:rPr>
              <w:t>50</w:t>
            </w:r>
          </w:p>
        </w:tc>
        <w:tc>
          <w:tcPr>
            <w:tcW w:w="880" w:type="dxa"/>
            <w:tcBorders>
              <w:top w:val="single" w:sz="4" w:space="0" w:color="000000"/>
              <w:left w:val="nil"/>
              <w:bottom w:val="single" w:sz="4" w:space="0" w:color="000000"/>
              <w:right w:val="nil"/>
            </w:tcBorders>
            <w:shd w:val="clear" w:color="auto" w:fill="auto"/>
            <w:noWrap/>
            <w:vAlign w:val="bottom"/>
            <w:hideMark/>
          </w:tcPr>
          <w:p w14:paraId="3675F969" w14:textId="2383BF36" w:rsidR="004C6D93" w:rsidRPr="00753A31" w:rsidRDefault="004C6D93" w:rsidP="004C6D93">
            <w:pPr>
              <w:spacing w:after="0" w:line="240" w:lineRule="auto"/>
              <w:jc w:val="right"/>
              <w:rPr>
                <w:rFonts w:ascii="Arial" w:hAnsi="Arial" w:cs="Arial"/>
                <w:b/>
                <w:sz w:val="16"/>
                <w:szCs w:val="16"/>
              </w:rPr>
            </w:pPr>
            <w:r w:rsidRPr="00753A31">
              <w:rPr>
                <w:rFonts w:ascii="Arial" w:hAnsi="Arial" w:cs="Arial"/>
                <w:b/>
                <w:sz w:val="16"/>
                <w:szCs w:val="16"/>
              </w:rPr>
              <w:t>50</w:t>
            </w:r>
          </w:p>
        </w:tc>
        <w:tc>
          <w:tcPr>
            <w:tcW w:w="880" w:type="dxa"/>
            <w:tcBorders>
              <w:top w:val="single" w:sz="4" w:space="0" w:color="000000"/>
              <w:left w:val="nil"/>
              <w:bottom w:val="single" w:sz="4" w:space="0" w:color="000000"/>
              <w:right w:val="nil"/>
            </w:tcBorders>
            <w:shd w:val="clear" w:color="auto" w:fill="auto"/>
            <w:noWrap/>
            <w:vAlign w:val="bottom"/>
            <w:hideMark/>
          </w:tcPr>
          <w:p w14:paraId="66EDEF55" w14:textId="104B397C" w:rsidR="004C6D93" w:rsidRPr="00753A31" w:rsidRDefault="004C6D93" w:rsidP="004C6D93">
            <w:pPr>
              <w:spacing w:after="0" w:line="240" w:lineRule="auto"/>
              <w:jc w:val="right"/>
              <w:rPr>
                <w:rFonts w:ascii="Arial" w:hAnsi="Arial" w:cs="Arial"/>
                <w:b/>
                <w:sz w:val="16"/>
                <w:szCs w:val="16"/>
              </w:rPr>
            </w:pPr>
            <w:r w:rsidRPr="00753A31">
              <w:rPr>
                <w:rFonts w:ascii="Arial" w:hAnsi="Arial" w:cs="Arial"/>
                <w:b/>
                <w:sz w:val="16"/>
                <w:szCs w:val="16"/>
              </w:rPr>
              <w:t>50</w:t>
            </w:r>
          </w:p>
        </w:tc>
      </w:tr>
      <w:tr w:rsidR="004C6D93" w:rsidRPr="00C5339C" w14:paraId="4151B1EA" w14:textId="77777777" w:rsidTr="00161932">
        <w:trPr>
          <w:trHeight w:val="204"/>
        </w:trPr>
        <w:tc>
          <w:tcPr>
            <w:tcW w:w="2860" w:type="dxa"/>
            <w:tcBorders>
              <w:top w:val="nil"/>
              <w:left w:val="nil"/>
              <w:bottom w:val="nil"/>
              <w:right w:val="nil"/>
            </w:tcBorders>
            <w:shd w:val="clear" w:color="000000" w:fill="FFFFFF"/>
            <w:noWrap/>
            <w:vAlign w:val="center"/>
            <w:hideMark/>
          </w:tcPr>
          <w:p w14:paraId="0F5C9715" w14:textId="5F8C73D1" w:rsidR="004C6D93" w:rsidRPr="00C5339C" w:rsidRDefault="008863D9" w:rsidP="004C6D93">
            <w:pPr>
              <w:spacing w:after="0" w:line="240" w:lineRule="auto"/>
              <w:jc w:val="left"/>
              <w:rPr>
                <w:rFonts w:ascii="Arial" w:hAnsi="Arial" w:cs="Arial"/>
                <w:sz w:val="16"/>
                <w:szCs w:val="16"/>
              </w:rPr>
            </w:pPr>
            <w:r>
              <w:rPr>
                <w:rFonts w:ascii="Arial" w:hAnsi="Arial" w:cs="Arial"/>
                <w:sz w:val="16"/>
                <w:szCs w:val="16"/>
              </w:rPr>
              <w:t>Department</w:t>
            </w:r>
            <w:r w:rsidR="004C6D93" w:rsidRPr="00C5339C">
              <w:rPr>
                <w:rFonts w:ascii="Arial" w:hAnsi="Arial" w:cs="Arial"/>
                <w:sz w:val="16"/>
                <w:szCs w:val="16"/>
              </w:rPr>
              <w:t>al expenses</w:t>
            </w:r>
          </w:p>
        </w:tc>
        <w:tc>
          <w:tcPr>
            <w:tcW w:w="901" w:type="dxa"/>
            <w:tcBorders>
              <w:top w:val="nil"/>
              <w:left w:val="nil"/>
              <w:bottom w:val="nil"/>
              <w:right w:val="nil"/>
            </w:tcBorders>
            <w:shd w:val="clear" w:color="auto" w:fill="auto"/>
            <w:noWrap/>
            <w:vAlign w:val="bottom"/>
            <w:hideMark/>
          </w:tcPr>
          <w:p w14:paraId="6E1CB7B3" w14:textId="77777777" w:rsidR="004C6D93" w:rsidRPr="00C5339C" w:rsidRDefault="004C6D93" w:rsidP="004C6D93">
            <w:pPr>
              <w:spacing w:after="0" w:line="240" w:lineRule="auto"/>
              <w:jc w:val="left"/>
              <w:rPr>
                <w:rFonts w:ascii="Arial" w:hAnsi="Arial" w:cs="Arial"/>
                <w:sz w:val="16"/>
                <w:szCs w:val="16"/>
              </w:rPr>
            </w:pPr>
          </w:p>
        </w:tc>
        <w:tc>
          <w:tcPr>
            <w:tcW w:w="910" w:type="dxa"/>
            <w:tcBorders>
              <w:top w:val="nil"/>
              <w:left w:val="nil"/>
              <w:bottom w:val="nil"/>
              <w:right w:val="nil"/>
            </w:tcBorders>
            <w:shd w:val="clear" w:color="000000" w:fill="E6E6E6"/>
            <w:noWrap/>
            <w:vAlign w:val="bottom"/>
            <w:hideMark/>
          </w:tcPr>
          <w:p w14:paraId="5EC03B45" w14:textId="30E90CBC" w:rsidR="004C6D93" w:rsidRPr="00C5339C" w:rsidRDefault="004C6D93" w:rsidP="004C6D93">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FAEBFFA" w14:textId="77777777" w:rsidR="004C6D93" w:rsidRPr="00C5339C" w:rsidRDefault="004C6D93" w:rsidP="004C6D93">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E07A19A" w14:textId="77777777" w:rsidR="004C6D93" w:rsidRPr="00C5339C" w:rsidRDefault="004C6D93" w:rsidP="004C6D93">
            <w:pPr>
              <w:spacing w:after="0" w:line="240" w:lineRule="auto"/>
              <w:jc w:val="lef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5CF6B3C" w14:textId="77777777" w:rsidR="004C6D93" w:rsidRPr="00C5339C" w:rsidRDefault="004C6D93" w:rsidP="004C6D93">
            <w:pPr>
              <w:spacing w:after="0" w:line="240" w:lineRule="auto"/>
              <w:jc w:val="left"/>
              <w:rPr>
                <w:rFonts w:ascii="Arial" w:hAnsi="Arial" w:cs="Arial"/>
                <w:sz w:val="16"/>
                <w:szCs w:val="16"/>
              </w:rPr>
            </w:pPr>
          </w:p>
        </w:tc>
      </w:tr>
      <w:tr w:rsidR="004C6D93" w:rsidRPr="00C5339C" w14:paraId="6DE6965B" w14:textId="77777777" w:rsidTr="00161932">
        <w:trPr>
          <w:trHeight w:val="204"/>
        </w:trPr>
        <w:tc>
          <w:tcPr>
            <w:tcW w:w="2860" w:type="dxa"/>
            <w:tcBorders>
              <w:top w:val="nil"/>
              <w:left w:val="nil"/>
              <w:bottom w:val="nil"/>
              <w:right w:val="nil"/>
            </w:tcBorders>
            <w:shd w:val="clear" w:color="000000" w:fill="FFFFFF"/>
            <w:noWrap/>
            <w:vAlign w:val="center"/>
            <w:hideMark/>
          </w:tcPr>
          <w:p w14:paraId="76234508" w14:textId="0EF85605" w:rsidR="004C6D93" w:rsidRPr="00C5339C" w:rsidRDefault="008863D9" w:rsidP="00C5339C">
            <w:pPr>
              <w:spacing w:after="0" w:line="240" w:lineRule="auto"/>
              <w:ind w:left="113"/>
              <w:jc w:val="left"/>
              <w:rPr>
                <w:rFonts w:ascii="Arial" w:hAnsi="Arial" w:cs="Arial"/>
                <w:sz w:val="16"/>
                <w:szCs w:val="16"/>
              </w:rPr>
            </w:pPr>
            <w:r>
              <w:rPr>
                <w:rFonts w:ascii="Arial" w:hAnsi="Arial" w:cs="Arial"/>
                <w:sz w:val="16"/>
                <w:szCs w:val="16"/>
              </w:rPr>
              <w:t>Department</w:t>
            </w:r>
            <w:r w:rsidR="004C6D93" w:rsidRPr="00C5339C">
              <w:rPr>
                <w:rFonts w:ascii="Arial" w:hAnsi="Arial" w:cs="Arial"/>
                <w:sz w:val="16"/>
                <w:szCs w:val="16"/>
              </w:rPr>
              <w:t>al appropriation</w:t>
            </w:r>
          </w:p>
        </w:tc>
        <w:tc>
          <w:tcPr>
            <w:tcW w:w="901" w:type="dxa"/>
            <w:tcBorders>
              <w:top w:val="nil"/>
              <w:left w:val="nil"/>
              <w:bottom w:val="nil"/>
              <w:right w:val="nil"/>
            </w:tcBorders>
            <w:shd w:val="clear" w:color="auto" w:fill="auto"/>
            <w:noWrap/>
            <w:vAlign w:val="bottom"/>
            <w:hideMark/>
          </w:tcPr>
          <w:p w14:paraId="421C3ABE" w14:textId="779A5518" w:rsidR="004C6D93" w:rsidRPr="00C5339C" w:rsidRDefault="004C6D93" w:rsidP="004C6D93">
            <w:pPr>
              <w:spacing w:after="0" w:line="240" w:lineRule="auto"/>
              <w:jc w:val="right"/>
              <w:rPr>
                <w:rFonts w:ascii="Arial" w:hAnsi="Arial" w:cs="Arial"/>
                <w:color w:val="000000"/>
                <w:sz w:val="16"/>
                <w:szCs w:val="16"/>
              </w:rPr>
            </w:pPr>
            <w:r w:rsidRPr="00C5339C">
              <w:rPr>
                <w:rFonts w:ascii="Arial" w:hAnsi="Arial" w:cs="Arial"/>
                <w:color w:val="000000"/>
                <w:sz w:val="16"/>
                <w:szCs w:val="16"/>
              </w:rPr>
              <w:t>40,526</w:t>
            </w:r>
          </w:p>
        </w:tc>
        <w:tc>
          <w:tcPr>
            <w:tcW w:w="910" w:type="dxa"/>
            <w:tcBorders>
              <w:top w:val="nil"/>
              <w:left w:val="nil"/>
              <w:bottom w:val="nil"/>
              <w:right w:val="nil"/>
            </w:tcBorders>
            <w:shd w:val="clear" w:color="000000" w:fill="E6E6E6"/>
            <w:noWrap/>
            <w:vAlign w:val="bottom"/>
            <w:hideMark/>
          </w:tcPr>
          <w:p w14:paraId="50066829" w14:textId="76BF80E3"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42,876</w:t>
            </w:r>
          </w:p>
        </w:tc>
        <w:tc>
          <w:tcPr>
            <w:tcW w:w="880" w:type="dxa"/>
            <w:tcBorders>
              <w:top w:val="nil"/>
              <w:left w:val="nil"/>
              <w:bottom w:val="nil"/>
              <w:right w:val="nil"/>
            </w:tcBorders>
            <w:shd w:val="clear" w:color="auto" w:fill="auto"/>
            <w:noWrap/>
            <w:vAlign w:val="bottom"/>
            <w:hideMark/>
          </w:tcPr>
          <w:p w14:paraId="20D6BE45" w14:textId="2BC07861"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43,057</w:t>
            </w:r>
          </w:p>
        </w:tc>
        <w:tc>
          <w:tcPr>
            <w:tcW w:w="880" w:type="dxa"/>
            <w:tcBorders>
              <w:top w:val="nil"/>
              <w:left w:val="nil"/>
              <w:bottom w:val="nil"/>
              <w:right w:val="nil"/>
            </w:tcBorders>
            <w:shd w:val="clear" w:color="auto" w:fill="auto"/>
            <w:noWrap/>
            <w:vAlign w:val="bottom"/>
            <w:hideMark/>
          </w:tcPr>
          <w:p w14:paraId="694E1A95" w14:textId="11D6FB15"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41,159</w:t>
            </w:r>
          </w:p>
        </w:tc>
        <w:tc>
          <w:tcPr>
            <w:tcW w:w="880" w:type="dxa"/>
            <w:tcBorders>
              <w:top w:val="nil"/>
              <w:left w:val="nil"/>
              <w:bottom w:val="nil"/>
              <w:right w:val="nil"/>
            </w:tcBorders>
            <w:shd w:val="clear" w:color="auto" w:fill="auto"/>
            <w:noWrap/>
            <w:vAlign w:val="bottom"/>
            <w:hideMark/>
          </w:tcPr>
          <w:p w14:paraId="745EA4D6" w14:textId="7F6AFFEF"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41,124</w:t>
            </w:r>
          </w:p>
        </w:tc>
      </w:tr>
      <w:tr w:rsidR="004C6D93" w:rsidRPr="00C5339C" w14:paraId="0CCFFB64" w14:textId="77777777" w:rsidTr="00161932">
        <w:trPr>
          <w:trHeight w:val="204"/>
        </w:trPr>
        <w:tc>
          <w:tcPr>
            <w:tcW w:w="2860" w:type="dxa"/>
            <w:tcBorders>
              <w:top w:val="nil"/>
              <w:left w:val="nil"/>
              <w:bottom w:val="nil"/>
              <w:right w:val="nil"/>
            </w:tcBorders>
            <w:shd w:val="clear" w:color="000000" w:fill="FFFFFF"/>
            <w:vAlign w:val="center"/>
            <w:hideMark/>
          </w:tcPr>
          <w:p w14:paraId="42232190" w14:textId="77777777" w:rsidR="004C6D93" w:rsidRPr="00C5339C" w:rsidRDefault="004C6D93" w:rsidP="00C5339C">
            <w:pPr>
              <w:spacing w:after="0" w:line="240" w:lineRule="auto"/>
              <w:ind w:left="113"/>
              <w:jc w:val="left"/>
              <w:rPr>
                <w:rFonts w:ascii="Arial" w:hAnsi="Arial" w:cs="Arial"/>
                <w:sz w:val="16"/>
                <w:szCs w:val="16"/>
              </w:rPr>
            </w:pPr>
            <w:r w:rsidRPr="00C5339C">
              <w:rPr>
                <w:rFonts w:ascii="Arial" w:hAnsi="Arial" w:cs="Arial"/>
                <w:sz w:val="16"/>
                <w:szCs w:val="16"/>
              </w:rPr>
              <w:t xml:space="preserve">s74 External Revenue </w:t>
            </w:r>
            <w:r w:rsidRPr="00C5339C">
              <w:rPr>
                <w:rFonts w:ascii="Arial" w:hAnsi="Arial" w:cs="Arial"/>
                <w:sz w:val="16"/>
                <w:szCs w:val="16"/>
                <w:vertAlign w:val="superscript"/>
              </w:rPr>
              <w:t>(a)</w:t>
            </w:r>
          </w:p>
        </w:tc>
        <w:tc>
          <w:tcPr>
            <w:tcW w:w="901" w:type="dxa"/>
            <w:tcBorders>
              <w:top w:val="nil"/>
              <w:left w:val="nil"/>
              <w:bottom w:val="nil"/>
              <w:right w:val="nil"/>
            </w:tcBorders>
            <w:shd w:val="clear" w:color="auto" w:fill="auto"/>
            <w:noWrap/>
            <w:vAlign w:val="bottom"/>
            <w:hideMark/>
          </w:tcPr>
          <w:p w14:paraId="58CB5891" w14:textId="46E97394" w:rsidR="004C6D93" w:rsidRPr="00C5339C" w:rsidRDefault="004C6D93" w:rsidP="004C6D93">
            <w:pPr>
              <w:spacing w:after="0" w:line="240" w:lineRule="auto"/>
              <w:jc w:val="right"/>
              <w:rPr>
                <w:rFonts w:ascii="Arial" w:hAnsi="Arial" w:cs="Arial"/>
                <w:color w:val="000000"/>
                <w:sz w:val="16"/>
                <w:szCs w:val="16"/>
              </w:rPr>
            </w:pPr>
            <w:r w:rsidRPr="00C5339C">
              <w:rPr>
                <w:rFonts w:ascii="Arial" w:hAnsi="Arial" w:cs="Arial"/>
                <w:color w:val="000000"/>
                <w:sz w:val="16"/>
                <w:szCs w:val="16"/>
              </w:rPr>
              <w:t>379</w:t>
            </w:r>
          </w:p>
        </w:tc>
        <w:tc>
          <w:tcPr>
            <w:tcW w:w="910" w:type="dxa"/>
            <w:tcBorders>
              <w:top w:val="nil"/>
              <w:left w:val="nil"/>
              <w:bottom w:val="nil"/>
              <w:right w:val="nil"/>
            </w:tcBorders>
            <w:shd w:val="clear" w:color="000000" w:fill="E6E6E6"/>
            <w:noWrap/>
            <w:vAlign w:val="bottom"/>
            <w:hideMark/>
          </w:tcPr>
          <w:p w14:paraId="0C11A8EB" w14:textId="0503C312"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52</w:t>
            </w:r>
          </w:p>
        </w:tc>
        <w:tc>
          <w:tcPr>
            <w:tcW w:w="880" w:type="dxa"/>
            <w:tcBorders>
              <w:top w:val="nil"/>
              <w:left w:val="nil"/>
              <w:bottom w:val="nil"/>
              <w:right w:val="nil"/>
            </w:tcBorders>
            <w:shd w:val="clear" w:color="auto" w:fill="auto"/>
            <w:noWrap/>
            <w:vAlign w:val="bottom"/>
            <w:hideMark/>
          </w:tcPr>
          <w:p w14:paraId="1C89E49D" w14:textId="7C5F35E5"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52</w:t>
            </w:r>
          </w:p>
        </w:tc>
        <w:tc>
          <w:tcPr>
            <w:tcW w:w="880" w:type="dxa"/>
            <w:tcBorders>
              <w:top w:val="nil"/>
              <w:left w:val="nil"/>
              <w:bottom w:val="nil"/>
              <w:right w:val="nil"/>
            </w:tcBorders>
            <w:shd w:val="clear" w:color="auto" w:fill="auto"/>
            <w:noWrap/>
            <w:vAlign w:val="bottom"/>
            <w:hideMark/>
          </w:tcPr>
          <w:p w14:paraId="71141913" w14:textId="6BA38069"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52</w:t>
            </w:r>
          </w:p>
        </w:tc>
        <w:tc>
          <w:tcPr>
            <w:tcW w:w="880" w:type="dxa"/>
            <w:tcBorders>
              <w:top w:val="nil"/>
              <w:left w:val="nil"/>
              <w:bottom w:val="nil"/>
              <w:right w:val="nil"/>
            </w:tcBorders>
            <w:shd w:val="clear" w:color="auto" w:fill="auto"/>
            <w:noWrap/>
            <w:vAlign w:val="bottom"/>
            <w:hideMark/>
          </w:tcPr>
          <w:p w14:paraId="2B12D707" w14:textId="7A821D79"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52</w:t>
            </w:r>
          </w:p>
        </w:tc>
      </w:tr>
      <w:tr w:rsidR="004C6D93" w:rsidRPr="00C5339C" w14:paraId="05877E9A" w14:textId="77777777" w:rsidTr="00161932">
        <w:trPr>
          <w:trHeight w:val="204"/>
        </w:trPr>
        <w:tc>
          <w:tcPr>
            <w:tcW w:w="2860" w:type="dxa"/>
            <w:tcBorders>
              <w:top w:val="nil"/>
              <w:left w:val="nil"/>
              <w:bottom w:val="nil"/>
              <w:right w:val="nil"/>
            </w:tcBorders>
            <w:shd w:val="clear" w:color="auto" w:fill="auto"/>
            <w:vAlign w:val="center"/>
            <w:hideMark/>
          </w:tcPr>
          <w:p w14:paraId="21EBE89F" w14:textId="61D97950" w:rsidR="004C6D93" w:rsidRPr="00C5339C" w:rsidRDefault="004C6D93" w:rsidP="00C5339C">
            <w:pPr>
              <w:spacing w:after="0" w:line="240" w:lineRule="auto"/>
              <w:ind w:left="113"/>
              <w:jc w:val="left"/>
              <w:rPr>
                <w:rFonts w:ascii="Arial" w:hAnsi="Arial" w:cs="Arial"/>
                <w:sz w:val="16"/>
                <w:szCs w:val="16"/>
              </w:rPr>
            </w:pPr>
            <w:r w:rsidRPr="00C5339C">
              <w:rPr>
                <w:rFonts w:ascii="Arial" w:hAnsi="Arial" w:cs="Arial"/>
                <w:sz w:val="16"/>
                <w:szCs w:val="16"/>
              </w:rPr>
              <w:t>Expenses not requiring</w:t>
            </w:r>
            <w:r w:rsidR="00C5339C" w:rsidRPr="00C5339C">
              <w:rPr>
                <w:rFonts w:ascii="Arial" w:hAnsi="Arial" w:cs="Arial"/>
                <w:sz w:val="16"/>
                <w:szCs w:val="16"/>
              </w:rPr>
              <w:t xml:space="preserve"> </w:t>
            </w:r>
            <w:r w:rsidRPr="00C5339C">
              <w:rPr>
                <w:rFonts w:ascii="Arial" w:hAnsi="Arial" w:cs="Arial"/>
                <w:sz w:val="16"/>
                <w:szCs w:val="16"/>
              </w:rPr>
              <w:t xml:space="preserve">appropriation in the Budget year </w:t>
            </w:r>
            <w:r w:rsidRPr="00C5339C">
              <w:rPr>
                <w:rFonts w:ascii="Arial" w:hAnsi="Arial" w:cs="Arial"/>
                <w:sz w:val="16"/>
                <w:szCs w:val="16"/>
                <w:vertAlign w:val="superscript"/>
              </w:rPr>
              <w:t>(b)</w:t>
            </w:r>
          </w:p>
        </w:tc>
        <w:tc>
          <w:tcPr>
            <w:tcW w:w="901" w:type="dxa"/>
            <w:tcBorders>
              <w:top w:val="nil"/>
              <w:left w:val="nil"/>
              <w:bottom w:val="nil"/>
              <w:right w:val="nil"/>
            </w:tcBorders>
            <w:shd w:val="clear" w:color="auto" w:fill="auto"/>
            <w:noWrap/>
            <w:vAlign w:val="bottom"/>
            <w:hideMark/>
          </w:tcPr>
          <w:p w14:paraId="7247E590" w14:textId="6CB1A95C" w:rsidR="004C6D93" w:rsidRPr="00C5339C" w:rsidRDefault="004C6D93" w:rsidP="004C6D93">
            <w:pPr>
              <w:spacing w:after="0" w:line="240" w:lineRule="auto"/>
              <w:jc w:val="right"/>
              <w:rPr>
                <w:rFonts w:ascii="Arial" w:hAnsi="Arial" w:cs="Arial"/>
                <w:color w:val="000000"/>
                <w:sz w:val="16"/>
                <w:szCs w:val="16"/>
              </w:rPr>
            </w:pPr>
            <w:r w:rsidRPr="00C5339C">
              <w:rPr>
                <w:rFonts w:ascii="Arial" w:hAnsi="Arial" w:cs="Arial"/>
                <w:color w:val="000000"/>
                <w:sz w:val="16"/>
                <w:szCs w:val="16"/>
              </w:rPr>
              <w:t>5,138</w:t>
            </w:r>
          </w:p>
        </w:tc>
        <w:tc>
          <w:tcPr>
            <w:tcW w:w="910" w:type="dxa"/>
            <w:tcBorders>
              <w:top w:val="nil"/>
              <w:left w:val="nil"/>
              <w:bottom w:val="nil"/>
              <w:right w:val="nil"/>
            </w:tcBorders>
            <w:shd w:val="clear" w:color="000000" w:fill="E6E6E6"/>
            <w:noWrap/>
            <w:vAlign w:val="bottom"/>
            <w:hideMark/>
          </w:tcPr>
          <w:p w14:paraId="4B3EC24B" w14:textId="76BB18BE"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4,570</w:t>
            </w:r>
          </w:p>
        </w:tc>
        <w:tc>
          <w:tcPr>
            <w:tcW w:w="880" w:type="dxa"/>
            <w:tcBorders>
              <w:top w:val="nil"/>
              <w:left w:val="nil"/>
              <w:bottom w:val="nil"/>
              <w:right w:val="nil"/>
            </w:tcBorders>
            <w:shd w:val="clear" w:color="auto" w:fill="auto"/>
            <w:noWrap/>
            <w:vAlign w:val="bottom"/>
            <w:hideMark/>
          </w:tcPr>
          <w:p w14:paraId="41B09030" w14:textId="02B127A4"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4,436</w:t>
            </w:r>
          </w:p>
        </w:tc>
        <w:tc>
          <w:tcPr>
            <w:tcW w:w="880" w:type="dxa"/>
            <w:tcBorders>
              <w:top w:val="nil"/>
              <w:left w:val="nil"/>
              <w:bottom w:val="nil"/>
              <w:right w:val="nil"/>
            </w:tcBorders>
            <w:shd w:val="clear" w:color="auto" w:fill="auto"/>
            <w:noWrap/>
            <w:vAlign w:val="bottom"/>
            <w:hideMark/>
          </w:tcPr>
          <w:p w14:paraId="2D984C38" w14:textId="614A605E"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4,436</w:t>
            </w:r>
          </w:p>
        </w:tc>
        <w:tc>
          <w:tcPr>
            <w:tcW w:w="880" w:type="dxa"/>
            <w:tcBorders>
              <w:top w:val="nil"/>
              <w:left w:val="nil"/>
              <w:bottom w:val="nil"/>
              <w:right w:val="nil"/>
            </w:tcBorders>
            <w:shd w:val="clear" w:color="auto" w:fill="auto"/>
            <w:noWrap/>
            <w:vAlign w:val="bottom"/>
            <w:hideMark/>
          </w:tcPr>
          <w:p w14:paraId="46B0BE76" w14:textId="7D5FF347" w:rsidR="004C6D93" w:rsidRPr="00C5339C" w:rsidRDefault="004C6D93" w:rsidP="004C6D93">
            <w:pPr>
              <w:spacing w:after="0" w:line="240" w:lineRule="auto"/>
              <w:jc w:val="right"/>
              <w:rPr>
                <w:rFonts w:ascii="Arial" w:hAnsi="Arial" w:cs="Arial"/>
                <w:sz w:val="16"/>
                <w:szCs w:val="16"/>
              </w:rPr>
            </w:pPr>
            <w:r w:rsidRPr="00C5339C">
              <w:rPr>
                <w:rFonts w:ascii="Arial" w:hAnsi="Arial" w:cs="Arial"/>
                <w:sz w:val="16"/>
                <w:szCs w:val="16"/>
              </w:rPr>
              <w:t>4,436</w:t>
            </w:r>
          </w:p>
        </w:tc>
      </w:tr>
      <w:tr w:rsidR="004C6D93" w:rsidRPr="00C5339C" w14:paraId="706E82C9" w14:textId="77777777" w:rsidTr="00161932">
        <w:trPr>
          <w:trHeight w:val="204"/>
        </w:trPr>
        <w:tc>
          <w:tcPr>
            <w:tcW w:w="2860" w:type="dxa"/>
            <w:tcBorders>
              <w:top w:val="nil"/>
              <w:left w:val="nil"/>
              <w:bottom w:val="nil"/>
              <w:right w:val="nil"/>
            </w:tcBorders>
            <w:shd w:val="clear" w:color="auto" w:fill="auto"/>
            <w:vAlign w:val="center"/>
            <w:hideMark/>
          </w:tcPr>
          <w:p w14:paraId="3A10833B" w14:textId="32AB6338" w:rsidR="004C6D93" w:rsidRPr="00C5339C" w:rsidRDefault="008863D9" w:rsidP="00C5339C">
            <w:pPr>
              <w:spacing w:after="0" w:line="240" w:lineRule="auto"/>
              <w:jc w:val="right"/>
              <w:rPr>
                <w:rFonts w:ascii="Arial" w:hAnsi="Arial" w:cs="Arial"/>
                <w:b/>
                <w:bCs/>
                <w:sz w:val="16"/>
                <w:szCs w:val="16"/>
              </w:rPr>
            </w:pPr>
            <w:r>
              <w:rPr>
                <w:rFonts w:ascii="Arial" w:hAnsi="Arial" w:cs="Arial"/>
                <w:b/>
                <w:bCs/>
                <w:sz w:val="16"/>
                <w:szCs w:val="16"/>
              </w:rPr>
              <w:t>Department</w:t>
            </w:r>
            <w:r w:rsidR="004C6D93" w:rsidRPr="00C5339C">
              <w:rPr>
                <w:rFonts w:ascii="Arial" w:hAnsi="Arial" w:cs="Arial"/>
                <w:b/>
                <w:bCs/>
                <w:sz w:val="16"/>
                <w:szCs w:val="16"/>
              </w:rPr>
              <w:t>al total</w:t>
            </w:r>
          </w:p>
        </w:tc>
        <w:tc>
          <w:tcPr>
            <w:tcW w:w="901" w:type="dxa"/>
            <w:tcBorders>
              <w:top w:val="single" w:sz="4" w:space="0" w:color="000000"/>
              <w:left w:val="nil"/>
              <w:bottom w:val="single" w:sz="4" w:space="0" w:color="000000"/>
              <w:right w:val="nil"/>
            </w:tcBorders>
            <w:shd w:val="clear" w:color="auto" w:fill="auto"/>
            <w:noWrap/>
            <w:vAlign w:val="bottom"/>
            <w:hideMark/>
          </w:tcPr>
          <w:p w14:paraId="26874B7F" w14:textId="6504E8AC" w:rsidR="004C6D93" w:rsidRPr="00753A31" w:rsidRDefault="004C6D93" w:rsidP="004C6D93">
            <w:pPr>
              <w:spacing w:after="0" w:line="240" w:lineRule="auto"/>
              <w:jc w:val="right"/>
              <w:rPr>
                <w:rFonts w:ascii="Arial" w:hAnsi="Arial" w:cs="Arial"/>
                <w:b/>
                <w:color w:val="000000"/>
                <w:sz w:val="16"/>
                <w:szCs w:val="16"/>
              </w:rPr>
            </w:pPr>
            <w:r w:rsidRPr="00753A31">
              <w:rPr>
                <w:rFonts w:ascii="Arial" w:hAnsi="Arial" w:cs="Arial"/>
                <w:b/>
                <w:color w:val="000000"/>
                <w:sz w:val="16"/>
                <w:szCs w:val="16"/>
              </w:rPr>
              <w:t>46,043</w:t>
            </w:r>
          </w:p>
        </w:tc>
        <w:tc>
          <w:tcPr>
            <w:tcW w:w="910" w:type="dxa"/>
            <w:tcBorders>
              <w:top w:val="single" w:sz="4" w:space="0" w:color="000000"/>
              <w:left w:val="nil"/>
              <w:bottom w:val="single" w:sz="4" w:space="0" w:color="000000"/>
              <w:right w:val="nil"/>
            </w:tcBorders>
            <w:shd w:val="clear" w:color="000000" w:fill="E6E6E6"/>
            <w:noWrap/>
            <w:vAlign w:val="bottom"/>
            <w:hideMark/>
          </w:tcPr>
          <w:p w14:paraId="2F68118B" w14:textId="085EEE52" w:rsidR="004C6D93" w:rsidRPr="00753A31" w:rsidRDefault="004C6D93" w:rsidP="004C6D93">
            <w:pPr>
              <w:spacing w:after="0" w:line="240" w:lineRule="auto"/>
              <w:jc w:val="right"/>
              <w:rPr>
                <w:rFonts w:ascii="Arial" w:hAnsi="Arial" w:cs="Arial"/>
                <w:b/>
                <w:sz w:val="16"/>
                <w:szCs w:val="16"/>
              </w:rPr>
            </w:pPr>
            <w:r w:rsidRPr="00753A31">
              <w:rPr>
                <w:rFonts w:ascii="Arial" w:hAnsi="Arial" w:cs="Arial"/>
                <w:b/>
                <w:sz w:val="16"/>
                <w:szCs w:val="16"/>
              </w:rPr>
              <w:t>47,498</w:t>
            </w:r>
          </w:p>
        </w:tc>
        <w:tc>
          <w:tcPr>
            <w:tcW w:w="880" w:type="dxa"/>
            <w:tcBorders>
              <w:top w:val="single" w:sz="4" w:space="0" w:color="000000"/>
              <w:left w:val="nil"/>
              <w:bottom w:val="single" w:sz="4" w:space="0" w:color="000000"/>
              <w:right w:val="nil"/>
            </w:tcBorders>
            <w:shd w:val="clear" w:color="auto" w:fill="auto"/>
            <w:noWrap/>
            <w:vAlign w:val="bottom"/>
            <w:hideMark/>
          </w:tcPr>
          <w:p w14:paraId="4675C322" w14:textId="3CE97F7B" w:rsidR="004C6D93" w:rsidRPr="00753A31" w:rsidRDefault="004C6D93" w:rsidP="004C6D93">
            <w:pPr>
              <w:spacing w:after="0" w:line="240" w:lineRule="auto"/>
              <w:jc w:val="right"/>
              <w:rPr>
                <w:rFonts w:ascii="Arial" w:hAnsi="Arial" w:cs="Arial"/>
                <w:b/>
                <w:sz w:val="16"/>
                <w:szCs w:val="16"/>
              </w:rPr>
            </w:pPr>
            <w:r w:rsidRPr="00753A31">
              <w:rPr>
                <w:rFonts w:ascii="Arial" w:hAnsi="Arial" w:cs="Arial"/>
                <w:b/>
                <w:sz w:val="16"/>
                <w:szCs w:val="16"/>
              </w:rPr>
              <w:t>47,545</w:t>
            </w:r>
          </w:p>
        </w:tc>
        <w:tc>
          <w:tcPr>
            <w:tcW w:w="880" w:type="dxa"/>
            <w:tcBorders>
              <w:top w:val="single" w:sz="4" w:space="0" w:color="000000"/>
              <w:left w:val="nil"/>
              <w:bottom w:val="single" w:sz="4" w:space="0" w:color="000000"/>
              <w:right w:val="nil"/>
            </w:tcBorders>
            <w:shd w:val="clear" w:color="auto" w:fill="auto"/>
            <w:noWrap/>
            <w:vAlign w:val="bottom"/>
            <w:hideMark/>
          </w:tcPr>
          <w:p w14:paraId="2ECBCDB0" w14:textId="64CC544B" w:rsidR="004C6D93" w:rsidRPr="00753A31" w:rsidRDefault="004C6D93" w:rsidP="004C6D93">
            <w:pPr>
              <w:spacing w:after="0" w:line="240" w:lineRule="auto"/>
              <w:jc w:val="right"/>
              <w:rPr>
                <w:rFonts w:ascii="Arial" w:hAnsi="Arial" w:cs="Arial"/>
                <w:b/>
                <w:sz w:val="16"/>
                <w:szCs w:val="16"/>
              </w:rPr>
            </w:pPr>
            <w:r w:rsidRPr="00753A31">
              <w:rPr>
                <w:rFonts w:ascii="Arial" w:hAnsi="Arial" w:cs="Arial"/>
                <w:b/>
                <w:sz w:val="16"/>
                <w:szCs w:val="16"/>
              </w:rPr>
              <w:t>45,647</w:t>
            </w:r>
          </w:p>
        </w:tc>
        <w:tc>
          <w:tcPr>
            <w:tcW w:w="880" w:type="dxa"/>
            <w:tcBorders>
              <w:top w:val="single" w:sz="4" w:space="0" w:color="000000"/>
              <w:left w:val="nil"/>
              <w:bottom w:val="single" w:sz="4" w:space="0" w:color="000000"/>
              <w:right w:val="nil"/>
            </w:tcBorders>
            <w:shd w:val="clear" w:color="auto" w:fill="auto"/>
            <w:noWrap/>
            <w:vAlign w:val="bottom"/>
            <w:hideMark/>
          </w:tcPr>
          <w:p w14:paraId="5B9EA6B6" w14:textId="0DCAAD72" w:rsidR="004C6D93" w:rsidRPr="00753A31" w:rsidRDefault="004C6D93" w:rsidP="004C6D93">
            <w:pPr>
              <w:spacing w:after="0" w:line="240" w:lineRule="auto"/>
              <w:jc w:val="right"/>
              <w:rPr>
                <w:rFonts w:ascii="Arial" w:hAnsi="Arial" w:cs="Arial"/>
                <w:b/>
                <w:sz w:val="16"/>
                <w:szCs w:val="16"/>
              </w:rPr>
            </w:pPr>
            <w:r w:rsidRPr="00753A31">
              <w:rPr>
                <w:rFonts w:ascii="Arial" w:hAnsi="Arial" w:cs="Arial"/>
                <w:b/>
                <w:sz w:val="16"/>
                <w:szCs w:val="16"/>
              </w:rPr>
              <w:t>45,612</w:t>
            </w:r>
          </w:p>
        </w:tc>
      </w:tr>
      <w:tr w:rsidR="004C6D93" w:rsidRPr="00C5339C" w14:paraId="637EBE96" w14:textId="77777777" w:rsidTr="00161932">
        <w:trPr>
          <w:trHeight w:val="204"/>
        </w:trPr>
        <w:tc>
          <w:tcPr>
            <w:tcW w:w="2860" w:type="dxa"/>
            <w:tcBorders>
              <w:top w:val="nil"/>
              <w:left w:val="nil"/>
              <w:bottom w:val="single" w:sz="4" w:space="0" w:color="000000"/>
              <w:right w:val="nil"/>
            </w:tcBorders>
            <w:shd w:val="clear" w:color="auto" w:fill="auto"/>
            <w:vAlign w:val="center"/>
            <w:hideMark/>
          </w:tcPr>
          <w:p w14:paraId="5A9C3DB9" w14:textId="77777777" w:rsidR="004C6D93" w:rsidRPr="00C5339C" w:rsidRDefault="004C6D93" w:rsidP="004C6D93">
            <w:pPr>
              <w:spacing w:after="0" w:line="240" w:lineRule="auto"/>
              <w:jc w:val="left"/>
              <w:rPr>
                <w:rFonts w:ascii="Arial" w:hAnsi="Arial" w:cs="Arial"/>
                <w:b/>
                <w:bCs/>
                <w:sz w:val="16"/>
                <w:szCs w:val="16"/>
              </w:rPr>
            </w:pPr>
            <w:r w:rsidRPr="00C5339C">
              <w:rPr>
                <w:rFonts w:ascii="Arial" w:hAnsi="Arial" w:cs="Arial"/>
                <w:b/>
                <w:bCs/>
                <w:sz w:val="16"/>
                <w:szCs w:val="16"/>
              </w:rPr>
              <w:t>Total expenses for program 1.1</w:t>
            </w:r>
          </w:p>
        </w:tc>
        <w:tc>
          <w:tcPr>
            <w:tcW w:w="901" w:type="dxa"/>
            <w:tcBorders>
              <w:top w:val="nil"/>
              <w:left w:val="nil"/>
              <w:bottom w:val="single" w:sz="4" w:space="0" w:color="000000"/>
              <w:right w:val="nil"/>
            </w:tcBorders>
            <w:shd w:val="clear" w:color="auto" w:fill="auto"/>
            <w:noWrap/>
            <w:vAlign w:val="bottom"/>
            <w:hideMark/>
          </w:tcPr>
          <w:p w14:paraId="36F8C0D8" w14:textId="336CACFB" w:rsidR="004C6D93" w:rsidRPr="00C5339C" w:rsidRDefault="004C6D93" w:rsidP="004C6D93">
            <w:pPr>
              <w:spacing w:after="0" w:line="240" w:lineRule="auto"/>
              <w:jc w:val="right"/>
              <w:rPr>
                <w:rFonts w:ascii="Arial" w:hAnsi="Arial" w:cs="Arial"/>
                <w:b/>
                <w:bCs/>
                <w:color w:val="000000"/>
                <w:sz w:val="16"/>
                <w:szCs w:val="16"/>
              </w:rPr>
            </w:pPr>
            <w:r w:rsidRPr="00C5339C">
              <w:rPr>
                <w:rFonts w:ascii="Arial" w:hAnsi="Arial" w:cs="Arial"/>
                <w:b/>
                <w:bCs/>
                <w:color w:val="000000"/>
                <w:sz w:val="16"/>
                <w:szCs w:val="16"/>
              </w:rPr>
              <w:t>46,346</w:t>
            </w:r>
          </w:p>
        </w:tc>
        <w:tc>
          <w:tcPr>
            <w:tcW w:w="910" w:type="dxa"/>
            <w:tcBorders>
              <w:top w:val="nil"/>
              <w:left w:val="nil"/>
              <w:bottom w:val="single" w:sz="4" w:space="0" w:color="000000"/>
              <w:right w:val="nil"/>
            </w:tcBorders>
            <w:shd w:val="clear" w:color="000000" w:fill="E6E6E6"/>
            <w:noWrap/>
            <w:vAlign w:val="bottom"/>
            <w:hideMark/>
          </w:tcPr>
          <w:p w14:paraId="000AE1C2" w14:textId="6B34E65C" w:rsidR="004C6D93" w:rsidRPr="00C5339C" w:rsidRDefault="004C6D93" w:rsidP="004C6D93">
            <w:pPr>
              <w:spacing w:after="0" w:line="240" w:lineRule="auto"/>
              <w:jc w:val="right"/>
              <w:rPr>
                <w:rFonts w:ascii="Arial" w:hAnsi="Arial" w:cs="Arial"/>
                <w:b/>
                <w:bCs/>
                <w:color w:val="000000"/>
                <w:sz w:val="16"/>
                <w:szCs w:val="16"/>
              </w:rPr>
            </w:pPr>
            <w:r w:rsidRPr="00C5339C">
              <w:rPr>
                <w:rFonts w:ascii="Arial" w:hAnsi="Arial" w:cs="Arial"/>
                <w:b/>
                <w:bCs/>
                <w:color w:val="000000"/>
                <w:sz w:val="16"/>
                <w:szCs w:val="16"/>
              </w:rPr>
              <w:t>47,548</w:t>
            </w:r>
          </w:p>
        </w:tc>
        <w:tc>
          <w:tcPr>
            <w:tcW w:w="880" w:type="dxa"/>
            <w:tcBorders>
              <w:top w:val="nil"/>
              <w:left w:val="nil"/>
              <w:bottom w:val="single" w:sz="4" w:space="0" w:color="000000"/>
              <w:right w:val="nil"/>
            </w:tcBorders>
            <w:shd w:val="clear" w:color="auto" w:fill="auto"/>
            <w:noWrap/>
            <w:vAlign w:val="bottom"/>
            <w:hideMark/>
          </w:tcPr>
          <w:p w14:paraId="3C83874C" w14:textId="677634B5" w:rsidR="004C6D93" w:rsidRPr="00C5339C" w:rsidRDefault="004C6D93" w:rsidP="004C6D93">
            <w:pPr>
              <w:spacing w:after="0" w:line="240" w:lineRule="auto"/>
              <w:jc w:val="right"/>
              <w:rPr>
                <w:rFonts w:ascii="Arial" w:hAnsi="Arial" w:cs="Arial"/>
                <w:b/>
                <w:bCs/>
                <w:sz w:val="16"/>
                <w:szCs w:val="16"/>
              </w:rPr>
            </w:pPr>
            <w:r w:rsidRPr="00C5339C">
              <w:rPr>
                <w:rFonts w:ascii="Arial" w:hAnsi="Arial" w:cs="Arial"/>
                <w:b/>
                <w:bCs/>
                <w:sz w:val="16"/>
                <w:szCs w:val="16"/>
              </w:rPr>
              <w:t>47,595</w:t>
            </w:r>
          </w:p>
        </w:tc>
        <w:tc>
          <w:tcPr>
            <w:tcW w:w="880" w:type="dxa"/>
            <w:tcBorders>
              <w:top w:val="nil"/>
              <w:left w:val="nil"/>
              <w:bottom w:val="single" w:sz="4" w:space="0" w:color="000000"/>
              <w:right w:val="nil"/>
            </w:tcBorders>
            <w:shd w:val="clear" w:color="auto" w:fill="auto"/>
            <w:noWrap/>
            <w:vAlign w:val="bottom"/>
            <w:hideMark/>
          </w:tcPr>
          <w:p w14:paraId="1CEA54D1" w14:textId="3CD0E323" w:rsidR="004C6D93" w:rsidRPr="00C5339C" w:rsidRDefault="004C6D93" w:rsidP="004C6D93">
            <w:pPr>
              <w:spacing w:after="0" w:line="240" w:lineRule="auto"/>
              <w:jc w:val="right"/>
              <w:rPr>
                <w:rFonts w:ascii="Arial" w:hAnsi="Arial" w:cs="Arial"/>
                <w:b/>
                <w:bCs/>
                <w:sz w:val="16"/>
                <w:szCs w:val="16"/>
              </w:rPr>
            </w:pPr>
            <w:r w:rsidRPr="00C5339C">
              <w:rPr>
                <w:rFonts w:ascii="Arial" w:hAnsi="Arial" w:cs="Arial"/>
                <w:b/>
                <w:bCs/>
                <w:sz w:val="16"/>
                <w:szCs w:val="16"/>
              </w:rPr>
              <w:t>45,697</w:t>
            </w:r>
          </w:p>
        </w:tc>
        <w:tc>
          <w:tcPr>
            <w:tcW w:w="880" w:type="dxa"/>
            <w:tcBorders>
              <w:top w:val="nil"/>
              <w:left w:val="nil"/>
              <w:bottom w:val="single" w:sz="4" w:space="0" w:color="000000"/>
              <w:right w:val="nil"/>
            </w:tcBorders>
            <w:shd w:val="clear" w:color="auto" w:fill="auto"/>
            <w:noWrap/>
            <w:vAlign w:val="bottom"/>
            <w:hideMark/>
          </w:tcPr>
          <w:p w14:paraId="64C48DBF" w14:textId="34A69852" w:rsidR="004C6D93" w:rsidRPr="00C5339C" w:rsidRDefault="004C6D93" w:rsidP="004C6D93">
            <w:pPr>
              <w:spacing w:after="0" w:line="240" w:lineRule="auto"/>
              <w:jc w:val="right"/>
              <w:rPr>
                <w:rFonts w:ascii="Arial" w:hAnsi="Arial" w:cs="Arial"/>
                <w:b/>
                <w:bCs/>
                <w:sz w:val="16"/>
                <w:szCs w:val="16"/>
              </w:rPr>
            </w:pPr>
            <w:r w:rsidRPr="00C5339C">
              <w:rPr>
                <w:rFonts w:ascii="Arial" w:hAnsi="Arial" w:cs="Arial"/>
                <w:b/>
                <w:bCs/>
                <w:sz w:val="16"/>
                <w:szCs w:val="16"/>
              </w:rPr>
              <w:t>45,662</w:t>
            </w:r>
          </w:p>
        </w:tc>
      </w:tr>
    </w:tbl>
    <w:p w14:paraId="76A5A209" w14:textId="77B363CE" w:rsidR="00161932" w:rsidRDefault="00161932">
      <w:r>
        <w:br w:type="page"/>
      </w:r>
    </w:p>
    <w:p w14:paraId="3808D7EA" w14:textId="6A04B502" w:rsidR="00161932" w:rsidRPr="00161932" w:rsidRDefault="00161932" w:rsidP="00161932">
      <w:pPr>
        <w:pStyle w:val="TableHeading"/>
        <w:rPr>
          <w:lang w:val="en-AU"/>
        </w:rPr>
      </w:pPr>
      <w:r w:rsidRPr="00161932">
        <w:rPr>
          <w:lang w:val="en-AU"/>
        </w:rPr>
        <w:lastRenderedPageBreak/>
        <w:t>Table 2.</w:t>
      </w:r>
      <w:r>
        <w:rPr>
          <w:lang w:val="en-AU"/>
        </w:rPr>
        <w:t>2</w:t>
      </w:r>
      <w:r w:rsidRPr="00161932">
        <w:rPr>
          <w:lang w:val="en-AU"/>
        </w:rPr>
        <w:t xml:space="preserve">.1: Budgeted expenses for Outcome </w:t>
      </w:r>
      <w:r>
        <w:rPr>
          <w:lang w:val="en-AU"/>
        </w:rPr>
        <w:t>1 (continued)</w:t>
      </w:r>
    </w:p>
    <w:tbl>
      <w:tblPr>
        <w:tblW w:w="7387" w:type="dxa"/>
        <w:tblLook w:val="04A0" w:firstRow="1" w:lastRow="0" w:firstColumn="1" w:lastColumn="0" w:noHBand="0" w:noVBand="1"/>
      </w:tblPr>
      <w:tblGrid>
        <w:gridCol w:w="2860"/>
        <w:gridCol w:w="117"/>
        <w:gridCol w:w="812"/>
        <w:gridCol w:w="910"/>
        <w:gridCol w:w="812"/>
        <w:gridCol w:w="118"/>
        <w:gridCol w:w="66"/>
        <w:gridCol w:w="696"/>
        <w:gridCol w:w="118"/>
        <w:gridCol w:w="66"/>
        <w:gridCol w:w="812"/>
      </w:tblGrid>
      <w:tr w:rsidR="00852545" w:rsidRPr="003E2528" w14:paraId="0278E4FE" w14:textId="77777777" w:rsidTr="00852545">
        <w:trPr>
          <w:trHeight w:val="584"/>
        </w:trPr>
        <w:tc>
          <w:tcPr>
            <w:tcW w:w="2860" w:type="dxa"/>
            <w:tcBorders>
              <w:top w:val="single" w:sz="4" w:space="0" w:color="auto"/>
              <w:left w:val="nil"/>
              <w:bottom w:val="single" w:sz="4" w:space="0" w:color="auto"/>
              <w:right w:val="nil"/>
            </w:tcBorders>
            <w:shd w:val="clear" w:color="auto" w:fill="auto"/>
            <w:vAlign w:val="center"/>
            <w:hideMark/>
          </w:tcPr>
          <w:p w14:paraId="0DE6F02C" w14:textId="77777777" w:rsidR="00852545" w:rsidRPr="003E2528" w:rsidRDefault="00852545" w:rsidP="00852545">
            <w:pPr>
              <w:spacing w:after="0" w:line="240" w:lineRule="auto"/>
              <w:jc w:val="left"/>
              <w:rPr>
                <w:rFonts w:ascii="Arial" w:hAnsi="Arial" w:cs="Arial"/>
                <w:b/>
                <w:bCs/>
                <w:color w:val="000000"/>
                <w:sz w:val="16"/>
                <w:szCs w:val="16"/>
              </w:rPr>
            </w:pPr>
            <w:r w:rsidRPr="003E2528">
              <w:rPr>
                <w:rFonts w:ascii="Arial" w:hAnsi="Arial" w:cs="Arial"/>
                <w:b/>
                <w:bCs/>
                <w:color w:val="000000"/>
                <w:sz w:val="16"/>
                <w:szCs w:val="16"/>
              </w:rPr>
              <w:t> </w:t>
            </w:r>
          </w:p>
        </w:tc>
        <w:tc>
          <w:tcPr>
            <w:tcW w:w="929" w:type="dxa"/>
            <w:gridSpan w:val="2"/>
            <w:tcBorders>
              <w:top w:val="single" w:sz="4" w:space="0" w:color="auto"/>
              <w:left w:val="nil"/>
              <w:bottom w:val="single" w:sz="4" w:space="0" w:color="auto"/>
              <w:right w:val="nil"/>
            </w:tcBorders>
            <w:shd w:val="clear" w:color="auto" w:fill="auto"/>
            <w:vAlign w:val="bottom"/>
            <w:hideMark/>
          </w:tcPr>
          <w:p w14:paraId="6F987E3B" w14:textId="7B43CFBE" w:rsidR="00852545" w:rsidRPr="003E2528" w:rsidRDefault="00852545" w:rsidP="00852545">
            <w:pPr>
              <w:spacing w:after="0" w:line="240" w:lineRule="auto"/>
              <w:jc w:val="right"/>
              <w:rPr>
                <w:rFonts w:ascii="Arial" w:hAnsi="Arial" w:cs="Arial"/>
                <w:color w:val="000000"/>
                <w:sz w:val="16"/>
                <w:szCs w:val="16"/>
              </w:rPr>
            </w:pPr>
            <w:r w:rsidRPr="00C5339C">
              <w:rPr>
                <w:rFonts w:ascii="Arial" w:hAnsi="Arial" w:cs="Arial"/>
                <w:color w:val="000000"/>
                <w:sz w:val="16"/>
                <w:szCs w:val="16"/>
              </w:rPr>
              <w:t>2020-21</w:t>
            </w:r>
            <w:r w:rsidRPr="00C5339C">
              <w:rPr>
                <w:rFonts w:ascii="Arial" w:hAnsi="Arial" w:cs="Arial"/>
                <w:color w:val="000000"/>
                <w:sz w:val="16"/>
                <w:szCs w:val="16"/>
              </w:rPr>
              <w:br/>
              <w:t>Actual</w:t>
            </w:r>
            <w:r w:rsidRPr="00C5339C">
              <w:rPr>
                <w:rFonts w:ascii="Arial" w:hAnsi="Arial" w:cs="Arial"/>
                <w:color w:val="000000"/>
                <w:sz w:val="16"/>
                <w:szCs w:val="16"/>
              </w:rPr>
              <w:br/>
              <w:t>expenses</w:t>
            </w:r>
            <w:r w:rsidRPr="00C5339C">
              <w:rPr>
                <w:rFonts w:ascii="Arial" w:hAnsi="Arial" w:cs="Arial"/>
                <w:color w:val="000000"/>
                <w:sz w:val="16"/>
                <w:szCs w:val="16"/>
              </w:rPr>
              <w:br/>
              <w:t>$'000</w:t>
            </w:r>
          </w:p>
        </w:tc>
        <w:tc>
          <w:tcPr>
            <w:tcW w:w="910" w:type="dxa"/>
            <w:tcBorders>
              <w:top w:val="single" w:sz="4" w:space="0" w:color="auto"/>
              <w:left w:val="nil"/>
              <w:bottom w:val="single" w:sz="4" w:space="0" w:color="auto"/>
              <w:right w:val="nil"/>
            </w:tcBorders>
            <w:shd w:val="clear" w:color="000000" w:fill="E6E6E6"/>
            <w:vAlign w:val="bottom"/>
            <w:hideMark/>
          </w:tcPr>
          <w:p w14:paraId="482F8AC1" w14:textId="6A411DFC" w:rsidR="00852545" w:rsidRPr="003E2528" w:rsidRDefault="00852545" w:rsidP="00852545">
            <w:pPr>
              <w:spacing w:after="0" w:line="240" w:lineRule="auto"/>
              <w:jc w:val="right"/>
              <w:rPr>
                <w:rFonts w:ascii="Arial" w:hAnsi="Arial" w:cs="Arial"/>
                <w:color w:val="000000"/>
                <w:sz w:val="16"/>
                <w:szCs w:val="16"/>
              </w:rPr>
            </w:pPr>
            <w:r w:rsidRPr="00C5339C">
              <w:rPr>
                <w:rFonts w:ascii="Arial" w:hAnsi="Arial" w:cs="Arial"/>
                <w:color w:val="000000"/>
                <w:sz w:val="16"/>
                <w:szCs w:val="16"/>
              </w:rPr>
              <w:t>2021-22</w:t>
            </w:r>
            <w:r w:rsidRPr="00C5339C">
              <w:rPr>
                <w:rFonts w:ascii="Arial" w:hAnsi="Arial" w:cs="Arial"/>
                <w:color w:val="000000"/>
                <w:sz w:val="16"/>
                <w:szCs w:val="16"/>
              </w:rPr>
              <w:br/>
              <w:t xml:space="preserve">Revised </w:t>
            </w:r>
            <w:r>
              <w:rPr>
                <w:rFonts w:ascii="Arial" w:hAnsi="Arial" w:cs="Arial"/>
                <w:color w:val="000000"/>
                <w:sz w:val="16"/>
                <w:szCs w:val="16"/>
              </w:rPr>
              <w:t>Budget</w:t>
            </w:r>
            <w:r w:rsidRPr="00C5339C">
              <w:rPr>
                <w:rFonts w:ascii="Arial" w:hAnsi="Arial" w:cs="Arial"/>
                <w:color w:val="000000"/>
                <w:sz w:val="16"/>
                <w:szCs w:val="16"/>
              </w:rPr>
              <w:br/>
              <w:t>$'000</w:t>
            </w:r>
          </w:p>
        </w:tc>
        <w:tc>
          <w:tcPr>
            <w:tcW w:w="930" w:type="dxa"/>
            <w:gridSpan w:val="2"/>
            <w:tcBorders>
              <w:top w:val="single" w:sz="4" w:space="0" w:color="auto"/>
              <w:left w:val="nil"/>
              <w:bottom w:val="single" w:sz="4" w:space="0" w:color="auto"/>
              <w:right w:val="nil"/>
            </w:tcBorders>
            <w:shd w:val="clear" w:color="auto" w:fill="auto"/>
            <w:vAlign w:val="bottom"/>
            <w:hideMark/>
          </w:tcPr>
          <w:p w14:paraId="62EAE88D" w14:textId="25CACDCE" w:rsidR="00852545" w:rsidRPr="003E2528" w:rsidRDefault="00852545" w:rsidP="00852545">
            <w:pPr>
              <w:spacing w:after="0" w:line="240" w:lineRule="auto"/>
              <w:jc w:val="right"/>
              <w:rPr>
                <w:rFonts w:ascii="Arial" w:hAnsi="Arial" w:cs="Arial"/>
                <w:sz w:val="16"/>
                <w:szCs w:val="16"/>
              </w:rPr>
            </w:pPr>
            <w:r w:rsidRPr="00C5339C">
              <w:rPr>
                <w:rFonts w:ascii="Arial" w:hAnsi="Arial" w:cs="Arial"/>
                <w:sz w:val="16"/>
                <w:szCs w:val="16"/>
              </w:rPr>
              <w:t>2022-23</w:t>
            </w:r>
            <w:r w:rsidRPr="00C5339C">
              <w:rPr>
                <w:rFonts w:ascii="Arial" w:hAnsi="Arial" w:cs="Arial"/>
                <w:sz w:val="16"/>
                <w:szCs w:val="16"/>
              </w:rPr>
              <w:br/>
              <w:t>Forward</w:t>
            </w:r>
            <w:r w:rsidRPr="00C5339C">
              <w:rPr>
                <w:rFonts w:ascii="Arial" w:hAnsi="Arial" w:cs="Arial"/>
                <w:sz w:val="16"/>
                <w:szCs w:val="16"/>
              </w:rPr>
              <w:br/>
              <w:t>estimate</w:t>
            </w:r>
            <w:r w:rsidRPr="00C5339C">
              <w:rPr>
                <w:rFonts w:ascii="Arial" w:hAnsi="Arial" w:cs="Arial"/>
                <w:sz w:val="16"/>
                <w:szCs w:val="16"/>
              </w:rPr>
              <w:br/>
              <w:t>$'000</w:t>
            </w:r>
          </w:p>
        </w:tc>
        <w:tc>
          <w:tcPr>
            <w:tcW w:w="880" w:type="dxa"/>
            <w:gridSpan w:val="3"/>
            <w:tcBorders>
              <w:top w:val="single" w:sz="4" w:space="0" w:color="auto"/>
              <w:left w:val="nil"/>
              <w:bottom w:val="single" w:sz="4" w:space="0" w:color="auto"/>
              <w:right w:val="nil"/>
            </w:tcBorders>
            <w:shd w:val="clear" w:color="auto" w:fill="auto"/>
            <w:vAlign w:val="bottom"/>
            <w:hideMark/>
          </w:tcPr>
          <w:p w14:paraId="68E84C47" w14:textId="4F5CD1FC" w:rsidR="00852545" w:rsidRPr="003E2528" w:rsidRDefault="00852545" w:rsidP="00852545">
            <w:pPr>
              <w:spacing w:after="0" w:line="240" w:lineRule="auto"/>
              <w:jc w:val="right"/>
              <w:rPr>
                <w:rFonts w:ascii="Arial" w:hAnsi="Arial" w:cs="Arial"/>
                <w:sz w:val="16"/>
                <w:szCs w:val="16"/>
              </w:rPr>
            </w:pPr>
            <w:r w:rsidRPr="00C5339C">
              <w:rPr>
                <w:rFonts w:ascii="Arial" w:hAnsi="Arial" w:cs="Arial"/>
                <w:sz w:val="16"/>
                <w:szCs w:val="16"/>
              </w:rPr>
              <w:t>2023-24</w:t>
            </w:r>
            <w:r w:rsidRPr="00C5339C">
              <w:rPr>
                <w:rFonts w:ascii="Arial" w:hAnsi="Arial" w:cs="Arial"/>
                <w:sz w:val="16"/>
                <w:szCs w:val="16"/>
              </w:rPr>
              <w:br/>
              <w:t>Forward</w:t>
            </w:r>
            <w:r w:rsidRPr="00C5339C">
              <w:rPr>
                <w:rFonts w:ascii="Arial" w:hAnsi="Arial" w:cs="Arial"/>
                <w:sz w:val="16"/>
                <w:szCs w:val="16"/>
              </w:rPr>
              <w:br/>
              <w:t>estimate</w:t>
            </w:r>
            <w:r w:rsidRPr="00C5339C">
              <w:rPr>
                <w:rFonts w:ascii="Arial" w:hAnsi="Arial" w:cs="Arial"/>
                <w:sz w:val="16"/>
                <w:szCs w:val="16"/>
              </w:rPr>
              <w:br/>
              <w:t>'000</w:t>
            </w:r>
          </w:p>
        </w:tc>
        <w:tc>
          <w:tcPr>
            <w:tcW w:w="878" w:type="dxa"/>
            <w:gridSpan w:val="2"/>
            <w:tcBorders>
              <w:top w:val="single" w:sz="4" w:space="0" w:color="auto"/>
              <w:left w:val="nil"/>
              <w:bottom w:val="single" w:sz="4" w:space="0" w:color="auto"/>
              <w:right w:val="nil"/>
            </w:tcBorders>
            <w:shd w:val="clear" w:color="auto" w:fill="auto"/>
            <w:vAlign w:val="bottom"/>
            <w:hideMark/>
          </w:tcPr>
          <w:p w14:paraId="32C31E94" w14:textId="470AB1D7" w:rsidR="00852545" w:rsidRPr="003E2528" w:rsidRDefault="00852545" w:rsidP="00852545">
            <w:pPr>
              <w:spacing w:after="0" w:line="240" w:lineRule="auto"/>
              <w:jc w:val="right"/>
              <w:rPr>
                <w:rFonts w:ascii="Arial" w:hAnsi="Arial" w:cs="Arial"/>
                <w:sz w:val="16"/>
                <w:szCs w:val="16"/>
              </w:rPr>
            </w:pPr>
            <w:r w:rsidRPr="00C5339C">
              <w:rPr>
                <w:rFonts w:ascii="Arial" w:hAnsi="Arial" w:cs="Arial"/>
                <w:sz w:val="16"/>
                <w:szCs w:val="16"/>
              </w:rPr>
              <w:t>2024-25</w:t>
            </w:r>
            <w:r w:rsidRPr="00C5339C">
              <w:rPr>
                <w:rFonts w:ascii="Arial" w:hAnsi="Arial" w:cs="Arial"/>
                <w:sz w:val="16"/>
                <w:szCs w:val="16"/>
              </w:rPr>
              <w:br/>
              <w:t>Forward</w:t>
            </w:r>
            <w:r w:rsidRPr="00C5339C">
              <w:rPr>
                <w:rFonts w:ascii="Arial" w:hAnsi="Arial" w:cs="Arial"/>
                <w:sz w:val="16"/>
                <w:szCs w:val="16"/>
              </w:rPr>
              <w:br/>
              <w:t>estimate</w:t>
            </w:r>
            <w:r w:rsidRPr="00C5339C">
              <w:rPr>
                <w:rFonts w:ascii="Arial" w:hAnsi="Arial" w:cs="Arial"/>
                <w:sz w:val="16"/>
                <w:szCs w:val="16"/>
              </w:rPr>
              <w:br/>
              <w:t>$'000</w:t>
            </w:r>
          </w:p>
        </w:tc>
      </w:tr>
      <w:tr w:rsidR="004C6D93" w:rsidRPr="00C5339C" w14:paraId="2C8B8E60" w14:textId="77777777" w:rsidTr="00852545">
        <w:trPr>
          <w:trHeight w:val="204"/>
        </w:trPr>
        <w:tc>
          <w:tcPr>
            <w:tcW w:w="7387" w:type="dxa"/>
            <w:gridSpan w:val="11"/>
            <w:tcBorders>
              <w:top w:val="single" w:sz="4" w:space="0" w:color="auto"/>
              <w:left w:val="nil"/>
              <w:bottom w:val="single" w:sz="4" w:space="0" w:color="auto"/>
              <w:right w:val="nil"/>
            </w:tcBorders>
            <w:shd w:val="clear" w:color="000000" w:fill="E6E6E6"/>
            <w:vAlign w:val="bottom"/>
            <w:hideMark/>
          </w:tcPr>
          <w:p w14:paraId="10627768" w14:textId="6B53530A" w:rsidR="004C6D93" w:rsidRPr="00C5339C" w:rsidRDefault="004C6D93" w:rsidP="004C6D93">
            <w:pPr>
              <w:spacing w:after="0" w:line="240" w:lineRule="auto"/>
              <w:jc w:val="left"/>
              <w:rPr>
                <w:rFonts w:ascii="Arial" w:hAnsi="Arial" w:cs="Arial"/>
                <w:b/>
                <w:bCs/>
                <w:sz w:val="16"/>
                <w:szCs w:val="16"/>
              </w:rPr>
            </w:pPr>
            <w:r w:rsidRPr="00C5339C">
              <w:rPr>
                <w:rFonts w:ascii="Arial" w:hAnsi="Arial" w:cs="Arial"/>
                <w:b/>
                <w:bCs/>
                <w:sz w:val="16"/>
                <w:szCs w:val="16"/>
              </w:rPr>
              <w:t>Program 1.2: Consumer safeguards, education and information</w:t>
            </w:r>
          </w:p>
        </w:tc>
      </w:tr>
      <w:tr w:rsidR="004C6D93" w:rsidRPr="00C5339C" w14:paraId="56AB24DE" w14:textId="77777777" w:rsidTr="00852545">
        <w:trPr>
          <w:trHeight w:val="204"/>
        </w:trPr>
        <w:tc>
          <w:tcPr>
            <w:tcW w:w="2860" w:type="dxa"/>
            <w:tcBorders>
              <w:top w:val="nil"/>
              <w:left w:val="nil"/>
              <w:bottom w:val="nil"/>
              <w:right w:val="nil"/>
            </w:tcBorders>
            <w:shd w:val="clear" w:color="auto" w:fill="auto"/>
            <w:noWrap/>
            <w:vAlign w:val="center"/>
            <w:hideMark/>
          </w:tcPr>
          <w:p w14:paraId="00E1B832" w14:textId="77777777" w:rsidR="004C6D93" w:rsidRPr="00C5339C" w:rsidRDefault="004C6D93" w:rsidP="004C6D93">
            <w:pPr>
              <w:spacing w:after="0" w:line="240" w:lineRule="auto"/>
              <w:jc w:val="left"/>
              <w:rPr>
                <w:rFonts w:ascii="Arial" w:hAnsi="Arial" w:cs="Arial"/>
                <w:sz w:val="16"/>
                <w:szCs w:val="16"/>
              </w:rPr>
            </w:pPr>
            <w:r w:rsidRPr="00C5339C">
              <w:rPr>
                <w:rFonts w:ascii="Arial" w:hAnsi="Arial" w:cs="Arial"/>
                <w:sz w:val="16"/>
                <w:szCs w:val="16"/>
              </w:rPr>
              <w:t>Administered expenses</w:t>
            </w:r>
          </w:p>
        </w:tc>
        <w:tc>
          <w:tcPr>
            <w:tcW w:w="929" w:type="dxa"/>
            <w:gridSpan w:val="2"/>
            <w:tcBorders>
              <w:top w:val="nil"/>
              <w:left w:val="nil"/>
              <w:bottom w:val="nil"/>
              <w:right w:val="nil"/>
            </w:tcBorders>
            <w:shd w:val="clear" w:color="auto" w:fill="auto"/>
            <w:noWrap/>
            <w:vAlign w:val="bottom"/>
            <w:hideMark/>
          </w:tcPr>
          <w:p w14:paraId="6E63F5EE" w14:textId="77777777" w:rsidR="004C6D93" w:rsidRPr="00C5339C" w:rsidRDefault="004C6D93" w:rsidP="00523B0D">
            <w:pPr>
              <w:spacing w:after="0" w:line="240" w:lineRule="auto"/>
              <w:jc w:val="right"/>
              <w:rPr>
                <w:rFonts w:ascii="Arial" w:hAnsi="Arial" w:cs="Arial"/>
                <w:sz w:val="16"/>
                <w:szCs w:val="16"/>
              </w:rPr>
            </w:pPr>
          </w:p>
        </w:tc>
        <w:tc>
          <w:tcPr>
            <w:tcW w:w="910" w:type="dxa"/>
            <w:tcBorders>
              <w:top w:val="nil"/>
              <w:left w:val="nil"/>
              <w:bottom w:val="nil"/>
              <w:right w:val="nil"/>
            </w:tcBorders>
            <w:shd w:val="clear" w:color="000000" w:fill="E6E6E6"/>
            <w:noWrap/>
            <w:vAlign w:val="bottom"/>
            <w:hideMark/>
          </w:tcPr>
          <w:p w14:paraId="0BDEAC44" w14:textId="11E8916B" w:rsidR="004C6D93" w:rsidRPr="00C5339C" w:rsidRDefault="004C6D93" w:rsidP="00523B0D">
            <w:pPr>
              <w:spacing w:after="0" w:line="240" w:lineRule="auto"/>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78837501" w14:textId="77777777" w:rsidR="004C6D93" w:rsidRPr="00C5339C" w:rsidRDefault="004C6D93" w:rsidP="00523B0D">
            <w:pPr>
              <w:spacing w:after="0" w:line="240" w:lineRule="auto"/>
              <w:jc w:val="right"/>
              <w:rPr>
                <w:rFonts w:ascii="Arial" w:hAnsi="Arial" w:cs="Arial"/>
                <w:sz w:val="16"/>
                <w:szCs w:val="16"/>
              </w:rPr>
            </w:pPr>
          </w:p>
        </w:tc>
        <w:tc>
          <w:tcPr>
            <w:tcW w:w="880" w:type="dxa"/>
            <w:gridSpan w:val="3"/>
            <w:tcBorders>
              <w:top w:val="nil"/>
              <w:left w:val="nil"/>
              <w:bottom w:val="nil"/>
              <w:right w:val="nil"/>
            </w:tcBorders>
            <w:shd w:val="clear" w:color="auto" w:fill="auto"/>
            <w:noWrap/>
            <w:vAlign w:val="bottom"/>
            <w:hideMark/>
          </w:tcPr>
          <w:p w14:paraId="662CB26E" w14:textId="77777777" w:rsidR="004C6D93" w:rsidRPr="00C5339C" w:rsidRDefault="004C6D93" w:rsidP="00523B0D">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5BC60498" w14:textId="77777777" w:rsidR="004C6D93" w:rsidRPr="00C5339C" w:rsidRDefault="004C6D93" w:rsidP="00523B0D">
            <w:pPr>
              <w:spacing w:after="0" w:line="240" w:lineRule="auto"/>
              <w:jc w:val="right"/>
              <w:rPr>
                <w:rFonts w:ascii="Arial" w:hAnsi="Arial" w:cs="Arial"/>
                <w:sz w:val="16"/>
                <w:szCs w:val="16"/>
              </w:rPr>
            </w:pPr>
          </w:p>
        </w:tc>
      </w:tr>
      <w:tr w:rsidR="004C6D93" w:rsidRPr="00C5339C" w14:paraId="6A70E331" w14:textId="77777777" w:rsidTr="00852545">
        <w:trPr>
          <w:trHeight w:val="204"/>
        </w:trPr>
        <w:tc>
          <w:tcPr>
            <w:tcW w:w="2860" w:type="dxa"/>
            <w:tcBorders>
              <w:top w:val="nil"/>
              <w:left w:val="nil"/>
              <w:bottom w:val="nil"/>
              <w:right w:val="nil"/>
            </w:tcBorders>
            <w:shd w:val="clear" w:color="auto" w:fill="auto"/>
            <w:vAlign w:val="center"/>
            <w:hideMark/>
          </w:tcPr>
          <w:p w14:paraId="7EB236D4" w14:textId="77777777" w:rsidR="004C6D93" w:rsidRPr="00C5339C" w:rsidRDefault="004C6D93" w:rsidP="00753A31">
            <w:pPr>
              <w:spacing w:after="0" w:line="240" w:lineRule="auto"/>
              <w:ind w:left="113"/>
              <w:jc w:val="left"/>
              <w:rPr>
                <w:rFonts w:ascii="Arial" w:hAnsi="Arial" w:cs="Arial"/>
                <w:sz w:val="16"/>
                <w:szCs w:val="16"/>
              </w:rPr>
            </w:pPr>
            <w:r w:rsidRPr="00C5339C">
              <w:rPr>
                <w:rFonts w:ascii="Arial" w:hAnsi="Arial" w:cs="Arial"/>
                <w:sz w:val="16"/>
                <w:szCs w:val="16"/>
              </w:rPr>
              <w:t>Ordinary annual services</w:t>
            </w:r>
            <w:r w:rsidRPr="00C5339C">
              <w:rPr>
                <w:rFonts w:ascii="Arial" w:hAnsi="Arial" w:cs="Arial"/>
                <w:sz w:val="16"/>
                <w:szCs w:val="16"/>
              </w:rPr>
              <w:br/>
              <w:t>(Appropriation Bill No. 1)</w:t>
            </w:r>
          </w:p>
        </w:tc>
        <w:tc>
          <w:tcPr>
            <w:tcW w:w="929" w:type="dxa"/>
            <w:gridSpan w:val="2"/>
            <w:tcBorders>
              <w:top w:val="nil"/>
              <w:left w:val="nil"/>
              <w:bottom w:val="nil"/>
              <w:right w:val="nil"/>
            </w:tcBorders>
            <w:shd w:val="clear" w:color="auto" w:fill="auto"/>
            <w:noWrap/>
            <w:vAlign w:val="bottom"/>
            <w:hideMark/>
          </w:tcPr>
          <w:p w14:paraId="15EE6F96" w14:textId="221F6F32"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7,444</w:t>
            </w:r>
          </w:p>
        </w:tc>
        <w:tc>
          <w:tcPr>
            <w:tcW w:w="910" w:type="dxa"/>
            <w:tcBorders>
              <w:top w:val="nil"/>
              <w:left w:val="nil"/>
              <w:bottom w:val="nil"/>
              <w:right w:val="nil"/>
            </w:tcBorders>
            <w:shd w:val="clear" w:color="000000" w:fill="E6E6E6"/>
            <w:noWrap/>
            <w:vAlign w:val="bottom"/>
            <w:hideMark/>
          </w:tcPr>
          <w:p w14:paraId="773B77AC" w14:textId="2AF982EB"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w:t>
            </w:r>
          </w:p>
        </w:tc>
        <w:tc>
          <w:tcPr>
            <w:tcW w:w="812" w:type="dxa"/>
            <w:tcBorders>
              <w:top w:val="nil"/>
              <w:left w:val="nil"/>
              <w:bottom w:val="nil"/>
              <w:right w:val="nil"/>
            </w:tcBorders>
            <w:shd w:val="clear" w:color="auto" w:fill="auto"/>
            <w:noWrap/>
            <w:vAlign w:val="bottom"/>
            <w:hideMark/>
          </w:tcPr>
          <w:p w14:paraId="3F6B0BCD" w14:textId="41203C3A"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w:t>
            </w:r>
          </w:p>
        </w:tc>
        <w:tc>
          <w:tcPr>
            <w:tcW w:w="880" w:type="dxa"/>
            <w:gridSpan w:val="3"/>
            <w:tcBorders>
              <w:top w:val="nil"/>
              <w:left w:val="nil"/>
              <w:bottom w:val="nil"/>
              <w:right w:val="nil"/>
            </w:tcBorders>
            <w:shd w:val="clear" w:color="auto" w:fill="auto"/>
            <w:noWrap/>
            <w:vAlign w:val="bottom"/>
            <w:hideMark/>
          </w:tcPr>
          <w:p w14:paraId="08B09D4E" w14:textId="0CB34228"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w:t>
            </w:r>
          </w:p>
        </w:tc>
        <w:tc>
          <w:tcPr>
            <w:tcW w:w="996" w:type="dxa"/>
            <w:gridSpan w:val="3"/>
            <w:tcBorders>
              <w:top w:val="nil"/>
              <w:left w:val="nil"/>
              <w:bottom w:val="nil"/>
              <w:right w:val="nil"/>
            </w:tcBorders>
            <w:shd w:val="clear" w:color="auto" w:fill="auto"/>
            <w:noWrap/>
            <w:vAlign w:val="bottom"/>
            <w:hideMark/>
          </w:tcPr>
          <w:p w14:paraId="7A8F670A" w14:textId="53FDBE24"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w:t>
            </w:r>
          </w:p>
        </w:tc>
      </w:tr>
      <w:tr w:rsidR="004C6D93" w:rsidRPr="00C5339C" w14:paraId="318154F6" w14:textId="77777777" w:rsidTr="00852545">
        <w:trPr>
          <w:trHeight w:val="204"/>
        </w:trPr>
        <w:tc>
          <w:tcPr>
            <w:tcW w:w="2860" w:type="dxa"/>
            <w:tcBorders>
              <w:top w:val="nil"/>
              <w:left w:val="nil"/>
              <w:bottom w:val="nil"/>
              <w:right w:val="nil"/>
            </w:tcBorders>
            <w:shd w:val="clear" w:color="000000" w:fill="FFFFFF"/>
            <w:noWrap/>
            <w:vAlign w:val="center"/>
            <w:hideMark/>
          </w:tcPr>
          <w:p w14:paraId="07C8B2AF" w14:textId="77777777" w:rsidR="004C6D93" w:rsidRPr="00C5339C" w:rsidRDefault="004C6D93" w:rsidP="00753A31">
            <w:pPr>
              <w:spacing w:after="0" w:line="240" w:lineRule="auto"/>
              <w:ind w:left="113"/>
              <w:jc w:val="left"/>
              <w:rPr>
                <w:rFonts w:ascii="Arial" w:hAnsi="Arial" w:cs="Arial"/>
                <w:sz w:val="16"/>
                <w:szCs w:val="16"/>
              </w:rPr>
            </w:pPr>
            <w:r w:rsidRPr="00C5339C">
              <w:rPr>
                <w:rFonts w:ascii="Arial" w:hAnsi="Arial" w:cs="Arial"/>
                <w:sz w:val="16"/>
                <w:szCs w:val="16"/>
              </w:rPr>
              <w:t>Special appropriations</w:t>
            </w:r>
          </w:p>
        </w:tc>
        <w:tc>
          <w:tcPr>
            <w:tcW w:w="929" w:type="dxa"/>
            <w:gridSpan w:val="2"/>
            <w:tcBorders>
              <w:top w:val="nil"/>
              <w:left w:val="nil"/>
              <w:bottom w:val="nil"/>
              <w:right w:val="nil"/>
            </w:tcBorders>
            <w:shd w:val="clear" w:color="auto" w:fill="auto"/>
            <w:noWrap/>
            <w:vAlign w:val="bottom"/>
            <w:hideMark/>
          </w:tcPr>
          <w:p w14:paraId="397B9BEC" w14:textId="77777777" w:rsidR="004C6D93" w:rsidRPr="00C5339C" w:rsidRDefault="004C6D93" w:rsidP="00523B0D">
            <w:pPr>
              <w:spacing w:after="0" w:line="240" w:lineRule="auto"/>
              <w:ind w:firstLineChars="100" w:firstLine="160"/>
              <w:jc w:val="right"/>
              <w:rPr>
                <w:rFonts w:ascii="Arial" w:hAnsi="Arial" w:cs="Arial"/>
                <w:sz w:val="16"/>
                <w:szCs w:val="16"/>
              </w:rPr>
            </w:pPr>
          </w:p>
        </w:tc>
        <w:tc>
          <w:tcPr>
            <w:tcW w:w="910" w:type="dxa"/>
            <w:tcBorders>
              <w:top w:val="nil"/>
              <w:left w:val="nil"/>
              <w:bottom w:val="nil"/>
              <w:right w:val="nil"/>
            </w:tcBorders>
            <w:shd w:val="clear" w:color="000000" w:fill="E6E6E6"/>
            <w:noWrap/>
            <w:vAlign w:val="bottom"/>
            <w:hideMark/>
          </w:tcPr>
          <w:p w14:paraId="561976FD" w14:textId="48743B1A" w:rsidR="004C6D93" w:rsidRPr="00C5339C" w:rsidRDefault="004C6D93" w:rsidP="00523B0D">
            <w:pPr>
              <w:spacing w:after="0" w:line="240" w:lineRule="auto"/>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29F6A1FA" w14:textId="77777777" w:rsidR="004C6D93" w:rsidRPr="00C5339C" w:rsidRDefault="004C6D93" w:rsidP="00523B0D">
            <w:pPr>
              <w:spacing w:after="0" w:line="240" w:lineRule="auto"/>
              <w:jc w:val="right"/>
              <w:rPr>
                <w:rFonts w:ascii="Arial" w:hAnsi="Arial" w:cs="Arial"/>
                <w:sz w:val="16"/>
                <w:szCs w:val="16"/>
              </w:rPr>
            </w:pPr>
          </w:p>
        </w:tc>
        <w:tc>
          <w:tcPr>
            <w:tcW w:w="880" w:type="dxa"/>
            <w:gridSpan w:val="3"/>
            <w:tcBorders>
              <w:top w:val="nil"/>
              <w:left w:val="nil"/>
              <w:bottom w:val="nil"/>
              <w:right w:val="nil"/>
            </w:tcBorders>
            <w:shd w:val="clear" w:color="auto" w:fill="auto"/>
            <w:noWrap/>
            <w:vAlign w:val="bottom"/>
            <w:hideMark/>
          </w:tcPr>
          <w:p w14:paraId="75B0B408" w14:textId="77777777" w:rsidR="004C6D93" w:rsidRPr="00C5339C" w:rsidRDefault="004C6D93" w:rsidP="00523B0D">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16F78A4C" w14:textId="77777777" w:rsidR="004C6D93" w:rsidRPr="00C5339C" w:rsidRDefault="004C6D93" w:rsidP="00523B0D">
            <w:pPr>
              <w:spacing w:after="0" w:line="240" w:lineRule="auto"/>
              <w:jc w:val="right"/>
              <w:rPr>
                <w:rFonts w:ascii="Arial" w:hAnsi="Arial" w:cs="Arial"/>
                <w:sz w:val="16"/>
                <w:szCs w:val="16"/>
              </w:rPr>
            </w:pPr>
          </w:p>
        </w:tc>
      </w:tr>
      <w:tr w:rsidR="004C6D93" w:rsidRPr="00C5339C" w14:paraId="6DEEED9A" w14:textId="77777777" w:rsidTr="00852545">
        <w:trPr>
          <w:trHeight w:val="204"/>
        </w:trPr>
        <w:tc>
          <w:tcPr>
            <w:tcW w:w="2860" w:type="dxa"/>
            <w:tcBorders>
              <w:top w:val="nil"/>
              <w:left w:val="nil"/>
              <w:bottom w:val="nil"/>
              <w:right w:val="nil"/>
            </w:tcBorders>
            <w:shd w:val="clear" w:color="000000" w:fill="FFFFFF"/>
            <w:vAlign w:val="center"/>
            <w:hideMark/>
          </w:tcPr>
          <w:p w14:paraId="49A5228E" w14:textId="77777777" w:rsidR="004C6D93" w:rsidRPr="00C5339C" w:rsidRDefault="004C6D93" w:rsidP="004C6D93">
            <w:pPr>
              <w:spacing w:after="0" w:line="240" w:lineRule="auto"/>
              <w:ind w:firstLineChars="200" w:firstLine="320"/>
              <w:jc w:val="left"/>
              <w:rPr>
                <w:rFonts w:ascii="Arial" w:hAnsi="Arial" w:cs="Arial"/>
                <w:i/>
                <w:iCs/>
                <w:sz w:val="16"/>
                <w:szCs w:val="16"/>
              </w:rPr>
            </w:pPr>
            <w:r w:rsidRPr="00C5339C">
              <w:rPr>
                <w:rFonts w:ascii="Arial" w:hAnsi="Arial" w:cs="Arial"/>
                <w:i/>
                <w:iCs/>
                <w:sz w:val="16"/>
                <w:szCs w:val="16"/>
              </w:rPr>
              <w:t xml:space="preserve">Telecommunications Act 1997 </w:t>
            </w:r>
            <w:r w:rsidRPr="00C5339C">
              <w:rPr>
                <w:rFonts w:ascii="Arial" w:hAnsi="Arial" w:cs="Arial"/>
                <w:i/>
                <w:iCs/>
                <w:sz w:val="16"/>
                <w:szCs w:val="16"/>
                <w:vertAlign w:val="superscript"/>
              </w:rPr>
              <w:t>(c)</w:t>
            </w:r>
          </w:p>
        </w:tc>
        <w:tc>
          <w:tcPr>
            <w:tcW w:w="929" w:type="dxa"/>
            <w:gridSpan w:val="2"/>
            <w:tcBorders>
              <w:top w:val="nil"/>
              <w:left w:val="nil"/>
              <w:bottom w:val="nil"/>
              <w:right w:val="nil"/>
            </w:tcBorders>
            <w:shd w:val="clear" w:color="auto" w:fill="auto"/>
            <w:noWrap/>
            <w:vAlign w:val="bottom"/>
            <w:hideMark/>
          </w:tcPr>
          <w:p w14:paraId="5F2B7C79" w14:textId="2E0C2DFC"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w:t>
            </w:r>
          </w:p>
        </w:tc>
        <w:tc>
          <w:tcPr>
            <w:tcW w:w="910" w:type="dxa"/>
            <w:tcBorders>
              <w:top w:val="nil"/>
              <w:left w:val="nil"/>
              <w:bottom w:val="nil"/>
              <w:right w:val="nil"/>
            </w:tcBorders>
            <w:shd w:val="clear" w:color="000000" w:fill="E6E6E6"/>
            <w:noWrap/>
            <w:vAlign w:val="bottom"/>
            <w:hideMark/>
          </w:tcPr>
          <w:p w14:paraId="22531476" w14:textId="244CF8B6"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300</w:t>
            </w:r>
          </w:p>
        </w:tc>
        <w:tc>
          <w:tcPr>
            <w:tcW w:w="812" w:type="dxa"/>
            <w:tcBorders>
              <w:top w:val="nil"/>
              <w:left w:val="nil"/>
              <w:bottom w:val="nil"/>
              <w:right w:val="nil"/>
            </w:tcBorders>
            <w:shd w:val="clear" w:color="auto" w:fill="auto"/>
            <w:noWrap/>
            <w:vAlign w:val="bottom"/>
            <w:hideMark/>
          </w:tcPr>
          <w:p w14:paraId="6844B8EC" w14:textId="37EE21A1"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300</w:t>
            </w:r>
          </w:p>
        </w:tc>
        <w:tc>
          <w:tcPr>
            <w:tcW w:w="880" w:type="dxa"/>
            <w:gridSpan w:val="3"/>
            <w:tcBorders>
              <w:top w:val="nil"/>
              <w:left w:val="nil"/>
              <w:bottom w:val="nil"/>
              <w:right w:val="nil"/>
            </w:tcBorders>
            <w:shd w:val="clear" w:color="auto" w:fill="auto"/>
            <w:noWrap/>
            <w:vAlign w:val="bottom"/>
            <w:hideMark/>
          </w:tcPr>
          <w:p w14:paraId="2F772F92" w14:textId="458CEA37"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300</w:t>
            </w:r>
          </w:p>
        </w:tc>
        <w:tc>
          <w:tcPr>
            <w:tcW w:w="996" w:type="dxa"/>
            <w:gridSpan w:val="3"/>
            <w:tcBorders>
              <w:top w:val="nil"/>
              <w:left w:val="nil"/>
              <w:bottom w:val="nil"/>
              <w:right w:val="nil"/>
            </w:tcBorders>
            <w:shd w:val="clear" w:color="auto" w:fill="auto"/>
            <w:noWrap/>
            <w:vAlign w:val="bottom"/>
            <w:hideMark/>
          </w:tcPr>
          <w:p w14:paraId="0A68B4DB" w14:textId="4A0219D2"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300</w:t>
            </w:r>
          </w:p>
        </w:tc>
      </w:tr>
      <w:tr w:rsidR="004C6D93" w:rsidRPr="00C5339C" w14:paraId="2D99C5FD" w14:textId="77777777" w:rsidTr="00852545">
        <w:trPr>
          <w:trHeight w:val="204"/>
        </w:trPr>
        <w:tc>
          <w:tcPr>
            <w:tcW w:w="2860" w:type="dxa"/>
            <w:tcBorders>
              <w:top w:val="nil"/>
              <w:left w:val="nil"/>
              <w:bottom w:val="nil"/>
              <w:right w:val="nil"/>
            </w:tcBorders>
            <w:shd w:val="clear" w:color="000000" w:fill="FFFFFF"/>
            <w:vAlign w:val="center"/>
            <w:hideMark/>
          </w:tcPr>
          <w:p w14:paraId="021E280E" w14:textId="77777777" w:rsidR="004C6D93" w:rsidRPr="00C5339C" w:rsidRDefault="004C6D93" w:rsidP="004C6D93">
            <w:pPr>
              <w:spacing w:after="0" w:line="240" w:lineRule="auto"/>
              <w:jc w:val="right"/>
              <w:rPr>
                <w:rFonts w:ascii="Arial" w:hAnsi="Arial" w:cs="Arial"/>
                <w:b/>
                <w:bCs/>
                <w:sz w:val="16"/>
                <w:szCs w:val="16"/>
              </w:rPr>
            </w:pPr>
            <w:r w:rsidRPr="00C5339C">
              <w:rPr>
                <w:rFonts w:ascii="Arial" w:hAnsi="Arial" w:cs="Arial"/>
                <w:b/>
                <w:bCs/>
                <w:sz w:val="16"/>
                <w:szCs w:val="16"/>
              </w:rPr>
              <w:t>Administered total</w:t>
            </w:r>
          </w:p>
        </w:tc>
        <w:tc>
          <w:tcPr>
            <w:tcW w:w="929" w:type="dxa"/>
            <w:gridSpan w:val="2"/>
            <w:tcBorders>
              <w:top w:val="single" w:sz="4" w:space="0" w:color="auto"/>
              <w:left w:val="nil"/>
              <w:bottom w:val="single" w:sz="4" w:space="0" w:color="auto"/>
              <w:right w:val="nil"/>
            </w:tcBorders>
            <w:shd w:val="clear" w:color="auto" w:fill="auto"/>
            <w:noWrap/>
            <w:vAlign w:val="bottom"/>
            <w:hideMark/>
          </w:tcPr>
          <w:p w14:paraId="59F36558" w14:textId="4DA55EF6" w:rsidR="004C6D93" w:rsidRPr="00753A31" w:rsidRDefault="004C6D93" w:rsidP="00523B0D">
            <w:pPr>
              <w:spacing w:after="0" w:line="240" w:lineRule="auto"/>
              <w:jc w:val="right"/>
              <w:rPr>
                <w:rFonts w:ascii="Arial" w:hAnsi="Arial" w:cs="Arial"/>
                <w:b/>
                <w:color w:val="000000"/>
                <w:sz w:val="16"/>
                <w:szCs w:val="16"/>
              </w:rPr>
            </w:pPr>
            <w:r w:rsidRPr="00753A31">
              <w:rPr>
                <w:rFonts w:ascii="Arial" w:hAnsi="Arial" w:cs="Arial"/>
                <w:b/>
                <w:color w:val="000000"/>
                <w:sz w:val="16"/>
                <w:szCs w:val="16"/>
              </w:rPr>
              <w:t>7,444</w:t>
            </w:r>
          </w:p>
        </w:tc>
        <w:tc>
          <w:tcPr>
            <w:tcW w:w="910" w:type="dxa"/>
            <w:tcBorders>
              <w:top w:val="single" w:sz="4" w:space="0" w:color="auto"/>
              <w:left w:val="nil"/>
              <w:bottom w:val="single" w:sz="4" w:space="0" w:color="auto"/>
              <w:right w:val="nil"/>
            </w:tcBorders>
            <w:shd w:val="clear" w:color="000000" w:fill="E6E6E6"/>
            <w:noWrap/>
            <w:vAlign w:val="bottom"/>
            <w:hideMark/>
          </w:tcPr>
          <w:p w14:paraId="6983CD04" w14:textId="5C38DCC1"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300</w:t>
            </w:r>
          </w:p>
        </w:tc>
        <w:tc>
          <w:tcPr>
            <w:tcW w:w="812" w:type="dxa"/>
            <w:tcBorders>
              <w:top w:val="single" w:sz="4" w:space="0" w:color="auto"/>
              <w:left w:val="nil"/>
              <w:bottom w:val="single" w:sz="4" w:space="0" w:color="auto"/>
              <w:right w:val="nil"/>
            </w:tcBorders>
            <w:shd w:val="clear" w:color="auto" w:fill="auto"/>
            <w:noWrap/>
            <w:vAlign w:val="bottom"/>
            <w:hideMark/>
          </w:tcPr>
          <w:p w14:paraId="005D0074" w14:textId="0C79CCB5"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300</w:t>
            </w:r>
          </w:p>
        </w:tc>
        <w:tc>
          <w:tcPr>
            <w:tcW w:w="880" w:type="dxa"/>
            <w:gridSpan w:val="3"/>
            <w:tcBorders>
              <w:top w:val="single" w:sz="4" w:space="0" w:color="auto"/>
              <w:left w:val="nil"/>
              <w:bottom w:val="single" w:sz="4" w:space="0" w:color="auto"/>
              <w:right w:val="nil"/>
            </w:tcBorders>
            <w:shd w:val="clear" w:color="auto" w:fill="auto"/>
            <w:noWrap/>
            <w:vAlign w:val="bottom"/>
            <w:hideMark/>
          </w:tcPr>
          <w:p w14:paraId="0AE70822" w14:textId="37AEE125"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300</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5C2FB759" w14:textId="4B00146B"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300</w:t>
            </w:r>
          </w:p>
        </w:tc>
      </w:tr>
      <w:tr w:rsidR="004C6D93" w:rsidRPr="00C5339C" w14:paraId="3C60B82F" w14:textId="77777777" w:rsidTr="00852545">
        <w:trPr>
          <w:trHeight w:val="204"/>
        </w:trPr>
        <w:tc>
          <w:tcPr>
            <w:tcW w:w="2860" w:type="dxa"/>
            <w:tcBorders>
              <w:top w:val="nil"/>
              <w:left w:val="nil"/>
              <w:bottom w:val="nil"/>
              <w:right w:val="nil"/>
            </w:tcBorders>
            <w:shd w:val="clear" w:color="000000" w:fill="FFFFFF"/>
            <w:noWrap/>
            <w:vAlign w:val="center"/>
            <w:hideMark/>
          </w:tcPr>
          <w:p w14:paraId="7F4D3E58" w14:textId="439C20CB" w:rsidR="004C6D93" w:rsidRPr="00C5339C" w:rsidRDefault="008863D9" w:rsidP="004C6D93">
            <w:pPr>
              <w:spacing w:after="0" w:line="240" w:lineRule="auto"/>
              <w:jc w:val="left"/>
              <w:rPr>
                <w:rFonts w:ascii="Arial" w:hAnsi="Arial" w:cs="Arial"/>
                <w:sz w:val="16"/>
                <w:szCs w:val="16"/>
              </w:rPr>
            </w:pPr>
            <w:r>
              <w:rPr>
                <w:rFonts w:ascii="Arial" w:hAnsi="Arial" w:cs="Arial"/>
                <w:sz w:val="16"/>
                <w:szCs w:val="16"/>
              </w:rPr>
              <w:t>Department</w:t>
            </w:r>
            <w:r w:rsidR="004C6D93" w:rsidRPr="00C5339C">
              <w:rPr>
                <w:rFonts w:ascii="Arial" w:hAnsi="Arial" w:cs="Arial"/>
                <w:sz w:val="16"/>
                <w:szCs w:val="16"/>
              </w:rPr>
              <w:t>al expenses</w:t>
            </w:r>
          </w:p>
        </w:tc>
        <w:tc>
          <w:tcPr>
            <w:tcW w:w="929" w:type="dxa"/>
            <w:gridSpan w:val="2"/>
            <w:tcBorders>
              <w:top w:val="nil"/>
              <w:left w:val="nil"/>
              <w:bottom w:val="nil"/>
              <w:right w:val="nil"/>
            </w:tcBorders>
            <w:shd w:val="clear" w:color="auto" w:fill="auto"/>
            <w:noWrap/>
            <w:vAlign w:val="bottom"/>
            <w:hideMark/>
          </w:tcPr>
          <w:p w14:paraId="515DA217" w14:textId="77777777" w:rsidR="004C6D93" w:rsidRPr="00C5339C" w:rsidRDefault="004C6D93" w:rsidP="00523B0D">
            <w:pPr>
              <w:spacing w:after="0" w:line="240" w:lineRule="auto"/>
              <w:jc w:val="right"/>
              <w:rPr>
                <w:rFonts w:ascii="Arial" w:hAnsi="Arial" w:cs="Arial"/>
                <w:sz w:val="16"/>
                <w:szCs w:val="16"/>
              </w:rPr>
            </w:pPr>
          </w:p>
        </w:tc>
        <w:tc>
          <w:tcPr>
            <w:tcW w:w="910" w:type="dxa"/>
            <w:tcBorders>
              <w:top w:val="nil"/>
              <w:left w:val="nil"/>
              <w:bottom w:val="nil"/>
              <w:right w:val="nil"/>
            </w:tcBorders>
            <w:shd w:val="clear" w:color="000000" w:fill="E6E6E6"/>
            <w:noWrap/>
            <w:vAlign w:val="bottom"/>
            <w:hideMark/>
          </w:tcPr>
          <w:p w14:paraId="10202A65" w14:textId="5D1C2DC0" w:rsidR="004C6D93" w:rsidRPr="00C5339C" w:rsidRDefault="004C6D93" w:rsidP="00523B0D">
            <w:pPr>
              <w:spacing w:after="0" w:line="240" w:lineRule="auto"/>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3D071698" w14:textId="77777777" w:rsidR="004C6D93" w:rsidRPr="00C5339C" w:rsidRDefault="004C6D93" w:rsidP="00523B0D">
            <w:pPr>
              <w:spacing w:after="0" w:line="240" w:lineRule="auto"/>
              <w:jc w:val="right"/>
              <w:rPr>
                <w:rFonts w:ascii="Arial" w:hAnsi="Arial" w:cs="Arial"/>
                <w:sz w:val="16"/>
                <w:szCs w:val="16"/>
              </w:rPr>
            </w:pPr>
          </w:p>
        </w:tc>
        <w:tc>
          <w:tcPr>
            <w:tcW w:w="880" w:type="dxa"/>
            <w:gridSpan w:val="3"/>
            <w:tcBorders>
              <w:top w:val="nil"/>
              <w:left w:val="nil"/>
              <w:bottom w:val="nil"/>
              <w:right w:val="nil"/>
            </w:tcBorders>
            <w:shd w:val="clear" w:color="auto" w:fill="auto"/>
            <w:noWrap/>
            <w:vAlign w:val="bottom"/>
            <w:hideMark/>
          </w:tcPr>
          <w:p w14:paraId="53FA9E02" w14:textId="77777777" w:rsidR="004C6D93" w:rsidRPr="00C5339C" w:rsidRDefault="004C6D93" w:rsidP="00523B0D">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508C95EE" w14:textId="77777777" w:rsidR="004C6D93" w:rsidRPr="00C5339C" w:rsidRDefault="004C6D93" w:rsidP="00523B0D">
            <w:pPr>
              <w:spacing w:after="0" w:line="240" w:lineRule="auto"/>
              <w:jc w:val="right"/>
              <w:rPr>
                <w:rFonts w:ascii="Arial" w:hAnsi="Arial" w:cs="Arial"/>
                <w:sz w:val="16"/>
                <w:szCs w:val="16"/>
              </w:rPr>
            </w:pPr>
          </w:p>
        </w:tc>
      </w:tr>
      <w:tr w:rsidR="004C6D93" w:rsidRPr="00C5339C" w14:paraId="7FCEB857" w14:textId="77777777" w:rsidTr="00852545">
        <w:trPr>
          <w:trHeight w:val="204"/>
        </w:trPr>
        <w:tc>
          <w:tcPr>
            <w:tcW w:w="2860" w:type="dxa"/>
            <w:tcBorders>
              <w:top w:val="nil"/>
              <w:left w:val="nil"/>
              <w:bottom w:val="nil"/>
              <w:right w:val="nil"/>
            </w:tcBorders>
            <w:shd w:val="clear" w:color="000000" w:fill="FFFFFF"/>
            <w:noWrap/>
            <w:vAlign w:val="center"/>
            <w:hideMark/>
          </w:tcPr>
          <w:p w14:paraId="6586AC0D" w14:textId="1FE3F671" w:rsidR="004C6D93" w:rsidRPr="00C5339C" w:rsidRDefault="008863D9" w:rsidP="00753A31">
            <w:pPr>
              <w:spacing w:after="0" w:line="240" w:lineRule="auto"/>
              <w:ind w:left="113"/>
              <w:jc w:val="left"/>
              <w:rPr>
                <w:rFonts w:ascii="Arial" w:hAnsi="Arial" w:cs="Arial"/>
                <w:sz w:val="16"/>
                <w:szCs w:val="16"/>
              </w:rPr>
            </w:pPr>
            <w:r>
              <w:rPr>
                <w:rFonts w:ascii="Arial" w:hAnsi="Arial" w:cs="Arial"/>
                <w:sz w:val="16"/>
                <w:szCs w:val="16"/>
              </w:rPr>
              <w:t>Department</w:t>
            </w:r>
            <w:r w:rsidR="004C6D93" w:rsidRPr="00C5339C">
              <w:rPr>
                <w:rFonts w:ascii="Arial" w:hAnsi="Arial" w:cs="Arial"/>
                <w:sz w:val="16"/>
                <w:szCs w:val="16"/>
              </w:rPr>
              <w:t>al appropriation</w:t>
            </w:r>
          </w:p>
        </w:tc>
        <w:tc>
          <w:tcPr>
            <w:tcW w:w="929" w:type="dxa"/>
            <w:gridSpan w:val="2"/>
            <w:tcBorders>
              <w:top w:val="nil"/>
              <w:left w:val="nil"/>
              <w:bottom w:val="nil"/>
              <w:right w:val="nil"/>
            </w:tcBorders>
            <w:shd w:val="clear" w:color="auto" w:fill="auto"/>
            <w:noWrap/>
            <w:vAlign w:val="bottom"/>
            <w:hideMark/>
          </w:tcPr>
          <w:p w14:paraId="7A836BC6" w14:textId="1D1419A3"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37,408</w:t>
            </w:r>
          </w:p>
        </w:tc>
        <w:tc>
          <w:tcPr>
            <w:tcW w:w="910" w:type="dxa"/>
            <w:tcBorders>
              <w:top w:val="nil"/>
              <w:left w:val="nil"/>
              <w:bottom w:val="nil"/>
              <w:right w:val="nil"/>
            </w:tcBorders>
            <w:shd w:val="clear" w:color="000000" w:fill="E6E6E6"/>
            <w:noWrap/>
            <w:vAlign w:val="bottom"/>
            <w:hideMark/>
          </w:tcPr>
          <w:p w14:paraId="1ECA9134" w14:textId="2728317F"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40,821</w:t>
            </w:r>
          </w:p>
        </w:tc>
        <w:tc>
          <w:tcPr>
            <w:tcW w:w="812" w:type="dxa"/>
            <w:tcBorders>
              <w:top w:val="nil"/>
              <w:left w:val="nil"/>
              <w:bottom w:val="nil"/>
              <w:right w:val="nil"/>
            </w:tcBorders>
            <w:shd w:val="clear" w:color="auto" w:fill="auto"/>
            <w:noWrap/>
            <w:vAlign w:val="bottom"/>
            <w:hideMark/>
          </w:tcPr>
          <w:p w14:paraId="5C313E8C" w14:textId="4BFFA037"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41,114</w:t>
            </w:r>
          </w:p>
        </w:tc>
        <w:tc>
          <w:tcPr>
            <w:tcW w:w="880" w:type="dxa"/>
            <w:gridSpan w:val="3"/>
            <w:tcBorders>
              <w:top w:val="nil"/>
              <w:left w:val="nil"/>
              <w:bottom w:val="nil"/>
              <w:right w:val="nil"/>
            </w:tcBorders>
            <w:shd w:val="clear" w:color="auto" w:fill="auto"/>
            <w:noWrap/>
            <w:vAlign w:val="bottom"/>
            <w:hideMark/>
          </w:tcPr>
          <w:p w14:paraId="683965B6" w14:textId="28B237F9"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39,869</w:t>
            </w:r>
          </w:p>
        </w:tc>
        <w:tc>
          <w:tcPr>
            <w:tcW w:w="996" w:type="dxa"/>
            <w:gridSpan w:val="3"/>
            <w:tcBorders>
              <w:top w:val="nil"/>
              <w:left w:val="nil"/>
              <w:bottom w:val="nil"/>
              <w:right w:val="nil"/>
            </w:tcBorders>
            <w:shd w:val="clear" w:color="auto" w:fill="auto"/>
            <w:noWrap/>
            <w:vAlign w:val="bottom"/>
            <w:hideMark/>
          </w:tcPr>
          <w:p w14:paraId="7CFFE3AF" w14:textId="581A04B3"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39,386</w:t>
            </w:r>
          </w:p>
        </w:tc>
      </w:tr>
      <w:tr w:rsidR="004C6D93" w:rsidRPr="00C5339C" w14:paraId="468792DF" w14:textId="77777777" w:rsidTr="00852545">
        <w:trPr>
          <w:trHeight w:val="204"/>
        </w:trPr>
        <w:tc>
          <w:tcPr>
            <w:tcW w:w="2860" w:type="dxa"/>
            <w:tcBorders>
              <w:top w:val="nil"/>
              <w:left w:val="nil"/>
              <w:bottom w:val="nil"/>
              <w:right w:val="nil"/>
            </w:tcBorders>
            <w:shd w:val="clear" w:color="000000" w:fill="FFFFFF"/>
            <w:noWrap/>
            <w:vAlign w:val="center"/>
            <w:hideMark/>
          </w:tcPr>
          <w:p w14:paraId="3882E6E7" w14:textId="77777777" w:rsidR="004C6D93" w:rsidRPr="00C5339C" w:rsidRDefault="004C6D93" w:rsidP="00753A31">
            <w:pPr>
              <w:spacing w:after="0" w:line="240" w:lineRule="auto"/>
              <w:ind w:left="113"/>
              <w:jc w:val="left"/>
              <w:rPr>
                <w:rFonts w:ascii="Arial" w:hAnsi="Arial" w:cs="Arial"/>
                <w:sz w:val="16"/>
                <w:szCs w:val="16"/>
              </w:rPr>
            </w:pPr>
            <w:r w:rsidRPr="00C5339C">
              <w:rPr>
                <w:rFonts w:ascii="Arial" w:hAnsi="Arial" w:cs="Arial"/>
                <w:sz w:val="16"/>
                <w:szCs w:val="16"/>
              </w:rPr>
              <w:t xml:space="preserve">s74 External Revenue </w:t>
            </w:r>
            <w:r w:rsidRPr="00C5339C">
              <w:rPr>
                <w:rFonts w:ascii="Arial" w:hAnsi="Arial" w:cs="Arial"/>
                <w:sz w:val="16"/>
                <w:szCs w:val="16"/>
                <w:vertAlign w:val="superscript"/>
              </w:rPr>
              <w:t>(a)</w:t>
            </w:r>
          </w:p>
        </w:tc>
        <w:tc>
          <w:tcPr>
            <w:tcW w:w="929" w:type="dxa"/>
            <w:gridSpan w:val="2"/>
            <w:tcBorders>
              <w:top w:val="nil"/>
              <w:left w:val="nil"/>
              <w:bottom w:val="nil"/>
              <w:right w:val="nil"/>
            </w:tcBorders>
            <w:shd w:val="clear" w:color="auto" w:fill="auto"/>
            <w:noWrap/>
            <w:vAlign w:val="bottom"/>
            <w:hideMark/>
          </w:tcPr>
          <w:p w14:paraId="10E10B28" w14:textId="79333E89"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350</w:t>
            </w:r>
          </w:p>
        </w:tc>
        <w:tc>
          <w:tcPr>
            <w:tcW w:w="910" w:type="dxa"/>
            <w:tcBorders>
              <w:top w:val="nil"/>
              <w:left w:val="nil"/>
              <w:bottom w:val="nil"/>
              <w:right w:val="nil"/>
            </w:tcBorders>
            <w:shd w:val="clear" w:color="000000" w:fill="E6E6E6"/>
            <w:noWrap/>
            <w:vAlign w:val="bottom"/>
            <w:hideMark/>
          </w:tcPr>
          <w:p w14:paraId="2475ABD7" w14:textId="3DF3031C"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48</w:t>
            </w:r>
          </w:p>
        </w:tc>
        <w:tc>
          <w:tcPr>
            <w:tcW w:w="812" w:type="dxa"/>
            <w:tcBorders>
              <w:top w:val="nil"/>
              <w:left w:val="nil"/>
              <w:bottom w:val="nil"/>
              <w:right w:val="nil"/>
            </w:tcBorders>
            <w:shd w:val="clear" w:color="auto" w:fill="auto"/>
            <w:noWrap/>
            <w:vAlign w:val="bottom"/>
            <w:hideMark/>
          </w:tcPr>
          <w:p w14:paraId="514E1452" w14:textId="2ECB0E08"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48</w:t>
            </w:r>
          </w:p>
        </w:tc>
        <w:tc>
          <w:tcPr>
            <w:tcW w:w="880" w:type="dxa"/>
            <w:gridSpan w:val="3"/>
            <w:tcBorders>
              <w:top w:val="nil"/>
              <w:left w:val="nil"/>
              <w:bottom w:val="nil"/>
              <w:right w:val="nil"/>
            </w:tcBorders>
            <w:shd w:val="clear" w:color="auto" w:fill="auto"/>
            <w:noWrap/>
            <w:vAlign w:val="bottom"/>
            <w:hideMark/>
          </w:tcPr>
          <w:p w14:paraId="3B6E76FD" w14:textId="3EE61FF9"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48</w:t>
            </w:r>
          </w:p>
        </w:tc>
        <w:tc>
          <w:tcPr>
            <w:tcW w:w="996" w:type="dxa"/>
            <w:gridSpan w:val="3"/>
            <w:tcBorders>
              <w:top w:val="nil"/>
              <w:left w:val="nil"/>
              <w:bottom w:val="nil"/>
              <w:right w:val="nil"/>
            </w:tcBorders>
            <w:shd w:val="clear" w:color="auto" w:fill="auto"/>
            <w:noWrap/>
            <w:vAlign w:val="bottom"/>
            <w:hideMark/>
          </w:tcPr>
          <w:p w14:paraId="17D7A2A7" w14:textId="1D656FD9"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48</w:t>
            </w:r>
          </w:p>
        </w:tc>
      </w:tr>
      <w:tr w:rsidR="004C6D93" w:rsidRPr="00C5339C" w14:paraId="7D3C43BF" w14:textId="77777777" w:rsidTr="00852545">
        <w:trPr>
          <w:trHeight w:val="204"/>
        </w:trPr>
        <w:tc>
          <w:tcPr>
            <w:tcW w:w="2860" w:type="dxa"/>
            <w:tcBorders>
              <w:top w:val="nil"/>
              <w:left w:val="nil"/>
              <w:bottom w:val="nil"/>
              <w:right w:val="nil"/>
            </w:tcBorders>
            <w:shd w:val="clear" w:color="auto" w:fill="auto"/>
            <w:vAlign w:val="center"/>
            <w:hideMark/>
          </w:tcPr>
          <w:p w14:paraId="5A1A434F" w14:textId="779F3319" w:rsidR="004C6D93" w:rsidRPr="00C5339C" w:rsidRDefault="004C6D93" w:rsidP="00753A31">
            <w:pPr>
              <w:spacing w:after="0" w:line="240" w:lineRule="auto"/>
              <w:ind w:left="113"/>
              <w:jc w:val="left"/>
              <w:rPr>
                <w:rFonts w:ascii="Arial" w:hAnsi="Arial" w:cs="Arial"/>
                <w:sz w:val="16"/>
                <w:szCs w:val="16"/>
              </w:rPr>
            </w:pPr>
            <w:r w:rsidRPr="00C5339C">
              <w:rPr>
                <w:rFonts w:ascii="Arial" w:hAnsi="Arial" w:cs="Arial"/>
                <w:sz w:val="16"/>
                <w:szCs w:val="16"/>
              </w:rPr>
              <w:t>Expenses not requiring</w:t>
            </w:r>
            <w:r w:rsidR="007469EF">
              <w:rPr>
                <w:rFonts w:ascii="Arial" w:hAnsi="Arial" w:cs="Arial"/>
                <w:sz w:val="16"/>
                <w:szCs w:val="16"/>
              </w:rPr>
              <w:t xml:space="preserve"> </w:t>
            </w:r>
            <w:r w:rsidRPr="00C5339C">
              <w:rPr>
                <w:rFonts w:ascii="Arial" w:hAnsi="Arial" w:cs="Arial"/>
                <w:sz w:val="16"/>
                <w:szCs w:val="16"/>
              </w:rPr>
              <w:t xml:space="preserve">appropriation in the Budget year </w:t>
            </w:r>
            <w:r w:rsidRPr="00C5339C">
              <w:rPr>
                <w:rFonts w:ascii="Arial" w:hAnsi="Arial" w:cs="Arial"/>
                <w:sz w:val="16"/>
                <w:szCs w:val="16"/>
                <w:vertAlign w:val="superscript"/>
              </w:rPr>
              <w:t>(b)</w:t>
            </w:r>
          </w:p>
        </w:tc>
        <w:tc>
          <w:tcPr>
            <w:tcW w:w="929" w:type="dxa"/>
            <w:gridSpan w:val="2"/>
            <w:tcBorders>
              <w:top w:val="nil"/>
              <w:left w:val="nil"/>
              <w:bottom w:val="nil"/>
              <w:right w:val="nil"/>
            </w:tcBorders>
            <w:shd w:val="clear" w:color="auto" w:fill="auto"/>
            <w:noWrap/>
            <w:vAlign w:val="bottom"/>
            <w:hideMark/>
          </w:tcPr>
          <w:p w14:paraId="3C9526C9" w14:textId="578089E2"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4,743</w:t>
            </w:r>
          </w:p>
        </w:tc>
        <w:tc>
          <w:tcPr>
            <w:tcW w:w="910" w:type="dxa"/>
            <w:tcBorders>
              <w:top w:val="nil"/>
              <w:left w:val="nil"/>
              <w:bottom w:val="nil"/>
              <w:right w:val="nil"/>
            </w:tcBorders>
            <w:shd w:val="clear" w:color="000000" w:fill="E6E6E6"/>
            <w:noWrap/>
            <w:vAlign w:val="bottom"/>
            <w:hideMark/>
          </w:tcPr>
          <w:p w14:paraId="40FDB4E0" w14:textId="793689D3"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4,219</w:t>
            </w:r>
          </w:p>
        </w:tc>
        <w:tc>
          <w:tcPr>
            <w:tcW w:w="812" w:type="dxa"/>
            <w:tcBorders>
              <w:top w:val="nil"/>
              <w:left w:val="nil"/>
              <w:bottom w:val="nil"/>
              <w:right w:val="nil"/>
            </w:tcBorders>
            <w:shd w:val="clear" w:color="auto" w:fill="auto"/>
            <w:noWrap/>
            <w:vAlign w:val="bottom"/>
            <w:hideMark/>
          </w:tcPr>
          <w:p w14:paraId="6010D6A1" w14:textId="3C5264FB"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4,094</w:t>
            </w:r>
          </w:p>
        </w:tc>
        <w:tc>
          <w:tcPr>
            <w:tcW w:w="880" w:type="dxa"/>
            <w:gridSpan w:val="3"/>
            <w:tcBorders>
              <w:top w:val="nil"/>
              <w:left w:val="nil"/>
              <w:bottom w:val="nil"/>
              <w:right w:val="nil"/>
            </w:tcBorders>
            <w:shd w:val="clear" w:color="auto" w:fill="auto"/>
            <w:noWrap/>
            <w:vAlign w:val="bottom"/>
            <w:hideMark/>
          </w:tcPr>
          <w:p w14:paraId="0106D5DA" w14:textId="3FF8B871"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4,094</w:t>
            </w:r>
          </w:p>
        </w:tc>
        <w:tc>
          <w:tcPr>
            <w:tcW w:w="996" w:type="dxa"/>
            <w:gridSpan w:val="3"/>
            <w:tcBorders>
              <w:top w:val="nil"/>
              <w:left w:val="nil"/>
              <w:bottom w:val="nil"/>
              <w:right w:val="nil"/>
            </w:tcBorders>
            <w:shd w:val="clear" w:color="auto" w:fill="auto"/>
            <w:noWrap/>
            <w:vAlign w:val="bottom"/>
            <w:hideMark/>
          </w:tcPr>
          <w:p w14:paraId="7E46CD3B" w14:textId="43C896ED"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4,094</w:t>
            </w:r>
          </w:p>
        </w:tc>
      </w:tr>
      <w:tr w:rsidR="004C6D93" w:rsidRPr="00C5339C" w14:paraId="08B383DB" w14:textId="77777777" w:rsidTr="00852545">
        <w:trPr>
          <w:trHeight w:val="204"/>
        </w:trPr>
        <w:tc>
          <w:tcPr>
            <w:tcW w:w="2860" w:type="dxa"/>
            <w:tcBorders>
              <w:top w:val="nil"/>
              <w:left w:val="nil"/>
              <w:bottom w:val="nil"/>
              <w:right w:val="nil"/>
            </w:tcBorders>
            <w:shd w:val="clear" w:color="auto" w:fill="auto"/>
            <w:vAlign w:val="center"/>
            <w:hideMark/>
          </w:tcPr>
          <w:p w14:paraId="0BFFF0C0" w14:textId="3DDB3213" w:rsidR="004C6D93" w:rsidRPr="00C5339C" w:rsidRDefault="008863D9" w:rsidP="004C6D93">
            <w:pPr>
              <w:spacing w:after="0" w:line="240" w:lineRule="auto"/>
              <w:jc w:val="right"/>
              <w:rPr>
                <w:rFonts w:ascii="Arial" w:hAnsi="Arial" w:cs="Arial"/>
                <w:b/>
                <w:bCs/>
                <w:sz w:val="16"/>
                <w:szCs w:val="16"/>
              </w:rPr>
            </w:pPr>
            <w:r>
              <w:rPr>
                <w:rFonts w:ascii="Arial" w:hAnsi="Arial" w:cs="Arial"/>
                <w:b/>
                <w:bCs/>
                <w:sz w:val="16"/>
                <w:szCs w:val="16"/>
              </w:rPr>
              <w:t>Department</w:t>
            </w:r>
            <w:r w:rsidR="004C6D93" w:rsidRPr="00C5339C">
              <w:rPr>
                <w:rFonts w:ascii="Arial" w:hAnsi="Arial" w:cs="Arial"/>
                <w:b/>
                <w:bCs/>
                <w:sz w:val="16"/>
                <w:szCs w:val="16"/>
              </w:rPr>
              <w:t>al total</w:t>
            </w:r>
          </w:p>
        </w:tc>
        <w:tc>
          <w:tcPr>
            <w:tcW w:w="929" w:type="dxa"/>
            <w:gridSpan w:val="2"/>
            <w:tcBorders>
              <w:top w:val="single" w:sz="4" w:space="0" w:color="auto"/>
              <w:left w:val="nil"/>
              <w:bottom w:val="single" w:sz="4" w:space="0" w:color="auto"/>
              <w:right w:val="nil"/>
            </w:tcBorders>
            <w:shd w:val="clear" w:color="auto" w:fill="auto"/>
            <w:noWrap/>
            <w:vAlign w:val="bottom"/>
            <w:hideMark/>
          </w:tcPr>
          <w:p w14:paraId="74C39AB0" w14:textId="0152CDB4" w:rsidR="004C6D93" w:rsidRPr="00753A31" w:rsidRDefault="004C6D93" w:rsidP="00523B0D">
            <w:pPr>
              <w:spacing w:after="0" w:line="240" w:lineRule="auto"/>
              <w:jc w:val="right"/>
              <w:rPr>
                <w:rFonts w:ascii="Arial" w:hAnsi="Arial" w:cs="Arial"/>
                <w:b/>
                <w:color w:val="000000"/>
                <w:sz w:val="16"/>
                <w:szCs w:val="16"/>
              </w:rPr>
            </w:pPr>
            <w:r w:rsidRPr="00753A31">
              <w:rPr>
                <w:rFonts w:ascii="Arial" w:hAnsi="Arial" w:cs="Arial"/>
                <w:b/>
                <w:color w:val="000000"/>
                <w:sz w:val="16"/>
                <w:szCs w:val="16"/>
              </w:rPr>
              <w:t>42,501</w:t>
            </w:r>
          </w:p>
        </w:tc>
        <w:tc>
          <w:tcPr>
            <w:tcW w:w="910" w:type="dxa"/>
            <w:tcBorders>
              <w:top w:val="single" w:sz="4" w:space="0" w:color="auto"/>
              <w:left w:val="nil"/>
              <w:bottom w:val="single" w:sz="4" w:space="0" w:color="auto"/>
              <w:right w:val="nil"/>
            </w:tcBorders>
            <w:shd w:val="clear" w:color="000000" w:fill="E6E6E6"/>
            <w:noWrap/>
            <w:vAlign w:val="bottom"/>
            <w:hideMark/>
          </w:tcPr>
          <w:p w14:paraId="0F1240D6" w14:textId="60AA306E"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45,088</w:t>
            </w:r>
          </w:p>
        </w:tc>
        <w:tc>
          <w:tcPr>
            <w:tcW w:w="812" w:type="dxa"/>
            <w:tcBorders>
              <w:top w:val="single" w:sz="4" w:space="0" w:color="auto"/>
              <w:left w:val="nil"/>
              <w:bottom w:val="single" w:sz="4" w:space="0" w:color="auto"/>
              <w:right w:val="nil"/>
            </w:tcBorders>
            <w:shd w:val="clear" w:color="auto" w:fill="auto"/>
            <w:noWrap/>
            <w:vAlign w:val="bottom"/>
            <w:hideMark/>
          </w:tcPr>
          <w:p w14:paraId="4A4DFEA0" w14:textId="7C10D515"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45,256</w:t>
            </w:r>
          </w:p>
        </w:tc>
        <w:tc>
          <w:tcPr>
            <w:tcW w:w="880" w:type="dxa"/>
            <w:gridSpan w:val="3"/>
            <w:tcBorders>
              <w:top w:val="single" w:sz="4" w:space="0" w:color="auto"/>
              <w:left w:val="nil"/>
              <w:bottom w:val="single" w:sz="4" w:space="0" w:color="auto"/>
              <w:right w:val="nil"/>
            </w:tcBorders>
            <w:shd w:val="clear" w:color="auto" w:fill="auto"/>
            <w:noWrap/>
            <w:vAlign w:val="bottom"/>
            <w:hideMark/>
          </w:tcPr>
          <w:p w14:paraId="2D2E1266" w14:textId="2CCB8C3A"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44,011</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5B849776" w14:textId="17CF61D1"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43,528</w:t>
            </w:r>
          </w:p>
        </w:tc>
      </w:tr>
      <w:tr w:rsidR="004C6D93" w:rsidRPr="00C5339C" w14:paraId="0D30FE45" w14:textId="77777777" w:rsidTr="00852545">
        <w:trPr>
          <w:trHeight w:val="204"/>
        </w:trPr>
        <w:tc>
          <w:tcPr>
            <w:tcW w:w="2860" w:type="dxa"/>
            <w:tcBorders>
              <w:top w:val="nil"/>
              <w:left w:val="nil"/>
              <w:bottom w:val="single" w:sz="4" w:space="0" w:color="000000"/>
              <w:right w:val="nil"/>
            </w:tcBorders>
            <w:shd w:val="clear" w:color="auto" w:fill="auto"/>
            <w:vAlign w:val="center"/>
            <w:hideMark/>
          </w:tcPr>
          <w:p w14:paraId="69D610F1" w14:textId="77777777" w:rsidR="004C6D93" w:rsidRPr="00C5339C" w:rsidRDefault="004C6D93" w:rsidP="004C6D93">
            <w:pPr>
              <w:spacing w:after="0" w:line="240" w:lineRule="auto"/>
              <w:jc w:val="left"/>
              <w:rPr>
                <w:rFonts w:ascii="Arial" w:hAnsi="Arial" w:cs="Arial"/>
                <w:b/>
                <w:bCs/>
                <w:sz w:val="16"/>
                <w:szCs w:val="16"/>
              </w:rPr>
            </w:pPr>
            <w:r w:rsidRPr="00C5339C">
              <w:rPr>
                <w:rFonts w:ascii="Arial" w:hAnsi="Arial" w:cs="Arial"/>
                <w:b/>
                <w:bCs/>
                <w:sz w:val="16"/>
                <w:szCs w:val="16"/>
              </w:rPr>
              <w:t>Total expenses for program 1.2</w:t>
            </w:r>
          </w:p>
        </w:tc>
        <w:tc>
          <w:tcPr>
            <w:tcW w:w="929" w:type="dxa"/>
            <w:gridSpan w:val="2"/>
            <w:tcBorders>
              <w:top w:val="single" w:sz="4" w:space="0" w:color="auto"/>
              <w:left w:val="nil"/>
              <w:bottom w:val="nil"/>
              <w:right w:val="nil"/>
            </w:tcBorders>
            <w:shd w:val="clear" w:color="auto" w:fill="auto"/>
            <w:noWrap/>
            <w:vAlign w:val="bottom"/>
            <w:hideMark/>
          </w:tcPr>
          <w:p w14:paraId="5454EA15" w14:textId="09E8531D" w:rsidR="004C6D93" w:rsidRPr="00C5339C" w:rsidRDefault="004C6D93" w:rsidP="00523B0D">
            <w:pPr>
              <w:spacing w:after="0" w:line="240" w:lineRule="auto"/>
              <w:jc w:val="right"/>
              <w:rPr>
                <w:rFonts w:ascii="Arial" w:hAnsi="Arial" w:cs="Arial"/>
                <w:b/>
                <w:bCs/>
                <w:color w:val="000000"/>
                <w:sz w:val="16"/>
                <w:szCs w:val="16"/>
              </w:rPr>
            </w:pPr>
            <w:r w:rsidRPr="00C5339C">
              <w:rPr>
                <w:rFonts w:ascii="Arial" w:hAnsi="Arial" w:cs="Arial"/>
                <w:b/>
                <w:bCs/>
                <w:color w:val="000000"/>
                <w:sz w:val="16"/>
                <w:szCs w:val="16"/>
              </w:rPr>
              <w:t>49,945</w:t>
            </w:r>
          </w:p>
        </w:tc>
        <w:tc>
          <w:tcPr>
            <w:tcW w:w="910" w:type="dxa"/>
            <w:tcBorders>
              <w:top w:val="single" w:sz="4" w:space="0" w:color="auto"/>
              <w:left w:val="nil"/>
              <w:bottom w:val="nil"/>
              <w:right w:val="nil"/>
            </w:tcBorders>
            <w:shd w:val="clear" w:color="000000" w:fill="E6E6E6"/>
            <w:noWrap/>
            <w:vAlign w:val="bottom"/>
            <w:hideMark/>
          </w:tcPr>
          <w:p w14:paraId="58A4FD1F" w14:textId="30C93E40" w:rsidR="004C6D93" w:rsidRPr="00C5339C" w:rsidRDefault="004C6D93" w:rsidP="00523B0D">
            <w:pPr>
              <w:spacing w:after="0" w:line="240" w:lineRule="auto"/>
              <w:jc w:val="right"/>
              <w:rPr>
                <w:rFonts w:ascii="Arial" w:hAnsi="Arial" w:cs="Arial"/>
                <w:b/>
                <w:bCs/>
                <w:color w:val="000000"/>
                <w:sz w:val="16"/>
                <w:szCs w:val="16"/>
              </w:rPr>
            </w:pPr>
            <w:r w:rsidRPr="00C5339C">
              <w:rPr>
                <w:rFonts w:ascii="Arial" w:hAnsi="Arial" w:cs="Arial"/>
                <w:b/>
                <w:bCs/>
                <w:color w:val="000000"/>
                <w:sz w:val="16"/>
                <w:szCs w:val="16"/>
              </w:rPr>
              <w:t>45,388</w:t>
            </w:r>
          </w:p>
        </w:tc>
        <w:tc>
          <w:tcPr>
            <w:tcW w:w="812" w:type="dxa"/>
            <w:tcBorders>
              <w:top w:val="single" w:sz="4" w:space="0" w:color="auto"/>
              <w:left w:val="nil"/>
              <w:bottom w:val="nil"/>
              <w:right w:val="nil"/>
            </w:tcBorders>
            <w:shd w:val="clear" w:color="auto" w:fill="auto"/>
            <w:noWrap/>
            <w:vAlign w:val="bottom"/>
            <w:hideMark/>
          </w:tcPr>
          <w:p w14:paraId="4C8F71C4" w14:textId="3365F85D" w:rsidR="004C6D93" w:rsidRPr="00C5339C" w:rsidRDefault="004C6D93" w:rsidP="00523B0D">
            <w:pPr>
              <w:spacing w:after="0" w:line="240" w:lineRule="auto"/>
              <w:jc w:val="right"/>
              <w:rPr>
                <w:rFonts w:ascii="Arial" w:hAnsi="Arial" w:cs="Arial"/>
                <w:b/>
                <w:bCs/>
                <w:sz w:val="16"/>
                <w:szCs w:val="16"/>
              </w:rPr>
            </w:pPr>
            <w:r w:rsidRPr="00C5339C">
              <w:rPr>
                <w:rFonts w:ascii="Arial" w:hAnsi="Arial" w:cs="Arial"/>
                <w:b/>
                <w:bCs/>
                <w:sz w:val="16"/>
                <w:szCs w:val="16"/>
              </w:rPr>
              <w:t>45,556</w:t>
            </w:r>
          </w:p>
        </w:tc>
        <w:tc>
          <w:tcPr>
            <w:tcW w:w="880" w:type="dxa"/>
            <w:gridSpan w:val="3"/>
            <w:tcBorders>
              <w:top w:val="single" w:sz="4" w:space="0" w:color="auto"/>
              <w:left w:val="nil"/>
              <w:bottom w:val="nil"/>
              <w:right w:val="nil"/>
            </w:tcBorders>
            <w:shd w:val="clear" w:color="auto" w:fill="auto"/>
            <w:noWrap/>
            <w:vAlign w:val="bottom"/>
            <w:hideMark/>
          </w:tcPr>
          <w:p w14:paraId="360C4E6F" w14:textId="69F5DCD4" w:rsidR="004C6D93" w:rsidRPr="00C5339C" w:rsidRDefault="004C6D93" w:rsidP="00523B0D">
            <w:pPr>
              <w:spacing w:after="0" w:line="240" w:lineRule="auto"/>
              <w:jc w:val="right"/>
              <w:rPr>
                <w:rFonts w:ascii="Arial" w:hAnsi="Arial" w:cs="Arial"/>
                <w:b/>
                <w:bCs/>
                <w:sz w:val="16"/>
                <w:szCs w:val="16"/>
              </w:rPr>
            </w:pPr>
            <w:r w:rsidRPr="00C5339C">
              <w:rPr>
                <w:rFonts w:ascii="Arial" w:hAnsi="Arial" w:cs="Arial"/>
                <w:b/>
                <w:bCs/>
                <w:sz w:val="16"/>
                <w:szCs w:val="16"/>
              </w:rPr>
              <w:t>44,311</w:t>
            </w:r>
          </w:p>
        </w:tc>
        <w:tc>
          <w:tcPr>
            <w:tcW w:w="996" w:type="dxa"/>
            <w:gridSpan w:val="3"/>
            <w:tcBorders>
              <w:top w:val="single" w:sz="4" w:space="0" w:color="auto"/>
              <w:left w:val="nil"/>
              <w:bottom w:val="nil"/>
              <w:right w:val="nil"/>
            </w:tcBorders>
            <w:shd w:val="clear" w:color="auto" w:fill="auto"/>
            <w:noWrap/>
            <w:vAlign w:val="bottom"/>
            <w:hideMark/>
          </w:tcPr>
          <w:p w14:paraId="1129D730" w14:textId="18259114" w:rsidR="004C6D93" w:rsidRPr="00C5339C" w:rsidRDefault="004C6D93" w:rsidP="00523B0D">
            <w:pPr>
              <w:spacing w:after="0" w:line="240" w:lineRule="auto"/>
              <w:jc w:val="right"/>
              <w:rPr>
                <w:rFonts w:ascii="Arial" w:hAnsi="Arial" w:cs="Arial"/>
                <w:b/>
                <w:bCs/>
                <w:sz w:val="16"/>
                <w:szCs w:val="16"/>
              </w:rPr>
            </w:pPr>
            <w:r w:rsidRPr="00C5339C">
              <w:rPr>
                <w:rFonts w:ascii="Arial" w:hAnsi="Arial" w:cs="Arial"/>
                <w:b/>
                <w:bCs/>
                <w:sz w:val="16"/>
                <w:szCs w:val="16"/>
              </w:rPr>
              <w:t>43,828</w:t>
            </w:r>
          </w:p>
        </w:tc>
      </w:tr>
      <w:tr w:rsidR="004C6D93" w:rsidRPr="00C5339C" w14:paraId="65C62401" w14:textId="77777777" w:rsidTr="00852545">
        <w:trPr>
          <w:trHeight w:val="204"/>
        </w:trPr>
        <w:tc>
          <w:tcPr>
            <w:tcW w:w="7387" w:type="dxa"/>
            <w:gridSpan w:val="11"/>
            <w:tcBorders>
              <w:top w:val="single" w:sz="4" w:space="0" w:color="auto"/>
              <w:left w:val="nil"/>
              <w:bottom w:val="nil"/>
              <w:right w:val="nil"/>
            </w:tcBorders>
            <w:shd w:val="clear" w:color="000000" w:fill="E6E6E6"/>
            <w:vAlign w:val="bottom"/>
            <w:hideMark/>
          </w:tcPr>
          <w:p w14:paraId="2B974887" w14:textId="111E2D7B" w:rsidR="004C6D93" w:rsidRPr="00C5339C" w:rsidRDefault="004C6D93" w:rsidP="000672C0">
            <w:pPr>
              <w:spacing w:after="0" w:line="240" w:lineRule="auto"/>
              <w:jc w:val="left"/>
              <w:rPr>
                <w:rFonts w:ascii="Arial" w:hAnsi="Arial" w:cs="Arial"/>
                <w:b/>
                <w:bCs/>
                <w:sz w:val="16"/>
                <w:szCs w:val="16"/>
              </w:rPr>
            </w:pPr>
            <w:r w:rsidRPr="00C5339C">
              <w:rPr>
                <w:rFonts w:ascii="Arial" w:hAnsi="Arial" w:cs="Arial"/>
                <w:b/>
                <w:bCs/>
                <w:sz w:val="16"/>
                <w:szCs w:val="16"/>
              </w:rPr>
              <w:t xml:space="preserve">Program 1.3: Office of the </w:t>
            </w:r>
            <w:proofErr w:type="spellStart"/>
            <w:r w:rsidRPr="00C5339C">
              <w:rPr>
                <w:rFonts w:ascii="Arial" w:hAnsi="Arial" w:cs="Arial"/>
                <w:b/>
                <w:bCs/>
                <w:sz w:val="16"/>
                <w:szCs w:val="16"/>
              </w:rPr>
              <w:t>eSafety</w:t>
            </w:r>
            <w:proofErr w:type="spellEnd"/>
            <w:r w:rsidRPr="00C5339C">
              <w:rPr>
                <w:rFonts w:ascii="Arial" w:hAnsi="Arial" w:cs="Arial"/>
                <w:b/>
                <w:bCs/>
                <w:sz w:val="16"/>
                <w:szCs w:val="16"/>
              </w:rPr>
              <w:t xml:space="preserve"> Commissioner</w:t>
            </w:r>
          </w:p>
        </w:tc>
      </w:tr>
      <w:tr w:rsidR="004C6D93" w:rsidRPr="00C5339C" w14:paraId="3495CF1F" w14:textId="77777777" w:rsidTr="00852545">
        <w:trPr>
          <w:trHeight w:val="204"/>
        </w:trPr>
        <w:tc>
          <w:tcPr>
            <w:tcW w:w="2860" w:type="dxa"/>
            <w:tcBorders>
              <w:top w:val="single" w:sz="4" w:space="0" w:color="000000"/>
              <w:left w:val="nil"/>
              <w:bottom w:val="nil"/>
              <w:right w:val="nil"/>
            </w:tcBorders>
            <w:shd w:val="clear" w:color="auto" w:fill="auto"/>
            <w:noWrap/>
            <w:vAlign w:val="center"/>
            <w:hideMark/>
          </w:tcPr>
          <w:p w14:paraId="7D6026B5" w14:textId="77777777" w:rsidR="004C6D93" w:rsidRPr="00C5339C" w:rsidRDefault="004C6D93" w:rsidP="004C6D93">
            <w:pPr>
              <w:spacing w:after="0" w:line="240" w:lineRule="auto"/>
              <w:jc w:val="left"/>
              <w:rPr>
                <w:rFonts w:ascii="Arial" w:hAnsi="Arial" w:cs="Arial"/>
                <w:sz w:val="16"/>
                <w:szCs w:val="16"/>
              </w:rPr>
            </w:pPr>
            <w:r w:rsidRPr="00C5339C">
              <w:rPr>
                <w:rFonts w:ascii="Arial" w:hAnsi="Arial" w:cs="Arial"/>
                <w:sz w:val="16"/>
                <w:szCs w:val="16"/>
              </w:rPr>
              <w:t>Administered expenses</w:t>
            </w:r>
          </w:p>
        </w:tc>
        <w:tc>
          <w:tcPr>
            <w:tcW w:w="929" w:type="dxa"/>
            <w:gridSpan w:val="2"/>
            <w:tcBorders>
              <w:top w:val="single" w:sz="4" w:space="0" w:color="000000"/>
              <w:left w:val="nil"/>
              <w:bottom w:val="nil"/>
              <w:right w:val="nil"/>
            </w:tcBorders>
            <w:shd w:val="clear" w:color="auto" w:fill="auto"/>
            <w:noWrap/>
            <w:vAlign w:val="bottom"/>
            <w:hideMark/>
          </w:tcPr>
          <w:p w14:paraId="6CB9E09E" w14:textId="0B6BAC7D" w:rsidR="004C6D93" w:rsidRPr="00C5339C" w:rsidRDefault="004C6D93" w:rsidP="00523B0D">
            <w:pPr>
              <w:spacing w:after="0" w:line="240" w:lineRule="auto"/>
              <w:jc w:val="right"/>
              <w:rPr>
                <w:rFonts w:ascii="Arial" w:hAnsi="Arial" w:cs="Arial"/>
                <w:color w:val="000000"/>
                <w:sz w:val="16"/>
                <w:szCs w:val="16"/>
              </w:rPr>
            </w:pPr>
          </w:p>
        </w:tc>
        <w:tc>
          <w:tcPr>
            <w:tcW w:w="910" w:type="dxa"/>
            <w:tcBorders>
              <w:top w:val="single" w:sz="4" w:space="0" w:color="000000"/>
              <w:left w:val="nil"/>
              <w:bottom w:val="nil"/>
              <w:right w:val="nil"/>
            </w:tcBorders>
            <w:shd w:val="clear" w:color="000000" w:fill="E6E6E6"/>
            <w:noWrap/>
            <w:vAlign w:val="bottom"/>
            <w:hideMark/>
          </w:tcPr>
          <w:p w14:paraId="31EAF8C6" w14:textId="3CC4EBC9" w:rsidR="004C6D93" w:rsidRPr="00C5339C" w:rsidRDefault="004C6D93" w:rsidP="00523B0D">
            <w:pPr>
              <w:spacing w:after="0" w:line="240" w:lineRule="auto"/>
              <w:jc w:val="right"/>
              <w:rPr>
                <w:rFonts w:ascii="Arial" w:hAnsi="Arial" w:cs="Arial"/>
                <w:sz w:val="16"/>
                <w:szCs w:val="16"/>
              </w:rPr>
            </w:pPr>
          </w:p>
        </w:tc>
        <w:tc>
          <w:tcPr>
            <w:tcW w:w="812" w:type="dxa"/>
            <w:tcBorders>
              <w:top w:val="single" w:sz="4" w:space="0" w:color="000000"/>
              <w:left w:val="nil"/>
              <w:bottom w:val="nil"/>
              <w:right w:val="nil"/>
            </w:tcBorders>
            <w:shd w:val="clear" w:color="auto" w:fill="auto"/>
            <w:noWrap/>
            <w:vAlign w:val="bottom"/>
            <w:hideMark/>
          </w:tcPr>
          <w:p w14:paraId="1E5682A6" w14:textId="69965695" w:rsidR="004C6D93" w:rsidRPr="00C5339C" w:rsidRDefault="004C6D93" w:rsidP="00523B0D">
            <w:pPr>
              <w:spacing w:after="0" w:line="240" w:lineRule="auto"/>
              <w:jc w:val="right"/>
              <w:rPr>
                <w:rFonts w:ascii="Arial" w:hAnsi="Arial" w:cs="Arial"/>
                <w:sz w:val="16"/>
                <w:szCs w:val="16"/>
              </w:rPr>
            </w:pPr>
          </w:p>
        </w:tc>
        <w:tc>
          <w:tcPr>
            <w:tcW w:w="880" w:type="dxa"/>
            <w:gridSpan w:val="3"/>
            <w:tcBorders>
              <w:top w:val="single" w:sz="4" w:space="0" w:color="000000"/>
              <w:left w:val="nil"/>
              <w:bottom w:val="nil"/>
              <w:right w:val="nil"/>
            </w:tcBorders>
            <w:shd w:val="clear" w:color="auto" w:fill="auto"/>
            <w:noWrap/>
            <w:vAlign w:val="bottom"/>
            <w:hideMark/>
          </w:tcPr>
          <w:p w14:paraId="77DECF0D" w14:textId="478486CB" w:rsidR="004C6D93" w:rsidRPr="00C5339C" w:rsidRDefault="004C6D93" w:rsidP="00523B0D">
            <w:pPr>
              <w:spacing w:after="0" w:line="240" w:lineRule="auto"/>
              <w:jc w:val="right"/>
              <w:rPr>
                <w:rFonts w:ascii="Arial" w:hAnsi="Arial" w:cs="Arial"/>
                <w:sz w:val="16"/>
                <w:szCs w:val="16"/>
              </w:rPr>
            </w:pPr>
          </w:p>
        </w:tc>
        <w:tc>
          <w:tcPr>
            <w:tcW w:w="996" w:type="dxa"/>
            <w:gridSpan w:val="3"/>
            <w:tcBorders>
              <w:top w:val="single" w:sz="4" w:space="0" w:color="000000"/>
              <w:left w:val="nil"/>
              <w:bottom w:val="nil"/>
              <w:right w:val="nil"/>
            </w:tcBorders>
            <w:shd w:val="clear" w:color="auto" w:fill="auto"/>
            <w:noWrap/>
            <w:vAlign w:val="bottom"/>
            <w:hideMark/>
          </w:tcPr>
          <w:p w14:paraId="39BA2121" w14:textId="4233EC78" w:rsidR="004C6D93" w:rsidRPr="00C5339C" w:rsidRDefault="004C6D93" w:rsidP="00523B0D">
            <w:pPr>
              <w:spacing w:after="0" w:line="240" w:lineRule="auto"/>
              <w:jc w:val="right"/>
              <w:rPr>
                <w:rFonts w:ascii="Arial" w:hAnsi="Arial" w:cs="Arial"/>
                <w:sz w:val="16"/>
                <w:szCs w:val="16"/>
              </w:rPr>
            </w:pPr>
          </w:p>
        </w:tc>
      </w:tr>
      <w:tr w:rsidR="004C6D93" w:rsidRPr="00C5339C" w14:paraId="68F8A7B4" w14:textId="77777777" w:rsidTr="00852545">
        <w:trPr>
          <w:trHeight w:val="204"/>
        </w:trPr>
        <w:tc>
          <w:tcPr>
            <w:tcW w:w="2860" w:type="dxa"/>
            <w:tcBorders>
              <w:top w:val="nil"/>
              <w:left w:val="nil"/>
              <w:bottom w:val="nil"/>
              <w:right w:val="nil"/>
            </w:tcBorders>
            <w:shd w:val="clear" w:color="auto" w:fill="auto"/>
            <w:vAlign w:val="center"/>
            <w:hideMark/>
          </w:tcPr>
          <w:p w14:paraId="7237B3D2" w14:textId="73B75BA8" w:rsidR="004C6D93" w:rsidRPr="00C5339C" w:rsidRDefault="004C6D93" w:rsidP="00753A31">
            <w:pPr>
              <w:spacing w:after="0" w:line="240" w:lineRule="auto"/>
              <w:ind w:left="113"/>
              <w:jc w:val="left"/>
              <w:rPr>
                <w:rFonts w:ascii="Arial" w:hAnsi="Arial" w:cs="Arial"/>
                <w:sz w:val="16"/>
                <w:szCs w:val="16"/>
              </w:rPr>
            </w:pPr>
            <w:r w:rsidRPr="00C5339C">
              <w:rPr>
                <w:rFonts w:ascii="Arial" w:hAnsi="Arial" w:cs="Arial"/>
                <w:sz w:val="16"/>
                <w:szCs w:val="16"/>
              </w:rPr>
              <w:t>Ordinary annual services</w:t>
            </w:r>
            <w:r w:rsidR="007469EF">
              <w:rPr>
                <w:rFonts w:ascii="Arial" w:hAnsi="Arial" w:cs="Arial"/>
                <w:sz w:val="16"/>
                <w:szCs w:val="16"/>
              </w:rPr>
              <w:t xml:space="preserve"> </w:t>
            </w:r>
            <w:r w:rsidRPr="00C5339C">
              <w:rPr>
                <w:rFonts w:ascii="Arial" w:hAnsi="Arial" w:cs="Arial"/>
                <w:sz w:val="16"/>
                <w:szCs w:val="16"/>
              </w:rPr>
              <w:t>(Appropriation Bill No. 1)</w:t>
            </w:r>
          </w:p>
        </w:tc>
        <w:tc>
          <w:tcPr>
            <w:tcW w:w="929" w:type="dxa"/>
            <w:gridSpan w:val="2"/>
            <w:tcBorders>
              <w:top w:val="nil"/>
              <w:left w:val="nil"/>
              <w:bottom w:val="nil"/>
              <w:right w:val="nil"/>
            </w:tcBorders>
            <w:shd w:val="clear" w:color="auto" w:fill="auto"/>
            <w:noWrap/>
            <w:vAlign w:val="bottom"/>
            <w:hideMark/>
          </w:tcPr>
          <w:p w14:paraId="5DFA7E24" w14:textId="5D037F73"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6,344</w:t>
            </w:r>
          </w:p>
        </w:tc>
        <w:tc>
          <w:tcPr>
            <w:tcW w:w="910" w:type="dxa"/>
            <w:tcBorders>
              <w:top w:val="nil"/>
              <w:left w:val="nil"/>
              <w:bottom w:val="nil"/>
              <w:right w:val="nil"/>
            </w:tcBorders>
            <w:shd w:val="clear" w:color="000000" w:fill="E6E6E6"/>
            <w:noWrap/>
            <w:vAlign w:val="bottom"/>
            <w:hideMark/>
          </w:tcPr>
          <w:p w14:paraId="6DC618D8" w14:textId="6A3D4008"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8,944</w:t>
            </w:r>
          </w:p>
        </w:tc>
        <w:tc>
          <w:tcPr>
            <w:tcW w:w="812" w:type="dxa"/>
            <w:tcBorders>
              <w:top w:val="nil"/>
              <w:left w:val="nil"/>
              <w:bottom w:val="nil"/>
              <w:right w:val="nil"/>
            </w:tcBorders>
            <w:shd w:val="clear" w:color="auto" w:fill="auto"/>
            <w:noWrap/>
            <w:vAlign w:val="bottom"/>
            <w:hideMark/>
          </w:tcPr>
          <w:p w14:paraId="63B41AA4" w14:textId="4ACE6A44"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6,214</w:t>
            </w:r>
          </w:p>
        </w:tc>
        <w:tc>
          <w:tcPr>
            <w:tcW w:w="880" w:type="dxa"/>
            <w:gridSpan w:val="3"/>
            <w:tcBorders>
              <w:top w:val="nil"/>
              <w:left w:val="nil"/>
              <w:bottom w:val="nil"/>
              <w:right w:val="nil"/>
            </w:tcBorders>
            <w:shd w:val="clear" w:color="auto" w:fill="auto"/>
            <w:noWrap/>
            <w:vAlign w:val="bottom"/>
            <w:hideMark/>
          </w:tcPr>
          <w:p w14:paraId="0F6EEF4E" w14:textId="6BCF9A1A"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4,020</w:t>
            </w:r>
          </w:p>
        </w:tc>
        <w:tc>
          <w:tcPr>
            <w:tcW w:w="996" w:type="dxa"/>
            <w:gridSpan w:val="3"/>
            <w:tcBorders>
              <w:top w:val="nil"/>
              <w:left w:val="nil"/>
              <w:bottom w:val="nil"/>
              <w:right w:val="nil"/>
            </w:tcBorders>
            <w:shd w:val="clear" w:color="auto" w:fill="auto"/>
            <w:noWrap/>
            <w:vAlign w:val="bottom"/>
            <w:hideMark/>
          </w:tcPr>
          <w:p w14:paraId="2DDF4221" w14:textId="1657CAC3"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w:t>
            </w:r>
          </w:p>
        </w:tc>
      </w:tr>
      <w:tr w:rsidR="004C6D93" w:rsidRPr="00C5339C" w14:paraId="415FE91D" w14:textId="77777777" w:rsidTr="00852545">
        <w:trPr>
          <w:trHeight w:val="204"/>
        </w:trPr>
        <w:tc>
          <w:tcPr>
            <w:tcW w:w="2860" w:type="dxa"/>
            <w:tcBorders>
              <w:top w:val="nil"/>
              <w:left w:val="nil"/>
              <w:bottom w:val="nil"/>
              <w:right w:val="nil"/>
            </w:tcBorders>
            <w:shd w:val="clear" w:color="000000" w:fill="FFFFFF"/>
            <w:vAlign w:val="center"/>
            <w:hideMark/>
          </w:tcPr>
          <w:p w14:paraId="26469BAE" w14:textId="77777777" w:rsidR="004C6D93" w:rsidRPr="00C5339C" w:rsidRDefault="004C6D93" w:rsidP="004C6D93">
            <w:pPr>
              <w:spacing w:after="0" w:line="240" w:lineRule="auto"/>
              <w:jc w:val="right"/>
              <w:rPr>
                <w:rFonts w:ascii="Arial" w:hAnsi="Arial" w:cs="Arial"/>
                <w:b/>
                <w:bCs/>
                <w:sz w:val="16"/>
                <w:szCs w:val="16"/>
              </w:rPr>
            </w:pPr>
            <w:r w:rsidRPr="00C5339C">
              <w:rPr>
                <w:rFonts w:ascii="Arial" w:hAnsi="Arial" w:cs="Arial"/>
                <w:b/>
                <w:bCs/>
                <w:sz w:val="16"/>
                <w:szCs w:val="16"/>
              </w:rPr>
              <w:t>Administered total</w:t>
            </w:r>
          </w:p>
        </w:tc>
        <w:tc>
          <w:tcPr>
            <w:tcW w:w="929" w:type="dxa"/>
            <w:gridSpan w:val="2"/>
            <w:tcBorders>
              <w:top w:val="single" w:sz="4" w:space="0" w:color="000000"/>
              <w:left w:val="nil"/>
              <w:bottom w:val="single" w:sz="4" w:space="0" w:color="000000"/>
              <w:right w:val="nil"/>
            </w:tcBorders>
            <w:shd w:val="clear" w:color="auto" w:fill="auto"/>
            <w:noWrap/>
            <w:vAlign w:val="bottom"/>
            <w:hideMark/>
          </w:tcPr>
          <w:p w14:paraId="7DCF1C47" w14:textId="410A634C" w:rsidR="004C6D93" w:rsidRPr="00753A31" w:rsidRDefault="004C6D93" w:rsidP="00523B0D">
            <w:pPr>
              <w:spacing w:after="0" w:line="240" w:lineRule="auto"/>
              <w:jc w:val="right"/>
              <w:rPr>
                <w:rFonts w:ascii="Arial" w:hAnsi="Arial" w:cs="Arial"/>
                <w:b/>
                <w:color w:val="000000"/>
                <w:sz w:val="16"/>
                <w:szCs w:val="16"/>
              </w:rPr>
            </w:pPr>
            <w:r w:rsidRPr="00753A31">
              <w:rPr>
                <w:rFonts w:ascii="Arial" w:hAnsi="Arial" w:cs="Arial"/>
                <w:b/>
                <w:color w:val="000000"/>
                <w:sz w:val="16"/>
                <w:szCs w:val="16"/>
              </w:rPr>
              <w:t>6,344</w:t>
            </w:r>
          </w:p>
        </w:tc>
        <w:tc>
          <w:tcPr>
            <w:tcW w:w="910" w:type="dxa"/>
            <w:tcBorders>
              <w:top w:val="single" w:sz="4" w:space="0" w:color="000000"/>
              <w:left w:val="nil"/>
              <w:bottom w:val="single" w:sz="4" w:space="0" w:color="000000"/>
              <w:right w:val="nil"/>
            </w:tcBorders>
            <w:shd w:val="clear" w:color="000000" w:fill="E6E6E6"/>
            <w:noWrap/>
            <w:vAlign w:val="bottom"/>
            <w:hideMark/>
          </w:tcPr>
          <w:p w14:paraId="0D7CC73B" w14:textId="469026E3"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8,944</w:t>
            </w:r>
          </w:p>
        </w:tc>
        <w:tc>
          <w:tcPr>
            <w:tcW w:w="812" w:type="dxa"/>
            <w:tcBorders>
              <w:top w:val="single" w:sz="4" w:space="0" w:color="000000"/>
              <w:left w:val="nil"/>
              <w:bottom w:val="single" w:sz="4" w:space="0" w:color="000000"/>
              <w:right w:val="nil"/>
            </w:tcBorders>
            <w:shd w:val="clear" w:color="auto" w:fill="auto"/>
            <w:noWrap/>
            <w:vAlign w:val="bottom"/>
            <w:hideMark/>
          </w:tcPr>
          <w:p w14:paraId="06F3EA98" w14:textId="2330A8DC"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6,214</w:t>
            </w:r>
          </w:p>
        </w:tc>
        <w:tc>
          <w:tcPr>
            <w:tcW w:w="880" w:type="dxa"/>
            <w:gridSpan w:val="3"/>
            <w:tcBorders>
              <w:top w:val="single" w:sz="4" w:space="0" w:color="000000"/>
              <w:left w:val="nil"/>
              <w:bottom w:val="single" w:sz="4" w:space="0" w:color="000000"/>
              <w:right w:val="nil"/>
            </w:tcBorders>
            <w:shd w:val="clear" w:color="auto" w:fill="auto"/>
            <w:noWrap/>
            <w:vAlign w:val="bottom"/>
            <w:hideMark/>
          </w:tcPr>
          <w:p w14:paraId="567B799F" w14:textId="1CCAC3F6"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4,020</w:t>
            </w:r>
          </w:p>
        </w:tc>
        <w:tc>
          <w:tcPr>
            <w:tcW w:w="996" w:type="dxa"/>
            <w:gridSpan w:val="3"/>
            <w:tcBorders>
              <w:top w:val="single" w:sz="4" w:space="0" w:color="000000"/>
              <w:left w:val="nil"/>
              <w:bottom w:val="single" w:sz="4" w:space="0" w:color="000000"/>
              <w:right w:val="nil"/>
            </w:tcBorders>
            <w:shd w:val="clear" w:color="auto" w:fill="auto"/>
            <w:noWrap/>
            <w:vAlign w:val="bottom"/>
            <w:hideMark/>
          </w:tcPr>
          <w:p w14:paraId="59F5AFA3" w14:textId="29CC6526"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w:t>
            </w:r>
          </w:p>
        </w:tc>
      </w:tr>
      <w:tr w:rsidR="004C6D93" w:rsidRPr="00C5339C" w14:paraId="70F8E230" w14:textId="77777777" w:rsidTr="00852545">
        <w:trPr>
          <w:trHeight w:val="204"/>
        </w:trPr>
        <w:tc>
          <w:tcPr>
            <w:tcW w:w="2860" w:type="dxa"/>
            <w:tcBorders>
              <w:top w:val="nil"/>
              <w:left w:val="nil"/>
              <w:bottom w:val="nil"/>
              <w:right w:val="nil"/>
            </w:tcBorders>
            <w:shd w:val="clear" w:color="000000" w:fill="FFFFFF"/>
            <w:noWrap/>
            <w:vAlign w:val="center"/>
            <w:hideMark/>
          </w:tcPr>
          <w:p w14:paraId="177EE2C4" w14:textId="767E4001" w:rsidR="004C6D93" w:rsidRPr="00C5339C" w:rsidRDefault="008863D9" w:rsidP="004C6D93">
            <w:pPr>
              <w:spacing w:after="0" w:line="240" w:lineRule="auto"/>
              <w:jc w:val="left"/>
              <w:rPr>
                <w:rFonts w:ascii="Arial" w:hAnsi="Arial" w:cs="Arial"/>
                <w:sz w:val="16"/>
                <w:szCs w:val="16"/>
              </w:rPr>
            </w:pPr>
            <w:r>
              <w:rPr>
                <w:rFonts w:ascii="Arial" w:hAnsi="Arial" w:cs="Arial"/>
                <w:sz w:val="16"/>
                <w:szCs w:val="16"/>
              </w:rPr>
              <w:t>Department</w:t>
            </w:r>
            <w:r w:rsidR="004C6D93" w:rsidRPr="00C5339C">
              <w:rPr>
                <w:rFonts w:ascii="Arial" w:hAnsi="Arial" w:cs="Arial"/>
                <w:sz w:val="16"/>
                <w:szCs w:val="16"/>
              </w:rPr>
              <w:t>al expenses</w:t>
            </w:r>
          </w:p>
        </w:tc>
        <w:tc>
          <w:tcPr>
            <w:tcW w:w="929" w:type="dxa"/>
            <w:gridSpan w:val="2"/>
            <w:tcBorders>
              <w:top w:val="nil"/>
              <w:left w:val="nil"/>
              <w:bottom w:val="nil"/>
              <w:right w:val="nil"/>
            </w:tcBorders>
            <w:shd w:val="clear" w:color="auto" w:fill="auto"/>
            <w:noWrap/>
            <w:vAlign w:val="bottom"/>
            <w:hideMark/>
          </w:tcPr>
          <w:p w14:paraId="79CE3BE3" w14:textId="77777777" w:rsidR="004C6D93" w:rsidRPr="00C5339C" w:rsidRDefault="004C6D93" w:rsidP="00523B0D">
            <w:pPr>
              <w:spacing w:after="0" w:line="240" w:lineRule="auto"/>
              <w:jc w:val="right"/>
              <w:rPr>
                <w:rFonts w:ascii="Arial" w:hAnsi="Arial" w:cs="Arial"/>
                <w:sz w:val="16"/>
                <w:szCs w:val="16"/>
              </w:rPr>
            </w:pPr>
          </w:p>
        </w:tc>
        <w:tc>
          <w:tcPr>
            <w:tcW w:w="910" w:type="dxa"/>
            <w:tcBorders>
              <w:top w:val="nil"/>
              <w:left w:val="nil"/>
              <w:bottom w:val="nil"/>
              <w:right w:val="nil"/>
            </w:tcBorders>
            <w:shd w:val="clear" w:color="000000" w:fill="E6E6E6"/>
            <w:noWrap/>
            <w:vAlign w:val="bottom"/>
            <w:hideMark/>
          </w:tcPr>
          <w:p w14:paraId="77DC66A0" w14:textId="21511FCC" w:rsidR="004C6D93" w:rsidRPr="00C5339C" w:rsidRDefault="004C6D93" w:rsidP="00523B0D">
            <w:pPr>
              <w:spacing w:after="0" w:line="240" w:lineRule="auto"/>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5D5A0F5E" w14:textId="77777777" w:rsidR="004C6D93" w:rsidRPr="00C5339C" w:rsidRDefault="004C6D93" w:rsidP="00523B0D">
            <w:pPr>
              <w:spacing w:after="0" w:line="240" w:lineRule="auto"/>
              <w:jc w:val="right"/>
              <w:rPr>
                <w:rFonts w:ascii="Arial" w:hAnsi="Arial" w:cs="Arial"/>
                <w:sz w:val="16"/>
                <w:szCs w:val="16"/>
              </w:rPr>
            </w:pPr>
          </w:p>
        </w:tc>
        <w:tc>
          <w:tcPr>
            <w:tcW w:w="880" w:type="dxa"/>
            <w:gridSpan w:val="3"/>
            <w:tcBorders>
              <w:top w:val="nil"/>
              <w:left w:val="nil"/>
              <w:bottom w:val="nil"/>
              <w:right w:val="nil"/>
            </w:tcBorders>
            <w:shd w:val="clear" w:color="auto" w:fill="auto"/>
            <w:noWrap/>
            <w:vAlign w:val="bottom"/>
            <w:hideMark/>
          </w:tcPr>
          <w:p w14:paraId="630C841B" w14:textId="77777777" w:rsidR="004C6D93" w:rsidRPr="00C5339C" w:rsidRDefault="004C6D93" w:rsidP="00523B0D">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7234DC6B" w14:textId="77777777" w:rsidR="004C6D93" w:rsidRPr="00C5339C" w:rsidRDefault="004C6D93" w:rsidP="00523B0D">
            <w:pPr>
              <w:spacing w:after="0" w:line="240" w:lineRule="auto"/>
              <w:jc w:val="right"/>
              <w:rPr>
                <w:rFonts w:ascii="Arial" w:hAnsi="Arial" w:cs="Arial"/>
                <w:sz w:val="16"/>
                <w:szCs w:val="16"/>
              </w:rPr>
            </w:pPr>
          </w:p>
        </w:tc>
      </w:tr>
      <w:tr w:rsidR="004C6D93" w:rsidRPr="00C5339C" w14:paraId="05C0FDD7" w14:textId="77777777" w:rsidTr="00852545">
        <w:trPr>
          <w:trHeight w:val="204"/>
        </w:trPr>
        <w:tc>
          <w:tcPr>
            <w:tcW w:w="2860" w:type="dxa"/>
            <w:tcBorders>
              <w:top w:val="nil"/>
              <w:left w:val="nil"/>
              <w:bottom w:val="nil"/>
              <w:right w:val="nil"/>
            </w:tcBorders>
            <w:shd w:val="clear" w:color="000000" w:fill="FFFFFF"/>
            <w:noWrap/>
            <w:vAlign w:val="center"/>
            <w:hideMark/>
          </w:tcPr>
          <w:p w14:paraId="170A4C3E" w14:textId="5F556CC9" w:rsidR="004C6D93" w:rsidRPr="00C5339C" w:rsidRDefault="008863D9" w:rsidP="00753A31">
            <w:pPr>
              <w:spacing w:after="0" w:line="240" w:lineRule="auto"/>
              <w:ind w:left="113"/>
              <w:jc w:val="left"/>
              <w:rPr>
                <w:rFonts w:ascii="Arial" w:hAnsi="Arial" w:cs="Arial"/>
                <w:sz w:val="16"/>
                <w:szCs w:val="16"/>
              </w:rPr>
            </w:pPr>
            <w:r>
              <w:rPr>
                <w:rFonts w:ascii="Arial" w:hAnsi="Arial" w:cs="Arial"/>
                <w:sz w:val="16"/>
                <w:szCs w:val="16"/>
              </w:rPr>
              <w:t>Department</w:t>
            </w:r>
            <w:r w:rsidR="004C6D93" w:rsidRPr="00C5339C">
              <w:rPr>
                <w:rFonts w:ascii="Arial" w:hAnsi="Arial" w:cs="Arial"/>
                <w:sz w:val="16"/>
                <w:szCs w:val="16"/>
              </w:rPr>
              <w:t>al appropriation</w:t>
            </w:r>
          </w:p>
        </w:tc>
        <w:tc>
          <w:tcPr>
            <w:tcW w:w="929" w:type="dxa"/>
            <w:gridSpan w:val="2"/>
            <w:tcBorders>
              <w:top w:val="nil"/>
              <w:left w:val="nil"/>
              <w:bottom w:val="nil"/>
              <w:right w:val="nil"/>
            </w:tcBorders>
            <w:shd w:val="clear" w:color="auto" w:fill="auto"/>
            <w:noWrap/>
            <w:vAlign w:val="bottom"/>
            <w:hideMark/>
          </w:tcPr>
          <w:p w14:paraId="011BA34B" w14:textId="403DA967"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23,420</w:t>
            </w:r>
          </w:p>
        </w:tc>
        <w:tc>
          <w:tcPr>
            <w:tcW w:w="910" w:type="dxa"/>
            <w:tcBorders>
              <w:top w:val="nil"/>
              <w:left w:val="nil"/>
              <w:bottom w:val="nil"/>
              <w:right w:val="nil"/>
            </w:tcBorders>
            <w:shd w:val="clear" w:color="000000" w:fill="E6E6E6"/>
            <w:noWrap/>
            <w:vAlign w:val="bottom"/>
            <w:hideMark/>
          </w:tcPr>
          <w:p w14:paraId="1C5433A3" w14:textId="1898BB86"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39,127</w:t>
            </w:r>
          </w:p>
        </w:tc>
        <w:tc>
          <w:tcPr>
            <w:tcW w:w="812" w:type="dxa"/>
            <w:tcBorders>
              <w:top w:val="nil"/>
              <w:left w:val="nil"/>
              <w:bottom w:val="nil"/>
              <w:right w:val="nil"/>
            </w:tcBorders>
            <w:shd w:val="clear" w:color="auto" w:fill="auto"/>
            <w:noWrap/>
            <w:vAlign w:val="bottom"/>
            <w:hideMark/>
          </w:tcPr>
          <w:p w14:paraId="654DC151" w14:textId="365EB4C2"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39,446</w:t>
            </w:r>
          </w:p>
        </w:tc>
        <w:tc>
          <w:tcPr>
            <w:tcW w:w="880" w:type="dxa"/>
            <w:gridSpan w:val="3"/>
            <w:tcBorders>
              <w:top w:val="nil"/>
              <w:left w:val="nil"/>
              <w:bottom w:val="nil"/>
              <w:right w:val="nil"/>
            </w:tcBorders>
            <w:shd w:val="clear" w:color="auto" w:fill="auto"/>
            <w:noWrap/>
            <w:vAlign w:val="bottom"/>
            <w:hideMark/>
          </w:tcPr>
          <w:p w14:paraId="72FE223E" w14:textId="6A494F57"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10,739</w:t>
            </w:r>
          </w:p>
        </w:tc>
        <w:tc>
          <w:tcPr>
            <w:tcW w:w="996" w:type="dxa"/>
            <w:gridSpan w:val="3"/>
            <w:tcBorders>
              <w:top w:val="nil"/>
              <w:left w:val="nil"/>
              <w:bottom w:val="nil"/>
              <w:right w:val="nil"/>
            </w:tcBorders>
            <w:shd w:val="clear" w:color="auto" w:fill="auto"/>
            <w:noWrap/>
            <w:vAlign w:val="bottom"/>
            <w:hideMark/>
          </w:tcPr>
          <w:p w14:paraId="1A749691" w14:textId="1975A6C8"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10,783</w:t>
            </w:r>
          </w:p>
        </w:tc>
      </w:tr>
      <w:tr w:rsidR="004C6D93" w:rsidRPr="00C5339C" w14:paraId="6096FF75" w14:textId="77777777" w:rsidTr="00852545">
        <w:trPr>
          <w:trHeight w:val="204"/>
        </w:trPr>
        <w:tc>
          <w:tcPr>
            <w:tcW w:w="2860" w:type="dxa"/>
            <w:tcBorders>
              <w:top w:val="nil"/>
              <w:left w:val="nil"/>
              <w:bottom w:val="nil"/>
              <w:right w:val="nil"/>
            </w:tcBorders>
            <w:shd w:val="clear" w:color="000000" w:fill="FFFFFF"/>
            <w:noWrap/>
            <w:vAlign w:val="center"/>
            <w:hideMark/>
          </w:tcPr>
          <w:p w14:paraId="57D6C751" w14:textId="77777777" w:rsidR="004C6D93" w:rsidRPr="00C5339C" w:rsidRDefault="004C6D93" w:rsidP="00753A31">
            <w:pPr>
              <w:spacing w:after="0" w:line="240" w:lineRule="auto"/>
              <w:ind w:left="113"/>
              <w:jc w:val="left"/>
              <w:rPr>
                <w:rFonts w:ascii="Arial" w:hAnsi="Arial" w:cs="Arial"/>
                <w:sz w:val="16"/>
                <w:szCs w:val="16"/>
              </w:rPr>
            </w:pPr>
            <w:r w:rsidRPr="00C5339C">
              <w:rPr>
                <w:rFonts w:ascii="Arial" w:hAnsi="Arial" w:cs="Arial"/>
                <w:sz w:val="16"/>
                <w:szCs w:val="16"/>
              </w:rPr>
              <w:t xml:space="preserve">s74 External Revenue </w:t>
            </w:r>
            <w:r w:rsidRPr="00C5339C">
              <w:rPr>
                <w:rFonts w:ascii="Arial" w:hAnsi="Arial" w:cs="Arial"/>
                <w:sz w:val="16"/>
                <w:szCs w:val="16"/>
                <w:vertAlign w:val="superscript"/>
              </w:rPr>
              <w:t>(a)</w:t>
            </w:r>
          </w:p>
        </w:tc>
        <w:tc>
          <w:tcPr>
            <w:tcW w:w="929" w:type="dxa"/>
            <w:gridSpan w:val="2"/>
            <w:tcBorders>
              <w:top w:val="nil"/>
              <w:left w:val="nil"/>
              <w:bottom w:val="nil"/>
              <w:right w:val="nil"/>
            </w:tcBorders>
            <w:shd w:val="clear" w:color="auto" w:fill="auto"/>
            <w:noWrap/>
            <w:vAlign w:val="bottom"/>
            <w:hideMark/>
          </w:tcPr>
          <w:p w14:paraId="65A960B0" w14:textId="518C08E4"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406</w:t>
            </w:r>
          </w:p>
        </w:tc>
        <w:tc>
          <w:tcPr>
            <w:tcW w:w="910" w:type="dxa"/>
            <w:tcBorders>
              <w:top w:val="nil"/>
              <w:left w:val="nil"/>
              <w:bottom w:val="nil"/>
              <w:right w:val="nil"/>
            </w:tcBorders>
            <w:shd w:val="clear" w:color="000000" w:fill="E6E6E6"/>
            <w:noWrap/>
            <w:vAlign w:val="bottom"/>
            <w:hideMark/>
          </w:tcPr>
          <w:p w14:paraId="2DEF4037" w14:textId="043E028D"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w:t>
            </w:r>
          </w:p>
        </w:tc>
        <w:tc>
          <w:tcPr>
            <w:tcW w:w="812" w:type="dxa"/>
            <w:tcBorders>
              <w:top w:val="nil"/>
              <w:left w:val="nil"/>
              <w:bottom w:val="nil"/>
              <w:right w:val="nil"/>
            </w:tcBorders>
            <w:shd w:val="clear" w:color="auto" w:fill="auto"/>
            <w:noWrap/>
            <w:vAlign w:val="bottom"/>
            <w:hideMark/>
          </w:tcPr>
          <w:p w14:paraId="4E7F569F" w14:textId="59F48807"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w:t>
            </w:r>
          </w:p>
        </w:tc>
        <w:tc>
          <w:tcPr>
            <w:tcW w:w="880" w:type="dxa"/>
            <w:gridSpan w:val="3"/>
            <w:tcBorders>
              <w:top w:val="nil"/>
              <w:left w:val="nil"/>
              <w:bottom w:val="nil"/>
              <w:right w:val="nil"/>
            </w:tcBorders>
            <w:shd w:val="clear" w:color="auto" w:fill="auto"/>
            <w:noWrap/>
            <w:vAlign w:val="bottom"/>
            <w:hideMark/>
          </w:tcPr>
          <w:p w14:paraId="062AE709" w14:textId="15136636"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w:t>
            </w:r>
          </w:p>
        </w:tc>
        <w:tc>
          <w:tcPr>
            <w:tcW w:w="996" w:type="dxa"/>
            <w:gridSpan w:val="3"/>
            <w:tcBorders>
              <w:top w:val="nil"/>
              <w:left w:val="nil"/>
              <w:bottom w:val="nil"/>
              <w:right w:val="nil"/>
            </w:tcBorders>
            <w:shd w:val="clear" w:color="auto" w:fill="auto"/>
            <w:noWrap/>
            <w:vAlign w:val="bottom"/>
            <w:hideMark/>
          </w:tcPr>
          <w:p w14:paraId="36EDEC82" w14:textId="2444EE26"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w:t>
            </w:r>
          </w:p>
        </w:tc>
      </w:tr>
      <w:tr w:rsidR="004C6D93" w:rsidRPr="00C5339C" w14:paraId="3EB7F5BE" w14:textId="77777777" w:rsidTr="00852545">
        <w:trPr>
          <w:trHeight w:val="204"/>
        </w:trPr>
        <w:tc>
          <w:tcPr>
            <w:tcW w:w="2860" w:type="dxa"/>
            <w:tcBorders>
              <w:top w:val="nil"/>
              <w:left w:val="nil"/>
              <w:bottom w:val="nil"/>
              <w:right w:val="nil"/>
            </w:tcBorders>
            <w:shd w:val="clear" w:color="000000" w:fill="FFFFFF"/>
            <w:noWrap/>
            <w:vAlign w:val="center"/>
            <w:hideMark/>
          </w:tcPr>
          <w:p w14:paraId="1BD3093E" w14:textId="77777777" w:rsidR="004C6D93" w:rsidRPr="00C5339C" w:rsidRDefault="004C6D93" w:rsidP="00753A31">
            <w:pPr>
              <w:spacing w:after="0" w:line="240" w:lineRule="auto"/>
              <w:ind w:left="113"/>
              <w:jc w:val="left"/>
              <w:rPr>
                <w:rFonts w:ascii="Arial" w:hAnsi="Arial" w:cs="Arial"/>
                <w:sz w:val="16"/>
                <w:szCs w:val="16"/>
              </w:rPr>
            </w:pPr>
            <w:r w:rsidRPr="00C5339C">
              <w:rPr>
                <w:rFonts w:ascii="Arial" w:hAnsi="Arial" w:cs="Arial"/>
                <w:sz w:val="16"/>
                <w:szCs w:val="16"/>
              </w:rPr>
              <w:t>Special accounts</w:t>
            </w:r>
          </w:p>
        </w:tc>
        <w:tc>
          <w:tcPr>
            <w:tcW w:w="929" w:type="dxa"/>
            <w:gridSpan w:val="2"/>
            <w:tcBorders>
              <w:top w:val="nil"/>
              <w:left w:val="nil"/>
              <w:bottom w:val="nil"/>
              <w:right w:val="nil"/>
            </w:tcBorders>
            <w:shd w:val="clear" w:color="auto" w:fill="auto"/>
            <w:noWrap/>
            <w:vAlign w:val="bottom"/>
            <w:hideMark/>
          </w:tcPr>
          <w:p w14:paraId="0A164BEB" w14:textId="77777777" w:rsidR="004C6D93" w:rsidRPr="00C5339C" w:rsidRDefault="004C6D93" w:rsidP="00523B0D">
            <w:pPr>
              <w:spacing w:after="0" w:line="240" w:lineRule="auto"/>
              <w:ind w:firstLineChars="100" w:firstLine="160"/>
              <w:jc w:val="right"/>
              <w:rPr>
                <w:rFonts w:ascii="Arial" w:hAnsi="Arial" w:cs="Arial"/>
                <w:sz w:val="16"/>
                <w:szCs w:val="16"/>
              </w:rPr>
            </w:pPr>
          </w:p>
        </w:tc>
        <w:tc>
          <w:tcPr>
            <w:tcW w:w="910" w:type="dxa"/>
            <w:tcBorders>
              <w:top w:val="nil"/>
              <w:left w:val="nil"/>
              <w:bottom w:val="nil"/>
              <w:right w:val="nil"/>
            </w:tcBorders>
            <w:shd w:val="clear" w:color="000000" w:fill="E6E6E6"/>
            <w:noWrap/>
            <w:vAlign w:val="bottom"/>
            <w:hideMark/>
          </w:tcPr>
          <w:p w14:paraId="146B3949" w14:textId="0370FB0E" w:rsidR="004C6D93" w:rsidRPr="00C5339C" w:rsidRDefault="004C6D93" w:rsidP="00523B0D">
            <w:pPr>
              <w:spacing w:after="0" w:line="240" w:lineRule="auto"/>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708160DC" w14:textId="77777777" w:rsidR="004C6D93" w:rsidRPr="00C5339C" w:rsidRDefault="004C6D93" w:rsidP="00523B0D">
            <w:pPr>
              <w:spacing w:after="0" w:line="240" w:lineRule="auto"/>
              <w:jc w:val="right"/>
              <w:rPr>
                <w:rFonts w:ascii="Arial" w:hAnsi="Arial" w:cs="Arial"/>
                <w:sz w:val="16"/>
                <w:szCs w:val="16"/>
              </w:rPr>
            </w:pPr>
          </w:p>
        </w:tc>
        <w:tc>
          <w:tcPr>
            <w:tcW w:w="880" w:type="dxa"/>
            <w:gridSpan w:val="3"/>
            <w:tcBorders>
              <w:top w:val="nil"/>
              <w:left w:val="nil"/>
              <w:bottom w:val="nil"/>
              <w:right w:val="nil"/>
            </w:tcBorders>
            <w:shd w:val="clear" w:color="auto" w:fill="auto"/>
            <w:noWrap/>
            <w:vAlign w:val="bottom"/>
            <w:hideMark/>
          </w:tcPr>
          <w:p w14:paraId="2E6DD2BB" w14:textId="77777777" w:rsidR="004C6D93" w:rsidRPr="00C5339C" w:rsidRDefault="004C6D93" w:rsidP="00523B0D">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463A1EAF" w14:textId="77777777" w:rsidR="004C6D93" w:rsidRPr="00C5339C" w:rsidRDefault="004C6D93" w:rsidP="00523B0D">
            <w:pPr>
              <w:spacing w:after="0" w:line="240" w:lineRule="auto"/>
              <w:jc w:val="right"/>
              <w:rPr>
                <w:rFonts w:ascii="Arial" w:hAnsi="Arial" w:cs="Arial"/>
                <w:sz w:val="16"/>
                <w:szCs w:val="16"/>
              </w:rPr>
            </w:pPr>
          </w:p>
        </w:tc>
      </w:tr>
      <w:tr w:rsidR="004C6D93" w:rsidRPr="00C5339C" w14:paraId="194B9013" w14:textId="77777777" w:rsidTr="00852545">
        <w:trPr>
          <w:trHeight w:val="204"/>
        </w:trPr>
        <w:tc>
          <w:tcPr>
            <w:tcW w:w="2860" w:type="dxa"/>
            <w:tcBorders>
              <w:top w:val="nil"/>
              <w:left w:val="nil"/>
              <w:bottom w:val="nil"/>
              <w:right w:val="nil"/>
            </w:tcBorders>
            <w:shd w:val="clear" w:color="000000" w:fill="FFFFFF"/>
            <w:vAlign w:val="center"/>
            <w:hideMark/>
          </w:tcPr>
          <w:p w14:paraId="325B4F85" w14:textId="77777777" w:rsidR="004C6D93" w:rsidRPr="00C5339C" w:rsidRDefault="004C6D93" w:rsidP="00753A31">
            <w:pPr>
              <w:spacing w:after="0" w:line="240" w:lineRule="auto"/>
              <w:ind w:left="227"/>
              <w:jc w:val="left"/>
              <w:rPr>
                <w:rFonts w:ascii="Arial" w:hAnsi="Arial" w:cs="Arial"/>
                <w:sz w:val="16"/>
                <w:szCs w:val="16"/>
              </w:rPr>
            </w:pPr>
            <w:r w:rsidRPr="00C5339C">
              <w:rPr>
                <w:rFonts w:ascii="Arial" w:hAnsi="Arial" w:cs="Arial"/>
                <w:sz w:val="16"/>
                <w:szCs w:val="16"/>
              </w:rPr>
              <w:t xml:space="preserve">Appropriation receipts </w:t>
            </w:r>
            <w:r w:rsidRPr="00C5339C">
              <w:rPr>
                <w:rFonts w:ascii="Arial" w:hAnsi="Arial" w:cs="Arial"/>
                <w:sz w:val="16"/>
                <w:szCs w:val="16"/>
                <w:vertAlign w:val="superscript"/>
              </w:rPr>
              <w:t>(d)</w:t>
            </w:r>
          </w:p>
        </w:tc>
        <w:tc>
          <w:tcPr>
            <w:tcW w:w="929" w:type="dxa"/>
            <w:gridSpan w:val="2"/>
            <w:tcBorders>
              <w:top w:val="nil"/>
              <w:left w:val="nil"/>
              <w:bottom w:val="nil"/>
              <w:right w:val="nil"/>
            </w:tcBorders>
            <w:shd w:val="clear" w:color="auto" w:fill="auto"/>
            <w:noWrap/>
            <w:vAlign w:val="bottom"/>
            <w:hideMark/>
          </w:tcPr>
          <w:p w14:paraId="74065E74" w14:textId="205BF3FF"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18,348</w:t>
            </w:r>
          </w:p>
        </w:tc>
        <w:tc>
          <w:tcPr>
            <w:tcW w:w="910" w:type="dxa"/>
            <w:tcBorders>
              <w:top w:val="nil"/>
              <w:left w:val="nil"/>
              <w:bottom w:val="nil"/>
              <w:right w:val="nil"/>
            </w:tcBorders>
            <w:shd w:val="clear" w:color="000000" w:fill="E6E6E6"/>
            <w:noWrap/>
            <w:vAlign w:val="bottom"/>
            <w:hideMark/>
          </w:tcPr>
          <w:p w14:paraId="336290BC" w14:textId="02AC420D"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44,636</w:t>
            </w:r>
          </w:p>
        </w:tc>
        <w:tc>
          <w:tcPr>
            <w:tcW w:w="812" w:type="dxa"/>
            <w:tcBorders>
              <w:top w:val="nil"/>
              <w:left w:val="nil"/>
              <w:bottom w:val="nil"/>
              <w:right w:val="nil"/>
            </w:tcBorders>
            <w:shd w:val="clear" w:color="auto" w:fill="auto"/>
            <w:noWrap/>
            <w:vAlign w:val="bottom"/>
            <w:hideMark/>
          </w:tcPr>
          <w:p w14:paraId="67575B3B" w14:textId="256E99FB"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39,545</w:t>
            </w:r>
          </w:p>
        </w:tc>
        <w:tc>
          <w:tcPr>
            <w:tcW w:w="880" w:type="dxa"/>
            <w:gridSpan w:val="3"/>
            <w:tcBorders>
              <w:top w:val="nil"/>
              <w:left w:val="nil"/>
              <w:bottom w:val="nil"/>
              <w:right w:val="nil"/>
            </w:tcBorders>
            <w:shd w:val="clear" w:color="auto" w:fill="auto"/>
            <w:noWrap/>
            <w:vAlign w:val="bottom"/>
            <w:hideMark/>
          </w:tcPr>
          <w:p w14:paraId="1D53C598" w14:textId="1F1600F0"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10,838</w:t>
            </w:r>
          </w:p>
        </w:tc>
        <w:tc>
          <w:tcPr>
            <w:tcW w:w="996" w:type="dxa"/>
            <w:gridSpan w:val="3"/>
            <w:tcBorders>
              <w:top w:val="nil"/>
              <w:left w:val="nil"/>
              <w:bottom w:val="nil"/>
              <w:right w:val="nil"/>
            </w:tcBorders>
            <w:shd w:val="clear" w:color="auto" w:fill="auto"/>
            <w:noWrap/>
            <w:vAlign w:val="bottom"/>
            <w:hideMark/>
          </w:tcPr>
          <w:p w14:paraId="31D025EC" w14:textId="2A2EBDFF"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10,883</w:t>
            </w:r>
          </w:p>
        </w:tc>
      </w:tr>
      <w:tr w:rsidR="004C6D93" w:rsidRPr="00C5339C" w14:paraId="2E28AADC" w14:textId="77777777" w:rsidTr="00852545">
        <w:trPr>
          <w:trHeight w:val="204"/>
        </w:trPr>
        <w:tc>
          <w:tcPr>
            <w:tcW w:w="2860" w:type="dxa"/>
            <w:tcBorders>
              <w:top w:val="nil"/>
              <w:left w:val="nil"/>
              <w:bottom w:val="nil"/>
              <w:right w:val="nil"/>
            </w:tcBorders>
            <w:shd w:val="clear" w:color="auto" w:fill="auto"/>
            <w:vAlign w:val="center"/>
            <w:hideMark/>
          </w:tcPr>
          <w:p w14:paraId="02E2EB5E" w14:textId="77777777" w:rsidR="004C6D93" w:rsidRPr="00C5339C" w:rsidRDefault="004C6D93" w:rsidP="00753A31">
            <w:pPr>
              <w:spacing w:after="0" w:line="240" w:lineRule="auto"/>
              <w:ind w:left="227"/>
              <w:jc w:val="left"/>
              <w:rPr>
                <w:rFonts w:ascii="Arial" w:hAnsi="Arial" w:cs="Arial"/>
                <w:sz w:val="16"/>
                <w:szCs w:val="16"/>
              </w:rPr>
            </w:pPr>
            <w:r w:rsidRPr="00C5339C">
              <w:rPr>
                <w:rFonts w:ascii="Arial" w:hAnsi="Arial" w:cs="Arial"/>
                <w:sz w:val="16"/>
                <w:szCs w:val="16"/>
              </w:rPr>
              <w:t xml:space="preserve">less expenses made from appropriations credited to special accounts </w:t>
            </w:r>
            <w:r w:rsidRPr="00C5339C">
              <w:rPr>
                <w:rFonts w:ascii="Arial" w:hAnsi="Arial" w:cs="Arial"/>
                <w:sz w:val="16"/>
                <w:szCs w:val="16"/>
                <w:vertAlign w:val="superscript"/>
              </w:rPr>
              <w:t>(e)</w:t>
            </w:r>
          </w:p>
        </w:tc>
        <w:tc>
          <w:tcPr>
            <w:tcW w:w="929" w:type="dxa"/>
            <w:gridSpan w:val="2"/>
            <w:tcBorders>
              <w:top w:val="nil"/>
              <w:left w:val="nil"/>
              <w:bottom w:val="nil"/>
              <w:right w:val="nil"/>
            </w:tcBorders>
            <w:shd w:val="clear" w:color="auto" w:fill="auto"/>
            <w:noWrap/>
            <w:vAlign w:val="bottom"/>
            <w:hideMark/>
          </w:tcPr>
          <w:p w14:paraId="566C2D0B" w14:textId="77777777"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(18,348)</w:t>
            </w:r>
          </w:p>
        </w:tc>
        <w:tc>
          <w:tcPr>
            <w:tcW w:w="910" w:type="dxa"/>
            <w:tcBorders>
              <w:top w:val="nil"/>
              <w:left w:val="nil"/>
              <w:bottom w:val="nil"/>
              <w:right w:val="nil"/>
            </w:tcBorders>
            <w:shd w:val="clear" w:color="000000" w:fill="E6E6E6"/>
            <w:noWrap/>
            <w:vAlign w:val="bottom"/>
            <w:hideMark/>
          </w:tcPr>
          <w:p w14:paraId="0F08EC2C" w14:textId="77777777"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(44,636)</w:t>
            </w:r>
          </w:p>
        </w:tc>
        <w:tc>
          <w:tcPr>
            <w:tcW w:w="812" w:type="dxa"/>
            <w:tcBorders>
              <w:top w:val="nil"/>
              <w:left w:val="nil"/>
              <w:bottom w:val="nil"/>
              <w:right w:val="nil"/>
            </w:tcBorders>
            <w:shd w:val="clear" w:color="auto" w:fill="auto"/>
            <w:noWrap/>
            <w:vAlign w:val="bottom"/>
            <w:hideMark/>
          </w:tcPr>
          <w:p w14:paraId="6459110D" w14:textId="77777777"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(39,545)</w:t>
            </w:r>
          </w:p>
        </w:tc>
        <w:tc>
          <w:tcPr>
            <w:tcW w:w="880" w:type="dxa"/>
            <w:gridSpan w:val="3"/>
            <w:tcBorders>
              <w:top w:val="nil"/>
              <w:left w:val="nil"/>
              <w:bottom w:val="nil"/>
              <w:right w:val="nil"/>
            </w:tcBorders>
            <w:shd w:val="clear" w:color="auto" w:fill="auto"/>
            <w:noWrap/>
            <w:vAlign w:val="bottom"/>
            <w:hideMark/>
          </w:tcPr>
          <w:p w14:paraId="47EFFAFC" w14:textId="77777777"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(10,838)</w:t>
            </w:r>
          </w:p>
        </w:tc>
        <w:tc>
          <w:tcPr>
            <w:tcW w:w="996" w:type="dxa"/>
            <w:gridSpan w:val="3"/>
            <w:tcBorders>
              <w:top w:val="nil"/>
              <w:left w:val="nil"/>
              <w:bottom w:val="nil"/>
              <w:right w:val="nil"/>
            </w:tcBorders>
            <w:shd w:val="clear" w:color="auto" w:fill="auto"/>
            <w:noWrap/>
            <w:vAlign w:val="bottom"/>
            <w:hideMark/>
          </w:tcPr>
          <w:p w14:paraId="5C7C7887" w14:textId="77777777"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(10,883)</w:t>
            </w:r>
          </w:p>
        </w:tc>
      </w:tr>
      <w:tr w:rsidR="004C6D93" w:rsidRPr="00C5339C" w14:paraId="68F8DD05" w14:textId="77777777" w:rsidTr="00852545">
        <w:trPr>
          <w:trHeight w:val="204"/>
        </w:trPr>
        <w:tc>
          <w:tcPr>
            <w:tcW w:w="2860" w:type="dxa"/>
            <w:tcBorders>
              <w:top w:val="nil"/>
              <w:left w:val="nil"/>
              <w:bottom w:val="nil"/>
              <w:right w:val="nil"/>
            </w:tcBorders>
            <w:shd w:val="clear" w:color="auto" w:fill="auto"/>
            <w:vAlign w:val="center"/>
            <w:hideMark/>
          </w:tcPr>
          <w:p w14:paraId="692F8F43" w14:textId="77777777" w:rsidR="004C6D93" w:rsidRPr="00C5339C" w:rsidRDefault="004C6D93" w:rsidP="00753A31">
            <w:pPr>
              <w:spacing w:after="0" w:line="240" w:lineRule="auto"/>
              <w:ind w:left="113"/>
              <w:jc w:val="left"/>
              <w:rPr>
                <w:rFonts w:ascii="Arial" w:hAnsi="Arial" w:cs="Arial"/>
                <w:sz w:val="16"/>
                <w:szCs w:val="16"/>
              </w:rPr>
            </w:pPr>
            <w:r w:rsidRPr="00C5339C">
              <w:rPr>
                <w:rFonts w:ascii="Arial" w:hAnsi="Arial" w:cs="Arial"/>
                <w:sz w:val="16"/>
                <w:szCs w:val="16"/>
              </w:rPr>
              <w:t>Expenses not requiring</w:t>
            </w:r>
            <w:r w:rsidRPr="00C5339C">
              <w:rPr>
                <w:rFonts w:ascii="Arial" w:hAnsi="Arial" w:cs="Arial"/>
                <w:sz w:val="16"/>
                <w:szCs w:val="16"/>
              </w:rPr>
              <w:br/>
              <w:t xml:space="preserve">appropriation in the Budget year </w:t>
            </w:r>
            <w:r w:rsidRPr="00C5339C">
              <w:rPr>
                <w:rFonts w:ascii="Arial" w:hAnsi="Arial" w:cs="Arial"/>
                <w:sz w:val="16"/>
                <w:szCs w:val="16"/>
                <w:vertAlign w:val="superscript"/>
              </w:rPr>
              <w:t>(b)</w:t>
            </w:r>
          </w:p>
        </w:tc>
        <w:tc>
          <w:tcPr>
            <w:tcW w:w="929" w:type="dxa"/>
            <w:gridSpan w:val="2"/>
            <w:tcBorders>
              <w:top w:val="nil"/>
              <w:left w:val="nil"/>
              <w:bottom w:val="nil"/>
              <w:right w:val="nil"/>
            </w:tcBorders>
            <w:shd w:val="clear" w:color="auto" w:fill="auto"/>
            <w:noWrap/>
            <w:vAlign w:val="bottom"/>
            <w:hideMark/>
          </w:tcPr>
          <w:p w14:paraId="6097F945" w14:textId="5E3BAC10" w:rsidR="004C6D93" w:rsidRPr="00C5339C" w:rsidRDefault="004C6D93" w:rsidP="00523B0D">
            <w:pPr>
              <w:spacing w:after="0" w:line="240" w:lineRule="auto"/>
              <w:jc w:val="right"/>
              <w:rPr>
                <w:rFonts w:ascii="Arial" w:hAnsi="Arial" w:cs="Arial"/>
                <w:color w:val="000000"/>
                <w:sz w:val="16"/>
                <w:szCs w:val="16"/>
              </w:rPr>
            </w:pPr>
            <w:r w:rsidRPr="00C5339C">
              <w:rPr>
                <w:rFonts w:ascii="Arial" w:hAnsi="Arial" w:cs="Arial"/>
                <w:color w:val="000000"/>
                <w:sz w:val="16"/>
                <w:szCs w:val="16"/>
              </w:rPr>
              <w:t>318</w:t>
            </w:r>
          </w:p>
        </w:tc>
        <w:tc>
          <w:tcPr>
            <w:tcW w:w="910" w:type="dxa"/>
            <w:tcBorders>
              <w:top w:val="nil"/>
              <w:left w:val="nil"/>
              <w:bottom w:val="nil"/>
              <w:right w:val="nil"/>
            </w:tcBorders>
            <w:shd w:val="clear" w:color="000000" w:fill="E6E6E6"/>
            <w:noWrap/>
            <w:vAlign w:val="bottom"/>
            <w:hideMark/>
          </w:tcPr>
          <w:p w14:paraId="4142B68A" w14:textId="3244C625"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425</w:t>
            </w:r>
          </w:p>
        </w:tc>
        <w:tc>
          <w:tcPr>
            <w:tcW w:w="812" w:type="dxa"/>
            <w:tcBorders>
              <w:top w:val="nil"/>
              <w:left w:val="nil"/>
              <w:bottom w:val="nil"/>
              <w:right w:val="nil"/>
            </w:tcBorders>
            <w:shd w:val="clear" w:color="auto" w:fill="auto"/>
            <w:noWrap/>
            <w:vAlign w:val="bottom"/>
            <w:hideMark/>
          </w:tcPr>
          <w:p w14:paraId="3761AA3E" w14:textId="1372353D"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425</w:t>
            </w:r>
          </w:p>
        </w:tc>
        <w:tc>
          <w:tcPr>
            <w:tcW w:w="880" w:type="dxa"/>
            <w:gridSpan w:val="3"/>
            <w:tcBorders>
              <w:top w:val="nil"/>
              <w:left w:val="nil"/>
              <w:bottom w:val="nil"/>
              <w:right w:val="nil"/>
            </w:tcBorders>
            <w:shd w:val="clear" w:color="auto" w:fill="auto"/>
            <w:noWrap/>
            <w:vAlign w:val="bottom"/>
            <w:hideMark/>
          </w:tcPr>
          <w:p w14:paraId="38CCEBC2" w14:textId="1F7116B1"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425</w:t>
            </w:r>
          </w:p>
        </w:tc>
        <w:tc>
          <w:tcPr>
            <w:tcW w:w="996" w:type="dxa"/>
            <w:gridSpan w:val="3"/>
            <w:tcBorders>
              <w:top w:val="nil"/>
              <w:left w:val="nil"/>
              <w:bottom w:val="nil"/>
              <w:right w:val="nil"/>
            </w:tcBorders>
            <w:shd w:val="clear" w:color="auto" w:fill="auto"/>
            <w:noWrap/>
            <w:vAlign w:val="bottom"/>
            <w:hideMark/>
          </w:tcPr>
          <w:p w14:paraId="287D4626" w14:textId="50803A40" w:rsidR="004C6D93" w:rsidRPr="00C5339C" w:rsidRDefault="004C6D93" w:rsidP="00523B0D">
            <w:pPr>
              <w:spacing w:after="0" w:line="240" w:lineRule="auto"/>
              <w:jc w:val="right"/>
              <w:rPr>
                <w:rFonts w:ascii="Arial" w:hAnsi="Arial" w:cs="Arial"/>
                <w:sz w:val="16"/>
                <w:szCs w:val="16"/>
              </w:rPr>
            </w:pPr>
            <w:r w:rsidRPr="00C5339C">
              <w:rPr>
                <w:rFonts w:ascii="Arial" w:hAnsi="Arial" w:cs="Arial"/>
                <w:sz w:val="16"/>
                <w:szCs w:val="16"/>
              </w:rPr>
              <w:t>425</w:t>
            </w:r>
          </w:p>
        </w:tc>
      </w:tr>
      <w:tr w:rsidR="004C6D93" w:rsidRPr="00C5339C" w14:paraId="7E6194C2" w14:textId="77777777" w:rsidTr="00852545">
        <w:trPr>
          <w:trHeight w:val="204"/>
        </w:trPr>
        <w:tc>
          <w:tcPr>
            <w:tcW w:w="2860" w:type="dxa"/>
            <w:tcBorders>
              <w:top w:val="nil"/>
              <w:left w:val="nil"/>
              <w:bottom w:val="nil"/>
              <w:right w:val="nil"/>
            </w:tcBorders>
            <w:shd w:val="clear" w:color="auto" w:fill="auto"/>
            <w:vAlign w:val="center"/>
            <w:hideMark/>
          </w:tcPr>
          <w:p w14:paraId="2E43F204" w14:textId="5BD77187" w:rsidR="004C6D93" w:rsidRPr="00C5339C" w:rsidRDefault="008863D9" w:rsidP="004C6D93">
            <w:pPr>
              <w:spacing w:after="0" w:line="240" w:lineRule="auto"/>
              <w:jc w:val="right"/>
              <w:rPr>
                <w:rFonts w:ascii="Arial" w:hAnsi="Arial" w:cs="Arial"/>
                <w:b/>
                <w:bCs/>
                <w:sz w:val="16"/>
                <w:szCs w:val="16"/>
              </w:rPr>
            </w:pPr>
            <w:r>
              <w:rPr>
                <w:rFonts w:ascii="Arial" w:hAnsi="Arial" w:cs="Arial"/>
                <w:b/>
                <w:bCs/>
                <w:sz w:val="16"/>
                <w:szCs w:val="16"/>
              </w:rPr>
              <w:t>Department</w:t>
            </w:r>
            <w:r w:rsidR="004C6D93" w:rsidRPr="00C5339C">
              <w:rPr>
                <w:rFonts w:ascii="Arial" w:hAnsi="Arial" w:cs="Arial"/>
                <w:b/>
                <w:bCs/>
                <w:sz w:val="16"/>
                <w:szCs w:val="16"/>
              </w:rPr>
              <w:t>al total</w:t>
            </w:r>
          </w:p>
        </w:tc>
        <w:tc>
          <w:tcPr>
            <w:tcW w:w="929" w:type="dxa"/>
            <w:gridSpan w:val="2"/>
            <w:tcBorders>
              <w:top w:val="single" w:sz="4" w:space="0" w:color="auto"/>
              <w:left w:val="nil"/>
              <w:bottom w:val="single" w:sz="4" w:space="0" w:color="auto"/>
              <w:right w:val="nil"/>
            </w:tcBorders>
            <w:shd w:val="clear" w:color="auto" w:fill="auto"/>
            <w:noWrap/>
            <w:vAlign w:val="bottom"/>
            <w:hideMark/>
          </w:tcPr>
          <w:p w14:paraId="7FA85E30" w14:textId="62477AB2" w:rsidR="004C6D93" w:rsidRPr="00753A31" w:rsidRDefault="004C6D93" w:rsidP="00523B0D">
            <w:pPr>
              <w:spacing w:after="0" w:line="240" w:lineRule="auto"/>
              <w:jc w:val="right"/>
              <w:rPr>
                <w:rFonts w:ascii="Arial" w:hAnsi="Arial" w:cs="Arial"/>
                <w:b/>
                <w:color w:val="000000"/>
                <w:sz w:val="16"/>
                <w:szCs w:val="16"/>
              </w:rPr>
            </w:pPr>
            <w:r w:rsidRPr="00753A31">
              <w:rPr>
                <w:rFonts w:ascii="Arial" w:hAnsi="Arial" w:cs="Arial"/>
                <w:b/>
                <w:color w:val="000000"/>
                <w:sz w:val="16"/>
                <w:szCs w:val="16"/>
              </w:rPr>
              <w:t>24,144</w:t>
            </w:r>
          </w:p>
        </w:tc>
        <w:tc>
          <w:tcPr>
            <w:tcW w:w="910" w:type="dxa"/>
            <w:tcBorders>
              <w:top w:val="single" w:sz="4" w:space="0" w:color="auto"/>
              <w:left w:val="nil"/>
              <w:bottom w:val="single" w:sz="4" w:space="0" w:color="auto"/>
              <w:right w:val="nil"/>
            </w:tcBorders>
            <w:shd w:val="clear" w:color="000000" w:fill="E6E6E6"/>
            <w:noWrap/>
            <w:vAlign w:val="bottom"/>
            <w:hideMark/>
          </w:tcPr>
          <w:p w14:paraId="7932565D" w14:textId="6B3AE982"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39,552</w:t>
            </w:r>
          </w:p>
        </w:tc>
        <w:tc>
          <w:tcPr>
            <w:tcW w:w="812" w:type="dxa"/>
            <w:tcBorders>
              <w:top w:val="single" w:sz="4" w:space="0" w:color="auto"/>
              <w:left w:val="nil"/>
              <w:bottom w:val="single" w:sz="4" w:space="0" w:color="auto"/>
              <w:right w:val="nil"/>
            </w:tcBorders>
            <w:shd w:val="clear" w:color="auto" w:fill="auto"/>
            <w:noWrap/>
            <w:vAlign w:val="bottom"/>
            <w:hideMark/>
          </w:tcPr>
          <w:p w14:paraId="1B28229A" w14:textId="4E1D212D"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39,871</w:t>
            </w:r>
          </w:p>
        </w:tc>
        <w:tc>
          <w:tcPr>
            <w:tcW w:w="880" w:type="dxa"/>
            <w:gridSpan w:val="3"/>
            <w:tcBorders>
              <w:top w:val="single" w:sz="4" w:space="0" w:color="auto"/>
              <w:left w:val="nil"/>
              <w:bottom w:val="single" w:sz="4" w:space="0" w:color="auto"/>
              <w:right w:val="nil"/>
            </w:tcBorders>
            <w:shd w:val="clear" w:color="auto" w:fill="auto"/>
            <w:noWrap/>
            <w:vAlign w:val="bottom"/>
            <w:hideMark/>
          </w:tcPr>
          <w:p w14:paraId="6DC42850" w14:textId="4E8EAC6A"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11,164</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194B7203" w14:textId="52793C04" w:rsidR="004C6D93" w:rsidRPr="00753A31" w:rsidRDefault="004C6D93" w:rsidP="00523B0D">
            <w:pPr>
              <w:spacing w:after="0" w:line="240" w:lineRule="auto"/>
              <w:jc w:val="right"/>
              <w:rPr>
                <w:rFonts w:ascii="Arial" w:hAnsi="Arial" w:cs="Arial"/>
                <w:b/>
                <w:sz w:val="16"/>
                <w:szCs w:val="16"/>
              </w:rPr>
            </w:pPr>
            <w:r w:rsidRPr="00753A31">
              <w:rPr>
                <w:rFonts w:ascii="Arial" w:hAnsi="Arial" w:cs="Arial"/>
                <w:b/>
                <w:sz w:val="16"/>
                <w:szCs w:val="16"/>
              </w:rPr>
              <w:t>11,208</w:t>
            </w:r>
          </w:p>
        </w:tc>
      </w:tr>
      <w:tr w:rsidR="004C6D93" w:rsidRPr="00C5339C" w14:paraId="49E410D4" w14:textId="77777777" w:rsidTr="00852545">
        <w:trPr>
          <w:trHeight w:val="204"/>
        </w:trPr>
        <w:tc>
          <w:tcPr>
            <w:tcW w:w="2860" w:type="dxa"/>
            <w:tcBorders>
              <w:top w:val="nil"/>
              <w:left w:val="nil"/>
              <w:bottom w:val="single" w:sz="4" w:space="0" w:color="auto"/>
              <w:right w:val="nil"/>
            </w:tcBorders>
            <w:shd w:val="clear" w:color="auto" w:fill="auto"/>
            <w:vAlign w:val="center"/>
            <w:hideMark/>
          </w:tcPr>
          <w:p w14:paraId="0094D51C" w14:textId="77777777" w:rsidR="004C6D93" w:rsidRPr="00C5339C" w:rsidRDefault="004C6D93" w:rsidP="004C6D93">
            <w:pPr>
              <w:spacing w:after="0" w:line="240" w:lineRule="auto"/>
              <w:jc w:val="left"/>
              <w:rPr>
                <w:rFonts w:ascii="Arial" w:hAnsi="Arial" w:cs="Arial"/>
                <w:b/>
                <w:bCs/>
                <w:sz w:val="16"/>
                <w:szCs w:val="16"/>
              </w:rPr>
            </w:pPr>
            <w:r w:rsidRPr="00C5339C">
              <w:rPr>
                <w:rFonts w:ascii="Arial" w:hAnsi="Arial" w:cs="Arial"/>
                <w:b/>
                <w:bCs/>
                <w:sz w:val="16"/>
                <w:szCs w:val="16"/>
              </w:rPr>
              <w:t>Total expenses for program 1.3</w:t>
            </w:r>
          </w:p>
        </w:tc>
        <w:tc>
          <w:tcPr>
            <w:tcW w:w="929" w:type="dxa"/>
            <w:gridSpan w:val="2"/>
            <w:tcBorders>
              <w:top w:val="single" w:sz="4" w:space="0" w:color="auto"/>
              <w:left w:val="nil"/>
              <w:bottom w:val="single" w:sz="4" w:space="0" w:color="auto"/>
              <w:right w:val="nil"/>
            </w:tcBorders>
            <w:shd w:val="clear" w:color="auto" w:fill="auto"/>
            <w:noWrap/>
            <w:vAlign w:val="bottom"/>
            <w:hideMark/>
          </w:tcPr>
          <w:p w14:paraId="68C045BF" w14:textId="100059AC" w:rsidR="004C6D93" w:rsidRPr="00C5339C" w:rsidRDefault="004C6D93" w:rsidP="00523B0D">
            <w:pPr>
              <w:spacing w:after="0" w:line="240" w:lineRule="auto"/>
              <w:jc w:val="right"/>
              <w:rPr>
                <w:rFonts w:ascii="Arial" w:hAnsi="Arial" w:cs="Arial"/>
                <w:b/>
                <w:bCs/>
                <w:color w:val="000000"/>
                <w:sz w:val="16"/>
                <w:szCs w:val="16"/>
              </w:rPr>
            </w:pPr>
            <w:r w:rsidRPr="00C5339C">
              <w:rPr>
                <w:rFonts w:ascii="Arial" w:hAnsi="Arial" w:cs="Arial"/>
                <w:b/>
                <w:bCs/>
                <w:color w:val="000000"/>
                <w:sz w:val="16"/>
                <w:szCs w:val="16"/>
              </w:rPr>
              <w:t>30,488</w:t>
            </w:r>
          </w:p>
        </w:tc>
        <w:tc>
          <w:tcPr>
            <w:tcW w:w="910" w:type="dxa"/>
            <w:tcBorders>
              <w:top w:val="single" w:sz="4" w:space="0" w:color="auto"/>
              <w:left w:val="nil"/>
              <w:bottom w:val="single" w:sz="4" w:space="0" w:color="auto"/>
              <w:right w:val="nil"/>
            </w:tcBorders>
            <w:shd w:val="clear" w:color="000000" w:fill="E6E6E6"/>
            <w:noWrap/>
            <w:vAlign w:val="bottom"/>
            <w:hideMark/>
          </w:tcPr>
          <w:p w14:paraId="3340A188" w14:textId="787CC464" w:rsidR="004C6D93" w:rsidRPr="00C5339C" w:rsidRDefault="004C6D93" w:rsidP="00523B0D">
            <w:pPr>
              <w:spacing w:after="0" w:line="240" w:lineRule="auto"/>
              <w:jc w:val="right"/>
              <w:rPr>
                <w:rFonts w:ascii="Arial" w:hAnsi="Arial" w:cs="Arial"/>
                <w:b/>
                <w:bCs/>
                <w:color w:val="000000"/>
                <w:sz w:val="16"/>
                <w:szCs w:val="16"/>
              </w:rPr>
            </w:pPr>
            <w:r w:rsidRPr="00C5339C">
              <w:rPr>
                <w:rFonts w:ascii="Arial" w:hAnsi="Arial" w:cs="Arial"/>
                <w:b/>
                <w:bCs/>
                <w:color w:val="000000"/>
                <w:sz w:val="16"/>
                <w:szCs w:val="16"/>
              </w:rPr>
              <w:t>48,496</w:t>
            </w:r>
          </w:p>
        </w:tc>
        <w:tc>
          <w:tcPr>
            <w:tcW w:w="812" w:type="dxa"/>
            <w:tcBorders>
              <w:top w:val="single" w:sz="4" w:space="0" w:color="auto"/>
              <w:left w:val="nil"/>
              <w:bottom w:val="single" w:sz="4" w:space="0" w:color="auto"/>
              <w:right w:val="nil"/>
            </w:tcBorders>
            <w:shd w:val="clear" w:color="auto" w:fill="auto"/>
            <w:noWrap/>
            <w:vAlign w:val="bottom"/>
            <w:hideMark/>
          </w:tcPr>
          <w:p w14:paraId="5181A7FC" w14:textId="65873746" w:rsidR="004C6D93" w:rsidRPr="00C5339C" w:rsidRDefault="004C6D93" w:rsidP="00523B0D">
            <w:pPr>
              <w:spacing w:after="0" w:line="240" w:lineRule="auto"/>
              <w:jc w:val="right"/>
              <w:rPr>
                <w:rFonts w:ascii="Arial" w:hAnsi="Arial" w:cs="Arial"/>
                <w:b/>
                <w:bCs/>
                <w:sz w:val="16"/>
                <w:szCs w:val="16"/>
              </w:rPr>
            </w:pPr>
            <w:r w:rsidRPr="00C5339C">
              <w:rPr>
                <w:rFonts w:ascii="Arial" w:hAnsi="Arial" w:cs="Arial"/>
                <w:b/>
                <w:bCs/>
                <w:sz w:val="16"/>
                <w:szCs w:val="16"/>
              </w:rPr>
              <w:t>46,085</w:t>
            </w:r>
          </w:p>
        </w:tc>
        <w:tc>
          <w:tcPr>
            <w:tcW w:w="880" w:type="dxa"/>
            <w:gridSpan w:val="3"/>
            <w:tcBorders>
              <w:top w:val="single" w:sz="4" w:space="0" w:color="auto"/>
              <w:left w:val="nil"/>
              <w:bottom w:val="single" w:sz="4" w:space="0" w:color="auto"/>
              <w:right w:val="nil"/>
            </w:tcBorders>
            <w:shd w:val="clear" w:color="auto" w:fill="auto"/>
            <w:noWrap/>
            <w:vAlign w:val="bottom"/>
            <w:hideMark/>
          </w:tcPr>
          <w:p w14:paraId="7616569F" w14:textId="0F605784" w:rsidR="004C6D93" w:rsidRPr="00C5339C" w:rsidRDefault="004C6D93" w:rsidP="00523B0D">
            <w:pPr>
              <w:spacing w:after="0" w:line="240" w:lineRule="auto"/>
              <w:jc w:val="right"/>
              <w:rPr>
                <w:rFonts w:ascii="Arial" w:hAnsi="Arial" w:cs="Arial"/>
                <w:b/>
                <w:bCs/>
                <w:sz w:val="16"/>
                <w:szCs w:val="16"/>
              </w:rPr>
            </w:pPr>
            <w:r w:rsidRPr="00C5339C">
              <w:rPr>
                <w:rFonts w:ascii="Arial" w:hAnsi="Arial" w:cs="Arial"/>
                <w:b/>
                <w:bCs/>
                <w:sz w:val="16"/>
                <w:szCs w:val="16"/>
              </w:rPr>
              <w:t>15,184</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5205F710" w14:textId="7E0A29AF" w:rsidR="004C6D93" w:rsidRPr="00C5339C" w:rsidRDefault="004C6D93" w:rsidP="00523B0D">
            <w:pPr>
              <w:spacing w:after="0" w:line="240" w:lineRule="auto"/>
              <w:jc w:val="right"/>
              <w:rPr>
                <w:rFonts w:ascii="Arial" w:hAnsi="Arial" w:cs="Arial"/>
                <w:b/>
                <w:bCs/>
                <w:sz w:val="16"/>
                <w:szCs w:val="16"/>
              </w:rPr>
            </w:pPr>
            <w:r w:rsidRPr="00C5339C">
              <w:rPr>
                <w:rFonts w:ascii="Arial" w:hAnsi="Arial" w:cs="Arial"/>
                <w:b/>
                <w:bCs/>
                <w:sz w:val="16"/>
                <w:szCs w:val="16"/>
              </w:rPr>
              <w:t>11,208</w:t>
            </w:r>
          </w:p>
        </w:tc>
      </w:tr>
      <w:tr w:rsidR="004C6D93" w:rsidRPr="003E2528" w14:paraId="3E72F5EB" w14:textId="77777777" w:rsidTr="00852545">
        <w:trPr>
          <w:trHeight w:val="225"/>
        </w:trPr>
        <w:tc>
          <w:tcPr>
            <w:tcW w:w="7387" w:type="dxa"/>
            <w:gridSpan w:val="11"/>
            <w:tcBorders>
              <w:top w:val="single" w:sz="4" w:space="0" w:color="auto"/>
              <w:left w:val="nil"/>
              <w:bottom w:val="single" w:sz="4" w:space="0" w:color="auto"/>
              <w:right w:val="nil"/>
            </w:tcBorders>
            <w:shd w:val="clear" w:color="000000" w:fill="E6E6E6"/>
            <w:vAlign w:val="center"/>
            <w:hideMark/>
          </w:tcPr>
          <w:p w14:paraId="3A9342B5" w14:textId="77777777" w:rsidR="004C6D93" w:rsidRPr="003E2528" w:rsidRDefault="004C6D93" w:rsidP="004C6D93">
            <w:pPr>
              <w:spacing w:after="0" w:line="240" w:lineRule="auto"/>
              <w:jc w:val="left"/>
              <w:rPr>
                <w:rFonts w:ascii="Arial" w:hAnsi="Arial" w:cs="Arial"/>
                <w:b/>
                <w:bCs/>
                <w:sz w:val="16"/>
                <w:szCs w:val="16"/>
              </w:rPr>
            </w:pPr>
            <w:r w:rsidRPr="003E2528">
              <w:rPr>
                <w:rFonts w:ascii="Arial" w:hAnsi="Arial" w:cs="Arial"/>
                <w:b/>
                <w:bCs/>
                <w:sz w:val="16"/>
                <w:szCs w:val="16"/>
              </w:rPr>
              <w:t>Outcome 1 Totals by appropriation type</w:t>
            </w:r>
          </w:p>
        </w:tc>
      </w:tr>
      <w:tr w:rsidR="004C6D93" w:rsidRPr="003E2528" w14:paraId="2D70017E" w14:textId="77777777" w:rsidTr="00852545">
        <w:trPr>
          <w:trHeight w:val="204"/>
        </w:trPr>
        <w:tc>
          <w:tcPr>
            <w:tcW w:w="2977" w:type="dxa"/>
            <w:gridSpan w:val="2"/>
            <w:tcBorders>
              <w:top w:val="nil"/>
              <w:left w:val="nil"/>
              <w:bottom w:val="nil"/>
              <w:right w:val="nil"/>
            </w:tcBorders>
            <w:shd w:val="clear" w:color="auto" w:fill="auto"/>
            <w:noWrap/>
            <w:vAlign w:val="center"/>
            <w:hideMark/>
          </w:tcPr>
          <w:p w14:paraId="5B50FBE1" w14:textId="77777777" w:rsidR="004C6D93" w:rsidRPr="003E2528" w:rsidRDefault="004C6D93" w:rsidP="004C6D93">
            <w:pPr>
              <w:spacing w:after="0" w:line="240" w:lineRule="auto"/>
              <w:jc w:val="left"/>
              <w:rPr>
                <w:rFonts w:ascii="Arial" w:hAnsi="Arial" w:cs="Arial"/>
                <w:sz w:val="16"/>
                <w:szCs w:val="16"/>
              </w:rPr>
            </w:pPr>
            <w:r w:rsidRPr="003E2528">
              <w:rPr>
                <w:rFonts w:ascii="Arial" w:hAnsi="Arial" w:cs="Arial"/>
                <w:sz w:val="16"/>
                <w:szCs w:val="16"/>
              </w:rPr>
              <w:t>Administered expenses</w:t>
            </w:r>
          </w:p>
        </w:tc>
        <w:tc>
          <w:tcPr>
            <w:tcW w:w="812" w:type="dxa"/>
            <w:tcBorders>
              <w:top w:val="nil"/>
              <w:left w:val="nil"/>
              <w:bottom w:val="nil"/>
              <w:right w:val="nil"/>
            </w:tcBorders>
            <w:shd w:val="clear" w:color="auto" w:fill="auto"/>
            <w:noWrap/>
            <w:vAlign w:val="bottom"/>
            <w:hideMark/>
          </w:tcPr>
          <w:p w14:paraId="4CDBD9D4" w14:textId="77777777" w:rsidR="004C6D93" w:rsidRPr="003E2528" w:rsidRDefault="004C6D93" w:rsidP="007469EF">
            <w:pPr>
              <w:spacing w:after="0" w:line="240" w:lineRule="auto"/>
              <w:jc w:val="right"/>
              <w:rPr>
                <w:rFonts w:ascii="Arial" w:hAnsi="Arial" w:cs="Arial"/>
                <w:sz w:val="16"/>
                <w:szCs w:val="16"/>
              </w:rPr>
            </w:pPr>
          </w:p>
        </w:tc>
        <w:tc>
          <w:tcPr>
            <w:tcW w:w="910" w:type="dxa"/>
            <w:tcBorders>
              <w:top w:val="nil"/>
              <w:left w:val="nil"/>
              <w:bottom w:val="nil"/>
              <w:right w:val="nil"/>
            </w:tcBorders>
            <w:shd w:val="clear" w:color="000000" w:fill="E6E6E6"/>
            <w:noWrap/>
            <w:vAlign w:val="bottom"/>
            <w:hideMark/>
          </w:tcPr>
          <w:p w14:paraId="294073DB" w14:textId="28E0CC50" w:rsidR="004C6D93" w:rsidRPr="003E2528" w:rsidRDefault="004C6D93" w:rsidP="007469EF">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28A96A3B" w14:textId="77777777" w:rsidR="004C6D93" w:rsidRPr="003E2528" w:rsidRDefault="004C6D93" w:rsidP="007469EF">
            <w:pPr>
              <w:spacing w:after="0" w:line="240" w:lineRule="auto"/>
              <w:jc w:val="right"/>
              <w:rPr>
                <w:rFonts w:ascii="Arial" w:hAnsi="Arial" w:cs="Arial"/>
                <w:sz w:val="16"/>
                <w:szCs w:val="16"/>
              </w:rPr>
            </w:pPr>
          </w:p>
        </w:tc>
        <w:tc>
          <w:tcPr>
            <w:tcW w:w="880" w:type="dxa"/>
            <w:gridSpan w:val="3"/>
            <w:tcBorders>
              <w:top w:val="nil"/>
              <w:left w:val="nil"/>
              <w:bottom w:val="nil"/>
              <w:right w:val="nil"/>
            </w:tcBorders>
            <w:shd w:val="clear" w:color="auto" w:fill="auto"/>
            <w:noWrap/>
            <w:vAlign w:val="bottom"/>
            <w:hideMark/>
          </w:tcPr>
          <w:p w14:paraId="065D32D4" w14:textId="77777777" w:rsidR="004C6D93" w:rsidRPr="003E2528" w:rsidRDefault="004C6D93" w:rsidP="007469EF">
            <w:pPr>
              <w:spacing w:after="0" w:line="240" w:lineRule="auto"/>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407396E1" w14:textId="77777777" w:rsidR="004C6D93" w:rsidRPr="003E2528" w:rsidRDefault="004C6D93" w:rsidP="007469EF">
            <w:pPr>
              <w:spacing w:after="0" w:line="240" w:lineRule="auto"/>
              <w:jc w:val="right"/>
              <w:rPr>
                <w:rFonts w:ascii="Arial" w:hAnsi="Arial" w:cs="Arial"/>
                <w:sz w:val="16"/>
                <w:szCs w:val="16"/>
              </w:rPr>
            </w:pPr>
          </w:p>
        </w:tc>
      </w:tr>
      <w:tr w:rsidR="004C6D93" w:rsidRPr="003E2528" w14:paraId="076D2302" w14:textId="77777777" w:rsidTr="00852545">
        <w:trPr>
          <w:trHeight w:val="204"/>
        </w:trPr>
        <w:tc>
          <w:tcPr>
            <w:tcW w:w="2977" w:type="dxa"/>
            <w:gridSpan w:val="2"/>
            <w:tcBorders>
              <w:top w:val="nil"/>
              <w:left w:val="nil"/>
              <w:bottom w:val="nil"/>
              <w:right w:val="nil"/>
            </w:tcBorders>
            <w:shd w:val="clear" w:color="000000" w:fill="FFFFFF"/>
            <w:vAlign w:val="center"/>
            <w:hideMark/>
          </w:tcPr>
          <w:p w14:paraId="3CF60AC0" w14:textId="58D73869" w:rsidR="004C6D93" w:rsidRPr="003E2528" w:rsidRDefault="004C6D93" w:rsidP="007469EF">
            <w:pPr>
              <w:spacing w:after="0" w:line="240" w:lineRule="auto"/>
              <w:ind w:left="113"/>
              <w:jc w:val="left"/>
              <w:rPr>
                <w:rFonts w:ascii="Arial" w:hAnsi="Arial" w:cs="Arial"/>
                <w:sz w:val="16"/>
                <w:szCs w:val="16"/>
              </w:rPr>
            </w:pPr>
            <w:r w:rsidRPr="003E2528">
              <w:rPr>
                <w:rFonts w:ascii="Arial" w:hAnsi="Arial" w:cs="Arial"/>
                <w:sz w:val="16"/>
                <w:szCs w:val="16"/>
              </w:rPr>
              <w:t>Ordinary annual services</w:t>
            </w:r>
            <w:r w:rsidR="007469EF">
              <w:rPr>
                <w:rFonts w:ascii="Arial" w:hAnsi="Arial" w:cs="Arial"/>
                <w:sz w:val="16"/>
                <w:szCs w:val="16"/>
              </w:rPr>
              <w:t xml:space="preserve"> </w:t>
            </w:r>
            <w:r w:rsidRPr="003E2528">
              <w:rPr>
                <w:rFonts w:ascii="Arial" w:hAnsi="Arial" w:cs="Arial"/>
                <w:sz w:val="16"/>
                <w:szCs w:val="16"/>
              </w:rPr>
              <w:t>(Appropriation</w:t>
            </w:r>
            <w:r w:rsidR="00D4176A">
              <w:rPr>
                <w:rFonts w:ascii="Arial" w:hAnsi="Arial" w:cs="Arial"/>
                <w:sz w:val="16"/>
                <w:szCs w:val="16"/>
              </w:rPr>
              <w:t> </w:t>
            </w:r>
            <w:r w:rsidRPr="003E2528">
              <w:rPr>
                <w:rFonts w:ascii="Arial" w:hAnsi="Arial" w:cs="Arial"/>
                <w:sz w:val="16"/>
                <w:szCs w:val="16"/>
              </w:rPr>
              <w:t>Bill No. 1)</w:t>
            </w:r>
          </w:p>
        </w:tc>
        <w:tc>
          <w:tcPr>
            <w:tcW w:w="812" w:type="dxa"/>
            <w:tcBorders>
              <w:top w:val="nil"/>
              <w:left w:val="nil"/>
              <w:bottom w:val="nil"/>
              <w:right w:val="nil"/>
            </w:tcBorders>
            <w:shd w:val="clear" w:color="auto" w:fill="auto"/>
            <w:noWrap/>
            <w:vAlign w:val="bottom"/>
            <w:hideMark/>
          </w:tcPr>
          <w:p w14:paraId="460748A2" w14:textId="530AEFD4" w:rsidR="004C6D93" w:rsidRPr="003E2528" w:rsidRDefault="004C6D93" w:rsidP="007469EF">
            <w:pPr>
              <w:spacing w:after="0" w:line="240" w:lineRule="auto"/>
              <w:jc w:val="right"/>
              <w:rPr>
                <w:rFonts w:ascii="Arial" w:hAnsi="Arial" w:cs="Arial"/>
                <w:color w:val="000000"/>
                <w:sz w:val="16"/>
                <w:szCs w:val="16"/>
              </w:rPr>
            </w:pPr>
            <w:r w:rsidRPr="003E2528">
              <w:rPr>
                <w:rFonts w:ascii="Arial" w:hAnsi="Arial" w:cs="Arial"/>
                <w:color w:val="000000"/>
                <w:sz w:val="16"/>
                <w:szCs w:val="16"/>
              </w:rPr>
              <w:t>14,091</w:t>
            </w:r>
          </w:p>
        </w:tc>
        <w:tc>
          <w:tcPr>
            <w:tcW w:w="910" w:type="dxa"/>
            <w:tcBorders>
              <w:top w:val="nil"/>
              <w:left w:val="nil"/>
              <w:bottom w:val="nil"/>
              <w:right w:val="nil"/>
            </w:tcBorders>
            <w:shd w:val="clear" w:color="000000" w:fill="E6E6E6"/>
            <w:noWrap/>
            <w:vAlign w:val="bottom"/>
            <w:hideMark/>
          </w:tcPr>
          <w:p w14:paraId="207A435F" w14:textId="659F7EE4"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8,994</w:t>
            </w:r>
          </w:p>
        </w:tc>
        <w:tc>
          <w:tcPr>
            <w:tcW w:w="996" w:type="dxa"/>
            <w:gridSpan w:val="3"/>
            <w:tcBorders>
              <w:top w:val="nil"/>
              <w:left w:val="nil"/>
              <w:bottom w:val="nil"/>
              <w:right w:val="nil"/>
            </w:tcBorders>
            <w:shd w:val="clear" w:color="auto" w:fill="auto"/>
            <w:noWrap/>
            <w:vAlign w:val="bottom"/>
            <w:hideMark/>
          </w:tcPr>
          <w:p w14:paraId="0D776928" w14:textId="32D3D9BB"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6,264</w:t>
            </w:r>
          </w:p>
        </w:tc>
        <w:tc>
          <w:tcPr>
            <w:tcW w:w="880" w:type="dxa"/>
            <w:gridSpan w:val="3"/>
            <w:tcBorders>
              <w:top w:val="nil"/>
              <w:left w:val="nil"/>
              <w:bottom w:val="nil"/>
              <w:right w:val="nil"/>
            </w:tcBorders>
            <w:shd w:val="clear" w:color="auto" w:fill="auto"/>
            <w:noWrap/>
            <w:vAlign w:val="bottom"/>
            <w:hideMark/>
          </w:tcPr>
          <w:p w14:paraId="3909EE9C" w14:textId="045499CD"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4,070</w:t>
            </w:r>
          </w:p>
        </w:tc>
        <w:tc>
          <w:tcPr>
            <w:tcW w:w="812" w:type="dxa"/>
            <w:tcBorders>
              <w:top w:val="nil"/>
              <w:left w:val="nil"/>
              <w:bottom w:val="nil"/>
              <w:right w:val="nil"/>
            </w:tcBorders>
            <w:shd w:val="clear" w:color="auto" w:fill="auto"/>
            <w:noWrap/>
            <w:vAlign w:val="bottom"/>
            <w:hideMark/>
          </w:tcPr>
          <w:p w14:paraId="4D13B0A9" w14:textId="3C9D1029"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50</w:t>
            </w:r>
          </w:p>
        </w:tc>
      </w:tr>
      <w:tr w:rsidR="004C6D93" w:rsidRPr="003E2528" w14:paraId="683C096E" w14:textId="77777777" w:rsidTr="00852545">
        <w:trPr>
          <w:trHeight w:val="204"/>
        </w:trPr>
        <w:tc>
          <w:tcPr>
            <w:tcW w:w="2977" w:type="dxa"/>
            <w:gridSpan w:val="2"/>
            <w:tcBorders>
              <w:top w:val="nil"/>
              <w:left w:val="nil"/>
              <w:right w:val="nil"/>
            </w:tcBorders>
            <w:shd w:val="clear" w:color="000000" w:fill="FFFFFF"/>
            <w:noWrap/>
            <w:vAlign w:val="center"/>
            <w:hideMark/>
          </w:tcPr>
          <w:p w14:paraId="00E4AE84" w14:textId="77777777" w:rsidR="004C6D93" w:rsidRPr="003E2528" w:rsidRDefault="004C6D93" w:rsidP="007469EF">
            <w:pPr>
              <w:spacing w:after="0" w:line="240" w:lineRule="auto"/>
              <w:ind w:left="113"/>
              <w:jc w:val="left"/>
              <w:rPr>
                <w:rFonts w:ascii="Arial" w:hAnsi="Arial" w:cs="Arial"/>
                <w:sz w:val="16"/>
                <w:szCs w:val="16"/>
              </w:rPr>
            </w:pPr>
            <w:r w:rsidRPr="003E2528">
              <w:rPr>
                <w:rFonts w:ascii="Arial" w:hAnsi="Arial" w:cs="Arial"/>
                <w:sz w:val="16"/>
                <w:szCs w:val="16"/>
              </w:rPr>
              <w:t xml:space="preserve">Special appropriations </w:t>
            </w:r>
            <w:r w:rsidRPr="003E2528">
              <w:rPr>
                <w:rFonts w:ascii="Arial" w:hAnsi="Arial" w:cs="Arial"/>
                <w:sz w:val="16"/>
                <w:szCs w:val="16"/>
                <w:vertAlign w:val="superscript"/>
              </w:rPr>
              <w:t>(c)</w:t>
            </w:r>
          </w:p>
        </w:tc>
        <w:tc>
          <w:tcPr>
            <w:tcW w:w="812" w:type="dxa"/>
            <w:tcBorders>
              <w:top w:val="nil"/>
              <w:left w:val="nil"/>
              <w:bottom w:val="nil"/>
              <w:right w:val="nil"/>
            </w:tcBorders>
            <w:shd w:val="clear" w:color="auto" w:fill="auto"/>
            <w:noWrap/>
            <w:vAlign w:val="bottom"/>
            <w:hideMark/>
          </w:tcPr>
          <w:p w14:paraId="6007A690" w14:textId="7081C1B2" w:rsidR="004C6D93" w:rsidRPr="003E2528" w:rsidRDefault="004C6D93" w:rsidP="007469EF">
            <w:pPr>
              <w:spacing w:after="0" w:line="240" w:lineRule="auto"/>
              <w:jc w:val="right"/>
              <w:rPr>
                <w:rFonts w:ascii="Arial" w:hAnsi="Arial" w:cs="Arial"/>
                <w:color w:val="000000"/>
                <w:sz w:val="16"/>
                <w:szCs w:val="16"/>
              </w:rPr>
            </w:pPr>
            <w:r w:rsidRPr="003E2528">
              <w:rPr>
                <w:rFonts w:ascii="Arial" w:hAnsi="Arial" w:cs="Arial"/>
                <w:color w:val="000000"/>
                <w:sz w:val="16"/>
                <w:szCs w:val="16"/>
              </w:rPr>
              <w:t>-</w:t>
            </w:r>
          </w:p>
        </w:tc>
        <w:tc>
          <w:tcPr>
            <w:tcW w:w="910" w:type="dxa"/>
            <w:tcBorders>
              <w:top w:val="nil"/>
              <w:left w:val="nil"/>
              <w:bottom w:val="nil"/>
              <w:right w:val="nil"/>
            </w:tcBorders>
            <w:shd w:val="clear" w:color="000000" w:fill="E6E6E6"/>
            <w:noWrap/>
            <w:vAlign w:val="bottom"/>
            <w:hideMark/>
          </w:tcPr>
          <w:p w14:paraId="208DCD63" w14:textId="3CF0AA79"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300</w:t>
            </w:r>
          </w:p>
        </w:tc>
        <w:tc>
          <w:tcPr>
            <w:tcW w:w="996" w:type="dxa"/>
            <w:gridSpan w:val="3"/>
            <w:tcBorders>
              <w:top w:val="nil"/>
              <w:left w:val="nil"/>
              <w:bottom w:val="nil"/>
              <w:right w:val="nil"/>
            </w:tcBorders>
            <w:shd w:val="clear" w:color="auto" w:fill="auto"/>
            <w:noWrap/>
            <w:vAlign w:val="bottom"/>
            <w:hideMark/>
          </w:tcPr>
          <w:p w14:paraId="7B0D238E" w14:textId="77C8B181"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300</w:t>
            </w:r>
          </w:p>
        </w:tc>
        <w:tc>
          <w:tcPr>
            <w:tcW w:w="880" w:type="dxa"/>
            <w:gridSpan w:val="3"/>
            <w:tcBorders>
              <w:top w:val="nil"/>
              <w:left w:val="nil"/>
              <w:bottom w:val="nil"/>
              <w:right w:val="nil"/>
            </w:tcBorders>
            <w:shd w:val="clear" w:color="auto" w:fill="auto"/>
            <w:noWrap/>
            <w:vAlign w:val="bottom"/>
            <w:hideMark/>
          </w:tcPr>
          <w:p w14:paraId="421A0190" w14:textId="694EA1FD"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300</w:t>
            </w:r>
          </w:p>
        </w:tc>
        <w:tc>
          <w:tcPr>
            <w:tcW w:w="812" w:type="dxa"/>
            <w:tcBorders>
              <w:top w:val="nil"/>
              <w:left w:val="nil"/>
              <w:bottom w:val="nil"/>
              <w:right w:val="nil"/>
            </w:tcBorders>
            <w:shd w:val="clear" w:color="auto" w:fill="auto"/>
            <w:noWrap/>
            <w:vAlign w:val="bottom"/>
            <w:hideMark/>
          </w:tcPr>
          <w:p w14:paraId="7ABAB844" w14:textId="08A95821"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300</w:t>
            </w:r>
          </w:p>
        </w:tc>
      </w:tr>
      <w:tr w:rsidR="004C6D93" w:rsidRPr="00753A31" w14:paraId="0D33BB5C" w14:textId="77777777" w:rsidTr="00852545">
        <w:trPr>
          <w:trHeight w:val="204"/>
        </w:trPr>
        <w:tc>
          <w:tcPr>
            <w:tcW w:w="2977" w:type="dxa"/>
            <w:gridSpan w:val="2"/>
            <w:tcBorders>
              <w:top w:val="nil"/>
              <w:left w:val="nil"/>
              <w:right w:val="nil"/>
            </w:tcBorders>
            <w:shd w:val="clear" w:color="000000" w:fill="FFFFFF"/>
            <w:vAlign w:val="center"/>
            <w:hideMark/>
          </w:tcPr>
          <w:p w14:paraId="62429D32" w14:textId="0D4A6CA1" w:rsidR="004C6D93" w:rsidRPr="003E2528" w:rsidRDefault="00852545" w:rsidP="00852545">
            <w:pPr>
              <w:spacing w:after="0" w:line="240" w:lineRule="auto"/>
              <w:jc w:val="right"/>
              <w:rPr>
                <w:rFonts w:ascii="Arial" w:hAnsi="Arial" w:cs="Arial"/>
                <w:b/>
                <w:bCs/>
                <w:sz w:val="16"/>
                <w:szCs w:val="16"/>
              </w:rPr>
            </w:pPr>
            <w:r>
              <w:rPr>
                <w:rFonts w:ascii="Arial" w:hAnsi="Arial" w:cs="Arial"/>
                <w:b/>
                <w:bCs/>
                <w:sz w:val="16"/>
                <w:szCs w:val="16"/>
              </w:rPr>
              <w:t xml:space="preserve">Total </w:t>
            </w:r>
            <w:r w:rsidR="004C6D93" w:rsidRPr="003E2528">
              <w:rPr>
                <w:rFonts w:ascii="Arial" w:hAnsi="Arial" w:cs="Arial"/>
                <w:b/>
                <w:bCs/>
                <w:sz w:val="16"/>
                <w:szCs w:val="16"/>
              </w:rPr>
              <w:t xml:space="preserve">Administered </w:t>
            </w:r>
            <w:r>
              <w:rPr>
                <w:rFonts w:ascii="Arial" w:hAnsi="Arial" w:cs="Arial"/>
                <w:b/>
                <w:bCs/>
                <w:sz w:val="16"/>
                <w:szCs w:val="16"/>
              </w:rPr>
              <w:t>expenses</w:t>
            </w:r>
          </w:p>
        </w:tc>
        <w:tc>
          <w:tcPr>
            <w:tcW w:w="812" w:type="dxa"/>
            <w:tcBorders>
              <w:top w:val="single" w:sz="4" w:space="0" w:color="auto"/>
              <w:left w:val="nil"/>
              <w:bottom w:val="single" w:sz="4" w:space="0" w:color="auto"/>
              <w:right w:val="nil"/>
            </w:tcBorders>
            <w:shd w:val="clear" w:color="auto" w:fill="auto"/>
            <w:noWrap/>
            <w:vAlign w:val="bottom"/>
            <w:hideMark/>
          </w:tcPr>
          <w:p w14:paraId="30957802" w14:textId="63A6AF12" w:rsidR="004C6D93" w:rsidRPr="00753A31" w:rsidRDefault="004C6D93" w:rsidP="007469EF">
            <w:pPr>
              <w:spacing w:after="0" w:line="240" w:lineRule="auto"/>
              <w:jc w:val="right"/>
              <w:rPr>
                <w:rFonts w:ascii="Arial" w:hAnsi="Arial" w:cs="Arial"/>
                <w:b/>
                <w:color w:val="000000"/>
                <w:sz w:val="16"/>
                <w:szCs w:val="16"/>
              </w:rPr>
            </w:pPr>
            <w:r w:rsidRPr="00753A31">
              <w:rPr>
                <w:rFonts w:ascii="Arial" w:hAnsi="Arial" w:cs="Arial"/>
                <w:b/>
                <w:color w:val="000000"/>
                <w:sz w:val="16"/>
                <w:szCs w:val="16"/>
              </w:rPr>
              <w:t>14,091</w:t>
            </w:r>
          </w:p>
        </w:tc>
        <w:tc>
          <w:tcPr>
            <w:tcW w:w="910" w:type="dxa"/>
            <w:tcBorders>
              <w:top w:val="single" w:sz="4" w:space="0" w:color="auto"/>
              <w:left w:val="nil"/>
              <w:bottom w:val="single" w:sz="4" w:space="0" w:color="auto"/>
              <w:right w:val="nil"/>
            </w:tcBorders>
            <w:shd w:val="clear" w:color="000000" w:fill="E6E6E6"/>
            <w:noWrap/>
            <w:vAlign w:val="bottom"/>
            <w:hideMark/>
          </w:tcPr>
          <w:p w14:paraId="7129AD54" w14:textId="0C973184" w:rsidR="004C6D93" w:rsidRPr="00753A31" w:rsidRDefault="004C6D93" w:rsidP="007469EF">
            <w:pPr>
              <w:spacing w:after="0" w:line="240" w:lineRule="auto"/>
              <w:jc w:val="right"/>
              <w:rPr>
                <w:rFonts w:ascii="Arial" w:hAnsi="Arial" w:cs="Arial"/>
                <w:b/>
                <w:sz w:val="16"/>
                <w:szCs w:val="16"/>
              </w:rPr>
            </w:pPr>
            <w:r w:rsidRPr="00753A31">
              <w:rPr>
                <w:rFonts w:ascii="Arial" w:hAnsi="Arial" w:cs="Arial"/>
                <w:b/>
                <w:sz w:val="16"/>
                <w:szCs w:val="16"/>
              </w:rPr>
              <w:t>9,294</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66EB7017" w14:textId="1F533E9E" w:rsidR="004C6D93" w:rsidRPr="00753A31" w:rsidRDefault="004C6D93" w:rsidP="007469EF">
            <w:pPr>
              <w:spacing w:after="0" w:line="240" w:lineRule="auto"/>
              <w:jc w:val="right"/>
              <w:rPr>
                <w:rFonts w:ascii="Arial" w:hAnsi="Arial" w:cs="Arial"/>
                <w:b/>
                <w:sz w:val="16"/>
                <w:szCs w:val="16"/>
              </w:rPr>
            </w:pPr>
            <w:r w:rsidRPr="00753A31">
              <w:rPr>
                <w:rFonts w:ascii="Arial" w:hAnsi="Arial" w:cs="Arial"/>
                <w:b/>
                <w:sz w:val="16"/>
                <w:szCs w:val="16"/>
              </w:rPr>
              <w:t>6,564</w:t>
            </w:r>
          </w:p>
        </w:tc>
        <w:tc>
          <w:tcPr>
            <w:tcW w:w="880" w:type="dxa"/>
            <w:gridSpan w:val="3"/>
            <w:tcBorders>
              <w:top w:val="single" w:sz="4" w:space="0" w:color="auto"/>
              <w:left w:val="nil"/>
              <w:bottom w:val="single" w:sz="4" w:space="0" w:color="auto"/>
              <w:right w:val="nil"/>
            </w:tcBorders>
            <w:shd w:val="clear" w:color="auto" w:fill="auto"/>
            <w:noWrap/>
            <w:vAlign w:val="bottom"/>
            <w:hideMark/>
          </w:tcPr>
          <w:p w14:paraId="713816DE" w14:textId="5795E693" w:rsidR="004C6D93" w:rsidRPr="00753A31" w:rsidRDefault="004C6D93" w:rsidP="007469EF">
            <w:pPr>
              <w:spacing w:after="0" w:line="240" w:lineRule="auto"/>
              <w:jc w:val="right"/>
              <w:rPr>
                <w:rFonts w:ascii="Arial" w:hAnsi="Arial" w:cs="Arial"/>
                <w:b/>
                <w:sz w:val="16"/>
                <w:szCs w:val="16"/>
              </w:rPr>
            </w:pPr>
            <w:r w:rsidRPr="00753A31">
              <w:rPr>
                <w:rFonts w:ascii="Arial" w:hAnsi="Arial" w:cs="Arial"/>
                <w:b/>
                <w:sz w:val="16"/>
                <w:szCs w:val="16"/>
              </w:rPr>
              <w:t>4,370</w:t>
            </w:r>
          </w:p>
        </w:tc>
        <w:tc>
          <w:tcPr>
            <w:tcW w:w="812" w:type="dxa"/>
            <w:tcBorders>
              <w:top w:val="single" w:sz="4" w:space="0" w:color="auto"/>
              <w:left w:val="nil"/>
              <w:bottom w:val="single" w:sz="4" w:space="0" w:color="auto"/>
              <w:right w:val="nil"/>
            </w:tcBorders>
            <w:shd w:val="clear" w:color="auto" w:fill="auto"/>
            <w:noWrap/>
            <w:vAlign w:val="bottom"/>
            <w:hideMark/>
          </w:tcPr>
          <w:p w14:paraId="0FD22DCD" w14:textId="2CBB7191" w:rsidR="004C6D93" w:rsidRPr="00753A31" w:rsidRDefault="004C6D93" w:rsidP="007469EF">
            <w:pPr>
              <w:spacing w:after="0" w:line="240" w:lineRule="auto"/>
              <w:jc w:val="right"/>
              <w:rPr>
                <w:rFonts w:ascii="Arial" w:hAnsi="Arial" w:cs="Arial"/>
                <w:b/>
                <w:sz w:val="16"/>
                <w:szCs w:val="16"/>
              </w:rPr>
            </w:pPr>
            <w:r w:rsidRPr="00753A31">
              <w:rPr>
                <w:rFonts w:ascii="Arial" w:hAnsi="Arial" w:cs="Arial"/>
                <w:b/>
                <w:sz w:val="16"/>
                <w:szCs w:val="16"/>
              </w:rPr>
              <w:t>350</w:t>
            </w:r>
          </w:p>
        </w:tc>
      </w:tr>
      <w:tr w:rsidR="004C6D93" w:rsidRPr="003E2528" w14:paraId="459FDC42" w14:textId="77777777" w:rsidTr="00852545">
        <w:trPr>
          <w:trHeight w:val="204"/>
        </w:trPr>
        <w:tc>
          <w:tcPr>
            <w:tcW w:w="2977" w:type="dxa"/>
            <w:gridSpan w:val="2"/>
            <w:tcBorders>
              <w:top w:val="nil"/>
              <w:left w:val="nil"/>
              <w:bottom w:val="nil"/>
              <w:right w:val="nil"/>
            </w:tcBorders>
            <w:shd w:val="clear" w:color="000000" w:fill="FFFFFF"/>
            <w:noWrap/>
            <w:vAlign w:val="center"/>
            <w:hideMark/>
          </w:tcPr>
          <w:p w14:paraId="14A78082" w14:textId="5CA7FFC4" w:rsidR="004C6D93" w:rsidRPr="003E2528" w:rsidRDefault="008863D9" w:rsidP="004C6D93">
            <w:pPr>
              <w:spacing w:after="0" w:line="240" w:lineRule="auto"/>
              <w:jc w:val="left"/>
              <w:rPr>
                <w:rFonts w:ascii="Arial" w:hAnsi="Arial" w:cs="Arial"/>
                <w:sz w:val="16"/>
                <w:szCs w:val="16"/>
              </w:rPr>
            </w:pPr>
            <w:r>
              <w:rPr>
                <w:rFonts w:ascii="Arial" w:hAnsi="Arial" w:cs="Arial"/>
                <w:sz w:val="16"/>
                <w:szCs w:val="16"/>
              </w:rPr>
              <w:t>Department</w:t>
            </w:r>
            <w:r w:rsidR="004C6D93" w:rsidRPr="003E2528">
              <w:rPr>
                <w:rFonts w:ascii="Arial" w:hAnsi="Arial" w:cs="Arial"/>
                <w:sz w:val="16"/>
                <w:szCs w:val="16"/>
              </w:rPr>
              <w:t>al expenses</w:t>
            </w:r>
          </w:p>
        </w:tc>
        <w:tc>
          <w:tcPr>
            <w:tcW w:w="812" w:type="dxa"/>
            <w:tcBorders>
              <w:top w:val="nil"/>
              <w:left w:val="nil"/>
              <w:bottom w:val="nil"/>
              <w:right w:val="nil"/>
            </w:tcBorders>
            <w:shd w:val="clear" w:color="auto" w:fill="auto"/>
            <w:noWrap/>
            <w:vAlign w:val="bottom"/>
            <w:hideMark/>
          </w:tcPr>
          <w:p w14:paraId="78F9A4A9" w14:textId="77777777" w:rsidR="004C6D93" w:rsidRPr="003E2528" w:rsidRDefault="004C6D93" w:rsidP="007469EF">
            <w:pPr>
              <w:spacing w:after="0" w:line="240" w:lineRule="auto"/>
              <w:jc w:val="right"/>
              <w:rPr>
                <w:rFonts w:ascii="Arial" w:hAnsi="Arial" w:cs="Arial"/>
                <w:sz w:val="16"/>
                <w:szCs w:val="16"/>
              </w:rPr>
            </w:pPr>
          </w:p>
        </w:tc>
        <w:tc>
          <w:tcPr>
            <w:tcW w:w="910" w:type="dxa"/>
            <w:tcBorders>
              <w:top w:val="nil"/>
              <w:left w:val="nil"/>
              <w:bottom w:val="nil"/>
              <w:right w:val="nil"/>
            </w:tcBorders>
            <w:shd w:val="clear" w:color="000000" w:fill="E6E6E6"/>
            <w:noWrap/>
            <w:vAlign w:val="bottom"/>
            <w:hideMark/>
          </w:tcPr>
          <w:p w14:paraId="1C2ED265" w14:textId="2E008B30" w:rsidR="004C6D93" w:rsidRPr="003E2528" w:rsidRDefault="004C6D93" w:rsidP="007469EF">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4B4A2EDA" w14:textId="77777777" w:rsidR="004C6D93" w:rsidRPr="003E2528" w:rsidRDefault="004C6D93" w:rsidP="007469EF">
            <w:pPr>
              <w:spacing w:after="0" w:line="240" w:lineRule="auto"/>
              <w:jc w:val="right"/>
              <w:rPr>
                <w:rFonts w:ascii="Arial" w:hAnsi="Arial" w:cs="Arial"/>
                <w:sz w:val="16"/>
                <w:szCs w:val="16"/>
              </w:rPr>
            </w:pPr>
          </w:p>
        </w:tc>
        <w:tc>
          <w:tcPr>
            <w:tcW w:w="880" w:type="dxa"/>
            <w:gridSpan w:val="3"/>
            <w:tcBorders>
              <w:top w:val="nil"/>
              <w:left w:val="nil"/>
              <w:bottom w:val="nil"/>
              <w:right w:val="nil"/>
            </w:tcBorders>
            <w:shd w:val="clear" w:color="auto" w:fill="auto"/>
            <w:noWrap/>
            <w:vAlign w:val="bottom"/>
            <w:hideMark/>
          </w:tcPr>
          <w:p w14:paraId="77F449F1" w14:textId="77777777" w:rsidR="004C6D93" w:rsidRPr="003E2528" w:rsidRDefault="004C6D93" w:rsidP="007469EF">
            <w:pPr>
              <w:spacing w:after="0" w:line="240" w:lineRule="auto"/>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71C5A034" w14:textId="77777777" w:rsidR="004C6D93" w:rsidRPr="003E2528" w:rsidRDefault="004C6D93" w:rsidP="007469EF">
            <w:pPr>
              <w:spacing w:after="0" w:line="240" w:lineRule="auto"/>
              <w:jc w:val="right"/>
              <w:rPr>
                <w:rFonts w:ascii="Arial" w:hAnsi="Arial" w:cs="Arial"/>
                <w:sz w:val="16"/>
                <w:szCs w:val="16"/>
              </w:rPr>
            </w:pPr>
          </w:p>
        </w:tc>
      </w:tr>
      <w:tr w:rsidR="004C6D93" w:rsidRPr="003E2528" w14:paraId="3A8FDFC1" w14:textId="77777777" w:rsidTr="00852545">
        <w:trPr>
          <w:trHeight w:val="204"/>
        </w:trPr>
        <w:tc>
          <w:tcPr>
            <w:tcW w:w="2977" w:type="dxa"/>
            <w:gridSpan w:val="2"/>
            <w:tcBorders>
              <w:top w:val="nil"/>
              <w:left w:val="nil"/>
              <w:bottom w:val="nil"/>
              <w:right w:val="nil"/>
            </w:tcBorders>
            <w:shd w:val="clear" w:color="000000" w:fill="FFFFFF"/>
            <w:noWrap/>
            <w:vAlign w:val="center"/>
            <w:hideMark/>
          </w:tcPr>
          <w:p w14:paraId="20D1A313" w14:textId="49863B51" w:rsidR="004C6D93" w:rsidRPr="003E2528" w:rsidRDefault="008863D9" w:rsidP="007469EF">
            <w:pPr>
              <w:spacing w:after="0" w:line="240" w:lineRule="auto"/>
              <w:ind w:left="113"/>
              <w:jc w:val="left"/>
              <w:rPr>
                <w:rFonts w:ascii="Arial" w:hAnsi="Arial" w:cs="Arial"/>
                <w:sz w:val="16"/>
                <w:szCs w:val="16"/>
              </w:rPr>
            </w:pPr>
            <w:r>
              <w:rPr>
                <w:rFonts w:ascii="Arial" w:hAnsi="Arial" w:cs="Arial"/>
                <w:sz w:val="16"/>
                <w:szCs w:val="16"/>
              </w:rPr>
              <w:t>Department</w:t>
            </w:r>
            <w:r w:rsidR="004C6D93" w:rsidRPr="003E2528">
              <w:rPr>
                <w:rFonts w:ascii="Arial" w:hAnsi="Arial" w:cs="Arial"/>
                <w:sz w:val="16"/>
                <w:szCs w:val="16"/>
              </w:rPr>
              <w:t>al appropriation</w:t>
            </w:r>
          </w:p>
        </w:tc>
        <w:tc>
          <w:tcPr>
            <w:tcW w:w="812" w:type="dxa"/>
            <w:tcBorders>
              <w:top w:val="nil"/>
              <w:left w:val="nil"/>
              <w:bottom w:val="nil"/>
              <w:right w:val="nil"/>
            </w:tcBorders>
            <w:shd w:val="clear" w:color="auto" w:fill="auto"/>
            <w:noWrap/>
            <w:vAlign w:val="bottom"/>
            <w:hideMark/>
          </w:tcPr>
          <w:p w14:paraId="2569D43D" w14:textId="65E87D29" w:rsidR="004C6D93" w:rsidRPr="003E2528" w:rsidRDefault="004C6D93" w:rsidP="007469EF">
            <w:pPr>
              <w:spacing w:after="0" w:line="240" w:lineRule="auto"/>
              <w:jc w:val="right"/>
              <w:rPr>
                <w:rFonts w:ascii="Arial" w:hAnsi="Arial" w:cs="Arial"/>
                <w:color w:val="000000"/>
                <w:sz w:val="16"/>
                <w:szCs w:val="16"/>
              </w:rPr>
            </w:pPr>
            <w:r w:rsidRPr="003E2528">
              <w:rPr>
                <w:rFonts w:ascii="Arial" w:hAnsi="Arial" w:cs="Arial"/>
                <w:color w:val="000000"/>
                <w:sz w:val="16"/>
                <w:szCs w:val="16"/>
              </w:rPr>
              <w:t>101,354</w:t>
            </w:r>
          </w:p>
        </w:tc>
        <w:tc>
          <w:tcPr>
            <w:tcW w:w="910" w:type="dxa"/>
            <w:tcBorders>
              <w:top w:val="nil"/>
              <w:left w:val="nil"/>
              <w:bottom w:val="nil"/>
              <w:right w:val="nil"/>
            </w:tcBorders>
            <w:shd w:val="clear" w:color="000000" w:fill="E6E6E6"/>
            <w:noWrap/>
            <w:vAlign w:val="bottom"/>
            <w:hideMark/>
          </w:tcPr>
          <w:p w14:paraId="67FFF4CF" w14:textId="23168E19"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122,824</w:t>
            </w:r>
          </w:p>
        </w:tc>
        <w:tc>
          <w:tcPr>
            <w:tcW w:w="996" w:type="dxa"/>
            <w:gridSpan w:val="3"/>
            <w:tcBorders>
              <w:top w:val="nil"/>
              <w:left w:val="nil"/>
              <w:bottom w:val="nil"/>
              <w:right w:val="nil"/>
            </w:tcBorders>
            <w:shd w:val="clear" w:color="auto" w:fill="auto"/>
            <w:noWrap/>
            <w:vAlign w:val="bottom"/>
            <w:hideMark/>
          </w:tcPr>
          <w:p w14:paraId="615FA26E" w14:textId="335626C1"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123,617</w:t>
            </w:r>
          </w:p>
        </w:tc>
        <w:tc>
          <w:tcPr>
            <w:tcW w:w="880" w:type="dxa"/>
            <w:gridSpan w:val="3"/>
            <w:tcBorders>
              <w:top w:val="nil"/>
              <w:left w:val="nil"/>
              <w:bottom w:val="nil"/>
              <w:right w:val="nil"/>
            </w:tcBorders>
            <w:shd w:val="clear" w:color="auto" w:fill="auto"/>
            <w:noWrap/>
            <w:vAlign w:val="bottom"/>
            <w:hideMark/>
          </w:tcPr>
          <w:p w14:paraId="2CE7521E" w14:textId="0B199382"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91,767</w:t>
            </w:r>
          </w:p>
        </w:tc>
        <w:tc>
          <w:tcPr>
            <w:tcW w:w="812" w:type="dxa"/>
            <w:tcBorders>
              <w:top w:val="nil"/>
              <w:left w:val="nil"/>
              <w:bottom w:val="nil"/>
              <w:right w:val="nil"/>
            </w:tcBorders>
            <w:shd w:val="clear" w:color="auto" w:fill="auto"/>
            <w:noWrap/>
            <w:vAlign w:val="bottom"/>
            <w:hideMark/>
          </w:tcPr>
          <w:p w14:paraId="414621EA" w14:textId="6F3C8A16"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91,293</w:t>
            </w:r>
          </w:p>
        </w:tc>
      </w:tr>
      <w:tr w:rsidR="004C6D93" w:rsidRPr="003E2528" w14:paraId="132D3584" w14:textId="77777777" w:rsidTr="00852545">
        <w:trPr>
          <w:trHeight w:val="204"/>
        </w:trPr>
        <w:tc>
          <w:tcPr>
            <w:tcW w:w="2977" w:type="dxa"/>
            <w:gridSpan w:val="2"/>
            <w:tcBorders>
              <w:top w:val="nil"/>
              <w:left w:val="nil"/>
              <w:bottom w:val="nil"/>
              <w:right w:val="nil"/>
            </w:tcBorders>
            <w:shd w:val="clear" w:color="000000" w:fill="FFFFFF"/>
            <w:vAlign w:val="center"/>
            <w:hideMark/>
          </w:tcPr>
          <w:p w14:paraId="3C87CF79" w14:textId="77777777" w:rsidR="004C6D93" w:rsidRPr="003E2528" w:rsidRDefault="004C6D93" w:rsidP="007469EF">
            <w:pPr>
              <w:spacing w:after="0" w:line="240" w:lineRule="auto"/>
              <w:ind w:left="113"/>
              <w:jc w:val="left"/>
              <w:rPr>
                <w:rFonts w:ascii="Arial" w:hAnsi="Arial" w:cs="Arial"/>
                <w:sz w:val="16"/>
                <w:szCs w:val="16"/>
              </w:rPr>
            </w:pPr>
            <w:r w:rsidRPr="003E2528">
              <w:rPr>
                <w:rFonts w:ascii="Arial" w:hAnsi="Arial" w:cs="Arial"/>
                <w:sz w:val="16"/>
                <w:szCs w:val="16"/>
              </w:rPr>
              <w:t xml:space="preserve">s74 External Revenue </w:t>
            </w:r>
            <w:r w:rsidRPr="003E2528">
              <w:rPr>
                <w:rFonts w:ascii="Arial" w:hAnsi="Arial" w:cs="Arial"/>
                <w:sz w:val="16"/>
                <w:szCs w:val="16"/>
                <w:vertAlign w:val="superscript"/>
              </w:rPr>
              <w:t>(a)</w:t>
            </w:r>
          </w:p>
        </w:tc>
        <w:tc>
          <w:tcPr>
            <w:tcW w:w="812" w:type="dxa"/>
            <w:tcBorders>
              <w:top w:val="nil"/>
              <w:left w:val="nil"/>
              <w:bottom w:val="nil"/>
              <w:right w:val="nil"/>
            </w:tcBorders>
            <w:shd w:val="clear" w:color="auto" w:fill="auto"/>
            <w:noWrap/>
            <w:vAlign w:val="bottom"/>
            <w:hideMark/>
          </w:tcPr>
          <w:p w14:paraId="412F1F10" w14:textId="008A601D" w:rsidR="004C6D93" w:rsidRPr="003E2528" w:rsidRDefault="004C6D93" w:rsidP="007469EF">
            <w:pPr>
              <w:spacing w:after="0" w:line="240" w:lineRule="auto"/>
              <w:jc w:val="right"/>
              <w:rPr>
                <w:rFonts w:ascii="Arial" w:hAnsi="Arial" w:cs="Arial"/>
                <w:color w:val="000000"/>
                <w:sz w:val="16"/>
                <w:szCs w:val="16"/>
              </w:rPr>
            </w:pPr>
            <w:r w:rsidRPr="003E2528">
              <w:rPr>
                <w:rFonts w:ascii="Arial" w:hAnsi="Arial" w:cs="Arial"/>
                <w:color w:val="000000"/>
                <w:sz w:val="16"/>
                <w:szCs w:val="16"/>
              </w:rPr>
              <w:t>1,135</w:t>
            </w:r>
          </w:p>
        </w:tc>
        <w:tc>
          <w:tcPr>
            <w:tcW w:w="910" w:type="dxa"/>
            <w:tcBorders>
              <w:top w:val="nil"/>
              <w:left w:val="nil"/>
              <w:bottom w:val="nil"/>
              <w:right w:val="nil"/>
            </w:tcBorders>
            <w:shd w:val="clear" w:color="000000" w:fill="E6E6E6"/>
            <w:noWrap/>
            <w:vAlign w:val="bottom"/>
            <w:hideMark/>
          </w:tcPr>
          <w:p w14:paraId="47C774F1" w14:textId="5795DE39"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100</w:t>
            </w:r>
          </w:p>
        </w:tc>
        <w:tc>
          <w:tcPr>
            <w:tcW w:w="996" w:type="dxa"/>
            <w:gridSpan w:val="3"/>
            <w:tcBorders>
              <w:top w:val="nil"/>
              <w:left w:val="nil"/>
              <w:bottom w:val="nil"/>
              <w:right w:val="nil"/>
            </w:tcBorders>
            <w:shd w:val="clear" w:color="auto" w:fill="auto"/>
            <w:noWrap/>
            <w:vAlign w:val="bottom"/>
            <w:hideMark/>
          </w:tcPr>
          <w:p w14:paraId="49DE0A02" w14:textId="2B7B188F"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100</w:t>
            </w:r>
          </w:p>
        </w:tc>
        <w:tc>
          <w:tcPr>
            <w:tcW w:w="880" w:type="dxa"/>
            <w:gridSpan w:val="3"/>
            <w:tcBorders>
              <w:top w:val="nil"/>
              <w:left w:val="nil"/>
              <w:bottom w:val="nil"/>
              <w:right w:val="nil"/>
            </w:tcBorders>
            <w:shd w:val="clear" w:color="auto" w:fill="auto"/>
            <w:noWrap/>
            <w:vAlign w:val="bottom"/>
            <w:hideMark/>
          </w:tcPr>
          <w:p w14:paraId="6632BB00" w14:textId="2C6A01D0"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100</w:t>
            </w:r>
          </w:p>
        </w:tc>
        <w:tc>
          <w:tcPr>
            <w:tcW w:w="812" w:type="dxa"/>
            <w:tcBorders>
              <w:top w:val="nil"/>
              <w:left w:val="nil"/>
              <w:bottom w:val="nil"/>
              <w:right w:val="nil"/>
            </w:tcBorders>
            <w:shd w:val="clear" w:color="auto" w:fill="auto"/>
            <w:noWrap/>
            <w:vAlign w:val="bottom"/>
            <w:hideMark/>
          </w:tcPr>
          <w:p w14:paraId="433CEBC1" w14:textId="79D4568F"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100</w:t>
            </w:r>
          </w:p>
        </w:tc>
      </w:tr>
      <w:tr w:rsidR="004C6D93" w:rsidRPr="003E2528" w14:paraId="3593C96E" w14:textId="77777777" w:rsidTr="00852545">
        <w:trPr>
          <w:trHeight w:val="204"/>
        </w:trPr>
        <w:tc>
          <w:tcPr>
            <w:tcW w:w="2977" w:type="dxa"/>
            <w:gridSpan w:val="2"/>
            <w:tcBorders>
              <w:top w:val="nil"/>
              <w:left w:val="nil"/>
              <w:bottom w:val="nil"/>
              <w:right w:val="nil"/>
            </w:tcBorders>
            <w:shd w:val="clear" w:color="000000" w:fill="FFFFFF"/>
            <w:noWrap/>
            <w:vAlign w:val="center"/>
            <w:hideMark/>
          </w:tcPr>
          <w:p w14:paraId="486AB9BB" w14:textId="77777777" w:rsidR="004C6D93" w:rsidRPr="003E2528" w:rsidRDefault="004C6D93" w:rsidP="007469EF">
            <w:pPr>
              <w:spacing w:after="0" w:line="240" w:lineRule="auto"/>
              <w:ind w:left="113"/>
              <w:jc w:val="left"/>
              <w:rPr>
                <w:rFonts w:ascii="Arial" w:hAnsi="Arial" w:cs="Arial"/>
                <w:sz w:val="16"/>
                <w:szCs w:val="16"/>
              </w:rPr>
            </w:pPr>
            <w:r w:rsidRPr="003E2528">
              <w:rPr>
                <w:rFonts w:ascii="Arial" w:hAnsi="Arial" w:cs="Arial"/>
                <w:sz w:val="16"/>
                <w:szCs w:val="16"/>
              </w:rPr>
              <w:t>Special accounts</w:t>
            </w:r>
          </w:p>
        </w:tc>
        <w:tc>
          <w:tcPr>
            <w:tcW w:w="812" w:type="dxa"/>
            <w:tcBorders>
              <w:top w:val="nil"/>
              <w:left w:val="nil"/>
              <w:bottom w:val="nil"/>
              <w:right w:val="nil"/>
            </w:tcBorders>
            <w:shd w:val="clear" w:color="auto" w:fill="auto"/>
            <w:noWrap/>
            <w:vAlign w:val="bottom"/>
            <w:hideMark/>
          </w:tcPr>
          <w:p w14:paraId="41641E4A" w14:textId="77777777" w:rsidR="004C6D93" w:rsidRPr="003E2528" w:rsidRDefault="004C6D93" w:rsidP="007469EF">
            <w:pPr>
              <w:spacing w:after="0" w:line="240" w:lineRule="auto"/>
              <w:ind w:firstLineChars="100" w:firstLine="160"/>
              <w:jc w:val="right"/>
              <w:rPr>
                <w:rFonts w:ascii="Arial" w:hAnsi="Arial" w:cs="Arial"/>
                <w:sz w:val="16"/>
                <w:szCs w:val="16"/>
              </w:rPr>
            </w:pPr>
          </w:p>
        </w:tc>
        <w:tc>
          <w:tcPr>
            <w:tcW w:w="910" w:type="dxa"/>
            <w:tcBorders>
              <w:top w:val="nil"/>
              <w:left w:val="nil"/>
              <w:bottom w:val="nil"/>
              <w:right w:val="nil"/>
            </w:tcBorders>
            <w:shd w:val="clear" w:color="000000" w:fill="E6E6E6"/>
            <w:noWrap/>
            <w:vAlign w:val="bottom"/>
            <w:hideMark/>
          </w:tcPr>
          <w:p w14:paraId="38EAD12E" w14:textId="6209AF86" w:rsidR="004C6D93" w:rsidRPr="003E2528" w:rsidRDefault="004C6D93" w:rsidP="007469EF">
            <w:pPr>
              <w:spacing w:after="0" w:line="240" w:lineRule="auto"/>
              <w:jc w:val="right"/>
              <w:rPr>
                <w:rFonts w:ascii="Arial" w:hAnsi="Arial" w:cs="Arial"/>
                <w:sz w:val="16"/>
                <w:szCs w:val="16"/>
              </w:rPr>
            </w:pPr>
          </w:p>
        </w:tc>
        <w:tc>
          <w:tcPr>
            <w:tcW w:w="996" w:type="dxa"/>
            <w:gridSpan w:val="3"/>
            <w:tcBorders>
              <w:top w:val="nil"/>
              <w:left w:val="nil"/>
              <w:bottom w:val="nil"/>
              <w:right w:val="nil"/>
            </w:tcBorders>
            <w:shd w:val="clear" w:color="auto" w:fill="auto"/>
            <w:noWrap/>
            <w:vAlign w:val="bottom"/>
            <w:hideMark/>
          </w:tcPr>
          <w:p w14:paraId="23679273" w14:textId="77777777" w:rsidR="004C6D93" w:rsidRPr="003E2528" w:rsidRDefault="004C6D93" w:rsidP="007469EF">
            <w:pPr>
              <w:spacing w:after="0" w:line="240" w:lineRule="auto"/>
              <w:jc w:val="right"/>
              <w:rPr>
                <w:rFonts w:ascii="Arial" w:hAnsi="Arial" w:cs="Arial"/>
                <w:sz w:val="16"/>
                <w:szCs w:val="16"/>
              </w:rPr>
            </w:pPr>
          </w:p>
        </w:tc>
        <w:tc>
          <w:tcPr>
            <w:tcW w:w="880" w:type="dxa"/>
            <w:gridSpan w:val="3"/>
            <w:tcBorders>
              <w:top w:val="nil"/>
              <w:left w:val="nil"/>
              <w:bottom w:val="nil"/>
              <w:right w:val="nil"/>
            </w:tcBorders>
            <w:shd w:val="clear" w:color="auto" w:fill="auto"/>
            <w:noWrap/>
            <w:vAlign w:val="bottom"/>
            <w:hideMark/>
          </w:tcPr>
          <w:p w14:paraId="576A1D38" w14:textId="77777777" w:rsidR="004C6D93" w:rsidRPr="003E2528" w:rsidRDefault="004C6D93" w:rsidP="007469EF">
            <w:pPr>
              <w:spacing w:after="0" w:line="240" w:lineRule="auto"/>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14:paraId="1CEFC636" w14:textId="77777777" w:rsidR="004C6D93" w:rsidRPr="003E2528" w:rsidRDefault="004C6D93" w:rsidP="007469EF">
            <w:pPr>
              <w:spacing w:after="0" w:line="240" w:lineRule="auto"/>
              <w:jc w:val="right"/>
              <w:rPr>
                <w:rFonts w:ascii="Arial" w:hAnsi="Arial" w:cs="Arial"/>
                <w:sz w:val="16"/>
                <w:szCs w:val="16"/>
              </w:rPr>
            </w:pPr>
          </w:p>
        </w:tc>
      </w:tr>
      <w:tr w:rsidR="004C6D93" w:rsidRPr="003E2528" w14:paraId="206E44D7" w14:textId="77777777" w:rsidTr="00852545">
        <w:trPr>
          <w:trHeight w:val="204"/>
        </w:trPr>
        <w:tc>
          <w:tcPr>
            <w:tcW w:w="2977" w:type="dxa"/>
            <w:gridSpan w:val="2"/>
            <w:tcBorders>
              <w:top w:val="nil"/>
              <w:left w:val="nil"/>
              <w:bottom w:val="nil"/>
              <w:right w:val="nil"/>
            </w:tcBorders>
            <w:shd w:val="clear" w:color="000000" w:fill="FFFFFF"/>
            <w:vAlign w:val="center"/>
            <w:hideMark/>
          </w:tcPr>
          <w:p w14:paraId="01A34334" w14:textId="77777777" w:rsidR="004C6D93" w:rsidRPr="003E2528" w:rsidRDefault="004C6D93" w:rsidP="007469EF">
            <w:pPr>
              <w:spacing w:after="0" w:line="240" w:lineRule="auto"/>
              <w:ind w:left="227"/>
              <w:jc w:val="left"/>
              <w:rPr>
                <w:rFonts w:ascii="Arial" w:hAnsi="Arial" w:cs="Arial"/>
                <w:sz w:val="16"/>
                <w:szCs w:val="16"/>
              </w:rPr>
            </w:pPr>
            <w:r w:rsidRPr="003E2528">
              <w:rPr>
                <w:rFonts w:ascii="Arial" w:hAnsi="Arial" w:cs="Arial"/>
                <w:sz w:val="16"/>
                <w:szCs w:val="16"/>
              </w:rPr>
              <w:t xml:space="preserve">Appropriation receipts </w:t>
            </w:r>
            <w:r w:rsidRPr="003E2528">
              <w:rPr>
                <w:rFonts w:ascii="Arial" w:hAnsi="Arial" w:cs="Arial"/>
                <w:sz w:val="16"/>
                <w:szCs w:val="16"/>
                <w:vertAlign w:val="superscript"/>
              </w:rPr>
              <w:t>(d)</w:t>
            </w:r>
          </w:p>
        </w:tc>
        <w:tc>
          <w:tcPr>
            <w:tcW w:w="812" w:type="dxa"/>
            <w:tcBorders>
              <w:top w:val="nil"/>
              <w:left w:val="nil"/>
              <w:bottom w:val="nil"/>
              <w:right w:val="nil"/>
            </w:tcBorders>
            <w:shd w:val="clear" w:color="auto" w:fill="auto"/>
            <w:noWrap/>
            <w:vAlign w:val="bottom"/>
            <w:hideMark/>
          </w:tcPr>
          <w:p w14:paraId="6F55C4E1" w14:textId="289F8006" w:rsidR="004C6D93" w:rsidRPr="003E2528" w:rsidRDefault="004C6D93" w:rsidP="007469EF">
            <w:pPr>
              <w:spacing w:after="0" w:line="240" w:lineRule="auto"/>
              <w:jc w:val="right"/>
              <w:rPr>
                <w:rFonts w:ascii="Arial" w:hAnsi="Arial" w:cs="Arial"/>
                <w:color w:val="000000"/>
                <w:sz w:val="16"/>
                <w:szCs w:val="16"/>
              </w:rPr>
            </w:pPr>
            <w:r w:rsidRPr="003E2528">
              <w:rPr>
                <w:rFonts w:ascii="Arial" w:hAnsi="Arial" w:cs="Arial"/>
                <w:color w:val="000000"/>
                <w:sz w:val="16"/>
                <w:szCs w:val="16"/>
              </w:rPr>
              <w:t>18,348</w:t>
            </w:r>
          </w:p>
        </w:tc>
        <w:tc>
          <w:tcPr>
            <w:tcW w:w="910" w:type="dxa"/>
            <w:tcBorders>
              <w:top w:val="nil"/>
              <w:left w:val="nil"/>
              <w:bottom w:val="nil"/>
              <w:right w:val="nil"/>
            </w:tcBorders>
            <w:shd w:val="clear" w:color="000000" w:fill="E6E6E6"/>
            <w:noWrap/>
            <w:vAlign w:val="bottom"/>
            <w:hideMark/>
          </w:tcPr>
          <w:p w14:paraId="486EE546" w14:textId="09FF1F94"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44,636</w:t>
            </w:r>
          </w:p>
        </w:tc>
        <w:tc>
          <w:tcPr>
            <w:tcW w:w="996" w:type="dxa"/>
            <w:gridSpan w:val="3"/>
            <w:tcBorders>
              <w:top w:val="nil"/>
              <w:left w:val="nil"/>
              <w:bottom w:val="nil"/>
              <w:right w:val="nil"/>
            </w:tcBorders>
            <w:shd w:val="clear" w:color="auto" w:fill="auto"/>
            <w:noWrap/>
            <w:vAlign w:val="bottom"/>
            <w:hideMark/>
          </w:tcPr>
          <w:p w14:paraId="615E8545" w14:textId="1B6B297D"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39,545</w:t>
            </w:r>
          </w:p>
        </w:tc>
        <w:tc>
          <w:tcPr>
            <w:tcW w:w="880" w:type="dxa"/>
            <w:gridSpan w:val="3"/>
            <w:tcBorders>
              <w:top w:val="nil"/>
              <w:left w:val="nil"/>
              <w:bottom w:val="nil"/>
              <w:right w:val="nil"/>
            </w:tcBorders>
            <w:shd w:val="clear" w:color="auto" w:fill="auto"/>
            <w:noWrap/>
            <w:vAlign w:val="bottom"/>
            <w:hideMark/>
          </w:tcPr>
          <w:p w14:paraId="022B95EA" w14:textId="79236724"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10,838</w:t>
            </w:r>
          </w:p>
        </w:tc>
        <w:tc>
          <w:tcPr>
            <w:tcW w:w="812" w:type="dxa"/>
            <w:tcBorders>
              <w:top w:val="nil"/>
              <w:left w:val="nil"/>
              <w:bottom w:val="nil"/>
              <w:right w:val="nil"/>
            </w:tcBorders>
            <w:shd w:val="clear" w:color="auto" w:fill="auto"/>
            <w:noWrap/>
            <w:vAlign w:val="bottom"/>
            <w:hideMark/>
          </w:tcPr>
          <w:p w14:paraId="5D22F06C" w14:textId="5E38BBE6"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10,883</w:t>
            </w:r>
          </w:p>
        </w:tc>
      </w:tr>
      <w:tr w:rsidR="004C6D93" w:rsidRPr="003E2528" w14:paraId="3D9CF50D" w14:textId="77777777" w:rsidTr="00852545">
        <w:trPr>
          <w:trHeight w:val="204"/>
        </w:trPr>
        <w:tc>
          <w:tcPr>
            <w:tcW w:w="2977" w:type="dxa"/>
            <w:gridSpan w:val="2"/>
            <w:tcBorders>
              <w:top w:val="nil"/>
              <w:left w:val="nil"/>
              <w:bottom w:val="nil"/>
              <w:right w:val="nil"/>
            </w:tcBorders>
            <w:shd w:val="clear" w:color="auto" w:fill="auto"/>
            <w:vAlign w:val="center"/>
            <w:hideMark/>
          </w:tcPr>
          <w:p w14:paraId="4153C246" w14:textId="77777777" w:rsidR="004C6D93" w:rsidRPr="003E2528" w:rsidRDefault="004C6D93" w:rsidP="007469EF">
            <w:pPr>
              <w:spacing w:after="0" w:line="240" w:lineRule="auto"/>
              <w:ind w:left="227"/>
              <w:jc w:val="left"/>
              <w:rPr>
                <w:rFonts w:ascii="Arial" w:hAnsi="Arial" w:cs="Arial"/>
                <w:sz w:val="16"/>
                <w:szCs w:val="16"/>
              </w:rPr>
            </w:pPr>
            <w:r w:rsidRPr="003E2528">
              <w:rPr>
                <w:rFonts w:ascii="Arial" w:hAnsi="Arial" w:cs="Arial"/>
                <w:sz w:val="16"/>
                <w:szCs w:val="16"/>
              </w:rPr>
              <w:t xml:space="preserve">less expenses made from appropriations credited to special accounts </w:t>
            </w:r>
            <w:r w:rsidRPr="003E2528">
              <w:rPr>
                <w:rFonts w:ascii="Arial" w:hAnsi="Arial" w:cs="Arial"/>
                <w:sz w:val="16"/>
                <w:szCs w:val="16"/>
                <w:vertAlign w:val="superscript"/>
              </w:rPr>
              <w:t>(e)</w:t>
            </w:r>
          </w:p>
        </w:tc>
        <w:tc>
          <w:tcPr>
            <w:tcW w:w="812" w:type="dxa"/>
            <w:tcBorders>
              <w:top w:val="nil"/>
              <w:left w:val="nil"/>
              <w:bottom w:val="nil"/>
              <w:right w:val="nil"/>
            </w:tcBorders>
            <w:shd w:val="clear" w:color="auto" w:fill="auto"/>
            <w:noWrap/>
            <w:vAlign w:val="bottom"/>
            <w:hideMark/>
          </w:tcPr>
          <w:p w14:paraId="4550CCEC" w14:textId="77777777" w:rsidR="004C6D93" w:rsidRPr="003E2528" w:rsidRDefault="004C6D93" w:rsidP="007469EF">
            <w:pPr>
              <w:spacing w:after="0" w:line="240" w:lineRule="auto"/>
              <w:jc w:val="right"/>
              <w:rPr>
                <w:rFonts w:ascii="Arial" w:hAnsi="Arial" w:cs="Arial"/>
                <w:color w:val="000000"/>
                <w:sz w:val="16"/>
                <w:szCs w:val="16"/>
              </w:rPr>
            </w:pPr>
            <w:r w:rsidRPr="003E2528">
              <w:rPr>
                <w:rFonts w:ascii="Arial" w:hAnsi="Arial" w:cs="Arial"/>
                <w:color w:val="000000"/>
                <w:sz w:val="16"/>
                <w:szCs w:val="16"/>
              </w:rPr>
              <w:t>(18,348)</w:t>
            </w:r>
          </w:p>
        </w:tc>
        <w:tc>
          <w:tcPr>
            <w:tcW w:w="910" w:type="dxa"/>
            <w:tcBorders>
              <w:top w:val="nil"/>
              <w:left w:val="nil"/>
              <w:bottom w:val="nil"/>
              <w:right w:val="nil"/>
            </w:tcBorders>
            <w:shd w:val="clear" w:color="000000" w:fill="E6E6E6"/>
            <w:noWrap/>
            <w:vAlign w:val="bottom"/>
            <w:hideMark/>
          </w:tcPr>
          <w:p w14:paraId="47D25D3D" w14:textId="77777777"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(44,636)</w:t>
            </w:r>
          </w:p>
        </w:tc>
        <w:tc>
          <w:tcPr>
            <w:tcW w:w="996" w:type="dxa"/>
            <w:gridSpan w:val="3"/>
            <w:tcBorders>
              <w:top w:val="nil"/>
              <w:left w:val="nil"/>
              <w:bottom w:val="nil"/>
              <w:right w:val="nil"/>
            </w:tcBorders>
            <w:shd w:val="clear" w:color="auto" w:fill="auto"/>
            <w:noWrap/>
            <w:vAlign w:val="bottom"/>
            <w:hideMark/>
          </w:tcPr>
          <w:p w14:paraId="6C4FCF64" w14:textId="77777777"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(39,545)</w:t>
            </w:r>
          </w:p>
        </w:tc>
        <w:tc>
          <w:tcPr>
            <w:tcW w:w="880" w:type="dxa"/>
            <w:gridSpan w:val="3"/>
            <w:tcBorders>
              <w:top w:val="nil"/>
              <w:left w:val="nil"/>
              <w:bottom w:val="nil"/>
              <w:right w:val="nil"/>
            </w:tcBorders>
            <w:shd w:val="clear" w:color="auto" w:fill="auto"/>
            <w:noWrap/>
            <w:vAlign w:val="bottom"/>
            <w:hideMark/>
          </w:tcPr>
          <w:p w14:paraId="4CD40E30" w14:textId="77777777"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(10,838)</w:t>
            </w:r>
          </w:p>
        </w:tc>
        <w:tc>
          <w:tcPr>
            <w:tcW w:w="812" w:type="dxa"/>
            <w:tcBorders>
              <w:top w:val="nil"/>
              <w:left w:val="nil"/>
              <w:bottom w:val="nil"/>
              <w:right w:val="nil"/>
            </w:tcBorders>
            <w:shd w:val="clear" w:color="auto" w:fill="auto"/>
            <w:noWrap/>
            <w:vAlign w:val="bottom"/>
            <w:hideMark/>
          </w:tcPr>
          <w:p w14:paraId="7E311FC6" w14:textId="77777777"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(10,883)</w:t>
            </w:r>
          </w:p>
        </w:tc>
      </w:tr>
      <w:tr w:rsidR="004C6D93" w:rsidRPr="003E2528" w14:paraId="789B266D" w14:textId="77777777" w:rsidTr="00852545">
        <w:trPr>
          <w:trHeight w:val="204"/>
        </w:trPr>
        <w:tc>
          <w:tcPr>
            <w:tcW w:w="2977" w:type="dxa"/>
            <w:gridSpan w:val="2"/>
            <w:tcBorders>
              <w:top w:val="nil"/>
              <w:left w:val="nil"/>
              <w:bottom w:val="nil"/>
              <w:right w:val="nil"/>
            </w:tcBorders>
            <w:shd w:val="clear" w:color="auto" w:fill="auto"/>
            <w:vAlign w:val="center"/>
            <w:hideMark/>
          </w:tcPr>
          <w:p w14:paraId="4971D2F5" w14:textId="77777777" w:rsidR="004C6D93" w:rsidRPr="003E2528" w:rsidRDefault="004C6D93" w:rsidP="00753A31">
            <w:pPr>
              <w:spacing w:after="0" w:line="240" w:lineRule="auto"/>
              <w:ind w:left="113"/>
              <w:jc w:val="left"/>
              <w:rPr>
                <w:rFonts w:ascii="Arial" w:hAnsi="Arial" w:cs="Arial"/>
                <w:sz w:val="16"/>
                <w:szCs w:val="16"/>
              </w:rPr>
            </w:pPr>
            <w:r w:rsidRPr="003E2528">
              <w:rPr>
                <w:rFonts w:ascii="Arial" w:hAnsi="Arial" w:cs="Arial"/>
                <w:sz w:val="16"/>
                <w:szCs w:val="16"/>
              </w:rPr>
              <w:t>Expenses not requiring</w:t>
            </w:r>
            <w:r w:rsidRPr="003E2528">
              <w:rPr>
                <w:rFonts w:ascii="Arial" w:hAnsi="Arial" w:cs="Arial"/>
                <w:sz w:val="16"/>
                <w:szCs w:val="16"/>
              </w:rPr>
              <w:br/>
              <w:t xml:space="preserve">appropriation in the Budget year </w:t>
            </w:r>
            <w:r w:rsidRPr="003E2528">
              <w:rPr>
                <w:rFonts w:ascii="Arial" w:hAnsi="Arial" w:cs="Arial"/>
                <w:sz w:val="16"/>
                <w:szCs w:val="16"/>
                <w:vertAlign w:val="superscript"/>
              </w:rPr>
              <w:t>(b)</w:t>
            </w:r>
          </w:p>
        </w:tc>
        <w:tc>
          <w:tcPr>
            <w:tcW w:w="812" w:type="dxa"/>
            <w:tcBorders>
              <w:top w:val="nil"/>
              <w:left w:val="nil"/>
              <w:bottom w:val="nil"/>
              <w:right w:val="nil"/>
            </w:tcBorders>
            <w:shd w:val="clear" w:color="auto" w:fill="auto"/>
            <w:noWrap/>
            <w:vAlign w:val="bottom"/>
            <w:hideMark/>
          </w:tcPr>
          <w:p w14:paraId="2EB6D5AD" w14:textId="418D4F14" w:rsidR="004C6D93" w:rsidRPr="003E2528" w:rsidRDefault="004C6D93" w:rsidP="007469EF">
            <w:pPr>
              <w:spacing w:after="0" w:line="240" w:lineRule="auto"/>
              <w:jc w:val="right"/>
              <w:rPr>
                <w:rFonts w:ascii="Arial" w:hAnsi="Arial" w:cs="Arial"/>
                <w:color w:val="000000"/>
                <w:sz w:val="16"/>
                <w:szCs w:val="16"/>
              </w:rPr>
            </w:pPr>
            <w:r w:rsidRPr="003E2528">
              <w:rPr>
                <w:rFonts w:ascii="Arial" w:hAnsi="Arial" w:cs="Arial"/>
                <w:color w:val="000000"/>
                <w:sz w:val="16"/>
                <w:szCs w:val="16"/>
              </w:rPr>
              <w:t>10,199</w:t>
            </w:r>
          </w:p>
        </w:tc>
        <w:tc>
          <w:tcPr>
            <w:tcW w:w="910" w:type="dxa"/>
            <w:tcBorders>
              <w:top w:val="nil"/>
              <w:left w:val="nil"/>
              <w:bottom w:val="nil"/>
              <w:right w:val="nil"/>
            </w:tcBorders>
            <w:shd w:val="clear" w:color="000000" w:fill="E6E6E6"/>
            <w:noWrap/>
            <w:vAlign w:val="bottom"/>
            <w:hideMark/>
          </w:tcPr>
          <w:p w14:paraId="37300B11" w14:textId="651F9B03"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9,214</w:t>
            </w:r>
          </w:p>
        </w:tc>
        <w:tc>
          <w:tcPr>
            <w:tcW w:w="996" w:type="dxa"/>
            <w:gridSpan w:val="3"/>
            <w:tcBorders>
              <w:top w:val="nil"/>
              <w:left w:val="nil"/>
              <w:bottom w:val="nil"/>
              <w:right w:val="nil"/>
            </w:tcBorders>
            <w:shd w:val="clear" w:color="auto" w:fill="auto"/>
            <w:noWrap/>
            <w:vAlign w:val="bottom"/>
            <w:hideMark/>
          </w:tcPr>
          <w:p w14:paraId="49254E03" w14:textId="088ABFC0"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8,955</w:t>
            </w:r>
          </w:p>
        </w:tc>
        <w:tc>
          <w:tcPr>
            <w:tcW w:w="880" w:type="dxa"/>
            <w:gridSpan w:val="3"/>
            <w:tcBorders>
              <w:top w:val="nil"/>
              <w:left w:val="nil"/>
              <w:bottom w:val="nil"/>
              <w:right w:val="nil"/>
            </w:tcBorders>
            <w:shd w:val="clear" w:color="auto" w:fill="auto"/>
            <w:noWrap/>
            <w:vAlign w:val="bottom"/>
            <w:hideMark/>
          </w:tcPr>
          <w:p w14:paraId="372EA3D4" w14:textId="4DEACD51"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8,955</w:t>
            </w:r>
          </w:p>
        </w:tc>
        <w:tc>
          <w:tcPr>
            <w:tcW w:w="812" w:type="dxa"/>
            <w:tcBorders>
              <w:top w:val="nil"/>
              <w:left w:val="nil"/>
              <w:bottom w:val="nil"/>
              <w:right w:val="nil"/>
            </w:tcBorders>
            <w:shd w:val="clear" w:color="auto" w:fill="auto"/>
            <w:noWrap/>
            <w:vAlign w:val="bottom"/>
            <w:hideMark/>
          </w:tcPr>
          <w:p w14:paraId="134FD495" w14:textId="43D3687A" w:rsidR="004C6D93" w:rsidRPr="003E2528" w:rsidRDefault="004C6D93" w:rsidP="007469EF">
            <w:pPr>
              <w:spacing w:after="0" w:line="240" w:lineRule="auto"/>
              <w:jc w:val="right"/>
              <w:rPr>
                <w:rFonts w:ascii="Arial" w:hAnsi="Arial" w:cs="Arial"/>
                <w:sz w:val="16"/>
                <w:szCs w:val="16"/>
              </w:rPr>
            </w:pPr>
            <w:r w:rsidRPr="003E2528">
              <w:rPr>
                <w:rFonts w:ascii="Arial" w:hAnsi="Arial" w:cs="Arial"/>
                <w:sz w:val="16"/>
                <w:szCs w:val="16"/>
              </w:rPr>
              <w:t>8,955</w:t>
            </w:r>
          </w:p>
        </w:tc>
      </w:tr>
      <w:tr w:rsidR="004C6D93" w:rsidRPr="003E2528" w14:paraId="36499FF6" w14:textId="77777777" w:rsidTr="00852545">
        <w:trPr>
          <w:trHeight w:val="204"/>
        </w:trPr>
        <w:tc>
          <w:tcPr>
            <w:tcW w:w="2977" w:type="dxa"/>
            <w:gridSpan w:val="2"/>
            <w:tcBorders>
              <w:top w:val="nil"/>
              <w:left w:val="nil"/>
              <w:bottom w:val="nil"/>
              <w:right w:val="nil"/>
            </w:tcBorders>
            <w:shd w:val="clear" w:color="auto" w:fill="auto"/>
            <w:vAlign w:val="center"/>
            <w:hideMark/>
          </w:tcPr>
          <w:p w14:paraId="731E1CAE" w14:textId="684EFCDE" w:rsidR="004C6D93" w:rsidRPr="003E2528" w:rsidRDefault="00852545" w:rsidP="00852545">
            <w:pPr>
              <w:spacing w:after="0" w:line="240" w:lineRule="auto"/>
              <w:jc w:val="right"/>
              <w:rPr>
                <w:rFonts w:ascii="Arial" w:hAnsi="Arial" w:cs="Arial"/>
                <w:b/>
                <w:bCs/>
                <w:sz w:val="16"/>
                <w:szCs w:val="16"/>
              </w:rPr>
            </w:pPr>
            <w:r>
              <w:rPr>
                <w:rFonts w:ascii="Arial" w:hAnsi="Arial" w:cs="Arial"/>
                <w:b/>
                <w:bCs/>
                <w:sz w:val="16"/>
                <w:szCs w:val="16"/>
              </w:rPr>
              <w:t xml:space="preserve">Total </w:t>
            </w:r>
            <w:r w:rsidR="008863D9">
              <w:rPr>
                <w:rFonts w:ascii="Arial" w:hAnsi="Arial" w:cs="Arial"/>
                <w:b/>
                <w:bCs/>
                <w:sz w:val="16"/>
                <w:szCs w:val="16"/>
              </w:rPr>
              <w:t>Department</w:t>
            </w:r>
            <w:r w:rsidR="004C6D93" w:rsidRPr="003E2528">
              <w:rPr>
                <w:rFonts w:ascii="Arial" w:hAnsi="Arial" w:cs="Arial"/>
                <w:b/>
                <w:bCs/>
                <w:sz w:val="16"/>
                <w:szCs w:val="16"/>
              </w:rPr>
              <w:t xml:space="preserve">al </w:t>
            </w:r>
            <w:r>
              <w:rPr>
                <w:rFonts w:ascii="Arial" w:hAnsi="Arial" w:cs="Arial"/>
                <w:b/>
                <w:bCs/>
                <w:sz w:val="16"/>
                <w:szCs w:val="16"/>
              </w:rPr>
              <w:t>expenses</w:t>
            </w:r>
          </w:p>
        </w:tc>
        <w:tc>
          <w:tcPr>
            <w:tcW w:w="812" w:type="dxa"/>
            <w:tcBorders>
              <w:top w:val="single" w:sz="4" w:space="0" w:color="auto"/>
              <w:left w:val="nil"/>
              <w:bottom w:val="single" w:sz="4" w:space="0" w:color="auto"/>
              <w:right w:val="nil"/>
            </w:tcBorders>
            <w:shd w:val="clear" w:color="auto" w:fill="auto"/>
            <w:noWrap/>
            <w:vAlign w:val="bottom"/>
            <w:hideMark/>
          </w:tcPr>
          <w:p w14:paraId="653F2D6E" w14:textId="205BF82C" w:rsidR="004C6D93" w:rsidRPr="00753A31" w:rsidRDefault="004C6D93" w:rsidP="007469EF">
            <w:pPr>
              <w:spacing w:after="0" w:line="240" w:lineRule="auto"/>
              <w:jc w:val="right"/>
              <w:rPr>
                <w:rFonts w:ascii="Arial" w:hAnsi="Arial" w:cs="Arial"/>
                <w:b/>
                <w:color w:val="000000"/>
                <w:sz w:val="16"/>
                <w:szCs w:val="16"/>
              </w:rPr>
            </w:pPr>
            <w:r w:rsidRPr="00753A31">
              <w:rPr>
                <w:rFonts w:ascii="Arial" w:hAnsi="Arial" w:cs="Arial"/>
                <w:b/>
                <w:color w:val="000000"/>
                <w:sz w:val="16"/>
                <w:szCs w:val="16"/>
              </w:rPr>
              <w:t>112,688</w:t>
            </w:r>
          </w:p>
        </w:tc>
        <w:tc>
          <w:tcPr>
            <w:tcW w:w="910" w:type="dxa"/>
            <w:tcBorders>
              <w:top w:val="single" w:sz="4" w:space="0" w:color="auto"/>
              <w:left w:val="nil"/>
              <w:bottom w:val="single" w:sz="4" w:space="0" w:color="auto"/>
              <w:right w:val="nil"/>
            </w:tcBorders>
            <w:shd w:val="clear" w:color="000000" w:fill="E6E6E6"/>
            <w:noWrap/>
            <w:vAlign w:val="bottom"/>
            <w:hideMark/>
          </w:tcPr>
          <w:p w14:paraId="43BEB64B" w14:textId="034C8063" w:rsidR="004C6D93" w:rsidRPr="00753A31" w:rsidRDefault="004C6D93" w:rsidP="007469EF">
            <w:pPr>
              <w:spacing w:after="0" w:line="240" w:lineRule="auto"/>
              <w:jc w:val="right"/>
              <w:rPr>
                <w:rFonts w:ascii="Arial" w:hAnsi="Arial" w:cs="Arial"/>
                <w:b/>
                <w:sz w:val="16"/>
                <w:szCs w:val="16"/>
              </w:rPr>
            </w:pPr>
            <w:r w:rsidRPr="00753A31">
              <w:rPr>
                <w:rFonts w:ascii="Arial" w:hAnsi="Arial" w:cs="Arial"/>
                <w:b/>
                <w:sz w:val="16"/>
                <w:szCs w:val="16"/>
              </w:rPr>
              <w:t>132,138</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06643337" w14:textId="28E6059F" w:rsidR="004C6D93" w:rsidRPr="00753A31" w:rsidRDefault="004C6D93" w:rsidP="007469EF">
            <w:pPr>
              <w:spacing w:after="0" w:line="240" w:lineRule="auto"/>
              <w:jc w:val="right"/>
              <w:rPr>
                <w:rFonts w:ascii="Arial" w:hAnsi="Arial" w:cs="Arial"/>
                <w:b/>
                <w:color w:val="000000"/>
                <w:sz w:val="16"/>
                <w:szCs w:val="16"/>
              </w:rPr>
            </w:pPr>
            <w:r w:rsidRPr="00753A31">
              <w:rPr>
                <w:rFonts w:ascii="Arial" w:hAnsi="Arial" w:cs="Arial"/>
                <w:b/>
                <w:color w:val="000000"/>
                <w:sz w:val="16"/>
                <w:szCs w:val="16"/>
              </w:rPr>
              <w:t>132,672</w:t>
            </w:r>
          </w:p>
        </w:tc>
        <w:tc>
          <w:tcPr>
            <w:tcW w:w="880" w:type="dxa"/>
            <w:gridSpan w:val="3"/>
            <w:tcBorders>
              <w:top w:val="single" w:sz="4" w:space="0" w:color="auto"/>
              <w:left w:val="nil"/>
              <w:bottom w:val="single" w:sz="4" w:space="0" w:color="auto"/>
              <w:right w:val="nil"/>
            </w:tcBorders>
            <w:shd w:val="clear" w:color="auto" w:fill="auto"/>
            <w:noWrap/>
            <w:vAlign w:val="bottom"/>
            <w:hideMark/>
          </w:tcPr>
          <w:p w14:paraId="4D0D81E6" w14:textId="1B726C53" w:rsidR="004C6D93" w:rsidRPr="00753A31" w:rsidRDefault="004C6D93" w:rsidP="007469EF">
            <w:pPr>
              <w:spacing w:after="0" w:line="240" w:lineRule="auto"/>
              <w:jc w:val="right"/>
              <w:rPr>
                <w:rFonts w:ascii="Arial" w:hAnsi="Arial" w:cs="Arial"/>
                <w:b/>
                <w:color w:val="000000"/>
                <w:sz w:val="16"/>
                <w:szCs w:val="16"/>
              </w:rPr>
            </w:pPr>
            <w:r w:rsidRPr="00753A31">
              <w:rPr>
                <w:rFonts w:ascii="Arial" w:hAnsi="Arial" w:cs="Arial"/>
                <w:b/>
                <w:color w:val="000000"/>
                <w:sz w:val="16"/>
                <w:szCs w:val="16"/>
              </w:rPr>
              <w:t>100,822</w:t>
            </w:r>
          </w:p>
        </w:tc>
        <w:tc>
          <w:tcPr>
            <w:tcW w:w="812" w:type="dxa"/>
            <w:tcBorders>
              <w:top w:val="single" w:sz="4" w:space="0" w:color="auto"/>
              <w:left w:val="nil"/>
              <w:bottom w:val="single" w:sz="4" w:space="0" w:color="auto"/>
              <w:right w:val="nil"/>
            </w:tcBorders>
            <w:shd w:val="clear" w:color="auto" w:fill="auto"/>
            <w:noWrap/>
            <w:vAlign w:val="bottom"/>
            <w:hideMark/>
          </w:tcPr>
          <w:p w14:paraId="1A3D21E2" w14:textId="0FB2622E" w:rsidR="004C6D93" w:rsidRPr="00753A31" w:rsidRDefault="004C6D93" w:rsidP="007469EF">
            <w:pPr>
              <w:spacing w:after="0" w:line="240" w:lineRule="auto"/>
              <w:jc w:val="right"/>
              <w:rPr>
                <w:rFonts w:ascii="Arial" w:hAnsi="Arial" w:cs="Arial"/>
                <w:b/>
                <w:color w:val="000000"/>
                <w:sz w:val="16"/>
                <w:szCs w:val="16"/>
              </w:rPr>
            </w:pPr>
            <w:r w:rsidRPr="00753A31">
              <w:rPr>
                <w:rFonts w:ascii="Arial" w:hAnsi="Arial" w:cs="Arial"/>
                <w:b/>
                <w:color w:val="000000"/>
                <w:sz w:val="16"/>
                <w:szCs w:val="16"/>
              </w:rPr>
              <w:t>100,348</w:t>
            </w:r>
          </w:p>
        </w:tc>
      </w:tr>
      <w:tr w:rsidR="004C6D93" w:rsidRPr="003E2528" w14:paraId="052D41B6" w14:textId="77777777" w:rsidTr="00852545">
        <w:trPr>
          <w:trHeight w:val="204"/>
        </w:trPr>
        <w:tc>
          <w:tcPr>
            <w:tcW w:w="2977" w:type="dxa"/>
            <w:gridSpan w:val="2"/>
            <w:tcBorders>
              <w:top w:val="nil"/>
              <w:left w:val="nil"/>
              <w:bottom w:val="single" w:sz="4" w:space="0" w:color="auto"/>
              <w:right w:val="nil"/>
            </w:tcBorders>
            <w:shd w:val="clear" w:color="auto" w:fill="auto"/>
            <w:noWrap/>
            <w:vAlign w:val="center"/>
            <w:hideMark/>
          </w:tcPr>
          <w:p w14:paraId="418A776F" w14:textId="77777777" w:rsidR="004C6D93" w:rsidRPr="003E2528" w:rsidRDefault="004C6D93" w:rsidP="004C6D93">
            <w:pPr>
              <w:spacing w:after="0" w:line="240" w:lineRule="auto"/>
              <w:jc w:val="left"/>
              <w:rPr>
                <w:rFonts w:ascii="Arial" w:hAnsi="Arial" w:cs="Arial"/>
                <w:b/>
                <w:bCs/>
                <w:color w:val="000000"/>
                <w:sz w:val="16"/>
                <w:szCs w:val="16"/>
              </w:rPr>
            </w:pPr>
            <w:r w:rsidRPr="003E2528">
              <w:rPr>
                <w:rFonts w:ascii="Arial" w:hAnsi="Arial" w:cs="Arial"/>
                <w:b/>
                <w:bCs/>
                <w:color w:val="000000"/>
                <w:sz w:val="16"/>
                <w:szCs w:val="16"/>
              </w:rPr>
              <w:t>Total expenses for Outcome 1</w:t>
            </w:r>
          </w:p>
        </w:tc>
        <w:tc>
          <w:tcPr>
            <w:tcW w:w="812" w:type="dxa"/>
            <w:tcBorders>
              <w:top w:val="single" w:sz="4" w:space="0" w:color="auto"/>
              <w:left w:val="nil"/>
              <w:bottom w:val="single" w:sz="4" w:space="0" w:color="auto"/>
              <w:right w:val="nil"/>
            </w:tcBorders>
            <w:shd w:val="clear" w:color="auto" w:fill="auto"/>
            <w:noWrap/>
            <w:vAlign w:val="bottom"/>
            <w:hideMark/>
          </w:tcPr>
          <w:p w14:paraId="7814B9B5" w14:textId="496D30C3" w:rsidR="004C6D93" w:rsidRPr="003E2528" w:rsidRDefault="004C6D93" w:rsidP="007469EF">
            <w:pPr>
              <w:spacing w:after="0" w:line="240" w:lineRule="auto"/>
              <w:jc w:val="right"/>
              <w:rPr>
                <w:rFonts w:ascii="Arial" w:hAnsi="Arial" w:cs="Arial"/>
                <w:b/>
                <w:bCs/>
                <w:color w:val="000000"/>
                <w:sz w:val="16"/>
                <w:szCs w:val="16"/>
              </w:rPr>
            </w:pPr>
            <w:r w:rsidRPr="003E2528">
              <w:rPr>
                <w:rFonts w:ascii="Arial" w:hAnsi="Arial" w:cs="Arial"/>
                <w:b/>
                <w:bCs/>
                <w:color w:val="000000"/>
                <w:sz w:val="16"/>
                <w:szCs w:val="16"/>
              </w:rPr>
              <w:t>126,779</w:t>
            </w:r>
          </w:p>
        </w:tc>
        <w:tc>
          <w:tcPr>
            <w:tcW w:w="910" w:type="dxa"/>
            <w:tcBorders>
              <w:top w:val="single" w:sz="4" w:space="0" w:color="auto"/>
              <w:left w:val="nil"/>
              <w:bottom w:val="single" w:sz="4" w:space="0" w:color="auto"/>
              <w:right w:val="nil"/>
            </w:tcBorders>
            <w:shd w:val="clear" w:color="000000" w:fill="E6E6E6"/>
            <w:noWrap/>
            <w:vAlign w:val="bottom"/>
            <w:hideMark/>
          </w:tcPr>
          <w:p w14:paraId="4E255388" w14:textId="7CF48F90" w:rsidR="004C6D93" w:rsidRPr="003E2528" w:rsidRDefault="004C6D93" w:rsidP="007469EF">
            <w:pPr>
              <w:spacing w:after="0" w:line="240" w:lineRule="auto"/>
              <w:jc w:val="right"/>
              <w:rPr>
                <w:rFonts w:ascii="Arial" w:hAnsi="Arial" w:cs="Arial"/>
                <w:b/>
                <w:bCs/>
                <w:color w:val="000000"/>
                <w:sz w:val="16"/>
                <w:szCs w:val="16"/>
              </w:rPr>
            </w:pPr>
            <w:r w:rsidRPr="003E2528">
              <w:rPr>
                <w:rFonts w:ascii="Arial" w:hAnsi="Arial" w:cs="Arial"/>
                <w:b/>
                <w:bCs/>
                <w:color w:val="000000"/>
                <w:sz w:val="16"/>
                <w:szCs w:val="16"/>
              </w:rPr>
              <w:t>141,432</w:t>
            </w:r>
          </w:p>
        </w:tc>
        <w:tc>
          <w:tcPr>
            <w:tcW w:w="996" w:type="dxa"/>
            <w:gridSpan w:val="3"/>
            <w:tcBorders>
              <w:top w:val="single" w:sz="4" w:space="0" w:color="auto"/>
              <w:left w:val="nil"/>
              <w:bottom w:val="single" w:sz="4" w:space="0" w:color="auto"/>
              <w:right w:val="nil"/>
            </w:tcBorders>
            <w:shd w:val="clear" w:color="auto" w:fill="auto"/>
            <w:noWrap/>
            <w:vAlign w:val="bottom"/>
            <w:hideMark/>
          </w:tcPr>
          <w:p w14:paraId="09026F23" w14:textId="4D3488A3" w:rsidR="004C6D93" w:rsidRPr="003E2528" w:rsidRDefault="004C6D93" w:rsidP="007469EF">
            <w:pPr>
              <w:spacing w:after="0" w:line="240" w:lineRule="auto"/>
              <w:jc w:val="right"/>
              <w:rPr>
                <w:rFonts w:ascii="Arial" w:hAnsi="Arial" w:cs="Arial"/>
                <w:b/>
                <w:bCs/>
                <w:sz w:val="16"/>
                <w:szCs w:val="16"/>
              </w:rPr>
            </w:pPr>
            <w:r w:rsidRPr="003E2528">
              <w:rPr>
                <w:rFonts w:ascii="Arial" w:hAnsi="Arial" w:cs="Arial"/>
                <w:b/>
                <w:bCs/>
                <w:sz w:val="16"/>
                <w:szCs w:val="16"/>
              </w:rPr>
              <w:t>139,236</w:t>
            </w:r>
          </w:p>
        </w:tc>
        <w:tc>
          <w:tcPr>
            <w:tcW w:w="880" w:type="dxa"/>
            <w:gridSpan w:val="3"/>
            <w:tcBorders>
              <w:top w:val="single" w:sz="4" w:space="0" w:color="auto"/>
              <w:left w:val="nil"/>
              <w:bottom w:val="single" w:sz="4" w:space="0" w:color="auto"/>
              <w:right w:val="nil"/>
            </w:tcBorders>
            <w:shd w:val="clear" w:color="auto" w:fill="auto"/>
            <w:noWrap/>
            <w:vAlign w:val="bottom"/>
            <w:hideMark/>
          </w:tcPr>
          <w:p w14:paraId="3D6E4651" w14:textId="736AC2D5" w:rsidR="004C6D93" w:rsidRPr="003E2528" w:rsidRDefault="004C6D93" w:rsidP="007469EF">
            <w:pPr>
              <w:spacing w:after="0" w:line="240" w:lineRule="auto"/>
              <w:jc w:val="right"/>
              <w:rPr>
                <w:rFonts w:ascii="Arial" w:hAnsi="Arial" w:cs="Arial"/>
                <w:b/>
                <w:bCs/>
                <w:sz w:val="16"/>
                <w:szCs w:val="16"/>
              </w:rPr>
            </w:pPr>
            <w:r w:rsidRPr="003E2528">
              <w:rPr>
                <w:rFonts w:ascii="Arial" w:hAnsi="Arial" w:cs="Arial"/>
                <w:b/>
                <w:bCs/>
                <w:sz w:val="16"/>
                <w:szCs w:val="16"/>
              </w:rPr>
              <w:t>105,192</w:t>
            </w:r>
          </w:p>
        </w:tc>
        <w:tc>
          <w:tcPr>
            <w:tcW w:w="812" w:type="dxa"/>
            <w:tcBorders>
              <w:top w:val="single" w:sz="4" w:space="0" w:color="auto"/>
              <w:left w:val="nil"/>
              <w:bottom w:val="single" w:sz="4" w:space="0" w:color="auto"/>
              <w:right w:val="nil"/>
            </w:tcBorders>
            <w:shd w:val="clear" w:color="auto" w:fill="auto"/>
            <w:noWrap/>
            <w:vAlign w:val="bottom"/>
            <w:hideMark/>
          </w:tcPr>
          <w:p w14:paraId="4A8C5888" w14:textId="61C15B9D" w:rsidR="004C6D93" w:rsidRPr="003E2528" w:rsidRDefault="004C6D93" w:rsidP="007469EF">
            <w:pPr>
              <w:spacing w:after="0" w:line="240" w:lineRule="auto"/>
              <w:jc w:val="right"/>
              <w:rPr>
                <w:rFonts w:ascii="Arial" w:hAnsi="Arial" w:cs="Arial"/>
                <w:b/>
                <w:bCs/>
                <w:sz w:val="16"/>
                <w:szCs w:val="16"/>
              </w:rPr>
            </w:pPr>
            <w:r w:rsidRPr="003E2528">
              <w:rPr>
                <w:rFonts w:ascii="Arial" w:hAnsi="Arial" w:cs="Arial"/>
                <w:b/>
                <w:bCs/>
                <w:sz w:val="16"/>
                <w:szCs w:val="16"/>
              </w:rPr>
              <w:t>100,698</w:t>
            </w:r>
          </w:p>
        </w:tc>
      </w:tr>
    </w:tbl>
    <w:p w14:paraId="260C3F7C" w14:textId="77777777" w:rsidR="004C031B" w:rsidRPr="00446612" w:rsidRDefault="004C031B" w:rsidP="004C031B">
      <w:pPr>
        <w:pStyle w:val="Source"/>
      </w:pPr>
    </w:p>
    <w:tbl>
      <w:tblPr>
        <w:tblW w:w="4726" w:type="dxa"/>
        <w:tblLook w:val="04A0" w:firstRow="1" w:lastRow="0" w:firstColumn="1" w:lastColumn="0" w:noHBand="0" w:noVBand="1"/>
      </w:tblPr>
      <w:tblGrid>
        <w:gridCol w:w="2919"/>
        <w:gridCol w:w="863"/>
        <w:gridCol w:w="944"/>
      </w:tblGrid>
      <w:tr w:rsidR="004C031B" w:rsidRPr="003E2528" w14:paraId="50B226E3" w14:textId="77777777" w:rsidTr="00753A31">
        <w:trPr>
          <w:trHeight w:val="251"/>
        </w:trPr>
        <w:tc>
          <w:tcPr>
            <w:tcW w:w="2919" w:type="dxa"/>
            <w:tcBorders>
              <w:top w:val="single" w:sz="4" w:space="0" w:color="000000"/>
              <w:left w:val="nil"/>
              <w:bottom w:val="nil"/>
              <w:right w:val="nil"/>
            </w:tcBorders>
            <w:shd w:val="clear" w:color="auto" w:fill="auto"/>
            <w:noWrap/>
            <w:vAlign w:val="center"/>
            <w:hideMark/>
          </w:tcPr>
          <w:p w14:paraId="3EEC49DE" w14:textId="77777777" w:rsidR="004C031B" w:rsidRPr="003E2528" w:rsidRDefault="004C031B" w:rsidP="00081844">
            <w:pPr>
              <w:spacing w:after="0" w:line="240" w:lineRule="auto"/>
              <w:jc w:val="left"/>
              <w:rPr>
                <w:rFonts w:ascii="Arial" w:hAnsi="Arial" w:cs="Arial"/>
                <w:color w:val="000000"/>
                <w:sz w:val="16"/>
                <w:szCs w:val="16"/>
              </w:rPr>
            </w:pPr>
            <w:r w:rsidRPr="003E2528">
              <w:rPr>
                <w:rFonts w:ascii="Arial" w:hAnsi="Arial" w:cs="Arial"/>
                <w:color w:val="000000"/>
                <w:sz w:val="16"/>
                <w:szCs w:val="16"/>
              </w:rPr>
              <w:t> </w:t>
            </w:r>
          </w:p>
        </w:tc>
        <w:tc>
          <w:tcPr>
            <w:tcW w:w="863" w:type="dxa"/>
            <w:tcBorders>
              <w:top w:val="single" w:sz="4" w:space="0" w:color="auto"/>
              <w:left w:val="nil"/>
              <w:bottom w:val="single" w:sz="4" w:space="0" w:color="auto"/>
              <w:right w:val="nil"/>
            </w:tcBorders>
            <w:shd w:val="clear" w:color="auto" w:fill="auto"/>
            <w:noWrap/>
            <w:vAlign w:val="bottom"/>
            <w:hideMark/>
          </w:tcPr>
          <w:p w14:paraId="1B8EE54F" w14:textId="5D306EFB" w:rsidR="00362E40" w:rsidRDefault="00362E40" w:rsidP="00081844">
            <w:pPr>
              <w:spacing w:after="0" w:line="240" w:lineRule="auto"/>
              <w:jc w:val="right"/>
              <w:rPr>
                <w:rFonts w:ascii="Arial" w:hAnsi="Arial" w:cs="Arial"/>
                <w:sz w:val="16"/>
                <w:szCs w:val="16"/>
              </w:rPr>
            </w:pPr>
            <w:r>
              <w:rPr>
                <w:rFonts w:ascii="Arial" w:hAnsi="Arial" w:cs="Arial"/>
                <w:sz w:val="16"/>
                <w:szCs w:val="16"/>
              </w:rPr>
              <w:t>Actual</w:t>
            </w:r>
          </w:p>
          <w:p w14:paraId="09DAB0FA" w14:textId="0FE69280" w:rsidR="004C031B" w:rsidRPr="003E2528" w:rsidRDefault="004C031B" w:rsidP="00081844">
            <w:pPr>
              <w:spacing w:after="0" w:line="240" w:lineRule="auto"/>
              <w:jc w:val="right"/>
              <w:rPr>
                <w:rFonts w:ascii="Arial" w:hAnsi="Arial" w:cs="Arial"/>
                <w:sz w:val="16"/>
                <w:szCs w:val="16"/>
              </w:rPr>
            </w:pPr>
            <w:r w:rsidRPr="003E2528">
              <w:rPr>
                <w:rFonts w:ascii="Arial" w:hAnsi="Arial" w:cs="Arial"/>
                <w:sz w:val="16"/>
                <w:szCs w:val="16"/>
              </w:rPr>
              <w:t>2020-21</w:t>
            </w:r>
          </w:p>
        </w:tc>
        <w:tc>
          <w:tcPr>
            <w:tcW w:w="944" w:type="dxa"/>
            <w:tcBorders>
              <w:top w:val="single" w:sz="4" w:space="0" w:color="auto"/>
              <w:left w:val="nil"/>
              <w:bottom w:val="single" w:sz="4" w:space="0" w:color="auto"/>
              <w:right w:val="nil"/>
            </w:tcBorders>
            <w:shd w:val="clear" w:color="000000" w:fill="E6E6E6"/>
            <w:noWrap/>
            <w:vAlign w:val="bottom"/>
            <w:hideMark/>
          </w:tcPr>
          <w:p w14:paraId="25C42CCE" w14:textId="77777777" w:rsidR="004C031B" w:rsidRPr="003E2528" w:rsidRDefault="004C031B" w:rsidP="00081844">
            <w:pPr>
              <w:spacing w:after="0" w:line="240" w:lineRule="auto"/>
              <w:jc w:val="right"/>
              <w:rPr>
                <w:rFonts w:ascii="Arial" w:hAnsi="Arial" w:cs="Arial"/>
                <w:sz w:val="16"/>
                <w:szCs w:val="16"/>
              </w:rPr>
            </w:pPr>
            <w:r w:rsidRPr="003E2528">
              <w:rPr>
                <w:rFonts w:ascii="Arial" w:hAnsi="Arial" w:cs="Arial"/>
                <w:sz w:val="16"/>
                <w:szCs w:val="16"/>
              </w:rPr>
              <w:t>2021-22</w:t>
            </w:r>
          </w:p>
        </w:tc>
      </w:tr>
      <w:tr w:rsidR="004C031B" w:rsidRPr="003E2528" w14:paraId="6BC399A5" w14:textId="77777777" w:rsidTr="00753A31">
        <w:trPr>
          <w:trHeight w:val="251"/>
        </w:trPr>
        <w:tc>
          <w:tcPr>
            <w:tcW w:w="2919" w:type="dxa"/>
            <w:tcBorders>
              <w:top w:val="nil"/>
              <w:left w:val="nil"/>
              <w:bottom w:val="single" w:sz="4" w:space="0" w:color="000000"/>
              <w:right w:val="nil"/>
            </w:tcBorders>
            <w:shd w:val="clear" w:color="auto" w:fill="auto"/>
            <w:noWrap/>
            <w:vAlign w:val="center"/>
            <w:hideMark/>
          </w:tcPr>
          <w:p w14:paraId="5D8AAB41" w14:textId="77777777" w:rsidR="004C031B" w:rsidRPr="003E2528" w:rsidRDefault="004C031B" w:rsidP="00081844">
            <w:pPr>
              <w:spacing w:after="0" w:line="240" w:lineRule="auto"/>
              <w:jc w:val="left"/>
              <w:rPr>
                <w:rFonts w:ascii="Arial" w:hAnsi="Arial" w:cs="Arial"/>
                <w:b/>
                <w:bCs/>
                <w:color w:val="000000"/>
                <w:sz w:val="16"/>
                <w:szCs w:val="16"/>
              </w:rPr>
            </w:pPr>
            <w:r w:rsidRPr="003E2528">
              <w:rPr>
                <w:rFonts w:ascii="Arial" w:hAnsi="Arial" w:cs="Arial"/>
                <w:b/>
                <w:bCs/>
                <w:color w:val="000000"/>
                <w:sz w:val="16"/>
                <w:szCs w:val="16"/>
              </w:rPr>
              <w:t>Average staffing level (number)</w:t>
            </w:r>
          </w:p>
        </w:tc>
        <w:tc>
          <w:tcPr>
            <w:tcW w:w="863" w:type="dxa"/>
            <w:tcBorders>
              <w:top w:val="single" w:sz="4" w:space="0" w:color="auto"/>
              <w:left w:val="nil"/>
              <w:bottom w:val="single" w:sz="4" w:space="0" w:color="auto"/>
              <w:right w:val="nil"/>
            </w:tcBorders>
            <w:shd w:val="clear" w:color="auto" w:fill="auto"/>
            <w:noWrap/>
            <w:vAlign w:val="bottom"/>
            <w:hideMark/>
          </w:tcPr>
          <w:p w14:paraId="2BD8BFD2" w14:textId="77777777" w:rsidR="004C031B" w:rsidRPr="003E2528" w:rsidRDefault="004C031B" w:rsidP="00081844">
            <w:pPr>
              <w:spacing w:after="0" w:line="240" w:lineRule="auto"/>
              <w:jc w:val="right"/>
              <w:rPr>
                <w:rFonts w:ascii="Arial" w:hAnsi="Arial" w:cs="Arial"/>
                <w:color w:val="000000"/>
                <w:sz w:val="16"/>
                <w:szCs w:val="16"/>
              </w:rPr>
            </w:pPr>
            <w:r w:rsidRPr="003E2528">
              <w:rPr>
                <w:rFonts w:ascii="Arial" w:hAnsi="Arial" w:cs="Arial"/>
                <w:color w:val="000000"/>
                <w:sz w:val="16"/>
                <w:szCs w:val="16"/>
              </w:rPr>
              <w:t>431</w:t>
            </w:r>
          </w:p>
        </w:tc>
        <w:tc>
          <w:tcPr>
            <w:tcW w:w="944" w:type="dxa"/>
            <w:tcBorders>
              <w:top w:val="single" w:sz="4" w:space="0" w:color="auto"/>
              <w:left w:val="nil"/>
              <w:bottom w:val="single" w:sz="4" w:space="0" w:color="auto"/>
              <w:right w:val="nil"/>
            </w:tcBorders>
            <w:shd w:val="clear" w:color="000000" w:fill="E6E6E6"/>
            <w:noWrap/>
            <w:vAlign w:val="bottom"/>
            <w:hideMark/>
          </w:tcPr>
          <w:p w14:paraId="3543A1A6" w14:textId="77777777" w:rsidR="004C031B" w:rsidRPr="003E2528" w:rsidRDefault="004C031B" w:rsidP="00081844">
            <w:pPr>
              <w:spacing w:after="0" w:line="240" w:lineRule="auto"/>
              <w:jc w:val="right"/>
              <w:rPr>
                <w:rFonts w:ascii="Arial" w:hAnsi="Arial" w:cs="Arial"/>
                <w:color w:val="000000"/>
                <w:sz w:val="16"/>
                <w:szCs w:val="16"/>
              </w:rPr>
            </w:pPr>
            <w:r w:rsidRPr="003E2528">
              <w:rPr>
                <w:rFonts w:ascii="Arial" w:hAnsi="Arial" w:cs="Arial"/>
                <w:color w:val="000000"/>
                <w:sz w:val="16"/>
                <w:szCs w:val="16"/>
              </w:rPr>
              <w:t>518</w:t>
            </w:r>
          </w:p>
        </w:tc>
      </w:tr>
    </w:tbl>
    <w:p w14:paraId="287AB9DB" w14:textId="1B696E10" w:rsidR="00BE2136" w:rsidRDefault="00BE2136" w:rsidP="00BE2136">
      <w:pPr>
        <w:pStyle w:val="Source"/>
        <w:jc w:val="left"/>
        <w:rPr>
          <w:color w:val="000000"/>
          <w:lang w:val="x-none" w:eastAsia="x-none"/>
        </w:rPr>
      </w:pPr>
      <w:r w:rsidRPr="004A6E35">
        <w:rPr>
          <w:color w:val="000000"/>
          <w:lang w:val="x-none" w:eastAsia="x-none"/>
        </w:rPr>
        <w:lastRenderedPageBreak/>
        <w:t>Figures displayed as a negative (</w:t>
      </w:r>
      <w:r w:rsidR="00B45396" w:rsidRPr="006F6AC8">
        <w:rPr>
          <w:color w:val="000000"/>
          <w:lang w:val="x-none" w:eastAsia="x-none"/>
        </w:rPr>
        <w:t>-</w:t>
      </w:r>
      <w:r w:rsidRPr="004A6E35">
        <w:rPr>
          <w:color w:val="000000"/>
          <w:lang w:val="x-none" w:eastAsia="x-none"/>
        </w:rPr>
        <w:t>) represent a decrease in funds and a positive (+) represent an increase in funds.</w:t>
      </w:r>
    </w:p>
    <w:p w14:paraId="537BBD51" w14:textId="725F52AC" w:rsidR="004C6D93" w:rsidRPr="00950281" w:rsidRDefault="004C6D93" w:rsidP="00D4176A">
      <w:pPr>
        <w:pStyle w:val="ChartandTableFootnote"/>
        <w:numPr>
          <w:ilvl w:val="0"/>
          <w:numId w:val="2"/>
        </w:numPr>
        <w:tabs>
          <w:tab w:val="clear" w:pos="454"/>
          <w:tab w:val="left" w:pos="284"/>
        </w:tabs>
        <w:spacing w:before="60"/>
        <w:ind w:left="284" w:hanging="284"/>
        <w:jc w:val="left"/>
      </w:pPr>
      <w:r w:rsidRPr="00950281">
        <w:t>E</w:t>
      </w:r>
      <w:r>
        <w:t>stimated e</w:t>
      </w:r>
      <w:r w:rsidRPr="00950281">
        <w:t xml:space="preserve">xpenses </w:t>
      </w:r>
      <w:r>
        <w:t>incurred in relation to receipts retained under section 74 of the PGPA Act 2013</w:t>
      </w:r>
      <w:r w:rsidRPr="006922DC">
        <w:t>.</w:t>
      </w:r>
    </w:p>
    <w:p w14:paraId="4D1A9D0C" w14:textId="77777777" w:rsidR="004C6D93" w:rsidRDefault="004C6D93" w:rsidP="00D4176A">
      <w:pPr>
        <w:pStyle w:val="ChartandTableFootnote"/>
        <w:numPr>
          <w:ilvl w:val="0"/>
          <w:numId w:val="2"/>
        </w:numPr>
        <w:tabs>
          <w:tab w:val="clear" w:pos="454"/>
          <w:tab w:val="left" w:pos="284"/>
        </w:tabs>
        <w:ind w:left="284" w:hanging="284"/>
        <w:jc w:val="left"/>
      </w:pPr>
      <w:r w:rsidRPr="00950281">
        <w:t>Expenses not requiring appropriation in the Budget year are made up of depreciation expenses</w:t>
      </w:r>
      <w:r>
        <w:t xml:space="preserve"> and </w:t>
      </w:r>
      <w:r w:rsidRPr="00950281">
        <w:t>amortisation expenses.</w:t>
      </w:r>
    </w:p>
    <w:p w14:paraId="1107C049" w14:textId="77777777" w:rsidR="004C6D93" w:rsidRDefault="004C6D93" w:rsidP="00D4176A">
      <w:pPr>
        <w:pStyle w:val="ChartandTableFootnote"/>
        <w:numPr>
          <w:ilvl w:val="0"/>
          <w:numId w:val="2"/>
        </w:numPr>
        <w:tabs>
          <w:tab w:val="clear" w:pos="454"/>
          <w:tab w:val="left" w:pos="284"/>
        </w:tabs>
        <w:ind w:left="284" w:hanging="284"/>
        <w:jc w:val="left"/>
      </w:pPr>
      <w:r w:rsidRPr="004A6E35">
        <w:t xml:space="preserve">The ACMA receives funds through Special Appropriations for refunds under the PGPA Act — s77 and funding for 'Other Trust Monies' which, when used, are not expensed and therefore not included in this table. </w:t>
      </w:r>
    </w:p>
    <w:p w14:paraId="71686BB6" w14:textId="77777777" w:rsidR="004C6D93" w:rsidRDefault="004C6D93" w:rsidP="00D4176A">
      <w:pPr>
        <w:pStyle w:val="ChartandTableFootnote"/>
        <w:numPr>
          <w:ilvl w:val="0"/>
          <w:numId w:val="2"/>
        </w:numPr>
        <w:tabs>
          <w:tab w:val="clear" w:pos="454"/>
          <w:tab w:val="left" w:pos="284"/>
        </w:tabs>
        <w:ind w:left="284" w:hanging="284"/>
        <w:jc w:val="left"/>
      </w:pPr>
      <w:r w:rsidRPr="004A6E35">
        <w:t xml:space="preserve">Two Budget Measures </w:t>
      </w:r>
      <w:r>
        <w:t xml:space="preserve">providing additional funding for the </w:t>
      </w:r>
      <w:r w:rsidRPr="004A6E35">
        <w:t xml:space="preserve">Office of the </w:t>
      </w:r>
      <w:proofErr w:type="spellStart"/>
      <w:r w:rsidRPr="004A6E35">
        <w:t>eSafety</w:t>
      </w:r>
      <w:proofErr w:type="spellEnd"/>
      <w:r w:rsidRPr="004A6E35">
        <w:t xml:space="preserve"> Commissioner terminate in 2022-23.</w:t>
      </w:r>
    </w:p>
    <w:p w14:paraId="4DF911FD" w14:textId="590A49FF" w:rsidR="004C6D93" w:rsidRPr="004A6E35" w:rsidRDefault="004C6D93" w:rsidP="00D4176A">
      <w:pPr>
        <w:pStyle w:val="ChartandTableFootnote"/>
        <w:numPr>
          <w:ilvl w:val="0"/>
          <w:numId w:val="2"/>
        </w:numPr>
        <w:tabs>
          <w:tab w:val="clear" w:pos="454"/>
          <w:tab w:val="left" w:pos="284"/>
        </w:tabs>
        <w:ind w:left="284" w:hanging="284"/>
        <w:jc w:val="left"/>
      </w:pPr>
      <w:r w:rsidRPr="004A6E35">
        <w:t xml:space="preserve">Appropriations credited to the Online Safety Special Account includes </w:t>
      </w:r>
      <w:r w:rsidR="008863D9">
        <w:t>Department</w:t>
      </w:r>
      <w:r w:rsidRPr="004A6E35">
        <w:t>al Capital Budget (DCB).</w:t>
      </w:r>
    </w:p>
    <w:p w14:paraId="47868EAE" w14:textId="77777777" w:rsidR="00523B0D" w:rsidRDefault="00523B0D" w:rsidP="00D4176A">
      <w:pPr>
        <w:pStyle w:val="Source"/>
        <w:jc w:val="left"/>
        <w:rPr>
          <w:color w:val="000000"/>
          <w:lang w:val="x-none" w:eastAsia="x-none"/>
        </w:rPr>
      </w:pPr>
    </w:p>
    <w:p w14:paraId="37269BC8" w14:textId="0B6B5F52" w:rsidR="004C6D93" w:rsidRDefault="004C6D93" w:rsidP="00D4176A">
      <w:pPr>
        <w:pStyle w:val="Source"/>
        <w:jc w:val="left"/>
      </w:pPr>
      <w:r w:rsidRPr="00446612">
        <w:t xml:space="preserve">Note: </w:t>
      </w:r>
      <w:r w:rsidR="008863D9">
        <w:t>Department</w:t>
      </w:r>
      <w:r w:rsidRPr="00446612">
        <w:t>al appropriation splits and totals are indicative estimates and may change in the course of the budget year as government priorities change.</w:t>
      </w:r>
    </w:p>
    <w:p w14:paraId="43B9236D" w14:textId="77777777" w:rsidR="004C6D93" w:rsidRPr="00E51B11" w:rsidRDefault="004C6D93" w:rsidP="004C6D93">
      <w:pPr>
        <w:pStyle w:val="TableGraphic"/>
        <w:rPr>
          <w:color w:val="auto"/>
        </w:rPr>
      </w:pPr>
    </w:p>
    <w:p w14:paraId="3090E850" w14:textId="77777777" w:rsidR="004C6D93" w:rsidRPr="00BB1A14" w:rsidRDefault="004C6D93" w:rsidP="003E2528">
      <w:pPr>
        <w:pStyle w:val="TableHeading"/>
        <w:rPr>
          <w:lang w:val="en-AU"/>
        </w:rPr>
      </w:pPr>
      <w:r w:rsidRPr="00F71634">
        <w:t xml:space="preserve">Performance </w:t>
      </w:r>
      <w:r>
        <w:rPr>
          <w:lang w:val="en-AU"/>
        </w:rPr>
        <w:t>measure</w:t>
      </w:r>
      <w:r w:rsidRPr="00F71634">
        <w:t xml:space="preserve"> for Outcome </w:t>
      </w:r>
      <w:r>
        <w:rPr>
          <w:lang w:val="en-AU"/>
        </w:rPr>
        <w:t>1</w:t>
      </w:r>
    </w:p>
    <w:p w14:paraId="04C3F277" w14:textId="6116367F" w:rsidR="004C6D93" w:rsidRPr="004C6D93" w:rsidRDefault="004C6D93" w:rsidP="003E2528">
      <w:pPr>
        <w:pStyle w:val="TableGraphic"/>
        <w:jc w:val="left"/>
        <w:rPr>
          <w:i w:val="0"/>
          <w:color w:val="auto"/>
        </w:rPr>
      </w:pPr>
      <w:r w:rsidRPr="004C6D93">
        <w:rPr>
          <w:i w:val="0"/>
          <w:color w:val="auto"/>
        </w:rPr>
        <w:t xml:space="preserve">There has been no change to performance measures for Outcome 1 resulting from decisions made since the 2021-22 Budget. Details of the ACMA’s performance measures can be found in the </w:t>
      </w:r>
      <w:r w:rsidR="00360023" w:rsidRPr="004C6D93">
        <w:rPr>
          <w:i w:val="0"/>
          <w:color w:val="auto"/>
        </w:rPr>
        <w:t xml:space="preserve">2021-22 </w:t>
      </w:r>
      <w:r w:rsidRPr="004C6D93">
        <w:rPr>
          <w:i w:val="0"/>
          <w:color w:val="auto"/>
        </w:rPr>
        <w:t>Infrastructure, Transport, Regional Development and Communications PB Statements.</w:t>
      </w:r>
    </w:p>
    <w:p w14:paraId="3585DF9E" w14:textId="3DA68308" w:rsidR="00914885" w:rsidRPr="00D5737A" w:rsidRDefault="00914885" w:rsidP="000D7CE5">
      <w:pPr>
        <w:pStyle w:val="TableHeading"/>
      </w:pPr>
      <w:r>
        <w:rPr>
          <w:iCs/>
        </w:rPr>
        <w:br w:type="page"/>
      </w:r>
    </w:p>
    <w:p w14:paraId="605A90C6" w14:textId="60D9CBE0" w:rsidR="00914885" w:rsidRPr="00E41681" w:rsidRDefault="00914885" w:rsidP="00FB6A01">
      <w:pPr>
        <w:pStyle w:val="Heading2-TOCACMA"/>
      </w:pPr>
      <w:bookmarkStart w:id="401" w:name="_Toc92990351"/>
      <w:r w:rsidRPr="00E41681">
        <w:lastRenderedPageBreak/>
        <w:t>Section 3: Special account flows and budgeted financial statements</w:t>
      </w:r>
      <w:bookmarkEnd w:id="401"/>
    </w:p>
    <w:p w14:paraId="0D70F039" w14:textId="75FA89F7" w:rsidR="00914885" w:rsidRPr="004D3E2B" w:rsidRDefault="00914885" w:rsidP="00FB6A01">
      <w:pPr>
        <w:pStyle w:val="Heading3ACMA"/>
      </w:pPr>
      <w:bookmarkStart w:id="402" w:name="_Toc92990352"/>
      <w:r w:rsidRPr="004D3E2B">
        <w:t>3.1</w:t>
      </w:r>
      <w:r w:rsidRPr="004D3E2B">
        <w:tab/>
        <w:t>Special account flows</w:t>
      </w:r>
      <w:bookmarkEnd w:id="402"/>
    </w:p>
    <w:p w14:paraId="40BC6A96" w14:textId="77777777" w:rsidR="00914885" w:rsidRDefault="00914885" w:rsidP="00914885">
      <w:pPr>
        <w:pStyle w:val="Heading4"/>
      </w:pPr>
      <w:r w:rsidRPr="004928FF">
        <w:t xml:space="preserve">Estimates of </w:t>
      </w:r>
      <w:r>
        <w:t>s</w:t>
      </w:r>
      <w:r w:rsidRPr="004928FF">
        <w:t xml:space="preserve">pecial </w:t>
      </w:r>
      <w:r>
        <w:t>a</w:t>
      </w:r>
      <w:r w:rsidRPr="004928FF">
        <w:t xml:space="preserve">ccount </w:t>
      </w:r>
      <w:r>
        <w:t>f</w:t>
      </w:r>
      <w:r w:rsidRPr="004928FF">
        <w:t>lows</w:t>
      </w:r>
    </w:p>
    <w:p w14:paraId="7B4C1584" w14:textId="3DF27161" w:rsidR="000D7CE5" w:rsidRDefault="000D7CE5" w:rsidP="004643F6">
      <w:pPr>
        <w:jc w:val="left"/>
      </w:pPr>
      <w:r>
        <w:t xml:space="preserve">Special Accounts provide a means to set aside and record amounts used for specified purposes. Table 3.1 shows the expected additions (receipts) and reductions (payments) for each account used by </w:t>
      </w:r>
      <w:r w:rsidR="00CB174F" w:rsidRPr="004C031B">
        <w:t xml:space="preserve">the </w:t>
      </w:r>
      <w:r w:rsidRPr="004C031B">
        <w:t>ACMA.</w:t>
      </w:r>
      <w:r>
        <w:t xml:space="preserve"> There has been no change to the ACMA’s Special Accounts since the 2021-22 </w:t>
      </w:r>
      <w:r w:rsidR="00360023" w:rsidRPr="00ED7989">
        <w:t xml:space="preserve">Infrastructure, Transport, Regional Development and Communications </w:t>
      </w:r>
      <w:r>
        <w:t>PB Statements.</w:t>
      </w:r>
    </w:p>
    <w:p w14:paraId="52A7B1ED" w14:textId="1D450EF7" w:rsidR="000D7CE5" w:rsidRDefault="000D7CE5" w:rsidP="000D7CE5">
      <w:pPr>
        <w:pStyle w:val="TableHeading"/>
      </w:pPr>
      <w:r>
        <w:t>Table 3.1: Estimates of special account flows and balances</w:t>
      </w:r>
    </w:p>
    <w:tbl>
      <w:tblPr>
        <w:tblW w:w="7696" w:type="dxa"/>
        <w:tblLook w:val="04A0" w:firstRow="1" w:lastRow="0" w:firstColumn="1" w:lastColumn="0" w:noHBand="0" w:noVBand="1"/>
      </w:tblPr>
      <w:tblGrid>
        <w:gridCol w:w="3402"/>
        <w:gridCol w:w="866"/>
        <w:gridCol w:w="821"/>
        <w:gridCol w:w="839"/>
        <w:gridCol w:w="928"/>
        <w:gridCol w:w="840"/>
      </w:tblGrid>
      <w:tr w:rsidR="0014555F" w:rsidRPr="008F4BAD" w14:paraId="2F62487C" w14:textId="77777777" w:rsidTr="004643F6">
        <w:trPr>
          <w:trHeight w:val="403"/>
        </w:trPr>
        <w:tc>
          <w:tcPr>
            <w:tcW w:w="3402" w:type="dxa"/>
            <w:tcBorders>
              <w:top w:val="single" w:sz="4" w:space="0" w:color="auto"/>
              <w:left w:val="nil"/>
              <w:bottom w:val="nil"/>
              <w:right w:val="nil"/>
            </w:tcBorders>
            <w:shd w:val="clear" w:color="auto" w:fill="auto"/>
            <w:noWrap/>
            <w:hideMark/>
          </w:tcPr>
          <w:p w14:paraId="1D606D40" w14:textId="77777777" w:rsidR="0014555F" w:rsidRPr="008F4BAD" w:rsidRDefault="0014555F" w:rsidP="0014555F">
            <w:pPr>
              <w:spacing w:after="0" w:line="240" w:lineRule="auto"/>
              <w:jc w:val="left"/>
              <w:rPr>
                <w:rFonts w:ascii="Arial" w:hAnsi="Arial" w:cs="Arial"/>
                <w:b/>
                <w:bCs/>
                <w:color w:val="000000"/>
                <w:sz w:val="16"/>
                <w:szCs w:val="16"/>
              </w:rPr>
            </w:pPr>
            <w:r w:rsidRPr="008F4BAD">
              <w:rPr>
                <w:rFonts w:ascii="Arial" w:hAnsi="Arial" w:cs="Arial"/>
                <w:b/>
                <w:bCs/>
                <w:color w:val="000000"/>
                <w:sz w:val="16"/>
                <w:szCs w:val="16"/>
              </w:rPr>
              <w:t> </w:t>
            </w:r>
          </w:p>
        </w:tc>
        <w:tc>
          <w:tcPr>
            <w:tcW w:w="866" w:type="dxa"/>
            <w:tcBorders>
              <w:top w:val="single" w:sz="4" w:space="0" w:color="auto"/>
              <w:left w:val="nil"/>
              <w:bottom w:val="single" w:sz="4" w:space="0" w:color="000000"/>
              <w:right w:val="nil"/>
            </w:tcBorders>
            <w:shd w:val="clear" w:color="auto" w:fill="auto"/>
            <w:noWrap/>
            <w:vAlign w:val="bottom"/>
            <w:hideMark/>
          </w:tcPr>
          <w:p w14:paraId="174BF051" w14:textId="77777777" w:rsidR="0014555F" w:rsidRPr="008F4BAD" w:rsidRDefault="0014555F" w:rsidP="0014555F">
            <w:pPr>
              <w:spacing w:after="0" w:line="240" w:lineRule="auto"/>
              <w:jc w:val="center"/>
              <w:rPr>
                <w:rFonts w:ascii="Arial" w:hAnsi="Arial" w:cs="Arial"/>
                <w:color w:val="000000"/>
                <w:sz w:val="16"/>
                <w:szCs w:val="16"/>
              </w:rPr>
            </w:pPr>
            <w:r w:rsidRPr="008F4BAD">
              <w:rPr>
                <w:rFonts w:ascii="Arial" w:hAnsi="Arial" w:cs="Arial"/>
                <w:color w:val="000000"/>
                <w:sz w:val="16"/>
                <w:szCs w:val="16"/>
              </w:rPr>
              <w:t>Outcome</w:t>
            </w:r>
          </w:p>
        </w:tc>
        <w:tc>
          <w:tcPr>
            <w:tcW w:w="821" w:type="dxa"/>
            <w:tcBorders>
              <w:top w:val="single" w:sz="4" w:space="0" w:color="auto"/>
              <w:left w:val="nil"/>
              <w:bottom w:val="single" w:sz="4" w:space="0" w:color="000000"/>
              <w:right w:val="nil"/>
            </w:tcBorders>
            <w:shd w:val="clear" w:color="auto" w:fill="auto"/>
            <w:hideMark/>
          </w:tcPr>
          <w:p w14:paraId="574F1284" w14:textId="77777777" w:rsidR="0014555F" w:rsidRPr="008F4BAD" w:rsidRDefault="0014555F" w:rsidP="0014555F">
            <w:pPr>
              <w:spacing w:after="0" w:line="240" w:lineRule="auto"/>
              <w:jc w:val="right"/>
              <w:rPr>
                <w:rFonts w:ascii="Arial" w:hAnsi="Arial" w:cs="Arial"/>
                <w:color w:val="000000"/>
                <w:sz w:val="16"/>
                <w:szCs w:val="16"/>
              </w:rPr>
            </w:pPr>
            <w:r w:rsidRPr="008F4BAD">
              <w:rPr>
                <w:rFonts w:ascii="Arial" w:hAnsi="Arial" w:cs="Arial"/>
                <w:color w:val="000000"/>
                <w:sz w:val="16"/>
                <w:szCs w:val="16"/>
              </w:rPr>
              <w:t>Opening</w:t>
            </w:r>
            <w:r w:rsidRPr="008F4BAD">
              <w:rPr>
                <w:rFonts w:ascii="Arial" w:hAnsi="Arial" w:cs="Arial"/>
                <w:color w:val="000000"/>
                <w:sz w:val="16"/>
                <w:szCs w:val="16"/>
              </w:rPr>
              <w:br/>
              <w:t>balance</w:t>
            </w:r>
            <w:r w:rsidRPr="008F4BAD">
              <w:rPr>
                <w:rFonts w:ascii="Arial" w:hAnsi="Arial" w:cs="Arial"/>
                <w:color w:val="000000"/>
                <w:sz w:val="16"/>
                <w:szCs w:val="16"/>
              </w:rPr>
              <w:br/>
              <w:t>$'000</w:t>
            </w:r>
          </w:p>
        </w:tc>
        <w:tc>
          <w:tcPr>
            <w:tcW w:w="839" w:type="dxa"/>
            <w:tcBorders>
              <w:top w:val="single" w:sz="4" w:space="0" w:color="auto"/>
              <w:left w:val="nil"/>
              <w:bottom w:val="single" w:sz="4" w:space="0" w:color="000000"/>
              <w:right w:val="nil"/>
            </w:tcBorders>
            <w:shd w:val="clear" w:color="000000" w:fill="E6E6E6"/>
            <w:hideMark/>
          </w:tcPr>
          <w:p w14:paraId="5271D363" w14:textId="77777777" w:rsidR="004D26B5" w:rsidRDefault="0014555F" w:rsidP="0014555F">
            <w:pPr>
              <w:spacing w:after="0" w:line="240" w:lineRule="auto"/>
              <w:jc w:val="right"/>
              <w:rPr>
                <w:rFonts w:ascii="Arial" w:hAnsi="Arial" w:cs="Arial"/>
                <w:color w:val="000000"/>
                <w:sz w:val="16"/>
                <w:szCs w:val="16"/>
              </w:rPr>
            </w:pPr>
            <w:r w:rsidRPr="008F4BAD">
              <w:rPr>
                <w:rFonts w:ascii="Arial" w:hAnsi="Arial" w:cs="Arial"/>
                <w:color w:val="000000"/>
                <w:sz w:val="16"/>
                <w:szCs w:val="16"/>
              </w:rPr>
              <w:t>Receipts</w:t>
            </w:r>
          </w:p>
          <w:p w14:paraId="0F86298C" w14:textId="074A8F8D" w:rsidR="0014555F" w:rsidRPr="008F4BAD" w:rsidRDefault="0014555F" w:rsidP="0014555F">
            <w:pPr>
              <w:spacing w:after="0" w:line="240" w:lineRule="auto"/>
              <w:jc w:val="right"/>
              <w:rPr>
                <w:rFonts w:ascii="Arial" w:hAnsi="Arial" w:cs="Arial"/>
                <w:color w:val="000000"/>
                <w:sz w:val="16"/>
                <w:szCs w:val="16"/>
              </w:rPr>
            </w:pPr>
            <w:r w:rsidRPr="008F4BAD">
              <w:rPr>
                <w:rFonts w:ascii="Arial" w:hAnsi="Arial" w:cs="Arial"/>
                <w:color w:val="000000"/>
                <w:sz w:val="16"/>
                <w:szCs w:val="16"/>
              </w:rPr>
              <w:br/>
              <w:t>$'000</w:t>
            </w:r>
          </w:p>
        </w:tc>
        <w:tc>
          <w:tcPr>
            <w:tcW w:w="928" w:type="dxa"/>
            <w:tcBorders>
              <w:top w:val="single" w:sz="4" w:space="0" w:color="auto"/>
              <w:left w:val="nil"/>
              <w:bottom w:val="single" w:sz="4" w:space="0" w:color="000000"/>
              <w:right w:val="nil"/>
            </w:tcBorders>
            <w:shd w:val="clear" w:color="000000" w:fill="E6E6E6"/>
            <w:hideMark/>
          </w:tcPr>
          <w:p w14:paraId="78DD7855" w14:textId="77777777" w:rsidR="004D26B5" w:rsidRDefault="0014555F" w:rsidP="0014555F">
            <w:pPr>
              <w:spacing w:after="0" w:line="240" w:lineRule="auto"/>
              <w:jc w:val="right"/>
              <w:rPr>
                <w:rFonts w:ascii="Arial" w:hAnsi="Arial" w:cs="Arial"/>
                <w:color w:val="000000"/>
                <w:sz w:val="16"/>
                <w:szCs w:val="16"/>
              </w:rPr>
            </w:pPr>
            <w:r w:rsidRPr="008F4BAD">
              <w:rPr>
                <w:rFonts w:ascii="Arial" w:hAnsi="Arial" w:cs="Arial"/>
                <w:color w:val="000000"/>
                <w:sz w:val="16"/>
                <w:szCs w:val="16"/>
              </w:rPr>
              <w:t>Payments</w:t>
            </w:r>
          </w:p>
          <w:p w14:paraId="28F4A04D" w14:textId="635617D7" w:rsidR="0014555F" w:rsidRPr="008F4BAD" w:rsidRDefault="0014555F" w:rsidP="0014555F">
            <w:pPr>
              <w:spacing w:after="0" w:line="240" w:lineRule="auto"/>
              <w:jc w:val="right"/>
              <w:rPr>
                <w:rFonts w:ascii="Arial" w:hAnsi="Arial" w:cs="Arial"/>
                <w:color w:val="000000"/>
                <w:sz w:val="16"/>
                <w:szCs w:val="16"/>
              </w:rPr>
            </w:pPr>
            <w:r w:rsidRPr="008F4BAD">
              <w:rPr>
                <w:rFonts w:ascii="Arial" w:hAnsi="Arial" w:cs="Arial"/>
                <w:color w:val="000000"/>
                <w:sz w:val="16"/>
                <w:szCs w:val="16"/>
              </w:rPr>
              <w:br/>
              <w:t>$'000</w:t>
            </w:r>
          </w:p>
        </w:tc>
        <w:tc>
          <w:tcPr>
            <w:tcW w:w="840" w:type="dxa"/>
            <w:tcBorders>
              <w:top w:val="single" w:sz="4" w:space="0" w:color="auto"/>
              <w:left w:val="nil"/>
              <w:bottom w:val="single" w:sz="4" w:space="0" w:color="000000"/>
              <w:right w:val="nil"/>
            </w:tcBorders>
            <w:shd w:val="clear" w:color="000000" w:fill="E6E6E6"/>
            <w:hideMark/>
          </w:tcPr>
          <w:p w14:paraId="4BB6658A" w14:textId="77777777" w:rsidR="0014555F" w:rsidRPr="008F4BAD" w:rsidRDefault="0014555F" w:rsidP="0014555F">
            <w:pPr>
              <w:spacing w:after="0" w:line="240" w:lineRule="auto"/>
              <w:jc w:val="right"/>
              <w:rPr>
                <w:rFonts w:ascii="Arial" w:hAnsi="Arial" w:cs="Arial"/>
                <w:color w:val="000000"/>
                <w:sz w:val="16"/>
                <w:szCs w:val="16"/>
              </w:rPr>
            </w:pPr>
            <w:r w:rsidRPr="008F4BAD">
              <w:rPr>
                <w:rFonts w:ascii="Arial" w:hAnsi="Arial" w:cs="Arial"/>
                <w:color w:val="000000"/>
                <w:sz w:val="16"/>
                <w:szCs w:val="16"/>
              </w:rPr>
              <w:t>Closing</w:t>
            </w:r>
            <w:r w:rsidRPr="008F4BAD">
              <w:rPr>
                <w:rFonts w:ascii="Arial" w:hAnsi="Arial" w:cs="Arial"/>
                <w:color w:val="000000"/>
                <w:sz w:val="16"/>
                <w:szCs w:val="16"/>
              </w:rPr>
              <w:br/>
              <w:t>balance</w:t>
            </w:r>
            <w:r w:rsidRPr="008F4BAD">
              <w:rPr>
                <w:rFonts w:ascii="Arial" w:hAnsi="Arial" w:cs="Arial"/>
                <w:color w:val="000000"/>
                <w:sz w:val="16"/>
                <w:szCs w:val="16"/>
              </w:rPr>
              <w:br/>
              <w:t>$'000</w:t>
            </w:r>
          </w:p>
        </w:tc>
      </w:tr>
      <w:tr w:rsidR="0014555F" w:rsidRPr="008F4BAD" w14:paraId="1BC083EB" w14:textId="77777777" w:rsidTr="004643F6">
        <w:trPr>
          <w:trHeight w:val="204"/>
        </w:trPr>
        <w:tc>
          <w:tcPr>
            <w:tcW w:w="3402" w:type="dxa"/>
            <w:tcBorders>
              <w:top w:val="nil"/>
              <w:left w:val="nil"/>
              <w:bottom w:val="nil"/>
              <w:right w:val="nil"/>
            </w:tcBorders>
            <w:shd w:val="clear" w:color="auto" w:fill="auto"/>
            <w:vAlign w:val="center"/>
            <w:hideMark/>
          </w:tcPr>
          <w:p w14:paraId="68837F5B" w14:textId="77777777" w:rsidR="0014555F" w:rsidRPr="008F4BAD" w:rsidRDefault="0014555F" w:rsidP="0014555F">
            <w:pPr>
              <w:spacing w:after="0" w:line="240" w:lineRule="auto"/>
              <w:jc w:val="left"/>
              <w:rPr>
                <w:rFonts w:ascii="Arial" w:hAnsi="Arial" w:cs="Arial"/>
                <w:sz w:val="16"/>
                <w:szCs w:val="16"/>
              </w:rPr>
            </w:pPr>
            <w:r w:rsidRPr="008F4BAD">
              <w:rPr>
                <w:rFonts w:ascii="Arial" w:hAnsi="Arial" w:cs="Arial"/>
                <w:sz w:val="16"/>
                <w:szCs w:val="16"/>
              </w:rPr>
              <w:t>Special Account by Determination -Services and Other Entities Trust Moneys</w:t>
            </w:r>
            <w:r w:rsidRPr="00753A31">
              <w:rPr>
                <w:rFonts w:ascii="Arial" w:hAnsi="Arial" w:cs="Arial"/>
                <w:sz w:val="16"/>
                <w:szCs w:val="16"/>
              </w:rPr>
              <w:t xml:space="preserve"> (A)</w:t>
            </w:r>
          </w:p>
        </w:tc>
        <w:tc>
          <w:tcPr>
            <w:tcW w:w="866" w:type="dxa"/>
            <w:tcBorders>
              <w:top w:val="nil"/>
              <w:left w:val="nil"/>
              <w:bottom w:val="nil"/>
              <w:right w:val="nil"/>
            </w:tcBorders>
            <w:shd w:val="clear" w:color="auto" w:fill="auto"/>
            <w:noWrap/>
            <w:vAlign w:val="bottom"/>
            <w:hideMark/>
          </w:tcPr>
          <w:p w14:paraId="17B9BCBF" w14:textId="09AFA27B" w:rsidR="0014555F" w:rsidRPr="008F4BAD" w:rsidRDefault="0014555F" w:rsidP="00AA1477">
            <w:pPr>
              <w:spacing w:after="0" w:line="240" w:lineRule="auto"/>
              <w:jc w:val="center"/>
              <w:rPr>
                <w:rFonts w:ascii="Arial" w:hAnsi="Arial" w:cs="Arial"/>
                <w:color w:val="000000"/>
                <w:sz w:val="16"/>
                <w:szCs w:val="16"/>
              </w:rPr>
            </w:pPr>
            <w:r w:rsidRPr="008F4BAD">
              <w:rPr>
                <w:rFonts w:ascii="Arial" w:hAnsi="Arial" w:cs="Arial"/>
                <w:color w:val="000000"/>
                <w:sz w:val="16"/>
                <w:szCs w:val="16"/>
              </w:rPr>
              <w:t>1</w:t>
            </w:r>
          </w:p>
        </w:tc>
        <w:tc>
          <w:tcPr>
            <w:tcW w:w="821" w:type="dxa"/>
            <w:tcBorders>
              <w:top w:val="nil"/>
              <w:left w:val="nil"/>
              <w:bottom w:val="nil"/>
              <w:right w:val="nil"/>
            </w:tcBorders>
            <w:shd w:val="clear" w:color="auto" w:fill="auto"/>
            <w:noWrap/>
            <w:vAlign w:val="bottom"/>
            <w:hideMark/>
          </w:tcPr>
          <w:p w14:paraId="4B8ABA70" w14:textId="77777777" w:rsidR="0014555F" w:rsidRPr="008F4BAD" w:rsidRDefault="0014555F" w:rsidP="00AA1477">
            <w:pPr>
              <w:spacing w:after="0" w:line="240" w:lineRule="auto"/>
              <w:jc w:val="right"/>
              <w:rPr>
                <w:rFonts w:ascii="Arial" w:hAnsi="Arial" w:cs="Arial"/>
                <w:color w:val="000000"/>
                <w:sz w:val="16"/>
                <w:szCs w:val="16"/>
              </w:rPr>
            </w:pPr>
          </w:p>
        </w:tc>
        <w:tc>
          <w:tcPr>
            <w:tcW w:w="839" w:type="dxa"/>
            <w:tcBorders>
              <w:top w:val="nil"/>
              <w:left w:val="nil"/>
              <w:bottom w:val="nil"/>
              <w:right w:val="nil"/>
            </w:tcBorders>
            <w:shd w:val="clear" w:color="000000" w:fill="E6E6E6"/>
            <w:noWrap/>
            <w:vAlign w:val="bottom"/>
            <w:hideMark/>
          </w:tcPr>
          <w:p w14:paraId="241F265E" w14:textId="3DD43D80" w:rsidR="0014555F" w:rsidRPr="008F4BAD" w:rsidRDefault="0014555F" w:rsidP="00AA1477">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000000" w:fill="E6E6E6"/>
            <w:noWrap/>
            <w:vAlign w:val="bottom"/>
            <w:hideMark/>
          </w:tcPr>
          <w:p w14:paraId="5A0FA928" w14:textId="12482A73" w:rsidR="0014555F" w:rsidRPr="008F4BAD" w:rsidRDefault="0014555F" w:rsidP="00AA1477">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000000" w:fill="E6E6E6"/>
            <w:noWrap/>
            <w:vAlign w:val="bottom"/>
            <w:hideMark/>
          </w:tcPr>
          <w:p w14:paraId="25D94889" w14:textId="7591342C" w:rsidR="0014555F" w:rsidRPr="008F4BAD" w:rsidRDefault="0014555F" w:rsidP="00AA1477">
            <w:pPr>
              <w:spacing w:after="0" w:line="240" w:lineRule="auto"/>
              <w:jc w:val="right"/>
              <w:rPr>
                <w:rFonts w:ascii="Arial" w:hAnsi="Arial" w:cs="Arial"/>
                <w:color w:val="000000"/>
                <w:sz w:val="16"/>
                <w:szCs w:val="16"/>
              </w:rPr>
            </w:pPr>
          </w:p>
        </w:tc>
      </w:tr>
      <w:tr w:rsidR="0014555F" w:rsidRPr="008F4BAD" w14:paraId="0C8B450D" w14:textId="77777777" w:rsidTr="004643F6">
        <w:trPr>
          <w:trHeight w:val="204"/>
        </w:trPr>
        <w:tc>
          <w:tcPr>
            <w:tcW w:w="3402" w:type="dxa"/>
            <w:tcBorders>
              <w:top w:val="nil"/>
              <w:left w:val="nil"/>
              <w:bottom w:val="nil"/>
              <w:right w:val="nil"/>
            </w:tcBorders>
            <w:shd w:val="clear" w:color="auto" w:fill="auto"/>
            <w:noWrap/>
            <w:vAlign w:val="center"/>
            <w:hideMark/>
          </w:tcPr>
          <w:p w14:paraId="4391812C" w14:textId="77777777" w:rsidR="0014555F" w:rsidRPr="008F4BAD" w:rsidRDefault="0014555F" w:rsidP="007F4EF5">
            <w:pPr>
              <w:spacing w:after="0" w:line="240" w:lineRule="auto"/>
              <w:ind w:left="113"/>
              <w:jc w:val="left"/>
              <w:rPr>
                <w:rFonts w:ascii="Arial" w:hAnsi="Arial" w:cs="Arial"/>
                <w:b/>
                <w:bCs/>
                <w:sz w:val="16"/>
                <w:szCs w:val="16"/>
              </w:rPr>
            </w:pPr>
            <w:r w:rsidRPr="008F4BAD">
              <w:rPr>
                <w:rFonts w:ascii="Arial" w:hAnsi="Arial" w:cs="Arial"/>
                <w:b/>
                <w:bCs/>
                <w:sz w:val="16"/>
                <w:szCs w:val="16"/>
              </w:rPr>
              <w:t>2021-22</w:t>
            </w:r>
          </w:p>
        </w:tc>
        <w:tc>
          <w:tcPr>
            <w:tcW w:w="866" w:type="dxa"/>
            <w:tcBorders>
              <w:top w:val="nil"/>
              <w:left w:val="nil"/>
              <w:bottom w:val="nil"/>
              <w:right w:val="nil"/>
            </w:tcBorders>
            <w:shd w:val="clear" w:color="auto" w:fill="auto"/>
            <w:noWrap/>
            <w:vAlign w:val="bottom"/>
            <w:hideMark/>
          </w:tcPr>
          <w:p w14:paraId="401554AB" w14:textId="77777777" w:rsidR="0014555F" w:rsidRPr="008F4BAD" w:rsidRDefault="0014555F" w:rsidP="00AA1477">
            <w:pPr>
              <w:spacing w:after="0" w:line="240" w:lineRule="auto"/>
              <w:ind w:firstLineChars="100" w:firstLine="160"/>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0D5DFC3D" w14:textId="5E8B773D"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458</w:t>
            </w:r>
          </w:p>
        </w:tc>
        <w:tc>
          <w:tcPr>
            <w:tcW w:w="839" w:type="dxa"/>
            <w:tcBorders>
              <w:top w:val="nil"/>
              <w:left w:val="nil"/>
              <w:bottom w:val="nil"/>
              <w:right w:val="nil"/>
            </w:tcBorders>
            <w:shd w:val="clear" w:color="000000" w:fill="E6E6E6"/>
            <w:noWrap/>
            <w:vAlign w:val="bottom"/>
            <w:hideMark/>
          </w:tcPr>
          <w:p w14:paraId="69A27B03" w14:textId="276A57B9"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50</w:t>
            </w:r>
          </w:p>
        </w:tc>
        <w:tc>
          <w:tcPr>
            <w:tcW w:w="928" w:type="dxa"/>
            <w:tcBorders>
              <w:top w:val="nil"/>
              <w:left w:val="nil"/>
              <w:bottom w:val="nil"/>
              <w:right w:val="nil"/>
            </w:tcBorders>
            <w:shd w:val="clear" w:color="000000" w:fill="E6E6E6"/>
            <w:noWrap/>
            <w:vAlign w:val="bottom"/>
            <w:hideMark/>
          </w:tcPr>
          <w:p w14:paraId="19560D8A" w14:textId="77777777"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(50)</w:t>
            </w:r>
          </w:p>
        </w:tc>
        <w:tc>
          <w:tcPr>
            <w:tcW w:w="840" w:type="dxa"/>
            <w:tcBorders>
              <w:top w:val="nil"/>
              <w:left w:val="nil"/>
              <w:bottom w:val="nil"/>
              <w:right w:val="nil"/>
            </w:tcBorders>
            <w:shd w:val="clear" w:color="000000" w:fill="E6E6E6"/>
            <w:noWrap/>
            <w:vAlign w:val="bottom"/>
            <w:hideMark/>
          </w:tcPr>
          <w:p w14:paraId="15522CBE" w14:textId="35B411A6"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458</w:t>
            </w:r>
          </w:p>
        </w:tc>
      </w:tr>
      <w:tr w:rsidR="0014555F" w:rsidRPr="008F4BAD" w14:paraId="492E5BC2" w14:textId="77777777" w:rsidTr="004643F6">
        <w:trPr>
          <w:trHeight w:val="204"/>
        </w:trPr>
        <w:tc>
          <w:tcPr>
            <w:tcW w:w="3402" w:type="dxa"/>
            <w:tcBorders>
              <w:top w:val="nil"/>
              <w:left w:val="nil"/>
              <w:bottom w:val="nil"/>
              <w:right w:val="nil"/>
            </w:tcBorders>
            <w:shd w:val="clear" w:color="auto" w:fill="auto"/>
            <w:vAlign w:val="center"/>
            <w:hideMark/>
          </w:tcPr>
          <w:p w14:paraId="55E4B6E6" w14:textId="77777777" w:rsidR="0014555F" w:rsidRPr="008F4BAD" w:rsidRDefault="0014555F" w:rsidP="007F4EF5">
            <w:pPr>
              <w:spacing w:after="0" w:line="240" w:lineRule="auto"/>
              <w:ind w:left="113"/>
              <w:jc w:val="left"/>
              <w:rPr>
                <w:rFonts w:ascii="Arial" w:hAnsi="Arial" w:cs="Arial"/>
                <w:iCs/>
                <w:sz w:val="16"/>
                <w:szCs w:val="16"/>
              </w:rPr>
            </w:pPr>
            <w:r w:rsidRPr="008F4BAD">
              <w:rPr>
                <w:rFonts w:ascii="Arial" w:hAnsi="Arial" w:cs="Arial"/>
                <w:iCs/>
                <w:sz w:val="16"/>
                <w:szCs w:val="16"/>
              </w:rPr>
              <w:t>2020-21</w:t>
            </w:r>
          </w:p>
        </w:tc>
        <w:tc>
          <w:tcPr>
            <w:tcW w:w="866" w:type="dxa"/>
            <w:tcBorders>
              <w:top w:val="nil"/>
              <w:left w:val="nil"/>
              <w:bottom w:val="nil"/>
              <w:right w:val="nil"/>
            </w:tcBorders>
            <w:shd w:val="clear" w:color="auto" w:fill="auto"/>
            <w:noWrap/>
            <w:vAlign w:val="bottom"/>
            <w:hideMark/>
          </w:tcPr>
          <w:p w14:paraId="424971B7" w14:textId="77777777" w:rsidR="0014555F" w:rsidRPr="008F4BAD" w:rsidRDefault="0014555F" w:rsidP="00AA1477">
            <w:pPr>
              <w:spacing w:after="0" w:line="240" w:lineRule="auto"/>
              <w:ind w:firstLineChars="100" w:firstLine="160"/>
              <w:jc w:val="right"/>
              <w:rPr>
                <w:rFonts w:ascii="Arial" w:hAnsi="Arial" w:cs="Arial"/>
                <w:iCs/>
                <w:sz w:val="16"/>
                <w:szCs w:val="16"/>
              </w:rPr>
            </w:pPr>
          </w:p>
        </w:tc>
        <w:tc>
          <w:tcPr>
            <w:tcW w:w="821" w:type="dxa"/>
            <w:tcBorders>
              <w:top w:val="nil"/>
              <w:left w:val="nil"/>
              <w:bottom w:val="nil"/>
              <w:right w:val="nil"/>
            </w:tcBorders>
            <w:shd w:val="clear" w:color="auto" w:fill="auto"/>
            <w:noWrap/>
            <w:vAlign w:val="bottom"/>
            <w:hideMark/>
          </w:tcPr>
          <w:p w14:paraId="169C635B" w14:textId="5815E50B"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75</w:t>
            </w:r>
          </w:p>
        </w:tc>
        <w:tc>
          <w:tcPr>
            <w:tcW w:w="839" w:type="dxa"/>
            <w:tcBorders>
              <w:top w:val="nil"/>
              <w:left w:val="nil"/>
              <w:bottom w:val="nil"/>
              <w:right w:val="nil"/>
            </w:tcBorders>
            <w:shd w:val="clear" w:color="000000" w:fill="E6E6E6"/>
            <w:noWrap/>
            <w:vAlign w:val="bottom"/>
            <w:hideMark/>
          </w:tcPr>
          <w:p w14:paraId="089C66CA" w14:textId="5B00CBBC"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686</w:t>
            </w:r>
          </w:p>
        </w:tc>
        <w:tc>
          <w:tcPr>
            <w:tcW w:w="928" w:type="dxa"/>
            <w:tcBorders>
              <w:top w:val="nil"/>
              <w:left w:val="nil"/>
              <w:bottom w:val="nil"/>
              <w:right w:val="nil"/>
            </w:tcBorders>
            <w:shd w:val="clear" w:color="000000" w:fill="E6E6E6"/>
            <w:noWrap/>
            <w:vAlign w:val="bottom"/>
            <w:hideMark/>
          </w:tcPr>
          <w:p w14:paraId="732006DB" w14:textId="77777777"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(303)</w:t>
            </w:r>
          </w:p>
        </w:tc>
        <w:tc>
          <w:tcPr>
            <w:tcW w:w="840" w:type="dxa"/>
            <w:tcBorders>
              <w:top w:val="nil"/>
              <w:left w:val="nil"/>
              <w:bottom w:val="nil"/>
              <w:right w:val="nil"/>
            </w:tcBorders>
            <w:shd w:val="clear" w:color="000000" w:fill="E6E6E6"/>
            <w:noWrap/>
            <w:vAlign w:val="bottom"/>
            <w:hideMark/>
          </w:tcPr>
          <w:p w14:paraId="2EB3F798" w14:textId="4894C4FC"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458</w:t>
            </w:r>
          </w:p>
        </w:tc>
      </w:tr>
      <w:tr w:rsidR="0014555F" w:rsidRPr="008F4BAD" w14:paraId="6EDA203D" w14:textId="77777777" w:rsidTr="004643F6">
        <w:trPr>
          <w:trHeight w:val="204"/>
        </w:trPr>
        <w:tc>
          <w:tcPr>
            <w:tcW w:w="3402" w:type="dxa"/>
            <w:tcBorders>
              <w:top w:val="nil"/>
              <w:left w:val="nil"/>
              <w:bottom w:val="nil"/>
              <w:right w:val="nil"/>
            </w:tcBorders>
            <w:shd w:val="clear" w:color="auto" w:fill="auto"/>
            <w:vAlign w:val="center"/>
            <w:hideMark/>
          </w:tcPr>
          <w:p w14:paraId="1282FDA4" w14:textId="77777777" w:rsidR="0014555F" w:rsidRPr="008F4BAD" w:rsidRDefault="0014555F" w:rsidP="0014555F">
            <w:pPr>
              <w:spacing w:after="0" w:line="240" w:lineRule="auto"/>
              <w:jc w:val="left"/>
              <w:rPr>
                <w:rFonts w:ascii="Arial" w:hAnsi="Arial" w:cs="Arial"/>
                <w:sz w:val="16"/>
                <w:szCs w:val="16"/>
              </w:rPr>
            </w:pPr>
            <w:r w:rsidRPr="008F4BAD">
              <w:rPr>
                <w:rFonts w:ascii="Arial" w:hAnsi="Arial" w:cs="Arial"/>
                <w:sz w:val="16"/>
                <w:szCs w:val="16"/>
              </w:rPr>
              <w:t xml:space="preserve">Special Account by Act - Online Safety Special Account - s72 </w:t>
            </w:r>
            <w:r w:rsidRPr="00753A31">
              <w:rPr>
                <w:rFonts w:ascii="Arial" w:hAnsi="Arial" w:cs="Arial"/>
                <w:i/>
                <w:sz w:val="16"/>
                <w:szCs w:val="16"/>
              </w:rPr>
              <w:t>Enhancing Online Safety for Children Act 2015</w:t>
            </w:r>
            <w:r w:rsidRPr="00753A31">
              <w:rPr>
                <w:rFonts w:ascii="Arial" w:hAnsi="Arial" w:cs="Arial"/>
                <w:sz w:val="16"/>
                <w:szCs w:val="16"/>
              </w:rPr>
              <w:t xml:space="preserve"> (D)</w:t>
            </w:r>
          </w:p>
        </w:tc>
        <w:tc>
          <w:tcPr>
            <w:tcW w:w="866" w:type="dxa"/>
            <w:tcBorders>
              <w:top w:val="nil"/>
              <w:left w:val="nil"/>
              <w:bottom w:val="nil"/>
              <w:right w:val="nil"/>
            </w:tcBorders>
            <w:shd w:val="clear" w:color="auto" w:fill="auto"/>
            <w:noWrap/>
            <w:vAlign w:val="bottom"/>
            <w:hideMark/>
          </w:tcPr>
          <w:p w14:paraId="46494017" w14:textId="31F90082" w:rsidR="0014555F" w:rsidRPr="008F4BAD" w:rsidRDefault="0014555F" w:rsidP="00AA1477">
            <w:pPr>
              <w:spacing w:after="0" w:line="240" w:lineRule="auto"/>
              <w:jc w:val="center"/>
              <w:rPr>
                <w:rFonts w:ascii="Arial" w:hAnsi="Arial" w:cs="Arial"/>
                <w:color w:val="000000"/>
                <w:sz w:val="16"/>
                <w:szCs w:val="16"/>
              </w:rPr>
            </w:pPr>
            <w:r w:rsidRPr="008F4BAD">
              <w:rPr>
                <w:rFonts w:ascii="Arial" w:hAnsi="Arial" w:cs="Arial"/>
                <w:color w:val="000000"/>
                <w:sz w:val="16"/>
                <w:szCs w:val="16"/>
              </w:rPr>
              <w:t>1</w:t>
            </w:r>
          </w:p>
        </w:tc>
        <w:tc>
          <w:tcPr>
            <w:tcW w:w="821" w:type="dxa"/>
            <w:tcBorders>
              <w:top w:val="nil"/>
              <w:left w:val="nil"/>
              <w:bottom w:val="nil"/>
              <w:right w:val="nil"/>
            </w:tcBorders>
            <w:shd w:val="clear" w:color="auto" w:fill="auto"/>
            <w:noWrap/>
            <w:vAlign w:val="bottom"/>
            <w:hideMark/>
          </w:tcPr>
          <w:p w14:paraId="032C7F16" w14:textId="77777777" w:rsidR="0014555F" w:rsidRPr="008F4BAD" w:rsidRDefault="0014555F" w:rsidP="00AA1477">
            <w:pPr>
              <w:spacing w:after="0" w:line="240" w:lineRule="auto"/>
              <w:jc w:val="right"/>
              <w:rPr>
                <w:rFonts w:ascii="Arial" w:hAnsi="Arial" w:cs="Arial"/>
                <w:color w:val="000000"/>
                <w:sz w:val="16"/>
                <w:szCs w:val="16"/>
              </w:rPr>
            </w:pPr>
          </w:p>
        </w:tc>
        <w:tc>
          <w:tcPr>
            <w:tcW w:w="839" w:type="dxa"/>
            <w:tcBorders>
              <w:top w:val="nil"/>
              <w:left w:val="nil"/>
              <w:bottom w:val="nil"/>
              <w:right w:val="nil"/>
            </w:tcBorders>
            <w:shd w:val="clear" w:color="000000" w:fill="E6E6E6"/>
            <w:noWrap/>
            <w:vAlign w:val="bottom"/>
            <w:hideMark/>
          </w:tcPr>
          <w:p w14:paraId="5D142277" w14:textId="0E55E1A6" w:rsidR="0014555F" w:rsidRPr="008F4BAD" w:rsidRDefault="0014555F" w:rsidP="00AA1477">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000000" w:fill="E6E6E6"/>
            <w:noWrap/>
            <w:vAlign w:val="bottom"/>
            <w:hideMark/>
          </w:tcPr>
          <w:p w14:paraId="687B2744" w14:textId="0FBE5894" w:rsidR="0014555F" w:rsidRPr="008F4BAD" w:rsidRDefault="0014555F" w:rsidP="00AA1477">
            <w:pPr>
              <w:spacing w:after="0" w:line="240" w:lineRule="auto"/>
              <w:jc w:val="right"/>
              <w:rPr>
                <w:rFonts w:ascii="Arial" w:hAnsi="Arial" w:cs="Arial"/>
                <w:color w:val="000000"/>
                <w:sz w:val="16"/>
                <w:szCs w:val="16"/>
              </w:rPr>
            </w:pPr>
          </w:p>
        </w:tc>
        <w:tc>
          <w:tcPr>
            <w:tcW w:w="840" w:type="dxa"/>
            <w:tcBorders>
              <w:top w:val="nil"/>
              <w:left w:val="nil"/>
              <w:bottom w:val="nil"/>
              <w:right w:val="nil"/>
            </w:tcBorders>
            <w:shd w:val="clear" w:color="000000" w:fill="E6E6E6"/>
            <w:noWrap/>
            <w:vAlign w:val="bottom"/>
            <w:hideMark/>
          </w:tcPr>
          <w:p w14:paraId="579E4C18" w14:textId="1458CCE2" w:rsidR="0014555F" w:rsidRPr="008F4BAD" w:rsidRDefault="0014555F" w:rsidP="00AA1477">
            <w:pPr>
              <w:spacing w:after="0" w:line="240" w:lineRule="auto"/>
              <w:jc w:val="right"/>
              <w:rPr>
                <w:rFonts w:ascii="Arial" w:hAnsi="Arial" w:cs="Arial"/>
                <w:color w:val="000000"/>
                <w:sz w:val="16"/>
                <w:szCs w:val="16"/>
              </w:rPr>
            </w:pPr>
          </w:p>
        </w:tc>
      </w:tr>
      <w:tr w:rsidR="0014555F" w:rsidRPr="008F4BAD" w14:paraId="2E116FCE" w14:textId="77777777" w:rsidTr="004643F6">
        <w:trPr>
          <w:trHeight w:val="204"/>
        </w:trPr>
        <w:tc>
          <w:tcPr>
            <w:tcW w:w="3402" w:type="dxa"/>
            <w:tcBorders>
              <w:top w:val="nil"/>
              <w:left w:val="nil"/>
              <w:bottom w:val="nil"/>
              <w:right w:val="nil"/>
            </w:tcBorders>
            <w:shd w:val="clear" w:color="auto" w:fill="auto"/>
            <w:noWrap/>
            <w:vAlign w:val="center"/>
            <w:hideMark/>
          </w:tcPr>
          <w:p w14:paraId="4113B71A" w14:textId="77777777" w:rsidR="0014555F" w:rsidRPr="008F4BAD" w:rsidRDefault="0014555F" w:rsidP="007F4EF5">
            <w:pPr>
              <w:spacing w:after="0" w:line="240" w:lineRule="auto"/>
              <w:ind w:left="113"/>
              <w:jc w:val="left"/>
              <w:rPr>
                <w:rFonts w:ascii="Arial" w:hAnsi="Arial" w:cs="Arial"/>
                <w:b/>
                <w:bCs/>
                <w:sz w:val="16"/>
                <w:szCs w:val="16"/>
              </w:rPr>
            </w:pPr>
            <w:r w:rsidRPr="008F4BAD">
              <w:rPr>
                <w:rFonts w:ascii="Arial" w:hAnsi="Arial" w:cs="Arial"/>
                <w:b/>
                <w:bCs/>
                <w:sz w:val="16"/>
                <w:szCs w:val="16"/>
              </w:rPr>
              <w:t>2021-22</w:t>
            </w:r>
          </w:p>
        </w:tc>
        <w:tc>
          <w:tcPr>
            <w:tcW w:w="866" w:type="dxa"/>
            <w:tcBorders>
              <w:top w:val="nil"/>
              <w:left w:val="nil"/>
              <w:bottom w:val="nil"/>
              <w:right w:val="nil"/>
            </w:tcBorders>
            <w:shd w:val="clear" w:color="auto" w:fill="auto"/>
            <w:noWrap/>
            <w:vAlign w:val="bottom"/>
            <w:hideMark/>
          </w:tcPr>
          <w:p w14:paraId="2C642C80" w14:textId="77777777" w:rsidR="0014555F" w:rsidRPr="008F4BAD" w:rsidRDefault="0014555F" w:rsidP="00AA1477">
            <w:pPr>
              <w:spacing w:after="0" w:line="240" w:lineRule="auto"/>
              <w:ind w:firstLineChars="100" w:firstLine="160"/>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1A0BEBFD" w14:textId="2DB8A689"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4,453</w:t>
            </w:r>
          </w:p>
        </w:tc>
        <w:tc>
          <w:tcPr>
            <w:tcW w:w="839" w:type="dxa"/>
            <w:tcBorders>
              <w:top w:val="nil"/>
              <w:left w:val="nil"/>
              <w:bottom w:val="nil"/>
              <w:right w:val="nil"/>
            </w:tcBorders>
            <w:shd w:val="clear" w:color="000000" w:fill="E6E6E6"/>
            <w:noWrap/>
            <w:vAlign w:val="bottom"/>
            <w:hideMark/>
          </w:tcPr>
          <w:p w14:paraId="5669194F" w14:textId="1FD9A499"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44,636</w:t>
            </w:r>
          </w:p>
        </w:tc>
        <w:tc>
          <w:tcPr>
            <w:tcW w:w="928" w:type="dxa"/>
            <w:tcBorders>
              <w:top w:val="nil"/>
              <w:left w:val="nil"/>
              <w:bottom w:val="nil"/>
              <w:right w:val="nil"/>
            </w:tcBorders>
            <w:shd w:val="clear" w:color="000000" w:fill="E6E6E6"/>
            <w:noWrap/>
            <w:vAlign w:val="bottom"/>
            <w:hideMark/>
          </w:tcPr>
          <w:p w14:paraId="18FCC1B8" w14:textId="77777777"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(44,636)</w:t>
            </w:r>
          </w:p>
        </w:tc>
        <w:tc>
          <w:tcPr>
            <w:tcW w:w="840" w:type="dxa"/>
            <w:tcBorders>
              <w:top w:val="nil"/>
              <w:left w:val="nil"/>
              <w:bottom w:val="nil"/>
              <w:right w:val="nil"/>
            </w:tcBorders>
            <w:shd w:val="clear" w:color="000000" w:fill="E6E6E6"/>
            <w:noWrap/>
            <w:vAlign w:val="bottom"/>
            <w:hideMark/>
          </w:tcPr>
          <w:p w14:paraId="33A07767" w14:textId="7B8C385A"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4,453</w:t>
            </w:r>
          </w:p>
        </w:tc>
      </w:tr>
      <w:tr w:rsidR="0014555F" w:rsidRPr="008F4BAD" w14:paraId="33EB751C" w14:textId="77777777" w:rsidTr="004643F6">
        <w:trPr>
          <w:trHeight w:val="204"/>
        </w:trPr>
        <w:tc>
          <w:tcPr>
            <w:tcW w:w="3402" w:type="dxa"/>
            <w:tcBorders>
              <w:top w:val="nil"/>
              <w:left w:val="nil"/>
              <w:bottom w:val="nil"/>
              <w:right w:val="nil"/>
            </w:tcBorders>
            <w:shd w:val="clear" w:color="auto" w:fill="auto"/>
            <w:vAlign w:val="center"/>
            <w:hideMark/>
          </w:tcPr>
          <w:p w14:paraId="6DFAECF4" w14:textId="77777777" w:rsidR="0014555F" w:rsidRPr="008F4BAD" w:rsidRDefault="0014555F" w:rsidP="007F4EF5">
            <w:pPr>
              <w:spacing w:after="0" w:line="240" w:lineRule="auto"/>
              <w:ind w:left="113"/>
              <w:jc w:val="left"/>
              <w:rPr>
                <w:rFonts w:ascii="Arial" w:hAnsi="Arial" w:cs="Arial"/>
                <w:iCs/>
                <w:sz w:val="16"/>
                <w:szCs w:val="16"/>
              </w:rPr>
            </w:pPr>
            <w:r w:rsidRPr="008F4BAD">
              <w:rPr>
                <w:rFonts w:ascii="Arial" w:hAnsi="Arial" w:cs="Arial"/>
                <w:iCs/>
                <w:sz w:val="16"/>
                <w:szCs w:val="16"/>
              </w:rPr>
              <w:t>2020-21</w:t>
            </w:r>
          </w:p>
        </w:tc>
        <w:tc>
          <w:tcPr>
            <w:tcW w:w="866" w:type="dxa"/>
            <w:tcBorders>
              <w:top w:val="nil"/>
              <w:left w:val="nil"/>
              <w:bottom w:val="nil"/>
              <w:right w:val="nil"/>
            </w:tcBorders>
            <w:shd w:val="clear" w:color="auto" w:fill="auto"/>
            <w:noWrap/>
            <w:vAlign w:val="bottom"/>
            <w:hideMark/>
          </w:tcPr>
          <w:p w14:paraId="4E61328B" w14:textId="77777777" w:rsidR="0014555F" w:rsidRPr="008F4BAD" w:rsidRDefault="0014555F" w:rsidP="00AA1477">
            <w:pPr>
              <w:spacing w:after="0" w:line="240" w:lineRule="auto"/>
              <w:ind w:firstLineChars="100" w:firstLine="160"/>
              <w:jc w:val="right"/>
              <w:rPr>
                <w:rFonts w:ascii="Arial" w:hAnsi="Arial" w:cs="Arial"/>
                <w:iCs/>
                <w:sz w:val="16"/>
                <w:szCs w:val="16"/>
              </w:rPr>
            </w:pPr>
          </w:p>
        </w:tc>
        <w:tc>
          <w:tcPr>
            <w:tcW w:w="821" w:type="dxa"/>
            <w:tcBorders>
              <w:top w:val="nil"/>
              <w:left w:val="nil"/>
              <w:bottom w:val="nil"/>
              <w:right w:val="nil"/>
            </w:tcBorders>
            <w:shd w:val="clear" w:color="auto" w:fill="auto"/>
            <w:noWrap/>
            <w:vAlign w:val="bottom"/>
            <w:hideMark/>
          </w:tcPr>
          <w:p w14:paraId="01DCD98A" w14:textId="4D5ACC6E"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1,796</w:t>
            </w:r>
          </w:p>
        </w:tc>
        <w:tc>
          <w:tcPr>
            <w:tcW w:w="839" w:type="dxa"/>
            <w:tcBorders>
              <w:top w:val="nil"/>
              <w:left w:val="nil"/>
              <w:bottom w:val="nil"/>
              <w:right w:val="nil"/>
            </w:tcBorders>
            <w:shd w:val="clear" w:color="000000" w:fill="E6E6E6"/>
            <w:noWrap/>
            <w:vAlign w:val="bottom"/>
            <w:hideMark/>
          </w:tcPr>
          <w:p w14:paraId="10922AD9" w14:textId="2F617BFE"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26,254</w:t>
            </w:r>
          </w:p>
        </w:tc>
        <w:tc>
          <w:tcPr>
            <w:tcW w:w="928" w:type="dxa"/>
            <w:tcBorders>
              <w:top w:val="nil"/>
              <w:left w:val="nil"/>
              <w:bottom w:val="nil"/>
              <w:right w:val="nil"/>
            </w:tcBorders>
            <w:shd w:val="clear" w:color="000000" w:fill="E6E6E6"/>
            <w:noWrap/>
            <w:vAlign w:val="bottom"/>
            <w:hideMark/>
          </w:tcPr>
          <w:p w14:paraId="528284A6" w14:textId="77777777"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(23,597)</w:t>
            </w:r>
          </w:p>
        </w:tc>
        <w:tc>
          <w:tcPr>
            <w:tcW w:w="840" w:type="dxa"/>
            <w:tcBorders>
              <w:top w:val="nil"/>
              <w:left w:val="nil"/>
              <w:bottom w:val="nil"/>
              <w:right w:val="nil"/>
            </w:tcBorders>
            <w:shd w:val="clear" w:color="000000" w:fill="E6E6E6"/>
            <w:noWrap/>
            <w:vAlign w:val="bottom"/>
            <w:hideMark/>
          </w:tcPr>
          <w:p w14:paraId="7427BF86" w14:textId="49DE858E"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4,453</w:t>
            </w:r>
          </w:p>
        </w:tc>
      </w:tr>
      <w:tr w:rsidR="0014555F" w:rsidRPr="008F4BAD" w14:paraId="1369D1B6" w14:textId="77777777" w:rsidTr="004643F6">
        <w:trPr>
          <w:trHeight w:val="204"/>
        </w:trPr>
        <w:tc>
          <w:tcPr>
            <w:tcW w:w="3402" w:type="dxa"/>
            <w:tcBorders>
              <w:top w:val="nil"/>
              <w:left w:val="nil"/>
              <w:bottom w:val="nil"/>
              <w:right w:val="nil"/>
            </w:tcBorders>
            <w:shd w:val="clear" w:color="auto" w:fill="auto"/>
            <w:vAlign w:val="center"/>
            <w:hideMark/>
          </w:tcPr>
          <w:p w14:paraId="6AF88FB5" w14:textId="17725A1F" w:rsidR="0014555F" w:rsidRPr="008F4BAD" w:rsidRDefault="0014555F" w:rsidP="00753A31">
            <w:pPr>
              <w:spacing w:after="0" w:line="240" w:lineRule="auto"/>
              <w:jc w:val="left"/>
              <w:rPr>
                <w:rFonts w:ascii="Arial" w:hAnsi="Arial" w:cs="Arial"/>
                <w:b/>
                <w:bCs/>
                <w:color w:val="000000"/>
                <w:sz w:val="16"/>
                <w:szCs w:val="16"/>
              </w:rPr>
            </w:pPr>
            <w:r w:rsidRPr="008F4BAD">
              <w:rPr>
                <w:rFonts w:ascii="Arial" w:hAnsi="Arial" w:cs="Arial"/>
                <w:b/>
                <w:bCs/>
                <w:color w:val="000000"/>
                <w:sz w:val="16"/>
                <w:szCs w:val="16"/>
              </w:rPr>
              <w:t>Total special accounts 2021-22 estimate</w:t>
            </w:r>
          </w:p>
        </w:tc>
        <w:tc>
          <w:tcPr>
            <w:tcW w:w="866" w:type="dxa"/>
            <w:tcBorders>
              <w:top w:val="nil"/>
              <w:left w:val="nil"/>
              <w:bottom w:val="nil"/>
              <w:right w:val="nil"/>
            </w:tcBorders>
            <w:shd w:val="clear" w:color="auto" w:fill="auto"/>
            <w:noWrap/>
            <w:vAlign w:val="bottom"/>
            <w:hideMark/>
          </w:tcPr>
          <w:p w14:paraId="5CADF91B" w14:textId="77777777" w:rsidR="0014555F" w:rsidRPr="008F4BAD" w:rsidRDefault="0014555F" w:rsidP="00AA1477">
            <w:pPr>
              <w:spacing w:after="0" w:line="240" w:lineRule="auto"/>
              <w:jc w:val="right"/>
              <w:rPr>
                <w:rFonts w:ascii="Arial" w:hAnsi="Arial" w:cs="Arial"/>
                <w:b/>
                <w:bCs/>
                <w:color w:val="000000"/>
                <w:sz w:val="16"/>
                <w:szCs w:val="16"/>
              </w:rPr>
            </w:pPr>
          </w:p>
        </w:tc>
        <w:tc>
          <w:tcPr>
            <w:tcW w:w="821" w:type="dxa"/>
            <w:tcBorders>
              <w:top w:val="single" w:sz="4" w:space="0" w:color="auto"/>
              <w:left w:val="nil"/>
              <w:bottom w:val="nil"/>
              <w:right w:val="nil"/>
            </w:tcBorders>
            <w:shd w:val="clear" w:color="auto" w:fill="auto"/>
            <w:noWrap/>
            <w:vAlign w:val="bottom"/>
            <w:hideMark/>
          </w:tcPr>
          <w:p w14:paraId="193A5F72" w14:textId="78B680F5"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4,911</w:t>
            </w:r>
          </w:p>
        </w:tc>
        <w:tc>
          <w:tcPr>
            <w:tcW w:w="839" w:type="dxa"/>
            <w:tcBorders>
              <w:top w:val="single" w:sz="4" w:space="0" w:color="auto"/>
              <w:left w:val="nil"/>
              <w:bottom w:val="nil"/>
              <w:right w:val="nil"/>
            </w:tcBorders>
            <w:shd w:val="clear" w:color="000000" w:fill="E6E6E6"/>
            <w:noWrap/>
            <w:vAlign w:val="bottom"/>
            <w:hideMark/>
          </w:tcPr>
          <w:p w14:paraId="6F6C5BB2" w14:textId="0C7E382F"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44,686</w:t>
            </w:r>
          </w:p>
        </w:tc>
        <w:tc>
          <w:tcPr>
            <w:tcW w:w="928" w:type="dxa"/>
            <w:tcBorders>
              <w:top w:val="single" w:sz="4" w:space="0" w:color="auto"/>
              <w:left w:val="nil"/>
              <w:bottom w:val="nil"/>
              <w:right w:val="nil"/>
            </w:tcBorders>
            <w:shd w:val="clear" w:color="000000" w:fill="E6E6E6"/>
            <w:noWrap/>
            <w:vAlign w:val="bottom"/>
            <w:hideMark/>
          </w:tcPr>
          <w:p w14:paraId="2B06C037" w14:textId="77777777"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(44,686)</w:t>
            </w:r>
          </w:p>
        </w:tc>
        <w:tc>
          <w:tcPr>
            <w:tcW w:w="840" w:type="dxa"/>
            <w:tcBorders>
              <w:top w:val="single" w:sz="4" w:space="0" w:color="auto"/>
              <w:left w:val="nil"/>
              <w:bottom w:val="nil"/>
              <w:right w:val="nil"/>
            </w:tcBorders>
            <w:shd w:val="clear" w:color="000000" w:fill="E6E6E6"/>
            <w:noWrap/>
            <w:vAlign w:val="bottom"/>
            <w:hideMark/>
          </w:tcPr>
          <w:p w14:paraId="3D08BDE5" w14:textId="613E1C3E" w:rsidR="0014555F" w:rsidRPr="008F4BAD" w:rsidRDefault="0014555F" w:rsidP="00AA1477">
            <w:pPr>
              <w:spacing w:after="0" w:line="240" w:lineRule="auto"/>
              <w:jc w:val="right"/>
              <w:rPr>
                <w:rFonts w:ascii="Arial" w:hAnsi="Arial" w:cs="Arial"/>
                <w:b/>
                <w:bCs/>
                <w:color w:val="000000"/>
                <w:sz w:val="16"/>
                <w:szCs w:val="16"/>
              </w:rPr>
            </w:pPr>
            <w:r w:rsidRPr="008F4BAD">
              <w:rPr>
                <w:rFonts w:ascii="Arial" w:hAnsi="Arial" w:cs="Arial"/>
                <w:b/>
                <w:bCs/>
                <w:color w:val="000000"/>
                <w:sz w:val="16"/>
                <w:szCs w:val="16"/>
              </w:rPr>
              <w:t>4,911</w:t>
            </w:r>
          </w:p>
        </w:tc>
      </w:tr>
      <w:tr w:rsidR="0014555F" w:rsidRPr="008F4BAD" w14:paraId="4F271998" w14:textId="77777777" w:rsidTr="004643F6">
        <w:trPr>
          <w:trHeight w:val="204"/>
        </w:trPr>
        <w:tc>
          <w:tcPr>
            <w:tcW w:w="3402" w:type="dxa"/>
            <w:tcBorders>
              <w:top w:val="nil"/>
              <w:left w:val="nil"/>
              <w:bottom w:val="single" w:sz="4" w:space="0" w:color="000000"/>
              <w:right w:val="nil"/>
            </w:tcBorders>
            <w:shd w:val="clear" w:color="auto" w:fill="auto"/>
            <w:hideMark/>
          </w:tcPr>
          <w:p w14:paraId="5D9EEC96" w14:textId="02836879" w:rsidR="0014555F" w:rsidRPr="008F4BAD" w:rsidRDefault="0014555F" w:rsidP="007F4EF5">
            <w:pPr>
              <w:spacing w:after="0" w:line="240" w:lineRule="auto"/>
              <w:jc w:val="left"/>
              <w:rPr>
                <w:rFonts w:ascii="Arial" w:hAnsi="Arial" w:cs="Arial"/>
                <w:iCs/>
                <w:color w:val="000000"/>
                <w:sz w:val="16"/>
                <w:szCs w:val="16"/>
              </w:rPr>
            </w:pPr>
            <w:r w:rsidRPr="008F4BAD">
              <w:rPr>
                <w:rFonts w:ascii="Arial" w:hAnsi="Arial" w:cs="Arial"/>
                <w:iCs/>
                <w:color w:val="000000"/>
                <w:sz w:val="16"/>
                <w:szCs w:val="16"/>
              </w:rPr>
              <w:t>Total special accounts</w:t>
            </w:r>
            <w:r w:rsidR="007F4EF5" w:rsidRPr="008F4BAD">
              <w:rPr>
                <w:rFonts w:ascii="Arial" w:hAnsi="Arial" w:cs="Arial"/>
                <w:iCs/>
                <w:color w:val="000000"/>
                <w:sz w:val="16"/>
                <w:szCs w:val="16"/>
              </w:rPr>
              <w:t xml:space="preserve"> </w:t>
            </w:r>
            <w:r w:rsidRPr="008F4BAD">
              <w:rPr>
                <w:rFonts w:ascii="Arial" w:hAnsi="Arial" w:cs="Arial"/>
                <w:iCs/>
                <w:color w:val="000000"/>
                <w:sz w:val="16"/>
                <w:szCs w:val="16"/>
              </w:rPr>
              <w:t>2020-21 actual</w:t>
            </w:r>
          </w:p>
        </w:tc>
        <w:tc>
          <w:tcPr>
            <w:tcW w:w="866" w:type="dxa"/>
            <w:tcBorders>
              <w:top w:val="nil"/>
              <w:left w:val="nil"/>
              <w:bottom w:val="single" w:sz="4" w:space="0" w:color="000000"/>
              <w:right w:val="nil"/>
            </w:tcBorders>
            <w:shd w:val="clear" w:color="auto" w:fill="auto"/>
            <w:noWrap/>
            <w:vAlign w:val="bottom"/>
            <w:hideMark/>
          </w:tcPr>
          <w:p w14:paraId="34E71C8C" w14:textId="38953B11" w:rsidR="0014555F" w:rsidRPr="008F4BAD" w:rsidRDefault="0014555F" w:rsidP="00AA1477">
            <w:pPr>
              <w:spacing w:after="0" w:line="240" w:lineRule="auto"/>
              <w:jc w:val="right"/>
              <w:rPr>
                <w:rFonts w:ascii="Arial" w:hAnsi="Arial" w:cs="Arial"/>
                <w:color w:val="000000"/>
                <w:sz w:val="16"/>
                <w:szCs w:val="16"/>
              </w:rPr>
            </w:pPr>
          </w:p>
        </w:tc>
        <w:tc>
          <w:tcPr>
            <w:tcW w:w="821" w:type="dxa"/>
            <w:tcBorders>
              <w:top w:val="nil"/>
              <w:left w:val="nil"/>
              <w:bottom w:val="single" w:sz="4" w:space="0" w:color="auto"/>
              <w:right w:val="nil"/>
            </w:tcBorders>
            <w:shd w:val="clear" w:color="auto" w:fill="auto"/>
            <w:noWrap/>
            <w:vAlign w:val="bottom"/>
            <w:hideMark/>
          </w:tcPr>
          <w:p w14:paraId="213EE979" w14:textId="26CE6711"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1,871</w:t>
            </w:r>
          </w:p>
        </w:tc>
        <w:tc>
          <w:tcPr>
            <w:tcW w:w="839" w:type="dxa"/>
            <w:tcBorders>
              <w:top w:val="nil"/>
              <w:left w:val="nil"/>
              <w:bottom w:val="single" w:sz="4" w:space="0" w:color="auto"/>
              <w:right w:val="nil"/>
            </w:tcBorders>
            <w:shd w:val="clear" w:color="000000" w:fill="E6E6E6"/>
            <w:noWrap/>
            <w:vAlign w:val="bottom"/>
            <w:hideMark/>
          </w:tcPr>
          <w:p w14:paraId="058F8CCB" w14:textId="5754CA45"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26,940</w:t>
            </w:r>
          </w:p>
        </w:tc>
        <w:tc>
          <w:tcPr>
            <w:tcW w:w="928" w:type="dxa"/>
            <w:tcBorders>
              <w:top w:val="nil"/>
              <w:left w:val="nil"/>
              <w:bottom w:val="single" w:sz="4" w:space="0" w:color="auto"/>
              <w:right w:val="nil"/>
            </w:tcBorders>
            <w:shd w:val="clear" w:color="000000" w:fill="E6E6E6"/>
            <w:noWrap/>
            <w:vAlign w:val="bottom"/>
            <w:hideMark/>
          </w:tcPr>
          <w:p w14:paraId="6F19064F" w14:textId="77777777"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(23,900)</w:t>
            </w:r>
          </w:p>
        </w:tc>
        <w:tc>
          <w:tcPr>
            <w:tcW w:w="840" w:type="dxa"/>
            <w:tcBorders>
              <w:top w:val="nil"/>
              <w:left w:val="nil"/>
              <w:bottom w:val="single" w:sz="4" w:space="0" w:color="auto"/>
              <w:right w:val="nil"/>
            </w:tcBorders>
            <w:shd w:val="clear" w:color="000000" w:fill="E6E6E6"/>
            <w:noWrap/>
            <w:vAlign w:val="bottom"/>
            <w:hideMark/>
          </w:tcPr>
          <w:p w14:paraId="2E13F83D" w14:textId="6AE0A3C3" w:rsidR="0014555F" w:rsidRPr="008F4BAD" w:rsidRDefault="0014555F" w:rsidP="00AA1477">
            <w:pPr>
              <w:spacing w:after="0" w:line="240" w:lineRule="auto"/>
              <w:jc w:val="right"/>
              <w:rPr>
                <w:rFonts w:ascii="Arial" w:hAnsi="Arial" w:cs="Arial"/>
                <w:iCs/>
                <w:color w:val="000000"/>
                <w:sz w:val="16"/>
                <w:szCs w:val="16"/>
              </w:rPr>
            </w:pPr>
            <w:r w:rsidRPr="008F4BAD">
              <w:rPr>
                <w:rFonts w:ascii="Arial" w:hAnsi="Arial" w:cs="Arial"/>
                <w:iCs/>
                <w:color w:val="000000"/>
                <w:sz w:val="16"/>
                <w:szCs w:val="16"/>
              </w:rPr>
              <w:t>4,911</w:t>
            </w:r>
          </w:p>
        </w:tc>
      </w:tr>
    </w:tbl>
    <w:p w14:paraId="7D5BE7A7" w14:textId="33353106" w:rsidR="0014555F" w:rsidRPr="00AA1477" w:rsidRDefault="00AA1477" w:rsidP="00E51B11">
      <w:pPr>
        <w:pStyle w:val="TableGraphic"/>
        <w:spacing w:before="60"/>
        <w:ind w:right="0"/>
        <w:rPr>
          <w:rFonts w:ascii="Arial" w:hAnsi="Arial" w:cs="Arial"/>
          <w:i w:val="0"/>
          <w:color w:val="auto"/>
          <w:sz w:val="16"/>
          <w:szCs w:val="16"/>
          <w:lang w:val="x-none"/>
        </w:rPr>
      </w:pPr>
      <w:r w:rsidRPr="00AA1477">
        <w:rPr>
          <w:rFonts w:ascii="Arial" w:hAnsi="Arial" w:cs="Arial"/>
          <w:i w:val="0"/>
          <w:color w:val="auto"/>
          <w:sz w:val="16"/>
          <w:szCs w:val="16"/>
          <w:lang w:val="x-none"/>
        </w:rPr>
        <w:t>(A) = Administered</w:t>
      </w:r>
    </w:p>
    <w:p w14:paraId="1AA6720C" w14:textId="706DE185" w:rsidR="00AA1477" w:rsidRDefault="00AA1477" w:rsidP="00E51B11">
      <w:pPr>
        <w:spacing w:after="0" w:line="240" w:lineRule="auto"/>
        <w:rPr>
          <w:rFonts w:ascii="Arial" w:hAnsi="Arial" w:cs="Arial"/>
          <w:sz w:val="16"/>
          <w:szCs w:val="16"/>
          <w:lang w:val="x-none"/>
        </w:rPr>
      </w:pPr>
      <w:r w:rsidRPr="00AA1477">
        <w:rPr>
          <w:rFonts w:ascii="Arial" w:hAnsi="Arial" w:cs="Arial"/>
          <w:sz w:val="16"/>
          <w:szCs w:val="16"/>
          <w:lang w:val="x-none"/>
        </w:rPr>
        <w:t xml:space="preserve">(D) = </w:t>
      </w:r>
      <w:r w:rsidR="008863D9">
        <w:rPr>
          <w:rFonts w:ascii="Arial" w:hAnsi="Arial" w:cs="Arial"/>
          <w:sz w:val="16"/>
          <w:szCs w:val="16"/>
          <w:lang w:val="x-none"/>
        </w:rPr>
        <w:t>Department</w:t>
      </w:r>
      <w:r w:rsidRPr="00AA1477">
        <w:rPr>
          <w:rFonts w:ascii="Arial" w:hAnsi="Arial" w:cs="Arial"/>
          <w:sz w:val="16"/>
          <w:szCs w:val="16"/>
          <w:lang w:val="x-none"/>
        </w:rPr>
        <w:t>al</w:t>
      </w:r>
    </w:p>
    <w:p w14:paraId="41136D6E" w14:textId="1A969CD9" w:rsidR="0016597F" w:rsidRPr="0016597F" w:rsidRDefault="00914885" w:rsidP="00924D4F">
      <w:pPr>
        <w:pStyle w:val="Heading3ACMA"/>
        <w:spacing w:before="360"/>
      </w:pPr>
      <w:bookmarkStart w:id="403" w:name="_Toc92990353"/>
      <w:r w:rsidRPr="005554F9">
        <w:t>3.2</w:t>
      </w:r>
      <w:r>
        <w:tab/>
        <w:t>Budgeted financial statements</w:t>
      </w:r>
      <w:bookmarkEnd w:id="403"/>
    </w:p>
    <w:p w14:paraId="313D8C02" w14:textId="77777777" w:rsidR="00914885" w:rsidRPr="004928FF" w:rsidRDefault="00914885" w:rsidP="0016597F">
      <w:pPr>
        <w:pStyle w:val="Heading4"/>
        <w:spacing w:after="240"/>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2B249EE2" w14:textId="5BD9B540" w:rsidR="0016597F" w:rsidRDefault="0016597F" w:rsidP="0016597F">
      <w:pPr>
        <w:jc w:val="left"/>
      </w:pPr>
      <w:r>
        <w:t xml:space="preserve">The ACMA is budgeting for a break-even position in 2021-22, excluding depreciation and amortisation expenses, and items related to the accounting treatment of leased assets. The ACMA has been appropriated an </w:t>
      </w:r>
      <w:r w:rsidRPr="009B5A66">
        <w:t>additional $1.5 million</w:t>
      </w:r>
      <w:r w:rsidRPr="0016597F">
        <w:t xml:space="preserve"> </w:t>
      </w:r>
      <w:r>
        <w:t xml:space="preserve">in </w:t>
      </w:r>
      <w:r w:rsidR="008863D9">
        <w:t>Department</w:t>
      </w:r>
      <w:r>
        <w:t xml:space="preserve">al funding in 2021-22 for Measures and other estimates variations. This increases the total </w:t>
      </w:r>
      <w:r w:rsidR="008863D9">
        <w:t>Department</w:t>
      </w:r>
      <w:r>
        <w:t xml:space="preserve">al operating funding for the ACMA to $120.1 million in 2021-22. </w:t>
      </w:r>
    </w:p>
    <w:p w14:paraId="7E46DB96" w14:textId="77777777" w:rsidR="004643F6" w:rsidRDefault="004643F6">
      <w:pPr>
        <w:spacing w:after="0" w:line="240" w:lineRule="auto"/>
        <w:jc w:val="left"/>
        <w:rPr>
          <w:rFonts w:ascii="Arial" w:hAnsi="Arial"/>
          <w:b/>
          <w:lang w:val="x-none"/>
        </w:rPr>
      </w:pPr>
      <w:r>
        <w:br w:type="page"/>
      </w:r>
    </w:p>
    <w:p w14:paraId="6FC66BA6" w14:textId="3665E675" w:rsidR="00914885" w:rsidRPr="004928FF" w:rsidRDefault="00914885" w:rsidP="00914885">
      <w:pPr>
        <w:pStyle w:val="Heading4"/>
      </w:pPr>
      <w:r w:rsidRPr="00EC73D1">
        <w:lastRenderedPageBreak/>
        <w:t>3.2.2</w:t>
      </w:r>
      <w:r>
        <w:tab/>
      </w:r>
      <w:r w:rsidRPr="004928FF">
        <w:t xml:space="preserve">Budgeted </w:t>
      </w:r>
      <w:r>
        <w:t>f</w:t>
      </w:r>
      <w:r w:rsidRPr="004928FF">
        <w:t xml:space="preserve">inancial </w:t>
      </w:r>
      <w:r>
        <w:t>s</w:t>
      </w:r>
      <w:r w:rsidRPr="004928FF">
        <w:t>tatements</w:t>
      </w:r>
    </w:p>
    <w:p w14:paraId="1AD2D8BF" w14:textId="3A06C9BB" w:rsidR="0016597F" w:rsidRDefault="0016597F" w:rsidP="0016597F">
      <w:pPr>
        <w:pStyle w:val="TableHeading"/>
        <w:spacing w:after="120"/>
        <w:rPr>
          <w:snapToGrid w:val="0"/>
        </w:rPr>
      </w:pPr>
      <w:r w:rsidRPr="00E855E0">
        <w:t>Table</w:t>
      </w:r>
      <w:r>
        <w:t xml:space="preserve"> 3.2:</w:t>
      </w:r>
      <w:r w:rsidRPr="00E855E0">
        <w:t xml:space="preserve"> Comprehensive income statement (showing net cost of services)</w:t>
      </w:r>
      <w:r>
        <w:t xml:space="preserve"> </w:t>
      </w:r>
      <w:r>
        <w:rPr>
          <w:snapToGrid w:val="0"/>
        </w:rPr>
        <w:t>for the period ended 30 June</w:t>
      </w:r>
    </w:p>
    <w:tbl>
      <w:tblPr>
        <w:tblW w:w="7645" w:type="dxa"/>
        <w:tblLook w:val="04A0" w:firstRow="1" w:lastRow="0" w:firstColumn="1" w:lastColumn="0" w:noHBand="0" w:noVBand="1"/>
      </w:tblPr>
      <w:tblGrid>
        <w:gridCol w:w="3140"/>
        <w:gridCol w:w="901"/>
        <w:gridCol w:w="901"/>
        <w:gridCol w:w="901"/>
        <w:gridCol w:w="901"/>
        <w:gridCol w:w="901"/>
      </w:tblGrid>
      <w:tr w:rsidR="0014555F" w:rsidRPr="004349E0" w14:paraId="0F5966E2" w14:textId="77777777" w:rsidTr="004D26B5">
        <w:trPr>
          <w:trHeight w:val="357"/>
        </w:trPr>
        <w:tc>
          <w:tcPr>
            <w:tcW w:w="3140" w:type="dxa"/>
            <w:tcBorders>
              <w:top w:val="single" w:sz="4" w:space="0" w:color="auto"/>
              <w:left w:val="nil"/>
              <w:bottom w:val="nil"/>
              <w:right w:val="nil"/>
            </w:tcBorders>
            <w:shd w:val="clear" w:color="auto" w:fill="auto"/>
            <w:noWrap/>
            <w:hideMark/>
          </w:tcPr>
          <w:p w14:paraId="2D316E73"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 </w:t>
            </w:r>
          </w:p>
        </w:tc>
        <w:tc>
          <w:tcPr>
            <w:tcW w:w="901" w:type="dxa"/>
            <w:tcBorders>
              <w:top w:val="single" w:sz="4" w:space="0" w:color="auto"/>
              <w:left w:val="nil"/>
              <w:bottom w:val="single" w:sz="4" w:space="0" w:color="auto"/>
              <w:right w:val="nil"/>
            </w:tcBorders>
            <w:shd w:val="clear" w:color="auto" w:fill="auto"/>
            <w:hideMark/>
          </w:tcPr>
          <w:p w14:paraId="5C66EBEC" w14:textId="77777777" w:rsidR="0014555F" w:rsidRPr="004349E0" w:rsidRDefault="0014555F" w:rsidP="0014555F">
            <w:pPr>
              <w:spacing w:after="0" w:line="240" w:lineRule="auto"/>
              <w:jc w:val="right"/>
              <w:rPr>
                <w:rFonts w:ascii="Arial" w:hAnsi="Arial" w:cs="Arial"/>
                <w:sz w:val="16"/>
                <w:szCs w:val="16"/>
              </w:rPr>
            </w:pPr>
            <w:r w:rsidRPr="004349E0">
              <w:rPr>
                <w:rFonts w:ascii="Arial" w:hAnsi="Arial" w:cs="Arial"/>
                <w:sz w:val="16"/>
                <w:szCs w:val="16"/>
              </w:rPr>
              <w:t>2020-21 Actual</w:t>
            </w:r>
            <w:r w:rsidRPr="004349E0">
              <w:rPr>
                <w:rFonts w:ascii="Arial" w:hAnsi="Arial" w:cs="Arial"/>
                <w:sz w:val="16"/>
                <w:szCs w:val="16"/>
              </w:rPr>
              <w:br/>
            </w:r>
            <w:r w:rsidRPr="004349E0">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E6E6E6"/>
            <w:hideMark/>
          </w:tcPr>
          <w:p w14:paraId="7375A046" w14:textId="77777777" w:rsidR="0014555F" w:rsidRPr="004349E0" w:rsidRDefault="0014555F" w:rsidP="0014555F">
            <w:pPr>
              <w:spacing w:after="0" w:line="240" w:lineRule="auto"/>
              <w:jc w:val="right"/>
              <w:rPr>
                <w:rFonts w:ascii="Arial" w:hAnsi="Arial" w:cs="Arial"/>
                <w:sz w:val="16"/>
                <w:szCs w:val="16"/>
              </w:rPr>
            </w:pPr>
            <w:r w:rsidRPr="004349E0">
              <w:rPr>
                <w:rFonts w:ascii="Arial" w:hAnsi="Arial" w:cs="Arial"/>
                <w:sz w:val="16"/>
                <w:szCs w:val="16"/>
              </w:rPr>
              <w:t>2021-22</w:t>
            </w:r>
            <w:r w:rsidRPr="004349E0">
              <w:rPr>
                <w:rFonts w:ascii="Arial" w:hAnsi="Arial" w:cs="Arial"/>
                <w:sz w:val="16"/>
                <w:szCs w:val="16"/>
              </w:rPr>
              <w:br/>
              <w:t>Revised Budget</w:t>
            </w:r>
            <w:r w:rsidRPr="004349E0">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0292965E" w14:textId="77777777" w:rsidR="0014555F" w:rsidRPr="004349E0" w:rsidRDefault="0014555F" w:rsidP="0014555F">
            <w:pPr>
              <w:spacing w:after="0" w:line="240" w:lineRule="auto"/>
              <w:jc w:val="right"/>
              <w:rPr>
                <w:rFonts w:ascii="Arial" w:hAnsi="Arial" w:cs="Arial"/>
                <w:sz w:val="16"/>
                <w:szCs w:val="16"/>
              </w:rPr>
            </w:pPr>
            <w:r w:rsidRPr="004349E0">
              <w:rPr>
                <w:rFonts w:ascii="Arial" w:hAnsi="Arial" w:cs="Arial"/>
                <w:sz w:val="16"/>
                <w:szCs w:val="16"/>
              </w:rPr>
              <w:t>2022-23 Forward estimate</w:t>
            </w:r>
            <w:r w:rsidRPr="004349E0">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4C9F4E38" w14:textId="77777777" w:rsidR="0014555F" w:rsidRPr="004349E0" w:rsidRDefault="0014555F" w:rsidP="0014555F">
            <w:pPr>
              <w:spacing w:after="0" w:line="240" w:lineRule="auto"/>
              <w:jc w:val="right"/>
              <w:rPr>
                <w:rFonts w:ascii="Arial" w:hAnsi="Arial" w:cs="Arial"/>
                <w:sz w:val="16"/>
                <w:szCs w:val="16"/>
              </w:rPr>
            </w:pPr>
            <w:r w:rsidRPr="004349E0">
              <w:rPr>
                <w:rFonts w:ascii="Arial" w:hAnsi="Arial" w:cs="Arial"/>
                <w:sz w:val="16"/>
                <w:szCs w:val="16"/>
              </w:rPr>
              <w:t>2023-24 Forward estimate</w:t>
            </w:r>
            <w:r w:rsidRPr="004349E0">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16888B6C" w14:textId="77777777" w:rsidR="0014555F" w:rsidRPr="004349E0" w:rsidRDefault="0014555F" w:rsidP="0014555F">
            <w:pPr>
              <w:spacing w:after="0" w:line="240" w:lineRule="auto"/>
              <w:jc w:val="right"/>
              <w:rPr>
                <w:rFonts w:ascii="Arial" w:hAnsi="Arial" w:cs="Arial"/>
                <w:sz w:val="16"/>
                <w:szCs w:val="16"/>
              </w:rPr>
            </w:pPr>
            <w:r w:rsidRPr="004349E0">
              <w:rPr>
                <w:rFonts w:ascii="Arial" w:hAnsi="Arial" w:cs="Arial"/>
                <w:sz w:val="16"/>
                <w:szCs w:val="16"/>
              </w:rPr>
              <w:t>2024-25</w:t>
            </w:r>
            <w:r w:rsidRPr="004349E0">
              <w:rPr>
                <w:rFonts w:ascii="Arial" w:hAnsi="Arial" w:cs="Arial"/>
                <w:sz w:val="16"/>
                <w:szCs w:val="16"/>
              </w:rPr>
              <w:br/>
              <w:t>Forward estimate</w:t>
            </w:r>
            <w:r w:rsidRPr="004349E0">
              <w:rPr>
                <w:rFonts w:ascii="Arial" w:hAnsi="Arial" w:cs="Arial"/>
                <w:sz w:val="16"/>
                <w:szCs w:val="16"/>
              </w:rPr>
              <w:br/>
              <w:t>$'000</w:t>
            </w:r>
          </w:p>
        </w:tc>
      </w:tr>
      <w:tr w:rsidR="0014555F" w:rsidRPr="004349E0" w14:paraId="5774798C" w14:textId="77777777" w:rsidTr="004D26B5">
        <w:trPr>
          <w:trHeight w:val="204"/>
        </w:trPr>
        <w:tc>
          <w:tcPr>
            <w:tcW w:w="3140" w:type="dxa"/>
            <w:tcBorders>
              <w:top w:val="nil"/>
              <w:left w:val="nil"/>
              <w:bottom w:val="nil"/>
              <w:right w:val="nil"/>
            </w:tcBorders>
            <w:shd w:val="clear" w:color="auto" w:fill="auto"/>
            <w:noWrap/>
            <w:hideMark/>
          </w:tcPr>
          <w:p w14:paraId="73CCABDD"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EXPENSES</w:t>
            </w:r>
          </w:p>
        </w:tc>
        <w:tc>
          <w:tcPr>
            <w:tcW w:w="901" w:type="dxa"/>
            <w:tcBorders>
              <w:top w:val="nil"/>
              <w:left w:val="nil"/>
              <w:bottom w:val="nil"/>
              <w:right w:val="nil"/>
            </w:tcBorders>
            <w:shd w:val="clear" w:color="auto" w:fill="auto"/>
            <w:noWrap/>
            <w:vAlign w:val="bottom"/>
            <w:hideMark/>
          </w:tcPr>
          <w:p w14:paraId="0DEA2D3B"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6BD5F24B" w14:textId="51F451EA"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09BD1A7D"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36ADEEF9" w14:textId="77777777" w:rsidR="0014555F" w:rsidRPr="004349E0" w:rsidRDefault="0014555F" w:rsidP="00AA147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49B59DD3"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598FB54C" w14:textId="77777777" w:rsidTr="004D26B5">
        <w:trPr>
          <w:trHeight w:val="204"/>
        </w:trPr>
        <w:tc>
          <w:tcPr>
            <w:tcW w:w="3140" w:type="dxa"/>
            <w:tcBorders>
              <w:top w:val="nil"/>
              <w:left w:val="nil"/>
              <w:bottom w:val="nil"/>
              <w:right w:val="nil"/>
            </w:tcBorders>
            <w:shd w:val="clear" w:color="auto" w:fill="auto"/>
            <w:noWrap/>
            <w:vAlign w:val="bottom"/>
            <w:hideMark/>
          </w:tcPr>
          <w:p w14:paraId="2A67DE28" w14:textId="77777777" w:rsidR="0014555F" w:rsidRPr="004349E0" w:rsidRDefault="0014555F" w:rsidP="009039A2">
            <w:pPr>
              <w:spacing w:after="0" w:line="240" w:lineRule="auto"/>
              <w:ind w:left="113"/>
              <w:jc w:val="left"/>
              <w:rPr>
                <w:rFonts w:ascii="Arial" w:hAnsi="Arial" w:cs="Arial"/>
                <w:sz w:val="16"/>
                <w:szCs w:val="16"/>
              </w:rPr>
            </w:pPr>
            <w:r w:rsidRPr="004349E0">
              <w:rPr>
                <w:rFonts w:ascii="Arial" w:hAnsi="Arial" w:cs="Arial"/>
                <w:sz w:val="16"/>
                <w:szCs w:val="16"/>
              </w:rPr>
              <w:t>Employee benefits</w:t>
            </w:r>
          </w:p>
        </w:tc>
        <w:tc>
          <w:tcPr>
            <w:tcW w:w="901" w:type="dxa"/>
            <w:tcBorders>
              <w:top w:val="nil"/>
              <w:left w:val="nil"/>
              <w:bottom w:val="nil"/>
              <w:right w:val="nil"/>
            </w:tcBorders>
            <w:shd w:val="clear" w:color="auto" w:fill="auto"/>
            <w:noWrap/>
            <w:vAlign w:val="bottom"/>
            <w:hideMark/>
          </w:tcPr>
          <w:p w14:paraId="6DC26664" w14:textId="24F762CA"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62,058</w:t>
            </w:r>
          </w:p>
        </w:tc>
        <w:tc>
          <w:tcPr>
            <w:tcW w:w="901" w:type="dxa"/>
            <w:tcBorders>
              <w:top w:val="nil"/>
              <w:left w:val="nil"/>
              <w:bottom w:val="nil"/>
              <w:right w:val="nil"/>
            </w:tcBorders>
            <w:shd w:val="clear" w:color="000000" w:fill="E6E6E6"/>
            <w:noWrap/>
            <w:vAlign w:val="bottom"/>
            <w:hideMark/>
          </w:tcPr>
          <w:p w14:paraId="55DEFD91" w14:textId="41959E9F"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72,850</w:t>
            </w:r>
          </w:p>
        </w:tc>
        <w:tc>
          <w:tcPr>
            <w:tcW w:w="901" w:type="dxa"/>
            <w:tcBorders>
              <w:top w:val="nil"/>
              <w:left w:val="nil"/>
              <w:bottom w:val="nil"/>
              <w:right w:val="nil"/>
            </w:tcBorders>
            <w:shd w:val="clear" w:color="auto" w:fill="auto"/>
            <w:noWrap/>
            <w:vAlign w:val="bottom"/>
            <w:hideMark/>
          </w:tcPr>
          <w:p w14:paraId="66B28B99" w14:textId="23F31F4B"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74,478</w:t>
            </w:r>
          </w:p>
        </w:tc>
        <w:tc>
          <w:tcPr>
            <w:tcW w:w="901" w:type="dxa"/>
            <w:tcBorders>
              <w:top w:val="nil"/>
              <w:left w:val="nil"/>
              <w:bottom w:val="nil"/>
              <w:right w:val="nil"/>
            </w:tcBorders>
            <w:shd w:val="clear" w:color="auto" w:fill="auto"/>
            <w:noWrap/>
            <w:vAlign w:val="bottom"/>
            <w:hideMark/>
          </w:tcPr>
          <w:p w14:paraId="6AA26A4F" w14:textId="41043871"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57,568</w:t>
            </w:r>
          </w:p>
        </w:tc>
        <w:tc>
          <w:tcPr>
            <w:tcW w:w="901" w:type="dxa"/>
            <w:tcBorders>
              <w:top w:val="nil"/>
              <w:left w:val="nil"/>
              <w:bottom w:val="nil"/>
              <w:right w:val="nil"/>
            </w:tcBorders>
            <w:shd w:val="clear" w:color="auto" w:fill="auto"/>
            <w:noWrap/>
            <w:vAlign w:val="bottom"/>
            <w:hideMark/>
          </w:tcPr>
          <w:p w14:paraId="73D550F5" w14:textId="59F629BB"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57,569</w:t>
            </w:r>
          </w:p>
        </w:tc>
      </w:tr>
      <w:tr w:rsidR="0014555F" w:rsidRPr="004349E0" w14:paraId="25C6963E" w14:textId="77777777" w:rsidTr="004D26B5">
        <w:trPr>
          <w:trHeight w:val="204"/>
        </w:trPr>
        <w:tc>
          <w:tcPr>
            <w:tcW w:w="3140" w:type="dxa"/>
            <w:tcBorders>
              <w:top w:val="nil"/>
              <w:left w:val="nil"/>
              <w:bottom w:val="nil"/>
              <w:right w:val="nil"/>
            </w:tcBorders>
            <w:shd w:val="clear" w:color="auto" w:fill="auto"/>
            <w:noWrap/>
            <w:vAlign w:val="bottom"/>
            <w:hideMark/>
          </w:tcPr>
          <w:p w14:paraId="792B0CD5" w14:textId="77777777" w:rsidR="0014555F" w:rsidRPr="004349E0" w:rsidRDefault="0014555F" w:rsidP="009039A2">
            <w:pPr>
              <w:spacing w:after="0" w:line="240" w:lineRule="auto"/>
              <w:ind w:left="113"/>
              <w:jc w:val="left"/>
              <w:rPr>
                <w:rFonts w:ascii="Arial" w:hAnsi="Arial" w:cs="Arial"/>
                <w:sz w:val="16"/>
                <w:szCs w:val="16"/>
              </w:rPr>
            </w:pPr>
            <w:r w:rsidRPr="004349E0">
              <w:rPr>
                <w:rFonts w:ascii="Arial" w:hAnsi="Arial" w:cs="Arial"/>
                <w:sz w:val="16"/>
                <w:szCs w:val="16"/>
              </w:rPr>
              <w:t>Suppliers</w:t>
            </w:r>
          </w:p>
        </w:tc>
        <w:tc>
          <w:tcPr>
            <w:tcW w:w="901" w:type="dxa"/>
            <w:tcBorders>
              <w:top w:val="nil"/>
              <w:left w:val="nil"/>
              <w:bottom w:val="nil"/>
              <w:right w:val="nil"/>
            </w:tcBorders>
            <w:shd w:val="clear" w:color="auto" w:fill="auto"/>
            <w:noWrap/>
            <w:vAlign w:val="bottom"/>
            <w:hideMark/>
          </w:tcPr>
          <w:p w14:paraId="03983A9F" w14:textId="53ABCD3D"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32,883</w:t>
            </w:r>
          </w:p>
        </w:tc>
        <w:tc>
          <w:tcPr>
            <w:tcW w:w="901" w:type="dxa"/>
            <w:tcBorders>
              <w:top w:val="nil"/>
              <w:left w:val="nil"/>
              <w:bottom w:val="nil"/>
              <w:right w:val="nil"/>
            </w:tcBorders>
            <w:shd w:val="clear" w:color="000000" w:fill="E6E6E6"/>
            <w:noWrap/>
            <w:vAlign w:val="bottom"/>
            <w:hideMark/>
          </w:tcPr>
          <w:p w14:paraId="020DA754" w14:textId="00ED82FE"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41,491</w:t>
            </w:r>
          </w:p>
        </w:tc>
        <w:tc>
          <w:tcPr>
            <w:tcW w:w="901" w:type="dxa"/>
            <w:tcBorders>
              <w:top w:val="nil"/>
              <w:left w:val="nil"/>
              <w:bottom w:val="nil"/>
              <w:right w:val="nil"/>
            </w:tcBorders>
            <w:shd w:val="clear" w:color="auto" w:fill="auto"/>
            <w:noWrap/>
            <w:vAlign w:val="bottom"/>
            <w:hideMark/>
          </w:tcPr>
          <w:p w14:paraId="60D8F284" w14:textId="32C6F7FB"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40,722</w:t>
            </w:r>
          </w:p>
        </w:tc>
        <w:tc>
          <w:tcPr>
            <w:tcW w:w="901" w:type="dxa"/>
            <w:tcBorders>
              <w:top w:val="nil"/>
              <w:left w:val="nil"/>
              <w:bottom w:val="nil"/>
              <w:right w:val="nil"/>
            </w:tcBorders>
            <w:shd w:val="clear" w:color="auto" w:fill="auto"/>
            <w:noWrap/>
            <w:vAlign w:val="bottom"/>
            <w:hideMark/>
          </w:tcPr>
          <w:p w14:paraId="7DDCAA36" w14:textId="16242A62"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25,851</w:t>
            </w:r>
          </w:p>
        </w:tc>
        <w:tc>
          <w:tcPr>
            <w:tcW w:w="901" w:type="dxa"/>
            <w:tcBorders>
              <w:top w:val="nil"/>
              <w:left w:val="nil"/>
              <w:bottom w:val="nil"/>
              <w:right w:val="nil"/>
            </w:tcBorders>
            <w:shd w:val="clear" w:color="auto" w:fill="auto"/>
            <w:noWrap/>
            <w:vAlign w:val="bottom"/>
            <w:hideMark/>
          </w:tcPr>
          <w:p w14:paraId="157ADEEB" w14:textId="047ABA8C"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25,448</w:t>
            </w:r>
          </w:p>
        </w:tc>
      </w:tr>
      <w:tr w:rsidR="0014555F" w:rsidRPr="004349E0" w14:paraId="03D5A8AD" w14:textId="77777777" w:rsidTr="004D26B5">
        <w:trPr>
          <w:trHeight w:val="204"/>
        </w:trPr>
        <w:tc>
          <w:tcPr>
            <w:tcW w:w="3140" w:type="dxa"/>
            <w:tcBorders>
              <w:top w:val="nil"/>
              <w:left w:val="nil"/>
              <w:bottom w:val="nil"/>
              <w:right w:val="nil"/>
            </w:tcBorders>
            <w:shd w:val="clear" w:color="auto" w:fill="auto"/>
            <w:noWrap/>
            <w:vAlign w:val="bottom"/>
            <w:hideMark/>
          </w:tcPr>
          <w:p w14:paraId="4E7E9D31" w14:textId="77777777" w:rsidR="0014555F" w:rsidRPr="004349E0" w:rsidRDefault="0014555F" w:rsidP="009039A2">
            <w:pPr>
              <w:spacing w:after="0" w:line="240" w:lineRule="auto"/>
              <w:ind w:left="113"/>
              <w:jc w:val="left"/>
              <w:rPr>
                <w:rFonts w:ascii="Arial" w:hAnsi="Arial" w:cs="Arial"/>
                <w:sz w:val="16"/>
                <w:szCs w:val="16"/>
              </w:rPr>
            </w:pPr>
            <w:r w:rsidRPr="004349E0">
              <w:rPr>
                <w:rFonts w:ascii="Arial" w:hAnsi="Arial" w:cs="Arial"/>
                <w:sz w:val="16"/>
                <w:szCs w:val="16"/>
              </w:rPr>
              <w:t xml:space="preserve">Depreciation and amortisation </w:t>
            </w:r>
            <w:r w:rsidRPr="004349E0">
              <w:rPr>
                <w:rFonts w:ascii="Arial" w:hAnsi="Arial" w:cs="Arial"/>
                <w:sz w:val="16"/>
                <w:szCs w:val="16"/>
                <w:vertAlign w:val="superscript"/>
              </w:rPr>
              <w:t>(a)</w:t>
            </w:r>
          </w:p>
        </w:tc>
        <w:tc>
          <w:tcPr>
            <w:tcW w:w="901" w:type="dxa"/>
            <w:tcBorders>
              <w:top w:val="nil"/>
              <w:left w:val="nil"/>
              <w:bottom w:val="nil"/>
              <w:right w:val="nil"/>
            </w:tcBorders>
            <w:shd w:val="clear" w:color="auto" w:fill="auto"/>
            <w:noWrap/>
            <w:vAlign w:val="bottom"/>
            <w:hideMark/>
          </w:tcPr>
          <w:p w14:paraId="6A614461" w14:textId="73534CE2"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16,518</w:t>
            </w:r>
          </w:p>
        </w:tc>
        <w:tc>
          <w:tcPr>
            <w:tcW w:w="901" w:type="dxa"/>
            <w:tcBorders>
              <w:top w:val="nil"/>
              <w:left w:val="nil"/>
              <w:bottom w:val="nil"/>
              <w:right w:val="nil"/>
            </w:tcBorders>
            <w:shd w:val="clear" w:color="000000" w:fill="E6E6E6"/>
            <w:noWrap/>
            <w:vAlign w:val="bottom"/>
            <w:hideMark/>
          </w:tcPr>
          <w:p w14:paraId="30892670" w14:textId="5DB96F40"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17,199</w:t>
            </w:r>
          </w:p>
        </w:tc>
        <w:tc>
          <w:tcPr>
            <w:tcW w:w="901" w:type="dxa"/>
            <w:tcBorders>
              <w:top w:val="nil"/>
              <w:left w:val="nil"/>
              <w:bottom w:val="nil"/>
              <w:right w:val="nil"/>
            </w:tcBorders>
            <w:shd w:val="clear" w:color="auto" w:fill="auto"/>
            <w:noWrap/>
            <w:vAlign w:val="bottom"/>
            <w:hideMark/>
          </w:tcPr>
          <w:p w14:paraId="1894716E" w14:textId="2DEDD71F"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16,940</w:t>
            </w:r>
          </w:p>
        </w:tc>
        <w:tc>
          <w:tcPr>
            <w:tcW w:w="901" w:type="dxa"/>
            <w:tcBorders>
              <w:top w:val="nil"/>
              <w:left w:val="nil"/>
              <w:bottom w:val="nil"/>
              <w:right w:val="nil"/>
            </w:tcBorders>
            <w:shd w:val="clear" w:color="auto" w:fill="auto"/>
            <w:noWrap/>
            <w:vAlign w:val="bottom"/>
            <w:hideMark/>
          </w:tcPr>
          <w:p w14:paraId="11D03B2B" w14:textId="1862972E"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16,940</w:t>
            </w:r>
          </w:p>
        </w:tc>
        <w:tc>
          <w:tcPr>
            <w:tcW w:w="901" w:type="dxa"/>
            <w:tcBorders>
              <w:top w:val="nil"/>
              <w:left w:val="nil"/>
              <w:bottom w:val="nil"/>
              <w:right w:val="nil"/>
            </w:tcBorders>
            <w:shd w:val="clear" w:color="auto" w:fill="auto"/>
            <w:noWrap/>
            <w:vAlign w:val="bottom"/>
            <w:hideMark/>
          </w:tcPr>
          <w:p w14:paraId="7C7A888E" w14:textId="194E8E2A"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16,940</w:t>
            </w:r>
          </w:p>
        </w:tc>
      </w:tr>
      <w:tr w:rsidR="0014555F" w:rsidRPr="004349E0" w14:paraId="7FE5C347" w14:textId="77777777" w:rsidTr="004D26B5">
        <w:trPr>
          <w:trHeight w:val="204"/>
        </w:trPr>
        <w:tc>
          <w:tcPr>
            <w:tcW w:w="3140" w:type="dxa"/>
            <w:tcBorders>
              <w:top w:val="nil"/>
              <w:left w:val="nil"/>
              <w:bottom w:val="nil"/>
              <w:right w:val="nil"/>
            </w:tcBorders>
            <w:shd w:val="clear" w:color="auto" w:fill="auto"/>
            <w:noWrap/>
            <w:vAlign w:val="bottom"/>
            <w:hideMark/>
          </w:tcPr>
          <w:p w14:paraId="36B49657" w14:textId="77777777" w:rsidR="0014555F" w:rsidRPr="004349E0" w:rsidRDefault="0014555F" w:rsidP="009039A2">
            <w:pPr>
              <w:spacing w:after="0" w:line="240" w:lineRule="auto"/>
              <w:ind w:left="113"/>
              <w:jc w:val="left"/>
              <w:rPr>
                <w:rFonts w:ascii="Arial" w:hAnsi="Arial" w:cs="Arial"/>
                <w:sz w:val="16"/>
                <w:szCs w:val="16"/>
              </w:rPr>
            </w:pPr>
            <w:r w:rsidRPr="004349E0">
              <w:rPr>
                <w:rFonts w:ascii="Arial" w:hAnsi="Arial" w:cs="Arial"/>
                <w:sz w:val="16"/>
                <w:szCs w:val="16"/>
              </w:rPr>
              <w:t>Finance costs</w:t>
            </w:r>
          </w:p>
        </w:tc>
        <w:tc>
          <w:tcPr>
            <w:tcW w:w="901" w:type="dxa"/>
            <w:tcBorders>
              <w:top w:val="nil"/>
              <w:left w:val="nil"/>
              <w:bottom w:val="nil"/>
              <w:right w:val="nil"/>
            </w:tcBorders>
            <w:shd w:val="clear" w:color="auto" w:fill="auto"/>
            <w:noWrap/>
            <w:vAlign w:val="bottom"/>
            <w:hideMark/>
          </w:tcPr>
          <w:p w14:paraId="48F868DD" w14:textId="75B09B8D"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780</w:t>
            </w:r>
          </w:p>
        </w:tc>
        <w:tc>
          <w:tcPr>
            <w:tcW w:w="901" w:type="dxa"/>
            <w:tcBorders>
              <w:top w:val="nil"/>
              <w:left w:val="nil"/>
              <w:bottom w:val="nil"/>
              <w:right w:val="nil"/>
            </w:tcBorders>
            <w:shd w:val="clear" w:color="000000" w:fill="E6E6E6"/>
            <w:noWrap/>
            <w:vAlign w:val="bottom"/>
            <w:hideMark/>
          </w:tcPr>
          <w:p w14:paraId="7CDBB747" w14:textId="134C5634"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598</w:t>
            </w:r>
          </w:p>
        </w:tc>
        <w:tc>
          <w:tcPr>
            <w:tcW w:w="901" w:type="dxa"/>
            <w:tcBorders>
              <w:top w:val="nil"/>
              <w:left w:val="nil"/>
              <w:bottom w:val="nil"/>
              <w:right w:val="nil"/>
            </w:tcBorders>
            <w:shd w:val="clear" w:color="auto" w:fill="auto"/>
            <w:noWrap/>
            <w:vAlign w:val="bottom"/>
            <w:hideMark/>
          </w:tcPr>
          <w:p w14:paraId="14132C8F" w14:textId="7293C49B"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532</w:t>
            </w:r>
          </w:p>
        </w:tc>
        <w:tc>
          <w:tcPr>
            <w:tcW w:w="901" w:type="dxa"/>
            <w:tcBorders>
              <w:top w:val="nil"/>
              <w:left w:val="nil"/>
              <w:bottom w:val="nil"/>
              <w:right w:val="nil"/>
            </w:tcBorders>
            <w:shd w:val="clear" w:color="auto" w:fill="auto"/>
            <w:noWrap/>
            <w:vAlign w:val="bottom"/>
            <w:hideMark/>
          </w:tcPr>
          <w:p w14:paraId="3EA136E7" w14:textId="29EA6599"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463</w:t>
            </w:r>
          </w:p>
        </w:tc>
        <w:tc>
          <w:tcPr>
            <w:tcW w:w="901" w:type="dxa"/>
            <w:tcBorders>
              <w:top w:val="nil"/>
              <w:left w:val="nil"/>
              <w:bottom w:val="nil"/>
              <w:right w:val="nil"/>
            </w:tcBorders>
            <w:shd w:val="clear" w:color="auto" w:fill="auto"/>
            <w:noWrap/>
            <w:vAlign w:val="bottom"/>
            <w:hideMark/>
          </w:tcPr>
          <w:p w14:paraId="49C4044C" w14:textId="204858A7"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391</w:t>
            </w:r>
          </w:p>
        </w:tc>
      </w:tr>
      <w:tr w:rsidR="0014555F" w:rsidRPr="004349E0" w14:paraId="1B7C06D6" w14:textId="77777777" w:rsidTr="004D26B5">
        <w:trPr>
          <w:trHeight w:val="204"/>
        </w:trPr>
        <w:tc>
          <w:tcPr>
            <w:tcW w:w="3140" w:type="dxa"/>
            <w:tcBorders>
              <w:top w:val="nil"/>
              <w:left w:val="nil"/>
              <w:bottom w:val="nil"/>
              <w:right w:val="nil"/>
            </w:tcBorders>
            <w:shd w:val="clear" w:color="auto" w:fill="auto"/>
            <w:noWrap/>
            <w:vAlign w:val="bottom"/>
            <w:hideMark/>
          </w:tcPr>
          <w:p w14:paraId="2C817BAC" w14:textId="77777777" w:rsidR="0014555F" w:rsidRPr="004349E0" w:rsidRDefault="0014555F" w:rsidP="009039A2">
            <w:pPr>
              <w:spacing w:after="0" w:line="240" w:lineRule="auto"/>
              <w:ind w:left="113"/>
              <w:jc w:val="left"/>
              <w:rPr>
                <w:rFonts w:ascii="Arial" w:hAnsi="Arial" w:cs="Arial"/>
                <w:sz w:val="16"/>
                <w:szCs w:val="16"/>
              </w:rPr>
            </w:pPr>
            <w:r w:rsidRPr="004349E0">
              <w:rPr>
                <w:rFonts w:ascii="Arial" w:hAnsi="Arial" w:cs="Arial"/>
                <w:sz w:val="16"/>
                <w:szCs w:val="16"/>
              </w:rPr>
              <w:t>Write-down and impairment of assets</w:t>
            </w:r>
          </w:p>
        </w:tc>
        <w:tc>
          <w:tcPr>
            <w:tcW w:w="901" w:type="dxa"/>
            <w:tcBorders>
              <w:top w:val="nil"/>
              <w:left w:val="nil"/>
              <w:bottom w:val="nil"/>
              <w:right w:val="nil"/>
            </w:tcBorders>
            <w:shd w:val="clear" w:color="auto" w:fill="auto"/>
            <w:noWrap/>
            <w:vAlign w:val="bottom"/>
            <w:hideMark/>
          </w:tcPr>
          <w:p w14:paraId="7E723924" w14:textId="127DCFBE"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421</w:t>
            </w:r>
          </w:p>
        </w:tc>
        <w:tc>
          <w:tcPr>
            <w:tcW w:w="901" w:type="dxa"/>
            <w:tcBorders>
              <w:top w:val="nil"/>
              <w:left w:val="nil"/>
              <w:bottom w:val="nil"/>
              <w:right w:val="nil"/>
            </w:tcBorders>
            <w:shd w:val="clear" w:color="000000" w:fill="E6E6E6"/>
            <w:noWrap/>
            <w:vAlign w:val="bottom"/>
            <w:hideMark/>
          </w:tcPr>
          <w:p w14:paraId="7F071B1A" w14:textId="7F977407"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4EA7AC8E" w14:textId="704B1FBC"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1193A406" w14:textId="0D0D5E6B"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680824E3" w14:textId="54EBF0BB"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r>
      <w:tr w:rsidR="0014555F" w:rsidRPr="004349E0" w14:paraId="4FE45BAA" w14:textId="77777777" w:rsidTr="004D26B5">
        <w:trPr>
          <w:trHeight w:val="204"/>
        </w:trPr>
        <w:tc>
          <w:tcPr>
            <w:tcW w:w="3140" w:type="dxa"/>
            <w:tcBorders>
              <w:top w:val="nil"/>
              <w:left w:val="nil"/>
              <w:bottom w:val="nil"/>
              <w:right w:val="nil"/>
            </w:tcBorders>
            <w:shd w:val="clear" w:color="auto" w:fill="auto"/>
            <w:noWrap/>
            <w:vAlign w:val="bottom"/>
            <w:hideMark/>
          </w:tcPr>
          <w:p w14:paraId="001F0894"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Total expenses</w:t>
            </w:r>
          </w:p>
        </w:tc>
        <w:tc>
          <w:tcPr>
            <w:tcW w:w="901" w:type="dxa"/>
            <w:tcBorders>
              <w:top w:val="single" w:sz="4" w:space="0" w:color="auto"/>
              <w:left w:val="nil"/>
              <w:bottom w:val="single" w:sz="4" w:space="0" w:color="auto"/>
              <w:right w:val="nil"/>
            </w:tcBorders>
            <w:shd w:val="clear" w:color="auto" w:fill="auto"/>
            <w:noWrap/>
            <w:vAlign w:val="bottom"/>
            <w:hideMark/>
          </w:tcPr>
          <w:p w14:paraId="4198B828" w14:textId="7A7F292C"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112,660</w:t>
            </w:r>
          </w:p>
        </w:tc>
        <w:tc>
          <w:tcPr>
            <w:tcW w:w="901" w:type="dxa"/>
            <w:tcBorders>
              <w:top w:val="single" w:sz="4" w:space="0" w:color="auto"/>
              <w:left w:val="nil"/>
              <w:bottom w:val="single" w:sz="4" w:space="0" w:color="auto"/>
              <w:right w:val="nil"/>
            </w:tcBorders>
            <w:shd w:val="clear" w:color="000000" w:fill="E6E6E6"/>
            <w:noWrap/>
            <w:vAlign w:val="bottom"/>
            <w:hideMark/>
          </w:tcPr>
          <w:p w14:paraId="1ADDBEB0" w14:textId="7B5B64C2"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132,138</w:t>
            </w:r>
          </w:p>
        </w:tc>
        <w:tc>
          <w:tcPr>
            <w:tcW w:w="901" w:type="dxa"/>
            <w:tcBorders>
              <w:top w:val="single" w:sz="4" w:space="0" w:color="auto"/>
              <w:left w:val="nil"/>
              <w:bottom w:val="single" w:sz="4" w:space="0" w:color="auto"/>
              <w:right w:val="nil"/>
            </w:tcBorders>
            <w:shd w:val="clear" w:color="auto" w:fill="auto"/>
            <w:noWrap/>
            <w:vAlign w:val="bottom"/>
            <w:hideMark/>
          </w:tcPr>
          <w:p w14:paraId="47E913DE" w14:textId="7C35565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132,672</w:t>
            </w:r>
          </w:p>
        </w:tc>
        <w:tc>
          <w:tcPr>
            <w:tcW w:w="901" w:type="dxa"/>
            <w:tcBorders>
              <w:top w:val="single" w:sz="4" w:space="0" w:color="auto"/>
              <w:left w:val="nil"/>
              <w:bottom w:val="single" w:sz="4" w:space="0" w:color="auto"/>
              <w:right w:val="nil"/>
            </w:tcBorders>
            <w:shd w:val="clear" w:color="auto" w:fill="auto"/>
            <w:noWrap/>
            <w:vAlign w:val="bottom"/>
            <w:hideMark/>
          </w:tcPr>
          <w:p w14:paraId="53AC12C0" w14:textId="253E4F2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100,822</w:t>
            </w:r>
          </w:p>
        </w:tc>
        <w:tc>
          <w:tcPr>
            <w:tcW w:w="901" w:type="dxa"/>
            <w:tcBorders>
              <w:top w:val="single" w:sz="4" w:space="0" w:color="auto"/>
              <w:left w:val="nil"/>
              <w:bottom w:val="single" w:sz="4" w:space="0" w:color="auto"/>
              <w:right w:val="nil"/>
            </w:tcBorders>
            <w:shd w:val="clear" w:color="auto" w:fill="auto"/>
            <w:noWrap/>
            <w:vAlign w:val="bottom"/>
            <w:hideMark/>
          </w:tcPr>
          <w:p w14:paraId="0B582732" w14:textId="626F5545"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100,348</w:t>
            </w:r>
          </w:p>
        </w:tc>
      </w:tr>
      <w:tr w:rsidR="0014555F" w:rsidRPr="004349E0" w14:paraId="26769ADC" w14:textId="77777777" w:rsidTr="004D26B5">
        <w:trPr>
          <w:trHeight w:val="204"/>
        </w:trPr>
        <w:tc>
          <w:tcPr>
            <w:tcW w:w="3140" w:type="dxa"/>
            <w:tcBorders>
              <w:top w:val="nil"/>
              <w:left w:val="nil"/>
              <w:bottom w:val="nil"/>
              <w:right w:val="nil"/>
            </w:tcBorders>
            <w:shd w:val="clear" w:color="auto" w:fill="auto"/>
            <w:noWrap/>
            <w:vAlign w:val="bottom"/>
            <w:hideMark/>
          </w:tcPr>
          <w:p w14:paraId="069D72EF"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 xml:space="preserve">LESS: </w:t>
            </w:r>
          </w:p>
        </w:tc>
        <w:tc>
          <w:tcPr>
            <w:tcW w:w="901" w:type="dxa"/>
            <w:tcBorders>
              <w:top w:val="nil"/>
              <w:left w:val="nil"/>
              <w:bottom w:val="nil"/>
              <w:right w:val="nil"/>
            </w:tcBorders>
            <w:shd w:val="clear" w:color="auto" w:fill="auto"/>
            <w:noWrap/>
            <w:vAlign w:val="bottom"/>
            <w:hideMark/>
          </w:tcPr>
          <w:p w14:paraId="614EFD0F"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2E4F182B" w14:textId="64272A8E"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2B5EFCCB"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7614C30C" w14:textId="77777777" w:rsidR="0014555F" w:rsidRPr="004349E0" w:rsidRDefault="0014555F" w:rsidP="00AA147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158B9242"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1E1AC6B1" w14:textId="77777777" w:rsidTr="004D26B5">
        <w:trPr>
          <w:trHeight w:val="204"/>
        </w:trPr>
        <w:tc>
          <w:tcPr>
            <w:tcW w:w="3140" w:type="dxa"/>
            <w:tcBorders>
              <w:top w:val="nil"/>
              <w:left w:val="nil"/>
              <w:bottom w:val="nil"/>
              <w:right w:val="nil"/>
            </w:tcBorders>
            <w:shd w:val="clear" w:color="auto" w:fill="auto"/>
            <w:noWrap/>
            <w:vAlign w:val="bottom"/>
            <w:hideMark/>
          </w:tcPr>
          <w:p w14:paraId="2F1FBC32"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OWN-SOURCE INCOME</w:t>
            </w:r>
          </w:p>
        </w:tc>
        <w:tc>
          <w:tcPr>
            <w:tcW w:w="901" w:type="dxa"/>
            <w:tcBorders>
              <w:top w:val="nil"/>
              <w:left w:val="nil"/>
              <w:bottom w:val="nil"/>
              <w:right w:val="nil"/>
            </w:tcBorders>
            <w:shd w:val="clear" w:color="auto" w:fill="auto"/>
            <w:noWrap/>
            <w:vAlign w:val="bottom"/>
            <w:hideMark/>
          </w:tcPr>
          <w:p w14:paraId="6F838E92"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25017106" w14:textId="4D987868"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4359C1EE"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5719DA0" w14:textId="77777777" w:rsidR="0014555F" w:rsidRPr="004349E0" w:rsidRDefault="0014555F" w:rsidP="00AA147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52B8FEFB"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61A907A5" w14:textId="77777777" w:rsidTr="004D26B5">
        <w:trPr>
          <w:trHeight w:val="204"/>
        </w:trPr>
        <w:tc>
          <w:tcPr>
            <w:tcW w:w="3140" w:type="dxa"/>
            <w:tcBorders>
              <w:top w:val="nil"/>
              <w:left w:val="nil"/>
              <w:bottom w:val="nil"/>
              <w:right w:val="nil"/>
            </w:tcBorders>
            <w:shd w:val="clear" w:color="auto" w:fill="auto"/>
            <w:noWrap/>
            <w:vAlign w:val="bottom"/>
            <w:hideMark/>
          </w:tcPr>
          <w:p w14:paraId="0445302C"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Own-source revenue</w:t>
            </w:r>
          </w:p>
        </w:tc>
        <w:tc>
          <w:tcPr>
            <w:tcW w:w="901" w:type="dxa"/>
            <w:tcBorders>
              <w:top w:val="nil"/>
              <w:left w:val="nil"/>
              <w:bottom w:val="nil"/>
              <w:right w:val="nil"/>
            </w:tcBorders>
            <w:shd w:val="clear" w:color="auto" w:fill="auto"/>
            <w:noWrap/>
            <w:vAlign w:val="bottom"/>
            <w:hideMark/>
          </w:tcPr>
          <w:p w14:paraId="6D55C07A"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0DC606E1" w14:textId="6D4FFA0E"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01029147"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5A8BF25C" w14:textId="77777777" w:rsidR="0014555F" w:rsidRPr="004349E0" w:rsidRDefault="0014555F" w:rsidP="00AA147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45DD9BA6"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28E6D5FB" w14:textId="77777777" w:rsidTr="004D26B5">
        <w:trPr>
          <w:trHeight w:val="204"/>
        </w:trPr>
        <w:tc>
          <w:tcPr>
            <w:tcW w:w="3140" w:type="dxa"/>
            <w:tcBorders>
              <w:top w:val="nil"/>
              <w:left w:val="nil"/>
              <w:bottom w:val="nil"/>
              <w:right w:val="nil"/>
            </w:tcBorders>
            <w:shd w:val="clear" w:color="auto" w:fill="auto"/>
            <w:vAlign w:val="bottom"/>
            <w:hideMark/>
          </w:tcPr>
          <w:p w14:paraId="2C9724B4" w14:textId="77777777" w:rsidR="0014555F" w:rsidRPr="004349E0" w:rsidRDefault="0014555F" w:rsidP="009039A2">
            <w:pPr>
              <w:spacing w:after="0" w:line="240" w:lineRule="auto"/>
              <w:ind w:left="113"/>
              <w:jc w:val="left"/>
              <w:rPr>
                <w:rFonts w:ascii="Arial" w:hAnsi="Arial" w:cs="Arial"/>
                <w:sz w:val="16"/>
                <w:szCs w:val="16"/>
              </w:rPr>
            </w:pPr>
            <w:r w:rsidRPr="004349E0">
              <w:rPr>
                <w:rFonts w:ascii="Arial" w:hAnsi="Arial" w:cs="Arial"/>
                <w:sz w:val="16"/>
                <w:szCs w:val="16"/>
              </w:rPr>
              <w:t>Sale of goods and rendering of services</w:t>
            </w:r>
          </w:p>
        </w:tc>
        <w:tc>
          <w:tcPr>
            <w:tcW w:w="901" w:type="dxa"/>
            <w:tcBorders>
              <w:top w:val="nil"/>
              <w:left w:val="nil"/>
              <w:bottom w:val="nil"/>
              <w:right w:val="nil"/>
            </w:tcBorders>
            <w:shd w:val="clear" w:color="auto" w:fill="auto"/>
            <w:noWrap/>
            <w:vAlign w:val="bottom"/>
            <w:hideMark/>
          </w:tcPr>
          <w:p w14:paraId="3D67C61D" w14:textId="3038E7D8"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724</w:t>
            </w:r>
          </w:p>
        </w:tc>
        <w:tc>
          <w:tcPr>
            <w:tcW w:w="901" w:type="dxa"/>
            <w:tcBorders>
              <w:top w:val="nil"/>
              <w:left w:val="nil"/>
              <w:bottom w:val="nil"/>
              <w:right w:val="nil"/>
            </w:tcBorders>
            <w:shd w:val="clear" w:color="000000" w:fill="E6E6E6"/>
            <w:noWrap/>
            <w:vAlign w:val="bottom"/>
            <w:hideMark/>
          </w:tcPr>
          <w:p w14:paraId="51280D44" w14:textId="12230D95"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100</w:t>
            </w:r>
          </w:p>
        </w:tc>
        <w:tc>
          <w:tcPr>
            <w:tcW w:w="901" w:type="dxa"/>
            <w:tcBorders>
              <w:top w:val="nil"/>
              <w:left w:val="nil"/>
              <w:bottom w:val="nil"/>
              <w:right w:val="nil"/>
            </w:tcBorders>
            <w:shd w:val="clear" w:color="auto" w:fill="auto"/>
            <w:noWrap/>
            <w:vAlign w:val="bottom"/>
            <w:hideMark/>
          </w:tcPr>
          <w:p w14:paraId="0891D587" w14:textId="65CCC4E0"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100</w:t>
            </w:r>
          </w:p>
        </w:tc>
        <w:tc>
          <w:tcPr>
            <w:tcW w:w="901" w:type="dxa"/>
            <w:tcBorders>
              <w:top w:val="nil"/>
              <w:left w:val="nil"/>
              <w:bottom w:val="nil"/>
              <w:right w:val="nil"/>
            </w:tcBorders>
            <w:shd w:val="clear" w:color="auto" w:fill="auto"/>
            <w:noWrap/>
            <w:vAlign w:val="bottom"/>
            <w:hideMark/>
          </w:tcPr>
          <w:p w14:paraId="5DB95E21" w14:textId="7BA9A49B"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100</w:t>
            </w:r>
          </w:p>
        </w:tc>
        <w:tc>
          <w:tcPr>
            <w:tcW w:w="901" w:type="dxa"/>
            <w:tcBorders>
              <w:top w:val="nil"/>
              <w:left w:val="nil"/>
              <w:bottom w:val="nil"/>
              <w:right w:val="nil"/>
            </w:tcBorders>
            <w:shd w:val="clear" w:color="auto" w:fill="auto"/>
            <w:noWrap/>
            <w:vAlign w:val="bottom"/>
            <w:hideMark/>
          </w:tcPr>
          <w:p w14:paraId="2B5CF9C5" w14:textId="361CC957"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100</w:t>
            </w:r>
          </w:p>
        </w:tc>
      </w:tr>
      <w:tr w:rsidR="0014555F" w:rsidRPr="004349E0" w14:paraId="78013199" w14:textId="77777777" w:rsidTr="004D26B5">
        <w:trPr>
          <w:trHeight w:val="204"/>
        </w:trPr>
        <w:tc>
          <w:tcPr>
            <w:tcW w:w="3140" w:type="dxa"/>
            <w:tcBorders>
              <w:top w:val="nil"/>
              <w:left w:val="nil"/>
              <w:bottom w:val="nil"/>
              <w:right w:val="nil"/>
            </w:tcBorders>
            <w:shd w:val="clear" w:color="auto" w:fill="auto"/>
            <w:noWrap/>
            <w:vAlign w:val="bottom"/>
            <w:hideMark/>
          </w:tcPr>
          <w:p w14:paraId="3AABC8BD" w14:textId="77777777" w:rsidR="0014555F" w:rsidRPr="004349E0" w:rsidRDefault="0014555F" w:rsidP="009039A2">
            <w:pPr>
              <w:spacing w:after="0" w:line="240" w:lineRule="auto"/>
              <w:ind w:left="113"/>
              <w:jc w:val="left"/>
              <w:rPr>
                <w:rFonts w:ascii="Arial" w:hAnsi="Arial" w:cs="Arial"/>
                <w:sz w:val="16"/>
                <w:szCs w:val="16"/>
              </w:rPr>
            </w:pPr>
            <w:r w:rsidRPr="004349E0">
              <w:rPr>
                <w:rFonts w:ascii="Arial" w:hAnsi="Arial" w:cs="Arial"/>
                <w:sz w:val="16"/>
                <w:szCs w:val="16"/>
              </w:rPr>
              <w:t>Other</w:t>
            </w:r>
          </w:p>
        </w:tc>
        <w:tc>
          <w:tcPr>
            <w:tcW w:w="901" w:type="dxa"/>
            <w:tcBorders>
              <w:top w:val="nil"/>
              <w:left w:val="nil"/>
              <w:bottom w:val="nil"/>
              <w:right w:val="nil"/>
            </w:tcBorders>
            <w:shd w:val="clear" w:color="auto" w:fill="auto"/>
            <w:noWrap/>
            <w:vAlign w:val="bottom"/>
            <w:hideMark/>
          </w:tcPr>
          <w:p w14:paraId="6B40CA3B" w14:textId="0964F257"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411</w:t>
            </w:r>
          </w:p>
        </w:tc>
        <w:tc>
          <w:tcPr>
            <w:tcW w:w="901" w:type="dxa"/>
            <w:tcBorders>
              <w:top w:val="nil"/>
              <w:left w:val="nil"/>
              <w:bottom w:val="nil"/>
              <w:right w:val="nil"/>
            </w:tcBorders>
            <w:shd w:val="clear" w:color="000000" w:fill="E6E6E6"/>
            <w:noWrap/>
            <w:vAlign w:val="bottom"/>
            <w:hideMark/>
          </w:tcPr>
          <w:p w14:paraId="2F9B35E4" w14:textId="00B19E05" w:rsidR="0014555F" w:rsidRPr="004D26B5" w:rsidRDefault="0014555F" w:rsidP="00AA1477">
            <w:pPr>
              <w:spacing w:after="0" w:line="240" w:lineRule="auto"/>
              <w:jc w:val="right"/>
              <w:rPr>
                <w:rFonts w:ascii="Arial" w:hAnsi="Arial" w:cs="Arial"/>
                <w:bCs/>
                <w:sz w:val="16"/>
                <w:szCs w:val="16"/>
              </w:rPr>
            </w:pPr>
            <w:r w:rsidRPr="004D26B5">
              <w:rPr>
                <w:rFonts w:ascii="Arial" w:hAnsi="Arial" w:cs="Arial"/>
                <w:bCs/>
                <w:sz w:val="16"/>
                <w:szCs w:val="16"/>
              </w:rPr>
              <w:t>-</w:t>
            </w:r>
          </w:p>
        </w:tc>
        <w:tc>
          <w:tcPr>
            <w:tcW w:w="901" w:type="dxa"/>
            <w:tcBorders>
              <w:top w:val="nil"/>
              <w:left w:val="nil"/>
              <w:bottom w:val="nil"/>
              <w:right w:val="nil"/>
            </w:tcBorders>
            <w:shd w:val="clear" w:color="auto" w:fill="auto"/>
            <w:noWrap/>
            <w:vAlign w:val="bottom"/>
            <w:hideMark/>
          </w:tcPr>
          <w:p w14:paraId="706F3A6D" w14:textId="3907D1F3"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76215630" w14:textId="7C0E3097"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77F47388" w14:textId="476B09F1"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r>
      <w:tr w:rsidR="0014555F" w:rsidRPr="004349E0" w14:paraId="50FD5871" w14:textId="77777777" w:rsidTr="004D26B5">
        <w:trPr>
          <w:trHeight w:val="204"/>
        </w:trPr>
        <w:tc>
          <w:tcPr>
            <w:tcW w:w="3140" w:type="dxa"/>
            <w:tcBorders>
              <w:top w:val="nil"/>
              <w:left w:val="nil"/>
              <w:bottom w:val="nil"/>
              <w:right w:val="nil"/>
            </w:tcBorders>
            <w:shd w:val="clear" w:color="auto" w:fill="auto"/>
            <w:noWrap/>
            <w:vAlign w:val="bottom"/>
            <w:hideMark/>
          </w:tcPr>
          <w:p w14:paraId="60D8AAE6"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Total own-source revenue</w:t>
            </w:r>
          </w:p>
        </w:tc>
        <w:tc>
          <w:tcPr>
            <w:tcW w:w="901" w:type="dxa"/>
            <w:tcBorders>
              <w:top w:val="single" w:sz="4" w:space="0" w:color="auto"/>
              <w:left w:val="nil"/>
              <w:bottom w:val="single" w:sz="4" w:space="0" w:color="auto"/>
              <w:right w:val="nil"/>
            </w:tcBorders>
            <w:shd w:val="clear" w:color="auto" w:fill="auto"/>
            <w:noWrap/>
            <w:vAlign w:val="bottom"/>
            <w:hideMark/>
          </w:tcPr>
          <w:p w14:paraId="73211E2E" w14:textId="70692A68"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1,135</w:t>
            </w:r>
          </w:p>
        </w:tc>
        <w:tc>
          <w:tcPr>
            <w:tcW w:w="901" w:type="dxa"/>
            <w:tcBorders>
              <w:top w:val="single" w:sz="4" w:space="0" w:color="auto"/>
              <w:left w:val="nil"/>
              <w:bottom w:val="single" w:sz="4" w:space="0" w:color="auto"/>
              <w:right w:val="nil"/>
            </w:tcBorders>
            <w:shd w:val="clear" w:color="000000" w:fill="E6E6E6"/>
            <w:noWrap/>
            <w:vAlign w:val="bottom"/>
            <w:hideMark/>
          </w:tcPr>
          <w:p w14:paraId="588FC8BD" w14:textId="0D8CB90B"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w:t>
            </w:r>
          </w:p>
        </w:tc>
        <w:tc>
          <w:tcPr>
            <w:tcW w:w="901" w:type="dxa"/>
            <w:tcBorders>
              <w:top w:val="single" w:sz="4" w:space="0" w:color="auto"/>
              <w:left w:val="nil"/>
              <w:bottom w:val="single" w:sz="4" w:space="0" w:color="auto"/>
              <w:right w:val="nil"/>
            </w:tcBorders>
            <w:shd w:val="clear" w:color="auto" w:fill="auto"/>
            <w:noWrap/>
            <w:vAlign w:val="bottom"/>
            <w:hideMark/>
          </w:tcPr>
          <w:p w14:paraId="1F14E895" w14:textId="6AA385C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w:t>
            </w:r>
          </w:p>
        </w:tc>
        <w:tc>
          <w:tcPr>
            <w:tcW w:w="901" w:type="dxa"/>
            <w:tcBorders>
              <w:top w:val="single" w:sz="4" w:space="0" w:color="auto"/>
              <w:left w:val="nil"/>
              <w:bottom w:val="single" w:sz="4" w:space="0" w:color="auto"/>
              <w:right w:val="nil"/>
            </w:tcBorders>
            <w:shd w:val="clear" w:color="auto" w:fill="auto"/>
            <w:noWrap/>
            <w:vAlign w:val="bottom"/>
            <w:hideMark/>
          </w:tcPr>
          <w:p w14:paraId="002B6184" w14:textId="1E5018A2"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w:t>
            </w:r>
          </w:p>
        </w:tc>
        <w:tc>
          <w:tcPr>
            <w:tcW w:w="901" w:type="dxa"/>
            <w:tcBorders>
              <w:top w:val="single" w:sz="4" w:space="0" w:color="auto"/>
              <w:left w:val="nil"/>
              <w:bottom w:val="single" w:sz="4" w:space="0" w:color="auto"/>
              <w:right w:val="nil"/>
            </w:tcBorders>
            <w:shd w:val="clear" w:color="auto" w:fill="auto"/>
            <w:noWrap/>
            <w:vAlign w:val="bottom"/>
            <w:hideMark/>
          </w:tcPr>
          <w:p w14:paraId="1B48C013" w14:textId="01CDC391"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w:t>
            </w:r>
          </w:p>
        </w:tc>
      </w:tr>
      <w:tr w:rsidR="0014555F" w:rsidRPr="004349E0" w14:paraId="67353EA3" w14:textId="77777777" w:rsidTr="004D26B5">
        <w:trPr>
          <w:trHeight w:val="204"/>
        </w:trPr>
        <w:tc>
          <w:tcPr>
            <w:tcW w:w="3140" w:type="dxa"/>
            <w:tcBorders>
              <w:top w:val="nil"/>
              <w:left w:val="nil"/>
              <w:bottom w:val="nil"/>
              <w:right w:val="nil"/>
            </w:tcBorders>
            <w:shd w:val="clear" w:color="auto" w:fill="auto"/>
            <w:noWrap/>
            <w:vAlign w:val="bottom"/>
            <w:hideMark/>
          </w:tcPr>
          <w:p w14:paraId="2236D07A"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Gains</w:t>
            </w:r>
          </w:p>
        </w:tc>
        <w:tc>
          <w:tcPr>
            <w:tcW w:w="901" w:type="dxa"/>
            <w:tcBorders>
              <w:top w:val="nil"/>
              <w:left w:val="nil"/>
              <w:bottom w:val="nil"/>
              <w:right w:val="nil"/>
            </w:tcBorders>
            <w:shd w:val="clear" w:color="auto" w:fill="auto"/>
            <w:noWrap/>
            <w:vAlign w:val="bottom"/>
            <w:hideMark/>
          </w:tcPr>
          <w:p w14:paraId="2BE8A19A"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168C5D26" w14:textId="4DD43471"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21DE4A3B"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67D28196" w14:textId="77777777" w:rsidR="0014555F" w:rsidRPr="004349E0" w:rsidRDefault="0014555F" w:rsidP="00AA147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11C254A0"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28A899BC" w14:textId="77777777" w:rsidTr="004D26B5">
        <w:trPr>
          <w:trHeight w:val="204"/>
        </w:trPr>
        <w:tc>
          <w:tcPr>
            <w:tcW w:w="3140" w:type="dxa"/>
            <w:tcBorders>
              <w:top w:val="nil"/>
              <w:left w:val="nil"/>
              <w:bottom w:val="nil"/>
              <w:right w:val="nil"/>
            </w:tcBorders>
            <w:shd w:val="clear" w:color="auto" w:fill="auto"/>
            <w:noWrap/>
            <w:vAlign w:val="bottom"/>
            <w:hideMark/>
          </w:tcPr>
          <w:p w14:paraId="00B0DC1E" w14:textId="77777777" w:rsidR="0014555F" w:rsidRPr="004349E0" w:rsidRDefault="0014555F" w:rsidP="009039A2">
            <w:pPr>
              <w:spacing w:after="0" w:line="240" w:lineRule="auto"/>
              <w:ind w:left="113"/>
              <w:jc w:val="left"/>
              <w:rPr>
                <w:rFonts w:ascii="Arial" w:hAnsi="Arial" w:cs="Arial"/>
                <w:sz w:val="16"/>
                <w:szCs w:val="16"/>
              </w:rPr>
            </w:pPr>
            <w:r w:rsidRPr="004349E0">
              <w:rPr>
                <w:rFonts w:ascii="Arial" w:hAnsi="Arial" w:cs="Arial"/>
                <w:sz w:val="16"/>
                <w:szCs w:val="16"/>
              </w:rPr>
              <w:t>Other</w:t>
            </w:r>
          </w:p>
        </w:tc>
        <w:tc>
          <w:tcPr>
            <w:tcW w:w="901" w:type="dxa"/>
            <w:tcBorders>
              <w:top w:val="nil"/>
              <w:left w:val="nil"/>
              <w:bottom w:val="nil"/>
              <w:right w:val="nil"/>
            </w:tcBorders>
            <w:shd w:val="clear" w:color="auto" w:fill="auto"/>
            <w:noWrap/>
            <w:vAlign w:val="bottom"/>
            <w:hideMark/>
          </w:tcPr>
          <w:p w14:paraId="1BF929C4" w14:textId="60ECB7AE"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96</w:t>
            </w:r>
          </w:p>
        </w:tc>
        <w:tc>
          <w:tcPr>
            <w:tcW w:w="901" w:type="dxa"/>
            <w:tcBorders>
              <w:top w:val="nil"/>
              <w:left w:val="nil"/>
              <w:bottom w:val="nil"/>
              <w:right w:val="nil"/>
            </w:tcBorders>
            <w:shd w:val="clear" w:color="000000" w:fill="E6E6E6"/>
            <w:noWrap/>
            <w:vAlign w:val="bottom"/>
            <w:hideMark/>
          </w:tcPr>
          <w:p w14:paraId="40C406E4" w14:textId="744F7CE1"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3B493122" w14:textId="2876A872"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01EEAE7C" w14:textId="6B28D5AF"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901" w:type="dxa"/>
            <w:tcBorders>
              <w:top w:val="nil"/>
              <w:left w:val="nil"/>
              <w:bottom w:val="nil"/>
              <w:right w:val="nil"/>
            </w:tcBorders>
            <w:shd w:val="clear" w:color="auto" w:fill="auto"/>
            <w:noWrap/>
            <w:vAlign w:val="bottom"/>
            <w:hideMark/>
          </w:tcPr>
          <w:p w14:paraId="3CA88950" w14:textId="189A843A"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r>
      <w:tr w:rsidR="0014555F" w:rsidRPr="004349E0" w14:paraId="437D1901" w14:textId="77777777" w:rsidTr="004D26B5">
        <w:trPr>
          <w:trHeight w:val="204"/>
        </w:trPr>
        <w:tc>
          <w:tcPr>
            <w:tcW w:w="3140" w:type="dxa"/>
            <w:tcBorders>
              <w:top w:val="nil"/>
              <w:left w:val="nil"/>
              <w:bottom w:val="nil"/>
              <w:right w:val="nil"/>
            </w:tcBorders>
            <w:shd w:val="clear" w:color="auto" w:fill="auto"/>
            <w:noWrap/>
            <w:vAlign w:val="bottom"/>
            <w:hideMark/>
          </w:tcPr>
          <w:p w14:paraId="671E7957"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Total gains</w:t>
            </w:r>
          </w:p>
        </w:tc>
        <w:tc>
          <w:tcPr>
            <w:tcW w:w="901" w:type="dxa"/>
            <w:tcBorders>
              <w:top w:val="single" w:sz="4" w:space="0" w:color="auto"/>
              <w:left w:val="nil"/>
              <w:bottom w:val="single" w:sz="4" w:space="0" w:color="auto"/>
              <w:right w:val="nil"/>
            </w:tcBorders>
            <w:shd w:val="clear" w:color="auto" w:fill="auto"/>
            <w:noWrap/>
            <w:vAlign w:val="bottom"/>
            <w:hideMark/>
          </w:tcPr>
          <w:p w14:paraId="1721F9B7" w14:textId="7ACF5D0A"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96</w:t>
            </w:r>
          </w:p>
        </w:tc>
        <w:tc>
          <w:tcPr>
            <w:tcW w:w="901" w:type="dxa"/>
            <w:tcBorders>
              <w:top w:val="single" w:sz="4" w:space="0" w:color="auto"/>
              <w:left w:val="nil"/>
              <w:bottom w:val="single" w:sz="4" w:space="0" w:color="auto"/>
              <w:right w:val="nil"/>
            </w:tcBorders>
            <w:shd w:val="clear" w:color="000000" w:fill="E6E6E6"/>
            <w:noWrap/>
            <w:vAlign w:val="bottom"/>
            <w:hideMark/>
          </w:tcPr>
          <w:p w14:paraId="0D75A5AB" w14:textId="00313CC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noWrap/>
            <w:vAlign w:val="bottom"/>
            <w:hideMark/>
          </w:tcPr>
          <w:p w14:paraId="75614FD5" w14:textId="7BF54062"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noWrap/>
            <w:vAlign w:val="bottom"/>
            <w:hideMark/>
          </w:tcPr>
          <w:p w14:paraId="31409FDB" w14:textId="0AB3E23F"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noWrap/>
            <w:vAlign w:val="bottom"/>
            <w:hideMark/>
          </w:tcPr>
          <w:p w14:paraId="1741699B" w14:textId="31FB494E"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w:t>
            </w:r>
          </w:p>
        </w:tc>
      </w:tr>
      <w:tr w:rsidR="0014555F" w:rsidRPr="004349E0" w14:paraId="6793CF82" w14:textId="77777777" w:rsidTr="004D26B5">
        <w:trPr>
          <w:trHeight w:val="204"/>
        </w:trPr>
        <w:tc>
          <w:tcPr>
            <w:tcW w:w="3140" w:type="dxa"/>
            <w:tcBorders>
              <w:top w:val="nil"/>
              <w:left w:val="nil"/>
              <w:bottom w:val="nil"/>
              <w:right w:val="nil"/>
            </w:tcBorders>
            <w:shd w:val="clear" w:color="auto" w:fill="auto"/>
            <w:noWrap/>
            <w:vAlign w:val="bottom"/>
            <w:hideMark/>
          </w:tcPr>
          <w:p w14:paraId="31350FF5"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Total own-source income</w:t>
            </w:r>
          </w:p>
        </w:tc>
        <w:tc>
          <w:tcPr>
            <w:tcW w:w="901" w:type="dxa"/>
            <w:tcBorders>
              <w:top w:val="single" w:sz="4" w:space="0" w:color="auto"/>
              <w:left w:val="nil"/>
              <w:bottom w:val="single" w:sz="4" w:space="0" w:color="auto"/>
              <w:right w:val="nil"/>
            </w:tcBorders>
            <w:shd w:val="clear" w:color="auto" w:fill="auto"/>
            <w:noWrap/>
            <w:vAlign w:val="bottom"/>
            <w:hideMark/>
          </w:tcPr>
          <w:p w14:paraId="5BB2069D" w14:textId="1037F494"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1,231</w:t>
            </w:r>
          </w:p>
        </w:tc>
        <w:tc>
          <w:tcPr>
            <w:tcW w:w="901" w:type="dxa"/>
            <w:tcBorders>
              <w:top w:val="single" w:sz="4" w:space="0" w:color="auto"/>
              <w:left w:val="nil"/>
              <w:bottom w:val="single" w:sz="4" w:space="0" w:color="auto"/>
              <w:right w:val="nil"/>
            </w:tcBorders>
            <w:shd w:val="clear" w:color="000000" w:fill="E6E6E6"/>
            <w:noWrap/>
            <w:vAlign w:val="bottom"/>
            <w:hideMark/>
          </w:tcPr>
          <w:p w14:paraId="57B4A25B" w14:textId="4DAE90EE"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w:t>
            </w:r>
          </w:p>
        </w:tc>
        <w:tc>
          <w:tcPr>
            <w:tcW w:w="901" w:type="dxa"/>
            <w:tcBorders>
              <w:top w:val="single" w:sz="4" w:space="0" w:color="auto"/>
              <w:left w:val="nil"/>
              <w:bottom w:val="single" w:sz="4" w:space="0" w:color="auto"/>
              <w:right w:val="nil"/>
            </w:tcBorders>
            <w:shd w:val="clear" w:color="auto" w:fill="auto"/>
            <w:noWrap/>
            <w:vAlign w:val="bottom"/>
            <w:hideMark/>
          </w:tcPr>
          <w:p w14:paraId="47C5576C" w14:textId="3CFAD905"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w:t>
            </w:r>
          </w:p>
        </w:tc>
        <w:tc>
          <w:tcPr>
            <w:tcW w:w="901" w:type="dxa"/>
            <w:tcBorders>
              <w:top w:val="single" w:sz="4" w:space="0" w:color="auto"/>
              <w:left w:val="nil"/>
              <w:bottom w:val="single" w:sz="4" w:space="0" w:color="auto"/>
              <w:right w:val="nil"/>
            </w:tcBorders>
            <w:shd w:val="clear" w:color="auto" w:fill="auto"/>
            <w:noWrap/>
            <w:vAlign w:val="bottom"/>
            <w:hideMark/>
          </w:tcPr>
          <w:p w14:paraId="78B7A651" w14:textId="7E64777E"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w:t>
            </w:r>
          </w:p>
        </w:tc>
        <w:tc>
          <w:tcPr>
            <w:tcW w:w="901" w:type="dxa"/>
            <w:tcBorders>
              <w:top w:val="single" w:sz="4" w:space="0" w:color="auto"/>
              <w:left w:val="nil"/>
              <w:bottom w:val="single" w:sz="4" w:space="0" w:color="auto"/>
              <w:right w:val="nil"/>
            </w:tcBorders>
            <w:shd w:val="clear" w:color="auto" w:fill="auto"/>
            <w:noWrap/>
            <w:vAlign w:val="bottom"/>
            <w:hideMark/>
          </w:tcPr>
          <w:p w14:paraId="38747AB2" w14:textId="6F492571"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w:t>
            </w:r>
          </w:p>
        </w:tc>
      </w:tr>
      <w:tr w:rsidR="0014555F" w:rsidRPr="004349E0" w14:paraId="330D6FF5" w14:textId="77777777" w:rsidTr="004D26B5">
        <w:trPr>
          <w:trHeight w:val="204"/>
        </w:trPr>
        <w:tc>
          <w:tcPr>
            <w:tcW w:w="3140" w:type="dxa"/>
            <w:tcBorders>
              <w:top w:val="nil"/>
              <w:left w:val="nil"/>
              <w:bottom w:val="nil"/>
              <w:right w:val="nil"/>
            </w:tcBorders>
            <w:shd w:val="clear" w:color="auto" w:fill="auto"/>
            <w:vAlign w:val="bottom"/>
            <w:hideMark/>
          </w:tcPr>
          <w:p w14:paraId="2C8CAE0E"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Net (cost of)/contribution by services</w:t>
            </w:r>
          </w:p>
        </w:tc>
        <w:tc>
          <w:tcPr>
            <w:tcW w:w="901" w:type="dxa"/>
            <w:tcBorders>
              <w:top w:val="nil"/>
              <w:left w:val="nil"/>
              <w:bottom w:val="single" w:sz="4" w:space="0" w:color="auto"/>
              <w:right w:val="nil"/>
            </w:tcBorders>
            <w:shd w:val="clear" w:color="auto" w:fill="auto"/>
            <w:noWrap/>
            <w:vAlign w:val="bottom"/>
            <w:hideMark/>
          </w:tcPr>
          <w:p w14:paraId="2BFE2448"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(111,429)</w:t>
            </w:r>
          </w:p>
        </w:tc>
        <w:tc>
          <w:tcPr>
            <w:tcW w:w="901" w:type="dxa"/>
            <w:tcBorders>
              <w:top w:val="nil"/>
              <w:left w:val="nil"/>
              <w:bottom w:val="single" w:sz="4" w:space="0" w:color="auto"/>
              <w:right w:val="nil"/>
            </w:tcBorders>
            <w:shd w:val="clear" w:color="000000" w:fill="E6E6E6"/>
            <w:noWrap/>
            <w:vAlign w:val="bottom"/>
            <w:hideMark/>
          </w:tcPr>
          <w:p w14:paraId="4FC2A5C9"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(132,038)</w:t>
            </w:r>
          </w:p>
        </w:tc>
        <w:tc>
          <w:tcPr>
            <w:tcW w:w="901" w:type="dxa"/>
            <w:tcBorders>
              <w:top w:val="nil"/>
              <w:left w:val="nil"/>
              <w:bottom w:val="single" w:sz="4" w:space="0" w:color="auto"/>
              <w:right w:val="nil"/>
            </w:tcBorders>
            <w:shd w:val="clear" w:color="auto" w:fill="auto"/>
            <w:noWrap/>
            <w:vAlign w:val="bottom"/>
            <w:hideMark/>
          </w:tcPr>
          <w:p w14:paraId="795F02BB"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(132,572)</w:t>
            </w:r>
          </w:p>
        </w:tc>
        <w:tc>
          <w:tcPr>
            <w:tcW w:w="901" w:type="dxa"/>
            <w:tcBorders>
              <w:top w:val="nil"/>
              <w:left w:val="nil"/>
              <w:bottom w:val="single" w:sz="4" w:space="0" w:color="auto"/>
              <w:right w:val="nil"/>
            </w:tcBorders>
            <w:shd w:val="clear" w:color="auto" w:fill="auto"/>
            <w:noWrap/>
            <w:vAlign w:val="bottom"/>
            <w:hideMark/>
          </w:tcPr>
          <w:p w14:paraId="4CF8C3A8"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(100,722)</w:t>
            </w:r>
          </w:p>
        </w:tc>
        <w:tc>
          <w:tcPr>
            <w:tcW w:w="901" w:type="dxa"/>
            <w:tcBorders>
              <w:top w:val="nil"/>
              <w:left w:val="nil"/>
              <w:bottom w:val="single" w:sz="4" w:space="0" w:color="auto"/>
              <w:right w:val="nil"/>
            </w:tcBorders>
            <w:shd w:val="clear" w:color="auto" w:fill="auto"/>
            <w:noWrap/>
            <w:vAlign w:val="bottom"/>
            <w:hideMark/>
          </w:tcPr>
          <w:p w14:paraId="7E76EA74"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(100,248)</w:t>
            </w:r>
          </w:p>
        </w:tc>
      </w:tr>
      <w:tr w:rsidR="0014555F" w:rsidRPr="004349E0" w14:paraId="58A7C403" w14:textId="77777777" w:rsidTr="004D26B5">
        <w:trPr>
          <w:trHeight w:val="204"/>
        </w:trPr>
        <w:tc>
          <w:tcPr>
            <w:tcW w:w="3140" w:type="dxa"/>
            <w:tcBorders>
              <w:top w:val="nil"/>
              <w:left w:val="nil"/>
              <w:bottom w:val="nil"/>
              <w:right w:val="nil"/>
            </w:tcBorders>
            <w:shd w:val="clear" w:color="auto" w:fill="auto"/>
            <w:noWrap/>
            <w:vAlign w:val="bottom"/>
            <w:hideMark/>
          </w:tcPr>
          <w:p w14:paraId="258CE1BF" w14:textId="77777777" w:rsidR="0014555F" w:rsidRPr="004349E0" w:rsidRDefault="0014555F" w:rsidP="009039A2">
            <w:pPr>
              <w:spacing w:after="0" w:line="240" w:lineRule="auto"/>
              <w:ind w:left="113"/>
              <w:jc w:val="left"/>
              <w:rPr>
                <w:rFonts w:ascii="Arial" w:hAnsi="Arial" w:cs="Arial"/>
                <w:sz w:val="16"/>
                <w:szCs w:val="16"/>
              </w:rPr>
            </w:pPr>
            <w:r w:rsidRPr="004349E0">
              <w:rPr>
                <w:rFonts w:ascii="Arial" w:hAnsi="Arial" w:cs="Arial"/>
                <w:sz w:val="16"/>
                <w:szCs w:val="16"/>
              </w:rPr>
              <w:t>Revenue from Government</w:t>
            </w:r>
          </w:p>
        </w:tc>
        <w:tc>
          <w:tcPr>
            <w:tcW w:w="901" w:type="dxa"/>
            <w:tcBorders>
              <w:top w:val="nil"/>
              <w:left w:val="nil"/>
              <w:bottom w:val="single" w:sz="4" w:space="0" w:color="auto"/>
              <w:right w:val="nil"/>
            </w:tcBorders>
            <w:shd w:val="clear" w:color="auto" w:fill="auto"/>
            <w:noWrap/>
            <w:vAlign w:val="bottom"/>
            <w:hideMark/>
          </w:tcPr>
          <w:p w14:paraId="28BD2AC3" w14:textId="642E45E0"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101,006</w:t>
            </w:r>
          </w:p>
        </w:tc>
        <w:tc>
          <w:tcPr>
            <w:tcW w:w="901" w:type="dxa"/>
            <w:tcBorders>
              <w:top w:val="nil"/>
              <w:left w:val="nil"/>
              <w:bottom w:val="single" w:sz="4" w:space="0" w:color="auto"/>
              <w:right w:val="nil"/>
            </w:tcBorders>
            <w:shd w:val="clear" w:color="000000" w:fill="E6E6E6"/>
            <w:noWrap/>
            <w:vAlign w:val="bottom"/>
            <w:hideMark/>
          </w:tcPr>
          <w:p w14:paraId="7C1E5487" w14:textId="5E3B9CE2"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120,140</w:t>
            </w:r>
          </w:p>
        </w:tc>
        <w:tc>
          <w:tcPr>
            <w:tcW w:w="901" w:type="dxa"/>
            <w:tcBorders>
              <w:top w:val="nil"/>
              <w:left w:val="nil"/>
              <w:bottom w:val="single" w:sz="4" w:space="0" w:color="auto"/>
              <w:right w:val="nil"/>
            </w:tcBorders>
            <w:shd w:val="clear" w:color="auto" w:fill="auto"/>
            <w:noWrap/>
            <w:vAlign w:val="bottom"/>
            <w:hideMark/>
          </w:tcPr>
          <w:p w14:paraId="329DA924" w14:textId="2FFE6344"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123,343</w:t>
            </w:r>
          </w:p>
        </w:tc>
        <w:tc>
          <w:tcPr>
            <w:tcW w:w="901" w:type="dxa"/>
            <w:tcBorders>
              <w:top w:val="nil"/>
              <w:left w:val="nil"/>
              <w:bottom w:val="single" w:sz="4" w:space="0" w:color="auto"/>
              <w:right w:val="nil"/>
            </w:tcBorders>
            <w:shd w:val="clear" w:color="auto" w:fill="auto"/>
            <w:noWrap/>
            <w:vAlign w:val="bottom"/>
            <w:hideMark/>
          </w:tcPr>
          <w:p w14:paraId="656EABB5" w14:textId="4D330763"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91,869</w:t>
            </w:r>
          </w:p>
        </w:tc>
        <w:tc>
          <w:tcPr>
            <w:tcW w:w="901" w:type="dxa"/>
            <w:tcBorders>
              <w:top w:val="nil"/>
              <w:left w:val="nil"/>
              <w:bottom w:val="single" w:sz="4" w:space="0" w:color="auto"/>
              <w:right w:val="nil"/>
            </w:tcBorders>
            <w:shd w:val="clear" w:color="auto" w:fill="auto"/>
            <w:noWrap/>
            <w:vAlign w:val="bottom"/>
            <w:hideMark/>
          </w:tcPr>
          <w:p w14:paraId="61BE3297" w14:textId="39AF3915"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91,785</w:t>
            </w:r>
          </w:p>
        </w:tc>
      </w:tr>
      <w:tr w:rsidR="0014555F" w:rsidRPr="004349E0" w14:paraId="461BF7DD" w14:textId="77777777" w:rsidTr="004D26B5">
        <w:trPr>
          <w:trHeight w:val="204"/>
        </w:trPr>
        <w:tc>
          <w:tcPr>
            <w:tcW w:w="3140" w:type="dxa"/>
            <w:tcBorders>
              <w:top w:val="nil"/>
              <w:left w:val="nil"/>
              <w:bottom w:val="nil"/>
              <w:right w:val="nil"/>
            </w:tcBorders>
            <w:shd w:val="clear" w:color="auto" w:fill="auto"/>
            <w:vAlign w:val="bottom"/>
            <w:hideMark/>
          </w:tcPr>
          <w:p w14:paraId="37179C47"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Surplus/(deficit) attributable to the Australian Government</w:t>
            </w:r>
          </w:p>
        </w:tc>
        <w:tc>
          <w:tcPr>
            <w:tcW w:w="901" w:type="dxa"/>
            <w:tcBorders>
              <w:top w:val="nil"/>
              <w:left w:val="nil"/>
              <w:bottom w:val="single" w:sz="4" w:space="0" w:color="auto"/>
              <w:right w:val="nil"/>
            </w:tcBorders>
            <w:shd w:val="clear" w:color="auto" w:fill="auto"/>
            <w:noWrap/>
            <w:vAlign w:val="bottom"/>
            <w:hideMark/>
          </w:tcPr>
          <w:p w14:paraId="1FD32CEE"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(10,423)</w:t>
            </w:r>
          </w:p>
        </w:tc>
        <w:tc>
          <w:tcPr>
            <w:tcW w:w="901" w:type="dxa"/>
            <w:tcBorders>
              <w:top w:val="nil"/>
              <w:left w:val="nil"/>
              <w:bottom w:val="single" w:sz="4" w:space="0" w:color="auto"/>
              <w:right w:val="nil"/>
            </w:tcBorders>
            <w:shd w:val="clear" w:color="000000" w:fill="E6E6E6"/>
            <w:noWrap/>
            <w:vAlign w:val="bottom"/>
            <w:hideMark/>
          </w:tcPr>
          <w:p w14:paraId="036F77D6"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(11,898)</w:t>
            </w:r>
          </w:p>
        </w:tc>
        <w:tc>
          <w:tcPr>
            <w:tcW w:w="901" w:type="dxa"/>
            <w:tcBorders>
              <w:top w:val="nil"/>
              <w:left w:val="nil"/>
              <w:bottom w:val="single" w:sz="4" w:space="0" w:color="auto"/>
              <w:right w:val="nil"/>
            </w:tcBorders>
            <w:shd w:val="clear" w:color="auto" w:fill="auto"/>
            <w:noWrap/>
            <w:vAlign w:val="bottom"/>
            <w:hideMark/>
          </w:tcPr>
          <w:p w14:paraId="66550A42"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(9,229)</w:t>
            </w:r>
          </w:p>
        </w:tc>
        <w:tc>
          <w:tcPr>
            <w:tcW w:w="901" w:type="dxa"/>
            <w:tcBorders>
              <w:top w:val="nil"/>
              <w:left w:val="nil"/>
              <w:bottom w:val="single" w:sz="4" w:space="0" w:color="auto"/>
              <w:right w:val="nil"/>
            </w:tcBorders>
            <w:shd w:val="clear" w:color="auto" w:fill="auto"/>
            <w:noWrap/>
            <w:vAlign w:val="bottom"/>
            <w:hideMark/>
          </w:tcPr>
          <w:p w14:paraId="677764AF"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(8,853)</w:t>
            </w:r>
          </w:p>
        </w:tc>
        <w:tc>
          <w:tcPr>
            <w:tcW w:w="901" w:type="dxa"/>
            <w:tcBorders>
              <w:top w:val="nil"/>
              <w:left w:val="nil"/>
              <w:bottom w:val="single" w:sz="4" w:space="0" w:color="auto"/>
              <w:right w:val="nil"/>
            </w:tcBorders>
            <w:shd w:val="clear" w:color="auto" w:fill="auto"/>
            <w:noWrap/>
            <w:vAlign w:val="bottom"/>
            <w:hideMark/>
          </w:tcPr>
          <w:p w14:paraId="6A5E7E30"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(8,463)</w:t>
            </w:r>
          </w:p>
        </w:tc>
      </w:tr>
      <w:tr w:rsidR="0014555F" w:rsidRPr="004349E0" w14:paraId="32D620A1" w14:textId="77777777" w:rsidTr="004D26B5">
        <w:trPr>
          <w:trHeight w:val="204"/>
        </w:trPr>
        <w:tc>
          <w:tcPr>
            <w:tcW w:w="3140" w:type="dxa"/>
            <w:tcBorders>
              <w:top w:val="nil"/>
              <w:left w:val="nil"/>
              <w:bottom w:val="nil"/>
              <w:right w:val="nil"/>
            </w:tcBorders>
            <w:shd w:val="clear" w:color="auto" w:fill="auto"/>
            <w:noWrap/>
            <w:vAlign w:val="bottom"/>
            <w:hideMark/>
          </w:tcPr>
          <w:p w14:paraId="3A00BFDD"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OTHER COMPREHENSIVE INCOME</w:t>
            </w:r>
          </w:p>
        </w:tc>
        <w:tc>
          <w:tcPr>
            <w:tcW w:w="901" w:type="dxa"/>
            <w:tcBorders>
              <w:top w:val="nil"/>
              <w:left w:val="nil"/>
              <w:bottom w:val="nil"/>
              <w:right w:val="nil"/>
            </w:tcBorders>
            <w:shd w:val="clear" w:color="auto" w:fill="auto"/>
            <w:noWrap/>
            <w:vAlign w:val="bottom"/>
            <w:hideMark/>
          </w:tcPr>
          <w:p w14:paraId="49CD4E50"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64422269" w14:textId="122DA57C"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582EFDB2" w14:textId="77777777" w:rsidR="0014555F" w:rsidRPr="004349E0" w:rsidRDefault="0014555F" w:rsidP="00AA1477">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1DC7708E" w14:textId="77777777" w:rsidR="0014555F" w:rsidRPr="004349E0" w:rsidRDefault="0014555F" w:rsidP="00AA1477">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0735B7BA"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3D048D52" w14:textId="77777777" w:rsidTr="004D26B5">
        <w:trPr>
          <w:trHeight w:val="204"/>
        </w:trPr>
        <w:tc>
          <w:tcPr>
            <w:tcW w:w="3140" w:type="dxa"/>
            <w:tcBorders>
              <w:top w:val="nil"/>
              <w:left w:val="nil"/>
              <w:bottom w:val="nil"/>
              <w:right w:val="nil"/>
            </w:tcBorders>
            <w:shd w:val="clear" w:color="auto" w:fill="auto"/>
            <w:noWrap/>
            <w:vAlign w:val="bottom"/>
            <w:hideMark/>
          </w:tcPr>
          <w:p w14:paraId="5BAE93F5" w14:textId="77777777" w:rsidR="0014555F" w:rsidRPr="004349E0" w:rsidRDefault="0014555F" w:rsidP="009039A2">
            <w:pPr>
              <w:spacing w:after="0" w:line="240" w:lineRule="auto"/>
              <w:ind w:left="113"/>
              <w:jc w:val="left"/>
              <w:rPr>
                <w:rFonts w:ascii="Arial" w:hAnsi="Arial" w:cs="Arial"/>
                <w:sz w:val="16"/>
                <w:szCs w:val="16"/>
              </w:rPr>
            </w:pPr>
            <w:r w:rsidRPr="004349E0">
              <w:rPr>
                <w:rFonts w:ascii="Arial" w:hAnsi="Arial" w:cs="Arial"/>
                <w:sz w:val="16"/>
                <w:szCs w:val="16"/>
              </w:rPr>
              <w:t>Changes in asset revaluation surplus</w:t>
            </w:r>
          </w:p>
        </w:tc>
        <w:tc>
          <w:tcPr>
            <w:tcW w:w="901" w:type="dxa"/>
            <w:tcBorders>
              <w:top w:val="nil"/>
              <w:left w:val="nil"/>
              <w:bottom w:val="single" w:sz="4" w:space="0" w:color="auto"/>
              <w:right w:val="nil"/>
            </w:tcBorders>
            <w:shd w:val="clear" w:color="auto" w:fill="auto"/>
            <w:noWrap/>
            <w:vAlign w:val="bottom"/>
            <w:hideMark/>
          </w:tcPr>
          <w:p w14:paraId="536F052E" w14:textId="77777777"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(29)</w:t>
            </w:r>
          </w:p>
        </w:tc>
        <w:tc>
          <w:tcPr>
            <w:tcW w:w="901" w:type="dxa"/>
            <w:tcBorders>
              <w:top w:val="nil"/>
              <w:left w:val="nil"/>
              <w:bottom w:val="single" w:sz="4" w:space="0" w:color="auto"/>
              <w:right w:val="nil"/>
            </w:tcBorders>
            <w:shd w:val="clear" w:color="000000" w:fill="E6E6E6"/>
            <w:noWrap/>
            <w:vAlign w:val="bottom"/>
            <w:hideMark/>
          </w:tcPr>
          <w:p w14:paraId="6526941E" w14:textId="7C324B21" w:rsidR="0014555F" w:rsidRPr="004D26B5" w:rsidRDefault="0014555F" w:rsidP="00AA1477">
            <w:pPr>
              <w:spacing w:after="0" w:line="240" w:lineRule="auto"/>
              <w:jc w:val="right"/>
              <w:rPr>
                <w:rFonts w:ascii="Arial" w:hAnsi="Arial" w:cs="Arial"/>
                <w:bCs/>
                <w:sz w:val="16"/>
                <w:szCs w:val="16"/>
              </w:rPr>
            </w:pPr>
            <w:r w:rsidRPr="004D26B5">
              <w:rPr>
                <w:rFonts w:ascii="Arial" w:hAnsi="Arial" w:cs="Arial"/>
                <w:bCs/>
                <w:sz w:val="16"/>
                <w:szCs w:val="16"/>
              </w:rPr>
              <w:t>-</w:t>
            </w:r>
          </w:p>
        </w:tc>
        <w:tc>
          <w:tcPr>
            <w:tcW w:w="901" w:type="dxa"/>
            <w:tcBorders>
              <w:top w:val="nil"/>
              <w:left w:val="nil"/>
              <w:bottom w:val="single" w:sz="4" w:space="0" w:color="auto"/>
              <w:right w:val="nil"/>
            </w:tcBorders>
            <w:shd w:val="clear" w:color="auto" w:fill="auto"/>
            <w:noWrap/>
            <w:vAlign w:val="bottom"/>
            <w:hideMark/>
          </w:tcPr>
          <w:p w14:paraId="140D3E02" w14:textId="30791CF6" w:rsidR="0014555F" w:rsidRPr="004D26B5" w:rsidRDefault="0014555F" w:rsidP="00AA1477">
            <w:pPr>
              <w:spacing w:after="0" w:line="240" w:lineRule="auto"/>
              <w:jc w:val="right"/>
              <w:rPr>
                <w:rFonts w:ascii="Arial" w:hAnsi="Arial" w:cs="Arial"/>
                <w:bCs/>
                <w:sz w:val="16"/>
                <w:szCs w:val="16"/>
              </w:rPr>
            </w:pPr>
            <w:r w:rsidRPr="004D26B5">
              <w:rPr>
                <w:rFonts w:ascii="Arial" w:hAnsi="Arial" w:cs="Arial"/>
                <w:bCs/>
                <w:sz w:val="16"/>
                <w:szCs w:val="16"/>
              </w:rPr>
              <w:t>-</w:t>
            </w:r>
          </w:p>
        </w:tc>
        <w:tc>
          <w:tcPr>
            <w:tcW w:w="901" w:type="dxa"/>
            <w:tcBorders>
              <w:top w:val="nil"/>
              <w:left w:val="nil"/>
              <w:bottom w:val="single" w:sz="4" w:space="0" w:color="auto"/>
              <w:right w:val="nil"/>
            </w:tcBorders>
            <w:shd w:val="clear" w:color="auto" w:fill="auto"/>
            <w:noWrap/>
            <w:vAlign w:val="bottom"/>
            <w:hideMark/>
          </w:tcPr>
          <w:p w14:paraId="5B1096E9" w14:textId="3158D977" w:rsidR="0014555F" w:rsidRPr="004D26B5" w:rsidRDefault="0014555F" w:rsidP="00AA1477">
            <w:pPr>
              <w:spacing w:after="0" w:line="240" w:lineRule="auto"/>
              <w:jc w:val="right"/>
              <w:rPr>
                <w:rFonts w:ascii="Arial" w:hAnsi="Arial" w:cs="Arial"/>
                <w:bCs/>
                <w:sz w:val="16"/>
                <w:szCs w:val="16"/>
              </w:rPr>
            </w:pPr>
            <w:r w:rsidRPr="004D26B5">
              <w:rPr>
                <w:rFonts w:ascii="Arial" w:hAnsi="Arial" w:cs="Arial"/>
                <w:bCs/>
                <w:sz w:val="16"/>
                <w:szCs w:val="16"/>
              </w:rPr>
              <w:t>-</w:t>
            </w:r>
          </w:p>
        </w:tc>
        <w:tc>
          <w:tcPr>
            <w:tcW w:w="901" w:type="dxa"/>
            <w:tcBorders>
              <w:top w:val="nil"/>
              <w:left w:val="nil"/>
              <w:bottom w:val="single" w:sz="4" w:space="0" w:color="auto"/>
              <w:right w:val="nil"/>
            </w:tcBorders>
            <w:shd w:val="clear" w:color="auto" w:fill="auto"/>
            <w:noWrap/>
            <w:vAlign w:val="bottom"/>
            <w:hideMark/>
          </w:tcPr>
          <w:p w14:paraId="267A4DBA" w14:textId="389B8ABD" w:rsidR="0014555F" w:rsidRPr="004D26B5" w:rsidRDefault="0014555F" w:rsidP="00AA1477">
            <w:pPr>
              <w:spacing w:after="0" w:line="240" w:lineRule="auto"/>
              <w:jc w:val="right"/>
              <w:rPr>
                <w:rFonts w:ascii="Arial" w:hAnsi="Arial" w:cs="Arial"/>
                <w:bCs/>
                <w:sz w:val="16"/>
                <w:szCs w:val="16"/>
              </w:rPr>
            </w:pPr>
            <w:r w:rsidRPr="004D26B5">
              <w:rPr>
                <w:rFonts w:ascii="Arial" w:hAnsi="Arial" w:cs="Arial"/>
                <w:bCs/>
                <w:sz w:val="16"/>
                <w:szCs w:val="16"/>
              </w:rPr>
              <w:t>-</w:t>
            </w:r>
          </w:p>
        </w:tc>
      </w:tr>
      <w:tr w:rsidR="0014555F" w:rsidRPr="004349E0" w14:paraId="3DD388D2" w14:textId="77777777" w:rsidTr="004D26B5">
        <w:trPr>
          <w:trHeight w:val="204"/>
        </w:trPr>
        <w:tc>
          <w:tcPr>
            <w:tcW w:w="3140" w:type="dxa"/>
            <w:tcBorders>
              <w:top w:val="nil"/>
              <w:left w:val="nil"/>
              <w:bottom w:val="nil"/>
              <w:right w:val="nil"/>
            </w:tcBorders>
            <w:shd w:val="clear" w:color="auto" w:fill="auto"/>
            <w:noWrap/>
            <w:vAlign w:val="bottom"/>
            <w:hideMark/>
          </w:tcPr>
          <w:p w14:paraId="72AE57D4"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 xml:space="preserve">Total other comprehensive income </w:t>
            </w:r>
          </w:p>
        </w:tc>
        <w:tc>
          <w:tcPr>
            <w:tcW w:w="901" w:type="dxa"/>
            <w:tcBorders>
              <w:top w:val="nil"/>
              <w:left w:val="nil"/>
              <w:bottom w:val="single" w:sz="4" w:space="0" w:color="auto"/>
              <w:right w:val="nil"/>
            </w:tcBorders>
            <w:shd w:val="clear" w:color="auto" w:fill="auto"/>
            <w:noWrap/>
            <w:vAlign w:val="bottom"/>
            <w:hideMark/>
          </w:tcPr>
          <w:p w14:paraId="256C6670"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(29)</w:t>
            </w:r>
          </w:p>
        </w:tc>
        <w:tc>
          <w:tcPr>
            <w:tcW w:w="901" w:type="dxa"/>
            <w:tcBorders>
              <w:top w:val="nil"/>
              <w:left w:val="nil"/>
              <w:bottom w:val="single" w:sz="4" w:space="0" w:color="auto"/>
              <w:right w:val="nil"/>
            </w:tcBorders>
            <w:shd w:val="clear" w:color="000000" w:fill="E6E6E6"/>
            <w:noWrap/>
            <w:vAlign w:val="bottom"/>
            <w:hideMark/>
          </w:tcPr>
          <w:p w14:paraId="4AA2AB6E" w14:textId="42264CB3"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w:t>
            </w:r>
          </w:p>
        </w:tc>
        <w:tc>
          <w:tcPr>
            <w:tcW w:w="901" w:type="dxa"/>
            <w:tcBorders>
              <w:top w:val="nil"/>
              <w:left w:val="nil"/>
              <w:bottom w:val="single" w:sz="4" w:space="0" w:color="auto"/>
              <w:right w:val="nil"/>
            </w:tcBorders>
            <w:shd w:val="clear" w:color="auto" w:fill="auto"/>
            <w:noWrap/>
            <w:vAlign w:val="bottom"/>
            <w:hideMark/>
          </w:tcPr>
          <w:p w14:paraId="5D978582" w14:textId="52595946"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w:t>
            </w:r>
          </w:p>
        </w:tc>
        <w:tc>
          <w:tcPr>
            <w:tcW w:w="901" w:type="dxa"/>
            <w:tcBorders>
              <w:top w:val="nil"/>
              <w:left w:val="nil"/>
              <w:bottom w:val="single" w:sz="4" w:space="0" w:color="auto"/>
              <w:right w:val="nil"/>
            </w:tcBorders>
            <w:shd w:val="clear" w:color="auto" w:fill="auto"/>
            <w:noWrap/>
            <w:vAlign w:val="bottom"/>
            <w:hideMark/>
          </w:tcPr>
          <w:p w14:paraId="18E9B14F" w14:textId="48C2C1FF"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w:t>
            </w:r>
          </w:p>
        </w:tc>
        <w:tc>
          <w:tcPr>
            <w:tcW w:w="901" w:type="dxa"/>
            <w:tcBorders>
              <w:top w:val="nil"/>
              <w:left w:val="nil"/>
              <w:bottom w:val="single" w:sz="4" w:space="0" w:color="auto"/>
              <w:right w:val="nil"/>
            </w:tcBorders>
            <w:shd w:val="clear" w:color="auto" w:fill="auto"/>
            <w:noWrap/>
            <w:vAlign w:val="bottom"/>
            <w:hideMark/>
          </w:tcPr>
          <w:p w14:paraId="5843D873" w14:textId="72993F3B"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w:t>
            </w:r>
          </w:p>
        </w:tc>
      </w:tr>
      <w:tr w:rsidR="0014555F" w:rsidRPr="004349E0" w14:paraId="14B429A9" w14:textId="77777777" w:rsidTr="004D26B5">
        <w:trPr>
          <w:trHeight w:val="204"/>
        </w:trPr>
        <w:tc>
          <w:tcPr>
            <w:tcW w:w="3140" w:type="dxa"/>
            <w:tcBorders>
              <w:top w:val="nil"/>
              <w:left w:val="nil"/>
              <w:bottom w:val="single" w:sz="4" w:space="0" w:color="auto"/>
              <w:right w:val="nil"/>
            </w:tcBorders>
            <w:shd w:val="clear" w:color="auto" w:fill="auto"/>
            <w:vAlign w:val="bottom"/>
            <w:hideMark/>
          </w:tcPr>
          <w:p w14:paraId="7734C058"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Total comprehensive income/(loss)attributable to the Australian Government</w:t>
            </w:r>
          </w:p>
        </w:tc>
        <w:tc>
          <w:tcPr>
            <w:tcW w:w="901" w:type="dxa"/>
            <w:tcBorders>
              <w:top w:val="nil"/>
              <w:left w:val="nil"/>
              <w:bottom w:val="single" w:sz="4" w:space="0" w:color="auto"/>
              <w:right w:val="nil"/>
            </w:tcBorders>
            <w:shd w:val="clear" w:color="auto" w:fill="auto"/>
            <w:noWrap/>
            <w:vAlign w:val="bottom"/>
            <w:hideMark/>
          </w:tcPr>
          <w:p w14:paraId="3DC3EAED"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(10,452)</w:t>
            </w:r>
          </w:p>
        </w:tc>
        <w:tc>
          <w:tcPr>
            <w:tcW w:w="901" w:type="dxa"/>
            <w:tcBorders>
              <w:top w:val="nil"/>
              <w:left w:val="nil"/>
              <w:bottom w:val="single" w:sz="4" w:space="0" w:color="auto"/>
              <w:right w:val="nil"/>
            </w:tcBorders>
            <w:shd w:val="clear" w:color="000000" w:fill="E6E6E6"/>
            <w:noWrap/>
            <w:vAlign w:val="bottom"/>
            <w:hideMark/>
          </w:tcPr>
          <w:p w14:paraId="201862C9"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(11,898)</w:t>
            </w:r>
          </w:p>
        </w:tc>
        <w:tc>
          <w:tcPr>
            <w:tcW w:w="901" w:type="dxa"/>
            <w:tcBorders>
              <w:top w:val="nil"/>
              <w:left w:val="nil"/>
              <w:bottom w:val="single" w:sz="4" w:space="0" w:color="auto"/>
              <w:right w:val="nil"/>
            </w:tcBorders>
            <w:shd w:val="clear" w:color="auto" w:fill="auto"/>
            <w:noWrap/>
            <w:vAlign w:val="bottom"/>
            <w:hideMark/>
          </w:tcPr>
          <w:p w14:paraId="629286F1"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(9,229)</w:t>
            </w:r>
          </w:p>
        </w:tc>
        <w:tc>
          <w:tcPr>
            <w:tcW w:w="901" w:type="dxa"/>
            <w:tcBorders>
              <w:top w:val="nil"/>
              <w:left w:val="nil"/>
              <w:bottom w:val="single" w:sz="4" w:space="0" w:color="auto"/>
              <w:right w:val="nil"/>
            </w:tcBorders>
            <w:shd w:val="clear" w:color="auto" w:fill="auto"/>
            <w:noWrap/>
            <w:vAlign w:val="bottom"/>
            <w:hideMark/>
          </w:tcPr>
          <w:p w14:paraId="2A4FC828"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(8,853)</w:t>
            </w:r>
          </w:p>
        </w:tc>
        <w:tc>
          <w:tcPr>
            <w:tcW w:w="901" w:type="dxa"/>
            <w:tcBorders>
              <w:top w:val="nil"/>
              <w:left w:val="nil"/>
              <w:bottom w:val="single" w:sz="4" w:space="0" w:color="auto"/>
              <w:right w:val="nil"/>
            </w:tcBorders>
            <w:shd w:val="clear" w:color="auto" w:fill="auto"/>
            <w:noWrap/>
            <w:vAlign w:val="bottom"/>
            <w:hideMark/>
          </w:tcPr>
          <w:p w14:paraId="51BE82FE" w14:textId="77777777"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(8,463)</w:t>
            </w:r>
          </w:p>
        </w:tc>
      </w:tr>
    </w:tbl>
    <w:p w14:paraId="6FAACA03" w14:textId="77777777" w:rsidR="0016597F" w:rsidRPr="004643F6" w:rsidRDefault="0016597F" w:rsidP="004643F6">
      <w:pPr>
        <w:pStyle w:val="TableHeadingNoTable"/>
        <w:pBdr>
          <w:bottom w:val="single" w:sz="4" w:space="1" w:color="auto"/>
        </w:pBdr>
        <w:spacing w:after="0"/>
        <w:rPr>
          <w:sz w:val="16"/>
          <w:szCs w:val="16"/>
        </w:rPr>
      </w:pPr>
      <w:r w:rsidRPr="004643F6">
        <w:rPr>
          <w:sz w:val="16"/>
          <w:szCs w:val="16"/>
        </w:rPr>
        <w:t>Note: Impact of net cash appropriation arrangements</w:t>
      </w:r>
    </w:p>
    <w:tbl>
      <w:tblPr>
        <w:tblW w:w="7655" w:type="dxa"/>
        <w:tblLook w:val="04A0" w:firstRow="1" w:lastRow="0" w:firstColumn="1" w:lastColumn="0" w:noHBand="0" w:noVBand="1"/>
      </w:tblPr>
      <w:tblGrid>
        <w:gridCol w:w="3136"/>
        <w:gridCol w:w="924"/>
        <w:gridCol w:w="910"/>
        <w:gridCol w:w="820"/>
        <w:gridCol w:w="929"/>
        <w:gridCol w:w="936"/>
      </w:tblGrid>
      <w:tr w:rsidR="00BD4DA7" w:rsidRPr="00BD4DA7" w14:paraId="08110D2B" w14:textId="77777777" w:rsidTr="004643F6">
        <w:trPr>
          <w:trHeight w:val="204"/>
        </w:trPr>
        <w:tc>
          <w:tcPr>
            <w:tcW w:w="3136" w:type="dxa"/>
            <w:tcBorders>
              <w:top w:val="nil"/>
              <w:left w:val="nil"/>
              <w:bottom w:val="nil"/>
              <w:right w:val="nil"/>
            </w:tcBorders>
            <w:shd w:val="clear" w:color="auto" w:fill="auto"/>
            <w:hideMark/>
          </w:tcPr>
          <w:p w14:paraId="752F541B" w14:textId="6BFE857F" w:rsidR="00BD4DA7" w:rsidRPr="00BD4DA7" w:rsidRDefault="00BD4DA7" w:rsidP="00BE1DA8">
            <w:pPr>
              <w:spacing w:after="0" w:line="240" w:lineRule="auto"/>
              <w:jc w:val="left"/>
              <w:rPr>
                <w:rFonts w:ascii="Arial" w:hAnsi="Arial" w:cs="Arial"/>
                <w:b/>
                <w:bCs/>
                <w:color w:val="000000"/>
                <w:sz w:val="16"/>
                <w:szCs w:val="16"/>
              </w:rPr>
            </w:pPr>
            <w:r w:rsidRPr="00BD4DA7">
              <w:rPr>
                <w:rFonts w:ascii="Arial" w:hAnsi="Arial" w:cs="Arial"/>
                <w:b/>
                <w:bCs/>
                <w:color w:val="000000"/>
                <w:sz w:val="16"/>
                <w:szCs w:val="16"/>
              </w:rPr>
              <w:t>Total comprehensive income/(loss)</w:t>
            </w:r>
            <w:r w:rsidR="00BE1DA8">
              <w:rPr>
                <w:rFonts w:ascii="Arial" w:hAnsi="Arial" w:cs="Arial"/>
                <w:b/>
                <w:bCs/>
                <w:color w:val="000000"/>
                <w:sz w:val="16"/>
                <w:szCs w:val="16"/>
              </w:rPr>
              <w:t xml:space="preserve"> </w:t>
            </w:r>
            <w:r w:rsidR="004349E0">
              <w:rPr>
                <w:rFonts w:ascii="Arial" w:hAnsi="Arial" w:cs="Arial"/>
                <w:b/>
                <w:bCs/>
                <w:color w:val="000000"/>
                <w:sz w:val="16"/>
                <w:szCs w:val="16"/>
              </w:rPr>
              <w:t xml:space="preserve">- </w:t>
            </w:r>
            <w:r w:rsidRPr="00BD4DA7">
              <w:rPr>
                <w:rFonts w:ascii="Arial" w:hAnsi="Arial" w:cs="Arial"/>
                <w:b/>
                <w:bCs/>
                <w:color w:val="000000"/>
                <w:sz w:val="16"/>
                <w:szCs w:val="16"/>
              </w:rPr>
              <w:t>as per statement of</w:t>
            </w:r>
            <w:r w:rsidR="00BE1DA8">
              <w:rPr>
                <w:rFonts w:ascii="Arial" w:hAnsi="Arial" w:cs="Arial"/>
                <w:b/>
                <w:bCs/>
                <w:color w:val="000000"/>
                <w:sz w:val="16"/>
                <w:szCs w:val="16"/>
              </w:rPr>
              <w:t xml:space="preserve"> </w:t>
            </w:r>
            <w:r w:rsidRPr="00BD4DA7">
              <w:rPr>
                <w:rFonts w:ascii="Arial" w:hAnsi="Arial" w:cs="Arial"/>
                <w:b/>
                <w:bCs/>
                <w:color w:val="000000"/>
                <w:sz w:val="16"/>
                <w:szCs w:val="16"/>
              </w:rPr>
              <w:t>Comprehensive Income</w:t>
            </w:r>
          </w:p>
        </w:tc>
        <w:tc>
          <w:tcPr>
            <w:tcW w:w="924" w:type="dxa"/>
            <w:tcBorders>
              <w:top w:val="nil"/>
              <w:left w:val="nil"/>
              <w:bottom w:val="nil"/>
              <w:right w:val="nil"/>
            </w:tcBorders>
            <w:shd w:val="clear" w:color="auto" w:fill="auto"/>
            <w:noWrap/>
            <w:vAlign w:val="bottom"/>
            <w:hideMark/>
          </w:tcPr>
          <w:p w14:paraId="33BA94CF" w14:textId="77777777" w:rsidR="00BD4DA7" w:rsidRPr="00BD4DA7" w:rsidRDefault="00BD4DA7" w:rsidP="009610AF">
            <w:pPr>
              <w:spacing w:after="0" w:line="240" w:lineRule="auto"/>
              <w:jc w:val="right"/>
              <w:rPr>
                <w:rFonts w:ascii="Arial" w:hAnsi="Arial" w:cs="Arial"/>
                <w:b/>
                <w:bCs/>
                <w:color w:val="000000"/>
                <w:sz w:val="16"/>
                <w:szCs w:val="16"/>
              </w:rPr>
            </w:pPr>
            <w:r w:rsidRPr="00BD4DA7">
              <w:rPr>
                <w:rFonts w:ascii="Arial" w:hAnsi="Arial" w:cs="Arial"/>
                <w:b/>
                <w:bCs/>
                <w:color w:val="000000"/>
                <w:sz w:val="16"/>
                <w:szCs w:val="16"/>
              </w:rPr>
              <w:t>(10,452)</w:t>
            </w:r>
          </w:p>
        </w:tc>
        <w:tc>
          <w:tcPr>
            <w:tcW w:w="910" w:type="dxa"/>
            <w:tcBorders>
              <w:top w:val="nil"/>
              <w:left w:val="nil"/>
              <w:bottom w:val="nil"/>
              <w:right w:val="nil"/>
            </w:tcBorders>
            <w:shd w:val="clear" w:color="000000" w:fill="E6E6E6"/>
            <w:noWrap/>
            <w:vAlign w:val="bottom"/>
            <w:hideMark/>
          </w:tcPr>
          <w:p w14:paraId="17EB8C90" w14:textId="77777777" w:rsidR="00BD4DA7" w:rsidRPr="00BD4DA7" w:rsidRDefault="00BD4DA7" w:rsidP="009610AF">
            <w:pPr>
              <w:spacing w:after="0" w:line="240" w:lineRule="auto"/>
              <w:jc w:val="right"/>
              <w:rPr>
                <w:rFonts w:ascii="Arial" w:hAnsi="Arial" w:cs="Arial"/>
                <w:b/>
                <w:bCs/>
                <w:color w:val="000000"/>
                <w:sz w:val="16"/>
                <w:szCs w:val="16"/>
              </w:rPr>
            </w:pPr>
            <w:r w:rsidRPr="00BD4DA7">
              <w:rPr>
                <w:rFonts w:ascii="Arial" w:hAnsi="Arial" w:cs="Arial"/>
                <w:b/>
                <w:bCs/>
                <w:color w:val="000000"/>
                <w:sz w:val="16"/>
                <w:szCs w:val="16"/>
              </w:rPr>
              <w:t>(11,898)</w:t>
            </w:r>
          </w:p>
        </w:tc>
        <w:tc>
          <w:tcPr>
            <w:tcW w:w="820" w:type="dxa"/>
            <w:tcBorders>
              <w:top w:val="nil"/>
              <w:left w:val="nil"/>
              <w:bottom w:val="nil"/>
              <w:right w:val="nil"/>
            </w:tcBorders>
            <w:shd w:val="clear" w:color="auto" w:fill="auto"/>
            <w:noWrap/>
            <w:vAlign w:val="bottom"/>
            <w:hideMark/>
          </w:tcPr>
          <w:p w14:paraId="427C2F1A" w14:textId="77777777" w:rsidR="00BD4DA7" w:rsidRPr="00BD4DA7" w:rsidRDefault="00BD4DA7" w:rsidP="009610AF">
            <w:pPr>
              <w:spacing w:after="0" w:line="240" w:lineRule="auto"/>
              <w:jc w:val="right"/>
              <w:rPr>
                <w:rFonts w:ascii="Arial" w:hAnsi="Arial" w:cs="Arial"/>
                <w:b/>
                <w:bCs/>
                <w:color w:val="000000"/>
                <w:sz w:val="16"/>
                <w:szCs w:val="16"/>
              </w:rPr>
            </w:pPr>
            <w:r w:rsidRPr="00BD4DA7">
              <w:rPr>
                <w:rFonts w:ascii="Arial" w:hAnsi="Arial" w:cs="Arial"/>
                <w:b/>
                <w:bCs/>
                <w:color w:val="000000"/>
                <w:sz w:val="16"/>
                <w:szCs w:val="16"/>
              </w:rPr>
              <w:t>(9,229)</w:t>
            </w:r>
          </w:p>
        </w:tc>
        <w:tc>
          <w:tcPr>
            <w:tcW w:w="929" w:type="dxa"/>
            <w:tcBorders>
              <w:top w:val="nil"/>
              <w:left w:val="nil"/>
              <w:bottom w:val="nil"/>
              <w:right w:val="nil"/>
            </w:tcBorders>
            <w:shd w:val="clear" w:color="auto" w:fill="auto"/>
            <w:noWrap/>
            <w:vAlign w:val="bottom"/>
            <w:hideMark/>
          </w:tcPr>
          <w:p w14:paraId="3127DA87" w14:textId="77777777" w:rsidR="00BD4DA7" w:rsidRPr="00BD4DA7" w:rsidRDefault="00BD4DA7" w:rsidP="009610AF">
            <w:pPr>
              <w:spacing w:after="0" w:line="240" w:lineRule="auto"/>
              <w:jc w:val="right"/>
              <w:rPr>
                <w:rFonts w:ascii="Arial" w:hAnsi="Arial" w:cs="Arial"/>
                <w:b/>
                <w:bCs/>
                <w:color w:val="000000"/>
                <w:sz w:val="16"/>
                <w:szCs w:val="16"/>
              </w:rPr>
            </w:pPr>
            <w:r w:rsidRPr="00BD4DA7">
              <w:rPr>
                <w:rFonts w:ascii="Arial" w:hAnsi="Arial" w:cs="Arial"/>
                <w:b/>
                <w:bCs/>
                <w:color w:val="000000"/>
                <w:sz w:val="16"/>
                <w:szCs w:val="16"/>
              </w:rPr>
              <w:t>(8,853)</w:t>
            </w:r>
          </w:p>
        </w:tc>
        <w:tc>
          <w:tcPr>
            <w:tcW w:w="936" w:type="dxa"/>
            <w:tcBorders>
              <w:top w:val="nil"/>
              <w:left w:val="nil"/>
              <w:bottom w:val="nil"/>
              <w:right w:val="nil"/>
            </w:tcBorders>
            <w:shd w:val="clear" w:color="auto" w:fill="auto"/>
            <w:noWrap/>
            <w:vAlign w:val="bottom"/>
            <w:hideMark/>
          </w:tcPr>
          <w:p w14:paraId="60F73DF7" w14:textId="77777777" w:rsidR="00BD4DA7" w:rsidRPr="00BD4DA7" w:rsidRDefault="00BD4DA7" w:rsidP="009610AF">
            <w:pPr>
              <w:spacing w:after="0" w:line="240" w:lineRule="auto"/>
              <w:jc w:val="right"/>
              <w:rPr>
                <w:rFonts w:ascii="Arial" w:hAnsi="Arial" w:cs="Arial"/>
                <w:b/>
                <w:bCs/>
                <w:color w:val="000000"/>
                <w:sz w:val="16"/>
                <w:szCs w:val="16"/>
              </w:rPr>
            </w:pPr>
            <w:r w:rsidRPr="00BD4DA7">
              <w:rPr>
                <w:rFonts w:ascii="Arial" w:hAnsi="Arial" w:cs="Arial"/>
                <w:b/>
                <w:bCs/>
                <w:color w:val="000000"/>
                <w:sz w:val="16"/>
                <w:szCs w:val="16"/>
              </w:rPr>
              <w:t>(8,463)</w:t>
            </w:r>
          </w:p>
        </w:tc>
      </w:tr>
      <w:tr w:rsidR="00BD4DA7" w:rsidRPr="00BD4DA7" w14:paraId="3CC0369E" w14:textId="77777777" w:rsidTr="004643F6">
        <w:trPr>
          <w:trHeight w:val="204"/>
        </w:trPr>
        <w:tc>
          <w:tcPr>
            <w:tcW w:w="3136" w:type="dxa"/>
            <w:tcBorders>
              <w:top w:val="nil"/>
              <w:left w:val="nil"/>
              <w:bottom w:val="nil"/>
              <w:right w:val="nil"/>
            </w:tcBorders>
            <w:shd w:val="clear" w:color="auto" w:fill="auto"/>
            <w:hideMark/>
          </w:tcPr>
          <w:p w14:paraId="1132D555" w14:textId="1CD96ECD" w:rsidR="00BD4DA7" w:rsidRPr="00BD4DA7" w:rsidRDefault="00BD4DA7" w:rsidP="00BE1DA8">
            <w:pPr>
              <w:spacing w:after="0" w:line="240" w:lineRule="auto"/>
              <w:ind w:left="113"/>
              <w:jc w:val="left"/>
              <w:rPr>
                <w:rFonts w:ascii="Arial" w:hAnsi="Arial" w:cs="Arial"/>
                <w:color w:val="000000"/>
                <w:sz w:val="16"/>
                <w:szCs w:val="16"/>
              </w:rPr>
            </w:pPr>
            <w:r w:rsidRPr="00BD4DA7">
              <w:rPr>
                <w:rFonts w:ascii="Arial" w:hAnsi="Arial" w:cs="Arial"/>
                <w:color w:val="000000"/>
                <w:sz w:val="16"/>
                <w:szCs w:val="16"/>
              </w:rPr>
              <w:t>plus: depreciation/amortisation of assets</w:t>
            </w:r>
            <w:r w:rsidR="00BE1DA8">
              <w:rPr>
                <w:rFonts w:ascii="Arial" w:hAnsi="Arial" w:cs="Arial"/>
                <w:color w:val="000000"/>
                <w:sz w:val="16"/>
                <w:szCs w:val="16"/>
              </w:rPr>
              <w:t xml:space="preserve"> </w:t>
            </w:r>
            <w:r w:rsidRPr="00BD4DA7">
              <w:rPr>
                <w:rFonts w:ascii="Arial" w:hAnsi="Arial" w:cs="Arial"/>
                <w:color w:val="000000"/>
                <w:sz w:val="16"/>
                <w:szCs w:val="16"/>
              </w:rPr>
              <w:t>funded through appropriations</w:t>
            </w:r>
            <w:r w:rsidR="00BE1DA8">
              <w:rPr>
                <w:rFonts w:ascii="Arial" w:hAnsi="Arial" w:cs="Arial"/>
                <w:color w:val="000000"/>
                <w:sz w:val="16"/>
                <w:szCs w:val="16"/>
              </w:rPr>
              <w:t xml:space="preserve"> </w:t>
            </w:r>
            <w:r w:rsidRPr="00BD4DA7">
              <w:rPr>
                <w:rFonts w:ascii="Arial" w:hAnsi="Arial" w:cs="Arial"/>
                <w:color w:val="000000"/>
                <w:sz w:val="16"/>
                <w:szCs w:val="16"/>
              </w:rPr>
              <w:t>(</w:t>
            </w:r>
            <w:r w:rsidR="008863D9">
              <w:rPr>
                <w:rFonts w:ascii="Arial" w:hAnsi="Arial" w:cs="Arial"/>
                <w:color w:val="000000"/>
                <w:sz w:val="16"/>
                <w:szCs w:val="16"/>
              </w:rPr>
              <w:t>Department</w:t>
            </w:r>
            <w:r w:rsidRPr="00BD4DA7">
              <w:rPr>
                <w:rFonts w:ascii="Arial" w:hAnsi="Arial" w:cs="Arial"/>
                <w:color w:val="000000"/>
                <w:sz w:val="16"/>
                <w:szCs w:val="16"/>
              </w:rPr>
              <w:t>al capital budget funding</w:t>
            </w:r>
            <w:r w:rsidR="00BE1DA8">
              <w:rPr>
                <w:rFonts w:ascii="Arial" w:hAnsi="Arial" w:cs="Arial"/>
                <w:color w:val="000000"/>
                <w:sz w:val="16"/>
                <w:szCs w:val="16"/>
              </w:rPr>
              <w:t xml:space="preserve"> </w:t>
            </w:r>
            <w:r w:rsidRPr="00BD4DA7">
              <w:rPr>
                <w:rFonts w:ascii="Arial" w:hAnsi="Arial" w:cs="Arial"/>
                <w:color w:val="000000"/>
                <w:sz w:val="16"/>
                <w:szCs w:val="16"/>
              </w:rPr>
              <w:t xml:space="preserve">and/or equity injections) </w:t>
            </w:r>
            <w:r w:rsidRPr="00BD4DA7">
              <w:rPr>
                <w:rFonts w:ascii="Arial" w:hAnsi="Arial" w:cs="Arial"/>
                <w:color w:val="000000"/>
                <w:sz w:val="16"/>
                <w:szCs w:val="16"/>
                <w:vertAlign w:val="superscript"/>
              </w:rPr>
              <w:t>(a)</w:t>
            </w:r>
          </w:p>
        </w:tc>
        <w:tc>
          <w:tcPr>
            <w:tcW w:w="924" w:type="dxa"/>
            <w:tcBorders>
              <w:top w:val="nil"/>
              <w:left w:val="nil"/>
              <w:bottom w:val="nil"/>
              <w:right w:val="nil"/>
            </w:tcBorders>
            <w:shd w:val="clear" w:color="auto" w:fill="auto"/>
            <w:noWrap/>
            <w:vAlign w:val="bottom"/>
            <w:hideMark/>
          </w:tcPr>
          <w:p w14:paraId="662EE5E2" w14:textId="17A32D65" w:rsidR="00BD4DA7" w:rsidRPr="00BD4DA7" w:rsidRDefault="00BD4DA7" w:rsidP="009610AF">
            <w:pPr>
              <w:spacing w:after="0" w:line="240" w:lineRule="auto"/>
              <w:jc w:val="right"/>
              <w:rPr>
                <w:rFonts w:ascii="Arial" w:hAnsi="Arial" w:cs="Arial"/>
                <w:sz w:val="16"/>
                <w:szCs w:val="16"/>
              </w:rPr>
            </w:pPr>
            <w:r w:rsidRPr="00BD4DA7">
              <w:rPr>
                <w:rFonts w:ascii="Arial" w:hAnsi="Arial" w:cs="Arial"/>
                <w:sz w:val="16"/>
                <w:szCs w:val="16"/>
              </w:rPr>
              <w:t>10,199</w:t>
            </w:r>
          </w:p>
        </w:tc>
        <w:tc>
          <w:tcPr>
            <w:tcW w:w="910" w:type="dxa"/>
            <w:tcBorders>
              <w:top w:val="nil"/>
              <w:left w:val="nil"/>
              <w:bottom w:val="nil"/>
              <w:right w:val="nil"/>
            </w:tcBorders>
            <w:shd w:val="clear" w:color="000000" w:fill="E6E6E6"/>
            <w:noWrap/>
            <w:vAlign w:val="bottom"/>
            <w:hideMark/>
          </w:tcPr>
          <w:p w14:paraId="3035FE4C" w14:textId="6A11281F" w:rsidR="00BD4DA7" w:rsidRPr="00BD4DA7" w:rsidRDefault="00BD4DA7" w:rsidP="009610AF">
            <w:pPr>
              <w:spacing w:after="0" w:line="240" w:lineRule="auto"/>
              <w:jc w:val="right"/>
              <w:rPr>
                <w:rFonts w:ascii="Arial" w:hAnsi="Arial" w:cs="Arial"/>
                <w:sz w:val="16"/>
                <w:szCs w:val="16"/>
              </w:rPr>
            </w:pPr>
            <w:r w:rsidRPr="00BD4DA7">
              <w:rPr>
                <w:rFonts w:ascii="Arial" w:hAnsi="Arial" w:cs="Arial"/>
                <w:sz w:val="16"/>
                <w:szCs w:val="16"/>
              </w:rPr>
              <w:t>9,214</w:t>
            </w:r>
          </w:p>
        </w:tc>
        <w:tc>
          <w:tcPr>
            <w:tcW w:w="820" w:type="dxa"/>
            <w:tcBorders>
              <w:top w:val="nil"/>
              <w:left w:val="nil"/>
              <w:bottom w:val="nil"/>
              <w:right w:val="nil"/>
            </w:tcBorders>
            <w:shd w:val="clear" w:color="auto" w:fill="auto"/>
            <w:noWrap/>
            <w:vAlign w:val="bottom"/>
            <w:hideMark/>
          </w:tcPr>
          <w:p w14:paraId="2269725E" w14:textId="2F3D2273" w:rsidR="00BD4DA7" w:rsidRPr="00BD4DA7" w:rsidRDefault="00BD4DA7" w:rsidP="009610AF">
            <w:pPr>
              <w:spacing w:after="0" w:line="240" w:lineRule="auto"/>
              <w:jc w:val="right"/>
              <w:rPr>
                <w:rFonts w:ascii="Arial" w:hAnsi="Arial" w:cs="Arial"/>
                <w:sz w:val="16"/>
                <w:szCs w:val="16"/>
              </w:rPr>
            </w:pPr>
            <w:r w:rsidRPr="00BD4DA7">
              <w:rPr>
                <w:rFonts w:ascii="Arial" w:hAnsi="Arial" w:cs="Arial"/>
                <w:sz w:val="16"/>
                <w:szCs w:val="16"/>
              </w:rPr>
              <w:t>8,955</w:t>
            </w:r>
          </w:p>
        </w:tc>
        <w:tc>
          <w:tcPr>
            <w:tcW w:w="929" w:type="dxa"/>
            <w:tcBorders>
              <w:top w:val="nil"/>
              <w:left w:val="nil"/>
              <w:bottom w:val="nil"/>
              <w:right w:val="nil"/>
            </w:tcBorders>
            <w:shd w:val="clear" w:color="auto" w:fill="auto"/>
            <w:noWrap/>
            <w:vAlign w:val="bottom"/>
            <w:hideMark/>
          </w:tcPr>
          <w:p w14:paraId="425541F0" w14:textId="575F72EA" w:rsidR="00BD4DA7" w:rsidRPr="00BD4DA7" w:rsidRDefault="00BD4DA7" w:rsidP="009610AF">
            <w:pPr>
              <w:spacing w:after="0" w:line="240" w:lineRule="auto"/>
              <w:jc w:val="right"/>
              <w:rPr>
                <w:rFonts w:ascii="Arial" w:hAnsi="Arial" w:cs="Arial"/>
                <w:sz w:val="16"/>
                <w:szCs w:val="16"/>
              </w:rPr>
            </w:pPr>
            <w:r w:rsidRPr="00BD4DA7">
              <w:rPr>
                <w:rFonts w:ascii="Arial" w:hAnsi="Arial" w:cs="Arial"/>
                <w:sz w:val="16"/>
                <w:szCs w:val="16"/>
              </w:rPr>
              <w:t>8,955</w:t>
            </w:r>
          </w:p>
        </w:tc>
        <w:tc>
          <w:tcPr>
            <w:tcW w:w="936" w:type="dxa"/>
            <w:tcBorders>
              <w:top w:val="nil"/>
              <w:left w:val="nil"/>
              <w:bottom w:val="nil"/>
              <w:right w:val="nil"/>
            </w:tcBorders>
            <w:shd w:val="clear" w:color="auto" w:fill="auto"/>
            <w:noWrap/>
            <w:vAlign w:val="bottom"/>
            <w:hideMark/>
          </w:tcPr>
          <w:p w14:paraId="5BCF5A18" w14:textId="03C84C62" w:rsidR="00BD4DA7" w:rsidRPr="00BD4DA7" w:rsidRDefault="00BD4DA7" w:rsidP="009610AF">
            <w:pPr>
              <w:spacing w:after="0" w:line="240" w:lineRule="auto"/>
              <w:jc w:val="right"/>
              <w:rPr>
                <w:rFonts w:ascii="Arial" w:hAnsi="Arial" w:cs="Arial"/>
                <w:sz w:val="16"/>
                <w:szCs w:val="16"/>
              </w:rPr>
            </w:pPr>
            <w:r w:rsidRPr="00BD4DA7">
              <w:rPr>
                <w:rFonts w:ascii="Arial" w:hAnsi="Arial" w:cs="Arial"/>
                <w:sz w:val="16"/>
                <w:szCs w:val="16"/>
              </w:rPr>
              <w:t>8,955</w:t>
            </w:r>
          </w:p>
        </w:tc>
      </w:tr>
      <w:tr w:rsidR="00BD4DA7" w:rsidRPr="00BD4DA7" w14:paraId="793D189A" w14:textId="77777777" w:rsidTr="004643F6">
        <w:trPr>
          <w:trHeight w:val="204"/>
        </w:trPr>
        <w:tc>
          <w:tcPr>
            <w:tcW w:w="3136" w:type="dxa"/>
            <w:tcBorders>
              <w:top w:val="nil"/>
              <w:left w:val="nil"/>
              <w:bottom w:val="nil"/>
              <w:right w:val="nil"/>
            </w:tcBorders>
            <w:shd w:val="clear" w:color="auto" w:fill="auto"/>
            <w:hideMark/>
          </w:tcPr>
          <w:p w14:paraId="34FC1474" w14:textId="2A95AC5D" w:rsidR="00BD4DA7" w:rsidRPr="00BD4DA7" w:rsidRDefault="00BD4DA7" w:rsidP="00BE1DA8">
            <w:pPr>
              <w:spacing w:after="0" w:line="240" w:lineRule="auto"/>
              <w:ind w:left="113"/>
              <w:jc w:val="left"/>
              <w:rPr>
                <w:rFonts w:ascii="Arial" w:hAnsi="Arial" w:cs="Arial"/>
                <w:color w:val="000000"/>
                <w:sz w:val="16"/>
                <w:szCs w:val="16"/>
              </w:rPr>
            </w:pPr>
            <w:r w:rsidRPr="00BD4DA7">
              <w:rPr>
                <w:rFonts w:ascii="Arial" w:hAnsi="Arial" w:cs="Arial"/>
                <w:color w:val="000000"/>
                <w:sz w:val="16"/>
                <w:szCs w:val="16"/>
              </w:rPr>
              <w:t>plus: depreciation</w:t>
            </w:r>
            <w:r w:rsidR="008E21C1">
              <w:rPr>
                <w:rFonts w:ascii="Arial" w:hAnsi="Arial" w:cs="Arial"/>
                <w:color w:val="000000"/>
                <w:sz w:val="16"/>
                <w:szCs w:val="16"/>
              </w:rPr>
              <w:t xml:space="preserve"> </w:t>
            </w:r>
            <w:r w:rsidRPr="00BD4DA7">
              <w:rPr>
                <w:rFonts w:ascii="Arial" w:hAnsi="Arial" w:cs="Arial"/>
                <w:color w:val="000000"/>
                <w:sz w:val="16"/>
                <w:szCs w:val="16"/>
              </w:rPr>
              <w:t>/amortisation</w:t>
            </w:r>
            <w:r w:rsidR="00BE1DA8">
              <w:rPr>
                <w:rFonts w:ascii="Arial" w:hAnsi="Arial" w:cs="Arial"/>
                <w:color w:val="000000"/>
                <w:sz w:val="16"/>
                <w:szCs w:val="16"/>
              </w:rPr>
              <w:t xml:space="preserve"> </w:t>
            </w:r>
            <w:r w:rsidRPr="00BD4DA7">
              <w:rPr>
                <w:rFonts w:ascii="Arial" w:hAnsi="Arial" w:cs="Arial"/>
                <w:color w:val="000000"/>
                <w:sz w:val="16"/>
                <w:szCs w:val="16"/>
              </w:rPr>
              <w:t xml:space="preserve">expenses for ROU assets </w:t>
            </w:r>
            <w:r w:rsidRPr="00BD4DA7">
              <w:rPr>
                <w:rFonts w:ascii="Arial" w:hAnsi="Arial" w:cs="Arial"/>
                <w:color w:val="000000"/>
                <w:sz w:val="16"/>
                <w:szCs w:val="16"/>
                <w:vertAlign w:val="superscript"/>
              </w:rPr>
              <w:t>(b)</w:t>
            </w:r>
          </w:p>
        </w:tc>
        <w:tc>
          <w:tcPr>
            <w:tcW w:w="924" w:type="dxa"/>
            <w:tcBorders>
              <w:top w:val="nil"/>
              <w:left w:val="nil"/>
              <w:bottom w:val="nil"/>
              <w:right w:val="nil"/>
            </w:tcBorders>
            <w:shd w:val="clear" w:color="auto" w:fill="auto"/>
            <w:noWrap/>
            <w:vAlign w:val="bottom"/>
            <w:hideMark/>
          </w:tcPr>
          <w:p w14:paraId="45A983CD" w14:textId="3627091E" w:rsidR="00BD4DA7" w:rsidRPr="00BD4DA7" w:rsidRDefault="00BD4DA7" w:rsidP="009610AF">
            <w:pPr>
              <w:spacing w:after="0" w:line="240" w:lineRule="auto"/>
              <w:jc w:val="right"/>
              <w:rPr>
                <w:rFonts w:ascii="Arial" w:hAnsi="Arial" w:cs="Arial"/>
                <w:sz w:val="16"/>
                <w:szCs w:val="16"/>
              </w:rPr>
            </w:pPr>
            <w:r w:rsidRPr="00BD4DA7">
              <w:rPr>
                <w:rFonts w:ascii="Arial" w:hAnsi="Arial" w:cs="Arial"/>
                <w:sz w:val="16"/>
                <w:szCs w:val="16"/>
              </w:rPr>
              <w:t>6,319</w:t>
            </w:r>
          </w:p>
        </w:tc>
        <w:tc>
          <w:tcPr>
            <w:tcW w:w="910" w:type="dxa"/>
            <w:tcBorders>
              <w:top w:val="nil"/>
              <w:left w:val="nil"/>
              <w:bottom w:val="nil"/>
              <w:right w:val="nil"/>
            </w:tcBorders>
            <w:shd w:val="clear" w:color="000000" w:fill="E6E6E6"/>
            <w:noWrap/>
            <w:vAlign w:val="bottom"/>
            <w:hideMark/>
          </w:tcPr>
          <w:p w14:paraId="13322B43" w14:textId="1295A29C" w:rsidR="00BD4DA7" w:rsidRPr="00BD4DA7" w:rsidRDefault="00BD4DA7" w:rsidP="009610AF">
            <w:pPr>
              <w:spacing w:after="0" w:line="240" w:lineRule="auto"/>
              <w:jc w:val="right"/>
              <w:rPr>
                <w:rFonts w:ascii="Arial" w:hAnsi="Arial" w:cs="Arial"/>
                <w:sz w:val="16"/>
                <w:szCs w:val="16"/>
              </w:rPr>
            </w:pPr>
            <w:r w:rsidRPr="00BD4DA7">
              <w:rPr>
                <w:rFonts w:ascii="Arial" w:hAnsi="Arial" w:cs="Arial"/>
                <w:sz w:val="16"/>
                <w:szCs w:val="16"/>
              </w:rPr>
              <w:t>7,985</w:t>
            </w:r>
          </w:p>
        </w:tc>
        <w:tc>
          <w:tcPr>
            <w:tcW w:w="820" w:type="dxa"/>
            <w:tcBorders>
              <w:top w:val="nil"/>
              <w:left w:val="nil"/>
              <w:bottom w:val="nil"/>
              <w:right w:val="nil"/>
            </w:tcBorders>
            <w:shd w:val="clear" w:color="auto" w:fill="auto"/>
            <w:noWrap/>
            <w:vAlign w:val="bottom"/>
            <w:hideMark/>
          </w:tcPr>
          <w:p w14:paraId="06B27060" w14:textId="118C04EE" w:rsidR="00BD4DA7" w:rsidRPr="00BD4DA7" w:rsidRDefault="00BD4DA7" w:rsidP="009610AF">
            <w:pPr>
              <w:spacing w:after="0" w:line="240" w:lineRule="auto"/>
              <w:jc w:val="right"/>
              <w:rPr>
                <w:rFonts w:ascii="Arial" w:hAnsi="Arial" w:cs="Arial"/>
                <w:sz w:val="16"/>
                <w:szCs w:val="16"/>
              </w:rPr>
            </w:pPr>
            <w:r w:rsidRPr="00BD4DA7">
              <w:rPr>
                <w:rFonts w:ascii="Arial" w:hAnsi="Arial" w:cs="Arial"/>
                <w:sz w:val="16"/>
                <w:szCs w:val="16"/>
              </w:rPr>
              <w:t>7,985</w:t>
            </w:r>
          </w:p>
        </w:tc>
        <w:tc>
          <w:tcPr>
            <w:tcW w:w="929" w:type="dxa"/>
            <w:tcBorders>
              <w:top w:val="nil"/>
              <w:left w:val="nil"/>
              <w:bottom w:val="nil"/>
              <w:right w:val="nil"/>
            </w:tcBorders>
            <w:shd w:val="clear" w:color="auto" w:fill="auto"/>
            <w:noWrap/>
            <w:vAlign w:val="bottom"/>
            <w:hideMark/>
          </w:tcPr>
          <w:p w14:paraId="068DCDD9" w14:textId="43A5D229" w:rsidR="00BD4DA7" w:rsidRPr="00BD4DA7" w:rsidRDefault="00BD4DA7" w:rsidP="009610AF">
            <w:pPr>
              <w:spacing w:after="0" w:line="240" w:lineRule="auto"/>
              <w:jc w:val="right"/>
              <w:rPr>
                <w:rFonts w:ascii="Arial" w:hAnsi="Arial" w:cs="Arial"/>
                <w:sz w:val="16"/>
                <w:szCs w:val="16"/>
              </w:rPr>
            </w:pPr>
            <w:r w:rsidRPr="00BD4DA7">
              <w:rPr>
                <w:rFonts w:ascii="Arial" w:hAnsi="Arial" w:cs="Arial"/>
                <w:sz w:val="16"/>
                <w:szCs w:val="16"/>
              </w:rPr>
              <w:t>7,985</w:t>
            </w:r>
          </w:p>
        </w:tc>
        <w:tc>
          <w:tcPr>
            <w:tcW w:w="936" w:type="dxa"/>
            <w:tcBorders>
              <w:top w:val="nil"/>
              <w:left w:val="nil"/>
              <w:bottom w:val="nil"/>
              <w:right w:val="nil"/>
            </w:tcBorders>
            <w:shd w:val="clear" w:color="auto" w:fill="auto"/>
            <w:noWrap/>
            <w:vAlign w:val="bottom"/>
            <w:hideMark/>
          </w:tcPr>
          <w:p w14:paraId="091EAF70" w14:textId="4B7C5579" w:rsidR="00BD4DA7" w:rsidRPr="00BD4DA7" w:rsidRDefault="00BD4DA7" w:rsidP="009610AF">
            <w:pPr>
              <w:spacing w:after="0" w:line="240" w:lineRule="auto"/>
              <w:jc w:val="right"/>
              <w:rPr>
                <w:rFonts w:ascii="Arial" w:hAnsi="Arial" w:cs="Arial"/>
                <w:sz w:val="16"/>
                <w:szCs w:val="16"/>
              </w:rPr>
            </w:pPr>
            <w:r w:rsidRPr="00BD4DA7">
              <w:rPr>
                <w:rFonts w:ascii="Arial" w:hAnsi="Arial" w:cs="Arial"/>
                <w:sz w:val="16"/>
                <w:szCs w:val="16"/>
              </w:rPr>
              <w:t>7,985</w:t>
            </w:r>
          </w:p>
        </w:tc>
      </w:tr>
      <w:tr w:rsidR="00BD4DA7" w:rsidRPr="00BD4DA7" w14:paraId="529DE80D" w14:textId="77777777" w:rsidTr="004643F6">
        <w:trPr>
          <w:trHeight w:val="204"/>
        </w:trPr>
        <w:tc>
          <w:tcPr>
            <w:tcW w:w="3136" w:type="dxa"/>
            <w:tcBorders>
              <w:top w:val="nil"/>
              <w:left w:val="nil"/>
              <w:right w:val="nil"/>
            </w:tcBorders>
            <w:shd w:val="clear" w:color="auto" w:fill="auto"/>
            <w:hideMark/>
          </w:tcPr>
          <w:p w14:paraId="37E5BFA3" w14:textId="77777777" w:rsidR="00BD4DA7" w:rsidRPr="00BD4DA7" w:rsidRDefault="00BD4DA7" w:rsidP="00BE1DA8">
            <w:pPr>
              <w:spacing w:after="0" w:line="240" w:lineRule="auto"/>
              <w:ind w:left="113"/>
              <w:jc w:val="left"/>
              <w:rPr>
                <w:rFonts w:ascii="Arial" w:hAnsi="Arial" w:cs="Arial"/>
                <w:color w:val="000000"/>
                <w:sz w:val="16"/>
                <w:szCs w:val="16"/>
              </w:rPr>
            </w:pPr>
            <w:r w:rsidRPr="00BD4DA7">
              <w:rPr>
                <w:rFonts w:ascii="Arial" w:hAnsi="Arial" w:cs="Arial"/>
                <w:color w:val="000000"/>
                <w:sz w:val="16"/>
                <w:szCs w:val="16"/>
              </w:rPr>
              <w:t xml:space="preserve">less: lease principal repayments </w:t>
            </w:r>
            <w:r w:rsidRPr="00BD4DA7">
              <w:rPr>
                <w:rFonts w:ascii="Arial" w:hAnsi="Arial" w:cs="Arial"/>
                <w:color w:val="000000"/>
                <w:sz w:val="16"/>
                <w:szCs w:val="16"/>
                <w:vertAlign w:val="superscript"/>
              </w:rPr>
              <w:t>(b)</w:t>
            </w:r>
          </w:p>
        </w:tc>
        <w:tc>
          <w:tcPr>
            <w:tcW w:w="924" w:type="dxa"/>
            <w:tcBorders>
              <w:top w:val="nil"/>
              <w:left w:val="nil"/>
              <w:bottom w:val="nil"/>
              <w:right w:val="nil"/>
            </w:tcBorders>
            <w:shd w:val="clear" w:color="auto" w:fill="auto"/>
            <w:noWrap/>
            <w:vAlign w:val="bottom"/>
            <w:hideMark/>
          </w:tcPr>
          <w:p w14:paraId="03F59514" w14:textId="7CE13D42" w:rsidR="00BD4DA7" w:rsidRPr="00BD4DA7" w:rsidRDefault="00510D48" w:rsidP="009610AF">
            <w:pPr>
              <w:spacing w:after="0" w:line="240" w:lineRule="auto"/>
              <w:jc w:val="right"/>
              <w:rPr>
                <w:rFonts w:ascii="Arial" w:hAnsi="Arial" w:cs="Arial"/>
                <w:sz w:val="16"/>
                <w:szCs w:val="16"/>
              </w:rPr>
            </w:pPr>
            <w:r>
              <w:rPr>
                <w:rFonts w:ascii="Arial" w:hAnsi="Arial" w:cs="Arial"/>
                <w:sz w:val="16"/>
                <w:szCs w:val="16"/>
              </w:rPr>
              <w:t>(</w:t>
            </w:r>
            <w:r w:rsidR="00BD4DA7" w:rsidRPr="00BD4DA7">
              <w:rPr>
                <w:rFonts w:ascii="Arial" w:hAnsi="Arial" w:cs="Arial"/>
                <w:sz w:val="16"/>
                <w:szCs w:val="16"/>
              </w:rPr>
              <w:t>5,808</w:t>
            </w:r>
            <w:r>
              <w:rPr>
                <w:rFonts w:ascii="Arial" w:hAnsi="Arial" w:cs="Arial"/>
                <w:sz w:val="16"/>
                <w:szCs w:val="16"/>
              </w:rPr>
              <w:t>)</w:t>
            </w:r>
          </w:p>
        </w:tc>
        <w:tc>
          <w:tcPr>
            <w:tcW w:w="910" w:type="dxa"/>
            <w:tcBorders>
              <w:top w:val="nil"/>
              <w:left w:val="nil"/>
              <w:bottom w:val="nil"/>
              <w:right w:val="nil"/>
            </w:tcBorders>
            <w:shd w:val="clear" w:color="000000" w:fill="E6E6E6"/>
            <w:noWrap/>
            <w:vAlign w:val="bottom"/>
            <w:hideMark/>
          </w:tcPr>
          <w:p w14:paraId="7F64D0F7" w14:textId="5518E2C7" w:rsidR="00BD4DA7" w:rsidRPr="00BD4DA7" w:rsidRDefault="00510D48" w:rsidP="009610AF">
            <w:pPr>
              <w:spacing w:after="0" w:line="240" w:lineRule="auto"/>
              <w:jc w:val="right"/>
              <w:rPr>
                <w:rFonts w:ascii="Arial" w:hAnsi="Arial" w:cs="Arial"/>
                <w:sz w:val="16"/>
                <w:szCs w:val="16"/>
              </w:rPr>
            </w:pPr>
            <w:r>
              <w:rPr>
                <w:rFonts w:ascii="Arial" w:hAnsi="Arial" w:cs="Arial"/>
                <w:sz w:val="16"/>
                <w:szCs w:val="16"/>
              </w:rPr>
              <w:t>(</w:t>
            </w:r>
            <w:r w:rsidR="00BD4DA7" w:rsidRPr="00BD4DA7">
              <w:rPr>
                <w:rFonts w:ascii="Arial" w:hAnsi="Arial" w:cs="Arial"/>
                <w:sz w:val="16"/>
                <w:szCs w:val="16"/>
              </w:rPr>
              <w:t>5,301</w:t>
            </w:r>
            <w:r>
              <w:rPr>
                <w:rFonts w:ascii="Arial" w:hAnsi="Arial" w:cs="Arial"/>
                <w:sz w:val="16"/>
                <w:szCs w:val="16"/>
              </w:rPr>
              <w:t>)</w:t>
            </w:r>
          </w:p>
        </w:tc>
        <w:tc>
          <w:tcPr>
            <w:tcW w:w="820" w:type="dxa"/>
            <w:tcBorders>
              <w:top w:val="nil"/>
              <w:left w:val="nil"/>
              <w:bottom w:val="nil"/>
              <w:right w:val="nil"/>
            </w:tcBorders>
            <w:shd w:val="clear" w:color="auto" w:fill="auto"/>
            <w:noWrap/>
            <w:vAlign w:val="bottom"/>
            <w:hideMark/>
          </w:tcPr>
          <w:p w14:paraId="59B1967B" w14:textId="1747E233" w:rsidR="00BD4DA7" w:rsidRPr="00BD4DA7" w:rsidRDefault="00510D48" w:rsidP="009610AF">
            <w:pPr>
              <w:spacing w:after="0" w:line="240" w:lineRule="auto"/>
              <w:jc w:val="right"/>
              <w:rPr>
                <w:rFonts w:ascii="Arial" w:hAnsi="Arial" w:cs="Arial"/>
                <w:sz w:val="16"/>
                <w:szCs w:val="16"/>
              </w:rPr>
            </w:pPr>
            <w:r>
              <w:rPr>
                <w:rFonts w:ascii="Arial" w:hAnsi="Arial" w:cs="Arial"/>
                <w:sz w:val="16"/>
                <w:szCs w:val="16"/>
              </w:rPr>
              <w:t>(</w:t>
            </w:r>
            <w:r w:rsidR="00BD4DA7" w:rsidRPr="00BD4DA7">
              <w:rPr>
                <w:rFonts w:ascii="Arial" w:hAnsi="Arial" w:cs="Arial"/>
                <w:sz w:val="16"/>
                <w:szCs w:val="16"/>
              </w:rPr>
              <w:t>7,711</w:t>
            </w:r>
            <w:r>
              <w:rPr>
                <w:rFonts w:ascii="Arial" w:hAnsi="Arial" w:cs="Arial"/>
                <w:sz w:val="16"/>
                <w:szCs w:val="16"/>
              </w:rPr>
              <w:t>)</w:t>
            </w:r>
          </w:p>
        </w:tc>
        <w:tc>
          <w:tcPr>
            <w:tcW w:w="929" w:type="dxa"/>
            <w:tcBorders>
              <w:top w:val="nil"/>
              <w:left w:val="nil"/>
              <w:bottom w:val="nil"/>
              <w:right w:val="nil"/>
            </w:tcBorders>
            <w:shd w:val="clear" w:color="auto" w:fill="auto"/>
            <w:noWrap/>
            <w:vAlign w:val="bottom"/>
            <w:hideMark/>
          </w:tcPr>
          <w:p w14:paraId="0CE6C52D" w14:textId="72A7364C" w:rsidR="00BD4DA7" w:rsidRPr="00BD4DA7" w:rsidRDefault="00510D48" w:rsidP="009610AF">
            <w:pPr>
              <w:spacing w:after="0" w:line="240" w:lineRule="auto"/>
              <w:jc w:val="right"/>
              <w:rPr>
                <w:rFonts w:ascii="Arial" w:hAnsi="Arial" w:cs="Arial"/>
                <w:sz w:val="16"/>
                <w:szCs w:val="16"/>
              </w:rPr>
            </w:pPr>
            <w:r>
              <w:rPr>
                <w:rFonts w:ascii="Arial" w:hAnsi="Arial" w:cs="Arial"/>
                <w:sz w:val="16"/>
                <w:szCs w:val="16"/>
              </w:rPr>
              <w:t>(</w:t>
            </w:r>
            <w:r w:rsidR="00BD4DA7" w:rsidRPr="00BD4DA7">
              <w:rPr>
                <w:rFonts w:ascii="Arial" w:hAnsi="Arial" w:cs="Arial"/>
                <w:sz w:val="16"/>
                <w:szCs w:val="16"/>
              </w:rPr>
              <w:t>8,087</w:t>
            </w:r>
            <w:r>
              <w:rPr>
                <w:rFonts w:ascii="Arial" w:hAnsi="Arial" w:cs="Arial"/>
                <w:sz w:val="16"/>
                <w:szCs w:val="16"/>
              </w:rPr>
              <w:t>)</w:t>
            </w:r>
          </w:p>
        </w:tc>
        <w:tc>
          <w:tcPr>
            <w:tcW w:w="936" w:type="dxa"/>
            <w:tcBorders>
              <w:top w:val="nil"/>
              <w:left w:val="nil"/>
              <w:bottom w:val="nil"/>
              <w:right w:val="nil"/>
            </w:tcBorders>
            <w:shd w:val="clear" w:color="auto" w:fill="auto"/>
            <w:noWrap/>
            <w:vAlign w:val="bottom"/>
            <w:hideMark/>
          </w:tcPr>
          <w:p w14:paraId="0C2716AF" w14:textId="0FD9FED3" w:rsidR="00BD4DA7" w:rsidRPr="00BD4DA7" w:rsidRDefault="00510D48" w:rsidP="009610AF">
            <w:pPr>
              <w:spacing w:after="0" w:line="240" w:lineRule="auto"/>
              <w:jc w:val="right"/>
              <w:rPr>
                <w:rFonts w:ascii="Arial" w:hAnsi="Arial" w:cs="Arial"/>
                <w:sz w:val="16"/>
                <w:szCs w:val="16"/>
              </w:rPr>
            </w:pPr>
            <w:r>
              <w:rPr>
                <w:rFonts w:ascii="Arial" w:hAnsi="Arial" w:cs="Arial"/>
                <w:sz w:val="16"/>
                <w:szCs w:val="16"/>
              </w:rPr>
              <w:t>(</w:t>
            </w:r>
            <w:r w:rsidR="00BD4DA7" w:rsidRPr="00BD4DA7">
              <w:rPr>
                <w:rFonts w:ascii="Arial" w:hAnsi="Arial" w:cs="Arial"/>
                <w:sz w:val="16"/>
                <w:szCs w:val="16"/>
              </w:rPr>
              <w:t>8,477</w:t>
            </w:r>
            <w:r>
              <w:rPr>
                <w:rFonts w:ascii="Arial" w:hAnsi="Arial" w:cs="Arial"/>
                <w:sz w:val="16"/>
                <w:szCs w:val="16"/>
              </w:rPr>
              <w:t>)</w:t>
            </w:r>
          </w:p>
        </w:tc>
      </w:tr>
      <w:tr w:rsidR="00BD4DA7" w:rsidRPr="00BD4DA7" w14:paraId="3D7A738C" w14:textId="77777777" w:rsidTr="004643F6">
        <w:trPr>
          <w:trHeight w:val="204"/>
        </w:trPr>
        <w:tc>
          <w:tcPr>
            <w:tcW w:w="3136" w:type="dxa"/>
            <w:tcBorders>
              <w:top w:val="nil"/>
              <w:left w:val="nil"/>
              <w:bottom w:val="single" w:sz="4" w:space="0" w:color="auto"/>
              <w:right w:val="nil"/>
            </w:tcBorders>
            <w:shd w:val="clear" w:color="auto" w:fill="auto"/>
            <w:vAlign w:val="center"/>
            <w:hideMark/>
          </w:tcPr>
          <w:p w14:paraId="0EDC2892" w14:textId="77777777" w:rsidR="00BD4DA7" w:rsidRPr="00BD4DA7" w:rsidRDefault="00BD4DA7" w:rsidP="009610AF">
            <w:pPr>
              <w:spacing w:after="0" w:line="240" w:lineRule="auto"/>
              <w:rPr>
                <w:rFonts w:ascii="Arial" w:hAnsi="Arial" w:cs="Arial"/>
                <w:b/>
                <w:bCs/>
                <w:color w:val="000000"/>
                <w:sz w:val="16"/>
                <w:szCs w:val="16"/>
              </w:rPr>
            </w:pPr>
            <w:r w:rsidRPr="00BD4DA7">
              <w:rPr>
                <w:rFonts w:ascii="Arial" w:hAnsi="Arial" w:cs="Arial"/>
                <w:b/>
                <w:bCs/>
                <w:color w:val="000000"/>
                <w:sz w:val="16"/>
                <w:szCs w:val="16"/>
              </w:rPr>
              <w:t>Net Cash Operating Surplus/ (Deficit)</w:t>
            </w:r>
          </w:p>
        </w:tc>
        <w:tc>
          <w:tcPr>
            <w:tcW w:w="924" w:type="dxa"/>
            <w:tcBorders>
              <w:top w:val="single" w:sz="4" w:space="0" w:color="auto"/>
              <w:left w:val="nil"/>
              <w:bottom w:val="single" w:sz="4" w:space="0" w:color="auto"/>
              <w:right w:val="nil"/>
            </w:tcBorders>
            <w:shd w:val="clear" w:color="auto" w:fill="auto"/>
            <w:noWrap/>
            <w:vAlign w:val="bottom"/>
            <w:hideMark/>
          </w:tcPr>
          <w:p w14:paraId="2F0D2775" w14:textId="5ECECD10" w:rsidR="00BD4DA7" w:rsidRPr="00BD4DA7" w:rsidRDefault="00BD4DA7" w:rsidP="009610AF">
            <w:pPr>
              <w:spacing w:after="0" w:line="240" w:lineRule="auto"/>
              <w:jc w:val="right"/>
              <w:rPr>
                <w:rFonts w:ascii="Arial" w:hAnsi="Arial" w:cs="Arial"/>
                <w:b/>
                <w:bCs/>
                <w:sz w:val="16"/>
                <w:szCs w:val="16"/>
              </w:rPr>
            </w:pPr>
            <w:r w:rsidRPr="00BD4DA7">
              <w:rPr>
                <w:rFonts w:ascii="Arial" w:hAnsi="Arial" w:cs="Arial"/>
                <w:b/>
                <w:bCs/>
                <w:sz w:val="16"/>
                <w:szCs w:val="16"/>
              </w:rPr>
              <w:t>258</w:t>
            </w:r>
          </w:p>
        </w:tc>
        <w:tc>
          <w:tcPr>
            <w:tcW w:w="910" w:type="dxa"/>
            <w:tcBorders>
              <w:top w:val="single" w:sz="4" w:space="0" w:color="auto"/>
              <w:left w:val="nil"/>
              <w:bottom w:val="single" w:sz="4" w:space="0" w:color="auto"/>
              <w:right w:val="nil"/>
            </w:tcBorders>
            <w:shd w:val="clear" w:color="000000" w:fill="E6E6E6"/>
            <w:vAlign w:val="bottom"/>
            <w:hideMark/>
          </w:tcPr>
          <w:p w14:paraId="26AF72BF" w14:textId="3E9DD520" w:rsidR="00BD4DA7" w:rsidRPr="00BD4DA7" w:rsidRDefault="00BD4DA7" w:rsidP="009610AF">
            <w:pPr>
              <w:spacing w:after="0" w:line="240" w:lineRule="auto"/>
              <w:jc w:val="right"/>
              <w:rPr>
                <w:rFonts w:ascii="Arial" w:hAnsi="Arial" w:cs="Arial"/>
                <w:b/>
                <w:bCs/>
                <w:sz w:val="16"/>
                <w:szCs w:val="16"/>
              </w:rPr>
            </w:pPr>
            <w:r w:rsidRPr="00BD4DA7">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vAlign w:val="bottom"/>
            <w:hideMark/>
          </w:tcPr>
          <w:p w14:paraId="33D1C88D" w14:textId="4805FF32" w:rsidR="00BD4DA7" w:rsidRPr="00BD4DA7" w:rsidRDefault="00BD4DA7" w:rsidP="009610AF">
            <w:pPr>
              <w:spacing w:after="0" w:line="240" w:lineRule="auto"/>
              <w:jc w:val="right"/>
              <w:rPr>
                <w:rFonts w:ascii="Arial" w:hAnsi="Arial" w:cs="Arial"/>
                <w:b/>
                <w:bCs/>
                <w:sz w:val="16"/>
                <w:szCs w:val="16"/>
              </w:rPr>
            </w:pPr>
            <w:r w:rsidRPr="00BD4DA7">
              <w:rPr>
                <w:rFonts w:ascii="Arial" w:hAnsi="Arial" w:cs="Arial"/>
                <w:b/>
                <w:bCs/>
                <w:sz w:val="16"/>
                <w:szCs w:val="16"/>
              </w:rPr>
              <w:t>-</w:t>
            </w:r>
          </w:p>
        </w:tc>
        <w:tc>
          <w:tcPr>
            <w:tcW w:w="929" w:type="dxa"/>
            <w:tcBorders>
              <w:top w:val="single" w:sz="4" w:space="0" w:color="auto"/>
              <w:left w:val="nil"/>
              <w:bottom w:val="single" w:sz="4" w:space="0" w:color="auto"/>
              <w:right w:val="nil"/>
            </w:tcBorders>
            <w:shd w:val="clear" w:color="auto" w:fill="auto"/>
            <w:vAlign w:val="bottom"/>
            <w:hideMark/>
          </w:tcPr>
          <w:p w14:paraId="1207A7C9" w14:textId="291C0173" w:rsidR="00BD4DA7" w:rsidRPr="00BD4DA7" w:rsidRDefault="00BD4DA7" w:rsidP="009610AF">
            <w:pPr>
              <w:spacing w:after="0" w:line="240" w:lineRule="auto"/>
              <w:jc w:val="right"/>
              <w:rPr>
                <w:rFonts w:ascii="Arial" w:hAnsi="Arial" w:cs="Arial"/>
                <w:b/>
                <w:bCs/>
                <w:sz w:val="16"/>
                <w:szCs w:val="16"/>
              </w:rPr>
            </w:pPr>
            <w:r w:rsidRPr="00BD4DA7">
              <w:rPr>
                <w:rFonts w:ascii="Arial" w:hAnsi="Arial" w:cs="Arial"/>
                <w:b/>
                <w:bCs/>
                <w:sz w:val="16"/>
                <w:szCs w:val="16"/>
              </w:rPr>
              <w:t>-</w:t>
            </w:r>
          </w:p>
        </w:tc>
        <w:tc>
          <w:tcPr>
            <w:tcW w:w="936" w:type="dxa"/>
            <w:tcBorders>
              <w:top w:val="single" w:sz="4" w:space="0" w:color="auto"/>
              <w:left w:val="nil"/>
              <w:bottom w:val="single" w:sz="4" w:space="0" w:color="auto"/>
              <w:right w:val="nil"/>
            </w:tcBorders>
            <w:shd w:val="clear" w:color="auto" w:fill="auto"/>
            <w:vAlign w:val="bottom"/>
            <w:hideMark/>
          </w:tcPr>
          <w:p w14:paraId="4ABC8656" w14:textId="32705BEA" w:rsidR="00BD4DA7" w:rsidRPr="00BD4DA7" w:rsidRDefault="00BD4DA7" w:rsidP="009610AF">
            <w:pPr>
              <w:spacing w:after="0" w:line="240" w:lineRule="auto"/>
              <w:jc w:val="right"/>
              <w:rPr>
                <w:rFonts w:ascii="Arial" w:hAnsi="Arial" w:cs="Arial"/>
                <w:b/>
                <w:bCs/>
                <w:sz w:val="16"/>
                <w:szCs w:val="16"/>
              </w:rPr>
            </w:pPr>
            <w:r w:rsidRPr="00BD4DA7">
              <w:rPr>
                <w:rFonts w:ascii="Arial" w:hAnsi="Arial" w:cs="Arial"/>
                <w:b/>
                <w:bCs/>
                <w:sz w:val="16"/>
                <w:szCs w:val="16"/>
              </w:rPr>
              <w:t>-</w:t>
            </w:r>
          </w:p>
        </w:tc>
      </w:tr>
    </w:tbl>
    <w:p w14:paraId="7B22F800" w14:textId="7DBDF31C" w:rsidR="00F47461" w:rsidRDefault="00F47461" w:rsidP="00F47461">
      <w:pPr>
        <w:pStyle w:val="Source"/>
        <w:spacing w:before="60"/>
        <w:jc w:val="left"/>
        <w:rPr>
          <w:rFonts w:cs="Arial"/>
        </w:rPr>
      </w:pPr>
      <w:r w:rsidRPr="009D54F3">
        <w:rPr>
          <w:rFonts w:cs="Arial"/>
        </w:rPr>
        <w:t>Prepared on Australian Accounting Standards basis.</w:t>
      </w:r>
    </w:p>
    <w:p w14:paraId="1DAFA7B0" w14:textId="1B93D691" w:rsidR="00BD4DA7" w:rsidRPr="007F3EBB" w:rsidRDefault="00BD4DA7" w:rsidP="00E56573">
      <w:pPr>
        <w:pStyle w:val="ChartandTableFootnoteAlpha"/>
        <w:numPr>
          <w:ilvl w:val="0"/>
          <w:numId w:val="13"/>
        </w:numPr>
        <w:tabs>
          <w:tab w:val="num" w:pos="284"/>
        </w:tabs>
        <w:spacing w:after="0"/>
        <w:ind w:left="284" w:hanging="284"/>
        <w:jc w:val="left"/>
      </w:pPr>
      <w:r w:rsidRPr="007F3EBB">
        <w:rPr>
          <w:rFonts w:cs="Arial"/>
        </w:rPr>
        <w:t>From 2010-11, the Government introduced</w:t>
      </w:r>
      <w:r>
        <w:rPr>
          <w:rFonts w:cs="Arial"/>
        </w:rPr>
        <w:t xml:space="preserve"> </w:t>
      </w:r>
      <w:r w:rsidRPr="007F3EBB">
        <w:rPr>
          <w:rFonts w:cs="Arial"/>
        </w:rPr>
        <w:t xml:space="preserve">net cash appropriation arrangement </w:t>
      </w:r>
      <w:r>
        <w:rPr>
          <w:rFonts w:cs="Arial"/>
        </w:rPr>
        <w:t xml:space="preserve">where Bill 1 revenue appropriations for the depreciation/amortisation expenses of non-corporate </w:t>
      </w:r>
      <w:r w:rsidRPr="007F3EBB">
        <w:rPr>
          <w:rFonts w:cs="Arial"/>
        </w:rPr>
        <w:t xml:space="preserve">Commonwealth entities </w:t>
      </w:r>
      <w:r>
        <w:rPr>
          <w:rFonts w:cs="Arial"/>
        </w:rPr>
        <w:t xml:space="preserve">(and select corporate Commonwealth entities) were replaced with a separate capital budget (the </w:t>
      </w:r>
      <w:r w:rsidR="008863D9">
        <w:rPr>
          <w:rFonts w:cs="Arial"/>
        </w:rPr>
        <w:t>Department</w:t>
      </w:r>
      <w:r w:rsidRPr="007F3EBB">
        <w:rPr>
          <w:rFonts w:cs="Arial"/>
        </w:rPr>
        <w:t>al Capital Budget</w:t>
      </w:r>
      <w:r>
        <w:rPr>
          <w:rFonts w:cs="Arial"/>
        </w:rPr>
        <w:t xml:space="preserve">, or </w:t>
      </w:r>
      <w:r w:rsidRPr="007F3EBB">
        <w:rPr>
          <w:rFonts w:cs="Arial"/>
        </w:rPr>
        <w:t xml:space="preserve">DCB) </w:t>
      </w:r>
      <w:r>
        <w:rPr>
          <w:rFonts w:cs="Arial"/>
        </w:rPr>
        <w:t xml:space="preserve">provided through Bill 1 equity appropriations. For information regarding DCBs, please refer to Table 3.6 </w:t>
      </w:r>
      <w:r w:rsidR="008863D9">
        <w:rPr>
          <w:rFonts w:cs="Arial"/>
        </w:rPr>
        <w:t>Department</w:t>
      </w:r>
      <w:r w:rsidRPr="00AA7197">
        <w:rPr>
          <w:rFonts w:cs="Arial"/>
        </w:rPr>
        <w:t xml:space="preserve">al </w:t>
      </w:r>
      <w:r>
        <w:rPr>
          <w:rFonts w:cs="Arial"/>
        </w:rPr>
        <w:t>C</w:t>
      </w:r>
      <w:r w:rsidRPr="00AA7197">
        <w:rPr>
          <w:rFonts w:cs="Arial"/>
        </w:rPr>
        <w:t>apital</w:t>
      </w:r>
      <w:r>
        <w:rPr>
          <w:rFonts w:cs="Arial"/>
        </w:rPr>
        <w:t xml:space="preserve"> B</w:t>
      </w:r>
      <w:r w:rsidRPr="00AA7197">
        <w:rPr>
          <w:rFonts w:cs="Arial"/>
        </w:rPr>
        <w:t xml:space="preserve">udget </w:t>
      </w:r>
      <w:r>
        <w:rPr>
          <w:rFonts w:cs="Arial"/>
        </w:rPr>
        <w:t>S</w:t>
      </w:r>
      <w:r w:rsidRPr="00AA7197">
        <w:rPr>
          <w:rFonts w:cs="Arial"/>
        </w:rPr>
        <w:t>tatement</w:t>
      </w:r>
      <w:r>
        <w:rPr>
          <w:rFonts w:cs="Arial"/>
        </w:rPr>
        <w:t>.</w:t>
      </w:r>
    </w:p>
    <w:p w14:paraId="76C0DF01" w14:textId="77777777" w:rsidR="00BD4DA7" w:rsidRDefault="00BD4DA7" w:rsidP="009B54D8">
      <w:pPr>
        <w:pStyle w:val="ChartandTableFootnoteAlpha"/>
        <w:numPr>
          <w:ilvl w:val="0"/>
          <w:numId w:val="13"/>
        </w:numPr>
        <w:tabs>
          <w:tab w:val="num" w:pos="284"/>
        </w:tabs>
        <w:spacing w:after="0"/>
        <w:ind w:left="284" w:hanging="284"/>
        <w:jc w:val="left"/>
      </w:pPr>
      <w:r w:rsidRPr="00D52088">
        <w:t xml:space="preserve">Applies </w:t>
      </w:r>
      <w:r>
        <w:t xml:space="preserve">to </w:t>
      </w:r>
      <w:r w:rsidRPr="00D52088">
        <w:t>leases under AASB 16 Leases.</w:t>
      </w:r>
    </w:p>
    <w:p w14:paraId="5A19A99E" w14:textId="0A5E15CF" w:rsidR="0016597F" w:rsidRPr="00D87E6A" w:rsidRDefault="00BD4DA7" w:rsidP="00BD4DA7">
      <w:pPr>
        <w:pStyle w:val="TableHeading"/>
      </w:pPr>
      <w:r>
        <w:br w:type="page"/>
      </w:r>
      <w:r w:rsidR="0016597F" w:rsidRPr="00E4582E">
        <w:lastRenderedPageBreak/>
        <w:t>Table</w:t>
      </w:r>
      <w:r w:rsidR="0016597F">
        <w:t xml:space="preserve"> 3.</w:t>
      </w:r>
      <w:r w:rsidR="0016597F">
        <w:rPr>
          <w:lang w:val="en-US"/>
        </w:rPr>
        <w:t>3</w:t>
      </w:r>
      <w:r w:rsidR="0016597F" w:rsidRPr="00E4582E">
        <w:t>: Budg</w:t>
      </w:r>
      <w:r w:rsidR="0016597F">
        <w:t xml:space="preserve">eted </w:t>
      </w:r>
      <w:r w:rsidR="008863D9">
        <w:t>Department</w:t>
      </w:r>
      <w:r w:rsidR="0016597F">
        <w:t xml:space="preserve">al balance sheet </w:t>
      </w:r>
      <w:r w:rsidR="0016597F" w:rsidRPr="00E4582E">
        <w:t>(as at 30 June)</w:t>
      </w:r>
    </w:p>
    <w:tbl>
      <w:tblPr>
        <w:tblW w:w="7465" w:type="dxa"/>
        <w:tblLook w:val="04A0" w:firstRow="1" w:lastRow="0" w:firstColumn="1" w:lastColumn="0" w:noHBand="0" w:noVBand="1"/>
      </w:tblPr>
      <w:tblGrid>
        <w:gridCol w:w="2960"/>
        <w:gridCol w:w="901"/>
        <w:gridCol w:w="901"/>
        <w:gridCol w:w="901"/>
        <w:gridCol w:w="901"/>
        <w:gridCol w:w="901"/>
      </w:tblGrid>
      <w:tr w:rsidR="0014555F" w:rsidRPr="009E4A14" w14:paraId="6EDE4A5C" w14:textId="77777777" w:rsidTr="006E595F">
        <w:trPr>
          <w:trHeight w:val="442"/>
        </w:trPr>
        <w:tc>
          <w:tcPr>
            <w:tcW w:w="2960" w:type="dxa"/>
            <w:tcBorders>
              <w:top w:val="single" w:sz="4" w:space="0" w:color="auto"/>
              <w:left w:val="nil"/>
              <w:bottom w:val="nil"/>
              <w:right w:val="nil"/>
            </w:tcBorders>
            <w:shd w:val="clear" w:color="auto" w:fill="auto"/>
            <w:noWrap/>
            <w:hideMark/>
          </w:tcPr>
          <w:p w14:paraId="4F443012" w14:textId="77777777" w:rsidR="0014555F" w:rsidRPr="009E4A14" w:rsidRDefault="0014555F" w:rsidP="0014555F">
            <w:pPr>
              <w:spacing w:after="0" w:line="240" w:lineRule="auto"/>
              <w:jc w:val="left"/>
              <w:rPr>
                <w:rFonts w:ascii="Arial" w:hAnsi="Arial" w:cs="Arial"/>
                <w:b/>
                <w:bCs/>
                <w:sz w:val="16"/>
                <w:szCs w:val="16"/>
              </w:rPr>
            </w:pPr>
            <w:r w:rsidRPr="009E4A14">
              <w:rPr>
                <w:rFonts w:ascii="Arial" w:hAnsi="Arial" w:cs="Arial"/>
                <w:b/>
                <w:bCs/>
                <w:sz w:val="16"/>
                <w:szCs w:val="16"/>
              </w:rPr>
              <w:t> </w:t>
            </w:r>
          </w:p>
        </w:tc>
        <w:tc>
          <w:tcPr>
            <w:tcW w:w="901" w:type="dxa"/>
            <w:tcBorders>
              <w:top w:val="single" w:sz="4" w:space="0" w:color="auto"/>
              <w:left w:val="nil"/>
              <w:bottom w:val="single" w:sz="4" w:space="0" w:color="auto"/>
              <w:right w:val="nil"/>
            </w:tcBorders>
            <w:shd w:val="clear" w:color="auto" w:fill="auto"/>
            <w:hideMark/>
          </w:tcPr>
          <w:p w14:paraId="05F51329" w14:textId="77777777" w:rsidR="0014555F" w:rsidRPr="009E4A14" w:rsidRDefault="0014555F" w:rsidP="0014555F">
            <w:pPr>
              <w:spacing w:after="0" w:line="240" w:lineRule="auto"/>
              <w:jc w:val="right"/>
              <w:rPr>
                <w:rFonts w:ascii="Arial" w:hAnsi="Arial" w:cs="Arial"/>
                <w:sz w:val="16"/>
                <w:szCs w:val="16"/>
              </w:rPr>
            </w:pPr>
            <w:r w:rsidRPr="009E4A14">
              <w:rPr>
                <w:rFonts w:ascii="Arial" w:hAnsi="Arial" w:cs="Arial"/>
                <w:sz w:val="16"/>
                <w:szCs w:val="16"/>
              </w:rPr>
              <w:t>2020-21 Actual</w:t>
            </w:r>
            <w:r w:rsidRPr="009E4A14">
              <w:rPr>
                <w:rFonts w:ascii="Arial" w:hAnsi="Arial" w:cs="Arial"/>
                <w:sz w:val="16"/>
                <w:szCs w:val="16"/>
              </w:rPr>
              <w:br/>
            </w:r>
            <w:r w:rsidRPr="009E4A14">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E6E6E6"/>
            <w:hideMark/>
          </w:tcPr>
          <w:p w14:paraId="25ECBF99" w14:textId="77777777" w:rsidR="0014555F" w:rsidRPr="009E4A14" w:rsidRDefault="0014555F" w:rsidP="0014555F">
            <w:pPr>
              <w:spacing w:after="0" w:line="240" w:lineRule="auto"/>
              <w:jc w:val="right"/>
              <w:rPr>
                <w:rFonts w:ascii="Arial" w:hAnsi="Arial" w:cs="Arial"/>
                <w:sz w:val="16"/>
                <w:szCs w:val="16"/>
              </w:rPr>
            </w:pPr>
            <w:r w:rsidRPr="009E4A14">
              <w:rPr>
                <w:rFonts w:ascii="Arial" w:hAnsi="Arial" w:cs="Arial"/>
                <w:sz w:val="16"/>
                <w:szCs w:val="16"/>
              </w:rPr>
              <w:t>2021-22</w:t>
            </w:r>
            <w:r w:rsidRPr="009E4A14">
              <w:rPr>
                <w:rFonts w:ascii="Arial" w:hAnsi="Arial" w:cs="Arial"/>
                <w:sz w:val="16"/>
                <w:szCs w:val="16"/>
              </w:rPr>
              <w:br/>
              <w:t>Revised Budget</w:t>
            </w:r>
            <w:r w:rsidRPr="009E4A14">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067F10CD" w14:textId="77777777" w:rsidR="0014555F" w:rsidRPr="009E4A14" w:rsidRDefault="0014555F" w:rsidP="0014555F">
            <w:pPr>
              <w:spacing w:after="0" w:line="240" w:lineRule="auto"/>
              <w:jc w:val="right"/>
              <w:rPr>
                <w:rFonts w:ascii="Arial" w:hAnsi="Arial" w:cs="Arial"/>
                <w:sz w:val="16"/>
                <w:szCs w:val="16"/>
              </w:rPr>
            </w:pPr>
            <w:r w:rsidRPr="009E4A14">
              <w:rPr>
                <w:rFonts w:ascii="Arial" w:hAnsi="Arial" w:cs="Arial"/>
                <w:sz w:val="16"/>
                <w:szCs w:val="16"/>
              </w:rPr>
              <w:t>2022-23 Forward estimate</w:t>
            </w:r>
            <w:r w:rsidRPr="009E4A14">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53B42F23" w14:textId="77777777" w:rsidR="0014555F" w:rsidRPr="009E4A14" w:rsidRDefault="0014555F" w:rsidP="0014555F">
            <w:pPr>
              <w:spacing w:after="0" w:line="240" w:lineRule="auto"/>
              <w:jc w:val="right"/>
              <w:rPr>
                <w:rFonts w:ascii="Arial" w:hAnsi="Arial" w:cs="Arial"/>
                <w:sz w:val="16"/>
                <w:szCs w:val="16"/>
              </w:rPr>
            </w:pPr>
            <w:r w:rsidRPr="009E4A14">
              <w:rPr>
                <w:rFonts w:ascii="Arial" w:hAnsi="Arial" w:cs="Arial"/>
                <w:sz w:val="16"/>
                <w:szCs w:val="16"/>
              </w:rPr>
              <w:t>2023-24 Forward estimate</w:t>
            </w:r>
            <w:r w:rsidRPr="009E4A14">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42812110" w14:textId="77777777" w:rsidR="0014555F" w:rsidRPr="009E4A14" w:rsidRDefault="0014555F" w:rsidP="0014555F">
            <w:pPr>
              <w:spacing w:after="0" w:line="240" w:lineRule="auto"/>
              <w:jc w:val="right"/>
              <w:rPr>
                <w:rFonts w:ascii="Arial" w:hAnsi="Arial" w:cs="Arial"/>
                <w:sz w:val="16"/>
                <w:szCs w:val="16"/>
              </w:rPr>
            </w:pPr>
            <w:r w:rsidRPr="009E4A14">
              <w:rPr>
                <w:rFonts w:ascii="Arial" w:hAnsi="Arial" w:cs="Arial"/>
                <w:sz w:val="16"/>
                <w:szCs w:val="16"/>
              </w:rPr>
              <w:t>2024-25</w:t>
            </w:r>
            <w:r w:rsidRPr="009E4A14">
              <w:rPr>
                <w:rFonts w:ascii="Arial" w:hAnsi="Arial" w:cs="Arial"/>
                <w:sz w:val="16"/>
                <w:szCs w:val="16"/>
              </w:rPr>
              <w:br/>
              <w:t>Forward estimate</w:t>
            </w:r>
            <w:r w:rsidRPr="009E4A14">
              <w:rPr>
                <w:rFonts w:ascii="Arial" w:hAnsi="Arial" w:cs="Arial"/>
                <w:sz w:val="16"/>
                <w:szCs w:val="16"/>
              </w:rPr>
              <w:br/>
              <w:t>$'000</w:t>
            </w:r>
          </w:p>
        </w:tc>
      </w:tr>
      <w:tr w:rsidR="0014555F" w:rsidRPr="009E4A14" w14:paraId="09FD8FF1" w14:textId="77777777" w:rsidTr="006E595F">
        <w:trPr>
          <w:trHeight w:val="204"/>
        </w:trPr>
        <w:tc>
          <w:tcPr>
            <w:tcW w:w="2960" w:type="dxa"/>
            <w:tcBorders>
              <w:top w:val="nil"/>
              <w:left w:val="nil"/>
              <w:bottom w:val="nil"/>
              <w:right w:val="nil"/>
            </w:tcBorders>
            <w:shd w:val="clear" w:color="auto" w:fill="auto"/>
            <w:noWrap/>
            <w:vAlign w:val="center"/>
            <w:hideMark/>
          </w:tcPr>
          <w:p w14:paraId="60D7ACAC"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ASSETS</w:t>
            </w:r>
          </w:p>
        </w:tc>
        <w:tc>
          <w:tcPr>
            <w:tcW w:w="901" w:type="dxa"/>
            <w:tcBorders>
              <w:top w:val="nil"/>
              <w:left w:val="nil"/>
              <w:bottom w:val="nil"/>
              <w:right w:val="nil"/>
            </w:tcBorders>
            <w:shd w:val="clear" w:color="auto" w:fill="auto"/>
            <w:noWrap/>
            <w:vAlign w:val="bottom"/>
            <w:hideMark/>
          </w:tcPr>
          <w:p w14:paraId="4D082910" w14:textId="77777777" w:rsidR="0014555F" w:rsidRPr="009E4A14" w:rsidRDefault="0014555F" w:rsidP="009E4A14">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auto" w:fill="E6E6E6"/>
            <w:noWrap/>
            <w:vAlign w:val="bottom"/>
            <w:hideMark/>
          </w:tcPr>
          <w:p w14:paraId="4D1C17D7" w14:textId="5DF72D16"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49CB6274" w14:textId="77777777"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1A8CE3B2" w14:textId="77777777" w:rsidR="0014555F" w:rsidRPr="009E4A14" w:rsidRDefault="0014555F" w:rsidP="009E4A14">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2A07D831" w14:textId="77777777" w:rsidR="0014555F" w:rsidRPr="009E4A14" w:rsidRDefault="0014555F" w:rsidP="009E4A14">
            <w:pPr>
              <w:spacing w:after="0" w:line="240" w:lineRule="auto"/>
              <w:jc w:val="right"/>
              <w:rPr>
                <w:rFonts w:ascii="Arial" w:hAnsi="Arial" w:cs="Arial"/>
                <w:sz w:val="16"/>
                <w:szCs w:val="16"/>
              </w:rPr>
            </w:pPr>
          </w:p>
        </w:tc>
      </w:tr>
      <w:tr w:rsidR="0014555F" w:rsidRPr="009E4A14" w14:paraId="7A64536F" w14:textId="77777777" w:rsidTr="006E595F">
        <w:trPr>
          <w:trHeight w:val="204"/>
        </w:trPr>
        <w:tc>
          <w:tcPr>
            <w:tcW w:w="2960" w:type="dxa"/>
            <w:tcBorders>
              <w:top w:val="nil"/>
              <w:left w:val="nil"/>
              <w:bottom w:val="nil"/>
              <w:right w:val="nil"/>
            </w:tcBorders>
            <w:shd w:val="clear" w:color="auto" w:fill="auto"/>
            <w:noWrap/>
            <w:vAlign w:val="center"/>
            <w:hideMark/>
          </w:tcPr>
          <w:p w14:paraId="5F87D69B"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Financial assets</w:t>
            </w:r>
          </w:p>
        </w:tc>
        <w:tc>
          <w:tcPr>
            <w:tcW w:w="901" w:type="dxa"/>
            <w:tcBorders>
              <w:top w:val="nil"/>
              <w:left w:val="nil"/>
              <w:bottom w:val="nil"/>
              <w:right w:val="nil"/>
            </w:tcBorders>
            <w:shd w:val="clear" w:color="auto" w:fill="auto"/>
            <w:noWrap/>
            <w:vAlign w:val="bottom"/>
            <w:hideMark/>
          </w:tcPr>
          <w:p w14:paraId="7940F224" w14:textId="77777777" w:rsidR="0014555F" w:rsidRPr="009E4A14" w:rsidRDefault="0014555F" w:rsidP="009E4A14">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auto" w:fill="E6E6E6"/>
            <w:noWrap/>
            <w:vAlign w:val="bottom"/>
            <w:hideMark/>
          </w:tcPr>
          <w:p w14:paraId="4B963641" w14:textId="6E898BCB"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5CAC3A19" w14:textId="77777777"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563DACCB" w14:textId="77777777" w:rsidR="0014555F" w:rsidRPr="009E4A14" w:rsidRDefault="0014555F" w:rsidP="009E4A14">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171ACE2D" w14:textId="77777777" w:rsidR="0014555F" w:rsidRPr="009E4A14" w:rsidRDefault="0014555F" w:rsidP="009E4A14">
            <w:pPr>
              <w:spacing w:after="0" w:line="240" w:lineRule="auto"/>
              <w:jc w:val="right"/>
              <w:rPr>
                <w:rFonts w:ascii="Arial" w:hAnsi="Arial" w:cs="Arial"/>
                <w:sz w:val="16"/>
                <w:szCs w:val="16"/>
              </w:rPr>
            </w:pPr>
          </w:p>
        </w:tc>
      </w:tr>
      <w:tr w:rsidR="0014555F" w:rsidRPr="009E4A14" w14:paraId="4FA56347" w14:textId="77777777" w:rsidTr="006E595F">
        <w:trPr>
          <w:trHeight w:val="204"/>
        </w:trPr>
        <w:tc>
          <w:tcPr>
            <w:tcW w:w="2960" w:type="dxa"/>
            <w:tcBorders>
              <w:top w:val="nil"/>
              <w:left w:val="nil"/>
              <w:bottom w:val="nil"/>
              <w:right w:val="nil"/>
            </w:tcBorders>
            <w:shd w:val="clear" w:color="auto" w:fill="auto"/>
            <w:noWrap/>
            <w:vAlign w:val="center"/>
            <w:hideMark/>
          </w:tcPr>
          <w:p w14:paraId="75E1C747"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 xml:space="preserve">Cash </w:t>
            </w:r>
            <w:r w:rsidRPr="009E4A14">
              <w:rPr>
                <w:rFonts w:ascii="Arial" w:hAnsi="Arial" w:cs="Arial"/>
                <w:sz w:val="16"/>
                <w:szCs w:val="16"/>
              </w:rPr>
              <w:t>and cash equivalents</w:t>
            </w:r>
            <w:r w:rsidRPr="009E4A14">
              <w:rPr>
                <w:rFonts w:ascii="Arial" w:hAnsi="Arial" w:cs="Arial"/>
                <w:color w:val="000000"/>
                <w:sz w:val="16"/>
                <w:szCs w:val="16"/>
              </w:rPr>
              <w:t xml:space="preserve"> </w:t>
            </w:r>
            <w:r w:rsidRPr="009E4A14">
              <w:rPr>
                <w:rFonts w:ascii="Arial" w:hAnsi="Arial" w:cs="Arial"/>
                <w:color w:val="000000"/>
                <w:sz w:val="16"/>
                <w:szCs w:val="16"/>
                <w:vertAlign w:val="superscript"/>
              </w:rPr>
              <w:t>(a)</w:t>
            </w:r>
          </w:p>
        </w:tc>
        <w:tc>
          <w:tcPr>
            <w:tcW w:w="901" w:type="dxa"/>
            <w:tcBorders>
              <w:top w:val="nil"/>
              <w:left w:val="nil"/>
              <w:bottom w:val="nil"/>
              <w:right w:val="nil"/>
            </w:tcBorders>
            <w:shd w:val="clear" w:color="auto" w:fill="auto"/>
            <w:noWrap/>
            <w:vAlign w:val="bottom"/>
            <w:hideMark/>
          </w:tcPr>
          <w:p w14:paraId="71A6D5AB" w14:textId="2DC4CCAE"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4,608</w:t>
            </w:r>
          </w:p>
        </w:tc>
        <w:tc>
          <w:tcPr>
            <w:tcW w:w="901" w:type="dxa"/>
            <w:tcBorders>
              <w:top w:val="nil"/>
              <w:left w:val="nil"/>
              <w:bottom w:val="nil"/>
              <w:right w:val="nil"/>
            </w:tcBorders>
            <w:shd w:val="clear" w:color="auto" w:fill="E6E6E6"/>
            <w:noWrap/>
            <w:vAlign w:val="bottom"/>
            <w:hideMark/>
          </w:tcPr>
          <w:p w14:paraId="285FEA19" w14:textId="71ECF245"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6,378</w:t>
            </w:r>
          </w:p>
        </w:tc>
        <w:tc>
          <w:tcPr>
            <w:tcW w:w="901" w:type="dxa"/>
            <w:tcBorders>
              <w:top w:val="nil"/>
              <w:left w:val="nil"/>
              <w:bottom w:val="nil"/>
              <w:right w:val="nil"/>
            </w:tcBorders>
            <w:shd w:val="clear" w:color="auto" w:fill="auto"/>
            <w:noWrap/>
            <w:vAlign w:val="bottom"/>
            <w:hideMark/>
          </w:tcPr>
          <w:p w14:paraId="02A486FF" w14:textId="2A1730B6"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6,378</w:t>
            </w:r>
          </w:p>
        </w:tc>
        <w:tc>
          <w:tcPr>
            <w:tcW w:w="901" w:type="dxa"/>
            <w:tcBorders>
              <w:top w:val="nil"/>
              <w:left w:val="nil"/>
              <w:bottom w:val="nil"/>
              <w:right w:val="nil"/>
            </w:tcBorders>
            <w:shd w:val="clear" w:color="auto" w:fill="auto"/>
            <w:noWrap/>
            <w:vAlign w:val="bottom"/>
            <w:hideMark/>
          </w:tcPr>
          <w:p w14:paraId="7CDB83CE" w14:textId="56B48278"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6,378</w:t>
            </w:r>
          </w:p>
        </w:tc>
        <w:tc>
          <w:tcPr>
            <w:tcW w:w="901" w:type="dxa"/>
            <w:tcBorders>
              <w:top w:val="nil"/>
              <w:left w:val="nil"/>
              <w:bottom w:val="nil"/>
              <w:right w:val="nil"/>
            </w:tcBorders>
            <w:shd w:val="clear" w:color="auto" w:fill="auto"/>
            <w:noWrap/>
            <w:vAlign w:val="bottom"/>
            <w:hideMark/>
          </w:tcPr>
          <w:p w14:paraId="0C5C6543" w14:textId="65FE12F4"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6,378</w:t>
            </w:r>
          </w:p>
        </w:tc>
      </w:tr>
      <w:tr w:rsidR="0014555F" w:rsidRPr="009E4A14" w14:paraId="305F5DE0" w14:textId="77777777" w:rsidTr="006E595F">
        <w:trPr>
          <w:trHeight w:val="204"/>
        </w:trPr>
        <w:tc>
          <w:tcPr>
            <w:tcW w:w="2960" w:type="dxa"/>
            <w:tcBorders>
              <w:top w:val="nil"/>
              <w:left w:val="nil"/>
              <w:bottom w:val="nil"/>
              <w:right w:val="nil"/>
            </w:tcBorders>
            <w:shd w:val="clear" w:color="auto" w:fill="auto"/>
            <w:noWrap/>
            <w:vAlign w:val="center"/>
            <w:hideMark/>
          </w:tcPr>
          <w:p w14:paraId="16DE6D84" w14:textId="77777777" w:rsidR="0014555F" w:rsidRPr="009E4A14" w:rsidRDefault="0014555F" w:rsidP="00BE1DA8">
            <w:pPr>
              <w:spacing w:after="0" w:line="240" w:lineRule="auto"/>
              <w:ind w:left="113"/>
              <w:jc w:val="left"/>
              <w:rPr>
                <w:rFonts w:ascii="Arial" w:hAnsi="Arial" w:cs="Arial"/>
                <w:sz w:val="16"/>
                <w:szCs w:val="16"/>
              </w:rPr>
            </w:pPr>
            <w:r w:rsidRPr="00BE1DA8">
              <w:rPr>
                <w:rFonts w:ascii="Arial" w:hAnsi="Arial" w:cs="Arial"/>
                <w:color w:val="000000"/>
                <w:sz w:val="16"/>
                <w:szCs w:val="16"/>
              </w:rPr>
              <w:t>Trade and other receivables</w:t>
            </w:r>
          </w:p>
        </w:tc>
        <w:tc>
          <w:tcPr>
            <w:tcW w:w="901" w:type="dxa"/>
            <w:tcBorders>
              <w:top w:val="nil"/>
              <w:left w:val="nil"/>
              <w:bottom w:val="nil"/>
              <w:right w:val="nil"/>
            </w:tcBorders>
            <w:shd w:val="clear" w:color="auto" w:fill="auto"/>
            <w:noWrap/>
            <w:vAlign w:val="bottom"/>
            <w:hideMark/>
          </w:tcPr>
          <w:p w14:paraId="6E1C28CF" w14:textId="5F2A00EB"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42,056</w:t>
            </w:r>
          </w:p>
        </w:tc>
        <w:tc>
          <w:tcPr>
            <w:tcW w:w="901" w:type="dxa"/>
            <w:tcBorders>
              <w:top w:val="nil"/>
              <w:left w:val="nil"/>
              <w:bottom w:val="nil"/>
              <w:right w:val="nil"/>
            </w:tcBorders>
            <w:shd w:val="clear" w:color="auto" w:fill="E6E6E6"/>
            <w:noWrap/>
            <w:vAlign w:val="bottom"/>
            <w:hideMark/>
          </w:tcPr>
          <w:p w14:paraId="49566E75" w14:textId="69720EE3"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40,814</w:t>
            </w:r>
          </w:p>
        </w:tc>
        <w:tc>
          <w:tcPr>
            <w:tcW w:w="901" w:type="dxa"/>
            <w:tcBorders>
              <w:top w:val="nil"/>
              <w:left w:val="nil"/>
              <w:bottom w:val="nil"/>
              <w:right w:val="nil"/>
            </w:tcBorders>
            <w:shd w:val="clear" w:color="auto" w:fill="auto"/>
            <w:noWrap/>
            <w:vAlign w:val="bottom"/>
            <w:hideMark/>
          </w:tcPr>
          <w:p w14:paraId="13D84FA7" w14:textId="57B1FA4C"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40,814</w:t>
            </w:r>
          </w:p>
        </w:tc>
        <w:tc>
          <w:tcPr>
            <w:tcW w:w="901" w:type="dxa"/>
            <w:tcBorders>
              <w:top w:val="nil"/>
              <w:left w:val="nil"/>
              <w:bottom w:val="nil"/>
              <w:right w:val="nil"/>
            </w:tcBorders>
            <w:shd w:val="clear" w:color="auto" w:fill="auto"/>
            <w:noWrap/>
            <w:vAlign w:val="bottom"/>
            <w:hideMark/>
          </w:tcPr>
          <w:p w14:paraId="6C7488A4" w14:textId="61DC1BA9"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40,814</w:t>
            </w:r>
          </w:p>
        </w:tc>
        <w:tc>
          <w:tcPr>
            <w:tcW w:w="901" w:type="dxa"/>
            <w:tcBorders>
              <w:top w:val="nil"/>
              <w:left w:val="nil"/>
              <w:bottom w:val="nil"/>
              <w:right w:val="nil"/>
            </w:tcBorders>
            <w:shd w:val="clear" w:color="auto" w:fill="auto"/>
            <w:noWrap/>
            <w:vAlign w:val="bottom"/>
            <w:hideMark/>
          </w:tcPr>
          <w:p w14:paraId="4DAAE6A6" w14:textId="541E0B5E"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40,814</w:t>
            </w:r>
          </w:p>
        </w:tc>
      </w:tr>
      <w:tr w:rsidR="0014555F" w:rsidRPr="009E4A14" w14:paraId="40466724" w14:textId="77777777" w:rsidTr="006E595F">
        <w:trPr>
          <w:trHeight w:val="204"/>
        </w:trPr>
        <w:tc>
          <w:tcPr>
            <w:tcW w:w="2960" w:type="dxa"/>
            <w:tcBorders>
              <w:top w:val="nil"/>
              <w:left w:val="nil"/>
              <w:bottom w:val="nil"/>
              <w:right w:val="nil"/>
            </w:tcBorders>
            <w:shd w:val="clear" w:color="auto" w:fill="auto"/>
            <w:noWrap/>
            <w:vAlign w:val="center"/>
            <w:hideMark/>
          </w:tcPr>
          <w:p w14:paraId="55A11F9C" w14:textId="77777777" w:rsidR="0014555F" w:rsidRPr="009E4A14" w:rsidRDefault="0014555F" w:rsidP="0014555F">
            <w:pPr>
              <w:spacing w:after="0" w:line="240" w:lineRule="auto"/>
              <w:jc w:val="left"/>
              <w:rPr>
                <w:rFonts w:ascii="Arial" w:hAnsi="Arial" w:cs="Arial"/>
                <w:b/>
                <w:bCs/>
                <w:i/>
                <w:iCs/>
                <w:color w:val="000000"/>
                <w:sz w:val="16"/>
                <w:szCs w:val="16"/>
              </w:rPr>
            </w:pPr>
            <w:r w:rsidRPr="009E4A14">
              <w:rPr>
                <w:rFonts w:ascii="Arial" w:hAnsi="Arial" w:cs="Arial"/>
                <w:b/>
                <w:bCs/>
                <w:i/>
                <w:iCs/>
                <w:color w:val="000000"/>
                <w:sz w:val="16"/>
                <w:szCs w:val="16"/>
              </w:rPr>
              <w:t>Total financial assets</w:t>
            </w:r>
          </w:p>
        </w:tc>
        <w:tc>
          <w:tcPr>
            <w:tcW w:w="901" w:type="dxa"/>
            <w:tcBorders>
              <w:top w:val="single" w:sz="4" w:space="0" w:color="000000"/>
              <w:left w:val="nil"/>
              <w:bottom w:val="single" w:sz="4" w:space="0" w:color="000000"/>
              <w:right w:val="nil"/>
            </w:tcBorders>
            <w:shd w:val="clear" w:color="auto" w:fill="auto"/>
            <w:noWrap/>
            <w:vAlign w:val="bottom"/>
            <w:hideMark/>
          </w:tcPr>
          <w:p w14:paraId="21467738" w14:textId="0FD353A8"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46,664</w:t>
            </w:r>
          </w:p>
        </w:tc>
        <w:tc>
          <w:tcPr>
            <w:tcW w:w="901" w:type="dxa"/>
            <w:tcBorders>
              <w:top w:val="single" w:sz="4" w:space="0" w:color="000000"/>
              <w:left w:val="nil"/>
              <w:bottom w:val="single" w:sz="4" w:space="0" w:color="000000"/>
              <w:right w:val="nil"/>
            </w:tcBorders>
            <w:shd w:val="clear" w:color="auto" w:fill="E6E6E6"/>
            <w:noWrap/>
            <w:vAlign w:val="bottom"/>
            <w:hideMark/>
          </w:tcPr>
          <w:p w14:paraId="27586720" w14:textId="6983CE8E"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47,192</w:t>
            </w:r>
          </w:p>
        </w:tc>
        <w:tc>
          <w:tcPr>
            <w:tcW w:w="901" w:type="dxa"/>
            <w:tcBorders>
              <w:top w:val="single" w:sz="4" w:space="0" w:color="000000"/>
              <w:left w:val="nil"/>
              <w:bottom w:val="single" w:sz="4" w:space="0" w:color="000000"/>
              <w:right w:val="nil"/>
            </w:tcBorders>
            <w:shd w:val="clear" w:color="auto" w:fill="auto"/>
            <w:noWrap/>
            <w:vAlign w:val="bottom"/>
            <w:hideMark/>
          </w:tcPr>
          <w:p w14:paraId="057910EB" w14:textId="1CDDE6EF"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47,192</w:t>
            </w:r>
          </w:p>
        </w:tc>
        <w:tc>
          <w:tcPr>
            <w:tcW w:w="901" w:type="dxa"/>
            <w:tcBorders>
              <w:top w:val="single" w:sz="4" w:space="0" w:color="000000"/>
              <w:left w:val="nil"/>
              <w:bottom w:val="single" w:sz="4" w:space="0" w:color="000000"/>
              <w:right w:val="nil"/>
            </w:tcBorders>
            <w:shd w:val="clear" w:color="auto" w:fill="auto"/>
            <w:noWrap/>
            <w:vAlign w:val="bottom"/>
            <w:hideMark/>
          </w:tcPr>
          <w:p w14:paraId="108AB621" w14:textId="2CAEB077"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47,192</w:t>
            </w:r>
          </w:p>
        </w:tc>
        <w:tc>
          <w:tcPr>
            <w:tcW w:w="901" w:type="dxa"/>
            <w:tcBorders>
              <w:top w:val="single" w:sz="4" w:space="0" w:color="000000"/>
              <w:left w:val="nil"/>
              <w:bottom w:val="single" w:sz="4" w:space="0" w:color="000000"/>
              <w:right w:val="nil"/>
            </w:tcBorders>
            <w:shd w:val="clear" w:color="auto" w:fill="auto"/>
            <w:noWrap/>
            <w:vAlign w:val="bottom"/>
            <w:hideMark/>
          </w:tcPr>
          <w:p w14:paraId="3479D0A7" w14:textId="177DC3E2"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47,192</w:t>
            </w:r>
          </w:p>
        </w:tc>
      </w:tr>
      <w:tr w:rsidR="0014555F" w:rsidRPr="009E4A14" w14:paraId="4C1466E2" w14:textId="77777777" w:rsidTr="006E595F">
        <w:trPr>
          <w:trHeight w:val="204"/>
        </w:trPr>
        <w:tc>
          <w:tcPr>
            <w:tcW w:w="2960" w:type="dxa"/>
            <w:tcBorders>
              <w:top w:val="nil"/>
              <w:left w:val="nil"/>
              <w:bottom w:val="nil"/>
              <w:right w:val="nil"/>
            </w:tcBorders>
            <w:shd w:val="clear" w:color="auto" w:fill="auto"/>
            <w:noWrap/>
            <w:vAlign w:val="center"/>
            <w:hideMark/>
          </w:tcPr>
          <w:p w14:paraId="67EFAD10"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Non-financial assets</w:t>
            </w:r>
          </w:p>
        </w:tc>
        <w:tc>
          <w:tcPr>
            <w:tcW w:w="901" w:type="dxa"/>
            <w:tcBorders>
              <w:top w:val="nil"/>
              <w:left w:val="nil"/>
              <w:bottom w:val="nil"/>
              <w:right w:val="nil"/>
            </w:tcBorders>
            <w:shd w:val="clear" w:color="auto" w:fill="auto"/>
            <w:noWrap/>
            <w:vAlign w:val="bottom"/>
            <w:hideMark/>
          </w:tcPr>
          <w:p w14:paraId="70CF289C" w14:textId="77777777" w:rsidR="0014555F" w:rsidRPr="009E4A14" w:rsidRDefault="0014555F" w:rsidP="009E4A14">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auto" w:fill="E6E6E6"/>
            <w:noWrap/>
            <w:vAlign w:val="bottom"/>
            <w:hideMark/>
          </w:tcPr>
          <w:p w14:paraId="5655D4CB" w14:textId="4ED07384"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35D14DC8" w14:textId="77777777"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39A1C9EC" w14:textId="77777777" w:rsidR="0014555F" w:rsidRPr="009E4A14" w:rsidRDefault="0014555F" w:rsidP="009E4A14">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0ECC3B87" w14:textId="77777777" w:rsidR="0014555F" w:rsidRPr="009E4A14" w:rsidRDefault="0014555F" w:rsidP="009E4A14">
            <w:pPr>
              <w:spacing w:after="0" w:line="240" w:lineRule="auto"/>
              <w:jc w:val="right"/>
              <w:rPr>
                <w:rFonts w:ascii="Arial" w:hAnsi="Arial" w:cs="Arial"/>
                <w:sz w:val="16"/>
                <w:szCs w:val="16"/>
              </w:rPr>
            </w:pPr>
          </w:p>
        </w:tc>
      </w:tr>
      <w:tr w:rsidR="0014555F" w:rsidRPr="009E4A14" w14:paraId="169F53DB" w14:textId="77777777" w:rsidTr="006E595F">
        <w:trPr>
          <w:trHeight w:val="204"/>
        </w:trPr>
        <w:tc>
          <w:tcPr>
            <w:tcW w:w="2960" w:type="dxa"/>
            <w:tcBorders>
              <w:top w:val="nil"/>
              <w:left w:val="nil"/>
              <w:bottom w:val="nil"/>
              <w:right w:val="nil"/>
            </w:tcBorders>
            <w:shd w:val="clear" w:color="auto" w:fill="auto"/>
            <w:noWrap/>
            <w:vAlign w:val="center"/>
            <w:hideMark/>
          </w:tcPr>
          <w:p w14:paraId="45BBD8D3"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Land and buildings</w:t>
            </w:r>
          </w:p>
        </w:tc>
        <w:tc>
          <w:tcPr>
            <w:tcW w:w="901" w:type="dxa"/>
            <w:tcBorders>
              <w:top w:val="nil"/>
              <w:left w:val="nil"/>
              <w:bottom w:val="nil"/>
              <w:right w:val="nil"/>
            </w:tcBorders>
            <w:shd w:val="clear" w:color="auto" w:fill="auto"/>
            <w:noWrap/>
            <w:vAlign w:val="bottom"/>
            <w:hideMark/>
          </w:tcPr>
          <w:p w14:paraId="5279DFA2" w14:textId="2DEC748F"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70,946</w:t>
            </w:r>
          </w:p>
        </w:tc>
        <w:tc>
          <w:tcPr>
            <w:tcW w:w="901" w:type="dxa"/>
            <w:tcBorders>
              <w:top w:val="nil"/>
              <w:left w:val="nil"/>
              <w:bottom w:val="nil"/>
              <w:right w:val="nil"/>
            </w:tcBorders>
            <w:shd w:val="clear" w:color="auto" w:fill="E6E6E6"/>
            <w:noWrap/>
            <w:vAlign w:val="bottom"/>
            <w:hideMark/>
          </w:tcPr>
          <w:p w14:paraId="2885208C" w14:textId="6340511D"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61,245</w:t>
            </w:r>
          </w:p>
        </w:tc>
        <w:tc>
          <w:tcPr>
            <w:tcW w:w="901" w:type="dxa"/>
            <w:tcBorders>
              <w:top w:val="nil"/>
              <w:left w:val="nil"/>
              <w:bottom w:val="nil"/>
              <w:right w:val="nil"/>
            </w:tcBorders>
            <w:shd w:val="clear" w:color="auto" w:fill="auto"/>
            <w:noWrap/>
            <w:vAlign w:val="bottom"/>
            <w:hideMark/>
          </w:tcPr>
          <w:p w14:paraId="163E5468" w14:textId="3574A418"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54,503</w:t>
            </w:r>
          </w:p>
        </w:tc>
        <w:tc>
          <w:tcPr>
            <w:tcW w:w="901" w:type="dxa"/>
            <w:tcBorders>
              <w:top w:val="nil"/>
              <w:left w:val="nil"/>
              <w:bottom w:val="nil"/>
              <w:right w:val="nil"/>
            </w:tcBorders>
            <w:shd w:val="clear" w:color="auto" w:fill="auto"/>
            <w:noWrap/>
            <w:vAlign w:val="bottom"/>
            <w:hideMark/>
          </w:tcPr>
          <w:p w14:paraId="7038E070" w14:textId="56C80F66"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45,861</w:t>
            </w:r>
          </w:p>
        </w:tc>
        <w:tc>
          <w:tcPr>
            <w:tcW w:w="901" w:type="dxa"/>
            <w:tcBorders>
              <w:top w:val="nil"/>
              <w:left w:val="nil"/>
              <w:bottom w:val="nil"/>
              <w:right w:val="nil"/>
            </w:tcBorders>
            <w:shd w:val="clear" w:color="auto" w:fill="auto"/>
            <w:noWrap/>
            <w:vAlign w:val="bottom"/>
            <w:hideMark/>
          </w:tcPr>
          <w:p w14:paraId="51070D8A" w14:textId="54039E5C"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34,919</w:t>
            </w:r>
          </w:p>
        </w:tc>
      </w:tr>
      <w:tr w:rsidR="0014555F" w:rsidRPr="009E4A14" w14:paraId="219C68D3" w14:textId="77777777" w:rsidTr="006E595F">
        <w:trPr>
          <w:trHeight w:val="204"/>
        </w:trPr>
        <w:tc>
          <w:tcPr>
            <w:tcW w:w="2960" w:type="dxa"/>
            <w:tcBorders>
              <w:top w:val="nil"/>
              <w:left w:val="nil"/>
              <w:bottom w:val="nil"/>
              <w:right w:val="nil"/>
            </w:tcBorders>
            <w:shd w:val="clear" w:color="auto" w:fill="auto"/>
            <w:noWrap/>
            <w:vAlign w:val="center"/>
            <w:hideMark/>
          </w:tcPr>
          <w:p w14:paraId="7960C189"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Property, plant and equipment</w:t>
            </w:r>
          </w:p>
        </w:tc>
        <w:tc>
          <w:tcPr>
            <w:tcW w:w="901" w:type="dxa"/>
            <w:tcBorders>
              <w:top w:val="nil"/>
              <w:left w:val="nil"/>
              <w:bottom w:val="nil"/>
              <w:right w:val="nil"/>
            </w:tcBorders>
            <w:shd w:val="clear" w:color="auto" w:fill="auto"/>
            <w:noWrap/>
            <w:vAlign w:val="bottom"/>
            <w:hideMark/>
          </w:tcPr>
          <w:p w14:paraId="0FEDA1D4" w14:textId="29DF1540"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4,655</w:t>
            </w:r>
          </w:p>
        </w:tc>
        <w:tc>
          <w:tcPr>
            <w:tcW w:w="901" w:type="dxa"/>
            <w:tcBorders>
              <w:top w:val="nil"/>
              <w:left w:val="nil"/>
              <w:bottom w:val="nil"/>
              <w:right w:val="nil"/>
            </w:tcBorders>
            <w:shd w:val="clear" w:color="auto" w:fill="E6E6E6"/>
            <w:noWrap/>
            <w:vAlign w:val="bottom"/>
            <w:hideMark/>
          </w:tcPr>
          <w:p w14:paraId="2A65FBA3" w14:textId="6E3F0C51"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10,297</w:t>
            </w:r>
          </w:p>
        </w:tc>
        <w:tc>
          <w:tcPr>
            <w:tcW w:w="901" w:type="dxa"/>
            <w:tcBorders>
              <w:top w:val="nil"/>
              <w:left w:val="nil"/>
              <w:bottom w:val="nil"/>
              <w:right w:val="nil"/>
            </w:tcBorders>
            <w:shd w:val="clear" w:color="auto" w:fill="auto"/>
            <w:noWrap/>
            <w:vAlign w:val="bottom"/>
            <w:hideMark/>
          </w:tcPr>
          <w:p w14:paraId="257369D8" w14:textId="03C877FD"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9,591</w:t>
            </w:r>
          </w:p>
        </w:tc>
        <w:tc>
          <w:tcPr>
            <w:tcW w:w="901" w:type="dxa"/>
            <w:tcBorders>
              <w:top w:val="nil"/>
              <w:left w:val="nil"/>
              <w:bottom w:val="nil"/>
              <w:right w:val="nil"/>
            </w:tcBorders>
            <w:shd w:val="clear" w:color="auto" w:fill="auto"/>
            <w:noWrap/>
            <w:vAlign w:val="bottom"/>
            <w:hideMark/>
          </w:tcPr>
          <w:p w14:paraId="57B03DD6" w14:textId="3CAFE26D"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8,560</w:t>
            </w:r>
          </w:p>
        </w:tc>
        <w:tc>
          <w:tcPr>
            <w:tcW w:w="901" w:type="dxa"/>
            <w:tcBorders>
              <w:top w:val="nil"/>
              <w:left w:val="nil"/>
              <w:bottom w:val="nil"/>
              <w:right w:val="nil"/>
            </w:tcBorders>
            <w:shd w:val="clear" w:color="auto" w:fill="auto"/>
            <w:noWrap/>
            <w:vAlign w:val="bottom"/>
            <w:hideMark/>
          </w:tcPr>
          <w:p w14:paraId="1F4127B1" w14:textId="428E4E4F"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8,268</w:t>
            </w:r>
          </w:p>
        </w:tc>
      </w:tr>
      <w:tr w:rsidR="0014555F" w:rsidRPr="009E4A14" w14:paraId="76AC5493" w14:textId="77777777" w:rsidTr="006E595F">
        <w:trPr>
          <w:trHeight w:val="204"/>
        </w:trPr>
        <w:tc>
          <w:tcPr>
            <w:tcW w:w="2960" w:type="dxa"/>
            <w:tcBorders>
              <w:top w:val="nil"/>
              <w:left w:val="nil"/>
              <w:bottom w:val="nil"/>
              <w:right w:val="nil"/>
            </w:tcBorders>
            <w:shd w:val="clear" w:color="auto" w:fill="auto"/>
            <w:noWrap/>
            <w:vAlign w:val="center"/>
            <w:hideMark/>
          </w:tcPr>
          <w:p w14:paraId="086E30FC"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Intangibles</w:t>
            </w:r>
          </w:p>
        </w:tc>
        <w:tc>
          <w:tcPr>
            <w:tcW w:w="901" w:type="dxa"/>
            <w:tcBorders>
              <w:top w:val="nil"/>
              <w:left w:val="nil"/>
              <w:bottom w:val="nil"/>
              <w:right w:val="nil"/>
            </w:tcBorders>
            <w:shd w:val="clear" w:color="auto" w:fill="auto"/>
            <w:noWrap/>
            <w:vAlign w:val="bottom"/>
            <w:hideMark/>
          </w:tcPr>
          <w:p w14:paraId="0659EE38" w14:textId="685EF6F3"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14,094</w:t>
            </w:r>
          </w:p>
        </w:tc>
        <w:tc>
          <w:tcPr>
            <w:tcW w:w="901" w:type="dxa"/>
            <w:tcBorders>
              <w:top w:val="nil"/>
              <w:left w:val="nil"/>
              <w:bottom w:val="nil"/>
              <w:right w:val="nil"/>
            </w:tcBorders>
            <w:shd w:val="clear" w:color="auto" w:fill="E6E6E6"/>
            <w:noWrap/>
            <w:vAlign w:val="bottom"/>
            <w:hideMark/>
          </w:tcPr>
          <w:p w14:paraId="43149670" w14:textId="1E34C8B5"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16,214</w:t>
            </w:r>
          </w:p>
        </w:tc>
        <w:tc>
          <w:tcPr>
            <w:tcW w:w="901" w:type="dxa"/>
            <w:tcBorders>
              <w:top w:val="nil"/>
              <w:left w:val="nil"/>
              <w:bottom w:val="nil"/>
              <w:right w:val="nil"/>
            </w:tcBorders>
            <w:shd w:val="clear" w:color="auto" w:fill="auto"/>
            <w:noWrap/>
            <w:vAlign w:val="bottom"/>
            <w:hideMark/>
          </w:tcPr>
          <w:p w14:paraId="07DC1418" w14:textId="6A0487F7"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14,424</w:t>
            </w:r>
          </w:p>
        </w:tc>
        <w:tc>
          <w:tcPr>
            <w:tcW w:w="901" w:type="dxa"/>
            <w:tcBorders>
              <w:top w:val="nil"/>
              <w:left w:val="nil"/>
              <w:bottom w:val="nil"/>
              <w:right w:val="nil"/>
            </w:tcBorders>
            <w:shd w:val="clear" w:color="auto" w:fill="auto"/>
            <w:noWrap/>
            <w:vAlign w:val="bottom"/>
            <w:hideMark/>
          </w:tcPr>
          <w:p w14:paraId="20FB822F" w14:textId="4AE1021F"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13,959</w:t>
            </w:r>
          </w:p>
        </w:tc>
        <w:tc>
          <w:tcPr>
            <w:tcW w:w="901" w:type="dxa"/>
            <w:tcBorders>
              <w:top w:val="nil"/>
              <w:left w:val="nil"/>
              <w:bottom w:val="nil"/>
              <w:right w:val="nil"/>
            </w:tcBorders>
            <w:shd w:val="clear" w:color="auto" w:fill="auto"/>
            <w:noWrap/>
            <w:vAlign w:val="bottom"/>
            <w:hideMark/>
          </w:tcPr>
          <w:p w14:paraId="6BBE1804" w14:textId="351B2E9D"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14,985</w:t>
            </w:r>
          </w:p>
        </w:tc>
      </w:tr>
      <w:tr w:rsidR="0014555F" w:rsidRPr="009E4A14" w14:paraId="2D38D368" w14:textId="77777777" w:rsidTr="006E595F">
        <w:trPr>
          <w:trHeight w:val="204"/>
        </w:trPr>
        <w:tc>
          <w:tcPr>
            <w:tcW w:w="2960" w:type="dxa"/>
            <w:tcBorders>
              <w:top w:val="nil"/>
              <w:left w:val="nil"/>
              <w:bottom w:val="nil"/>
              <w:right w:val="nil"/>
            </w:tcBorders>
            <w:shd w:val="clear" w:color="auto" w:fill="auto"/>
            <w:noWrap/>
            <w:vAlign w:val="center"/>
            <w:hideMark/>
          </w:tcPr>
          <w:p w14:paraId="4C3586CF"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Other non-financial assets</w:t>
            </w:r>
          </w:p>
        </w:tc>
        <w:tc>
          <w:tcPr>
            <w:tcW w:w="901" w:type="dxa"/>
            <w:tcBorders>
              <w:top w:val="nil"/>
              <w:left w:val="nil"/>
              <w:bottom w:val="nil"/>
              <w:right w:val="nil"/>
            </w:tcBorders>
            <w:shd w:val="clear" w:color="auto" w:fill="auto"/>
            <w:noWrap/>
            <w:vAlign w:val="bottom"/>
            <w:hideMark/>
          </w:tcPr>
          <w:p w14:paraId="3C819355" w14:textId="6ED7FE38"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2,920</w:t>
            </w:r>
          </w:p>
        </w:tc>
        <w:tc>
          <w:tcPr>
            <w:tcW w:w="901" w:type="dxa"/>
            <w:tcBorders>
              <w:top w:val="nil"/>
              <w:left w:val="nil"/>
              <w:bottom w:val="nil"/>
              <w:right w:val="nil"/>
            </w:tcBorders>
            <w:shd w:val="clear" w:color="auto" w:fill="E6E6E6"/>
            <w:noWrap/>
            <w:vAlign w:val="bottom"/>
            <w:hideMark/>
          </w:tcPr>
          <w:p w14:paraId="51FDFF71" w14:textId="6F40AB98"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2,920</w:t>
            </w:r>
          </w:p>
        </w:tc>
        <w:tc>
          <w:tcPr>
            <w:tcW w:w="901" w:type="dxa"/>
            <w:tcBorders>
              <w:top w:val="nil"/>
              <w:left w:val="nil"/>
              <w:bottom w:val="nil"/>
              <w:right w:val="nil"/>
            </w:tcBorders>
            <w:shd w:val="clear" w:color="auto" w:fill="auto"/>
            <w:noWrap/>
            <w:vAlign w:val="bottom"/>
            <w:hideMark/>
          </w:tcPr>
          <w:p w14:paraId="183D6A8B" w14:textId="1F03CCCC"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2,920</w:t>
            </w:r>
          </w:p>
        </w:tc>
        <w:tc>
          <w:tcPr>
            <w:tcW w:w="901" w:type="dxa"/>
            <w:tcBorders>
              <w:top w:val="nil"/>
              <w:left w:val="nil"/>
              <w:bottom w:val="nil"/>
              <w:right w:val="nil"/>
            </w:tcBorders>
            <w:shd w:val="clear" w:color="auto" w:fill="auto"/>
            <w:noWrap/>
            <w:vAlign w:val="bottom"/>
            <w:hideMark/>
          </w:tcPr>
          <w:p w14:paraId="072D1DD5" w14:textId="6FD47B35"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2,920</w:t>
            </w:r>
          </w:p>
        </w:tc>
        <w:tc>
          <w:tcPr>
            <w:tcW w:w="901" w:type="dxa"/>
            <w:tcBorders>
              <w:top w:val="nil"/>
              <w:left w:val="nil"/>
              <w:bottom w:val="nil"/>
              <w:right w:val="nil"/>
            </w:tcBorders>
            <w:shd w:val="clear" w:color="auto" w:fill="auto"/>
            <w:noWrap/>
            <w:vAlign w:val="bottom"/>
            <w:hideMark/>
          </w:tcPr>
          <w:p w14:paraId="68DE24DB" w14:textId="45879CEF"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2,920</w:t>
            </w:r>
          </w:p>
        </w:tc>
      </w:tr>
      <w:tr w:rsidR="0014555F" w:rsidRPr="009E4A14" w14:paraId="6504951C" w14:textId="77777777" w:rsidTr="006E595F">
        <w:trPr>
          <w:trHeight w:val="204"/>
        </w:trPr>
        <w:tc>
          <w:tcPr>
            <w:tcW w:w="2960" w:type="dxa"/>
            <w:tcBorders>
              <w:top w:val="nil"/>
              <w:left w:val="nil"/>
              <w:bottom w:val="nil"/>
              <w:right w:val="nil"/>
            </w:tcBorders>
            <w:shd w:val="clear" w:color="auto" w:fill="auto"/>
            <w:noWrap/>
            <w:vAlign w:val="center"/>
            <w:hideMark/>
          </w:tcPr>
          <w:p w14:paraId="7812FB32" w14:textId="77777777" w:rsidR="0014555F" w:rsidRPr="009E4A14" w:rsidRDefault="0014555F" w:rsidP="0014555F">
            <w:pPr>
              <w:spacing w:after="0" w:line="240" w:lineRule="auto"/>
              <w:jc w:val="left"/>
              <w:rPr>
                <w:rFonts w:ascii="Arial" w:hAnsi="Arial" w:cs="Arial"/>
                <w:b/>
                <w:bCs/>
                <w:i/>
                <w:iCs/>
                <w:color w:val="000000"/>
                <w:sz w:val="16"/>
                <w:szCs w:val="16"/>
              </w:rPr>
            </w:pPr>
            <w:r w:rsidRPr="009E4A14">
              <w:rPr>
                <w:rFonts w:ascii="Arial" w:hAnsi="Arial" w:cs="Arial"/>
                <w:b/>
                <w:bCs/>
                <w:i/>
                <w:iCs/>
                <w:color w:val="000000"/>
                <w:sz w:val="16"/>
                <w:szCs w:val="16"/>
              </w:rPr>
              <w:t>Total non-financial assets</w:t>
            </w:r>
          </w:p>
        </w:tc>
        <w:tc>
          <w:tcPr>
            <w:tcW w:w="901" w:type="dxa"/>
            <w:tcBorders>
              <w:top w:val="single" w:sz="4" w:space="0" w:color="000000"/>
              <w:left w:val="nil"/>
              <w:bottom w:val="single" w:sz="4" w:space="0" w:color="000000"/>
              <w:right w:val="nil"/>
            </w:tcBorders>
            <w:shd w:val="clear" w:color="auto" w:fill="auto"/>
            <w:noWrap/>
            <w:vAlign w:val="bottom"/>
            <w:hideMark/>
          </w:tcPr>
          <w:p w14:paraId="0B3B92C5" w14:textId="2C0DF880"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92,615</w:t>
            </w:r>
          </w:p>
        </w:tc>
        <w:tc>
          <w:tcPr>
            <w:tcW w:w="901" w:type="dxa"/>
            <w:tcBorders>
              <w:top w:val="single" w:sz="4" w:space="0" w:color="000000"/>
              <w:left w:val="nil"/>
              <w:bottom w:val="single" w:sz="4" w:space="0" w:color="000000"/>
              <w:right w:val="nil"/>
            </w:tcBorders>
            <w:shd w:val="clear" w:color="auto" w:fill="E6E6E6"/>
            <w:noWrap/>
            <w:vAlign w:val="bottom"/>
            <w:hideMark/>
          </w:tcPr>
          <w:p w14:paraId="077A4EBC" w14:textId="715E03C0"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90,676</w:t>
            </w:r>
          </w:p>
        </w:tc>
        <w:tc>
          <w:tcPr>
            <w:tcW w:w="901" w:type="dxa"/>
            <w:tcBorders>
              <w:top w:val="single" w:sz="4" w:space="0" w:color="000000"/>
              <w:left w:val="nil"/>
              <w:bottom w:val="single" w:sz="4" w:space="0" w:color="000000"/>
              <w:right w:val="nil"/>
            </w:tcBorders>
            <w:shd w:val="clear" w:color="auto" w:fill="auto"/>
            <w:noWrap/>
            <w:vAlign w:val="bottom"/>
            <w:hideMark/>
          </w:tcPr>
          <w:p w14:paraId="7A2B3A7D" w14:textId="1057094A"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81,438</w:t>
            </w:r>
          </w:p>
        </w:tc>
        <w:tc>
          <w:tcPr>
            <w:tcW w:w="901" w:type="dxa"/>
            <w:tcBorders>
              <w:top w:val="single" w:sz="4" w:space="0" w:color="000000"/>
              <w:left w:val="nil"/>
              <w:bottom w:val="single" w:sz="4" w:space="0" w:color="000000"/>
              <w:right w:val="nil"/>
            </w:tcBorders>
            <w:shd w:val="clear" w:color="auto" w:fill="auto"/>
            <w:noWrap/>
            <w:vAlign w:val="bottom"/>
            <w:hideMark/>
          </w:tcPr>
          <w:p w14:paraId="676FD674" w14:textId="7FDD587B"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71,300</w:t>
            </w:r>
          </w:p>
        </w:tc>
        <w:tc>
          <w:tcPr>
            <w:tcW w:w="901" w:type="dxa"/>
            <w:tcBorders>
              <w:top w:val="single" w:sz="4" w:space="0" w:color="000000"/>
              <w:left w:val="nil"/>
              <w:bottom w:val="single" w:sz="4" w:space="0" w:color="000000"/>
              <w:right w:val="nil"/>
            </w:tcBorders>
            <w:shd w:val="clear" w:color="auto" w:fill="auto"/>
            <w:noWrap/>
            <w:vAlign w:val="bottom"/>
            <w:hideMark/>
          </w:tcPr>
          <w:p w14:paraId="48830285" w14:textId="394E2F7C"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61,092</w:t>
            </w:r>
          </w:p>
        </w:tc>
      </w:tr>
      <w:tr w:rsidR="0014555F" w:rsidRPr="009E4A14" w14:paraId="3F38C6F8" w14:textId="77777777" w:rsidTr="006E595F">
        <w:trPr>
          <w:trHeight w:val="204"/>
        </w:trPr>
        <w:tc>
          <w:tcPr>
            <w:tcW w:w="2960" w:type="dxa"/>
            <w:tcBorders>
              <w:top w:val="nil"/>
              <w:left w:val="nil"/>
              <w:bottom w:val="nil"/>
              <w:right w:val="nil"/>
            </w:tcBorders>
            <w:shd w:val="clear" w:color="auto" w:fill="auto"/>
            <w:noWrap/>
            <w:vAlign w:val="center"/>
            <w:hideMark/>
          </w:tcPr>
          <w:p w14:paraId="7BD9497B"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Total assets</w:t>
            </w:r>
          </w:p>
        </w:tc>
        <w:tc>
          <w:tcPr>
            <w:tcW w:w="901" w:type="dxa"/>
            <w:tcBorders>
              <w:top w:val="nil"/>
              <w:left w:val="nil"/>
              <w:bottom w:val="single" w:sz="4" w:space="0" w:color="000000"/>
              <w:right w:val="nil"/>
            </w:tcBorders>
            <w:shd w:val="clear" w:color="auto" w:fill="auto"/>
            <w:noWrap/>
            <w:vAlign w:val="bottom"/>
            <w:hideMark/>
          </w:tcPr>
          <w:p w14:paraId="59E4EC9E" w14:textId="07806C03"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139,279</w:t>
            </w:r>
          </w:p>
        </w:tc>
        <w:tc>
          <w:tcPr>
            <w:tcW w:w="901" w:type="dxa"/>
            <w:tcBorders>
              <w:top w:val="nil"/>
              <w:left w:val="nil"/>
              <w:bottom w:val="single" w:sz="4" w:space="0" w:color="000000"/>
              <w:right w:val="nil"/>
            </w:tcBorders>
            <w:shd w:val="clear" w:color="auto" w:fill="E6E6E6"/>
            <w:noWrap/>
            <w:vAlign w:val="bottom"/>
            <w:hideMark/>
          </w:tcPr>
          <w:p w14:paraId="3E5649D5" w14:textId="64BC58E6"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137,868</w:t>
            </w:r>
          </w:p>
        </w:tc>
        <w:tc>
          <w:tcPr>
            <w:tcW w:w="901" w:type="dxa"/>
            <w:tcBorders>
              <w:top w:val="nil"/>
              <w:left w:val="nil"/>
              <w:bottom w:val="single" w:sz="4" w:space="0" w:color="000000"/>
              <w:right w:val="nil"/>
            </w:tcBorders>
            <w:shd w:val="clear" w:color="auto" w:fill="auto"/>
            <w:noWrap/>
            <w:vAlign w:val="bottom"/>
            <w:hideMark/>
          </w:tcPr>
          <w:p w14:paraId="0F5B4174" w14:textId="28AB5708"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128,630</w:t>
            </w:r>
          </w:p>
        </w:tc>
        <w:tc>
          <w:tcPr>
            <w:tcW w:w="901" w:type="dxa"/>
            <w:tcBorders>
              <w:top w:val="nil"/>
              <w:left w:val="nil"/>
              <w:bottom w:val="single" w:sz="4" w:space="0" w:color="000000"/>
              <w:right w:val="nil"/>
            </w:tcBorders>
            <w:shd w:val="clear" w:color="auto" w:fill="auto"/>
            <w:noWrap/>
            <w:vAlign w:val="bottom"/>
            <w:hideMark/>
          </w:tcPr>
          <w:p w14:paraId="3AEAC726" w14:textId="5036A1D3"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118,492</w:t>
            </w:r>
          </w:p>
        </w:tc>
        <w:tc>
          <w:tcPr>
            <w:tcW w:w="901" w:type="dxa"/>
            <w:tcBorders>
              <w:top w:val="nil"/>
              <w:left w:val="nil"/>
              <w:bottom w:val="single" w:sz="4" w:space="0" w:color="000000"/>
              <w:right w:val="nil"/>
            </w:tcBorders>
            <w:shd w:val="clear" w:color="auto" w:fill="auto"/>
            <w:noWrap/>
            <w:vAlign w:val="bottom"/>
            <w:hideMark/>
          </w:tcPr>
          <w:p w14:paraId="5BE6C5A2" w14:textId="5AEB0646"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108,284</w:t>
            </w:r>
          </w:p>
        </w:tc>
      </w:tr>
      <w:tr w:rsidR="0014555F" w:rsidRPr="009E4A14" w14:paraId="788C5D04" w14:textId="77777777" w:rsidTr="006E595F">
        <w:trPr>
          <w:trHeight w:val="204"/>
        </w:trPr>
        <w:tc>
          <w:tcPr>
            <w:tcW w:w="2960" w:type="dxa"/>
            <w:tcBorders>
              <w:top w:val="nil"/>
              <w:left w:val="nil"/>
              <w:bottom w:val="nil"/>
              <w:right w:val="nil"/>
            </w:tcBorders>
            <w:shd w:val="clear" w:color="auto" w:fill="auto"/>
            <w:noWrap/>
            <w:vAlign w:val="center"/>
            <w:hideMark/>
          </w:tcPr>
          <w:p w14:paraId="00360040"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LIABILITIES</w:t>
            </w:r>
          </w:p>
        </w:tc>
        <w:tc>
          <w:tcPr>
            <w:tcW w:w="901" w:type="dxa"/>
            <w:tcBorders>
              <w:top w:val="nil"/>
              <w:left w:val="nil"/>
              <w:bottom w:val="nil"/>
              <w:right w:val="nil"/>
            </w:tcBorders>
            <w:shd w:val="clear" w:color="auto" w:fill="auto"/>
            <w:noWrap/>
            <w:vAlign w:val="bottom"/>
            <w:hideMark/>
          </w:tcPr>
          <w:p w14:paraId="32B436CC" w14:textId="77777777" w:rsidR="0014555F" w:rsidRPr="009E4A14" w:rsidRDefault="0014555F" w:rsidP="009E4A14">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auto" w:fill="E6E6E6"/>
            <w:noWrap/>
            <w:vAlign w:val="bottom"/>
            <w:hideMark/>
          </w:tcPr>
          <w:p w14:paraId="46A6F5A5" w14:textId="055C977B"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0E2A9263" w14:textId="77777777"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123E9278" w14:textId="77777777" w:rsidR="0014555F" w:rsidRPr="009E4A14" w:rsidRDefault="0014555F" w:rsidP="009E4A14">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0585C968" w14:textId="77777777" w:rsidR="0014555F" w:rsidRPr="009E4A14" w:rsidRDefault="0014555F" w:rsidP="009E4A14">
            <w:pPr>
              <w:spacing w:after="0" w:line="240" w:lineRule="auto"/>
              <w:jc w:val="right"/>
              <w:rPr>
                <w:rFonts w:ascii="Arial" w:hAnsi="Arial" w:cs="Arial"/>
                <w:sz w:val="16"/>
                <w:szCs w:val="16"/>
              </w:rPr>
            </w:pPr>
          </w:p>
        </w:tc>
      </w:tr>
      <w:tr w:rsidR="0014555F" w:rsidRPr="009E4A14" w14:paraId="3655B578" w14:textId="77777777" w:rsidTr="006E595F">
        <w:trPr>
          <w:trHeight w:val="204"/>
        </w:trPr>
        <w:tc>
          <w:tcPr>
            <w:tcW w:w="2960" w:type="dxa"/>
            <w:tcBorders>
              <w:top w:val="nil"/>
              <w:left w:val="nil"/>
              <w:bottom w:val="nil"/>
              <w:right w:val="nil"/>
            </w:tcBorders>
            <w:shd w:val="clear" w:color="auto" w:fill="auto"/>
            <w:noWrap/>
            <w:vAlign w:val="center"/>
            <w:hideMark/>
          </w:tcPr>
          <w:p w14:paraId="3BD9522C"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Payables</w:t>
            </w:r>
          </w:p>
        </w:tc>
        <w:tc>
          <w:tcPr>
            <w:tcW w:w="901" w:type="dxa"/>
            <w:tcBorders>
              <w:top w:val="nil"/>
              <w:left w:val="nil"/>
              <w:bottom w:val="nil"/>
              <w:right w:val="nil"/>
            </w:tcBorders>
            <w:shd w:val="clear" w:color="auto" w:fill="auto"/>
            <w:noWrap/>
            <w:vAlign w:val="bottom"/>
            <w:hideMark/>
          </w:tcPr>
          <w:p w14:paraId="1B32353B" w14:textId="77777777" w:rsidR="0014555F" w:rsidRPr="009E4A14" w:rsidRDefault="0014555F" w:rsidP="009E4A14">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auto" w:fill="E6E6E6"/>
            <w:noWrap/>
            <w:vAlign w:val="bottom"/>
            <w:hideMark/>
          </w:tcPr>
          <w:p w14:paraId="7030EAB4" w14:textId="4C2BFA50"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1FA8E62A" w14:textId="77777777"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2D92ACF4" w14:textId="77777777" w:rsidR="0014555F" w:rsidRPr="009E4A14" w:rsidRDefault="0014555F" w:rsidP="009E4A14">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6F01E25B" w14:textId="77777777" w:rsidR="0014555F" w:rsidRPr="009E4A14" w:rsidRDefault="0014555F" w:rsidP="009E4A14">
            <w:pPr>
              <w:spacing w:after="0" w:line="240" w:lineRule="auto"/>
              <w:jc w:val="right"/>
              <w:rPr>
                <w:rFonts w:ascii="Arial" w:hAnsi="Arial" w:cs="Arial"/>
                <w:sz w:val="16"/>
                <w:szCs w:val="16"/>
              </w:rPr>
            </w:pPr>
          </w:p>
        </w:tc>
      </w:tr>
      <w:tr w:rsidR="0014555F" w:rsidRPr="009E4A14" w14:paraId="5C07DD7C" w14:textId="77777777" w:rsidTr="006E595F">
        <w:trPr>
          <w:trHeight w:val="204"/>
        </w:trPr>
        <w:tc>
          <w:tcPr>
            <w:tcW w:w="2960" w:type="dxa"/>
            <w:tcBorders>
              <w:top w:val="nil"/>
              <w:left w:val="nil"/>
              <w:bottom w:val="nil"/>
              <w:right w:val="nil"/>
            </w:tcBorders>
            <w:shd w:val="clear" w:color="auto" w:fill="auto"/>
            <w:noWrap/>
            <w:vAlign w:val="center"/>
            <w:hideMark/>
          </w:tcPr>
          <w:p w14:paraId="111F928A"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Suppliers</w:t>
            </w:r>
          </w:p>
        </w:tc>
        <w:tc>
          <w:tcPr>
            <w:tcW w:w="901" w:type="dxa"/>
            <w:tcBorders>
              <w:top w:val="nil"/>
              <w:left w:val="nil"/>
              <w:bottom w:val="nil"/>
              <w:right w:val="nil"/>
            </w:tcBorders>
            <w:shd w:val="clear" w:color="auto" w:fill="auto"/>
            <w:noWrap/>
            <w:vAlign w:val="bottom"/>
            <w:hideMark/>
          </w:tcPr>
          <w:p w14:paraId="034578BA" w14:textId="4E2EA47B"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3,740</w:t>
            </w:r>
          </w:p>
        </w:tc>
        <w:tc>
          <w:tcPr>
            <w:tcW w:w="901" w:type="dxa"/>
            <w:tcBorders>
              <w:top w:val="nil"/>
              <w:left w:val="nil"/>
              <w:bottom w:val="nil"/>
              <w:right w:val="nil"/>
            </w:tcBorders>
            <w:shd w:val="clear" w:color="auto" w:fill="E6E6E6"/>
            <w:noWrap/>
            <w:vAlign w:val="bottom"/>
            <w:hideMark/>
          </w:tcPr>
          <w:p w14:paraId="1B351AB7" w14:textId="6E68DF38"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3,740</w:t>
            </w:r>
          </w:p>
        </w:tc>
        <w:tc>
          <w:tcPr>
            <w:tcW w:w="901" w:type="dxa"/>
            <w:tcBorders>
              <w:top w:val="nil"/>
              <w:left w:val="nil"/>
              <w:bottom w:val="nil"/>
              <w:right w:val="nil"/>
            </w:tcBorders>
            <w:shd w:val="clear" w:color="auto" w:fill="auto"/>
            <w:noWrap/>
            <w:vAlign w:val="bottom"/>
            <w:hideMark/>
          </w:tcPr>
          <w:p w14:paraId="5F4E993A" w14:textId="48484DB2"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3,740</w:t>
            </w:r>
          </w:p>
        </w:tc>
        <w:tc>
          <w:tcPr>
            <w:tcW w:w="901" w:type="dxa"/>
            <w:tcBorders>
              <w:top w:val="nil"/>
              <w:left w:val="nil"/>
              <w:bottom w:val="nil"/>
              <w:right w:val="nil"/>
            </w:tcBorders>
            <w:shd w:val="clear" w:color="auto" w:fill="auto"/>
            <w:noWrap/>
            <w:vAlign w:val="bottom"/>
            <w:hideMark/>
          </w:tcPr>
          <w:p w14:paraId="65592022" w14:textId="18D9844D"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3,740</w:t>
            </w:r>
          </w:p>
        </w:tc>
        <w:tc>
          <w:tcPr>
            <w:tcW w:w="901" w:type="dxa"/>
            <w:tcBorders>
              <w:top w:val="nil"/>
              <w:left w:val="nil"/>
              <w:bottom w:val="nil"/>
              <w:right w:val="nil"/>
            </w:tcBorders>
            <w:shd w:val="clear" w:color="auto" w:fill="auto"/>
            <w:noWrap/>
            <w:vAlign w:val="bottom"/>
            <w:hideMark/>
          </w:tcPr>
          <w:p w14:paraId="27329EEE" w14:textId="6BB54142"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3,740</w:t>
            </w:r>
          </w:p>
        </w:tc>
      </w:tr>
      <w:tr w:rsidR="0014555F" w:rsidRPr="009E4A14" w14:paraId="2FEBA6DF" w14:textId="77777777" w:rsidTr="006E595F">
        <w:trPr>
          <w:trHeight w:val="204"/>
        </w:trPr>
        <w:tc>
          <w:tcPr>
            <w:tcW w:w="2960" w:type="dxa"/>
            <w:tcBorders>
              <w:top w:val="nil"/>
              <w:left w:val="nil"/>
              <w:bottom w:val="nil"/>
              <w:right w:val="nil"/>
            </w:tcBorders>
            <w:shd w:val="clear" w:color="auto" w:fill="auto"/>
            <w:noWrap/>
            <w:vAlign w:val="center"/>
            <w:hideMark/>
          </w:tcPr>
          <w:p w14:paraId="34C8D3C3"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Other payables</w:t>
            </w:r>
          </w:p>
        </w:tc>
        <w:tc>
          <w:tcPr>
            <w:tcW w:w="901" w:type="dxa"/>
            <w:tcBorders>
              <w:top w:val="nil"/>
              <w:left w:val="nil"/>
              <w:bottom w:val="nil"/>
              <w:right w:val="nil"/>
            </w:tcBorders>
            <w:shd w:val="clear" w:color="auto" w:fill="auto"/>
            <w:noWrap/>
            <w:vAlign w:val="bottom"/>
            <w:hideMark/>
          </w:tcPr>
          <w:p w14:paraId="1770A108" w14:textId="23955F2A"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4,552</w:t>
            </w:r>
          </w:p>
        </w:tc>
        <w:tc>
          <w:tcPr>
            <w:tcW w:w="901" w:type="dxa"/>
            <w:tcBorders>
              <w:top w:val="nil"/>
              <w:left w:val="nil"/>
              <w:bottom w:val="nil"/>
              <w:right w:val="nil"/>
            </w:tcBorders>
            <w:shd w:val="clear" w:color="auto" w:fill="E6E6E6"/>
            <w:noWrap/>
            <w:vAlign w:val="bottom"/>
            <w:hideMark/>
          </w:tcPr>
          <w:p w14:paraId="56DE646E" w14:textId="34708E2C"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4,126</w:t>
            </w:r>
          </w:p>
        </w:tc>
        <w:tc>
          <w:tcPr>
            <w:tcW w:w="901" w:type="dxa"/>
            <w:tcBorders>
              <w:top w:val="nil"/>
              <w:left w:val="nil"/>
              <w:bottom w:val="nil"/>
              <w:right w:val="nil"/>
            </w:tcBorders>
            <w:shd w:val="clear" w:color="auto" w:fill="auto"/>
            <w:noWrap/>
            <w:vAlign w:val="bottom"/>
            <w:hideMark/>
          </w:tcPr>
          <w:p w14:paraId="2CBFB677" w14:textId="5D0B0580"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4,126</w:t>
            </w:r>
          </w:p>
        </w:tc>
        <w:tc>
          <w:tcPr>
            <w:tcW w:w="901" w:type="dxa"/>
            <w:tcBorders>
              <w:top w:val="nil"/>
              <w:left w:val="nil"/>
              <w:bottom w:val="nil"/>
              <w:right w:val="nil"/>
            </w:tcBorders>
            <w:shd w:val="clear" w:color="auto" w:fill="auto"/>
            <w:noWrap/>
            <w:vAlign w:val="bottom"/>
            <w:hideMark/>
          </w:tcPr>
          <w:p w14:paraId="51C7B94A" w14:textId="0ADEDF56"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4,126</w:t>
            </w:r>
          </w:p>
        </w:tc>
        <w:tc>
          <w:tcPr>
            <w:tcW w:w="901" w:type="dxa"/>
            <w:tcBorders>
              <w:top w:val="nil"/>
              <w:left w:val="nil"/>
              <w:bottom w:val="nil"/>
              <w:right w:val="nil"/>
            </w:tcBorders>
            <w:shd w:val="clear" w:color="auto" w:fill="auto"/>
            <w:noWrap/>
            <w:vAlign w:val="bottom"/>
            <w:hideMark/>
          </w:tcPr>
          <w:p w14:paraId="761C1F5A" w14:textId="232AA5EF"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4,126</w:t>
            </w:r>
          </w:p>
        </w:tc>
      </w:tr>
      <w:tr w:rsidR="0014555F" w:rsidRPr="009E4A14" w14:paraId="5E22E8FB" w14:textId="77777777" w:rsidTr="006E595F">
        <w:trPr>
          <w:trHeight w:val="204"/>
        </w:trPr>
        <w:tc>
          <w:tcPr>
            <w:tcW w:w="2960" w:type="dxa"/>
            <w:tcBorders>
              <w:top w:val="nil"/>
              <w:left w:val="nil"/>
              <w:bottom w:val="nil"/>
              <w:right w:val="nil"/>
            </w:tcBorders>
            <w:shd w:val="clear" w:color="auto" w:fill="auto"/>
            <w:noWrap/>
            <w:vAlign w:val="center"/>
            <w:hideMark/>
          </w:tcPr>
          <w:p w14:paraId="7E6D977E" w14:textId="77777777" w:rsidR="0014555F" w:rsidRPr="009E4A14" w:rsidRDefault="0014555F" w:rsidP="0014555F">
            <w:pPr>
              <w:spacing w:after="0" w:line="240" w:lineRule="auto"/>
              <w:jc w:val="left"/>
              <w:rPr>
                <w:rFonts w:ascii="Arial" w:hAnsi="Arial" w:cs="Arial"/>
                <w:b/>
                <w:bCs/>
                <w:i/>
                <w:iCs/>
                <w:color w:val="000000"/>
                <w:sz w:val="16"/>
                <w:szCs w:val="16"/>
              </w:rPr>
            </w:pPr>
            <w:r w:rsidRPr="009E4A14">
              <w:rPr>
                <w:rFonts w:ascii="Arial" w:hAnsi="Arial" w:cs="Arial"/>
                <w:b/>
                <w:bCs/>
                <w:i/>
                <w:iCs/>
                <w:color w:val="000000"/>
                <w:sz w:val="16"/>
                <w:szCs w:val="16"/>
              </w:rPr>
              <w:t>Total payables</w:t>
            </w:r>
          </w:p>
        </w:tc>
        <w:tc>
          <w:tcPr>
            <w:tcW w:w="901" w:type="dxa"/>
            <w:tcBorders>
              <w:top w:val="single" w:sz="4" w:space="0" w:color="000000"/>
              <w:left w:val="nil"/>
              <w:bottom w:val="single" w:sz="4" w:space="0" w:color="000000"/>
              <w:right w:val="nil"/>
            </w:tcBorders>
            <w:shd w:val="clear" w:color="auto" w:fill="auto"/>
            <w:noWrap/>
            <w:vAlign w:val="bottom"/>
            <w:hideMark/>
          </w:tcPr>
          <w:p w14:paraId="4D59BED9" w14:textId="00D9ABF9"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8,292</w:t>
            </w:r>
          </w:p>
        </w:tc>
        <w:tc>
          <w:tcPr>
            <w:tcW w:w="901" w:type="dxa"/>
            <w:tcBorders>
              <w:top w:val="single" w:sz="4" w:space="0" w:color="000000"/>
              <w:left w:val="nil"/>
              <w:bottom w:val="single" w:sz="4" w:space="0" w:color="000000"/>
              <w:right w:val="nil"/>
            </w:tcBorders>
            <w:shd w:val="clear" w:color="auto" w:fill="E6E6E6"/>
            <w:noWrap/>
            <w:vAlign w:val="bottom"/>
            <w:hideMark/>
          </w:tcPr>
          <w:p w14:paraId="06FB7143" w14:textId="5FA8F8F0"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7,866</w:t>
            </w:r>
          </w:p>
        </w:tc>
        <w:tc>
          <w:tcPr>
            <w:tcW w:w="901" w:type="dxa"/>
            <w:tcBorders>
              <w:top w:val="single" w:sz="4" w:space="0" w:color="000000"/>
              <w:left w:val="nil"/>
              <w:bottom w:val="single" w:sz="4" w:space="0" w:color="000000"/>
              <w:right w:val="nil"/>
            </w:tcBorders>
            <w:shd w:val="clear" w:color="auto" w:fill="auto"/>
            <w:noWrap/>
            <w:vAlign w:val="bottom"/>
            <w:hideMark/>
          </w:tcPr>
          <w:p w14:paraId="7734D66D" w14:textId="52580BA0"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7,866</w:t>
            </w:r>
          </w:p>
        </w:tc>
        <w:tc>
          <w:tcPr>
            <w:tcW w:w="901" w:type="dxa"/>
            <w:tcBorders>
              <w:top w:val="single" w:sz="4" w:space="0" w:color="000000"/>
              <w:left w:val="nil"/>
              <w:bottom w:val="single" w:sz="4" w:space="0" w:color="000000"/>
              <w:right w:val="nil"/>
            </w:tcBorders>
            <w:shd w:val="clear" w:color="auto" w:fill="auto"/>
            <w:noWrap/>
            <w:vAlign w:val="bottom"/>
            <w:hideMark/>
          </w:tcPr>
          <w:p w14:paraId="4113118D" w14:textId="335579E9"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7,866</w:t>
            </w:r>
          </w:p>
        </w:tc>
        <w:tc>
          <w:tcPr>
            <w:tcW w:w="901" w:type="dxa"/>
            <w:tcBorders>
              <w:top w:val="single" w:sz="4" w:space="0" w:color="000000"/>
              <w:left w:val="nil"/>
              <w:bottom w:val="single" w:sz="4" w:space="0" w:color="000000"/>
              <w:right w:val="nil"/>
            </w:tcBorders>
            <w:shd w:val="clear" w:color="auto" w:fill="auto"/>
            <w:noWrap/>
            <w:vAlign w:val="bottom"/>
            <w:hideMark/>
          </w:tcPr>
          <w:p w14:paraId="1395351A" w14:textId="6D074A37"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7,866</w:t>
            </w:r>
          </w:p>
        </w:tc>
      </w:tr>
      <w:tr w:rsidR="0014555F" w:rsidRPr="009E4A14" w14:paraId="129C560D" w14:textId="77777777" w:rsidTr="006E595F">
        <w:trPr>
          <w:trHeight w:val="204"/>
        </w:trPr>
        <w:tc>
          <w:tcPr>
            <w:tcW w:w="2960" w:type="dxa"/>
            <w:tcBorders>
              <w:top w:val="nil"/>
              <w:left w:val="nil"/>
              <w:bottom w:val="nil"/>
              <w:right w:val="nil"/>
            </w:tcBorders>
            <w:shd w:val="clear" w:color="auto" w:fill="auto"/>
            <w:noWrap/>
            <w:vAlign w:val="center"/>
            <w:hideMark/>
          </w:tcPr>
          <w:p w14:paraId="7C50CA69"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Interest bearing liabilities</w:t>
            </w:r>
          </w:p>
        </w:tc>
        <w:tc>
          <w:tcPr>
            <w:tcW w:w="901" w:type="dxa"/>
            <w:tcBorders>
              <w:top w:val="nil"/>
              <w:left w:val="nil"/>
              <w:bottom w:val="nil"/>
              <w:right w:val="nil"/>
            </w:tcBorders>
            <w:shd w:val="clear" w:color="auto" w:fill="auto"/>
            <w:noWrap/>
            <w:vAlign w:val="bottom"/>
            <w:hideMark/>
          </w:tcPr>
          <w:p w14:paraId="42720732" w14:textId="77777777" w:rsidR="0014555F" w:rsidRPr="009E4A14" w:rsidRDefault="0014555F" w:rsidP="009E4A14">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auto" w:fill="E6E6E6"/>
            <w:noWrap/>
            <w:vAlign w:val="bottom"/>
            <w:hideMark/>
          </w:tcPr>
          <w:p w14:paraId="2B8AD61E" w14:textId="4BB709A1"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08450548" w14:textId="77777777"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5AE86077" w14:textId="77777777" w:rsidR="0014555F" w:rsidRPr="009E4A14" w:rsidRDefault="0014555F" w:rsidP="009E4A14">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1FC98FBF" w14:textId="77777777" w:rsidR="0014555F" w:rsidRPr="009E4A14" w:rsidRDefault="0014555F" w:rsidP="009E4A14">
            <w:pPr>
              <w:spacing w:after="0" w:line="240" w:lineRule="auto"/>
              <w:jc w:val="right"/>
              <w:rPr>
                <w:rFonts w:ascii="Arial" w:hAnsi="Arial" w:cs="Arial"/>
                <w:sz w:val="16"/>
                <w:szCs w:val="16"/>
              </w:rPr>
            </w:pPr>
          </w:p>
        </w:tc>
      </w:tr>
      <w:tr w:rsidR="0014555F" w:rsidRPr="009E4A14" w14:paraId="430B02ED" w14:textId="77777777" w:rsidTr="006E595F">
        <w:trPr>
          <w:trHeight w:val="204"/>
        </w:trPr>
        <w:tc>
          <w:tcPr>
            <w:tcW w:w="2960" w:type="dxa"/>
            <w:tcBorders>
              <w:top w:val="nil"/>
              <w:left w:val="nil"/>
              <w:bottom w:val="nil"/>
              <w:right w:val="nil"/>
            </w:tcBorders>
            <w:shd w:val="clear" w:color="auto" w:fill="auto"/>
            <w:noWrap/>
            <w:vAlign w:val="center"/>
            <w:hideMark/>
          </w:tcPr>
          <w:p w14:paraId="129DE507"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Leases</w:t>
            </w:r>
          </w:p>
        </w:tc>
        <w:tc>
          <w:tcPr>
            <w:tcW w:w="901" w:type="dxa"/>
            <w:tcBorders>
              <w:top w:val="nil"/>
              <w:left w:val="nil"/>
              <w:bottom w:val="nil"/>
              <w:right w:val="nil"/>
            </w:tcBorders>
            <w:shd w:val="clear" w:color="auto" w:fill="auto"/>
            <w:noWrap/>
            <w:vAlign w:val="bottom"/>
            <w:hideMark/>
          </w:tcPr>
          <w:p w14:paraId="4E67E8C7" w14:textId="47F94F36"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66,655</w:t>
            </w:r>
          </w:p>
        </w:tc>
        <w:tc>
          <w:tcPr>
            <w:tcW w:w="901" w:type="dxa"/>
            <w:tcBorders>
              <w:top w:val="nil"/>
              <w:left w:val="nil"/>
              <w:bottom w:val="nil"/>
              <w:right w:val="nil"/>
            </w:tcBorders>
            <w:shd w:val="clear" w:color="auto" w:fill="E6E6E6"/>
            <w:noWrap/>
            <w:vAlign w:val="bottom"/>
            <w:hideMark/>
          </w:tcPr>
          <w:p w14:paraId="0359ECB8" w14:textId="4260AFC5"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61,354</w:t>
            </w:r>
          </w:p>
        </w:tc>
        <w:tc>
          <w:tcPr>
            <w:tcW w:w="901" w:type="dxa"/>
            <w:tcBorders>
              <w:top w:val="nil"/>
              <w:left w:val="nil"/>
              <w:bottom w:val="nil"/>
              <w:right w:val="nil"/>
            </w:tcBorders>
            <w:shd w:val="clear" w:color="auto" w:fill="auto"/>
            <w:noWrap/>
            <w:vAlign w:val="bottom"/>
            <w:hideMark/>
          </w:tcPr>
          <w:p w14:paraId="2BDAFAD4" w14:textId="1243FAA7"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53,643</w:t>
            </w:r>
          </w:p>
        </w:tc>
        <w:tc>
          <w:tcPr>
            <w:tcW w:w="901" w:type="dxa"/>
            <w:tcBorders>
              <w:top w:val="nil"/>
              <w:left w:val="nil"/>
              <w:bottom w:val="nil"/>
              <w:right w:val="nil"/>
            </w:tcBorders>
            <w:shd w:val="clear" w:color="auto" w:fill="auto"/>
            <w:noWrap/>
            <w:vAlign w:val="bottom"/>
            <w:hideMark/>
          </w:tcPr>
          <w:p w14:paraId="0AD56266" w14:textId="54F3833A"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45,556</w:t>
            </w:r>
          </w:p>
        </w:tc>
        <w:tc>
          <w:tcPr>
            <w:tcW w:w="901" w:type="dxa"/>
            <w:tcBorders>
              <w:top w:val="nil"/>
              <w:left w:val="nil"/>
              <w:bottom w:val="nil"/>
              <w:right w:val="nil"/>
            </w:tcBorders>
            <w:shd w:val="clear" w:color="auto" w:fill="auto"/>
            <w:noWrap/>
            <w:vAlign w:val="bottom"/>
            <w:hideMark/>
          </w:tcPr>
          <w:p w14:paraId="372C8C31" w14:textId="1CFE2881"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37,079</w:t>
            </w:r>
          </w:p>
        </w:tc>
      </w:tr>
      <w:tr w:rsidR="0014555F" w:rsidRPr="009E4A14" w14:paraId="6B4C5B5A" w14:textId="77777777" w:rsidTr="006E595F">
        <w:trPr>
          <w:trHeight w:val="204"/>
        </w:trPr>
        <w:tc>
          <w:tcPr>
            <w:tcW w:w="2960" w:type="dxa"/>
            <w:tcBorders>
              <w:top w:val="nil"/>
              <w:left w:val="nil"/>
              <w:bottom w:val="nil"/>
              <w:right w:val="nil"/>
            </w:tcBorders>
            <w:shd w:val="clear" w:color="auto" w:fill="auto"/>
            <w:noWrap/>
            <w:vAlign w:val="center"/>
            <w:hideMark/>
          </w:tcPr>
          <w:p w14:paraId="187C10BF" w14:textId="77777777" w:rsidR="0014555F" w:rsidRPr="009E4A14" w:rsidRDefault="0014555F" w:rsidP="0014555F">
            <w:pPr>
              <w:spacing w:after="0" w:line="240" w:lineRule="auto"/>
              <w:jc w:val="left"/>
              <w:rPr>
                <w:rFonts w:ascii="Arial" w:hAnsi="Arial" w:cs="Arial"/>
                <w:b/>
                <w:bCs/>
                <w:i/>
                <w:iCs/>
                <w:color w:val="000000"/>
                <w:sz w:val="16"/>
                <w:szCs w:val="16"/>
              </w:rPr>
            </w:pPr>
            <w:r w:rsidRPr="009E4A14">
              <w:rPr>
                <w:rFonts w:ascii="Arial" w:hAnsi="Arial" w:cs="Arial"/>
                <w:b/>
                <w:bCs/>
                <w:i/>
                <w:iCs/>
                <w:color w:val="000000"/>
                <w:sz w:val="16"/>
                <w:szCs w:val="16"/>
              </w:rPr>
              <w:t>Total interest bearing liabilities</w:t>
            </w:r>
          </w:p>
        </w:tc>
        <w:tc>
          <w:tcPr>
            <w:tcW w:w="901" w:type="dxa"/>
            <w:tcBorders>
              <w:top w:val="single" w:sz="4" w:space="0" w:color="000000"/>
              <w:left w:val="nil"/>
              <w:bottom w:val="single" w:sz="4" w:space="0" w:color="000000"/>
              <w:right w:val="nil"/>
            </w:tcBorders>
            <w:shd w:val="clear" w:color="auto" w:fill="auto"/>
            <w:noWrap/>
            <w:vAlign w:val="bottom"/>
            <w:hideMark/>
          </w:tcPr>
          <w:p w14:paraId="6A9B3046" w14:textId="6E0D758D"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66,655</w:t>
            </w:r>
          </w:p>
        </w:tc>
        <w:tc>
          <w:tcPr>
            <w:tcW w:w="901" w:type="dxa"/>
            <w:tcBorders>
              <w:top w:val="single" w:sz="4" w:space="0" w:color="000000"/>
              <w:left w:val="nil"/>
              <w:bottom w:val="single" w:sz="4" w:space="0" w:color="000000"/>
              <w:right w:val="nil"/>
            </w:tcBorders>
            <w:shd w:val="clear" w:color="auto" w:fill="E6E6E6"/>
            <w:noWrap/>
            <w:vAlign w:val="bottom"/>
            <w:hideMark/>
          </w:tcPr>
          <w:p w14:paraId="5E97D2CE" w14:textId="750CDA54"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61,354</w:t>
            </w:r>
          </w:p>
        </w:tc>
        <w:tc>
          <w:tcPr>
            <w:tcW w:w="901" w:type="dxa"/>
            <w:tcBorders>
              <w:top w:val="single" w:sz="4" w:space="0" w:color="000000"/>
              <w:left w:val="nil"/>
              <w:bottom w:val="single" w:sz="4" w:space="0" w:color="000000"/>
              <w:right w:val="nil"/>
            </w:tcBorders>
            <w:shd w:val="clear" w:color="auto" w:fill="auto"/>
            <w:noWrap/>
            <w:vAlign w:val="bottom"/>
            <w:hideMark/>
          </w:tcPr>
          <w:p w14:paraId="017F1FD4" w14:textId="173B3C28"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53,643</w:t>
            </w:r>
          </w:p>
        </w:tc>
        <w:tc>
          <w:tcPr>
            <w:tcW w:w="901" w:type="dxa"/>
            <w:tcBorders>
              <w:top w:val="single" w:sz="4" w:space="0" w:color="000000"/>
              <w:left w:val="nil"/>
              <w:bottom w:val="single" w:sz="4" w:space="0" w:color="000000"/>
              <w:right w:val="nil"/>
            </w:tcBorders>
            <w:shd w:val="clear" w:color="auto" w:fill="auto"/>
            <w:noWrap/>
            <w:vAlign w:val="bottom"/>
            <w:hideMark/>
          </w:tcPr>
          <w:p w14:paraId="04F4A637" w14:textId="7052268B"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45,556</w:t>
            </w:r>
          </w:p>
        </w:tc>
        <w:tc>
          <w:tcPr>
            <w:tcW w:w="901" w:type="dxa"/>
            <w:tcBorders>
              <w:top w:val="single" w:sz="4" w:space="0" w:color="000000"/>
              <w:left w:val="nil"/>
              <w:bottom w:val="single" w:sz="4" w:space="0" w:color="000000"/>
              <w:right w:val="nil"/>
            </w:tcBorders>
            <w:shd w:val="clear" w:color="auto" w:fill="auto"/>
            <w:noWrap/>
            <w:vAlign w:val="bottom"/>
            <w:hideMark/>
          </w:tcPr>
          <w:p w14:paraId="3899472D" w14:textId="158717A2"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37,079</w:t>
            </w:r>
          </w:p>
        </w:tc>
      </w:tr>
      <w:tr w:rsidR="0014555F" w:rsidRPr="009E4A14" w14:paraId="3F1FC83F" w14:textId="77777777" w:rsidTr="006E595F">
        <w:trPr>
          <w:trHeight w:val="204"/>
        </w:trPr>
        <w:tc>
          <w:tcPr>
            <w:tcW w:w="2960" w:type="dxa"/>
            <w:tcBorders>
              <w:top w:val="nil"/>
              <w:left w:val="nil"/>
              <w:bottom w:val="nil"/>
              <w:right w:val="nil"/>
            </w:tcBorders>
            <w:shd w:val="clear" w:color="auto" w:fill="auto"/>
            <w:noWrap/>
            <w:vAlign w:val="center"/>
            <w:hideMark/>
          </w:tcPr>
          <w:p w14:paraId="6B5969A7"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Provisions</w:t>
            </w:r>
          </w:p>
        </w:tc>
        <w:tc>
          <w:tcPr>
            <w:tcW w:w="901" w:type="dxa"/>
            <w:tcBorders>
              <w:top w:val="nil"/>
              <w:left w:val="nil"/>
              <w:bottom w:val="nil"/>
              <w:right w:val="nil"/>
            </w:tcBorders>
            <w:shd w:val="clear" w:color="auto" w:fill="auto"/>
            <w:noWrap/>
            <w:vAlign w:val="bottom"/>
            <w:hideMark/>
          </w:tcPr>
          <w:p w14:paraId="6037237A" w14:textId="77777777" w:rsidR="0014555F" w:rsidRPr="009E4A14" w:rsidRDefault="0014555F" w:rsidP="009E4A14">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auto" w:fill="E6E6E6"/>
            <w:noWrap/>
            <w:vAlign w:val="bottom"/>
            <w:hideMark/>
          </w:tcPr>
          <w:p w14:paraId="3E58EA3E" w14:textId="7AA26E80"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741F2E14" w14:textId="77777777"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6B37A222" w14:textId="77777777" w:rsidR="0014555F" w:rsidRPr="009E4A14" w:rsidRDefault="0014555F" w:rsidP="009E4A14">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5053EFB5" w14:textId="77777777" w:rsidR="0014555F" w:rsidRPr="009E4A14" w:rsidRDefault="0014555F" w:rsidP="009E4A14">
            <w:pPr>
              <w:spacing w:after="0" w:line="240" w:lineRule="auto"/>
              <w:jc w:val="right"/>
              <w:rPr>
                <w:rFonts w:ascii="Arial" w:hAnsi="Arial" w:cs="Arial"/>
                <w:sz w:val="16"/>
                <w:szCs w:val="16"/>
              </w:rPr>
            </w:pPr>
          </w:p>
        </w:tc>
      </w:tr>
      <w:tr w:rsidR="0014555F" w:rsidRPr="009E4A14" w14:paraId="3EC3CD63" w14:textId="77777777" w:rsidTr="006E595F">
        <w:trPr>
          <w:trHeight w:val="204"/>
        </w:trPr>
        <w:tc>
          <w:tcPr>
            <w:tcW w:w="2960" w:type="dxa"/>
            <w:tcBorders>
              <w:top w:val="nil"/>
              <w:left w:val="nil"/>
              <w:bottom w:val="nil"/>
              <w:right w:val="nil"/>
            </w:tcBorders>
            <w:shd w:val="clear" w:color="auto" w:fill="auto"/>
            <w:noWrap/>
            <w:vAlign w:val="center"/>
            <w:hideMark/>
          </w:tcPr>
          <w:p w14:paraId="4151FC64"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Employee provisions</w:t>
            </w:r>
          </w:p>
        </w:tc>
        <w:tc>
          <w:tcPr>
            <w:tcW w:w="901" w:type="dxa"/>
            <w:tcBorders>
              <w:top w:val="nil"/>
              <w:left w:val="nil"/>
              <w:bottom w:val="nil"/>
              <w:right w:val="nil"/>
            </w:tcBorders>
            <w:shd w:val="clear" w:color="auto" w:fill="auto"/>
            <w:noWrap/>
            <w:vAlign w:val="bottom"/>
            <w:hideMark/>
          </w:tcPr>
          <w:p w14:paraId="014C6A90" w14:textId="44761DBC"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22,325</w:t>
            </w:r>
          </w:p>
        </w:tc>
        <w:tc>
          <w:tcPr>
            <w:tcW w:w="901" w:type="dxa"/>
            <w:tcBorders>
              <w:top w:val="nil"/>
              <w:left w:val="nil"/>
              <w:bottom w:val="nil"/>
              <w:right w:val="nil"/>
            </w:tcBorders>
            <w:shd w:val="clear" w:color="auto" w:fill="E6E6E6"/>
            <w:noWrap/>
            <w:vAlign w:val="bottom"/>
            <w:hideMark/>
          </w:tcPr>
          <w:p w14:paraId="6BA0CECE" w14:textId="025F8B3E"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22,765</w:t>
            </w:r>
          </w:p>
        </w:tc>
        <w:tc>
          <w:tcPr>
            <w:tcW w:w="901" w:type="dxa"/>
            <w:tcBorders>
              <w:top w:val="nil"/>
              <w:left w:val="nil"/>
              <w:bottom w:val="nil"/>
              <w:right w:val="nil"/>
            </w:tcBorders>
            <w:shd w:val="clear" w:color="auto" w:fill="auto"/>
            <w:noWrap/>
            <w:vAlign w:val="bottom"/>
            <w:hideMark/>
          </w:tcPr>
          <w:p w14:paraId="132AB365" w14:textId="266D8A1D"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22,765</w:t>
            </w:r>
          </w:p>
        </w:tc>
        <w:tc>
          <w:tcPr>
            <w:tcW w:w="901" w:type="dxa"/>
            <w:tcBorders>
              <w:top w:val="nil"/>
              <w:left w:val="nil"/>
              <w:bottom w:val="nil"/>
              <w:right w:val="nil"/>
            </w:tcBorders>
            <w:shd w:val="clear" w:color="auto" w:fill="auto"/>
            <w:noWrap/>
            <w:vAlign w:val="bottom"/>
            <w:hideMark/>
          </w:tcPr>
          <w:p w14:paraId="6830E0C3" w14:textId="5358440B"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22,765</w:t>
            </w:r>
          </w:p>
        </w:tc>
        <w:tc>
          <w:tcPr>
            <w:tcW w:w="901" w:type="dxa"/>
            <w:tcBorders>
              <w:top w:val="nil"/>
              <w:left w:val="nil"/>
              <w:bottom w:val="nil"/>
              <w:right w:val="nil"/>
            </w:tcBorders>
            <w:shd w:val="clear" w:color="auto" w:fill="auto"/>
            <w:noWrap/>
            <w:vAlign w:val="bottom"/>
            <w:hideMark/>
          </w:tcPr>
          <w:p w14:paraId="362B8616" w14:textId="7C372BBD"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22,765</w:t>
            </w:r>
          </w:p>
        </w:tc>
      </w:tr>
      <w:tr w:rsidR="0014555F" w:rsidRPr="009E4A14" w14:paraId="453C08DC" w14:textId="77777777" w:rsidTr="006E595F">
        <w:trPr>
          <w:trHeight w:val="204"/>
        </w:trPr>
        <w:tc>
          <w:tcPr>
            <w:tcW w:w="2960" w:type="dxa"/>
            <w:tcBorders>
              <w:top w:val="nil"/>
              <w:left w:val="nil"/>
              <w:bottom w:val="nil"/>
              <w:right w:val="nil"/>
            </w:tcBorders>
            <w:shd w:val="clear" w:color="auto" w:fill="auto"/>
            <w:noWrap/>
            <w:vAlign w:val="center"/>
            <w:hideMark/>
          </w:tcPr>
          <w:p w14:paraId="78AB2F2B"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Other provisions</w:t>
            </w:r>
          </w:p>
        </w:tc>
        <w:tc>
          <w:tcPr>
            <w:tcW w:w="901" w:type="dxa"/>
            <w:tcBorders>
              <w:top w:val="nil"/>
              <w:left w:val="nil"/>
              <w:bottom w:val="nil"/>
              <w:right w:val="nil"/>
            </w:tcBorders>
            <w:shd w:val="clear" w:color="auto" w:fill="auto"/>
            <w:noWrap/>
            <w:vAlign w:val="bottom"/>
            <w:hideMark/>
          </w:tcPr>
          <w:p w14:paraId="5A3D8D84" w14:textId="6B95F861"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2,813</w:t>
            </w:r>
          </w:p>
        </w:tc>
        <w:tc>
          <w:tcPr>
            <w:tcW w:w="901" w:type="dxa"/>
            <w:tcBorders>
              <w:top w:val="nil"/>
              <w:left w:val="nil"/>
              <w:bottom w:val="nil"/>
              <w:right w:val="nil"/>
            </w:tcBorders>
            <w:shd w:val="clear" w:color="auto" w:fill="E6E6E6"/>
            <w:noWrap/>
            <w:vAlign w:val="bottom"/>
            <w:hideMark/>
          </w:tcPr>
          <w:p w14:paraId="066AD567" w14:textId="736691DA"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2,813</w:t>
            </w:r>
          </w:p>
        </w:tc>
        <w:tc>
          <w:tcPr>
            <w:tcW w:w="901" w:type="dxa"/>
            <w:tcBorders>
              <w:top w:val="nil"/>
              <w:left w:val="nil"/>
              <w:bottom w:val="nil"/>
              <w:right w:val="nil"/>
            </w:tcBorders>
            <w:shd w:val="clear" w:color="auto" w:fill="auto"/>
            <w:noWrap/>
            <w:vAlign w:val="bottom"/>
            <w:hideMark/>
          </w:tcPr>
          <w:p w14:paraId="4B8978BB" w14:textId="40F658B3"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2,813</w:t>
            </w:r>
          </w:p>
        </w:tc>
        <w:tc>
          <w:tcPr>
            <w:tcW w:w="901" w:type="dxa"/>
            <w:tcBorders>
              <w:top w:val="nil"/>
              <w:left w:val="nil"/>
              <w:bottom w:val="nil"/>
              <w:right w:val="nil"/>
            </w:tcBorders>
            <w:shd w:val="clear" w:color="auto" w:fill="auto"/>
            <w:noWrap/>
            <w:vAlign w:val="bottom"/>
            <w:hideMark/>
          </w:tcPr>
          <w:p w14:paraId="73E96D21" w14:textId="45B59249"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2,813</w:t>
            </w:r>
          </w:p>
        </w:tc>
        <w:tc>
          <w:tcPr>
            <w:tcW w:w="901" w:type="dxa"/>
            <w:tcBorders>
              <w:top w:val="nil"/>
              <w:left w:val="nil"/>
              <w:bottom w:val="nil"/>
              <w:right w:val="nil"/>
            </w:tcBorders>
            <w:shd w:val="clear" w:color="auto" w:fill="auto"/>
            <w:noWrap/>
            <w:vAlign w:val="bottom"/>
            <w:hideMark/>
          </w:tcPr>
          <w:p w14:paraId="5D0C8AF7" w14:textId="61B9CA64"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2,813</w:t>
            </w:r>
          </w:p>
        </w:tc>
      </w:tr>
      <w:tr w:rsidR="0014555F" w:rsidRPr="009E4A14" w14:paraId="1257B497" w14:textId="77777777" w:rsidTr="006E595F">
        <w:trPr>
          <w:trHeight w:val="204"/>
        </w:trPr>
        <w:tc>
          <w:tcPr>
            <w:tcW w:w="2960" w:type="dxa"/>
            <w:tcBorders>
              <w:top w:val="nil"/>
              <w:left w:val="nil"/>
              <w:bottom w:val="nil"/>
              <w:right w:val="nil"/>
            </w:tcBorders>
            <w:shd w:val="clear" w:color="auto" w:fill="auto"/>
            <w:noWrap/>
            <w:vAlign w:val="center"/>
            <w:hideMark/>
          </w:tcPr>
          <w:p w14:paraId="2B2CC5AD" w14:textId="77777777" w:rsidR="0014555F" w:rsidRPr="009E4A14" w:rsidRDefault="0014555F" w:rsidP="0014555F">
            <w:pPr>
              <w:spacing w:after="0" w:line="240" w:lineRule="auto"/>
              <w:jc w:val="left"/>
              <w:rPr>
                <w:rFonts w:ascii="Arial" w:hAnsi="Arial" w:cs="Arial"/>
                <w:b/>
                <w:bCs/>
                <w:i/>
                <w:iCs/>
                <w:color w:val="000000"/>
                <w:sz w:val="16"/>
                <w:szCs w:val="16"/>
              </w:rPr>
            </w:pPr>
            <w:r w:rsidRPr="009E4A14">
              <w:rPr>
                <w:rFonts w:ascii="Arial" w:hAnsi="Arial" w:cs="Arial"/>
                <w:b/>
                <w:bCs/>
                <w:i/>
                <w:iCs/>
                <w:color w:val="000000"/>
                <w:sz w:val="16"/>
                <w:szCs w:val="16"/>
              </w:rPr>
              <w:t>Total provisions</w:t>
            </w:r>
          </w:p>
        </w:tc>
        <w:tc>
          <w:tcPr>
            <w:tcW w:w="901" w:type="dxa"/>
            <w:tcBorders>
              <w:top w:val="single" w:sz="4" w:space="0" w:color="000000"/>
              <w:left w:val="nil"/>
              <w:bottom w:val="single" w:sz="4" w:space="0" w:color="000000"/>
              <w:right w:val="nil"/>
            </w:tcBorders>
            <w:shd w:val="clear" w:color="auto" w:fill="auto"/>
            <w:noWrap/>
            <w:vAlign w:val="bottom"/>
            <w:hideMark/>
          </w:tcPr>
          <w:p w14:paraId="6FA84AF2" w14:textId="63C05B9E"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25,138</w:t>
            </w:r>
          </w:p>
        </w:tc>
        <w:tc>
          <w:tcPr>
            <w:tcW w:w="901" w:type="dxa"/>
            <w:tcBorders>
              <w:top w:val="single" w:sz="4" w:space="0" w:color="000000"/>
              <w:left w:val="nil"/>
              <w:bottom w:val="single" w:sz="4" w:space="0" w:color="000000"/>
              <w:right w:val="nil"/>
            </w:tcBorders>
            <w:shd w:val="clear" w:color="auto" w:fill="E6E6E6"/>
            <w:noWrap/>
            <w:vAlign w:val="bottom"/>
            <w:hideMark/>
          </w:tcPr>
          <w:p w14:paraId="26502299" w14:textId="53617AD4"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25,578</w:t>
            </w:r>
          </w:p>
        </w:tc>
        <w:tc>
          <w:tcPr>
            <w:tcW w:w="901" w:type="dxa"/>
            <w:tcBorders>
              <w:top w:val="single" w:sz="4" w:space="0" w:color="000000"/>
              <w:left w:val="nil"/>
              <w:bottom w:val="single" w:sz="4" w:space="0" w:color="000000"/>
              <w:right w:val="nil"/>
            </w:tcBorders>
            <w:shd w:val="clear" w:color="auto" w:fill="auto"/>
            <w:noWrap/>
            <w:vAlign w:val="bottom"/>
            <w:hideMark/>
          </w:tcPr>
          <w:p w14:paraId="6B4C04A5" w14:textId="3B01F68F"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25,578</w:t>
            </w:r>
          </w:p>
        </w:tc>
        <w:tc>
          <w:tcPr>
            <w:tcW w:w="901" w:type="dxa"/>
            <w:tcBorders>
              <w:top w:val="single" w:sz="4" w:space="0" w:color="000000"/>
              <w:left w:val="nil"/>
              <w:bottom w:val="single" w:sz="4" w:space="0" w:color="000000"/>
              <w:right w:val="nil"/>
            </w:tcBorders>
            <w:shd w:val="clear" w:color="auto" w:fill="auto"/>
            <w:noWrap/>
            <w:vAlign w:val="bottom"/>
            <w:hideMark/>
          </w:tcPr>
          <w:p w14:paraId="5E5B2F91" w14:textId="542DDD2D"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25,578</w:t>
            </w:r>
          </w:p>
        </w:tc>
        <w:tc>
          <w:tcPr>
            <w:tcW w:w="901" w:type="dxa"/>
            <w:tcBorders>
              <w:top w:val="single" w:sz="4" w:space="0" w:color="000000"/>
              <w:left w:val="nil"/>
              <w:bottom w:val="single" w:sz="4" w:space="0" w:color="000000"/>
              <w:right w:val="nil"/>
            </w:tcBorders>
            <w:shd w:val="clear" w:color="auto" w:fill="auto"/>
            <w:noWrap/>
            <w:vAlign w:val="bottom"/>
            <w:hideMark/>
          </w:tcPr>
          <w:p w14:paraId="6B3CB0CE" w14:textId="70F46A9F" w:rsidR="0014555F" w:rsidRPr="009E4A14" w:rsidRDefault="0014555F" w:rsidP="009E4A14">
            <w:pPr>
              <w:spacing w:after="0" w:line="240" w:lineRule="auto"/>
              <w:jc w:val="right"/>
              <w:rPr>
                <w:rFonts w:ascii="Arial" w:hAnsi="Arial" w:cs="Arial"/>
                <w:b/>
                <w:bCs/>
                <w:i/>
                <w:iCs/>
                <w:color w:val="000000"/>
                <w:sz w:val="16"/>
                <w:szCs w:val="16"/>
              </w:rPr>
            </w:pPr>
            <w:r w:rsidRPr="009E4A14">
              <w:rPr>
                <w:rFonts w:ascii="Arial" w:hAnsi="Arial" w:cs="Arial"/>
                <w:b/>
                <w:bCs/>
                <w:i/>
                <w:iCs/>
                <w:color w:val="000000"/>
                <w:sz w:val="16"/>
                <w:szCs w:val="16"/>
              </w:rPr>
              <w:t>25,578</w:t>
            </w:r>
          </w:p>
        </w:tc>
      </w:tr>
      <w:tr w:rsidR="0014555F" w:rsidRPr="009E4A14" w14:paraId="08944DAF" w14:textId="77777777" w:rsidTr="006E595F">
        <w:trPr>
          <w:trHeight w:val="204"/>
        </w:trPr>
        <w:tc>
          <w:tcPr>
            <w:tcW w:w="2960" w:type="dxa"/>
            <w:tcBorders>
              <w:top w:val="nil"/>
              <w:left w:val="nil"/>
              <w:bottom w:val="nil"/>
              <w:right w:val="nil"/>
            </w:tcBorders>
            <w:shd w:val="clear" w:color="auto" w:fill="auto"/>
            <w:noWrap/>
            <w:vAlign w:val="center"/>
            <w:hideMark/>
          </w:tcPr>
          <w:p w14:paraId="49B7D21B"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Total liabilities</w:t>
            </w:r>
          </w:p>
        </w:tc>
        <w:tc>
          <w:tcPr>
            <w:tcW w:w="901" w:type="dxa"/>
            <w:tcBorders>
              <w:top w:val="single" w:sz="4" w:space="0" w:color="auto"/>
              <w:left w:val="nil"/>
              <w:bottom w:val="single" w:sz="4" w:space="0" w:color="auto"/>
              <w:right w:val="nil"/>
            </w:tcBorders>
            <w:shd w:val="clear" w:color="auto" w:fill="auto"/>
            <w:noWrap/>
            <w:vAlign w:val="bottom"/>
            <w:hideMark/>
          </w:tcPr>
          <w:p w14:paraId="2C043A10" w14:textId="6BAB5909"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100,085</w:t>
            </w:r>
          </w:p>
        </w:tc>
        <w:tc>
          <w:tcPr>
            <w:tcW w:w="901" w:type="dxa"/>
            <w:tcBorders>
              <w:top w:val="single" w:sz="4" w:space="0" w:color="auto"/>
              <w:left w:val="nil"/>
              <w:bottom w:val="single" w:sz="4" w:space="0" w:color="auto"/>
              <w:right w:val="nil"/>
            </w:tcBorders>
            <w:shd w:val="clear" w:color="auto" w:fill="E6E6E6"/>
            <w:noWrap/>
            <w:vAlign w:val="bottom"/>
            <w:hideMark/>
          </w:tcPr>
          <w:p w14:paraId="39345300" w14:textId="2783911A"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94,798</w:t>
            </w:r>
          </w:p>
        </w:tc>
        <w:tc>
          <w:tcPr>
            <w:tcW w:w="901" w:type="dxa"/>
            <w:tcBorders>
              <w:top w:val="single" w:sz="4" w:space="0" w:color="auto"/>
              <w:left w:val="nil"/>
              <w:bottom w:val="single" w:sz="4" w:space="0" w:color="auto"/>
              <w:right w:val="nil"/>
            </w:tcBorders>
            <w:shd w:val="clear" w:color="auto" w:fill="auto"/>
            <w:noWrap/>
            <w:vAlign w:val="bottom"/>
            <w:hideMark/>
          </w:tcPr>
          <w:p w14:paraId="27610304" w14:textId="7D625C65"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87,087</w:t>
            </w:r>
          </w:p>
        </w:tc>
        <w:tc>
          <w:tcPr>
            <w:tcW w:w="901" w:type="dxa"/>
            <w:tcBorders>
              <w:top w:val="single" w:sz="4" w:space="0" w:color="auto"/>
              <w:left w:val="nil"/>
              <w:bottom w:val="single" w:sz="4" w:space="0" w:color="auto"/>
              <w:right w:val="nil"/>
            </w:tcBorders>
            <w:shd w:val="clear" w:color="auto" w:fill="auto"/>
            <w:noWrap/>
            <w:vAlign w:val="bottom"/>
            <w:hideMark/>
          </w:tcPr>
          <w:p w14:paraId="4FBD6607" w14:textId="417F999C"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79,000</w:t>
            </w:r>
          </w:p>
        </w:tc>
        <w:tc>
          <w:tcPr>
            <w:tcW w:w="901" w:type="dxa"/>
            <w:tcBorders>
              <w:top w:val="single" w:sz="4" w:space="0" w:color="auto"/>
              <w:left w:val="nil"/>
              <w:bottom w:val="single" w:sz="4" w:space="0" w:color="auto"/>
              <w:right w:val="nil"/>
            </w:tcBorders>
            <w:shd w:val="clear" w:color="auto" w:fill="auto"/>
            <w:noWrap/>
            <w:vAlign w:val="bottom"/>
            <w:hideMark/>
          </w:tcPr>
          <w:p w14:paraId="2FFFEF83" w14:textId="5734C685"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70,523</w:t>
            </w:r>
          </w:p>
        </w:tc>
      </w:tr>
      <w:tr w:rsidR="0014555F" w:rsidRPr="009E4A14" w14:paraId="3F4A6D9B" w14:textId="77777777" w:rsidTr="006E595F">
        <w:trPr>
          <w:trHeight w:val="204"/>
        </w:trPr>
        <w:tc>
          <w:tcPr>
            <w:tcW w:w="2960" w:type="dxa"/>
            <w:tcBorders>
              <w:top w:val="nil"/>
              <w:left w:val="nil"/>
              <w:bottom w:val="nil"/>
              <w:right w:val="nil"/>
            </w:tcBorders>
            <w:shd w:val="clear" w:color="auto" w:fill="auto"/>
            <w:noWrap/>
            <w:vAlign w:val="center"/>
            <w:hideMark/>
          </w:tcPr>
          <w:p w14:paraId="3C74E4ED" w14:textId="77777777" w:rsidR="0014555F" w:rsidRPr="009E4A14" w:rsidRDefault="0014555F" w:rsidP="0014555F">
            <w:pPr>
              <w:spacing w:after="0" w:line="240" w:lineRule="auto"/>
              <w:jc w:val="left"/>
              <w:rPr>
                <w:rFonts w:ascii="Arial" w:hAnsi="Arial" w:cs="Arial"/>
                <w:b/>
                <w:bCs/>
                <w:sz w:val="16"/>
                <w:szCs w:val="16"/>
              </w:rPr>
            </w:pPr>
            <w:r w:rsidRPr="009E4A14">
              <w:rPr>
                <w:rFonts w:ascii="Arial" w:hAnsi="Arial" w:cs="Arial"/>
                <w:b/>
                <w:bCs/>
                <w:sz w:val="16"/>
                <w:szCs w:val="16"/>
              </w:rPr>
              <w:t>Net assets</w:t>
            </w:r>
          </w:p>
        </w:tc>
        <w:tc>
          <w:tcPr>
            <w:tcW w:w="901" w:type="dxa"/>
            <w:tcBorders>
              <w:top w:val="nil"/>
              <w:left w:val="nil"/>
              <w:bottom w:val="single" w:sz="4" w:space="0" w:color="auto"/>
              <w:right w:val="nil"/>
            </w:tcBorders>
            <w:shd w:val="clear" w:color="auto" w:fill="auto"/>
            <w:noWrap/>
            <w:vAlign w:val="bottom"/>
            <w:hideMark/>
          </w:tcPr>
          <w:p w14:paraId="6B7F3455" w14:textId="1EB0B5C8"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39,194</w:t>
            </w:r>
          </w:p>
        </w:tc>
        <w:tc>
          <w:tcPr>
            <w:tcW w:w="901" w:type="dxa"/>
            <w:tcBorders>
              <w:top w:val="nil"/>
              <w:left w:val="nil"/>
              <w:bottom w:val="single" w:sz="4" w:space="0" w:color="auto"/>
              <w:right w:val="nil"/>
            </w:tcBorders>
            <w:shd w:val="clear" w:color="auto" w:fill="E6E6E6"/>
            <w:noWrap/>
            <w:vAlign w:val="bottom"/>
            <w:hideMark/>
          </w:tcPr>
          <w:p w14:paraId="0A0791B9" w14:textId="7C3A8ED9"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43,070</w:t>
            </w:r>
          </w:p>
        </w:tc>
        <w:tc>
          <w:tcPr>
            <w:tcW w:w="901" w:type="dxa"/>
            <w:tcBorders>
              <w:top w:val="nil"/>
              <w:left w:val="nil"/>
              <w:bottom w:val="single" w:sz="4" w:space="0" w:color="auto"/>
              <w:right w:val="nil"/>
            </w:tcBorders>
            <w:shd w:val="clear" w:color="auto" w:fill="auto"/>
            <w:noWrap/>
            <w:vAlign w:val="bottom"/>
            <w:hideMark/>
          </w:tcPr>
          <w:p w14:paraId="5F6E2EF6" w14:textId="6D8708D3"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41,543</w:t>
            </w:r>
          </w:p>
        </w:tc>
        <w:tc>
          <w:tcPr>
            <w:tcW w:w="901" w:type="dxa"/>
            <w:tcBorders>
              <w:top w:val="nil"/>
              <w:left w:val="nil"/>
              <w:bottom w:val="single" w:sz="4" w:space="0" w:color="auto"/>
              <w:right w:val="nil"/>
            </w:tcBorders>
            <w:shd w:val="clear" w:color="auto" w:fill="auto"/>
            <w:noWrap/>
            <w:vAlign w:val="bottom"/>
            <w:hideMark/>
          </w:tcPr>
          <w:p w14:paraId="210C7B85" w14:textId="706A795D"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39,492</w:t>
            </w:r>
          </w:p>
        </w:tc>
        <w:tc>
          <w:tcPr>
            <w:tcW w:w="901" w:type="dxa"/>
            <w:tcBorders>
              <w:top w:val="nil"/>
              <w:left w:val="nil"/>
              <w:bottom w:val="single" w:sz="4" w:space="0" w:color="auto"/>
              <w:right w:val="nil"/>
            </w:tcBorders>
            <w:shd w:val="clear" w:color="auto" w:fill="auto"/>
            <w:noWrap/>
            <w:vAlign w:val="bottom"/>
            <w:hideMark/>
          </w:tcPr>
          <w:p w14:paraId="76EB6339" w14:textId="3FBEE896"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37,761</w:t>
            </w:r>
          </w:p>
        </w:tc>
      </w:tr>
      <w:tr w:rsidR="0014555F" w:rsidRPr="009E4A14" w14:paraId="590BAE82" w14:textId="77777777" w:rsidTr="006E595F">
        <w:trPr>
          <w:trHeight w:val="204"/>
        </w:trPr>
        <w:tc>
          <w:tcPr>
            <w:tcW w:w="2960" w:type="dxa"/>
            <w:tcBorders>
              <w:top w:val="nil"/>
              <w:left w:val="nil"/>
              <w:bottom w:val="nil"/>
              <w:right w:val="nil"/>
            </w:tcBorders>
            <w:shd w:val="clear" w:color="auto" w:fill="auto"/>
            <w:noWrap/>
            <w:vAlign w:val="center"/>
            <w:hideMark/>
          </w:tcPr>
          <w:p w14:paraId="255B9C5E"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EQUITY</w:t>
            </w:r>
          </w:p>
        </w:tc>
        <w:tc>
          <w:tcPr>
            <w:tcW w:w="901" w:type="dxa"/>
            <w:tcBorders>
              <w:top w:val="nil"/>
              <w:left w:val="nil"/>
              <w:bottom w:val="nil"/>
              <w:right w:val="nil"/>
            </w:tcBorders>
            <w:shd w:val="clear" w:color="auto" w:fill="auto"/>
            <w:noWrap/>
            <w:vAlign w:val="bottom"/>
            <w:hideMark/>
          </w:tcPr>
          <w:p w14:paraId="468A7972" w14:textId="77777777" w:rsidR="0014555F" w:rsidRPr="009E4A14" w:rsidRDefault="0014555F" w:rsidP="009E4A14">
            <w:pPr>
              <w:spacing w:after="0" w:line="240" w:lineRule="auto"/>
              <w:jc w:val="right"/>
              <w:rPr>
                <w:rFonts w:ascii="Arial" w:hAnsi="Arial" w:cs="Arial"/>
                <w:b/>
                <w:bCs/>
                <w:color w:val="000000"/>
                <w:sz w:val="16"/>
                <w:szCs w:val="16"/>
              </w:rPr>
            </w:pPr>
          </w:p>
        </w:tc>
        <w:tc>
          <w:tcPr>
            <w:tcW w:w="901" w:type="dxa"/>
            <w:tcBorders>
              <w:top w:val="nil"/>
              <w:left w:val="nil"/>
              <w:bottom w:val="nil"/>
              <w:right w:val="nil"/>
            </w:tcBorders>
            <w:shd w:val="clear" w:color="auto" w:fill="E6E6E6"/>
            <w:noWrap/>
            <w:vAlign w:val="bottom"/>
            <w:hideMark/>
          </w:tcPr>
          <w:p w14:paraId="4961E633" w14:textId="19ED8974"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4BC91FEC" w14:textId="77777777" w:rsidR="0014555F" w:rsidRPr="009E4A14" w:rsidRDefault="0014555F" w:rsidP="009E4A14">
            <w:pPr>
              <w:spacing w:after="0" w:line="240" w:lineRule="auto"/>
              <w:jc w:val="right"/>
              <w:rPr>
                <w:rFonts w:ascii="Arial" w:hAnsi="Arial" w:cs="Arial"/>
                <w:color w:val="000000"/>
                <w:sz w:val="16"/>
                <w:szCs w:val="16"/>
              </w:rPr>
            </w:pPr>
          </w:p>
        </w:tc>
        <w:tc>
          <w:tcPr>
            <w:tcW w:w="901" w:type="dxa"/>
            <w:tcBorders>
              <w:top w:val="nil"/>
              <w:left w:val="nil"/>
              <w:bottom w:val="nil"/>
              <w:right w:val="nil"/>
            </w:tcBorders>
            <w:shd w:val="clear" w:color="auto" w:fill="auto"/>
            <w:noWrap/>
            <w:vAlign w:val="bottom"/>
            <w:hideMark/>
          </w:tcPr>
          <w:p w14:paraId="7DDA8210" w14:textId="77777777" w:rsidR="0014555F" w:rsidRPr="009E4A14" w:rsidRDefault="0014555F" w:rsidP="009E4A14">
            <w:pPr>
              <w:spacing w:after="0" w:line="240" w:lineRule="auto"/>
              <w:jc w:val="right"/>
              <w:rPr>
                <w:rFonts w:ascii="Arial" w:hAnsi="Arial" w:cs="Arial"/>
                <w:sz w:val="16"/>
                <w:szCs w:val="16"/>
              </w:rPr>
            </w:pPr>
          </w:p>
        </w:tc>
        <w:tc>
          <w:tcPr>
            <w:tcW w:w="901" w:type="dxa"/>
            <w:tcBorders>
              <w:top w:val="nil"/>
              <w:left w:val="nil"/>
              <w:bottom w:val="nil"/>
              <w:right w:val="nil"/>
            </w:tcBorders>
            <w:shd w:val="clear" w:color="auto" w:fill="auto"/>
            <w:noWrap/>
            <w:vAlign w:val="bottom"/>
            <w:hideMark/>
          </w:tcPr>
          <w:p w14:paraId="42BC9E24" w14:textId="77777777" w:rsidR="0014555F" w:rsidRPr="009E4A14" w:rsidRDefault="0014555F" w:rsidP="009E4A14">
            <w:pPr>
              <w:spacing w:after="0" w:line="240" w:lineRule="auto"/>
              <w:jc w:val="right"/>
              <w:rPr>
                <w:rFonts w:ascii="Arial" w:hAnsi="Arial" w:cs="Arial"/>
                <w:sz w:val="16"/>
                <w:szCs w:val="16"/>
              </w:rPr>
            </w:pPr>
          </w:p>
        </w:tc>
      </w:tr>
      <w:tr w:rsidR="0014555F" w:rsidRPr="009E4A14" w14:paraId="60256F95" w14:textId="77777777" w:rsidTr="006E595F">
        <w:trPr>
          <w:trHeight w:val="204"/>
        </w:trPr>
        <w:tc>
          <w:tcPr>
            <w:tcW w:w="2960" w:type="dxa"/>
            <w:tcBorders>
              <w:top w:val="nil"/>
              <w:left w:val="nil"/>
              <w:bottom w:val="nil"/>
              <w:right w:val="nil"/>
            </w:tcBorders>
            <w:shd w:val="clear" w:color="auto" w:fill="auto"/>
            <w:noWrap/>
            <w:vAlign w:val="center"/>
            <w:hideMark/>
          </w:tcPr>
          <w:p w14:paraId="30328C7E"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Contributed equity</w:t>
            </w:r>
          </w:p>
        </w:tc>
        <w:tc>
          <w:tcPr>
            <w:tcW w:w="901" w:type="dxa"/>
            <w:tcBorders>
              <w:top w:val="nil"/>
              <w:left w:val="nil"/>
              <w:bottom w:val="nil"/>
              <w:right w:val="nil"/>
            </w:tcBorders>
            <w:shd w:val="clear" w:color="auto" w:fill="auto"/>
            <w:noWrap/>
            <w:vAlign w:val="bottom"/>
            <w:hideMark/>
          </w:tcPr>
          <w:p w14:paraId="1E447A65" w14:textId="48BEDB24"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141,700</w:t>
            </w:r>
          </w:p>
        </w:tc>
        <w:tc>
          <w:tcPr>
            <w:tcW w:w="901" w:type="dxa"/>
            <w:tcBorders>
              <w:top w:val="nil"/>
              <w:left w:val="nil"/>
              <w:bottom w:val="nil"/>
              <w:right w:val="nil"/>
            </w:tcBorders>
            <w:shd w:val="clear" w:color="auto" w:fill="E6E6E6"/>
            <w:noWrap/>
            <w:vAlign w:val="bottom"/>
            <w:hideMark/>
          </w:tcPr>
          <w:p w14:paraId="44182625" w14:textId="5CE9D02A"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157,488</w:t>
            </w:r>
          </w:p>
        </w:tc>
        <w:tc>
          <w:tcPr>
            <w:tcW w:w="901" w:type="dxa"/>
            <w:tcBorders>
              <w:top w:val="nil"/>
              <w:left w:val="nil"/>
              <w:bottom w:val="nil"/>
              <w:right w:val="nil"/>
            </w:tcBorders>
            <w:shd w:val="clear" w:color="auto" w:fill="auto"/>
            <w:noWrap/>
            <w:vAlign w:val="bottom"/>
            <w:hideMark/>
          </w:tcPr>
          <w:p w14:paraId="6D7C2EC8" w14:textId="10E3BE2B"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165,190</w:t>
            </w:r>
          </w:p>
        </w:tc>
        <w:tc>
          <w:tcPr>
            <w:tcW w:w="901" w:type="dxa"/>
            <w:tcBorders>
              <w:top w:val="nil"/>
              <w:left w:val="nil"/>
              <w:bottom w:val="nil"/>
              <w:right w:val="nil"/>
            </w:tcBorders>
            <w:shd w:val="clear" w:color="auto" w:fill="auto"/>
            <w:noWrap/>
            <w:vAlign w:val="bottom"/>
            <w:hideMark/>
          </w:tcPr>
          <w:p w14:paraId="501BAA96" w14:textId="0C03221C"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171,992</w:t>
            </w:r>
          </w:p>
        </w:tc>
        <w:tc>
          <w:tcPr>
            <w:tcW w:w="901" w:type="dxa"/>
            <w:tcBorders>
              <w:top w:val="nil"/>
              <w:left w:val="nil"/>
              <w:bottom w:val="nil"/>
              <w:right w:val="nil"/>
            </w:tcBorders>
            <w:shd w:val="clear" w:color="auto" w:fill="auto"/>
            <w:noWrap/>
            <w:vAlign w:val="bottom"/>
            <w:hideMark/>
          </w:tcPr>
          <w:p w14:paraId="506C271D" w14:textId="6F403F45"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178,724</w:t>
            </w:r>
          </w:p>
        </w:tc>
      </w:tr>
      <w:tr w:rsidR="0014555F" w:rsidRPr="009E4A14" w14:paraId="713F6E60" w14:textId="77777777" w:rsidTr="006E595F">
        <w:trPr>
          <w:trHeight w:val="204"/>
        </w:trPr>
        <w:tc>
          <w:tcPr>
            <w:tcW w:w="2960" w:type="dxa"/>
            <w:tcBorders>
              <w:top w:val="nil"/>
              <w:left w:val="nil"/>
              <w:bottom w:val="nil"/>
              <w:right w:val="nil"/>
            </w:tcBorders>
            <w:shd w:val="clear" w:color="auto" w:fill="auto"/>
            <w:noWrap/>
            <w:vAlign w:val="center"/>
            <w:hideMark/>
          </w:tcPr>
          <w:p w14:paraId="17367E20" w14:textId="77777777"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Reserves</w:t>
            </w:r>
          </w:p>
        </w:tc>
        <w:tc>
          <w:tcPr>
            <w:tcW w:w="901" w:type="dxa"/>
            <w:tcBorders>
              <w:top w:val="nil"/>
              <w:left w:val="nil"/>
              <w:bottom w:val="nil"/>
              <w:right w:val="nil"/>
            </w:tcBorders>
            <w:shd w:val="clear" w:color="auto" w:fill="auto"/>
            <w:noWrap/>
            <w:vAlign w:val="bottom"/>
            <w:hideMark/>
          </w:tcPr>
          <w:p w14:paraId="209140AF" w14:textId="0EC835A0"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2,175</w:t>
            </w:r>
          </w:p>
        </w:tc>
        <w:tc>
          <w:tcPr>
            <w:tcW w:w="901" w:type="dxa"/>
            <w:tcBorders>
              <w:top w:val="nil"/>
              <w:left w:val="nil"/>
              <w:bottom w:val="nil"/>
              <w:right w:val="nil"/>
            </w:tcBorders>
            <w:shd w:val="clear" w:color="auto" w:fill="E6E6E6"/>
            <w:noWrap/>
            <w:vAlign w:val="bottom"/>
            <w:hideMark/>
          </w:tcPr>
          <w:p w14:paraId="7F6B2FBE" w14:textId="31BE02D5"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2,175</w:t>
            </w:r>
          </w:p>
        </w:tc>
        <w:tc>
          <w:tcPr>
            <w:tcW w:w="901" w:type="dxa"/>
            <w:tcBorders>
              <w:top w:val="nil"/>
              <w:left w:val="nil"/>
              <w:bottom w:val="nil"/>
              <w:right w:val="nil"/>
            </w:tcBorders>
            <w:shd w:val="clear" w:color="auto" w:fill="auto"/>
            <w:noWrap/>
            <w:vAlign w:val="bottom"/>
            <w:hideMark/>
          </w:tcPr>
          <w:p w14:paraId="4E1398BD" w14:textId="617F78B3"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2,175</w:t>
            </w:r>
          </w:p>
        </w:tc>
        <w:tc>
          <w:tcPr>
            <w:tcW w:w="901" w:type="dxa"/>
            <w:tcBorders>
              <w:top w:val="nil"/>
              <w:left w:val="nil"/>
              <w:bottom w:val="nil"/>
              <w:right w:val="nil"/>
            </w:tcBorders>
            <w:shd w:val="clear" w:color="auto" w:fill="auto"/>
            <w:noWrap/>
            <w:vAlign w:val="bottom"/>
            <w:hideMark/>
          </w:tcPr>
          <w:p w14:paraId="60D7694B" w14:textId="72464444"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2,175</w:t>
            </w:r>
          </w:p>
        </w:tc>
        <w:tc>
          <w:tcPr>
            <w:tcW w:w="901" w:type="dxa"/>
            <w:tcBorders>
              <w:top w:val="nil"/>
              <w:left w:val="nil"/>
              <w:bottom w:val="nil"/>
              <w:right w:val="nil"/>
            </w:tcBorders>
            <w:shd w:val="clear" w:color="auto" w:fill="auto"/>
            <w:noWrap/>
            <w:vAlign w:val="bottom"/>
            <w:hideMark/>
          </w:tcPr>
          <w:p w14:paraId="42EF4BE5" w14:textId="0CB5CB5C"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2,175</w:t>
            </w:r>
          </w:p>
        </w:tc>
      </w:tr>
      <w:tr w:rsidR="0014555F" w:rsidRPr="009E4A14" w14:paraId="0369859B" w14:textId="77777777" w:rsidTr="006E595F">
        <w:trPr>
          <w:trHeight w:val="204"/>
        </w:trPr>
        <w:tc>
          <w:tcPr>
            <w:tcW w:w="2960" w:type="dxa"/>
            <w:tcBorders>
              <w:top w:val="nil"/>
              <w:left w:val="nil"/>
              <w:bottom w:val="nil"/>
              <w:right w:val="nil"/>
            </w:tcBorders>
            <w:shd w:val="clear" w:color="auto" w:fill="auto"/>
            <w:vAlign w:val="center"/>
            <w:hideMark/>
          </w:tcPr>
          <w:p w14:paraId="297A3F14" w14:textId="560F2748" w:rsidR="0014555F" w:rsidRPr="009E4A14" w:rsidRDefault="0014555F" w:rsidP="00BE1DA8">
            <w:pPr>
              <w:spacing w:after="0" w:line="240" w:lineRule="auto"/>
              <w:ind w:left="113"/>
              <w:jc w:val="left"/>
              <w:rPr>
                <w:rFonts w:ascii="Arial" w:hAnsi="Arial" w:cs="Arial"/>
                <w:color w:val="000000"/>
                <w:sz w:val="16"/>
                <w:szCs w:val="16"/>
              </w:rPr>
            </w:pPr>
            <w:r w:rsidRPr="009E4A14">
              <w:rPr>
                <w:rFonts w:ascii="Arial" w:hAnsi="Arial" w:cs="Arial"/>
                <w:color w:val="000000"/>
                <w:sz w:val="16"/>
                <w:szCs w:val="16"/>
              </w:rPr>
              <w:t>Retained surplus (accumulated</w:t>
            </w:r>
            <w:r w:rsidR="00BE1DA8">
              <w:rPr>
                <w:rFonts w:ascii="Arial" w:hAnsi="Arial" w:cs="Arial"/>
                <w:color w:val="000000"/>
                <w:sz w:val="16"/>
                <w:szCs w:val="16"/>
              </w:rPr>
              <w:t xml:space="preserve"> </w:t>
            </w:r>
            <w:r w:rsidRPr="009E4A14">
              <w:rPr>
                <w:rFonts w:ascii="Arial" w:hAnsi="Arial" w:cs="Arial"/>
                <w:color w:val="000000"/>
                <w:sz w:val="16"/>
                <w:szCs w:val="16"/>
              </w:rPr>
              <w:t>deficit)</w:t>
            </w:r>
          </w:p>
        </w:tc>
        <w:tc>
          <w:tcPr>
            <w:tcW w:w="901" w:type="dxa"/>
            <w:tcBorders>
              <w:top w:val="nil"/>
              <w:left w:val="nil"/>
              <w:bottom w:val="single" w:sz="4" w:space="0" w:color="auto"/>
              <w:right w:val="nil"/>
            </w:tcBorders>
            <w:shd w:val="clear" w:color="auto" w:fill="auto"/>
            <w:noWrap/>
            <w:vAlign w:val="bottom"/>
            <w:hideMark/>
          </w:tcPr>
          <w:p w14:paraId="51D2B2D0" w14:textId="77777777"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(104,681)</w:t>
            </w:r>
          </w:p>
        </w:tc>
        <w:tc>
          <w:tcPr>
            <w:tcW w:w="901" w:type="dxa"/>
            <w:tcBorders>
              <w:top w:val="nil"/>
              <w:left w:val="nil"/>
              <w:bottom w:val="single" w:sz="4" w:space="0" w:color="auto"/>
              <w:right w:val="nil"/>
            </w:tcBorders>
            <w:shd w:val="clear" w:color="auto" w:fill="E6E6E6"/>
            <w:noWrap/>
            <w:vAlign w:val="bottom"/>
            <w:hideMark/>
          </w:tcPr>
          <w:p w14:paraId="1B22B985" w14:textId="77777777"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(116,593)</w:t>
            </w:r>
          </w:p>
        </w:tc>
        <w:tc>
          <w:tcPr>
            <w:tcW w:w="901" w:type="dxa"/>
            <w:tcBorders>
              <w:top w:val="nil"/>
              <w:left w:val="nil"/>
              <w:bottom w:val="single" w:sz="4" w:space="0" w:color="auto"/>
              <w:right w:val="nil"/>
            </w:tcBorders>
            <w:shd w:val="clear" w:color="auto" w:fill="auto"/>
            <w:noWrap/>
            <w:vAlign w:val="bottom"/>
            <w:hideMark/>
          </w:tcPr>
          <w:p w14:paraId="1E33E2A2" w14:textId="77777777"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(125,822)</w:t>
            </w:r>
          </w:p>
        </w:tc>
        <w:tc>
          <w:tcPr>
            <w:tcW w:w="901" w:type="dxa"/>
            <w:tcBorders>
              <w:top w:val="nil"/>
              <w:left w:val="nil"/>
              <w:bottom w:val="single" w:sz="4" w:space="0" w:color="auto"/>
              <w:right w:val="nil"/>
            </w:tcBorders>
            <w:shd w:val="clear" w:color="auto" w:fill="auto"/>
            <w:noWrap/>
            <w:vAlign w:val="bottom"/>
            <w:hideMark/>
          </w:tcPr>
          <w:p w14:paraId="478A26FC" w14:textId="77777777"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(134,675)</w:t>
            </w:r>
          </w:p>
        </w:tc>
        <w:tc>
          <w:tcPr>
            <w:tcW w:w="901" w:type="dxa"/>
            <w:tcBorders>
              <w:top w:val="nil"/>
              <w:left w:val="nil"/>
              <w:bottom w:val="single" w:sz="4" w:space="0" w:color="auto"/>
              <w:right w:val="nil"/>
            </w:tcBorders>
            <w:shd w:val="clear" w:color="auto" w:fill="auto"/>
            <w:noWrap/>
            <w:vAlign w:val="bottom"/>
            <w:hideMark/>
          </w:tcPr>
          <w:p w14:paraId="1A066BFD" w14:textId="77777777" w:rsidR="0014555F" w:rsidRPr="009E4A14" w:rsidRDefault="0014555F" w:rsidP="009E4A14">
            <w:pPr>
              <w:spacing w:after="0" w:line="240" w:lineRule="auto"/>
              <w:jc w:val="right"/>
              <w:rPr>
                <w:rFonts w:ascii="Arial" w:hAnsi="Arial" w:cs="Arial"/>
                <w:color w:val="000000"/>
                <w:sz w:val="16"/>
                <w:szCs w:val="16"/>
              </w:rPr>
            </w:pPr>
            <w:r w:rsidRPr="009E4A14">
              <w:rPr>
                <w:rFonts w:ascii="Arial" w:hAnsi="Arial" w:cs="Arial"/>
                <w:color w:val="000000"/>
                <w:sz w:val="16"/>
                <w:szCs w:val="16"/>
              </w:rPr>
              <w:t>(143,138)</w:t>
            </w:r>
          </w:p>
        </w:tc>
      </w:tr>
      <w:tr w:rsidR="0014555F" w:rsidRPr="009E4A14" w14:paraId="40863265" w14:textId="77777777" w:rsidTr="006E595F">
        <w:trPr>
          <w:trHeight w:val="204"/>
        </w:trPr>
        <w:tc>
          <w:tcPr>
            <w:tcW w:w="2960" w:type="dxa"/>
            <w:tcBorders>
              <w:top w:val="nil"/>
              <w:left w:val="nil"/>
              <w:bottom w:val="single" w:sz="4" w:space="0" w:color="000000"/>
              <w:right w:val="nil"/>
            </w:tcBorders>
            <w:shd w:val="clear" w:color="auto" w:fill="auto"/>
            <w:noWrap/>
            <w:vAlign w:val="center"/>
            <w:hideMark/>
          </w:tcPr>
          <w:p w14:paraId="023743BC" w14:textId="77777777" w:rsidR="0014555F" w:rsidRPr="009E4A14" w:rsidRDefault="0014555F" w:rsidP="0014555F">
            <w:pPr>
              <w:spacing w:after="0" w:line="240" w:lineRule="auto"/>
              <w:jc w:val="left"/>
              <w:rPr>
                <w:rFonts w:ascii="Arial" w:hAnsi="Arial" w:cs="Arial"/>
                <w:b/>
                <w:bCs/>
                <w:color w:val="000000"/>
                <w:sz w:val="16"/>
                <w:szCs w:val="16"/>
              </w:rPr>
            </w:pPr>
            <w:r w:rsidRPr="009E4A14">
              <w:rPr>
                <w:rFonts w:ascii="Arial" w:hAnsi="Arial" w:cs="Arial"/>
                <w:b/>
                <w:bCs/>
                <w:color w:val="000000"/>
                <w:sz w:val="16"/>
                <w:szCs w:val="16"/>
              </w:rPr>
              <w:t>Total equity</w:t>
            </w:r>
          </w:p>
        </w:tc>
        <w:tc>
          <w:tcPr>
            <w:tcW w:w="901" w:type="dxa"/>
            <w:tcBorders>
              <w:top w:val="single" w:sz="4" w:space="0" w:color="auto"/>
              <w:left w:val="nil"/>
              <w:bottom w:val="single" w:sz="4" w:space="0" w:color="auto"/>
              <w:right w:val="nil"/>
            </w:tcBorders>
            <w:shd w:val="clear" w:color="auto" w:fill="auto"/>
            <w:noWrap/>
            <w:vAlign w:val="bottom"/>
            <w:hideMark/>
          </w:tcPr>
          <w:p w14:paraId="1D2E2E29" w14:textId="35473634"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39,194</w:t>
            </w:r>
          </w:p>
        </w:tc>
        <w:tc>
          <w:tcPr>
            <w:tcW w:w="901" w:type="dxa"/>
            <w:tcBorders>
              <w:top w:val="single" w:sz="4" w:space="0" w:color="auto"/>
              <w:left w:val="nil"/>
              <w:bottom w:val="single" w:sz="4" w:space="0" w:color="auto"/>
              <w:right w:val="nil"/>
            </w:tcBorders>
            <w:shd w:val="clear" w:color="auto" w:fill="E6E6E6"/>
            <w:noWrap/>
            <w:vAlign w:val="bottom"/>
            <w:hideMark/>
          </w:tcPr>
          <w:p w14:paraId="0FAD8A7B" w14:textId="07F7420F"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43,070</w:t>
            </w:r>
          </w:p>
        </w:tc>
        <w:tc>
          <w:tcPr>
            <w:tcW w:w="901" w:type="dxa"/>
            <w:tcBorders>
              <w:top w:val="single" w:sz="4" w:space="0" w:color="auto"/>
              <w:left w:val="nil"/>
              <w:bottom w:val="single" w:sz="4" w:space="0" w:color="auto"/>
              <w:right w:val="nil"/>
            </w:tcBorders>
            <w:shd w:val="clear" w:color="auto" w:fill="auto"/>
            <w:noWrap/>
            <w:vAlign w:val="bottom"/>
            <w:hideMark/>
          </w:tcPr>
          <w:p w14:paraId="0FA641EA" w14:textId="33ADF2C5"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41,543</w:t>
            </w:r>
          </w:p>
        </w:tc>
        <w:tc>
          <w:tcPr>
            <w:tcW w:w="901" w:type="dxa"/>
            <w:tcBorders>
              <w:top w:val="single" w:sz="4" w:space="0" w:color="auto"/>
              <w:left w:val="nil"/>
              <w:bottom w:val="single" w:sz="4" w:space="0" w:color="auto"/>
              <w:right w:val="nil"/>
            </w:tcBorders>
            <w:shd w:val="clear" w:color="auto" w:fill="auto"/>
            <w:noWrap/>
            <w:vAlign w:val="bottom"/>
            <w:hideMark/>
          </w:tcPr>
          <w:p w14:paraId="783B6E71" w14:textId="334747AF"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39,492</w:t>
            </w:r>
          </w:p>
        </w:tc>
        <w:tc>
          <w:tcPr>
            <w:tcW w:w="901" w:type="dxa"/>
            <w:tcBorders>
              <w:top w:val="single" w:sz="4" w:space="0" w:color="auto"/>
              <w:left w:val="nil"/>
              <w:bottom w:val="single" w:sz="4" w:space="0" w:color="auto"/>
              <w:right w:val="nil"/>
            </w:tcBorders>
            <w:shd w:val="clear" w:color="auto" w:fill="auto"/>
            <w:noWrap/>
            <w:vAlign w:val="bottom"/>
            <w:hideMark/>
          </w:tcPr>
          <w:p w14:paraId="1B08ED59" w14:textId="5095CF6D" w:rsidR="0014555F" w:rsidRPr="009E4A14" w:rsidRDefault="0014555F" w:rsidP="009E4A14">
            <w:pPr>
              <w:spacing w:after="0" w:line="240" w:lineRule="auto"/>
              <w:jc w:val="right"/>
              <w:rPr>
                <w:rFonts w:ascii="Arial" w:hAnsi="Arial" w:cs="Arial"/>
                <w:b/>
                <w:bCs/>
                <w:color w:val="000000"/>
                <w:sz w:val="16"/>
                <w:szCs w:val="16"/>
              </w:rPr>
            </w:pPr>
            <w:r w:rsidRPr="009E4A14">
              <w:rPr>
                <w:rFonts w:ascii="Arial" w:hAnsi="Arial" w:cs="Arial"/>
                <w:b/>
                <w:bCs/>
                <w:color w:val="000000"/>
                <w:sz w:val="16"/>
                <w:szCs w:val="16"/>
              </w:rPr>
              <w:t>37,761</w:t>
            </w:r>
          </w:p>
        </w:tc>
      </w:tr>
    </w:tbl>
    <w:p w14:paraId="2F432B65" w14:textId="77777777" w:rsidR="00BE2136" w:rsidRPr="00597BD1" w:rsidRDefault="00BE2136" w:rsidP="00BE2136">
      <w:pPr>
        <w:pStyle w:val="ChartandTableFootnoteAlpha"/>
        <w:numPr>
          <w:ilvl w:val="0"/>
          <w:numId w:val="0"/>
        </w:numPr>
        <w:spacing w:before="60"/>
        <w:jc w:val="left"/>
        <w:rPr>
          <w:rFonts w:cs="Arial"/>
        </w:rPr>
      </w:pPr>
      <w:r w:rsidRPr="00597BD1">
        <w:rPr>
          <w:rFonts w:cs="Arial"/>
        </w:rPr>
        <w:t>Prepared on Australian Accounting Standards basis.</w:t>
      </w:r>
    </w:p>
    <w:p w14:paraId="774815F8" w14:textId="1C77A21B" w:rsidR="0014555F" w:rsidRPr="009D3766" w:rsidRDefault="0014555F" w:rsidP="00F10ACD">
      <w:pPr>
        <w:pStyle w:val="ChartandTableFootnoteAlpha"/>
        <w:numPr>
          <w:ilvl w:val="0"/>
          <w:numId w:val="34"/>
        </w:numPr>
        <w:spacing w:after="0"/>
        <w:ind w:left="284" w:hanging="284"/>
        <w:jc w:val="left"/>
        <w:rPr>
          <w:rFonts w:cs="Arial"/>
        </w:rPr>
      </w:pPr>
      <w:r w:rsidRPr="009D3766">
        <w:rPr>
          <w:rFonts w:cs="Arial"/>
        </w:rPr>
        <w:t>The increase in cash and cash equivalents between 2020-21 and 2021-22 relates to the usage of cash reserves to meet expenditure related to the Media Sector Support measure</w:t>
      </w:r>
      <w:r w:rsidR="004643F6" w:rsidRPr="009D3766">
        <w:rPr>
          <w:rFonts w:cs="Arial"/>
        </w:rPr>
        <w:t xml:space="preserve"> in 2020-21</w:t>
      </w:r>
      <w:r w:rsidRPr="009D3766">
        <w:rPr>
          <w:rFonts w:cs="Arial"/>
        </w:rPr>
        <w:t>. The ACMA receive</w:t>
      </w:r>
      <w:r w:rsidR="004643F6" w:rsidRPr="009D3766">
        <w:rPr>
          <w:rFonts w:cs="Arial"/>
        </w:rPr>
        <w:t>d</w:t>
      </w:r>
      <w:r w:rsidRPr="009D3766">
        <w:rPr>
          <w:rFonts w:cs="Arial"/>
        </w:rPr>
        <w:t xml:space="preserve"> </w:t>
      </w:r>
      <w:r w:rsidR="008863D9" w:rsidRPr="009D3766">
        <w:rPr>
          <w:rFonts w:cs="Arial"/>
        </w:rPr>
        <w:t>Department</w:t>
      </w:r>
      <w:r w:rsidRPr="009D3766">
        <w:rPr>
          <w:rFonts w:cs="Arial"/>
        </w:rPr>
        <w:t xml:space="preserve">al Supplementation in Appropriation </w:t>
      </w:r>
      <w:r w:rsidR="004643F6" w:rsidRPr="009D3766">
        <w:rPr>
          <w:rFonts w:cs="Arial"/>
        </w:rPr>
        <w:t>Act</w:t>
      </w:r>
      <w:r w:rsidRPr="009D3766">
        <w:rPr>
          <w:rFonts w:cs="Arial"/>
        </w:rPr>
        <w:t xml:space="preserve"> No. 1 in 2021-22 to replenish the utilised cash reserves.</w:t>
      </w:r>
    </w:p>
    <w:p w14:paraId="2697008A" w14:textId="11B7AA59" w:rsidR="0016597F" w:rsidRDefault="0016597F" w:rsidP="0016597F"/>
    <w:p w14:paraId="4E0ED76C" w14:textId="538283AB" w:rsidR="0016597F" w:rsidRPr="00597BD1" w:rsidRDefault="0016597F" w:rsidP="0016597F">
      <w:r>
        <w:br w:type="page"/>
      </w:r>
    </w:p>
    <w:p w14:paraId="7864ED7E" w14:textId="64519950" w:rsidR="00654324" w:rsidRPr="00A00283" w:rsidRDefault="00654324" w:rsidP="00654324">
      <w:pPr>
        <w:pStyle w:val="TableHeading"/>
      </w:pPr>
      <w:r w:rsidRPr="00AD42E2">
        <w:lastRenderedPageBreak/>
        <w:t>Table 3.</w:t>
      </w:r>
      <w:r>
        <w:rPr>
          <w:lang w:val="en-US"/>
        </w:rPr>
        <w:t>4</w:t>
      </w:r>
      <w:r w:rsidRPr="00AD42E2">
        <w:t xml:space="preserve">: </w:t>
      </w:r>
      <w:r w:rsidR="008863D9">
        <w:t>Department</w:t>
      </w:r>
      <w:r w:rsidRPr="00AD42E2">
        <w:t>al statement of changes in equity — summary of</w:t>
      </w:r>
      <w:r>
        <w:t xml:space="preserve"> movement (</w:t>
      </w:r>
      <w:r w:rsidR="00377489">
        <w:t>2021-22 Budget year</w:t>
      </w:r>
      <w:r w:rsidRPr="00D30CBA">
        <w:t>)</w:t>
      </w:r>
    </w:p>
    <w:tbl>
      <w:tblPr>
        <w:tblW w:w="6480" w:type="dxa"/>
        <w:tblLook w:val="04A0" w:firstRow="1" w:lastRow="0" w:firstColumn="1" w:lastColumn="0" w:noHBand="0" w:noVBand="1"/>
      </w:tblPr>
      <w:tblGrid>
        <w:gridCol w:w="3149"/>
        <w:gridCol w:w="901"/>
        <w:gridCol w:w="999"/>
        <w:gridCol w:w="1044"/>
        <w:gridCol w:w="812"/>
      </w:tblGrid>
      <w:tr w:rsidR="0014555F" w:rsidRPr="009E4A14" w14:paraId="0142E1E6" w14:textId="77777777" w:rsidTr="00B86D56">
        <w:trPr>
          <w:trHeight w:val="502"/>
        </w:trPr>
        <w:tc>
          <w:tcPr>
            <w:tcW w:w="3149" w:type="dxa"/>
            <w:tcBorders>
              <w:top w:val="single" w:sz="4" w:space="0" w:color="auto"/>
              <w:left w:val="nil"/>
              <w:bottom w:val="nil"/>
              <w:right w:val="nil"/>
            </w:tcBorders>
            <w:shd w:val="clear" w:color="auto" w:fill="auto"/>
            <w:noWrap/>
            <w:vAlign w:val="center"/>
            <w:hideMark/>
          </w:tcPr>
          <w:p w14:paraId="5D32CE7B" w14:textId="77777777" w:rsidR="0014555F" w:rsidRPr="009E4A14" w:rsidRDefault="0014555F" w:rsidP="0014555F">
            <w:pPr>
              <w:spacing w:after="0" w:line="240" w:lineRule="auto"/>
              <w:jc w:val="right"/>
              <w:rPr>
                <w:rFonts w:ascii="Arial" w:hAnsi="Arial" w:cs="Arial"/>
                <w:color w:val="000000"/>
                <w:sz w:val="16"/>
                <w:szCs w:val="16"/>
              </w:rPr>
            </w:pPr>
            <w:r w:rsidRPr="009E4A14">
              <w:rPr>
                <w:rFonts w:ascii="Arial" w:hAnsi="Arial" w:cs="Arial"/>
                <w:color w:val="000000"/>
                <w:sz w:val="16"/>
                <w:szCs w:val="16"/>
              </w:rPr>
              <w:t> </w:t>
            </w:r>
          </w:p>
        </w:tc>
        <w:tc>
          <w:tcPr>
            <w:tcW w:w="781" w:type="dxa"/>
            <w:tcBorders>
              <w:top w:val="single" w:sz="4" w:space="0" w:color="auto"/>
              <w:left w:val="nil"/>
              <w:bottom w:val="single" w:sz="4" w:space="0" w:color="000000"/>
              <w:right w:val="nil"/>
            </w:tcBorders>
            <w:shd w:val="clear" w:color="auto" w:fill="auto"/>
            <w:hideMark/>
          </w:tcPr>
          <w:p w14:paraId="01283335" w14:textId="77777777" w:rsidR="0014555F" w:rsidRPr="009E4A14" w:rsidRDefault="0014555F" w:rsidP="0014555F">
            <w:pPr>
              <w:spacing w:after="0" w:line="240" w:lineRule="auto"/>
              <w:jc w:val="right"/>
              <w:rPr>
                <w:rFonts w:ascii="Arial" w:hAnsi="Arial" w:cs="Arial"/>
                <w:color w:val="000000"/>
                <w:sz w:val="16"/>
                <w:szCs w:val="16"/>
              </w:rPr>
            </w:pPr>
            <w:r w:rsidRPr="009E4A14">
              <w:rPr>
                <w:rFonts w:ascii="Arial" w:hAnsi="Arial" w:cs="Arial"/>
                <w:color w:val="000000"/>
                <w:sz w:val="16"/>
                <w:szCs w:val="16"/>
              </w:rPr>
              <w:t>Retained</w:t>
            </w:r>
            <w:r w:rsidRPr="009E4A14">
              <w:rPr>
                <w:rFonts w:ascii="Arial" w:hAnsi="Arial" w:cs="Arial"/>
                <w:color w:val="000000"/>
                <w:sz w:val="16"/>
                <w:szCs w:val="16"/>
              </w:rPr>
              <w:br/>
              <w:t>earnings</w:t>
            </w:r>
            <w:r w:rsidRPr="009E4A14">
              <w:rPr>
                <w:rFonts w:ascii="Arial" w:hAnsi="Arial" w:cs="Arial"/>
                <w:color w:val="000000"/>
                <w:sz w:val="16"/>
                <w:szCs w:val="16"/>
              </w:rPr>
              <w:br/>
            </w:r>
            <w:r w:rsidRPr="009E4A14">
              <w:rPr>
                <w:rFonts w:ascii="Arial" w:hAnsi="Arial" w:cs="Arial"/>
                <w:color w:val="000000"/>
                <w:sz w:val="16"/>
                <w:szCs w:val="16"/>
              </w:rPr>
              <w:br/>
              <w:t>$'000</w:t>
            </w:r>
          </w:p>
        </w:tc>
        <w:tc>
          <w:tcPr>
            <w:tcW w:w="880" w:type="dxa"/>
            <w:tcBorders>
              <w:top w:val="single" w:sz="4" w:space="0" w:color="auto"/>
              <w:left w:val="nil"/>
              <w:bottom w:val="single" w:sz="4" w:space="0" w:color="000000"/>
              <w:right w:val="nil"/>
            </w:tcBorders>
            <w:shd w:val="clear" w:color="auto" w:fill="auto"/>
            <w:hideMark/>
          </w:tcPr>
          <w:p w14:paraId="7E4128A7" w14:textId="77777777" w:rsidR="0014555F" w:rsidRPr="009E4A14" w:rsidRDefault="0014555F" w:rsidP="0014555F">
            <w:pPr>
              <w:spacing w:after="0" w:line="240" w:lineRule="auto"/>
              <w:jc w:val="right"/>
              <w:rPr>
                <w:rFonts w:ascii="Arial" w:hAnsi="Arial" w:cs="Arial"/>
                <w:color w:val="000000"/>
                <w:sz w:val="16"/>
                <w:szCs w:val="16"/>
              </w:rPr>
            </w:pPr>
            <w:r w:rsidRPr="009E4A14">
              <w:rPr>
                <w:rFonts w:ascii="Arial" w:hAnsi="Arial" w:cs="Arial"/>
                <w:color w:val="000000"/>
                <w:sz w:val="16"/>
                <w:szCs w:val="16"/>
              </w:rPr>
              <w:t>Asset</w:t>
            </w:r>
            <w:r w:rsidRPr="009E4A14">
              <w:rPr>
                <w:rFonts w:ascii="Arial" w:hAnsi="Arial" w:cs="Arial"/>
                <w:color w:val="000000"/>
                <w:sz w:val="16"/>
                <w:szCs w:val="16"/>
              </w:rPr>
              <w:br/>
              <w:t>revaluation</w:t>
            </w:r>
            <w:r w:rsidRPr="009E4A14">
              <w:rPr>
                <w:rFonts w:ascii="Arial" w:hAnsi="Arial" w:cs="Arial"/>
                <w:color w:val="000000"/>
                <w:sz w:val="16"/>
                <w:szCs w:val="16"/>
              </w:rPr>
              <w:br/>
              <w:t>reserve</w:t>
            </w:r>
            <w:r w:rsidRPr="009E4A14">
              <w:rPr>
                <w:rFonts w:ascii="Arial" w:hAnsi="Arial" w:cs="Arial"/>
                <w:color w:val="000000"/>
                <w:sz w:val="16"/>
                <w:szCs w:val="16"/>
              </w:rPr>
              <w:br/>
              <w:t>$'000</w:t>
            </w:r>
          </w:p>
        </w:tc>
        <w:tc>
          <w:tcPr>
            <w:tcW w:w="922" w:type="dxa"/>
            <w:tcBorders>
              <w:top w:val="single" w:sz="4" w:space="0" w:color="auto"/>
              <w:left w:val="nil"/>
              <w:bottom w:val="single" w:sz="4" w:space="0" w:color="000000"/>
              <w:right w:val="nil"/>
            </w:tcBorders>
            <w:shd w:val="clear" w:color="auto" w:fill="auto"/>
            <w:hideMark/>
          </w:tcPr>
          <w:p w14:paraId="24C19BE9" w14:textId="77777777" w:rsidR="0014555F" w:rsidRPr="009E4A14" w:rsidRDefault="0014555F" w:rsidP="0014555F">
            <w:pPr>
              <w:spacing w:after="0" w:line="240" w:lineRule="auto"/>
              <w:jc w:val="right"/>
              <w:rPr>
                <w:rFonts w:ascii="Arial" w:hAnsi="Arial" w:cs="Arial"/>
                <w:color w:val="000000"/>
                <w:sz w:val="16"/>
                <w:szCs w:val="16"/>
              </w:rPr>
            </w:pPr>
            <w:r w:rsidRPr="009E4A14">
              <w:rPr>
                <w:rFonts w:ascii="Arial" w:hAnsi="Arial" w:cs="Arial"/>
                <w:color w:val="000000"/>
                <w:sz w:val="16"/>
                <w:szCs w:val="16"/>
              </w:rPr>
              <w:t>Contributed</w:t>
            </w:r>
            <w:r w:rsidRPr="009E4A14">
              <w:rPr>
                <w:rFonts w:ascii="Arial" w:hAnsi="Arial" w:cs="Arial"/>
                <w:color w:val="000000"/>
                <w:sz w:val="16"/>
                <w:szCs w:val="16"/>
              </w:rPr>
              <w:br/>
              <w:t>equity/</w:t>
            </w:r>
            <w:r w:rsidRPr="009E4A14">
              <w:rPr>
                <w:rFonts w:ascii="Arial" w:hAnsi="Arial" w:cs="Arial"/>
                <w:color w:val="000000"/>
                <w:sz w:val="16"/>
                <w:szCs w:val="16"/>
              </w:rPr>
              <w:br/>
              <w:t>capital</w:t>
            </w:r>
            <w:r w:rsidRPr="009E4A14">
              <w:rPr>
                <w:rFonts w:ascii="Arial" w:hAnsi="Arial" w:cs="Arial"/>
                <w:color w:val="000000"/>
                <w:sz w:val="16"/>
                <w:szCs w:val="16"/>
              </w:rPr>
              <w:br/>
              <w:t>$'000</w:t>
            </w:r>
          </w:p>
        </w:tc>
        <w:tc>
          <w:tcPr>
            <w:tcW w:w="748" w:type="dxa"/>
            <w:tcBorders>
              <w:top w:val="single" w:sz="4" w:space="0" w:color="auto"/>
              <w:left w:val="nil"/>
              <w:bottom w:val="single" w:sz="4" w:space="0" w:color="000000"/>
              <w:right w:val="nil"/>
            </w:tcBorders>
            <w:shd w:val="clear" w:color="auto" w:fill="auto"/>
            <w:hideMark/>
          </w:tcPr>
          <w:p w14:paraId="328707CC" w14:textId="77777777" w:rsidR="0014555F" w:rsidRPr="009E4A14" w:rsidRDefault="0014555F" w:rsidP="0014555F">
            <w:pPr>
              <w:spacing w:after="0" w:line="240" w:lineRule="auto"/>
              <w:jc w:val="right"/>
              <w:rPr>
                <w:rFonts w:ascii="Arial" w:hAnsi="Arial" w:cs="Arial"/>
                <w:color w:val="000000"/>
                <w:sz w:val="16"/>
                <w:szCs w:val="16"/>
              </w:rPr>
            </w:pPr>
            <w:r w:rsidRPr="009E4A14">
              <w:rPr>
                <w:rFonts w:ascii="Arial" w:hAnsi="Arial" w:cs="Arial"/>
                <w:color w:val="000000"/>
                <w:sz w:val="16"/>
                <w:szCs w:val="16"/>
              </w:rPr>
              <w:t>Total</w:t>
            </w:r>
            <w:r w:rsidRPr="009E4A14">
              <w:rPr>
                <w:rFonts w:ascii="Arial" w:hAnsi="Arial" w:cs="Arial"/>
                <w:color w:val="000000"/>
                <w:sz w:val="16"/>
                <w:szCs w:val="16"/>
              </w:rPr>
              <w:br/>
              <w:t xml:space="preserve">equity </w:t>
            </w:r>
            <w:r w:rsidRPr="009E4A14">
              <w:rPr>
                <w:rFonts w:ascii="Arial" w:hAnsi="Arial" w:cs="Arial"/>
                <w:color w:val="000000"/>
                <w:sz w:val="16"/>
                <w:szCs w:val="16"/>
              </w:rPr>
              <w:br/>
            </w:r>
            <w:r w:rsidRPr="009E4A14">
              <w:rPr>
                <w:rFonts w:ascii="Arial" w:hAnsi="Arial" w:cs="Arial"/>
                <w:color w:val="000000"/>
                <w:sz w:val="16"/>
                <w:szCs w:val="16"/>
              </w:rPr>
              <w:br/>
              <w:t>$'000</w:t>
            </w:r>
          </w:p>
        </w:tc>
      </w:tr>
      <w:tr w:rsidR="0014555F" w:rsidRPr="009E4A14" w14:paraId="0662E9E1" w14:textId="77777777" w:rsidTr="009E4A14">
        <w:trPr>
          <w:trHeight w:val="204"/>
        </w:trPr>
        <w:tc>
          <w:tcPr>
            <w:tcW w:w="3149" w:type="dxa"/>
            <w:tcBorders>
              <w:top w:val="nil"/>
              <w:left w:val="nil"/>
              <w:bottom w:val="nil"/>
              <w:right w:val="nil"/>
            </w:tcBorders>
            <w:shd w:val="clear" w:color="auto" w:fill="auto"/>
            <w:vAlign w:val="center"/>
            <w:hideMark/>
          </w:tcPr>
          <w:p w14:paraId="7DE0DE49" w14:textId="77777777" w:rsidR="0014555F" w:rsidRPr="00BE1DA8" w:rsidRDefault="0014555F" w:rsidP="0014555F">
            <w:pPr>
              <w:spacing w:after="0" w:line="240" w:lineRule="auto"/>
              <w:jc w:val="left"/>
              <w:rPr>
                <w:rFonts w:ascii="Arial" w:hAnsi="Arial" w:cs="Arial"/>
                <w:b/>
                <w:bCs/>
                <w:color w:val="000000"/>
                <w:sz w:val="16"/>
                <w:szCs w:val="16"/>
              </w:rPr>
            </w:pPr>
            <w:r w:rsidRPr="00BE1DA8">
              <w:rPr>
                <w:rFonts w:ascii="Arial" w:hAnsi="Arial" w:cs="Arial"/>
                <w:b/>
                <w:bCs/>
                <w:color w:val="000000"/>
                <w:sz w:val="16"/>
                <w:szCs w:val="16"/>
              </w:rPr>
              <w:t>Opening balance as at 1 July 2021</w:t>
            </w:r>
          </w:p>
        </w:tc>
        <w:tc>
          <w:tcPr>
            <w:tcW w:w="781" w:type="dxa"/>
            <w:tcBorders>
              <w:top w:val="nil"/>
              <w:left w:val="nil"/>
              <w:bottom w:val="nil"/>
              <w:right w:val="nil"/>
            </w:tcBorders>
            <w:shd w:val="clear" w:color="auto" w:fill="auto"/>
            <w:noWrap/>
            <w:vAlign w:val="bottom"/>
            <w:hideMark/>
          </w:tcPr>
          <w:p w14:paraId="36BC9D64" w14:textId="77777777" w:rsidR="0014555F" w:rsidRPr="00BE1DA8" w:rsidRDefault="0014555F" w:rsidP="00AA147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bottom"/>
            <w:hideMark/>
          </w:tcPr>
          <w:p w14:paraId="7CEEE8E8" w14:textId="77777777" w:rsidR="0014555F" w:rsidRPr="00BE1DA8" w:rsidRDefault="0014555F" w:rsidP="00AA1477">
            <w:pPr>
              <w:spacing w:after="0" w:line="240" w:lineRule="auto"/>
              <w:jc w:val="right"/>
              <w:rPr>
                <w:rFonts w:ascii="Arial" w:hAnsi="Arial" w:cs="Arial"/>
                <w:sz w:val="16"/>
                <w:szCs w:val="16"/>
              </w:rPr>
            </w:pPr>
          </w:p>
        </w:tc>
        <w:tc>
          <w:tcPr>
            <w:tcW w:w="922" w:type="dxa"/>
            <w:tcBorders>
              <w:top w:val="nil"/>
              <w:left w:val="nil"/>
              <w:bottom w:val="nil"/>
              <w:right w:val="nil"/>
            </w:tcBorders>
            <w:shd w:val="clear" w:color="auto" w:fill="auto"/>
            <w:noWrap/>
            <w:vAlign w:val="bottom"/>
            <w:hideMark/>
          </w:tcPr>
          <w:p w14:paraId="7469F57A" w14:textId="77777777" w:rsidR="0014555F" w:rsidRPr="00BE1DA8" w:rsidRDefault="0014555F" w:rsidP="00AA1477">
            <w:pPr>
              <w:spacing w:after="0" w:line="240" w:lineRule="auto"/>
              <w:jc w:val="right"/>
              <w:rPr>
                <w:rFonts w:ascii="Arial" w:hAnsi="Arial" w:cs="Arial"/>
                <w:sz w:val="16"/>
                <w:szCs w:val="16"/>
              </w:rPr>
            </w:pPr>
          </w:p>
        </w:tc>
        <w:tc>
          <w:tcPr>
            <w:tcW w:w="748" w:type="dxa"/>
            <w:tcBorders>
              <w:top w:val="nil"/>
              <w:left w:val="nil"/>
              <w:bottom w:val="nil"/>
              <w:right w:val="nil"/>
            </w:tcBorders>
            <w:shd w:val="clear" w:color="auto" w:fill="auto"/>
            <w:noWrap/>
            <w:vAlign w:val="bottom"/>
            <w:hideMark/>
          </w:tcPr>
          <w:p w14:paraId="1FFB4A6D" w14:textId="77777777" w:rsidR="0014555F" w:rsidRPr="00BE1DA8" w:rsidRDefault="0014555F" w:rsidP="00AA1477">
            <w:pPr>
              <w:spacing w:after="0" w:line="240" w:lineRule="auto"/>
              <w:jc w:val="right"/>
              <w:rPr>
                <w:rFonts w:ascii="Arial" w:hAnsi="Arial" w:cs="Arial"/>
                <w:sz w:val="16"/>
                <w:szCs w:val="16"/>
              </w:rPr>
            </w:pPr>
          </w:p>
        </w:tc>
      </w:tr>
      <w:tr w:rsidR="0014555F" w:rsidRPr="009E4A14" w14:paraId="3E0E6AC8" w14:textId="77777777" w:rsidTr="009E4A14">
        <w:trPr>
          <w:trHeight w:val="204"/>
        </w:trPr>
        <w:tc>
          <w:tcPr>
            <w:tcW w:w="3149" w:type="dxa"/>
            <w:tcBorders>
              <w:top w:val="nil"/>
              <w:left w:val="nil"/>
              <w:bottom w:val="nil"/>
              <w:right w:val="nil"/>
            </w:tcBorders>
            <w:shd w:val="clear" w:color="auto" w:fill="auto"/>
            <w:vAlign w:val="center"/>
            <w:hideMark/>
          </w:tcPr>
          <w:p w14:paraId="1BB30BA5" w14:textId="1765C34F" w:rsidR="0014555F" w:rsidRPr="00BE1DA8" w:rsidRDefault="0014555F" w:rsidP="009E4A14">
            <w:pPr>
              <w:spacing w:after="0" w:line="240" w:lineRule="auto"/>
              <w:ind w:left="113"/>
              <w:jc w:val="left"/>
              <w:rPr>
                <w:rFonts w:ascii="Arial" w:hAnsi="Arial" w:cs="Arial"/>
                <w:color w:val="000000"/>
                <w:sz w:val="16"/>
                <w:szCs w:val="16"/>
              </w:rPr>
            </w:pPr>
            <w:r w:rsidRPr="00BE1DA8">
              <w:rPr>
                <w:rFonts w:ascii="Arial" w:hAnsi="Arial" w:cs="Arial"/>
                <w:color w:val="000000"/>
                <w:sz w:val="16"/>
                <w:szCs w:val="16"/>
              </w:rPr>
              <w:t>Balance carried forward from</w:t>
            </w:r>
            <w:r w:rsidR="009E4A14" w:rsidRPr="00BE1DA8">
              <w:rPr>
                <w:rFonts w:ascii="Arial" w:hAnsi="Arial" w:cs="Arial"/>
                <w:color w:val="000000"/>
                <w:sz w:val="16"/>
                <w:szCs w:val="16"/>
              </w:rPr>
              <w:t xml:space="preserve"> </w:t>
            </w:r>
            <w:r w:rsidRPr="00BE1DA8">
              <w:rPr>
                <w:rFonts w:ascii="Arial" w:hAnsi="Arial" w:cs="Arial"/>
                <w:color w:val="000000"/>
                <w:sz w:val="16"/>
                <w:szCs w:val="16"/>
              </w:rPr>
              <w:t>previous period</w:t>
            </w:r>
          </w:p>
        </w:tc>
        <w:tc>
          <w:tcPr>
            <w:tcW w:w="781" w:type="dxa"/>
            <w:tcBorders>
              <w:top w:val="nil"/>
              <w:left w:val="nil"/>
              <w:bottom w:val="nil"/>
              <w:right w:val="nil"/>
            </w:tcBorders>
            <w:shd w:val="clear" w:color="auto" w:fill="auto"/>
            <w:noWrap/>
            <w:vAlign w:val="bottom"/>
            <w:hideMark/>
          </w:tcPr>
          <w:p w14:paraId="3ED2878B" w14:textId="77777777"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(104,695)</w:t>
            </w:r>
          </w:p>
        </w:tc>
        <w:tc>
          <w:tcPr>
            <w:tcW w:w="880" w:type="dxa"/>
            <w:tcBorders>
              <w:top w:val="nil"/>
              <w:left w:val="nil"/>
              <w:bottom w:val="nil"/>
              <w:right w:val="nil"/>
            </w:tcBorders>
            <w:shd w:val="clear" w:color="auto" w:fill="auto"/>
            <w:noWrap/>
            <w:vAlign w:val="bottom"/>
            <w:hideMark/>
          </w:tcPr>
          <w:p w14:paraId="2DA6A7BA" w14:textId="1DC06758"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2,175</w:t>
            </w:r>
          </w:p>
        </w:tc>
        <w:tc>
          <w:tcPr>
            <w:tcW w:w="922" w:type="dxa"/>
            <w:tcBorders>
              <w:top w:val="nil"/>
              <w:left w:val="nil"/>
              <w:bottom w:val="nil"/>
              <w:right w:val="nil"/>
            </w:tcBorders>
            <w:shd w:val="clear" w:color="auto" w:fill="auto"/>
            <w:noWrap/>
            <w:vAlign w:val="bottom"/>
            <w:hideMark/>
          </w:tcPr>
          <w:p w14:paraId="6D7D684E" w14:textId="7949630C"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141,700</w:t>
            </w:r>
          </w:p>
        </w:tc>
        <w:tc>
          <w:tcPr>
            <w:tcW w:w="748" w:type="dxa"/>
            <w:tcBorders>
              <w:top w:val="nil"/>
              <w:left w:val="nil"/>
              <w:bottom w:val="nil"/>
              <w:right w:val="nil"/>
            </w:tcBorders>
            <w:shd w:val="clear" w:color="auto" w:fill="auto"/>
            <w:noWrap/>
            <w:vAlign w:val="bottom"/>
            <w:hideMark/>
          </w:tcPr>
          <w:p w14:paraId="7F175B17" w14:textId="0F69B986"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39,180</w:t>
            </w:r>
          </w:p>
        </w:tc>
      </w:tr>
      <w:tr w:rsidR="0014555F" w:rsidRPr="009E4A14" w14:paraId="678EF329" w14:textId="77777777" w:rsidTr="009E4A14">
        <w:trPr>
          <w:trHeight w:val="204"/>
        </w:trPr>
        <w:tc>
          <w:tcPr>
            <w:tcW w:w="3149" w:type="dxa"/>
            <w:tcBorders>
              <w:top w:val="nil"/>
              <w:left w:val="nil"/>
              <w:bottom w:val="nil"/>
              <w:right w:val="nil"/>
            </w:tcBorders>
            <w:shd w:val="clear" w:color="auto" w:fill="auto"/>
            <w:vAlign w:val="center"/>
            <w:hideMark/>
          </w:tcPr>
          <w:p w14:paraId="4A234403" w14:textId="77777777" w:rsidR="0014555F" w:rsidRPr="00BE1DA8" w:rsidRDefault="0014555F" w:rsidP="0014555F">
            <w:pPr>
              <w:spacing w:after="0" w:line="240" w:lineRule="auto"/>
              <w:jc w:val="left"/>
              <w:rPr>
                <w:rFonts w:ascii="Arial" w:hAnsi="Arial" w:cs="Arial"/>
                <w:b/>
                <w:bCs/>
                <w:iCs/>
                <w:color w:val="000000"/>
                <w:sz w:val="16"/>
                <w:szCs w:val="16"/>
              </w:rPr>
            </w:pPr>
            <w:r w:rsidRPr="00BE1DA8">
              <w:rPr>
                <w:rFonts w:ascii="Arial" w:hAnsi="Arial" w:cs="Arial"/>
                <w:b/>
                <w:bCs/>
                <w:iCs/>
                <w:color w:val="000000"/>
                <w:sz w:val="16"/>
                <w:szCs w:val="16"/>
              </w:rPr>
              <w:t>Adjusted opening balance</w:t>
            </w:r>
          </w:p>
        </w:tc>
        <w:tc>
          <w:tcPr>
            <w:tcW w:w="781" w:type="dxa"/>
            <w:tcBorders>
              <w:top w:val="single" w:sz="4" w:space="0" w:color="000000"/>
              <w:left w:val="nil"/>
              <w:bottom w:val="single" w:sz="4" w:space="0" w:color="000000"/>
              <w:right w:val="nil"/>
            </w:tcBorders>
            <w:shd w:val="clear" w:color="auto" w:fill="auto"/>
            <w:noWrap/>
            <w:vAlign w:val="bottom"/>
            <w:hideMark/>
          </w:tcPr>
          <w:p w14:paraId="45F4FA43" w14:textId="77777777"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(104,695)</w:t>
            </w:r>
          </w:p>
        </w:tc>
        <w:tc>
          <w:tcPr>
            <w:tcW w:w="880" w:type="dxa"/>
            <w:tcBorders>
              <w:top w:val="single" w:sz="4" w:space="0" w:color="000000"/>
              <w:left w:val="nil"/>
              <w:bottom w:val="single" w:sz="4" w:space="0" w:color="000000"/>
              <w:right w:val="nil"/>
            </w:tcBorders>
            <w:shd w:val="clear" w:color="auto" w:fill="auto"/>
            <w:noWrap/>
            <w:vAlign w:val="bottom"/>
            <w:hideMark/>
          </w:tcPr>
          <w:p w14:paraId="6231A7A4" w14:textId="65FF0E63"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2,175</w:t>
            </w:r>
          </w:p>
        </w:tc>
        <w:tc>
          <w:tcPr>
            <w:tcW w:w="922" w:type="dxa"/>
            <w:tcBorders>
              <w:top w:val="single" w:sz="4" w:space="0" w:color="000000"/>
              <w:left w:val="nil"/>
              <w:bottom w:val="single" w:sz="4" w:space="0" w:color="000000"/>
              <w:right w:val="nil"/>
            </w:tcBorders>
            <w:shd w:val="clear" w:color="auto" w:fill="auto"/>
            <w:noWrap/>
            <w:vAlign w:val="bottom"/>
            <w:hideMark/>
          </w:tcPr>
          <w:p w14:paraId="25F92D79" w14:textId="04D7DB76"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141,700</w:t>
            </w:r>
          </w:p>
        </w:tc>
        <w:tc>
          <w:tcPr>
            <w:tcW w:w="748" w:type="dxa"/>
            <w:tcBorders>
              <w:top w:val="single" w:sz="4" w:space="0" w:color="000000"/>
              <w:left w:val="nil"/>
              <w:bottom w:val="single" w:sz="4" w:space="0" w:color="000000"/>
              <w:right w:val="nil"/>
            </w:tcBorders>
            <w:shd w:val="clear" w:color="auto" w:fill="auto"/>
            <w:noWrap/>
            <w:vAlign w:val="bottom"/>
            <w:hideMark/>
          </w:tcPr>
          <w:p w14:paraId="63524E33" w14:textId="680AFC21"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39,180</w:t>
            </w:r>
          </w:p>
        </w:tc>
      </w:tr>
      <w:tr w:rsidR="0014555F" w:rsidRPr="009E4A14" w14:paraId="1ABF0ECD" w14:textId="77777777" w:rsidTr="009E4A14">
        <w:trPr>
          <w:trHeight w:val="204"/>
        </w:trPr>
        <w:tc>
          <w:tcPr>
            <w:tcW w:w="3149" w:type="dxa"/>
            <w:tcBorders>
              <w:top w:val="nil"/>
              <w:left w:val="nil"/>
              <w:bottom w:val="nil"/>
              <w:right w:val="nil"/>
            </w:tcBorders>
            <w:shd w:val="clear" w:color="auto" w:fill="auto"/>
            <w:noWrap/>
            <w:vAlign w:val="center"/>
            <w:hideMark/>
          </w:tcPr>
          <w:p w14:paraId="721356AA" w14:textId="77777777" w:rsidR="0014555F" w:rsidRPr="00BE1DA8" w:rsidRDefault="0014555F" w:rsidP="0014555F">
            <w:pPr>
              <w:spacing w:after="0" w:line="240" w:lineRule="auto"/>
              <w:jc w:val="left"/>
              <w:rPr>
                <w:rFonts w:ascii="Arial" w:hAnsi="Arial" w:cs="Arial"/>
                <w:b/>
                <w:bCs/>
                <w:color w:val="000000"/>
                <w:sz w:val="16"/>
                <w:szCs w:val="16"/>
              </w:rPr>
            </w:pPr>
            <w:r w:rsidRPr="00BE1DA8">
              <w:rPr>
                <w:rFonts w:ascii="Arial" w:hAnsi="Arial" w:cs="Arial"/>
                <w:b/>
                <w:bCs/>
                <w:color w:val="000000"/>
                <w:sz w:val="16"/>
                <w:szCs w:val="16"/>
              </w:rPr>
              <w:t>Comprehensive income</w:t>
            </w:r>
          </w:p>
        </w:tc>
        <w:tc>
          <w:tcPr>
            <w:tcW w:w="781" w:type="dxa"/>
            <w:tcBorders>
              <w:top w:val="nil"/>
              <w:left w:val="nil"/>
              <w:bottom w:val="nil"/>
              <w:right w:val="nil"/>
            </w:tcBorders>
            <w:shd w:val="clear" w:color="auto" w:fill="auto"/>
            <w:noWrap/>
            <w:vAlign w:val="bottom"/>
            <w:hideMark/>
          </w:tcPr>
          <w:p w14:paraId="6AF0B1BD" w14:textId="77777777" w:rsidR="0014555F" w:rsidRPr="00BE1DA8" w:rsidRDefault="0014555F" w:rsidP="00AA147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auto"/>
            <w:noWrap/>
            <w:vAlign w:val="bottom"/>
            <w:hideMark/>
          </w:tcPr>
          <w:p w14:paraId="2EDF94C6" w14:textId="77777777" w:rsidR="0014555F" w:rsidRPr="00BE1DA8" w:rsidRDefault="0014555F" w:rsidP="00AA1477">
            <w:pPr>
              <w:spacing w:after="0" w:line="240" w:lineRule="auto"/>
              <w:jc w:val="right"/>
              <w:rPr>
                <w:rFonts w:ascii="Arial" w:hAnsi="Arial" w:cs="Arial"/>
                <w:sz w:val="16"/>
                <w:szCs w:val="16"/>
              </w:rPr>
            </w:pPr>
          </w:p>
        </w:tc>
        <w:tc>
          <w:tcPr>
            <w:tcW w:w="922" w:type="dxa"/>
            <w:tcBorders>
              <w:top w:val="nil"/>
              <w:left w:val="nil"/>
              <w:bottom w:val="nil"/>
              <w:right w:val="nil"/>
            </w:tcBorders>
            <w:shd w:val="clear" w:color="auto" w:fill="auto"/>
            <w:noWrap/>
            <w:vAlign w:val="bottom"/>
            <w:hideMark/>
          </w:tcPr>
          <w:p w14:paraId="525B462C" w14:textId="77777777" w:rsidR="0014555F" w:rsidRPr="00BE1DA8" w:rsidRDefault="0014555F" w:rsidP="00AA1477">
            <w:pPr>
              <w:spacing w:after="0" w:line="240" w:lineRule="auto"/>
              <w:jc w:val="right"/>
              <w:rPr>
                <w:rFonts w:ascii="Arial" w:hAnsi="Arial" w:cs="Arial"/>
                <w:sz w:val="16"/>
                <w:szCs w:val="16"/>
              </w:rPr>
            </w:pPr>
          </w:p>
        </w:tc>
        <w:tc>
          <w:tcPr>
            <w:tcW w:w="748" w:type="dxa"/>
            <w:tcBorders>
              <w:top w:val="nil"/>
              <w:left w:val="nil"/>
              <w:bottom w:val="nil"/>
              <w:right w:val="nil"/>
            </w:tcBorders>
            <w:shd w:val="clear" w:color="auto" w:fill="auto"/>
            <w:noWrap/>
            <w:vAlign w:val="bottom"/>
            <w:hideMark/>
          </w:tcPr>
          <w:p w14:paraId="129FE273" w14:textId="77777777" w:rsidR="0014555F" w:rsidRPr="00BE1DA8" w:rsidRDefault="0014555F" w:rsidP="00AA1477">
            <w:pPr>
              <w:spacing w:after="0" w:line="240" w:lineRule="auto"/>
              <w:jc w:val="right"/>
              <w:rPr>
                <w:rFonts w:ascii="Arial" w:hAnsi="Arial" w:cs="Arial"/>
                <w:sz w:val="16"/>
                <w:szCs w:val="16"/>
              </w:rPr>
            </w:pPr>
          </w:p>
        </w:tc>
      </w:tr>
      <w:tr w:rsidR="0014555F" w:rsidRPr="009E4A14" w14:paraId="0B511ECF" w14:textId="77777777" w:rsidTr="004D26B5">
        <w:trPr>
          <w:trHeight w:val="204"/>
        </w:trPr>
        <w:tc>
          <w:tcPr>
            <w:tcW w:w="3149" w:type="dxa"/>
            <w:tcBorders>
              <w:top w:val="nil"/>
              <w:left w:val="nil"/>
              <w:bottom w:val="nil"/>
              <w:right w:val="nil"/>
            </w:tcBorders>
            <w:shd w:val="clear" w:color="auto" w:fill="auto"/>
            <w:noWrap/>
            <w:vAlign w:val="center"/>
            <w:hideMark/>
          </w:tcPr>
          <w:p w14:paraId="2EA78AB7" w14:textId="77777777" w:rsidR="0014555F" w:rsidRPr="00BE1DA8" w:rsidRDefault="0014555F" w:rsidP="009E4A14">
            <w:pPr>
              <w:spacing w:after="0" w:line="240" w:lineRule="auto"/>
              <w:ind w:left="113"/>
              <w:jc w:val="left"/>
              <w:rPr>
                <w:rFonts w:ascii="Arial" w:hAnsi="Arial" w:cs="Arial"/>
                <w:sz w:val="16"/>
                <w:szCs w:val="16"/>
              </w:rPr>
            </w:pPr>
            <w:r w:rsidRPr="00BE1DA8">
              <w:rPr>
                <w:rFonts w:ascii="Arial" w:hAnsi="Arial" w:cs="Arial"/>
                <w:sz w:val="16"/>
                <w:szCs w:val="16"/>
              </w:rPr>
              <w:t>Surplus/(deficit) for the period</w:t>
            </w:r>
          </w:p>
        </w:tc>
        <w:tc>
          <w:tcPr>
            <w:tcW w:w="781" w:type="dxa"/>
            <w:tcBorders>
              <w:top w:val="nil"/>
              <w:left w:val="nil"/>
              <w:bottom w:val="single" w:sz="4" w:space="0" w:color="000000"/>
              <w:right w:val="nil"/>
            </w:tcBorders>
            <w:shd w:val="clear" w:color="auto" w:fill="auto"/>
            <w:noWrap/>
            <w:vAlign w:val="bottom"/>
            <w:hideMark/>
          </w:tcPr>
          <w:p w14:paraId="6C8169D1" w14:textId="77777777"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(11,898)</w:t>
            </w:r>
          </w:p>
        </w:tc>
        <w:tc>
          <w:tcPr>
            <w:tcW w:w="880" w:type="dxa"/>
            <w:tcBorders>
              <w:top w:val="nil"/>
              <w:left w:val="nil"/>
              <w:bottom w:val="single" w:sz="4" w:space="0" w:color="000000"/>
              <w:right w:val="nil"/>
            </w:tcBorders>
            <w:shd w:val="clear" w:color="auto" w:fill="auto"/>
            <w:noWrap/>
            <w:vAlign w:val="bottom"/>
            <w:hideMark/>
          </w:tcPr>
          <w:p w14:paraId="3BC560E0" w14:textId="08777C05"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w:t>
            </w:r>
          </w:p>
        </w:tc>
        <w:tc>
          <w:tcPr>
            <w:tcW w:w="922" w:type="dxa"/>
            <w:tcBorders>
              <w:top w:val="nil"/>
              <w:left w:val="nil"/>
              <w:bottom w:val="single" w:sz="4" w:space="0" w:color="000000"/>
              <w:right w:val="nil"/>
            </w:tcBorders>
            <w:shd w:val="clear" w:color="auto" w:fill="auto"/>
            <w:noWrap/>
            <w:vAlign w:val="bottom"/>
            <w:hideMark/>
          </w:tcPr>
          <w:p w14:paraId="1E224539" w14:textId="6ADD9339"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w:t>
            </w:r>
          </w:p>
        </w:tc>
        <w:tc>
          <w:tcPr>
            <w:tcW w:w="748" w:type="dxa"/>
            <w:tcBorders>
              <w:top w:val="nil"/>
              <w:left w:val="nil"/>
              <w:bottom w:val="single" w:sz="4" w:space="0" w:color="000000"/>
              <w:right w:val="nil"/>
            </w:tcBorders>
            <w:shd w:val="clear" w:color="auto" w:fill="auto"/>
            <w:noWrap/>
            <w:vAlign w:val="bottom"/>
            <w:hideMark/>
          </w:tcPr>
          <w:p w14:paraId="23C65900" w14:textId="77777777"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(11,898)</w:t>
            </w:r>
          </w:p>
        </w:tc>
      </w:tr>
      <w:tr w:rsidR="0014555F" w:rsidRPr="009E4A14" w14:paraId="0329AA31" w14:textId="77777777" w:rsidTr="004D26B5">
        <w:trPr>
          <w:trHeight w:val="204"/>
        </w:trPr>
        <w:tc>
          <w:tcPr>
            <w:tcW w:w="3149" w:type="dxa"/>
            <w:tcBorders>
              <w:top w:val="nil"/>
              <w:left w:val="nil"/>
              <w:bottom w:val="nil"/>
              <w:right w:val="nil"/>
            </w:tcBorders>
            <w:shd w:val="clear" w:color="auto" w:fill="auto"/>
            <w:vAlign w:val="center"/>
            <w:hideMark/>
          </w:tcPr>
          <w:p w14:paraId="42179B74" w14:textId="77777777" w:rsidR="0014555F" w:rsidRPr="00BE1DA8" w:rsidRDefault="0014555F" w:rsidP="0014555F">
            <w:pPr>
              <w:spacing w:after="0" w:line="240" w:lineRule="auto"/>
              <w:jc w:val="left"/>
              <w:rPr>
                <w:rFonts w:ascii="Arial" w:hAnsi="Arial" w:cs="Arial"/>
                <w:b/>
                <w:bCs/>
                <w:iCs/>
                <w:color w:val="000000"/>
                <w:sz w:val="16"/>
                <w:szCs w:val="16"/>
              </w:rPr>
            </w:pPr>
            <w:r w:rsidRPr="00BE1DA8">
              <w:rPr>
                <w:rFonts w:ascii="Arial" w:hAnsi="Arial" w:cs="Arial"/>
                <w:b/>
                <w:bCs/>
                <w:iCs/>
                <w:color w:val="000000"/>
                <w:sz w:val="16"/>
                <w:szCs w:val="16"/>
              </w:rPr>
              <w:t>Total comprehensive income</w:t>
            </w:r>
          </w:p>
        </w:tc>
        <w:tc>
          <w:tcPr>
            <w:tcW w:w="781" w:type="dxa"/>
            <w:tcBorders>
              <w:top w:val="single" w:sz="4" w:space="0" w:color="000000"/>
              <w:left w:val="nil"/>
              <w:bottom w:val="single" w:sz="4" w:space="0" w:color="auto"/>
              <w:right w:val="nil"/>
            </w:tcBorders>
            <w:shd w:val="clear" w:color="auto" w:fill="auto"/>
            <w:noWrap/>
            <w:vAlign w:val="bottom"/>
            <w:hideMark/>
          </w:tcPr>
          <w:p w14:paraId="1EB38A15" w14:textId="77777777"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(11,898)</w:t>
            </w:r>
          </w:p>
        </w:tc>
        <w:tc>
          <w:tcPr>
            <w:tcW w:w="880" w:type="dxa"/>
            <w:tcBorders>
              <w:top w:val="single" w:sz="4" w:space="0" w:color="000000"/>
              <w:left w:val="nil"/>
              <w:bottom w:val="single" w:sz="4" w:space="0" w:color="auto"/>
              <w:right w:val="nil"/>
            </w:tcBorders>
            <w:shd w:val="clear" w:color="auto" w:fill="auto"/>
            <w:noWrap/>
            <w:vAlign w:val="bottom"/>
            <w:hideMark/>
          </w:tcPr>
          <w:p w14:paraId="68C51268" w14:textId="5165CF84"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w:t>
            </w:r>
          </w:p>
        </w:tc>
        <w:tc>
          <w:tcPr>
            <w:tcW w:w="922" w:type="dxa"/>
            <w:tcBorders>
              <w:top w:val="single" w:sz="4" w:space="0" w:color="000000"/>
              <w:left w:val="nil"/>
              <w:bottom w:val="single" w:sz="4" w:space="0" w:color="auto"/>
              <w:right w:val="nil"/>
            </w:tcBorders>
            <w:shd w:val="clear" w:color="auto" w:fill="auto"/>
            <w:noWrap/>
            <w:vAlign w:val="bottom"/>
            <w:hideMark/>
          </w:tcPr>
          <w:p w14:paraId="6B600442" w14:textId="49D6E4AD"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w:t>
            </w:r>
          </w:p>
        </w:tc>
        <w:tc>
          <w:tcPr>
            <w:tcW w:w="748" w:type="dxa"/>
            <w:tcBorders>
              <w:top w:val="single" w:sz="4" w:space="0" w:color="000000"/>
              <w:left w:val="nil"/>
              <w:bottom w:val="single" w:sz="4" w:space="0" w:color="auto"/>
              <w:right w:val="nil"/>
            </w:tcBorders>
            <w:shd w:val="clear" w:color="auto" w:fill="auto"/>
            <w:noWrap/>
            <w:vAlign w:val="bottom"/>
            <w:hideMark/>
          </w:tcPr>
          <w:p w14:paraId="5D904811" w14:textId="77777777"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(11,898)</w:t>
            </w:r>
          </w:p>
        </w:tc>
      </w:tr>
      <w:tr w:rsidR="0014555F" w:rsidRPr="009E4A14" w14:paraId="5FA0D8B9" w14:textId="77777777" w:rsidTr="004D26B5">
        <w:trPr>
          <w:trHeight w:val="204"/>
        </w:trPr>
        <w:tc>
          <w:tcPr>
            <w:tcW w:w="3149" w:type="dxa"/>
            <w:tcBorders>
              <w:top w:val="nil"/>
              <w:left w:val="nil"/>
              <w:bottom w:val="nil"/>
              <w:right w:val="nil"/>
            </w:tcBorders>
            <w:shd w:val="clear" w:color="auto" w:fill="auto"/>
            <w:noWrap/>
            <w:vAlign w:val="center"/>
            <w:hideMark/>
          </w:tcPr>
          <w:p w14:paraId="7072D07F" w14:textId="77777777" w:rsidR="0014555F" w:rsidRPr="00BE1DA8" w:rsidRDefault="0014555F" w:rsidP="0014555F">
            <w:pPr>
              <w:spacing w:after="0" w:line="240" w:lineRule="auto"/>
              <w:jc w:val="left"/>
              <w:rPr>
                <w:rFonts w:ascii="Arial" w:hAnsi="Arial" w:cs="Arial"/>
                <w:b/>
                <w:bCs/>
                <w:color w:val="000000"/>
                <w:sz w:val="16"/>
                <w:szCs w:val="16"/>
              </w:rPr>
            </w:pPr>
            <w:r w:rsidRPr="00BE1DA8">
              <w:rPr>
                <w:rFonts w:ascii="Arial" w:hAnsi="Arial" w:cs="Arial"/>
                <w:b/>
                <w:bCs/>
                <w:color w:val="000000"/>
                <w:sz w:val="16"/>
                <w:szCs w:val="16"/>
              </w:rPr>
              <w:t>Transactions with owners</w:t>
            </w:r>
          </w:p>
        </w:tc>
        <w:tc>
          <w:tcPr>
            <w:tcW w:w="781" w:type="dxa"/>
            <w:tcBorders>
              <w:top w:val="single" w:sz="4" w:space="0" w:color="auto"/>
              <w:left w:val="nil"/>
              <w:bottom w:val="nil"/>
              <w:right w:val="nil"/>
            </w:tcBorders>
            <w:shd w:val="clear" w:color="auto" w:fill="auto"/>
            <w:noWrap/>
            <w:vAlign w:val="bottom"/>
            <w:hideMark/>
          </w:tcPr>
          <w:p w14:paraId="7FB588E7" w14:textId="77777777" w:rsidR="0014555F" w:rsidRPr="00BE1DA8" w:rsidRDefault="0014555F" w:rsidP="00AA1477">
            <w:pPr>
              <w:spacing w:after="0" w:line="240" w:lineRule="auto"/>
              <w:jc w:val="right"/>
              <w:rPr>
                <w:rFonts w:ascii="Arial" w:hAnsi="Arial" w:cs="Arial"/>
                <w:b/>
                <w:bCs/>
                <w:color w:val="000000"/>
                <w:sz w:val="16"/>
                <w:szCs w:val="16"/>
              </w:rPr>
            </w:pPr>
          </w:p>
        </w:tc>
        <w:tc>
          <w:tcPr>
            <w:tcW w:w="880" w:type="dxa"/>
            <w:tcBorders>
              <w:top w:val="single" w:sz="4" w:space="0" w:color="auto"/>
              <w:left w:val="nil"/>
              <w:bottom w:val="nil"/>
              <w:right w:val="nil"/>
            </w:tcBorders>
            <w:shd w:val="clear" w:color="auto" w:fill="auto"/>
            <w:noWrap/>
            <w:vAlign w:val="bottom"/>
            <w:hideMark/>
          </w:tcPr>
          <w:p w14:paraId="725204EB" w14:textId="77777777" w:rsidR="0014555F" w:rsidRPr="00BE1DA8" w:rsidRDefault="0014555F" w:rsidP="00AA1477">
            <w:pPr>
              <w:spacing w:after="0" w:line="240" w:lineRule="auto"/>
              <w:jc w:val="right"/>
              <w:rPr>
                <w:rFonts w:ascii="Arial" w:hAnsi="Arial" w:cs="Arial"/>
                <w:sz w:val="16"/>
                <w:szCs w:val="16"/>
              </w:rPr>
            </w:pPr>
          </w:p>
        </w:tc>
        <w:tc>
          <w:tcPr>
            <w:tcW w:w="922" w:type="dxa"/>
            <w:tcBorders>
              <w:top w:val="single" w:sz="4" w:space="0" w:color="auto"/>
              <w:left w:val="nil"/>
              <w:bottom w:val="nil"/>
              <w:right w:val="nil"/>
            </w:tcBorders>
            <w:shd w:val="clear" w:color="auto" w:fill="auto"/>
            <w:noWrap/>
            <w:vAlign w:val="bottom"/>
            <w:hideMark/>
          </w:tcPr>
          <w:p w14:paraId="4F93A714" w14:textId="77777777" w:rsidR="0014555F" w:rsidRPr="00BE1DA8" w:rsidRDefault="0014555F" w:rsidP="00AA1477">
            <w:pPr>
              <w:spacing w:after="0" w:line="240" w:lineRule="auto"/>
              <w:jc w:val="right"/>
              <w:rPr>
                <w:rFonts w:ascii="Arial" w:hAnsi="Arial" w:cs="Arial"/>
                <w:sz w:val="16"/>
                <w:szCs w:val="16"/>
              </w:rPr>
            </w:pPr>
          </w:p>
        </w:tc>
        <w:tc>
          <w:tcPr>
            <w:tcW w:w="748" w:type="dxa"/>
            <w:tcBorders>
              <w:top w:val="single" w:sz="4" w:space="0" w:color="auto"/>
              <w:left w:val="nil"/>
              <w:bottom w:val="nil"/>
              <w:right w:val="nil"/>
            </w:tcBorders>
            <w:shd w:val="clear" w:color="auto" w:fill="auto"/>
            <w:noWrap/>
            <w:vAlign w:val="bottom"/>
            <w:hideMark/>
          </w:tcPr>
          <w:p w14:paraId="6E7D7FE8" w14:textId="77777777" w:rsidR="0014555F" w:rsidRPr="00BE1DA8" w:rsidRDefault="0014555F" w:rsidP="00AA1477">
            <w:pPr>
              <w:spacing w:after="0" w:line="240" w:lineRule="auto"/>
              <w:jc w:val="right"/>
              <w:rPr>
                <w:rFonts w:ascii="Arial" w:hAnsi="Arial" w:cs="Arial"/>
                <w:sz w:val="16"/>
                <w:szCs w:val="16"/>
              </w:rPr>
            </w:pPr>
          </w:p>
        </w:tc>
      </w:tr>
      <w:tr w:rsidR="0014555F" w:rsidRPr="009E4A14" w14:paraId="1A2574A2" w14:textId="77777777" w:rsidTr="009E4A14">
        <w:trPr>
          <w:trHeight w:val="204"/>
        </w:trPr>
        <w:tc>
          <w:tcPr>
            <w:tcW w:w="3149" w:type="dxa"/>
            <w:tcBorders>
              <w:top w:val="nil"/>
              <w:left w:val="nil"/>
              <w:bottom w:val="nil"/>
              <w:right w:val="nil"/>
            </w:tcBorders>
            <w:shd w:val="clear" w:color="auto" w:fill="auto"/>
            <w:noWrap/>
            <w:vAlign w:val="center"/>
            <w:hideMark/>
          </w:tcPr>
          <w:p w14:paraId="38A70B59" w14:textId="77777777" w:rsidR="0014555F" w:rsidRPr="00BE1DA8" w:rsidRDefault="0014555F" w:rsidP="0014555F">
            <w:pPr>
              <w:spacing w:after="0" w:line="240" w:lineRule="auto"/>
              <w:jc w:val="left"/>
              <w:rPr>
                <w:rFonts w:ascii="Arial" w:hAnsi="Arial" w:cs="Arial"/>
                <w:b/>
                <w:bCs/>
                <w:iCs/>
                <w:color w:val="000000"/>
                <w:sz w:val="16"/>
                <w:szCs w:val="16"/>
              </w:rPr>
            </w:pPr>
            <w:r w:rsidRPr="00BE1DA8">
              <w:rPr>
                <w:rFonts w:ascii="Arial" w:hAnsi="Arial" w:cs="Arial"/>
                <w:b/>
                <w:bCs/>
                <w:iCs/>
                <w:color w:val="000000"/>
                <w:sz w:val="16"/>
                <w:szCs w:val="16"/>
              </w:rPr>
              <w:t>Contributions by owners</w:t>
            </w:r>
          </w:p>
        </w:tc>
        <w:tc>
          <w:tcPr>
            <w:tcW w:w="781" w:type="dxa"/>
            <w:tcBorders>
              <w:top w:val="nil"/>
              <w:left w:val="nil"/>
              <w:bottom w:val="nil"/>
              <w:right w:val="nil"/>
            </w:tcBorders>
            <w:shd w:val="clear" w:color="auto" w:fill="auto"/>
            <w:noWrap/>
            <w:vAlign w:val="bottom"/>
            <w:hideMark/>
          </w:tcPr>
          <w:p w14:paraId="7B6B1C83" w14:textId="77777777" w:rsidR="0014555F" w:rsidRPr="00BE1DA8" w:rsidRDefault="0014555F" w:rsidP="00AA1477">
            <w:pPr>
              <w:spacing w:after="0" w:line="240" w:lineRule="auto"/>
              <w:jc w:val="right"/>
              <w:rPr>
                <w:rFonts w:ascii="Arial" w:hAnsi="Arial" w:cs="Arial"/>
                <w:b/>
                <w:bCs/>
                <w:iCs/>
                <w:color w:val="000000"/>
                <w:sz w:val="16"/>
                <w:szCs w:val="16"/>
              </w:rPr>
            </w:pPr>
          </w:p>
        </w:tc>
        <w:tc>
          <w:tcPr>
            <w:tcW w:w="880" w:type="dxa"/>
            <w:tcBorders>
              <w:top w:val="nil"/>
              <w:left w:val="nil"/>
              <w:bottom w:val="nil"/>
              <w:right w:val="nil"/>
            </w:tcBorders>
            <w:shd w:val="clear" w:color="auto" w:fill="auto"/>
            <w:noWrap/>
            <w:vAlign w:val="bottom"/>
            <w:hideMark/>
          </w:tcPr>
          <w:p w14:paraId="5731BCDB" w14:textId="77777777" w:rsidR="0014555F" w:rsidRPr="00BE1DA8" w:rsidRDefault="0014555F" w:rsidP="00AA1477">
            <w:pPr>
              <w:spacing w:after="0" w:line="240" w:lineRule="auto"/>
              <w:jc w:val="right"/>
              <w:rPr>
                <w:rFonts w:ascii="Arial" w:hAnsi="Arial" w:cs="Arial"/>
                <w:sz w:val="16"/>
                <w:szCs w:val="16"/>
              </w:rPr>
            </w:pPr>
          </w:p>
        </w:tc>
        <w:tc>
          <w:tcPr>
            <w:tcW w:w="922" w:type="dxa"/>
            <w:tcBorders>
              <w:top w:val="nil"/>
              <w:left w:val="nil"/>
              <w:bottom w:val="nil"/>
              <w:right w:val="nil"/>
            </w:tcBorders>
            <w:shd w:val="clear" w:color="auto" w:fill="auto"/>
            <w:noWrap/>
            <w:vAlign w:val="bottom"/>
            <w:hideMark/>
          </w:tcPr>
          <w:p w14:paraId="2A2713B9" w14:textId="77777777" w:rsidR="0014555F" w:rsidRPr="00BE1DA8" w:rsidRDefault="0014555F" w:rsidP="00AA1477">
            <w:pPr>
              <w:spacing w:after="0" w:line="240" w:lineRule="auto"/>
              <w:jc w:val="right"/>
              <w:rPr>
                <w:rFonts w:ascii="Arial" w:hAnsi="Arial" w:cs="Arial"/>
                <w:sz w:val="16"/>
                <w:szCs w:val="16"/>
              </w:rPr>
            </w:pPr>
          </w:p>
        </w:tc>
        <w:tc>
          <w:tcPr>
            <w:tcW w:w="748" w:type="dxa"/>
            <w:tcBorders>
              <w:top w:val="nil"/>
              <w:left w:val="nil"/>
              <w:bottom w:val="nil"/>
              <w:right w:val="nil"/>
            </w:tcBorders>
            <w:shd w:val="clear" w:color="auto" w:fill="auto"/>
            <w:noWrap/>
            <w:vAlign w:val="bottom"/>
            <w:hideMark/>
          </w:tcPr>
          <w:p w14:paraId="382C64D8" w14:textId="77777777" w:rsidR="0014555F" w:rsidRPr="00BE1DA8" w:rsidRDefault="0014555F" w:rsidP="00AA1477">
            <w:pPr>
              <w:spacing w:after="0" w:line="240" w:lineRule="auto"/>
              <w:jc w:val="right"/>
              <w:rPr>
                <w:rFonts w:ascii="Arial" w:hAnsi="Arial" w:cs="Arial"/>
                <w:sz w:val="16"/>
                <w:szCs w:val="16"/>
              </w:rPr>
            </w:pPr>
          </w:p>
        </w:tc>
      </w:tr>
      <w:tr w:rsidR="0014555F" w:rsidRPr="009E4A14" w14:paraId="26EE9B19" w14:textId="77777777" w:rsidTr="009E4A14">
        <w:trPr>
          <w:trHeight w:val="204"/>
        </w:trPr>
        <w:tc>
          <w:tcPr>
            <w:tcW w:w="3149" w:type="dxa"/>
            <w:tcBorders>
              <w:top w:val="nil"/>
              <w:left w:val="nil"/>
              <w:bottom w:val="nil"/>
              <w:right w:val="nil"/>
            </w:tcBorders>
            <w:shd w:val="clear" w:color="auto" w:fill="auto"/>
            <w:noWrap/>
            <w:vAlign w:val="center"/>
            <w:hideMark/>
          </w:tcPr>
          <w:p w14:paraId="29F82D3D" w14:textId="5C629812" w:rsidR="0014555F" w:rsidRPr="00BE1DA8" w:rsidRDefault="008863D9" w:rsidP="009E4A14">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0014555F" w:rsidRPr="00BE1DA8">
              <w:rPr>
                <w:rFonts w:ascii="Arial" w:hAnsi="Arial" w:cs="Arial"/>
                <w:color w:val="000000"/>
                <w:sz w:val="16"/>
                <w:szCs w:val="16"/>
              </w:rPr>
              <w:t>al Capital Budget (DCB)</w:t>
            </w:r>
          </w:p>
        </w:tc>
        <w:tc>
          <w:tcPr>
            <w:tcW w:w="781" w:type="dxa"/>
            <w:tcBorders>
              <w:top w:val="nil"/>
              <w:left w:val="nil"/>
              <w:bottom w:val="nil"/>
              <w:right w:val="nil"/>
            </w:tcBorders>
            <w:shd w:val="clear" w:color="auto" w:fill="auto"/>
            <w:noWrap/>
            <w:vAlign w:val="bottom"/>
            <w:hideMark/>
          </w:tcPr>
          <w:p w14:paraId="30EC5474" w14:textId="540FA600"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7570B111" w14:textId="77603014"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w:t>
            </w:r>
          </w:p>
        </w:tc>
        <w:tc>
          <w:tcPr>
            <w:tcW w:w="922" w:type="dxa"/>
            <w:tcBorders>
              <w:top w:val="nil"/>
              <w:left w:val="nil"/>
              <w:bottom w:val="nil"/>
              <w:right w:val="nil"/>
            </w:tcBorders>
            <w:shd w:val="clear" w:color="auto" w:fill="auto"/>
            <w:noWrap/>
            <w:vAlign w:val="bottom"/>
            <w:hideMark/>
          </w:tcPr>
          <w:p w14:paraId="7F45CB96" w14:textId="4021668D"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15,788</w:t>
            </w:r>
          </w:p>
        </w:tc>
        <w:tc>
          <w:tcPr>
            <w:tcW w:w="748" w:type="dxa"/>
            <w:tcBorders>
              <w:top w:val="nil"/>
              <w:left w:val="nil"/>
              <w:bottom w:val="nil"/>
              <w:right w:val="nil"/>
            </w:tcBorders>
            <w:shd w:val="clear" w:color="auto" w:fill="auto"/>
            <w:noWrap/>
            <w:vAlign w:val="bottom"/>
            <w:hideMark/>
          </w:tcPr>
          <w:p w14:paraId="33A047C8" w14:textId="5C680FA7" w:rsidR="0014555F" w:rsidRPr="00BE1DA8" w:rsidRDefault="0014555F" w:rsidP="00AA1477">
            <w:pPr>
              <w:spacing w:after="0" w:line="240" w:lineRule="auto"/>
              <w:jc w:val="right"/>
              <w:rPr>
                <w:rFonts w:ascii="Arial" w:hAnsi="Arial" w:cs="Arial"/>
                <w:color w:val="000000"/>
                <w:sz w:val="16"/>
                <w:szCs w:val="16"/>
              </w:rPr>
            </w:pPr>
            <w:r w:rsidRPr="00BE1DA8">
              <w:rPr>
                <w:rFonts w:ascii="Arial" w:hAnsi="Arial" w:cs="Arial"/>
                <w:color w:val="000000"/>
                <w:sz w:val="16"/>
                <w:szCs w:val="16"/>
              </w:rPr>
              <w:t>15,788</w:t>
            </w:r>
          </w:p>
        </w:tc>
      </w:tr>
      <w:tr w:rsidR="0014555F" w:rsidRPr="009E4A14" w14:paraId="7D7A94DA" w14:textId="77777777" w:rsidTr="009E4A14">
        <w:trPr>
          <w:trHeight w:val="204"/>
        </w:trPr>
        <w:tc>
          <w:tcPr>
            <w:tcW w:w="3149" w:type="dxa"/>
            <w:tcBorders>
              <w:top w:val="nil"/>
              <w:left w:val="nil"/>
              <w:bottom w:val="nil"/>
              <w:right w:val="nil"/>
            </w:tcBorders>
            <w:shd w:val="clear" w:color="auto" w:fill="auto"/>
            <w:vAlign w:val="center"/>
            <w:hideMark/>
          </w:tcPr>
          <w:p w14:paraId="2AC0E6F3" w14:textId="77777777" w:rsidR="0014555F" w:rsidRPr="00BE1DA8" w:rsidRDefault="0014555F" w:rsidP="0014555F">
            <w:pPr>
              <w:spacing w:after="0" w:line="240" w:lineRule="auto"/>
              <w:jc w:val="left"/>
              <w:rPr>
                <w:rFonts w:ascii="Arial" w:hAnsi="Arial" w:cs="Arial"/>
                <w:b/>
                <w:bCs/>
                <w:iCs/>
                <w:color w:val="000000"/>
                <w:sz w:val="16"/>
                <w:szCs w:val="16"/>
              </w:rPr>
            </w:pPr>
            <w:r w:rsidRPr="00BE1DA8">
              <w:rPr>
                <w:rFonts w:ascii="Arial" w:hAnsi="Arial" w:cs="Arial"/>
                <w:b/>
                <w:bCs/>
                <w:iCs/>
                <w:color w:val="000000"/>
                <w:sz w:val="16"/>
                <w:szCs w:val="16"/>
              </w:rPr>
              <w:t>Sub-total transactions with owners</w:t>
            </w:r>
          </w:p>
        </w:tc>
        <w:tc>
          <w:tcPr>
            <w:tcW w:w="781" w:type="dxa"/>
            <w:tcBorders>
              <w:top w:val="single" w:sz="4" w:space="0" w:color="000000"/>
              <w:left w:val="nil"/>
              <w:bottom w:val="single" w:sz="4" w:space="0" w:color="000000"/>
              <w:right w:val="nil"/>
            </w:tcBorders>
            <w:shd w:val="clear" w:color="auto" w:fill="auto"/>
            <w:noWrap/>
            <w:vAlign w:val="bottom"/>
            <w:hideMark/>
          </w:tcPr>
          <w:p w14:paraId="4568BC16" w14:textId="1F2D711B"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w:t>
            </w:r>
          </w:p>
        </w:tc>
        <w:tc>
          <w:tcPr>
            <w:tcW w:w="880" w:type="dxa"/>
            <w:tcBorders>
              <w:top w:val="single" w:sz="4" w:space="0" w:color="000000"/>
              <w:left w:val="nil"/>
              <w:bottom w:val="single" w:sz="4" w:space="0" w:color="000000"/>
              <w:right w:val="nil"/>
            </w:tcBorders>
            <w:shd w:val="clear" w:color="auto" w:fill="auto"/>
            <w:noWrap/>
            <w:vAlign w:val="bottom"/>
            <w:hideMark/>
          </w:tcPr>
          <w:p w14:paraId="5E048097" w14:textId="2D58E0D1"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w:t>
            </w:r>
          </w:p>
        </w:tc>
        <w:tc>
          <w:tcPr>
            <w:tcW w:w="922" w:type="dxa"/>
            <w:tcBorders>
              <w:top w:val="single" w:sz="4" w:space="0" w:color="000000"/>
              <w:left w:val="nil"/>
              <w:bottom w:val="single" w:sz="4" w:space="0" w:color="000000"/>
              <w:right w:val="nil"/>
            </w:tcBorders>
            <w:shd w:val="clear" w:color="auto" w:fill="auto"/>
            <w:noWrap/>
            <w:vAlign w:val="bottom"/>
            <w:hideMark/>
          </w:tcPr>
          <w:p w14:paraId="6DC61092" w14:textId="45B57AC2"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15,788</w:t>
            </w:r>
          </w:p>
        </w:tc>
        <w:tc>
          <w:tcPr>
            <w:tcW w:w="748" w:type="dxa"/>
            <w:tcBorders>
              <w:top w:val="single" w:sz="4" w:space="0" w:color="000000"/>
              <w:left w:val="nil"/>
              <w:bottom w:val="single" w:sz="4" w:space="0" w:color="000000"/>
              <w:right w:val="nil"/>
            </w:tcBorders>
            <w:shd w:val="clear" w:color="auto" w:fill="auto"/>
            <w:noWrap/>
            <w:vAlign w:val="bottom"/>
            <w:hideMark/>
          </w:tcPr>
          <w:p w14:paraId="6276AA92" w14:textId="5E332D3B" w:rsidR="0014555F" w:rsidRPr="00BE1DA8" w:rsidRDefault="0014555F" w:rsidP="00AA1477">
            <w:pPr>
              <w:spacing w:after="0" w:line="240" w:lineRule="auto"/>
              <w:jc w:val="right"/>
              <w:rPr>
                <w:rFonts w:ascii="Arial" w:hAnsi="Arial" w:cs="Arial"/>
                <w:b/>
                <w:bCs/>
                <w:iCs/>
                <w:color w:val="000000"/>
                <w:sz w:val="16"/>
                <w:szCs w:val="16"/>
              </w:rPr>
            </w:pPr>
            <w:r w:rsidRPr="00BE1DA8">
              <w:rPr>
                <w:rFonts w:ascii="Arial" w:hAnsi="Arial" w:cs="Arial"/>
                <w:b/>
                <w:bCs/>
                <w:iCs/>
                <w:color w:val="000000"/>
                <w:sz w:val="16"/>
                <w:szCs w:val="16"/>
              </w:rPr>
              <w:t>15,788</w:t>
            </w:r>
          </w:p>
        </w:tc>
      </w:tr>
      <w:tr w:rsidR="0014555F" w:rsidRPr="009E4A14" w14:paraId="0656EA63" w14:textId="77777777" w:rsidTr="009E4A14">
        <w:trPr>
          <w:trHeight w:val="204"/>
        </w:trPr>
        <w:tc>
          <w:tcPr>
            <w:tcW w:w="3149" w:type="dxa"/>
            <w:tcBorders>
              <w:top w:val="nil"/>
              <w:left w:val="nil"/>
              <w:bottom w:val="single" w:sz="4" w:space="0" w:color="000000"/>
              <w:right w:val="nil"/>
            </w:tcBorders>
            <w:shd w:val="clear" w:color="auto" w:fill="auto"/>
            <w:vAlign w:val="center"/>
            <w:hideMark/>
          </w:tcPr>
          <w:p w14:paraId="62AD6C06" w14:textId="77777777" w:rsidR="0014555F" w:rsidRPr="00BE1DA8" w:rsidRDefault="0014555F" w:rsidP="0014555F">
            <w:pPr>
              <w:spacing w:after="0" w:line="240" w:lineRule="auto"/>
              <w:jc w:val="left"/>
              <w:rPr>
                <w:rFonts w:ascii="Arial" w:hAnsi="Arial" w:cs="Arial"/>
                <w:b/>
                <w:bCs/>
                <w:color w:val="000000"/>
                <w:sz w:val="16"/>
                <w:szCs w:val="16"/>
              </w:rPr>
            </w:pPr>
            <w:r w:rsidRPr="00BE1DA8">
              <w:rPr>
                <w:rFonts w:ascii="Arial" w:hAnsi="Arial" w:cs="Arial"/>
                <w:b/>
                <w:bCs/>
                <w:color w:val="000000"/>
                <w:sz w:val="16"/>
                <w:szCs w:val="16"/>
              </w:rPr>
              <w:t>Closing balance attributable to the Australian Government</w:t>
            </w:r>
          </w:p>
        </w:tc>
        <w:tc>
          <w:tcPr>
            <w:tcW w:w="781" w:type="dxa"/>
            <w:tcBorders>
              <w:top w:val="nil"/>
              <w:left w:val="nil"/>
              <w:bottom w:val="single" w:sz="4" w:space="0" w:color="auto"/>
              <w:right w:val="nil"/>
            </w:tcBorders>
            <w:shd w:val="clear" w:color="auto" w:fill="auto"/>
            <w:noWrap/>
            <w:vAlign w:val="bottom"/>
            <w:hideMark/>
          </w:tcPr>
          <w:p w14:paraId="321613B2" w14:textId="77777777" w:rsidR="0014555F" w:rsidRPr="00BE1DA8" w:rsidRDefault="0014555F" w:rsidP="00AA1477">
            <w:pPr>
              <w:spacing w:after="0" w:line="240" w:lineRule="auto"/>
              <w:jc w:val="right"/>
              <w:rPr>
                <w:rFonts w:ascii="Arial" w:hAnsi="Arial" w:cs="Arial"/>
                <w:b/>
                <w:bCs/>
                <w:color w:val="000000"/>
                <w:sz w:val="16"/>
                <w:szCs w:val="16"/>
              </w:rPr>
            </w:pPr>
            <w:r w:rsidRPr="00BE1DA8">
              <w:rPr>
                <w:rFonts w:ascii="Arial" w:hAnsi="Arial" w:cs="Arial"/>
                <w:b/>
                <w:bCs/>
                <w:color w:val="000000"/>
                <w:sz w:val="16"/>
                <w:szCs w:val="16"/>
              </w:rPr>
              <w:t>(116,593)</w:t>
            </w:r>
          </w:p>
        </w:tc>
        <w:tc>
          <w:tcPr>
            <w:tcW w:w="880" w:type="dxa"/>
            <w:tcBorders>
              <w:top w:val="nil"/>
              <w:left w:val="nil"/>
              <w:bottom w:val="single" w:sz="4" w:space="0" w:color="auto"/>
              <w:right w:val="nil"/>
            </w:tcBorders>
            <w:shd w:val="clear" w:color="auto" w:fill="auto"/>
            <w:noWrap/>
            <w:vAlign w:val="bottom"/>
            <w:hideMark/>
          </w:tcPr>
          <w:p w14:paraId="13FE74A0" w14:textId="6C5B1895" w:rsidR="0014555F" w:rsidRPr="00BE1DA8" w:rsidRDefault="0014555F" w:rsidP="00AA1477">
            <w:pPr>
              <w:spacing w:after="0" w:line="240" w:lineRule="auto"/>
              <w:jc w:val="right"/>
              <w:rPr>
                <w:rFonts w:ascii="Arial" w:hAnsi="Arial" w:cs="Arial"/>
                <w:b/>
                <w:bCs/>
                <w:color w:val="000000"/>
                <w:sz w:val="16"/>
                <w:szCs w:val="16"/>
              </w:rPr>
            </w:pPr>
            <w:r w:rsidRPr="00BE1DA8">
              <w:rPr>
                <w:rFonts w:ascii="Arial" w:hAnsi="Arial" w:cs="Arial"/>
                <w:b/>
                <w:bCs/>
                <w:color w:val="000000"/>
                <w:sz w:val="16"/>
                <w:szCs w:val="16"/>
              </w:rPr>
              <w:t>2,175</w:t>
            </w:r>
          </w:p>
        </w:tc>
        <w:tc>
          <w:tcPr>
            <w:tcW w:w="922" w:type="dxa"/>
            <w:tcBorders>
              <w:top w:val="nil"/>
              <w:left w:val="nil"/>
              <w:bottom w:val="single" w:sz="4" w:space="0" w:color="auto"/>
              <w:right w:val="nil"/>
            </w:tcBorders>
            <w:shd w:val="clear" w:color="auto" w:fill="auto"/>
            <w:noWrap/>
            <w:vAlign w:val="bottom"/>
            <w:hideMark/>
          </w:tcPr>
          <w:p w14:paraId="23CCD340" w14:textId="7DCAF866" w:rsidR="0014555F" w:rsidRPr="00BE1DA8" w:rsidRDefault="0014555F" w:rsidP="00AA1477">
            <w:pPr>
              <w:spacing w:after="0" w:line="240" w:lineRule="auto"/>
              <w:jc w:val="right"/>
              <w:rPr>
                <w:rFonts w:ascii="Arial" w:hAnsi="Arial" w:cs="Arial"/>
                <w:b/>
                <w:bCs/>
                <w:color w:val="000000"/>
                <w:sz w:val="16"/>
                <w:szCs w:val="16"/>
              </w:rPr>
            </w:pPr>
            <w:r w:rsidRPr="00BE1DA8">
              <w:rPr>
                <w:rFonts w:ascii="Arial" w:hAnsi="Arial" w:cs="Arial"/>
                <w:b/>
                <w:bCs/>
                <w:color w:val="000000"/>
                <w:sz w:val="16"/>
                <w:szCs w:val="16"/>
              </w:rPr>
              <w:t>157,488</w:t>
            </w:r>
          </w:p>
        </w:tc>
        <w:tc>
          <w:tcPr>
            <w:tcW w:w="748" w:type="dxa"/>
            <w:tcBorders>
              <w:top w:val="nil"/>
              <w:left w:val="nil"/>
              <w:bottom w:val="single" w:sz="4" w:space="0" w:color="auto"/>
              <w:right w:val="nil"/>
            </w:tcBorders>
            <w:shd w:val="clear" w:color="auto" w:fill="auto"/>
            <w:noWrap/>
            <w:vAlign w:val="bottom"/>
            <w:hideMark/>
          </w:tcPr>
          <w:p w14:paraId="03D10FC7" w14:textId="6EA84D06" w:rsidR="0014555F" w:rsidRPr="00BE1DA8" w:rsidRDefault="0014555F" w:rsidP="00AA1477">
            <w:pPr>
              <w:spacing w:after="0" w:line="240" w:lineRule="auto"/>
              <w:jc w:val="right"/>
              <w:rPr>
                <w:rFonts w:ascii="Arial" w:hAnsi="Arial" w:cs="Arial"/>
                <w:b/>
                <w:bCs/>
                <w:color w:val="000000"/>
                <w:sz w:val="16"/>
                <w:szCs w:val="16"/>
              </w:rPr>
            </w:pPr>
            <w:r w:rsidRPr="00BE1DA8">
              <w:rPr>
                <w:rFonts w:ascii="Arial" w:hAnsi="Arial" w:cs="Arial"/>
                <w:b/>
                <w:bCs/>
                <w:color w:val="000000"/>
                <w:sz w:val="16"/>
                <w:szCs w:val="16"/>
              </w:rPr>
              <w:t>43,070</w:t>
            </w:r>
          </w:p>
        </w:tc>
      </w:tr>
    </w:tbl>
    <w:p w14:paraId="2D79AD58" w14:textId="64CAE6BE" w:rsidR="00914885" w:rsidRDefault="0014555F" w:rsidP="00BE2136">
      <w:pPr>
        <w:spacing w:before="60" w:after="0" w:line="240" w:lineRule="auto"/>
        <w:jc w:val="left"/>
        <w:rPr>
          <w:rFonts w:ascii="Arial" w:hAnsi="Arial" w:cs="Arial"/>
          <w:sz w:val="16"/>
        </w:rPr>
      </w:pPr>
      <w:r w:rsidRPr="00D606C2">
        <w:rPr>
          <w:rFonts w:ascii="Arial" w:hAnsi="Arial" w:cs="Arial"/>
          <w:sz w:val="16"/>
        </w:rPr>
        <w:t>Prepared on Australian Accounting Standards basis</w:t>
      </w:r>
      <w:r w:rsidDel="0014555F">
        <w:rPr>
          <w:noProof/>
        </w:rPr>
        <w:t xml:space="preserve"> </w:t>
      </w:r>
    </w:p>
    <w:p w14:paraId="5702F757" w14:textId="77777777" w:rsidR="0014555F" w:rsidRDefault="0014555F" w:rsidP="00654324">
      <w:pPr>
        <w:spacing w:after="0" w:line="240" w:lineRule="auto"/>
      </w:pPr>
    </w:p>
    <w:p w14:paraId="7662C650" w14:textId="02AF9E3D" w:rsidR="00654324" w:rsidRPr="00D948BC" w:rsidRDefault="00654324" w:rsidP="00654324">
      <w:pPr>
        <w:spacing w:after="0" w:line="240" w:lineRule="auto"/>
      </w:pPr>
      <w:r>
        <w:br w:type="page"/>
      </w:r>
    </w:p>
    <w:p w14:paraId="51C3DE90" w14:textId="797E16AB" w:rsidR="00024FB3" w:rsidRDefault="00024FB3" w:rsidP="00024FB3">
      <w:pPr>
        <w:pStyle w:val="TableHeading"/>
      </w:pPr>
      <w:r>
        <w:lastRenderedPageBreak/>
        <w:t>Table 3.</w:t>
      </w:r>
      <w:r>
        <w:rPr>
          <w:lang w:val="en-US"/>
        </w:rPr>
        <w:t>5</w:t>
      </w:r>
      <w:r>
        <w:t xml:space="preserve">: </w:t>
      </w:r>
      <w:r w:rsidRPr="00D30CBA">
        <w:t xml:space="preserve">Budgeted </w:t>
      </w:r>
      <w:r w:rsidR="008863D9">
        <w:t>Department</w:t>
      </w:r>
      <w:r>
        <w:t xml:space="preserve">al statement of cash flows </w:t>
      </w:r>
      <w:r w:rsidRPr="00D30CBA">
        <w:t>(</w:t>
      </w:r>
      <w:r>
        <w:t>for the period ended</w:t>
      </w:r>
      <w:r w:rsidRPr="00D30CBA">
        <w:t xml:space="preserve"> 30 June)</w:t>
      </w:r>
    </w:p>
    <w:tbl>
      <w:tblPr>
        <w:tblW w:w="7519" w:type="dxa"/>
        <w:tblLook w:val="04A0" w:firstRow="1" w:lastRow="0" w:firstColumn="1" w:lastColumn="0" w:noHBand="0" w:noVBand="1"/>
      </w:tblPr>
      <w:tblGrid>
        <w:gridCol w:w="3119"/>
        <w:gridCol w:w="880"/>
        <w:gridCol w:w="880"/>
        <w:gridCol w:w="880"/>
        <w:gridCol w:w="880"/>
        <w:gridCol w:w="880"/>
      </w:tblGrid>
      <w:tr w:rsidR="0014555F" w:rsidRPr="004349E0" w14:paraId="38B7FCA2" w14:textId="77777777" w:rsidTr="009B0C30">
        <w:trPr>
          <w:trHeight w:val="218"/>
        </w:trPr>
        <w:tc>
          <w:tcPr>
            <w:tcW w:w="3119" w:type="dxa"/>
            <w:tcBorders>
              <w:top w:val="single" w:sz="4" w:space="0" w:color="auto"/>
              <w:left w:val="nil"/>
              <w:bottom w:val="nil"/>
              <w:right w:val="nil"/>
            </w:tcBorders>
            <w:shd w:val="clear" w:color="auto" w:fill="auto"/>
            <w:noWrap/>
            <w:hideMark/>
          </w:tcPr>
          <w:p w14:paraId="2875FE6D"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hideMark/>
          </w:tcPr>
          <w:p w14:paraId="51AE6A46" w14:textId="77777777" w:rsidR="0014555F" w:rsidRPr="004349E0" w:rsidRDefault="0014555F" w:rsidP="0014555F">
            <w:pPr>
              <w:spacing w:after="0" w:line="240" w:lineRule="auto"/>
              <w:jc w:val="right"/>
              <w:rPr>
                <w:rFonts w:ascii="Arial" w:hAnsi="Arial" w:cs="Arial"/>
                <w:sz w:val="16"/>
                <w:szCs w:val="16"/>
              </w:rPr>
            </w:pPr>
            <w:r w:rsidRPr="004349E0">
              <w:rPr>
                <w:rFonts w:ascii="Arial" w:hAnsi="Arial" w:cs="Arial"/>
                <w:sz w:val="16"/>
                <w:szCs w:val="16"/>
              </w:rPr>
              <w:t>2020-21 Actual</w:t>
            </w:r>
            <w:r w:rsidRPr="004349E0">
              <w:rPr>
                <w:rFonts w:ascii="Arial" w:hAnsi="Arial" w:cs="Arial"/>
                <w:sz w:val="16"/>
                <w:szCs w:val="16"/>
              </w:rPr>
              <w:br/>
            </w:r>
            <w:r w:rsidRPr="004349E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E6E6E6"/>
            <w:hideMark/>
          </w:tcPr>
          <w:p w14:paraId="2B2FCEA1" w14:textId="77777777" w:rsidR="0014555F" w:rsidRPr="004349E0" w:rsidRDefault="0014555F" w:rsidP="0014555F">
            <w:pPr>
              <w:spacing w:after="0" w:line="240" w:lineRule="auto"/>
              <w:jc w:val="right"/>
              <w:rPr>
                <w:rFonts w:ascii="Arial" w:hAnsi="Arial" w:cs="Arial"/>
                <w:sz w:val="16"/>
                <w:szCs w:val="16"/>
              </w:rPr>
            </w:pPr>
            <w:r w:rsidRPr="004349E0">
              <w:rPr>
                <w:rFonts w:ascii="Arial" w:hAnsi="Arial" w:cs="Arial"/>
                <w:sz w:val="16"/>
                <w:szCs w:val="16"/>
              </w:rPr>
              <w:t>2021-22</w:t>
            </w:r>
            <w:r w:rsidRPr="004349E0">
              <w:rPr>
                <w:rFonts w:ascii="Arial" w:hAnsi="Arial" w:cs="Arial"/>
                <w:sz w:val="16"/>
                <w:szCs w:val="16"/>
              </w:rPr>
              <w:br/>
              <w:t>Revised Budget</w:t>
            </w:r>
            <w:r w:rsidRPr="004349E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6416D01A" w14:textId="77777777" w:rsidR="0014555F" w:rsidRPr="004349E0" w:rsidRDefault="0014555F" w:rsidP="0014555F">
            <w:pPr>
              <w:spacing w:after="0" w:line="240" w:lineRule="auto"/>
              <w:jc w:val="right"/>
              <w:rPr>
                <w:rFonts w:ascii="Arial" w:hAnsi="Arial" w:cs="Arial"/>
                <w:sz w:val="16"/>
                <w:szCs w:val="16"/>
              </w:rPr>
            </w:pPr>
            <w:r w:rsidRPr="004349E0">
              <w:rPr>
                <w:rFonts w:ascii="Arial" w:hAnsi="Arial" w:cs="Arial"/>
                <w:sz w:val="16"/>
                <w:szCs w:val="16"/>
              </w:rPr>
              <w:t>2022-23 Forward estimate</w:t>
            </w:r>
            <w:r w:rsidRPr="004349E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5A3A5893" w14:textId="77777777" w:rsidR="0014555F" w:rsidRPr="004349E0" w:rsidRDefault="0014555F" w:rsidP="0014555F">
            <w:pPr>
              <w:spacing w:after="0" w:line="240" w:lineRule="auto"/>
              <w:jc w:val="right"/>
              <w:rPr>
                <w:rFonts w:ascii="Arial" w:hAnsi="Arial" w:cs="Arial"/>
                <w:sz w:val="16"/>
                <w:szCs w:val="16"/>
              </w:rPr>
            </w:pPr>
            <w:r w:rsidRPr="004349E0">
              <w:rPr>
                <w:rFonts w:ascii="Arial" w:hAnsi="Arial" w:cs="Arial"/>
                <w:sz w:val="16"/>
                <w:szCs w:val="16"/>
              </w:rPr>
              <w:t>2023-24 Forward estimate</w:t>
            </w:r>
            <w:r w:rsidRPr="004349E0">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0B64E529" w14:textId="77777777" w:rsidR="0014555F" w:rsidRPr="004349E0" w:rsidRDefault="0014555F" w:rsidP="0014555F">
            <w:pPr>
              <w:spacing w:after="0" w:line="240" w:lineRule="auto"/>
              <w:jc w:val="right"/>
              <w:rPr>
                <w:rFonts w:ascii="Arial" w:hAnsi="Arial" w:cs="Arial"/>
                <w:sz w:val="16"/>
                <w:szCs w:val="16"/>
              </w:rPr>
            </w:pPr>
            <w:r w:rsidRPr="004349E0">
              <w:rPr>
                <w:rFonts w:ascii="Arial" w:hAnsi="Arial" w:cs="Arial"/>
                <w:sz w:val="16"/>
                <w:szCs w:val="16"/>
              </w:rPr>
              <w:t>2024-25</w:t>
            </w:r>
            <w:r w:rsidRPr="004349E0">
              <w:rPr>
                <w:rFonts w:ascii="Arial" w:hAnsi="Arial" w:cs="Arial"/>
                <w:sz w:val="16"/>
                <w:szCs w:val="16"/>
              </w:rPr>
              <w:br/>
              <w:t>Forward estimate</w:t>
            </w:r>
            <w:r w:rsidRPr="004349E0">
              <w:rPr>
                <w:rFonts w:ascii="Arial" w:hAnsi="Arial" w:cs="Arial"/>
                <w:sz w:val="16"/>
                <w:szCs w:val="16"/>
              </w:rPr>
              <w:br/>
              <w:t>$'000</w:t>
            </w:r>
          </w:p>
        </w:tc>
      </w:tr>
      <w:tr w:rsidR="0014555F" w:rsidRPr="004349E0" w14:paraId="5A046E58" w14:textId="77777777" w:rsidTr="009B0C30">
        <w:trPr>
          <w:trHeight w:val="204"/>
        </w:trPr>
        <w:tc>
          <w:tcPr>
            <w:tcW w:w="3119" w:type="dxa"/>
            <w:tcBorders>
              <w:top w:val="nil"/>
              <w:left w:val="nil"/>
              <w:bottom w:val="nil"/>
              <w:right w:val="nil"/>
            </w:tcBorders>
            <w:shd w:val="clear" w:color="auto" w:fill="auto"/>
            <w:noWrap/>
            <w:vAlign w:val="center"/>
            <w:hideMark/>
          </w:tcPr>
          <w:p w14:paraId="0563A92C"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bottom"/>
            <w:hideMark/>
          </w:tcPr>
          <w:p w14:paraId="5B5DBA0D" w14:textId="77777777" w:rsidR="0014555F" w:rsidRPr="004349E0" w:rsidRDefault="0014555F" w:rsidP="00AA147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35B75FFC" w14:textId="0676443A"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6EA2987" w14:textId="77777777"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047F7DB" w14:textId="77777777" w:rsidR="0014555F" w:rsidRPr="004349E0" w:rsidRDefault="0014555F" w:rsidP="00AA147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13FC8845"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3F597B7C" w14:textId="77777777" w:rsidTr="009B0C30">
        <w:trPr>
          <w:trHeight w:val="204"/>
        </w:trPr>
        <w:tc>
          <w:tcPr>
            <w:tcW w:w="3119" w:type="dxa"/>
            <w:tcBorders>
              <w:top w:val="nil"/>
              <w:left w:val="nil"/>
              <w:bottom w:val="nil"/>
              <w:right w:val="nil"/>
            </w:tcBorders>
            <w:shd w:val="clear" w:color="auto" w:fill="auto"/>
            <w:noWrap/>
            <w:vAlign w:val="center"/>
            <w:hideMark/>
          </w:tcPr>
          <w:p w14:paraId="770A1768"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14:paraId="5930F122" w14:textId="77777777" w:rsidR="0014555F" w:rsidRPr="004349E0" w:rsidRDefault="0014555F" w:rsidP="00AA147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459F8509" w14:textId="02240F2F"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3BF8263" w14:textId="77777777"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4F9DAD2" w14:textId="77777777" w:rsidR="0014555F" w:rsidRPr="004349E0" w:rsidRDefault="0014555F" w:rsidP="00AA147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704C6F5F"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2AAECF56" w14:textId="77777777" w:rsidTr="009B0C30">
        <w:trPr>
          <w:trHeight w:val="204"/>
        </w:trPr>
        <w:tc>
          <w:tcPr>
            <w:tcW w:w="3119" w:type="dxa"/>
            <w:tcBorders>
              <w:top w:val="nil"/>
              <w:left w:val="nil"/>
              <w:bottom w:val="nil"/>
              <w:right w:val="nil"/>
            </w:tcBorders>
            <w:shd w:val="clear" w:color="auto" w:fill="auto"/>
            <w:noWrap/>
            <w:vAlign w:val="center"/>
            <w:hideMark/>
          </w:tcPr>
          <w:p w14:paraId="66E31425" w14:textId="77777777" w:rsidR="0014555F" w:rsidRPr="004349E0" w:rsidRDefault="0014555F" w:rsidP="00BD66D4">
            <w:pPr>
              <w:spacing w:after="0" w:line="240" w:lineRule="auto"/>
              <w:ind w:left="113"/>
              <w:jc w:val="left"/>
              <w:rPr>
                <w:rFonts w:ascii="Arial" w:hAnsi="Arial" w:cs="Arial"/>
                <w:color w:val="000000"/>
                <w:sz w:val="16"/>
                <w:szCs w:val="16"/>
              </w:rPr>
            </w:pPr>
            <w:r w:rsidRPr="004349E0">
              <w:rPr>
                <w:rFonts w:ascii="Arial" w:hAnsi="Arial" w:cs="Arial"/>
                <w:color w:val="000000"/>
                <w:sz w:val="16"/>
                <w:szCs w:val="16"/>
              </w:rPr>
              <w:t>Appropriations</w:t>
            </w:r>
          </w:p>
        </w:tc>
        <w:tc>
          <w:tcPr>
            <w:tcW w:w="880" w:type="dxa"/>
            <w:tcBorders>
              <w:top w:val="nil"/>
              <w:left w:val="nil"/>
              <w:bottom w:val="nil"/>
              <w:right w:val="nil"/>
            </w:tcBorders>
            <w:shd w:val="clear" w:color="auto" w:fill="auto"/>
            <w:noWrap/>
            <w:vAlign w:val="bottom"/>
            <w:hideMark/>
          </w:tcPr>
          <w:p w14:paraId="3088AFF3" w14:textId="3C6734B3"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101,413</w:t>
            </w:r>
          </w:p>
        </w:tc>
        <w:tc>
          <w:tcPr>
            <w:tcW w:w="880" w:type="dxa"/>
            <w:tcBorders>
              <w:top w:val="nil"/>
              <w:left w:val="nil"/>
              <w:bottom w:val="nil"/>
              <w:right w:val="nil"/>
            </w:tcBorders>
            <w:shd w:val="clear" w:color="auto" w:fill="E6E6E6"/>
            <w:noWrap/>
            <w:vAlign w:val="bottom"/>
            <w:hideMark/>
          </w:tcPr>
          <w:p w14:paraId="06D2D552" w14:textId="5E5D7A77"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121,382</w:t>
            </w:r>
          </w:p>
        </w:tc>
        <w:tc>
          <w:tcPr>
            <w:tcW w:w="880" w:type="dxa"/>
            <w:tcBorders>
              <w:top w:val="nil"/>
              <w:left w:val="nil"/>
              <w:bottom w:val="nil"/>
              <w:right w:val="nil"/>
            </w:tcBorders>
            <w:shd w:val="clear" w:color="auto" w:fill="auto"/>
            <w:noWrap/>
            <w:vAlign w:val="bottom"/>
            <w:hideMark/>
          </w:tcPr>
          <w:p w14:paraId="614E6EAC" w14:textId="433003FE"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123,343</w:t>
            </w:r>
          </w:p>
        </w:tc>
        <w:tc>
          <w:tcPr>
            <w:tcW w:w="880" w:type="dxa"/>
            <w:tcBorders>
              <w:top w:val="nil"/>
              <w:left w:val="nil"/>
              <w:bottom w:val="nil"/>
              <w:right w:val="nil"/>
            </w:tcBorders>
            <w:shd w:val="clear" w:color="auto" w:fill="auto"/>
            <w:noWrap/>
            <w:vAlign w:val="bottom"/>
            <w:hideMark/>
          </w:tcPr>
          <w:p w14:paraId="18F8AC0E" w14:textId="2415FC2B"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91,869</w:t>
            </w:r>
          </w:p>
        </w:tc>
        <w:tc>
          <w:tcPr>
            <w:tcW w:w="880" w:type="dxa"/>
            <w:tcBorders>
              <w:top w:val="nil"/>
              <w:left w:val="nil"/>
              <w:bottom w:val="nil"/>
              <w:right w:val="nil"/>
            </w:tcBorders>
            <w:shd w:val="clear" w:color="auto" w:fill="auto"/>
            <w:noWrap/>
            <w:vAlign w:val="bottom"/>
            <w:hideMark/>
          </w:tcPr>
          <w:p w14:paraId="16ED5A53" w14:textId="7A77CFBD"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91,785</w:t>
            </w:r>
          </w:p>
        </w:tc>
      </w:tr>
      <w:tr w:rsidR="0014555F" w:rsidRPr="004349E0" w14:paraId="468FA512" w14:textId="77777777" w:rsidTr="009B0C30">
        <w:trPr>
          <w:trHeight w:val="204"/>
        </w:trPr>
        <w:tc>
          <w:tcPr>
            <w:tcW w:w="3119" w:type="dxa"/>
            <w:tcBorders>
              <w:top w:val="nil"/>
              <w:left w:val="nil"/>
              <w:bottom w:val="nil"/>
              <w:right w:val="nil"/>
            </w:tcBorders>
            <w:shd w:val="clear" w:color="auto" w:fill="auto"/>
            <w:vAlign w:val="center"/>
            <w:hideMark/>
          </w:tcPr>
          <w:p w14:paraId="0F54DE07" w14:textId="6E17A041" w:rsidR="0014555F" w:rsidRPr="004349E0" w:rsidRDefault="0014555F" w:rsidP="004E6158">
            <w:pPr>
              <w:spacing w:after="0" w:line="240" w:lineRule="auto"/>
              <w:ind w:left="113"/>
              <w:jc w:val="left"/>
              <w:rPr>
                <w:rFonts w:ascii="Arial" w:hAnsi="Arial" w:cs="Arial"/>
                <w:color w:val="000000"/>
                <w:sz w:val="16"/>
                <w:szCs w:val="16"/>
              </w:rPr>
            </w:pPr>
            <w:r w:rsidRPr="004349E0">
              <w:rPr>
                <w:rFonts w:ascii="Arial" w:hAnsi="Arial" w:cs="Arial"/>
                <w:color w:val="000000"/>
                <w:sz w:val="16"/>
                <w:szCs w:val="16"/>
              </w:rPr>
              <w:t>Sale of goods and rendering of</w:t>
            </w:r>
            <w:r w:rsidR="004E6158" w:rsidRPr="004349E0">
              <w:rPr>
                <w:rFonts w:ascii="Arial" w:hAnsi="Arial" w:cs="Arial"/>
                <w:color w:val="000000"/>
                <w:sz w:val="16"/>
                <w:szCs w:val="16"/>
              </w:rPr>
              <w:t xml:space="preserve"> </w:t>
            </w:r>
            <w:r w:rsidRPr="004349E0">
              <w:rPr>
                <w:rFonts w:ascii="Arial" w:hAnsi="Arial" w:cs="Arial"/>
                <w:color w:val="000000"/>
                <w:sz w:val="16"/>
                <w:szCs w:val="16"/>
              </w:rPr>
              <w:t>services</w:t>
            </w:r>
          </w:p>
        </w:tc>
        <w:tc>
          <w:tcPr>
            <w:tcW w:w="880" w:type="dxa"/>
            <w:tcBorders>
              <w:top w:val="nil"/>
              <w:left w:val="nil"/>
              <w:bottom w:val="nil"/>
              <w:right w:val="nil"/>
            </w:tcBorders>
            <w:shd w:val="clear" w:color="auto" w:fill="auto"/>
            <w:noWrap/>
            <w:vAlign w:val="bottom"/>
            <w:hideMark/>
          </w:tcPr>
          <w:p w14:paraId="45D66678" w14:textId="616988DC"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2,724</w:t>
            </w:r>
          </w:p>
        </w:tc>
        <w:tc>
          <w:tcPr>
            <w:tcW w:w="880" w:type="dxa"/>
            <w:tcBorders>
              <w:top w:val="nil"/>
              <w:left w:val="nil"/>
              <w:bottom w:val="nil"/>
              <w:right w:val="nil"/>
            </w:tcBorders>
            <w:shd w:val="clear" w:color="auto" w:fill="E6E6E6"/>
            <w:noWrap/>
            <w:vAlign w:val="bottom"/>
            <w:hideMark/>
          </w:tcPr>
          <w:p w14:paraId="4D25DEB6" w14:textId="28B43BDC"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100</w:t>
            </w:r>
          </w:p>
        </w:tc>
        <w:tc>
          <w:tcPr>
            <w:tcW w:w="880" w:type="dxa"/>
            <w:tcBorders>
              <w:top w:val="nil"/>
              <w:left w:val="nil"/>
              <w:bottom w:val="nil"/>
              <w:right w:val="nil"/>
            </w:tcBorders>
            <w:shd w:val="clear" w:color="auto" w:fill="auto"/>
            <w:noWrap/>
            <w:vAlign w:val="bottom"/>
            <w:hideMark/>
          </w:tcPr>
          <w:p w14:paraId="40DDD325" w14:textId="25693BE4"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100</w:t>
            </w:r>
          </w:p>
        </w:tc>
        <w:tc>
          <w:tcPr>
            <w:tcW w:w="880" w:type="dxa"/>
            <w:tcBorders>
              <w:top w:val="nil"/>
              <w:left w:val="nil"/>
              <w:bottom w:val="nil"/>
              <w:right w:val="nil"/>
            </w:tcBorders>
            <w:shd w:val="clear" w:color="auto" w:fill="auto"/>
            <w:noWrap/>
            <w:vAlign w:val="bottom"/>
            <w:hideMark/>
          </w:tcPr>
          <w:p w14:paraId="18FA02EB" w14:textId="512B72EB"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100</w:t>
            </w:r>
          </w:p>
        </w:tc>
        <w:tc>
          <w:tcPr>
            <w:tcW w:w="880" w:type="dxa"/>
            <w:tcBorders>
              <w:top w:val="nil"/>
              <w:left w:val="nil"/>
              <w:bottom w:val="nil"/>
              <w:right w:val="nil"/>
            </w:tcBorders>
            <w:shd w:val="clear" w:color="auto" w:fill="auto"/>
            <w:noWrap/>
            <w:vAlign w:val="bottom"/>
            <w:hideMark/>
          </w:tcPr>
          <w:p w14:paraId="4A4EA7FE" w14:textId="0AE47A17"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100</w:t>
            </w:r>
          </w:p>
        </w:tc>
      </w:tr>
      <w:tr w:rsidR="0014555F" w:rsidRPr="004349E0" w14:paraId="1A491C47" w14:textId="77777777" w:rsidTr="009B0C30">
        <w:trPr>
          <w:trHeight w:val="204"/>
        </w:trPr>
        <w:tc>
          <w:tcPr>
            <w:tcW w:w="3119" w:type="dxa"/>
            <w:tcBorders>
              <w:top w:val="nil"/>
              <w:left w:val="nil"/>
              <w:bottom w:val="nil"/>
              <w:right w:val="nil"/>
            </w:tcBorders>
            <w:shd w:val="clear" w:color="auto" w:fill="auto"/>
            <w:noWrap/>
            <w:vAlign w:val="center"/>
            <w:hideMark/>
          </w:tcPr>
          <w:p w14:paraId="0FBC8FAA" w14:textId="77777777" w:rsidR="0014555F" w:rsidRPr="004349E0" w:rsidRDefault="0014555F" w:rsidP="004E6158">
            <w:pPr>
              <w:spacing w:after="0" w:line="240" w:lineRule="auto"/>
              <w:ind w:left="113"/>
              <w:jc w:val="left"/>
              <w:rPr>
                <w:rFonts w:ascii="Arial" w:hAnsi="Arial" w:cs="Arial"/>
                <w:color w:val="000000"/>
                <w:sz w:val="16"/>
                <w:szCs w:val="16"/>
              </w:rPr>
            </w:pPr>
            <w:r w:rsidRPr="004349E0">
              <w:rPr>
                <w:rFonts w:ascii="Arial" w:hAnsi="Arial" w:cs="Arial"/>
                <w:color w:val="000000"/>
                <w:sz w:val="16"/>
                <w:szCs w:val="16"/>
              </w:rPr>
              <w:t>Net GST received</w:t>
            </w:r>
          </w:p>
        </w:tc>
        <w:tc>
          <w:tcPr>
            <w:tcW w:w="880" w:type="dxa"/>
            <w:tcBorders>
              <w:top w:val="nil"/>
              <w:left w:val="nil"/>
              <w:bottom w:val="nil"/>
              <w:right w:val="nil"/>
            </w:tcBorders>
            <w:shd w:val="clear" w:color="auto" w:fill="auto"/>
            <w:noWrap/>
            <w:vAlign w:val="bottom"/>
            <w:hideMark/>
          </w:tcPr>
          <w:p w14:paraId="4FE0245B" w14:textId="7A2C7A3A"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4,413</w:t>
            </w:r>
          </w:p>
        </w:tc>
        <w:tc>
          <w:tcPr>
            <w:tcW w:w="880" w:type="dxa"/>
            <w:tcBorders>
              <w:top w:val="nil"/>
              <w:left w:val="nil"/>
              <w:bottom w:val="nil"/>
              <w:right w:val="nil"/>
            </w:tcBorders>
            <w:shd w:val="clear" w:color="auto" w:fill="E6E6E6"/>
            <w:noWrap/>
            <w:vAlign w:val="bottom"/>
            <w:hideMark/>
          </w:tcPr>
          <w:p w14:paraId="64DF885B" w14:textId="1759F3EA"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3,169</w:t>
            </w:r>
          </w:p>
        </w:tc>
        <w:tc>
          <w:tcPr>
            <w:tcW w:w="880" w:type="dxa"/>
            <w:tcBorders>
              <w:top w:val="nil"/>
              <w:left w:val="nil"/>
              <w:bottom w:val="nil"/>
              <w:right w:val="nil"/>
            </w:tcBorders>
            <w:shd w:val="clear" w:color="auto" w:fill="auto"/>
            <w:noWrap/>
            <w:vAlign w:val="bottom"/>
            <w:hideMark/>
          </w:tcPr>
          <w:p w14:paraId="6E7EE7F8" w14:textId="70EF20C3"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3,169</w:t>
            </w:r>
          </w:p>
        </w:tc>
        <w:tc>
          <w:tcPr>
            <w:tcW w:w="880" w:type="dxa"/>
            <w:tcBorders>
              <w:top w:val="nil"/>
              <w:left w:val="nil"/>
              <w:bottom w:val="nil"/>
              <w:right w:val="nil"/>
            </w:tcBorders>
            <w:shd w:val="clear" w:color="auto" w:fill="auto"/>
            <w:noWrap/>
            <w:vAlign w:val="bottom"/>
            <w:hideMark/>
          </w:tcPr>
          <w:p w14:paraId="1595F7ED" w14:textId="20C8C0FE"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3,169</w:t>
            </w:r>
          </w:p>
        </w:tc>
        <w:tc>
          <w:tcPr>
            <w:tcW w:w="880" w:type="dxa"/>
            <w:tcBorders>
              <w:top w:val="nil"/>
              <w:left w:val="nil"/>
              <w:bottom w:val="nil"/>
              <w:right w:val="nil"/>
            </w:tcBorders>
            <w:shd w:val="clear" w:color="auto" w:fill="auto"/>
            <w:noWrap/>
            <w:vAlign w:val="bottom"/>
            <w:hideMark/>
          </w:tcPr>
          <w:p w14:paraId="3555090E" w14:textId="50A09655"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3,169</w:t>
            </w:r>
          </w:p>
        </w:tc>
      </w:tr>
      <w:tr w:rsidR="0014555F" w:rsidRPr="004349E0" w14:paraId="4A5910A8" w14:textId="77777777" w:rsidTr="009B0C30">
        <w:trPr>
          <w:trHeight w:val="204"/>
        </w:trPr>
        <w:tc>
          <w:tcPr>
            <w:tcW w:w="3119" w:type="dxa"/>
            <w:tcBorders>
              <w:top w:val="nil"/>
              <w:left w:val="nil"/>
              <w:bottom w:val="nil"/>
              <w:right w:val="nil"/>
            </w:tcBorders>
            <w:shd w:val="clear" w:color="auto" w:fill="auto"/>
            <w:noWrap/>
            <w:vAlign w:val="center"/>
            <w:hideMark/>
          </w:tcPr>
          <w:p w14:paraId="01CEA07F" w14:textId="77777777" w:rsidR="0014555F" w:rsidRPr="004349E0" w:rsidRDefault="0014555F" w:rsidP="004E6158">
            <w:pPr>
              <w:spacing w:after="0" w:line="240" w:lineRule="auto"/>
              <w:ind w:left="113"/>
              <w:jc w:val="left"/>
              <w:rPr>
                <w:rFonts w:ascii="Arial" w:hAnsi="Arial" w:cs="Arial"/>
                <w:color w:val="000000"/>
                <w:sz w:val="16"/>
                <w:szCs w:val="16"/>
              </w:rPr>
            </w:pPr>
            <w:r w:rsidRPr="004349E0">
              <w:rPr>
                <w:rFonts w:ascii="Arial" w:hAnsi="Arial" w:cs="Arial"/>
                <w:color w:val="000000"/>
                <w:sz w:val="16"/>
                <w:szCs w:val="16"/>
              </w:rPr>
              <w:t xml:space="preserve">Other </w:t>
            </w:r>
          </w:p>
        </w:tc>
        <w:tc>
          <w:tcPr>
            <w:tcW w:w="880" w:type="dxa"/>
            <w:tcBorders>
              <w:top w:val="nil"/>
              <w:left w:val="nil"/>
              <w:bottom w:val="nil"/>
              <w:right w:val="nil"/>
            </w:tcBorders>
            <w:shd w:val="clear" w:color="auto" w:fill="auto"/>
            <w:noWrap/>
            <w:vAlign w:val="bottom"/>
            <w:hideMark/>
          </w:tcPr>
          <w:p w14:paraId="6EEFCD4C" w14:textId="3BB40E5A"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5</w:t>
            </w:r>
          </w:p>
        </w:tc>
        <w:tc>
          <w:tcPr>
            <w:tcW w:w="880" w:type="dxa"/>
            <w:tcBorders>
              <w:top w:val="nil"/>
              <w:left w:val="nil"/>
              <w:bottom w:val="nil"/>
              <w:right w:val="nil"/>
            </w:tcBorders>
            <w:shd w:val="clear" w:color="auto" w:fill="E6E6E6"/>
            <w:noWrap/>
            <w:vAlign w:val="bottom"/>
            <w:hideMark/>
          </w:tcPr>
          <w:p w14:paraId="00A3E06A" w14:textId="05975383"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29E4FA08" w14:textId="196B80A4"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5058CF3C" w14:textId="4C32C1F5"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7A131D54" w14:textId="5247BE8D"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w:t>
            </w:r>
          </w:p>
        </w:tc>
      </w:tr>
      <w:tr w:rsidR="0014555F" w:rsidRPr="004349E0" w14:paraId="4EE44A44" w14:textId="77777777" w:rsidTr="009B0C30">
        <w:trPr>
          <w:trHeight w:val="204"/>
        </w:trPr>
        <w:tc>
          <w:tcPr>
            <w:tcW w:w="3119" w:type="dxa"/>
            <w:tcBorders>
              <w:top w:val="nil"/>
              <w:left w:val="nil"/>
              <w:bottom w:val="nil"/>
              <w:right w:val="nil"/>
            </w:tcBorders>
            <w:shd w:val="clear" w:color="auto" w:fill="auto"/>
            <w:noWrap/>
            <w:vAlign w:val="center"/>
            <w:hideMark/>
          </w:tcPr>
          <w:p w14:paraId="55E0E1A9" w14:textId="77777777" w:rsidR="0014555F" w:rsidRPr="004349E0" w:rsidRDefault="0014555F" w:rsidP="0014555F">
            <w:pPr>
              <w:spacing w:after="0" w:line="240" w:lineRule="auto"/>
              <w:jc w:val="left"/>
              <w:rPr>
                <w:rFonts w:ascii="Arial" w:hAnsi="Arial" w:cs="Arial"/>
                <w:b/>
                <w:bCs/>
                <w:iCs/>
                <w:color w:val="000000"/>
                <w:sz w:val="16"/>
                <w:szCs w:val="16"/>
              </w:rPr>
            </w:pPr>
            <w:r w:rsidRPr="004349E0">
              <w:rPr>
                <w:rFonts w:ascii="Arial" w:hAnsi="Arial" w:cs="Arial"/>
                <w:b/>
                <w:bCs/>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14:paraId="2F3DE810" w14:textId="25660C4E"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108,555</w:t>
            </w:r>
          </w:p>
        </w:tc>
        <w:tc>
          <w:tcPr>
            <w:tcW w:w="880" w:type="dxa"/>
            <w:tcBorders>
              <w:top w:val="single" w:sz="4" w:space="0" w:color="000000"/>
              <w:left w:val="nil"/>
              <w:bottom w:val="single" w:sz="4" w:space="0" w:color="000000"/>
              <w:right w:val="nil"/>
            </w:tcBorders>
            <w:shd w:val="clear" w:color="auto" w:fill="E6E6E6"/>
            <w:noWrap/>
            <w:vAlign w:val="bottom"/>
            <w:hideMark/>
          </w:tcPr>
          <w:p w14:paraId="74FC7537" w14:textId="56F2C116"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124,651</w:t>
            </w:r>
          </w:p>
        </w:tc>
        <w:tc>
          <w:tcPr>
            <w:tcW w:w="880" w:type="dxa"/>
            <w:tcBorders>
              <w:top w:val="single" w:sz="4" w:space="0" w:color="000000"/>
              <w:left w:val="nil"/>
              <w:bottom w:val="single" w:sz="4" w:space="0" w:color="000000"/>
              <w:right w:val="nil"/>
            </w:tcBorders>
            <w:shd w:val="clear" w:color="auto" w:fill="auto"/>
            <w:noWrap/>
            <w:vAlign w:val="bottom"/>
            <w:hideMark/>
          </w:tcPr>
          <w:p w14:paraId="1429C328" w14:textId="39E63E09"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126,612</w:t>
            </w:r>
          </w:p>
        </w:tc>
        <w:tc>
          <w:tcPr>
            <w:tcW w:w="880" w:type="dxa"/>
            <w:tcBorders>
              <w:top w:val="single" w:sz="4" w:space="0" w:color="000000"/>
              <w:left w:val="nil"/>
              <w:bottom w:val="single" w:sz="4" w:space="0" w:color="000000"/>
              <w:right w:val="nil"/>
            </w:tcBorders>
            <w:shd w:val="clear" w:color="auto" w:fill="auto"/>
            <w:noWrap/>
            <w:vAlign w:val="bottom"/>
            <w:hideMark/>
          </w:tcPr>
          <w:p w14:paraId="213098E5" w14:textId="50E6BF54"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95,138</w:t>
            </w:r>
          </w:p>
        </w:tc>
        <w:tc>
          <w:tcPr>
            <w:tcW w:w="880" w:type="dxa"/>
            <w:tcBorders>
              <w:top w:val="single" w:sz="4" w:space="0" w:color="000000"/>
              <w:left w:val="nil"/>
              <w:bottom w:val="single" w:sz="4" w:space="0" w:color="000000"/>
              <w:right w:val="nil"/>
            </w:tcBorders>
            <w:shd w:val="clear" w:color="auto" w:fill="auto"/>
            <w:noWrap/>
            <w:vAlign w:val="bottom"/>
            <w:hideMark/>
          </w:tcPr>
          <w:p w14:paraId="606647FB" w14:textId="3F46CE1C"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95,054</w:t>
            </w:r>
          </w:p>
        </w:tc>
      </w:tr>
      <w:tr w:rsidR="0014555F" w:rsidRPr="004349E0" w14:paraId="7CC5BF70" w14:textId="77777777" w:rsidTr="009B0C30">
        <w:trPr>
          <w:trHeight w:val="204"/>
        </w:trPr>
        <w:tc>
          <w:tcPr>
            <w:tcW w:w="3119" w:type="dxa"/>
            <w:tcBorders>
              <w:top w:val="nil"/>
              <w:left w:val="nil"/>
              <w:bottom w:val="nil"/>
              <w:right w:val="nil"/>
            </w:tcBorders>
            <w:shd w:val="clear" w:color="auto" w:fill="auto"/>
            <w:noWrap/>
            <w:vAlign w:val="center"/>
            <w:hideMark/>
          </w:tcPr>
          <w:p w14:paraId="2701E3A1"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14:paraId="0E865190" w14:textId="77777777" w:rsidR="0014555F" w:rsidRPr="004349E0" w:rsidRDefault="0014555F" w:rsidP="00AA147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51F3AC05" w14:textId="1A5DE4C9"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0C1B2A30" w14:textId="77777777"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092E3C45" w14:textId="77777777" w:rsidR="0014555F" w:rsidRPr="004349E0" w:rsidRDefault="0014555F" w:rsidP="00AA147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DCAEBD2"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3A692B55" w14:textId="77777777" w:rsidTr="009B0C30">
        <w:trPr>
          <w:trHeight w:val="204"/>
        </w:trPr>
        <w:tc>
          <w:tcPr>
            <w:tcW w:w="3119" w:type="dxa"/>
            <w:tcBorders>
              <w:top w:val="nil"/>
              <w:left w:val="nil"/>
              <w:bottom w:val="nil"/>
              <w:right w:val="nil"/>
            </w:tcBorders>
            <w:shd w:val="clear" w:color="auto" w:fill="auto"/>
            <w:noWrap/>
            <w:vAlign w:val="center"/>
            <w:hideMark/>
          </w:tcPr>
          <w:p w14:paraId="494E17F5" w14:textId="77777777" w:rsidR="0014555F" w:rsidRPr="004349E0" w:rsidRDefault="0014555F" w:rsidP="004E6158">
            <w:pPr>
              <w:spacing w:after="0" w:line="240" w:lineRule="auto"/>
              <w:ind w:left="113"/>
              <w:jc w:val="left"/>
              <w:rPr>
                <w:rFonts w:ascii="Arial" w:hAnsi="Arial" w:cs="Arial"/>
                <w:color w:val="000000"/>
                <w:sz w:val="16"/>
                <w:szCs w:val="16"/>
              </w:rPr>
            </w:pPr>
            <w:r w:rsidRPr="004349E0">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bottom"/>
            <w:hideMark/>
          </w:tcPr>
          <w:p w14:paraId="53F9FDFA" w14:textId="1F1EB9FB"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60,210</w:t>
            </w:r>
          </w:p>
        </w:tc>
        <w:tc>
          <w:tcPr>
            <w:tcW w:w="880" w:type="dxa"/>
            <w:tcBorders>
              <w:top w:val="nil"/>
              <w:left w:val="nil"/>
              <w:bottom w:val="nil"/>
              <w:right w:val="nil"/>
            </w:tcBorders>
            <w:shd w:val="clear" w:color="auto" w:fill="E6E6E6"/>
            <w:noWrap/>
            <w:vAlign w:val="bottom"/>
            <w:hideMark/>
          </w:tcPr>
          <w:p w14:paraId="38912FD8" w14:textId="78D1862E"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72,410</w:t>
            </w:r>
          </w:p>
        </w:tc>
        <w:tc>
          <w:tcPr>
            <w:tcW w:w="880" w:type="dxa"/>
            <w:tcBorders>
              <w:top w:val="nil"/>
              <w:left w:val="nil"/>
              <w:bottom w:val="nil"/>
              <w:right w:val="nil"/>
            </w:tcBorders>
            <w:shd w:val="clear" w:color="auto" w:fill="auto"/>
            <w:noWrap/>
            <w:vAlign w:val="bottom"/>
            <w:hideMark/>
          </w:tcPr>
          <w:p w14:paraId="34E54B02" w14:textId="1915952A"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74,478</w:t>
            </w:r>
          </w:p>
        </w:tc>
        <w:tc>
          <w:tcPr>
            <w:tcW w:w="880" w:type="dxa"/>
            <w:tcBorders>
              <w:top w:val="nil"/>
              <w:left w:val="nil"/>
              <w:bottom w:val="nil"/>
              <w:right w:val="nil"/>
            </w:tcBorders>
            <w:shd w:val="clear" w:color="auto" w:fill="auto"/>
            <w:noWrap/>
            <w:vAlign w:val="bottom"/>
            <w:hideMark/>
          </w:tcPr>
          <w:p w14:paraId="5B7B67E3" w14:textId="6C0828DF"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57,568</w:t>
            </w:r>
          </w:p>
        </w:tc>
        <w:tc>
          <w:tcPr>
            <w:tcW w:w="880" w:type="dxa"/>
            <w:tcBorders>
              <w:top w:val="nil"/>
              <w:left w:val="nil"/>
              <w:bottom w:val="nil"/>
              <w:right w:val="nil"/>
            </w:tcBorders>
            <w:shd w:val="clear" w:color="auto" w:fill="auto"/>
            <w:noWrap/>
            <w:vAlign w:val="bottom"/>
            <w:hideMark/>
          </w:tcPr>
          <w:p w14:paraId="284D5957" w14:textId="1014F132"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57,569</w:t>
            </w:r>
          </w:p>
        </w:tc>
      </w:tr>
      <w:tr w:rsidR="0014555F" w:rsidRPr="004349E0" w14:paraId="558775F4" w14:textId="77777777" w:rsidTr="009B0C30">
        <w:trPr>
          <w:trHeight w:val="204"/>
        </w:trPr>
        <w:tc>
          <w:tcPr>
            <w:tcW w:w="3119" w:type="dxa"/>
            <w:tcBorders>
              <w:top w:val="nil"/>
              <w:left w:val="nil"/>
              <w:bottom w:val="nil"/>
              <w:right w:val="nil"/>
            </w:tcBorders>
            <w:shd w:val="clear" w:color="auto" w:fill="auto"/>
            <w:noWrap/>
            <w:vAlign w:val="center"/>
            <w:hideMark/>
          </w:tcPr>
          <w:p w14:paraId="6FB035B7" w14:textId="77777777" w:rsidR="0014555F" w:rsidRPr="004349E0" w:rsidRDefault="0014555F" w:rsidP="004E6158">
            <w:pPr>
              <w:spacing w:after="0" w:line="240" w:lineRule="auto"/>
              <w:ind w:left="113"/>
              <w:jc w:val="left"/>
              <w:rPr>
                <w:rFonts w:ascii="Arial" w:hAnsi="Arial" w:cs="Arial"/>
                <w:color w:val="000000"/>
                <w:sz w:val="16"/>
                <w:szCs w:val="16"/>
              </w:rPr>
            </w:pPr>
            <w:r w:rsidRPr="004349E0">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bottom"/>
            <w:hideMark/>
          </w:tcPr>
          <w:p w14:paraId="5609A584" w14:textId="0E75BA26"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36,997</w:t>
            </w:r>
          </w:p>
        </w:tc>
        <w:tc>
          <w:tcPr>
            <w:tcW w:w="880" w:type="dxa"/>
            <w:tcBorders>
              <w:top w:val="nil"/>
              <w:left w:val="nil"/>
              <w:bottom w:val="nil"/>
              <w:right w:val="nil"/>
            </w:tcBorders>
            <w:shd w:val="clear" w:color="auto" w:fill="E6E6E6"/>
            <w:noWrap/>
            <w:vAlign w:val="bottom"/>
            <w:hideMark/>
          </w:tcPr>
          <w:p w14:paraId="4B1F927E" w14:textId="5572F302"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45,100</w:t>
            </w:r>
          </w:p>
        </w:tc>
        <w:tc>
          <w:tcPr>
            <w:tcW w:w="880" w:type="dxa"/>
            <w:tcBorders>
              <w:top w:val="nil"/>
              <w:left w:val="nil"/>
              <w:bottom w:val="nil"/>
              <w:right w:val="nil"/>
            </w:tcBorders>
            <w:shd w:val="clear" w:color="auto" w:fill="auto"/>
            <w:noWrap/>
            <w:vAlign w:val="bottom"/>
            <w:hideMark/>
          </w:tcPr>
          <w:p w14:paraId="1543C7F0" w14:textId="35E17E33"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43,891</w:t>
            </w:r>
          </w:p>
        </w:tc>
        <w:tc>
          <w:tcPr>
            <w:tcW w:w="880" w:type="dxa"/>
            <w:tcBorders>
              <w:top w:val="nil"/>
              <w:left w:val="nil"/>
              <w:bottom w:val="nil"/>
              <w:right w:val="nil"/>
            </w:tcBorders>
            <w:shd w:val="clear" w:color="auto" w:fill="auto"/>
            <w:noWrap/>
            <w:vAlign w:val="bottom"/>
            <w:hideMark/>
          </w:tcPr>
          <w:p w14:paraId="645A05B2" w14:textId="26B348A4"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29,020</w:t>
            </w:r>
          </w:p>
        </w:tc>
        <w:tc>
          <w:tcPr>
            <w:tcW w:w="880" w:type="dxa"/>
            <w:tcBorders>
              <w:top w:val="nil"/>
              <w:left w:val="nil"/>
              <w:bottom w:val="nil"/>
              <w:right w:val="nil"/>
            </w:tcBorders>
            <w:shd w:val="clear" w:color="auto" w:fill="auto"/>
            <w:noWrap/>
            <w:vAlign w:val="bottom"/>
            <w:hideMark/>
          </w:tcPr>
          <w:p w14:paraId="6C9970C0" w14:textId="46F67473"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28,617</w:t>
            </w:r>
          </w:p>
        </w:tc>
      </w:tr>
      <w:tr w:rsidR="0014555F" w:rsidRPr="004349E0" w14:paraId="3487E694" w14:textId="77777777" w:rsidTr="009B0C30">
        <w:trPr>
          <w:trHeight w:val="204"/>
        </w:trPr>
        <w:tc>
          <w:tcPr>
            <w:tcW w:w="3119" w:type="dxa"/>
            <w:tcBorders>
              <w:top w:val="nil"/>
              <w:left w:val="nil"/>
              <w:bottom w:val="nil"/>
              <w:right w:val="nil"/>
            </w:tcBorders>
            <w:shd w:val="clear" w:color="auto" w:fill="auto"/>
            <w:vAlign w:val="center"/>
            <w:hideMark/>
          </w:tcPr>
          <w:p w14:paraId="48C4E363" w14:textId="77777777" w:rsidR="0014555F" w:rsidRPr="004349E0" w:rsidRDefault="0014555F" w:rsidP="004E6158">
            <w:pPr>
              <w:spacing w:after="0" w:line="240" w:lineRule="auto"/>
              <w:ind w:left="113"/>
              <w:jc w:val="left"/>
              <w:rPr>
                <w:rFonts w:ascii="Arial" w:hAnsi="Arial" w:cs="Arial"/>
                <w:color w:val="000000"/>
                <w:sz w:val="16"/>
                <w:szCs w:val="16"/>
              </w:rPr>
            </w:pPr>
            <w:r w:rsidRPr="004349E0">
              <w:rPr>
                <w:rFonts w:ascii="Arial" w:hAnsi="Arial" w:cs="Arial"/>
                <w:color w:val="000000"/>
                <w:sz w:val="16"/>
                <w:szCs w:val="16"/>
              </w:rPr>
              <w:t>Interest payments on lease liability</w:t>
            </w:r>
          </w:p>
        </w:tc>
        <w:tc>
          <w:tcPr>
            <w:tcW w:w="880" w:type="dxa"/>
            <w:tcBorders>
              <w:top w:val="nil"/>
              <w:left w:val="nil"/>
              <w:bottom w:val="nil"/>
              <w:right w:val="nil"/>
            </w:tcBorders>
            <w:shd w:val="clear" w:color="auto" w:fill="auto"/>
            <w:noWrap/>
            <w:vAlign w:val="bottom"/>
            <w:hideMark/>
          </w:tcPr>
          <w:p w14:paraId="44542D53" w14:textId="77DE3471"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653</w:t>
            </w:r>
          </w:p>
        </w:tc>
        <w:tc>
          <w:tcPr>
            <w:tcW w:w="880" w:type="dxa"/>
            <w:tcBorders>
              <w:top w:val="nil"/>
              <w:left w:val="nil"/>
              <w:bottom w:val="nil"/>
              <w:right w:val="nil"/>
            </w:tcBorders>
            <w:shd w:val="clear" w:color="auto" w:fill="E6E6E6"/>
            <w:noWrap/>
            <w:vAlign w:val="bottom"/>
            <w:hideMark/>
          </w:tcPr>
          <w:p w14:paraId="6C5B9341" w14:textId="228EDCFF"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598</w:t>
            </w:r>
          </w:p>
        </w:tc>
        <w:tc>
          <w:tcPr>
            <w:tcW w:w="880" w:type="dxa"/>
            <w:tcBorders>
              <w:top w:val="nil"/>
              <w:left w:val="nil"/>
              <w:bottom w:val="nil"/>
              <w:right w:val="nil"/>
            </w:tcBorders>
            <w:shd w:val="clear" w:color="auto" w:fill="auto"/>
            <w:noWrap/>
            <w:vAlign w:val="bottom"/>
            <w:hideMark/>
          </w:tcPr>
          <w:p w14:paraId="102D171B" w14:textId="5DC0E58C"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532</w:t>
            </w:r>
          </w:p>
        </w:tc>
        <w:tc>
          <w:tcPr>
            <w:tcW w:w="880" w:type="dxa"/>
            <w:tcBorders>
              <w:top w:val="nil"/>
              <w:left w:val="nil"/>
              <w:bottom w:val="nil"/>
              <w:right w:val="nil"/>
            </w:tcBorders>
            <w:shd w:val="clear" w:color="auto" w:fill="auto"/>
            <w:noWrap/>
            <w:vAlign w:val="bottom"/>
            <w:hideMark/>
          </w:tcPr>
          <w:p w14:paraId="2CDC2F44" w14:textId="4C330D91"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463</w:t>
            </w:r>
          </w:p>
        </w:tc>
        <w:tc>
          <w:tcPr>
            <w:tcW w:w="880" w:type="dxa"/>
            <w:tcBorders>
              <w:top w:val="nil"/>
              <w:left w:val="nil"/>
              <w:bottom w:val="nil"/>
              <w:right w:val="nil"/>
            </w:tcBorders>
            <w:shd w:val="clear" w:color="auto" w:fill="auto"/>
            <w:noWrap/>
            <w:vAlign w:val="bottom"/>
            <w:hideMark/>
          </w:tcPr>
          <w:p w14:paraId="160E0FFC" w14:textId="5D9C481E"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391</w:t>
            </w:r>
          </w:p>
        </w:tc>
      </w:tr>
      <w:tr w:rsidR="0014555F" w:rsidRPr="004349E0" w14:paraId="167D2770" w14:textId="77777777" w:rsidTr="009B0C30">
        <w:trPr>
          <w:trHeight w:val="204"/>
        </w:trPr>
        <w:tc>
          <w:tcPr>
            <w:tcW w:w="3119" w:type="dxa"/>
            <w:tcBorders>
              <w:top w:val="nil"/>
              <w:left w:val="nil"/>
              <w:bottom w:val="nil"/>
              <w:right w:val="nil"/>
            </w:tcBorders>
            <w:shd w:val="clear" w:color="000000" w:fill="FFFFFF"/>
            <w:vAlign w:val="center"/>
            <w:hideMark/>
          </w:tcPr>
          <w:p w14:paraId="5CA57FCD" w14:textId="09F54573" w:rsidR="0014555F" w:rsidRPr="004349E0" w:rsidRDefault="0014555F" w:rsidP="004E6158">
            <w:pPr>
              <w:spacing w:after="0" w:line="240" w:lineRule="auto"/>
              <w:ind w:left="113"/>
              <w:jc w:val="left"/>
              <w:rPr>
                <w:rFonts w:ascii="Arial" w:hAnsi="Arial" w:cs="Arial"/>
                <w:color w:val="000000"/>
                <w:sz w:val="16"/>
                <w:szCs w:val="16"/>
              </w:rPr>
            </w:pPr>
            <w:r w:rsidRPr="004349E0">
              <w:rPr>
                <w:rFonts w:ascii="Arial" w:hAnsi="Arial" w:cs="Arial"/>
                <w:color w:val="000000"/>
                <w:sz w:val="16"/>
                <w:szCs w:val="16"/>
              </w:rPr>
              <w:t>s74 External Revenue</w:t>
            </w:r>
            <w:r w:rsidR="004E6158" w:rsidRPr="004349E0">
              <w:rPr>
                <w:rFonts w:ascii="Arial" w:hAnsi="Arial" w:cs="Arial"/>
                <w:color w:val="000000"/>
                <w:sz w:val="16"/>
                <w:szCs w:val="16"/>
              </w:rPr>
              <w:t xml:space="preserve"> </w:t>
            </w:r>
            <w:r w:rsidRPr="004349E0">
              <w:rPr>
                <w:rFonts w:ascii="Arial" w:hAnsi="Arial" w:cs="Arial"/>
                <w:color w:val="000000"/>
                <w:sz w:val="16"/>
                <w:szCs w:val="16"/>
              </w:rPr>
              <w:t xml:space="preserve">transferred to the OPA </w:t>
            </w:r>
          </w:p>
        </w:tc>
        <w:tc>
          <w:tcPr>
            <w:tcW w:w="880" w:type="dxa"/>
            <w:tcBorders>
              <w:top w:val="nil"/>
              <w:left w:val="nil"/>
              <w:bottom w:val="nil"/>
              <w:right w:val="nil"/>
            </w:tcBorders>
            <w:shd w:val="clear" w:color="auto" w:fill="auto"/>
            <w:noWrap/>
            <w:vAlign w:val="bottom"/>
            <w:hideMark/>
          </w:tcPr>
          <w:p w14:paraId="5424B29D" w14:textId="4F879BF0"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2,298</w:t>
            </w:r>
          </w:p>
        </w:tc>
        <w:tc>
          <w:tcPr>
            <w:tcW w:w="880" w:type="dxa"/>
            <w:tcBorders>
              <w:top w:val="nil"/>
              <w:left w:val="nil"/>
              <w:bottom w:val="nil"/>
              <w:right w:val="nil"/>
            </w:tcBorders>
            <w:shd w:val="clear" w:color="auto" w:fill="E6E6E6"/>
            <w:noWrap/>
            <w:vAlign w:val="bottom"/>
            <w:hideMark/>
          </w:tcPr>
          <w:p w14:paraId="1EE51464" w14:textId="20761564"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554C149F" w14:textId="6D1F5094"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62BFFEDC" w14:textId="656320E5"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7AA13BB9" w14:textId="26F1D705"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w:t>
            </w:r>
          </w:p>
        </w:tc>
      </w:tr>
      <w:tr w:rsidR="0014555F" w:rsidRPr="004349E0" w14:paraId="6F1D576B" w14:textId="77777777" w:rsidTr="009B0C30">
        <w:trPr>
          <w:trHeight w:val="204"/>
        </w:trPr>
        <w:tc>
          <w:tcPr>
            <w:tcW w:w="3119" w:type="dxa"/>
            <w:tcBorders>
              <w:top w:val="nil"/>
              <w:left w:val="nil"/>
              <w:bottom w:val="nil"/>
              <w:right w:val="nil"/>
            </w:tcBorders>
            <w:shd w:val="clear" w:color="auto" w:fill="auto"/>
            <w:noWrap/>
            <w:vAlign w:val="center"/>
            <w:hideMark/>
          </w:tcPr>
          <w:p w14:paraId="5A5EB7A5" w14:textId="77777777" w:rsidR="0014555F" w:rsidRPr="004349E0" w:rsidRDefault="0014555F" w:rsidP="0014555F">
            <w:pPr>
              <w:spacing w:after="0" w:line="240" w:lineRule="auto"/>
              <w:jc w:val="left"/>
              <w:rPr>
                <w:rFonts w:ascii="Arial" w:hAnsi="Arial" w:cs="Arial"/>
                <w:b/>
                <w:bCs/>
                <w:iCs/>
                <w:color w:val="000000"/>
                <w:sz w:val="16"/>
                <w:szCs w:val="16"/>
              </w:rPr>
            </w:pPr>
            <w:r w:rsidRPr="004349E0">
              <w:rPr>
                <w:rFonts w:ascii="Arial" w:hAnsi="Arial" w:cs="Arial"/>
                <w:b/>
                <w:bCs/>
                <w:iCs/>
                <w:color w:val="000000"/>
                <w:sz w:val="16"/>
                <w:szCs w:val="16"/>
              </w:rPr>
              <w:t>Total cash used</w:t>
            </w:r>
          </w:p>
        </w:tc>
        <w:tc>
          <w:tcPr>
            <w:tcW w:w="880" w:type="dxa"/>
            <w:tcBorders>
              <w:top w:val="single" w:sz="4" w:space="0" w:color="000000"/>
              <w:left w:val="nil"/>
              <w:bottom w:val="nil"/>
              <w:right w:val="nil"/>
            </w:tcBorders>
            <w:shd w:val="clear" w:color="auto" w:fill="auto"/>
            <w:noWrap/>
            <w:vAlign w:val="bottom"/>
            <w:hideMark/>
          </w:tcPr>
          <w:p w14:paraId="7EB82B79" w14:textId="26D2AEE3"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100,158</w:t>
            </w:r>
          </w:p>
        </w:tc>
        <w:tc>
          <w:tcPr>
            <w:tcW w:w="880" w:type="dxa"/>
            <w:tcBorders>
              <w:top w:val="single" w:sz="4" w:space="0" w:color="000000"/>
              <w:left w:val="nil"/>
              <w:bottom w:val="nil"/>
              <w:right w:val="nil"/>
            </w:tcBorders>
            <w:shd w:val="clear" w:color="auto" w:fill="E6E6E6"/>
            <w:noWrap/>
            <w:vAlign w:val="bottom"/>
            <w:hideMark/>
          </w:tcPr>
          <w:p w14:paraId="7A68CECB" w14:textId="7B8C0CA8"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118,108</w:t>
            </w:r>
          </w:p>
        </w:tc>
        <w:tc>
          <w:tcPr>
            <w:tcW w:w="880" w:type="dxa"/>
            <w:tcBorders>
              <w:top w:val="single" w:sz="4" w:space="0" w:color="000000"/>
              <w:left w:val="nil"/>
              <w:bottom w:val="nil"/>
              <w:right w:val="nil"/>
            </w:tcBorders>
            <w:shd w:val="clear" w:color="auto" w:fill="auto"/>
            <w:noWrap/>
            <w:vAlign w:val="bottom"/>
            <w:hideMark/>
          </w:tcPr>
          <w:p w14:paraId="21D23C1B" w14:textId="46CE9333"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118,901</w:t>
            </w:r>
          </w:p>
        </w:tc>
        <w:tc>
          <w:tcPr>
            <w:tcW w:w="880" w:type="dxa"/>
            <w:tcBorders>
              <w:top w:val="single" w:sz="4" w:space="0" w:color="000000"/>
              <w:left w:val="nil"/>
              <w:bottom w:val="nil"/>
              <w:right w:val="nil"/>
            </w:tcBorders>
            <w:shd w:val="clear" w:color="auto" w:fill="auto"/>
            <w:noWrap/>
            <w:vAlign w:val="bottom"/>
            <w:hideMark/>
          </w:tcPr>
          <w:p w14:paraId="1958A31D" w14:textId="7DF1E344"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87,051</w:t>
            </w:r>
          </w:p>
        </w:tc>
        <w:tc>
          <w:tcPr>
            <w:tcW w:w="880" w:type="dxa"/>
            <w:tcBorders>
              <w:top w:val="single" w:sz="4" w:space="0" w:color="000000"/>
              <w:left w:val="nil"/>
              <w:bottom w:val="nil"/>
              <w:right w:val="nil"/>
            </w:tcBorders>
            <w:shd w:val="clear" w:color="auto" w:fill="auto"/>
            <w:noWrap/>
            <w:vAlign w:val="bottom"/>
            <w:hideMark/>
          </w:tcPr>
          <w:p w14:paraId="78765810" w14:textId="43A89C71"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86,577</w:t>
            </w:r>
          </w:p>
        </w:tc>
      </w:tr>
      <w:tr w:rsidR="0014555F" w:rsidRPr="004349E0" w14:paraId="11BCFB54" w14:textId="77777777" w:rsidTr="009B0C30">
        <w:trPr>
          <w:trHeight w:val="204"/>
        </w:trPr>
        <w:tc>
          <w:tcPr>
            <w:tcW w:w="3119" w:type="dxa"/>
            <w:tcBorders>
              <w:top w:val="nil"/>
              <w:left w:val="nil"/>
              <w:bottom w:val="nil"/>
              <w:right w:val="nil"/>
            </w:tcBorders>
            <w:shd w:val="clear" w:color="auto" w:fill="auto"/>
            <w:vAlign w:val="center"/>
            <w:hideMark/>
          </w:tcPr>
          <w:p w14:paraId="53AF9C94" w14:textId="2AE9FF3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N</w:t>
            </w:r>
            <w:r w:rsidR="00BD66D4" w:rsidRPr="004349E0">
              <w:rPr>
                <w:rFonts w:ascii="Arial" w:hAnsi="Arial" w:cs="Arial"/>
                <w:b/>
                <w:bCs/>
                <w:color w:val="000000"/>
                <w:sz w:val="16"/>
                <w:szCs w:val="16"/>
              </w:rPr>
              <w:t xml:space="preserve">et cash from/(used by) </w:t>
            </w:r>
            <w:r w:rsidRPr="004349E0">
              <w:rPr>
                <w:rFonts w:ascii="Arial" w:hAnsi="Arial" w:cs="Arial"/>
                <w:b/>
                <w:bCs/>
                <w:color w:val="000000"/>
                <w:sz w:val="16"/>
                <w:szCs w:val="16"/>
              </w:rPr>
              <w:t>operating activities</w:t>
            </w:r>
          </w:p>
        </w:tc>
        <w:tc>
          <w:tcPr>
            <w:tcW w:w="880" w:type="dxa"/>
            <w:tcBorders>
              <w:top w:val="single" w:sz="4" w:space="0" w:color="auto"/>
              <w:left w:val="nil"/>
              <w:bottom w:val="single" w:sz="4" w:space="0" w:color="auto"/>
              <w:right w:val="nil"/>
            </w:tcBorders>
            <w:shd w:val="clear" w:color="auto" w:fill="auto"/>
            <w:noWrap/>
            <w:vAlign w:val="bottom"/>
            <w:hideMark/>
          </w:tcPr>
          <w:p w14:paraId="1316CB96" w14:textId="368674E4"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8,397</w:t>
            </w:r>
          </w:p>
        </w:tc>
        <w:tc>
          <w:tcPr>
            <w:tcW w:w="880" w:type="dxa"/>
            <w:tcBorders>
              <w:top w:val="single" w:sz="4" w:space="0" w:color="auto"/>
              <w:left w:val="nil"/>
              <w:bottom w:val="single" w:sz="4" w:space="0" w:color="auto"/>
              <w:right w:val="nil"/>
            </w:tcBorders>
            <w:shd w:val="clear" w:color="auto" w:fill="E6E6E6"/>
            <w:noWrap/>
            <w:vAlign w:val="bottom"/>
            <w:hideMark/>
          </w:tcPr>
          <w:p w14:paraId="6C8CE998" w14:textId="5F3F2080"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6,543</w:t>
            </w:r>
          </w:p>
        </w:tc>
        <w:tc>
          <w:tcPr>
            <w:tcW w:w="880" w:type="dxa"/>
            <w:tcBorders>
              <w:top w:val="single" w:sz="4" w:space="0" w:color="auto"/>
              <w:left w:val="nil"/>
              <w:bottom w:val="single" w:sz="4" w:space="0" w:color="auto"/>
              <w:right w:val="nil"/>
            </w:tcBorders>
            <w:shd w:val="clear" w:color="auto" w:fill="auto"/>
            <w:noWrap/>
            <w:vAlign w:val="bottom"/>
            <w:hideMark/>
          </w:tcPr>
          <w:p w14:paraId="74EA5D95" w14:textId="13CEA7E4"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7,711</w:t>
            </w:r>
          </w:p>
        </w:tc>
        <w:tc>
          <w:tcPr>
            <w:tcW w:w="880" w:type="dxa"/>
            <w:tcBorders>
              <w:top w:val="single" w:sz="4" w:space="0" w:color="auto"/>
              <w:left w:val="nil"/>
              <w:bottom w:val="single" w:sz="4" w:space="0" w:color="auto"/>
              <w:right w:val="nil"/>
            </w:tcBorders>
            <w:shd w:val="clear" w:color="auto" w:fill="auto"/>
            <w:noWrap/>
            <w:vAlign w:val="bottom"/>
            <w:hideMark/>
          </w:tcPr>
          <w:p w14:paraId="5E151696" w14:textId="7A0BA40D"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8,087</w:t>
            </w:r>
          </w:p>
        </w:tc>
        <w:tc>
          <w:tcPr>
            <w:tcW w:w="880" w:type="dxa"/>
            <w:tcBorders>
              <w:top w:val="single" w:sz="4" w:space="0" w:color="auto"/>
              <w:left w:val="nil"/>
              <w:bottom w:val="single" w:sz="4" w:space="0" w:color="auto"/>
              <w:right w:val="nil"/>
            </w:tcBorders>
            <w:shd w:val="clear" w:color="auto" w:fill="auto"/>
            <w:noWrap/>
            <w:vAlign w:val="bottom"/>
            <w:hideMark/>
          </w:tcPr>
          <w:p w14:paraId="6A106343" w14:textId="2BA178D7"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8,477</w:t>
            </w:r>
          </w:p>
        </w:tc>
      </w:tr>
      <w:tr w:rsidR="0014555F" w:rsidRPr="004349E0" w14:paraId="54590223" w14:textId="77777777" w:rsidTr="009B0C30">
        <w:trPr>
          <w:trHeight w:val="204"/>
        </w:trPr>
        <w:tc>
          <w:tcPr>
            <w:tcW w:w="3119" w:type="dxa"/>
            <w:tcBorders>
              <w:top w:val="nil"/>
              <w:left w:val="nil"/>
              <w:bottom w:val="nil"/>
              <w:right w:val="nil"/>
            </w:tcBorders>
            <w:shd w:val="clear" w:color="auto" w:fill="auto"/>
            <w:noWrap/>
            <w:vAlign w:val="center"/>
            <w:hideMark/>
          </w:tcPr>
          <w:p w14:paraId="1A026DE8"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INVESTING ACTIVITIES</w:t>
            </w:r>
          </w:p>
        </w:tc>
        <w:tc>
          <w:tcPr>
            <w:tcW w:w="880" w:type="dxa"/>
            <w:tcBorders>
              <w:top w:val="nil"/>
              <w:left w:val="nil"/>
              <w:bottom w:val="nil"/>
              <w:right w:val="nil"/>
            </w:tcBorders>
            <w:shd w:val="clear" w:color="auto" w:fill="auto"/>
            <w:noWrap/>
            <w:vAlign w:val="bottom"/>
            <w:hideMark/>
          </w:tcPr>
          <w:p w14:paraId="6A3F0D15" w14:textId="77777777" w:rsidR="0014555F" w:rsidRPr="004349E0" w:rsidRDefault="0014555F" w:rsidP="00AA147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0FE5DA7D" w14:textId="6CA59C28"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FFBAA8C" w14:textId="77777777"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4CAC573" w14:textId="77777777" w:rsidR="0014555F" w:rsidRPr="004349E0" w:rsidRDefault="0014555F" w:rsidP="00AA147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2205D214"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2B47E4B2" w14:textId="77777777" w:rsidTr="009B0C30">
        <w:trPr>
          <w:trHeight w:val="204"/>
        </w:trPr>
        <w:tc>
          <w:tcPr>
            <w:tcW w:w="3119" w:type="dxa"/>
            <w:tcBorders>
              <w:top w:val="nil"/>
              <w:left w:val="nil"/>
              <w:bottom w:val="nil"/>
              <w:right w:val="nil"/>
            </w:tcBorders>
            <w:shd w:val="clear" w:color="auto" w:fill="auto"/>
            <w:noWrap/>
            <w:vAlign w:val="center"/>
            <w:hideMark/>
          </w:tcPr>
          <w:p w14:paraId="75B3CD62"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14:paraId="0DDB0C2F" w14:textId="77777777" w:rsidR="0014555F" w:rsidRPr="004349E0" w:rsidRDefault="0014555F" w:rsidP="00AA147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276F29FD" w14:textId="28649262"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6EAA8A40" w14:textId="77777777"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F86B40F" w14:textId="77777777" w:rsidR="0014555F" w:rsidRPr="004349E0" w:rsidRDefault="0014555F" w:rsidP="00AA147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DB67234"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4F7D1560" w14:textId="77777777" w:rsidTr="009B0C30">
        <w:trPr>
          <w:trHeight w:val="204"/>
        </w:trPr>
        <w:tc>
          <w:tcPr>
            <w:tcW w:w="3119" w:type="dxa"/>
            <w:tcBorders>
              <w:top w:val="nil"/>
              <w:left w:val="nil"/>
              <w:bottom w:val="nil"/>
              <w:right w:val="nil"/>
            </w:tcBorders>
            <w:shd w:val="clear" w:color="auto" w:fill="auto"/>
            <w:vAlign w:val="center"/>
            <w:hideMark/>
          </w:tcPr>
          <w:p w14:paraId="001D5629" w14:textId="420F7192" w:rsidR="0014555F" w:rsidRPr="004349E0" w:rsidRDefault="0014555F" w:rsidP="00BD66D4">
            <w:pPr>
              <w:spacing w:after="0" w:line="240" w:lineRule="auto"/>
              <w:ind w:left="113"/>
              <w:jc w:val="left"/>
              <w:rPr>
                <w:rFonts w:ascii="Arial" w:hAnsi="Arial" w:cs="Arial"/>
                <w:color w:val="000000"/>
                <w:sz w:val="16"/>
                <w:szCs w:val="16"/>
              </w:rPr>
            </w:pPr>
            <w:r w:rsidRPr="004349E0">
              <w:rPr>
                <w:rFonts w:ascii="Arial" w:hAnsi="Arial" w:cs="Arial"/>
                <w:color w:val="000000"/>
                <w:sz w:val="16"/>
                <w:szCs w:val="16"/>
              </w:rPr>
              <w:t>Purchase of property, plant and</w:t>
            </w:r>
            <w:r w:rsidR="00BD66D4" w:rsidRPr="004349E0">
              <w:rPr>
                <w:rFonts w:ascii="Arial" w:hAnsi="Arial" w:cs="Arial"/>
                <w:color w:val="000000"/>
                <w:sz w:val="16"/>
                <w:szCs w:val="16"/>
              </w:rPr>
              <w:t xml:space="preserve"> </w:t>
            </w:r>
            <w:r w:rsidRPr="004349E0">
              <w:rPr>
                <w:rFonts w:ascii="Arial" w:hAnsi="Arial" w:cs="Arial"/>
                <w:color w:val="000000"/>
                <w:sz w:val="16"/>
                <w:szCs w:val="16"/>
              </w:rPr>
              <w:t>equipment and intangibles</w:t>
            </w:r>
          </w:p>
        </w:tc>
        <w:tc>
          <w:tcPr>
            <w:tcW w:w="880" w:type="dxa"/>
            <w:tcBorders>
              <w:top w:val="nil"/>
              <w:left w:val="nil"/>
              <w:bottom w:val="nil"/>
              <w:right w:val="nil"/>
            </w:tcBorders>
            <w:shd w:val="clear" w:color="auto" w:fill="auto"/>
            <w:noWrap/>
            <w:vAlign w:val="bottom"/>
            <w:hideMark/>
          </w:tcPr>
          <w:p w14:paraId="007F200A" w14:textId="35508A27"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7,731</w:t>
            </w:r>
          </w:p>
        </w:tc>
        <w:tc>
          <w:tcPr>
            <w:tcW w:w="880" w:type="dxa"/>
            <w:tcBorders>
              <w:top w:val="nil"/>
              <w:left w:val="nil"/>
              <w:bottom w:val="nil"/>
              <w:right w:val="nil"/>
            </w:tcBorders>
            <w:shd w:val="clear" w:color="auto" w:fill="E6E6E6"/>
            <w:noWrap/>
            <w:vAlign w:val="bottom"/>
            <w:hideMark/>
          </w:tcPr>
          <w:p w14:paraId="27FCDB81" w14:textId="6DD0B7C2"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15,260</w:t>
            </w:r>
          </w:p>
        </w:tc>
        <w:tc>
          <w:tcPr>
            <w:tcW w:w="880" w:type="dxa"/>
            <w:tcBorders>
              <w:top w:val="nil"/>
              <w:left w:val="nil"/>
              <w:bottom w:val="nil"/>
              <w:right w:val="nil"/>
            </w:tcBorders>
            <w:shd w:val="clear" w:color="auto" w:fill="auto"/>
            <w:noWrap/>
            <w:vAlign w:val="bottom"/>
            <w:hideMark/>
          </w:tcPr>
          <w:p w14:paraId="2A7DAABC" w14:textId="7B267327"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7,702</w:t>
            </w:r>
          </w:p>
        </w:tc>
        <w:tc>
          <w:tcPr>
            <w:tcW w:w="880" w:type="dxa"/>
            <w:tcBorders>
              <w:top w:val="nil"/>
              <w:left w:val="nil"/>
              <w:bottom w:val="nil"/>
              <w:right w:val="nil"/>
            </w:tcBorders>
            <w:shd w:val="clear" w:color="auto" w:fill="auto"/>
            <w:noWrap/>
            <w:vAlign w:val="bottom"/>
            <w:hideMark/>
          </w:tcPr>
          <w:p w14:paraId="320BB64E" w14:textId="0D1C8BBE"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6,802</w:t>
            </w:r>
          </w:p>
        </w:tc>
        <w:tc>
          <w:tcPr>
            <w:tcW w:w="880" w:type="dxa"/>
            <w:tcBorders>
              <w:top w:val="nil"/>
              <w:left w:val="nil"/>
              <w:bottom w:val="nil"/>
              <w:right w:val="nil"/>
            </w:tcBorders>
            <w:shd w:val="clear" w:color="auto" w:fill="auto"/>
            <w:noWrap/>
            <w:vAlign w:val="bottom"/>
            <w:hideMark/>
          </w:tcPr>
          <w:p w14:paraId="065D972C" w14:textId="1B29B325"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6,732</w:t>
            </w:r>
          </w:p>
        </w:tc>
      </w:tr>
      <w:tr w:rsidR="0014555F" w:rsidRPr="004349E0" w14:paraId="336326A9" w14:textId="77777777" w:rsidTr="009B0C30">
        <w:trPr>
          <w:trHeight w:val="204"/>
        </w:trPr>
        <w:tc>
          <w:tcPr>
            <w:tcW w:w="3119" w:type="dxa"/>
            <w:tcBorders>
              <w:top w:val="nil"/>
              <w:left w:val="nil"/>
              <w:bottom w:val="nil"/>
              <w:right w:val="nil"/>
            </w:tcBorders>
            <w:shd w:val="clear" w:color="auto" w:fill="auto"/>
            <w:noWrap/>
            <w:vAlign w:val="center"/>
            <w:hideMark/>
          </w:tcPr>
          <w:p w14:paraId="0CA9EC07" w14:textId="77777777" w:rsidR="0014555F" w:rsidRPr="004349E0" w:rsidRDefault="0014555F" w:rsidP="0014555F">
            <w:pPr>
              <w:spacing w:after="0" w:line="240" w:lineRule="auto"/>
              <w:jc w:val="left"/>
              <w:rPr>
                <w:rFonts w:ascii="Arial" w:hAnsi="Arial" w:cs="Arial"/>
                <w:b/>
                <w:bCs/>
                <w:iCs/>
                <w:color w:val="000000"/>
                <w:sz w:val="16"/>
                <w:szCs w:val="16"/>
              </w:rPr>
            </w:pPr>
            <w:r w:rsidRPr="004349E0">
              <w:rPr>
                <w:rFonts w:ascii="Arial" w:hAnsi="Arial" w:cs="Arial"/>
                <w:b/>
                <w:bCs/>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14:paraId="6DD08E73" w14:textId="29CA51FB"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7,731</w:t>
            </w:r>
          </w:p>
        </w:tc>
        <w:tc>
          <w:tcPr>
            <w:tcW w:w="880" w:type="dxa"/>
            <w:tcBorders>
              <w:top w:val="single" w:sz="4" w:space="0" w:color="000000"/>
              <w:left w:val="nil"/>
              <w:bottom w:val="single" w:sz="4" w:space="0" w:color="000000"/>
              <w:right w:val="nil"/>
            </w:tcBorders>
            <w:shd w:val="clear" w:color="auto" w:fill="E6E6E6"/>
            <w:noWrap/>
            <w:vAlign w:val="bottom"/>
            <w:hideMark/>
          </w:tcPr>
          <w:p w14:paraId="74F5BDAC" w14:textId="51B7E539"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15,260</w:t>
            </w:r>
          </w:p>
        </w:tc>
        <w:tc>
          <w:tcPr>
            <w:tcW w:w="880" w:type="dxa"/>
            <w:tcBorders>
              <w:top w:val="single" w:sz="4" w:space="0" w:color="000000"/>
              <w:left w:val="nil"/>
              <w:bottom w:val="single" w:sz="4" w:space="0" w:color="000000"/>
              <w:right w:val="nil"/>
            </w:tcBorders>
            <w:shd w:val="clear" w:color="auto" w:fill="auto"/>
            <w:noWrap/>
            <w:vAlign w:val="bottom"/>
            <w:hideMark/>
          </w:tcPr>
          <w:p w14:paraId="127A5EE8" w14:textId="16E189C9"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7,702</w:t>
            </w:r>
          </w:p>
        </w:tc>
        <w:tc>
          <w:tcPr>
            <w:tcW w:w="880" w:type="dxa"/>
            <w:tcBorders>
              <w:top w:val="single" w:sz="4" w:space="0" w:color="000000"/>
              <w:left w:val="nil"/>
              <w:bottom w:val="single" w:sz="4" w:space="0" w:color="000000"/>
              <w:right w:val="nil"/>
            </w:tcBorders>
            <w:shd w:val="clear" w:color="auto" w:fill="auto"/>
            <w:noWrap/>
            <w:vAlign w:val="bottom"/>
            <w:hideMark/>
          </w:tcPr>
          <w:p w14:paraId="7B97A1A6" w14:textId="656FA1D5"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6,802</w:t>
            </w:r>
          </w:p>
        </w:tc>
        <w:tc>
          <w:tcPr>
            <w:tcW w:w="880" w:type="dxa"/>
            <w:tcBorders>
              <w:top w:val="single" w:sz="4" w:space="0" w:color="000000"/>
              <w:left w:val="nil"/>
              <w:bottom w:val="single" w:sz="4" w:space="0" w:color="000000"/>
              <w:right w:val="nil"/>
            </w:tcBorders>
            <w:shd w:val="clear" w:color="auto" w:fill="auto"/>
            <w:noWrap/>
            <w:vAlign w:val="bottom"/>
            <w:hideMark/>
          </w:tcPr>
          <w:p w14:paraId="0321666D" w14:textId="06A062F7"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6,732</w:t>
            </w:r>
          </w:p>
        </w:tc>
      </w:tr>
      <w:tr w:rsidR="0014555F" w:rsidRPr="004349E0" w14:paraId="090EAB40" w14:textId="77777777" w:rsidTr="009B0C30">
        <w:trPr>
          <w:trHeight w:val="204"/>
        </w:trPr>
        <w:tc>
          <w:tcPr>
            <w:tcW w:w="3119" w:type="dxa"/>
            <w:tcBorders>
              <w:top w:val="nil"/>
              <w:left w:val="nil"/>
              <w:bottom w:val="nil"/>
              <w:right w:val="nil"/>
            </w:tcBorders>
            <w:shd w:val="clear" w:color="auto" w:fill="auto"/>
            <w:vAlign w:val="center"/>
            <w:hideMark/>
          </w:tcPr>
          <w:p w14:paraId="7DCEEAAC"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Net cash from/(used by) investing activities</w:t>
            </w:r>
          </w:p>
        </w:tc>
        <w:tc>
          <w:tcPr>
            <w:tcW w:w="880" w:type="dxa"/>
            <w:tcBorders>
              <w:top w:val="nil"/>
              <w:left w:val="nil"/>
              <w:bottom w:val="single" w:sz="4" w:space="0" w:color="auto"/>
              <w:right w:val="nil"/>
            </w:tcBorders>
            <w:shd w:val="clear" w:color="auto" w:fill="auto"/>
            <w:noWrap/>
            <w:vAlign w:val="bottom"/>
            <w:hideMark/>
          </w:tcPr>
          <w:p w14:paraId="060DD20E" w14:textId="77777777"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(7,731)</w:t>
            </w:r>
          </w:p>
        </w:tc>
        <w:tc>
          <w:tcPr>
            <w:tcW w:w="880" w:type="dxa"/>
            <w:tcBorders>
              <w:top w:val="nil"/>
              <w:left w:val="nil"/>
              <w:bottom w:val="single" w:sz="4" w:space="0" w:color="auto"/>
              <w:right w:val="nil"/>
            </w:tcBorders>
            <w:shd w:val="clear" w:color="auto" w:fill="E6E6E6"/>
            <w:noWrap/>
            <w:vAlign w:val="bottom"/>
            <w:hideMark/>
          </w:tcPr>
          <w:p w14:paraId="5B402971" w14:textId="77777777"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(15,260)</w:t>
            </w:r>
          </w:p>
        </w:tc>
        <w:tc>
          <w:tcPr>
            <w:tcW w:w="880" w:type="dxa"/>
            <w:tcBorders>
              <w:top w:val="nil"/>
              <w:left w:val="nil"/>
              <w:bottom w:val="single" w:sz="4" w:space="0" w:color="auto"/>
              <w:right w:val="nil"/>
            </w:tcBorders>
            <w:shd w:val="clear" w:color="auto" w:fill="auto"/>
            <w:noWrap/>
            <w:vAlign w:val="bottom"/>
            <w:hideMark/>
          </w:tcPr>
          <w:p w14:paraId="4782C365" w14:textId="77777777"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(7,702)</w:t>
            </w:r>
          </w:p>
        </w:tc>
        <w:tc>
          <w:tcPr>
            <w:tcW w:w="880" w:type="dxa"/>
            <w:tcBorders>
              <w:top w:val="nil"/>
              <w:left w:val="nil"/>
              <w:bottom w:val="single" w:sz="4" w:space="0" w:color="auto"/>
              <w:right w:val="nil"/>
            </w:tcBorders>
            <w:shd w:val="clear" w:color="auto" w:fill="auto"/>
            <w:noWrap/>
            <w:vAlign w:val="bottom"/>
            <w:hideMark/>
          </w:tcPr>
          <w:p w14:paraId="7E8ED061" w14:textId="77777777"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(6,802)</w:t>
            </w:r>
          </w:p>
        </w:tc>
        <w:tc>
          <w:tcPr>
            <w:tcW w:w="880" w:type="dxa"/>
            <w:tcBorders>
              <w:top w:val="nil"/>
              <w:left w:val="nil"/>
              <w:bottom w:val="single" w:sz="4" w:space="0" w:color="auto"/>
              <w:right w:val="nil"/>
            </w:tcBorders>
            <w:shd w:val="clear" w:color="auto" w:fill="auto"/>
            <w:noWrap/>
            <w:vAlign w:val="bottom"/>
            <w:hideMark/>
          </w:tcPr>
          <w:p w14:paraId="47DD1F82" w14:textId="77777777"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(6,732)</w:t>
            </w:r>
          </w:p>
        </w:tc>
      </w:tr>
      <w:tr w:rsidR="0014555F" w:rsidRPr="004349E0" w14:paraId="6A3CD21D" w14:textId="77777777" w:rsidTr="009B0C30">
        <w:trPr>
          <w:trHeight w:val="204"/>
        </w:trPr>
        <w:tc>
          <w:tcPr>
            <w:tcW w:w="3119" w:type="dxa"/>
            <w:tcBorders>
              <w:top w:val="nil"/>
              <w:left w:val="nil"/>
              <w:bottom w:val="nil"/>
              <w:right w:val="nil"/>
            </w:tcBorders>
            <w:shd w:val="clear" w:color="auto" w:fill="auto"/>
            <w:noWrap/>
            <w:vAlign w:val="center"/>
            <w:hideMark/>
          </w:tcPr>
          <w:p w14:paraId="12CC74BE"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FINANCING ACTIVITIES</w:t>
            </w:r>
          </w:p>
        </w:tc>
        <w:tc>
          <w:tcPr>
            <w:tcW w:w="880" w:type="dxa"/>
            <w:tcBorders>
              <w:top w:val="nil"/>
              <w:left w:val="nil"/>
              <w:bottom w:val="nil"/>
              <w:right w:val="nil"/>
            </w:tcBorders>
            <w:shd w:val="clear" w:color="auto" w:fill="auto"/>
            <w:noWrap/>
            <w:vAlign w:val="bottom"/>
            <w:hideMark/>
          </w:tcPr>
          <w:p w14:paraId="48A7633B" w14:textId="77777777" w:rsidR="0014555F" w:rsidRPr="004349E0" w:rsidRDefault="0014555F" w:rsidP="00AA147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5896AFD7" w14:textId="52015780"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7E4AA0B" w14:textId="77777777"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0A5C20CC" w14:textId="77777777" w:rsidR="0014555F" w:rsidRPr="004349E0" w:rsidRDefault="0014555F" w:rsidP="00AA147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B62D973"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1C9C9CB8" w14:textId="77777777" w:rsidTr="009B0C30">
        <w:trPr>
          <w:trHeight w:val="204"/>
        </w:trPr>
        <w:tc>
          <w:tcPr>
            <w:tcW w:w="3119" w:type="dxa"/>
            <w:tcBorders>
              <w:top w:val="nil"/>
              <w:left w:val="nil"/>
              <w:bottom w:val="nil"/>
              <w:right w:val="nil"/>
            </w:tcBorders>
            <w:shd w:val="clear" w:color="auto" w:fill="auto"/>
            <w:noWrap/>
            <w:vAlign w:val="center"/>
            <w:hideMark/>
          </w:tcPr>
          <w:p w14:paraId="3A558B5C"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14:paraId="7ED026AE" w14:textId="77777777" w:rsidR="0014555F" w:rsidRPr="004349E0" w:rsidRDefault="0014555F" w:rsidP="00AA147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1268CE62" w14:textId="1886A511"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9C2521A" w14:textId="77777777"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0ED49ABF" w14:textId="77777777" w:rsidR="0014555F" w:rsidRPr="004349E0" w:rsidRDefault="0014555F" w:rsidP="00AA147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D414910"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61A5204B" w14:textId="77777777" w:rsidTr="009B0C30">
        <w:trPr>
          <w:trHeight w:val="204"/>
        </w:trPr>
        <w:tc>
          <w:tcPr>
            <w:tcW w:w="3119" w:type="dxa"/>
            <w:tcBorders>
              <w:top w:val="nil"/>
              <w:left w:val="nil"/>
              <w:bottom w:val="nil"/>
              <w:right w:val="nil"/>
            </w:tcBorders>
            <w:shd w:val="clear" w:color="auto" w:fill="auto"/>
            <w:noWrap/>
            <w:vAlign w:val="center"/>
            <w:hideMark/>
          </w:tcPr>
          <w:p w14:paraId="3F34F145" w14:textId="77777777" w:rsidR="0014555F" w:rsidRPr="004349E0" w:rsidRDefault="0014555F" w:rsidP="004E6158">
            <w:pPr>
              <w:spacing w:after="0" w:line="240" w:lineRule="auto"/>
              <w:ind w:left="113"/>
              <w:jc w:val="left"/>
              <w:rPr>
                <w:rFonts w:ascii="Arial" w:hAnsi="Arial" w:cs="Arial"/>
                <w:color w:val="000000"/>
                <w:sz w:val="16"/>
                <w:szCs w:val="16"/>
              </w:rPr>
            </w:pPr>
            <w:r w:rsidRPr="004349E0">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bottom"/>
            <w:hideMark/>
          </w:tcPr>
          <w:p w14:paraId="6D18C745" w14:textId="00772F4F"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7,869</w:t>
            </w:r>
          </w:p>
        </w:tc>
        <w:tc>
          <w:tcPr>
            <w:tcW w:w="880" w:type="dxa"/>
            <w:tcBorders>
              <w:top w:val="nil"/>
              <w:left w:val="nil"/>
              <w:bottom w:val="nil"/>
              <w:right w:val="nil"/>
            </w:tcBorders>
            <w:shd w:val="clear" w:color="auto" w:fill="E6E6E6"/>
            <w:noWrap/>
            <w:vAlign w:val="bottom"/>
            <w:hideMark/>
          </w:tcPr>
          <w:p w14:paraId="6AA18EC9" w14:textId="775E8AAA"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15,788</w:t>
            </w:r>
          </w:p>
        </w:tc>
        <w:tc>
          <w:tcPr>
            <w:tcW w:w="880" w:type="dxa"/>
            <w:tcBorders>
              <w:top w:val="nil"/>
              <w:left w:val="nil"/>
              <w:bottom w:val="nil"/>
              <w:right w:val="nil"/>
            </w:tcBorders>
            <w:shd w:val="clear" w:color="auto" w:fill="auto"/>
            <w:noWrap/>
            <w:vAlign w:val="bottom"/>
            <w:hideMark/>
          </w:tcPr>
          <w:p w14:paraId="52EFA470" w14:textId="00FA98F8"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7,702</w:t>
            </w:r>
          </w:p>
        </w:tc>
        <w:tc>
          <w:tcPr>
            <w:tcW w:w="880" w:type="dxa"/>
            <w:tcBorders>
              <w:top w:val="nil"/>
              <w:left w:val="nil"/>
              <w:bottom w:val="nil"/>
              <w:right w:val="nil"/>
            </w:tcBorders>
            <w:shd w:val="clear" w:color="auto" w:fill="auto"/>
            <w:noWrap/>
            <w:vAlign w:val="bottom"/>
            <w:hideMark/>
          </w:tcPr>
          <w:p w14:paraId="4E843A59" w14:textId="28CB0ED4"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6,802</w:t>
            </w:r>
          </w:p>
        </w:tc>
        <w:tc>
          <w:tcPr>
            <w:tcW w:w="880" w:type="dxa"/>
            <w:tcBorders>
              <w:top w:val="nil"/>
              <w:left w:val="nil"/>
              <w:bottom w:val="nil"/>
              <w:right w:val="nil"/>
            </w:tcBorders>
            <w:shd w:val="clear" w:color="auto" w:fill="auto"/>
            <w:noWrap/>
            <w:vAlign w:val="bottom"/>
            <w:hideMark/>
          </w:tcPr>
          <w:p w14:paraId="41BF441F" w14:textId="11049F5B"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6,732</w:t>
            </w:r>
          </w:p>
        </w:tc>
      </w:tr>
      <w:tr w:rsidR="0014555F" w:rsidRPr="004349E0" w14:paraId="7930291D" w14:textId="77777777" w:rsidTr="009B0C30">
        <w:trPr>
          <w:trHeight w:val="204"/>
        </w:trPr>
        <w:tc>
          <w:tcPr>
            <w:tcW w:w="3119" w:type="dxa"/>
            <w:tcBorders>
              <w:top w:val="nil"/>
              <w:left w:val="nil"/>
              <w:bottom w:val="nil"/>
              <w:right w:val="nil"/>
            </w:tcBorders>
            <w:shd w:val="clear" w:color="auto" w:fill="auto"/>
            <w:noWrap/>
            <w:vAlign w:val="center"/>
            <w:hideMark/>
          </w:tcPr>
          <w:p w14:paraId="16D4BE95" w14:textId="77777777" w:rsidR="0014555F" w:rsidRPr="004349E0" w:rsidRDefault="0014555F" w:rsidP="0014555F">
            <w:pPr>
              <w:spacing w:after="0" w:line="240" w:lineRule="auto"/>
              <w:jc w:val="left"/>
              <w:rPr>
                <w:rFonts w:ascii="Arial" w:hAnsi="Arial" w:cs="Arial"/>
                <w:b/>
                <w:bCs/>
                <w:iCs/>
                <w:color w:val="000000"/>
                <w:sz w:val="16"/>
                <w:szCs w:val="16"/>
              </w:rPr>
            </w:pPr>
            <w:r w:rsidRPr="004349E0">
              <w:rPr>
                <w:rFonts w:ascii="Arial" w:hAnsi="Arial" w:cs="Arial"/>
                <w:b/>
                <w:bCs/>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14:paraId="7AA00BBA" w14:textId="796217D8"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7,869</w:t>
            </w:r>
          </w:p>
        </w:tc>
        <w:tc>
          <w:tcPr>
            <w:tcW w:w="880" w:type="dxa"/>
            <w:tcBorders>
              <w:top w:val="single" w:sz="4" w:space="0" w:color="000000"/>
              <w:left w:val="nil"/>
              <w:bottom w:val="single" w:sz="4" w:space="0" w:color="000000"/>
              <w:right w:val="nil"/>
            </w:tcBorders>
            <w:shd w:val="clear" w:color="auto" w:fill="E6E6E6"/>
            <w:noWrap/>
            <w:vAlign w:val="bottom"/>
            <w:hideMark/>
          </w:tcPr>
          <w:p w14:paraId="68EEE836" w14:textId="4339C15A"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15,788</w:t>
            </w:r>
          </w:p>
        </w:tc>
        <w:tc>
          <w:tcPr>
            <w:tcW w:w="880" w:type="dxa"/>
            <w:tcBorders>
              <w:top w:val="single" w:sz="4" w:space="0" w:color="000000"/>
              <w:left w:val="nil"/>
              <w:bottom w:val="single" w:sz="4" w:space="0" w:color="000000"/>
              <w:right w:val="nil"/>
            </w:tcBorders>
            <w:shd w:val="clear" w:color="auto" w:fill="auto"/>
            <w:noWrap/>
            <w:vAlign w:val="bottom"/>
            <w:hideMark/>
          </w:tcPr>
          <w:p w14:paraId="304F5362" w14:textId="19BB6FF1"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7,702</w:t>
            </w:r>
          </w:p>
        </w:tc>
        <w:tc>
          <w:tcPr>
            <w:tcW w:w="880" w:type="dxa"/>
            <w:tcBorders>
              <w:top w:val="single" w:sz="4" w:space="0" w:color="000000"/>
              <w:left w:val="nil"/>
              <w:bottom w:val="single" w:sz="4" w:space="0" w:color="000000"/>
              <w:right w:val="nil"/>
            </w:tcBorders>
            <w:shd w:val="clear" w:color="auto" w:fill="auto"/>
            <w:noWrap/>
            <w:vAlign w:val="bottom"/>
            <w:hideMark/>
          </w:tcPr>
          <w:p w14:paraId="6E3EA26D" w14:textId="46C226A6"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6,802</w:t>
            </w:r>
          </w:p>
        </w:tc>
        <w:tc>
          <w:tcPr>
            <w:tcW w:w="880" w:type="dxa"/>
            <w:tcBorders>
              <w:top w:val="single" w:sz="4" w:space="0" w:color="000000"/>
              <w:left w:val="nil"/>
              <w:bottom w:val="single" w:sz="4" w:space="0" w:color="000000"/>
              <w:right w:val="nil"/>
            </w:tcBorders>
            <w:shd w:val="clear" w:color="auto" w:fill="auto"/>
            <w:noWrap/>
            <w:vAlign w:val="bottom"/>
            <w:hideMark/>
          </w:tcPr>
          <w:p w14:paraId="73EA28E7" w14:textId="21518DB1"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6,732</w:t>
            </w:r>
          </w:p>
        </w:tc>
      </w:tr>
      <w:tr w:rsidR="0014555F" w:rsidRPr="004349E0" w14:paraId="2B14E6EF" w14:textId="77777777" w:rsidTr="009B0C30">
        <w:trPr>
          <w:trHeight w:val="204"/>
        </w:trPr>
        <w:tc>
          <w:tcPr>
            <w:tcW w:w="3119" w:type="dxa"/>
            <w:tcBorders>
              <w:top w:val="nil"/>
              <w:left w:val="nil"/>
              <w:bottom w:val="nil"/>
              <w:right w:val="nil"/>
            </w:tcBorders>
            <w:shd w:val="clear" w:color="auto" w:fill="auto"/>
            <w:noWrap/>
            <w:vAlign w:val="center"/>
            <w:hideMark/>
          </w:tcPr>
          <w:p w14:paraId="47A63FD6"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14:paraId="4FEBC9C9" w14:textId="77777777" w:rsidR="0014555F" w:rsidRPr="004349E0" w:rsidRDefault="0014555F" w:rsidP="00AA147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auto" w:fill="E6E6E6"/>
            <w:noWrap/>
            <w:vAlign w:val="bottom"/>
            <w:hideMark/>
          </w:tcPr>
          <w:p w14:paraId="23A90414" w14:textId="50B57B8B"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60E47DD" w14:textId="77777777" w:rsidR="0014555F" w:rsidRPr="004349E0" w:rsidRDefault="0014555F" w:rsidP="00AA147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0CE79F89" w14:textId="77777777" w:rsidR="0014555F" w:rsidRPr="004349E0" w:rsidRDefault="0014555F" w:rsidP="00AA1477">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2CE011BA" w14:textId="77777777" w:rsidR="0014555F" w:rsidRPr="004349E0" w:rsidRDefault="0014555F" w:rsidP="00AA1477">
            <w:pPr>
              <w:spacing w:after="0" w:line="240" w:lineRule="auto"/>
              <w:jc w:val="right"/>
              <w:rPr>
                <w:rFonts w:ascii="Arial" w:hAnsi="Arial" w:cs="Arial"/>
                <w:sz w:val="16"/>
                <w:szCs w:val="16"/>
              </w:rPr>
            </w:pPr>
          </w:p>
        </w:tc>
      </w:tr>
      <w:tr w:rsidR="0014555F" w:rsidRPr="004349E0" w14:paraId="453C0943" w14:textId="77777777" w:rsidTr="009B0C30">
        <w:trPr>
          <w:trHeight w:val="204"/>
        </w:trPr>
        <w:tc>
          <w:tcPr>
            <w:tcW w:w="3119" w:type="dxa"/>
            <w:tcBorders>
              <w:top w:val="nil"/>
              <w:left w:val="nil"/>
              <w:bottom w:val="nil"/>
              <w:right w:val="nil"/>
            </w:tcBorders>
            <w:shd w:val="clear" w:color="auto" w:fill="auto"/>
            <w:noWrap/>
            <w:vAlign w:val="center"/>
            <w:hideMark/>
          </w:tcPr>
          <w:p w14:paraId="5BEC3AE9" w14:textId="77777777" w:rsidR="0014555F" w:rsidRPr="004349E0" w:rsidRDefault="0014555F" w:rsidP="004E6158">
            <w:pPr>
              <w:spacing w:after="0" w:line="240" w:lineRule="auto"/>
              <w:ind w:left="113"/>
              <w:jc w:val="left"/>
              <w:rPr>
                <w:rFonts w:ascii="Arial" w:hAnsi="Arial" w:cs="Arial"/>
                <w:sz w:val="16"/>
                <w:szCs w:val="16"/>
              </w:rPr>
            </w:pPr>
            <w:r w:rsidRPr="004349E0">
              <w:rPr>
                <w:rFonts w:ascii="Arial" w:hAnsi="Arial" w:cs="Arial"/>
                <w:color w:val="000000"/>
                <w:sz w:val="16"/>
                <w:szCs w:val="16"/>
              </w:rPr>
              <w:t>Principal payments on lease liability</w:t>
            </w:r>
          </w:p>
        </w:tc>
        <w:tc>
          <w:tcPr>
            <w:tcW w:w="880" w:type="dxa"/>
            <w:tcBorders>
              <w:top w:val="nil"/>
              <w:left w:val="nil"/>
              <w:bottom w:val="nil"/>
              <w:right w:val="nil"/>
            </w:tcBorders>
            <w:shd w:val="clear" w:color="auto" w:fill="auto"/>
            <w:noWrap/>
            <w:vAlign w:val="bottom"/>
            <w:hideMark/>
          </w:tcPr>
          <w:p w14:paraId="109CDF8E" w14:textId="5D515ED5"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5,808</w:t>
            </w:r>
          </w:p>
        </w:tc>
        <w:tc>
          <w:tcPr>
            <w:tcW w:w="880" w:type="dxa"/>
            <w:tcBorders>
              <w:top w:val="nil"/>
              <w:left w:val="nil"/>
              <w:bottom w:val="nil"/>
              <w:right w:val="nil"/>
            </w:tcBorders>
            <w:shd w:val="clear" w:color="auto" w:fill="E6E6E6"/>
            <w:noWrap/>
            <w:vAlign w:val="bottom"/>
            <w:hideMark/>
          </w:tcPr>
          <w:p w14:paraId="6D38F511" w14:textId="15AFFB55"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5,301</w:t>
            </w:r>
          </w:p>
        </w:tc>
        <w:tc>
          <w:tcPr>
            <w:tcW w:w="880" w:type="dxa"/>
            <w:tcBorders>
              <w:top w:val="nil"/>
              <w:left w:val="nil"/>
              <w:bottom w:val="nil"/>
              <w:right w:val="nil"/>
            </w:tcBorders>
            <w:shd w:val="clear" w:color="auto" w:fill="auto"/>
            <w:noWrap/>
            <w:vAlign w:val="bottom"/>
            <w:hideMark/>
          </w:tcPr>
          <w:p w14:paraId="3D1E8D01" w14:textId="1B499937"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7,711</w:t>
            </w:r>
          </w:p>
        </w:tc>
        <w:tc>
          <w:tcPr>
            <w:tcW w:w="880" w:type="dxa"/>
            <w:tcBorders>
              <w:top w:val="nil"/>
              <w:left w:val="nil"/>
              <w:bottom w:val="nil"/>
              <w:right w:val="nil"/>
            </w:tcBorders>
            <w:shd w:val="clear" w:color="auto" w:fill="auto"/>
            <w:noWrap/>
            <w:vAlign w:val="bottom"/>
            <w:hideMark/>
          </w:tcPr>
          <w:p w14:paraId="581434B5" w14:textId="71878255"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8,087</w:t>
            </w:r>
          </w:p>
        </w:tc>
        <w:tc>
          <w:tcPr>
            <w:tcW w:w="880" w:type="dxa"/>
            <w:tcBorders>
              <w:top w:val="nil"/>
              <w:left w:val="nil"/>
              <w:bottom w:val="nil"/>
              <w:right w:val="nil"/>
            </w:tcBorders>
            <w:shd w:val="clear" w:color="auto" w:fill="auto"/>
            <w:noWrap/>
            <w:vAlign w:val="bottom"/>
            <w:hideMark/>
          </w:tcPr>
          <w:p w14:paraId="1A36D953" w14:textId="769FEF49"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8,477</w:t>
            </w:r>
          </w:p>
        </w:tc>
      </w:tr>
      <w:tr w:rsidR="0014555F" w:rsidRPr="004349E0" w14:paraId="3AAD368B" w14:textId="77777777" w:rsidTr="009B0C30">
        <w:trPr>
          <w:trHeight w:val="204"/>
        </w:trPr>
        <w:tc>
          <w:tcPr>
            <w:tcW w:w="3119" w:type="dxa"/>
            <w:tcBorders>
              <w:top w:val="nil"/>
              <w:left w:val="nil"/>
              <w:bottom w:val="nil"/>
              <w:right w:val="nil"/>
            </w:tcBorders>
            <w:shd w:val="clear" w:color="auto" w:fill="auto"/>
            <w:noWrap/>
            <w:vAlign w:val="center"/>
            <w:hideMark/>
          </w:tcPr>
          <w:p w14:paraId="2B3C2D74" w14:textId="77777777" w:rsidR="0014555F" w:rsidRPr="004349E0" w:rsidRDefault="0014555F" w:rsidP="0014555F">
            <w:pPr>
              <w:spacing w:after="0" w:line="240" w:lineRule="auto"/>
              <w:jc w:val="left"/>
              <w:rPr>
                <w:rFonts w:ascii="Arial" w:hAnsi="Arial" w:cs="Arial"/>
                <w:b/>
                <w:bCs/>
                <w:iCs/>
                <w:color w:val="000000"/>
                <w:sz w:val="16"/>
                <w:szCs w:val="16"/>
              </w:rPr>
            </w:pPr>
            <w:r w:rsidRPr="004349E0">
              <w:rPr>
                <w:rFonts w:ascii="Arial" w:hAnsi="Arial" w:cs="Arial"/>
                <w:b/>
                <w:bCs/>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14:paraId="3EA87403" w14:textId="70ABBFD3"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5,808</w:t>
            </w:r>
          </w:p>
        </w:tc>
        <w:tc>
          <w:tcPr>
            <w:tcW w:w="880" w:type="dxa"/>
            <w:tcBorders>
              <w:top w:val="single" w:sz="4" w:space="0" w:color="000000"/>
              <w:left w:val="nil"/>
              <w:bottom w:val="single" w:sz="4" w:space="0" w:color="000000"/>
              <w:right w:val="nil"/>
            </w:tcBorders>
            <w:shd w:val="clear" w:color="auto" w:fill="E6E6E6"/>
            <w:noWrap/>
            <w:vAlign w:val="bottom"/>
            <w:hideMark/>
          </w:tcPr>
          <w:p w14:paraId="5F776BC2" w14:textId="07EAE8AF"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5,301</w:t>
            </w:r>
          </w:p>
        </w:tc>
        <w:tc>
          <w:tcPr>
            <w:tcW w:w="880" w:type="dxa"/>
            <w:tcBorders>
              <w:top w:val="single" w:sz="4" w:space="0" w:color="000000"/>
              <w:left w:val="nil"/>
              <w:bottom w:val="single" w:sz="4" w:space="0" w:color="000000"/>
              <w:right w:val="nil"/>
            </w:tcBorders>
            <w:shd w:val="clear" w:color="auto" w:fill="auto"/>
            <w:noWrap/>
            <w:vAlign w:val="bottom"/>
            <w:hideMark/>
          </w:tcPr>
          <w:p w14:paraId="036DD50F" w14:textId="59ED2BC2"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7,711</w:t>
            </w:r>
          </w:p>
        </w:tc>
        <w:tc>
          <w:tcPr>
            <w:tcW w:w="880" w:type="dxa"/>
            <w:tcBorders>
              <w:top w:val="single" w:sz="4" w:space="0" w:color="000000"/>
              <w:left w:val="nil"/>
              <w:bottom w:val="single" w:sz="4" w:space="0" w:color="000000"/>
              <w:right w:val="nil"/>
            </w:tcBorders>
            <w:shd w:val="clear" w:color="auto" w:fill="auto"/>
            <w:noWrap/>
            <w:vAlign w:val="bottom"/>
            <w:hideMark/>
          </w:tcPr>
          <w:p w14:paraId="27936349" w14:textId="7AB4956D"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8,087</w:t>
            </w:r>
          </w:p>
        </w:tc>
        <w:tc>
          <w:tcPr>
            <w:tcW w:w="880" w:type="dxa"/>
            <w:tcBorders>
              <w:top w:val="single" w:sz="4" w:space="0" w:color="000000"/>
              <w:left w:val="nil"/>
              <w:bottom w:val="single" w:sz="4" w:space="0" w:color="000000"/>
              <w:right w:val="nil"/>
            </w:tcBorders>
            <w:shd w:val="clear" w:color="auto" w:fill="auto"/>
            <w:noWrap/>
            <w:vAlign w:val="bottom"/>
            <w:hideMark/>
          </w:tcPr>
          <w:p w14:paraId="5C54C242" w14:textId="7CD582A3" w:rsidR="0014555F" w:rsidRPr="004349E0" w:rsidRDefault="0014555F" w:rsidP="00AA1477">
            <w:pPr>
              <w:spacing w:after="0" w:line="240" w:lineRule="auto"/>
              <w:jc w:val="right"/>
              <w:rPr>
                <w:rFonts w:ascii="Arial" w:hAnsi="Arial" w:cs="Arial"/>
                <w:b/>
                <w:bCs/>
                <w:iCs/>
                <w:color w:val="000000"/>
                <w:sz w:val="16"/>
                <w:szCs w:val="16"/>
              </w:rPr>
            </w:pPr>
            <w:r w:rsidRPr="004349E0">
              <w:rPr>
                <w:rFonts w:ascii="Arial" w:hAnsi="Arial" w:cs="Arial"/>
                <w:b/>
                <w:bCs/>
                <w:iCs/>
                <w:color w:val="000000"/>
                <w:sz w:val="16"/>
                <w:szCs w:val="16"/>
              </w:rPr>
              <w:t>8,477</w:t>
            </w:r>
          </w:p>
        </w:tc>
      </w:tr>
      <w:tr w:rsidR="0014555F" w:rsidRPr="004349E0" w14:paraId="03D4C4DD" w14:textId="77777777" w:rsidTr="009B0C30">
        <w:trPr>
          <w:trHeight w:val="204"/>
        </w:trPr>
        <w:tc>
          <w:tcPr>
            <w:tcW w:w="3119" w:type="dxa"/>
            <w:tcBorders>
              <w:top w:val="nil"/>
              <w:left w:val="nil"/>
              <w:bottom w:val="nil"/>
              <w:right w:val="nil"/>
            </w:tcBorders>
            <w:shd w:val="clear" w:color="auto" w:fill="auto"/>
            <w:vAlign w:val="center"/>
            <w:hideMark/>
          </w:tcPr>
          <w:p w14:paraId="221240CC" w14:textId="77777777" w:rsidR="0014555F" w:rsidRPr="004349E0" w:rsidRDefault="0014555F" w:rsidP="0014555F">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Net cash from/(used by) financing activities</w:t>
            </w:r>
          </w:p>
        </w:tc>
        <w:tc>
          <w:tcPr>
            <w:tcW w:w="880" w:type="dxa"/>
            <w:tcBorders>
              <w:top w:val="nil"/>
              <w:left w:val="nil"/>
              <w:bottom w:val="single" w:sz="4" w:space="0" w:color="000000"/>
              <w:right w:val="nil"/>
            </w:tcBorders>
            <w:shd w:val="clear" w:color="auto" w:fill="auto"/>
            <w:noWrap/>
            <w:vAlign w:val="bottom"/>
            <w:hideMark/>
          </w:tcPr>
          <w:p w14:paraId="314CA4D5" w14:textId="260193CA"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2,061</w:t>
            </w:r>
          </w:p>
        </w:tc>
        <w:tc>
          <w:tcPr>
            <w:tcW w:w="880" w:type="dxa"/>
            <w:tcBorders>
              <w:top w:val="nil"/>
              <w:left w:val="nil"/>
              <w:bottom w:val="single" w:sz="4" w:space="0" w:color="000000"/>
              <w:right w:val="nil"/>
            </w:tcBorders>
            <w:shd w:val="clear" w:color="auto" w:fill="E6E6E6"/>
            <w:noWrap/>
            <w:vAlign w:val="bottom"/>
            <w:hideMark/>
          </w:tcPr>
          <w:p w14:paraId="645C473C" w14:textId="258F6781"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10,487</w:t>
            </w:r>
          </w:p>
        </w:tc>
        <w:tc>
          <w:tcPr>
            <w:tcW w:w="880" w:type="dxa"/>
            <w:tcBorders>
              <w:top w:val="nil"/>
              <w:left w:val="nil"/>
              <w:bottom w:val="single" w:sz="4" w:space="0" w:color="000000"/>
              <w:right w:val="nil"/>
            </w:tcBorders>
            <w:shd w:val="clear" w:color="auto" w:fill="auto"/>
            <w:noWrap/>
            <w:vAlign w:val="bottom"/>
            <w:hideMark/>
          </w:tcPr>
          <w:p w14:paraId="4325AA0E" w14:textId="77777777"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(9)</w:t>
            </w:r>
          </w:p>
        </w:tc>
        <w:tc>
          <w:tcPr>
            <w:tcW w:w="880" w:type="dxa"/>
            <w:tcBorders>
              <w:top w:val="nil"/>
              <w:left w:val="nil"/>
              <w:bottom w:val="single" w:sz="4" w:space="0" w:color="000000"/>
              <w:right w:val="nil"/>
            </w:tcBorders>
            <w:shd w:val="clear" w:color="auto" w:fill="auto"/>
            <w:noWrap/>
            <w:vAlign w:val="bottom"/>
            <w:hideMark/>
          </w:tcPr>
          <w:p w14:paraId="16F9AC16" w14:textId="77777777"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(1,285)</w:t>
            </w:r>
          </w:p>
        </w:tc>
        <w:tc>
          <w:tcPr>
            <w:tcW w:w="880" w:type="dxa"/>
            <w:tcBorders>
              <w:top w:val="nil"/>
              <w:left w:val="nil"/>
              <w:bottom w:val="single" w:sz="4" w:space="0" w:color="000000"/>
              <w:right w:val="nil"/>
            </w:tcBorders>
            <w:shd w:val="clear" w:color="auto" w:fill="auto"/>
            <w:noWrap/>
            <w:vAlign w:val="bottom"/>
            <w:hideMark/>
          </w:tcPr>
          <w:p w14:paraId="034B8909" w14:textId="77777777"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(1,745)</w:t>
            </w:r>
          </w:p>
        </w:tc>
      </w:tr>
      <w:tr w:rsidR="0014555F" w:rsidRPr="004349E0" w14:paraId="20A3E815" w14:textId="77777777" w:rsidTr="009B0C30">
        <w:trPr>
          <w:trHeight w:val="204"/>
        </w:trPr>
        <w:tc>
          <w:tcPr>
            <w:tcW w:w="3119" w:type="dxa"/>
            <w:tcBorders>
              <w:top w:val="nil"/>
              <w:left w:val="nil"/>
              <w:bottom w:val="nil"/>
              <w:right w:val="nil"/>
            </w:tcBorders>
            <w:shd w:val="clear" w:color="auto" w:fill="auto"/>
            <w:vAlign w:val="center"/>
            <w:hideMark/>
          </w:tcPr>
          <w:p w14:paraId="1490F44F" w14:textId="33E67805" w:rsidR="0014555F" w:rsidRPr="004349E0" w:rsidRDefault="0014555F" w:rsidP="00BD66D4">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Net increase/(decrease) in cash</w:t>
            </w:r>
            <w:r w:rsidR="00BD66D4" w:rsidRPr="004349E0">
              <w:rPr>
                <w:rFonts w:ascii="Arial" w:hAnsi="Arial" w:cs="Arial"/>
                <w:b/>
                <w:bCs/>
                <w:color w:val="000000"/>
                <w:sz w:val="16"/>
                <w:szCs w:val="16"/>
              </w:rPr>
              <w:t xml:space="preserve"> </w:t>
            </w:r>
            <w:r w:rsidRPr="004349E0">
              <w:rPr>
                <w:rFonts w:ascii="Arial" w:hAnsi="Arial" w:cs="Arial"/>
                <w:b/>
                <w:bCs/>
                <w:color w:val="000000"/>
                <w:sz w:val="16"/>
                <w:szCs w:val="16"/>
              </w:rPr>
              <w:t>held</w:t>
            </w:r>
          </w:p>
        </w:tc>
        <w:tc>
          <w:tcPr>
            <w:tcW w:w="880" w:type="dxa"/>
            <w:tcBorders>
              <w:top w:val="nil"/>
              <w:left w:val="nil"/>
              <w:bottom w:val="single" w:sz="4" w:space="0" w:color="000000"/>
              <w:right w:val="nil"/>
            </w:tcBorders>
            <w:shd w:val="clear" w:color="auto" w:fill="auto"/>
            <w:noWrap/>
            <w:vAlign w:val="bottom"/>
            <w:hideMark/>
          </w:tcPr>
          <w:p w14:paraId="17F930A4" w14:textId="09827F68"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2,727</w:t>
            </w:r>
          </w:p>
        </w:tc>
        <w:tc>
          <w:tcPr>
            <w:tcW w:w="880" w:type="dxa"/>
            <w:tcBorders>
              <w:top w:val="nil"/>
              <w:left w:val="nil"/>
              <w:bottom w:val="single" w:sz="4" w:space="0" w:color="000000"/>
              <w:right w:val="nil"/>
            </w:tcBorders>
            <w:shd w:val="clear" w:color="auto" w:fill="E6E6E6"/>
            <w:noWrap/>
            <w:vAlign w:val="bottom"/>
            <w:hideMark/>
          </w:tcPr>
          <w:p w14:paraId="4DCBC5C7" w14:textId="6E5E6D74"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1,770</w:t>
            </w:r>
          </w:p>
        </w:tc>
        <w:tc>
          <w:tcPr>
            <w:tcW w:w="880" w:type="dxa"/>
            <w:tcBorders>
              <w:top w:val="nil"/>
              <w:left w:val="nil"/>
              <w:bottom w:val="single" w:sz="4" w:space="0" w:color="000000"/>
              <w:right w:val="nil"/>
            </w:tcBorders>
            <w:shd w:val="clear" w:color="auto" w:fill="auto"/>
            <w:noWrap/>
            <w:vAlign w:val="bottom"/>
            <w:hideMark/>
          </w:tcPr>
          <w:p w14:paraId="1D6F3C59" w14:textId="3799EF94"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w:t>
            </w:r>
          </w:p>
        </w:tc>
        <w:tc>
          <w:tcPr>
            <w:tcW w:w="880" w:type="dxa"/>
            <w:tcBorders>
              <w:top w:val="nil"/>
              <w:left w:val="nil"/>
              <w:bottom w:val="single" w:sz="4" w:space="0" w:color="000000"/>
              <w:right w:val="nil"/>
            </w:tcBorders>
            <w:shd w:val="clear" w:color="auto" w:fill="auto"/>
            <w:noWrap/>
            <w:vAlign w:val="bottom"/>
            <w:hideMark/>
          </w:tcPr>
          <w:p w14:paraId="4F6AE46B" w14:textId="2788E519"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w:t>
            </w:r>
          </w:p>
        </w:tc>
        <w:tc>
          <w:tcPr>
            <w:tcW w:w="880" w:type="dxa"/>
            <w:tcBorders>
              <w:top w:val="nil"/>
              <w:left w:val="nil"/>
              <w:bottom w:val="single" w:sz="4" w:space="0" w:color="000000"/>
              <w:right w:val="nil"/>
            </w:tcBorders>
            <w:shd w:val="clear" w:color="auto" w:fill="auto"/>
            <w:noWrap/>
            <w:vAlign w:val="bottom"/>
            <w:hideMark/>
          </w:tcPr>
          <w:p w14:paraId="52C9BEA7" w14:textId="49C9ABE0"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w:t>
            </w:r>
          </w:p>
        </w:tc>
      </w:tr>
      <w:tr w:rsidR="0014555F" w:rsidRPr="004349E0" w14:paraId="56CD6374" w14:textId="77777777" w:rsidTr="009B0C30">
        <w:trPr>
          <w:trHeight w:val="204"/>
        </w:trPr>
        <w:tc>
          <w:tcPr>
            <w:tcW w:w="3119" w:type="dxa"/>
            <w:tcBorders>
              <w:top w:val="nil"/>
              <w:left w:val="nil"/>
              <w:bottom w:val="nil"/>
              <w:right w:val="nil"/>
            </w:tcBorders>
            <w:shd w:val="clear" w:color="auto" w:fill="auto"/>
            <w:vAlign w:val="center"/>
            <w:hideMark/>
          </w:tcPr>
          <w:p w14:paraId="4B0B382F" w14:textId="0F3A38B9" w:rsidR="0014555F" w:rsidRPr="004349E0" w:rsidRDefault="0014555F" w:rsidP="007D036F">
            <w:pPr>
              <w:spacing w:before="60" w:after="0" w:line="240" w:lineRule="auto"/>
              <w:jc w:val="left"/>
              <w:rPr>
                <w:rFonts w:ascii="Arial" w:hAnsi="Arial" w:cs="Arial"/>
                <w:color w:val="000000"/>
                <w:sz w:val="16"/>
                <w:szCs w:val="16"/>
              </w:rPr>
            </w:pPr>
            <w:r w:rsidRPr="004349E0">
              <w:rPr>
                <w:rFonts w:ascii="Arial" w:hAnsi="Arial" w:cs="Arial"/>
                <w:color w:val="000000"/>
                <w:sz w:val="16"/>
                <w:szCs w:val="16"/>
              </w:rPr>
              <w:t>Cash and cash equivalents at the</w:t>
            </w:r>
            <w:r w:rsidR="00BD66D4" w:rsidRPr="004349E0">
              <w:rPr>
                <w:rFonts w:ascii="Arial" w:hAnsi="Arial" w:cs="Arial"/>
                <w:color w:val="000000"/>
                <w:sz w:val="16"/>
                <w:szCs w:val="16"/>
              </w:rPr>
              <w:t xml:space="preserve"> </w:t>
            </w:r>
            <w:r w:rsidRPr="004349E0">
              <w:rPr>
                <w:rFonts w:ascii="Arial" w:hAnsi="Arial" w:cs="Arial"/>
                <w:color w:val="000000"/>
                <w:sz w:val="16"/>
                <w:szCs w:val="16"/>
              </w:rPr>
              <w:t>beginning of the reporting period</w:t>
            </w:r>
          </w:p>
        </w:tc>
        <w:tc>
          <w:tcPr>
            <w:tcW w:w="880" w:type="dxa"/>
            <w:tcBorders>
              <w:top w:val="nil"/>
              <w:left w:val="nil"/>
              <w:bottom w:val="nil"/>
              <w:right w:val="nil"/>
            </w:tcBorders>
            <w:shd w:val="clear" w:color="auto" w:fill="auto"/>
            <w:noWrap/>
            <w:vAlign w:val="bottom"/>
            <w:hideMark/>
          </w:tcPr>
          <w:p w14:paraId="087732A7" w14:textId="58D38844"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1,881</w:t>
            </w:r>
          </w:p>
        </w:tc>
        <w:tc>
          <w:tcPr>
            <w:tcW w:w="880" w:type="dxa"/>
            <w:tcBorders>
              <w:top w:val="nil"/>
              <w:left w:val="nil"/>
              <w:bottom w:val="nil"/>
              <w:right w:val="nil"/>
            </w:tcBorders>
            <w:shd w:val="clear" w:color="auto" w:fill="E6E6E6"/>
            <w:noWrap/>
            <w:vAlign w:val="bottom"/>
            <w:hideMark/>
          </w:tcPr>
          <w:p w14:paraId="5FDEE065" w14:textId="461F7504"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4,608</w:t>
            </w:r>
          </w:p>
        </w:tc>
        <w:tc>
          <w:tcPr>
            <w:tcW w:w="880" w:type="dxa"/>
            <w:tcBorders>
              <w:top w:val="nil"/>
              <w:left w:val="nil"/>
              <w:bottom w:val="nil"/>
              <w:right w:val="nil"/>
            </w:tcBorders>
            <w:shd w:val="clear" w:color="auto" w:fill="auto"/>
            <w:noWrap/>
            <w:vAlign w:val="bottom"/>
            <w:hideMark/>
          </w:tcPr>
          <w:p w14:paraId="04537795" w14:textId="3FD8EBE7"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6,378</w:t>
            </w:r>
          </w:p>
        </w:tc>
        <w:tc>
          <w:tcPr>
            <w:tcW w:w="880" w:type="dxa"/>
            <w:tcBorders>
              <w:top w:val="nil"/>
              <w:left w:val="nil"/>
              <w:bottom w:val="nil"/>
              <w:right w:val="nil"/>
            </w:tcBorders>
            <w:shd w:val="clear" w:color="auto" w:fill="auto"/>
            <w:noWrap/>
            <w:vAlign w:val="bottom"/>
            <w:hideMark/>
          </w:tcPr>
          <w:p w14:paraId="111F5065" w14:textId="7FDEC166"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6,378</w:t>
            </w:r>
          </w:p>
        </w:tc>
        <w:tc>
          <w:tcPr>
            <w:tcW w:w="880" w:type="dxa"/>
            <w:tcBorders>
              <w:top w:val="nil"/>
              <w:left w:val="nil"/>
              <w:bottom w:val="nil"/>
              <w:right w:val="nil"/>
            </w:tcBorders>
            <w:shd w:val="clear" w:color="auto" w:fill="auto"/>
            <w:noWrap/>
            <w:vAlign w:val="bottom"/>
            <w:hideMark/>
          </w:tcPr>
          <w:p w14:paraId="795BEE2E" w14:textId="1FAE6702" w:rsidR="0014555F" w:rsidRPr="004349E0" w:rsidRDefault="0014555F" w:rsidP="00AA1477">
            <w:pPr>
              <w:spacing w:after="0" w:line="240" w:lineRule="auto"/>
              <w:jc w:val="right"/>
              <w:rPr>
                <w:rFonts w:ascii="Arial" w:hAnsi="Arial" w:cs="Arial"/>
                <w:color w:val="000000"/>
                <w:sz w:val="16"/>
                <w:szCs w:val="16"/>
              </w:rPr>
            </w:pPr>
            <w:r w:rsidRPr="004349E0">
              <w:rPr>
                <w:rFonts w:ascii="Arial" w:hAnsi="Arial" w:cs="Arial"/>
                <w:color w:val="000000"/>
                <w:sz w:val="16"/>
                <w:szCs w:val="16"/>
              </w:rPr>
              <w:t>6,378</w:t>
            </w:r>
          </w:p>
        </w:tc>
      </w:tr>
      <w:tr w:rsidR="0014555F" w:rsidRPr="004349E0" w14:paraId="2EE699FE" w14:textId="77777777" w:rsidTr="009B0C30">
        <w:trPr>
          <w:trHeight w:val="204"/>
        </w:trPr>
        <w:tc>
          <w:tcPr>
            <w:tcW w:w="3119" w:type="dxa"/>
            <w:tcBorders>
              <w:top w:val="nil"/>
              <w:left w:val="nil"/>
              <w:bottom w:val="single" w:sz="4" w:space="0" w:color="auto"/>
              <w:right w:val="nil"/>
            </w:tcBorders>
            <w:shd w:val="clear" w:color="auto" w:fill="auto"/>
            <w:vAlign w:val="center"/>
            <w:hideMark/>
          </w:tcPr>
          <w:p w14:paraId="206D4604" w14:textId="682CACB1" w:rsidR="0014555F" w:rsidRPr="004349E0" w:rsidRDefault="0014555F" w:rsidP="004E6158">
            <w:pPr>
              <w:spacing w:after="0" w:line="240" w:lineRule="auto"/>
              <w:jc w:val="left"/>
              <w:rPr>
                <w:rFonts w:ascii="Arial" w:hAnsi="Arial" w:cs="Arial"/>
                <w:b/>
                <w:bCs/>
                <w:color w:val="000000"/>
                <w:sz w:val="16"/>
                <w:szCs w:val="16"/>
              </w:rPr>
            </w:pPr>
            <w:r w:rsidRPr="004349E0">
              <w:rPr>
                <w:rFonts w:ascii="Arial" w:hAnsi="Arial" w:cs="Arial"/>
                <w:b/>
                <w:bCs/>
                <w:color w:val="000000"/>
                <w:sz w:val="16"/>
                <w:szCs w:val="16"/>
              </w:rPr>
              <w:t>Cash and cash equivalents at</w:t>
            </w:r>
            <w:r w:rsidR="004E6158" w:rsidRPr="004349E0">
              <w:rPr>
                <w:rFonts w:ascii="Arial" w:hAnsi="Arial" w:cs="Arial"/>
                <w:b/>
                <w:bCs/>
                <w:color w:val="000000"/>
                <w:sz w:val="16"/>
                <w:szCs w:val="16"/>
              </w:rPr>
              <w:t xml:space="preserve"> </w:t>
            </w:r>
            <w:r w:rsidRPr="004349E0">
              <w:rPr>
                <w:rFonts w:ascii="Arial" w:hAnsi="Arial" w:cs="Arial"/>
                <w:b/>
                <w:bCs/>
                <w:color w:val="000000"/>
                <w:sz w:val="16"/>
                <w:szCs w:val="16"/>
              </w:rPr>
              <w:t>the end of the reporting period</w:t>
            </w:r>
          </w:p>
        </w:tc>
        <w:tc>
          <w:tcPr>
            <w:tcW w:w="880" w:type="dxa"/>
            <w:tcBorders>
              <w:top w:val="single" w:sz="4" w:space="0" w:color="000000"/>
              <w:left w:val="nil"/>
              <w:bottom w:val="single" w:sz="4" w:space="0" w:color="auto"/>
              <w:right w:val="nil"/>
            </w:tcBorders>
            <w:shd w:val="clear" w:color="auto" w:fill="auto"/>
            <w:noWrap/>
            <w:vAlign w:val="bottom"/>
            <w:hideMark/>
          </w:tcPr>
          <w:p w14:paraId="1B23B802" w14:textId="00B2826F"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4,608</w:t>
            </w:r>
          </w:p>
        </w:tc>
        <w:tc>
          <w:tcPr>
            <w:tcW w:w="880" w:type="dxa"/>
            <w:tcBorders>
              <w:top w:val="single" w:sz="4" w:space="0" w:color="000000"/>
              <w:left w:val="nil"/>
              <w:bottom w:val="single" w:sz="4" w:space="0" w:color="auto"/>
              <w:right w:val="nil"/>
            </w:tcBorders>
            <w:shd w:val="clear" w:color="auto" w:fill="E6E6E6"/>
            <w:noWrap/>
            <w:vAlign w:val="bottom"/>
            <w:hideMark/>
          </w:tcPr>
          <w:p w14:paraId="4456F32D" w14:textId="5B429378"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6,378</w:t>
            </w:r>
          </w:p>
        </w:tc>
        <w:tc>
          <w:tcPr>
            <w:tcW w:w="880" w:type="dxa"/>
            <w:tcBorders>
              <w:top w:val="single" w:sz="4" w:space="0" w:color="000000"/>
              <w:left w:val="nil"/>
              <w:bottom w:val="single" w:sz="4" w:space="0" w:color="auto"/>
              <w:right w:val="nil"/>
            </w:tcBorders>
            <w:shd w:val="clear" w:color="auto" w:fill="auto"/>
            <w:noWrap/>
            <w:vAlign w:val="bottom"/>
            <w:hideMark/>
          </w:tcPr>
          <w:p w14:paraId="56BBE601" w14:textId="242056D0"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6,378</w:t>
            </w:r>
          </w:p>
        </w:tc>
        <w:tc>
          <w:tcPr>
            <w:tcW w:w="880" w:type="dxa"/>
            <w:tcBorders>
              <w:top w:val="single" w:sz="4" w:space="0" w:color="000000"/>
              <w:left w:val="nil"/>
              <w:bottom w:val="single" w:sz="4" w:space="0" w:color="auto"/>
              <w:right w:val="nil"/>
            </w:tcBorders>
            <w:shd w:val="clear" w:color="auto" w:fill="auto"/>
            <w:noWrap/>
            <w:vAlign w:val="bottom"/>
            <w:hideMark/>
          </w:tcPr>
          <w:p w14:paraId="01739A58" w14:textId="07AF1DF1"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6,378</w:t>
            </w:r>
          </w:p>
        </w:tc>
        <w:tc>
          <w:tcPr>
            <w:tcW w:w="880" w:type="dxa"/>
            <w:tcBorders>
              <w:top w:val="single" w:sz="4" w:space="0" w:color="000000"/>
              <w:left w:val="nil"/>
              <w:bottom w:val="single" w:sz="4" w:space="0" w:color="auto"/>
              <w:right w:val="nil"/>
            </w:tcBorders>
            <w:shd w:val="clear" w:color="auto" w:fill="auto"/>
            <w:noWrap/>
            <w:vAlign w:val="bottom"/>
            <w:hideMark/>
          </w:tcPr>
          <w:p w14:paraId="4AF4DD9D" w14:textId="641C58C0" w:rsidR="0014555F" w:rsidRPr="004349E0" w:rsidRDefault="0014555F" w:rsidP="00AA1477">
            <w:pPr>
              <w:spacing w:after="0" w:line="240" w:lineRule="auto"/>
              <w:jc w:val="right"/>
              <w:rPr>
                <w:rFonts w:ascii="Arial" w:hAnsi="Arial" w:cs="Arial"/>
                <w:b/>
                <w:bCs/>
                <w:color w:val="000000"/>
                <w:sz w:val="16"/>
                <w:szCs w:val="16"/>
              </w:rPr>
            </w:pPr>
            <w:r w:rsidRPr="004349E0">
              <w:rPr>
                <w:rFonts w:ascii="Arial" w:hAnsi="Arial" w:cs="Arial"/>
                <w:b/>
                <w:bCs/>
                <w:color w:val="000000"/>
                <w:sz w:val="16"/>
                <w:szCs w:val="16"/>
              </w:rPr>
              <w:t>6,378</w:t>
            </w:r>
          </w:p>
        </w:tc>
      </w:tr>
    </w:tbl>
    <w:p w14:paraId="5FAE6EED" w14:textId="77777777" w:rsidR="0014555F" w:rsidRPr="00DD572D" w:rsidRDefault="0014555F" w:rsidP="005A6F51">
      <w:pPr>
        <w:pStyle w:val="TableGraphic"/>
        <w:tabs>
          <w:tab w:val="left" w:pos="6237"/>
        </w:tabs>
        <w:spacing w:before="60"/>
        <w:jc w:val="left"/>
        <w:rPr>
          <w:noProof/>
        </w:rPr>
      </w:pPr>
      <w:r w:rsidRPr="0014555F">
        <w:rPr>
          <w:rFonts w:ascii="Arial" w:hAnsi="Arial" w:cs="Arial"/>
          <w:i w:val="0"/>
          <w:color w:val="auto"/>
          <w:sz w:val="16"/>
          <w:szCs w:val="16"/>
        </w:rPr>
        <w:t>Prepared on Australian Accounting Standards basis</w:t>
      </w:r>
      <w:r w:rsidRPr="00132F9E">
        <w:rPr>
          <w:rFonts w:ascii="Arial" w:hAnsi="Arial" w:cs="Arial"/>
          <w:sz w:val="16"/>
          <w:szCs w:val="16"/>
        </w:rPr>
        <w:t>.</w:t>
      </w:r>
    </w:p>
    <w:p w14:paraId="41E26924" w14:textId="77777777" w:rsidR="0014555F" w:rsidRPr="00132F9E" w:rsidRDefault="0014555F" w:rsidP="0014555F">
      <w:pPr>
        <w:pStyle w:val="NoSpacing"/>
        <w:rPr>
          <w:rFonts w:ascii="Arial" w:hAnsi="Arial" w:cs="Arial"/>
          <w:sz w:val="16"/>
          <w:szCs w:val="16"/>
        </w:rPr>
      </w:pPr>
    </w:p>
    <w:p w14:paraId="44968789" w14:textId="14DD0D68" w:rsidR="00024FB3" w:rsidRPr="00A00283" w:rsidRDefault="0014555F" w:rsidP="00024FB3">
      <w:pPr>
        <w:pStyle w:val="TableHeading"/>
      </w:pPr>
      <w:r>
        <w:br w:type="page"/>
      </w:r>
      <w:r w:rsidR="00024FB3" w:rsidRPr="00D30CBA">
        <w:lastRenderedPageBreak/>
        <w:t>Table</w:t>
      </w:r>
      <w:r w:rsidR="00024FB3">
        <w:t xml:space="preserve"> 3.</w:t>
      </w:r>
      <w:r w:rsidR="00024FB3">
        <w:rPr>
          <w:lang w:val="en-US"/>
        </w:rPr>
        <w:t>6</w:t>
      </w:r>
      <w:r w:rsidR="00024FB3" w:rsidRPr="00D30CBA">
        <w:t xml:space="preserve">: </w:t>
      </w:r>
      <w:r w:rsidR="008863D9">
        <w:t>Department</w:t>
      </w:r>
      <w:r w:rsidR="00024FB3">
        <w:t>al capital budget statement (for the period ended 30 June)</w:t>
      </w:r>
    </w:p>
    <w:tbl>
      <w:tblPr>
        <w:tblW w:w="7721" w:type="dxa"/>
        <w:tblLook w:val="04A0" w:firstRow="1" w:lastRow="0" w:firstColumn="1" w:lastColumn="0" w:noHBand="0" w:noVBand="1"/>
      </w:tblPr>
      <w:tblGrid>
        <w:gridCol w:w="2980"/>
        <w:gridCol w:w="989"/>
        <w:gridCol w:w="980"/>
        <w:gridCol w:w="860"/>
        <w:gridCol w:w="961"/>
        <w:gridCol w:w="951"/>
      </w:tblGrid>
      <w:tr w:rsidR="0014555F" w:rsidRPr="0029134F" w14:paraId="6F202E69" w14:textId="77777777" w:rsidTr="00B86D56">
        <w:trPr>
          <w:trHeight w:val="159"/>
        </w:trPr>
        <w:tc>
          <w:tcPr>
            <w:tcW w:w="2980" w:type="dxa"/>
            <w:tcBorders>
              <w:top w:val="single" w:sz="4" w:space="0" w:color="auto"/>
              <w:left w:val="nil"/>
              <w:bottom w:val="nil"/>
              <w:right w:val="nil"/>
            </w:tcBorders>
            <w:shd w:val="clear" w:color="auto" w:fill="auto"/>
            <w:noWrap/>
            <w:hideMark/>
          </w:tcPr>
          <w:p w14:paraId="047F027B" w14:textId="77777777" w:rsidR="0014555F" w:rsidRPr="0029134F" w:rsidRDefault="0014555F" w:rsidP="0014555F">
            <w:pPr>
              <w:spacing w:after="0" w:line="240" w:lineRule="auto"/>
              <w:jc w:val="left"/>
              <w:rPr>
                <w:rFonts w:ascii="Arial" w:hAnsi="Arial" w:cs="Arial"/>
                <w:b/>
                <w:bCs/>
                <w:sz w:val="16"/>
                <w:szCs w:val="16"/>
              </w:rPr>
            </w:pPr>
            <w:r w:rsidRPr="0029134F">
              <w:rPr>
                <w:rFonts w:ascii="Arial" w:hAnsi="Arial" w:cs="Arial"/>
                <w:b/>
                <w:bCs/>
                <w:sz w:val="16"/>
                <w:szCs w:val="16"/>
              </w:rPr>
              <w:t> </w:t>
            </w:r>
          </w:p>
        </w:tc>
        <w:tc>
          <w:tcPr>
            <w:tcW w:w="989" w:type="dxa"/>
            <w:tcBorders>
              <w:top w:val="single" w:sz="4" w:space="0" w:color="auto"/>
              <w:left w:val="nil"/>
              <w:bottom w:val="single" w:sz="4" w:space="0" w:color="auto"/>
              <w:right w:val="nil"/>
            </w:tcBorders>
            <w:shd w:val="clear" w:color="auto" w:fill="auto"/>
            <w:hideMark/>
          </w:tcPr>
          <w:p w14:paraId="178EE168" w14:textId="77777777" w:rsidR="0014555F" w:rsidRPr="0029134F" w:rsidRDefault="0014555F" w:rsidP="0014555F">
            <w:pPr>
              <w:spacing w:after="0" w:line="240" w:lineRule="auto"/>
              <w:jc w:val="right"/>
              <w:rPr>
                <w:rFonts w:ascii="Arial" w:hAnsi="Arial" w:cs="Arial"/>
                <w:sz w:val="16"/>
                <w:szCs w:val="16"/>
              </w:rPr>
            </w:pPr>
            <w:r w:rsidRPr="0029134F">
              <w:rPr>
                <w:rFonts w:ascii="Arial" w:hAnsi="Arial" w:cs="Arial"/>
                <w:sz w:val="16"/>
                <w:szCs w:val="16"/>
              </w:rPr>
              <w:t>2020-21 Actual</w:t>
            </w:r>
            <w:r w:rsidRPr="0029134F">
              <w:rPr>
                <w:rFonts w:ascii="Arial" w:hAnsi="Arial" w:cs="Arial"/>
                <w:sz w:val="16"/>
                <w:szCs w:val="16"/>
              </w:rPr>
              <w:br/>
            </w:r>
            <w:r w:rsidRPr="0029134F">
              <w:rPr>
                <w:rFonts w:ascii="Arial" w:hAnsi="Arial" w:cs="Arial"/>
                <w:sz w:val="16"/>
                <w:szCs w:val="16"/>
              </w:rPr>
              <w:br/>
              <w:t>$'000</w:t>
            </w:r>
          </w:p>
        </w:tc>
        <w:tc>
          <w:tcPr>
            <w:tcW w:w="980" w:type="dxa"/>
            <w:tcBorders>
              <w:top w:val="single" w:sz="4" w:space="0" w:color="auto"/>
              <w:left w:val="nil"/>
              <w:bottom w:val="single" w:sz="4" w:space="0" w:color="auto"/>
              <w:right w:val="nil"/>
            </w:tcBorders>
            <w:shd w:val="clear" w:color="000000" w:fill="E6E6E6"/>
            <w:hideMark/>
          </w:tcPr>
          <w:p w14:paraId="5F6A1983" w14:textId="77777777" w:rsidR="0014555F" w:rsidRPr="0029134F" w:rsidRDefault="0014555F" w:rsidP="0014555F">
            <w:pPr>
              <w:spacing w:after="0" w:line="240" w:lineRule="auto"/>
              <w:jc w:val="right"/>
              <w:rPr>
                <w:rFonts w:ascii="Arial" w:hAnsi="Arial" w:cs="Arial"/>
                <w:sz w:val="16"/>
                <w:szCs w:val="16"/>
              </w:rPr>
            </w:pPr>
            <w:r w:rsidRPr="0029134F">
              <w:rPr>
                <w:rFonts w:ascii="Arial" w:hAnsi="Arial" w:cs="Arial"/>
                <w:sz w:val="16"/>
                <w:szCs w:val="16"/>
              </w:rPr>
              <w:t>2021-22</w:t>
            </w:r>
            <w:r w:rsidRPr="0029134F">
              <w:rPr>
                <w:rFonts w:ascii="Arial" w:hAnsi="Arial" w:cs="Arial"/>
                <w:sz w:val="16"/>
                <w:szCs w:val="16"/>
              </w:rPr>
              <w:br/>
              <w:t>Revised Budget</w:t>
            </w:r>
            <w:r w:rsidRPr="0029134F">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0461A26A" w14:textId="77777777" w:rsidR="0014555F" w:rsidRPr="0029134F" w:rsidRDefault="0014555F" w:rsidP="0014555F">
            <w:pPr>
              <w:spacing w:after="0" w:line="240" w:lineRule="auto"/>
              <w:jc w:val="right"/>
              <w:rPr>
                <w:rFonts w:ascii="Arial" w:hAnsi="Arial" w:cs="Arial"/>
                <w:sz w:val="16"/>
                <w:szCs w:val="16"/>
              </w:rPr>
            </w:pPr>
            <w:r w:rsidRPr="0029134F">
              <w:rPr>
                <w:rFonts w:ascii="Arial" w:hAnsi="Arial" w:cs="Arial"/>
                <w:sz w:val="16"/>
                <w:szCs w:val="16"/>
              </w:rPr>
              <w:t>2022-23 Forward estimate</w:t>
            </w:r>
            <w:r w:rsidRPr="0029134F">
              <w:rPr>
                <w:rFonts w:ascii="Arial" w:hAnsi="Arial" w:cs="Arial"/>
                <w:sz w:val="16"/>
                <w:szCs w:val="16"/>
              </w:rPr>
              <w:br/>
              <w:t>$'000</w:t>
            </w:r>
          </w:p>
        </w:tc>
        <w:tc>
          <w:tcPr>
            <w:tcW w:w="961" w:type="dxa"/>
            <w:tcBorders>
              <w:top w:val="single" w:sz="4" w:space="0" w:color="auto"/>
              <w:left w:val="nil"/>
              <w:bottom w:val="single" w:sz="4" w:space="0" w:color="auto"/>
              <w:right w:val="nil"/>
            </w:tcBorders>
            <w:shd w:val="clear" w:color="auto" w:fill="auto"/>
            <w:hideMark/>
          </w:tcPr>
          <w:p w14:paraId="30A07E99" w14:textId="77777777" w:rsidR="0014555F" w:rsidRPr="0029134F" w:rsidRDefault="0014555F" w:rsidP="0014555F">
            <w:pPr>
              <w:spacing w:after="0" w:line="240" w:lineRule="auto"/>
              <w:jc w:val="right"/>
              <w:rPr>
                <w:rFonts w:ascii="Arial" w:hAnsi="Arial" w:cs="Arial"/>
                <w:sz w:val="16"/>
                <w:szCs w:val="16"/>
              </w:rPr>
            </w:pPr>
            <w:r w:rsidRPr="0029134F">
              <w:rPr>
                <w:rFonts w:ascii="Arial" w:hAnsi="Arial" w:cs="Arial"/>
                <w:sz w:val="16"/>
                <w:szCs w:val="16"/>
              </w:rPr>
              <w:t>2023-24 Forward estimate</w:t>
            </w:r>
            <w:r w:rsidRPr="0029134F">
              <w:rPr>
                <w:rFonts w:ascii="Arial" w:hAnsi="Arial" w:cs="Arial"/>
                <w:sz w:val="16"/>
                <w:szCs w:val="16"/>
              </w:rPr>
              <w:br/>
              <w:t>$'000</w:t>
            </w:r>
          </w:p>
        </w:tc>
        <w:tc>
          <w:tcPr>
            <w:tcW w:w="951" w:type="dxa"/>
            <w:tcBorders>
              <w:top w:val="single" w:sz="4" w:space="0" w:color="auto"/>
              <w:left w:val="nil"/>
              <w:bottom w:val="single" w:sz="4" w:space="0" w:color="auto"/>
              <w:right w:val="nil"/>
            </w:tcBorders>
            <w:shd w:val="clear" w:color="auto" w:fill="auto"/>
            <w:hideMark/>
          </w:tcPr>
          <w:p w14:paraId="18256F01" w14:textId="77777777" w:rsidR="0014555F" w:rsidRPr="0029134F" w:rsidRDefault="0014555F" w:rsidP="0014555F">
            <w:pPr>
              <w:spacing w:after="0" w:line="240" w:lineRule="auto"/>
              <w:jc w:val="right"/>
              <w:rPr>
                <w:rFonts w:ascii="Arial" w:hAnsi="Arial" w:cs="Arial"/>
                <w:sz w:val="16"/>
                <w:szCs w:val="16"/>
              </w:rPr>
            </w:pPr>
            <w:r w:rsidRPr="0029134F">
              <w:rPr>
                <w:rFonts w:ascii="Arial" w:hAnsi="Arial" w:cs="Arial"/>
                <w:sz w:val="16"/>
                <w:szCs w:val="16"/>
              </w:rPr>
              <w:t>2024-25</w:t>
            </w:r>
            <w:r w:rsidRPr="0029134F">
              <w:rPr>
                <w:rFonts w:ascii="Arial" w:hAnsi="Arial" w:cs="Arial"/>
                <w:sz w:val="16"/>
                <w:szCs w:val="16"/>
              </w:rPr>
              <w:br/>
              <w:t>Forward estimate</w:t>
            </w:r>
            <w:r w:rsidRPr="0029134F">
              <w:rPr>
                <w:rFonts w:ascii="Arial" w:hAnsi="Arial" w:cs="Arial"/>
                <w:sz w:val="16"/>
                <w:szCs w:val="16"/>
              </w:rPr>
              <w:br/>
              <w:t>$'000</w:t>
            </w:r>
          </w:p>
        </w:tc>
      </w:tr>
      <w:tr w:rsidR="0014555F" w:rsidRPr="0029134F" w14:paraId="1EE2F019" w14:textId="77777777" w:rsidTr="0029134F">
        <w:trPr>
          <w:trHeight w:val="204"/>
        </w:trPr>
        <w:tc>
          <w:tcPr>
            <w:tcW w:w="2980" w:type="dxa"/>
            <w:tcBorders>
              <w:top w:val="nil"/>
              <w:left w:val="nil"/>
              <w:bottom w:val="nil"/>
              <w:right w:val="nil"/>
            </w:tcBorders>
            <w:shd w:val="clear" w:color="auto" w:fill="auto"/>
            <w:noWrap/>
            <w:vAlign w:val="bottom"/>
            <w:hideMark/>
          </w:tcPr>
          <w:p w14:paraId="40A16310" w14:textId="77777777" w:rsidR="0014555F" w:rsidRPr="0029134F" w:rsidRDefault="0014555F" w:rsidP="0014555F">
            <w:pPr>
              <w:spacing w:after="0" w:line="240" w:lineRule="auto"/>
              <w:jc w:val="left"/>
              <w:rPr>
                <w:rFonts w:ascii="Arial" w:hAnsi="Arial" w:cs="Arial"/>
                <w:b/>
                <w:bCs/>
                <w:sz w:val="16"/>
                <w:szCs w:val="16"/>
              </w:rPr>
            </w:pPr>
            <w:r w:rsidRPr="0029134F">
              <w:rPr>
                <w:rFonts w:ascii="Arial" w:hAnsi="Arial" w:cs="Arial"/>
                <w:b/>
                <w:bCs/>
                <w:sz w:val="16"/>
                <w:szCs w:val="16"/>
              </w:rPr>
              <w:t>NEW CAPITAL APPROPRIATIONS</w:t>
            </w:r>
          </w:p>
        </w:tc>
        <w:tc>
          <w:tcPr>
            <w:tcW w:w="989" w:type="dxa"/>
            <w:tcBorders>
              <w:top w:val="nil"/>
              <w:left w:val="nil"/>
              <w:bottom w:val="nil"/>
              <w:right w:val="nil"/>
            </w:tcBorders>
            <w:shd w:val="clear" w:color="auto" w:fill="auto"/>
            <w:noWrap/>
            <w:vAlign w:val="bottom"/>
            <w:hideMark/>
          </w:tcPr>
          <w:p w14:paraId="0A622C77" w14:textId="77777777" w:rsidR="0014555F" w:rsidRPr="0029134F" w:rsidRDefault="0014555F" w:rsidP="00AA1477">
            <w:pPr>
              <w:spacing w:after="0" w:line="240" w:lineRule="auto"/>
              <w:jc w:val="right"/>
              <w:rPr>
                <w:rFonts w:ascii="Arial" w:hAnsi="Arial" w:cs="Arial"/>
                <w:b/>
                <w:bCs/>
                <w:sz w:val="16"/>
                <w:szCs w:val="16"/>
              </w:rPr>
            </w:pPr>
          </w:p>
        </w:tc>
        <w:tc>
          <w:tcPr>
            <w:tcW w:w="980" w:type="dxa"/>
            <w:tcBorders>
              <w:top w:val="nil"/>
              <w:left w:val="nil"/>
              <w:bottom w:val="nil"/>
              <w:right w:val="nil"/>
            </w:tcBorders>
            <w:shd w:val="clear" w:color="000000" w:fill="E6E6E6"/>
            <w:noWrap/>
            <w:vAlign w:val="bottom"/>
            <w:hideMark/>
          </w:tcPr>
          <w:p w14:paraId="735087ED" w14:textId="2DE1BED8" w:rsidR="0014555F" w:rsidRPr="0029134F" w:rsidRDefault="0014555F" w:rsidP="00AA147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37B7FDD" w14:textId="77777777" w:rsidR="0014555F" w:rsidRPr="0029134F" w:rsidRDefault="0014555F" w:rsidP="00AA1477">
            <w:pPr>
              <w:spacing w:after="0" w:line="240" w:lineRule="auto"/>
              <w:jc w:val="right"/>
              <w:rPr>
                <w:rFonts w:ascii="Arial" w:hAnsi="Arial" w:cs="Arial"/>
                <w:sz w:val="16"/>
                <w:szCs w:val="16"/>
              </w:rPr>
            </w:pPr>
          </w:p>
        </w:tc>
        <w:tc>
          <w:tcPr>
            <w:tcW w:w="961" w:type="dxa"/>
            <w:tcBorders>
              <w:top w:val="nil"/>
              <w:left w:val="nil"/>
              <w:bottom w:val="nil"/>
              <w:right w:val="nil"/>
            </w:tcBorders>
            <w:shd w:val="clear" w:color="auto" w:fill="auto"/>
            <w:noWrap/>
            <w:vAlign w:val="bottom"/>
            <w:hideMark/>
          </w:tcPr>
          <w:p w14:paraId="63E5295C" w14:textId="77777777" w:rsidR="0014555F" w:rsidRPr="0029134F" w:rsidRDefault="0014555F" w:rsidP="00AA1477">
            <w:pPr>
              <w:spacing w:after="0" w:line="240" w:lineRule="auto"/>
              <w:jc w:val="right"/>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14:paraId="697093CC" w14:textId="77777777" w:rsidR="0014555F" w:rsidRPr="0029134F" w:rsidRDefault="0014555F" w:rsidP="00AA1477">
            <w:pPr>
              <w:spacing w:after="0" w:line="240" w:lineRule="auto"/>
              <w:jc w:val="right"/>
              <w:rPr>
                <w:rFonts w:ascii="Arial" w:hAnsi="Arial" w:cs="Arial"/>
                <w:sz w:val="16"/>
                <w:szCs w:val="16"/>
              </w:rPr>
            </w:pPr>
          </w:p>
        </w:tc>
      </w:tr>
      <w:tr w:rsidR="0014555F" w:rsidRPr="0029134F" w14:paraId="497A69AD" w14:textId="77777777" w:rsidTr="0029134F">
        <w:trPr>
          <w:trHeight w:val="204"/>
        </w:trPr>
        <w:tc>
          <w:tcPr>
            <w:tcW w:w="2980" w:type="dxa"/>
            <w:tcBorders>
              <w:top w:val="nil"/>
              <w:left w:val="nil"/>
              <w:bottom w:val="nil"/>
              <w:right w:val="nil"/>
            </w:tcBorders>
            <w:shd w:val="clear" w:color="auto" w:fill="auto"/>
            <w:noWrap/>
            <w:vAlign w:val="center"/>
            <w:hideMark/>
          </w:tcPr>
          <w:p w14:paraId="0321B3A5" w14:textId="77777777" w:rsidR="0014555F" w:rsidRPr="0029134F" w:rsidRDefault="0014555F" w:rsidP="004349E0">
            <w:pPr>
              <w:spacing w:after="0" w:line="240" w:lineRule="auto"/>
              <w:ind w:left="113"/>
              <w:jc w:val="left"/>
              <w:rPr>
                <w:rFonts w:ascii="Arial" w:hAnsi="Arial" w:cs="Arial"/>
                <w:sz w:val="16"/>
                <w:szCs w:val="16"/>
              </w:rPr>
            </w:pPr>
            <w:r w:rsidRPr="0029134F">
              <w:rPr>
                <w:rFonts w:ascii="Arial" w:hAnsi="Arial" w:cs="Arial"/>
                <w:sz w:val="16"/>
                <w:szCs w:val="16"/>
              </w:rPr>
              <w:t>Capital budget - Bill 1 (DCB)</w:t>
            </w:r>
          </w:p>
        </w:tc>
        <w:tc>
          <w:tcPr>
            <w:tcW w:w="989" w:type="dxa"/>
            <w:tcBorders>
              <w:top w:val="nil"/>
              <w:left w:val="nil"/>
              <w:bottom w:val="nil"/>
              <w:right w:val="nil"/>
            </w:tcBorders>
            <w:shd w:val="clear" w:color="auto" w:fill="auto"/>
            <w:noWrap/>
            <w:vAlign w:val="bottom"/>
            <w:hideMark/>
          </w:tcPr>
          <w:p w14:paraId="3EF57C23" w14:textId="486324E8" w:rsidR="0014555F" w:rsidRPr="0029134F" w:rsidRDefault="0014555F" w:rsidP="00AA1477">
            <w:pPr>
              <w:spacing w:after="0" w:line="240" w:lineRule="auto"/>
              <w:jc w:val="right"/>
              <w:rPr>
                <w:rFonts w:ascii="Arial" w:hAnsi="Arial" w:cs="Arial"/>
                <w:sz w:val="16"/>
                <w:szCs w:val="16"/>
              </w:rPr>
            </w:pPr>
            <w:r w:rsidRPr="0029134F">
              <w:rPr>
                <w:rFonts w:ascii="Arial" w:hAnsi="Arial" w:cs="Arial"/>
                <w:sz w:val="16"/>
                <w:szCs w:val="16"/>
              </w:rPr>
              <w:t>13,076</w:t>
            </w:r>
          </w:p>
        </w:tc>
        <w:tc>
          <w:tcPr>
            <w:tcW w:w="980" w:type="dxa"/>
            <w:tcBorders>
              <w:top w:val="nil"/>
              <w:left w:val="nil"/>
              <w:bottom w:val="nil"/>
              <w:right w:val="nil"/>
            </w:tcBorders>
            <w:shd w:val="clear" w:color="000000" w:fill="E6E6E6"/>
            <w:noWrap/>
            <w:vAlign w:val="bottom"/>
            <w:hideMark/>
          </w:tcPr>
          <w:p w14:paraId="6AA81139" w14:textId="1E8BBA37" w:rsidR="0014555F" w:rsidRPr="0029134F" w:rsidRDefault="0014555F" w:rsidP="00AA1477">
            <w:pPr>
              <w:spacing w:after="0" w:line="240" w:lineRule="auto"/>
              <w:jc w:val="right"/>
              <w:rPr>
                <w:rFonts w:ascii="Arial" w:hAnsi="Arial" w:cs="Arial"/>
                <w:sz w:val="16"/>
                <w:szCs w:val="16"/>
              </w:rPr>
            </w:pPr>
            <w:r w:rsidRPr="0029134F">
              <w:rPr>
                <w:rFonts w:ascii="Arial" w:hAnsi="Arial" w:cs="Arial"/>
                <w:sz w:val="16"/>
                <w:szCs w:val="16"/>
              </w:rPr>
              <w:t>15,788</w:t>
            </w:r>
          </w:p>
        </w:tc>
        <w:tc>
          <w:tcPr>
            <w:tcW w:w="860" w:type="dxa"/>
            <w:tcBorders>
              <w:top w:val="nil"/>
              <w:left w:val="nil"/>
              <w:bottom w:val="nil"/>
              <w:right w:val="nil"/>
            </w:tcBorders>
            <w:shd w:val="clear" w:color="auto" w:fill="auto"/>
            <w:noWrap/>
            <w:vAlign w:val="bottom"/>
            <w:hideMark/>
          </w:tcPr>
          <w:p w14:paraId="4CA9A5A0" w14:textId="717392F7" w:rsidR="0014555F" w:rsidRPr="0029134F" w:rsidRDefault="0014555F" w:rsidP="00AA1477">
            <w:pPr>
              <w:spacing w:after="0" w:line="240" w:lineRule="auto"/>
              <w:jc w:val="right"/>
              <w:rPr>
                <w:rFonts w:ascii="Arial" w:hAnsi="Arial" w:cs="Arial"/>
                <w:sz w:val="16"/>
                <w:szCs w:val="16"/>
              </w:rPr>
            </w:pPr>
            <w:r w:rsidRPr="0029134F">
              <w:rPr>
                <w:rFonts w:ascii="Arial" w:hAnsi="Arial" w:cs="Arial"/>
                <w:sz w:val="16"/>
                <w:szCs w:val="16"/>
              </w:rPr>
              <w:t>7,702</w:t>
            </w:r>
          </w:p>
        </w:tc>
        <w:tc>
          <w:tcPr>
            <w:tcW w:w="961" w:type="dxa"/>
            <w:tcBorders>
              <w:top w:val="nil"/>
              <w:left w:val="nil"/>
              <w:bottom w:val="nil"/>
              <w:right w:val="nil"/>
            </w:tcBorders>
            <w:shd w:val="clear" w:color="auto" w:fill="auto"/>
            <w:noWrap/>
            <w:vAlign w:val="bottom"/>
            <w:hideMark/>
          </w:tcPr>
          <w:p w14:paraId="2343D6E0" w14:textId="79D9F667" w:rsidR="0014555F" w:rsidRPr="0029134F" w:rsidRDefault="0014555F" w:rsidP="00AA1477">
            <w:pPr>
              <w:spacing w:after="0" w:line="240" w:lineRule="auto"/>
              <w:jc w:val="right"/>
              <w:rPr>
                <w:rFonts w:ascii="Arial" w:hAnsi="Arial" w:cs="Arial"/>
                <w:sz w:val="16"/>
                <w:szCs w:val="16"/>
              </w:rPr>
            </w:pPr>
            <w:r w:rsidRPr="0029134F">
              <w:rPr>
                <w:rFonts w:ascii="Arial" w:hAnsi="Arial" w:cs="Arial"/>
                <w:sz w:val="16"/>
                <w:szCs w:val="16"/>
              </w:rPr>
              <w:t>6,802</w:t>
            </w:r>
          </w:p>
        </w:tc>
        <w:tc>
          <w:tcPr>
            <w:tcW w:w="951" w:type="dxa"/>
            <w:tcBorders>
              <w:top w:val="nil"/>
              <w:left w:val="nil"/>
              <w:bottom w:val="nil"/>
              <w:right w:val="nil"/>
            </w:tcBorders>
            <w:shd w:val="clear" w:color="auto" w:fill="auto"/>
            <w:noWrap/>
            <w:vAlign w:val="bottom"/>
            <w:hideMark/>
          </w:tcPr>
          <w:p w14:paraId="7C970A7D" w14:textId="39CEC42E" w:rsidR="0014555F" w:rsidRPr="0029134F" w:rsidRDefault="0014555F" w:rsidP="00AA1477">
            <w:pPr>
              <w:spacing w:after="0" w:line="240" w:lineRule="auto"/>
              <w:jc w:val="right"/>
              <w:rPr>
                <w:rFonts w:ascii="Arial" w:hAnsi="Arial" w:cs="Arial"/>
                <w:sz w:val="16"/>
                <w:szCs w:val="16"/>
              </w:rPr>
            </w:pPr>
            <w:r w:rsidRPr="0029134F">
              <w:rPr>
                <w:rFonts w:ascii="Arial" w:hAnsi="Arial" w:cs="Arial"/>
                <w:sz w:val="16"/>
                <w:szCs w:val="16"/>
              </w:rPr>
              <w:t>6,732</w:t>
            </w:r>
          </w:p>
        </w:tc>
      </w:tr>
      <w:tr w:rsidR="0014555F" w:rsidRPr="0029134F" w14:paraId="3607916D" w14:textId="77777777" w:rsidTr="0029134F">
        <w:trPr>
          <w:trHeight w:val="204"/>
        </w:trPr>
        <w:tc>
          <w:tcPr>
            <w:tcW w:w="2980" w:type="dxa"/>
            <w:tcBorders>
              <w:top w:val="nil"/>
              <w:left w:val="nil"/>
              <w:bottom w:val="nil"/>
              <w:right w:val="nil"/>
            </w:tcBorders>
            <w:shd w:val="clear" w:color="auto" w:fill="auto"/>
            <w:noWrap/>
            <w:vAlign w:val="center"/>
            <w:hideMark/>
          </w:tcPr>
          <w:p w14:paraId="7834ECE2"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Total new capital appropriations</w:t>
            </w:r>
          </w:p>
        </w:tc>
        <w:tc>
          <w:tcPr>
            <w:tcW w:w="989" w:type="dxa"/>
            <w:tcBorders>
              <w:top w:val="single" w:sz="4" w:space="0" w:color="auto"/>
              <w:left w:val="nil"/>
              <w:bottom w:val="single" w:sz="4" w:space="0" w:color="auto"/>
              <w:right w:val="nil"/>
            </w:tcBorders>
            <w:shd w:val="clear" w:color="auto" w:fill="auto"/>
            <w:noWrap/>
            <w:vAlign w:val="bottom"/>
            <w:hideMark/>
          </w:tcPr>
          <w:p w14:paraId="21708E8B" w14:textId="4C48EECE"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13,076</w:t>
            </w:r>
          </w:p>
        </w:tc>
        <w:tc>
          <w:tcPr>
            <w:tcW w:w="980" w:type="dxa"/>
            <w:tcBorders>
              <w:top w:val="single" w:sz="4" w:space="0" w:color="auto"/>
              <w:left w:val="nil"/>
              <w:bottom w:val="single" w:sz="4" w:space="0" w:color="auto"/>
              <w:right w:val="nil"/>
            </w:tcBorders>
            <w:shd w:val="clear" w:color="000000" w:fill="E6E6E6"/>
            <w:noWrap/>
            <w:vAlign w:val="bottom"/>
            <w:hideMark/>
          </w:tcPr>
          <w:p w14:paraId="76192875" w14:textId="24FE235D"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15,788</w:t>
            </w:r>
          </w:p>
        </w:tc>
        <w:tc>
          <w:tcPr>
            <w:tcW w:w="860" w:type="dxa"/>
            <w:tcBorders>
              <w:top w:val="single" w:sz="4" w:space="0" w:color="auto"/>
              <w:left w:val="nil"/>
              <w:bottom w:val="single" w:sz="4" w:space="0" w:color="auto"/>
              <w:right w:val="nil"/>
            </w:tcBorders>
            <w:shd w:val="clear" w:color="auto" w:fill="auto"/>
            <w:noWrap/>
            <w:vAlign w:val="bottom"/>
            <w:hideMark/>
          </w:tcPr>
          <w:p w14:paraId="3E321906" w14:textId="449F680C"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7,702</w:t>
            </w:r>
          </w:p>
        </w:tc>
        <w:tc>
          <w:tcPr>
            <w:tcW w:w="961" w:type="dxa"/>
            <w:tcBorders>
              <w:top w:val="single" w:sz="4" w:space="0" w:color="auto"/>
              <w:left w:val="nil"/>
              <w:bottom w:val="single" w:sz="4" w:space="0" w:color="auto"/>
              <w:right w:val="nil"/>
            </w:tcBorders>
            <w:shd w:val="clear" w:color="auto" w:fill="auto"/>
            <w:noWrap/>
            <w:vAlign w:val="bottom"/>
            <w:hideMark/>
          </w:tcPr>
          <w:p w14:paraId="22F6D339" w14:textId="32677638"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6,802</w:t>
            </w:r>
          </w:p>
        </w:tc>
        <w:tc>
          <w:tcPr>
            <w:tcW w:w="951" w:type="dxa"/>
            <w:tcBorders>
              <w:top w:val="single" w:sz="4" w:space="0" w:color="auto"/>
              <w:left w:val="nil"/>
              <w:bottom w:val="single" w:sz="4" w:space="0" w:color="auto"/>
              <w:right w:val="nil"/>
            </w:tcBorders>
            <w:shd w:val="clear" w:color="auto" w:fill="auto"/>
            <w:noWrap/>
            <w:vAlign w:val="bottom"/>
            <w:hideMark/>
          </w:tcPr>
          <w:p w14:paraId="7211F597" w14:textId="462EFE5C"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6,732</w:t>
            </w:r>
          </w:p>
        </w:tc>
      </w:tr>
      <w:tr w:rsidR="0014555F" w:rsidRPr="0029134F" w14:paraId="78DC3510" w14:textId="77777777" w:rsidTr="0029134F">
        <w:trPr>
          <w:trHeight w:val="204"/>
        </w:trPr>
        <w:tc>
          <w:tcPr>
            <w:tcW w:w="2980" w:type="dxa"/>
            <w:tcBorders>
              <w:top w:val="nil"/>
              <w:left w:val="nil"/>
              <w:bottom w:val="nil"/>
              <w:right w:val="nil"/>
            </w:tcBorders>
            <w:shd w:val="clear" w:color="auto" w:fill="auto"/>
            <w:noWrap/>
            <w:vAlign w:val="center"/>
            <w:hideMark/>
          </w:tcPr>
          <w:p w14:paraId="5B62C7E8" w14:textId="77777777" w:rsidR="0014555F" w:rsidRPr="004349E0" w:rsidRDefault="0014555F" w:rsidP="0014555F">
            <w:pPr>
              <w:spacing w:after="0" w:line="240" w:lineRule="auto"/>
              <w:jc w:val="left"/>
              <w:rPr>
                <w:rFonts w:ascii="Arial" w:hAnsi="Arial" w:cs="Arial"/>
                <w:b/>
                <w:bCs/>
                <w:iCs/>
                <w:sz w:val="16"/>
                <w:szCs w:val="16"/>
              </w:rPr>
            </w:pPr>
            <w:r w:rsidRPr="004349E0">
              <w:rPr>
                <w:rFonts w:ascii="Arial" w:hAnsi="Arial" w:cs="Arial"/>
                <w:b/>
                <w:bCs/>
                <w:iCs/>
                <w:sz w:val="16"/>
                <w:szCs w:val="16"/>
              </w:rPr>
              <w:t>Provided for:</w:t>
            </w:r>
          </w:p>
        </w:tc>
        <w:tc>
          <w:tcPr>
            <w:tcW w:w="989" w:type="dxa"/>
            <w:tcBorders>
              <w:top w:val="nil"/>
              <w:left w:val="nil"/>
              <w:bottom w:val="nil"/>
              <w:right w:val="nil"/>
            </w:tcBorders>
            <w:shd w:val="clear" w:color="auto" w:fill="auto"/>
            <w:noWrap/>
            <w:vAlign w:val="bottom"/>
            <w:hideMark/>
          </w:tcPr>
          <w:p w14:paraId="779BE9CB" w14:textId="77777777" w:rsidR="0014555F" w:rsidRPr="004349E0" w:rsidRDefault="0014555F" w:rsidP="00AA1477">
            <w:pPr>
              <w:spacing w:after="0" w:line="240" w:lineRule="auto"/>
              <w:jc w:val="right"/>
              <w:rPr>
                <w:rFonts w:ascii="Arial" w:hAnsi="Arial" w:cs="Arial"/>
                <w:b/>
                <w:bCs/>
                <w:iCs/>
                <w:sz w:val="16"/>
                <w:szCs w:val="16"/>
              </w:rPr>
            </w:pPr>
          </w:p>
        </w:tc>
        <w:tc>
          <w:tcPr>
            <w:tcW w:w="980" w:type="dxa"/>
            <w:tcBorders>
              <w:top w:val="nil"/>
              <w:left w:val="nil"/>
              <w:bottom w:val="nil"/>
              <w:right w:val="nil"/>
            </w:tcBorders>
            <w:shd w:val="clear" w:color="000000" w:fill="E6E6E6"/>
            <w:noWrap/>
            <w:vAlign w:val="bottom"/>
            <w:hideMark/>
          </w:tcPr>
          <w:p w14:paraId="3364FAC5" w14:textId="13E0FC39" w:rsidR="0014555F" w:rsidRPr="004349E0" w:rsidRDefault="0014555F" w:rsidP="00AA1477">
            <w:pPr>
              <w:spacing w:after="0" w:line="240" w:lineRule="auto"/>
              <w:jc w:val="right"/>
              <w:rPr>
                <w:rFonts w:ascii="Arial" w:hAnsi="Arial" w:cs="Arial"/>
                <w:iCs/>
                <w:sz w:val="16"/>
                <w:szCs w:val="16"/>
              </w:rPr>
            </w:pPr>
          </w:p>
        </w:tc>
        <w:tc>
          <w:tcPr>
            <w:tcW w:w="860" w:type="dxa"/>
            <w:tcBorders>
              <w:top w:val="nil"/>
              <w:left w:val="nil"/>
              <w:bottom w:val="nil"/>
              <w:right w:val="nil"/>
            </w:tcBorders>
            <w:shd w:val="clear" w:color="auto" w:fill="auto"/>
            <w:noWrap/>
            <w:vAlign w:val="bottom"/>
            <w:hideMark/>
          </w:tcPr>
          <w:p w14:paraId="43F5324E" w14:textId="77777777" w:rsidR="0014555F" w:rsidRPr="004349E0" w:rsidRDefault="0014555F" w:rsidP="00AA1477">
            <w:pPr>
              <w:spacing w:after="0" w:line="240" w:lineRule="auto"/>
              <w:jc w:val="right"/>
              <w:rPr>
                <w:rFonts w:ascii="Arial" w:hAnsi="Arial" w:cs="Arial"/>
                <w:iCs/>
                <w:sz w:val="16"/>
                <w:szCs w:val="16"/>
              </w:rPr>
            </w:pPr>
          </w:p>
        </w:tc>
        <w:tc>
          <w:tcPr>
            <w:tcW w:w="961" w:type="dxa"/>
            <w:tcBorders>
              <w:top w:val="nil"/>
              <w:left w:val="nil"/>
              <w:bottom w:val="nil"/>
              <w:right w:val="nil"/>
            </w:tcBorders>
            <w:shd w:val="clear" w:color="auto" w:fill="auto"/>
            <w:noWrap/>
            <w:vAlign w:val="bottom"/>
            <w:hideMark/>
          </w:tcPr>
          <w:p w14:paraId="3097B2E7" w14:textId="77777777" w:rsidR="0014555F" w:rsidRPr="004349E0" w:rsidRDefault="0014555F" w:rsidP="00AA1477">
            <w:pPr>
              <w:spacing w:after="0" w:line="240" w:lineRule="auto"/>
              <w:jc w:val="right"/>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14:paraId="46B71638" w14:textId="77777777" w:rsidR="0014555F" w:rsidRPr="004349E0" w:rsidRDefault="0014555F" w:rsidP="00AA1477">
            <w:pPr>
              <w:spacing w:after="0" w:line="240" w:lineRule="auto"/>
              <w:jc w:val="right"/>
              <w:rPr>
                <w:rFonts w:ascii="Arial" w:hAnsi="Arial" w:cs="Arial"/>
                <w:sz w:val="16"/>
                <w:szCs w:val="16"/>
              </w:rPr>
            </w:pPr>
          </w:p>
        </w:tc>
      </w:tr>
      <w:tr w:rsidR="0014555F" w:rsidRPr="0029134F" w14:paraId="46A8B58C" w14:textId="77777777" w:rsidTr="0029134F">
        <w:trPr>
          <w:trHeight w:val="204"/>
        </w:trPr>
        <w:tc>
          <w:tcPr>
            <w:tcW w:w="2980" w:type="dxa"/>
            <w:tcBorders>
              <w:top w:val="nil"/>
              <w:left w:val="nil"/>
              <w:bottom w:val="nil"/>
              <w:right w:val="nil"/>
            </w:tcBorders>
            <w:shd w:val="clear" w:color="auto" w:fill="auto"/>
            <w:noWrap/>
            <w:vAlign w:val="center"/>
            <w:hideMark/>
          </w:tcPr>
          <w:p w14:paraId="32EC9508" w14:textId="77777777" w:rsidR="0014555F" w:rsidRPr="004349E0" w:rsidRDefault="0014555F" w:rsidP="0029134F">
            <w:pPr>
              <w:spacing w:after="0" w:line="240" w:lineRule="auto"/>
              <w:ind w:left="113"/>
              <w:jc w:val="left"/>
              <w:rPr>
                <w:rFonts w:ascii="Arial" w:hAnsi="Arial" w:cs="Arial"/>
                <w:iCs/>
                <w:sz w:val="16"/>
                <w:szCs w:val="16"/>
              </w:rPr>
            </w:pPr>
            <w:r w:rsidRPr="004349E0">
              <w:rPr>
                <w:rFonts w:ascii="Arial" w:hAnsi="Arial" w:cs="Arial"/>
                <w:sz w:val="16"/>
                <w:szCs w:val="16"/>
              </w:rPr>
              <w:t>Purchase of non-financial assets</w:t>
            </w:r>
          </w:p>
        </w:tc>
        <w:tc>
          <w:tcPr>
            <w:tcW w:w="989" w:type="dxa"/>
            <w:tcBorders>
              <w:top w:val="nil"/>
              <w:left w:val="nil"/>
              <w:bottom w:val="nil"/>
              <w:right w:val="nil"/>
            </w:tcBorders>
            <w:shd w:val="clear" w:color="auto" w:fill="auto"/>
            <w:noWrap/>
            <w:vAlign w:val="bottom"/>
            <w:hideMark/>
          </w:tcPr>
          <w:p w14:paraId="391E353D" w14:textId="3938C04B" w:rsidR="0014555F" w:rsidRPr="004349E0" w:rsidRDefault="0014555F" w:rsidP="00AA1477">
            <w:pPr>
              <w:spacing w:after="0" w:line="240" w:lineRule="auto"/>
              <w:jc w:val="right"/>
              <w:rPr>
                <w:rFonts w:ascii="Arial" w:hAnsi="Arial" w:cs="Arial"/>
                <w:iCs/>
                <w:sz w:val="16"/>
                <w:szCs w:val="16"/>
              </w:rPr>
            </w:pPr>
            <w:r w:rsidRPr="004349E0">
              <w:rPr>
                <w:rFonts w:ascii="Arial" w:hAnsi="Arial" w:cs="Arial"/>
                <w:iCs/>
                <w:sz w:val="16"/>
                <w:szCs w:val="16"/>
              </w:rPr>
              <w:t>7,731</w:t>
            </w:r>
          </w:p>
        </w:tc>
        <w:tc>
          <w:tcPr>
            <w:tcW w:w="980" w:type="dxa"/>
            <w:tcBorders>
              <w:top w:val="nil"/>
              <w:left w:val="nil"/>
              <w:bottom w:val="nil"/>
              <w:right w:val="nil"/>
            </w:tcBorders>
            <w:shd w:val="clear" w:color="000000" w:fill="E6E6E6"/>
            <w:noWrap/>
            <w:vAlign w:val="bottom"/>
            <w:hideMark/>
          </w:tcPr>
          <w:p w14:paraId="56ED3D20" w14:textId="5135CFD1"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15,260</w:t>
            </w:r>
          </w:p>
        </w:tc>
        <w:tc>
          <w:tcPr>
            <w:tcW w:w="860" w:type="dxa"/>
            <w:tcBorders>
              <w:top w:val="nil"/>
              <w:left w:val="nil"/>
              <w:bottom w:val="nil"/>
              <w:right w:val="nil"/>
            </w:tcBorders>
            <w:shd w:val="clear" w:color="auto" w:fill="auto"/>
            <w:noWrap/>
            <w:vAlign w:val="bottom"/>
            <w:hideMark/>
          </w:tcPr>
          <w:p w14:paraId="664ED7E7" w14:textId="18726536"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7,702</w:t>
            </w:r>
          </w:p>
        </w:tc>
        <w:tc>
          <w:tcPr>
            <w:tcW w:w="961" w:type="dxa"/>
            <w:tcBorders>
              <w:top w:val="nil"/>
              <w:left w:val="nil"/>
              <w:bottom w:val="nil"/>
              <w:right w:val="nil"/>
            </w:tcBorders>
            <w:shd w:val="clear" w:color="auto" w:fill="auto"/>
            <w:noWrap/>
            <w:vAlign w:val="bottom"/>
            <w:hideMark/>
          </w:tcPr>
          <w:p w14:paraId="79BDAC9B" w14:textId="77A18BC0"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6,802</w:t>
            </w:r>
          </w:p>
        </w:tc>
        <w:tc>
          <w:tcPr>
            <w:tcW w:w="951" w:type="dxa"/>
            <w:tcBorders>
              <w:top w:val="nil"/>
              <w:left w:val="nil"/>
              <w:bottom w:val="nil"/>
              <w:right w:val="nil"/>
            </w:tcBorders>
            <w:shd w:val="clear" w:color="auto" w:fill="auto"/>
            <w:noWrap/>
            <w:vAlign w:val="bottom"/>
            <w:hideMark/>
          </w:tcPr>
          <w:p w14:paraId="7C93A187" w14:textId="0B7B3B5D"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6,732</w:t>
            </w:r>
          </w:p>
        </w:tc>
      </w:tr>
      <w:tr w:rsidR="0014555F" w:rsidRPr="0029134F" w14:paraId="5A032A7F" w14:textId="77777777" w:rsidTr="0029134F">
        <w:trPr>
          <w:trHeight w:val="204"/>
        </w:trPr>
        <w:tc>
          <w:tcPr>
            <w:tcW w:w="2980" w:type="dxa"/>
            <w:tcBorders>
              <w:top w:val="nil"/>
              <w:left w:val="nil"/>
              <w:bottom w:val="nil"/>
              <w:right w:val="nil"/>
            </w:tcBorders>
            <w:shd w:val="clear" w:color="auto" w:fill="auto"/>
            <w:noWrap/>
            <w:vAlign w:val="center"/>
            <w:hideMark/>
          </w:tcPr>
          <w:p w14:paraId="51499F4A" w14:textId="77777777" w:rsidR="0014555F" w:rsidRPr="004349E0" w:rsidRDefault="0014555F" w:rsidP="0014555F">
            <w:pPr>
              <w:spacing w:after="0" w:line="240" w:lineRule="auto"/>
              <w:jc w:val="left"/>
              <w:rPr>
                <w:rFonts w:ascii="Arial" w:hAnsi="Arial" w:cs="Arial"/>
                <w:b/>
                <w:bCs/>
                <w:iCs/>
                <w:sz w:val="16"/>
                <w:szCs w:val="16"/>
              </w:rPr>
            </w:pPr>
            <w:r w:rsidRPr="004349E0">
              <w:rPr>
                <w:rFonts w:ascii="Arial" w:hAnsi="Arial" w:cs="Arial"/>
                <w:b/>
                <w:bCs/>
                <w:iCs/>
                <w:sz w:val="16"/>
                <w:szCs w:val="16"/>
              </w:rPr>
              <w:t>Total items</w:t>
            </w:r>
          </w:p>
        </w:tc>
        <w:tc>
          <w:tcPr>
            <w:tcW w:w="989" w:type="dxa"/>
            <w:tcBorders>
              <w:top w:val="single" w:sz="4" w:space="0" w:color="auto"/>
              <w:left w:val="nil"/>
              <w:bottom w:val="single" w:sz="4" w:space="0" w:color="auto"/>
              <w:right w:val="nil"/>
            </w:tcBorders>
            <w:shd w:val="clear" w:color="auto" w:fill="auto"/>
            <w:noWrap/>
            <w:vAlign w:val="bottom"/>
            <w:hideMark/>
          </w:tcPr>
          <w:p w14:paraId="1070B526" w14:textId="11A126F2" w:rsidR="0014555F" w:rsidRPr="004349E0" w:rsidRDefault="0014555F" w:rsidP="00AA1477">
            <w:pPr>
              <w:spacing w:after="0" w:line="240" w:lineRule="auto"/>
              <w:jc w:val="right"/>
              <w:rPr>
                <w:rFonts w:ascii="Arial" w:hAnsi="Arial" w:cs="Arial"/>
                <w:b/>
                <w:bCs/>
                <w:iCs/>
                <w:sz w:val="16"/>
                <w:szCs w:val="16"/>
              </w:rPr>
            </w:pPr>
            <w:r w:rsidRPr="004349E0">
              <w:rPr>
                <w:rFonts w:ascii="Arial" w:hAnsi="Arial" w:cs="Arial"/>
                <w:b/>
                <w:bCs/>
                <w:iCs/>
                <w:sz w:val="16"/>
                <w:szCs w:val="16"/>
              </w:rPr>
              <w:t>7,731</w:t>
            </w:r>
          </w:p>
        </w:tc>
        <w:tc>
          <w:tcPr>
            <w:tcW w:w="980" w:type="dxa"/>
            <w:tcBorders>
              <w:top w:val="single" w:sz="4" w:space="0" w:color="auto"/>
              <w:left w:val="nil"/>
              <w:bottom w:val="single" w:sz="4" w:space="0" w:color="auto"/>
              <w:right w:val="nil"/>
            </w:tcBorders>
            <w:shd w:val="clear" w:color="000000" w:fill="E6E6E6"/>
            <w:noWrap/>
            <w:vAlign w:val="bottom"/>
            <w:hideMark/>
          </w:tcPr>
          <w:p w14:paraId="4EE22F6C" w14:textId="6E5FC251" w:rsidR="0014555F" w:rsidRPr="004349E0" w:rsidRDefault="0014555F" w:rsidP="00AA1477">
            <w:pPr>
              <w:spacing w:after="0" w:line="240" w:lineRule="auto"/>
              <w:jc w:val="right"/>
              <w:rPr>
                <w:rFonts w:ascii="Arial" w:hAnsi="Arial" w:cs="Arial"/>
                <w:b/>
                <w:bCs/>
                <w:iCs/>
                <w:sz w:val="16"/>
                <w:szCs w:val="16"/>
              </w:rPr>
            </w:pPr>
            <w:r w:rsidRPr="004349E0">
              <w:rPr>
                <w:rFonts w:ascii="Arial" w:hAnsi="Arial" w:cs="Arial"/>
                <w:b/>
                <w:bCs/>
                <w:iCs/>
                <w:sz w:val="16"/>
                <w:szCs w:val="16"/>
              </w:rPr>
              <w:t>15,260</w:t>
            </w:r>
          </w:p>
        </w:tc>
        <w:tc>
          <w:tcPr>
            <w:tcW w:w="860" w:type="dxa"/>
            <w:tcBorders>
              <w:top w:val="single" w:sz="4" w:space="0" w:color="auto"/>
              <w:left w:val="nil"/>
              <w:bottom w:val="single" w:sz="4" w:space="0" w:color="auto"/>
              <w:right w:val="nil"/>
            </w:tcBorders>
            <w:shd w:val="clear" w:color="auto" w:fill="auto"/>
            <w:noWrap/>
            <w:vAlign w:val="bottom"/>
            <w:hideMark/>
          </w:tcPr>
          <w:p w14:paraId="56421A0D" w14:textId="6AAE844D" w:rsidR="0014555F" w:rsidRPr="004349E0" w:rsidRDefault="0014555F" w:rsidP="00AA1477">
            <w:pPr>
              <w:spacing w:after="0" w:line="240" w:lineRule="auto"/>
              <w:jc w:val="right"/>
              <w:rPr>
                <w:rFonts w:ascii="Arial" w:hAnsi="Arial" w:cs="Arial"/>
                <w:b/>
                <w:bCs/>
                <w:iCs/>
                <w:sz w:val="16"/>
                <w:szCs w:val="16"/>
              </w:rPr>
            </w:pPr>
            <w:r w:rsidRPr="004349E0">
              <w:rPr>
                <w:rFonts w:ascii="Arial" w:hAnsi="Arial" w:cs="Arial"/>
                <w:b/>
                <w:bCs/>
                <w:iCs/>
                <w:sz w:val="16"/>
                <w:szCs w:val="16"/>
              </w:rPr>
              <w:t>7,702</w:t>
            </w:r>
          </w:p>
        </w:tc>
        <w:tc>
          <w:tcPr>
            <w:tcW w:w="961" w:type="dxa"/>
            <w:tcBorders>
              <w:top w:val="single" w:sz="4" w:space="0" w:color="auto"/>
              <w:left w:val="nil"/>
              <w:bottom w:val="single" w:sz="4" w:space="0" w:color="auto"/>
              <w:right w:val="nil"/>
            </w:tcBorders>
            <w:shd w:val="clear" w:color="auto" w:fill="auto"/>
            <w:noWrap/>
            <w:vAlign w:val="bottom"/>
            <w:hideMark/>
          </w:tcPr>
          <w:p w14:paraId="40EE3A11" w14:textId="441666F3" w:rsidR="0014555F" w:rsidRPr="004349E0" w:rsidRDefault="0014555F" w:rsidP="00AA1477">
            <w:pPr>
              <w:spacing w:after="0" w:line="240" w:lineRule="auto"/>
              <w:jc w:val="right"/>
              <w:rPr>
                <w:rFonts w:ascii="Arial" w:hAnsi="Arial" w:cs="Arial"/>
                <w:b/>
                <w:bCs/>
                <w:iCs/>
                <w:sz w:val="16"/>
                <w:szCs w:val="16"/>
              </w:rPr>
            </w:pPr>
            <w:r w:rsidRPr="004349E0">
              <w:rPr>
                <w:rFonts w:ascii="Arial" w:hAnsi="Arial" w:cs="Arial"/>
                <w:b/>
                <w:bCs/>
                <w:iCs/>
                <w:sz w:val="16"/>
                <w:szCs w:val="16"/>
              </w:rPr>
              <w:t>6,802</w:t>
            </w:r>
          </w:p>
        </w:tc>
        <w:tc>
          <w:tcPr>
            <w:tcW w:w="951" w:type="dxa"/>
            <w:tcBorders>
              <w:top w:val="single" w:sz="4" w:space="0" w:color="auto"/>
              <w:left w:val="nil"/>
              <w:bottom w:val="single" w:sz="4" w:space="0" w:color="auto"/>
              <w:right w:val="nil"/>
            </w:tcBorders>
            <w:shd w:val="clear" w:color="auto" w:fill="auto"/>
            <w:noWrap/>
            <w:vAlign w:val="bottom"/>
            <w:hideMark/>
          </w:tcPr>
          <w:p w14:paraId="0E3673BF" w14:textId="2A783E1D" w:rsidR="0014555F" w:rsidRPr="004349E0" w:rsidRDefault="0014555F" w:rsidP="00AA1477">
            <w:pPr>
              <w:spacing w:after="0" w:line="240" w:lineRule="auto"/>
              <w:jc w:val="right"/>
              <w:rPr>
                <w:rFonts w:ascii="Arial" w:hAnsi="Arial" w:cs="Arial"/>
                <w:b/>
                <w:bCs/>
                <w:iCs/>
                <w:sz w:val="16"/>
                <w:szCs w:val="16"/>
              </w:rPr>
            </w:pPr>
            <w:r w:rsidRPr="004349E0">
              <w:rPr>
                <w:rFonts w:ascii="Arial" w:hAnsi="Arial" w:cs="Arial"/>
                <w:b/>
                <w:bCs/>
                <w:iCs/>
                <w:sz w:val="16"/>
                <w:szCs w:val="16"/>
              </w:rPr>
              <w:t>6,732</w:t>
            </w:r>
          </w:p>
        </w:tc>
      </w:tr>
      <w:tr w:rsidR="0014555F" w:rsidRPr="0029134F" w14:paraId="1C44748B" w14:textId="77777777" w:rsidTr="0029134F">
        <w:trPr>
          <w:trHeight w:val="204"/>
        </w:trPr>
        <w:tc>
          <w:tcPr>
            <w:tcW w:w="2980" w:type="dxa"/>
            <w:tcBorders>
              <w:top w:val="nil"/>
              <w:left w:val="nil"/>
              <w:bottom w:val="nil"/>
              <w:right w:val="nil"/>
            </w:tcBorders>
            <w:shd w:val="clear" w:color="auto" w:fill="auto"/>
            <w:vAlign w:val="center"/>
            <w:hideMark/>
          </w:tcPr>
          <w:p w14:paraId="4682283F" w14:textId="10F52EC8"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PURCHASE OF NON-FINA</w:t>
            </w:r>
            <w:r w:rsidR="0029134F" w:rsidRPr="004349E0">
              <w:rPr>
                <w:rFonts w:ascii="Arial" w:hAnsi="Arial" w:cs="Arial"/>
                <w:b/>
                <w:bCs/>
                <w:sz w:val="16"/>
                <w:szCs w:val="16"/>
              </w:rPr>
              <w:t>NCIAL</w:t>
            </w:r>
            <w:r w:rsidRPr="004349E0">
              <w:rPr>
                <w:rFonts w:ascii="Arial" w:hAnsi="Arial" w:cs="Arial"/>
                <w:b/>
                <w:bCs/>
                <w:sz w:val="16"/>
                <w:szCs w:val="16"/>
              </w:rPr>
              <w:t xml:space="preserve"> ASSETS</w:t>
            </w:r>
          </w:p>
        </w:tc>
        <w:tc>
          <w:tcPr>
            <w:tcW w:w="989" w:type="dxa"/>
            <w:tcBorders>
              <w:top w:val="nil"/>
              <w:left w:val="nil"/>
              <w:bottom w:val="nil"/>
              <w:right w:val="nil"/>
            </w:tcBorders>
            <w:shd w:val="clear" w:color="auto" w:fill="auto"/>
            <w:vAlign w:val="bottom"/>
            <w:hideMark/>
          </w:tcPr>
          <w:p w14:paraId="0A4ED820" w14:textId="77777777" w:rsidR="0014555F" w:rsidRPr="004349E0" w:rsidRDefault="0014555F" w:rsidP="00AA1477">
            <w:pPr>
              <w:spacing w:after="0" w:line="240" w:lineRule="auto"/>
              <w:jc w:val="right"/>
              <w:rPr>
                <w:rFonts w:ascii="Arial" w:hAnsi="Arial" w:cs="Arial"/>
                <w:b/>
                <w:bCs/>
                <w:sz w:val="16"/>
                <w:szCs w:val="16"/>
              </w:rPr>
            </w:pPr>
          </w:p>
        </w:tc>
        <w:tc>
          <w:tcPr>
            <w:tcW w:w="980" w:type="dxa"/>
            <w:tcBorders>
              <w:top w:val="nil"/>
              <w:left w:val="nil"/>
              <w:bottom w:val="nil"/>
              <w:right w:val="nil"/>
            </w:tcBorders>
            <w:shd w:val="clear" w:color="000000" w:fill="E6E6E6"/>
            <w:vAlign w:val="bottom"/>
            <w:hideMark/>
          </w:tcPr>
          <w:p w14:paraId="0DC5F1EF" w14:textId="61F39D19" w:rsidR="0014555F" w:rsidRPr="004349E0" w:rsidRDefault="0014555F" w:rsidP="00AA147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vAlign w:val="bottom"/>
            <w:hideMark/>
          </w:tcPr>
          <w:p w14:paraId="7DDF1B0A" w14:textId="77777777" w:rsidR="0014555F" w:rsidRPr="004349E0" w:rsidRDefault="0014555F" w:rsidP="00AA1477">
            <w:pPr>
              <w:spacing w:after="0" w:line="240" w:lineRule="auto"/>
              <w:jc w:val="right"/>
              <w:rPr>
                <w:rFonts w:ascii="Arial" w:hAnsi="Arial" w:cs="Arial"/>
                <w:sz w:val="16"/>
                <w:szCs w:val="16"/>
              </w:rPr>
            </w:pPr>
          </w:p>
        </w:tc>
        <w:tc>
          <w:tcPr>
            <w:tcW w:w="961" w:type="dxa"/>
            <w:tcBorders>
              <w:top w:val="nil"/>
              <w:left w:val="nil"/>
              <w:bottom w:val="nil"/>
              <w:right w:val="nil"/>
            </w:tcBorders>
            <w:shd w:val="clear" w:color="auto" w:fill="auto"/>
            <w:vAlign w:val="bottom"/>
            <w:hideMark/>
          </w:tcPr>
          <w:p w14:paraId="731D37D4" w14:textId="77777777" w:rsidR="0014555F" w:rsidRPr="004349E0" w:rsidRDefault="0014555F" w:rsidP="00AA1477">
            <w:pPr>
              <w:spacing w:after="0" w:line="240" w:lineRule="auto"/>
              <w:jc w:val="right"/>
              <w:rPr>
                <w:rFonts w:ascii="Arial" w:hAnsi="Arial" w:cs="Arial"/>
                <w:sz w:val="16"/>
                <w:szCs w:val="16"/>
              </w:rPr>
            </w:pPr>
          </w:p>
        </w:tc>
        <w:tc>
          <w:tcPr>
            <w:tcW w:w="951" w:type="dxa"/>
            <w:tcBorders>
              <w:top w:val="nil"/>
              <w:left w:val="nil"/>
              <w:bottom w:val="nil"/>
              <w:right w:val="nil"/>
            </w:tcBorders>
            <w:shd w:val="clear" w:color="auto" w:fill="auto"/>
            <w:vAlign w:val="bottom"/>
            <w:hideMark/>
          </w:tcPr>
          <w:p w14:paraId="42F3C11E" w14:textId="77777777" w:rsidR="0014555F" w:rsidRPr="004349E0" w:rsidRDefault="0014555F" w:rsidP="00AA1477">
            <w:pPr>
              <w:spacing w:after="0" w:line="240" w:lineRule="auto"/>
              <w:jc w:val="right"/>
              <w:rPr>
                <w:rFonts w:ascii="Arial" w:hAnsi="Arial" w:cs="Arial"/>
                <w:sz w:val="16"/>
                <w:szCs w:val="16"/>
              </w:rPr>
            </w:pPr>
          </w:p>
        </w:tc>
      </w:tr>
      <w:tr w:rsidR="0014555F" w:rsidRPr="0029134F" w14:paraId="3E685A24" w14:textId="77777777" w:rsidTr="0029134F">
        <w:trPr>
          <w:trHeight w:val="204"/>
        </w:trPr>
        <w:tc>
          <w:tcPr>
            <w:tcW w:w="2980" w:type="dxa"/>
            <w:tcBorders>
              <w:top w:val="nil"/>
              <w:left w:val="nil"/>
              <w:bottom w:val="nil"/>
              <w:right w:val="nil"/>
            </w:tcBorders>
            <w:shd w:val="clear" w:color="auto" w:fill="auto"/>
            <w:vAlign w:val="center"/>
            <w:hideMark/>
          </w:tcPr>
          <w:p w14:paraId="0937A768" w14:textId="77777777" w:rsidR="0014555F" w:rsidRPr="004349E0" w:rsidRDefault="0014555F" w:rsidP="0029134F">
            <w:pPr>
              <w:spacing w:after="0" w:line="240" w:lineRule="auto"/>
              <w:ind w:left="113"/>
              <w:jc w:val="left"/>
              <w:rPr>
                <w:rFonts w:ascii="Arial" w:hAnsi="Arial" w:cs="Arial"/>
                <w:sz w:val="16"/>
                <w:szCs w:val="16"/>
              </w:rPr>
            </w:pPr>
            <w:r w:rsidRPr="004349E0">
              <w:rPr>
                <w:rFonts w:ascii="Arial" w:hAnsi="Arial" w:cs="Arial"/>
                <w:sz w:val="16"/>
                <w:szCs w:val="16"/>
              </w:rPr>
              <w:t>Funded by capital appropriation -</w:t>
            </w:r>
            <w:r w:rsidRPr="004349E0">
              <w:rPr>
                <w:rFonts w:ascii="Arial" w:hAnsi="Arial" w:cs="Arial"/>
                <w:sz w:val="16"/>
                <w:szCs w:val="16"/>
              </w:rPr>
              <w:br/>
              <w:t xml:space="preserve">DCB </w:t>
            </w:r>
            <w:r w:rsidRPr="004349E0">
              <w:rPr>
                <w:rFonts w:ascii="Arial" w:hAnsi="Arial" w:cs="Arial"/>
                <w:sz w:val="16"/>
                <w:szCs w:val="16"/>
                <w:vertAlign w:val="superscript"/>
              </w:rPr>
              <w:t>(a)</w:t>
            </w:r>
          </w:p>
        </w:tc>
        <w:tc>
          <w:tcPr>
            <w:tcW w:w="989" w:type="dxa"/>
            <w:tcBorders>
              <w:top w:val="nil"/>
              <w:left w:val="nil"/>
              <w:bottom w:val="nil"/>
              <w:right w:val="nil"/>
            </w:tcBorders>
            <w:shd w:val="clear" w:color="auto" w:fill="auto"/>
            <w:noWrap/>
            <w:vAlign w:val="bottom"/>
            <w:hideMark/>
          </w:tcPr>
          <w:p w14:paraId="371DE905" w14:textId="59DEBB9F"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7,203</w:t>
            </w:r>
          </w:p>
        </w:tc>
        <w:tc>
          <w:tcPr>
            <w:tcW w:w="980" w:type="dxa"/>
            <w:tcBorders>
              <w:top w:val="nil"/>
              <w:left w:val="nil"/>
              <w:bottom w:val="nil"/>
              <w:right w:val="nil"/>
            </w:tcBorders>
            <w:shd w:val="clear" w:color="000000" w:fill="E6E6E6"/>
            <w:noWrap/>
            <w:vAlign w:val="bottom"/>
            <w:hideMark/>
          </w:tcPr>
          <w:p w14:paraId="11812D0D" w14:textId="50D0A00C"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15,260</w:t>
            </w:r>
          </w:p>
        </w:tc>
        <w:tc>
          <w:tcPr>
            <w:tcW w:w="860" w:type="dxa"/>
            <w:tcBorders>
              <w:top w:val="nil"/>
              <w:left w:val="nil"/>
              <w:bottom w:val="nil"/>
              <w:right w:val="nil"/>
            </w:tcBorders>
            <w:shd w:val="clear" w:color="auto" w:fill="auto"/>
            <w:noWrap/>
            <w:vAlign w:val="bottom"/>
            <w:hideMark/>
          </w:tcPr>
          <w:p w14:paraId="23AA0319" w14:textId="6E98CBAA"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7,702</w:t>
            </w:r>
          </w:p>
        </w:tc>
        <w:tc>
          <w:tcPr>
            <w:tcW w:w="961" w:type="dxa"/>
            <w:tcBorders>
              <w:top w:val="nil"/>
              <w:left w:val="nil"/>
              <w:bottom w:val="nil"/>
              <w:right w:val="nil"/>
            </w:tcBorders>
            <w:shd w:val="clear" w:color="auto" w:fill="auto"/>
            <w:noWrap/>
            <w:vAlign w:val="bottom"/>
            <w:hideMark/>
          </w:tcPr>
          <w:p w14:paraId="4C459279" w14:textId="76CA3AC1"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6,802</w:t>
            </w:r>
          </w:p>
        </w:tc>
        <w:tc>
          <w:tcPr>
            <w:tcW w:w="951" w:type="dxa"/>
            <w:tcBorders>
              <w:top w:val="nil"/>
              <w:left w:val="nil"/>
              <w:bottom w:val="nil"/>
              <w:right w:val="nil"/>
            </w:tcBorders>
            <w:shd w:val="clear" w:color="auto" w:fill="auto"/>
            <w:noWrap/>
            <w:vAlign w:val="bottom"/>
            <w:hideMark/>
          </w:tcPr>
          <w:p w14:paraId="2411153C" w14:textId="473D0403"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6,732</w:t>
            </w:r>
          </w:p>
        </w:tc>
      </w:tr>
      <w:tr w:rsidR="0014555F" w:rsidRPr="0029134F" w14:paraId="4E084049" w14:textId="77777777" w:rsidTr="0029134F">
        <w:trPr>
          <w:trHeight w:val="204"/>
        </w:trPr>
        <w:tc>
          <w:tcPr>
            <w:tcW w:w="2980" w:type="dxa"/>
            <w:tcBorders>
              <w:top w:val="nil"/>
              <w:left w:val="nil"/>
              <w:bottom w:val="nil"/>
              <w:right w:val="nil"/>
            </w:tcBorders>
            <w:shd w:val="clear" w:color="auto" w:fill="auto"/>
            <w:vAlign w:val="center"/>
            <w:hideMark/>
          </w:tcPr>
          <w:p w14:paraId="4456EB86" w14:textId="70389A2D" w:rsidR="0014555F" w:rsidRPr="004349E0" w:rsidRDefault="0014555F" w:rsidP="0029134F">
            <w:pPr>
              <w:spacing w:after="0" w:line="240" w:lineRule="auto"/>
              <w:ind w:left="113"/>
              <w:jc w:val="left"/>
              <w:rPr>
                <w:rFonts w:ascii="Arial" w:hAnsi="Arial" w:cs="Arial"/>
                <w:sz w:val="16"/>
                <w:szCs w:val="16"/>
              </w:rPr>
            </w:pPr>
            <w:r w:rsidRPr="004349E0">
              <w:rPr>
                <w:rFonts w:ascii="Arial" w:hAnsi="Arial" w:cs="Arial"/>
                <w:sz w:val="16"/>
                <w:szCs w:val="16"/>
              </w:rPr>
              <w:t xml:space="preserve">Funded internally from </w:t>
            </w:r>
            <w:r w:rsidR="008863D9">
              <w:rPr>
                <w:rFonts w:ascii="Arial" w:hAnsi="Arial" w:cs="Arial"/>
                <w:sz w:val="16"/>
                <w:szCs w:val="16"/>
              </w:rPr>
              <w:t>Department</w:t>
            </w:r>
            <w:r w:rsidRPr="004349E0">
              <w:rPr>
                <w:rFonts w:ascii="Arial" w:hAnsi="Arial" w:cs="Arial"/>
                <w:sz w:val="16"/>
                <w:szCs w:val="16"/>
              </w:rPr>
              <w:t>al</w:t>
            </w:r>
            <w:r w:rsidRPr="004349E0">
              <w:rPr>
                <w:rFonts w:ascii="Arial" w:hAnsi="Arial" w:cs="Arial"/>
                <w:sz w:val="16"/>
                <w:szCs w:val="16"/>
              </w:rPr>
              <w:br/>
              <w:t xml:space="preserve">resources </w:t>
            </w:r>
            <w:r w:rsidRPr="004349E0">
              <w:rPr>
                <w:rFonts w:ascii="Arial" w:hAnsi="Arial" w:cs="Arial"/>
                <w:sz w:val="16"/>
                <w:szCs w:val="16"/>
                <w:vertAlign w:val="superscript"/>
              </w:rPr>
              <w:t>(b)</w:t>
            </w:r>
          </w:p>
        </w:tc>
        <w:tc>
          <w:tcPr>
            <w:tcW w:w="989" w:type="dxa"/>
            <w:tcBorders>
              <w:top w:val="nil"/>
              <w:left w:val="nil"/>
              <w:bottom w:val="nil"/>
              <w:right w:val="nil"/>
            </w:tcBorders>
            <w:shd w:val="clear" w:color="auto" w:fill="auto"/>
            <w:noWrap/>
            <w:vAlign w:val="bottom"/>
            <w:hideMark/>
          </w:tcPr>
          <w:p w14:paraId="5596425A" w14:textId="0ACFB159"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528</w:t>
            </w:r>
          </w:p>
        </w:tc>
        <w:tc>
          <w:tcPr>
            <w:tcW w:w="980" w:type="dxa"/>
            <w:tcBorders>
              <w:top w:val="nil"/>
              <w:left w:val="nil"/>
              <w:bottom w:val="nil"/>
              <w:right w:val="nil"/>
            </w:tcBorders>
            <w:shd w:val="clear" w:color="000000" w:fill="E6E6E6"/>
            <w:noWrap/>
            <w:vAlign w:val="bottom"/>
            <w:hideMark/>
          </w:tcPr>
          <w:p w14:paraId="007C6C43" w14:textId="5CD35708"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860" w:type="dxa"/>
            <w:tcBorders>
              <w:top w:val="nil"/>
              <w:left w:val="nil"/>
              <w:bottom w:val="nil"/>
              <w:right w:val="nil"/>
            </w:tcBorders>
            <w:shd w:val="clear" w:color="auto" w:fill="auto"/>
            <w:noWrap/>
            <w:vAlign w:val="bottom"/>
            <w:hideMark/>
          </w:tcPr>
          <w:p w14:paraId="4051F997" w14:textId="32BEB47C"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961" w:type="dxa"/>
            <w:tcBorders>
              <w:top w:val="nil"/>
              <w:left w:val="nil"/>
              <w:bottom w:val="nil"/>
              <w:right w:val="nil"/>
            </w:tcBorders>
            <w:shd w:val="clear" w:color="auto" w:fill="auto"/>
            <w:noWrap/>
            <w:vAlign w:val="bottom"/>
            <w:hideMark/>
          </w:tcPr>
          <w:p w14:paraId="23E0F8FD" w14:textId="591EC612"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c>
          <w:tcPr>
            <w:tcW w:w="951" w:type="dxa"/>
            <w:tcBorders>
              <w:top w:val="nil"/>
              <w:left w:val="nil"/>
              <w:bottom w:val="nil"/>
              <w:right w:val="nil"/>
            </w:tcBorders>
            <w:shd w:val="clear" w:color="auto" w:fill="auto"/>
            <w:noWrap/>
            <w:vAlign w:val="bottom"/>
            <w:hideMark/>
          </w:tcPr>
          <w:p w14:paraId="08BCCCC4" w14:textId="0CA19641"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w:t>
            </w:r>
          </w:p>
        </w:tc>
      </w:tr>
      <w:tr w:rsidR="0014555F" w:rsidRPr="0029134F" w14:paraId="6367709B" w14:textId="77777777" w:rsidTr="0029134F">
        <w:trPr>
          <w:trHeight w:val="204"/>
        </w:trPr>
        <w:tc>
          <w:tcPr>
            <w:tcW w:w="2980" w:type="dxa"/>
            <w:tcBorders>
              <w:top w:val="nil"/>
              <w:left w:val="nil"/>
              <w:bottom w:val="nil"/>
              <w:right w:val="nil"/>
            </w:tcBorders>
            <w:shd w:val="clear" w:color="auto" w:fill="auto"/>
            <w:noWrap/>
            <w:vAlign w:val="center"/>
            <w:hideMark/>
          </w:tcPr>
          <w:p w14:paraId="2D971C7E"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TOTAL</w:t>
            </w:r>
          </w:p>
        </w:tc>
        <w:tc>
          <w:tcPr>
            <w:tcW w:w="989" w:type="dxa"/>
            <w:tcBorders>
              <w:top w:val="single" w:sz="4" w:space="0" w:color="auto"/>
              <w:left w:val="nil"/>
              <w:bottom w:val="single" w:sz="4" w:space="0" w:color="auto"/>
              <w:right w:val="nil"/>
            </w:tcBorders>
            <w:shd w:val="clear" w:color="auto" w:fill="auto"/>
            <w:noWrap/>
            <w:vAlign w:val="bottom"/>
            <w:hideMark/>
          </w:tcPr>
          <w:p w14:paraId="192CDDCD" w14:textId="2E0DFCCD"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7,731</w:t>
            </w:r>
          </w:p>
        </w:tc>
        <w:tc>
          <w:tcPr>
            <w:tcW w:w="980" w:type="dxa"/>
            <w:tcBorders>
              <w:top w:val="single" w:sz="4" w:space="0" w:color="auto"/>
              <w:left w:val="nil"/>
              <w:bottom w:val="single" w:sz="4" w:space="0" w:color="auto"/>
              <w:right w:val="nil"/>
            </w:tcBorders>
            <w:shd w:val="clear" w:color="000000" w:fill="E6E6E6"/>
            <w:noWrap/>
            <w:vAlign w:val="bottom"/>
            <w:hideMark/>
          </w:tcPr>
          <w:p w14:paraId="6945B4A6" w14:textId="69A81F5C"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15,260</w:t>
            </w:r>
          </w:p>
        </w:tc>
        <w:tc>
          <w:tcPr>
            <w:tcW w:w="860" w:type="dxa"/>
            <w:tcBorders>
              <w:top w:val="single" w:sz="4" w:space="0" w:color="auto"/>
              <w:left w:val="nil"/>
              <w:bottom w:val="single" w:sz="4" w:space="0" w:color="auto"/>
              <w:right w:val="nil"/>
            </w:tcBorders>
            <w:shd w:val="clear" w:color="auto" w:fill="auto"/>
            <w:noWrap/>
            <w:vAlign w:val="bottom"/>
            <w:hideMark/>
          </w:tcPr>
          <w:p w14:paraId="32302078" w14:textId="71C7F2EC"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7,702</w:t>
            </w:r>
          </w:p>
        </w:tc>
        <w:tc>
          <w:tcPr>
            <w:tcW w:w="961" w:type="dxa"/>
            <w:tcBorders>
              <w:top w:val="single" w:sz="4" w:space="0" w:color="auto"/>
              <w:left w:val="nil"/>
              <w:bottom w:val="single" w:sz="4" w:space="0" w:color="auto"/>
              <w:right w:val="nil"/>
            </w:tcBorders>
            <w:shd w:val="clear" w:color="auto" w:fill="auto"/>
            <w:noWrap/>
            <w:vAlign w:val="bottom"/>
            <w:hideMark/>
          </w:tcPr>
          <w:p w14:paraId="7B5A5F1A" w14:textId="1EBF3428"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6,802</w:t>
            </w:r>
          </w:p>
        </w:tc>
        <w:tc>
          <w:tcPr>
            <w:tcW w:w="951" w:type="dxa"/>
            <w:tcBorders>
              <w:top w:val="single" w:sz="4" w:space="0" w:color="auto"/>
              <w:left w:val="nil"/>
              <w:bottom w:val="single" w:sz="4" w:space="0" w:color="auto"/>
              <w:right w:val="nil"/>
            </w:tcBorders>
            <w:shd w:val="clear" w:color="auto" w:fill="auto"/>
            <w:noWrap/>
            <w:vAlign w:val="bottom"/>
            <w:hideMark/>
          </w:tcPr>
          <w:p w14:paraId="54FF5B89" w14:textId="2840B614"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6,732</w:t>
            </w:r>
          </w:p>
        </w:tc>
      </w:tr>
      <w:tr w:rsidR="0014555F" w:rsidRPr="0029134F" w14:paraId="372C8E34" w14:textId="77777777" w:rsidTr="0029134F">
        <w:trPr>
          <w:trHeight w:val="204"/>
        </w:trPr>
        <w:tc>
          <w:tcPr>
            <w:tcW w:w="2980" w:type="dxa"/>
            <w:tcBorders>
              <w:top w:val="nil"/>
              <w:left w:val="nil"/>
              <w:bottom w:val="nil"/>
              <w:right w:val="nil"/>
            </w:tcBorders>
            <w:shd w:val="clear" w:color="auto" w:fill="auto"/>
            <w:vAlign w:val="center"/>
            <w:hideMark/>
          </w:tcPr>
          <w:p w14:paraId="1257E259" w14:textId="563A8FCF" w:rsidR="0014555F" w:rsidRPr="004349E0" w:rsidRDefault="0014555F" w:rsidP="0029134F">
            <w:pPr>
              <w:spacing w:after="0" w:line="240" w:lineRule="auto"/>
              <w:jc w:val="left"/>
              <w:rPr>
                <w:rFonts w:ascii="Arial" w:hAnsi="Arial" w:cs="Arial"/>
                <w:b/>
                <w:bCs/>
                <w:sz w:val="16"/>
                <w:szCs w:val="16"/>
              </w:rPr>
            </w:pPr>
            <w:r w:rsidRPr="004349E0">
              <w:rPr>
                <w:rFonts w:ascii="Arial" w:hAnsi="Arial" w:cs="Arial"/>
                <w:b/>
                <w:bCs/>
                <w:sz w:val="16"/>
                <w:szCs w:val="16"/>
              </w:rPr>
              <w:t>RECONCILIATION OF CASH USED</w:t>
            </w:r>
            <w:r w:rsidR="0029134F" w:rsidRPr="004349E0">
              <w:rPr>
                <w:rFonts w:ascii="Arial" w:hAnsi="Arial" w:cs="Arial"/>
                <w:b/>
                <w:bCs/>
                <w:sz w:val="16"/>
                <w:szCs w:val="16"/>
              </w:rPr>
              <w:t xml:space="preserve"> </w:t>
            </w:r>
            <w:r w:rsidRPr="004349E0">
              <w:rPr>
                <w:rFonts w:ascii="Arial" w:hAnsi="Arial" w:cs="Arial"/>
                <w:b/>
                <w:bCs/>
                <w:sz w:val="16"/>
                <w:szCs w:val="16"/>
              </w:rPr>
              <w:t>TO ACQUIRE ASSETS TO ASSET</w:t>
            </w:r>
            <w:r w:rsidR="0029134F" w:rsidRPr="004349E0">
              <w:rPr>
                <w:rFonts w:ascii="Arial" w:hAnsi="Arial" w:cs="Arial"/>
                <w:b/>
                <w:bCs/>
                <w:sz w:val="16"/>
                <w:szCs w:val="16"/>
              </w:rPr>
              <w:t xml:space="preserve"> </w:t>
            </w:r>
            <w:r w:rsidRPr="004349E0">
              <w:rPr>
                <w:rFonts w:ascii="Arial" w:hAnsi="Arial" w:cs="Arial"/>
                <w:b/>
                <w:bCs/>
                <w:sz w:val="16"/>
                <w:szCs w:val="16"/>
              </w:rPr>
              <w:t>MOVEMENT TABLE</w:t>
            </w:r>
          </w:p>
        </w:tc>
        <w:tc>
          <w:tcPr>
            <w:tcW w:w="989" w:type="dxa"/>
            <w:tcBorders>
              <w:top w:val="nil"/>
              <w:left w:val="nil"/>
              <w:bottom w:val="nil"/>
              <w:right w:val="nil"/>
            </w:tcBorders>
            <w:shd w:val="clear" w:color="auto" w:fill="auto"/>
            <w:noWrap/>
            <w:vAlign w:val="bottom"/>
            <w:hideMark/>
          </w:tcPr>
          <w:p w14:paraId="5093235C" w14:textId="77777777" w:rsidR="0014555F" w:rsidRPr="004349E0" w:rsidRDefault="0014555F" w:rsidP="00AA1477">
            <w:pPr>
              <w:spacing w:after="0" w:line="240" w:lineRule="auto"/>
              <w:jc w:val="right"/>
              <w:rPr>
                <w:rFonts w:ascii="Arial" w:hAnsi="Arial" w:cs="Arial"/>
                <w:b/>
                <w:bCs/>
                <w:sz w:val="16"/>
                <w:szCs w:val="16"/>
              </w:rPr>
            </w:pPr>
          </w:p>
        </w:tc>
        <w:tc>
          <w:tcPr>
            <w:tcW w:w="980" w:type="dxa"/>
            <w:tcBorders>
              <w:top w:val="nil"/>
              <w:left w:val="nil"/>
              <w:bottom w:val="nil"/>
              <w:right w:val="nil"/>
            </w:tcBorders>
            <w:shd w:val="clear" w:color="000000" w:fill="E6E6E6"/>
            <w:noWrap/>
            <w:vAlign w:val="bottom"/>
            <w:hideMark/>
          </w:tcPr>
          <w:p w14:paraId="37C04EA6" w14:textId="5595E50C" w:rsidR="0014555F" w:rsidRPr="004349E0" w:rsidRDefault="0014555F" w:rsidP="00AA147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6796020E" w14:textId="77777777" w:rsidR="0014555F" w:rsidRPr="004349E0" w:rsidRDefault="0014555F" w:rsidP="00AA1477">
            <w:pPr>
              <w:spacing w:after="0" w:line="240" w:lineRule="auto"/>
              <w:jc w:val="right"/>
              <w:rPr>
                <w:rFonts w:ascii="Arial" w:hAnsi="Arial" w:cs="Arial"/>
                <w:sz w:val="16"/>
                <w:szCs w:val="16"/>
              </w:rPr>
            </w:pPr>
          </w:p>
        </w:tc>
        <w:tc>
          <w:tcPr>
            <w:tcW w:w="961" w:type="dxa"/>
            <w:tcBorders>
              <w:top w:val="nil"/>
              <w:left w:val="nil"/>
              <w:bottom w:val="nil"/>
              <w:right w:val="nil"/>
            </w:tcBorders>
            <w:shd w:val="clear" w:color="auto" w:fill="auto"/>
            <w:noWrap/>
            <w:vAlign w:val="bottom"/>
            <w:hideMark/>
          </w:tcPr>
          <w:p w14:paraId="00D9C56E" w14:textId="77777777" w:rsidR="0014555F" w:rsidRPr="004349E0" w:rsidRDefault="0014555F" w:rsidP="00AA1477">
            <w:pPr>
              <w:spacing w:after="0" w:line="240" w:lineRule="auto"/>
              <w:jc w:val="right"/>
              <w:rPr>
                <w:rFonts w:ascii="Arial" w:hAnsi="Arial" w:cs="Arial"/>
                <w:sz w:val="16"/>
                <w:szCs w:val="16"/>
              </w:rPr>
            </w:pPr>
          </w:p>
        </w:tc>
        <w:tc>
          <w:tcPr>
            <w:tcW w:w="951" w:type="dxa"/>
            <w:tcBorders>
              <w:top w:val="nil"/>
              <w:left w:val="nil"/>
              <w:bottom w:val="nil"/>
              <w:right w:val="nil"/>
            </w:tcBorders>
            <w:shd w:val="clear" w:color="auto" w:fill="auto"/>
            <w:noWrap/>
            <w:vAlign w:val="bottom"/>
            <w:hideMark/>
          </w:tcPr>
          <w:p w14:paraId="3D77C77B" w14:textId="77777777" w:rsidR="0014555F" w:rsidRPr="004349E0" w:rsidRDefault="0014555F" w:rsidP="00AA1477">
            <w:pPr>
              <w:spacing w:after="0" w:line="240" w:lineRule="auto"/>
              <w:jc w:val="right"/>
              <w:rPr>
                <w:rFonts w:ascii="Arial" w:hAnsi="Arial" w:cs="Arial"/>
                <w:sz w:val="16"/>
                <w:szCs w:val="16"/>
              </w:rPr>
            </w:pPr>
          </w:p>
        </w:tc>
      </w:tr>
      <w:tr w:rsidR="0014555F" w:rsidRPr="0029134F" w14:paraId="192C8EF5" w14:textId="77777777" w:rsidTr="0029134F">
        <w:trPr>
          <w:trHeight w:val="204"/>
        </w:trPr>
        <w:tc>
          <w:tcPr>
            <w:tcW w:w="2980" w:type="dxa"/>
            <w:tcBorders>
              <w:top w:val="nil"/>
              <w:left w:val="nil"/>
              <w:bottom w:val="nil"/>
              <w:right w:val="nil"/>
            </w:tcBorders>
            <w:shd w:val="clear" w:color="auto" w:fill="auto"/>
            <w:noWrap/>
            <w:vAlign w:val="center"/>
            <w:hideMark/>
          </w:tcPr>
          <w:p w14:paraId="435841FF" w14:textId="77777777" w:rsidR="0014555F" w:rsidRPr="004349E0" w:rsidRDefault="0014555F" w:rsidP="0029134F">
            <w:pPr>
              <w:spacing w:after="0" w:line="240" w:lineRule="auto"/>
              <w:ind w:left="113"/>
              <w:jc w:val="left"/>
              <w:rPr>
                <w:rFonts w:ascii="Arial" w:hAnsi="Arial" w:cs="Arial"/>
                <w:sz w:val="16"/>
                <w:szCs w:val="16"/>
              </w:rPr>
            </w:pPr>
            <w:r w:rsidRPr="004349E0">
              <w:rPr>
                <w:rFonts w:ascii="Arial" w:hAnsi="Arial" w:cs="Arial"/>
                <w:sz w:val="16"/>
                <w:szCs w:val="16"/>
              </w:rPr>
              <w:t>Total purchases</w:t>
            </w:r>
          </w:p>
        </w:tc>
        <w:tc>
          <w:tcPr>
            <w:tcW w:w="989" w:type="dxa"/>
            <w:tcBorders>
              <w:top w:val="nil"/>
              <w:left w:val="nil"/>
              <w:bottom w:val="nil"/>
              <w:right w:val="nil"/>
            </w:tcBorders>
            <w:shd w:val="clear" w:color="auto" w:fill="auto"/>
            <w:noWrap/>
            <w:vAlign w:val="bottom"/>
            <w:hideMark/>
          </w:tcPr>
          <w:p w14:paraId="2BE8BD10" w14:textId="7280D7A5"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7,731</w:t>
            </w:r>
          </w:p>
        </w:tc>
        <w:tc>
          <w:tcPr>
            <w:tcW w:w="980" w:type="dxa"/>
            <w:tcBorders>
              <w:top w:val="nil"/>
              <w:left w:val="nil"/>
              <w:bottom w:val="nil"/>
              <w:right w:val="nil"/>
            </w:tcBorders>
            <w:shd w:val="clear" w:color="000000" w:fill="E6E6E6"/>
            <w:noWrap/>
            <w:vAlign w:val="bottom"/>
            <w:hideMark/>
          </w:tcPr>
          <w:p w14:paraId="1AA9D818" w14:textId="53DDD06C"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15,260</w:t>
            </w:r>
          </w:p>
        </w:tc>
        <w:tc>
          <w:tcPr>
            <w:tcW w:w="860" w:type="dxa"/>
            <w:tcBorders>
              <w:top w:val="nil"/>
              <w:left w:val="nil"/>
              <w:bottom w:val="nil"/>
              <w:right w:val="nil"/>
            </w:tcBorders>
            <w:shd w:val="clear" w:color="auto" w:fill="auto"/>
            <w:noWrap/>
            <w:vAlign w:val="bottom"/>
            <w:hideMark/>
          </w:tcPr>
          <w:p w14:paraId="00D3DCED" w14:textId="7F91A642"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7,702</w:t>
            </w:r>
          </w:p>
        </w:tc>
        <w:tc>
          <w:tcPr>
            <w:tcW w:w="961" w:type="dxa"/>
            <w:tcBorders>
              <w:top w:val="nil"/>
              <w:left w:val="nil"/>
              <w:bottom w:val="nil"/>
              <w:right w:val="nil"/>
            </w:tcBorders>
            <w:shd w:val="clear" w:color="auto" w:fill="auto"/>
            <w:noWrap/>
            <w:vAlign w:val="bottom"/>
            <w:hideMark/>
          </w:tcPr>
          <w:p w14:paraId="5ACF1928" w14:textId="11A428D1"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6,802</w:t>
            </w:r>
          </w:p>
        </w:tc>
        <w:tc>
          <w:tcPr>
            <w:tcW w:w="951" w:type="dxa"/>
            <w:tcBorders>
              <w:top w:val="nil"/>
              <w:left w:val="nil"/>
              <w:bottom w:val="nil"/>
              <w:right w:val="nil"/>
            </w:tcBorders>
            <w:shd w:val="clear" w:color="auto" w:fill="auto"/>
            <w:noWrap/>
            <w:vAlign w:val="bottom"/>
            <w:hideMark/>
          </w:tcPr>
          <w:p w14:paraId="5605020D" w14:textId="61BE90B2" w:rsidR="0014555F" w:rsidRPr="004349E0" w:rsidRDefault="0014555F" w:rsidP="00AA1477">
            <w:pPr>
              <w:spacing w:after="0" w:line="240" w:lineRule="auto"/>
              <w:jc w:val="right"/>
              <w:rPr>
                <w:rFonts w:ascii="Arial" w:hAnsi="Arial" w:cs="Arial"/>
                <w:sz w:val="16"/>
                <w:szCs w:val="16"/>
              </w:rPr>
            </w:pPr>
            <w:r w:rsidRPr="004349E0">
              <w:rPr>
                <w:rFonts w:ascii="Arial" w:hAnsi="Arial" w:cs="Arial"/>
                <w:sz w:val="16"/>
                <w:szCs w:val="16"/>
              </w:rPr>
              <w:t>6,732</w:t>
            </w:r>
          </w:p>
        </w:tc>
      </w:tr>
      <w:tr w:rsidR="0014555F" w:rsidRPr="0029134F" w14:paraId="56F94E9B" w14:textId="77777777" w:rsidTr="0029134F">
        <w:trPr>
          <w:trHeight w:val="204"/>
        </w:trPr>
        <w:tc>
          <w:tcPr>
            <w:tcW w:w="2980" w:type="dxa"/>
            <w:tcBorders>
              <w:top w:val="nil"/>
              <w:left w:val="nil"/>
              <w:bottom w:val="single" w:sz="4" w:space="0" w:color="auto"/>
              <w:right w:val="nil"/>
            </w:tcBorders>
            <w:shd w:val="clear" w:color="auto" w:fill="auto"/>
            <w:vAlign w:val="center"/>
            <w:hideMark/>
          </w:tcPr>
          <w:p w14:paraId="5D750580" w14:textId="77777777" w:rsidR="0014555F" w:rsidRPr="004349E0" w:rsidRDefault="0014555F" w:rsidP="0014555F">
            <w:pPr>
              <w:spacing w:after="0" w:line="240" w:lineRule="auto"/>
              <w:jc w:val="left"/>
              <w:rPr>
                <w:rFonts w:ascii="Arial" w:hAnsi="Arial" w:cs="Arial"/>
                <w:b/>
                <w:bCs/>
                <w:sz w:val="16"/>
                <w:szCs w:val="16"/>
              </w:rPr>
            </w:pPr>
            <w:r w:rsidRPr="004349E0">
              <w:rPr>
                <w:rFonts w:ascii="Arial" w:hAnsi="Arial" w:cs="Arial"/>
                <w:b/>
                <w:bCs/>
                <w:sz w:val="16"/>
                <w:szCs w:val="16"/>
              </w:rPr>
              <w:t>Total cash used to acquire assets</w:t>
            </w:r>
          </w:p>
        </w:tc>
        <w:tc>
          <w:tcPr>
            <w:tcW w:w="989" w:type="dxa"/>
            <w:tcBorders>
              <w:top w:val="single" w:sz="4" w:space="0" w:color="auto"/>
              <w:left w:val="nil"/>
              <w:bottom w:val="single" w:sz="4" w:space="0" w:color="auto"/>
              <w:right w:val="nil"/>
            </w:tcBorders>
            <w:shd w:val="clear" w:color="auto" w:fill="auto"/>
            <w:noWrap/>
            <w:vAlign w:val="bottom"/>
            <w:hideMark/>
          </w:tcPr>
          <w:p w14:paraId="6D60D7B0" w14:textId="66C1F466"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7,731</w:t>
            </w:r>
          </w:p>
        </w:tc>
        <w:tc>
          <w:tcPr>
            <w:tcW w:w="980" w:type="dxa"/>
            <w:tcBorders>
              <w:top w:val="single" w:sz="4" w:space="0" w:color="auto"/>
              <w:left w:val="nil"/>
              <w:bottom w:val="single" w:sz="4" w:space="0" w:color="auto"/>
              <w:right w:val="nil"/>
            </w:tcBorders>
            <w:shd w:val="clear" w:color="000000" w:fill="E6E6E6"/>
            <w:noWrap/>
            <w:vAlign w:val="bottom"/>
            <w:hideMark/>
          </w:tcPr>
          <w:p w14:paraId="373F7320" w14:textId="39C9D0EF"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15,260</w:t>
            </w:r>
          </w:p>
        </w:tc>
        <w:tc>
          <w:tcPr>
            <w:tcW w:w="860" w:type="dxa"/>
            <w:tcBorders>
              <w:top w:val="single" w:sz="4" w:space="0" w:color="auto"/>
              <w:left w:val="nil"/>
              <w:bottom w:val="single" w:sz="4" w:space="0" w:color="auto"/>
              <w:right w:val="nil"/>
            </w:tcBorders>
            <w:shd w:val="clear" w:color="auto" w:fill="auto"/>
            <w:noWrap/>
            <w:vAlign w:val="bottom"/>
            <w:hideMark/>
          </w:tcPr>
          <w:p w14:paraId="18305397" w14:textId="0E613F89"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7,702</w:t>
            </w:r>
          </w:p>
        </w:tc>
        <w:tc>
          <w:tcPr>
            <w:tcW w:w="961" w:type="dxa"/>
            <w:tcBorders>
              <w:top w:val="single" w:sz="4" w:space="0" w:color="auto"/>
              <w:left w:val="nil"/>
              <w:bottom w:val="single" w:sz="4" w:space="0" w:color="auto"/>
              <w:right w:val="nil"/>
            </w:tcBorders>
            <w:shd w:val="clear" w:color="auto" w:fill="auto"/>
            <w:noWrap/>
            <w:vAlign w:val="bottom"/>
            <w:hideMark/>
          </w:tcPr>
          <w:p w14:paraId="11038DD7" w14:textId="43CF3506"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6,802</w:t>
            </w:r>
          </w:p>
        </w:tc>
        <w:tc>
          <w:tcPr>
            <w:tcW w:w="951" w:type="dxa"/>
            <w:tcBorders>
              <w:top w:val="single" w:sz="4" w:space="0" w:color="auto"/>
              <w:left w:val="nil"/>
              <w:bottom w:val="single" w:sz="4" w:space="0" w:color="auto"/>
              <w:right w:val="nil"/>
            </w:tcBorders>
            <w:shd w:val="clear" w:color="auto" w:fill="auto"/>
            <w:noWrap/>
            <w:vAlign w:val="bottom"/>
            <w:hideMark/>
          </w:tcPr>
          <w:p w14:paraId="50653D9B" w14:textId="7F32013D" w:rsidR="0014555F" w:rsidRPr="004349E0" w:rsidRDefault="0014555F" w:rsidP="00AA1477">
            <w:pPr>
              <w:spacing w:after="0" w:line="240" w:lineRule="auto"/>
              <w:jc w:val="right"/>
              <w:rPr>
                <w:rFonts w:ascii="Arial" w:hAnsi="Arial" w:cs="Arial"/>
                <w:b/>
                <w:bCs/>
                <w:sz w:val="16"/>
                <w:szCs w:val="16"/>
              </w:rPr>
            </w:pPr>
            <w:r w:rsidRPr="004349E0">
              <w:rPr>
                <w:rFonts w:ascii="Arial" w:hAnsi="Arial" w:cs="Arial"/>
                <w:b/>
                <w:bCs/>
                <w:sz w:val="16"/>
                <w:szCs w:val="16"/>
              </w:rPr>
              <w:t>6,732</w:t>
            </w:r>
          </w:p>
        </w:tc>
      </w:tr>
    </w:tbl>
    <w:p w14:paraId="642E5C31" w14:textId="77777777" w:rsidR="005A6F51" w:rsidRPr="00311052" w:rsidRDefault="005A6F51" w:rsidP="005A6F51">
      <w:pPr>
        <w:pStyle w:val="ChartandTableFootnoteAlpha"/>
        <w:numPr>
          <w:ilvl w:val="0"/>
          <w:numId w:val="0"/>
        </w:numPr>
        <w:spacing w:before="60"/>
        <w:jc w:val="left"/>
        <w:rPr>
          <w:rFonts w:cs="Arial"/>
          <w:szCs w:val="16"/>
        </w:rPr>
      </w:pPr>
      <w:r w:rsidRPr="00311052">
        <w:rPr>
          <w:rFonts w:cs="Arial"/>
          <w:szCs w:val="16"/>
        </w:rPr>
        <w:t>Prepared on Australian Accounting Standards basis.</w:t>
      </w:r>
    </w:p>
    <w:p w14:paraId="35496E58" w14:textId="2C8AD8A0" w:rsidR="0014555F" w:rsidRDefault="0014555F" w:rsidP="00F10ACD">
      <w:pPr>
        <w:pStyle w:val="ChartandTableFootnoteAlpha"/>
        <w:numPr>
          <w:ilvl w:val="0"/>
          <w:numId w:val="35"/>
        </w:numPr>
        <w:spacing w:after="0"/>
        <w:ind w:left="284" w:hanging="284"/>
        <w:jc w:val="left"/>
        <w:rPr>
          <w:rFonts w:cs="Arial"/>
          <w:szCs w:val="16"/>
        </w:rPr>
      </w:pPr>
      <w:r w:rsidRPr="00EA5003">
        <w:rPr>
          <w:rFonts w:cs="Arial"/>
          <w:szCs w:val="16"/>
        </w:rPr>
        <w:t>Does not include annual finance lease costs. Include</w:t>
      </w:r>
      <w:r>
        <w:rPr>
          <w:rFonts w:cs="Arial"/>
          <w:szCs w:val="16"/>
        </w:rPr>
        <w:t>s</w:t>
      </w:r>
      <w:r w:rsidRPr="00EA5003">
        <w:rPr>
          <w:rFonts w:cs="Arial"/>
          <w:szCs w:val="16"/>
        </w:rPr>
        <w:t xml:space="preserve"> purchases from current and previous years' </w:t>
      </w:r>
      <w:r w:rsidR="008863D9">
        <w:rPr>
          <w:rFonts w:cs="Arial"/>
          <w:szCs w:val="16"/>
        </w:rPr>
        <w:t>Department</w:t>
      </w:r>
      <w:r w:rsidRPr="00EA5003">
        <w:rPr>
          <w:rFonts w:cs="Arial"/>
          <w:szCs w:val="16"/>
        </w:rPr>
        <w:t xml:space="preserve">al </w:t>
      </w:r>
      <w:r>
        <w:rPr>
          <w:rFonts w:cs="Arial"/>
          <w:szCs w:val="16"/>
        </w:rPr>
        <w:t>c</w:t>
      </w:r>
      <w:r w:rsidRPr="00EA5003">
        <w:rPr>
          <w:rFonts w:cs="Arial"/>
          <w:szCs w:val="16"/>
        </w:rPr>
        <w:t xml:space="preserve">apital </w:t>
      </w:r>
      <w:r>
        <w:rPr>
          <w:rFonts w:cs="Arial"/>
          <w:szCs w:val="16"/>
        </w:rPr>
        <w:t>b</w:t>
      </w:r>
      <w:r w:rsidRPr="00EA5003">
        <w:rPr>
          <w:rFonts w:cs="Arial"/>
          <w:szCs w:val="16"/>
        </w:rPr>
        <w:t>udgets (DCBs).</w:t>
      </w:r>
    </w:p>
    <w:p w14:paraId="5D1AFE3C" w14:textId="09DD359F" w:rsidR="0014555F" w:rsidRDefault="0014555F" w:rsidP="00F10ACD">
      <w:pPr>
        <w:pStyle w:val="ChartandTableFootnoteAlpha"/>
        <w:numPr>
          <w:ilvl w:val="0"/>
          <w:numId w:val="35"/>
        </w:numPr>
        <w:spacing w:after="0"/>
        <w:ind w:left="284" w:hanging="284"/>
        <w:jc w:val="left"/>
        <w:rPr>
          <w:rFonts w:cs="Arial"/>
          <w:szCs w:val="16"/>
        </w:rPr>
      </w:pPr>
      <w:r w:rsidRPr="00EA5003">
        <w:rPr>
          <w:rFonts w:cs="Arial"/>
          <w:szCs w:val="16"/>
        </w:rPr>
        <w:t>DCB received in 2021-22 includes $0.528 million to reimburse the ACMA for capital payments in 2020</w:t>
      </w:r>
      <w:r w:rsidR="007D036F">
        <w:rPr>
          <w:rFonts w:cs="Arial"/>
          <w:szCs w:val="16"/>
        </w:rPr>
        <w:noBreakHyphen/>
      </w:r>
      <w:r w:rsidRPr="00EA5003">
        <w:rPr>
          <w:rFonts w:cs="Arial"/>
          <w:szCs w:val="16"/>
        </w:rPr>
        <w:t xml:space="preserve">21 relating to the Media Sector Support measure. </w:t>
      </w:r>
    </w:p>
    <w:p w14:paraId="398D89B3" w14:textId="77777777" w:rsidR="0014555F" w:rsidRPr="00311052" w:rsidRDefault="0014555F" w:rsidP="0014555F"/>
    <w:p w14:paraId="3E79C4F2" w14:textId="77777777" w:rsidR="0014555F" w:rsidRDefault="0014555F" w:rsidP="0014555F">
      <w:pPr>
        <w:spacing w:after="0" w:line="240" w:lineRule="auto"/>
        <w:jc w:val="left"/>
      </w:pPr>
      <w:r>
        <w:br w:type="page"/>
      </w:r>
    </w:p>
    <w:p w14:paraId="19FBAF64" w14:textId="4C21CD0A" w:rsidR="00024FB3" w:rsidRDefault="00024FB3" w:rsidP="00024FB3">
      <w:pPr>
        <w:pStyle w:val="TableHeading"/>
      </w:pPr>
      <w:r w:rsidRPr="00D30CBA">
        <w:lastRenderedPageBreak/>
        <w:t>Table</w:t>
      </w:r>
      <w:r>
        <w:t xml:space="preserve"> 3.7</w:t>
      </w:r>
      <w:r w:rsidRPr="00D30CBA">
        <w:t xml:space="preserve">: </w:t>
      </w:r>
      <w:r>
        <w:t xml:space="preserve">Statement of </w:t>
      </w:r>
      <w:r w:rsidR="008863D9">
        <w:rPr>
          <w:lang w:val="en-AU"/>
        </w:rPr>
        <w:t>Department</w:t>
      </w:r>
      <w:r>
        <w:rPr>
          <w:lang w:val="en-AU"/>
        </w:rPr>
        <w:t xml:space="preserve">al </w:t>
      </w:r>
      <w:r>
        <w:t>asset movements (</w:t>
      </w:r>
      <w:r w:rsidR="00377489">
        <w:t>2021-22 Budget year</w:t>
      </w:r>
      <w:r>
        <w:t>)</w:t>
      </w:r>
    </w:p>
    <w:tbl>
      <w:tblPr>
        <w:tblW w:w="7371" w:type="dxa"/>
        <w:tblLook w:val="04A0" w:firstRow="1" w:lastRow="0" w:firstColumn="1" w:lastColumn="0" w:noHBand="0" w:noVBand="1"/>
      </w:tblPr>
      <w:tblGrid>
        <w:gridCol w:w="2694"/>
        <w:gridCol w:w="899"/>
        <w:gridCol w:w="898"/>
        <w:gridCol w:w="964"/>
        <w:gridCol w:w="981"/>
        <w:gridCol w:w="935"/>
      </w:tblGrid>
      <w:tr w:rsidR="00856B64" w:rsidRPr="004349E0" w14:paraId="32D386A7" w14:textId="77777777" w:rsidTr="00B86D56">
        <w:trPr>
          <w:trHeight w:val="56"/>
        </w:trPr>
        <w:tc>
          <w:tcPr>
            <w:tcW w:w="2694" w:type="dxa"/>
            <w:tcBorders>
              <w:top w:val="single" w:sz="4" w:space="0" w:color="auto"/>
              <w:left w:val="nil"/>
              <w:right w:val="nil"/>
            </w:tcBorders>
            <w:shd w:val="clear" w:color="auto" w:fill="auto"/>
            <w:noWrap/>
            <w:vAlign w:val="bottom"/>
            <w:hideMark/>
          </w:tcPr>
          <w:p w14:paraId="61B6383B" w14:textId="77777777" w:rsidR="00856B64" w:rsidRPr="004349E0" w:rsidRDefault="00856B64" w:rsidP="00856B64">
            <w:pPr>
              <w:spacing w:after="0" w:line="240" w:lineRule="auto"/>
              <w:jc w:val="left"/>
              <w:rPr>
                <w:rFonts w:ascii="Arial" w:hAnsi="Arial" w:cs="Arial"/>
                <w:b/>
                <w:bCs/>
                <w:sz w:val="16"/>
                <w:szCs w:val="16"/>
              </w:rPr>
            </w:pPr>
            <w:r w:rsidRPr="004349E0">
              <w:rPr>
                <w:rFonts w:ascii="Arial" w:hAnsi="Arial" w:cs="Arial"/>
                <w:b/>
                <w:bCs/>
                <w:sz w:val="16"/>
                <w:szCs w:val="16"/>
              </w:rPr>
              <w:t> </w:t>
            </w:r>
          </w:p>
        </w:tc>
        <w:tc>
          <w:tcPr>
            <w:tcW w:w="4677" w:type="dxa"/>
            <w:gridSpan w:val="5"/>
            <w:tcBorders>
              <w:top w:val="single" w:sz="4" w:space="0" w:color="auto"/>
              <w:left w:val="nil"/>
              <w:bottom w:val="single" w:sz="4" w:space="0" w:color="auto"/>
              <w:right w:val="nil"/>
            </w:tcBorders>
            <w:shd w:val="clear" w:color="auto" w:fill="auto"/>
            <w:noWrap/>
            <w:vAlign w:val="bottom"/>
            <w:hideMark/>
          </w:tcPr>
          <w:p w14:paraId="26981111" w14:textId="77777777" w:rsidR="00856B64" w:rsidRPr="004349E0" w:rsidRDefault="00856B64" w:rsidP="00856B64">
            <w:pPr>
              <w:spacing w:after="0" w:line="240" w:lineRule="auto"/>
              <w:jc w:val="center"/>
              <w:rPr>
                <w:rFonts w:ascii="Arial" w:hAnsi="Arial" w:cs="Arial"/>
                <w:b/>
                <w:bCs/>
                <w:sz w:val="16"/>
                <w:szCs w:val="16"/>
              </w:rPr>
            </w:pPr>
            <w:r w:rsidRPr="004349E0">
              <w:rPr>
                <w:rFonts w:ascii="Arial" w:hAnsi="Arial" w:cs="Arial"/>
                <w:b/>
                <w:bCs/>
                <w:sz w:val="16"/>
                <w:szCs w:val="16"/>
              </w:rPr>
              <w:t>Asset Category</w:t>
            </w:r>
          </w:p>
        </w:tc>
      </w:tr>
      <w:tr w:rsidR="00856B64" w:rsidRPr="004349E0" w14:paraId="148F046D" w14:textId="77777777" w:rsidTr="00CE7BBD">
        <w:trPr>
          <w:trHeight w:val="454"/>
        </w:trPr>
        <w:tc>
          <w:tcPr>
            <w:tcW w:w="2694" w:type="dxa"/>
            <w:tcBorders>
              <w:left w:val="nil"/>
              <w:bottom w:val="nil"/>
              <w:right w:val="nil"/>
            </w:tcBorders>
            <w:shd w:val="clear" w:color="auto" w:fill="auto"/>
            <w:noWrap/>
            <w:vAlign w:val="center"/>
            <w:hideMark/>
          </w:tcPr>
          <w:p w14:paraId="77E18776" w14:textId="77777777" w:rsidR="00856B64" w:rsidRPr="004349E0" w:rsidRDefault="00856B64" w:rsidP="00856B64">
            <w:pPr>
              <w:spacing w:after="0" w:line="240" w:lineRule="auto"/>
              <w:jc w:val="left"/>
              <w:rPr>
                <w:rFonts w:ascii="Arial" w:hAnsi="Arial" w:cs="Arial"/>
                <w:sz w:val="16"/>
                <w:szCs w:val="16"/>
              </w:rPr>
            </w:pPr>
            <w:r w:rsidRPr="004349E0">
              <w:rPr>
                <w:rFonts w:ascii="Arial" w:hAnsi="Arial" w:cs="Arial"/>
                <w:sz w:val="16"/>
                <w:szCs w:val="16"/>
              </w:rPr>
              <w:t> </w:t>
            </w:r>
          </w:p>
        </w:tc>
        <w:tc>
          <w:tcPr>
            <w:tcW w:w="899" w:type="dxa"/>
            <w:tcBorders>
              <w:top w:val="single" w:sz="4" w:space="0" w:color="auto"/>
              <w:left w:val="nil"/>
              <w:bottom w:val="single" w:sz="4" w:space="0" w:color="auto"/>
              <w:right w:val="nil"/>
            </w:tcBorders>
            <w:shd w:val="clear" w:color="auto" w:fill="auto"/>
            <w:vAlign w:val="center"/>
            <w:hideMark/>
          </w:tcPr>
          <w:p w14:paraId="2216AF0F" w14:textId="77777777" w:rsidR="00856B64" w:rsidRPr="004349E0" w:rsidRDefault="00856B64" w:rsidP="00856B64">
            <w:pPr>
              <w:spacing w:after="0" w:line="240" w:lineRule="auto"/>
              <w:jc w:val="right"/>
              <w:rPr>
                <w:rFonts w:ascii="Arial" w:hAnsi="Arial" w:cs="Arial"/>
                <w:sz w:val="16"/>
                <w:szCs w:val="16"/>
              </w:rPr>
            </w:pPr>
            <w:r w:rsidRPr="004349E0">
              <w:rPr>
                <w:rFonts w:ascii="Arial" w:hAnsi="Arial" w:cs="Arial"/>
                <w:sz w:val="16"/>
                <w:szCs w:val="16"/>
              </w:rPr>
              <w:t>Land</w:t>
            </w:r>
            <w:r w:rsidRPr="004349E0">
              <w:rPr>
                <w:rFonts w:ascii="Arial" w:hAnsi="Arial" w:cs="Arial"/>
                <w:sz w:val="16"/>
                <w:szCs w:val="16"/>
              </w:rPr>
              <w:br/>
            </w:r>
            <w:r w:rsidRPr="004349E0">
              <w:rPr>
                <w:rFonts w:ascii="Arial" w:hAnsi="Arial" w:cs="Arial"/>
                <w:sz w:val="16"/>
                <w:szCs w:val="16"/>
              </w:rPr>
              <w:br/>
            </w:r>
            <w:r w:rsidRPr="004349E0">
              <w:rPr>
                <w:rFonts w:ascii="Arial" w:hAnsi="Arial" w:cs="Arial"/>
                <w:sz w:val="16"/>
                <w:szCs w:val="16"/>
              </w:rPr>
              <w:br/>
            </w:r>
            <w:r w:rsidRPr="004349E0">
              <w:rPr>
                <w:rFonts w:ascii="Arial" w:hAnsi="Arial" w:cs="Arial"/>
                <w:sz w:val="16"/>
                <w:szCs w:val="16"/>
              </w:rPr>
              <w:br/>
              <w:t>$'000</w:t>
            </w:r>
          </w:p>
        </w:tc>
        <w:tc>
          <w:tcPr>
            <w:tcW w:w="898" w:type="dxa"/>
            <w:tcBorders>
              <w:top w:val="single" w:sz="4" w:space="0" w:color="auto"/>
              <w:left w:val="nil"/>
              <w:bottom w:val="single" w:sz="4" w:space="0" w:color="auto"/>
              <w:right w:val="nil"/>
            </w:tcBorders>
            <w:shd w:val="clear" w:color="auto" w:fill="auto"/>
            <w:vAlign w:val="center"/>
            <w:hideMark/>
          </w:tcPr>
          <w:p w14:paraId="5B468938" w14:textId="77777777" w:rsidR="00856B64" w:rsidRPr="004349E0" w:rsidRDefault="00856B64" w:rsidP="00856B64">
            <w:pPr>
              <w:spacing w:after="0" w:line="240" w:lineRule="auto"/>
              <w:jc w:val="right"/>
              <w:rPr>
                <w:rFonts w:ascii="Arial" w:hAnsi="Arial" w:cs="Arial"/>
                <w:sz w:val="16"/>
                <w:szCs w:val="16"/>
              </w:rPr>
            </w:pPr>
            <w:r w:rsidRPr="004349E0">
              <w:rPr>
                <w:rFonts w:ascii="Arial" w:hAnsi="Arial" w:cs="Arial"/>
                <w:sz w:val="16"/>
                <w:szCs w:val="16"/>
              </w:rPr>
              <w:t>Buildings</w:t>
            </w:r>
            <w:r w:rsidRPr="004349E0">
              <w:rPr>
                <w:rFonts w:ascii="Arial" w:hAnsi="Arial" w:cs="Arial"/>
                <w:sz w:val="16"/>
                <w:szCs w:val="16"/>
              </w:rPr>
              <w:br/>
            </w:r>
            <w:r w:rsidRPr="004349E0">
              <w:rPr>
                <w:rFonts w:ascii="Arial" w:hAnsi="Arial" w:cs="Arial"/>
                <w:sz w:val="16"/>
                <w:szCs w:val="16"/>
              </w:rPr>
              <w:br/>
            </w:r>
            <w:r w:rsidRPr="004349E0">
              <w:rPr>
                <w:rFonts w:ascii="Arial" w:hAnsi="Arial" w:cs="Arial"/>
                <w:sz w:val="16"/>
                <w:szCs w:val="16"/>
              </w:rPr>
              <w:br/>
            </w:r>
            <w:r w:rsidRPr="004349E0">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center"/>
            <w:hideMark/>
          </w:tcPr>
          <w:p w14:paraId="3C0B2114" w14:textId="77777777" w:rsidR="00856B64" w:rsidRPr="004349E0" w:rsidRDefault="00856B64" w:rsidP="00856B64">
            <w:pPr>
              <w:spacing w:after="0" w:line="240" w:lineRule="auto"/>
              <w:jc w:val="right"/>
              <w:rPr>
                <w:rFonts w:ascii="Arial" w:hAnsi="Arial" w:cs="Arial"/>
                <w:sz w:val="16"/>
                <w:szCs w:val="16"/>
              </w:rPr>
            </w:pPr>
            <w:r w:rsidRPr="004349E0">
              <w:rPr>
                <w:rFonts w:ascii="Arial" w:hAnsi="Arial" w:cs="Arial"/>
                <w:sz w:val="16"/>
                <w:szCs w:val="16"/>
              </w:rPr>
              <w:t>Other</w:t>
            </w:r>
            <w:r w:rsidRPr="004349E0">
              <w:rPr>
                <w:rFonts w:ascii="Arial" w:hAnsi="Arial" w:cs="Arial"/>
                <w:sz w:val="16"/>
                <w:szCs w:val="16"/>
              </w:rPr>
              <w:br/>
              <w:t>property,</w:t>
            </w:r>
            <w:r w:rsidRPr="004349E0">
              <w:rPr>
                <w:rFonts w:ascii="Arial" w:hAnsi="Arial" w:cs="Arial"/>
                <w:sz w:val="16"/>
                <w:szCs w:val="16"/>
              </w:rPr>
              <w:br/>
              <w:t>plant and</w:t>
            </w:r>
            <w:r w:rsidRPr="004349E0">
              <w:rPr>
                <w:rFonts w:ascii="Arial" w:hAnsi="Arial" w:cs="Arial"/>
                <w:sz w:val="16"/>
                <w:szCs w:val="16"/>
              </w:rPr>
              <w:br/>
              <w:t>equipment</w:t>
            </w:r>
            <w:r w:rsidRPr="004349E0">
              <w:rPr>
                <w:rFonts w:ascii="Arial" w:hAnsi="Arial" w:cs="Arial"/>
                <w:sz w:val="16"/>
                <w:szCs w:val="16"/>
              </w:rPr>
              <w:br/>
              <w:t>$'000</w:t>
            </w:r>
          </w:p>
        </w:tc>
        <w:tc>
          <w:tcPr>
            <w:tcW w:w="981" w:type="dxa"/>
            <w:tcBorders>
              <w:top w:val="single" w:sz="4" w:space="0" w:color="auto"/>
              <w:left w:val="nil"/>
              <w:bottom w:val="single" w:sz="4" w:space="0" w:color="auto"/>
              <w:right w:val="nil"/>
            </w:tcBorders>
            <w:shd w:val="clear" w:color="auto" w:fill="auto"/>
            <w:vAlign w:val="center"/>
            <w:hideMark/>
          </w:tcPr>
          <w:p w14:paraId="1200E026" w14:textId="77777777" w:rsidR="00856B64" w:rsidRPr="004349E0" w:rsidRDefault="00856B64" w:rsidP="00856B64">
            <w:pPr>
              <w:spacing w:after="0" w:line="240" w:lineRule="auto"/>
              <w:jc w:val="right"/>
              <w:rPr>
                <w:rFonts w:ascii="Arial" w:hAnsi="Arial" w:cs="Arial"/>
                <w:sz w:val="16"/>
                <w:szCs w:val="16"/>
              </w:rPr>
            </w:pPr>
            <w:r w:rsidRPr="004349E0">
              <w:rPr>
                <w:rFonts w:ascii="Arial" w:hAnsi="Arial" w:cs="Arial"/>
                <w:sz w:val="16"/>
                <w:szCs w:val="16"/>
              </w:rPr>
              <w:t>Computer</w:t>
            </w:r>
            <w:r w:rsidRPr="004349E0">
              <w:rPr>
                <w:rFonts w:ascii="Arial" w:hAnsi="Arial" w:cs="Arial"/>
                <w:sz w:val="16"/>
                <w:szCs w:val="16"/>
              </w:rPr>
              <w:br/>
              <w:t>software and</w:t>
            </w:r>
            <w:r w:rsidRPr="004349E0">
              <w:rPr>
                <w:rFonts w:ascii="Arial" w:hAnsi="Arial" w:cs="Arial"/>
                <w:sz w:val="16"/>
                <w:szCs w:val="16"/>
              </w:rPr>
              <w:br/>
              <w:t>intangibles</w:t>
            </w:r>
            <w:r w:rsidRPr="004349E0">
              <w:rPr>
                <w:rFonts w:ascii="Arial" w:hAnsi="Arial" w:cs="Arial"/>
                <w:sz w:val="16"/>
                <w:szCs w:val="16"/>
              </w:rPr>
              <w:br/>
              <w:t>$'000</w:t>
            </w:r>
          </w:p>
        </w:tc>
        <w:tc>
          <w:tcPr>
            <w:tcW w:w="935" w:type="dxa"/>
            <w:tcBorders>
              <w:top w:val="single" w:sz="4" w:space="0" w:color="auto"/>
              <w:left w:val="nil"/>
              <w:bottom w:val="single" w:sz="4" w:space="0" w:color="auto"/>
              <w:right w:val="nil"/>
            </w:tcBorders>
            <w:shd w:val="clear" w:color="auto" w:fill="auto"/>
            <w:vAlign w:val="center"/>
            <w:hideMark/>
          </w:tcPr>
          <w:p w14:paraId="46A3CA27" w14:textId="77777777" w:rsidR="00856B64" w:rsidRPr="004349E0" w:rsidRDefault="00856B64" w:rsidP="00856B64">
            <w:pPr>
              <w:spacing w:after="0" w:line="240" w:lineRule="auto"/>
              <w:jc w:val="right"/>
              <w:rPr>
                <w:rFonts w:ascii="Arial" w:hAnsi="Arial" w:cs="Arial"/>
                <w:sz w:val="16"/>
                <w:szCs w:val="16"/>
              </w:rPr>
            </w:pPr>
            <w:r w:rsidRPr="004349E0">
              <w:rPr>
                <w:rFonts w:ascii="Arial" w:hAnsi="Arial" w:cs="Arial"/>
                <w:sz w:val="16"/>
                <w:szCs w:val="16"/>
              </w:rPr>
              <w:t>Total</w:t>
            </w:r>
            <w:r w:rsidRPr="004349E0">
              <w:rPr>
                <w:rFonts w:ascii="Arial" w:hAnsi="Arial" w:cs="Arial"/>
                <w:sz w:val="16"/>
                <w:szCs w:val="16"/>
              </w:rPr>
              <w:br/>
            </w:r>
            <w:r w:rsidRPr="004349E0">
              <w:rPr>
                <w:rFonts w:ascii="Arial" w:hAnsi="Arial" w:cs="Arial"/>
                <w:sz w:val="16"/>
                <w:szCs w:val="16"/>
              </w:rPr>
              <w:br/>
            </w:r>
            <w:r w:rsidRPr="004349E0">
              <w:rPr>
                <w:rFonts w:ascii="Arial" w:hAnsi="Arial" w:cs="Arial"/>
                <w:sz w:val="16"/>
                <w:szCs w:val="16"/>
              </w:rPr>
              <w:br/>
            </w:r>
            <w:r w:rsidRPr="004349E0">
              <w:rPr>
                <w:rFonts w:ascii="Arial" w:hAnsi="Arial" w:cs="Arial"/>
                <w:sz w:val="16"/>
                <w:szCs w:val="16"/>
              </w:rPr>
              <w:br/>
              <w:t>$'000</w:t>
            </w:r>
          </w:p>
        </w:tc>
      </w:tr>
      <w:tr w:rsidR="00856B64" w:rsidRPr="004349E0" w14:paraId="75635974" w14:textId="77777777" w:rsidTr="000209D0">
        <w:trPr>
          <w:trHeight w:val="204"/>
        </w:trPr>
        <w:tc>
          <w:tcPr>
            <w:tcW w:w="2694" w:type="dxa"/>
            <w:tcBorders>
              <w:top w:val="nil"/>
              <w:left w:val="nil"/>
              <w:bottom w:val="nil"/>
              <w:right w:val="nil"/>
            </w:tcBorders>
            <w:shd w:val="clear" w:color="auto" w:fill="auto"/>
            <w:vAlign w:val="bottom"/>
            <w:hideMark/>
          </w:tcPr>
          <w:p w14:paraId="4DA97D4C" w14:textId="77777777" w:rsidR="00856B64" w:rsidRPr="004349E0" w:rsidRDefault="00856B64" w:rsidP="00856B64">
            <w:pPr>
              <w:spacing w:after="0" w:line="240" w:lineRule="auto"/>
              <w:jc w:val="left"/>
              <w:rPr>
                <w:rFonts w:ascii="Arial" w:hAnsi="Arial" w:cs="Arial"/>
                <w:b/>
                <w:bCs/>
                <w:sz w:val="16"/>
                <w:szCs w:val="16"/>
              </w:rPr>
            </w:pPr>
            <w:r w:rsidRPr="004349E0">
              <w:rPr>
                <w:rFonts w:ascii="Arial" w:hAnsi="Arial" w:cs="Arial"/>
                <w:b/>
                <w:bCs/>
                <w:sz w:val="16"/>
                <w:szCs w:val="16"/>
              </w:rPr>
              <w:t>As at 1 July 2021</w:t>
            </w:r>
          </w:p>
        </w:tc>
        <w:tc>
          <w:tcPr>
            <w:tcW w:w="899" w:type="dxa"/>
            <w:tcBorders>
              <w:top w:val="nil"/>
              <w:left w:val="nil"/>
              <w:bottom w:val="nil"/>
              <w:right w:val="nil"/>
            </w:tcBorders>
            <w:shd w:val="clear" w:color="auto" w:fill="auto"/>
            <w:noWrap/>
            <w:vAlign w:val="bottom"/>
            <w:hideMark/>
          </w:tcPr>
          <w:p w14:paraId="7A38B32F" w14:textId="77777777" w:rsidR="00856B64" w:rsidRPr="004349E0" w:rsidRDefault="00856B64" w:rsidP="000209D0">
            <w:pPr>
              <w:spacing w:after="0" w:line="240" w:lineRule="auto"/>
              <w:jc w:val="right"/>
              <w:rPr>
                <w:rFonts w:ascii="Arial" w:hAnsi="Arial" w:cs="Arial"/>
                <w:b/>
                <w:bCs/>
                <w:sz w:val="16"/>
                <w:szCs w:val="16"/>
              </w:rPr>
            </w:pPr>
          </w:p>
        </w:tc>
        <w:tc>
          <w:tcPr>
            <w:tcW w:w="898" w:type="dxa"/>
            <w:tcBorders>
              <w:top w:val="nil"/>
              <w:left w:val="nil"/>
              <w:bottom w:val="nil"/>
              <w:right w:val="nil"/>
            </w:tcBorders>
            <w:shd w:val="clear" w:color="auto" w:fill="auto"/>
            <w:noWrap/>
            <w:vAlign w:val="bottom"/>
            <w:hideMark/>
          </w:tcPr>
          <w:p w14:paraId="6C3F0576" w14:textId="77777777" w:rsidR="00856B64" w:rsidRPr="004349E0" w:rsidRDefault="00856B64" w:rsidP="000209D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48C17594" w14:textId="77777777" w:rsidR="00856B64" w:rsidRPr="004349E0" w:rsidRDefault="00856B64" w:rsidP="000209D0">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40C89664" w14:textId="77777777" w:rsidR="00856B64" w:rsidRPr="004349E0" w:rsidRDefault="00856B64" w:rsidP="000209D0">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noWrap/>
            <w:vAlign w:val="bottom"/>
            <w:hideMark/>
          </w:tcPr>
          <w:p w14:paraId="6A3E5C2F" w14:textId="77777777" w:rsidR="00856B64" w:rsidRPr="004349E0" w:rsidRDefault="00856B64" w:rsidP="000209D0">
            <w:pPr>
              <w:spacing w:after="0" w:line="240" w:lineRule="auto"/>
              <w:jc w:val="right"/>
              <w:rPr>
                <w:rFonts w:ascii="Arial" w:hAnsi="Arial" w:cs="Arial"/>
                <w:sz w:val="16"/>
                <w:szCs w:val="16"/>
              </w:rPr>
            </w:pPr>
          </w:p>
        </w:tc>
      </w:tr>
      <w:tr w:rsidR="00856B64" w:rsidRPr="004349E0" w14:paraId="03A9DF35" w14:textId="77777777" w:rsidTr="000209D0">
        <w:trPr>
          <w:trHeight w:val="204"/>
        </w:trPr>
        <w:tc>
          <w:tcPr>
            <w:tcW w:w="2694" w:type="dxa"/>
            <w:tcBorders>
              <w:top w:val="nil"/>
              <w:left w:val="nil"/>
              <w:bottom w:val="nil"/>
              <w:right w:val="nil"/>
            </w:tcBorders>
            <w:shd w:val="clear" w:color="auto" w:fill="auto"/>
            <w:vAlign w:val="bottom"/>
            <w:hideMark/>
          </w:tcPr>
          <w:p w14:paraId="7F6BA3EF" w14:textId="77777777" w:rsidR="00856B64" w:rsidRPr="004349E0" w:rsidRDefault="00856B64" w:rsidP="00651C8E">
            <w:pPr>
              <w:spacing w:after="0" w:line="240" w:lineRule="auto"/>
              <w:ind w:left="113"/>
              <w:jc w:val="left"/>
              <w:rPr>
                <w:rFonts w:ascii="Arial" w:hAnsi="Arial" w:cs="Arial"/>
                <w:sz w:val="16"/>
                <w:szCs w:val="16"/>
              </w:rPr>
            </w:pPr>
            <w:r w:rsidRPr="004349E0">
              <w:rPr>
                <w:rFonts w:ascii="Arial" w:hAnsi="Arial" w:cs="Arial"/>
                <w:sz w:val="16"/>
                <w:szCs w:val="16"/>
              </w:rPr>
              <w:t xml:space="preserve">Gross book value </w:t>
            </w:r>
          </w:p>
        </w:tc>
        <w:tc>
          <w:tcPr>
            <w:tcW w:w="899" w:type="dxa"/>
            <w:tcBorders>
              <w:top w:val="nil"/>
              <w:left w:val="nil"/>
              <w:bottom w:val="nil"/>
              <w:right w:val="nil"/>
            </w:tcBorders>
            <w:shd w:val="clear" w:color="auto" w:fill="auto"/>
            <w:noWrap/>
            <w:vAlign w:val="bottom"/>
            <w:hideMark/>
          </w:tcPr>
          <w:p w14:paraId="5F7CFE22" w14:textId="2EE48EBD"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1,595</w:t>
            </w:r>
          </w:p>
        </w:tc>
        <w:tc>
          <w:tcPr>
            <w:tcW w:w="898" w:type="dxa"/>
            <w:tcBorders>
              <w:top w:val="nil"/>
              <w:left w:val="nil"/>
              <w:bottom w:val="nil"/>
              <w:right w:val="nil"/>
            </w:tcBorders>
            <w:shd w:val="clear" w:color="auto" w:fill="auto"/>
            <w:noWrap/>
            <w:vAlign w:val="bottom"/>
            <w:hideMark/>
          </w:tcPr>
          <w:p w14:paraId="592E575C" w14:textId="1144C68C"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11,676</w:t>
            </w:r>
          </w:p>
        </w:tc>
        <w:tc>
          <w:tcPr>
            <w:tcW w:w="964" w:type="dxa"/>
            <w:tcBorders>
              <w:top w:val="nil"/>
              <w:left w:val="nil"/>
              <w:bottom w:val="nil"/>
              <w:right w:val="nil"/>
            </w:tcBorders>
            <w:shd w:val="clear" w:color="auto" w:fill="auto"/>
            <w:noWrap/>
            <w:vAlign w:val="bottom"/>
            <w:hideMark/>
          </w:tcPr>
          <w:p w14:paraId="61DA4BAC" w14:textId="1681B331"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6,374</w:t>
            </w:r>
          </w:p>
        </w:tc>
        <w:tc>
          <w:tcPr>
            <w:tcW w:w="981" w:type="dxa"/>
            <w:tcBorders>
              <w:top w:val="nil"/>
              <w:left w:val="nil"/>
              <w:bottom w:val="nil"/>
              <w:right w:val="nil"/>
            </w:tcBorders>
            <w:shd w:val="clear" w:color="auto" w:fill="auto"/>
            <w:noWrap/>
            <w:vAlign w:val="bottom"/>
            <w:hideMark/>
          </w:tcPr>
          <w:p w14:paraId="0E95EADE" w14:textId="08C41979"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55,405</w:t>
            </w:r>
          </w:p>
        </w:tc>
        <w:tc>
          <w:tcPr>
            <w:tcW w:w="935" w:type="dxa"/>
            <w:tcBorders>
              <w:top w:val="nil"/>
              <w:left w:val="nil"/>
              <w:bottom w:val="nil"/>
              <w:right w:val="nil"/>
            </w:tcBorders>
            <w:shd w:val="clear" w:color="auto" w:fill="auto"/>
            <w:noWrap/>
            <w:vAlign w:val="bottom"/>
            <w:hideMark/>
          </w:tcPr>
          <w:p w14:paraId="285FF0E9" w14:textId="6611F30C"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75,050</w:t>
            </w:r>
          </w:p>
        </w:tc>
      </w:tr>
      <w:tr w:rsidR="00856B64" w:rsidRPr="004349E0" w14:paraId="6DEFA96A" w14:textId="77777777" w:rsidTr="000209D0">
        <w:trPr>
          <w:trHeight w:val="204"/>
        </w:trPr>
        <w:tc>
          <w:tcPr>
            <w:tcW w:w="2694" w:type="dxa"/>
            <w:tcBorders>
              <w:top w:val="nil"/>
              <w:left w:val="nil"/>
              <w:bottom w:val="nil"/>
              <w:right w:val="nil"/>
            </w:tcBorders>
            <w:shd w:val="clear" w:color="auto" w:fill="auto"/>
            <w:noWrap/>
            <w:vAlign w:val="center"/>
            <w:hideMark/>
          </w:tcPr>
          <w:p w14:paraId="26E4AF73" w14:textId="77777777" w:rsidR="00856B64" w:rsidRPr="004349E0" w:rsidRDefault="00856B64" w:rsidP="00651C8E">
            <w:pPr>
              <w:spacing w:after="0" w:line="240" w:lineRule="auto"/>
              <w:ind w:left="113"/>
              <w:jc w:val="left"/>
              <w:rPr>
                <w:rFonts w:ascii="Arial" w:hAnsi="Arial" w:cs="Arial"/>
                <w:sz w:val="16"/>
                <w:szCs w:val="16"/>
              </w:rPr>
            </w:pPr>
            <w:r w:rsidRPr="004349E0">
              <w:rPr>
                <w:rFonts w:ascii="Arial" w:hAnsi="Arial" w:cs="Arial"/>
                <w:sz w:val="16"/>
                <w:szCs w:val="16"/>
              </w:rPr>
              <w:t>Gross book value - ROU assets</w:t>
            </w:r>
          </w:p>
        </w:tc>
        <w:tc>
          <w:tcPr>
            <w:tcW w:w="899" w:type="dxa"/>
            <w:tcBorders>
              <w:top w:val="nil"/>
              <w:left w:val="nil"/>
              <w:bottom w:val="nil"/>
              <w:right w:val="nil"/>
            </w:tcBorders>
            <w:shd w:val="clear" w:color="auto" w:fill="auto"/>
            <w:noWrap/>
            <w:vAlign w:val="bottom"/>
            <w:hideMark/>
          </w:tcPr>
          <w:p w14:paraId="2E2B9549" w14:textId="59A6071F"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590AE86F" w14:textId="516C2274"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75,487</w:t>
            </w:r>
          </w:p>
        </w:tc>
        <w:tc>
          <w:tcPr>
            <w:tcW w:w="964" w:type="dxa"/>
            <w:tcBorders>
              <w:top w:val="nil"/>
              <w:left w:val="nil"/>
              <w:bottom w:val="nil"/>
              <w:right w:val="nil"/>
            </w:tcBorders>
            <w:shd w:val="clear" w:color="auto" w:fill="auto"/>
            <w:noWrap/>
            <w:vAlign w:val="bottom"/>
            <w:hideMark/>
          </w:tcPr>
          <w:p w14:paraId="1283DF24" w14:textId="3C728F16"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6814225F" w14:textId="11E81BC2"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35" w:type="dxa"/>
            <w:tcBorders>
              <w:top w:val="nil"/>
              <w:left w:val="nil"/>
              <w:bottom w:val="nil"/>
              <w:right w:val="nil"/>
            </w:tcBorders>
            <w:shd w:val="clear" w:color="auto" w:fill="auto"/>
            <w:noWrap/>
            <w:vAlign w:val="bottom"/>
            <w:hideMark/>
          </w:tcPr>
          <w:p w14:paraId="67777C7D" w14:textId="107D9003"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75,487</w:t>
            </w:r>
          </w:p>
        </w:tc>
      </w:tr>
      <w:tr w:rsidR="00856B64" w:rsidRPr="004349E0" w14:paraId="7125D764" w14:textId="77777777" w:rsidTr="000209D0">
        <w:trPr>
          <w:trHeight w:val="204"/>
        </w:trPr>
        <w:tc>
          <w:tcPr>
            <w:tcW w:w="2694" w:type="dxa"/>
            <w:tcBorders>
              <w:top w:val="nil"/>
              <w:left w:val="nil"/>
              <w:bottom w:val="nil"/>
              <w:right w:val="nil"/>
            </w:tcBorders>
            <w:shd w:val="clear" w:color="auto" w:fill="auto"/>
            <w:vAlign w:val="bottom"/>
            <w:hideMark/>
          </w:tcPr>
          <w:p w14:paraId="1E4337D4" w14:textId="1F271662" w:rsidR="00856B64" w:rsidRPr="004349E0" w:rsidRDefault="00856B64" w:rsidP="004349E0">
            <w:pPr>
              <w:spacing w:after="0" w:line="240" w:lineRule="auto"/>
              <w:ind w:left="113"/>
              <w:jc w:val="left"/>
              <w:rPr>
                <w:rFonts w:ascii="Arial" w:hAnsi="Arial" w:cs="Arial"/>
                <w:sz w:val="16"/>
                <w:szCs w:val="16"/>
              </w:rPr>
            </w:pPr>
            <w:r w:rsidRPr="004349E0">
              <w:rPr>
                <w:rFonts w:ascii="Arial" w:hAnsi="Arial" w:cs="Arial"/>
                <w:sz w:val="16"/>
                <w:szCs w:val="16"/>
              </w:rPr>
              <w:t>Accumulated depreciation/amortisation and impairment</w:t>
            </w:r>
          </w:p>
        </w:tc>
        <w:tc>
          <w:tcPr>
            <w:tcW w:w="899" w:type="dxa"/>
            <w:tcBorders>
              <w:top w:val="nil"/>
              <w:left w:val="nil"/>
              <w:bottom w:val="nil"/>
              <w:right w:val="nil"/>
            </w:tcBorders>
            <w:shd w:val="clear" w:color="auto" w:fill="auto"/>
            <w:noWrap/>
            <w:vAlign w:val="bottom"/>
            <w:hideMark/>
          </w:tcPr>
          <w:p w14:paraId="13C17E49" w14:textId="3C0A6ED9"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011667D4"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(14,654)</w:t>
            </w:r>
          </w:p>
        </w:tc>
        <w:tc>
          <w:tcPr>
            <w:tcW w:w="964" w:type="dxa"/>
            <w:tcBorders>
              <w:top w:val="nil"/>
              <w:left w:val="nil"/>
              <w:bottom w:val="nil"/>
              <w:right w:val="nil"/>
            </w:tcBorders>
            <w:shd w:val="clear" w:color="auto" w:fill="auto"/>
            <w:noWrap/>
            <w:vAlign w:val="bottom"/>
            <w:hideMark/>
          </w:tcPr>
          <w:p w14:paraId="5399D10F"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(1,719)</w:t>
            </w:r>
          </w:p>
        </w:tc>
        <w:tc>
          <w:tcPr>
            <w:tcW w:w="981" w:type="dxa"/>
            <w:tcBorders>
              <w:top w:val="nil"/>
              <w:left w:val="nil"/>
              <w:bottom w:val="nil"/>
              <w:right w:val="nil"/>
            </w:tcBorders>
            <w:shd w:val="clear" w:color="auto" w:fill="auto"/>
            <w:noWrap/>
            <w:vAlign w:val="bottom"/>
            <w:hideMark/>
          </w:tcPr>
          <w:p w14:paraId="4EF60A43"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(41,311)</w:t>
            </w:r>
          </w:p>
        </w:tc>
        <w:tc>
          <w:tcPr>
            <w:tcW w:w="935" w:type="dxa"/>
            <w:tcBorders>
              <w:top w:val="nil"/>
              <w:left w:val="nil"/>
              <w:bottom w:val="nil"/>
              <w:right w:val="nil"/>
            </w:tcBorders>
            <w:shd w:val="clear" w:color="auto" w:fill="auto"/>
            <w:noWrap/>
            <w:vAlign w:val="bottom"/>
            <w:hideMark/>
          </w:tcPr>
          <w:p w14:paraId="4FF47B2A"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(57,684)</w:t>
            </w:r>
          </w:p>
        </w:tc>
      </w:tr>
      <w:tr w:rsidR="00856B64" w:rsidRPr="004349E0" w14:paraId="537C88E3" w14:textId="77777777" w:rsidTr="000209D0">
        <w:trPr>
          <w:trHeight w:val="204"/>
        </w:trPr>
        <w:tc>
          <w:tcPr>
            <w:tcW w:w="2694" w:type="dxa"/>
            <w:tcBorders>
              <w:top w:val="nil"/>
              <w:left w:val="nil"/>
              <w:bottom w:val="nil"/>
              <w:right w:val="nil"/>
            </w:tcBorders>
            <w:shd w:val="clear" w:color="auto" w:fill="auto"/>
            <w:vAlign w:val="center"/>
            <w:hideMark/>
          </w:tcPr>
          <w:p w14:paraId="53C50F10" w14:textId="77777777" w:rsidR="00856B64" w:rsidRPr="004349E0" w:rsidRDefault="00856B64" w:rsidP="00651C8E">
            <w:pPr>
              <w:spacing w:after="0" w:line="240" w:lineRule="auto"/>
              <w:ind w:left="113"/>
              <w:jc w:val="left"/>
              <w:rPr>
                <w:rFonts w:ascii="Arial" w:hAnsi="Arial" w:cs="Arial"/>
                <w:sz w:val="16"/>
                <w:szCs w:val="16"/>
              </w:rPr>
            </w:pPr>
            <w:r w:rsidRPr="004349E0">
              <w:rPr>
                <w:rFonts w:ascii="Arial" w:hAnsi="Arial" w:cs="Arial"/>
                <w:sz w:val="16"/>
                <w:szCs w:val="16"/>
              </w:rPr>
              <w:t>Accumulated depreciation/amortisation and impairment - ROU assets</w:t>
            </w:r>
          </w:p>
        </w:tc>
        <w:tc>
          <w:tcPr>
            <w:tcW w:w="899" w:type="dxa"/>
            <w:tcBorders>
              <w:top w:val="nil"/>
              <w:left w:val="nil"/>
              <w:bottom w:val="nil"/>
              <w:right w:val="nil"/>
            </w:tcBorders>
            <w:shd w:val="clear" w:color="auto" w:fill="auto"/>
            <w:noWrap/>
            <w:vAlign w:val="bottom"/>
            <w:hideMark/>
          </w:tcPr>
          <w:p w14:paraId="49DFBCD7" w14:textId="774B57AA"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275C70C1"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(3,158)</w:t>
            </w:r>
          </w:p>
        </w:tc>
        <w:tc>
          <w:tcPr>
            <w:tcW w:w="964" w:type="dxa"/>
            <w:tcBorders>
              <w:top w:val="nil"/>
              <w:left w:val="nil"/>
              <w:bottom w:val="nil"/>
              <w:right w:val="nil"/>
            </w:tcBorders>
            <w:shd w:val="clear" w:color="auto" w:fill="auto"/>
            <w:noWrap/>
            <w:vAlign w:val="bottom"/>
            <w:hideMark/>
          </w:tcPr>
          <w:p w14:paraId="205E5E21" w14:textId="206F16FC"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5F4DCC70" w14:textId="60D18FB2"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35" w:type="dxa"/>
            <w:tcBorders>
              <w:top w:val="nil"/>
              <w:left w:val="nil"/>
              <w:bottom w:val="nil"/>
              <w:right w:val="nil"/>
            </w:tcBorders>
            <w:shd w:val="clear" w:color="auto" w:fill="auto"/>
            <w:noWrap/>
            <w:vAlign w:val="bottom"/>
            <w:hideMark/>
          </w:tcPr>
          <w:p w14:paraId="46A8C439"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(3,158)</w:t>
            </w:r>
          </w:p>
        </w:tc>
      </w:tr>
      <w:tr w:rsidR="00856B64" w:rsidRPr="004349E0" w14:paraId="107297D6" w14:textId="77777777" w:rsidTr="000209D0">
        <w:trPr>
          <w:trHeight w:val="204"/>
        </w:trPr>
        <w:tc>
          <w:tcPr>
            <w:tcW w:w="2694" w:type="dxa"/>
            <w:tcBorders>
              <w:top w:val="nil"/>
              <w:left w:val="nil"/>
              <w:bottom w:val="nil"/>
              <w:right w:val="nil"/>
            </w:tcBorders>
            <w:shd w:val="clear" w:color="auto" w:fill="auto"/>
            <w:vAlign w:val="bottom"/>
            <w:hideMark/>
          </w:tcPr>
          <w:p w14:paraId="6B9C3F8F" w14:textId="77777777" w:rsidR="00856B64" w:rsidRPr="004349E0" w:rsidRDefault="00856B64" w:rsidP="00856B64">
            <w:pPr>
              <w:spacing w:after="0" w:line="240" w:lineRule="auto"/>
              <w:jc w:val="left"/>
              <w:rPr>
                <w:rFonts w:ascii="Arial" w:hAnsi="Arial" w:cs="Arial"/>
                <w:b/>
                <w:bCs/>
                <w:sz w:val="16"/>
                <w:szCs w:val="16"/>
              </w:rPr>
            </w:pPr>
            <w:r w:rsidRPr="004349E0">
              <w:rPr>
                <w:rFonts w:ascii="Arial" w:hAnsi="Arial" w:cs="Arial"/>
                <w:b/>
                <w:bCs/>
                <w:sz w:val="16"/>
                <w:szCs w:val="16"/>
              </w:rPr>
              <w:t>Opening net book balance</w:t>
            </w:r>
          </w:p>
        </w:tc>
        <w:tc>
          <w:tcPr>
            <w:tcW w:w="899" w:type="dxa"/>
            <w:tcBorders>
              <w:top w:val="single" w:sz="4" w:space="0" w:color="auto"/>
              <w:left w:val="nil"/>
              <w:bottom w:val="single" w:sz="4" w:space="0" w:color="auto"/>
              <w:right w:val="nil"/>
            </w:tcBorders>
            <w:shd w:val="clear" w:color="auto" w:fill="auto"/>
            <w:noWrap/>
            <w:vAlign w:val="bottom"/>
            <w:hideMark/>
          </w:tcPr>
          <w:p w14:paraId="643F3BA5" w14:textId="62828ACF"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1,595</w:t>
            </w:r>
          </w:p>
        </w:tc>
        <w:tc>
          <w:tcPr>
            <w:tcW w:w="898" w:type="dxa"/>
            <w:tcBorders>
              <w:top w:val="single" w:sz="4" w:space="0" w:color="auto"/>
              <w:left w:val="nil"/>
              <w:bottom w:val="single" w:sz="4" w:space="0" w:color="auto"/>
              <w:right w:val="nil"/>
            </w:tcBorders>
            <w:shd w:val="clear" w:color="auto" w:fill="auto"/>
            <w:noWrap/>
            <w:vAlign w:val="bottom"/>
            <w:hideMark/>
          </w:tcPr>
          <w:p w14:paraId="68E01BF4" w14:textId="45141DA9"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69,351</w:t>
            </w:r>
          </w:p>
        </w:tc>
        <w:tc>
          <w:tcPr>
            <w:tcW w:w="964" w:type="dxa"/>
            <w:tcBorders>
              <w:top w:val="single" w:sz="4" w:space="0" w:color="auto"/>
              <w:left w:val="nil"/>
              <w:bottom w:val="single" w:sz="4" w:space="0" w:color="auto"/>
              <w:right w:val="nil"/>
            </w:tcBorders>
            <w:shd w:val="clear" w:color="auto" w:fill="auto"/>
            <w:noWrap/>
            <w:vAlign w:val="bottom"/>
            <w:hideMark/>
          </w:tcPr>
          <w:p w14:paraId="789D58DF" w14:textId="2FC2BCE7"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4,655</w:t>
            </w:r>
          </w:p>
        </w:tc>
        <w:tc>
          <w:tcPr>
            <w:tcW w:w="981" w:type="dxa"/>
            <w:tcBorders>
              <w:top w:val="single" w:sz="4" w:space="0" w:color="auto"/>
              <w:left w:val="nil"/>
              <w:bottom w:val="single" w:sz="4" w:space="0" w:color="auto"/>
              <w:right w:val="nil"/>
            </w:tcBorders>
            <w:shd w:val="clear" w:color="auto" w:fill="auto"/>
            <w:noWrap/>
            <w:vAlign w:val="bottom"/>
            <w:hideMark/>
          </w:tcPr>
          <w:p w14:paraId="47675F2B" w14:textId="5CD5C1F5"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14,094</w:t>
            </w:r>
          </w:p>
        </w:tc>
        <w:tc>
          <w:tcPr>
            <w:tcW w:w="935" w:type="dxa"/>
            <w:tcBorders>
              <w:top w:val="single" w:sz="4" w:space="0" w:color="auto"/>
              <w:left w:val="nil"/>
              <w:bottom w:val="single" w:sz="4" w:space="0" w:color="auto"/>
              <w:right w:val="nil"/>
            </w:tcBorders>
            <w:shd w:val="clear" w:color="auto" w:fill="auto"/>
            <w:noWrap/>
            <w:vAlign w:val="bottom"/>
            <w:hideMark/>
          </w:tcPr>
          <w:p w14:paraId="63BACDB5" w14:textId="0F7EBE41"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89,695</w:t>
            </w:r>
          </w:p>
        </w:tc>
      </w:tr>
      <w:tr w:rsidR="00856B64" w:rsidRPr="004349E0" w14:paraId="621F32A8" w14:textId="77777777" w:rsidTr="000209D0">
        <w:trPr>
          <w:trHeight w:val="204"/>
        </w:trPr>
        <w:tc>
          <w:tcPr>
            <w:tcW w:w="2694" w:type="dxa"/>
            <w:tcBorders>
              <w:top w:val="nil"/>
              <w:left w:val="nil"/>
              <w:bottom w:val="nil"/>
              <w:right w:val="nil"/>
            </w:tcBorders>
            <w:shd w:val="clear" w:color="auto" w:fill="auto"/>
            <w:vAlign w:val="bottom"/>
            <w:hideMark/>
          </w:tcPr>
          <w:p w14:paraId="1737A29E" w14:textId="77777777" w:rsidR="00856B64" w:rsidRPr="004349E0" w:rsidRDefault="00856B64" w:rsidP="00856B64">
            <w:pPr>
              <w:spacing w:after="0" w:line="240" w:lineRule="auto"/>
              <w:jc w:val="left"/>
              <w:rPr>
                <w:rFonts w:ascii="Arial" w:hAnsi="Arial" w:cs="Arial"/>
                <w:b/>
                <w:bCs/>
                <w:sz w:val="16"/>
                <w:szCs w:val="16"/>
              </w:rPr>
            </w:pPr>
            <w:r w:rsidRPr="004349E0">
              <w:rPr>
                <w:rFonts w:ascii="Arial" w:hAnsi="Arial" w:cs="Arial"/>
                <w:b/>
                <w:bCs/>
                <w:sz w:val="16"/>
                <w:szCs w:val="16"/>
              </w:rPr>
              <w:t>Capital asset additions</w:t>
            </w:r>
          </w:p>
        </w:tc>
        <w:tc>
          <w:tcPr>
            <w:tcW w:w="899" w:type="dxa"/>
            <w:tcBorders>
              <w:top w:val="nil"/>
              <w:left w:val="nil"/>
              <w:bottom w:val="nil"/>
              <w:right w:val="nil"/>
            </w:tcBorders>
            <w:shd w:val="clear" w:color="auto" w:fill="auto"/>
            <w:noWrap/>
            <w:vAlign w:val="bottom"/>
            <w:hideMark/>
          </w:tcPr>
          <w:p w14:paraId="4C6651E0" w14:textId="77777777" w:rsidR="00856B64" w:rsidRPr="004349E0" w:rsidRDefault="00856B64" w:rsidP="000209D0">
            <w:pPr>
              <w:spacing w:after="0" w:line="240" w:lineRule="auto"/>
              <w:jc w:val="right"/>
              <w:rPr>
                <w:rFonts w:ascii="Arial" w:hAnsi="Arial" w:cs="Arial"/>
                <w:b/>
                <w:bCs/>
                <w:sz w:val="16"/>
                <w:szCs w:val="16"/>
              </w:rPr>
            </w:pPr>
          </w:p>
        </w:tc>
        <w:tc>
          <w:tcPr>
            <w:tcW w:w="898" w:type="dxa"/>
            <w:tcBorders>
              <w:top w:val="nil"/>
              <w:left w:val="nil"/>
              <w:bottom w:val="nil"/>
              <w:right w:val="nil"/>
            </w:tcBorders>
            <w:shd w:val="clear" w:color="auto" w:fill="auto"/>
            <w:noWrap/>
            <w:vAlign w:val="bottom"/>
            <w:hideMark/>
          </w:tcPr>
          <w:p w14:paraId="0C5FED59" w14:textId="77777777" w:rsidR="00856B64" w:rsidRPr="004349E0" w:rsidRDefault="00856B64" w:rsidP="000209D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5721232E" w14:textId="77777777" w:rsidR="00856B64" w:rsidRPr="004349E0" w:rsidRDefault="00856B64" w:rsidP="000209D0">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2D4F903A" w14:textId="77777777" w:rsidR="00856B64" w:rsidRPr="004349E0" w:rsidRDefault="00856B64" w:rsidP="000209D0">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noWrap/>
            <w:vAlign w:val="bottom"/>
            <w:hideMark/>
          </w:tcPr>
          <w:p w14:paraId="605CC5DA" w14:textId="77777777" w:rsidR="00856B64" w:rsidRPr="004349E0" w:rsidRDefault="00856B64" w:rsidP="000209D0">
            <w:pPr>
              <w:spacing w:after="0" w:line="240" w:lineRule="auto"/>
              <w:jc w:val="right"/>
              <w:rPr>
                <w:rFonts w:ascii="Arial" w:hAnsi="Arial" w:cs="Arial"/>
                <w:sz w:val="16"/>
                <w:szCs w:val="16"/>
              </w:rPr>
            </w:pPr>
          </w:p>
        </w:tc>
      </w:tr>
      <w:tr w:rsidR="00856B64" w:rsidRPr="004349E0" w14:paraId="7BC66C2C" w14:textId="77777777" w:rsidTr="000209D0">
        <w:trPr>
          <w:trHeight w:val="204"/>
        </w:trPr>
        <w:tc>
          <w:tcPr>
            <w:tcW w:w="2694" w:type="dxa"/>
            <w:tcBorders>
              <w:top w:val="nil"/>
              <w:left w:val="nil"/>
              <w:bottom w:val="nil"/>
              <w:right w:val="nil"/>
            </w:tcBorders>
            <w:shd w:val="clear" w:color="auto" w:fill="auto"/>
            <w:vAlign w:val="bottom"/>
            <w:hideMark/>
          </w:tcPr>
          <w:p w14:paraId="61E7378A" w14:textId="466DD366" w:rsidR="00856B64" w:rsidRPr="004349E0" w:rsidRDefault="00856B64" w:rsidP="00651C8E">
            <w:pPr>
              <w:spacing w:after="0" w:line="240" w:lineRule="auto"/>
              <w:jc w:val="left"/>
              <w:rPr>
                <w:rFonts w:ascii="Arial" w:hAnsi="Arial" w:cs="Arial"/>
                <w:b/>
                <w:bCs/>
                <w:sz w:val="16"/>
                <w:szCs w:val="16"/>
              </w:rPr>
            </w:pPr>
            <w:r w:rsidRPr="004349E0">
              <w:rPr>
                <w:rFonts w:ascii="Arial" w:hAnsi="Arial" w:cs="Arial"/>
                <w:b/>
                <w:bCs/>
                <w:sz w:val="16"/>
                <w:szCs w:val="16"/>
              </w:rPr>
              <w:t>Estimated expenditure on new</w:t>
            </w:r>
            <w:r w:rsidR="00651C8E" w:rsidRPr="004349E0">
              <w:rPr>
                <w:rFonts w:ascii="Arial" w:hAnsi="Arial" w:cs="Arial"/>
                <w:b/>
                <w:bCs/>
                <w:sz w:val="16"/>
                <w:szCs w:val="16"/>
              </w:rPr>
              <w:t xml:space="preserve"> </w:t>
            </w:r>
            <w:r w:rsidRPr="004349E0">
              <w:rPr>
                <w:rFonts w:ascii="Arial" w:hAnsi="Arial" w:cs="Arial"/>
                <w:b/>
                <w:bCs/>
                <w:sz w:val="16"/>
                <w:szCs w:val="16"/>
              </w:rPr>
              <w:t>or replacement assets</w:t>
            </w:r>
          </w:p>
        </w:tc>
        <w:tc>
          <w:tcPr>
            <w:tcW w:w="899" w:type="dxa"/>
            <w:tcBorders>
              <w:top w:val="nil"/>
              <w:left w:val="nil"/>
              <w:bottom w:val="nil"/>
              <w:right w:val="nil"/>
            </w:tcBorders>
            <w:shd w:val="clear" w:color="auto" w:fill="auto"/>
            <w:noWrap/>
            <w:vAlign w:val="bottom"/>
            <w:hideMark/>
          </w:tcPr>
          <w:p w14:paraId="7E4A812C" w14:textId="77777777" w:rsidR="00856B64" w:rsidRPr="004349E0" w:rsidRDefault="00856B64" w:rsidP="000209D0">
            <w:pPr>
              <w:spacing w:after="0" w:line="240" w:lineRule="auto"/>
              <w:ind w:firstLineChars="100" w:firstLine="160"/>
              <w:jc w:val="right"/>
              <w:rPr>
                <w:rFonts w:ascii="Arial" w:hAnsi="Arial" w:cs="Arial"/>
                <w:b/>
                <w:bCs/>
                <w:sz w:val="16"/>
                <w:szCs w:val="16"/>
              </w:rPr>
            </w:pPr>
          </w:p>
        </w:tc>
        <w:tc>
          <w:tcPr>
            <w:tcW w:w="898" w:type="dxa"/>
            <w:tcBorders>
              <w:top w:val="nil"/>
              <w:left w:val="nil"/>
              <w:bottom w:val="nil"/>
              <w:right w:val="nil"/>
            </w:tcBorders>
            <w:shd w:val="clear" w:color="auto" w:fill="auto"/>
            <w:noWrap/>
            <w:vAlign w:val="bottom"/>
            <w:hideMark/>
          </w:tcPr>
          <w:p w14:paraId="0B4A5F3C" w14:textId="77777777" w:rsidR="00856B64" w:rsidRPr="004349E0" w:rsidRDefault="00856B64" w:rsidP="000209D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3F344A27" w14:textId="77777777" w:rsidR="00856B64" w:rsidRPr="004349E0" w:rsidRDefault="00856B64" w:rsidP="000209D0">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540D8D56" w14:textId="77777777" w:rsidR="00856B64" w:rsidRPr="004349E0" w:rsidRDefault="00856B64" w:rsidP="000209D0">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noWrap/>
            <w:vAlign w:val="bottom"/>
            <w:hideMark/>
          </w:tcPr>
          <w:p w14:paraId="26F40DE9" w14:textId="77777777" w:rsidR="00856B64" w:rsidRPr="004349E0" w:rsidRDefault="00856B64" w:rsidP="000209D0">
            <w:pPr>
              <w:spacing w:after="0" w:line="240" w:lineRule="auto"/>
              <w:jc w:val="right"/>
              <w:rPr>
                <w:rFonts w:ascii="Arial" w:hAnsi="Arial" w:cs="Arial"/>
                <w:sz w:val="16"/>
                <w:szCs w:val="16"/>
              </w:rPr>
            </w:pPr>
          </w:p>
        </w:tc>
      </w:tr>
      <w:tr w:rsidR="00856B64" w:rsidRPr="004349E0" w14:paraId="6932F63F" w14:textId="77777777" w:rsidTr="000209D0">
        <w:trPr>
          <w:trHeight w:val="204"/>
        </w:trPr>
        <w:tc>
          <w:tcPr>
            <w:tcW w:w="2694" w:type="dxa"/>
            <w:tcBorders>
              <w:top w:val="nil"/>
              <w:left w:val="nil"/>
              <w:bottom w:val="nil"/>
              <w:right w:val="nil"/>
            </w:tcBorders>
            <w:shd w:val="clear" w:color="auto" w:fill="auto"/>
            <w:vAlign w:val="bottom"/>
            <w:hideMark/>
          </w:tcPr>
          <w:p w14:paraId="0630CD99" w14:textId="6AE4F923" w:rsidR="00856B64" w:rsidRPr="004349E0" w:rsidRDefault="00856B64" w:rsidP="004349E0">
            <w:pPr>
              <w:spacing w:after="0" w:line="240" w:lineRule="auto"/>
              <w:ind w:left="113"/>
              <w:jc w:val="left"/>
              <w:rPr>
                <w:rFonts w:ascii="Arial" w:hAnsi="Arial" w:cs="Arial"/>
                <w:sz w:val="16"/>
                <w:szCs w:val="16"/>
              </w:rPr>
            </w:pPr>
            <w:r w:rsidRPr="004349E0">
              <w:rPr>
                <w:rFonts w:ascii="Arial" w:hAnsi="Arial" w:cs="Arial"/>
                <w:sz w:val="16"/>
                <w:szCs w:val="16"/>
              </w:rPr>
              <w:t xml:space="preserve">By purchase </w:t>
            </w:r>
            <w:r w:rsidR="004349E0" w:rsidRPr="004349E0">
              <w:rPr>
                <w:rFonts w:ascii="Arial" w:hAnsi="Arial" w:cs="Arial"/>
                <w:sz w:val="16"/>
                <w:szCs w:val="16"/>
              </w:rPr>
              <w:t>–</w:t>
            </w:r>
            <w:r w:rsidRPr="004349E0">
              <w:rPr>
                <w:rFonts w:ascii="Arial" w:hAnsi="Arial" w:cs="Arial"/>
                <w:sz w:val="16"/>
                <w:szCs w:val="16"/>
              </w:rPr>
              <w:t xml:space="preserve"> appropriation</w:t>
            </w:r>
            <w:r w:rsidR="004349E0" w:rsidRPr="004349E0">
              <w:rPr>
                <w:rFonts w:ascii="Arial" w:hAnsi="Arial" w:cs="Arial"/>
                <w:sz w:val="16"/>
                <w:szCs w:val="16"/>
              </w:rPr>
              <w:t xml:space="preserve"> </w:t>
            </w:r>
            <w:r w:rsidRPr="004349E0">
              <w:rPr>
                <w:rFonts w:ascii="Arial" w:hAnsi="Arial" w:cs="Arial"/>
                <w:sz w:val="16"/>
                <w:szCs w:val="16"/>
              </w:rPr>
              <w:t xml:space="preserve">ordinary annual services </w:t>
            </w:r>
            <w:r w:rsidRPr="004349E0">
              <w:rPr>
                <w:rFonts w:ascii="Arial" w:hAnsi="Arial" w:cs="Arial"/>
                <w:sz w:val="16"/>
                <w:szCs w:val="16"/>
                <w:vertAlign w:val="superscript"/>
              </w:rPr>
              <w:t>(a)</w:t>
            </w:r>
          </w:p>
        </w:tc>
        <w:tc>
          <w:tcPr>
            <w:tcW w:w="899" w:type="dxa"/>
            <w:tcBorders>
              <w:top w:val="nil"/>
              <w:left w:val="nil"/>
              <w:bottom w:val="nil"/>
              <w:right w:val="nil"/>
            </w:tcBorders>
            <w:shd w:val="clear" w:color="auto" w:fill="auto"/>
            <w:noWrap/>
            <w:vAlign w:val="bottom"/>
            <w:hideMark/>
          </w:tcPr>
          <w:p w14:paraId="194C1291" w14:textId="0C558CD2"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1671100E" w14:textId="49081986"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1,500</w:t>
            </w:r>
          </w:p>
        </w:tc>
        <w:tc>
          <w:tcPr>
            <w:tcW w:w="964" w:type="dxa"/>
            <w:tcBorders>
              <w:top w:val="nil"/>
              <w:left w:val="nil"/>
              <w:bottom w:val="nil"/>
              <w:right w:val="nil"/>
            </w:tcBorders>
            <w:shd w:val="clear" w:color="auto" w:fill="auto"/>
            <w:noWrap/>
            <w:vAlign w:val="bottom"/>
            <w:hideMark/>
          </w:tcPr>
          <w:p w14:paraId="0A81B897" w14:textId="56C7FD39"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2,448</w:t>
            </w:r>
          </w:p>
        </w:tc>
        <w:tc>
          <w:tcPr>
            <w:tcW w:w="981" w:type="dxa"/>
            <w:tcBorders>
              <w:top w:val="nil"/>
              <w:left w:val="nil"/>
              <w:bottom w:val="nil"/>
              <w:right w:val="nil"/>
            </w:tcBorders>
            <w:shd w:val="clear" w:color="auto" w:fill="auto"/>
            <w:noWrap/>
            <w:vAlign w:val="bottom"/>
            <w:hideMark/>
          </w:tcPr>
          <w:p w14:paraId="2D93219E" w14:textId="514A61DA"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11,312</w:t>
            </w:r>
          </w:p>
        </w:tc>
        <w:tc>
          <w:tcPr>
            <w:tcW w:w="935" w:type="dxa"/>
            <w:tcBorders>
              <w:top w:val="nil"/>
              <w:left w:val="nil"/>
              <w:bottom w:val="nil"/>
              <w:right w:val="nil"/>
            </w:tcBorders>
            <w:shd w:val="clear" w:color="auto" w:fill="auto"/>
            <w:noWrap/>
            <w:vAlign w:val="bottom"/>
            <w:hideMark/>
          </w:tcPr>
          <w:p w14:paraId="007D7D0C" w14:textId="2D98C27C"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15,260</w:t>
            </w:r>
          </w:p>
        </w:tc>
      </w:tr>
      <w:tr w:rsidR="00856B64" w:rsidRPr="004349E0" w14:paraId="230B36E2" w14:textId="77777777" w:rsidTr="000209D0">
        <w:trPr>
          <w:trHeight w:val="204"/>
        </w:trPr>
        <w:tc>
          <w:tcPr>
            <w:tcW w:w="2694" w:type="dxa"/>
            <w:tcBorders>
              <w:top w:val="nil"/>
              <w:left w:val="nil"/>
              <w:bottom w:val="nil"/>
              <w:right w:val="nil"/>
            </w:tcBorders>
            <w:shd w:val="clear" w:color="auto" w:fill="auto"/>
            <w:vAlign w:val="bottom"/>
            <w:hideMark/>
          </w:tcPr>
          <w:p w14:paraId="631DB444" w14:textId="77777777" w:rsidR="00856B64" w:rsidRPr="004349E0" w:rsidRDefault="00856B64" w:rsidP="00651C8E">
            <w:pPr>
              <w:spacing w:after="0" w:line="240" w:lineRule="auto"/>
              <w:jc w:val="left"/>
              <w:rPr>
                <w:rFonts w:ascii="Arial" w:hAnsi="Arial" w:cs="Arial"/>
                <w:b/>
                <w:bCs/>
                <w:sz w:val="16"/>
                <w:szCs w:val="16"/>
              </w:rPr>
            </w:pPr>
            <w:r w:rsidRPr="004349E0">
              <w:rPr>
                <w:rFonts w:ascii="Arial" w:hAnsi="Arial" w:cs="Arial"/>
                <w:b/>
                <w:bCs/>
                <w:sz w:val="16"/>
                <w:szCs w:val="16"/>
              </w:rPr>
              <w:t>Total additions</w:t>
            </w:r>
          </w:p>
        </w:tc>
        <w:tc>
          <w:tcPr>
            <w:tcW w:w="899" w:type="dxa"/>
            <w:tcBorders>
              <w:top w:val="single" w:sz="4" w:space="0" w:color="auto"/>
              <w:left w:val="nil"/>
              <w:bottom w:val="nil"/>
              <w:right w:val="nil"/>
            </w:tcBorders>
            <w:shd w:val="clear" w:color="auto" w:fill="auto"/>
            <w:noWrap/>
            <w:vAlign w:val="bottom"/>
            <w:hideMark/>
          </w:tcPr>
          <w:p w14:paraId="059970CB" w14:textId="5869E42A"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w:t>
            </w:r>
          </w:p>
        </w:tc>
        <w:tc>
          <w:tcPr>
            <w:tcW w:w="898" w:type="dxa"/>
            <w:tcBorders>
              <w:top w:val="single" w:sz="4" w:space="0" w:color="auto"/>
              <w:left w:val="nil"/>
              <w:bottom w:val="nil"/>
              <w:right w:val="nil"/>
            </w:tcBorders>
            <w:shd w:val="clear" w:color="auto" w:fill="auto"/>
            <w:noWrap/>
            <w:vAlign w:val="bottom"/>
            <w:hideMark/>
          </w:tcPr>
          <w:p w14:paraId="6A88D849" w14:textId="71630648"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1,500</w:t>
            </w:r>
          </w:p>
        </w:tc>
        <w:tc>
          <w:tcPr>
            <w:tcW w:w="964" w:type="dxa"/>
            <w:tcBorders>
              <w:top w:val="single" w:sz="4" w:space="0" w:color="auto"/>
              <w:left w:val="nil"/>
              <w:bottom w:val="nil"/>
              <w:right w:val="nil"/>
            </w:tcBorders>
            <w:shd w:val="clear" w:color="auto" w:fill="auto"/>
            <w:noWrap/>
            <w:vAlign w:val="bottom"/>
            <w:hideMark/>
          </w:tcPr>
          <w:p w14:paraId="1EDE5FBC" w14:textId="7EF4EEFD"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2,448</w:t>
            </w:r>
          </w:p>
        </w:tc>
        <w:tc>
          <w:tcPr>
            <w:tcW w:w="981" w:type="dxa"/>
            <w:tcBorders>
              <w:top w:val="single" w:sz="4" w:space="0" w:color="auto"/>
              <w:left w:val="nil"/>
              <w:bottom w:val="nil"/>
              <w:right w:val="nil"/>
            </w:tcBorders>
            <w:shd w:val="clear" w:color="auto" w:fill="auto"/>
            <w:noWrap/>
            <w:vAlign w:val="bottom"/>
            <w:hideMark/>
          </w:tcPr>
          <w:p w14:paraId="540B6266" w14:textId="1581636A"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11,312</w:t>
            </w:r>
          </w:p>
        </w:tc>
        <w:tc>
          <w:tcPr>
            <w:tcW w:w="935" w:type="dxa"/>
            <w:tcBorders>
              <w:top w:val="single" w:sz="4" w:space="0" w:color="auto"/>
              <w:left w:val="nil"/>
              <w:bottom w:val="nil"/>
              <w:right w:val="nil"/>
            </w:tcBorders>
            <w:shd w:val="clear" w:color="auto" w:fill="auto"/>
            <w:noWrap/>
            <w:vAlign w:val="bottom"/>
            <w:hideMark/>
          </w:tcPr>
          <w:p w14:paraId="53CAB83F" w14:textId="1FCF8498"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15,260</w:t>
            </w:r>
          </w:p>
        </w:tc>
      </w:tr>
      <w:tr w:rsidR="00856B64" w:rsidRPr="004349E0" w14:paraId="2C92981D" w14:textId="77777777" w:rsidTr="000209D0">
        <w:trPr>
          <w:trHeight w:val="204"/>
        </w:trPr>
        <w:tc>
          <w:tcPr>
            <w:tcW w:w="2694" w:type="dxa"/>
            <w:tcBorders>
              <w:top w:val="nil"/>
              <w:left w:val="nil"/>
              <w:bottom w:val="nil"/>
              <w:right w:val="nil"/>
            </w:tcBorders>
            <w:shd w:val="clear" w:color="auto" w:fill="auto"/>
            <w:vAlign w:val="bottom"/>
            <w:hideMark/>
          </w:tcPr>
          <w:p w14:paraId="00454875" w14:textId="77777777" w:rsidR="00856B64" w:rsidRPr="004349E0" w:rsidRDefault="00856B64" w:rsidP="00651C8E">
            <w:pPr>
              <w:spacing w:after="0" w:line="240" w:lineRule="auto"/>
              <w:jc w:val="left"/>
              <w:rPr>
                <w:rFonts w:ascii="Arial" w:hAnsi="Arial" w:cs="Arial"/>
                <w:b/>
                <w:bCs/>
                <w:sz w:val="16"/>
                <w:szCs w:val="16"/>
              </w:rPr>
            </w:pPr>
            <w:r w:rsidRPr="004349E0">
              <w:rPr>
                <w:rFonts w:ascii="Arial" w:hAnsi="Arial" w:cs="Arial"/>
                <w:b/>
                <w:bCs/>
                <w:sz w:val="16"/>
                <w:szCs w:val="16"/>
              </w:rPr>
              <w:t>Other movements</w:t>
            </w:r>
          </w:p>
        </w:tc>
        <w:tc>
          <w:tcPr>
            <w:tcW w:w="899" w:type="dxa"/>
            <w:tcBorders>
              <w:top w:val="single" w:sz="4" w:space="0" w:color="auto"/>
              <w:left w:val="nil"/>
              <w:bottom w:val="nil"/>
              <w:right w:val="nil"/>
            </w:tcBorders>
            <w:shd w:val="clear" w:color="auto" w:fill="auto"/>
            <w:noWrap/>
            <w:vAlign w:val="bottom"/>
            <w:hideMark/>
          </w:tcPr>
          <w:p w14:paraId="7CF9677F" w14:textId="771E7FB3" w:rsidR="00856B64" w:rsidRPr="004349E0" w:rsidRDefault="00856B64" w:rsidP="000209D0">
            <w:pPr>
              <w:spacing w:after="0" w:line="240" w:lineRule="auto"/>
              <w:jc w:val="right"/>
              <w:rPr>
                <w:rFonts w:ascii="Arial" w:hAnsi="Arial" w:cs="Arial"/>
                <w:b/>
                <w:bCs/>
                <w:sz w:val="16"/>
                <w:szCs w:val="16"/>
              </w:rPr>
            </w:pPr>
          </w:p>
        </w:tc>
        <w:tc>
          <w:tcPr>
            <w:tcW w:w="898" w:type="dxa"/>
            <w:tcBorders>
              <w:top w:val="single" w:sz="4" w:space="0" w:color="auto"/>
              <w:left w:val="nil"/>
              <w:bottom w:val="nil"/>
              <w:right w:val="nil"/>
            </w:tcBorders>
            <w:shd w:val="clear" w:color="auto" w:fill="auto"/>
            <w:noWrap/>
            <w:vAlign w:val="bottom"/>
            <w:hideMark/>
          </w:tcPr>
          <w:p w14:paraId="07047FC8" w14:textId="6815F6FA" w:rsidR="00856B64" w:rsidRPr="004349E0" w:rsidRDefault="00856B64" w:rsidP="000209D0">
            <w:pPr>
              <w:spacing w:after="0" w:line="240" w:lineRule="auto"/>
              <w:jc w:val="right"/>
              <w:rPr>
                <w:rFonts w:ascii="Arial" w:hAnsi="Arial" w:cs="Arial"/>
                <w:b/>
                <w:bCs/>
                <w:sz w:val="16"/>
                <w:szCs w:val="16"/>
              </w:rPr>
            </w:pPr>
          </w:p>
        </w:tc>
        <w:tc>
          <w:tcPr>
            <w:tcW w:w="964" w:type="dxa"/>
            <w:tcBorders>
              <w:top w:val="single" w:sz="4" w:space="0" w:color="auto"/>
              <w:left w:val="nil"/>
              <w:bottom w:val="nil"/>
              <w:right w:val="nil"/>
            </w:tcBorders>
            <w:shd w:val="clear" w:color="auto" w:fill="auto"/>
            <w:noWrap/>
            <w:vAlign w:val="bottom"/>
            <w:hideMark/>
          </w:tcPr>
          <w:p w14:paraId="52A6DB45" w14:textId="2DB0C5E3" w:rsidR="00856B64" w:rsidRPr="004349E0" w:rsidRDefault="00856B64" w:rsidP="000209D0">
            <w:pPr>
              <w:spacing w:after="0" w:line="240" w:lineRule="auto"/>
              <w:jc w:val="right"/>
              <w:rPr>
                <w:rFonts w:ascii="Arial" w:hAnsi="Arial" w:cs="Arial"/>
                <w:b/>
                <w:bCs/>
                <w:sz w:val="16"/>
                <w:szCs w:val="16"/>
              </w:rPr>
            </w:pPr>
          </w:p>
        </w:tc>
        <w:tc>
          <w:tcPr>
            <w:tcW w:w="981" w:type="dxa"/>
            <w:tcBorders>
              <w:top w:val="single" w:sz="4" w:space="0" w:color="auto"/>
              <w:left w:val="nil"/>
              <w:bottom w:val="nil"/>
              <w:right w:val="nil"/>
            </w:tcBorders>
            <w:shd w:val="clear" w:color="auto" w:fill="auto"/>
            <w:noWrap/>
            <w:vAlign w:val="bottom"/>
            <w:hideMark/>
          </w:tcPr>
          <w:p w14:paraId="6636C812" w14:textId="71A472F9" w:rsidR="00856B64" w:rsidRPr="004349E0" w:rsidRDefault="00856B64" w:rsidP="000209D0">
            <w:pPr>
              <w:spacing w:after="0" w:line="240" w:lineRule="auto"/>
              <w:jc w:val="right"/>
              <w:rPr>
                <w:rFonts w:ascii="Arial" w:hAnsi="Arial" w:cs="Arial"/>
                <w:b/>
                <w:bCs/>
                <w:sz w:val="16"/>
                <w:szCs w:val="16"/>
              </w:rPr>
            </w:pPr>
          </w:p>
        </w:tc>
        <w:tc>
          <w:tcPr>
            <w:tcW w:w="935" w:type="dxa"/>
            <w:tcBorders>
              <w:top w:val="single" w:sz="4" w:space="0" w:color="auto"/>
              <w:left w:val="nil"/>
              <w:bottom w:val="nil"/>
              <w:right w:val="nil"/>
            </w:tcBorders>
            <w:shd w:val="clear" w:color="auto" w:fill="auto"/>
            <w:noWrap/>
            <w:vAlign w:val="bottom"/>
            <w:hideMark/>
          </w:tcPr>
          <w:p w14:paraId="5EA64ADB" w14:textId="4CDBAEAC" w:rsidR="00856B64" w:rsidRPr="004349E0" w:rsidRDefault="00856B64" w:rsidP="000209D0">
            <w:pPr>
              <w:spacing w:after="0" w:line="240" w:lineRule="auto"/>
              <w:jc w:val="right"/>
              <w:rPr>
                <w:rFonts w:ascii="Arial" w:hAnsi="Arial" w:cs="Arial"/>
                <w:b/>
                <w:bCs/>
                <w:sz w:val="16"/>
                <w:szCs w:val="16"/>
              </w:rPr>
            </w:pPr>
          </w:p>
        </w:tc>
      </w:tr>
      <w:tr w:rsidR="00856B64" w:rsidRPr="004349E0" w14:paraId="3259D8C7" w14:textId="77777777" w:rsidTr="000209D0">
        <w:trPr>
          <w:trHeight w:val="204"/>
        </w:trPr>
        <w:tc>
          <w:tcPr>
            <w:tcW w:w="2694" w:type="dxa"/>
            <w:tcBorders>
              <w:top w:val="nil"/>
              <w:left w:val="nil"/>
              <w:bottom w:val="nil"/>
              <w:right w:val="nil"/>
            </w:tcBorders>
            <w:shd w:val="clear" w:color="auto" w:fill="auto"/>
            <w:vAlign w:val="bottom"/>
            <w:hideMark/>
          </w:tcPr>
          <w:p w14:paraId="0EE2613C" w14:textId="77777777" w:rsidR="00856B64" w:rsidRPr="004349E0" w:rsidRDefault="00856B64" w:rsidP="00651C8E">
            <w:pPr>
              <w:spacing w:after="0" w:line="240" w:lineRule="auto"/>
              <w:ind w:left="113"/>
              <w:jc w:val="left"/>
              <w:rPr>
                <w:rFonts w:ascii="Arial" w:hAnsi="Arial" w:cs="Arial"/>
                <w:sz w:val="16"/>
                <w:szCs w:val="16"/>
              </w:rPr>
            </w:pPr>
            <w:r w:rsidRPr="004349E0">
              <w:rPr>
                <w:rFonts w:ascii="Arial" w:hAnsi="Arial" w:cs="Arial"/>
                <w:sz w:val="16"/>
                <w:szCs w:val="16"/>
              </w:rPr>
              <w:t>Depreciation/amortisation expense</w:t>
            </w:r>
          </w:p>
        </w:tc>
        <w:tc>
          <w:tcPr>
            <w:tcW w:w="899" w:type="dxa"/>
            <w:tcBorders>
              <w:top w:val="nil"/>
              <w:left w:val="nil"/>
              <w:bottom w:val="nil"/>
              <w:right w:val="nil"/>
            </w:tcBorders>
            <w:shd w:val="clear" w:color="auto" w:fill="auto"/>
            <w:noWrap/>
            <w:vAlign w:val="bottom"/>
            <w:hideMark/>
          </w:tcPr>
          <w:p w14:paraId="1DB90654" w14:textId="22C8CBD6"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5E347B96"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(3,216)</w:t>
            </w:r>
          </w:p>
        </w:tc>
        <w:tc>
          <w:tcPr>
            <w:tcW w:w="964" w:type="dxa"/>
            <w:tcBorders>
              <w:top w:val="nil"/>
              <w:left w:val="nil"/>
              <w:bottom w:val="nil"/>
              <w:right w:val="nil"/>
            </w:tcBorders>
            <w:shd w:val="clear" w:color="auto" w:fill="auto"/>
            <w:noWrap/>
            <w:vAlign w:val="bottom"/>
            <w:hideMark/>
          </w:tcPr>
          <w:p w14:paraId="1E7616BD"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(1,806)</w:t>
            </w:r>
          </w:p>
        </w:tc>
        <w:tc>
          <w:tcPr>
            <w:tcW w:w="981" w:type="dxa"/>
            <w:tcBorders>
              <w:top w:val="nil"/>
              <w:left w:val="nil"/>
              <w:bottom w:val="nil"/>
              <w:right w:val="nil"/>
            </w:tcBorders>
            <w:shd w:val="clear" w:color="auto" w:fill="auto"/>
            <w:noWrap/>
            <w:vAlign w:val="bottom"/>
            <w:hideMark/>
          </w:tcPr>
          <w:p w14:paraId="3353240E"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(4,192)</w:t>
            </w:r>
          </w:p>
        </w:tc>
        <w:tc>
          <w:tcPr>
            <w:tcW w:w="935" w:type="dxa"/>
            <w:tcBorders>
              <w:top w:val="nil"/>
              <w:left w:val="nil"/>
              <w:bottom w:val="nil"/>
              <w:right w:val="nil"/>
            </w:tcBorders>
            <w:shd w:val="clear" w:color="auto" w:fill="auto"/>
            <w:noWrap/>
            <w:vAlign w:val="bottom"/>
            <w:hideMark/>
          </w:tcPr>
          <w:p w14:paraId="179B0D4C"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(9,214)</w:t>
            </w:r>
          </w:p>
        </w:tc>
      </w:tr>
      <w:tr w:rsidR="00856B64" w:rsidRPr="004349E0" w14:paraId="46A52408" w14:textId="77777777" w:rsidTr="000209D0">
        <w:trPr>
          <w:trHeight w:val="204"/>
        </w:trPr>
        <w:tc>
          <w:tcPr>
            <w:tcW w:w="2694" w:type="dxa"/>
            <w:tcBorders>
              <w:top w:val="nil"/>
              <w:left w:val="nil"/>
              <w:bottom w:val="nil"/>
              <w:right w:val="nil"/>
            </w:tcBorders>
            <w:shd w:val="clear" w:color="auto" w:fill="auto"/>
            <w:vAlign w:val="center"/>
            <w:hideMark/>
          </w:tcPr>
          <w:p w14:paraId="3BDE1EAA" w14:textId="4A72D661" w:rsidR="00856B64" w:rsidRPr="004349E0" w:rsidRDefault="00856B64" w:rsidP="00651C8E">
            <w:pPr>
              <w:spacing w:after="0" w:line="240" w:lineRule="auto"/>
              <w:ind w:left="113"/>
              <w:jc w:val="left"/>
              <w:rPr>
                <w:rFonts w:ascii="Arial" w:hAnsi="Arial" w:cs="Arial"/>
                <w:sz w:val="16"/>
                <w:szCs w:val="16"/>
              </w:rPr>
            </w:pPr>
            <w:r w:rsidRPr="004349E0">
              <w:rPr>
                <w:rFonts w:ascii="Arial" w:hAnsi="Arial" w:cs="Arial"/>
                <w:sz w:val="16"/>
                <w:szCs w:val="16"/>
              </w:rPr>
              <w:t>Depreciation/amortisation on ROU assets</w:t>
            </w:r>
          </w:p>
        </w:tc>
        <w:tc>
          <w:tcPr>
            <w:tcW w:w="899" w:type="dxa"/>
            <w:tcBorders>
              <w:top w:val="nil"/>
              <w:left w:val="nil"/>
              <w:bottom w:val="nil"/>
              <w:right w:val="nil"/>
            </w:tcBorders>
            <w:shd w:val="clear" w:color="auto" w:fill="auto"/>
            <w:noWrap/>
            <w:vAlign w:val="bottom"/>
            <w:hideMark/>
          </w:tcPr>
          <w:p w14:paraId="534B2777" w14:textId="0C4091EF"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0535D38E"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(7,985)</w:t>
            </w:r>
          </w:p>
        </w:tc>
        <w:tc>
          <w:tcPr>
            <w:tcW w:w="964" w:type="dxa"/>
            <w:tcBorders>
              <w:top w:val="nil"/>
              <w:left w:val="nil"/>
              <w:bottom w:val="nil"/>
              <w:right w:val="nil"/>
            </w:tcBorders>
            <w:shd w:val="clear" w:color="auto" w:fill="auto"/>
            <w:noWrap/>
            <w:vAlign w:val="bottom"/>
            <w:hideMark/>
          </w:tcPr>
          <w:p w14:paraId="7D01A175" w14:textId="242B325A"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429C1285" w14:textId="283766D6"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35" w:type="dxa"/>
            <w:tcBorders>
              <w:top w:val="nil"/>
              <w:left w:val="nil"/>
              <w:bottom w:val="nil"/>
              <w:right w:val="nil"/>
            </w:tcBorders>
            <w:shd w:val="clear" w:color="auto" w:fill="auto"/>
            <w:noWrap/>
            <w:vAlign w:val="bottom"/>
            <w:hideMark/>
          </w:tcPr>
          <w:p w14:paraId="787F4C75"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(7,985)</w:t>
            </w:r>
          </w:p>
        </w:tc>
      </w:tr>
      <w:tr w:rsidR="00856B64" w:rsidRPr="004349E0" w14:paraId="45EF5733" w14:textId="77777777" w:rsidTr="000209D0">
        <w:trPr>
          <w:trHeight w:val="204"/>
        </w:trPr>
        <w:tc>
          <w:tcPr>
            <w:tcW w:w="2694" w:type="dxa"/>
            <w:tcBorders>
              <w:top w:val="nil"/>
              <w:left w:val="nil"/>
              <w:bottom w:val="nil"/>
              <w:right w:val="nil"/>
            </w:tcBorders>
            <w:shd w:val="clear" w:color="auto" w:fill="auto"/>
            <w:vAlign w:val="bottom"/>
            <w:hideMark/>
          </w:tcPr>
          <w:p w14:paraId="486426BD" w14:textId="77777777" w:rsidR="00856B64" w:rsidRPr="004349E0" w:rsidRDefault="00856B64" w:rsidP="00651C8E">
            <w:pPr>
              <w:spacing w:after="0" w:line="240" w:lineRule="auto"/>
              <w:ind w:left="113"/>
              <w:jc w:val="left"/>
              <w:rPr>
                <w:rFonts w:ascii="Arial" w:hAnsi="Arial" w:cs="Arial"/>
                <w:sz w:val="16"/>
                <w:szCs w:val="16"/>
              </w:rPr>
            </w:pPr>
            <w:r w:rsidRPr="004349E0">
              <w:rPr>
                <w:rFonts w:ascii="Arial" w:hAnsi="Arial" w:cs="Arial"/>
                <w:sz w:val="16"/>
                <w:szCs w:val="16"/>
              </w:rPr>
              <w:t>Reclassification</w:t>
            </w:r>
          </w:p>
        </w:tc>
        <w:tc>
          <w:tcPr>
            <w:tcW w:w="899" w:type="dxa"/>
            <w:tcBorders>
              <w:top w:val="nil"/>
              <w:left w:val="nil"/>
              <w:bottom w:val="nil"/>
              <w:right w:val="nil"/>
            </w:tcBorders>
            <w:shd w:val="clear" w:color="auto" w:fill="auto"/>
            <w:noWrap/>
            <w:vAlign w:val="bottom"/>
            <w:hideMark/>
          </w:tcPr>
          <w:p w14:paraId="452F06B6" w14:textId="7070E5CC"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38215D18" w14:textId="362CBCF2"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72FD278D" w14:textId="6D5950E0"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5,000</w:t>
            </w:r>
          </w:p>
        </w:tc>
        <w:tc>
          <w:tcPr>
            <w:tcW w:w="981" w:type="dxa"/>
            <w:tcBorders>
              <w:top w:val="nil"/>
              <w:left w:val="nil"/>
              <w:bottom w:val="nil"/>
              <w:right w:val="nil"/>
            </w:tcBorders>
            <w:shd w:val="clear" w:color="auto" w:fill="auto"/>
            <w:noWrap/>
            <w:vAlign w:val="bottom"/>
            <w:hideMark/>
          </w:tcPr>
          <w:p w14:paraId="74E33126"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(5,000)</w:t>
            </w:r>
          </w:p>
        </w:tc>
        <w:tc>
          <w:tcPr>
            <w:tcW w:w="935" w:type="dxa"/>
            <w:tcBorders>
              <w:top w:val="nil"/>
              <w:left w:val="nil"/>
              <w:bottom w:val="nil"/>
              <w:right w:val="nil"/>
            </w:tcBorders>
            <w:shd w:val="clear" w:color="auto" w:fill="auto"/>
            <w:noWrap/>
            <w:vAlign w:val="bottom"/>
            <w:hideMark/>
          </w:tcPr>
          <w:p w14:paraId="4AE1726B" w14:textId="16808DB9"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r>
      <w:tr w:rsidR="00856B64" w:rsidRPr="004349E0" w14:paraId="3B413001" w14:textId="77777777" w:rsidTr="000209D0">
        <w:trPr>
          <w:trHeight w:val="204"/>
        </w:trPr>
        <w:tc>
          <w:tcPr>
            <w:tcW w:w="2694" w:type="dxa"/>
            <w:tcBorders>
              <w:top w:val="nil"/>
              <w:left w:val="nil"/>
              <w:bottom w:val="nil"/>
              <w:right w:val="nil"/>
            </w:tcBorders>
            <w:shd w:val="clear" w:color="auto" w:fill="auto"/>
            <w:vAlign w:val="bottom"/>
            <w:hideMark/>
          </w:tcPr>
          <w:p w14:paraId="09F121B0" w14:textId="77777777" w:rsidR="00856B64" w:rsidRPr="004349E0" w:rsidRDefault="00856B64" w:rsidP="00651C8E">
            <w:pPr>
              <w:spacing w:after="0" w:line="240" w:lineRule="auto"/>
              <w:jc w:val="left"/>
              <w:rPr>
                <w:rFonts w:ascii="Arial" w:hAnsi="Arial" w:cs="Arial"/>
                <w:b/>
                <w:bCs/>
                <w:sz w:val="16"/>
                <w:szCs w:val="16"/>
              </w:rPr>
            </w:pPr>
            <w:r w:rsidRPr="004349E0">
              <w:rPr>
                <w:rFonts w:ascii="Arial" w:hAnsi="Arial" w:cs="Arial"/>
                <w:b/>
                <w:bCs/>
                <w:sz w:val="16"/>
                <w:szCs w:val="16"/>
              </w:rPr>
              <w:t>Total other movements</w:t>
            </w:r>
          </w:p>
        </w:tc>
        <w:tc>
          <w:tcPr>
            <w:tcW w:w="899" w:type="dxa"/>
            <w:tcBorders>
              <w:top w:val="single" w:sz="4" w:space="0" w:color="auto"/>
              <w:left w:val="nil"/>
              <w:bottom w:val="single" w:sz="4" w:space="0" w:color="auto"/>
              <w:right w:val="nil"/>
            </w:tcBorders>
            <w:shd w:val="clear" w:color="auto" w:fill="auto"/>
            <w:noWrap/>
            <w:vAlign w:val="bottom"/>
            <w:hideMark/>
          </w:tcPr>
          <w:p w14:paraId="02A60E78" w14:textId="5CC9BEDB"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w:t>
            </w:r>
          </w:p>
        </w:tc>
        <w:tc>
          <w:tcPr>
            <w:tcW w:w="898" w:type="dxa"/>
            <w:tcBorders>
              <w:top w:val="single" w:sz="4" w:space="0" w:color="auto"/>
              <w:left w:val="nil"/>
              <w:bottom w:val="single" w:sz="4" w:space="0" w:color="auto"/>
              <w:right w:val="nil"/>
            </w:tcBorders>
            <w:shd w:val="clear" w:color="auto" w:fill="auto"/>
            <w:noWrap/>
            <w:vAlign w:val="bottom"/>
            <w:hideMark/>
          </w:tcPr>
          <w:p w14:paraId="3785C78B" w14:textId="77777777"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(11,201)</w:t>
            </w:r>
          </w:p>
        </w:tc>
        <w:tc>
          <w:tcPr>
            <w:tcW w:w="964" w:type="dxa"/>
            <w:tcBorders>
              <w:top w:val="single" w:sz="4" w:space="0" w:color="auto"/>
              <w:left w:val="nil"/>
              <w:bottom w:val="single" w:sz="4" w:space="0" w:color="auto"/>
              <w:right w:val="nil"/>
            </w:tcBorders>
            <w:shd w:val="clear" w:color="auto" w:fill="auto"/>
            <w:noWrap/>
            <w:vAlign w:val="bottom"/>
            <w:hideMark/>
          </w:tcPr>
          <w:p w14:paraId="2244F0F3" w14:textId="42ABD0CB"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3,194</w:t>
            </w:r>
          </w:p>
        </w:tc>
        <w:tc>
          <w:tcPr>
            <w:tcW w:w="981" w:type="dxa"/>
            <w:tcBorders>
              <w:top w:val="single" w:sz="4" w:space="0" w:color="auto"/>
              <w:left w:val="nil"/>
              <w:bottom w:val="single" w:sz="4" w:space="0" w:color="auto"/>
              <w:right w:val="nil"/>
            </w:tcBorders>
            <w:shd w:val="clear" w:color="auto" w:fill="auto"/>
            <w:noWrap/>
            <w:vAlign w:val="bottom"/>
            <w:hideMark/>
          </w:tcPr>
          <w:p w14:paraId="49DC4F67" w14:textId="77777777"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(9,192)</w:t>
            </w:r>
          </w:p>
        </w:tc>
        <w:tc>
          <w:tcPr>
            <w:tcW w:w="935" w:type="dxa"/>
            <w:tcBorders>
              <w:top w:val="single" w:sz="4" w:space="0" w:color="auto"/>
              <w:left w:val="nil"/>
              <w:bottom w:val="single" w:sz="4" w:space="0" w:color="auto"/>
              <w:right w:val="nil"/>
            </w:tcBorders>
            <w:shd w:val="clear" w:color="auto" w:fill="auto"/>
            <w:noWrap/>
            <w:vAlign w:val="bottom"/>
            <w:hideMark/>
          </w:tcPr>
          <w:p w14:paraId="23DEF3F1" w14:textId="77777777"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(17,199)</w:t>
            </w:r>
          </w:p>
        </w:tc>
      </w:tr>
      <w:tr w:rsidR="00856B64" w:rsidRPr="004349E0" w14:paraId="42C97660" w14:textId="77777777" w:rsidTr="000209D0">
        <w:trPr>
          <w:trHeight w:val="204"/>
        </w:trPr>
        <w:tc>
          <w:tcPr>
            <w:tcW w:w="2694" w:type="dxa"/>
            <w:tcBorders>
              <w:top w:val="nil"/>
              <w:left w:val="nil"/>
              <w:bottom w:val="nil"/>
              <w:right w:val="nil"/>
            </w:tcBorders>
            <w:shd w:val="clear" w:color="auto" w:fill="auto"/>
            <w:vAlign w:val="bottom"/>
            <w:hideMark/>
          </w:tcPr>
          <w:p w14:paraId="4EDB6CD4" w14:textId="77777777" w:rsidR="00856B64" w:rsidRPr="004349E0" w:rsidRDefault="00856B64" w:rsidP="00856B64">
            <w:pPr>
              <w:spacing w:after="0" w:line="240" w:lineRule="auto"/>
              <w:jc w:val="left"/>
              <w:rPr>
                <w:rFonts w:ascii="Arial" w:hAnsi="Arial" w:cs="Arial"/>
                <w:b/>
                <w:bCs/>
                <w:sz w:val="16"/>
                <w:szCs w:val="16"/>
              </w:rPr>
            </w:pPr>
            <w:r w:rsidRPr="004349E0">
              <w:rPr>
                <w:rFonts w:ascii="Arial" w:hAnsi="Arial" w:cs="Arial"/>
                <w:b/>
                <w:bCs/>
                <w:sz w:val="16"/>
                <w:szCs w:val="16"/>
              </w:rPr>
              <w:t>As at 30 June 2022</w:t>
            </w:r>
          </w:p>
        </w:tc>
        <w:tc>
          <w:tcPr>
            <w:tcW w:w="899" w:type="dxa"/>
            <w:tcBorders>
              <w:top w:val="nil"/>
              <w:left w:val="nil"/>
              <w:bottom w:val="nil"/>
              <w:right w:val="nil"/>
            </w:tcBorders>
            <w:shd w:val="clear" w:color="auto" w:fill="auto"/>
            <w:noWrap/>
            <w:vAlign w:val="bottom"/>
            <w:hideMark/>
          </w:tcPr>
          <w:p w14:paraId="52EAF262" w14:textId="77777777" w:rsidR="00856B64" w:rsidRPr="004349E0" w:rsidRDefault="00856B64" w:rsidP="000209D0">
            <w:pPr>
              <w:spacing w:after="0" w:line="240" w:lineRule="auto"/>
              <w:jc w:val="right"/>
              <w:rPr>
                <w:rFonts w:ascii="Arial" w:hAnsi="Arial" w:cs="Arial"/>
                <w:b/>
                <w:bCs/>
                <w:sz w:val="16"/>
                <w:szCs w:val="16"/>
              </w:rPr>
            </w:pPr>
          </w:p>
        </w:tc>
        <w:tc>
          <w:tcPr>
            <w:tcW w:w="898" w:type="dxa"/>
            <w:tcBorders>
              <w:top w:val="nil"/>
              <w:left w:val="nil"/>
              <w:bottom w:val="nil"/>
              <w:right w:val="nil"/>
            </w:tcBorders>
            <w:shd w:val="clear" w:color="auto" w:fill="auto"/>
            <w:noWrap/>
            <w:vAlign w:val="bottom"/>
            <w:hideMark/>
          </w:tcPr>
          <w:p w14:paraId="1A616CA0" w14:textId="77777777" w:rsidR="00856B64" w:rsidRPr="004349E0" w:rsidRDefault="00856B64" w:rsidP="000209D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2690F37E" w14:textId="77777777" w:rsidR="00856B64" w:rsidRPr="004349E0" w:rsidRDefault="00856B64" w:rsidP="000209D0">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21D9F98C" w14:textId="77777777" w:rsidR="00856B64" w:rsidRPr="004349E0" w:rsidRDefault="00856B64" w:rsidP="000209D0">
            <w:pPr>
              <w:spacing w:after="0" w:line="240" w:lineRule="auto"/>
              <w:jc w:val="right"/>
              <w:rPr>
                <w:rFonts w:ascii="Arial" w:hAnsi="Arial" w:cs="Arial"/>
                <w:sz w:val="16"/>
                <w:szCs w:val="16"/>
              </w:rPr>
            </w:pPr>
          </w:p>
        </w:tc>
        <w:tc>
          <w:tcPr>
            <w:tcW w:w="935" w:type="dxa"/>
            <w:tcBorders>
              <w:top w:val="nil"/>
              <w:left w:val="nil"/>
              <w:bottom w:val="nil"/>
              <w:right w:val="nil"/>
            </w:tcBorders>
            <w:shd w:val="clear" w:color="auto" w:fill="auto"/>
            <w:noWrap/>
            <w:vAlign w:val="bottom"/>
            <w:hideMark/>
          </w:tcPr>
          <w:p w14:paraId="4247425B" w14:textId="77777777" w:rsidR="00856B64" w:rsidRPr="004349E0" w:rsidRDefault="00856B64" w:rsidP="000209D0">
            <w:pPr>
              <w:spacing w:after="0" w:line="240" w:lineRule="auto"/>
              <w:jc w:val="right"/>
              <w:rPr>
                <w:rFonts w:ascii="Arial" w:hAnsi="Arial" w:cs="Arial"/>
                <w:sz w:val="16"/>
                <w:szCs w:val="16"/>
              </w:rPr>
            </w:pPr>
          </w:p>
        </w:tc>
      </w:tr>
      <w:tr w:rsidR="00856B64" w:rsidRPr="004349E0" w14:paraId="3BBA2DD0" w14:textId="77777777" w:rsidTr="000209D0">
        <w:trPr>
          <w:trHeight w:val="204"/>
        </w:trPr>
        <w:tc>
          <w:tcPr>
            <w:tcW w:w="2694" w:type="dxa"/>
            <w:tcBorders>
              <w:top w:val="nil"/>
              <w:left w:val="nil"/>
              <w:bottom w:val="nil"/>
              <w:right w:val="nil"/>
            </w:tcBorders>
            <w:shd w:val="clear" w:color="auto" w:fill="auto"/>
            <w:vAlign w:val="center"/>
            <w:hideMark/>
          </w:tcPr>
          <w:p w14:paraId="45CF0822" w14:textId="77777777" w:rsidR="00856B64" w:rsidRPr="004349E0" w:rsidRDefault="00856B64" w:rsidP="00651C8E">
            <w:pPr>
              <w:spacing w:after="0" w:line="240" w:lineRule="auto"/>
              <w:ind w:left="113"/>
              <w:jc w:val="left"/>
              <w:rPr>
                <w:rFonts w:ascii="Arial" w:hAnsi="Arial" w:cs="Arial"/>
                <w:sz w:val="16"/>
                <w:szCs w:val="16"/>
              </w:rPr>
            </w:pPr>
            <w:r w:rsidRPr="004349E0">
              <w:rPr>
                <w:rFonts w:ascii="Arial" w:hAnsi="Arial" w:cs="Arial"/>
                <w:sz w:val="16"/>
                <w:szCs w:val="16"/>
              </w:rPr>
              <w:t>Gross book value</w:t>
            </w:r>
          </w:p>
        </w:tc>
        <w:tc>
          <w:tcPr>
            <w:tcW w:w="899" w:type="dxa"/>
            <w:tcBorders>
              <w:top w:val="nil"/>
              <w:left w:val="nil"/>
              <w:bottom w:val="nil"/>
              <w:right w:val="nil"/>
            </w:tcBorders>
            <w:shd w:val="clear" w:color="auto" w:fill="auto"/>
            <w:noWrap/>
            <w:vAlign w:val="bottom"/>
            <w:hideMark/>
          </w:tcPr>
          <w:p w14:paraId="3277D03A" w14:textId="5475D18A"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1,595</w:t>
            </w:r>
          </w:p>
        </w:tc>
        <w:tc>
          <w:tcPr>
            <w:tcW w:w="898" w:type="dxa"/>
            <w:tcBorders>
              <w:top w:val="nil"/>
              <w:left w:val="nil"/>
              <w:bottom w:val="nil"/>
              <w:right w:val="nil"/>
            </w:tcBorders>
            <w:shd w:val="clear" w:color="auto" w:fill="auto"/>
            <w:noWrap/>
            <w:vAlign w:val="bottom"/>
            <w:hideMark/>
          </w:tcPr>
          <w:p w14:paraId="397C0CAC" w14:textId="46F47426"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13,176</w:t>
            </w:r>
          </w:p>
        </w:tc>
        <w:tc>
          <w:tcPr>
            <w:tcW w:w="964" w:type="dxa"/>
            <w:tcBorders>
              <w:top w:val="nil"/>
              <w:left w:val="nil"/>
              <w:bottom w:val="nil"/>
              <w:right w:val="nil"/>
            </w:tcBorders>
            <w:shd w:val="clear" w:color="auto" w:fill="auto"/>
            <w:noWrap/>
            <w:vAlign w:val="bottom"/>
            <w:hideMark/>
          </w:tcPr>
          <w:p w14:paraId="66FF06E3" w14:textId="2B18A78E"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13,822</w:t>
            </w:r>
          </w:p>
        </w:tc>
        <w:tc>
          <w:tcPr>
            <w:tcW w:w="981" w:type="dxa"/>
            <w:tcBorders>
              <w:top w:val="nil"/>
              <w:left w:val="nil"/>
              <w:bottom w:val="nil"/>
              <w:right w:val="nil"/>
            </w:tcBorders>
            <w:shd w:val="clear" w:color="auto" w:fill="auto"/>
            <w:noWrap/>
            <w:vAlign w:val="bottom"/>
            <w:hideMark/>
          </w:tcPr>
          <w:p w14:paraId="60B81B96" w14:textId="6BE0AC94"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61,717</w:t>
            </w:r>
          </w:p>
        </w:tc>
        <w:tc>
          <w:tcPr>
            <w:tcW w:w="935" w:type="dxa"/>
            <w:tcBorders>
              <w:top w:val="nil"/>
              <w:left w:val="nil"/>
              <w:bottom w:val="nil"/>
              <w:right w:val="nil"/>
            </w:tcBorders>
            <w:shd w:val="clear" w:color="auto" w:fill="auto"/>
            <w:noWrap/>
            <w:vAlign w:val="bottom"/>
            <w:hideMark/>
          </w:tcPr>
          <w:p w14:paraId="120743A1" w14:textId="25499A3C"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90,310</w:t>
            </w:r>
          </w:p>
        </w:tc>
      </w:tr>
      <w:tr w:rsidR="00856B64" w:rsidRPr="004349E0" w14:paraId="5A7F295B" w14:textId="77777777" w:rsidTr="000209D0">
        <w:trPr>
          <w:trHeight w:val="204"/>
        </w:trPr>
        <w:tc>
          <w:tcPr>
            <w:tcW w:w="2694" w:type="dxa"/>
            <w:tcBorders>
              <w:top w:val="nil"/>
              <w:left w:val="nil"/>
              <w:bottom w:val="nil"/>
              <w:right w:val="nil"/>
            </w:tcBorders>
            <w:shd w:val="clear" w:color="auto" w:fill="auto"/>
            <w:vAlign w:val="center"/>
            <w:hideMark/>
          </w:tcPr>
          <w:p w14:paraId="707C527C" w14:textId="77777777" w:rsidR="00856B64" w:rsidRPr="004349E0" w:rsidRDefault="00856B64" w:rsidP="00651C8E">
            <w:pPr>
              <w:spacing w:after="0" w:line="240" w:lineRule="auto"/>
              <w:ind w:left="113"/>
              <w:jc w:val="left"/>
              <w:rPr>
                <w:rFonts w:ascii="Arial" w:hAnsi="Arial" w:cs="Arial"/>
                <w:sz w:val="16"/>
                <w:szCs w:val="16"/>
              </w:rPr>
            </w:pPr>
            <w:r w:rsidRPr="004349E0">
              <w:rPr>
                <w:rFonts w:ascii="Arial" w:hAnsi="Arial" w:cs="Arial"/>
                <w:sz w:val="16"/>
                <w:szCs w:val="16"/>
              </w:rPr>
              <w:t>Gross book value - ROU assets</w:t>
            </w:r>
          </w:p>
        </w:tc>
        <w:tc>
          <w:tcPr>
            <w:tcW w:w="899" w:type="dxa"/>
            <w:tcBorders>
              <w:top w:val="nil"/>
              <w:left w:val="nil"/>
              <w:bottom w:val="nil"/>
              <w:right w:val="nil"/>
            </w:tcBorders>
            <w:shd w:val="clear" w:color="auto" w:fill="auto"/>
            <w:noWrap/>
            <w:vAlign w:val="bottom"/>
            <w:hideMark/>
          </w:tcPr>
          <w:p w14:paraId="6C755BA6" w14:textId="13AEBC01"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6D49F234" w14:textId="316F1B6D"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75,487</w:t>
            </w:r>
          </w:p>
        </w:tc>
        <w:tc>
          <w:tcPr>
            <w:tcW w:w="964" w:type="dxa"/>
            <w:tcBorders>
              <w:top w:val="nil"/>
              <w:left w:val="nil"/>
              <w:bottom w:val="nil"/>
              <w:right w:val="nil"/>
            </w:tcBorders>
            <w:shd w:val="clear" w:color="auto" w:fill="auto"/>
            <w:noWrap/>
            <w:vAlign w:val="bottom"/>
            <w:hideMark/>
          </w:tcPr>
          <w:p w14:paraId="48DD9B51" w14:textId="0E7BECC2"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789C57F3" w14:textId="43367EE1"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35" w:type="dxa"/>
            <w:tcBorders>
              <w:top w:val="nil"/>
              <w:left w:val="nil"/>
              <w:bottom w:val="nil"/>
              <w:right w:val="nil"/>
            </w:tcBorders>
            <w:shd w:val="clear" w:color="auto" w:fill="auto"/>
            <w:noWrap/>
            <w:vAlign w:val="bottom"/>
            <w:hideMark/>
          </w:tcPr>
          <w:p w14:paraId="20E70A34" w14:textId="1CAE649E"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75,487</w:t>
            </w:r>
          </w:p>
        </w:tc>
      </w:tr>
      <w:tr w:rsidR="00856B64" w:rsidRPr="004349E0" w14:paraId="6DB3E5E3" w14:textId="77777777" w:rsidTr="000209D0">
        <w:trPr>
          <w:trHeight w:val="204"/>
        </w:trPr>
        <w:tc>
          <w:tcPr>
            <w:tcW w:w="2694" w:type="dxa"/>
            <w:tcBorders>
              <w:top w:val="nil"/>
              <w:left w:val="nil"/>
              <w:bottom w:val="nil"/>
              <w:right w:val="nil"/>
            </w:tcBorders>
            <w:shd w:val="clear" w:color="auto" w:fill="auto"/>
            <w:vAlign w:val="center"/>
            <w:hideMark/>
          </w:tcPr>
          <w:p w14:paraId="5B62784D" w14:textId="312D7177" w:rsidR="00856B64" w:rsidRPr="004349E0" w:rsidRDefault="00856B64" w:rsidP="00B577F1">
            <w:pPr>
              <w:spacing w:after="0" w:line="240" w:lineRule="auto"/>
              <w:ind w:left="113"/>
              <w:jc w:val="left"/>
              <w:rPr>
                <w:rFonts w:ascii="Arial" w:hAnsi="Arial" w:cs="Arial"/>
                <w:sz w:val="16"/>
                <w:szCs w:val="16"/>
              </w:rPr>
            </w:pPr>
            <w:r w:rsidRPr="004349E0">
              <w:rPr>
                <w:rFonts w:ascii="Arial" w:hAnsi="Arial" w:cs="Arial"/>
                <w:sz w:val="16"/>
                <w:szCs w:val="16"/>
              </w:rPr>
              <w:t>Accumulated depreciation/</w:t>
            </w:r>
            <w:r w:rsidR="00B577F1">
              <w:rPr>
                <w:rFonts w:ascii="Arial" w:hAnsi="Arial" w:cs="Arial"/>
                <w:sz w:val="16"/>
                <w:szCs w:val="16"/>
              </w:rPr>
              <w:t xml:space="preserve"> </w:t>
            </w:r>
            <w:r w:rsidRPr="004349E0">
              <w:rPr>
                <w:rFonts w:ascii="Arial" w:hAnsi="Arial" w:cs="Arial"/>
                <w:sz w:val="16"/>
                <w:szCs w:val="16"/>
              </w:rPr>
              <w:t>amortisation and impairment</w:t>
            </w:r>
          </w:p>
        </w:tc>
        <w:tc>
          <w:tcPr>
            <w:tcW w:w="899" w:type="dxa"/>
            <w:tcBorders>
              <w:top w:val="nil"/>
              <w:left w:val="nil"/>
              <w:bottom w:val="nil"/>
              <w:right w:val="nil"/>
            </w:tcBorders>
            <w:shd w:val="clear" w:color="auto" w:fill="auto"/>
            <w:noWrap/>
            <w:vAlign w:val="bottom"/>
            <w:hideMark/>
          </w:tcPr>
          <w:p w14:paraId="6BADFF8E" w14:textId="6956C3EF"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0D31E5C5"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(17,870)</w:t>
            </w:r>
          </w:p>
        </w:tc>
        <w:tc>
          <w:tcPr>
            <w:tcW w:w="964" w:type="dxa"/>
            <w:tcBorders>
              <w:top w:val="nil"/>
              <w:left w:val="nil"/>
              <w:bottom w:val="nil"/>
              <w:right w:val="nil"/>
            </w:tcBorders>
            <w:shd w:val="clear" w:color="auto" w:fill="auto"/>
            <w:noWrap/>
            <w:vAlign w:val="bottom"/>
            <w:hideMark/>
          </w:tcPr>
          <w:p w14:paraId="4E4881B8"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(3,525)</w:t>
            </w:r>
          </w:p>
        </w:tc>
        <w:tc>
          <w:tcPr>
            <w:tcW w:w="981" w:type="dxa"/>
            <w:tcBorders>
              <w:top w:val="nil"/>
              <w:left w:val="nil"/>
              <w:bottom w:val="nil"/>
              <w:right w:val="nil"/>
            </w:tcBorders>
            <w:shd w:val="clear" w:color="auto" w:fill="auto"/>
            <w:noWrap/>
            <w:vAlign w:val="bottom"/>
            <w:hideMark/>
          </w:tcPr>
          <w:p w14:paraId="4EA550CD"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(45,503)</w:t>
            </w:r>
          </w:p>
        </w:tc>
        <w:tc>
          <w:tcPr>
            <w:tcW w:w="935" w:type="dxa"/>
            <w:tcBorders>
              <w:top w:val="nil"/>
              <w:left w:val="nil"/>
              <w:bottom w:val="nil"/>
              <w:right w:val="nil"/>
            </w:tcBorders>
            <w:shd w:val="clear" w:color="auto" w:fill="auto"/>
            <w:noWrap/>
            <w:vAlign w:val="bottom"/>
            <w:hideMark/>
          </w:tcPr>
          <w:p w14:paraId="3719A3F6"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(66,898)</w:t>
            </w:r>
          </w:p>
        </w:tc>
      </w:tr>
      <w:tr w:rsidR="00856B64" w:rsidRPr="004349E0" w14:paraId="2298A4F5" w14:textId="77777777" w:rsidTr="000209D0">
        <w:trPr>
          <w:trHeight w:val="204"/>
        </w:trPr>
        <w:tc>
          <w:tcPr>
            <w:tcW w:w="2694" w:type="dxa"/>
            <w:tcBorders>
              <w:top w:val="nil"/>
              <w:left w:val="nil"/>
              <w:bottom w:val="nil"/>
              <w:right w:val="nil"/>
            </w:tcBorders>
            <w:shd w:val="clear" w:color="auto" w:fill="auto"/>
            <w:vAlign w:val="center"/>
            <w:hideMark/>
          </w:tcPr>
          <w:p w14:paraId="29872748" w14:textId="77777777" w:rsidR="00856B64" w:rsidRPr="004349E0" w:rsidRDefault="00856B64" w:rsidP="00651C8E">
            <w:pPr>
              <w:spacing w:after="0" w:line="240" w:lineRule="auto"/>
              <w:ind w:left="113"/>
              <w:jc w:val="left"/>
              <w:rPr>
                <w:rFonts w:ascii="Arial" w:hAnsi="Arial" w:cs="Arial"/>
                <w:sz w:val="16"/>
                <w:szCs w:val="16"/>
              </w:rPr>
            </w:pPr>
            <w:r w:rsidRPr="004349E0">
              <w:rPr>
                <w:rFonts w:ascii="Arial" w:hAnsi="Arial" w:cs="Arial"/>
                <w:sz w:val="16"/>
                <w:szCs w:val="16"/>
              </w:rPr>
              <w:t>Accumulated depreciation/amortisation and impairment - ROU assets</w:t>
            </w:r>
          </w:p>
        </w:tc>
        <w:tc>
          <w:tcPr>
            <w:tcW w:w="899" w:type="dxa"/>
            <w:tcBorders>
              <w:top w:val="nil"/>
              <w:left w:val="nil"/>
              <w:bottom w:val="nil"/>
              <w:right w:val="nil"/>
            </w:tcBorders>
            <w:shd w:val="clear" w:color="auto" w:fill="auto"/>
            <w:noWrap/>
            <w:vAlign w:val="bottom"/>
            <w:hideMark/>
          </w:tcPr>
          <w:p w14:paraId="40FACBB3" w14:textId="40A78D0D"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898" w:type="dxa"/>
            <w:tcBorders>
              <w:top w:val="nil"/>
              <w:left w:val="nil"/>
              <w:bottom w:val="nil"/>
              <w:right w:val="nil"/>
            </w:tcBorders>
            <w:shd w:val="clear" w:color="auto" w:fill="auto"/>
            <w:noWrap/>
            <w:vAlign w:val="bottom"/>
            <w:hideMark/>
          </w:tcPr>
          <w:p w14:paraId="706563FF"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(11,143)</w:t>
            </w:r>
          </w:p>
        </w:tc>
        <w:tc>
          <w:tcPr>
            <w:tcW w:w="964" w:type="dxa"/>
            <w:tcBorders>
              <w:top w:val="nil"/>
              <w:left w:val="nil"/>
              <w:bottom w:val="nil"/>
              <w:right w:val="nil"/>
            </w:tcBorders>
            <w:shd w:val="clear" w:color="auto" w:fill="auto"/>
            <w:noWrap/>
            <w:vAlign w:val="bottom"/>
            <w:hideMark/>
          </w:tcPr>
          <w:p w14:paraId="7CBA22E5" w14:textId="76DB14C5"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0BD9B5BD" w14:textId="4DB8BCBB"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w:t>
            </w:r>
          </w:p>
        </w:tc>
        <w:tc>
          <w:tcPr>
            <w:tcW w:w="935" w:type="dxa"/>
            <w:tcBorders>
              <w:top w:val="nil"/>
              <w:left w:val="nil"/>
              <w:bottom w:val="nil"/>
              <w:right w:val="nil"/>
            </w:tcBorders>
            <w:shd w:val="clear" w:color="auto" w:fill="auto"/>
            <w:noWrap/>
            <w:vAlign w:val="bottom"/>
            <w:hideMark/>
          </w:tcPr>
          <w:p w14:paraId="3A1DC198" w14:textId="77777777" w:rsidR="00856B64" w:rsidRPr="004349E0" w:rsidRDefault="00856B64" w:rsidP="000209D0">
            <w:pPr>
              <w:spacing w:after="0" w:line="240" w:lineRule="auto"/>
              <w:jc w:val="right"/>
              <w:rPr>
                <w:rFonts w:ascii="Arial" w:hAnsi="Arial" w:cs="Arial"/>
                <w:sz w:val="16"/>
                <w:szCs w:val="16"/>
              </w:rPr>
            </w:pPr>
            <w:r w:rsidRPr="004349E0">
              <w:rPr>
                <w:rFonts w:ascii="Arial" w:hAnsi="Arial" w:cs="Arial"/>
                <w:sz w:val="16"/>
                <w:szCs w:val="16"/>
              </w:rPr>
              <w:t>(11,143)</w:t>
            </w:r>
          </w:p>
        </w:tc>
      </w:tr>
      <w:tr w:rsidR="00856B64" w:rsidRPr="004349E0" w14:paraId="081B1C67" w14:textId="77777777" w:rsidTr="000209D0">
        <w:trPr>
          <w:trHeight w:val="204"/>
        </w:trPr>
        <w:tc>
          <w:tcPr>
            <w:tcW w:w="2694" w:type="dxa"/>
            <w:tcBorders>
              <w:top w:val="nil"/>
              <w:left w:val="nil"/>
              <w:bottom w:val="single" w:sz="4" w:space="0" w:color="auto"/>
              <w:right w:val="nil"/>
            </w:tcBorders>
            <w:shd w:val="clear" w:color="auto" w:fill="auto"/>
            <w:noWrap/>
            <w:vAlign w:val="bottom"/>
            <w:hideMark/>
          </w:tcPr>
          <w:p w14:paraId="54FD2272" w14:textId="77777777" w:rsidR="00856B64" w:rsidRPr="004349E0" w:rsidRDefault="00856B64" w:rsidP="00856B64">
            <w:pPr>
              <w:spacing w:after="0" w:line="240" w:lineRule="auto"/>
              <w:jc w:val="left"/>
              <w:rPr>
                <w:rFonts w:ascii="Arial" w:hAnsi="Arial" w:cs="Arial"/>
                <w:b/>
                <w:bCs/>
                <w:sz w:val="16"/>
                <w:szCs w:val="16"/>
              </w:rPr>
            </w:pPr>
            <w:r w:rsidRPr="004349E0">
              <w:rPr>
                <w:rFonts w:ascii="Arial" w:hAnsi="Arial" w:cs="Arial"/>
                <w:b/>
                <w:bCs/>
                <w:sz w:val="16"/>
                <w:szCs w:val="16"/>
              </w:rPr>
              <w:t>Closing net book balance</w:t>
            </w:r>
          </w:p>
        </w:tc>
        <w:tc>
          <w:tcPr>
            <w:tcW w:w="899" w:type="dxa"/>
            <w:tcBorders>
              <w:top w:val="single" w:sz="4" w:space="0" w:color="auto"/>
              <w:left w:val="nil"/>
              <w:bottom w:val="single" w:sz="4" w:space="0" w:color="auto"/>
              <w:right w:val="nil"/>
            </w:tcBorders>
            <w:shd w:val="clear" w:color="auto" w:fill="auto"/>
            <w:noWrap/>
            <w:vAlign w:val="bottom"/>
            <w:hideMark/>
          </w:tcPr>
          <w:p w14:paraId="0E1F4848" w14:textId="432D32D1"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1,595</w:t>
            </w:r>
          </w:p>
        </w:tc>
        <w:tc>
          <w:tcPr>
            <w:tcW w:w="898" w:type="dxa"/>
            <w:tcBorders>
              <w:top w:val="single" w:sz="4" w:space="0" w:color="auto"/>
              <w:left w:val="nil"/>
              <w:bottom w:val="single" w:sz="4" w:space="0" w:color="auto"/>
              <w:right w:val="nil"/>
            </w:tcBorders>
            <w:shd w:val="clear" w:color="auto" w:fill="auto"/>
            <w:noWrap/>
            <w:vAlign w:val="bottom"/>
            <w:hideMark/>
          </w:tcPr>
          <w:p w14:paraId="6124B5F7" w14:textId="38035072"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59,650</w:t>
            </w:r>
          </w:p>
        </w:tc>
        <w:tc>
          <w:tcPr>
            <w:tcW w:w="964" w:type="dxa"/>
            <w:tcBorders>
              <w:top w:val="single" w:sz="4" w:space="0" w:color="auto"/>
              <w:left w:val="nil"/>
              <w:bottom w:val="single" w:sz="4" w:space="0" w:color="auto"/>
              <w:right w:val="nil"/>
            </w:tcBorders>
            <w:shd w:val="clear" w:color="auto" w:fill="auto"/>
            <w:noWrap/>
            <w:vAlign w:val="bottom"/>
            <w:hideMark/>
          </w:tcPr>
          <w:p w14:paraId="5865AD54" w14:textId="7231FB0E"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10,297</w:t>
            </w:r>
          </w:p>
        </w:tc>
        <w:tc>
          <w:tcPr>
            <w:tcW w:w="981" w:type="dxa"/>
            <w:tcBorders>
              <w:top w:val="single" w:sz="4" w:space="0" w:color="auto"/>
              <w:left w:val="nil"/>
              <w:bottom w:val="single" w:sz="4" w:space="0" w:color="auto"/>
              <w:right w:val="nil"/>
            </w:tcBorders>
            <w:shd w:val="clear" w:color="auto" w:fill="auto"/>
            <w:noWrap/>
            <w:vAlign w:val="bottom"/>
            <w:hideMark/>
          </w:tcPr>
          <w:p w14:paraId="4FB75F3C" w14:textId="02793988"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16,214</w:t>
            </w:r>
          </w:p>
        </w:tc>
        <w:tc>
          <w:tcPr>
            <w:tcW w:w="935" w:type="dxa"/>
            <w:tcBorders>
              <w:top w:val="single" w:sz="4" w:space="0" w:color="auto"/>
              <w:left w:val="nil"/>
              <w:bottom w:val="single" w:sz="4" w:space="0" w:color="auto"/>
              <w:right w:val="nil"/>
            </w:tcBorders>
            <w:shd w:val="clear" w:color="auto" w:fill="auto"/>
            <w:noWrap/>
            <w:vAlign w:val="bottom"/>
            <w:hideMark/>
          </w:tcPr>
          <w:p w14:paraId="48CD53F8" w14:textId="7FA0CA2E" w:rsidR="00856B64" w:rsidRPr="004349E0" w:rsidRDefault="00856B64" w:rsidP="000209D0">
            <w:pPr>
              <w:spacing w:after="0" w:line="240" w:lineRule="auto"/>
              <w:jc w:val="right"/>
              <w:rPr>
                <w:rFonts w:ascii="Arial" w:hAnsi="Arial" w:cs="Arial"/>
                <w:b/>
                <w:bCs/>
                <w:sz w:val="16"/>
                <w:szCs w:val="16"/>
              </w:rPr>
            </w:pPr>
            <w:r w:rsidRPr="004349E0">
              <w:rPr>
                <w:rFonts w:ascii="Arial" w:hAnsi="Arial" w:cs="Arial"/>
                <w:b/>
                <w:bCs/>
                <w:sz w:val="16"/>
                <w:szCs w:val="16"/>
              </w:rPr>
              <w:t>87,756</w:t>
            </w:r>
          </w:p>
        </w:tc>
      </w:tr>
    </w:tbl>
    <w:p w14:paraId="67069B69" w14:textId="77777777" w:rsidR="005A6F51" w:rsidRPr="002E5D24" w:rsidRDefault="005A6F51" w:rsidP="005A6F51">
      <w:pPr>
        <w:pStyle w:val="Source"/>
        <w:spacing w:before="60"/>
      </w:pPr>
      <w:r w:rsidRPr="00132F9E">
        <w:rPr>
          <w:rFonts w:cs="Arial"/>
          <w:szCs w:val="16"/>
        </w:rPr>
        <w:t>Prepared on Australian Accounting Standards basis.</w:t>
      </w:r>
    </w:p>
    <w:p w14:paraId="131D3D97" w14:textId="2EE34844" w:rsidR="00856B64" w:rsidRDefault="007D036F" w:rsidP="00F10ACD">
      <w:pPr>
        <w:pStyle w:val="ChartandTableFootnoteAlpha"/>
        <w:numPr>
          <w:ilvl w:val="0"/>
          <w:numId w:val="36"/>
        </w:numPr>
        <w:spacing w:after="0"/>
        <w:ind w:left="284" w:hanging="284"/>
        <w:jc w:val="left"/>
        <w:rPr>
          <w:rFonts w:cs="Arial"/>
        </w:rPr>
      </w:pPr>
      <w:r>
        <w:rPr>
          <w:rFonts w:cs="Arial"/>
        </w:rPr>
        <w:t>‘</w:t>
      </w:r>
      <w:r w:rsidR="00856B64" w:rsidRPr="007A0AB1">
        <w:rPr>
          <w:rFonts w:cs="Arial"/>
        </w:rPr>
        <w:t>Appropriation ordinary annual services</w:t>
      </w:r>
      <w:r>
        <w:rPr>
          <w:rFonts w:cs="Arial"/>
        </w:rPr>
        <w:t>’</w:t>
      </w:r>
      <w:r w:rsidR="00856B64" w:rsidRPr="007A0AB1">
        <w:rPr>
          <w:rFonts w:cs="Arial"/>
        </w:rPr>
        <w:t xml:space="preserve"> refers to funding provided through Appropriation </w:t>
      </w:r>
      <w:r>
        <w:rPr>
          <w:rFonts w:cs="Arial"/>
        </w:rPr>
        <w:t>Act</w:t>
      </w:r>
      <w:r w:rsidR="00856B64" w:rsidRPr="007A0AB1">
        <w:rPr>
          <w:rFonts w:cs="Arial"/>
        </w:rPr>
        <w:t xml:space="preserve"> (No. 1) 2021-</w:t>
      </w:r>
      <w:r>
        <w:rPr>
          <w:rFonts w:cs="Arial"/>
        </w:rPr>
        <w:t>22</w:t>
      </w:r>
      <w:r w:rsidR="00856B64" w:rsidRPr="007A0AB1">
        <w:rPr>
          <w:rFonts w:cs="Arial"/>
        </w:rPr>
        <w:t xml:space="preserve"> and Appropriation Bill (No. 3) 2021-22 for depreciation/amortisation expenses, </w:t>
      </w:r>
      <w:r w:rsidR="00856B64">
        <w:rPr>
          <w:rFonts w:cs="Arial"/>
        </w:rPr>
        <w:t>DCBs</w:t>
      </w:r>
      <w:r w:rsidR="00856B64" w:rsidRPr="007A0AB1">
        <w:rPr>
          <w:rFonts w:cs="Arial"/>
        </w:rPr>
        <w:t xml:space="preserve"> or other operational expenses.</w:t>
      </w:r>
    </w:p>
    <w:p w14:paraId="73FDD388" w14:textId="77777777" w:rsidR="00914885" w:rsidRDefault="00914885" w:rsidP="00914885">
      <w:pPr>
        <w:rPr>
          <w:lang w:val="en-US"/>
        </w:rPr>
      </w:pPr>
    </w:p>
    <w:p w14:paraId="6BA8F56D" w14:textId="77777777" w:rsidR="00914885" w:rsidRDefault="00914885" w:rsidP="00914885">
      <w:pPr>
        <w:rPr>
          <w:lang w:val="x-none"/>
        </w:rPr>
      </w:pPr>
    </w:p>
    <w:p w14:paraId="4BDC3B87" w14:textId="77777777" w:rsidR="00914885" w:rsidRPr="00BA015C" w:rsidRDefault="00914885" w:rsidP="00914885">
      <w:pPr>
        <w:rPr>
          <w:lang w:val="x-none"/>
        </w:rPr>
        <w:sectPr w:rsidR="00914885" w:rsidRPr="00BA015C" w:rsidSect="00C3755A">
          <w:headerReference w:type="even" r:id="rId71"/>
          <w:headerReference w:type="default" r:id="rId72"/>
          <w:footerReference w:type="even" r:id="rId73"/>
          <w:footerReference w:type="default" r:id="rId74"/>
          <w:headerReference w:type="first" r:id="rId75"/>
          <w:footerReference w:type="first" r:id="rId76"/>
          <w:type w:val="oddPage"/>
          <w:pgSz w:w="11907" w:h="16840" w:code="9"/>
          <w:pgMar w:top="2466" w:right="2098" w:bottom="2466" w:left="2098" w:header="1814" w:footer="1814" w:gutter="0"/>
          <w:cols w:space="708"/>
          <w:titlePg/>
          <w:docGrid w:linePitch="360"/>
        </w:sectPr>
      </w:pPr>
    </w:p>
    <w:p w14:paraId="17B6B7E1" w14:textId="77777777" w:rsidR="00E702E6" w:rsidRDefault="00E702E6" w:rsidP="00E702E6">
      <w:pPr>
        <w:pStyle w:val="TableHeading"/>
      </w:pPr>
      <w:r w:rsidRPr="00D30CBA">
        <w:lastRenderedPageBreak/>
        <w:t>Table</w:t>
      </w:r>
      <w:r>
        <w:t xml:space="preserve"> 3.</w:t>
      </w:r>
      <w:r>
        <w:rPr>
          <w:lang w:val="en-US"/>
        </w:rPr>
        <w:t>8</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tbl>
      <w:tblPr>
        <w:tblW w:w="7652" w:type="dxa"/>
        <w:tblLook w:val="04A0" w:firstRow="1" w:lastRow="0" w:firstColumn="1" w:lastColumn="0" w:noHBand="0" w:noVBand="1"/>
      </w:tblPr>
      <w:tblGrid>
        <w:gridCol w:w="3060"/>
        <w:gridCol w:w="880"/>
        <w:gridCol w:w="928"/>
        <w:gridCol w:w="928"/>
        <w:gridCol w:w="928"/>
        <w:gridCol w:w="928"/>
      </w:tblGrid>
      <w:tr w:rsidR="008A38A8" w:rsidRPr="008A38A8" w14:paraId="72C31D98" w14:textId="77777777" w:rsidTr="00B86D56">
        <w:trPr>
          <w:trHeight w:val="109"/>
        </w:trPr>
        <w:tc>
          <w:tcPr>
            <w:tcW w:w="3060" w:type="dxa"/>
            <w:tcBorders>
              <w:top w:val="single" w:sz="4" w:space="0" w:color="auto"/>
              <w:left w:val="nil"/>
              <w:bottom w:val="nil"/>
              <w:right w:val="nil"/>
            </w:tcBorders>
            <w:shd w:val="clear" w:color="auto" w:fill="auto"/>
            <w:noWrap/>
            <w:hideMark/>
          </w:tcPr>
          <w:p w14:paraId="794D4DA1" w14:textId="77777777" w:rsidR="008A38A8" w:rsidRPr="008A38A8" w:rsidRDefault="008A38A8" w:rsidP="008A38A8">
            <w:pPr>
              <w:spacing w:after="0" w:line="240" w:lineRule="auto"/>
              <w:jc w:val="left"/>
              <w:rPr>
                <w:rFonts w:ascii="Arial" w:hAnsi="Arial" w:cs="Arial"/>
                <w:b/>
                <w:bCs/>
                <w:sz w:val="16"/>
                <w:szCs w:val="16"/>
              </w:rPr>
            </w:pPr>
            <w:r w:rsidRPr="008A38A8">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hideMark/>
          </w:tcPr>
          <w:p w14:paraId="25A80670" w14:textId="77777777" w:rsidR="008A38A8" w:rsidRPr="008A38A8" w:rsidRDefault="008A38A8" w:rsidP="008A38A8">
            <w:pPr>
              <w:spacing w:after="0" w:line="240" w:lineRule="auto"/>
              <w:jc w:val="right"/>
              <w:rPr>
                <w:rFonts w:ascii="Arial" w:hAnsi="Arial" w:cs="Arial"/>
                <w:sz w:val="16"/>
                <w:szCs w:val="16"/>
              </w:rPr>
            </w:pPr>
            <w:r w:rsidRPr="008A38A8">
              <w:rPr>
                <w:rFonts w:ascii="Arial" w:hAnsi="Arial" w:cs="Arial"/>
                <w:sz w:val="16"/>
                <w:szCs w:val="16"/>
              </w:rPr>
              <w:t>2020-21 Actual</w:t>
            </w:r>
            <w:r w:rsidRPr="008A38A8">
              <w:rPr>
                <w:rFonts w:ascii="Arial" w:hAnsi="Arial" w:cs="Arial"/>
                <w:sz w:val="16"/>
                <w:szCs w:val="16"/>
              </w:rPr>
              <w:br/>
            </w:r>
            <w:r w:rsidRPr="008A38A8">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000000" w:fill="E6E6E6"/>
            <w:hideMark/>
          </w:tcPr>
          <w:p w14:paraId="3A0BAE5C" w14:textId="77777777" w:rsidR="008A38A8" w:rsidRPr="008A38A8" w:rsidRDefault="008A38A8" w:rsidP="008A38A8">
            <w:pPr>
              <w:spacing w:after="0" w:line="240" w:lineRule="auto"/>
              <w:jc w:val="right"/>
              <w:rPr>
                <w:rFonts w:ascii="Arial" w:hAnsi="Arial" w:cs="Arial"/>
                <w:sz w:val="16"/>
                <w:szCs w:val="16"/>
              </w:rPr>
            </w:pPr>
            <w:r w:rsidRPr="008A38A8">
              <w:rPr>
                <w:rFonts w:ascii="Arial" w:hAnsi="Arial" w:cs="Arial"/>
                <w:sz w:val="16"/>
                <w:szCs w:val="16"/>
              </w:rPr>
              <w:t>2021-22</w:t>
            </w:r>
            <w:r w:rsidRPr="008A38A8">
              <w:rPr>
                <w:rFonts w:ascii="Arial" w:hAnsi="Arial" w:cs="Arial"/>
                <w:sz w:val="16"/>
                <w:szCs w:val="16"/>
              </w:rPr>
              <w:br/>
              <w:t>Revised Budget</w:t>
            </w:r>
            <w:r w:rsidRPr="008A38A8">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hideMark/>
          </w:tcPr>
          <w:p w14:paraId="6D2CD7AF" w14:textId="77777777" w:rsidR="008A38A8" w:rsidRPr="008A38A8" w:rsidRDefault="008A38A8" w:rsidP="008A38A8">
            <w:pPr>
              <w:spacing w:after="0" w:line="240" w:lineRule="auto"/>
              <w:jc w:val="right"/>
              <w:rPr>
                <w:rFonts w:ascii="Arial" w:hAnsi="Arial" w:cs="Arial"/>
                <w:sz w:val="16"/>
                <w:szCs w:val="16"/>
              </w:rPr>
            </w:pPr>
            <w:r w:rsidRPr="008A38A8">
              <w:rPr>
                <w:rFonts w:ascii="Arial" w:hAnsi="Arial" w:cs="Arial"/>
                <w:sz w:val="16"/>
                <w:szCs w:val="16"/>
              </w:rPr>
              <w:t>2022-23 Forward estimate</w:t>
            </w:r>
            <w:r w:rsidRPr="008A38A8">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hideMark/>
          </w:tcPr>
          <w:p w14:paraId="6C5B53BA" w14:textId="77777777" w:rsidR="008A38A8" w:rsidRPr="008A38A8" w:rsidRDefault="008A38A8" w:rsidP="008A38A8">
            <w:pPr>
              <w:spacing w:after="0" w:line="240" w:lineRule="auto"/>
              <w:jc w:val="right"/>
              <w:rPr>
                <w:rFonts w:ascii="Arial" w:hAnsi="Arial" w:cs="Arial"/>
                <w:sz w:val="16"/>
                <w:szCs w:val="16"/>
              </w:rPr>
            </w:pPr>
            <w:r w:rsidRPr="008A38A8">
              <w:rPr>
                <w:rFonts w:ascii="Arial" w:hAnsi="Arial" w:cs="Arial"/>
                <w:sz w:val="16"/>
                <w:szCs w:val="16"/>
              </w:rPr>
              <w:t>2023-24 Forward estimate</w:t>
            </w:r>
            <w:r w:rsidRPr="008A38A8">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hideMark/>
          </w:tcPr>
          <w:p w14:paraId="06A7E9DB" w14:textId="77777777" w:rsidR="008A38A8" w:rsidRPr="008A38A8" w:rsidRDefault="008A38A8" w:rsidP="008A38A8">
            <w:pPr>
              <w:spacing w:after="0" w:line="240" w:lineRule="auto"/>
              <w:jc w:val="right"/>
              <w:rPr>
                <w:rFonts w:ascii="Arial" w:hAnsi="Arial" w:cs="Arial"/>
                <w:sz w:val="16"/>
                <w:szCs w:val="16"/>
              </w:rPr>
            </w:pPr>
            <w:r w:rsidRPr="008A38A8">
              <w:rPr>
                <w:rFonts w:ascii="Arial" w:hAnsi="Arial" w:cs="Arial"/>
                <w:sz w:val="16"/>
                <w:szCs w:val="16"/>
              </w:rPr>
              <w:t>2024-25</w:t>
            </w:r>
            <w:r w:rsidRPr="008A38A8">
              <w:rPr>
                <w:rFonts w:ascii="Arial" w:hAnsi="Arial" w:cs="Arial"/>
                <w:sz w:val="16"/>
                <w:szCs w:val="16"/>
              </w:rPr>
              <w:br/>
              <w:t>Forward estimate</w:t>
            </w:r>
            <w:r w:rsidRPr="008A38A8">
              <w:rPr>
                <w:rFonts w:ascii="Arial" w:hAnsi="Arial" w:cs="Arial"/>
                <w:sz w:val="16"/>
                <w:szCs w:val="16"/>
              </w:rPr>
              <w:br/>
              <w:t>$'000</w:t>
            </w:r>
          </w:p>
        </w:tc>
      </w:tr>
      <w:tr w:rsidR="008A38A8" w:rsidRPr="008A38A8" w14:paraId="3587AFCD" w14:textId="77777777" w:rsidTr="008A38A8">
        <w:trPr>
          <w:trHeight w:val="204"/>
        </w:trPr>
        <w:tc>
          <w:tcPr>
            <w:tcW w:w="3060" w:type="dxa"/>
            <w:tcBorders>
              <w:top w:val="nil"/>
              <w:left w:val="nil"/>
              <w:bottom w:val="nil"/>
              <w:right w:val="nil"/>
            </w:tcBorders>
            <w:shd w:val="clear" w:color="auto" w:fill="auto"/>
            <w:noWrap/>
            <w:vAlign w:val="center"/>
            <w:hideMark/>
          </w:tcPr>
          <w:p w14:paraId="42534269" w14:textId="77777777" w:rsidR="008A38A8" w:rsidRPr="008A38A8" w:rsidRDefault="008A38A8" w:rsidP="008A38A8">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EXPENSES</w:t>
            </w:r>
          </w:p>
        </w:tc>
        <w:tc>
          <w:tcPr>
            <w:tcW w:w="880" w:type="dxa"/>
            <w:tcBorders>
              <w:top w:val="nil"/>
              <w:left w:val="nil"/>
              <w:bottom w:val="nil"/>
              <w:right w:val="nil"/>
            </w:tcBorders>
            <w:shd w:val="clear" w:color="auto" w:fill="auto"/>
            <w:noWrap/>
            <w:vAlign w:val="bottom"/>
            <w:hideMark/>
          </w:tcPr>
          <w:p w14:paraId="0F278918" w14:textId="77777777" w:rsidR="008A38A8" w:rsidRPr="008A38A8" w:rsidRDefault="008A38A8" w:rsidP="008A38A8">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7AC3141D" w14:textId="38811E77"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28E797CB" w14:textId="77777777"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57B718F1" w14:textId="77777777" w:rsidR="008A38A8" w:rsidRPr="008A38A8" w:rsidRDefault="008A38A8" w:rsidP="008A38A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2644B95B" w14:textId="77777777" w:rsidR="008A38A8" w:rsidRPr="008A38A8" w:rsidRDefault="008A38A8" w:rsidP="008A38A8">
            <w:pPr>
              <w:spacing w:after="0" w:line="240" w:lineRule="auto"/>
              <w:jc w:val="right"/>
              <w:rPr>
                <w:rFonts w:ascii="Arial" w:hAnsi="Arial" w:cs="Arial"/>
                <w:sz w:val="16"/>
                <w:szCs w:val="16"/>
              </w:rPr>
            </w:pPr>
          </w:p>
        </w:tc>
      </w:tr>
      <w:tr w:rsidR="008A38A8" w:rsidRPr="008A38A8" w14:paraId="1F8A1F44" w14:textId="77777777" w:rsidTr="008A38A8">
        <w:trPr>
          <w:trHeight w:val="204"/>
        </w:trPr>
        <w:tc>
          <w:tcPr>
            <w:tcW w:w="3060" w:type="dxa"/>
            <w:tcBorders>
              <w:top w:val="nil"/>
              <w:left w:val="nil"/>
              <w:bottom w:val="nil"/>
              <w:right w:val="nil"/>
            </w:tcBorders>
            <w:shd w:val="clear" w:color="auto" w:fill="auto"/>
            <w:noWrap/>
            <w:vAlign w:val="center"/>
            <w:hideMark/>
          </w:tcPr>
          <w:p w14:paraId="317019D9" w14:textId="77777777" w:rsidR="008A38A8" w:rsidRPr="008A38A8" w:rsidRDefault="008A38A8" w:rsidP="008A38A8">
            <w:pPr>
              <w:spacing w:after="0" w:line="240" w:lineRule="auto"/>
              <w:ind w:left="113"/>
              <w:jc w:val="left"/>
              <w:rPr>
                <w:rFonts w:ascii="Arial" w:hAnsi="Arial" w:cs="Arial"/>
                <w:color w:val="000000"/>
                <w:sz w:val="16"/>
                <w:szCs w:val="16"/>
              </w:rPr>
            </w:pPr>
            <w:r w:rsidRPr="008A38A8">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bottom"/>
            <w:hideMark/>
          </w:tcPr>
          <w:p w14:paraId="349C7386" w14:textId="4C7A87CF"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3,848</w:t>
            </w:r>
          </w:p>
        </w:tc>
        <w:tc>
          <w:tcPr>
            <w:tcW w:w="928" w:type="dxa"/>
            <w:tcBorders>
              <w:top w:val="nil"/>
              <w:left w:val="nil"/>
              <w:bottom w:val="nil"/>
              <w:right w:val="nil"/>
            </w:tcBorders>
            <w:shd w:val="clear" w:color="000000" w:fill="E6E6E6"/>
            <w:noWrap/>
            <w:vAlign w:val="bottom"/>
            <w:hideMark/>
          </w:tcPr>
          <w:p w14:paraId="71089F6A" w14:textId="13B8DC1B"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4,799</w:t>
            </w:r>
          </w:p>
        </w:tc>
        <w:tc>
          <w:tcPr>
            <w:tcW w:w="928" w:type="dxa"/>
            <w:tcBorders>
              <w:top w:val="nil"/>
              <w:left w:val="nil"/>
              <w:bottom w:val="nil"/>
              <w:right w:val="nil"/>
            </w:tcBorders>
            <w:shd w:val="clear" w:color="auto" w:fill="auto"/>
            <w:noWrap/>
            <w:vAlign w:val="bottom"/>
            <w:hideMark/>
          </w:tcPr>
          <w:p w14:paraId="72D88723" w14:textId="35E0AB5C"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4,264</w:t>
            </w:r>
          </w:p>
        </w:tc>
        <w:tc>
          <w:tcPr>
            <w:tcW w:w="928" w:type="dxa"/>
            <w:tcBorders>
              <w:top w:val="nil"/>
              <w:left w:val="nil"/>
              <w:bottom w:val="nil"/>
              <w:right w:val="nil"/>
            </w:tcBorders>
            <w:shd w:val="clear" w:color="auto" w:fill="auto"/>
            <w:noWrap/>
            <w:vAlign w:val="bottom"/>
            <w:hideMark/>
          </w:tcPr>
          <w:p w14:paraId="77C53DA0" w14:textId="071AC111"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4,606</w:t>
            </w:r>
          </w:p>
        </w:tc>
        <w:tc>
          <w:tcPr>
            <w:tcW w:w="928" w:type="dxa"/>
            <w:tcBorders>
              <w:top w:val="nil"/>
              <w:left w:val="nil"/>
              <w:bottom w:val="nil"/>
              <w:right w:val="nil"/>
            </w:tcBorders>
            <w:shd w:val="clear" w:color="auto" w:fill="auto"/>
            <w:noWrap/>
            <w:vAlign w:val="bottom"/>
            <w:hideMark/>
          </w:tcPr>
          <w:p w14:paraId="64DA2353" w14:textId="286D5815"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586</w:t>
            </w:r>
          </w:p>
        </w:tc>
      </w:tr>
      <w:tr w:rsidR="008A38A8" w:rsidRPr="008A38A8" w14:paraId="284D892D" w14:textId="77777777" w:rsidTr="008A38A8">
        <w:trPr>
          <w:trHeight w:val="204"/>
        </w:trPr>
        <w:tc>
          <w:tcPr>
            <w:tcW w:w="3060" w:type="dxa"/>
            <w:tcBorders>
              <w:top w:val="nil"/>
              <w:left w:val="nil"/>
              <w:bottom w:val="nil"/>
              <w:right w:val="nil"/>
            </w:tcBorders>
            <w:shd w:val="clear" w:color="auto" w:fill="auto"/>
            <w:noWrap/>
            <w:vAlign w:val="center"/>
            <w:hideMark/>
          </w:tcPr>
          <w:p w14:paraId="10DE2DB3" w14:textId="77777777" w:rsidR="008A38A8" w:rsidRPr="008A38A8" w:rsidRDefault="008A38A8" w:rsidP="008A38A8">
            <w:pPr>
              <w:spacing w:after="0" w:line="240" w:lineRule="auto"/>
              <w:ind w:left="113"/>
              <w:jc w:val="left"/>
              <w:rPr>
                <w:rFonts w:ascii="Arial" w:hAnsi="Arial" w:cs="Arial"/>
                <w:color w:val="000000"/>
                <w:sz w:val="16"/>
                <w:szCs w:val="16"/>
              </w:rPr>
            </w:pPr>
            <w:r w:rsidRPr="008A38A8">
              <w:rPr>
                <w:rFonts w:ascii="Arial" w:hAnsi="Arial" w:cs="Arial"/>
                <w:color w:val="000000"/>
                <w:sz w:val="16"/>
                <w:szCs w:val="16"/>
              </w:rPr>
              <w:t>Grants</w:t>
            </w:r>
          </w:p>
        </w:tc>
        <w:tc>
          <w:tcPr>
            <w:tcW w:w="880" w:type="dxa"/>
            <w:tcBorders>
              <w:top w:val="nil"/>
              <w:left w:val="nil"/>
              <w:bottom w:val="nil"/>
              <w:right w:val="nil"/>
            </w:tcBorders>
            <w:shd w:val="clear" w:color="auto" w:fill="auto"/>
            <w:noWrap/>
            <w:vAlign w:val="bottom"/>
            <w:hideMark/>
          </w:tcPr>
          <w:p w14:paraId="368BF622" w14:textId="05D8EC3C"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9,940</w:t>
            </w:r>
          </w:p>
        </w:tc>
        <w:tc>
          <w:tcPr>
            <w:tcW w:w="928" w:type="dxa"/>
            <w:tcBorders>
              <w:top w:val="nil"/>
              <w:left w:val="nil"/>
              <w:bottom w:val="nil"/>
              <w:right w:val="nil"/>
            </w:tcBorders>
            <w:shd w:val="clear" w:color="000000" w:fill="E6E6E6"/>
            <w:noWrap/>
            <w:vAlign w:val="bottom"/>
            <w:hideMark/>
          </w:tcPr>
          <w:p w14:paraId="326E427B" w14:textId="6DEB5BA9"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4,623</w:t>
            </w:r>
          </w:p>
        </w:tc>
        <w:tc>
          <w:tcPr>
            <w:tcW w:w="928" w:type="dxa"/>
            <w:tcBorders>
              <w:top w:val="nil"/>
              <w:left w:val="nil"/>
              <w:bottom w:val="nil"/>
              <w:right w:val="nil"/>
            </w:tcBorders>
            <w:shd w:val="clear" w:color="auto" w:fill="auto"/>
            <w:noWrap/>
            <w:vAlign w:val="bottom"/>
            <w:hideMark/>
          </w:tcPr>
          <w:p w14:paraId="4AF93124" w14:textId="7928667D"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2,250</w:t>
            </w:r>
          </w:p>
        </w:tc>
        <w:tc>
          <w:tcPr>
            <w:tcW w:w="928" w:type="dxa"/>
            <w:tcBorders>
              <w:top w:val="nil"/>
              <w:left w:val="nil"/>
              <w:bottom w:val="nil"/>
              <w:right w:val="nil"/>
            </w:tcBorders>
            <w:shd w:val="clear" w:color="auto" w:fill="auto"/>
            <w:noWrap/>
            <w:vAlign w:val="bottom"/>
            <w:hideMark/>
          </w:tcPr>
          <w:p w14:paraId="54DEFE5B" w14:textId="1DF0D29B"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c>
          <w:tcPr>
            <w:tcW w:w="928" w:type="dxa"/>
            <w:tcBorders>
              <w:top w:val="nil"/>
              <w:left w:val="nil"/>
              <w:bottom w:val="nil"/>
              <w:right w:val="nil"/>
            </w:tcBorders>
            <w:shd w:val="clear" w:color="auto" w:fill="auto"/>
            <w:noWrap/>
            <w:vAlign w:val="bottom"/>
            <w:hideMark/>
          </w:tcPr>
          <w:p w14:paraId="09D0BF74" w14:textId="3ACC4E43"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r>
      <w:tr w:rsidR="008A38A8" w:rsidRPr="008A38A8" w14:paraId="7D586C92" w14:textId="77777777" w:rsidTr="008A38A8">
        <w:trPr>
          <w:trHeight w:val="204"/>
        </w:trPr>
        <w:tc>
          <w:tcPr>
            <w:tcW w:w="3060" w:type="dxa"/>
            <w:tcBorders>
              <w:top w:val="nil"/>
              <w:left w:val="nil"/>
              <w:bottom w:val="nil"/>
              <w:right w:val="nil"/>
            </w:tcBorders>
            <w:shd w:val="clear" w:color="auto" w:fill="auto"/>
            <w:noWrap/>
            <w:vAlign w:val="center"/>
            <w:hideMark/>
          </w:tcPr>
          <w:p w14:paraId="41945A7D" w14:textId="77777777" w:rsidR="008A38A8" w:rsidRPr="008A38A8" w:rsidRDefault="008A38A8" w:rsidP="008A38A8">
            <w:pPr>
              <w:spacing w:after="0" w:line="240" w:lineRule="auto"/>
              <w:ind w:left="113"/>
              <w:jc w:val="left"/>
              <w:rPr>
                <w:rFonts w:ascii="Arial" w:hAnsi="Arial" w:cs="Arial"/>
                <w:color w:val="000000"/>
                <w:sz w:val="16"/>
                <w:szCs w:val="16"/>
              </w:rPr>
            </w:pPr>
            <w:r w:rsidRPr="008A38A8">
              <w:rPr>
                <w:rFonts w:ascii="Arial" w:hAnsi="Arial" w:cs="Arial"/>
                <w:color w:val="000000"/>
                <w:sz w:val="16"/>
                <w:szCs w:val="16"/>
              </w:rPr>
              <w:t>Other expenses</w:t>
            </w:r>
          </w:p>
        </w:tc>
        <w:tc>
          <w:tcPr>
            <w:tcW w:w="880" w:type="dxa"/>
            <w:tcBorders>
              <w:top w:val="nil"/>
              <w:left w:val="nil"/>
              <w:bottom w:val="nil"/>
              <w:right w:val="nil"/>
            </w:tcBorders>
            <w:shd w:val="clear" w:color="auto" w:fill="auto"/>
            <w:noWrap/>
            <w:vAlign w:val="bottom"/>
            <w:hideMark/>
          </w:tcPr>
          <w:p w14:paraId="736050C3" w14:textId="4AE344E5"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c>
          <w:tcPr>
            <w:tcW w:w="928" w:type="dxa"/>
            <w:tcBorders>
              <w:top w:val="nil"/>
              <w:left w:val="nil"/>
              <w:bottom w:val="nil"/>
              <w:right w:val="nil"/>
            </w:tcBorders>
            <w:shd w:val="clear" w:color="000000" w:fill="E6E6E6"/>
            <w:noWrap/>
            <w:vAlign w:val="bottom"/>
            <w:hideMark/>
          </w:tcPr>
          <w:p w14:paraId="5107437F" w14:textId="0BD6D5E5"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50</w:t>
            </w:r>
          </w:p>
        </w:tc>
        <w:tc>
          <w:tcPr>
            <w:tcW w:w="928" w:type="dxa"/>
            <w:tcBorders>
              <w:top w:val="nil"/>
              <w:left w:val="nil"/>
              <w:bottom w:val="nil"/>
              <w:right w:val="nil"/>
            </w:tcBorders>
            <w:shd w:val="clear" w:color="auto" w:fill="auto"/>
            <w:noWrap/>
            <w:vAlign w:val="bottom"/>
            <w:hideMark/>
          </w:tcPr>
          <w:p w14:paraId="1EB54651" w14:textId="4BD8575B"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50</w:t>
            </w:r>
          </w:p>
        </w:tc>
        <w:tc>
          <w:tcPr>
            <w:tcW w:w="928" w:type="dxa"/>
            <w:tcBorders>
              <w:top w:val="nil"/>
              <w:left w:val="nil"/>
              <w:bottom w:val="nil"/>
              <w:right w:val="nil"/>
            </w:tcBorders>
            <w:shd w:val="clear" w:color="auto" w:fill="auto"/>
            <w:noWrap/>
            <w:vAlign w:val="bottom"/>
            <w:hideMark/>
          </w:tcPr>
          <w:p w14:paraId="2B574979" w14:textId="459C1B7F"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50</w:t>
            </w:r>
          </w:p>
        </w:tc>
        <w:tc>
          <w:tcPr>
            <w:tcW w:w="928" w:type="dxa"/>
            <w:tcBorders>
              <w:top w:val="nil"/>
              <w:left w:val="nil"/>
              <w:bottom w:val="nil"/>
              <w:right w:val="nil"/>
            </w:tcBorders>
            <w:shd w:val="clear" w:color="auto" w:fill="auto"/>
            <w:noWrap/>
            <w:vAlign w:val="bottom"/>
            <w:hideMark/>
          </w:tcPr>
          <w:p w14:paraId="4EAA7BB3" w14:textId="10D79E06"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50</w:t>
            </w:r>
          </w:p>
        </w:tc>
      </w:tr>
      <w:tr w:rsidR="008A38A8" w:rsidRPr="008A38A8" w14:paraId="0E9CDD1F" w14:textId="77777777" w:rsidTr="008A38A8">
        <w:trPr>
          <w:trHeight w:val="204"/>
        </w:trPr>
        <w:tc>
          <w:tcPr>
            <w:tcW w:w="3060" w:type="dxa"/>
            <w:tcBorders>
              <w:top w:val="nil"/>
              <w:left w:val="nil"/>
              <w:bottom w:val="nil"/>
              <w:right w:val="nil"/>
            </w:tcBorders>
            <w:shd w:val="clear" w:color="auto" w:fill="auto"/>
            <w:vAlign w:val="center"/>
            <w:hideMark/>
          </w:tcPr>
          <w:p w14:paraId="444A287B" w14:textId="0530400A" w:rsidR="008A38A8" w:rsidRPr="008A38A8" w:rsidRDefault="008A38A8" w:rsidP="0043551C">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T</w:t>
            </w:r>
            <w:r w:rsidR="000672C0">
              <w:rPr>
                <w:rFonts w:ascii="Arial" w:hAnsi="Arial" w:cs="Arial"/>
                <w:b/>
                <w:bCs/>
                <w:color w:val="000000"/>
                <w:sz w:val="16"/>
                <w:szCs w:val="16"/>
              </w:rPr>
              <w:t>otal expenses administered on</w:t>
            </w:r>
            <w:r w:rsidR="0043551C">
              <w:rPr>
                <w:rFonts w:ascii="Arial" w:hAnsi="Arial" w:cs="Arial"/>
                <w:b/>
                <w:bCs/>
                <w:color w:val="000000"/>
                <w:sz w:val="16"/>
                <w:szCs w:val="16"/>
              </w:rPr>
              <w:t xml:space="preserve"> </w:t>
            </w:r>
            <w:r w:rsidRPr="008A38A8">
              <w:rPr>
                <w:rFonts w:ascii="Arial" w:hAnsi="Arial" w:cs="Arial"/>
                <w:b/>
                <w:bCs/>
                <w:color w:val="000000"/>
                <w:sz w:val="16"/>
                <w:szCs w:val="16"/>
              </w:rPr>
              <w:t>behalf of Government</w:t>
            </w:r>
          </w:p>
        </w:tc>
        <w:tc>
          <w:tcPr>
            <w:tcW w:w="880" w:type="dxa"/>
            <w:tcBorders>
              <w:top w:val="single" w:sz="4" w:space="0" w:color="auto"/>
              <w:left w:val="nil"/>
              <w:bottom w:val="single" w:sz="4" w:space="0" w:color="auto"/>
              <w:right w:val="nil"/>
            </w:tcBorders>
            <w:shd w:val="clear" w:color="auto" w:fill="auto"/>
            <w:noWrap/>
            <w:vAlign w:val="bottom"/>
            <w:hideMark/>
          </w:tcPr>
          <w:p w14:paraId="6BFFD1DE" w14:textId="3AD5F936"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13,788</w:t>
            </w:r>
          </w:p>
        </w:tc>
        <w:tc>
          <w:tcPr>
            <w:tcW w:w="928" w:type="dxa"/>
            <w:tcBorders>
              <w:top w:val="single" w:sz="4" w:space="0" w:color="auto"/>
              <w:left w:val="nil"/>
              <w:bottom w:val="single" w:sz="4" w:space="0" w:color="auto"/>
              <w:right w:val="nil"/>
            </w:tcBorders>
            <w:shd w:val="clear" w:color="000000" w:fill="E6E6E6"/>
            <w:noWrap/>
            <w:vAlign w:val="bottom"/>
            <w:hideMark/>
          </w:tcPr>
          <w:p w14:paraId="50233406" w14:textId="3DC66CD3"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9,472</w:t>
            </w:r>
          </w:p>
        </w:tc>
        <w:tc>
          <w:tcPr>
            <w:tcW w:w="928" w:type="dxa"/>
            <w:tcBorders>
              <w:top w:val="single" w:sz="4" w:space="0" w:color="auto"/>
              <w:left w:val="nil"/>
              <w:bottom w:val="single" w:sz="4" w:space="0" w:color="auto"/>
              <w:right w:val="nil"/>
            </w:tcBorders>
            <w:shd w:val="clear" w:color="auto" w:fill="auto"/>
            <w:noWrap/>
            <w:vAlign w:val="bottom"/>
            <w:hideMark/>
          </w:tcPr>
          <w:p w14:paraId="718FA61D" w14:textId="0049BD30"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6,564</w:t>
            </w:r>
          </w:p>
        </w:tc>
        <w:tc>
          <w:tcPr>
            <w:tcW w:w="928" w:type="dxa"/>
            <w:tcBorders>
              <w:top w:val="single" w:sz="4" w:space="0" w:color="auto"/>
              <w:left w:val="nil"/>
              <w:bottom w:val="single" w:sz="4" w:space="0" w:color="auto"/>
              <w:right w:val="nil"/>
            </w:tcBorders>
            <w:shd w:val="clear" w:color="auto" w:fill="auto"/>
            <w:noWrap/>
            <w:vAlign w:val="bottom"/>
            <w:hideMark/>
          </w:tcPr>
          <w:p w14:paraId="2EE4A1DE" w14:textId="27EB8872"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4,656</w:t>
            </w:r>
          </w:p>
        </w:tc>
        <w:tc>
          <w:tcPr>
            <w:tcW w:w="928" w:type="dxa"/>
            <w:tcBorders>
              <w:top w:val="single" w:sz="4" w:space="0" w:color="auto"/>
              <w:left w:val="nil"/>
              <w:bottom w:val="single" w:sz="4" w:space="0" w:color="auto"/>
              <w:right w:val="nil"/>
            </w:tcBorders>
            <w:shd w:val="clear" w:color="auto" w:fill="auto"/>
            <w:noWrap/>
            <w:vAlign w:val="bottom"/>
            <w:hideMark/>
          </w:tcPr>
          <w:p w14:paraId="14229AE4" w14:textId="11DE4520"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636</w:t>
            </w:r>
          </w:p>
        </w:tc>
      </w:tr>
      <w:tr w:rsidR="008A38A8" w:rsidRPr="008A38A8" w14:paraId="398DD7A8" w14:textId="77777777" w:rsidTr="008A38A8">
        <w:trPr>
          <w:trHeight w:val="204"/>
        </w:trPr>
        <w:tc>
          <w:tcPr>
            <w:tcW w:w="3060" w:type="dxa"/>
            <w:tcBorders>
              <w:top w:val="nil"/>
              <w:left w:val="nil"/>
              <w:bottom w:val="nil"/>
              <w:right w:val="nil"/>
            </w:tcBorders>
            <w:shd w:val="clear" w:color="auto" w:fill="auto"/>
            <w:noWrap/>
            <w:vAlign w:val="center"/>
            <w:hideMark/>
          </w:tcPr>
          <w:p w14:paraId="32DB9BE5" w14:textId="77777777" w:rsidR="008A38A8" w:rsidRPr="008A38A8" w:rsidRDefault="008A38A8" w:rsidP="008A38A8">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LESS:</w:t>
            </w:r>
          </w:p>
        </w:tc>
        <w:tc>
          <w:tcPr>
            <w:tcW w:w="880" w:type="dxa"/>
            <w:tcBorders>
              <w:top w:val="nil"/>
              <w:left w:val="nil"/>
              <w:bottom w:val="nil"/>
              <w:right w:val="nil"/>
            </w:tcBorders>
            <w:shd w:val="clear" w:color="auto" w:fill="auto"/>
            <w:noWrap/>
            <w:vAlign w:val="bottom"/>
            <w:hideMark/>
          </w:tcPr>
          <w:p w14:paraId="2DF86B6C" w14:textId="77777777" w:rsidR="008A38A8" w:rsidRPr="008A38A8" w:rsidRDefault="008A38A8" w:rsidP="008A38A8">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2E3DCFCC" w14:textId="170E97F9"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14599C7B" w14:textId="77777777"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4CD4C637" w14:textId="77777777" w:rsidR="008A38A8" w:rsidRPr="008A38A8" w:rsidRDefault="008A38A8" w:rsidP="008A38A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19C51A47" w14:textId="77777777" w:rsidR="008A38A8" w:rsidRPr="008A38A8" w:rsidRDefault="008A38A8" w:rsidP="008A38A8">
            <w:pPr>
              <w:spacing w:after="0" w:line="240" w:lineRule="auto"/>
              <w:jc w:val="right"/>
              <w:rPr>
                <w:rFonts w:ascii="Arial" w:hAnsi="Arial" w:cs="Arial"/>
                <w:sz w:val="16"/>
                <w:szCs w:val="16"/>
              </w:rPr>
            </w:pPr>
          </w:p>
        </w:tc>
      </w:tr>
      <w:tr w:rsidR="008A38A8" w:rsidRPr="008A38A8" w14:paraId="4EEFAC4D" w14:textId="77777777" w:rsidTr="008A38A8">
        <w:trPr>
          <w:trHeight w:val="204"/>
        </w:trPr>
        <w:tc>
          <w:tcPr>
            <w:tcW w:w="3060" w:type="dxa"/>
            <w:tcBorders>
              <w:top w:val="nil"/>
              <w:left w:val="nil"/>
              <w:bottom w:val="nil"/>
              <w:right w:val="nil"/>
            </w:tcBorders>
            <w:shd w:val="clear" w:color="auto" w:fill="auto"/>
            <w:noWrap/>
            <w:vAlign w:val="center"/>
            <w:hideMark/>
          </w:tcPr>
          <w:p w14:paraId="119714E9" w14:textId="77777777" w:rsidR="008A38A8" w:rsidRPr="008A38A8" w:rsidRDefault="008A38A8" w:rsidP="008A38A8">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OWN-SOURCE INCOME</w:t>
            </w:r>
          </w:p>
        </w:tc>
        <w:tc>
          <w:tcPr>
            <w:tcW w:w="880" w:type="dxa"/>
            <w:tcBorders>
              <w:top w:val="nil"/>
              <w:left w:val="nil"/>
              <w:bottom w:val="nil"/>
              <w:right w:val="nil"/>
            </w:tcBorders>
            <w:shd w:val="clear" w:color="auto" w:fill="auto"/>
            <w:noWrap/>
            <w:vAlign w:val="bottom"/>
            <w:hideMark/>
          </w:tcPr>
          <w:p w14:paraId="6C09F00E" w14:textId="77777777" w:rsidR="008A38A8" w:rsidRPr="008A38A8" w:rsidRDefault="008A38A8" w:rsidP="008A38A8">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544B38E1" w14:textId="25E8D98A"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64D1E9E0" w14:textId="77777777"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640623EB" w14:textId="77777777" w:rsidR="008A38A8" w:rsidRPr="008A38A8" w:rsidRDefault="008A38A8" w:rsidP="008A38A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A9CDDA3" w14:textId="77777777" w:rsidR="008A38A8" w:rsidRPr="008A38A8" w:rsidRDefault="008A38A8" w:rsidP="008A38A8">
            <w:pPr>
              <w:spacing w:after="0" w:line="240" w:lineRule="auto"/>
              <w:jc w:val="right"/>
              <w:rPr>
                <w:rFonts w:ascii="Arial" w:hAnsi="Arial" w:cs="Arial"/>
                <w:sz w:val="16"/>
                <w:szCs w:val="16"/>
              </w:rPr>
            </w:pPr>
          </w:p>
        </w:tc>
      </w:tr>
      <w:tr w:rsidR="008A38A8" w:rsidRPr="008A38A8" w14:paraId="1020F8B8" w14:textId="77777777" w:rsidTr="008A38A8">
        <w:trPr>
          <w:trHeight w:val="204"/>
        </w:trPr>
        <w:tc>
          <w:tcPr>
            <w:tcW w:w="3060" w:type="dxa"/>
            <w:tcBorders>
              <w:top w:val="nil"/>
              <w:left w:val="nil"/>
              <w:bottom w:val="nil"/>
              <w:right w:val="nil"/>
            </w:tcBorders>
            <w:shd w:val="clear" w:color="auto" w:fill="auto"/>
            <w:noWrap/>
            <w:vAlign w:val="center"/>
            <w:hideMark/>
          </w:tcPr>
          <w:p w14:paraId="5BB1EA00" w14:textId="77777777" w:rsidR="008A38A8" w:rsidRPr="008A38A8" w:rsidRDefault="008A38A8" w:rsidP="008A38A8">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Own-source revenue</w:t>
            </w:r>
          </w:p>
        </w:tc>
        <w:tc>
          <w:tcPr>
            <w:tcW w:w="880" w:type="dxa"/>
            <w:tcBorders>
              <w:top w:val="nil"/>
              <w:left w:val="nil"/>
              <w:bottom w:val="nil"/>
              <w:right w:val="nil"/>
            </w:tcBorders>
            <w:shd w:val="clear" w:color="auto" w:fill="auto"/>
            <w:noWrap/>
            <w:vAlign w:val="bottom"/>
            <w:hideMark/>
          </w:tcPr>
          <w:p w14:paraId="536AEEA5" w14:textId="77777777" w:rsidR="008A38A8" w:rsidRPr="008A38A8" w:rsidRDefault="008A38A8" w:rsidP="008A38A8">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48521851" w14:textId="70EE51CE"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107BB63E" w14:textId="77777777"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750B21B1" w14:textId="77777777" w:rsidR="008A38A8" w:rsidRPr="008A38A8" w:rsidRDefault="008A38A8" w:rsidP="008A38A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471873D8" w14:textId="77777777" w:rsidR="008A38A8" w:rsidRPr="008A38A8" w:rsidRDefault="008A38A8" w:rsidP="008A38A8">
            <w:pPr>
              <w:spacing w:after="0" w:line="240" w:lineRule="auto"/>
              <w:jc w:val="right"/>
              <w:rPr>
                <w:rFonts w:ascii="Arial" w:hAnsi="Arial" w:cs="Arial"/>
                <w:sz w:val="16"/>
                <w:szCs w:val="16"/>
              </w:rPr>
            </w:pPr>
          </w:p>
        </w:tc>
      </w:tr>
      <w:tr w:rsidR="008A38A8" w:rsidRPr="008A38A8" w14:paraId="4AD1788B" w14:textId="77777777" w:rsidTr="008A38A8">
        <w:trPr>
          <w:trHeight w:val="204"/>
        </w:trPr>
        <w:tc>
          <w:tcPr>
            <w:tcW w:w="3060" w:type="dxa"/>
            <w:tcBorders>
              <w:top w:val="nil"/>
              <w:left w:val="nil"/>
              <w:bottom w:val="nil"/>
              <w:right w:val="nil"/>
            </w:tcBorders>
            <w:shd w:val="clear" w:color="auto" w:fill="auto"/>
            <w:noWrap/>
            <w:vAlign w:val="center"/>
            <w:hideMark/>
          </w:tcPr>
          <w:p w14:paraId="5BF256C0" w14:textId="77777777" w:rsidR="008A38A8" w:rsidRPr="008A38A8" w:rsidRDefault="008A38A8" w:rsidP="008A38A8">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Taxation revenue</w:t>
            </w:r>
          </w:p>
        </w:tc>
        <w:tc>
          <w:tcPr>
            <w:tcW w:w="880" w:type="dxa"/>
            <w:tcBorders>
              <w:top w:val="nil"/>
              <w:left w:val="nil"/>
              <w:bottom w:val="nil"/>
              <w:right w:val="nil"/>
            </w:tcBorders>
            <w:shd w:val="clear" w:color="auto" w:fill="auto"/>
            <w:noWrap/>
            <w:vAlign w:val="bottom"/>
            <w:hideMark/>
          </w:tcPr>
          <w:p w14:paraId="7AF6EE85" w14:textId="77777777" w:rsidR="008A38A8" w:rsidRPr="008A38A8" w:rsidRDefault="008A38A8" w:rsidP="008A38A8">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6E295E4C" w14:textId="01C54167"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44137EB9" w14:textId="77777777"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3AF15573" w14:textId="77777777" w:rsidR="008A38A8" w:rsidRPr="008A38A8" w:rsidRDefault="008A38A8" w:rsidP="008A38A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767F93D" w14:textId="77777777" w:rsidR="008A38A8" w:rsidRPr="008A38A8" w:rsidRDefault="008A38A8" w:rsidP="008A38A8">
            <w:pPr>
              <w:spacing w:after="0" w:line="240" w:lineRule="auto"/>
              <w:jc w:val="right"/>
              <w:rPr>
                <w:rFonts w:ascii="Arial" w:hAnsi="Arial" w:cs="Arial"/>
                <w:sz w:val="16"/>
                <w:szCs w:val="16"/>
              </w:rPr>
            </w:pPr>
          </w:p>
        </w:tc>
      </w:tr>
      <w:tr w:rsidR="008A38A8" w:rsidRPr="008A38A8" w14:paraId="522398B7" w14:textId="77777777" w:rsidTr="008A38A8">
        <w:trPr>
          <w:trHeight w:val="204"/>
        </w:trPr>
        <w:tc>
          <w:tcPr>
            <w:tcW w:w="3060" w:type="dxa"/>
            <w:tcBorders>
              <w:top w:val="nil"/>
              <w:left w:val="nil"/>
              <w:bottom w:val="nil"/>
              <w:right w:val="nil"/>
            </w:tcBorders>
            <w:shd w:val="clear" w:color="auto" w:fill="auto"/>
            <w:noWrap/>
            <w:vAlign w:val="center"/>
            <w:hideMark/>
          </w:tcPr>
          <w:p w14:paraId="610A4F1A" w14:textId="77777777" w:rsidR="008A38A8" w:rsidRPr="008A38A8" w:rsidRDefault="008A38A8" w:rsidP="008A38A8">
            <w:pPr>
              <w:spacing w:after="0" w:line="240" w:lineRule="auto"/>
              <w:ind w:left="113"/>
              <w:jc w:val="left"/>
              <w:rPr>
                <w:rFonts w:ascii="Arial" w:hAnsi="Arial" w:cs="Arial"/>
                <w:color w:val="000000"/>
                <w:sz w:val="16"/>
                <w:szCs w:val="16"/>
              </w:rPr>
            </w:pPr>
            <w:r w:rsidRPr="008A38A8">
              <w:rPr>
                <w:rFonts w:ascii="Arial" w:hAnsi="Arial" w:cs="Arial"/>
                <w:color w:val="000000"/>
                <w:sz w:val="16"/>
                <w:szCs w:val="16"/>
              </w:rPr>
              <w:t xml:space="preserve">Other taxes </w:t>
            </w:r>
            <w:r w:rsidRPr="008A38A8">
              <w:rPr>
                <w:rFonts w:ascii="Arial" w:hAnsi="Arial" w:cs="Arial"/>
                <w:color w:val="000000"/>
                <w:sz w:val="16"/>
                <w:szCs w:val="16"/>
                <w:vertAlign w:val="superscript"/>
              </w:rPr>
              <w:t>(a)</w:t>
            </w:r>
          </w:p>
        </w:tc>
        <w:tc>
          <w:tcPr>
            <w:tcW w:w="880" w:type="dxa"/>
            <w:tcBorders>
              <w:top w:val="nil"/>
              <w:left w:val="nil"/>
              <w:bottom w:val="nil"/>
              <w:right w:val="nil"/>
            </w:tcBorders>
            <w:shd w:val="clear" w:color="auto" w:fill="auto"/>
            <w:noWrap/>
            <w:vAlign w:val="bottom"/>
            <w:hideMark/>
          </w:tcPr>
          <w:p w14:paraId="638973C8" w14:textId="076ABFBF"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919,310</w:t>
            </w:r>
          </w:p>
        </w:tc>
        <w:tc>
          <w:tcPr>
            <w:tcW w:w="928" w:type="dxa"/>
            <w:tcBorders>
              <w:top w:val="nil"/>
              <w:left w:val="nil"/>
              <w:bottom w:val="nil"/>
              <w:right w:val="nil"/>
            </w:tcBorders>
            <w:shd w:val="clear" w:color="000000" w:fill="E6E6E6"/>
            <w:noWrap/>
            <w:vAlign w:val="bottom"/>
            <w:hideMark/>
          </w:tcPr>
          <w:p w14:paraId="2B2BA99B" w14:textId="254AC620"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1,246,723</w:t>
            </w:r>
          </w:p>
        </w:tc>
        <w:tc>
          <w:tcPr>
            <w:tcW w:w="928" w:type="dxa"/>
            <w:tcBorders>
              <w:top w:val="nil"/>
              <w:left w:val="nil"/>
              <w:bottom w:val="nil"/>
              <w:right w:val="nil"/>
            </w:tcBorders>
            <w:shd w:val="clear" w:color="auto" w:fill="auto"/>
            <w:noWrap/>
            <w:vAlign w:val="bottom"/>
            <w:hideMark/>
          </w:tcPr>
          <w:p w14:paraId="45167301" w14:textId="409F8BE3"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1,300,294</w:t>
            </w:r>
          </w:p>
        </w:tc>
        <w:tc>
          <w:tcPr>
            <w:tcW w:w="928" w:type="dxa"/>
            <w:tcBorders>
              <w:top w:val="nil"/>
              <w:left w:val="nil"/>
              <w:bottom w:val="nil"/>
              <w:right w:val="nil"/>
            </w:tcBorders>
            <w:shd w:val="clear" w:color="auto" w:fill="auto"/>
            <w:noWrap/>
            <w:vAlign w:val="bottom"/>
            <w:hideMark/>
          </w:tcPr>
          <w:p w14:paraId="0946C316" w14:textId="43C65EFD"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1,299,949</w:t>
            </w:r>
          </w:p>
        </w:tc>
        <w:tc>
          <w:tcPr>
            <w:tcW w:w="928" w:type="dxa"/>
            <w:tcBorders>
              <w:top w:val="nil"/>
              <w:left w:val="nil"/>
              <w:bottom w:val="nil"/>
              <w:right w:val="nil"/>
            </w:tcBorders>
            <w:shd w:val="clear" w:color="auto" w:fill="auto"/>
            <w:noWrap/>
            <w:vAlign w:val="bottom"/>
            <w:hideMark/>
          </w:tcPr>
          <w:p w14:paraId="7AB6CEAC" w14:textId="2C36F810"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1,289,740</w:t>
            </w:r>
          </w:p>
        </w:tc>
      </w:tr>
      <w:tr w:rsidR="008A38A8" w:rsidRPr="008A38A8" w14:paraId="08210B3B" w14:textId="77777777" w:rsidTr="008A38A8">
        <w:trPr>
          <w:trHeight w:val="204"/>
        </w:trPr>
        <w:tc>
          <w:tcPr>
            <w:tcW w:w="3060" w:type="dxa"/>
            <w:tcBorders>
              <w:top w:val="nil"/>
              <w:left w:val="nil"/>
              <w:bottom w:val="nil"/>
              <w:right w:val="nil"/>
            </w:tcBorders>
            <w:shd w:val="clear" w:color="auto" w:fill="auto"/>
            <w:noWrap/>
            <w:vAlign w:val="center"/>
            <w:hideMark/>
          </w:tcPr>
          <w:p w14:paraId="3AA6849D" w14:textId="77777777" w:rsidR="008A38A8" w:rsidRPr="008A38A8" w:rsidRDefault="008A38A8" w:rsidP="008A38A8">
            <w:pPr>
              <w:spacing w:after="0" w:line="240" w:lineRule="auto"/>
              <w:jc w:val="left"/>
              <w:rPr>
                <w:rFonts w:ascii="Arial" w:hAnsi="Arial" w:cs="Arial"/>
                <w:b/>
                <w:bCs/>
                <w:i/>
                <w:iCs/>
                <w:color w:val="000000"/>
                <w:sz w:val="16"/>
                <w:szCs w:val="16"/>
              </w:rPr>
            </w:pPr>
            <w:r w:rsidRPr="008A38A8">
              <w:rPr>
                <w:rFonts w:ascii="Arial" w:hAnsi="Arial" w:cs="Arial"/>
                <w:b/>
                <w:bCs/>
                <w:i/>
                <w:iCs/>
                <w:color w:val="000000"/>
                <w:sz w:val="16"/>
                <w:szCs w:val="16"/>
              </w:rPr>
              <w:t>Total taxation revenue</w:t>
            </w:r>
          </w:p>
        </w:tc>
        <w:tc>
          <w:tcPr>
            <w:tcW w:w="880" w:type="dxa"/>
            <w:tcBorders>
              <w:top w:val="single" w:sz="4" w:space="0" w:color="auto"/>
              <w:left w:val="nil"/>
              <w:bottom w:val="single" w:sz="4" w:space="0" w:color="auto"/>
              <w:right w:val="nil"/>
            </w:tcBorders>
            <w:shd w:val="clear" w:color="auto" w:fill="auto"/>
            <w:noWrap/>
            <w:vAlign w:val="bottom"/>
            <w:hideMark/>
          </w:tcPr>
          <w:p w14:paraId="213A569A" w14:textId="53D743B8" w:rsidR="008A38A8" w:rsidRPr="008A38A8" w:rsidRDefault="008A38A8" w:rsidP="008A38A8">
            <w:pPr>
              <w:spacing w:after="0" w:line="240" w:lineRule="auto"/>
              <w:jc w:val="right"/>
              <w:rPr>
                <w:rFonts w:ascii="Arial" w:hAnsi="Arial" w:cs="Arial"/>
                <w:b/>
                <w:bCs/>
                <w:i/>
                <w:iCs/>
                <w:color w:val="000000"/>
                <w:sz w:val="16"/>
                <w:szCs w:val="16"/>
              </w:rPr>
            </w:pPr>
            <w:r w:rsidRPr="008A38A8">
              <w:rPr>
                <w:rFonts w:ascii="Arial" w:hAnsi="Arial" w:cs="Arial"/>
                <w:b/>
                <w:bCs/>
                <w:i/>
                <w:iCs/>
                <w:color w:val="000000"/>
                <w:sz w:val="16"/>
                <w:szCs w:val="16"/>
              </w:rPr>
              <w:t>919,310</w:t>
            </w:r>
          </w:p>
        </w:tc>
        <w:tc>
          <w:tcPr>
            <w:tcW w:w="928" w:type="dxa"/>
            <w:tcBorders>
              <w:top w:val="single" w:sz="4" w:space="0" w:color="auto"/>
              <w:left w:val="nil"/>
              <w:bottom w:val="single" w:sz="4" w:space="0" w:color="auto"/>
              <w:right w:val="nil"/>
            </w:tcBorders>
            <w:shd w:val="clear" w:color="000000" w:fill="E6E6E6"/>
            <w:noWrap/>
            <w:vAlign w:val="bottom"/>
            <w:hideMark/>
          </w:tcPr>
          <w:p w14:paraId="56190412" w14:textId="044DD5BF" w:rsidR="008A38A8" w:rsidRPr="008A38A8" w:rsidRDefault="008A38A8" w:rsidP="008A38A8">
            <w:pPr>
              <w:spacing w:after="0" w:line="240" w:lineRule="auto"/>
              <w:jc w:val="right"/>
              <w:rPr>
                <w:rFonts w:ascii="Arial" w:hAnsi="Arial" w:cs="Arial"/>
                <w:b/>
                <w:bCs/>
                <w:i/>
                <w:iCs/>
                <w:color w:val="000000"/>
                <w:sz w:val="16"/>
                <w:szCs w:val="16"/>
              </w:rPr>
            </w:pPr>
            <w:r w:rsidRPr="008A38A8">
              <w:rPr>
                <w:rFonts w:ascii="Arial" w:hAnsi="Arial" w:cs="Arial"/>
                <w:b/>
                <w:bCs/>
                <w:i/>
                <w:iCs/>
                <w:color w:val="000000"/>
                <w:sz w:val="16"/>
                <w:szCs w:val="16"/>
              </w:rPr>
              <w:t>1,246,723</w:t>
            </w:r>
          </w:p>
        </w:tc>
        <w:tc>
          <w:tcPr>
            <w:tcW w:w="928" w:type="dxa"/>
            <w:tcBorders>
              <w:top w:val="single" w:sz="4" w:space="0" w:color="auto"/>
              <w:left w:val="nil"/>
              <w:bottom w:val="single" w:sz="4" w:space="0" w:color="auto"/>
              <w:right w:val="nil"/>
            </w:tcBorders>
            <w:shd w:val="clear" w:color="auto" w:fill="auto"/>
            <w:noWrap/>
            <w:vAlign w:val="bottom"/>
            <w:hideMark/>
          </w:tcPr>
          <w:p w14:paraId="18BE143D" w14:textId="390DA314" w:rsidR="008A38A8" w:rsidRPr="008A38A8" w:rsidRDefault="008A38A8" w:rsidP="008A38A8">
            <w:pPr>
              <w:spacing w:after="0" w:line="240" w:lineRule="auto"/>
              <w:jc w:val="right"/>
              <w:rPr>
                <w:rFonts w:ascii="Arial" w:hAnsi="Arial" w:cs="Arial"/>
                <w:b/>
                <w:bCs/>
                <w:i/>
                <w:iCs/>
                <w:color w:val="000000"/>
                <w:sz w:val="16"/>
                <w:szCs w:val="16"/>
              </w:rPr>
            </w:pPr>
            <w:r w:rsidRPr="008A38A8">
              <w:rPr>
                <w:rFonts w:ascii="Arial" w:hAnsi="Arial" w:cs="Arial"/>
                <w:b/>
                <w:bCs/>
                <w:i/>
                <w:iCs/>
                <w:color w:val="000000"/>
                <w:sz w:val="16"/>
                <w:szCs w:val="16"/>
              </w:rPr>
              <w:t>1,300,294</w:t>
            </w:r>
          </w:p>
        </w:tc>
        <w:tc>
          <w:tcPr>
            <w:tcW w:w="928" w:type="dxa"/>
            <w:tcBorders>
              <w:top w:val="single" w:sz="4" w:space="0" w:color="auto"/>
              <w:left w:val="nil"/>
              <w:bottom w:val="single" w:sz="4" w:space="0" w:color="auto"/>
              <w:right w:val="nil"/>
            </w:tcBorders>
            <w:shd w:val="clear" w:color="auto" w:fill="auto"/>
            <w:noWrap/>
            <w:vAlign w:val="bottom"/>
            <w:hideMark/>
          </w:tcPr>
          <w:p w14:paraId="4F1B18A3" w14:textId="5B3613ED" w:rsidR="008A38A8" w:rsidRPr="008A38A8" w:rsidRDefault="008A38A8" w:rsidP="008A38A8">
            <w:pPr>
              <w:spacing w:after="0" w:line="240" w:lineRule="auto"/>
              <w:jc w:val="right"/>
              <w:rPr>
                <w:rFonts w:ascii="Arial" w:hAnsi="Arial" w:cs="Arial"/>
                <w:b/>
                <w:bCs/>
                <w:i/>
                <w:iCs/>
                <w:color w:val="000000"/>
                <w:sz w:val="16"/>
                <w:szCs w:val="16"/>
              </w:rPr>
            </w:pPr>
            <w:r w:rsidRPr="008A38A8">
              <w:rPr>
                <w:rFonts w:ascii="Arial" w:hAnsi="Arial" w:cs="Arial"/>
                <w:b/>
                <w:bCs/>
                <w:i/>
                <w:iCs/>
                <w:color w:val="000000"/>
                <w:sz w:val="16"/>
                <w:szCs w:val="16"/>
              </w:rPr>
              <w:t>1,299,949</w:t>
            </w:r>
          </w:p>
        </w:tc>
        <w:tc>
          <w:tcPr>
            <w:tcW w:w="928" w:type="dxa"/>
            <w:tcBorders>
              <w:top w:val="single" w:sz="4" w:space="0" w:color="auto"/>
              <w:left w:val="nil"/>
              <w:bottom w:val="single" w:sz="4" w:space="0" w:color="auto"/>
              <w:right w:val="nil"/>
            </w:tcBorders>
            <w:shd w:val="clear" w:color="auto" w:fill="auto"/>
            <w:noWrap/>
            <w:vAlign w:val="bottom"/>
            <w:hideMark/>
          </w:tcPr>
          <w:p w14:paraId="5D8D130F" w14:textId="44A746E3" w:rsidR="008A38A8" w:rsidRPr="008A38A8" w:rsidRDefault="008A38A8" w:rsidP="008A38A8">
            <w:pPr>
              <w:spacing w:after="0" w:line="240" w:lineRule="auto"/>
              <w:jc w:val="right"/>
              <w:rPr>
                <w:rFonts w:ascii="Arial" w:hAnsi="Arial" w:cs="Arial"/>
                <w:b/>
                <w:bCs/>
                <w:i/>
                <w:iCs/>
                <w:color w:val="000000"/>
                <w:sz w:val="16"/>
                <w:szCs w:val="16"/>
              </w:rPr>
            </w:pPr>
            <w:r w:rsidRPr="008A38A8">
              <w:rPr>
                <w:rFonts w:ascii="Arial" w:hAnsi="Arial" w:cs="Arial"/>
                <w:b/>
                <w:bCs/>
                <w:i/>
                <w:iCs/>
                <w:color w:val="000000"/>
                <w:sz w:val="16"/>
                <w:szCs w:val="16"/>
              </w:rPr>
              <w:t>1,289,740</w:t>
            </w:r>
          </w:p>
        </w:tc>
      </w:tr>
      <w:tr w:rsidR="008A38A8" w:rsidRPr="008A38A8" w14:paraId="08505F7E" w14:textId="77777777" w:rsidTr="008A38A8">
        <w:trPr>
          <w:trHeight w:val="204"/>
        </w:trPr>
        <w:tc>
          <w:tcPr>
            <w:tcW w:w="3060" w:type="dxa"/>
            <w:tcBorders>
              <w:top w:val="nil"/>
              <w:left w:val="nil"/>
              <w:bottom w:val="nil"/>
              <w:right w:val="nil"/>
            </w:tcBorders>
            <w:shd w:val="clear" w:color="auto" w:fill="auto"/>
            <w:noWrap/>
            <w:vAlign w:val="center"/>
            <w:hideMark/>
          </w:tcPr>
          <w:p w14:paraId="76B895AC" w14:textId="77777777" w:rsidR="008A38A8" w:rsidRPr="008A38A8" w:rsidRDefault="008A38A8" w:rsidP="008A38A8">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Non-taxation revenue</w:t>
            </w:r>
          </w:p>
        </w:tc>
        <w:tc>
          <w:tcPr>
            <w:tcW w:w="880" w:type="dxa"/>
            <w:tcBorders>
              <w:top w:val="nil"/>
              <w:left w:val="nil"/>
              <w:bottom w:val="nil"/>
              <w:right w:val="nil"/>
            </w:tcBorders>
            <w:shd w:val="clear" w:color="auto" w:fill="auto"/>
            <w:noWrap/>
            <w:vAlign w:val="bottom"/>
            <w:hideMark/>
          </w:tcPr>
          <w:p w14:paraId="2252CD04" w14:textId="77777777" w:rsidR="008A38A8" w:rsidRPr="008A38A8" w:rsidRDefault="008A38A8" w:rsidP="008A38A8">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5D8FCAB9" w14:textId="6057397F"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706104DA" w14:textId="77777777"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550423BE" w14:textId="77777777" w:rsidR="008A38A8" w:rsidRPr="008A38A8" w:rsidRDefault="008A38A8" w:rsidP="008A38A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1ADC164E" w14:textId="77777777" w:rsidR="008A38A8" w:rsidRPr="008A38A8" w:rsidRDefault="008A38A8" w:rsidP="008A38A8">
            <w:pPr>
              <w:spacing w:after="0" w:line="240" w:lineRule="auto"/>
              <w:jc w:val="right"/>
              <w:rPr>
                <w:rFonts w:ascii="Arial" w:hAnsi="Arial" w:cs="Arial"/>
                <w:sz w:val="16"/>
                <w:szCs w:val="16"/>
              </w:rPr>
            </w:pPr>
          </w:p>
        </w:tc>
      </w:tr>
      <w:tr w:rsidR="008A38A8" w:rsidRPr="008A38A8" w14:paraId="77D172D9" w14:textId="77777777" w:rsidTr="008A38A8">
        <w:trPr>
          <w:trHeight w:val="204"/>
        </w:trPr>
        <w:tc>
          <w:tcPr>
            <w:tcW w:w="3060" w:type="dxa"/>
            <w:tcBorders>
              <w:top w:val="nil"/>
              <w:left w:val="nil"/>
              <w:bottom w:val="nil"/>
              <w:right w:val="nil"/>
            </w:tcBorders>
            <w:shd w:val="clear" w:color="auto" w:fill="auto"/>
            <w:vAlign w:val="center"/>
            <w:hideMark/>
          </w:tcPr>
          <w:p w14:paraId="0E6C1E3F" w14:textId="5564624F" w:rsidR="008A38A8" w:rsidRPr="008A38A8" w:rsidRDefault="008A38A8" w:rsidP="003B7DE0">
            <w:pPr>
              <w:spacing w:after="0" w:line="240" w:lineRule="auto"/>
              <w:ind w:left="113"/>
              <w:jc w:val="left"/>
              <w:rPr>
                <w:rFonts w:ascii="Arial" w:hAnsi="Arial" w:cs="Arial"/>
                <w:color w:val="000000"/>
                <w:sz w:val="16"/>
                <w:szCs w:val="16"/>
              </w:rPr>
            </w:pPr>
            <w:r w:rsidRPr="008A38A8">
              <w:rPr>
                <w:rFonts w:ascii="Arial" w:hAnsi="Arial" w:cs="Arial"/>
                <w:color w:val="000000"/>
                <w:sz w:val="16"/>
                <w:szCs w:val="16"/>
              </w:rPr>
              <w:t>Sale of goods and rendering of services</w:t>
            </w:r>
          </w:p>
        </w:tc>
        <w:tc>
          <w:tcPr>
            <w:tcW w:w="880" w:type="dxa"/>
            <w:tcBorders>
              <w:top w:val="nil"/>
              <w:left w:val="nil"/>
              <w:bottom w:val="nil"/>
              <w:right w:val="nil"/>
            </w:tcBorders>
            <w:shd w:val="clear" w:color="auto" w:fill="auto"/>
            <w:noWrap/>
            <w:vAlign w:val="bottom"/>
            <w:hideMark/>
          </w:tcPr>
          <w:p w14:paraId="64D11693" w14:textId="0D459E79"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c>
          <w:tcPr>
            <w:tcW w:w="928" w:type="dxa"/>
            <w:tcBorders>
              <w:top w:val="nil"/>
              <w:left w:val="nil"/>
              <w:bottom w:val="nil"/>
              <w:right w:val="nil"/>
            </w:tcBorders>
            <w:shd w:val="clear" w:color="000000" w:fill="E6E6E6"/>
            <w:noWrap/>
            <w:vAlign w:val="bottom"/>
            <w:hideMark/>
          </w:tcPr>
          <w:p w14:paraId="445BEE60" w14:textId="42DD398F"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5,033</w:t>
            </w:r>
          </w:p>
        </w:tc>
        <w:tc>
          <w:tcPr>
            <w:tcW w:w="928" w:type="dxa"/>
            <w:tcBorders>
              <w:top w:val="nil"/>
              <w:left w:val="nil"/>
              <w:bottom w:val="nil"/>
              <w:right w:val="nil"/>
            </w:tcBorders>
            <w:shd w:val="clear" w:color="auto" w:fill="auto"/>
            <w:noWrap/>
            <w:vAlign w:val="bottom"/>
            <w:hideMark/>
          </w:tcPr>
          <w:p w14:paraId="15D4C513" w14:textId="3BF6063B"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5,033</w:t>
            </w:r>
          </w:p>
        </w:tc>
        <w:tc>
          <w:tcPr>
            <w:tcW w:w="928" w:type="dxa"/>
            <w:tcBorders>
              <w:top w:val="nil"/>
              <w:left w:val="nil"/>
              <w:bottom w:val="nil"/>
              <w:right w:val="nil"/>
            </w:tcBorders>
            <w:shd w:val="clear" w:color="auto" w:fill="auto"/>
            <w:noWrap/>
            <w:vAlign w:val="bottom"/>
            <w:hideMark/>
          </w:tcPr>
          <w:p w14:paraId="1E992878" w14:textId="6859D2C2"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5,033</w:t>
            </w:r>
          </w:p>
        </w:tc>
        <w:tc>
          <w:tcPr>
            <w:tcW w:w="928" w:type="dxa"/>
            <w:tcBorders>
              <w:top w:val="nil"/>
              <w:left w:val="nil"/>
              <w:bottom w:val="nil"/>
              <w:right w:val="nil"/>
            </w:tcBorders>
            <w:shd w:val="clear" w:color="auto" w:fill="auto"/>
            <w:noWrap/>
            <w:vAlign w:val="bottom"/>
            <w:hideMark/>
          </w:tcPr>
          <w:p w14:paraId="74B250C4" w14:textId="58F747B3"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5,033</w:t>
            </w:r>
          </w:p>
        </w:tc>
      </w:tr>
      <w:tr w:rsidR="008A38A8" w:rsidRPr="008A38A8" w14:paraId="6BCB7E75" w14:textId="77777777" w:rsidTr="008A38A8">
        <w:trPr>
          <w:trHeight w:val="204"/>
        </w:trPr>
        <w:tc>
          <w:tcPr>
            <w:tcW w:w="3060" w:type="dxa"/>
            <w:tcBorders>
              <w:top w:val="nil"/>
              <w:left w:val="nil"/>
              <w:bottom w:val="nil"/>
              <w:right w:val="nil"/>
            </w:tcBorders>
            <w:shd w:val="clear" w:color="auto" w:fill="auto"/>
            <w:noWrap/>
            <w:vAlign w:val="center"/>
            <w:hideMark/>
          </w:tcPr>
          <w:p w14:paraId="392FF494" w14:textId="77777777" w:rsidR="008A38A8" w:rsidRPr="008A38A8" w:rsidRDefault="008A38A8" w:rsidP="008A38A8">
            <w:pPr>
              <w:spacing w:after="0" w:line="240" w:lineRule="auto"/>
              <w:ind w:left="113"/>
              <w:jc w:val="left"/>
              <w:rPr>
                <w:rFonts w:ascii="Arial" w:hAnsi="Arial" w:cs="Arial"/>
                <w:color w:val="000000"/>
                <w:sz w:val="16"/>
                <w:szCs w:val="16"/>
              </w:rPr>
            </w:pPr>
            <w:r w:rsidRPr="008A38A8">
              <w:rPr>
                <w:rFonts w:ascii="Arial" w:hAnsi="Arial" w:cs="Arial"/>
                <w:color w:val="000000"/>
                <w:sz w:val="16"/>
                <w:szCs w:val="16"/>
              </w:rPr>
              <w:t>Fees and fines</w:t>
            </w:r>
          </w:p>
        </w:tc>
        <w:tc>
          <w:tcPr>
            <w:tcW w:w="880" w:type="dxa"/>
            <w:tcBorders>
              <w:top w:val="nil"/>
              <w:left w:val="nil"/>
              <w:bottom w:val="nil"/>
              <w:right w:val="nil"/>
            </w:tcBorders>
            <w:shd w:val="clear" w:color="auto" w:fill="auto"/>
            <w:noWrap/>
            <w:vAlign w:val="bottom"/>
            <w:hideMark/>
          </w:tcPr>
          <w:p w14:paraId="7FC6B471" w14:textId="21867519"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33,427</w:t>
            </w:r>
          </w:p>
        </w:tc>
        <w:tc>
          <w:tcPr>
            <w:tcW w:w="928" w:type="dxa"/>
            <w:tcBorders>
              <w:top w:val="nil"/>
              <w:left w:val="nil"/>
              <w:bottom w:val="nil"/>
              <w:right w:val="nil"/>
            </w:tcBorders>
            <w:shd w:val="clear" w:color="000000" w:fill="E6E6E6"/>
            <w:noWrap/>
            <w:vAlign w:val="bottom"/>
            <w:hideMark/>
          </w:tcPr>
          <w:p w14:paraId="05055BB9" w14:textId="3E46F61B"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35,513</w:t>
            </w:r>
          </w:p>
        </w:tc>
        <w:tc>
          <w:tcPr>
            <w:tcW w:w="928" w:type="dxa"/>
            <w:tcBorders>
              <w:top w:val="nil"/>
              <w:left w:val="nil"/>
              <w:bottom w:val="nil"/>
              <w:right w:val="nil"/>
            </w:tcBorders>
            <w:shd w:val="clear" w:color="auto" w:fill="auto"/>
            <w:noWrap/>
            <w:vAlign w:val="bottom"/>
            <w:hideMark/>
          </w:tcPr>
          <w:p w14:paraId="399C87AC" w14:textId="435C4239"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37,659</w:t>
            </w:r>
          </w:p>
        </w:tc>
        <w:tc>
          <w:tcPr>
            <w:tcW w:w="928" w:type="dxa"/>
            <w:tcBorders>
              <w:top w:val="nil"/>
              <w:left w:val="nil"/>
              <w:bottom w:val="nil"/>
              <w:right w:val="nil"/>
            </w:tcBorders>
            <w:shd w:val="clear" w:color="auto" w:fill="auto"/>
            <w:noWrap/>
            <w:vAlign w:val="bottom"/>
            <w:hideMark/>
          </w:tcPr>
          <w:p w14:paraId="450DA58E" w14:textId="45656B6F"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37,413</w:t>
            </w:r>
          </w:p>
        </w:tc>
        <w:tc>
          <w:tcPr>
            <w:tcW w:w="928" w:type="dxa"/>
            <w:tcBorders>
              <w:top w:val="nil"/>
              <w:left w:val="nil"/>
              <w:bottom w:val="nil"/>
              <w:right w:val="nil"/>
            </w:tcBorders>
            <w:shd w:val="clear" w:color="auto" w:fill="auto"/>
            <w:noWrap/>
            <w:vAlign w:val="bottom"/>
            <w:hideMark/>
          </w:tcPr>
          <w:p w14:paraId="37950AC8" w14:textId="5ED75C49"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37,324</w:t>
            </w:r>
          </w:p>
        </w:tc>
      </w:tr>
      <w:tr w:rsidR="008A38A8" w:rsidRPr="008A38A8" w14:paraId="5F3FDDDF" w14:textId="77777777" w:rsidTr="008A38A8">
        <w:trPr>
          <w:trHeight w:val="204"/>
        </w:trPr>
        <w:tc>
          <w:tcPr>
            <w:tcW w:w="3060" w:type="dxa"/>
            <w:tcBorders>
              <w:top w:val="nil"/>
              <w:left w:val="nil"/>
              <w:bottom w:val="nil"/>
              <w:right w:val="nil"/>
            </w:tcBorders>
            <w:shd w:val="clear" w:color="auto" w:fill="auto"/>
            <w:noWrap/>
            <w:vAlign w:val="center"/>
            <w:hideMark/>
          </w:tcPr>
          <w:p w14:paraId="78BF4C9B" w14:textId="77777777" w:rsidR="008A38A8" w:rsidRPr="008A38A8" w:rsidRDefault="008A38A8" w:rsidP="008A38A8">
            <w:pPr>
              <w:spacing w:after="0" w:line="240" w:lineRule="auto"/>
              <w:ind w:left="113"/>
              <w:jc w:val="left"/>
              <w:rPr>
                <w:rFonts w:ascii="Arial" w:hAnsi="Arial" w:cs="Arial"/>
                <w:color w:val="000000"/>
                <w:sz w:val="16"/>
                <w:szCs w:val="16"/>
              </w:rPr>
            </w:pPr>
            <w:r w:rsidRPr="008A38A8">
              <w:rPr>
                <w:rFonts w:ascii="Arial" w:hAnsi="Arial" w:cs="Arial"/>
                <w:color w:val="000000"/>
                <w:sz w:val="16"/>
                <w:szCs w:val="16"/>
              </w:rPr>
              <w:t>Interest</w:t>
            </w:r>
          </w:p>
        </w:tc>
        <w:tc>
          <w:tcPr>
            <w:tcW w:w="880" w:type="dxa"/>
            <w:tcBorders>
              <w:top w:val="nil"/>
              <w:left w:val="nil"/>
              <w:bottom w:val="nil"/>
              <w:right w:val="nil"/>
            </w:tcBorders>
            <w:shd w:val="clear" w:color="auto" w:fill="auto"/>
            <w:noWrap/>
            <w:vAlign w:val="bottom"/>
            <w:hideMark/>
          </w:tcPr>
          <w:p w14:paraId="5DEACB1F" w14:textId="06FC49FE"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c>
          <w:tcPr>
            <w:tcW w:w="928" w:type="dxa"/>
            <w:tcBorders>
              <w:top w:val="nil"/>
              <w:left w:val="nil"/>
              <w:bottom w:val="nil"/>
              <w:right w:val="nil"/>
            </w:tcBorders>
            <w:shd w:val="clear" w:color="000000" w:fill="E6E6E6"/>
            <w:noWrap/>
            <w:vAlign w:val="bottom"/>
            <w:hideMark/>
          </w:tcPr>
          <w:p w14:paraId="137F44FF" w14:textId="17AF5737"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790</w:t>
            </w:r>
          </w:p>
        </w:tc>
        <w:tc>
          <w:tcPr>
            <w:tcW w:w="928" w:type="dxa"/>
            <w:tcBorders>
              <w:top w:val="nil"/>
              <w:left w:val="nil"/>
              <w:bottom w:val="nil"/>
              <w:right w:val="nil"/>
            </w:tcBorders>
            <w:shd w:val="clear" w:color="auto" w:fill="auto"/>
            <w:noWrap/>
            <w:vAlign w:val="bottom"/>
            <w:hideMark/>
          </w:tcPr>
          <w:p w14:paraId="1486B139" w14:textId="3CB18676"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593</w:t>
            </w:r>
          </w:p>
        </w:tc>
        <w:tc>
          <w:tcPr>
            <w:tcW w:w="928" w:type="dxa"/>
            <w:tcBorders>
              <w:top w:val="nil"/>
              <w:left w:val="nil"/>
              <w:bottom w:val="nil"/>
              <w:right w:val="nil"/>
            </w:tcBorders>
            <w:shd w:val="clear" w:color="auto" w:fill="auto"/>
            <w:noWrap/>
            <w:vAlign w:val="bottom"/>
            <w:hideMark/>
          </w:tcPr>
          <w:p w14:paraId="0E498F3B" w14:textId="01804087"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395</w:t>
            </w:r>
          </w:p>
        </w:tc>
        <w:tc>
          <w:tcPr>
            <w:tcW w:w="928" w:type="dxa"/>
            <w:tcBorders>
              <w:top w:val="nil"/>
              <w:left w:val="nil"/>
              <w:bottom w:val="nil"/>
              <w:right w:val="nil"/>
            </w:tcBorders>
            <w:shd w:val="clear" w:color="auto" w:fill="auto"/>
            <w:noWrap/>
            <w:vAlign w:val="bottom"/>
            <w:hideMark/>
          </w:tcPr>
          <w:p w14:paraId="370894C3" w14:textId="30381E7C"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199</w:t>
            </w:r>
          </w:p>
        </w:tc>
      </w:tr>
      <w:tr w:rsidR="008A38A8" w:rsidRPr="008A38A8" w14:paraId="384D544C" w14:textId="77777777" w:rsidTr="008A38A8">
        <w:trPr>
          <w:trHeight w:val="204"/>
        </w:trPr>
        <w:tc>
          <w:tcPr>
            <w:tcW w:w="3060" w:type="dxa"/>
            <w:tcBorders>
              <w:top w:val="nil"/>
              <w:left w:val="nil"/>
              <w:bottom w:val="nil"/>
              <w:right w:val="nil"/>
            </w:tcBorders>
            <w:shd w:val="clear" w:color="auto" w:fill="auto"/>
            <w:noWrap/>
            <w:vAlign w:val="center"/>
            <w:hideMark/>
          </w:tcPr>
          <w:p w14:paraId="302F9678" w14:textId="77777777" w:rsidR="008A38A8" w:rsidRPr="008A38A8" w:rsidRDefault="008A38A8" w:rsidP="008A38A8">
            <w:pPr>
              <w:spacing w:after="0" w:line="240" w:lineRule="auto"/>
              <w:ind w:left="113"/>
              <w:jc w:val="left"/>
              <w:rPr>
                <w:rFonts w:ascii="Arial" w:hAnsi="Arial" w:cs="Arial"/>
                <w:color w:val="000000"/>
                <w:sz w:val="16"/>
                <w:szCs w:val="16"/>
              </w:rPr>
            </w:pPr>
            <w:r w:rsidRPr="008A38A8">
              <w:rPr>
                <w:rFonts w:ascii="Arial" w:hAnsi="Arial" w:cs="Arial"/>
                <w:color w:val="000000"/>
                <w:sz w:val="16"/>
                <w:szCs w:val="16"/>
              </w:rPr>
              <w:t>Other revenue</w:t>
            </w:r>
          </w:p>
        </w:tc>
        <w:tc>
          <w:tcPr>
            <w:tcW w:w="880" w:type="dxa"/>
            <w:tcBorders>
              <w:top w:val="nil"/>
              <w:left w:val="nil"/>
              <w:bottom w:val="nil"/>
              <w:right w:val="nil"/>
            </w:tcBorders>
            <w:shd w:val="clear" w:color="auto" w:fill="auto"/>
            <w:noWrap/>
            <w:vAlign w:val="bottom"/>
            <w:hideMark/>
          </w:tcPr>
          <w:p w14:paraId="2CAC46FF" w14:textId="73F651AA"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4,567</w:t>
            </w:r>
          </w:p>
        </w:tc>
        <w:tc>
          <w:tcPr>
            <w:tcW w:w="928" w:type="dxa"/>
            <w:tcBorders>
              <w:top w:val="nil"/>
              <w:left w:val="nil"/>
              <w:bottom w:val="nil"/>
              <w:right w:val="nil"/>
            </w:tcBorders>
            <w:shd w:val="clear" w:color="000000" w:fill="E6E6E6"/>
            <w:noWrap/>
            <w:vAlign w:val="bottom"/>
            <w:hideMark/>
          </w:tcPr>
          <w:p w14:paraId="682C7076" w14:textId="4BA7CB33"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4,530</w:t>
            </w:r>
          </w:p>
        </w:tc>
        <w:tc>
          <w:tcPr>
            <w:tcW w:w="928" w:type="dxa"/>
            <w:tcBorders>
              <w:top w:val="nil"/>
              <w:left w:val="nil"/>
              <w:bottom w:val="nil"/>
              <w:right w:val="nil"/>
            </w:tcBorders>
            <w:shd w:val="clear" w:color="auto" w:fill="auto"/>
            <w:noWrap/>
            <w:vAlign w:val="bottom"/>
            <w:hideMark/>
          </w:tcPr>
          <w:p w14:paraId="0BE3582E" w14:textId="7F2B3D10"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12,948</w:t>
            </w:r>
          </w:p>
        </w:tc>
        <w:tc>
          <w:tcPr>
            <w:tcW w:w="928" w:type="dxa"/>
            <w:tcBorders>
              <w:top w:val="nil"/>
              <w:left w:val="nil"/>
              <w:bottom w:val="nil"/>
              <w:right w:val="nil"/>
            </w:tcBorders>
            <w:shd w:val="clear" w:color="auto" w:fill="auto"/>
            <w:noWrap/>
            <w:vAlign w:val="bottom"/>
            <w:hideMark/>
          </w:tcPr>
          <w:p w14:paraId="2BBA931C" w14:textId="38D29157"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11,952</w:t>
            </w:r>
          </w:p>
        </w:tc>
        <w:tc>
          <w:tcPr>
            <w:tcW w:w="928" w:type="dxa"/>
            <w:tcBorders>
              <w:top w:val="nil"/>
              <w:left w:val="nil"/>
              <w:bottom w:val="nil"/>
              <w:right w:val="nil"/>
            </w:tcBorders>
            <w:shd w:val="clear" w:color="auto" w:fill="auto"/>
            <w:noWrap/>
            <w:vAlign w:val="bottom"/>
            <w:hideMark/>
          </w:tcPr>
          <w:p w14:paraId="2FAA6E11" w14:textId="011E7A45"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12,017</w:t>
            </w:r>
          </w:p>
        </w:tc>
      </w:tr>
      <w:tr w:rsidR="008A38A8" w:rsidRPr="00423498" w14:paraId="4A624286" w14:textId="77777777" w:rsidTr="008A38A8">
        <w:trPr>
          <w:trHeight w:val="204"/>
        </w:trPr>
        <w:tc>
          <w:tcPr>
            <w:tcW w:w="3060" w:type="dxa"/>
            <w:tcBorders>
              <w:top w:val="nil"/>
              <w:left w:val="nil"/>
              <w:bottom w:val="nil"/>
              <w:right w:val="nil"/>
            </w:tcBorders>
            <w:shd w:val="clear" w:color="auto" w:fill="auto"/>
            <w:noWrap/>
            <w:vAlign w:val="center"/>
            <w:hideMark/>
          </w:tcPr>
          <w:p w14:paraId="09A7C473" w14:textId="77777777" w:rsidR="008A38A8" w:rsidRPr="00423498" w:rsidRDefault="008A38A8" w:rsidP="008A38A8">
            <w:pPr>
              <w:spacing w:after="0" w:line="240" w:lineRule="auto"/>
              <w:jc w:val="left"/>
              <w:rPr>
                <w:rFonts w:ascii="Arial" w:hAnsi="Arial" w:cs="Arial"/>
                <w:b/>
                <w:bCs/>
                <w:iCs/>
                <w:color w:val="000000"/>
                <w:sz w:val="16"/>
                <w:szCs w:val="16"/>
              </w:rPr>
            </w:pPr>
            <w:r w:rsidRPr="00423498">
              <w:rPr>
                <w:rFonts w:ascii="Arial" w:hAnsi="Arial" w:cs="Arial"/>
                <w:b/>
                <w:bCs/>
                <w:iCs/>
                <w:color w:val="000000"/>
                <w:sz w:val="16"/>
                <w:szCs w:val="16"/>
              </w:rPr>
              <w:t>Total non-taxation revenue</w:t>
            </w:r>
          </w:p>
        </w:tc>
        <w:tc>
          <w:tcPr>
            <w:tcW w:w="880" w:type="dxa"/>
            <w:tcBorders>
              <w:top w:val="single" w:sz="4" w:space="0" w:color="auto"/>
              <w:left w:val="nil"/>
              <w:bottom w:val="single" w:sz="4" w:space="0" w:color="auto"/>
              <w:right w:val="nil"/>
            </w:tcBorders>
            <w:shd w:val="clear" w:color="auto" w:fill="auto"/>
            <w:noWrap/>
            <w:vAlign w:val="bottom"/>
            <w:hideMark/>
          </w:tcPr>
          <w:p w14:paraId="04282548" w14:textId="09455D5F" w:rsidR="008A38A8" w:rsidRPr="00423498" w:rsidRDefault="008A38A8" w:rsidP="008A38A8">
            <w:pPr>
              <w:spacing w:after="0" w:line="240" w:lineRule="auto"/>
              <w:jc w:val="right"/>
              <w:rPr>
                <w:rFonts w:ascii="Arial" w:hAnsi="Arial" w:cs="Arial"/>
                <w:b/>
                <w:bCs/>
                <w:iCs/>
                <w:color w:val="000000"/>
                <w:sz w:val="16"/>
                <w:szCs w:val="16"/>
              </w:rPr>
            </w:pPr>
            <w:r w:rsidRPr="00423498">
              <w:rPr>
                <w:rFonts w:ascii="Arial" w:hAnsi="Arial" w:cs="Arial"/>
                <w:b/>
                <w:bCs/>
                <w:iCs/>
                <w:color w:val="000000"/>
                <w:sz w:val="16"/>
                <w:szCs w:val="16"/>
              </w:rPr>
              <w:t>37,994</w:t>
            </w:r>
          </w:p>
        </w:tc>
        <w:tc>
          <w:tcPr>
            <w:tcW w:w="928" w:type="dxa"/>
            <w:tcBorders>
              <w:top w:val="single" w:sz="4" w:space="0" w:color="auto"/>
              <w:left w:val="nil"/>
              <w:bottom w:val="single" w:sz="4" w:space="0" w:color="auto"/>
              <w:right w:val="nil"/>
            </w:tcBorders>
            <w:shd w:val="clear" w:color="000000" w:fill="E6E6E6"/>
            <w:noWrap/>
            <w:vAlign w:val="bottom"/>
            <w:hideMark/>
          </w:tcPr>
          <w:p w14:paraId="132AE2CC" w14:textId="451BB0BF" w:rsidR="008A38A8" w:rsidRPr="00423498" w:rsidRDefault="008A38A8" w:rsidP="008A38A8">
            <w:pPr>
              <w:spacing w:after="0" w:line="240" w:lineRule="auto"/>
              <w:jc w:val="right"/>
              <w:rPr>
                <w:rFonts w:ascii="Arial" w:hAnsi="Arial" w:cs="Arial"/>
                <w:b/>
                <w:bCs/>
                <w:iCs/>
                <w:color w:val="000000"/>
                <w:sz w:val="16"/>
                <w:szCs w:val="16"/>
              </w:rPr>
            </w:pPr>
            <w:r w:rsidRPr="00423498">
              <w:rPr>
                <w:rFonts w:ascii="Arial" w:hAnsi="Arial" w:cs="Arial"/>
                <w:b/>
                <w:bCs/>
                <w:iCs/>
                <w:color w:val="000000"/>
                <w:sz w:val="16"/>
                <w:szCs w:val="16"/>
              </w:rPr>
              <w:t>45,866</w:t>
            </w:r>
          </w:p>
        </w:tc>
        <w:tc>
          <w:tcPr>
            <w:tcW w:w="928" w:type="dxa"/>
            <w:tcBorders>
              <w:top w:val="single" w:sz="4" w:space="0" w:color="auto"/>
              <w:left w:val="nil"/>
              <w:bottom w:val="single" w:sz="4" w:space="0" w:color="auto"/>
              <w:right w:val="nil"/>
            </w:tcBorders>
            <w:shd w:val="clear" w:color="auto" w:fill="auto"/>
            <w:noWrap/>
            <w:vAlign w:val="bottom"/>
            <w:hideMark/>
          </w:tcPr>
          <w:p w14:paraId="6F4B62F4" w14:textId="52586D4F" w:rsidR="008A38A8" w:rsidRPr="00423498" w:rsidRDefault="008A38A8" w:rsidP="008A38A8">
            <w:pPr>
              <w:spacing w:after="0" w:line="240" w:lineRule="auto"/>
              <w:jc w:val="right"/>
              <w:rPr>
                <w:rFonts w:ascii="Arial" w:hAnsi="Arial" w:cs="Arial"/>
                <w:b/>
                <w:bCs/>
                <w:iCs/>
                <w:color w:val="000000"/>
                <w:sz w:val="16"/>
                <w:szCs w:val="16"/>
              </w:rPr>
            </w:pPr>
            <w:r w:rsidRPr="00423498">
              <w:rPr>
                <w:rFonts w:ascii="Arial" w:hAnsi="Arial" w:cs="Arial"/>
                <w:b/>
                <w:bCs/>
                <w:iCs/>
                <w:color w:val="000000"/>
                <w:sz w:val="16"/>
                <w:szCs w:val="16"/>
              </w:rPr>
              <w:t>56,233</w:t>
            </w:r>
          </w:p>
        </w:tc>
        <w:tc>
          <w:tcPr>
            <w:tcW w:w="928" w:type="dxa"/>
            <w:tcBorders>
              <w:top w:val="single" w:sz="4" w:space="0" w:color="auto"/>
              <w:left w:val="nil"/>
              <w:bottom w:val="single" w:sz="4" w:space="0" w:color="auto"/>
              <w:right w:val="nil"/>
            </w:tcBorders>
            <w:shd w:val="clear" w:color="auto" w:fill="auto"/>
            <w:noWrap/>
            <w:vAlign w:val="bottom"/>
            <w:hideMark/>
          </w:tcPr>
          <w:p w14:paraId="3A202958" w14:textId="256650A9" w:rsidR="008A38A8" w:rsidRPr="00423498" w:rsidRDefault="008A38A8" w:rsidP="008A38A8">
            <w:pPr>
              <w:spacing w:after="0" w:line="240" w:lineRule="auto"/>
              <w:jc w:val="right"/>
              <w:rPr>
                <w:rFonts w:ascii="Arial" w:hAnsi="Arial" w:cs="Arial"/>
                <w:b/>
                <w:bCs/>
                <w:iCs/>
                <w:color w:val="000000"/>
                <w:sz w:val="16"/>
                <w:szCs w:val="16"/>
              </w:rPr>
            </w:pPr>
            <w:r w:rsidRPr="00423498">
              <w:rPr>
                <w:rFonts w:ascii="Arial" w:hAnsi="Arial" w:cs="Arial"/>
                <w:b/>
                <w:bCs/>
                <w:iCs/>
                <w:color w:val="000000"/>
                <w:sz w:val="16"/>
                <w:szCs w:val="16"/>
              </w:rPr>
              <w:t>54,793</w:t>
            </w:r>
          </w:p>
        </w:tc>
        <w:tc>
          <w:tcPr>
            <w:tcW w:w="928" w:type="dxa"/>
            <w:tcBorders>
              <w:top w:val="single" w:sz="4" w:space="0" w:color="auto"/>
              <w:left w:val="nil"/>
              <w:bottom w:val="single" w:sz="4" w:space="0" w:color="auto"/>
              <w:right w:val="nil"/>
            </w:tcBorders>
            <w:shd w:val="clear" w:color="auto" w:fill="auto"/>
            <w:noWrap/>
            <w:vAlign w:val="bottom"/>
            <w:hideMark/>
          </w:tcPr>
          <w:p w14:paraId="7EDEF4CC" w14:textId="61311884" w:rsidR="008A38A8" w:rsidRPr="00423498" w:rsidRDefault="008A38A8" w:rsidP="008A38A8">
            <w:pPr>
              <w:spacing w:after="0" w:line="240" w:lineRule="auto"/>
              <w:jc w:val="right"/>
              <w:rPr>
                <w:rFonts w:ascii="Arial" w:hAnsi="Arial" w:cs="Arial"/>
                <w:b/>
                <w:bCs/>
                <w:iCs/>
                <w:color w:val="000000"/>
                <w:sz w:val="16"/>
                <w:szCs w:val="16"/>
              </w:rPr>
            </w:pPr>
            <w:r w:rsidRPr="00423498">
              <w:rPr>
                <w:rFonts w:ascii="Arial" w:hAnsi="Arial" w:cs="Arial"/>
                <w:b/>
                <w:bCs/>
                <w:iCs/>
                <w:color w:val="000000"/>
                <w:sz w:val="16"/>
                <w:szCs w:val="16"/>
              </w:rPr>
              <w:t>54,573</w:t>
            </w:r>
          </w:p>
        </w:tc>
      </w:tr>
      <w:tr w:rsidR="008A38A8" w:rsidRPr="008A38A8" w14:paraId="7BE5ECBD" w14:textId="77777777" w:rsidTr="008A38A8">
        <w:trPr>
          <w:trHeight w:val="204"/>
        </w:trPr>
        <w:tc>
          <w:tcPr>
            <w:tcW w:w="3060" w:type="dxa"/>
            <w:tcBorders>
              <w:top w:val="nil"/>
              <w:left w:val="nil"/>
              <w:bottom w:val="nil"/>
              <w:right w:val="nil"/>
            </w:tcBorders>
            <w:shd w:val="clear" w:color="auto" w:fill="auto"/>
            <w:vAlign w:val="center"/>
            <w:hideMark/>
          </w:tcPr>
          <w:p w14:paraId="369EF7CE" w14:textId="72A1DD41" w:rsidR="008A38A8" w:rsidRPr="008A38A8" w:rsidRDefault="000672C0" w:rsidP="00423498">
            <w:pPr>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revenue</w:t>
            </w:r>
            <w:r w:rsidR="00423498">
              <w:rPr>
                <w:rFonts w:ascii="Arial" w:hAnsi="Arial" w:cs="Arial"/>
                <w:b/>
                <w:bCs/>
                <w:color w:val="000000"/>
                <w:sz w:val="16"/>
                <w:szCs w:val="16"/>
              </w:rPr>
              <w:t xml:space="preserve"> </w:t>
            </w:r>
            <w:r>
              <w:rPr>
                <w:rFonts w:ascii="Arial" w:hAnsi="Arial" w:cs="Arial"/>
                <w:b/>
                <w:bCs/>
                <w:color w:val="000000"/>
                <w:sz w:val="16"/>
                <w:szCs w:val="16"/>
              </w:rPr>
              <w:t>administered on behalf of</w:t>
            </w:r>
            <w:r w:rsidR="00423498">
              <w:rPr>
                <w:rFonts w:ascii="Arial" w:hAnsi="Arial" w:cs="Arial"/>
                <w:b/>
                <w:bCs/>
                <w:color w:val="000000"/>
                <w:sz w:val="16"/>
                <w:szCs w:val="16"/>
              </w:rPr>
              <w:t xml:space="preserve"> </w:t>
            </w:r>
            <w:r w:rsidR="008A38A8" w:rsidRPr="008A38A8">
              <w:rPr>
                <w:rFonts w:ascii="Arial" w:hAnsi="Arial" w:cs="Arial"/>
                <w:b/>
                <w:bCs/>
                <w:color w:val="000000"/>
                <w:sz w:val="16"/>
                <w:szCs w:val="16"/>
              </w:rPr>
              <w:t>Government</w:t>
            </w:r>
          </w:p>
        </w:tc>
        <w:tc>
          <w:tcPr>
            <w:tcW w:w="880" w:type="dxa"/>
            <w:tcBorders>
              <w:top w:val="nil"/>
              <w:left w:val="nil"/>
              <w:bottom w:val="single" w:sz="4" w:space="0" w:color="auto"/>
              <w:right w:val="nil"/>
            </w:tcBorders>
            <w:shd w:val="clear" w:color="auto" w:fill="auto"/>
            <w:noWrap/>
            <w:vAlign w:val="bottom"/>
            <w:hideMark/>
          </w:tcPr>
          <w:p w14:paraId="0B956D9C" w14:textId="338677D7"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957,304</w:t>
            </w:r>
          </w:p>
        </w:tc>
        <w:tc>
          <w:tcPr>
            <w:tcW w:w="928" w:type="dxa"/>
            <w:tcBorders>
              <w:top w:val="nil"/>
              <w:left w:val="nil"/>
              <w:bottom w:val="single" w:sz="4" w:space="0" w:color="auto"/>
              <w:right w:val="nil"/>
            </w:tcBorders>
            <w:shd w:val="clear" w:color="000000" w:fill="E6E6E6"/>
            <w:noWrap/>
            <w:vAlign w:val="bottom"/>
            <w:hideMark/>
          </w:tcPr>
          <w:p w14:paraId="7E9AAFFE" w14:textId="48B03E8F"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1,292,589</w:t>
            </w:r>
          </w:p>
        </w:tc>
        <w:tc>
          <w:tcPr>
            <w:tcW w:w="928" w:type="dxa"/>
            <w:tcBorders>
              <w:top w:val="nil"/>
              <w:left w:val="nil"/>
              <w:bottom w:val="single" w:sz="4" w:space="0" w:color="auto"/>
              <w:right w:val="nil"/>
            </w:tcBorders>
            <w:shd w:val="clear" w:color="auto" w:fill="auto"/>
            <w:noWrap/>
            <w:vAlign w:val="bottom"/>
            <w:hideMark/>
          </w:tcPr>
          <w:p w14:paraId="0F5E9791" w14:textId="2C5CCA6B"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1,356,527</w:t>
            </w:r>
          </w:p>
        </w:tc>
        <w:tc>
          <w:tcPr>
            <w:tcW w:w="928" w:type="dxa"/>
            <w:tcBorders>
              <w:top w:val="nil"/>
              <w:left w:val="nil"/>
              <w:bottom w:val="single" w:sz="4" w:space="0" w:color="auto"/>
              <w:right w:val="nil"/>
            </w:tcBorders>
            <w:shd w:val="clear" w:color="auto" w:fill="auto"/>
            <w:noWrap/>
            <w:vAlign w:val="bottom"/>
            <w:hideMark/>
          </w:tcPr>
          <w:p w14:paraId="3AE9458E" w14:textId="7ECE35DF"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1,354,742</w:t>
            </w:r>
          </w:p>
        </w:tc>
        <w:tc>
          <w:tcPr>
            <w:tcW w:w="928" w:type="dxa"/>
            <w:tcBorders>
              <w:top w:val="nil"/>
              <w:left w:val="nil"/>
              <w:bottom w:val="single" w:sz="4" w:space="0" w:color="auto"/>
              <w:right w:val="nil"/>
            </w:tcBorders>
            <w:shd w:val="clear" w:color="auto" w:fill="auto"/>
            <w:noWrap/>
            <w:vAlign w:val="bottom"/>
            <w:hideMark/>
          </w:tcPr>
          <w:p w14:paraId="221E350D" w14:textId="47F5A565"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1,344,313</w:t>
            </w:r>
          </w:p>
        </w:tc>
      </w:tr>
      <w:tr w:rsidR="008A38A8" w:rsidRPr="008A38A8" w14:paraId="6D2CDDF9" w14:textId="77777777" w:rsidTr="008A38A8">
        <w:trPr>
          <w:trHeight w:val="204"/>
        </w:trPr>
        <w:tc>
          <w:tcPr>
            <w:tcW w:w="3060" w:type="dxa"/>
            <w:tcBorders>
              <w:top w:val="nil"/>
              <w:left w:val="nil"/>
              <w:bottom w:val="nil"/>
              <w:right w:val="nil"/>
            </w:tcBorders>
            <w:shd w:val="clear" w:color="auto" w:fill="auto"/>
            <w:noWrap/>
            <w:vAlign w:val="center"/>
            <w:hideMark/>
          </w:tcPr>
          <w:p w14:paraId="3EB817A1" w14:textId="77777777" w:rsidR="008A38A8" w:rsidRPr="008A38A8" w:rsidRDefault="008A38A8" w:rsidP="008A38A8">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Gains</w:t>
            </w:r>
          </w:p>
        </w:tc>
        <w:tc>
          <w:tcPr>
            <w:tcW w:w="880" w:type="dxa"/>
            <w:tcBorders>
              <w:top w:val="nil"/>
              <w:left w:val="nil"/>
              <w:bottom w:val="nil"/>
              <w:right w:val="nil"/>
            </w:tcBorders>
            <w:shd w:val="clear" w:color="auto" w:fill="auto"/>
            <w:noWrap/>
            <w:vAlign w:val="bottom"/>
            <w:hideMark/>
          </w:tcPr>
          <w:p w14:paraId="376F56D4" w14:textId="77777777" w:rsidR="008A38A8" w:rsidRPr="008A38A8" w:rsidRDefault="008A38A8" w:rsidP="008A38A8">
            <w:pPr>
              <w:spacing w:after="0" w:line="240" w:lineRule="auto"/>
              <w:jc w:val="right"/>
              <w:rPr>
                <w:rFonts w:ascii="Arial" w:hAnsi="Arial" w:cs="Arial"/>
                <w:b/>
                <w:bCs/>
                <w:color w:val="000000"/>
                <w:sz w:val="16"/>
                <w:szCs w:val="16"/>
              </w:rPr>
            </w:pPr>
          </w:p>
        </w:tc>
        <w:tc>
          <w:tcPr>
            <w:tcW w:w="928" w:type="dxa"/>
            <w:tcBorders>
              <w:top w:val="nil"/>
              <w:left w:val="nil"/>
              <w:bottom w:val="nil"/>
              <w:right w:val="nil"/>
            </w:tcBorders>
            <w:shd w:val="clear" w:color="000000" w:fill="E6E6E6"/>
            <w:noWrap/>
            <w:vAlign w:val="bottom"/>
            <w:hideMark/>
          </w:tcPr>
          <w:p w14:paraId="4562C69A" w14:textId="35D6F76C"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7969D5A3" w14:textId="77777777" w:rsidR="008A38A8" w:rsidRPr="008A38A8" w:rsidRDefault="008A38A8" w:rsidP="008A38A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6C35CA4B" w14:textId="77777777" w:rsidR="008A38A8" w:rsidRPr="008A38A8" w:rsidRDefault="008A38A8" w:rsidP="008A38A8">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669E97A7" w14:textId="77777777" w:rsidR="008A38A8" w:rsidRPr="008A38A8" w:rsidRDefault="008A38A8" w:rsidP="008A38A8">
            <w:pPr>
              <w:spacing w:after="0" w:line="240" w:lineRule="auto"/>
              <w:jc w:val="right"/>
              <w:rPr>
                <w:rFonts w:ascii="Arial" w:hAnsi="Arial" w:cs="Arial"/>
                <w:sz w:val="16"/>
                <w:szCs w:val="16"/>
              </w:rPr>
            </w:pPr>
          </w:p>
        </w:tc>
      </w:tr>
      <w:tr w:rsidR="008A38A8" w:rsidRPr="008A38A8" w14:paraId="039D96AA" w14:textId="77777777" w:rsidTr="008A38A8">
        <w:trPr>
          <w:trHeight w:val="204"/>
        </w:trPr>
        <w:tc>
          <w:tcPr>
            <w:tcW w:w="3060" w:type="dxa"/>
            <w:tcBorders>
              <w:top w:val="nil"/>
              <w:left w:val="nil"/>
              <w:bottom w:val="nil"/>
              <w:right w:val="nil"/>
            </w:tcBorders>
            <w:shd w:val="clear" w:color="auto" w:fill="auto"/>
            <w:vAlign w:val="center"/>
            <w:hideMark/>
          </w:tcPr>
          <w:p w14:paraId="6D4C8068" w14:textId="77777777" w:rsidR="008A38A8" w:rsidRPr="008A38A8" w:rsidRDefault="008A38A8" w:rsidP="008A38A8">
            <w:pPr>
              <w:spacing w:after="0" w:line="240" w:lineRule="auto"/>
              <w:ind w:left="113"/>
              <w:jc w:val="left"/>
              <w:rPr>
                <w:rFonts w:ascii="Arial" w:hAnsi="Arial" w:cs="Arial"/>
                <w:sz w:val="16"/>
                <w:szCs w:val="16"/>
              </w:rPr>
            </w:pPr>
            <w:r w:rsidRPr="008A38A8">
              <w:rPr>
                <w:rFonts w:ascii="Arial" w:hAnsi="Arial" w:cs="Arial"/>
                <w:sz w:val="16"/>
                <w:szCs w:val="16"/>
              </w:rPr>
              <w:t>Reversal of previous asset write-downs and impairments</w:t>
            </w:r>
          </w:p>
        </w:tc>
        <w:tc>
          <w:tcPr>
            <w:tcW w:w="880" w:type="dxa"/>
            <w:tcBorders>
              <w:top w:val="nil"/>
              <w:left w:val="nil"/>
              <w:bottom w:val="nil"/>
              <w:right w:val="nil"/>
            </w:tcBorders>
            <w:shd w:val="clear" w:color="auto" w:fill="auto"/>
            <w:noWrap/>
            <w:vAlign w:val="bottom"/>
            <w:hideMark/>
          </w:tcPr>
          <w:p w14:paraId="2AE705CD" w14:textId="12DEBB03"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519</w:t>
            </w:r>
          </w:p>
        </w:tc>
        <w:tc>
          <w:tcPr>
            <w:tcW w:w="928" w:type="dxa"/>
            <w:tcBorders>
              <w:top w:val="nil"/>
              <w:left w:val="nil"/>
              <w:bottom w:val="nil"/>
              <w:right w:val="nil"/>
            </w:tcBorders>
            <w:shd w:val="clear" w:color="000000" w:fill="E6E6E6"/>
            <w:noWrap/>
            <w:vAlign w:val="bottom"/>
            <w:hideMark/>
          </w:tcPr>
          <w:p w14:paraId="7BD6523A" w14:textId="05B90E3A"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c>
          <w:tcPr>
            <w:tcW w:w="928" w:type="dxa"/>
            <w:tcBorders>
              <w:top w:val="nil"/>
              <w:left w:val="nil"/>
              <w:bottom w:val="nil"/>
              <w:right w:val="nil"/>
            </w:tcBorders>
            <w:shd w:val="clear" w:color="auto" w:fill="auto"/>
            <w:noWrap/>
            <w:vAlign w:val="bottom"/>
            <w:hideMark/>
          </w:tcPr>
          <w:p w14:paraId="681D6338" w14:textId="27637A06"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c>
          <w:tcPr>
            <w:tcW w:w="928" w:type="dxa"/>
            <w:tcBorders>
              <w:top w:val="nil"/>
              <w:left w:val="nil"/>
              <w:bottom w:val="nil"/>
              <w:right w:val="nil"/>
            </w:tcBorders>
            <w:shd w:val="clear" w:color="auto" w:fill="auto"/>
            <w:noWrap/>
            <w:vAlign w:val="bottom"/>
            <w:hideMark/>
          </w:tcPr>
          <w:p w14:paraId="4A7447C4" w14:textId="2E4CFF70"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c>
          <w:tcPr>
            <w:tcW w:w="928" w:type="dxa"/>
            <w:tcBorders>
              <w:top w:val="nil"/>
              <w:left w:val="nil"/>
              <w:bottom w:val="nil"/>
              <w:right w:val="nil"/>
            </w:tcBorders>
            <w:shd w:val="clear" w:color="auto" w:fill="auto"/>
            <w:noWrap/>
            <w:vAlign w:val="bottom"/>
            <w:hideMark/>
          </w:tcPr>
          <w:p w14:paraId="69F1FDAC" w14:textId="5AF03B8F"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r>
      <w:tr w:rsidR="008A38A8" w:rsidRPr="008A38A8" w14:paraId="68A34A86" w14:textId="77777777" w:rsidTr="008A38A8">
        <w:trPr>
          <w:trHeight w:val="204"/>
        </w:trPr>
        <w:tc>
          <w:tcPr>
            <w:tcW w:w="3060" w:type="dxa"/>
            <w:tcBorders>
              <w:top w:val="nil"/>
              <w:left w:val="nil"/>
              <w:bottom w:val="nil"/>
              <w:right w:val="nil"/>
            </w:tcBorders>
            <w:shd w:val="clear" w:color="auto" w:fill="auto"/>
            <w:vAlign w:val="center"/>
            <w:hideMark/>
          </w:tcPr>
          <w:p w14:paraId="4FA9AFCE" w14:textId="6112D30F" w:rsidR="008A38A8" w:rsidRPr="008A38A8" w:rsidRDefault="008A38A8" w:rsidP="007D036F">
            <w:pPr>
              <w:spacing w:after="0" w:line="240" w:lineRule="auto"/>
              <w:ind w:left="113"/>
              <w:jc w:val="left"/>
              <w:rPr>
                <w:rFonts w:ascii="Arial" w:hAnsi="Arial" w:cs="Arial"/>
                <w:sz w:val="16"/>
                <w:szCs w:val="16"/>
              </w:rPr>
            </w:pPr>
            <w:r w:rsidRPr="008A38A8">
              <w:rPr>
                <w:rFonts w:ascii="Arial" w:hAnsi="Arial" w:cs="Arial"/>
                <w:sz w:val="16"/>
                <w:szCs w:val="16"/>
              </w:rPr>
              <w:t xml:space="preserve">Resource received free of charge </w:t>
            </w:r>
            <w:r w:rsidRPr="008A38A8">
              <w:rPr>
                <w:rFonts w:ascii="Arial" w:hAnsi="Arial" w:cs="Arial"/>
                <w:sz w:val="16"/>
                <w:szCs w:val="16"/>
                <w:vertAlign w:val="superscript"/>
              </w:rPr>
              <w:t>(b)(c)</w:t>
            </w:r>
          </w:p>
        </w:tc>
        <w:tc>
          <w:tcPr>
            <w:tcW w:w="880" w:type="dxa"/>
            <w:tcBorders>
              <w:top w:val="nil"/>
              <w:left w:val="nil"/>
              <w:bottom w:val="nil"/>
              <w:right w:val="nil"/>
            </w:tcBorders>
            <w:shd w:val="clear" w:color="auto" w:fill="auto"/>
            <w:noWrap/>
            <w:vAlign w:val="bottom"/>
            <w:hideMark/>
          </w:tcPr>
          <w:p w14:paraId="3BCA4695" w14:textId="4D29CEEA"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c>
          <w:tcPr>
            <w:tcW w:w="928" w:type="dxa"/>
            <w:tcBorders>
              <w:top w:val="nil"/>
              <w:left w:val="nil"/>
              <w:bottom w:val="nil"/>
              <w:right w:val="nil"/>
            </w:tcBorders>
            <w:shd w:val="clear" w:color="000000" w:fill="E6E6E6"/>
            <w:noWrap/>
            <w:vAlign w:val="bottom"/>
            <w:hideMark/>
          </w:tcPr>
          <w:p w14:paraId="5A028650" w14:textId="57F3CB69"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656,028</w:t>
            </w:r>
          </w:p>
        </w:tc>
        <w:tc>
          <w:tcPr>
            <w:tcW w:w="928" w:type="dxa"/>
            <w:tcBorders>
              <w:top w:val="nil"/>
              <w:left w:val="nil"/>
              <w:bottom w:val="nil"/>
              <w:right w:val="nil"/>
            </w:tcBorders>
            <w:shd w:val="clear" w:color="auto" w:fill="auto"/>
            <w:noWrap/>
            <w:vAlign w:val="bottom"/>
            <w:hideMark/>
          </w:tcPr>
          <w:p w14:paraId="2DE79024" w14:textId="3ECF6445"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c>
          <w:tcPr>
            <w:tcW w:w="928" w:type="dxa"/>
            <w:tcBorders>
              <w:top w:val="nil"/>
              <w:left w:val="nil"/>
              <w:bottom w:val="nil"/>
              <w:right w:val="nil"/>
            </w:tcBorders>
            <w:shd w:val="clear" w:color="auto" w:fill="auto"/>
            <w:noWrap/>
            <w:vAlign w:val="bottom"/>
            <w:hideMark/>
          </w:tcPr>
          <w:p w14:paraId="27919031" w14:textId="35467ED6"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w:t>
            </w:r>
          </w:p>
        </w:tc>
        <w:tc>
          <w:tcPr>
            <w:tcW w:w="928" w:type="dxa"/>
            <w:tcBorders>
              <w:top w:val="nil"/>
              <w:left w:val="nil"/>
              <w:bottom w:val="nil"/>
              <w:right w:val="nil"/>
            </w:tcBorders>
            <w:shd w:val="clear" w:color="auto" w:fill="auto"/>
            <w:noWrap/>
            <w:vAlign w:val="bottom"/>
            <w:hideMark/>
          </w:tcPr>
          <w:p w14:paraId="16557CD9" w14:textId="6C7CB46D" w:rsidR="008A38A8" w:rsidRPr="008A38A8" w:rsidRDefault="008A38A8" w:rsidP="008A38A8">
            <w:pPr>
              <w:spacing w:after="0" w:line="240" w:lineRule="auto"/>
              <w:jc w:val="right"/>
              <w:rPr>
                <w:rFonts w:ascii="Arial" w:hAnsi="Arial" w:cs="Arial"/>
                <w:color w:val="000000"/>
                <w:sz w:val="16"/>
                <w:szCs w:val="16"/>
              </w:rPr>
            </w:pPr>
            <w:r w:rsidRPr="008A38A8">
              <w:rPr>
                <w:rFonts w:ascii="Arial" w:hAnsi="Arial" w:cs="Arial"/>
                <w:color w:val="000000"/>
                <w:sz w:val="16"/>
                <w:szCs w:val="16"/>
              </w:rPr>
              <w:t>2,091,618</w:t>
            </w:r>
          </w:p>
        </w:tc>
      </w:tr>
      <w:tr w:rsidR="008A38A8" w:rsidRPr="008A38A8" w14:paraId="77BBC575" w14:textId="77777777" w:rsidTr="008A38A8">
        <w:trPr>
          <w:trHeight w:val="204"/>
        </w:trPr>
        <w:tc>
          <w:tcPr>
            <w:tcW w:w="3060" w:type="dxa"/>
            <w:tcBorders>
              <w:top w:val="nil"/>
              <w:left w:val="nil"/>
              <w:bottom w:val="nil"/>
              <w:right w:val="nil"/>
            </w:tcBorders>
            <w:shd w:val="clear" w:color="auto" w:fill="auto"/>
            <w:vAlign w:val="center"/>
            <w:hideMark/>
          </w:tcPr>
          <w:p w14:paraId="5B6EF1A3" w14:textId="4481783B" w:rsidR="008A38A8" w:rsidRPr="008A38A8" w:rsidRDefault="008A38A8" w:rsidP="008A38A8">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Total gains administered on behalf of Government</w:t>
            </w:r>
          </w:p>
        </w:tc>
        <w:tc>
          <w:tcPr>
            <w:tcW w:w="880" w:type="dxa"/>
            <w:tcBorders>
              <w:top w:val="single" w:sz="4" w:space="0" w:color="auto"/>
              <w:left w:val="nil"/>
              <w:bottom w:val="single" w:sz="4" w:space="0" w:color="auto"/>
              <w:right w:val="nil"/>
            </w:tcBorders>
            <w:shd w:val="clear" w:color="auto" w:fill="auto"/>
            <w:noWrap/>
            <w:vAlign w:val="bottom"/>
            <w:hideMark/>
          </w:tcPr>
          <w:p w14:paraId="4A38D6D3" w14:textId="0722ADE4"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519</w:t>
            </w:r>
          </w:p>
        </w:tc>
        <w:tc>
          <w:tcPr>
            <w:tcW w:w="928" w:type="dxa"/>
            <w:tcBorders>
              <w:top w:val="single" w:sz="4" w:space="0" w:color="auto"/>
              <w:left w:val="nil"/>
              <w:bottom w:val="single" w:sz="4" w:space="0" w:color="auto"/>
              <w:right w:val="nil"/>
            </w:tcBorders>
            <w:shd w:val="clear" w:color="000000" w:fill="E6E6E6"/>
            <w:noWrap/>
            <w:vAlign w:val="bottom"/>
            <w:hideMark/>
          </w:tcPr>
          <w:p w14:paraId="019649FA" w14:textId="5875B3B5"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656,028</w:t>
            </w:r>
          </w:p>
        </w:tc>
        <w:tc>
          <w:tcPr>
            <w:tcW w:w="928" w:type="dxa"/>
            <w:tcBorders>
              <w:top w:val="single" w:sz="4" w:space="0" w:color="auto"/>
              <w:left w:val="nil"/>
              <w:bottom w:val="single" w:sz="4" w:space="0" w:color="auto"/>
              <w:right w:val="nil"/>
            </w:tcBorders>
            <w:shd w:val="clear" w:color="auto" w:fill="auto"/>
            <w:noWrap/>
            <w:vAlign w:val="bottom"/>
            <w:hideMark/>
          </w:tcPr>
          <w:p w14:paraId="7DA0AFD1" w14:textId="367C0337"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w:t>
            </w:r>
          </w:p>
        </w:tc>
        <w:tc>
          <w:tcPr>
            <w:tcW w:w="928" w:type="dxa"/>
            <w:tcBorders>
              <w:top w:val="single" w:sz="4" w:space="0" w:color="auto"/>
              <w:left w:val="nil"/>
              <w:bottom w:val="single" w:sz="4" w:space="0" w:color="auto"/>
              <w:right w:val="nil"/>
            </w:tcBorders>
            <w:shd w:val="clear" w:color="auto" w:fill="auto"/>
            <w:noWrap/>
            <w:vAlign w:val="bottom"/>
            <w:hideMark/>
          </w:tcPr>
          <w:p w14:paraId="1885E761" w14:textId="4E94345D"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w:t>
            </w:r>
          </w:p>
        </w:tc>
        <w:tc>
          <w:tcPr>
            <w:tcW w:w="928" w:type="dxa"/>
            <w:tcBorders>
              <w:top w:val="single" w:sz="4" w:space="0" w:color="auto"/>
              <w:left w:val="nil"/>
              <w:bottom w:val="single" w:sz="4" w:space="0" w:color="auto"/>
              <w:right w:val="nil"/>
            </w:tcBorders>
            <w:shd w:val="clear" w:color="auto" w:fill="auto"/>
            <w:noWrap/>
            <w:vAlign w:val="bottom"/>
            <w:hideMark/>
          </w:tcPr>
          <w:p w14:paraId="640A3C64" w14:textId="26A9B665"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2,091,618</w:t>
            </w:r>
          </w:p>
        </w:tc>
      </w:tr>
      <w:tr w:rsidR="008A38A8" w:rsidRPr="008A38A8" w14:paraId="78307949" w14:textId="77777777" w:rsidTr="008A38A8">
        <w:trPr>
          <w:trHeight w:val="204"/>
        </w:trPr>
        <w:tc>
          <w:tcPr>
            <w:tcW w:w="3060" w:type="dxa"/>
            <w:tcBorders>
              <w:top w:val="nil"/>
              <w:left w:val="nil"/>
              <w:bottom w:val="nil"/>
              <w:right w:val="nil"/>
            </w:tcBorders>
            <w:shd w:val="clear" w:color="auto" w:fill="auto"/>
            <w:vAlign w:val="center"/>
            <w:hideMark/>
          </w:tcPr>
          <w:p w14:paraId="79930061" w14:textId="750A9AB6" w:rsidR="008A38A8" w:rsidRPr="008A38A8" w:rsidRDefault="008A38A8" w:rsidP="008A38A8">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Total own-sourced income administered on behalf of Government</w:t>
            </w:r>
          </w:p>
        </w:tc>
        <w:tc>
          <w:tcPr>
            <w:tcW w:w="880" w:type="dxa"/>
            <w:tcBorders>
              <w:top w:val="nil"/>
              <w:left w:val="nil"/>
              <w:bottom w:val="single" w:sz="4" w:space="0" w:color="auto"/>
              <w:right w:val="nil"/>
            </w:tcBorders>
            <w:shd w:val="clear" w:color="auto" w:fill="auto"/>
            <w:noWrap/>
            <w:vAlign w:val="bottom"/>
            <w:hideMark/>
          </w:tcPr>
          <w:p w14:paraId="17827237" w14:textId="57C6F5AA"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957,823</w:t>
            </w:r>
          </w:p>
        </w:tc>
        <w:tc>
          <w:tcPr>
            <w:tcW w:w="928" w:type="dxa"/>
            <w:tcBorders>
              <w:top w:val="nil"/>
              <w:left w:val="nil"/>
              <w:bottom w:val="single" w:sz="4" w:space="0" w:color="auto"/>
              <w:right w:val="nil"/>
            </w:tcBorders>
            <w:shd w:val="clear" w:color="000000" w:fill="E6E6E6"/>
            <w:noWrap/>
            <w:vAlign w:val="bottom"/>
            <w:hideMark/>
          </w:tcPr>
          <w:p w14:paraId="02646DE5" w14:textId="06CB64B6"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1,948,617</w:t>
            </w:r>
          </w:p>
        </w:tc>
        <w:tc>
          <w:tcPr>
            <w:tcW w:w="928" w:type="dxa"/>
            <w:tcBorders>
              <w:top w:val="nil"/>
              <w:left w:val="nil"/>
              <w:bottom w:val="single" w:sz="4" w:space="0" w:color="auto"/>
              <w:right w:val="nil"/>
            </w:tcBorders>
            <w:shd w:val="clear" w:color="auto" w:fill="auto"/>
            <w:noWrap/>
            <w:vAlign w:val="bottom"/>
            <w:hideMark/>
          </w:tcPr>
          <w:p w14:paraId="61D8895C" w14:textId="43E34773"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1,356,527</w:t>
            </w:r>
          </w:p>
        </w:tc>
        <w:tc>
          <w:tcPr>
            <w:tcW w:w="928" w:type="dxa"/>
            <w:tcBorders>
              <w:top w:val="nil"/>
              <w:left w:val="nil"/>
              <w:bottom w:val="single" w:sz="4" w:space="0" w:color="auto"/>
              <w:right w:val="nil"/>
            </w:tcBorders>
            <w:shd w:val="clear" w:color="auto" w:fill="auto"/>
            <w:noWrap/>
            <w:vAlign w:val="bottom"/>
            <w:hideMark/>
          </w:tcPr>
          <w:p w14:paraId="4B1A7DD8" w14:textId="0138DC80"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1,354,742</w:t>
            </w:r>
          </w:p>
        </w:tc>
        <w:tc>
          <w:tcPr>
            <w:tcW w:w="928" w:type="dxa"/>
            <w:tcBorders>
              <w:top w:val="nil"/>
              <w:left w:val="nil"/>
              <w:bottom w:val="single" w:sz="4" w:space="0" w:color="auto"/>
              <w:right w:val="nil"/>
            </w:tcBorders>
            <w:shd w:val="clear" w:color="auto" w:fill="auto"/>
            <w:noWrap/>
            <w:vAlign w:val="bottom"/>
            <w:hideMark/>
          </w:tcPr>
          <w:p w14:paraId="525A95C5" w14:textId="7D6FC62E"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3,435,931</w:t>
            </w:r>
          </w:p>
        </w:tc>
      </w:tr>
      <w:tr w:rsidR="008A38A8" w:rsidRPr="008A38A8" w14:paraId="010D0CBA" w14:textId="77777777" w:rsidTr="008A38A8">
        <w:trPr>
          <w:trHeight w:val="204"/>
        </w:trPr>
        <w:tc>
          <w:tcPr>
            <w:tcW w:w="3060" w:type="dxa"/>
            <w:tcBorders>
              <w:top w:val="nil"/>
              <w:left w:val="nil"/>
              <w:bottom w:val="single" w:sz="4" w:space="0" w:color="auto"/>
              <w:right w:val="nil"/>
            </w:tcBorders>
            <w:shd w:val="clear" w:color="auto" w:fill="auto"/>
            <w:vAlign w:val="center"/>
            <w:hideMark/>
          </w:tcPr>
          <w:p w14:paraId="76A9D3BC" w14:textId="26CA2171" w:rsidR="008A38A8" w:rsidRPr="008A38A8" w:rsidRDefault="008A38A8" w:rsidP="008A38A8">
            <w:pPr>
              <w:spacing w:after="0" w:line="240" w:lineRule="auto"/>
              <w:jc w:val="left"/>
              <w:rPr>
                <w:rFonts w:ascii="Arial" w:hAnsi="Arial" w:cs="Arial"/>
                <w:b/>
                <w:bCs/>
                <w:color w:val="000000"/>
                <w:sz w:val="16"/>
                <w:szCs w:val="16"/>
              </w:rPr>
            </w:pPr>
            <w:r w:rsidRPr="008A38A8">
              <w:rPr>
                <w:rFonts w:ascii="Arial" w:hAnsi="Arial" w:cs="Arial"/>
                <w:b/>
                <w:bCs/>
                <w:color w:val="000000"/>
                <w:sz w:val="16"/>
                <w:szCs w:val="16"/>
              </w:rPr>
              <w:t>Net (cost of)/contribution by services</w:t>
            </w:r>
          </w:p>
        </w:tc>
        <w:tc>
          <w:tcPr>
            <w:tcW w:w="880" w:type="dxa"/>
            <w:tcBorders>
              <w:top w:val="nil"/>
              <w:left w:val="nil"/>
              <w:bottom w:val="single" w:sz="4" w:space="0" w:color="auto"/>
              <w:right w:val="nil"/>
            </w:tcBorders>
            <w:shd w:val="clear" w:color="auto" w:fill="auto"/>
            <w:noWrap/>
            <w:vAlign w:val="bottom"/>
            <w:hideMark/>
          </w:tcPr>
          <w:p w14:paraId="6C2CDAFD" w14:textId="4412CEF1"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944,035</w:t>
            </w:r>
          </w:p>
        </w:tc>
        <w:tc>
          <w:tcPr>
            <w:tcW w:w="928" w:type="dxa"/>
            <w:tcBorders>
              <w:top w:val="nil"/>
              <w:left w:val="nil"/>
              <w:bottom w:val="single" w:sz="4" w:space="0" w:color="auto"/>
              <w:right w:val="nil"/>
            </w:tcBorders>
            <w:shd w:val="clear" w:color="000000" w:fill="E6E6E6"/>
            <w:noWrap/>
            <w:vAlign w:val="bottom"/>
            <w:hideMark/>
          </w:tcPr>
          <w:p w14:paraId="0FDA1A51" w14:textId="2099DF13"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1,939,145</w:t>
            </w:r>
          </w:p>
        </w:tc>
        <w:tc>
          <w:tcPr>
            <w:tcW w:w="928" w:type="dxa"/>
            <w:tcBorders>
              <w:top w:val="nil"/>
              <w:left w:val="nil"/>
              <w:bottom w:val="single" w:sz="4" w:space="0" w:color="auto"/>
              <w:right w:val="nil"/>
            </w:tcBorders>
            <w:shd w:val="clear" w:color="auto" w:fill="auto"/>
            <w:noWrap/>
            <w:vAlign w:val="bottom"/>
            <w:hideMark/>
          </w:tcPr>
          <w:p w14:paraId="3D305963" w14:textId="4A0FA87B"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1,349,963</w:t>
            </w:r>
          </w:p>
        </w:tc>
        <w:tc>
          <w:tcPr>
            <w:tcW w:w="928" w:type="dxa"/>
            <w:tcBorders>
              <w:top w:val="nil"/>
              <w:left w:val="nil"/>
              <w:bottom w:val="single" w:sz="4" w:space="0" w:color="auto"/>
              <w:right w:val="nil"/>
            </w:tcBorders>
            <w:shd w:val="clear" w:color="auto" w:fill="auto"/>
            <w:noWrap/>
            <w:vAlign w:val="bottom"/>
            <w:hideMark/>
          </w:tcPr>
          <w:p w14:paraId="02E1FB24" w14:textId="55BF4296"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1,350,086</w:t>
            </w:r>
          </w:p>
        </w:tc>
        <w:tc>
          <w:tcPr>
            <w:tcW w:w="928" w:type="dxa"/>
            <w:tcBorders>
              <w:top w:val="nil"/>
              <w:left w:val="nil"/>
              <w:bottom w:val="single" w:sz="4" w:space="0" w:color="auto"/>
              <w:right w:val="nil"/>
            </w:tcBorders>
            <w:shd w:val="clear" w:color="auto" w:fill="auto"/>
            <w:noWrap/>
            <w:vAlign w:val="bottom"/>
            <w:hideMark/>
          </w:tcPr>
          <w:p w14:paraId="326C5531" w14:textId="256A4E68" w:rsidR="008A38A8" w:rsidRPr="008A38A8" w:rsidRDefault="008A38A8" w:rsidP="008A38A8">
            <w:pPr>
              <w:spacing w:after="0" w:line="240" w:lineRule="auto"/>
              <w:jc w:val="right"/>
              <w:rPr>
                <w:rFonts w:ascii="Arial" w:hAnsi="Arial" w:cs="Arial"/>
                <w:b/>
                <w:bCs/>
                <w:color w:val="000000"/>
                <w:sz w:val="16"/>
                <w:szCs w:val="16"/>
              </w:rPr>
            </w:pPr>
            <w:r w:rsidRPr="008A38A8">
              <w:rPr>
                <w:rFonts w:ascii="Arial" w:hAnsi="Arial" w:cs="Arial"/>
                <w:b/>
                <w:bCs/>
                <w:color w:val="000000"/>
                <w:sz w:val="16"/>
                <w:szCs w:val="16"/>
              </w:rPr>
              <w:t>3,435,295</w:t>
            </w:r>
          </w:p>
        </w:tc>
      </w:tr>
    </w:tbl>
    <w:p w14:paraId="1BFE4729" w14:textId="77777777" w:rsidR="005A6F51" w:rsidRPr="00933A7D" w:rsidRDefault="005A6F51" w:rsidP="001D77B3">
      <w:pPr>
        <w:pStyle w:val="ChartandTableFootnoteAlpha"/>
        <w:numPr>
          <w:ilvl w:val="0"/>
          <w:numId w:val="0"/>
        </w:numPr>
        <w:spacing w:before="60"/>
        <w:jc w:val="left"/>
      </w:pPr>
      <w:r w:rsidRPr="00E4582E">
        <w:t>Prepared on Australian Accounting Standards basis</w:t>
      </w:r>
      <w:r>
        <w:t>.</w:t>
      </w:r>
    </w:p>
    <w:p w14:paraId="1153DBCD" w14:textId="77777777" w:rsidR="00940ACB" w:rsidRDefault="00940ACB" w:rsidP="001D77B3">
      <w:pPr>
        <w:pStyle w:val="ChartandTableFootnoteAlpha"/>
        <w:numPr>
          <w:ilvl w:val="0"/>
          <w:numId w:val="49"/>
        </w:numPr>
        <w:spacing w:after="0"/>
        <w:ind w:left="284" w:hanging="284"/>
        <w:jc w:val="left"/>
        <w:rPr>
          <w:rFonts w:cs="Arial"/>
        </w:rPr>
      </w:pPr>
      <w:r w:rsidRPr="00F0290C">
        <w:rPr>
          <w:rFonts w:cs="Arial"/>
        </w:rPr>
        <w:t>The significant increase in Other Taxes between 2020-21 and 2021-22 relates to the commencement of the Regional Broadband Scheme on 1 January 2021.</w:t>
      </w:r>
    </w:p>
    <w:p w14:paraId="5923F5C7" w14:textId="77777777" w:rsidR="00940ACB" w:rsidRDefault="00940ACB" w:rsidP="001D77B3">
      <w:pPr>
        <w:pStyle w:val="ChartandTableFootnoteAlpha"/>
        <w:numPr>
          <w:ilvl w:val="0"/>
          <w:numId w:val="49"/>
        </w:numPr>
        <w:spacing w:after="0"/>
        <w:ind w:left="284" w:hanging="284"/>
        <w:jc w:val="left"/>
        <w:rPr>
          <w:rFonts w:cs="Arial"/>
        </w:rPr>
      </w:pPr>
      <w:r w:rsidRPr="006E0731">
        <w:rPr>
          <w:rFonts w:cs="Arial"/>
        </w:rPr>
        <w:t>Resources received free of charge from the sale of spectrum is recognized at the commencement of each licence. The 2021-22 gain is a result of the commencement of 26GHz spectrum licences. The winning bidders pay a premium to the auction price to make five annual cash instalments with the first instalment in June 2021. No estimates are made for the outcome of future spectrum auctions.</w:t>
      </w:r>
    </w:p>
    <w:p w14:paraId="5398B6DF" w14:textId="77777777" w:rsidR="00940ACB" w:rsidRPr="0090090A" w:rsidRDefault="00940ACB" w:rsidP="001D77B3">
      <w:pPr>
        <w:pStyle w:val="ChartandTableFootnoteAlpha"/>
        <w:numPr>
          <w:ilvl w:val="0"/>
          <w:numId w:val="49"/>
        </w:numPr>
        <w:spacing w:after="0"/>
        <w:ind w:left="284" w:hanging="284"/>
        <w:jc w:val="left"/>
        <w:rPr>
          <w:rFonts w:cs="Arial"/>
        </w:rPr>
      </w:pPr>
      <w:r w:rsidRPr="0090090A">
        <w:rPr>
          <w:rFonts w:cs="Arial"/>
        </w:rPr>
        <w:t>The 2024-25 gain is a result of the commencement of 850/900MHz spectrum licences. The winning bidders are expected to pay the full amount of the auction price in 2023-24 before the licences commence.</w:t>
      </w:r>
    </w:p>
    <w:p w14:paraId="5AE4774B" w14:textId="3ED788AD" w:rsidR="00914885" w:rsidRPr="00BC5BD2" w:rsidRDefault="00E702E6" w:rsidP="00D40125">
      <w:pPr>
        <w:pStyle w:val="TableGraphic"/>
        <w:ind w:right="56"/>
        <w:rPr>
          <w:color w:val="auto"/>
        </w:rPr>
      </w:pPr>
      <w:r>
        <w:br w:type="page"/>
      </w:r>
    </w:p>
    <w:p w14:paraId="3A2E9D77" w14:textId="60D91BDA" w:rsidR="00914885" w:rsidRDefault="00914885" w:rsidP="00856B64">
      <w:pPr>
        <w:pStyle w:val="TableHeading"/>
        <w:spacing w:before="0"/>
        <w:rPr>
          <w:snapToGrid w:val="0"/>
        </w:rPr>
      </w:pPr>
      <w:r>
        <w:rPr>
          <w:snapToGrid w:val="0"/>
        </w:rPr>
        <w:lastRenderedPageBreak/>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tbl>
      <w:tblPr>
        <w:tblW w:w="7720" w:type="dxa"/>
        <w:tblLook w:val="04A0" w:firstRow="1" w:lastRow="0" w:firstColumn="1" w:lastColumn="0" w:noHBand="0" w:noVBand="1"/>
      </w:tblPr>
      <w:tblGrid>
        <w:gridCol w:w="2860"/>
        <w:gridCol w:w="940"/>
        <w:gridCol w:w="980"/>
        <w:gridCol w:w="980"/>
        <w:gridCol w:w="980"/>
        <w:gridCol w:w="980"/>
      </w:tblGrid>
      <w:tr w:rsidR="00852DD7" w:rsidRPr="00852DD7" w14:paraId="318E287C" w14:textId="77777777" w:rsidTr="00B86D56">
        <w:trPr>
          <w:trHeight w:val="354"/>
        </w:trPr>
        <w:tc>
          <w:tcPr>
            <w:tcW w:w="2860" w:type="dxa"/>
            <w:tcBorders>
              <w:top w:val="single" w:sz="4" w:space="0" w:color="auto"/>
              <w:left w:val="nil"/>
              <w:bottom w:val="nil"/>
              <w:right w:val="nil"/>
            </w:tcBorders>
            <w:shd w:val="clear" w:color="auto" w:fill="auto"/>
            <w:noWrap/>
            <w:hideMark/>
          </w:tcPr>
          <w:p w14:paraId="0AEA6E01" w14:textId="77777777" w:rsidR="00852DD7" w:rsidRPr="00852DD7" w:rsidRDefault="00852DD7" w:rsidP="00852DD7">
            <w:pPr>
              <w:spacing w:after="0" w:line="240" w:lineRule="auto"/>
              <w:jc w:val="left"/>
              <w:rPr>
                <w:rFonts w:ascii="Arial" w:hAnsi="Arial" w:cs="Arial"/>
                <w:b/>
                <w:bCs/>
                <w:sz w:val="16"/>
                <w:szCs w:val="16"/>
              </w:rPr>
            </w:pPr>
            <w:r w:rsidRPr="00852DD7">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14:paraId="5E8ADAB4" w14:textId="77777777" w:rsidR="00852DD7" w:rsidRPr="00852DD7" w:rsidRDefault="00852DD7" w:rsidP="00852DD7">
            <w:pPr>
              <w:spacing w:after="0" w:line="240" w:lineRule="auto"/>
              <w:jc w:val="right"/>
              <w:rPr>
                <w:rFonts w:ascii="Arial" w:hAnsi="Arial" w:cs="Arial"/>
                <w:sz w:val="16"/>
                <w:szCs w:val="16"/>
              </w:rPr>
            </w:pPr>
            <w:r w:rsidRPr="00852DD7">
              <w:rPr>
                <w:rFonts w:ascii="Arial" w:hAnsi="Arial" w:cs="Arial"/>
                <w:sz w:val="16"/>
                <w:szCs w:val="16"/>
              </w:rPr>
              <w:t>2020-21 Actual</w:t>
            </w:r>
            <w:r w:rsidRPr="00852DD7">
              <w:rPr>
                <w:rFonts w:ascii="Arial" w:hAnsi="Arial" w:cs="Arial"/>
                <w:sz w:val="16"/>
                <w:szCs w:val="16"/>
              </w:rPr>
              <w:br/>
            </w:r>
            <w:r w:rsidRPr="00852DD7">
              <w:rPr>
                <w:rFonts w:ascii="Arial" w:hAnsi="Arial" w:cs="Arial"/>
                <w:sz w:val="16"/>
                <w:szCs w:val="16"/>
              </w:rPr>
              <w:br/>
              <w:t>$'000</w:t>
            </w:r>
          </w:p>
        </w:tc>
        <w:tc>
          <w:tcPr>
            <w:tcW w:w="980" w:type="dxa"/>
            <w:tcBorders>
              <w:top w:val="single" w:sz="4" w:space="0" w:color="auto"/>
              <w:left w:val="nil"/>
              <w:bottom w:val="single" w:sz="4" w:space="0" w:color="auto"/>
              <w:right w:val="nil"/>
            </w:tcBorders>
            <w:shd w:val="clear" w:color="000000" w:fill="E6E6E6"/>
            <w:hideMark/>
          </w:tcPr>
          <w:p w14:paraId="0FF50A07" w14:textId="77777777" w:rsidR="00852DD7" w:rsidRPr="00852DD7" w:rsidRDefault="00852DD7" w:rsidP="00852DD7">
            <w:pPr>
              <w:spacing w:after="0" w:line="240" w:lineRule="auto"/>
              <w:jc w:val="right"/>
              <w:rPr>
                <w:rFonts w:ascii="Arial" w:hAnsi="Arial" w:cs="Arial"/>
                <w:sz w:val="16"/>
                <w:szCs w:val="16"/>
              </w:rPr>
            </w:pPr>
            <w:r w:rsidRPr="00852DD7">
              <w:rPr>
                <w:rFonts w:ascii="Arial" w:hAnsi="Arial" w:cs="Arial"/>
                <w:sz w:val="16"/>
                <w:szCs w:val="16"/>
              </w:rPr>
              <w:t>2021-22</w:t>
            </w:r>
            <w:r w:rsidRPr="00852DD7">
              <w:rPr>
                <w:rFonts w:ascii="Arial" w:hAnsi="Arial" w:cs="Arial"/>
                <w:sz w:val="16"/>
                <w:szCs w:val="16"/>
              </w:rPr>
              <w:br/>
              <w:t>Revised Budget</w:t>
            </w:r>
            <w:r w:rsidRPr="00852DD7">
              <w:rPr>
                <w:rFonts w:ascii="Arial" w:hAnsi="Arial" w:cs="Arial"/>
                <w:sz w:val="16"/>
                <w:szCs w:val="16"/>
              </w:rPr>
              <w:br/>
              <w:t>$'000</w:t>
            </w:r>
          </w:p>
        </w:tc>
        <w:tc>
          <w:tcPr>
            <w:tcW w:w="980" w:type="dxa"/>
            <w:tcBorders>
              <w:top w:val="single" w:sz="4" w:space="0" w:color="auto"/>
              <w:left w:val="nil"/>
              <w:bottom w:val="single" w:sz="4" w:space="0" w:color="auto"/>
              <w:right w:val="nil"/>
            </w:tcBorders>
            <w:shd w:val="clear" w:color="auto" w:fill="auto"/>
            <w:hideMark/>
          </w:tcPr>
          <w:p w14:paraId="468E71D4" w14:textId="77777777" w:rsidR="00852DD7" w:rsidRPr="00852DD7" w:rsidRDefault="00852DD7" w:rsidP="00852DD7">
            <w:pPr>
              <w:spacing w:after="0" w:line="240" w:lineRule="auto"/>
              <w:jc w:val="right"/>
              <w:rPr>
                <w:rFonts w:ascii="Arial" w:hAnsi="Arial" w:cs="Arial"/>
                <w:sz w:val="16"/>
                <w:szCs w:val="16"/>
              </w:rPr>
            </w:pPr>
            <w:r w:rsidRPr="00852DD7">
              <w:rPr>
                <w:rFonts w:ascii="Arial" w:hAnsi="Arial" w:cs="Arial"/>
                <w:sz w:val="16"/>
                <w:szCs w:val="16"/>
              </w:rPr>
              <w:t>2022-23 Forward estimate</w:t>
            </w:r>
            <w:r w:rsidRPr="00852DD7">
              <w:rPr>
                <w:rFonts w:ascii="Arial" w:hAnsi="Arial" w:cs="Arial"/>
                <w:sz w:val="16"/>
                <w:szCs w:val="16"/>
              </w:rPr>
              <w:br/>
              <w:t>$'000</w:t>
            </w:r>
          </w:p>
        </w:tc>
        <w:tc>
          <w:tcPr>
            <w:tcW w:w="980" w:type="dxa"/>
            <w:tcBorders>
              <w:top w:val="single" w:sz="4" w:space="0" w:color="auto"/>
              <w:left w:val="nil"/>
              <w:bottom w:val="single" w:sz="4" w:space="0" w:color="auto"/>
              <w:right w:val="nil"/>
            </w:tcBorders>
            <w:shd w:val="clear" w:color="auto" w:fill="auto"/>
            <w:hideMark/>
          </w:tcPr>
          <w:p w14:paraId="61B1B033" w14:textId="77777777" w:rsidR="00852DD7" w:rsidRPr="00852DD7" w:rsidRDefault="00852DD7" w:rsidP="00852DD7">
            <w:pPr>
              <w:spacing w:after="0" w:line="240" w:lineRule="auto"/>
              <w:jc w:val="right"/>
              <w:rPr>
                <w:rFonts w:ascii="Arial" w:hAnsi="Arial" w:cs="Arial"/>
                <w:sz w:val="16"/>
                <w:szCs w:val="16"/>
              </w:rPr>
            </w:pPr>
            <w:r w:rsidRPr="00852DD7">
              <w:rPr>
                <w:rFonts w:ascii="Arial" w:hAnsi="Arial" w:cs="Arial"/>
                <w:sz w:val="16"/>
                <w:szCs w:val="16"/>
              </w:rPr>
              <w:t>2023-24 Forward estimate</w:t>
            </w:r>
            <w:r w:rsidRPr="00852DD7">
              <w:rPr>
                <w:rFonts w:ascii="Arial" w:hAnsi="Arial" w:cs="Arial"/>
                <w:sz w:val="16"/>
                <w:szCs w:val="16"/>
              </w:rPr>
              <w:br/>
              <w:t>$'000</w:t>
            </w:r>
          </w:p>
        </w:tc>
        <w:tc>
          <w:tcPr>
            <w:tcW w:w="980" w:type="dxa"/>
            <w:tcBorders>
              <w:top w:val="single" w:sz="4" w:space="0" w:color="auto"/>
              <w:left w:val="nil"/>
              <w:bottom w:val="single" w:sz="4" w:space="0" w:color="auto"/>
              <w:right w:val="nil"/>
            </w:tcBorders>
            <w:shd w:val="clear" w:color="auto" w:fill="auto"/>
            <w:hideMark/>
          </w:tcPr>
          <w:p w14:paraId="78C17ABA" w14:textId="77777777" w:rsidR="00852DD7" w:rsidRPr="00852DD7" w:rsidRDefault="00852DD7" w:rsidP="00852DD7">
            <w:pPr>
              <w:spacing w:after="0" w:line="240" w:lineRule="auto"/>
              <w:jc w:val="right"/>
              <w:rPr>
                <w:rFonts w:ascii="Arial" w:hAnsi="Arial" w:cs="Arial"/>
                <w:sz w:val="16"/>
                <w:szCs w:val="16"/>
              </w:rPr>
            </w:pPr>
            <w:r w:rsidRPr="00852DD7">
              <w:rPr>
                <w:rFonts w:ascii="Arial" w:hAnsi="Arial" w:cs="Arial"/>
                <w:sz w:val="16"/>
                <w:szCs w:val="16"/>
              </w:rPr>
              <w:t>2024-25</w:t>
            </w:r>
            <w:r w:rsidRPr="00852DD7">
              <w:rPr>
                <w:rFonts w:ascii="Arial" w:hAnsi="Arial" w:cs="Arial"/>
                <w:sz w:val="16"/>
                <w:szCs w:val="16"/>
              </w:rPr>
              <w:br/>
              <w:t>Forward estimate</w:t>
            </w:r>
            <w:r w:rsidRPr="00852DD7">
              <w:rPr>
                <w:rFonts w:ascii="Arial" w:hAnsi="Arial" w:cs="Arial"/>
                <w:sz w:val="16"/>
                <w:szCs w:val="16"/>
              </w:rPr>
              <w:br/>
              <w:t>$'000</w:t>
            </w:r>
          </w:p>
        </w:tc>
      </w:tr>
      <w:tr w:rsidR="00852DD7" w:rsidRPr="00852DD7" w14:paraId="04735A57" w14:textId="77777777" w:rsidTr="00852DD7">
        <w:trPr>
          <w:trHeight w:val="204"/>
        </w:trPr>
        <w:tc>
          <w:tcPr>
            <w:tcW w:w="2860" w:type="dxa"/>
            <w:tcBorders>
              <w:top w:val="nil"/>
              <w:left w:val="nil"/>
              <w:bottom w:val="nil"/>
              <w:right w:val="nil"/>
            </w:tcBorders>
            <w:shd w:val="clear" w:color="auto" w:fill="auto"/>
            <w:noWrap/>
            <w:vAlign w:val="center"/>
            <w:hideMark/>
          </w:tcPr>
          <w:p w14:paraId="35B3DAB7" w14:textId="77777777" w:rsidR="00852DD7" w:rsidRPr="00852DD7" w:rsidRDefault="00852DD7" w:rsidP="00852DD7">
            <w:pPr>
              <w:spacing w:after="0" w:line="240" w:lineRule="auto"/>
              <w:jc w:val="left"/>
              <w:rPr>
                <w:rFonts w:ascii="Arial" w:hAnsi="Arial" w:cs="Arial"/>
                <w:b/>
                <w:bCs/>
                <w:color w:val="000000"/>
                <w:sz w:val="16"/>
                <w:szCs w:val="16"/>
              </w:rPr>
            </w:pPr>
            <w:r w:rsidRPr="00852DD7">
              <w:rPr>
                <w:rFonts w:ascii="Arial" w:hAnsi="Arial" w:cs="Arial"/>
                <w:b/>
                <w:bCs/>
                <w:color w:val="000000"/>
                <w:sz w:val="16"/>
                <w:szCs w:val="16"/>
              </w:rPr>
              <w:t xml:space="preserve">ASSETS </w:t>
            </w:r>
          </w:p>
        </w:tc>
        <w:tc>
          <w:tcPr>
            <w:tcW w:w="940" w:type="dxa"/>
            <w:tcBorders>
              <w:top w:val="nil"/>
              <w:left w:val="nil"/>
              <w:bottom w:val="nil"/>
              <w:right w:val="nil"/>
            </w:tcBorders>
            <w:shd w:val="clear" w:color="auto" w:fill="auto"/>
            <w:noWrap/>
            <w:vAlign w:val="bottom"/>
            <w:hideMark/>
          </w:tcPr>
          <w:p w14:paraId="4FDA64C3" w14:textId="77777777" w:rsidR="00852DD7" w:rsidRPr="00852DD7" w:rsidRDefault="00852DD7" w:rsidP="005A1CD1">
            <w:pPr>
              <w:spacing w:after="0" w:line="240" w:lineRule="auto"/>
              <w:jc w:val="right"/>
              <w:rPr>
                <w:rFonts w:ascii="Arial" w:hAnsi="Arial" w:cs="Arial"/>
                <w:b/>
                <w:bCs/>
                <w:color w:val="000000"/>
                <w:sz w:val="16"/>
                <w:szCs w:val="16"/>
              </w:rPr>
            </w:pPr>
          </w:p>
        </w:tc>
        <w:tc>
          <w:tcPr>
            <w:tcW w:w="980" w:type="dxa"/>
            <w:tcBorders>
              <w:top w:val="nil"/>
              <w:left w:val="nil"/>
              <w:bottom w:val="nil"/>
              <w:right w:val="nil"/>
            </w:tcBorders>
            <w:shd w:val="clear" w:color="000000" w:fill="E6E6E6"/>
            <w:noWrap/>
            <w:vAlign w:val="bottom"/>
            <w:hideMark/>
          </w:tcPr>
          <w:p w14:paraId="08587538" w14:textId="5ACF83C5" w:rsidR="00852DD7" w:rsidRPr="00852DD7" w:rsidRDefault="00852DD7" w:rsidP="005A1CD1">
            <w:pPr>
              <w:spacing w:after="0" w:line="240" w:lineRule="auto"/>
              <w:jc w:val="right"/>
              <w:rPr>
                <w:rFonts w:ascii="Arial"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449599CB" w14:textId="77777777" w:rsidR="00852DD7" w:rsidRPr="00852DD7" w:rsidRDefault="00852DD7" w:rsidP="005A1CD1">
            <w:pPr>
              <w:spacing w:after="0" w:line="240" w:lineRule="auto"/>
              <w:jc w:val="right"/>
              <w:rPr>
                <w:rFonts w:ascii="Arial"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3A39E048" w14:textId="77777777" w:rsidR="00852DD7" w:rsidRPr="00852DD7" w:rsidRDefault="00852DD7" w:rsidP="005A1CD1">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595DF456" w14:textId="77777777" w:rsidR="00852DD7" w:rsidRPr="00852DD7" w:rsidRDefault="00852DD7" w:rsidP="005A1CD1">
            <w:pPr>
              <w:spacing w:after="0" w:line="240" w:lineRule="auto"/>
              <w:jc w:val="right"/>
              <w:rPr>
                <w:rFonts w:ascii="Arial" w:hAnsi="Arial" w:cs="Arial"/>
                <w:sz w:val="16"/>
                <w:szCs w:val="16"/>
              </w:rPr>
            </w:pPr>
          </w:p>
        </w:tc>
      </w:tr>
      <w:tr w:rsidR="00852DD7" w:rsidRPr="00852DD7" w14:paraId="5659D40C" w14:textId="77777777" w:rsidTr="00852DD7">
        <w:trPr>
          <w:trHeight w:val="204"/>
        </w:trPr>
        <w:tc>
          <w:tcPr>
            <w:tcW w:w="2860" w:type="dxa"/>
            <w:tcBorders>
              <w:top w:val="nil"/>
              <w:left w:val="nil"/>
              <w:bottom w:val="nil"/>
              <w:right w:val="nil"/>
            </w:tcBorders>
            <w:shd w:val="clear" w:color="auto" w:fill="auto"/>
            <w:noWrap/>
            <w:vAlign w:val="center"/>
            <w:hideMark/>
          </w:tcPr>
          <w:p w14:paraId="585D7FF0" w14:textId="77777777" w:rsidR="00852DD7" w:rsidRPr="00852DD7" w:rsidRDefault="00852DD7" w:rsidP="00852DD7">
            <w:pPr>
              <w:spacing w:after="0" w:line="240" w:lineRule="auto"/>
              <w:jc w:val="left"/>
              <w:rPr>
                <w:rFonts w:ascii="Arial" w:hAnsi="Arial" w:cs="Arial"/>
                <w:b/>
                <w:bCs/>
                <w:color w:val="000000"/>
                <w:sz w:val="16"/>
                <w:szCs w:val="16"/>
              </w:rPr>
            </w:pPr>
            <w:r w:rsidRPr="00852DD7">
              <w:rPr>
                <w:rFonts w:ascii="Arial" w:hAnsi="Arial" w:cs="Arial"/>
                <w:b/>
                <w:bCs/>
                <w:color w:val="000000"/>
                <w:sz w:val="16"/>
                <w:szCs w:val="16"/>
              </w:rPr>
              <w:t>Financial assets</w:t>
            </w:r>
          </w:p>
        </w:tc>
        <w:tc>
          <w:tcPr>
            <w:tcW w:w="940" w:type="dxa"/>
            <w:tcBorders>
              <w:top w:val="nil"/>
              <w:left w:val="nil"/>
              <w:bottom w:val="nil"/>
              <w:right w:val="nil"/>
            </w:tcBorders>
            <w:shd w:val="clear" w:color="auto" w:fill="auto"/>
            <w:noWrap/>
            <w:vAlign w:val="bottom"/>
            <w:hideMark/>
          </w:tcPr>
          <w:p w14:paraId="16020D35" w14:textId="77777777" w:rsidR="00852DD7" w:rsidRPr="00852DD7" w:rsidRDefault="00852DD7" w:rsidP="005A1CD1">
            <w:pPr>
              <w:spacing w:after="0" w:line="240" w:lineRule="auto"/>
              <w:jc w:val="right"/>
              <w:rPr>
                <w:rFonts w:ascii="Arial" w:hAnsi="Arial" w:cs="Arial"/>
                <w:b/>
                <w:bCs/>
                <w:color w:val="000000"/>
                <w:sz w:val="16"/>
                <w:szCs w:val="16"/>
              </w:rPr>
            </w:pPr>
          </w:p>
        </w:tc>
        <w:tc>
          <w:tcPr>
            <w:tcW w:w="980" w:type="dxa"/>
            <w:tcBorders>
              <w:top w:val="nil"/>
              <w:left w:val="nil"/>
              <w:bottom w:val="nil"/>
              <w:right w:val="nil"/>
            </w:tcBorders>
            <w:shd w:val="clear" w:color="000000" w:fill="E6E6E6"/>
            <w:noWrap/>
            <w:vAlign w:val="bottom"/>
            <w:hideMark/>
          </w:tcPr>
          <w:p w14:paraId="67C156C2" w14:textId="65FF15CC" w:rsidR="00852DD7" w:rsidRPr="00852DD7" w:rsidRDefault="00852DD7" w:rsidP="005A1CD1">
            <w:pPr>
              <w:spacing w:after="0" w:line="240" w:lineRule="auto"/>
              <w:jc w:val="right"/>
              <w:rPr>
                <w:rFonts w:ascii="Arial"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7F2A4CA1" w14:textId="77777777" w:rsidR="00852DD7" w:rsidRPr="00852DD7" w:rsidRDefault="00852DD7" w:rsidP="005A1CD1">
            <w:pPr>
              <w:spacing w:after="0" w:line="240" w:lineRule="auto"/>
              <w:jc w:val="right"/>
              <w:rPr>
                <w:rFonts w:ascii="Arial"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14CABBDF" w14:textId="77777777" w:rsidR="00852DD7" w:rsidRPr="00852DD7" w:rsidRDefault="00852DD7" w:rsidP="005A1CD1">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40960565" w14:textId="77777777" w:rsidR="00852DD7" w:rsidRPr="00852DD7" w:rsidRDefault="00852DD7" w:rsidP="005A1CD1">
            <w:pPr>
              <w:spacing w:after="0" w:line="240" w:lineRule="auto"/>
              <w:jc w:val="right"/>
              <w:rPr>
                <w:rFonts w:ascii="Arial" w:hAnsi="Arial" w:cs="Arial"/>
                <w:sz w:val="16"/>
                <w:szCs w:val="16"/>
              </w:rPr>
            </w:pPr>
          </w:p>
        </w:tc>
      </w:tr>
      <w:tr w:rsidR="00852DD7" w:rsidRPr="00852DD7" w14:paraId="340EC5E0" w14:textId="77777777" w:rsidTr="00852DD7">
        <w:trPr>
          <w:trHeight w:val="204"/>
        </w:trPr>
        <w:tc>
          <w:tcPr>
            <w:tcW w:w="2860" w:type="dxa"/>
            <w:tcBorders>
              <w:top w:val="nil"/>
              <w:left w:val="nil"/>
              <w:bottom w:val="nil"/>
              <w:right w:val="nil"/>
            </w:tcBorders>
            <w:shd w:val="clear" w:color="auto" w:fill="auto"/>
            <w:noWrap/>
            <w:vAlign w:val="center"/>
            <w:hideMark/>
          </w:tcPr>
          <w:p w14:paraId="4F28C0D3" w14:textId="77777777" w:rsidR="00852DD7" w:rsidRPr="00852DD7" w:rsidRDefault="00852DD7" w:rsidP="0084116E">
            <w:pPr>
              <w:spacing w:after="0" w:line="240" w:lineRule="auto"/>
              <w:ind w:left="113"/>
              <w:jc w:val="left"/>
              <w:rPr>
                <w:rFonts w:ascii="Arial" w:hAnsi="Arial" w:cs="Arial"/>
                <w:sz w:val="16"/>
                <w:szCs w:val="16"/>
              </w:rPr>
            </w:pPr>
            <w:r w:rsidRPr="00852DD7">
              <w:rPr>
                <w:rFonts w:ascii="Arial" w:hAnsi="Arial" w:cs="Arial"/>
                <w:sz w:val="16"/>
                <w:szCs w:val="16"/>
              </w:rPr>
              <w:t>Cash and cash equivalents</w:t>
            </w:r>
          </w:p>
        </w:tc>
        <w:tc>
          <w:tcPr>
            <w:tcW w:w="940" w:type="dxa"/>
            <w:tcBorders>
              <w:top w:val="nil"/>
              <w:left w:val="nil"/>
              <w:bottom w:val="nil"/>
              <w:right w:val="nil"/>
            </w:tcBorders>
            <w:shd w:val="clear" w:color="auto" w:fill="auto"/>
            <w:noWrap/>
            <w:vAlign w:val="bottom"/>
            <w:hideMark/>
          </w:tcPr>
          <w:p w14:paraId="697A5124" w14:textId="05F42F45"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815</w:t>
            </w:r>
          </w:p>
        </w:tc>
        <w:tc>
          <w:tcPr>
            <w:tcW w:w="980" w:type="dxa"/>
            <w:tcBorders>
              <w:top w:val="nil"/>
              <w:left w:val="nil"/>
              <w:bottom w:val="nil"/>
              <w:right w:val="nil"/>
            </w:tcBorders>
            <w:shd w:val="clear" w:color="000000" w:fill="E6E6E6"/>
            <w:noWrap/>
            <w:vAlign w:val="bottom"/>
            <w:hideMark/>
          </w:tcPr>
          <w:p w14:paraId="1487C0E6" w14:textId="03C61CB9"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815</w:t>
            </w:r>
          </w:p>
        </w:tc>
        <w:tc>
          <w:tcPr>
            <w:tcW w:w="980" w:type="dxa"/>
            <w:tcBorders>
              <w:top w:val="nil"/>
              <w:left w:val="nil"/>
              <w:bottom w:val="nil"/>
              <w:right w:val="nil"/>
            </w:tcBorders>
            <w:shd w:val="clear" w:color="auto" w:fill="auto"/>
            <w:noWrap/>
            <w:vAlign w:val="bottom"/>
            <w:hideMark/>
          </w:tcPr>
          <w:p w14:paraId="370003D5" w14:textId="62489097"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815</w:t>
            </w:r>
          </w:p>
        </w:tc>
        <w:tc>
          <w:tcPr>
            <w:tcW w:w="980" w:type="dxa"/>
            <w:tcBorders>
              <w:top w:val="nil"/>
              <w:left w:val="nil"/>
              <w:bottom w:val="nil"/>
              <w:right w:val="nil"/>
            </w:tcBorders>
            <w:shd w:val="clear" w:color="auto" w:fill="auto"/>
            <w:noWrap/>
            <w:vAlign w:val="bottom"/>
            <w:hideMark/>
          </w:tcPr>
          <w:p w14:paraId="169FD8C6" w14:textId="14DFD137"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815</w:t>
            </w:r>
          </w:p>
        </w:tc>
        <w:tc>
          <w:tcPr>
            <w:tcW w:w="980" w:type="dxa"/>
            <w:tcBorders>
              <w:top w:val="nil"/>
              <w:left w:val="nil"/>
              <w:bottom w:val="nil"/>
              <w:right w:val="nil"/>
            </w:tcBorders>
            <w:shd w:val="clear" w:color="auto" w:fill="auto"/>
            <w:noWrap/>
            <w:vAlign w:val="bottom"/>
            <w:hideMark/>
          </w:tcPr>
          <w:p w14:paraId="0D4BE7F8" w14:textId="6969F515"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815</w:t>
            </w:r>
          </w:p>
        </w:tc>
      </w:tr>
      <w:tr w:rsidR="00852DD7" w:rsidRPr="00852DD7" w14:paraId="4BD75E26" w14:textId="77777777" w:rsidTr="00852DD7">
        <w:trPr>
          <w:trHeight w:val="204"/>
        </w:trPr>
        <w:tc>
          <w:tcPr>
            <w:tcW w:w="2860" w:type="dxa"/>
            <w:tcBorders>
              <w:top w:val="nil"/>
              <w:left w:val="nil"/>
              <w:bottom w:val="nil"/>
              <w:right w:val="nil"/>
            </w:tcBorders>
            <w:shd w:val="clear" w:color="auto" w:fill="auto"/>
            <w:noWrap/>
            <w:vAlign w:val="center"/>
            <w:hideMark/>
          </w:tcPr>
          <w:p w14:paraId="35C9DF5E" w14:textId="77777777" w:rsidR="00852DD7" w:rsidRPr="00852DD7" w:rsidRDefault="00852DD7" w:rsidP="0084116E">
            <w:pPr>
              <w:spacing w:after="0" w:line="240" w:lineRule="auto"/>
              <w:ind w:left="113"/>
              <w:jc w:val="left"/>
              <w:rPr>
                <w:rFonts w:ascii="Arial" w:hAnsi="Arial" w:cs="Arial"/>
                <w:sz w:val="16"/>
                <w:szCs w:val="16"/>
              </w:rPr>
            </w:pPr>
            <w:r w:rsidRPr="00852DD7">
              <w:rPr>
                <w:rFonts w:ascii="Arial" w:hAnsi="Arial" w:cs="Arial"/>
                <w:sz w:val="16"/>
                <w:szCs w:val="16"/>
              </w:rPr>
              <w:t xml:space="preserve">Taxation receivables </w:t>
            </w:r>
            <w:r w:rsidRPr="00852DD7">
              <w:rPr>
                <w:rFonts w:ascii="Arial" w:hAnsi="Arial" w:cs="Arial"/>
                <w:sz w:val="16"/>
                <w:szCs w:val="16"/>
                <w:vertAlign w:val="superscript"/>
              </w:rPr>
              <w:t>(a)</w:t>
            </w:r>
          </w:p>
        </w:tc>
        <w:tc>
          <w:tcPr>
            <w:tcW w:w="940" w:type="dxa"/>
            <w:tcBorders>
              <w:top w:val="nil"/>
              <w:left w:val="nil"/>
              <w:bottom w:val="nil"/>
              <w:right w:val="nil"/>
            </w:tcBorders>
            <w:shd w:val="clear" w:color="auto" w:fill="auto"/>
            <w:noWrap/>
            <w:vAlign w:val="bottom"/>
            <w:hideMark/>
          </w:tcPr>
          <w:p w14:paraId="1C8AED72" w14:textId="20EC191F"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392,156</w:t>
            </w:r>
          </w:p>
        </w:tc>
        <w:tc>
          <w:tcPr>
            <w:tcW w:w="980" w:type="dxa"/>
            <w:tcBorders>
              <w:top w:val="nil"/>
              <w:left w:val="nil"/>
              <w:bottom w:val="nil"/>
              <w:right w:val="nil"/>
            </w:tcBorders>
            <w:shd w:val="clear" w:color="000000" w:fill="E6E6E6"/>
            <w:noWrap/>
            <w:vAlign w:val="bottom"/>
            <w:hideMark/>
          </w:tcPr>
          <w:p w14:paraId="18C3EF28" w14:textId="1C8C82B8"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792,016</w:t>
            </w:r>
          </w:p>
        </w:tc>
        <w:tc>
          <w:tcPr>
            <w:tcW w:w="980" w:type="dxa"/>
            <w:tcBorders>
              <w:top w:val="nil"/>
              <w:left w:val="nil"/>
              <w:bottom w:val="nil"/>
              <w:right w:val="nil"/>
            </w:tcBorders>
            <w:shd w:val="clear" w:color="auto" w:fill="auto"/>
            <w:noWrap/>
            <w:vAlign w:val="bottom"/>
            <w:hideMark/>
          </w:tcPr>
          <w:p w14:paraId="2FBA829C" w14:textId="557F991F"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832,438</w:t>
            </w:r>
          </w:p>
        </w:tc>
        <w:tc>
          <w:tcPr>
            <w:tcW w:w="980" w:type="dxa"/>
            <w:tcBorders>
              <w:top w:val="nil"/>
              <w:left w:val="nil"/>
              <w:bottom w:val="nil"/>
              <w:right w:val="nil"/>
            </w:tcBorders>
            <w:shd w:val="clear" w:color="auto" w:fill="auto"/>
            <w:noWrap/>
            <w:vAlign w:val="bottom"/>
            <w:hideMark/>
          </w:tcPr>
          <w:p w14:paraId="2131738A" w14:textId="1B2210A8"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862,438</w:t>
            </w:r>
          </w:p>
        </w:tc>
        <w:tc>
          <w:tcPr>
            <w:tcW w:w="980" w:type="dxa"/>
            <w:tcBorders>
              <w:top w:val="nil"/>
              <w:left w:val="nil"/>
              <w:bottom w:val="nil"/>
              <w:right w:val="nil"/>
            </w:tcBorders>
            <w:shd w:val="clear" w:color="auto" w:fill="auto"/>
            <w:noWrap/>
            <w:vAlign w:val="bottom"/>
            <w:hideMark/>
          </w:tcPr>
          <w:p w14:paraId="012A38F2" w14:textId="04E5C112"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862,438</w:t>
            </w:r>
          </w:p>
        </w:tc>
      </w:tr>
      <w:tr w:rsidR="00852DD7" w:rsidRPr="00852DD7" w14:paraId="42479B25" w14:textId="77777777" w:rsidTr="00852DD7">
        <w:trPr>
          <w:trHeight w:val="204"/>
        </w:trPr>
        <w:tc>
          <w:tcPr>
            <w:tcW w:w="2860" w:type="dxa"/>
            <w:tcBorders>
              <w:top w:val="nil"/>
              <w:left w:val="nil"/>
              <w:bottom w:val="nil"/>
              <w:right w:val="nil"/>
            </w:tcBorders>
            <w:shd w:val="clear" w:color="auto" w:fill="auto"/>
            <w:noWrap/>
            <w:vAlign w:val="center"/>
            <w:hideMark/>
          </w:tcPr>
          <w:p w14:paraId="2043C787" w14:textId="77777777" w:rsidR="00852DD7" w:rsidRPr="00852DD7" w:rsidRDefault="00852DD7" w:rsidP="0084116E">
            <w:pPr>
              <w:spacing w:after="0" w:line="240" w:lineRule="auto"/>
              <w:ind w:left="113"/>
              <w:jc w:val="left"/>
              <w:rPr>
                <w:rFonts w:ascii="Arial" w:hAnsi="Arial" w:cs="Arial"/>
                <w:color w:val="000000"/>
                <w:sz w:val="16"/>
                <w:szCs w:val="16"/>
              </w:rPr>
            </w:pPr>
            <w:r w:rsidRPr="00852DD7">
              <w:rPr>
                <w:rFonts w:ascii="Arial" w:hAnsi="Arial" w:cs="Arial"/>
                <w:color w:val="000000"/>
                <w:sz w:val="16"/>
                <w:szCs w:val="16"/>
              </w:rPr>
              <w:t xml:space="preserve">Trade and other receivables </w:t>
            </w:r>
            <w:r w:rsidRPr="00852DD7">
              <w:rPr>
                <w:rFonts w:ascii="Arial" w:hAnsi="Arial" w:cs="Arial"/>
                <w:color w:val="000000"/>
                <w:sz w:val="16"/>
                <w:szCs w:val="16"/>
                <w:vertAlign w:val="superscript"/>
              </w:rPr>
              <w:t>(b)</w:t>
            </w:r>
          </w:p>
        </w:tc>
        <w:tc>
          <w:tcPr>
            <w:tcW w:w="940" w:type="dxa"/>
            <w:tcBorders>
              <w:top w:val="nil"/>
              <w:left w:val="nil"/>
              <w:bottom w:val="nil"/>
              <w:right w:val="nil"/>
            </w:tcBorders>
            <w:shd w:val="clear" w:color="auto" w:fill="auto"/>
            <w:noWrap/>
            <w:vAlign w:val="bottom"/>
            <w:hideMark/>
          </w:tcPr>
          <w:p w14:paraId="634A3E50" w14:textId="7D2C8050"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61,338</w:t>
            </w:r>
          </w:p>
        </w:tc>
        <w:tc>
          <w:tcPr>
            <w:tcW w:w="980" w:type="dxa"/>
            <w:tcBorders>
              <w:top w:val="nil"/>
              <w:left w:val="nil"/>
              <w:bottom w:val="nil"/>
              <w:right w:val="nil"/>
            </w:tcBorders>
            <w:shd w:val="clear" w:color="000000" w:fill="E6E6E6"/>
            <w:noWrap/>
            <w:vAlign w:val="bottom"/>
            <w:hideMark/>
          </w:tcPr>
          <w:p w14:paraId="32456CB6" w14:textId="2F4386C8"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586,555</w:t>
            </w:r>
          </w:p>
        </w:tc>
        <w:tc>
          <w:tcPr>
            <w:tcW w:w="980" w:type="dxa"/>
            <w:tcBorders>
              <w:top w:val="nil"/>
              <w:left w:val="nil"/>
              <w:bottom w:val="nil"/>
              <w:right w:val="nil"/>
            </w:tcBorders>
            <w:shd w:val="clear" w:color="auto" w:fill="auto"/>
            <w:noWrap/>
            <w:vAlign w:val="bottom"/>
            <w:hideMark/>
          </w:tcPr>
          <w:p w14:paraId="2C68604E" w14:textId="4C967B1A"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499,429</w:t>
            </w:r>
          </w:p>
        </w:tc>
        <w:tc>
          <w:tcPr>
            <w:tcW w:w="980" w:type="dxa"/>
            <w:tcBorders>
              <w:top w:val="nil"/>
              <w:left w:val="nil"/>
              <w:bottom w:val="nil"/>
              <w:right w:val="nil"/>
            </w:tcBorders>
            <w:shd w:val="clear" w:color="auto" w:fill="auto"/>
            <w:noWrap/>
            <w:vAlign w:val="bottom"/>
            <w:hideMark/>
          </w:tcPr>
          <w:p w14:paraId="3B43502D" w14:textId="43FD631F"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368,223</w:t>
            </w:r>
          </w:p>
        </w:tc>
        <w:tc>
          <w:tcPr>
            <w:tcW w:w="980" w:type="dxa"/>
            <w:tcBorders>
              <w:top w:val="nil"/>
              <w:left w:val="nil"/>
              <w:bottom w:val="nil"/>
              <w:right w:val="nil"/>
            </w:tcBorders>
            <w:shd w:val="clear" w:color="auto" w:fill="auto"/>
            <w:noWrap/>
            <w:vAlign w:val="bottom"/>
            <w:hideMark/>
          </w:tcPr>
          <w:p w14:paraId="20679EE6" w14:textId="6AD06B75"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236,821</w:t>
            </w:r>
          </w:p>
        </w:tc>
      </w:tr>
      <w:tr w:rsidR="00852DD7" w:rsidRPr="00852DD7" w14:paraId="40D79B8D" w14:textId="77777777" w:rsidTr="00852DD7">
        <w:trPr>
          <w:trHeight w:val="204"/>
        </w:trPr>
        <w:tc>
          <w:tcPr>
            <w:tcW w:w="2860" w:type="dxa"/>
            <w:tcBorders>
              <w:top w:val="nil"/>
              <w:left w:val="nil"/>
              <w:bottom w:val="nil"/>
              <w:right w:val="nil"/>
            </w:tcBorders>
            <w:shd w:val="clear" w:color="auto" w:fill="auto"/>
            <w:noWrap/>
            <w:vAlign w:val="center"/>
            <w:hideMark/>
          </w:tcPr>
          <w:p w14:paraId="5017C01E" w14:textId="77777777" w:rsidR="00852DD7" w:rsidRPr="00852DD7" w:rsidRDefault="00852DD7" w:rsidP="0084116E">
            <w:pPr>
              <w:spacing w:after="0" w:line="240" w:lineRule="auto"/>
              <w:ind w:left="113"/>
              <w:jc w:val="left"/>
              <w:rPr>
                <w:rFonts w:ascii="Arial" w:hAnsi="Arial" w:cs="Arial"/>
                <w:color w:val="000000"/>
                <w:sz w:val="16"/>
                <w:szCs w:val="16"/>
              </w:rPr>
            </w:pPr>
            <w:r w:rsidRPr="00852DD7">
              <w:rPr>
                <w:rFonts w:ascii="Arial" w:hAnsi="Arial" w:cs="Arial"/>
                <w:color w:val="000000"/>
                <w:sz w:val="16"/>
                <w:szCs w:val="16"/>
              </w:rPr>
              <w:t>Other financial assets</w:t>
            </w:r>
          </w:p>
        </w:tc>
        <w:tc>
          <w:tcPr>
            <w:tcW w:w="940" w:type="dxa"/>
            <w:tcBorders>
              <w:top w:val="nil"/>
              <w:left w:val="nil"/>
              <w:bottom w:val="nil"/>
              <w:right w:val="nil"/>
            </w:tcBorders>
            <w:shd w:val="clear" w:color="auto" w:fill="auto"/>
            <w:noWrap/>
            <w:vAlign w:val="bottom"/>
            <w:hideMark/>
          </w:tcPr>
          <w:p w14:paraId="3A322B65" w14:textId="58B7677B"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18</w:t>
            </w:r>
          </w:p>
        </w:tc>
        <w:tc>
          <w:tcPr>
            <w:tcW w:w="980" w:type="dxa"/>
            <w:tcBorders>
              <w:top w:val="nil"/>
              <w:left w:val="nil"/>
              <w:bottom w:val="nil"/>
              <w:right w:val="nil"/>
            </w:tcBorders>
            <w:shd w:val="clear" w:color="000000" w:fill="E6E6E6"/>
            <w:noWrap/>
            <w:vAlign w:val="bottom"/>
            <w:hideMark/>
          </w:tcPr>
          <w:p w14:paraId="31B79C22" w14:textId="0F09BCD1"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18</w:t>
            </w:r>
          </w:p>
        </w:tc>
        <w:tc>
          <w:tcPr>
            <w:tcW w:w="980" w:type="dxa"/>
            <w:tcBorders>
              <w:top w:val="nil"/>
              <w:left w:val="nil"/>
              <w:bottom w:val="nil"/>
              <w:right w:val="nil"/>
            </w:tcBorders>
            <w:shd w:val="clear" w:color="auto" w:fill="auto"/>
            <w:noWrap/>
            <w:vAlign w:val="bottom"/>
            <w:hideMark/>
          </w:tcPr>
          <w:p w14:paraId="6BED810B" w14:textId="039D5D52"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18</w:t>
            </w:r>
          </w:p>
        </w:tc>
        <w:tc>
          <w:tcPr>
            <w:tcW w:w="980" w:type="dxa"/>
            <w:tcBorders>
              <w:top w:val="nil"/>
              <w:left w:val="nil"/>
              <w:bottom w:val="nil"/>
              <w:right w:val="nil"/>
            </w:tcBorders>
            <w:shd w:val="clear" w:color="auto" w:fill="auto"/>
            <w:noWrap/>
            <w:vAlign w:val="bottom"/>
            <w:hideMark/>
          </w:tcPr>
          <w:p w14:paraId="117C61C9" w14:textId="4711B987"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18</w:t>
            </w:r>
          </w:p>
        </w:tc>
        <w:tc>
          <w:tcPr>
            <w:tcW w:w="980" w:type="dxa"/>
            <w:tcBorders>
              <w:top w:val="nil"/>
              <w:left w:val="nil"/>
              <w:bottom w:val="nil"/>
              <w:right w:val="nil"/>
            </w:tcBorders>
            <w:shd w:val="clear" w:color="auto" w:fill="auto"/>
            <w:noWrap/>
            <w:vAlign w:val="bottom"/>
            <w:hideMark/>
          </w:tcPr>
          <w:p w14:paraId="6BC006F3" w14:textId="0E07465D"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18</w:t>
            </w:r>
          </w:p>
        </w:tc>
      </w:tr>
      <w:tr w:rsidR="00852DD7" w:rsidRPr="00852DD7" w14:paraId="2D22CEA4" w14:textId="77777777" w:rsidTr="00852DD7">
        <w:trPr>
          <w:trHeight w:val="204"/>
        </w:trPr>
        <w:tc>
          <w:tcPr>
            <w:tcW w:w="2860" w:type="dxa"/>
            <w:tcBorders>
              <w:top w:val="nil"/>
              <w:left w:val="nil"/>
              <w:bottom w:val="nil"/>
              <w:right w:val="nil"/>
            </w:tcBorders>
            <w:shd w:val="clear" w:color="auto" w:fill="auto"/>
            <w:noWrap/>
            <w:vAlign w:val="center"/>
            <w:hideMark/>
          </w:tcPr>
          <w:p w14:paraId="2A77530E" w14:textId="77777777" w:rsidR="00852DD7" w:rsidRPr="00852DD7" w:rsidRDefault="00852DD7" w:rsidP="00852DD7">
            <w:pPr>
              <w:spacing w:after="0" w:line="240" w:lineRule="auto"/>
              <w:jc w:val="left"/>
              <w:rPr>
                <w:rFonts w:ascii="Arial" w:hAnsi="Arial" w:cs="Arial"/>
                <w:b/>
                <w:bCs/>
                <w:i/>
                <w:iCs/>
                <w:color w:val="000000"/>
                <w:sz w:val="16"/>
                <w:szCs w:val="16"/>
              </w:rPr>
            </w:pPr>
            <w:r w:rsidRPr="00852DD7">
              <w:rPr>
                <w:rFonts w:ascii="Arial" w:hAnsi="Arial" w:cs="Arial"/>
                <w:b/>
                <w:bCs/>
                <w:i/>
                <w:iCs/>
                <w:color w:val="000000"/>
                <w:sz w:val="16"/>
                <w:szCs w:val="16"/>
              </w:rPr>
              <w:t>Total financial assets</w:t>
            </w:r>
          </w:p>
        </w:tc>
        <w:tc>
          <w:tcPr>
            <w:tcW w:w="940" w:type="dxa"/>
            <w:tcBorders>
              <w:top w:val="single" w:sz="4" w:space="0" w:color="000000"/>
              <w:left w:val="nil"/>
              <w:bottom w:val="single" w:sz="4" w:space="0" w:color="000000"/>
              <w:right w:val="nil"/>
            </w:tcBorders>
            <w:shd w:val="clear" w:color="auto" w:fill="auto"/>
            <w:noWrap/>
            <w:vAlign w:val="bottom"/>
            <w:hideMark/>
          </w:tcPr>
          <w:p w14:paraId="3EBA09F7" w14:textId="48231ADA" w:rsidR="00852DD7" w:rsidRPr="00852DD7" w:rsidRDefault="00852DD7" w:rsidP="005A1CD1">
            <w:pPr>
              <w:spacing w:after="0" w:line="240" w:lineRule="auto"/>
              <w:jc w:val="right"/>
              <w:rPr>
                <w:rFonts w:ascii="Arial" w:hAnsi="Arial" w:cs="Arial"/>
                <w:b/>
                <w:bCs/>
                <w:i/>
                <w:iCs/>
                <w:color w:val="000000"/>
                <w:sz w:val="16"/>
                <w:szCs w:val="16"/>
              </w:rPr>
            </w:pPr>
            <w:r w:rsidRPr="00852DD7">
              <w:rPr>
                <w:rFonts w:ascii="Arial" w:hAnsi="Arial" w:cs="Arial"/>
                <w:b/>
                <w:bCs/>
                <w:i/>
                <w:iCs/>
                <w:color w:val="000000"/>
                <w:sz w:val="16"/>
                <w:szCs w:val="16"/>
              </w:rPr>
              <w:t>454,327</w:t>
            </w:r>
          </w:p>
        </w:tc>
        <w:tc>
          <w:tcPr>
            <w:tcW w:w="980" w:type="dxa"/>
            <w:tcBorders>
              <w:top w:val="single" w:sz="4" w:space="0" w:color="000000"/>
              <w:left w:val="nil"/>
              <w:bottom w:val="single" w:sz="4" w:space="0" w:color="000000"/>
              <w:right w:val="nil"/>
            </w:tcBorders>
            <w:shd w:val="clear" w:color="000000" w:fill="E6E6E6"/>
            <w:noWrap/>
            <w:vAlign w:val="bottom"/>
            <w:hideMark/>
          </w:tcPr>
          <w:p w14:paraId="021D2652" w14:textId="05C9F876" w:rsidR="00852DD7" w:rsidRPr="00852DD7" w:rsidRDefault="00852DD7" w:rsidP="005A1CD1">
            <w:pPr>
              <w:spacing w:after="0" w:line="240" w:lineRule="auto"/>
              <w:jc w:val="right"/>
              <w:rPr>
                <w:rFonts w:ascii="Arial" w:hAnsi="Arial" w:cs="Arial"/>
                <w:b/>
                <w:bCs/>
                <w:i/>
                <w:iCs/>
                <w:color w:val="000000"/>
                <w:sz w:val="16"/>
                <w:szCs w:val="16"/>
              </w:rPr>
            </w:pPr>
            <w:r w:rsidRPr="00852DD7">
              <w:rPr>
                <w:rFonts w:ascii="Arial" w:hAnsi="Arial" w:cs="Arial"/>
                <w:b/>
                <w:bCs/>
                <w:i/>
                <w:iCs/>
                <w:color w:val="000000"/>
                <w:sz w:val="16"/>
                <w:szCs w:val="16"/>
              </w:rPr>
              <w:t>1,379,404</w:t>
            </w:r>
          </w:p>
        </w:tc>
        <w:tc>
          <w:tcPr>
            <w:tcW w:w="980" w:type="dxa"/>
            <w:tcBorders>
              <w:top w:val="single" w:sz="4" w:space="0" w:color="000000"/>
              <w:left w:val="nil"/>
              <w:bottom w:val="single" w:sz="4" w:space="0" w:color="000000"/>
              <w:right w:val="nil"/>
            </w:tcBorders>
            <w:shd w:val="clear" w:color="auto" w:fill="auto"/>
            <w:noWrap/>
            <w:vAlign w:val="bottom"/>
            <w:hideMark/>
          </w:tcPr>
          <w:p w14:paraId="3353C63F" w14:textId="304D837C" w:rsidR="00852DD7" w:rsidRPr="00852DD7" w:rsidRDefault="00852DD7" w:rsidP="005A1CD1">
            <w:pPr>
              <w:spacing w:after="0" w:line="240" w:lineRule="auto"/>
              <w:jc w:val="right"/>
              <w:rPr>
                <w:rFonts w:ascii="Arial" w:hAnsi="Arial" w:cs="Arial"/>
                <w:b/>
                <w:bCs/>
                <w:i/>
                <w:iCs/>
                <w:color w:val="000000"/>
                <w:sz w:val="16"/>
                <w:szCs w:val="16"/>
              </w:rPr>
            </w:pPr>
            <w:r w:rsidRPr="00852DD7">
              <w:rPr>
                <w:rFonts w:ascii="Arial" w:hAnsi="Arial" w:cs="Arial"/>
                <w:b/>
                <w:bCs/>
                <w:i/>
                <w:iCs/>
                <w:color w:val="000000"/>
                <w:sz w:val="16"/>
                <w:szCs w:val="16"/>
              </w:rPr>
              <w:t>1,332,700</w:t>
            </w:r>
          </w:p>
        </w:tc>
        <w:tc>
          <w:tcPr>
            <w:tcW w:w="980" w:type="dxa"/>
            <w:tcBorders>
              <w:top w:val="single" w:sz="4" w:space="0" w:color="000000"/>
              <w:left w:val="nil"/>
              <w:bottom w:val="single" w:sz="4" w:space="0" w:color="000000"/>
              <w:right w:val="nil"/>
            </w:tcBorders>
            <w:shd w:val="clear" w:color="auto" w:fill="auto"/>
            <w:noWrap/>
            <w:vAlign w:val="bottom"/>
            <w:hideMark/>
          </w:tcPr>
          <w:p w14:paraId="2FE92A0B" w14:textId="28BA03DD" w:rsidR="00852DD7" w:rsidRPr="00852DD7" w:rsidRDefault="00852DD7" w:rsidP="005A1CD1">
            <w:pPr>
              <w:spacing w:after="0" w:line="240" w:lineRule="auto"/>
              <w:jc w:val="right"/>
              <w:rPr>
                <w:rFonts w:ascii="Arial" w:hAnsi="Arial" w:cs="Arial"/>
                <w:b/>
                <w:bCs/>
                <w:i/>
                <w:iCs/>
                <w:color w:val="000000"/>
                <w:sz w:val="16"/>
                <w:szCs w:val="16"/>
              </w:rPr>
            </w:pPr>
            <w:r w:rsidRPr="00852DD7">
              <w:rPr>
                <w:rFonts w:ascii="Arial" w:hAnsi="Arial" w:cs="Arial"/>
                <w:b/>
                <w:bCs/>
                <w:i/>
                <w:iCs/>
                <w:color w:val="000000"/>
                <w:sz w:val="16"/>
                <w:szCs w:val="16"/>
              </w:rPr>
              <w:t>1,231,494</w:t>
            </w:r>
          </w:p>
        </w:tc>
        <w:tc>
          <w:tcPr>
            <w:tcW w:w="980" w:type="dxa"/>
            <w:tcBorders>
              <w:top w:val="single" w:sz="4" w:space="0" w:color="000000"/>
              <w:left w:val="nil"/>
              <w:bottom w:val="single" w:sz="4" w:space="0" w:color="000000"/>
              <w:right w:val="nil"/>
            </w:tcBorders>
            <w:shd w:val="clear" w:color="auto" w:fill="auto"/>
            <w:noWrap/>
            <w:vAlign w:val="bottom"/>
            <w:hideMark/>
          </w:tcPr>
          <w:p w14:paraId="1EFEB998" w14:textId="03330AA2" w:rsidR="00852DD7" w:rsidRPr="00852DD7" w:rsidRDefault="00852DD7" w:rsidP="005A1CD1">
            <w:pPr>
              <w:spacing w:after="0" w:line="240" w:lineRule="auto"/>
              <w:jc w:val="right"/>
              <w:rPr>
                <w:rFonts w:ascii="Arial" w:hAnsi="Arial" w:cs="Arial"/>
                <w:b/>
                <w:bCs/>
                <w:i/>
                <w:iCs/>
                <w:color w:val="000000"/>
                <w:sz w:val="16"/>
                <w:szCs w:val="16"/>
              </w:rPr>
            </w:pPr>
            <w:r w:rsidRPr="00852DD7">
              <w:rPr>
                <w:rFonts w:ascii="Arial" w:hAnsi="Arial" w:cs="Arial"/>
                <w:b/>
                <w:bCs/>
                <w:i/>
                <w:iCs/>
                <w:color w:val="000000"/>
                <w:sz w:val="16"/>
                <w:szCs w:val="16"/>
              </w:rPr>
              <w:t>1,100,092</w:t>
            </w:r>
          </w:p>
        </w:tc>
      </w:tr>
      <w:tr w:rsidR="00852DD7" w:rsidRPr="00852DD7" w14:paraId="354A7E40" w14:textId="77777777" w:rsidTr="00852DD7">
        <w:trPr>
          <w:trHeight w:val="204"/>
        </w:trPr>
        <w:tc>
          <w:tcPr>
            <w:tcW w:w="2860" w:type="dxa"/>
            <w:tcBorders>
              <w:top w:val="nil"/>
              <w:left w:val="nil"/>
              <w:bottom w:val="nil"/>
              <w:right w:val="nil"/>
            </w:tcBorders>
            <w:shd w:val="clear" w:color="auto" w:fill="auto"/>
            <w:vAlign w:val="center"/>
            <w:hideMark/>
          </w:tcPr>
          <w:p w14:paraId="2B5E3BED" w14:textId="6DDADAEE" w:rsidR="00852DD7" w:rsidRPr="00852DD7" w:rsidRDefault="00852DD7" w:rsidP="000209D0">
            <w:pPr>
              <w:spacing w:after="0" w:line="240" w:lineRule="auto"/>
              <w:jc w:val="left"/>
              <w:rPr>
                <w:rFonts w:ascii="Arial" w:hAnsi="Arial" w:cs="Arial"/>
                <w:b/>
                <w:bCs/>
                <w:color w:val="000000"/>
                <w:sz w:val="16"/>
                <w:szCs w:val="16"/>
              </w:rPr>
            </w:pPr>
            <w:r w:rsidRPr="00852DD7">
              <w:rPr>
                <w:rFonts w:ascii="Arial" w:hAnsi="Arial" w:cs="Arial"/>
                <w:b/>
                <w:bCs/>
                <w:color w:val="000000"/>
                <w:sz w:val="16"/>
                <w:szCs w:val="16"/>
              </w:rPr>
              <w:t>Total assets administered on</w:t>
            </w:r>
            <w:r w:rsidR="000209D0">
              <w:rPr>
                <w:rFonts w:ascii="Arial" w:hAnsi="Arial" w:cs="Arial"/>
                <w:b/>
                <w:bCs/>
                <w:color w:val="000000"/>
                <w:sz w:val="16"/>
                <w:szCs w:val="16"/>
              </w:rPr>
              <w:t xml:space="preserve"> </w:t>
            </w:r>
            <w:r w:rsidRPr="00852DD7">
              <w:rPr>
                <w:rFonts w:ascii="Arial" w:hAnsi="Arial" w:cs="Arial"/>
                <w:b/>
                <w:bCs/>
                <w:color w:val="000000"/>
                <w:sz w:val="16"/>
                <w:szCs w:val="16"/>
              </w:rPr>
              <w:t>behalf of Government</w:t>
            </w:r>
          </w:p>
        </w:tc>
        <w:tc>
          <w:tcPr>
            <w:tcW w:w="940" w:type="dxa"/>
            <w:tcBorders>
              <w:top w:val="single" w:sz="4" w:space="0" w:color="auto"/>
              <w:left w:val="nil"/>
              <w:bottom w:val="single" w:sz="4" w:space="0" w:color="auto"/>
              <w:right w:val="nil"/>
            </w:tcBorders>
            <w:shd w:val="clear" w:color="auto" w:fill="auto"/>
            <w:noWrap/>
            <w:vAlign w:val="bottom"/>
            <w:hideMark/>
          </w:tcPr>
          <w:p w14:paraId="592DBE79" w14:textId="582B980E" w:rsidR="00852DD7" w:rsidRPr="00B86D56" w:rsidRDefault="00852DD7" w:rsidP="005A1CD1">
            <w:pPr>
              <w:spacing w:after="0" w:line="240" w:lineRule="auto"/>
              <w:jc w:val="right"/>
              <w:rPr>
                <w:rFonts w:ascii="Arial" w:hAnsi="Arial" w:cs="Arial"/>
                <w:b/>
                <w:bCs/>
                <w:color w:val="000000"/>
                <w:sz w:val="16"/>
                <w:szCs w:val="16"/>
              </w:rPr>
            </w:pPr>
            <w:r w:rsidRPr="00B86D56">
              <w:rPr>
                <w:rFonts w:ascii="Arial" w:hAnsi="Arial" w:cs="Arial"/>
                <w:b/>
                <w:bCs/>
                <w:color w:val="000000"/>
                <w:sz w:val="16"/>
                <w:szCs w:val="16"/>
              </w:rPr>
              <w:t>454,327</w:t>
            </w:r>
          </w:p>
        </w:tc>
        <w:tc>
          <w:tcPr>
            <w:tcW w:w="980" w:type="dxa"/>
            <w:tcBorders>
              <w:top w:val="single" w:sz="4" w:space="0" w:color="auto"/>
              <w:left w:val="nil"/>
              <w:bottom w:val="single" w:sz="4" w:space="0" w:color="auto"/>
              <w:right w:val="nil"/>
            </w:tcBorders>
            <w:shd w:val="clear" w:color="000000" w:fill="E6E6E6"/>
            <w:noWrap/>
            <w:vAlign w:val="bottom"/>
            <w:hideMark/>
          </w:tcPr>
          <w:p w14:paraId="4AF11DD2" w14:textId="1B753B90" w:rsidR="00852DD7" w:rsidRPr="00B86D56" w:rsidRDefault="00852DD7" w:rsidP="005A1CD1">
            <w:pPr>
              <w:spacing w:after="0" w:line="240" w:lineRule="auto"/>
              <w:jc w:val="right"/>
              <w:rPr>
                <w:rFonts w:ascii="Arial" w:hAnsi="Arial" w:cs="Arial"/>
                <w:b/>
                <w:bCs/>
                <w:color w:val="000000"/>
                <w:sz w:val="16"/>
                <w:szCs w:val="16"/>
              </w:rPr>
            </w:pPr>
            <w:r w:rsidRPr="00B86D56">
              <w:rPr>
                <w:rFonts w:ascii="Arial" w:hAnsi="Arial" w:cs="Arial"/>
                <w:b/>
                <w:bCs/>
                <w:color w:val="000000"/>
                <w:sz w:val="16"/>
                <w:szCs w:val="16"/>
              </w:rPr>
              <w:t>1,379,404</w:t>
            </w:r>
          </w:p>
        </w:tc>
        <w:tc>
          <w:tcPr>
            <w:tcW w:w="980" w:type="dxa"/>
            <w:tcBorders>
              <w:top w:val="single" w:sz="4" w:space="0" w:color="auto"/>
              <w:left w:val="nil"/>
              <w:bottom w:val="single" w:sz="4" w:space="0" w:color="auto"/>
              <w:right w:val="nil"/>
            </w:tcBorders>
            <w:shd w:val="clear" w:color="auto" w:fill="auto"/>
            <w:noWrap/>
            <w:vAlign w:val="bottom"/>
            <w:hideMark/>
          </w:tcPr>
          <w:p w14:paraId="1F11D06A" w14:textId="7B7AD20F" w:rsidR="00852DD7" w:rsidRPr="00B86D56" w:rsidRDefault="00852DD7" w:rsidP="005A1CD1">
            <w:pPr>
              <w:spacing w:after="0" w:line="240" w:lineRule="auto"/>
              <w:jc w:val="right"/>
              <w:rPr>
                <w:rFonts w:ascii="Arial" w:hAnsi="Arial" w:cs="Arial"/>
                <w:b/>
                <w:bCs/>
                <w:color w:val="000000"/>
                <w:sz w:val="16"/>
                <w:szCs w:val="16"/>
              </w:rPr>
            </w:pPr>
            <w:r w:rsidRPr="00B86D56">
              <w:rPr>
                <w:rFonts w:ascii="Arial" w:hAnsi="Arial" w:cs="Arial"/>
                <w:b/>
                <w:bCs/>
                <w:color w:val="000000"/>
                <w:sz w:val="16"/>
                <w:szCs w:val="16"/>
              </w:rPr>
              <w:t>1,332,700</w:t>
            </w:r>
          </w:p>
        </w:tc>
        <w:tc>
          <w:tcPr>
            <w:tcW w:w="980" w:type="dxa"/>
            <w:tcBorders>
              <w:top w:val="single" w:sz="4" w:space="0" w:color="auto"/>
              <w:left w:val="nil"/>
              <w:bottom w:val="single" w:sz="4" w:space="0" w:color="auto"/>
              <w:right w:val="nil"/>
            </w:tcBorders>
            <w:shd w:val="clear" w:color="auto" w:fill="auto"/>
            <w:noWrap/>
            <w:vAlign w:val="bottom"/>
            <w:hideMark/>
          </w:tcPr>
          <w:p w14:paraId="09754528" w14:textId="31D985FB" w:rsidR="00852DD7" w:rsidRPr="00B86D56" w:rsidRDefault="00852DD7" w:rsidP="005A1CD1">
            <w:pPr>
              <w:spacing w:after="0" w:line="240" w:lineRule="auto"/>
              <w:jc w:val="right"/>
              <w:rPr>
                <w:rFonts w:ascii="Arial" w:hAnsi="Arial" w:cs="Arial"/>
                <w:b/>
                <w:bCs/>
                <w:color w:val="000000"/>
                <w:sz w:val="16"/>
                <w:szCs w:val="16"/>
              </w:rPr>
            </w:pPr>
            <w:r w:rsidRPr="00B86D56">
              <w:rPr>
                <w:rFonts w:ascii="Arial" w:hAnsi="Arial" w:cs="Arial"/>
                <w:b/>
                <w:bCs/>
                <w:color w:val="000000"/>
                <w:sz w:val="16"/>
                <w:szCs w:val="16"/>
              </w:rPr>
              <w:t>1,231,494</w:t>
            </w:r>
          </w:p>
        </w:tc>
        <w:tc>
          <w:tcPr>
            <w:tcW w:w="980" w:type="dxa"/>
            <w:tcBorders>
              <w:top w:val="single" w:sz="4" w:space="0" w:color="auto"/>
              <w:left w:val="nil"/>
              <w:bottom w:val="single" w:sz="4" w:space="0" w:color="auto"/>
              <w:right w:val="nil"/>
            </w:tcBorders>
            <w:shd w:val="clear" w:color="auto" w:fill="auto"/>
            <w:noWrap/>
            <w:vAlign w:val="bottom"/>
            <w:hideMark/>
          </w:tcPr>
          <w:p w14:paraId="72EAD06B" w14:textId="00F5C3D5" w:rsidR="00852DD7" w:rsidRPr="00B86D56" w:rsidRDefault="00852DD7" w:rsidP="005A1CD1">
            <w:pPr>
              <w:spacing w:after="0" w:line="240" w:lineRule="auto"/>
              <w:jc w:val="right"/>
              <w:rPr>
                <w:rFonts w:ascii="Arial" w:hAnsi="Arial" w:cs="Arial"/>
                <w:b/>
                <w:bCs/>
                <w:color w:val="000000"/>
                <w:sz w:val="16"/>
                <w:szCs w:val="16"/>
              </w:rPr>
            </w:pPr>
            <w:r w:rsidRPr="00B86D56">
              <w:rPr>
                <w:rFonts w:ascii="Arial" w:hAnsi="Arial" w:cs="Arial"/>
                <w:b/>
                <w:bCs/>
                <w:color w:val="000000"/>
                <w:sz w:val="16"/>
                <w:szCs w:val="16"/>
              </w:rPr>
              <w:t>1,100,092</w:t>
            </w:r>
          </w:p>
        </w:tc>
      </w:tr>
      <w:tr w:rsidR="00852DD7" w:rsidRPr="00852DD7" w14:paraId="55F486A6" w14:textId="77777777" w:rsidTr="00852DD7">
        <w:trPr>
          <w:trHeight w:val="204"/>
        </w:trPr>
        <w:tc>
          <w:tcPr>
            <w:tcW w:w="2860" w:type="dxa"/>
            <w:tcBorders>
              <w:top w:val="nil"/>
              <w:left w:val="nil"/>
              <w:bottom w:val="nil"/>
              <w:right w:val="nil"/>
            </w:tcBorders>
            <w:shd w:val="clear" w:color="auto" w:fill="auto"/>
            <w:noWrap/>
            <w:vAlign w:val="center"/>
            <w:hideMark/>
          </w:tcPr>
          <w:p w14:paraId="05DA2DF4" w14:textId="77777777" w:rsidR="00852DD7" w:rsidRPr="00852DD7" w:rsidRDefault="00852DD7" w:rsidP="00852DD7">
            <w:pPr>
              <w:spacing w:after="0" w:line="240" w:lineRule="auto"/>
              <w:jc w:val="left"/>
              <w:rPr>
                <w:rFonts w:ascii="Arial" w:hAnsi="Arial" w:cs="Arial"/>
                <w:b/>
                <w:bCs/>
                <w:color w:val="000000"/>
                <w:sz w:val="16"/>
                <w:szCs w:val="16"/>
              </w:rPr>
            </w:pPr>
            <w:r w:rsidRPr="00852DD7">
              <w:rPr>
                <w:rFonts w:ascii="Arial" w:hAnsi="Arial" w:cs="Arial"/>
                <w:b/>
                <w:bCs/>
                <w:color w:val="000000"/>
                <w:sz w:val="16"/>
                <w:szCs w:val="16"/>
              </w:rPr>
              <w:t>LIABILITIES</w:t>
            </w:r>
          </w:p>
        </w:tc>
        <w:tc>
          <w:tcPr>
            <w:tcW w:w="940" w:type="dxa"/>
            <w:tcBorders>
              <w:top w:val="nil"/>
              <w:left w:val="nil"/>
              <w:bottom w:val="nil"/>
              <w:right w:val="nil"/>
            </w:tcBorders>
            <w:shd w:val="clear" w:color="auto" w:fill="auto"/>
            <w:noWrap/>
            <w:vAlign w:val="bottom"/>
            <w:hideMark/>
          </w:tcPr>
          <w:p w14:paraId="1E218ECF" w14:textId="77777777" w:rsidR="00852DD7" w:rsidRPr="00852DD7" w:rsidRDefault="00852DD7" w:rsidP="005A1CD1">
            <w:pPr>
              <w:spacing w:after="0" w:line="240" w:lineRule="auto"/>
              <w:jc w:val="right"/>
              <w:rPr>
                <w:rFonts w:ascii="Arial" w:hAnsi="Arial" w:cs="Arial"/>
                <w:b/>
                <w:bCs/>
                <w:color w:val="000000"/>
                <w:sz w:val="16"/>
                <w:szCs w:val="16"/>
              </w:rPr>
            </w:pPr>
          </w:p>
        </w:tc>
        <w:tc>
          <w:tcPr>
            <w:tcW w:w="980" w:type="dxa"/>
            <w:tcBorders>
              <w:top w:val="nil"/>
              <w:left w:val="nil"/>
              <w:bottom w:val="nil"/>
              <w:right w:val="nil"/>
            </w:tcBorders>
            <w:shd w:val="clear" w:color="000000" w:fill="E6E6E6"/>
            <w:noWrap/>
            <w:vAlign w:val="bottom"/>
            <w:hideMark/>
          </w:tcPr>
          <w:p w14:paraId="08705246" w14:textId="6F666717" w:rsidR="00852DD7" w:rsidRPr="00852DD7" w:rsidRDefault="00852DD7" w:rsidP="005A1CD1">
            <w:pPr>
              <w:spacing w:after="0" w:line="240" w:lineRule="auto"/>
              <w:jc w:val="right"/>
              <w:rPr>
                <w:rFonts w:ascii="Arial"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58110E50" w14:textId="77777777" w:rsidR="00852DD7" w:rsidRPr="00852DD7" w:rsidRDefault="00852DD7" w:rsidP="005A1CD1">
            <w:pPr>
              <w:spacing w:after="0" w:line="240" w:lineRule="auto"/>
              <w:jc w:val="right"/>
              <w:rPr>
                <w:rFonts w:ascii="Arial"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215EE676" w14:textId="77777777" w:rsidR="00852DD7" w:rsidRPr="00852DD7" w:rsidRDefault="00852DD7" w:rsidP="005A1CD1">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50BBF6B6" w14:textId="77777777" w:rsidR="00852DD7" w:rsidRPr="00852DD7" w:rsidRDefault="00852DD7" w:rsidP="005A1CD1">
            <w:pPr>
              <w:spacing w:after="0" w:line="240" w:lineRule="auto"/>
              <w:jc w:val="right"/>
              <w:rPr>
                <w:rFonts w:ascii="Arial" w:hAnsi="Arial" w:cs="Arial"/>
                <w:sz w:val="16"/>
                <w:szCs w:val="16"/>
              </w:rPr>
            </w:pPr>
          </w:p>
        </w:tc>
      </w:tr>
      <w:tr w:rsidR="00852DD7" w:rsidRPr="00852DD7" w14:paraId="14777896" w14:textId="77777777" w:rsidTr="00852DD7">
        <w:trPr>
          <w:trHeight w:val="204"/>
        </w:trPr>
        <w:tc>
          <w:tcPr>
            <w:tcW w:w="2860" w:type="dxa"/>
            <w:tcBorders>
              <w:top w:val="nil"/>
              <w:left w:val="nil"/>
              <w:bottom w:val="nil"/>
              <w:right w:val="nil"/>
            </w:tcBorders>
            <w:shd w:val="clear" w:color="auto" w:fill="auto"/>
            <w:noWrap/>
            <w:vAlign w:val="center"/>
            <w:hideMark/>
          </w:tcPr>
          <w:p w14:paraId="20DE62AD" w14:textId="77777777" w:rsidR="00852DD7" w:rsidRPr="00852DD7" w:rsidRDefault="00852DD7" w:rsidP="00852DD7">
            <w:pPr>
              <w:spacing w:after="0" w:line="240" w:lineRule="auto"/>
              <w:jc w:val="left"/>
              <w:rPr>
                <w:rFonts w:ascii="Arial" w:hAnsi="Arial" w:cs="Arial"/>
                <w:b/>
                <w:bCs/>
                <w:color w:val="000000"/>
                <w:sz w:val="16"/>
                <w:szCs w:val="16"/>
              </w:rPr>
            </w:pPr>
            <w:r w:rsidRPr="00852DD7">
              <w:rPr>
                <w:rFonts w:ascii="Arial" w:hAnsi="Arial" w:cs="Arial"/>
                <w:b/>
                <w:bCs/>
                <w:color w:val="000000"/>
                <w:sz w:val="16"/>
                <w:szCs w:val="16"/>
              </w:rPr>
              <w:t>Payables</w:t>
            </w:r>
          </w:p>
        </w:tc>
        <w:tc>
          <w:tcPr>
            <w:tcW w:w="940" w:type="dxa"/>
            <w:tcBorders>
              <w:top w:val="nil"/>
              <w:left w:val="nil"/>
              <w:bottom w:val="nil"/>
              <w:right w:val="nil"/>
            </w:tcBorders>
            <w:shd w:val="clear" w:color="auto" w:fill="auto"/>
            <w:noWrap/>
            <w:vAlign w:val="bottom"/>
            <w:hideMark/>
          </w:tcPr>
          <w:p w14:paraId="0E7C4E8F" w14:textId="77777777" w:rsidR="00852DD7" w:rsidRPr="00852DD7" w:rsidRDefault="00852DD7" w:rsidP="005A1CD1">
            <w:pPr>
              <w:spacing w:after="0" w:line="240" w:lineRule="auto"/>
              <w:jc w:val="right"/>
              <w:rPr>
                <w:rFonts w:ascii="Arial" w:hAnsi="Arial" w:cs="Arial"/>
                <w:b/>
                <w:bCs/>
                <w:color w:val="000000"/>
                <w:sz w:val="16"/>
                <w:szCs w:val="16"/>
              </w:rPr>
            </w:pPr>
          </w:p>
        </w:tc>
        <w:tc>
          <w:tcPr>
            <w:tcW w:w="980" w:type="dxa"/>
            <w:tcBorders>
              <w:top w:val="nil"/>
              <w:left w:val="nil"/>
              <w:bottom w:val="nil"/>
              <w:right w:val="nil"/>
            </w:tcBorders>
            <w:shd w:val="clear" w:color="000000" w:fill="E6E6E6"/>
            <w:noWrap/>
            <w:vAlign w:val="bottom"/>
            <w:hideMark/>
          </w:tcPr>
          <w:p w14:paraId="51DE70E8" w14:textId="468DDDB5" w:rsidR="00852DD7" w:rsidRPr="00852DD7" w:rsidRDefault="00852DD7" w:rsidP="005A1CD1">
            <w:pPr>
              <w:spacing w:after="0" w:line="240" w:lineRule="auto"/>
              <w:jc w:val="right"/>
              <w:rPr>
                <w:rFonts w:ascii="Arial"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5D9E4D85" w14:textId="77777777" w:rsidR="00852DD7" w:rsidRPr="00852DD7" w:rsidRDefault="00852DD7" w:rsidP="005A1CD1">
            <w:pPr>
              <w:spacing w:after="0" w:line="240" w:lineRule="auto"/>
              <w:jc w:val="right"/>
              <w:rPr>
                <w:rFonts w:ascii="Arial" w:hAnsi="Arial" w:cs="Arial"/>
                <w:color w:val="000000"/>
                <w:sz w:val="16"/>
                <w:szCs w:val="16"/>
              </w:rPr>
            </w:pPr>
          </w:p>
        </w:tc>
        <w:tc>
          <w:tcPr>
            <w:tcW w:w="980" w:type="dxa"/>
            <w:tcBorders>
              <w:top w:val="nil"/>
              <w:left w:val="nil"/>
              <w:bottom w:val="nil"/>
              <w:right w:val="nil"/>
            </w:tcBorders>
            <w:shd w:val="clear" w:color="auto" w:fill="auto"/>
            <w:noWrap/>
            <w:vAlign w:val="bottom"/>
            <w:hideMark/>
          </w:tcPr>
          <w:p w14:paraId="1D10CDF8" w14:textId="77777777" w:rsidR="00852DD7" w:rsidRPr="00852DD7" w:rsidRDefault="00852DD7" w:rsidP="005A1CD1">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14:paraId="28BA7717" w14:textId="77777777" w:rsidR="00852DD7" w:rsidRPr="00852DD7" w:rsidRDefault="00852DD7" w:rsidP="005A1CD1">
            <w:pPr>
              <w:spacing w:after="0" w:line="240" w:lineRule="auto"/>
              <w:jc w:val="right"/>
              <w:rPr>
                <w:rFonts w:ascii="Arial" w:hAnsi="Arial" w:cs="Arial"/>
                <w:sz w:val="16"/>
                <w:szCs w:val="16"/>
              </w:rPr>
            </w:pPr>
          </w:p>
        </w:tc>
      </w:tr>
      <w:tr w:rsidR="00852DD7" w:rsidRPr="00852DD7" w14:paraId="5BD24AB4" w14:textId="77777777" w:rsidTr="00852DD7">
        <w:trPr>
          <w:trHeight w:val="204"/>
        </w:trPr>
        <w:tc>
          <w:tcPr>
            <w:tcW w:w="2860" w:type="dxa"/>
            <w:tcBorders>
              <w:top w:val="nil"/>
              <w:left w:val="nil"/>
              <w:bottom w:val="nil"/>
              <w:right w:val="nil"/>
            </w:tcBorders>
            <w:shd w:val="clear" w:color="auto" w:fill="auto"/>
            <w:noWrap/>
            <w:vAlign w:val="center"/>
            <w:hideMark/>
          </w:tcPr>
          <w:p w14:paraId="4659D40E" w14:textId="77777777" w:rsidR="00852DD7" w:rsidRPr="00852DD7" w:rsidRDefault="00852DD7" w:rsidP="0084116E">
            <w:pPr>
              <w:spacing w:after="0" w:line="240" w:lineRule="auto"/>
              <w:ind w:left="113"/>
              <w:jc w:val="left"/>
              <w:rPr>
                <w:rFonts w:ascii="Arial" w:hAnsi="Arial" w:cs="Arial"/>
                <w:color w:val="000000"/>
                <w:sz w:val="16"/>
                <w:szCs w:val="16"/>
              </w:rPr>
            </w:pPr>
            <w:r w:rsidRPr="00852DD7">
              <w:rPr>
                <w:rFonts w:ascii="Arial" w:hAnsi="Arial" w:cs="Arial"/>
                <w:color w:val="000000"/>
                <w:sz w:val="16"/>
                <w:szCs w:val="16"/>
              </w:rPr>
              <w:t>Grants</w:t>
            </w:r>
          </w:p>
        </w:tc>
        <w:tc>
          <w:tcPr>
            <w:tcW w:w="940" w:type="dxa"/>
            <w:tcBorders>
              <w:top w:val="nil"/>
              <w:left w:val="nil"/>
              <w:bottom w:val="nil"/>
              <w:right w:val="nil"/>
            </w:tcBorders>
            <w:shd w:val="clear" w:color="auto" w:fill="auto"/>
            <w:noWrap/>
            <w:vAlign w:val="bottom"/>
            <w:hideMark/>
          </w:tcPr>
          <w:p w14:paraId="7F28F473" w14:textId="4B7F53FA"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158</w:t>
            </w:r>
          </w:p>
        </w:tc>
        <w:tc>
          <w:tcPr>
            <w:tcW w:w="980" w:type="dxa"/>
            <w:tcBorders>
              <w:top w:val="nil"/>
              <w:left w:val="nil"/>
              <w:bottom w:val="nil"/>
              <w:right w:val="nil"/>
            </w:tcBorders>
            <w:shd w:val="clear" w:color="000000" w:fill="E6E6E6"/>
            <w:noWrap/>
            <w:vAlign w:val="bottom"/>
            <w:hideMark/>
          </w:tcPr>
          <w:p w14:paraId="6136D809" w14:textId="6EC574E2"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158</w:t>
            </w:r>
          </w:p>
        </w:tc>
        <w:tc>
          <w:tcPr>
            <w:tcW w:w="980" w:type="dxa"/>
            <w:tcBorders>
              <w:top w:val="nil"/>
              <w:left w:val="nil"/>
              <w:bottom w:val="nil"/>
              <w:right w:val="nil"/>
            </w:tcBorders>
            <w:shd w:val="clear" w:color="auto" w:fill="auto"/>
            <w:noWrap/>
            <w:vAlign w:val="bottom"/>
            <w:hideMark/>
          </w:tcPr>
          <w:p w14:paraId="100ABFA4" w14:textId="282204DA"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158</w:t>
            </w:r>
          </w:p>
        </w:tc>
        <w:tc>
          <w:tcPr>
            <w:tcW w:w="980" w:type="dxa"/>
            <w:tcBorders>
              <w:top w:val="nil"/>
              <w:left w:val="nil"/>
              <w:bottom w:val="nil"/>
              <w:right w:val="nil"/>
            </w:tcBorders>
            <w:shd w:val="clear" w:color="auto" w:fill="auto"/>
            <w:noWrap/>
            <w:vAlign w:val="bottom"/>
            <w:hideMark/>
          </w:tcPr>
          <w:p w14:paraId="0766BF6A" w14:textId="3C20F7B0"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158</w:t>
            </w:r>
          </w:p>
        </w:tc>
        <w:tc>
          <w:tcPr>
            <w:tcW w:w="980" w:type="dxa"/>
            <w:tcBorders>
              <w:top w:val="nil"/>
              <w:left w:val="nil"/>
              <w:bottom w:val="nil"/>
              <w:right w:val="nil"/>
            </w:tcBorders>
            <w:shd w:val="clear" w:color="auto" w:fill="auto"/>
            <w:noWrap/>
            <w:vAlign w:val="bottom"/>
            <w:hideMark/>
          </w:tcPr>
          <w:p w14:paraId="0BC9E7E7" w14:textId="57CAE245"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158</w:t>
            </w:r>
          </w:p>
        </w:tc>
      </w:tr>
      <w:tr w:rsidR="00852DD7" w:rsidRPr="00852DD7" w14:paraId="2650A149" w14:textId="77777777" w:rsidTr="00852DD7">
        <w:trPr>
          <w:trHeight w:val="204"/>
        </w:trPr>
        <w:tc>
          <w:tcPr>
            <w:tcW w:w="2860" w:type="dxa"/>
            <w:tcBorders>
              <w:top w:val="nil"/>
              <w:left w:val="nil"/>
              <w:bottom w:val="nil"/>
              <w:right w:val="nil"/>
            </w:tcBorders>
            <w:shd w:val="clear" w:color="auto" w:fill="auto"/>
            <w:noWrap/>
            <w:vAlign w:val="center"/>
            <w:hideMark/>
          </w:tcPr>
          <w:p w14:paraId="2D88C7AA" w14:textId="00FD8B5C" w:rsidR="00852DD7" w:rsidRPr="00852DD7" w:rsidRDefault="00852DD7" w:rsidP="000F4BC3">
            <w:pPr>
              <w:spacing w:after="0" w:line="240" w:lineRule="auto"/>
              <w:ind w:left="113"/>
              <w:jc w:val="left"/>
              <w:rPr>
                <w:rFonts w:ascii="Arial" w:hAnsi="Arial" w:cs="Arial"/>
                <w:color w:val="000000"/>
                <w:sz w:val="16"/>
                <w:szCs w:val="16"/>
              </w:rPr>
            </w:pPr>
            <w:r w:rsidRPr="00852DD7">
              <w:rPr>
                <w:rFonts w:ascii="Arial" w:hAnsi="Arial" w:cs="Arial"/>
                <w:color w:val="000000"/>
                <w:sz w:val="16"/>
                <w:szCs w:val="16"/>
              </w:rPr>
              <w:t xml:space="preserve">Unearned revenue </w:t>
            </w:r>
            <w:r w:rsidRPr="00852DD7">
              <w:rPr>
                <w:rFonts w:ascii="Arial" w:hAnsi="Arial" w:cs="Arial"/>
                <w:color w:val="000000"/>
                <w:sz w:val="16"/>
                <w:szCs w:val="16"/>
                <w:vertAlign w:val="superscript"/>
              </w:rPr>
              <w:t>(c)(d)</w:t>
            </w:r>
          </w:p>
        </w:tc>
        <w:tc>
          <w:tcPr>
            <w:tcW w:w="940" w:type="dxa"/>
            <w:tcBorders>
              <w:top w:val="nil"/>
              <w:left w:val="nil"/>
              <w:bottom w:val="nil"/>
              <w:right w:val="nil"/>
            </w:tcBorders>
            <w:shd w:val="clear" w:color="auto" w:fill="auto"/>
            <w:noWrap/>
            <w:vAlign w:val="bottom"/>
            <w:hideMark/>
          </w:tcPr>
          <w:p w14:paraId="73608A4A" w14:textId="1D5747E9"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255,771</w:t>
            </w:r>
          </w:p>
        </w:tc>
        <w:tc>
          <w:tcPr>
            <w:tcW w:w="980" w:type="dxa"/>
            <w:tcBorders>
              <w:top w:val="nil"/>
              <w:left w:val="nil"/>
              <w:bottom w:val="nil"/>
              <w:right w:val="nil"/>
            </w:tcBorders>
            <w:shd w:val="clear" w:color="000000" w:fill="E6E6E6"/>
            <w:noWrap/>
            <w:vAlign w:val="bottom"/>
            <w:hideMark/>
          </w:tcPr>
          <w:p w14:paraId="59A6284D" w14:textId="386E7D20"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w:t>
            </w:r>
          </w:p>
        </w:tc>
        <w:tc>
          <w:tcPr>
            <w:tcW w:w="980" w:type="dxa"/>
            <w:tcBorders>
              <w:top w:val="nil"/>
              <w:left w:val="nil"/>
              <w:bottom w:val="nil"/>
              <w:right w:val="nil"/>
            </w:tcBorders>
            <w:shd w:val="clear" w:color="auto" w:fill="auto"/>
            <w:noWrap/>
            <w:vAlign w:val="bottom"/>
            <w:hideMark/>
          </w:tcPr>
          <w:p w14:paraId="5664EFB5" w14:textId="01C31968"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w:t>
            </w:r>
          </w:p>
        </w:tc>
        <w:tc>
          <w:tcPr>
            <w:tcW w:w="980" w:type="dxa"/>
            <w:tcBorders>
              <w:top w:val="nil"/>
              <w:left w:val="nil"/>
              <w:bottom w:val="nil"/>
              <w:right w:val="nil"/>
            </w:tcBorders>
            <w:shd w:val="clear" w:color="auto" w:fill="auto"/>
            <w:noWrap/>
            <w:vAlign w:val="bottom"/>
            <w:hideMark/>
          </w:tcPr>
          <w:p w14:paraId="794CD582" w14:textId="34B26A06"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2,091,618</w:t>
            </w:r>
          </w:p>
        </w:tc>
        <w:tc>
          <w:tcPr>
            <w:tcW w:w="980" w:type="dxa"/>
            <w:tcBorders>
              <w:top w:val="nil"/>
              <w:left w:val="nil"/>
              <w:bottom w:val="nil"/>
              <w:right w:val="nil"/>
            </w:tcBorders>
            <w:shd w:val="clear" w:color="auto" w:fill="auto"/>
            <w:noWrap/>
            <w:vAlign w:val="bottom"/>
            <w:hideMark/>
          </w:tcPr>
          <w:p w14:paraId="13A7C581" w14:textId="3B9A2759"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w:t>
            </w:r>
          </w:p>
        </w:tc>
      </w:tr>
      <w:tr w:rsidR="00852DD7" w:rsidRPr="00852DD7" w14:paraId="137D0BC3" w14:textId="77777777" w:rsidTr="00852DD7">
        <w:trPr>
          <w:trHeight w:val="204"/>
        </w:trPr>
        <w:tc>
          <w:tcPr>
            <w:tcW w:w="2860" w:type="dxa"/>
            <w:tcBorders>
              <w:top w:val="nil"/>
              <w:left w:val="nil"/>
              <w:bottom w:val="nil"/>
              <w:right w:val="nil"/>
            </w:tcBorders>
            <w:shd w:val="clear" w:color="auto" w:fill="auto"/>
            <w:noWrap/>
            <w:vAlign w:val="center"/>
            <w:hideMark/>
          </w:tcPr>
          <w:p w14:paraId="7E482291" w14:textId="77777777" w:rsidR="00852DD7" w:rsidRPr="00852DD7" w:rsidRDefault="00852DD7" w:rsidP="0084116E">
            <w:pPr>
              <w:spacing w:after="0" w:line="240" w:lineRule="auto"/>
              <w:ind w:left="113"/>
              <w:jc w:val="left"/>
              <w:rPr>
                <w:rFonts w:ascii="Arial" w:hAnsi="Arial" w:cs="Arial"/>
                <w:color w:val="000000"/>
                <w:sz w:val="16"/>
                <w:szCs w:val="16"/>
              </w:rPr>
            </w:pPr>
            <w:r w:rsidRPr="00852DD7">
              <w:rPr>
                <w:rFonts w:ascii="Arial" w:hAnsi="Arial" w:cs="Arial"/>
                <w:color w:val="000000"/>
                <w:sz w:val="16"/>
                <w:szCs w:val="16"/>
              </w:rPr>
              <w:t>Other payables</w:t>
            </w:r>
          </w:p>
        </w:tc>
        <w:tc>
          <w:tcPr>
            <w:tcW w:w="940" w:type="dxa"/>
            <w:tcBorders>
              <w:top w:val="nil"/>
              <w:left w:val="nil"/>
              <w:bottom w:val="nil"/>
              <w:right w:val="nil"/>
            </w:tcBorders>
            <w:shd w:val="clear" w:color="auto" w:fill="auto"/>
            <w:noWrap/>
            <w:vAlign w:val="bottom"/>
            <w:hideMark/>
          </w:tcPr>
          <w:p w14:paraId="30630598" w14:textId="23E45089"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665</w:t>
            </w:r>
          </w:p>
        </w:tc>
        <w:tc>
          <w:tcPr>
            <w:tcW w:w="980" w:type="dxa"/>
            <w:tcBorders>
              <w:top w:val="nil"/>
              <w:left w:val="nil"/>
              <w:bottom w:val="nil"/>
              <w:right w:val="nil"/>
            </w:tcBorders>
            <w:shd w:val="clear" w:color="000000" w:fill="E6E6E6"/>
            <w:noWrap/>
            <w:vAlign w:val="bottom"/>
            <w:hideMark/>
          </w:tcPr>
          <w:p w14:paraId="61DA67DE" w14:textId="08F24B06"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124,835</w:t>
            </w:r>
          </w:p>
        </w:tc>
        <w:tc>
          <w:tcPr>
            <w:tcW w:w="980" w:type="dxa"/>
            <w:tcBorders>
              <w:top w:val="nil"/>
              <w:left w:val="nil"/>
              <w:bottom w:val="nil"/>
              <w:right w:val="nil"/>
            </w:tcBorders>
            <w:shd w:val="clear" w:color="auto" w:fill="auto"/>
            <w:noWrap/>
            <w:vAlign w:val="bottom"/>
            <w:hideMark/>
          </w:tcPr>
          <w:p w14:paraId="12CF8CB6" w14:textId="5234E1F2"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124,835</w:t>
            </w:r>
          </w:p>
        </w:tc>
        <w:tc>
          <w:tcPr>
            <w:tcW w:w="980" w:type="dxa"/>
            <w:tcBorders>
              <w:top w:val="nil"/>
              <w:left w:val="nil"/>
              <w:bottom w:val="nil"/>
              <w:right w:val="nil"/>
            </w:tcBorders>
            <w:shd w:val="clear" w:color="auto" w:fill="auto"/>
            <w:noWrap/>
            <w:vAlign w:val="bottom"/>
            <w:hideMark/>
          </w:tcPr>
          <w:p w14:paraId="3F55EC85" w14:textId="51CCE6AA"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124,835</w:t>
            </w:r>
          </w:p>
        </w:tc>
        <w:tc>
          <w:tcPr>
            <w:tcW w:w="980" w:type="dxa"/>
            <w:tcBorders>
              <w:top w:val="nil"/>
              <w:left w:val="nil"/>
              <w:bottom w:val="nil"/>
              <w:right w:val="nil"/>
            </w:tcBorders>
            <w:shd w:val="clear" w:color="auto" w:fill="auto"/>
            <w:noWrap/>
            <w:vAlign w:val="bottom"/>
            <w:hideMark/>
          </w:tcPr>
          <w:p w14:paraId="5E5F9251" w14:textId="3CB9FB39" w:rsidR="00852DD7" w:rsidRPr="00852DD7" w:rsidRDefault="00852DD7" w:rsidP="005A1CD1">
            <w:pPr>
              <w:spacing w:after="0" w:line="240" w:lineRule="auto"/>
              <w:jc w:val="right"/>
              <w:rPr>
                <w:rFonts w:ascii="Arial" w:hAnsi="Arial" w:cs="Arial"/>
                <w:color w:val="000000"/>
                <w:sz w:val="16"/>
                <w:szCs w:val="16"/>
              </w:rPr>
            </w:pPr>
            <w:r w:rsidRPr="00852DD7">
              <w:rPr>
                <w:rFonts w:ascii="Arial" w:hAnsi="Arial" w:cs="Arial"/>
                <w:color w:val="000000"/>
                <w:sz w:val="16"/>
                <w:szCs w:val="16"/>
              </w:rPr>
              <w:t>124,835</w:t>
            </w:r>
          </w:p>
        </w:tc>
      </w:tr>
      <w:tr w:rsidR="00852DD7" w:rsidRPr="00852DD7" w14:paraId="261C495F" w14:textId="77777777" w:rsidTr="00852DD7">
        <w:trPr>
          <w:trHeight w:val="204"/>
        </w:trPr>
        <w:tc>
          <w:tcPr>
            <w:tcW w:w="2860" w:type="dxa"/>
            <w:tcBorders>
              <w:top w:val="nil"/>
              <w:left w:val="nil"/>
              <w:bottom w:val="nil"/>
              <w:right w:val="nil"/>
            </w:tcBorders>
            <w:shd w:val="clear" w:color="auto" w:fill="auto"/>
            <w:noWrap/>
            <w:vAlign w:val="center"/>
            <w:hideMark/>
          </w:tcPr>
          <w:p w14:paraId="3F39059E" w14:textId="77777777" w:rsidR="00852DD7" w:rsidRPr="00852DD7" w:rsidRDefault="00852DD7" w:rsidP="00852DD7">
            <w:pPr>
              <w:spacing w:after="0" w:line="240" w:lineRule="auto"/>
              <w:jc w:val="left"/>
              <w:rPr>
                <w:rFonts w:ascii="Arial" w:hAnsi="Arial" w:cs="Arial"/>
                <w:b/>
                <w:bCs/>
                <w:i/>
                <w:iCs/>
                <w:color w:val="000000"/>
                <w:sz w:val="16"/>
                <w:szCs w:val="16"/>
              </w:rPr>
            </w:pPr>
            <w:r w:rsidRPr="00852DD7">
              <w:rPr>
                <w:rFonts w:ascii="Arial" w:hAnsi="Arial" w:cs="Arial"/>
                <w:b/>
                <w:bCs/>
                <w:i/>
                <w:iCs/>
                <w:color w:val="000000"/>
                <w:sz w:val="16"/>
                <w:szCs w:val="16"/>
              </w:rPr>
              <w:t>Total payables</w:t>
            </w:r>
          </w:p>
        </w:tc>
        <w:tc>
          <w:tcPr>
            <w:tcW w:w="940" w:type="dxa"/>
            <w:tcBorders>
              <w:top w:val="single" w:sz="4" w:space="0" w:color="000000"/>
              <w:left w:val="nil"/>
              <w:bottom w:val="single" w:sz="4" w:space="0" w:color="000000"/>
              <w:right w:val="nil"/>
            </w:tcBorders>
            <w:shd w:val="clear" w:color="auto" w:fill="auto"/>
            <w:noWrap/>
            <w:vAlign w:val="bottom"/>
            <w:hideMark/>
          </w:tcPr>
          <w:p w14:paraId="099946B5" w14:textId="45E79006" w:rsidR="00852DD7" w:rsidRPr="00852DD7" w:rsidRDefault="00852DD7" w:rsidP="005A1CD1">
            <w:pPr>
              <w:spacing w:after="0" w:line="240" w:lineRule="auto"/>
              <w:jc w:val="right"/>
              <w:rPr>
                <w:rFonts w:ascii="Arial" w:hAnsi="Arial" w:cs="Arial"/>
                <w:b/>
                <w:bCs/>
                <w:i/>
                <w:iCs/>
                <w:color w:val="000000"/>
                <w:sz w:val="16"/>
                <w:szCs w:val="16"/>
              </w:rPr>
            </w:pPr>
            <w:r w:rsidRPr="00852DD7">
              <w:rPr>
                <w:rFonts w:ascii="Arial" w:hAnsi="Arial" w:cs="Arial"/>
                <w:b/>
                <w:bCs/>
                <w:i/>
                <w:iCs/>
                <w:color w:val="000000"/>
                <w:sz w:val="16"/>
                <w:szCs w:val="16"/>
              </w:rPr>
              <w:t>256,594</w:t>
            </w:r>
          </w:p>
        </w:tc>
        <w:tc>
          <w:tcPr>
            <w:tcW w:w="980" w:type="dxa"/>
            <w:tcBorders>
              <w:top w:val="single" w:sz="4" w:space="0" w:color="000000"/>
              <w:left w:val="nil"/>
              <w:bottom w:val="single" w:sz="4" w:space="0" w:color="000000"/>
              <w:right w:val="nil"/>
            </w:tcBorders>
            <w:shd w:val="clear" w:color="000000" w:fill="E6E6E6"/>
            <w:noWrap/>
            <w:vAlign w:val="bottom"/>
            <w:hideMark/>
          </w:tcPr>
          <w:p w14:paraId="583A4C18" w14:textId="5F8D199C" w:rsidR="00852DD7" w:rsidRPr="00852DD7" w:rsidRDefault="00852DD7" w:rsidP="005A1CD1">
            <w:pPr>
              <w:spacing w:after="0" w:line="240" w:lineRule="auto"/>
              <w:jc w:val="right"/>
              <w:rPr>
                <w:rFonts w:ascii="Arial" w:hAnsi="Arial" w:cs="Arial"/>
                <w:b/>
                <w:bCs/>
                <w:i/>
                <w:iCs/>
                <w:color w:val="000000"/>
                <w:sz w:val="16"/>
                <w:szCs w:val="16"/>
              </w:rPr>
            </w:pPr>
            <w:r w:rsidRPr="00852DD7">
              <w:rPr>
                <w:rFonts w:ascii="Arial" w:hAnsi="Arial" w:cs="Arial"/>
                <w:b/>
                <w:bCs/>
                <w:i/>
                <w:iCs/>
                <w:color w:val="000000"/>
                <w:sz w:val="16"/>
                <w:szCs w:val="16"/>
              </w:rPr>
              <w:t>124,993</w:t>
            </w:r>
          </w:p>
        </w:tc>
        <w:tc>
          <w:tcPr>
            <w:tcW w:w="980" w:type="dxa"/>
            <w:tcBorders>
              <w:top w:val="single" w:sz="4" w:space="0" w:color="000000"/>
              <w:left w:val="nil"/>
              <w:bottom w:val="single" w:sz="4" w:space="0" w:color="000000"/>
              <w:right w:val="nil"/>
            </w:tcBorders>
            <w:shd w:val="clear" w:color="auto" w:fill="auto"/>
            <w:noWrap/>
            <w:vAlign w:val="bottom"/>
            <w:hideMark/>
          </w:tcPr>
          <w:p w14:paraId="4F86135A" w14:textId="431C50EF" w:rsidR="00852DD7" w:rsidRPr="00852DD7" w:rsidRDefault="00852DD7" w:rsidP="005A1CD1">
            <w:pPr>
              <w:spacing w:after="0" w:line="240" w:lineRule="auto"/>
              <w:jc w:val="right"/>
              <w:rPr>
                <w:rFonts w:ascii="Arial" w:hAnsi="Arial" w:cs="Arial"/>
                <w:b/>
                <w:bCs/>
                <w:i/>
                <w:iCs/>
                <w:color w:val="000000"/>
                <w:sz w:val="16"/>
                <w:szCs w:val="16"/>
              </w:rPr>
            </w:pPr>
            <w:r w:rsidRPr="00852DD7">
              <w:rPr>
                <w:rFonts w:ascii="Arial" w:hAnsi="Arial" w:cs="Arial"/>
                <w:b/>
                <w:bCs/>
                <w:i/>
                <w:iCs/>
                <w:color w:val="000000"/>
                <w:sz w:val="16"/>
                <w:szCs w:val="16"/>
              </w:rPr>
              <w:t>124,993</w:t>
            </w:r>
          </w:p>
        </w:tc>
        <w:tc>
          <w:tcPr>
            <w:tcW w:w="980" w:type="dxa"/>
            <w:tcBorders>
              <w:top w:val="single" w:sz="4" w:space="0" w:color="000000"/>
              <w:left w:val="nil"/>
              <w:bottom w:val="single" w:sz="4" w:space="0" w:color="000000"/>
              <w:right w:val="nil"/>
            </w:tcBorders>
            <w:shd w:val="clear" w:color="auto" w:fill="auto"/>
            <w:noWrap/>
            <w:vAlign w:val="bottom"/>
            <w:hideMark/>
          </w:tcPr>
          <w:p w14:paraId="65A14D58" w14:textId="3059C3CE" w:rsidR="00852DD7" w:rsidRPr="00852DD7" w:rsidRDefault="00852DD7" w:rsidP="005A1CD1">
            <w:pPr>
              <w:spacing w:after="0" w:line="240" w:lineRule="auto"/>
              <w:jc w:val="right"/>
              <w:rPr>
                <w:rFonts w:ascii="Arial" w:hAnsi="Arial" w:cs="Arial"/>
                <w:b/>
                <w:bCs/>
                <w:i/>
                <w:iCs/>
                <w:color w:val="000000"/>
                <w:sz w:val="16"/>
                <w:szCs w:val="16"/>
              </w:rPr>
            </w:pPr>
            <w:r w:rsidRPr="00852DD7">
              <w:rPr>
                <w:rFonts w:ascii="Arial" w:hAnsi="Arial" w:cs="Arial"/>
                <w:b/>
                <w:bCs/>
                <w:i/>
                <w:iCs/>
                <w:color w:val="000000"/>
                <w:sz w:val="16"/>
                <w:szCs w:val="16"/>
              </w:rPr>
              <w:t>2,216,611</w:t>
            </w:r>
          </w:p>
        </w:tc>
        <w:tc>
          <w:tcPr>
            <w:tcW w:w="980" w:type="dxa"/>
            <w:tcBorders>
              <w:top w:val="single" w:sz="4" w:space="0" w:color="000000"/>
              <w:left w:val="nil"/>
              <w:bottom w:val="single" w:sz="4" w:space="0" w:color="000000"/>
              <w:right w:val="nil"/>
            </w:tcBorders>
            <w:shd w:val="clear" w:color="auto" w:fill="auto"/>
            <w:noWrap/>
            <w:vAlign w:val="bottom"/>
            <w:hideMark/>
          </w:tcPr>
          <w:p w14:paraId="78210727" w14:textId="7EB98DA6" w:rsidR="00852DD7" w:rsidRPr="00852DD7" w:rsidRDefault="00852DD7" w:rsidP="005A1CD1">
            <w:pPr>
              <w:spacing w:after="0" w:line="240" w:lineRule="auto"/>
              <w:jc w:val="right"/>
              <w:rPr>
                <w:rFonts w:ascii="Arial" w:hAnsi="Arial" w:cs="Arial"/>
                <w:b/>
                <w:bCs/>
                <w:i/>
                <w:iCs/>
                <w:color w:val="000000"/>
                <w:sz w:val="16"/>
                <w:szCs w:val="16"/>
              </w:rPr>
            </w:pPr>
            <w:r w:rsidRPr="00852DD7">
              <w:rPr>
                <w:rFonts w:ascii="Arial" w:hAnsi="Arial" w:cs="Arial"/>
                <w:b/>
                <w:bCs/>
                <w:i/>
                <w:iCs/>
                <w:color w:val="000000"/>
                <w:sz w:val="16"/>
                <w:szCs w:val="16"/>
              </w:rPr>
              <w:t>124,993</w:t>
            </w:r>
          </w:p>
        </w:tc>
      </w:tr>
      <w:tr w:rsidR="00852DD7" w:rsidRPr="00852DD7" w14:paraId="652F40E1" w14:textId="77777777" w:rsidTr="00852DD7">
        <w:trPr>
          <w:trHeight w:val="204"/>
        </w:trPr>
        <w:tc>
          <w:tcPr>
            <w:tcW w:w="2860" w:type="dxa"/>
            <w:tcBorders>
              <w:top w:val="nil"/>
              <w:left w:val="nil"/>
              <w:bottom w:val="nil"/>
              <w:right w:val="nil"/>
            </w:tcBorders>
            <w:shd w:val="clear" w:color="auto" w:fill="auto"/>
            <w:vAlign w:val="center"/>
            <w:hideMark/>
          </w:tcPr>
          <w:p w14:paraId="26379210" w14:textId="6D5CAE3C" w:rsidR="00852DD7" w:rsidRPr="00852DD7" w:rsidRDefault="00852DD7" w:rsidP="000209D0">
            <w:pPr>
              <w:spacing w:after="0" w:line="240" w:lineRule="auto"/>
              <w:jc w:val="left"/>
              <w:rPr>
                <w:rFonts w:ascii="Arial" w:hAnsi="Arial" w:cs="Arial"/>
                <w:b/>
                <w:bCs/>
                <w:color w:val="000000"/>
                <w:sz w:val="16"/>
                <w:szCs w:val="16"/>
              </w:rPr>
            </w:pPr>
            <w:r w:rsidRPr="00852DD7">
              <w:rPr>
                <w:rFonts w:ascii="Arial" w:hAnsi="Arial" w:cs="Arial"/>
                <w:b/>
                <w:bCs/>
                <w:color w:val="000000"/>
                <w:sz w:val="16"/>
                <w:szCs w:val="16"/>
              </w:rPr>
              <w:t>Total liabilities administered on</w:t>
            </w:r>
            <w:r w:rsidR="000209D0">
              <w:rPr>
                <w:rFonts w:ascii="Arial" w:hAnsi="Arial" w:cs="Arial"/>
                <w:b/>
                <w:bCs/>
                <w:color w:val="000000"/>
                <w:sz w:val="16"/>
                <w:szCs w:val="16"/>
              </w:rPr>
              <w:t xml:space="preserve"> </w:t>
            </w:r>
            <w:r w:rsidRPr="00852DD7">
              <w:rPr>
                <w:rFonts w:ascii="Arial" w:hAnsi="Arial" w:cs="Arial"/>
                <w:b/>
                <w:bCs/>
                <w:color w:val="000000"/>
                <w:sz w:val="16"/>
                <w:szCs w:val="16"/>
              </w:rPr>
              <w:t>behalf of Government</w:t>
            </w:r>
          </w:p>
        </w:tc>
        <w:tc>
          <w:tcPr>
            <w:tcW w:w="940" w:type="dxa"/>
            <w:tcBorders>
              <w:top w:val="single" w:sz="4" w:space="0" w:color="000000"/>
              <w:left w:val="nil"/>
              <w:bottom w:val="single" w:sz="4" w:space="0" w:color="000000"/>
              <w:right w:val="nil"/>
            </w:tcBorders>
            <w:shd w:val="clear" w:color="auto" w:fill="auto"/>
            <w:noWrap/>
            <w:vAlign w:val="bottom"/>
            <w:hideMark/>
          </w:tcPr>
          <w:p w14:paraId="3CEB2D67" w14:textId="2F7C1503" w:rsidR="00852DD7" w:rsidRPr="00852DD7" w:rsidRDefault="00852DD7" w:rsidP="005A1CD1">
            <w:pPr>
              <w:spacing w:after="0" w:line="240" w:lineRule="auto"/>
              <w:jc w:val="right"/>
              <w:rPr>
                <w:rFonts w:ascii="Arial" w:hAnsi="Arial" w:cs="Arial"/>
                <w:b/>
                <w:bCs/>
                <w:color w:val="000000"/>
                <w:sz w:val="16"/>
                <w:szCs w:val="16"/>
              </w:rPr>
            </w:pPr>
            <w:r w:rsidRPr="00852DD7">
              <w:rPr>
                <w:rFonts w:ascii="Arial" w:hAnsi="Arial" w:cs="Arial"/>
                <w:b/>
                <w:bCs/>
                <w:color w:val="000000"/>
                <w:sz w:val="16"/>
                <w:szCs w:val="16"/>
              </w:rPr>
              <w:t>256,594</w:t>
            </w:r>
          </w:p>
        </w:tc>
        <w:tc>
          <w:tcPr>
            <w:tcW w:w="980" w:type="dxa"/>
            <w:tcBorders>
              <w:top w:val="single" w:sz="4" w:space="0" w:color="000000"/>
              <w:left w:val="nil"/>
              <w:bottom w:val="single" w:sz="4" w:space="0" w:color="000000"/>
              <w:right w:val="nil"/>
            </w:tcBorders>
            <w:shd w:val="clear" w:color="000000" w:fill="E6E6E6"/>
            <w:noWrap/>
            <w:vAlign w:val="bottom"/>
            <w:hideMark/>
          </w:tcPr>
          <w:p w14:paraId="2539AE19" w14:textId="463EE9BC" w:rsidR="00852DD7" w:rsidRPr="00852DD7" w:rsidRDefault="00852DD7" w:rsidP="005A1CD1">
            <w:pPr>
              <w:spacing w:after="0" w:line="240" w:lineRule="auto"/>
              <w:jc w:val="right"/>
              <w:rPr>
                <w:rFonts w:ascii="Arial" w:hAnsi="Arial" w:cs="Arial"/>
                <w:b/>
                <w:bCs/>
                <w:color w:val="000000"/>
                <w:sz w:val="16"/>
                <w:szCs w:val="16"/>
              </w:rPr>
            </w:pPr>
            <w:r w:rsidRPr="00852DD7">
              <w:rPr>
                <w:rFonts w:ascii="Arial" w:hAnsi="Arial" w:cs="Arial"/>
                <w:b/>
                <w:bCs/>
                <w:color w:val="000000"/>
                <w:sz w:val="16"/>
                <w:szCs w:val="16"/>
              </w:rPr>
              <w:t>124,993</w:t>
            </w:r>
          </w:p>
        </w:tc>
        <w:tc>
          <w:tcPr>
            <w:tcW w:w="980" w:type="dxa"/>
            <w:tcBorders>
              <w:top w:val="single" w:sz="4" w:space="0" w:color="000000"/>
              <w:left w:val="nil"/>
              <w:bottom w:val="single" w:sz="4" w:space="0" w:color="000000"/>
              <w:right w:val="nil"/>
            </w:tcBorders>
            <w:shd w:val="clear" w:color="auto" w:fill="auto"/>
            <w:noWrap/>
            <w:vAlign w:val="bottom"/>
            <w:hideMark/>
          </w:tcPr>
          <w:p w14:paraId="30D8BB37" w14:textId="76999C5F" w:rsidR="00852DD7" w:rsidRPr="00852DD7" w:rsidRDefault="00852DD7" w:rsidP="005A1CD1">
            <w:pPr>
              <w:spacing w:after="0" w:line="240" w:lineRule="auto"/>
              <w:jc w:val="right"/>
              <w:rPr>
                <w:rFonts w:ascii="Arial" w:hAnsi="Arial" w:cs="Arial"/>
                <w:b/>
                <w:bCs/>
                <w:color w:val="000000"/>
                <w:sz w:val="16"/>
                <w:szCs w:val="16"/>
              </w:rPr>
            </w:pPr>
            <w:r w:rsidRPr="00852DD7">
              <w:rPr>
                <w:rFonts w:ascii="Arial" w:hAnsi="Arial" w:cs="Arial"/>
                <w:b/>
                <w:bCs/>
                <w:color w:val="000000"/>
                <w:sz w:val="16"/>
                <w:szCs w:val="16"/>
              </w:rPr>
              <w:t>124,993</w:t>
            </w:r>
          </w:p>
        </w:tc>
        <w:tc>
          <w:tcPr>
            <w:tcW w:w="980" w:type="dxa"/>
            <w:tcBorders>
              <w:top w:val="single" w:sz="4" w:space="0" w:color="000000"/>
              <w:left w:val="nil"/>
              <w:bottom w:val="single" w:sz="4" w:space="0" w:color="000000"/>
              <w:right w:val="nil"/>
            </w:tcBorders>
            <w:shd w:val="clear" w:color="auto" w:fill="auto"/>
            <w:noWrap/>
            <w:vAlign w:val="bottom"/>
            <w:hideMark/>
          </w:tcPr>
          <w:p w14:paraId="0593076C" w14:textId="7E10E8DC" w:rsidR="00852DD7" w:rsidRPr="00852DD7" w:rsidRDefault="00852DD7" w:rsidP="005A1CD1">
            <w:pPr>
              <w:spacing w:after="0" w:line="240" w:lineRule="auto"/>
              <w:jc w:val="right"/>
              <w:rPr>
                <w:rFonts w:ascii="Arial" w:hAnsi="Arial" w:cs="Arial"/>
                <w:b/>
                <w:bCs/>
                <w:color w:val="000000"/>
                <w:sz w:val="16"/>
                <w:szCs w:val="16"/>
              </w:rPr>
            </w:pPr>
            <w:r w:rsidRPr="00852DD7">
              <w:rPr>
                <w:rFonts w:ascii="Arial" w:hAnsi="Arial" w:cs="Arial"/>
                <w:b/>
                <w:bCs/>
                <w:color w:val="000000"/>
                <w:sz w:val="16"/>
                <w:szCs w:val="16"/>
              </w:rPr>
              <w:t>2,216,611</w:t>
            </w:r>
          </w:p>
        </w:tc>
        <w:tc>
          <w:tcPr>
            <w:tcW w:w="980" w:type="dxa"/>
            <w:tcBorders>
              <w:top w:val="single" w:sz="4" w:space="0" w:color="000000"/>
              <w:left w:val="nil"/>
              <w:bottom w:val="single" w:sz="4" w:space="0" w:color="000000"/>
              <w:right w:val="nil"/>
            </w:tcBorders>
            <w:shd w:val="clear" w:color="auto" w:fill="auto"/>
            <w:noWrap/>
            <w:vAlign w:val="bottom"/>
            <w:hideMark/>
          </w:tcPr>
          <w:p w14:paraId="749076EC" w14:textId="69C245F7" w:rsidR="00852DD7" w:rsidRPr="00852DD7" w:rsidRDefault="00852DD7" w:rsidP="005A1CD1">
            <w:pPr>
              <w:spacing w:after="0" w:line="240" w:lineRule="auto"/>
              <w:jc w:val="right"/>
              <w:rPr>
                <w:rFonts w:ascii="Arial" w:hAnsi="Arial" w:cs="Arial"/>
                <w:b/>
                <w:bCs/>
                <w:color w:val="000000"/>
                <w:sz w:val="16"/>
                <w:szCs w:val="16"/>
              </w:rPr>
            </w:pPr>
            <w:r w:rsidRPr="00852DD7">
              <w:rPr>
                <w:rFonts w:ascii="Arial" w:hAnsi="Arial" w:cs="Arial"/>
                <w:b/>
                <w:bCs/>
                <w:color w:val="000000"/>
                <w:sz w:val="16"/>
                <w:szCs w:val="16"/>
              </w:rPr>
              <w:t>124,993</w:t>
            </w:r>
          </w:p>
        </w:tc>
      </w:tr>
      <w:tr w:rsidR="00852DD7" w:rsidRPr="00852DD7" w14:paraId="7AC08D1D" w14:textId="77777777" w:rsidTr="00852DD7">
        <w:trPr>
          <w:trHeight w:val="204"/>
        </w:trPr>
        <w:tc>
          <w:tcPr>
            <w:tcW w:w="2860" w:type="dxa"/>
            <w:tcBorders>
              <w:top w:val="nil"/>
              <w:left w:val="nil"/>
              <w:bottom w:val="single" w:sz="4" w:space="0" w:color="000000"/>
              <w:right w:val="nil"/>
            </w:tcBorders>
            <w:shd w:val="clear" w:color="auto" w:fill="auto"/>
            <w:noWrap/>
            <w:vAlign w:val="center"/>
            <w:hideMark/>
          </w:tcPr>
          <w:p w14:paraId="60D8EF66" w14:textId="77777777" w:rsidR="00852DD7" w:rsidRPr="00852DD7" w:rsidRDefault="00852DD7" w:rsidP="00852DD7">
            <w:pPr>
              <w:spacing w:after="0" w:line="240" w:lineRule="auto"/>
              <w:jc w:val="left"/>
              <w:rPr>
                <w:rFonts w:ascii="Arial" w:hAnsi="Arial" w:cs="Arial"/>
                <w:b/>
                <w:bCs/>
                <w:color w:val="000000"/>
                <w:sz w:val="16"/>
                <w:szCs w:val="16"/>
              </w:rPr>
            </w:pPr>
            <w:r w:rsidRPr="00852DD7">
              <w:rPr>
                <w:rFonts w:ascii="Arial" w:hAnsi="Arial" w:cs="Arial"/>
                <w:b/>
                <w:bCs/>
                <w:color w:val="000000"/>
                <w:sz w:val="16"/>
                <w:szCs w:val="16"/>
              </w:rPr>
              <w:t>Net assets/(liabilities)</w:t>
            </w:r>
          </w:p>
        </w:tc>
        <w:tc>
          <w:tcPr>
            <w:tcW w:w="940" w:type="dxa"/>
            <w:tcBorders>
              <w:top w:val="nil"/>
              <w:left w:val="nil"/>
              <w:bottom w:val="single" w:sz="4" w:space="0" w:color="000000"/>
              <w:right w:val="nil"/>
            </w:tcBorders>
            <w:shd w:val="clear" w:color="auto" w:fill="auto"/>
            <w:noWrap/>
            <w:vAlign w:val="bottom"/>
            <w:hideMark/>
          </w:tcPr>
          <w:p w14:paraId="7D64F8F6" w14:textId="5D031348" w:rsidR="00852DD7" w:rsidRPr="00852DD7" w:rsidRDefault="00852DD7" w:rsidP="005A1CD1">
            <w:pPr>
              <w:spacing w:after="0" w:line="240" w:lineRule="auto"/>
              <w:jc w:val="right"/>
              <w:rPr>
                <w:rFonts w:ascii="Arial" w:hAnsi="Arial" w:cs="Arial"/>
                <w:b/>
                <w:bCs/>
                <w:color w:val="000000"/>
                <w:sz w:val="16"/>
                <w:szCs w:val="16"/>
              </w:rPr>
            </w:pPr>
            <w:r w:rsidRPr="00852DD7">
              <w:rPr>
                <w:rFonts w:ascii="Arial" w:hAnsi="Arial" w:cs="Arial"/>
                <w:b/>
                <w:bCs/>
                <w:color w:val="000000"/>
                <w:sz w:val="16"/>
                <w:szCs w:val="16"/>
              </w:rPr>
              <w:t>197,733</w:t>
            </w:r>
          </w:p>
        </w:tc>
        <w:tc>
          <w:tcPr>
            <w:tcW w:w="980" w:type="dxa"/>
            <w:tcBorders>
              <w:top w:val="nil"/>
              <w:left w:val="nil"/>
              <w:bottom w:val="single" w:sz="4" w:space="0" w:color="000000"/>
              <w:right w:val="nil"/>
            </w:tcBorders>
            <w:shd w:val="clear" w:color="000000" w:fill="E6E6E6"/>
            <w:noWrap/>
            <w:vAlign w:val="bottom"/>
            <w:hideMark/>
          </w:tcPr>
          <w:p w14:paraId="25AFFE90" w14:textId="5A07A957" w:rsidR="00852DD7" w:rsidRPr="00B86D56" w:rsidRDefault="00852DD7" w:rsidP="005A1CD1">
            <w:pPr>
              <w:spacing w:after="0" w:line="240" w:lineRule="auto"/>
              <w:jc w:val="right"/>
              <w:rPr>
                <w:rFonts w:ascii="Arial" w:hAnsi="Arial" w:cs="Arial"/>
                <w:b/>
                <w:bCs/>
                <w:iCs/>
                <w:color w:val="000000"/>
                <w:sz w:val="16"/>
                <w:szCs w:val="16"/>
              </w:rPr>
            </w:pPr>
            <w:r w:rsidRPr="00B86D56">
              <w:rPr>
                <w:rFonts w:ascii="Arial" w:hAnsi="Arial" w:cs="Arial"/>
                <w:b/>
                <w:bCs/>
                <w:iCs/>
                <w:color w:val="000000"/>
                <w:sz w:val="16"/>
                <w:szCs w:val="16"/>
              </w:rPr>
              <w:t>1,254,411</w:t>
            </w:r>
          </w:p>
        </w:tc>
        <w:tc>
          <w:tcPr>
            <w:tcW w:w="980" w:type="dxa"/>
            <w:tcBorders>
              <w:top w:val="nil"/>
              <w:left w:val="nil"/>
              <w:bottom w:val="single" w:sz="4" w:space="0" w:color="000000"/>
              <w:right w:val="nil"/>
            </w:tcBorders>
            <w:shd w:val="clear" w:color="auto" w:fill="auto"/>
            <w:noWrap/>
            <w:vAlign w:val="bottom"/>
            <w:hideMark/>
          </w:tcPr>
          <w:p w14:paraId="6BC5A444" w14:textId="72F855EE" w:rsidR="00852DD7" w:rsidRPr="00B86D56" w:rsidRDefault="00852DD7" w:rsidP="005A1CD1">
            <w:pPr>
              <w:spacing w:after="0" w:line="240" w:lineRule="auto"/>
              <w:jc w:val="right"/>
              <w:rPr>
                <w:rFonts w:ascii="Arial" w:hAnsi="Arial" w:cs="Arial"/>
                <w:b/>
                <w:bCs/>
                <w:color w:val="000000"/>
                <w:sz w:val="16"/>
                <w:szCs w:val="16"/>
              </w:rPr>
            </w:pPr>
            <w:r w:rsidRPr="00B86D56">
              <w:rPr>
                <w:rFonts w:ascii="Arial" w:hAnsi="Arial" w:cs="Arial"/>
                <w:b/>
                <w:bCs/>
                <w:color w:val="000000"/>
                <w:sz w:val="16"/>
                <w:szCs w:val="16"/>
              </w:rPr>
              <w:t>1,207,707</w:t>
            </w:r>
          </w:p>
        </w:tc>
        <w:tc>
          <w:tcPr>
            <w:tcW w:w="980" w:type="dxa"/>
            <w:tcBorders>
              <w:top w:val="nil"/>
              <w:left w:val="nil"/>
              <w:bottom w:val="single" w:sz="4" w:space="0" w:color="000000"/>
              <w:right w:val="nil"/>
            </w:tcBorders>
            <w:shd w:val="clear" w:color="auto" w:fill="auto"/>
            <w:noWrap/>
            <w:vAlign w:val="bottom"/>
            <w:hideMark/>
          </w:tcPr>
          <w:p w14:paraId="183BA942" w14:textId="77777777" w:rsidR="00852DD7" w:rsidRPr="00B86D56" w:rsidRDefault="00852DD7" w:rsidP="005A1CD1">
            <w:pPr>
              <w:spacing w:after="0" w:line="240" w:lineRule="auto"/>
              <w:jc w:val="right"/>
              <w:rPr>
                <w:rFonts w:ascii="Arial" w:hAnsi="Arial" w:cs="Arial"/>
                <w:b/>
                <w:bCs/>
                <w:color w:val="000000"/>
                <w:sz w:val="16"/>
                <w:szCs w:val="16"/>
              </w:rPr>
            </w:pPr>
            <w:r w:rsidRPr="00B86D56">
              <w:rPr>
                <w:rFonts w:ascii="Arial" w:hAnsi="Arial" w:cs="Arial"/>
                <w:b/>
                <w:bCs/>
                <w:color w:val="000000"/>
                <w:sz w:val="16"/>
                <w:szCs w:val="16"/>
              </w:rPr>
              <w:t>(985,117)</w:t>
            </w:r>
          </w:p>
        </w:tc>
        <w:tc>
          <w:tcPr>
            <w:tcW w:w="980" w:type="dxa"/>
            <w:tcBorders>
              <w:top w:val="nil"/>
              <w:left w:val="nil"/>
              <w:bottom w:val="single" w:sz="4" w:space="0" w:color="000000"/>
              <w:right w:val="nil"/>
            </w:tcBorders>
            <w:shd w:val="clear" w:color="auto" w:fill="auto"/>
            <w:noWrap/>
            <w:vAlign w:val="bottom"/>
            <w:hideMark/>
          </w:tcPr>
          <w:p w14:paraId="43D919D3" w14:textId="3C0577CF" w:rsidR="00852DD7" w:rsidRPr="00B86D56" w:rsidRDefault="00852DD7" w:rsidP="005A1CD1">
            <w:pPr>
              <w:spacing w:after="0" w:line="240" w:lineRule="auto"/>
              <w:jc w:val="right"/>
              <w:rPr>
                <w:rFonts w:ascii="Arial" w:hAnsi="Arial" w:cs="Arial"/>
                <w:b/>
                <w:bCs/>
                <w:color w:val="000000"/>
                <w:sz w:val="16"/>
                <w:szCs w:val="16"/>
              </w:rPr>
            </w:pPr>
            <w:r w:rsidRPr="00B86D56">
              <w:rPr>
                <w:rFonts w:ascii="Arial" w:hAnsi="Arial" w:cs="Arial"/>
                <w:b/>
                <w:bCs/>
                <w:color w:val="000000"/>
                <w:sz w:val="16"/>
                <w:szCs w:val="16"/>
              </w:rPr>
              <w:t>975,099</w:t>
            </w:r>
          </w:p>
        </w:tc>
      </w:tr>
    </w:tbl>
    <w:p w14:paraId="33053BD4" w14:textId="77777777" w:rsidR="005A6F51" w:rsidRPr="005A6F51" w:rsidRDefault="005A6F51" w:rsidP="006A6147">
      <w:pPr>
        <w:spacing w:before="60" w:after="0" w:line="240" w:lineRule="auto"/>
        <w:jc w:val="left"/>
        <w:rPr>
          <w:rFonts w:ascii="Arial" w:hAnsi="Arial" w:cs="Arial"/>
          <w:sz w:val="16"/>
          <w:szCs w:val="16"/>
        </w:rPr>
      </w:pPr>
      <w:r w:rsidRPr="005A6F51">
        <w:rPr>
          <w:rFonts w:ascii="Arial" w:hAnsi="Arial" w:cs="Arial"/>
          <w:sz w:val="16"/>
          <w:szCs w:val="16"/>
        </w:rPr>
        <w:t>Prepared on Australian Accounting Standards basis.</w:t>
      </w:r>
    </w:p>
    <w:p w14:paraId="1C92523A" w14:textId="77777777" w:rsidR="00852DD7" w:rsidRPr="00852DD7" w:rsidRDefault="00852DD7" w:rsidP="006A6147">
      <w:pPr>
        <w:numPr>
          <w:ilvl w:val="0"/>
          <w:numId w:val="37"/>
        </w:numPr>
        <w:spacing w:before="60" w:after="0" w:line="240" w:lineRule="auto"/>
        <w:ind w:left="284" w:hanging="284"/>
        <w:jc w:val="left"/>
        <w:rPr>
          <w:rFonts w:ascii="Arial" w:hAnsi="Arial" w:cs="Arial"/>
          <w:sz w:val="16"/>
        </w:rPr>
      </w:pPr>
      <w:r w:rsidRPr="00852DD7">
        <w:rPr>
          <w:rFonts w:ascii="Arial" w:hAnsi="Arial" w:cs="Arial"/>
          <w:sz w:val="16"/>
        </w:rPr>
        <w:t xml:space="preserve">The significant increase between 2020-21 and 2021-22 relates to the commencement of the Regional Broadband Scheme on 1 January 2021. </w:t>
      </w:r>
    </w:p>
    <w:p w14:paraId="34693EE2" w14:textId="77777777" w:rsidR="00852DD7" w:rsidRPr="00852DD7" w:rsidRDefault="00852DD7" w:rsidP="006A6147">
      <w:pPr>
        <w:numPr>
          <w:ilvl w:val="0"/>
          <w:numId w:val="37"/>
        </w:numPr>
        <w:tabs>
          <w:tab w:val="num" w:pos="284"/>
        </w:tabs>
        <w:spacing w:after="0" w:line="240" w:lineRule="auto"/>
        <w:ind w:left="284" w:hanging="284"/>
        <w:jc w:val="left"/>
        <w:rPr>
          <w:rFonts w:ascii="Arial" w:hAnsi="Arial" w:cs="Arial"/>
          <w:sz w:val="16"/>
        </w:rPr>
      </w:pPr>
      <w:r w:rsidRPr="00852DD7">
        <w:rPr>
          <w:rFonts w:ascii="Arial" w:hAnsi="Arial" w:cs="Arial"/>
          <w:sz w:val="16"/>
        </w:rPr>
        <w:t>The sale of the 26GHz spectrum results in the recognition of a finance lease receivable in 2021-22, which is reduced through the instalment payments made by the winning auction bidders.</w:t>
      </w:r>
    </w:p>
    <w:p w14:paraId="449E2657" w14:textId="77777777" w:rsidR="00852DD7" w:rsidRPr="00852DD7" w:rsidRDefault="00852DD7" w:rsidP="006A6147">
      <w:pPr>
        <w:numPr>
          <w:ilvl w:val="0"/>
          <w:numId w:val="37"/>
        </w:numPr>
        <w:tabs>
          <w:tab w:val="num" w:pos="284"/>
        </w:tabs>
        <w:spacing w:after="0" w:line="240" w:lineRule="auto"/>
        <w:ind w:left="284" w:hanging="284"/>
        <w:jc w:val="left"/>
        <w:rPr>
          <w:rFonts w:ascii="Arial" w:hAnsi="Arial" w:cs="Arial"/>
          <w:sz w:val="16"/>
        </w:rPr>
      </w:pPr>
      <w:r w:rsidRPr="00852DD7">
        <w:rPr>
          <w:rFonts w:ascii="Arial" w:hAnsi="Arial" w:cs="Arial"/>
          <w:sz w:val="16"/>
        </w:rPr>
        <w:t xml:space="preserve">The unearned revenue in 2020-21 relates to the cash received ahead of the commencement of the 26GHz licence as a result of the related auction held in 2020. </w:t>
      </w:r>
    </w:p>
    <w:p w14:paraId="0231A0F7" w14:textId="7AF68387" w:rsidR="00852DD7" w:rsidRPr="00852DD7" w:rsidRDefault="00852DD7" w:rsidP="006A6147">
      <w:pPr>
        <w:numPr>
          <w:ilvl w:val="0"/>
          <w:numId w:val="37"/>
        </w:numPr>
        <w:tabs>
          <w:tab w:val="num" w:pos="284"/>
        </w:tabs>
        <w:spacing w:after="0" w:line="240" w:lineRule="auto"/>
        <w:ind w:left="284" w:hanging="284"/>
        <w:jc w:val="left"/>
        <w:rPr>
          <w:rFonts w:ascii="Arial" w:hAnsi="Arial" w:cs="Arial"/>
          <w:sz w:val="16"/>
        </w:rPr>
      </w:pPr>
      <w:r w:rsidRPr="00852DD7">
        <w:rPr>
          <w:rFonts w:ascii="Arial" w:hAnsi="Arial" w:cs="Arial"/>
          <w:sz w:val="16"/>
        </w:rPr>
        <w:t>The unearned revenue in 2023-24 relates to the cash expected to</w:t>
      </w:r>
      <w:r w:rsidR="00466231">
        <w:rPr>
          <w:rFonts w:ascii="Arial" w:hAnsi="Arial" w:cs="Arial"/>
          <w:sz w:val="16"/>
        </w:rPr>
        <w:t xml:space="preserve"> be</w:t>
      </w:r>
      <w:r w:rsidRPr="00852DD7">
        <w:rPr>
          <w:rFonts w:ascii="Arial" w:hAnsi="Arial" w:cs="Arial"/>
          <w:sz w:val="16"/>
        </w:rPr>
        <w:t xml:space="preserve"> receive</w:t>
      </w:r>
      <w:r w:rsidR="00466231">
        <w:rPr>
          <w:rFonts w:ascii="Arial" w:hAnsi="Arial" w:cs="Arial"/>
          <w:sz w:val="16"/>
        </w:rPr>
        <w:t>d</w:t>
      </w:r>
      <w:r w:rsidRPr="00852DD7">
        <w:rPr>
          <w:rFonts w:ascii="Arial" w:hAnsi="Arial" w:cs="Arial"/>
          <w:sz w:val="16"/>
        </w:rPr>
        <w:t xml:space="preserve"> ahead of the commence</w:t>
      </w:r>
      <w:r w:rsidR="00466231">
        <w:rPr>
          <w:rFonts w:ascii="Arial" w:hAnsi="Arial" w:cs="Arial"/>
          <w:sz w:val="16"/>
        </w:rPr>
        <w:t>ment</w:t>
      </w:r>
      <w:r w:rsidRPr="00852DD7">
        <w:rPr>
          <w:rFonts w:ascii="Arial" w:hAnsi="Arial" w:cs="Arial"/>
          <w:sz w:val="16"/>
        </w:rPr>
        <w:t xml:space="preserve"> of the 850/900MHz licence as a result of the auction held in 2021.</w:t>
      </w:r>
    </w:p>
    <w:p w14:paraId="4392140D" w14:textId="7D71F278" w:rsidR="00566428" w:rsidRDefault="00566428" w:rsidP="00566428"/>
    <w:p w14:paraId="176FF037" w14:textId="17B45FC3" w:rsidR="00566428" w:rsidRDefault="00566428" w:rsidP="00566428"/>
    <w:p w14:paraId="7DCA8976" w14:textId="5070B903" w:rsidR="00566428" w:rsidRDefault="00566428" w:rsidP="00566428"/>
    <w:p w14:paraId="2B0297AF" w14:textId="63283069" w:rsidR="00566428" w:rsidRPr="00566428" w:rsidRDefault="00566428" w:rsidP="00566428"/>
    <w:p w14:paraId="1DFB54EC" w14:textId="04C02104" w:rsidR="00566428" w:rsidRDefault="00566428">
      <w:pPr>
        <w:spacing w:after="0" w:line="240" w:lineRule="auto"/>
        <w:jc w:val="left"/>
        <w:rPr>
          <w:snapToGrid w:val="0"/>
        </w:rPr>
      </w:pPr>
      <w:r>
        <w:rPr>
          <w:snapToGrid w:val="0"/>
        </w:rPr>
        <w:br w:type="page"/>
      </w:r>
    </w:p>
    <w:p w14:paraId="79C0BE1B" w14:textId="51C89B1C" w:rsidR="00914885" w:rsidRDefault="00914885" w:rsidP="00914885">
      <w:pPr>
        <w:pStyle w:val="TableHeading"/>
        <w:spacing w:before="0"/>
        <w:rPr>
          <w:snapToGrid w:val="0"/>
        </w:rPr>
      </w:pPr>
      <w:r>
        <w:rPr>
          <w:snapToGrid w:val="0"/>
        </w:rPr>
        <w:lastRenderedPageBreak/>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p>
    <w:tbl>
      <w:tblPr>
        <w:tblW w:w="7630" w:type="dxa"/>
        <w:tblLook w:val="04A0" w:firstRow="1" w:lastRow="0" w:firstColumn="1" w:lastColumn="0" w:noHBand="0" w:noVBand="1"/>
      </w:tblPr>
      <w:tblGrid>
        <w:gridCol w:w="2835"/>
        <w:gridCol w:w="940"/>
        <w:gridCol w:w="940"/>
        <w:gridCol w:w="940"/>
        <w:gridCol w:w="1035"/>
        <w:gridCol w:w="940"/>
      </w:tblGrid>
      <w:tr w:rsidR="00081C86" w:rsidRPr="00081C86" w14:paraId="141F5CFC" w14:textId="77777777" w:rsidTr="0055799D">
        <w:trPr>
          <w:trHeight w:val="354"/>
        </w:trPr>
        <w:tc>
          <w:tcPr>
            <w:tcW w:w="2835" w:type="dxa"/>
            <w:tcBorders>
              <w:top w:val="single" w:sz="4" w:space="0" w:color="auto"/>
              <w:left w:val="nil"/>
              <w:bottom w:val="nil"/>
              <w:right w:val="nil"/>
            </w:tcBorders>
            <w:shd w:val="clear" w:color="auto" w:fill="auto"/>
            <w:noWrap/>
            <w:hideMark/>
          </w:tcPr>
          <w:p w14:paraId="0452903A" w14:textId="77777777" w:rsidR="00081C86" w:rsidRPr="00081C86" w:rsidRDefault="00081C86" w:rsidP="00081C86">
            <w:pPr>
              <w:spacing w:after="0" w:line="240" w:lineRule="auto"/>
              <w:jc w:val="left"/>
              <w:rPr>
                <w:rFonts w:ascii="Arial" w:hAnsi="Arial" w:cs="Arial"/>
                <w:b/>
                <w:bCs/>
                <w:sz w:val="16"/>
                <w:szCs w:val="16"/>
              </w:rPr>
            </w:pPr>
            <w:r w:rsidRPr="00081C86">
              <w:rPr>
                <w:rFonts w:ascii="Arial" w:hAnsi="Arial" w:cs="Arial"/>
                <w:b/>
                <w:bCs/>
                <w:sz w:val="16"/>
                <w:szCs w:val="16"/>
              </w:rPr>
              <w:t> </w:t>
            </w:r>
          </w:p>
        </w:tc>
        <w:tc>
          <w:tcPr>
            <w:tcW w:w="940" w:type="dxa"/>
            <w:tcBorders>
              <w:top w:val="single" w:sz="4" w:space="0" w:color="auto"/>
              <w:left w:val="nil"/>
              <w:bottom w:val="single" w:sz="4" w:space="0" w:color="auto"/>
              <w:right w:val="nil"/>
            </w:tcBorders>
            <w:shd w:val="clear" w:color="auto" w:fill="auto"/>
            <w:hideMark/>
          </w:tcPr>
          <w:p w14:paraId="6E73A628" w14:textId="77777777" w:rsidR="00081C86" w:rsidRPr="00081C86" w:rsidRDefault="00081C86" w:rsidP="00081C86">
            <w:pPr>
              <w:spacing w:after="0" w:line="240" w:lineRule="auto"/>
              <w:jc w:val="right"/>
              <w:rPr>
                <w:rFonts w:ascii="Arial" w:hAnsi="Arial" w:cs="Arial"/>
                <w:sz w:val="16"/>
                <w:szCs w:val="16"/>
              </w:rPr>
            </w:pPr>
            <w:r w:rsidRPr="00081C86">
              <w:rPr>
                <w:rFonts w:ascii="Arial" w:hAnsi="Arial" w:cs="Arial"/>
                <w:sz w:val="16"/>
                <w:szCs w:val="16"/>
              </w:rPr>
              <w:t>2020-21 Actual</w:t>
            </w:r>
            <w:r w:rsidRPr="00081C86">
              <w:rPr>
                <w:rFonts w:ascii="Arial" w:hAnsi="Arial" w:cs="Arial"/>
                <w:sz w:val="16"/>
                <w:szCs w:val="16"/>
              </w:rPr>
              <w:br/>
            </w:r>
            <w:r w:rsidRPr="00081C86">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000000" w:fill="E6E6E6"/>
            <w:hideMark/>
          </w:tcPr>
          <w:p w14:paraId="65BA495C" w14:textId="77777777" w:rsidR="00081C86" w:rsidRPr="00081C86" w:rsidRDefault="00081C86" w:rsidP="00081C86">
            <w:pPr>
              <w:spacing w:after="0" w:line="240" w:lineRule="auto"/>
              <w:jc w:val="right"/>
              <w:rPr>
                <w:rFonts w:ascii="Arial" w:hAnsi="Arial" w:cs="Arial"/>
                <w:sz w:val="16"/>
                <w:szCs w:val="16"/>
              </w:rPr>
            </w:pPr>
            <w:r w:rsidRPr="00081C86">
              <w:rPr>
                <w:rFonts w:ascii="Arial" w:hAnsi="Arial" w:cs="Arial"/>
                <w:sz w:val="16"/>
                <w:szCs w:val="16"/>
              </w:rPr>
              <w:t>2021-22</w:t>
            </w:r>
            <w:r w:rsidRPr="00081C86">
              <w:rPr>
                <w:rFonts w:ascii="Arial" w:hAnsi="Arial" w:cs="Arial"/>
                <w:sz w:val="16"/>
                <w:szCs w:val="16"/>
              </w:rPr>
              <w:br/>
              <w:t>Revised Budget</w:t>
            </w:r>
            <w:r w:rsidRPr="00081C86">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369D3FF0" w14:textId="77777777" w:rsidR="00081C86" w:rsidRPr="00081C86" w:rsidRDefault="00081C86" w:rsidP="00081C86">
            <w:pPr>
              <w:spacing w:after="0" w:line="240" w:lineRule="auto"/>
              <w:jc w:val="right"/>
              <w:rPr>
                <w:rFonts w:ascii="Arial" w:hAnsi="Arial" w:cs="Arial"/>
                <w:sz w:val="16"/>
                <w:szCs w:val="16"/>
              </w:rPr>
            </w:pPr>
            <w:r w:rsidRPr="00081C86">
              <w:rPr>
                <w:rFonts w:ascii="Arial" w:hAnsi="Arial" w:cs="Arial"/>
                <w:sz w:val="16"/>
                <w:szCs w:val="16"/>
              </w:rPr>
              <w:t>2022-23 Forward estimate</w:t>
            </w:r>
            <w:r w:rsidRPr="00081C86">
              <w:rPr>
                <w:rFonts w:ascii="Arial" w:hAnsi="Arial" w:cs="Arial"/>
                <w:sz w:val="16"/>
                <w:szCs w:val="16"/>
              </w:rPr>
              <w:br/>
              <w:t>$'000</w:t>
            </w:r>
          </w:p>
        </w:tc>
        <w:tc>
          <w:tcPr>
            <w:tcW w:w="1035" w:type="dxa"/>
            <w:tcBorders>
              <w:top w:val="single" w:sz="4" w:space="0" w:color="auto"/>
              <w:left w:val="nil"/>
              <w:bottom w:val="single" w:sz="4" w:space="0" w:color="auto"/>
              <w:right w:val="nil"/>
            </w:tcBorders>
            <w:shd w:val="clear" w:color="auto" w:fill="auto"/>
            <w:hideMark/>
          </w:tcPr>
          <w:p w14:paraId="49AABB25" w14:textId="77777777" w:rsidR="00081C86" w:rsidRPr="00081C86" w:rsidRDefault="00081C86" w:rsidP="00081C86">
            <w:pPr>
              <w:spacing w:after="0" w:line="240" w:lineRule="auto"/>
              <w:jc w:val="right"/>
              <w:rPr>
                <w:rFonts w:ascii="Arial" w:hAnsi="Arial" w:cs="Arial"/>
                <w:sz w:val="16"/>
                <w:szCs w:val="16"/>
              </w:rPr>
            </w:pPr>
            <w:r w:rsidRPr="00081C86">
              <w:rPr>
                <w:rFonts w:ascii="Arial" w:hAnsi="Arial" w:cs="Arial"/>
                <w:sz w:val="16"/>
                <w:szCs w:val="16"/>
              </w:rPr>
              <w:t>2023-24 Forward estimate</w:t>
            </w:r>
            <w:r w:rsidRPr="00081C86">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hideMark/>
          </w:tcPr>
          <w:p w14:paraId="35DA55EE" w14:textId="77777777" w:rsidR="00081C86" w:rsidRPr="00081C86" w:rsidRDefault="00081C86" w:rsidP="00081C86">
            <w:pPr>
              <w:spacing w:after="0" w:line="240" w:lineRule="auto"/>
              <w:jc w:val="right"/>
              <w:rPr>
                <w:rFonts w:ascii="Arial" w:hAnsi="Arial" w:cs="Arial"/>
                <w:sz w:val="16"/>
                <w:szCs w:val="16"/>
              </w:rPr>
            </w:pPr>
            <w:r w:rsidRPr="00081C86">
              <w:rPr>
                <w:rFonts w:ascii="Arial" w:hAnsi="Arial" w:cs="Arial"/>
                <w:sz w:val="16"/>
                <w:szCs w:val="16"/>
              </w:rPr>
              <w:t>2024-25</w:t>
            </w:r>
            <w:r w:rsidRPr="00081C86">
              <w:rPr>
                <w:rFonts w:ascii="Arial" w:hAnsi="Arial" w:cs="Arial"/>
                <w:sz w:val="16"/>
                <w:szCs w:val="16"/>
              </w:rPr>
              <w:br/>
              <w:t>Forward estimate</w:t>
            </w:r>
            <w:r w:rsidRPr="00081C86">
              <w:rPr>
                <w:rFonts w:ascii="Arial" w:hAnsi="Arial" w:cs="Arial"/>
                <w:sz w:val="16"/>
                <w:szCs w:val="16"/>
              </w:rPr>
              <w:br/>
              <w:t>$'000</w:t>
            </w:r>
          </w:p>
        </w:tc>
      </w:tr>
      <w:tr w:rsidR="00081C86" w:rsidRPr="00081C86" w14:paraId="207A4543" w14:textId="77777777" w:rsidTr="0055799D">
        <w:trPr>
          <w:trHeight w:val="204"/>
        </w:trPr>
        <w:tc>
          <w:tcPr>
            <w:tcW w:w="2835" w:type="dxa"/>
            <w:tcBorders>
              <w:top w:val="nil"/>
              <w:left w:val="nil"/>
              <w:bottom w:val="nil"/>
              <w:right w:val="nil"/>
            </w:tcBorders>
            <w:shd w:val="clear" w:color="auto" w:fill="auto"/>
            <w:noWrap/>
            <w:vAlign w:val="center"/>
            <w:hideMark/>
          </w:tcPr>
          <w:p w14:paraId="123EFB01" w14:textId="77777777" w:rsidR="00081C86" w:rsidRPr="00081C86" w:rsidRDefault="00081C86" w:rsidP="00081C86">
            <w:pPr>
              <w:spacing w:after="0" w:line="240" w:lineRule="auto"/>
              <w:jc w:val="left"/>
              <w:rPr>
                <w:rFonts w:ascii="Arial" w:hAnsi="Arial" w:cs="Arial"/>
                <w:b/>
                <w:bCs/>
                <w:color w:val="000000"/>
                <w:sz w:val="16"/>
                <w:szCs w:val="16"/>
              </w:rPr>
            </w:pPr>
            <w:r w:rsidRPr="00081C86">
              <w:rPr>
                <w:rFonts w:ascii="Arial" w:hAnsi="Arial" w:cs="Arial"/>
                <w:b/>
                <w:bCs/>
                <w:color w:val="000000"/>
                <w:sz w:val="16"/>
                <w:szCs w:val="16"/>
              </w:rPr>
              <w:t>OPERATING ACTIVITIES</w:t>
            </w:r>
          </w:p>
        </w:tc>
        <w:tc>
          <w:tcPr>
            <w:tcW w:w="940" w:type="dxa"/>
            <w:tcBorders>
              <w:top w:val="nil"/>
              <w:left w:val="nil"/>
              <w:bottom w:val="nil"/>
              <w:right w:val="nil"/>
            </w:tcBorders>
            <w:shd w:val="clear" w:color="auto" w:fill="auto"/>
            <w:noWrap/>
            <w:vAlign w:val="bottom"/>
            <w:hideMark/>
          </w:tcPr>
          <w:p w14:paraId="15300578" w14:textId="77777777" w:rsidR="00081C86" w:rsidRPr="00081C86" w:rsidRDefault="00081C86" w:rsidP="00302C92">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6E4E9798" w14:textId="20B4A900" w:rsidR="00081C86" w:rsidRPr="00081C86" w:rsidRDefault="00081C86" w:rsidP="00302C92">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581A9B9A" w14:textId="77777777" w:rsidR="00081C86" w:rsidRPr="00081C86" w:rsidRDefault="00081C86" w:rsidP="00302C92">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0FD046AE" w14:textId="77777777" w:rsidR="00081C86" w:rsidRPr="00081C86" w:rsidRDefault="00081C86" w:rsidP="00302C92">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44342B9F" w14:textId="77777777" w:rsidR="00081C86" w:rsidRPr="00081C86" w:rsidRDefault="00081C86" w:rsidP="00302C92">
            <w:pPr>
              <w:spacing w:after="0" w:line="240" w:lineRule="auto"/>
              <w:jc w:val="right"/>
              <w:rPr>
                <w:rFonts w:ascii="Arial" w:hAnsi="Arial" w:cs="Arial"/>
                <w:sz w:val="16"/>
                <w:szCs w:val="16"/>
              </w:rPr>
            </w:pPr>
          </w:p>
        </w:tc>
      </w:tr>
      <w:tr w:rsidR="00081C86" w:rsidRPr="00081C86" w14:paraId="7C9BC992" w14:textId="77777777" w:rsidTr="0055799D">
        <w:trPr>
          <w:trHeight w:val="204"/>
        </w:trPr>
        <w:tc>
          <w:tcPr>
            <w:tcW w:w="2835" w:type="dxa"/>
            <w:tcBorders>
              <w:top w:val="nil"/>
              <w:left w:val="nil"/>
              <w:bottom w:val="nil"/>
              <w:right w:val="nil"/>
            </w:tcBorders>
            <w:shd w:val="clear" w:color="auto" w:fill="auto"/>
            <w:noWrap/>
            <w:vAlign w:val="center"/>
            <w:hideMark/>
          </w:tcPr>
          <w:p w14:paraId="0DBFCE4B" w14:textId="77777777" w:rsidR="00081C86" w:rsidRPr="00081C86" w:rsidRDefault="00081C86" w:rsidP="00081C86">
            <w:pPr>
              <w:spacing w:after="0" w:line="240" w:lineRule="auto"/>
              <w:jc w:val="left"/>
              <w:rPr>
                <w:rFonts w:ascii="Arial" w:hAnsi="Arial" w:cs="Arial"/>
                <w:b/>
                <w:bCs/>
                <w:color w:val="000000"/>
                <w:sz w:val="16"/>
                <w:szCs w:val="16"/>
              </w:rPr>
            </w:pPr>
            <w:r w:rsidRPr="00081C86">
              <w:rPr>
                <w:rFonts w:ascii="Arial" w:hAnsi="Arial" w:cs="Arial"/>
                <w:b/>
                <w:bCs/>
                <w:color w:val="000000"/>
                <w:sz w:val="16"/>
                <w:szCs w:val="16"/>
              </w:rPr>
              <w:t>Cash received</w:t>
            </w:r>
          </w:p>
        </w:tc>
        <w:tc>
          <w:tcPr>
            <w:tcW w:w="940" w:type="dxa"/>
            <w:tcBorders>
              <w:top w:val="nil"/>
              <w:left w:val="nil"/>
              <w:bottom w:val="nil"/>
              <w:right w:val="nil"/>
            </w:tcBorders>
            <w:shd w:val="clear" w:color="auto" w:fill="auto"/>
            <w:noWrap/>
            <w:vAlign w:val="bottom"/>
            <w:hideMark/>
          </w:tcPr>
          <w:p w14:paraId="1259DA82" w14:textId="77777777" w:rsidR="00081C86" w:rsidRPr="00081C86" w:rsidRDefault="00081C86" w:rsidP="00302C92">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1C2056BD" w14:textId="4DC42BCF" w:rsidR="00081C86" w:rsidRPr="00081C86" w:rsidRDefault="00081C86" w:rsidP="00302C92">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1FAC5C44" w14:textId="77777777" w:rsidR="00081C86" w:rsidRPr="00081C86" w:rsidRDefault="00081C86" w:rsidP="00302C92">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325C5ABF" w14:textId="77777777" w:rsidR="00081C86" w:rsidRPr="00081C86" w:rsidRDefault="00081C86" w:rsidP="00302C92">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1C121426" w14:textId="77777777" w:rsidR="00081C86" w:rsidRPr="00081C86" w:rsidRDefault="00081C86" w:rsidP="00302C92">
            <w:pPr>
              <w:spacing w:after="0" w:line="240" w:lineRule="auto"/>
              <w:jc w:val="right"/>
              <w:rPr>
                <w:rFonts w:ascii="Arial" w:hAnsi="Arial" w:cs="Arial"/>
                <w:sz w:val="16"/>
                <w:szCs w:val="16"/>
              </w:rPr>
            </w:pPr>
          </w:p>
        </w:tc>
      </w:tr>
      <w:tr w:rsidR="00081C86" w:rsidRPr="00081C86" w14:paraId="79A9D4A5" w14:textId="77777777" w:rsidTr="0055799D">
        <w:trPr>
          <w:trHeight w:val="204"/>
        </w:trPr>
        <w:tc>
          <w:tcPr>
            <w:tcW w:w="2835" w:type="dxa"/>
            <w:tcBorders>
              <w:top w:val="nil"/>
              <w:left w:val="nil"/>
              <w:bottom w:val="nil"/>
              <w:right w:val="nil"/>
            </w:tcBorders>
            <w:shd w:val="clear" w:color="auto" w:fill="auto"/>
            <w:vAlign w:val="center"/>
            <w:hideMark/>
          </w:tcPr>
          <w:p w14:paraId="7F90E916" w14:textId="77777777" w:rsidR="00081C86" w:rsidRPr="00081C86" w:rsidRDefault="00081C86" w:rsidP="00081C86">
            <w:pPr>
              <w:spacing w:after="0" w:line="240" w:lineRule="auto"/>
              <w:ind w:left="113"/>
              <w:jc w:val="left"/>
              <w:rPr>
                <w:rFonts w:ascii="Arial" w:hAnsi="Arial" w:cs="Arial"/>
                <w:sz w:val="16"/>
                <w:szCs w:val="16"/>
              </w:rPr>
            </w:pPr>
            <w:r w:rsidRPr="00081C86">
              <w:rPr>
                <w:rFonts w:ascii="Arial" w:hAnsi="Arial" w:cs="Arial"/>
                <w:sz w:val="16"/>
                <w:szCs w:val="16"/>
              </w:rPr>
              <w:t>Sales of goods and rendering of services</w:t>
            </w:r>
          </w:p>
        </w:tc>
        <w:tc>
          <w:tcPr>
            <w:tcW w:w="940" w:type="dxa"/>
            <w:tcBorders>
              <w:top w:val="nil"/>
              <w:left w:val="nil"/>
              <w:bottom w:val="nil"/>
              <w:right w:val="nil"/>
            </w:tcBorders>
            <w:shd w:val="clear" w:color="auto" w:fill="auto"/>
            <w:noWrap/>
            <w:vAlign w:val="bottom"/>
            <w:hideMark/>
          </w:tcPr>
          <w:p w14:paraId="754AE55A" w14:textId="79D1709F"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5,806</w:t>
            </w:r>
          </w:p>
        </w:tc>
        <w:tc>
          <w:tcPr>
            <w:tcW w:w="940" w:type="dxa"/>
            <w:tcBorders>
              <w:top w:val="nil"/>
              <w:left w:val="nil"/>
              <w:bottom w:val="nil"/>
              <w:right w:val="nil"/>
            </w:tcBorders>
            <w:shd w:val="clear" w:color="000000" w:fill="E6E6E6"/>
            <w:noWrap/>
            <w:vAlign w:val="bottom"/>
            <w:hideMark/>
          </w:tcPr>
          <w:p w14:paraId="554DB158" w14:textId="72DA8E74"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38,962</w:t>
            </w:r>
          </w:p>
        </w:tc>
        <w:tc>
          <w:tcPr>
            <w:tcW w:w="940" w:type="dxa"/>
            <w:tcBorders>
              <w:top w:val="nil"/>
              <w:left w:val="nil"/>
              <w:bottom w:val="nil"/>
              <w:right w:val="nil"/>
            </w:tcBorders>
            <w:shd w:val="clear" w:color="auto" w:fill="auto"/>
            <w:noWrap/>
            <w:vAlign w:val="bottom"/>
            <w:hideMark/>
          </w:tcPr>
          <w:p w14:paraId="20995C5B" w14:textId="4597DA5F"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41,898</w:t>
            </w:r>
          </w:p>
        </w:tc>
        <w:tc>
          <w:tcPr>
            <w:tcW w:w="1035" w:type="dxa"/>
            <w:tcBorders>
              <w:top w:val="nil"/>
              <w:left w:val="nil"/>
              <w:bottom w:val="nil"/>
              <w:right w:val="nil"/>
            </w:tcBorders>
            <w:shd w:val="clear" w:color="auto" w:fill="auto"/>
            <w:noWrap/>
            <w:vAlign w:val="bottom"/>
            <w:hideMark/>
          </w:tcPr>
          <w:p w14:paraId="3678CB4D" w14:textId="6DA14D72"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41,652</w:t>
            </w:r>
          </w:p>
        </w:tc>
        <w:tc>
          <w:tcPr>
            <w:tcW w:w="940" w:type="dxa"/>
            <w:tcBorders>
              <w:top w:val="nil"/>
              <w:left w:val="nil"/>
              <w:bottom w:val="nil"/>
              <w:right w:val="nil"/>
            </w:tcBorders>
            <w:shd w:val="clear" w:color="auto" w:fill="auto"/>
            <w:noWrap/>
            <w:vAlign w:val="bottom"/>
            <w:hideMark/>
          </w:tcPr>
          <w:p w14:paraId="531C244F" w14:textId="6024ED92"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41,563</w:t>
            </w:r>
          </w:p>
        </w:tc>
      </w:tr>
      <w:tr w:rsidR="00081C86" w:rsidRPr="00081C86" w14:paraId="5E988E59" w14:textId="77777777" w:rsidTr="0055799D">
        <w:trPr>
          <w:trHeight w:val="204"/>
        </w:trPr>
        <w:tc>
          <w:tcPr>
            <w:tcW w:w="2835" w:type="dxa"/>
            <w:tcBorders>
              <w:top w:val="nil"/>
              <w:left w:val="nil"/>
              <w:bottom w:val="nil"/>
              <w:right w:val="nil"/>
            </w:tcBorders>
            <w:shd w:val="clear" w:color="auto" w:fill="auto"/>
            <w:vAlign w:val="center"/>
            <w:hideMark/>
          </w:tcPr>
          <w:p w14:paraId="034FB801" w14:textId="77777777" w:rsidR="00081C86" w:rsidRPr="00081C86" w:rsidRDefault="00081C86" w:rsidP="00081C86">
            <w:pPr>
              <w:spacing w:after="0" w:line="240" w:lineRule="auto"/>
              <w:ind w:left="113"/>
              <w:jc w:val="left"/>
              <w:rPr>
                <w:rFonts w:ascii="Arial" w:hAnsi="Arial" w:cs="Arial"/>
                <w:sz w:val="16"/>
                <w:szCs w:val="16"/>
              </w:rPr>
            </w:pPr>
            <w:r w:rsidRPr="00081C86">
              <w:rPr>
                <w:rFonts w:ascii="Arial" w:hAnsi="Arial" w:cs="Arial"/>
                <w:sz w:val="16"/>
                <w:szCs w:val="16"/>
              </w:rPr>
              <w:t xml:space="preserve">Rental Income </w:t>
            </w:r>
            <w:r w:rsidRPr="00081C86">
              <w:rPr>
                <w:rFonts w:ascii="Arial" w:hAnsi="Arial" w:cs="Arial"/>
                <w:sz w:val="16"/>
                <w:szCs w:val="16"/>
                <w:vertAlign w:val="superscript"/>
              </w:rPr>
              <w:t>(a)</w:t>
            </w:r>
            <w:r w:rsidRPr="00081C86">
              <w:rPr>
                <w:rFonts w:ascii="Arial" w:hAnsi="Arial" w:cs="Arial"/>
                <w:sz w:val="16"/>
                <w:szCs w:val="16"/>
              </w:rPr>
              <w:t xml:space="preserve"> </w:t>
            </w:r>
            <w:r w:rsidRPr="00081C86">
              <w:rPr>
                <w:rFonts w:ascii="Arial" w:hAnsi="Arial" w:cs="Arial"/>
                <w:sz w:val="16"/>
                <w:szCs w:val="16"/>
                <w:vertAlign w:val="superscript"/>
              </w:rPr>
              <w:t>(b)</w:t>
            </w:r>
          </w:p>
        </w:tc>
        <w:tc>
          <w:tcPr>
            <w:tcW w:w="940" w:type="dxa"/>
            <w:tcBorders>
              <w:top w:val="nil"/>
              <w:left w:val="nil"/>
              <w:bottom w:val="nil"/>
              <w:right w:val="nil"/>
            </w:tcBorders>
            <w:shd w:val="clear" w:color="auto" w:fill="auto"/>
            <w:noWrap/>
            <w:vAlign w:val="bottom"/>
            <w:hideMark/>
          </w:tcPr>
          <w:p w14:paraId="2452ADCB" w14:textId="03BAEE42"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131,651</w:t>
            </w:r>
          </w:p>
        </w:tc>
        <w:tc>
          <w:tcPr>
            <w:tcW w:w="940" w:type="dxa"/>
            <w:tcBorders>
              <w:top w:val="nil"/>
              <w:left w:val="nil"/>
              <w:bottom w:val="nil"/>
              <w:right w:val="nil"/>
            </w:tcBorders>
            <w:shd w:val="clear" w:color="000000" w:fill="E6E6E6"/>
            <w:noWrap/>
            <w:vAlign w:val="bottom"/>
            <w:hideMark/>
          </w:tcPr>
          <w:p w14:paraId="12E21DC4" w14:textId="355302E3"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14:paraId="079CAA98" w14:textId="4CA29F0C"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131,008</w:t>
            </w:r>
          </w:p>
        </w:tc>
        <w:tc>
          <w:tcPr>
            <w:tcW w:w="1035" w:type="dxa"/>
            <w:tcBorders>
              <w:top w:val="nil"/>
              <w:left w:val="nil"/>
              <w:bottom w:val="nil"/>
              <w:right w:val="nil"/>
            </w:tcBorders>
            <w:shd w:val="clear" w:color="auto" w:fill="auto"/>
            <w:noWrap/>
            <w:vAlign w:val="bottom"/>
            <w:hideMark/>
          </w:tcPr>
          <w:p w14:paraId="20493A26" w14:textId="15BC6E5F"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2,222,824</w:t>
            </w:r>
          </w:p>
        </w:tc>
        <w:tc>
          <w:tcPr>
            <w:tcW w:w="940" w:type="dxa"/>
            <w:tcBorders>
              <w:top w:val="nil"/>
              <w:left w:val="nil"/>
              <w:bottom w:val="nil"/>
              <w:right w:val="nil"/>
            </w:tcBorders>
            <w:shd w:val="clear" w:color="auto" w:fill="auto"/>
            <w:noWrap/>
            <w:vAlign w:val="bottom"/>
            <w:hideMark/>
          </w:tcPr>
          <w:p w14:paraId="34488EBC" w14:textId="78E2F246"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131,402</w:t>
            </w:r>
          </w:p>
        </w:tc>
      </w:tr>
      <w:tr w:rsidR="00081C86" w:rsidRPr="00081C86" w14:paraId="6DDF7F80" w14:textId="77777777" w:rsidTr="0055799D">
        <w:trPr>
          <w:trHeight w:val="204"/>
        </w:trPr>
        <w:tc>
          <w:tcPr>
            <w:tcW w:w="2835" w:type="dxa"/>
            <w:tcBorders>
              <w:top w:val="nil"/>
              <w:left w:val="nil"/>
              <w:bottom w:val="nil"/>
              <w:right w:val="nil"/>
            </w:tcBorders>
            <w:shd w:val="clear" w:color="auto" w:fill="auto"/>
            <w:noWrap/>
            <w:vAlign w:val="center"/>
            <w:hideMark/>
          </w:tcPr>
          <w:p w14:paraId="1D99D42F" w14:textId="77777777" w:rsidR="00081C86" w:rsidRPr="00081C86" w:rsidRDefault="00081C86" w:rsidP="00081C86">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 xml:space="preserve">Interest </w:t>
            </w:r>
            <w:r w:rsidRPr="00081C86">
              <w:rPr>
                <w:rFonts w:ascii="Arial" w:hAnsi="Arial" w:cs="Arial"/>
                <w:color w:val="000000"/>
                <w:sz w:val="16"/>
                <w:szCs w:val="16"/>
                <w:vertAlign w:val="superscript"/>
              </w:rPr>
              <w:t>(a)</w:t>
            </w:r>
          </w:p>
        </w:tc>
        <w:tc>
          <w:tcPr>
            <w:tcW w:w="940" w:type="dxa"/>
            <w:tcBorders>
              <w:top w:val="nil"/>
              <w:left w:val="nil"/>
              <w:bottom w:val="nil"/>
              <w:right w:val="nil"/>
            </w:tcBorders>
            <w:shd w:val="clear" w:color="auto" w:fill="auto"/>
            <w:noWrap/>
            <w:vAlign w:val="bottom"/>
            <w:hideMark/>
          </w:tcPr>
          <w:p w14:paraId="316DDF79" w14:textId="35755760"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c>
          <w:tcPr>
            <w:tcW w:w="940" w:type="dxa"/>
            <w:tcBorders>
              <w:top w:val="nil"/>
              <w:left w:val="nil"/>
              <w:bottom w:val="nil"/>
              <w:right w:val="nil"/>
            </w:tcBorders>
            <w:shd w:val="clear" w:color="000000" w:fill="E6E6E6"/>
            <w:noWrap/>
            <w:vAlign w:val="bottom"/>
            <w:hideMark/>
          </w:tcPr>
          <w:p w14:paraId="5F22FAF9" w14:textId="71A5BFBC"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790</w:t>
            </w:r>
          </w:p>
        </w:tc>
        <w:tc>
          <w:tcPr>
            <w:tcW w:w="940" w:type="dxa"/>
            <w:tcBorders>
              <w:top w:val="nil"/>
              <w:left w:val="nil"/>
              <w:bottom w:val="nil"/>
              <w:right w:val="nil"/>
            </w:tcBorders>
            <w:shd w:val="clear" w:color="auto" w:fill="auto"/>
            <w:noWrap/>
            <w:vAlign w:val="bottom"/>
            <w:hideMark/>
          </w:tcPr>
          <w:p w14:paraId="5C031060" w14:textId="7EB98288"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593</w:t>
            </w:r>
          </w:p>
        </w:tc>
        <w:tc>
          <w:tcPr>
            <w:tcW w:w="1035" w:type="dxa"/>
            <w:tcBorders>
              <w:top w:val="nil"/>
              <w:left w:val="nil"/>
              <w:bottom w:val="nil"/>
              <w:right w:val="nil"/>
            </w:tcBorders>
            <w:shd w:val="clear" w:color="auto" w:fill="auto"/>
            <w:noWrap/>
            <w:vAlign w:val="bottom"/>
            <w:hideMark/>
          </w:tcPr>
          <w:p w14:paraId="7C981E9E" w14:textId="2DD1A9B2"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395</w:t>
            </w:r>
          </w:p>
        </w:tc>
        <w:tc>
          <w:tcPr>
            <w:tcW w:w="940" w:type="dxa"/>
            <w:tcBorders>
              <w:top w:val="nil"/>
              <w:left w:val="nil"/>
              <w:bottom w:val="nil"/>
              <w:right w:val="nil"/>
            </w:tcBorders>
            <w:shd w:val="clear" w:color="auto" w:fill="auto"/>
            <w:noWrap/>
            <w:vAlign w:val="bottom"/>
            <w:hideMark/>
          </w:tcPr>
          <w:p w14:paraId="72DB9B3E" w14:textId="5F67E91B"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199</w:t>
            </w:r>
          </w:p>
        </w:tc>
      </w:tr>
      <w:tr w:rsidR="00081C86" w:rsidRPr="00081C86" w14:paraId="28C4C7A4" w14:textId="77777777" w:rsidTr="0055799D">
        <w:trPr>
          <w:trHeight w:val="204"/>
        </w:trPr>
        <w:tc>
          <w:tcPr>
            <w:tcW w:w="2835" w:type="dxa"/>
            <w:tcBorders>
              <w:top w:val="nil"/>
              <w:left w:val="nil"/>
              <w:bottom w:val="nil"/>
              <w:right w:val="nil"/>
            </w:tcBorders>
            <w:shd w:val="clear" w:color="auto" w:fill="auto"/>
            <w:noWrap/>
            <w:vAlign w:val="center"/>
            <w:hideMark/>
          </w:tcPr>
          <w:p w14:paraId="322B3395" w14:textId="77777777" w:rsidR="00081C86" w:rsidRPr="00081C86" w:rsidRDefault="00081C86" w:rsidP="00081C86">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Taxes</w:t>
            </w:r>
          </w:p>
        </w:tc>
        <w:tc>
          <w:tcPr>
            <w:tcW w:w="940" w:type="dxa"/>
            <w:tcBorders>
              <w:top w:val="nil"/>
              <w:left w:val="nil"/>
              <w:bottom w:val="nil"/>
              <w:right w:val="nil"/>
            </w:tcBorders>
            <w:shd w:val="clear" w:color="auto" w:fill="auto"/>
            <w:noWrap/>
            <w:vAlign w:val="bottom"/>
            <w:hideMark/>
          </w:tcPr>
          <w:p w14:paraId="3E66AC20" w14:textId="306689AD"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546,936</w:t>
            </w:r>
          </w:p>
        </w:tc>
        <w:tc>
          <w:tcPr>
            <w:tcW w:w="940" w:type="dxa"/>
            <w:tcBorders>
              <w:top w:val="nil"/>
              <w:left w:val="nil"/>
              <w:bottom w:val="nil"/>
              <w:right w:val="nil"/>
            </w:tcBorders>
            <w:shd w:val="clear" w:color="000000" w:fill="E6E6E6"/>
            <w:noWrap/>
            <w:vAlign w:val="bottom"/>
            <w:hideMark/>
          </w:tcPr>
          <w:p w14:paraId="03E62F08" w14:textId="68BC75A8"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535,658</w:t>
            </w:r>
          </w:p>
        </w:tc>
        <w:tc>
          <w:tcPr>
            <w:tcW w:w="940" w:type="dxa"/>
            <w:tcBorders>
              <w:top w:val="nil"/>
              <w:left w:val="nil"/>
              <w:bottom w:val="nil"/>
              <w:right w:val="nil"/>
            </w:tcBorders>
            <w:shd w:val="clear" w:color="auto" w:fill="auto"/>
            <w:noWrap/>
            <w:vAlign w:val="bottom"/>
            <w:hideMark/>
          </w:tcPr>
          <w:p w14:paraId="30A6EC7F" w14:textId="20FA96A2"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495,990</w:t>
            </w:r>
          </w:p>
        </w:tc>
        <w:tc>
          <w:tcPr>
            <w:tcW w:w="1035" w:type="dxa"/>
            <w:tcBorders>
              <w:top w:val="nil"/>
              <w:left w:val="nil"/>
              <w:bottom w:val="nil"/>
              <w:right w:val="nil"/>
            </w:tcBorders>
            <w:shd w:val="clear" w:color="auto" w:fill="auto"/>
            <w:noWrap/>
            <w:vAlign w:val="bottom"/>
            <w:hideMark/>
          </w:tcPr>
          <w:p w14:paraId="0ECB8C85" w14:textId="48718E35"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519,949</w:t>
            </w:r>
          </w:p>
        </w:tc>
        <w:tc>
          <w:tcPr>
            <w:tcW w:w="940" w:type="dxa"/>
            <w:tcBorders>
              <w:top w:val="nil"/>
              <w:left w:val="nil"/>
              <w:bottom w:val="nil"/>
              <w:right w:val="nil"/>
            </w:tcBorders>
            <w:shd w:val="clear" w:color="auto" w:fill="auto"/>
            <w:noWrap/>
            <w:vAlign w:val="bottom"/>
            <w:hideMark/>
          </w:tcPr>
          <w:p w14:paraId="31DA8FA0" w14:textId="47695A6D"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509,740</w:t>
            </w:r>
          </w:p>
        </w:tc>
      </w:tr>
      <w:tr w:rsidR="00081C86" w:rsidRPr="00081C86" w14:paraId="1987CCFA" w14:textId="77777777" w:rsidTr="0055799D">
        <w:trPr>
          <w:trHeight w:val="204"/>
        </w:trPr>
        <w:tc>
          <w:tcPr>
            <w:tcW w:w="2835" w:type="dxa"/>
            <w:tcBorders>
              <w:top w:val="nil"/>
              <w:left w:val="nil"/>
              <w:bottom w:val="nil"/>
              <w:right w:val="nil"/>
            </w:tcBorders>
            <w:shd w:val="clear" w:color="auto" w:fill="auto"/>
            <w:noWrap/>
            <w:vAlign w:val="center"/>
            <w:hideMark/>
          </w:tcPr>
          <w:p w14:paraId="202BA23E" w14:textId="77777777" w:rsidR="00081C86" w:rsidRPr="00081C86" w:rsidRDefault="00081C86" w:rsidP="00081C86">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Fines</w:t>
            </w:r>
          </w:p>
        </w:tc>
        <w:tc>
          <w:tcPr>
            <w:tcW w:w="940" w:type="dxa"/>
            <w:tcBorders>
              <w:top w:val="nil"/>
              <w:left w:val="nil"/>
              <w:bottom w:val="nil"/>
              <w:right w:val="nil"/>
            </w:tcBorders>
            <w:shd w:val="clear" w:color="auto" w:fill="auto"/>
            <w:noWrap/>
            <w:vAlign w:val="bottom"/>
            <w:hideMark/>
          </w:tcPr>
          <w:p w14:paraId="44FBD8D3" w14:textId="2FBED2E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2,904</w:t>
            </w:r>
          </w:p>
        </w:tc>
        <w:tc>
          <w:tcPr>
            <w:tcW w:w="940" w:type="dxa"/>
            <w:tcBorders>
              <w:top w:val="nil"/>
              <w:left w:val="nil"/>
              <w:bottom w:val="nil"/>
              <w:right w:val="nil"/>
            </w:tcBorders>
            <w:shd w:val="clear" w:color="000000" w:fill="E6E6E6"/>
            <w:noWrap/>
            <w:vAlign w:val="bottom"/>
            <w:hideMark/>
          </w:tcPr>
          <w:p w14:paraId="0CB9E841" w14:textId="46ADB073"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14:paraId="530FB1AC" w14:textId="1056FF0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c>
          <w:tcPr>
            <w:tcW w:w="1035" w:type="dxa"/>
            <w:tcBorders>
              <w:top w:val="nil"/>
              <w:left w:val="nil"/>
              <w:bottom w:val="nil"/>
              <w:right w:val="nil"/>
            </w:tcBorders>
            <w:shd w:val="clear" w:color="auto" w:fill="auto"/>
            <w:noWrap/>
            <w:vAlign w:val="bottom"/>
            <w:hideMark/>
          </w:tcPr>
          <w:p w14:paraId="1C1FE5D5" w14:textId="74825B73"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14:paraId="0EC0E7C3" w14:textId="47FB358D"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r>
      <w:tr w:rsidR="00081C86" w:rsidRPr="00081C86" w14:paraId="7D72A8F4" w14:textId="77777777" w:rsidTr="0055799D">
        <w:trPr>
          <w:trHeight w:val="204"/>
        </w:trPr>
        <w:tc>
          <w:tcPr>
            <w:tcW w:w="2835" w:type="dxa"/>
            <w:tcBorders>
              <w:top w:val="nil"/>
              <w:left w:val="nil"/>
              <w:bottom w:val="nil"/>
              <w:right w:val="nil"/>
            </w:tcBorders>
            <w:shd w:val="clear" w:color="auto" w:fill="auto"/>
            <w:noWrap/>
            <w:vAlign w:val="center"/>
            <w:hideMark/>
          </w:tcPr>
          <w:p w14:paraId="09CF61F3" w14:textId="77777777" w:rsidR="00081C86" w:rsidRPr="00081C86" w:rsidRDefault="00081C86" w:rsidP="00081C86">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Other</w:t>
            </w:r>
          </w:p>
        </w:tc>
        <w:tc>
          <w:tcPr>
            <w:tcW w:w="940" w:type="dxa"/>
            <w:tcBorders>
              <w:top w:val="nil"/>
              <w:left w:val="nil"/>
              <w:bottom w:val="nil"/>
              <w:right w:val="nil"/>
            </w:tcBorders>
            <w:shd w:val="clear" w:color="auto" w:fill="auto"/>
            <w:noWrap/>
            <w:vAlign w:val="bottom"/>
            <w:hideMark/>
          </w:tcPr>
          <w:p w14:paraId="73ED538F" w14:textId="0B4235EC"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1,140</w:t>
            </w:r>
          </w:p>
        </w:tc>
        <w:tc>
          <w:tcPr>
            <w:tcW w:w="940" w:type="dxa"/>
            <w:tcBorders>
              <w:top w:val="nil"/>
              <w:left w:val="nil"/>
              <w:bottom w:val="nil"/>
              <w:right w:val="nil"/>
            </w:tcBorders>
            <w:shd w:val="clear" w:color="000000" w:fill="E6E6E6"/>
            <w:noWrap/>
            <w:vAlign w:val="bottom"/>
            <w:hideMark/>
          </w:tcPr>
          <w:p w14:paraId="72AB7C33" w14:textId="061B4E18"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5,324</w:t>
            </w:r>
          </w:p>
        </w:tc>
        <w:tc>
          <w:tcPr>
            <w:tcW w:w="940" w:type="dxa"/>
            <w:tcBorders>
              <w:top w:val="nil"/>
              <w:left w:val="nil"/>
              <w:bottom w:val="nil"/>
              <w:right w:val="nil"/>
            </w:tcBorders>
            <w:shd w:val="clear" w:color="auto" w:fill="auto"/>
            <w:noWrap/>
            <w:vAlign w:val="bottom"/>
            <w:hideMark/>
          </w:tcPr>
          <w:p w14:paraId="37C8960E" w14:textId="608F9A66"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13,742</w:t>
            </w:r>
          </w:p>
        </w:tc>
        <w:tc>
          <w:tcPr>
            <w:tcW w:w="1035" w:type="dxa"/>
            <w:tcBorders>
              <w:top w:val="nil"/>
              <w:left w:val="nil"/>
              <w:bottom w:val="nil"/>
              <w:right w:val="nil"/>
            </w:tcBorders>
            <w:shd w:val="clear" w:color="auto" w:fill="auto"/>
            <w:noWrap/>
            <w:vAlign w:val="bottom"/>
            <w:hideMark/>
          </w:tcPr>
          <w:p w14:paraId="253175B9" w14:textId="0023374A"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12,746</w:t>
            </w:r>
          </w:p>
        </w:tc>
        <w:tc>
          <w:tcPr>
            <w:tcW w:w="940" w:type="dxa"/>
            <w:tcBorders>
              <w:top w:val="nil"/>
              <w:left w:val="nil"/>
              <w:bottom w:val="nil"/>
              <w:right w:val="nil"/>
            </w:tcBorders>
            <w:shd w:val="clear" w:color="auto" w:fill="auto"/>
            <w:noWrap/>
            <w:vAlign w:val="bottom"/>
            <w:hideMark/>
          </w:tcPr>
          <w:p w14:paraId="757DFD7D" w14:textId="620CCB80"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12,811</w:t>
            </w:r>
          </w:p>
        </w:tc>
      </w:tr>
      <w:tr w:rsidR="00081C86" w:rsidRPr="00081C86" w14:paraId="3DAC51E3" w14:textId="77777777" w:rsidTr="0055799D">
        <w:trPr>
          <w:trHeight w:val="204"/>
        </w:trPr>
        <w:tc>
          <w:tcPr>
            <w:tcW w:w="2835" w:type="dxa"/>
            <w:tcBorders>
              <w:top w:val="nil"/>
              <w:left w:val="nil"/>
              <w:bottom w:val="nil"/>
              <w:right w:val="nil"/>
            </w:tcBorders>
            <w:shd w:val="clear" w:color="auto" w:fill="auto"/>
            <w:noWrap/>
            <w:vAlign w:val="center"/>
            <w:hideMark/>
          </w:tcPr>
          <w:p w14:paraId="32C8A548" w14:textId="77777777" w:rsidR="00081C86" w:rsidRPr="00081C86" w:rsidRDefault="00081C86" w:rsidP="00081C86">
            <w:pPr>
              <w:spacing w:after="0" w:line="240" w:lineRule="auto"/>
              <w:jc w:val="left"/>
              <w:rPr>
                <w:rFonts w:ascii="Arial" w:hAnsi="Arial" w:cs="Arial"/>
                <w:b/>
                <w:bCs/>
                <w:i/>
                <w:iCs/>
                <w:color w:val="000000"/>
                <w:sz w:val="16"/>
                <w:szCs w:val="16"/>
              </w:rPr>
            </w:pPr>
            <w:r w:rsidRPr="00081C86">
              <w:rPr>
                <w:rFonts w:ascii="Arial" w:hAnsi="Arial" w:cs="Arial"/>
                <w:b/>
                <w:bCs/>
                <w:i/>
                <w:iCs/>
                <w:color w:val="000000"/>
                <w:sz w:val="16"/>
                <w:szCs w:val="16"/>
              </w:rPr>
              <w:t>Total cash received</w:t>
            </w:r>
          </w:p>
        </w:tc>
        <w:tc>
          <w:tcPr>
            <w:tcW w:w="940" w:type="dxa"/>
            <w:tcBorders>
              <w:top w:val="single" w:sz="4" w:space="0" w:color="000000"/>
              <w:left w:val="nil"/>
              <w:bottom w:val="single" w:sz="4" w:space="0" w:color="000000"/>
              <w:right w:val="nil"/>
            </w:tcBorders>
            <w:shd w:val="clear" w:color="auto" w:fill="auto"/>
            <w:noWrap/>
            <w:vAlign w:val="bottom"/>
            <w:hideMark/>
          </w:tcPr>
          <w:p w14:paraId="567992BF" w14:textId="1FE7E17E"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688,437</w:t>
            </w:r>
          </w:p>
        </w:tc>
        <w:tc>
          <w:tcPr>
            <w:tcW w:w="940" w:type="dxa"/>
            <w:tcBorders>
              <w:top w:val="single" w:sz="4" w:space="0" w:color="000000"/>
              <w:left w:val="nil"/>
              <w:bottom w:val="single" w:sz="4" w:space="0" w:color="000000"/>
              <w:right w:val="nil"/>
            </w:tcBorders>
            <w:shd w:val="clear" w:color="000000" w:fill="E6E6E6"/>
            <w:noWrap/>
            <w:vAlign w:val="bottom"/>
            <w:hideMark/>
          </w:tcPr>
          <w:p w14:paraId="10FF9031" w14:textId="1DC26788"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580,734</w:t>
            </w:r>
          </w:p>
        </w:tc>
        <w:tc>
          <w:tcPr>
            <w:tcW w:w="940" w:type="dxa"/>
            <w:tcBorders>
              <w:top w:val="single" w:sz="4" w:space="0" w:color="000000"/>
              <w:left w:val="nil"/>
              <w:bottom w:val="single" w:sz="4" w:space="0" w:color="000000"/>
              <w:right w:val="nil"/>
            </w:tcBorders>
            <w:shd w:val="clear" w:color="auto" w:fill="auto"/>
            <w:noWrap/>
            <w:vAlign w:val="bottom"/>
            <w:hideMark/>
          </w:tcPr>
          <w:p w14:paraId="374B635F" w14:textId="460A8E31"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683,231</w:t>
            </w:r>
          </w:p>
        </w:tc>
        <w:tc>
          <w:tcPr>
            <w:tcW w:w="1035" w:type="dxa"/>
            <w:tcBorders>
              <w:top w:val="single" w:sz="4" w:space="0" w:color="000000"/>
              <w:left w:val="nil"/>
              <w:bottom w:val="single" w:sz="4" w:space="0" w:color="000000"/>
              <w:right w:val="nil"/>
            </w:tcBorders>
            <w:shd w:val="clear" w:color="auto" w:fill="auto"/>
            <w:noWrap/>
            <w:vAlign w:val="bottom"/>
            <w:hideMark/>
          </w:tcPr>
          <w:p w14:paraId="622FF67F" w14:textId="1DFDDA13"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2,797,566</w:t>
            </w:r>
          </w:p>
        </w:tc>
        <w:tc>
          <w:tcPr>
            <w:tcW w:w="940" w:type="dxa"/>
            <w:tcBorders>
              <w:top w:val="single" w:sz="4" w:space="0" w:color="000000"/>
              <w:left w:val="nil"/>
              <w:bottom w:val="single" w:sz="4" w:space="0" w:color="000000"/>
              <w:right w:val="nil"/>
            </w:tcBorders>
            <w:shd w:val="clear" w:color="auto" w:fill="auto"/>
            <w:noWrap/>
            <w:vAlign w:val="bottom"/>
            <w:hideMark/>
          </w:tcPr>
          <w:p w14:paraId="65104ECF" w14:textId="2EA3D070"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695,715</w:t>
            </w:r>
          </w:p>
        </w:tc>
      </w:tr>
      <w:tr w:rsidR="00081C86" w:rsidRPr="00081C86" w14:paraId="7716F5E4" w14:textId="77777777" w:rsidTr="0055799D">
        <w:trPr>
          <w:trHeight w:val="204"/>
        </w:trPr>
        <w:tc>
          <w:tcPr>
            <w:tcW w:w="2835" w:type="dxa"/>
            <w:tcBorders>
              <w:top w:val="nil"/>
              <w:left w:val="nil"/>
              <w:bottom w:val="nil"/>
              <w:right w:val="nil"/>
            </w:tcBorders>
            <w:shd w:val="clear" w:color="auto" w:fill="auto"/>
            <w:noWrap/>
            <w:vAlign w:val="center"/>
            <w:hideMark/>
          </w:tcPr>
          <w:p w14:paraId="16CE4084" w14:textId="77777777" w:rsidR="00081C86" w:rsidRPr="00081C86" w:rsidRDefault="00081C86" w:rsidP="00081C86">
            <w:pPr>
              <w:spacing w:after="0" w:line="240" w:lineRule="auto"/>
              <w:jc w:val="left"/>
              <w:rPr>
                <w:rFonts w:ascii="Arial" w:hAnsi="Arial" w:cs="Arial"/>
                <w:b/>
                <w:bCs/>
                <w:color w:val="000000"/>
                <w:sz w:val="16"/>
                <w:szCs w:val="16"/>
              </w:rPr>
            </w:pPr>
            <w:r w:rsidRPr="00081C86">
              <w:rPr>
                <w:rFonts w:ascii="Arial" w:hAnsi="Arial" w:cs="Arial"/>
                <w:b/>
                <w:bCs/>
                <w:color w:val="000000"/>
                <w:sz w:val="16"/>
                <w:szCs w:val="16"/>
              </w:rPr>
              <w:t>Cash used</w:t>
            </w:r>
          </w:p>
        </w:tc>
        <w:tc>
          <w:tcPr>
            <w:tcW w:w="940" w:type="dxa"/>
            <w:tcBorders>
              <w:top w:val="nil"/>
              <w:left w:val="nil"/>
              <w:bottom w:val="nil"/>
              <w:right w:val="nil"/>
            </w:tcBorders>
            <w:shd w:val="clear" w:color="auto" w:fill="auto"/>
            <w:noWrap/>
            <w:vAlign w:val="bottom"/>
            <w:hideMark/>
          </w:tcPr>
          <w:p w14:paraId="018DD3A3" w14:textId="77777777" w:rsidR="00081C86" w:rsidRPr="00081C86" w:rsidRDefault="00081C86" w:rsidP="00302C92">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vAlign w:val="bottom"/>
            <w:hideMark/>
          </w:tcPr>
          <w:p w14:paraId="38FCB2DC" w14:textId="5D8021BE" w:rsidR="00081C86" w:rsidRPr="00081C86" w:rsidRDefault="00081C86" w:rsidP="00302C92">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516686ED" w14:textId="77777777" w:rsidR="00081C86" w:rsidRPr="00081C86" w:rsidRDefault="00081C86" w:rsidP="00302C92">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655311B4" w14:textId="77777777" w:rsidR="00081C86" w:rsidRPr="00081C86" w:rsidRDefault="00081C86" w:rsidP="00302C92">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3EDB1DE7" w14:textId="77777777" w:rsidR="00081C86" w:rsidRPr="00081C86" w:rsidRDefault="00081C86" w:rsidP="00302C92">
            <w:pPr>
              <w:spacing w:after="0" w:line="240" w:lineRule="auto"/>
              <w:jc w:val="right"/>
              <w:rPr>
                <w:rFonts w:ascii="Arial" w:hAnsi="Arial" w:cs="Arial"/>
                <w:sz w:val="16"/>
                <w:szCs w:val="16"/>
              </w:rPr>
            </w:pPr>
          </w:p>
        </w:tc>
      </w:tr>
      <w:tr w:rsidR="00081C86" w:rsidRPr="00081C86" w14:paraId="5DDDB623" w14:textId="77777777" w:rsidTr="0055799D">
        <w:trPr>
          <w:trHeight w:val="204"/>
        </w:trPr>
        <w:tc>
          <w:tcPr>
            <w:tcW w:w="2835" w:type="dxa"/>
            <w:tcBorders>
              <w:top w:val="nil"/>
              <w:left w:val="nil"/>
              <w:bottom w:val="nil"/>
              <w:right w:val="nil"/>
            </w:tcBorders>
            <w:shd w:val="clear" w:color="auto" w:fill="auto"/>
            <w:noWrap/>
            <w:vAlign w:val="center"/>
            <w:hideMark/>
          </w:tcPr>
          <w:p w14:paraId="46E416E7" w14:textId="77777777" w:rsidR="00081C86" w:rsidRPr="00081C86" w:rsidRDefault="00081C86" w:rsidP="00302C92">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Grant</w:t>
            </w:r>
          </w:p>
        </w:tc>
        <w:tc>
          <w:tcPr>
            <w:tcW w:w="940" w:type="dxa"/>
            <w:tcBorders>
              <w:top w:val="nil"/>
              <w:left w:val="nil"/>
              <w:bottom w:val="nil"/>
              <w:right w:val="nil"/>
            </w:tcBorders>
            <w:shd w:val="clear" w:color="auto" w:fill="auto"/>
            <w:noWrap/>
            <w:vAlign w:val="bottom"/>
            <w:hideMark/>
          </w:tcPr>
          <w:p w14:paraId="374F6520" w14:textId="179B53B0"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10,693</w:t>
            </w:r>
          </w:p>
        </w:tc>
        <w:tc>
          <w:tcPr>
            <w:tcW w:w="940" w:type="dxa"/>
            <w:tcBorders>
              <w:top w:val="nil"/>
              <w:left w:val="nil"/>
              <w:bottom w:val="nil"/>
              <w:right w:val="nil"/>
            </w:tcBorders>
            <w:shd w:val="clear" w:color="000000" w:fill="E6E6E6"/>
            <w:noWrap/>
            <w:vAlign w:val="bottom"/>
            <w:hideMark/>
          </w:tcPr>
          <w:p w14:paraId="7BE741DB" w14:textId="3CE63C5D"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4,623</w:t>
            </w:r>
          </w:p>
        </w:tc>
        <w:tc>
          <w:tcPr>
            <w:tcW w:w="940" w:type="dxa"/>
            <w:tcBorders>
              <w:top w:val="nil"/>
              <w:left w:val="nil"/>
              <w:bottom w:val="nil"/>
              <w:right w:val="nil"/>
            </w:tcBorders>
            <w:shd w:val="clear" w:color="auto" w:fill="auto"/>
            <w:noWrap/>
            <w:vAlign w:val="bottom"/>
            <w:hideMark/>
          </w:tcPr>
          <w:p w14:paraId="71D66877" w14:textId="67A682D1"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2,250</w:t>
            </w:r>
          </w:p>
        </w:tc>
        <w:tc>
          <w:tcPr>
            <w:tcW w:w="1035" w:type="dxa"/>
            <w:tcBorders>
              <w:top w:val="nil"/>
              <w:left w:val="nil"/>
              <w:bottom w:val="nil"/>
              <w:right w:val="nil"/>
            </w:tcBorders>
            <w:shd w:val="clear" w:color="auto" w:fill="auto"/>
            <w:noWrap/>
            <w:vAlign w:val="bottom"/>
            <w:hideMark/>
          </w:tcPr>
          <w:p w14:paraId="49728B73" w14:textId="79F56D41"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c>
          <w:tcPr>
            <w:tcW w:w="940" w:type="dxa"/>
            <w:tcBorders>
              <w:top w:val="nil"/>
              <w:left w:val="nil"/>
              <w:bottom w:val="nil"/>
              <w:right w:val="nil"/>
            </w:tcBorders>
            <w:shd w:val="clear" w:color="auto" w:fill="auto"/>
            <w:noWrap/>
            <w:vAlign w:val="bottom"/>
            <w:hideMark/>
          </w:tcPr>
          <w:p w14:paraId="4A5C9C1C" w14:textId="576D54F1"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r>
      <w:tr w:rsidR="00081C86" w:rsidRPr="00081C86" w14:paraId="20E14F94" w14:textId="77777777" w:rsidTr="0055799D">
        <w:trPr>
          <w:trHeight w:val="204"/>
        </w:trPr>
        <w:tc>
          <w:tcPr>
            <w:tcW w:w="2835" w:type="dxa"/>
            <w:tcBorders>
              <w:top w:val="nil"/>
              <w:left w:val="nil"/>
              <w:bottom w:val="nil"/>
              <w:right w:val="nil"/>
            </w:tcBorders>
            <w:shd w:val="clear" w:color="auto" w:fill="auto"/>
            <w:noWrap/>
            <w:vAlign w:val="center"/>
            <w:hideMark/>
          </w:tcPr>
          <w:p w14:paraId="1DA13FFF" w14:textId="77777777" w:rsidR="00081C86" w:rsidRPr="00081C86" w:rsidRDefault="00081C86" w:rsidP="00302C92">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Suppliers</w:t>
            </w:r>
          </w:p>
        </w:tc>
        <w:tc>
          <w:tcPr>
            <w:tcW w:w="940" w:type="dxa"/>
            <w:tcBorders>
              <w:top w:val="nil"/>
              <w:left w:val="nil"/>
              <w:bottom w:val="nil"/>
              <w:right w:val="nil"/>
            </w:tcBorders>
            <w:shd w:val="clear" w:color="auto" w:fill="auto"/>
            <w:noWrap/>
            <w:vAlign w:val="bottom"/>
            <w:hideMark/>
          </w:tcPr>
          <w:p w14:paraId="4E20E6F6" w14:textId="186084FC"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4,719</w:t>
            </w:r>
          </w:p>
        </w:tc>
        <w:tc>
          <w:tcPr>
            <w:tcW w:w="940" w:type="dxa"/>
            <w:tcBorders>
              <w:top w:val="nil"/>
              <w:left w:val="nil"/>
              <w:bottom w:val="nil"/>
              <w:right w:val="nil"/>
            </w:tcBorders>
            <w:shd w:val="clear" w:color="000000" w:fill="E6E6E6"/>
            <w:noWrap/>
            <w:vAlign w:val="bottom"/>
            <w:hideMark/>
          </w:tcPr>
          <w:p w14:paraId="5F495697" w14:textId="49DA6C72"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4,799</w:t>
            </w:r>
          </w:p>
        </w:tc>
        <w:tc>
          <w:tcPr>
            <w:tcW w:w="940" w:type="dxa"/>
            <w:tcBorders>
              <w:top w:val="nil"/>
              <w:left w:val="nil"/>
              <w:bottom w:val="nil"/>
              <w:right w:val="nil"/>
            </w:tcBorders>
            <w:shd w:val="clear" w:color="auto" w:fill="auto"/>
            <w:noWrap/>
            <w:vAlign w:val="bottom"/>
            <w:hideMark/>
          </w:tcPr>
          <w:p w14:paraId="1B8BB5ED" w14:textId="5B7F3465"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4,264</w:t>
            </w:r>
          </w:p>
        </w:tc>
        <w:tc>
          <w:tcPr>
            <w:tcW w:w="1035" w:type="dxa"/>
            <w:tcBorders>
              <w:top w:val="nil"/>
              <w:left w:val="nil"/>
              <w:bottom w:val="nil"/>
              <w:right w:val="nil"/>
            </w:tcBorders>
            <w:shd w:val="clear" w:color="auto" w:fill="auto"/>
            <w:noWrap/>
            <w:vAlign w:val="bottom"/>
            <w:hideMark/>
          </w:tcPr>
          <w:p w14:paraId="59CEFB1F" w14:textId="3A09DE82"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4,606</w:t>
            </w:r>
          </w:p>
        </w:tc>
        <w:tc>
          <w:tcPr>
            <w:tcW w:w="940" w:type="dxa"/>
            <w:tcBorders>
              <w:top w:val="nil"/>
              <w:left w:val="nil"/>
              <w:bottom w:val="nil"/>
              <w:right w:val="nil"/>
            </w:tcBorders>
            <w:shd w:val="clear" w:color="auto" w:fill="auto"/>
            <w:noWrap/>
            <w:vAlign w:val="bottom"/>
            <w:hideMark/>
          </w:tcPr>
          <w:p w14:paraId="7484ACAD" w14:textId="27A9F692"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586</w:t>
            </w:r>
          </w:p>
        </w:tc>
      </w:tr>
      <w:tr w:rsidR="00081C86" w:rsidRPr="00081C86" w14:paraId="0EDD9383" w14:textId="77777777" w:rsidTr="0055799D">
        <w:trPr>
          <w:trHeight w:val="204"/>
        </w:trPr>
        <w:tc>
          <w:tcPr>
            <w:tcW w:w="2835" w:type="dxa"/>
            <w:tcBorders>
              <w:top w:val="nil"/>
              <w:left w:val="nil"/>
              <w:bottom w:val="nil"/>
              <w:right w:val="nil"/>
            </w:tcBorders>
            <w:shd w:val="clear" w:color="auto" w:fill="auto"/>
            <w:noWrap/>
            <w:vAlign w:val="center"/>
            <w:hideMark/>
          </w:tcPr>
          <w:p w14:paraId="7EB69570" w14:textId="77777777" w:rsidR="00081C86" w:rsidRPr="00081C86" w:rsidRDefault="00081C86" w:rsidP="00302C92">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Other</w:t>
            </w:r>
          </w:p>
        </w:tc>
        <w:tc>
          <w:tcPr>
            <w:tcW w:w="940" w:type="dxa"/>
            <w:tcBorders>
              <w:top w:val="nil"/>
              <w:left w:val="nil"/>
              <w:bottom w:val="nil"/>
              <w:right w:val="nil"/>
            </w:tcBorders>
            <w:shd w:val="clear" w:color="auto" w:fill="auto"/>
            <w:noWrap/>
            <w:vAlign w:val="bottom"/>
            <w:hideMark/>
          </w:tcPr>
          <w:p w14:paraId="3D8FDE20" w14:textId="3E65149C"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c>
          <w:tcPr>
            <w:tcW w:w="940" w:type="dxa"/>
            <w:tcBorders>
              <w:top w:val="nil"/>
              <w:left w:val="nil"/>
              <w:bottom w:val="nil"/>
              <w:right w:val="nil"/>
            </w:tcBorders>
            <w:shd w:val="clear" w:color="000000" w:fill="E6E6E6"/>
            <w:noWrap/>
            <w:vAlign w:val="bottom"/>
            <w:hideMark/>
          </w:tcPr>
          <w:p w14:paraId="534955F4" w14:textId="46D468C8"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c>
          <w:tcPr>
            <w:tcW w:w="940" w:type="dxa"/>
            <w:tcBorders>
              <w:top w:val="nil"/>
              <w:left w:val="nil"/>
              <w:bottom w:val="nil"/>
              <w:right w:val="nil"/>
            </w:tcBorders>
            <w:shd w:val="clear" w:color="auto" w:fill="auto"/>
            <w:noWrap/>
            <w:vAlign w:val="bottom"/>
            <w:hideMark/>
          </w:tcPr>
          <w:p w14:paraId="3F7353CC" w14:textId="5DC49EC4"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c>
          <w:tcPr>
            <w:tcW w:w="1035" w:type="dxa"/>
            <w:tcBorders>
              <w:top w:val="nil"/>
              <w:left w:val="nil"/>
              <w:bottom w:val="nil"/>
              <w:right w:val="nil"/>
            </w:tcBorders>
            <w:shd w:val="clear" w:color="auto" w:fill="auto"/>
            <w:noWrap/>
            <w:vAlign w:val="bottom"/>
            <w:hideMark/>
          </w:tcPr>
          <w:p w14:paraId="46629100" w14:textId="5B0BA470"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c>
          <w:tcPr>
            <w:tcW w:w="940" w:type="dxa"/>
            <w:tcBorders>
              <w:top w:val="nil"/>
              <w:left w:val="nil"/>
              <w:bottom w:val="nil"/>
              <w:right w:val="nil"/>
            </w:tcBorders>
            <w:shd w:val="clear" w:color="auto" w:fill="auto"/>
            <w:noWrap/>
            <w:vAlign w:val="bottom"/>
            <w:hideMark/>
          </w:tcPr>
          <w:p w14:paraId="4E618950" w14:textId="68B0315B"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r>
      <w:tr w:rsidR="00081C86" w:rsidRPr="00081C86" w14:paraId="10DE98F8" w14:textId="77777777" w:rsidTr="0055799D">
        <w:trPr>
          <w:trHeight w:val="204"/>
        </w:trPr>
        <w:tc>
          <w:tcPr>
            <w:tcW w:w="2835" w:type="dxa"/>
            <w:tcBorders>
              <w:top w:val="nil"/>
              <w:left w:val="nil"/>
              <w:bottom w:val="nil"/>
              <w:right w:val="nil"/>
            </w:tcBorders>
            <w:shd w:val="clear" w:color="auto" w:fill="auto"/>
            <w:noWrap/>
            <w:vAlign w:val="center"/>
            <w:hideMark/>
          </w:tcPr>
          <w:p w14:paraId="6570CD13" w14:textId="77777777" w:rsidR="00081C86" w:rsidRPr="00081C86" w:rsidRDefault="00081C86" w:rsidP="00081C86">
            <w:pPr>
              <w:spacing w:after="0" w:line="240" w:lineRule="auto"/>
              <w:jc w:val="left"/>
              <w:rPr>
                <w:rFonts w:ascii="Arial" w:hAnsi="Arial" w:cs="Arial"/>
                <w:b/>
                <w:bCs/>
                <w:i/>
                <w:iCs/>
                <w:color w:val="000000"/>
                <w:sz w:val="16"/>
                <w:szCs w:val="16"/>
              </w:rPr>
            </w:pPr>
            <w:r w:rsidRPr="00081C86">
              <w:rPr>
                <w:rFonts w:ascii="Arial" w:hAnsi="Arial" w:cs="Arial"/>
                <w:b/>
                <w:bCs/>
                <w:i/>
                <w:iCs/>
                <w:color w:val="000000"/>
                <w:sz w:val="16"/>
                <w:szCs w:val="16"/>
              </w:rPr>
              <w:t>Total cash used</w:t>
            </w:r>
          </w:p>
        </w:tc>
        <w:tc>
          <w:tcPr>
            <w:tcW w:w="940" w:type="dxa"/>
            <w:tcBorders>
              <w:top w:val="single" w:sz="4" w:space="0" w:color="000000"/>
              <w:left w:val="nil"/>
              <w:bottom w:val="single" w:sz="4" w:space="0" w:color="000000"/>
              <w:right w:val="nil"/>
            </w:tcBorders>
            <w:shd w:val="clear" w:color="auto" w:fill="auto"/>
            <w:noWrap/>
            <w:vAlign w:val="bottom"/>
            <w:hideMark/>
          </w:tcPr>
          <w:p w14:paraId="33782C7E" w14:textId="4A6253A3"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15,412</w:t>
            </w:r>
          </w:p>
        </w:tc>
        <w:tc>
          <w:tcPr>
            <w:tcW w:w="940" w:type="dxa"/>
            <w:tcBorders>
              <w:top w:val="single" w:sz="4" w:space="0" w:color="000000"/>
              <w:left w:val="nil"/>
              <w:bottom w:val="single" w:sz="4" w:space="0" w:color="000000"/>
              <w:right w:val="nil"/>
            </w:tcBorders>
            <w:shd w:val="clear" w:color="000000" w:fill="E6E6E6"/>
            <w:noWrap/>
            <w:vAlign w:val="bottom"/>
            <w:hideMark/>
          </w:tcPr>
          <w:p w14:paraId="244FA867" w14:textId="392F7D6A"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9,472</w:t>
            </w:r>
          </w:p>
        </w:tc>
        <w:tc>
          <w:tcPr>
            <w:tcW w:w="940" w:type="dxa"/>
            <w:tcBorders>
              <w:top w:val="single" w:sz="4" w:space="0" w:color="000000"/>
              <w:left w:val="nil"/>
              <w:bottom w:val="single" w:sz="4" w:space="0" w:color="000000"/>
              <w:right w:val="nil"/>
            </w:tcBorders>
            <w:shd w:val="clear" w:color="auto" w:fill="auto"/>
            <w:noWrap/>
            <w:vAlign w:val="bottom"/>
            <w:hideMark/>
          </w:tcPr>
          <w:p w14:paraId="1EFC4DF6" w14:textId="6DEB263E"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6,564</w:t>
            </w:r>
          </w:p>
        </w:tc>
        <w:tc>
          <w:tcPr>
            <w:tcW w:w="1035" w:type="dxa"/>
            <w:tcBorders>
              <w:top w:val="single" w:sz="4" w:space="0" w:color="000000"/>
              <w:left w:val="nil"/>
              <w:bottom w:val="single" w:sz="4" w:space="0" w:color="000000"/>
              <w:right w:val="nil"/>
            </w:tcBorders>
            <w:shd w:val="clear" w:color="auto" w:fill="auto"/>
            <w:noWrap/>
            <w:vAlign w:val="bottom"/>
            <w:hideMark/>
          </w:tcPr>
          <w:p w14:paraId="5047A857" w14:textId="71271773"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4,656</w:t>
            </w:r>
          </w:p>
        </w:tc>
        <w:tc>
          <w:tcPr>
            <w:tcW w:w="940" w:type="dxa"/>
            <w:tcBorders>
              <w:top w:val="single" w:sz="4" w:space="0" w:color="000000"/>
              <w:left w:val="nil"/>
              <w:bottom w:val="single" w:sz="4" w:space="0" w:color="000000"/>
              <w:right w:val="nil"/>
            </w:tcBorders>
            <w:shd w:val="clear" w:color="auto" w:fill="auto"/>
            <w:noWrap/>
            <w:vAlign w:val="bottom"/>
            <w:hideMark/>
          </w:tcPr>
          <w:p w14:paraId="6811E081" w14:textId="03BB8B98"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636</w:t>
            </w:r>
          </w:p>
        </w:tc>
      </w:tr>
      <w:tr w:rsidR="00081C86" w:rsidRPr="00081C86" w14:paraId="439EF8A3" w14:textId="77777777" w:rsidTr="0055799D">
        <w:trPr>
          <w:trHeight w:val="204"/>
        </w:trPr>
        <w:tc>
          <w:tcPr>
            <w:tcW w:w="2835" w:type="dxa"/>
            <w:tcBorders>
              <w:top w:val="nil"/>
              <w:left w:val="nil"/>
              <w:bottom w:val="nil"/>
              <w:right w:val="nil"/>
            </w:tcBorders>
            <w:shd w:val="clear" w:color="auto" w:fill="auto"/>
            <w:vAlign w:val="center"/>
            <w:hideMark/>
          </w:tcPr>
          <w:p w14:paraId="469F2F58" w14:textId="0DE8D3EF" w:rsidR="00081C86" w:rsidRPr="00081C86" w:rsidRDefault="00081C86" w:rsidP="00302C92">
            <w:pPr>
              <w:spacing w:after="0" w:line="240" w:lineRule="auto"/>
              <w:jc w:val="left"/>
              <w:rPr>
                <w:rFonts w:ascii="Arial" w:hAnsi="Arial" w:cs="Arial"/>
                <w:b/>
                <w:bCs/>
                <w:color w:val="000000"/>
                <w:sz w:val="16"/>
                <w:szCs w:val="16"/>
              </w:rPr>
            </w:pPr>
            <w:r w:rsidRPr="00081C86">
              <w:rPr>
                <w:rFonts w:ascii="Arial" w:hAnsi="Arial" w:cs="Arial"/>
                <w:b/>
                <w:bCs/>
                <w:color w:val="000000"/>
                <w:sz w:val="16"/>
                <w:szCs w:val="16"/>
              </w:rPr>
              <w:t>Net cash from/(used by)</w:t>
            </w:r>
            <w:r w:rsidR="00302C92">
              <w:rPr>
                <w:rFonts w:ascii="Arial" w:hAnsi="Arial" w:cs="Arial"/>
                <w:b/>
                <w:bCs/>
                <w:color w:val="000000"/>
                <w:sz w:val="16"/>
                <w:szCs w:val="16"/>
              </w:rPr>
              <w:t xml:space="preserve"> </w:t>
            </w:r>
            <w:r w:rsidRPr="00081C86">
              <w:rPr>
                <w:rFonts w:ascii="Arial" w:hAnsi="Arial" w:cs="Arial"/>
                <w:b/>
                <w:bCs/>
                <w:color w:val="000000"/>
                <w:sz w:val="16"/>
                <w:szCs w:val="16"/>
              </w:rPr>
              <w:t>operating activities</w:t>
            </w:r>
          </w:p>
        </w:tc>
        <w:tc>
          <w:tcPr>
            <w:tcW w:w="940" w:type="dxa"/>
            <w:tcBorders>
              <w:top w:val="nil"/>
              <w:left w:val="nil"/>
              <w:bottom w:val="single" w:sz="4" w:space="0" w:color="000000"/>
              <w:right w:val="nil"/>
            </w:tcBorders>
            <w:shd w:val="clear" w:color="auto" w:fill="auto"/>
            <w:noWrap/>
            <w:vAlign w:val="bottom"/>
            <w:hideMark/>
          </w:tcPr>
          <w:p w14:paraId="63E82739" w14:textId="4CE70096" w:rsidR="00081C86" w:rsidRPr="00081C86" w:rsidRDefault="00081C86" w:rsidP="00302C92">
            <w:pPr>
              <w:spacing w:after="0" w:line="240" w:lineRule="auto"/>
              <w:jc w:val="right"/>
              <w:rPr>
                <w:rFonts w:ascii="Arial" w:hAnsi="Arial" w:cs="Arial"/>
                <w:b/>
                <w:bCs/>
                <w:color w:val="000000"/>
                <w:sz w:val="16"/>
                <w:szCs w:val="16"/>
              </w:rPr>
            </w:pPr>
            <w:r w:rsidRPr="00081C86">
              <w:rPr>
                <w:rFonts w:ascii="Arial" w:hAnsi="Arial" w:cs="Arial"/>
                <w:b/>
                <w:bCs/>
                <w:color w:val="000000"/>
                <w:sz w:val="16"/>
                <w:szCs w:val="16"/>
              </w:rPr>
              <w:t>673,025</w:t>
            </w:r>
          </w:p>
        </w:tc>
        <w:tc>
          <w:tcPr>
            <w:tcW w:w="940" w:type="dxa"/>
            <w:tcBorders>
              <w:top w:val="nil"/>
              <w:left w:val="nil"/>
              <w:bottom w:val="single" w:sz="4" w:space="0" w:color="000000"/>
              <w:right w:val="nil"/>
            </w:tcBorders>
            <w:shd w:val="clear" w:color="000000" w:fill="E6E6E6"/>
            <w:noWrap/>
            <w:vAlign w:val="bottom"/>
            <w:hideMark/>
          </w:tcPr>
          <w:p w14:paraId="5C3590E5" w14:textId="550E6770" w:rsidR="00081C86" w:rsidRPr="00081C86" w:rsidRDefault="00081C86" w:rsidP="00302C92">
            <w:pPr>
              <w:spacing w:after="0" w:line="240" w:lineRule="auto"/>
              <w:jc w:val="right"/>
              <w:rPr>
                <w:rFonts w:ascii="Arial" w:hAnsi="Arial" w:cs="Arial"/>
                <w:b/>
                <w:bCs/>
                <w:color w:val="000000"/>
                <w:sz w:val="16"/>
                <w:szCs w:val="16"/>
              </w:rPr>
            </w:pPr>
            <w:r w:rsidRPr="00081C86">
              <w:rPr>
                <w:rFonts w:ascii="Arial" w:hAnsi="Arial" w:cs="Arial"/>
                <w:b/>
                <w:bCs/>
                <w:color w:val="000000"/>
                <w:sz w:val="16"/>
                <w:szCs w:val="16"/>
              </w:rPr>
              <w:t>571,262</w:t>
            </w:r>
          </w:p>
        </w:tc>
        <w:tc>
          <w:tcPr>
            <w:tcW w:w="940" w:type="dxa"/>
            <w:tcBorders>
              <w:top w:val="nil"/>
              <w:left w:val="nil"/>
              <w:bottom w:val="single" w:sz="4" w:space="0" w:color="000000"/>
              <w:right w:val="nil"/>
            </w:tcBorders>
            <w:shd w:val="clear" w:color="auto" w:fill="auto"/>
            <w:noWrap/>
            <w:vAlign w:val="bottom"/>
            <w:hideMark/>
          </w:tcPr>
          <w:p w14:paraId="0E047D35" w14:textId="24A31193" w:rsidR="00081C86" w:rsidRPr="00081C86" w:rsidRDefault="00081C86" w:rsidP="00302C92">
            <w:pPr>
              <w:spacing w:after="0" w:line="240" w:lineRule="auto"/>
              <w:jc w:val="right"/>
              <w:rPr>
                <w:rFonts w:ascii="Arial" w:hAnsi="Arial" w:cs="Arial"/>
                <w:b/>
                <w:bCs/>
                <w:color w:val="000000"/>
                <w:sz w:val="16"/>
                <w:szCs w:val="16"/>
              </w:rPr>
            </w:pPr>
            <w:r w:rsidRPr="00081C86">
              <w:rPr>
                <w:rFonts w:ascii="Arial" w:hAnsi="Arial" w:cs="Arial"/>
                <w:b/>
                <w:bCs/>
                <w:color w:val="000000"/>
                <w:sz w:val="16"/>
                <w:szCs w:val="16"/>
              </w:rPr>
              <w:t>676,667</w:t>
            </w:r>
          </w:p>
        </w:tc>
        <w:tc>
          <w:tcPr>
            <w:tcW w:w="1035" w:type="dxa"/>
            <w:tcBorders>
              <w:top w:val="nil"/>
              <w:left w:val="nil"/>
              <w:bottom w:val="single" w:sz="4" w:space="0" w:color="000000"/>
              <w:right w:val="nil"/>
            </w:tcBorders>
            <w:shd w:val="clear" w:color="auto" w:fill="auto"/>
            <w:noWrap/>
            <w:vAlign w:val="bottom"/>
            <w:hideMark/>
          </w:tcPr>
          <w:p w14:paraId="5D440FD4" w14:textId="1EE5FEBC" w:rsidR="00081C86" w:rsidRPr="00081C86" w:rsidRDefault="00081C86" w:rsidP="00302C92">
            <w:pPr>
              <w:spacing w:after="0" w:line="240" w:lineRule="auto"/>
              <w:jc w:val="right"/>
              <w:rPr>
                <w:rFonts w:ascii="Arial" w:hAnsi="Arial" w:cs="Arial"/>
                <w:b/>
                <w:bCs/>
                <w:color w:val="000000"/>
                <w:sz w:val="16"/>
                <w:szCs w:val="16"/>
              </w:rPr>
            </w:pPr>
            <w:r w:rsidRPr="00081C86">
              <w:rPr>
                <w:rFonts w:ascii="Arial" w:hAnsi="Arial" w:cs="Arial"/>
                <w:b/>
                <w:bCs/>
                <w:color w:val="000000"/>
                <w:sz w:val="16"/>
                <w:szCs w:val="16"/>
              </w:rPr>
              <w:t>2,792,910</w:t>
            </w:r>
          </w:p>
        </w:tc>
        <w:tc>
          <w:tcPr>
            <w:tcW w:w="940" w:type="dxa"/>
            <w:tcBorders>
              <w:top w:val="nil"/>
              <w:left w:val="nil"/>
              <w:bottom w:val="single" w:sz="4" w:space="0" w:color="000000"/>
              <w:right w:val="nil"/>
            </w:tcBorders>
            <w:shd w:val="clear" w:color="auto" w:fill="auto"/>
            <w:noWrap/>
            <w:vAlign w:val="bottom"/>
            <w:hideMark/>
          </w:tcPr>
          <w:p w14:paraId="17200CFD" w14:textId="786A2CF6" w:rsidR="00081C86" w:rsidRPr="00081C86" w:rsidRDefault="00081C86" w:rsidP="00302C92">
            <w:pPr>
              <w:spacing w:after="0" w:line="240" w:lineRule="auto"/>
              <w:jc w:val="right"/>
              <w:rPr>
                <w:rFonts w:ascii="Arial" w:hAnsi="Arial" w:cs="Arial"/>
                <w:b/>
                <w:bCs/>
                <w:color w:val="000000"/>
                <w:sz w:val="16"/>
                <w:szCs w:val="16"/>
              </w:rPr>
            </w:pPr>
            <w:r w:rsidRPr="00081C86">
              <w:rPr>
                <w:rFonts w:ascii="Arial" w:hAnsi="Arial" w:cs="Arial"/>
                <w:b/>
                <w:bCs/>
                <w:color w:val="000000"/>
                <w:sz w:val="16"/>
                <w:szCs w:val="16"/>
              </w:rPr>
              <w:t>695,079</w:t>
            </w:r>
          </w:p>
        </w:tc>
      </w:tr>
      <w:tr w:rsidR="00081C86" w:rsidRPr="00081C86" w14:paraId="196C0EB4" w14:textId="77777777" w:rsidTr="0055799D">
        <w:trPr>
          <w:trHeight w:val="204"/>
        </w:trPr>
        <w:tc>
          <w:tcPr>
            <w:tcW w:w="2835" w:type="dxa"/>
            <w:tcBorders>
              <w:top w:val="nil"/>
              <w:left w:val="nil"/>
              <w:bottom w:val="nil"/>
              <w:right w:val="nil"/>
            </w:tcBorders>
            <w:shd w:val="clear" w:color="auto" w:fill="auto"/>
            <w:vAlign w:val="center"/>
            <w:hideMark/>
          </w:tcPr>
          <w:p w14:paraId="44B55DEE" w14:textId="13799742" w:rsidR="00081C86" w:rsidRPr="00081C86" w:rsidRDefault="00081C86" w:rsidP="00302C92">
            <w:pPr>
              <w:spacing w:after="0" w:line="240" w:lineRule="auto"/>
              <w:jc w:val="left"/>
              <w:rPr>
                <w:rFonts w:ascii="Arial" w:hAnsi="Arial" w:cs="Arial"/>
                <w:b/>
                <w:bCs/>
                <w:i/>
                <w:iCs/>
                <w:color w:val="000000"/>
                <w:sz w:val="16"/>
                <w:szCs w:val="16"/>
              </w:rPr>
            </w:pPr>
            <w:r w:rsidRPr="00081C86">
              <w:rPr>
                <w:rFonts w:ascii="Arial" w:hAnsi="Arial" w:cs="Arial"/>
                <w:b/>
                <w:bCs/>
                <w:i/>
                <w:iCs/>
                <w:color w:val="000000"/>
                <w:sz w:val="16"/>
                <w:szCs w:val="16"/>
              </w:rPr>
              <w:t>Net increase/(decrease) in cash</w:t>
            </w:r>
            <w:r w:rsidR="00302C92">
              <w:rPr>
                <w:rFonts w:ascii="Arial" w:hAnsi="Arial" w:cs="Arial"/>
                <w:b/>
                <w:bCs/>
                <w:i/>
                <w:iCs/>
                <w:color w:val="000000"/>
                <w:sz w:val="16"/>
                <w:szCs w:val="16"/>
              </w:rPr>
              <w:t xml:space="preserve"> </w:t>
            </w:r>
            <w:r w:rsidRPr="00081C86">
              <w:rPr>
                <w:rFonts w:ascii="Arial" w:hAnsi="Arial" w:cs="Arial"/>
                <w:b/>
                <w:bCs/>
                <w:i/>
                <w:iCs/>
                <w:color w:val="000000"/>
                <w:sz w:val="16"/>
                <w:szCs w:val="16"/>
              </w:rPr>
              <w:t>held</w:t>
            </w:r>
          </w:p>
        </w:tc>
        <w:tc>
          <w:tcPr>
            <w:tcW w:w="940" w:type="dxa"/>
            <w:tcBorders>
              <w:top w:val="single" w:sz="4" w:space="0" w:color="auto"/>
              <w:left w:val="nil"/>
              <w:bottom w:val="single" w:sz="4" w:space="0" w:color="auto"/>
              <w:right w:val="nil"/>
            </w:tcBorders>
            <w:shd w:val="clear" w:color="auto" w:fill="auto"/>
            <w:noWrap/>
            <w:vAlign w:val="bottom"/>
            <w:hideMark/>
          </w:tcPr>
          <w:p w14:paraId="7CE14FB2" w14:textId="1C4BE230"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673,025</w:t>
            </w:r>
          </w:p>
        </w:tc>
        <w:tc>
          <w:tcPr>
            <w:tcW w:w="940" w:type="dxa"/>
            <w:tcBorders>
              <w:top w:val="single" w:sz="4" w:space="0" w:color="auto"/>
              <w:left w:val="nil"/>
              <w:bottom w:val="single" w:sz="4" w:space="0" w:color="auto"/>
              <w:right w:val="nil"/>
            </w:tcBorders>
            <w:shd w:val="clear" w:color="000000" w:fill="E6E6E6"/>
            <w:noWrap/>
            <w:vAlign w:val="bottom"/>
            <w:hideMark/>
          </w:tcPr>
          <w:p w14:paraId="6ABB5081" w14:textId="263118FD"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571,262</w:t>
            </w:r>
          </w:p>
        </w:tc>
        <w:tc>
          <w:tcPr>
            <w:tcW w:w="940" w:type="dxa"/>
            <w:tcBorders>
              <w:top w:val="single" w:sz="4" w:space="0" w:color="auto"/>
              <w:left w:val="nil"/>
              <w:bottom w:val="single" w:sz="4" w:space="0" w:color="auto"/>
              <w:right w:val="nil"/>
            </w:tcBorders>
            <w:shd w:val="clear" w:color="auto" w:fill="auto"/>
            <w:noWrap/>
            <w:vAlign w:val="bottom"/>
            <w:hideMark/>
          </w:tcPr>
          <w:p w14:paraId="2F0C53FC" w14:textId="44987BAD"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676,667</w:t>
            </w:r>
          </w:p>
        </w:tc>
        <w:tc>
          <w:tcPr>
            <w:tcW w:w="1035" w:type="dxa"/>
            <w:tcBorders>
              <w:top w:val="single" w:sz="4" w:space="0" w:color="auto"/>
              <w:left w:val="nil"/>
              <w:bottom w:val="single" w:sz="4" w:space="0" w:color="auto"/>
              <w:right w:val="nil"/>
            </w:tcBorders>
            <w:shd w:val="clear" w:color="auto" w:fill="auto"/>
            <w:noWrap/>
            <w:vAlign w:val="bottom"/>
            <w:hideMark/>
          </w:tcPr>
          <w:p w14:paraId="06FEAC56" w14:textId="28CD668E"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2,792,910</w:t>
            </w:r>
          </w:p>
        </w:tc>
        <w:tc>
          <w:tcPr>
            <w:tcW w:w="940" w:type="dxa"/>
            <w:tcBorders>
              <w:top w:val="single" w:sz="4" w:space="0" w:color="auto"/>
              <w:left w:val="nil"/>
              <w:bottom w:val="single" w:sz="4" w:space="0" w:color="auto"/>
              <w:right w:val="nil"/>
            </w:tcBorders>
            <w:shd w:val="clear" w:color="auto" w:fill="auto"/>
            <w:noWrap/>
            <w:vAlign w:val="bottom"/>
            <w:hideMark/>
          </w:tcPr>
          <w:p w14:paraId="73262526" w14:textId="6AE40CBB" w:rsidR="00081C86" w:rsidRPr="00081C86" w:rsidRDefault="00081C86" w:rsidP="00302C92">
            <w:pPr>
              <w:spacing w:after="0" w:line="240" w:lineRule="auto"/>
              <w:jc w:val="right"/>
              <w:rPr>
                <w:rFonts w:ascii="Arial" w:hAnsi="Arial" w:cs="Arial"/>
                <w:b/>
                <w:bCs/>
                <w:i/>
                <w:iCs/>
                <w:color w:val="000000"/>
                <w:sz w:val="16"/>
                <w:szCs w:val="16"/>
              </w:rPr>
            </w:pPr>
            <w:r w:rsidRPr="00081C86">
              <w:rPr>
                <w:rFonts w:ascii="Arial" w:hAnsi="Arial" w:cs="Arial"/>
                <w:b/>
                <w:bCs/>
                <w:i/>
                <w:iCs/>
                <w:color w:val="000000"/>
                <w:sz w:val="16"/>
                <w:szCs w:val="16"/>
              </w:rPr>
              <w:t>695,079</w:t>
            </w:r>
          </w:p>
        </w:tc>
      </w:tr>
      <w:tr w:rsidR="00081C86" w:rsidRPr="00081C86" w14:paraId="2C077C5B" w14:textId="77777777" w:rsidTr="0055799D">
        <w:trPr>
          <w:trHeight w:val="204"/>
        </w:trPr>
        <w:tc>
          <w:tcPr>
            <w:tcW w:w="2835" w:type="dxa"/>
            <w:tcBorders>
              <w:top w:val="nil"/>
              <w:left w:val="nil"/>
              <w:bottom w:val="nil"/>
              <w:right w:val="nil"/>
            </w:tcBorders>
            <w:shd w:val="clear" w:color="auto" w:fill="auto"/>
            <w:vAlign w:val="center"/>
            <w:hideMark/>
          </w:tcPr>
          <w:p w14:paraId="617CD872" w14:textId="3A75DEC8" w:rsidR="00081C86" w:rsidRPr="00081C86" w:rsidRDefault="00081C86" w:rsidP="000209D0">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Cash and cash equivalents at</w:t>
            </w:r>
            <w:r w:rsidR="000209D0">
              <w:rPr>
                <w:rFonts w:ascii="Arial" w:hAnsi="Arial" w:cs="Arial"/>
                <w:color w:val="000000"/>
                <w:sz w:val="16"/>
                <w:szCs w:val="16"/>
              </w:rPr>
              <w:t xml:space="preserve"> </w:t>
            </w:r>
            <w:r w:rsidRPr="00081C86">
              <w:rPr>
                <w:rFonts w:ascii="Arial" w:hAnsi="Arial" w:cs="Arial"/>
                <w:color w:val="000000"/>
                <w:sz w:val="16"/>
                <w:szCs w:val="16"/>
              </w:rPr>
              <w:t>beginning of reporting period</w:t>
            </w:r>
          </w:p>
        </w:tc>
        <w:tc>
          <w:tcPr>
            <w:tcW w:w="940" w:type="dxa"/>
            <w:tcBorders>
              <w:top w:val="nil"/>
              <w:left w:val="nil"/>
              <w:bottom w:val="nil"/>
              <w:right w:val="nil"/>
            </w:tcBorders>
            <w:shd w:val="clear" w:color="auto" w:fill="auto"/>
            <w:noWrap/>
            <w:vAlign w:val="bottom"/>
            <w:hideMark/>
          </w:tcPr>
          <w:p w14:paraId="0D886B14" w14:textId="49C95626"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436</w:t>
            </w:r>
          </w:p>
        </w:tc>
        <w:tc>
          <w:tcPr>
            <w:tcW w:w="940" w:type="dxa"/>
            <w:tcBorders>
              <w:top w:val="nil"/>
              <w:left w:val="nil"/>
              <w:bottom w:val="nil"/>
              <w:right w:val="nil"/>
            </w:tcBorders>
            <w:shd w:val="clear" w:color="000000" w:fill="E6E6E6"/>
            <w:noWrap/>
            <w:vAlign w:val="bottom"/>
            <w:hideMark/>
          </w:tcPr>
          <w:p w14:paraId="458093B1" w14:textId="4BFABF2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815</w:t>
            </w:r>
          </w:p>
        </w:tc>
        <w:tc>
          <w:tcPr>
            <w:tcW w:w="940" w:type="dxa"/>
            <w:tcBorders>
              <w:top w:val="nil"/>
              <w:left w:val="nil"/>
              <w:bottom w:val="nil"/>
              <w:right w:val="nil"/>
            </w:tcBorders>
            <w:shd w:val="clear" w:color="auto" w:fill="auto"/>
            <w:noWrap/>
            <w:vAlign w:val="bottom"/>
            <w:hideMark/>
          </w:tcPr>
          <w:p w14:paraId="70AEB455" w14:textId="6D8422B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815</w:t>
            </w:r>
          </w:p>
        </w:tc>
        <w:tc>
          <w:tcPr>
            <w:tcW w:w="1035" w:type="dxa"/>
            <w:tcBorders>
              <w:top w:val="nil"/>
              <w:left w:val="nil"/>
              <w:bottom w:val="nil"/>
              <w:right w:val="nil"/>
            </w:tcBorders>
            <w:shd w:val="clear" w:color="auto" w:fill="auto"/>
            <w:noWrap/>
            <w:vAlign w:val="bottom"/>
            <w:hideMark/>
          </w:tcPr>
          <w:p w14:paraId="79490235" w14:textId="0134C7BC"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815</w:t>
            </w:r>
          </w:p>
        </w:tc>
        <w:tc>
          <w:tcPr>
            <w:tcW w:w="940" w:type="dxa"/>
            <w:tcBorders>
              <w:top w:val="nil"/>
              <w:left w:val="nil"/>
              <w:bottom w:val="nil"/>
              <w:right w:val="nil"/>
            </w:tcBorders>
            <w:shd w:val="clear" w:color="auto" w:fill="auto"/>
            <w:noWrap/>
            <w:vAlign w:val="bottom"/>
            <w:hideMark/>
          </w:tcPr>
          <w:p w14:paraId="00E6A9AA" w14:textId="60DF3782"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815</w:t>
            </w:r>
          </w:p>
        </w:tc>
      </w:tr>
      <w:tr w:rsidR="00081C86" w:rsidRPr="00081C86" w14:paraId="556FFC9B" w14:textId="77777777" w:rsidTr="0055799D">
        <w:trPr>
          <w:trHeight w:val="204"/>
        </w:trPr>
        <w:tc>
          <w:tcPr>
            <w:tcW w:w="2835" w:type="dxa"/>
            <w:tcBorders>
              <w:top w:val="nil"/>
              <w:left w:val="nil"/>
              <w:bottom w:val="nil"/>
              <w:right w:val="nil"/>
            </w:tcBorders>
            <w:shd w:val="clear" w:color="auto" w:fill="auto"/>
            <w:vAlign w:val="center"/>
            <w:hideMark/>
          </w:tcPr>
          <w:p w14:paraId="363A7F3C" w14:textId="77777777" w:rsidR="00081C86" w:rsidRPr="00081C86" w:rsidRDefault="00081C86" w:rsidP="00081C86">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Cash from Official Public Account for:</w:t>
            </w:r>
          </w:p>
        </w:tc>
        <w:tc>
          <w:tcPr>
            <w:tcW w:w="940" w:type="dxa"/>
            <w:tcBorders>
              <w:top w:val="nil"/>
              <w:left w:val="nil"/>
              <w:bottom w:val="nil"/>
              <w:right w:val="nil"/>
            </w:tcBorders>
            <w:shd w:val="clear" w:color="auto" w:fill="auto"/>
            <w:noWrap/>
            <w:vAlign w:val="bottom"/>
            <w:hideMark/>
          </w:tcPr>
          <w:p w14:paraId="7D2FED68" w14:textId="77777777" w:rsidR="00081C86" w:rsidRPr="00081C86" w:rsidRDefault="00081C86" w:rsidP="00302C92">
            <w:pPr>
              <w:spacing w:after="0" w:line="240" w:lineRule="auto"/>
              <w:ind w:firstLineChars="200" w:firstLine="320"/>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bottom"/>
            <w:hideMark/>
          </w:tcPr>
          <w:p w14:paraId="32B3B7C0" w14:textId="6E61699D" w:rsidR="00081C86" w:rsidRPr="00081C86" w:rsidRDefault="00081C86" w:rsidP="00302C92">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bottom"/>
            <w:hideMark/>
          </w:tcPr>
          <w:p w14:paraId="339D1C17" w14:textId="77777777" w:rsidR="00081C86" w:rsidRPr="00081C86" w:rsidRDefault="00081C86" w:rsidP="00302C92">
            <w:pPr>
              <w:spacing w:after="0" w:line="240" w:lineRule="auto"/>
              <w:jc w:val="right"/>
              <w:rPr>
                <w:rFonts w:ascii="Arial" w:hAnsi="Arial" w:cs="Arial"/>
                <w:color w:val="000000"/>
                <w:sz w:val="16"/>
                <w:szCs w:val="16"/>
              </w:rPr>
            </w:pPr>
          </w:p>
        </w:tc>
        <w:tc>
          <w:tcPr>
            <w:tcW w:w="1035" w:type="dxa"/>
            <w:tcBorders>
              <w:top w:val="nil"/>
              <w:left w:val="nil"/>
              <w:bottom w:val="nil"/>
              <w:right w:val="nil"/>
            </w:tcBorders>
            <w:shd w:val="clear" w:color="auto" w:fill="auto"/>
            <w:noWrap/>
            <w:vAlign w:val="bottom"/>
            <w:hideMark/>
          </w:tcPr>
          <w:p w14:paraId="2D4B61F1" w14:textId="77777777" w:rsidR="00081C86" w:rsidRPr="00081C86" w:rsidRDefault="00081C86" w:rsidP="00302C92">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3FF92E3F" w14:textId="77777777" w:rsidR="00081C86" w:rsidRPr="00081C86" w:rsidRDefault="00081C86" w:rsidP="00302C92">
            <w:pPr>
              <w:spacing w:after="0" w:line="240" w:lineRule="auto"/>
              <w:jc w:val="right"/>
              <w:rPr>
                <w:rFonts w:ascii="Arial" w:hAnsi="Arial" w:cs="Arial"/>
                <w:sz w:val="16"/>
                <w:szCs w:val="16"/>
              </w:rPr>
            </w:pPr>
          </w:p>
        </w:tc>
      </w:tr>
      <w:tr w:rsidR="00081C86" w:rsidRPr="00081C86" w14:paraId="72FB7BE4" w14:textId="77777777" w:rsidTr="0055799D">
        <w:trPr>
          <w:trHeight w:val="204"/>
        </w:trPr>
        <w:tc>
          <w:tcPr>
            <w:tcW w:w="2835" w:type="dxa"/>
            <w:tcBorders>
              <w:top w:val="nil"/>
              <w:left w:val="nil"/>
              <w:bottom w:val="nil"/>
              <w:right w:val="nil"/>
            </w:tcBorders>
            <w:shd w:val="clear" w:color="auto" w:fill="auto"/>
            <w:noWrap/>
            <w:vAlign w:val="center"/>
            <w:hideMark/>
          </w:tcPr>
          <w:p w14:paraId="443A985B" w14:textId="77777777" w:rsidR="00081C86" w:rsidRPr="00081C86" w:rsidRDefault="00081C86" w:rsidP="00302C92">
            <w:pPr>
              <w:spacing w:after="0" w:line="240" w:lineRule="auto"/>
              <w:ind w:left="227"/>
              <w:jc w:val="left"/>
              <w:rPr>
                <w:rFonts w:ascii="Arial" w:hAnsi="Arial" w:cs="Arial"/>
                <w:color w:val="000000"/>
                <w:sz w:val="16"/>
                <w:szCs w:val="16"/>
              </w:rPr>
            </w:pPr>
            <w:r w:rsidRPr="00081C86">
              <w:rPr>
                <w:rFonts w:ascii="Arial" w:hAnsi="Arial" w:cs="Arial"/>
                <w:color w:val="000000"/>
                <w:sz w:val="16"/>
                <w:szCs w:val="16"/>
              </w:rPr>
              <w:t>- Appropriations</w:t>
            </w:r>
          </w:p>
        </w:tc>
        <w:tc>
          <w:tcPr>
            <w:tcW w:w="940" w:type="dxa"/>
            <w:tcBorders>
              <w:top w:val="nil"/>
              <w:left w:val="nil"/>
              <w:bottom w:val="nil"/>
              <w:right w:val="nil"/>
            </w:tcBorders>
            <w:shd w:val="clear" w:color="auto" w:fill="auto"/>
            <w:noWrap/>
            <w:vAlign w:val="bottom"/>
            <w:hideMark/>
          </w:tcPr>
          <w:p w14:paraId="16F3B0EE" w14:textId="2A1DAD3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14,573</w:t>
            </w:r>
          </w:p>
        </w:tc>
        <w:tc>
          <w:tcPr>
            <w:tcW w:w="940" w:type="dxa"/>
            <w:tcBorders>
              <w:top w:val="nil"/>
              <w:left w:val="nil"/>
              <w:bottom w:val="nil"/>
              <w:right w:val="nil"/>
            </w:tcBorders>
            <w:shd w:val="clear" w:color="000000" w:fill="E6E6E6"/>
            <w:noWrap/>
            <w:vAlign w:val="bottom"/>
            <w:hideMark/>
          </w:tcPr>
          <w:p w14:paraId="1DD75415" w14:textId="4F8AD026"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9,244</w:t>
            </w:r>
          </w:p>
        </w:tc>
        <w:tc>
          <w:tcPr>
            <w:tcW w:w="940" w:type="dxa"/>
            <w:tcBorders>
              <w:top w:val="nil"/>
              <w:left w:val="nil"/>
              <w:bottom w:val="nil"/>
              <w:right w:val="nil"/>
            </w:tcBorders>
            <w:shd w:val="clear" w:color="auto" w:fill="auto"/>
            <w:noWrap/>
            <w:vAlign w:val="bottom"/>
            <w:hideMark/>
          </w:tcPr>
          <w:p w14:paraId="68C17741" w14:textId="1B603259"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6,564</w:t>
            </w:r>
          </w:p>
        </w:tc>
        <w:tc>
          <w:tcPr>
            <w:tcW w:w="1035" w:type="dxa"/>
            <w:tcBorders>
              <w:top w:val="nil"/>
              <w:left w:val="nil"/>
              <w:bottom w:val="nil"/>
              <w:right w:val="nil"/>
            </w:tcBorders>
            <w:shd w:val="clear" w:color="auto" w:fill="auto"/>
            <w:noWrap/>
            <w:vAlign w:val="bottom"/>
            <w:hideMark/>
          </w:tcPr>
          <w:p w14:paraId="6108D958" w14:textId="5478536D"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4,370</w:t>
            </w:r>
          </w:p>
        </w:tc>
        <w:tc>
          <w:tcPr>
            <w:tcW w:w="940" w:type="dxa"/>
            <w:tcBorders>
              <w:top w:val="nil"/>
              <w:left w:val="nil"/>
              <w:bottom w:val="nil"/>
              <w:right w:val="nil"/>
            </w:tcBorders>
            <w:shd w:val="clear" w:color="auto" w:fill="auto"/>
            <w:noWrap/>
            <w:vAlign w:val="bottom"/>
            <w:hideMark/>
          </w:tcPr>
          <w:p w14:paraId="2B86F1EB" w14:textId="2725674C"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300</w:t>
            </w:r>
          </w:p>
        </w:tc>
      </w:tr>
      <w:tr w:rsidR="00081C86" w:rsidRPr="00081C86" w14:paraId="655B730D" w14:textId="77777777" w:rsidTr="0055799D">
        <w:trPr>
          <w:trHeight w:val="204"/>
        </w:trPr>
        <w:tc>
          <w:tcPr>
            <w:tcW w:w="2835" w:type="dxa"/>
            <w:tcBorders>
              <w:top w:val="nil"/>
              <w:left w:val="nil"/>
              <w:bottom w:val="nil"/>
              <w:right w:val="nil"/>
            </w:tcBorders>
            <w:shd w:val="clear" w:color="auto" w:fill="auto"/>
            <w:noWrap/>
            <w:vAlign w:val="center"/>
            <w:hideMark/>
          </w:tcPr>
          <w:p w14:paraId="34CCCA85" w14:textId="77777777" w:rsidR="00081C86" w:rsidRPr="00081C86" w:rsidRDefault="00081C86" w:rsidP="00302C92">
            <w:pPr>
              <w:spacing w:after="0" w:line="240" w:lineRule="auto"/>
              <w:ind w:left="227"/>
              <w:jc w:val="left"/>
              <w:rPr>
                <w:rFonts w:ascii="Arial" w:hAnsi="Arial" w:cs="Arial"/>
                <w:color w:val="000000"/>
                <w:sz w:val="16"/>
                <w:szCs w:val="16"/>
              </w:rPr>
            </w:pPr>
            <w:r w:rsidRPr="00081C86">
              <w:rPr>
                <w:rFonts w:ascii="Arial" w:hAnsi="Arial" w:cs="Arial"/>
                <w:color w:val="000000"/>
                <w:sz w:val="16"/>
                <w:szCs w:val="16"/>
              </w:rPr>
              <w:t>- Special accounts</w:t>
            </w:r>
          </w:p>
        </w:tc>
        <w:tc>
          <w:tcPr>
            <w:tcW w:w="940" w:type="dxa"/>
            <w:tcBorders>
              <w:top w:val="nil"/>
              <w:left w:val="nil"/>
              <w:bottom w:val="nil"/>
              <w:right w:val="nil"/>
            </w:tcBorders>
            <w:shd w:val="clear" w:color="auto" w:fill="auto"/>
            <w:noWrap/>
            <w:vAlign w:val="bottom"/>
            <w:hideMark/>
          </w:tcPr>
          <w:p w14:paraId="2F82315A" w14:textId="60F89B42"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c>
          <w:tcPr>
            <w:tcW w:w="940" w:type="dxa"/>
            <w:tcBorders>
              <w:top w:val="nil"/>
              <w:left w:val="nil"/>
              <w:bottom w:val="nil"/>
              <w:right w:val="nil"/>
            </w:tcBorders>
            <w:shd w:val="clear" w:color="000000" w:fill="E6E6E6"/>
            <w:noWrap/>
            <w:vAlign w:val="bottom"/>
            <w:hideMark/>
          </w:tcPr>
          <w:p w14:paraId="30AC05CA" w14:textId="3C692C36"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c>
          <w:tcPr>
            <w:tcW w:w="940" w:type="dxa"/>
            <w:tcBorders>
              <w:top w:val="nil"/>
              <w:left w:val="nil"/>
              <w:bottom w:val="nil"/>
              <w:right w:val="nil"/>
            </w:tcBorders>
            <w:shd w:val="clear" w:color="auto" w:fill="auto"/>
            <w:noWrap/>
            <w:vAlign w:val="bottom"/>
            <w:hideMark/>
          </w:tcPr>
          <w:p w14:paraId="5266E3C8" w14:textId="29D1E969"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c>
          <w:tcPr>
            <w:tcW w:w="1035" w:type="dxa"/>
            <w:tcBorders>
              <w:top w:val="nil"/>
              <w:left w:val="nil"/>
              <w:bottom w:val="nil"/>
              <w:right w:val="nil"/>
            </w:tcBorders>
            <w:shd w:val="clear" w:color="auto" w:fill="auto"/>
            <w:noWrap/>
            <w:vAlign w:val="bottom"/>
            <w:hideMark/>
          </w:tcPr>
          <w:p w14:paraId="503D61D9" w14:textId="74F43A28"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c>
          <w:tcPr>
            <w:tcW w:w="940" w:type="dxa"/>
            <w:tcBorders>
              <w:top w:val="nil"/>
              <w:left w:val="nil"/>
              <w:bottom w:val="nil"/>
              <w:right w:val="nil"/>
            </w:tcBorders>
            <w:shd w:val="clear" w:color="auto" w:fill="auto"/>
            <w:noWrap/>
            <w:vAlign w:val="bottom"/>
            <w:hideMark/>
          </w:tcPr>
          <w:p w14:paraId="5DDF94C7" w14:textId="586808A4"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r>
      <w:tr w:rsidR="00081C86" w:rsidRPr="00081C86" w14:paraId="53E94B43" w14:textId="77777777" w:rsidTr="0055799D">
        <w:trPr>
          <w:trHeight w:val="204"/>
        </w:trPr>
        <w:tc>
          <w:tcPr>
            <w:tcW w:w="2835" w:type="dxa"/>
            <w:tcBorders>
              <w:top w:val="nil"/>
              <w:left w:val="nil"/>
              <w:bottom w:val="nil"/>
              <w:right w:val="nil"/>
            </w:tcBorders>
            <w:shd w:val="clear" w:color="auto" w:fill="auto"/>
            <w:vAlign w:val="center"/>
            <w:hideMark/>
          </w:tcPr>
          <w:p w14:paraId="0059B4FC" w14:textId="77777777" w:rsidR="00081C86" w:rsidRPr="00081C86" w:rsidRDefault="00081C86" w:rsidP="00081C86">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Total cash from Official Public Account</w:t>
            </w:r>
          </w:p>
        </w:tc>
        <w:tc>
          <w:tcPr>
            <w:tcW w:w="940" w:type="dxa"/>
            <w:tcBorders>
              <w:top w:val="single" w:sz="4" w:space="0" w:color="000000"/>
              <w:left w:val="nil"/>
              <w:bottom w:val="nil"/>
              <w:right w:val="nil"/>
            </w:tcBorders>
            <w:shd w:val="clear" w:color="000000" w:fill="FFFFFF"/>
            <w:noWrap/>
            <w:vAlign w:val="bottom"/>
            <w:hideMark/>
          </w:tcPr>
          <w:p w14:paraId="0C80D34F" w14:textId="2A205C03" w:rsidR="00081C86" w:rsidRPr="00081C86" w:rsidRDefault="00081C86" w:rsidP="00302C92">
            <w:pPr>
              <w:spacing w:after="0" w:line="240" w:lineRule="auto"/>
              <w:jc w:val="right"/>
              <w:rPr>
                <w:rFonts w:ascii="Arial" w:hAnsi="Arial" w:cs="Arial"/>
                <w:i/>
                <w:iCs/>
                <w:color w:val="000000"/>
                <w:sz w:val="16"/>
                <w:szCs w:val="16"/>
              </w:rPr>
            </w:pPr>
            <w:r w:rsidRPr="00081C86">
              <w:rPr>
                <w:rFonts w:ascii="Arial" w:hAnsi="Arial" w:cs="Arial"/>
                <w:i/>
                <w:iCs/>
                <w:color w:val="000000"/>
                <w:sz w:val="16"/>
                <w:szCs w:val="16"/>
              </w:rPr>
              <w:t>14,573</w:t>
            </w:r>
          </w:p>
        </w:tc>
        <w:tc>
          <w:tcPr>
            <w:tcW w:w="940" w:type="dxa"/>
            <w:tcBorders>
              <w:top w:val="single" w:sz="4" w:space="0" w:color="000000"/>
              <w:left w:val="nil"/>
              <w:bottom w:val="nil"/>
              <w:right w:val="nil"/>
            </w:tcBorders>
            <w:shd w:val="clear" w:color="000000" w:fill="E6E6E6"/>
            <w:noWrap/>
            <w:vAlign w:val="bottom"/>
            <w:hideMark/>
          </w:tcPr>
          <w:p w14:paraId="4537342C" w14:textId="3676B02A" w:rsidR="00081C86" w:rsidRPr="00081C86" w:rsidRDefault="00081C86" w:rsidP="00302C92">
            <w:pPr>
              <w:spacing w:after="0" w:line="240" w:lineRule="auto"/>
              <w:jc w:val="right"/>
              <w:rPr>
                <w:rFonts w:ascii="Arial" w:hAnsi="Arial" w:cs="Arial"/>
                <w:i/>
                <w:iCs/>
                <w:color w:val="000000"/>
                <w:sz w:val="16"/>
                <w:szCs w:val="16"/>
              </w:rPr>
            </w:pPr>
            <w:r w:rsidRPr="00081C86">
              <w:rPr>
                <w:rFonts w:ascii="Arial" w:hAnsi="Arial" w:cs="Arial"/>
                <w:i/>
                <w:iCs/>
                <w:color w:val="000000"/>
                <w:sz w:val="16"/>
                <w:szCs w:val="16"/>
              </w:rPr>
              <w:t>9,294</w:t>
            </w:r>
          </w:p>
        </w:tc>
        <w:tc>
          <w:tcPr>
            <w:tcW w:w="940" w:type="dxa"/>
            <w:tcBorders>
              <w:top w:val="single" w:sz="4" w:space="0" w:color="000000"/>
              <w:left w:val="nil"/>
              <w:bottom w:val="nil"/>
              <w:right w:val="nil"/>
            </w:tcBorders>
            <w:shd w:val="clear" w:color="auto" w:fill="auto"/>
            <w:noWrap/>
            <w:vAlign w:val="bottom"/>
            <w:hideMark/>
          </w:tcPr>
          <w:p w14:paraId="71D96638" w14:textId="02510345" w:rsidR="00081C86" w:rsidRPr="00081C86" w:rsidRDefault="00081C86" w:rsidP="00302C92">
            <w:pPr>
              <w:spacing w:after="0" w:line="240" w:lineRule="auto"/>
              <w:jc w:val="right"/>
              <w:rPr>
                <w:rFonts w:ascii="Arial" w:hAnsi="Arial" w:cs="Arial"/>
                <w:i/>
                <w:iCs/>
                <w:color w:val="000000"/>
                <w:sz w:val="16"/>
                <w:szCs w:val="16"/>
              </w:rPr>
            </w:pPr>
            <w:r w:rsidRPr="00081C86">
              <w:rPr>
                <w:rFonts w:ascii="Arial" w:hAnsi="Arial" w:cs="Arial"/>
                <w:i/>
                <w:iCs/>
                <w:color w:val="000000"/>
                <w:sz w:val="16"/>
                <w:szCs w:val="16"/>
              </w:rPr>
              <w:t>6,614</w:t>
            </w:r>
          </w:p>
        </w:tc>
        <w:tc>
          <w:tcPr>
            <w:tcW w:w="1035" w:type="dxa"/>
            <w:tcBorders>
              <w:top w:val="single" w:sz="4" w:space="0" w:color="000000"/>
              <w:left w:val="nil"/>
              <w:bottom w:val="nil"/>
              <w:right w:val="nil"/>
            </w:tcBorders>
            <w:shd w:val="clear" w:color="auto" w:fill="auto"/>
            <w:noWrap/>
            <w:vAlign w:val="bottom"/>
            <w:hideMark/>
          </w:tcPr>
          <w:p w14:paraId="3C3378FE" w14:textId="78F71088" w:rsidR="00081C86" w:rsidRPr="00081C86" w:rsidRDefault="00081C86" w:rsidP="00302C92">
            <w:pPr>
              <w:spacing w:after="0" w:line="240" w:lineRule="auto"/>
              <w:jc w:val="right"/>
              <w:rPr>
                <w:rFonts w:ascii="Arial" w:hAnsi="Arial" w:cs="Arial"/>
                <w:i/>
                <w:iCs/>
                <w:color w:val="000000"/>
                <w:sz w:val="16"/>
                <w:szCs w:val="16"/>
              </w:rPr>
            </w:pPr>
            <w:r w:rsidRPr="00081C86">
              <w:rPr>
                <w:rFonts w:ascii="Arial" w:hAnsi="Arial" w:cs="Arial"/>
                <w:i/>
                <w:iCs/>
                <w:color w:val="000000"/>
                <w:sz w:val="16"/>
                <w:szCs w:val="16"/>
              </w:rPr>
              <w:t>4,420</w:t>
            </w:r>
          </w:p>
        </w:tc>
        <w:tc>
          <w:tcPr>
            <w:tcW w:w="940" w:type="dxa"/>
            <w:tcBorders>
              <w:top w:val="single" w:sz="4" w:space="0" w:color="000000"/>
              <w:left w:val="nil"/>
              <w:bottom w:val="nil"/>
              <w:right w:val="nil"/>
            </w:tcBorders>
            <w:shd w:val="clear" w:color="auto" w:fill="auto"/>
            <w:noWrap/>
            <w:vAlign w:val="bottom"/>
            <w:hideMark/>
          </w:tcPr>
          <w:p w14:paraId="1DB56B7D" w14:textId="39422087" w:rsidR="00081C86" w:rsidRPr="00081C86" w:rsidRDefault="00081C86" w:rsidP="00302C92">
            <w:pPr>
              <w:spacing w:after="0" w:line="240" w:lineRule="auto"/>
              <w:jc w:val="right"/>
              <w:rPr>
                <w:rFonts w:ascii="Arial" w:hAnsi="Arial" w:cs="Arial"/>
                <w:i/>
                <w:iCs/>
                <w:color w:val="000000"/>
                <w:sz w:val="16"/>
                <w:szCs w:val="16"/>
              </w:rPr>
            </w:pPr>
            <w:r w:rsidRPr="00081C86">
              <w:rPr>
                <w:rFonts w:ascii="Arial" w:hAnsi="Arial" w:cs="Arial"/>
                <w:i/>
                <w:iCs/>
                <w:color w:val="000000"/>
                <w:sz w:val="16"/>
                <w:szCs w:val="16"/>
              </w:rPr>
              <w:t>350</w:t>
            </w:r>
          </w:p>
        </w:tc>
      </w:tr>
      <w:tr w:rsidR="00081C86" w:rsidRPr="00081C86" w14:paraId="47C449EC" w14:textId="77777777" w:rsidTr="0055799D">
        <w:trPr>
          <w:trHeight w:val="204"/>
        </w:trPr>
        <w:tc>
          <w:tcPr>
            <w:tcW w:w="2835" w:type="dxa"/>
            <w:tcBorders>
              <w:top w:val="nil"/>
              <w:left w:val="nil"/>
              <w:bottom w:val="nil"/>
              <w:right w:val="nil"/>
            </w:tcBorders>
            <w:shd w:val="clear" w:color="auto" w:fill="auto"/>
            <w:noWrap/>
            <w:vAlign w:val="center"/>
            <w:hideMark/>
          </w:tcPr>
          <w:p w14:paraId="37F933AA" w14:textId="77777777" w:rsidR="00081C86" w:rsidRPr="00081C86" w:rsidRDefault="00081C86" w:rsidP="00081C86">
            <w:pPr>
              <w:spacing w:after="0" w:line="240" w:lineRule="auto"/>
              <w:ind w:left="113"/>
              <w:jc w:val="left"/>
              <w:rPr>
                <w:rFonts w:ascii="Arial" w:hAnsi="Arial" w:cs="Arial"/>
                <w:color w:val="000000"/>
                <w:sz w:val="16"/>
                <w:szCs w:val="16"/>
              </w:rPr>
            </w:pPr>
            <w:r w:rsidRPr="00081C86">
              <w:rPr>
                <w:rFonts w:ascii="Arial" w:hAnsi="Arial" w:cs="Arial"/>
                <w:color w:val="000000"/>
                <w:sz w:val="16"/>
                <w:szCs w:val="16"/>
              </w:rPr>
              <w:t>Cash to Official Public Account for:</w:t>
            </w:r>
          </w:p>
        </w:tc>
        <w:tc>
          <w:tcPr>
            <w:tcW w:w="940" w:type="dxa"/>
            <w:tcBorders>
              <w:top w:val="single" w:sz="4" w:space="0" w:color="auto"/>
              <w:left w:val="nil"/>
              <w:bottom w:val="nil"/>
              <w:right w:val="nil"/>
            </w:tcBorders>
            <w:shd w:val="clear" w:color="auto" w:fill="auto"/>
            <w:noWrap/>
            <w:vAlign w:val="bottom"/>
            <w:hideMark/>
          </w:tcPr>
          <w:p w14:paraId="6E3FD0EE" w14:textId="38E6B3D5" w:rsidR="00081C86" w:rsidRPr="00081C86" w:rsidRDefault="00081C86" w:rsidP="00302C92">
            <w:pPr>
              <w:spacing w:after="0" w:line="240" w:lineRule="auto"/>
              <w:jc w:val="right"/>
              <w:rPr>
                <w:rFonts w:ascii="Arial" w:hAnsi="Arial" w:cs="Arial"/>
                <w:color w:val="000000"/>
                <w:sz w:val="16"/>
                <w:szCs w:val="16"/>
              </w:rPr>
            </w:pPr>
          </w:p>
        </w:tc>
        <w:tc>
          <w:tcPr>
            <w:tcW w:w="940" w:type="dxa"/>
            <w:tcBorders>
              <w:top w:val="single" w:sz="4" w:space="0" w:color="auto"/>
              <w:left w:val="nil"/>
              <w:bottom w:val="nil"/>
              <w:right w:val="nil"/>
            </w:tcBorders>
            <w:shd w:val="clear" w:color="000000" w:fill="E6E6E6"/>
            <w:noWrap/>
            <w:vAlign w:val="bottom"/>
            <w:hideMark/>
          </w:tcPr>
          <w:p w14:paraId="213F21F0" w14:textId="058DD596" w:rsidR="00081C86" w:rsidRPr="00081C86" w:rsidRDefault="00081C86" w:rsidP="00302C92">
            <w:pPr>
              <w:spacing w:after="0" w:line="240" w:lineRule="auto"/>
              <w:jc w:val="right"/>
              <w:rPr>
                <w:rFonts w:ascii="Arial" w:hAnsi="Arial" w:cs="Arial"/>
                <w:color w:val="000000"/>
                <w:sz w:val="16"/>
                <w:szCs w:val="16"/>
              </w:rPr>
            </w:pPr>
          </w:p>
        </w:tc>
        <w:tc>
          <w:tcPr>
            <w:tcW w:w="940" w:type="dxa"/>
            <w:tcBorders>
              <w:top w:val="single" w:sz="4" w:space="0" w:color="auto"/>
              <w:left w:val="nil"/>
              <w:bottom w:val="nil"/>
              <w:right w:val="nil"/>
            </w:tcBorders>
            <w:shd w:val="clear" w:color="auto" w:fill="auto"/>
            <w:noWrap/>
            <w:vAlign w:val="bottom"/>
            <w:hideMark/>
          </w:tcPr>
          <w:p w14:paraId="0E05C82F" w14:textId="2D47A1DA" w:rsidR="00081C86" w:rsidRPr="00081C86" w:rsidRDefault="00081C86" w:rsidP="00302C92">
            <w:pPr>
              <w:spacing w:after="0" w:line="240" w:lineRule="auto"/>
              <w:jc w:val="right"/>
              <w:rPr>
                <w:rFonts w:ascii="Arial" w:hAnsi="Arial" w:cs="Arial"/>
                <w:color w:val="000000"/>
                <w:sz w:val="16"/>
                <w:szCs w:val="16"/>
              </w:rPr>
            </w:pPr>
          </w:p>
        </w:tc>
        <w:tc>
          <w:tcPr>
            <w:tcW w:w="1035" w:type="dxa"/>
            <w:tcBorders>
              <w:top w:val="single" w:sz="4" w:space="0" w:color="auto"/>
              <w:left w:val="nil"/>
              <w:bottom w:val="nil"/>
              <w:right w:val="nil"/>
            </w:tcBorders>
            <w:shd w:val="clear" w:color="auto" w:fill="auto"/>
            <w:noWrap/>
            <w:vAlign w:val="bottom"/>
            <w:hideMark/>
          </w:tcPr>
          <w:p w14:paraId="0EDD7E4E" w14:textId="3018F12D" w:rsidR="00081C86" w:rsidRPr="00081C86" w:rsidRDefault="00081C86" w:rsidP="00302C92">
            <w:pPr>
              <w:spacing w:after="0" w:line="240" w:lineRule="auto"/>
              <w:jc w:val="right"/>
              <w:rPr>
                <w:rFonts w:ascii="Arial" w:hAnsi="Arial" w:cs="Arial"/>
                <w:color w:val="000000"/>
                <w:sz w:val="16"/>
                <w:szCs w:val="16"/>
              </w:rPr>
            </w:pPr>
          </w:p>
        </w:tc>
        <w:tc>
          <w:tcPr>
            <w:tcW w:w="940" w:type="dxa"/>
            <w:tcBorders>
              <w:top w:val="single" w:sz="4" w:space="0" w:color="auto"/>
              <w:left w:val="nil"/>
              <w:bottom w:val="nil"/>
              <w:right w:val="nil"/>
            </w:tcBorders>
            <w:shd w:val="clear" w:color="auto" w:fill="auto"/>
            <w:noWrap/>
            <w:vAlign w:val="bottom"/>
            <w:hideMark/>
          </w:tcPr>
          <w:p w14:paraId="624337E5" w14:textId="47E9220A" w:rsidR="00081C86" w:rsidRPr="00081C86" w:rsidRDefault="00081C86" w:rsidP="00302C92">
            <w:pPr>
              <w:spacing w:after="0" w:line="240" w:lineRule="auto"/>
              <w:jc w:val="right"/>
              <w:rPr>
                <w:rFonts w:ascii="Arial" w:hAnsi="Arial" w:cs="Arial"/>
                <w:color w:val="000000"/>
                <w:sz w:val="16"/>
                <w:szCs w:val="16"/>
              </w:rPr>
            </w:pPr>
          </w:p>
        </w:tc>
      </w:tr>
      <w:tr w:rsidR="00081C86" w:rsidRPr="00081C86" w14:paraId="0318523C" w14:textId="77777777" w:rsidTr="0055799D">
        <w:trPr>
          <w:trHeight w:val="204"/>
        </w:trPr>
        <w:tc>
          <w:tcPr>
            <w:tcW w:w="2835" w:type="dxa"/>
            <w:tcBorders>
              <w:top w:val="nil"/>
              <w:left w:val="nil"/>
              <w:bottom w:val="nil"/>
              <w:right w:val="nil"/>
            </w:tcBorders>
            <w:shd w:val="clear" w:color="auto" w:fill="auto"/>
            <w:noWrap/>
            <w:vAlign w:val="center"/>
            <w:hideMark/>
          </w:tcPr>
          <w:p w14:paraId="5054B4A1" w14:textId="77777777" w:rsidR="00081C86" w:rsidRPr="00081C86" w:rsidRDefault="00081C86" w:rsidP="00302C92">
            <w:pPr>
              <w:spacing w:after="0" w:line="240" w:lineRule="auto"/>
              <w:ind w:left="227"/>
              <w:jc w:val="left"/>
              <w:rPr>
                <w:rFonts w:ascii="Arial" w:hAnsi="Arial" w:cs="Arial"/>
                <w:color w:val="000000"/>
                <w:sz w:val="16"/>
                <w:szCs w:val="16"/>
              </w:rPr>
            </w:pPr>
            <w:r w:rsidRPr="00081C86">
              <w:rPr>
                <w:rFonts w:ascii="Arial" w:hAnsi="Arial" w:cs="Arial"/>
                <w:color w:val="000000"/>
                <w:sz w:val="16"/>
                <w:szCs w:val="16"/>
              </w:rPr>
              <w:t>- Appropriations</w:t>
            </w:r>
          </w:p>
        </w:tc>
        <w:tc>
          <w:tcPr>
            <w:tcW w:w="940" w:type="dxa"/>
            <w:tcBorders>
              <w:top w:val="nil"/>
              <w:left w:val="nil"/>
              <w:bottom w:val="nil"/>
              <w:right w:val="nil"/>
            </w:tcBorders>
            <w:shd w:val="clear" w:color="auto" w:fill="auto"/>
            <w:noWrap/>
            <w:vAlign w:val="bottom"/>
            <w:hideMark/>
          </w:tcPr>
          <w:p w14:paraId="5CA272C8" w14:textId="7777777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(687,219)</w:t>
            </w:r>
          </w:p>
        </w:tc>
        <w:tc>
          <w:tcPr>
            <w:tcW w:w="940" w:type="dxa"/>
            <w:tcBorders>
              <w:top w:val="nil"/>
              <w:left w:val="nil"/>
              <w:bottom w:val="nil"/>
              <w:right w:val="nil"/>
            </w:tcBorders>
            <w:shd w:val="clear" w:color="000000" w:fill="E6E6E6"/>
            <w:noWrap/>
            <w:vAlign w:val="bottom"/>
            <w:hideMark/>
          </w:tcPr>
          <w:p w14:paraId="5F1A4AE1" w14:textId="7777777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(580,506)</w:t>
            </w:r>
          </w:p>
        </w:tc>
        <w:tc>
          <w:tcPr>
            <w:tcW w:w="940" w:type="dxa"/>
            <w:tcBorders>
              <w:top w:val="nil"/>
              <w:left w:val="nil"/>
              <w:bottom w:val="nil"/>
              <w:right w:val="nil"/>
            </w:tcBorders>
            <w:shd w:val="clear" w:color="auto" w:fill="auto"/>
            <w:noWrap/>
            <w:vAlign w:val="bottom"/>
            <w:hideMark/>
          </w:tcPr>
          <w:p w14:paraId="0EB78CFB" w14:textId="7777777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(683,231)</w:t>
            </w:r>
          </w:p>
        </w:tc>
        <w:tc>
          <w:tcPr>
            <w:tcW w:w="1035" w:type="dxa"/>
            <w:tcBorders>
              <w:top w:val="nil"/>
              <w:left w:val="nil"/>
              <w:bottom w:val="nil"/>
              <w:right w:val="nil"/>
            </w:tcBorders>
            <w:shd w:val="clear" w:color="auto" w:fill="auto"/>
            <w:noWrap/>
            <w:vAlign w:val="bottom"/>
            <w:hideMark/>
          </w:tcPr>
          <w:p w14:paraId="32A83A99" w14:textId="7777777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(2,797,280)</w:t>
            </w:r>
          </w:p>
        </w:tc>
        <w:tc>
          <w:tcPr>
            <w:tcW w:w="940" w:type="dxa"/>
            <w:tcBorders>
              <w:top w:val="nil"/>
              <w:left w:val="nil"/>
              <w:bottom w:val="nil"/>
              <w:right w:val="nil"/>
            </w:tcBorders>
            <w:shd w:val="clear" w:color="auto" w:fill="auto"/>
            <w:noWrap/>
            <w:vAlign w:val="bottom"/>
            <w:hideMark/>
          </w:tcPr>
          <w:p w14:paraId="7ADCC902" w14:textId="7777777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(695,379)</w:t>
            </w:r>
          </w:p>
        </w:tc>
      </w:tr>
      <w:tr w:rsidR="00081C86" w:rsidRPr="00081C86" w14:paraId="4B6D120F" w14:textId="77777777" w:rsidTr="0055799D">
        <w:trPr>
          <w:trHeight w:val="204"/>
        </w:trPr>
        <w:tc>
          <w:tcPr>
            <w:tcW w:w="2835" w:type="dxa"/>
            <w:tcBorders>
              <w:top w:val="nil"/>
              <w:left w:val="nil"/>
              <w:bottom w:val="nil"/>
              <w:right w:val="nil"/>
            </w:tcBorders>
            <w:shd w:val="clear" w:color="auto" w:fill="auto"/>
            <w:noWrap/>
            <w:vAlign w:val="center"/>
            <w:hideMark/>
          </w:tcPr>
          <w:p w14:paraId="571768B0" w14:textId="77777777" w:rsidR="00081C86" w:rsidRPr="00081C86" w:rsidRDefault="00081C86" w:rsidP="00302C92">
            <w:pPr>
              <w:spacing w:after="0" w:line="240" w:lineRule="auto"/>
              <w:ind w:left="227"/>
              <w:jc w:val="left"/>
              <w:rPr>
                <w:rFonts w:ascii="Arial" w:hAnsi="Arial" w:cs="Arial"/>
                <w:color w:val="000000"/>
                <w:sz w:val="16"/>
                <w:szCs w:val="16"/>
              </w:rPr>
            </w:pPr>
            <w:r w:rsidRPr="00081C86">
              <w:rPr>
                <w:rFonts w:ascii="Arial" w:hAnsi="Arial" w:cs="Arial"/>
                <w:color w:val="000000"/>
                <w:sz w:val="16"/>
                <w:szCs w:val="16"/>
              </w:rPr>
              <w:t>- Special accounts</w:t>
            </w:r>
          </w:p>
        </w:tc>
        <w:tc>
          <w:tcPr>
            <w:tcW w:w="940" w:type="dxa"/>
            <w:tcBorders>
              <w:top w:val="nil"/>
              <w:left w:val="nil"/>
              <w:bottom w:val="nil"/>
              <w:right w:val="nil"/>
            </w:tcBorders>
            <w:shd w:val="clear" w:color="auto" w:fill="auto"/>
            <w:noWrap/>
            <w:vAlign w:val="bottom"/>
            <w:hideMark/>
          </w:tcPr>
          <w:p w14:paraId="38181E2D" w14:textId="55CBB98A"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w:t>
            </w:r>
          </w:p>
        </w:tc>
        <w:tc>
          <w:tcPr>
            <w:tcW w:w="940" w:type="dxa"/>
            <w:tcBorders>
              <w:top w:val="nil"/>
              <w:left w:val="nil"/>
              <w:bottom w:val="nil"/>
              <w:right w:val="nil"/>
            </w:tcBorders>
            <w:shd w:val="clear" w:color="000000" w:fill="E6E6E6"/>
            <w:noWrap/>
            <w:vAlign w:val="bottom"/>
            <w:hideMark/>
          </w:tcPr>
          <w:p w14:paraId="104A86F5" w14:textId="7777777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c>
          <w:tcPr>
            <w:tcW w:w="940" w:type="dxa"/>
            <w:tcBorders>
              <w:top w:val="nil"/>
              <w:left w:val="nil"/>
              <w:bottom w:val="nil"/>
              <w:right w:val="nil"/>
            </w:tcBorders>
            <w:shd w:val="clear" w:color="auto" w:fill="auto"/>
            <w:noWrap/>
            <w:vAlign w:val="bottom"/>
            <w:hideMark/>
          </w:tcPr>
          <w:p w14:paraId="162819FB" w14:textId="7777777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c>
          <w:tcPr>
            <w:tcW w:w="1035" w:type="dxa"/>
            <w:tcBorders>
              <w:top w:val="nil"/>
              <w:left w:val="nil"/>
              <w:bottom w:val="nil"/>
              <w:right w:val="nil"/>
            </w:tcBorders>
            <w:shd w:val="clear" w:color="auto" w:fill="auto"/>
            <w:noWrap/>
            <w:vAlign w:val="bottom"/>
            <w:hideMark/>
          </w:tcPr>
          <w:p w14:paraId="1B7975C5" w14:textId="7777777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c>
          <w:tcPr>
            <w:tcW w:w="940" w:type="dxa"/>
            <w:tcBorders>
              <w:top w:val="nil"/>
              <w:left w:val="nil"/>
              <w:bottom w:val="nil"/>
              <w:right w:val="nil"/>
            </w:tcBorders>
            <w:shd w:val="clear" w:color="auto" w:fill="auto"/>
            <w:noWrap/>
            <w:vAlign w:val="bottom"/>
            <w:hideMark/>
          </w:tcPr>
          <w:p w14:paraId="1DA7DA44" w14:textId="77777777" w:rsidR="00081C86" w:rsidRPr="00081C86" w:rsidRDefault="00081C86" w:rsidP="00302C92">
            <w:pPr>
              <w:spacing w:after="0" w:line="240" w:lineRule="auto"/>
              <w:jc w:val="right"/>
              <w:rPr>
                <w:rFonts w:ascii="Arial" w:hAnsi="Arial" w:cs="Arial"/>
                <w:color w:val="000000"/>
                <w:sz w:val="16"/>
                <w:szCs w:val="16"/>
              </w:rPr>
            </w:pPr>
            <w:r w:rsidRPr="00081C86">
              <w:rPr>
                <w:rFonts w:ascii="Arial" w:hAnsi="Arial" w:cs="Arial"/>
                <w:color w:val="000000"/>
                <w:sz w:val="16"/>
                <w:szCs w:val="16"/>
              </w:rPr>
              <w:t>(50)</w:t>
            </w:r>
          </w:p>
        </w:tc>
      </w:tr>
      <w:tr w:rsidR="00081C86" w:rsidRPr="000F4BC3" w14:paraId="085D0A6A" w14:textId="77777777" w:rsidTr="0055799D">
        <w:trPr>
          <w:trHeight w:val="204"/>
        </w:trPr>
        <w:tc>
          <w:tcPr>
            <w:tcW w:w="2835" w:type="dxa"/>
            <w:tcBorders>
              <w:top w:val="nil"/>
              <w:left w:val="nil"/>
              <w:bottom w:val="nil"/>
              <w:right w:val="nil"/>
            </w:tcBorders>
            <w:shd w:val="clear" w:color="auto" w:fill="auto"/>
            <w:vAlign w:val="center"/>
            <w:hideMark/>
          </w:tcPr>
          <w:p w14:paraId="325A9B7F" w14:textId="77777777" w:rsidR="00081C86" w:rsidRPr="000F4BC3" w:rsidRDefault="00081C86" w:rsidP="00081C86">
            <w:pPr>
              <w:spacing w:after="0" w:line="240" w:lineRule="auto"/>
              <w:ind w:left="113"/>
              <w:jc w:val="left"/>
              <w:rPr>
                <w:rFonts w:ascii="Arial" w:hAnsi="Arial" w:cs="Arial"/>
                <w:color w:val="000000"/>
                <w:sz w:val="16"/>
                <w:szCs w:val="16"/>
              </w:rPr>
            </w:pPr>
            <w:r w:rsidRPr="000F4BC3">
              <w:rPr>
                <w:rFonts w:ascii="Arial" w:hAnsi="Arial" w:cs="Arial"/>
                <w:color w:val="000000"/>
                <w:sz w:val="16"/>
                <w:szCs w:val="16"/>
              </w:rPr>
              <w:t>Total cash to Official Public Account</w:t>
            </w:r>
          </w:p>
        </w:tc>
        <w:tc>
          <w:tcPr>
            <w:tcW w:w="940" w:type="dxa"/>
            <w:tcBorders>
              <w:top w:val="single" w:sz="4" w:space="0" w:color="000000"/>
              <w:left w:val="nil"/>
              <w:bottom w:val="nil"/>
              <w:right w:val="nil"/>
            </w:tcBorders>
            <w:shd w:val="clear" w:color="auto" w:fill="auto"/>
            <w:noWrap/>
            <w:vAlign w:val="bottom"/>
            <w:hideMark/>
          </w:tcPr>
          <w:p w14:paraId="590C2D01" w14:textId="77777777" w:rsidR="00081C86" w:rsidRPr="000F4BC3" w:rsidRDefault="00081C86" w:rsidP="00302C92">
            <w:pPr>
              <w:spacing w:after="0" w:line="240" w:lineRule="auto"/>
              <w:jc w:val="right"/>
              <w:rPr>
                <w:rFonts w:ascii="Arial" w:hAnsi="Arial" w:cs="Arial"/>
                <w:iCs/>
                <w:color w:val="000000"/>
                <w:sz w:val="16"/>
                <w:szCs w:val="16"/>
              </w:rPr>
            </w:pPr>
            <w:r w:rsidRPr="000F4BC3">
              <w:rPr>
                <w:rFonts w:ascii="Arial" w:hAnsi="Arial" w:cs="Arial"/>
                <w:iCs/>
                <w:color w:val="000000"/>
                <w:sz w:val="16"/>
                <w:szCs w:val="16"/>
              </w:rPr>
              <w:t>(687,219)</w:t>
            </w:r>
          </w:p>
        </w:tc>
        <w:tc>
          <w:tcPr>
            <w:tcW w:w="940" w:type="dxa"/>
            <w:tcBorders>
              <w:top w:val="single" w:sz="4" w:space="0" w:color="000000"/>
              <w:left w:val="nil"/>
              <w:bottom w:val="nil"/>
              <w:right w:val="nil"/>
            </w:tcBorders>
            <w:shd w:val="clear" w:color="000000" w:fill="E6E6E6"/>
            <w:noWrap/>
            <w:vAlign w:val="bottom"/>
            <w:hideMark/>
          </w:tcPr>
          <w:p w14:paraId="43275F59" w14:textId="77777777" w:rsidR="00081C86" w:rsidRPr="000F4BC3" w:rsidRDefault="00081C86" w:rsidP="00302C92">
            <w:pPr>
              <w:spacing w:after="0" w:line="240" w:lineRule="auto"/>
              <w:jc w:val="right"/>
              <w:rPr>
                <w:rFonts w:ascii="Arial" w:hAnsi="Arial" w:cs="Arial"/>
                <w:iCs/>
                <w:color w:val="000000"/>
                <w:sz w:val="16"/>
                <w:szCs w:val="16"/>
              </w:rPr>
            </w:pPr>
            <w:r w:rsidRPr="000F4BC3">
              <w:rPr>
                <w:rFonts w:ascii="Arial" w:hAnsi="Arial" w:cs="Arial"/>
                <w:iCs/>
                <w:color w:val="000000"/>
                <w:sz w:val="16"/>
                <w:szCs w:val="16"/>
              </w:rPr>
              <w:t>(580,556)</w:t>
            </w:r>
          </w:p>
        </w:tc>
        <w:tc>
          <w:tcPr>
            <w:tcW w:w="940" w:type="dxa"/>
            <w:tcBorders>
              <w:top w:val="single" w:sz="4" w:space="0" w:color="000000"/>
              <w:left w:val="nil"/>
              <w:bottom w:val="nil"/>
              <w:right w:val="nil"/>
            </w:tcBorders>
            <w:shd w:val="clear" w:color="auto" w:fill="auto"/>
            <w:noWrap/>
            <w:vAlign w:val="bottom"/>
            <w:hideMark/>
          </w:tcPr>
          <w:p w14:paraId="5881A6F5" w14:textId="77777777" w:rsidR="00081C86" w:rsidRPr="000F4BC3" w:rsidRDefault="00081C86" w:rsidP="00302C92">
            <w:pPr>
              <w:spacing w:after="0" w:line="240" w:lineRule="auto"/>
              <w:jc w:val="right"/>
              <w:rPr>
                <w:rFonts w:ascii="Arial" w:hAnsi="Arial" w:cs="Arial"/>
                <w:iCs/>
                <w:color w:val="000000"/>
                <w:sz w:val="16"/>
                <w:szCs w:val="16"/>
              </w:rPr>
            </w:pPr>
            <w:r w:rsidRPr="000F4BC3">
              <w:rPr>
                <w:rFonts w:ascii="Arial" w:hAnsi="Arial" w:cs="Arial"/>
                <w:iCs/>
                <w:color w:val="000000"/>
                <w:sz w:val="16"/>
                <w:szCs w:val="16"/>
              </w:rPr>
              <w:t>(683,281)</w:t>
            </w:r>
          </w:p>
        </w:tc>
        <w:tc>
          <w:tcPr>
            <w:tcW w:w="1035" w:type="dxa"/>
            <w:tcBorders>
              <w:top w:val="single" w:sz="4" w:space="0" w:color="000000"/>
              <w:left w:val="nil"/>
              <w:bottom w:val="nil"/>
              <w:right w:val="nil"/>
            </w:tcBorders>
            <w:shd w:val="clear" w:color="auto" w:fill="auto"/>
            <w:noWrap/>
            <w:vAlign w:val="bottom"/>
            <w:hideMark/>
          </w:tcPr>
          <w:p w14:paraId="00EEE5BE" w14:textId="77777777" w:rsidR="00081C86" w:rsidRPr="000F4BC3" w:rsidRDefault="00081C86" w:rsidP="00302C92">
            <w:pPr>
              <w:spacing w:after="0" w:line="240" w:lineRule="auto"/>
              <w:jc w:val="right"/>
              <w:rPr>
                <w:rFonts w:ascii="Arial" w:hAnsi="Arial" w:cs="Arial"/>
                <w:iCs/>
                <w:color w:val="000000"/>
                <w:sz w:val="16"/>
                <w:szCs w:val="16"/>
              </w:rPr>
            </w:pPr>
            <w:r w:rsidRPr="000F4BC3">
              <w:rPr>
                <w:rFonts w:ascii="Arial" w:hAnsi="Arial" w:cs="Arial"/>
                <w:iCs/>
                <w:color w:val="000000"/>
                <w:sz w:val="16"/>
                <w:szCs w:val="16"/>
              </w:rPr>
              <w:t>(2,797,330)</w:t>
            </w:r>
          </w:p>
        </w:tc>
        <w:tc>
          <w:tcPr>
            <w:tcW w:w="940" w:type="dxa"/>
            <w:tcBorders>
              <w:top w:val="single" w:sz="4" w:space="0" w:color="000000"/>
              <w:left w:val="nil"/>
              <w:bottom w:val="nil"/>
              <w:right w:val="nil"/>
            </w:tcBorders>
            <w:shd w:val="clear" w:color="auto" w:fill="auto"/>
            <w:noWrap/>
            <w:vAlign w:val="bottom"/>
            <w:hideMark/>
          </w:tcPr>
          <w:p w14:paraId="67F04A3E" w14:textId="77777777" w:rsidR="00081C86" w:rsidRPr="000F4BC3" w:rsidRDefault="00081C86" w:rsidP="00302C92">
            <w:pPr>
              <w:spacing w:after="0" w:line="240" w:lineRule="auto"/>
              <w:jc w:val="right"/>
              <w:rPr>
                <w:rFonts w:ascii="Arial" w:hAnsi="Arial" w:cs="Arial"/>
                <w:iCs/>
                <w:color w:val="000000"/>
                <w:sz w:val="16"/>
                <w:szCs w:val="16"/>
              </w:rPr>
            </w:pPr>
            <w:r w:rsidRPr="000F4BC3">
              <w:rPr>
                <w:rFonts w:ascii="Arial" w:hAnsi="Arial" w:cs="Arial"/>
                <w:iCs/>
                <w:color w:val="000000"/>
                <w:sz w:val="16"/>
                <w:szCs w:val="16"/>
              </w:rPr>
              <w:t>(695,429)</w:t>
            </w:r>
          </w:p>
        </w:tc>
      </w:tr>
      <w:tr w:rsidR="00081C86" w:rsidRPr="00081C86" w14:paraId="36C09763" w14:textId="77777777" w:rsidTr="0055799D">
        <w:trPr>
          <w:trHeight w:val="204"/>
        </w:trPr>
        <w:tc>
          <w:tcPr>
            <w:tcW w:w="2835" w:type="dxa"/>
            <w:tcBorders>
              <w:top w:val="nil"/>
              <w:left w:val="nil"/>
              <w:bottom w:val="single" w:sz="4" w:space="0" w:color="auto"/>
              <w:right w:val="nil"/>
            </w:tcBorders>
            <w:shd w:val="clear" w:color="auto" w:fill="auto"/>
            <w:vAlign w:val="center"/>
            <w:hideMark/>
          </w:tcPr>
          <w:p w14:paraId="746533EF" w14:textId="6EA14985" w:rsidR="00081C86" w:rsidRPr="00081C86" w:rsidRDefault="00081C86" w:rsidP="00302C92">
            <w:pPr>
              <w:spacing w:after="0" w:line="240" w:lineRule="auto"/>
              <w:jc w:val="left"/>
              <w:rPr>
                <w:rFonts w:ascii="Arial" w:hAnsi="Arial" w:cs="Arial"/>
                <w:b/>
                <w:bCs/>
                <w:color w:val="000000"/>
                <w:sz w:val="16"/>
                <w:szCs w:val="16"/>
              </w:rPr>
            </w:pPr>
            <w:r w:rsidRPr="00081C86">
              <w:rPr>
                <w:rFonts w:ascii="Arial" w:hAnsi="Arial" w:cs="Arial"/>
                <w:b/>
                <w:bCs/>
                <w:color w:val="000000"/>
                <w:sz w:val="16"/>
                <w:szCs w:val="16"/>
              </w:rPr>
              <w:t>Cash and cash equivalents at</w:t>
            </w:r>
            <w:r w:rsidR="00302C92">
              <w:rPr>
                <w:rFonts w:ascii="Arial" w:hAnsi="Arial" w:cs="Arial"/>
                <w:b/>
                <w:bCs/>
                <w:color w:val="000000"/>
                <w:sz w:val="16"/>
                <w:szCs w:val="16"/>
              </w:rPr>
              <w:t xml:space="preserve"> </w:t>
            </w:r>
            <w:r w:rsidRPr="00081C86">
              <w:rPr>
                <w:rFonts w:ascii="Arial" w:hAnsi="Arial" w:cs="Arial"/>
                <w:b/>
                <w:bCs/>
                <w:color w:val="000000"/>
                <w:sz w:val="16"/>
                <w:szCs w:val="16"/>
              </w:rPr>
              <w:t>end of reporting period</w:t>
            </w:r>
          </w:p>
        </w:tc>
        <w:tc>
          <w:tcPr>
            <w:tcW w:w="940" w:type="dxa"/>
            <w:tcBorders>
              <w:top w:val="single" w:sz="4" w:space="0" w:color="000000"/>
              <w:left w:val="nil"/>
              <w:bottom w:val="single" w:sz="4" w:space="0" w:color="auto"/>
              <w:right w:val="nil"/>
            </w:tcBorders>
            <w:shd w:val="clear" w:color="auto" w:fill="auto"/>
            <w:noWrap/>
            <w:vAlign w:val="bottom"/>
            <w:hideMark/>
          </w:tcPr>
          <w:p w14:paraId="69865733" w14:textId="0399D028" w:rsidR="00081C86" w:rsidRPr="00081C86" w:rsidRDefault="00081C86" w:rsidP="00302C92">
            <w:pPr>
              <w:spacing w:after="0" w:line="240" w:lineRule="auto"/>
              <w:jc w:val="right"/>
              <w:rPr>
                <w:rFonts w:ascii="Arial" w:hAnsi="Arial" w:cs="Arial"/>
                <w:b/>
                <w:bCs/>
                <w:color w:val="000000"/>
                <w:sz w:val="16"/>
                <w:szCs w:val="16"/>
              </w:rPr>
            </w:pPr>
            <w:r w:rsidRPr="00081C86">
              <w:rPr>
                <w:rFonts w:ascii="Arial" w:hAnsi="Arial" w:cs="Arial"/>
                <w:b/>
                <w:bCs/>
                <w:color w:val="000000"/>
                <w:sz w:val="16"/>
                <w:szCs w:val="16"/>
              </w:rPr>
              <w:t>815</w:t>
            </w:r>
          </w:p>
        </w:tc>
        <w:tc>
          <w:tcPr>
            <w:tcW w:w="940" w:type="dxa"/>
            <w:tcBorders>
              <w:top w:val="single" w:sz="4" w:space="0" w:color="000000"/>
              <w:left w:val="nil"/>
              <w:bottom w:val="single" w:sz="4" w:space="0" w:color="auto"/>
              <w:right w:val="nil"/>
            </w:tcBorders>
            <w:shd w:val="clear" w:color="000000" w:fill="E6E6E6"/>
            <w:noWrap/>
            <w:vAlign w:val="bottom"/>
            <w:hideMark/>
          </w:tcPr>
          <w:p w14:paraId="61CC37A3" w14:textId="3ED34D06" w:rsidR="00081C86" w:rsidRPr="00081C86" w:rsidRDefault="00081C86" w:rsidP="00302C92">
            <w:pPr>
              <w:spacing w:after="0" w:line="240" w:lineRule="auto"/>
              <w:jc w:val="right"/>
              <w:rPr>
                <w:rFonts w:ascii="Arial" w:hAnsi="Arial" w:cs="Arial"/>
                <w:b/>
                <w:bCs/>
                <w:color w:val="000000"/>
                <w:sz w:val="16"/>
                <w:szCs w:val="16"/>
              </w:rPr>
            </w:pPr>
            <w:r w:rsidRPr="00081C86">
              <w:rPr>
                <w:rFonts w:ascii="Arial" w:hAnsi="Arial" w:cs="Arial"/>
                <w:b/>
                <w:bCs/>
                <w:color w:val="000000"/>
                <w:sz w:val="16"/>
                <w:szCs w:val="16"/>
              </w:rPr>
              <w:t>815</w:t>
            </w:r>
          </w:p>
        </w:tc>
        <w:tc>
          <w:tcPr>
            <w:tcW w:w="940" w:type="dxa"/>
            <w:tcBorders>
              <w:top w:val="single" w:sz="4" w:space="0" w:color="000000"/>
              <w:left w:val="nil"/>
              <w:bottom w:val="single" w:sz="4" w:space="0" w:color="auto"/>
              <w:right w:val="nil"/>
            </w:tcBorders>
            <w:shd w:val="clear" w:color="auto" w:fill="auto"/>
            <w:noWrap/>
            <w:vAlign w:val="bottom"/>
            <w:hideMark/>
          </w:tcPr>
          <w:p w14:paraId="727F4892" w14:textId="4B3EA563" w:rsidR="00081C86" w:rsidRPr="00081C86" w:rsidRDefault="00081C86" w:rsidP="00302C92">
            <w:pPr>
              <w:spacing w:after="0" w:line="240" w:lineRule="auto"/>
              <w:jc w:val="right"/>
              <w:rPr>
                <w:rFonts w:ascii="Arial" w:hAnsi="Arial" w:cs="Arial"/>
                <w:b/>
                <w:bCs/>
                <w:color w:val="000000"/>
                <w:sz w:val="16"/>
                <w:szCs w:val="16"/>
              </w:rPr>
            </w:pPr>
            <w:r w:rsidRPr="00081C86">
              <w:rPr>
                <w:rFonts w:ascii="Arial" w:hAnsi="Arial" w:cs="Arial"/>
                <w:b/>
                <w:bCs/>
                <w:color w:val="000000"/>
                <w:sz w:val="16"/>
                <w:szCs w:val="16"/>
              </w:rPr>
              <w:t>815</w:t>
            </w:r>
          </w:p>
        </w:tc>
        <w:tc>
          <w:tcPr>
            <w:tcW w:w="1035" w:type="dxa"/>
            <w:tcBorders>
              <w:top w:val="single" w:sz="4" w:space="0" w:color="000000"/>
              <w:left w:val="nil"/>
              <w:bottom w:val="single" w:sz="4" w:space="0" w:color="auto"/>
              <w:right w:val="nil"/>
            </w:tcBorders>
            <w:shd w:val="clear" w:color="auto" w:fill="auto"/>
            <w:noWrap/>
            <w:vAlign w:val="bottom"/>
            <w:hideMark/>
          </w:tcPr>
          <w:p w14:paraId="180FF982" w14:textId="3D5BA85F" w:rsidR="00081C86" w:rsidRPr="00081C86" w:rsidRDefault="00081C86" w:rsidP="00302C92">
            <w:pPr>
              <w:spacing w:after="0" w:line="240" w:lineRule="auto"/>
              <w:jc w:val="right"/>
              <w:rPr>
                <w:rFonts w:ascii="Arial" w:hAnsi="Arial" w:cs="Arial"/>
                <w:b/>
                <w:bCs/>
                <w:color w:val="000000"/>
                <w:sz w:val="16"/>
                <w:szCs w:val="16"/>
              </w:rPr>
            </w:pPr>
            <w:r w:rsidRPr="00081C86">
              <w:rPr>
                <w:rFonts w:ascii="Arial" w:hAnsi="Arial" w:cs="Arial"/>
                <w:b/>
                <w:bCs/>
                <w:color w:val="000000"/>
                <w:sz w:val="16"/>
                <w:szCs w:val="16"/>
              </w:rPr>
              <w:t>815</w:t>
            </w:r>
          </w:p>
        </w:tc>
        <w:tc>
          <w:tcPr>
            <w:tcW w:w="940" w:type="dxa"/>
            <w:tcBorders>
              <w:top w:val="single" w:sz="4" w:space="0" w:color="000000"/>
              <w:left w:val="nil"/>
              <w:bottom w:val="single" w:sz="4" w:space="0" w:color="auto"/>
              <w:right w:val="nil"/>
            </w:tcBorders>
            <w:shd w:val="clear" w:color="auto" w:fill="auto"/>
            <w:noWrap/>
            <w:vAlign w:val="bottom"/>
            <w:hideMark/>
          </w:tcPr>
          <w:p w14:paraId="37E3BC6E" w14:textId="00572373" w:rsidR="00081C86" w:rsidRPr="00081C86" w:rsidRDefault="00081C86" w:rsidP="00302C92">
            <w:pPr>
              <w:spacing w:after="0" w:line="240" w:lineRule="auto"/>
              <w:jc w:val="right"/>
              <w:rPr>
                <w:rFonts w:ascii="Arial" w:hAnsi="Arial" w:cs="Arial"/>
                <w:b/>
                <w:bCs/>
                <w:color w:val="000000"/>
                <w:sz w:val="16"/>
                <w:szCs w:val="16"/>
              </w:rPr>
            </w:pPr>
            <w:r w:rsidRPr="00081C86">
              <w:rPr>
                <w:rFonts w:ascii="Arial" w:hAnsi="Arial" w:cs="Arial"/>
                <w:b/>
                <w:bCs/>
                <w:color w:val="000000"/>
                <w:sz w:val="16"/>
                <w:szCs w:val="16"/>
              </w:rPr>
              <w:t>815</w:t>
            </w:r>
          </w:p>
        </w:tc>
      </w:tr>
    </w:tbl>
    <w:p w14:paraId="4A3337DE" w14:textId="77777777" w:rsidR="005A6F51" w:rsidRPr="005A6F51" w:rsidRDefault="005A6F51" w:rsidP="00C61C0C">
      <w:pPr>
        <w:tabs>
          <w:tab w:val="left" w:pos="284"/>
        </w:tabs>
        <w:spacing w:before="60" w:after="0" w:line="240" w:lineRule="auto"/>
        <w:jc w:val="left"/>
        <w:rPr>
          <w:rFonts w:ascii="Arial" w:hAnsi="Arial"/>
          <w:sz w:val="16"/>
        </w:rPr>
      </w:pPr>
      <w:r w:rsidRPr="005A6F51">
        <w:rPr>
          <w:rFonts w:ascii="Arial" w:hAnsi="Arial"/>
          <w:sz w:val="16"/>
        </w:rPr>
        <w:t>Prepared on Australian Accounting Standards basis</w:t>
      </w:r>
    </w:p>
    <w:p w14:paraId="52155121" w14:textId="77777777" w:rsidR="00F3575C" w:rsidRPr="00F3575C" w:rsidRDefault="00F3575C" w:rsidP="00C61C0C">
      <w:pPr>
        <w:numPr>
          <w:ilvl w:val="0"/>
          <w:numId w:val="38"/>
        </w:numPr>
        <w:spacing w:after="0" w:line="240" w:lineRule="auto"/>
        <w:ind w:left="284" w:hanging="284"/>
        <w:jc w:val="left"/>
        <w:rPr>
          <w:rFonts w:ascii="Arial" w:hAnsi="Arial" w:cs="Arial"/>
          <w:sz w:val="16"/>
        </w:rPr>
      </w:pPr>
      <w:r w:rsidRPr="00F3575C">
        <w:rPr>
          <w:rFonts w:ascii="Arial" w:hAnsi="Arial" w:cs="Arial"/>
          <w:sz w:val="16"/>
        </w:rPr>
        <w:t xml:space="preserve">Approximately $130m per annum relates to sale of the 26GHz spectrum, reflecting the accounting treatment under AASB 16 Leases. The winning bidders pay a premium to the auction price to make five annual cash instalments. The first instalment was paid in June 2021, the second instalment is expected to be made by 1st August 2022 and the remaining three instalments are expected annually by 1st August in each relevant year. </w:t>
      </w:r>
    </w:p>
    <w:p w14:paraId="16D63A7B" w14:textId="2476E538" w:rsidR="00F3575C" w:rsidRPr="00F3575C" w:rsidRDefault="00F3575C" w:rsidP="00C61C0C">
      <w:pPr>
        <w:numPr>
          <w:ilvl w:val="0"/>
          <w:numId w:val="38"/>
        </w:numPr>
        <w:tabs>
          <w:tab w:val="num" w:pos="284"/>
        </w:tabs>
        <w:spacing w:after="0" w:line="240" w:lineRule="auto"/>
        <w:ind w:left="284" w:hanging="284"/>
        <w:jc w:val="left"/>
        <w:rPr>
          <w:rFonts w:ascii="Arial" w:hAnsi="Arial" w:cs="Arial"/>
          <w:sz w:val="16"/>
        </w:rPr>
      </w:pPr>
      <w:r w:rsidRPr="00F3575C">
        <w:rPr>
          <w:rFonts w:ascii="Arial" w:hAnsi="Arial" w:cs="Arial"/>
          <w:sz w:val="16"/>
        </w:rPr>
        <w:t>The significant increase in 2023-24 relates to the sale of the 850/900MHz spectrum. The winning bidders are expected to make a full payment of the auction price ahead of the commence</w:t>
      </w:r>
      <w:r w:rsidR="00466231">
        <w:rPr>
          <w:rFonts w:ascii="Arial" w:hAnsi="Arial" w:cs="Arial"/>
          <w:sz w:val="16"/>
        </w:rPr>
        <w:t>ment</w:t>
      </w:r>
      <w:r w:rsidRPr="00F3575C">
        <w:rPr>
          <w:rFonts w:ascii="Arial" w:hAnsi="Arial" w:cs="Arial"/>
          <w:sz w:val="16"/>
        </w:rPr>
        <w:t xml:space="preserve"> of the licence.</w:t>
      </w:r>
    </w:p>
    <w:p w14:paraId="2CD2D137" w14:textId="77777777" w:rsidR="00B86D56" w:rsidRDefault="00B86D56" w:rsidP="00C61C0C">
      <w:pPr>
        <w:tabs>
          <w:tab w:val="left" w:pos="284"/>
        </w:tabs>
        <w:spacing w:after="0" w:line="240" w:lineRule="auto"/>
        <w:jc w:val="left"/>
        <w:rPr>
          <w:i/>
          <w:color w:val="FF0000"/>
          <w:lang w:val="x-none"/>
        </w:rPr>
        <w:sectPr w:rsidR="00B86D56" w:rsidSect="00B86D56">
          <w:footerReference w:type="first" r:id="rId77"/>
          <w:pgSz w:w="11907" w:h="16840" w:code="9"/>
          <w:pgMar w:top="2835" w:right="2098" w:bottom="2466" w:left="2098" w:header="1814" w:footer="1814" w:gutter="0"/>
          <w:cols w:space="720"/>
          <w:titlePg/>
        </w:sectPr>
      </w:pPr>
    </w:p>
    <w:p w14:paraId="3B5AD8C2" w14:textId="77777777" w:rsidR="005928B9" w:rsidRDefault="00C17040" w:rsidP="00801007">
      <w:pPr>
        <w:pStyle w:val="PartHeading-NoTOC"/>
      </w:pPr>
      <w:bookmarkStart w:id="404" w:name="_Toc531095261"/>
      <w:r>
        <w:lastRenderedPageBreak/>
        <w:t>C</w:t>
      </w:r>
      <w:r w:rsidR="00BD2516">
        <w:t xml:space="preserve">ivil Aviation Safety Authority </w:t>
      </w:r>
    </w:p>
    <w:p w14:paraId="4C7D04C4" w14:textId="77777777" w:rsidR="004C0BB1" w:rsidRDefault="004C0BB1" w:rsidP="00801007">
      <w:pPr>
        <w:pStyle w:val="PartHeading-NoTOC"/>
      </w:pPr>
    </w:p>
    <w:p w14:paraId="3C7EFE15" w14:textId="41D2BBD7" w:rsidR="00D9425F" w:rsidRDefault="00BD2516" w:rsidP="00801007">
      <w:pPr>
        <w:pStyle w:val="PartHeading-NoTOC"/>
        <w:sectPr w:rsidR="00D9425F" w:rsidSect="00B86D56">
          <w:headerReference w:type="first" r:id="rId78"/>
          <w:footerReference w:type="first" r:id="rId79"/>
          <w:type w:val="oddPage"/>
          <w:pgSz w:w="11907" w:h="16840" w:code="9"/>
          <w:pgMar w:top="2835" w:right="2098" w:bottom="2466" w:left="2098" w:header="1814" w:footer="1814" w:gutter="0"/>
          <w:cols w:space="720"/>
          <w:vAlign w:val="center"/>
          <w:titlePg/>
        </w:sectPr>
      </w:pPr>
      <w:r>
        <w:t>Additional Estimates S</w:t>
      </w:r>
      <w:r w:rsidR="00C17040">
        <w:t>tatements</w:t>
      </w:r>
      <w:bookmarkEnd w:id="404"/>
    </w:p>
    <w:p w14:paraId="24BC5DB5" w14:textId="779C2687" w:rsidR="00C17040" w:rsidRDefault="00C17040" w:rsidP="00801007">
      <w:pPr>
        <w:pStyle w:val="PartHeading-NoTOC"/>
      </w:pPr>
    </w:p>
    <w:p w14:paraId="2F11023A" w14:textId="76A5556B" w:rsidR="00C17040" w:rsidRPr="00C17040" w:rsidRDefault="00C17040" w:rsidP="00C17040">
      <w:pPr>
        <w:pStyle w:val="Heading1-NoTOC"/>
        <w:rPr>
          <w:lang w:val="en-US"/>
        </w:rPr>
      </w:pPr>
      <w:r>
        <w:rPr>
          <w:lang w:val="en-US"/>
        </w:rPr>
        <w:t>Civil Aviation Safety Authority</w:t>
      </w:r>
    </w:p>
    <w:p w14:paraId="41493330" w14:textId="74A1225D" w:rsidR="005265C1" w:rsidRDefault="005265C1">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\h \z \t "Heading 2 - TOC CASA,1,Heading 3 CASA,2" </w:instrText>
      </w:r>
      <w:r>
        <w:rPr>
          <w:b w:val="0"/>
        </w:rPr>
        <w:fldChar w:fldCharType="separate"/>
      </w:r>
      <w:hyperlink w:anchor="_Toc93930016" w:history="1">
        <w:r w:rsidRPr="00461192">
          <w:rPr>
            <w:rStyle w:val="Hyperlink"/>
            <w:noProof/>
          </w:rPr>
          <w:t>Section 1: Entity overview and resources</w:t>
        </w:r>
        <w:r>
          <w:rPr>
            <w:noProof/>
            <w:webHidden/>
          </w:rPr>
          <w:tab/>
        </w:r>
        <w:r>
          <w:rPr>
            <w:noProof/>
            <w:webHidden/>
          </w:rPr>
          <w:fldChar w:fldCharType="begin"/>
        </w:r>
        <w:r>
          <w:rPr>
            <w:noProof/>
            <w:webHidden/>
          </w:rPr>
          <w:instrText xml:space="preserve"> PAGEREF _Toc93930016 \h </w:instrText>
        </w:r>
        <w:r>
          <w:rPr>
            <w:noProof/>
            <w:webHidden/>
          </w:rPr>
        </w:r>
        <w:r>
          <w:rPr>
            <w:noProof/>
            <w:webHidden/>
          </w:rPr>
          <w:fldChar w:fldCharType="separate"/>
        </w:r>
        <w:r w:rsidR="003B5862">
          <w:rPr>
            <w:noProof/>
            <w:webHidden/>
          </w:rPr>
          <w:t>103</w:t>
        </w:r>
        <w:r>
          <w:rPr>
            <w:noProof/>
            <w:webHidden/>
          </w:rPr>
          <w:fldChar w:fldCharType="end"/>
        </w:r>
      </w:hyperlink>
    </w:p>
    <w:p w14:paraId="303D88C3" w14:textId="56BAA732" w:rsidR="005265C1" w:rsidRDefault="005616C5">
      <w:pPr>
        <w:pStyle w:val="TOC2"/>
        <w:tabs>
          <w:tab w:val="left" w:pos="660"/>
        </w:tabs>
        <w:rPr>
          <w:rFonts w:asciiTheme="minorHAnsi" w:eastAsiaTheme="minorEastAsia" w:hAnsiTheme="minorHAnsi" w:cstheme="minorBidi"/>
          <w:noProof/>
          <w:sz w:val="22"/>
          <w:szCs w:val="22"/>
        </w:rPr>
      </w:pPr>
      <w:hyperlink w:anchor="_Toc93930017" w:history="1">
        <w:r w:rsidR="005265C1" w:rsidRPr="00461192">
          <w:rPr>
            <w:rStyle w:val="Hyperlink"/>
            <w:noProof/>
          </w:rPr>
          <w:t>1.1</w:t>
        </w:r>
        <w:r w:rsidR="005265C1">
          <w:rPr>
            <w:rFonts w:asciiTheme="minorHAnsi" w:eastAsiaTheme="minorEastAsia" w:hAnsiTheme="minorHAnsi" w:cstheme="minorBidi"/>
            <w:noProof/>
            <w:sz w:val="22"/>
            <w:szCs w:val="22"/>
          </w:rPr>
          <w:tab/>
        </w:r>
        <w:r w:rsidR="005265C1" w:rsidRPr="00461192">
          <w:rPr>
            <w:rStyle w:val="Hyperlink"/>
            <w:noProof/>
          </w:rPr>
          <w:t>Strategic direction statement</w:t>
        </w:r>
        <w:r w:rsidR="005265C1">
          <w:rPr>
            <w:noProof/>
            <w:webHidden/>
          </w:rPr>
          <w:tab/>
        </w:r>
        <w:r w:rsidR="005265C1">
          <w:rPr>
            <w:noProof/>
            <w:webHidden/>
          </w:rPr>
          <w:fldChar w:fldCharType="begin"/>
        </w:r>
        <w:r w:rsidR="005265C1">
          <w:rPr>
            <w:noProof/>
            <w:webHidden/>
          </w:rPr>
          <w:instrText xml:space="preserve"> PAGEREF _Toc93930017 \h </w:instrText>
        </w:r>
        <w:r w:rsidR="005265C1">
          <w:rPr>
            <w:noProof/>
            <w:webHidden/>
          </w:rPr>
        </w:r>
        <w:r w:rsidR="005265C1">
          <w:rPr>
            <w:noProof/>
            <w:webHidden/>
          </w:rPr>
          <w:fldChar w:fldCharType="separate"/>
        </w:r>
        <w:r w:rsidR="003B5862">
          <w:rPr>
            <w:noProof/>
            <w:webHidden/>
          </w:rPr>
          <w:t>103</w:t>
        </w:r>
        <w:r w:rsidR="005265C1">
          <w:rPr>
            <w:noProof/>
            <w:webHidden/>
          </w:rPr>
          <w:fldChar w:fldCharType="end"/>
        </w:r>
      </w:hyperlink>
    </w:p>
    <w:p w14:paraId="43B46FE4" w14:textId="76646301" w:rsidR="005265C1" w:rsidRDefault="005616C5">
      <w:pPr>
        <w:pStyle w:val="TOC2"/>
        <w:tabs>
          <w:tab w:val="left" w:pos="660"/>
        </w:tabs>
        <w:rPr>
          <w:rFonts w:asciiTheme="minorHAnsi" w:eastAsiaTheme="minorEastAsia" w:hAnsiTheme="minorHAnsi" w:cstheme="minorBidi"/>
          <w:noProof/>
          <w:sz w:val="22"/>
          <w:szCs w:val="22"/>
        </w:rPr>
      </w:pPr>
      <w:hyperlink w:anchor="_Toc93930018" w:history="1">
        <w:r w:rsidR="005265C1" w:rsidRPr="00461192">
          <w:rPr>
            <w:rStyle w:val="Hyperlink"/>
            <w:noProof/>
          </w:rPr>
          <w:t>1.2</w:t>
        </w:r>
        <w:r w:rsidR="005265C1">
          <w:rPr>
            <w:rFonts w:asciiTheme="minorHAnsi" w:eastAsiaTheme="minorEastAsia" w:hAnsiTheme="minorHAnsi" w:cstheme="minorBidi"/>
            <w:noProof/>
            <w:sz w:val="22"/>
            <w:szCs w:val="22"/>
          </w:rPr>
          <w:tab/>
        </w:r>
        <w:r w:rsidR="005265C1" w:rsidRPr="00461192">
          <w:rPr>
            <w:rStyle w:val="Hyperlink"/>
            <w:noProof/>
          </w:rPr>
          <w:t>Entity resource statement</w:t>
        </w:r>
        <w:r w:rsidR="005265C1">
          <w:rPr>
            <w:noProof/>
            <w:webHidden/>
          </w:rPr>
          <w:tab/>
        </w:r>
        <w:r w:rsidR="005265C1">
          <w:rPr>
            <w:noProof/>
            <w:webHidden/>
          </w:rPr>
          <w:fldChar w:fldCharType="begin"/>
        </w:r>
        <w:r w:rsidR="005265C1">
          <w:rPr>
            <w:noProof/>
            <w:webHidden/>
          </w:rPr>
          <w:instrText xml:space="preserve"> PAGEREF _Toc93930018 \h </w:instrText>
        </w:r>
        <w:r w:rsidR="005265C1">
          <w:rPr>
            <w:noProof/>
            <w:webHidden/>
          </w:rPr>
        </w:r>
        <w:r w:rsidR="005265C1">
          <w:rPr>
            <w:noProof/>
            <w:webHidden/>
          </w:rPr>
          <w:fldChar w:fldCharType="separate"/>
        </w:r>
        <w:r w:rsidR="003B5862">
          <w:rPr>
            <w:noProof/>
            <w:webHidden/>
          </w:rPr>
          <w:t>103</w:t>
        </w:r>
        <w:r w:rsidR="005265C1">
          <w:rPr>
            <w:noProof/>
            <w:webHidden/>
          </w:rPr>
          <w:fldChar w:fldCharType="end"/>
        </w:r>
      </w:hyperlink>
    </w:p>
    <w:p w14:paraId="7C354981" w14:textId="517335A0" w:rsidR="005265C1" w:rsidRDefault="005616C5">
      <w:pPr>
        <w:pStyle w:val="TOC2"/>
        <w:tabs>
          <w:tab w:val="left" w:pos="660"/>
        </w:tabs>
        <w:rPr>
          <w:rFonts w:asciiTheme="minorHAnsi" w:eastAsiaTheme="minorEastAsia" w:hAnsiTheme="minorHAnsi" w:cstheme="minorBidi"/>
          <w:noProof/>
          <w:sz w:val="22"/>
          <w:szCs w:val="22"/>
        </w:rPr>
      </w:pPr>
      <w:hyperlink w:anchor="_Toc93930019" w:history="1">
        <w:r w:rsidR="005265C1" w:rsidRPr="00461192">
          <w:rPr>
            <w:rStyle w:val="Hyperlink"/>
            <w:noProof/>
          </w:rPr>
          <w:t>1.3</w:t>
        </w:r>
        <w:r w:rsidR="005265C1">
          <w:rPr>
            <w:rFonts w:asciiTheme="minorHAnsi" w:eastAsiaTheme="minorEastAsia" w:hAnsiTheme="minorHAnsi" w:cstheme="minorBidi"/>
            <w:noProof/>
            <w:sz w:val="22"/>
            <w:szCs w:val="22"/>
          </w:rPr>
          <w:tab/>
        </w:r>
        <w:r w:rsidR="005265C1" w:rsidRPr="00461192">
          <w:rPr>
            <w:rStyle w:val="Hyperlink"/>
            <w:noProof/>
          </w:rPr>
          <w:t>Entity measures</w:t>
        </w:r>
        <w:r w:rsidR="005265C1">
          <w:rPr>
            <w:noProof/>
            <w:webHidden/>
          </w:rPr>
          <w:tab/>
        </w:r>
        <w:r w:rsidR="005265C1">
          <w:rPr>
            <w:noProof/>
            <w:webHidden/>
          </w:rPr>
          <w:fldChar w:fldCharType="begin"/>
        </w:r>
        <w:r w:rsidR="005265C1">
          <w:rPr>
            <w:noProof/>
            <w:webHidden/>
          </w:rPr>
          <w:instrText xml:space="preserve"> PAGEREF _Toc93930019 \h </w:instrText>
        </w:r>
        <w:r w:rsidR="005265C1">
          <w:rPr>
            <w:noProof/>
            <w:webHidden/>
          </w:rPr>
        </w:r>
        <w:r w:rsidR="005265C1">
          <w:rPr>
            <w:noProof/>
            <w:webHidden/>
          </w:rPr>
          <w:fldChar w:fldCharType="separate"/>
        </w:r>
        <w:r w:rsidR="003B5862">
          <w:rPr>
            <w:noProof/>
            <w:webHidden/>
          </w:rPr>
          <w:t>104</w:t>
        </w:r>
        <w:r w:rsidR="005265C1">
          <w:rPr>
            <w:noProof/>
            <w:webHidden/>
          </w:rPr>
          <w:fldChar w:fldCharType="end"/>
        </w:r>
      </w:hyperlink>
    </w:p>
    <w:p w14:paraId="2351C53D" w14:textId="7E1D9B02" w:rsidR="005265C1" w:rsidRDefault="005616C5">
      <w:pPr>
        <w:pStyle w:val="TOC2"/>
        <w:tabs>
          <w:tab w:val="left" w:pos="660"/>
        </w:tabs>
        <w:rPr>
          <w:rFonts w:asciiTheme="minorHAnsi" w:eastAsiaTheme="minorEastAsia" w:hAnsiTheme="minorHAnsi" w:cstheme="minorBidi"/>
          <w:noProof/>
          <w:sz w:val="22"/>
          <w:szCs w:val="22"/>
        </w:rPr>
      </w:pPr>
      <w:hyperlink w:anchor="_Toc93930020" w:history="1">
        <w:r w:rsidR="005265C1" w:rsidRPr="00461192">
          <w:rPr>
            <w:rStyle w:val="Hyperlink"/>
            <w:noProof/>
          </w:rPr>
          <w:t>1.4</w:t>
        </w:r>
        <w:r w:rsidR="005265C1">
          <w:rPr>
            <w:rFonts w:asciiTheme="minorHAnsi" w:eastAsiaTheme="minorEastAsia" w:hAnsiTheme="minorHAnsi" w:cstheme="minorBidi"/>
            <w:noProof/>
            <w:sz w:val="22"/>
            <w:szCs w:val="22"/>
          </w:rPr>
          <w:tab/>
        </w:r>
        <w:r w:rsidR="005265C1" w:rsidRPr="00461192">
          <w:rPr>
            <w:rStyle w:val="Hyperlink"/>
            <w:noProof/>
          </w:rPr>
          <w:t>Additional estimates, resourcing and variations to outcomes</w:t>
        </w:r>
        <w:r w:rsidR="005265C1">
          <w:rPr>
            <w:noProof/>
            <w:webHidden/>
          </w:rPr>
          <w:tab/>
        </w:r>
        <w:r w:rsidR="005265C1">
          <w:rPr>
            <w:noProof/>
            <w:webHidden/>
          </w:rPr>
          <w:fldChar w:fldCharType="begin"/>
        </w:r>
        <w:r w:rsidR="005265C1">
          <w:rPr>
            <w:noProof/>
            <w:webHidden/>
          </w:rPr>
          <w:instrText xml:space="preserve"> PAGEREF _Toc93930020 \h </w:instrText>
        </w:r>
        <w:r w:rsidR="005265C1">
          <w:rPr>
            <w:noProof/>
            <w:webHidden/>
          </w:rPr>
        </w:r>
        <w:r w:rsidR="005265C1">
          <w:rPr>
            <w:noProof/>
            <w:webHidden/>
          </w:rPr>
          <w:fldChar w:fldCharType="separate"/>
        </w:r>
        <w:r w:rsidR="003B5862">
          <w:rPr>
            <w:noProof/>
            <w:webHidden/>
          </w:rPr>
          <w:t>104</w:t>
        </w:r>
        <w:r w:rsidR="005265C1">
          <w:rPr>
            <w:noProof/>
            <w:webHidden/>
          </w:rPr>
          <w:fldChar w:fldCharType="end"/>
        </w:r>
      </w:hyperlink>
    </w:p>
    <w:p w14:paraId="130873E1" w14:textId="6C823C12" w:rsidR="005265C1" w:rsidRDefault="005616C5">
      <w:pPr>
        <w:pStyle w:val="TOC2"/>
        <w:tabs>
          <w:tab w:val="left" w:pos="660"/>
        </w:tabs>
        <w:rPr>
          <w:rFonts w:asciiTheme="minorHAnsi" w:eastAsiaTheme="minorEastAsia" w:hAnsiTheme="minorHAnsi" w:cstheme="minorBidi"/>
          <w:noProof/>
          <w:sz w:val="22"/>
          <w:szCs w:val="22"/>
        </w:rPr>
      </w:pPr>
      <w:hyperlink w:anchor="_Toc93930021" w:history="1">
        <w:r w:rsidR="005265C1" w:rsidRPr="00461192">
          <w:rPr>
            <w:rStyle w:val="Hyperlink"/>
            <w:noProof/>
          </w:rPr>
          <w:t>1.5</w:t>
        </w:r>
        <w:r w:rsidR="005265C1">
          <w:rPr>
            <w:rFonts w:asciiTheme="minorHAnsi" w:eastAsiaTheme="minorEastAsia" w:hAnsiTheme="minorHAnsi" w:cstheme="minorBidi"/>
            <w:noProof/>
            <w:sz w:val="22"/>
            <w:szCs w:val="22"/>
          </w:rPr>
          <w:tab/>
        </w:r>
        <w:r w:rsidR="005265C1" w:rsidRPr="00461192">
          <w:rPr>
            <w:rStyle w:val="Hyperlink"/>
            <w:noProof/>
          </w:rPr>
          <w:t>Breakdown of additional estimates by appropriation bill</w:t>
        </w:r>
        <w:r w:rsidR="005265C1">
          <w:rPr>
            <w:noProof/>
            <w:webHidden/>
          </w:rPr>
          <w:tab/>
        </w:r>
        <w:r w:rsidR="005265C1">
          <w:rPr>
            <w:noProof/>
            <w:webHidden/>
          </w:rPr>
          <w:fldChar w:fldCharType="begin"/>
        </w:r>
        <w:r w:rsidR="005265C1">
          <w:rPr>
            <w:noProof/>
            <w:webHidden/>
          </w:rPr>
          <w:instrText xml:space="preserve"> PAGEREF _Toc93930021 \h </w:instrText>
        </w:r>
        <w:r w:rsidR="005265C1">
          <w:rPr>
            <w:noProof/>
            <w:webHidden/>
          </w:rPr>
        </w:r>
        <w:r w:rsidR="005265C1">
          <w:rPr>
            <w:noProof/>
            <w:webHidden/>
          </w:rPr>
          <w:fldChar w:fldCharType="separate"/>
        </w:r>
        <w:r w:rsidR="003B5862">
          <w:rPr>
            <w:noProof/>
            <w:webHidden/>
          </w:rPr>
          <w:t>105</w:t>
        </w:r>
        <w:r w:rsidR="005265C1">
          <w:rPr>
            <w:noProof/>
            <w:webHidden/>
          </w:rPr>
          <w:fldChar w:fldCharType="end"/>
        </w:r>
      </w:hyperlink>
    </w:p>
    <w:p w14:paraId="4652337D" w14:textId="612F2CD6" w:rsidR="005265C1" w:rsidRDefault="005616C5">
      <w:pPr>
        <w:pStyle w:val="TOC1"/>
        <w:rPr>
          <w:rFonts w:asciiTheme="minorHAnsi" w:eastAsiaTheme="minorEastAsia" w:hAnsiTheme="minorHAnsi" w:cstheme="minorBidi"/>
          <w:b w:val="0"/>
          <w:noProof/>
          <w:sz w:val="22"/>
          <w:szCs w:val="22"/>
        </w:rPr>
      </w:pPr>
      <w:hyperlink w:anchor="_Toc93930022" w:history="1">
        <w:r w:rsidR="005265C1" w:rsidRPr="00461192">
          <w:rPr>
            <w:rStyle w:val="Hyperlink"/>
            <w:noProof/>
          </w:rPr>
          <w:t>Section 2: Revisions to outcomes and planned performance</w:t>
        </w:r>
        <w:r w:rsidR="005265C1">
          <w:rPr>
            <w:noProof/>
            <w:webHidden/>
          </w:rPr>
          <w:tab/>
        </w:r>
        <w:r w:rsidR="005265C1">
          <w:rPr>
            <w:noProof/>
            <w:webHidden/>
          </w:rPr>
          <w:fldChar w:fldCharType="begin"/>
        </w:r>
        <w:r w:rsidR="005265C1">
          <w:rPr>
            <w:noProof/>
            <w:webHidden/>
          </w:rPr>
          <w:instrText xml:space="preserve"> PAGEREF _Toc93930022 \h </w:instrText>
        </w:r>
        <w:r w:rsidR="005265C1">
          <w:rPr>
            <w:noProof/>
            <w:webHidden/>
          </w:rPr>
        </w:r>
        <w:r w:rsidR="005265C1">
          <w:rPr>
            <w:noProof/>
            <w:webHidden/>
          </w:rPr>
          <w:fldChar w:fldCharType="separate"/>
        </w:r>
        <w:r w:rsidR="003B5862">
          <w:rPr>
            <w:noProof/>
            <w:webHidden/>
          </w:rPr>
          <w:t>106</w:t>
        </w:r>
        <w:r w:rsidR="005265C1">
          <w:rPr>
            <w:noProof/>
            <w:webHidden/>
          </w:rPr>
          <w:fldChar w:fldCharType="end"/>
        </w:r>
      </w:hyperlink>
    </w:p>
    <w:p w14:paraId="5A8E1774" w14:textId="1AFBAF61" w:rsidR="005265C1" w:rsidRDefault="005616C5">
      <w:pPr>
        <w:pStyle w:val="TOC2"/>
        <w:tabs>
          <w:tab w:val="left" w:pos="660"/>
        </w:tabs>
        <w:rPr>
          <w:rFonts w:asciiTheme="minorHAnsi" w:eastAsiaTheme="minorEastAsia" w:hAnsiTheme="minorHAnsi" w:cstheme="minorBidi"/>
          <w:noProof/>
          <w:sz w:val="22"/>
          <w:szCs w:val="22"/>
        </w:rPr>
      </w:pPr>
      <w:hyperlink w:anchor="_Toc93930023" w:history="1">
        <w:r w:rsidR="005265C1" w:rsidRPr="00461192">
          <w:rPr>
            <w:rStyle w:val="Hyperlink"/>
            <w:noProof/>
          </w:rPr>
          <w:t>2.1</w:t>
        </w:r>
        <w:r w:rsidR="005265C1">
          <w:rPr>
            <w:rFonts w:asciiTheme="minorHAnsi" w:eastAsiaTheme="minorEastAsia" w:hAnsiTheme="minorHAnsi" w:cstheme="minorBidi"/>
            <w:noProof/>
            <w:sz w:val="22"/>
            <w:szCs w:val="22"/>
          </w:rPr>
          <w:tab/>
        </w:r>
        <w:r w:rsidR="005265C1" w:rsidRPr="00461192">
          <w:rPr>
            <w:rStyle w:val="Hyperlink"/>
            <w:noProof/>
          </w:rPr>
          <w:t>Changes to outcome and program structures</w:t>
        </w:r>
        <w:r w:rsidR="005265C1">
          <w:rPr>
            <w:noProof/>
            <w:webHidden/>
          </w:rPr>
          <w:tab/>
        </w:r>
        <w:r w:rsidR="005265C1">
          <w:rPr>
            <w:noProof/>
            <w:webHidden/>
          </w:rPr>
          <w:fldChar w:fldCharType="begin"/>
        </w:r>
        <w:r w:rsidR="005265C1">
          <w:rPr>
            <w:noProof/>
            <w:webHidden/>
          </w:rPr>
          <w:instrText xml:space="preserve"> PAGEREF _Toc93930023 \h </w:instrText>
        </w:r>
        <w:r w:rsidR="005265C1">
          <w:rPr>
            <w:noProof/>
            <w:webHidden/>
          </w:rPr>
        </w:r>
        <w:r w:rsidR="005265C1">
          <w:rPr>
            <w:noProof/>
            <w:webHidden/>
          </w:rPr>
          <w:fldChar w:fldCharType="separate"/>
        </w:r>
        <w:r w:rsidR="003B5862">
          <w:rPr>
            <w:noProof/>
            <w:webHidden/>
          </w:rPr>
          <w:t>106</w:t>
        </w:r>
        <w:r w:rsidR="005265C1">
          <w:rPr>
            <w:noProof/>
            <w:webHidden/>
          </w:rPr>
          <w:fldChar w:fldCharType="end"/>
        </w:r>
      </w:hyperlink>
    </w:p>
    <w:p w14:paraId="18269D34" w14:textId="14679BBE" w:rsidR="005265C1" w:rsidRDefault="005616C5">
      <w:pPr>
        <w:pStyle w:val="TOC2"/>
        <w:tabs>
          <w:tab w:val="left" w:pos="660"/>
        </w:tabs>
        <w:rPr>
          <w:rFonts w:asciiTheme="minorHAnsi" w:eastAsiaTheme="minorEastAsia" w:hAnsiTheme="minorHAnsi" w:cstheme="minorBidi"/>
          <w:noProof/>
          <w:sz w:val="22"/>
          <w:szCs w:val="22"/>
        </w:rPr>
      </w:pPr>
      <w:hyperlink w:anchor="_Toc93930024" w:history="1">
        <w:r w:rsidR="005265C1" w:rsidRPr="00461192">
          <w:rPr>
            <w:rStyle w:val="Hyperlink"/>
            <w:noProof/>
          </w:rPr>
          <w:t>2.2</w:t>
        </w:r>
        <w:r w:rsidR="005265C1">
          <w:rPr>
            <w:rFonts w:asciiTheme="minorHAnsi" w:eastAsiaTheme="minorEastAsia" w:hAnsiTheme="minorHAnsi" w:cstheme="minorBidi"/>
            <w:noProof/>
            <w:sz w:val="22"/>
            <w:szCs w:val="22"/>
          </w:rPr>
          <w:tab/>
        </w:r>
        <w:r w:rsidR="005265C1" w:rsidRPr="00461192">
          <w:rPr>
            <w:rStyle w:val="Hyperlink"/>
            <w:noProof/>
          </w:rPr>
          <w:t>Budgeted expenses and performance for Outcome 1</w:t>
        </w:r>
        <w:r w:rsidR="005265C1">
          <w:rPr>
            <w:noProof/>
            <w:webHidden/>
          </w:rPr>
          <w:tab/>
        </w:r>
        <w:r w:rsidR="005265C1">
          <w:rPr>
            <w:noProof/>
            <w:webHidden/>
          </w:rPr>
          <w:fldChar w:fldCharType="begin"/>
        </w:r>
        <w:r w:rsidR="005265C1">
          <w:rPr>
            <w:noProof/>
            <w:webHidden/>
          </w:rPr>
          <w:instrText xml:space="preserve"> PAGEREF _Toc93930024 \h </w:instrText>
        </w:r>
        <w:r w:rsidR="005265C1">
          <w:rPr>
            <w:noProof/>
            <w:webHidden/>
          </w:rPr>
        </w:r>
        <w:r w:rsidR="005265C1">
          <w:rPr>
            <w:noProof/>
            <w:webHidden/>
          </w:rPr>
          <w:fldChar w:fldCharType="separate"/>
        </w:r>
        <w:r w:rsidR="003B5862">
          <w:rPr>
            <w:noProof/>
            <w:webHidden/>
          </w:rPr>
          <w:t>106</w:t>
        </w:r>
        <w:r w:rsidR="005265C1">
          <w:rPr>
            <w:noProof/>
            <w:webHidden/>
          </w:rPr>
          <w:fldChar w:fldCharType="end"/>
        </w:r>
      </w:hyperlink>
    </w:p>
    <w:p w14:paraId="1C698220" w14:textId="40F9A5EB" w:rsidR="005265C1" w:rsidRDefault="005616C5">
      <w:pPr>
        <w:pStyle w:val="TOC1"/>
        <w:rPr>
          <w:rFonts w:asciiTheme="minorHAnsi" w:eastAsiaTheme="minorEastAsia" w:hAnsiTheme="minorHAnsi" w:cstheme="minorBidi"/>
          <w:b w:val="0"/>
          <w:noProof/>
          <w:sz w:val="22"/>
          <w:szCs w:val="22"/>
        </w:rPr>
      </w:pPr>
      <w:hyperlink w:anchor="_Toc93930025" w:history="1">
        <w:r w:rsidR="005265C1" w:rsidRPr="00461192">
          <w:rPr>
            <w:rStyle w:val="Hyperlink"/>
            <w:noProof/>
          </w:rPr>
          <w:t>Section 3: Special account flows and budgeted financial statements</w:t>
        </w:r>
        <w:r w:rsidR="005265C1">
          <w:rPr>
            <w:noProof/>
            <w:webHidden/>
          </w:rPr>
          <w:tab/>
        </w:r>
        <w:r w:rsidR="005265C1">
          <w:rPr>
            <w:noProof/>
            <w:webHidden/>
          </w:rPr>
          <w:fldChar w:fldCharType="begin"/>
        </w:r>
        <w:r w:rsidR="005265C1">
          <w:rPr>
            <w:noProof/>
            <w:webHidden/>
          </w:rPr>
          <w:instrText xml:space="preserve"> PAGEREF _Toc93930025 \h </w:instrText>
        </w:r>
        <w:r w:rsidR="005265C1">
          <w:rPr>
            <w:noProof/>
            <w:webHidden/>
          </w:rPr>
        </w:r>
        <w:r w:rsidR="005265C1">
          <w:rPr>
            <w:noProof/>
            <w:webHidden/>
          </w:rPr>
          <w:fldChar w:fldCharType="separate"/>
        </w:r>
        <w:r w:rsidR="003B5862">
          <w:rPr>
            <w:noProof/>
            <w:webHidden/>
          </w:rPr>
          <w:t>108</w:t>
        </w:r>
        <w:r w:rsidR="005265C1">
          <w:rPr>
            <w:noProof/>
            <w:webHidden/>
          </w:rPr>
          <w:fldChar w:fldCharType="end"/>
        </w:r>
      </w:hyperlink>
    </w:p>
    <w:p w14:paraId="16B1BBE0" w14:textId="0A4995C9" w:rsidR="005265C1" w:rsidRDefault="005616C5">
      <w:pPr>
        <w:pStyle w:val="TOC2"/>
        <w:tabs>
          <w:tab w:val="left" w:pos="660"/>
        </w:tabs>
        <w:rPr>
          <w:rFonts w:asciiTheme="minorHAnsi" w:eastAsiaTheme="minorEastAsia" w:hAnsiTheme="minorHAnsi" w:cstheme="minorBidi"/>
          <w:noProof/>
          <w:sz w:val="22"/>
          <w:szCs w:val="22"/>
        </w:rPr>
      </w:pPr>
      <w:hyperlink w:anchor="_Toc93930026" w:history="1">
        <w:r w:rsidR="005265C1" w:rsidRPr="00461192">
          <w:rPr>
            <w:rStyle w:val="Hyperlink"/>
            <w:noProof/>
          </w:rPr>
          <w:t>3.1</w:t>
        </w:r>
        <w:r w:rsidR="005265C1">
          <w:rPr>
            <w:rFonts w:asciiTheme="minorHAnsi" w:eastAsiaTheme="minorEastAsia" w:hAnsiTheme="minorHAnsi" w:cstheme="minorBidi"/>
            <w:noProof/>
            <w:sz w:val="22"/>
            <w:szCs w:val="22"/>
          </w:rPr>
          <w:tab/>
        </w:r>
        <w:r w:rsidR="005265C1" w:rsidRPr="00461192">
          <w:rPr>
            <w:rStyle w:val="Hyperlink"/>
            <w:noProof/>
          </w:rPr>
          <w:t>Special account flows</w:t>
        </w:r>
        <w:r w:rsidR="005265C1">
          <w:rPr>
            <w:noProof/>
            <w:webHidden/>
          </w:rPr>
          <w:tab/>
        </w:r>
        <w:r w:rsidR="005265C1">
          <w:rPr>
            <w:noProof/>
            <w:webHidden/>
          </w:rPr>
          <w:fldChar w:fldCharType="begin"/>
        </w:r>
        <w:r w:rsidR="005265C1">
          <w:rPr>
            <w:noProof/>
            <w:webHidden/>
          </w:rPr>
          <w:instrText xml:space="preserve"> PAGEREF _Toc93930026 \h </w:instrText>
        </w:r>
        <w:r w:rsidR="005265C1">
          <w:rPr>
            <w:noProof/>
            <w:webHidden/>
          </w:rPr>
        </w:r>
        <w:r w:rsidR="005265C1">
          <w:rPr>
            <w:noProof/>
            <w:webHidden/>
          </w:rPr>
          <w:fldChar w:fldCharType="separate"/>
        </w:r>
        <w:r w:rsidR="003B5862">
          <w:rPr>
            <w:noProof/>
            <w:webHidden/>
          </w:rPr>
          <w:t>108</w:t>
        </w:r>
        <w:r w:rsidR="005265C1">
          <w:rPr>
            <w:noProof/>
            <w:webHidden/>
          </w:rPr>
          <w:fldChar w:fldCharType="end"/>
        </w:r>
      </w:hyperlink>
    </w:p>
    <w:p w14:paraId="3B814755" w14:textId="68A3A9A8" w:rsidR="005265C1" w:rsidRDefault="005616C5">
      <w:pPr>
        <w:pStyle w:val="TOC2"/>
        <w:tabs>
          <w:tab w:val="left" w:pos="660"/>
        </w:tabs>
        <w:rPr>
          <w:rFonts w:asciiTheme="minorHAnsi" w:eastAsiaTheme="minorEastAsia" w:hAnsiTheme="minorHAnsi" w:cstheme="minorBidi"/>
          <w:noProof/>
          <w:sz w:val="22"/>
          <w:szCs w:val="22"/>
        </w:rPr>
      </w:pPr>
      <w:hyperlink w:anchor="_Toc93930027" w:history="1">
        <w:r w:rsidR="005265C1" w:rsidRPr="00461192">
          <w:rPr>
            <w:rStyle w:val="Hyperlink"/>
            <w:noProof/>
          </w:rPr>
          <w:t>3.2</w:t>
        </w:r>
        <w:r w:rsidR="005265C1">
          <w:rPr>
            <w:rFonts w:asciiTheme="minorHAnsi" w:eastAsiaTheme="minorEastAsia" w:hAnsiTheme="minorHAnsi" w:cstheme="minorBidi"/>
            <w:noProof/>
            <w:sz w:val="22"/>
            <w:szCs w:val="22"/>
          </w:rPr>
          <w:tab/>
        </w:r>
        <w:r w:rsidR="005265C1" w:rsidRPr="00461192">
          <w:rPr>
            <w:rStyle w:val="Hyperlink"/>
            <w:noProof/>
          </w:rPr>
          <w:t>Budgeted financial statements</w:t>
        </w:r>
        <w:r w:rsidR="005265C1">
          <w:rPr>
            <w:noProof/>
            <w:webHidden/>
          </w:rPr>
          <w:tab/>
        </w:r>
        <w:r w:rsidR="005265C1">
          <w:rPr>
            <w:noProof/>
            <w:webHidden/>
          </w:rPr>
          <w:fldChar w:fldCharType="begin"/>
        </w:r>
        <w:r w:rsidR="005265C1">
          <w:rPr>
            <w:noProof/>
            <w:webHidden/>
          </w:rPr>
          <w:instrText xml:space="preserve"> PAGEREF _Toc93930027 \h </w:instrText>
        </w:r>
        <w:r w:rsidR="005265C1">
          <w:rPr>
            <w:noProof/>
            <w:webHidden/>
          </w:rPr>
        </w:r>
        <w:r w:rsidR="005265C1">
          <w:rPr>
            <w:noProof/>
            <w:webHidden/>
          </w:rPr>
          <w:fldChar w:fldCharType="separate"/>
        </w:r>
        <w:r w:rsidR="003B5862">
          <w:rPr>
            <w:noProof/>
            <w:webHidden/>
          </w:rPr>
          <w:t>108</w:t>
        </w:r>
        <w:r w:rsidR="005265C1">
          <w:rPr>
            <w:noProof/>
            <w:webHidden/>
          </w:rPr>
          <w:fldChar w:fldCharType="end"/>
        </w:r>
      </w:hyperlink>
    </w:p>
    <w:p w14:paraId="054E2267" w14:textId="6D9AD09E" w:rsidR="00C17040" w:rsidRPr="0035086F" w:rsidRDefault="005265C1" w:rsidP="00C17040">
      <w:r>
        <w:rPr>
          <w:rFonts w:ascii="Arial" w:hAnsi="Arial"/>
          <w:b/>
        </w:rPr>
        <w:fldChar w:fldCharType="end"/>
      </w:r>
    </w:p>
    <w:p w14:paraId="2567E5E4" w14:textId="77777777" w:rsidR="005265C1" w:rsidRDefault="005265C1" w:rsidP="00C17040">
      <w:pPr>
        <w:pStyle w:val="Heading1-LVL2"/>
        <w:rPr>
          <w:lang w:val="en-US"/>
        </w:rPr>
        <w:sectPr w:rsidR="005265C1" w:rsidSect="00D9425F">
          <w:headerReference w:type="first" r:id="rId80"/>
          <w:footerReference w:type="first" r:id="rId81"/>
          <w:type w:val="oddPage"/>
          <w:pgSz w:w="11907" w:h="16840" w:code="9"/>
          <w:pgMar w:top="2835" w:right="2098" w:bottom="2466" w:left="2098" w:header="1814" w:footer="1814" w:gutter="0"/>
          <w:cols w:space="720"/>
          <w:titlePg/>
        </w:sectPr>
      </w:pPr>
    </w:p>
    <w:p w14:paraId="19D7CF78" w14:textId="75F0793C" w:rsidR="00C17040" w:rsidRPr="00C17040" w:rsidRDefault="00C17040" w:rsidP="00C17040">
      <w:pPr>
        <w:pStyle w:val="Heading1-LVL2"/>
        <w:rPr>
          <w:lang w:val="en-US"/>
        </w:rPr>
      </w:pPr>
      <w:bookmarkStart w:id="405" w:name="_Toc94198473"/>
      <w:r>
        <w:rPr>
          <w:lang w:val="en-US"/>
        </w:rPr>
        <w:lastRenderedPageBreak/>
        <w:t>Civil Aviation Safety Authority</w:t>
      </w:r>
      <w:bookmarkEnd w:id="405"/>
    </w:p>
    <w:p w14:paraId="073EDF60" w14:textId="77777777" w:rsidR="00C17040" w:rsidRPr="00F045E6" w:rsidRDefault="00C17040" w:rsidP="00C17040">
      <w:pPr>
        <w:pStyle w:val="Heading2-TOCCASA"/>
      </w:pPr>
      <w:bookmarkStart w:id="406" w:name="_Toc93930016"/>
      <w:r w:rsidRPr="00F045E6">
        <w:t>Section 1: Entity overview and resources</w:t>
      </w:r>
      <w:bookmarkEnd w:id="406"/>
    </w:p>
    <w:p w14:paraId="76A272F1" w14:textId="77777777" w:rsidR="00C17040" w:rsidRPr="002322E9" w:rsidRDefault="00C17040" w:rsidP="001D4553">
      <w:pPr>
        <w:pStyle w:val="Heading3CASA"/>
        <w:rPr>
          <w:lang w:val="en-AU"/>
        </w:rPr>
      </w:pPr>
      <w:bookmarkStart w:id="407" w:name="_Toc93930017"/>
      <w:r>
        <w:t>1.1</w:t>
      </w:r>
      <w:r>
        <w:tab/>
      </w:r>
      <w:r w:rsidRPr="004928FF">
        <w:t xml:space="preserve">Strategic </w:t>
      </w:r>
      <w:r w:rsidRPr="001D4553">
        <w:t>direction</w:t>
      </w:r>
      <w:r>
        <w:rPr>
          <w:lang w:val="en-AU"/>
        </w:rPr>
        <w:t xml:space="preserve"> statement</w:t>
      </w:r>
      <w:bookmarkEnd w:id="407"/>
    </w:p>
    <w:p w14:paraId="44E16E59" w14:textId="247A9F17" w:rsidR="00886877" w:rsidRPr="00886877" w:rsidRDefault="00886877" w:rsidP="00B40A5F">
      <w:pPr>
        <w:jc w:val="left"/>
      </w:pPr>
      <w:r w:rsidRPr="00886877">
        <w:t xml:space="preserve">The Civil Aviation Safety Authority’s (CASA) strategic direction statement has not changed from that published in the 2021-22 </w:t>
      </w:r>
      <w:r w:rsidR="00360023" w:rsidRPr="00ED7989">
        <w:t xml:space="preserve">Infrastructure, Transport, Regional Development and Communications </w:t>
      </w:r>
      <w:r w:rsidRPr="00886877">
        <w:t xml:space="preserve">PB Statements. </w:t>
      </w:r>
    </w:p>
    <w:p w14:paraId="6441D41B" w14:textId="77777777" w:rsidR="00C17040" w:rsidRPr="001D4553" w:rsidRDefault="00C17040" w:rsidP="001D4553">
      <w:pPr>
        <w:pStyle w:val="Heading3CASA"/>
      </w:pPr>
      <w:bookmarkStart w:id="408" w:name="_Toc93930018"/>
      <w:r w:rsidRPr="001D4553">
        <w:t>1.2</w:t>
      </w:r>
      <w:r w:rsidRPr="001D4553">
        <w:tab/>
        <w:t>Entity resource statement</w:t>
      </w:r>
      <w:bookmarkEnd w:id="408"/>
    </w:p>
    <w:p w14:paraId="4C730F09" w14:textId="1380A219" w:rsidR="00C17040" w:rsidRDefault="005A6F51" w:rsidP="00B40A5F">
      <w:pPr>
        <w:jc w:val="left"/>
      </w:pPr>
      <w:r>
        <w:t>The CASA resource s</w:t>
      </w:r>
      <w:r w:rsidR="00C17040">
        <w:t xml:space="preserve">tatement details the resourcing for </w:t>
      </w:r>
      <w:r w:rsidR="00886877">
        <w:t>CASA</w:t>
      </w:r>
      <w:r w:rsidR="00C17040">
        <w:t xml:space="preserve"> at Additional Estimates. Table 1.1 outlines the total resourcing available from all sources for the 2021</w:t>
      </w:r>
      <w:r w:rsidR="00C17040">
        <w:noBreakHyphen/>
        <w:t xml:space="preserve">22 Budget year, including variations through </w:t>
      </w:r>
      <w:r w:rsidR="00C17040" w:rsidRPr="00B94BE6">
        <w:t>Appropriation Bill</w:t>
      </w:r>
      <w:r w:rsidR="00C17040">
        <w:t>s</w:t>
      </w:r>
      <w:r w:rsidR="00C17040" w:rsidRPr="00B94BE6">
        <w:t xml:space="preserve"> No. 3 and No. 4</w:t>
      </w:r>
      <w:r w:rsidR="00C17040" w:rsidRPr="00B94BE6">
        <w:rPr>
          <w:i/>
        </w:rPr>
        <w:t>,</w:t>
      </w:r>
      <w:r w:rsidR="00C17040">
        <w:t xml:space="preserve"> Special Appropriations and Special Accounts. </w:t>
      </w:r>
    </w:p>
    <w:p w14:paraId="7514B671" w14:textId="54022651" w:rsidR="00C17040" w:rsidRDefault="00C17040" w:rsidP="00C17040">
      <w:pPr>
        <w:pStyle w:val="TableHeading"/>
        <w:rPr>
          <w:lang w:val="en-AU"/>
        </w:rPr>
      </w:pPr>
      <w:r w:rsidRPr="00564C0F">
        <w:t xml:space="preserve">Table 1.1: </w:t>
      </w:r>
      <w:r w:rsidR="00D47D34">
        <w:rPr>
          <w:lang w:val="en-AU"/>
        </w:rPr>
        <w:t>CASA</w:t>
      </w:r>
      <w:r w:rsidRPr="00564C0F">
        <w:t xml:space="preserve"> resource statement — Additional Estimates for </w:t>
      </w:r>
      <w:r>
        <w:rPr>
          <w:lang w:val="en-AU"/>
        </w:rPr>
        <w:t>2021-22</w:t>
      </w:r>
      <w:r w:rsidRPr="00564C0F">
        <w:t xml:space="preserve"> as at </w:t>
      </w:r>
      <w:r w:rsidRPr="00C86F53">
        <w:t xml:space="preserve">February </w:t>
      </w:r>
      <w:r w:rsidRPr="00C86F53">
        <w:rPr>
          <w:lang w:val="en-AU"/>
        </w:rPr>
        <w:t>2022</w:t>
      </w:r>
    </w:p>
    <w:tbl>
      <w:tblPr>
        <w:tblW w:w="7616" w:type="dxa"/>
        <w:tblLook w:val="04A0" w:firstRow="1" w:lastRow="0" w:firstColumn="1" w:lastColumn="0" w:noHBand="0" w:noVBand="1"/>
      </w:tblPr>
      <w:tblGrid>
        <w:gridCol w:w="3119"/>
        <w:gridCol w:w="1150"/>
        <w:gridCol w:w="1115"/>
        <w:gridCol w:w="1116"/>
        <w:gridCol w:w="1116"/>
      </w:tblGrid>
      <w:tr w:rsidR="005131E7" w:rsidRPr="005131E7" w14:paraId="6338064E" w14:textId="77777777" w:rsidTr="00D47D34">
        <w:trPr>
          <w:trHeight w:val="627"/>
        </w:trPr>
        <w:tc>
          <w:tcPr>
            <w:tcW w:w="3119" w:type="dxa"/>
            <w:tcBorders>
              <w:top w:val="single" w:sz="4" w:space="0" w:color="auto"/>
              <w:left w:val="nil"/>
              <w:bottom w:val="nil"/>
              <w:right w:val="nil"/>
            </w:tcBorders>
            <w:shd w:val="clear" w:color="000000" w:fill="FFFFFF"/>
            <w:noWrap/>
            <w:vAlign w:val="bottom"/>
            <w:hideMark/>
          </w:tcPr>
          <w:p w14:paraId="1B2F208A" w14:textId="77777777" w:rsidR="005131E7" w:rsidRPr="005131E7" w:rsidRDefault="005131E7" w:rsidP="005131E7">
            <w:pPr>
              <w:spacing w:after="0" w:line="240" w:lineRule="auto"/>
              <w:jc w:val="left"/>
              <w:rPr>
                <w:rFonts w:ascii="Arial" w:hAnsi="Arial" w:cs="Arial"/>
                <w:color w:val="000000"/>
                <w:sz w:val="16"/>
                <w:szCs w:val="16"/>
              </w:rPr>
            </w:pPr>
            <w:r w:rsidRPr="005131E7">
              <w:rPr>
                <w:rFonts w:ascii="Arial" w:hAnsi="Arial" w:cs="Arial"/>
                <w:color w:val="000000"/>
                <w:sz w:val="16"/>
                <w:szCs w:val="16"/>
              </w:rPr>
              <w:t> </w:t>
            </w:r>
          </w:p>
        </w:tc>
        <w:tc>
          <w:tcPr>
            <w:tcW w:w="1150" w:type="dxa"/>
            <w:tcBorders>
              <w:top w:val="single" w:sz="4" w:space="0" w:color="auto"/>
              <w:left w:val="nil"/>
              <w:bottom w:val="single" w:sz="4" w:space="0" w:color="auto"/>
              <w:right w:val="nil"/>
            </w:tcBorders>
            <w:shd w:val="clear" w:color="000000" w:fill="FFFFFF"/>
            <w:hideMark/>
          </w:tcPr>
          <w:p w14:paraId="7A000354" w14:textId="77777777" w:rsidR="005131E7" w:rsidRPr="005131E7" w:rsidRDefault="005131E7" w:rsidP="005131E7">
            <w:pPr>
              <w:spacing w:after="0" w:line="240" w:lineRule="auto"/>
              <w:jc w:val="right"/>
              <w:rPr>
                <w:rFonts w:ascii="Arial" w:hAnsi="Arial" w:cs="Arial"/>
                <w:color w:val="000000"/>
                <w:sz w:val="16"/>
                <w:szCs w:val="16"/>
              </w:rPr>
            </w:pPr>
            <w:r w:rsidRPr="005131E7">
              <w:rPr>
                <w:rFonts w:ascii="Arial" w:hAnsi="Arial" w:cs="Arial"/>
                <w:color w:val="000000"/>
                <w:sz w:val="16"/>
                <w:szCs w:val="16"/>
              </w:rPr>
              <w:t>Actual</w:t>
            </w:r>
            <w:r w:rsidRPr="005131E7">
              <w:rPr>
                <w:rFonts w:ascii="Arial" w:hAnsi="Arial" w:cs="Arial"/>
                <w:color w:val="000000"/>
                <w:sz w:val="16"/>
                <w:szCs w:val="16"/>
              </w:rPr>
              <w:br/>
              <w:t>available</w:t>
            </w:r>
            <w:r w:rsidRPr="005131E7">
              <w:rPr>
                <w:rFonts w:ascii="Arial" w:hAnsi="Arial" w:cs="Arial"/>
                <w:color w:val="000000"/>
                <w:sz w:val="16"/>
                <w:szCs w:val="16"/>
              </w:rPr>
              <w:br/>
              <w:t>appropriation</w:t>
            </w:r>
            <w:r w:rsidRPr="005131E7">
              <w:rPr>
                <w:rFonts w:ascii="Arial" w:hAnsi="Arial" w:cs="Arial"/>
                <w:color w:val="000000"/>
                <w:sz w:val="16"/>
                <w:szCs w:val="16"/>
              </w:rPr>
              <w:br/>
            </w:r>
            <w:r w:rsidRPr="005131E7">
              <w:rPr>
                <w:rFonts w:ascii="Arial" w:hAnsi="Arial" w:cs="Arial"/>
                <w:color w:val="000000"/>
                <w:sz w:val="16"/>
                <w:szCs w:val="16"/>
              </w:rPr>
              <w:br/>
              <w:t>2020-21</w:t>
            </w:r>
            <w:r w:rsidRPr="005131E7">
              <w:rPr>
                <w:rFonts w:ascii="Arial" w:hAnsi="Arial" w:cs="Arial"/>
                <w:color w:val="000000"/>
                <w:sz w:val="16"/>
                <w:szCs w:val="16"/>
              </w:rPr>
              <w:br/>
              <w:t>$'000</w:t>
            </w:r>
          </w:p>
        </w:tc>
        <w:tc>
          <w:tcPr>
            <w:tcW w:w="1115" w:type="dxa"/>
            <w:tcBorders>
              <w:top w:val="single" w:sz="4" w:space="0" w:color="auto"/>
              <w:left w:val="nil"/>
              <w:bottom w:val="single" w:sz="4" w:space="0" w:color="auto"/>
              <w:right w:val="nil"/>
            </w:tcBorders>
            <w:shd w:val="clear" w:color="000000" w:fill="FFFFFF"/>
            <w:hideMark/>
          </w:tcPr>
          <w:p w14:paraId="6D8CAC5E" w14:textId="77777777" w:rsidR="005131E7" w:rsidRPr="005131E7" w:rsidRDefault="005131E7" w:rsidP="005131E7">
            <w:pPr>
              <w:spacing w:after="0" w:line="240" w:lineRule="auto"/>
              <w:jc w:val="right"/>
              <w:rPr>
                <w:rFonts w:ascii="Arial" w:hAnsi="Arial" w:cs="Arial"/>
                <w:color w:val="000000"/>
                <w:sz w:val="16"/>
                <w:szCs w:val="16"/>
              </w:rPr>
            </w:pPr>
            <w:r w:rsidRPr="005131E7">
              <w:rPr>
                <w:rFonts w:ascii="Arial" w:hAnsi="Arial" w:cs="Arial"/>
                <w:color w:val="000000"/>
                <w:sz w:val="16"/>
                <w:szCs w:val="16"/>
              </w:rPr>
              <w:t>Estimate</w:t>
            </w:r>
            <w:r w:rsidRPr="005131E7">
              <w:rPr>
                <w:rFonts w:ascii="Arial" w:hAnsi="Arial" w:cs="Arial"/>
                <w:color w:val="000000"/>
                <w:sz w:val="16"/>
                <w:szCs w:val="16"/>
              </w:rPr>
              <w:br/>
              <w:t>as at</w:t>
            </w:r>
            <w:r w:rsidRPr="005131E7">
              <w:rPr>
                <w:rFonts w:ascii="Arial" w:hAnsi="Arial" w:cs="Arial"/>
                <w:color w:val="000000"/>
                <w:sz w:val="16"/>
                <w:szCs w:val="16"/>
              </w:rPr>
              <w:br/>
              <w:t>Budget</w:t>
            </w:r>
            <w:r w:rsidRPr="005131E7">
              <w:rPr>
                <w:rFonts w:ascii="Arial" w:hAnsi="Arial" w:cs="Arial"/>
                <w:color w:val="000000"/>
                <w:sz w:val="16"/>
                <w:szCs w:val="16"/>
              </w:rPr>
              <w:br/>
            </w:r>
            <w:r w:rsidRPr="005131E7">
              <w:rPr>
                <w:rFonts w:ascii="Arial" w:hAnsi="Arial" w:cs="Arial"/>
                <w:color w:val="000000"/>
                <w:sz w:val="16"/>
                <w:szCs w:val="16"/>
              </w:rPr>
              <w:br/>
              <w:t>2021-22</w:t>
            </w:r>
            <w:r w:rsidRPr="005131E7">
              <w:rPr>
                <w:rFonts w:ascii="Arial" w:hAnsi="Arial" w:cs="Arial"/>
                <w:color w:val="000000"/>
                <w:sz w:val="16"/>
                <w:szCs w:val="16"/>
              </w:rPr>
              <w:br/>
              <w:t>$'000</w:t>
            </w:r>
          </w:p>
        </w:tc>
        <w:tc>
          <w:tcPr>
            <w:tcW w:w="1116" w:type="dxa"/>
            <w:tcBorders>
              <w:top w:val="single" w:sz="4" w:space="0" w:color="auto"/>
              <w:left w:val="nil"/>
              <w:bottom w:val="single" w:sz="4" w:space="0" w:color="auto"/>
              <w:right w:val="nil"/>
            </w:tcBorders>
            <w:shd w:val="clear" w:color="000000" w:fill="FFFFFF"/>
            <w:hideMark/>
          </w:tcPr>
          <w:p w14:paraId="48BD7FEB" w14:textId="77777777" w:rsidR="005131E7" w:rsidRPr="005131E7" w:rsidRDefault="005131E7" w:rsidP="005131E7">
            <w:pPr>
              <w:spacing w:after="0" w:line="240" w:lineRule="auto"/>
              <w:jc w:val="right"/>
              <w:rPr>
                <w:rFonts w:ascii="Arial" w:hAnsi="Arial" w:cs="Arial"/>
                <w:color w:val="000000"/>
                <w:sz w:val="16"/>
                <w:szCs w:val="16"/>
              </w:rPr>
            </w:pPr>
            <w:r w:rsidRPr="005131E7">
              <w:rPr>
                <w:rFonts w:ascii="Arial" w:hAnsi="Arial" w:cs="Arial"/>
                <w:color w:val="000000"/>
                <w:sz w:val="16"/>
                <w:szCs w:val="16"/>
              </w:rPr>
              <w:t>Proposed</w:t>
            </w:r>
            <w:r w:rsidRPr="005131E7">
              <w:rPr>
                <w:rFonts w:ascii="Arial" w:hAnsi="Arial" w:cs="Arial"/>
                <w:color w:val="000000"/>
                <w:sz w:val="16"/>
                <w:szCs w:val="16"/>
              </w:rPr>
              <w:br/>
              <w:t>Additional</w:t>
            </w:r>
            <w:r w:rsidRPr="005131E7">
              <w:rPr>
                <w:rFonts w:ascii="Arial" w:hAnsi="Arial" w:cs="Arial"/>
                <w:color w:val="000000"/>
                <w:sz w:val="16"/>
                <w:szCs w:val="16"/>
              </w:rPr>
              <w:br/>
              <w:t>Estimates</w:t>
            </w:r>
            <w:r w:rsidRPr="005131E7">
              <w:rPr>
                <w:rFonts w:ascii="Arial" w:hAnsi="Arial" w:cs="Arial"/>
                <w:color w:val="000000"/>
                <w:sz w:val="16"/>
                <w:szCs w:val="16"/>
              </w:rPr>
              <w:br/>
            </w:r>
            <w:r w:rsidRPr="005131E7">
              <w:rPr>
                <w:rFonts w:ascii="Arial" w:hAnsi="Arial" w:cs="Arial"/>
                <w:color w:val="000000"/>
                <w:sz w:val="16"/>
                <w:szCs w:val="16"/>
              </w:rPr>
              <w:br/>
              <w:t>2021-22</w:t>
            </w:r>
            <w:r w:rsidRPr="005131E7">
              <w:rPr>
                <w:rFonts w:ascii="Arial" w:hAnsi="Arial" w:cs="Arial"/>
                <w:color w:val="000000"/>
                <w:sz w:val="16"/>
                <w:szCs w:val="16"/>
              </w:rPr>
              <w:br/>
              <w:t>$'000</w:t>
            </w:r>
          </w:p>
        </w:tc>
        <w:tc>
          <w:tcPr>
            <w:tcW w:w="1116" w:type="dxa"/>
            <w:tcBorders>
              <w:top w:val="single" w:sz="4" w:space="0" w:color="auto"/>
              <w:left w:val="nil"/>
              <w:bottom w:val="single" w:sz="4" w:space="0" w:color="auto"/>
              <w:right w:val="nil"/>
            </w:tcBorders>
            <w:shd w:val="clear" w:color="000000" w:fill="E6E6E6"/>
            <w:hideMark/>
          </w:tcPr>
          <w:p w14:paraId="28E13842" w14:textId="77777777" w:rsidR="005131E7" w:rsidRPr="005131E7" w:rsidRDefault="005131E7" w:rsidP="005131E7">
            <w:pPr>
              <w:spacing w:after="0" w:line="240" w:lineRule="auto"/>
              <w:jc w:val="right"/>
              <w:rPr>
                <w:rFonts w:ascii="Arial" w:hAnsi="Arial" w:cs="Arial"/>
                <w:color w:val="000000"/>
                <w:sz w:val="16"/>
                <w:szCs w:val="16"/>
              </w:rPr>
            </w:pPr>
            <w:r w:rsidRPr="005131E7">
              <w:rPr>
                <w:rFonts w:ascii="Arial" w:hAnsi="Arial" w:cs="Arial"/>
                <w:color w:val="000000"/>
                <w:sz w:val="16"/>
                <w:szCs w:val="16"/>
              </w:rPr>
              <w:t>Total</w:t>
            </w:r>
            <w:r w:rsidRPr="005131E7">
              <w:rPr>
                <w:rFonts w:ascii="Arial" w:hAnsi="Arial" w:cs="Arial"/>
                <w:color w:val="000000"/>
                <w:sz w:val="16"/>
                <w:szCs w:val="16"/>
              </w:rPr>
              <w:br/>
              <w:t>estimate at</w:t>
            </w:r>
            <w:r w:rsidRPr="005131E7">
              <w:rPr>
                <w:rFonts w:ascii="Arial" w:hAnsi="Arial" w:cs="Arial"/>
                <w:color w:val="000000"/>
                <w:sz w:val="16"/>
                <w:szCs w:val="16"/>
              </w:rPr>
              <w:br/>
              <w:t>Additional</w:t>
            </w:r>
            <w:r w:rsidRPr="005131E7">
              <w:rPr>
                <w:rFonts w:ascii="Arial" w:hAnsi="Arial" w:cs="Arial"/>
                <w:color w:val="000000"/>
                <w:sz w:val="16"/>
                <w:szCs w:val="16"/>
              </w:rPr>
              <w:br/>
              <w:t>Estimates</w:t>
            </w:r>
            <w:r w:rsidRPr="005131E7">
              <w:rPr>
                <w:rFonts w:ascii="Arial" w:hAnsi="Arial" w:cs="Arial"/>
                <w:color w:val="000000"/>
                <w:sz w:val="16"/>
                <w:szCs w:val="16"/>
              </w:rPr>
              <w:br/>
              <w:t>2021-22</w:t>
            </w:r>
            <w:r w:rsidRPr="005131E7">
              <w:rPr>
                <w:rFonts w:ascii="Arial" w:hAnsi="Arial" w:cs="Arial"/>
                <w:color w:val="000000"/>
                <w:sz w:val="16"/>
                <w:szCs w:val="16"/>
              </w:rPr>
              <w:br/>
              <w:t>$'000</w:t>
            </w:r>
          </w:p>
        </w:tc>
      </w:tr>
      <w:tr w:rsidR="005131E7" w:rsidRPr="00E62385" w14:paraId="506D3A17" w14:textId="77777777" w:rsidTr="00AC2F7F">
        <w:trPr>
          <w:trHeight w:val="204"/>
        </w:trPr>
        <w:tc>
          <w:tcPr>
            <w:tcW w:w="3119" w:type="dxa"/>
            <w:tcBorders>
              <w:top w:val="nil"/>
              <w:left w:val="nil"/>
              <w:bottom w:val="nil"/>
              <w:right w:val="nil"/>
            </w:tcBorders>
            <w:shd w:val="clear" w:color="000000" w:fill="FFFFFF"/>
            <w:noWrap/>
            <w:vAlign w:val="bottom"/>
            <w:hideMark/>
          </w:tcPr>
          <w:p w14:paraId="7756BF5D" w14:textId="17A720FA" w:rsidR="005131E7" w:rsidRPr="00E62385" w:rsidRDefault="005131E7" w:rsidP="005131E7">
            <w:pPr>
              <w:spacing w:after="0" w:line="240" w:lineRule="auto"/>
              <w:jc w:val="left"/>
              <w:rPr>
                <w:rFonts w:ascii="Arial" w:hAnsi="Arial" w:cs="Arial"/>
                <w:b/>
                <w:bCs/>
                <w:color w:val="000000"/>
                <w:sz w:val="16"/>
                <w:szCs w:val="16"/>
              </w:rPr>
            </w:pPr>
            <w:r w:rsidRPr="00E62385">
              <w:rPr>
                <w:rFonts w:ascii="Arial" w:hAnsi="Arial" w:cs="Arial"/>
                <w:b/>
                <w:bCs/>
                <w:color w:val="000000"/>
                <w:sz w:val="16"/>
                <w:szCs w:val="16"/>
              </w:rPr>
              <w:t>Opening balance/cash reserves at 1</w:t>
            </w:r>
            <w:r w:rsidR="00AC2F7F" w:rsidRPr="00E62385">
              <w:rPr>
                <w:rFonts w:ascii="Arial" w:hAnsi="Arial" w:cs="Arial"/>
                <w:b/>
                <w:bCs/>
                <w:color w:val="000000"/>
                <w:sz w:val="16"/>
                <w:szCs w:val="16"/>
              </w:rPr>
              <w:t> </w:t>
            </w:r>
            <w:r w:rsidRPr="00E62385">
              <w:rPr>
                <w:rFonts w:ascii="Arial" w:hAnsi="Arial" w:cs="Arial"/>
                <w:b/>
                <w:bCs/>
                <w:color w:val="000000"/>
                <w:sz w:val="16"/>
                <w:szCs w:val="16"/>
              </w:rPr>
              <w:t>July</w:t>
            </w:r>
          </w:p>
        </w:tc>
        <w:tc>
          <w:tcPr>
            <w:tcW w:w="1150" w:type="dxa"/>
            <w:tcBorders>
              <w:top w:val="single" w:sz="4" w:space="0" w:color="auto"/>
              <w:left w:val="nil"/>
              <w:bottom w:val="single" w:sz="4" w:space="0" w:color="auto"/>
              <w:right w:val="nil"/>
            </w:tcBorders>
            <w:shd w:val="clear" w:color="000000" w:fill="FFFFFF"/>
            <w:noWrap/>
            <w:vAlign w:val="bottom"/>
            <w:hideMark/>
          </w:tcPr>
          <w:p w14:paraId="55F85B9A" w14:textId="7B4C2DE8" w:rsidR="005131E7" w:rsidRPr="0040418E" w:rsidRDefault="005131E7" w:rsidP="005131E7">
            <w:pPr>
              <w:spacing w:after="0" w:line="240" w:lineRule="auto"/>
              <w:jc w:val="right"/>
              <w:rPr>
                <w:rFonts w:ascii="Arial" w:hAnsi="Arial" w:cs="Arial"/>
                <w:b/>
                <w:iCs/>
                <w:color w:val="000000"/>
                <w:sz w:val="16"/>
                <w:szCs w:val="16"/>
              </w:rPr>
            </w:pPr>
            <w:r w:rsidRPr="0040418E">
              <w:rPr>
                <w:rFonts w:ascii="Arial" w:hAnsi="Arial" w:cs="Arial"/>
                <w:b/>
                <w:iCs/>
                <w:color w:val="000000"/>
                <w:sz w:val="16"/>
                <w:szCs w:val="16"/>
              </w:rPr>
              <w:t>49,785</w:t>
            </w:r>
          </w:p>
        </w:tc>
        <w:tc>
          <w:tcPr>
            <w:tcW w:w="1115" w:type="dxa"/>
            <w:tcBorders>
              <w:top w:val="single" w:sz="4" w:space="0" w:color="auto"/>
              <w:left w:val="nil"/>
              <w:bottom w:val="single" w:sz="4" w:space="0" w:color="auto"/>
              <w:right w:val="nil"/>
            </w:tcBorders>
            <w:shd w:val="clear" w:color="000000" w:fill="FFFFFF"/>
            <w:noWrap/>
            <w:vAlign w:val="bottom"/>
            <w:hideMark/>
          </w:tcPr>
          <w:p w14:paraId="33DF16DC" w14:textId="348A1B16" w:rsidR="005131E7" w:rsidRPr="0040418E" w:rsidRDefault="005131E7" w:rsidP="005131E7">
            <w:pPr>
              <w:spacing w:after="0" w:line="240" w:lineRule="auto"/>
              <w:jc w:val="right"/>
              <w:rPr>
                <w:rFonts w:ascii="Arial" w:hAnsi="Arial" w:cs="Arial"/>
                <w:b/>
                <w:iCs/>
                <w:color w:val="000000"/>
                <w:sz w:val="16"/>
                <w:szCs w:val="16"/>
              </w:rPr>
            </w:pPr>
            <w:r w:rsidRPr="0040418E">
              <w:rPr>
                <w:rFonts w:ascii="Arial" w:hAnsi="Arial" w:cs="Arial"/>
                <w:b/>
                <w:iCs/>
                <w:color w:val="000000"/>
                <w:sz w:val="16"/>
                <w:szCs w:val="16"/>
              </w:rPr>
              <w:t>44,753</w:t>
            </w:r>
          </w:p>
        </w:tc>
        <w:tc>
          <w:tcPr>
            <w:tcW w:w="1116" w:type="dxa"/>
            <w:tcBorders>
              <w:top w:val="single" w:sz="4" w:space="0" w:color="auto"/>
              <w:left w:val="nil"/>
              <w:bottom w:val="single" w:sz="4" w:space="0" w:color="auto"/>
              <w:right w:val="nil"/>
            </w:tcBorders>
            <w:shd w:val="clear" w:color="000000" w:fill="FFFFFF"/>
            <w:noWrap/>
            <w:vAlign w:val="bottom"/>
            <w:hideMark/>
          </w:tcPr>
          <w:p w14:paraId="107CCFB0" w14:textId="313DF3EF" w:rsidR="005131E7" w:rsidRPr="0040418E" w:rsidRDefault="005131E7" w:rsidP="005131E7">
            <w:pPr>
              <w:spacing w:after="0" w:line="240" w:lineRule="auto"/>
              <w:jc w:val="right"/>
              <w:rPr>
                <w:rFonts w:ascii="Arial" w:hAnsi="Arial" w:cs="Arial"/>
                <w:b/>
                <w:iCs/>
                <w:color w:val="000000"/>
                <w:sz w:val="16"/>
                <w:szCs w:val="16"/>
              </w:rPr>
            </w:pPr>
            <w:r w:rsidRPr="0040418E">
              <w:rPr>
                <w:rFonts w:ascii="Arial" w:hAnsi="Arial" w:cs="Arial"/>
                <w:b/>
                <w:iCs/>
                <w:color w:val="000000"/>
                <w:sz w:val="16"/>
                <w:szCs w:val="16"/>
              </w:rPr>
              <w:t>21,124</w:t>
            </w:r>
          </w:p>
        </w:tc>
        <w:tc>
          <w:tcPr>
            <w:tcW w:w="1116" w:type="dxa"/>
            <w:tcBorders>
              <w:top w:val="single" w:sz="4" w:space="0" w:color="auto"/>
              <w:left w:val="nil"/>
              <w:bottom w:val="single" w:sz="4" w:space="0" w:color="auto"/>
              <w:right w:val="nil"/>
            </w:tcBorders>
            <w:shd w:val="clear" w:color="000000" w:fill="E6E6E6"/>
            <w:noWrap/>
            <w:vAlign w:val="bottom"/>
            <w:hideMark/>
          </w:tcPr>
          <w:p w14:paraId="1F385DA5" w14:textId="30C3E29B" w:rsidR="005131E7" w:rsidRPr="0040418E" w:rsidRDefault="005131E7" w:rsidP="005131E7">
            <w:pPr>
              <w:spacing w:after="0" w:line="240" w:lineRule="auto"/>
              <w:jc w:val="right"/>
              <w:rPr>
                <w:rFonts w:ascii="Arial" w:hAnsi="Arial" w:cs="Arial"/>
                <w:b/>
                <w:color w:val="000000"/>
                <w:sz w:val="16"/>
                <w:szCs w:val="16"/>
              </w:rPr>
            </w:pPr>
            <w:r w:rsidRPr="0040418E">
              <w:rPr>
                <w:rFonts w:ascii="Arial" w:hAnsi="Arial" w:cs="Arial"/>
                <w:b/>
                <w:color w:val="000000"/>
                <w:sz w:val="16"/>
                <w:szCs w:val="16"/>
              </w:rPr>
              <w:t>65,877</w:t>
            </w:r>
          </w:p>
        </w:tc>
      </w:tr>
      <w:tr w:rsidR="005131E7" w:rsidRPr="00E62385" w14:paraId="5B441043" w14:textId="77777777" w:rsidTr="00AC2F7F">
        <w:trPr>
          <w:trHeight w:val="204"/>
        </w:trPr>
        <w:tc>
          <w:tcPr>
            <w:tcW w:w="3119" w:type="dxa"/>
            <w:tcBorders>
              <w:top w:val="nil"/>
              <w:left w:val="nil"/>
              <w:bottom w:val="nil"/>
              <w:right w:val="nil"/>
            </w:tcBorders>
            <w:shd w:val="clear" w:color="000000" w:fill="FFFFFF"/>
            <w:vAlign w:val="bottom"/>
            <w:hideMark/>
          </w:tcPr>
          <w:p w14:paraId="095A5236" w14:textId="77777777" w:rsidR="005131E7" w:rsidRPr="00E62385" w:rsidRDefault="005131E7" w:rsidP="005131E7">
            <w:pPr>
              <w:spacing w:after="0" w:line="240" w:lineRule="auto"/>
              <w:jc w:val="left"/>
              <w:rPr>
                <w:rFonts w:ascii="Arial" w:hAnsi="Arial" w:cs="Arial"/>
                <w:b/>
                <w:bCs/>
                <w:color w:val="000000"/>
                <w:sz w:val="16"/>
                <w:szCs w:val="16"/>
              </w:rPr>
            </w:pPr>
            <w:r w:rsidRPr="00E62385">
              <w:rPr>
                <w:rFonts w:ascii="Arial" w:hAnsi="Arial" w:cs="Arial"/>
                <w:b/>
                <w:bCs/>
                <w:color w:val="000000"/>
                <w:sz w:val="16"/>
                <w:szCs w:val="16"/>
              </w:rPr>
              <w:t>Funds from Government</w:t>
            </w:r>
          </w:p>
        </w:tc>
        <w:tc>
          <w:tcPr>
            <w:tcW w:w="1150" w:type="dxa"/>
            <w:tcBorders>
              <w:top w:val="nil"/>
              <w:left w:val="nil"/>
              <w:bottom w:val="nil"/>
              <w:right w:val="nil"/>
            </w:tcBorders>
            <w:shd w:val="clear" w:color="000000" w:fill="FFFFFF"/>
            <w:noWrap/>
            <w:vAlign w:val="bottom"/>
            <w:hideMark/>
          </w:tcPr>
          <w:p w14:paraId="69108A87" w14:textId="65D9126C" w:rsidR="005131E7" w:rsidRPr="00E62385" w:rsidRDefault="005131E7" w:rsidP="005131E7">
            <w:pPr>
              <w:spacing w:after="0" w:line="240" w:lineRule="auto"/>
              <w:jc w:val="right"/>
              <w:rPr>
                <w:rFonts w:ascii="Arial" w:hAnsi="Arial" w:cs="Arial"/>
                <w:iCs/>
                <w:color w:val="000000"/>
                <w:sz w:val="16"/>
                <w:szCs w:val="16"/>
              </w:rPr>
            </w:pPr>
          </w:p>
        </w:tc>
        <w:tc>
          <w:tcPr>
            <w:tcW w:w="1115" w:type="dxa"/>
            <w:tcBorders>
              <w:top w:val="nil"/>
              <w:left w:val="nil"/>
              <w:bottom w:val="nil"/>
              <w:right w:val="nil"/>
            </w:tcBorders>
            <w:shd w:val="clear" w:color="000000" w:fill="FFFFFF"/>
            <w:noWrap/>
            <w:vAlign w:val="bottom"/>
            <w:hideMark/>
          </w:tcPr>
          <w:p w14:paraId="3A9F3DA0" w14:textId="53A4A954" w:rsidR="005131E7" w:rsidRPr="00E62385" w:rsidRDefault="005131E7" w:rsidP="005131E7">
            <w:pPr>
              <w:spacing w:after="0" w:line="240" w:lineRule="auto"/>
              <w:jc w:val="right"/>
              <w:rPr>
                <w:rFonts w:ascii="Arial" w:hAnsi="Arial" w:cs="Arial"/>
                <w:iCs/>
                <w:color w:val="000000"/>
                <w:sz w:val="16"/>
                <w:szCs w:val="16"/>
              </w:rPr>
            </w:pPr>
          </w:p>
        </w:tc>
        <w:tc>
          <w:tcPr>
            <w:tcW w:w="1116" w:type="dxa"/>
            <w:tcBorders>
              <w:top w:val="nil"/>
              <w:left w:val="nil"/>
              <w:bottom w:val="nil"/>
              <w:right w:val="nil"/>
            </w:tcBorders>
            <w:shd w:val="clear" w:color="000000" w:fill="FFFFFF"/>
            <w:noWrap/>
            <w:vAlign w:val="bottom"/>
            <w:hideMark/>
          </w:tcPr>
          <w:p w14:paraId="0A0C0223" w14:textId="6F00CB29" w:rsidR="005131E7" w:rsidRPr="00E62385" w:rsidRDefault="005131E7" w:rsidP="005131E7">
            <w:pPr>
              <w:spacing w:after="0" w:line="240" w:lineRule="auto"/>
              <w:jc w:val="right"/>
              <w:rPr>
                <w:rFonts w:ascii="Arial" w:hAnsi="Arial" w:cs="Arial"/>
                <w:iCs/>
                <w:color w:val="000000"/>
                <w:sz w:val="16"/>
                <w:szCs w:val="16"/>
              </w:rPr>
            </w:pPr>
          </w:p>
        </w:tc>
        <w:tc>
          <w:tcPr>
            <w:tcW w:w="1116" w:type="dxa"/>
            <w:tcBorders>
              <w:top w:val="nil"/>
              <w:left w:val="nil"/>
              <w:bottom w:val="nil"/>
              <w:right w:val="nil"/>
            </w:tcBorders>
            <w:shd w:val="clear" w:color="000000" w:fill="E6E6E6"/>
            <w:noWrap/>
            <w:vAlign w:val="bottom"/>
            <w:hideMark/>
          </w:tcPr>
          <w:p w14:paraId="09BAB87C" w14:textId="0C7EE752" w:rsidR="005131E7" w:rsidRPr="00E62385" w:rsidRDefault="005131E7" w:rsidP="005131E7">
            <w:pPr>
              <w:spacing w:after="0" w:line="240" w:lineRule="auto"/>
              <w:jc w:val="right"/>
              <w:rPr>
                <w:rFonts w:ascii="Arial" w:hAnsi="Arial" w:cs="Arial"/>
                <w:color w:val="000000"/>
                <w:sz w:val="16"/>
                <w:szCs w:val="16"/>
              </w:rPr>
            </w:pPr>
          </w:p>
        </w:tc>
      </w:tr>
      <w:tr w:rsidR="005131E7" w:rsidRPr="00E62385" w14:paraId="48EE33D0" w14:textId="77777777" w:rsidTr="00AC2F7F">
        <w:trPr>
          <w:trHeight w:val="204"/>
        </w:trPr>
        <w:tc>
          <w:tcPr>
            <w:tcW w:w="3119" w:type="dxa"/>
            <w:tcBorders>
              <w:top w:val="nil"/>
              <w:left w:val="nil"/>
              <w:bottom w:val="nil"/>
              <w:right w:val="nil"/>
            </w:tcBorders>
            <w:shd w:val="clear" w:color="000000" w:fill="FFFFFF"/>
            <w:vAlign w:val="bottom"/>
            <w:hideMark/>
          </w:tcPr>
          <w:p w14:paraId="5D30C26A" w14:textId="77777777" w:rsidR="005131E7" w:rsidRPr="00E62385" w:rsidRDefault="005131E7" w:rsidP="005131E7">
            <w:pPr>
              <w:spacing w:after="0" w:line="240" w:lineRule="auto"/>
              <w:jc w:val="left"/>
              <w:rPr>
                <w:rFonts w:ascii="Arial" w:hAnsi="Arial" w:cs="Arial"/>
                <w:color w:val="000000"/>
                <w:sz w:val="16"/>
                <w:szCs w:val="16"/>
              </w:rPr>
            </w:pPr>
            <w:r w:rsidRPr="00E62385">
              <w:rPr>
                <w:rFonts w:ascii="Arial" w:hAnsi="Arial" w:cs="Arial"/>
                <w:color w:val="000000"/>
                <w:sz w:val="16"/>
                <w:szCs w:val="16"/>
              </w:rPr>
              <w:t xml:space="preserve">Annual appropriations - ordinary annual services </w:t>
            </w:r>
            <w:r w:rsidRPr="00E62385">
              <w:rPr>
                <w:rFonts w:ascii="Arial" w:hAnsi="Arial" w:cs="Arial"/>
                <w:color w:val="000000"/>
                <w:sz w:val="16"/>
                <w:szCs w:val="16"/>
                <w:vertAlign w:val="superscript"/>
              </w:rPr>
              <w:t>(a)</w:t>
            </w:r>
          </w:p>
        </w:tc>
        <w:tc>
          <w:tcPr>
            <w:tcW w:w="1150" w:type="dxa"/>
            <w:tcBorders>
              <w:top w:val="nil"/>
              <w:left w:val="nil"/>
              <w:bottom w:val="nil"/>
              <w:right w:val="nil"/>
            </w:tcBorders>
            <w:shd w:val="clear" w:color="000000" w:fill="FFFFFF"/>
            <w:noWrap/>
            <w:vAlign w:val="bottom"/>
            <w:hideMark/>
          </w:tcPr>
          <w:p w14:paraId="329F41D0" w14:textId="7B7CFF57" w:rsidR="005131E7" w:rsidRPr="00E62385" w:rsidRDefault="005131E7" w:rsidP="005131E7">
            <w:pPr>
              <w:spacing w:after="0" w:line="240" w:lineRule="auto"/>
              <w:jc w:val="right"/>
              <w:rPr>
                <w:rFonts w:ascii="Arial" w:hAnsi="Arial" w:cs="Arial"/>
                <w:iCs/>
                <w:color w:val="000000"/>
                <w:sz w:val="16"/>
                <w:szCs w:val="16"/>
              </w:rPr>
            </w:pPr>
          </w:p>
        </w:tc>
        <w:tc>
          <w:tcPr>
            <w:tcW w:w="1115" w:type="dxa"/>
            <w:tcBorders>
              <w:top w:val="nil"/>
              <w:left w:val="nil"/>
              <w:bottom w:val="nil"/>
              <w:right w:val="nil"/>
            </w:tcBorders>
            <w:shd w:val="clear" w:color="000000" w:fill="FFFFFF"/>
            <w:noWrap/>
            <w:vAlign w:val="bottom"/>
            <w:hideMark/>
          </w:tcPr>
          <w:p w14:paraId="22AC9238" w14:textId="055CA28C" w:rsidR="005131E7" w:rsidRPr="00E62385" w:rsidRDefault="005131E7" w:rsidP="005131E7">
            <w:pPr>
              <w:spacing w:after="0" w:line="240" w:lineRule="auto"/>
              <w:jc w:val="right"/>
              <w:rPr>
                <w:rFonts w:ascii="Arial" w:hAnsi="Arial" w:cs="Arial"/>
                <w:iCs/>
                <w:color w:val="000000"/>
                <w:sz w:val="16"/>
                <w:szCs w:val="16"/>
              </w:rPr>
            </w:pPr>
          </w:p>
        </w:tc>
        <w:tc>
          <w:tcPr>
            <w:tcW w:w="1116" w:type="dxa"/>
            <w:tcBorders>
              <w:top w:val="nil"/>
              <w:left w:val="nil"/>
              <w:bottom w:val="nil"/>
              <w:right w:val="nil"/>
            </w:tcBorders>
            <w:shd w:val="clear" w:color="000000" w:fill="FFFFFF"/>
            <w:noWrap/>
            <w:vAlign w:val="bottom"/>
            <w:hideMark/>
          </w:tcPr>
          <w:p w14:paraId="51723706" w14:textId="4DD484BD" w:rsidR="005131E7" w:rsidRPr="00E62385" w:rsidRDefault="005131E7" w:rsidP="005131E7">
            <w:pPr>
              <w:spacing w:after="0" w:line="240" w:lineRule="auto"/>
              <w:jc w:val="right"/>
              <w:rPr>
                <w:rFonts w:ascii="Arial" w:hAnsi="Arial" w:cs="Arial"/>
                <w:iCs/>
                <w:color w:val="000000"/>
                <w:sz w:val="16"/>
                <w:szCs w:val="16"/>
              </w:rPr>
            </w:pPr>
          </w:p>
        </w:tc>
        <w:tc>
          <w:tcPr>
            <w:tcW w:w="1116" w:type="dxa"/>
            <w:tcBorders>
              <w:top w:val="nil"/>
              <w:left w:val="nil"/>
              <w:bottom w:val="nil"/>
              <w:right w:val="nil"/>
            </w:tcBorders>
            <w:shd w:val="clear" w:color="000000" w:fill="E6E6E6"/>
            <w:noWrap/>
            <w:vAlign w:val="bottom"/>
            <w:hideMark/>
          </w:tcPr>
          <w:p w14:paraId="25B5C25D" w14:textId="6CF5231F" w:rsidR="005131E7" w:rsidRPr="00E62385" w:rsidRDefault="005131E7" w:rsidP="005131E7">
            <w:pPr>
              <w:spacing w:after="0" w:line="240" w:lineRule="auto"/>
              <w:jc w:val="right"/>
              <w:rPr>
                <w:rFonts w:ascii="Arial" w:hAnsi="Arial" w:cs="Arial"/>
                <w:color w:val="000000"/>
                <w:sz w:val="16"/>
                <w:szCs w:val="16"/>
              </w:rPr>
            </w:pPr>
          </w:p>
        </w:tc>
      </w:tr>
      <w:tr w:rsidR="005131E7" w:rsidRPr="00E62385" w14:paraId="18ADA26E" w14:textId="77777777" w:rsidTr="00AC2F7F">
        <w:trPr>
          <w:trHeight w:val="204"/>
        </w:trPr>
        <w:tc>
          <w:tcPr>
            <w:tcW w:w="3119" w:type="dxa"/>
            <w:tcBorders>
              <w:top w:val="nil"/>
              <w:left w:val="nil"/>
              <w:bottom w:val="nil"/>
              <w:right w:val="nil"/>
            </w:tcBorders>
            <w:shd w:val="clear" w:color="000000" w:fill="FFFFFF"/>
            <w:vAlign w:val="bottom"/>
            <w:hideMark/>
          </w:tcPr>
          <w:p w14:paraId="75469E15" w14:textId="77777777" w:rsidR="005131E7" w:rsidRPr="00E62385" w:rsidRDefault="005131E7" w:rsidP="00AC2F7F">
            <w:pPr>
              <w:spacing w:after="0" w:line="240" w:lineRule="auto"/>
              <w:ind w:left="113"/>
              <w:jc w:val="left"/>
              <w:rPr>
                <w:rFonts w:ascii="Arial" w:hAnsi="Arial" w:cs="Arial"/>
                <w:color w:val="000000"/>
                <w:sz w:val="16"/>
                <w:szCs w:val="16"/>
              </w:rPr>
            </w:pPr>
            <w:r w:rsidRPr="00E62385">
              <w:rPr>
                <w:rFonts w:ascii="Arial" w:hAnsi="Arial" w:cs="Arial"/>
                <w:color w:val="000000"/>
                <w:sz w:val="16"/>
                <w:szCs w:val="16"/>
              </w:rPr>
              <w:t>Outcome 1</w:t>
            </w:r>
          </w:p>
        </w:tc>
        <w:tc>
          <w:tcPr>
            <w:tcW w:w="1150" w:type="dxa"/>
            <w:tcBorders>
              <w:top w:val="nil"/>
              <w:left w:val="nil"/>
              <w:bottom w:val="nil"/>
              <w:right w:val="nil"/>
            </w:tcBorders>
            <w:shd w:val="clear" w:color="000000" w:fill="FFFFFF"/>
            <w:noWrap/>
            <w:vAlign w:val="bottom"/>
            <w:hideMark/>
          </w:tcPr>
          <w:p w14:paraId="312B7E92" w14:textId="13513BA6"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128,424</w:t>
            </w:r>
          </w:p>
        </w:tc>
        <w:tc>
          <w:tcPr>
            <w:tcW w:w="1115" w:type="dxa"/>
            <w:tcBorders>
              <w:top w:val="nil"/>
              <w:left w:val="nil"/>
              <w:bottom w:val="nil"/>
              <w:right w:val="nil"/>
            </w:tcBorders>
            <w:shd w:val="clear" w:color="000000" w:fill="FFFFFF"/>
            <w:noWrap/>
            <w:vAlign w:val="bottom"/>
            <w:hideMark/>
          </w:tcPr>
          <w:p w14:paraId="6CA37317" w14:textId="2E6A0BA0"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102,082</w:t>
            </w:r>
          </w:p>
        </w:tc>
        <w:tc>
          <w:tcPr>
            <w:tcW w:w="1116" w:type="dxa"/>
            <w:tcBorders>
              <w:top w:val="nil"/>
              <w:left w:val="nil"/>
              <w:bottom w:val="nil"/>
              <w:right w:val="nil"/>
            </w:tcBorders>
            <w:shd w:val="clear" w:color="000000" w:fill="FFFFFF"/>
            <w:noWrap/>
            <w:vAlign w:val="bottom"/>
            <w:hideMark/>
          </w:tcPr>
          <w:p w14:paraId="55832135" w14:textId="354CB512"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20,000</w:t>
            </w:r>
          </w:p>
        </w:tc>
        <w:tc>
          <w:tcPr>
            <w:tcW w:w="1116" w:type="dxa"/>
            <w:tcBorders>
              <w:top w:val="nil"/>
              <w:left w:val="nil"/>
              <w:bottom w:val="nil"/>
              <w:right w:val="nil"/>
            </w:tcBorders>
            <w:shd w:val="clear" w:color="000000" w:fill="E6E6E6"/>
            <w:noWrap/>
            <w:vAlign w:val="bottom"/>
            <w:hideMark/>
          </w:tcPr>
          <w:p w14:paraId="229DBECE" w14:textId="5ACB3301" w:rsidR="005131E7" w:rsidRPr="00E62385" w:rsidRDefault="005131E7" w:rsidP="005131E7">
            <w:pPr>
              <w:spacing w:after="0" w:line="240" w:lineRule="auto"/>
              <w:jc w:val="right"/>
              <w:rPr>
                <w:rFonts w:ascii="Arial" w:hAnsi="Arial" w:cs="Arial"/>
                <w:color w:val="000000"/>
                <w:sz w:val="16"/>
                <w:szCs w:val="16"/>
              </w:rPr>
            </w:pPr>
            <w:r w:rsidRPr="00E62385">
              <w:rPr>
                <w:rFonts w:ascii="Arial" w:hAnsi="Arial" w:cs="Arial"/>
                <w:color w:val="000000"/>
                <w:sz w:val="16"/>
                <w:szCs w:val="16"/>
              </w:rPr>
              <w:t>122,082</w:t>
            </w:r>
          </w:p>
        </w:tc>
      </w:tr>
      <w:tr w:rsidR="005131E7" w:rsidRPr="00E62385" w14:paraId="6A0EFCA6" w14:textId="77777777" w:rsidTr="00AC2F7F">
        <w:trPr>
          <w:trHeight w:val="204"/>
        </w:trPr>
        <w:tc>
          <w:tcPr>
            <w:tcW w:w="3119" w:type="dxa"/>
            <w:tcBorders>
              <w:top w:val="nil"/>
              <w:left w:val="nil"/>
              <w:bottom w:val="nil"/>
              <w:right w:val="nil"/>
            </w:tcBorders>
            <w:shd w:val="clear" w:color="000000" w:fill="FFFFFF"/>
            <w:vAlign w:val="bottom"/>
            <w:hideMark/>
          </w:tcPr>
          <w:p w14:paraId="583D1546" w14:textId="77777777" w:rsidR="005131E7" w:rsidRPr="00E62385" w:rsidRDefault="005131E7" w:rsidP="005131E7">
            <w:pPr>
              <w:spacing w:after="0" w:line="240" w:lineRule="auto"/>
              <w:jc w:val="left"/>
              <w:rPr>
                <w:rFonts w:ascii="Arial" w:hAnsi="Arial" w:cs="Arial"/>
                <w:color w:val="000000"/>
                <w:sz w:val="16"/>
                <w:szCs w:val="16"/>
              </w:rPr>
            </w:pPr>
            <w:r w:rsidRPr="00E62385">
              <w:rPr>
                <w:rFonts w:ascii="Arial" w:hAnsi="Arial" w:cs="Arial"/>
                <w:color w:val="000000"/>
                <w:sz w:val="16"/>
                <w:szCs w:val="16"/>
              </w:rPr>
              <w:t>Total annual appropriations</w:t>
            </w:r>
          </w:p>
        </w:tc>
        <w:tc>
          <w:tcPr>
            <w:tcW w:w="1150" w:type="dxa"/>
            <w:tcBorders>
              <w:top w:val="single" w:sz="4" w:space="0" w:color="auto"/>
              <w:left w:val="nil"/>
              <w:bottom w:val="single" w:sz="4" w:space="0" w:color="auto"/>
              <w:right w:val="nil"/>
            </w:tcBorders>
            <w:shd w:val="clear" w:color="000000" w:fill="FFFFFF"/>
            <w:noWrap/>
            <w:vAlign w:val="bottom"/>
            <w:hideMark/>
          </w:tcPr>
          <w:p w14:paraId="3A660AED" w14:textId="4070816F"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128,424</w:t>
            </w:r>
          </w:p>
        </w:tc>
        <w:tc>
          <w:tcPr>
            <w:tcW w:w="1115" w:type="dxa"/>
            <w:tcBorders>
              <w:top w:val="single" w:sz="4" w:space="0" w:color="auto"/>
              <w:left w:val="nil"/>
              <w:bottom w:val="single" w:sz="4" w:space="0" w:color="auto"/>
              <w:right w:val="nil"/>
            </w:tcBorders>
            <w:shd w:val="clear" w:color="000000" w:fill="FFFFFF"/>
            <w:noWrap/>
            <w:vAlign w:val="bottom"/>
            <w:hideMark/>
          </w:tcPr>
          <w:p w14:paraId="77BE0088" w14:textId="37225185"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102,082</w:t>
            </w:r>
          </w:p>
        </w:tc>
        <w:tc>
          <w:tcPr>
            <w:tcW w:w="1116" w:type="dxa"/>
            <w:tcBorders>
              <w:top w:val="single" w:sz="4" w:space="0" w:color="auto"/>
              <w:left w:val="nil"/>
              <w:bottom w:val="single" w:sz="4" w:space="0" w:color="auto"/>
              <w:right w:val="nil"/>
            </w:tcBorders>
            <w:shd w:val="clear" w:color="000000" w:fill="FFFFFF"/>
            <w:noWrap/>
            <w:vAlign w:val="bottom"/>
            <w:hideMark/>
          </w:tcPr>
          <w:p w14:paraId="4F276AD3" w14:textId="3A9E3F1F"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20,000</w:t>
            </w:r>
          </w:p>
        </w:tc>
        <w:tc>
          <w:tcPr>
            <w:tcW w:w="1116" w:type="dxa"/>
            <w:tcBorders>
              <w:top w:val="single" w:sz="4" w:space="0" w:color="auto"/>
              <w:left w:val="nil"/>
              <w:bottom w:val="single" w:sz="4" w:space="0" w:color="auto"/>
              <w:right w:val="nil"/>
            </w:tcBorders>
            <w:shd w:val="clear" w:color="000000" w:fill="E6E6E6"/>
            <w:noWrap/>
            <w:vAlign w:val="bottom"/>
            <w:hideMark/>
          </w:tcPr>
          <w:p w14:paraId="3639FF96" w14:textId="63E86000"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122,082</w:t>
            </w:r>
          </w:p>
        </w:tc>
      </w:tr>
      <w:tr w:rsidR="005131E7" w:rsidRPr="00E62385" w14:paraId="7C6EF466" w14:textId="77777777" w:rsidTr="00AC2F7F">
        <w:trPr>
          <w:trHeight w:val="204"/>
        </w:trPr>
        <w:tc>
          <w:tcPr>
            <w:tcW w:w="3119" w:type="dxa"/>
            <w:tcBorders>
              <w:top w:val="nil"/>
              <w:left w:val="nil"/>
              <w:bottom w:val="nil"/>
              <w:right w:val="nil"/>
            </w:tcBorders>
            <w:shd w:val="clear" w:color="000000" w:fill="FFFFFF"/>
            <w:vAlign w:val="bottom"/>
            <w:hideMark/>
          </w:tcPr>
          <w:p w14:paraId="5BFF605E" w14:textId="77777777" w:rsidR="005131E7" w:rsidRPr="00E62385" w:rsidRDefault="005131E7" w:rsidP="005131E7">
            <w:pPr>
              <w:spacing w:after="0" w:line="240" w:lineRule="auto"/>
              <w:jc w:val="left"/>
              <w:rPr>
                <w:rFonts w:ascii="Arial" w:hAnsi="Arial" w:cs="Arial"/>
                <w:color w:val="000000"/>
                <w:sz w:val="16"/>
                <w:szCs w:val="16"/>
              </w:rPr>
            </w:pPr>
            <w:r w:rsidRPr="00E62385">
              <w:rPr>
                <w:rFonts w:ascii="Arial" w:hAnsi="Arial" w:cs="Arial"/>
                <w:color w:val="000000"/>
                <w:sz w:val="16"/>
                <w:szCs w:val="16"/>
              </w:rPr>
              <w:t>Special appropriations</w:t>
            </w:r>
          </w:p>
        </w:tc>
        <w:tc>
          <w:tcPr>
            <w:tcW w:w="1150" w:type="dxa"/>
            <w:tcBorders>
              <w:top w:val="nil"/>
              <w:left w:val="nil"/>
              <w:bottom w:val="nil"/>
              <w:right w:val="nil"/>
            </w:tcBorders>
            <w:shd w:val="clear" w:color="000000" w:fill="FFFFFF"/>
            <w:noWrap/>
            <w:vAlign w:val="bottom"/>
            <w:hideMark/>
          </w:tcPr>
          <w:p w14:paraId="6F20DDD9" w14:textId="64B7D4BD" w:rsidR="005131E7" w:rsidRPr="00E62385" w:rsidRDefault="005131E7" w:rsidP="005131E7">
            <w:pPr>
              <w:spacing w:after="0" w:line="240" w:lineRule="auto"/>
              <w:jc w:val="right"/>
              <w:rPr>
                <w:rFonts w:ascii="Arial" w:hAnsi="Arial" w:cs="Arial"/>
                <w:iCs/>
                <w:color w:val="000000"/>
                <w:sz w:val="16"/>
                <w:szCs w:val="16"/>
              </w:rPr>
            </w:pPr>
          </w:p>
        </w:tc>
        <w:tc>
          <w:tcPr>
            <w:tcW w:w="1115" w:type="dxa"/>
            <w:tcBorders>
              <w:top w:val="nil"/>
              <w:left w:val="nil"/>
              <w:bottom w:val="nil"/>
              <w:right w:val="nil"/>
            </w:tcBorders>
            <w:shd w:val="clear" w:color="000000" w:fill="FFFFFF"/>
            <w:noWrap/>
            <w:vAlign w:val="bottom"/>
            <w:hideMark/>
          </w:tcPr>
          <w:p w14:paraId="5AEBB6A8" w14:textId="7B693059" w:rsidR="005131E7" w:rsidRPr="00E62385" w:rsidRDefault="005131E7" w:rsidP="005131E7">
            <w:pPr>
              <w:spacing w:after="0" w:line="240" w:lineRule="auto"/>
              <w:jc w:val="right"/>
              <w:rPr>
                <w:rFonts w:ascii="Arial" w:hAnsi="Arial" w:cs="Arial"/>
                <w:iCs/>
                <w:color w:val="000000"/>
                <w:sz w:val="16"/>
                <w:szCs w:val="16"/>
              </w:rPr>
            </w:pPr>
          </w:p>
        </w:tc>
        <w:tc>
          <w:tcPr>
            <w:tcW w:w="1116" w:type="dxa"/>
            <w:tcBorders>
              <w:top w:val="nil"/>
              <w:left w:val="nil"/>
              <w:bottom w:val="nil"/>
              <w:right w:val="nil"/>
            </w:tcBorders>
            <w:shd w:val="clear" w:color="000000" w:fill="FFFFFF"/>
            <w:noWrap/>
            <w:vAlign w:val="bottom"/>
            <w:hideMark/>
          </w:tcPr>
          <w:p w14:paraId="1FCB295E" w14:textId="0D70B06F" w:rsidR="005131E7" w:rsidRPr="00E62385" w:rsidRDefault="005131E7" w:rsidP="005131E7">
            <w:pPr>
              <w:spacing w:after="0" w:line="240" w:lineRule="auto"/>
              <w:jc w:val="right"/>
              <w:rPr>
                <w:rFonts w:ascii="Arial" w:hAnsi="Arial" w:cs="Arial"/>
                <w:iCs/>
                <w:color w:val="000000"/>
                <w:sz w:val="16"/>
                <w:szCs w:val="16"/>
              </w:rPr>
            </w:pPr>
          </w:p>
        </w:tc>
        <w:tc>
          <w:tcPr>
            <w:tcW w:w="1116" w:type="dxa"/>
            <w:tcBorders>
              <w:top w:val="nil"/>
              <w:left w:val="nil"/>
              <w:bottom w:val="nil"/>
              <w:right w:val="nil"/>
            </w:tcBorders>
            <w:shd w:val="clear" w:color="000000" w:fill="E6E6E6"/>
            <w:noWrap/>
            <w:vAlign w:val="bottom"/>
            <w:hideMark/>
          </w:tcPr>
          <w:p w14:paraId="4FFEC8EC" w14:textId="372D4D98" w:rsidR="005131E7" w:rsidRPr="00E62385" w:rsidRDefault="005131E7" w:rsidP="005131E7">
            <w:pPr>
              <w:spacing w:after="0" w:line="240" w:lineRule="auto"/>
              <w:jc w:val="right"/>
              <w:rPr>
                <w:rFonts w:ascii="Arial" w:hAnsi="Arial" w:cs="Arial"/>
                <w:color w:val="000000"/>
                <w:sz w:val="16"/>
                <w:szCs w:val="16"/>
              </w:rPr>
            </w:pPr>
          </w:p>
        </w:tc>
      </w:tr>
      <w:tr w:rsidR="005131E7" w:rsidRPr="00E62385" w14:paraId="5C35F88A" w14:textId="77777777" w:rsidTr="00AC2F7F">
        <w:trPr>
          <w:trHeight w:val="204"/>
        </w:trPr>
        <w:tc>
          <w:tcPr>
            <w:tcW w:w="3119" w:type="dxa"/>
            <w:tcBorders>
              <w:top w:val="nil"/>
              <w:left w:val="nil"/>
              <w:bottom w:val="nil"/>
              <w:right w:val="nil"/>
            </w:tcBorders>
            <w:shd w:val="clear" w:color="000000" w:fill="FFFFFF"/>
            <w:noWrap/>
            <w:vAlign w:val="bottom"/>
            <w:hideMark/>
          </w:tcPr>
          <w:p w14:paraId="47A2F81F" w14:textId="77777777" w:rsidR="005131E7" w:rsidRPr="00E62385" w:rsidRDefault="005131E7" w:rsidP="00AC2F7F">
            <w:pPr>
              <w:spacing w:after="0" w:line="240" w:lineRule="auto"/>
              <w:ind w:left="113"/>
              <w:jc w:val="left"/>
              <w:rPr>
                <w:rFonts w:ascii="Arial" w:hAnsi="Arial" w:cs="Arial"/>
                <w:i/>
                <w:iCs/>
                <w:color w:val="000000"/>
                <w:sz w:val="16"/>
                <w:szCs w:val="16"/>
              </w:rPr>
            </w:pPr>
            <w:r w:rsidRPr="00E62385">
              <w:rPr>
                <w:rFonts w:ascii="Arial" w:hAnsi="Arial" w:cs="Arial"/>
                <w:i/>
                <w:iCs/>
                <w:color w:val="000000"/>
                <w:sz w:val="16"/>
                <w:szCs w:val="16"/>
              </w:rPr>
              <w:t>Aviation Fuel Revenues (Special Appropriation) Act 1988</w:t>
            </w:r>
          </w:p>
        </w:tc>
        <w:tc>
          <w:tcPr>
            <w:tcW w:w="1150" w:type="dxa"/>
            <w:tcBorders>
              <w:top w:val="nil"/>
              <w:left w:val="nil"/>
              <w:bottom w:val="nil"/>
              <w:right w:val="nil"/>
            </w:tcBorders>
            <w:shd w:val="clear" w:color="000000" w:fill="FFFFFF"/>
            <w:noWrap/>
            <w:vAlign w:val="bottom"/>
            <w:hideMark/>
          </w:tcPr>
          <w:p w14:paraId="52159BE5" w14:textId="60068DB1"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68,193</w:t>
            </w:r>
          </w:p>
        </w:tc>
        <w:tc>
          <w:tcPr>
            <w:tcW w:w="1115" w:type="dxa"/>
            <w:tcBorders>
              <w:top w:val="nil"/>
              <w:left w:val="nil"/>
              <w:bottom w:val="nil"/>
              <w:right w:val="nil"/>
            </w:tcBorders>
            <w:shd w:val="clear" w:color="000000" w:fill="FFFFFF"/>
            <w:noWrap/>
            <w:vAlign w:val="bottom"/>
            <w:hideMark/>
          </w:tcPr>
          <w:p w14:paraId="220A89D8" w14:textId="7676B875"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115,652</w:t>
            </w:r>
          </w:p>
        </w:tc>
        <w:tc>
          <w:tcPr>
            <w:tcW w:w="1116" w:type="dxa"/>
            <w:tcBorders>
              <w:top w:val="nil"/>
              <w:left w:val="nil"/>
              <w:bottom w:val="nil"/>
              <w:right w:val="nil"/>
            </w:tcBorders>
            <w:shd w:val="clear" w:color="000000" w:fill="FFFFFF"/>
            <w:noWrap/>
            <w:vAlign w:val="bottom"/>
            <w:hideMark/>
          </w:tcPr>
          <w:p w14:paraId="0956DB4B" w14:textId="77777777"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(31,600)</w:t>
            </w:r>
          </w:p>
        </w:tc>
        <w:tc>
          <w:tcPr>
            <w:tcW w:w="1116" w:type="dxa"/>
            <w:tcBorders>
              <w:top w:val="nil"/>
              <w:left w:val="nil"/>
              <w:bottom w:val="nil"/>
              <w:right w:val="nil"/>
            </w:tcBorders>
            <w:shd w:val="clear" w:color="000000" w:fill="E6E6E6"/>
            <w:noWrap/>
            <w:vAlign w:val="bottom"/>
            <w:hideMark/>
          </w:tcPr>
          <w:p w14:paraId="64278C15" w14:textId="438F55B1" w:rsidR="005131E7" w:rsidRPr="00E62385" w:rsidRDefault="005131E7" w:rsidP="005131E7">
            <w:pPr>
              <w:spacing w:after="0" w:line="240" w:lineRule="auto"/>
              <w:jc w:val="right"/>
              <w:rPr>
                <w:rFonts w:ascii="Arial" w:hAnsi="Arial" w:cs="Arial"/>
                <w:color w:val="000000"/>
                <w:sz w:val="16"/>
                <w:szCs w:val="16"/>
              </w:rPr>
            </w:pPr>
            <w:r w:rsidRPr="00E62385">
              <w:rPr>
                <w:rFonts w:ascii="Arial" w:hAnsi="Arial" w:cs="Arial"/>
                <w:color w:val="000000"/>
                <w:sz w:val="16"/>
                <w:szCs w:val="16"/>
              </w:rPr>
              <w:t>84,052</w:t>
            </w:r>
          </w:p>
        </w:tc>
      </w:tr>
      <w:tr w:rsidR="005131E7" w:rsidRPr="00E62385" w14:paraId="203232E5" w14:textId="77777777" w:rsidTr="00AC2F7F">
        <w:trPr>
          <w:trHeight w:val="204"/>
        </w:trPr>
        <w:tc>
          <w:tcPr>
            <w:tcW w:w="3119" w:type="dxa"/>
            <w:tcBorders>
              <w:top w:val="nil"/>
              <w:left w:val="nil"/>
              <w:bottom w:val="nil"/>
              <w:right w:val="nil"/>
            </w:tcBorders>
            <w:shd w:val="clear" w:color="000000" w:fill="FFFFFF"/>
            <w:noWrap/>
            <w:vAlign w:val="bottom"/>
            <w:hideMark/>
          </w:tcPr>
          <w:p w14:paraId="1D8CAA17" w14:textId="77777777" w:rsidR="005131E7" w:rsidRPr="00E62385" w:rsidRDefault="005131E7" w:rsidP="005131E7">
            <w:pPr>
              <w:spacing w:after="0" w:line="240" w:lineRule="auto"/>
              <w:jc w:val="left"/>
              <w:rPr>
                <w:rFonts w:ascii="Arial" w:hAnsi="Arial" w:cs="Arial"/>
                <w:color w:val="000000"/>
                <w:sz w:val="16"/>
                <w:szCs w:val="16"/>
              </w:rPr>
            </w:pPr>
            <w:r w:rsidRPr="00E62385">
              <w:rPr>
                <w:rFonts w:ascii="Arial" w:hAnsi="Arial" w:cs="Arial"/>
                <w:color w:val="000000"/>
                <w:sz w:val="16"/>
                <w:szCs w:val="16"/>
              </w:rPr>
              <w:t>Total special appropriations</w:t>
            </w:r>
          </w:p>
        </w:tc>
        <w:tc>
          <w:tcPr>
            <w:tcW w:w="1150" w:type="dxa"/>
            <w:tcBorders>
              <w:top w:val="single" w:sz="4" w:space="0" w:color="auto"/>
              <w:left w:val="nil"/>
              <w:bottom w:val="single" w:sz="4" w:space="0" w:color="auto"/>
              <w:right w:val="nil"/>
            </w:tcBorders>
            <w:shd w:val="clear" w:color="000000" w:fill="FFFFFF"/>
            <w:noWrap/>
            <w:vAlign w:val="bottom"/>
            <w:hideMark/>
          </w:tcPr>
          <w:p w14:paraId="3865F3AC" w14:textId="6CD7446F"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68,193</w:t>
            </w:r>
          </w:p>
        </w:tc>
        <w:tc>
          <w:tcPr>
            <w:tcW w:w="1115" w:type="dxa"/>
            <w:tcBorders>
              <w:top w:val="single" w:sz="4" w:space="0" w:color="auto"/>
              <w:left w:val="nil"/>
              <w:bottom w:val="single" w:sz="4" w:space="0" w:color="auto"/>
              <w:right w:val="nil"/>
            </w:tcBorders>
            <w:shd w:val="clear" w:color="000000" w:fill="FFFFFF"/>
            <w:noWrap/>
            <w:vAlign w:val="bottom"/>
            <w:hideMark/>
          </w:tcPr>
          <w:p w14:paraId="3A41D39E" w14:textId="19694E10"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115,652</w:t>
            </w:r>
          </w:p>
        </w:tc>
        <w:tc>
          <w:tcPr>
            <w:tcW w:w="1116" w:type="dxa"/>
            <w:tcBorders>
              <w:top w:val="single" w:sz="4" w:space="0" w:color="auto"/>
              <w:left w:val="nil"/>
              <w:bottom w:val="single" w:sz="4" w:space="0" w:color="auto"/>
              <w:right w:val="nil"/>
            </w:tcBorders>
            <w:shd w:val="clear" w:color="000000" w:fill="FFFFFF"/>
            <w:noWrap/>
            <w:vAlign w:val="bottom"/>
            <w:hideMark/>
          </w:tcPr>
          <w:p w14:paraId="0A602ED7" w14:textId="77777777"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(31,600)</w:t>
            </w:r>
          </w:p>
        </w:tc>
        <w:tc>
          <w:tcPr>
            <w:tcW w:w="1116" w:type="dxa"/>
            <w:tcBorders>
              <w:top w:val="single" w:sz="4" w:space="0" w:color="auto"/>
              <w:left w:val="nil"/>
              <w:bottom w:val="single" w:sz="4" w:space="0" w:color="auto"/>
              <w:right w:val="nil"/>
            </w:tcBorders>
            <w:shd w:val="clear" w:color="000000" w:fill="E6E6E6"/>
            <w:noWrap/>
            <w:vAlign w:val="bottom"/>
            <w:hideMark/>
          </w:tcPr>
          <w:p w14:paraId="26F1AACD" w14:textId="77E4797A" w:rsidR="005131E7" w:rsidRPr="00E62385" w:rsidRDefault="005131E7" w:rsidP="005131E7">
            <w:pPr>
              <w:spacing w:after="0" w:line="240" w:lineRule="auto"/>
              <w:jc w:val="right"/>
              <w:rPr>
                <w:rFonts w:ascii="Arial" w:hAnsi="Arial" w:cs="Arial"/>
                <w:color w:val="000000"/>
                <w:sz w:val="16"/>
                <w:szCs w:val="16"/>
              </w:rPr>
            </w:pPr>
            <w:r w:rsidRPr="00E62385">
              <w:rPr>
                <w:rFonts w:ascii="Arial" w:hAnsi="Arial" w:cs="Arial"/>
                <w:color w:val="000000"/>
                <w:sz w:val="16"/>
                <w:szCs w:val="16"/>
              </w:rPr>
              <w:t>84,052</w:t>
            </w:r>
          </w:p>
        </w:tc>
      </w:tr>
      <w:tr w:rsidR="005131E7" w:rsidRPr="00E62385" w14:paraId="54A77F2B" w14:textId="77777777" w:rsidTr="00AC2F7F">
        <w:trPr>
          <w:trHeight w:val="204"/>
        </w:trPr>
        <w:tc>
          <w:tcPr>
            <w:tcW w:w="3119" w:type="dxa"/>
            <w:tcBorders>
              <w:top w:val="nil"/>
              <w:left w:val="nil"/>
              <w:bottom w:val="nil"/>
              <w:right w:val="nil"/>
            </w:tcBorders>
            <w:shd w:val="clear" w:color="000000" w:fill="FFFFFF"/>
            <w:vAlign w:val="bottom"/>
            <w:hideMark/>
          </w:tcPr>
          <w:p w14:paraId="40D74C6A" w14:textId="77777777" w:rsidR="005131E7" w:rsidRPr="00E62385" w:rsidRDefault="005131E7" w:rsidP="005131E7">
            <w:pPr>
              <w:spacing w:after="0" w:line="240" w:lineRule="auto"/>
              <w:jc w:val="left"/>
              <w:rPr>
                <w:rFonts w:ascii="Arial" w:hAnsi="Arial" w:cs="Arial"/>
                <w:b/>
                <w:bCs/>
                <w:color w:val="000000"/>
                <w:sz w:val="16"/>
                <w:szCs w:val="16"/>
              </w:rPr>
            </w:pPr>
            <w:r w:rsidRPr="00E62385">
              <w:rPr>
                <w:rFonts w:ascii="Arial" w:hAnsi="Arial" w:cs="Arial"/>
                <w:b/>
                <w:bCs/>
                <w:color w:val="000000"/>
                <w:sz w:val="16"/>
                <w:szCs w:val="16"/>
              </w:rPr>
              <w:t>Total funds from Government</w:t>
            </w:r>
          </w:p>
        </w:tc>
        <w:tc>
          <w:tcPr>
            <w:tcW w:w="1150" w:type="dxa"/>
            <w:tcBorders>
              <w:top w:val="single" w:sz="4" w:space="0" w:color="auto"/>
              <w:left w:val="nil"/>
              <w:bottom w:val="single" w:sz="4" w:space="0" w:color="auto"/>
              <w:right w:val="nil"/>
            </w:tcBorders>
            <w:shd w:val="clear" w:color="000000" w:fill="FFFFFF"/>
            <w:noWrap/>
            <w:vAlign w:val="bottom"/>
            <w:hideMark/>
          </w:tcPr>
          <w:p w14:paraId="1E9B5474" w14:textId="131529F8" w:rsidR="005131E7" w:rsidRPr="00E62385" w:rsidRDefault="005131E7" w:rsidP="005131E7">
            <w:pPr>
              <w:spacing w:after="0" w:line="240" w:lineRule="auto"/>
              <w:jc w:val="right"/>
              <w:rPr>
                <w:rFonts w:ascii="Arial" w:hAnsi="Arial" w:cs="Arial"/>
                <w:b/>
                <w:bCs/>
                <w:iCs/>
                <w:color w:val="000000"/>
                <w:sz w:val="16"/>
                <w:szCs w:val="16"/>
              </w:rPr>
            </w:pPr>
            <w:r w:rsidRPr="00E62385">
              <w:rPr>
                <w:rFonts w:ascii="Arial" w:hAnsi="Arial" w:cs="Arial"/>
                <w:b/>
                <w:bCs/>
                <w:iCs/>
                <w:color w:val="000000"/>
                <w:sz w:val="16"/>
                <w:szCs w:val="16"/>
              </w:rPr>
              <w:t>196,617</w:t>
            </w:r>
          </w:p>
        </w:tc>
        <w:tc>
          <w:tcPr>
            <w:tcW w:w="1115" w:type="dxa"/>
            <w:tcBorders>
              <w:top w:val="single" w:sz="4" w:space="0" w:color="auto"/>
              <w:left w:val="nil"/>
              <w:bottom w:val="single" w:sz="4" w:space="0" w:color="auto"/>
              <w:right w:val="nil"/>
            </w:tcBorders>
            <w:shd w:val="clear" w:color="000000" w:fill="FFFFFF"/>
            <w:noWrap/>
            <w:vAlign w:val="bottom"/>
            <w:hideMark/>
          </w:tcPr>
          <w:p w14:paraId="4803A6BB" w14:textId="2DF7D142" w:rsidR="005131E7" w:rsidRPr="00E62385" w:rsidRDefault="005131E7" w:rsidP="005131E7">
            <w:pPr>
              <w:spacing w:after="0" w:line="240" w:lineRule="auto"/>
              <w:jc w:val="right"/>
              <w:rPr>
                <w:rFonts w:ascii="Arial" w:hAnsi="Arial" w:cs="Arial"/>
                <w:b/>
                <w:bCs/>
                <w:iCs/>
                <w:color w:val="000000"/>
                <w:sz w:val="16"/>
                <w:szCs w:val="16"/>
              </w:rPr>
            </w:pPr>
            <w:r w:rsidRPr="00E62385">
              <w:rPr>
                <w:rFonts w:ascii="Arial" w:hAnsi="Arial" w:cs="Arial"/>
                <w:b/>
                <w:bCs/>
                <w:iCs/>
                <w:color w:val="000000"/>
                <w:sz w:val="16"/>
                <w:szCs w:val="16"/>
              </w:rPr>
              <w:t>217,734</w:t>
            </w:r>
          </w:p>
        </w:tc>
        <w:tc>
          <w:tcPr>
            <w:tcW w:w="1116" w:type="dxa"/>
            <w:tcBorders>
              <w:top w:val="single" w:sz="4" w:space="0" w:color="auto"/>
              <w:left w:val="nil"/>
              <w:bottom w:val="single" w:sz="4" w:space="0" w:color="auto"/>
              <w:right w:val="nil"/>
            </w:tcBorders>
            <w:shd w:val="clear" w:color="000000" w:fill="FFFFFF"/>
            <w:noWrap/>
            <w:vAlign w:val="bottom"/>
            <w:hideMark/>
          </w:tcPr>
          <w:p w14:paraId="4F201D70" w14:textId="77777777" w:rsidR="005131E7" w:rsidRPr="00E62385" w:rsidRDefault="005131E7" w:rsidP="005131E7">
            <w:pPr>
              <w:spacing w:after="0" w:line="240" w:lineRule="auto"/>
              <w:jc w:val="right"/>
              <w:rPr>
                <w:rFonts w:ascii="Arial" w:hAnsi="Arial" w:cs="Arial"/>
                <w:b/>
                <w:bCs/>
                <w:iCs/>
                <w:color w:val="000000"/>
                <w:sz w:val="16"/>
                <w:szCs w:val="16"/>
              </w:rPr>
            </w:pPr>
            <w:r w:rsidRPr="00E62385">
              <w:rPr>
                <w:rFonts w:ascii="Arial" w:hAnsi="Arial" w:cs="Arial"/>
                <w:b/>
                <w:bCs/>
                <w:iCs/>
                <w:color w:val="000000"/>
                <w:sz w:val="16"/>
                <w:szCs w:val="16"/>
              </w:rPr>
              <w:t>(11,600)</w:t>
            </w:r>
          </w:p>
        </w:tc>
        <w:tc>
          <w:tcPr>
            <w:tcW w:w="1116" w:type="dxa"/>
            <w:tcBorders>
              <w:top w:val="single" w:sz="4" w:space="0" w:color="auto"/>
              <w:left w:val="nil"/>
              <w:bottom w:val="single" w:sz="4" w:space="0" w:color="auto"/>
              <w:right w:val="nil"/>
            </w:tcBorders>
            <w:shd w:val="clear" w:color="000000" w:fill="E6E6E6"/>
            <w:noWrap/>
            <w:vAlign w:val="bottom"/>
            <w:hideMark/>
          </w:tcPr>
          <w:p w14:paraId="1E1632CC" w14:textId="1723935E" w:rsidR="005131E7" w:rsidRPr="00E62385" w:rsidRDefault="005131E7" w:rsidP="005131E7">
            <w:pPr>
              <w:spacing w:after="0" w:line="240" w:lineRule="auto"/>
              <w:jc w:val="right"/>
              <w:rPr>
                <w:rFonts w:ascii="Arial" w:hAnsi="Arial" w:cs="Arial"/>
                <w:b/>
                <w:bCs/>
                <w:color w:val="000000"/>
                <w:sz w:val="16"/>
                <w:szCs w:val="16"/>
              </w:rPr>
            </w:pPr>
            <w:r w:rsidRPr="00E62385">
              <w:rPr>
                <w:rFonts w:ascii="Arial" w:hAnsi="Arial" w:cs="Arial"/>
                <w:b/>
                <w:bCs/>
                <w:color w:val="000000"/>
                <w:sz w:val="16"/>
                <w:szCs w:val="16"/>
              </w:rPr>
              <w:t>206,134</w:t>
            </w:r>
          </w:p>
        </w:tc>
      </w:tr>
      <w:tr w:rsidR="005131E7" w:rsidRPr="00E62385" w14:paraId="7CA3CDE3" w14:textId="77777777" w:rsidTr="00AC2F7F">
        <w:trPr>
          <w:trHeight w:val="204"/>
        </w:trPr>
        <w:tc>
          <w:tcPr>
            <w:tcW w:w="3119" w:type="dxa"/>
            <w:tcBorders>
              <w:top w:val="nil"/>
              <w:left w:val="nil"/>
              <w:bottom w:val="nil"/>
              <w:right w:val="nil"/>
            </w:tcBorders>
            <w:shd w:val="clear" w:color="000000" w:fill="FFFFFF"/>
            <w:vAlign w:val="bottom"/>
            <w:hideMark/>
          </w:tcPr>
          <w:p w14:paraId="38C68444" w14:textId="77777777" w:rsidR="005131E7" w:rsidRPr="00E62385" w:rsidRDefault="005131E7" w:rsidP="005131E7">
            <w:pPr>
              <w:spacing w:after="0" w:line="240" w:lineRule="auto"/>
              <w:jc w:val="left"/>
              <w:rPr>
                <w:rFonts w:ascii="Arial" w:hAnsi="Arial" w:cs="Arial"/>
                <w:b/>
                <w:bCs/>
                <w:color w:val="000000"/>
                <w:sz w:val="16"/>
                <w:szCs w:val="16"/>
              </w:rPr>
            </w:pPr>
            <w:r w:rsidRPr="00E62385">
              <w:rPr>
                <w:rFonts w:ascii="Arial" w:hAnsi="Arial" w:cs="Arial"/>
                <w:b/>
                <w:bCs/>
                <w:color w:val="000000"/>
                <w:sz w:val="16"/>
                <w:szCs w:val="16"/>
              </w:rPr>
              <w:t>Funds from industry sources</w:t>
            </w:r>
          </w:p>
        </w:tc>
        <w:tc>
          <w:tcPr>
            <w:tcW w:w="1150" w:type="dxa"/>
            <w:tcBorders>
              <w:top w:val="nil"/>
              <w:left w:val="nil"/>
              <w:bottom w:val="nil"/>
              <w:right w:val="nil"/>
            </w:tcBorders>
            <w:shd w:val="clear" w:color="000000" w:fill="FFFFFF"/>
            <w:noWrap/>
            <w:vAlign w:val="bottom"/>
            <w:hideMark/>
          </w:tcPr>
          <w:p w14:paraId="32CCF0E8" w14:textId="4AD92E14" w:rsidR="005131E7" w:rsidRPr="00E62385" w:rsidRDefault="005131E7" w:rsidP="005131E7">
            <w:pPr>
              <w:spacing w:after="0" w:line="240" w:lineRule="auto"/>
              <w:jc w:val="right"/>
              <w:rPr>
                <w:rFonts w:ascii="Arial" w:hAnsi="Arial" w:cs="Arial"/>
                <w:iCs/>
                <w:color w:val="000000"/>
                <w:sz w:val="16"/>
                <w:szCs w:val="16"/>
              </w:rPr>
            </w:pPr>
          </w:p>
        </w:tc>
        <w:tc>
          <w:tcPr>
            <w:tcW w:w="1115" w:type="dxa"/>
            <w:tcBorders>
              <w:top w:val="nil"/>
              <w:left w:val="nil"/>
              <w:bottom w:val="nil"/>
              <w:right w:val="nil"/>
            </w:tcBorders>
            <w:shd w:val="clear" w:color="000000" w:fill="FFFFFF"/>
            <w:noWrap/>
            <w:vAlign w:val="bottom"/>
            <w:hideMark/>
          </w:tcPr>
          <w:p w14:paraId="7B42C3B4" w14:textId="08C98033" w:rsidR="005131E7" w:rsidRPr="00E62385" w:rsidRDefault="005131E7" w:rsidP="005131E7">
            <w:pPr>
              <w:spacing w:after="0" w:line="240" w:lineRule="auto"/>
              <w:jc w:val="right"/>
              <w:rPr>
                <w:rFonts w:ascii="Arial" w:hAnsi="Arial" w:cs="Arial"/>
                <w:iCs/>
                <w:color w:val="000000"/>
                <w:sz w:val="16"/>
                <w:szCs w:val="16"/>
              </w:rPr>
            </w:pPr>
          </w:p>
        </w:tc>
        <w:tc>
          <w:tcPr>
            <w:tcW w:w="1116" w:type="dxa"/>
            <w:tcBorders>
              <w:top w:val="nil"/>
              <w:left w:val="nil"/>
              <w:bottom w:val="nil"/>
              <w:right w:val="nil"/>
            </w:tcBorders>
            <w:shd w:val="clear" w:color="000000" w:fill="FFFFFF"/>
            <w:noWrap/>
            <w:vAlign w:val="bottom"/>
            <w:hideMark/>
          </w:tcPr>
          <w:p w14:paraId="4B5ABEE9" w14:textId="3547CA38" w:rsidR="005131E7" w:rsidRPr="00E62385" w:rsidRDefault="005131E7" w:rsidP="005131E7">
            <w:pPr>
              <w:spacing w:after="0" w:line="240" w:lineRule="auto"/>
              <w:jc w:val="right"/>
              <w:rPr>
                <w:rFonts w:ascii="Arial" w:hAnsi="Arial" w:cs="Arial"/>
                <w:iCs/>
                <w:color w:val="000000"/>
                <w:sz w:val="16"/>
                <w:szCs w:val="16"/>
              </w:rPr>
            </w:pPr>
          </w:p>
        </w:tc>
        <w:tc>
          <w:tcPr>
            <w:tcW w:w="1116" w:type="dxa"/>
            <w:tcBorders>
              <w:top w:val="nil"/>
              <w:left w:val="nil"/>
              <w:bottom w:val="nil"/>
              <w:right w:val="nil"/>
            </w:tcBorders>
            <w:shd w:val="clear" w:color="000000" w:fill="E6E6E6"/>
            <w:noWrap/>
            <w:vAlign w:val="bottom"/>
            <w:hideMark/>
          </w:tcPr>
          <w:p w14:paraId="735AC77C" w14:textId="1E2587D5" w:rsidR="005131E7" w:rsidRPr="00E62385" w:rsidRDefault="005131E7" w:rsidP="005131E7">
            <w:pPr>
              <w:spacing w:after="0" w:line="240" w:lineRule="auto"/>
              <w:jc w:val="right"/>
              <w:rPr>
                <w:rFonts w:ascii="Arial" w:hAnsi="Arial" w:cs="Arial"/>
                <w:color w:val="000000"/>
                <w:sz w:val="16"/>
                <w:szCs w:val="16"/>
              </w:rPr>
            </w:pPr>
          </w:p>
        </w:tc>
      </w:tr>
      <w:tr w:rsidR="005131E7" w:rsidRPr="00E62385" w14:paraId="4BD965D6" w14:textId="77777777" w:rsidTr="00AC2F7F">
        <w:trPr>
          <w:trHeight w:val="204"/>
        </w:trPr>
        <w:tc>
          <w:tcPr>
            <w:tcW w:w="3119" w:type="dxa"/>
            <w:tcBorders>
              <w:top w:val="nil"/>
              <w:left w:val="nil"/>
              <w:bottom w:val="nil"/>
              <w:right w:val="nil"/>
            </w:tcBorders>
            <w:shd w:val="clear" w:color="000000" w:fill="FFFFFF"/>
            <w:vAlign w:val="bottom"/>
            <w:hideMark/>
          </w:tcPr>
          <w:p w14:paraId="331E88C2" w14:textId="77777777" w:rsidR="005131E7" w:rsidRPr="00E62385" w:rsidRDefault="005131E7" w:rsidP="00AC2F7F">
            <w:pPr>
              <w:spacing w:after="0" w:line="240" w:lineRule="auto"/>
              <w:ind w:left="113"/>
              <w:jc w:val="left"/>
              <w:rPr>
                <w:rFonts w:ascii="Arial" w:hAnsi="Arial" w:cs="Arial"/>
                <w:color w:val="000000"/>
                <w:sz w:val="16"/>
                <w:szCs w:val="16"/>
              </w:rPr>
            </w:pPr>
            <w:r w:rsidRPr="00E62385">
              <w:rPr>
                <w:rFonts w:ascii="Arial" w:hAnsi="Arial" w:cs="Arial"/>
                <w:color w:val="000000"/>
                <w:sz w:val="16"/>
                <w:szCs w:val="16"/>
              </w:rPr>
              <w:t>Regulatory service fees</w:t>
            </w:r>
          </w:p>
        </w:tc>
        <w:tc>
          <w:tcPr>
            <w:tcW w:w="1150" w:type="dxa"/>
            <w:tcBorders>
              <w:top w:val="nil"/>
              <w:left w:val="nil"/>
              <w:bottom w:val="nil"/>
              <w:right w:val="nil"/>
            </w:tcBorders>
            <w:shd w:val="clear" w:color="000000" w:fill="FFFFFF"/>
            <w:noWrap/>
            <w:vAlign w:val="bottom"/>
            <w:hideMark/>
          </w:tcPr>
          <w:p w14:paraId="357147BB" w14:textId="20D8C6C7"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10,864</w:t>
            </w:r>
          </w:p>
        </w:tc>
        <w:tc>
          <w:tcPr>
            <w:tcW w:w="1115" w:type="dxa"/>
            <w:tcBorders>
              <w:top w:val="nil"/>
              <w:left w:val="nil"/>
              <w:bottom w:val="nil"/>
              <w:right w:val="nil"/>
            </w:tcBorders>
            <w:shd w:val="clear" w:color="000000" w:fill="FFFFFF"/>
            <w:noWrap/>
            <w:vAlign w:val="bottom"/>
            <w:hideMark/>
          </w:tcPr>
          <w:p w14:paraId="55D98ED3" w14:textId="374E9650"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7,500</w:t>
            </w:r>
          </w:p>
        </w:tc>
        <w:tc>
          <w:tcPr>
            <w:tcW w:w="1116" w:type="dxa"/>
            <w:tcBorders>
              <w:top w:val="nil"/>
              <w:left w:val="nil"/>
              <w:bottom w:val="nil"/>
              <w:right w:val="nil"/>
            </w:tcBorders>
            <w:shd w:val="clear" w:color="000000" w:fill="FFFFFF"/>
            <w:noWrap/>
            <w:vAlign w:val="bottom"/>
            <w:hideMark/>
          </w:tcPr>
          <w:p w14:paraId="16490FD8" w14:textId="5CE9429E"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w:t>
            </w:r>
          </w:p>
        </w:tc>
        <w:tc>
          <w:tcPr>
            <w:tcW w:w="1116" w:type="dxa"/>
            <w:tcBorders>
              <w:top w:val="nil"/>
              <w:left w:val="nil"/>
              <w:bottom w:val="nil"/>
              <w:right w:val="nil"/>
            </w:tcBorders>
            <w:shd w:val="clear" w:color="000000" w:fill="E6E6E6"/>
            <w:noWrap/>
            <w:vAlign w:val="bottom"/>
            <w:hideMark/>
          </w:tcPr>
          <w:p w14:paraId="0BF1871F" w14:textId="7BAD9324" w:rsidR="005131E7" w:rsidRPr="00E62385" w:rsidRDefault="005131E7" w:rsidP="005131E7">
            <w:pPr>
              <w:spacing w:after="0" w:line="240" w:lineRule="auto"/>
              <w:jc w:val="right"/>
              <w:rPr>
                <w:rFonts w:ascii="Arial" w:hAnsi="Arial" w:cs="Arial"/>
                <w:color w:val="000000"/>
                <w:sz w:val="16"/>
                <w:szCs w:val="16"/>
              </w:rPr>
            </w:pPr>
            <w:r w:rsidRPr="00E62385">
              <w:rPr>
                <w:rFonts w:ascii="Arial" w:hAnsi="Arial" w:cs="Arial"/>
                <w:color w:val="000000"/>
                <w:sz w:val="16"/>
                <w:szCs w:val="16"/>
              </w:rPr>
              <w:t>7,500</w:t>
            </w:r>
          </w:p>
        </w:tc>
      </w:tr>
      <w:tr w:rsidR="005131E7" w:rsidRPr="00E62385" w14:paraId="1BD9AA3C" w14:textId="77777777" w:rsidTr="00AC2F7F">
        <w:trPr>
          <w:trHeight w:val="204"/>
        </w:trPr>
        <w:tc>
          <w:tcPr>
            <w:tcW w:w="3119" w:type="dxa"/>
            <w:tcBorders>
              <w:top w:val="nil"/>
              <w:left w:val="nil"/>
              <w:bottom w:val="nil"/>
              <w:right w:val="nil"/>
            </w:tcBorders>
            <w:shd w:val="clear" w:color="000000" w:fill="FFFFFF"/>
            <w:vAlign w:val="bottom"/>
            <w:hideMark/>
          </w:tcPr>
          <w:p w14:paraId="6E2497B5" w14:textId="77777777" w:rsidR="005131E7" w:rsidRPr="00E62385" w:rsidRDefault="005131E7" w:rsidP="00AC2F7F">
            <w:pPr>
              <w:spacing w:after="0" w:line="240" w:lineRule="auto"/>
              <w:ind w:left="113"/>
              <w:jc w:val="left"/>
              <w:rPr>
                <w:rFonts w:ascii="Arial" w:hAnsi="Arial" w:cs="Arial"/>
                <w:color w:val="000000"/>
                <w:sz w:val="16"/>
                <w:szCs w:val="16"/>
              </w:rPr>
            </w:pPr>
            <w:r w:rsidRPr="00E62385">
              <w:rPr>
                <w:rFonts w:ascii="Arial" w:hAnsi="Arial" w:cs="Arial"/>
                <w:color w:val="000000"/>
                <w:sz w:val="16"/>
                <w:szCs w:val="16"/>
              </w:rPr>
              <w:t>RPAS levies</w:t>
            </w:r>
          </w:p>
        </w:tc>
        <w:tc>
          <w:tcPr>
            <w:tcW w:w="1150" w:type="dxa"/>
            <w:tcBorders>
              <w:top w:val="nil"/>
              <w:left w:val="nil"/>
              <w:bottom w:val="nil"/>
              <w:right w:val="nil"/>
            </w:tcBorders>
            <w:shd w:val="clear" w:color="000000" w:fill="FFFFFF"/>
            <w:noWrap/>
            <w:vAlign w:val="bottom"/>
            <w:hideMark/>
          </w:tcPr>
          <w:p w14:paraId="0CDCFA36" w14:textId="4CF2D3EC"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w:t>
            </w:r>
          </w:p>
        </w:tc>
        <w:tc>
          <w:tcPr>
            <w:tcW w:w="1115" w:type="dxa"/>
            <w:tcBorders>
              <w:top w:val="nil"/>
              <w:left w:val="nil"/>
              <w:bottom w:val="nil"/>
              <w:right w:val="nil"/>
            </w:tcBorders>
            <w:shd w:val="clear" w:color="000000" w:fill="FFFFFF"/>
            <w:noWrap/>
            <w:vAlign w:val="bottom"/>
            <w:hideMark/>
          </w:tcPr>
          <w:p w14:paraId="14779C0C" w14:textId="1AB8EAB7"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1,400</w:t>
            </w:r>
          </w:p>
        </w:tc>
        <w:tc>
          <w:tcPr>
            <w:tcW w:w="1116" w:type="dxa"/>
            <w:tcBorders>
              <w:top w:val="nil"/>
              <w:left w:val="nil"/>
              <w:bottom w:val="nil"/>
              <w:right w:val="nil"/>
            </w:tcBorders>
            <w:shd w:val="clear" w:color="000000" w:fill="FFFFFF"/>
            <w:noWrap/>
            <w:vAlign w:val="bottom"/>
            <w:hideMark/>
          </w:tcPr>
          <w:p w14:paraId="4BAA3533" w14:textId="43112A20"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w:t>
            </w:r>
          </w:p>
        </w:tc>
        <w:tc>
          <w:tcPr>
            <w:tcW w:w="1116" w:type="dxa"/>
            <w:tcBorders>
              <w:top w:val="nil"/>
              <w:left w:val="nil"/>
              <w:bottom w:val="nil"/>
              <w:right w:val="nil"/>
            </w:tcBorders>
            <w:shd w:val="clear" w:color="000000" w:fill="E6E6E6"/>
            <w:noWrap/>
            <w:vAlign w:val="bottom"/>
            <w:hideMark/>
          </w:tcPr>
          <w:p w14:paraId="5BC7D23F" w14:textId="0489D795" w:rsidR="005131E7" w:rsidRPr="00E62385" w:rsidRDefault="005131E7" w:rsidP="005131E7">
            <w:pPr>
              <w:spacing w:after="0" w:line="240" w:lineRule="auto"/>
              <w:jc w:val="right"/>
              <w:rPr>
                <w:rFonts w:ascii="Arial" w:hAnsi="Arial" w:cs="Arial"/>
                <w:color w:val="000000"/>
                <w:sz w:val="16"/>
                <w:szCs w:val="16"/>
              </w:rPr>
            </w:pPr>
            <w:r w:rsidRPr="00E62385">
              <w:rPr>
                <w:rFonts w:ascii="Arial" w:hAnsi="Arial" w:cs="Arial"/>
                <w:color w:val="000000"/>
                <w:sz w:val="16"/>
                <w:szCs w:val="16"/>
              </w:rPr>
              <w:t>1,400</w:t>
            </w:r>
          </w:p>
        </w:tc>
      </w:tr>
      <w:tr w:rsidR="005131E7" w:rsidRPr="00E62385" w14:paraId="25CF1ABE" w14:textId="77777777" w:rsidTr="00AC2F7F">
        <w:trPr>
          <w:trHeight w:val="204"/>
        </w:trPr>
        <w:tc>
          <w:tcPr>
            <w:tcW w:w="3119" w:type="dxa"/>
            <w:tcBorders>
              <w:top w:val="nil"/>
              <w:left w:val="nil"/>
              <w:bottom w:val="nil"/>
              <w:right w:val="nil"/>
            </w:tcBorders>
            <w:shd w:val="clear" w:color="000000" w:fill="FFFFFF"/>
            <w:noWrap/>
            <w:vAlign w:val="bottom"/>
            <w:hideMark/>
          </w:tcPr>
          <w:p w14:paraId="08647021" w14:textId="77777777" w:rsidR="005131E7" w:rsidRPr="00E62385" w:rsidRDefault="005131E7" w:rsidP="005131E7">
            <w:pPr>
              <w:spacing w:after="0" w:line="240" w:lineRule="auto"/>
              <w:jc w:val="left"/>
              <w:rPr>
                <w:rFonts w:ascii="Arial" w:hAnsi="Arial" w:cs="Arial"/>
                <w:b/>
                <w:bCs/>
                <w:color w:val="000000"/>
                <w:sz w:val="16"/>
                <w:szCs w:val="16"/>
              </w:rPr>
            </w:pPr>
            <w:r w:rsidRPr="00E62385">
              <w:rPr>
                <w:rFonts w:ascii="Arial" w:hAnsi="Arial" w:cs="Arial"/>
                <w:b/>
                <w:bCs/>
                <w:color w:val="000000"/>
                <w:sz w:val="16"/>
                <w:szCs w:val="16"/>
              </w:rPr>
              <w:t>Total funds from industry sources</w:t>
            </w:r>
          </w:p>
        </w:tc>
        <w:tc>
          <w:tcPr>
            <w:tcW w:w="1150" w:type="dxa"/>
            <w:tcBorders>
              <w:top w:val="single" w:sz="4" w:space="0" w:color="auto"/>
              <w:left w:val="nil"/>
              <w:bottom w:val="single" w:sz="4" w:space="0" w:color="auto"/>
              <w:right w:val="nil"/>
            </w:tcBorders>
            <w:shd w:val="clear" w:color="000000" w:fill="FFFFFF"/>
            <w:noWrap/>
            <w:vAlign w:val="bottom"/>
            <w:hideMark/>
          </w:tcPr>
          <w:p w14:paraId="102E5B89" w14:textId="37202D52" w:rsidR="005131E7" w:rsidRPr="00E62385" w:rsidRDefault="005131E7" w:rsidP="005131E7">
            <w:pPr>
              <w:spacing w:after="0" w:line="240" w:lineRule="auto"/>
              <w:jc w:val="right"/>
              <w:rPr>
                <w:rFonts w:ascii="Arial" w:hAnsi="Arial" w:cs="Arial"/>
                <w:b/>
                <w:bCs/>
                <w:iCs/>
                <w:color w:val="000000"/>
                <w:sz w:val="16"/>
                <w:szCs w:val="16"/>
              </w:rPr>
            </w:pPr>
            <w:r w:rsidRPr="00E62385">
              <w:rPr>
                <w:rFonts w:ascii="Arial" w:hAnsi="Arial" w:cs="Arial"/>
                <w:b/>
                <w:bCs/>
                <w:iCs/>
                <w:color w:val="000000"/>
                <w:sz w:val="16"/>
                <w:szCs w:val="16"/>
              </w:rPr>
              <w:t>10,864</w:t>
            </w:r>
          </w:p>
        </w:tc>
        <w:tc>
          <w:tcPr>
            <w:tcW w:w="1115" w:type="dxa"/>
            <w:tcBorders>
              <w:top w:val="single" w:sz="4" w:space="0" w:color="auto"/>
              <w:left w:val="nil"/>
              <w:bottom w:val="single" w:sz="4" w:space="0" w:color="auto"/>
              <w:right w:val="nil"/>
            </w:tcBorders>
            <w:shd w:val="clear" w:color="000000" w:fill="FFFFFF"/>
            <w:noWrap/>
            <w:vAlign w:val="bottom"/>
            <w:hideMark/>
          </w:tcPr>
          <w:p w14:paraId="5D7A5D6D" w14:textId="6877737C" w:rsidR="005131E7" w:rsidRPr="00E62385" w:rsidRDefault="005131E7" w:rsidP="005131E7">
            <w:pPr>
              <w:spacing w:after="0" w:line="240" w:lineRule="auto"/>
              <w:jc w:val="right"/>
              <w:rPr>
                <w:rFonts w:ascii="Arial" w:hAnsi="Arial" w:cs="Arial"/>
                <w:b/>
                <w:bCs/>
                <w:iCs/>
                <w:color w:val="000000"/>
                <w:sz w:val="16"/>
                <w:szCs w:val="16"/>
              </w:rPr>
            </w:pPr>
            <w:r w:rsidRPr="00E62385">
              <w:rPr>
                <w:rFonts w:ascii="Arial" w:hAnsi="Arial" w:cs="Arial"/>
                <w:b/>
                <w:bCs/>
                <w:iCs/>
                <w:color w:val="000000"/>
                <w:sz w:val="16"/>
                <w:szCs w:val="16"/>
              </w:rPr>
              <w:t>8,900</w:t>
            </w:r>
          </w:p>
        </w:tc>
        <w:tc>
          <w:tcPr>
            <w:tcW w:w="1116" w:type="dxa"/>
            <w:tcBorders>
              <w:top w:val="single" w:sz="4" w:space="0" w:color="auto"/>
              <w:left w:val="nil"/>
              <w:bottom w:val="single" w:sz="4" w:space="0" w:color="auto"/>
              <w:right w:val="nil"/>
            </w:tcBorders>
            <w:shd w:val="clear" w:color="000000" w:fill="FFFFFF"/>
            <w:noWrap/>
            <w:vAlign w:val="bottom"/>
            <w:hideMark/>
          </w:tcPr>
          <w:p w14:paraId="3A5F0374" w14:textId="49964DF0" w:rsidR="005131E7" w:rsidRPr="00E62385" w:rsidRDefault="005131E7" w:rsidP="005131E7">
            <w:pPr>
              <w:spacing w:after="0" w:line="240" w:lineRule="auto"/>
              <w:jc w:val="right"/>
              <w:rPr>
                <w:rFonts w:ascii="Arial" w:hAnsi="Arial" w:cs="Arial"/>
                <w:b/>
                <w:bCs/>
                <w:iCs/>
                <w:color w:val="000000"/>
                <w:sz w:val="16"/>
                <w:szCs w:val="16"/>
              </w:rPr>
            </w:pPr>
            <w:r w:rsidRPr="00E62385">
              <w:rPr>
                <w:rFonts w:ascii="Arial" w:hAnsi="Arial" w:cs="Arial"/>
                <w:b/>
                <w:bCs/>
                <w:iCs/>
                <w:color w:val="000000"/>
                <w:sz w:val="16"/>
                <w:szCs w:val="16"/>
              </w:rPr>
              <w:t>-</w:t>
            </w:r>
          </w:p>
        </w:tc>
        <w:tc>
          <w:tcPr>
            <w:tcW w:w="1116" w:type="dxa"/>
            <w:tcBorders>
              <w:top w:val="single" w:sz="4" w:space="0" w:color="auto"/>
              <w:left w:val="nil"/>
              <w:bottom w:val="single" w:sz="4" w:space="0" w:color="auto"/>
              <w:right w:val="nil"/>
            </w:tcBorders>
            <w:shd w:val="clear" w:color="000000" w:fill="E6E6E6"/>
            <w:noWrap/>
            <w:vAlign w:val="bottom"/>
            <w:hideMark/>
          </w:tcPr>
          <w:p w14:paraId="6A143F59" w14:textId="2638CDA0" w:rsidR="005131E7" w:rsidRPr="00E62385" w:rsidRDefault="005131E7" w:rsidP="005131E7">
            <w:pPr>
              <w:spacing w:after="0" w:line="240" w:lineRule="auto"/>
              <w:jc w:val="right"/>
              <w:rPr>
                <w:rFonts w:ascii="Arial" w:hAnsi="Arial" w:cs="Arial"/>
                <w:b/>
                <w:bCs/>
                <w:color w:val="000000"/>
                <w:sz w:val="16"/>
                <w:szCs w:val="16"/>
              </w:rPr>
            </w:pPr>
            <w:r w:rsidRPr="00E62385">
              <w:rPr>
                <w:rFonts w:ascii="Arial" w:hAnsi="Arial" w:cs="Arial"/>
                <w:b/>
                <w:bCs/>
                <w:color w:val="000000"/>
                <w:sz w:val="16"/>
                <w:szCs w:val="16"/>
              </w:rPr>
              <w:t>8,900</w:t>
            </w:r>
          </w:p>
        </w:tc>
      </w:tr>
      <w:tr w:rsidR="005131E7" w:rsidRPr="00E62385" w14:paraId="31AB7725" w14:textId="77777777" w:rsidTr="00AC2F7F">
        <w:trPr>
          <w:trHeight w:val="204"/>
        </w:trPr>
        <w:tc>
          <w:tcPr>
            <w:tcW w:w="3119" w:type="dxa"/>
            <w:tcBorders>
              <w:top w:val="nil"/>
              <w:left w:val="nil"/>
              <w:bottom w:val="nil"/>
              <w:right w:val="nil"/>
            </w:tcBorders>
            <w:shd w:val="clear" w:color="000000" w:fill="FFFFFF"/>
            <w:vAlign w:val="bottom"/>
            <w:hideMark/>
          </w:tcPr>
          <w:p w14:paraId="1541A399" w14:textId="77777777" w:rsidR="005131E7" w:rsidRPr="00E62385" w:rsidRDefault="005131E7" w:rsidP="005131E7">
            <w:pPr>
              <w:spacing w:after="0" w:line="240" w:lineRule="auto"/>
              <w:jc w:val="left"/>
              <w:rPr>
                <w:rFonts w:ascii="Arial" w:hAnsi="Arial" w:cs="Arial"/>
                <w:b/>
                <w:bCs/>
                <w:color w:val="000000"/>
                <w:sz w:val="16"/>
                <w:szCs w:val="16"/>
              </w:rPr>
            </w:pPr>
            <w:r w:rsidRPr="00E62385">
              <w:rPr>
                <w:rFonts w:ascii="Arial" w:hAnsi="Arial" w:cs="Arial"/>
                <w:b/>
                <w:bCs/>
                <w:color w:val="000000"/>
                <w:sz w:val="16"/>
                <w:szCs w:val="16"/>
              </w:rPr>
              <w:t>Funds from other sources</w:t>
            </w:r>
          </w:p>
        </w:tc>
        <w:tc>
          <w:tcPr>
            <w:tcW w:w="1150" w:type="dxa"/>
            <w:tcBorders>
              <w:top w:val="nil"/>
              <w:left w:val="nil"/>
              <w:bottom w:val="nil"/>
              <w:right w:val="nil"/>
            </w:tcBorders>
            <w:shd w:val="clear" w:color="000000" w:fill="FFFFFF"/>
            <w:noWrap/>
            <w:vAlign w:val="bottom"/>
            <w:hideMark/>
          </w:tcPr>
          <w:p w14:paraId="122DDD61" w14:textId="6C353A01" w:rsidR="005131E7" w:rsidRPr="00E62385" w:rsidRDefault="005131E7" w:rsidP="005131E7">
            <w:pPr>
              <w:spacing w:after="0" w:line="240" w:lineRule="auto"/>
              <w:jc w:val="right"/>
              <w:rPr>
                <w:rFonts w:ascii="Arial" w:hAnsi="Arial" w:cs="Arial"/>
                <w:iCs/>
                <w:color w:val="000000"/>
                <w:sz w:val="16"/>
                <w:szCs w:val="16"/>
              </w:rPr>
            </w:pPr>
          </w:p>
        </w:tc>
        <w:tc>
          <w:tcPr>
            <w:tcW w:w="1115" w:type="dxa"/>
            <w:tcBorders>
              <w:top w:val="nil"/>
              <w:left w:val="nil"/>
              <w:bottom w:val="nil"/>
              <w:right w:val="nil"/>
            </w:tcBorders>
            <w:shd w:val="clear" w:color="000000" w:fill="FFFFFF"/>
            <w:noWrap/>
            <w:vAlign w:val="bottom"/>
            <w:hideMark/>
          </w:tcPr>
          <w:p w14:paraId="04929FF1" w14:textId="50FF321F" w:rsidR="005131E7" w:rsidRPr="00E62385" w:rsidRDefault="005131E7" w:rsidP="005131E7">
            <w:pPr>
              <w:spacing w:after="0" w:line="240" w:lineRule="auto"/>
              <w:jc w:val="right"/>
              <w:rPr>
                <w:rFonts w:ascii="Arial" w:hAnsi="Arial" w:cs="Arial"/>
                <w:iCs/>
                <w:color w:val="000000"/>
                <w:sz w:val="16"/>
                <w:szCs w:val="16"/>
              </w:rPr>
            </w:pPr>
          </w:p>
        </w:tc>
        <w:tc>
          <w:tcPr>
            <w:tcW w:w="1116" w:type="dxa"/>
            <w:tcBorders>
              <w:top w:val="nil"/>
              <w:left w:val="nil"/>
              <w:bottom w:val="nil"/>
              <w:right w:val="nil"/>
            </w:tcBorders>
            <w:shd w:val="clear" w:color="000000" w:fill="FFFFFF"/>
            <w:noWrap/>
            <w:vAlign w:val="bottom"/>
            <w:hideMark/>
          </w:tcPr>
          <w:p w14:paraId="080EA1E4" w14:textId="6932AF8B" w:rsidR="005131E7" w:rsidRPr="00E62385" w:rsidRDefault="005131E7" w:rsidP="005131E7">
            <w:pPr>
              <w:spacing w:after="0" w:line="240" w:lineRule="auto"/>
              <w:jc w:val="right"/>
              <w:rPr>
                <w:rFonts w:ascii="Arial" w:hAnsi="Arial" w:cs="Arial"/>
                <w:iCs/>
                <w:color w:val="000000"/>
                <w:sz w:val="16"/>
                <w:szCs w:val="16"/>
              </w:rPr>
            </w:pPr>
          </w:p>
        </w:tc>
        <w:tc>
          <w:tcPr>
            <w:tcW w:w="1116" w:type="dxa"/>
            <w:tcBorders>
              <w:top w:val="nil"/>
              <w:left w:val="nil"/>
              <w:bottom w:val="nil"/>
              <w:right w:val="nil"/>
            </w:tcBorders>
            <w:shd w:val="clear" w:color="000000" w:fill="E6E6E6"/>
            <w:noWrap/>
            <w:vAlign w:val="bottom"/>
            <w:hideMark/>
          </w:tcPr>
          <w:p w14:paraId="34656A4A" w14:textId="588550FE" w:rsidR="005131E7" w:rsidRPr="00E62385" w:rsidRDefault="005131E7" w:rsidP="005131E7">
            <w:pPr>
              <w:spacing w:after="0" w:line="240" w:lineRule="auto"/>
              <w:jc w:val="right"/>
              <w:rPr>
                <w:rFonts w:ascii="Arial" w:hAnsi="Arial" w:cs="Arial"/>
                <w:color w:val="000000"/>
                <w:sz w:val="16"/>
                <w:szCs w:val="16"/>
              </w:rPr>
            </w:pPr>
          </w:p>
        </w:tc>
      </w:tr>
      <w:tr w:rsidR="005131E7" w:rsidRPr="00E62385" w14:paraId="36ACD56D" w14:textId="77777777" w:rsidTr="00AC2F7F">
        <w:trPr>
          <w:trHeight w:val="204"/>
        </w:trPr>
        <w:tc>
          <w:tcPr>
            <w:tcW w:w="3119" w:type="dxa"/>
            <w:tcBorders>
              <w:top w:val="nil"/>
              <w:left w:val="nil"/>
              <w:bottom w:val="nil"/>
              <w:right w:val="nil"/>
            </w:tcBorders>
            <w:shd w:val="clear" w:color="000000" w:fill="FFFFFF"/>
            <w:vAlign w:val="bottom"/>
            <w:hideMark/>
          </w:tcPr>
          <w:p w14:paraId="1A068D40" w14:textId="77777777" w:rsidR="005131E7" w:rsidRPr="00E62385" w:rsidRDefault="005131E7" w:rsidP="00AC2F7F">
            <w:pPr>
              <w:spacing w:after="0" w:line="240" w:lineRule="auto"/>
              <w:ind w:left="113"/>
              <w:jc w:val="left"/>
              <w:rPr>
                <w:rFonts w:ascii="Arial" w:hAnsi="Arial" w:cs="Arial"/>
                <w:color w:val="000000"/>
                <w:sz w:val="16"/>
                <w:szCs w:val="16"/>
              </w:rPr>
            </w:pPr>
            <w:r w:rsidRPr="00E62385">
              <w:rPr>
                <w:rFonts w:ascii="Arial" w:hAnsi="Arial" w:cs="Arial"/>
                <w:color w:val="000000"/>
                <w:sz w:val="16"/>
                <w:szCs w:val="16"/>
              </w:rPr>
              <w:t>Interest</w:t>
            </w:r>
          </w:p>
        </w:tc>
        <w:tc>
          <w:tcPr>
            <w:tcW w:w="1150" w:type="dxa"/>
            <w:tcBorders>
              <w:top w:val="nil"/>
              <w:left w:val="nil"/>
              <w:bottom w:val="nil"/>
              <w:right w:val="nil"/>
            </w:tcBorders>
            <w:shd w:val="clear" w:color="000000" w:fill="FFFFFF"/>
            <w:noWrap/>
            <w:vAlign w:val="bottom"/>
            <w:hideMark/>
          </w:tcPr>
          <w:p w14:paraId="08659CAE" w14:textId="0D8116E3"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345</w:t>
            </w:r>
          </w:p>
        </w:tc>
        <w:tc>
          <w:tcPr>
            <w:tcW w:w="1115" w:type="dxa"/>
            <w:tcBorders>
              <w:top w:val="nil"/>
              <w:left w:val="nil"/>
              <w:bottom w:val="nil"/>
              <w:right w:val="nil"/>
            </w:tcBorders>
            <w:shd w:val="clear" w:color="000000" w:fill="FFFFFF"/>
            <w:noWrap/>
            <w:vAlign w:val="bottom"/>
            <w:hideMark/>
          </w:tcPr>
          <w:p w14:paraId="3D387D2D" w14:textId="2C57CA8C"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173</w:t>
            </w:r>
          </w:p>
        </w:tc>
        <w:tc>
          <w:tcPr>
            <w:tcW w:w="1116" w:type="dxa"/>
            <w:tcBorders>
              <w:top w:val="nil"/>
              <w:left w:val="nil"/>
              <w:bottom w:val="nil"/>
              <w:right w:val="nil"/>
            </w:tcBorders>
            <w:shd w:val="clear" w:color="000000" w:fill="FFFFFF"/>
            <w:noWrap/>
            <w:vAlign w:val="bottom"/>
            <w:hideMark/>
          </w:tcPr>
          <w:p w14:paraId="3B270981" w14:textId="3F022CA9"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w:t>
            </w:r>
          </w:p>
        </w:tc>
        <w:tc>
          <w:tcPr>
            <w:tcW w:w="1116" w:type="dxa"/>
            <w:tcBorders>
              <w:top w:val="nil"/>
              <w:left w:val="nil"/>
              <w:bottom w:val="nil"/>
              <w:right w:val="nil"/>
            </w:tcBorders>
            <w:shd w:val="clear" w:color="000000" w:fill="E6E6E6"/>
            <w:noWrap/>
            <w:vAlign w:val="bottom"/>
            <w:hideMark/>
          </w:tcPr>
          <w:p w14:paraId="63A471C1" w14:textId="51781407" w:rsidR="005131E7" w:rsidRPr="00E62385" w:rsidRDefault="005131E7" w:rsidP="005131E7">
            <w:pPr>
              <w:spacing w:after="0" w:line="240" w:lineRule="auto"/>
              <w:jc w:val="right"/>
              <w:rPr>
                <w:rFonts w:ascii="Arial" w:hAnsi="Arial" w:cs="Arial"/>
                <w:color w:val="000000"/>
                <w:sz w:val="16"/>
                <w:szCs w:val="16"/>
              </w:rPr>
            </w:pPr>
            <w:r w:rsidRPr="00E62385">
              <w:rPr>
                <w:rFonts w:ascii="Arial" w:hAnsi="Arial" w:cs="Arial"/>
                <w:color w:val="000000"/>
                <w:sz w:val="16"/>
                <w:szCs w:val="16"/>
              </w:rPr>
              <w:t>173</w:t>
            </w:r>
          </w:p>
        </w:tc>
      </w:tr>
      <w:tr w:rsidR="005131E7" w:rsidRPr="00E62385" w14:paraId="548AA72B" w14:textId="77777777" w:rsidTr="00AC2F7F">
        <w:trPr>
          <w:trHeight w:val="204"/>
        </w:trPr>
        <w:tc>
          <w:tcPr>
            <w:tcW w:w="3119" w:type="dxa"/>
            <w:tcBorders>
              <w:top w:val="nil"/>
              <w:left w:val="nil"/>
              <w:bottom w:val="nil"/>
              <w:right w:val="nil"/>
            </w:tcBorders>
            <w:shd w:val="clear" w:color="000000" w:fill="FFFFFF"/>
            <w:vAlign w:val="bottom"/>
            <w:hideMark/>
          </w:tcPr>
          <w:p w14:paraId="1F84880C" w14:textId="77777777" w:rsidR="005131E7" w:rsidRPr="00E62385" w:rsidRDefault="005131E7" w:rsidP="00AC2F7F">
            <w:pPr>
              <w:spacing w:after="0" w:line="240" w:lineRule="auto"/>
              <w:ind w:left="113"/>
              <w:jc w:val="left"/>
              <w:rPr>
                <w:rFonts w:ascii="Arial" w:hAnsi="Arial" w:cs="Arial"/>
                <w:color w:val="000000"/>
                <w:sz w:val="16"/>
                <w:szCs w:val="16"/>
              </w:rPr>
            </w:pPr>
            <w:r w:rsidRPr="00E62385">
              <w:rPr>
                <w:rFonts w:ascii="Arial" w:hAnsi="Arial" w:cs="Arial"/>
                <w:color w:val="000000"/>
                <w:sz w:val="16"/>
                <w:szCs w:val="16"/>
              </w:rPr>
              <w:t>Other</w:t>
            </w:r>
          </w:p>
        </w:tc>
        <w:tc>
          <w:tcPr>
            <w:tcW w:w="1150" w:type="dxa"/>
            <w:tcBorders>
              <w:top w:val="nil"/>
              <w:left w:val="nil"/>
              <w:bottom w:val="nil"/>
              <w:right w:val="nil"/>
            </w:tcBorders>
            <w:shd w:val="clear" w:color="000000" w:fill="FFFFFF"/>
            <w:noWrap/>
            <w:vAlign w:val="bottom"/>
            <w:hideMark/>
          </w:tcPr>
          <w:p w14:paraId="3A63F8D8" w14:textId="06A53912"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2,677</w:t>
            </w:r>
          </w:p>
        </w:tc>
        <w:tc>
          <w:tcPr>
            <w:tcW w:w="1115" w:type="dxa"/>
            <w:tcBorders>
              <w:top w:val="nil"/>
              <w:left w:val="nil"/>
              <w:bottom w:val="nil"/>
              <w:right w:val="nil"/>
            </w:tcBorders>
            <w:shd w:val="clear" w:color="000000" w:fill="FFFFFF"/>
            <w:noWrap/>
            <w:vAlign w:val="bottom"/>
            <w:hideMark/>
          </w:tcPr>
          <w:p w14:paraId="284E510F" w14:textId="0B8B29EE"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911</w:t>
            </w:r>
          </w:p>
        </w:tc>
        <w:tc>
          <w:tcPr>
            <w:tcW w:w="1116" w:type="dxa"/>
            <w:tcBorders>
              <w:top w:val="nil"/>
              <w:left w:val="nil"/>
              <w:bottom w:val="nil"/>
              <w:right w:val="nil"/>
            </w:tcBorders>
            <w:shd w:val="clear" w:color="000000" w:fill="FFFFFF"/>
            <w:noWrap/>
            <w:vAlign w:val="bottom"/>
            <w:hideMark/>
          </w:tcPr>
          <w:p w14:paraId="5F887714" w14:textId="74D44063" w:rsidR="005131E7" w:rsidRPr="00E62385" w:rsidRDefault="005131E7" w:rsidP="005131E7">
            <w:pPr>
              <w:spacing w:after="0" w:line="240" w:lineRule="auto"/>
              <w:jc w:val="right"/>
              <w:rPr>
                <w:rFonts w:ascii="Arial" w:hAnsi="Arial" w:cs="Arial"/>
                <w:iCs/>
                <w:color w:val="000000"/>
                <w:sz w:val="16"/>
                <w:szCs w:val="16"/>
              </w:rPr>
            </w:pPr>
            <w:r w:rsidRPr="00E62385">
              <w:rPr>
                <w:rFonts w:ascii="Arial" w:hAnsi="Arial" w:cs="Arial"/>
                <w:iCs/>
                <w:color w:val="000000"/>
                <w:sz w:val="16"/>
                <w:szCs w:val="16"/>
              </w:rPr>
              <w:t>-</w:t>
            </w:r>
          </w:p>
        </w:tc>
        <w:tc>
          <w:tcPr>
            <w:tcW w:w="1116" w:type="dxa"/>
            <w:tcBorders>
              <w:top w:val="nil"/>
              <w:left w:val="nil"/>
              <w:bottom w:val="nil"/>
              <w:right w:val="nil"/>
            </w:tcBorders>
            <w:shd w:val="clear" w:color="000000" w:fill="E6E6E6"/>
            <w:noWrap/>
            <w:vAlign w:val="bottom"/>
            <w:hideMark/>
          </w:tcPr>
          <w:p w14:paraId="114D10D0" w14:textId="0DB70743" w:rsidR="005131E7" w:rsidRPr="00E62385" w:rsidRDefault="005131E7" w:rsidP="005131E7">
            <w:pPr>
              <w:spacing w:after="0" w:line="240" w:lineRule="auto"/>
              <w:jc w:val="right"/>
              <w:rPr>
                <w:rFonts w:ascii="Arial" w:hAnsi="Arial" w:cs="Arial"/>
                <w:color w:val="000000"/>
                <w:sz w:val="16"/>
                <w:szCs w:val="16"/>
              </w:rPr>
            </w:pPr>
            <w:r w:rsidRPr="00E62385">
              <w:rPr>
                <w:rFonts w:ascii="Arial" w:hAnsi="Arial" w:cs="Arial"/>
                <w:color w:val="000000"/>
                <w:sz w:val="16"/>
                <w:szCs w:val="16"/>
              </w:rPr>
              <w:t>911</w:t>
            </w:r>
          </w:p>
        </w:tc>
      </w:tr>
      <w:tr w:rsidR="005131E7" w:rsidRPr="00E62385" w14:paraId="08457002" w14:textId="77777777" w:rsidTr="00AC2F7F">
        <w:trPr>
          <w:trHeight w:val="204"/>
        </w:trPr>
        <w:tc>
          <w:tcPr>
            <w:tcW w:w="3119" w:type="dxa"/>
            <w:tcBorders>
              <w:top w:val="nil"/>
              <w:left w:val="nil"/>
              <w:bottom w:val="nil"/>
              <w:right w:val="nil"/>
            </w:tcBorders>
            <w:shd w:val="clear" w:color="000000" w:fill="FFFFFF"/>
            <w:noWrap/>
            <w:vAlign w:val="bottom"/>
            <w:hideMark/>
          </w:tcPr>
          <w:p w14:paraId="663C11E2" w14:textId="77777777" w:rsidR="005131E7" w:rsidRPr="00E62385" w:rsidRDefault="005131E7" w:rsidP="005131E7">
            <w:pPr>
              <w:spacing w:after="0" w:line="240" w:lineRule="auto"/>
              <w:jc w:val="left"/>
              <w:rPr>
                <w:rFonts w:ascii="Arial" w:hAnsi="Arial" w:cs="Arial"/>
                <w:b/>
                <w:bCs/>
                <w:color w:val="000000"/>
                <w:sz w:val="16"/>
                <w:szCs w:val="16"/>
              </w:rPr>
            </w:pPr>
            <w:r w:rsidRPr="00E62385">
              <w:rPr>
                <w:rFonts w:ascii="Arial" w:hAnsi="Arial" w:cs="Arial"/>
                <w:b/>
                <w:bCs/>
                <w:color w:val="000000"/>
                <w:sz w:val="16"/>
                <w:szCs w:val="16"/>
              </w:rPr>
              <w:t>Total funds from other sources</w:t>
            </w:r>
          </w:p>
        </w:tc>
        <w:tc>
          <w:tcPr>
            <w:tcW w:w="1150" w:type="dxa"/>
            <w:tcBorders>
              <w:top w:val="single" w:sz="4" w:space="0" w:color="auto"/>
              <w:left w:val="nil"/>
              <w:bottom w:val="single" w:sz="4" w:space="0" w:color="auto"/>
              <w:right w:val="nil"/>
            </w:tcBorders>
            <w:shd w:val="clear" w:color="000000" w:fill="FFFFFF"/>
            <w:noWrap/>
            <w:vAlign w:val="bottom"/>
            <w:hideMark/>
          </w:tcPr>
          <w:p w14:paraId="2986EF35" w14:textId="419E3B07" w:rsidR="005131E7" w:rsidRPr="00E62385" w:rsidRDefault="005131E7" w:rsidP="005131E7">
            <w:pPr>
              <w:spacing w:after="0" w:line="240" w:lineRule="auto"/>
              <w:jc w:val="right"/>
              <w:rPr>
                <w:rFonts w:ascii="Arial" w:hAnsi="Arial" w:cs="Arial"/>
                <w:b/>
                <w:bCs/>
                <w:iCs/>
                <w:color w:val="000000"/>
                <w:sz w:val="16"/>
                <w:szCs w:val="16"/>
              </w:rPr>
            </w:pPr>
            <w:r w:rsidRPr="00E62385">
              <w:rPr>
                <w:rFonts w:ascii="Arial" w:hAnsi="Arial" w:cs="Arial"/>
                <w:b/>
                <w:bCs/>
                <w:iCs/>
                <w:color w:val="000000"/>
                <w:sz w:val="16"/>
                <w:szCs w:val="16"/>
              </w:rPr>
              <w:t>3,022</w:t>
            </w:r>
          </w:p>
        </w:tc>
        <w:tc>
          <w:tcPr>
            <w:tcW w:w="1115" w:type="dxa"/>
            <w:tcBorders>
              <w:top w:val="single" w:sz="4" w:space="0" w:color="auto"/>
              <w:left w:val="nil"/>
              <w:bottom w:val="single" w:sz="4" w:space="0" w:color="auto"/>
              <w:right w:val="nil"/>
            </w:tcBorders>
            <w:shd w:val="clear" w:color="000000" w:fill="FFFFFF"/>
            <w:noWrap/>
            <w:vAlign w:val="bottom"/>
            <w:hideMark/>
          </w:tcPr>
          <w:p w14:paraId="38939181" w14:textId="6E4B6364" w:rsidR="005131E7" w:rsidRPr="00E62385" w:rsidRDefault="005131E7" w:rsidP="005131E7">
            <w:pPr>
              <w:spacing w:after="0" w:line="240" w:lineRule="auto"/>
              <w:jc w:val="right"/>
              <w:rPr>
                <w:rFonts w:ascii="Arial" w:hAnsi="Arial" w:cs="Arial"/>
                <w:b/>
                <w:bCs/>
                <w:iCs/>
                <w:color w:val="000000"/>
                <w:sz w:val="16"/>
                <w:szCs w:val="16"/>
              </w:rPr>
            </w:pPr>
            <w:r w:rsidRPr="00E62385">
              <w:rPr>
                <w:rFonts w:ascii="Arial" w:hAnsi="Arial" w:cs="Arial"/>
                <w:b/>
                <w:bCs/>
                <w:iCs/>
                <w:color w:val="000000"/>
                <w:sz w:val="16"/>
                <w:szCs w:val="16"/>
              </w:rPr>
              <w:t>1,084</w:t>
            </w:r>
          </w:p>
        </w:tc>
        <w:tc>
          <w:tcPr>
            <w:tcW w:w="1116" w:type="dxa"/>
            <w:tcBorders>
              <w:top w:val="single" w:sz="4" w:space="0" w:color="auto"/>
              <w:left w:val="nil"/>
              <w:bottom w:val="single" w:sz="4" w:space="0" w:color="auto"/>
              <w:right w:val="nil"/>
            </w:tcBorders>
            <w:shd w:val="clear" w:color="000000" w:fill="FFFFFF"/>
            <w:noWrap/>
            <w:vAlign w:val="bottom"/>
            <w:hideMark/>
          </w:tcPr>
          <w:p w14:paraId="1041E61F" w14:textId="5D30EA17" w:rsidR="005131E7" w:rsidRPr="00E62385" w:rsidRDefault="005131E7" w:rsidP="005131E7">
            <w:pPr>
              <w:spacing w:after="0" w:line="240" w:lineRule="auto"/>
              <w:jc w:val="right"/>
              <w:rPr>
                <w:rFonts w:ascii="Arial" w:hAnsi="Arial" w:cs="Arial"/>
                <w:b/>
                <w:bCs/>
                <w:iCs/>
                <w:color w:val="000000"/>
                <w:sz w:val="16"/>
                <w:szCs w:val="16"/>
              </w:rPr>
            </w:pPr>
            <w:r w:rsidRPr="00E62385">
              <w:rPr>
                <w:rFonts w:ascii="Arial" w:hAnsi="Arial" w:cs="Arial"/>
                <w:b/>
                <w:bCs/>
                <w:iCs/>
                <w:color w:val="000000"/>
                <w:sz w:val="16"/>
                <w:szCs w:val="16"/>
              </w:rPr>
              <w:t>-</w:t>
            </w:r>
          </w:p>
        </w:tc>
        <w:tc>
          <w:tcPr>
            <w:tcW w:w="1116" w:type="dxa"/>
            <w:tcBorders>
              <w:top w:val="single" w:sz="4" w:space="0" w:color="auto"/>
              <w:left w:val="nil"/>
              <w:bottom w:val="single" w:sz="4" w:space="0" w:color="auto"/>
              <w:right w:val="nil"/>
            </w:tcBorders>
            <w:shd w:val="clear" w:color="000000" w:fill="E6E6E6"/>
            <w:noWrap/>
            <w:vAlign w:val="bottom"/>
            <w:hideMark/>
          </w:tcPr>
          <w:p w14:paraId="4B25E816" w14:textId="38914A73" w:rsidR="005131E7" w:rsidRPr="009C4612" w:rsidRDefault="005131E7" w:rsidP="005131E7">
            <w:pPr>
              <w:spacing w:after="0" w:line="240" w:lineRule="auto"/>
              <w:jc w:val="right"/>
              <w:rPr>
                <w:rFonts w:ascii="Arial" w:hAnsi="Arial" w:cs="Arial"/>
                <w:b/>
                <w:color w:val="000000"/>
                <w:sz w:val="16"/>
                <w:szCs w:val="16"/>
              </w:rPr>
            </w:pPr>
            <w:r w:rsidRPr="009C4612">
              <w:rPr>
                <w:rFonts w:ascii="Arial" w:hAnsi="Arial" w:cs="Arial"/>
                <w:b/>
                <w:color w:val="000000"/>
                <w:sz w:val="16"/>
                <w:szCs w:val="16"/>
              </w:rPr>
              <w:t>1,084</w:t>
            </w:r>
          </w:p>
        </w:tc>
      </w:tr>
      <w:tr w:rsidR="005131E7" w:rsidRPr="00E62385" w14:paraId="277336EF" w14:textId="77777777" w:rsidTr="00AC2F7F">
        <w:trPr>
          <w:trHeight w:val="204"/>
        </w:trPr>
        <w:tc>
          <w:tcPr>
            <w:tcW w:w="3119" w:type="dxa"/>
            <w:tcBorders>
              <w:top w:val="nil"/>
              <w:left w:val="nil"/>
              <w:bottom w:val="single" w:sz="4" w:space="0" w:color="auto"/>
              <w:right w:val="nil"/>
            </w:tcBorders>
            <w:shd w:val="clear" w:color="000000" w:fill="FFFFFF"/>
            <w:noWrap/>
            <w:vAlign w:val="bottom"/>
            <w:hideMark/>
          </w:tcPr>
          <w:p w14:paraId="6AE6B24C" w14:textId="674A07B5" w:rsidR="005131E7" w:rsidRPr="00E62385" w:rsidRDefault="005131E7" w:rsidP="0040418E">
            <w:pPr>
              <w:spacing w:after="0" w:line="240" w:lineRule="auto"/>
              <w:jc w:val="left"/>
              <w:rPr>
                <w:rFonts w:ascii="Arial" w:hAnsi="Arial" w:cs="Arial"/>
                <w:b/>
                <w:bCs/>
                <w:color w:val="000000"/>
                <w:sz w:val="16"/>
                <w:szCs w:val="16"/>
              </w:rPr>
            </w:pPr>
            <w:r w:rsidRPr="00E62385">
              <w:rPr>
                <w:rFonts w:ascii="Arial" w:hAnsi="Arial" w:cs="Arial"/>
                <w:b/>
                <w:bCs/>
                <w:color w:val="000000"/>
                <w:sz w:val="16"/>
                <w:szCs w:val="16"/>
              </w:rPr>
              <w:t xml:space="preserve">Total net resourcing for </w:t>
            </w:r>
            <w:r w:rsidR="0040418E">
              <w:rPr>
                <w:rFonts w:ascii="Arial" w:hAnsi="Arial" w:cs="Arial"/>
                <w:b/>
                <w:bCs/>
                <w:color w:val="000000"/>
                <w:sz w:val="16"/>
                <w:szCs w:val="16"/>
              </w:rPr>
              <w:t>CASA</w:t>
            </w:r>
          </w:p>
        </w:tc>
        <w:tc>
          <w:tcPr>
            <w:tcW w:w="1150" w:type="dxa"/>
            <w:tcBorders>
              <w:top w:val="single" w:sz="4" w:space="0" w:color="auto"/>
              <w:left w:val="nil"/>
              <w:bottom w:val="single" w:sz="4" w:space="0" w:color="auto"/>
              <w:right w:val="nil"/>
            </w:tcBorders>
            <w:shd w:val="clear" w:color="000000" w:fill="FFFFFF"/>
            <w:noWrap/>
            <w:vAlign w:val="bottom"/>
            <w:hideMark/>
          </w:tcPr>
          <w:p w14:paraId="2F5308F1" w14:textId="38E1EC4E" w:rsidR="005131E7" w:rsidRPr="00E62385" w:rsidRDefault="005131E7" w:rsidP="005131E7">
            <w:pPr>
              <w:spacing w:after="0" w:line="240" w:lineRule="auto"/>
              <w:jc w:val="right"/>
              <w:rPr>
                <w:rFonts w:ascii="Arial" w:hAnsi="Arial" w:cs="Arial"/>
                <w:b/>
                <w:bCs/>
                <w:iCs/>
                <w:color w:val="000000"/>
                <w:sz w:val="16"/>
                <w:szCs w:val="16"/>
              </w:rPr>
            </w:pPr>
            <w:r w:rsidRPr="00E62385">
              <w:rPr>
                <w:rFonts w:ascii="Arial" w:hAnsi="Arial" w:cs="Arial"/>
                <w:b/>
                <w:bCs/>
                <w:iCs/>
                <w:color w:val="000000"/>
                <w:sz w:val="16"/>
                <w:szCs w:val="16"/>
              </w:rPr>
              <w:t>260,288</w:t>
            </w:r>
          </w:p>
        </w:tc>
        <w:tc>
          <w:tcPr>
            <w:tcW w:w="1115" w:type="dxa"/>
            <w:tcBorders>
              <w:top w:val="single" w:sz="4" w:space="0" w:color="auto"/>
              <w:left w:val="nil"/>
              <w:bottom w:val="single" w:sz="4" w:space="0" w:color="auto"/>
              <w:right w:val="nil"/>
            </w:tcBorders>
            <w:shd w:val="clear" w:color="000000" w:fill="FFFFFF"/>
            <w:noWrap/>
            <w:vAlign w:val="bottom"/>
            <w:hideMark/>
          </w:tcPr>
          <w:p w14:paraId="1F8ADECB" w14:textId="4E332D99" w:rsidR="005131E7" w:rsidRPr="00E62385" w:rsidRDefault="005131E7" w:rsidP="005131E7">
            <w:pPr>
              <w:spacing w:after="0" w:line="240" w:lineRule="auto"/>
              <w:jc w:val="right"/>
              <w:rPr>
                <w:rFonts w:ascii="Arial" w:hAnsi="Arial" w:cs="Arial"/>
                <w:b/>
                <w:bCs/>
                <w:iCs/>
                <w:color w:val="000000"/>
                <w:sz w:val="16"/>
                <w:szCs w:val="16"/>
              </w:rPr>
            </w:pPr>
            <w:r w:rsidRPr="00E62385">
              <w:rPr>
                <w:rFonts w:ascii="Arial" w:hAnsi="Arial" w:cs="Arial"/>
                <w:b/>
                <w:bCs/>
                <w:iCs/>
                <w:color w:val="000000"/>
                <w:sz w:val="16"/>
                <w:szCs w:val="16"/>
              </w:rPr>
              <w:t>272,471</w:t>
            </w:r>
          </w:p>
        </w:tc>
        <w:tc>
          <w:tcPr>
            <w:tcW w:w="1116" w:type="dxa"/>
            <w:tcBorders>
              <w:top w:val="single" w:sz="4" w:space="0" w:color="auto"/>
              <w:left w:val="nil"/>
              <w:bottom w:val="single" w:sz="4" w:space="0" w:color="auto"/>
              <w:right w:val="nil"/>
            </w:tcBorders>
            <w:shd w:val="clear" w:color="000000" w:fill="FFFFFF"/>
            <w:noWrap/>
            <w:vAlign w:val="bottom"/>
            <w:hideMark/>
          </w:tcPr>
          <w:p w14:paraId="2D91D209" w14:textId="1C692871" w:rsidR="005131E7" w:rsidRPr="00E62385" w:rsidRDefault="005131E7" w:rsidP="005131E7">
            <w:pPr>
              <w:spacing w:after="0" w:line="240" w:lineRule="auto"/>
              <w:jc w:val="right"/>
              <w:rPr>
                <w:rFonts w:ascii="Arial" w:hAnsi="Arial" w:cs="Arial"/>
                <w:b/>
                <w:bCs/>
                <w:iCs/>
                <w:color w:val="000000"/>
                <w:sz w:val="16"/>
                <w:szCs w:val="16"/>
              </w:rPr>
            </w:pPr>
            <w:r w:rsidRPr="00E62385">
              <w:rPr>
                <w:rFonts w:ascii="Arial" w:hAnsi="Arial" w:cs="Arial"/>
                <w:b/>
                <w:bCs/>
                <w:iCs/>
                <w:color w:val="000000"/>
                <w:sz w:val="16"/>
                <w:szCs w:val="16"/>
              </w:rPr>
              <w:t>9,524</w:t>
            </w:r>
          </w:p>
        </w:tc>
        <w:tc>
          <w:tcPr>
            <w:tcW w:w="1116" w:type="dxa"/>
            <w:tcBorders>
              <w:top w:val="single" w:sz="4" w:space="0" w:color="auto"/>
              <w:left w:val="nil"/>
              <w:bottom w:val="single" w:sz="4" w:space="0" w:color="auto"/>
              <w:right w:val="nil"/>
            </w:tcBorders>
            <w:shd w:val="clear" w:color="000000" w:fill="E6E6E6"/>
            <w:noWrap/>
            <w:vAlign w:val="bottom"/>
            <w:hideMark/>
          </w:tcPr>
          <w:p w14:paraId="4E337743" w14:textId="09413312" w:rsidR="005131E7" w:rsidRPr="00E62385" w:rsidRDefault="005131E7" w:rsidP="005131E7">
            <w:pPr>
              <w:spacing w:after="0" w:line="240" w:lineRule="auto"/>
              <w:jc w:val="right"/>
              <w:rPr>
                <w:rFonts w:ascii="Arial" w:hAnsi="Arial" w:cs="Arial"/>
                <w:b/>
                <w:bCs/>
                <w:color w:val="000000"/>
                <w:sz w:val="16"/>
                <w:szCs w:val="16"/>
              </w:rPr>
            </w:pPr>
            <w:r w:rsidRPr="00E62385">
              <w:rPr>
                <w:rFonts w:ascii="Arial" w:hAnsi="Arial" w:cs="Arial"/>
                <w:b/>
                <w:bCs/>
                <w:color w:val="000000"/>
                <w:sz w:val="16"/>
                <w:szCs w:val="16"/>
              </w:rPr>
              <w:t>281,995</w:t>
            </w:r>
          </w:p>
        </w:tc>
      </w:tr>
    </w:tbl>
    <w:p w14:paraId="36A7F5A7" w14:textId="3E2E9A6F" w:rsidR="00C17040" w:rsidRPr="00E62385" w:rsidRDefault="00C17040" w:rsidP="00C17040">
      <w:pPr>
        <w:pStyle w:val="TableGraphic"/>
        <w:rPr>
          <w:i w:val="0"/>
        </w:rPr>
      </w:pPr>
    </w:p>
    <w:tbl>
      <w:tblPr>
        <w:tblW w:w="7663" w:type="dxa"/>
        <w:tblLook w:val="04A0" w:firstRow="1" w:lastRow="0" w:firstColumn="1" w:lastColumn="0" w:noHBand="0" w:noVBand="1"/>
      </w:tblPr>
      <w:tblGrid>
        <w:gridCol w:w="3119"/>
        <w:gridCol w:w="1136"/>
        <w:gridCol w:w="1136"/>
        <w:gridCol w:w="1136"/>
        <w:gridCol w:w="1136"/>
      </w:tblGrid>
      <w:tr w:rsidR="00E62385" w:rsidRPr="00E62385" w14:paraId="38DD2DB2" w14:textId="77777777" w:rsidTr="00E62385">
        <w:trPr>
          <w:trHeight w:val="204"/>
        </w:trPr>
        <w:tc>
          <w:tcPr>
            <w:tcW w:w="3119" w:type="dxa"/>
            <w:tcBorders>
              <w:top w:val="single" w:sz="4" w:space="0" w:color="auto"/>
              <w:left w:val="nil"/>
              <w:bottom w:val="nil"/>
              <w:right w:val="nil"/>
            </w:tcBorders>
            <w:shd w:val="clear" w:color="000000" w:fill="FFFFFF"/>
            <w:noWrap/>
            <w:vAlign w:val="bottom"/>
            <w:hideMark/>
          </w:tcPr>
          <w:p w14:paraId="73FDE6EF" w14:textId="77777777" w:rsidR="00E62385" w:rsidRPr="00E62385" w:rsidRDefault="00E62385" w:rsidP="00E62385">
            <w:pPr>
              <w:spacing w:after="0" w:line="240" w:lineRule="auto"/>
              <w:jc w:val="left"/>
              <w:rPr>
                <w:rFonts w:ascii="Arial" w:hAnsi="Arial" w:cs="Arial"/>
                <w:color w:val="000000"/>
                <w:sz w:val="16"/>
                <w:szCs w:val="16"/>
              </w:rPr>
            </w:pPr>
            <w:r w:rsidRPr="00E62385">
              <w:rPr>
                <w:rFonts w:ascii="Arial" w:hAnsi="Arial" w:cs="Arial"/>
                <w:color w:val="000000"/>
                <w:sz w:val="16"/>
                <w:szCs w:val="16"/>
              </w:rPr>
              <w:t> </w:t>
            </w:r>
          </w:p>
        </w:tc>
        <w:tc>
          <w:tcPr>
            <w:tcW w:w="1136" w:type="dxa"/>
            <w:tcBorders>
              <w:top w:val="single" w:sz="4" w:space="0" w:color="auto"/>
              <w:left w:val="nil"/>
              <w:right w:val="nil"/>
            </w:tcBorders>
            <w:shd w:val="clear" w:color="000000" w:fill="FFFFFF"/>
            <w:noWrap/>
            <w:vAlign w:val="bottom"/>
            <w:hideMark/>
          </w:tcPr>
          <w:p w14:paraId="5A8CDA90" w14:textId="4E801242" w:rsidR="00E62385" w:rsidRPr="00E62385" w:rsidRDefault="00E62385" w:rsidP="00E62385">
            <w:pPr>
              <w:spacing w:after="0" w:line="240" w:lineRule="auto"/>
              <w:jc w:val="right"/>
              <w:rPr>
                <w:rFonts w:ascii="Arial" w:hAnsi="Arial" w:cs="Arial"/>
                <w:iCs/>
                <w:color w:val="000000"/>
                <w:sz w:val="16"/>
                <w:szCs w:val="16"/>
              </w:rPr>
            </w:pPr>
          </w:p>
        </w:tc>
        <w:tc>
          <w:tcPr>
            <w:tcW w:w="1136" w:type="dxa"/>
            <w:tcBorders>
              <w:top w:val="single" w:sz="4" w:space="0" w:color="auto"/>
              <w:left w:val="nil"/>
              <w:right w:val="nil"/>
            </w:tcBorders>
            <w:shd w:val="clear" w:color="000000" w:fill="FFFFFF"/>
            <w:noWrap/>
            <w:vAlign w:val="bottom"/>
            <w:hideMark/>
          </w:tcPr>
          <w:p w14:paraId="68A9B6A1" w14:textId="0A9A2987" w:rsidR="00E62385" w:rsidRPr="00E62385" w:rsidRDefault="00E62385" w:rsidP="00E62385">
            <w:pPr>
              <w:spacing w:after="0" w:line="240" w:lineRule="auto"/>
              <w:jc w:val="right"/>
              <w:rPr>
                <w:rFonts w:ascii="Arial" w:hAnsi="Arial" w:cs="Arial"/>
                <w:iCs/>
                <w:color w:val="000000"/>
                <w:sz w:val="16"/>
                <w:szCs w:val="16"/>
              </w:rPr>
            </w:pPr>
          </w:p>
        </w:tc>
        <w:tc>
          <w:tcPr>
            <w:tcW w:w="1136" w:type="dxa"/>
            <w:tcBorders>
              <w:top w:val="single" w:sz="4" w:space="0" w:color="auto"/>
              <w:left w:val="nil"/>
              <w:bottom w:val="single" w:sz="4" w:space="0" w:color="auto"/>
              <w:right w:val="nil"/>
            </w:tcBorders>
            <w:shd w:val="clear" w:color="auto" w:fill="auto"/>
            <w:vAlign w:val="bottom"/>
          </w:tcPr>
          <w:p w14:paraId="00A796E8" w14:textId="77777777" w:rsidR="00E62385" w:rsidRDefault="00E62385" w:rsidP="00E62385">
            <w:pPr>
              <w:spacing w:after="0" w:line="240" w:lineRule="auto"/>
              <w:jc w:val="right"/>
              <w:rPr>
                <w:rFonts w:ascii="Arial" w:hAnsi="Arial" w:cs="Arial"/>
                <w:iCs/>
                <w:color w:val="000000"/>
                <w:sz w:val="16"/>
                <w:szCs w:val="16"/>
              </w:rPr>
            </w:pPr>
            <w:r>
              <w:rPr>
                <w:rFonts w:ascii="Arial" w:hAnsi="Arial" w:cs="Arial"/>
                <w:iCs/>
                <w:color w:val="000000"/>
                <w:sz w:val="16"/>
                <w:szCs w:val="16"/>
              </w:rPr>
              <w:t xml:space="preserve">Actual </w:t>
            </w:r>
          </w:p>
          <w:p w14:paraId="0850F9C5" w14:textId="24C6FB68" w:rsidR="00E62385" w:rsidRPr="00E62385" w:rsidRDefault="00E62385" w:rsidP="00E62385">
            <w:pPr>
              <w:spacing w:after="0" w:line="240" w:lineRule="auto"/>
              <w:jc w:val="right"/>
              <w:rPr>
                <w:rFonts w:ascii="Arial" w:hAnsi="Arial" w:cs="Arial"/>
                <w:color w:val="000000"/>
                <w:sz w:val="16"/>
                <w:szCs w:val="16"/>
              </w:rPr>
            </w:pPr>
            <w:r w:rsidRPr="00E62385">
              <w:rPr>
                <w:rFonts w:ascii="Arial" w:hAnsi="Arial" w:cs="Arial"/>
                <w:iCs/>
                <w:color w:val="000000"/>
                <w:sz w:val="16"/>
                <w:szCs w:val="16"/>
              </w:rPr>
              <w:t>2020-21</w:t>
            </w:r>
          </w:p>
        </w:tc>
        <w:tc>
          <w:tcPr>
            <w:tcW w:w="1136" w:type="dxa"/>
            <w:tcBorders>
              <w:top w:val="single" w:sz="4" w:space="0" w:color="auto"/>
              <w:left w:val="nil"/>
              <w:bottom w:val="single" w:sz="4" w:space="0" w:color="auto"/>
              <w:right w:val="nil"/>
            </w:tcBorders>
            <w:shd w:val="clear" w:color="000000" w:fill="E6E6E6"/>
            <w:noWrap/>
            <w:vAlign w:val="bottom"/>
            <w:hideMark/>
          </w:tcPr>
          <w:p w14:paraId="51D0230B" w14:textId="5A519F16" w:rsidR="00E62385" w:rsidRPr="00E62385" w:rsidRDefault="00E62385" w:rsidP="00E62385">
            <w:pPr>
              <w:spacing w:after="0" w:line="240" w:lineRule="auto"/>
              <w:jc w:val="right"/>
              <w:rPr>
                <w:rFonts w:ascii="Arial" w:hAnsi="Arial" w:cs="Arial"/>
                <w:color w:val="000000"/>
                <w:sz w:val="16"/>
                <w:szCs w:val="16"/>
              </w:rPr>
            </w:pPr>
            <w:r w:rsidRPr="00E62385">
              <w:rPr>
                <w:rFonts w:ascii="Arial" w:hAnsi="Arial" w:cs="Arial"/>
                <w:color w:val="000000"/>
                <w:sz w:val="16"/>
                <w:szCs w:val="16"/>
              </w:rPr>
              <w:t>2021-22</w:t>
            </w:r>
          </w:p>
        </w:tc>
      </w:tr>
      <w:tr w:rsidR="00E62385" w:rsidRPr="00E62385" w14:paraId="5348902C" w14:textId="77777777" w:rsidTr="00E62385">
        <w:trPr>
          <w:trHeight w:val="204"/>
        </w:trPr>
        <w:tc>
          <w:tcPr>
            <w:tcW w:w="3119" w:type="dxa"/>
            <w:tcBorders>
              <w:top w:val="nil"/>
              <w:left w:val="nil"/>
              <w:bottom w:val="single" w:sz="4" w:space="0" w:color="auto"/>
              <w:right w:val="nil"/>
            </w:tcBorders>
            <w:shd w:val="clear" w:color="000000" w:fill="FFFFFF"/>
            <w:noWrap/>
            <w:vAlign w:val="bottom"/>
            <w:hideMark/>
          </w:tcPr>
          <w:p w14:paraId="182ED132" w14:textId="77777777" w:rsidR="00E62385" w:rsidRPr="00E62385" w:rsidRDefault="00E62385" w:rsidP="00E62385">
            <w:pPr>
              <w:spacing w:after="0" w:line="240" w:lineRule="auto"/>
              <w:jc w:val="left"/>
              <w:rPr>
                <w:rFonts w:ascii="Arial" w:hAnsi="Arial" w:cs="Arial"/>
                <w:b/>
                <w:bCs/>
                <w:color w:val="000000"/>
                <w:sz w:val="16"/>
                <w:szCs w:val="16"/>
              </w:rPr>
            </w:pPr>
            <w:r w:rsidRPr="00E62385">
              <w:rPr>
                <w:rFonts w:ascii="Arial" w:hAnsi="Arial" w:cs="Arial"/>
                <w:b/>
                <w:bCs/>
                <w:color w:val="000000"/>
                <w:sz w:val="16"/>
                <w:szCs w:val="16"/>
              </w:rPr>
              <w:t>Average staffing level (number)</w:t>
            </w:r>
          </w:p>
        </w:tc>
        <w:tc>
          <w:tcPr>
            <w:tcW w:w="1136" w:type="dxa"/>
            <w:tcBorders>
              <w:top w:val="nil"/>
              <w:left w:val="nil"/>
              <w:bottom w:val="single" w:sz="4" w:space="0" w:color="auto"/>
              <w:right w:val="nil"/>
            </w:tcBorders>
            <w:shd w:val="clear" w:color="000000" w:fill="FFFFFF"/>
            <w:noWrap/>
            <w:vAlign w:val="bottom"/>
            <w:hideMark/>
          </w:tcPr>
          <w:p w14:paraId="6D5A450A" w14:textId="54317CFC" w:rsidR="00E62385" w:rsidRPr="00E62385" w:rsidRDefault="00E62385" w:rsidP="00E62385">
            <w:pPr>
              <w:spacing w:after="0" w:line="240" w:lineRule="auto"/>
              <w:jc w:val="right"/>
              <w:rPr>
                <w:rFonts w:ascii="Arial" w:hAnsi="Arial" w:cs="Arial"/>
                <w:iCs/>
                <w:color w:val="000000"/>
                <w:sz w:val="16"/>
                <w:szCs w:val="16"/>
              </w:rPr>
            </w:pPr>
          </w:p>
        </w:tc>
        <w:tc>
          <w:tcPr>
            <w:tcW w:w="1136" w:type="dxa"/>
            <w:tcBorders>
              <w:top w:val="nil"/>
              <w:left w:val="nil"/>
              <w:bottom w:val="single" w:sz="4" w:space="0" w:color="auto"/>
              <w:right w:val="nil"/>
            </w:tcBorders>
            <w:shd w:val="clear" w:color="000000" w:fill="FFFFFF"/>
            <w:noWrap/>
            <w:vAlign w:val="bottom"/>
            <w:hideMark/>
          </w:tcPr>
          <w:p w14:paraId="3B178A64" w14:textId="14781E75" w:rsidR="00E62385" w:rsidRPr="00E62385" w:rsidRDefault="00E62385" w:rsidP="00E62385">
            <w:pPr>
              <w:spacing w:after="0" w:line="240" w:lineRule="auto"/>
              <w:jc w:val="right"/>
              <w:rPr>
                <w:rFonts w:ascii="Arial" w:hAnsi="Arial" w:cs="Arial"/>
                <w:iCs/>
                <w:color w:val="000000"/>
                <w:sz w:val="16"/>
                <w:szCs w:val="16"/>
              </w:rPr>
            </w:pPr>
          </w:p>
        </w:tc>
        <w:tc>
          <w:tcPr>
            <w:tcW w:w="1136" w:type="dxa"/>
            <w:tcBorders>
              <w:top w:val="nil"/>
              <w:left w:val="nil"/>
              <w:bottom w:val="single" w:sz="4" w:space="0" w:color="auto"/>
              <w:right w:val="nil"/>
            </w:tcBorders>
            <w:shd w:val="clear" w:color="auto" w:fill="auto"/>
            <w:vAlign w:val="bottom"/>
          </w:tcPr>
          <w:p w14:paraId="53551867" w14:textId="6AE1C51F" w:rsidR="00E62385" w:rsidRPr="00E62385" w:rsidRDefault="00E62385" w:rsidP="00E62385">
            <w:pPr>
              <w:spacing w:after="0" w:line="240" w:lineRule="auto"/>
              <w:jc w:val="right"/>
              <w:rPr>
                <w:rFonts w:ascii="Arial" w:hAnsi="Arial" w:cs="Arial"/>
                <w:color w:val="000000"/>
                <w:sz w:val="16"/>
                <w:szCs w:val="16"/>
              </w:rPr>
            </w:pPr>
            <w:r w:rsidRPr="00E62385">
              <w:rPr>
                <w:rFonts w:ascii="Arial" w:hAnsi="Arial" w:cs="Arial"/>
                <w:iCs/>
                <w:color w:val="000000"/>
                <w:sz w:val="16"/>
                <w:szCs w:val="16"/>
              </w:rPr>
              <w:t>819</w:t>
            </w:r>
          </w:p>
        </w:tc>
        <w:tc>
          <w:tcPr>
            <w:tcW w:w="1136" w:type="dxa"/>
            <w:tcBorders>
              <w:top w:val="nil"/>
              <w:left w:val="nil"/>
              <w:bottom w:val="single" w:sz="4" w:space="0" w:color="auto"/>
              <w:right w:val="nil"/>
            </w:tcBorders>
            <w:shd w:val="clear" w:color="000000" w:fill="E6E6E6"/>
            <w:noWrap/>
            <w:vAlign w:val="bottom"/>
            <w:hideMark/>
          </w:tcPr>
          <w:p w14:paraId="1124FE9D" w14:textId="258AA7D3" w:rsidR="00E62385" w:rsidRPr="00E62385" w:rsidRDefault="00E62385" w:rsidP="00E62385">
            <w:pPr>
              <w:spacing w:after="0" w:line="240" w:lineRule="auto"/>
              <w:jc w:val="right"/>
              <w:rPr>
                <w:rFonts w:ascii="Arial" w:hAnsi="Arial" w:cs="Arial"/>
                <w:color w:val="000000"/>
                <w:sz w:val="16"/>
                <w:szCs w:val="16"/>
              </w:rPr>
            </w:pPr>
            <w:r w:rsidRPr="00E62385">
              <w:rPr>
                <w:rFonts w:ascii="Arial" w:hAnsi="Arial" w:cs="Arial"/>
                <w:color w:val="000000"/>
                <w:sz w:val="16"/>
                <w:szCs w:val="16"/>
              </w:rPr>
              <w:t>832</w:t>
            </w:r>
          </w:p>
        </w:tc>
      </w:tr>
    </w:tbl>
    <w:p w14:paraId="3319D186" w14:textId="77777777" w:rsidR="002C6C05" w:rsidRDefault="002C6C05" w:rsidP="000708D5">
      <w:pPr>
        <w:pStyle w:val="Source"/>
        <w:spacing w:before="60"/>
        <w:jc w:val="left"/>
      </w:pPr>
      <w:r w:rsidRPr="00E83AB7">
        <w:t>Prepared on a resourcing (i.e. appropriations available) basis.</w:t>
      </w:r>
    </w:p>
    <w:p w14:paraId="7DA957F0" w14:textId="77777777" w:rsidR="00AC2F7F" w:rsidRDefault="00AC2F7F" w:rsidP="002C6C05">
      <w:pPr>
        <w:spacing w:after="0" w:line="240" w:lineRule="auto"/>
      </w:pPr>
      <w:r w:rsidRPr="00AC2F7F">
        <w:rPr>
          <w:rFonts w:ascii="Arial" w:hAnsi="Arial" w:cs="Arial"/>
          <w:sz w:val="16"/>
        </w:rPr>
        <w:lastRenderedPageBreak/>
        <w:t>All figures shown above are GST exclusive - these may not match figures in the cash flow statement.</w:t>
      </w:r>
      <w:r w:rsidRPr="00AC2F7F">
        <w:t xml:space="preserve"> </w:t>
      </w:r>
    </w:p>
    <w:p w14:paraId="1CE76F11" w14:textId="6FF92786" w:rsidR="00E370A1" w:rsidRPr="00AC2F7F" w:rsidRDefault="00AC2F7F" w:rsidP="002C6C05">
      <w:pPr>
        <w:spacing w:after="0" w:line="240" w:lineRule="auto"/>
        <w:rPr>
          <w:rFonts w:ascii="Arial" w:hAnsi="Arial" w:cs="Arial"/>
          <w:sz w:val="16"/>
        </w:rPr>
      </w:pPr>
      <w:r w:rsidRPr="00AC2F7F">
        <w:rPr>
          <w:rFonts w:ascii="Arial" w:hAnsi="Arial" w:cs="Arial"/>
          <w:sz w:val="16"/>
        </w:rPr>
        <w:t xml:space="preserve">(a) Appropriation </w:t>
      </w:r>
      <w:r w:rsidR="003B4729">
        <w:rPr>
          <w:rFonts w:ascii="Arial" w:hAnsi="Arial" w:cs="Arial"/>
          <w:sz w:val="16"/>
        </w:rPr>
        <w:t>Act</w:t>
      </w:r>
      <w:r w:rsidRPr="00AC2F7F">
        <w:rPr>
          <w:rFonts w:ascii="Arial" w:hAnsi="Arial" w:cs="Arial"/>
          <w:sz w:val="16"/>
        </w:rPr>
        <w:t xml:space="preserve"> (No. 1) 2021-22</w:t>
      </w:r>
      <w:r w:rsidR="003B4729">
        <w:rPr>
          <w:rFonts w:ascii="Arial" w:hAnsi="Arial" w:cs="Arial"/>
          <w:sz w:val="16"/>
        </w:rPr>
        <w:t xml:space="preserve"> and </w:t>
      </w:r>
      <w:r w:rsidR="003B4729" w:rsidRPr="00AC2F7F">
        <w:rPr>
          <w:rFonts w:ascii="Arial" w:hAnsi="Arial" w:cs="Arial"/>
          <w:sz w:val="16"/>
        </w:rPr>
        <w:t xml:space="preserve">Appropriation </w:t>
      </w:r>
      <w:r w:rsidR="003B4729">
        <w:rPr>
          <w:rFonts w:ascii="Arial" w:hAnsi="Arial" w:cs="Arial"/>
          <w:sz w:val="16"/>
        </w:rPr>
        <w:t>Bill</w:t>
      </w:r>
      <w:r w:rsidR="003B4729" w:rsidRPr="00AC2F7F">
        <w:rPr>
          <w:rFonts w:ascii="Arial" w:hAnsi="Arial" w:cs="Arial"/>
          <w:sz w:val="16"/>
        </w:rPr>
        <w:t xml:space="preserve"> (No. </w:t>
      </w:r>
      <w:r w:rsidR="003B4729">
        <w:rPr>
          <w:rFonts w:ascii="Arial" w:hAnsi="Arial" w:cs="Arial"/>
          <w:sz w:val="16"/>
        </w:rPr>
        <w:t>3</w:t>
      </w:r>
      <w:r w:rsidR="003B4729" w:rsidRPr="00AC2F7F">
        <w:rPr>
          <w:rFonts w:ascii="Arial" w:hAnsi="Arial" w:cs="Arial"/>
          <w:sz w:val="16"/>
        </w:rPr>
        <w:t>) 2021-22</w:t>
      </w:r>
      <w:r w:rsidRPr="00AC2F7F">
        <w:rPr>
          <w:rFonts w:ascii="Arial" w:hAnsi="Arial" w:cs="Arial"/>
          <w:sz w:val="16"/>
        </w:rPr>
        <w:t>.</w:t>
      </w:r>
    </w:p>
    <w:p w14:paraId="65941AE7" w14:textId="7163DC24" w:rsidR="00924D4F" w:rsidRPr="0050026A" w:rsidRDefault="00924D4F" w:rsidP="00924D4F">
      <w:pPr>
        <w:spacing w:before="60" w:after="0" w:line="240" w:lineRule="auto"/>
        <w:jc w:val="left"/>
        <w:rPr>
          <w:rFonts w:ascii="Arial" w:hAnsi="Arial" w:cs="Arial"/>
          <w:sz w:val="16"/>
          <w:szCs w:val="16"/>
          <w:lang w:val="en-US"/>
        </w:rPr>
      </w:pPr>
      <w:bookmarkStart w:id="409" w:name="_Toc93930019"/>
      <w:r>
        <w:rPr>
          <w:rFonts w:ascii="Arial" w:hAnsi="Arial" w:cs="Arial"/>
          <w:sz w:val="16"/>
          <w:szCs w:val="16"/>
        </w:rPr>
        <w:t>CASA</w:t>
      </w:r>
      <w:r w:rsidRPr="0038328A">
        <w:rPr>
          <w:rFonts w:ascii="Arial" w:hAnsi="Arial" w:cs="Arial"/>
          <w:sz w:val="16"/>
          <w:szCs w:val="16"/>
          <w:lang w:val="x-none"/>
        </w:rPr>
        <w:t xml:space="preserve"> is not directly appropriated as it is a Corporate Commonwealth Entity. Appropriations are made to the </w:t>
      </w:r>
      <w:r>
        <w:rPr>
          <w:rFonts w:ascii="Arial" w:hAnsi="Arial" w:cs="Arial"/>
          <w:sz w:val="16"/>
          <w:szCs w:val="16"/>
          <w:lang w:val="x-none"/>
        </w:rPr>
        <w:t>Department</w:t>
      </w:r>
      <w:r w:rsidRPr="0038328A">
        <w:rPr>
          <w:rFonts w:ascii="Arial" w:hAnsi="Arial" w:cs="Arial"/>
          <w:sz w:val="16"/>
          <w:szCs w:val="16"/>
          <w:lang w:val="x-none"/>
        </w:rPr>
        <w:t xml:space="preserve"> of Infrastructure, Transport, Regional Development and Communications (a Non-Corporate Commonwealth Entity), which are then paid to the </w:t>
      </w:r>
      <w:r>
        <w:rPr>
          <w:rFonts w:ascii="Arial" w:hAnsi="Arial" w:cs="Arial"/>
          <w:sz w:val="16"/>
          <w:szCs w:val="16"/>
        </w:rPr>
        <w:t>CASA</w:t>
      </w:r>
      <w:r w:rsidRPr="0038328A">
        <w:rPr>
          <w:rFonts w:ascii="Arial" w:hAnsi="Arial" w:cs="Arial"/>
          <w:sz w:val="16"/>
          <w:szCs w:val="16"/>
          <w:lang w:val="x-none"/>
        </w:rPr>
        <w:t xml:space="preserve"> and considered “</w:t>
      </w:r>
      <w:r>
        <w:rPr>
          <w:rFonts w:ascii="Arial" w:hAnsi="Arial" w:cs="Arial"/>
          <w:sz w:val="16"/>
          <w:szCs w:val="16"/>
          <w:lang w:val="x-none"/>
        </w:rPr>
        <w:t>Department</w:t>
      </w:r>
      <w:r w:rsidRPr="0038328A">
        <w:rPr>
          <w:rFonts w:ascii="Arial" w:hAnsi="Arial" w:cs="Arial"/>
          <w:sz w:val="16"/>
          <w:szCs w:val="16"/>
          <w:lang w:val="x-none"/>
        </w:rPr>
        <w:t>al” for all purposes</w:t>
      </w:r>
      <w:r>
        <w:rPr>
          <w:rFonts w:ascii="Arial" w:hAnsi="Arial" w:cs="Arial"/>
          <w:sz w:val="16"/>
          <w:szCs w:val="16"/>
          <w:lang w:val="en-US"/>
        </w:rPr>
        <w:t>.</w:t>
      </w:r>
    </w:p>
    <w:p w14:paraId="46164F64" w14:textId="4E7C3771" w:rsidR="00C17040" w:rsidRPr="001D4553" w:rsidRDefault="00C17040" w:rsidP="001D4553">
      <w:pPr>
        <w:pStyle w:val="Heading3CASA"/>
      </w:pPr>
      <w:r w:rsidRPr="001D4553">
        <w:t>1.3</w:t>
      </w:r>
      <w:r w:rsidRPr="001D4553">
        <w:tab/>
        <w:t>Entity measures</w:t>
      </w:r>
      <w:bookmarkEnd w:id="409"/>
    </w:p>
    <w:p w14:paraId="60F094C8" w14:textId="77777777" w:rsidR="00C17040" w:rsidRPr="00486E77" w:rsidRDefault="00C17040" w:rsidP="003B4729">
      <w:pPr>
        <w:jc w:val="left"/>
      </w:pPr>
      <w:r>
        <w:t xml:space="preserve">Table 1.2 summarises new Government measures taken since the 2021-22 Budget. The table is split into receipt and payment measures, with the affected program </w:t>
      </w:r>
      <w:r w:rsidRPr="00486E77">
        <w:t>identified.</w:t>
      </w:r>
    </w:p>
    <w:p w14:paraId="08889440" w14:textId="31744864" w:rsidR="00C17040" w:rsidRDefault="00C17040" w:rsidP="00C17040">
      <w:pPr>
        <w:pStyle w:val="TableHeading"/>
      </w:pPr>
      <w:r w:rsidRPr="00486E77">
        <w:t xml:space="preserve">Table 1.2: </w:t>
      </w:r>
      <w:r w:rsidR="00216C12">
        <w:rPr>
          <w:lang w:val="en-US"/>
        </w:rPr>
        <w:t>CASA</w:t>
      </w:r>
      <w:r w:rsidRPr="00486E77">
        <w:t xml:space="preserve"> </w:t>
      </w:r>
      <w:r>
        <w:rPr>
          <w:lang w:val="en-AU"/>
        </w:rPr>
        <w:t>2021-22</w:t>
      </w:r>
      <w:r w:rsidRPr="00486E77">
        <w:t xml:space="preserve"> measures since Budget</w:t>
      </w:r>
    </w:p>
    <w:tbl>
      <w:tblPr>
        <w:tblW w:w="7513" w:type="dxa"/>
        <w:tblLook w:val="04A0" w:firstRow="1" w:lastRow="0" w:firstColumn="1" w:lastColumn="0" w:noHBand="0" w:noVBand="1"/>
      </w:tblPr>
      <w:tblGrid>
        <w:gridCol w:w="3261"/>
        <w:gridCol w:w="830"/>
        <w:gridCol w:w="871"/>
        <w:gridCol w:w="850"/>
        <w:gridCol w:w="851"/>
        <w:gridCol w:w="850"/>
      </w:tblGrid>
      <w:tr w:rsidR="00980150" w:rsidRPr="00980150" w14:paraId="2E4BB93A" w14:textId="77777777" w:rsidTr="00DB60C0">
        <w:trPr>
          <w:trHeight w:val="450"/>
        </w:trPr>
        <w:tc>
          <w:tcPr>
            <w:tcW w:w="3261" w:type="dxa"/>
            <w:tcBorders>
              <w:top w:val="single" w:sz="4" w:space="0" w:color="auto"/>
              <w:left w:val="nil"/>
              <w:bottom w:val="nil"/>
              <w:right w:val="nil"/>
            </w:tcBorders>
            <w:shd w:val="clear" w:color="auto" w:fill="auto"/>
            <w:noWrap/>
            <w:vAlign w:val="bottom"/>
            <w:hideMark/>
          </w:tcPr>
          <w:p w14:paraId="47FC686F" w14:textId="6C47075F" w:rsidR="00980150" w:rsidRPr="00980150" w:rsidRDefault="00C17040" w:rsidP="00980150">
            <w:pPr>
              <w:spacing w:after="0" w:line="240" w:lineRule="auto"/>
              <w:jc w:val="left"/>
              <w:rPr>
                <w:rFonts w:ascii="Arial" w:hAnsi="Arial" w:cs="Arial"/>
                <w:sz w:val="16"/>
                <w:szCs w:val="16"/>
              </w:rPr>
            </w:pPr>
            <w:r w:rsidRPr="00393289">
              <w:rPr>
                <w:i/>
              </w:rPr>
              <w:t xml:space="preserve"> </w:t>
            </w:r>
            <w:r w:rsidR="00980150" w:rsidRPr="00980150">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14:paraId="393F498F" w14:textId="77777777" w:rsidR="00980150" w:rsidRPr="00980150" w:rsidRDefault="00980150" w:rsidP="00980150">
            <w:pPr>
              <w:spacing w:after="0" w:line="240" w:lineRule="auto"/>
              <w:jc w:val="left"/>
              <w:rPr>
                <w:rFonts w:ascii="Arial" w:hAnsi="Arial" w:cs="Arial"/>
                <w:sz w:val="16"/>
                <w:szCs w:val="16"/>
              </w:rPr>
            </w:pPr>
            <w:r w:rsidRPr="00980150">
              <w:rPr>
                <w:rFonts w:ascii="Arial" w:hAnsi="Arial" w:cs="Arial"/>
                <w:sz w:val="16"/>
                <w:szCs w:val="16"/>
              </w:rPr>
              <w:t>Program</w:t>
            </w:r>
          </w:p>
        </w:tc>
        <w:tc>
          <w:tcPr>
            <w:tcW w:w="871" w:type="dxa"/>
            <w:tcBorders>
              <w:top w:val="single" w:sz="4" w:space="0" w:color="auto"/>
              <w:left w:val="nil"/>
              <w:bottom w:val="single" w:sz="4" w:space="0" w:color="auto"/>
              <w:right w:val="nil"/>
            </w:tcBorders>
            <w:shd w:val="clear" w:color="auto" w:fill="auto"/>
            <w:vAlign w:val="bottom"/>
            <w:hideMark/>
          </w:tcPr>
          <w:p w14:paraId="4BF5C79E" w14:textId="77777777" w:rsidR="00980150" w:rsidRPr="00980150" w:rsidRDefault="00980150" w:rsidP="00980150">
            <w:pPr>
              <w:spacing w:after="0" w:line="240" w:lineRule="auto"/>
              <w:jc w:val="right"/>
              <w:rPr>
                <w:rFonts w:ascii="Arial" w:hAnsi="Arial" w:cs="Arial"/>
                <w:sz w:val="16"/>
                <w:szCs w:val="16"/>
              </w:rPr>
            </w:pPr>
            <w:r w:rsidRPr="00980150">
              <w:rPr>
                <w:rFonts w:ascii="Arial" w:hAnsi="Arial" w:cs="Arial"/>
                <w:sz w:val="16"/>
                <w:szCs w:val="16"/>
              </w:rPr>
              <w:t>2021-22</w:t>
            </w:r>
            <w:r w:rsidRPr="0098015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2EF7DBFB" w14:textId="77777777" w:rsidR="00980150" w:rsidRPr="00980150" w:rsidRDefault="00980150" w:rsidP="00980150">
            <w:pPr>
              <w:spacing w:after="0" w:line="240" w:lineRule="auto"/>
              <w:jc w:val="right"/>
              <w:rPr>
                <w:rFonts w:ascii="Arial" w:hAnsi="Arial" w:cs="Arial"/>
                <w:sz w:val="16"/>
                <w:szCs w:val="16"/>
              </w:rPr>
            </w:pPr>
            <w:r w:rsidRPr="00980150">
              <w:rPr>
                <w:rFonts w:ascii="Arial" w:hAnsi="Arial" w:cs="Arial"/>
                <w:sz w:val="16"/>
                <w:szCs w:val="16"/>
              </w:rPr>
              <w:t>2022-23</w:t>
            </w:r>
            <w:r w:rsidRPr="00980150">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vAlign w:val="bottom"/>
            <w:hideMark/>
          </w:tcPr>
          <w:p w14:paraId="75BEEF04" w14:textId="77777777" w:rsidR="00980150" w:rsidRPr="00980150" w:rsidRDefault="00980150" w:rsidP="00980150">
            <w:pPr>
              <w:spacing w:after="0" w:line="240" w:lineRule="auto"/>
              <w:jc w:val="right"/>
              <w:rPr>
                <w:rFonts w:ascii="Arial" w:hAnsi="Arial" w:cs="Arial"/>
                <w:sz w:val="16"/>
                <w:szCs w:val="16"/>
              </w:rPr>
            </w:pPr>
            <w:r w:rsidRPr="00980150">
              <w:rPr>
                <w:rFonts w:ascii="Arial" w:hAnsi="Arial" w:cs="Arial"/>
                <w:sz w:val="16"/>
                <w:szCs w:val="16"/>
              </w:rPr>
              <w:t>2023-24</w:t>
            </w:r>
            <w:r w:rsidRPr="0098015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38E46D8E" w14:textId="77777777" w:rsidR="00980150" w:rsidRPr="00980150" w:rsidRDefault="00980150" w:rsidP="00980150">
            <w:pPr>
              <w:spacing w:after="0" w:line="240" w:lineRule="auto"/>
              <w:jc w:val="right"/>
              <w:rPr>
                <w:rFonts w:ascii="Arial" w:hAnsi="Arial" w:cs="Arial"/>
                <w:sz w:val="16"/>
                <w:szCs w:val="16"/>
              </w:rPr>
            </w:pPr>
            <w:r w:rsidRPr="00980150">
              <w:rPr>
                <w:rFonts w:ascii="Arial" w:hAnsi="Arial" w:cs="Arial"/>
                <w:sz w:val="16"/>
                <w:szCs w:val="16"/>
              </w:rPr>
              <w:t>2024-25</w:t>
            </w:r>
            <w:r w:rsidRPr="00980150">
              <w:rPr>
                <w:rFonts w:ascii="Arial" w:hAnsi="Arial" w:cs="Arial"/>
                <w:sz w:val="16"/>
                <w:szCs w:val="16"/>
              </w:rPr>
              <w:br/>
              <w:t>$'000</w:t>
            </w:r>
          </w:p>
        </w:tc>
      </w:tr>
      <w:tr w:rsidR="00980150" w:rsidRPr="00980150" w14:paraId="6D79B677" w14:textId="77777777" w:rsidTr="00DB60C0">
        <w:trPr>
          <w:trHeight w:val="204"/>
        </w:trPr>
        <w:tc>
          <w:tcPr>
            <w:tcW w:w="3261" w:type="dxa"/>
            <w:tcBorders>
              <w:top w:val="nil"/>
              <w:left w:val="nil"/>
              <w:bottom w:val="nil"/>
              <w:right w:val="nil"/>
            </w:tcBorders>
            <w:shd w:val="clear" w:color="auto" w:fill="auto"/>
            <w:vAlign w:val="bottom"/>
            <w:hideMark/>
          </w:tcPr>
          <w:p w14:paraId="2A0DBB57" w14:textId="532A0427" w:rsidR="00980150" w:rsidRPr="00980150" w:rsidRDefault="0076328E" w:rsidP="00980150">
            <w:pPr>
              <w:spacing w:after="0" w:line="240" w:lineRule="auto"/>
              <w:jc w:val="left"/>
              <w:rPr>
                <w:rFonts w:ascii="Arial" w:hAnsi="Arial" w:cs="Arial"/>
                <w:b/>
                <w:bCs/>
                <w:sz w:val="16"/>
                <w:szCs w:val="16"/>
              </w:rPr>
            </w:pPr>
            <w:r>
              <w:rPr>
                <w:rFonts w:ascii="Arial" w:hAnsi="Arial" w:cs="Arial"/>
                <w:b/>
                <w:bCs/>
                <w:sz w:val="16"/>
                <w:szCs w:val="16"/>
              </w:rPr>
              <w:t>Payment</w:t>
            </w:r>
            <w:r w:rsidR="00980150" w:rsidRPr="00980150">
              <w:rPr>
                <w:rFonts w:ascii="Arial" w:hAnsi="Arial" w:cs="Arial"/>
                <w:b/>
                <w:bCs/>
                <w:sz w:val="16"/>
                <w:szCs w:val="16"/>
              </w:rPr>
              <w:t xml:space="preserve"> measures</w:t>
            </w:r>
          </w:p>
        </w:tc>
        <w:tc>
          <w:tcPr>
            <w:tcW w:w="830" w:type="dxa"/>
            <w:tcBorders>
              <w:top w:val="nil"/>
              <w:left w:val="nil"/>
              <w:bottom w:val="nil"/>
              <w:right w:val="nil"/>
            </w:tcBorders>
            <w:shd w:val="clear" w:color="auto" w:fill="auto"/>
            <w:noWrap/>
            <w:vAlign w:val="bottom"/>
            <w:hideMark/>
          </w:tcPr>
          <w:p w14:paraId="6BD8C734" w14:textId="77777777" w:rsidR="00980150" w:rsidRPr="00980150" w:rsidRDefault="00980150" w:rsidP="00980150">
            <w:pPr>
              <w:spacing w:after="0" w:line="240" w:lineRule="auto"/>
              <w:jc w:val="right"/>
              <w:rPr>
                <w:rFonts w:ascii="Arial" w:hAnsi="Arial" w:cs="Arial"/>
                <w:b/>
                <w:bCs/>
                <w:sz w:val="16"/>
                <w:szCs w:val="16"/>
              </w:rPr>
            </w:pPr>
          </w:p>
        </w:tc>
        <w:tc>
          <w:tcPr>
            <w:tcW w:w="871" w:type="dxa"/>
            <w:tcBorders>
              <w:top w:val="nil"/>
              <w:left w:val="nil"/>
              <w:bottom w:val="nil"/>
              <w:right w:val="nil"/>
            </w:tcBorders>
            <w:shd w:val="clear" w:color="auto" w:fill="auto"/>
            <w:noWrap/>
            <w:vAlign w:val="bottom"/>
            <w:hideMark/>
          </w:tcPr>
          <w:p w14:paraId="765F047B" w14:textId="77777777" w:rsidR="00980150" w:rsidRPr="00980150" w:rsidRDefault="00980150" w:rsidP="00980150">
            <w:pPr>
              <w:spacing w:after="0" w:line="240" w:lineRule="auto"/>
              <w:jc w:val="right"/>
              <w:rPr>
                <w:rFonts w:ascii="Times New Roman" w:hAnsi="Times New Roman"/>
              </w:rPr>
            </w:pPr>
          </w:p>
        </w:tc>
        <w:tc>
          <w:tcPr>
            <w:tcW w:w="850" w:type="dxa"/>
            <w:tcBorders>
              <w:top w:val="nil"/>
              <w:left w:val="nil"/>
              <w:bottom w:val="nil"/>
              <w:right w:val="nil"/>
            </w:tcBorders>
            <w:shd w:val="clear" w:color="000000" w:fill="E6E6E6"/>
            <w:noWrap/>
            <w:vAlign w:val="bottom"/>
            <w:hideMark/>
          </w:tcPr>
          <w:p w14:paraId="363BE6C8" w14:textId="63FF1979" w:rsidR="00980150" w:rsidRPr="00980150" w:rsidRDefault="00980150" w:rsidP="00980150">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3311697D" w14:textId="77777777" w:rsidR="00980150" w:rsidRPr="00980150" w:rsidRDefault="00980150" w:rsidP="00980150">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3E08AA4A" w14:textId="4C8134B0" w:rsidR="00980150" w:rsidRPr="00980150" w:rsidRDefault="00980150" w:rsidP="00980150">
            <w:pPr>
              <w:spacing w:after="0" w:line="240" w:lineRule="auto"/>
              <w:jc w:val="right"/>
              <w:rPr>
                <w:rFonts w:ascii="Arial" w:hAnsi="Arial" w:cs="Arial"/>
                <w:sz w:val="16"/>
                <w:szCs w:val="16"/>
              </w:rPr>
            </w:pPr>
          </w:p>
        </w:tc>
      </w:tr>
      <w:tr w:rsidR="00980150" w:rsidRPr="00980150" w14:paraId="10438B1C" w14:textId="77777777" w:rsidTr="00DB60C0">
        <w:trPr>
          <w:trHeight w:val="204"/>
        </w:trPr>
        <w:tc>
          <w:tcPr>
            <w:tcW w:w="3261" w:type="dxa"/>
            <w:tcBorders>
              <w:top w:val="nil"/>
              <w:left w:val="nil"/>
              <w:bottom w:val="nil"/>
              <w:right w:val="nil"/>
            </w:tcBorders>
            <w:shd w:val="clear" w:color="auto" w:fill="auto"/>
            <w:vAlign w:val="bottom"/>
            <w:hideMark/>
          </w:tcPr>
          <w:p w14:paraId="7159EE69" w14:textId="56730DBD" w:rsidR="00980150" w:rsidRPr="00980150" w:rsidRDefault="00E62385" w:rsidP="00980150">
            <w:pPr>
              <w:spacing w:after="0" w:line="240" w:lineRule="auto"/>
              <w:jc w:val="left"/>
              <w:rPr>
                <w:rFonts w:ascii="Arial" w:hAnsi="Arial" w:cs="Arial"/>
                <w:sz w:val="16"/>
                <w:szCs w:val="16"/>
              </w:rPr>
            </w:pPr>
            <w:r>
              <w:rPr>
                <w:rFonts w:ascii="Arial" w:hAnsi="Arial" w:cs="Arial"/>
                <w:sz w:val="16"/>
                <w:szCs w:val="16"/>
              </w:rPr>
              <w:t>CASA supplementation</w:t>
            </w:r>
          </w:p>
        </w:tc>
        <w:tc>
          <w:tcPr>
            <w:tcW w:w="830" w:type="dxa"/>
            <w:tcBorders>
              <w:top w:val="nil"/>
              <w:left w:val="nil"/>
              <w:bottom w:val="nil"/>
              <w:right w:val="nil"/>
            </w:tcBorders>
            <w:shd w:val="clear" w:color="auto" w:fill="auto"/>
            <w:noWrap/>
            <w:vAlign w:val="bottom"/>
            <w:hideMark/>
          </w:tcPr>
          <w:p w14:paraId="221C23AA" w14:textId="12206DE2" w:rsidR="00980150" w:rsidRPr="00980150" w:rsidRDefault="00980150" w:rsidP="00980150">
            <w:pPr>
              <w:spacing w:after="0" w:line="240" w:lineRule="auto"/>
              <w:jc w:val="center"/>
              <w:rPr>
                <w:rFonts w:ascii="Arial" w:hAnsi="Arial" w:cs="Arial"/>
                <w:sz w:val="16"/>
                <w:szCs w:val="16"/>
              </w:rPr>
            </w:pPr>
            <w:r w:rsidRPr="00980150">
              <w:rPr>
                <w:rFonts w:ascii="Arial" w:hAnsi="Arial" w:cs="Arial"/>
                <w:sz w:val="16"/>
                <w:szCs w:val="16"/>
              </w:rPr>
              <w:t>1.1</w:t>
            </w:r>
          </w:p>
        </w:tc>
        <w:tc>
          <w:tcPr>
            <w:tcW w:w="871" w:type="dxa"/>
            <w:tcBorders>
              <w:top w:val="nil"/>
              <w:left w:val="nil"/>
              <w:bottom w:val="nil"/>
              <w:right w:val="nil"/>
            </w:tcBorders>
            <w:shd w:val="clear" w:color="auto" w:fill="auto"/>
            <w:noWrap/>
            <w:vAlign w:val="bottom"/>
            <w:hideMark/>
          </w:tcPr>
          <w:p w14:paraId="2C90EB6E" w14:textId="77777777" w:rsidR="00980150" w:rsidRPr="00980150" w:rsidRDefault="00980150" w:rsidP="00980150">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4EA4970E" w14:textId="01244029" w:rsidR="00980150" w:rsidRPr="00980150" w:rsidRDefault="00980150" w:rsidP="00980150">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1B43C17D" w14:textId="77777777" w:rsidR="00980150" w:rsidRPr="00980150" w:rsidRDefault="00980150" w:rsidP="00980150">
            <w:pPr>
              <w:spacing w:after="0" w:line="240" w:lineRule="auto"/>
              <w:jc w:val="right"/>
              <w:rPr>
                <w:rFonts w:ascii="Arial" w:hAnsi="Arial" w:cs="Arial"/>
                <w:sz w:val="16"/>
                <w:szCs w:val="16"/>
              </w:rPr>
            </w:pPr>
          </w:p>
        </w:tc>
        <w:tc>
          <w:tcPr>
            <w:tcW w:w="850" w:type="dxa"/>
            <w:tcBorders>
              <w:top w:val="nil"/>
              <w:left w:val="nil"/>
              <w:bottom w:val="nil"/>
              <w:right w:val="nil"/>
            </w:tcBorders>
            <w:shd w:val="clear" w:color="000000" w:fill="E6E6E6"/>
            <w:noWrap/>
            <w:vAlign w:val="bottom"/>
            <w:hideMark/>
          </w:tcPr>
          <w:p w14:paraId="1162A43E" w14:textId="66BE1C31" w:rsidR="00980150" w:rsidRPr="00980150" w:rsidRDefault="00980150" w:rsidP="00980150">
            <w:pPr>
              <w:spacing w:after="0" w:line="240" w:lineRule="auto"/>
              <w:jc w:val="right"/>
              <w:rPr>
                <w:rFonts w:ascii="Arial" w:hAnsi="Arial" w:cs="Arial"/>
                <w:sz w:val="16"/>
                <w:szCs w:val="16"/>
              </w:rPr>
            </w:pPr>
          </w:p>
        </w:tc>
      </w:tr>
      <w:tr w:rsidR="00980150" w:rsidRPr="00980150" w14:paraId="0FECC23A" w14:textId="77777777" w:rsidTr="00E62385">
        <w:trPr>
          <w:trHeight w:val="204"/>
        </w:trPr>
        <w:tc>
          <w:tcPr>
            <w:tcW w:w="3261" w:type="dxa"/>
            <w:tcBorders>
              <w:top w:val="nil"/>
              <w:left w:val="nil"/>
              <w:bottom w:val="nil"/>
              <w:right w:val="nil"/>
            </w:tcBorders>
            <w:shd w:val="clear" w:color="auto" w:fill="auto"/>
            <w:noWrap/>
            <w:vAlign w:val="bottom"/>
            <w:hideMark/>
          </w:tcPr>
          <w:p w14:paraId="0A3C6793" w14:textId="555FF5F9" w:rsidR="00980150" w:rsidRPr="00980150" w:rsidRDefault="008863D9" w:rsidP="0076328E">
            <w:pPr>
              <w:spacing w:after="0" w:line="240" w:lineRule="auto"/>
              <w:ind w:left="113"/>
              <w:jc w:val="left"/>
              <w:rPr>
                <w:rFonts w:ascii="Arial" w:hAnsi="Arial" w:cs="Arial"/>
                <w:sz w:val="16"/>
                <w:szCs w:val="16"/>
              </w:rPr>
            </w:pPr>
            <w:r>
              <w:rPr>
                <w:rFonts w:ascii="Arial" w:hAnsi="Arial" w:cs="Arial"/>
                <w:sz w:val="16"/>
                <w:szCs w:val="16"/>
              </w:rPr>
              <w:t>Department</w:t>
            </w:r>
            <w:r w:rsidR="00980150" w:rsidRPr="00980150">
              <w:rPr>
                <w:rFonts w:ascii="Arial" w:hAnsi="Arial" w:cs="Arial"/>
                <w:sz w:val="16"/>
                <w:szCs w:val="16"/>
              </w:rPr>
              <w:t xml:space="preserve">al </w:t>
            </w:r>
            <w:r w:rsidR="0076328E">
              <w:rPr>
                <w:rFonts w:ascii="Arial" w:hAnsi="Arial" w:cs="Arial"/>
                <w:sz w:val="16"/>
                <w:szCs w:val="16"/>
              </w:rPr>
              <w:t>payments</w:t>
            </w:r>
          </w:p>
        </w:tc>
        <w:tc>
          <w:tcPr>
            <w:tcW w:w="830" w:type="dxa"/>
            <w:tcBorders>
              <w:top w:val="nil"/>
              <w:left w:val="nil"/>
              <w:bottom w:val="nil"/>
              <w:right w:val="nil"/>
            </w:tcBorders>
            <w:shd w:val="clear" w:color="auto" w:fill="auto"/>
            <w:noWrap/>
            <w:vAlign w:val="bottom"/>
            <w:hideMark/>
          </w:tcPr>
          <w:p w14:paraId="4A5E20EF" w14:textId="77777777" w:rsidR="00980150" w:rsidRPr="00980150" w:rsidRDefault="00980150" w:rsidP="00980150">
            <w:pPr>
              <w:spacing w:after="0" w:line="240" w:lineRule="auto"/>
              <w:ind w:firstLineChars="100" w:firstLine="160"/>
              <w:jc w:val="right"/>
              <w:rPr>
                <w:rFonts w:ascii="Arial" w:hAnsi="Arial" w:cs="Arial"/>
                <w:sz w:val="16"/>
                <w:szCs w:val="16"/>
              </w:rPr>
            </w:pPr>
          </w:p>
        </w:tc>
        <w:tc>
          <w:tcPr>
            <w:tcW w:w="871" w:type="dxa"/>
            <w:tcBorders>
              <w:top w:val="nil"/>
              <w:left w:val="nil"/>
              <w:right w:val="nil"/>
            </w:tcBorders>
            <w:shd w:val="clear" w:color="auto" w:fill="auto"/>
            <w:noWrap/>
            <w:vAlign w:val="bottom"/>
            <w:hideMark/>
          </w:tcPr>
          <w:p w14:paraId="182242F3" w14:textId="5AD49E58" w:rsidR="00980150" w:rsidRPr="00980150" w:rsidRDefault="00980150" w:rsidP="00980150">
            <w:pPr>
              <w:spacing w:after="0" w:line="240" w:lineRule="auto"/>
              <w:jc w:val="right"/>
              <w:rPr>
                <w:rFonts w:ascii="Arial" w:hAnsi="Arial" w:cs="Arial"/>
                <w:sz w:val="16"/>
                <w:szCs w:val="16"/>
              </w:rPr>
            </w:pPr>
            <w:r w:rsidRPr="00980150">
              <w:rPr>
                <w:rFonts w:ascii="Arial" w:hAnsi="Arial" w:cs="Arial"/>
                <w:sz w:val="16"/>
                <w:szCs w:val="16"/>
              </w:rPr>
              <w:t>20,000</w:t>
            </w:r>
          </w:p>
        </w:tc>
        <w:tc>
          <w:tcPr>
            <w:tcW w:w="850" w:type="dxa"/>
            <w:tcBorders>
              <w:top w:val="nil"/>
              <w:left w:val="nil"/>
              <w:right w:val="nil"/>
            </w:tcBorders>
            <w:shd w:val="clear" w:color="000000" w:fill="E6E6E6"/>
            <w:noWrap/>
            <w:vAlign w:val="bottom"/>
            <w:hideMark/>
          </w:tcPr>
          <w:p w14:paraId="756F1ABF" w14:textId="1EFA09C9" w:rsidR="00980150" w:rsidRPr="00980150" w:rsidRDefault="00980150" w:rsidP="00980150">
            <w:pPr>
              <w:spacing w:after="0" w:line="240" w:lineRule="auto"/>
              <w:jc w:val="right"/>
              <w:rPr>
                <w:rFonts w:ascii="Arial" w:hAnsi="Arial" w:cs="Arial"/>
                <w:sz w:val="16"/>
                <w:szCs w:val="16"/>
              </w:rPr>
            </w:pPr>
            <w:r w:rsidRPr="00980150">
              <w:rPr>
                <w:rFonts w:ascii="Arial" w:hAnsi="Arial" w:cs="Arial"/>
                <w:sz w:val="16"/>
                <w:szCs w:val="16"/>
              </w:rPr>
              <w:t>-</w:t>
            </w:r>
          </w:p>
        </w:tc>
        <w:tc>
          <w:tcPr>
            <w:tcW w:w="851" w:type="dxa"/>
            <w:tcBorders>
              <w:top w:val="nil"/>
              <w:left w:val="nil"/>
              <w:right w:val="nil"/>
            </w:tcBorders>
            <w:shd w:val="clear" w:color="auto" w:fill="auto"/>
            <w:noWrap/>
            <w:vAlign w:val="bottom"/>
            <w:hideMark/>
          </w:tcPr>
          <w:p w14:paraId="4262139D" w14:textId="3C9505EC" w:rsidR="00980150" w:rsidRPr="00980150" w:rsidRDefault="00980150" w:rsidP="00980150">
            <w:pPr>
              <w:spacing w:after="0" w:line="240" w:lineRule="auto"/>
              <w:jc w:val="right"/>
              <w:rPr>
                <w:rFonts w:ascii="Arial" w:hAnsi="Arial" w:cs="Arial"/>
                <w:sz w:val="16"/>
                <w:szCs w:val="16"/>
              </w:rPr>
            </w:pPr>
            <w:r w:rsidRPr="00980150">
              <w:rPr>
                <w:rFonts w:ascii="Arial" w:hAnsi="Arial" w:cs="Arial"/>
                <w:sz w:val="16"/>
                <w:szCs w:val="16"/>
              </w:rPr>
              <w:t>-</w:t>
            </w:r>
          </w:p>
        </w:tc>
        <w:tc>
          <w:tcPr>
            <w:tcW w:w="850" w:type="dxa"/>
            <w:tcBorders>
              <w:top w:val="nil"/>
              <w:left w:val="nil"/>
              <w:right w:val="nil"/>
            </w:tcBorders>
            <w:shd w:val="clear" w:color="000000" w:fill="E6E6E6"/>
            <w:noWrap/>
            <w:vAlign w:val="bottom"/>
            <w:hideMark/>
          </w:tcPr>
          <w:p w14:paraId="47973C2F" w14:textId="67D90F1C" w:rsidR="00980150" w:rsidRPr="00980150" w:rsidRDefault="00980150" w:rsidP="00980150">
            <w:pPr>
              <w:spacing w:after="0" w:line="240" w:lineRule="auto"/>
              <w:jc w:val="right"/>
              <w:rPr>
                <w:rFonts w:ascii="Arial" w:hAnsi="Arial" w:cs="Arial"/>
                <w:sz w:val="16"/>
                <w:szCs w:val="16"/>
              </w:rPr>
            </w:pPr>
            <w:r w:rsidRPr="00980150">
              <w:rPr>
                <w:rFonts w:ascii="Arial" w:hAnsi="Arial" w:cs="Arial"/>
                <w:sz w:val="16"/>
                <w:szCs w:val="16"/>
              </w:rPr>
              <w:t>-</w:t>
            </w:r>
          </w:p>
        </w:tc>
      </w:tr>
      <w:tr w:rsidR="00980150" w:rsidRPr="00980150" w14:paraId="5D17EFD6" w14:textId="77777777" w:rsidTr="00E62385">
        <w:trPr>
          <w:trHeight w:val="204"/>
        </w:trPr>
        <w:tc>
          <w:tcPr>
            <w:tcW w:w="3261" w:type="dxa"/>
            <w:tcBorders>
              <w:top w:val="nil"/>
              <w:left w:val="nil"/>
              <w:bottom w:val="nil"/>
              <w:right w:val="nil"/>
            </w:tcBorders>
            <w:shd w:val="clear" w:color="auto" w:fill="auto"/>
            <w:noWrap/>
            <w:vAlign w:val="bottom"/>
            <w:hideMark/>
          </w:tcPr>
          <w:p w14:paraId="08E3D4CF" w14:textId="77777777" w:rsidR="00980150" w:rsidRPr="00980150" w:rsidRDefault="00980150" w:rsidP="00980150">
            <w:pPr>
              <w:spacing w:after="0" w:line="240" w:lineRule="auto"/>
              <w:jc w:val="left"/>
              <w:rPr>
                <w:rFonts w:ascii="Arial" w:hAnsi="Arial" w:cs="Arial"/>
                <w:b/>
                <w:bCs/>
                <w:sz w:val="16"/>
                <w:szCs w:val="16"/>
              </w:rPr>
            </w:pPr>
            <w:r w:rsidRPr="00980150">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2767C358" w14:textId="77777777" w:rsidR="00980150" w:rsidRPr="00980150" w:rsidRDefault="00980150" w:rsidP="00980150">
            <w:pPr>
              <w:spacing w:after="0" w:line="240" w:lineRule="auto"/>
              <w:jc w:val="right"/>
              <w:rPr>
                <w:rFonts w:ascii="Arial" w:hAnsi="Arial" w:cs="Arial"/>
                <w:b/>
                <w:bCs/>
                <w:sz w:val="16"/>
                <w:szCs w:val="16"/>
              </w:rPr>
            </w:pPr>
          </w:p>
        </w:tc>
        <w:tc>
          <w:tcPr>
            <w:tcW w:w="871" w:type="dxa"/>
            <w:tcBorders>
              <w:top w:val="nil"/>
              <w:left w:val="nil"/>
              <w:bottom w:val="single" w:sz="4" w:space="0" w:color="auto"/>
              <w:right w:val="nil"/>
            </w:tcBorders>
            <w:shd w:val="clear" w:color="auto" w:fill="auto"/>
            <w:noWrap/>
            <w:vAlign w:val="bottom"/>
            <w:hideMark/>
          </w:tcPr>
          <w:p w14:paraId="52BDDF02" w14:textId="54EB1877" w:rsidR="00980150" w:rsidRPr="00980150" w:rsidRDefault="00980150" w:rsidP="00980150">
            <w:pPr>
              <w:spacing w:after="0" w:line="240" w:lineRule="auto"/>
              <w:jc w:val="right"/>
              <w:rPr>
                <w:rFonts w:ascii="Arial" w:hAnsi="Arial" w:cs="Arial"/>
                <w:b/>
                <w:bCs/>
                <w:sz w:val="16"/>
                <w:szCs w:val="16"/>
              </w:rPr>
            </w:pPr>
            <w:r w:rsidRPr="00980150">
              <w:rPr>
                <w:rFonts w:ascii="Arial" w:hAnsi="Arial" w:cs="Arial"/>
                <w:b/>
                <w:bCs/>
                <w:sz w:val="16"/>
                <w:szCs w:val="16"/>
              </w:rPr>
              <w:t>20,000</w:t>
            </w:r>
          </w:p>
        </w:tc>
        <w:tc>
          <w:tcPr>
            <w:tcW w:w="850" w:type="dxa"/>
            <w:tcBorders>
              <w:top w:val="nil"/>
              <w:left w:val="nil"/>
              <w:bottom w:val="single" w:sz="4" w:space="0" w:color="auto"/>
              <w:right w:val="nil"/>
            </w:tcBorders>
            <w:shd w:val="clear" w:color="000000" w:fill="E6E6E6"/>
            <w:noWrap/>
            <w:vAlign w:val="bottom"/>
            <w:hideMark/>
          </w:tcPr>
          <w:p w14:paraId="592139F9" w14:textId="2B48702C" w:rsidR="00980150" w:rsidRPr="00980150" w:rsidRDefault="00980150" w:rsidP="00980150">
            <w:pPr>
              <w:spacing w:after="0" w:line="240" w:lineRule="auto"/>
              <w:jc w:val="right"/>
              <w:rPr>
                <w:rFonts w:ascii="Arial" w:hAnsi="Arial" w:cs="Arial"/>
                <w:b/>
                <w:bCs/>
                <w:sz w:val="16"/>
                <w:szCs w:val="16"/>
              </w:rPr>
            </w:pPr>
            <w:r w:rsidRPr="00980150">
              <w:rPr>
                <w:rFonts w:ascii="Arial" w:hAnsi="Arial" w:cs="Arial"/>
                <w:b/>
                <w:bCs/>
                <w:sz w:val="16"/>
                <w:szCs w:val="16"/>
              </w:rPr>
              <w:t>-</w:t>
            </w:r>
          </w:p>
        </w:tc>
        <w:tc>
          <w:tcPr>
            <w:tcW w:w="851" w:type="dxa"/>
            <w:tcBorders>
              <w:top w:val="nil"/>
              <w:left w:val="nil"/>
              <w:bottom w:val="single" w:sz="4" w:space="0" w:color="auto"/>
              <w:right w:val="nil"/>
            </w:tcBorders>
            <w:shd w:val="clear" w:color="auto" w:fill="auto"/>
            <w:noWrap/>
            <w:vAlign w:val="bottom"/>
            <w:hideMark/>
          </w:tcPr>
          <w:p w14:paraId="6AB9F506" w14:textId="1D68BD96" w:rsidR="00980150" w:rsidRPr="00980150" w:rsidRDefault="00980150" w:rsidP="00980150">
            <w:pPr>
              <w:spacing w:after="0" w:line="240" w:lineRule="auto"/>
              <w:jc w:val="right"/>
              <w:rPr>
                <w:rFonts w:ascii="Arial" w:hAnsi="Arial" w:cs="Arial"/>
                <w:b/>
                <w:bCs/>
                <w:sz w:val="16"/>
                <w:szCs w:val="16"/>
              </w:rPr>
            </w:pPr>
            <w:r w:rsidRPr="00980150">
              <w:rPr>
                <w:rFonts w:ascii="Arial" w:hAnsi="Arial" w:cs="Arial"/>
                <w:b/>
                <w:bCs/>
                <w:sz w:val="16"/>
                <w:szCs w:val="16"/>
              </w:rPr>
              <w:t>-</w:t>
            </w:r>
          </w:p>
        </w:tc>
        <w:tc>
          <w:tcPr>
            <w:tcW w:w="850" w:type="dxa"/>
            <w:tcBorders>
              <w:top w:val="nil"/>
              <w:left w:val="nil"/>
              <w:bottom w:val="single" w:sz="4" w:space="0" w:color="auto"/>
              <w:right w:val="nil"/>
            </w:tcBorders>
            <w:shd w:val="clear" w:color="000000" w:fill="E6E6E6"/>
            <w:noWrap/>
            <w:vAlign w:val="bottom"/>
            <w:hideMark/>
          </w:tcPr>
          <w:p w14:paraId="7AF9D2C6" w14:textId="08FDF10F" w:rsidR="00980150" w:rsidRPr="00980150" w:rsidRDefault="00980150" w:rsidP="00980150">
            <w:pPr>
              <w:spacing w:after="0" w:line="240" w:lineRule="auto"/>
              <w:jc w:val="right"/>
              <w:rPr>
                <w:rFonts w:ascii="Arial" w:hAnsi="Arial" w:cs="Arial"/>
                <w:b/>
                <w:bCs/>
                <w:sz w:val="16"/>
                <w:szCs w:val="16"/>
              </w:rPr>
            </w:pPr>
            <w:r w:rsidRPr="00980150">
              <w:rPr>
                <w:rFonts w:ascii="Arial" w:hAnsi="Arial" w:cs="Arial"/>
                <w:b/>
                <w:bCs/>
                <w:sz w:val="16"/>
                <w:szCs w:val="16"/>
              </w:rPr>
              <w:t>-</w:t>
            </w:r>
          </w:p>
        </w:tc>
      </w:tr>
      <w:tr w:rsidR="00980150" w:rsidRPr="00980150" w14:paraId="4C0D8D8C" w14:textId="77777777" w:rsidTr="00E62385">
        <w:trPr>
          <w:trHeight w:val="204"/>
        </w:trPr>
        <w:tc>
          <w:tcPr>
            <w:tcW w:w="3261" w:type="dxa"/>
            <w:tcBorders>
              <w:top w:val="nil"/>
              <w:left w:val="nil"/>
              <w:bottom w:val="nil"/>
              <w:right w:val="nil"/>
            </w:tcBorders>
            <w:shd w:val="clear" w:color="auto" w:fill="auto"/>
            <w:noWrap/>
            <w:vAlign w:val="bottom"/>
            <w:hideMark/>
          </w:tcPr>
          <w:p w14:paraId="7A58D2F5" w14:textId="715E672E" w:rsidR="00980150" w:rsidRPr="00980150" w:rsidRDefault="00980150" w:rsidP="0076328E">
            <w:pPr>
              <w:spacing w:after="0" w:line="240" w:lineRule="auto"/>
              <w:jc w:val="left"/>
              <w:rPr>
                <w:rFonts w:ascii="Arial" w:hAnsi="Arial" w:cs="Arial"/>
                <w:b/>
                <w:bCs/>
                <w:sz w:val="16"/>
                <w:szCs w:val="16"/>
              </w:rPr>
            </w:pPr>
            <w:r w:rsidRPr="00980150">
              <w:rPr>
                <w:rFonts w:ascii="Arial" w:hAnsi="Arial" w:cs="Arial"/>
                <w:b/>
                <w:bCs/>
                <w:sz w:val="16"/>
                <w:szCs w:val="16"/>
              </w:rPr>
              <w:t xml:space="preserve">Total </w:t>
            </w:r>
            <w:r w:rsidR="0076328E">
              <w:rPr>
                <w:rFonts w:ascii="Arial" w:hAnsi="Arial" w:cs="Arial"/>
                <w:b/>
                <w:bCs/>
                <w:sz w:val="16"/>
                <w:szCs w:val="16"/>
              </w:rPr>
              <w:t>payment</w:t>
            </w:r>
            <w:r w:rsidRPr="00980150">
              <w:rPr>
                <w:rFonts w:ascii="Arial" w:hAnsi="Arial" w:cs="Arial"/>
                <w:b/>
                <w:bCs/>
                <w:sz w:val="16"/>
                <w:szCs w:val="16"/>
              </w:rPr>
              <w:t xml:space="preserve"> measures</w:t>
            </w:r>
          </w:p>
        </w:tc>
        <w:tc>
          <w:tcPr>
            <w:tcW w:w="830" w:type="dxa"/>
            <w:tcBorders>
              <w:top w:val="nil"/>
              <w:left w:val="nil"/>
              <w:bottom w:val="nil"/>
              <w:right w:val="nil"/>
            </w:tcBorders>
            <w:shd w:val="clear" w:color="auto" w:fill="auto"/>
            <w:noWrap/>
            <w:vAlign w:val="bottom"/>
            <w:hideMark/>
          </w:tcPr>
          <w:p w14:paraId="3CA208A0" w14:textId="77777777" w:rsidR="00980150" w:rsidRPr="00980150" w:rsidRDefault="00980150" w:rsidP="00980150">
            <w:pPr>
              <w:spacing w:after="0" w:line="240" w:lineRule="auto"/>
              <w:jc w:val="right"/>
              <w:rPr>
                <w:rFonts w:ascii="Arial" w:hAnsi="Arial" w:cs="Arial"/>
                <w:b/>
                <w:bCs/>
                <w:sz w:val="16"/>
                <w:szCs w:val="16"/>
              </w:rPr>
            </w:pPr>
          </w:p>
        </w:tc>
        <w:tc>
          <w:tcPr>
            <w:tcW w:w="871" w:type="dxa"/>
            <w:tcBorders>
              <w:top w:val="single" w:sz="4" w:space="0" w:color="auto"/>
              <w:left w:val="nil"/>
              <w:bottom w:val="nil"/>
              <w:right w:val="nil"/>
            </w:tcBorders>
            <w:shd w:val="clear" w:color="auto" w:fill="auto"/>
            <w:noWrap/>
            <w:vAlign w:val="bottom"/>
            <w:hideMark/>
          </w:tcPr>
          <w:p w14:paraId="2F31B346" w14:textId="77777777" w:rsidR="00980150" w:rsidRPr="00980150" w:rsidRDefault="00980150" w:rsidP="00980150">
            <w:pPr>
              <w:spacing w:after="0" w:line="240" w:lineRule="auto"/>
              <w:jc w:val="right"/>
              <w:rPr>
                <w:rFonts w:ascii="Times New Roman" w:hAnsi="Times New Roman"/>
              </w:rPr>
            </w:pPr>
          </w:p>
        </w:tc>
        <w:tc>
          <w:tcPr>
            <w:tcW w:w="850" w:type="dxa"/>
            <w:tcBorders>
              <w:top w:val="single" w:sz="4" w:space="0" w:color="auto"/>
              <w:left w:val="nil"/>
              <w:bottom w:val="nil"/>
              <w:right w:val="nil"/>
            </w:tcBorders>
            <w:shd w:val="clear" w:color="000000" w:fill="E6E6E6"/>
            <w:noWrap/>
            <w:vAlign w:val="bottom"/>
            <w:hideMark/>
          </w:tcPr>
          <w:p w14:paraId="20B75368" w14:textId="11158613" w:rsidR="00980150" w:rsidRPr="00980150" w:rsidRDefault="00980150" w:rsidP="00980150">
            <w:pPr>
              <w:spacing w:after="0" w:line="240" w:lineRule="auto"/>
              <w:jc w:val="right"/>
              <w:rPr>
                <w:rFonts w:ascii="Arial" w:hAnsi="Arial" w:cs="Arial"/>
                <w:sz w:val="16"/>
                <w:szCs w:val="16"/>
              </w:rPr>
            </w:pPr>
          </w:p>
        </w:tc>
        <w:tc>
          <w:tcPr>
            <w:tcW w:w="851" w:type="dxa"/>
            <w:tcBorders>
              <w:top w:val="single" w:sz="4" w:space="0" w:color="auto"/>
              <w:left w:val="nil"/>
              <w:bottom w:val="nil"/>
              <w:right w:val="nil"/>
            </w:tcBorders>
            <w:shd w:val="clear" w:color="auto" w:fill="auto"/>
            <w:noWrap/>
            <w:vAlign w:val="bottom"/>
            <w:hideMark/>
          </w:tcPr>
          <w:p w14:paraId="3407817E" w14:textId="77777777" w:rsidR="00980150" w:rsidRPr="00980150" w:rsidRDefault="00980150" w:rsidP="00980150">
            <w:pPr>
              <w:spacing w:after="0" w:line="240" w:lineRule="auto"/>
              <w:jc w:val="right"/>
              <w:rPr>
                <w:rFonts w:ascii="Arial" w:hAnsi="Arial" w:cs="Arial"/>
                <w:sz w:val="16"/>
                <w:szCs w:val="16"/>
              </w:rPr>
            </w:pPr>
          </w:p>
        </w:tc>
        <w:tc>
          <w:tcPr>
            <w:tcW w:w="850" w:type="dxa"/>
            <w:tcBorders>
              <w:top w:val="single" w:sz="4" w:space="0" w:color="auto"/>
              <w:left w:val="nil"/>
              <w:bottom w:val="nil"/>
              <w:right w:val="nil"/>
            </w:tcBorders>
            <w:shd w:val="clear" w:color="000000" w:fill="E6E6E6"/>
            <w:noWrap/>
            <w:vAlign w:val="bottom"/>
            <w:hideMark/>
          </w:tcPr>
          <w:p w14:paraId="1EFF87E8" w14:textId="01C52E2B" w:rsidR="00980150" w:rsidRPr="00980150" w:rsidRDefault="00980150" w:rsidP="00980150">
            <w:pPr>
              <w:spacing w:after="0" w:line="240" w:lineRule="auto"/>
              <w:jc w:val="right"/>
              <w:rPr>
                <w:rFonts w:ascii="Arial" w:hAnsi="Arial" w:cs="Arial"/>
                <w:sz w:val="16"/>
                <w:szCs w:val="16"/>
              </w:rPr>
            </w:pPr>
          </w:p>
        </w:tc>
      </w:tr>
      <w:tr w:rsidR="00980150" w:rsidRPr="00980150" w14:paraId="6E370A3F" w14:textId="77777777" w:rsidTr="00DB60C0">
        <w:trPr>
          <w:trHeight w:val="204"/>
        </w:trPr>
        <w:tc>
          <w:tcPr>
            <w:tcW w:w="3261" w:type="dxa"/>
            <w:tcBorders>
              <w:top w:val="nil"/>
              <w:left w:val="nil"/>
              <w:right w:val="nil"/>
            </w:tcBorders>
            <w:shd w:val="clear" w:color="auto" w:fill="auto"/>
            <w:noWrap/>
            <w:vAlign w:val="bottom"/>
            <w:hideMark/>
          </w:tcPr>
          <w:p w14:paraId="3EFC0B87" w14:textId="1D270D5B" w:rsidR="00980150" w:rsidRPr="00980150" w:rsidRDefault="008863D9" w:rsidP="00980150">
            <w:pPr>
              <w:spacing w:after="0" w:line="240" w:lineRule="auto"/>
              <w:ind w:left="113"/>
              <w:jc w:val="left"/>
              <w:rPr>
                <w:rFonts w:ascii="Arial" w:hAnsi="Arial" w:cs="Arial"/>
                <w:sz w:val="16"/>
                <w:szCs w:val="16"/>
              </w:rPr>
            </w:pPr>
            <w:r>
              <w:rPr>
                <w:rFonts w:ascii="Arial" w:hAnsi="Arial" w:cs="Arial"/>
                <w:sz w:val="16"/>
                <w:szCs w:val="16"/>
              </w:rPr>
              <w:t>Department</w:t>
            </w:r>
            <w:r w:rsidR="00980150" w:rsidRPr="00980150">
              <w:rPr>
                <w:rFonts w:ascii="Arial" w:hAnsi="Arial" w:cs="Arial"/>
                <w:sz w:val="16"/>
                <w:szCs w:val="16"/>
              </w:rPr>
              <w:t>al</w:t>
            </w:r>
          </w:p>
        </w:tc>
        <w:tc>
          <w:tcPr>
            <w:tcW w:w="830" w:type="dxa"/>
            <w:tcBorders>
              <w:top w:val="nil"/>
              <w:left w:val="nil"/>
              <w:right w:val="nil"/>
            </w:tcBorders>
            <w:shd w:val="clear" w:color="auto" w:fill="auto"/>
            <w:noWrap/>
            <w:vAlign w:val="bottom"/>
            <w:hideMark/>
          </w:tcPr>
          <w:p w14:paraId="66530173" w14:textId="77777777" w:rsidR="00980150" w:rsidRPr="00980150" w:rsidRDefault="00980150" w:rsidP="00980150">
            <w:pPr>
              <w:spacing w:after="0" w:line="240" w:lineRule="auto"/>
              <w:ind w:firstLineChars="100" w:firstLine="160"/>
              <w:jc w:val="right"/>
              <w:rPr>
                <w:rFonts w:ascii="Arial" w:hAnsi="Arial" w:cs="Arial"/>
                <w:sz w:val="16"/>
                <w:szCs w:val="16"/>
              </w:rPr>
            </w:pPr>
          </w:p>
        </w:tc>
        <w:tc>
          <w:tcPr>
            <w:tcW w:w="871" w:type="dxa"/>
            <w:tcBorders>
              <w:top w:val="nil"/>
              <w:left w:val="nil"/>
              <w:right w:val="nil"/>
            </w:tcBorders>
            <w:shd w:val="clear" w:color="auto" w:fill="auto"/>
            <w:noWrap/>
            <w:vAlign w:val="bottom"/>
            <w:hideMark/>
          </w:tcPr>
          <w:p w14:paraId="196B7697" w14:textId="4C7EFA11" w:rsidR="00980150" w:rsidRPr="00980150" w:rsidRDefault="00980150" w:rsidP="00980150">
            <w:pPr>
              <w:spacing w:after="0" w:line="240" w:lineRule="auto"/>
              <w:jc w:val="right"/>
              <w:rPr>
                <w:rFonts w:ascii="Arial" w:hAnsi="Arial" w:cs="Arial"/>
                <w:sz w:val="16"/>
                <w:szCs w:val="16"/>
              </w:rPr>
            </w:pPr>
            <w:r w:rsidRPr="00980150">
              <w:rPr>
                <w:rFonts w:ascii="Arial" w:hAnsi="Arial" w:cs="Arial"/>
                <w:sz w:val="16"/>
                <w:szCs w:val="16"/>
              </w:rPr>
              <w:t>20,000</w:t>
            </w:r>
          </w:p>
        </w:tc>
        <w:tc>
          <w:tcPr>
            <w:tcW w:w="850" w:type="dxa"/>
            <w:tcBorders>
              <w:top w:val="nil"/>
              <w:left w:val="nil"/>
              <w:right w:val="nil"/>
            </w:tcBorders>
            <w:shd w:val="clear" w:color="000000" w:fill="E6E6E6"/>
            <w:noWrap/>
            <w:vAlign w:val="bottom"/>
            <w:hideMark/>
          </w:tcPr>
          <w:p w14:paraId="4AB14237" w14:textId="5404EEC6" w:rsidR="00980150" w:rsidRPr="00980150" w:rsidRDefault="00980150" w:rsidP="00980150">
            <w:pPr>
              <w:spacing w:after="0" w:line="240" w:lineRule="auto"/>
              <w:jc w:val="right"/>
              <w:rPr>
                <w:rFonts w:ascii="Arial" w:hAnsi="Arial" w:cs="Arial"/>
                <w:sz w:val="16"/>
                <w:szCs w:val="16"/>
              </w:rPr>
            </w:pPr>
            <w:r w:rsidRPr="00980150">
              <w:rPr>
                <w:rFonts w:ascii="Arial" w:hAnsi="Arial" w:cs="Arial"/>
                <w:sz w:val="16"/>
                <w:szCs w:val="16"/>
              </w:rPr>
              <w:t>-</w:t>
            </w:r>
          </w:p>
        </w:tc>
        <w:tc>
          <w:tcPr>
            <w:tcW w:w="851" w:type="dxa"/>
            <w:tcBorders>
              <w:top w:val="nil"/>
              <w:left w:val="nil"/>
              <w:right w:val="nil"/>
            </w:tcBorders>
            <w:shd w:val="clear" w:color="auto" w:fill="auto"/>
            <w:noWrap/>
            <w:vAlign w:val="bottom"/>
            <w:hideMark/>
          </w:tcPr>
          <w:p w14:paraId="0D461D23" w14:textId="052CE228" w:rsidR="00980150" w:rsidRPr="00980150" w:rsidRDefault="00980150" w:rsidP="00980150">
            <w:pPr>
              <w:spacing w:after="0" w:line="240" w:lineRule="auto"/>
              <w:jc w:val="right"/>
              <w:rPr>
                <w:rFonts w:ascii="Arial" w:hAnsi="Arial" w:cs="Arial"/>
                <w:sz w:val="16"/>
                <w:szCs w:val="16"/>
              </w:rPr>
            </w:pPr>
            <w:r w:rsidRPr="00980150">
              <w:rPr>
                <w:rFonts w:ascii="Arial" w:hAnsi="Arial" w:cs="Arial"/>
                <w:sz w:val="16"/>
                <w:szCs w:val="16"/>
              </w:rPr>
              <w:t>-</w:t>
            </w:r>
          </w:p>
        </w:tc>
        <w:tc>
          <w:tcPr>
            <w:tcW w:w="850" w:type="dxa"/>
            <w:tcBorders>
              <w:top w:val="nil"/>
              <w:left w:val="nil"/>
              <w:right w:val="nil"/>
            </w:tcBorders>
            <w:shd w:val="clear" w:color="000000" w:fill="E6E6E6"/>
            <w:noWrap/>
            <w:vAlign w:val="bottom"/>
            <w:hideMark/>
          </w:tcPr>
          <w:p w14:paraId="55D8836F" w14:textId="56D0F11E" w:rsidR="00980150" w:rsidRPr="00980150" w:rsidRDefault="00980150" w:rsidP="00980150">
            <w:pPr>
              <w:spacing w:after="0" w:line="240" w:lineRule="auto"/>
              <w:jc w:val="right"/>
              <w:rPr>
                <w:rFonts w:ascii="Arial" w:hAnsi="Arial" w:cs="Arial"/>
                <w:sz w:val="16"/>
                <w:szCs w:val="16"/>
              </w:rPr>
            </w:pPr>
            <w:r w:rsidRPr="00980150">
              <w:rPr>
                <w:rFonts w:ascii="Arial" w:hAnsi="Arial" w:cs="Arial"/>
                <w:sz w:val="16"/>
                <w:szCs w:val="16"/>
              </w:rPr>
              <w:t>-</w:t>
            </w:r>
          </w:p>
        </w:tc>
      </w:tr>
      <w:tr w:rsidR="00980150" w:rsidRPr="00980150" w14:paraId="167B96E9" w14:textId="77777777" w:rsidTr="00DB60C0">
        <w:trPr>
          <w:trHeight w:val="204"/>
        </w:trPr>
        <w:tc>
          <w:tcPr>
            <w:tcW w:w="3261" w:type="dxa"/>
            <w:tcBorders>
              <w:top w:val="nil"/>
              <w:left w:val="nil"/>
              <w:bottom w:val="single" w:sz="4" w:space="0" w:color="auto"/>
              <w:right w:val="nil"/>
            </w:tcBorders>
            <w:shd w:val="clear" w:color="auto" w:fill="auto"/>
            <w:noWrap/>
            <w:vAlign w:val="bottom"/>
            <w:hideMark/>
          </w:tcPr>
          <w:p w14:paraId="5090F352" w14:textId="77777777" w:rsidR="00980150" w:rsidRPr="00980150" w:rsidRDefault="00980150" w:rsidP="00980150">
            <w:pPr>
              <w:spacing w:after="0" w:line="240" w:lineRule="auto"/>
              <w:jc w:val="left"/>
              <w:rPr>
                <w:rFonts w:ascii="Arial" w:hAnsi="Arial" w:cs="Arial"/>
                <w:b/>
                <w:bCs/>
                <w:sz w:val="16"/>
                <w:szCs w:val="16"/>
              </w:rPr>
            </w:pPr>
            <w:r w:rsidRPr="00980150">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vAlign w:val="bottom"/>
            <w:hideMark/>
          </w:tcPr>
          <w:p w14:paraId="63D361EF" w14:textId="77777777" w:rsidR="00980150" w:rsidRPr="00980150" w:rsidRDefault="00980150" w:rsidP="00980150">
            <w:pPr>
              <w:spacing w:after="0" w:line="240" w:lineRule="auto"/>
              <w:jc w:val="right"/>
              <w:rPr>
                <w:rFonts w:ascii="Arial" w:hAnsi="Arial" w:cs="Arial"/>
                <w:b/>
                <w:bCs/>
                <w:sz w:val="16"/>
                <w:szCs w:val="16"/>
              </w:rPr>
            </w:pPr>
          </w:p>
        </w:tc>
        <w:tc>
          <w:tcPr>
            <w:tcW w:w="871" w:type="dxa"/>
            <w:tcBorders>
              <w:top w:val="nil"/>
              <w:left w:val="nil"/>
              <w:bottom w:val="single" w:sz="4" w:space="0" w:color="auto"/>
              <w:right w:val="nil"/>
            </w:tcBorders>
            <w:shd w:val="clear" w:color="auto" w:fill="auto"/>
            <w:noWrap/>
            <w:vAlign w:val="bottom"/>
            <w:hideMark/>
          </w:tcPr>
          <w:p w14:paraId="3F61032A" w14:textId="637D4DBA" w:rsidR="00980150" w:rsidRPr="00980150" w:rsidRDefault="00980150" w:rsidP="00980150">
            <w:pPr>
              <w:spacing w:after="0" w:line="240" w:lineRule="auto"/>
              <w:jc w:val="right"/>
              <w:rPr>
                <w:rFonts w:ascii="Arial" w:hAnsi="Arial" w:cs="Arial"/>
                <w:b/>
                <w:bCs/>
                <w:sz w:val="16"/>
                <w:szCs w:val="16"/>
              </w:rPr>
            </w:pPr>
            <w:r w:rsidRPr="00980150">
              <w:rPr>
                <w:rFonts w:ascii="Arial" w:hAnsi="Arial" w:cs="Arial"/>
                <w:b/>
                <w:bCs/>
                <w:sz w:val="16"/>
                <w:szCs w:val="16"/>
              </w:rPr>
              <w:t>20,000</w:t>
            </w:r>
          </w:p>
        </w:tc>
        <w:tc>
          <w:tcPr>
            <w:tcW w:w="850" w:type="dxa"/>
            <w:tcBorders>
              <w:top w:val="nil"/>
              <w:left w:val="nil"/>
              <w:bottom w:val="single" w:sz="4" w:space="0" w:color="auto"/>
              <w:right w:val="nil"/>
            </w:tcBorders>
            <w:shd w:val="clear" w:color="000000" w:fill="E6E6E6"/>
            <w:noWrap/>
            <w:vAlign w:val="bottom"/>
            <w:hideMark/>
          </w:tcPr>
          <w:p w14:paraId="07C326F9" w14:textId="4F538F1D" w:rsidR="00980150" w:rsidRPr="00980150" w:rsidRDefault="00980150" w:rsidP="00980150">
            <w:pPr>
              <w:spacing w:after="0" w:line="240" w:lineRule="auto"/>
              <w:jc w:val="right"/>
              <w:rPr>
                <w:rFonts w:ascii="Arial" w:hAnsi="Arial" w:cs="Arial"/>
                <w:b/>
                <w:bCs/>
                <w:sz w:val="16"/>
                <w:szCs w:val="16"/>
              </w:rPr>
            </w:pPr>
            <w:r w:rsidRPr="00980150">
              <w:rPr>
                <w:rFonts w:ascii="Arial" w:hAnsi="Arial" w:cs="Arial"/>
                <w:b/>
                <w:bCs/>
                <w:sz w:val="16"/>
                <w:szCs w:val="16"/>
              </w:rPr>
              <w:t>-</w:t>
            </w:r>
          </w:p>
        </w:tc>
        <w:tc>
          <w:tcPr>
            <w:tcW w:w="851" w:type="dxa"/>
            <w:tcBorders>
              <w:top w:val="nil"/>
              <w:left w:val="nil"/>
              <w:bottom w:val="single" w:sz="4" w:space="0" w:color="auto"/>
              <w:right w:val="nil"/>
            </w:tcBorders>
            <w:shd w:val="clear" w:color="auto" w:fill="auto"/>
            <w:noWrap/>
            <w:vAlign w:val="bottom"/>
            <w:hideMark/>
          </w:tcPr>
          <w:p w14:paraId="64BAC139" w14:textId="2882BEA0" w:rsidR="00980150" w:rsidRPr="00980150" w:rsidRDefault="00980150" w:rsidP="00980150">
            <w:pPr>
              <w:spacing w:after="0" w:line="240" w:lineRule="auto"/>
              <w:jc w:val="right"/>
              <w:rPr>
                <w:rFonts w:ascii="Arial" w:hAnsi="Arial" w:cs="Arial"/>
                <w:b/>
                <w:bCs/>
                <w:sz w:val="16"/>
                <w:szCs w:val="16"/>
              </w:rPr>
            </w:pPr>
            <w:r w:rsidRPr="00980150">
              <w:rPr>
                <w:rFonts w:ascii="Arial" w:hAnsi="Arial" w:cs="Arial"/>
                <w:b/>
                <w:bCs/>
                <w:sz w:val="16"/>
                <w:szCs w:val="16"/>
              </w:rPr>
              <w:t>-</w:t>
            </w:r>
          </w:p>
        </w:tc>
        <w:tc>
          <w:tcPr>
            <w:tcW w:w="850" w:type="dxa"/>
            <w:tcBorders>
              <w:top w:val="nil"/>
              <w:left w:val="nil"/>
              <w:bottom w:val="single" w:sz="4" w:space="0" w:color="auto"/>
              <w:right w:val="nil"/>
            </w:tcBorders>
            <w:shd w:val="clear" w:color="000000" w:fill="E6E6E6"/>
            <w:noWrap/>
            <w:vAlign w:val="bottom"/>
            <w:hideMark/>
          </w:tcPr>
          <w:p w14:paraId="6B938C55" w14:textId="7D7FE835" w:rsidR="00980150" w:rsidRPr="00980150" w:rsidRDefault="00980150" w:rsidP="00980150">
            <w:pPr>
              <w:spacing w:after="0" w:line="240" w:lineRule="auto"/>
              <w:jc w:val="right"/>
              <w:rPr>
                <w:rFonts w:ascii="Arial" w:hAnsi="Arial" w:cs="Arial"/>
                <w:b/>
                <w:bCs/>
                <w:sz w:val="16"/>
                <w:szCs w:val="16"/>
              </w:rPr>
            </w:pPr>
            <w:r w:rsidRPr="00980150">
              <w:rPr>
                <w:rFonts w:ascii="Arial" w:hAnsi="Arial" w:cs="Arial"/>
                <w:b/>
                <w:bCs/>
                <w:sz w:val="16"/>
                <w:szCs w:val="16"/>
              </w:rPr>
              <w:t>-</w:t>
            </w:r>
          </w:p>
        </w:tc>
      </w:tr>
    </w:tbl>
    <w:p w14:paraId="44D2FEA8" w14:textId="77777777" w:rsidR="00B34EAA" w:rsidRDefault="00C17040" w:rsidP="00DB60C0">
      <w:pPr>
        <w:pStyle w:val="Source"/>
        <w:spacing w:before="60"/>
        <w:jc w:val="left"/>
      </w:pPr>
      <w:r w:rsidRPr="00643B7D">
        <w:t>Prepared on a Government Financial Statistics (</w:t>
      </w:r>
      <w:r>
        <w:t>Underlying Cash</w:t>
      </w:r>
      <w:r w:rsidRPr="00643B7D">
        <w:t>) basis</w:t>
      </w:r>
      <w:r>
        <w:t xml:space="preserve">. </w:t>
      </w:r>
    </w:p>
    <w:p w14:paraId="5226FE12" w14:textId="52ACA8C2" w:rsidR="00C17040" w:rsidRDefault="00C17040" w:rsidP="00B34EAA">
      <w:pPr>
        <w:pStyle w:val="Source"/>
        <w:jc w:val="left"/>
      </w:pPr>
      <w:r>
        <w:t>Figures displayed as a negative (-) represent a decrease in funds and a positive (+) represent an increase in funds.</w:t>
      </w:r>
    </w:p>
    <w:p w14:paraId="3CEDE82F" w14:textId="77777777" w:rsidR="00C17040" w:rsidRPr="00643B7D" w:rsidRDefault="00C17040" w:rsidP="00C17040">
      <w:pPr>
        <w:pStyle w:val="Source"/>
      </w:pPr>
    </w:p>
    <w:p w14:paraId="493D3A8E" w14:textId="6311779E" w:rsidR="00C17040" w:rsidRPr="001E1BB6" w:rsidRDefault="00C17040" w:rsidP="00886877">
      <w:pPr>
        <w:pStyle w:val="Heading3CASA"/>
        <w:rPr>
          <w:lang w:val="en-AU"/>
        </w:rPr>
      </w:pPr>
      <w:bookmarkStart w:id="410" w:name="_Toc93930020"/>
      <w:r>
        <w:t>1.4</w:t>
      </w:r>
      <w:r>
        <w:tab/>
        <w:t>Additional estimates</w:t>
      </w:r>
      <w:r>
        <w:rPr>
          <w:lang w:val="en-AU"/>
        </w:rPr>
        <w:t>, resourcing</w:t>
      </w:r>
      <w:r>
        <w:t xml:space="preserve"> and v</w:t>
      </w:r>
      <w:r w:rsidRPr="00597122">
        <w:t>ariations</w:t>
      </w:r>
      <w:r>
        <w:rPr>
          <w:lang w:val="en-AU"/>
        </w:rPr>
        <w:t xml:space="preserve"> to outcomes</w:t>
      </w:r>
      <w:bookmarkEnd w:id="410"/>
    </w:p>
    <w:p w14:paraId="4CFC3F30" w14:textId="44CA400E" w:rsidR="00C17040" w:rsidRPr="00D47D34" w:rsidRDefault="00C17040" w:rsidP="003B4729">
      <w:pPr>
        <w:jc w:val="left"/>
      </w:pPr>
      <w:r>
        <w:t>The following table detail</w:t>
      </w:r>
      <w:r w:rsidR="003B4729">
        <w:t>s</w:t>
      </w:r>
      <w:r>
        <w:t xml:space="preserve"> the changes to the resourcing for </w:t>
      </w:r>
      <w:r w:rsidR="00FE3BA3">
        <w:t>CASA</w:t>
      </w:r>
      <w:r>
        <w:t xml:space="preserve"> at Additional Estimates, by outcome. Table 1.3 details the Additional Estimates resulting from </w:t>
      </w:r>
      <w:r w:rsidRPr="00C73746">
        <w:t>new</w:t>
      </w:r>
      <w:r>
        <w:t xml:space="preserve"> measures and other variations since the 2021-22 Budget </w:t>
      </w:r>
      <w:r w:rsidRPr="00D47D34">
        <w:t>in Appropriation Bills No. 3.</w:t>
      </w:r>
    </w:p>
    <w:p w14:paraId="0410F9F8" w14:textId="77777777" w:rsidR="00C17040" w:rsidRDefault="00C17040" w:rsidP="00C17040">
      <w:pPr>
        <w:pStyle w:val="TableHeading"/>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2021-22</w:t>
      </w:r>
      <w:r w:rsidRPr="001A75A9">
        <w:t xml:space="preserve"> Budget</w:t>
      </w:r>
    </w:p>
    <w:tbl>
      <w:tblPr>
        <w:tblW w:w="7329" w:type="dxa"/>
        <w:tblLook w:val="04A0" w:firstRow="1" w:lastRow="0" w:firstColumn="1" w:lastColumn="0" w:noHBand="0" w:noVBand="1"/>
      </w:tblPr>
      <w:tblGrid>
        <w:gridCol w:w="3036"/>
        <w:gridCol w:w="866"/>
        <w:gridCol w:w="859"/>
        <w:gridCol w:w="856"/>
        <w:gridCol w:w="856"/>
        <w:gridCol w:w="856"/>
      </w:tblGrid>
      <w:tr w:rsidR="00B83A79" w:rsidRPr="00B83A79" w14:paraId="1BDB2384" w14:textId="77777777" w:rsidTr="0076328E">
        <w:trPr>
          <w:trHeight w:val="450"/>
        </w:trPr>
        <w:tc>
          <w:tcPr>
            <w:tcW w:w="3036" w:type="dxa"/>
            <w:tcBorders>
              <w:top w:val="single" w:sz="4" w:space="0" w:color="auto"/>
              <w:left w:val="nil"/>
              <w:bottom w:val="nil"/>
              <w:right w:val="nil"/>
            </w:tcBorders>
            <w:shd w:val="clear" w:color="auto" w:fill="auto"/>
            <w:noWrap/>
            <w:hideMark/>
          </w:tcPr>
          <w:p w14:paraId="0812E0DD" w14:textId="77777777" w:rsidR="00B83A79" w:rsidRPr="00B83A79" w:rsidRDefault="00B83A79" w:rsidP="00B83A79">
            <w:pPr>
              <w:spacing w:after="0" w:line="240" w:lineRule="auto"/>
              <w:jc w:val="left"/>
              <w:rPr>
                <w:rFonts w:ascii="Arial" w:hAnsi="Arial" w:cs="Arial"/>
                <w:color w:val="000000"/>
                <w:sz w:val="16"/>
                <w:szCs w:val="16"/>
              </w:rPr>
            </w:pPr>
            <w:r w:rsidRPr="00B83A79">
              <w:rPr>
                <w:rFonts w:ascii="Arial" w:hAnsi="Arial" w:cs="Arial"/>
                <w:color w:val="000000"/>
                <w:sz w:val="16"/>
                <w:szCs w:val="16"/>
              </w:rPr>
              <w:t> </w:t>
            </w:r>
          </w:p>
        </w:tc>
        <w:tc>
          <w:tcPr>
            <w:tcW w:w="866" w:type="dxa"/>
            <w:tcBorders>
              <w:top w:val="single" w:sz="4" w:space="0" w:color="auto"/>
              <w:left w:val="nil"/>
              <w:bottom w:val="single" w:sz="4" w:space="0" w:color="auto"/>
              <w:right w:val="nil"/>
            </w:tcBorders>
            <w:shd w:val="clear" w:color="auto" w:fill="auto"/>
            <w:hideMark/>
          </w:tcPr>
          <w:p w14:paraId="57492A91" w14:textId="77777777" w:rsidR="00B83A79" w:rsidRPr="00B83A79" w:rsidRDefault="00B83A79" w:rsidP="00B83A79">
            <w:pPr>
              <w:spacing w:after="0" w:line="240" w:lineRule="auto"/>
              <w:jc w:val="center"/>
              <w:rPr>
                <w:rFonts w:ascii="Arial" w:hAnsi="Arial" w:cs="Arial"/>
                <w:color w:val="000000"/>
                <w:sz w:val="16"/>
                <w:szCs w:val="16"/>
              </w:rPr>
            </w:pPr>
            <w:r w:rsidRPr="00B83A79">
              <w:rPr>
                <w:rFonts w:ascii="Arial" w:hAnsi="Arial" w:cs="Arial"/>
                <w:color w:val="000000"/>
                <w:sz w:val="16"/>
                <w:szCs w:val="16"/>
              </w:rPr>
              <w:t>Program impacted</w:t>
            </w:r>
          </w:p>
        </w:tc>
        <w:tc>
          <w:tcPr>
            <w:tcW w:w="859" w:type="dxa"/>
            <w:tcBorders>
              <w:top w:val="single" w:sz="4" w:space="0" w:color="auto"/>
              <w:left w:val="nil"/>
              <w:bottom w:val="single" w:sz="4" w:space="0" w:color="auto"/>
              <w:right w:val="nil"/>
            </w:tcBorders>
            <w:shd w:val="clear" w:color="000000" w:fill="E6E6E6"/>
            <w:hideMark/>
          </w:tcPr>
          <w:p w14:paraId="2CF2E3EE" w14:textId="77777777" w:rsidR="00B83A79" w:rsidRPr="00B83A79" w:rsidRDefault="00B83A79" w:rsidP="00B83A79">
            <w:pPr>
              <w:spacing w:after="0" w:line="240" w:lineRule="auto"/>
              <w:jc w:val="right"/>
              <w:rPr>
                <w:rFonts w:ascii="Arial" w:hAnsi="Arial" w:cs="Arial"/>
                <w:sz w:val="16"/>
                <w:szCs w:val="16"/>
              </w:rPr>
            </w:pPr>
            <w:r w:rsidRPr="00B83A79">
              <w:rPr>
                <w:rFonts w:ascii="Arial" w:hAnsi="Arial" w:cs="Arial"/>
                <w:sz w:val="16"/>
                <w:szCs w:val="16"/>
              </w:rPr>
              <w:t>2021-22</w:t>
            </w:r>
            <w:r w:rsidRPr="00B83A79">
              <w:rPr>
                <w:rFonts w:ascii="Arial" w:hAnsi="Arial" w:cs="Arial"/>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7D1EE079" w14:textId="77777777" w:rsidR="00B83A79" w:rsidRPr="00B83A79" w:rsidRDefault="00B83A79" w:rsidP="00B83A79">
            <w:pPr>
              <w:spacing w:after="0" w:line="240" w:lineRule="auto"/>
              <w:jc w:val="right"/>
              <w:rPr>
                <w:rFonts w:ascii="Arial" w:hAnsi="Arial" w:cs="Arial"/>
                <w:color w:val="000000"/>
                <w:sz w:val="16"/>
                <w:szCs w:val="16"/>
              </w:rPr>
            </w:pPr>
            <w:r w:rsidRPr="00B83A79">
              <w:rPr>
                <w:rFonts w:ascii="Arial" w:hAnsi="Arial" w:cs="Arial"/>
                <w:color w:val="000000"/>
                <w:sz w:val="16"/>
                <w:szCs w:val="16"/>
              </w:rPr>
              <w:t>2022-23</w:t>
            </w:r>
            <w:r w:rsidRPr="00B83A79">
              <w:rPr>
                <w:rFonts w:ascii="Arial" w:hAnsi="Arial" w:cs="Arial"/>
                <w:color w:val="000000"/>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249678F2" w14:textId="77777777" w:rsidR="00B83A79" w:rsidRPr="00B83A79" w:rsidRDefault="00B83A79" w:rsidP="00B83A79">
            <w:pPr>
              <w:spacing w:after="0" w:line="240" w:lineRule="auto"/>
              <w:jc w:val="right"/>
              <w:rPr>
                <w:rFonts w:ascii="Arial" w:hAnsi="Arial" w:cs="Arial"/>
                <w:color w:val="000000"/>
                <w:sz w:val="16"/>
                <w:szCs w:val="16"/>
              </w:rPr>
            </w:pPr>
            <w:r w:rsidRPr="00B83A79">
              <w:rPr>
                <w:rFonts w:ascii="Arial" w:hAnsi="Arial" w:cs="Arial"/>
                <w:color w:val="000000"/>
                <w:sz w:val="16"/>
                <w:szCs w:val="16"/>
              </w:rPr>
              <w:t>2023-24</w:t>
            </w:r>
            <w:r w:rsidRPr="00B83A79">
              <w:rPr>
                <w:rFonts w:ascii="Arial" w:hAnsi="Arial" w:cs="Arial"/>
                <w:color w:val="000000"/>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3BAAA079" w14:textId="77777777" w:rsidR="00B83A79" w:rsidRPr="00B83A79" w:rsidRDefault="00B83A79" w:rsidP="00B83A79">
            <w:pPr>
              <w:spacing w:after="0" w:line="240" w:lineRule="auto"/>
              <w:jc w:val="right"/>
              <w:rPr>
                <w:rFonts w:ascii="Arial" w:hAnsi="Arial" w:cs="Arial"/>
                <w:color w:val="000000"/>
                <w:sz w:val="16"/>
                <w:szCs w:val="16"/>
              </w:rPr>
            </w:pPr>
            <w:r w:rsidRPr="00B83A79">
              <w:rPr>
                <w:rFonts w:ascii="Arial" w:hAnsi="Arial" w:cs="Arial"/>
                <w:color w:val="000000"/>
                <w:sz w:val="16"/>
                <w:szCs w:val="16"/>
              </w:rPr>
              <w:t>2024-25</w:t>
            </w:r>
            <w:r w:rsidRPr="00B83A79">
              <w:rPr>
                <w:rFonts w:ascii="Arial" w:hAnsi="Arial" w:cs="Arial"/>
                <w:color w:val="000000"/>
                <w:sz w:val="16"/>
                <w:szCs w:val="16"/>
              </w:rPr>
              <w:br/>
              <w:t>$'000</w:t>
            </w:r>
          </w:p>
        </w:tc>
      </w:tr>
      <w:tr w:rsidR="00B83A79" w:rsidRPr="00B83A79" w14:paraId="05CBFC39" w14:textId="77777777" w:rsidTr="0076328E">
        <w:trPr>
          <w:trHeight w:val="204"/>
        </w:trPr>
        <w:tc>
          <w:tcPr>
            <w:tcW w:w="3036" w:type="dxa"/>
            <w:tcBorders>
              <w:top w:val="nil"/>
              <w:left w:val="nil"/>
              <w:bottom w:val="nil"/>
              <w:right w:val="nil"/>
            </w:tcBorders>
            <w:shd w:val="clear" w:color="auto" w:fill="auto"/>
            <w:noWrap/>
            <w:hideMark/>
          </w:tcPr>
          <w:p w14:paraId="40EE4576" w14:textId="77777777" w:rsidR="00B83A79" w:rsidRPr="00B83A79" w:rsidRDefault="00B83A79" w:rsidP="00B83A79">
            <w:pPr>
              <w:spacing w:after="0" w:line="240" w:lineRule="auto"/>
              <w:jc w:val="left"/>
              <w:rPr>
                <w:rFonts w:ascii="Arial" w:hAnsi="Arial" w:cs="Arial"/>
                <w:b/>
                <w:bCs/>
                <w:color w:val="000000"/>
                <w:sz w:val="16"/>
                <w:szCs w:val="16"/>
              </w:rPr>
            </w:pPr>
            <w:r w:rsidRPr="00B83A79">
              <w:rPr>
                <w:rFonts w:ascii="Arial" w:hAnsi="Arial" w:cs="Arial"/>
                <w:b/>
                <w:bCs/>
                <w:color w:val="000000"/>
                <w:sz w:val="16"/>
                <w:szCs w:val="16"/>
              </w:rPr>
              <w:t>Outcome 1</w:t>
            </w:r>
          </w:p>
        </w:tc>
        <w:tc>
          <w:tcPr>
            <w:tcW w:w="866" w:type="dxa"/>
            <w:tcBorders>
              <w:top w:val="nil"/>
              <w:left w:val="nil"/>
              <w:bottom w:val="nil"/>
              <w:right w:val="nil"/>
            </w:tcBorders>
            <w:shd w:val="clear" w:color="auto" w:fill="auto"/>
            <w:noWrap/>
            <w:vAlign w:val="bottom"/>
            <w:hideMark/>
          </w:tcPr>
          <w:p w14:paraId="0FEB96CA" w14:textId="77777777" w:rsidR="00B83A79" w:rsidRPr="0076328E" w:rsidRDefault="00B83A79" w:rsidP="00B83A79">
            <w:pPr>
              <w:spacing w:after="0" w:line="240" w:lineRule="auto"/>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hideMark/>
          </w:tcPr>
          <w:p w14:paraId="5C046B78" w14:textId="7B945FC6" w:rsidR="00B83A79" w:rsidRPr="0076328E" w:rsidRDefault="00B83A79" w:rsidP="00B83A79">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309BBB41" w14:textId="77777777" w:rsidR="00B83A79" w:rsidRPr="0076328E" w:rsidRDefault="00B83A79" w:rsidP="00B83A79">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616B6C3A" w14:textId="77777777" w:rsidR="00B83A79" w:rsidRPr="0076328E" w:rsidRDefault="00B83A79" w:rsidP="00B83A79">
            <w:pPr>
              <w:spacing w:after="0" w:line="240" w:lineRule="auto"/>
              <w:jc w:val="right"/>
              <w:rPr>
                <w:rFonts w:ascii="Times New Roman" w:hAnsi="Times New Roman"/>
                <w:sz w:val="16"/>
                <w:szCs w:val="16"/>
              </w:rPr>
            </w:pPr>
          </w:p>
        </w:tc>
        <w:tc>
          <w:tcPr>
            <w:tcW w:w="856" w:type="dxa"/>
            <w:tcBorders>
              <w:top w:val="nil"/>
              <w:left w:val="nil"/>
              <w:bottom w:val="nil"/>
              <w:right w:val="nil"/>
            </w:tcBorders>
            <w:shd w:val="clear" w:color="auto" w:fill="auto"/>
            <w:noWrap/>
            <w:vAlign w:val="bottom"/>
            <w:hideMark/>
          </w:tcPr>
          <w:p w14:paraId="7123CF13" w14:textId="77777777" w:rsidR="00B83A79" w:rsidRPr="0076328E" w:rsidRDefault="00B83A79" w:rsidP="00B83A79">
            <w:pPr>
              <w:spacing w:after="0" w:line="240" w:lineRule="auto"/>
              <w:jc w:val="right"/>
              <w:rPr>
                <w:rFonts w:ascii="Times New Roman" w:hAnsi="Times New Roman"/>
                <w:sz w:val="16"/>
                <w:szCs w:val="16"/>
              </w:rPr>
            </w:pPr>
          </w:p>
        </w:tc>
      </w:tr>
      <w:tr w:rsidR="00B83A79" w:rsidRPr="00B83A79" w14:paraId="0B44BBD2" w14:textId="77777777" w:rsidTr="0076328E">
        <w:trPr>
          <w:trHeight w:val="204"/>
        </w:trPr>
        <w:tc>
          <w:tcPr>
            <w:tcW w:w="3036" w:type="dxa"/>
            <w:tcBorders>
              <w:top w:val="nil"/>
              <w:left w:val="nil"/>
              <w:bottom w:val="nil"/>
              <w:right w:val="nil"/>
            </w:tcBorders>
            <w:shd w:val="clear" w:color="auto" w:fill="auto"/>
            <w:hideMark/>
          </w:tcPr>
          <w:p w14:paraId="7D97D4F8" w14:textId="4B7BC11E" w:rsidR="00B83A79" w:rsidRPr="00B83A79" w:rsidRDefault="008863D9" w:rsidP="00B83A79">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B83A79" w:rsidRPr="00B83A79">
              <w:rPr>
                <w:rFonts w:ascii="Arial" w:hAnsi="Arial" w:cs="Arial"/>
                <w:b/>
                <w:bCs/>
                <w:color w:val="000000"/>
                <w:sz w:val="16"/>
                <w:szCs w:val="16"/>
              </w:rPr>
              <w:t xml:space="preserve">al </w:t>
            </w:r>
          </w:p>
        </w:tc>
        <w:tc>
          <w:tcPr>
            <w:tcW w:w="866" w:type="dxa"/>
            <w:tcBorders>
              <w:top w:val="nil"/>
              <w:left w:val="nil"/>
              <w:bottom w:val="nil"/>
              <w:right w:val="nil"/>
            </w:tcBorders>
            <w:shd w:val="clear" w:color="auto" w:fill="auto"/>
            <w:noWrap/>
            <w:vAlign w:val="bottom"/>
            <w:hideMark/>
          </w:tcPr>
          <w:p w14:paraId="44D22C20" w14:textId="77777777" w:rsidR="00B83A79" w:rsidRPr="0076328E" w:rsidRDefault="00B83A79" w:rsidP="00B83A79">
            <w:pPr>
              <w:spacing w:after="0" w:line="240" w:lineRule="auto"/>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hideMark/>
          </w:tcPr>
          <w:p w14:paraId="4DF38F2E" w14:textId="062B3548" w:rsidR="00B83A79" w:rsidRPr="0076328E" w:rsidRDefault="00B83A79" w:rsidP="00B83A79">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13C8C376" w14:textId="77777777" w:rsidR="00B83A79" w:rsidRPr="0076328E" w:rsidRDefault="00B83A79" w:rsidP="00B83A79">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17FF40FD" w14:textId="77777777" w:rsidR="00B83A79" w:rsidRPr="0076328E" w:rsidRDefault="00B83A79" w:rsidP="00B83A79">
            <w:pPr>
              <w:spacing w:after="0" w:line="240" w:lineRule="auto"/>
              <w:jc w:val="right"/>
              <w:rPr>
                <w:rFonts w:ascii="Times New Roman" w:hAnsi="Times New Roman"/>
                <w:sz w:val="16"/>
                <w:szCs w:val="16"/>
              </w:rPr>
            </w:pPr>
          </w:p>
        </w:tc>
        <w:tc>
          <w:tcPr>
            <w:tcW w:w="856" w:type="dxa"/>
            <w:tcBorders>
              <w:top w:val="nil"/>
              <w:left w:val="nil"/>
              <w:bottom w:val="nil"/>
              <w:right w:val="nil"/>
            </w:tcBorders>
            <w:shd w:val="clear" w:color="auto" w:fill="auto"/>
            <w:noWrap/>
            <w:vAlign w:val="bottom"/>
            <w:hideMark/>
          </w:tcPr>
          <w:p w14:paraId="366CE973" w14:textId="77777777" w:rsidR="00B83A79" w:rsidRPr="0076328E" w:rsidRDefault="00B83A79" w:rsidP="00B83A79">
            <w:pPr>
              <w:spacing w:after="0" w:line="240" w:lineRule="auto"/>
              <w:jc w:val="right"/>
              <w:rPr>
                <w:rFonts w:ascii="Times New Roman" w:hAnsi="Times New Roman"/>
                <w:sz w:val="16"/>
                <w:szCs w:val="16"/>
              </w:rPr>
            </w:pPr>
          </w:p>
        </w:tc>
      </w:tr>
      <w:tr w:rsidR="00B83A79" w:rsidRPr="00B83A79" w14:paraId="4A250D23" w14:textId="77777777" w:rsidTr="0076328E">
        <w:trPr>
          <w:trHeight w:val="204"/>
        </w:trPr>
        <w:tc>
          <w:tcPr>
            <w:tcW w:w="3036" w:type="dxa"/>
            <w:tcBorders>
              <w:top w:val="nil"/>
              <w:left w:val="nil"/>
              <w:bottom w:val="nil"/>
              <w:right w:val="nil"/>
            </w:tcBorders>
            <w:shd w:val="clear" w:color="auto" w:fill="auto"/>
            <w:noWrap/>
            <w:hideMark/>
          </w:tcPr>
          <w:p w14:paraId="66E60F00" w14:textId="77777777" w:rsidR="00B83A79" w:rsidRPr="00B83A79" w:rsidRDefault="00B83A79" w:rsidP="00B83A79">
            <w:pPr>
              <w:spacing w:after="0" w:line="240" w:lineRule="auto"/>
              <w:ind w:left="113"/>
              <w:jc w:val="left"/>
              <w:rPr>
                <w:rFonts w:ascii="Arial" w:hAnsi="Arial" w:cs="Arial"/>
                <w:b/>
                <w:bCs/>
                <w:color w:val="000000"/>
                <w:sz w:val="16"/>
                <w:szCs w:val="16"/>
              </w:rPr>
            </w:pPr>
            <w:r w:rsidRPr="00B83A79">
              <w:rPr>
                <w:rFonts w:ascii="Arial" w:hAnsi="Arial" w:cs="Arial"/>
                <w:b/>
                <w:bCs/>
                <w:color w:val="000000"/>
                <w:sz w:val="16"/>
                <w:szCs w:val="16"/>
              </w:rPr>
              <w:t>Annual appropriations</w:t>
            </w:r>
          </w:p>
        </w:tc>
        <w:tc>
          <w:tcPr>
            <w:tcW w:w="866" w:type="dxa"/>
            <w:tcBorders>
              <w:top w:val="nil"/>
              <w:left w:val="nil"/>
              <w:bottom w:val="nil"/>
              <w:right w:val="nil"/>
            </w:tcBorders>
            <w:shd w:val="clear" w:color="auto" w:fill="auto"/>
            <w:noWrap/>
            <w:vAlign w:val="bottom"/>
            <w:hideMark/>
          </w:tcPr>
          <w:p w14:paraId="22DA572E" w14:textId="77777777" w:rsidR="00B83A79" w:rsidRPr="0076328E" w:rsidRDefault="00B83A79" w:rsidP="00B83A79">
            <w:pPr>
              <w:spacing w:after="0" w:line="240" w:lineRule="auto"/>
              <w:ind w:firstLineChars="100" w:firstLine="160"/>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hideMark/>
          </w:tcPr>
          <w:p w14:paraId="2D4F53EF" w14:textId="42A7B27E" w:rsidR="00B83A79" w:rsidRPr="0076328E" w:rsidRDefault="00B83A79" w:rsidP="00B83A79">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5753B198" w14:textId="77777777" w:rsidR="00B83A79" w:rsidRPr="0076328E" w:rsidRDefault="00B83A79" w:rsidP="00B83A79">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40D0EFC8" w14:textId="77777777" w:rsidR="00B83A79" w:rsidRPr="0076328E" w:rsidRDefault="00B83A79" w:rsidP="00B83A79">
            <w:pPr>
              <w:spacing w:after="0" w:line="240" w:lineRule="auto"/>
              <w:jc w:val="right"/>
              <w:rPr>
                <w:rFonts w:ascii="Times New Roman" w:hAnsi="Times New Roman"/>
                <w:sz w:val="16"/>
                <w:szCs w:val="16"/>
              </w:rPr>
            </w:pPr>
          </w:p>
        </w:tc>
        <w:tc>
          <w:tcPr>
            <w:tcW w:w="856" w:type="dxa"/>
            <w:tcBorders>
              <w:top w:val="nil"/>
              <w:left w:val="nil"/>
              <w:bottom w:val="nil"/>
              <w:right w:val="nil"/>
            </w:tcBorders>
            <w:shd w:val="clear" w:color="auto" w:fill="auto"/>
            <w:noWrap/>
            <w:vAlign w:val="bottom"/>
            <w:hideMark/>
          </w:tcPr>
          <w:p w14:paraId="2A8BA426" w14:textId="77777777" w:rsidR="00B83A79" w:rsidRPr="0076328E" w:rsidRDefault="00B83A79" w:rsidP="00B83A79">
            <w:pPr>
              <w:spacing w:after="0" w:line="240" w:lineRule="auto"/>
              <w:jc w:val="right"/>
              <w:rPr>
                <w:rFonts w:ascii="Times New Roman" w:hAnsi="Times New Roman"/>
                <w:sz w:val="16"/>
                <w:szCs w:val="16"/>
              </w:rPr>
            </w:pPr>
          </w:p>
        </w:tc>
      </w:tr>
      <w:tr w:rsidR="003B4729" w:rsidRPr="00B83A79" w14:paraId="7B834FEC" w14:textId="77777777" w:rsidTr="0076328E">
        <w:trPr>
          <w:trHeight w:val="204"/>
        </w:trPr>
        <w:tc>
          <w:tcPr>
            <w:tcW w:w="3036" w:type="dxa"/>
            <w:tcBorders>
              <w:top w:val="nil"/>
              <w:left w:val="nil"/>
              <w:bottom w:val="nil"/>
              <w:right w:val="nil"/>
            </w:tcBorders>
            <w:shd w:val="clear" w:color="auto" w:fill="auto"/>
            <w:noWrap/>
          </w:tcPr>
          <w:p w14:paraId="6712FD53" w14:textId="5ED365D3" w:rsidR="003B4729" w:rsidRPr="00B83A79" w:rsidRDefault="003B4729" w:rsidP="003B4729">
            <w:pPr>
              <w:spacing w:after="0" w:line="240" w:lineRule="auto"/>
              <w:ind w:left="227"/>
              <w:jc w:val="left"/>
              <w:rPr>
                <w:rFonts w:ascii="Arial" w:hAnsi="Arial" w:cs="Arial"/>
                <w:b/>
                <w:bCs/>
                <w:color w:val="000000"/>
                <w:sz w:val="16"/>
                <w:szCs w:val="16"/>
              </w:rPr>
            </w:pPr>
            <w:r>
              <w:rPr>
                <w:rFonts w:ascii="Arial" w:hAnsi="Arial" w:cs="Arial"/>
                <w:b/>
                <w:bCs/>
                <w:color w:val="000000"/>
                <w:sz w:val="16"/>
                <w:szCs w:val="16"/>
              </w:rPr>
              <w:t>Measure</w:t>
            </w:r>
          </w:p>
        </w:tc>
        <w:tc>
          <w:tcPr>
            <w:tcW w:w="866" w:type="dxa"/>
            <w:tcBorders>
              <w:top w:val="nil"/>
              <w:left w:val="nil"/>
              <w:bottom w:val="nil"/>
              <w:right w:val="nil"/>
            </w:tcBorders>
            <w:shd w:val="clear" w:color="auto" w:fill="auto"/>
            <w:noWrap/>
            <w:vAlign w:val="bottom"/>
          </w:tcPr>
          <w:p w14:paraId="5E8D44D3" w14:textId="77777777" w:rsidR="003B4729" w:rsidRPr="0076328E" w:rsidRDefault="003B4729" w:rsidP="00B83A79">
            <w:pPr>
              <w:spacing w:after="0" w:line="240" w:lineRule="auto"/>
              <w:ind w:firstLineChars="100" w:firstLine="160"/>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tcPr>
          <w:p w14:paraId="6C962D2A" w14:textId="77777777" w:rsidR="003B4729" w:rsidRPr="0076328E" w:rsidRDefault="003B4729" w:rsidP="00B83A79">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tcPr>
          <w:p w14:paraId="584F8E48" w14:textId="77777777" w:rsidR="003B4729" w:rsidRPr="0076328E" w:rsidRDefault="003B4729" w:rsidP="00B83A79">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tcPr>
          <w:p w14:paraId="7F123AE4" w14:textId="77777777" w:rsidR="003B4729" w:rsidRPr="0076328E" w:rsidRDefault="003B4729" w:rsidP="00B83A79">
            <w:pPr>
              <w:spacing w:after="0" w:line="240" w:lineRule="auto"/>
              <w:jc w:val="right"/>
              <w:rPr>
                <w:rFonts w:ascii="Times New Roman" w:hAnsi="Times New Roman"/>
                <w:sz w:val="16"/>
                <w:szCs w:val="16"/>
              </w:rPr>
            </w:pPr>
          </w:p>
        </w:tc>
        <w:tc>
          <w:tcPr>
            <w:tcW w:w="856" w:type="dxa"/>
            <w:tcBorders>
              <w:top w:val="nil"/>
              <w:left w:val="nil"/>
              <w:bottom w:val="nil"/>
              <w:right w:val="nil"/>
            </w:tcBorders>
            <w:shd w:val="clear" w:color="auto" w:fill="auto"/>
            <w:noWrap/>
            <w:vAlign w:val="bottom"/>
          </w:tcPr>
          <w:p w14:paraId="796A3BC1" w14:textId="77777777" w:rsidR="003B4729" w:rsidRPr="0076328E" w:rsidRDefault="003B4729" w:rsidP="00B83A79">
            <w:pPr>
              <w:spacing w:after="0" w:line="240" w:lineRule="auto"/>
              <w:jc w:val="right"/>
              <w:rPr>
                <w:rFonts w:ascii="Times New Roman" w:hAnsi="Times New Roman"/>
                <w:sz w:val="16"/>
                <w:szCs w:val="16"/>
              </w:rPr>
            </w:pPr>
          </w:p>
        </w:tc>
      </w:tr>
      <w:tr w:rsidR="00B83A79" w:rsidRPr="00B83A79" w14:paraId="3722B8CE" w14:textId="77777777" w:rsidTr="0076328E">
        <w:trPr>
          <w:trHeight w:val="204"/>
        </w:trPr>
        <w:tc>
          <w:tcPr>
            <w:tcW w:w="3036" w:type="dxa"/>
            <w:tcBorders>
              <w:top w:val="nil"/>
              <w:left w:val="nil"/>
              <w:bottom w:val="nil"/>
              <w:right w:val="nil"/>
            </w:tcBorders>
            <w:shd w:val="clear" w:color="auto" w:fill="auto"/>
            <w:noWrap/>
            <w:hideMark/>
          </w:tcPr>
          <w:p w14:paraId="0A75CE8F" w14:textId="21C433BC" w:rsidR="00B83A79" w:rsidRPr="00B83A79" w:rsidRDefault="00E62385" w:rsidP="003B4729">
            <w:pPr>
              <w:spacing w:after="0" w:line="240" w:lineRule="auto"/>
              <w:ind w:left="340"/>
              <w:jc w:val="left"/>
              <w:rPr>
                <w:rFonts w:ascii="Arial" w:hAnsi="Arial" w:cs="Arial"/>
                <w:color w:val="000000"/>
                <w:sz w:val="16"/>
                <w:szCs w:val="16"/>
              </w:rPr>
            </w:pPr>
            <w:r>
              <w:rPr>
                <w:rFonts w:ascii="Arial" w:hAnsi="Arial" w:cs="Arial"/>
                <w:color w:val="000000"/>
                <w:sz w:val="16"/>
                <w:szCs w:val="16"/>
              </w:rPr>
              <w:t>CASA supplementation</w:t>
            </w:r>
          </w:p>
        </w:tc>
        <w:tc>
          <w:tcPr>
            <w:tcW w:w="866" w:type="dxa"/>
            <w:tcBorders>
              <w:top w:val="nil"/>
              <w:left w:val="nil"/>
              <w:bottom w:val="nil"/>
              <w:right w:val="nil"/>
            </w:tcBorders>
            <w:shd w:val="clear" w:color="auto" w:fill="auto"/>
            <w:noWrap/>
            <w:vAlign w:val="bottom"/>
            <w:hideMark/>
          </w:tcPr>
          <w:p w14:paraId="64820B6E" w14:textId="0B008AE8" w:rsidR="00B83A79" w:rsidRPr="0076328E" w:rsidRDefault="0076328E" w:rsidP="0076328E">
            <w:pPr>
              <w:spacing w:after="0" w:line="240" w:lineRule="auto"/>
              <w:ind w:firstLineChars="200" w:firstLine="320"/>
              <w:jc w:val="center"/>
              <w:rPr>
                <w:rFonts w:ascii="Arial" w:hAnsi="Arial" w:cs="Arial"/>
                <w:color w:val="000000"/>
                <w:sz w:val="16"/>
                <w:szCs w:val="16"/>
              </w:rPr>
            </w:pPr>
            <w:r>
              <w:rPr>
                <w:rFonts w:ascii="Arial" w:hAnsi="Arial" w:cs="Arial"/>
                <w:color w:val="000000"/>
                <w:sz w:val="16"/>
                <w:szCs w:val="16"/>
              </w:rPr>
              <w:t>1.1</w:t>
            </w:r>
          </w:p>
        </w:tc>
        <w:tc>
          <w:tcPr>
            <w:tcW w:w="859" w:type="dxa"/>
            <w:tcBorders>
              <w:top w:val="nil"/>
              <w:left w:val="nil"/>
              <w:bottom w:val="nil"/>
              <w:right w:val="nil"/>
            </w:tcBorders>
            <w:shd w:val="clear" w:color="000000" w:fill="E6E6E6"/>
            <w:noWrap/>
            <w:vAlign w:val="bottom"/>
            <w:hideMark/>
          </w:tcPr>
          <w:p w14:paraId="6BFD5FBD" w14:textId="3820AD0B" w:rsidR="00B83A79" w:rsidRPr="0076328E" w:rsidRDefault="00B83A79" w:rsidP="00B83A79">
            <w:pPr>
              <w:spacing w:after="0" w:line="240" w:lineRule="auto"/>
              <w:jc w:val="right"/>
              <w:rPr>
                <w:rFonts w:ascii="Arial" w:hAnsi="Arial" w:cs="Arial"/>
                <w:sz w:val="16"/>
                <w:szCs w:val="16"/>
              </w:rPr>
            </w:pPr>
            <w:r w:rsidRPr="0076328E">
              <w:rPr>
                <w:rFonts w:ascii="Arial" w:hAnsi="Arial" w:cs="Arial"/>
                <w:sz w:val="16"/>
                <w:szCs w:val="16"/>
              </w:rPr>
              <w:t>20,000</w:t>
            </w:r>
          </w:p>
        </w:tc>
        <w:tc>
          <w:tcPr>
            <w:tcW w:w="856" w:type="dxa"/>
            <w:tcBorders>
              <w:top w:val="nil"/>
              <w:left w:val="nil"/>
              <w:bottom w:val="nil"/>
              <w:right w:val="nil"/>
            </w:tcBorders>
            <w:shd w:val="clear" w:color="auto" w:fill="auto"/>
            <w:noWrap/>
            <w:vAlign w:val="bottom"/>
            <w:hideMark/>
          </w:tcPr>
          <w:p w14:paraId="724EBB43" w14:textId="589B6127" w:rsidR="00B83A79" w:rsidRPr="0076328E" w:rsidRDefault="00B83A79" w:rsidP="00B83A79">
            <w:pPr>
              <w:spacing w:after="0" w:line="240" w:lineRule="auto"/>
              <w:jc w:val="right"/>
              <w:rPr>
                <w:rFonts w:ascii="Arial" w:hAnsi="Arial" w:cs="Arial"/>
                <w:bCs/>
                <w:color w:val="000000"/>
                <w:sz w:val="16"/>
                <w:szCs w:val="16"/>
              </w:rPr>
            </w:pPr>
            <w:r w:rsidRPr="0076328E">
              <w:rPr>
                <w:rFonts w:ascii="Arial" w:hAnsi="Arial" w:cs="Arial"/>
                <w:bCs/>
                <w:color w:val="000000"/>
                <w:sz w:val="16"/>
                <w:szCs w:val="16"/>
              </w:rPr>
              <w:t>-</w:t>
            </w:r>
          </w:p>
        </w:tc>
        <w:tc>
          <w:tcPr>
            <w:tcW w:w="856" w:type="dxa"/>
            <w:tcBorders>
              <w:top w:val="nil"/>
              <w:left w:val="nil"/>
              <w:bottom w:val="nil"/>
              <w:right w:val="nil"/>
            </w:tcBorders>
            <w:shd w:val="clear" w:color="auto" w:fill="auto"/>
            <w:noWrap/>
            <w:vAlign w:val="bottom"/>
            <w:hideMark/>
          </w:tcPr>
          <w:p w14:paraId="5172DEDE" w14:textId="5BEAED0F" w:rsidR="00B83A79" w:rsidRPr="0076328E" w:rsidRDefault="00B83A79" w:rsidP="00B83A79">
            <w:pPr>
              <w:spacing w:after="0" w:line="240" w:lineRule="auto"/>
              <w:jc w:val="right"/>
              <w:rPr>
                <w:rFonts w:ascii="Arial" w:hAnsi="Arial" w:cs="Arial"/>
                <w:bCs/>
                <w:color w:val="000000"/>
                <w:sz w:val="16"/>
                <w:szCs w:val="16"/>
              </w:rPr>
            </w:pPr>
            <w:r w:rsidRPr="0076328E">
              <w:rPr>
                <w:rFonts w:ascii="Arial" w:hAnsi="Arial" w:cs="Arial"/>
                <w:bCs/>
                <w:color w:val="000000"/>
                <w:sz w:val="16"/>
                <w:szCs w:val="16"/>
              </w:rPr>
              <w:t>-</w:t>
            </w:r>
          </w:p>
        </w:tc>
        <w:tc>
          <w:tcPr>
            <w:tcW w:w="856" w:type="dxa"/>
            <w:tcBorders>
              <w:top w:val="nil"/>
              <w:left w:val="nil"/>
              <w:bottom w:val="nil"/>
              <w:right w:val="nil"/>
            </w:tcBorders>
            <w:shd w:val="clear" w:color="auto" w:fill="auto"/>
            <w:noWrap/>
            <w:vAlign w:val="bottom"/>
            <w:hideMark/>
          </w:tcPr>
          <w:p w14:paraId="3EDCC949" w14:textId="5E9534C2" w:rsidR="00B83A79" w:rsidRPr="0076328E" w:rsidRDefault="00B83A79" w:rsidP="00B83A79">
            <w:pPr>
              <w:spacing w:after="0" w:line="240" w:lineRule="auto"/>
              <w:jc w:val="right"/>
              <w:rPr>
                <w:rFonts w:ascii="Arial" w:hAnsi="Arial" w:cs="Arial"/>
                <w:bCs/>
                <w:color w:val="000000"/>
                <w:sz w:val="16"/>
                <w:szCs w:val="16"/>
              </w:rPr>
            </w:pPr>
            <w:r w:rsidRPr="0076328E">
              <w:rPr>
                <w:rFonts w:ascii="Arial" w:hAnsi="Arial" w:cs="Arial"/>
                <w:bCs/>
                <w:color w:val="000000"/>
                <w:sz w:val="16"/>
                <w:szCs w:val="16"/>
              </w:rPr>
              <w:t>-</w:t>
            </w:r>
          </w:p>
        </w:tc>
      </w:tr>
      <w:tr w:rsidR="00B83A79" w:rsidRPr="00B83A79" w14:paraId="22E715E2" w14:textId="77777777" w:rsidTr="0076328E">
        <w:trPr>
          <w:trHeight w:val="204"/>
        </w:trPr>
        <w:tc>
          <w:tcPr>
            <w:tcW w:w="3036" w:type="dxa"/>
            <w:tcBorders>
              <w:top w:val="nil"/>
              <w:left w:val="nil"/>
              <w:bottom w:val="nil"/>
              <w:right w:val="nil"/>
            </w:tcBorders>
            <w:shd w:val="clear" w:color="auto" w:fill="auto"/>
            <w:noWrap/>
            <w:hideMark/>
          </w:tcPr>
          <w:p w14:paraId="4A189505" w14:textId="4DBEA917" w:rsidR="00B83A79" w:rsidRPr="00B83A79" w:rsidRDefault="0076328E" w:rsidP="003B4729">
            <w:pPr>
              <w:spacing w:after="0" w:line="240" w:lineRule="auto"/>
              <w:ind w:left="227"/>
              <w:jc w:val="left"/>
              <w:rPr>
                <w:rFonts w:ascii="Arial" w:hAnsi="Arial" w:cs="Arial"/>
                <w:b/>
                <w:bCs/>
                <w:color w:val="000000"/>
                <w:sz w:val="16"/>
                <w:szCs w:val="16"/>
              </w:rPr>
            </w:pPr>
            <w:r>
              <w:rPr>
                <w:rFonts w:ascii="Arial" w:hAnsi="Arial" w:cs="Arial"/>
                <w:b/>
                <w:bCs/>
                <w:color w:val="000000"/>
                <w:sz w:val="16"/>
                <w:szCs w:val="16"/>
              </w:rPr>
              <w:t>Other adjustments</w:t>
            </w:r>
          </w:p>
        </w:tc>
        <w:tc>
          <w:tcPr>
            <w:tcW w:w="866" w:type="dxa"/>
            <w:tcBorders>
              <w:top w:val="nil"/>
              <w:left w:val="nil"/>
              <w:bottom w:val="nil"/>
              <w:right w:val="nil"/>
            </w:tcBorders>
            <w:shd w:val="clear" w:color="auto" w:fill="auto"/>
            <w:noWrap/>
            <w:vAlign w:val="bottom"/>
            <w:hideMark/>
          </w:tcPr>
          <w:p w14:paraId="2C19C705" w14:textId="77777777" w:rsidR="00B83A79" w:rsidRPr="0076328E" w:rsidRDefault="00B83A79" w:rsidP="00B83A79">
            <w:pPr>
              <w:spacing w:after="0" w:line="240" w:lineRule="auto"/>
              <w:ind w:firstLineChars="200" w:firstLine="320"/>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hideMark/>
          </w:tcPr>
          <w:p w14:paraId="73F4DB5D" w14:textId="1D15EE4A" w:rsidR="00B83A79" w:rsidRPr="0076328E" w:rsidRDefault="00B83A79" w:rsidP="00B83A79">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139062BE" w14:textId="77777777" w:rsidR="00B83A79" w:rsidRPr="0076328E" w:rsidRDefault="00B83A79" w:rsidP="00B83A79">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2528D27D" w14:textId="77777777" w:rsidR="00B83A79" w:rsidRPr="0076328E" w:rsidRDefault="00B83A79" w:rsidP="00B83A79">
            <w:pPr>
              <w:spacing w:after="0" w:line="240" w:lineRule="auto"/>
              <w:jc w:val="right"/>
              <w:rPr>
                <w:rFonts w:ascii="Times New Roman" w:hAnsi="Times New Roman"/>
                <w:sz w:val="16"/>
                <w:szCs w:val="16"/>
              </w:rPr>
            </w:pPr>
          </w:p>
        </w:tc>
        <w:tc>
          <w:tcPr>
            <w:tcW w:w="856" w:type="dxa"/>
            <w:tcBorders>
              <w:top w:val="nil"/>
              <w:left w:val="nil"/>
              <w:bottom w:val="nil"/>
              <w:right w:val="nil"/>
            </w:tcBorders>
            <w:shd w:val="clear" w:color="auto" w:fill="auto"/>
            <w:noWrap/>
            <w:vAlign w:val="bottom"/>
            <w:hideMark/>
          </w:tcPr>
          <w:p w14:paraId="2A1FD97B" w14:textId="77777777" w:rsidR="00B83A79" w:rsidRPr="0076328E" w:rsidRDefault="00B83A79" w:rsidP="00B83A79">
            <w:pPr>
              <w:spacing w:after="0" w:line="240" w:lineRule="auto"/>
              <w:jc w:val="right"/>
              <w:rPr>
                <w:rFonts w:ascii="Times New Roman" w:hAnsi="Times New Roman"/>
                <w:sz w:val="16"/>
                <w:szCs w:val="16"/>
              </w:rPr>
            </w:pPr>
          </w:p>
        </w:tc>
      </w:tr>
      <w:tr w:rsidR="0076328E" w:rsidRPr="00B83A79" w14:paraId="59C30D3E" w14:textId="77777777" w:rsidTr="0076328E">
        <w:trPr>
          <w:trHeight w:val="204"/>
        </w:trPr>
        <w:tc>
          <w:tcPr>
            <w:tcW w:w="3036" w:type="dxa"/>
            <w:tcBorders>
              <w:top w:val="nil"/>
              <w:left w:val="nil"/>
              <w:bottom w:val="nil"/>
              <w:right w:val="nil"/>
            </w:tcBorders>
            <w:shd w:val="clear" w:color="auto" w:fill="auto"/>
            <w:noWrap/>
            <w:hideMark/>
          </w:tcPr>
          <w:p w14:paraId="163F3C8C" w14:textId="7BD99FB5" w:rsidR="0076328E" w:rsidRPr="00B83A79" w:rsidRDefault="0076328E" w:rsidP="003B4729">
            <w:pPr>
              <w:spacing w:after="0" w:line="240" w:lineRule="auto"/>
              <w:ind w:left="340"/>
              <w:jc w:val="left"/>
              <w:rPr>
                <w:rFonts w:ascii="Arial" w:hAnsi="Arial" w:cs="Arial"/>
                <w:color w:val="000000"/>
                <w:sz w:val="16"/>
                <w:szCs w:val="16"/>
              </w:rPr>
            </w:pPr>
            <w:r w:rsidRPr="0076328E">
              <w:rPr>
                <w:rFonts w:ascii="Arial" w:hAnsi="Arial" w:cs="Arial"/>
                <w:bCs/>
                <w:color w:val="000000"/>
                <w:sz w:val="16"/>
                <w:szCs w:val="16"/>
              </w:rPr>
              <w:t>Changes in Parameters</w:t>
            </w:r>
          </w:p>
        </w:tc>
        <w:tc>
          <w:tcPr>
            <w:tcW w:w="866" w:type="dxa"/>
            <w:tcBorders>
              <w:top w:val="nil"/>
              <w:left w:val="nil"/>
              <w:bottom w:val="nil"/>
              <w:right w:val="nil"/>
            </w:tcBorders>
            <w:shd w:val="clear" w:color="auto" w:fill="auto"/>
            <w:noWrap/>
            <w:vAlign w:val="bottom"/>
            <w:hideMark/>
          </w:tcPr>
          <w:p w14:paraId="1302783D" w14:textId="299654A1" w:rsidR="0076328E" w:rsidRPr="0076328E" w:rsidRDefault="0076328E" w:rsidP="0076328E">
            <w:pPr>
              <w:spacing w:after="0" w:line="240" w:lineRule="auto"/>
              <w:ind w:firstLineChars="200" w:firstLine="320"/>
              <w:jc w:val="center"/>
              <w:rPr>
                <w:rFonts w:ascii="Arial" w:hAnsi="Arial" w:cs="Arial"/>
                <w:color w:val="000000"/>
                <w:sz w:val="16"/>
                <w:szCs w:val="16"/>
              </w:rPr>
            </w:pPr>
            <w:r>
              <w:rPr>
                <w:rFonts w:ascii="Arial" w:hAnsi="Arial" w:cs="Arial"/>
                <w:color w:val="000000"/>
                <w:sz w:val="16"/>
                <w:szCs w:val="16"/>
              </w:rPr>
              <w:t>1.1</w:t>
            </w:r>
          </w:p>
        </w:tc>
        <w:tc>
          <w:tcPr>
            <w:tcW w:w="859" w:type="dxa"/>
            <w:tcBorders>
              <w:top w:val="nil"/>
              <w:left w:val="nil"/>
              <w:bottom w:val="nil"/>
              <w:right w:val="nil"/>
            </w:tcBorders>
            <w:shd w:val="clear" w:color="000000" w:fill="E6E6E6"/>
            <w:noWrap/>
            <w:vAlign w:val="bottom"/>
            <w:hideMark/>
          </w:tcPr>
          <w:p w14:paraId="60CB8A89" w14:textId="6D63515D" w:rsidR="0076328E" w:rsidRPr="0076328E" w:rsidRDefault="0076328E" w:rsidP="0076328E">
            <w:pPr>
              <w:spacing w:after="0" w:line="240" w:lineRule="auto"/>
              <w:jc w:val="right"/>
              <w:rPr>
                <w:rFonts w:ascii="Arial" w:hAnsi="Arial" w:cs="Arial"/>
                <w:sz w:val="16"/>
                <w:szCs w:val="16"/>
              </w:rPr>
            </w:pPr>
            <w:r w:rsidRPr="0076328E">
              <w:rPr>
                <w:rFonts w:ascii="Arial" w:hAnsi="Arial" w:cs="Arial"/>
                <w:sz w:val="16"/>
                <w:szCs w:val="16"/>
              </w:rPr>
              <w:t>-</w:t>
            </w:r>
          </w:p>
        </w:tc>
        <w:tc>
          <w:tcPr>
            <w:tcW w:w="856" w:type="dxa"/>
            <w:tcBorders>
              <w:top w:val="nil"/>
              <w:left w:val="nil"/>
              <w:bottom w:val="nil"/>
              <w:right w:val="nil"/>
            </w:tcBorders>
            <w:shd w:val="clear" w:color="auto" w:fill="auto"/>
            <w:noWrap/>
            <w:vAlign w:val="bottom"/>
            <w:hideMark/>
          </w:tcPr>
          <w:p w14:paraId="7B8E8375" w14:textId="16355DBD" w:rsidR="0076328E" w:rsidRPr="0076328E" w:rsidRDefault="0076328E" w:rsidP="0076328E">
            <w:pPr>
              <w:spacing w:after="0" w:line="240" w:lineRule="auto"/>
              <w:jc w:val="right"/>
              <w:rPr>
                <w:rFonts w:ascii="Arial" w:hAnsi="Arial" w:cs="Arial"/>
                <w:bCs/>
                <w:color w:val="000000"/>
                <w:sz w:val="16"/>
                <w:szCs w:val="16"/>
              </w:rPr>
            </w:pPr>
            <w:r w:rsidRPr="0076328E">
              <w:rPr>
                <w:rFonts w:ascii="Arial" w:hAnsi="Arial" w:cs="Arial"/>
                <w:bCs/>
                <w:color w:val="000000"/>
                <w:sz w:val="16"/>
                <w:szCs w:val="16"/>
              </w:rPr>
              <w:t>-</w:t>
            </w:r>
          </w:p>
        </w:tc>
        <w:tc>
          <w:tcPr>
            <w:tcW w:w="856" w:type="dxa"/>
            <w:tcBorders>
              <w:top w:val="nil"/>
              <w:left w:val="nil"/>
              <w:bottom w:val="nil"/>
              <w:right w:val="nil"/>
            </w:tcBorders>
            <w:shd w:val="clear" w:color="auto" w:fill="auto"/>
            <w:noWrap/>
            <w:vAlign w:val="bottom"/>
            <w:hideMark/>
          </w:tcPr>
          <w:p w14:paraId="2556099B" w14:textId="1859E65E" w:rsidR="0076328E" w:rsidRPr="0076328E" w:rsidRDefault="0076328E" w:rsidP="0076328E">
            <w:pPr>
              <w:spacing w:after="0" w:line="240" w:lineRule="auto"/>
              <w:jc w:val="right"/>
              <w:rPr>
                <w:rFonts w:ascii="Arial" w:hAnsi="Arial" w:cs="Arial"/>
                <w:color w:val="000000"/>
                <w:sz w:val="16"/>
                <w:szCs w:val="16"/>
              </w:rPr>
            </w:pPr>
            <w:r w:rsidRPr="0076328E">
              <w:rPr>
                <w:rFonts w:ascii="Arial" w:hAnsi="Arial" w:cs="Arial"/>
                <w:color w:val="000000"/>
                <w:sz w:val="16"/>
                <w:szCs w:val="16"/>
              </w:rPr>
              <w:t>72</w:t>
            </w:r>
          </w:p>
        </w:tc>
        <w:tc>
          <w:tcPr>
            <w:tcW w:w="856" w:type="dxa"/>
            <w:tcBorders>
              <w:top w:val="nil"/>
              <w:left w:val="nil"/>
              <w:bottom w:val="nil"/>
              <w:right w:val="nil"/>
            </w:tcBorders>
            <w:shd w:val="clear" w:color="auto" w:fill="auto"/>
            <w:noWrap/>
            <w:vAlign w:val="bottom"/>
            <w:hideMark/>
          </w:tcPr>
          <w:p w14:paraId="70BB3A93" w14:textId="4BE75B4C" w:rsidR="0076328E" w:rsidRPr="0076328E" w:rsidRDefault="0076328E" w:rsidP="0076328E">
            <w:pPr>
              <w:spacing w:after="0" w:line="240" w:lineRule="auto"/>
              <w:jc w:val="right"/>
              <w:rPr>
                <w:rFonts w:ascii="Arial" w:hAnsi="Arial" w:cs="Arial"/>
                <w:color w:val="000000"/>
                <w:sz w:val="16"/>
                <w:szCs w:val="16"/>
              </w:rPr>
            </w:pPr>
            <w:r w:rsidRPr="0076328E">
              <w:rPr>
                <w:rFonts w:ascii="Arial" w:hAnsi="Arial" w:cs="Arial"/>
                <w:color w:val="000000"/>
                <w:sz w:val="16"/>
                <w:szCs w:val="16"/>
              </w:rPr>
              <w:t>161</w:t>
            </w:r>
          </w:p>
        </w:tc>
      </w:tr>
      <w:tr w:rsidR="0076328E" w:rsidRPr="00B83A79" w14:paraId="2167281F" w14:textId="77777777" w:rsidTr="0076328E">
        <w:trPr>
          <w:trHeight w:val="204"/>
        </w:trPr>
        <w:tc>
          <w:tcPr>
            <w:tcW w:w="3036" w:type="dxa"/>
            <w:tcBorders>
              <w:top w:val="nil"/>
              <w:left w:val="nil"/>
              <w:bottom w:val="nil"/>
              <w:right w:val="nil"/>
            </w:tcBorders>
            <w:shd w:val="clear" w:color="auto" w:fill="auto"/>
            <w:noWrap/>
            <w:hideMark/>
          </w:tcPr>
          <w:p w14:paraId="2ADFD678" w14:textId="77777777" w:rsidR="0076328E" w:rsidRPr="00B83A79" w:rsidRDefault="0076328E" w:rsidP="0076328E">
            <w:pPr>
              <w:spacing w:after="0" w:line="240" w:lineRule="auto"/>
              <w:ind w:left="113"/>
              <w:jc w:val="left"/>
              <w:rPr>
                <w:rFonts w:ascii="Arial" w:hAnsi="Arial" w:cs="Arial"/>
                <w:b/>
                <w:bCs/>
                <w:color w:val="000000"/>
                <w:sz w:val="16"/>
                <w:szCs w:val="16"/>
              </w:rPr>
            </w:pPr>
            <w:r w:rsidRPr="00B83A79">
              <w:rPr>
                <w:rFonts w:ascii="Arial" w:hAnsi="Arial" w:cs="Arial"/>
                <w:b/>
                <w:bCs/>
                <w:color w:val="000000"/>
                <w:sz w:val="16"/>
                <w:szCs w:val="16"/>
              </w:rPr>
              <w:t xml:space="preserve">Special appropriations </w:t>
            </w:r>
          </w:p>
        </w:tc>
        <w:tc>
          <w:tcPr>
            <w:tcW w:w="866" w:type="dxa"/>
            <w:tcBorders>
              <w:top w:val="nil"/>
              <w:left w:val="nil"/>
              <w:bottom w:val="nil"/>
              <w:right w:val="nil"/>
            </w:tcBorders>
            <w:shd w:val="clear" w:color="auto" w:fill="auto"/>
            <w:noWrap/>
            <w:vAlign w:val="bottom"/>
            <w:hideMark/>
          </w:tcPr>
          <w:p w14:paraId="6833965A" w14:textId="77777777" w:rsidR="0076328E" w:rsidRPr="0076328E" w:rsidRDefault="0076328E" w:rsidP="0076328E">
            <w:pPr>
              <w:spacing w:after="0" w:line="240" w:lineRule="auto"/>
              <w:ind w:firstLineChars="100" w:firstLine="160"/>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hideMark/>
          </w:tcPr>
          <w:p w14:paraId="1E1BF5F4" w14:textId="05A64077" w:rsidR="0076328E" w:rsidRPr="0076328E" w:rsidRDefault="0076328E" w:rsidP="0076328E">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31B763C3" w14:textId="77777777" w:rsidR="0076328E" w:rsidRPr="0076328E" w:rsidRDefault="0076328E" w:rsidP="0076328E">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637B0CAD" w14:textId="77777777" w:rsidR="0076328E" w:rsidRPr="0076328E" w:rsidRDefault="0076328E" w:rsidP="0076328E">
            <w:pPr>
              <w:spacing w:after="0" w:line="240" w:lineRule="auto"/>
              <w:jc w:val="right"/>
              <w:rPr>
                <w:rFonts w:ascii="Times New Roman" w:hAnsi="Times New Roman"/>
                <w:sz w:val="16"/>
                <w:szCs w:val="16"/>
              </w:rPr>
            </w:pPr>
          </w:p>
        </w:tc>
        <w:tc>
          <w:tcPr>
            <w:tcW w:w="856" w:type="dxa"/>
            <w:tcBorders>
              <w:top w:val="nil"/>
              <w:left w:val="nil"/>
              <w:bottom w:val="nil"/>
              <w:right w:val="nil"/>
            </w:tcBorders>
            <w:shd w:val="clear" w:color="auto" w:fill="auto"/>
            <w:noWrap/>
            <w:vAlign w:val="bottom"/>
            <w:hideMark/>
          </w:tcPr>
          <w:p w14:paraId="02A224B7" w14:textId="77777777" w:rsidR="0076328E" w:rsidRPr="0076328E" w:rsidRDefault="0076328E" w:rsidP="0076328E">
            <w:pPr>
              <w:spacing w:after="0" w:line="240" w:lineRule="auto"/>
              <w:jc w:val="right"/>
              <w:rPr>
                <w:rFonts w:ascii="Times New Roman" w:hAnsi="Times New Roman"/>
                <w:sz w:val="16"/>
                <w:szCs w:val="16"/>
              </w:rPr>
            </w:pPr>
          </w:p>
        </w:tc>
      </w:tr>
      <w:tr w:rsidR="0076328E" w:rsidRPr="00B83A79" w14:paraId="26E58DEF" w14:textId="77777777" w:rsidTr="0076328E">
        <w:trPr>
          <w:trHeight w:val="204"/>
        </w:trPr>
        <w:tc>
          <w:tcPr>
            <w:tcW w:w="3036" w:type="dxa"/>
            <w:tcBorders>
              <w:top w:val="nil"/>
              <w:left w:val="nil"/>
              <w:bottom w:val="nil"/>
              <w:right w:val="nil"/>
            </w:tcBorders>
            <w:shd w:val="clear" w:color="auto" w:fill="auto"/>
            <w:noWrap/>
            <w:hideMark/>
          </w:tcPr>
          <w:p w14:paraId="0D7AE41D" w14:textId="77777777" w:rsidR="0076328E" w:rsidRPr="00B83A79" w:rsidRDefault="0076328E" w:rsidP="0076328E">
            <w:pPr>
              <w:spacing w:after="0" w:line="240" w:lineRule="auto"/>
              <w:ind w:left="227"/>
              <w:jc w:val="left"/>
              <w:rPr>
                <w:rFonts w:ascii="Arial" w:hAnsi="Arial" w:cs="Arial"/>
                <w:b/>
                <w:bCs/>
                <w:color w:val="000000"/>
                <w:sz w:val="16"/>
                <w:szCs w:val="16"/>
              </w:rPr>
            </w:pPr>
            <w:r w:rsidRPr="00B83A79">
              <w:rPr>
                <w:rFonts w:ascii="Arial" w:hAnsi="Arial" w:cs="Arial"/>
                <w:b/>
                <w:bCs/>
                <w:color w:val="000000"/>
                <w:sz w:val="16"/>
                <w:szCs w:val="16"/>
              </w:rPr>
              <w:t>Other Variations</w:t>
            </w:r>
          </w:p>
        </w:tc>
        <w:tc>
          <w:tcPr>
            <w:tcW w:w="866" w:type="dxa"/>
            <w:tcBorders>
              <w:top w:val="nil"/>
              <w:left w:val="nil"/>
              <w:bottom w:val="nil"/>
              <w:right w:val="nil"/>
            </w:tcBorders>
            <w:shd w:val="clear" w:color="auto" w:fill="auto"/>
            <w:noWrap/>
            <w:vAlign w:val="bottom"/>
            <w:hideMark/>
          </w:tcPr>
          <w:p w14:paraId="3E8DF584" w14:textId="77777777" w:rsidR="0076328E" w:rsidRPr="0076328E" w:rsidRDefault="0076328E" w:rsidP="0076328E">
            <w:pPr>
              <w:spacing w:after="0" w:line="240" w:lineRule="auto"/>
              <w:ind w:firstLineChars="300" w:firstLine="480"/>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hideMark/>
          </w:tcPr>
          <w:p w14:paraId="67109FA5" w14:textId="5603BE24" w:rsidR="0076328E" w:rsidRPr="0076328E" w:rsidRDefault="0076328E" w:rsidP="0076328E">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tcPr>
          <w:p w14:paraId="03C95CDB" w14:textId="072E815F" w:rsidR="0076328E" w:rsidRPr="0076328E" w:rsidRDefault="0076328E" w:rsidP="0076328E">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tcPr>
          <w:p w14:paraId="5EFBDDDA" w14:textId="20195715" w:rsidR="0076328E" w:rsidRPr="0076328E" w:rsidRDefault="0076328E" w:rsidP="0076328E">
            <w:pPr>
              <w:spacing w:after="0" w:line="240" w:lineRule="auto"/>
              <w:jc w:val="right"/>
              <w:rPr>
                <w:rFonts w:ascii="Times New Roman" w:hAnsi="Times New Roman"/>
                <w:sz w:val="16"/>
                <w:szCs w:val="16"/>
              </w:rPr>
            </w:pPr>
          </w:p>
        </w:tc>
        <w:tc>
          <w:tcPr>
            <w:tcW w:w="856" w:type="dxa"/>
            <w:tcBorders>
              <w:top w:val="nil"/>
              <w:left w:val="nil"/>
              <w:bottom w:val="nil"/>
              <w:right w:val="nil"/>
            </w:tcBorders>
            <w:shd w:val="clear" w:color="auto" w:fill="auto"/>
            <w:noWrap/>
            <w:vAlign w:val="bottom"/>
          </w:tcPr>
          <w:p w14:paraId="7F7AD90C" w14:textId="3F89AF5D" w:rsidR="0076328E" w:rsidRPr="0076328E" w:rsidRDefault="0076328E" w:rsidP="0076328E">
            <w:pPr>
              <w:spacing w:after="0" w:line="240" w:lineRule="auto"/>
              <w:jc w:val="right"/>
              <w:rPr>
                <w:rFonts w:ascii="Times New Roman" w:hAnsi="Times New Roman"/>
                <w:sz w:val="16"/>
                <w:szCs w:val="16"/>
              </w:rPr>
            </w:pPr>
          </w:p>
        </w:tc>
      </w:tr>
      <w:tr w:rsidR="0076328E" w:rsidRPr="00B83A79" w14:paraId="453B582C" w14:textId="77777777" w:rsidTr="0076328E">
        <w:trPr>
          <w:trHeight w:val="204"/>
        </w:trPr>
        <w:tc>
          <w:tcPr>
            <w:tcW w:w="3036" w:type="dxa"/>
            <w:tcBorders>
              <w:top w:val="nil"/>
              <w:left w:val="nil"/>
              <w:bottom w:val="nil"/>
              <w:right w:val="nil"/>
            </w:tcBorders>
            <w:shd w:val="clear" w:color="auto" w:fill="auto"/>
            <w:noWrap/>
            <w:hideMark/>
          </w:tcPr>
          <w:p w14:paraId="4F82C4F1" w14:textId="4CB543A6" w:rsidR="0076328E" w:rsidRPr="00B83A79" w:rsidRDefault="0076328E" w:rsidP="003B4729">
            <w:pPr>
              <w:spacing w:after="0" w:line="240" w:lineRule="auto"/>
              <w:ind w:left="340"/>
              <w:jc w:val="left"/>
              <w:rPr>
                <w:rFonts w:ascii="Arial" w:hAnsi="Arial" w:cs="Arial"/>
                <w:color w:val="000000"/>
                <w:sz w:val="16"/>
                <w:szCs w:val="16"/>
              </w:rPr>
            </w:pPr>
            <w:r>
              <w:rPr>
                <w:rFonts w:ascii="Arial" w:hAnsi="Arial" w:cs="Arial"/>
                <w:color w:val="000000"/>
                <w:sz w:val="16"/>
                <w:szCs w:val="16"/>
              </w:rPr>
              <w:t>Reduction in aviation fuel receipts</w:t>
            </w:r>
          </w:p>
        </w:tc>
        <w:tc>
          <w:tcPr>
            <w:tcW w:w="866" w:type="dxa"/>
            <w:tcBorders>
              <w:top w:val="nil"/>
              <w:left w:val="nil"/>
              <w:bottom w:val="nil"/>
              <w:right w:val="nil"/>
            </w:tcBorders>
            <w:shd w:val="clear" w:color="auto" w:fill="auto"/>
            <w:noWrap/>
            <w:vAlign w:val="bottom"/>
            <w:hideMark/>
          </w:tcPr>
          <w:p w14:paraId="66CA3774" w14:textId="01FDD53C" w:rsidR="0076328E" w:rsidRPr="0076328E" w:rsidRDefault="0076328E" w:rsidP="0076328E">
            <w:pPr>
              <w:spacing w:after="0" w:line="240" w:lineRule="auto"/>
              <w:ind w:firstLineChars="200" w:firstLine="320"/>
              <w:jc w:val="center"/>
              <w:rPr>
                <w:rFonts w:ascii="Arial" w:hAnsi="Arial" w:cs="Arial"/>
                <w:color w:val="000000"/>
                <w:sz w:val="16"/>
                <w:szCs w:val="16"/>
              </w:rPr>
            </w:pPr>
            <w:r>
              <w:rPr>
                <w:rFonts w:ascii="Arial" w:hAnsi="Arial" w:cs="Arial"/>
                <w:color w:val="000000"/>
                <w:sz w:val="16"/>
                <w:szCs w:val="16"/>
              </w:rPr>
              <w:t>1.1</w:t>
            </w:r>
          </w:p>
        </w:tc>
        <w:tc>
          <w:tcPr>
            <w:tcW w:w="859" w:type="dxa"/>
            <w:tcBorders>
              <w:top w:val="nil"/>
              <w:left w:val="nil"/>
              <w:bottom w:val="nil"/>
              <w:right w:val="nil"/>
            </w:tcBorders>
            <w:shd w:val="clear" w:color="000000" w:fill="E6E6E6"/>
            <w:noWrap/>
            <w:vAlign w:val="bottom"/>
            <w:hideMark/>
          </w:tcPr>
          <w:p w14:paraId="76BE382D" w14:textId="1134628C" w:rsidR="0076328E" w:rsidRPr="0076328E" w:rsidRDefault="0076328E" w:rsidP="0076328E">
            <w:pPr>
              <w:spacing w:after="0" w:line="240" w:lineRule="auto"/>
              <w:jc w:val="right"/>
              <w:rPr>
                <w:rFonts w:ascii="Arial" w:hAnsi="Arial" w:cs="Arial"/>
                <w:sz w:val="16"/>
                <w:szCs w:val="16"/>
              </w:rPr>
            </w:pPr>
            <w:r w:rsidRPr="0076328E">
              <w:rPr>
                <w:rFonts w:ascii="Arial" w:hAnsi="Arial" w:cs="Arial"/>
                <w:sz w:val="16"/>
                <w:szCs w:val="16"/>
              </w:rPr>
              <w:t>(31,600)</w:t>
            </w:r>
          </w:p>
        </w:tc>
        <w:tc>
          <w:tcPr>
            <w:tcW w:w="856" w:type="dxa"/>
            <w:tcBorders>
              <w:top w:val="nil"/>
              <w:left w:val="nil"/>
              <w:bottom w:val="nil"/>
              <w:right w:val="nil"/>
            </w:tcBorders>
            <w:shd w:val="clear" w:color="auto" w:fill="auto"/>
            <w:noWrap/>
            <w:vAlign w:val="bottom"/>
            <w:hideMark/>
          </w:tcPr>
          <w:p w14:paraId="7A7E0AC8" w14:textId="75B44118" w:rsidR="0076328E" w:rsidRPr="0076328E" w:rsidRDefault="0076328E" w:rsidP="0076328E">
            <w:pPr>
              <w:spacing w:after="0" w:line="240" w:lineRule="auto"/>
              <w:jc w:val="right"/>
              <w:rPr>
                <w:rFonts w:ascii="Arial" w:hAnsi="Arial" w:cs="Arial"/>
                <w:sz w:val="16"/>
                <w:szCs w:val="16"/>
              </w:rPr>
            </w:pPr>
            <w:r w:rsidRPr="0076328E">
              <w:rPr>
                <w:rFonts w:ascii="Arial" w:hAnsi="Arial" w:cs="Arial"/>
                <w:bCs/>
                <w:color w:val="000000"/>
                <w:sz w:val="16"/>
                <w:szCs w:val="16"/>
              </w:rPr>
              <w:t>-</w:t>
            </w:r>
          </w:p>
        </w:tc>
        <w:tc>
          <w:tcPr>
            <w:tcW w:w="856" w:type="dxa"/>
            <w:tcBorders>
              <w:top w:val="nil"/>
              <w:left w:val="nil"/>
              <w:bottom w:val="nil"/>
              <w:right w:val="nil"/>
            </w:tcBorders>
            <w:shd w:val="clear" w:color="auto" w:fill="auto"/>
            <w:noWrap/>
            <w:vAlign w:val="bottom"/>
            <w:hideMark/>
          </w:tcPr>
          <w:p w14:paraId="5070A559" w14:textId="1F323420" w:rsidR="0076328E" w:rsidRPr="0076328E" w:rsidRDefault="0076328E" w:rsidP="0076328E">
            <w:pPr>
              <w:spacing w:after="0" w:line="240" w:lineRule="auto"/>
              <w:jc w:val="right"/>
              <w:rPr>
                <w:rFonts w:ascii="Times New Roman" w:hAnsi="Times New Roman"/>
                <w:sz w:val="16"/>
                <w:szCs w:val="16"/>
              </w:rPr>
            </w:pPr>
            <w:r w:rsidRPr="0076328E">
              <w:rPr>
                <w:rFonts w:ascii="Arial" w:hAnsi="Arial" w:cs="Arial"/>
                <w:bCs/>
                <w:color w:val="000000"/>
                <w:sz w:val="16"/>
                <w:szCs w:val="16"/>
              </w:rPr>
              <w:t>-</w:t>
            </w:r>
          </w:p>
        </w:tc>
        <w:tc>
          <w:tcPr>
            <w:tcW w:w="856" w:type="dxa"/>
            <w:tcBorders>
              <w:top w:val="nil"/>
              <w:left w:val="nil"/>
              <w:bottom w:val="nil"/>
              <w:right w:val="nil"/>
            </w:tcBorders>
            <w:shd w:val="clear" w:color="auto" w:fill="auto"/>
            <w:noWrap/>
            <w:vAlign w:val="bottom"/>
            <w:hideMark/>
          </w:tcPr>
          <w:p w14:paraId="0C842991" w14:textId="64067395" w:rsidR="0076328E" w:rsidRPr="0076328E" w:rsidRDefault="0076328E" w:rsidP="0076328E">
            <w:pPr>
              <w:spacing w:after="0" w:line="240" w:lineRule="auto"/>
              <w:jc w:val="right"/>
              <w:rPr>
                <w:rFonts w:ascii="Times New Roman" w:hAnsi="Times New Roman"/>
                <w:sz w:val="16"/>
                <w:szCs w:val="16"/>
              </w:rPr>
            </w:pPr>
            <w:r w:rsidRPr="0076328E">
              <w:rPr>
                <w:rFonts w:ascii="Arial" w:hAnsi="Arial" w:cs="Arial"/>
                <w:bCs/>
                <w:color w:val="000000"/>
                <w:sz w:val="16"/>
                <w:szCs w:val="16"/>
              </w:rPr>
              <w:t>-</w:t>
            </w:r>
          </w:p>
        </w:tc>
      </w:tr>
      <w:tr w:rsidR="0076328E" w:rsidRPr="00B83A79" w14:paraId="4E114A74" w14:textId="77777777" w:rsidTr="0076328E">
        <w:trPr>
          <w:trHeight w:val="204"/>
        </w:trPr>
        <w:tc>
          <w:tcPr>
            <w:tcW w:w="3036" w:type="dxa"/>
            <w:tcBorders>
              <w:top w:val="nil"/>
              <w:left w:val="nil"/>
              <w:bottom w:val="nil"/>
              <w:right w:val="nil"/>
            </w:tcBorders>
            <w:shd w:val="clear" w:color="auto" w:fill="auto"/>
            <w:hideMark/>
          </w:tcPr>
          <w:p w14:paraId="10B2682E" w14:textId="24336513" w:rsidR="0076328E" w:rsidRPr="00B83A79" w:rsidRDefault="0076328E" w:rsidP="0076328E">
            <w:pPr>
              <w:spacing w:after="0" w:line="240" w:lineRule="auto"/>
              <w:jc w:val="left"/>
              <w:rPr>
                <w:rFonts w:ascii="Arial" w:hAnsi="Arial" w:cs="Arial"/>
                <w:b/>
                <w:bCs/>
                <w:color w:val="000000"/>
                <w:sz w:val="16"/>
                <w:szCs w:val="16"/>
              </w:rPr>
            </w:pPr>
            <w:r w:rsidRPr="00B83A79">
              <w:rPr>
                <w:rFonts w:ascii="Arial" w:hAnsi="Arial" w:cs="Arial"/>
                <w:b/>
                <w:bCs/>
                <w:color w:val="000000"/>
                <w:sz w:val="16"/>
                <w:szCs w:val="16"/>
              </w:rPr>
              <w:t>Net impact on appropriations for</w:t>
            </w:r>
            <w:r>
              <w:rPr>
                <w:rFonts w:ascii="Arial" w:hAnsi="Arial" w:cs="Arial"/>
                <w:b/>
                <w:bCs/>
                <w:color w:val="000000"/>
                <w:sz w:val="16"/>
                <w:szCs w:val="16"/>
              </w:rPr>
              <w:t xml:space="preserve"> </w:t>
            </w:r>
            <w:r w:rsidRPr="00B83A79">
              <w:rPr>
                <w:rFonts w:ascii="Arial" w:hAnsi="Arial" w:cs="Arial"/>
                <w:b/>
                <w:bCs/>
                <w:color w:val="000000"/>
                <w:sz w:val="16"/>
                <w:szCs w:val="16"/>
              </w:rPr>
              <w:t>Outcome 1 (</w:t>
            </w:r>
            <w:r w:rsidR="008863D9">
              <w:rPr>
                <w:rFonts w:ascii="Arial" w:hAnsi="Arial" w:cs="Arial"/>
                <w:b/>
                <w:bCs/>
                <w:color w:val="000000"/>
                <w:sz w:val="16"/>
                <w:szCs w:val="16"/>
              </w:rPr>
              <w:t>Department</w:t>
            </w:r>
            <w:r w:rsidRPr="00B83A79">
              <w:rPr>
                <w:rFonts w:ascii="Arial" w:hAnsi="Arial" w:cs="Arial"/>
                <w:b/>
                <w:bCs/>
                <w:color w:val="000000"/>
                <w:sz w:val="16"/>
                <w:szCs w:val="16"/>
              </w:rPr>
              <w:t>al)</w:t>
            </w:r>
          </w:p>
        </w:tc>
        <w:tc>
          <w:tcPr>
            <w:tcW w:w="866" w:type="dxa"/>
            <w:tcBorders>
              <w:top w:val="nil"/>
              <w:left w:val="nil"/>
              <w:bottom w:val="nil"/>
              <w:right w:val="nil"/>
            </w:tcBorders>
            <w:shd w:val="clear" w:color="auto" w:fill="auto"/>
            <w:noWrap/>
            <w:vAlign w:val="bottom"/>
            <w:hideMark/>
          </w:tcPr>
          <w:p w14:paraId="2753582C" w14:textId="77777777" w:rsidR="0076328E" w:rsidRPr="0076328E" w:rsidRDefault="0076328E" w:rsidP="0076328E">
            <w:pPr>
              <w:spacing w:after="0" w:line="240" w:lineRule="auto"/>
              <w:jc w:val="right"/>
              <w:rPr>
                <w:rFonts w:ascii="Arial" w:hAnsi="Arial" w:cs="Arial"/>
                <w:b/>
                <w:bCs/>
                <w:color w:val="000000"/>
                <w:sz w:val="16"/>
                <w:szCs w:val="16"/>
              </w:rPr>
            </w:pPr>
          </w:p>
        </w:tc>
        <w:tc>
          <w:tcPr>
            <w:tcW w:w="859" w:type="dxa"/>
            <w:tcBorders>
              <w:top w:val="single" w:sz="4" w:space="0" w:color="auto"/>
              <w:left w:val="nil"/>
              <w:bottom w:val="single" w:sz="4" w:space="0" w:color="auto"/>
              <w:right w:val="nil"/>
            </w:tcBorders>
            <w:shd w:val="clear" w:color="000000" w:fill="E6E6E6"/>
            <w:noWrap/>
            <w:vAlign w:val="bottom"/>
            <w:hideMark/>
          </w:tcPr>
          <w:p w14:paraId="436A50F3" w14:textId="77777777" w:rsidR="0076328E" w:rsidRPr="0076328E" w:rsidRDefault="0076328E" w:rsidP="0076328E">
            <w:pPr>
              <w:spacing w:after="0" w:line="240" w:lineRule="auto"/>
              <w:jc w:val="right"/>
              <w:rPr>
                <w:rFonts w:ascii="Arial" w:hAnsi="Arial" w:cs="Arial"/>
                <w:b/>
                <w:bCs/>
                <w:sz w:val="16"/>
                <w:szCs w:val="16"/>
              </w:rPr>
            </w:pPr>
            <w:r w:rsidRPr="0076328E">
              <w:rPr>
                <w:rFonts w:ascii="Arial" w:hAnsi="Arial" w:cs="Arial"/>
                <w:b/>
                <w:bCs/>
                <w:sz w:val="16"/>
                <w:szCs w:val="16"/>
              </w:rPr>
              <w:t>(11,600)</w:t>
            </w:r>
          </w:p>
        </w:tc>
        <w:tc>
          <w:tcPr>
            <w:tcW w:w="856" w:type="dxa"/>
            <w:tcBorders>
              <w:top w:val="single" w:sz="4" w:space="0" w:color="auto"/>
              <w:left w:val="nil"/>
              <w:bottom w:val="single" w:sz="4" w:space="0" w:color="auto"/>
              <w:right w:val="nil"/>
            </w:tcBorders>
            <w:shd w:val="clear" w:color="auto" w:fill="auto"/>
            <w:noWrap/>
            <w:vAlign w:val="bottom"/>
            <w:hideMark/>
          </w:tcPr>
          <w:p w14:paraId="60B04042" w14:textId="21B55E71" w:rsidR="0076328E" w:rsidRPr="0076328E" w:rsidRDefault="0076328E" w:rsidP="0076328E">
            <w:pPr>
              <w:spacing w:after="0" w:line="240" w:lineRule="auto"/>
              <w:jc w:val="right"/>
              <w:rPr>
                <w:rFonts w:ascii="Arial" w:hAnsi="Arial" w:cs="Arial"/>
                <w:b/>
                <w:bCs/>
                <w:color w:val="000000"/>
                <w:sz w:val="16"/>
                <w:szCs w:val="16"/>
              </w:rPr>
            </w:pPr>
            <w:r w:rsidRPr="0076328E">
              <w:rPr>
                <w:rFonts w:ascii="Arial" w:hAnsi="Arial" w:cs="Arial"/>
                <w:b/>
                <w:bCs/>
                <w:color w:val="000000"/>
                <w:sz w:val="16"/>
                <w:szCs w:val="16"/>
              </w:rPr>
              <w:t>-</w:t>
            </w:r>
          </w:p>
        </w:tc>
        <w:tc>
          <w:tcPr>
            <w:tcW w:w="856" w:type="dxa"/>
            <w:tcBorders>
              <w:top w:val="single" w:sz="4" w:space="0" w:color="auto"/>
              <w:left w:val="nil"/>
              <w:bottom w:val="single" w:sz="4" w:space="0" w:color="auto"/>
              <w:right w:val="nil"/>
            </w:tcBorders>
            <w:shd w:val="clear" w:color="auto" w:fill="auto"/>
            <w:noWrap/>
            <w:vAlign w:val="bottom"/>
            <w:hideMark/>
          </w:tcPr>
          <w:p w14:paraId="649E16D7" w14:textId="45F4D6C3" w:rsidR="0076328E" w:rsidRPr="0076328E" w:rsidRDefault="0076328E" w:rsidP="0076328E">
            <w:pPr>
              <w:spacing w:after="0" w:line="240" w:lineRule="auto"/>
              <w:jc w:val="right"/>
              <w:rPr>
                <w:rFonts w:ascii="Arial" w:hAnsi="Arial" w:cs="Arial"/>
                <w:b/>
                <w:bCs/>
                <w:color w:val="000000"/>
                <w:sz w:val="16"/>
                <w:szCs w:val="16"/>
              </w:rPr>
            </w:pPr>
            <w:r w:rsidRPr="0076328E">
              <w:rPr>
                <w:rFonts w:ascii="Arial" w:hAnsi="Arial" w:cs="Arial"/>
                <w:b/>
                <w:bCs/>
                <w:color w:val="000000"/>
                <w:sz w:val="16"/>
                <w:szCs w:val="16"/>
              </w:rPr>
              <w:t>72</w:t>
            </w:r>
          </w:p>
        </w:tc>
        <w:tc>
          <w:tcPr>
            <w:tcW w:w="856" w:type="dxa"/>
            <w:tcBorders>
              <w:top w:val="single" w:sz="4" w:space="0" w:color="auto"/>
              <w:left w:val="nil"/>
              <w:bottom w:val="single" w:sz="4" w:space="0" w:color="auto"/>
              <w:right w:val="nil"/>
            </w:tcBorders>
            <w:shd w:val="clear" w:color="auto" w:fill="auto"/>
            <w:noWrap/>
            <w:vAlign w:val="bottom"/>
            <w:hideMark/>
          </w:tcPr>
          <w:p w14:paraId="1FDF2168" w14:textId="5CDFDC24" w:rsidR="0076328E" w:rsidRPr="0076328E" w:rsidRDefault="0076328E" w:rsidP="0076328E">
            <w:pPr>
              <w:spacing w:after="0" w:line="240" w:lineRule="auto"/>
              <w:jc w:val="right"/>
              <w:rPr>
                <w:rFonts w:ascii="Arial" w:hAnsi="Arial" w:cs="Arial"/>
                <w:b/>
                <w:bCs/>
                <w:color w:val="000000"/>
                <w:sz w:val="16"/>
                <w:szCs w:val="16"/>
              </w:rPr>
            </w:pPr>
            <w:r w:rsidRPr="0076328E">
              <w:rPr>
                <w:rFonts w:ascii="Arial" w:hAnsi="Arial" w:cs="Arial"/>
                <w:b/>
                <w:bCs/>
                <w:color w:val="000000"/>
                <w:sz w:val="16"/>
                <w:szCs w:val="16"/>
              </w:rPr>
              <w:t>161</w:t>
            </w:r>
          </w:p>
        </w:tc>
      </w:tr>
      <w:tr w:rsidR="0076328E" w:rsidRPr="00B83A79" w14:paraId="34772284" w14:textId="77777777" w:rsidTr="0076328E">
        <w:trPr>
          <w:trHeight w:val="204"/>
        </w:trPr>
        <w:tc>
          <w:tcPr>
            <w:tcW w:w="3036" w:type="dxa"/>
            <w:tcBorders>
              <w:top w:val="nil"/>
              <w:left w:val="nil"/>
              <w:bottom w:val="single" w:sz="4" w:space="0" w:color="auto"/>
              <w:right w:val="nil"/>
            </w:tcBorders>
            <w:shd w:val="clear" w:color="auto" w:fill="auto"/>
            <w:hideMark/>
          </w:tcPr>
          <w:p w14:paraId="08621C69" w14:textId="29C57FAE" w:rsidR="0076328E" w:rsidRPr="00B83A79" w:rsidRDefault="0076328E" w:rsidP="0076328E">
            <w:pPr>
              <w:spacing w:after="0" w:line="240" w:lineRule="auto"/>
              <w:jc w:val="left"/>
              <w:rPr>
                <w:rFonts w:ascii="Arial" w:hAnsi="Arial" w:cs="Arial"/>
                <w:b/>
                <w:bCs/>
                <w:color w:val="000000"/>
                <w:sz w:val="16"/>
                <w:szCs w:val="16"/>
              </w:rPr>
            </w:pPr>
            <w:r w:rsidRPr="00B83A79">
              <w:rPr>
                <w:rFonts w:ascii="Arial" w:hAnsi="Arial" w:cs="Arial"/>
                <w:b/>
                <w:bCs/>
                <w:color w:val="000000"/>
                <w:sz w:val="16"/>
                <w:szCs w:val="16"/>
              </w:rPr>
              <w:t>Total net impact on appropriations</w:t>
            </w:r>
            <w:r>
              <w:rPr>
                <w:rFonts w:ascii="Arial" w:hAnsi="Arial" w:cs="Arial"/>
                <w:b/>
                <w:bCs/>
                <w:color w:val="000000"/>
                <w:sz w:val="16"/>
                <w:szCs w:val="16"/>
              </w:rPr>
              <w:t xml:space="preserve"> </w:t>
            </w:r>
            <w:r w:rsidRPr="00B83A79">
              <w:rPr>
                <w:rFonts w:ascii="Arial" w:hAnsi="Arial" w:cs="Arial"/>
                <w:b/>
                <w:bCs/>
                <w:color w:val="000000"/>
                <w:sz w:val="16"/>
                <w:szCs w:val="16"/>
              </w:rPr>
              <w:t>for Outcome 1</w:t>
            </w:r>
          </w:p>
        </w:tc>
        <w:tc>
          <w:tcPr>
            <w:tcW w:w="866" w:type="dxa"/>
            <w:tcBorders>
              <w:top w:val="nil"/>
              <w:left w:val="nil"/>
              <w:bottom w:val="single" w:sz="4" w:space="0" w:color="auto"/>
              <w:right w:val="nil"/>
            </w:tcBorders>
            <w:shd w:val="clear" w:color="auto" w:fill="auto"/>
            <w:noWrap/>
            <w:vAlign w:val="bottom"/>
            <w:hideMark/>
          </w:tcPr>
          <w:p w14:paraId="36E89A92" w14:textId="130D4119" w:rsidR="0076328E" w:rsidRPr="0076328E" w:rsidRDefault="0076328E" w:rsidP="0076328E">
            <w:pPr>
              <w:spacing w:after="0" w:line="240" w:lineRule="auto"/>
              <w:jc w:val="right"/>
              <w:rPr>
                <w:rFonts w:ascii="Arial" w:hAnsi="Arial" w:cs="Arial"/>
                <w:color w:val="000000"/>
                <w:sz w:val="16"/>
                <w:szCs w:val="16"/>
              </w:rPr>
            </w:pPr>
          </w:p>
        </w:tc>
        <w:tc>
          <w:tcPr>
            <w:tcW w:w="859" w:type="dxa"/>
            <w:tcBorders>
              <w:top w:val="nil"/>
              <w:left w:val="nil"/>
              <w:bottom w:val="single" w:sz="4" w:space="0" w:color="auto"/>
              <w:right w:val="nil"/>
            </w:tcBorders>
            <w:shd w:val="clear" w:color="000000" w:fill="E6E6E6"/>
            <w:noWrap/>
            <w:vAlign w:val="bottom"/>
            <w:hideMark/>
          </w:tcPr>
          <w:p w14:paraId="147EB63F" w14:textId="77777777" w:rsidR="0076328E" w:rsidRPr="0076328E" w:rsidRDefault="0076328E" w:rsidP="0076328E">
            <w:pPr>
              <w:spacing w:after="0" w:line="240" w:lineRule="auto"/>
              <w:jc w:val="right"/>
              <w:rPr>
                <w:rFonts w:ascii="Arial" w:hAnsi="Arial" w:cs="Arial"/>
                <w:b/>
                <w:bCs/>
                <w:sz w:val="16"/>
                <w:szCs w:val="16"/>
              </w:rPr>
            </w:pPr>
            <w:r w:rsidRPr="0076328E">
              <w:rPr>
                <w:rFonts w:ascii="Arial" w:hAnsi="Arial" w:cs="Arial"/>
                <w:b/>
                <w:bCs/>
                <w:sz w:val="16"/>
                <w:szCs w:val="16"/>
              </w:rPr>
              <w:t>(11,600)</w:t>
            </w:r>
          </w:p>
        </w:tc>
        <w:tc>
          <w:tcPr>
            <w:tcW w:w="856" w:type="dxa"/>
            <w:tcBorders>
              <w:top w:val="nil"/>
              <w:left w:val="nil"/>
              <w:bottom w:val="single" w:sz="4" w:space="0" w:color="auto"/>
              <w:right w:val="nil"/>
            </w:tcBorders>
            <w:shd w:val="clear" w:color="auto" w:fill="auto"/>
            <w:noWrap/>
            <w:vAlign w:val="bottom"/>
            <w:hideMark/>
          </w:tcPr>
          <w:p w14:paraId="5C22553E" w14:textId="7E8724C2" w:rsidR="0076328E" w:rsidRPr="0076328E" w:rsidRDefault="0076328E" w:rsidP="0076328E">
            <w:pPr>
              <w:spacing w:after="0" w:line="240" w:lineRule="auto"/>
              <w:jc w:val="right"/>
              <w:rPr>
                <w:rFonts w:ascii="Arial" w:hAnsi="Arial" w:cs="Arial"/>
                <w:b/>
                <w:bCs/>
                <w:color w:val="000000"/>
                <w:sz w:val="16"/>
                <w:szCs w:val="16"/>
              </w:rPr>
            </w:pPr>
            <w:r w:rsidRPr="0076328E">
              <w:rPr>
                <w:rFonts w:ascii="Arial" w:hAnsi="Arial" w:cs="Arial"/>
                <w:b/>
                <w:bCs/>
                <w:color w:val="000000"/>
                <w:sz w:val="16"/>
                <w:szCs w:val="16"/>
              </w:rPr>
              <w:t>-</w:t>
            </w:r>
          </w:p>
        </w:tc>
        <w:tc>
          <w:tcPr>
            <w:tcW w:w="856" w:type="dxa"/>
            <w:tcBorders>
              <w:top w:val="nil"/>
              <w:left w:val="nil"/>
              <w:bottom w:val="single" w:sz="4" w:space="0" w:color="auto"/>
              <w:right w:val="nil"/>
            </w:tcBorders>
            <w:shd w:val="clear" w:color="auto" w:fill="auto"/>
            <w:noWrap/>
            <w:vAlign w:val="bottom"/>
            <w:hideMark/>
          </w:tcPr>
          <w:p w14:paraId="2C2D1ADE" w14:textId="219A2E06" w:rsidR="0076328E" w:rsidRPr="0076328E" w:rsidRDefault="0076328E" w:rsidP="0076328E">
            <w:pPr>
              <w:spacing w:after="0" w:line="240" w:lineRule="auto"/>
              <w:jc w:val="right"/>
              <w:rPr>
                <w:rFonts w:ascii="Arial" w:hAnsi="Arial" w:cs="Arial"/>
                <w:b/>
                <w:bCs/>
                <w:color w:val="000000"/>
                <w:sz w:val="16"/>
                <w:szCs w:val="16"/>
              </w:rPr>
            </w:pPr>
            <w:r w:rsidRPr="0076328E">
              <w:rPr>
                <w:rFonts w:ascii="Arial" w:hAnsi="Arial" w:cs="Arial"/>
                <w:b/>
                <w:bCs/>
                <w:color w:val="000000"/>
                <w:sz w:val="16"/>
                <w:szCs w:val="16"/>
              </w:rPr>
              <w:t>72</w:t>
            </w:r>
          </w:p>
        </w:tc>
        <w:tc>
          <w:tcPr>
            <w:tcW w:w="856" w:type="dxa"/>
            <w:tcBorders>
              <w:top w:val="nil"/>
              <w:left w:val="nil"/>
              <w:bottom w:val="single" w:sz="4" w:space="0" w:color="auto"/>
              <w:right w:val="nil"/>
            </w:tcBorders>
            <w:shd w:val="clear" w:color="auto" w:fill="auto"/>
            <w:noWrap/>
            <w:vAlign w:val="bottom"/>
            <w:hideMark/>
          </w:tcPr>
          <w:p w14:paraId="596C8D57" w14:textId="32E46649" w:rsidR="0076328E" w:rsidRPr="0076328E" w:rsidRDefault="0076328E" w:rsidP="0076328E">
            <w:pPr>
              <w:spacing w:after="0" w:line="240" w:lineRule="auto"/>
              <w:jc w:val="right"/>
              <w:rPr>
                <w:rFonts w:ascii="Arial" w:hAnsi="Arial" w:cs="Arial"/>
                <w:b/>
                <w:bCs/>
                <w:color w:val="000000"/>
                <w:sz w:val="16"/>
                <w:szCs w:val="16"/>
              </w:rPr>
            </w:pPr>
            <w:r w:rsidRPr="0076328E">
              <w:rPr>
                <w:rFonts w:ascii="Arial" w:hAnsi="Arial" w:cs="Arial"/>
                <w:b/>
                <w:bCs/>
                <w:color w:val="000000"/>
                <w:sz w:val="16"/>
                <w:szCs w:val="16"/>
              </w:rPr>
              <w:t>161</w:t>
            </w:r>
          </w:p>
        </w:tc>
      </w:tr>
    </w:tbl>
    <w:p w14:paraId="0D4982EF" w14:textId="4D820F98" w:rsidR="00C17040" w:rsidRDefault="00C17040" w:rsidP="000708D5">
      <w:pPr>
        <w:spacing w:before="60" w:after="0"/>
        <w:jc w:val="left"/>
        <w:rPr>
          <w:rFonts w:ascii="Arial" w:hAnsi="Arial"/>
          <w:sz w:val="16"/>
        </w:rPr>
      </w:pPr>
      <w:r w:rsidRPr="00D948BC">
        <w:rPr>
          <w:rFonts w:ascii="Arial" w:hAnsi="Arial"/>
          <w:sz w:val="16"/>
        </w:rPr>
        <w:t>Prepared on a resourcing (i.e. appropriations available) basis.</w:t>
      </w:r>
    </w:p>
    <w:p w14:paraId="119D05E6" w14:textId="1DB900B4" w:rsidR="00D57315" w:rsidRDefault="00D57315" w:rsidP="00B83A79">
      <w:pPr>
        <w:spacing w:before="60" w:after="0"/>
        <w:rPr>
          <w:rFonts w:ascii="Arial" w:hAnsi="Arial"/>
          <w:sz w:val="16"/>
        </w:rPr>
      </w:pPr>
    </w:p>
    <w:p w14:paraId="47B63CAB" w14:textId="77777777" w:rsidR="00D47D34" w:rsidRDefault="00D47D34">
      <w:pPr>
        <w:spacing w:after="0" w:line="240" w:lineRule="auto"/>
        <w:jc w:val="left"/>
        <w:rPr>
          <w:rFonts w:ascii="Arial Bold" w:hAnsi="Arial Bold"/>
          <w:b/>
          <w:sz w:val="22"/>
        </w:rPr>
      </w:pPr>
      <w:bookmarkStart w:id="411" w:name="_Toc93930021"/>
      <w:r>
        <w:br w:type="page"/>
      </w:r>
    </w:p>
    <w:p w14:paraId="5830C198" w14:textId="2C97697A" w:rsidR="00C17040" w:rsidRPr="00564C0F" w:rsidRDefault="00C17040" w:rsidP="00886877">
      <w:pPr>
        <w:pStyle w:val="Heading3CASA"/>
      </w:pPr>
      <w:r>
        <w:rPr>
          <w:lang w:val="en-AU"/>
        </w:rPr>
        <w:lastRenderedPageBreak/>
        <w:t>1</w:t>
      </w:r>
      <w:r>
        <w:t>.</w:t>
      </w:r>
      <w:r>
        <w:rPr>
          <w:lang w:val="en-AU"/>
        </w:rPr>
        <w:t>5</w:t>
      </w:r>
      <w:r>
        <w:tab/>
      </w:r>
      <w:r w:rsidRPr="00564C0F">
        <w:t>Breakdown of additional estimates by appropriation bill</w:t>
      </w:r>
      <w:bookmarkEnd w:id="411"/>
    </w:p>
    <w:p w14:paraId="617FDBF4" w14:textId="30E27F27" w:rsidR="00C17040" w:rsidRPr="00D47D34" w:rsidRDefault="00C17040" w:rsidP="003B4729">
      <w:pPr>
        <w:jc w:val="left"/>
      </w:pPr>
      <w:r w:rsidRPr="00564C0F">
        <w:t>The following table detail</w:t>
      </w:r>
      <w:r w:rsidR="003B4729">
        <w:t>s</w:t>
      </w:r>
      <w:r w:rsidRPr="00564C0F">
        <w:t xml:space="preserve"> the Additional Estimates sought for </w:t>
      </w:r>
      <w:r w:rsidR="00D47D34">
        <w:t>CASA</w:t>
      </w:r>
      <w:r w:rsidRPr="00564C0F">
        <w:t xml:space="preserve"> through </w:t>
      </w:r>
      <w:r w:rsidRPr="00D47D34">
        <w:t>Appropriation Bills Nos. 3 and 4.</w:t>
      </w:r>
    </w:p>
    <w:p w14:paraId="01260386" w14:textId="77777777" w:rsidR="00C17040" w:rsidRPr="00CD6FA0" w:rsidRDefault="00C17040" w:rsidP="00C17040">
      <w:pPr>
        <w:pStyle w:val="TableHeading"/>
        <w:rPr>
          <w:lang w:val="en-AU"/>
        </w:rPr>
      </w:pPr>
      <w:r>
        <w:t>Table 1.</w:t>
      </w:r>
      <w:r>
        <w:rPr>
          <w:lang w:val="en-AU"/>
        </w:rPr>
        <w:t>4</w:t>
      </w:r>
      <w:r w:rsidRPr="00564C0F">
        <w:t xml:space="preserve">: Appropriation Bill (No. 3) </w:t>
      </w:r>
      <w:r>
        <w:rPr>
          <w:lang w:val="en-AU"/>
        </w:rPr>
        <w:t>2021-22</w:t>
      </w:r>
    </w:p>
    <w:tbl>
      <w:tblPr>
        <w:tblW w:w="7503" w:type="dxa"/>
        <w:tblLook w:val="04A0" w:firstRow="1" w:lastRow="0" w:firstColumn="1" w:lastColumn="0" w:noHBand="0" w:noVBand="1"/>
      </w:tblPr>
      <w:tblGrid>
        <w:gridCol w:w="2977"/>
        <w:gridCol w:w="936"/>
        <w:gridCol w:w="876"/>
        <w:gridCol w:w="876"/>
        <w:gridCol w:w="919"/>
        <w:gridCol w:w="919"/>
      </w:tblGrid>
      <w:tr w:rsidR="002A26E2" w:rsidRPr="002A26E2" w14:paraId="5B718801" w14:textId="77777777" w:rsidTr="002A26E2">
        <w:trPr>
          <w:trHeight w:val="675"/>
        </w:trPr>
        <w:tc>
          <w:tcPr>
            <w:tcW w:w="2977" w:type="dxa"/>
            <w:tcBorders>
              <w:top w:val="single" w:sz="4" w:space="0" w:color="auto"/>
              <w:left w:val="nil"/>
              <w:bottom w:val="nil"/>
              <w:right w:val="nil"/>
            </w:tcBorders>
            <w:shd w:val="clear" w:color="auto" w:fill="auto"/>
            <w:noWrap/>
            <w:vAlign w:val="center"/>
            <w:hideMark/>
          </w:tcPr>
          <w:p w14:paraId="60DFF63E" w14:textId="77777777" w:rsidR="002A26E2" w:rsidRPr="002A26E2" w:rsidRDefault="002A26E2" w:rsidP="002A26E2">
            <w:pPr>
              <w:spacing w:after="0" w:line="240" w:lineRule="auto"/>
              <w:jc w:val="left"/>
              <w:rPr>
                <w:rFonts w:ascii="Arial" w:hAnsi="Arial" w:cs="Arial"/>
                <w:color w:val="000000"/>
                <w:sz w:val="16"/>
                <w:szCs w:val="16"/>
              </w:rPr>
            </w:pPr>
            <w:r w:rsidRPr="002A26E2">
              <w:rPr>
                <w:rFonts w:ascii="Arial" w:hAnsi="Arial" w:cs="Arial"/>
                <w:color w:val="000000"/>
                <w:sz w:val="16"/>
                <w:szCs w:val="16"/>
              </w:rPr>
              <w:t> </w:t>
            </w:r>
          </w:p>
        </w:tc>
        <w:tc>
          <w:tcPr>
            <w:tcW w:w="936" w:type="dxa"/>
            <w:tcBorders>
              <w:top w:val="single" w:sz="4" w:space="0" w:color="auto"/>
              <w:left w:val="nil"/>
              <w:bottom w:val="single" w:sz="4" w:space="0" w:color="000000"/>
              <w:right w:val="nil"/>
            </w:tcBorders>
            <w:shd w:val="clear" w:color="auto" w:fill="auto"/>
            <w:vAlign w:val="center"/>
            <w:hideMark/>
          </w:tcPr>
          <w:p w14:paraId="0AF68CDB" w14:textId="77777777" w:rsidR="002A26E2" w:rsidRPr="002A26E2" w:rsidRDefault="002A26E2" w:rsidP="002A26E2">
            <w:pPr>
              <w:spacing w:after="0" w:line="240" w:lineRule="auto"/>
              <w:jc w:val="right"/>
              <w:rPr>
                <w:rFonts w:ascii="Arial" w:hAnsi="Arial" w:cs="Arial"/>
                <w:color w:val="000000"/>
                <w:sz w:val="16"/>
                <w:szCs w:val="16"/>
              </w:rPr>
            </w:pPr>
            <w:r w:rsidRPr="002A26E2">
              <w:rPr>
                <w:rFonts w:ascii="Arial" w:hAnsi="Arial" w:cs="Arial"/>
                <w:color w:val="000000"/>
                <w:sz w:val="16"/>
                <w:szCs w:val="16"/>
              </w:rPr>
              <w:t>2020-21</w:t>
            </w:r>
            <w:r w:rsidRPr="002A26E2">
              <w:rPr>
                <w:rFonts w:ascii="Arial" w:hAnsi="Arial" w:cs="Arial"/>
                <w:color w:val="000000"/>
                <w:sz w:val="16"/>
                <w:szCs w:val="16"/>
              </w:rPr>
              <w:br/>
              <w:t>Available</w:t>
            </w:r>
            <w:r w:rsidRPr="002A26E2">
              <w:rPr>
                <w:rFonts w:ascii="Arial" w:hAnsi="Arial" w:cs="Arial"/>
                <w:color w:val="000000"/>
                <w:sz w:val="16"/>
                <w:szCs w:val="16"/>
              </w:rPr>
              <w:br/>
              <w:t>$'000</w:t>
            </w:r>
          </w:p>
        </w:tc>
        <w:tc>
          <w:tcPr>
            <w:tcW w:w="876" w:type="dxa"/>
            <w:tcBorders>
              <w:top w:val="single" w:sz="4" w:space="0" w:color="auto"/>
              <w:left w:val="nil"/>
              <w:bottom w:val="single" w:sz="4" w:space="0" w:color="000000"/>
              <w:right w:val="nil"/>
            </w:tcBorders>
            <w:shd w:val="clear" w:color="auto" w:fill="auto"/>
            <w:vAlign w:val="center"/>
            <w:hideMark/>
          </w:tcPr>
          <w:p w14:paraId="2F86695A" w14:textId="77777777" w:rsidR="002A26E2" w:rsidRPr="002A26E2" w:rsidRDefault="002A26E2" w:rsidP="002A26E2">
            <w:pPr>
              <w:spacing w:after="0" w:line="240" w:lineRule="auto"/>
              <w:jc w:val="right"/>
              <w:rPr>
                <w:rFonts w:ascii="Arial" w:hAnsi="Arial" w:cs="Arial"/>
                <w:color w:val="000000"/>
                <w:sz w:val="16"/>
                <w:szCs w:val="16"/>
              </w:rPr>
            </w:pPr>
            <w:r w:rsidRPr="002A26E2">
              <w:rPr>
                <w:rFonts w:ascii="Arial" w:hAnsi="Arial" w:cs="Arial"/>
                <w:color w:val="000000"/>
                <w:sz w:val="16"/>
                <w:szCs w:val="16"/>
              </w:rPr>
              <w:t>2021-22</w:t>
            </w:r>
            <w:r w:rsidRPr="002A26E2">
              <w:rPr>
                <w:rFonts w:ascii="Arial" w:hAnsi="Arial" w:cs="Arial"/>
                <w:color w:val="000000"/>
                <w:sz w:val="16"/>
                <w:szCs w:val="16"/>
              </w:rPr>
              <w:br/>
              <w:t>Budget</w:t>
            </w:r>
            <w:r w:rsidRPr="002A26E2">
              <w:rPr>
                <w:rFonts w:ascii="Arial" w:hAnsi="Arial" w:cs="Arial"/>
                <w:color w:val="000000"/>
                <w:sz w:val="16"/>
                <w:szCs w:val="16"/>
              </w:rPr>
              <w:br/>
              <w:t>$'000</w:t>
            </w:r>
          </w:p>
        </w:tc>
        <w:tc>
          <w:tcPr>
            <w:tcW w:w="876" w:type="dxa"/>
            <w:tcBorders>
              <w:top w:val="single" w:sz="4" w:space="0" w:color="auto"/>
              <w:left w:val="nil"/>
              <w:bottom w:val="single" w:sz="4" w:space="0" w:color="000000"/>
              <w:right w:val="nil"/>
            </w:tcBorders>
            <w:shd w:val="clear" w:color="auto" w:fill="auto"/>
            <w:vAlign w:val="center"/>
            <w:hideMark/>
          </w:tcPr>
          <w:p w14:paraId="52847996" w14:textId="77777777" w:rsidR="002A26E2" w:rsidRPr="002A26E2" w:rsidRDefault="002A26E2" w:rsidP="002A26E2">
            <w:pPr>
              <w:spacing w:after="0" w:line="240" w:lineRule="auto"/>
              <w:jc w:val="right"/>
              <w:rPr>
                <w:rFonts w:ascii="Arial" w:hAnsi="Arial" w:cs="Arial"/>
                <w:color w:val="000000"/>
                <w:sz w:val="16"/>
                <w:szCs w:val="16"/>
              </w:rPr>
            </w:pPr>
            <w:r w:rsidRPr="002A26E2">
              <w:rPr>
                <w:rFonts w:ascii="Arial" w:hAnsi="Arial" w:cs="Arial"/>
                <w:color w:val="000000"/>
                <w:sz w:val="16"/>
                <w:szCs w:val="16"/>
              </w:rPr>
              <w:t>2021-22</w:t>
            </w:r>
            <w:r w:rsidRPr="002A26E2">
              <w:rPr>
                <w:rFonts w:ascii="Arial" w:hAnsi="Arial" w:cs="Arial"/>
                <w:color w:val="000000"/>
                <w:sz w:val="16"/>
                <w:szCs w:val="16"/>
              </w:rPr>
              <w:br/>
              <w:t>Revised</w:t>
            </w:r>
            <w:r w:rsidRPr="002A26E2">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3F394BCE" w14:textId="77777777" w:rsidR="002A26E2" w:rsidRPr="002A26E2" w:rsidRDefault="002A26E2" w:rsidP="002A26E2">
            <w:pPr>
              <w:spacing w:after="0" w:line="240" w:lineRule="auto"/>
              <w:jc w:val="right"/>
              <w:rPr>
                <w:rFonts w:ascii="Arial" w:hAnsi="Arial" w:cs="Arial"/>
                <w:color w:val="000000"/>
                <w:sz w:val="16"/>
                <w:szCs w:val="16"/>
              </w:rPr>
            </w:pPr>
            <w:r w:rsidRPr="002A26E2">
              <w:rPr>
                <w:rFonts w:ascii="Arial" w:hAnsi="Arial" w:cs="Arial"/>
                <w:color w:val="000000"/>
                <w:sz w:val="16"/>
                <w:szCs w:val="16"/>
              </w:rPr>
              <w:t>Additional Estimates</w:t>
            </w:r>
            <w:r w:rsidRPr="002A26E2">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141DEF49" w14:textId="77777777" w:rsidR="002A26E2" w:rsidRPr="002A26E2" w:rsidRDefault="002A26E2" w:rsidP="002A26E2">
            <w:pPr>
              <w:spacing w:after="0" w:line="240" w:lineRule="auto"/>
              <w:jc w:val="right"/>
              <w:rPr>
                <w:rFonts w:ascii="Arial" w:hAnsi="Arial" w:cs="Arial"/>
                <w:color w:val="000000"/>
                <w:sz w:val="16"/>
                <w:szCs w:val="16"/>
              </w:rPr>
            </w:pPr>
            <w:r w:rsidRPr="002A26E2">
              <w:rPr>
                <w:rFonts w:ascii="Arial" w:hAnsi="Arial" w:cs="Arial"/>
                <w:color w:val="000000"/>
                <w:sz w:val="16"/>
                <w:szCs w:val="16"/>
              </w:rPr>
              <w:t>Reduced Estimates</w:t>
            </w:r>
            <w:r w:rsidRPr="002A26E2">
              <w:rPr>
                <w:rFonts w:ascii="Arial" w:hAnsi="Arial" w:cs="Arial"/>
                <w:color w:val="000000"/>
                <w:sz w:val="16"/>
                <w:szCs w:val="16"/>
              </w:rPr>
              <w:br/>
              <w:t>$'000</w:t>
            </w:r>
          </w:p>
        </w:tc>
      </w:tr>
      <w:tr w:rsidR="002A26E2" w:rsidRPr="002A26E2" w14:paraId="46AA4712" w14:textId="77777777" w:rsidTr="002A26E2">
        <w:trPr>
          <w:trHeight w:val="204"/>
        </w:trPr>
        <w:tc>
          <w:tcPr>
            <w:tcW w:w="2977" w:type="dxa"/>
            <w:tcBorders>
              <w:top w:val="nil"/>
              <w:left w:val="nil"/>
              <w:bottom w:val="nil"/>
              <w:right w:val="nil"/>
            </w:tcBorders>
            <w:shd w:val="clear" w:color="auto" w:fill="auto"/>
            <w:noWrap/>
            <w:vAlign w:val="center"/>
            <w:hideMark/>
          </w:tcPr>
          <w:p w14:paraId="2D7B68F4" w14:textId="7BE6D0B2" w:rsidR="002A26E2" w:rsidRPr="002A26E2" w:rsidRDefault="008863D9" w:rsidP="002A26E2">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2A26E2" w:rsidRPr="002A26E2">
              <w:rPr>
                <w:rFonts w:ascii="Arial" w:hAnsi="Arial" w:cs="Arial"/>
                <w:b/>
                <w:bCs/>
                <w:color w:val="000000"/>
                <w:sz w:val="16"/>
                <w:szCs w:val="16"/>
              </w:rPr>
              <w:t>al programs</w:t>
            </w:r>
          </w:p>
        </w:tc>
        <w:tc>
          <w:tcPr>
            <w:tcW w:w="936" w:type="dxa"/>
            <w:tcBorders>
              <w:top w:val="nil"/>
              <w:left w:val="nil"/>
              <w:bottom w:val="nil"/>
              <w:right w:val="nil"/>
            </w:tcBorders>
            <w:shd w:val="clear" w:color="auto" w:fill="auto"/>
            <w:noWrap/>
            <w:vAlign w:val="bottom"/>
            <w:hideMark/>
          </w:tcPr>
          <w:p w14:paraId="72762344" w14:textId="77777777" w:rsidR="002A26E2" w:rsidRPr="002A26E2" w:rsidRDefault="002A26E2" w:rsidP="002B3FEF">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auto" w:fill="auto"/>
            <w:noWrap/>
            <w:vAlign w:val="bottom"/>
            <w:hideMark/>
          </w:tcPr>
          <w:p w14:paraId="3933E49C" w14:textId="77777777" w:rsidR="002A26E2" w:rsidRPr="002A26E2" w:rsidRDefault="002A26E2" w:rsidP="002B3FEF">
            <w:pPr>
              <w:spacing w:after="0" w:line="240" w:lineRule="auto"/>
              <w:jc w:val="right"/>
              <w:rPr>
                <w:rFonts w:ascii="Times New Roman" w:hAnsi="Times New Roman"/>
              </w:rPr>
            </w:pPr>
          </w:p>
        </w:tc>
        <w:tc>
          <w:tcPr>
            <w:tcW w:w="876" w:type="dxa"/>
            <w:tcBorders>
              <w:top w:val="nil"/>
              <w:left w:val="nil"/>
              <w:bottom w:val="nil"/>
              <w:right w:val="nil"/>
            </w:tcBorders>
            <w:shd w:val="clear" w:color="auto" w:fill="auto"/>
            <w:noWrap/>
            <w:vAlign w:val="bottom"/>
            <w:hideMark/>
          </w:tcPr>
          <w:p w14:paraId="16D606B9" w14:textId="77777777" w:rsidR="002A26E2" w:rsidRPr="002A26E2" w:rsidRDefault="002A26E2" w:rsidP="002B3FEF">
            <w:pPr>
              <w:spacing w:after="0" w:line="240" w:lineRule="auto"/>
              <w:jc w:val="right"/>
              <w:rPr>
                <w:rFonts w:ascii="Times New Roman" w:hAnsi="Times New Roman"/>
              </w:rPr>
            </w:pPr>
          </w:p>
        </w:tc>
        <w:tc>
          <w:tcPr>
            <w:tcW w:w="919" w:type="dxa"/>
            <w:tcBorders>
              <w:top w:val="nil"/>
              <w:left w:val="nil"/>
              <w:bottom w:val="nil"/>
              <w:right w:val="nil"/>
            </w:tcBorders>
            <w:shd w:val="clear" w:color="000000" w:fill="E6E6E6"/>
            <w:noWrap/>
            <w:vAlign w:val="bottom"/>
            <w:hideMark/>
          </w:tcPr>
          <w:p w14:paraId="2BCC96B7" w14:textId="09B125E5" w:rsidR="002A26E2" w:rsidRPr="002A26E2" w:rsidRDefault="002A26E2" w:rsidP="002B3FEF">
            <w:pPr>
              <w:spacing w:after="0" w:line="240" w:lineRule="auto"/>
              <w:jc w:val="right"/>
              <w:rPr>
                <w:rFonts w:ascii="Arial" w:hAnsi="Arial" w:cs="Arial"/>
                <w:color w:val="000000"/>
                <w:sz w:val="16"/>
                <w:szCs w:val="16"/>
              </w:rPr>
            </w:pPr>
          </w:p>
        </w:tc>
        <w:tc>
          <w:tcPr>
            <w:tcW w:w="919" w:type="dxa"/>
            <w:tcBorders>
              <w:top w:val="nil"/>
              <w:left w:val="nil"/>
              <w:bottom w:val="nil"/>
              <w:right w:val="nil"/>
            </w:tcBorders>
            <w:shd w:val="clear" w:color="000000" w:fill="E6E6E6"/>
            <w:noWrap/>
            <w:vAlign w:val="bottom"/>
            <w:hideMark/>
          </w:tcPr>
          <w:p w14:paraId="62BEA419" w14:textId="6C0765DB" w:rsidR="002A26E2" w:rsidRPr="002A26E2" w:rsidRDefault="002A26E2" w:rsidP="002B3FEF">
            <w:pPr>
              <w:spacing w:after="0" w:line="240" w:lineRule="auto"/>
              <w:jc w:val="right"/>
              <w:rPr>
                <w:rFonts w:ascii="Arial" w:hAnsi="Arial" w:cs="Arial"/>
                <w:color w:val="000000"/>
                <w:sz w:val="16"/>
                <w:szCs w:val="16"/>
              </w:rPr>
            </w:pPr>
          </w:p>
        </w:tc>
      </w:tr>
      <w:tr w:rsidR="002A26E2" w:rsidRPr="002A26E2" w14:paraId="40216EEE" w14:textId="77777777" w:rsidTr="002A26E2">
        <w:trPr>
          <w:trHeight w:val="204"/>
        </w:trPr>
        <w:tc>
          <w:tcPr>
            <w:tcW w:w="2977" w:type="dxa"/>
            <w:tcBorders>
              <w:top w:val="nil"/>
              <w:left w:val="nil"/>
              <w:bottom w:val="nil"/>
              <w:right w:val="nil"/>
            </w:tcBorders>
            <w:shd w:val="clear" w:color="auto" w:fill="auto"/>
            <w:vAlign w:val="center"/>
            <w:hideMark/>
          </w:tcPr>
          <w:p w14:paraId="6D37F8BA" w14:textId="77777777" w:rsidR="00D47D34" w:rsidRDefault="002A26E2" w:rsidP="002A26E2">
            <w:pPr>
              <w:spacing w:after="0" w:line="240" w:lineRule="auto"/>
              <w:ind w:left="113"/>
              <w:jc w:val="left"/>
              <w:rPr>
                <w:rFonts w:ascii="Arial" w:hAnsi="Arial" w:cs="Arial"/>
                <w:b/>
                <w:bCs/>
                <w:color w:val="000000"/>
                <w:sz w:val="16"/>
                <w:szCs w:val="16"/>
              </w:rPr>
            </w:pPr>
            <w:r w:rsidRPr="002A26E2">
              <w:rPr>
                <w:rFonts w:ascii="Arial" w:hAnsi="Arial" w:cs="Arial"/>
                <w:b/>
                <w:bCs/>
                <w:color w:val="000000"/>
                <w:sz w:val="16"/>
                <w:szCs w:val="16"/>
              </w:rPr>
              <w:t>Outcome 1</w:t>
            </w:r>
          </w:p>
          <w:p w14:paraId="0D755E46" w14:textId="10F2C2C3" w:rsidR="002A26E2" w:rsidRPr="002A26E2" w:rsidRDefault="002A26E2" w:rsidP="002A26E2">
            <w:pPr>
              <w:spacing w:after="0" w:line="240" w:lineRule="auto"/>
              <w:ind w:left="113"/>
              <w:jc w:val="left"/>
              <w:rPr>
                <w:rFonts w:ascii="Arial" w:hAnsi="Arial" w:cs="Arial"/>
                <w:b/>
                <w:bCs/>
                <w:color w:val="000000"/>
                <w:sz w:val="16"/>
                <w:szCs w:val="16"/>
              </w:rPr>
            </w:pPr>
            <w:r w:rsidRPr="002A26E2">
              <w:rPr>
                <w:rFonts w:ascii="Arial" w:hAnsi="Arial" w:cs="Arial"/>
                <w:color w:val="000000"/>
                <w:sz w:val="16"/>
                <w:szCs w:val="16"/>
              </w:rPr>
              <w:t>Maximise aviation safety through a regulatory regime, detailed technical material on safety standards, comprehensive aviation industry oversight, risk analysis, industry consultation, education and training</w:t>
            </w:r>
          </w:p>
        </w:tc>
        <w:tc>
          <w:tcPr>
            <w:tcW w:w="936" w:type="dxa"/>
            <w:tcBorders>
              <w:top w:val="nil"/>
              <w:left w:val="nil"/>
              <w:bottom w:val="nil"/>
              <w:right w:val="nil"/>
            </w:tcBorders>
            <w:shd w:val="clear" w:color="auto" w:fill="auto"/>
            <w:noWrap/>
            <w:vAlign w:val="bottom"/>
            <w:hideMark/>
          </w:tcPr>
          <w:p w14:paraId="6AAE6A03" w14:textId="72DB6E14" w:rsidR="002A26E2" w:rsidRPr="002A26E2" w:rsidRDefault="002A26E2" w:rsidP="002B3FEF">
            <w:pPr>
              <w:spacing w:after="0" w:line="240" w:lineRule="auto"/>
              <w:jc w:val="right"/>
              <w:rPr>
                <w:rFonts w:ascii="Arial" w:hAnsi="Arial" w:cs="Arial"/>
                <w:color w:val="000000"/>
                <w:sz w:val="16"/>
                <w:szCs w:val="16"/>
              </w:rPr>
            </w:pPr>
            <w:r w:rsidRPr="002A26E2">
              <w:rPr>
                <w:rFonts w:ascii="Arial" w:hAnsi="Arial" w:cs="Arial"/>
                <w:color w:val="000000"/>
                <w:sz w:val="16"/>
                <w:szCs w:val="16"/>
              </w:rPr>
              <w:t>128,424</w:t>
            </w:r>
          </w:p>
        </w:tc>
        <w:tc>
          <w:tcPr>
            <w:tcW w:w="876" w:type="dxa"/>
            <w:tcBorders>
              <w:top w:val="nil"/>
              <w:left w:val="nil"/>
              <w:bottom w:val="nil"/>
              <w:right w:val="nil"/>
            </w:tcBorders>
            <w:shd w:val="clear" w:color="auto" w:fill="auto"/>
            <w:noWrap/>
            <w:vAlign w:val="bottom"/>
            <w:hideMark/>
          </w:tcPr>
          <w:p w14:paraId="4025D2FA" w14:textId="671AE847" w:rsidR="002A26E2" w:rsidRPr="002A26E2" w:rsidRDefault="002A26E2" w:rsidP="002B3FEF">
            <w:pPr>
              <w:spacing w:after="0" w:line="240" w:lineRule="auto"/>
              <w:jc w:val="right"/>
              <w:rPr>
                <w:rFonts w:ascii="Arial" w:hAnsi="Arial" w:cs="Arial"/>
                <w:color w:val="000000"/>
                <w:sz w:val="16"/>
                <w:szCs w:val="16"/>
              </w:rPr>
            </w:pPr>
            <w:r w:rsidRPr="002A26E2">
              <w:rPr>
                <w:rFonts w:ascii="Arial" w:hAnsi="Arial" w:cs="Arial"/>
                <w:color w:val="000000"/>
                <w:sz w:val="16"/>
                <w:szCs w:val="16"/>
              </w:rPr>
              <w:t>102,082</w:t>
            </w:r>
          </w:p>
        </w:tc>
        <w:tc>
          <w:tcPr>
            <w:tcW w:w="876" w:type="dxa"/>
            <w:tcBorders>
              <w:top w:val="nil"/>
              <w:left w:val="nil"/>
              <w:bottom w:val="nil"/>
              <w:right w:val="nil"/>
            </w:tcBorders>
            <w:shd w:val="clear" w:color="auto" w:fill="auto"/>
            <w:noWrap/>
            <w:vAlign w:val="bottom"/>
            <w:hideMark/>
          </w:tcPr>
          <w:p w14:paraId="061B8B27" w14:textId="0E4DE51B" w:rsidR="002A26E2" w:rsidRPr="002A26E2" w:rsidRDefault="002A26E2" w:rsidP="002B3FEF">
            <w:pPr>
              <w:spacing w:after="0" w:line="240" w:lineRule="auto"/>
              <w:jc w:val="right"/>
              <w:rPr>
                <w:rFonts w:ascii="Arial" w:hAnsi="Arial" w:cs="Arial"/>
                <w:color w:val="000000"/>
                <w:sz w:val="16"/>
                <w:szCs w:val="16"/>
              </w:rPr>
            </w:pPr>
            <w:r w:rsidRPr="002A26E2">
              <w:rPr>
                <w:rFonts w:ascii="Arial" w:hAnsi="Arial" w:cs="Arial"/>
                <w:color w:val="000000"/>
                <w:sz w:val="16"/>
                <w:szCs w:val="16"/>
              </w:rPr>
              <w:t>122,082</w:t>
            </w:r>
          </w:p>
        </w:tc>
        <w:tc>
          <w:tcPr>
            <w:tcW w:w="919" w:type="dxa"/>
            <w:tcBorders>
              <w:top w:val="nil"/>
              <w:left w:val="nil"/>
              <w:bottom w:val="nil"/>
              <w:right w:val="nil"/>
            </w:tcBorders>
            <w:shd w:val="clear" w:color="000000" w:fill="E6E6E6"/>
            <w:noWrap/>
            <w:vAlign w:val="bottom"/>
            <w:hideMark/>
          </w:tcPr>
          <w:p w14:paraId="69B611D6" w14:textId="5D5AF334" w:rsidR="002A26E2" w:rsidRPr="002A26E2" w:rsidRDefault="002A26E2" w:rsidP="002B3FEF">
            <w:pPr>
              <w:spacing w:after="0" w:line="240" w:lineRule="auto"/>
              <w:jc w:val="right"/>
              <w:rPr>
                <w:rFonts w:ascii="Arial" w:hAnsi="Arial" w:cs="Arial"/>
                <w:color w:val="000000"/>
                <w:sz w:val="16"/>
                <w:szCs w:val="16"/>
              </w:rPr>
            </w:pPr>
            <w:r w:rsidRPr="002A26E2">
              <w:rPr>
                <w:rFonts w:ascii="Arial" w:hAnsi="Arial" w:cs="Arial"/>
                <w:color w:val="000000"/>
                <w:sz w:val="16"/>
                <w:szCs w:val="16"/>
              </w:rPr>
              <w:t>20,000</w:t>
            </w:r>
          </w:p>
        </w:tc>
        <w:tc>
          <w:tcPr>
            <w:tcW w:w="919" w:type="dxa"/>
            <w:tcBorders>
              <w:top w:val="nil"/>
              <w:left w:val="nil"/>
              <w:bottom w:val="nil"/>
              <w:right w:val="nil"/>
            </w:tcBorders>
            <w:shd w:val="clear" w:color="000000" w:fill="E6E6E6"/>
            <w:noWrap/>
            <w:vAlign w:val="bottom"/>
            <w:hideMark/>
          </w:tcPr>
          <w:p w14:paraId="08D72134" w14:textId="05310D27" w:rsidR="002A26E2" w:rsidRPr="002A26E2" w:rsidRDefault="002A26E2" w:rsidP="002B3FEF">
            <w:pPr>
              <w:spacing w:after="0" w:line="240" w:lineRule="auto"/>
              <w:jc w:val="right"/>
              <w:rPr>
                <w:rFonts w:ascii="Arial" w:hAnsi="Arial" w:cs="Arial"/>
                <w:color w:val="000000"/>
                <w:sz w:val="16"/>
                <w:szCs w:val="16"/>
              </w:rPr>
            </w:pPr>
            <w:r w:rsidRPr="002A26E2">
              <w:rPr>
                <w:rFonts w:ascii="Arial" w:hAnsi="Arial" w:cs="Arial"/>
                <w:color w:val="000000"/>
                <w:sz w:val="16"/>
                <w:szCs w:val="16"/>
              </w:rPr>
              <w:t>-</w:t>
            </w:r>
          </w:p>
        </w:tc>
      </w:tr>
      <w:tr w:rsidR="002A26E2" w:rsidRPr="002A26E2" w14:paraId="02972CE3" w14:textId="77777777" w:rsidTr="002A26E2">
        <w:trPr>
          <w:trHeight w:val="204"/>
        </w:trPr>
        <w:tc>
          <w:tcPr>
            <w:tcW w:w="2977" w:type="dxa"/>
            <w:tcBorders>
              <w:top w:val="nil"/>
              <w:left w:val="nil"/>
              <w:bottom w:val="single" w:sz="4" w:space="0" w:color="auto"/>
              <w:right w:val="nil"/>
            </w:tcBorders>
            <w:shd w:val="clear" w:color="auto" w:fill="auto"/>
            <w:noWrap/>
            <w:vAlign w:val="center"/>
            <w:hideMark/>
          </w:tcPr>
          <w:p w14:paraId="5DA96C49" w14:textId="3FD64D23" w:rsidR="002A26E2" w:rsidRPr="002A26E2" w:rsidRDefault="002A26E2" w:rsidP="002A26E2">
            <w:pPr>
              <w:spacing w:after="0" w:line="240" w:lineRule="auto"/>
              <w:jc w:val="left"/>
              <w:rPr>
                <w:rFonts w:ascii="Arial" w:hAnsi="Arial" w:cs="Arial"/>
                <w:b/>
                <w:bCs/>
                <w:color w:val="000000"/>
                <w:sz w:val="16"/>
                <w:szCs w:val="16"/>
              </w:rPr>
            </w:pPr>
            <w:r w:rsidRPr="002A26E2">
              <w:rPr>
                <w:rFonts w:ascii="Arial" w:hAnsi="Arial" w:cs="Arial"/>
                <w:b/>
                <w:bCs/>
                <w:color w:val="000000"/>
                <w:sz w:val="16"/>
                <w:szCs w:val="16"/>
              </w:rPr>
              <w:t xml:space="preserve">Total </w:t>
            </w:r>
            <w:r w:rsidR="00D94F71">
              <w:rPr>
                <w:rFonts w:ascii="Arial" w:hAnsi="Arial" w:cs="Arial"/>
                <w:b/>
                <w:bCs/>
                <w:color w:val="000000"/>
                <w:sz w:val="16"/>
                <w:szCs w:val="16"/>
              </w:rPr>
              <w:t>D</w:t>
            </w:r>
            <w:r w:rsidR="008863D9">
              <w:rPr>
                <w:rFonts w:ascii="Arial" w:hAnsi="Arial" w:cs="Arial"/>
                <w:b/>
                <w:bCs/>
                <w:color w:val="000000"/>
                <w:sz w:val="16"/>
                <w:szCs w:val="16"/>
              </w:rPr>
              <w:t>epartment</w:t>
            </w:r>
            <w:r w:rsidRPr="002A26E2">
              <w:rPr>
                <w:rFonts w:ascii="Arial" w:hAnsi="Arial" w:cs="Arial"/>
                <w:b/>
                <w:bCs/>
                <w:color w:val="000000"/>
                <w:sz w:val="16"/>
                <w:szCs w:val="16"/>
              </w:rPr>
              <w:t>al</w:t>
            </w:r>
          </w:p>
        </w:tc>
        <w:tc>
          <w:tcPr>
            <w:tcW w:w="936" w:type="dxa"/>
            <w:tcBorders>
              <w:top w:val="single" w:sz="4" w:space="0" w:color="000000"/>
              <w:left w:val="nil"/>
              <w:bottom w:val="single" w:sz="4" w:space="0" w:color="auto"/>
              <w:right w:val="nil"/>
            </w:tcBorders>
            <w:shd w:val="clear" w:color="auto" w:fill="auto"/>
            <w:noWrap/>
            <w:vAlign w:val="bottom"/>
            <w:hideMark/>
          </w:tcPr>
          <w:p w14:paraId="47AC25D4" w14:textId="45D23CED" w:rsidR="002A26E2" w:rsidRPr="002A26E2" w:rsidRDefault="002A26E2" w:rsidP="002B3FEF">
            <w:pPr>
              <w:spacing w:after="0" w:line="240" w:lineRule="auto"/>
              <w:jc w:val="right"/>
              <w:rPr>
                <w:rFonts w:ascii="Arial" w:hAnsi="Arial" w:cs="Arial"/>
                <w:b/>
                <w:bCs/>
                <w:color w:val="000000"/>
                <w:sz w:val="16"/>
                <w:szCs w:val="16"/>
              </w:rPr>
            </w:pPr>
            <w:r w:rsidRPr="002A26E2">
              <w:rPr>
                <w:rFonts w:ascii="Arial" w:hAnsi="Arial" w:cs="Arial"/>
                <w:b/>
                <w:bCs/>
                <w:color w:val="000000"/>
                <w:sz w:val="16"/>
                <w:szCs w:val="16"/>
              </w:rPr>
              <w:t>128,424</w:t>
            </w:r>
          </w:p>
        </w:tc>
        <w:tc>
          <w:tcPr>
            <w:tcW w:w="876" w:type="dxa"/>
            <w:tcBorders>
              <w:top w:val="single" w:sz="4" w:space="0" w:color="000000"/>
              <w:left w:val="nil"/>
              <w:bottom w:val="single" w:sz="4" w:space="0" w:color="000000"/>
              <w:right w:val="nil"/>
            </w:tcBorders>
            <w:shd w:val="clear" w:color="auto" w:fill="auto"/>
            <w:noWrap/>
            <w:vAlign w:val="bottom"/>
            <w:hideMark/>
          </w:tcPr>
          <w:p w14:paraId="323412C7" w14:textId="2D782CEF" w:rsidR="002A26E2" w:rsidRPr="002A26E2" w:rsidRDefault="002A26E2" w:rsidP="002B3FEF">
            <w:pPr>
              <w:spacing w:after="0" w:line="240" w:lineRule="auto"/>
              <w:jc w:val="right"/>
              <w:rPr>
                <w:rFonts w:ascii="Arial" w:hAnsi="Arial" w:cs="Arial"/>
                <w:b/>
                <w:bCs/>
                <w:color w:val="000000"/>
                <w:sz w:val="16"/>
                <w:szCs w:val="16"/>
              </w:rPr>
            </w:pPr>
            <w:r w:rsidRPr="002A26E2">
              <w:rPr>
                <w:rFonts w:ascii="Arial" w:hAnsi="Arial" w:cs="Arial"/>
                <w:b/>
                <w:bCs/>
                <w:color w:val="000000"/>
                <w:sz w:val="16"/>
                <w:szCs w:val="16"/>
              </w:rPr>
              <w:t>102,082</w:t>
            </w:r>
          </w:p>
        </w:tc>
        <w:tc>
          <w:tcPr>
            <w:tcW w:w="876" w:type="dxa"/>
            <w:tcBorders>
              <w:top w:val="single" w:sz="4" w:space="0" w:color="000000"/>
              <w:left w:val="nil"/>
              <w:bottom w:val="single" w:sz="4" w:space="0" w:color="000000"/>
              <w:right w:val="nil"/>
            </w:tcBorders>
            <w:shd w:val="clear" w:color="auto" w:fill="auto"/>
            <w:noWrap/>
            <w:vAlign w:val="bottom"/>
            <w:hideMark/>
          </w:tcPr>
          <w:p w14:paraId="12C13131" w14:textId="7660A8AF" w:rsidR="002A26E2" w:rsidRPr="002A26E2" w:rsidRDefault="002A26E2" w:rsidP="002B3FEF">
            <w:pPr>
              <w:spacing w:after="0" w:line="240" w:lineRule="auto"/>
              <w:jc w:val="right"/>
              <w:rPr>
                <w:rFonts w:ascii="Arial" w:hAnsi="Arial" w:cs="Arial"/>
                <w:b/>
                <w:bCs/>
                <w:color w:val="000000"/>
                <w:sz w:val="16"/>
                <w:szCs w:val="16"/>
              </w:rPr>
            </w:pPr>
            <w:r w:rsidRPr="002A26E2">
              <w:rPr>
                <w:rFonts w:ascii="Arial" w:hAnsi="Arial" w:cs="Arial"/>
                <w:b/>
                <w:bCs/>
                <w:color w:val="000000"/>
                <w:sz w:val="16"/>
                <w:szCs w:val="16"/>
              </w:rPr>
              <w:t>122,082</w:t>
            </w:r>
          </w:p>
        </w:tc>
        <w:tc>
          <w:tcPr>
            <w:tcW w:w="919" w:type="dxa"/>
            <w:tcBorders>
              <w:top w:val="single" w:sz="4" w:space="0" w:color="000000"/>
              <w:left w:val="nil"/>
              <w:bottom w:val="single" w:sz="4" w:space="0" w:color="000000"/>
              <w:right w:val="nil"/>
            </w:tcBorders>
            <w:shd w:val="clear" w:color="000000" w:fill="E6E6E6"/>
            <w:noWrap/>
            <w:vAlign w:val="bottom"/>
            <w:hideMark/>
          </w:tcPr>
          <w:p w14:paraId="1888D090" w14:textId="753435EF" w:rsidR="002A26E2" w:rsidRPr="002A26E2" w:rsidRDefault="002A26E2" w:rsidP="002B3FEF">
            <w:pPr>
              <w:spacing w:after="0" w:line="240" w:lineRule="auto"/>
              <w:jc w:val="right"/>
              <w:rPr>
                <w:rFonts w:ascii="Arial" w:hAnsi="Arial" w:cs="Arial"/>
                <w:b/>
                <w:bCs/>
                <w:color w:val="000000"/>
                <w:sz w:val="16"/>
                <w:szCs w:val="16"/>
              </w:rPr>
            </w:pPr>
            <w:r w:rsidRPr="002A26E2">
              <w:rPr>
                <w:rFonts w:ascii="Arial" w:hAnsi="Arial" w:cs="Arial"/>
                <w:b/>
                <w:bCs/>
                <w:color w:val="000000"/>
                <w:sz w:val="16"/>
                <w:szCs w:val="16"/>
              </w:rPr>
              <w:t>20,000</w:t>
            </w:r>
          </w:p>
        </w:tc>
        <w:tc>
          <w:tcPr>
            <w:tcW w:w="919" w:type="dxa"/>
            <w:tcBorders>
              <w:top w:val="single" w:sz="4" w:space="0" w:color="000000"/>
              <w:left w:val="nil"/>
              <w:bottom w:val="single" w:sz="4" w:space="0" w:color="000000"/>
              <w:right w:val="nil"/>
            </w:tcBorders>
            <w:shd w:val="clear" w:color="000000" w:fill="E6E6E6"/>
            <w:noWrap/>
            <w:vAlign w:val="bottom"/>
            <w:hideMark/>
          </w:tcPr>
          <w:p w14:paraId="53B5DAC9" w14:textId="6F061578" w:rsidR="002A26E2" w:rsidRPr="002A26E2" w:rsidRDefault="002A26E2" w:rsidP="002B3FEF">
            <w:pPr>
              <w:spacing w:after="0" w:line="240" w:lineRule="auto"/>
              <w:jc w:val="right"/>
              <w:rPr>
                <w:rFonts w:ascii="Arial" w:hAnsi="Arial" w:cs="Arial"/>
                <w:b/>
                <w:bCs/>
                <w:color w:val="000000"/>
                <w:sz w:val="16"/>
                <w:szCs w:val="16"/>
              </w:rPr>
            </w:pPr>
            <w:r w:rsidRPr="002A26E2">
              <w:rPr>
                <w:rFonts w:ascii="Arial" w:hAnsi="Arial" w:cs="Arial"/>
                <w:b/>
                <w:bCs/>
                <w:color w:val="000000"/>
                <w:sz w:val="16"/>
                <w:szCs w:val="16"/>
              </w:rPr>
              <w:t>-</w:t>
            </w:r>
          </w:p>
        </w:tc>
      </w:tr>
    </w:tbl>
    <w:p w14:paraId="252639AD" w14:textId="367366AA" w:rsidR="00C17040" w:rsidRDefault="00C17040" w:rsidP="00C17040"/>
    <w:p w14:paraId="1ED067CA" w14:textId="77777777" w:rsidR="00812A48" w:rsidRPr="00D81F65" w:rsidRDefault="00812A48" w:rsidP="00812A48">
      <w:pPr>
        <w:pStyle w:val="TableHeading"/>
      </w:pPr>
      <w:r>
        <w:t>Table 1.5:</w:t>
      </w:r>
      <w:r w:rsidRPr="00D81F65">
        <w:t xml:space="preserve"> Appropriation Bill (No. 4) 20</w:t>
      </w:r>
      <w:r>
        <w:t>2</w:t>
      </w:r>
      <w:r>
        <w:rPr>
          <w:lang w:val="en-GB"/>
        </w:rPr>
        <w:t>1</w:t>
      </w:r>
      <w:r w:rsidRPr="00D81F65">
        <w:rPr>
          <w:rFonts w:hint="eastAsia"/>
        </w:rPr>
        <w:t>–</w:t>
      </w:r>
      <w:r>
        <w:t>2</w:t>
      </w:r>
      <w:r>
        <w:rPr>
          <w:lang w:val="en-GB"/>
        </w:rPr>
        <w:t>2</w:t>
      </w:r>
    </w:p>
    <w:p w14:paraId="3C2A6043" w14:textId="33366FC0" w:rsidR="00812A48" w:rsidRDefault="00812A48" w:rsidP="000708D5">
      <w:pPr>
        <w:jc w:val="left"/>
      </w:pPr>
      <w:r>
        <w:t>CASA is not seeking additional appropriation through Appropriation Bill (No. 4)</w:t>
      </w:r>
      <w:r w:rsidR="00307BC3">
        <w:t>.</w:t>
      </w:r>
    </w:p>
    <w:p w14:paraId="467F70B6" w14:textId="77777777" w:rsidR="00C17040" w:rsidRDefault="00C17040" w:rsidP="00C17040">
      <w:pPr>
        <w:spacing w:after="0" w:line="240" w:lineRule="auto"/>
        <w:jc w:val="left"/>
      </w:pPr>
      <w:r>
        <w:br w:type="page"/>
      </w:r>
    </w:p>
    <w:p w14:paraId="51AE24EB" w14:textId="3B4CA4D6" w:rsidR="00C17040" w:rsidRPr="00E41681" w:rsidRDefault="00C17040" w:rsidP="00886877">
      <w:pPr>
        <w:pStyle w:val="Heading2-TOCCASA"/>
      </w:pPr>
      <w:bookmarkStart w:id="412" w:name="_Toc93930022"/>
      <w:r w:rsidRPr="00E41681">
        <w:lastRenderedPageBreak/>
        <w:t>Section 2: Revisions to outcomes and planned performance</w:t>
      </w:r>
      <w:bookmarkEnd w:id="412"/>
    </w:p>
    <w:p w14:paraId="20CB2403" w14:textId="135B6F4D" w:rsidR="00C17040" w:rsidRDefault="00C17040" w:rsidP="00886877">
      <w:pPr>
        <w:pStyle w:val="Heading3CASA"/>
      </w:pPr>
      <w:bookmarkStart w:id="413" w:name="_Toc93930023"/>
      <w:r>
        <w:t>2.</w:t>
      </w:r>
      <w:r w:rsidR="00886877">
        <w:t>1</w:t>
      </w:r>
      <w:r>
        <w:tab/>
        <w:t>Changes to outcome and program structures</w:t>
      </w:r>
      <w:bookmarkEnd w:id="413"/>
      <w:r>
        <w:t xml:space="preserve"> </w:t>
      </w:r>
    </w:p>
    <w:p w14:paraId="5CDA9840" w14:textId="200A18C1" w:rsidR="00F87278" w:rsidRPr="00F87278" w:rsidRDefault="00F87278" w:rsidP="003B4729">
      <w:pPr>
        <w:jc w:val="left"/>
      </w:pPr>
      <w:r w:rsidRPr="00F87278">
        <w:t xml:space="preserve">The outcome and program structures for CASA have not changed from that published in the 2021-22 </w:t>
      </w:r>
      <w:r w:rsidR="00360023" w:rsidRPr="00ED7989">
        <w:t xml:space="preserve">Infrastructure, Transport, Regional Development and Communications </w:t>
      </w:r>
      <w:r w:rsidRPr="00F87278">
        <w:t xml:space="preserve">PB Statements. </w:t>
      </w:r>
    </w:p>
    <w:p w14:paraId="55C90C09" w14:textId="77777777" w:rsidR="00F87278" w:rsidRPr="00F87278" w:rsidRDefault="00F87278" w:rsidP="00F87278">
      <w:pPr>
        <w:pBdr>
          <w:top w:val="single" w:sz="2" w:space="6" w:color="auto"/>
          <w:left w:val="single" w:sz="2" w:space="4" w:color="auto"/>
          <w:bottom w:val="single" w:sz="2" w:space="6" w:color="auto"/>
          <w:right w:val="single" w:sz="2" w:space="4" w:color="auto"/>
        </w:pBdr>
        <w:spacing w:after="120" w:line="240" w:lineRule="auto"/>
        <w:rPr>
          <w:b/>
        </w:rPr>
      </w:pPr>
      <w:r w:rsidRPr="00F87278">
        <w:rPr>
          <w:b/>
        </w:rPr>
        <w:t>Note:</w:t>
      </w:r>
    </w:p>
    <w:p w14:paraId="13CB05B5" w14:textId="7D71A9DD" w:rsidR="00CE74D1" w:rsidRDefault="00F87278" w:rsidP="00CE74D1">
      <w:pPr>
        <w:pBdr>
          <w:top w:val="single" w:sz="2" w:space="6" w:color="auto"/>
          <w:left w:val="single" w:sz="2" w:space="4" w:color="auto"/>
          <w:bottom w:val="single" w:sz="2" w:space="6" w:color="auto"/>
          <w:right w:val="single" w:sz="2" w:space="4" w:color="auto"/>
        </w:pBdr>
        <w:spacing w:after="0"/>
        <w:jc w:val="left"/>
        <w:rPr>
          <w:color w:val="000000"/>
        </w:rPr>
      </w:pPr>
      <w:r w:rsidRPr="00F87278">
        <w:t xml:space="preserve">The most recent corporate plan for CASA can be found at: </w:t>
      </w:r>
      <w:hyperlink r:id="rId82" w:history="1">
        <w:r w:rsidRPr="00F87278">
          <w:rPr>
            <w:color w:val="000000"/>
          </w:rPr>
          <w:t>Corporate plan 2021-22 | Civil Aviation Safety Authority (</w:t>
        </w:r>
        <w:r w:rsidRPr="00CE74D1">
          <w:rPr>
            <w:color w:val="000000"/>
            <w:u w:val="single"/>
          </w:rPr>
          <w:t>casa.gov.au</w:t>
        </w:r>
        <w:r w:rsidRPr="00F87278">
          <w:rPr>
            <w:color w:val="000000"/>
          </w:rPr>
          <w:t>)</w:t>
        </w:r>
      </w:hyperlink>
      <w:r w:rsidR="00CE74D1">
        <w:rPr>
          <w:color w:val="000000"/>
        </w:rPr>
        <w:t xml:space="preserve"> </w:t>
      </w:r>
    </w:p>
    <w:p w14:paraId="4817701E" w14:textId="28DBD019" w:rsidR="00F87278" w:rsidRPr="00F87278" w:rsidRDefault="00CE74D1" w:rsidP="00CE74D1">
      <w:pPr>
        <w:pBdr>
          <w:top w:val="single" w:sz="2" w:space="6" w:color="auto"/>
          <w:left w:val="single" w:sz="2" w:space="4" w:color="auto"/>
          <w:bottom w:val="single" w:sz="2" w:space="6" w:color="auto"/>
          <w:right w:val="single" w:sz="2" w:space="4" w:color="auto"/>
        </w:pBdr>
        <w:jc w:val="left"/>
      </w:pPr>
      <w:r w:rsidRPr="00CE74D1">
        <w:rPr>
          <w:color w:val="000000"/>
          <w:u w:val="single"/>
        </w:rPr>
        <w:t>https://www.casa.gov.au/content-search/corporate-plans/corporate-plan-2020-21</w:t>
      </w:r>
      <w:r w:rsidR="00F87278" w:rsidRPr="00F87278">
        <w:t>.</w:t>
      </w:r>
    </w:p>
    <w:p w14:paraId="71169558" w14:textId="0C8E6BD0" w:rsidR="00CE74D1" w:rsidRDefault="00F87278" w:rsidP="00CE74D1">
      <w:pPr>
        <w:pBdr>
          <w:top w:val="single" w:sz="2" w:space="6" w:color="auto"/>
          <w:left w:val="single" w:sz="2" w:space="4" w:color="auto"/>
          <w:bottom w:val="single" w:sz="2" w:space="6" w:color="auto"/>
          <w:right w:val="single" w:sz="2" w:space="4" w:color="auto"/>
        </w:pBdr>
        <w:spacing w:after="0"/>
        <w:jc w:val="left"/>
        <w:rPr>
          <w:color w:val="000000"/>
        </w:rPr>
      </w:pPr>
      <w:r w:rsidRPr="00F87278">
        <w:t xml:space="preserve">The most recent annual performance statement can be found at: </w:t>
      </w:r>
      <w:hyperlink r:id="rId83" w:history="1">
        <w:r w:rsidRPr="00F87278">
          <w:rPr>
            <w:color w:val="000000"/>
          </w:rPr>
          <w:t>Annual Report 2020</w:t>
        </w:r>
        <w:r w:rsidR="00CE74D1">
          <w:rPr>
            <w:color w:val="000000"/>
          </w:rPr>
          <w:noBreakHyphen/>
        </w:r>
        <w:r w:rsidRPr="00F87278">
          <w:rPr>
            <w:color w:val="000000"/>
          </w:rPr>
          <w:t>21 | Civil Aviation Safety Authority (</w:t>
        </w:r>
        <w:r w:rsidRPr="00CE74D1">
          <w:rPr>
            <w:color w:val="000000"/>
            <w:u w:val="single"/>
          </w:rPr>
          <w:t>casa.gov.au</w:t>
        </w:r>
        <w:r w:rsidRPr="00F87278">
          <w:rPr>
            <w:color w:val="000000"/>
          </w:rPr>
          <w:t>)</w:t>
        </w:r>
      </w:hyperlink>
      <w:r w:rsidR="00CE74D1">
        <w:rPr>
          <w:color w:val="000000"/>
        </w:rPr>
        <w:t xml:space="preserve"> </w:t>
      </w:r>
    </w:p>
    <w:p w14:paraId="4635182C" w14:textId="28F2438F" w:rsidR="00F87278" w:rsidRPr="00F87278" w:rsidRDefault="00CE74D1" w:rsidP="00CE74D1">
      <w:pPr>
        <w:pBdr>
          <w:top w:val="single" w:sz="2" w:space="6" w:color="auto"/>
          <w:left w:val="single" w:sz="2" w:space="4" w:color="auto"/>
          <w:bottom w:val="single" w:sz="2" w:space="6" w:color="auto"/>
          <w:right w:val="single" w:sz="2" w:space="4" w:color="auto"/>
        </w:pBdr>
        <w:jc w:val="left"/>
        <w:rPr>
          <w:highlight w:val="yellow"/>
        </w:rPr>
      </w:pPr>
      <w:r w:rsidRPr="00CE74D1">
        <w:rPr>
          <w:color w:val="000000"/>
          <w:u w:val="single"/>
        </w:rPr>
        <w:t>https://www.casa.gov.au/content-search/annual-reports/annual-report-2020-21</w:t>
      </w:r>
      <w:r w:rsidR="00F87278" w:rsidRPr="00F87278">
        <w:t>.</w:t>
      </w:r>
    </w:p>
    <w:p w14:paraId="4B1B1611" w14:textId="312D2482" w:rsidR="00C17040" w:rsidRDefault="00C17040" w:rsidP="00886877">
      <w:pPr>
        <w:pStyle w:val="Heading3CASA"/>
      </w:pPr>
      <w:bookmarkStart w:id="414" w:name="_Toc93930024"/>
      <w:r>
        <w:t>2.</w:t>
      </w:r>
      <w:r w:rsidR="00886877">
        <w:t>2</w:t>
      </w:r>
      <w:r>
        <w:tab/>
        <w:t>Budgeted expens</w:t>
      </w:r>
      <w:r w:rsidR="00886877">
        <w:t>es and performance for Outcome 1</w:t>
      </w:r>
      <w:bookmarkEnd w:id="414"/>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F87278" w:rsidRPr="005E6F2B" w14:paraId="5C1B2B2C" w14:textId="77777777" w:rsidTr="00F87278">
        <w:tc>
          <w:tcPr>
            <w:tcW w:w="7596" w:type="dxa"/>
            <w:shd w:val="clear" w:color="auto" w:fill="E6E6E6"/>
          </w:tcPr>
          <w:p w14:paraId="3A57F9E9" w14:textId="05D34C01" w:rsidR="00F87278" w:rsidRPr="00051531" w:rsidRDefault="00F87278" w:rsidP="0040418E">
            <w:pPr>
              <w:pStyle w:val="TableColumnHeadingLeft"/>
              <w:jc w:val="left"/>
              <w:rPr>
                <w:sz w:val="20"/>
              </w:rPr>
            </w:pPr>
            <w:r w:rsidRPr="00051531">
              <w:rPr>
                <w:sz w:val="20"/>
              </w:rPr>
              <w:t>Outcome 1: Maximise aviation safety through a regulatory regime, detailed technical material on safety standards, comprehensive aviation industry oversight, risk analysis, industry consultation, education and training</w:t>
            </w:r>
          </w:p>
        </w:tc>
      </w:tr>
    </w:tbl>
    <w:p w14:paraId="5820B2A2" w14:textId="1ECFA928" w:rsidR="00F87278" w:rsidRPr="005E6F2B" w:rsidRDefault="00F87278" w:rsidP="00F87278">
      <w:pPr>
        <w:pStyle w:val="TableColumnHeadingLeft"/>
        <w:jc w:val="left"/>
      </w:pPr>
    </w:p>
    <w:p w14:paraId="4068A728" w14:textId="40EA8751" w:rsidR="00C17040" w:rsidRPr="00446612" w:rsidRDefault="00F87278" w:rsidP="00C17040">
      <w:pPr>
        <w:pStyle w:val="Heading5"/>
      </w:pPr>
      <w:r>
        <w:t>Budgeted expenses for Outcome 1</w:t>
      </w:r>
    </w:p>
    <w:p w14:paraId="09E17164" w14:textId="11B1A4CA" w:rsidR="00C17040" w:rsidRDefault="00C17040" w:rsidP="003B4729">
      <w:pPr>
        <w:jc w:val="left"/>
      </w:pPr>
      <w:r w:rsidRPr="00950281">
        <w:t xml:space="preserve">This table shows how much </w:t>
      </w:r>
      <w:r w:rsidR="00F87278">
        <w:t>CASA</w:t>
      </w:r>
      <w:r w:rsidRPr="00950281">
        <w:t xml:space="preserve"> intends to spend (on an accrual basis) on achieving the outcome, broken down by program. </w:t>
      </w:r>
    </w:p>
    <w:p w14:paraId="37409C33" w14:textId="77777777" w:rsidR="00D4130C" w:rsidRDefault="00D4130C">
      <w:pPr>
        <w:spacing w:after="0" w:line="240" w:lineRule="auto"/>
        <w:jc w:val="left"/>
        <w:rPr>
          <w:rFonts w:ascii="Arial" w:hAnsi="Arial"/>
          <w:b/>
          <w:lang w:val="x-none"/>
        </w:rPr>
      </w:pPr>
      <w:r>
        <w:br w:type="page"/>
      </w:r>
    </w:p>
    <w:p w14:paraId="28C7C439" w14:textId="4EC00304" w:rsidR="00C17040" w:rsidRPr="00F87278" w:rsidRDefault="00C17040" w:rsidP="00C17040">
      <w:pPr>
        <w:pStyle w:val="TableHeading"/>
        <w:rPr>
          <w:highlight w:val="yellow"/>
          <w:lang w:val="en-US"/>
        </w:rPr>
      </w:pPr>
      <w:r w:rsidRPr="00D93D96">
        <w:lastRenderedPageBreak/>
        <w:t>Table 2.</w:t>
      </w:r>
      <w:r w:rsidR="00F87278">
        <w:rPr>
          <w:lang w:val="en-US"/>
        </w:rPr>
        <w:t>2</w:t>
      </w:r>
      <w:r>
        <w:rPr>
          <w:lang w:val="en-AU"/>
        </w:rPr>
        <w:t>.</w:t>
      </w:r>
      <w:r w:rsidRPr="00D93D96">
        <w:t>1 Budgeted expenses</w:t>
      </w:r>
      <w:r>
        <w:rPr>
          <w:lang w:val="en-AU"/>
        </w:rPr>
        <w:t xml:space="preserve"> for</w:t>
      </w:r>
      <w:r w:rsidRPr="00D93D96">
        <w:t xml:space="preserve"> Outcome </w:t>
      </w:r>
      <w:r w:rsidR="00F87278">
        <w:rPr>
          <w:lang w:val="en-US"/>
        </w:rPr>
        <w:t>1</w:t>
      </w:r>
    </w:p>
    <w:tbl>
      <w:tblPr>
        <w:tblW w:w="7661" w:type="dxa"/>
        <w:tblLayout w:type="fixed"/>
        <w:tblLook w:val="04A0" w:firstRow="1" w:lastRow="0" w:firstColumn="1" w:lastColumn="0" w:noHBand="0" w:noVBand="1"/>
      </w:tblPr>
      <w:tblGrid>
        <w:gridCol w:w="3261"/>
        <w:gridCol w:w="880"/>
        <w:gridCol w:w="880"/>
        <w:gridCol w:w="880"/>
        <w:gridCol w:w="880"/>
        <w:gridCol w:w="880"/>
      </w:tblGrid>
      <w:tr w:rsidR="00F87278" w:rsidRPr="00F87278" w14:paraId="01DE54D0" w14:textId="77777777" w:rsidTr="00D47D34">
        <w:trPr>
          <w:trHeight w:val="535"/>
        </w:trPr>
        <w:tc>
          <w:tcPr>
            <w:tcW w:w="3261" w:type="dxa"/>
            <w:tcBorders>
              <w:top w:val="single" w:sz="4" w:space="0" w:color="auto"/>
              <w:left w:val="nil"/>
              <w:bottom w:val="nil"/>
              <w:right w:val="nil"/>
            </w:tcBorders>
            <w:shd w:val="clear" w:color="auto" w:fill="auto"/>
            <w:vAlign w:val="center"/>
            <w:hideMark/>
          </w:tcPr>
          <w:p w14:paraId="20B703E1" w14:textId="50472FB9" w:rsidR="00F87278" w:rsidRPr="00F87278" w:rsidRDefault="00C17040" w:rsidP="00F87278">
            <w:pPr>
              <w:spacing w:after="0" w:line="240" w:lineRule="auto"/>
              <w:jc w:val="left"/>
              <w:rPr>
                <w:rFonts w:ascii="Arial" w:hAnsi="Arial" w:cs="Arial"/>
                <w:b/>
                <w:bCs/>
                <w:color w:val="000000"/>
                <w:sz w:val="16"/>
                <w:szCs w:val="16"/>
              </w:rPr>
            </w:pPr>
            <w:r w:rsidRPr="004A6255">
              <w:rPr>
                <w:i/>
              </w:rPr>
              <w:t xml:space="preserve"> </w:t>
            </w:r>
            <w:r w:rsidR="00F87278" w:rsidRPr="00F87278">
              <w:rPr>
                <w:rFonts w:ascii="Arial" w:hAnsi="Arial" w:cs="Arial"/>
                <w:b/>
                <w:bCs/>
                <w:color w:val="000000"/>
                <w:sz w:val="16"/>
                <w:szCs w:val="16"/>
              </w:rPr>
              <w:t> </w:t>
            </w:r>
          </w:p>
        </w:tc>
        <w:tc>
          <w:tcPr>
            <w:tcW w:w="880" w:type="dxa"/>
            <w:tcBorders>
              <w:top w:val="single" w:sz="4" w:space="0" w:color="auto"/>
              <w:left w:val="nil"/>
              <w:bottom w:val="single" w:sz="4" w:space="0" w:color="auto"/>
              <w:right w:val="nil"/>
            </w:tcBorders>
            <w:shd w:val="clear" w:color="auto" w:fill="auto"/>
            <w:hideMark/>
          </w:tcPr>
          <w:p w14:paraId="281C9972" w14:textId="77777777"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2020-21 Actual</w:t>
            </w:r>
            <w:r w:rsidRPr="00F87278">
              <w:rPr>
                <w:rFonts w:ascii="Arial" w:hAnsi="Arial" w:cs="Arial"/>
                <w:sz w:val="16"/>
                <w:szCs w:val="16"/>
              </w:rPr>
              <w:br/>
            </w:r>
            <w:r w:rsidRPr="00F87278">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6C37618F" w14:textId="77777777"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2021-22</w:t>
            </w:r>
            <w:r w:rsidRPr="00F87278">
              <w:rPr>
                <w:rFonts w:ascii="Arial" w:hAnsi="Arial" w:cs="Arial"/>
                <w:sz w:val="16"/>
                <w:szCs w:val="16"/>
              </w:rPr>
              <w:br/>
              <w:t>Revised Budget</w:t>
            </w:r>
            <w:r w:rsidRPr="00F87278">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23A69F2A" w14:textId="77777777"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2022-23 Forward estimate</w:t>
            </w:r>
            <w:r w:rsidRPr="00F87278">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4A34DD9B" w14:textId="77777777"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2023-24 Forward estimate</w:t>
            </w:r>
            <w:r w:rsidRPr="00F87278">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69266ADB" w14:textId="77777777"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2024-25</w:t>
            </w:r>
            <w:r w:rsidRPr="00F87278">
              <w:rPr>
                <w:rFonts w:ascii="Arial" w:hAnsi="Arial" w:cs="Arial"/>
                <w:sz w:val="16"/>
                <w:szCs w:val="16"/>
              </w:rPr>
              <w:br/>
              <w:t>Forward estimate</w:t>
            </w:r>
            <w:r w:rsidRPr="00F87278">
              <w:rPr>
                <w:rFonts w:ascii="Arial" w:hAnsi="Arial" w:cs="Arial"/>
                <w:sz w:val="16"/>
                <w:szCs w:val="16"/>
              </w:rPr>
              <w:br/>
              <w:t>$'000</w:t>
            </w:r>
          </w:p>
        </w:tc>
      </w:tr>
      <w:tr w:rsidR="00F87278" w:rsidRPr="00F87278" w14:paraId="46921273" w14:textId="77777777" w:rsidTr="003C1698">
        <w:trPr>
          <w:trHeight w:val="229"/>
        </w:trPr>
        <w:tc>
          <w:tcPr>
            <w:tcW w:w="7661" w:type="dxa"/>
            <w:gridSpan w:val="6"/>
            <w:tcBorders>
              <w:top w:val="single" w:sz="4" w:space="0" w:color="auto"/>
              <w:left w:val="nil"/>
              <w:bottom w:val="single" w:sz="4" w:space="0" w:color="auto"/>
              <w:right w:val="nil"/>
            </w:tcBorders>
            <w:shd w:val="clear" w:color="000000" w:fill="E6E6E6"/>
            <w:vAlign w:val="center"/>
            <w:hideMark/>
          </w:tcPr>
          <w:p w14:paraId="49686FB3" w14:textId="77777777" w:rsidR="00F87278" w:rsidRPr="00F87278" w:rsidRDefault="00F87278" w:rsidP="00F87278">
            <w:pPr>
              <w:spacing w:after="0" w:line="240" w:lineRule="auto"/>
              <w:jc w:val="left"/>
              <w:rPr>
                <w:rFonts w:ascii="Arial" w:hAnsi="Arial" w:cs="Arial"/>
                <w:b/>
                <w:bCs/>
                <w:sz w:val="16"/>
                <w:szCs w:val="16"/>
              </w:rPr>
            </w:pPr>
            <w:r w:rsidRPr="00F87278">
              <w:rPr>
                <w:rFonts w:ascii="Arial" w:hAnsi="Arial" w:cs="Arial"/>
                <w:b/>
                <w:bCs/>
                <w:sz w:val="16"/>
                <w:szCs w:val="16"/>
              </w:rPr>
              <w:t>Program 1.1: Civil Aviation Safety Authority</w:t>
            </w:r>
          </w:p>
        </w:tc>
      </w:tr>
      <w:tr w:rsidR="00F87278" w:rsidRPr="00F87278" w14:paraId="03641944" w14:textId="77777777" w:rsidTr="003C1698">
        <w:trPr>
          <w:trHeight w:val="204"/>
        </w:trPr>
        <w:tc>
          <w:tcPr>
            <w:tcW w:w="3261" w:type="dxa"/>
            <w:tcBorders>
              <w:top w:val="nil"/>
              <w:left w:val="nil"/>
              <w:bottom w:val="nil"/>
              <w:right w:val="nil"/>
            </w:tcBorders>
            <w:shd w:val="clear" w:color="auto" w:fill="auto"/>
            <w:noWrap/>
            <w:vAlign w:val="center"/>
            <w:hideMark/>
          </w:tcPr>
          <w:p w14:paraId="6CDAB03F" w14:textId="77777777" w:rsidR="00F87278" w:rsidRPr="00F87278" w:rsidRDefault="00F87278" w:rsidP="00F87278">
            <w:pPr>
              <w:spacing w:after="0" w:line="240" w:lineRule="auto"/>
              <w:jc w:val="left"/>
              <w:rPr>
                <w:rFonts w:ascii="Arial" w:hAnsi="Arial" w:cs="Arial"/>
                <w:sz w:val="16"/>
                <w:szCs w:val="16"/>
              </w:rPr>
            </w:pPr>
            <w:r w:rsidRPr="00F87278">
              <w:rPr>
                <w:rFonts w:ascii="Arial" w:hAnsi="Arial" w:cs="Arial"/>
                <w:sz w:val="16"/>
                <w:szCs w:val="16"/>
              </w:rPr>
              <w:t>Revenue from Government</w:t>
            </w:r>
          </w:p>
        </w:tc>
        <w:tc>
          <w:tcPr>
            <w:tcW w:w="880" w:type="dxa"/>
            <w:tcBorders>
              <w:top w:val="nil"/>
              <w:left w:val="nil"/>
              <w:bottom w:val="nil"/>
              <w:right w:val="nil"/>
            </w:tcBorders>
            <w:shd w:val="clear" w:color="auto" w:fill="auto"/>
            <w:noWrap/>
            <w:vAlign w:val="bottom"/>
            <w:hideMark/>
          </w:tcPr>
          <w:p w14:paraId="1CA8655D" w14:textId="77777777" w:rsidR="00F87278" w:rsidRPr="00F87278" w:rsidRDefault="00F87278" w:rsidP="00F87278">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34559A9" w14:textId="4B05AEB3" w:rsidR="00F87278" w:rsidRPr="00F87278" w:rsidRDefault="00F87278" w:rsidP="00F87278">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168D56B4" w14:textId="77777777" w:rsidR="00F87278" w:rsidRPr="00F87278" w:rsidRDefault="00F87278" w:rsidP="00F87278">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743F49C" w14:textId="77777777" w:rsidR="00F87278" w:rsidRPr="00F87278" w:rsidRDefault="00F87278" w:rsidP="00F87278">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150BDE84" w14:textId="77777777" w:rsidR="00F87278" w:rsidRPr="00F87278" w:rsidRDefault="00F87278" w:rsidP="00F87278">
            <w:pPr>
              <w:spacing w:after="0" w:line="240" w:lineRule="auto"/>
              <w:jc w:val="right"/>
              <w:rPr>
                <w:rFonts w:ascii="Times New Roman" w:hAnsi="Times New Roman"/>
              </w:rPr>
            </w:pPr>
          </w:p>
        </w:tc>
      </w:tr>
      <w:tr w:rsidR="00F87278" w:rsidRPr="00F87278" w14:paraId="43581098" w14:textId="77777777" w:rsidTr="003C1698">
        <w:trPr>
          <w:trHeight w:val="204"/>
        </w:trPr>
        <w:tc>
          <w:tcPr>
            <w:tcW w:w="3261" w:type="dxa"/>
            <w:tcBorders>
              <w:top w:val="nil"/>
              <w:left w:val="nil"/>
              <w:bottom w:val="nil"/>
              <w:right w:val="nil"/>
            </w:tcBorders>
            <w:shd w:val="clear" w:color="auto" w:fill="auto"/>
            <w:vAlign w:val="center"/>
            <w:hideMark/>
          </w:tcPr>
          <w:p w14:paraId="3229F8BB" w14:textId="223D74C0" w:rsidR="00F87278" w:rsidRPr="00F87278" w:rsidRDefault="00F87278" w:rsidP="00F87278">
            <w:pPr>
              <w:spacing w:after="0" w:line="240" w:lineRule="auto"/>
              <w:ind w:left="113"/>
              <w:jc w:val="left"/>
              <w:rPr>
                <w:rFonts w:ascii="Arial" w:hAnsi="Arial" w:cs="Arial"/>
                <w:sz w:val="16"/>
                <w:szCs w:val="16"/>
              </w:rPr>
            </w:pPr>
            <w:r w:rsidRPr="00F87278">
              <w:rPr>
                <w:rFonts w:ascii="Arial" w:hAnsi="Arial" w:cs="Arial"/>
                <w:sz w:val="16"/>
                <w:szCs w:val="16"/>
              </w:rPr>
              <w:t>Ordinary annual services (Appropriation Bill No. 1)</w:t>
            </w:r>
          </w:p>
        </w:tc>
        <w:tc>
          <w:tcPr>
            <w:tcW w:w="880" w:type="dxa"/>
            <w:tcBorders>
              <w:top w:val="nil"/>
              <w:left w:val="nil"/>
              <w:bottom w:val="nil"/>
              <w:right w:val="nil"/>
            </w:tcBorders>
            <w:shd w:val="clear" w:color="auto" w:fill="auto"/>
            <w:noWrap/>
            <w:vAlign w:val="bottom"/>
            <w:hideMark/>
          </w:tcPr>
          <w:p w14:paraId="0F37EC29" w14:textId="340BF753" w:rsidR="00F87278" w:rsidRPr="00F87278" w:rsidRDefault="00F87278" w:rsidP="00F87278">
            <w:pPr>
              <w:spacing w:after="0" w:line="240" w:lineRule="auto"/>
              <w:jc w:val="right"/>
              <w:rPr>
                <w:rFonts w:ascii="Arial" w:hAnsi="Arial" w:cs="Arial"/>
                <w:color w:val="000000"/>
                <w:sz w:val="16"/>
                <w:szCs w:val="16"/>
              </w:rPr>
            </w:pPr>
            <w:r w:rsidRPr="00F87278">
              <w:rPr>
                <w:rFonts w:ascii="Arial" w:hAnsi="Arial" w:cs="Arial"/>
                <w:color w:val="000000"/>
                <w:sz w:val="16"/>
                <w:szCs w:val="16"/>
              </w:rPr>
              <w:t>128,424</w:t>
            </w:r>
          </w:p>
        </w:tc>
        <w:tc>
          <w:tcPr>
            <w:tcW w:w="880" w:type="dxa"/>
            <w:tcBorders>
              <w:top w:val="nil"/>
              <w:left w:val="nil"/>
              <w:bottom w:val="nil"/>
              <w:right w:val="nil"/>
            </w:tcBorders>
            <w:shd w:val="clear" w:color="000000" w:fill="E6E6E6"/>
            <w:noWrap/>
            <w:vAlign w:val="bottom"/>
            <w:hideMark/>
          </w:tcPr>
          <w:p w14:paraId="6F6BACA5" w14:textId="4A1BED04"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122,082</w:t>
            </w:r>
          </w:p>
        </w:tc>
        <w:tc>
          <w:tcPr>
            <w:tcW w:w="880" w:type="dxa"/>
            <w:tcBorders>
              <w:top w:val="nil"/>
              <w:left w:val="nil"/>
              <w:bottom w:val="nil"/>
              <w:right w:val="nil"/>
            </w:tcBorders>
            <w:shd w:val="clear" w:color="auto" w:fill="auto"/>
            <w:noWrap/>
            <w:vAlign w:val="bottom"/>
            <w:hideMark/>
          </w:tcPr>
          <w:p w14:paraId="10CB2849" w14:textId="2C607F55"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74,609</w:t>
            </w:r>
          </w:p>
        </w:tc>
        <w:tc>
          <w:tcPr>
            <w:tcW w:w="880" w:type="dxa"/>
            <w:tcBorders>
              <w:top w:val="nil"/>
              <w:left w:val="nil"/>
              <w:bottom w:val="nil"/>
              <w:right w:val="nil"/>
            </w:tcBorders>
            <w:shd w:val="clear" w:color="auto" w:fill="auto"/>
            <w:noWrap/>
            <w:vAlign w:val="bottom"/>
            <w:hideMark/>
          </w:tcPr>
          <w:p w14:paraId="5CD53330" w14:textId="0D01A14B"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73,183</w:t>
            </w:r>
          </w:p>
        </w:tc>
        <w:tc>
          <w:tcPr>
            <w:tcW w:w="880" w:type="dxa"/>
            <w:tcBorders>
              <w:top w:val="nil"/>
              <w:left w:val="nil"/>
              <w:bottom w:val="nil"/>
              <w:right w:val="nil"/>
            </w:tcBorders>
            <w:shd w:val="clear" w:color="auto" w:fill="auto"/>
            <w:noWrap/>
            <w:vAlign w:val="bottom"/>
            <w:hideMark/>
          </w:tcPr>
          <w:p w14:paraId="7A199AE4" w14:textId="129583AE"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40,903</w:t>
            </w:r>
          </w:p>
        </w:tc>
      </w:tr>
      <w:tr w:rsidR="00F87278" w:rsidRPr="00F87278" w14:paraId="2C0AA5FC" w14:textId="77777777" w:rsidTr="003C1698">
        <w:trPr>
          <w:trHeight w:val="204"/>
        </w:trPr>
        <w:tc>
          <w:tcPr>
            <w:tcW w:w="3261" w:type="dxa"/>
            <w:tcBorders>
              <w:top w:val="nil"/>
              <w:left w:val="nil"/>
              <w:bottom w:val="nil"/>
              <w:right w:val="nil"/>
            </w:tcBorders>
            <w:shd w:val="clear" w:color="auto" w:fill="auto"/>
            <w:noWrap/>
            <w:vAlign w:val="center"/>
            <w:hideMark/>
          </w:tcPr>
          <w:p w14:paraId="24816320" w14:textId="77777777" w:rsidR="00F87278" w:rsidRPr="00F87278" w:rsidRDefault="00F87278" w:rsidP="00F87278">
            <w:pPr>
              <w:spacing w:after="0" w:line="240" w:lineRule="auto"/>
              <w:ind w:left="113"/>
              <w:jc w:val="left"/>
              <w:rPr>
                <w:rFonts w:ascii="Arial" w:hAnsi="Arial" w:cs="Arial"/>
                <w:sz w:val="16"/>
                <w:szCs w:val="16"/>
              </w:rPr>
            </w:pPr>
            <w:r w:rsidRPr="00F87278">
              <w:rPr>
                <w:rFonts w:ascii="Arial" w:hAnsi="Arial" w:cs="Arial"/>
                <w:sz w:val="16"/>
                <w:szCs w:val="16"/>
              </w:rPr>
              <w:t>Special appropriations</w:t>
            </w:r>
          </w:p>
        </w:tc>
        <w:tc>
          <w:tcPr>
            <w:tcW w:w="880" w:type="dxa"/>
            <w:tcBorders>
              <w:top w:val="nil"/>
              <w:left w:val="nil"/>
              <w:bottom w:val="nil"/>
              <w:right w:val="nil"/>
            </w:tcBorders>
            <w:shd w:val="clear" w:color="auto" w:fill="auto"/>
            <w:noWrap/>
            <w:vAlign w:val="bottom"/>
            <w:hideMark/>
          </w:tcPr>
          <w:p w14:paraId="12C4762E" w14:textId="77777777" w:rsidR="00F87278" w:rsidRPr="00F87278" w:rsidRDefault="00F87278" w:rsidP="00F87278">
            <w:pPr>
              <w:spacing w:after="0" w:line="240" w:lineRule="auto"/>
              <w:ind w:firstLineChars="100" w:firstLine="160"/>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5F674FE" w14:textId="0CE95DFD" w:rsidR="00F87278" w:rsidRPr="00F87278" w:rsidRDefault="00F87278" w:rsidP="00F87278">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2AF2E32E" w14:textId="77777777" w:rsidR="00F87278" w:rsidRPr="00F87278" w:rsidRDefault="00F87278" w:rsidP="00F87278">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3022A50" w14:textId="77777777" w:rsidR="00F87278" w:rsidRPr="00F87278" w:rsidRDefault="00F87278" w:rsidP="00F87278">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451E074B" w14:textId="77777777" w:rsidR="00F87278" w:rsidRPr="00F87278" w:rsidRDefault="00F87278" w:rsidP="00F87278">
            <w:pPr>
              <w:spacing w:after="0" w:line="240" w:lineRule="auto"/>
              <w:jc w:val="right"/>
              <w:rPr>
                <w:rFonts w:ascii="Times New Roman" w:hAnsi="Times New Roman"/>
              </w:rPr>
            </w:pPr>
          </w:p>
        </w:tc>
      </w:tr>
      <w:tr w:rsidR="00F87278" w:rsidRPr="00F87278" w14:paraId="0F036337" w14:textId="77777777" w:rsidTr="003C1698">
        <w:trPr>
          <w:trHeight w:val="204"/>
        </w:trPr>
        <w:tc>
          <w:tcPr>
            <w:tcW w:w="3261" w:type="dxa"/>
            <w:tcBorders>
              <w:top w:val="nil"/>
              <w:left w:val="nil"/>
              <w:bottom w:val="nil"/>
              <w:right w:val="nil"/>
            </w:tcBorders>
            <w:shd w:val="clear" w:color="auto" w:fill="auto"/>
            <w:vAlign w:val="center"/>
            <w:hideMark/>
          </w:tcPr>
          <w:p w14:paraId="2F8E70F1" w14:textId="77777777" w:rsidR="00F87278" w:rsidRPr="00F87278" w:rsidRDefault="00F87278" w:rsidP="00F87278">
            <w:pPr>
              <w:spacing w:after="0" w:line="240" w:lineRule="auto"/>
              <w:ind w:left="227"/>
              <w:jc w:val="left"/>
              <w:rPr>
                <w:rFonts w:ascii="Arial" w:hAnsi="Arial" w:cs="Arial"/>
                <w:i/>
                <w:iCs/>
                <w:sz w:val="16"/>
                <w:szCs w:val="16"/>
              </w:rPr>
            </w:pPr>
            <w:r w:rsidRPr="00F87278">
              <w:rPr>
                <w:rFonts w:ascii="Arial" w:hAnsi="Arial" w:cs="Arial"/>
                <w:i/>
                <w:iCs/>
                <w:sz w:val="16"/>
                <w:szCs w:val="16"/>
              </w:rPr>
              <w:t>Special appropriation Aviation Fuel Revenues (Special Appropriation) Act 1988</w:t>
            </w:r>
          </w:p>
        </w:tc>
        <w:tc>
          <w:tcPr>
            <w:tcW w:w="880" w:type="dxa"/>
            <w:tcBorders>
              <w:top w:val="nil"/>
              <w:left w:val="nil"/>
              <w:bottom w:val="nil"/>
              <w:right w:val="nil"/>
            </w:tcBorders>
            <w:shd w:val="clear" w:color="auto" w:fill="auto"/>
            <w:noWrap/>
            <w:vAlign w:val="bottom"/>
            <w:hideMark/>
          </w:tcPr>
          <w:p w14:paraId="068F9077" w14:textId="6FC77A17" w:rsidR="00F87278" w:rsidRPr="00F87278" w:rsidRDefault="00F87278" w:rsidP="00F87278">
            <w:pPr>
              <w:spacing w:after="0" w:line="240" w:lineRule="auto"/>
              <w:jc w:val="right"/>
              <w:rPr>
                <w:rFonts w:ascii="Arial" w:hAnsi="Arial" w:cs="Arial"/>
                <w:color w:val="000000"/>
                <w:sz w:val="16"/>
                <w:szCs w:val="16"/>
              </w:rPr>
            </w:pPr>
            <w:r w:rsidRPr="00F87278">
              <w:rPr>
                <w:rFonts w:ascii="Arial" w:hAnsi="Arial" w:cs="Arial"/>
                <w:color w:val="000000"/>
                <w:sz w:val="16"/>
                <w:szCs w:val="16"/>
              </w:rPr>
              <w:t>68,720</w:t>
            </w:r>
          </w:p>
        </w:tc>
        <w:tc>
          <w:tcPr>
            <w:tcW w:w="880" w:type="dxa"/>
            <w:tcBorders>
              <w:top w:val="nil"/>
              <w:left w:val="nil"/>
              <w:bottom w:val="nil"/>
              <w:right w:val="nil"/>
            </w:tcBorders>
            <w:shd w:val="clear" w:color="000000" w:fill="E6E6E6"/>
            <w:noWrap/>
            <w:vAlign w:val="bottom"/>
            <w:hideMark/>
          </w:tcPr>
          <w:p w14:paraId="4CA5E093" w14:textId="52A3B3A0"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85,300</w:t>
            </w:r>
          </w:p>
        </w:tc>
        <w:tc>
          <w:tcPr>
            <w:tcW w:w="880" w:type="dxa"/>
            <w:tcBorders>
              <w:top w:val="nil"/>
              <w:left w:val="nil"/>
              <w:bottom w:val="nil"/>
              <w:right w:val="nil"/>
            </w:tcBorders>
            <w:shd w:val="clear" w:color="auto" w:fill="auto"/>
            <w:noWrap/>
            <w:vAlign w:val="bottom"/>
            <w:hideMark/>
          </w:tcPr>
          <w:p w14:paraId="12A53BDA" w14:textId="6D2ED0EC"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105,600</w:t>
            </w:r>
          </w:p>
        </w:tc>
        <w:tc>
          <w:tcPr>
            <w:tcW w:w="880" w:type="dxa"/>
            <w:tcBorders>
              <w:top w:val="nil"/>
              <w:left w:val="nil"/>
              <w:bottom w:val="nil"/>
              <w:right w:val="nil"/>
            </w:tcBorders>
            <w:shd w:val="clear" w:color="auto" w:fill="auto"/>
            <w:noWrap/>
            <w:vAlign w:val="bottom"/>
            <w:hideMark/>
          </w:tcPr>
          <w:p w14:paraId="67F5C281" w14:textId="3811D8BC"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107,900</w:t>
            </w:r>
          </w:p>
        </w:tc>
        <w:tc>
          <w:tcPr>
            <w:tcW w:w="880" w:type="dxa"/>
            <w:tcBorders>
              <w:top w:val="nil"/>
              <w:left w:val="nil"/>
              <w:bottom w:val="nil"/>
              <w:right w:val="nil"/>
            </w:tcBorders>
            <w:shd w:val="clear" w:color="auto" w:fill="auto"/>
            <w:noWrap/>
            <w:vAlign w:val="bottom"/>
            <w:hideMark/>
          </w:tcPr>
          <w:p w14:paraId="5A33C46D" w14:textId="1FB46676"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112,700</w:t>
            </w:r>
          </w:p>
        </w:tc>
      </w:tr>
      <w:tr w:rsidR="00F87278" w:rsidRPr="00F87278" w14:paraId="67B7DEF9" w14:textId="77777777" w:rsidTr="003C1698">
        <w:trPr>
          <w:trHeight w:val="204"/>
        </w:trPr>
        <w:tc>
          <w:tcPr>
            <w:tcW w:w="3261" w:type="dxa"/>
            <w:tcBorders>
              <w:top w:val="nil"/>
              <w:left w:val="nil"/>
              <w:bottom w:val="nil"/>
              <w:right w:val="nil"/>
            </w:tcBorders>
            <w:shd w:val="clear" w:color="auto" w:fill="auto"/>
            <w:vAlign w:val="center"/>
            <w:hideMark/>
          </w:tcPr>
          <w:p w14:paraId="1001F1C0" w14:textId="4AEA8B39" w:rsidR="00F87278" w:rsidRPr="00F87278" w:rsidRDefault="00F87278" w:rsidP="00F87278">
            <w:pPr>
              <w:spacing w:after="0" w:line="240" w:lineRule="auto"/>
              <w:ind w:left="113"/>
              <w:jc w:val="left"/>
              <w:rPr>
                <w:rFonts w:ascii="Arial" w:hAnsi="Arial" w:cs="Arial"/>
                <w:sz w:val="16"/>
                <w:szCs w:val="16"/>
              </w:rPr>
            </w:pPr>
            <w:r w:rsidRPr="00F87278">
              <w:rPr>
                <w:rFonts w:ascii="Arial" w:hAnsi="Arial" w:cs="Arial"/>
                <w:sz w:val="16"/>
                <w:szCs w:val="16"/>
              </w:rPr>
              <w:t>Expenses not requiring</w:t>
            </w:r>
            <w:r>
              <w:rPr>
                <w:rFonts w:ascii="Arial" w:hAnsi="Arial" w:cs="Arial"/>
                <w:sz w:val="16"/>
                <w:szCs w:val="16"/>
              </w:rPr>
              <w:t xml:space="preserve"> </w:t>
            </w:r>
            <w:r w:rsidRPr="00F87278">
              <w:rPr>
                <w:rFonts w:ascii="Arial" w:hAnsi="Arial" w:cs="Arial"/>
                <w:sz w:val="16"/>
                <w:szCs w:val="16"/>
              </w:rPr>
              <w:t>appropriation in the budget year</w:t>
            </w:r>
            <w:r w:rsidR="00307BC3" w:rsidRPr="00F87278">
              <w:rPr>
                <w:rFonts w:ascii="Arial" w:hAnsi="Arial" w:cs="Arial"/>
                <w:sz w:val="16"/>
                <w:szCs w:val="16"/>
              </w:rPr>
              <w:t xml:space="preserve"> </w:t>
            </w:r>
            <w:r w:rsidR="00307BC3" w:rsidRPr="00F87278">
              <w:rPr>
                <w:rFonts w:ascii="Arial" w:hAnsi="Arial" w:cs="Arial"/>
                <w:sz w:val="16"/>
                <w:szCs w:val="16"/>
                <w:vertAlign w:val="superscript"/>
              </w:rPr>
              <w:t>(a)</w:t>
            </w:r>
          </w:p>
        </w:tc>
        <w:tc>
          <w:tcPr>
            <w:tcW w:w="880" w:type="dxa"/>
            <w:tcBorders>
              <w:top w:val="nil"/>
              <w:left w:val="nil"/>
              <w:bottom w:val="nil"/>
              <w:right w:val="nil"/>
            </w:tcBorders>
            <w:shd w:val="clear" w:color="auto" w:fill="auto"/>
            <w:noWrap/>
            <w:vAlign w:val="bottom"/>
            <w:hideMark/>
          </w:tcPr>
          <w:p w14:paraId="35A41224" w14:textId="77777777" w:rsidR="00F87278" w:rsidRPr="00F87278" w:rsidRDefault="00F87278" w:rsidP="00F87278">
            <w:pPr>
              <w:spacing w:after="0" w:line="240" w:lineRule="auto"/>
              <w:jc w:val="right"/>
              <w:rPr>
                <w:rFonts w:ascii="Arial" w:hAnsi="Arial" w:cs="Arial"/>
                <w:color w:val="000000"/>
                <w:sz w:val="16"/>
                <w:szCs w:val="16"/>
              </w:rPr>
            </w:pPr>
            <w:r w:rsidRPr="00F87278">
              <w:rPr>
                <w:rFonts w:ascii="Arial" w:hAnsi="Arial" w:cs="Arial"/>
                <w:color w:val="000000"/>
                <w:sz w:val="16"/>
                <w:szCs w:val="16"/>
              </w:rPr>
              <w:t>(16,206)</w:t>
            </w:r>
          </w:p>
        </w:tc>
        <w:tc>
          <w:tcPr>
            <w:tcW w:w="880" w:type="dxa"/>
            <w:tcBorders>
              <w:top w:val="nil"/>
              <w:left w:val="nil"/>
              <w:bottom w:val="nil"/>
              <w:right w:val="nil"/>
            </w:tcBorders>
            <w:shd w:val="clear" w:color="000000" w:fill="E6E6E6"/>
            <w:noWrap/>
            <w:vAlign w:val="bottom"/>
            <w:hideMark/>
          </w:tcPr>
          <w:p w14:paraId="7258BC2D" w14:textId="66CB7F40"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51380707" w14:textId="27DDB7E8"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821</w:t>
            </w:r>
          </w:p>
        </w:tc>
        <w:tc>
          <w:tcPr>
            <w:tcW w:w="880" w:type="dxa"/>
            <w:tcBorders>
              <w:top w:val="nil"/>
              <w:left w:val="nil"/>
              <w:bottom w:val="nil"/>
              <w:right w:val="nil"/>
            </w:tcBorders>
            <w:shd w:val="clear" w:color="auto" w:fill="auto"/>
            <w:noWrap/>
            <w:vAlign w:val="bottom"/>
            <w:hideMark/>
          </w:tcPr>
          <w:p w14:paraId="6D727AF8" w14:textId="7FE50A35"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4,457</w:t>
            </w:r>
          </w:p>
        </w:tc>
        <w:tc>
          <w:tcPr>
            <w:tcW w:w="880" w:type="dxa"/>
            <w:tcBorders>
              <w:top w:val="nil"/>
              <w:left w:val="nil"/>
              <w:bottom w:val="nil"/>
              <w:right w:val="nil"/>
            </w:tcBorders>
            <w:shd w:val="clear" w:color="auto" w:fill="auto"/>
            <w:noWrap/>
            <w:vAlign w:val="bottom"/>
            <w:hideMark/>
          </w:tcPr>
          <w:p w14:paraId="5BE47DB8" w14:textId="10C585AC"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36,107</w:t>
            </w:r>
          </w:p>
        </w:tc>
      </w:tr>
      <w:tr w:rsidR="00F87278" w:rsidRPr="00F87278" w14:paraId="511337F7" w14:textId="77777777" w:rsidTr="003C1698">
        <w:trPr>
          <w:trHeight w:val="204"/>
        </w:trPr>
        <w:tc>
          <w:tcPr>
            <w:tcW w:w="3261" w:type="dxa"/>
            <w:tcBorders>
              <w:top w:val="nil"/>
              <w:left w:val="nil"/>
              <w:bottom w:val="nil"/>
              <w:right w:val="nil"/>
            </w:tcBorders>
            <w:shd w:val="clear" w:color="auto" w:fill="auto"/>
            <w:noWrap/>
            <w:vAlign w:val="center"/>
            <w:hideMark/>
          </w:tcPr>
          <w:p w14:paraId="13F1DC36" w14:textId="77777777" w:rsidR="00F87278" w:rsidRPr="00F87278" w:rsidRDefault="00F87278" w:rsidP="00F87278">
            <w:pPr>
              <w:spacing w:after="0" w:line="240" w:lineRule="auto"/>
              <w:jc w:val="left"/>
              <w:rPr>
                <w:rFonts w:ascii="Arial" w:hAnsi="Arial" w:cs="Arial"/>
                <w:sz w:val="16"/>
                <w:szCs w:val="16"/>
              </w:rPr>
            </w:pPr>
            <w:r w:rsidRPr="00F87278">
              <w:rPr>
                <w:rFonts w:ascii="Arial" w:hAnsi="Arial" w:cs="Arial"/>
                <w:sz w:val="16"/>
                <w:szCs w:val="16"/>
              </w:rPr>
              <w:t xml:space="preserve">Revenues from industry sources </w:t>
            </w:r>
          </w:p>
        </w:tc>
        <w:tc>
          <w:tcPr>
            <w:tcW w:w="880" w:type="dxa"/>
            <w:tcBorders>
              <w:top w:val="nil"/>
              <w:left w:val="nil"/>
              <w:bottom w:val="nil"/>
              <w:right w:val="nil"/>
            </w:tcBorders>
            <w:shd w:val="clear" w:color="auto" w:fill="auto"/>
            <w:noWrap/>
            <w:vAlign w:val="bottom"/>
            <w:hideMark/>
          </w:tcPr>
          <w:p w14:paraId="4099D0B8" w14:textId="77777777" w:rsidR="00F87278" w:rsidRPr="00F87278" w:rsidRDefault="00F87278" w:rsidP="00F87278">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67E8F929" w14:textId="04A5D90D" w:rsidR="00F87278" w:rsidRPr="00F87278" w:rsidRDefault="00F87278" w:rsidP="00F87278">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FAB7D52" w14:textId="77777777" w:rsidR="00F87278" w:rsidRPr="00F87278" w:rsidRDefault="00F87278" w:rsidP="00F87278">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20F3B46B" w14:textId="77777777" w:rsidR="00F87278" w:rsidRPr="00F87278" w:rsidRDefault="00F87278" w:rsidP="00F87278">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405D29A3" w14:textId="77777777" w:rsidR="00F87278" w:rsidRPr="00F87278" w:rsidRDefault="00F87278" w:rsidP="00F87278">
            <w:pPr>
              <w:spacing w:after="0" w:line="240" w:lineRule="auto"/>
              <w:jc w:val="right"/>
              <w:rPr>
                <w:rFonts w:ascii="Times New Roman" w:hAnsi="Times New Roman"/>
              </w:rPr>
            </w:pPr>
          </w:p>
        </w:tc>
      </w:tr>
      <w:tr w:rsidR="00F87278" w:rsidRPr="00F87278" w14:paraId="4EDA6346" w14:textId="77777777" w:rsidTr="003C1698">
        <w:trPr>
          <w:trHeight w:val="204"/>
        </w:trPr>
        <w:tc>
          <w:tcPr>
            <w:tcW w:w="3261" w:type="dxa"/>
            <w:tcBorders>
              <w:top w:val="nil"/>
              <w:left w:val="nil"/>
              <w:bottom w:val="nil"/>
              <w:right w:val="nil"/>
            </w:tcBorders>
            <w:shd w:val="clear" w:color="auto" w:fill="auto"/>
            <w:vAlign w:val="center"/>
            <w:hideMark/>
          </w:tcPr>
          <w:p w14:paraId="6956F231" w14:textId="77777777" w:rsidR="00F87278" w:rsidRPr="00D4130C" w:rsidRDefault="00F87278" w:rsidP="00F87278">
            <w:pPr>
              <w:spacing w:after="0" w:line="240" w:lineRule="auto"/>
              <w:ind w:left="113"/>
              <w:jc w:val="left"/>
              <w:rPr>
                <w:rFonts w:ascii="Arial" w:hAnsi="Arial" w:cs="Arial"/>
                <w:iCs/>
                <w:sz w:val="16"/>
                <w:szCs w:val="16"/>
              </w:rPr>
            </w:pPr>
            <w:r w:rsidRPr="00D4130C">
              <w:rPr>
                <w:rFonts w:ascii="Arial" w:hAnsi="Arial" w:cs="Arial"/>
                <w:iCs/>
                <w:sz w:val="16"/>
                <w:szCs w:val="16"/>
              </w:rPr>
              <w:t>Regulatory fees</w:t>
            </w:r>
          </w:p>
        </w:tc>
        <w:tc>
          <w:tcPr>
            <w:tcW w:w="880" w:type="dxa"/>
            <w:tcBorders>
              <w:top w:val="nil"/>
              <w:left w:val="nil"/>
              <w:bottom w:val="nil"/>
              <w:right w:val="nil"/>
            </w:tcBorders>
            <w:shd w:val="clear" w:color="auto" w:fill="auto"/>
            <w:noWrap/>
            <w:vAlign w:val="bottom"/>
            <w:hideMark/>
          </w:tcPr>
          <w:p w14:paraId="47963E7B" w14:textId="698478B9" w:rsidR="00F87278" w:rsidRPr="00F87278" w:rsidRDefault="00F87278" w:rsidP="00F87278">
            <w:pPr>
              <w:spacing w:after="0" w:line="240" w:lineRule="auto"/>
              <w:jc w:val="right"/>
              <w:rPr>
                <w:rFonts w:ascii="Arial" w:hAnsi="Arial" w:cs="Arial"/>
                <w:color w:val="000000"/>
                <w:sz w:val="16"/>
                <w:szCs w:val="16"/>
              </w:rPr>
            </w:pPr>
            <w:r w:rsidRPr="00F87278">
              <w:rPr>
                <w:rFonts w:ascii="Arial" w:hAnsi="Arial" w:cs="Arial"/>
                <w:color w:val="000000"/>
                <w:sz w:val="16"/>
                <w:szCs w:val="16"/>
              </w:rPr>
              <w:t>10,864</w:t>
            </w:r>
          </w:p>
        </w:tc>
        <w:tc>
          <w:tcPr>
            <w:tcW w:w="880" w:type="dxa"/>
            <w:tcBorders>
              <w:top w:val="nil"/>
              <w:left w:val="nil"/>
              <w:bottom w:val="nil"/>
              <w:right w:val="nil"/>
            </w:tcBorders>
            <w:shd w:val="clear" w:color="000000" w:fill="E6E6E6"/>
            <w:noWrap/>
            <w:vAlign w:val="bottom"/>
            <w:hideMark/>
          </w:tcPr>
          <w:p w14:paraId="69E7D81C" w14:textId="1A184978"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7,500</w:t>
            </w:r>
          </w:p>
        </w:tc>
        <w:tc>
          <w:tcPr>
            <w:tcW w:w="880" w:type="dxa"/>
            <w:tcBorders>
              <w:top w:val="nil"/>
              <w:left w:val="nil"/>
              <w:bottom w:val="nil"/>
              <w:right w:val="nil"/>
            </w:tcBorders>
            <w:shd w:val="clear" w:color="auto" w:fill="auto"/>
            <w:noWrap/>
            <w:vAlign w:val="bottom"/>
            <w:hideMark/>
          </w:tcPr>
          <w:p w14:paraId="7E5AABCB" w14:textId="30C74887"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7,500</w:t>
            </w:r>
          </w:p>
        </w:tc>
        <w:tc>
          <w:tcPr>
            <w:tcW w:w="880" w:type="dxa"/>
            <w:tcBorders>
              <w:top w:val="nil"/>
              <w:left w:val="nil"/>
              <w:bottom w:val="nil"/>
              <w:right w:val="nil"/>
            </w:tcBorders>
            <w:shd w:val="clear" w:color="auto" w:fill="auto"/>
            <w:noWrap/>
            <w:vAlign w:val="bottom"/>
            <w:hideMark/>
          </w:tcPr>
          <w:p w14:paraId="777D9416" w14:textId="683624E7"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7,500</w:t>
            </w:r>
          </w:p>
        </w:tc>
        <w:tc>
          <w:tcPr>
            <w:tcW w:w="880" w:type="dxa"/>
            <w:tcBorders>
              <w:top w:val="nil"/>
              <w:left w:val="nil"/>
              <w:bottom w:val="nil"/>
              <w:right w:val="nil"/>
            </w:tcBorders>
            <w:shd w:val="clear" w:color="auto" w:fill="auto"/>
            <w:noWrap/>
            <w:vAlign w:val="bottom"/>
            <w:hideMark/>
          </w:tcPr>
          <w:p w14:paraId="27A70E40" w14:textId="0032A529"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7,500</w:t>
            </w:r>
          </w:p>
        </w:tc>
      </w:tr>
      <w:tr w:rsidR="00F87278" w:rsidRPr="00F87278" w14:paraId="5B611A74" w14:textId="77777777" w:rsidTr="003C1698">
        <w:trPr>
          <w:trHeight w:val="204"/>
        </w:trPr>
        <w:tc>
          <w:tcPr>
            <w:tcW w:w="3261" w:type="dxa"/>
            <w:tcBorders>
              <w:top w:val="nil"/>
              <w:left w:val="nil"/>
              <w:bottom w:val="nil"/>
              <w:right w:val="nil"/>
            </w:tcBorders>
            <w:shd w:val="clear" w:color="auto" w:fill="auto"/>
            <w:vAlign w:val="center"/>
            <w:hideMark/>
          </w:tcPr>
          <w:p w14:paraId="2B1F4CD9" w14:textId="77777777" w:rsidR="00F87278" w:rsidRPr="00D4130C" w:rsidRDefault="00F87278" w:rsidP="00F87278">
            <w:pPr>
              <w:spacing w:after="0" w:line="240" w:lineRule="auto"/>
              <w:ind w:left="113"/>
              <w:jc w:val="left"/>
              <w:rPr>
                <w:rFonts w:ascii="Arial" w:hAnsi="Arial" w:cs="Arial"/>
                <w:iCs/>
                <w:sz w:val="16"/>
                <w:szCs w:val="16"/>
              </w:rPr>
            </w:pPr>
            <w:r w:rsidRPr="00D4130C">
              <w:rPr>
                <w:rFonts w:ascii="Arial" w:hAnsi="Arial" w:cs="Arial"/>
                <w:iCs/>
                <w:sz w:val="16"/>
                <w:szCs w:val="16"/>
              </w:rPr>
              <w:t>RPAS levy</w:t>
            </w:r>
          </w:p>
        </w:tc>
        <w:tc>
          <w:tcPr>
            <w:tcW w:w="880" w:type="dxa"/>
            <w:tcBorders>
              <w:top w:val="nil"/>
              <w:left w:val="nil"/>
              <w:bottom w:val="nil"/>
              <w:right w:val="nil"/>
            </w:tcBorders>
            <w:shd w:val="clear" w:color="auto" w:fill="auto"/>
            <w:noWrap/>
            <w:vAlign w:val="bottom"/>
            <w:hideMark/>
          </w:tcPr>
          <w:p w14:paraId="6AD3E131" w14:textId="2D4AAA95" w:rsidR="00F87278" w:rsidRPr="00D4130C" w:rsidRDefault="00D4130C" w:rsidP="00F87278">
            <w:pPr>
              <w:spacing w:after="0" w:line="240" w:lineRule="auto"/>
              <w:ind w:firstLineChars="200" w:firstLine="320"/>
              <w:jc w:val="right"/>
              <w:rPr>
                <w:rFonts w:ascii="Arial" w:hAnsi="Arial" w:cs="Arial"/>
                <w:iCs/>
                <w:sz w:val="16"/>
                <w:szCs w:val="16"/>
              </w:rPr>
            </w:pPr>
            <w:r w:rsidRPr="00D4130C">
              <w:rPr>
                <w:rFonts w:ascii="Arial" w:hAnsi="Arial" w:cs="Arial"/>
                <w:iCs/>
                <w:sz w:val="16"/>
                <w:szCs w:val="16"/>
              </w:rPr>
              <w:t>-</w:t>
            </w:r>
          </w:p>
        </w:tc>
        <w:tc>
          <w:tcPr>
            <w:tcW w:w="880" w:type="dxa"/>
            <w:tcBorders>
              <w:top w:val="nil"/>
              <w:left w:val="nil"/>
              <w:bottom w:val="nil"/>
              <w:right w:val="nil"/>
            </w:tcBorders>
            <w:shd w:val="clear" w:color="000000" w:fill="E6E6E6"/>
            <w:noWrap/>
            <w:vAlign w:val="bottom"/>
            <w:hideMark/>
          </w:tcPr>
          <w:p w14:paraId="5D731620" w14:textId="31F6D74F"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1,400</w:t>
            </w:r>
          </w:p>
        </w:tc>
        <w:tc>
          <w:tcPr>
            <w:tcW w:w="880" w:type="dxa"/>
            <w:tcBorders>
              <w:top w:val="nil"/>
              <w:left w:val="nil"/>
              <w:bottom w:val="nil"/>
              <w:right w:val="nil"/>
            </w:tcBorders>
            <w:shd w:val="clear" w:color="auto" w:fill="auto"/>
            <w:noWrap/>
            <w:vAlign w:val="bottom"/>
            <w:hideMark/>
          </w:tcPr>
          <w:p w14:paraId="2324B73F" w14:textId="65AEBB21"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25,980</w:t>
            </w:r>
          </w:p>
        </w:tc>
        <w:tc>
          <w:tcPr>
            <w:tcW w:w="880" w:type="dxa"/>
            <w:tcBorders>
              <w:top w:val="nil"/>
              <w:left w:val="nil"/>
              <w:bottom w:val="nil"/>
              <w:right w:val="nil"/>
            </w:tcBorders>
            <w:shd w:val="clear" w:color="auto" w:fill="auto"/>
            <w:noWrap/>
            <w:vAlign w:val="bottom"/>
            <w:hideMark/>
          </w:tcPr>
          <w:p w14:paraId="5296BBC2" w14:textId="7B4DC983"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26,370</w:t>
            </w:r>
          </w:p>
        </w:tc>
        <w:tc>
          <w:tcPr>
            <w:tcW w:w="880" w:type="dxa"/>
            <w:tcBorders>
              <w:top w:val="nil"/>
              <w:left w:val="nil"/>
              <w:bottom w:val="nil"/>
              <w:right w:val="nil"/>
            </w:tcBorders>
            <w:shd w:val="clear" w:color="auto" w:fill="auto"/>
            <w:noWrap/>
            <w:vAlign w:val="bottom"/>
            <w:hideMark/>
          </w:tcPr>
          <w:p w14:paraId="7BADF370" w14:textId="72388F56"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28,490</w:t>
            </w:r>
          </w:p>
        </w:tc>
      </w:tr>
      <w:tr w:rsidR="00F87278" w:rsidRPr="00F87278" w14:paraId="1A701545" w14:textId="77777777" w:rsidTr="003C1698">
        <w:trPr>
          <w:trHeight w:val="204"/>
        </w:trPr>
        <w:tc>
          <w:tcPr>
            <w:tcW w:w="3261" w:type="dxa"/>
            <w:tcBorders>
              <w:top w:val="nil"/>
              <w:left w:val="nil"/>
              <w:bottom w:val="nil"/>
              <w:right w:val="nil"/>
            </w:tcBorders>
            <w:shd w:val="clear" w:color="auto" w:fill="auto"/>
            <w:vAlign w:val="center"/>
            <w:hideMark/>
          </w:tcPr>
          <w:p w14:paraId="3740BD44" w14:textId="77777777" w:rsidR="00F87278" w:rsidRPr="00D4130C" w:rsidRDefault="00F87278" w:rsidP="00F87278">
            <w:pPr>
              <w:spacing w:after="0" w:line="240" w:lineRule="auto"/>
              <w:ind w:left="113"/>
              <w:jc w:val="left"/>
              <w:rPr>
                <w:rFonts w:ascii="Arial" w:hAnsi="Arial" w:cs="Arial"/>
                <w:iCs/>
                <w:sz w:val="16"/>
                <w:szCs w:val="16"/>
              </w:rPr>
            </w:pPr>
            <w:r w:rsidRPr="00D4130C">
              <w:rPr>
                <w:rFonts w:ascii="Arial" w:hAnsi="Arial" w:cs="Arial"/>
                <w:iCs/>
                <w:sz w:val="16"/>
                <w:szCs w:val="16"/>
              </w:rPr>
              <w:t>Other income</w:t>
            </w:r>
          </w:p>
        </w:tc>
        <w:tc>
          <w:tcPr>
            <w:tcW w:w="880" w:type="dxa"/>
            <w:tcBorders>
              <w:top w:val="nil"/>
              <w:left w:val="nil"/>
              <w:bottom w:val="nil"/>
              <w:right w:val="nil"/>
            </w:tcBorders>
            <w:shd w:val="clear" w:color="auto" w:fill="auto"/>
            <w:noWrap/>
            <w:vAlign w:val="bottom"/>
            <w:hideMark/>
          </w:tcPr>
          <w:p w14:paraId="49A9AD79" w14:textId="7EDFD40B" w:rsidR="00F87278" w:rsidRPr="00F87278" w:rsidRDefault="00F87278" w:rsidP="00F87278">
            <w:pPr>
              <w:spacing w:after="0" w:line="240" w:lineRule="auto"/>
              <w:jc w:val="right"/>
              <w:rPr>
                <w:rFonts w:ascii="Arial" w:hAnsi="Arial" w:cs="Arial"/>
                <w:color w:val="000000"/>
                <w:sz w:val="16"/>
                <w:szCs w:val="16"/>
              </w:rPr>
            </w:pPr>
            <w:r w:rsidRPr="00F87278">
              <w:rPr>
                <w:rFonts w:ascii="Arial" w:hAnsi="Arial" w:cs="Arial"/>
                <w:color w:val="000000"/>
                <w:sz w:val="16"/>
                <w:szCs w:val="16"/>
              </w:rPr>
              <w:t>987</w:t>
            </w:r>
          </w:p>
        </w:tc>
        <w:tc>
          <w:tcPr>
            <w:tcW w:w="880" w:type="dxa"/>
            <w:tcBorders>
              <w:top w:val="nil"/>
              <w:left w:val="nil"/>
              <w:bottom w:val="nil"/>
              <w:right w:val="nil"/>
            </w:tcBorders>
            <w:shd w:val="clear" w:color="000000" w:fill="E6E6E6"/>
            <w:noWrap/>
            <w:vAlign w:val="bottom"/>
            <w:hideMark/>
          </w:tcPr>
          <w:p w14:paraId="0D70D7A6" w14:textId="6BD6A94C"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1,000</w:t>
            </w:r>
          </w:p>
        </w:tc>
        <w:tc>
          <w:tcPr>
            <w:tcW w:w="880" w:type="dxa"/>
            <w:tcBorders>
              <w:top w:val="nil"/>
              <w:left w:val="nil"/>
              <w:bottom w:val="nil"/>
              <w:right w:val="nil"/>
            </w:tcBorders>
            <w:shd w:val="clear" w:color="auto" w:fill="auto"/>
            <w:noWrap/>
            <w:vAlign w:val="bottom"/>
            <w:hideMark/>
          </w:tcPr>
          <w:p w14:paraId="3D0DA2DE" w14:textId="2529B9D4"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1,000</w:t>
            </w:r>
          </w:p>
        </w:tc>
        <w:tc>
          <w:tcPr>
            <w:tcW w:w="880" w:type="dxa"/>
            <w:tcBorders>
              <w:top w:val="nil"/>
              <w:left w:val="nil"/>
              <w:bottom w:val="nil"/>
              <w:right w:val="nil"/>
            </w:tcBorders>
            <w:shd w:val="clear" w:color="auto" w:fill="auto"/>
            <w:noWrap/>
            <w:vAlign w:val="bottom"/>
            <w:hideMark/>
          </w:tcPr>
          <w:p w14:paraId="4F2DF4E4" w14:textId="4CCABF2D"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1,000</w:t>
            </w:r>
          </w:p>
        </w:tc>
        <w:tc>
          <w:tcPr>
            <w:tcW w:w="880" w:type="dxa"/>
            <w:tcBorders>
              <w:top w:val="nil"/>
              <w:left w:val="nil"/>
              <w:bottom w:val="nil"/>
              <w:right w:val="nil"/>
            </w:tcBorders>
            <w:shd w:val="clear" w:color="auto" w:fill="auto"/>
            <w:noWrap/>
            <w:vAlign w:val="bottom"/>
            <w:hideMark/>
          </w:tcPr>
          <w:p w14:paraId="3118AB4A" w14:textId="1914EDED"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1,000</w:t>
            </w:r>
          </w:p>
        </w:tc>
      </w:tr>
      <w:tr w:rsidR="00F87278" w:rsidRPr="00F87278" w14:paraId="3849F4C8" w14:textId="77777777" w:rsidTr="003C1698">
        <w:trPr>
          <w:trHeight w:val="204"/>
        </w:trPr>
        <w:tc>
          <w:tcPr>
            <w:tcW w:w="3261" w:type="dxa"/>
            <w:tcBorders>
              <w:top w:val="nil"/>
              <w:left w:val="nil"/>
              <w:bottom w:val="nil"/>
              <w:right w:val="nil"/>
            </w:tcBorders>
            <w:shd w:val="clear" w:color="auto" w:fill="auto"/>
            <w:vAlign w:val="center"/>
            <w:hideMark/>
          </w:tcPr>
          <w:p w14:paraId="58ECB44F" w14:textId="39FA2122" w:rsidR="00F87278" w:rsidRPr="00F87278" w:rsidRDefault="00F87278" w:rsidP="00F87278">
            <w:pPr>
              <w:spacing w:after="0" w:line="240" w:lineRule="auto"/>
              <w:jc w:val="left"/>
              <w:rPr>
                <w:rFonts w:ascii="Arial" w:hAnsi="Arial" w:cs="Arial"/>
                <w:sz w:val="16"/>
                <w:szCs w:val="16"/>
              </w:rPr>
            </w:pPr>
            <w:r w:rsidRPr="00F87278">
              <w:rPr>
                <w:rFonts w:ascii="Arial" w:hAnsi="Arial" w:cs="Arial"/>
                <w:sz w:val="16"/>
                <w:szCs w:val="16"/>
              </w:rPr>
              <w:t>Revenues from other independent</w:t>
            </w:r>
            <w:r>
              <w:rPr>
                <w:rFonts w:ascii="Arial" w:hAnsi="Arial" w:cs="Arial"/>
                <w:sz w:val="16"/>
                <w:szCs w:val="16"/>
              </w:rPr>
              <w:t xml:space="preserve"> </w:t>
            </w:r>
            <w:r w:rsidRPr="00F87278">
              <w:rPr>
                <w:rFonts w:ascii="Arial" w:hAnsi="Arial" w:cs="Arial"/>
                <w:sz w:val="16"/>
                <w:szCs w:val="16"/>
              </w:rPr>
              <w:t xml:space="preserve">sources </w:t>
            </w:r>
          </w:p>
        </w:tc>
        <w:tc>
          <w:tcPr>
            <w:tcW w:w="880" w:type="dxa"/>
            <w:tcBorders>
              <w:top w:val="nil"/>
              <w:left w:val="nil"/>
              <w:bottom w:val="nil"/>
              <w:right w:val="nil"/>
            </w:tcBorders>
            <w:shd w:val="clear" w:color="auto" w:fill="auto"/>
            <w:noWrap/>
            <w:vAlign w:val="bottom"/>
            <w:hideMark/>
          </w:tcPr>
          <w:p w14:paraId="0BCE160A" w14:textId="52F86900" w:rsidR="00F87278" w:rsidRPr="00F87278" w:rsidRDefault="00F87278" w:rsidP="00F87278">
            <w:pPr>
              <w:spacing w:after="0" w:line="240" w:lineRule="auto"/>
              <w:jc w:val="right"/>
              <w:rPr>
                <w:rFonts w:ascii="Arial" w:hAnsi="Arial" w:cs="Arial"/>
                <w:color w:val="000000"/>
                <w:sz w:val="16"/>
                <w:szCs w:val="16"/>
              </w:rPr>
            </w:pPr>
            <w:r w:rsidRPr="00F87278">
              <w:rPr>
                <w:rFonts w:ascii="Arial" w:hAnsi="Arial" w:cs="Arial"/>
                <w:color w:val="000000"/>
                <w:sz w:val="16"/>
                <w:szCs w:val="16"/>
              </w:rPr>
              <w:t>259</w:t>
            </w:r>
          </w:p>
        </w:tc>
        <w:tc>
          <w:tcPr>
            <w:tcW w:w="880" w:type="dxa"/>
            <w:tcBorders>
              <w:top w:val="nil"/>
              <w:left w:val="nil"/>
              <w:bottom w:val="nil"/>
              <w:right w:val="nil"/>
            </w:tcBorders>
            <w:shd w:val="clear" w:color="000000" w:fill="E6E6E6"/>
            <w:noWrap/>
            <w:vAlign w:val="bottom"/>
            <w:hideMark/>
          </w:tcPr>
          <w:p w14:paraId="7C304137" w14:textId="1EE0FEEB"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150</w:t>
            </w:r>
          </w:p>
        </w:tc>
        <w:tc>
          <w:tcPr>
            <w:tcW w:w="880" w:type="dxa"/>
            <w:tcBorders>
              <w:top w:val="nil"/>
              <w:left w:val="nil"/>
              <w:bottom w:val="nil"/>
              <w:right w:val="nil"/>
            </w:tcBorders>
            <w:shd w:val="clear" w:color="auto" w:fill="auto"/>
            <w:noWrap/>
            <w:vAlign w:val="bottom"/>
            <w:hideMark/>
          </w:tcPr>
          <w:p w14:paraId="6242D509" w14:textId="38A02FA6"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190</w:t>
            </w:r>
          </w:p>
        </w:tc>
        <w:tc>
          <w:tcPr>
            <w:tcW w:w="880" w:type="dxa"/>
            <w:tcBorders>
              <w:top w:val="nil"/>
              <w:left w:val="nil"/>
              <w:bottom w:val="nil"/>
              <w:right w:val="nil"/>
            </w:tcBorders>
            <w:shd w:val="clear" w:color="auto" w:fill="auto"/>
            <w:noWrap/>
            <w:vAlign w:val="bottom"/>
            <w:hideMark/>
          </w:tcPr>
          <w:p w14:paraId="38F3B66D" w14:textId="7450C892"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290</w:t>
            </w:r>
          </w:p>
        </w:tc>
        <w:tc>
          <w:tcPr>
            <w:tcW w:w="880" w:type="dxa"/>
            <w:tcBorders>
              <w:top w:val="nil"/>
              <w:left w:val="nil"/>
              <w:bottom w:val="nil"/>
              <w:right w:val="nil"/>
            </w:tcBorders>
            <w:shd w:val="clear" w:color="auto" w:fill="auto"/>
            <w:noWrap/>
            <w:vAlign w:val="bottom"/>
            <w:hideMark/>
          </w:tcPr>
          <w:p w14:paraId="78AA4C9C" w14:textId="5A2B7E00"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500</w:t>
            </w:r>
          </w:p>
        </w:tc>
      </w:tr>
      <w:tr w:rsidR="00F87278" w:rsidRPr="00F87278" w14:paraId="6D82D83D" w14:textId="77777777" w:rsidTr="003C1698">
        <w:trPr>
          <w:trHeight w:val="204"/>
        </w:trPr>
        <w:tc>
          <w:tcPr>
            <w:tcW w:w="3261" w:type="dxa"/>
            <w:tcBorders>
              <w:top w:val="nil"/>
              <w:left w:val="nil"/>
              <w:bottom w:val="nil"/>
              <w:right w:val="nil"/>
            </w:tcBorders>
            <w:shd w:val="clear" w:color="auto" w:fill="auto"/>
            <w:noWrap/>
            <w:vAlign w:val="center"/>
            <w:hideMark/>
          </w:tcPr>
          <w:p w14:paraId="08407D18" w14:textId="77777777" w:rsidR="00F87278" w:rsidRPr="00F87278" w:rsidRDefault="00F87278" w:rsidP="00F87278">
            <w:pPr>
              <w:spacing w:after="0" w:line="240" w:lineRule="auto"/>
              <w:jc w:val="left"/>
              <w:rPr>
                <w:rFonts w:ascii="Arial" w:hAnsi="Arial" w:cs="Arial"/>
                <w:b/>
                <w:bCs/>
                <w:sz w:val="16"/>
                <w:szCs w:val="16"/>
              </w:rPr>
            </w:pPr>
            <w:r w:rsidRPr="00F87278">
              <w:rPr>
                <w:rFonts w:ascii="Arial" w:hAnsi="Arial" w:cs="Arial"/>
                <w:b/>
                <w:bCs/>
                <w:sz w:val="16"/>
                <w:szCs w:val="16"/>
              </w:rPr>
              <w:t>Total expenses for Program 1.1</w:t>
            </w:r>
          </w:p>
        </w:tc>
        <w:tc>
          <w:tcPr>
            <w:tcW w:w="880" w:type="dxa"/>
            <w:tcBorders>
              <w:top w:val="single" w:sz="4" w:space="0" w:color="auto"/>
              <w:left w:val="nil"/>
              <w:bottom w:val="single" w:sz="4" w:space="0" w:color="auto"/>
              <w:right w:val="nil"/>
            </w:tcBorders>
            <w:shd w:val="clear" w:color="auto" w:fill="auto"/>
            <w:noWrap/>
            <w:vAlign w:val="bottom"/>
            <w:hideMark/>
          </w:tcPr>
          <w:p w14:paraId="2D0BAC6E" w14:textId="518DB4AB" w:rsidR="00F87278" w:rsidRPr="00F87278" w:rsidRDefault="00F87278" w:rsidP="00F87278">
            <w:pPr>
              <w:spacing w:after="0" w:line="240" w:lineRule="auto"/>
              <w:jc w:val="right"/>
              <w:rPr>
                <w:rFonts w:ascii="Arial" w:hAnsi="Arial" w:cs="Arial"/>
                <w:b/>
                <w:bCs/>
                <w:color w:val="000000"/>
                <w:sz w:val="16"/>
                <w:szCs w:val="16"/>
              </w:rPr>
            </w:pPr>
            <w:r w:rsidRPr="00F87278">
              <w:rPr>
                <w:rFonts w:ascii="Arial" w:hAnsi="Arial" w:cs="Arial"/>
                <w:b/>
                <w:bCs/>
                <w:color w:val="000000"/>
                <w:sz w:val="16"/>
                <w:szCs w:val="16"/>
              </w:rPr>
              <w:t>193,048</w:t>
            </w:r>
          </w:p>
        </w:tc>
        <w:tc>
          <w:tcPr>
            <w:tcW w:w="880" w:type="dxa"/>
            <w:tcBorders>
              <w:top w:val="single" w:sz="4" w:space="0" w:color="auto"/>
              <w:left w:val="nil"/>
              <w:bottom w:val="single" w:sz="4" w:space="0" w:color="auto"/>
              <w:right w:val="nil"/>
            </w:tcBorders>
            <w:shd w:val="clear" w:color="000000" w:fill="E6E6E6"/>
            <w:noWrap/>
            <w:vAlign w:val="bottom"/>
            <w:hideMark/>
          </w:tcPr>
          <w:p w14:paraId="33E2BFF8" w14:textId="4458E8D3" w:rsidR="00F87278" w:rsidRPr="00F87278" w:rsidRDefault="00F87278" w:rsidP="00F87278">
            <w:pPr>
              <w:spacing w:after="0" w:line="240" w:lineRule="auto"/>
              <w:jc w:val="right"/>
              <w:rPr>
                <w:rFonts w:ascii="Arial" w:hAnsi="Arial" w:cs="Arial"/>
                <w:b/>
                <w:bCs/>
                <w:color w:val="000000"/>
                <w:sz w:val="16"/>
                <w:szCs w:val="16"/>
              </w:rPr>
            </w:pPr>
            <w:r w:rsidRPr="00F87278">
              <w:rPr>
                <w:rFonts w:ascii="Arial" w:hAnsi="Arial" w:cs="Arial"/>
                <w:b/>
                <w:bCs/>
                <w:color w:val="000000"/>
                <w:sz w:val="16"/>
                <w:szCs w:val="16"/>
              </w:rPr>
              <w:t>217,432</w:t>
            </w:r>
          </w:p>
        </w:tc>
        <w:tc>
          <w:tcPr>
            <w:tcW w:w="880" w:type="dxa"/>
            <w:tcBorders>
              <w:top w:val="single" w:sz="4" w:space="0" w:color="auto"/>
              <w:left w:val="nil"/>
              <w:bottom w:val="single" w:sz="4" w:space="0" w:color="auto"/>
              <w:right w:val="nil"/>
            </w:tcBorders>
            <w:shd w:val="clear" w:color="auto" w:fill="auto"/>
            <w:noWrap/>
            <w:vAlign w:val="bottom"/>
            <w:hideMark/>
          </w:tcPr>
          <w:p w14:paraId="1CEB55ED" w14:textId="21E8C54A" w:rsidR="00F87278" w:rsidRPr="00F87278" w:rsidRDefault="00F87278" w:rsidP="00F87278">
            <w:pPr>
              <w:spacing w:after="0" w:line="240" w:lineRule="auto"/>
              <w:jc w:val="right"/>
              <w:rPr>
                <w:rFonts w:ascii="Arial" w:hAnsi="Arial" w:cs="Arial"/>
                <w:b/>
                <w:bCs/>
                <w:sz w:val="16"/>
                <w:szCs w:val="16"/>
              </w:rPr>
            </w:pPr>
            <w:r w:rsidRPr="00F87278">
              <w:rPr>
                <w:rFonts w:ascii="Arial" w:hAnsi="Arial" w:cs="Arial"/>
                <w:b/>
                <w:bCs/>
                <w:sz w:val="16"/>
                <w:szCs w:val="16"/>
              </w:rPr>
              <w:t>215,700</w:t>
            </w:r>
          </w:p>
        </w:tc>
        <w:tc>
          <w:tcPr>
            <w:tcW w:w="880" w:type="dxa"/>
            <w:tcBorders>
              <w:top w:val="single" w:sz="4" w:space="0" w:color="auto"/>
              <w:left w:val="nil"/>
              <w:bottom w:val="single" w:sz="4" w:space="0" w:color="auto"/>
              <w:right w:val="nil"/>
            </w:tcBorders>
            <w:shd w:val="clear" w:color="auto" w:fill="auto"/>
            <w:noWrap/>
            <w:vAlign w:val="bottom"/>
            <w:hideMark/>
          </w:tcPr>
          <w:p w14:paraId="0B4C2DDB" w14:textId="79E56B2A" w:rsidR="00F87278" w:rsidRPr="00F87278" w:rsidRDefault="00F87278" w:rsidP="00F87278">
            <w:pPr>
              <w:spacing w:after="0" w:line="240" w:lineRule="auto"/>
              <w:jc w:val="right"/>
              <w:rPr>
                <w:rFonts w:ascii="Arial" w:hAnsi="Arial" w:cs="Arial"/>
                <w:b/>
                <w:bCs/>
                <w:sz w:val="16"/>
                <w:szCs w:val="16"/>
              </w:rPr>
            </w:pPr>
            <w:r w:rsidRPr="00F87278">
              <w:rPr>
                <w:rFonts w:ascii="Arial" w:hAnsi="Arial" w:cs="Arial"/>
                <w:b/>
                <w:bCs/>
                <w:sz w:val="16"/>
                <w:szCs w:val="16"/>
              </w:rPr>
              <w:t>220,700</w:t>
            </w:r>
          </w:p>
        </w:tc>
        <w:tc>
          <w:tcPr>
            <w:tcW w:w="880" w:type="dxa"/>
            <w:tcBorders>
              <w:top w:val="single" w:sz="4" w:space="0" w:color="auto"/>
              <w:left w:val="nil"/>
              <w:bottom w:val="single" w:sz="4" w:space="0" w:color="auto"/>
              <w:right w:val="nil"/>
            </w:tcBorders>
            <w:shd w:val="clear" w:color="auto" w:fill="auto"/>
            <w:noWrap/>
            <w:vAlign w:val="bottom"/>
            <w:hideMark/>
          </w:tcPr>
          <w:p w14:paraId="0487EC59" w14:textId="714D2ECE" w:rsidR="00F87278" w:rsidRPr="00F87278" w:rsidRDefault="00F87278" w:rsidP="00F87278">
            <w:pPr>
              <w:spacing w:after="0" w:line="240" w:lineRule="auto"/>
              <w:jc w:val="right"/>
              <w:rPr>
                <w:rFonts w:ascii="Arial" w:hAnsi="Arial" w:cs="Arial"/>
                <w:b/>
                <w:bCs/>
                <w:sz w:val="16"/>
                <w:szCs w:val="16"/>
              </w:rPr>
            </w:pPr>
            <w:r w:rsidRPr="00F87278">
              <w:rPr>
                <w:rFonts w:ascii="Arial" w:hAnsi="Arial" w:cs="Arial"/>
                <w:b/>
                <w:bCs/>
                <w:sz w:val="16"/>
                <w:szCs w:val="16"/>
              </w:rPr>
              <w:t>227,200</w:t>
            </w:r>
          </w:p>
        </w:tc>
      </w:tr>
      <w:tr w:rsidR="00F87278" w:rsidRPr="00F87278" w14:paraId="75A67080" w14:textId="77777777" w:rsidTr="003C1698">
        <w:trPr>
          <w:trHeight w:val="229"/>
        </w:trPr>
        <w:tc>
          <w:tcPr>
            <w:tcW w:w="7661" w:type="dxa"/>
            <w:gridSpan w:val="6"/>
            <w:tcBorders>
              <w:top w:val="single" w:sz="4" w:space="0" w:color="auto"/>
              <w:left w:val="nil"/>
              <w:bottom w:val="single" w:sz="4" w:space="0" w:color="auto"/>
              <w:right w:val="nil"/>
            </w:tcBorders>
            <w:shd w:val="clear" w:color="000000" w:fill="E6E6E6"/>
            <w:vAlign w:val="center"/>
            <w:hideMark/>
          </w:tcPr>
          <w:p w14:paraId="4FAE880E" w14:textId="77777777" w:rsidR="00F87278" w:rsidRPr="00F87278" w:rsidRDefault="00F87278" w:rsidP="00F87278">
            <w:pPr>
              <w:spacing w:after="0" w:line="240" w:lineRule="auto"/>
              <w:jc w:val="left"/>
              <w:rPr>
                <w:rFonts w:ascii="Arial" w:hAnsi="Arial" w:cs="Arial"/>
                <w:b/>
                <w:bCs/>
                <w:sz w:val="16"/>
                <w:szCs w:val="16"/>
              </w:rPr>
            </w:pPr>
            <w:r w:rsidRPr="00F87278">
              <w:rPr>
                <w:rFonts w:ascii="Arial" w:hAnsi="Arial" w:cs="Arial"/>
                <w:b/>
                <w:bCs/>
                <w:sz w:val="16"/>
                <w:szCs w:val="16"/>
              </w:rPr>
              <w:t>Outcome 1 totals by resource type</w:t>
            </w:r>
          </w:p>
        </w:tc>
      </w:tr>
      <w:tr w:rsidR="00F87278" w:rsidRPr="00F87278" w14:paraId="4493D584" w14:textId="77777777" w:rsidTr="003C1698">
        <w:trPr>
          <w:trHeight w:val="204"/>
        </w:trPr>
        <w:tc>
          <w:tcPr>
            <w:tcW w:w="3261" w:type="dxa"/>
            <w:tcBorders>
              <w:top w:val="nil"/>
              <w:left w:val="nil"/>
              <w:bottom w:val="nil"/>
              <w:right w:val="nil"/>
            </w:tcBorders>
            <w:shd w:val="clear" w:color="auto" w:fill="auto"/>
            <w:noWrap/>
            <w:vAlign w:val="center"/>
            <w:hideMark/>
          </w:tcPr>
          <w:p w14:paraId="0D36E287" w14:textId="77777777" w:rsidR="00F87278" w:rsidRPr="00F87278" w:rsidRDefault="00F87278" w:rsidP="00F87278">
            <w:pPr>
              <w:spacing w:after="0" w:line="240" w:lineRule="auto"/>
              <w:jc w:val="left"/>
              <w:rPr>
                <w:rFonts w:ascii="Arial" w:hAnsi="Arial" w:cs="Arial"/>
                <w:sz w:val="16"/>
                <w:szCs w:val="16"/>
              </w:rPr>
            </w:pPr>
            <w:r w:rsidRPr="00F87278">
              <w:rPr>
                <w:rFonts w:ascii="Arial" w:hAnsi="Arial" w:cs="Arial"/>
                <w:sz w:val="16"/>
                <w:szCs w:val="16"/>
              </w:rPr>
              <w:t>Revenue from Government</w:t>
            </w:r>
          </w:p>
        </w:tc>
        <w:tc>
          <w:tcPr>
            <w:tcW w:w="880" w:type="dxa"/>
            <w:tcBorders>
              <w:top w:val="nil"/>
              <w:left w:val="nil"/>
              <w:bottom w:val="nil"/>
              <w:right w:val="nil"/>
            </w:tcBorders>
            <w:shd w:val="clear" w:color="auto" w:fill="auto"/>
            <w:noWrap/>
            <w:vAlign w:val="bottom"/>
            <w:hideMark/>
          </w:tcPr>
          <w:p w14:paraId="0D9D0A9F" w14:textId="77777777" w:rsidR="00F87278" w:rsidRPr="00F87278" w:rsidRDefault="00F87278" w:rsidP="00F87278">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5CAD245E" w14:textId="0D0CA23F" w:rsidR="00F87278" w:rsidRPr="00F87278" w:rsidRDefault="00F87278" w:rsidP="00F87278">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7959033C" w14:textId="77777777" w:rsidR="00F87278" w:rsidRPr="00F87278" w:rsidRDefault="00F87278" w:rsidP="00F87278">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6DE13E0" w14:textId="77777777" w:rsidR="00F87278" w:rsidRPr="00F87278" w:rsidRDefault="00F87278" w:rsidP="00F87278">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70AD549C" w14:textId="77777777" w:rsidR="00F87278" w:rsidRPr="00F87278" w:rsidRDefault="00F87278" w:rsidP="00F87278">
            <w:pPr>
              <w:spacing w:after="0" w:line="240" w:lineRule="auto"/>
              <w:jc w:val="right"/>
              <w:rPr>
                <w:rFonts w:ascii="Times New Roman" w:hAnsi="Times New Roman"/>
              </w:rPr>
            </w:pPr>
          </w:p>
        </w:tc>
      </w:tr>
      <w:tr w:rsidR="00F87278" w:rsidRPr="00F87278" w14:paraId="5590C997" w14:textId="77777777" w:rsidTr="003C1698">
        <w:trPr>
          <w:trHeight w:val="204"/>
        </w:trPr>
        <w:tc>
          <w:tcPr>
            <w:tcW w:w="3261" w:type="dxa"/>
            <w:tcBorders>
              <w:top w:val="nil"/>
              <w:left w:val="nil"/>
              <w:bottom w:val="nil"/>
              <w:right w:val="nil"/>
            </w:tcBorders>
            <w:shd w:val="clear" w:color="auto" w:fill="auto"/>
            <w:vAlign w:val="center"/>
            <w:hideMark/>
          </w:tcPr>
          <w:p w14:paraId="7672F1B5" w14:textId="74D2EE5F" w:rsidR="00F87278" w:rsidRPr="00F87278" w:rsidRDefault="00F87278" w:rsidP="00F87278">
            <w:pPr>
              <w:spacing w:after="0" w:line="240" w:lineRule="auto"/>
              <w:ind w:left="113"/>
              <w:jc w:val="left"/>
              <w:rPr>
                <w:rFonts w:ascii="Arial" w:hAnsi="Arial" w:cs="Arial"/>
                <w:sz w:val="16"/>
                <w:szCs w:val="16"/>
              </w:rPr>
            </w:pPr>
            <w:r w:rsidRPr="00F87278">
              <w:rPr>
                <w:rFonts w:ascii="Arial" w:hAnsi="Arial" w:cs="Arial"/>
                <w:sz w:val="16"/>
                <w:szCs w:val="16"/>
              </w:rPr>
              <w:t>Ordinary annual services (Appropriation Bill No. 1)</w:t>
            </w:r>
          </w:p>
        </w:tc>
        <w:tc>
          <w:tcPr>
            <w:tcW w:w="880" w:type="dxa"/>
            <w:tcBorders>
              <w:top w:val="nil"/>
              <w:left w:val="nil"/>
              <w:bottom w:val="nil"/>
              <w:right w:val="nil"/>
            </w:tcBorders>
            <w:shd w:val="clear" w:color="auto" w:fill="auto"/>
            <w:noWrap/>
            <w:vAlign w:val="bottom"/>
            <w:hideMark/>
          </w:tcPr>
          <w:p w14:paraId="32AF94E8" w14:textId="38B9021C" w:rsidR="00F87278" w:rsidRPr="00F87278" w:rsidRDefault="00F87278" w:rsidP="00F87278">
            <w:pPr>
              <w:spacing w:after="0" w:line="240" w:lineRule="auto"/>
              <w:jc w:val="right"/>
              <w:rPr>
                <w:rFonts w:ascii="Arial" w:hAnsi="Arial" w:cs="Arial"/>
                <w:color w:val="000000"/>
                <w:sz w:val="16"/>
                <w:szCs w:val="16"/>
              </w:rPr>
            </w:pPr>
            <w:r w:rsidRPr="00F87278">
              <w:rPr>
                <w:rFonts w:ascii="Arial" w:hAnsi="Arial" w:cs="Arial"/>
                <w:color w:val="000000"/>
                <w:sz w:val="16"/>
                <w:szCs w:val="16"/>
              </w:rPr>
              <w:t>128,424</w:t>
            </w:r>
          </w:p>
        </w:tc>
        <w:tc>
          <w:tcPr>
            <w:tcW w:w="880" w:type="dxa"/>
            <w:tcBorders>
              <w:top w:val="nil"/>
              <w:left w:val="nil"/>
              <w:bottom w:val="nil"/>
              <w:right w:val="nil"/>
            </w:tcBorders>
            <w:shd w:val="clear" w:color="000000" w:fill="E6E6E6"/>
            <w:noWrap/>
            <w:vAlign w:val="bottom"/>
            <w:hideMark/>
          </w:tcPr>
          <w:p w14:paraId="14F04E58" w14:textId="2C92C0FE"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122,082</w:t>
            </w:r>
          </w:p>
        </w:tc>
        <w:tc>
          <w:tcPr>
            <w:tcW w:w="880" w:type="dxa"/>
            <w:tcBorders>
              <w:top w:val="nil"/>
              <w:left w:val="nil"/>
              <w:bottom w:val="nil"/>
              <w:right w:val="nil"/>
            </w:tcBorders>
            <w:shd w:val="clear" w:color="auto" w:fill="auto"/>
            <w:noWrap/>
            <w:vAlign w:val="bottom"/>
            <w:hideMark/>
          </w:tcPr>
          <w:p w14:paraId="61FA3313" w14:textId="15029B6E"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74,609</w:t>
            </w:r>
          </w:p>
        </w:tc>
        <w:tc>
          <w:tcPr>
            <w:tcW w:w="880" w:type="dxa"/>
            <w:tcBorders>
              <w:top w:val="nil"/>
              <w:left w:val="nil"/>
              <w:bottom w:val="nil"/>
              <w:right w:val="nil"/>
            </w:tcBorders>
            <w:shd w:val="clear" w:color="auto" w:fill="auto"/>
            <w:noWrap/>
            <w:vAlign w:val="bottom"/>
            <w:hideMark/>
          </w:tcPr>
          <w:p w14:paraId="56864714" w14:textId="2011858F"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73,183</w:t>
            </w:r>
          </w:p>
        </w:tc>
        <w:tc>
          <w:tcPr>
            <w:tcW w:w="880" w:type="dxa"/>
            <w:tcBorders>
              <w:top w:val="nil"/>
              <w:left w:val="nil"/>
              <w:bottom w:val="nil"/>
              <w:right w:val="nil"/>
            </w:tcBorders>
            <w:shd w:val="clear" w:color="auto" w:fill="auto"/>
            <w:noWrap/>
            <w:vAlign w:val="bottom"/>
            <w:hideMark/>
          </w:tcPr>
          <w:p w14:paraId="7861A8AC" w14:textId="5B3D7412"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40,903</w:t>
            </w:r>
          </w:p>
        </w:tc>
      </w:tr>
      <w:tr w:rsidR="00F87278" w:rsidRPr="00F87278" w14:paraId="2184433B" w14:textId="77777777" w:rsidTr="003C1698">
        <w:trPr>
          <w:trHeight w:val="204"/>
        </w:trPr>
        <w:tc>
          <w:tcPr>
            <w:tcW w:w="3261" w:type="dxa"/>
            <w:tcBorders>
              <w:top w:val="nil"/>
              <w:left w:val="nil"/>
              <w:bottom w:val="nil"/>
              <w:right w:val="nil"/>
            </w:tcBorders>
            <w:shd w:val="clear" w:color="auto" w:fill="auto"/>
            <w:noWrap/>
            <w:vAlign w:val="center"/>
            <w:hideMark/>
          </w:tcPr>
          <w:p w14:paraId="2E92907B" w14:textId="77777777" w:rsidR="00F87278" w:rsidRPr="00F87278" w:rsidRDefault="00F87278" w:rsidP="00F87278">
            <w:pPr>
              <w:spacing w:after="0" w:line="240" w:lineRule="auto"/>
              <w:ind w:left="113"/>
              <w:jc w:val="left"/>
              <w:rPr>
                <w:rFonts w:ascii="Arial" w:hAnsi="Arial" w:cs="Arial"/>
                <w:sz w:val="16"/>
                <w:szCs w:val="16"/>
              </w:rPr>
            </w:pPr>
            <w:r w:rsidRPr="00F87278">
              <w:rPr>
                <w:rFonts w:ascii="Arial" w:hAnsi="Arial" w:cs="Arial"/>
                <w:sz w:val="16"/>
                <w:szCs w:val="16"/>
              </w:rPr>
              <w:t>Special appropriations</w:t>
            </w:r>
          </w:p>
        </w:tc>
        <w:tc>
          <w:tcPr>
            <w:tcW w:w="880" w:type="dxa"/>
            <w:tcBorders>
              <w:top w:val="nil"/>
              <w:left w:val="nil"/>
              <w:bottom w:val="nil"/>
              <w:right w:val="nil"/>
            </w:tcBorders>
            <w:shd w:val="clear" w:color="auto" w:fill="auto"/>
            <w:noWrap/>
            <w:vAlign w:val="bottom"/>
            <w:hideMark/>
          </w:tcPr>
          <w:p w14:paraId="47BD845E" w14:textId="5F9ACE6C" w:rsidR="00F87278" w:rsidRPr="00F87278" w:rsidRDefault="00F87278" w:rsidP="00F87278">
            <w:pPr>
              <w:spacing w:after="0" w:line="240" w:lineRule="auto"/>
              <w:jc w:val="right"/>
              <w:rPr>
                <w:rFonts w:ascii="Arial" w:hAnsi="Arial" w:cs="Arial"/>
                <w:color w:val="000000"/>
                <w:sz w:val="16"/>
                <w:szCs w:val="16"/>
              </w:rPr>
            </w:pPr>
            <w:r w:rsidRPr="00F87278">
              <w:rPr>
                <w:rFonts w:ascii="Arial" w:hAnsi="Arial" w:cs="Arial"/>
                <w:color w:val="000000"/>
                <w:sz w:val="16"/>
                <w:szCs w:val="16"/>
              </w:rPr>
              <w:t>68,720</w:t>
            </w:r>
          </w:p>
        </w:tc>
        <w:tc>
          <w:tcPr>
            <w:tcW w:w="880" w:type="dxa"/>
            <w:tcBorders>
              <w:top w:val="nil"/>
              <w:left w:val="nil"/>
              <w:bottom w:val="nil"/>
              <w:right w:val="nil"/>
            </w:tcBorders>
            <w:shd w:val="clear" w:color="000000" w:fill="E6E6E6"/>
            <w:noWrap/>
            <w:vAlign w:val="bottom"/>
            <w:hideMark/>
          </w:tcPr>
          <w:p w14:paraId="4C8BE124" w14:textId="50EDF70D"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85,300</w:t>
            </w:r>
          </w:p>
        </w:tc>
        <w:tc>
          <w:tcPr>
            <w:tcW w:w="880" w:type="dxa"/>
            <w:tcBorders>
              <w:top w:val="nil"/>
              <w:left w:val="nil"/>
              <w:bottom w:val="nil"/>
              <w:right w:val="nil"/>
            </w:tcBorders>
            <w:shd w:val="clear" w:color="auto" w:fill="auto"/>
            <w:noWrap/>
            <w:vAlign w:val="bottom"/>
            <w:hideMark/>
          </w:tcPr>
          <w:p w14:paraId="2D48F77F" w14:textId="542B8430"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105,600</w:t>
            </w:r>
          </w:p>
        </w:tc>
        <w:tc>
          <w:tcPr>
            <w:tcW w:w="880" w:type="dxa"/>
            <w:tcBorders>
              <w:top w:val="nil"/>
              <w:left w:val="nil"/>
              <w:bottom w:val="nil"/>
              <w:right w:val="nil"/>
            </w:tcBorders>
            <w:shd w:val="clear" w:color="auto" w:fill="auto"/>
            <w:noWrap/>
            <w:vAlign w:val="bottom"/>
            <w:hideMark/>
          </w:tcPr>
          <w:p w14:paraId="634B9FAC" w14:textId="247B16CE"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107,900</w:t>
            </w:r>
          </w:p>
        </w:tc>
        <w:tc>
          <w:tcPr>
            <w:tcW w:w="880" w:type="dxa"/>
            <w:tcBorders>
              <w:top w:val="nil"/>
              <w:left w:val="nil"/>
              <w:bottom w:val="nil"/>
              <w:right w:val="nil"/>
            </w:tcBorders>
            <w:shd w:val="clear" w:color="auto" w:fill="auto"/>
            <w:noWrap/>
            <w:vAlign w:val="bottom"/>
            <w:hideMark/>
          </w:tcPr>
          <w:p w14:paraId="67396FD6" w14:textId="2126AFDC"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112,700</w:t>
            </w:r>
          </w:p>
        </w:tc>
      </w:tr>
      <w:tr w:rsidR="00F87278" w:rsidRPr="00F87278" w14:paraId="3E652BDD" w14:textId="77777777" w:rsidTr="003C1698">
        <w:trPr>
          <w:trHeight w:val="204"/>
        </w:trPr>
        <w:tc>
          <w:tcPr>
            <w:tcW w:w="3261" w:type="dxa"/>
            <w:tcBorders>
              <w:top w:val="nil"/>
              <w:left w:val="nil"/>
              <w:bottom w:val="nil"/>
              <w:right w:val="nil"/>
            </w:tcBorders>
            <w:shd w:val="clear" w:color="auto" w:fill="auto"/>
            <w:noWrap/>
            <w:vAlign w:val="center"/>
            <w:hideMark/>
          </w:tcPr>
          <w:p w14:paraId="6A13E3C8" w14:textId="77777777" w:rsidR="00F87278" w:rsidRPr="00F87278" w:rsidRDefault="00F87278" w:rsidP="00F87278">
            <w:pPr>
              <w:spacing w:after="0" w:line="240" w:lineRule="auto"/>
              <w:jc w:val="left"/>
              <w:rPr>
                <w:rFonts w:ascii="Arial" w:hAnsi="Arial" w:cs="Arial"/>
                <w:sz w:val="16"/>
                <w:szCs w:val="16"/>
              </w:rPr>
            </w:pPr>
            <w:r w:rsidRPr="00F87278">
              <w:rPr>
                <w:rFonts w:ascii="Arial" w:hAnsi="Arial" w:cs="Arial"/>
                <w:sz w:val="16"/>
                <w:szCs w:val="16"/>
              </w:rPr>
              <w:t xml:space="preserve">Revenues from industry sources </w:t>
            </w:r>
          </w:p>
        </w:tc>
        <w:tc>
          <w:tcPr>
            <w:tcW w:w="880" w:type="dxa"/>
            <w:tcBorders>
              <w:top w:val="nil"/>
              <w:left w:val="nil"/>
              <w:bottom w:val="nil"/>
              <w:right w:val="nil"/>
            </w:tcBorders>
            <w:shd w:val="clear" w:color="auto" w:fill="auto"/>
            <w:noWrap/>
            <w:vAlign w:val="bottom"/>
            <w:hideMark/>
          </w:tcPr>
          <w:p w14:paraId="18165616" w14:textId="64354849" w:rsidR="00F87278" w:rsidRPr="00F87278" w:rsidRDefault="00F87278" w:rsidP="00F87278">
            <w:pPr>
              <w:spacing w:after="0" w:line="240" w:lineRule="auto"/>
              <w:jc w:val="right"/>
              <w:rPr>
                <w:rFonts w:ascii="Arial" w:hAnsi="Arial" w:cs="Arial"/>
                <w:color w:val="000000"/>
                <w:sz w:val="16"/>
                <w:szCs w:val="16"/>
              </w:rPr>
            </w:pPr>
            <w:r w:rsidRPr="00F87278">
              <w:rPr>
                <w:rFonts w:ascii="Arial" w:hAnsi="Arial" w:cs="Arial"/>
                <w:color w:val="000000"/>
                <w:sz w:val="16"/>
                <w:szCs w:val="16"/>
              </w:rPr>
              <w:t>11,851</w:t>
            </w:r>
          </w:p>
        </w:tc>
        <w:tc>
          <w:tcPr>
            <w:tcW w:w="880" w:type="dxa"/>
            <w:tcBorders>
              <w:top w:val="nil"/>
              <w:left w:val="nil"/>
              <w:bottom w:val="nil"/>
              <w:right w:val="nil"/>
            </w:tcBorders>
            <w:shd w:val="clear" w:color="000000" w:fill="E6E6E6"/>
            <w:noWrap/>
            <w:vAlign w:val="bottom"/>
            <w:hideMark/>
          </w:tcPr>
          <w:p w14:paraId="2BF14915" w14:textId="6B230FA7"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9,900</w:t>
            </w:r>
          </w:p>
        </w:tc>
        <w:tc>
          <w:tcPr>
            <w:tcW w:w="880" w:type="dxa"/>
            <w:tcBorders>
              <w:top w:val="nil"/>
              <w:left w:val="nil"/>
              <w:bottom w:val="nil"/>
              <w:right w:val="nil"/>
            </w:tcBorders>
            <w:shd w:val="clear" w:color="auto" w:fill="auto"/>
            <w:noWrap/>
            <w:vAlign w:val="bottom"/>
            <w:hideMark/>
          </w:tcPr>
          <w:p w14:paraId="628D8238" w14:textId="3B1C7287"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34,480</w:t>
            </w:r>
          </w:p>
        </w:tc>
        <w:tc>
          <w:tcPr>
            <w:tcW w:w="880" w:type="dxa"/>
            <w:tcBorders>
              <w:top w:val="nil"/>
              <w:left w:val="nil"/>
              <w:bottom w:val="nil"/>
              <w:right w:val="nil"/>
            </w:tcBorders>
            <w:shd w:val="clear" w:color="auto" w:fill="auto"/>
            <w:noWrap/>
            <w:vAlign w:val="bottom"/>
            <w:hideMark/>
          </w:tcPr>
          <w:p w14:paraId="69C98525" w14:textId="4D627E6F"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34,870</w:t>
            </w:r>
          </w:p>
        </w:tc>
        <w:tc>
          <w:tcPr>
            <w:tcW w:w="880" w:type="dxa"/>
            <w:tcBorders>
              <w:top w:val="nil"/>
              <w:left w:val="nil"/>
              <w:bottom w:val="nil"/>
              <w:right w:val="nil"/>
            </w:tcBorders>
            <w:shd w:val="clear" w:color="auto" w:fill="auto"/>
            <w:noWrap/>
            <w:vAlign w:val="bottom"/>
            <w:hideMark/>
          </w:tcPr>
          <w:p w14:paraId="7305BE5F" w14:textId="5699368C"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36,990</w:t>
            </w:r>
          </w:p>
        </w:tc>
      </w:tr>
      <w:tr w:rsidR="00F87278" w:rsidRPr="00F87278" w14:paraId="6AD19A2D" w14:textId="77777777" w:rsidTr="003C1698">
        <w:trPr>
          <w:trHeight w:val="204"/>
        </w:trPr>
        <w:tc>
          <w:tcPr>
            <w:tcW w:w="3261" w:type="dxa"/>
            <w:tcBorders>
              <w:top w:val="nil"/>
              <w:left w:val="nil"/>
              <w:bottom w:val="nil"/>
              <w:right w:val="nil"/>
            </w:tcBorders>
            <w:shd w:val="clear" w:color="auto" w:fill="auto"/>
            <w:vAlign w:val="center"/>
            <w:hideMark/>
          </w:tcPr>
          <w:p w14:paraId="4A507FBF" w14:textId="2C49389C" w:rsidR="00F87278" w:rsidRPr="00F87278" w:rsidRDefault="00F87278" w:rsidP="00F87278">
            <w:pPr>
              <w:spacing w:after="0" w:line="240" w:lineRule="auto"/>
              <w:jc w:val="left"/>
              <w:rPr>
                <w:rFonts w:ascii="Arial" w:hAnsi="Arial" w:cs="Arial"/>
                <w:sz w:val="16"/>
                <w:szCs w:val="16"/>
              </w:rPr>
            </w:pPr>
            <w:r w:rsidRPr="00F87278">
              <w:rPr>
                <w:rFonts w:ascii="Arial" w:hAnsi="Arial" w:cs="Arial"/>
                <w:sz w:val="16"/>
                <w:szCs w:val="16"/>
              </w:rPr>
              <w:t xml:space="preserve">Revenues from other independent sources </w:t>
            </w:r>
          </w:p>
        </w:tc>
        <w:tc>
          <w:tcPr>
            <w:tcW w:w="880" w:type="dxa"/>
            <w:tcBorders>
              <w:top w:val="nil"/>
              <w:left w:val="nil"/>
              <w:bottom w:val="nil"/>
              <w:right w:val="nil"/>
            </w:tcBorders>
            <w:shd w:val="clear" w:color="auto" w:fill="auto"/>
            <w:noWrap/>
            <w:vAlign w:val="bottom"/>
            <w:hideMark/>
          </w:tcPr>
          <w:p w14:paraId="0D41A0A6" w14:textId="4ECE8AF9" w:rsidR="00F87278" w:rsidRPr="00F87278" w:rsidRDefault="00F87278" w:rsidP="00F87278">
            <w:pPr>
              <w:spacing w:after="0" w:line="240" w:lineRule="auto"/>
              <w:jc w:val="right"/>
              <w:rPr>
                <w:rFonts w:ascii="Arial" w:hAnsi="Arial" w:cs="Arial"/>
                <w:color w:val="000000"/>
                <w:sz w:val="16"/>
                <w:szCs w:val="16"/>
              </w:rPr>
            </w:pPr>
            <w:r w:rsidRPr="00F87278">
              <w:rPr>
                <w:rFonts w:ascii="Arial" w:hAnsi="Arial" w:cs="Arial"/>
                <w:color w:val="000000"/>
                <w:sz w:val="16"/>
                <w:szCs w:val="16"/>
              </w:rPr>
              <w:t>259</w:t>
            </w:r>
          </w:p>
        </w:tc>
        <w:tc>
          <w:tcPr>
            <w:tcW w:w="880" w:type="dxa"/>
            <w:tcBorders>
              <w:top w:val="nil"/>
              <w:left w:val="nil"/>
              <w:bottom w:val="nil"/>
              <w:right w:val="nil"/>
            </w:tcBorders>
            <w:shd w:val="clear" w:color="000000" w:fill="E6E6E6"/>
            <w:noWrap/>
            <w:vAlign w:val="bottom"/>
            <w:hideMark/>
          </w:tcPr>
          <w:p w14:paraId="29BCC71D" w14:textId="64B664CC"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150</w:t>
            </w:r>
          </w:p>
        </w:tc>
        <w:tc>
          <w:tcPr>
            <w:tcW w:w="880" w:type="dxa"/>
            <w:tcBorders>
              <w:top w:val="nil"/>
              <w:left w:val="nil"/>
              <w:bottom w:val="nil"/>
              <w:right w:val="nil"/>
            </w:tcBorders>
            <w:shd w:val="clear" w:color="auto" w:fill="auto"/>
            <w:noWrap/>
            <w:vAlign w:val="bottom"/>
            <w:hideMark/>
          </w:tcPr>
          <w:p w14:paraId="4A2F6FF6" w14:textId="4445C6FE"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190</w:t>
            </w:r>
          </w:p>
        </w:tc>
        <w:tc>
          <w:tcPr>
            <w:tcW w:w="880" w:type="dxa"/>
            <w:tcBorders>
              <w:top w:val="nil"/>
              <w:left w:val="nil"/>
              <w:bottom w:val="nil"/>
              <w:right w:val="nil"/>
            </w:tcBorders>
            <w:shd w:val="clear" w:color="auto" w:fill="auto"/>
            <w:noWrap/>
            <w:vAlign w:val="bottom"/>
            <w:hideMark/>
          </w:tcPr>
          <w:p w14:paraId="18E714B3" w14:textId="43EFD2CB"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290</w:t>
            </w:r>
          </w:p>
        </w:tc>
        <w:tc>
          <w:tcPr>
            <w:tcW w:w="880" w:type="dxa"/>
            <w:tcBorders>
              <w:top w:val="nil"/>
              <w:left w:val="nil"/>
              <w:bottom w:val="nil"/>
              <w:right w:val="nil"/>
            </w:tcBorders>
            <w:shd w:val="clear" w:color="auto" w:fill="auto"/>
            <w:noWrap/>
            <w:vAlign w:val="bottom"/>
            <w:hideMark/>
          </w:tcPr>
          <w:p w14:paraId="7411D2D1" w14:textId="62768B63"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500</w:t>
            </w:r>
          </w:p>
        </w:tc>
      </w:tr>
      <w:tr w:rsidR="00F87278" w:rsidRPr="00F87278" w14:paraId="4D261678" w14:textId="77777777" w:rsidTr="003C1698">
        <w:trPr>
          <w:trHeight w:val="204"/>
        </w:trPr>
        <w:tc>
          <w:tcPr>
            <w:tcW w:w="3261" w:type="dxa"/>
            <w:tcBorders>
              <w:top w:val="nil"/>
              <w:left w:val="nil"/>
              <w:bottom w:val="nil"/>
              <w:right w:val="nil"/>
            </w:tcBorders>
            <w:shd w:val="clear" w:color="auto" w:fill="auto"/>
            <w:vAlign w:val="center"/>
            <w:hideMark/>
          </w:tcPr>
          <w:p w14:paraId="0614B31A" w14:textId="6631183C" w:rsidR="00F87278" w:rsidRPr="00F87278" w:rsidRDefault="00F87278" w:rsidP="00F87278">
            <w:pPr>
              <w:spacing w:after="0" w:line="240" w:lineRule="auto"/>
              <w:jc w:val="left"/>
              <w:rPr>
                <w:rFonts w:ascii="Arial" w:hAnsi="Arial" w:cs="Arial"/>
                <w:sz w:val="16"/>
                <w:szCs w:val="16"/>
              </w:rPr>
            </w:pPr>
            <w:r w:rsidRPr="00F87278">
              <w:rPr>
                <w:rFonts w:ascii="Arial" w:hAnsi="Arial" w:cs="Arial"/>
                <w:sz w:val="16"/>
                <w:szCs w:val="16"/>
              </w:rPr>
              <w:t>Expenses not requiring</w:t>
            </w:r>
            <w:r>
              <w:rPr>
                <w:rFonts w:ascii="Arial" w:hAnsi="Arial" w:cs="Arial"/>
                <w:sz w:val="16"/>
                <w:szCs w:val="16"/>
              </w:rPr>
              <w:t xml:space="preserve"> </w:t>
            </w:r>
            <w:r w:rsidRPr="00F87278">
              <w:rPr>
                <w:rFonts w:ascii="Arial" w:hAnsi="Arial" w:cs="Arial"/>
                <w:sz w:val="16"/>
                <w:szCs w:val="16"/>
              </w:rPr>
              <w:t xml:space="preserve">appropriation in the budget year </w:t>
            </w:r>
            <w:r w:rsidRPr="00F87278">
              <w:rPr>
                <w:rFonts w:ascii="Arial" w:hAnsi="Arial" w:cs="Arial"/>
                <w:sz w:val="16"/>
                <w:szCs w:val="16"/>
                <w:vertAlign w:val="superscript"/>
              </w:rPr>
              <w:t>(a)</w:t>
            </w:r>
          </w:p>
        </w:tc>
        <w:tc>
          <w:tcPr>
            <w:tcW w:w="880" w:type="dxa"/>
            <w:tcBorders>
              <w:top w:val="nil"/>
              <w:left w:val="nil"/>
              <w:bottom w:val="nil"/>
              <w:right w:val="nil"/>
            </w:tcBorders>
            <w:shd w:val="clear" w:color="auto" w:fill="auto"/>
            <w:noWrap/>
            <w:vAlign w:val="bottom"/>
            <w:hideMark/>
          </w:tcPr>
          <w:p w14:paraId="63279E92" w14:textId="77777777" w:rsidR="00F87278" w:rsidRPr="00F87278" w:rsidRDefault="00F87278" w:rsidP="00F87278">
            <w:pPr>
              <w:spacing w:after="0" w:line="240" w:lineRule="auto"/>
              <w:jc w:val="right"/>
              <w:rPr>
                <w:rFonts w:ascii="Arial" w:hAnsi="Arial" w:cs="Arial"/>
                <w:color w:val="000000"/>
                <w:sz w:val="16"/>
                <w:szCs w:val="16"/>
              </w:rPr>
            </w:pPr>
            <w:r w:rsidRPr="00F87278">
              <w:rPr>
                <w:rFonts w:ascii="Arial" w:hAnsi="Arial" w:cs="Arial"/>
                <w:color w:val="000000"/>
                <w:sz w:val="16"/>
                <w:szCs w:val="16"/>
              </w:rPr>
              <w:t>(16,206)</w:t>
            </w:r>
          </w:p>
        </w:tc>
        <w:tc>
          <w:tcPr>
            <w:tcW w:w="880" w:type="dxa"/>
            <w:tcBorders>
              <w:top w:val="nil"/>
              <w:left w:val="nil"/>
              <w:bottom w:val="nil"/>
              <w:right w:val="nil"/>
            </w:tcBorders>
            <w:shd w:val="clear" w:color="000000" w:fill="E6E6E6"/>
            <w:noWrap/>
            <w:vAlign w:val="bottom"/>
            <w:hideMark/>
          </w:tcPr>
          <w:p w14:paraId="01FB34BD" w14:textId="78CE4667"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1D22E724" w14:textId="1C6FDDC6"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821</w:t>
            </w:r>
          </w:p>
        </w:tc>
        <w:tc>
          <w:tcPr>
            <w:tcW w:w="880" w:type="dxa"/>
            <w:tcBorders>
              <w:top w:val="nil"/>
              <w:left w:val="nil"/>
              <w:bottom w:val="nil"/>
              <w:right w:val="nil"/>
            </w:tcBorders>
            <w:shd w:val="clear" w:color="auto" w:fill="auto"/>
            <w:noWrap/>
            <w:vAlign w:val="bottom"/>
            <w:hideMark/>
          </w:tcPr>
          <w:p w14:paraId="5F0A178F" w14:textId="0A9BAE41"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4,457</w:t>
            </w:r>
          </w:p>
        </w:tc>
        <w:tc>
          <w:tcPr>
            <w:tcW w:w="880" w:type="dxa"/>
            <w:tcBorders>
              <w:top w:val="nil"/>
              <w:left w:val="nil"/>
              <w:bottom w:val="nil"/>
              <w:right w:val="nil"/>
            </w:tcBorders>
            <w:shd w:val="clear" w:color="auto" w:fill="auto"/>
            <w:noWrap/>
            <w:vAlign w:val="bottom"/>
            <w:hideMark/>
          </w:tcPr>
          <w:p w14:paraId="2136C4BC" w14:textId="1178A55E"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36,107</w:t>
            </w:r>
          </w:p>
        </w:tc>
      </w:tr>
      <w:tr w:rsidR="00F87278" w:rsidRPr="00F87278" w14:paraId="155E37E2" w14:textId="77777777" w:rsidTr="003C1698">
        <w:trPr>
          <w:trHeight w:val="204"/>
        </w:trPr>
        <w:tc>
          <w:tcPr>
            <w:tcW w:w="3261" w:type="dxa"/>
            <w:tcBorders>
              <w:top w:val="nil"/>
              <w:left w:val="nil"/>
              <w:bottom w:val="single" w:sz="4" w:space="0" w:color="auto"/>
              <w:right w:val="nil"/>
            </w:tcBorders>
            <w:shd w:val="clear" w:color="auto" w:fill="auto"/>
            <w:noWrap/>
            <w:vAlign w:val="center"/>
            <w:hideMark/>
          </w:tcPr>
          <w:p w14:paraId="4938DFF2" w14:textId="77777777" w:rsidR="00F87278" w:rsidRPr="00F87278" w:rsidRDefault="00F87278" w:rsidP="00F87278">
            <w:pPr>
              <w:spacing w:after="0" w:line="240" w:lineRule="auto"/>
              <w:jc w:val="left"/>
              <w:rPr>
                <w:rFonts w:ascii="Arial" w:hAnsi="Arial" w:cs="Arial"/>
                <w:b/>
                <w:bCs/>
                <w:sz w:val="16"/>
                <w:szCs w:val="16"/>
              </w:rPr>
            </w:pPr>
            <w:r w:rsidRPr="00F87278">
              <w:rPr>
                <w:rFonts w:ascii="Arial" w:hAnsi="Arial" w:cs="Arial"/>
                <w:b/>
                <w:bCs/>
                <w:sz w:val="16"/>
                <w:szCs w:val="16"/>
              </w:rPr>
              <w:t>Total expenses for Outcome 1</w:t>
            </w:r>
          </w:p>
        </w:tc>
        <w:tc>
          <w:tcPr>
            <w:tcW w:w="880" w:type="dxa"/>
            <w:tcBorders>
              <w:top w:val="single" w:sz="4" w:space="0" w:color="auto"/>
              <w:left w:val="nil"/>
              <w:bottom w:val="single" w:sz="4" w:space="0" w:color="auto"/>
              <w:right w:val="nil"/>
            </w:tcBorders>
            <w:shd w:val="clear" w:color="auto" w:fill="auto"/>
            <w:noWrap/>
            <w:vAlign w:val="bottom"/>
            <w:hideMark/>
          </w:tcPr>
          <w:p w14:paraId="25F42567" w14:textId="5C6CD200" w:rsidR="00F87278" w:rsidRPr="00F87278" w:rsidRDefault="00F87278" w:rsidP="00F87278">
            <w:pPr>
              <w:spacing w:after="0" w:line="240" w:lineRule="auto"/>
              <w:jc w:val="right"/>
              <w:rPr>
                <w:rFonts w:ascii="Arial" w:hAnsi="Arial" w:cs="Arial"/>
                <w:b/>
                <w:bCs/>
                <w:color w:val="000000"/>
                <w:sz w:val="16"/>
                <w:szCs w:val="16"/>
              </w:rPr>
            </w:pPr>
            <w:r w:rsidRPr="00F87278">
              <w:rPr>
                <w:rFonts w:ascii="Arial" w:hAnsi="Arial" w:cs="Arial"/>
                <w:b/>
                <w:bCs/>
                <w:color w:val="000000"/>
                <w:sz w:val="16"/>
                <w:szCs w:val="16"/>
              </w:rPr>
              <w:t>193,048</w:t>
            </w:r>
          </w:p>
        </w:tc>
        <w:tc>
          <w:tcPr>
            <w:tcW w:w="880" w:type="dxa"/>
            <w:tcBorders>
              <w:top w:val="single" w:sz="4" w:space="0" w:color="auto"/>
              <w:left w:val="nil"/>
              <w:bottom w:val="single" w:sz="4" w:space="0" w:color="auto"/>
              <w:right w:val="nil"/>
            </w:tcBorders>
            <w:shd w:val="clear" w:color="000000" w:fill="E6E6E6"/>
            <w:noWrap/>
            <w:vAlign w:val="bottom"/>
            <w:hideMark/>
          </w:tcPr>
          <w:p w14:paraId="224B95C5" w14:textId="55C13572" w:rsidR="00F87278" w:rsidRPr="00F87278" w:rsidRDefault="00F87278" w:rsidP="00F87278">
            <w:pPr>
              <w:spacing w:after="0" w:line="240" w:lineRule="auto"/>
              <w:jc w:val="right"/>
              <w:rPr>
                <w:rFonts w:ascii="Arial" w:hAnsi="Arial" w:cs="Arial"/>
                <w:b/>
                <w:bCs/>
                <w:color w:val="000000"/>
                <w:sz w:val="16"/>
                <w:szCs w:val="16"/>
              </w:rPr>
            </w:pPr>
            <w:r w:rsidRPr="00F87278">
              <w:rPr>
                <w:rFonts w:ascii="Arial" w:hAnsi="Arial" w:cs="Arial"/>
                <w:b/>
                <w:bCs/>
                <w:color w:val="000000"/>
                <w:sz w:val="16"/>
                <w:szCs w:val="16"/>
              </w:rPr>
              <w:t>217,432</w:t>
            </w:r>
          </w:p>
        </w:tc>
        <w:tc>
          <w:tcPr>
            <w:tcW w:w="880" w:type="dxa"/>
            <w:tcBorders>
              <w:top w:val="single" w:sz="4" w:space="0" w:color="auto"/>
              <w:left w:val="nil"/>
              <w:bottom w:val="single" w:sz="4" w:space="0" w:color="auto"/>
              <w:right w:val="nil"/>
            </w:tcBorders>
            <w:shd w:val="clear" w:color="auto" w:fill="auto"/>
            <w:noWrap/>
            <w:vAlign w:val="bottom"/>
            <w:hideMark/>
          </w:tcPr>
          <w:p w14:paraId="48BD66A1" w14:textId="702C4262" w:rsidR="00F87278" w:rsidRPr="00F87278" w:rsidRDefault="00F87278" w:rsidP="00F87278">
            <w:pPr>
              <w:spacing w:after="0" w:line="240" w:lineRule="auto"/>
              <w:jc w:val="right"/>
              <w:rPr>
                <w:rFonts w:ascii="Arial" w:hAnsi="Arial" w:cs="Arial"/>
                <w:b/>
                <w:bCs/>
                <w:sz w:val="16"/>
                <w:szCs w:val="16"/>
              </w:rPr>
            </w:pPr>
            <w:r w:rsidRPr="00F87278">
              <w:rPr>
                <w:rFonts w:ascii="Arial" w:hAnsi="Arial" w:cs="Arial"/>
                <w:b/>
                <w:bCs/>
                <w:sz w:val="16"/>
                <w:szCs w:val="16"/>
              </w:rPr>
              <w:t>215,700</w:t>
            </w:r>
          </w:p>
        </w:tc>
        <w:tc>
          <w:tcPr>
            <w:tcW w:w="880" w:type="dxa"/>
            <w:tcBorders>
              <w:top w:val="single" w:sz="4" w:space="0" w:color="auto"/>
              <w:left w:val="nil"/>
              <w:bottom w:val="single" w:sz="4" w:space="0" w:color="auto"/>
              <w:right w:val="nil"/>
            </w:tcBorders>
            <w:shd w:val="clear" w:color="auto" w:fill="auto"/>
            <w:noWrap/>
            <w:vAlign w:val="bottom"/>
            <w:hideMark/>
          </w:tcPr>
          <w:p w14:paraId="251713F1" w14:textId="6CFB9FFC" w:rsidR="00F87278" w:rsidRPr="00F87278" w:rsidRDefault="00F87278" w:rsidP="00F87278">
            <w:pPr>
              <w:spacing w:after="0" w:line="240" w:lineRule="auto"/>
              <w:jc w:val="right"/>
              <w:rPr>
                <w:rFonts w:ascii="Arial" w:hAnsi="Arial" w:cs="Arial"/>
                <w:b/>
                <w:bCs/>
                <w:sz w:val="16"/>
                <w:szCs w:val="16"/>
              </w:rPr>
            </w:pPr>
            <w:r w:rsidRPr="00F87278">
              <w:rPr>
                <w:rFonts w:ascii="Arial" w:hAnsi="Arial" w:cs="Arial"/>
                <w:b/>
                <w:bCs/>
                <w:sz w:val="16"/>
                <w:szCs w:val="16"/>
              </w:rPr>
              <w:t>220,700</w:t>
            </w:r>
          </w:p>
        </w:tc>
        <w:tc>
          <w:tcPr>
            <w:tcW w:w="880" w:type="dxa"/>
            <w:tcBorders>
              <w:top w:val="single" w:sz="4" w:space="0" w:color="auto"/>
              <w:left w:val="nil"/>
              <w:bottom w:val="single" w:sz="4" w:space="0" w:color="auto"/>
              <w:right w:val="nil"/>
            </w:tcBorders>
            <w:shd w:val="clear" w:color="auto" w:fill="auto"/>
            <w:noWrap/>
            <w:vAlign w:val="bottom"/>
            <w:hideMark/>
          </w:tcPr>
          <w:p w14:paraId="0164DC25" w14:textId="0C358674" w:rsidR="00F87278" w:rsidRPr="00F87278" w:rsidRDefault="00F87278" w:rsidP="00F87278">
            <w:pPr>
              <w:spacing w:after="0" w:line="240" w:lineRule="auto"/>
              <w:jc w:val="right"/>
              <w:rPr>
                <w:rFonts w:ascii="Arial" w:hAnsi="Arial" w:cs="Arial"/>
                <w:b/>
                <w:bCs/>
                <w:sz w:val="16"/>
                <w:szCs w:val="16"/>
              </w:rPr>
            </w:pPr>
            <w:r w:rsidRPr="00F87278">
              <w:rPr>
                <w:rFonts w:ascii="Arial" w:hAnsi="Arial" w:cs="Arial"/>
                <w:b/>
                <w:bCs/>
                <w:sz w:val="16"/>
                <w:szCs w:val="16"/>
              </w:rPr>
              <w:t>227,200</w:t>
            </w:r>
          </w:p>
        </w:tc>
      </w:tr>
    </w:tbl>
    <w:p w14:paraId="12BF8FB5" w14:textId="5214AF14" w:rsidR="00C17040" w:rsidRDefault="00C17040" w:rsidP="00C17040">
      <w:pPr>
        <w:pStyle w:val="TableGraphic"/>
        <w:rPr>
          <w:iCs/>
        </w:rPr>
      </w:pPr>
    </w:p>
    <w:tbl>
      <w:tblPr>
        <w:tblW w:w="5053" w:type="dxa"/>
        <w:tblLook w:val="04A0" w:firstRow="1" w:lastRow="0" w:firstColumn="1" w:lastColumn="0" w:noHBand="0" w:noVBand="1"/>
      </w:tblPr>
      <w:tblGrid>
        <w:gridCol w:w="3261"/>
        <w:gridCol w:w="896"/>
        <w:gridCol w:w="896"/>
      </w:tblGrid>
      <w:tr w:rsidR="00F87278" w:rsidRPr="00F87278" w14:paraId="019F32E1" w14:textId="77777777" w:rsidTr="00D47D34">
        <w:trPr>
          <w:trHeight w:val="204"/>
        </w:trPr>
        <w:tc>
          <w:tcPr>
            <w:tcW w:w="3261" w:type="dxa"/>
            <w:tcBorders>
              <w:top w:val="single" w:sz="4" w:space="0" w:color="auto"/>
              <w:left w:val="nil"/>
              <w:bottom w:val="nil"/>
              <w:right w:val="nil"/>
            </w:tcBorders>
            <w:shd w:val="clear" w:color="auto" w:fill="auto"/>
            <w:noWrap/>
            <w:vAlign w:val="center"/>
            <w:hideMark/>
          </w:tcPr>
          <w:p w14:paraId="7EAAE10F" w14:textId="77777777" w:rsidR="00F87278" w:rsidRPr="00F87278" w:rsidRDefault="00F87278" w:rsidP="00F87278">
            <w:pPr>
              <w:spacing w:after="0" w:line="240" w:lineRule="auto"/>
              <w:jc w:val="left"/>
              <w:rPr>
                <w:rFonts w:ascii="Arial" w:hAnsi="Arial" w:cs="Arial"/>
                <w:sz w:val="16"/>
                <w:szCs w:val="16"/>
              </w:rPr>
            </w:pPr>
            <w:r w:rsidRPr="00F87278">
              <w:rPr>
                <w:rFonts w:ascii="Arial" w:hAnsi="Arial" w:cs="Arial"/>
                <w:sz w:val="16"/>
                <w:szCs w:val="16"/>
              </w:rPr>
              <w:t> </w:t>
            </w:r>
          </w:p>
        </w:tc>
        <w:tc>
          <w:tcPr>
            <w:tcW w:w="896" w:type="dxa"/>
            <w:tcBorders>
              <w:top w:val="single" w:sz="4" w:space="0" w:color="auto"/>
              <w:left w:val="nil"/>
              <w:bottom w:val="nil"/>
              <w:right w:val="nil"/>
            </w:tcBorders>
            <w:shd w:val="clear" w:color="auto" w:fill="auto"/>
            <w:noWrap/>
            <w:vAlign w:val="bottom"/>
            <w:hideMark/>
          </w:tcPr>
          <w:p w14:paraId="22ACE023" w14:textId="247EDE23" w:rsidR="00362E40" w:rsidRDefault="00362E40" w:rsidP="00F87278">
            <w:pPr>
              <w:spacing w:after="0" w:line="240" w:lineRule="auto"/>
              <w:jc w:val="right"/>
              <w:rPr>
                <w:rFonts w:ascii="Arial" w:hAnsi="Arial" w:cs="Arial"/>
                <w:sz w:val="16"/>
                <w:szCs w:val="16"/>
              </w:rPr>
            </w:pPr>
            <w:r>
              <w:rPr>
                <w:rFonts w:ascii="Arial" w:hAnsi="Arial" w:cs="Arial"/>
                <w:sz w:val="16"/>
                <w:szCs w:val="16"/>
              </w:rPr>
              <w:t>Actual</w:t>
            </w:r>
          </w:p>
          <w:p w14:paraId="7C88F9F3" w14:textId="041487DD"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2020-21</w:t>
            </w:r>
          </w:p>
        </w:tc>
        <w:tc>
          <w:tcPr>
            <w:tcW w:w="896" w:type="dxa"/>
            <w:tcBorders>
              <w:top w:val="single" w:sz="4" w:space="0" w:color="000000"/>
              <w:left w:val="nil"/>
              <w:bottom w:val="nil"/>
              <w:right w:val="nil"/>
            </w:tcBorders>
            <w:shd w:val="clear" w:color="000000" w:fill="E6E6E6"/>
            <w:noWrap/>
            <w:vAlign w:val="bottom"/>
            <w:hideMark/>
          </w:tcPr>
          <w:p w14:paraId="2DE9E912" w14:textId="77777777" w:rsidR="00F87278" w:rsidRPr="00F87278" w:rsidRDefault="00F87278" w:rsidP="00F87278">
            <w:pPr>
              <w:spacing w:after="0" w:line="240" w:lineRule="auto"/>
              <w:jc w:val="right"/>
              <w:rPr>
                <w:rFonts w:ascii="Arial" w:hAnsi="Arial" w:cs="Arial"/>
                <w:sz w:val="16"/>
                <w:szCs w:val="16"/>
              </w:rPr>
            </w:pPr>
            <w:r w:rsidRPr="00F87278">
              <w:rPr>
                <w:rFonts w:ascii="Arial" w:hAnsi="Arial" w:cs="Arial"/>
                <w:sz w:val="16"/>
                <w:szCs w:val="16"/>
              </w:rPr>
              <w:t>2021-22</w:t>
            </w:r>
          </w:p>
        </w:tc>
      </w:tr>
      <w:tr w:rsidR="00F87278" w:rsidRPr="00F87278" w14:paraId="7B12458E" w14:textId="77777777" w:rsidTr="00D47D34">
        <w:trPr>
          <w:trHeight w:val="204"/>
        </w:trPr>
        <w:tc>
          <w:tcPr>
            <w:tcW w:w="3261" w:type="dxa"/>
            <w:tcBorders>
              <w:top w:val="nil"/>
              <w:left w:val="nil"/>
              <w:bottom w:val="single" w:sz="4" w:space="0" w:color="auto"/>
              <w:right w:val="nil"/>
            </w:tcBorders>
            <w:shd w:val="clear" w:color="auto" w:fill="auto"/>
            <w:noWrap/>
            <w:vAlign w:val="center"/>
            <w:hideMark/>
          </w:tcPr>
          <w:p w14:paraId="536FA553" w14:textId="77777777" w:rsidR="00F87278" w:rsidRPr="00F87278" w:rsidRDefault="00F87278" w:rsidP="00F87278">
            <w:pPr>
              <w:spacing w:after="0" w:line="240" w:lineRule="auto"/>
              <w:jc w:val="left"/>
              <w:rPr>
                <w:rFonts w:ascii="Arial" w:hAnsi="Arial" w:cs="Arial"/>
                <w:b/>
                <w:bCs/>
                <w:color w:val="000000"/>
                <w:sz w:val="16"/>
                <w:szCs w:val="16"/>
              </w:rPr>
            </w:pPr>
            <w:r w:rsidRPr="00F87278">
              <w:rPr>
                <w:rFonts w:ascii="Arial" w:hAnsi="Arial" w:cs="Arial"/>
                <w:b/>
                <w:bCs/>
                <w:color w:val="000000"/>
                <w:sz w:val="16"/>
                <w:szCs w:val="16"/>
              </w:rPr>
              <w:t>Average staffing level (number)</w:t>
            </w:r>
          </w:p>
        </w:tc>
        <w:tc>
          <w:tcPr>
            <w:tcW w:w="896" w:type="dxa"/>
            <w:tcBorders>
              <w:top w:val="single" w:sz="4" w:space="0" w:color="000000"/>
              <w:left w:val="nil"/>
              <w:bottom w:val="single" w:sz="4" w:space="0" w:color="000000"/>
              <w:right w:val="nil"/>
            </w:tcBorders>
            <w:shd w:val="clear" w:color="000000" w:fill="FFFFFF"/>
            <w:noWrap/>
            <w:vAlign w:val="bottom"/>
            <w:hideMark/>
          </w:tcPr>
          <w:p w14:paraId="7D2634D8" w14:textId="4A34EEA6" w:rsidR="00F87278" w:rsidRPr="00F87278" w:rsidRDefault="00F87278" w:rsidP="00F87278">
            <w:pPr>
              <w:spacing w:after="0" w:line="240" w:lineRule="auto"/>
              <w:jc w:val="right"/>
              <w:rPr>
                <w:rFonts w:ascii="Arial" w:hAnsi="Arial" w:cs="Arial"/>
                <w:color w:val="000000"/>
                <w:sz w:val="16"/>
                <w:szCs w:val="16"/>
              </w:rPr>
            </w:pPr>
            <w:r w:rsidRPr="00F87278">
              <w:rPr>
                <w:rFonts w:ascii="Arial" w:hAnsi="Arial" w:cs="Arial"/>
                <w:color w:val="000000"/>
                <w:sz w:val="16"/>
                <w:szCs w:val="16"/>
              </w:rPr>
              <w:t>819</w:t>
            </w:r>
          </w:p>
        </w:tc>
        <w:tc>
          <w:tcPr>
            <w:tcW w:w="896" w:type="dxa"/>
            <w:tcBorders>
              <w:top w:val="single" w:sz="4" w:space="0" w:color="000000"/>
              <w:left w:val="nil"/>
              <w:bottom w:val="single" w:sz="4" w:space="0" w:color="000000"/>
              <w:right w:val="nil"/>
            </w:tcBorders>
            <w:shd w:val="clear" w:color="000000" w:fill="E6E6E6"/>
            <w:noWrap/>
            <w:vAlign w:val="bottom"/>
            <w:hideMark/>
          </w:tcPr>
          <w:p w14:paraId="3DC64A04" w14:textId="6BB436A9" w:rsidR="00F87278" w:rsidRPr="00F87278" w:rsidRDefault="00F87278" w:rsidP="00F87278">
            <w:pPr>
              <w:spacing w:after="0" w:line="240" w:lineRule="auto"/>
              <w:jc w:val="right"/>
              <w:rPr>
                <w:rFonts w:ascii="Arial" w:hAnsi="Arial" w:cs="Arial"/>
                <w:color w:val="000000"/>
                <w:sz w:val="16"/>
                <w:szCs w:val="16"/>
              </w:rPr>
            </w:pPr>
            <w:r w:rsidRPr="00F87278">
              <w:rPr>
                <w:rFonts w:ascii="Arial" w:hAnsi="Arial" w:cs="Arial"/>
                <w:color w:val="000000"/>
                <w:sz w:val="16"/>
                <w:szCs w:val="16"/>
              </w:rPr>
              <w:t>832</w:t>
            </w:r>
          </w:p>
        </w:tc>
      </w:tr>
    </w:tbl>
    <w:p w14:paraId="4843B610" w14:textId="0C1A25AE" w:rsidR="00A51372" w:rsidRPr="00A51372" w:rsidRDefault="00A51372" w:rsidP="0098313C">
      <w:pPr>
        <w:spacing w:before="60" w:after="0" w:line="240" w:lineRule="auto"/>
        <w:rPr>
          <w:rFonts w:ascii="Arial" w:hAnsi="Arial" w:cs="Arial"/>
          <w:sz w:val="16"/>
          <w:szCs w:val="16"/>
        </w:rPr>
      </w:pPr>
      <w:r w:rsidRPr="00A51372">
        <w:rPr>
          <w:rFonts w:ascii="Arial" w:hAnsi="Arial" w:cs="Arial"/>
          <w:sz w:val="16"/>
          <w:szCs w:val="16"/>
        </w:rPr>
        <w:t>Figures displayed as a negative (-) represent a decrease in funds and a positive (+) represent an increase in funds.</w:t>
      </w:r>
    </w:p>
    <w:p w14:paraId="6EE6E39E" w14:textId="369C2D97" w:rsidR="003C1698" w:rsidRDefault="003B4729" w:rsidP="00F10ACD">
      <w:pPr>
        <w:pStyle w:val="ChartandTableFootnoteAlpha"/>
        <w:numPr>
          <w:ilvl w:val="0"/>
          <w:numId w:val="58"/>
        </w:numPr>
        <w:tabs>
          <w:tab w:val="clear" w:pos="397"/>
          <w:tab w:val="num" w:pos="284"/>
        </w:tabs>
        <w:spacing w:after="0"/>
        <w:ind w:left="284" w:hanging="284"/>
        <w:jc w:val="left"/>
      </w:pPr>
      <w:r>
        <w:rPr>
          <w:lang w:val="en-US"/>
        </w:rPr>
        <w:t>‘</w:t>
      </w:r>
      <w:r w:rsidR="00A51372" w:rsidRPr="003C1698">
        <w:rPr>
          <w:lang w:val="en-US"/>
        </w:rPr>
        <w:t>Expenses not requiring appropriation in the Budget year’ is made up of the operating result and the timing of accruals</w:t>
      </w:r>
      <w:r w:rsidR="00A51372" w:rsidRPr="008E4ECE">
        <w:t>.</w:t>
      </w:r>
    </w:p>
    <w:p w14:paraId="393B8D94" w14:textId="77777777" w:rsidR="00D4130C" w:rsidRDefault="00D4130C" w:rsidP="00A51372">
      <w:pPr>
        <w:keepNext/>
        <w:spacing w:after="20" w:line="240" w:lineRule="auto"/>
        <w:jc w:val="left"/>
        <w:rPr>
          <w:rFonts w:ascii="Arial" w:hAnsi="Arial"/>
          <w:b/>
          <w:color w:val="000000"/>
          <w:lang w:val="x-none" w:eastAsia="x-none"/>
        </w:rPr>
      </w:pPr>
      <w:bookmarkStart w:id="415" w:name="_Toc190682315"/>
      <w:bookmarkStart w:id="416" w:name="_Toc190682532"/>
    </w:p>
    <w:p w14:paraId="5B5FE47C" w14:textId="75542C7C" w:rsidR="00A51372" w:rsidRPr="00A51372" w:rsidRDefault="00A51372" w:rsidP="00A51372">
      <w:pPr>
        <w:keepNext/>
        <w:spacing w:after="20" w:line="240" w:lineRule="auto"/>
        <w:jc w:val="left"/>
        <w:rPr>
          <w:rFonts w:ascii="Arial" w:hAnsi="Arial"/>
          <w:b/>
          <w:color w:val="000000"/>
          <w:lang w:val="x-none" w:eastAsia="x-none"/>
        </w:rPr>
      </w:pPr>
      <w:r w:rsidRPr="00A51372">
        <w:rPr>
          <w:rFonts w:ascii="Arial" w:hAnsi="Arial"/>
          <w:b/>
          <w:color w:val="000000"/>
          <w:lang w:val="x-none" w:eastAsia="x-none"/>
        </w:rPr>
        <w:t xml:space="preserve">Performance criteria for Outcome </w:t>
      </w:r>
      <w:r w:rsidRPr="00A51372">
        <w:rPr>
          <w:rFonts w:ascii="Arial" w:hAnsi="Arial"/>
          <w:b/>
          <w:color w:val="000000"/>
          <w:lang w:val="en-US" w:eastAsia="x-none"/>
        </w:rPr>
        <w:t>1</w:t>
      </w:r>
    </w:p>
    <w:p w14:paraId="4629E906" w14:textId="1313EDFC" w:rsidR="00A51372" w:rsidRPr="00A51372" w:rsidRDefault="00A51372" w:rsidP="00A51372">
      <w:pPr>
        <w:tabs>
          <w:tab w:val="left" w:pos="709"/>
        </w:tabs>
        <w:spacing w:after="0"/>
        <w:jc w:val="left"/>
      </w:pPr>
      <w:r w:rsidRPr="00A51372">
        <w:t xml:space="preserve">There has been no change to the performance criteria for Outcome 1 resulting from decisions </w:t>
      </w:r>
      <w:r w:rsidR="000672C0">
        <w:t xml:space="preserve">made since the 2021-22 Budget. </w:t>
      </w:r>
      <w:r w:rsidRPr="00A51372">
        <w:t xml:space="preserve">CASA’s detailed performance criteria can be found in the </w:t>
      </w:r>
      <w:r w:rsidR="00360023" w:rsidRPr="00A51372">
        <w:t xml:space="preserve">2021-22 </w:t>
      </w:r>
      <w:r w:rsidRPr="00A51372">
        <w:t xml:space="preserve">Infrastructure, Transport, Regional Development and Communications PB Statements. </w:t>
      </w:r>
      <w:bookmarkEnd w:id="415"/>
      <w:bookmarkEnd w:id="416"/>
    </w:p>
    <w:p w14:paraId="25B5AFE1" w14:textId="77777777" w:rsidR="00A51372" w:rsidRDefault="00A51372">
      <w:pPr>
        <w:spacing w:after="0" w:line="240" w:lineRule="auto"/>
        <w:jc w:val="left"/>
      </w:pPr>
    </w:p>
    <w:p w14:paraId="195605DE" w14:textId="0280E3F4" w:rsidR="00E62925" w:rsidRDefault="00E62925">
      <w:pPr>
        <w:spacing w:after="0" w:line="240" w:lineRule="auto"/>
        <w:jc w:val="left"/>
      </w:pPr>
      <w:r>
        <w:br w:type="page"/>
      </w:r>
    </w:p>
    <w:p w14:paraId="7E018C5B" w14:textId="630813B0" w:rsidR="00C17040" w:rsidRPr="00E41681" w:rsidRDefault="00C17040" w:rsidP="00886877">
      <w:pPr>
        <w:pStyle w:val="Heading2-TOCCASA"/>
      </w:pPr>
      <w:bookmarkStart w:id="417" w:name="_Toc93930025"/>
      <w:r w:rsidRPr="00E41681">
        <w:lastRenderedPageBreak/>
        <w:t>Section 3: Special account flows and budgeted financial statements</w:t>
      </w:r>
      <w:bookmarkEnd w:id="417"/>
    </w:p>
    <w:p w14:paraId="1C7276B9" w14:textId="77777777" w:rsidR="00C17040" w:rsidRPr="004D3E2B" w:rsidRDefault="00C17040" w:rsidP="00886877">
      <w:pPr>
        <w:pStyle w:val="Heading3CASA"/>
      </w:pPr>
      <w:bookmarkStart w:id="418" w:name="_Toc93930026"/>
      <w:r w:rsidRPr="004D3E2B">
        <w:t>3.1</w:t>
      </w:r>
      <w:r w:rsidRPr="004D3E2B">
        <w:tab/>
        <w:t>Special account flows</w:t>
      </w:r>
      <w:bookmarkEnd w:id="418"/>
    </w:p>
    <w:p w14:paraId="6E414DD4" w14:textId="77777777" w:rsidR="00C17040" w:rsidRDefault="00C17040" w:rsidP="00C17040">
      <w:pPr>
        <w:pStyle w:val="Heading4"/>
      </w:pPr>
      <w:r w:rsidRPr="004928FF">
        <w:t xml:space="preserve">Estimates of </w:t>
      </w:r>
      <w:r>
        <w:t>s</w:t>
      </w:r>
      <w:r w:rsidRPr="004928FF">
        <w:t xml:space="preserve">pecial </w:t>
      </w:r>
      <w:r>
        <w:t>a</w:t>
      </w:r>
      <w:r w:rsidRPr="004928FF">
        <w:t xml:space="preserve">ccount </w:t>
      </w:r>
      <w:r>
        <w:t>f</w:t>
      </w:r>
      <w:r w:rsidRPr="004928FF">
        <w:t>lows</w:t>
      </w:r>
    </w:p>
    <w:p w14:paraId="7B466F61" w14:textId="053878C9" w:rsidR="00A51372" w:rsidRDefault="00A51372" w:rsidP="0098313C">
      <w:pPr>
        <w:jc w:val="left"/>
      </w:pPr>
      <w:bookmarkStart w:id="419" w:name="_Hlk93670713"/>
      <w:r>
        <w:t xml:space="preserve">CASA does </w:t>
      </w:r>
      <w:bookmarkEnd w:id="419"/>
      <w:r>
        <w:t>not maintain special accounts.</w:t>
      </w:r>
    </w:p>
    <w:p w14:paraId="3E3B0825" w14:textId="6716A3D0" w:rsidR="00C17040" w:rsidRDefault="00C17040" w:rsidP="00886877">
      <w:pPr>
        <w:pStyle w:val="Heading3CASA"/>
      </w:pPr>
      <w:bookmarkStart w:id="420" w:name="_Toc93930027"/>
      <w:r w:rsidRPr="005554F9">
        <w:t>3.2</w:t>
      </w:r>
      <w:r>
        <w:tab/>
        <w:t>Budgeted financial statements</w:t>
      </w:r>
      <w:bookmarkEnd w:id="420"/>
    </w:p>
    <w:p w14:paraId="79B45585" w14:textId="77777777" w:rsidR="00C17040" w:rsidRPr="004928FF" w:rsidRDefault="00C17040" w:rsidP="00C17040">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79B8B18A" w14:textId="77777777" w:rsidR="00A51372" w:rsidRPr="00A51372" w:rsidRDefault="00A51372" w:rsidP="0098313C">
      <w:pPr>
        <w:pStyle w:val="ExampleText"/>
        <w:rPr>
          <w:i w:val="0"/>
          <w:iCs/>
          <w:color w:val="auto"/>
        </w:rPr>
      </w:pPr>
      <w:r w:rsidRPr="00A51372">
        <w:rPr>
          <w:i w:val="0"/>
          <w:iCs/>
          <w:color w:val="auto"/>
        </w:rPr>
        <w:t>CASA is anticipating a break-even position in 2021-22.</w:t>
      </w:r>
    </w:p>
    <w:p w14:paraId="5BD47F17" w14:textId="08219905" w:rsidR="00A51372" w:rsidRPr="003B4729" w:rsidRDefault="00A51372" w:rsidP="003B4729">
      <w:pPr>
        <w:pStyle w:val="ExampleText"/>
        <w:rPr>
          <w:i w:val="0"/>
          <w:iCs/>
          <w:color w:val="auto"/>
        </w:rPr>
      </w:pPr>
      <w:r w:rsidRPr="00A51372">
        <w:rPr>
          <w:i w:val="0"/>
          <w:iCs/>
          <w:color w:val="auto"/>
        </w:rPr>
        <w:t>The forward estimates have been adjusted to take into account the effect of decreased projections in aviation fuel excise due to the impact of COVID-19 on domestic air travel. CASA is budgeting for operating losses across the forward estimates as a result of the decrease to aviation fuel excise.</w:t>
      </w:r>
      <w:r>
        <w:rPr>
          <w:i w:val="0"/>
          <w:iCs/>
        </w:rPr>
        <w:br w:type="page"/>
      </w:r>
    </w:p>
    <w:p w14:paraId="746CE260" w14:textId="77777777" w:rsidR="00C17040" w:rsidRPr="004928FF" w:rsidRDefault="00C17040" w:rsidP="00C17040">
      <w:pPr>
        <w:pStyle w:val="Heading4"/>
      </w:pPr>
      <w:r w:rsidRPr="00EC73D1">
        <w:lastRenderedPageBreak/>
        <w:t>3.2.2</w:t>
      </w:r>
      <w:r>
        <w:tab/>
      </w:r>
      <w:r w:rsidRPr="004928FF">
        <w:t xml:space="preserve">Budgeted </w:t>
      </w:r>
      <w:r>
        <w:t>f</w:t>
      </w:r>
      <w:r w:rsidRPr="004928FF">
        <w:t xml:space="preserve">inancial </w:t>
      </w:r>
      <w:r>
        <w:t>s</w:t>
      </w:r>
      <w:r w:rsidRPr="004928FF">
        <w:t>tatements</w:t>
      </w:r>
    </w:p>
    <w:p w14:paraId="10357450" w14:textId="77777777" w:rsidR="00C17040" w:rsidRDefault="00C17040" w:rsidP="00C17040">
      <w:pPr>
        <w:pStyle w:val="TableHeading"/>
        <w:spacing w:before="0"/>
        <w:rPr>
          <w:snapToGrid w:val="0"/>
          <w:lang w:val="en-AU"/>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tbl>
      <w:tblPr>
        <w:tblW w:w="7681" w:type="dxa"/>
        <w:tblLook w:val="04A0" w:firstRow="1" w:lastRow="0" w:firstColumn="1" w:lastColumn="0" w:noHBand="0" w:noVBand="1"/>
      </w:tblPr>
      <w:tblGrid>
        <w:gridCol w:w="3176"/>
        <w:gridCol w:w="901"/>
        <w:gridCol w:w="901"/>
        <w:gridCol w:w="901"/>
        <w:gridCol w:w="901"/>
        <w:gridCol w:w="901"/>
      </w:tblGrid>
      <w:tr w:rsidR="00A51372" w:rsidRPr="00A51372" w14:paraId="6597E08E" w14:textId="77777777" w:rsidTr="00D4130C">
        <w:trPr>
          <w:trHeight w:val="444"/>
        </w:trPr>
        <w:tc>
          <w:tcPr>
            <w:tcW w:w="3176" w:type="dxa"/>
            <w:tcBorders>
              <w:top w:val="single" w:sz="4" w:space="0" w:color="auto"/>
              <w:left w:val="nil"/>
              <w:bottom w:val="nil"/>
              <w:right w:val="nil"/>
            </w:tcBorders>
            <w:shd w:val="clear" w:color="auto" w:fill="auto"/>
            <w:noWrap/>
            <w:hideMark/>
          </w:tcPr>
          <w:p w14:paraId="2C14DB9C" w14:textId="77777777" w:rsidR="00A51372" w:rsidRPr="00A51372" w:rsidRDefault="00A51372" w:rsidP="00A51372">
            <w:pPr>
              <w:spacing w:after="0" w:line="240" w:lineRule="auto"/>
              <w:jc w:val="left"/>
              <w:rPr>
                <w:rFonts w:ascii="Arial" w:hAnsi="Arial" w:cs="Arial"/>
                <w:b/>
                <w:bCs/>
                <w:sz w:val="16"/>
                <w:szCs w:val="16"/>
              </w:rPr>
            </w:pPr>
            <w:r w:rsidRPr="00A51372">
              <w:rPr>
                <w:rFonts w:ascii="Arial" w:hAnsi="Arial" w:cs="Arial"/>
                <w:b/>
                <w:bCs/>
                <w:sz w:val="16"/>
                <w:szCs w:val="16"/>
              </w:rPr>
              <w:t> </w:t>
            </w:r>
          </w:p>
        </w:tc>
        <w:tc>
          <w:tcPr>
            <w:tcW w:w="901" w:type="dxa"/>
            <w:tcBorders>
              <w:top w:val="single" w:sz="4" w:space="0" w:color="auto"/>
              <w:left w:val="nil"/>
              <w:bottom w:val="single" w:sz="4" w:space="0" w:color="auto"/>
              <w:right w:val="nil"/>
            </w:tcBorders>
            <w:shd w:val="clear" w:color="auto" w:fill="auto"/>
            <w:hideMark/>
          </w:tcPr>
          <w:p w14:paraId="3739BA14" w14:textId="77777777" w:rsidR="00A51372" w:rsidRPr="00A51372" w:rsidRDefault="00A51372" w:rsidP="00A51372">
            <w:pPr>
              <w:spacing w:after="0" w:line="240" w:lineRule="auto"/>
              <w:jc w:val="right"/>
              <w:rPr>
                <w:rFonts w:ascii="Arial" w:hAnsi="Arial" w:cs="Arial"/>
                <w:sz w:val="16"/>
                <w:szCs w:val="16"/>
              </w:rPr>
            </w:pPr>
            <w:r w:rsidRPr="00A51372">
              <w:rPr>
                <w:rFonts w:ascii="Arial" w:hAnsi="Arial" w:cs="Arial"/>
                <w:sz w:val="16"/>
                <w:szCs w:val="16"/>
              </w:rPr>
              <w:t>2020-21 Actual</w:t>
            </w:r>
            <w:r w:rsidRPr="00A51372">
              <w:rPr>
                <w:rFonts w:ascii="Arial" w:hAnsi="Arial" w:cs="Arial"/>
                <w:sz w:val="16"/>
                <w:szCs w:val="16"/>
              </w:rPr>
              <w:br/>
            </w:r>
            <w:r w:rsidRPr="00A51372">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000000" w:fill="E6E6E6"/>
            <w:hideMark/>
          </w:tcPr>
          <w:p w14:paraId="3CA452E7" w14:textId="77777777" w:rsidR="00A51372" w:rsidRPr="00A51372" w:rsidRDefault="00A51372" w:rsidP="00A51372">
            <w:pPr>
              <w:spacing w:after="0" w:line="240" w:lineRule="auto"/>
              <w:jc w:val="right"/>
              <w:rPr>
                <w:rFonts w:ascii="Arial" w:hAnsi="Arial" w:cs="Arial"/>
                <w:sz w:val="16"/>
                <w:szCs w:val="16"/>
              </w:rPr>
            </w:pPr>
            <w:r w:rsidRPr="00A51372">
              <w:rPr>
                <w:rFonts w:ascii="Arial" w:hAnsi="Arial" w:cs="Arial"/>
                <w:sz w:val="16"/>
                <w:szCs w:val="16"/>
              </w:rPr>
              <w:t>2021-22</w:t>
            </w:r>
            <w:r w:rsidRPr="00A51372">
              <w:rPr>
                <w:rFonts w:ascii="Arial" w:hAnsi="Arial" w:cs="Arial"/>
                <w:sz w:val="16"/>
                <w:szCs w:val="16"/>
              </w:rPr>
              <w:br/>
              <w:t>Revised Budget</w:t>
            </w:r>
            <w:r w:rsidRPr="00A51372">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070D4642" w14:textId="77777777" w:rsidR="00A51372" w:rsidRPr="00A51372" w:rsidRDefault="00A51372" w:rsidP="00A51372">
            <w:pPr>
              <w:spacing w:after="0" w:line="240" w:lineRule="auto"/>
              <w:jc w:val="right"/>
              <w:rPr>
                <w:rFonts w:ascii="Arial" w:hAnsi="Arial" w:cs="Arial"/>
                <w:sz w:val="16"/>
                <w:szCs w:val="16"/>
              </w:rPr>
            </w:pPr>
            <w:r w:rsidRPr="00A51372">
              <w:rPr>
                <w:rFonts w:ascii="Arial" w:hAnsi="Arial" w:cs="Arial"/>
                <w:sz w:val="16"/>
                <w:szCs w:val="16"/>
              </w:rPr>
              <w:t>2022-23 Forward estimate</w:t>
            </w:r>
            <w:r w:rsidRPr="00A51372">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234CF964" w14:textId="77777777" w:rsidR="00A51372" w:rsidRPr="00A51372" w:rsidRDefault="00A51372" w:rsidP="00A51372">
            <w:pPr>
              <w:spacing w:after="0" w:line="240" w:lineRule="auto"/>
              <w:jc w:val="right"/>
              <w:rPr>
                <w:rFonts w:ascii="Arial" w:hAnsi="Arial" w:cs="Arial"/>
                <w:sz w:val="16"/>
                <w:szCs w:val="16"/>
              </w:rPr>
            </w:pPr>
            <w:r w:rsidRPr="00A51372">
              <w:rPr>
                <w:rFonts w:ascii="Arial" w:hAnsi="Arial" w:cs="Arial"/>
                <w:sz w:val="16"/>
                <w:szCs w:val="16"/>
              </w:rPr>
              <w:t>2023-24 Forward estimate</w:t>
            </w:r>
            <w:r w:rsidRPr="00A51372">
              <w:rPr>
                <w:rFonts w:ascii="Arial" w:hAnsi="Arial" w:cs="Arial"/>
                <w:sz w:val="16"/>
                <w:szCs w:val="16"/>
              </w:rPr>
              <w:br/>
              <w:t>$'000</w:t>
            </w:r>
          </w:p>
        </w:tc>
        <w:tc>
          <w:tcPr>
            <w:tcW w:w="901" w:type="dxa"/>
            <w:tcBorders>
              <w:top w:val="single" w:sz="4" w:space="0" w:color="auto"/>
              <w:left w:val="nil"/>
              <w:bottom w:val="single" w:sz="4" w:space="0" w:color="auto"/>
              <w:right w:val="nil"/>
            </w:tcBorders>
            <w:shd w:val="clear" w:color="auto" w:fill="auto"/>
            <w:hideMark/>
          </w:tcPr>
          <w:p w14:paraId="5B0839A2" w14:textId="77777777" w:rsidR="00A51372" w:rsidRPr="00A51372" w:rsidRDefault="00A51372" w:rsidP="00A51372">
            <w:pPr>
              <w:spacing w:after="0" w:line="240" w:lineRule="auto"/>
              <w:jc w:val="right"/>
              <w:rPr>
                <w:rFonts w:ascii="Arial" w:hAnsi="Arial" w:cs="Arial"/>
                <w:sz w:val="16"/>
                <w:szCs w:val="16"/>
              </w:rPr>
            </w:pPr>
            <w:r w:rsidRPr="00A51372">
              <w:rPr>
                <w:rFonts w:ascii="Arial" w:hAnsi="Arial" w:cs="Arial"/>
                <w:sz w:val="16"/>
                <w:szCs w:val="16"/>
              </w:rPr>
              <w:t>2024-25</w:t>
            </w:r>
            <w:r w:rsidRPr="00A51372">
              <w:rPr>
                <w:rFonts w:ascii="Arial" w:hAnsi="Arial" w:cs="Arial"/>
                <w:sz w:val="16"/>
                <w:szCs w:val="16"/>
              </w:rPr>
              <w:br/>
              <w:t>Forward estimate</w:t>
            </w:r>
            <w:r w:rsidRPr="00A51372">
              <w:rPr>
                <w:rFonts w:ascii="Arial" w:hAnsi="Arial" w:cs="Arial"/>
                <w:sz w:val="16"/>
                <w:szCs w:val="16"/>
              </w:rPr>
              <w:br/>
              <w:t>$'000</w:t>
            </w:r>
          </w:p>
        </w:tc>
      </w:tr>
      <w:tr w:rsidR="00A51372" w:rsidRPr="00A51372" w14:paraId="3FB745C7" w14:textId="77777777" w:rsidTr="00D4130C">
        <w:trPr>
          <w:trHeight w:val="204"/>
        </w:trPr>
        <w:tc>
          <w:tcPr>
            <w:tcW w:w="3176" w:type="dxa"/>
            <w:tcBorders>
              <w:top w:val="nil"/>
              <w:left w:val="nil"/>
              <w:bottom w:val="nil"/>
              <w:right w:val="nil"/>
            </w:tcBorders>
            <w:shd w:val="clear" w:color="auto" w:fill="auto"/>
            <w:noWrap/>
            <w:vAlign w:val="bottom"/>
            <w:hideMark/>
          </w:tcPr>
          <w:p w14:paraId="0E8E8639" w14:textId="77777777" w:rsidR="00A51372" w:rsidRPr="00A51372" w:rsidRDefault="00A51372" w:rsidP="00A51372">
            <w:pPr>
              <w:spacing w:after="0" w:line="240" w:lineRule="auto"/>
              <w:jc w:val="left"/>
              <w:rPr>
                <w:rFonts w:ascii="Arial" w:hAnsi="Arial" w:cs="Arial"/>
                <w:b/>
                <w:bCs/>
                <w:sz w:val="16"/>
                <w:szCs w:val="16"/>
              </w:rPr>
            </w:pPr>
            <w:r w:rsidRPr="00A51372">
              <w:rPr>
                <w:rFonts w:ascii="Arial" w:hAnsi="Arial" w:cs="Arial"/>
                <w:b/>
                <w:bCs/>
                <w:sz w:val="16"/>
                <w:szCs w:val="16"/>
              </w:rPr>
              <w:t>EXPENSES</w:t>
            </w:r>
          </w:p>
        </w:tc>
        <w:tc>
          <w:tcPr>
            <w:tcW w:w="901" w:type="dxa"/>
            <w:tcBorders>
              <w:top w:val="nil"/>
              <w:left w:val="nil"/>
              <w:bottom w:val="nil"/>
              <w:right w:val="nil"/>
            </w:tcBorders>
            <w:shd w:val="clear" w:color="auto" w:fill="auto"/>
            <w:noWrap/>
            <w:vAlign w:val="bottom"/>
            <w:hideMark/>
          </w:tcPr>
          <w:p w14:paraId="0CBFFBFF" w14:textId="77777777" w:rsidR="00A51372" w:rsidRPr="00A51372" w:rsidRDefault="00A51372" w:rsidP="00444328">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3C331D75" w14:textId="12FEBF10" w:rsidR="00A51372" w:rsidRPr="00A51372" w:rsidRDefault="00A51372" w:rsidP="00444328">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0FFDF7B6" w14:textId="77777777" w:rsidR="00A51372" w:rsidRPr="00A51372" w:rsidRDefault="00A51372" w:rsidP="00444328">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1D14AB4E" w14:textId="77777777" w:rsidR="00A51372" w:rsidRPr="00A51372" w:rsidRDefault="00A51372" w:rsidP="00444328">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3CFC8CED" w14:textId="77777777" w:rsidR="00A51372" w:rsidRPr="00A51372" w:rsidRDefault="00A51372" w:rsidP="00444328">
            <w:pPr>
              <w:spacing w:after="0" w:line="240" w:lineRule="auto"/>
              <w:jc w:val="right"/>
              <w:rPr>
                <w:rFonts w:ascii="Times New Roman" w:hAnsi="Times New Roman"/>
              </w:rPr>
            </w:pPr>
          </w:p>
        </w:tc>
      </w:tr>
      <w:tr w:rsidR="00A51372" w:rsidRPr="00A51372" w14:paraId="61268F50" w14:textId="77777777" w:rsidTr="00D4130C">
        <w:trPr>
          <w:trHeight w:val="204"/>
        </w:trPr>
        <w:tc>
          <w:tcPr>
            <w:tcW w:w="3176" w:type="dxa"/>
            <w:tcBorders>
              <w:top w:val="nil"/>
              <w:left w:val="nil"/>
              <w:bottom w:val="nil"/>
              <w:right w:val="nil"/>
            </w:tcBorders>
            <w:shd w:val="clear" w:color="auto" w:fill="auto"/>
            <w:noWrap/>
            <w:vAlign w:val="bottom"/>
            <w:hideMark/>
          </w:tcPr>
          <w:p w14:paraId="74FCA96C" w14:textId="77777777" w:rsidR="00A51372" w:rsidRPr="00A51372" w:rsidRDefault="00A51372" w:rsidP="00D4130C">
            <w:pPr>
              <w:spacing w:after="0" w:line="240" w:lineRule="auto"/>
              <w:ind w:left="113"/>
              <w:jc w:val="left"/>
              <w:rPr>
                <w:rFonts w:ascii="Arial" w:hAnsi="Arial" w:cs="Arial"/>
                <w:sz w:val="16"/>
                <w:szCs w:val="16"/>
              </w:rPr>
            </w:pPr>
            <w:r w:rsidRPr="00A51372">
              <w:rPr>
                <w:rFonts w:ascii="Arial" w:hAnsi="Arial" w:cs="Arial"/>
                <w:sz w:val="16"/>
                <w:szCs w:val="16"/>
              </w:rPr>
              <w:t>Employee benefits</w:t>
            </w:r>
          </w:p>
        </w:tc>
        <w:tc>
          <w:tcPr>
            <w:tcW w:w="901" w:type="dxa"/>
            <w:tcBorders>
              <w:top w:val="nil"/>
              <w:left w:val="nil"/>
              <w:bottom w:val="nil"/>
              <w:right w:val="nil"/>
            </w:tcBorders>
            <w:shd w:val="clear" w:color="auto" w:fill="auto"/>
            <w:noWrap/>
            <w:vAlign w:val="bottom"/>
            <w:hideMark/>
          </w:tcPr>
          <w:p w14:paraId="1BFC950A" w14:textId="51F47E29"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130,206</w:t>
            </w:r>
          </w:p>
        </w:tc>
        <w:tc>
          <w:tcPr>
            <w:tcW w:w="901" w:type="dxa"/>
            <w:tcBorders>
              <w:top w:val="nil"/>
              <w:left w:val="nil"/>
              <w:bottom w:val="nil"/>
              <w:right w:val="nil"/>
            </w:tcBorders>
            <w:shd w:val="clear" w:color="000000" w:fill="E6E6E6"/>
            <w:noWrap/>
            <w:vAlign w:val="bottom"/>
            <w:hideMark/>
          </w:tcPr>
          <w:p w14:paraId="43EE5D66" w14:textId="2B98D153"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136,247</w:t>
            </w:r>
          </w:p>
        </w:tc>
        <w:tc>
          <w:tcPr>
            <w:tcW w:w="901" w:type="dxa"/>
            <w:tcBorders>
              <w:top w:val="nil"/>
              <w:left w:val="nil"/>
              <w:bottom w:val="nil"/>
              <w:right w:val="nil"/>
            </w:tcBorders>
            <w:shd w:val="clear" w:color="auto" w:fill="auto"/>
            <w:noWrap/>
            <w:vAlign w:val="bottom"/>
            <w:hideMark/>
          </w:tcPr>
          <w:p w14:paraId="2A81F7CF" w14:textId="20A31C3F"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140,313</w:t>
            </w:r>
          </w:p>
        </w:tc>
        <w:tc>
          <w:tcPr>
            <w:tcW w:w="901" w:type="dxa"/>
            <w:tcBorders>
              <w:top w:val="nil"/>
              <w:left w:val="nil"/>
              <w:bottom w:val="nil"/>
              <w:right w:val="nil"/>
            </w:tcBorders>
            <w:shd w:val="clear" w:color="auto" w:fill="auto"/>
            <w:noWrap/>
            <w:vAlign w:val="bottom"/>
            <w:hideMark/>
          </w:tcPr>
          <w:p w14:paraId="570C8D4D" w14:textId="2C7F4E1E"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144,501</w:t>
            </w:r>
          </w:p>
        </w:tc>
        <w:tc>
          <w:tcPr>
            <w:tcW w:w="901" w:type="dxa"/>
            <w:tcBorders>
              <w:top w:val="nil"/>
              <w:left w:val="nil"/>
              <w:bottom w:val="nil"/>
              <w:right w:val="nil"/>
            </w:tcBorders>
            <w:shd w:val="clear" w:color="auto" w:fill="auto"/>
            <w:noWrap/>
            <w:vAlign w:val="bottom"/>
            <w:hideMark/>
          </w:tcPr>
          <w:p w14:paraId="1795994B" w14:textId="2AE49557"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148,815</w:t>
            </w:r>
          </w:p>
        </w:tc>
      </w:tr>
      <w:tr w:rsidR="00A51372" w:rsidRPr="00A51372" w14:paraId="3AB3B2BD" w14:textId="77777777" w:rsidTr="00D4130C">
        <w:trPr>
          <w:trHeight w:val="204"/>
        </w:trPr>
        <w:tc>
          <w:tcPr>
            <w:tcW w:w="3176" w:type="dxa"/>
            <w:tcBorders>
              <w:top w:val="nil"/>
              <w:left w:val="nil"/>
              <w:bottom w:val="nil"/>
              <w:right w:val="nil"/>
            </w:tcBorders>
            <w:shd w:val="clear" w:color="auto" w:fill="auto"/>
            <w:noWrap/>
            <w:hideMark/>
          </w:tcPr>
          <w:p w14:paraId="1F54CB54" w14:textId="77777777" w:rsidR="00A51372" w:rsidRPr="00A51372" w:rsidRDefault="00A51372" w:rsidP="00D4130C">
            <w:pPr>
              <w:spacing w:after="0" w:line="240" w:lineRule="auto"/>
              <w:ind w:left="113"/>
              <w:jc w:val="left"/>
              <w:rPr>
                <w:rFonts w:ascii="Arial" w:hAnsi="Arial" w:cs="Arial"/>
                <w:sz w:val="16"/>
                <w:szCs w:val="16"/>
              </w:rPr>
            </w:pPr>
            <w:r w:rsidRPr="00A51372">
              <w:rPr>
                <w:rFonts w:ascii="Arial" w:hAnsi="Arial" w:cs="Arial"/>
                <w:sz w:val="16"/>
                <w:szCs w:val="16"/>
              </w:rPr>
              <w:t>Suppliers</w:t>
            </w:r>
          </w:p>
        </w:tc>
        <w:tc>
          <w:tcPr>
            <w:tcW w:w="901" w:type="dxa"/>
            <w:tcBorders>
              <w:top w:val="nil"/>
              <w:left w:val="nil"/>
              <w:bottom w:val="nil"/>
              <w:right w:val="nil"/>
            </w:tcBorders>
            <w:shd w:val="clear" w:color="auto" w:fill="auto"/>
            <w:noWrap/>
            <w:vAlign w:val="bottom"/>
            <w:hideMark/>
          </w:tcPr>
          <w:p w14:paraId="13091223" w14:textId="1E41E62D"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39,473</w:t>
            </w:r>
          </w:p>
        </w:tc>
        <w:tc>
          <w:tcPr>
            <w:tcW w:w="901" w:type="dxa"/>
            <w:tcBorders>
              <w:top w:val="nil"/>
              <w:left w:val="nil"/>
              <w:bottom w:val="nil"/>
              <w:right w:val="nil"/>
            </w:tcBorders>
            <w:shd w:val="clear" w:color="000000" w:fill="E6E6E6"/>
            <w:noWrap/>
            <w:vAlign w:val="bottom"/>
            <w:hideMark/>
          </w:tcPr>
          <w:p w14:paraId="5E097A2A" w14:textId="61280F55"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56,545</w:t>
            </w:r>
          </w:p>
        </w:tc>
        <w:tc>
          <w:tcPr>
            <w:tcW w:w="901" w:type="dxa"/>
            <w:tcBorders>
              <w:top w:val="nil"/>
              <w:left w:val="nil"/>
              <w:bottom w:val="nil"/>
              <w:right w:val="nil"/>
            </w:tcBorders>
            <w:shd w:val="clear" w:color="auto" w:fill="auto"/>
            <w:noWrap/>
            <w:vAlign w:val="bottom"/>
            <w:hideMark/>
          </w:tcPr>
          <w:p w14:paraId="2CA098F7" w14:textId="58E1188D"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47,952</w:t>
            </w:r>
          </w:p>
        </w:tc>
        <w:tc>
          <w:tcPr>
            <w:tcW w:w="901" w:type="dxa"/>
            <w:tcBorders>
              <w:top w:val="nil"/>
              <w:left w:val="nil"/>
              <w:bottom w:val="nil"/>
              <w:right w:val="nil"/>
            </w:tcBorders>
            <w:shd w:val="clear" w:color="auto" w:fill="auto"/>
            <w:noWrap/>
            <w:vAlign w:val="bottom"/>
            <w:hideMark/>
          </w:tcPr>
          <w:p w14:paraId="2819114D" w14:textId="4E77CFE9"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47,221</w:t>
            </w:r>
          </w:p>
        </w:tc>
        <w:tc>
          <w:tcPr>
            <w:tcW w:w="901" w:type="dxa"/>
            <w:tcBorders>
              <w:top w:val="nil"/>
              <w:left w:val="nil"/>
              <w:bottom w:val="nil"/>
              <w:right w:val="nil"/>
            </w:tcBorders>
            <w:shd w:val="clear" w:color="auto" w:fill="auto"/>
            <w:noWrap/>
            <w:vAlign w:val="bottom"/>
            <w:hideMark/>
          </w:tcPr>
          <w:p w14:paraId="64B97B15" w14:textId="656FECB1"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48,578</w:t>
            </w:r>
          </w:p>
        </w:tc>
      </w:tr>
      <w:tr w:rsidR="00A51372" w:rsidRPr="00A51372" w14:paraId="480205DE" w14:textId="77777777" w:rsidTr="00D4130C">
        <w:trPr>
          <w:trHeight w:val="204"/>
        </w:trPr>
        <w:tc>
          <w:tcPr>
            <w:tcW w:w="3176" w:type="dxa"/>
            <w:tcBorders>
              <w:top w:val="nil"/>
              <w:left w:val="nil"/>
              <w:bottom w:val="nil"/>
              <w:right w:val="nil"/>
            </w:tcBorders>
            <w:shd w:val="clear" w:color="auto" w:fill="auto"/>
            <w:noWrap/>
            <w:vAlign w:val="bottom"/>
            <w:hideMark/>
          </w:tcPr>
          <w:p w14:paraId="1ADCDBE6" w14:textId="77777777" w:rsidR="00A51372" w:rsidRPr="00A51372" w:rsidRDefault="00A51372" w:rsidP="00D4130C">
            <w:pPr>
              <w:spacing w:after="0" w:line="240" w:lineRule="auto"/>
              <w:ind w:left="113"/>
              <w:jc w:val="left"/>
              <w:rPr>
                <w:rFonts w:ascii="Arial" w:hAnsi="Arial" w:cs="Arial"/>
                <w:sz w:val="16"/>
                <w:szCs w:val="16"/>
              </w:rPr>
            </w:pPr>
            <w:r w:rsidRPr="00A51372">
              <w:rPr>
                <w:rFonts w:ascii="Arial" w:hAnsi="Arial" w:cs="Arial"/>
                <w:sz w:val="16"/>
                <w:szCs w:val="16"/>
              </w:rPr>
              <w:t>Depreciation and amortisation</w:t>
            </w:r>
          </w:p>
        </w:tc>
        <w:tc>
          <w:tcPr>
            <w:tcW w:w="901" w:type="dxa"/>
            <w:tcBorders>
              <w:top w:val="nil"/>
              <w:left w:val="nil"/>
              <w:bottom w:val="nil"/>
              <w:right w:val="nil"/>
            </w:tcBorders>
            <w:shd w:val="clear" w:color="auto" w:fill="auto"/>
            <w:noWrap/>
            <w:vAlign w:val="bottom"/>
            <w:hideMark/>
          </w:tcPr>
          <w:p w14:paraId="25ECB4DD" w14:textId="11D83458"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22,645</w:t>
            </w:r>
          </w:p>
        </w:tc>
        <w:tc>
          <w:tcPr>
            <w:tcW w:w="901" w:type="dxa"/>
            <w:tcBorders>
              <w:top w:val="nil"/>
              <w:left w:val="nil"/>
              <w:bottom w:val="nil"/>
              <w:right w:val="nil"/>
            </w:tcBorders>
            <w:shd w:val="clear" w:color="000000" w:fill="E6E6E6"/>
            <w:noWrap/>
            <w:vAlign w:val="bottom"/>
            <w:hideMark/>
          </w:tcPr>
          <w:p w14:paraId="04E33F81" w14:textId="2E5CD8FB"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24,383</w:t>
            </w:r>
          </w:p>
        </w:tc>
        <w:tc>
          <w:tcPr>
            <w:tcW w:w="901" w:type="dxa"/>
            <w:tcBorders>
              <w:top w:val="nil"/>
              <w:left w:val="nil"/>
              <w:bottom w:val="nil"/>
              <w:right w:val="nil"/>
            </w:tcBorders>
            <w:shd w:val="clear" w:color="auto" w:fill="auto"/>
            <w:noWrap/>
            <w:vAlign w:val="bottom"/>
            <w:hideMark/>
          </w:tcPr>
          <w:p w14:paraId="1D07FAB4" w14:textId="3AFCD3D3"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27,101</w:t>
            </w:r>
          </w:p>
        </w:tc>
        <w:tc>
          <w:tcPr>
            <w:tcW w:w="901" w:type="dxa"/>
            <w:tcBorders>
              <w:top w:val="nil"/>
              <w:left w:val="nil"/>
              <w:bottom w:val="nil"/>
              <w:right w:val="nil"/>
            </w:tcBorders>
            <w:shd w:val="clear" w:color="auto" w:fill="auto"/>
            <w:noWrap/>
            <w:vAlign w:val="bottom"/>
            <w:hideMark/>
          </w:tcPr>
          <w:p w14:paraId="56297FC4" w14:textId="105719CD"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27,693</w:t>
            </w:r>
          </w:p>
        </w:tc>
        <w:tc>
          <w:tcPr>
            <w:tcW w:w="901" w:type="dxa"/>
            <w:tcBorders>
              <w:top w:val="nil"/>
              <w:left w:val="nil"/>
              <w:bottom w:val="nil"/>
              <w:right w:val="nil"/>
            </w:tcBorders>
            <w:shd w:val="clear" w:color="auto" w:fill="auto"/>
            <w:noWrap/>
            <w:vAlign w:val="bottom"/>
            <w:hideMark/>
          </w:tcPr>
          <w:p w14:paraId="11175AC6" w14:textId="78858045"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28,644</w:t>
            </w:r>
          </w:p>
        </w:tc>
      </w:tr>
      <w:tr w:rsidR="00A51372" w:rsidRPr="00A51372" w14:paraId="1A0CACC8" w14:textId="77777777" w:rsidTr="00D4130C">
        <w:trPr>
          <w:trHeight w:val="204"/>
        </w:trPr>
        <w:tc>
          <w:tcPr>
            <w:tcW w:w="3176" w:type="dxa"/>
            <w:tcBorders>
              <w:top w:val="nil"/>
              <w:left w:val="nil"/>
              <w:bottom w:val="nil"/>
              <w:right w:val="nil"/>
            </w:tcBorders>
            <w:shd w:val="clear" w:color="auto" w:fill="auto"/>
            <w:noWrap/>
            <w:hideMark/>
          </w:tcPr>
          <w:p w14:paraId="10A7E85F" w14:textId="77777777" w:rsidR="00A51372" w:rsidRPr="00A51372" w:rsidRDefault="00A51372" w:rsidP="00D4130C">
            <w:pPr>
              <w:spacing w:after="0" w:line="240" w:lineRule="auto"/>
              <w:ind w:left="113"/>
              <w:jc w:val="left"/>
              <w:rPr>
                <w:rFonts w:ascii="Arial" w:hAnsi="Arial" w:cs="Arial"/>
                <w:sz w:val="16"/>
                <w:szCs w:val="16"/>
              </w:rPr>
            </w:pPr>
            <w:r w:rsidRPr="00A51372">
              <w:rPr>
                <w:rFonts w:ascii="Arial" w:hAnsi="Arial" w:cs="Arial"/>
                <w:sz w:val="16"/>
                <w:szCs w:val="16"/>
              </w:rPr>
              <w:t>Finance costs</w:t>
            </w:r>
          </w:p>
        </w:tc>
        <w:tc>
          <w:tcPr>
            <w:tcW w:w="901" w:type="dxa"/>
            <w:tcBorders>
              <w:top w:val="nil"/>
              <w:left w:val="nil"/>
              <w:bottom w:val="nil"/>
              <w:right w:val="nil"/>
            </w:tcBorders>
            <w:shd w:val="clear" w:color="auto" w:fill="auto"/>
            <w:noWrap/>
            <w:vAlign w:val="bottom"/>
            <w:hideMark/>
          </w:tcPr>
          <w:p w14:paraId="148A4C5F" w14:textId="3496DD1D"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303</w:t>
            </w:r>
          </w:p>
        </w:tc>
        <w:tc>
          <w:tcPr>
            <w:tcW w:w="901" w:type="dxa"/>
            <w:tcBorders>
              <w:top w:val="nil"/>
              <w:left w:val="nil"/>
              <w:bottom w:val="nil"/>
              <w:right w:val="nil"/>
            </w:tcBorders>
            <w:shd w:val="clear" w:color="000000" w:fill="E6E6E6"/>
            <w:noWrap/>
            <w:vAlign w:val="bottom"/>
            <w:hideMark/>
          </w:tcPr>
          <w:p w14:paraId="18A09368" w14:textId="1AAD79BA"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257</w:t>
            </w:r>
          </w:p>
        </w:tc>
        <w:tc>
          <w:tcPr>
            <w:tcW w:w="901" w:type="dxa"/>
            <w:tcBorders>
              <w:top w:val="nil"/>
              <w:left w:val="nil"/>
              <w:bottom w:val="nil"/>
              <w:right w:val="nil"/>
            </w:tcBorders>
            <w:shd w:val="clear" w:color="auto" w:fill="auto"/>
            <w:noWrap/>
            <w:vAlign w:val="bottom"/>
            <w:hideMark/>
          </w:tcPr>
          <w:p w14:paraId="6343CDC7" w14:textId="0C23A665"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334</w:t>
            </w:r>
          </w:p>
        </w:tc>
        <w:tc>
          <w:tcPr>
            <w:tcW w:w="901" w:type="dxa"/>
            <w:tcBorders>
              <w:top w:val="nil"/>
              <w:left w:val="nil"/>
              <w:bottom w:val="nil"/>
              <w:right w:val="nil"/>
            </w:tcBorders>
            <w:shd w:val="clear" w:color="auto" w:fill="auto"/>
            <w:noWrap/>
            <w:vAlign w:val="bottom"/>
            <w:hideMark/>
          </w:tcPr>
          <w:p w14:paraId="3B3A32B2" w14:textId="4EB331A7"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1,285</w:t>
            </w:r>
          </w:p>
        </w:tc>
        <w:tc>
          <w:tcPr>
            <w:tcW w:w="901" w:type="dxa"/>
            <w:tcBorders>
              <w:top w:val="nil"/>
              <w:left w:val="nil"/>
              <w:bottom w:val="nil"/>
              <w:right w:val="nil"/>
            </w:tcBorders>
            <w:shd w:val="clear" w:color="auto" w:fill="auto"/>
            <w:noWrap/>
            <w:vAlign w:val="bottom"/>
            <w:hideMark/>
          </w:tcPr>
          <w:p w14:paraId="42B7A39E" w14:textId="4B84C004"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1,163</w:t>
            </w:r>
          </w:p>
        </w:tc>
      </w:tr>
      <w:tr w:rsidR="00A51372" w:rsidRPr="00A51372" w14:paraId="6F7EF26B" w14:textId="77777777" w:rsidTr="00D4130C">
        <w:trPr>
          <w:trHeight w:val="204"/>
        </w:trPr>
        <w:tc>
          <w:tcPr>
            <w:tcW w:w="3176" w:type="dxa"/>
            <w:tcBorders>
              <w:top w:val="nil"/>
              <w:left w:val="nil"/>
              <w:bottom w:val="nil"/>
              <w:right w:val="nil"/>
            </w:tcBorders>
            <w:shd w:val="clear" w:color="auto" w:fill="auto"/>
            <w:noWrap/>
            <w:vAlign w:val="bottom"/>
            <w:hideMark/>
          </w:tcPr>
          <w:p w14:paraId="734D39F6" w14:textId="77777777" w:rsidR="00A51372" w:rsidRPr="00A51372" w:rsidRDefault="00A51372" w:rsidP="00D4130C">
            <w:pPr>
              <w:spacing w:after="0" w:line="240" w:lineRule="auto"/>
              <w:ind w:left="113"/>
              <w:jc w:val="left"/>
              <w:rPr>
                <w:rFonts w:ascii="Arial" w:hAnsi="Arial" w:cs="Arial"/>
                <w:sz w:val="16"/>
                <w:szCs w:val="16"/>
              </w:rPr>
            </w:pPr>
            <w:r w:rsidRPr="00A51372">
              <w:rPr>
                <w:rFonts w:ascii="Arial" w:hAnsi="Arial" w:cs="Arial"/>
                <w:sz w:val="16"/>
                <w:szCs w:val="16"/>
              </w:rPr>
              <w:t>Write-down and impairment of assets</w:t>
            </w:r>
          </w:p>
        </w:tc>
        <w:tc>
          <w:tcPr>
            <w:tcW w:w="901" w:type="dxa"/>
            <w:tcBorders>
              <w:top w:val="nil"/>
              <w:left w:val="nil"/>
              <w:bottom w:val="nil"/>
              <w:right w:val="nil"/>
            </w:tcBorders>
            <w:shd w:val="clear" w:color="auto" w:fill="auto"/>
            <w:noWrap/>
            <w:vAlign w:val="bottom"/>
            <w:hideMark/>
          </w:tcPr>
          <w:p w14:paraId="74B5933E" w14:textId="3EC725F5" w:rsidR="00A51372" w:rsidRPr="00D47D34" w:rsidRDefault="00A51372" w:rsidP="00444328">
            <w:pPr>
              <w:spacing w:after="0" w:line="240" w:lineRule="auto"/>
              <w:jc w:val="right"/>
              <w:rPr>
                <w:rFonts w:ascii="Arial" w:hAnsi="Arial" w:cs="Arial"/>
                <w:sz w:val="16"/>
                <w:szCs w:val="16"/>
              </w:rPr>
            </w:pPr>
            <w:r w:rsidRPr="00D47D34">
              <w:rPr>
                <w:rFonts w:ascii="Arial" w:hAnsi="Arial" w:cs="Arial"/>
                <w:sz w:val="16"/>
                <w:szCs w:val="16"/>
              </w:rPr>
              <w:t>168</w:t>
            </w:r>
          </w:p>
        </w:tc>
        <w:tc>
          <w:tcPr>
            <w:tcW w:w="901" w:type="dxa"/>
            <w:tcBorders>
              <w:top w:val="nil"/>
              <w:left w:val="nil"/>
              <w:bottom w:val="nil"/>
              <w:right w:val="nil"/>
            </w:tcBorders>
            <w:shd w:val="clear" w:color="000000" w:fill="E6E6E6"/>
            <w:noWrap/>
            <w:vAlign w:val="bottom"/>
            <w:hideMark/>
          </w:tcPr>
          <w:p w14:paraId="74DE9B8B" w14:textId="3C698E6F" w:rsidR="00A51372" w:rsidRPr="00D4130C" w:rsidRDefault="00D4130C" w:rsidP="00444328">
            <w:pPr>
              <w:spacing w:after="0" w:line="240" w:lineRule="auto"/>
              <w:jc w:val="right"/>
              <w:rPr>
                <w:rFonts w:ascii="Arial" w:hAnsi="Arial" w:cs="Arial"/>
                <w:bCs/>
                <w:sz w:val="16"/>
                <w:szCs w:val="16"/>
              </w:rPr>
            </w:pPr>
            <w:r w:rsidRPr="00D4130C">
              <w:rPr>
                <w:rFonts w:ascii="Arial" w:hAnsi="Arial" w:cs="Arial"/>
                <w:bCs/>
                <w:sz w:val="16"/>
                <w:szCs w:val="16"/>
              </w:rPr>
              <w:t>-</w:t>
            </w:r>
          </w:p>
        </w:tc>
        <w:tc>
          <w:tcPr>
            <w:tcW w:w="901" w:type="dxa"/>
            <w:tcBorders>
              <w:top w:val="nil"/>
              <w:left w:val="nil"/>
              <w:bottom w:val="nil"/>
              <w:right w:val="nil"/>
            </w:tcBorders>
            <w:shd w:val="clear" w:color="auto" w:fill="auto"/>
            <w:noWrap/>
            <w:vAlign w:val="bottom"/>
            <w:hideMark/>
          </w:tcPr>
          <w:p w14:paraId="1B02249A" w14:textId="06149B0D" w:rsidR="00A51372" w:rsidRPr="00D4130C" w:rsidRDefault="00D4130C" w:rsidP="00444328">
            <w:pPr>
              <w:spacing w:after="0" w:line="240" w:lineRule="auto"/>
              <w:jc w:val="right"/>
              <w:rPr>
                <w:rFonts w:ascii="Arial" w:hAnsi="Arial" w:cs="Arial"/>
                <w:bCs/>
                <w:sz w:val="16"/>
                <w:szCs w:val="16"/>
              </w:rPr>
            </w:pPr>
            <w:r w:rsidRPr="00D4130C">
              <w:rPr>
                <w:rFonts w:ascii="Arial" w:hAnsi="Arial" w:cs="Arial"/>
                <w:bCs/>
                <w:sz w:val="16"/>
                <w:szCs w:val="16"/>
              </w:rPr>
              <w:t>-</w:t>
            </w:r>
          </w:p>
        </w:tc>
        <w:tc>
          <w:tcPr>
            <w:tcW w:w="901" w:type="dxa"/>
            <w:tcBorders>
              <w:top w:val="nil"/>
              <w:left w:val="nil"/>
              <w:bottom w:val="nil"/>
              <w:right w:val="nil"/>
            </w:tcBorders>
            <w:shd w:val="clear" w:color="auto" w:fill="auto"/>
            <w:noWrap/>
            <w:vAlign w:val="bottom"/>
            <w:hideMark/>
          </w:tcPr>
          <w:p w14:paraId="3C42DA39" w14:textId="5CB354BA" w:rsidR="00A51372" w:rsidRPr="00D4130C" w:rsidRDefault="00D4130C" w:rsidP="00444328">
            <w:pPr>
              <w:spacing w:after="0" w:line="240" w:lineRule="auto"/>
              <w:jc w:val="right"/>
              <w:rPr>
                <w:rFonts w:ascii="Times New Roman" w:hAnsi="Times New Roman"/>
                <w:sz w:val="16"/>
                <w:szCs w:val="16"/>
              </w:rPr>
            </w:pPr>
            <w:r w:rsidRPr="00D4130C">
              <w:rPr>
                <w:rFonts w:ascii="Times New Roman" w:hAnsi="Times New Roman"/>
                <w:sz w:val="16"/>
                <w:szCs w:val="16"/>
              </w:rPr>
              <w:t>-</w:t>
            </w:r>
          </w:p>
        </w:tc>
        <w:tc>
          <w:tcPr>
            <w:tcW w:w="901" w:type="dxa"/>
            <w:tcBorders>
              <w:top w:val="nil"/>
              <w:left w:val="nil"/>
              <w:bottom w:val="nil"/>
              <w:right w:val="nil"/>
            </w:tcBorders>
            <w:shd w:val="clear" w:color="auto" w:fill="auto"/>
            <w:noWrap/>
            <w:vAlign w:val="bottom"/>
            <w:hideMark/>
          </w:tcPr>
          <w:p w14:paraId="6BBA91F9" w14:textId="33173026" w:rsidR="00A51372" w:rsidRPr="00D4130C" w:rsidRDefault="00D4130C" w:rsidP="00444328">
            <w:pPr>
              <w:spacing w:after="0" w:line="240" w:lineRule="auto"/>
              <w:jc w:val="right"/>
              <w:rPr>
                <w:rFonts w:ascii="Times New Roman" w:hAnsi="Times New Roman"/>
                <w:sz w:val="16"/>
                <w:szCs w:val="16"/>
              </w:rPr>
            </w:pPr>
            <w:r w:rsidRPr="00D4130C">
              <w:rPr>
                <w:rFonts w:ascii="Times New Roman" w:hAnsi="Times New Roman"/>
                <w:sz w:val="16"/>
                <w:szCs w:val="16"/>
              </w:rPr>
              <w:t>-</w:t>
            </w:r>
          </w:p>
        </w:tc>
      </w:tr>
      <w:tr w:rsidR="00D4130C" w:rsidRPr="00A51372" w14:paraId="640EAB3B" w14:textId="77777777" w:rsidTr="00D4130C">
        <w:trPr>
          <w:trHeight w:val="204"/>
        </w:trPr>
        <w:tc>
          <w:tcPr>
            <w:tcW w:w="3176" w:type="dxa"/>
            <w:tcBorders>
              <w:top w:val="nil"/>
              <w:left w:val="nil"/>
              <w:bottom w:val="nil"/>
              <w:right w:val="nil"/>
            </w:tcBorders>
            <w:shd w:val="clear" w:color="auto" w:fill="auto"/>
            <w:noWrap/>
            <w:hideMark/>
          </w:tcPr>
          <w:p w14:paraId="7426E18A" w14:textId="77777777" w:rsidR="00D4130C" w:rsidRPr="00A51372" w:rsidRDefault="00D4130C" w:rsidP="00D4130C">
            <w:pPr>
              <w:spacing w:after="0" w:line="240" w:lineRule="auto"/>
              <w:ind w:left="113"/>
              <w:jc w:val="left"/>
              <w:rPr>
                <w:rFonts w:ascii="Arial" w:hAnsi="Arial" w:cs="Arial"/>
                <w:sz w:val="16"/>
                <w:szCs w:val="16"/>
              </w:rPr>
            </w:pPr>
            <w:r w:rsidRPr="00A51372">
              <w:rPr>
                <w:rFonts w:ascii="Arial" w:hAnsi="Arial" w:cs="Arial"/>
                <w:sz w:val="16"/>
                <w:szCs w:val="16"/>
              </w:rPr>
              <w:t>Losses from asset sales</w:t>
            </w:r>
          </w:p>
        </w:tc>
        <w:tc>
          <w:tcPr>
            <w:tcW w:w="901" w:type="dxa"/>
            <w:tcBorders>
              <w:top w:val="nil"/>
              <w:left w:val="nil"/>
              <w:bottom w:val="nil"/>
              <w:right w:val="nil"/>
            </w:tcBorders>
            <w:shd w:val="clear" w:color="auto" w:fill="auto"/>
            <w:noWrap/>
            <w:vAlign w:val="bottom"/>
            <w:hideMark/>
          </w:tcPr>
          <w:p w14:paraId="12A74FEA" w14:textId="40199139" w:rsidR="00D4130C" w:rsidRPr="00D47D34" w:rsidRDefault="00D4130C" w:rsidP="00D4130C">
            <w:pPr>
              <w:spacing w:after="0" w:line="240" w:lineRule="auto"/>
              <w:jc w:val="right"/>
              <w:rPr>
                <w:rFonts w:ascii="Arial" w:hAnsi="Arial" w:cs="Arial"/>
                <w:sz w:val="16"/>
                <w:szCs w:val="16"/>
              </w:rPr>
            </w:pPr>
            <w:r w:rsidRPr="00D47D34">
              <w:rPr>
                <w:rFonts w:ascii="Arial" w:hAnsi="Arial" w:cs="Arial"/>
                <w:sz w:val="16"/>
                <w:szCs w:val="16"/>
              </w:rPr>
              <w:t>253</w:t>
            </w:r>
          </w:p>
        </w:tc>
        <w:tc>
          <w:tcPr>
            <w:tcW w:w="901" w:type="dxa"/>
            <w:tcBorders>
              <w:top w:val="nil"/>
              <w:left w:val="nil"/>
              <w:bottom w:val="nil"/>
              <w:right w:val="nil"/>
            </w:tcBorders>
            <w:shd w:val="clear" w:color="000000" w:fill="E6E6E6"/>
            <w:noWrap/>
            <w:vAlign w:val="bottom"/>
            <w:hideMark/>
          </w:tcPr>
          <w:p w14:paraId="37B18353" w14:textId="745056F6" w:rsidR="00D4130C" w:rsidRPr="00D47D34" w:rsidRDefault="00D4130C" w:rsidP="00D4130C">
            <w:pPr>
              <w:spacing w:after="0" w:line="240" w:lineRule="auto"/>
              <w:jc w:val="right"/>
              <w:rPr>
                <w:rFonts w:ascii="Arial" w:hAnsi="Arial" w:cs="Arial"/>
                <w:b/>
                <w:bCs/>
                <w:sz w:val="16"/>
                <w:szCs w:val="16"/>
              </w:rPr>
            </w:pPr>
            <w:r w:rsidRPr="00D4130C">
              <w:rPr>
                <w:rFonts w:ascii="Arial" w:hAnsi="Arial" w:cs="Arial"/>
                <w:bCs/>
                <w:sz w:val="16"/>
                <w:szCs w:val="16"/>
              </w:rPr>
              <w:t>-</w:t>
            </w:r>
          </w:p>
        </w:tc>
        <w:tc>
          <w:tcPr>
            <w:tcW w:w="901" w:type="dxa"/>
            <w:tcBorders>
              <w:top w:val="nil"/>
              <w:left w:val="nil"/>
              <w:bottom w:val="nil"/>
              <w:right w:val="nil"/>
            </w:tcBorders>
            <w:shd w:val="clear" w:color="auto" w:fill="auto"/>
            <w:noWrap/>
            <w:vAlign w:val="bottom"/>
            <w:hideMark/>
          </w:tcPr>
          <w:p w14:paraId="3007CD49" w14:textId="49250E9B" w:rsidR="00D4130C" w:rsidRPr="00D47D34" w:rsidRDefault="00D4130C" w:rsidP="00D4130C">
            <w:pPr>
              <w:spacing w:after="0" w:line="240" w:lineRule="auto"/>
              <w:jc w:val="right"/>
              <w:rPr>
                <w:rFonts w:ascii="Arial" w:hAnsi="Arial" w:cs="Arial"/>
                <w:b/>
                <w:bCs/>
                <w:sz w:val="16"/>
                <w:szCs w:val="16"/>
              </w:rPr>
            </w:pPr>
            <w:r w:rsidRPr="00D4130C">
              <w:rPr>
                <w:rFonts w:ascii="Arial" w:hAnsi="Arial" w:cs="Arial"/>
                <w:bCs/>
                <w:sz w:val="16"/>
                <w:szCs w:val="16"/>
              </w:rPr>
              <w:t>-</w:t>
            </w:r>
          </w:p>
        </w:tc>
        <w:tc>
          <w:tcPr>
            <w:tcW w:w="901" w:type="dxa"/>
            <w:tcBorders>
              <w:top w:val="nil"/>
              <w:left w:val="nil"/>
              <w:bottom w:val="nil"/>
              <w:right w:val="nil"/>
            </w:tcBorders>
            <w:shd w:val="clear" w:color="auto" w:fill="auto"/>
            <w:noWrap/>
            <w:vAlign w:val="bottom"/>
            <w:hideMark/>
          </w:tcPr>
          <w:p w14:paraId="365B43F5" w14:textId="2DAE383C" w:rsidR="00D4130C" w:rsidRPr="00D47D34" w:rsidRDefault="00D4130C" w:rsidP="00D4130C">
            <w:pPr>
              <w:spacing w:after="0" w:line="240" w:lineRule="auto"/>
              <w:jc w:val="right"/>
              <w:rPr>
                <w:rFonts w:ascii="Times New Roman" w:hAnsi="Times New Roman"/>
                <w:sz w:val="16"/>
                <w:szCs w:val="16"/>
              </w:rPr>
            </w:pPr>
            <w:r w:rsidRPr="00D4130C">
              <w:rPr>
                <w:rFonts w:ascii="Times New Roman" w:hAnsi="Times New Roman"/>
                <w:sz w:val="16"/>
                <w:szCs w:val="16"/>
              </w:rPr>
              <w:t>-</w:t>
            </w:r>
          </w:p>
        </w:tc>
        <w:tc>
          <w:tcPr>
            <w:tcW w:w="901" w:type="dxa"/>
            <w:tcBorders>
              <w:top w:val="nil"/>
              <w:left w:val="nil"/>
              <w:bottom w:val="nil"/>
              <w:right w:val="nil"/>
            </w:tcBorders>
            <w:shd w:val="clear" w:color="auto" w:fill="auto"/>
            <w:noWrap/>
            <w:vAlign w:val="bottom"/>
            <w:hideMark/>
          </w:tcPr>
          <w:p w14:paraId="664AF10F" w14:textId="0FB02D2B" w:rsidR="00D4130C" w:rsidRPr="00D47D34" w:rsidRDefault="00D4130C" w:rsidP="00D4130C">
            <w:pPr>
              <w:spacing w:after="0" w:line="240" w:lineRule="auto"/>
              <w:jc w:val="right"/>
              <w:rPr>
                <w:rFonts w:ascii="Times New Roman" w:hAnsi="Times New Roman"/>
                <w:sz w:val="16"/>
                <w:szCs w:val="16"/>
              </w:rPr>
            </w:pPr>
            <w:r w:rsidRPr="00D4130C">
              <w:rPr>
                <w:rFonts w:ascii="Times New Roman" w:hAnsi="Times New Roman"/>
                <w:sz w:val="16"/>
                <w:szCs w:val="16"/>
              </w:rPr>
              <w:t>-</w:t>
            </w:r>
          </w:p>
        </w:tc>
      </w:tr>
      <w:tr w:rsidR="00D4130C" w:rsidRPr="00A51372" w14:paraId="6D7F3C66" w14:textId="77777777" w:rsidTr="00D4130C">
        <w:trPr>
          <w:trHeight w:val="204"/>
        </w:trPr>
        <w:tc>
          <w:tcPr>
            <w:tcW w:w="3176" w:type="dxa"/>
            <w:tcBorders>
              <w:top w:val="nil"/>
              <w:left w:val="nil"/>
              <w:bottom w:val="nil"/>
              <w:right w:val="nil"/>
            </w:tcBorders>
            <w:shd w:val="clear" w:color="auto" w:fill="auto"/>
            <w:noWrap/>
            <w:hideMark/>
          </w:tcPr>
          <w:p w14:paraId="21CBEE05" w14:textId="77777777" w:rsidR="00D4130C" w:rsidRPr="00A51372" w:rsidRDefault="00D4130C" w:rsidP="00D4130C">
            <w:pPr>
              <w:spacing w:after="0" w:line="240" w:lineRule="auto"/>
              <w:jc w:val="left"/>
              <w:rPr>
                <w:rFonts w:ascii="Arial" w:hAnsi="Arial" w:cs="Arial"/>
                <w:b/>
                <w:bCs/>
                <w:sz w:val="16"/>
                <w:szCs w:val="16"/>
              </w:rPr>
            </w:pPr>
            <w:r w:rsidRPr="00A51372">
              <w:rPr>
                <w:rFonts w:ascii="Arial" w:hAnsi="Arial" w:cs="Arial"/>
                <w:b/>
                <w:bCs/>
                <w:sz w:val="16"/>
                <w:szCs w:val="16"/>
              </w:rPr>
              <w:t>Total expenses</w:t>
            </w:r>
          </w:p>
        </w:tc>
        <w:tc>
          <w:tcPr>
            <w:tcW w:w="901" w:type="dxa"/>
            <w:tcBorders>
              <w:top w:val="single" w:sz="4" w:space="0" w:color="auto"/>
              <w:left w:val="nil"/>
              <w:bottom w:val="single" w:sz="4" w:space="0" w:color="auto"/>
              <w:right w:val="nil"/>
            </w:tcBorders>
            <w:shd w:val="clear" w:color="auto" w:fill="auto"/>
            <w:noWrap/>
            <w:vAlign w:val="bottom"/>
            <w:hideMark/>
          </w:tcPr>
          <w:p w14:paraId="27770BC3" w14:textId="01A57C1F" w:rsidR="00D4130C" w:rsidRPr="00D47D34" w:rsidRDefault="00D4130C" w:rsidP="00D4130C">
            <w:pPr>
              <w:spacing w:after="0" w:line="240" w:lineRule="auto"/>
              <w:jc w:val="right"/>
              <w:rPr>
                <w:rFonts w:ascii="Arial" w:hAnsi="Arial" w:cs="Arial"/>
                <w:b/>
                <w:bCs/>
                <w:sz w:val="16"/>
                <w:szCs w:val="16"/>
              </w:rPr>
            </w:pPr>
            <w:r w:rsidRPr="00D47D34">
              <w:rPr>
                <w:rFonts w:ascii="Arial" w:hAnsi="Arial" w:cs="Arial"/>
                <w:b/>
                <w:bCs/>
                <w:sz w:val="16"/>
                <w:szCs w:val="16"/>
              </w:rPr>
              <w:t>193,048</w:t>
            </w:r>
          </w:p>
        </w:tc>
        <w:tc>
          <w:tcPr>
            <w:tcW w:w="901" w:type="dxa"/>
            <w:tcBorders>
              <w:top w:val="single" w:sz="4" w:space="0" w:color="auto"/>
              <w:left w:val="nil"/>
              <w:bottom w:val="single" w:sz="4" w:space="0" w:color="auto"/>
              <w:right w:val="nil"/>
            </w:tcBorders>
            <w:shd w:val="clear" w:color="000000" w:fill="E6E6E6"/>
            <w:noWrap/>
            <w:vAlign w:val="bottom"/>
            <w:hideMark/>
          </w:tcPr>
          <w:p w14:paraId="1D0AF86E" w14:textId="449769FC" w:rsidR="00D4130C" w:rsidRPr="00D47D34" w:rsidRDefault="00D4130C" w:rsidP="00D4130C">
            <w:pPr>
              <w:spacing w:after="0" w:line="240" w:lineRule="auto"/>
              <w:jc w:val="right"/>
              <w:rPr>
                <w:rFonts w:ascii="Arial" w:hAnsi="Arial" w:cs="Arial"/>
                <w:b/>
                <w:bCs/>
                <w:sz w:val="16"/>
                <w:szCs w:val="16"/>
              </w:rPr>
            </w:pPr>
            <w:r w:rsidRPr="00D47D34">
              <w:rPr>
                <w:rFonts w:ascii="Arial" w:hAnsi="Arial" w:cs="Arial"/>
                <w:b/>
                <w:bCs/>
                <w:sz w:val="16"/>
                <w:szCs w:val="16"/>
              </w:rPr>
              <w:t>217,432</w:t>
            </w:r>
          </w:p>
        </w:tc>
        <w:tc>
          <w:tcPr>
            <w:tcW w:w="901" w:type="dxa"/>
            <w:tcBorders>
              <w:top w:val="single" w:sz="4" w:space="0" w:color="auto"/>
              <w:left w:val="nil"/>
              <w:bottom w:val="single" w:sz="4" w:space="0" w:color="auto"/>
              <w:right w:val="nil"/>
            </w:tcBorders>
            <w:shd w:val="clear" w:color="auto" w:fill="auto"/>
            <w:noWrap/>
            <w:vAlign w:val="bottom"/>
            <w:hideMark/>
          </w:tcPr>
          <w:p w14:paraId="48E95D77" w14:textId="7FC9AF47" w:rsidR="00D4130C" w:rsidRPr="00D47D34" w:rsidRDefault="00D4130C" w:rsidP="00D4130C">
            <w:pPr>
              <w:spacing w:after="0" w:line="240" w:lineRule="auto"/>
              <w:jc w:val="right"/>
              <w:rPr>
                <w:rFonts w:ascii="Arial" w:hAnsi="Arial" w:cs="Arial"/>
                <w:b/>
                <w:bCs/>
                <w:sz w:val="16"/>
                <w:szCs w:val="16"/>
              </w:rPr>
            </w:pPr>
            <w:r w:rsidRPr="00D47D34">
              <w:rPr>
                <w:rFonts w:ascii="Arial" w:hAnsi="Arial" w:cs="Arial"/>
                <w:b/>
                <w:bCs/>
                <w:sz w:val="16"/>
                <w:szCs w:val="16"/>
              </w:rPr>
              <w:t>215,700</w:t>
            </w:r>
          </w:p>
        </w:tc>
        <w:tc>
          <w:tcPr>
            <w:tcW w:w="901" w:type="dxa"/>
            <w:tcBorders>
              <w:top w:val="single" w:sz="4" w:space="0" w:color="auto"/>
              <w:left w:val="nil"/>
              <w:bottom w:val="single" w:sz="4" w:space="0" w:color="auto"/>
              <w:right w:val="nil"/>
            </w:tcBorders>
            <w:shd w:val="clear" w:color="auto" w:fill="auto"/>
            <w:noWrap/>
            <w:vAlign w:val="bottom"/>
            <w:hideMark/>
          </w:tcPr>
          <w:p w14:paraId="3BB37F57" w14:textId="77562E13" w:rsidR="00D4130C" w:rsidRPr="00D47D34" w:rsidRDefault="00D4130C" w:rsidP="00D4130C">
            <w:pPr>
              <w:spacing w:after="0" w:line="240" w:lineRule="auto"/>
              <w:jc w:val="right"/>
              <w:rPr>
                <w:rFonts w:ascii="Arial" w:hAnsi="Arial" w:cs="Arial"/>
                <w:b/>
                <w:bCs/>
                <w:sz w:val="16"/>
                <w:szCs w:val="16"/>
              </w:rPr>
            </w:pPr>
            <w:r w:rsidRPr="00D47D34">
              <w:rPr>
                <w:rFonts w:ascii="Arial" w:hAnsi="Arial" w:cs="Arial"/>
                <w:b/>
                <w:bCs/>
                <w:sz w:val="16"/>
                <w:szCs w:val="16"/>
              </w:rPr>
              <w:t>220,700</w:t>
            </w:r>
          </w:p>
        </w:tc>
        <w:tc>
          <w:tcPr>
            <w:tcW w:w="901" w:type="dxa"/>
            <w:tcBorders>
              <w:top w:val="single" w:sz="4" w:space="0" w:color="auto"/>
              <w:left w:val="nil"/>
              <w:bottom w:val="single" w:sz="4" w:space="0" w:color="auto"/>
              <w:right w:val="nil"/>
            </w:tcBorders>
            <w:shd w:val="clear" w:color="auto" w:fill="auto"/>
            <w:noWrap/>
            <w:vAlign w:val="bottom"/>
            <w:hideMark/>
          </w:tcPr>
          <w:p w14:paraId="7028EFAA" w14:textId="403295B3" w:rsidR="00D4130C" w:rsidRPr="00D47D34" w:rsidRDefault="00D4130C" w:rsidP="00D4130C">
            <w:pPr>
              <w:spacing w:after="0" w:line="240" w:lineRule="auto"/>
              <w:jc w:val="right"/>
              <w:rPr>
                <w:rFonts w:ascii="Arial" w:hAnsi="Arial" w:cs="Arial"/>
                <w:b/>
                <w:bCs/>
                <w:sz w:val="16"/>
                <w:szCs w:val="16"/>
              </w:rPr>
            </w:pPr>
            <w:r w:rsidRPr="00D47D34">
              <w:rPr>
                <w:rFonts w:ascii="Arial" w:hAnsi="Arial" w:cs="Arial"/>
                <w:b/>
                <w:bCs/>
                <w:sz w:val="16"/>
                <w:szCs w:val="16"/>
              </w:rPr>
              <w:t>227,200</w:t>
            </w:r>
          </w:p>
        </w:tc>
      </w:tr>
      <w:tr w:rsidR="00D4130C" w:rsidRPr="00A51372" w14:paraId="7128E2CB" w14:textId="77777777" w:rsidTr="00D4130C">
        <w:trPr>
          <w:trHeight w:val="204"/>
        </w:trPr>
        <w:tc>
          <w:tcPr>
            <w:tcW w:w="3176" w:type="dxa"/>
            <w:tcBorders>
              <w:top w:val="nil"/>
              <w:left w:val="nil"/>
              <w:bottom w:val="nil"/>
              <w:right w:val="nil"/>
            </w:tcBorders>
            <w:shd w:val="clear" w:color="auto" w:fill="auto"/>
            <w:noWrap/>
            <w:vAlign w:val="bottom"/>
            <w:hideMark/>
          </w:tcPr>
          <w:p w14:paraId="453D07C5" w14:textId="77777777" w:rsidR="00D4130C" w:rsidRPr="00A51372" w:rsidRDefault="00D4130C" w:rsidP="00D4130C">
            <w:pPr>
              <w:spacing w:after="0" w:line="240" w:lineRule="auto"/>
              <w:jc w:val="left"/>
              <w:rPr>
                <w:rFonts w:ascii="Arial" w:hAnsi="Arial" w:cs="Arial"/>
                <w:b/>
                <w:bCs/>
                <w:sz w:val="16"/>
                <w:szCs w:val="16"/>
              </w:rPr>
            </w:pPr>
            <w:r w:rsidRPr="00A51372">
              <w:rPr>
                <w:rFonts w:ascii="Arial" w:hAnsi="Arial" w:cs="Arial"/>
                <w:b/>
                <w:bCs/>
                <w:sz w:val="16"/>
                <w:szCs w:val="16"/>
              </w:rPr>
              <w:t xml:space="preserve">LESS: </w:t>
            </w:r>
          </w:p>
        </w:tc>
        <w:tc>
          <w:tcPr>
            <w:tcW w:w="901" w:type="dxa"/>
            <w:tcBorders>
              <w:top w:val="nil"/>
              <w:left w:val="nil"/>
              <w:bottom w:val="nil"/>
              <w:right w:val="nil"/>
            </w:tcBorders>
            <w:shd w:val="clear" w:color="auto" w:fill="auto"/>
            <w:noWrap/>
            <w:vAlign w:val="bottom"/>
            <w:hideMark/>
          </w:tcPr>
          <w:p w14:paraId="515FEE00" w14:textId="77777777" w:rsidR="00D4130C" w:rsidRPr="00A51372" w:rsidRDefault="00D4130C" w:rsidP="00D4130C">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683A633E" w14:textId="6FA5C52C" w:rsidR="00D4130C" w:rsidRPr="00A51372" w:rsidRDefault="00D4130C" w:rsidP="00D4130C">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22FE3B49" w14:textId="77777777" w:rsidR="00D4130C" w:rsidRPr="00A51372" w:rsidRDefault="00D4130C" w:rsidP="00D4130C">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0E35195E" w14:textId="77777777" w:rsidR="00D4130C" w:rsidRPr="00A51372" w:rsidRDefault="00D4130C" w:rsidP="00D4130C">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261AE751" w14:textId="77777777" w:rsidR="00D4130C" w:rsidRPr="00A51372" w:rsidRDefault="00D4130C" w:rsidP="00D4130C">
            <w:pPr>
              <w:spacing w:after="0" w:line="240" w:lineRule="auto"/>
              <w:jc w:val="right"/>
              <w:rPr>
                <w:rFonts w:ascii="Times New Roman" w:hAnsi="Times New Roman"/>
              </w:rPr>
            </w:pPr>
          </w:p>
        </w:tc>
      </w:tr>
      <w:tr w:rsidR="00D4130C" w:rsidRPr="00A51372" w14:paraId="28E62A81" w14:textId="77777777" w:rsidTr="00D4130C">
        <w:trPr>
          <w:trHeight w:val="204"/>
        </w:trPr>
        <w:tc>
          <w:tcPr>
            <w:tcW w:w="3176" w:type="dxa"/>
            <w:tcBorders>
              <w:top w:val="nil"/>
              <w:left w:val="nil"/>
              <w:bottom w:val="nil"/>
              <w:right w:val="nil"/>
            </w:tcBorders>
            <w:shd w:val="clear" w:color="auto" w:fill="auto"/>
            <w:noWrap/>
            <w:vAlign w:val="bottom"/>
            <w:hideMark/>
          </w:tcPr>
          <w:p w14:paraId="489173D1" w14:textId="77777777" w:rsidR="00D4130C" w:rsidRPr="00A51372" w:rsidRDefault="00D4130C" w:rsidP="00D4130C">
            <w:pPr>
              <w:spacing w:after="0" w:line="240" w:lineRule="auto"/>
              <w:jc w:val="left"/>
              <w:rPr>
                <w:rFonts w:ascii="Arial" w:hAnsi="Arial" w:cs="Arial"/>
                <w:b/>
                <w:bCs/>
                <w:sz w:val="16"/>
                <w:szCs w:val="16"/>
              </w:rPr>
            </w:pPr>
            <w:r w:rsidRPr="00A51372">
              <w:rPr>
                <w:rFonts w:ascii="Arial" w:hAnsi="Arial" w:cs="Arial"/>
                <w:b/>
                <w:bCs/>
                <w:sz w:val="16"/>
                <w:szCs w:val="16"/>
              </w:rPr>
              <w:t>OWN-SOURCE INCOME</w:t>
            </w:r>
          </w:p>
        </w:tc>
        <w:tc>
          <w:tcPr>
            <w:tcW w:w="901" w:type="dxa"/>
            <w:tcBorders>
              <w:top w:val="nil"/>
              <w:left w:val="nil"/>
              <w:bottom w:val="nil"/>
              <w:right w:val="nil"/>
            </w:tcBorders>
            <w:shd w:val="clear" w:color="auto" w:fill="auto"/>
            <w:noWrap/>
            <w:vAlign w:val="bottom"/>
            <w:hideMark/>
          </w:tcPr>
          <w:p w14:paraId="0F14EC53" w14:textId="77777777" w:rsidR="00D4130C" w:rsidRPr="00A51372" w:rsidRDefault="00D4130C" w:rsidP="00D4130C">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30BAE600" w14:textId="458A1E52" w:rsidR="00D4130C" w:rsidRPr="00A51372" w:rsidRDefault="00D4130C" w:rsidP="00D4130C">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0D164A2C" w14:textId="77777777" w:rsidR="00D4130C" w:rsidRPr="00A51372" w:rsidRDefault="00D4130C" w:rsidP="00D4130C">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2B2827FE" w14:textId="77777777" w:rsidR="00D4130C" w:rsidRPr="00A51372" w:rsidRDefault="00D4130C" w:rsidP="00D4130C">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3E9302FB" w14:textId="77777777" w:rsidR="00D4130C" w:rsidRPr="00A51372" w:rsidRDefault="00D4130C" w:rsidP="00D4130C">
            <w:pPr>
              <w:spacing w:after="0" w:line="240" w:lineRule="auto"/>
              <w:jc w:val="right"/>
              <w:rPr>
                <w:rFonts w:ascii="Times New Roman" w:hAnsi="Times New Roman"/>
              </w:rPr>
            </w:pPr>
          </w:p>
        </w:tc>
      </w:tr>
      <w:tr w:rsidR="00D4130C" w:rsidRPr="00A51372" w14:paraId="349F4897" w14:textId="77777777" w:rsidTr="00D4130C">
        <w:trPr>
          <w:trHeight w:val="204"/>
        </w:trPr>
        <w:tc>
          <w:tcPr>
            <w:tcW w:w="3176" w:type="dxa"/>
            <w:tcBorders>
              <w:top w:val="nil"/>
              <w:left w:val="nil"/>
              <w:bottom w:val="nil"/>
              <w:right w:val="nil"/>
            </w:tcBorders>
            <w:shd w:val="clear" w:color="auto" w:fill="auto"/>
            <w:noWrap/>
            <w:vAlign w:val="bottom"/>
            <w:hideMark/>
          </w:tcPr>
          <w:p w14:paraId="20F9701B" w14:textId="77777777" w:rsidR="00D4130C" w:rsidRPr="00A51372" w:rsidRDefault="00D4130C" w:rsidP="00D4130C">
            <w:pPr>
              <w:spacing w:after="0" w:line="240" w:lineRule="auto"/>
              <w:jc w:val="left"/>
              <w:rPr>
                <w:rFonts w:ascii="Arial" w:hAnsi="Arial" w:cs="Arial"/>
                <w:b/>
                <w:bCs/>
                <w:sz w:val="16"/>
                <w:szCs w:val="16"/>
              </w:rPr>
            </w:pPr>
            <w:r w:rsidRPr="00A51372">
              <w:rPr>
                <w:rFonts w:ascii="Arial" w:hAnsi="Arial" w:cs="Arial"/>
                <w:b/>
                <w:bCs/>
                <w:sz w:val="16"/>
                <w:szCs w:val="16"/>
              </w:rPr>
              <w:t>Own-source revenue</w:t>
            </w:r>
          </w:p>
        </w:tc>
        <w:tc>
          <w:tcPr>
            <w:tcW w:w="901" w:type="dxa"/>
            <w:tcBorders>
              <w:top w:val="nil"/>
              <w:left w:val="nil"/>
              <w:bottom w:val="nil"/>
              <w:right w:val="nil"/>
            </w:tcBorders>
            <w:shd w:val="clear" w:color="auto" w:fill="auto"/>
            <w:noWrap/>
            <w:vAlign w:val="bottom"/>
            <w:hideMark/>
          </w:tcPr>
          <w:p w14:paraId="1C4E7C19" w14:textId="77777777" w:rsidR="00D4130C" w:rsidRPr="00A51372" w:rsidRDefault="00D4130C" w:rsidP="00D4130C">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000000" w:fill="E6E6E6"/>
            <w:noWrap/>
            <w:vAlign w:val="bottom"/>
            <w:hideMark/>
          </w:tcPr>
          <w:p w14:paraId="09FB9F15" w14:textId="5EBA1B03" w:rsidR="00D4130C" w:rsidRPr="00A51372" w:rsidRDefault="00D4130C" w:rsidP="00D4130C">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15128D7F" w14:textId="77777777" w:rsidR="00D4130C" w:rsidRPr="00A51372" w:rsidRDefault="00D4130C" w:rsidP="00D4130C">
            <w:pPr>
              <w:spacing w:after="0" w:line="240" w:lineRule="auto"/>
              <w:jc w:val="right"/>
              <w:rPr>
                <w:rFonts w:ascii="Arial" w:hAnsi="Arial" w:cs="Arial"/>
                <w:b/>
                <w:bCs/>
                <w:sz w:val="16"/>
                <w:szCs w:val="16"/>
              </w:rPr>
            </w:pPr>
          </w:p>
        </w:tc>
        <w:tc>
          <w:tcPr>
            <w:tcW w:w="901" w:type="dxa"/>
            <w:tcBorders>
              <w:top w:val="nil"/>
              <w:left w:val="nil"/>
              <w:bottom w:val="nil"/>
              <w:right w:val="nil"/>
            </w:tcBorders>
            <w:shd w:val="clear" w:color="auto" w:fill="auto"/>
            <w:noWrap/>
            <w:vAlign w:val="bottom"/>
            <w:hideMark/>
          </w:tcPr>
          <w:p w14:paraId="03CB02B4" w14:textId="77777777" w:rsidR="00D4130C" w:rsidRPr="00A51372" w:rsidRDefault="00D4130C" w:rsidP="00D4130C">
            <w:pPr>
              <w:spacing w:after="0" w:line="240" w:lineRule="auto"/>
              <w:jc w:val="right"/>
              <w:rPr>
                <w:rFonts w:ascii="Times New Roman" w:hAnsi="Times New Roman"/>
              </w:rPr>
            </w:pPr>
          </w:p>
        </w:tc>
        <w:tc>
          <w:tcPr>
            <w:tcW w:w="901" w:type="dxa"/>
            <w:tcBorders>
              <w:top w:val="nil"/>
              <w:left w:val="nil"/>
              <w:bottom w:val="nil"/>
              <w:right w:val="nil"/>
            </w:tcBorders>
            <w:shd w:val="clear" w:color="auto" w:fill="auto"/>
            <w:noWrap/>
            <w:vAlign w:val="bottom"/>
            <w:hideMark/>
          </w:tcPr>
          <w:p w14:paraId="1E336465" w14:textId="77777777" w:rsidR="00D4130C" w:rsidRPr="00A51372" w:rsidRDefault="00D4130C" w:rsidP="00D4130C">
            <w:pPr>
              <w:spacing w:after="0" w:line="240" w:lineRule="auto"/>
              <w:jc w:val="right"/>
              <w:rPr>
                <w:rFonts w:ascii="Times New Roman" w:hAnsi="Times New Roman"/>
              </w:rPr>
            </w:pPr>
          </w:p>
        </w:tc>
      </w:tr>
      <w:tr w:rsidR="00D4130C" w:rsidRPr="00A51372" w14:paraId="4C5E26B6" w14:textId="77777777" w:rsidTr="00D4130C">
        <w:trPr>
          <w:trHeight w:val="204"/>
        </w:trPr>
        <w:tc>
          <w:tcPr>
            <w:tcW w:w="3176" w:type="dxa"/>
            <w:tcBorders>
              <w:top w:val="nil"/>
              <w:left w:val="nil"/>
              <w:bottom w:val="nil"/>
              <w:right w:val="nil"/>
            </w:tcBorders>
            <w:shd w:val="clear" w:color="auto" w:fill="auto"/>
            <w:vAlign w:val="bottom"/>
            <w:hideMark/>
          </w:tcPr>
          <w:p w14:paraId="5DB090C9" w14:textId="619B724F" w:rsidR="00D4130C" w:rsidRPr="00A51372" w:rsidRDefault="00D4130C" w:rsidP="00D4130C">
            <w:pPr>
              <w:spacing w:after="0" w:line="240" w:lineRule="auto"/>
              <w:ind w:left="113"/>
              <w:jc w:val="left"/>
              <w:rPr>
                <w:rFonts w:ascii="Arial" w:hAnsi="Arial" w:cs="Arial"/>
                <w:sz w:val="16"/>
                <w:szCs w:val="16"/>
              </w:rPr>
            </w:pPr>
            <w:r w:rsidRPr="00A51372">
              <w:rPr>
                <w:rFonts w:ascii="Arial" w:hAnsi="Arial" w:cs="Arial"/>
                <w:sz w:val="16"/>
                <w:szCs w:val="16"/>
              </w:rPr>
              <w:t>Sale of goods and rendering of</w:t>
            </w:r>
            <w:r>
              <w:rPr>
                <w:rFonts w:ascii="Arial" w:hAnsi="Arial" w:cs="Arial"/>
                <w:sz w:val="16"/>
                <w:szCs w:val="16"/>
              </w:rPr>
              <w:t xml:space="preserve"> </w:t>
            </w:r>
            <w:r w:rsidRPr="00A51372">
              <w:rPr>
                <w:rFonts w:ascii="Arial" w:hAnsi="Arial" w:cs="Arial"/>
                <w:sz w:val="16"/>
                <w:szCs w:val="16"/>
              </w:rPr>
              <w:t>services</w:t>
            </w:r>
          </w:p>
        </w:tc>
        <w:tc>
          <w:tcPr>
            <w:tcW w:w="901" w:type="dxa"/>
            <w:tcBorders>
              <w:top w:val="nil"/>
              <w:left w:val="nil"/>
              <w:bottom w:val="nil"/>
              <w:right w:val="nil"/>
            </w:tcBorders>
            <w:shd w:val="clear" w:color="auto" w:fill="auto"/>
            <w:noWrap/>
            <w:vAlign w:val="bottom"/>
            <w:hideMark/>
          </w:tcPr>
          <w:p w14:paraId="59AF573E" w14:textId="24AB1929" w:rsidR="00D4130C" w:rsidRPr="00A51372" w:rsidRDefault="00D4130C" w:rsidP="00D4130C">
            <w:pPr>
              <w:spacing w:after="0" w:line="240" w:lineRule="auto"/>
              <w:jc w:val="right"/>
              <w:rPr>
                <w:rFonts w:ascii="Arial" w:hAnsi="Arial" w:cs="Arial"/>
                <w:sz w:val="16"/>
                <w:szCs w:val="16"/>
              </w:rPr>
            </w:pPr>
            <w:r w:rsidRPr="00A51372">
              <w:rPr>
                <w:rFonts w:ascii="Arial" w:hAnsi="Arial" w:cs="Arial"/>
                <w:sz w:val="16"/>
                <w:szCs w:val="16"/>
              </w:rPr>
              <w:t>10,864</w:t>
            </w:r>
          </w:p>
        </w:tc>
        <w:tc>
          <w:tcPr>
            <w:tcW w:w="901" w:type="dxa"/>
            <w:tcBorders>
              <w:top w:val="nil"/>
              <w:left w:val="nil"/>
              <w:bottom w:val="nil"/>
              <w:right w:val="nil"/>
            </w:tcBorders>
            <w:shd w:val="clear" w:color="000000" w:fill="E6E6E6"/>
            <w:noWrap/>
            <w:vAlign w:val="bottom"/>
            <w:hideMark/>
          </w:tcPr>
          <w:p w14:paraId="36B2D8C4" w14:textId="52F0EFEB" w:rsidR="00D4130C" w:rsidRPr="00A51372" w:rsidRDefault="00D4130C" w:rsidP="00D4130C">
            <w:pPr>
              <w:spacing w:after="0" w:line="240" w:lineRule="auto"/>
              <w:jc w:val="right"/>
              <w:rPr>
                <w:rFonts w:ascii="Arial" w:hAnsi="Arial" w:cs="Arial"/>
                <w:sz w:val="16"/>
                <w:szCs w:val="16"/>
              </w:rPr>
            </w:pPr>
            <w:r w:rsidRPr="00A51372">
              <w:rPr>
                <w:rFonts w:ascii="Arial" w:hAnsi="Arial" w:cs="Arial"/>
                <w:sz w:val="16"/>
                <w:szCs w:val="16"/>
              </w:rPr>
              <w:t>8,900</w:t>
            </w:r>
          </w:p>
        </w:tc>
        <w:tc>
          <w:tcPr>
            <w:tcW w:w="901" w:type="dxa"/>
            <w:tcBorders>
              <w:top w:val="nil"/>
              <w:left w:val="nil"/>
              <w:bottom w:val="nil"/>
              <w:right w:val="nil"/>
            </w:tcBorders>
            <w:shd w:val="clear" w:color="auto" w:fill="auto"/>
            <w:noWrap/>
            <w:vAlign w:val="bottom"/>
            <w:hideMark/>
          </w:tcPr>
          <w:p w14:paraId="0632989F" w14:textId="0030E2CA" w:rsidR="00D4130C" w:rsidRPr="00A51372" w:rsidRDefault="00D4130C" w:rsidP="00D4130C">
            <w:pPr>
              <w:spacing w:after="0" w:line="240" w:lineRule="auto"/>
              <w:jc w:val="right"/>
              <w:rPr>
                <w:rFonts w:ascii="Arial" w:hAnsi="Arial" w:cs="Arial"/>
                <w:sz w:val="16"/>
                <w:szCs w:val="16"/>
              </w:rPr>
            </w:pPr>
            <w:r w:rsidRPr="00A51372">
              <w:rPr>
                <w:rFonts w:ascii="Arial" w:hAnsi="Arial" w:cs="Arial"/>
                <w:sz w:val="16"/>
                <w:szCs w:val="16"/>
              </w:rPr>
              <w:t>33,480</w:t>
            </w:r>
          </w:p>
        </w:tc>
        <w:tc>
          <w:tcPr>
            <w:tcW w:w="901" w:type="dxa"/>
            <w:tcBorders>
              <w:top w:val="nil"/>
              <w:left w:val="nil"/>
              <w:bottom w:val="nil"/>
              <w:right w:val="nil"/>
            </w:tcBorders>
            <w:shd w:val="clear" w:color="auto" w:fill="auto"/>
            <w:noWrap/>
            <w:vAlign w:val="bottom"/>
            <w:hideMark/>
          </w:tcPr>
          <w:p w14:paraId="5E15AED4" w14:textId="6E791FBE" w:rsidR="00D4130C" w:rsidRPr="00A51372" w:rsidRDefault="00D4130C" w:rsidP="00D4130C">
            <w:pPr>
              <w:spacing w:after="0" w:line="240" w:lineRule="auto"/>
              <w:jc w:val="right"/>
              <w:rPr>
                <w:rFonts w:ascii="Arial" w:hAnsi="Arial" w:cs="Arial"/>
                <w:sz w:val="16"/>
                <w:szCs w:val="16"/>
              </w:rPr>
            </w:pPr>
            <w:r w:rsidRPr="00A51372">
              <w:rPr>
                <w:rFonts w:ascii="Arial" w:hAnsi="Arial" w:cs="Arial"/>
                <w:sz w:val="16"/>
                <w:szCs w:val="16"/>
              </w:rPr>
              <w:t>33,870</w:t>
            </w:r>
          </w:p>
        </w:tc>
        <w:tc>
          <w:tcPr>
            <w:tcW w:w="901" w:type="dxa"/>
            <w:tcBorders>
              <w:top w:val="nil"/>
              <w:left w:val="nil"/>
              <w:bottom w:val="nil"/>
              <w:right w:val="nil"/>
            </w:tcBorders>
            <w:shd w:val="clear" w:color="auto" w:fill="auto"/>
            <w:noWrap/>
            <w:vAlign w:val="bottom"/>
            <w:hideMark/>
          </w:tcPr>
          <w:p w14:paraId="00E0D529" w14:textId="37C3BD5A" w:rsidR="00D4130C" w:rsidRPr="00A51372" w:rsidRDefault="00D4130C" w:rsidP="00D4130C">
            <w:pPr>
              <w:spacing w:after="0" w:line="240" w:lineRule="auto"/>
              <w:jc w:val="right"/>
              <w:rPr>
                <w:rFonts w:ascii="Arial" w:hAnsi="Arial" w:cs="Arial"/>
                <w:sz w:val="16"/>
                <w:szCs w:val="16"/>
              </w:rPr>
            </w:pPr>
            <w:r w:rsidRPr="00A51372">
              <w:rPr>
                <w:rFonts w:ascii="Arial" w:hAnsi="Arial" w:cs="Arial"/>
                <w:sz w:val="16"/>
                <w:szCs w:val="16"/>
              </w:rPr>
              <w:t>35,990</w:t>
            </w:r>
          </w:p>
        </w:tc>
      </w:tr>
      <w:tr w:rsidR="00D4130C" w:rsidRPr="00A51372" w14:paraId="49046812" w14:textId="77777777" w:rsidTr="00D4130C">
        <w:trPr>
          <w:trHeight w:val="204"/>
        </w:trPr>
        <w:tc>
          <w:tcPr>
            <w:tcW w:w="3176" w:type="dxa"/>
            <w:tcBorders>
              <w:top w:val="nil"/>
              <w:left w:val="nil"/>
              <w:bottom w:val="nil"/>
              <w:right w:val="nil"/>
            </w:tcBorders>
            <w:shd w:val="clear" w:color="auto" w:fill="auto"/>
            <w:noWrap/>
            <w:vAlign w:val="bottom"/>
            <w:hideMark/>
          </w:tcPr>
          <w:p w14:paraId="53000363" w14:textId="77777777" w:rsidR="00D4130C" w:rsidRPr="00A51372" w:rsidRDefault="00D4130C" w:rsidP="00D4130C">
            <w:pPr>
              <w:spacing w:after="0" w:line="240" w:lineRule="auto"/>
              <w:ind w:left="113"/>
              <w:jc w:val="left"/>
              <w:rPr>
                <w:rFonts w:ascii="Arial" w:hAnsi="Arial" w:cs="Arial"/>
                <w:sz w:val="16"/>
                <w:szCs w:val="16"/>
              </w:rPr>
            </w:pPr>
            <w:r w:rsidRPr="00A51372">
              <w:rPr>
                <w:rFonts w:ascii="Arial" w:hAnsi="Arial" w:cs="Arial"/>
                <w:sz w:val="16"/>
                <w:szCs w:val="16"/>
              </w:rPr>
              <w:t>Interest</w:t>
            </w:r>
          </w:p>
        </w:tc>
        <w:tc>
          <w:tcPr>
            <w:tcW w:w="901" w:type="dxa"/>
            <w:tcBorders>
              <w:top w:val="nil"/>
              <w:left w:val="nil"/>
              <w:bottom w:val="nil"/>
              <w:right w:val="nil"/>
            </w:tcBorders>
            <w:shd w:val="clear" w:color="auto" w:fill="auto"/>
            <w:noWrap/>
            <w:vAlign w:val="bottom"/>
            <w:hideMark/>
          </w:tcPr>
          <w:p w14:paraId="428EC827" w14:textId="6B43FB30" w:rsidR="00D4130C" w:rsidRPr="00A51372" w:rsidRDefault="00D4130C" w:rsidP="00D4130C">
            <w:pPr>
              <w:spacing w:after="0" w:line="240" w:lineRule="auto"/>
              <w:jc w:val="right"/>
              <w:rPr>
                <w:rFonts w:ascii="Arial" w:hAnsi="Arial" w:cs="Arial"/>
                <w:sz w:val="16"/>
                <w:szCs w:val="16"/>
              </w:rPr>
            </w:pPr>
            <w:r w:rsidRPr="00A51372">
              <w:rPr>
                <w:rFonts w:ascii="Arial" w:hAnsi="Arial" w:cs="Arial"/>
                <w:sz w:val="16"/>
                <w:szCs w:val="16"/>
              </w:rPr>
              <w:t>259</w:t>
            </w:r>
          </w:p>
        </w:tc>
        <w:tc>
          <w:tcPr>
            <w:tcW w:w="901" w:type="dxa"/>
            <w:tcBorders>
              <w:top w:val="nil"/>
              <w:left w:val="nil"/>
              <w:bottom w:val="nil"/>
              <w:right w:val="nil"/>
            </w:tcBorders>
            <w:shd w:val="clear" w:color="000000" w:fill="E6E6E6"/>
            <w:noWrap/>
            <w:vAlign w:val="bottom"/>
            <w:hideMark/>
          </w:tcPr>
          <w:p w14:paraId="7AA15C2D" w14:textId="2A0843F2" w:rsidR="00D4130C" w:rsidRPr="00A51372" w:rsidRDefault="00D4130C" w:rsidP="00D4130C">
            <w:pPr>
              <w:spacing w:after="0" w:line="240" w:lineRule="auto"/>
              <w:jc w:val="right"/>
              <w:rPr>
                <w:rFonts w:ascii="Arial" w:hAnsi="Arial" w:cs="Arial"/>
                <w:sz w:val="16"/>
                <w:szCs w:val="16"/>
              </w:rPr>
            </w:pPr>
            <w:r w:rsidRPr="00A51372">
              <w:rPr>
                <w:rFonts w:ascii="Arial" w:hAnsi="Arial" w:cs="Arial"/>
                <w:sz w:val="16"/>
                <w:szCs w:val="16"/>
              </w:rPr>
              <w:t>150</w:t>
            </w:r>
          </w:p>
        </w:tc>
        <w:tc>
          <w:tcPr>
            <w:tcW w:w="901" w:type="dxa"/>
            <w:tcBorders>
              <w:top w:val="nil"/>
              <w:left w:val="nil"/>
              <w:bottom w:val="nil"/>
              <w:right w:val="nil"/>
            </w:tcBorders>
            <w:shd w:val="clear" w:color="auto" w:fill="auto"/>
            <w:noWrap/>
            <w:vAlign w:val="bottom"/>
            <w:hideMark/>
          </w:tcPr>
          <w:p w14:paraId="1B5A2CA7" w14:textId="1A2356C9" w:rsidR="00D4130C" w:rsidRPr="00A51372" w:rsidRDefault="00D4130C" w:rsidP="00D4130C">
            <w:pPr>
              <w:spacing w:after="0" w:line="240" w:lineRule="auto"/>
              <w:jc w:val="right"/>
              <w:rPr>
                <w:rFonts w:ascii="Arial" w:hAnsi="Arial" w:cs="Arial"/>
                <w:sz w:val="16"/>
                <w:szCs w:val="16"/>
              </w:rPr>
            </w:pPr>
            <w:r w:rsidRPr="00A51372">
              <w:rPr>
                <w:rFonts w:ascii="Arial" w:hAnsi="Arial" w:cs="Arial"/>
                <w:sz w:val="16"/>
                <w:szCs w:val="16"/>
              </w:rPr>
              <w:t>190</w:t>
            </w:r>
          </w:p>
        </w:tc>
        <w:tc>
          <w:tcPr>
            <w:tcW w:w="901" w:type="dxa"/>
            <w:tcBorders>
              <w:top w:val="nil"/>
              <w:left w:val="nil"/>
              <w:bottom w:val="nil"/>
              <w:right w:val="nil"/>
            </w:tcBorders>
            <w:shd w:val="clear" w:color="auto" w:fill="auto"/>
            <w:noWrap/>
            <w:vAlign w:val="bottom"/>
            <w:hideMark/>
          </w:tcPr>
          <w:p w14:paraId="6D6FB159" w14:textId="58C51584" w:rsidR="00D4130C" w:rsidRPr="00A51372" w:rsidRDefault="00D4130C" w:rsidP="00D4130C">
            <w:pPr>
              <w:spacing w:after="0" w:line="240" w:lineRule="auto"/>
              <w:jc w:val="right"/>
              <w:rPr>
                <w:rFonts w:ascii="Arial" w:hAnsi="Arial" w:cs="Arial"/>
                <w:sz w:val="16"/>
                <w:szCs w:val="16"/>
              </w:rPr>
            </w:pPr>
            <w:r w:rsidRPr="00A51372">
              <w:rPr>
                <w:rFonts w:ascii="Arial" w:hAnsi="Arial" w:cs="Arial"/>
                <w:sz w:val="16"/>
                <w:szCs w:val="16"/>
              </w:rPr>
              <w:t>290</w:t>
            </w:r>
          </w:p>
        </w:tc>
        <w:tc>
          <w:tcPr>
            <w:tcW w:w="901" w:type="dxa"/>
            <w:tcBorders>
              <w:top w:val="nil"/>
              <w:left w:val="nil"/>
              <w:bottom w:val="nil"/>
              <w:right w:val="nil"/>
            </w:tcBorders>
            <w:shd w:val="clear" w:color="auto" w:fill="auto"/>
            <w:noWrap/>
            <w:vAlign w:val="bottom"/>
            <w:hideMark/>
          </w:tcPr>
          <w:p w14:paraId="70F38363" w14:textId="1BD74125" w:rsidR="00D4130C" w:rsidRPr="00A51372" w:rsidRDefault="00D4130C" w:rsidP="00D4130C">
            <w:pPr>
              <w:spacing w:after="0" w:line="240" w:lineRule="auto"/>
              <w:jc w:val="right"/>
              <w:rPr>
                <w:rFonts w:ascii="Arial" w:hAnsi="Arial" w:cs="Arial"/>
                <w:sz w:val="16"/>
                <w:szCs w:val="16"/>
              </w:rPr>
            </w:pPr>
            <w:r w:rsidRPr="00A51372">
              <w:rPr>
                <w:rFonts w:ascii="Arial" w:hAnsi="Arial" w:cs="Arial"/>
                <w:sz w:val="16"/>
                <w:szCs w:val="16"/>
              </w:rPr>
              <w:t>500</w:t>
            </w:r>
          </w:p>
        </w:tc>
      </w:tr>
      <w:tr w:rsidR="00D4130C" w:rsidRPr="00A51372" w14:paraId="3BB48885" w14:textId="77777777" w:rsidTr="00D4130C">
        <w:trPr>
          <w:trHeight w:val="204"/>
        </w:trPr>
        <w:tc>
          <w:tcPr>
            <w:tcW w:w="3176" w:type="dxa"/>
            <w:tcBorders>
              <w:top w:val="nil"/>
              <w:left w:val="nil"/>
              <w:bottom w:val="nil"/>
              <w:right w:val="nil"/>
            </w:tcBorders>
            <w:shd w:val="clear" w:color="auto" w:fill="auto"/>
            <w:noWrap/>
            <w:vAlign w:val="bottom"/>
            <w:hideMark/>
          </w:tcPr>
          <w:p w14:paraId="49196529" w14:textId="77777777" w:rsidR="00D4130C" w:rsidRPr="00A51372" w:rsidRDefault="00D4130C" w:rsidP="00D4130C">
            <w:pPr>
              <w:spacing w:after="0" w:line="240" w:lineRule="auto"/>
              <w:ind w:left="113"/>
              <w:jc w:val="left"/>
              <w:rPr>
                <w:rFonts w:ascii="Arial" w:hAnsi="Arial" w:cs="Arial"/>
                <w:sz w:val="16"/>
                <w:szCs w:val="16"/>
              </w:rPr>
            </w:pPr>
            <w:r w:rsidRPr="00A51372">
              <w:rPr>
                <w:rFonts w:ascii="Arial" w:hAnsi="Arial" w:cs="Arial"/>
                <w:sz w:val="16"/>
                <w:szCs w:val="16"/>
              </w:rPr>
              <w:t>Other</w:t>
            </w:r>
          </w:p>
        </w:tc>
        <w:tc>
          <w:tcPr>
            <w:tcW w:w="901" w:type="dxa"/>
            <w:tcBorders>
              <w:top w:val="nil"/>
              <w:left w:val="nil"/>
              <w:bottom w:val="nil"/>
              <w:right w:val="nil"/>
            </w:tcBorders>
            <w:shd w:val="clear" w:color="auto" w:fill="auto"/>
            <w:noWrap/>
            <w:vAlign w:val="bottom"/>
            <w:hideMark/>
          </w:tcPr>
          <w:p w14:paraId="6E4AC1F0" w14:textId="2BEAFA44" w:rsidR="00D4130C" w:rsidRPr="00A51372" w:rsidRDefault="00D4130C" w:rsidP="00D4130C">
            <w:pPr>
              <w:spacing w:after="0" w:line="240" w:lineRule="auto"/>
              <w:jc w:val="right"/>
              <w:rPr>
                <w:rFonts w:ascii="Arial" w:hAnsi="Arial" w:cs="Arial"/>
                <w:sz w:val="16"/>
                <w:szCs w:val="16"/>
              </w:rPr>
            </w:pPr>
            <w:r w:rsidRPr="00A51372">
              <w:rPr>
                <w:rFonts w:ascii="Arial" w:hAnsi="Arial" w:cs="Arial"/>
                <w:sz w:val="16"/>
                <w:szCs w:val="16"/>
              </w:rPr>
              <w:t>987</w:t>
            </w:r>
          </w:p>
        </w:tc>
        <w:tc>
          <w:tcPr>
            <w:tcW w:w="901" w:type="dxa"/>
            <w:tcBorders>
              <w:top w:val="nil"/>
              <w:left w:val="nil"/>
              <w:bottom w:val="nil"/>
              <w:right w:val="nil"/>
            </w:tcBorders>
            <w:shd w:val="clear" w:color="000000" w:fill="E6E6E6"/>
            <w:noWrap/>
            <w:vAlign w:val="bottom"/>
            <w:hideMark/>
          </w:tcPr>
          <w:p w14:paraId="44FF118B" w14:textId="708FC3AA" w:rsidR="00D4130C" w:rsidRPr="00A51372" w:rsidRDefault="00D4130C" w:rsidP="00D4130C">
            <w:pPr>
              <w:spacing w:after="0" w:line="240" w:lineRule="auto"/>
              <w:jc w:val="right"/>
              <w:rPr>
                <w:rFonts w:ascii="Arial" w:hAnsi="Arial" w:cs="Arial"/>
                <w:sz w:val="16"/>
                <w:szCs w:val="16"/>
              </w:rPr>
            </w:pPr>
            <w:r w:rsidRPr="00A51372">
              <w:rPr>
                <w:rFonts w:ascii="Arial" w:hAnsi="Arial" w:cs="Arial"/>
                <w:sz w:val="16"/>
                <w:szCs w:val="16"/>
              </w:rPr>
              <w:t>1,000</w:t>
            </w:r>
          </w:p>
        </w:tc>
        <w:tc>
          <w:tcPr>
            <w:tcW w:w="901" w:type="dxa"/>
            <w:tcBorders>
              <w:top w:val="nil"/>
              <w:left w:val="nil"/>
              <w:bottom w:val="nil"/>
              <w:right w:val="nil"/>
            </w:tcBorders>
            <w:shd w:val="clear" w:color="auto" w:fill="auto"/>
            <w:noWrap/>
            <w:vAlign w:val="bottom"/>
            <w:hideMark/>
          </w:tcPr>
          <w:p w14:paraId="0850D6FE" w14:textId="56523D1A" w:rsidR="00D4130C" w:rsidRPr="00A51372" w:rsidRDefault="00D4130C" w:rsidP="00D4130C">
            <w:pPr>
              <w:spacing w:after="0" w:line="240" w:lineRule="auto"/>
              <w:jc w:val="right"/>
              <w:rPr>
                <w:rFonts w:ascii="Arial" w:hAnsi="Arial" w:cs="Arial"/>
                <w:sz w:val="16"/>
                <w:szCs w:val="16"/>
              </w:rPr>
            </w:pPr>
            <w:r w:rsidRPr="00A51372">
              <w:rPr>
                <w:rFonts w:ascii="Arial" w:hAnsi="Arial" w:cs="Arial"/>
                <w:sz w:val="16"/>
                <w:szCs w:val="16"/>
              </w:rPr>
              <w:t>1,000</w:t>
            </w:r>
          </w:p>
        </w:tc>
        <w:tc>
          <w:tcPr>
            <w:tcW w:w="901" w:type="dxa"/>
            <w:tcBorders>
              <w:top w:val="nil"/>
              <w:left w:val="nil"/>
              <w:bottom w:val="nil"/>
              <w:right w:val="nil"/>
            </w:tcBorders>
            <w:shd w:val="clear" w:color="auto" w:fill="auto"/>
            <w:noWrap/>
            <w:vAlign w:val="bottom"/>
            <w:hideMark/>
          </w:tcPr>
          <w:p w14:paraId="20548B6B" w14:textId="2BFF0176" w:rsidR="00D4130C" w:rsidRPr="00A51372" w:rsidRDefault="00D4130C" w:rsidP="00D4130C">
            <w:pPr>
              <w:spacing w:after="0" w:line="240" w:lineRule="auto"/>
              <w:jc w:val="right"/>
              <w:rPr>
                <w:rFonts w:ascii="Arial" w:hAnsi="Arial" w:cs="Arial"/>
                <w:sz w:val="16"/>
                <w:szCs w:val="16"/>
              </w:rPr>
            </w:pPr>
            <w:r w:rsidRPr="00A51372">
              <w:rPr>
                <w:rFonts w:ascii="Arial" w:hAnsi="Arial" w:cs="Arial"/>
                <w:sz w:val="16"/>
                <w:szCs w:val="16"/>
              </w:rPr>
              <w:t>1,000</w:t>
            </w:r>
          </w:p>
        </w:tc>
        <w:tc>
          <w:tcPr>
            <w:tcW w:w="901" w:type="dxa"/>
            <w:tcBorders>
              <w:top w:val="nil"/>
              <w:left w:val="nil"/>
              <w:bottom w:val="nil"/>
              <w:right w:val="nil"/>
            </w:tcBorders>
            <w:shd w:val="clear" w:color="auto" w:fill="auto"/>
            <w:noWrap/>
            <w:vAlign w:val="bottom"/>
            <w:hideMark/>
          </w:tcPr>
          <w:p w14:paraId="667543BD" w14:textId="70E7DEBC" w:rsidR="00D4130C" w:rsidRPr="00A51372" w:rsidRDefault="00D4130C" w:rsidP="00D4130C">
            <w:pPr>
              <w:spacing w:after="0" w:line="240" w:lineRule="auto"/>
              <w:jc w:val="right"/>
              <w:rPr>
                <w:rFonts w:ascii="Arial" w:hAnsi="Arial" w:cs="Arial"/>
                <w:sz w:val="16"/>
                <w:szCs w:val="16"/>
              </w:rPr>
            </w:pPr>
            <w:r w:rsidRPr="00A51372">
              <w:rPr>
                <w:rFonts w:ascii="Arial" w:hAnsi="Arial" w:cs="Arial"/>
                <w:sz w:val="16"/>
                <w:szCs w:val="16"/>
              </w:rPr>
              <w:t>1,000</w:t>
            </w:r>
          </w:p>
        </w:tc>
      </w:tr>
      <w:tr w:rsidR="00D4130C" w:rsidRPr="00A51372" w14:paraId="5CBFC8B2" w14:textId="77777777" w:rsidTr="00D4130C">
        <w:trPr>
          <w:trHeight w:val="204"/>
        </w:trPr>
        <w:tc>
          <w:tcPr>
            <w:tcW w:w="3176" w:type="dxa"/>
            <w:tcBorders>
              <w:top w:val="nil"/>
              <w:left w:val="nil"/>
              <w:bottom w:val="nil"/>
              <w:right w:val="nil"/>
            </w:tcBorders>
            <w:shd w:val="clear" w:color="auto" w:fill="auto"/>
            <w:noWrap/>
            <w:vAlign w:val="bottom"/>
            <w:hideMark/>
          </w:tcPr>
          <w:p w14:paraId="17E62E83" w14:textId="77777777" w:rsidR="00D4130C" w:rsidRPr="00A51372" w:rsidRDefault="00D4130C" w:rsidP="00D4130C">
            <w:pPr>
              <w:spacing w:after="0" w:line="240" w:lineRule="auto"/>
              <w:jc w:val="left"/>
              <w:rPr>
                <w:rFonts w:ascii="Arial" w:hAnsi="Arial" w:cs="Arial"/>
                <w:b/>
                <w:bCs/>
                <w:sz w:val="16"/>
                <w:szCs w:val="16"/>
              </w:rPr>
            </w:pPr>
            <w:r w:rsidRPr="00A51372">
              <w:rPr>
                <w:rFonts w:ascii="Arial" w:hAnsi="Arial" w:cs="Arial"/>
                <w:b/>
                <w:bCs/>
                <w:sz w:val="16"/>
                <w:szCs w:val="16"/>
              </w:rPr>
              <w:t>Total own-source revenue</w:t>
            </w:r>
          </w:p>
        </w:tc>
        <w:tc>
          <w:tcPr>
            <w:tcW w:w="901" w:type="dxa"/>
            <w:tcBorders>
              <w:top w:val="single" w:sz="4" w:space="0" w:color="auto"/>
              <w:left w:val="nil"/>
              <w:bottom w:val="single" w:sz="4" w:space="0" w:color="auto"/>
              <w:right w:val="nil"/>
            </w:tcBorders>
            <w:shd w:val="clear" w:color="auto" w:fill="auto"/>
            <w:noWrap/>
            <w:vAlign w:val="bottom"/>
            <w:hideMark/>
          </w:tcPr>
          <w:p w14:paraId="7493030C" w14:textId="0A58CE75"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12,110</w:t>
            </w:r>
          </w:p>
        </w:tc>
        <w:tc>
          <w:tcPr>
            <w:tcW w:w="901" w:type="dxa"/>
            <w:tcBorders>
              <w:top w:val="single" w:sz="4" w:space="0" w:color="auto"/>
              <w:left w:val="nil"/>
              <w:bottom w:val="single" w:sz="4" w:space="0" w:color="auto"/>
              <w:right w:val="nil"/>
            </w:tcBorders>
            <w:shd w:val="clear" w:color="000000" w:fill="E6E6E6"/>
            <w:noWrap/>
            <w:vAlign w:val="bottom"/>
            <w:hideMark/>
          </w:tcPr>
          <w:p w14:paraId="46E8CAAF" w14:textId="0BF5113C"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10,050</w:t>
            </w:r>
          </w:p>
        </w:tc>
        <w:tc>
          <w:tcPr>
            <w:tcW w:w="901" w:type="dxa"/>
            <w:tcBorders>
              <w:top w:val="single" w:sz="4" w:space="0" w:color="auto"/>
              <w:left w:val="nil"/>
              <w:bottom w:val="single" w:sz="4" w:space="0" w:color="auto"/>
              <w:right w:val="nil"/>
            </w:tcBorders>
            <w:shd w:val="clear" w:color="auto" w:fill="auto"/>
            <w:noWrap/>
            <w:vAlign w:val="bottom"/>
            <w:hideMark/>
          </w:tcPr>
          <w:p w14:paraId="6BB487FE" w14:textId="53A2DD26"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34,670</w:t>
            </w:r>
          </w:p>
        </w:tc>
        <w:tc>
          <w:tcPr>
            <w:tcW w:w="901" w:type="dxa"/>
            <w:tcBorders>
              <w:top w:val="single" w:sz="4" w:space="0" w:color="auto"/>
              <w:left w:val="nil"/>
              <w:bottom w:val="single" w:sz="4" w:space="0" w:color="auto"/>
              <w:right w:val="nil"/>
            </w:tcBorders>
            <w:shd w:val="clear" w:color="auto" w:fill="auto"/>
            <w:noWrap/>
            <w:vAlign w:val="bottom"/>
            <w:hideMark/>
          </w:tcPr>
          <w:p w14:paraId="07D2151C" w14:textId="2A0AD70B"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35,160</w:t>
            </w:r>
          </w:p>
        </w:tc>
        <w:tc>
          <w:tcPr>
            <w:tcW w:w="901" w:type="dxa"/>
            <w:tcBorders>
              <w:top w:val="single" w:sz="4" w:space="0" w:color="auto"/>
              <w:left w:val="nil"/>
              <w:bottom w:val="single" w:sz="4" w:space="0" w:color="auto"/>
              <w:right w:val="nil"/>
            </w:tcBorders>
            <w:shd w:val="clear" w:color="auto" w:fill="auto"/>
            <w:noWrap/>
            <w:vAlign w:val="bottom"/>
            <w:hideMark/>
          </w:tcPr>
          <w:p w14:paraId="21809423" w14:textId="7CE88B79"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37,490</w:t>
            </w:r>
          </w:p>
        </w:tc>
      </w:tr>
      <w:tr w:rsidR="00D4130C" w:rsidRPr="00A51372" w14:paraId="7FCF66A2" w14:textId="77777777" w:rsidTr="00D4130C">
        <w:trPr>
          <w:trHeight w:val="204"/>
        </w:trPr>
        <w:tc>
          <w:tcPr>
            <w:tcW w:w="3176" w:type="dxa"/>
            <w:tcBorders>
              <w:top w:val="nil"/>
              <w:left w:val="nil"/>
              <w:bottom w:val="nil"/>
              <w:right w:val="nil"/>
            </w:tcBorders>
            <w:shd w:val="clear" w:color="auto" w:fill="auto"/>
            <w:noWrap/>
            <w:vAlign w:val="bottom"/>
            <w:hideMark/>
          </w:tcPr>
          <w:p w14:paraId="44834787" w14:textId="77777777" w:rsidR="00D4130C" w:rsidRPr="00A51372" w:rsidRDefault="00D4130C" w:rsidP="00D4130C">
            <w:pPr>
              <w:spacing w:after="0" w:line="240" w:lineRule="auto"/>
              <w:jc w:val="left"/>
              <w:rPr>
                <w:rFonts w:ascii="Arial" w:hAnsi="Arial" w:cs="Arial"/>
                <w:b/>
                <w:bCs/>
                <w:sz w:val="16"/>
                <w:szCs w:val="16"/>
              </w:rPr>
            </w:pPr>
            <w:r w:rsidRPr="00A51372">
              <w:rPr>
                <w:rFonts w:ascii="Arial" w:hAnsi="Arial" w:cs="Arial"/>
                <w:b/>
                <w:bCs/>
                <w:sz w:val="16"/>
                <w:szCs w:val="16"/>
              </w:rPr>
              <w:t>Total own-source income</w:t>
            </w:r>
          </w:p>
        </w:tc>
        <w:tc>
          <w:tcPr>
            <w:tcW w:w="901" w:type="dxa"/>
            <w:tcBorders>
              <w:top w:val="single" w:sz="4" w:space="0" w:color="auto"/>
              <w:left w:val="nil"/>
              <w:bottom w:val="single" w:sz="4" w:space="0" w:color="auto"/>
              <w:right w:val="nil"/>
            </w:tcBorders>
            <w:shd w:val="clear" w:color="auto" w:fill="auto"/>
            <w:noWrap/>
            <w:vAlign w:val="bottom"/>
            <w:hideMark/>
          </w:tcPr>
          <w:p w14:paraId="7B5BF156" w14:textId="003B8FEE"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12,110</w:t>
            </w:r>
          </w:p>
        </w:tc>
        <w:tc>
          <w:tcPr>
            <w:tcW w:w="901" w:type="dxa"/>
            <w:tcBorders>
              <w:top w:val="single" w:sz="4" w:space="0" w:color="auto"/>
              <w:left w:val="nil"/>
              <w:bottom w:val="single" w:sz="4" w:space="0" w:color="auto"/>
              <w:right w:val="nil"/>
            </w:tcBorders>
            <w:shd w:val="clear" w:color="000000" w:fill="E6E6E6"/>
            <w:noWrap/>
            <w:vAlign w:val="bottom"/>
            <w:hideMark/>
          </w:tcPr>
          <w:p w14:paraId="114674A5" w14:textId="080D5164"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10,050</w:t>
            </w:r>
          </w:p>
        </w:tc>
        <w:tc>
          <w:tcPr>
            <w:tcW w:w="901" w:type="dxa"/>
            <w:tcBorders>
              <w:top w:val="single" w:sz="4" w:space="0" w:color="auto"/>
              <w:left w:val="nil"/>
              <w:bottom w:val="single" w:sz="4" w:space="0" w:color="auto"/>
              <w:right w:val="nil"/>
            </w:tcBorders>
            <w:shd w:val="clear" w:color="auto" w:fill="auto"/>
            <w:noWrap/>
            <w:vAlign w:val="bottom"/>
            <w:hideMark/>
          </w:tcPr>
          <w:p w14:paraId="56F58FEB" w14:textId="01F81817"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34,670</w:t>
            </w:r>
          </w:p>
        </w:tc>
        <w:tc>
          <w:tcPr>
            <w:tcW w:w="901" w:type="dxa"/>
            <w:tcBorders>
              <w:top w:val="single" w:sz="4" w:space="0" w:color="auto"/>
              <w:left w:val="nil"/>
              <w:bottom w:val="single" w:sz="4" w:space="0" w:color="auto"/>
              <w:right w:val="nil"/>
            </w:tcBorders>
            <w:shd w:val="clear" w:color="auto" w:fill="auto"/>
            <w:noWrap/>
            <w:vAlign w:val="bottom"/>
            <w:hideMark/>
          </w:tcPr>
          <w:p w14:paraId="259F0A22" w14:textId="25C0D309"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35,160</w:t>
            </w:r>
          </w:p>
        </w:tc>
        <w:tc>
          <w:tcPr>
            <w:tcW w:w="901" w:type="dxa"/>
            <w:tcBorders>
              <w:top w:val="single" w:sz="4" w:space="0" w:color="auto"/>
              <w:left w:val="nil"/>
              <w:bottom w:val="single" w:sz="4" w:space="0" w:color="auto"/>
              <w:right w:val="nil"/>
            </w:tcBorders>
            <w:shd w:val="clear" w:color="auto" w:fill="auto"/>
            <w:noWrap/>
            <w:vAlign w:val="bottom"/>
            <w:hideMark/>
          </w:tcPr>
          <w:p w14:paraId="61547312" w14:textId="716CBCB1"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37,490</w:t>
            </w:r>
          </w:p>
        </w:tc>
      </w:tr>
      <w:tr w:rsidR="00D4130C" w:rsidRPr="00A51372" w14:paraId="2D4FCF95" w14:textId="77777777" w:rsidTr="00D4130C">
        <w:trPr>
          <w:trHeight w:val="204"/>
        </w:trPr>
        <w:tc>
          <w:tcPr>
            <w:tcW w:w="3176" w:type="dxa"/>
            <w:tcBorders>
              <w:top w:val="nil"/>
              <w:left w:val="nil"/>
              <w:bottom w:val="nil"/>
              <w:right w:val="nil"/>
            </w:tcBorders>
            <w:shd w:val="clear" w:color="auto" w:fill="auto"/>
            <w:vAlign w:val="center"/>
            <w:hideMark/>
          </w:tcPr>
          <w:p w14:paraId="52A140AC" w14:textId="073C567D" w:rsidR="00D4130C" w:rsidRPr="00A51372" w:rsidRDefault="00D4130C" w:rsidP="00D4130C">
            <w:pPr>
              <w:spacing w:after="0" w:line="240" w:lineRule="auto"/>
              <w:jc w:val="left"/>
              <w:rPr>
                <w:rFonts w:ascii="Arial" w:hAnsi="Arial" w:cs="Arial"/>
                <w:b/>
                <w:bCs/>
                <w:color w:val="000000"/>
                <w:sz w:val="16"/>
                <w:szCs w:val="16"/>
              </w:rPr>
            </w:pPr>
            <w:r w:rsidRPr="00A51372">
              <w:rPr>
                <w:rFonts w:ascii="Arial" w:hAnsi="Arial" w:cs="Arial"/>
                <w:b/>
                <w:bCs/>
                <w:color w:val="000000"/>
                <w:sz w:val="16"/>
                <w:szCs w:val="16"/>
              </w:rPr>
              <w:t>Net (cost of)/contribution by</w:t>
            </w:r>
            <w:r>
              <w:rPr>
                <w:rFonts w:ascii="Arial" w:hAnsi="Arial" w:cs="Arial"/>
                <w:b/>
                <w:bCs/>
                <w:color w:val="000000"/>
                <w:sz w:val="16"/>
                <w:szCs w:val="16"/>
              </w:rPr>
              <w:t xml:space="preserve"> </w:t>
            </w:r>
            <w:r w:rsidRPr="00A51372">
              <w:rPr>
                <w:rFonts w:ascii="Arial" w:hAnsi="Arial" w:cs="Arial"/>
                <w:b/>
                <w:bCs/>
                <w:color w:val="000000"/>
                <w:sz w:val="16"/>
                <w:szCs w:val="16"/>
              </w:rPr>
              <w:t>services</w:t>
            </w:r>
          </w:p>
        </w:tc>
        <w:tc>
          <w:tcPr>
            <w:tcW w:w="901" w:type="dxa"/>
            <w:tcBorders>
              <w:top w:val="nil"/>
              <w:left w:val="nil"/>
              <w:bottom w:val="single" w:sz="4" w:space="0" w:color="auto"/>
              <w:right w:val="nil"/>
            </w:tcBorders>
            <w:shd w:val="clear" w:color="auto" w:fill="auto"/>
            <w:noWrap/>
            <w:vAlign w:val="bottom"/>
            <w:hideMark/>
          </w:tcPr>
          <w:p w14:paraId="0F3AEF03" w14:textId="77777777"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(180,938)</w:t>
            </w:r>
          </w:p>
        </w:tc>
        <w:tc>
          <w:tcPr>
            <w:tcW w:w="901" w:type="dxa"/>
            <w:tcBorders>
              <w:top w:val="nil"/>
              <w:left w:val="nil"/>
              <w:bottom w:val="single" w:sz="4" w:space="0" w:color="auto"/>
              <w:right w:val="nil"/>
            </w:tcBorders>
            <w:shd w:val="clear" w:color="000000" w:fill="E6E6E6"/>
            <w:noWrap/>
            <w:vAlign w:val="bottom"/>
            <w:hideMark/>
          </w:tcPr>
          <w:p w14:paraId="62F00879" w14:textId="77777777"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(207,382)</w:t>
            </w:r>
          </w:p>
        </w:tc>
        <w:tc>
          <w:tcPr>
            <w:tcW w:w="901" w:type="dxa"/>
            <w:tcBorders>
              <w:top w:val="nil"/>
              <w:left w:val="nil"/>
              <w:bottom w:val="single" w:sz="4" w:space="0" w:color="auto"/>
              <w:right w:val="nil"/>
            </w:tcBorders>
            <w:shd w:val="clear" w:color="auto" w:fill="auto"/>
            <w:noWrap/>
            <w:vAlign w:val="bottom"/>
            <w:hideMark/>
          </w:tcPr>
          <w:p w14:paraId="2D82079D" w14:textId="77777777"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(181,030)</w:t>
            </w:r>
          </w:p>
        </w:tc>
        <w:tc>
          <w:tcPr>
            <w:tcW w:w="901" w:type="dxa"/>
            <w:tcBorders>
              <w:top w:val="nil"/>
              <w:left w:val="nil"/>
              <w:bottom w:val="single" w:sz="4" w:space="0" w:color="auto"/>
              <w:right w:val="nil"/>
            </w:tcBorders>
            <w:shd w:val="clear" w:color="auto" w:fill="auto"/>
            <w:noWrap/>
            <w:vAlign w:val="bottom"/>
            <w:hideMark/>
          </w:tcPr>
          <w:p w14:paraId="706ADCF6" w14:textId="77777777"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(185,540)</w:t>
            </w:r>
          </w:p>
        </w:tc>
        <w:tc>
          <w:tcPr>
            <w:tcW w:w="901" w:type="dxa"/>
            <w:tcBorders>
              <w:top w:val="nil"/>
              <w:left w:val="nil"/>
              <w:bottom w:val="single" w:sz="4" w:space="0" w:color="auto"/>
              <w:right w:val="nil"/>
            </w:tcBorders>
            <w:shd w:val="clear" w:color="auto" w:fill="auto"/>
            <w:noWrap/>
            <w:vAlign w:val="bottom"/>
            <w:hideMark/>
          </w:tcPr>
          <w:p w14:paraId="4EABBBC8" w14:textId="77777777"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(189,710)</w:t>
            </w:r>
          </w:p>
        </w:tc>
      </w:tr>
      <w:tr w:rsidR="00D4130C" w:rsidRPr="00A51372" w14:paraId="6439FB1B" w14:textId="77777777" w:rsidTr="00D4130C">
        <w:trPr>
          <w:trHeight w:val="204"/>
        </w:trPr>
        <w:tc>
          <w:tcPr>
            <w:tcW w:w="3176" w:type="dxa"/>
            <w:tcBorders>
              <w:top w:val="nil"/>
              <w:left w:val="nil"/>
              <w:bottom w:val="nil"/>
              <w:right w:val="nil"/>
            </w:tcBorders>
            <w:shd w:val="clear" w:color="auto" w:fill="auto"/>
            <w:noWrap/>
            <w:vAlign w:val="bottom"/>
            <w:hideMark/>
          </w:tcPr>
          <w:p w14:paraId="69DB5E7E" w14:textId="77777777" w:rsidR="00D4130C" w:rsidRPr="00A51372" w:rsidRDefault="00D4130C" w:rsidP="00D4130C">
            <w:pPr>
              <w:spacing w:after="0" w:line="240" w:lineRule="auto"/>
              <w:ind w:left="113"/>
              <w:jc w:val="left"/>
              <w:rPr>
                <w:rFonts w:ascii="Arial" w:hAnsi="Arial" w:cs="Arial"/>
                <w:sz w:val="16"/>
                <w:szCs w:val="16"/>
              </w:rPr>
            </w:pPr>
            <w:r w:rsidRPr="00A51372">
              <w:rPr>
                <w:rFonts w:ascii="Arial" w:hAnsi="Arial" w:cs="Arial"/>
                <w:sz w:val="16"/>
                <w:szCs w:val="16"/>
              </w:rPr>
              <w:t>Revenue from Government</w:t>
            </w:r>
          </w:p>
        </w:tc>
        <w:tc>
          <w:tcPr>
            <w:tcW w:w="901" w:type="dxa"/>
            <w:tcBorders>
              <w:top w:val="nil"/>
              <w:left w:val="nil"/>
              <w:bottom w:val="single" w:sz="4" w:space="0" w:color="auto"/>
              <w:right w:val="nil"/>
            </w:tcBorders>
            <w:shd w:val="clear" w:color="auto" w:fill="auto"/>
            <w:noWrap/>
            <w:vAlign w:val="bottom"/>
            <w:hideMark/>
          </w:tcPr>
          <w:p w14:paraId="1FC50009" w14:textId="738FB3A1" w:rsidR="00D4130C" w:rsidRPr="0040418E" w:rsidRDefault="00D4130C" w:rsidP="00D4130C">
            <w:pPr>
              <w:spacing w:after="0" w:line="240" w:lineRule="auto"/>
              <w:jc w:val="right"/>
              <w:rPr>
                <w:rFonts w:ascii="Arial" w:hAnsi="Arial" w:cs="Arial"/>
                <w:bCs/>
                <w:sz w:val="16"/>
                <w:szCs w:val="16"/>
              </w:rPr>
            </w:pPr>
            <w:r w:rsidRPr="0040418E">
              <w:rPr>
                <w:rFonts w:ascii="Arial" w:hAnsi="Arial" w:cs="Arial"/>
                <w:bCs/>
                <w:sz w:val="16"/>
                <w:szCs w:val="16"/>
              </w:rPr>
              <w:t>197,144</w:t>
            </w:r>
          </w:p>
        </w:tc>
        <w:tc>
          <w:tcPr>
            <w:tcW w:w="901" w:type="dxa"/>
            <w:tcBorders>
              <w:top w:val="nil"/>
              <w:left w:val="nil"/>
              <w:bottom w:val="single" w:sz="4" w:space="0" w:color="auto"/>
              <w:right w:val="nil"/>
            </w:tcBorders>
            <w:shd w:val="clear" w:color="000000" w:fill="E6E6E6"/>
            <w:noWrap/>
            <w:vAlign w:val="bottom"/>
            <w:hideMark/>
          </w:tcPr>
          <w:p w14:paraId="639F2133" w14:textId="6AEB25E4" w:rsidR="00D4130C" w:rsidRPr="0040418E" w:rsidRDefault="00D4130C" w:rsidP="00D4130C">
            <w:pPr>
              <w:spacing w:after="0" w:line="240" w:lineRule="auto"/>
              <w:jc w:val="right"/>
              <w:rPr>
                <w:rFonts w:ascii="Arial" w:hAnsi="Arial" w:cs="Arial"/>
                <w:bCs/>
                <w:sz w:val="16"/>
                <w:szCs w:val="16"/>
              </w:rPr>
            </w:pPr>
            <w:r w:rsidRPr="0040418E">
              <w:rPr>
                <w:rFonts w:ascii="Arial" w:hAnsi="Arial" w:cs="Arial"/>
                <w:bCs/>
                <w:sz w:val="16"/>
                <w:szCs w:val="16"/>
              </w:rPr>
              <w:t>207,382</w:t>
            </w:r>
          </w:p>
        </w:tc>
        <w:tc>
          <w:tcPr>
            <w:tcW w:w="901" w:type="dxa"/>
            <w:tcBorders>
              <w:top w:val="nil"/>
              <w:left w:val="nil"/>
              <w:bottom w:val="single" w:sz="4" w:space="0" w:color="auto"/>
              <w:right w:val="nil"/>
            </w:tcBorders>
            <w:shd w:val="clear" w:color="auto" w:fill="auto"/>
            <w:noWrap/>
            <w:vAlign w:val="bottom"/>
            <w:hideMark/>
          </w:tcPr>
          <w:p w14:paraId="6AC989C0" w14:textId="5A198626" w:rsidR="00D4130C" w:rsidRPr="0040418E" w:rsidRDefault="00D4130C" w:rsidP="00D4130C">
            <w:pPr>
              <w:spacing w:after="0" w:line="240" w:lineRule="auto"/>
              <w:jc w:val="right"/>
              <w:rPr>
                <w:rFonts w:ascii="Arial" w:hAnsi="Arial" w:cs="Arial"/>
                <w:bCs/>
                <w:sz w:val="16"/>
                <w:szCs w:val="16"/>
              </w:rPr>
            </w:pPr>
            <w:r w:rsidRPr="0040418E">
              <w:rPr>
                <w:rFonts w:ascii="Arial" w:hAnsi="Arial" w:cs="Arial"/>
                <w:bCs/>
                <w:sz w:val="16"/>
                <w:szCs w:val="16"/>
              </w:rPr>
              <w:t>180,209</w:t>
            </w:r>
          </w:p>
        </w:tc>
        <w:tc>
          <w:tcPr>
            <w:tcW w:w="901" w:type="dxa"/>
            <w:tcBorders>
              <w:top w:val="nil"/>
              <w:left w:val="nil"/>
              <w:bottom w:val="single" w:sz="4" w:space="0" w:color="auto"/>
              <w:right w:val="nil"/>
            </w:tcBorders>
            <w:shd w:val="clear" w:color="auto" w:fill="auto"/>
            <w:noWrap/>
            <w:vAlign w:val="bottom"/>
            <w:hideMark/>
          </w:tcPr>
          <w:p w14:paraId="50B67DFD" w14:textId="203C566B" w:rsidR="00D4130C" w:rsidRPr="0040418E" w:rsidRDefault="00D4130C" w:rsidP="00D4130C">
            <w:pPr>
              <w:spacing w:after="0" w:line="240" w:lineRule="auto"/>
              <w:jc w:val="right"/>
              <w:rPr>
                <w:rFonts w:ascii="Arial" w:hAnsi="Arial" w:cs="Arial"/>
                <w:bCs/>
                <w:sz w:val="16"/>
                <w:szCs w:val="16"/>
              </w:rPr>
            </w:pPr>
            <w:r w:rsidRPr="0040418E">
              <w:rPr>
                <w:rFonts w:ascii="Arial" w:hAnsi="Arial" w:cs="Arial"/>
                <w:bCs/>
                <w:sz w:val="16"/>
                <w:szCs w:val="16"/>
              </w:rPr>
              <w:t>181,083</w:t>
            </w:r>
          </w:p>
        </w:tc>
        <w:tc>
          <w:tcPr>
            <w:tcW w:w="901" w:type="dxa"/>
            <w:tcBorders>
              <w:top w:val="nil"/>
              <w:left w:val="nil"/>
              <w:bottom w:val="single" w:sz="4" w:space="0" w:color="auto"/>
              <w:right w:val="nil"/>
            </w:tcBorders>
            <w:shd w:val="clear" w:color="auto" w:fill="auto"/>
            <w:noWrap/>
            <w:vAlign w:val="bottom"/>
            <w:hideMark/>
          </w:tcPr>
          <w:p w14:paraId="040C3AD7" w14:textId="45CC0EF4" w:rsidR="00D4130C" w:rsidRPr="0040418E" w:rsidRDefault="00D4130C" w:rsidP="00D4130C">
            <w:pPr>
              <w:spacing w:after="0" w:line="240" w:lineRule="auto"/>
              <w:jc w:val="right"/>
              <w:rPr>
                <w:rFonts w:ascii="Arial" w:hAnsi="Arial" w:cs="Arial"/>
                <w:bCs/>
                <w:sz w:val="16"/>
                <w:szCs w:val="16"/>
              </w:rPr>
            </w:pPr>
            <w:r w:rsidRPr="0040418E">
              <w:rPr>
                <w:rFonts w:ascii="Arial" w:hAnsi="Arial" w:cs="Arial"/>
                <w:bCs/>
                <w:sz w:val="16"/>
                <w:szCs w:val="16"/>
              </w:rPr>
              <w:t>153,603</w:t>
            </w:r>
          </w:p>
        </w:tc>
      </w:tr>
      <w:tr w:rsidR="00D4130C" w:rsidRPr="00A51372" w14:paraId="726DAB2A" w14:textId="77777777" w:rsidTr="00D4130C">
        <w:trPr>
          <w:trHeight w:val="204"/>
        </w:trPr>
        <w:tc>
          <w:tcPr>
            <w:tcW w:w="3176" w:type="dxa"/>
            <w:tcBorders>
              <w:top w:val="nil"/>
              <w:left w:val="nil"/>
              <w:bottom w:val="nil"/>
              <w:right w:val="nil"/>
            </w:tcBorders>
            <w:shd w:val="clear" w:color="auto" w:fill="auto"/>
            <w:vAlign w:val="bottom"/>
            <w:hideMark/>
          </w:tcPr>
          <w:p w14:paraId="1F633312" w14:textId="39BAD44F" w:rsidR="00D4130C" w:rsidRPr="00A51372" w:rsidRDefault="00D4130C" w:rsidP="00D4130C">
            <w:pPr>
              <w:spacing w:after="0" w:line="240" w:lineRule="auto"/>
              <w:jc w:val="left"/>
              <w:rPr>
                <w:rFonts w:ascii="Arial" w:hAnsi="Arial" w:cs="Arial"/>
                <w:b/>
                <w:bCs/>
                <w:sz w:val="16"/>
                <w:szCs w:val="16"/>
              </w:rPr>
            </w:pPr>
            <w:r w:rsidRPr="00A51372">
              <w:rPr>
                <w:rFonts w:ascii="Arial" w:hAnsi="Arial" w:cs="Arial"/>
                <w:b/>
                <w:bCs/>
                <w:sz w:val="16"/>
                <w:szCs w:val="16"/>
              </w:rPr>
              <w:t>Surplus/(deficit) attributable to the</w:t>
            </w:r>
            <w:r>
              <w:rPr>
                <w:rFonts w:ascii="Arial" w:hAnsi="Arial" w:cs="Arial"/>
                <w:b/>
                <w:bCs/>
                <w:sz w:val="16"/>
                <w:szCs w:val="16"/>
              </w:rPr>
              <w:t xml:space="preserve"> </w:t>
            </w:r>
            <w:r w:rsidRPr="00A51372">
              <w:rPr>
                <w:rFonts w:ascii="Arial" w:hAnsi="Arial" w:cs="Arial"/>
                <w:b/>
                <w:bCs/>
                <w:sz w:val="16"/>
                <w:szCs w:val="16"/>
              </w:rPr>
              <w:t>Australian Government</w:t>
            </w:r>
          </w:p>
        </w:tc>
        <w:tc>
          <w:tcPr>
            <w:tcW w:w="901" w:type="dxa"/>
            <w:tcBorders>
              <w:top w:val="nil"/>
              <w:left w:val="nil"/>
              <w:bottom w:val="single" w:sz="4" w:space="0" w:color="auto"/>
              <w:right w:val="nil"/>
            </w:tcBorders>
            <w:shd w:val="clear" w:color="auto" w:fill="auto"/>
            <w:noWrap/>
            <w:vAlign w:val="bottom"/>
            <w:hideMark/>
          </w:tcPr>
          <w:p w14:paraId="3BAB0179" w14:textId="40667671"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16,206</w:t>
            </w:r>
          </w:p>
        </w:tc>
        <w:tc>
          <w:tcPr>
            <w:tcW w:w="901" w:type="dxa"/>
            <w:tcBorders>
              <w:top w:val="nil"/>
              <w:left w:val="nil"/>
              <w:bottom w:val="single" w:sz="4" w:space="0" w:color="auto"/>
              <w:right w:val="nil"/>
            </w:tcBorders>
            <w:shd w:val="clear" w:color="000000" w:fill="E6E6E6"/>
            <w:noWrap/>
            <w:vAlign w:val="bottom"/>
            <w:hideMark/>
          </w:tcPr>
          <w:p w14:paraId="2A6440D2" w14:textId="35DA91B0"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w:t>
            </w:r>
          </w:p>
        </w:tc>
        <w:tc>
          <w:tcPr>
            <w:tcW w:w="901" w:type="dxa"/>
            <w:tcBorders>
              <w:top w:val="nil"/>
              <w:left w:val="nil"/>
              <w:bottom w:val="single" w:sz="4" w:space="0" w:color="auto"/>
              <w:right w:val="nil"/>
            </w:tcBorders>
            <w:shd w:val="clear" w:color="auto" w:fill="auto"/>
            <w:noWrap/>
            <w:vAlign w:val="bottom"/>
            <w:hideMark/>
          </w:tcPr>
          <w:p w14:paraId="6317852A" w14:textId="77777777"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(821)</w:t>
            </w:r>
          </w:p>
        </w:tc>
        <w:tc>
          <w:tcPr>
            <w:tcW w:w="901" w:type="dxa"/>
            <w:tcBorders>
              <w:top w:val="nil"/>
              <w:left w:val="nil"/>
              <w:bottom w:val="single" w:sz="4" w:space="0" w:color="auto"/>
              <w:right w:val="nil"/>
            </w:tcBorders>
            <w:shd w:val="clear" w:color="auto" w:fill="auto"/>
            <w:noWrap/>
            <w:vAlign w:val="bottom"/>
            <w:hideMark/>
          </w:tcPr>
          <w:p w14:paraId="185C8409" w14:textId="77777777"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(4,457)</w:t>
            </w:r>
          </w:p>
        </w:tc>
        <w:tc>
          <w:tcPr>
            <w:tcW w:w="901" w:type="dxa"/>
            <w:tcBorders>
              <w:top w:val="nil"/>
              <w:left w:val="nil"/>
              <w:bottom w:val="single" w:sz="4" w:space="0" w:color="auto"/>
              <w:right w:val="nil"/>
            </w:tcBorders>
            <w:shd w:val="clear" w:color="auto" w:fill="auto"/>
            <w:noWrap/>
            <w:vAlign w:val="bottom"/>
            <w:hideMark/>
          </w:tcPr>
          <w:p w14:paraId="304216B3" w14:textId="77777777"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(36,107)</w:t>
            </w:r>
          </w:p>
        </w:tc>
      </w:tr>
      <w:tr w:rsidR="00D4130C" w:rsidRPr="00A51372" w14:paraId="5555C47D" w14:textId="77777777" w:rsidTr="0040418E">
        <w:trPr>
          <w:trHeight w:val="204"/>
        </w:trPr>
        <w:tc>
          <w:tcPr>
            <w:tcW w:w="3176" w:type="dxa"/>
            <w:tcBorders>
              <w:top w:val="nil"/>
              <w:left w:val="nil"/>
              <w:bottom w:val="nil"/>
              <w:right w:val="nil"/>
            </w:tcBorders>
            <w:shd w:val="clear" w:color="auto" w:fill="auto"/>
            <w:noWrap/>
            <w:vAlign w:val="bottom"/>
            <w:hideMark/>
          </w:tcPr>
          <w:p w14:paraId="744C57CD" w14:textId="77777777" w:rsidR="00D4130C" w:rsidRPr="00A51372" w:rsidRDefault="00D4130C" w:rsidP="00D4130C">
            <w:pPr>
              <w:spacing w:after="0" w:line="240" w:lineRule="auto"/>
              <w:jc w:val="left"/>
              <w:rPr>
                <w:rFonts w:ascii="Arial" w:hAnsi="Arial" w:cs="Arial"/>
                <w:b/>
                <w:bCs/>
                <w:sz w:val="16"/>
                <w:szCs w:val="16"/>
              </w:rPr>
            </w:pPr>
            <w:r w:rsidRPr="00A51372">
              <w:rPr>
                <w:rFonts w:ascii="Arial" w:hAnsi="Arial" w:cs="Arial"/>
                <w:b/>
                <w:bCs/>
                <w:sz w:val="16"/>
                <w:szCs w:val="16"/>
              </w:rPr>
              <w:t>OTHER COMPREHENSIVE INCOME</w:t>
            </w:r>
          </w:p>
        </w:tc>
        <w:tc>
          <w:tcPr>
            <w:tcW w:w="901" w:type="dxa"/>
            <w:tcBorders>
              <w:top w:val="nil"/>
              <w:left w:val="nil"/>
              <w:right w:val="nil"/>
            </w:tcBorders>
            <w:shd w:val="clear" w:color="auto" w:fill="auto"/>
            <w:noWrap/>
            <w:vAlign w:val="bottom"/>
            <w:hideMark/>
          </w:tcPr>
          <w:p w14:paraId="2FD142E4" w14:textId="77777777" w:rsidR="00D4130C" w:rsidRPr="00A51372" w:rsidRDefault="00D4130C" w:rsidP="00D4130C">
            <w:pPr>
              <w:spacing w:after="0" w:line="240" w:lineRule="auto"/>
              <w:jc w:val="right"/>
              <w:rPr>
                <w:rFonts w:ascii="Arial" w:hAnsi="Arial" w:cs="Arial"/>
                <w:b/>
                <w:bCs/>
                <w:sz w:val="16"/>
                <w:szCs w:val="16"/>
              </w:rPr>
            </w:pPr>
          </w:p>
        </w:tc>
        <w:tc>
          <w:tcPr>
            <w:tcW w:w="901" w:type="dxa"/>
            <w:tcBorders>
              <w:top w:val="nil"/>
              <w:left w:val="nil"/>
              <w:right w:val="nil"/>
            </w:tcBorders>
            <w:shd w:val="clear" w:color="000000" w:fill="E6E6E6"/>
            <w:noWrap/>
            <w:vAlign w:val="bottom"/>
            <w:hideMark/>
          </w:tcPr>
          <w:p w14:paraId="0A000291" w14:textId="1D13CF1A" w:rsidR="00D4130C" w:rsidRPr="00A51372" w:rsidRDefault="00D4130C" w:rsidP="00D4130C">
            <w:pPr>
              <w:spacing w:after="0" w:line="240" w:lineRule="auto"/>
              <w:jc w:val="right"/>
              <w:rPr>
                <w:rFonts w:ascii="Arial" w:hAnsi="Arial" w:cs="Arial"/>
                <w:b/>
                <w:bCs/>
                <w:sz w:val="16"/>
                <w:szCs w:val="16"/>
              </w:rPr>
            </w:pPr>
          </w:p>
        </w:tc>
        <w:tc>
          <w:tcPr>
            <w:tcW w:w="901" w:type="dxa"/>
            <w:tcBorders>
              <w:top w:val="nil"/>
              <w:left w:val="nil"/>
              <w:right w:val="nil"/>
            </w:tcBorders>
            <w:shd w:val="clear" w:color="auto" w:fill="auto"/>
            <w:noWrap/>
            <w:vAlign w:val="bottom"/>
            <w:hideMark/>
          </w:tcPr>
          <w:p w14:paraId="3D6F3112" w14:textId="77777777" w:rsidR="00D4130C" w:rsidRPr="00A51372" w:rsidRDefault="00D4130C" w:rsidP="00D4130C">
            <w:pPr>
              <w:spacing w:after="0" w:line="240" w:lineRule="auto"/>
              <w:jc w:val="right"/>
              <w:rPr>
                <w:rFonts w:ascii="Arial" w:hAnsi="Arial" w:cs="Arial"/>
                <w:b/>
                <w:bCs/>
                <w:sz w:val="16"/>
                <w:szCs w:val="16"/>
              </w:rPr>
            </w:pPr>
          </w:p>
        </w:tc>
        <w:tc>
          <w:tcPr>
            <w:tcW w:w="901" w:type="dxa"/>
            <w:tcBorders>
              <w:top w:val="nil"/>
              <w:left w:val="nil"/>
              <w:right w:val="nil"/>
            </w:tcBorders>
            <w:shd w:val="clear" w:color="auto" w:fill="auto"/>
            <w:noWrap/>
            <w:vAlign w:val="bottom"/>
            <w:hideMark/>
          </w:tcPr>
          <w:p w14:paraId="6DBA4273" w14:textId="77777777" w:rsidR="00D4130C" w:rsidRPr="00A51372" w:rsidRDefault="00D4130C" w:rsidP="00D4130C">
            <w:pPr>
              <w:spacing w:after="0" w:line="240" w:lineRule="auto"/>
              <w:jc w:val="right"/>
              <w:rPr>
                <w:rFonts w:ascii="Times New Roman" w:hAnsi="Times New Roman"/>
              </w:rPr>
            </w:pPr>
          </w:p>
        </w:tc>
        <w:tc>
          <w:tcPr>
            <w:tcW w:w="901" w:type="dxa"/>
            <w:tcBorders>
              <w:top w:val="nil"/>
              <w:left w:val="nil"/>
              <w:right w:val="nil"/>
            </w:tcBorders>
            <w:shd w:val="clear" w:color="auto" w:fill="auto"/>
            <w:noWrap/>
            <w:vAlign w:val="bottom"/>
            <w:hideMark/>
          </w:tcPr>
          <w:p w14:paraId="1D94177C" w14:textId="77777777" w:rsidR="00D4130C" w:rsidRPr="00A51372" w:rsidRDefault="00D4130C" w:rsidP="00D4130C">
            <w:pPr>
              <w:spacing w:after="0" w:line="240" w:lineRule="auto"/>
              <w:jc w:val="right"/>
              <w:rPr>
                <w:rFonts w:ascii="Times New Roman" w:hAnsi="Times New Roman"/>
              </w:rPr>
            </w:pPr>
          </w:p>
        </w:tc>
      </w:tr>
      <w:tr w:rsidR="00D4130C" w:rsidRPr="00A51372" w14:paraId="7914C0D2" w14:textId="77777777" w:rsidTr="0040418E">
        <w:trPr>
          <w:trHeight w:val="204"/>
        </w:trPr>
        <w:tc>
          <w:tcPr>
            <w:tcW w:w="3176" w:type="dxa"/>
            <w:tcBorders>
              <w:top w:val="nil"/>
              <w:left w:val="nil"/>
              <w:bottom w:val="nil"/>
              <w:right w:val="nil"/>
            </w:tcBorders>
            <w:shd w:val="clear" w:color="auto" w:fill="auto"/>
            <w:noWrap/>
            <w:vAlign w:val="bottom"/>
            <w:hideMark/>
          </w:tcPr>
          <w:p w14:paraId="4E20A2BE" w14:textId="77777777" w:rsidR="00D4130C" w:rsidRPr="00A51372" w:rsidRDefault="00D4130C" w:rsidP="00D4130C">
            <w:pPr>
              <w:spacing w:after="0" w:line="240" w:lineRule="auto"/>
              <w:jc w:val="left"/>
              <w:rPr>
                <w:rFonts w:ascii="Arial" w:hAnsi="Arial" w:cs="Arial"/>
                <w:b/>
                <w:bCs/>
                <w:sz w:val="16"/>
                <w:szCs w:val="16"/>
              </w:rPr>
            </w:pPr>
            <w:r w:rsidRPr="00A51372">
              <w:rPr>
                <w:rFonts w:ascii="Arial" w:hAnsi="Arial" w:cs="Arial"/>
                <w:b/>
                <w:bCs/>
                <w:sz w:val="16"/>
                <w:szCs w:val="16"/>
              </w:rPr>
              <w:t xml:space="preserve">Total other comprehensive income </w:t>
            </w:r>
          </w:p>
        </w:tc>
        <w:tc>
          <w:tcPr>
            <w:tcW w:w="901" w:type="dxa"/>
            <w:tcBorders>
              <w:top w:val="nil"/>
              <w:left w:val="nil"/>
              <w:bottom w:val="single" w:sz="4" w:space="0" w:color="auto"/>
              <w:right w:val="nil"/>
            </w:tcBorders>
            <w:shd w:val="clear" w:color="auto" w:fill="auto"/>
            <w:noWrap/>
            <w:vAlign w:val="bottom"/>
            <w:hideMark/>
          </w:tcPr>
          <w:p w14:paraId="55102E49" w14:textId="3A0EF0BE"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w:t>
            </w:r>
          </w:p>
        </w:tc>
        <w:tc>
          <w:tcPr>
            <w:tcW w:w="901" w:type="dxa"/>
            <w:tcBorders>
              <w:top w:val="nil"/>
              <w:left w:val="nil"/>
              <w:bottom w:val="single" w:sz="4" w:space="0" w:color="auto"/>
              <w:right w:val="nil"/>
            </w:tcBorders>
            <w:shd w:val="clear" w:color="000000" w:fill="E6E6E6"/>
            <w:noWrap/>
            <w:vAlign w:val="bottom"/>
            <w:hideMark/>
          </w:tcPr>
          <w:p w14:paraId="68CC897F" w14:textId="6A367AEB"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w:t>
            </w:r>
          </w:p>
        </w:tc>
        <w:tc>
          <w:tcPr>
            <w:tcW w:w="901" w:type="dxa"/>
            <w:tcBorders>
              <w:top w:val="nil"/>
              <w:left w:val="nil"/>
              <w:bottom w:val="single" w:sz="4" w:space="0" w:color="auto"/>
              <w:right w:val="nil"/>
            </w:tcBorders>
            <w:shd w:val="clear" w:color="auto" w:fill="auto"/>
            <w:noWrap/>
            <w:vAlign w:val="bottom"/>
            <w:hideMark/>
          </w:tcPr>
          <w:p w14:paraId="09C3CB52" w14:textId="471677AA"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w:t>
            </w:r>
          </w:p>
        </w:tc>
        <w:tc>
          <w:tcPr>
            <w:tcW w:w="901" w:type="dxa"/>
            <w:tcBorders>
              <w:top w:val="nil"/>
              <w:left w:val="nil"/>
              <w:bottom w:val="single" w:sz="4" w:space="0" w:color="auto"/>
              <w:right w:val="nil"/>
            </w:tcBorders>
            <w:shd w:val="clear" w:color="auto" w:fill="auto"/>
            <w:noWrap/>
            <w:vAlign w:val="bottom"/>
            <w:hideMark/>
          </w:tcPr>
          <w:p w14:paraId="375BB7C5" w14:textId="43F99CFC"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w:t>
            </w:r>
          </w:p>
        </w:tc>
        <w:tc>
          <w:tcPr>
            <w:tcW w:w="901" w:type="dxa"/>
            <w:tcBorders>
              <w:top w:val="nil"/>
              <w:left w:val="nil"/>
              <w:bottom w:val="single" w:sz="4" w:space="0" w:color="auto"/>
              <w:right w:val="nil"/>
            </w:tcBorders>
            <w:shd w:val="clear" w:color="auto" w:fill="auto"/>
            <w:noWrap/>
            <w:vAlign w:val="bottom"/>
            <w:hideMark/>
          </w:tcPr>
          <w:p w14:paraId="54A5D622" w14:textId="5A083C6C"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w:t>
            </w:r>
          </w:p>
        </w:tc>
      </w:tr>
      <w:tr w:rsidR="00D4130C" w:rsidRPr="00A51372" w14:paraId="2CDD5BEC" w14:textId="77777777" w:rsidTr="0040418E">
        <w:trPr>
          <w:trHeight w:val="204"/>
        </w:trPr>
        <w:tc>
          <w:tcPr>
            <w:tcW w:w="3176" w:type="dxa"/>
            <w:tcBorders>
              <w:top w:val="nil"/>
              <w:left w:val="nil"/>
              <w:bottom w:val="single" w:sz="4" w:space="0" w:color="auto"/>
              <w:right w:val="nil"/>
            </w:tcBorders>
            <w:shd w:val="clear" w:color="auto" w:fill="auto"/>
            <w:vAlign w:val="bottom"/>
            <w:hideMark/>
          </w:tcPr>
          <w:p w14:paraId="594F325C" w14:textId="57A38D31" w:rsidR="00D4130C" w:rsidRPr="00A51372" w:rsidRDefault="00D4130C" w:rsidP="00D4130C">
            <w:pPr>
              <w:spacing w:after="0" w:line="240" w:lineRule="auto"/>
              <w:jc w:val="left"/>
              <w:rPr>
                <w:rFonts w:ascii="Arial" w:hAnsi="Arial" w:cs="Arial"/>
                <w:b/>
                <w:bCs/>
                <w:sz w:val="16"/>
                <w:szCs w:val="16"/>
              </w:rPr>
            </w:pPr>
            <w:r w:rsidRPr="00A51372">
              <w:rPr>
                <w:rFonts w:ascii="Arial" w:hAnsi="Arial" w:cs="Arial"/>
                <w:b/>
                <w:bCs/>
                <w:sz w:val="16"/>
                <w:szCs w:val="16"/>
              </w:rPr>
              <w:t>Total comprehensive income/(loss)</w:t>
            </w:r>
            <w:r>
              <w:rPr>
                <w:rFonts w:ascii="Arial" w:hAnsi="Arial" w:cs="Arial"/>
                <w:b/>
                <w:bCs/>
                <w:sz w:val="16"/>
                <w:szCs w:val="16"/>
              </w:rPr>
              <w:t xml:space="preserve"> </w:t>
            </w:r>
            <w:r w:rsidRPr="00A51372">
              <w:rPr>
                <w:rFonts w:ascii="Arial" w:hAnsi="Arial" w:cs="Arial"/>
                <w:b/>
                <w:bCs/>
                <w:sz w:val="16"/>
                <w:szCs w:val="16"/>
              </w:rPr>
              <w:t>attributable to the Australian</w:t>
            </w:r>
            <w:r>
              <w:rPr>
                <w:rFonts w:ascii="Arial" w:hAnsi="Arial" w:cs="Arial"/>
                <w:b/>
                <w:bCs/>
                <w:sz w:val="16"/>
                <w:szCs w:val="16"/>
              </w:rPr>
              <w:t xml:space="preserve"> </w:t>
            </w:r>
            <w:r w:rsidRPr="00A51372">
              <w:rPr>
                <w:rFonts w:ascii="Arial" w:hAnsi="Arial" w:cs="Arial"/>
                <w:b/>
                <w:bCs/>
                <w:sz w:val="16"/>
                <w:szCs w:val="16"/>
              </w:rPr>
              <w:t>Government</w:t>
            </w:r>
          </w:p>
        </w:tc>
        <w:tc>
          <w:tcPr>
            <w:tcW w:w="901" w:type="dxa"/>
            <w:tcBorders>
              <w:top w:val="single" w:sz="4" w:space="0" w:color="auto"/>
              <w:left w:val="nil"/>
              <w:bottom w:val="single" w:sz="4" w:space="0" w:color="auto"/>
              <w:right w:val="nil"/>
            </w:tcBorders>
            <w:shd w:val="clear" w:color="auto" w:fill="auto"/>
            <w:noWrap/>
            <w:vAlign w:val="bottom"/>
            <w:hideMark/>
          </w:tcPr>
          <w:p w14:paraId="4E4BC624" w14:textId="77B2CF74"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16,206</w:t>
            </w:r>
          </w:p>
        </w:tc>
        <w:tc>
          <w:tcPr>
            <w:tcW w:w="901" w:type="dxa"/>
            <w:tcBorders>
              <w:top w:val="single" w:sz="4" w:space="0" w:color="auto"/>
              <w:left w:val="nil"/>
              <w:bottom w:val="single" w:sz="4" w:space="0" w:color="auto"/>
              <w:right w:val="nil"/>
            </w:tcBorders>
            <w:shd w:val="clear" w:color="000000" w:fill="E6E6E6"/>
            <w:noWrap/>
            <w:vAlign w:val="bottom"/>
            <w:hideMark/>
          </w:tcPr>
          <w:p w14:paraId="4BFD414C" w14:textId="21CD82B0"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w:t>
            </w:r>
          </w:p>
        </w:tc>
        <w:tc>
          <w:tcPr>
            <w:tcW w:w="901" w:type="dxa"/>
            <w:tcBorders>
              <w:top w:val="single" w:sz="4" w:space="0" w:color="auto"/>
              <w:left w:val="nil"/>
              <w:bottom w:val="single" w:sz="4" w:space="0" w:color="auto"/>
              <w:right w:val="nil"/>
            </w:tcBorders>
            <w:shd w:val="clear" w:color="auto" w:fill="auto"/>
            <w:noWrap/>
            <w:vAlign w:val="bottom"/>
            <w:hideMark/>
          </w:tcPr>
          <w:p w14:paraId="4DBEE1DE" w14:textId="77777777"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(821)</w:t>
            </w:r>
          </w:p>
        </w:tc>
        <w:tc>
          <w:tcPr>
            <w:tcW w:w="901" w:type="dxa"/>
            <w:tcBorders>
              <w:top w:val="single" w:sz="4" w:space="0" w:color="auto"/>
              <w:left w:val="nil"/>
              <w:bottom w:val="single" w:sz="4" w:space="0" w:color="auto"/>
              <w:right w:val="nil"/>
            </w:tcBorders>
            <w:shd w:val="clear" w:color="auto" w:fill="auto"/>
            <w:noWrap/>
            <w:vAlign w:val="bottom"/>
            <w:hideMark/>
          </w:tcPr>
          <w:p w14:paraId="2EEBD2A6" w14:textId="77777777"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(4,457)</w:t>
            </w:r>
          </w:p>
        </w:tc>
        <w:tc>
          <w:tcPr>
            <w:tcW w:w="901" w:type="dxa"/>
            <w:tcBorders>
              <w:top w:val="single" w:sz="4" w:space="0" w:color="auto"/>
              <w:left w:val="nil"/>
              <w:bottom w:val="single" w:sz="4" w:space="0" w:color="auto"/>
              <w:right w:val="nil"/>
            </w:tcBorders>
            <w:shd w:val="clear" w:color="auto" w:fill="auto"/>
            <w:noWrap/>
            <w:vAlign w:val="bottom"/>
            <w:hideMark/>
          </w:tcPr>
          <w:p w14:paraId="27FCEB58" w14:textId="77777777" w:rsidR="00D4130C" w:rsidRPr="00A51372" w:rsidRDefault="00D4130C" w:rsidP="00D4130C">
            <w:pPr>
              <w:spacing w:after="0" w:line="240" w:lineRule="auto"/>
              <w:jc w:val="right"/>
              <w:rPr>
                <w:rFonts w:ascii="Arial" w:hAnsi="Arial" w:cs="Arial"/>
                <w:b/>
                <w:bCs/>
                <w:sz w:val="16"/>
                <w:szCs w:val="16"/>
              </w:rPr>
            </w:pPr>
            <w:r w:rsidRPr="00A51372">
              <w:rPr>
                <w:rFonts w:ascii="Arial" w:hAnsi="Arial" w:cs="Arial"/>
                <w:b/>
                <w:bCs/>
                <w:sz w:val="16"/>
                <w:szCs w:val="16"/>
              </w:rPr>
              <w:t>(36,107)</w:t>
            </w:r>
          </w:p>
        </w:tc>
      </w:tr>
    </w:tbl>
    <w:p w14:paraId="2330A2F7" w14:textId="77777777" w:rsidR="00C17040" w:rsidRPr="009C33E9" w:rsidRDefault="00C17040" w:rsidP="00444328">
      <w:pPr>
        <w:pStyle w:val="Source"/>
        <w:spacing w:before="60"/>
      </w:pPr>
      <w:r w:rsidRPr="009C33E9">
        <w:t>Prepared on Australian Accounting Standards basis.</w:t>
      </w:r>
    </w:p>
    <w:p w14:paraId="3DD879A3" w14:textId="0B65731B" w:rsidR="00444328" w:rsidRDefault="00444328">
      <w:pPr>
        <w:spacing w:after="0" w:line="240" w:lineRule="auto"/>
        <w:jc w:val="left"/>
        <w:rPr>
          <w:rFonts w:ascii="Arial" w:hAnsi="Arial"/>
          <w:snapToGrid w:val="0"/>
          <w:sz w:val="16"/>
        </w:rPr>
      </w:pPr>
      <w:r>
        <w:rPr>
          <w:snapToGrid w:val="0"/>
        </w:rPr>
        <w:br w:type="page"/>
      </w:r>
    </w:p>
    <w:p w14:paraId="34BF2DF8" w14:textId="79765A26" w:rsidR="00C17040" w:rsidRDefault="00C17040" w:rsidP="00C17040">
      <w:pPr>
        <w:pStyle w:val="TableHeading"/>
        <w:spacing w:before="0"/>
        <w:rPr>
          <w:lang w:val="en-AU"/>
        </w:rPr>
      </w:pPr>
      <w:r>
        <w:rPr>
          <w:snapToGrid w:val="0"/>
        </w:rPr>
        <w:lastRenderedPageBreak/>
        <w:t>Table 3.3</w:t>
      </w:r>
      <w:r w:rsidRPr="00014438">
        <w:rPr>
          <w:snapToGrid w:val="0"/>
        </w:rPr>
        <w:t xml:space="preserve">: Budgeted </w:t>
      </w:r>
      <w:r w:rsidR="008863D9">
        <w:rPr>
          <w:snapToGrid w:val="0"/>
        </w:rPr>
        <w:t>Department</w:t>
      </w:r>
      <w:r w:rsidRPr="00014438">
        <w:rPr>
          <w:snapToGrid w:val="0"/>
        </w:rPr>
        <w:t xml:space="preserve">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tbl>
      <w:tblPr>
        <w:tblW w:w="7260" w:type="dxa"/>
        <w:tblLook w:val="04A0" w:firstRow="1" w:lastRow="0" w:firstColumn="1" w:lastColumn="0" w:noHBand="0" w:noVBand="1"/>
      </w:tblPr>
      <w:tblGrid>
        <w:gridCol w:w="2976"/>
        <w:gridCol w:w="856"/>
        <w:gridCol w:w="857"/>
        <w:gridCol w:w="857"/>
        <w:gridCol w:w="857"/>
        <w:gridCol w:w="857"/>
      </w:tblGrid>
      <w:tr w:rsidR="00444328" w:rsidRPr="00444328" w14:paraId="04C6B017" w14:textId="77777777" w:rsidTr="00D47D34">
        <w:trPr>
          <w:trHeight w:val="450"/>
        </w:trPr>
        <w:tc>
          <w:tcPr>
            <w:tcW w:w="2976" w:type="dxa"/>
            <w:tcBorders>
              <w:top w:val="single" w:sz="4" w:space="0" w:color="auto"/>
              <w:left w:val="nil"/>
              <w:bottom w:val="nil"/>
              <w:right w:val="nil"/>
            </w:tcBorders>
            <w:shd w:val="clear" w:color="auto" w:fill="auto"/>
            <w:noWrap/>
            <w:hideMark/>
          </w:tcPr>
          <w:p w14:paraId="4B30940C" w14:textId="26A844ED" w:rsidR="00444328" w:rsidRPr="00444328" w:rsidRDefault="00C17040" w:rsidP="00444328">
            <w:pPr>
              <w:spacing w:after="0" w:line="240" w:lineRule="auto"/>
              <w:jc w:val="left"/>
              <w:rPr>
                <w:rFonts w:ascii="Arial" w:hAnsi="Arial" w:cs="Arial"/>
                <w:b/>
                <w:bCs/>
                <w:sz w:val="16"/>
                <w:szCs w:val="16"/>
              </w:rPr>
            </w:pPr>
            <w:r w:rsidRPr="00136507">
              <w:rPr>
                <w:i/>
              </w:rPr>
              <w:t xml:space="preserve"> </w:t>
            </w:r>
            <w:r w:rsidR="00444328" w:rsidRPr="00444328">
              <w:rPr>
                <w:rFonts w:ascii="Arial" w:hAnsi="Arial" w:cs="Arial"/>
                <w:b/>
                <w:bCs/>
                <w:sz w:val="16"/>
                <w:szCs w:val="16"/>
              </w:rPr>
              <w:t> </w:t>
            </w:r>
          </w:p>
        </w:tc>
        <w:tc>
          <w:tcPr>
            <w:tcW w:w="856" w:type="dxa"/>
            <w:tcBorders>
              <w:top w:val="single" w:sz="4" w:space="0" w:color="auto"/>
              <w:left w:val="nil"/>
              <w:bottom w:val="single" w:sz="4" w:space="0" w:color="auto"/>
              <w:right w:val="nil"/>
            </w:tcBorders>
            <w:shd w:val="clear" w:color="auto" w:fill="auto"/>
            <w:hideMark/>
          </w:tcPr>
          <w:p w14:paraId="21AC609C" w14:textId="77777777" w:rsidR="00444328" w:rsidRPr="00444328" w:rsidRDefault="00444328" w:rsidP="00444328">
            <w:pPr>
              <w:spacing w:after="0" w:line="240" w:lineRule="auto"/>
              <w:jc w:val="right"/>
              <w:rPr>
                <w:rFonts w:ascii="Arial" w:hAnsi="Arial" w:cs="Arial"/>
                <w:sz w:val="16"/>
                <w:szCs w:val="16"/>
              </w:rPr>
            </w:pPr>
            <w:r w:rsidRPr="00444328">
              <w:rPr>
                <w:rFonts w:ascii="Arial" w:hAnsi="Arial" w:cs="Arial"/>
                <w:sz w:val="16"/>
                <w:szCs w:val="16"/>
              </w:rPr>
              <w:t>2020-21 Actual</w:t>
            </w:r>
            <w:r w:rsidRPr="00444328">
              <w:rPr>
                <w:rFonts w:ascii="Arial" w:hAnsi="Arial" w:cs="Arial"/>
                <w:sz w:val="16"/>
                <w:szCs w:val="16"/>
              </w:rPr>
              <w:br/>
            </w:r>
            <w:r w:rsidRPr="00444328">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000000" w:fill="E6E6E6"/>
            <w:hideMark/>
          </w:tcPr>
          <w:p w14:paraId="6D0308C0" w14:textId="77777777" w:rsidR="00444328" w:rsidRPr="00444328" w:rsidRDefault="00444328" w:rsidP="00444328">
            <w:pPr>
              <w:spacing w:after="0" w:line="240" w:lineRule="auto"/>
              <w:jc w:val="right"/>
              <w:rPr>
                <w:rFonts w:ascii="Arial" w:hAnsi="Arial" w:cs="Arial"/>
                <w:sz w:val="16"/>
                <w:szCs w:val="16"/>
              </w:rPr>
            </w:pPr>
            <w:r w:rsidRPr="00444328">
              <w:rPr>
                <w:rFonts w:ascii="Arial" w:hAnsi="Arial" w:cs="Arial"/>
                <w:sz w:val="16"/>
                <w:szCs w:val="16"/>
              </w:rPr>
              <w:t>2021-22</w:t>
            </w:r>
            <w:r w:rsidRPr="00444328">
              <w:rPr>
                <w:rFonts w:ascii="Arial" w:hAnsi="Arial" w:cs="Arial"/>
                <w:sz w:val="16"/>
                <w:szCs w:val="16"/>
              </w:rPr>
              <w:br/>
              <w:t>Revised Budget</w:t>
            </w:r>
            <w:r w:rsidRPr="00444328">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2873A3EA" w14:textId="77777777" w:rsidR="00444328" w:rsidRPr="00444328" w:rsidRDefault="00444328" w:rsidP="00444328">
            <w:pPr>
              <w:spacing w:after="0" w:line="240" w:lineRule="auto"/>
              <w:jc w:val="right"/>
              <w:rPr>
                <w:rFonts w:ascii="Arial" w:hAnsi="Arial" w:cs="Arial"/>
                <w:sz w:val="16"/>
                <w:szCs w:val="16"/>
              </w:rPr>
            </w:pPr>
            <w:r w:rsidRPr="00444328">
              <w:rPr>
                <w:rFonts w:ascii="Arial" w:hAnsi="Arial" w:cs="Arial"/>
                <w:sz w:val="16"/>
                <w:szCs w:val="16"/>
              </w:rPr>
              <w:t>2022-23 Forward estimate</w:t>
            </w:r>
            <w:r w:rsidRPr="00444328">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77640CB7" w14:textId="77777777" w:rsidR="00444328" w:rsidRPr="00444328" w:rsidRDefault="00444328" w:rsidP="00444328">
            <w:pPr>
              <w:spacing w:after="0" w:line="240" w:lineRule="auto"/>
              <w:jc w:val="right"/>
              <w:rPr>
                <w:rFonts w:ascii="Arial" w:hAnsi="Arial" w:cs="Arial"/>
                <w:sz w:val="16"/>
                <w:szCs w:val="16"/>
              </w:rPr>
            </w:pPr>
            <w:r w:rsidRPr="00444328">
              <w:rPr>
                <w:rFonts w:ascii="Arial" w:hAnsi="Arial" w:cs="Arial"/>
                <w:sz w:val="16"/>
                <w:szCs w:val="16"/>
              </w:rPr>
              <w:t>2023-24 Forward estimate</w:t>
            </w:r>
            <w:r w:rsidRPr="00444328">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5448B7F9" w14:textId="77777777" w:rsidR="00444328" w:rsidRPr="00444328" w:rsidRDefault="00444328" w:rsidP="00444328">
            <w:pPr>
              <w:spacing w:after="0" w:line="240" w:lineRule="auto"/>
              <w:jc w:val="right"/>
              <w:rPr>
                <w:rFonts w:ascii="Arial" w:hAnsi="Arial" w:cs="Arial"/>
                <w:sz w:val="16"/>
                <w:szCs w:val="16"/>
              </w:rPr>
            </w:pPr>
            <w:r w:rsidRPr="00444328">
              <w:rPr>
                <w:rFonts w:ascii="Arial" w:hAnsi="Arial" w:cs="Arial"/>
                <w:sz w:val="16"/>
                <w:szCs w:val="16"/>
              </w:rPr>
              <w:t>2024-25</w:t>
            </w:r>
            <w:r w:rsidRPr="00444328">
              <w:rPr>
                <w:rFonts w:ascii="Arial" w:hAnsi="Arial" w:cs="Arial"/>
                <w:sz w:val="16"/>
                <w:szCs w:val="16"/>
              </w:rPr>
              <w:br/>
              <w:t>Forward estimate</w:t>
            </w:r>
            <w:r w:rsidRPr="00444328">
              <w:rPr>
                <w:rFonts w:ascii="Arial" w:hAnsi="Arial" w:cs="Arial"/>
                <w:sz w:val="16"/>
                <w:szCs w:val="16"/>
              </w:rPr>
              <w:br/>
              <w:t>$'000</w:t>
            </w:r>
          </w:p>
        </w:tc>
      </w:tr>
      <w:tr w:rsidR="00444328" w:rsidRPr="00444328" w14:paraId="160F7592" w14:textId="77777777" w:rsidTr="00444328">
        <w:trPr>
          <w:trHeight w:val="204"/>
        </w:trPr>
        <w:tc>
          <w:tcPr>
            <w:tcW w:w="2976" w:type="dxa"/>
            <w:tcBorders>
              <w:top w:val="nil"/>
              <w:left w:val="nil"/>
              <w:bottom w:val="nil"/>
              <w:right w:val="nil"/>
            </w:tcBorders>
            <w:shd w:val="clear" w:color="auto" w:fill="auto"/>
            <w:noWrap/>
            <w:vAlign w:val="center"/>
            <w:hideMark/>
          </w:tcPr>
          <w:p w14:paraId="555E13A8" w14:textId="77777777" w:rsidR="00444328" w:rsidRPr="00444328" w:rsidRDefault="00444328" w:rsidP="00444328">
            <w:pPr>
              <w:spacing w:after="0" w:line="240" w:lineRule="auto"/>
              <w:jc w:val="left"/>
              <w:rPr>
                <w:rFonts w:ascii="Arial" w:hAnsi="Arial" w:cs="Arial"/>
                <w:b/>
                <w:bCs/>
                <w:color w:val="000000"/>
                <w:sz w:val="16"/>
                <w:szCs w:val="16"/>
              </w:rPr>
            </w:pPr>
            <w:r w:rsidRPr="00444328">
              <w:rPr>
                <w:rFonts w:ascii="Arial" w:hAnsi="Arial" w:cs="Arial"/>
                <w:b/>
                <w:bCs/>
                <w:color w:val="000000"/>
                <w:sz w:val="16"/>
                <w:szCs w:val="16"/>
              </w:rPr>
              <w:t>ASSETS</w:t>
            </w:r>
          </w:p>
        </w:tc>
        <w:tc>
          <w:tcPr>
            <w:tcW w:w="856" w:type="dxa"/>
            <w:tcBorders>
              <w:top w:val="nil"/>
              <w:left w:val="nil"/>
              <w:bottom w:val="nil"/>
              <w:right w:val="nil"/>
            </w:tcBorders>
            <w:shd w:val="clear" w:color="auto" w:fill="auto"/>
            <w:noWrap/>
            <w:vAlign w:val="bottom"/>
            <w:hideMark/>
          </w:tcPr>
          <w:p w14:paraId="152501CE" w14:textId="77777777" w:rsidR="00444328" w:rsidRPr="00444328" w:rsidRDefault="00444328" w:rsidP="00444328">
            <w:pPr>
              <w:spacing w:after="0" w:line="240" w:lineRule="auto"/>
              <w:jc w:val="lef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47C2F348" w14:textId="03E8734B" w:rsidR="00444328" w:rsidRPr="00444328" w:rsidRDefault="00444328" w:rsidP="00444328">
            <w:pPr>
              <w:spacing w:after="0" w:line="240" w:lineRule="auto"/>
              <w:jc w:val="lef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CFBFAE2" w14:textId="77777777" w:rsidR="00444328" w:rsidRPr="00444328" w:rsidRDefault="00444328" w:rsidP="00444328">
            <w:pPr>
              <w:spacing w:after="0" w:line="240" w:lineRule="auto"/>
              <w:jc w:val="lef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9D46EE5" w14:textId="77777777" w:rsidR="00444328" w:rsidRPr="00444328" w:rsidRDefault="00444328" w:rsidP="00444328">
            <w:pPr>
              <w:spacing w:after="0" w:line="240" w:lineRule="auto"/>
              <w:jc w:val="left"/>
              <w:rPr>
                <w:rFonts w:ascii="Times New Roman" w:hAnsi="Times New Roman"/>
              </w:rPr>
            </w:pPr>
          </w:p>
        </w:tc>
        <w:tc>
          <w:tcPr>
            <w:tcW w:w="857" w:type="dxa"/>
            <w:tcBorders>
              <w:top w:val="nil"/>
              <w:left w:val="nil"/>
              <w:bottom w:val="nil"/>
              <w:right w:val="nil"/>
            </w:tcBorders>
            <w:shd w:val="clear" w:color="auto" w:fill="auto"/>
            <w:noWrap/>
            <w:vAlign w:val="bottom"/>
            <w:hideMark/>
          </w:tcPr>
          <w:p w14:paraId="35AF02E9" w14:textId="77777777" w:rsidR="00444328" w:rsidRPr="00444328" w:rsidRDefault="00444328" w:rsidP="00444328">
            <w:pPr>
              <w:spacing w:after="0" w:line="240" w:lineRule="auto"/>
              <w:jc w:val="left"/>
              <w:rPr>
                <w:rFonts w:ascii="Times New Roman" w:hAnsi="Times New Roman"/>
              </w:rPr>
            </w:pPr>
          </w:p>
        </w:tc>
      </w:tr>
      <w:tr w:rsidR="00444328" w:rsidRPr="00444328" w14:paraId="26F74FAD" w14:textId="77777777" w:rsidTr="00444328">
        <w:trPr>
          <w:trHeight w:val="204"/>
        </w:trPr>
        <w:tc>
          <w:tcPr>
            <w:tcW w:w="2976" w:type="dxa"/>
            <w:tcBorders>
              <w:top w:val="nil"/>
              <w:left w:val="nil"/>
              <w:bottom w:val="nil"/>
              <w:right w:val="nil"/>
            </w:tcBorders>
            <w:shd w:val="clear" w:color="auto" w:fill="auto"/>
            <w:noWrap/>
            <w:vAlign w:val="center"/>
            <w:hideMark/>
          </w:tcPr>
          <w:p w14:paraId="6A1E1C1B" w14:textId="77777777" w:rsidR="00444328" w:rsidRPr="00444328" w:rsidRDefault="00444328" w:rsidP="00444328">
            <w:pPr>
              <w:spacing w:after="0" w:line="240" w:lineRule="auto"/>
              <w:jc w:val="left"/>
              <w:rPr>
                <w:rFonts w:ascii="Arial" w:hAnsi="Arial" w:cs="Arial"/>
                <w:b/>
                <w:bCs/>
                <w:color w:val="000000"/>
                <w:sz w:val="16"/>
                <w:szCs w:val="16"/>
              </w:rPr>
            </w:pPr>
            <w:r w:rsidRPr="00444328">
              <w:rPr>
                <w:rFonts w:ascii="Arial" w:hAnsi="Arial" w:cs="Arial"/>
                <w:b/>
                <w:bCs/>
                <w:color w:val="000000"/>
                <w:sz w:val="16"/>
                <w:szCs w:val="16"/>
              </w:rPr>
              <w:t>Financial assets</w:t>
            </w:r>
          </w:p>
        </w:tc>
        <w:tc>
          <w:tcPr>
            <w:tcW w:w="856" w:type="dxa"/>
            <w:tcBorders>
              <w:top w:val="nil"/>
              <w:left w:val="nil"/>
              <w:bottom w:val="nil"/>
              <w:right w:val="nil"/>
            </w:tcBorders>
            <w:shd w:val="clear" w:color="auto" w:fill="auto"/>
            <w:noWrap/>
            <w:vAlign w:val="bottom"/>
            <w:hideMark/>
          </w:tcPr>
          <w:p w14:paraId="20292F3F" w14:textId="77777777" w:rsidR="00444328" w:rsidRPr="00D47D34" w:rsidRDefault="00444328" w:rsidP="00D47D3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67064BE4" w14:textId="079BBCBF" w:rsidR="00444328" w:rsidRPr="00D47D34" w:rsidRDefault="00444328" w:rsidP="00D47D3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79A5905" w14:textId="77777777" w:rsidR="00444328" w:rsidRPr="00D47D34" w:rsidRDefault="00444328" w:rsidP="00D47D3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75603EF" w14:textId="77777777" w:rsidR="00444328" w:rsidRPr="00D47D34" w:rsidRDefault="00444328" w:rsidP="00D47D3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39E1D00D" w14:textId="77777777" w:rsidR="00444328" w:rsidRPr="00D47D34" w:rsidRDefault="00444328" w:rsidP="00D47D34">
            <w:pPr>
              <w:spacing w:after="0" w:line="240" w:lineRule="auto"/>
              <w:jc w:val="right"/>
              <w:rPr>
                <w:rFonts w:ascii="Times New Roman" w:hAnsi="Times New Roman"/>
                <w:sz w:val="16"/>
                <w:szCs w:val="16"/>
              </w:rPr>
            </w:pPr>
          </w:p>
        </w:tc>
      </w:tr>
      <w:tr w:rsidR="00444328" w:rsidRPr="00444328" w14:paraId="51E3DDD0" w14:textId="77777777" w:rsidTr="00444328">
        <w:trPr>
          <w:trHeight w:val="204"/>
        </w:trPr>
        <w:tc>
          <w:tcPr>
            <w:tcW w:w="2976" w:type="dxa"/>
            <w:tcBorders>
              <w:top w:val="nil"/>
              <w:left w:val="nil"/>
              <w:bottom w:val="nil"/>
              <w:right w:val="nil"/>
            </w:tcBorders>
            <w:shd w:val="clear" w:color="auto" w:fill="auto"/>
            <w:noWrap/>
            <w:vAlign w:val="center"/>
            <w:hideMark/>
          </w:tcPr>
          <w:p w14:paraId="78B8683A" w14:textId="77777777" w:rsidR="00444328" w:rsidRPr="00D4130C" w:rsidRDefault="00444328" w:rsidP="00444328">
            <w:pPr>
              <w:spacing w:after="0" w:line="240" w:lineRule="auto"/>
              <w:ind w:left="113"/>
              <w:jc w:val="left"/>
              <w:rPr>
                <w:rFonts w:ascii="Arial" w:hAnsi="Arial" w:cs="Arial"/>
                <w:sz w:val="16"/>
                <w:szCs w:val="16"/>
              </w:rPr>
            </w:pPr>
            <w:r w:rsidRPr="00D4130C">
              <w:rPr>
                <w:rFonts w:ascii="Arial" w:hAnsi="Arial" w:cs="Arial"/>
                <w:sz w:val="16"/>
                <w:szCs w:val="16"/>
              </w:rPr>
              <w:t>Cash and cash equivalents</w:t>
            </w:r>
          </w:p>
        </w:tc>
        <w:tc>
          <w:tcPr>
            <w:tcW w:w="856" w:type="dxa"/>
            <w:tcBorders>
              <w:top w:val="nil"/>
              <w:left w:val="nil"/>
              <w:bottom w:val="nil"/>
              <w:right w:val="nil"/>
            </w:tcBorders>
            <w:shd w:val="clear" w:color="auto" w:fill="auto"/>
            <w:noWrap/>
            <w:vAlign w:val="bottom"/>
            <w:hideMark/>
          </w:tcPr>
          <w:p w14:paraId="558364BE"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13,377</w:t>
            </w:r>
          </w:p>
        </w:tc>
        <w:tc>
          <w:tcPr>
            <w:tcW w:w="857" w:type="dxa"/>
            <w:tcBorders>
              <w:top w:val="nil"/>
              <w:left w:val="nil"/>
              <w:bottom w:val="nil"/>
              <w:right w:val="nil"/>
            </w:tcBorders>
            <w:shd w:val="clear" w:color="000000" w:fill="E6E6E6"/>
            <w:noWrap/>
            <w:vAlign w:val="bottom"/>
            <w:hideMark/>
          </w:tcPr>
          <w:p w14:paraId="2CBCA79D"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4,000</w:t>
            </w:r>
          </w:p>
        </w:tc>
        <w:tc>
          <w:tcPr>
            <w:tcW w:w="857" w:type="dxa"/>
            <w:tcBorders>
              <w:top w:val="nil"/>
              <w:left w:val="nil"/>
              <w:bottom w:val="nil"/>
              <w:right w:val="nil"/>
            </w:tcBorders>
            <w:shd w:val="clear" w:color="auto" w:fill="auto"/>
            <w:noWrap/>
            <w:vAlign w:val="bottom"/>
            <w:hideMark/>
          </w:tcPr>
          <w:p w14:paraId="5C76FCAA"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4,000</w:t>
            </w:r>
          </w:p>
        </w:tc>
        <w:tc>
          <w:tcPr>
            <w:tcW w:w="857" w:type="dxa"/>
            <w:tcBorders>
              <w:top w:val="nil"/>
              <w:left w:val="nil"/>
              <w:bottom w:val="nil"/>
              <w:right w:val="nil"/>
            </w:tcBorders>
            <w:shd w:val="clear" w:color="auto" w:fill="auto"/>
            <w:noWrap/>
            <w:vAlign w:val="bottom"/>
            <w:hideMark/>
          </w:tcPr>
          <w:p w14:paraId="5BC7DC4C"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4,000</w:t>
            </w:r>
          </w:p>
        </w:tc>
        <w:tc>
          <w:tcPr>
            <w:tcW w:w="857" w:type="dxa"/>
            <w:tcBorders>
              <w:top w:val="nil"/>
              <w:left w:val="nil"/>
              <w:bottom w:val="nil"/>
              <w:right w:val="nil"/>
            </w:tcBorders>
            <w:shd w:val="clear" w:color="auto" w:fill="auto"/>
            <w:noWrap/>
            <w:vAlign w:val="bottom"/>
            <w:hideMark/>
          </w:tcPr>
          <w:p w14:paraId="1D5B47F2"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4,000</w:t>
            </w:r>
          </w:p>
        </w:tc>
      </w:tr>
      <w:tr w:rsidR="00444328" w:rsidRPr="00444328" w14:paraId="55E71FB5" w14:textId="77777777" w:rsidTr="00444328">
        <w:trPr>
          <w:trHeight w:val="204"/>
        </w:trPr>
        <w:tc>
          <w:tcPr>
            <w:tcW w:w="2976" w:type="dxa"/>
            <w:tcBorders>
              <w:top w:val="nil"/>
              <w:left w:val="nil"/>
              <w:bottom w:val="nil"/>
              <w:right w:val="nil"/>
            </w:tcBorders>
            <w:shd w:val="clear" w:color="auto" w:fill="auto"/>
            <w:noWrap/>
            <w:vAlign w:val="center"/>
            <w:hideMark/>
          </w:tcPr>
          <w:p w14:paraId="2DC158AB" w14:textId="77777777" w:rsidR="00444328" w:rsidRPr="00D4130C" w:rsidRDefault="00444328" w:rsidP="00D4130C">
            <w:pPr>
              <w:spacing w:after="0" w:line="240" w:lineRule="auto"/>
              <w:ind w:left="113"/>
              <w:jc w:val="left"/>
              <w:rPr>
                <w:rFonts w:ascii="Arial" w:hAnsi="Arial" w:cs="Arial"/>
                <w:sz w:val="16"/>
                <w:szCs w:val="16"/>
              </w:rPr>
            </w:pPr>
            <w:r w:rsidRPr="00D4130C">
              <w:rPr>
                <w:rFonts w:ascii="Arial" w:hAnsi="Arial" w:cs="Arial"/>
                <w:sz w:val="16"/>
                <w:szCs w:val="16"/>
              </w:rPr>
              <w:t>Trade and other receivables</w:t>
            </w:r>
          </w:p>
        </w:tc>
        <w:tc>
          <w:tcPr>
            <w:tcW w:w="856" w:type="dxa"/>
            <w:tcBorders>
              <w:top w:val="nil"/>
              <w:left w:val="nil"/>
              <w:bottom w:val="nil"/>
              <w:right w:val="nil"/>
            </w:tcBorders>
            <w:shd w:val="clear" w:color="auto" w:fill="auto"/>
            <w:noWrap/>
            <w:vAlign w:val="bottom"/>
            <w:hideMark/>
          </w:tcPr>
          <w:p w14:paraId="6D73655F"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2,067</w:t>
            </w:r>
          </w:p>
        </w:tc>
        <w:tc>
          <w:tcPr>
            <w:tcW w:w="857" w:type="dxa"/>
            <w:tcBorders>
              <w:top w:val="nil"/>
              <w:left w:val="nil"/>
              <w:bottom w:val="nil"/>
              <w:right w:val="nil"/>
            </w:tcBorders>
            <w:shd w:val="clear" w:color="000000" w:fill="E6E6E6"/>
            <w:noWrap/>
            <w:vAlign w:val="bottom"/>
            <w:hideMark/>
          </w:tcPr>
          <w:p w14:paraId="7F04D1C3"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3,328</w:t>
            </w:r>
          </w:p>
        </w:tc>
        <w:tc>
          <w:tcPr>
            <w:tcW w:w="857" w:type="dxa"/>
            <w:tcBorders>
              <w:top w:val="nil"/>
              <w:left w:val="nil"/>
              <w:bottom w:val="nil"/>
              <w:right w:val="nil"/>
            </w:tcBorders>
            <w:shd w:val="clear" w:color="auto" w:fill="auto"/>
            <w:noWrap/>
            <w:vAlign w:val="bottom"/>
            <w:hideMark/>
          </w:tcPr>
          <w:p w14:paraId="76F0278A"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3,608</w:t>
            </w:r>
          </w:p>
        </w:tc>
        <w:tc>
          <w:tcPr>
            <w:tcW w:w="857" w:type="dxa"/>
            <w:tcBorders>
              <w:top w:val="nil"/>
              <w:left w:val="nil"/>
              <w:bottom w:val="nil"/>
              <w:right w:val="nil"/>
            </w:tcBorders>
            <w:shd w:val="clear" w:color="auto" w:fill="auto"/>
            <w:noWrap/>
            <w:vAlign w:val="bottom"/>
            <w:hideMark/>
          </w:tcPr>
          <w:p w14:paraId="7629C327"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3,955</w:t>
            </w:r>
          </w:p>
        </w:tc>
        <w:tc>
          <w:tcPr>
            <w:tcW w:w="857" w:type="dxa"/>
            <w:tcBorders>
              <w:top w:val="nil"/>
              <w:left w:val="nil"/>
              <w:bottom w:val="nil"/>
              <w:right w:val="nil"/>
            </w:tcBorders>
            <w:shd w:val="clear" w:color="auto" w:fill="auto"/>
            <w:noWrap/>
            <w:vAlign w:val="bottom"/>
            <w:hideMark/>
          </w:tcPr>
          <w:p w14:paraId="3B30B045"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4,422</w:t>
            </w:r>
          </w:p>
        </w:tc>
      </w:tr>
      <w:tr w:rsidR="00444328" w:rsidRPr="00444328" w14:paraId="2412A9AB" w14:textId="77777777" w:rsidTr="00444328">
        <w:trPr>
          <w:trHeight w:val="204"/>
        </w:trPr>
        <w:tc>
          <w:tcPr>
            <w:tcW w:w="2976" w:type="dxa"/>
            <w:tcBorders>
              <w:top w:val="nil"/>
              <w:left w:val="nil"/>
              <w:bottom w:val="nil"/>
              <w:right w:val="nil"/>
            </w:tcBorders>
            <w:shd w:val="clear" w:color="auto" w:fill="auto"/>
            <w:noWrap/>
            <w:vAlign w:val="center"/>
            <w:hideMark/>
          </w:tcPr>
          <w:p w14:paraId="1EB83806" w14:textId="77777777" w:rsidR="00444328" w:rsidRPr="00D4130C" w:rsidRDefault="00444328" w:rsidP="00444328">
            <w:pPr>
              <w:spacing w:after="0" w:line="240" w:lineRule="auto"/>
              <w:ind w:left="113"/>
              <w:jc w:val="left"/>
              <w:rPr>
                <w:rFonts w:ascii="Arial" w:hAnsi="Arial" w:cs="Arial"/>
                <w:sz w:val="16"/>
                <w:szCs w:val="16"/>
              </w:rPr>
            </w:pPr>
            <w:r w:rsidRPr="00D4130C">
              <w:rPr>
                <w:rFonts w:ascii="Arial" w:hAnsi="Arial" w:cs="Arial"/>
                <w:sz w:val="16"/>
                <w:szCs w:val="16"/>
              </w:rPr>
              <w:t>Other investments</w:t>
            </w:r>
          </w:p>
        </w:tc>
        <w:tc>
          <w:tcPr>
            <w:tcW w:w="856" w:type="dxa"/>
            <w:tcBorders>
              <w:top w:val="nil"/>
              <w:left w:val="nil"/>
              <w:bottom w:val="nil"/>
              <w:right w:val="nil"/>
            </w:tcBorders>
            <w:shd w:val="clear" w:color="auto" w:fill="auto"/>
            <w:noWrap/>
            <w:vAlign w:val="bottom"/>
            <w:hideMark/>
          </w:tcPr>
          <w:p w14:paraId="1C4A0CC8"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52,500</w:t>
            </w:r>
          </w:p>
        </w:tc>
        <w:tc>
          <w:tcPr>
            <w:tcW w:w="857" w:type="dxa"/>
            <w:tcBorders>
              <w:top w:val="nil"/>
              <w:left w:val="nil"/>
              <w:bottom w:val="nil"/>
              <w:right w:val="nil"/>
            </w:tcBorders>
            <w:shd w:val="clear" w:color="000000" w:fill="E6E6E6"/>
            <w:noWrap/>
            <w:vAlign w:val="bottom"/>
            <w:hideMark/>
          </w:tcPr>
          <w:p w14:paraId="5FD91CE3"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53,752</w:t>
            </w:r>
          </w:p>
        </w:tc>
        <w:tc>
          <w:tcPr>
            <w:tcW w:w="857" w:type="dxa"/>
            <w:tcBorders>
              <w:top w:val="nil"/>
              <w:left w:val="nil"/>
              <w:bottom w:val="nil"/>
              <w:right w:val="nil"/>
            </w:tcBorders>
            <w:shd w:val="clear" w:color="auto" w:fill="auto"/>
            <w:noWrap/>
            <w:vAlign w:val="bottom"/>
            <w:hideMark/>
          </w:tcPr>
          <w:p w14:paraId="27360E34"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42,822</w:t>
            </w:r>
          </w:p>
        </w:tc>
        <w:tc>
          <w:tcPr>
            <w:tcW w:w="857" w:type="dxa"/>
            <w:tcBorders>
              <w:top w:val="nil"/>
              <w:left w:val="nil"/>
              <w:bottom w:val="nil"/>
              <w:right w:val="nil"/>
            </w:tcBorders>
            <w:shd w:val="clear" w:color="auto" w:fill="auto"/>
            <w:noWrap/>
            <w:vAlign w:val="bottom"/>
            <w:hideMark/>
          </w:tcPr>
          <w:p w14:paraId="5FCB9D48"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49,148</w:t>
            </w:r>
          </w:p>
        </w:tc>
        <w:tc>
          <w:tcPr>
            <w:tcW w:w="857" w:type="dxa"/>
            <w:tcBorders>
              <w:top w:val="nil"/>
              <w:left w:val="nil"/>
              <w:bottom w:val="nil"/>
              <w:right w:val="nil"/>
            </w:tcBorders>
            <w:shd w:val="clear" w:color="auto" w:fill="auto"/>
            <w:noWrap/>
            <w:vAlign w:val="bottom"/>
            <w:hideMark/>
          </w:tcPr>
          <w:p w14:paraId="215DBC6F"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22,414</w:t>
            </w:r>
          </w:p>
        </w:tc>
      </w:tr>
      <w:tr w:rsidR="00444328" w:rsidRPr="00444328" w14:paraId="7E2225AA" w14:textId="77777777" w:rsidTr="00444328">
        <w:trPr>
          <w:trHeight w:val="204"/>
        </w:trPr>
        <w:tc>
          <w:tcPr>
            <w:tcW w:w="2976" w:type="dxa"/>
            <w:tcBorders>
              <w:top w:val="nil"/>
              <w:left w:val="nil"/>
              <w:bottom w:val="nil"/>
              <w:right w:val="nil"/>
            </w:tcBorders>
            <w:shd w:val="clear" w:color="auto" w:fill="auto"/>
            <w:noWrap/>
            <w:vAlign w:val="center"/>
            <w:hideMark/>
          </w:tcPr>
          <w:p w14:paraId="7B03D990" w14:textId="77777777" w:rsidR="00444328" w:rsidRPr="00D4130C" w:rsidRDefault="00444328" w:rsidP="00444328">
            <w:pPr>
              <w:spacing w:after="0" w:line="240" w:lineRule="auto"/>
              <w:ind w:left="113"/>
              <w:jc w:val="left"/>
              <w:rPr>
                <w:rFonts w:ascii="Arial" w:hAnsi="Arial" w:cs="Arial"/>
                <w:sz w:val="16"/>
                <w:szCs w:val="16"/>
              </w:rPr>
            </w:pPr>
            <w:r w:rsidRPr="00D4130C">
              <w:rPr>
                <w:rFonts w:ascii="Arial" w:hAnsi="Arial" w:cs="Arial"/>
                <w:sz w:val="16"/>
                <w:szCs w:val="16"/>
              </w:rPr>
              <w:t>Other financial assets</w:t>
            </w:r>
          </w:p>
        </w:tc>
        <w:tc>
          <w:tcPr>
            <w:tcW w:w="856" w:type="dxa"/>
            <w:tcBorders>
              <w:top w:val="nil"/>
              <w:left w:val="nil"/>
              <w:bottom w:val="nil"/>
              <w:right w:val="nil"/>
            </w:tcBorders>
            <w:shd w:val="clear" w:color="auto" w:fill="auto"/>
            <w:noWrap/>
            <w:vAlign w:val="bottom"/>
            <w:hideMark/>
          </w:tcPr>
          <w:p w14:paraId="5DBE5E59"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171</w:t>
            </w:r>
          </w:p>
        </w:tc>
        <w:tc>
          <w:tcPr>
            <w:tcW w:w="857" w:type="dxa"/>
            <w:tcBorders>
              <w:top w:val="nil"/>
              <w:left w:val="nil"/>
              <w:bottom w:val="nil"/>
              <w:right w:val="nil"/>
            </w:tcBorders>
            <w:shd w:val="clear" w:color="000000" w:fill="E6E6E6"/>
            <w:noWrap/>
            <w:vAlign w:val="bottom"/>
            <w:hideMark/>
          </w:tcPr>
          <w:p w14:paraId="6B36720B"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173</w:t>
            </w:r>
          </w:p>
        </w:tc>
        <w:tc>
          <w:tcPr>
            <w:tcW w:w="857" w:type="dxa"/>
            <w:tcBorders>
              <w:top w:val="nil"/>
              <w:left w:val="nil"/>
              <w:bottom w:val="nil"/>
              <w:right w:val="nil"/>
            </w:tcBorders>
            <w:shd w:val="clear" w:color="auto" w:fill="auto"/>
            <w:noWrap/>
            <w:vAlign w:val="bottom"/>
            <w:hideMark/>
          </w:tcPr>
          <w:p w14:paraId="22C1F78D"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181</w:t>
            </w:r>
          </w:p>
        </w:tc>
        <w:tc>
          <w:tcPr>
            <w:tcW w:w="857" w:type="dxa"/>
            <w:tcBorders>
              <w:top w:val="nil"/>
              <w:left w:val="nil"/>
              <w:bottom w:val="nil"/>
              <w:right w:val="nil"/>
            </w:tcBorders>
            <w:shd w:val="clear" w:color="auto" w:fill="auto"/>
            <w:noWrap/>
            <w:vAlign w:val="bottom"/>
            <w:hideMark/>
          </w:tcPr>
          <w:p w14:paraId="064290E7"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201</w:t>
            </w:r>
          </w:p>
        </w:tc>
        <w:tc>
          <w:tcPr>
            <w:tcW w:w="857" w:type="dxa"/>
            <w:tcBorders>
              <w:top w:val="nil"/>
              <w:left w:val="nil"/>
              <w:bottom w:val="nil"/>
              <w:right w:val="nil"/>
            </w:tcBorders>
            <w:shd w:val="clear" w:color="auto" w:fill="auto"/>
            <w:noWrap/>
            <w:vAlign w:val="bottom"/>
            <w:hideMark/>
          </w:tcPr>
          <w:p w14:paraId="42BD95A1"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242</w:t>
            </w:r>
          </w:p>
        </w:tc>
      </w:tr>
      <w:tr w:rsidR="00444328" w:rsidRPr="00444328" w14:paraId="543F660E" w14:textId="77777777" w:rsidTr="00444328">
        <w:trPr>
          <w:trHeight w:val="204"/>
        </w:trPr>
        <w:tc>
          <w:tcPr>
            <w:tcW w:w="2976" w:type="dxa"/>
            <w:tcBorders>
              <w:top w:val="nil"/>
              <w:left w:val="nil"/>
              <w:bottom w:val="nil"/>
              <w:right w:val="nil"/>
            </w:tcBorders>
            <w:shd w:val="clear" w:color="auto" w:fill="auto"/>
            <w:noWrap/>
            <w:vAlign w:val="center"/>
            <w:hideMark/>
          </w:tcPr>
          <w:p w14:paraId="7F0BE556" w14:textId="77777777" w:rsidR="00444328" w:rsidRPr="00444328" w:rsidRDefault="00444328" w:rsidP="00444328">
            <w:pPr>
              <w:spacing w:after="0" w:line="240" w:lineRule="auto"/>
              <w:jc w:val="left"/>
              <w:rPr>
                <w:rFonts w:ascii="Arial" w:hAnsi="Arial" w:cs="Arial"/>
                <w:b/>
                <w:bCs/>
                <w:i/>
                <w:iCs/>
                <w:color w:val="000000"/>
                <w:sz w:val="16"/>
                <w:szCs w:val="16"/>
              </w:rPr>
            </w:pPr>
            <w:r w:rsidRPr="00444328">
              <w:rPr>
                <w:rFonts w:ascii="Arial" w:hAnsi="Arial" w:cs="Arial"/>
                <w:b/>
                <w:bCs/>
                <w:i/>
                <w:iCs/>
                <w:color w:val="000000"/>
                <w:sz w:val="16"/>
                <w:szCs w:val="16"/>
              </w:rPr>
              <w:t>Total financial assets</w:t>
            </w:r>
          </w:p>
        </w:tc>
        <w:tc>
          <w:tcPr>
            <w:tcW w:w="856" w:type="dxa"/>
            <w:tcBorders>
              <w:top w:val="single" w:sz="4" w:space="0" w:color="000000"/>
              <w:left w:val="nil"/>
              <w:bottom w:val="single" w:sz="4" w:space="0" w:color="000000"/>
              <w:right w:val="nil"/>
            </w:tcBorders>
            <w:shd w:val="clear" w:color="auto" w:fill="auto"/>
            <w:noWrap/>
            <w:vAlign w:val="bottom"/>
            <w:hideMark/>
          </w:tcPr>
          <w:p w14:paraId="066A1ABE" w14:textId="0EF26A02"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68,115</w:t>
            </w:r>
          </w:p>
        </w:tc>
        <w:tc>
          <w:tcPr>
            <w:tcW w:w="857" w:type="dxa"/>
            <w:tcBorders>
              <w:top w:val="single" w:sz="4" w:space="0" w:color="000000"/>
              <w:left w:val="nil"/>
              <w:bottom w:val="single" w:sz="4" w:space="0" w:color="000000"/>
              <w:right w:val="nil"/>
            </w:tcBorders>
            <w:shd w:val="clear" w:color="000000" w:fill="E6E6E6"/>
            <w:noWrap/>
            <w:vAlign w:val="bottom"/>
            <w:hideMark/>
          </w:tcPr>
          <w:p w14:paraId="2F90A04C" w14:textId="622E8C20"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61,253</w:t>
            </w:r>
          </w:p>
        </w:tc>
        <w:tc>
          <w:tcPr>
            <w:tcW w:w="857" w:type="dxa"/>
            <w:tcBorders>
              <w:top w:val="single" w:sz="4" w:space="0" w:color="000000"/>
              <w:left w:val="nil"/>
              <w:bottom w:val="single" w:sz="4" w:space="0" w:color="000000"/>
              <w:right w:val="nil"/>
            </w:tcBorders>
            <w:shd w:val="clear" w:color="auto" w:fill="auto"/>
            <w:noWrap/>
            <w:vAlign w:val="bottom"/>
            <w:hideMark/>
          </w:tcPr>
          <w:p w14:paraId="5A626311" w14:textId="27EDC2B6"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50,611</w:t>
            </w:r>
          </w:p>
        </w:tc>
        <w:tc>
          <w:tcPr>
            <w:tcW w:w="857" w:type="dxa"/>
            <w:tcBorders>
              <w:top w:val="single" w:sz="4" w:space="0" w:color="000000"/>
              <w:left w:val="nil"/>
              <w:bottom w:val="single" w:sz="4" w:space="0" w:color="000000"/>
              <w:right w:val="nil"/>
            </w:tcBorders>
            <w:shd w:val="clear" w:color="auto" w:fill="auto"/>
            <w:noWrap/>
            <w:vAlign w:val="bottom"/>
            <w:hideMark/>
          </w:tcPr>
          <w:p w14:paraId="0B7F6CC1" w14:textId="6FC53BBD"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57,304</w:t>
            </w:r>
          </w:p>
        </w:tc>
        <w:tc>
          <w:tcPr>
            <w:tcW w:w="857" w:type="dxa"/>
            <w:tcBorders>
              <w:top w:val="single" w:sz="4" w:space="0" w:color="000000"/>
              <w:left w:val="nil"/>
              <w:bottom w:val="single" w:sz="4" w:space="0" w:color="000000"/>
              <w:right w:val="nil"/>
            </w:tcBorders>
            <w:shd w:val="clear" w:color="auto" w:fill="auto"/>
            <w:noWrap/>
            <w:vAlign w:val="bottom"/>
            <w:hideMark/>
          </w:tcPr>
          <w:p w14:paraId="327BD8F8" w14:textId="07E76BCE"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31,078</w:t>
            </w:r>
          </w:p>
        </w:tc>
      </w:tr>
      <w:tr w:rsidR="00444328" w:rsidRPr="00444328" w14:paraId="7B02DB76" w14:textId="77777777" w:rsidTr="00444328">
        <w:trPr>
          <w:trHeight w:val="204"/>
        </w:trPr>
        <w:tc>
          <w:tcPr>
            <w:tcW w:w="2976" w:type="dxa"/>
            <w:tcBorders>
              <w:top w:val="nil"/>
              <w:left w:val="nil"/>
              <w:bottom w:val="nil"/>
              <w:right w:val="nil"/>
            </w:tcBorders>
            <w:shd w:val="clear" w:color="auto" w:fill="auto"/>
            <w:noWrap/>
            <w:vAlign w:val="center"/>
            <w:hideMark/>
          </w:tcPr>
          <w:p w14:paraId="1F3AF743" w14:textId="77777777" w:rsidR="00444328" w:rsidRPr="00444328" w:rsidRDefault="00444328" w:rsidP="00444328">
            <w:pPr>
              <w:spacing w:after="0" w:line="240" w:lineRule="auto"/>
              <w:jc w:val="left"/>
              <w:rPr>
                <w:rFonts w:ascii="Arial" w:hAnsi="Arial" w:cs="Arial"/>
                <w:b/>
                <w:bCs/>
                <w:color w:val="000000"/>
                <w:sz w:val="16"/>
                <w:szCs w:val="16"/>
              </w:rPr>
            </w:pPr>
            <w:r w:rsidRPr="00444328">
              <w:rPr>
                <w:rFonts w:ascii="Arial" w:hAnsi="Arial" w:cs="Arial"/>
                <w:b/>
                <w:bCs/>
                <w:color w:val="000000"/>
                <w:sz w:val="16"/>
                <w:szCs w:val="16"/>
              </w:rPr>
              <w:t>Non-financial assets</w:t>
            </w:r>
          </w:p>
        </w:tc>
        <w:tc>
          <w:tcPr>
            <w:tcW w:w="856" w:type="dxa"/>
            <w:tcBorders>
              <w:top w:val="nil"/>
              <w:left w:val="nil"/>
              <w:bottom w:val="nil"/>
              <w:right w:val="nil"/>
            </w:tcBorders>
            <w:shd w:val="clear" w:color="auto" w:fill="auto"/>
            <w:noWrap/>
            <w:vAlign w:val="bottom"/>
            <w:hideMark/>
          </w:tcPr>
          <w:p w14:paraId="342C8674" w14:textId="77777777" w:rsidR="00444328" w:rsidRPr="00D47D34" w:rsidRDefault="00444328" w:rsidP="00D47D3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2B2EE410" w14:textId="541F6193" w:rsidR="00444328" w:rsidRPr="00D47D34" w:rsidRDefault="00444328" w:rsidP="00D47D3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40EFFE13" w14:textId="77777777" w:rsidR="00444328" w:rsidRPr="00D47D34" w:rsidRDefault="00444328" w:rsidP="00D47D3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1F2E496" w14:textId="77777777" w:rsidR="00444328" w:rsidRPr="00D47D34" w:rsidRDefault="00444328" w:rsidP="00D47D3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6E38257B" w14:textId="77777777" w:rsidR="00444328" w:rsidRPr="00D47D34" w:rsidRDefault="00444328" w:rsidP="00D47D34">
            <w:pPr>
              <w:spacing w:after="0" w:line="240" w:lineRule="auto"/>
              <w:jc w:val="right"/>
              <w:rPr>
                <w:rFonts w:ascii="Times New Roman" w:hAnsi="Times New Roman"/>
                <w:sz w:val="16"/>
                <w:szCs w:val="16"/>
              </w:rPr>
            </w:pPr>
          </w:p>
        </w:tc>
      </w:tr>
      <w:tr w:rsidR="00444328" w:rsidRPr="00444328" w14:paraId="1C8D008C" w14:textId="77777777" w:rsidTr="00444328">
        <w:trPr>
          <w:trHeight w:val="204"/>
        </w:trPr>
        <w:tc>
          <w:tcPr>
            <w:tcW w:w="2976" w:type="dxa"/>
            <w:tcBorders>
              <w:top w:val="nil"/>
              <w:left w:val="nil"/>
              <w:bottom w:val="nil"/>
              <w:right w:val="nil"/>
            </w:tcBorders>
            <w:shd w:val="clear" w:color="auto" w:fill="auto"/>
            <w:noWrap/>
            <w:vAlign w:val="center"/>
            <w:hideMark/>
          </w:tcPr>
          <w:p w14:paraId="37AA40C5" w14:textId="77777777" w:rsidR="00444328" w:rsidRPr="00D4130C" w:rsidRDefault="00444328" w:rsidP="00444328">
            <w:pPr>
              <w:spacing w:after="0" w:line="240" w:lineRule="auto"/>
              <w:ind w:left="113"/>
              <w:jc w:val="left"/>
              <w:rPr>
                <w:rFonts w:ascii="Arial" w:hAnsi="Arial" w:cs="Arial"/>
                <w:sz w:val="16"/>
                <w:szCs w:val="16"/>
              </w:rPr>
            </w:pPr>
            <w:r w:rsidRPr="00D4130C">
              <w:rPr>
                <w:rFonts w:ascii="Arial" w:hAnsi="Arial" w:cs="Arial"/>
                <w:sz w:val="16"/>
                <w:szCs w:val="16"/>
              </w:rPr>
              <w:t>Land and buildings</w:t>
            </w:r>
          </w:p>
        </w:tc>
        <w:tc>
          <w:tcPr>
            <w:tcW w:w="856" w:type="dxa"/>
            <w:tcBorders>
              <w:top w:val="nil"/>
              <w:left w:val="nil"/>
              <w:bottom w:val="nil"/>
              <w:right w:val="nil"/>
            </w:tcBorders>
            <w:shd w:val="clear" w:color="auto" w:fill="auto"/>
            <w:noWrap/>
            <w:vAlign w:val="bottom"/>
            <w:hideMark/>
          </w:tcPr>
          <w:p w14:paraId="198385A2"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39,767</w:t>
            </w:r>
          </w:p>
        </w:tc>
        <w:tc>
          <w:tcPr>
            <w:tcW w:w="857" w:type="dxa"/>
            <w:tcBorders>
              <w:top w:val="nil"/>
              <w:left w:val="nil"/>
              <w:bottom w:val="nil"/>
              <w:right w:val="nil"/>
            </w:tcBorders>
            <w:shd w:val="clear" w:color="000000" w:fill="E6E6E6"/>
            <w:noWrap/>
            <w:vAlign w:val="bottom"/>
            <w:hideMark/>
          </w:tcPr>
          <w:p w14:paraId="65AA56F0"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31,212</w:t>
            </w:r>
          </w:p>
        </w:tc>
        <w:tc>
          <w:tcPr>
            <w:tcW w:w="857" w:type="dxa"/>
            <w:tcBorders>
              <w:top w:val="nil"/>
              <w:left w:val="nil"/>
              <w:bottom w:val="nil"/>
              <w:right w:val="nil"/>
            </w:tcBorders>
            <w:shd w:val="clear" w:color="auto" w:fill="auto"/>
            <w:noWrap/>
            <w:vAlign w:val="bottom"/>
            <w:hideMark/>
          </w:tcPr>
          <w:p w14:paraId="52D63324"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28,221</w:t>
            </w:r>
          </w:p>
        </w:tc>
        <w:tc>
          <w:tcPr>
            <w:tcW w:w="857" w:type="dxa"/>
            <w:tcBorders>
              <w:top w:val="nil"/>
              <w:left w:val="nil"/>
              <w:bottom w:val="nil"/>
              <w:right w:val="nil"/>
            </w:tcBorders>
            <w:shd w:val="clear" w:color="auto" w:fill="auto"/>
            <w:noWrap/>
            <w:vAlign w:val="bottom"/>
            <w:hideMark/>
          </w:tcPr>
          <w:p w14:paraId="7E74D2E0"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66,108</w:t>
            </w:r>
          </w:p>
        </w:tc>
        <w:tc>
          <w:tcPr>
            <w:tcW w:w="857" w:type="dxa"/>
            <w:tcBorders>
              <w:top w:val="nil"/>
              <w:left w:val="nil"/>
              <w:bottom w:val="nil"/>
              <w:right w:val="nil"/>
            </w:tcBorders>
            <w:shd w:val="clear" w:color="auto" w:fill="auto"/>
            <w:noWrap/>
            <w:vAlign w:val="bottom"/>
            <w:hideMark/>
          </w:tcPr>
          <w:p w14:paraId="62CAE3AB"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57,751</w:t>
            </w:r>
          </w:p>
        </w:tc>
      </w:tr>
      <w:tr w:rsidR="00444328" w:rsidRPr="00444328" w14:paraId="0D985B98" w14:textId="77777777" w:rsidTr="00444328">
        <w:trPr>
          <w:trHeight w:val="204"/>
        </w:trPr>
        <w:tc>
          <w:tcPr>
            <w:tcW w:w="2976" w:type="dxa"/>
            <w:tcBorders>
              <w:top w:val="nil"/>
              <w:left w:val="nil"/>
              <w:bottom w:val="nil"/>
              <w:right w:val="nil"/>
            </w:tcBorders>
            <w:shd w:val="clear" w:color="auto" w:fill="auto"/>
            <w:noWrap/>
            <w:vAlign w:val="center"/>
            <w:hideMark/>
          </w:tcPr>
          <w:p w14:paraId="685AC423" w14:textId="77777777" w:rsidR="00444328" w:rsidRPr="00D4130C" w:rsidRDefault="00444328" w:rsidP="00444328">
            <w:pPr>
              <w:spacing w:after="0" w:line="240" w:lineRule="auto"/>
              <w:ind w:left="113"/>
              <w:jc w:val="left"/>
              <w:rPr>
                <w:rFonts w:ascii="Arial" w:hAnsi="Arial" w:cs="Arial"/>
                <w:sz w:val="16"/>
                <w:szCs w:val="16"/>
              </w:rPr>
            </w:pPr>
            <w:r w:rsidRPr="00D4130C">
              <w:rPr>
                <w:rFonts w:ascii="Arial" w:hAnsi="Arial" w:cs="Arial"/>
                <w:sz w:val="16"/>
                <w:szCs w:val="16"/>
              </w:rPr>
              <w:t>Property, plant and equipment</w:t>
            </w:r>
          </w:p>
        </w:tc>
        <w:tc>
          <w:tcPr>
            <w:tcW w:w="856" w:type="dxa"/>
            <w:tcBorders>
              <w:top w:val="nil"/>
              <w:left w:val="nil"/>
              <w:bottom w:val="nil"/>
              <w:right w:val="nil"/>
            </w:tcBorders>
            <w:shd w:val="clear" w:color="auto" w:fill="auto"/>
            <w:noWrap/>
            <w:vAlign w:val="bottom"/>
            <w:hideMark/>
          </w:tcPr>
          <w:p w14:paraId="7D236547"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8,942</w:t>
            </w:r>
          </w:p>
        </w:tc>
        <w:tc>
          <w:tcPr>
            <w:tcW w:w="857" w:type="dxa"/>
            <w:tcBorders>
              <w:top w:val="nil"/>
              <w:left w:val="nil"/>
              <w:bottom w:val="nil"/>
              <w:right w:val="nil"/>
            </w:tcBorders>
            <w:shd w:val="clear" w:color="000000" w:fill="E6E6E6"/>
            <w:noWrap/>
            <w:vAlign w:val="bottom"/>
            <w:hideMark/>
          </w:tcPr>
          <w:p w14:paraId="51F14A94"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13,515</w:t>
            </w:r>
          </w:p>
        </w:tc>
        <w:tc>
          <w:tcPr>
            <w:tcW w:w="857" w:type="dxa"/>
            <w:tcBorders>
              <w:top w:val="nil"/>
              <w:left w:val="nil"/>
              <w:bottom w:val="nil"/>
              <w:right w:val="nil"/>
            </w:tcBorders>
            <w:shd w:val="clear" w:color="auto" w:fill="auto"/>
            <w:noWrap/>
            <w:vAlign w:val="bottom"/>
            <w:hideMark/>
          </w:tcPr>
          <w:p w14:paraId="30C6FE49"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30,441</w:t>
            </w:r>
          </w:p>
        </w:tc>
        <w:tc>
          <w:tcPr>
            <w:tcW w:w="857" w:type="dxa"/>
            <w:tcBorders>
              <w:top w:val="nil"/>
              <w:left w:val="nil"/>
              <w:bottom w:val="nil"/>
              <w:right w:val="nil"/>
            </w:tcBorders>
            <w:shd w:val="clear" w:color="auto" w:fill="auto"/>
            <w:noWrap/>
            <w:vAlign w:val="bottom"/>
            <w:hideMark/>
          </w:tcPr>
          <w:p w14:paraId="5D160D49"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26,722</w:t>
            </w:r>
          </w:p>
        </w:tc>
        <w:tc>
          <w:tcPr>
            <w:tcW w:w="857" w:type="dxa"/>
            <w:tcBorders>
              <w:top w:val="nil"/>
              <w:left w:val="nil"/>
              <w:bottom w:val="nil"/>
              <w:right w:val="nil"/>
            </w:tcBorders>
            <w:shd w:val="clear" w:color="auto" w:fill="auto"/>
            <w:noWrap/>
            <w:vAlign w:val="bottom"/>
            <w:hideMark/>
          </w:tcPr>
          <w:p w14:paraId="32089066"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25,102</w:t>
            </w:r>
          </w:p>
        </w:tc>
      </w:tr>
      <w:tr w:rsidR="00444328" w:rsidRPr="00444328" w14:paraId="725B321A" w14:textId="77777777" w:rsidTr="00444328">
        <w:trPr>
          <w:trHeight w:val="204"/>
        </w:trPr>
        <w:tc>
          <w:tcPr>
            <w:tcW w:w="2976" w:type="dxa"/>
            <w:tcBorders>
              <w:top w:val="nil"/>
              <w:left w:val="nil"/>
              <w:bottom w:val="nil"/>
              <w:right w:val="nil"/>
            </w:tcBorders>
            <w:shd w:val="clear" w:color="auto" w:fill="auto"/>
            <w:noWrap/>
            <w:vAlign w:val="center"/>
            <w:hideMark/>
          </w:tcPr>
          <w:p w14:paraId="28FE9516" w14:textId="77777777" w:rsidR="00444328" w:rsidRPr="00D4130C" w:rsidRDefault="00444328" w:rsidP="00444328">
            <w:pPr>
              <w:spacing w:after="0" w:line="240" w:lineRule="auto"/>
              <w:ind w:left="113"/>
              <w:jc w:val="left"/>
              <w:rPr>
                <w:rFonts w:ascii="Arial" w:hAnsi="Arial" w:cs="Arial"/>
                <w:sz w:val="16"/>
                <w:szCs w:val="16"/>
              </w:rPr>
            </w:pPr>
            <w:r w:rsidRPr="00D4130C">
              <w:rPr>
                <w:rFonts w:ascii="Arial" w:hAnsi="Arial" w:cs="Arial"/>
                <w:sz w:val="16"/>
                <w:szCs w:val="16"/>
              </w:rPr>
              <w:t>Intangibles</w:t>
            </w:r>
          </w:p>
        </w:tc>
        <w:tc>
          <w:tcPr>
            <w:tcW w:w="856" w:type="dxa"/>
            <w:tcBorders>
              <w:top w:val="nil"/>
              <w:left w:val="nil"/>
              <w:bottom w:val="nil"/>
              <w:right w:val="nil"/>
            </w:tcBorders>
            <w:shd w:val="clear" w:color="auto" w:fill="auto"/>
            <w:noWrap/>
            <w:vAlign w:val="bottom"/>
            <w:hideMark/>
          </w:tcPr>
          <w:p w14:paraId="49AA2FAE"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41,725</w:t>
            </w:r>
          </w:p>
        </w:tc>
        <w:tc>
          <w:tcPr>
            <w:tcW w:w="857" w:type="dxa"/>
            <w:tcBorders>
              <w:top w:val="nil"/>
              <w:left w:val="nil"/>
              <w:bottom w:val="nil"/>
              <w:right w:val="nil"/>
            </w:tcBorders>
            <w:shd w:val="clear" w:color="000000" w:fill="E6E6E6"/>
            <w:noWrap/>
            <w:vAlign w:val="bottom"/>
            <w:hideMark/>
          </w:tcPr>
          <w:p w14:paraId="20F3F304"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44,752</w:t>
            </w:r>
          </w:p>
        </w:tc>
        <w:tc>
          <w:tcPr>
            <w:tcW w:w="857" w:type="dxa"/>
            <w:tcBorders>
              <w:top w:val="nil"/>
              <w:left w:val="nil"/>
              <w:bottom w:val="nil"/>
              <w:right w:val="nil"/>
            </w:tcBorders>
            <w:shd w:val="clear" w:color="auto" w:fill="auto"/>
            <w:noWrap/>
            <w:vAlign w:val="bottom"/>
            <w:hideMark/>
          </w:tcPr>
          <w:p w14:paraId="49BE9AE6"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38,817</w:t>
            </w:r>
          </w:p>
        </w:tc>
        <w:tc>
          <w:tcPr>
            <w:tcW w:w="857" w:type="dxa"/>
            <w:tcBorders>
              <w:top w:val="nil"/>
              <w:left w:val="nil"/>
              <w:bottom w:val="nil"/>
              <w:right w:val="nil"/>
            </w:tcBorders>
            <w:shd w:val="clear" w:color="auto" w:fill="auto"/>
            <w:noWrap/>
            <w:vAlign w:val="bottom"/>
            <w:hideMark/>
          </w:tcPr>
          <w:p w14:paraId="3049371B"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32,320</w:t>
            </w:r>
          </w:p>
        </w:tc>
        <w:tc>
          <w:tcPr>
            <w:tcW w:w="857" w:type="dxa"/>
            <w:tcBorders>
              <w:top w:val="nil"/>
              <w:left w:val="nil"/>
              <w:bottom w:val="nil"/>
              <w:right w:val="nil"/>
            </w:tcBorders>
            <w:shd w:val="clear" w:color="auto" w:fill="auto"/>
            <w:noWrap/>
            <w:vAlign w:val="bottom"/>
            <w:hideMark/>
          </w:tcPr>
          <w:p w14:paraId="03D3E094"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24,850</w:t>
            </w:r>
          </w:p>
        </w:tc>
      </w:tr>
      <w:tr w:rsidR="00444328" w:rsidRPr="00444328" w14:paraId="2576A0EB" w14:textId="77777777" w:rsidTr="00444328">
        <w:trPr>
          <w:trHeight w:val="204"/>
        </w:trPr>
        <w:tc>
          <w:tcPr>
            <w:tcW w:w="2976" w:type="dxa"/>
            <w:tcBorders>
              <w:top w:val="nil"/>
              <w:left w:val="nil"/>
              <w:bottom w:val="nil"/>
              <w:right w:val="nil"/>
            </w:tcBorders>
            <w:shd w:val="clear" w:color="auto" w:fill="auto"/>
            <w:noWrap/>
            <w:vAlign w:val="center"/>
            <w:hideMark/>
          </w:tcPr>
          <w:p w14:paraId="2F9E1352" w14:textId="77777777" w:rsidR="00444328" w:rsidRPr="00D4130C" w:rsidRDefault="00444328" w:rsidP="00444328">
            <w:pPr>
              <w:spacing w:after="0" w:line="240" w:lineRule="auto"/>
              <w:ind w:left="113"/>
              <w:jc w:val="left"/>
              <w:rPr>
                <w:rFonts w:ascii="Arial" w:hAnsi="Arial" w:cs="Arial"/>
                <w:sz w:val="16"/>
                <w:szCs w:val="16"/>
              </w:rPr>
            </w:pPr>
            <w:r w:rsidRPr="00D4130C">
              <w:rPr>
                <w:rFonts w:ascii="Arial" w:hAnsi="Arial" w:cs="Arial"/>
                <w:sz w:val="16"/>
                <w:szCs w:val="16"/>
              </w:rPr>
              <w:t>Prepayments</w:t>
            </w:r>
          </w:p>
        </w:tc>
        <w:tc>
          <w:tcPr>
            <w:tcW w:w="856" w:type="dxa"/>
            <w:tcBorders>
              <w:top w:val="nil"/>
              <w:left w:val="nil"/>
              <w:bottom w:val="nil"/>
              <w:right w:val="nil"/>
            </w:tcBorders>
            <w:shd w:val="clear" w:color="auto" w:fill="auto"/>
            <w:noWrap/>
            <w:vAlign w:val="bottom"/>
            <w:hideMark/>
          </w:tcPr>
          <w:p w14:paraId="5E57FEA3"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2,324</w:t>
            </w:r>
          </w:p>
        </w:tc>
        <w:tc>
          <w:tcPr>
            <w:tcW w:w="857" w:type="dxa"/>
            <w:tcBorders>
              <w:top w:val="nil"/>
              <w:left w:val="nil"/>
              <w:bottom w:val="nil"/>
              <w:right w:val="nil"/>
            </w:tcBorders>
            <w:shd w:val="clear" w:color="000000" w:fill="E6E6E6"/>
            <w:noWrap/>
            <w:vAlign w:val="bottom"/>
            <w:hideMark/>
          </w:tcPr>
          <w:p w14:paraId="70D0A8D9"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2,839</w:t>
            </w:r>
          </w:p>
        </w:tc>
        <w:tc>
          <w:tcPr>
            <w:tcW w:w="857" w:type="dxa"/>
            <w:tcBorders>
              <w:top w:val="nil"/>
              <w:left w:val="nil"/>
              <w:bottom w:val="nil"/>
              <w:right w:val="nil"/>
            </w:tcBorders>
            <w:shd w:val="clear" w:color="auto" w:fill="auto"/>
            <w:noWrap/>
            <w:vAlign w:val="bottom"/>
            <w:hideMark/>
          </w:tcPr>
          <w:p w14:paraId="0FEA93C8"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2,657</w:t>
            </w:r>
          </w:p>
        </w:tc>
        <w:tc>
          <w:tcPr>
            <w:tcW w:w="857" w:type="dxa"/>
            <w:tcBorders>
              <w:top w:val="nil"/>
              <w:left w:val="nil"/>
              <w:bottom w:val="nil"/>
              <w:right w:val="nil"/>
            </w:tcBorders>
            <w:shd w:val="clear" w:color="auto" w:fill="auto"/>
            <w:noWrap/>
            <w:vAlign w:val="bottom"/>
            <w:hideMark/>
          </w:tcPr>
          <w:p w14:paraId="35341861"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2,670</w:t>
            </w:r>
          </w:p>
        </w:tc>
        <w:tc>
          <w:tcPr>
            <w:tcW w:w="857" w:type="dxa"/>
            <w:tcBorders>
              <w:top w:val="nil"/>
              <w:left w:val="nil"/>
              <w:bottom w:val="nil"/>
              <w:right w:val="nil"/>
            </w:tcBorders>
            <w:shd w:val="clear" w:color="auto" w:fill="auto"/>
            <w:noWrap/>
            <w:vAlign w:val="bottom"/>
            <w:hideMark/>
          </w:tcPr>
          <w:p w14:paraId="2A9807F9"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2,738</w:t>
            </w:r>
          </w:p>
        </w:tc>
      </w:tr>
      <w:tr w:rsidR="00444328" w:rsidRPr="00444328" w14:paraId="1FF7C58F" w14:textId="77777777" w:rsidTr="00444328">
        <w:trPr>
          <w:trHeight w:val="204"/>
        </w:trPr>
        <w:tc>
          <w:tcPr>
            <w:tcW w:w="2976" w:type="dxa"/>
            <w:tcBorders>
              <w:top w:val="nil"/>
              <w:left w:val="nil"/>
              <w:bottom w:val="nil"/>
              <w:right w:val="nil"/>
            </w:tcBorders>
            <w:shd w:val="clear" w:color="auto" w:fill="auto"/>
            <w:noWrap/>
            <w:vAlign w:val="center"/>
            <w:hideMark/>
          </w:tcPr>
          <w:p w14:paraId="53081975" w14:textId="77777777" w:rsidR="00444328" w:rsidRPr="00444328" w:rsidRDefault="00444328" w:rsidP="00444328">
            <w:pPr>
              <w:spacing w:after="0" w:line="240" w:lineRule="auto"/>
              <w:jc w:val="left"/>
              <w:rPr>
                <w:rFonts w:ascii="Arial" w:hAnsi="Arial" w:cs="Arial"/>
                <w:b/>
                <w:bCs/>
                <w:i/>
                <w:iCs/>
                <w:color w:val="000000"/>
                <w:sz w:val="16"/>
                <w:szCs w:val="16"/>
              </w:rPr>
            </w:pPr>
            <w:r w:rsidRPr="00444328">
              <w:rPr>
                <w:rFonts w:ascii="Arial" w:hAnsi="Arial" w:cs="Arial"/>
                <w:b/>
                <w:bCs/>
                <w:i/>
                <w:iCs/>
                <w:color w:val="000000"/>
                <w:sz w:val="16"/>
                <w:szCs w:val="16"/>
              </w:rPr>
              <w:t>Total non-financial assets</w:t>
            </w:r>
          </w:p>
        </w:tc>
        <w:tc>
          <w:tcPr>
            <w:tcW w:w="856" w:type="dxa"/>
            <w:tcBorders>
              <w:top w:val="single" w:sz="4" w:space="0" w:color="000000"/>
              <w:left w:val="nil"/>
              <w:bottom w:val="single" w:sz="4" w:space="0" w:color="000000"/>
              <w:right w:val="nil"/>
            </w:tcBorders>
            <w:shd w:val="clear" w:color="auto" w:fill="auto"/>
            <w:noWrap/>
            <w:vAlign w:val="bottom"/>
            <w:hideMark/>
          </w:tcPr>
          <w:p w14:paraId="78C57F48" w14:textId="462BB9CA"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92,758</w:t>
            </w:r>
          </w:p>
        </w:tc>
        <w:tc>
          <w:tcPr>
            <w:tcW w:w="857" w:type="dxa"/>
            <w:tcBorders>
              <w:top w:val="single" w:sz="4" w:space="0" w:color="000000"/>
              <w:left w:val="nil"/>
              <w:bottom w:val="single" w:sz="4" w:space="0" w:color="000000"/>
              <w:right w:val="nil"/>
            </w:tcBorders>
            <w:shd w:val="clear" w:color="000000" w:fill="E6E6E6"/>
            <w:noWrap/>
            <w:vAlign w:val="bottom"/>
            <w:hideMark/>
          </w:tcPr>
          <w:p w14:paraId="4BB0EEEF" w14:textId="4DDEF457"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92,318</w:t>
            </w:r>
          </w:p>
        </w:tc>
        <w:tc>
          <w:tcPr>
            <w:tcW w:w="857" w:type="dxa"/>
            <w:tcBorders>
              <w:top w:val="single" w:sz="4" w:space="0" w:color="000000"/>
              <w:left w:val="nil"/>
              <w:bottom w:val="single" w:sz="4" w:space="0" w:color="000000"/>
              <w:right w:val="nil"/>
            </w:tcBorders>
            <w:shd w:val="clear" w:color="auto" w:fill="auto"/>
            <w:noWrap/>
            <w:vAlign w:val="bottom"/>
            <w:hideMark/>
          </w:tcPr>
          <w:p w14:paraId="5DCB1160" w14:textId="30FD7DFA"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100,136</w:t>
            </w:r>
          </w:p>
        </w:tc>
        <w:tc>
          <w:tcPr>
            <w:tcW w:w="857" w:type="dxa"/>
            <w:tcBorders>
              <w:top w:val="single" w:sz="4" w:space="0" w:color="000000"/>
              <w:left w:val="nil"/>
              <w:bottom w:val="single" w:sz="4" w:space="0" w:color="000000"/>
              <w:right w:val="nil"/>
            </w:tcBorders>
            <w:shd w:val="clear" w:color="auto" w:fill="auto"/>
            <w:noWrap/>
            <w:vAlign w:val="bottom"/>
            <w:hideMark/>
          </w:tcPr>
          <w:p w14:paraId="526685D0" w14:textId="3B1AD2EC"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127,820</w:t>
            </w:r>
          </w:p>
        </w:tc>
        <w:tc>
          <w:tcPr>
            <w:tcW w:w="857" w:type="dxa"/>
            <w:tcBorders>
              <w:top w:val="single" w:sz="4" w:space="0" w:color="000000"/>
              <w:left w:val="nil"/>
              <w:bottom w:val="single" w:sz="4" w:space="0" w:color="000000"/>
              <w:right w:val="nil"/>
            </w:tcBorders>
            <w:shd w:val="clear" w:color="auto" w:fill="auto"/>
            <w:noWrap/>
            <w:vAlign w:val="bottom"/>
            <w:hideMark/>
          </w:tcPr>
          <w:p w14:paraId="422852A8" w14:textId="0DC9240D"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110,441</w:t>
            </w:r>
          </w:p>
        </w:tc>
      </w:tr>
      <w:tr w:rsidR="00444328" w:rsidRPr="00444328" w14:paraId="5D1B036F" w14:textId="77777777" w:rsidTr="00444328">
        <w:trPr>
          <w:trHeight w:val="204"/>
        </w:trPr>
        <w:tc>
          <w:tcPr>
            <w:tcW w:w="2976" w:type="dxa"/>
            <w:tcBorders>
              <w:top w:val="nil"/>
              <w:left w:val="nil"/>
              <w:bottom w:val="nil"/>
              <w:right w:val="nil"/>
            </w:tcBorders>
            <w:shd w:val="clear" w:color="auto" w:fill="auto"/>
            <w:noWrap/>
            <w:vAlign w:val="center"/>
            <w:hideMark/>
          </w:tcPr>
          <w:p w14:paraId="5FEFACE6" w14:textId="77777777" w:rsidR="00444328" w:rsidRPr="00444328" w:rsidRDefault="00444328" w:rsidP="00444328">
            <w:pPr>
              <w:spacing w:after="0" w:line="240" w:lineRule="auto"/>
              <w:jc w:val="left"/>
              <w:rPr>
                <w:rFonts w:ascii="Arial" w:hAnsi="Arial" w:cs="Arial"/>
                <w:b/>
                <w:bCs/>
                <w:color w:val="000000"/>
                <w:sz w:val="16"/>
                <w:szCs w:val="16"/>
              </w:rPr>
            </w:pPr>
            <w:r w:rsidRPr="00444328">
              <w:rPr>
                <w:rFonts w:ascii="Arial" w:hAnsi="Arial" w:cs="Arial"/>
                <w:b/>
                <w:bCs/>
                <w:color w:val="000000"/>
                <w:sz w:val="16"/>
                <w:szCs w:val="16"/>
              </w:rPr>
              <w:t>Total assets</w:t>
            </w:r>
          </w:p>
        </w:tc>
        <w:tc>
          <w:tcPr>
            <w:tcW w:w="856" w:type="dxa"/>
            <w:tcBorders>
              <w:top w:val="nil"/>
              <w:left w:val="nil"/>
              <w:bottom w:val="single" w:sz="4" w:space="0" w:color="000000"/>
              <w:right w:val="nil"/>
            </w:tcBorders>
            <w:shd w:val="clear" w:color="auto" w:fill="auto"/>
            <w:noWrap/>
            <w:vAlign w:val="bottom"/>
            <w:hideMark/>
          </w:tcPr>
          <w:p w14:paraId="08C8EE4A" w14:textId="475AEA90" w:rsidR="00444328" w:rsidRPr="00D47D34" w:rsidRDefault="00444328" w:rsidP="00D47D34">
            <w:pPr>
              <w:spacing w:after="0" w:line="240" w:lineRule="auto"/>
              <w:jc w:val="right"/>
              <w:rPr>
                <w:rFonts w:ascii="Arial" w:hAnsi="Arial" w:cs="Arial"/>
                <w:b/>
                <w:bCs/>
                <w:color w:val="000000"/>
                <w:sz w:val="16"/>
                <w:szCs w:val="16"/>
              </w:rPr>
            </w:pPr>
            <w:r w:rsidRPr="00D47D34">
              <w:rPr>
                <w:rFonts w:ascii="Arial" w:hAnsi="Arial" w:cs="Arial"/>
                <w:b/>
                <w:bCs/>
                <w:color w:val="000000"/>
                <w:sz w:val="16"/>
                <w:szCs w:val="16"/>
              </w:rPr>
              <w:t>160,873</w:t>
            </w:r>
          </w:p>
        </w:tc>
        <w:tc>
          <w:tcPr>
            <w:tcW w:w="857" w:type="dxa"/>
            <w:tcBorders>
              <w:top w:val="nil"/>
              <w:left w:val="nil"/>
              <w:bottom w:val="single" w:sz="4" w:space="0" w:color="000000"/>
              <w:right w:val="nil"/>
            </w:tcBorders>
            <w:shd w:val="clear" w:color="000000" w:fill="E6E6E6"/>
            <w:noWrap/>
            <w:vAlign w:val="bottom"/>
            <w:hideMark/>
          </w:tcPr>
          <w:p w14:paraId="1F6A5497" w14:textId="4733A123" w:rsidR="00444328" w:rsidRPr="00D47D34" w:rsidRDefault="00444328" w:rsidP="00D47D34">
            <w:pPr>
              <w:spacing w:after="0" w:line="240" w:lineRule="auto"/>
              <w:jc w:val="right"/>
              <w:rPr>
                <w:rFonts w:ascii="Arial" w:hAnsi="Arial" w:cs="Arial"/>
                <w:b/>
                <w:bCs/>
                <w:color w:val="000000"/>
                <w:sz w:val="16"/>
                <w:szCs w:val="16"/>
              </w:rPr>
            </w:pPr>
            <w:r w:rsidRPr="00D47D34">
              <w:rPr>
                <w:rFonts w:ascii="Arial" w:hAnsi="Arial" w:cs="Arial"/>
                <w:b/>
                <w:bCs/>
                <w:color w:val="000000"/>
                <w:sz w:val="16"/>
                <w:szCs w:val="16"/>
              </w:rPr>
              <w:t>153,571</w:t>
            </w:r>
          </w:p>
        </w:tc>
        <w:tc>
          <w:tcPr>
            <w:tcW w:w="857" w:type="dxa"/>
            <w:tcBorders>
              <w:top w:val="nil"/>
              <w:left w:val="nil"/>
              <w:bottom w:val="single" w:sz="4" w:space="0" w:color="000000"/>
              <w:right w:val="nil"/>
            </w:tcBorders>
            <w:shd w:val="clear" w:color="auto" w:fill="auto"/>
            <w:noWrap/>
            <w:vAlign w:val="bottom"/>
            <w:hideMark/>
          </w:tcPr>
          <w:p w14:paraId="4D3BF82D" w14:textId="720647F6" w:rsidR="00444328" w:rsidRPr="00D47D34" w:rsidRDefault="00444328" w:rsidP="00D47D34">
            <w:pPr>
              <w:spacing w:after="0" w:line="240" w:lineRule="auto"/>
              <w:jc w:val="right"/>
              <w:rPr>
                <w:rFonts w:ascii="Arial" w:hAnsi="Arial" w:cs="Arial"/>
                <w:b/>
                <w:bCs/>
                <w:color w:val="000000"/>
                <w:sz w:val="16"/>
                <w:szCs w:val="16"/>
              </w:rPr>
            </w:pPr>
            <w:r w:rsidRPr="00D47D34">
              <w:rPr>
                <w:rFonts w:ascii="Arial" w:hAnsi="Arial" w:cs="Arial"/>
                <w:b/>
                <w:bCs/>
                <w:color w:val="000000"/>
                <w:sz w:val="16"/>
                <w:szCs w:val="16"/>
              </w:rPr>
              <w:t>150,747</w:t>
            </w:r>
          </w:p>
        </w:tc>
        <w:tc>
          <w:tcPr>
            <w:tcW w:w="857" w:type="dxa"/>
            <w:tcBorders>
              <w:top w:val="nil"/>
              <w:left w:val="nil"/>
              <w:bottom w:val="single" w:sz="4" w:space="0" w:color="000000"/>
              <w:right w:val="nil"/>
            </w:tcBorders>
            <w:shd w:val="clear" w:color="auto" w:fill="auto"/>
            <w:noWrap/>
            <w:vAlign w:val="bottom"/>
            <w:hideMark/>
          </w:tcPr>
          <w:p w14:paraId="10ACAF97" w14:textId="22F237AA" w:rsidR="00444328" w:rsidRPr="00D47D34" w:rsidRDefault="00444328" w:rsidP="00D47D34">
            <w:pPr>
              <w:spacing w:after="0" w:line="240" w:lineRule="auto"/>
              <w:jc w:val="right"/>
              <w:rPr>
                <w:rFonts w:ascii="Arial" w:hAnsi="Arial" w:cs="Arial"/>
                <w:b/>
                <w:bCs/>
                <w:color w:val="000000"/>
                <w:sz w:val="16"/>
                <w:szCs w:val="16"/>
              </w:rPr>
            </w:pPr>
            <w:r w:rsidRPr="00D47D34">
              <w:rPr>
                <w:rFonts w:ascii="Arial" w:hAnsi="Arial" w:cs="Arial"/>
                <w:b/>
                <w:bCs/>
                <w:color w:val="000000"/>
                <w:sz w:val="16"/>
                <w:szCs w:val="16"/>
              </w:rPr>
              <w:t>185,124</w:t>
            </w:r>
          </w:p>
        </w:tc>
        <w:tc>
          <w:tcPr>
            <w:tcW w:w="857" w:type="dxa"/>
            <w:tcBorders>
              <w:top w:val="nil"/>
              <w:left w:val="nil"/>
              <w:bottom w:val="single" w:sz="4" w:space="0" w:color="000000"/>
              <w:right w:val="nil"/>
            </w:tcBorders>
            <w:shd w:val="clear" w:color="auto" w:fill="auto"/>
            <w:noWrap/>
            <w:vAlign w:val="bottom"/>
            <w:hideMark/>
          </w:tcPr>
          <w:p w14:paraId="4BD8F425" w14:textId="68022838" w:rsidR="00444328" w:rsidRPr="00D47D34" w:rsidRDefault="00444328" w:rsidP="00D47D34">
            <w:pPr>
              <w:spacing w:after="0" w:line="240" w:lineRule="auto"/>
              <w:jc w:val="right"/>
              <w:rPr>
                <w:rFonts w:ascii="Arial" w:hAnsi="Arial" w:cs="Arial"/>
                <w:b/>
                <w:bCs/>
                <w:color w:val="000000"/>
                <w:sz w:val="16"/>
                <w:szCs w:val="16"/>
              </w:rPr>
            </w:pPr>
            <w:r w:rsidRPr="00D47D34">
              <w:rPr>
                <w:rFonts w:ascii="Arial" w:hAnsi="Arial" w:cs="Arial"/>
                <w:b/>
                <w:bCs/>
                <w:color w:val="000000"/>
                <w:sz w:val="16"/>
                <w:szCs w:val="16"/>
              </w:rPr>
              <w:t>141,519</w:t>
            </w:r>
          </w:p>
        </w:tc>
      </w:tr>
      <w:tr w:rsidR="00444328" w:rsidRPr="00444328" w14:paraId="28DF4FAE" w14:textId="77777777" w:rsidTr="00444328">
        <w:trPr>
          <w:trHeight w:val="204"/>
        </w:trPr>
        <w:tc>
          <w:tcPr>
            <w:tcW w:w="2976" w:type="dxa"/>
            <w:tcBorders>
              <w:top w:val="nil"/>
              <w:left w:val="nil"/>
              <w:bottom w:val="nil"/>
              <w:right w:val="nil"/>
            </w:tcBorders>
            <w:shd w:val="clear" w:color="auto" w:fill="auto"/>
            <w:noWrap/>
            <w:vAlign w:val="center"/>
            <w:hideMark/>
          </w:tcPr>
          <w:p w14:paraId="705FAAEA" w14:textId="77777777" w:rsidR="00444328" w:rsidRPr="00444328" w:rsidRDefault="00444328" w:rsidP="00444328">
            <w:pPr>
              <w:spacing w:after="0" w:line="240" w:lineRule="auto"/>
              <w:jc w:val="left"/>
              <w:rPr>
                <w:rFonts w:ascii="Arial" w:hAnsi="Arial" w:cs="Arial"/>
                <w:b/>
                <w:bCs/>
                <w:color w:val="000000"/>
                <w:sz w:val="16"/>
                <w:szCs w:val="16"/>
              </w:rPr>
            </w:pPr>
            <w:r w:rsidRPr="00444328">
              <w:rPr>
                <w:rFonts w:ascii="Arial" w:hAnsi="Arial" w:cs="Arial"/>
                <w:b/>
                <w:bCs/>
                <w:color w:val="000000"/>
                <w:sz w:val="16"/>
                <w:szCs w:val="16"/>
              </w:rPr>
              <w:t>LIABILITIES</w:t>
            </w:r>
          </w:p>
        </w:tc>
        <w:tc>
          <w:tcPr>
            <w:tcW w:w="856" w:type="dxa"/>
            <w:tcBorders>
              <w:top w:val="nil"/>
              <w:left w:val="nil"/>
              <w:bottom w:val="nil"/>
              <w:right w:val="nil"/>
            </w:tcBorders>
            <w:shd w:val="clear" w:color="auto" w:fill="auto"/>
            <w:noWrap/>
            <w:vAlign w:val="bottom"/>
            <w:hideMark/>
          </w:tcPr>
          <w:p w14:paraId="212CBAF0" w14:textId="77777777" w:rsidR="00444328" w:rsidRPr="00D47D34" w:rsidRDefault="00444328" w:rsidP="00D47D3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4C0C3A44" w14:textId="35CDE3DB" w:rsidR="00444328" w:rsidRPr="00D47D34" w:rsidRDefault="00444328" w:rsidP="00D47D3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C241B92" w14:textId="77777777" w:rsidR="00444328" w:rsidRPr="00D47D34" w:rsidRDefault="00444328" w:rsidP="00D47D3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04273D9" w14:textId="77777777" w:rsidR="00444328" w:rsidRPr="00D47D34" w:rsidRDefault="00444328" w:rsidP="00D47D3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7063346E" w14:textId="77777777" w:rsidR="00444328" w:rsidRPr="00D47D34" w:rsidRDefault="00444328" w:rsidP="00D47D34">
            <w:pPr>
              <w:spacing w:after="0" w:line="240" w:lineRule="auto"/>
              <w:jc w:val="right"/>
              <w:rPr>
                <w:rFonts w:ascii="Times New Roman" w:hAnsi="Times New Roman"/>
                <w:sz w:val="16"/>
                <w:szCs w:val="16"/>
              </w:rPr>
            </w:pPr>
          </w:p>
        </w:tc>
      </w:tr>
      <w:tr w:rsidR="00444328" w:rsidRPr="00444328" w14:paraId="6B8C2BEC" w14:textId="77777777" w:rsidTr="00444328">
        <w:trPr>
          <w:trHeight w:val="204"/>
        </w:trPr>
        <w:tc>
          <w:tcPr>
            <w:tcW w:w="2976" w:type="dxa"/>
            <w:tcBorders>
              <w:top w:val="nil"/>
              <w:left w:val="nil"/>
              <w:bottom w:val="nil"/>
              <w:right w:val="nil"/>
            </w:tcBorders>
            <w:shd w:val="clear" w:color="auto" w:fill="auto"/>
            <w:noWrap/>
            <w:vAlign w:val="center"/>
            <w:hideMark/>
          </w:tcPr>
          <w:p w14:paraId="1A009975" w14:textId="77777777" w:rsidR="00444328" w:rsidRPr="00444328" w:rsidRDefault="00444328" w:rsidP="00444328">
            <w:pPr>
              <w:spacing w:after="0" w:line="240" w:lineRule="auto"/>
              <w:jc w:val="left"/>
              <w:rPr>
                <w:rFonts w:ascii="Arial" w:hAnsi="Arial" w:cs="Arial"/>
                <w:b/>
                <w:bCs/>
                <w:color w:val="000000"/>
                <w:sz w:val="16"/>
                <w:szCs w:val="16"/>
              </w:rPr>
            </w:pPr>
            <w:r w:rsidRPr="00444328">
              <w:rPr>
                <w:rFonts w:ascii="Arial" w:hAnsi="Arial" w:cs="Arial"/>
                <w:b/>
                <w:bCs/>
                <w:color w:val="000000"/>
                <w:sz w:val="16"/>
                <w:szCs w:val="16"/>
              </w:rPr>
              <w:t>Payables</w:t>
            </w:r>
          </w:p>
        </w:tc>
        <w:tc>
          <w:tcPr>
            <w:tcW w:w="856" w:type="dxa"/>
            <w:tcBorders>
              <w:top w:val="nil"/>
              <w:left w:val="nil"/>
              <w:bottom w:val="nil"/>
              <w:right w:val="nil"/>
            </w:tcBorders>
            <w:shd w:val="clear" w:color="auto" w:fill="auto"/>
            <w:noWrap/>
            <w:vAlign w:val="bottom"/>
            <w:hideMark/>
          </w:tcPr>
          <w:p w14:paraId="240BEFC7" w14:textId="77777777" w:rsidR="00444328" w:rsidRPr="00D47D34" w:rsidRDefault="00444328" w:rsidP="00D47D3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78FA69B3" w14:textId="36AB1789" w:rsidR="00444328" w:rsidRPr="00D47D34" w:rsidRDefault="00444328" w:rsidP="00D47D3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9B5F203" w14:textId="77777777" w:rsidR="00444328" w:rsidRPr="00D47D34" w:rsidRDefault="00444328" w:rsidP="00D47D3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4122BD8" w14:textId="77777777" w:rsidR="00444328" w:rsidRPr="00D47D34" w:rsidRDefault="00444328" w:rsidP="00D47D3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1828AD47" w14:textId="77777777" w:rsidR="00444328" w:rsidRPr="00D47D34" w:rsidRDefault="00444328" w:rsidP="00D47D34">
            <w:pPr>
              <w:spacing w:after="0" w:line="240" w:lineRule="auto"/>
              <w:jc w:val="right"/>
              <w:rPr>
                <w:rFonts w:ascii="Times New Roman" w:hAnsi="Times New Roman"/>
                <w:sz w:val="16"/>
                <w:szCs w:val="16"/>
              </w:rPr>
            </w:pPr>
          </w:p>
        </w:tc>
      </w:tr>
      <w:tr w:rsidR="00444328" w:rsidRPr="00444328" w14:paraId="23EBF7C5" w14:textId="77777777" w:rsidTr="00444328">
        <w:trPr>
          <w:trHeight w:val="204"/>
        </w:trPr>
        <w:tc>
          <w:tcPr>
            <w:tcW w:w="2976" w:type="dxa"/>
            <w:tcBorders>
              <w:top w:val="nil"/>
              <w:left w:val="nil"/>
              <w:bottom w:val="nil"/>
              <w:right w:val="nil"/>
            </w:tcBorders>
            <w:shd w:val="clear" w:color="auto" w:fill="auto"/>
            <w:noWrap/>
            <w:vAlign w:val="center"/>
            <w:hideMark/>
          </w:tcPr>
          <w:p w14:paraId="7B7DE03C" w14:textId="77777777" w:rsidR="00444328" w:rsidRPr="00444328" w:rsidRDefault="00444328" w:rsidP="00444328">
            <w:pPr>
              <w:spacing w:after="0" w:line="240" w:lineRule="auto"/>
              <w:ind w:left="113"/>
              <w:jc w:val="left"/>
              <w:rPr>
                <w:rFonts w:ascii="Arial" w:hAnsi="Arial" w:cs="Arial"/>
                <w:color w:val="000000"/>
                <w:sz w:val="16"/>
                <w:szCs w:val="16"/>
              </w:rPr>
            </w:pPr>
            <w:r w:rsidRPr="00444328">
              <w:rPr>
                <w:rFonts w:ascii="Arial" w:hAnsi="Arial" w:cs="Arial"/>
                <w:color w:val="000000"/>
                <w:sz w:val="16"/>
                <w:szCs w:val="16"/>
              </w:rPr>
              <w:t>Suppliers</w:t>
            </w:r>
          </w:p>
        </w:tc>
        <w:tc>
          <w:tcPr>
            <w:tcW w:w="856" w:type="dxa"/>
            <w:tcBorders>
              <w:top w:val="nil"/>
              <w:left w:val="nil"/>
              <w:bottom w:val="nil"/>
              <w:right w:val="nil"/>
            </w:tcBorders>
            <w:shd w:val="clear" w:color="auto" w:fill="auto"/>
            <w:noWrap/>
            <w:vAlign w:val="bottom"/>
            <w:hideMark/>
          </w:tcPr>
          <w:p w14:paraId="27106665"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5,279</w:t>
            </w:r>
          </w:p>
        </w:tc>
        <w:tc>
          <w:tcPr>
            <w:tcW w:w="857" w:type="dxa"/>
            <w:tcBorders>
              <w:top w:val="nil"/>
              <w:left w:val="nil"/>
              <w:bottom w:val="nil"/>
              <w:right w:val="nil"/>
            </w:tcBorders>
            <w:shd w:val="clear" w:color="000000" w:fill="E6E6E6"/>
            <w:noWrap/>
            <w:vAlign w:val="bottom"/>
            <w:hideMark/>
          </w:tcPr>
          <w:p w14:paraId="3B34E943"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6,026</w:t>
            </w:r>
          </w:p>
        </w:tc>
        <w:tc>
          <w:tcPr>
            <w:tcW w:w="857" w:type="dxa"/>
            <w:tcBorders>
              <w:top w:val="nil"/>
              <w:left w:val="nil"/>
              <w:bottom w:val="nil"/>
              <w:right w:val="nil"/>
            </w:tcBorders>
            <w:shd w:val="clear" w:color="auto" w:fill="auto"/>
            <w:noWrap/>
            <w:vAlign w:val="bottom"/>
            <w:hideMark/>
          </w:tcPr>
          <w:p w14:paraId="77E58E7F"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5,643</w:t>
            </w:r>
          </w:p>
        </w:tc>
        <w:tc>
          <w:tcPr>
            <w:tcW w:w="857" w:type="dxa"/>
            <w:tcBorders>
              <w:top w:val="nil"/>
              <w:left w:val="nil"/>
              <w:bottom w:val="nil"/>
              <w:right w:val="nil"/>
            </w:tcBorders>
            <w:shd w:val="clear" w:color="auto" w:fill="auto"/>
            <w:noWrap/>
            <w:vAlign w:val="bottom"/>
            <w:hideMark/>
          </w:tcPr>
          <w:p w14:paraId="3C989234"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5,668</w:t>
            </w:r>
          </w:p>
        </w:tc>
        <w:tc>
          <w:tcPr>
            <w:tcW w:w="857" w:type="dxa"/>
            <w:tcBorders>
              <w:top w:val="nil"/>
              <w:left w:val="nil"/>
              <w:bottom w:val="nil"/>
              <w:right w:val="nil"/>
            </w:tcBorders>
            <w:shd w:val="clear" w:color="auto" w:fill="auto"/>
            <w:noWrap/>
            <w:vAlign w:val="bottom"/>
            <w:hideMark/>
          </w:tcPr>
          <w:p w14:paraId="442D964E"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5,812</w:t>
            </w:r>
          </w:p>
        </w:tc>
      </w:tr>
      <w:tr w:rsidR="00444328" w:rsidRPr="00444328" w14:paraId="297C8809" w14:textId="77777777" w:rsidTr="00444328">
        <w:trPr>
          <w:trHeight w:val="204"/>
        </w:trPr>
        <w:tc>
          <w:tcPr>
            <w:tcW w:w="2976" w:type="dxa"/>
            <w:tcBorders>
              <w:top w:val="nil"/>
              <w:left w:val="nil"/>
              <w:bottom w:val="nil"/>
              <w:right w:val="nil"/>
            </w:tcBorders>
            <w:shd w:val="clear" w:color="auto" w:fill="auto"/>
            <w:noWrap/>
            <w:vAlign w:val="center"/>
            <w:hideMark/>
          </w:tcPr>
          <w:p w14:paraId="2E8CF458" w14:textId="77777777" w:rsidR="00444328" w:rsidRPr="00444328" w:rsidRDefault="00444328" w:rsidP="00444328">
            <w:pPr>
              <w:spacing w:after="0" w:line="240" w:lineRule="auto"/>
              <w:ind w:left="113"/>
              <w:jc w:val="left"/>
              <w:rPr>
                <w:rFonts w:ascii="Arial" w:hAnsi="Arial" w:cs="Arial"/>
                <w:color w:val="000000"/>
                <w:sz w:val="16"/>
                <w:szCs w:val="16"/>
              </w:rPr>
            </w:pPr>
            <w:r w:rsidRPr="00444328">
              <w:rPr>
                <w:rFonts w:ascii="Arial" w:hAnsi="Arial" w:cs="Arial"/>
                <w:color w:val="000000"/>
                <w:sz w:val="16"/>
                <w:szCs w:val="16"/>
              </w:rPr>
              <w:t>Other payables</w:t>
            </w:r>
          </w:p>
        </w:tc>
        <w:tc>
          <w:tcPr>
            <w:tcW w:w="856" w:type="dxa"/>
            <w:tcBorders>
              <w:top w:val="nil"/>
              <w:left w:val="nil"/>
              <w:bottom w:val="nil"/>
              <w:right w:val="nil"/>
            </w:tcBorders>
            <w:shd w:val="clear" w:color="auto" w:fill="auto"/>
            <w:noWrap/>
            <w:vAlign w:val="bottom"/>
            <w:hideMark/>
          </w:tcPr>
          <w:p w14:paraId="70869B26"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3,102</w:t>
            </w:r>
          </w:p>
        </w:tc>
        <w:tc>
          <w:tcPr>
            <w:tcW w:w="857" w:type="dxa"/>
            <w:tcBorders>
              <w:top w:val="nil"/>
              <w:left w:val="nil"/>
              <w:bottom w:val="nil"/>
              <w:right w:val="nil"/>
            </w:tcBorders>
            <w:shd w:val="clear" w:color="000000" w:fill="E6E6E6"/>
            <w:noWrap/>
            <w:vAlign w:val="bottom"/>
            <w:hideMark/>
          </w:tcPr>
          <w:p w14:paraId="76FAF012"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3,082</w:t>
            </w:r>
          </w:p>
        </w:tc>
        <w:tc>
          <w:tcPr>
            <w:tcW w:w="857" w:type="dxa"/>
            <w:tcBorders>
              <w:top w:val="nil"/>
              <w:left w:val="nil"/>
              <w:bottom w:val="nil"/>
              <w:right w:val="nil"/>
            </w:tcBorders>
            <w:shd w:val="clear" w:color="auto" w:fill="auto"/>
            <w:noWrap/>
            <w:vAlign w:val="bottom"/>
            <w:hideMark/>
          </w:tcPr>
          <w:p w14:paraId="13D8D8B4"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3,544</w:t>
            </w:r>
          </w:p>
        </w:tc>
        <w:tc>
          <w:tcPr>
            <w:tcW w:w="857" w:type="dxa"/>
            <w:tcBorders>
              <w:top w:val="nil"/>
              <w:left w:val="nil"/>
              <w:bottom w:val="nil"/>
              <w:right w:val="nil"/>
            </w:tcBorders>
            <w:shd w:val="clear" w:color="auto" w:fill="auto"/>
            <w:noWrap/>
            <w:vAlign w:val="bottom"/>
            <w:hideMark/>
          </w:tcPr>
          <w:p w14:paraId="00FE361B"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4,022</w:t>
            </w:r>
          </w:p>
        </w:tc>
        <w:tc>
          <w:tcPr>
            <w:tcW w:w="857" w:type="dxa"/>
            <w:tcBorders>
              <w:top w:val="nil"/>
              <w:left w:val="nil"/>
              <w:bottom w:val="nil"/>
              <w:right w:val="nil"/>
            </w:tcBorders>
            <w:shd w:val="clear" w:color="auto" w:fill="auto"/>
            <w:noWrap/>
            <w:vAlign w:val="bottom"/>
            <w:hideMark/>
          </w:tcPr>
          <w:p w14:paraId="336E4C94"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4,546</w:t>
            </w:r>
          </w:p>
        </w:tc>
      </w:tr>
      <w:tr w:rsidR="00444328" w:rsidRPr="00444328" w14:paraId="56E29FC0" w14:textId="77777777" w:rsidTr="00444328">
        <w:trPr>
          <w:trHeight w:val="204"/>
        </w:trPr>
        <w:tc>
          <w:tcPr>
            <w:tcW w:w="2976" w:type="dxa"/>
            <w:tcBorders>
              <w:top w:val="nil"/>
              <w:left w:val="nil"/>
              <w:bottom w:val="nil"/>
              <w:right w:val="nil"/>
            </w:tcBorders>
            <w:shd w:val="clear" w:color="auto" w:fill="auto"/>
            <w:noWrap/>
            <w:vAlign w:val="center"/>
            <w:hideMark/>
          </w:tcPr>
          <w:p w14:paraId="297B7E13" w14:textId="77777777" w:rsidR="00444328" w:rsidRPr="00444328" w:rsidRDefault="00444328" w:rsidP="00444328">
            <w:pPr>
              <w:spacing w:after="0" w:line="240" w:lineRule="auto"/>
              <w:jc w:val="left"/>
              <w:rPr>
                <w:rFonts w:ascii="Arial" w:hAnsi="Arial" w:cs="Arial"/>
                <w:b/>
                <w:bCs/>
                <w:i/>
                <w:iCs/>
                <w:color w:val="000000"/>
                <w:sz w:val="16"/>
                <w:szCs w:val="16"/>
              </w:rPr>
            </w:pPr>
            <w:r w:rsidRPr="00444328">
              <w:rPr>
                <w:rFonts w:ascii="Arial" w:hAnsi="Arial" w:cs="Arial"/>
                <w:b/>
                <w:bCs/>
                <w:i/>
                <w:iCs/>
                <w:color w:val="000000"/>
                <w:sz w:val="16"/>
                <w:szCs w:val="16"/>
              </w:rPr>
              <w:t>Total payables</w:t>
            </w:r>
          </w:p>
        </w:tc>
        <w:tc>
          <w:tcPr>
            <w:tcW w:w="856" w:type="dxa"/>
            <w:tcBorders>
              <w:top w:val="single" w:sz="4" w:space="0" w:color="000000"/>
              <w:left w:val="nil"/>
              <w:bottom w:val="single" w:sz="4" w:space="0" w:color="000000"/>
              <w:right w:val="nil"/>
            </w:tcBorders>
            <w:shd w:val="clear" w:color="auto" w:fill="auto"/>
            <w:noWrap/>
            <w:vAlign w:val="bottom"/>
            <w:hideMark/>
          </w:tcPr>
          <w:p w14:paraId="01A074F6" w14:textId="2AB967DF"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8,381</w:t>
            </w:r>
          </w:p>
        </w:tc>
        <w:tc>
          <w:tcPr>
            <w:tcW w:w="857" w:type="dxa"/>
            <w:tcBorders>
              <w:top w:val="single" w:sz="4" w:space="0" w:color="000000"/>
              <w:left w:val="nil"/>
              <w:bottom w:val="single" w:sz="4" w:space="0" w:color="000000"/>
              <w:right w:val="nil"/>
            </w:tcBorders>
            <w:shd w:val="clear" w:color="000000" w:fill="E6E6E6"/>
            <w:noWrap/>
            <w:vAlign w:val="bottom"/>
            <w:hideMark/>
          </w:tcPr>
          <w:p w14:paraId="03B3B93B" w14:textId="506FA2CC"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9,108</w:t>
            </w:r>
          </w:p>
        </w:tc>
        <w:tc>
          <w:tcPr>
            <w:tcW w:w="857" w:type="dxa"/>
            <w:tcBorders>
              <w:top w:val="single" w:sz="4" w:space="0" w:color="000000"/>
              <w:left w:val="nil"/>
              <w:bottom w:val="single" w:sz="4" w:space="0" w:color="000000"/>
              <w:right w:val="nil"/>
            </w:tcBorders>
            <w:shd w:val="clear" w:color="auto" w:fill="auto"/>
            <w:noWrap/>
            <w:vAlign w:val="bottom"/>
            <w:hideMark/>
          </w:tcPr>
          <w:p w14:paraId="20D5BC94" w14:textId="7052C0B7"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9,187</w:t>
            </w:r>
          </w:p>
        </w:tc>
        <w:tc>
          <w:tcPr>
            <w:tcW w:w="857" w:type="dxa"/>
            <w:tcBorders>
              <w:top w:val="single" w:sz="4" w:space="0" w:color="000000"/>
              <w:left w:val="nil"/>
              <w:bottom w:val="single" w:sz="4" w:space="0" w:color="000000"/>
              <w:right w:val="nil"/>
            </w:tcBorders>
            <w:shd w:val="clear" w:color="auto" w:fill="auto"/>
            <w:noWrap/>
            <w:vAlign w:val="bottom"/>
            <w:hideMark/>
          </w:tcPr>
          <w:p w14:paraId="42B04091" w14:textId="54E75AFD"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9,690</w:t>
            </w:r>
          </w:p>
        </w:tc>
        <w:tc>
          <w:tcPr>
            <w:tcW w:w="857" w:type="dxa"/>
            <w:tcBorders>
              <w:top w:val="single" w:sz="4" w:space="0" w:color="000000"/>
              <w:left w:val="nil"/>
              <w:bottom w:val="single" w:sz="4" w:space="0" w:color="000000"/>
              <w:right w:val="nil"/>
            </w:tcBorders>
            <w:shd w:val="clear" w:color="auto" w:fill="auto"/>
            <w:noWrap/>
            <w:vAlign w:val="bottom"/>
            <w:hideMark/>
          </w:tcPr>
          <w:p w14:paraId="7EA9E5D2" w14:textId="2019A83A"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10,358</w:t>
            </w:r>
          </w:p>
        </w:tc>
      </w:tr>
      <w:tr w:rsidR="00444328" w:rsidRPr="00444328" w14:paraId="1381BAAD" w14:textId="77777777" w:rsidTr="00444328">
        <w:trPr>
          <w:trHeight w:val="204"/>
        </w:trPr>
        <w:tc>
          <w:tcPr>
            <w:tcW w:w="2976" w:type="dxa"/>
            <w:tcBorders>
              <w:top w:val="nil"/>
              <w:left w:val="nil"/>
              <w:bottom w:val="nil"/>
              <w:right w:val="nil"/>
            </w:tcBorders>
            <w:shd w:val="clear" w:color="auto" w:fill="auto"/>
            <w:noWrap/>
            <w:vAlign w:val="center"/>
            <w:hideMark/>
          </w:tcPr>
          <w:p w14:paraId="4F176955" w14:textId="77777777" w:rsidR="00444328" w:rsidRPr="00444328" w:rsidRDefault="00444328" w:rsidP="00444328">
            <w:pPr>
              <w:spacing w:after="0" w:line="240" w:lineRule="auto"/>
              <w:jc w:val="left"/>
              <w:rPr>
                <w:rFonts w:ascii="Arial" w:hAnsi="Arial" w:cs="Arial"/>
                <w:b/>
                <w:bCs/>
                <w:color w:val="000000"/>
                <w:sz w:val="16"/>
                <w:szCs w:val="16"/>
              </w:rPr>
            </w:pPr>
            <w:r w:rsidRPr="00444328">
              <w:rPr>
                <w:rFonts w:ascii="Arial" w:hAnsi="Arial" w:cs="Arial"/>
                <w:b/>
                <w:bCs/>
                <w:color w:val="000000"/>
                <w:sz w:val="16"/>
                <w:szCs w:val="16"/>
              </w:rPr>
              <w:t>Interest bearing liabilities</w:t>
            </w:r>
          </w:p>
        </w:tc>
        <w:tc>
          <w:tcPr>
            <w:tcW w:w="856" w:type="dxa"/>
            <w:tcBorders>
              <w:top w:val="nil"/>
              <w:left w:val="nil"/>
              <w:bottom w:val="nil"/>
              <w:right w:val="nil"/>
            </w:tcBorders>
            <w:shd w:val="clear" w:color="auto" w:fill="auto"/>
            <w:noWrap/>
            <w:vAlign w:val="bottom"/>
            <w:hideMark/>
          </w:tcPr>
          <w:p w14:paraId="5030C0E3" w14:textId="77777777" w:rsidR="00444328" w:rsidRPr="00D47D34" w:rsidRDefault="00444328" w:rsidP="00D47D3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7964AA97" w14:textId="13576F19" w:rsidR="00444328" w:rsidRPr="00D47D34" w:rsidRDefault="00444328" w:rsidP="00D47D3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5F152CD" w14:textId="77777777" w:rsidR="00444328" w:rsidRPr="00D47D34" w:rsidRDefault="00444328" w:rsidP="00D47D3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6024456" w14:textId="77777777" w:rsidR="00444328" w:rsidRPr="00D47D34" w:rsidRDefault="00444328" w:rsidP="00D47D3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1004641F" w14:textId="77777777" w:rsidR="00444328" w:rsidRPr="00D47D34" w:rsidRDefault="00444328" w:rsidP="00D47D34">
            <w:pPr>
              <w:spacing w:after="0" w:line="240" w:lineRule="auto"/>
              <w:jc w:val="right"/>
              <w:rPr>
                <w:rFonts w:ascii="Times New Roman" w:hAnsi="Times New Roman"/>
                <w:sz w:val="16"/>
                <w:szCs w:val="16"/>
              </w:rPr>
            </w:pPr>
          </w:p>
        </w:tc>
      </w:tr>
      <w:tr w:rsidR="00444328" w:rsidRPr="00444328" w14:paraId="2B6626FA" w14:textId="77777777" w:rsidTr="00444328">
        <w:trPr>
          <w:trHeight w:val="204"/>
        </w:trPr>
        <w:tc>
          <w:tcPr>
            <w:tcW w:w="2976" w:type="dxa"/>
            <w:tcBorders>
              <w:top w:val="nil"/>
              <w:left w:val="nil"/>
              <w:bottom w:val="nil"/>
              <w:right w:val="nil"/>
            </w:tcBorders>
            <w:shd w:val="clear" w:color="auto" w:fill="auto"/>
            <w:noWrap/>
            <w:vAlign w:val="center"/>
            <w:hideMark/>
          </w:tcPr>
          <w:p w14:paraId="72E34846" w14:textId="77777777" w:rsidR="00444328" w:rsidRPr="00444328" w:rsidRDefault="00444328" w:rsidP="00444328">
            <w:pPr>
              <w:spacing w:after="0" w:line="240" w:lineRule="auto"/>
              <w:ind w:left="113"/>
              <w:jc w:val="left"/>
              <w:rPr>
                <w:rFonts w:ascii="Arial" w:hAnsi="Arial" w:cs="Arial"/>
                <w:color w:val="000000"/>
                <w:sz w:val="16"/>
                <w:szCs w:val="16"/>
              </w:rPr>
            </w:pPr>
            <w:r w:rsidRPr="00444328">
              <w:rPr>
                <w:rFonts w:ascii="Arial" w:hAnsi="Arial" w:cs="Arial"/>
                <w:color w:val="000000"/>
                <w:sz w:val="16"/>
                <w:szCs w:val="16"/>
              </w:rPr>
              <w:t>Leases</w:t>
            </w:r>
          </w:p>
        </w:tc>
        <w:tc>
          <w:tcPr>
            <w:tcW w:w="856" w:type="dxa"/>
            <w:tcBorders>
              <w:top w:val="nil"/>
              <w:left w:val="nil"/>
              <w:bottom w:val="nil"/>
              <w:right w:val="nil"/>
            </w:tcBorders>
            <w:shd w:val="clear" w:color="auto" w:fill="auto"/>
            <w:noWrap/>
            <w:vAlign w:val="bottom"/>
            <w:hideMark/>
          </w:tcPr>
          <w:p w14:paraId="1458A5EF"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40,608</w:t>
            </w:r>
          </w:p>
        </w:tc>
        <w:tc>
          <w:tcPr>
            <w:tcW w:w="857" w:type="dxa"/>
            <w:tcBorders>
              <w:top w:val="nil"/>
              <w:left w:val="nil"/>
              <w:bottom w:val="nil"/>
              <w:right w:val="nil"/>
            </w:tcBorders>
            <w:shd w:val="clear" w:color="000000" w:fill="E6E6E6"/>
            <w:noWrap/>
            <w:vAlign w:val="bottom"/>
            <w:hideMark/>
          </w:tcPr>
          <w:p w14:paraId="27E28915"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32,611</w:t>
            </w:r>
          </w:p>
        </w:tc>
        <w:tc>
          <w:tcPr>
            <w:tcW w:w="857" w:type="dxa"/>
            <w:tcBorders>
              <w:top w:val="nil"/>
              <w:left w:val="nil"/>
              <w:bottom w:val="nil"/>
              <w:right w:val="nil"/>
            </w:tcBorders>
            <w:shd w:val="clear" w:color="auto" w:fill="auto"/>
            <w:noWrap/>
            <w:vAlign w:val="bottom"/>
            <w:hideMark/>
          </w:tcPr>
          <w:p w14:paraId="38B1BA81"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29,899</w:t>
            </w:r>
          </w:p>
        </w:tc>
        <w:tc>
          <w:tcPr>
            <w:tcW w:w="857" w:type="dxa"/>
            <w:tcBorders>
              <w:top w:val="nil"/>
              <w:left w:val="nil"/>
              <w:bottom w:val="nil"/>
              <w:right w:val="nil"/>
            </w:tcBorders>
            <w:shd w:val="clear" w:color="auto" w:fill="auto"/>
            <w:noWrap/>
            <w:vAlign w:val="bottom"/>
            <w:hideMark/>
          </w:tcPr>
          <w:p w14:paraId="154CB278"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67,583</w:t>
            </w:r>
          </w:p>
        </w:tc>
        <w:tc>
          <w:tcPr>
            <w:tcW w:w="857" w:type="dxa"/>
            <w:tcBorders>
              <w:top w:val="nil"/>
              <w:left w:val="nil"/>
              <w:bottom w:val="nil"/>
              <w:right w:val="nil"/>
            </w:tcBorders>
            <w:shd w:val="clear" w:color="auto" w:fill="auto"/>
            <w:noWrap/>
            <w:vAlign w:val="bottom"/>
            <w:hideMark/>
          </w:tcPr>
          <w:p w14:paraId="3A6763A3"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58,750</w:t>
            </w:r>
          </w:p>
        </w:tc>
      </w:tr>
      <w:tr w:rsidR="00444328" w:rsidRPr="00444328" w14:paraId="6C9D8A3C" w14:textId="77777777" w:rsidTr="00444328">
        <w:trPr>
          <w:trHeight w:val="204"/>
        </w:trPr>
        <w:tc>
          <w:tcPr>
            <w:tcW w:w="2976" w:type="dxa"/>
            <w:tcBorders>
              <w:top w:val="nil"/>
              <w:left w:val="nil"/>
              <w:bottom w:val="nil"/>
              <w:right w:val="nil"/>
            </w:tcBorders>
            <w:shd w:val="clear" w:color="auto" w:fill="auto"/>
            <w:noWrap/>
            <w:vAlign w:val="center"/>
            <w:hideMark/>
          </w:tcPr>
          <w:p w14:paraId="08F21898" w14:textId="77777777" w:rsidR="00444328" w:rsidRPr="00444328" w:rsidRDefault="00444328" w:rsidP="00444328">
            <w:pPr>
              <w:spacing w:after="0" w:line="240" w:lineRule="auto"/>
              <w:jc w:val="left"/>
              <w:rPr>
                <w:rFonts w:ascii="Arial" w:hAnsi="Arial" w:cs="Arial"/>
                <w:b/>
                <w:bCs/>
                <w:i/>
                <w:iCs/>
                <w:color w:val="000000"/>
                <w:sz w:val="16"/>
                <w:szCs w:val="16"/>
              </w:rPr>
            </w:pPr>
            <w:r w:rsidRPr="00444328">
              <w:rPr>
                <w:rFonts w:ascii="Arial" w:hAnsi="Arial" w:cs="Arial"/>
                <w:b/>
                <w:bCs/>
                <w:i/>
                <w:iCs/>
                <w:color w:val="000000"/>
                <w:sz w:val="16"/>
                <w:szCs w:val="16"/>
              </w:rPr>
              <w:t>Total interest bearing liabilities</w:t>
            </w:r>
          </w:p>
        </w:tc>
        <w:tc>
          <w:tcPr>
            <w:tcW w:w="856" w:type="dxa"/>
            <w:tcBorders>
              <w:top w:val="single" w:sz="4" w:space="0" w:color="000000"/>
              <w:left w:val="nil"/>
              <w:bottom w:val="single" w:sz="4" w:space="0" w:color="000000"/>
              <w:right w:val="nil"/>
            </w:tcBorders>
            <w:shd w:val="clear" w:color="auto" w:fill="auto"/>
            <w:noWrap/>
            <w:vAlign w:val="bottom"/>
            <w:hideMark/>
          </w:tcPr>
          <w:p w14:paraId="4AA6358B" w14:textId="69C4E53F"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40,608</w:t>
            </w:r>
          </w:p>
        </w:tc>
        <w:tc>
          <w:tcPr>
            <w:tcW w:w="857" w:type="dxa"/>
            <w:tcBorders>
              <w:top w:val="single" w:sz="4" w:space="0" w:color="000000"/>
              <w:left w:val="nil"/>
              <w:bottom w:val="single" w:sz="4" w:space="0" w:color="000000"/>
              <w:right w:val="nil"/>
            </w:tcBorders>
            <w:shd w:val="clear" w:color="000000" w:fill="E6E6E6"/>
            <w:noWrap/>
            <w:vAlign w:val="bottom"/>
            <w:hideMark/>
          </w:tcPr>
          <w:p w14:paraId="6560E36B" w14:textId="48AA210D"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32,611</w:t>
            </w:r>
          </w:p>
        </w:tc>
        <w:tc>
          <w:tcPr>
            <w:tcW w:w="857" w:type="dxa"/>
            <w:tcBorders>
              <w:top w:val="single" w:sz="4" w:space="0" w:color="000000"/>
              <w:left w:val="nil"/>
              <w:bottom w:val="single" w:sz="4" w:space="0" w:color="000000"/>
              <w:right w:val="nil"/>
            </w:tcBorders>
            <w:shd w:val="clear" w:color="auto" w:fill="auto"/>
            <w:noWrap/>
            <w:vAlign w:val="bottom"/>
            <w:hideMark/>
          </w:tcPr>
          <w:p w14:paraId="51017C7A" w14:textId="542A7444"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29,899</w:t>
            </w:r>
          </w:p>
        </w:tc>
        <w:tc>
          <w:tcPr>
            <w:tcW w:w="857" w:type="dxa"/>
            <w:tcBorders>
              <w:top w:val="single" w:sz="4" w:space="0" w:color="000000"/>
              <w:left w:val="nil"/>
              <w:bottom w:val="single" w:sz="4" w:space="0" w:color="000000"/>
              <w:right w:val="nil"/>
            </w:tcBorders>
            <w:shd w:val="clear" w:color="auto" w:fill="auto"/>
            <w:noWrap/>
            <w:vAlign w:val="bottom"/>
            <w:hideMark/>
          </w:tcPr>
          <w:p w14:paraId="411130C8" w14:textId="27521D19"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67,583</w:t>
            </w:r>
          </w:p>
        </w:tc>
        <w:tc>
          <w:tcPr>
            <w:tcW w:w="857" w:type="dxa"/>
            <w:tcBorders>
              <w:top w:val="single" w:sz="4" w:space="0" w:color="000000"/>
              <w:left w:val="nil"/>
              <w:bottom w:val="single" w:sz="4" w:space="0" w:color="000000"/>
              <w:right w:val="nil"/>
            </w:tcBorders>
            <w:shd w:val="clear" w:color="auto" w:fill="auto"/>
            <w:noWrap/>
            <w:vAlign w:val="bottom"/>
            <w:hideMark/>
          </w:tcPr>
          <w:p w14:paraId="4B89480A" w14:textId="4AEE3C6B"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58,750</w:t>
            </w:r>
          </w:p>
        </w:tc>
      </w:tr>
      <w:tr w:rsidR="00444328" w:rsidRPr="00444328" w14:paraId="1881459D" w14:textId="77777777" w:rsidTr="00444328">
        <w:trPr>
          <w:trHeight w:val="204"/>
        </w:trPr>
        <w:tc>
          <w:tcPr>
            <w:tcW w:w="2976" w:type="dxa"/>
            <w:tcBorders>
              <w:top w:val="nil"/>
              <w:left w:val="nil"/>
              <w:bottom w:val="nil"/>
              <w:right w:val="nil"/>
            </w:tcBorders>
            <w:shd w:val="clear" w:color="auto" w:fill="auto"/>
            <w:noWrap/>
            <w:vAlign w:val="center"/>
            <w:hideMark/>
          </w:tcPr>
          <w:p w14:paraId="72CD217F" w14:textId="77777777" w:rsidR="00444328" w:rsidRPr="00444328" w:rsidRDefault="00444328" w:rsidP="00444328">
            <w:pPr>
              <w:spacing w:after="0" w:line="240" w:lineRule="auto"/>
              <w:jc w:val="left"/>
              <w:rPr>
                <w:rFonts w:ascii="Arial" w:hAnsi="Arial" w:cs="Arial"/>
                <w:b/>
                <w:bCs/>
                <w:color w:val="000000"/>
                <w:sz w:val="16"/>
                <w:szCs w:val="16"/>
              </w:rPr>
            </w:pPr>
            <w:r w:rsidRPr="00444328">
              <w:rPr>
                <w:rFonts w:ascii="Arial" w:hAnsi="Arial" w:cs="Arial"/>
                <w:b/>
                <w:bCs/>
                <w:color w:val="000000"/>
                <w:sz w:val="16"/>
                <w:szCs w:val="16"/>
              </w:rPr>
              <w:t>Provisions</w:t>
            </w:r>
          </w:p>
        </w:tc>
        <w:tc>
          <w:tcPr>
            <w:tcW w:w="856" w:type="dxa"/>
            <w:tcBorders>
              <w:top w:val="nil"/>
              <w:left w:val="nil"/>
              <w:bottom w:val="nil"/>
              <w:right w:val="nil"/>
            </w:tcBorders>
            <w:shd w:val="clear" w:color="auto" w:fill="auto"/>
            <w:noWrap/>
            <w:vAlign w:val="bottom"/>
            <w:hideMark/>
          </w:tcPr>
          <w:p w14:paraId="428AEF29" w14:textId="77777777" w:rsidR="00444328" w:rsidRPr="00D47D34" w:rsidRDefault="00444328" w:rsidP="00D47D3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6705D2A1" w14:textId="3090C198" w:rsidR="00444328" w:rsidRPr="00D47D34" w:rsidRDefault="00444328" w:rsidP="00D47D3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56E696A" w14:textId="77777777" w:rsidR="00444328" w:rsidRPr="00D47D34" w:rsidRDefault="00444328" w:rsidP="00D47D3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7CEFC2C" w14:textId="77777777" w:rsidR="00444328" w:rsidRPr="00D47D34" w:rsidRDefault="00444328" w:rsidP="00D47D3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3AACF6B5" w14:textId="77777777" w:rsidR="00444328" w:rsidRPr="00D47D34" w:rsidRDefault="00444328" w:rsidP="00D47D34">
            <w:pPr>
              <w:spacing w:after="0" w:line="240" w:lineRule="auto"/>
              <w:jc w:val="right"/>
              <w:rPr>
                <w:rFonts w:ascii="Times New Roman" w:hAnsi="Times New Roman"/>
                <w:sz w:val="16"/>
                <w:szCs w:val="16"/>
              </w:rPr>
            </w:pPr>
          </w:p>
        </w:tc>
      </w:tr>
      <w:tr w:rsidR="00444328" w:rsidRPr="00444328" w14:paraId="2B1C157C" w14:textId="77777777" w:rsidTr="00444328">
        <w:trPr>
          <w:trHeight w:val="204"/>
        </w:trPr>
        <w:tc>
          <w:tcPr>
            <w:tcW w:w="2976" w:type="dxa"/>
            <w:tcBorders>
              <w:top w:val="nil"/>
              <w:left w:val="nil"/>
              <w:bottom w:val="nil"/>
              <w:right w:val="nil"/>
            </w:tcBorders>
            <w:shd w:val="clear" w:color="auto" w:fill="auto"/>
            <w:noWrap/>
            <w:vAlign w:val="center"/>
            <w:hideMark/>
          </w:tcPr>
          <w:p w14:paraId="325852EE" w14:textId="77777777" w:rsidR="00444328" w:rsidRPr="00444328" w:rsidRDefault="00444328" w:rsidP="00444328">
            <w:pPr>
              <w:spacing w:after="0" w:line="240" w:lineRule="auto"/>
              <w:ind w:left="113"/>
              <w:jc w:val="left"/>
              <w:rPr>
                <w:rFonts w:ascii="Arial" w:hAnsi="Arial" w:cs="Arial"/>
                <w:color w:val="000000"/>
                <w:sz w:val="16"/>
                <w:szCs w:val="16"/>
              </w:rPr>
            </w:pPr>
            <w:r w:rsidRPr="00444328">
              <w:rPr>
                <w:rFonts w:ascii="Arial" w:hAnsi="Arial" w:cs="Arial"/>
                <w:color w:val="000000"/>
                <w:sz w:val="16"/>
                <w:szCs w:val="16"/>
              </w:rPr>
              <w:t>Employee provisions</w:t>
            </w:r>
          </w:p>
        </w:tc>
        <w:tc>
          <w:tcPr>
            <w:tcW w:w="856" w:type="dxa"/>
            <w:tcBorders>
              <w:top w:val="nil"/>
              <w:left w:val="nil"/>
              <w:bottom w:val="nil"/>
              <w:right w:val="nil"/>
            </w:tcBorders>
            <w:shd w:val="clear" w:color="auto" w:fill="auto"/>
            <w:noWrap/>
            <w:vAlign w:val="bottom"/>
            <w:hideMark/>
          </w:tcPr>
          <w:p w14:paraId="01724576"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40,620</w:t>
            </w:r>
          </w:p>
        </w:tc>
        <w:tc>
          <w:tcPr>
            <w:tcW w:w="857" w:type="dxa"/>
            <w:tcBorders>
              <w:top w:val="nil"/>
              <w:left w:val="nil"/>
              <w:bottom w:val="nil"/>
              <w:right w:val="nil"/>
            </w:tcBorders>
            <w:shd w:val="clear" w:color="000000" w:fill="E6E6E6"/>
            <w:noWrap/>
            <w:vAlign w:val="bottom"/>
            <w:hideMark/>
          </w:tcPr>
          <w:p w14:paraId="17DF80E8"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40,588</w:t>
            </w:r>
          </w:p>
        </w:tc>
        <w:tc>
          <w:tcPr>
            <w:tcW w:w="857" w:type="dxa"/>
            <w:tcBorders>
              <w:top w:val="nil"/>
              <w:left w:val="nil"/>
              <w:bottom w:val="nil"/>
              <w:right w:val="nil"/>
            </w:tcBorders>
            <w:shd w:val="clear" w:color="auto" w:fill="auto"/>
            <w:noWrap/>
            <w:vAlign w:val="bottom"/>
            <w:hideMark/>
          </w:tcPr>
          <w:p w14:paraId="7461113B"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41,218</w:t>
            </w:r>
          </w:p>
        </w:tc>
        <w:tc>
          <w:tcPr>
            <w:tcW w:w="857" w:type="dxa"/>
            <w:tcBorders>
              <w:top w:val="nil"/>
              <w:left w:val="nil"/>
              <w:bottom w:val="nil"/>
              <w:right w:val="nil"/>
            </w:tcBorders>
            <w:shd w:val="clear" w:color="auto" w:fill="auto"/>
            <w:noWrap/>
            <w:vAlign w:val="bottom"/>
            <w:hideMark/>
          </w:tcPr>
          <w:p w14:paraId="4ADEFEAE"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41,865</w:t>
            </w:r>
          </w:p>
        </w:tc>
        <w:tc>
          <w:tcPr>
            <w:tcW w:w="857" w:type="dxa"/>
            <w:tcBorders>
              <w:top w:val="nil"/>
              <w:left w:val="nil"/>
              <w:bottom w:val="nil"/>
              <w:right w:val="nil"/>
            </w:tcBorders>
            <w:shd w:val="clear" w:color="auto" w:fill="auto"/>
            <w:noWrap/>
            <w:vAlign w:val="bottom"/>
            <w:hideMark/>
          </w:tcPr>
          <w:p w14:paraId="67DD2D34"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42,532</w:t>
            </w:r>
          </w:p>
        </w:tc>
      </w:tr>
      <w:tr w:rsidR="00444328" w:rsidRPr="00444328" w14:paraId="56B3821B" w14:textId="77777777" w:rsidTr="00444328">
        <w:trPr>
          <w:trHeight w:val="204"/>
        </w:trPr>
        <w:tc>
          <w:tcPr>
            <w:tcW w:w="2976" w:type="dxa"/>
            <w:tcBorders>
              <w:top w:val="nil"/>
              <w:left w:val="nil"/>
              <w:bottom w:val="nil"/>
              <w:right w:val="nil"/>
            </w:tcBorders>
            <w:shd w:val="clear" w:color="auto" w:fill="auto"/>
            <w:noWrap/>
            <w:vAlign w:val="center"/>
            <w:hideMark/>
          </w:tcPr>
          <w:p w14:paraId="6F70F79B" w14:textId="77777777" w:rsidR="00444328" w:rsidRPr="00444328" w:rsidRDefault="00444328" w:rsidP="00444328">
            <w:pPr>
              <w:spacing w:after="0" w:line="240" w:lineRule="auto"/>
              <w:ind w:left="113"/>
              <w:jc w:val="left"/>
              <w:rPr>
                <w:rFonts w:ascii="Arial" w:hAnsi="Arial" w:cs="Arial"/>
                <w:color w:val="000000"/>
                <w:sz w:val="16"/>
                <w:szCs w:val="16"/>
              </w:rPr>
            </w:pPr>
            <w:r w:rsidRPr="00444328">
              <w:rPr>
                <w:rFonts w:ascii="Arial" w:hAnsi="Arial" w:cs="Arial"/>
                <w:color w:val="000000"/>
                <w:sz w:val="16"/>
                <w:szCs w:val="16"/>
              </w:rPr>
              <w:t>Other provisions</w:t>
            </w:r>
          </w:p>
        </w:tc>
        <w:tc>
          <w:tcPr>
            <w:tcW w:w="856" w:type="dxa"/>
            <w:tcBorders>
              <w:top w:val="nil"/>
              <w:left w:val="nil"/>
              <w:bottom w:val="nil"/>
              <w:right w:val="nil"/>
            </w:tcBorders>
            <w:shd w:val="clear" w:color="auto" w:fill="auto"/>
            <w:noWrap/>
            <w:vAlign w:val="bottom"/>
            <w:hideMark/>
          </w:tcPr>
          <w:p w14:paraId="5BD7F309"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292</w:t>
            </w:r>
          </w:p>
        </w:tc>
        <w:tc>
          <w:tcPr>
            <w:tcW w:w="857" w:type="dxa"/>
            <w:tcBorders>
              <w:top w:val="nil"/>
              <w:left w:val="nil"/>
              <w:bottom w:val="nil"/>
              <w:right w:val="nil"/>
            </w:tcBorders>
            <w:shd w:val="clear" w:color="000000" w:fill="E6E6E6"/>
            <w:noWrap/>
            <w:vAlign w:val="bottom"/>
            <w:hideMark/>
          </w:tcPr>
          <w:p w14:paraId="069398AF"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292</w:t>
            </w:r>
          </w:p>
        </w:tc>
        <w:tc>
          <w:tcPr>
            <w:tcW w:w="857" w:type="dxa"/>
            <w:tcBorders>
              <w:top w:val="nil"/>
              <w:left w:val="nil"/>
              <w:bottom w:val="nil"/>
              <w:right w:val="nil"/>
            </w:tcBorders>
            <w:shd w:val="clear" w:color="auto" w:fill="auto"/>
            <w:noWrap/>
            <w:vAlign w:val="bottom"/>
            <w:hideMark/>
          </w:tcPr>
          <w:p w14:paraId="67552114"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292</w:t>
            </w:r>
          </w:p>
        </w:tc>
        <w:tc>
          <w:tcPr>
            <w:tcW w:w="857" w:type="dxa"/>
            <w:tcBorders>
              <w:top w:val="nil"/>
              <w:left w:val="nil"/>
              <w:bottom w:val="nil"/>
              <w:right w:val="nil"/>
            </w:tcBorders>
            <w:shd w:val="clear" w:color="auto" w:fill="auto"/>
            <w:noWrap/>
            <w:vAlign w:val="bottom"/>
            <w:hideMark/>
          </w:tcPr>
          <w:p w14:paraId="47E2DC40"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292</w:t>
            </w:r>
          </w:p>
        </w:tc>
        <w:tc>
          <w:tcPr>
            <w:tcW w:w="857" w:type="dxa"/>
            <w:tcBorders>
              <w:top w:val="nil"/>
              <w:left w:val="nil"/>
              <w:bottom w:val="nil"/>
              <w:right w:val="nil"/>
            </w:tcBorders>
            <w:shd w:val="clear" w:color="auto" w:fill="auto"/>
            <w:noWrap/>
            <w:vAlign w:val="bottom"/>
            <w:hideMark/>
          </w:tcPr>
          <w:p w14:paraId="652850E0" w14:textId="77777777"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292</w:t>
            </w:r>
          </w:p>
        </w:tc>
      </w:tr>
      <w:tr w:rsidR="00444328" w:rsidRPr="00444328" w14:paraId="3DD166D8" w14:textId="77777777" w:rsidTr="00444328">
        <w:trPr>
          <w:trHeight w:val="204"/>
        </w:trPr>
        <w:tc>
          <w:tcPr>
            <w:tcW w:w="2976" w:type="dxa"/>
            <w:tcBorders>
              <w:top w:val="nil"/>
              <w:left w:val="nil"/>
              <w:bottom w:val="nil"/>
              <w:right w:val="nil"/>
            </w:tcBorders>
            <w:shd w:val="clear" w:color="auto" w:fill="auto"/>
            <w:noWrap/>
            <w:vAlign w:val="center"/>
            <w:hideMark/>
          </w:tcPr>
          <w:p w14:paraId="3F9332C1" w14:textId="77777777" w:rsidR="00444328" w:rsidRPr="00444328" w:rsidRDefault="00444328" w:rsidP="00444328">
            <w:pPr>
              <w:spacing w:after="0" w:line="240" w:lineRule="auto"/>
              <w:jc w:val="left"/>
              <w:rPr>
                <w:rFonts w:ascii="Arial" w:hAnsi="Arial" w:cs="Arial"/>
                <w:b/>
                <w:bCs/>
                <w:i/>
                <w:iCs/>
                <w:color w:val="000000"/>
                <w:sz w:val="16"/>
                <w:szCs w:val="16"/>
              </w:rPr>
            </w:pPr>
            <w:r w:rsidRPr="00444328">
              <w:rPr>
                <w:rFonts w:ascii="Arial" w:hAnsi="Arial" w:cs="Arial"/>
                <w:b/>
                <w:bCs/>
                <w:i/>
                <w:iCs/>
                <w:color w:val="000000"/>
                <w:sz w:val="16"/>
                <w:szCs w:val="16"/>
              </w:rPr>
              <w:t>Total provisions</w:t>
            </w:r>
          </w:p>
        </w:tc>
        <w:tc>
          <w:tcPr>
            <w:tcW w:w="856" w:type="dxa"/>
            <w:tcBorders>
              <w:top w:val="single" w:sz="4" w:space="0" w:color="000000"/>
              <w:left w:val="nil"/>
              <w:bottom w:val="single" w:sz="4" w:space="0" w:color="000000"/>
              <w:right w:val="nil"/>
            </w:tcBorders>
            <w:shd w:val="clear" w:color="auto" w:fill="auto"/>
            <w:noWrap/>
            <w:vAlign w:val="bottom"/>
            <w:hideMark/>
          </w:tcPr>
          <w:p w14:paraId="0D0EF400" w14:textId="4DF937EB"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40,912</w:t>
            </w:r>
          </w:p>
        </w:tc>
        <w:tc>
          <w:tcPr>
            <w:tcW w:w="857" w:type="dxa"/>
            <w:tcBorders>
              <w:top w:val="single" w:sz="4" w:space="0" w:color="000000"/>
              <w:left w:val="nil"/>
              <w:bottom w:val="single" w:sz="4" w:space="0" w:color="000000"/>
              <w:right w:val="nil"/>
            </w:tcBorders>
            <w:shd w:val="clear" w:color="000000" w:fill="E6E6E6"/>
            <w:noWrap/>
            <w:vAlign w:val="bottom"/>
            <w:hideMark/>
          </w:tcPr>
          <w:p w14:paraId="11B36E55" w14:textId="0A6D5309"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40,880</w:t>
            </w:r>
          </w:p>
        </w:tc>
        <w:tc>
          <w:tcPr>
            <w:tcW w:w="857" w:type="dxa"/>
            <w:tcBorders>
              <w:top w:val="single" w:sz="4" w:space="0" w:color="000000"/>
              <w:left w:val="nil"/>
              <w:bottom w:val="single" w:sz="4" w:space="0" w:color="000000"/>
              <w:right w:val="nil"/>
            </w:tcBorders>
            <w:shd w:val="clear" w:color="auto" w:fill="auto"/>
            <w:noWrap/>
            <w:vAlign w:val="bottom"/>
            <w:hideMark/>
          </w:tcPr>
          <w:p w14:paraId="2B9C6D8D" w14:textId="61B309E5"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41,510</w:t>
            </w:r>
          </w:p>
        </w:tc>
        <w:tc>
          <w:tcPr>
            <w:tcW w:w="857" w:type="dxa"/>
            <w:tcBorders>
              <w:top w:val="single" w:sz="4" w:space="0" w:color="000000"/>
              <w:left w:val="nil"/>
              <w:bottom w:val="single" w:sz="4" w:space="0" w:color="000000"/>
              <w:right w:val="nil"/>
            </w:tcBorders>
            <w:shd w:val="clear" w:color="auto" w:fill="auto"/>
            <w:noWrap/>
            <w:vAlign w:val="bottom"/>
            <w:hideMark/>
          </w:tcPr>
          <w:p w14:paraId="2B237651" w14:textId="1C77C4E4"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42,157</w:t>
            </w:r>
          </w:p>
        </w:tc>
        <w:tc>
          <w:tcPr>
            <w:tcW w:w="857" w:type="dxa"/>
            <w:tcBorders>
              <w:top w:val="single" w:sz="4" w:space="0" w:color="000000"/>
              <w:left w:val="nil"/>
              <w:bottom w:val="single" w:sz="4" w:space="0" w:color="000000"/>
              <w:right w:val="nil"/>
            </w:tcBorders>
            <w:shd w:val="clear" w:color="auto" w:fill="auto"/>
            <w:noWrap/>
            <w:vAlign w:val="bottom"/>
            <w:hideMark/>
          </w:tcPr>
          <w:p w14:paraId="0A7ECED5" w14:textId="55389B23" w:rsidR="00444328" w:rsidRPr="00D47D34" w:rsidRDefault="00444328" w:rsidP="00D47D34">
            <w:pPr>
              <w:spacing w:after="0" w:line="240" w:lineRule="auto"/>
              <w:jc w:val="right"/>
              <w:rPr>
                <w:rFonts w:ascii="Arial" w:hAnsi="Arial" w:cs="Arial"/>
                <w:b/>
                <w:bCs/>
                <w:i/>
                <w:iCs/>
                <w:color w:val="000000"/>
                <w:sz w:val="16"/>
                <w:szCs w:val="16"/>
              </w:rPr>
            </w:pPr>
            <w:r w:rsidRPr="00D47D34">
              <w:rPr>
                <w:rFonts w:ascii="Arial" w:hAnsi="Arial" w:cs="Arial"/>
                <w:b/>
                <w:bCs/>
                <w:i/>
                <w:iCs/>
                <w:color w:val="000000"/>
                <w:sz w:val="16"/>
                <w:szCs w:val="16"/>
              </w:rPr>
              <w:t>42,824</w:t>
            </w:r>
          </w:p>
        </w:tc>
      </w:tr>
      <w:tr w:rsidR="00444328" w:rsidRPr="00444328" w14:paraId="3EDB00F3" w14:textId="77777777" w:rsidTr="00D47D34">
        <w:trPr>
          <w:trHeight w:val="204"/>
        </w:trPr>
        <w:tc>
          <w:tcPr>
            <w:tcW w:w="2976" w:type="dxa"/>
            <w:tcBorders>
              <w:top w:val="nil"/>
              <w:left w:val="nil"/>
              <w:right w:val="nil"/>
            </w:tcBorders>
            <w:shd w:val="clear" w:color="auto" w:fill="auto"/>
            <w:noWrap/>
            <w:vAlign w:val="center"/>
            <w:hideMark/>
          </w:tcPr>
          <w:p w14:paraId="69460554" w14:textId="77777777" w:rsidR="00444328" w:rsidRPr="00444328" w:rsidRDefault="00444328" w:rsidP="00444328">
            <w:pPr>
              <w:spacing w:after="0" w:line="240" w:lineRule="auto"/>
              <w:jc w:val="left"/>
              <w:rPr>
                <w:rFonts w:ascii="Arial" w:hAnsi="Arial" w:cs="Arial"/>
                <w:b/>
                <w:bCs/>
                <w:color w:val="000000"/>
                <w:sz w:val="16"/>
                <w:szCs w:val="16"/>
              </w:rPr>
            </w:pPr>
            <w:r w:rsidRPr="00444328">
              <w:rPr>
                <w:rFonts w:ascii="Arial" w:hAnsi="Arial" w:cs="Arial"/>
                <w:b/>
                <w:bCs/>
                <w:color w:val="000000"/>
                <w:sz w:val="16"/>
                <w:szCs w:val="16"/>
              </w:rPr>
              <w:t>Total liabilities</w:t>
            </w:r>
          </w:p>
        </w:tc>
        <w:tc>
          <w:tcPr>
            <w:tcW w:w="856" w:type="dxa"/>
            <w:tcBorders>
              <w:top w:val="single" w:sz="4" w:space="0" w:color="auto"/>
              <w:left w:val="nil"/>
              <w:bottom w:val="single" w:sz="4" w:space="0" w:color="auto"/>
              <w:right w:val="nil"/>
            </w:tcBorders>
            <w:shd w:val="clear" w:color="auto" w:fill="auto"/>
            <w:noWrap/>
            <w:vAlign w:val="bottom"/>
            <w:hideMark/>
          </w:tcPr>
          <w:p w14:paraId="3E47519D" w14:textId="5EC18DEC" w:rsidR="00444328" w:rsidRPr="00D47D34" w:rsidRDefault="00444328" w:rsidP="00D47D34">
            <w:pPr>
              <w:spacing w:after="0" w:line="240" w:lineRule="auto"/>
              <w:jc w:val="right"/>
              <w:rPr>
                <w:rFonts w:ascii="Arial" w:hAnsi="Arial" w:cs="Arial"/>
                <w:b/>
                <w:bCs/>
                <w:color w:val="000000"/>
                <w:sz w:val="16"/>
                <w:szCs w:val="16"/>
              </w:rPr>
            </w:pPr>
            <w:r w:rsidRPr="00D47D34">
              <w:rPr>
                <w:rFonts w:ascii="Arial" w:hAnsi="Arial" w:cs="Arial"/>
                <w:b/>
                <w:bCs/>
                <w:color w:val="000000"/>
                <w:sz w:val="16"/>
                <w:szCs w:val="16"/>
              </w:rPr>
              <w:t>89,901</w:t>
            </w:r>
          </w:p>
        </w:tc>
        <w:tc>
          <w:tcPr>
            <w:tcW w:w="857" w:type="dxa"/>
            <w:tcBorders>
              <w:top w:val="single" w:sz="4" w:space="0" w:color="auto"/>
              <w:left w:val="nil"/>
              <w:bottom w:val="single" w:sz="4" w:space="0" w:color="auto"/>
              <w:right w:val="nil"/>
            </w:tcBorders>
            <w:shd w:val="clear" w:color="000000" w:fill="E6E6E6"/>
            <w:noWrap/>
            <w:vAlign w:val="bottom"/>
            <w:hideMark/>
          </w:tcPr>
          <w:p w14:paraId="5112D5AA" w14:textId="6F9929DF" w:rsidR="00444328" w:rsidRPr="00D47D34" w:rsidRDefault="00444328" w:rsidP="00D47D34">
            <w:pPr>
              <w:spacing w:after="0" w:line="240" w:lineRule="auto"/>
              <w:jc w:val="right"/>
              <w:rPr>
                <w:rFonts w:ascii="Arial" w:hAnsi="Arial" w:cs="Arial"/>
                <w:b/>
                <w:bCs/>
                <w:color w:val="000000"/>
                <w:sz w:val="16"/>
                <w:szCs w:val="16"/>
              </w:rPr>
            </w:pPr>
            <w:r w:rsidRPr="00D47D34">
              <w:rPr>
                <w:rFonts w:ascii="Arial" w:hAnsi="Arial" w:cs="Arial"/>
                <w:b/>
                <w:bCs/>
                <w:color w:val="000000"/>
                <w:sz w:val="16"/>
                <w:szCs w:val="16"/>
              </w:rPr>
              <w:t>82,599</w:t>
            </w:r>
          </w:p>
        </w:tc>
        <w:tc>
          <w:tcPr>
            <w:tcW w:w="857" w:type="dxa"/>
            <w:tcBorders>
              <w:top w:val="single" w:sz="4" w:space="0" w:color="auto"/>
              <w:left w:val="nil"/>
              <w:bottom w:val="single" w:sz="4" w:space="0" w:color="auto"/>
              <w:right w:val="nil"/>
            </w:tcBorders>
            <w:shd w:val="clear" w:color="auto" w:fill="auto"/>
            <w:noWrap/>
            <w:vAlign w:val="bottom"/>
            <w:hideMark/>
          </w:tcPr>
          <w:p w14:paraId="5A9BCE98" w14:textId="279102CB" w:rsidR="00444328" w:rsidRPr="00D47D34" w:rsidRDefault="00444328" w:rsidP="00D47D34">
            <w:pPr>
              <w:spacing w:after="0" w:line="240" w:lineRule="auto"/>
              <w:jc w:val="right"/>
              <w:rPr>
                <w:rFonts w:ascii="Arial" w:hAnsi="Arial" w:cs="Arial"/>
                <w:b/>
                <w:bCs/>
                <w:color w:val="000000"/>
                <w:sz w:val="16"/>
                <w:szCs w:val="16"/>
              </w:rPr>
            </w:pPr>
            <w:r w:rsidRPr="00D47D34">
              <w:rPr>
                <w:rFonts w:ascii="Arial" w:hAnsi="Arial" w:cs="Arial"/>
                <w:b/>
                <w:bCs/>
                <w:color w:val="000000"/>
                <w:sz w:val="16"/>
                <w:szCs w:val="16"/>
              </w:rPr>
              <w:t>80,596</w:t>
            </w:r>
          </w:p>
        </w:tc>
        <w:tc>
          <w:tcPr>
            <w:tcW w:w="857" w:type="dxa"/>
            <w:tcBorders>
              <w:top w:val="single" w:sz="4" w:space="0" w:color="auto"/>
              <w:left w:val="nil"/>
              <w:bottom w:val="single" w:sz="4" w:space="0" w:color="auto"/>
              <w:right w:val="nil"/>
            </w:tcBorders>
            <w:shd w:val="clear" w:color="auto" w:fill="auto"/>
            <w:noWrap/>
            <w:vAlign w:val="bottom"/>
            <w:hideMark/>
          </w:tcPr>
          <w:p w14:paraId="26519661" w14:textId="7737FEC3" w:rsidR="00444328" w:rsidRPr="00D47D34" w:rsidRDefault="00444328" w:rsidP="00D47D34">
            <w:pPr>
              <w:spacing w:after="0" w:line="240" w:lineRule="auto"/>
              <w:jc w:val="right"/>
              <w:rPr>
                <w:rFonts w:ascii="Arial" w:hAnsi="Arial" w:cs="Arial"/>
                <w:b/>
                <w:bCs/>
                <w:color w:val="000000"/>
                <w:sz w:val="16"/>
                <w:szCs w:val="16"/>
              </w:rPr>
            </w:pPr>
            <w:r w:rsidRPr="00D47D34">
              <w:rPr>
                <w:rFonts w:ascii="Arial" w:hAnsi="Arial" w:cs="Arial"/>
                <w:b/>
                <w:bCs/>
                <w:color w:val="000000"/>
                <w:sz w:val="16"/>
                <w:szCs w:val="16"/>
              </w:rPr>
              <w:t>119,430</w:t>
            </w:r>
          </w:p>
        </w:tc>
        <w:tc>
          <w:tcPr>
            <w:tcW w:w="857" w:type="dxa"/>
            <w:tcBorders>
              <w:top w:val="single" w:sz="4" w:space="0" w:color="auto"/>
              <w:left w:val="nil"/>
              <w:bottom w:val="single" w:sz="4" w:space="0" w:color="auto"/>
              <w:right w:val="nil"/>
            </w:tcBorders>
            <w:shd w:val="clear" w:color="auto" w:fill="auto"/>
            <w:noWrap/>
            <w:vAlign w:val="bottom"/>
            <w:hideMark/>
          </w:tcPr>
          <w:p w14:paraId="2302D611" w14:textId="492513AA" w:rsidR="00444328" w:rsidRPr="00D47D34" w:rsidRDefault="00444328" w:rsidP="00D47D34">
            <w:pPr>
              <w:spacing w:after="0" w:line="240" w:lineRule="auto"/>
              <w:jc w:val="right"/>
              <w:rPr>
                <w:rFonts w:ascii="Arial" w:hAnsi="Arial" w:cs="Arial"/>
                <w:b/>
                <w:bCs/>
                <w:color w:val="000000"/>
                <w:sz w:val="16"/>
                <w:szCs w:val="16"/>
              </w:rPr>
            </w:pPr>
            <w:r w:rsidRPr="00D47D34">
              <w:rPr>
                <w:rFonts w:ascii="Arial" w:hAnsi="Arial" w:cs="Arial"/>
                <w:b/>
                <w:bCs/>
                <w:color w:val="000000"/>
                <w:sz w:val="16"/>
                <w:szCs w:val="16"/>
              </w:rPr>
              <w:t>111,932</w:t>
            </w:r>
          </w:p>
        </w:tc>
      </w:tr>
      <w:tr w:rsidR="00444328" w:rsidRPr="00444328" w14:paraId="16001518" w14:textId="77777777" w:rsidTr="00D47D34">
        <w:trPr>
          <w:trHeight w:val="204"/>
        </w:trPr>
        <w:tc>
          <w:tcPr>
            <w:tcW w:w="2976" w:type="dxa"/>
            <w:tcBorders>
              <w:top w:val="nil"/>
              <w:left w:val="nil"/>
              <w:right w:val="nil"/>
            </w:tcBorders>
            <w:shd w:val="clear" w:color="auto" w:fill="auto"/>
            <w:noWrap/>
            <w:vAlign w:val="center"/>
            <w:hideMark/>
          </w:tcPr>
          <w:p w14:paraId="72C03BA6" w14:textId="77777777" w:rsidR="00444328" w:rsidRPr="00444328" w:rsidRDefault="00444328" w:rsidP="00444328">
            <w:pPr>
              <w:spacing w:after="0" w:line="240" w:lineRule="auto"/>
              <w:jc w:val="left"/>
              <w:rPr>
                <w:rFonts w:ascii="Arial" w:hAnsi="Arial" w:cs="Arial"/>
                <w:b/>
                <w:bCs/>
                <w:sz w:val="16"/>
                <w:szCs w:val="16"/>
              </w:rPr>
            </w:pPr>
            <w:r w:rsidRPr="00444328">
              <w:rPr>
                <w:rFonts w:ascii="Arial" w:hAnsi="Arial" w:cs="Arial"/>
                <w:b/>
                <w:bCs/>
                <w:sz w:val="16"/>
                <w:szCs w:val="16"/>
              </w:rPr>
              <w:t>Net assets</w:t>
            </w:r>
          </w:p>
        </w:tc>
        <w:tc>
          <w:tcPr>
            <w:tcW w:w="856" w:type="dxa"/>
            <w:tcBorders>
              <w:top w:val="nil"/>
              <w:left w:val="nil"/>
              <w:bottom w:val="single" w:sz="4" w:space="0" w:color="auto"/>
              <w:right w:val="nil"/>
            </w:tcBorders>
            <w:shd w:val="clear" w:color="auto" w:fill="auto"/>
            <w:noWrap/>
            <w:vAlign w:val="bottom"/>
            <w:hideMark/>
          </w:tcPr>
          <w:p w14:paraId="53BD332F" w14:textId="5A2BF6E6" w:rsidR="00444328" w:rsidRPr="00D47D34" w:rsidRDefault="00444328" w:rsidP="00D47D34">
            <w:pPr>
              <w:spacing w:after="0" w:line="240" w:lineRule="auto"/>
              <w:jc w:val="right"/>
              <w:rPr>
                <w:rFonts w:ascii="Arial" w:hAnsi="Arial" w:cs="Arial"/>
                <w:b/>
                <w:bCs/>
                <w:color w:val="000000"/>
                <w:sz w:val="16"/>
                <w:szCs w:val="16"/>
              </w:rPr>
            </w:pPr>
            <w:r w:rsidRPr="00D47D34">
              <w:rPr>
                <w:rFonts w:ascii="Arial" w:hAnsi="Arial" w:cs="Arial"/>
                <w:b/>
                <w:bCs/>
                <w:color w:val="000000"/>
                <w:sz w:val="16"/>
                <w:szCs w:val="16"/>
              </w:rPr>
              <w:t>70,972</w:t>
            </w:r>
          </w:p>
        </w:tc>
        <w:tc>
          <w:tcPr>
            <w:tcW w:w="857" w:type="dxa"/>
            <w:tcBorders>
              <w:top w:val="nil"/>
              <w:left w:val="nil"/>
              <w:bottom w:val="single" w:sz="4" w:space="0" w:color="auto"/>
              <w:right w:val="nil"/>
            </w:tcBorders>
            <w:shd w:val="clear" w:color="000000" w:fill="E6E6E6"/>
            <w:noWrap/>
            <w:vAlign w:val="bottom"/>
            <w:hideMark/>
          </w:tcPr>
          <w:p w14:paraId="1C6170DC" w14:textId="6217D2A7" w:rsidR="00444328" w:rsidRPr="00D47D34" w:rsidRDefault="00444328" w:rsidP="00D47D34">
            <w:pPr>
              <w:spacing w:after="0" w:line="240" w:lineRule="auto"/>
              <w:jc w:val="right"/>
              <w:rPr>
                <w:rFonts w:ascii="Arial" w:hAnsi="Arial" w:cs="Arial"/>
                <w:b/>
                <w:bCs/>
                <w:color w:val="000000"/>
                <w:sz w:val="16"/>
                <w:szCs w:val="16"/>
              </w:rPr>
            </w:pPr>
            <w:r w:rsidRPr="00D47D34">
              <w:rPr>
                <w:rFonts w:ascii="Arial" w:hAnsi="Arial" w:cs="Arial"/>
                <w:b/>
                <w:bCs/>
                <w:color w:val="000000"/>
                <w:sz w:val="16"/>
                <w:szCs w:val="16"/>
              </w:rPr>
              <w:t>70,972</w:t>
            </w:r>
          </w:p>
        </w:tc>
        <w:tc>
          <w:tcPr>
            <w:tcW w:w="857" w:type="dxa"/>
            <w:tcBorders>
              <w:top w:val="nil"/>
              <w:left w:val="nil"/>
              <w:bottom w:val="single" w:sz="4" w:space="0" w:color="auto"/>
              <w:right w:val="nil"/>
            </w:tcBorders>
            <w:shd w:val="clear" w:color="auto" w:fill="auto"/>
            <w:noWrap/>
            <w:vAlign w:val="bottom"/>
            <w:hideMark/>
          </w:tcPr>
          <w:p w14:paraId="61337924" w14:textId="30F934C1" w:rsidR="00444328" w:rsidRPr="00D47D34" w:rsidRDefault="00444328" w:rsidP="00D47D34">
            <w:pPr>
              <w:spacing w:after="0" w:line="240" w:lineRule="auto"/>
              <w:jc w:val="right"/>
              <w:rPr>
                <w:rFonts w:ascii="Arial" w:hAnsi="Arial" w:cs="Arial"/>
                <w:b/>
                <w:bCs/>
                <w:color w:val="000000"/>
                <w:sz w:val="16"/>
                <w:szCs w:val="16"/>
              </w:rPr>
            </w:pPr>
            <w:r w:rsidRPr="00D47D34">
              <w:rPr>
                <w:rFonts w:ascii="Arial" w:hAnsi="Arial" w:cs="Arial"/>
                <w:b/>
                <w:bCs/>
                <w:color w:val="000000"/>
                <w:sz w:val="16"/>
                <w:szCs w:val="16"/>
              </w:rPr>
              <w:t>70,151</w:t>
            </w:r>
          </w:p>
        </w:tc>
        <w:tc>
          <w:tcPr>
            <w:tcW w:w="857" w:type="dxa"/>
            <w:tcBorders>
              <w:top w:val="nil"/>
              <w:left w:val="nil"/>
              <w:bottom w:val="single" w:sz="4" w:space="0" w:color="auto"/>
              <w:right w:val="nil"/>
            </w:tcBorders>
            <w:shd w:val="clear" w:color="auto" w:fill="auto"/>
            <w:noWrap/>
            <w:vAlign w:val="bottom"/>
            <w:hideMark/>
          </w:tcPr>
          <w:p w14:paraId="0EBB5663" w14:textId="7701D9D5" w:rsidR="00444328" w:rsidRPr="00D47D34" w:rsidRDefault="00444328" w:rsidP="00D47D34">
            <w:pPr>
              <w:spacing w:after="0" w:line="240" w:lineRule="auto"/>
              <w:jc w:val="right"/>
              <w:rPr>
                <w:rFonts w:ascii="Arial" w:hAnsi="Arial" w:cs="Arial"/>
                <w:b/>
                <w:bCs/>
                <w:color w:val="000000"/>
                <w:sz w:val="16"/>
                <w:szCs w:val="16"/>
              </w:rPr>
            </w:pPr>
            <w:r w:rsidRPr="00D47D34">
              <w:rPr>
                <w:rFonts w:ascii="Arial" w:hAnsi="Arial" w:cs="Arial"/>
                <w:b/>
                <w:bCs/>
                <w:color w:val="000000"/>
                <w:sz w:val="16"/>
                <w:szCs w:val="16"/>
              </w:rPr>
              <w:t>65,694</w:t>
            </w:r>
          </w:p>
        </w:tc>
        <w:tc>
          <w:tcPr>
            <w:tcW w:w="857" w:type="dxa"/>
            <w:tcBorders>
              <w:top w:val="nil"/>
              <w:left w:val="nil"/>
              <w:bottom w:val="single" w:sz="4" w:space="0" w:color="auto"/>
              <w:right w:val="nil"/>
            </w:tcBorders>
            <w:shd w:val="clear" w:color="auto" w:fill="auto"/>
            <w:noWrap/>
            <w:vAlign w:val="bottom"/>
            <w:hideMark/>
          </w:tcPr>
          <w:p w14:paraId="43EDD48E" w14:textId="70117175" w:rsidR="00444328" w:rsidRPr="00D47D34" w:rsidRDefault="00444328" w:rsidP="00D47D34">
            <w:pPr>
              <w:spacing w:after="0" w:line="240" w:lineRule="auto"/>
              <w:jc w:val="right"/>
              <w:rPr>
                <w:rFonts w:ascii="Arial" w:hAnsi="Arial" w:cs="Arial"/>
                <w:b/>
                <w:bCs/>
                <w:color w:val="000000"/>
                <w:sz w:val="16"/>
                <w:szCs w:val="16"/>
              </w:rPr>
            </w:pPr>
            <w:r w:rsidRPr="00D47D34">
              <w:rPr>
                <w:rFonts w:ascii="Arial" w:hAnsi="Arial" w:cs="Arial"/>
                <w:b/>
                <w:bCs/>
                <w:color w:val="000000"/>
                <w:sz w:val="16"/>
                <w:szCs w:val="16"/>
              </w:rPr>
              <w:t>29,587</w:t>
            </w:r>
          </w:p>
        </w:tc>
      </w:tr>
      <w:tr w:rsidR="00444328" w:rsidRPr="00444328" w14:paraId="73A6A11C" w14:textId="77777777" w:rsidTr="00444328">
        <w:trPr>
          <w:trHeight w:val="204"/>
        </w:trPr>
        <w:tc>
          <w:tcPr>
            <w:tcW w:w="2976" w:type="dxa"/>
            <w:tcBorders>
              <w:top w:val="nil"/>
              <w:left w:val="nil"/>
              <w:bottom w:val="nil"/>
              <w:right w:val="nil"/>
            </w:tcBorders>
            <w:shd w:val="clear" w:color="auto" w:fill="auto"/>
            <w:noWrap/>
            <w:vAlign w:val="center"/>
            <w:hideMark/>
          </w:tcPr>
          <w:p w14:paraId="1C35F477" w14:textId="1CA9C115" w:rsidR="00444328" w:rsidRPr="00444328" w:rsidRDefault="00444328" w:rsidP="00444328">
            <w:pPr>
              <w:spacing w:after="0" w:line="240" w:lineRule="auto"/>
              <w:jc w:val="left"/>
              <w:rPr>
                <w:rFonts w:ascii="Arial" w:hAnsi="Arial" w:cs="Arial"/>
                <w:b/>
                <w:bCs/>
                <w:color w:val="000000"/>
                <w:sz w:val="16"/>
                <w:szCs w:val="16"/>
              </w:rPr>
            </w:pPr>
            <w:r w:rsidRPr="00444328">
              <w:rPr>
                <w:rFonts w:ascii="Arial" w:hAnsi="Arial" w:cs="Arial"/>
                <w:b/>
                <w:bCs/>
                <w:color w:val="000000"/>
                <w:sz w:val="16"/>
                <w:szCs w:val="16"/>
              </w:rPr>
              <w:t>EQUITY</w:t>
            </w:r>
          </w:p>
        </w:tc>
        <w:tc>
          <w:tcPr>
            <w:tcW w:w="856" w:type="dxa"/>
            <w:tcBorders>
              <w:top w:val="nil"/>
              <w:left w:val="nil"/>
              <w:bottom w:val="nil"/>
              <w:right w:val="nil"/>
            </w:tcBorders>
            <w:shd w:val="clear" w:color="auto" w:fill="auto"/>
            <w:noWrap/>
            <w:vAlign w:val="bottom"/>
            <w:hideMark/>
          </w:tcPr>
          <w:p w14:paraId="5CF03C4A" w14:textId="77777777" w:rsidR="00444328" w:rsidRPr="00D47D34" w:rsidRDefault="00444328" w:rsidP="00D47D3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0745D288" w14:textId="683A86CB" w:rsidR="00444328" w:rsidRPr="00D47D34" w:rsidRDefault="00444328" w:rsidP="00D47D3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CAA513F" w14:textId="77777777" w:rsidR="00444328" w:rsidRPr="00D47D34" w:rsidRDefault="00444328" w:rsidP="00D47D3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4CFBAD4F" w14:textId="77777777" w:rsidR="00444328" w:rsidRPr="00D47D34" w:rsidRDefault="00444328" w:rsidP="00D47D3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6E349E37" w14:textId="77777777" w:rsidR="00444328" w:rsidRPr="00D47D34" w:rsidRDefault="00444328" w:rsidP="00D47D34">
            <w:pPr>
              <w:spacing w:after="0" w:line="240" w:lineRule="auto"/>
              <w:jc w:val="right"/>
              <w:rPr>
                <w:rFonts w:ascii="Times New Roman" w:hAnsi="Times New Roman"/>
                <w:sz w:val="16"/>
                <w:szCs w:val="16"/>
              </w:rPr>
            </w:pPr>
          </w:p>
        </w:tc>
      </w:tr>
      <w:tr w:rsidR="00444328" w:rsidRPr="00444328" w14:paraId="216BEF0A" w14:textId="77777777" w:rsidTr="00444328">
        <w:trPr>
          <w:trHeight w:val="204"/>
        </w:trPr>
        <w:tc>
          <w:tcPr>
            <w:tcW w:w="2976" w:type="dxa"/>
            <w:tcBorders>
              <w:top w:val="nil"/>
              <w:left w:val="nil"/>
              <w:bottom w:val="nil"/>
              <w:right w:val="nil"/>
            </w:tcBorders>
            <w:shd w:val="clear" w:color="auto" w:fill="auto"/>
            <w:noWrap/>
            <w:vAlign w:val="center"/>
            <w:hideMark/>
          </w:tcPr>
          <w:p w14:paraId="5A7F9632" w14:textId="77777777" w:rsidR="00444328" w:rsidRPr="00444328" w:rsidRDefault="00444328" w:rsidP="00444328">
            <w:pPr>
              <w:spacing w:after="0" w:line="240" w:lineRule="auto"/>
              <w:jc w:val="left"/>
              <w:rPr>
                <w:rFonts w:ascii="Arial" w:hAnsi="Arial" w:cs="Arial"/>
                <w:b/>
                <w:bCs/>
                <w:color w:val="000000"/>
                <w:sz w:val="16"/>
                <w:szCs w:val="16"/>
              </w:rPr>
            </w:pPr>
            <w:r w:rsidRPr="00444328">
              <w:rPr>
                <w:rFonts w:ascii="Arial" w:hAnsi="Arial" w:cs="Arial"/>
                <w:b/>
                <w:bCs/>
                <w:color w:val="000000"/>
                <w:sz w:val="16"/>
                <w:szCs w:val="16"/>
              </w:rPr>
              <w:t>Parent entity interest</w:t>
            </w:r>
          </w:p>
        </w:tc>
        <w:tc>
          <w:tcPr>
            <w:tcW w:w="856" w:type="dxa"/>
            <w:tcBorders>
              <w:top w:val="nil"/>
              <w:left w:val="nil"/>
              <w:bottom w:val="nil"/>
              <w:right w:val="nil"/>
            </w:tcBorders>
            <w:shd w:val="clear" w:color="auto" w:fill="auto"/>
            <w:noWrap/>
            <w:vAlign w:val="bottom"/>
            <w:hideMark/>
          </w:tcPr>
          <w:p w14:paraId="6BB1F313" w14:textId="77777777" w:rsidR="00444328" w:rsidRPr="00D47D34" w:rsidRDefault="00444328" w:rsidP="00D47D3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24C703DC" w14:textId="28520C2A" w:rsidR="00444328" w:rsidRPr="00D47D34" w:rsidRDefault="00444328" w:rsidP="00D47D3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1EBCE64" w14:textId="77777777" w:rsidR="00444328" w:rsidRPr="00D47D34" w:rsidRDefault="00444328" w:rsidP="00D47D3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4E598009" w14:textId="77777777" w:rsidR="00444328" w:rsidRPr="00D47D34" w:rsidRDefault="00444328" w:rsidP="00D47D34">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5A91AB78" w14:textId="77777777" w:rsidR="00444328" w:rsidRPr="00D47D34" w:rsidRDefault="00444328" w:rsidP="00D47D34">
            <w:pPr>
              <w:spacing w:after="0" w:line="240" w:lineRule="auto"/>
              <w:jc w:val="right"/>
              <w:rPr>
                <w:rFonts w:ascii="Times New Roman" w:hAnsi="Times New Roman"/>
                <w:sz w:val="16"/>
                <w:szCs w:val="16"/>
              </w:rPr>
            </w:pPr>
          </w:p>
        </w:tc>
      </w:tr>
      <w:tr w:rsidR="00444328" w:rsidRPr="00444328" w14:paraId="4A50D90C" w14:textId="77777777" w:rsidTr="00444328">
        <w:trPr>
          <w:trHeight w:val="204"/>
        </w:trPr>
        <w:tc>
          <w:tcPr>
            <w:tcW w:w="2976" w:type="dxa"/>
            <w:tcBorders>
              <w:top w:val="nil"/>
              <w:left w:val="nil"/>
              <w:bottom w:val="nil"/>
              <w:right w:val="nil"/>
            </w:tcBorders>
            <w:shd w:val="clear" w:color="auto" w:fill="auto"/>
            <w:noWrap/>
            <w:vAlign w:val="center"/>
            <w:hideMark/>
          </w:tcPr>
          <w:p w14:paraId="44BE214F" w14:textId="77777777" w:rsidR="00444328" w:rsidRPr="00444328" w:rsidRDefault="00444328" w:rsidP="00444328">
            <w:pPr>
              <w:spacing w:after="0" w:line="240" w:lineRule="auto"/>
              <w:ind w:left="113"/>
              <w:jc w:val="left"/>
              <w:rPr>
                <w:rFonts w:ascii="Arial" w:hAnsi="Arial" w:cs="Arial"/>
                <w:color w:val="000000"/>
                <w:sz w:val="16"/>
                <w:szCs w:val="16"/>
              </w:rPr>
            </w:pPr>
            <w:r w:rsidRPr="00444328">
              <w:rPr>
                <w:rFonts w:ascii="Arial" w:hAnsi="Arial" w:cs="Arial"/>
                <w:color w:val="000000"/>
                <w:sz w:val="16"/>
                <w:szCs w:val="16"/>
              </w:rPr>
              <w:t>Contributed equity</w:t>
            </w:r>
          </w:p>
        </w:tc>
        <w:tc>
          <w:tcPr>
            <w:tcW w:w="856" w:type="dxa"/>
            <w:tcBorders>
              <w:top w:val="nil"/>
              <w:left w:val="nil"/>
              <w:bottom w:val="nil"/>
              <w:right w:val="nil"/>
            </w:tcBorders>
            <w:shd w:val="clear" w:color="auto" w:fill="auto"/>
            <w:noWrap/>
            <w:vAlign w:val="bottom"/>
            <w:hideMark/>
          </w:tcPr>
          <w:p w14:paraId="4D10A2E6" w14:textId="6EA968BE"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3,295</w:t>
            </w:r>
          </w:p>
        </w:tc>
        <w:tc>
          <w:tcPr>
            <w:tcW w:w="857" w:type="dxa"/>
            <w:tcBorders>
              <w:top w:val="nil"/>
              <w:left w:val="nil"/>
              <w:bottom w:val="nil"/>
              <w:right w:val="nil"/>
            </w:tcBorders>
            <w:shd w:val="clear" w:color="000000" w:fill="E6E6E6"/>
            <w:noWrap/>
            <w:vAlign w:val="bottom"/>
            <w:hideMark/>
          </w:tcPr>
          <w:p w14:paraId="12462B2C" w14:textId="742437C8"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3,295</w:t>
            </w:r>
          </w:p>
        </w:tc>
        <w:tc>
          <w:tcPr>
            <w:tcW w:w="857" w:type="dxa"/>
            <w:tcBorders>
              <w:top w:val="nil"/>
              <w:left w:val="nil"/>
              <w:bottom w:val="nil"/>
              <w:right w:val="nil"/>
            </w:tcBorders>
            <w:shd w:val="clear" w:color="auto" w:fill="auto"/>
            <w:noWrap/>
            <w:vAlign w:val="bottom"/>
            <w:hideMark/>
          </w:tcPr>
          <w:p w14:paraId="28F2F3C1" w14:textId="2C7CF01D"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3,295</w:t>
            </w:r>
          </w:p>
        </w:tc>
        <w:tc>
          <w:tcPr>
            <w:tcW w:w="857" w:type="dxa"/>
            <w:tcBorders>
              <w:top w:val="nil"/>
              <w:left w:val="nil"/>
              <w:bottom w:val="nil"/>
              <w:right w:val="nil"/>
            </w:tcBorders>
            <w:shd w:val="clear" w:color="auto" w:fill="auto"/>
            <w:noWrap/>
            <w:vAlign w:val="bottom"/>
            <w:hideMark/>
          </w:tcPr>
          <w:p w14:paraId="0B7DF282" w14:textId="50145722"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3,295</w:t>
            </w:r>
          </w:p>
        </w:tc>
        <w:tc>
          <w:tcPr>
            <w:tcW w:w="857" w:type="dxa"/>
            <w:tcBorders>
              <w:top w:val="nil"/>
              <w:left w:val="nil"/>
              <w:bottom w:val="nil"/>
              <w:right w:val="nil"/>
            </w:tcBorders>
            <w:shd w:val="clear" w:color="auto" w:fill="auto"/>
            <w:noWrap/>
            <w:vAlign w:val="bottom"/>
            <w:hideMark/>
          </w:tcPr>
          <w:p w14:paraId="79CD0BF6" w14:textId="375FA1F2"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3,295</w:t>
            </w:r>
          </w:p>
        </w:tc>
      </w:tr>
      <w:tr w:rsidR="00444328" w:rsidRPr="00444328" w14:paraId="49C293FF" w14:textId="77777777" w:rsidTr="00D444E8">
        <w:trPr>
          <w:trHeight w:val="204"/>
        </w:trPr>
        <w:tc>
          <w:tcPr>
            <w:tcW w:w="2976" w:type="dxa"/>
            <w:tcBorders>
              <w:top w:val="nil"/>
              <w:left w:val="nil"/>
              <w:bottom w:val="nil"/>
              <w:right w:val="nil"/>
            </w:tcBorders>
            <w:shd w:val="clear" w:color="auto" w:fill="auto"/>
            <w:noWrap/>
            <w:vAlign w:val="center"/>
            <w:hideMark/>
          </w:tcPr>
          <w:p w14:paraId="1AA384CB" w14:textId="77777777" w:rsidR="00444328" w:rsidRPr="00444328" w:rsidRDefault="00444328" w:rsidP="00444328">
            <w:pPr>
              <w:spacing w:after="0" w:line="240" w:lineRule="auto"/>
              <w:ind w:left="113"/>
              <w:jc w:val="left"/>
              <w:rPr>
                <w:rFonts w:ascii="Arial" w:hAnsi="Arial" w:cs="Arial"/>
                <w:color w:val="000000"/>
                <w:sz w:val="16"/>
                <w:szCs w:val="16"/>
              </w:rPr>
            </w:pPr>
            <w:r w:rsidRPr="00444328">
              <w:rPr>
                <w:rFonts w:ascii="Arial" w:hAnsi="Arial" w:cs="Arial"/>
                <w:color w:val="000000"/>
                <w:sz w:val="16"/>
                <w:szCs w:val="16"/>
              </w:rPr>
              <w:t>Reserves</w:t>
            </w:r>
          </w:p>
        </w:tc>
        <w:tc>
          <w:tcPr>
            <w:tcW w:w="856" w:type="dxa"/>
            <w:tcBorders>
              <w:top w:val="nil"/>
              <w:left w:val="nil"/>
              <w:right w:val="nil"/>
            </w:tcBorders>
            <w:shd w:val="clear" w:color="auto" w:fill="auto"/>
            <w:noWrap/>
            <w:vAlign w:val="bottom"/>
            <w:hideMark/>
          </w:tcPr>
          <w:p w14:paraId="0E2A14A6" w14:textId="6AD49EA6"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9,485</w:t>
            </w:r>
          </w:p>
        </w:tc>
        <w:tc>
          <w:tcPr>
            <w:tcW w:w="857" w:type="dxa"/>
            <w:tcBorders>
              <w:top w:val="nil"/>
              <w:left w:val="nil"/>
              <w:right w:val="nil"/>
            </w:tcBorders>
            <w:shd w:val="clear" w:color="000000" w:fill="E6E6E6"/>
            <w:noWrap/>
            <w:vAlign w:val="bottom"/>
            <w:hideMark/>
          </w:tcPr>
          <w:p w14:paraId="7F66E0EB" w14:textId="79D7290F"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9,485</w:t>
            </w:r>
          </w:p>
        </w:tc>
        <w:tc>
          <w:tcPr>
            <w:tcW w:w="857" w:type="dxa"/>
            <w:tcBorders>
              <w:top w:val="nil"/>
              <w:left w:val="nil"/>
              <w:right w:val="nil"/>
            </w:tcBorders>
            <w:shd w:val="clear" w:color="auto" w:fill="auto"/>
            <w:noWrap/>
            <w:vAlign w:val="bottom"/>
            <w:hideMark/>
          </w:tcPr>
          <w:p w14:paraId="28CF958D" w14:textId="4E4F0DDF"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9,485</w:t>
            </w:r>
          </w:p>
        </w:tc>
        <w:tc>
          <w:tcPr>
            <w:tcW w:w="857" w:type="dxa"/>
            <w:tcBorders>
              <w:top w:val="nil"/>
              <w:left w:val="nil"/>
              <w:right w:val="nil"/>
            </w:tcBorders>
            <w:shd w:val="clear" w:color="auto" w:fill="auto"/>
            <w:noWrap/>
            <w:vAlign w:val="bottom"/>
            <w:hideMark/>
          </w:tcPr>
          <w:p w14:paraId="3EA91791" w14:textId="49D413BB"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9,485</w:t>
            </w:r>
          </w:p>
        </w:tc>
        <w:tc>
          <w:tcPr>
            <w:tcW w:w="857" w:type="dxa"/>
            <w:tcBorders>
              <w:top w:val="nil"/>
              <w:left w:val="nil"/>
              <w:right w:val="nil"/>
            </w:tcBorders>
            <w:shd w:val="clear" w:color="auto" w:fill="auto"/>
            <w:noWrap/>
            <w:vAlign w:val="bottom"/>
            <w:hideMark/>
          </w:tcPr>
          <w:p w14:paraId="77F9EB3E" w14:textId="6805C01A"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9,485</w:t>
            </w:r>
          </w:p>
        </w:tc>
      </w:tr>
      <w:tr w:rsidR="00444328" w:rsidRPr="00444328" w14:paraId="139B5C1F" w14:textId="77777777" w:rsidTr="00D444E8">
        <w:trPr>
          <w:trHeight w:val="204"/>
        </w:trPr>
        <w:tc>
          <w:tcPr>
            <w:tcW w:w="2976" w:type="dxa"/>
            <w:tcBorders>
              <w:top w:val="nil"/>
              <w:left w:val="nil"/>
              <w:bottom w:val="nil"/>
              <w:right w:val="nil"/>
            </w:tcBorders>
            <w:shd w:val="clear" w:color="auto" w:fill="auto"/>
            <w:vAlign w:val="center"/>
            <w:hideMark/>
          </w:tcPr>
          <w:p w14:paraId="48B47BD2" w14:textId="0A810F05" w:rsidR="00444328" w:rsidRPr="00444328" w:rsidRDefault="00444328" w:rsidP="00444328">
            <w:pPr>
              <w:spacing w:after="0" w:line="240" w:lineRule="auto"/>
              <w:ind w:left="113"/>
              <w:jc w:val="left"/>
              <w:rPr>
                <w:rFonts w:ascii="Arial" w:hAnsi="Arial" w:cs="Arial"/>
                <w:color w:val="000000"/>
                <w:sz w:val="16"/>
                <w:szCs w:val="16"/>
              </w:rPr>
            </w:pPr>
            <w:r w:rsidRPr="00444328">
              <w:rPr>
                <w:rFonts w:ascii="Arial" w:hAnsi="Arial" w:cs="Arial"/>
                <w:color w:val="000000"/>
                <w:sz w:val="16"/>
                <w:szCs w:val="16"/>
              </w:rPr>
              <w:t>Retained surplus (accumulated</w:t>
            </w:r>
            <w:r>
              <w:rPr>
                <w:rFonts w:ascii="Arial" w:hAnsi="Arial" w:cs="Arial"/>
                <w:color w:val="000000"/>
                <w:sz w:val="16"/>
                <w:szCs w:val="16"/>
              </w:rPr>
              <w:t xml:space="preserve"> </w:t>
            </w:r>
            <w:r w:rsidRPr="00D4130C">
              <w:rPr>
                <w:rFonts w:ascii="Arial" w:hAnsi="Arial" w:cs="Arial"/>
                <w:sz w:val="16"/>
                <w:szCs w:val="16"/>
              </w:rPr>
              <w:t>deficit</w:t>
            </w:r>
            <w:r w:rsidRPr="00444328">
              <w:rPr>
                <w:rFonts w:ascii="Arial" w:hAnsi="Arial" w:cs="Arial"/>
                <w:color w:val="000000"/>
                <w:sz w:val="16"/>
                <w:szCs w:val="16"/>
              </w:rPr>
              <w:t>)</w:t>
            </w:r>
          </w:p>
        </w:tc>
        <w:tc>
          <w:tcPr>
            <w:tcW w:w="856" w:type="dxa"/>
            <w:tcBorders>
              <w:top w:val="nil"/>
              <w:left w:val="nil"/>
              <w:bottom w:val="single" w:sz="4" w:space="0" w:color="auto"/>
              <w:right w:val="nil"/>
            </w:tcBorders>
            <w:shd w:val="clear" w:color="auto" w:fill="auto"/>
            <w:noWrap/>
            <w:vAlign w:val="bottom"/>
            <w:hideMark/>
          </w:tcPr>
          <w:p w14:paraId="4EFF0D7E" w14:textId="3FA7971D"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58,192</w:t>
            </w:r>
          </w:p>
        </w:tc>
        <w:tc>
          <w:tcPr>
            <w:tcW w:w="857" w:type="dxa"/>
            <w:tcBorders>
              <w:top w:val="nil"/>
              <w:left w:val="nil"/>
              <w:bottom w:val="single" w:sz="4" w:space="0" w:color="auto"/>
              <w:right w:val="nil"/>
            </w:tcBorders>
            <w:shd w:val="clear" w:color="000000" w:fill="E6E6E6"/>
            <w:noWrap/>
            <w:vAlign w:val="bottom"/>
            <w:hideMark/>
          </w:tcPr>
          <w:p w14:paraId="29B56B53" w14:textId="1B5CFC11"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58,192</w:t>
            </w:r>
          </w:p>
        </w:tc>
        <w:tc>
          <w:tcPr>
            <w:tcW w:w="857" w:type="dxa"/>
            <w:tcBorders>
              <w:top w:val="nil"/>
              <w:left w:val="nil"/>
              <w:bottom w:val="single" w:sz="4" w:space="0" w:color="auto"/>
              <w:right w:val="nil"/>
            </w:tcBorders>
            <w:shd w:val="clear" w:color="auto" w:fill="auto"/>
            <w:noWrap/>
            <w:vAlign w:val="bottom"/>
            <w:hideMark/>
          </w:tcPr>
          <w:p w14:paraId="2FE30CBF" w14:textId="593EEB6B"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57,371</w:t>
            </w:r>
          </w:p>
        </w:tc>
        <w:tc>
          <w:tcPr>
            <w:tcW w:w="857" w:type="dxa"/>
            <w:tcBorders>
              <w:top w:val="nil"/>
              <w:left w:val="nil"/>
              <w:bottom w:val="single" w:sz="4" w:space="0" w:color="auto"/>
              <w:right w:val="nil"/>
            </w:tcBorders>
            <w:shd w:val="clear" w:color="auto" w:fill="auto"/>
            <w:noWrap/>
            <w:vAlign w:val="bottom"/>
            <w:hideMark/>
          </w:tcPr>
          <w:p w14:paraId="346CBAB4" w14:textId="5DDA6081"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52,914</w:t>
            </w:r>
          </w:p>
        </w:tc>
        <w:tc>
          <w:tcPr>
            <w:tcW w:w="857" w:type="dxa"/>
            <w:tcBorders>
              <w:top w:val="nil"/>
              <w:left w:val="nil"/>
              <w:bottom w:val="single" w:sz="4" w:space="0" w:color="auto"/>
              <w:right w:val="nil"/>
            </w:tcBorders>
            <w:shd w:val="clear" w:color="auto" w:fill="auto"/>
            <w:noWrap/>
            <w:vAlign w:val="bottom"/>
            <w:hideMark/>
          </w:tcPr>
          <w:p w14:paraId="4A435186" w14:textId="1DB51FA3" w:rsidR="00444328" w:rsidRPr="00D47D34" w:rsidRDefault="00444328" w:rsidP="00D47D34">
            <w:pPr>
              <w:spacing w:after="0" w:line="240" w:lineRule="auto"/>
              <w:jc w:val="right"/>
              <w:rPr>
                <w:rFonts w:ascii="Arial" w:hAnsi="Arial" w:cs="Arial"/>
                <w:color w:val="000000"/>
                <w:sz w:val="16"/>
                <w:szCs w:val="16"/>
              </w:rPr>
            </w:pPr>
            <w:r w:rsidRPr="00D47D34">
              <w:rPr>
                <w:rFonts w:ascii="Arial" w:hAnsi="Arial" w:cs="Arial"/>
                <w:color w:val="000000"/>
                <w:sz w:val="16"/>
                <w:szCs w:val="16"/>
              </w:rPr>
              <w:t>16,807</w:t>
            </w:r>
          </w:p>
        </w:tc>
      </w:tr>
      <w:tr w:rsidR="00444328" w:rsidRPr="00444328" w14:paraId="4EEA21B3" w14:textId="77777777" w:rsidTr="00D444E8">
        <w:trPr>
          <w:trHeight w:val="204"/>
        </w:trPr>
        <w:tc>
          <w:tcPr>
            <w:tcW w:w="2976" w:type="dxa"/>
            <w:tcBorders>
              <w:top w:val="nil"/>
              <w:left w:val="nil"/>
              <w:bottom w:val="single" w:sz="4" w:space="0" w:color="000000"/>
              <w:right w:val="nil"/>
            </w:tcBorders>
            <w:shd w:val="clear" w:color="auto" w:fill="auto"/>
            <w:noWrap/>
            <w:vAlign w:val="center"/>
            <w:hideMark/>
          </w:tcPr>
          <w:p w14:paraId="4A29CDF4" w14:textId="77777777" w:rsidR="00444328" w:rsidRPr="00444328" w:rsidRDefault="00444328" w:rsidP="00444328">
            <w:pPr>
              <w:spacing w:after="0" w:line="240" w:lineRule="auto"/>
              <w:jc w:val="left"/>
              <w:rPr>
                <w:rFonts w:ascii="Arial" w:hAnsi="Arial" w:cs="Arial"/>
                <w:b/>
                <w:bCs/>
                <w:color w:val="000000"/>
                <w:sz w:val="16"/>
                <w:szCs w:val="16"/>
              </w:rPr>
            </w:pPr>
            <w:r w:rsidRPr="00444328">
              <w:rPr>
                <w:rFonts w:ascii="Arial" w:hAnsi="Arial" w:cs="Arial"/>
                <w:b/>
                <w:bCs/>
                <w:color w:val="000000"/>
                <w:sz w:val="16"/>
                <w:szCs w:val="16"/>
              </w:rPr>
              <w:t>Total equity</w:t>
            </w:r>
          </w:p>
        </w:tc>
        <w:tc>
          <w:tcPr>
            <w:tcW w:w="856" w:type="dxa"/>
            <w:tcBorders>
              <w:top w:val="single" w:sz="4" w:space="0" w:color="auto"/>
              <w:left w:val="nil"/>
              <w:bottom w:val="single" w:sz="4" w:space="0" w:color="000000"/>
              <w:right w:val="nil"/>
            </w:tcBorders>
            <w:shd w:val="clear" w:color="auto" w:fill="auto"/>
            <w:noWrap/>
            <w:vAlign w:val="bottom"/>
            <w:hideMark/>
          </w:tcPr>
          <w:p w14:paraId="40CEE86D" w14:textId="488B83D6" w:rsidR="00444328" w:rsidRPr="00D47D34" w:rsidRDefault="00444328" w:rsidP="00D47D34">
            <w:pPr>
              <w:spacing w:after="0" w:line="240" w:lineRule="auto"/>
              <w:jc w:val="right"/>
              <w:rPr>
                <w:rFonts w:ascii="Arial" w:hAnsi="Arial" w:cs="Arial"/>
                <w:b/>
                <w:bCs/>
                <w:color w:val="000000"/>
                <w:sz w:val="16"/>
                <w:szCs w:val="16"/>
              </w:rPr>
            </w:pPr>
            <w:r w:rsidRPr="00D47D34">
              <w:rPr>
                <w:rFonts w:ascii="Arial" w:hAnsi="Arial" w:cs="Arial"/>
                <w:b/>
                <w:bCs/>
                <w:color w:val="000000"/>
                <w:sz w:val="16"/>
                <w:szCs w:val="16"/>
              </w:rPr>
              <w:t>70,972</w:t>
            </w:r>
          </w:p>
        </w:tc>
        <w:tc>
          <w:tcPr>
            <w:tcW w:w="857" w:type="dxa"/>
            <w:tcBorders>
              <w:top w:val="single" w:sz="4" w:space="0" w:color="auto"/>
              <w:left w:val="nil"/>
              <w:bottom w:val="single" w:sz="4" w:space="0" w:color="000000"/>
              <w:right w:val="nil"/>
            </w:tcBorders>
            <w:shd w:val="clear" w:color="000000" w:fill="E6E6E6"/>
            <w:noWrap/>
            <w:vAlign w:val="bottom"/>
            <w:hideMark/>
          </w:tcPr>
          <w:p w14:paraId="5CB76ED2" w14:textId="2B4D777E" w:rsidR="00444328" w:rsidRPr="00D47D34" w:rsidRDefault="00444328" w:rsidP="00D47D34">
            <w:pPr>
              <w:spacing w:after="0" w:line="240" w:lineRule="auto"/>
              <w:jc w:val="right"/>
              <w:rPr>
                <w:rFonts w:ascii="Arial" w:hAnsi="Arial" w:cs="Arial"/>
                <w:b/>
                <w:bCs/>
                <w:color w:val="000000"/>
                <w:sz w:val="16"/>
                <w:szCs w:val="16"/>
              </w:rPr>
            </w:pPr>
            <w:r w:rsidRPr="00D47D34">
              <w:rPr>
                <w:rFonts w:ascii="Arial" w:hAnsi="Arial" w:cs="Arial"/>
                <w:b/>
                <w:bCs/>
                <w:color w:val="000000"/>
                <w:sz w:val="16"/>
                <w:szCs w:val="16"/>
              </w:rPr>
              <w:t>70,972</w:t>
            </w:r>
          </w:p>
        </w:tc>
        <w:tc>
          <w:tcPr>
            <w:tcW w:w="857" w:type="dxa"/>
            <w:tcBorders>
              <w:top w:val="single" w:sz="4" w:space="0" w:color="auto"/>
              <w:left w:val="nil"/>
              <w:bottom w:val="single" w:sz="4" w:space="0" w:color="000000"/>
              <w:right w:val="nil"/>
            </w:tcBorders>
            <w:shd w:val="clear" w:color="auto" w:fill="auto"/>
            <w:noWrap/>
            <w:vAlign w:val="bottom"/>
            <w:hideMark/>
          </w:tcPr>
          <w:p w14:paraId="0423443C" w14:textId="55EDF2F1" w:rsidR="00444328" w:rsidRPr="00D47D34" w:rsidRDefault="00444328" w:rsidP="00D47D34">
            <w:pPr>
              <w:spacing w:after="0" w:line="240" w:lineRule="auto"/>
              <w:jc w:val="right"/>
              <w:rPr>
                <w:rFonts w:ascii="Arial" w:hAnsi="Arial" w:cs="Arial"/>
                <w:b/>
                <w:bCs/>
                <w:color w:val="000000"/>
                <w:sz w:val="16"/>
                <w:szCs w:val="16"/>
              </w:rPr>
            </w:pPr>
            <w:r w:rsidRPr="00D47D34">
              <w:rPr>
                <w:rFonts w:ascii="Arial" w:hAnsi="Arial" w:cs="Arial"/>
                <w:b/>
                <w:bCs/>
                <w:color w:val="000000"/>
                <w:sz w:val="16"/>
                <w:szCs w:val="16"/>
              </w:rPr>
              <w:t>70,151</w:t>
            </w:r>
          </w:p>
        </w:tc>
        <w:tc>
          <w:tcPr>
            <w:tcW w:w="857" w:type="dxa"/>
            <w:tcBorders>
              <w:top w:val="single" w:sz="4" w:space="0" w:color="auto"/>
              <w:left w:val="nil"/>
              <w:bottom w:val="single" w:sz="4" w:space="0" w:color="000000"/>
              <w:right w:val="nil"/>
            </w:tcBorders>
            <w:shd w:val="clear" w:color="auto" w:fill="auto"/>
            <w:noWrap/>
            <w:vAlign w:val="bottom"/>
            <w:hideMark/>
          </w:tcPr>
          <w:p w14:paraId="57FD7262" w14:textId="248DDD0C" w:rsidR="00444328" w:rsidRPr="00D47D34" w:rsidRDefault="00444328" w:rsidP="00D47D34">
            <w:pPr>
              <w:spacing w:after="0" w:line="240" w:lineRule="auto"/>
              <w:jc w:val="right"/>
              <w:rPr>
                <w:rFonts w:ascii="Arial" w:hAnsi="Arial" w:cs="Arial"/>
                <w:b/>
                <w:bCs/>
                <w:color w:val="000000"/>
                <w:sz w:val="16"/>
                <w:szCs w:val="16"/>
              </w:rPr>
            </w:pPr>
            <w:r w:rsidRPr="00D47D34">
              <w:rPr>
                <w:rFonts w:ascii="Arial" w:hAnsi="Arial" w:cs="Arial"/>
                <w:b/>
                <w:bCs/>
                <w:color w:val="000000"/>
                <w:sz w:val="16"/>
                <w:szCs w:val="16"/>
              </w:rPr>
              <w:t>65,694</w:t>
            </w:r>
          </w:p>
        </w:tc>
        <w:tc>
          <w:tcPr>
            <w:tcW w:w="857" w:type="dxa"/>
            <w:tcBorders>
              <w:top w:val="single" w:sz="4" w:space="0" w:color="auto"/>
              <w:left w:val="nil"/>
              <w:bottom w:val="single" w:sz="4" w:space="0" w:color="000000"/>
              <w:right w:val="nil"/>
            </w:tcBorders>
            <w:shd w:val="clear" w:color="auto" w:fill="auto"/>
            <w:noWrap/>
            <w:vAlign w:val="bottom"/>
            <w:hideMark/>
          </w:tcPr>
          <w:p w14:paraId="311A0979" w14:textId="7165D280" w:rsidR="00444328" w:rsidRPr="00D47D34" w:rsidRDefault="00444328" w:rsidP="00D47D34">
            <w:pPr>
              <w:spacing w:after="0" w:line="240" w:lineRule="auto"/>
              <w:jc w:val="right"/>
              <w:rPr>
                <w:rFonts w:ascii="Arial" w:hAnsi="Arial" w:cs="Arial"/>
                <w:b/>
                <w:bCs/>
                <w:color w:val="000000"/>
                <w:sz w:val="16"/>
                <w:szCs w:val="16"/>
              </w:rPr>
            </w:pPr>
            <w:r w:rsidRPr="00D47D34">
              <w:rPr>
                <w:rFonts w:ascii="Arial" w:hAnsi="Arial" w:cs="Arial"/>
                <w:b/>
                <w:bCs/>
                <w:color w:val="000000"/>
                <w:sz w:val="16"/>
                <w:szCs w:val="16"/>
              </w:rPr>
              <w:t>29,587</w:t>
            </w:r>
          </w:p>
        </w:tc>
      </w:tr>
    </w:tbl>
    <w:p w14:paraId="58CD562E" w14:textId="77777777" w:rsidR="00C17040" w:rsidRDefault="00C17040" w:rsidP="000708D5">
      <w:pPr>
        <w:pStyle w:val="Source"/>
        <w:spacing w:before="60"/>
        <w:jc w:val="left"/>
      </w:pPr>
      <w:r w:rsidRPr="009C33E9">
        <w:t>Prepared on Australian Accounting Standards basis.</w:t>
      </w:r>
    </w:p>
    <w:p w14:paraId="5C12F510" w14:textId="0A7A3811" w:rsidR="00444328" w:rsidRDefault="00444328">
      <w:pPr>
        <w:spacing w:after="0" w:line="240" w:lineRule="auto"/>
        <w:jc w:val="left"/>
        <w:rPr>
          <w:snapToGrid w:val="0"/>
        </w:rPr>
      </w:pPr>
      <w:r>
        <w:rPr>
          <w:snapToGrid w:val="0"/>
        </w:rPr>
        <w:br w:type="page"/>
      </w:r>
    </w:p>
    <w:p w14:paraId="5E506045" w14:textId="3CB3918C" w:rsidR="00C17040" w:rsidRPr="00014438" w:rsidRDefault="00C17040" w:rsidP="00C17040">
      <w:pPr>
        <w:pStyle w:val="TableHeading"/>
        <w:spacing w:before="0"/>
        <w:rPr>
          <w:snapToGrid w:val="0"/>
        </w:rPr>
      </w:pPr>
      <w:r>
        <w:rPr>
          <w:snapToGrid w:val="0"/>
        </w:rPr>
        <w:lastRenderedPageBreak/>
        <w:t xml:space="preserve">Table 3.4: </w:t>
      </w:r>
      <w:r w:rsidR="008863D9">
        <w:rPr>
          <w:snapToGrid w:val="0"/>
        </w:rPr>
        <w:t>Department</w:t>
      </w:r>
      <w:r w:rsidRPr="00014438">
        <w:rPr>
          <w:snapToGrid w:val="0"/>
        </w:rPr>
        <w:t xml:space="preserve">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ovement (</w:t>
      </w:r>
      <w:r w:rsidR="00377489">
        <w:rPr>
          <w:snapToGrid w:val="0"/>
        </w:rPr>
        <w:t>2021-22 Budget year</w:t>
      </w:r>
      <w:r w:rsidRPr="00014438">
        <w:rPr>
          <w:snapToGrid w:val="0"/>
        </w:rPr>
        <w:t>)</w:t>
      </w:r>
      <w:r w:rsidRPr="00EC73D1">
        <w:rPr>
          <w:b w:val="0"/>
          <w:snapToGrid w:val="0"/>
        </w:rPr>
        <w:t xml:space="preserve"> </w:t>
      </w:r>
    </w:p>
    <w:tbl>
      <w:tblPr>
        <w:tblW w:w="6690" w:type="dxa"/>
        <w:tblLook w:val="04A0" w:firstRow="1" w:lastRow="0" w:firstColumn="1" w:lastColumn="0" w:noHBand="0" w:noVBand="1"/>
      </w:tblPr>
      <w:tblGrid>
        <w:gridCol w:w="2977"/>
        <w:gridCol w:w="857"/>
        <w:gridCol w:w="999"/>
        <w:gridCol w:w="1044"/>
        <w:gridCol w:w="813"/>
      </w:tblGrid>
      <w:tr w:rsidR="00444328" w:rsidRPr="00444328" w14:paraId="39156576" w14:textId="77777777" w:rsidTr="0040418E">
        <w:trPr>
          <w:trHeight w:val="70"/>
        </w:trPr>
        <w:tc>
          <w:tcPr>
            <w:tcW w:w="2977" w:type="dxa"/>
            <w:tcBorders>
              <w:top w:val="single" w:sz="4" w:space="0" w:color="auto"/>
              <w:left w:val="nil"/>
              <w:bottom w:val="nil"/>
              <w:right w:val="nil"/>
            </w:tcBorders>
            <w:shd w:val="clear" w:color="auto" w:fill="auto"/>
            <w:noWrap/>
            <w:vAlign w:val="center"/>
            <w:hideMark/>
          </w:tcPr>
          <w:p w14:paraId="7CF0C763" w14:textId="123C35E5" w:rsidR="00444328" w:rsidRPr="00444328" w:rsidRDefault="00C17040" w:rsidP="00444328">
            <w:pPr>
              <w:spacing w:after="0" w:line="240" w:lineRule="auto"/>
              <w:jc w:val="right"/>
              <w:rPr>
                <w:rFonts w:ascii="Arial" w:hAnsi="Arial" w:cs="Arial"/>
                <w:color w:val="000000"/>
                <w:sz w:val="16"/>
                <w:szCs w:val="16"/>
              </w:rPr>
            </w:pPr>
            <w:r w:rsidRPr="00543672">
              <w:rPr>
                <w:i/>
              </w:rPr>
              <w:t xml:space="preserve"> </w:t>
            </w:r>
            <w:r w:rsidR="00444328" w:rsidRPr="00444328">
              <w:rPr>
                <w:rFonts w:ascii="Arial" w:hAnsi="Arial" w:cs="Arial"/>
                <w:color w:val="000000"/>
                <w:sz w:val="16"/>
                <w:szCs w:val="16"/>
              </w:rPr>
              <w:t> </w:t>
            </w:r>
          </w:p>
        </w:tc>
        <w:tc>
          <w:tcPr>
            <w:tcW w:w="857" w:type="dxa"/>
            <w:tcBorders>
              <w:top w:val="single" w:sz="4" w:space="0" w:color="auto"/>
              <w:left w:val="nil"/>
              <w:bottom w:val="single" w:sz="4" w:space="0" w:color="000000"/>
              <w:right w:val="nil"/>
            </w:tcBorders>
            <w:shd w:val="clear" w:color="auto" w:fill="auto"/>
            <w:hideMark/>
          </w:tcPr>
          <w:p w14:paraId="3C1E1E9F" w14:textId="77777777" w:rsidR="00444328" w:rsidRPr="00444328" w:rsidRDefault="00444328" w:rsidP="00444328">
            <w:pPr>
              <w:spacing w:after="0" w:line="240" w:lineRule="auto"/>
              <w:jc w:val="right"/>
              <w:rPr>
                <w:rFonts w:ascii="Arial" w:hAnsi="Arial" w:cs="Arial"/>
                <w:color w:val="000000"/>
                <w:sz w:val="16"/>
                <w:szCs w:val="16"/>
              </w:rPr>
            </w:pPr>
            <w:r w:rsidRPr="00444328">
              <w:rPr>
                <w:rFonts w:ascii="Arial" w:hAnsi="Arial" w:cs="Arial"/>
                <w:color w:val="000000"/>
                <w:sz w:val="16"/>
                <w:szCs w:val="16"/>
              </w:rPr>
              <w:t>Retained</w:t>
            </w:r>
            <w:r w:rsidRPr="00444328">
              <w:rPr>
                <w:rFonts w:ascii="Arial" w:hAnsi="Arial" w:cs="Arial"/>
                <w:color w:val="000000"/>
                <w:sz w:val="16"/>
                <w:szCs w:val="16"/>
              </w:rPr>
              <w:br/>
              <w:t>earnings</w:t>
            </w:r>
            <w:r w:rsidRPr="00444328">
              <w:rPr>
                <w:rFonts w:ascii="Arial" w:hAnsi="Arial" w:cs="Arial"/>
                <w:color w:val="000000"/>
                <w:sz w:val="16"/>
                <w:szCs w:val="16"/>
              </w:rPr>
              <w:br/>
            </w:r>
            <w:r w:rsidRPr="00444328">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hideMark/>
          </w:tcPr>
          <w:p w14:paraId="6A8984C3" w14:textId="77777777" w:rsidR="00444328" w:rsidRPr="00444328" w:rsidRDefault="00444328" w:rsidP="00444328">
            <w:pPr>
              <w:spacing w:after="0" w:line="240" w:lineRule="auto"/>
              <w:jc w:val="right"/>
              <w:rPr>
                <w:rFonts w:ascii="Arial" w:hAnsi="Arial" w:cs="Arial"/>
                <w:color w:val="000000"/>
                <w:sz w:val="16"/>
                <w:szCs w:val="16"/>
              </w:rPr>
            </w:pPr>
            <w:r w:rsidRPr="00444328">
              <w:rPr>
                <w:rFonts w:ascii="Arial" w:hAnsi="Arial" w:cs="Arial"/>
                <w:color w:val="000000"/>
                <w:sz w:val="16"/>
                <w:szCs w:val="16"/>
              </w:rPr>
              <w:t>Asset</w:t>
            </w:r>
            <w:r w:rsidRPr="00444328">
              <w:rPr>
                <w:rFonts w:ascii="Arial" w:hAnsi="Arial" w:cs="Arial"/>
                <w:color w:val="000000"/>
                <w:sz w:val="16"/>
                <w:szCs w:val="16"/>
              </w:rPr>
              <w:br/>
              <w:t>revaluation</w:t>
            </w:r>
            <w:r w:rsidRPr="00444328">
              <w:rPr>
                <w:rFonts w:ascii="Arial" w:hAnsi="Arial" w:cs="Arial"/>
                <w:color w:val="000000"/>
                <w:sz w:val="16"/>
                <w:szCs w:val="16"/>
              </w:rPr>
              <w:br/>
              <w:t>reserve</w:t>
            </w:r>
            <w:r w:rsidRPr="00444328">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hideMark/>
          </w:tcPr>
          <w:p w14:paraId="38B72639" w14:textId="77777777" w:rsidR="00444328" w:rsidRPr="00444328" w:rsidRDefault="00444328" w:rsidP="00444328">
            <w:pPr>
              <w:spacing w:after="0" w:line="240" w:lineRule="auto"/>
              <w:jc w:val="right"/>
              <w:rPr>
                <w:rFonts w:ascii="Arial" w:hAnsi="Arial" w:cs="Arial"/>
                <w:color w:val="000000"/>
                <w:sz w:val="16"/>
                <w:szCs w:val="16"/>
              </w:rPr>
            </w:pPr>
            <w:r w:rsidRPr="00444328">
              <w:rPr>
                <w:rFonts w:ascii="Arial" w:hAnsi="Arial" w:cs="Arial"/>
                <w:color w:val="000000"/>
                <w:sz w:val="16"/>
                <w:szCs w:val="16"/>
              </w:rPr>
              <w:t>Contributed</w:t>
            </w:r>
            <w:r w:rsidRPr="00444328">
              <w:rPr>
                <w:rFonts w:ascii="Arial" w:hAnsi="Arial" w:cs="Arial"/>
                <w:color w:val="000000"/>
                <w:sz w:val="16"/>
                <w:szCs w:val="16"/>
              </w:rPr>
              <w:br/>
              <w:t>equity/</w:t>
            </w:r>
            <w:r w:rsidRPr="00444328">
              <w:rPr>
                <w:rFonts w:ascii="Arial" w:hAnsi="Arial" w:cs="Arial"/>
                <w:color w:val="000000"/>
                <w:sz w:val="16"/>
                <w:szCs w:val="16"/>
              </w:rPr>
              <w:br/>
              <w:t>capital</w:t>
            </w:r>
            <w:r w:rsidRPr="00444328">
              <w:rPr>
                <w:rFonts w:ascii="Arial" w:hAnsi="Arial" w:cs="Arial"/>
                <w:color w:val="000000"/>
                <w:sz w:val="16"/>
                <w:szCs w:val="16"/>
              </w:rPr>
              <w:br/>
              <w:t>$'000</w:t>
            </w:r>
          </w:p>
        </w:tc>
        <w:tc>
          <w:tcPr>
            <w:tcW w:w="813" w:type="dxa"/>
            <w:tcBorders>
              <w:top w:val="single" w:sz="4" w:space="0" w:color="auto"/>
              <w:left w:val="nil"/>
              <w:bottom w:val="single" w:sz="4" w:space="0" w:color="000000"/>
              <w:right w:val="nil"/>
            </w:tcBorders>
            <w:shd w:val="clear" w:color="auto" w:fill="auto"/>
            <w:hideMark/>
          </w:tcPr>
          <w:p w14:paraId="65423C6F" w14:textId="77777777" w:rsidR="00444328" w:rsidRPr="00444328" w:rsidRDefault="00444328" w:rsidP="00444328">
            <w:pPr>
              <w:spacing w:after="0" w:line="240" w:lineRule="auto"/>
              <w:jc w:val="right"/>
              <w:rPr>
                <w:rFonts w:ascii="Arial" w:hAnsi="Arial" w:cs="Arial"/>
                <w:color w:val="000000"/>
                <w:sz w:val="16"/>
                <w:szCs w:val="16"/>
              </w:rPr>
            </w:pPr>
            <w:r w:rsidRPr="00444328">
              <w:rPr>
                <w:rFonts w:ascii="Arial" w:hAnsi="Arial" w:cs="Arial"/>
                <w:color w:val="000000"/>
                <w:sz w:val="16"/>
                <w:szCs w:val="16"/>
              </w:rPr>
              <w:t>Total</w:t>
            </w:r>
            <w:r w:rsidRPr="00444328">
              <w:rPr>
                <w:rFonts w:ascii="Arial" w:hAnsi="Arial" w:cs="Arial"/>
                <w:color w:val="000000"/>
                <w:sz w:val="16"/>
                <w:szCs w:val="16"/>
              </w:rPr>
              <w:br/>
              <w:t xml:space="preserve">equity </w:t>
            </w:r>
            <w:r w:rsidRPr="00444328">
              <w:rPr>
                <w:rFonts w:ascii="Arial" w:hAnsi="Arial" w:cs="Arial"/>
                <w:color w:val="000000"/>
                <w:sz w:val="16"/>
                <w:szCs w:val="16"/>
              </w:rPr>
              <w:br/>
            </w:r>
            <w:r w:rsidRPr="00444328">
              <w:rPr>
                <w:rFonts w:ascii="Arial" w:hAnsi="Arial" w:cs="Arial"/>
                <w:color w:val="000000"/>
                <w:sz w:val="16"/>
                <w:szCs w:val="16"/>
              </w:rPr>
              <w:br/>
              <w:t>$'000</w:t>
            </w:r>
          </w:p>
        </w:tc>
      </w:tr>
      <w:tr w:rsidR="00444328" w:rsidRPr="00444328" w14:paraId="6A531AC7" w14:textId="77777777" w:rsidTr="008E235E">
        <w:trPr>
          <w:trHeight w:val="204"/>
        </w:trPr>
        <w:tc>
          <w:tcPr>
            <w:tcW w:w="2977" w:type="dxa"/>
            <w:tcBorders>
              <w:top w:val="nil"/>
              <w:left w:val="nil"/>
              <w:bottom w:val="nil"/>
              <w:right w:val="nil"/>
            </w:tcBorders>
            <w:shd w:val="clear" w:color="auto" w:fill="auto"/>
            <w:vAlign w:val="center"/>
            <w:hideMark/>
          </w:tcPr>
          <w:p w14:paraId="04E2325E" w14:textId="77777777" w:rsidR="00444328" w:rsidRPr="00444328" w:rsidRDefault="00444328" w:rsidP="00444328">
            <w:pPr>
              <w:spacing w:after="0" w:line="240" w:lineRule="auto"/>
              <w:jc w:val="left"/>
              <w:rPr>
                <w:rFonts w:ascii="Arial" w:hAnsi="Arial" w:cs="Arial"/>
                <w:b/>
                <w:bCs/>
                <w:color w:val="000000"/>
                <w:sz w:val="16"/>
                <w:szCs w:val="16"/>
              </w:rPr>
            </w:pPr>
            <w:r w:rsidRPr="00444328">
              <w:rPr>
                <w:rFonts w:ascii="Arial" w:hAnsi="Arial" w:cs="Arial"/>
                <w:b/>
                <w:bCs/>
                <w:color w:val="000000"/>
                <w:sz w:val="16"/>
                <w:szCs w:val="16"/>
              </w:rPr>
              <w:t>Opening balance as at 1 July 2021</w:t>
            </w:r>
          </w:p>
        </w:tc>
        <w:tc>
          <w:tcPr>
            <w:tcW w:w="857" w:type="dxa"/>
            <w:tcBorders>
              <w:top w:val="nil"/>
              <w:left w:val="nil"/>
              <w:bottom w:val="nil"/>
              <w:right w:val="nil"/>
            </w:tcBorders>
            <w:shd w:val="clear" w:color="auto" w:fill="auto"/>
            <w:noWrap/>
            <w:vAlign w:val="bottom"/>
            <w:hideMark/>
          </w:tcPr>
          <w:p w14:paraId="74B2F319" w14:textId="77777777" w:rsidR="00444328" w:rsidRPr="00444328" w:rsidRDefault="00444328" w:rsidP="00216C12">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1024F3B5" w14:textId="77777777" w:rsidR="00444328" w:rsidRPr="00444328" w:rsidRDefault="00444328" w:rsidP="00216C12">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14:paraId="74A61056" w14:textId="77777777" w:rsidR="00444328" w:rsidRPr="00444328" w:rsidRDefault="00444328" w:rsidP="00216C12">
            <w:pPr>
              <w:spacing w:after="0" w:line="240" w:lineRule="auto"/>
              <w:jc w:val="right"/>
              <w:rPr>
                <w:rFonts w:ascii="Times New Roman" w:hAnsi="Times New Roman"/>
              </w:rPr>
            </w:pPr>
          </w:p>
        </w:tc>
        <w:tc>
          <w:tcPr>
            <w:tcW w:w="813" w:type="dxa"/>
            <w:tcBorders>
              <w:top w:val="nil"/>
              <w:left w:val="nil"/>
              <w:bottom w:val="nil"/>
              <w:right w:val="nil"/>
            </w:tcBorders>
            <w:shd w:val="clear" w:color="auto" w:fill="auto"/>
            <w:noWrap/>
            <w:vAlign w:val="bottom"/>
            <w:hideMark/>
          </w:tcPr>
          <w:p w14:paraId="21CDAC2E" w14:textId="77777777" w:rsidR="00444328" w:rsidRPr="00444328" w:rsidRDefault="00444328" w:rsidP="00216C12">
            <w:pPr>
              <w:spacing w:after="0" w:line="240" w:lineRule="auto"/>
              <w:jc w:val="right"/>
              <w:rPr>
                <w:rFonts w:ascii="Times New Roman" w:hAnsi="Times New Roman"/>
              </w:rPr>
            </w:pPr>
          </w:p>
        </w:tc>
      </w:tr>
      <w:tr w:rsidR="00444328" w:rsidRPr="00444328" w14:paraId="1A690E87" w14:textId="77777777" w:rsidTr="008E235E">
        <w:trPr>
          <w:trHeight w:val="204"/>
        </w:trPr>
        <w:tc>
          <w:tcPr>
            <w:tcW w:w="2977" w:type="dxa"/>
            <w:tcBorders>
              <w:top w:val="nil"/>
              <w:left w:val="nil"/>
              <w:bottom w:val="nil"/>
              <w:right w:val="nil"/>
            </w:tcBorders>
            <w:shd w:val="clear" w:color="auto" w:fill="auto"/>
            <w:vAlign w:val="center"/>
            <w:hideMark/>
          </w:tcPr>
          <w:p w14:paraId="11373BBB" w14:textId="7B0B3476" w:rsidR="00444328" w:rsidRPr="00444328" w:rsidRDefault="00444328" w:rsidP="008E235E">
            <w:pPr>
              <w:spacing w:after="0" w:line="240" w:lineRule="auto"/>
              <w:ind w:left="113"/>
              <w:jc w:val="left"/>
              <w:rPr>
                <w:rFonts w:ascii="Arial" w:hAnsi="Arial" w:cs="Arial"/>
                <w:color w:val="000000"/>
                <w:sz w:val="16"/>
                <w:szCs w:val="16"/>
              </w:rPr>
            </w:pPr>
            <w:r w:rsidRPr="00444328">
              <w:rPr>
                <w:rFonts w:ascii="Arial" w:hAnsi="Arial" w:cs="Arial"/>
                <w:color w:val="000000"/>
                <w:sz w:val="16"/>
                <w:szCs w:val="16"/>
              </w:rPr>
              <w:t>Balance carried forward from</w:t>
            </w:r>
            <w:r>
              <w:rPr>
                <w:rFonts w:ascii="Arial" w:hAnsi="Arial" w:cs="Arial"/>
                <w:color w:val="000000"/>
                <w:sz w:val="16"/>
                <w:szCs w:val="16"/>
              </w:rPr>
              <w:t xml:space="preserve"> </w:t>
            </w:r>
            <w:r w:rsidRPr="00444328">
              <w:rPr>
                <w:rFonts w:ascii="Arial" w:hAnsi="Arial" w:cs="Arial"/>
                <w:color w:val="000000"/>
                <w:sz w:val="16"/>
                <w:szCs w:val="16"/>
              </w:rPr>
              <w:t>previous period</w:t>
            </w:r>
          </w:p>
        </w:tc>
        <w:tc>
          <w:tcPr>
            <w:tcW w:w="857" w:type="dxa"/>
            <w:tcBorders>
              <w:top w:val="nil"/>
              <w:left w:val="nil"/>
              <w:bottom w:val="nil"/>
              <w:right w:val="nil"/>
            </w:tcBorders>
            <w:shd w:val="clear" w:color="auto" w:fill="auto"/>
            <w:noWrap/>
            <w:vAlign w:val="bottom"/>
            <w:hideMark/>
          </w:tcPr>
          <w:p w14:paraId="0EFB3CF1" w14:textId="15D63A1C" w:rsidR="00444328" w:rsidRPr="00444328" w:rsidRDefault="00444328" w:rsidP="00216C12">
            <w:pPr>
              <w:spacing w:after="0" w:line="240" w:lineRule="auto"/>
              <w:jc w:val="right"/>
              <w:rPr>
                <w:rFonts w:ascii="Arial" w:hAnsi="Arial" w:cs="Arial"/>
                <w:color w:val="000000"/>
                <w:sz w:val="16"/>
                <w:szCs w:val="16"/>
              </w:rPr>
            </w:pPr>
            <w:r w:rsidRPr="00444328">
              <w:rPr>
                <w:rFonts w:ascii="Arial" w:hAnsi="Arial" w:cs="Arial"/>
                <w:color w:val="000000"/>
                <w:sz w:val="16"/>
                <w:szCs w:val="16"/>
              </w:rPr>
              <w:t>58,192</w:t>
            </w:r>
          </w:p>
        </w:tc>
        <w:tc>
          <w:tcPr>
            <w:tcW w:w="999" w:type="dxa"/>
            <w:tcBorders>
              <w:top w:val="nil"/>
              <w:left w:val="nil"/>
              <w:bottom w:val="nil"/>
              <w:right w:val="nil"/>
            </w:tcBorders>
            <w:shd w:val="clear" w:color="auto" w:fill="auto"/>
            <w:noWrap/>
            <w:vAlign w:val="bottom"/>
            <w:hideMark/>
          </w:tcPr>
          <w:p w14:paraId="575DB261" w14:textId="567FF0C1" w:rsidR="00444328" w:rsidRPr="00444328" w:rsidRDefault="00444328" w:rsidP="00216C12">
            <w:pPr>
              <w:spacing w:after="0" w:line="240" w:lineRule="auto"/>
              <w:jc w:val="right"/>
              <w:rPr>
                <w:rFonts w:ascii="Arial" w:hAnsi="Arial" w:cs="Arial"/>
                <w:color w:val="000000"/>
                <w:sz w:val="16"/>
                <w:szCs w:val="16"/>
              </w:rPr>
            </w:pPr>
            <w:r w:rsidRPr="00444328">
              <w:rPr>
                <w:rFonts w:ascii="Arial" w:hAnsi="Arial" w:cs="Arial"/>
                <w:color w:val="000000"/>
                <w:sz w:val="16"/>
                <w:szCs w:val="16"/>
              </w:rPr>
              <w:t>9,485</w:t>
            </w:r>
          </w:p>
        </w:tc>
        <w:tc>
          <w:tcPr>
            <w:tcW w:w="1044" w:type="dxa"/>
            <w:tcBorders>
              <w:top w:val="nil"/>
              <w:left w:val="nil"/>
              <w:bottom w:val="nil"/>
              <w:right w:val="nil"/>
            </w:tcBorders>
            <w:shd w:val="clear" w:color="auto" w:fill="auto"/>
            <w:noWrap/>
            <w:vAlign w:val="bottom"/>
            <w:hideMark/>
          </w:tcPr>
          <w:p w14:paraId="4091225B" w14:textId="0543F8E1" w:rsidR="00444328" w:rsidRPr="00444328" w:rsidRDefault="00444328" w:rsidP="00216C12">
            <w:pPr>
              <w:spacing w:after="0" w:line="240" w:lineRule="auto"/>
              <w:jc w:val="right"/>
              <w:rPr>
                <w:rFonts w:ascii="Arial" w:hAnsi="Arial" w:cs="Arial"/>
                <w:color w:val="000000"/>
                <w:sz w:val="16"/>
                <w:szCs w:val="16"/>
              </w:rPr>
            </w:pPr>
            <w:r w:rsidRPr="00444328">
              <w:rPr>
                <w:rFonts w:ascii="Arial" w:hAnsi="Arial" w:cs="Arial"/>
                <w:color w:val="000000"/>
                <w:sz w:val="16"/>
                <w:szCs w:val="16"/>
              </w:rPr>
              <w:t>3,295</w:t>
            </w:r>
          </w:p>
        </w:tc>
        <w:tc>
          <w:tcPr>
            <w:tcW w:w="813" w:type="dxa"/>
            <w:tcBorders>
              <w:top w:val="nil"/>
              <w:left w:val="nil"/>
              <w:bottom w:val="nil"/>
              <w:right w:val="nil"/>
            </w:tcBorders>
            <w:shd w:val="clear" w:color="auto" w:fill="auto"/>
            <w:noWrap/>
            <w:vAlign w:val="bottom"/>
            <w:hideMark/>
          </w:tcPr>
          <w:p w14:paraId="1ADFE536" w14:textId="1BAF7E45" w:rsidR="00444328" w:rsidRPr="00444328" w:rsidRDefault="00444328" w:rsidP="00216C12">
            <w:pPr>
              <w:spacing w:after="0" w:line="240" w:lineRule="auto"/>
              <w:jc w:val="right"/>
              <w:rPr>
                <w:rFonts w:ascii="Arial" w:hAnsi="Arial" w:cs="Arial"/>
                <w:color w:val="000000"/>
                <w:sz w:val="16"/>
                <w:szCs w:val="16"/>
              </w:rPr>
            </w:pPr>
            <w:r w:rsidRPr="00444328">
              <w:rPr>
                <w:rFonts w:ascii="Arial" w:hAnsi="Arial" w:cs="Arial"/>
                <w:color w:val="000000"/>
                <w:sz w:val="16"/>
                <w:szCs w:val="16"/>
              </w:rPr>
              <w:t>70,972</w:t>
            </w:r>
          </w:p>
        </w:tc>
      </w:tr>
      <w:tr w:rsidR="00444328" w:rsidRPr="00444328" w14:paraId="6B52AC74" w14:textId="77777777" w:rsidTr="008E235E">
        <w:trPr>
          <w:trHeight w:val="204"/>
        </w:trPr>
        <w:tc>
          <w:tcPr>
            <w:tcW w:w="2977" w:type="dxa"/>
            <w:tcBorders>
              <w:top w:val="nil"/>
              <w:left w:val="nil"/>
              <w:bottom w:val="nil"/>
              <w:right w:val="nil"/>
            </w:tcBorders>
            <w:shd w:val="clear" w:color="auto" w:fill="auto"/>
            <w:vAlign w:val="center"/>
            <w:hideMark/>
          </w:tcPr>
          <w:p w14:paraId="4B5F1693" w14:textId="77777777" w:rsidR="00444328" w:rsidRPr="00444328" w:rsidRDefault="00444328" w:rsidP="00444328">
            <w:pPr>
              <w:spacing w:after="0" w:line="240" w:lineRule="auto"/>
              <w:jc w:val="left"/>
              <w:rPr>
                <w:rFonts w:ascii="Arial" w:hAnsi="Arial" w:cs="Arial"/>
                <w:b/>
                <w:bCs/>
                <w:i/>
                <w:iCs/>
                <w:color w:val="000000"/>
                <w:sz w:val="16"/>
                <w:szCs w:val="16"/>
              </w:rPr>
            </w:pPr>
            <w:r w:rsidRPr="00444328">
              <w:rPr>
                <w:rFonts w:ascii="Arial" w:hAnsi="Arial" w:cs="Arial"/>
                <w:b/>
                <w:bCs/>
                <w:i/>
                <w:iCs/>
                <w:color w:val="000000"/>
                <w:sz w:val="16"/>
                <w:szCs w:val="16"/>
              </w:rPr>
              <w:t>Adjusted opening balance</w:t>
            </w:r>
          </w:p>
        </w:tc>
        <w:tc>
          <w:tcPr>
            <w:tcW w:w="857" w:type="dxa"/>
            <w:tcBorders>
              <w:top w:val="single" w:sz="4" w:space="0" w:color="000000"/>
              <w:left w:val="nil"/>
              <w:bottom w:val="single" w:sz="4" w:space="0" w:color="000000"/>
              <w:right w:val="nil"/>
            </w:tcBorders>
            <w:shd w:val="clear" w:color="auto" w:fill="auto"/>
            <w:noWrap/>
            <w:vAlign w:val="bottom"/>
            <w:hideMark/>
          </w:tcPr>
          <w:p w14:paraId="19F1F4D3" w14:textId="368BEF30" w:rsidR="00444328" w:rsidRPr="00444328" w:rsidRDefault="00444328" w:rsidP="00216C12">
            <w:pPr>
              <w:spacing w:after="0" w:line="240" w:lineRule="auto"/>
              <w:jc w:val="right"/>
              <w:rPr>
                <w:rFonts w:ascii="Arial" w:hAnsi="Arial" w:cs="Arial"/>
                <w:b/>
                <w:bCs/>
                <w:i/>
                <w:iCs/>
                <w:color w:val="000000"/>
                <w:sz w:val="16"/>
                <w:szCs w:val="16"/>
              </w:rPr>
            </w:pPr>
            <w:r w:rsidRPr="00444328">
              <w:rPr>
                <w:rFonts w:ascii="Arial" w:hAnsi="Arial" w:cs="Arial"/>
                <w:b/>
                <w:bCs/>
                <w:i/>
                <w:iCs/>
                <w:color w:val="000000"/>
                <w:sz w:val="16"/>
                <w:szCs w:val="16"/>
              </w:rPr>
              <w:t>58,192</w:t>
            </w:r>
          </w:p>
        </w:tc>
        <w:tc>
          <w:tcPr>
            <w:tcW w:w="999" w:type="dxa"/>
            <w:tcBorders>
              <w:top w:val="single" w:sz="4" w:space="0" w:color="000000"/>
              <w:left w:val="nil"/>
              <w:bottom w:val="single" w:sz="4" w:space="0" w:color="000000"/>
              <w:right w:val="nil"/>
            </w:tcBorders>
            <w:shd w:val="clear" w:color="auto" w:fill="auto"/>
            <w:noWrap/>
            <w:vAlign w:val="bottom"/>
            <w:hideMark/>
          </w:tcPr>
          <w:p w14:paraId="7249F9F2" w14:textId="3163E146" w:rsidR="00444328" w:rsidRPr="00444328" w:rsidRDefault="00444328" w:rsidP="00216C12">
            <w:pPr>
              <w:spacing w:after="0" w:line="240" w:lineRule="auto"/>
              <w:jc w:val="right"/>
              <w:rPr>
                <w:rFonts w:ascii="Arial" w:hAnsi="Arial" w:cs="Arial"/>
                <w:b/>
                <w:bCs/>
                <w:i/>
                <w:iCs/>
                <w:color w:val="000000"/>
                <w:sz w:val="16"/>
                <w:szCs w:val="16"/>
              </w:rPr>
            </w:pPr>
            <w:r w:rsidRPr="00444328">
              <w:rPr>
                <w:rFonts w:ascii="Arial" w:hAnsi="Arial" w:cs="Arial"/>
                <w:b/>
                <w:bCs/>
                <w:i/>
                <w:iCs/>
                <w:color w:val="000000"/>
                <w:sz w:val="16"/>
                <w:szCs w:val="16"/>
              </w:rPr>
              <w:t>9,485</w:t>
            </w:r>
          </w:p>
        </w:tc>
        <w:tc>
          <w:tcPr>
            <w:tcW w:w="1044" w:type="dxa"/>
            <w:tcBorders>
              <w:top w:val="single" w:sz="4" w:space="0" w:color="000000"/>
              <w:left w:val="nil"/>
              <w:bottom w:val="single" w:sz="4" w:space="0" w:color="000000"/>
              <w:right w:val="nil"/>
            </w:tcBorders>
            <w:shd w:val="clear" w:color="auto" w:fill="auto"/>
            <w:noWrap/>
            <w:vAlign w:val="bottom"/>
            <w:hideMark/>
          </w:tcPr>
          <w:p w14:paraId="1B06BB11" w14:textId="5FC6164A" w:rsidR="00444328" w:rsidRPr="00444328" w:rsidRDefault="00444328" w:rsidP="00216C12">
            <w:pPr>
              <w:spacing w:after="0" w:line="240" w:lineRule="auto"/>
              <w:jc w:val="right"/>
              <w:rPr>
                <w:rFonts w:ascii="Arial" w:hAnsi="Arial" w:cs="Arial"/>
                <w:b/>
                <w:bCs/>
                <w:i/>
                <w:iCs/>
                <w:color w:val="000000"/>
                <w:sz w:val="16"/>
                <w:szCs w:val="16"/>
              </w:rPr>
            </w:pPr>
            <w:r w:rsidRPr="00444328">
              <w:rPr>
                <w:rFonts w:ascii="Arial" w:hAnsi="Arial" w:cs="Arial"/>
                <w:b/>
                <w:bCs/>
                <w:i/>
                <w:iCs/>
                <w:color w:val="000000"/>
                <w:sz w:val="16"/>
                <w:szCs w:val="16"/>
              </w:rPr>
              <w:t>3,295</w:t>
            </w:r>
          </w:p>
        </w:tc>
        <w:tc>
          <w:tcPr>
            <w:tcW w:w="813" w:type="dxa"/>
            <w:tcBorders>
              <w:top w:val="single" w:sz="4" w:space="0" w:color="000000"/>
              <w:left w:val="nil"/>
              <w:bottom w:val="single" w:sz="4" w:space="0" w:color="000000"/>
              <w:right w:val="nil"/>
            </w:tcBorders>
            <w:shd w:val="clear" w:color="auto" w:fill="auto"/>
            <w:noWrap/>
            <w:vAlign w:val="bottom"/>
            <w:hideMark/>
          </w:tcPr>
          <w:p w14:paraId="6C434248" w14:textId="4D52093F" w:rsidR="00444328" w:rsidRPr="00444328" w:rsidRDefault="00444328" w:rsidP="00216C12">
            <w:pPr>
              <w:spacing w:after="0" w:line="240" w:lineRule="auto"/>
              <w:jc w:val="right"/>
              <w:rPr>
                <w:rFonts w:ascii="Arial" w:hAnsi="Arial" w:cs="Arial"/>
                <w:b/>
                <w:bCs/>
                <w:i/>
                <w:iCs/>
                <w:color w:val="000000"/>
                <w:sz w:val="16"/>
                <w:szCs w:val="16"/>
              </w:rPr>
            </w:pPr>
            <w:r w:rsidRPr="00444328">
              <w:rPr>
                <w:rFonts w:ascii="Arial" w:hAnsi="Arial" w:cs="Arial"/>
                <w:b/>
                <w:bCs/>
                <w:i/>
                <w:iCs/>
                <w:color w:val="000000"/>
                <w:sz w:val="16"/>
                <w:szCs w:val="16"/>
              </w:rPr>
              <w:t>70,972</w:t>
            </w:r>
          </w:p>
        </w:tc>
      </w:tr>
      <w:tr w:rsidR="00444328" w:rsidRPr="00444328" w14:paraId="62045B53" w14:textId="77777777" w:rsidTr="008E235E">
        <w:trPr>
          <w:trHeight w:val="204"/>
        </w:trPr>
        <w:tc>
          <w:tcPr>
            <w:tcW w:w="2977" w:type="dxa"/>
            <w:tcBorders>
              <w:top w:val="nil"/>
              <w:left w:val="nil"/>
              <w:bottom w:val="nil"/>
              <w:right w:val="nil"/>
            </w:tcBorders>
            <w:shd w:val="clear" w:color="auto" w:fill="auto"/>
            <w:noWrap/>
            <w:vAlign w:val="center"/>
            <w:hideMark/>
          </w:tcPr>
          <w:p w14:paraId="5DAED859" w14:textId="77777777" w:rsidR="00444328" w:rsidRPr="00444328" w:rsidRDefault="00444328" w:rsidP="00444328">
            <w:pPr>
              <w:spacing w:after="0" w:line="240" w:lineRule="auto"/>
              <w:jc w:val="left"/>
              <w:rPr>
                <w:rFonts w:ascii="Arial" w:hAnsi="Arial" w:cs="Arial"/>
                <w:b/>
                <w:bCs/>
                <w:color w:val="000000"/>
                <w:sz w:val="16"/>
                <w:szCs w:val="16"/>
              </w:rPr>
            </w:pPr>
            <w:r w:rsidRPr="00444328">
              <w:rPr>
                <w:rFonts w:ascii="Arial" w:hAnsi="Arial" w:cs="Arial"/>
                <w:b/>
                <w:bCs/>
                <w:color w:val="000000"/>
                <w:sz w:val="16"/>
                <w:szCs w:val="16"/>
              </w:rPr>
              <w:t>Comprehensive income</w:t>
            </w:r>
          </w:p>
        </w:tc>
        <w:tc>
          <w:tcPr>
            <w:tcW w:w="857" w:type="dxa"/>
            <w:tcBorders>
              <w:top w:val="nil"/>
              <w:left w:val="nil"/>
              <w:bottom w:val="nil"/>
              <w:right w:val="nil"/>
            </w:tcBorders>
            <w:shd w:val="clear" w:color="auto" w:fill="auto"/>
            <w:noWrap/>
            <w:vAlign w:val="bottom"/>
            <w:hideMark/>
          </w:tcPr>
          <w:p w14:paraId="17AEB210" w14:textId="77777777" w:rsidR="00444328" w:rsidRPr="00444328" w:rsidRDefault="00444328" w:rsidP="00216C12">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23F1E096" w14:textId="77777777" w:rsidR="00444328" w:rsidRPr="00444328" w:rsidRDefault="00444328" w:rsidP="00216C12">
            <w:pPr>
              <w:spacing w:after="0" w:line="240" w:lineRule="auto"/>
              <w:jc w:val="right"/>
              <w:rPr>
                <w:rFonts w:ascii="Times New Roman" w:hAnsi="Times New Roman"/>
              </w:rPr>
            </w:pPr>
          </w:p>
        </w:tc>
        <w:tc>
          <w:tcPr>
            <w:tcW w:w="1044" w:type="dxa"/>
            <w:tcBorders>
              <w:top w:val="nil"/>
              <w:left w:val="nil"/>
              <w:bottom w:val="nil"/>
              <w:right w:val="nil"/>
            </w:tcBorders>
            <w:shd w:val="clear" w:color="auto" w:fill="auto"/>
            <w:noWrap/>
            <w:vAlign w:val="bottom"/>
            <w:hideMark/>
          </w:tcPr>
          <w:p w14:paraId="1141ACFE" w14:textId="77777777" w:rsidR="00444328" w:rsidRPr="00444328" w:rsidRDefault="00444328" w:rsidP="00216C12">
            <w:pPr>
              <w:spacing w:after="0" w:line="240" w:lineRule="auto"/>
              <w:jc w:val="right"/>
              <w:rPr>
                <w:rFonts w:ascii="Times New Roman" w:hAnsi="Times New Roman"/>
              </w:rPr>
            </w:pPr>
          </w:p>
        </w:tc>
        <w:tc>
          <w:tcPr>
            <w:tcW w:w="813" w:type="dxa"/>
            <w:tcBorders>
              <w:top w:val="nil"/>
              <w:left w:val="nil"/>
              <w:bottom w:val="nil"/>
              <w:right w:val="nil"/>
            </w:tcBorders>
            <w:shd w:val="clear" w:color="auto" w:fill="auto"/>
            <w:noWrap/>
            <w:vAlign w:val="bottom"/>
            <w:hideMark/>
          </w:tcPr>
          <w:p w14:paraId="1F963F3A" w14:textId="77777777" w:rsidR="00444328" w:rsidRPr="00444328" w:rsidRDefault="00444328" w:rsidP="00216C12">
            <w:pPr>
              <w:spacing w:after="0" w:line="240" w:lineRule="auto"/>
              <w:jc w:val="right"/>
              <w:rPr>
                <w:rFonts w:ascii="Times New Roman" w:hAnsi="Times New Roman"/>
              </w:rPr>
            </w:pPr>
          </w:p>
        </w:tc>
      </w:tr>
      <w:tr w:rsidR="00444328" w:rsidRPr="00444328" w14:paraId="6181EDB1" w14:textId="77777777" w:rsidTr="008E235E">
        <w:trPr>
          <w:trHeight w:val="204"/>
        </w:trPr>
        <w:tc>
          <w:tcPr>
            <w:tcW w:w="2977" w:type="dxa"/>
            <w:tcBorders>
              <w:top w:val="nil"/>
              <w:left w:val="nil"/>
              <w:bottom w:val="nil"/>
              <w:right w:val="nil"/>
            </w:tcBorders>
            <w:shd w:val="clear" w:color="auto" w:fill="auto"/>
            <w:noWrap/>
            <w:vAlign w:val="center"/>
            <w:hideMark/>
          </w:tcPr>
          <w:p w14:paraId="5C307563" w14:textId="77777777" w:rsidR="00444328" w:rsidRPr="00444328" w:rsidRDefault="00444328" w:rsidP="00444328">
            <w:pPr>
              <w:spacing w:after="0" w:line="240" w:lineRule="auto"/>
              <w:ind w:firstLineChars="100" w:firstLine="160"/>
              <w:jc w:val="left"/>
              <w:rPr>
                <w:rFonts w:ascii="Arial" w:hAnsi="Arial" w:cs="Arial"/>
                <w:sz w:val="16"/>
                <w:szCs w:val="16"/>
              </w:rPr>
            </w:pPr>
            <w:r w:rsidRPr="00444328">
              <w:rPr>
                <w:rFonts w:ascii="Arial" w:hAnsi="Arial" w:cs="Arial"/>
                <w:sz w:val="16"/>
                <w:szCs w:val="16"/>
              </w:rPr>
              <w:t>Surplus/(deficit) for the period</w:t>
            </w:r>
          </w:p>
        </w:tc>
        <w:tc>
          <w:tcPr>
            <w:tcW w:w="857" w:type="dxa"/>
            <w:tcBorders>
              <w:top w:val="nil"/>
              <w:left w:val="nil"/>
              <w:bottom w:val="nil"/>
              <w:right w:val="nil"/>
            </w:tcBorders>
            <w:shd w:val="clear" w:color="auto" w:fill="auto"/>
            <w:noWrap/>
            <w:vAlign w:val="bottom"/>
            <w:hideMark/>
          </w:tcPr>
          <w:p w14:paraId="4A1448EE" w14:textId="5F399319" w:rsidR="00444328" w:rsidRPr="00444328" w:rsidRDefault="00444328" w:rsidP="00216C12">
            <w:pPr>
              <w:spacing w:after="0" w:line="240" w:lineRule="auto"/>
              <w:jc w:val="right"/>
              <w:rPr>
                <w:rFonts w:ascii="Arial" w:hAnsi="Arial" w:cs="Arial"/>
                <w:color w:val="000000"/>
                <w:sz w:val="16"/>
                <w:szCs w:val="16"/>
              </w:rPr>
            </w:pPr>
            <w:r w:rsidRPr="00444328">
              <w:rPr>
                <w:rFonts w:ascii="Arial" w:hAnsi="Arial" w:cs="Arial"/>
                <w:color w:val="000000"/>
                <w:sz w:val="16"/>
                <w:szCs w:val="16"/>
              </w:rPr>
              <w:t>-</w:t>
            </w:r>
          </w:p>
        </w:tc>
        <w:tc>
          <w:tcPr>
            <w:tcW w:w="999" w:type="dxa"/>
            <w:tcBorders>
              <w:top w:val="nil"/>
              <w:left w:val="nil"/>
              <w:bottom w:val="nil"/>
              <w:right w:val="nil"/>
            </w:tcBorders>
            <w:shd w:val="clear" w:color="auto" w:fill="auto"/>
            <w:noWrap/>
            <w:vAlign w:val="bottom"/>
            <w:hideMark/>
          </w:tcPr>
          <w:p w14:paraId="073EB6DE" w14:textId="3ECCFE6C" w:rsidR="00444328" w:rsidRPr="00444328" w:rsidRDefault="00444328" w:rsidP="00216C12">
            <w:pPr>
              <w:spacing w:after="0" w:line="240" w:lineRule="auto"/>
              <w:jc w:val="right"/>
              <w:rPr>
                <w:rFonts w:ascii="Arial" w:hAnsi="Arial" w:cs="Arial"/>
                <w:color w:val="000000"/>
                <w:sz w:val="16"/>
                <w:szCs w:val="16"/>
              </w:rPr>
            </w:pPr>
            <w:r w:rsidRPr="00444328">
              <w:rPr>
                <w:rFonts w:ascii="Arial" w:hAnsi="Arial" w:cs="Arial"/>
                <w:color w:val="000000"/>
                <w:sz w:val="16"/>
                <w:szCs w:val="16"/>
              </w:rPr>
              <w:t>-</w:t>
            </w:r>
          </w:p>
        </w:tc>
        <w:tc>
          <w:tcPr>
            <w:tcW w:w="1044" w:type="dxa"/>
            <w:tcBorders>
              <w:top w:val="nil"/>
              <w:left w:val="nil"/>
              <w:bottom w:val="nil"/>
              <w:right w:val="nil"/>
            </w:tcBorders>
            <w:shd w:val="clear" w:color="auto" w:fill="auto"/>
            <w:noWrap/>
            <w:vAlign w:val="bottom"/>
            <w:hideMark/>
          </w:tcPr>
          <w:p w14:paraId="0BFA256A" w14:textId="594954FE" w:rsidR="00444328" w:rsidRPr="00444328" w:rsidRDefault="00444328" w:rsidP="00216C12">
            <w:pPr>
              <w:spacing w:after="0" w:line="240" w:lineRule="auto"/>
              <w:jc w:val="right"/>
              <w:rPr>
                <w:rFonts w:ascii="Arial" w:hAnsi="Arial" w:cs="Arial"/>
                <w:color w:val="000000"/>
                <w:sz w:val="16"/>
                <w:szCs w:val="16"/>
              </w:rPr>
            </w:pPr>
            <w:r w:rsidRPr="00444328">
              <w:rPr>
                <w:rFonts w:ascii="Arial" w:hAnsi="Arial" w:cs="Arial"/>
                <w:color w:val="000000"/>
                <w:sz w:val="16"/>
                <w:szCs w:val="16"/>
              </w:rPr>
              <w:t>-</w:t>
            </w:r>
          </w:p>
        </w:tc>
        <w:tc>
          <w:tcPr>
            <w:tcW w:w="813" w:type="dxa"/>
            <w:tcBorders>
              <w:top w:val="nil"/>
              <w:left w:val="nil"/>
              <w:bottom w:val="nil"/>
              <w:right w:val="nil"/>
            </w:tcBorders>
            <w:shd w:val="clear" w:color="auto" w:fill="auto"/>
            <w:noWrap/>
            <w:vAlign w:val="bottom"/>
            <w:hideMark/>
          </w:tcPr>
          <w:p w14:paraId="167A00EB" w14:textId="6D4E735B" w:rsidR="00444328" w:rsidRPr="00444328" w:rsidRDefault="00444328" w:rsidP="00216C12">
            <w:pPr>
              <w:spacing w:after="0" w:line="240" w:lineRule="auto"/>
              <w:jc w:val="right"/>
              <w:rPr>
                <w:rFonts w:ascii="Arial" w:hAnsi="Arial" w:cs="Arial"/>
                <w:color w:val="000000"/>
                <w:sz w:val="16"/>
                <w:szCs w:val="16"/>
              </w:rPr>
            </w:pPr>
            <w:r w:rsidRPr="00444328">
              <w:rPr>
                <w:rFonts w:ascii="Arial" w:hAnsi="Arial" w:cs="Arial"/>
                <w:color w:val="000000"/>
                <w:sz w:val="16"/>
                <w:szCs w:val="16"/>
              </w:rPr>
              <w:t>-</w:t>
            </w:r>
          </w:p>
        </w:tc>
      </w:tr>
      <w:tr w:rsidR="00444328" w:rsidRPr="00444328" w14:paraId="7427AD2D" w14:textId="77777777" w:rsidTr="008E235E">
        <w:trPr>
          <w:trHeight w:val="204"/>
        </w:trPr>
        <w:tc>
          <w:tcPr>
            <w:tcW w:w="2977" w:type="dxa"/>
            <w:tcBorders>
              <w:top w:val="nil"/>
              <w:left w:val="nil"/>
              <w:bottom w:val="nil"/>
              <w:right w:val="nil"/>
            </w:tcBorders>
            <w:shd w:val="clear" w:color="auto" w:fill="auto"/>
            <w:vAlign w:val="center"/>
            <w:hideMark/>
          </w:tcPr>
          <w:p w14:paraId="50889397" w14:textId="77777777" w:rsidR="00444328" w:rsidRPr="00444328" w:rsidRDefault="00444328" w:rsidP="00444328">
            <w:pPr>
              <w:spacing w:after="0" w:line="240" w:lineRule="auto"/>
              <w:jc w:val="left"/>
              <w:rPr>
                <w:rFonts w:ascii="Arial" w:hAnsi="Arial" w:cs="Arial"/>
                <w:b/>
                <w:bCs/>
                <w:i/>
                <w:iCs/>
                <w:color w:val="000000"/>
                <w:sz w:val="16"/>
                <w:szCs w:val="16"/>
              </w:rPr>
            </w:pPr>
            <w:r w:rsidRPr="00444328">
              <w:rPr>
                <w:rFonts w:ascii="Arial" w:hAnsi="Arial" w:cs="Arial"/>
                <w:b/>
                <w:bCs/>
                <w:i/>
                <w:iCs/>
                <w:color w:val="000000"/>
                <w:sz w:val="16"/>
                <w:szCs w:val="16"/>
              </w:rPr>
              <w:t>Total comprehensive income</w:t>
            </w:r>
          </w:p>
        </w:tc>
        <w:tc>
          <w:tcPr>
            <w:tcW w:w="857" w:type="dxa"/>
            <w:tcBorders>
              <w:top w:val="single" w:sz="4" w:space="0" w:color="000000"/>
              <w:left w:val="nil"/>
              <w:bottom w:val="nil"/>
              <w:right w:val="nil"/>
            </w:tcBorders>
            <w:shd w:val="clear" w:color="auto" w:fill="auto"/>
            <w:noWrap/>
            <w:vAlign w:val="bottom"/>
            <w:hideMark/>
          </w:tcPr>
          <w:p w14:paraId="2292DE1A" w14:textId="75AC5727" w:rsidR="00444328" w:rsidRPr="00444328" w:rsidRDefault="00444328" w:rsidP="00216C12">
            <w:pPr>
              <w:spacing w:after="0" w:line="240" w:lineRule="auto"/>
              <w:jc w:val="right"/>
              <w:rPr>
                <w:rFonts w:ascii="Arial" w:hAnsi="Arial" w:cs="Arial"/>
                <w:b/>
                <w:bCs/>
                <w:i/>
                <w:iCs/>
                <w:color w:val="000000"/>
                <w:sz w:val="16"/>
                <w:szCs w:val="16"/>
              </w:rPr>
            </w:pPr>
            <w:r w:rsidRPr="00444328">
              <w:rPr>
                <w:rFonts w:ascii="Arial" w:hAnsi="Arial" w:cs="Arial"/>
                <w:b/>
                <w:bCs/>
                <w:i/>
                <w:iCs/>
                <w:color w:val="000000"/>
                <w:sz w:val="16"/>
                <w:szCs w:val="16"/>
              </w:rPr>
              <w:t>-</w:t>
            </w:r>
          </w:p>
        </w:tc>
        <w:tc>
          <w:tcPr>
            <w:tcW w:w="999" w:type="dxa"/>
            <w:tcBorders>
              <w:top w:val="single" w:sz="4" w:space="0" w:color="000000"/>
              <w:left w:val="nil"/>
              <w:bottom w:val="nil"/>
              <w:right w:val="nil"/>
            </w:tcBorders>
            <w:shd w:val="clear" w:color="auto" w:fill="auto"/>
            <w:noWrap/>
            <w:vAlign w:val="bottom"/>
            <w:hideMark/>
          </w:tcPr>
          <w:p w14:paraId="775F418A" w14:textId="6F985EFD" w:rsidR="00444328" w:rsidRPr="00444328" w:rsidRDefault="00444328" w:rsidP="00216C12">
            <w:pPr>
              <w:spacing w:after="0" w:line="240" w:lineRule="auto"/>
              <w:jc w:val="right"/>
              <w:rPr>
                <w:rFonts w:ascii="Arial" w:hAnsi="Arial" w:cs="Arial"/>
                <w:b/>
                <w:bCs/>
                <w:i/>
                <w:iCs/>
                <w:color w:val="000000"/>
                <w:sz w:val="16"/>
                <w:szCs w:val="16"/>
              </w:rPr>
            </w:pPr>
            <w:r w:rsidRPr="00444328">
              <w:rPr>
                <w:rFonts w:ascii="Arial" w:hAnsi="Arial" w:cs="Arial"/>
                <w:b/>
                <w:bCs/>
                <w:i/>
                <w:iCs/>
                <w:color w:val="000000"/>
                <w:sz w:val="16"/>
                <w:szCs w:val="16"/>
              </w:rPr>
              <w:t>-</w:t>
            </w:r>
          </w:p>
        </w:tc>
        <w:tc>
          <w:tcPr>
            <w:tcW w:w="1044" w:type="dxa"/>
            <w:tcBorders>
              <w:top w:val="single" w:sz="4" w:space="0" w:color="000000"/>
              <w:left w:val="nil"/>
              <w:bottom w:val="nil"/>
              <w:right w:val="nil"/>
            </w:tcBorders>
            <w:shd w:val="clear" w:color="auto" w:fill="auto"/>
            <w:noWrap/>
            <w:vAlign w:val="bottom"/>
            <w:hideMark/>
          </w:tcPr>
          <w:p w14:paraId="1C6250E2" w14:textId="4380F86F" w:rsidR="00444328" w:rsidRPr="00444328" w:rsidRDefault="00444328" w:rsidP="00216C12">
            <w:pPr>
              <w:spacing w:after="0" w:line="240" w:lineRule="auto"/>
              <w:jc w:val="right"/>
              <w:rPr>
                <w:rFonts w:ascii="Arial" w:hAnsi="Arial" w:cs="Arial"/>
                <w:b/>
                <w:bCs/>
                <w:i/>
                <w:iCs/>
                <w:color w:val="000000"/>
                <w:sz w:val="16"/>
                <w:szCs w:val="16"/>
              </w:rPr>
            </w:pPr>
            <w:r w:rsidRPr="00444328">
              <w:rPr>
                <w:rFonts w:ascii="Arial" w:hAnsi="Arial" w:cs="Arial"/>
                <w:b/>
                <w:bCs/>
                <w:i/>
                <w:iCs/>
                <w:color w:val="000000"/>
                <w:sz w:val="16"/>
                <w:szCs w:val="16"/>
              </w:rPr>
              <w:t>-</w:t>
            </w:r>
          </w:p>
        </w:tc>
        <w:tc>
          <w:tcPr>
            <w:tcW w:w="813" w:type="dxa"/>
            <w:tcBorders>
              <w:top w:val="single" w:sz="4" w:space="0" w:color="000000"/>
              <w:left w:val="nil"/>
              <w:bottom w:val="nil"/>
              <w:right w:val="nil"/>
            </w:tcBorders>
            <w:shd w:val="clear" w:color="auto" w:fill="auto"/>
            <w:noWrap/>
            <w:vAlign w:val="bottom"/>
            <w:hideMark/>
          </w:tcPr>
          <w:p w14:paraId="02C5AA6C" w14:textId="45C7A326" w:rsidR="00444328" w:rsidRPr="00444328" w:rsidRDefault="00444328" w:rsidP="00216C12">
            <w:pPr>
              <w:spacing w:after="0" w:line="240" w:lineRule="auto"/>
              <w:jc w:val="right"/>
              <w:rPr>
                <w:rFonts w:ascii="Arial" w:hAnsi="Arial" w:cs="Arial"/>
                <w:b/>
                <w:bCs/>
                <w:i/>
                <w:iCs/>
                <w:color w:val="000000"/>
                <w:sz w:val="16"/>
                <w:szCs w:val="16"/>
              </w:rPr>
            </w:pPr>
            <w:r w:rsidRPr="00444328">
              <w:rPr>
                <w:rFonts w:ascii="Arial" w:hAnsi="Arial" w:cs="Arial"/>
                <w:b/>
                <w:bCs/>
                <w:i/>
                <w:iCs/>
                <w:color w:val="000000"/>
                <w:sz w:val="16"/>
                <w:szCs w:val="16"/>
              </w:rPr>
              <w:t>-</w:t>
            </w:r>
          </w:p>
        </w:tc>
      </w:tr>
      <w:tr w:rsidR="00444328" w:rsidRPr="00444328" w14:paraId="1B1F15C2" w14:textId="77777777" w:rsidTr="008E235E">
        <w:trPr>
          <w:trHeight w:val="204"/>
        </w:trPr>
        <w:tc>
          <w:tcPr>
            <w:tcW w:w="2977" w:type="dxa"/>
            <w:tcBorders>
              <w:top w:val="nil"/>
              <w:left w:val="nil"/>
              <w:bottom w:val="nil"/>
              <w:right w:val="nil"/>
            </w:tcBorders>
            <w:shd w:val="clear" w:color="auto" w:fill="auto"/>
            <w:noWrap/>
            <w:vAlign w:val="center"/>
            <w:hideMark/>
          </w:tcPr>
          <w:p w14:paraId="312B7D2E" w14:textId="77777777" w:rsidR="00444328" w:rsidRPr="00444328" w:rsidRDefault="00444328" w:rsidP="008E235E">
            <w:pPr>
              <w:spacing w:after="0" w:line="240" w:lineRule="auto"/>
              <w:ind w:left="113"/>
              <w:jc w:val="left"/>
              <w:rPr>
                <w:rFonts w:ascii="Arial" w:hAnsi="Arial" w:cs="Arial"/>
                <w:color w:val="000000"/>
                <w:sz w:val="16"/>
                <w:szCs w:val="16"/>
              </w:rPr>
            </w:pPr>
            <w:r w:rsidRPr="00444328">
              <w:rPr>
                <w:rFonts w:ascii="Arial" w:hAnsi="Arial" w:cs="Arial"/>
                <w:color w:val="000000"/>
                <w:sz w:val="16"/>
                <w:szCs w:val="16"/>
              </w:rPr>
              <w:t>of which:</w:t>
            </w:r>
          </w:p>
        </w:tc>
        <w:tc>
          <w:tcPr>
            <w:tcW w:w="857" w:type="dxa"/>
            <w:tcBorders>
              <w:top w:val="single" w:sz="4" w:space="0" w:color="000000"/>
              <w:left w:val="nil"/>
              <w:bottom w:val="nil"/>
              <w:right w:val="nil"/>
            </w:tcBorders>
            <w:shd w:val="clear" w:color="auto" w:fill="auto"/>
            <w:noWrap/>
            <w:vAlign w:val="bottom"/>
            <w:hideMark/>
          </w:tcPr>
          <w:p w14:paraId="6C6E126B" w14:textId="16CAC711" w:rsidR="00444328" w:rsidRPr="00444328" w:rsidRDefault="00444328" w:rsidP="00216C12">
            <w:pPr>
              <w:spacing w:after="0" w:line="240" w:lineRule="auto"/>
              <w:jc w:val="right"/>
              <w:rPr>
                <w:rFonts w:ascii="Arial" w:hAnsi="Arial" w:cs="Arial"/>
                <w:color w:val="000000"/>
                <w:sz w:val="16"/>
                <w:szCs w:val="16"/>
              </w:rPr>
            </w:pPr>
          </w:p>
        </w:tc>
        <w:tc>
          <w:tcPr>
            <w:tcW w:w="999" w:type="dxa"/>
            <w:tcBorders>
              <w:top w:val="single" w:sz="4" w:space="0" w:color="000000"/>
              <w:left w:val="nil"/>
              <w:bottom w:val="nil"/>
              <w:right w:val="nil"/>
            </w:tcBorders>
            <w:shd w:val="clear" w:color="auto" w:fill="auto"/>
            <w:noWrap/>
            <w:vAlign w:val="bottom"/>
            <w:hideMark/>
          </w:tcPr>
          <w:p w14:paraId="55C5825D" w14:textId="7C439DFB" w:rsidR="00444328" w:rsidRPr="00444328" w:rsidRDefault="00444328" w:rsidP="00216C12">
            <w:pPr>
              <w:spacing w:after="0" w:line="240" w:lineRule="auto"/>
              <w:jc w:val="right"/>
              <w:rPr>
                <w:rFonts w:ascii="Arial" w:hAnsi="Arial" w:cs="Arial"/>
                <w:color w:val="000000"/>
                <w:sz w:val="16"/>
                <w:szCs w:val="16"/>
              </w:rPr>
            </w:pPr>
          </w:p>
        </w:tc>
        <w:tc>
          <w:tcPr>
            <w:tcW w:w="1044" w:type="dxa"/>
            <w:tcBorders>
              <w:top w:val="single" w:sz="4" w:space="0" w:color="000000"/>
              <w:left w:val="nil"/>
              <w:bottom w:val="nil"/>
              <w:right w:val="nil"/>
            </w:tcBorders>
            <w:shd w:val="clear" w:color="auto" w:fill="auto"/>
            <w:noWrap/>
            <w:vAlign w:val="bottom"/>
            <w:hideMark/>
          </w:tcPr>
          <w:p w14:paraId="15270E6B" w14:textId="491098F9" w:rsidR="00444328" w:rsidRPr="00444328" w:rsidRDefault="00444328" w:rsidP="00216C12">
            <w:pPr>
              <w:spacing w:after="0" w:line="240" w:lineRule="auto"/>
              <w:jc w:val="right"/>
              <w:rPr>
                <w:rFonts w:ascii="Arial" w:hAnsi="Arial" w:cs="Arial"/>
                <w:color w:val="000000"/>
                <w:sz w:val="16"/>
                <w:szCs w:val="16"/>
              </w:rPr>
            </w:pPr>
          </w:p>
        </w:tc>
        <w:tc>
          <w:tcPr>
            <w:tcW w:w="813" w:type="dxa"/>
            <w:tcBorders>
              <w:top w:val="single" w:sz="4" w:space="0" w:color="000000"/>
              <w:left w:val="nil"/>
              <w:bottom w:val="nil"/>
              <w:right w:val="nil"/>
            </w:tcBorders>
            <w:shd w:val="clear" w:color="auto" w:fill="auto"/>
            <w:noWrap/>
            <w:vAlign w:val="bottom"/>
            <w:hideMark/>
          </w:tcPr>
          <w:p w14:paraId="1660D02D" w14:textId="1CC96CCA" w:rsidR="00444328" w:rsidRPr="00444328" w:rsidRDefault="00444328" w:rsidP="00216C12">
            <w:pPr>
              <w:spacing w:after="0" w:line="240" w:lineRule="auto"/>
              <w:jc w:val="right"/>
              <w:rPr>
                <w:rFonts w:ascii="Arial" w:hAnsi="Arial" w:cs="Arial"/>
                <w:color w:val="000000"/>
                <w:sz w:val="16"/>
                <w:szCs w:val="16"/>
              </w:rPr>
            </w:pPr>
          </w:p>
        </w:tc>
      </w:tr>
      <w:tr w:rsidR="00444328" w:rsidRPr="00444328" w14:paraId="7D844EEF" w14:textId="77777777" w:rsidTr="008E235E">
        <w:trPr>
          <w:trHeight w:val="204"/>
        </w:trPr>
        <w:tc>
          <w:tcPr>
            <w:tcW w:w="2977" w:type="dxa"/>
            <w:tcBorders>
              <w:top w:val="nil"/>
              <w:left w:val="nil"/>
              <w:bottom w:val="nil"/>
              <w:right w:val="nil"/>
            </w:tcBorders>
            <w:shd w:val="clear" w:color="auto" w:fill="auto"/>
            <w:vAlign w:val="center"/>
            <w:hideMark/>
          </w:tcPr>
          <w:p w14:paraId="12926AED" w14:textId="1DC66184" w:rsidR="00444328" w:rsidRPr="00444328" w:rsidRDefault="00444328" w:rsidP="008E235E">
            <w:pPr>
              <w:spacing w:after="0" w:line="240" w:lineRule="auto"/>
              <w:ind w:left="227"/>
              <w:jc w:val="left"/>
              <w:rPr>
                <w:rFonts w:ascii="Arial" w:hAnsi="Arial" w:cs="Arial"/>
                <w:color w:val="000000"/>
                <w:sz w:val="16"/>
                <w:szCs w:val="16"/>
              </w:rPr>
            </w:pPr>
            <w:r w:rsidRPr="00444328">
              <w:rPr>
                <w:rFonts w:ascii="Arial" w:hAnsi="Arial" w:cs="Arial"/>
                <w:color w:val="000000"/>
                <w:sz w:val="16"/>
                <w:szCs w:val="16"/>
              </w:rPr>
              <w:t>Attributable to the Australian</w:t>
            </w:r>
            <w:r w:rsidR="008E235E">
              <w:rPr>
                <w:rFonts w:ascii="Arial" w:hAnsi="Arial" w:cs="Arial"/>
                <w:color w:val="000000"/>
                <w:sz w:val="16"/>
                <w:szCs w:val="16"/>
              </w:rPr>
              <w:t xml:space="preserve"> </w:t>
            </w:r>
            <w:r w:rsidRPr="00444328">
              <w:rPr>
                <w:rFonts w:ascii="Arial" w:hAnsi="Arial" w:cs="Arial"/>
                <w:color w:val="000000"/>
                <w:sz w:val="16"/>
                <w:szCs w:val="16"/>
              </w:rPr>
              <w:t>Government</w:t>
            </w:r>
          </w:p>
        </w:tc>
        <w:tc>
          <w:tcPr>
            <w:tcW w:w="857" w:type="dxa"/>
            <w:tcBorders>
              <w:top w:val="nil"/>
              <w:left w:val="nil"/>
              <w:bottom w:val="nil"/>
              <w:right w:val="nil"/>
            </w:tcBorders>
            <w:shd w:val="clear" w:color="auto" w:fill="auto"/>
            <w:noWrap/>
            <w:vAlign w:val="bottom"/>
            <w:hideMark/>
          </w:tcPr>
          <w:p w14:paraId="161CC976" w14:textId="765F3D2C" w:rsidR="00444328" w:rsidRPr="00444328" w:rsidRDefault="00444328" w:rsidP="00216C12">
            <w:pPr>
              <w:spacing w:after="0" w:line="240" w:lineRule="auto"/>
              <w:jc w:val="right"/>
              <w:rPr>
                <w:rFonts w:ascii="Arial" w:hAnsi="Arial" w:cs="Arial"/>
                <w:color w:val="000000"/>
                <w:sz w:val="16"/>
                <w:szCs w:val="16"/>
              </w:rPr>
            </w:pPr>
            <w:r w:rsidRPr="00444328">
              <w:rPr>
                <w:rFonts w:ascii="Arial" w:hAnsi="Arial" w:cs="Arial"/>
                <w:color w:val="000000"/>
                <w:sz w:val="16"/>
                <w:szCs w:val="16"/>
              </w:rPr>
              <w:t>-</w:t>
            </w:r>
          </w:p>
        </w:tc>
        <w:tc>
          <w:tcPr>
            <w:tcW w:w="999" w:type="dxa"/>
            <w:tcBorders>
              <w:top w:val="nil"/>
              <w:left w:val="nil"/>
              <w:bottom w:val="nil"/>
              <w:right w:val="nil"/>
            </w:tcBorders>
            <w:shd w:val="clear" w:color="auto" w:fill="auto"/>
            <w:noWrap/>
            <w:vAlign w:val="bottom"/>
            <w:hideMark/>
          </w:tcPr>
          <w:p w14:paraId="696972A8" w14:textId="3EBABF3D" w:rsidR="00444328" w:rsidRPr="00444328" w:rsidRDefault="00444328" w:rsidP="00216C12">
            <w:pPr>
              <w:spacing w:after="0" w:line="240" w:lineRule="auto"/>
              <w:jc w:val="right"/>
              <w:rPr>
                <w:rFonts w:ascii="Arial" w:hAnsi="Arial" w:cs="Arial"/>
                <w:color w:val="000000"/>
                <w:sz w:val="16"/>
                <w:szCs w:val="16"/>
              </w:rPr>
            </w:pPr>
            <w:r w:rsidRPr="00444328">
              <w:rPr>
                <w:rFonts w:ascii="Arial" w:hAnsi="Arial" w:cs="Arial"/>
                <w:color w:val="000000"/>
                <w:sz w:val="16"/>
                <w:szCs w:val="16"/>
              </w:rPr>
              <w:t>-</w:t>
            </w:r>
          </w:p>
        </w:tc>
        <w:tc>
          <w:tcPr>
            <w:tcW w:w="1044" w:type="dxa"/>
            <w:tcBorders>
              <w:top w:val="nil"/>
              <w:left w:val="nil"/>
              <w:bottom w:val="nil"/>
              <w:right w:val="nil"/>
            </w:tcBorders>
            <w:shd w:val="clear" w:color="auto" w:fill="auto"/>
            <w:noWrap/>
            <w:vAlign w:val="bottom"/>
            <w:hideMark/>
          </w:tcPr>
          <w:p w14:paraId="0D60791E" w14:textId="1D47638D" w:rsidR="00444328" w:rsidRPr="00444328" w:rsidRDefault="00444328" w:rsidP="00216C12">
            <w:pPr>
              <w:spacing w:after="0" w:line="240" w:lineRule="auto"/>
              <w:jc w:val="right"/>
              <w:rPr>
                <w:rFonts w:ascii="Arial" w:hAnsi="Arial" w:cs="Arial"/>
                <w:color w:val="000000"/>
                <w:sz w:val="16"/>
                <w:szCs w:val="16"/>
              </w:rPr>
            </w:pPr>
            <w:r w:rsidRPr="00444328">
              <w:rPr>
                <w:rFonts w:ascii="Arial" w:hAnsi="Arial" w:cs="Arial"/>
                <w:color w:val="000000"/>
                <w:sz w:val="16"/>
                <w:szCs w:val="16"/>
              </w:rPr>
              <w:t>-</w:t>
            </w:r>
          </w:p>
        </w:tc>
        <w:tc>
          <w:tcPr>
            <w:tcW w:w="813" w:type="dxa"/>
            <w:tcBorders>
              <w:top w:val="nil"/>
              <w:left w:val="nil"/>
              <w:bottom w:val="nil"/>
              <w:right w:val="nil"/>
            </w:tcBorders>
            <w:shd w:val="clear" w:color="auto" w:fill="auto"/>
            <w:noWrap/>
            <w:vAlign w:val="bottom"/>
            <w:hideMark/>
          </w:tcPr>
          <w:p w14:paraId="49131E75" w14:textId="56C2CA46" w:rsidR="00444328" w:rsidRPr="00444328" w:rsidRDefault="00444328" w:rsidP="00216C12">
            <w:pPr>
              <w:spacing w:after="0" w:line="240" w:lineRule="auto"/>
              <w:jc w:val="right"/>
              <w:rPr>
                <w:rFonts w:ascii="Arial" w:hAnsi="Arial" w:cs="Arial"/>
                <w:color w:val="000000"/>
                <w:sz w:val="16"/>
                <w:szCs w:val="16"/>
              </w:rPr>
            </w:pPr>
            <w:r w:rsidRPr="00444328">
              <w:rPr>
                <w:rFonts w:ascii="Arial" w:hAnsi="Arial" w:cs="Arial"/>
                <w:color w:val="000000"/>
                <w:sz w:val="16"/>
                <w:szCs w:val="16"/>
              </w:rPr>
              <w:t>-</w:t>
            </w:r>
          </w:p>
        </w:tc>
      </w:tr>
      <w:tr w:rsidR="00444328" w:rsidRPr="00444328" w14:paraId="7AA1552B" w14:textId="77777777" w:rsidTr="008E235E">
        <w:trPr>
          <w:trHeight w:val="204"/>
        </w:trPr>
        <w:tc>
          <w:tcPr>
            <w:tcW w:w="2977" w:type="dxa"/>
            <w:tcBorders>
              <w:top w:val="nil"/>
              <w:left w:val="nil"/>
              <w:bottom w:val="nil"/>
              <w:right w:val="nil"/>
            </w:tcBorders>
            <w:shd w:val="clear" w:color="auto" w:fill="auto"/>
            <w:vAlign w:val="center"/>
            <w:hideMark/>
          </w:tcPr>
          <w:p w14:paraId="57D51E42" w14:textId="12E46544" w:rsidR="00444328" w:rsidRPr="00444328" w:rsidRDefault="00444328" w:rsidP="00216C12">
            <w:pPr>
              <w:spacing w:after="0" w:line="240" w:lineRule="auto"/>
              <w:jc w:val="left"/>
              <w:rPr>
                <w:rFonts w:ascii="Arial" w:hAnsi="Arial" w:cs="Arial"/>
                <w:b/>
                <w:bCs/>
                <w:color w:val="000000"/>
                <w:sz w:val="16"/>
                <w:szCs w:val="16"/>
              </w:rPr>
            </w:pPr>
            <w:r w:rsidRPr="00444328">
              <w:rPr>
                <w:rFonts w:ascii="Arial" w:hAnsi="Arial" w:cs="Arial"/>
                <w:b/>
                <w:bCs/>
                <w:color w:val="000000"/>
                <w:sz w:val="16"/>
                <w:szCs w:val="16"/>
              </w:rPr>
              <w:t>Estimated closing balance as at</w:t>
            </w:r>
            <w:r w:rsidR="00216C12">
              <w:rPr>
                <w:rFonts w:ascii="Arial" w:hAnsi="Arial" w:cs="Arial"/>
                <w:b/>
                <w:bCs/>
                <w:color w:val="000000"/>
                <w:sz w:val="16"/>
                <w:szCs w:val="16"/>
              </w:rPr>
              <w:t xml:space="preserve"> </w:t>
            </w:r>
            <w:r w:rsidRPr="00444328">
              <w:rPr>
                <w:rFonts w:ascii="Arial" w:hAnsi="Arial" w:cs="Arial"/>
                <w:b/>
                <w:bCs/>
                <w:color w:val="000000"/>
                <w:sz w:val="16"/>
                <w:szCs w:val="16"/>
              </w:rPr>
              <w:t>30</w:t>
            </w:r>
            <w:r w:rsidR="00216C12">
              <w:rPr>
                <w:rFonts w:ascii="Arial" w:hAnsi="Arial" w:cs="Arial"/>
                <w:b/>
                <w:bCs/>
                <w:color w:val="000000"/>
                <w:sz w:val="16"/>
                <w:szCs w:val="16"/>
              </w:rPr>
              <w:t> </w:t>
            </w:r>
            <w:r w:rsidRPr="00444328">
              <w:rPr>
                <w:rFonts w:ascii="Arial" w:hAnsi="Arial" w:cs="Arial"/>
                <w:b/>
                <w:bCs/>
                <w:color w:val="000000"/>
                <w:sz w:val="16"/>
                <w:szCs w:val="16"/>
              </w:rPr>
              <w:t>June 2022</w:t>
            </w:r>
          </w:p>
        </w:tc>
        <w:tc>
          <w:tcPr>
            <w:tcW w:w="857" w:type="dxa"/>
            <w:tcBorders>
              <w:top w:val="single" w:sz="4" w:space="0" w:color="auto"/>
              <w:left w:val="nil"/>
              <w:bottom w:val="single" w:sz="4" w:space="0" w:color="auto"/>
              <w:right w:val="nil"/>
            </w:tcBorders>
            <w:shd w:val="clear" w:color="auto" w:fill="auto"/>
            <w:noWrap/>
            <w:vAlign w:val="bottom"/>
            <w:hideMark/>
          </w:tcPr>
          <w:p w14:paraId="25F6B87F" w14:textId="09D6C629" w:rsidR="00444328" w:rsidRPr="00444328" w:rsidRDefault="00444328" w:rsidP="00216C12">
            <w:pPr>
              <w:spacing w:after="0" w:line="240" w:lineRule="auto"/>
              <w:jc w:val="right"/>
              <w:rPr>
                <w:rFonts w:ascii="Arial" w:hAnsi="Arial" w:cs="Arial"/>
                <w:b/>
                <w:bCs/>
                <w:color w:val="000000"/>
                <w:sz w:val="16"/>
                <w:szCs w:val="16"/>
              </w:rPr>
            </w:pPr>
            <w:r w:rsidRPr="00444328">
              <w:rPr>
                <w:rFonts w:ascii="Arial" w:hAnsi="Arial" w:cs="Arial"/>
                <w:b/>
                <w:bCs/>
                <w:color w:val="000000"/>
                <w:sz w:val="16"/>
                <w:szCs w:val="16"/>
              </w:rPr>
              <w:t>58,192</w:t>
            </w:r>
          </w:p>
        </w:tc>
        <w:tc>
          <w:tcPr>
            <w:tcW w:w="999" w:type="dxa"/>
            <w:tcBorders>
              <w:top w:val="single" w:sz="4" w:space="0" w:color="auto"/>
              <w:left w:val="nil"/>
              <w:bottom w:val="single" w:sz="4" w:space="0" w:color="auto"/>
              <w:right w:val="nil"/>
            </w:tcBorders>
            <w:shd w:val="clear" w:color="auto" w:fill="auto"/>
            <w:noWrap/>
            <w:vAlign w:val="bottom"/>
            <w:hideMark/>
          </w:tcPr>
          <w:p w14:paraId="0510B6E8" w14:textId="0F7CC77F" w:rsidR="00444328" w:rsidRPr="00444328" w:rsidRDefault="00444328" w:rsidP="00216C12">
            <w:pPr>
              <w:spacing w:after="0" w:line="240" w:lineRule="auto"/>
              <w:jc w:val="right"/>
              <w:rPr>
                <w:rFonts w:ascii="Arial" w:hAnsi="Arial" w:cs="Arial"/>
                <w:b/>
                <w:bCs/>
                <w:color w:val="000000"/>
                <w:sz w:val="16"/>
                <w:szCs w:val="16"/>
              </w:rPr>
            </w:pPr>
            <w:r w:rsidRPr="00444328">
              <w:rPr>
                <w:rFonts w:ascii="Arial" w:hAnsi="Arial" w:cs="Arial"/>
                <w:b/>
                <w:bCs/>
                <w:color w:val="000000"/>
                <w:sz w:val="16"/>
                <w:szCs w:val="16"/>
              </w:rPr>
              <w:t>9,485</w:t>
            </w:r>
          </w:p>
        </w:tc>
        <w:tc>
          <w:tcPr>
            <w:tcW w:w="1044" w:type="dxa"/>
            <w:tcBorders>
              <w:top w:val="single" w:sz="4" w:space="0" w:color="auto"/>
              <w:left w:val="nil"/>
              <w:bottom w:val="single" w:sz="4" w:space="0" w:color="auto"/>
              <w:right w:val="nil"/>
            </w:tcBorders>
            <w:shd w:val="clear" w:color="auto" w:fill="auto"/>
            <w:noWrap/>
            <w:vAlign w:val="bottom"/>
            <w:hideMark/>
          </w:tcPr>
          <w:p w14:paraId="6D45A2CB" w14:textId="40FE1A3E" w:rsidR="00444328" w:rsidRPr="00444328" w:rsidRDefault="00444328" w:rsidP="00216C12">
            <w:pPr>
              <w:spacing w:after="0" w:line="240" w:lineRule="auto"/>
              <w:jc w:val="right"/>
              <w:rPr>
                <w:rFonts w:ascii="Arial" w:hAnsi="Arial" w:cs="Arial"/>
                <w:b/>
                <w:bCs/>
                <w:color w:val="000000"/>
                <w:sz w:val="16"/>
                <w:szCs w:val="16"/>
              </w:rPr>
            </w:pPr>
            <w:r w:rsidRPr="00444328">
              <w:rPr>
                <w:rFonts w:ascii="Arial" w:hAnsi="Arial" w:cs="Arial"/>
                <w:b/>
                <w:bCs/>
                <w:color w:val="000000"/>
                <w:sz w:val="16"/>
                <w:szCs w:val="16"/>
              </w:rPr>
              <w:t>3,295</w:t>
            </w:r>
          </w:p>
        </w:tc>
        <w:tc>
          <w:tcPr>
            <w:tcW w:w="813" w:type="dxa"/>
            <w:tcBorders>
              <w:top w:val="single" w:sz="4" w:space="0" w:color="auto"/>
              <w:left w:val="nil"/>
              <w:bottom w:val="single" w:sz="4" w:space="0" w:color="auto"/>
              <w:right w:val="nil"/>
            </w:tcBorders>
            <w:shd w:val="clear" w:color="auto" w:fill="auto"/>
            <w:noWrap/>
            <w:vAlign w:val="bottom"/>
            <w:hideMark/>
          </w:tcPr>
          <w:p w14:paraId="23832EA6" w14:textId="6F41A4D2" w:rsidR="00444328" w:rsidRPr="00444328" w:rsidRDefault="00444328" w:rsidP="00216C12">
            <w:pPr>
              <w:spacing w:after="0" w:line="240" w:lineRule="auto"/>
              <w:jc w:val="right"/>
              <w:rPr>
                <w:rFonts w:ascii="Arial" w:hAnsi="Arial" w:cs="Arial"/>
                <w:b/>
                <w:bCs/>
                <w:color w:val="000000"/>
                <w:sz w:val="16"/>
                <w:szCs w:val="16"/>
              </w:rPr>
            </w:pPr>
            <w:r w:rsidRPr="00444328">
              <w:rPr>
                <w:rFonts w:ascii="Arial" w:hAnsi="Arial" w:cs="Arial"/>
                <w:b/>
                <w:bCs/>
                <w:color w:val="000000"/>
                <w:sz w:val="16"/>
                <w:szCs w:val="16"/>
              </w:rPr>
              <w:t>70,972</w:t>
            </w:r>
          </w:p>
        </w:tc>
      </w:tr>
      <w:tr w:rsidR="00444328" w:rsidRPr="00444328" w14:paraId="144C8FFA" w14:textId="77777777" w:rsidTr="008E235E">
        <w:trPr>
          <w:trHeight w:val="204"/>
        </w:trPr>
        <w:tc>
          <w:tcPr>
            <w:tcW w:w="2977" w:type="dxa"/>
            <w:tcBorders>
              <w:top w:val="nil"/>
              <w:left w:val="nil"/>
              <w:bottom w:val="single" w:sz="4" w:space="0" w:color="000000"/>
              <w:right w:val="nil"/>
            </w:tcBorders>
            <w:shd w:val="clear" w:color="auto" w:fill="auto"/>
            <w:vAlign w:val="center"/>
            <w:hideMark/>
          </w:tcPr>
          <w:p w14:paraId="3D0B24F0" w14:textId="08BF1933" w:rsidR="00444328" w:rsidRPr="00444328" w:rsidRDefault="00444328" w:rsidP="00216C12">
            <w:pPr>
              <w:spacing w:after="0" w:line="240" w:lineRule="auto"/>
              <w:jc w:val="left"/>
              <w:rPr>
                <w:rFonts w:ascii="Arial" w:hAnsi="Arial" w:cs="Arial"/>
                <w:b/>
                <w:bCs/>
                <w:color w:val="000000"/>
                <w:sz w:val="16"/>
                <w:szCs w:val="16"/>
              </w:rPr>
            </w:pPr>
            <w:r w:rsidRPr="00444328">
              <w:rPr>
                <w:rFonts w:ascii="Arial" w:hAnsi="Arial" w:cs="Arial"/>
                <w:b/>
                <w:bCs/>
                <w:color w:val="000000"/>
                <w:sz w:val="16"/>
                <w:szCs w:val="16"/>
              </w:rPr>
              <w:t>Closing balance attributable to</w:t>
            </w:r>
            <w:r w:rsidR="00216C12">
              <w:rPr>
                <w:rFonts w:ascii="Arial" w:hAnsi="Arial" w:cs="Arial"/>
                <w:b/>
                <w:bCs/>
                <w:color w:val="000000"/>
                <w:sz w:val="16"/>
                <w:szCs w:val="16"/>
              </w:rPr>
              <w:t xml:space="preserve"> </w:t>
            </w:r>
            <w:r w:rsidRPr="00444328">
              <w:rPr>
                <w:rFonts w:ascii="Arial" w:hAnsi="Arial" w:cs="Arial"/>
                <w:b/>
                <w:bCs/>
                <w:color w:val="000000"/>
                <w:sz w:val="16"/>
                <w:szCs w:val="16"/>
              </w:rPr>
              <w:t>the Australian Government</w:t>
            </w:r>
          </w:p>
        </w:tc>
        <w:tc>
          <w:tcPr>
            <w:tcW w:w="857" w:type="dxa"/>
            <w:tcBorders>
              <w:top w:val="nil"/>
              <w:left w:val="nil"/>
              <w:bottom w:val="single" w:sz="4" w:space="0" w:color="auto"/>
              <w:right w:val="nil"/>
            </w:tcBorders>
            <w:shd w:val="clear" w:color="auto" w:fill="auto"/>
            <w:noWrap/>
            <w:vAlign w:val="bottom"/>
            <w:hideMark/>
          </w:tcPr>
          <w:p w14:paraId="6F94DCC8" w14:textId="701B363F" w:rsidR="00444328" w:rsidRPr="00444328" w:rsidRDefault="00444328" w:rsidP="00216C12">
            <w:pPr>
              <w:spacing w:after="0" w:line="240" w:lineRule="auto"/>
              <w:jc w:val="right"/>
              <w:rPr>
                <w:rFonts w:ascii="Arial" w:hAnsi="Arial" w:cs="Arial"/>
                <w:b/>
                <w:bCs/>
                <w:color w:val="000000"/>
                <w:sz w:val="16"/>
                <w:szCs w:val="16"/>
              </w:rPr>
            </w:pPr>
            <w:r w:rsidRPr="00444328">
              <w:rPr>
                <w:rFonts w:ascii="Arial" w:hAnsi="Arial" w:cs="Arial"/>
                <w:b/>
                <w:bCs/>
                <w:color w:val="000000"/>
                <w:sz w:val="16"/>
                <w:szCs w:val="16"/>
              </w:rPr>
              <w:t>58,192</w:t>
            </w:r>
          </w:p>
        </w:tc>
        <w:tc>
          <w:tcPr>
            <w:tcW w:w="999" w:type="dxa"/>
            <w:tcBorders>
              <w:top w:val="nil"/>
              <w:left w:val="nil"/>
              <w:bottom w:val="single" w:sz="4" w:space="0" w:color="auto"/>
              <w:right w:val="nil"/>
            </w:tcBorders>
            <w:shd w:val="clear" w:color="auto" w:fill="auto"/>
            <w:noWrap/>
            <w:vAlign w:val="bottom"/>
            <w:hideMark/>
          </w:tcPr>
          <w:p w14:paraId="3CE6DD71" w14:textId="5EFCFC81" w:rsidR="00444328" w:rsidRPr="00444328" w:rsidRDefault="00444328" w:rsidP="00216C12">
            <w:pPr>
              <w:spacing w:after="0" w:line="240" w:lineRule="auto"/>
              <w:jc w:val="right"/>
              <w:rPr>
                <w:rFonts w:ascii="Arial" w:hAnsi="Arial" w:cs="Arial"/>
                <w:b/>
                <w:bCs/>
                <w:color w:val="000000"/>
                <w:sz w:val="16"/>
                <w:szCs w:val="16"/>
              </w:rPr>
            </w:pPr>
            <w:r w:rsidRPr="00444328">
              <w:rPr>
                <w:rFonts w:ascii="Arial" w:hAnsi="Arial" w:cs="Arial"/>
                <w:b/>
                <w:bCs/>
                <w:color w:val="000000"/>
                <w:sz w:val="16"/>
                <w:szCs w:val="16"/>
              </w:rPr>
              <w:t>9,485</w:t>
            </w:r>
          </w:p>
        </w:tc>
        <w:tc>
          <w:tcPr>
            <w:tcW w:w="1044" w:type="dxa"/>
            <w:tcBorders>
              <w:top w:val="nil"/>
              <w:left w:val="nil"/>
              <w:bottom w:val="single" w:sz="4" w:space="0" w:color="auto"/>
              <w:right w:val="nil"/>
            </w:tcBorders>
            <w:shd w:val="clear" w:color="auto" w:fill="auto"/>
            <w:noWrap/>
            <w:vAlign w:val="bottom"/>
            <w:hideMark/>
          </w:tcPr>
          <w:p w14:paraId="7FCA0A65" w14:textId="2A6FD72D" w:rsidR="00444328" w:rsidRPr="00444328" w:rsidRDefault="00444328" w:rsidP="00216C12">
            <w:pPr>
              <w:spacing w:after="0" w:line="240" w:lineRule="auto"/>
              <w:jc w:val="right"/>
              <w:rPr>
                <w:rFonts w:ascii="Arial" w:hAnsi="Arial" w:cs="Arial"/>
                <w:b/>
                <w:bCs/>
                <w:color w:val="000000"/>
                <w:sz w:val="16"/>
                <w:szCs w:val="16"/>
              </w:rPr>
            </w:pPr>
            <w:r w:rsidRPr="00444328">
              <w:rPr>
                <w:rFonts w:ascii="Arial" w:hAnsi="Arial" w:cs="Arial"/>
                <w:b/>
                <w:bCs/>
                <w:color w:val="000000"/>
                <w:sz w:val="16"/>
                <w:szCs w:val="16"/>
              </w:rPr>
              <w:t>3,295</w:t>
            </w:r>
          </w:p>
        </w:tc>
        <w:tc>
          <w:tcPr>
            <w:tcW w:w="813" w:type="dxa"/>
            <w:tcBorders>
              <w:top w:val="nil"/>
              <w:left w:val="nil"/>
              <w:bottom w:val="single" w:sz="4" w:space="0" w:color="auto"/>
              <w:right w:val="nil"/>
            </w:tcBorders>
            <w:shd w:val="clear" w:color="auto" w:fill="auto"/>
            <w:noWrap/>
            <w:vAlign w:val="bottom"/>
            <w:hideMark/>
          </w:tcPr>
          <w:p w14:paraId="04FDB670" w14:textId="1F9EABEC" w:rsidR="00444328" w:rsidRPr="00444328" w:rsidRDefault="00444328" w:rsidP="00216C12">
            <w:pPr>
              <w:spacing w:after="0" w:line="240" w:lineRule="auto"/>
              <w:jc w:val="right"/>
              <w:rPr>
                <w:rFonts w:ascii="Arial" w:hAnsi="Arial" w:cs="Arial"/>
                <w:b/>
                <w:bCs/>
                <w:color w:val="000000"/>
                <w:sz w:val="16"/>
                <w:szCs w:val="16"/>
              </w:rPr>
            </w:pPr>
            <w:r w:rsidRPr="00444328">
              <w:rPr>
                <w:rFonts w:ascii="Arial" w:hAnsi="Arial" w:cs="Arial"/>
                <w:b/>
                <w:bCs/>
                <w:color w:val="000000"/>
                <w:sz w:val="16"/>
                <w:szCs w:val="16"/>
              </w:rPr>
              <w:t>70,972</w:t>
            </w:r>
          </w:p>
        </w:tc>
      </w:tr>
    </w:tbl>
    <w:p w14:paraId="6DB22C6D" w14:textId="16BF3547" w:rsidR="00C17040" w:rsidRPr="00444328" w:rsidRDefault="00C17040" w:rsidP="000708D5">
      <w:pPr>
        <w:pStyle w:val="TableGraphic"/>
        <w:spacing w:before="60"/>
        <w:jc w:val="left"/>
        <w:rPr>
          <w:rFonts w:ascii="Arial" w:hAnsi="Arial" w:cs="Arial"/>
          <w:i w:val="0"/>
          <w:snapToGrid w:val="0"/>
          <w:color w:val="auto"/>
          <w:sz w:val="16"/>
        </w:rPr>
      </w:pPr>
      <w:r w:rsidRPr="00444328">
        <w:rPr>
          <w:rFonts w:ascii="Arial" w:hAnsi="Arial" w:cs="Arial"/>
          <w:i w:val="0"/>
          <w:color w:val="auto"/>
          <w:sz w:val="16"/>
        </w:rPr>
        <w:t>Prepared on Australian Accounting Standards basis</w:t>
      </w:r>
      <w:r w:rsidRPr="00444328">
        <w:rPr>
          <w:rFonts w:ascii="Arial" w:hAnsi="Arial" w:cs="Arial"/>
          <w:i w:val="0"/>
          <w:snapToGrid w:val="0"/>
          <w:color w:val="auto"/>
          <w:sz w:val="16"/>
        </w:rPr>
        <w:t>.</w:t>
      </w:r>
    </w:p>
    <w:p w14:paraId="37DBEA19" w14:textId="77777777" w:rsidR="008E235E" w:rsidRDefault="008E235E">
      <w:pPr>
        <w:spacing w:after="0" w:line="240" w:lineRule="auto"/>
        <w:jc w:val="left"/>
        <w:rPr>
          <w:rFonts w:ascii="Arial" w:hAnsi="Arial"/>
          <w:b/>
          <w:snapToGrid w:val="0"/>
          <w:lang w:val="x-none"/>
        </w:rPr>
      </w:pPr>
      <w:r>
        <w:rPr>
          <w:snapToGrid w:val="0"/>
        </w:rPr>
        <w:br w:type="page"/>
      </w:r>
    </w:p>
    <w:p w14:paraId="4E36BE34" w14:textId="3931319B" w:rsidR="00C17040" w:rsidRDefault="00C17040" w:rsidP="00C17040">
      <w:pPr>
        <w:pStyle w:val="TableHeading"/>
        <w:spacing w:before="0"/>
        <w:rPr>
          <w:lang w:val="en-AU"/>
        </w:rPr>
      </w:pPr>
      <w:r>
        <w:rPr>
          <w:snapToGrid w:val="0"/>
        </w:rPr>
        <w:lastRenderedPageBreak/>
        <w:t>Table 3</w:t>
      </w:r>
      <w:r w:rsidRPr="00014438">
        <w:rPr>
          <w:snapToGrid w:val="0"/>
        </w:rPr>
        <w:t>.</w:t>
      </w:r>
      <w:r>
        <w:rPr>
          <w:snapToGrid w:val="0"/>
        </w:rPr>
        <w:t>5</w:t>
      </w:r>
      <w:r w:rsidRPr="00014438">
        <w:rPr>
          <w:snapToGrid w:val="0"/>
        </w:rPr>
        <w:t xml:space="preserve">: Budgeted </w:t>
      </w:r>
      <w:r w:rsidR="008863D9">
        <w:rPr>
          <w:snapToGrid w:val="0"/>
        </w:rPr>
        <w:t>Department</w:t>
      </w:r>
      <w:r w:rsidRPr="00014438">
        <w:rPr>
          <w:snapToGrid w:val="0"/>
        </w:rPr>
        <w:t xml:space="preserve">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p>
    <w:tbl>
      <w:tblPr>
        <w:tblW w:w="7240" w:type="dxa"/>
        <w:tblLook w:val="04A0" w:firstRow="1" w:lastRow="0" w:firstColumn="1" w:lastColumn="0" w:noHBand="0" w:noVBand="1"/>
      </w:tblPr>
      <w:tblGrid>
        <w:gridCol w:w="2856"/>
        <w:gridCol w:w="876"/>
        <w:gridCol w:w="877"/>
        <w:gridCol w:w="877"/>
        <w:gridCol w:w="877"/>
        <w:gridCol w:w="877"/>
      </w:tblGrid>
      <w:tr w:rsidR="008E235E" w:rsidRPr="008E235E" w14:paraId="49B22E6A" w14:textId="77777777" w:rsidTr="00D47D34">
        <w:trPr>
          <w:trHeight w:val="354"/>
        </w:trPr>
        <w:tc>
          <w:tcPr>
            <w:tcW w:w="2856" w:type="dxa"/>
            <w:tcBorders>
              <w:top w:val="single" w:sz="4" w:space="0" w:color="auto"/>
              <w:left w:val="nil"/>
              <w:bottom w:val="nil"/>
              <w:right w:val="nil"/>
            </w:tcBorders>
            <w:shd w:val="clear" w:color="auto" w:fill="auto"/>
            <w:noWrap/>
            <w:hideMark/>
          </w:tcPr>
          <w:p w14:paraId="4DB6AF4F" w14:textId="77777777" w:rsidR="008E235E" w:rsidRPr="008E235E" w:rsidRDefault="008E235E" w:rsidP="008E235E">
            <w:pPr>
              <w:spacing w:after="0" w:line="240" w:lineRule="auto"/>
              <w:jc w:val="left"/>
              <w:rPr>
                <w:rFonts w:ascii="Arial" w:hAnsi="Arial" w:cs="Arial"/>
                <w:b/>
                <w:bCs/>
                <w:sz w:val="16"/>
                <w:szCs w:val="16"/>
              </w:rPr>
            </w:pPr>
            <w:r w:rsidRPr="008E235E">
              <w:rPr>
                <w:rFonts w:ascii="Arial" w:hAnsi="Arial" w:cs="Arial"/>
                <w:b/>
                <w:bCs/>
                <w:sz w:val="16"/>
                <w:szCs w:val="16"/>
              </w:rPr>
              <w:t> </w:t>
            </w:r>
          </w:p>
        </w:tc>
        <w:tc>
          <w:tcPr>
            <w:tcW w:w="876" w:type="dxa"/>
            <w:tcBorders>
              <w:top w:val="single" w:sz="4" w:space="0" w:color="auto"/>
              <w:left w:val="nil"/>
              <w:bottom w:val="single" w:sz="4" w:space="0" w:color="auto"/>
              <w:right w:val="nil"/>
            </w:tcBorders>
            <w:shd w:val="clear" w:color="auto" w:fill="auto"/>
            <w:hideMark/>
          </w:tcPr>
          <w:p w14:paraId="747041BD" w14:textId="77777777" w:rsidR="008E235E" w:rsidRPr="008E235E" w:rsidRDefault="008E235E" w:rsidP="008E235E">
            <w:pPr>
              <w:spacing w:after="0" w:line="240" w:lineRule="auto"/>
              <w:jc w:val="right"/>
              <w:rPr>
                <w:rFonts w:ascii="Arial" w:hAnsi="Arial" w:cs="Arial"/>
                <w:sz w:val="16"/>
                <w:szCs w:val="16"/>
              </w:rPr>
            </w:pPr>
            <w:r w:rsidRPr="008E235E">
              <w:rPr>
                <w:rFonts w:ascii="Arial" w:hAnsi="Arial" w:cs="Arial"/>
                <w:sz w:val="16"/>
                <w:szCs w:val="16"/>
              </w:rPr>
              <w:t>2020-21 Actual</w:t>
            </w:r>
            <w:r w:rsidRPr="008E235E">
              <w:rPr>
                <w:rFonts w:ascii="Arial" w:hAnsi="Arial" w:cs="Arial"/>
                <w:sz w:val="16"/>
                <w:szCs w:val="16"/>
              </w:rPr>
              <w:br/>
            </w:r>
            <w:r w:rsidRPr="008E235E">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000000" w:fill="E6E6E6"/>
            <w:hideMark/>
          </w:tcPr>
          <w:p w14:paraId="1196D9E9" w14:textId="77777777" w:rsidR="008E235E" w:rsidRPr="008E235E" w:rsidRDefault="008E235E" w:rsidP="008E235E">
            <w:pPr>
              <w:spacing w:after="0" w:line="240" w:lineRule="auto"/>
              <w:jc w:val="right"/>
              <w:rPr>
                <w:rFonts w:ascii="Arial" w:hAnsi="Arial" w:cs="Arial"/>
                <w:sz w:val="16"/>
                <w:szCs w:val="16"/>
              </w:rPr>
            </w:pPr>
            <w:r w:rsidRPr="008E235E">
              <w:rPr>
                <w:rFonts w:ascii="Arial" w:hAnsi="Arial" w:cs="Arial"/>
                <w:sz w:val="16"/>
                <w:szCs w:val="16"/>
              </w:rPr>
              <w:t>2021-22</w:t>
            </w:r>
            <w:r w:rsidRPr="008E235E">
              <w:rPr>
                <w:rFonts w:ascii="Arial" w:hAnsi="Arial" w:cs="Arial"/>
                <w:sz w:val="16"/>
                <w:szCs w:val="16"/>
              </w:rPr>
              <w:br/>
              <w:t>Revised Budget</w:t>
            </w:r>
            <w:r w:rsidRPr="008E235E">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633288FF" w14:textId="77777777" w:rsidR="008E235E" w:rsidRPr="008E235E" w:rsidRDefault="008E235E" w:rsidP="008E235E">
            <w:pPr>
              <w:spacing w:after="0" w:line="240" w:lineRule="auto"/>
              <w:jc w:val="right"/>
              <w:rPr>
                <w:rFonts w:ascii="Arial" w:hAnsi="Arial" w:cs="Arial"/>
                <w:sz w:val="16"/>
                <w:szCs w:val="16"/>
              </w:rPr>
            </w:pPr>
            <w:r w:rsidRPr="008E235E">
              <w:rPr>
                <w:rFonts w:ascii="Arial" w:hAnsi="Arial" w:cs="Arial"/>
                <w:sz w:val="16"/>
                <w:szCs w:val="16"/>
              </w:rPr>
              <w:t>2022-23 Forward estimate</w:t>
            </w:r>
            <w:r w:rsidRPr="008E235E">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24BE982C" w14:textId="77777777" w:rsidR="008E235E" w:rsidRPr="008E235E" w:rsidRDefault="008E235E" w:rsidP="008E235E">
            <w:pPr>
              <w:spacing w:after="0" w:line="240" w:lineRule="auto"/>
              <w:jc w:val="right"/>
              <w:rPr>
                <w:rFonts w:ascii="Arial" w:hAnsi="Arial" w:cs="Arial"/>
                <w:sz w:val="16"/>
                <w:szCs w:val="16"/>
              </w:rPr>
            </w:pPr>
            <w:r w:rsidRPr="008E235E">
              <w:rPr>
                <w:rFonts w:ascii="Arial" w:hAnsi="Arial" w:cs="Arial"/>
                <w:sz w:val="16"/>
                <w:szCs w:val="16"/>
              </w:rPr>
              <w:t>2023-24 Forward estimate</w:t>
            </w:r>
            <w:r w:rsidRPr="008E235E">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3EE09B4A" w14:textId="77777777" w:rsidR="008E235E" w:rsidRPr="008E235E" w:rsidRDefault="008E235E" w:rsidP="008E235E">
            <w:pPr>
              <w:spacing w:after="0" w:line="240" w:lineRule="auto"/>
              <w:jc w:val="right"/>
              <w:rPr>
                <w:rFonts w:ascii="Arial" w:hAnsi="Arial" w:cs="Arial"/>
                <w:sz w:val="16"/>
                <w:szCs w:val="16"/>
              </w:rPr>
            </w:pPr>
            <w:r w:rsidRPr="008E235E">
              <w:rPr>
                <w:rFonts w:ascii="Arial" w:hAnsi="Arial" w:cs="Arial"/>
                <w:sz w:val="16"/>
                <w:szCs w:val="16"/>
              </w:rPr>
              <w:t>2024-25</w:t>
            </w:r>
            <w:r w:rsidRPr="008E235E">
              <w:rPr>
                <w:rFonts w:ascii="Arial" w:hAnsi="Arial" w:cs="Arial"/>
                <w:sz w:val="16"/>
                <w:szCs w:val="16"/>
              </w:rPr>
              <w:br/>
              <w:t>Forward estimate</w:t>
            </w:r>
            <w:r w:rsidRPr="008E235E">
              <w:rPr>
                <w:rFonts w:ascii="Arial" w:hAnsi="Arial" w:cs="Arial"/>
                <w:sz w:val="16"/>
                <w:szCs w:val="16"/>
              </w:rPr>
              <w:br/>
              <w:t>$'000</w:t>
            </w:r>
          </w:p>
        </w:tc>
      </w:tr>
      <w:tr w:rsidR="008E235E" w:rsidRPr="008E235E" w14:paraId="2CE0C5A0" w14:textId="77777777" w:rsidTr="008E235E">
        <w:trPr>
          <w:trHeight w:val="204"/>
        </w:trPr>
        <w:tc>
          <w:tcPr>
            <w:tcW w:w="2856" w:type="dxa"/>
            <w:tcBorders>
              <w:top w:val="nil"/>
              <w:left w:val="nil"/>
              <w:bottom w:val="nil"/>
              <w:right w:val="nil"/>
            </w:tcBorders>
            <w:shd w:val="clear" w:color="auto" w:fill="auto"/>
            <w:noWrap/>
            <w:vAlign w:val="center"/>
            <w:hideMark/>
          </w:tcPr>
          <w:p w14:paraId="53AB6BC1" w14:textId="77777777" w:rsidR="008E235E" w:rsidRPr="008E235E" w:rsidRDefault="008E235E" w:rsidP="008E235E">
            <w:pPr>
              <w:spacing w:after="0" w:line="240" w:lineRule="auto"/>
              <w:jc w:val="left"/>
              <w:rPr>
                <w:rFonts w:ascii="Arial" w:hAnsi="Arial" w:cs="Arial"/>
                <w:b/>
                <w:bCs/>
                <w:color w:val="000000"/>
                <w:sz w:val="16"/>
                <w:szCs w:val="16"/>
              </w:rPr>
            </w:pPr>
            <w:r w:rsidRPr="008E235E">
              <w:rPr>
                <w:rFonts w:ascii="Arial" w:hAnsi="Arial" w:cs="Arial"/>
                <w:b/>
                <w:bCs/>
                <w:color w:val="000000"/>
                <w:sz w:val="16"/>
                <w:szCs w:val="16"/>
              </w:rPr>
              <w:t>OPERATING ACTIVITIES</w:t>
            </w:r>
          </w:p>
        </w:tc>
        <w:tc>
          <w:tcPr>
            <w:tcW w:w="876" w:type="dxa"/>
            <w:tcBorders>
              <w:top w:val="nil"/>
              <w:left w:val="nil"/>
              <w:bottom w:val="nil"/>
              <w:right w:val="nil"/>
            </w:tcBorders>
            <w:shd w:val="clear" w:color="auto" w:fill="auto"/>
            <w:noWrap/>
            <w:vAlign w:val="bottom"/>
            <w:hideMark/>
          </w:tcPr>
          <w:p w14:paraId="72519D62" w14:textId="77777777" w:rsidR="008E235E" w:rsidRPr="008E235E" w:rsidRDefault="008E235E" w:rsidP="00216C12">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400FA360" w14:textId="3AE62E17" w:rsidR="008E235E" w:rsidRPr="008E235E" w:rsidRDefault="008E235E" w:rsidP="00216C12">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2FB6D92" w14:textId="77777777" w:rsidR="008E235E" w:rsidRPr="008E235E" w:rsidRDefault="008E235E" w:rsidP="00216C12">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2A74FC1" w14:textId="77777777" w:rsidR="008E235E" w:rsidRPr="008E235E" w:rsidRDefault="008E235E" w:rsidP="00216C12">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17AB9787" w14:textId="77777777" w:rsidR="008E235E" w:rsidRPr="008E235E" w:rsidRDefault="008E235E" w:rsidP="00216C12">
            <w:pPr>
              <w:spacing w:after="0" w:line="240" w:lineRule="auto"/>
              <w:jc w:val="right"/>
              <w:rPr>
                <w:rFonts w:ascii="Times New Roman" w:hAnsi="Times New Roman"/>
              </w:rPr>
            </w:pPr>
          </w:p>
        </w:tc>
      </w:tr>
      <w:tr w:rsidR="008E235E" w:rsidRPr="008E235E" w14:paraId="25280A35" w14:textId="77777777" w:rsidTr="008E235E">
        <w:trPr>
          <w:trHeight w:val="204"/>
        </w:trPr>
        <w:tc>
          <w:tcPr>
            <w:tcW w:w="2856" w:type="dxa"/>
            <w:tcBorders>
              <w:top w:val="nil"/>
              <w:left w:val="nil"/>
              <w:bottom w:val="nil"/>
              <w:right w:val="nil"/>
            </w:tcBorders>
            <w:shd w:val="clear" w:color="auto" w:fill="auto"/>
            <w:noWrap/>
            <w:vAlign w:val="center"/>
            <w:hideMark/>
          </w:tcPr>
          <w:p w14:paraId="460A4BB7" w14:textId="77777777" w:rsidR="008E235E" w:rsidRPr="008E235E" w:rsidRDefault="008E235E" w:rsidP="008E235E">
            <w:pPr>
              <w:spacing w:after="0" w:line="240" w:lineRule="auto"/>
              <w:jc w:val="left"/>
              <w:rPr>
                <w:rFonts w:ascii="Arial" w:hAnsi="Arial" w:cs="Arial"/>
                <w:b/>
                <w:bCs/>
                <w:color w:val="000000"/>
                <w:sz w:val="16"/>
                <w:szCs w:val="16"/>
              </w:rPr>
            </w:pPr>
            <w:r w:rsidRPr="008E235E">
              <w:rPr>
                <w:rFonts w:ascii="Arial" w:hAnsi="Arial" w:cs="Arial"/>
                <w:b/>
                <w:bCs/>
                <w:color w:val="000000"/>
                <w:sz w:val="16"/>
                <w:szCs w:val="16"/>
              </w:rPr>
              <w:t>Cash received</w:t>
            </w:r>
          </w:p>
        </w:tc>
        <w:tc>
          <w:tcPr>
            <w:tcW w:w="876" w:type="dxa"/>
            <w:tcBorders>
              <w:top w:val="nil"/>
              <w:left w:val="nil"/>
              <w:bottom w:val="nil"/>
              <w:right w:val="nil"/>
            </w:tcBorders>
            <w:shd w:val="clear" w:color="auto" w:fill="auto"/>
            <w:noWrap/>
            <w:vAlign w:val="bottom"/>
            <w:hideMark/>
          </w:tcPr>
          <w:p w14:paraId="140774FD" w14:textId="77777777" w:rsidR="008E235E" w:rsidRPr="008E235E" w:rsidRDefault="008E235E" w:rsidP="00216C12">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7D1FC8A7" w14:textId="2B82EB91" w:rsidR="008E235E" w:rsidRPr="008E235E" w:rsidRDefault="008E235E" w:rsidP="00216C12">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7619818" w14:textId="77777777" w:rsidR="008E235E" w:rsidRPr="008E235E" w:rsidRDefault="008E235E" w:rsidP="00216C12">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6149A14" w14:textId="77777777" w:rsidR="008E235E" w:rsidRPr="008E235E" w:rsidRDefault="008E235E" w:rsidP="00216C12">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5F679E12" w14:textId="77777777" w:rsidR="008E235E" w:rsidRPr="008E235E" w:rsidRDefault="008E235E" w:rsidP="00216C12">
            <w:pPr>
              <w:spacing w:after="0" w:line="240" w:lineRule="auto"/>
              <w:jc w:val="right"/>
              <w:rPr>
                <w:rFonts w:ascii="Times New Roman" w:hAnsi="Times New Roman"/>
              </w:rPr>
            </w:pPr>
          </w:p>
        </w:tc>
      </w:tr>
      <w:tr w:rsidR="008E235E" w:rsidRPr="008E235E" w14:paraId="30FBCBE9" w14:textId="77777777" w:rsidTr="008E235E">
        <w:trPr>
          <w:trHeight w:val="204"/>
        </w:trPr>
        <w:tc>
          <w:tcPr>
            <w:tcW w:w="2856" w:type="dxa"/>
            <w:tcBorders>
              <w:top w:val="nil"/>
              <w:left w:val="nil"/>
              <w:bottom w:val="nil"/>
              <w:right w:val="nil"/>
            </w:tcBorders>
            <w:shd w:val="clear" w:color="auto" w:fill="auto"/>
            <w:noWrap/>
            <w:vAlign w:val="center"/>
            <w:hideMark/>
          </w:tcPr>
          <w:p w14:paraId="0C1C5BCA" w14:textId="77777777" w:rsidR="008E235E" w:rsidRPr="008E235E" w:rsidRDefault="008E235E" w:rsidP="008E235E">
            <w:pPr>
              <w:spacing w:after="0" w:line="240" w:lineRule="auto"/>
              <w:ind w:left="113"/>
              <w:jc w:val="left"/>
              <w:rPr>
                <w:rFonts w:ascii="Arial" w:hAnsi="Arial" w:cs="Arial"/>
                <w:color w:val="000000"/>
                <w:sz w:val="16"/>
                <w:szCs w:val="16"/>
              </w:rPr>
            </w:pPr>
            <w:r w:rsidRPr="008E235E">
              <w:rPr>
                <w:rFonts w:ascii="Arial" w:hAnsi="Arial" w:cs="Arial"/>
                <w:color w:val="000000"/>
                <w:sz w:val="16"/>
                <w:szCs w:val="16"/>
              </w:rPr>
              <w:t>Appropriations</w:t>
            </w:r>
          </w:p>
        </w:tc>
        <w:tc>
          <w:tcPr>
            <w:tcW w:w="876" w:type="dxa"/>
            <w:tcBorders>
              <w:top w:val="nil"/>
              <w:left w:val="nil"/>
              <w:bottom w:val="nil"/>
              <w:right w:val="nil"/>
            </w:tcBorders>
            <w:shd w:val="clear" w:color="auto" w:fill="auto"/>
            <w:noWrap/>
            <w:vAlign w:val="bottom"/>
            <w:hideMark/>
          </w:tcPr>
          <w:p w14:paraId="36FA0144" w14:textId="5893F0E4"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128,424</w:t>
            </w:r>
          </w:p>
        </w:tc>
        <w:tc>
          <w:tcPr>
            <w:tcW w:w="877" w:type="dxa"/>
            <w:tcBorders>
              <w:top w:val="nil"/>
              <w:left w:val="nil"/>
              <w:bottom w:val="nil"/>
              <w:right w:val="nil"/>
            </w:tcBorders>
            <w:shd w:val="clear" w:color="000000" w:fill="E6E6E6"/>
            <w:noWrap/>
            <w:vAlign w:val="bottom"/>
            <w:hideMark/>
          </w:tcPr>
          <w:p w14:paraId="300F5FFA" w14:textId="3E8D4527"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122,082</w:t>
            </w:r>
          </w:p>
        </w:tc>
        <w:tc>
          <w:tcPr>
            <w:tcW w:w="877" w:type="dxa"/>
            <w:tcBorders>
              <w:top w:val="nil"/>
              <w:left w:val="nil"/>
              <w:bottom w:val="nil"/>
              <w:right w:val="nil"/>
            </w:tcBorders>
            <w:shd w:val="clear" w:color="auto" w:fill="auto"/>
            <w:noWrap/>
            <w:vAlign w:val="bottom"/>
            <w:hideMark/>
          </w:tcPr>
          <w:p w14:paraId="58E1BE3B" w14:textId="4CA2B957"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74,609</w:t>
            </w:r>
          </w:p>
        </w:tc>
        <w:tc>
          <w:tcPr>
            <w:tcW w:w="877" w:type="dxa"/>
            <w:tcBorders>
              <w:top w:val="nil"/>
              <w:left w:val="nil"/>
              <w:bottom w:val="nil"/>
              <w:right w:val="nil"/>
            </w:tcBorders>
            <w:shd w:val="clear" w:color="auto" w:fill="auto"/>
            <w:noWrap/>
            <w:vAlign w:val="bottom"/>
            <w:hideMark/>
          </w:tcPr>
          <w:p w14:paraId="674BB10D" w14:textId="19AD2616"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73,183</w:t>
            </w:r>
          </w:p>
        </w:tc>
        <w:tc>
          <w:tcPr>
            <w:tcW w:w="877" w:type="dxa"/>
            <w:tcBorders>
              <w:top w:val="nil"/>
              <w:left w:val="nil"/>
              <w:bottom w:val="nil"/>
              <w:right w:val="nil"/>
            </w:tcBorders>
            <w:shd w:val="clear" w:color="auto" w:fill="auto"/>
            <w:noWrap/>
            <w:vAlign w:val="bottom"/>
            <w:hideMark/>
          </w:tcPr>
          <w:p w14:paraId="5DD434D6" w14:textId="229AC78D"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40,903</w:t>
            </w:r>
          </w:p>
        </w:tc>
      </w:tr>
      <w:tr w:rsidR="008E235E" w:rsidRPr="008E235E" w14:paraId="39B3EA2E" w14:textId="77777777" w:rsidTr="008E235E">
        <w:trPr>
          <w:trHeight w:val="204"/>
        </w:trPr>
        <w:tc>
          <w:tcPr>
            <w:tcW w:w="2856" w:type="dxa"/>
            <w:tcBorders>
              <w:top w:val="nil"/>
              <w:left w:val="nil"/>
              <w:bottom w:val="nil"/>
              <w:right w:val="nil"/>
            </w:tcBorders>
            <w:shd w:val="clear" w:color="auto" w:fill="auto"/>
            <w:noWrap/>
            <w:vAlign w:val="center"/>
            <w:hideMark/>
          </w:tcPr>
          <w:p w14:paraId="46CA7F23" w14:textId="77777777" w:rsidR="008E235E" w:rsidRPr="008E235E" w:rsidRDefault="008E235E" w:rsidP="008E235E">
            <w:pPr>
              <w:spacing w:after="0" w:line="240" w:lineRule="auto"/>
              <w:ind w:left="113"/>
              <w:jc w:val="left"/>
              <w:rPr>
                <w:rFonts w:ascii="Arial" w:hAnsi="Arial" w:cs="Arial"/>
                <w:color w:val="000000"/>
                <w:sz w:val="16"/>
                <w:szCs w:val="16"/>
              </w:rPr>
            </w:pPr>
            <w:r w:rsidRPr="008E235E">
              <w:rPr>
                <w:rFonts w:ascii="Arial" w:hAnsi="Arial" w:cs="Arial"/>
                <w:color w:val="000000"/>
                <w:sz w:val="16"/>
                <w:szCs w:val="16"/>
              </w:rPr>
              <w:t>Receipts from Government</w:t>
            </w:r>
          </w:p>
        </w:tc>
        <w:tc>
          <w:tcPr>
            <w:tcW w:w="876" w:type="dxa"/>
            <w:tcBorders>
              <w:top w:val="nil"/>
              <w:left w:val="nil"/>
              <w:bottom w:val="nil"/>
              <w:right w:val="nil"/>
            </w:tcBorders>
            <w:shd w:val="clear" w:color="auto" w:fill="auto"/>
            <w:noWrap/>
            <w:vAlign w:val="bottom"/>
            <w:hideMark/>
          </w:tcPr>
          <w:p w14:paraId="617C4538" w14:textId="26E6307C"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68,193</w:t>
            </w:r>
          </w:p>
        </w:tc>
        <w:tc>
          <w:tcPr>
            <w:tcW w:w="877" w:type="dxa"/>
            <w:tcBorders>
              <w:top w:val="nil"/>
              <w:left w:val="nil"/>
              <w:bottom w:val="nil"/>
              <w:right w:val="nil"/>
            </w:tcBorders>
            <w:shd w:val="clear" w:color="000000" w:fill="E6E6E6"/>
            <w:noWrap/>
            <w:vAlign w:val="bottom"/>
            <w:hideMark/>
          </w:tcPr>
          <w:p w14:paraId="77785792" w14:textId="67DECABA"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84,048</w:t>
            </w:r>
          </w:p>
        </w:tc>
        <w:tc>
          <w:tcPr>
            <w:tcW w:w="877" w:type="dxa"/>
            <w:tcBorders>
              <w:top w:val="nil"/>
              <w:left w:val="nil"/>
              <w:bottom w:val="nil"/>
              <w:right w:val="nil"/>
            </w:tcBorders>
            <w:shd w:val="clear" w:color="auto" w:fill="auto"/>
            <w:noWrap/>
            <w:vAlign w:val="bottom"/>
            <w:hideMark/>
          </w:tcPr>
          <w:p w14:paraId="5EC48143" w14:textId="69143EEC"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105,265</w:t>
            </w:r>
          </w:p>
        </w:tc>
        <w:tc>
          <w:tcPr>
            <w:tcW w:w="877" w:type="dxa"/>
            <w:tcBorders>
              <w:top w:val="nil"/>
              <w:left w:val="nil"/>
              <w:bottom w:val="nil"/>
              <w:right w:val="nil"/>
            </w:tcBorders>
            <w:shd w:val="clear" w:color="auto" w:fill="auto"/>
            <w:noWrap/>
            <w:vAlign w:val="bottom"/>
            <w:hideMark/>
          </w:tcPr>
          <w:p w14:paraId="339FBFAE" w14:textId="48BEDF84"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107,562</w:t>
            </w:r>
          </w:p>
        </w:tc>
        <w:tc>
          <w:tcPr>
            <w:tcW w:w="877" w:type="dxa"/>
            <w:tcBorders>
              <w:top w:val="nil"/>
              <w:left w:val="nil"/>
              <w:bottom w:val="nil"/>
              <w:right w:val="nil"/>
            </w:tcBorders>
            <w:shd w:val="clear" w:color="auto" w:fill="auto"/>
            <w:noWrap/>
            <w:vAlign w:val="bottom"/>
            <w:hideMark/>
          </w:tcPr>
          <w:p w14:paraId="128955F9" w14:textId="5D91A77D"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112,265</w:t>
            </w:r>
          </w:p>
        </w:tc>
      </w:tr>
      <w:tr w:rsidR="008E235E" w:rsidRPr="008E235E" w14:paraId="5E20FEB4" w14:textId="77777777" w:rsidTr="008E235E">
        <w:trPr>
          <w:trHeight w:val="204"/>
        </w:trPr>
        <w:tc>
          <w:tcPr>
            <w:tcW w:w="2856" w:type="dxa"/>
            <w:tcBorders>
              <w:top w:val="nil"/>
              <w:left w:val="nil"/>
              <w:bottom w:val="nil"/>
              <w:right w:val="nil"/>
            </w:tcBorders>
            <w:shd w:val="clear" w:color="auto" w:fill="auto"/>
            <w:vAlign w:val="center"/>
            <w:hideMark/>
          </w:tcPr>
          <w:p w14:paraId="462BAD71" w14:textId="50BE73F5" w:rsidR="008E235E" w:rsidRPr="008E235E" w:rsidRDefault="008E235E" w:rsidP="008E235E">
            <w:pPr>
              <w:spacing w:after="0" w:line="240" w:lineRule="auto"/>
              <w:ind w:left="113"/>
              <w:jc w:val="left"/>
              <w:rPr>
                <w:rFonts w:ascii="Arial" w:hAnsi="Arial" w:cs="Arial"/>
                <w:color w:val="000000"/>
                <w:sz w:val="16"/>
                <w:szCs w:val="16"/>
              </w:rPr>
            </w:pPr>
            <w:r w:rsidRPr="008E235E">
              <w:rPr>
                <w:rFonts w:ascii="Arial" w:hAnsi="Arial" w:cs="Arial"/>
                <w:color w:val="000000"/>
                <w:sz w:val="16"/>
                <w:szCs w:val="16"/>
              </w:rPr>
              <w:t>Sale of goods and rendering of</w:t>
            </w:r>
            <w:r>
              <w:rPr>
                <w:rFonts w:ascii="Arial" w:hAnsi="Arial" w:cs="Arial"/>
                <w:color w:val="000000"/>
                <w:sz w:val="16"/>
                <w:szCs w:val="16"/>
              </w:rPr>
              <w:t xml:space="preserve"> </w:t>
            </w:r>
            <w:r w:rsidRPr="008E235E">
              <w:rPr>
                <w:rFonts w:ascii="Arial" w:hAnsi="Arial" w:cs="Arial"/>
                <w:color w:val="000000"/>
                <w:sz w:val="16"/>
                <w:szCs w:val="16"/>
              </w:rPr>
              <w:t>services</w:t>
            </w:r>
          </w:p>
        </w:tc>
        <w:tc>
          <w:tcPr>
            <w:tcW w:w="876" w:type="dxa"/>
            <w:tcBorders>
              <w:top w:val="nil"/>
              <w:left w:val="nil"/>
              <w:bottom w:val="nil"/>
              <w:right w:val="nil"/>
            </w:tcBorders>
            <w:shd w:val="clear" w:color="auto" w:fill="auto"/>
            <w:noWrap/>
            <w:vAlign w:val="bottom"/>
            <w:hideMark/>
          </w:tcPr>
          <w:p w14:paraId="14A9B3E0" w14:textId="37D34CC3"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13,596</w:t>
            </w:r>
          </w:p>
        </w:tc>
        <w:tc>
          <w:tcPr>
            <w:tcW w:w="877" w:type="dxa"/>
            <w:tcBorders>
              <w:top w:val="nil"/>
              <w:left w:val="nil"/>
              <w:bottom w:val="nil"/>
              <w:right w:val="nil"/>
            </w:tcBorders>
            <w:shd w:val="clear" w:color="000000" w:fill="E6E6E6"/>
            <w:noWrap/>
            <w:vAlign w:val="bottom"/>
            <w:hideMark/>
          </w:tcPr>
          <w:p w14:paraId="4D665A76" w14:textId="4034B353"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9,289</w:t>
            </w:r>
          </w:p>
        </w:tc>
        <w:tc>
          <w:tcPr>
            <w:tcW w:w="877" w:type="dxa"/>
            <w:tcBorders>
              <w:top w:val="nil"/>
              <w:left w:val="nil"/>
              <w:bottom w:val="nil"/>
              <w:right w:val="nil"/>
            </w:tcBorders>
            <w:shd w:val="clear" w:color="auto" w:fill="auto"/>
            <w:noWrap/>
            <w:vAlign w:val="bottom"/>
            <w:hideMark/>
          </w:tcPr>
          <w:p w14:paraId="6AA942A5" w14:textId="40D052DD"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34,228</w:t>
            </w:r>
          </w:p>
        </w:tc>
        <w:tc>
          <w:tcPr>
            <w:tcW w:w="877" w:type="dxa"/>
            <w:tcBorders>
              <w:top w:val="nil"/>
              <w:left w:val="nil"/>
              <w:bottom w:val="nil"/>
              <w:right w:val="nil"/>
            </w:tcBorders>
            <w:shd w:val="clear" w:color="auto" w:fill="auto"/>
            <w:noWrap/>
            <w:vAlign w:val="bottom"/>
            <w:hideMark/>
          </w:tcPr>
          <w:p w14:paraId="7A6EB5B7" w14:textId="1307CEB7"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34,614</w:t>
            </w:r>
          </w:p>
        </w:tc>
        <w:tc>
          <w:tcPr>
            <w:tcW w:w="877" w:type="dxa"/>
            <w:tcBorders>
              <w:top w:val="nil"/>
              <w:left w:val="nil"/>
              <w:bottom w:val="nil"/>
              <w:right w:val="nil"/>
            </w:tcBorders>
            <w:shd w:val="clear" w:color="auto" w:fill="auto"/>
            <w:noWrap/>
            <w:vAlign w:val="bottom"/>
            <w:hideMark/>
          </w:tcPr>
          <w:p w14:paraId="043E1E67" w14:textId="2D920192"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36,730</w:t>
            </w:r>
          </w:p>
        </w:tc>
      </w:tr>
      <w:tr w:rsidR="008E235E" w:rsidRPr="008E235E" w14:paraId="0390B5BA" w14:textId="77777777" w:rsidTr="008E235E">
        <w:trPr>
          <w:trHeight w:val="204"/>
        </w:trPr>
        <w:tc>
          <w:tcPr>
            <w:tcW w:w="2856" w:type="dxa"/>
            <w:tcBorders>
              <w:top w:val="nil"/>
              <w:left w:val="nil"/>
              <w:bottom w:val="nil"/>
              <w:right w:val="nil"/>
            </w:tcBorders>
            <w:shd w:val="clear" w:color="auto" w:fill="auto"/>
            <w:noWrap/>
            <w:vAlign w:val="center"/>
            <w:hideMark/>
          </w:tcPr>
          <w:p w14:paraId="32D81C74" w14:textId="77777777" w:rsidR="008E235E" w:rsidRPr="008E235E" w:rsidRDefault="008E235E" w:rsidP="008E235E">
            <w:pPr>
              <w:spacing w:after="0" w:line="240" w:lineRule="auto"/>
              <w:ind w:left="113"/>
              <w:jc w:val="left"/>
              <w:rPr>
                <w:rFonts w:ascii="Arial" w:hAnsi="Arial" w:cs="Arial"/>
                <w:color w:val="000000"/>
                <w:sz w:val="16"/>
                <w:szCs w:val="16"/>
              </w:rPr>
            </w:pPr>
            <w:r w:rsidRPr="008E235E">
              <w:rPr>
                <w:rFonts w:ascii="Arial" w:hAnsi="Arial" w:cs="Arial"/>
                <w:color w:val="000000"/>
                <w:sz w:val="16"/>
                <w:szCs w:val="16"/>
              </w:rPr>
              <w:t>Interest</w:t>
            </w:r>
          </w:p>
        </w:tc>
        <w:tc>
          <w:tcPr>
            <w:tcW w:w="876" w:type="dxa"/>
            <w:tcBorders>
              <w:top w:val="nil"/>
              <w:left w:val="nil"/>
              <w:bottom w:val="nil"/>
              <w:right w:val="nil"/>
            </w:tcBorders>
            <w:shd w:val="clear" w:color="auto" w:fill="auto"/>
            <w:noWrap/>
            <w:vAlign w:val="bottom"/>
            <w:hideMark/>
          </w:tcPr>
          <w:p w14:paraId="27C8588C" w14:textId="555315A1"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345</w:t>
            </w:r>
          </w:p>
        </w:tc>
        <w:tc>
          <w:tcPr>
            <w:tcW w:w="877" w:type="dxa"/>
            <w:tcBorders>
              <w:top w:val="nil"/>
              <w:left w:val="nil"/>
              <w:bottom w:val="nil"/>
              <w:right w:val="nil"/>
            </w:tcBorders>
            <w:shd w:val="clear" w:color="000000" w:fill="E6E6E6"/>
            <w:noWrap/>
            <w:vAlign w:val="bottom"/>
            <w:hideMark/>
          </w:tcPr>
          <w:p w14:paraId="4BF9B47F" w14:textId="6F71A84A"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148</w:t>
            </w:r>
          </w:p>
        </w:tc>
        <w:tc>
          <w:tcPr>
            <w:tcW w:w="877" w:type="dxa"/>
            <w:tcBorders>
              <w:top w:val="nil"/>
              <w:left w:val="nil"/>
              <w:bottom w:val="nil"/>
              <w:right w:val="nil"/>
            </w:tcBorders>
            <w:shd w:val="clear" w:color="auto" w:fill="auto"/>
            <w:noWrap/>
            <w:vAlign w:val="bottom"/>
            <w:hideMark/>
          </w:tcPr>
          <w:p w14:paraId="458E4A79" w14:textId="765200D0"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182</w:t>
            </w:r>
          </w:p>
        </w:tc>
        <w:tc>
          <w:tcPr>
            <w:tcW w:w="877" w:type="dxa"/>
            <w:tcBorders>
              <w:top w:val="nil"/>
              <w:left w:val="nil"/>
              <w:bottom w:val="nil"/>
              <w:right w:val="nil"/>
            </w:tcBorders>
            <w:shd w:val="clear" w:color="auto" w:fill="auto"/>
            <w:noWrap/>
            <w:vAlign w:val="bottom"/>
            <w:hideMark/>
          </w:tcPr>
          <w:p w14:paraId="7ECBD1BB" w14:textId="42F614FD"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270</w:t>
            </w:r>
          </w:p>
        </w:tc>
        <w:tc>
          <w:tcPr>
            <w:tcW w:w="877" w:type="dxa"/>
            <w:tcBorders>
              <w:top w:val="nil"/>
              <w:left w:val="nil"/>
              <w:bottom w:val="nil"/>
              <w:right w:val="nil"/>
            </w:tcBorders>
            <w:shd w:val="clear" w:color="auto" w:fill="auto"/>
            <w:noWrap/>
            <w:vAlign w:val="bottom"/>
            <w:hideMark/>
          </w:tcPr>
          <w:p w14:paraId="6C39E19A" w14:textId="758FF743"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459</w:t>
            </w:r>
          </w:p>
        </w:tc>
      </w:tr>
      <w:tr w:rsidR="008E235E" w:rsidRPr="008E235E" w14:paraId="0594699B" w14:textId="77777777" w:rsidTr="008E235E">
        <w:trPr>
          <w:trHeight w:val="204"/>
        </w:trPr>
        <w:tc>
          <w:tcPr>
            <w:tcW w:w="2856" w:type="dxa"/>
            <w:tcBorders>
              <w:top w:val="nil"/>
              <w:left w:val="nil"/>
              <w:bottom w:val="nil"/>
              <w:right w:val="nil"/>
            </w:tcBorders>
            <w:shd w:val="clear" w:color="auto" w:fill="auto"/>
            <w:noWrap/>
            <w:vAlign w:val="center"/>
            <w:hideMark/>
          </w:tcPr>
          <w:p w14:paraId="61985FE2" w14:textId="77777777" w:rsidR="008E235E" w:rsidRPr="008E235E" w:rsidRDefault="008E235E" w:rsidP="008E235E">
            <w:pPr>
              <w:spacing w:after="0" w:line="240" w:lineRule="auto"/>
              <w:ind w:left="113"/>
              <w:jc w:val="left"/>
              <w:rPr>
                <w:rFonts w:ascii="Arial" w:hAnsi="Arial" w:cs="Arial"/>
                <w:color w:val="000000"/>
                <w:sz w:val="16"/>
                <w:szCs w:val="16"/>
              </w:rPr>
            </w:pPr>
            <w:r w:rsidRPr="008E235E">
              <w:rPr>
                <w:rFonts w:ascii="Arial" w:hAnsi="Arial" w:cs="Arial"/>
                <w:color w:val="000000"/>
                <w:sz w:val="16"/>
                <w:szCs w:val="16"/>
              </w:rPr>
              <w:t>Net GST received</w:t>
            </w:r>
          </w:p>
        </w:tc>
        <w:tc>
          <w:tcPr>
            <w:tcW w:w="876" w:type="dxa"/>
            <w:tcBorders>
              <w:top w:val="nil"/>
              <w:left w:val="nil"/>
              <w:bottom w:val="nil"/>
              <w:right w:val="nil"/>
            </w:tcBorders>
            <w:shd w:val="clear" w:color="auto" w:fill="auto"/>
            <w:noWrap/>
            <w:vAlign w:val="bottom"/>
            <w:hideMark/>
          </w:tcPr>
          <w:p w14:paraId="2DA34D99" w14:textId="2F0DBEE0"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5,886</w:t>
            </w:r>
          </w:p>
        </w:tc>
        <w:tc>
          <w:tcPr>
            <w:tcW w:w="877" w:type="dxa"/>
            <w:tcBorders>
              <w:top w:val="nil"/>
              <w:left w:val="nil"/>
              <w:bottom w:val="nil"/>
              <w:right w:val="nil"/>
            </w:tcBorders>
            <w:shd w:val="clear" w:color="000000" w:fill="E6E6E6"/>
            <w:noWrap/>
            <w:vAlign w:val="bottom"/>
            <w:hideMark/>
          </w:tcPr>
          <w:p w14:paraId="6CE4C105" w14:textId="3D6062D4"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5,111</w:t>
            </w:r>
          </w:p>
        </w:tc>
        <w:tc>
          <w:tcPr>
            <w:tcW w:w="877" w:type="dxa"/>
            <w:tcBorders>
              <w:top w:val="nil"/>
              <w:left w:val="nil"/>
              <w:bottom w:val="nil"/>
              <w:right w:val="nil"/>
            </w:tcBorders>
            <w:shd w:val="clear" w:color="auto" w:fill="auto"/>
            <w:noWrap/>
            <w:vAlign w:val="bottom"/>
            <w:hideMark/>
          </w:tcPr>
          <w:p w14:paraId="1ECDBFE0" w14:textId="35BC357C"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4,817</w:t>
            </w:r>
          </w:p>
        </w:tc>
        <w:tc>
          <w:tcPr>
            <w:tcW w:w="877" w:type="dxa"/>
            <w:tcBorders>
              <w:top w:val="nil"/>
              <w:left w:val="nil"/>
              <w:bottom w:val="nil"/>
              <w:right w:val="nil"/>
            </w:tcBorders>
            <w:shd w:val="clear" w:color="auto" w:fill="auto"/>
            <w:noWrap/>
            <w:vAlign w:val="bottom"/>
            <w:hideMark/>
          </w:tcPr>
          <w:p w14:paraId="5646ACF2" w14:textId="105CA10E"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4,721</w:t>
            </w:r>
          </w:p>
        </w:tc>
        <w:tc>
          <w:tcPr>
            <w:tcW w:w="877" w:type="dxa"/>
            <w:tcBorders>
              <w:top w:val="nil"/>
              <w:left w:val="nil"/>
              <w:bottom w:val="nil"/>
              <w:right w:val="nil"/>
            </w:tcBorders>
            <w:shd w:val="clear" w:color="auto" w:fill="auto"/>
            <w:noWrap/>
            <w:vAlign w:val="bottom"/>
            <w:hideMark/>
          </w:tcPr>
          <w:p w14:paraId="70659F12" w14:textId="4C9B42BE"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4,849</w:t>
            </w:r>
          </w:p>
        </w:tc>
      </w:tr>
      <w:tr w:rsidR="008E235E" w:rsidRPr="008E235E" w14:paraId="679CCA9A" w14:textId="77777777" w:rsidTr="008E235E">
        <w:trPr>
          <w:trHeight w:val="204"/>
        </w:trPr>
        <w:tc>
          <w:tcPr>
            <w:tcW w:w="2856" w:type="dxa"/>
            <w:tcBorders>
              <w:top w:val="nil"/>
              <w:left w:val="nil"/>
              <w:bottom w:val="nil"/>
              <w:right w:val="nil"/>
            </w:tcBorders>
            <w:shd w:val="clear" w:color="auto" w:fill="auto"/>
            <w:noWrap/>
            <w:vAlign w:val="center"/>
            <w:hideMark/>
          </w:tcPr>
          <w:p w14:paraId="29A420B9" w14:textId="77777777" w:rsidR="008E235E" w:rsidRPr="008E235E" w:rsidRDefault="008E235E" w:rsidP="008E235E">
            <w:pPr>
              <w:spacing w:after="0" w:line="240" w:lineRule="auto"/>
              <w:ind w:left="113"/>
              <w:jc w:val="left"/>
              <w:rPr>
                <w:rFonts w:ascii="Arial" w:hAnsi="Arial" w:cs="Arial"/>
                <w:color w:val="000000"/>
                <w:sz w:val="16"/>
                <w:szCs w:val="16"/>
              </w:rPr>
            </w:pPr>
            <w:r w:rsidRPr="008E235E">
              <w:rPr>
                <w:rFonts w:ascii="Arial" w:hAnsi="Arial" w:cs="Arial"/>
                <w:color w:val="000000"/>
                <w:sz w:val="16"/>
                <w:szCs w:val="16"/>
              </w:rPr>
              <w:t xml:space="preserve">Other </w:t>
            </w:r>
          </w:p>
        </w:tc>
        <w:tc>
          <w:tcPr>
            <w:tcW w:w="876" w:type="dxa"/>
            <w:tcBorders>
              <w:top w:val="nil"/>
              <w:left w:val="nil"/>
              <w:bottom w:val="nil"/>
              <w:right w:val="nil"/>
            </w:tcBorders>
            <w:shd w:val="clear" w:color="auto" w:fill="auto"/>
            <w:noWrap/>
            <w:vAlign w:val="bottom"/>
            <w:hideMark/>
          </w:tcPr>
          <w:p w14:paraId="188822A4" w14:textId="7B5C56C0"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w:t>
            </w:r>
          </w:p>
        </w:tc>
        <w:tc>
          <w:tcPr>
            <w:tcW w:w="877" w:type="dxa"/>
            <w:tcBorders>
              <w:top w:val="nil"/>
              <w:left w:val="nil"/>
              <w:bottom w:val="nil"/>
              <w:right w:val="nil"/>
            </w:tcBorders>
            <w:shd w:val="clear" w:color="000000" w:fill="E6E6E6"/>
            <w:noWrap/>
            <w:vAlign w:val="bottom"/>
            <w:hideMark/>
          </w:tcPr>
          <w:p w14:paraId="39A5A15B" w14:textId="2078FAE3"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1,009</w:t>
            </w:r>
          </w:p>
        </w:tc>
        <w:tc>
          <w:tcPr>
            <w:tcW w:w="877" w:type="dxa"/>
            <w:tcBorders>
              <w:top w:val="nil"/>
              <w:left w:val="nil"/>
              <w:bottom w:val="nil"/>
              <w:right w:val="nil"/>
            </w:tcBorders>
            <w:shd w:val="clear" w:color="auto" w:fill="auto"/>
            <w:noWrap/>
            <w:vAlign w:val="bottom"/>
            <w:hideMark/>
          </w:tcPr>
          <w:p w14:paraId="222BE73E" w14:textId="5C3DA91C"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1,000</w:t>
            </w:r>
          </w:p>
        </w:tc>
        <w:tc>
          <w:tcPr>
            <w:tcW w:w="877" w:type="dxa"/>
            <w:tcBorders>
              <w:top w:val="nil"/>
              <w:left w:val="nil"/>
              <w:bottom w:val="nil"/>
              <w:right w:val="nil"/>
            </w:tcBorders>
            <w:shd w:val="clear" w:color="auto" w:fill="auto"/>
            <w:noWrap/>
            <w:vAlign w:val="bottom"/>
            <w:hideMark/>
          </w:tcPr>
          <w:p w14:paraId="0952FE6F" w14:textId="448D7E6C"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1,000</w:t>
            </w:r>
          </w:p>
        </w:tc>
        <w:tc>
          <w:tcPr>
            <w:tcW w:w="877" w:type="dxa"/>
            <w:tcBorders>
              <w:top w:val="nil"/>
              <w:left w:val="nil"/>
              <w:bottom w:val="nil"/>
              <w:right w:val="nil"/>
            </w:tcBorders>
            <w:shd w:val="clear" w:color="auto" w:fill="auto"/>
            <w:noWrap/>
            <w:vAlign w:val="bottom"/>
            <w:hideMark/>
          </w:tcPr>
          <w:p w14:paraId="4FF791AF" w14:textId="0337DA9E"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1,000</w:t>
            </w:r>
          </w:p>
        </w:tc>
      </w:tr>
      <w:tr w:rsidR="008E235E" w:rsidRPr="008E235E" w14:paraId="48809525" w14:textId="77777777" w:rsidTr="008E235E">
        <w:trPr>
          <w:trHeight w:val="204"/>
        </w:trPr>
        <w:tc>
          <w:tcPr>
            <w:tcW w:w="2856" w:type="dxa"/>
            <w:tcBorders>
              <w:top w:val="nil"/>
              <w:left w:val="nil"/>
              <w:bottom w:val="nil"/>
              <w:right w:val="nil"/>
            </w:tcBorders>
            <w:shd w:val="clear" w:color="auto" w:fill="auto"/>
            <w:noWrap/>
            <w:vAlign w:val="center"/>
            <w:hideMark/>
          </w:tcPr>
          <w:p w14:paraId="05156298" w14:textId="77777777" w:rsidR="008E235E" w:rsidRPr="008E235E" w:rsidRDefault="008E235E" w:rsidP="008E235E">
            <w:pPr>
              <w:spacing w:after="0" w:line="240" w:lineRule="auto"/>
              <w:jc w:val="left"/>
              <w:rPr>
                <w:rFonts w:ascii="Arial" w:hAnsi="Arial" w:cs="Arial"/>
                <w:b/>
                <w:bCs/>
                <w:i/>
                <w:iCs/>
                <w:color w:val="000000"/>
                <w:sz w:val="16"/>
                <w:szCs w:val="16"/>
              </w:rPr>
            </w:pPr>
            <w:r w:rsidRPr="008E235E">
              <w:rPr>
                <w:rFonts w:ascii="Arial" w:hAnsi="Arial" w:cs="Arial"/>
                <w:b/>
                <w:bCs/>
                <w:i/>
                <w:iCs/>
                <w:color w:val="000000"/>
                <w:sz w:val="16"/>
                <w:szCs w:val="16"/>
              </w:rPr>
              <w:t>Total cash received</w:t>
            </w:r>
          </w:p>
        </w:tc>
        <w:tc>
          <w:tcPr>
            <w:tcW w:w="876" w:type="dxa"/>
            <w:tcBorders>
              <w:top w:val="single" w:sz="4" w:space="0" w:color="000000"/>
              <w:left w:val="nil"/>
              <w:bottom w:val="single" w:sz="4" w:space="0" w:color="000000"/>
              <w:right w:val="nil"/>
            </w:tcBorders>
            <w:shd w:val="clear" w:color="auto" w:fill="auto"/>
            <w:noWrap/>
            <w:vAlign w:val="bottom"/>
            <w:hideMark/>
          </w:tcPr>
          <w:p w14:paraId="2074233C" w14:textId="10CA89A9" w:rsidR="008E235E" w:rsidRPr="008E235E" w:rsidRDefault="008E235E" w:rsidP="00216C12">
            <w:pPr>
              <w:spacing w:after="0" w:line="240" w:lineRule="auto"/>
              <w:jc w:val="right"/>
              <w:rPr>
                <w:rFonts w:ascii="Arial" w:hAnsi="Arial" w:cs="Arial"/>
                <w:b/>
                <w:bCs/>
                <w:i/>
                <w:iCs/>
                <w:sz w:val="16"/>
                <w:szCs w:val="16"/>
              </w:rPr>
            </w:pPr>
            <w:r w:rsidRPr="008E235E">
              <w:rPr>
                <w:rFonts w:ascii="Arial" w:hAnsi="Arial" w:cs="Arial"/>
                <w:b/>
                <w:bCs/>
                <w:i/>
                <w:iCs/>
                <w:sz w:val="16"/>
                <w:szCs w:val="16"/>
              </w:rPr>
              <w:t>216,444</w:t>
            </w:r>
          </w:p>
        </w:tc>
        <w:tc>
          <w:tcPr>
            <w:tcW w:w="877" w:type="dxa"/>
            <w:tcBorders>
              <w:top w:val="single" w:sz="4" w:space="0" w:color="000000"/>
              <w:left w:val="nil"/>
              <w:bottom w:val="single" w:sz="4" w:space="0" w:color="000000"/>
              <w:right w:val="nil"/>
            </w:tcBorders>
            <w:shd w:val="clear" w:color="000000" w:fill="E6E6E6"/>
            <w:noWrap/>
            <w:vAlign w:val="bottom"/>
            <w:hideMark/>
          </w:tcPr>
          <w:p w14:paraId="22786940" w14:textId="450FDCF5" w:rsidR="008E235E" w:rsidRPr="008E235E" w:rsidRDefault="008E235E" w:rsidP="00216C12">
            <w:pPr>
              <w:spacing w:after="0" w:line="240" w:lineRule="auto"/>
              <w:jc w:val="right"/>
              <w:rPr>
                <w:rFonts w:ascii="Arial" w:hAnsi="Arial" w:cs="Arial"/>
                <w:b/>
                <w:bCs/>
                <w:i/>
                <w:iCs/>
                <w:color w:val="000000"/>
                <w:sz w:val="16"/>
                <w:szCs w:val="16"/>
              </w:rPr>
            </w:pPr>
            <w:r w:rsidRPr="008E235E">
              <w:rPr>
                <w:rFonts w:ascii="Arial" w:hAnsi="Arial" w:cs="Arial"/>
                <w:b/>
                <w:bCs/>
                <w:i/>
                <w:iCs/>
                <w:color w:val="000000"/>
                <w:sz w:val="16"/>
                <w:szCs w:val="16"/>
              </w:rPr>
              <w:t>221,687</w:t>
            </w:r>
          </w:p>
        </w:tc>
        <w:tc>
          <w:tcPr>
            <w:tcW w:w="877" w:type="dxa"/>
            <w:tcBorders>
              <w:top w:val="single" w:sz="4" w:space="0" w:color="000000"/>
              <w:left w:val="nil"/>
              <w:bottom w:val="single" w:sz="4" w:space="0" w:color="000000"/>
              <w:right w:val="nil"/>
            </w:tcBorders>
            <w:shd w:val="clear" w:color="auto" w:fill="auto"/>
            <w:noWrap/>
            <w:vAlign w:val="bottom"/>
            <w:hideMark/>
          </w:tcPr>
          <w:p w14:paraId="006A756D" w14:textId="0C9C7534" w:rsidR="008E235E" w:rsidRPr="008E235E" w:rsidRDefault="008E235E" w:rsidP="00216C12">
            <w:pPr>
              <w:spacing w:after="0" w:line="240" w:lineRule="auto"/>
              <w:jc w:val="right"/>
              <w:rPr>
                <w:rFonts w:ascii="Arial" w:hAnsi="Arial" w:cs="Arial"/>
                <w:b/>
                <w:bCs/>
                <w:i/>
                <w:iCs/>
                <w:color w:val="000000"/>
                <w:sz w:val="16"/>
                <w:szCs w:val="16"/>
              </w:rPr>
            </w:pPr>
            <w:r w:rsidRPr="008E235E">
              <w:rPr>
                <w:rFonts w:ascii="Arial" w:hAnsi="Arial" w:cs="Arial"/>
                <w:b/>
                <w:bCs/>
                <w:i/>
                <w:iCs/>
                <w:color w:val="000000"/>
                <w:sz w:val="16"/>
                <w:szCs w:val="16"/>
              </w:rPr>
              <w:t>220,101</w:t>
            </w:r>
          </w:p>
        </w:tc>
        <w:tc>
          <w:tcPr>
            <w:tcW w:w="877" w:type="dxa"/>
            <w:tcBorders>
              <w:top w:val="single" w:sz="4" w:space="0" w:color="000000"/>
              <w:left w:val="nil"/>
              <w:bottom w:val="single" w:sz="4" w:space="0" w:color="000000"/>
              <w:right w:val="nil"/>
            </w:tcBorders>
            <w:shd w:val="clear" w:color="auto" w:fill="auto"/>
            <w:noWrap/>
            <w:vAlign w:val="bottom"/>
            <w:hideMark/>
          </w:tcPr>
          <w:p w14:paraId="0F277A6B" w14:textId="69490954" w:rsidR="008E235E" w:rsidRPr="008E235E" w:rsidRDefault="008E235E" w:rsidP="00216C12">
            <w:pPr>
              <w:spacing w:after="0" w:line="240" w:lineRule="auto"/>
              <w:jc w:val="right"/>
              <w:rPr>
                <w:rFonts w:ascii="Arial" w:hAnsi="Arial" w:cs="Arial"/>
                <w:b/>
                <w:bCs/>
                <w:i/>
                <w:iCs/>
                <w:color w:val="000000"/>
                <w:sz w:val="16"/>
                <w:szCs w:val="16"/>
              </w:rPr>
            </w:pPr>
            <w:r w:rsidRPr="008E235E">
              <w:rPr>
                <w:rFonts w:ascii="Arial" w:hAnsi="Arial" w:cs="Arial"/>
                <w:b/>
                <w:bCs/>
                <w:i/>
                <w:iCs/>
                <w:color w:val="000000"/>
                <w:sz w:val="16"/>
                <w:szCs w:val="16"/>
              </w:rPr>
              <w:t>221,350</w:t>
            </w:r>
          </w:p>
        </w:tc>
        <w:tc>
          <w:tcPr>
            <w:tcW w:w="877" w:type="dxa"/>
            <w:tcBorders>
              <w:top w:val="single" w:sz="4" w:space="0" w:color="000000"/>
              <w:left w:val="nil"/>
              <w:bottom w:val="single" w:sz="4" w:space="0" w:color="000000"/>
              <w:right w:val="nil"/>
            </w:tcBorders>
            <w:shd w:val="clear" w:color="auto" w:fill="auto"/>
            <w:noWrap/>
            <w:vAlign w:val="bottom"/>
            <w:hideMark/>
          </w:tcPr>
          <w:p w14:paraId="7890079A" w14:textId="31F7D99F" w:rsidR="008E235E" w:rsidRPr="008E235E" w:rsidRDefault="008E235E" w:rsidP="00216C12">
            <w:pPr>
              <w:spacing w:after="0" w:line="240" w:lineRule="auto"/>
              <w:jc w:val="right"/>
              <w:rPr>
                <w:rFonts w:ascii="Arial" w:hAnsi="Arial" w:cs="Arial"/>
                <w:b/>
                <w:bCs/>
                <w:i/>
                <w:iCs/>
                <w:color w:val="000000"/>
                <w:sz w:val="16"/>
                <w:szCs w:val="16"/>
              </w:rPr>
            </w:pPr>
            <w:r w:rsidRPr="008E235E">
              <w:rPr>
                <w:rFonts w:ascii="Arial" w:hAnsi="Arial" w:cs="Arial"/>
                <w:b/>
                <w:bCs/>
                <w:i/>
                <w:iCs/>
                <w:color w:val="000000"/>
                <w:sz w:val="16"/>
                <w:szCs w:val="16"/>
              </w:rPr>
              <w:t>196,206</w:t>
            </w:r>
          </w:p>
        </w:tc>
      </w:tr>
      <w:tr w:rsidR="008E235E" w:rsidRPr="008E235E" w14:paraId="7F77A85D" w14:textId="77777777" w:rsidTr="008E235E">
        <w:trPr>
          <w:trHeight w:val="204"/>
        </w:trPr>
        <w:tc>
          <w:tcPr>
            <w:tcW w:w="2856" w:type="dxa"/>
            <w:tcBorders>
              <w:top w:val="nil"/>
              <w:left w:val="nil"/>
              <w:bottom w:val="nil"/>
              <w:right w:val="nil"/>
            </w:tcBorders>
            <w:shd w:val="clear" w:color="auto" w:fill="auto"/>
            <w:noWrap/>
            <w:vAlign w:val="center"/>
            <w:hideMark/>
          </w:tcPr>
          <w:p w14:paraId="07E687C8" w14:textId="77777777" w:rsidR="008E235E" w:rsidRPr="008E235E" w:rsidRDefault="008E235E" w:rsidP="008E235E">
            <w:pPr>
              <w:spacing w:after="0" w:line="240" w:lineRule="auto"/>
              <w:jc w:val="left"/>
              <w:rPr>
                <w:rFonts w:ascii="Arial" w:hAnsi="Arial" w:cs="Arial"/>
                <w:b/>
                <w:bCs/>
                <w:color w:val="000000"/>
                <w:sz w:val="16"/>
                <w:szCs w:val="16"/>
              </w:rPr>
            </w:pPr>
            <w:r w:rsidRPr="008E235E">
              <w:rPr>
                <w:rFonts w:ascii="Arial" w:hAnsi="Arial" w:cs="Arial"/>
                <w:b/>
                <w:bCs/>
                <w:color w:val="000000"/>
                <w:sz w:val="16"/>
                <w:szCs w:val="16"/>
              </w:rPr>
              <w:t>Cash used</w:t>
            </w:r>
          </w:p>
        </w:tc>
        <w:tc>
          <w:tcPr>
            <w:tcW w:w="876" w:type="dxa"/>
            <w:tcBorders>
              <w:top w:val="nil"/>
              <w:left w:val="nil"/>
              <w:bottom w:val="nil"/>
              <w:right w:val="nil"/>
            </w:tcBorders>
            <w:shd w:val="clear" w:color="auto" w:fill="auto"/>
            <w:noWrap/>
            <w:vAlign w:val="bottom"/>
            <w:hideMark/>
          </w:tcPr>
          <w:p w14:paraId="31F3C73E" w14:textId="77777777" w:rsidR="008E235E" w:rsidRPr="008E235E" w:rsidRDefault="008E235E" w:rsidP="00216C12">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702F6937" w14:textId="0C647724" w:rsidR="008E235E" w:rsidRPr="008E235E" w:rsidRDefault="008E235E" w:rsidP="00216C12">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5E45F0F" w14:textId="77777777" w:rsidR="008E235E" w:rsidRPr="008E235E" w:rsidRDefault="008E235E" w:rsidP="00216C12">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51FBADD" w14:textId="77777777" w:rsidR="008E235E" w:rsidRPr="008E235E" w:rsidRDefault="008E235E" w:rsidP="00216C12">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2D505FCB" w14:textId="77777777" w:rsidR="008E235E" w:rsidRPr="008E235E" w:rsidRDefault="008E235E" w:rsidP="00216C12">
            <w:pPr>
              <w:spacing w:after="0" w:line="240" w:lineRule="auto"/>
              <w:jc w:val="right"/>
              <w:rPr>
                <w:rFonts w:ascii="Times New Roman" w:hAnsi="Times New Roman"/>
              </w:rPr>
            </w:pPr>
          </w:p>
        </w:tc>
      </w:tr>
      <w:tr w:rsidR="008E235E" w:rsidRPr="008E235E" w14:paraId="025576C8" w14:textId="77777777" w:rsidTr="008E235E">
        <w:trPr>
          <w:trHeight w:val="204"/>
        </w:trPr>
        <w:tc>
          <w:tcPr>
            <w:tcW w:w="2856" w:type="dxa"/>
            <w:tcBorders>
              <w:top w:val="nil"/>
              <w:left w:val="nil"/>
              <w:bottom w:val="nil"/>
              <w:right w:val="nil"/>
            </w:tcBorders>
            <w:shd w:val="clear" w:color="auto" w:fill="auto"/>
            <w:noWrap/>
            <w:vAlign w:val="center"/>
            <w:hideMark/>
          </w:tcPr>
          <w:p w14:paraId="2C82EBC7" w14:textId="77777777" w:rsidR="008E235E" w:rsidRPr="008E235E" w:rsidRDefault="008E235E" w:rsidP="008E235E">
            <w:pPr>
              <w:spacing w:after="0" w:line="240" w:lineRule="auto"/>
              <w:ind w:left="113"/>
              <w:jc w:val="left"/>
              <w:rPr>
                <w:rFonts w:ascii="Arial" w:hAnsi="Arial" w:cs="Arial"/>
                <w:color w:val="000000"/>
                <w:sz w:val="16"/>
                <w:szCs w:val="16"/>
              </w:rPr>
            </w:pPr>
            <w:r w:rsidRPr="008E235E">
              <w:rPr>
                <w:rFonts w:ascii="Arial" w:hAnsi="Arial" w:cs="Arial"/>
                <w:color w:val="000000"/>
                <w:sz w:val="16"/>
                <w:szCs w:val="16"/>
              </w:rPr>
              <w:t>Employees</w:t>
            </w:r>
          </w:p>
        </w:tc>
        <w:tc>
          <w:tcPr>
            <w:tcW w:w="876" w:type="dxa"/>
            <w:tcBorders>
              <w:top w:val="nil"/>
              <w:left w:val="nil"/>
              <w:bottom w:val="nil"/>
              <w:right w:val="nil"/>
            </w:tcBorders>
            <w:shd w:val="clear" w:color="auto" w:fill="auto"/>
            <w:noWrap/>
            <w:vAlign w:val="bottom"/>
            <w:hideMark/>
          </w:tcPr>
          <w:p w14:paraId="359BEBAA" w14:textId="053B5368"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129,765</w:t>
            </w:r>
          </w:p>
        </w:tc>
        <w:tc>
          <w:tcPr>
            <w:tcW w:w="877" w:type="dxa"/>
            <w:tcBorders>
              <w:top w:val="nil"/>
              <w:left w:val="nil"/>
              <w:bottom w:val="nil"/>
              <w:right w:val="nil"/>
            </w:tcBorders>
            <w:shd w:val="clear" w:color="000000" w:fill="E6E6E6"/>
            <w:noWrap/>
            <w:vAlign w:val="bottom"/>
            <w:hideMark/>
          </w:tcPr>
          <w:p w14:paraId="39AC9F57" w14:textId="4FFB8084"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135,742</w:t>
            </w:r>
          </w:p>
        </w:tc>
        <w:tc>
          <w:tcPr>
            <w:tcW w:w="877" w:type="dxa"/>
            <w:tcBorders>
              <w:top w:val="nil"/>
              <w:left w:val="nil"/>
              <w:bottom w:val="nil"/>
              <w:right w:val="nil"/>
            </w:tcBorders>
            <w:shd w:val="clear" w:color="auto" w:fill="auto"/>
            <w:noWrap/>
            <w:vAlign w:val="bottom"/>
            <w:hideMark/>
          </w:tcPr>
          <w:p w14:paraId="2E69AA7E" w14:textId="7E7E2995"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139,220</w:t>
            </w:r>
          </w:p>
        </w:tc>
        <w:tc>
          <w:tcPr>
            <w:tcW w:w="877" w:type="dxa"/>
            <w:tcBorders>
              <w:top w:val="nil"/>
              <w:left w:val="nil"/>
              <w:bottom w:val="nil"/>
              <w:right w:val="nil"/>
            </w:tcBorders>
            <w:shd w:val="clear" w:color="auto" w:fill="auto"/>
            <w:noWrap/>
            <w:vAlign w:val="bottom"/>
            <w:hideMark/>
          </w:tcPr>
          <w:p w14:paraId="26BE6E1B" w14:textId="490E2CF8"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143,376</w:t>
            </w:r>
          </w:p>
        </w:tc>
        <w:tc>
          <w:tcPr>
            <w:tcW w:w="877" w:type="dxa"/>
            <w:tcBorders>
              <w:top w:val="nil"/>
              <w:left w:val="nil"/>
              <w:bottom w:val="nil"/>
              <w:right w:val="nil"/>
            </w:tcBorders>
            <w:shd w:val="clear" w:color="auto" w:fill="auto"/>
            <w:noWrap/>
            <w:vAlign w:val="bottom"/>
            <w:hideMark/>
          </w:tcPr>
          <w:p w14:paraId="7292BC7A" w14:textId="3FDFF90A"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147,626</w:t>
            </w:r>
          </w:p>
        </w:tc>
      </w:tr>
      <w:tr w:rsidR="008E235E" w:rsidRPr="008E235E" w14:paraId="2E875285" w14:textId="77777777" w:rsidTr="008E235E">
        <w:trPr>
          <w:trHeight w:val="204"/>
        </w:trPr>
        <w:tc>
          <w:tcPr>
            <w:tcW w:w="2856" w:type="dxa"/>
            <w:tcBorders>
              <w:top w:val="nil"/>
              <w:left w:val="nil"/>
              <w:bottom w:val="nil"/>
              <w:right w:val="nil"/>
            </w:tcBorders>
            <w:shd w:val="clear" w:color="auto" w:fill="auto"/>
            <w:noWrap/>
            <w:vAlign w:val="center"/>
            <w:hideMark/>
          </w:tcPr>
          <w:p w14:paraId="23BA7DD9" w14:textId="77777777" w:rsidR="008E235E" w:rsidRPr="008E235E" w:rsidRDefault="008E235E" w:rsidP="008E235E">
            <w:pPr>
              <w:spacing w:after="0" w:line="240" w:lineRule="auto"/>
              <w:ind w:left="113"/>
              <w:jc w:val="left"/>
              <w:rPr>
                <w:rFonts w:ascii="Arial" w:hAnsi="Arial" w:cs="Arial"/>
                <w:color w:val="000000"/>
                <w:sz w:val="16"/>
                <w:szCs w:val="16"/>
              </w:rPr>
            </w:pPr>
            <w:r w:rsidRPr="008E235E">
              <w:rPr>
                <w:rFonts w:ascii="Arial" w:hAnsi="Arial" w:cs="Arial"/>
                <w:color w:val="000000"/>
                <w:sz w:val="16"/>
                <w:szCs w:val="16"/>
              </w:rPr>
              <w:t>Suppliers</w:t>
            </w:r>
          </w:p>
        </w:tc>
        <w:tc>
          <w:tcPr>
            <w:tcW w:w="876" w:type="dxa"/>
            <w:tcBorders>
              <w:top w:val="nil"/>
              <w:left w:val="nil"/>
              <w:bottom w:val="nil"/>
              <w:right w:val="nil"/>
            </w:tcBorders>
            <w:shd w:val="clear" w:color="auto" w:fill="auto"/>
            <w:noWrap/>
            <w:vAlign w:val="bottom"/>
            <w:hideMark/>
          </w:tcPr>
          <w:p w14:paraId="447AA13C" w14:textId="0E61D166"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45,465</w:t>
            </w:r>
          </w:p>
        </w:tc>
        <w:tc>
          <w:tcPr>
            <w:tcW w:w="877" w:type="dxa"/>
            <w:tcBorders>
              <w:top w:val="nil"/>
              <w:left w:val="nil"/>
              <w:bottom w:val="nil"/>
              <w:right w:val="nil"/>
            </w:tcBorders>
            <w:shd w:val="clear" w:color="000000" w:fill="E6E6E6"/>
            <w:noWrap/>
            <w:vAlign w:val="bottom"/>
            <w:hideMark/>
          </w:tcPr>
          <w:p w14:paraId="2F885C81" w14:textId="59AAE495"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62,388</w:t>
            </w:r>
          </w:p>
        </w:tc>
        <w:tc>
          <w:tcPr>
            <w:tcW w:w="877" w:type="dxa"/>
            <w:tcBorders>
              <w:top w:val="nil"/>
              <w:left w:val="nil"/>
              <w:bottom w:val="nil"/>
              <w:right w:val="nil"/>
            </w:tcBorders>
            <w:shd w:val="clear" w:color="auto" w:fill="auto"/>
            <w:noWrap/>
            <w:vAlign w:val="bottom"/>
            <w:hideMark/>
          </w:tcPr>
          <w:p w14:paraId="1D51954F" w14:textId="0C10209E"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53,662</w:t>
            </w:r>
          </w:p>
        </w:tc>
        <w:tc>
          <w:tcPr>
            <w:tcW w:w="877" w:type="dxa"/>
            <w:tcBorders>
              <w:top w:val="nil"/>
              <w:left w:val="nil"/>
              <w:bottom w:val="nil"/>
              <w:right w:val="nil"/>
            </w:tcBorders>
            <w:shd w:val="clear" w:color="auto" w:fill="auto"/>
            <w:noWrap/>
            <w:vAlign w:val="bottom"/>
            <w:hideMark/>
          </w:tcPr>
          <w:p w14:paraId="5DD9C65F" w14:textId="61C003DF"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52,684</w:t>
            </w:r>
          </w:p>
        </w:tc>
        <w:tc>
          <w:tcPr>
            <w:tcW w:w="877" w:type="dxa"/>
            <w:tcBorders>
              <w:top w:val="nil"/>
              <w:left w:val="nil"/>
              <w:bottom w:val="nil"/>
              <w:right w:val="nil"/>
            </w:tcBorders>
            <w:shd w:val="clear" w:color="auto" w:fill="auto"/>
            <w:noWrap/>
            <w:vAlign w:val="bottom"/>
            <w:hideMark/>
          </w:tcPr>
          <w:p w14:paraId="069C2014" w14:textId="1E615DE0"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54,121</w:t>
            </w:r>
          </w:p>
        </w:tc>
      </w:tr>
      <w:tr w:rsidR="008E235E" w:rsidRPr="008E235E" w14:paraId="5CAFF96D" w14:textId="77777777" w:rsidTr="008E235E">
        <w:trPr>
          <w:trHeight w:val="204"/>
        </w:trPr>
        <w:tc>
          <w:tcPr>
            <w:tcW w:w="2856" w:type="dxa"/>
            <w:tcBorders>
              <w:top w:val="nil"/>
              <w:left w:val="nil"/>
              <w:bottom w:val="nil"/>
              <w:right w:val="nil"/>
            </w:tcBorders>
            <w:shd w:val="clear" w:color="auto" w:fill="auto"/>
            <w:vAlign w:val="center"/>
            <w:hideMark/>
          </w:tcPr>
          <w:p w14:paraId="18757516" w14:textId="77777777" w:rsidR="008E235E" w:rsidRPr="008E235E" w:rsidRDefault="008E235E" w:rsidP="008E235E">
            <w:pPr>
              <w:spacing w:after="0" w:line="240" w:lineRule="auto"/>
              <w:ind w:left="113"/>
              <w:jc w:val="left"/>
              <w:rPr>
                <w:rFonts w:ascii="Arial" w:hAnsi="Arial" w:cs="Arial"/>
                <w:color w:val="000000"/>
                <w:sz w:val="16"/>
                <w:szCs w:val="16"/>
              </w:rPr>
            </w:pPr>
            <w:r w:rsidRPr="008E235E">
              <w:rPr>
                <w:rFonts w:ascii="Arial" w:hAnsi="Arial" w:cs="Arial"/>
                <w:color w:val="000000"/>
                <w:sz w:val="16"/>
                <w:szCs w:val="16"/>
              </w:rPr>
              <w:t>Interest payments on lease liability</w:t>
            </w:r>
          </w:p>
        </w:tc>
        <w:tc>
          <w:tcPr>
            <w:tcW w:w="876" w:type="dxa"/>
            <w:tcBorders>
              <w:top w:val="nil"/>
              <w:left w:val="nil"/>
              <w:bottom w:val="nil"/>
              <w:right w:val="nil"/>
            </w:tcBorders>
            <w:shd w:val="clear" w:color="auto" w:fill="auto"/>
            <w:noWrap/>
            <w:vAlign w:val="bottom"/>
            <w:hideMark/>
          </w:tcPr>
          <w:p w14:paraId="6D198C61" w14:textId="185B2861"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301</w:t>
            </w:r>
          </w:p>
        </w:tc>
        <w:tc>
          <w:tcPr>
            <w:tcW w:w="877" w:type="dxa"/>
            <w:tcBorders>
              <w:top w:val="nil"/>
              <w:left w:val="nil"/>
              <w:bottom w:val="nil"/>
              <w:right w:val="nil"/>
            </w:tcBorders>
            <w:shd w:val="clear" w:color="000000" w:fill="E6E6E6"/>
            <w:noWrap/>
            <w:vAlign w:val="bottom"/>
            <w:hideMark/>
          </w:tcPr>
          <w:p w14:paraId="082B58B5" w14:textId="7C28C815"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257</w:t>
            </w:r>
          </w:p>
        </w:tc>
        <w:tc>
          <w:tcPr>
            <w:tcW w:w="877" w:type="dxa"/>
            <w:tcBorders>
              <w:top w:val="nil"/>
              <w:left w:val="nil"/>
              <w:bottom w:val="nil"/>
              <w:right w:val="nil"/>
            </w:tcBorders>
            <w:shd w:val="clear" w:color="auto" w:fill="auto"/>
            <w:noWrap/>
            <w:vAlign w:val="bottom"/>
            <w:hideMark/>
          </w:tcPr>
          <w:p w14:paraId="01F6C7C9" w14:textId="4390CC55"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334</w:t>
            </w:r>
          </w:p>
        </w:tc>
        <w:tc>
          <w:tcPr>
            <w:tcW w:w="877" w:type="dxa"/>
            <w:tcBorders>
              <w:top w:val="nil"/>
              <w:left w:val="nil"/>
              <w:bottom w:val="nil"/>
              <w:right w:val="nil"/>
            </w:tcBorders>
            <w:shd w:val="clear" w:color="auto" w:fill="auto"/>
            <w:noWrap/>
            <w:vAlign w:val="bottom"/>
            <w:hideMark/>
          </w:tcPr>
          <w:p w14:paraId="735B2E0D" w14:textId="24FBB8B7"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1,285</w:t>
            </w:r>
          </w:p>
        </w:tc>
        <w:tc>
          <w:tcPr>
            <w:tcW w:w="877" w:type="dxa"/>
            <w:tcBorders>
              <w:top w:val="nil"/>
              <w:left w:val="nil"/>
              <w:bottom w:val="nil"/>
              <w:right w:val="nil"/>
            </w:tcBorders>
            <w:shd w:val="clear" w:color="auto" w:fill="auto"/>
            <w:noWrap/>
            <w:vAlign w:val="bottom"/>
            <w:hideMark/>
          </w:tcPr>
          <w:p w14:paraId="0C02A63C" w14:textId="67EA042B"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1,163</w:t>
            </w:r>
          </w:p>
        </w:tc>
      </w:tr>
      <w:tr w:rsidR="008E235E" w:rsidRPr="008E235E" w14:paraId="3E600825" w14:textId="77777777" w:rsidTr="008E235E">
        <w:trPr>
          <w:trHeight w:val="204"/>
        </w:trPr>
        <w:tc>
          <w:tcPr>
            <w:tcW w:w="2856" w:type="dxa"/>
            <w:tcBorders>
              <w:top w:val="nil"/>
              <w:left w:val="nil"/>
              <w:bottom w:val="nil"/>
              <w:right w:val="nil"/>
            </w:tcBorders>
            <w:shd w:val="clear" w:color="auto" w:fill="auto"/>
            <w:noWrap/>
            <w:vAlign w:val="center"/>
            <w:hideMark/>
          </w:tcPr>
          <w:p w14:paraId="6600BC30" w14:textId="77777777" w:rsidR="008E235E" w:rsidRPr="008E235E" w:rsidRDefault="008E235E" w:rsidP="008E235E">
            <w:pPr>
              <w:spacing w:after="0" w:line="240" w:lineRule="auto"/>
              <w:jc w:val="left"/>
              <w:rPr>
                <w:rFonts w:ascii="Arial" w:hAnsi="Arial" w:cs="Arial"/>
                <w:b/>
                <w:bCs/>
                <w:i/>
                <w:iCs/>
                <w:color w:val="000000"/>
                <w:sz w:val="16"/>
                <w:szCs w:val="16"/>
              </w:rPr>
            </w:pPr>
            <w:r w:rsidRPr="008E235E">
              <w:rPr>
                <w:rFonts w:ascii="Arial" w:hAnsi="Arial" w:cs="Arial"/>
                <w:b/>
                <w:bCs/>
                <w:i/>
                <w:iCs/>
                <w:color w:val="000000"/>
                <w:sz w:val="16"/>
                <w:szCs w:val="16"/>
              </w:rPr>
              <w:t>Total cash used</w:t>
            </w:r>
          </w:p>
        </w:tc>
        <w:tc>
          <w:tcPr>
            <w:tcW w:w="876" w:type="dxa"/>
            <w:tcBorders>
              <w:top w:val="single" w:sz="4" w:space="0" w:color="000000"/>
              <w:left w:val="nil"/>
              <w:bottom w:val="nil"/>
              <w:right w:val="nil"/>
            </w:tcBorders>
            <w:shd w:val="clear" w:color="auto" w:fill="auto"/>
            <w:noWrap/>
            <w:vAlign w:val="bottom"/>
            <w:hideMark/>
          </w:tcPr>
          <w:p w14:paraId="4540655D" w14:textId="17AECE99" w:rsidR="008E235E" w:rsidRPr="008E235E" w:rsidRDefault="008E235E" w:rsidP="00216C12">
            <w:pPr>
              <w:spacing w:after="0" w:line="240" w:lineRule="auto"/>
              <w:jc w:val="right"/>
              <w:rPr>
                <w:rFonts w:ascii="Arial" w:hAnsi="Arial" w:cs="Arial"/>
                <w:b/>
                <w:bCs/>
                <w:i/>
                <w:iCs/>
                <w:sz w:val="16"/>
                <w:szCs w:val="16"/>
              </w:rPr>
            </w:pPr>
            <w:r w:rsidRPr="008E235E">
              <w:rPr>
                <w:rFonts w:ascii="Arial" w:hAnsi="Arial" w:cs="Arial"/>
                <w:b/>
                <w:bCs/>
                <w:i/>
                <w:iCs/>
                <w:sz w:val="16"/>
                <w:szCs w:val="16"/>
              </w:rPr>
              <w:t>175,531</w:t>
            </w:r>
          </w:p>
        </w:tc>
        <w:tc>
          <w:tcPr>
            <w:tcW w:w="877" w:type="dxa"/>
            <w:tcBorders>
              <w:top w:val="single" w:sz="4" w:space="0" w:color="000000"/>
              <w:left w:val="nil"/>
              <w:bottom w:val="nil"/>
              <w:right w:val="nil"/>
            </w:tcBorders>
            <w:shd w:val="clear" w:color="000000" w:fill="E6E6E6"/>
            <w:noWrap/>
            <w:vAlign w:val="bottom"/>
            <w:hideMark/>
          </w:tcPr>
          <w:p w14:paraId="527D7827" w14:textId="2838896B" w:rsidR="008E235E" w:rsidRPr="008E235E" w:rsidRDefault="008E235E" w:rsidP="00216C12">
            <w:pPr>
              <w:spacing w:after="0" w:line="240" w:lineRule="auto"/>
              <w:jc w:val="right"/>
              <w:rPr>
                <w:rFonts w:ascii="Arial" w:hAnsi="Arial" w:cs="Arial"/>
                <w:b/>
                <w:bCs/>
                <w:i/>
                <w:iCs/>
                <w:color w:val="000000"/>
                <w:sz w:val="16"/>
                <w:szCs w:val="16"/>
              </w:rPr>
            </w:pPr>
            <w:r w:rsidRPr="008E235E">
              <w:rPr>
                <w:rFonts w:ascii="Arial" w:hAnsi="Arial" w:cs="Arial"/>
                <w:b/>
                <w:bCs/>
                <w:i/>
                <w:iCs/>
                <w:color w:val="000000"/>
                <w:sz w:val="16"/>
                <w:szCs w:val="16"/>
              </w:rPr>
              <w:t>198,387</w:t>
            </w:r>
          </w:p>
        </w:tc>
        <w:tc>
          <w:tcPr>
            <w:tcW w:w="877" w:type="dxa"/>
            <w:tcBorders>
              <w:top w:val="single" w:sz="4" w:space="0" w:color="000000"/>
              <w:left w:val="nil"/>
              <w:bottom w:val="nil"/>
              <w:right w:val="nil"/>
            </w:tcBorders>
            <w:shd w:val="clear" w:color="auto" w:fill="auto"/>
            <w:noWrap/>
            <w:vAlign w:val="bottom"/>
            <w:hideMark/>
          </w:tcPr>
          <w:p w14:paraId="32774211" w14:textId="1BFC8C70" w:rsidR="008E235E" w:rsidRPr="008E235E" w:rsidRDefault="008E235E" w:rsidP="00216C12">
            <w:pPr>
              <w:spacing w:after="0" w:line="240" w:lineRule="auto"/>
              <w:jc w:val="right"/>
              <w:rPr>
                <w:rFonts w:ascii="Arial" w:hAnsi="Arial" w:cs="Arial"/>
                <w:b/>
                <w:bCs/>
                <w:i/>
                <w:iCs/>
                <w:color w:val="000000"/>
                <w:sz w:val="16"/>
                <w:szCs w:val="16"/>
              </w:rPr>
            </w:pPr>
            <w:r w:rsidRPr="008E235E">
              <w:rPr>
                <w:rFonts w:ascii="Arial" w:hAnsi="Arial" w:cs="Arial"/>
                <w:b/>
                <w:bCs/>
                <w:i/>
                <w:iCs/>
                <w:color w:val="000000"/>
                <w:sz w:val="16"/>
                <w:szCs w:val="16"/>
              </w:rPr>
              <w:t>193,216</w:t>
            </w:r>
          </w:p>
        </w:tc>
        <w:tc>
          <w:tcPr>
            <w:tcW w:w="877" w:type="dxa"/>
            <w:tcBorders>
              <w:top w:val="single" w:sz="4" w:space="0" w:color="000000"/>
              <w:left w:val="nil"/>
              <w:bottom w:val="nil"/>
              <w:right w:val="nil"/>
            </w:tcBorders>
            <w:shd w:val="clear" w:color="auto" w:fill="auto"/>
            <w:noWrap/>
            <w:vAlign w:val="bottom"/>
            <w:hideMark/>
          </w:tcPr>
          <w:p w14:paraId="242E4E1C" w14:textId="42A471DD" w:rsidR="008E235E" w:rsidRPr="008E235E" w:rsidRDefault="008E235E" w:rsidP="00216C12">
            <w:pPr>
              <w:spacing w:after="0" w:line="240" w:lineRule="auto"/>
              <w:jc w:val="right"/>
              <w:rPr>
                <w:rFonts w:ascii="Arial" w:hAnsi="Arial" w:cs="Arial"/>
                <w:b/>
                <w:bCs/>
                <w:i/>
                <w:iCs/>
                <w:color w:val="000000"/>
                <w:sz w:val="16"/>
                <w:szCs w:val="16"/>
              </w:rPr>
            </w:pPr>
            <w:r w:rsidRPr="008E235E">
              <w:rPr>
                <w:rFonts w:ascii="Arial" w:hAnsi="Arial" w:cs="Arial"/>
                <w:b/>
                <w:bCs/>
                <w:i/>
                <w:iCs/>
                <w:color w:val="000000"/>
                <w:sz w:val="16"/>
                <w:szCs w:val="16"/>
              </w:rPr>
              <w:t>197,345</w:t>
            </w:r>
          </w:p>
        </w:tc>
        <w:tc>
          <w:tcPr>
            <w:tcW w:w="877" w:type="dxa"/>
            <w:tcBorders>
              <w:top w:val="single" w:sz="4" w:space="0" w:color="000000"/>
              <w:left w:val="nil"/>
              <w:bottom w:val="nil"/>
              <w:right w:val="nil"/>
            </w:tcBorders>
            <w:shd w:val="clear" w:color="auto" w:fill="auto"/>
            <w:noWrap/>
            <w:vAlign w:val="bottom"/>
            <w:hideMark/>
          </w:tcPr>
          <w:p w14:paraId="1F774A09" w14:textId="39B10892" w:rsidR="008E235E" w:rsidRPr="008E235E" w:rsidRDefault="008E235E" w:rsidP="00216C12">
            <w:pPr>
              <w:spacing w:after="0" w:line="240" w:lineRule="auto"/>
              <w:jc w:val="right"/>
              <w:rPr>
                <w:rFonts w:ascii="Arial" w:hAnsi="Arial" w:cs="Arial"/>
                <w:b/>
                <w:bCs/>
                <w:i/>
                <w:iCs/>
                <w:color w:val="000000"/>
                <w:sz w:val="16"/>
                <w:szCs w:val="16"/>
              </w:rPr>
            </w:pPr>
            <w:r w:rsidRPr="008E235E">
              <w:rPr>
                <w:rFonts w:ascii="Arial" w:hAnsi="Arial" w:cs="Arial"/>
                <w:b/>
                <w:bCs/>
                <w:i/>
                <w:iCs/>
                <w:color w:val="000000"/>
                <w:sz w:val="16"/>
                <w:szCs w:val="16"/>
              </w:rPr>
              <w:t>202,910</w:t>
            </w:r>
          </w:p>
        </w:tc>
      </w:tr>
      <w:tr w:rsidR="008E235E" w:rsidRPr="008E235E" w14:paraId="6EBDB101" w14:textId="77777777" w:rsidTr="008E235E">
        <w:trPr>
          <w:trHeight w:val="204"/>
        </w:trPr>
        <w:tc>
          <w:tcPr>
            <w:tcW w:w="2856" w:type="dxa"/>
            <w:tcBorders>
              <w:top w:val="nil"/>
              <w:left w:val="nil"/>
              <w:bottom w:val="nil"/>
              <w:right w:val="nil"/>
            </w:tcBorders>
            <w:shd w:val="clear" w:color="auto" w:fill="auto"/>
            <w:vAlign w:val="center"/>
            <w:hideMark/>
          </w:tcPr>
          <w:p w14:paraId="05255B39" w14:textId="5A410A54" w:rsidR="008E235E" w:rsidRPr="008E235E" w:rsidRDefault="008E235E" w:rsidP="008E235E">
            <w:pPr>
              <w:spacing w:after="0" w:line="240" w:lineRule="auto"/>
              <w:jc w:val="left"/>
              <w:rPr>
                <w:rFonts w:ascii="Arial" w:hAnsi="Arial" w:cs="Arial"/>
                <w:b/>
                <w:bCs/>
                <w:color w:val="000000"/>
                <w:sz w:val="16"/>
                <w:szCs w:val="16"/>
              </w:rPr>
            </w:pPr>
            <w:r w:rsidRPr="008E235E">
              <w:rPr>
                <w:rFonts w:ascii="Arial" w:hAnsi="Arial" w:cs="Arial"/>
                <w:b/>
                <w:bCs/>
                <w:color w:val="000000"/>
                <w:sz w:val="16"/>
                <w:szCs w:val="16"/>
              </w:rPr>
              <w:t>Net cash from/(used by)</w:t>
            </w:r>
            <w:r>
              <w:rPr>
                <w:rFonts w:ascii="Arial" w:hAnsi="Arial" w:cs="Arial"/>
                <w:b/>
                <w:bCs/>
                <w:color w:val="000000"/>
                <w:sz w:val="16"/>
                <w:szCs w:val="16"/>
              </w:rPr>
              <w:t xml:space="preserve"> </w:t>
            </w:r>
            <w:r w:rsidRPr="008E235E">
              <w:rPr>
                <w:rFonts w:ascii="Arial" w:hAnsi="Arial" w:cs="Arial"/>
                <w:b/>
                <w:bCs/>
                <w:color w:val="000000"/>
                <w:sz w:val="16"/>
                <w:szCs w:val="16"/>
              </w:rPr>
              <w:t>operating activities</w:t>
            </w:r>
          </w:p>
        </w:tc>
        <w:tc>
          <w:tcPr>
            <w:tcW w:w="876" w:type="dxa"/>
            <w:tcBorders>
              <w:top w:val="single" w:sz="4" w:space="0" w:color="auto"/>
              <w:left w:val="nil"/>
              <w:bottom w:val="single" w:sz="4" w:space="0" w:color="auto"/>
              <w:right w:val="nil"/>
            </w:tcBorders>
            <w:shd w:val="clear" w:color="auto" w:fill="auto"/>
            <w:noWrap/>
            <w:vAlign w:val="bottom"/>
            <w:hideMark/>
          </w:tcPr>
          <w:p w14:paraId="05293CC7" w14:textId="57A2A859" w:rsidR="008E235E" w:rsidRPr="008E235E" w:rsidRDefault="008E235E" w:rsidP="00216C12">
            <w:pPr>
              <w:spacing w:after="0" w:line="240" w:lineRule="auto"/>
              <w:jc w:val="right"/>
              <w:rPr>
                <w:rFonts w:ascii="Arial" w:hAnsi="Arial" w:cs="Arial"/>
                <w:b/>
                <w:bCs/>
                <w:color w:val="000000"/>
                <w:sz w:val="16"/>
                <w:szCs w:val="16"/>
              </w:rPr>
            </w:pPr>
            <w:r w:rsidRPr="008E235E">
              <w:rPr>
                <w:rFonts w:ascii="Arial" w:hAnsi="Arial" w:cs="Arial"/>
                <w:b/>
                <w:bCs/>
                <w:color w:val="000000"/>
                <w:sz w:val="16"/>
                <w:szCs w:val="16"/>
              </w:rPr>
              <w:t>40,913</w:t>
            </w:r>
          </w:p>
        </w:tc>
        <w:tc>
          <w:tcPr>
            <w:tcW w:w="877" w:type="dxa"/>
            <w:tcBorders>
              <w:top w:val="single" w:sz="4" w:space="0" w:color="auto"/>
              <w:left w:val="nil"/>
              <w:bottom w:val="single" w:sz="4" w:space="0" w:color="auto"/>
              <w:right w:val="nil"/>
            </w:tcBorders>
            <w:shd w:val="clear" w:color="000000" w:fill="E6E6E6"/>
            <w:noWrap/>
            <w:vAlign w:val="bottom"/>
            <w:hideMark/>
          </w:tcPr>
          <w:p w14:paraId="1A0D5212" w14:textId="162139F9" w:rsidR="008E235E" w:rsidRPr="008E235E" w:rsidRDefault="008E235E" w:rsidP="00216C12">
            <w:pPr>
              <w:spacing w:after="0" w:line="240" w:lineRule="auto"/>
              <w:jc w:val="right"/>
              <w:rPr>
                <w:rFonts w:ascii="Arial" w:hAnsi="Arial" w:cs="Arial"/>
                <w:b/>
                <w:bCs/>
                <w:color w:val="000000"/>
                <w:sz w:val="16"/>
                <w:szCs w:val="16"/>
              </w:rPr>
            </w:pPr>
            <w:r w:rsidRPr="008E235E">
              <w:rPr>
                <w:rFonts w:ascii="Arial" w:hAnsi="Arial" w:cs="Arial"/>
                <w:b/>
                <w:bCs/>
                <w:color w:val="000000"/>
                <w:sz w:val="16"/>
                <w:szCs w:val="16"/>
              </w:rPr>
              <w:t>23,300</w:t>
            </w:r>
          </w:p>
        </w:tc>
        <w:tc>
          <w:tcPr>
            <w:tcW w:w="877" w:type="dxa"/>
            <w:tcBorders>
              <w:top w:val="single" w:sz="4" w:space="0" w:color="auto"/>
              <w:left w:val="nil"/>
              <w:bottom w:val="single" w:sz="4" w:space="0" w:color="auto"/>
              <w:right w:val="nil"/>
            </w:tcBorders>
            <w:shd w:val="clear" w:color="auto" w:fill="auto"/>
            <w:noWrap/>
            <w:vAlign w:val="bottom"/>
            <w:hideMark/>
          </w:tcPr>
          <w:p w14:paraId="0C1243B9" w14:textId="13B9BE8E" w:rsidR="008E235E" w:rsidRPr="008E235E" w:rsidRDefault="008E235E" w:rsidP="00216C12">
            <w:pPr>
              <w:spacing w:after="0" w:line="240" w:lineRule="auto"/>
              <w:jc w:val="right"/>
              <w:rPr>
                <w:rFonts w:ascii="Arial" w:hAnsi="Arial" w:cs="Arial"/>
                <w:b/>
                <w:bCs/>
                <w:color w:val="000000"/>
                <w:sz w:val="16"/>
                <w:szCs w:val="16"/>
              </w:rPr>
            </w:pPr>
            <w:r w:rsidRPr="008E235E">
              <w:rPr>
                <w:rFonts w:ascii="Arial" w:hAnsi="Arial" w:cs="Arial"/>
                <w:b/>
                <w:bCs/>
                <w:color w:val="000000"/>
                <w:sz w:val="16"/>
                <w:szCs w:val="16"/>
              </w:rPr>
              <w:t>26,885</w:t>
            </w:r>
          </w:p>
        </w:tc>
        <w:tc>
          <w:tcPr>
            <w:tcW w:w="877" w:type="dxa"/>
            <w:tcBorders>
              <w:top w:val="single" w:sz="4" w:space="0" w:color="auto"/>
              <w:left w:val="nil"/>
              <w:bottom w:val="single" w:sz="4" w:space="0" w:color="auto"/>
              <w:right w:val="nil"/>
            </w:tcBorders>
            <w:shd w:val="clear" w:color="auto" w:fill="auto"/>
            <w:noWrap/>
            <w:vAlign w:val="bottom"/>
            <w:hideMark/>
          </w:tcPr>
          <w:p w14:paraId="33BCD91D" w14:textId="57D010CC" w:rsidR="008E235E" w:rsidRPr="008E235E" w:rsidRDefault="008E235E" w:rsidP="00216C12">
            <w:pPr>
              <w:spacing w:after="0" w:line="240" w:lineRule="auto"/>
              <w:jc w:val="right"/>
              <w:rPr>
                <w:rFonts w:ascii="Arial" w:hAnsi="Arial" w:cs="Arial"/>
                <w:b/>
                <w:bCs/>
                <w:color w:val="000000"/>
                <w:sz w:val="16"/>
                <w:szCs w:val="16"/>
              </w:rPr>
            </w:pPr>
            <w:r w:rsidRPr="008E235E">
              <w:rPr>
                <w:rFonts w:ascii="Arial" w:hAnsi="Arial" w:cs="Arial"/>
                <w:b/>
                <w:bCs/>
                <w:color w:val="000000"/>
                <w:sz w:val="16"/>
                <w:szCs w:val="16"/>
              </w:rPr>
              <w:t>24,005</w:t>
            </w:r>
          </w:p>
        </w:tc>
        <w:tc>
          <w:tcPr>
            <w:tcW w:w="877" w:type="dxa"/>
            <w:tcBorders>
              <w:top w:val="single" w:sz="4" w:space="0" w:color="auto"/>
              <w:left w:val="nil"/>
              <w:bottom w:val="single" w:sz="4" w:space="0" w:color="auto"/>
              <w:right w:val="nil"/>
            </w:tcBorders>
            <w:shd w:val="clear" w:color="auto" w:fill="auto"/>
            <w:noWrap/>
            <w:vAlign w:val="bottom"/>
            <w:hideMark/>
          </w:tcPr>
          <w:p w14:paraId="6EE1FD42" w14:textId="77777777" w:rsidR="008E235E" w:rsidRPr="008E235E" w:rsidRDefault="008E235E" w:rsidP="00216C12">
            <w:pPr>
              <w:spacing w:after="0" w:line="240" w:lineRule="auto"/>
              <w:jc w:val="right"/>
              <w:rPr>
                <w:rFonts w:ascii="Arial" w:hAnsi="Arial" w:cs="Arial"/>
                <w:b/>
                <w:bCs/>
                <w:color w:val="000000"/>
                <w:sz w:val="16"/>
                <w:szCs w:val="16"/>
              </w:rPr>
            </w:pPr>
            <w:r w:rsidRPr="008E235E">
              <w:rPr>
                <w:rFonts w:ascii="Arial" w:hAnsi="Arial" w:cs="Arial"/>
                <w:b/>
                <w:bCs/>
                <w:color w:val="000000"/>
                <w:sz w:val="16"/>
                <w:szCs w:val="16"/>
              </w:rPr>
              <w:t>(6,704)</w:t>
            </w:r>
          </w:p>
        </w:tc>
      </w:tr>
      <w:tr w:rsidR="008E235E" w:rsidRPr="008E235E" w14:paraId="053563BB" w14:textId="77777777" w:rsidTr="008E235E">
        <w:trPr>
          <w:trHeight w:val="204"/>
        </w:trPr>
        <w:tc>
          <w:tcPr>
            <w:tcW w:w="2856" w:type="dxa"/>
            <w:tcBorders>
              <w:top w:val="nil"/>
              <w:left w:val="nil"/>
              <w:bottom w:val="nil"/>
              <w:right w:val="nil"/>
            </w:tcBorders>
            <w:shd w:val="clear" w:color="auto" w:fill="auto"/>
            <w:noWrap/>
            <w:vAlign w:val="center"/>
            <w:hideMark/>
          </w:tcPr>
          <w:p w14:paraId="7E3C6015" w14:textId="77777777" w:rsidR="008E235E" w:rsidRPr="008E235E" w:rsidRDefault="008E235E" w:rsidP="008E235E">
            <w:pPr>
              <w:spacing w:after="0" w:line="240" w:lineRule="auto"/>
              <w:jc w:val="left"/>
              <w:rPr>
                <w:rFonts w:ascii="Arial" w:hAnsi="Arial" w:cs="Arial"/>
                <w:b/>
                <w:bCs/>
                <w:color w:val="000000"/>
                <w:sz w:val="16"/>
                <w:szCs w:val="16"/>
              </w:rPr>
            </w:pPr>
            <w:r w:rsidRPr="008E235E">
              <w:rPr>
                <w:rFonts w:ascii="Arial" w:hAnsi="Arial" w:cs="Arial"/>
                <w:b/>
                <w:bCs/>
                <w:color w:val="000000"/>
                <w:sz w:val="16"/>
                <w:szCs w:val="16"/>
              </w:rPr>
              <w:t>INVESTING ACTIVITIES</w:t>
            </w:r>
          </w:p>
        </w:tc>
        <w:tc>
          <w:tcPr>
            <w:tcW w:w="876" w:type="dxa"/>
            <w:tcBorders>
              <w:top w:val="nil"/>
              <w:left w:val="nil"/>
              <w:bottom w:val="nil"/>
              <w:right w:val="nil"/>
            </w:tcBorders>
            <w:shd w:val="clear" w:color="auto" w:fill="auto"/>
            <w:noWrap/>
            <w:vAlign w:val="bottom"/>
            <w:hideMark/>
          </w:tcPr>
          <w:p w14:paraId="6D3EF50B" w14:textId="77777777" w:rsidR="008E235E" w:rsidRPr="008E235E" w:rsidRDefault="008E235E" w:rsidP="00216C12">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234BAB19" w14:textId="64213953" w:rsidR="008E235E" w:rsidRPr="008E235E" w:rsidRDefault="008E235E" w:rsidP="00216C12">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8EF9A8D" w14:textId="77777777" w:rsidR="008E235E" w:rsidRPr="008E235E" w:rsidRDefault="008E235E" w:rsidP="00216C12">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B08DD1B" w14:textId="77777777" w:rsidR="008E235E" w:rsidRPr="008E235E" w:rsidRDefault="008E235E" w:rsidP="00216C12">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6E170C07" w14:textId="77777777" w:rsidR="008E235E" w:rsidRPr="008E235E" w:rsidRDefault="008E235E" w:rsidP="00216C12">
            <w:pPr>
              <w:spacing w:after="0" w:line="240" w:lineRule="auto"/>
              <w:jc w:val="right"/>
              <w:rPr>
                <w:rFonts w:ascii="Times New Roman" w:hAnsi="Times New Roman"/>
              </w:rPr>
            </w:pPr>
          </w:p>
        </w:tc>
      </w:tr>
      <w:tr w:rsidR="008E235E" w:rsidRPr="008E235E" w14:paraId="214C2E76" w14:textId="77777777" w:rsidTr="008E235E">
        <w:trPr>
          <w:trHeight w:val="204"/>
        </w:trPr>
        <w:tc>
          <w:tcPr>
            <w:tcW w:w="2856" w:type="dxa"/>
            <w:tcBorders>
              <w:top w:val="nil"/>
              <w:left w:val="nil"/>
              <w:bottom w:val="nil"/>
              <w:right w:val="nil"/>
            </w:tcBorders>
            <w:shd w:val="clear" w:color="auto" w:fill="auto"/>
            <w:noWrap/>
            <w:vAlign w:val="center"/>
            <w:hideMark/>
          </w:tcPr>
          <w:p w14:paraId="6C3FA1B9" w14:textId="77777777" w:rsidR="008E235E" w:rsidRPr="008E235E" w:rsidRDefault="008E235E" w:rsidP="008E235E">
            <w:pPr>
              <w:spacing w:after="0" w:line="240" w:lineRule="auto"/>
              <w:jc w:val="left"/>
              <w:rPr>
                <w:rFonts w:ascii="Arial" w:hAnsi="Arial" w:cs="Arial"/>
                <w:b/>
                <w:bCs/>
                <w:color w:val="000000"/>
                <w:sz w:val="16"/>
                <w:szCs w:val="16"/>
              </w:rPr>
            </w:pPr>
            <w:r w:rsidRPr="008E235E">
              <w:rPr>
                <w:rFonts w:ascii="Arial" w:hAnsi="Arial" w:cs="Arial"/>
                <w:b/>
                <w:bCs/>
                <w:color w:val="000000"/>
                <w:sz w:val="16"/>
                <w:szCs w:val="16"/>
              </w:rPr>
              <w:t>Cash used</w:t>
            </w:r>
          </w:p>
        </w:tc>
        <w:tc>
          <w:tcPr>
            <w:tcW w:w="876" w:type="dxa"/>
            <w:tcBorders>
              <w:top w:val="nil"/>
              <w:left w:val="nil"/>
              <w:bottom w:val="nil"/>
              <w:right w:val="nil"/>
            </w:tcBorders>
            <w:shd w:val="clear" w:color="auto" w:fill="auto"/>
            <w:noWrap/>
            <w:vAlign w:val="bottom"/>
            <w:hideMark/>
          </w:tcPr>
          <w:p w14:paraId="602C172A" w14:textId="77777777" w:rsidR="008E235E" w:rsidRPr="008E235E" w:rsidRDefault="008E235E" w:rsidP="00216C12">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168181E6" w14:textId="69A10F79" w:rsidR="008E235E" w:rsidRPr="008E235E" w:rsidRDefault="008E235E" w:rsidP="00216C12">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1610DA7" w14:textId="77777777" w:rsidR="008E235E" w:rsidRPr="008E235E" w:rsidRDefault="008E235E" w:rsidP="00216C12">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035582E2" w14:textId="77777777" w:rsidR="008E235E" w:rsidRPr="008E235E" w:rsidRDefault="008E235E" w:rsidP="00216C12">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028AC8F6" w14:textId="77777777" w:rsidR="008E235E" w:rsidRPr="008E235E" w:rsidRDefault="008E235E" w:rsidP="00216C12">
            <w:pPr>
              <w:spacing w:after="0" w:line="240" w:lineRule="auto"/>
              <w:jc w:val="right"/>
              <w:rPr>
                <w:rFonts w:ascii="Times New Roman" w:hAnsi="Times New Roman"/>
              </w:rPr>
            </w:pPr>
          </w:p>
        </w:tc>
      </w:tr>
      <w:tr w:rsidR="008E235E" w:rsidRPr="008E235E" w14:paraId="21BC452D" w14:textId="77777777" w:rsidTr="008E235E">
        <w:trPr>
          <w:trHeight w:val="204"/>
        </w:trPr>
        <w:tc>
          <w:tcPr>
            <w:tcW w:w="2856" w:type="dxa"/>
            <w:tcBorders>
              <w:top w:val="nil"/>
              <w:left w:val="nil"/>
              <w:bottom w:val="nil"/>
              <w:right w:val="nil"/>
            </w:tcBorders>
            <w:shd w:val="clear" w:color="auto" w:fill="auto"/>
            <w:vAlign w:val="center"/>
            <w:hideMark/>
          </w:tcPr>
          <w:p w14:paraId="029F3C11" w14:textId="6301038D" w:rsidR="008E235E" w:rsidRPr="008E235E" w:rsidRDefault="008E235E" w:rsidP="00307BC3">
            <w:pPr>
              <w:spacing w:after="0" w:line="240" w:lineRule="auto"/>
              <w:ind w:left="113"/>
              <w:jc w:val="left"/>
              <w:rPr>
                <w:rFonts w:ascii="Arial" w:hAnsi="Arial" w:cs="Arial"/>
                <w:color w:val="000000"/>
                <w:sz w:val="16"/>
                <w:szCs w:val="16"/>
              </w:rPr>
            </w:pPr>
            <w:r w:rsidRPr="008E235E">
              <w:rPr>
                <w:rFonts w:ascii="Arial" w:hAnsi="Arial" w:cs="Arial"/>
                <w:color w:val="000000"/>
                <w:sz w:val="16"/>
                <w:szCs w:val="16"/>
              </w:rPr>
              <w:t>Purchase of property, plant and</w:t>
            </w:r>
            <w:r>
              <w:rPr>
                <w:rFonts w:ascii="Arial" w:hAnsi="Arial" w:cs="Arial"/>
                <w:color w:val="000000"/>
                <w:sz w:val="16"/>
                <w:szCs w:val="16"/>
              </w:rPr>
              <w:t xml:space="preserve"> </w:t>
            </w:r>
            <w:r w:rsidRPr="008E235E">
              <w:rPr>
                <w:rFonts w:ascii="Arial" w:hAnsi="Arial" w:cs="Arial"/>
                <w:color w:val="000000"/>
                <w:sz w:val="16"/>
                <w:szCs w:val="16"/>
              </w:rPr>
              <w:t>equipment and intangibles</w:t>
            </w:r>
          </w:p>
        </w:tc>
        <w:tc>
          <w:tcPr>
            <w:tcW w:w="876" w:type="dxa"/>
            <w:tcBorders>
              <w:top w:val="nil"/>
              <w:left w:val="nil"/>
              <w:bottom w:val="nil"/>
              <w:right w:val="nil"/>
            </w:tcBorders>
            <w:shd w:val="clear" w:color="auto" w:fill="auto"/>
            <w:noWrap/>
            <w:vAlign w:val="bottom"/>
            <w:hideMark/>
          </w:tcPr>
          <w:p w14:paraId="31D00D00" w14:textId="62DB8B7E"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15,780</w:t>
            </w:r>
          </w:p>
        </w:tc>
        <w:tc>
          <w:tcPr>
            <w:tcW w:w="877" w:type="dxa"/>
            <w:tcBorders>
              <w:top w:val="nil"/>
              <w:left w:val="nil"/>
              <w:bottom w:val="nil"/>
              <w:right w:val="nil"/>
            </w:tcBorders>
            <w:shd w:val="clear" w:color="000000" w:fill="E6E6E6"/>
            <w:noWrap/>
            <w:vAlign w:val="bottom"/>
            <w:hideMark/>
          </w:tcPr>
          <w:p w14:paraId="158F9504" w14:textId="1B834841"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21,841</w:t>
            </w:r>
          </w:p>
        </w:tc>
        <w:tc>
          <w:tcPr>
            <w:tcW w:w="877" w:type="dxa"/>
            <w:tcBorders>
              <w:top w:val="nil"/>
              <w:left w:val="nil"/>
              <w:bottom w:val="nil"/>
              <w:right w:val="nil"/>
            </w:tcBorders>
            <w:shd w:val="clear" w:color="auto" w:fill="auto"/>
            <w:noWrap/>
            <w:vAlign w:val="bottom"/>
            <w:hideMark/>
          </w:tcPr>
          <w:p w14:paraId="40548708" w14:textId="1677932C"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27,967</w:t>
            </w:r>
          </w:p>
        </w:tc>
        <w:tc>
          <w:tcPr>
            <w:tcW w:w="877" w:type="dxa"/>
            <w:tcBorders>
              <w:top w:val="nil"/>
              <w:left w:val="nil"/>
              <w:bottom w:val="nil"/>
              <w:right w:val="nil"/>
            </w:tcBorders>
            <w:shd w:val="clear" w:color="auto" w:fill="auto"/>
            <w:noWrap/>
            <w:vAlign w:val="bottom"/>
            <w:hideMark/>
          </w:tcPr>
          <w:p w14:paraId="05CD09D0" w14:textId="0455C33F"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8,094</w:t>
            </w:r>
          </w:p>
        </w:tc>
        <w:tc>
          <w:tcPr>
            <w:tcW w:w="877" w:type="dxa"/>
            <w:tcBorders>
              <w:top w:val="nil"/>
              <w:left w:val="nil"/>
              <w:bottom w:val="nil"/>
              <w:right w:val="nil"/>
            </w:tcBorders>
            <w:shd w:val="clear" w:color="auto" w:fill="auto"/>
            <w:noWrap/>
            <w:vAlign w:val="bottom"/>
            <w:hideMark/>
          </w:tcPr>
          <w:p w14:paraId="25FE241D" w14:textId="69300D91"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11,197</w:t>
            </w:r>
          </w:p>
        </w:tc>
      </w:tr>
      <w:tr w:rsidR="008E235E" w:rsidRPr="008E235E" w14:paraId="17248441" w14:textId="77777777" w:rsidTr="00D47D34">
        <w:trPr>
          <w:trHeight w:val="204"/>
        </w:trPr>
        <w:tc>
          <w:tcPr>
            <w:tcW w:w="2856" w:type="dxa"/>
            <w:tcBorders>
              <w:top w:val="nil"/>
              <w:left w:val="nil"/>
              <w:right w:val="nil"/>
            </w:tcBorders>
            <w:shd w:val="clear" w:color="auto" w:fill="auto"/>
            <w:noWrap/>
            <w:vAlign w:val="center"/>
            <w:hideMark/>
          </w:tcPr>
          <w:p w14:paraId="4EB6A49E" w14:textId="77777777" w:rsidR="008E235E" w:rsidRPr="008E235E" w:rsidRDefault="008E235E" w:rsidP="008E235E">
            <w:pPr>
              <w:spacing w:after="0" w:line="240" w:lineRule="auto"/>
              <w:jc w:val="left"/>
              <w:rPr>
                <w:rFonts w:ascii="Arial" w:hAnsi="Arial" w:cs="Arial"/>
                <w:b/>
                <w:bCs/>
                <w:i/>
                <w:iCs/>
                <w:color w:val="000000"/>
                <w:sz w:val="16"/>
                <w:szCs w:val="16"/>
              </w:rPr>
            </w:pPr>
            <w:r w:rsidRPr="008E235E">
              <w:rPr>
                <w:rFonts w:ascii="Arial" w:hAnsi="Arial" w:cs="Arial"/>
                <w:b/>
                <w:bCs/>
                <w:i/>
                <w:iCs/>
                <w:color w:val="000000"/>
                <w:sz w:val="16"/>
                <w:szCs w:val="16"/>
              </w:rPr>
              <w:t>Total cash used</w:t>
            </w:r>
          </w:p>
        </w:tc>
        <w:tc>
          <w:tcPr>
            <w:tcW w:w="876" w:type="dxa"/>
            <w:tcBorders>
              <w:top w:val="single" w:sz="4" w:space="0" w:color="000000"/>
              <w:left w:val="nil"/>
              <w:bottom w:val="single" w:sz="4" w:space="0" w:color="000000"/>
              <w:right w:val="nil"/>
            </w:tcBorders>
            <w:shd w:val="clear" w:color="auto" w:fill="auto"/>
            <w:noWrap/>
            <w:vAlign w:val="bottom"/>
            <w:hideMark/>
          </w:tcPr>
          <w:p w14:paraId="4FD60FFF" w14:textId="73857107" w:rsidR="008E235E" w:rsidRPr="008E235E" w:rsidRDefault="008E235E" w:rsidP="00216C12">
            <w:pPr>
              <w:spacing w:after="0" w:line="240" w:lineRule="auto"/>
              <w:jc w:val="right"/>
              <w:rPr>
                <w:rFonts w:ascii="Arial" w:hAnsi="Arial" w:cs="Arial"/>
                <w:b/>
                <w:bCs/>
                <w:i/>
                <w:iCs/>
                <w:sz w:val="16"/>
                <w:szCs w:val="16"/>
              </w:rPr>
            </w:pPr>
            <w:r w:rsidRPr="008E235E">
              <w:rPr>
                <w:rFonts w:ascii="Arial" w:hAnsi="Arial" w:cs="Arial"/>
                <w:b/>
                <w:bCs/>
                <w:i/>
                <w:iCs/>
                <w:sz w:val="16"/>
                <w:szCs w:val="16"/>
              </w:rPr>
              <w:t>15,780</w:t>
            </w:r>
          </w:p>
        </w:tc>
        <w:tc>
          <w:tcPr>
            <w:tcW w:w="877" w:type="dxa"/>
            <w:tcBorders>
              <w:top w:val="single" w:sz="4" w:space="0" w:color="000000"/>
              <w:left w:val="nil"/>
              <w:bottom w:val="single" w:sz="4" w:space="0" w:color="000000"/>
              <w:right w:val="nil"/>
            </w:tcBorders>
            <w:shd w:val="clear" w:color="000000" w:fill="E6E6E6"/>
            <w:noWrap/>
            <w:vAlign w:val="bottom"/>
            <w:hideMark/>
          </w:tcPr>
          <w:p w14:paraId="6230983B" w14:textId="614E1553" w:rsidR="008E235E" w:rsidRPr="008E235E" w:rsidRDefault="008E235E" w:rsidP="00216C12">
            <w:pPr>
              <w:spacing w:after="0" w:line="240" w:lineRule="auto"/>
              <w:jc w:val="right"/>
              <w:rPr>
                <w:rFonts w:ascii="Arial" w:hAnsi="Arial" w:cs="Arial"/>
                <w:b/>
                <w:bCs/>
                <w:i/>
                <w:iCs/>
                <w:color w:val="000000"/>
                <w:sz w:val="16"/>
                <w:szCs w:val="16"/>
              </w:rPr>
            </w:pPr>
            <w:r w:rsidRPr="008E235E">
              <w:rPr>
                <w:rFonts w:ascii="Arial" w:hAnsi="Arial" w:cs="Arial"/>
                <w:b/>
                <w:bCs/>
                <w:i/>
                <w:iCs/>
                <w:color w:val="000000"/>
                <w:sz w:val="16"/>
                <w:szCs w:val="16"/>
              </w:rPr>
              <w:t>21,841</w:t>
            </w:r>
          </w:p>
        </w:tc>
        <w:tc>
          <w:tcPr>
            <w:tcW w:w="877" w:type="dxa"/>
            <w:tcBorders>
              <w:top w:val="single" w:sz="4" w:space="0" w:color="000000"/>
              <w:left w:val="nil"/>
              <w:bottom w:val="single" w:sz="4" w:space="0" w:color="000000"/>
              <w:right w:val="nil"/>
            </w:tcBorders>
            <w:shd w:val="clear" w:color="auto" w:fill="auto"/>
            <w:noWrap/>
            <w:vAlign w:val="bottom"/>
            <w:hideMark/>
          </w:tcPr>
          <w:p w14:paraId="7D4CED2A" w14:textId="0B94EDB1" w:rsidR="008E235E" w:rsidRPr="008E235E" w:rsidRDefault="008E235E" w:rsidP="00216C12">
            <w:pPr>
              <w:spacing w:after="0" w:line="240" w:lineRule="auto"/>
              <w:jc w:val="right"/>
              <w:rPr>
                <w:rFonts w:ascii="Arial" w:hAnsi="Arial" w:cs="Arial"/>
                <w:b/>
                <w:bCs/>
                <w:i/>
                <w:iCs/>
                <w:color w:val="000000"/>
                <w:sz w:val="16"/>
                <w:szCs w:val="16"/>
              </w:rPr>
            </w:pPr>
            <w:r w:rsidRPr="008E235E">
              <w:rPr>
                <w:rFonts w:ascii="Arial" w:hAnsi="Arial" w:cs="Arial"/>
                <w:b/>
                <w:bCs/>
                <w:i/>
                <w:iCs/>
                <w:color w:val="000000"/>
                <w:sz w:val="16"/>
                <w:szCs w:val="16"/>
              </w:rPr>
              <w:t>27,967</w:t>
            </w:r>
          </w:p>
        </w:tc>
        <w:tc>
          <w:tcPr>
            <w:tcW w:w="877" w:type="dxa"/>
            <w:tcBorders>
              <w:top w:val="single" w:sz="4" w:space="0" w:color="000000"/>
              <w:left w:val="nil"/>
              <w:bottom w:val="single" w:sz="4" w:space="0" w:color="000000"/>
              <w:right w:val="nil"/>
            </w:tcBorders>
            <w:shd w:val="clear" w:color="auto" w:fill="auto"/>
            <w:noWrap/>
            <w:vAlign w:val="bottom"/>
            <w:hideMark/>
          </w:tcPr>
          <w:p w14:paraId="0B336D61" w14:textId="6B6F5F4A" w:rsidR="008E235E" w:rsidRPr="008E235E" w:rsidRDefault="008E235E" w:rsidP="00216C12">
            <w:pPr>
              <w:spacing w:after="0" w:line="240" w:lineRule="auto"/>
              <w:jc w:val="right"/>
              <w:rPr>
                <w:rFonts w:ascii="Arial" w:hAnsi="Arial" w:cs="Arial"/>
                <w:b/>
                <w:bCs/>
                <w:i/>
                <w:iCs/>
                <w:color w:val="000000"/>
                <w:sz w:val="16"/>
                <w:szCs w:val="16"/>
              </w:rPr>
            </w:pPr>
            <w:r w:rsidRPr="008E235E">
              <w:rPr>
                <w:rFonts w:ascii="Arial" w:hAnsi="Arial" w:cs="Arial"/>
                <w:b/>
                <w:bCs/>
                <w:i/>
                <w:iCs/>
                <w:color w:val="000000"/>
                <w:sz w:val="16"/>
                <w:szCs w:val="16"/>
              </w:rPr>
              <w:t>8,094</w:t>
            </w:r>
          </w:p>
        </w:tc>
        <w:tc>
          <w:tcPr>
            <w:tcW w:w="877" w:type="dxa"/>
            <w:tcBorders>
              <w:top w:val="single" w:sz="4" w:space="0" w:color="000000"/>
              <w:left w:val="nil"/>
              <w:bottom w:val="single" w:sz="4" w:space="0" w:color="000000"/>
              <w:right w:val="nil"/>
            </w:tcBorders>
            <w:shd w:val="clear" w:color="auto" w:fill="auto"/>
            <w:noWrap/>
            <w:vAlign w:val="bottom"/>
            <w:hideMark/>
          </w:tcPr>
          <w:p w14:paraId="4EF7E54C" w14:textId="2AA7785E" w:rsidR="008E235E" w:rsidRPr="008E235E" w:rsidRDefault="008E235E" w:rsidP="00216C12">
            <w:pPr>
              <w:spacing w:after="0" w:line="240" w:lineRule="auto"/>
              <w:jc w:val="right"/>
              <w:rPr>
                <w:rFonts w:ascii="Arial" w:hAnsi="Arial" w:cs="Arial"/>
                <w:b/>
                <w:bCs/>
                <w:i/>
                <w:iCs/>
                <w:color w:val="000000"/>
                <w:sz w:val="16"/>
                <w:szCs w:val="16"/>
              </w:rPr>
            </w:pPr>
            <w:r w:rsidRPr="008E235E">
              <w:rPr>
                <w:rFonts w:ascii="Arial" w:hAnsi="Arial" w:cs="Arial"/>
                <w:b/>
                <w:bCs/>
                <w:i/>
                <w:iCs/>
                <w:color w:val="000000"/>
                <w:sz w:val="16"/>
                <w:szCs w:val="16"/>
              </w:rPr>
              <w:t>11,197</w:t>
            </w:r>
          </w:p>
        </w:tc>
      </w:tr>
      <w:tr w:rsidR="008E235E" w:rsidRPr="008E235E" w14:paraId="51E11E3E" w14:textId="77777777" w:rsidTr="00D47D34">
        <w:trPr>
          <w:trHeight w:val="204"/>
        </w:trPr>
        <w:tc>
          <w:tcPr>
            <w:tcW w:w="2856" w:type="dxa"/>
            <w:tcBorders>
              <w:top w:val="nil"/>
              <w:left w:val="nil"/>
              <w:right w:val="nil"/>
            </w:tcBorders>
            <w:shd w:val="clear" w:color="auto" w:fill="auto"/>
            <w:vAlign w:val="center"/>
            <w:hideMark/>
          </w:tcPr>
          <w:p w14:paraId="6EF27DD0" w14:textId="21423BA5" w:rsidR="008E235E" w:rsidRPr="008E235E" w:rsidRDefault="008E235E" w:rsidP="008E235E">
            <w:pPr>
              <w:spacing w:after="0" w:line="240" w:lineRule="auto"/>
              <w:jc w:val="left"/>
              <w:rPr>
                <w:rFonts w:ascii="Arial" w:hAnsi="Arial" w:cs="Arial"/>
                <w:b/>
                <w:bCs/>
                <w:color w:val="000000"/>
                <w:sz w:val="16"/>
                <w:szCs w:val="16"/>
              </w:rPr>
            </w:pPr>
            <w:r w:rsidRPr="008E235E">
              <w:rPr>
                <w:rFonts w:ascii="Arial" w:hAnsi="Arial" w:cs="Arial"/>
                <w:b/>
                <w:bCs/>
                <w:color w:val="000000"/>
                <w:sz w:val="16"/>
                <w:szCs w:val="16"/>
              </w:rPr>
              <w:t>Net cash from/(used by)</w:t>
            </w:r>
            <w:r>
              <w:rPr>
                <w:rFonts w:ascii="Arial" w:hAnsi="Arial" w:cs="Arial"/>
                <w:b/>
                <w:bCs/>
                <w:color w:val="000000"/>
                <w:sz w:val="16"/>
                <w:szCs w:val="16"/>
              </w:rPr>
              <w:t xml:space="preserve"> </w:t>
            </w:r>
            <w:r w:rsidRPr="008E235E">
              <w:rPr>
                <w:rFonts w:ascii="Arial" w:hAnsi="Arial" w:cs="Arial"/>
                <w:b/>
                <w:bCs/>
                <w:color w:val="000000"/>
                <w:sz w:val="16"/>
                <w:szCs w:val="16"/>
              </w:rPr>
              <w:t>investing activities</w:t>
            </w:r>
          </w:p>
        </w:tc>
        <w:tc>
          <w:tcPr>
            <w:tcW w:w="876" w:type="dxa"/>
            <w:tcBorders>
              <w:top w:val="nil"/>
              <w:left w:val="nil"/>
              <w:bottom w:val="single" w:sz="4" w:space="0" w:color="auto"/>
              <w:right w:val="nil"/>
            </w:tcBorders>
            <w:shd w:val="clear" w:color="auto" w:fill="auto"/>
            <w:noWrap/>
            <w:vAlign w:val="bottom"/>
            <w:hideMark/>
          </w:tcPr>
          <w:p w14:paraId="67D18A59" w14:textId="77777777" w:rsidR="008E235E" w:rsidRPr="008E235E" w:rsidRDefault="008E235E" w:rsidP="00216C12">
            <w:pPr>
              <w:spacing w:after="0" w:line="240" w:lineRule="auto"/>
              <w:jc w:val="right"/>
              <w:rPr>
                <w:rFonts w:ascii="Arial" w:hAnsi="Arial" w:cs="Arial"/>
                <w:b/>
                <w:bCs/>
                <w:color w:val="000000"/>
                <w:sz w:val="16"/>
                <w:szCs w:val="16"/>
              </w:rPr>
            </w:pPr>
            <w:r w:rsidRPr="008E235E">
              <w:rPr>
                <w:rFonts w:ascii="Arial" w:hAnsi="Arial" w:cs="Arial"/>
                <w:b/>
                <w:bCs/>
                <w:color w:val="000000"/>
                <w:sz w:val="16"/>
                <w:szCs w:val="16"/>
              </w:rPr>
              <w:t>(15,780)</w:t>
            </w:r>
          </w:p>
        </w:tc>
        <w:tc>
          <w:tcPr>
            <w:tcW w:w="877" w:type="dxa"/>
            <w:tcBorders>
              <w:top w:val="nil"/>
              <w:left w:val="nil"/>
              <w:bottom w:val="single" w:sz="4" w:space="0" w:color="auto"/>
              <w:right w:val="nil"/>
            </w:tcBorders>
            <w:shd w:val="clear" w:color="000000" w:fill="E6E6E6"/>
            <w:noWrap/>
            <w:vAlign w:val="bottom"/>
            <w:hideMark/>
          </w:tcPr>
          <w:p w14:paraId="6CB566D9" w14:textId="77777777" w:rsidR="008E235E" w:rsidRPr="008E235E" w:rsidRDefault="008E235E" w:rsidP="00216C12">
            <w:pPr>
              <w:spacing w:after="0" w:line="240" w:lineRule="auto"/>
              <w:jc w:val="right"/>
              <w:rPr>
                <w:rFonts w:ascii="Arial" w:hAnsi="Arial" w:cs="Arial"/>
                <w:b/>
                <w:bCs/>
                <w:color w:val="000000"/>
                <w:sz w:val="16"/>
                <w:szCs w:val="16"/>
              </w:rPr>
            </w:pPr>
            <w:r w:rsidRPr="008E235E">
              <w:rPr>
                <w:rFonts w:ascii="Arial" w:hAnsi="Arial" w:cs="Arial"/>
                <w:b/>
                <w:bCs/>
                <w:color w:val="000000"/>
                <w:sz w:val="16"/>
                <w:szCs w:val="16"/>
              </w:rPr>
              <w:t>(21,841)</w:t>
            </w:r>
          </w:p>
        </w:tc>
        <w:tc>
          <w:tcPr>
            <w:tcW w:w="877" w:type="dxa"/>
            <w:tcBorders>
              <w:top w:val="nil"/>
              <w:left w:val="nil"/>
              <w:bottom w:val="single" w:sz="4" w:space="0" w:color="auto"/>
              <w:right w:val="nil"/>
            </w:tcBorders>
            <w:shd w:val="clear" w:color="auto" w:fill="auto"/>
            <w:noWrap/>
            <w:vAlign w:val="bottom"/>
            <w:hideMark/>
          </w:tcPr>
          <w:p w14:paraId="06378FF7" w14:textId="77777777" w:rsidR="008E235E" w:rsidRPr="008E235E" w:rsidRDefault="008E235E" w:rsidP="00216C12">
            <w:pPr>
              <w:spacing w:after="0" w:line="240" w:lineRule="auto"/>
              <w:jc w:val="right"/>
              <w:rPr>
                <w:rFonts w:ascii="Arial" w:hAnsi="Arial" w:cs="Arial"/>
                <w:b/>
                <w:bCs/>
                <w:color w:val="000000"/>
                <w:sz w:val="16"/>
                <w:szCs w:val="16"/>
              </w:rPr>
            </w:pPr>
            <w:r w:rsidRPr="008E235E">
              <w:rPr>
                <w:rFonts w:ascii="Arial" w:hAnsi="Arial" w:cs="Arial"/>
                <w:b/>
                <w:bCs/>
                <w:color w:val="000000"/>
                <w:sz w:val="16"/>
                <w:szCs w:val="16"/>
              </w:rPr>
              <w:t>(27,967)</w:t>
            </w:r>
          </w:p>
        </w:tc>
        <w:tc>
          <w:tcPr>
            <w:tcW w:w="877" w:type="dxa"/>
            <w:tcBorders>
              <w:top w:val="nil"/>
              <w:left w:val="nil"/>
              <w:bottom w:val="single" w:sz="4" w:space="0" w:color="auto"/>
              <w:right w:val="nil"/>
            </w:tcBorders>
            <w:shd w:val="clear" w:color="auto" w:fill="auto"/>
            <w:noWrap/>
            <w:vAlign w:val="bottom"/>
            <w:hideMark/>
          </w:tcPr>
          <w:p w14:paraId="1C9AB765" w14:textId="77777777" w:rsidR="008E235E" w:rsidRPr="008E235E" w:rsidRDefault="008E235E" w:rsidP="00216C12">
            <w:pPr>
              <w:spacing w:after="0" w:line="240" w:lineRule="auto"/>
              <w:jc w:val="right"/>
              <w:rPr>
                <w:rFonts w:ascii="Arial" w:hAnsi="Arial" w:cs="Arial"/>
                <w:b/>
                <w:bCs/>
                <w:color w:val="000000"/>
                <w:sz w:val="16"/>
                <w:szCs w:val="16"/>
              </w:rPr>
            </w:pPr>
            <w:r w:rsidRPr="008E235E">
              <w:rPr>
                <w:rFonts w:ascii="Arial" w:hAnsi="Arial" w:cs="Arial"/>
                <w:b/>
                <w:bCs/>
                <w:color w:val="000000"/>
                <w:sz w:val="16"/>
                <w:szCs w:val="16"/>
              </w:rPr>
              <w:t>(8,094)</w:t>
            </w:r>
          </w:p>
        </w:tc>
        <w:tc>
          <w:tcPr>
            <w:tcW w:w="877" w:type="dxa"/>
            <w:tcBorders>
              <w:top w:val="nil"/>
              <w:left w:val="nil"/>
              <w:bottom w:val="single" w:sz="4" w:space="0" w:color="auto"/>
              <w:right w:val="nil"/>
            </w:tcBorders>
            <w:shd w:val="clear" w:color="auto" w:fill="auto"/>
            <w:noWrap/>
            <w:vAlign w:val="bottom"/>
            <w:hideMark/>
          </w:tcPr>
          <w:p w14:paraId="767A6E29" w14:textId="77777777" w:rsidR="008E235E" w:rsidRPr="008E235E" w:rsidRDefault="008E235E" w:rsidP="00216C12">
            <w:pPr>
              <w:spacing w:after="0" w:line="240" w:lineRule="auto"/>
              <w:jc w:val="right"/>
              <w:rPr>
                <w:rFonts w:ascii="Arial" w:hAnsi="Arial" w:cs="Arial"/>
                <w:b/>
                <w:bCs/>
                <w:color w:val="000000"/>
                <w:sz w:val="16"/>
                <w:szCs w:val="16"/>
              </w:rPr>
            </w:pPr>
            <w:r w:rsidRPr="008E235E">
              <w:rPr>
                <w:rFonts w:ascii="Arial" w:hAnsi="Arial" w:cs="Arial"/>
                <w:b/>
                <w:bCs/>
                <w:color w:val="000000"/>
                <w:sz w:val="16"/>
                <w:szCs w:val="16"/>
              </w:rPr>
              <w:t>(11,197)</w:t>
            </w:r>
          </w:p>
        </w:tc>
      </w:tr>
      <w:tr w:rsidR="008E235E" w:rsidRPr="008E235E" w14:paraId="61EE1C40" w14:textId="77777777" w:rsidTr="008E235E">
        <w:trPr>
          <w:trHeight w:val="204"/>
        </w:trPr>
        <w:tc>
          <w:tcPr>
            <w:tcW w:w="2856" w:type="dxa"/>
            <w:tcBorders>
              <w:top w:val="nil"/>
              <w:left w:val="nil"/>
              <w:bottom w:val="nil"/>
              <w:right w:val="nil"/>
            </w:tcBorders>
            <w:shd w:val="clear" w:color="auto" w:fill="auto"/>
            <w:noWrap/>
            <w:vAlign w:val="center"/>
            <w:hideMark/>
          </w:tcPr>
          <w:p w14:paraId="44521A66" w14:textId="77777777" w:rsidR="008E235E" w:rsidRPr="008E235E" w:rsidRDefault="008E235E" w:rsidP="008E235E">
            <w:pPr>
              <w:spacing w:after="0" w:line="240" w:lineRule="auto"/>
              <w:jc w:val="left"/>
              <w:rPr>
                <w:rFonts w:ascii="Arial" w:hAnsi="Arial" w:cs="Arial"/>
                <w:b/>
                <w:bCs/>
                <w:color w:val="000000"/>
                <w:sz w:val="16"/>
                <w:szCs w:val="16"/>
              </w:rPr>
            </w:pPr>
            <w:r w:rsidRPr="008E235E">
              <w:rPr>
                <w:rFonts w:ascii="Arial" w:hAnsi="Arial" w:cs="Arial"/>
                <w:b/>
                <w:bCs/>
                <w:color w:val="000000"/>
                <w:sz w:val="16"/>
                <w:szCs w:val="16"/>
              </w:rPr>
              <w:t>FINANCING ACTIVITIES</w:t>
            </w:r>
          </w:p>
        </w:tc>
        <w:tc>
          <w:tcPr>
            <w:tcW w:w="876" w:type="dxa"/>
            <w:tcBorders>
              <w:top w:val="nil"/>
              <w:left w:val="nil"/>
              <w:bottom w:val="nil"/>
              <w:right w:val="nil"/>
            </w:tcBorders>
            <w:shd w:val="clear" w:color="auto" w:fill="auto"/>
            <w:noWrap/>
            <w:vAlign w:val="bottom"/>
            <w:hideMark/>
          </w:tcPr>
          <w:p w14:paraId="1CCB87C9" w14:textId="77777777" w:rsidR="008E235E" w:rsidRPr="008E235E" w:rsidRDefault="008E235E" w:rsidP="00216C12">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4724DD7F" w14:textId="75C189EF" w:rsidR="008E235E" w:rsidRPr="008E235E" w:rsidRDefault="008E235E" w:rsidP="00216C12">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C5222CE" w14:textId="77777777" w:rsidR="008E235E" w:rsidRPr="008E235E" w:rsidRDefault="008E235E" w:rsidP="00216C12">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60E3897" w14:textId="77777777" w:rsidR="008E235E" w:rsidRPr="008E235E" w:rsidRDefault="008E235E" w:rsidP="00216C12">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0A9DC729" w14:textId="77777777" w:rsidR="008E235E" w:rsidRPr="008E235E" w:rsidRDefault="008E235E" w:rsidP="00216C12">
            <w:pPr>
              <w:spacing w:after="0" w:line="240" w:lineRule="auto"/>
              <w:jc w:val="right"/>
              <w:rPr>
                <w:rFonts w:ascii="Times New Roman" w:hAnsi="Times New Roman"/>
              </w:rPr>
            </w:pPr>
          </w:p>
        </w:tc>
      </w:tr>
      <w:tr w:rsidR="008E235E" w:rsidRPr="008E235E" w14:paraId="6B15195F" w14:textId="77777777" w:rsidTr="008E235E">
        <w:trPr>
          <w:trHeight w:val="204"/>
        </w:trPr>
        <w:tc>
          <w:tcPr>
            <w:tcW w:w="2856" w:type="dxa"/>
            <w:tcBorders>
              <w:top w:val="nil"/>
              <w:left w:val="nil"/>
              <w:bottom w:val="nil"/>
              <w:right w:val="nil"/>
            </w:tcBorders>
            <w:shd w:val="clear" w:color="auto" w:fill="auto"/>
            <w:noWrap/>
            <w:vAlign w:val="center"/>
            <w:hideMark/>
          </w:tcPr>
          <w:p w14:paraId="06BEB179" w14:textId="77777777" w:rsidR="008E235E" w:rsidRPr="008E235E" w:rsidRDefault="008E235E" w:rsidP="008E235E">
            <w:pPr>
              <w:spacing w:after="0" w:line="240" w:lineRule="auto"/>
              <w:jc w:val="left"/>
              <w:rPr>
                <w:rFonts w:ascii="Arial" w:hAnsi="Arial" w:cs="Arial"/>
                <w:b/>
                <w:bCs/>
                <w:color w:val="000000"/>
                <w:sz w:val="16"/>
                <w:szCs w:val="16"/>
              </w:rPr>
            </w:pPr>
            <w:r w:rsidRPr="008E235E">
              <w:rPr>
                <w:rFonts w:ascii="Arial" w:hAnsi="Arial" w:cs="Arial"/>
                <w:b/>
                <w:bCs/>
                <w:color w:val="000000"/>
                <w:sz w:val="16"/>
                <w:szCs w:val="16"/>
              </w:rPr>
              <w:t>Cash used</w:t>
            </w:r>
          </w:p>
        </w:tc>
        <w:tc>
          <w:tcPr>
            <w:tcW w:w="876" w:type="dxa"/>
            <w:tcBorders>
              <w:top w:val="nil"/>
              <w:left w:val="nil"/>
              <w:bottom w:val="nil"/>
              <w:right w:val="nil"/>
            </w:tcBorders>
            <w:shd w:val="clear" w:color="auto" w:fill="auto"/>
            <w:noWrap/>
            <w:vAlign w:val="bottom"/>
            <w:hideMark/>
          </w:tcPr>
          <w:p w14:paraId="5CAB29D9" w14:textId="77777777" w:rsidR="008E235E" w:rsidRPr="008E235E" w:rsidRDefault="008E235E" w:rsidP="00216C12">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2D716132" w14:textId="1CD58339" w:rsidR="008E235E" w:rsidRPr="008E235E" w:rsidRDefault="008E235E" w:rsidP="00216C12">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1AA7C33" w14:textId="77777777" w:rsidR="008E235E" w:rsidRPr="008E235E" w:rsidRDefault="008E235E" w:rsidP="00216C12">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46BA3D8" w14:textId="77777777" w:rsidR="008E235E" w:rsidRPr="008E235E" w:rsidRDefault="008E235E" w:rsidP="00216C12">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20795DED" w14:textId="77777777" w:rsidR="008E235E" w:rsidRPr="008E235E" w:rsidRDefault="008E235E" w:rsidP="00216C12">
            <w:pPr>
              <w:spacing w:after="0" w:line="240" w:lineRule="auto"/>
              <w:jc w:val="right"/>
              <w:rPr>
                <w:rFonts w:ascii="Times New Roman" w:hAnsi="Times New Roman"/>
              </w:rPr>
            </w:pPr>
          </w:p>
        </w:tc>
      </w:tr>
      <w:tr w:rsidR="008E235E" w:rsidRPr="008E235E" w14:paraId="3647D8CF" w14:textId="77777777" w:rsidTr="008E235E">
        <w:trPr>
          <w:trHeight w:val="204"/>
        </w:trPr>
        <w:tc>
          <w:tcPr>
            <w:tcW w:w="2856" w:type="dxa"/>
            <w:tcBorders>
              <w:top w:val="nil"/>
              <w:left w:val="nil"/>
              <w:bottom w:val="nil"/>
              <w:right w:val="nil"/>
            </w:tcBorders>
            <w:shd w:val="clear" w:color="auto" w:fill="auto"/>
            <w:noWrap/>
            <w:vAlign w:val="center"/>
            <w:hideMark/>
          </w:tcPr>
          <w:p w14:paraId="237B4E45" w14:textId="77777777" w:rsidR="008E235E" w:rsidRPr="008E235E" w:rsidRDefault="008E235E" w:rsidP="008E235E">
            <w:pPr>
              <w:spacing w:after="0" w:line="240" w:lineRule="auto"/>
              <w:ind w:left="113"/>
              <w:jc w:val="left"/>
              <w:rPr>
                <w:rFonts w:ascii="Arial" w:hAnsi="Arial" w:cs="Arial"/>
                <w:sz w:val="16"/>
                <w:szCs w:val="16"/>
              </w:rPr>
            </w:pPr>
            <w:r w:rsidRPr="00307BC3">
              <w:rPr>
                <w:rFonts w:ascii="Arial" w:hAnsi="Arial" w:cs="Arial"/>
                <w:color w:val="000000"/>
                <w:sz w:val="16"/>
                <w:szCs w:val="16"/>
              </w:rPr>
              <w:t>Principal</w:t>
            </w:r>
            <w:r w:rsidRPr="008E235E">
              <w:rPr>
                <w:rFonts w:ascii="Arial" w:hAnsi="Arial" w:cs="Arial"/>
                <w:color w:val="000000"/>
                <w:sz w:val="16"/>
                <w:szCs w:val="16"/>
              </w:rPr>
              <w:t xml:space="preserve"> payments on lease liability</w:t>
            </w:r>
          </w:p>
        </w:tc>
        <w:tc>
          <w:tcPr>
            <w:tcW w:w="876" w:type="dxa"/>
            <w:tcBorders>
              <w:top w:val="nil"/>
              <w:left w:val="nil"/>
              <w:bottom w:val="nil"/>
              <w:right w:val="nil"/>
            </w:tcBorders>
            <w:shd w:val="clear" w:color="auto" w:fill="auto"/>
            <w:noWrap/>
            <w:vAlign w:val="bottom"/>
            <w:hideMark/>
          </w:tcPr>
          <w:p w14:paraId="4C76712D" w14:textId="4617DCAD"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9,041</w:t>
            </w:r>
          </w:p>
        </w:tc>
        <w:tc>
          <w:tcPr>
            <w:tcW w:w="877" w:type="dxa"/>
            <w:tcBorders>
              <w:top w:val="nil"/>
              <w:left w:val="nil"/>
              <w:bottom w:val="nil"/>
              <w:right w:val="nil"/>
            </w:tcBorders>
            <w:shd w:val="clear" w:color="000000" w:fill="E6E6E6"/>
            <w:noWrap/>
            <w:vAlign w:val="bottom"/>
            <w:hideMark/>
          </w:tcPr>
          <w:p w14:paraId="76E0A974" w14:textId="1C79B0D1"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9,584</w:t>
            </w:r>
          </w:p>
        </w:tc>
        <w:tc>
          <w:tcPr>
            <w:tcW w:w="877" w:type="dxa"/>
            <w:tcBorders>
              <w:top w:val="nil"/>
              <w:left w:val="nil"/>
              <w:bottom w:val="nil"/>
              <w:right w:val="nil"/>
            </w:tcBorders>
            <w:shd w:val="clear" w:color="auto" w:fill="auto"/>
            <w:noWrap/>
            <w:vAlign w:val="bottom"/>
            <w:hideMark/>
          </w:tcPr>
          <w:p w14:paraId="23D1CCBD" w14:textId="0380FED9"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9,848</w:t>
            </w:r>
          </w:p>
        </w:tc>
        <w:tc>
          <w:tcPr>
            <w:tcW w:w="877" w:type="dxa"/>
            <w:tcBorders>
              <w:top w:val="nil"/>
              <w:left w:val="nil"/>
              <w:bottom w:val="nil"/>
              <w:right w:val="nil"/>
            </w:tcBorders>
            <w:shd w:val="clear" w:color="auto" w:fill="auto"/>
            <w:noWrap/>
            <w:vAlign w:val="bottom"/>
            <w:hideMark/>
          </w:tcPr>
          <w:p w14:paraId="42A84367" w14:textId="06BD71CC"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9,585</w:t>
            </w:r>
          </w:p>
        </w:tc>
        <w:tc>
          <w:tcPr>
            <w:tcW w:w="877" w:type="dxa"/>
            <w:tcBorders>
              <w:top w:val="nil"/>
              <w:left w:val="nil"/>
              <w:bottom w:val="nil"/>
              <w:right w:val="nil"/>
            </w:tcBorders>
            <w:shd w:val="clear" w:color="auto" w:fill="auto"/>
            <w:noWrap/>
            <w:vAlign w:val="bottom"/>
            <w:hideMark/>
          </w:tcPr>
          <w:p w14:paraId="4C2EB0F7" w14:textId="2CC363F8"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8,833</w:t>
            </w:r>
          </w:p>
        </w:tc>
      </w:tr>
      <w:tr w:rsidR="008E235E" w:rsidRPr="008E235E" w14:paraId="23144238" w14:textId="77777777" w:rsidTr="008E235E">
        <w:trPr>
          <w:trHeight w:val="204"/>
        </w:trPr>
        <w:tc>
          <w:tcPr>
            <w:tcW w:w="2856" w:type="dxa"/>
            <w:tcBorders>
              <w:top w:val="nil"/>
              <w:left w:val="nil"/>
              <w:bottom w:val="nil"/>
              <w:right w:val="nil"/>
            </w:tcBorders>
            <w:shd w:val="clear" w:color="auto" w:fill="auto"/>
            <w:noWrap/>
            <w:vAlign w:val="center"/>
            <w:hideMark/>
          </w:tcPr>
          <w:p w14:paraId="7D55584F" w14:textId="77777777" w:rsidR="008E235E" w:rsidRPr="008E235E" w:rsidRDefault="008E235E" w:rsidP="008E235E">
            <w:pPr>
              <w:spacing w:after="0" w:line="240" w:lineRule="auto"/>
              <w:jc w:val="left"/>
              <w:rPr>
                <w:rFonts w:ascii="Arial" w:hAnsi="Arial" w:cs="Arial"/>
                <w:b/>
                <w:bCs/>
                <w:i/>
                <w:iCs/>
                <w:color w:val="000000"/>
                <w:sz w:val="16"/>
                <w:szCs w:val="16"/>
              </w:rPr>
            </w:pPr>
            <w:r w:rsidRPr="008E235E">
              <w:rPr>
                <w:rFonts w:ascii="Arial" w:hAnsi="Arial" w:cs="Arial"/>
                <w:b/>
                <w:bCs/>
                <w:i/>
                <w:iCs/>
                <w:color w:val="000000"/>
                <w:sz w:val="16"/>
                <w:szCs w:val="16"/>
              </w:rPr>
              <w:t>Total cash used</w:t>
            </w:r>
          </w:p>
        </w:tc>
        <w:tc>
          <w:tcPr>
            <w:tcW w:w="876" w:type="dxa"/>
            <w:tcBorders>
              <w:top w:val="single" w:sz="4" w:space="0" w:color="000000"/>
              <w:left w:val="nil"/>
              <w:bottom w:val="single" w:sz="4" w:space="0" w:color="000000"/>
              <w:right w:val="nil"/>
            </w:tcBorders>
            <w:shd w:val="clear" w:color="auto" w:fill="auto"/>
            <w:noWrap/>
            <w:vAlign w:val="bottom"/>
            <w:hideMark/>
          </w:tcPr>
          <w:p w14:paraId="4E29CA1B" w14:textId="5EDEF829" w:rsidR="008E235E" w:rsidRPr="008E235E" w:rsidRDefault="008E235E" w:rsidP="00216C12">
            <w:pPr>
              <w:spacing w:after="0" w:line="240" w:lineRule="auto"/>
              <w:jc w:val="right"/>
              <w:rPr>
                <w:rFonts w:ascii="Arial" w:hAnsi="Arial" w:cs="Arial"/>
                <w:b/>
                <w:bCs/>
                <w:i/>
                <w:iCs/>
                <w:color w:val="000000"/>
                <w:sz w:val="16"/>
                <w:szCs w:val="16"/>
              </w:rPr>
            </w:pPr>
            <w:r w:rsidRPr="008E235E">
              <w:rPr>
                <w:rFonts w:ascii="Arial" w:hAnsi="Arial" w:cs="Arial"/>
                <w:b/>
                <w:bCs/>
                <w:i/>
                <w:iCs/>
                <w:color w:val="000000"/>
                <w:sz w:val="16"/>
                <w:szCs w:val="16"/>
              </w:rPr>
              <w:t>9,041</w:t>
            </w:r>
          </w:p>
        </w:tc>
        <w:tc>
          <w:tcPr>
            <w:tcW w:w="877" w:type="dxa"/>
            <w:tcBorders>
              <w:top w:val="single" w:sz="4" w:space="0" w:color="000000"/>
              <w:left w:val="nil"/>
              <w:bottom w:val="single" w:sz="4" w:space="0" w:color="000000"/>
              <w:right w:val="nil"/>
            </w:tcBorders>
            <w:shd w:val="clear" w:color="000000" w:fill="E6E6E6"/>
            <w:noWrap/>
            <w:vAlign w:val="bottom"/>
            <w:hideMark/>
          </w:tcPr>
          <w:p w14:paraId="343B4DF1" w14:textId="2AE31948" w:rsidR="008E235E" w:rsidRPr="008E235E" w:rsidRDefault="008E235E" w:rsidP="00216C12">
            <w:pPr>
              <w:spacing w:after="0" w:line="240" w:lineRule="auto"/>
              <w:jc w:val="right"/>
              <w:rPr>
                <w:rFonts w:ascii="Arial" w:hAnsi="Arial" w:cs="Arial"/>
                <w:b/>
                <w:bCs/>
                <w:i/>
                <w:iCs/>
                <w:color w:val="000000"/>
                <w:sz w:val="16"/>
                <w:szCs w:val="16"/>
              </w:rPr>
            </w:pPr>
            <w:r w:rsidRPr="008E235E">
              <w:rPr>
                <w:rFonts w:ascii="Arial" w:hAnsi="Arial" w:cs="Arial"/>
                <w:b/>
                <w:bCs/>
                <w:i/>
                <w:iCs/>
                <w:color w:val="000000"/>
                <w:sz w:val="16"/>
                <w:szCs w:val="16"/>
              </w:rPr>
              <w:t>9,584</w:t>
            </w:r>
          </w:p>
        </w:tc>
        <w:tc>
          <w:tcPr>
            <w:tcW w:w="877" w:type="dxa"/>
            <w:tcBorders>
              <w:top w:val="single" w:sz="4" w:space="0" w:color="000000"/>
              <w:left w:val="nil"/>
              <w:bottom w:val="single" w:sz="4" w:space="0" w:color="000000"/>
              <w:right w:val="nil"/>
            </w:tcBorders>
            <w:shd w:val="clear" w:color="auto" w:fill="auto"/>
            <w:noWrap/>
            <w:vAlign w:val="bottom"/>
            <w:hideMark/>
          </w:tcPr>
          <w:p w14:paraId="6229F21D" w14:textId="654DB792" w:rsidR="008E235E" w:rsidRPr="008E235E" w:rsidRDefault="008E235E" w:rsidP="00216C12">
            <w:pPr>
              <w:spacing w:after="0" w:line="240" w:lineRule="auto"/>
              <w:jc w:val="right"/>
              <w:rPr>
                <w:rFonts w:ascii="Arial" w:hAnsi="Arial" w:cs="Arial"/>
                <w:b/>
                <w:bCs/>
                <w:i/>
                <w:iCs/>
                <w:color w:val="000000"/>
                <w:sz w:val="16"/>
                <w:szCs w:val="16"/>
              </w:rPr>
            </w:pPr>
            <w:r w:rsidRPr="008E235E">
              <w:rPr>
                <w:rFonts w:ascii="Arial" w:hAnsi="Arial" w:cs="Arial"/>
                <w:b/>
                <w:bCs/>
                <w:i/>
                <w:iCs/>
                <w:color w:val="000000"/>
                <w:sz w:val="16"/>
                <w:szCs w:val="16"/>
              </w:rPr>
              <w:t>9,848</w:t>
            </w:r>
          </w:p>
        </w:tc>
        <w:tc>
          <w:tcPr>
            <w:tcW w:w="877" w:type="dxa"/>
            <w:tcBorders>
              <w:top w:val="single" w:sz="4" w:space="0" w:color="000000"/>
              <w:left w:val="nil"/>
              <w:bottom w:val="single" w:sz="4" w:space="0" w:color="000000"/>
              <w:right w:val="nil"/>
            </w:tcBorders>
            <w:shd w:val="clear" w:color="auto" w:fill="auto"/>
            <w:noWrap/>
            <w:vAlign w:val="bottom"/>
            <w:hideMark/>
          </w:tcPr>
          <w:p w14:paraId="7E3A1B06" w14:textId="718842C3" w:rsidR="008E235E" w:rsidRPr="008E235E" w:rsidRDefault="008E235E" w:rsidP="00216C12">
            <w:pPr>
              <w:spacing w:after="0" w:line="240" w:lineRule="auto"/>
              <w:jc w:val="right"/>
              <w:rPr>
                <w:rFonts w:ascii="Arial" w:hAnsi="Arial" w:cs="Arial"/>
                <w:b/>
                <w:bCs/>
                <w:i/>
                <w:iCs/>
                <w:color w:val="000000"/>
                <w:sz w:val="16"/>
                <w:szCs w:val="16"/>
              </w:rPr>
            </w:pPr>
            <w:r w:rsidRPr="008E235E">
              <w:rPr>
                <w:rFonts w:ascii="Arial" w:hAnsi="Arial" w:cs="Arial"/>
                <w:b/>
                <w:bCs/>
                <w:i/>
                <w:iCs/>
                <w:color w:val="000000"/>
                <w:sz w:val="16"/>
                <w:szCs w:val="16"/>
              </w:rPr>
              <w:t>9,585</w:t>
            </w:r>
          </w:p>
        </w:tc>
        <w:tc>
          <w:tcPr>
            <w:tcW w:w="877" w:type="dxa"/>
            <w:tcBorders>
              <w:top w:val="single" w:sz="4" w:space="0" w:color="000000"/>
              <w:left w:val="nil"/>
              <w:bottom w:val="single" w:sz="4" w:space="0" w:color="000000"/>
              <w:right w:val="nil"/>
            </w:tcBorders>
            <w:shd w:val="clear" w:color="auto" w:fill="auto"/>
            <w:noWrap/>
            <w:vAlign w:val="bottom"/>
            <w:hideMark/>
          </w:tcPr>
          <w:p w14:paraId="162BA2E1" w14:textId="1376342B" w:rsidR="008E235E" w:rsidRPr="008E235E" w:rsidRDefault="008E235E" w:rsidP="00216C12">
            <w:pPr>
              <w:spacing w:after="0" w:line="240" w:lineRule="auto"/>
              <w:jc w:val="right"/>
              <w:rPr>
                <w:rFonts w:ascii="Arial" w:hAnsi="Arial" w:cs="Arial"/>
                <w:b/>
                <w:bCs/>
                <w:i/>
                <w:iCs/>
                <w:color w:val="000000"/>
                <w:sz w:val="16"/>
                <w:szCs w:val="16"/>
              </w:rPr>
            </w:pPr>
            <w:r w:rsidRPr="008E235E">
              <w:rPr>
                <w:rFonts w:ascii="Arial" w:hAnsi="Arial" w:cs="Arial"/>
                <w:b/>
                <w:bCs/>
                <w:i/>
                <w:iCs/>
                <w:color w:val="000000"/>
                <w:sz w:val="16"/>
                <w:szCs w:val="16"/>
              </w:rPr>
              <w:t>8,833</w:t>
            </w:r>
          </w:p>
        </w:tc>
      </w:tr>
      <w:tr w:rsidR="008E235E" w:rsidRPr="008E235E" w14:paraId="1A493909" w14:textId="77777777" w:rsidTr="008E235E">
        <w:trPr>
          <w:trHeight w:val="204"/>
        </w:trPr>
        <w:tc>
          <w:tcPr>
            <w:tcW w:w="2856" w:type="dxa"/>
            <w:tcBorders>
              <w:top w:val="nil"/>
              <w:left w:val="nil"/>
              <w:bottom w:val="nil"/>
              <w:right w:val="nil"/>
            </w:tcBorders>
            <w:shd w:val="clear" w:color="auto" w:fill="auto"/>
            <w:vAlign w:val="center"/>
            <w:hideMark/>
          </w:tcPr>
          <w:p w14:paraId="5B3D25D3" w14:textId="6C4A6F77" w:rsidR="008E235E" w:rsidRPr="008E235E" w:rsidRDefault="008E235E" w:rsidP="008E235E">
            <w:pPr>
              <w:spacing w:after="0" w:line="240" w:lineRule="auto"/>
              <w:jc w:val="left"/>
              <w:rPr>
                <w:rFonts w:ascii="Arial" w:hAnsi="Arial" w:cs="Arial"/>
                <w:b/>
                <w:bCs/>
                <w:color w:val="000000"/>
                <w:sz w:val="16"/>
                <w:szCs w:val="16"/>
              </w:rPr>
            </w:pPr>
            <w:r w:rsidRPr="008E235E">
              <w:rPr>
                <w:rFonts w:ascii="Arial" w:hAnsi="Arial" w:cs="Arial"/>
                <w:b/>
                <w:bCs/>
                <w:color w:val="000000"/>
                <w:sz w:val="16"/>
                <w:szCs w:val="16"/>
              </w:rPr>
              <w:t>Net cash from/(used by)</w:t>
            </w:r>
            <w:r>
              <w:rPr>
                <w:rFonts w:ascii="Arial" w:hAnsi="Arial" w:cs="Arial"/>
                <w:b/>
                <w:bCs/>
                <w:color w:val="000000"/>
                <w:sz w:val="16"/>
                <w:szCs w:val="16"/>
              </w:rPr>
              <w:t xml:space="preserve"> </w:t>
            </w:r>
            <w:r w:rsidRPr="008E235E">
              <w:rPr>
                <w:rFonts w:ascii="Arial" w:hAnsi="Arial" w:cs="Arial"/>
                <w:b/>
                <w:bCs/>
                <w:color w:val="000000"/>
                <w:sz w:val="16"/>
                <w:szCs w:val="16"/>
              </w:rPr>
              <w:t>financing activities</w:t>
            </w:r>
          </w:p>
        </w:tc>
        <w:tc>
          <w:tcPr>
            <w:tcW w:w="876" w:type="dxa"/>
            <w:tcBorders>
              <w:top w:val="nil"/>
              <w:left w:val="nil"/>
              <w:bottom w:val="single" w:sz="4" w:space="0" w:color="000000"/>
              <w:right w:val="nil"/>
            </w:tcBorders>
            <w:shd w:val="clear" w:color="auto" w:fill="auto"/>
            <w:noWrap/>
            <w:vAlign w:val="bottom"/>
            <w:hideMark/>
          </w:tcPr>
          <w:p w14:paraId="53E0F46E" w14:textId="77777777" w:rsidR="008E235E" w:rsidRPr="008E235E" w:rsidRDefault="008E235E" w:rsidP="00216C12">
            <w:pPr>
              <w:spacing w:after="0" w:line="240" w:lineRule="auto"/>
              <w:jc w:val="right"/>
              <w:rPr>
                <w:rFonts w:ascii="Arial" w:hAnsi="Arial" w:cs="Arial"/>
                <w:b/>
                <w:bCs/>
                <w:color w:val="000000"/>
                <w:sz w:val="16"/>
                <w:szCs w:val="16"/>
              </w:rPr>
            </w:pPr>
            <w:r w:rsidRPr="008E235E">
              <w:rPr>
                <w:rFonts w:ascii="Arial" w:hAnsi="Arial" w:cs="Arial"/>
                <w:b/>
                <w:bCs/>
                <w:color w:val="000000"/>
                <w:sz w:val="16"/>
                <w:szCs w:val="16"/>
              </w:rPr>
              <w:t>(9,041)</w:t>
            </w:r>
          </w:p>
        </w:tc>
        <w:tc>
          <w:tcPr>
            <w:tcW w:w="877" w:type="dxa"/>
            <w:tcBorders>
              <w:top w:val="nil"/>
              <w:left w:val="nil"/>
              <w:bottom w:val="single" w:sz="4" w:space="0" w:color="000000"/>
              <w:right w:val="nil"/>
            </w:tcBorders>
            <w:shd w:val="clear" w:color="000000" w:fill="E6E6E6"/>
            <w:noWrap/>
            <w:vAlign w:val="bottom"/>
            <w:hideMark/>
          </w:tcPr>
          <w:p w14:paraId="780E0590" w14:textId="77777777" w:rsidR="008E235E" w:rsidRPr="008E235E" w:rsidRDefault="008E235E" w:rsidP="00216C12">
            <w:pPr>
              <w:spacing w:after="0" w:line="240" w:lineRule="auto"/>
              <w:jc w:val="right"/>
              <w:rPr>
                <w:rFonts w:ascii="Arial" w:hAnsi="Arial" w:cs="Arial"/>
                <w:b/>
                <w:bCs/>
                <w:color w:val="000000"/>
                <w:sz w:val="16"/>
                <w:szCs w:val="16"/>
              </w:rPr>
            </w:pPr>
            <w:r w:rsidRPr="008E235E">
              <w:rPr>
                <w:rFonts w:ascii="Arial" w:hAnsi="Arial" w:cs="Arial"/>
                <w:b/>
                <w:bCs/>
                <w:color w:val="000000"/>
                <w:sz w:val="16"/>
                <w:szCs w:val="16"/>
              </w:rPr>
              <w:t>(9,584)</w:t>
            </w:r>
          </w:p>
        </w:tc>
        <w:tc>
          <w:tcPr>
            <w:tcW w:w="877" w:type="dxa"/>
            <w:tcBorders>
              <w:top w:val="nil"/>
              <w:left w:val="nil"/>
              <w:bottom w:val="single" w:sz="4" w:space="0" w:color="000000"/>
              <w:right w:val="nil"/>
            </w:tcBorders>
            <w:shd w:val="clear" w:color="auto" w:fill="auto"/>
            <w:noWrap/>
            <w:vAlign w:val="bottom"/>
            <w:hideMark/>
          </w:tcPr>
          <w:p w14:paraId="4CF84AD7" w14:textId="77777777" w:rsidR="008E235E" w:rsidRPr="008E235E" w:rsidRDefault="008E235E" w:rsidP="00216C12">
            <w:pPr>
              <w:spacing w:after="0" w:line="240" w:lineRule="auto"/>
              <w:jc w:val="right"/>
              <w:rPr>
                <w:rFonts w:ascii="Arial" w:hAnsi="Arial" w:cs="Arial"/>
                <w:b/>
                <w:bCs/>
                <w:color w:val="000000"/>
                <w:sz w:val="16"/>
                <w:szCs w:val="16"/>
              </w:rPr>
            </w:pPr>
            <w:r w:rsidRPr="008E235E">
              <w:rPr>
                <w:rFonts w:ascii="Arial" w:hAnsi="Arial" w:cs="Arial"/>
                <w:b/>
                <w:bCs/>
                <w:color w:val="000000"/>
                <w:sz w:val="16"/>
                <w:szCs w:val="16"/>
              </w:rPr>
              <w:t>(9,848)</w:t>
            </w:r>
          </w:p>
        </w:tc>
        <w:tc>
          <w:tcPr>
            <w:tcW w:w="877" w:type="dxa"/>
            <w:tcBorders>
              <w:top w:val="nil"/>
              <w:left w:val="nil"/>
              <w:bottom w:val="single" w:sz="4" w:space="0" w:color="000000"/>
              <w:right w:val="nil"/>
            </w:tcBorders>
            <w:shd w:val="clear" w:color="auto" w:fill="auto"/>
            <w:noWrap/>
            <w:vAlign w:val="bottom"/>
            <w:hideMark/>
          </w:tcPr>
          <w:p w14:paraId="6C5BF8BD" w14:textId="77777777" w:rsidR="008E235E" w:rsidRPr="008E235E" w:rsidRDefault="008E235E" w:rsidP="00216C12">
            <w:pPr>
              <w:spacing w:after="0" w:line="240" w:lineRule="auto"/>
              <w:jc w:val="right"/>
              <w:rPr>
                <w:rFonts w:ascii="Arial" w:hAnsi="Arial" w:cs="Arial"/>
                <w:b/>
                <w:bCs/>
                <w:color w:val="000000"/>
                <w:sz w:val="16"/>
                <w:szCs w:val="16"/>
              </w:rPr>
            </w:pPr>
            <w:r w:rsidRPr="008E235E">
              <w:rPr>
                <w:rFonts w:ascii="Arial" w:hAnsi="Arial" w:cs="Arial"/>
                <w:b/>
                <w:bCs/>
                <w:color w:val="000000"/>
                <w:sz w:val="16"/>
                <w:szCs w:val="16"/>
              </w:rPr>
              <w:t>(9,585)</w:t>
            </w:r>
          </w:p>
        </w:tc>
        <w:tc>
          <w:tcPr>
            <w:tcW w:w="877" w:type="dxa"/>
            <w:tcBorders>
              <w:top w:val="nil"/>
              <w:left w:val="nil"/>
              <w:bottom w:val="single" w:sz="4" w:space="0" w:color="000000"/>
              <w:right w:val="nil"/>
            </w:tcBorders>
            <w:shd w:val="clear" w:color="auto" w:fill="auto"/>
            <w:noWrap/>
            <w:vAlign w:val="bottom"/>
            <w:hideMark/>
          </w:tcPr>
          <w:p w14:paraId="1F625450" w14:textId="77777777" w:rsidR="008E235E" w:rsidRPr="008E235E" w:rsidRDefault="008E235E" w:rsidP="00216C12">
            <w:pPr>
              <w:spacing w:after="0" w:line="240" w:lineRule="auto"/>
              <w:jc w:val="right"/>
              <w:rPr>
                <w:rFonts w:ascii="Arial" w:hAnsi="Arial" w:cs="Arial"/>
                <w:b/>
                <w:bCs/>
                <w:color w:val="000000"/>
                <w:sz w:val="16"/>
                <w:szCs w:val="16"/>
              </w:rPr>
            </w:pPr>
            <w:r w:rsidRPr="008E235E">
              <w:rPr>
                <w:rFonts w:ascii="Arial" w:hAnsi="Arial" w:cs="Arial"/>
                <w:b/>
                <w:bCs/>
                <w:color w:val="000000"/>
                <w:sz w:val="16"/>
                <w:szCs w:val="16"/>
              </w:rPr>
              <w:t>(8,833)</w:t>
            </w:r>
          </w:p>
        </w:tc>
      </w:tr>
      <w:tr w:rsidR="008E235E" w:rsidRPr="008E235E" w14:paraId="0FD49A1E" w14:textId="77777777" w:rsidTr="008E235E">
        <w:trPr>
          <w:trHeight w:val="204"/>
        </w:trPr>
        <w:tc>
          <w:tcPr>
            <w:tcW w:w="2856" w:type="dxa"/>
            <w:tcBorders>
              <w:top w:val="nil"/>
              <w:left w:val="nil"/>
              <w:bottom w:val="nil"/>
              <w:right w:val="nil"/>
            </w:tcBorders>
            <w:shd w:val="clear" w:color="auto" w:fill="auto"/>
            <w:vAlign w:val="center"/>
            <w:hideMark/>
          </w:tcPr>
          <w:p w14:paraId="061DDC0D" w14:textId="3A345B39" w:rsidR="008E235E" w:rsidRPr="008E235E" w:rsidRDefault="008E235E" w:rsidP="008E235E">
            <w:pPr>
              <w:spacing w:after="0" w:line="240" w:lineRule="auto"/>
              <w:jc w:val="left"/>
              <w:rPr>
                <w:rFonts w:ascii="Arial" w:hAnsi="Arial" w:cs="Arial"/>
                <w:b/>
                <w:bCs/>
                <w:color w:val="000000"/>
                <w:sz w:val="16"/>
                <w:szCs w:val="16"/>
              </w:rPr>
            </w:pPr>
            <w:r w:rsidRPr="008E235E">
              <w:rPr>
                <w:rFonts w:ascii="Arial" w:hAnsi="Arial" w:cs="Arial"/>
                <w:b/>
                <w:bCs/>
                <w:color w:val="000000"/>
                <w:sz w:val="16"/>
                <w:szCs w:val="16"/>
              </w:rPr>
              <w:t>Net increase/(decrease) in cash</w:t>
            </w:r>
            <w:r>
              <w:rPr>
                <w:rFonts w:ascii="Arial" w:hAnsi="Arial" w:cs="Arial"/>
                <w:b/>
                <w:bCs/>
                <w:color w:val="000000"/>
                <w:sz w:val="16"/>
                <w:szCs w:val="16"/>
              </w:rPr>
              <w:t xml:space="preserve"> </w:t>
            </w:r>
            <w:r w:rsidRPr="008E235E">
              <w:rPr>
                <w:rFonts w:ascii="Arial" w:hAnsi="Arial" w:cs="Arial"/>
                <w:b/>
                <w:bCs/>
                <w:color w:val="000000"/>
                <w:sz w:val="16"/>
                <w:szCs w:val="16"/>
              </w:rPr>
              <w:t>held</w:t>
            </w:r>
          </w:p>
        </w:tc>
        <w:tc>
          <w:tcPr>
            <w:tcW w:w="876" w:type="dxa"/>
            <w:tcBorders>
              <w:top w:val="nil"/>
              <w:left w:val="nil"/>
              <w:bottom w:val="single" w:sz="4" w:space="0" w:color="000000"/>
              <w:right w:val="nil"/>
            </w:tcBorders>
            <w:shd w:val="clear" w:color="auto" w:fill="auto"/>
            <w:noWrap/>
            <w:vAlign w:val="bottom"/>
            <w:hideMark/>
          </w:tcPr>
          <w:p w14:paraId="428F80AA" w14:textId="38BC1CE1" w:rsidR="008E235E" w:rsidRPr="008E235E" w:rsidRDefault="008E235E" w:rsidP="00216C12">
            <w:pPr>
              <w:spacing w:after="0" w:line="240" w:lineRule="auto"/>
              <w:jc w:val="right"/>
              <w:rPr>
                <w:rFonts w:ascii="Arial" w:hAnsi="Arial" w:cs="Arial"/>
                <w:b/>
                <w:bCs/>
                <w:color w:val="000000"/>
                <w:sz w:val="16"/>
                <w:szCs w:val="16"/>
              </w:rPr>
            </w:pPr>
            <w:r w:rsidRPr="008E235E">
              <w:rPr>
                <w:rFonts w:ascii="Arial" w:hAnsi="Arial" w:cs="Arial"/>
                <w:b/>
                <w:bCs/>
                <w:color w:val="000000"/>
                <w:sz w:val="16"/>
                <w:szCs w:val="16"/>
              </w:rPr>
              <w:t>16,092</w:t>
            </w:r>
          </w:p>
        </w:tc>
        <w:tc>
          <w:tcPr>
            <w:tcW w:w="877" w:type="dxa"/>
            <w:tcBorders>
              <w:top w:val="nil"/>
              <w:left w:val="nil"/>
              <w:bottom w:val="single" w:sz="4" w:space="0" w:color="000000"/>
              <w:right w:val="nil"/>
            </w:tcBorders>
            <w:shd w:val="clear" w:color="000000" w:fill="E6E6E6"/>
            <w:noWrap/>
            <w:vAlign w:val="bottom"/>
            <w:hideMark/>
          </w:tcPr>
          <w:p w14:paraId="1647DE77" w14:textId="77777777" w:rsidR="008E235E" w:rsidRPr="008E235E" w:rsidRDefault="008E235E" w:rsidP="00216C12">
            <w:pPr>
              <w:spacing w:after="0" w:line="240" w:lineRule="auto"/>
              <w:jc w:val="right"/>
              <w:rPr>
                <w:rFonts w:ascii="Arial" w:hAnsi="Arial" w:cs="Arial"/>
                <w:b/>
                <w:bCs/>
                <w:color w:val="000000"/>
                <w:sz w:val="16"/>
                <w:szCs w:val="16"/>
              </w:rPr>
            </w:pPr>
            <w:r w:rsidRPr="008E235E">
              <w:rPr>
                <w:rFonts w:ascii="Arial" w:hAnsi="Arial" w:cs="Arial"/>
                <w:b/>
                <w:bCs/>
                <w:color w:val="000000"/>
                <w:sz w:val="16"/>
                <w:szCs w:val="16"/>
              </w:rPr>
              <w:t>(8,125)</w:t>
            </w:r>
          </w:p>
        </w:tc>
        <w:tc>
          <w:tcPr>
            <w:tcW w:w="877" w:type="dxa"/>
            <w:tcBorders>
              <w:top w:val="nil"/>
              <w:left w:val="nil"/>
              <w:bottom w:val="single" w:sz="4" w:space="0" w:color="000000"/>
              <w:right w:val="nil"/>
            </w:tcBorders>
            <w:shd w:val="clear" w:color="auto" w:fill="auto"/>
            <w:noWrap/>
            <w:vAlign w:val="bottom"/>
            <w:hideMark/>
          </w:tcPr>
          <w:p w14:paraId="5E2E3380" w14:textId="77777777" w:rsidR="008E235E" w:rsidRPr="008E235E" w:rsidRDefault="008E235E" w:rsidP="00216C12">
            <w:pPr>
              <w:spacing w:after="0" w:line="240" w:lineRule="auto"/>
              <w:jc w:val="right"/>
              <w:rPr>
                <w:rFonts w:ascii="Arial" w:hAnsi="Arial" w:cs="Arial"/>
                <w:b/>
                <w:bCs/>
                <w:color w:val="000000"/>
                <w:sz w:val="16"/>
                <w:szCs w:val="16"/>
              </w:rPr>
            </w:pPr>
            <w:r w:rsidRPr="008E235E">
              <w:rPr>
                <w:rFonts w:ascii="Arial" w:hAnsi="Arial" w:cs="Arial"/>
                <w:b/>
                <w:bCs/>
                <w:color w:val="000000"/>
                <w:sz w:val="16"/>
                <w:szCs w:val="16"/>
              </w:rPr>
              <w:t>(10,930)</w:t>
            </w:r>
          </w:p>
        </w:tc>
        <w:tc>
          <w:tcPr>
            <w:tcW w:w="877" w:type="dxa"/>
            <w:tcBorders>
              <w:top w:val="nil"/>
              <w:left w:val="nil"/>
              <w:bottom w:val="single" w:sz="4" w:space="0" w:color="000000"/>
              <w:right w:val="nil"/>
            </w:tcBorders>
            <w:shd w:val="clear" w:color="auto" w:fill="auto"/>
            <w:noWrap/>
            <w:vAlign w:val="bottom"/>
            <w:hideMark/>
          </w:tcPr>
          <w:p w14:paraId="2D7A9F26" w14:textId="23ACB39D" w:rsidR="008E235E" w:rsidRPr="008E235E" w:rsidRDefault="008E235E" w:rsidP="00216C12">
            <w:pPr>
              <w:spacing w:after="0" w:line="240" w:lineRule="auto"/>
              <w:jc w:val="right"/>
              <w:rPr>
                <w:rFonts w:ascii="Arial" w:hAnsi="Arial" w:cs="Arial"/>
                <w:b/>
                <w:bCs/>
                <w:color w:val="000000"/>
                <w:sz w:val="16"/>
                <w:szCs w:val="16"/>
              </w:rPr>
            </w:pPr>
            <w:r w:rsidRPr="008E235E">
              <w:rPr>
                <w:rFonts w:ascii="Arial" w:hAnsi="Arial" w:cs="Arial"/>
                <w:b/>
                <w:bCs/>
                <w:color w:val="000000"/>
                <w:sz w:val="16"/>
                <w:szCs w:val="16"/>
              </w:rPr>
              <w:t>6,326</w:t>
            </w:r>
          </w:p>
        </w:tc>
        <w:tc>
          <w:tcPr>
            <w:tcW w:w="877" w:type="dxa"/>
            <w:tcBorders>
              <w:top w:val="nil"/>
              <w:left w:val="nil"/>
              <w:bottom w:val="single" w:sz="4" w:space="0" w:color="000000"/>
              <w:right w:val="nil"/>
            </w:tcBorders>
            <w:shd w:val="clear" w:color="auto" w:fill="auto"/>
            <w:noWrap/>
            <w:vAlign w:val="bottom"/>
            <w:hideMark/>
          </w:tcPr>
          <w:p w14:paraId="543852FD" w14:textId="77777777" w:rsidR="008E235E" w:rsidRPr="008E235E" w:rsidRDefault="008E235E" w:rsidP="00216C12">
            <w:pPr>
              <w:spacing w:after="0" w:line="240" w:lineRule="auto"/>
              <w:jc w:val="right"/>
              <w:rPr>
                <w:rFonts w:ascii="Arial" w:hAnsi="Arial" w:cs="Arial"/>
                <w:b/>
                <w:bCs/>
                <w:color w:val="000000"/>
                <w:sz w:val="16"/>
                <w:szCs w:val="16"/>
              </w:rPr>
            </w:pPr>
            <w:r w:rsidRPr="008E235E">
              <w:rPr>
                <w:rFonts w:ascii="Arial" w:hAnsi="Arial" w:cs="Arial"/>
                <w:b/>
                <w:bCs/>
                <w:color w:val="000000"/>
                <w:sz w:val="16"/>
                <w:szCs w:val="16"/>
              </w:rPr>
              <w:t>(26,734)</w:t>
            </w:r>
          </w:p>
        </w:tc>
      </w:tr>
      <w:tr w:rsidR="008E235E" w:rsidRPr="008E235E" w14:paraId="3F3B6257" w14:textId="77777777" w:rsidTr="008E235E">
        <w:trPr>
          <w:trHeight w:val="204"/>
        </w:trPr>
        <w:tc>
          <w:tcPr>
            <w:tcW w:w="2856" w:type="dxa"/>
            <w:tcBorders>
              <w:top w:val="nil"/>
              <w:left w:val="nil"/>
              <w:bottom w:val="nil"/>
              <w:right w:val="nil"/>
            </w:tcBorders>
            <w:shd w:val="clear" w:color="auto" w:fill="auto"/>
            <w:vAlign w:val="center"/>
            <w:hideMark/>
          </w:tcPr>
          <w:p w14:paraId="6A291B15" w14:textId="2381DAD5" w:rsidR="008E235E" w:rsidRPr="008E235E" w:rsidRDefault="008E235E" w:rsidP="003B4729">
            <w:pPr>
              <w:spacing w:before="60" w:after="0" w:line="240" w:lineRule="auto"/>
              <w:jc w:val="left"/>
              <w:rPr>
                <w:rFonts w:ascii="Arial" w:hAnsi="Arial" w:cs="Arial"/>
                <w:color w:val="000000"/>
                <w:sz w:val="16"/>
                <w:szCs w:val="16"/>
              </w:rPr>
            </w:pPr>
            <w:r w:rsidRPr="008E235E">
              <w:rPr>
                <w:rFonts w:ascii="Arial" w:hAnsi="Arial" w:cs="Arial"/>
                <w:color w:val="000000"/>
                <w:sz w:val="16"/>
                <w:szCs w:val="16"/>
              </w:rPr>
              <w:t>Cash and cash equivalents at the</w:t>
            </w:r>
            <w:r>
              <w:rPr>
                <w:rFonts w:ascii="Arial" w:hAnsi="Arial" w:cs="Arial"/>
                <w:color w:val="000000"/>
                <w:sz w:val="16"/>
                <w:szCs w:val="16"/>
              </w:rPr>
              <w:t xml:space="preserve"> </w:t>
            </w:r>
            <w:r w:rsidRPr="008E235E">
              <w:rPr>
                <w:rFonts w:ascii="Arial" w:hAnsi="Arial" w:cs="Arial"/>
                <w:color w:val="000000"/>
                <w:sz w:val="16"/>
                <w:szCs w:val="16"/>
              </w:rPr>
              <w:t>beginning of the reporting period</w:t>
            </w:r>
          </w:p>
        </w:tc>
        <w:tc>
          <w:tcPr>
            <w:tcW w:w="876" w:type="dxa"/>
            <w:tcBorders>
              <w:top w:val="nil"/>
              <w:left w:val="nil"/>
              <w:bottom w:val="nil"/>
              <w:right w:val="nil"/>
            </w:tcBorders>
            <w:shd w:val="clear" w:color="auto" w:fill="auto"/>
            <w:noWrap/>
            <w:vAlign w:val="bottom"/>
            <w:hideMark/>
          </w:tcPr>
          <w:p w14:paraId="4600D895" w14:textId="337359A4"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49,785</w:t>
            </w:r>
          </w:p>
        </w:tc>
        <w:tc>
          <w:tcPr>
            <w:tcW w:w="877" w:type="dxa"/>
            <w:tcBorders>
              <w:top w:val="nil"/>
              <w:left w:val="nil"/>
              <w:bottom w:val="nil"/>
              <w:right w:val="nil"/>
            </w:tcBorders>
            <w:shd w:val="clear" w:color="000000" w:fill="E6E6E6"/>
            <w:noWrap/>
            <w:vAlign w:val="bottom"/>
            <w:hideMark/>
          </w:tcPr>
          <w:p w14:paraId="2981B1CF" w14:textId="6B42A69E"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65,877</w:t>
            </w:r>
          </w:p>
        </w:tc>
        <w:tc>
          <w:tcPr>
            <w:tcW w:w="877" w:type="dxa"/>
            <w:tcBorders>
              <w:top w:val="nil"/>
              <w:left w:val="nil"/>
              <w:bottom w:val="nil"/>
              <w:right w:val="nil"/>
            </w:tcBorders>
            <w:shd w:val="clear" w:color="auto" w:fill="auto"/>
            <w:noWrap/>
            <w:vAlign w:val="bottom"/>
            <w:hideMark/>
          </w:tcPr>
          <w:p w14:paraId="6F8F1854" w14:textId="76FEE485"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57,752</w:t>
            </w:r>
          </w:p>
        </w:tc>
        <w:tc>
          <w:tcPr>
            <w:tcW w:w="877" w:type="dxa"/>
            <w:tcBorders>
              <w:top w:val="nil"/>
              <w:left w:val="nil"/>
              <w:bottom w:val="nil"/>
              <w:right w:val="nil"/>
            </w:tcBorders>
            <w:shd w:val="clear" w:color="auto" w:fill="auto"/>
            <w:noWrap/>
            <w:vAlign w:val="bottom"/>
            <w:hideMark/>
          </w:tcPr>
          <w:p w14:paraId="5FA54F51" w14:textId="2B91BC87"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46,822</w:t>
            </w:r>
          </w:p>
        </w:tc>
        <w:tc>
          <w:tcPr>
            <w:tcW w:w="877" w:type="dxa"/>
            <w:tcBorders>
              <w:top w:val="nil"/>
              <w:left w:val="nil"/>
              <w:bottom w:val="nil"/>
              <w:right w:val="nil"/>
            </w:tcBorders>
            <w:shd w:val="clear" w:color="auto" w:fill="auto"/>
            <w:noWrap/>
            <w:vAlign w:val="bottom"/>
            <w:hideMark/>
          </w:tcPr>
          <w:p w14:paraId="63E0B98E" w14:textId="10FA446A" w:rsidR="008E235E" w:rsidRPr="008E235E" w:rsidRDefault="008E235E" w:rsidP="00216C12">
            <w:pPr>
              <w:spacing w:after="0" w:line="240" w:lineRule="auto"/>
              <w:jc w:val="right"/>
              <w:rPr>
                <w:rFonts w:ascii="Arial" w:hAnsi="Arial" w:cs="Arial"/>
                <w:color w:val="000000"/>
                <w:sz w:val="16"/>
                <w:szCs w:val="16"/>
              </w:rPr>
            </w:pPr>
            <w:r w:rsidRPr="008E235E">
              <w:rPr>
                <w:rFonts w:ascii="Arial" w:hAnsi="Arial" w:cs="Arial"/>
                <w:color w:val="000000"/>
                <w:sz w:val="16"/>
                <w:szCs w:val="16"/>
              </w:rPr>
              <w:t>53,148</w:t>
            </w:r>
          </w:p>
        </w:tc>
      </w:tr>
      <w:tr w:rsidR="008E235E" w:rsidRPr="008E235E" w14:paraId="23B92DFE" w14:textId="77777777" w:rsidTr="008E235E">
        <w:trPr>
          <w:trHeight w:val="204"/>
        </w:trPr>
        <w:tc>
          <w:tcPr>
            <w:tcW w:w="2856" w:type="dxa"/>
            <w:tcBorders>
              <w:top w:val="nil"/>
              <w:left w:val="nil"/>
              <w:bottom w:val="single" w:sz="4" w:space="0" w:color="auto"/>
              <w:right w:val="nil"/>
            </w:tcBorders>
            <w:shd w:val="clear" w:color="auto" w:fill="auto"/>
            <w:vAlign w:val="center"/>
            <w:hideMark/>
          </w:tcPr>
          <w:p w14:paraId="643870B4" w14:textId="7371D34F" w:rsidR="008E235E" w:rsidRPr="008E235E" w:rsidRDefault="008E235E" w:rsidP="008E235E">
            <w:pPr>
              <w:spacing w:after="0" w:line="240" w:lineRule="auto"/>
              <w:jc w:val="left"/>
              <w:rPr>
                <w:rFonts w:ascii="Arial" w:hAnsi="Arial" w:cs="Arial"/>
                <w:b/>
                <w:bCs/>
                <w:color w:val="000000"/>
                <w:sz w:val="16"/>
                <w:szCs w:val="16"/>
              </w:rPr>
            </w:pPr>
            <w:r w:rsidRPr="008E235E">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8E235E">
              <w:rPr>
                <w:rFonts w:ascii="Arial" w:hAnsi="Arial" w:cs="Arial"/>
                <w:b/>
                <w:bCs/>
                <w:color w:val="000000"/>
                <w:sz w:val="16"/>
                <w:szCs w:val="16"/>
              </w:rPr>
              <w:t>the end of the reporting period</w:t>
            </w:r>
          </w:p>
        </w:tc>
        <w:tc>
          <w:tcPr>
            <w:tcW w:w="876" w:type="dxa"/>
            <w:tcBorders>
              <w:top w:val="single" w:sz="4" w:space="0" w:color="000000"/>
              <w:left w:val="nil"/>
              <w:bottom w:val="single" w:sz="4" w:space="0" w:color="auto"/>
              <w:right w:val="nil"/>
            </w:tcBorders>
            <w:shd w:val="clear" w:color="auto" w:fill="auto"/>
            <w:noWrap/>
            <w:vAlign w:val="bottom"/>
            <w:hideMark/>
          </w:tcPr>
          <w:p w14:paraId="6448A612" w14:textId="6C1F40EA" w:rsidR="008E235E" w:rsidRPr="00307BC3" w:rsidRDefault="008E235E" w:rsidP="00216C12">
            <w:pPr>
              <w:spacing w:after="0" w:line="240" w:lineRule="auto"/>
              <w:jc w:val="right"/>
              <w:rPr>
                <w:rFonts w:ascii="Arial" w:hAnsi="Arial" w:cs="Arial"/>
                <w:b/>
                <w:color w:val="000000"/>
                <w:sz w:val="16"/>
                <w:szCs w:val="16"/>
              </w:rPr>
            </w:pPr>
            <w:r w:rsidRPr="00307BC3">
              <w:rPr>
                <w:rFonts w:ascii="Arial" w:hAnsi="Arial" w:cs="Arial"/>
                <w:b/>
                <w:color w:val="000000"/>
                <w:sz w:val="16"/>
                <w:szCs w:val="16"/>
              </w:rPr>
              <w:t>65,877</w:t>
            </w:r>
          </w:p>
        </w:tc>
        <w:tc>
          <w:tcPr>
            <w:tcW w:w="877" w:type="dxa"/>
            <w:tcBorders>
              <w:top w:val="single" w:sz="4" w:space="0" w:color="000000"/>
              <w:left w:val="nil"/>
              <w:bottom w:val="single" w:sz="4" w:space="0" w:color="auto"/>
              <w:right w:val="nil"/>
            </w:tcBorders>
            <w:shd w:val="clear" w:color="000000" w:fill="E6E6E6"/>
            <w:noWrap/>
            <w:vAlign w:val="bottom"/>
            <w:hideMark/>
          </w:tcPr>
          <w:p w14:paraId="5217E3F8" w14:textId="060A49DF" w:rsidR="008E235E" w:rsidRPr="00307BC3" w:rsidRDefault="008E235E" w:rsidP="00216C12">
            <w:pPr>
              <w:spacing w:after="0" w:line="240" w:lineRule="auto"/>
              <w:jc w:val="right"/>
              <w:rPr>
                <w:rFonts w:ascii="Arial" w:hAnsi="Arial" w:cs="Arial"/>
                <w:b/>
                <w:color w:val="000000"/>
                <w:sz w:val="16"/>
                <w:szCs w:val="16"/>
              </w:rPr>
            </w:pPr>
            <w:r w:rsidRPr="00307BC3">
              <w:rPr>
                <w:rFonts w:ascii="Arial" w:hAnsi="Arial" w:cs="Arial"/>
                <w:b/>
                <w:color w:val="000000"/>
                <w:sz w:val="16"/>
                <w:szCs w:val="16"/>
              </w:rPr>
              <w:t>57,752</w:t>
            </w:r>
          </w:p>
        </w:tc>
        <w:tc>
          <w:tcPr>
            <w:tcW w:w="877" w:type="dxa"/>
            <w:tcBorders>
              <w:top w:val="single" w:sz="4" w:space="0" w:color="000000"/>
              <w:left w:val="nil"/>
              <w:bottom w:val="single" w:sz="4" w:space="0" w:color="auto"/>
              <w:right w:val="nil"/>
            </w:tcBorders>
            <w:shd w:val="clear" w:color="auto" w:fill="auto"/>
            <w:noWrap/>
            <w:vAlign w:val="bottom"/>
            <w:hideMark/>
          </w:tcPr>
          <w:p w14:paraId="79917C5A" w14:textId="53C0A309" w:rsidR="008E235E" w:rsidRPr="00307BC3" w:rsidRDefault="008E235E" w:rsidP="00216C12">
            <w:pPr>
              <w:spacing w:after="0" w:line="240" w:lineRule="auto"/>
              <w:jc w:val="right"/>
              <w:rPr>
                <w:rFonts w:ascii="Arial" w:hAnsi="Arial" w:cs="Arial"/>
                <w:b/>
                <w:color w:val="000000"/>
                <w:sz w:val="16"/>
                <w:szCs w:val="16"/>
              </w:rPr>
            </w:pPr>
            <w:r w:rsidRPr="00307BC3">
              <w:rPr>
                <w:rFonts w:ascii="Arial" w:hAnsi="Arial" w:cs="Arial"/>
                <w:b/>
                <w:color w:val="000000"/>
                <w:sz w:val="16"/>
                <w:szCs w:val="16"/>
              </w:rPr>
              <w:t>46,822</w:t>
            </w:r>
          </w:p>
        </w:tc>
        <w:tc>
          <w:tcPr>
            <w:tcW w:w="877" w:type="dxa"/>
            <w:tcBorders>
              <w:top w:val="single" w:sz="4" w:space="0" w:color="000000"/>
              <w:left w:val="nil"/>
              <w:bottom w:val="single" w:sz="4" w:space="0" w:color="auto"/>
              <w:right w:val="nil"/>
            </w:tcBorders>
            <w:shd w:val="clear" w:color="auto" w:fill="auto"/>
            <w:noWrap/>
            <w:vAlign w:val="bottom"/>
            <w:hideMark/>
          </w:tcPr>
          <w:p w14:paraId="5D5C920A" w14:textId="203B84DC" w:rsidR="008E235E" w:rsidRPr="00307BC3" w:rsidRDefault="008E235E" w:rsidP="00216C12">
            <w:pPr>
              <w:spacing w:after="0" w:line="240" w:lineRule="auto"/>
              <w:jc w:val="right"/>
              <w:rPr>
                <w:rFonts w:ascii="Arial" w:hAnsi="Arial" w:cs="Arial"/>
                <w:b/>
                <w:color w:val="000000"/>
                <w:sz w:val="16"/>
                <w:szCs w:val="16"/>
              </w:rPr>
            </w:pPr>
            <w:r w:rsidRPr="00307BC3">
              <w:rPr>
                <w:rFonts w:ascii="Arial" w:hAnsi="Arial" w:cs="Arial"/>
                <w:b/>
                <w:color w:val="000000"/>
                <w:sz w:val="16"/>
                <w:szCs w:val="16"/>
              </w:rPr>
              <w:t>53,148</w:t>
            </w:r>
          </w:p>
        </w:tc>
        <w:tc>
          <w:tcPr>
            <w:tcW w:w="877" w:type="dxa"/>
            <w:tcBorders>
              <w:top w:val="single" w:sz="4" w:space="0" w:color="000000"/>
              <w:left w:val="nil"/>
              <w:bottom w:val="single" w:sz="4" w:space="0" w:color="auto"/>
              <w:right w:val="nil"/>
            </w:tcBorders>
            <w:shd w:val="clear" w:color="auto" w:fill="auto"/>
            <w:noWrap/>
            <w:vAlign w:val="bottom"/>
            <w:hideMark/>
          </w:tcPr>
          <w:p w14:paraId="435B6186" w14:textId="2664B7AD" w:rsidR="008E235E" w:rsidRPr="00307BC3" w:rsidRDefault="008E235E" w:rsidP="00216C12">
            <w:pPr>
              <w:spacing w:after="0" w:line="240" w:lineRule="auto"/>
              <w:jc w:val="right"/>
              <w:rPr>
                <w:rFonts w:ascii="Arial" w:hAnsi="Arial" w:cs="Arial"/>
                <w:b/>
                <w:color w:val="000000"/>
                <w:sz w:val="16"/>
                <w:szCs w:val="16"/>
              </w:rPr>
            </w:pPr>
            <w:r w:rsidRPr="00307BC3">
              <w:rPr>
                <w:rFonts w:ascii="Arial" w:hAnsi="Arial" w:cs="Arial"/>
                <w:b/>
                <w:color w:val="000000"/>
                <w:sz w:val="16"/>
                <w:szCs w:val="16"/>
              </w:rPr>
              <w:t>26,414</w:t>
            </w:r>
          </w:p>
        </w:tc>
      </w:tr>
    </w:tbl>
    <w:p w14:paraId="548E7456" w14:textId="77777777" w:rsidR="00C17040" w:rsidRPr="009C33E9" w:rsidRDefault="00C17040" w:rsidP="00727C37">
      <w:pPr>
        <w:pStyle w:val="Source"/>
        <w:spacing w:before="60"/>
        <w:jc w:val="left"/>
      </w:pPr>
      <w:r w:rsidRPr="009C33E9">
        <w:t>Prepared on Australian Accounting Standards basis.</w:t>
      </w:r>
    </w:p>
    <w:p w14:paraId="7811F635" w14:textId="77777777" w:rsidR="00C17040" w:rsidRDefault="00C17040" w:rsidP="00C17040">
      <w:pPr>
        <w:pStyle w:val="Source"/>
        <w:rPr>
          <w:snapToGrid w:val="0"/>
        </w:rPr>
      </w:pPr>
    </w:p>
    <w:p w14:paraId="39207510" w14:textId="3882022D" w:rsidR="008E235E" w:rsidRDefault="008E235E">
      <w:pPr>
        <w:spacing w:after="0" w:line="240" w:lineRule="auto"/>
        <w:jc w:val="left"/>
        <w:rPr>
          <w:rFonts w:ascii="Arial" w:hAnsi="Arial"/>
          <w:b/>
          <w:snapToGrid w:val="0"/>
          <w:lang w:val="x-none"/>
        </w:rPr>
      </w:pPr>
      <w:r>
        <w:rPr>
          <w:b/>
          <w:snapToGrid w:val="0"/>
          <w:lang w:val="x-none"/>
        </w:rPr>
        <w:br w:type="page"/>
      </w:r>
    </w:p>
    <w:p w14:paraId="2D37BEDB" w14:textId="16EFE324" w:rsidR="00C17040" w:rsidRDefault="00C17040" w:rsidP="00C17040">
      <w:pPr>
        <w:pStyle w:val="TableHeading"/>
        <w:spacing w:before="0"/>
        <w:rPr>
          <w:lang w:val="en-AU"/>
        </w:rPr>
      </w:pPr>
      <w:r>
        <w:rPr>
          <w:snapToGrid w:val="0"/>
        </w:rPr>
        <w:lastRenderedPageBreak/>
        <w:t>Table 3.6:</w:t>
      </w:r>
      <w:r w:rsidRPr="00014438">
        <w:rPr>
          <w:snapToGrid w:val="0"/>
        </w:rPr>
        <w:t xml:space="preserve"> </w:t>
      </w:r>
      <w:r w:rsidR="008863D9">
        <w:rPr>
          <w:snapToGrid w:val="0"/>
          <w:lang w:val="en-AU"/>
        </w:rPr>
        <w:t>Department</w:t>
      </w:r>
      <w:r>
        <w:rPr>
          <w:snapToGrid w:val="0"/>
          <w:lang w:val="en-AU"/>
        </w:rPr>
        <w:t xml:space="preserve">al </w:t>
      </w:r>
      <w:r w:rsidRPr="00014438">
        <w:rPr>
          <w:snapToGrid w:val="0"/>
        </w:rPr>
        <w:t>capital budget statement</w:t>
      </w:r>
      <w:r w:rsidR="003C3292">
        <w:rPr>
          <w:snapToGrid w:val="0"/>
          <w:lang w:val="en-AU"/>
        </w:rPr>
        <w:t xml:space="preserve"> (for the period ended 30 </w:t>
      </w:r>
      <w:r>
        <w:rPr>
          <w:snapToGrid w:val="0"/>
          <w:lang w:val="en-AU"/>
        </w:rPr>
        <w:t>June)</w:t>
      </w:r>
      <w:r w:rsidRPr="008D4221">
        <w:rPr>
          <w:b w:val="0"/>
          <w:snapToGrid w:val="0"/>
        </w:rPr>
        <w:t xml:space="preserve"> </w:t>
      </w:r>
    </w:p>
    <w:tbl>
      <w:tblPr>
        <w:tblW w:w="0" w:type="auto"/>
        <w:tblLayout w:type="fixed"/>
        <w:tblLook w:val="04A0" w:firstRow="1" w:lastRow="0" w:firstColumn="1" w:lastColumn="0" w:noHBand="0" w:noVBand="1"/>
      </w:tblPr>
      <w:tblGrid>
        <w:gridCol w:w="3261"/>
        <w:gridCol w:w="856"/>
        <w:gridCol w:w="857"/>
        <w:gridCol w:w="857"/>
        <w:gridCol w:w="857"/>
        <w:gridCol w:w="857"/>
      </w:tblGrid>
      <w:tr w:rsidR="008E235E" w:rsidRPr="008E235E" w14:paraId="59E80816" w14:textId="77777777" w:rsidTr="00875F80">
        <w:trPr>
          <w:trHeight w:val="167"/>
        </w:trPr>
        <w:tc>
          <w:tcPr>
            <w:tcW w:w="3261" w:type="dxa"/>
            <w:tcBorders>
              <w:top w:val="single" w:sz="4" w:space="0" w:color="auto"/>
              <w:left w:val="nil"/>
              <w:bottom w:val="nil"/>
              <w:right w:val="nil"/>
            </w:tcBorders>
            <w:shd w:val="clear" w:color="auto" w:fill="auto"/>
            <w:noWrap/>
            <w:hideMark/>
          </w:tcPr>
          <w:p w14:paraId="2820BD61" w14:textId="75F4559A" w:rsidR="008E235E" w:rsidRPr="008E235E" w:rsidRDefault="00C17040" w:rsidP="008E235E">
            <w:pPr>
              <w:spacing w:after="0" w:line="240" w:lineRule="auto"/>
              <w:jc w:val="left"/>
              <w:rPr>
                <w:rFonts w:ascii="Arial" w:hAnsi="Arial" w:cs="Arial"/>
                <w:b/>
                <w:bCs/>
                <w:sz w:val="16"/>
                <w:szCs w:val="16"/>
              </w:rPr>
            </w:pPr>
            <w:r w:rsidRPr="00941A17">
              <w:rPr>
                <w:i/>
              </w:rPr>
              <w:t xml:space="preserve"> </w:t>
            </w:r>
            <w:r w:rsidR="008E235E" w:rsidRPr="008E235E">
              <w:rPr>
                <w:rFonts w:ascii="Arial" w:hAnsi="Arial" w:cs="Arial"/>
                <w:b/>
                <w:bCs/>
                <w:sz w:val="16"/>
                <w:szCs w:val="16"/>
              </w:rPr>
              <w:t> </w:t>
            </w:r>
          </w:p>
        </w:tc>
        <w:tc>
          <w:tcPr>
            <w:tcW w:w="856" w:type="dxa"/>
            <w:tcBorders>
              <w:top w:val="single" w:sz="4" w:space="0" w:color="auto"/>
              <w:left w:val="nil"/>
              <w:bottom w:val="single" w:sz="4" w:space="0" w:color="auto"/>
              <w:right w:val="nil"/>
            </w:tcBorders>
            <w:shd w:val="clear" w:color="auto" w:fill="auto"/>
            <w:hideMark/>
          </w:tcPr>
          <w:p w14:paraId="0B0E02B7" w14:textId="77777777" w:rsidR="008E235E" w:rsidRPr="008E235E" w:rsidRDefault="008E235E" w:rsidP="008E235E">
            <w:pPr>
              <w:spacing w:after="0" w:line="240" w:lineRule="auto"/>
              <w:jc w:val="right"/>
              <w:rPr>
                <w:rFonts w:ascii="Arial" w:hAnsi="Arial" w:cs="Arial"/>
                <w:sz w:val="16"/>
                <w:szCs w:val="16"/>
              </w:rPr>
            </w:pPr>
            <w:r w:rsidRPr="008E235E">
              <w:rPr>
                <w:rFonts w:ascii="Arial" w:hAnsi="Arial" w:cs="Arial"/>
                <w:sz w:val="16"/>
                <w:szCs w:val="16"/>
              </w:rPr>
              <w:t>2020-21 Actual</w:t>
            </w:r>
            <w:r w:rsidRPr="008E235E">
              <w:rPr>
                <w:rFonts w:ascii="Arial" w:hAnsi="Arial" w:cs="Arial"/>
                <w:sz w:val="16"/>
                <w:szCs w:val="16"/>
              </w:rPr>
              <w:br/>
            </w:r>
            <w:r w:rsidRPr="008E235E">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000000" w:fill="E6E6E6"/>
            <w:hideMark/>
          </w:tcPr>
          <w:p w14:paraId="338ADD1B" w14:textId="77777777" w:rsidR="008E235E" w:rsidRPr="008E235E" w:rsidRDefault="008E235E" w:rsidP="008E235E">
            <w:pPr>
              <w:spacing w:after="0" w:line="240" w:lineRule="auto"/>
              <w:jc w:val="right"/>
              <w:rPr>
                <w:rFonts w:ascii="Arial" w:hAnsi="Arial" w:cs="Arial"/>
                <w:sz w:val="16"/>
                <w:szCs w:val="16"/>
              </w:rPr>
            </w:pPr>
            <w:r w:rsidRPr="008E235E">
              <w:rPr>
                <w:rFonts w:ascii="Arial" w:hAnsi="Arial" w:cs="Arial"/>
                <w:sz w:val="16"/>
                <w:szCs w:val="16"/>
              </w:rPr>
              <w:t>2021-22</w:t>
            </w:r>
            <w:r w:rsidRPr="008E235E">
              <w:rPr>
                <w:rFonts w:ascii="Arial" w:hAnsi="Arial" w:cs="Arial"/>
                <w:sz w:val="16"/>
                <w:szCs w:val="16"/>
              </w:rPr>
              <w:br/>
              <w:t>Revised Budget</w:t>
            </w:r>
            <w:r w:rsidRPr="008E235E">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7151183E" w14:textId="77777777" w:rsidR="008E235E" w:rsidRPr="008E235E" w:rsidRDefault="008E235E" w:rsidP="008E235E">
            <w:pPr>
              <w:spacing w:after="0" w:line="240" w:lineRule="auto"/>
              <w:jc w:val="right"/>
              <w:rPr>
                <w:rFonts w:ascii="Arial" w:hAnsi="Arial" w:cs="Arial"/>
                <w:sz w:val="16"/>
                <w:szCs w:val="16"/>
              </w:rPr>
            </w:pPr>
            <w:r w:rsidRPr="008E235E">
              <w:rPr>
                <w:rFonts w:ascii="Arial" w:hAnsi="Arial" w:cs="Arial"/>
                <w:sz w:val="16"/>
                <w:szCs w:val="16"/>
              </w:rPr>
              <w:t>2022-23 Forward estimate</w:t>
            </w:r>
            <w:r w:rsidRPr="008E235E">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4F1BEEA5" w14:textId="77777777" w:rsidR="008E235E" w:rsidRPr="008E235E" w:rsidRDefault="008E235E" w:rsidP="008E235E">
            <w:pPr>
              <w:spacing w:after="0" w:line="240" w:lineRule="auto"/>
              <w:jc w:val="right"/>
              <w:rPr>
                <w:rFonts w:ascii="Arial" w:hAnsi="Arial" w:cs="Arial"/>
                <w:sz w:val="16"/>
                <w:szCs w:val="16"/>
              </w:rPr>
            </w:pPr>
            <w:r w:rsidRPr="008E235E">
              <w:rPr>
                <w:rFonts w:ascii="Arial" w:hAnsi="Arial" w:cs="Arial"/>
                <w:sz w:val="16"/>
                <w:szCs w:val="16"/>
              </w:rPr>
              <w:t>2023-24 Forward estimate</w:t>
            </w:r>
            <w:r w:rsidRPr="008E235E">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7D9F0DF9" w14:textId="77777777" w:rsidR="008E235E" w:rsidRPr="008E235E" w:rsidRDefault="008E235E" w:rsidP="008E235E">
            <w:pPr>
              <w:spacing w:after="0" w:line="240" w:lineRule="auto"/>
              <w:jc w:val="right"/>
              <w:rPr>
                <w:rFonts w:ascii="Arial" w:hAnsi="Arial" w:cs="Arial"/>
                <w:sz w:val="16"/>
                <w:szCs w:val="16"/>
              </w:rPr>
            </w:pPr>
            <w:r w:rsidRPr="008E235E">
              <w:rPr>
                <w:rFonts w:ascii="Arial" w:hAnsi="Arial" w:cs="Arial"/>
                <w:sz w:val="16"/>
                <w:szCs w:val="16"/>
              </w:rPr>
              <w:t>2024-25</w:t>
            </w:r>
            <w:r w:rsidRPr="008E235E">
              <w:rPr>
                <w:rFonts w:ascii="Arial" w:hAnsi="Arial" w:cs="Arial"/>
                <w:sz w:val="16"/>
                <w:szCs w:val="16"/>
              </w:rPr>
              <w:br/>
              <w:t>Forward estimate</w:t>
            </w:r>
            <w:r w:rsidRPr="008E235E">
              <w:rPr>
                <w:rFonts w:ascii="Arial" w:hAnsi="Arial" w:cs="Arial"/>
                <w:sz w:val="16"/>
                <w:szCs w:val="16"/>
              </w:rPr>
              <w:br/>
              <w:t>$'000</w:t>
            </w:r>
          </w:p>
        </w:tc>
      </w:tr>
      <w:tr w:rsidR="008E235E" w:rsidRPr="008E235E" w14:paraId="08547032" w14:textId="77777777" w:rsidTr="00875F80">
        <w:trPr>
          <w:trHeight w:val="204"/>
        </w:trPr>
        <w:tc>
          <w:tcPr>
            <w:tcW w:w="3261" w:type="dxa"/>
            <w:tcBorders>
              <w:top w:val="nil"/>
              <w:left w:val="nil"/>
              <w:bottom w:val="nil"/>
              <w:right w:val="nil"/>
            </w:tcBorders>
            <w:shd w:val="clear" w:color="auto" w:fill="auto"/>
            <w:vAlign w:val="center"/>
            <w:hideMark/>
          </w:tcPr>
          <w:p w14:paraId="358B0CEF" w14:textId="2897BF3F" w:rsidR="008E235E" w:rsidRPr="008E235E" w:rsidRDefault="008E235E" w:rsidP="008E235E">
            <w:pPr>
              <w:spacing w:after="0" w:line="240" w:lineRule="auto"/>
              <w:jc w:val="left"/>
              <w:rPr>
                <w:rFonts w:ascii="Arial" w:hAnsi="Arial" w:cs="Arial"/>
                <w:b/>
                <w:bCs/>
                <w:sz w:val="16"/>
                <w:szCs w:val="16"/>
              </w:rPr>
            </w:pPr>
            <w:r w:rsidRPr="008E235E">
              <w:rPr>
                <w:rFonts w:ascii="Arial" w:hAnsi="Arial" w:cs="Arial"/>
                <w:b/>
                <w:bCs/>
                <w:sz w:val="16"/>
                <w:szCs w:val="16"/>
              </w:rPr>
              <w:t>PURCHASE OF NON-FINANCIAL</w:t>
            </w:r>
            <w:r>
              <w:rPr>
                <w:rFonts w:ascii="Arial" w:hAnsi="Arial" w:cs="Arial"/>
                <w:b/>
                <w:bCs/>
                <w:sz w:val="16"/>
                <w:szCs w:val="16"/>
              </w:rPr>
              <w:t xml:space="preserve"> </w:t>
            </w:r>
            <w:r w:rsidRPr="008E235E">
              <w:rPr>
                <w:rFonts w:ascii="Arial" w:hAnsi="Arial" w:cs="Arial"/>
                <w:b/>
                <w:bCs/>
                <w:sz w:val="16"/>
                <w:szCs w:val="16"/>
              </w:rPr>
              <w:t>ASSETS</w:t>
            </w:r>
          </w:p>
        </w:tc>
        <w:tc>
          <w:tcPr>
            <w:tcW w:w="856" w:type="dxa"/>
            <w:tcBorders>
              <w:top w:val="nil"/>
              <w:left w:val="nil"/>
              <w:bottom w:val="nil"/>
              <w:right w:val="nil"/>
            </w:tcBorders>
            <w:shd w:val="clear" w:color="auto" w:fill="auto"/>
            <w:vAlign w:val="bottom"/>
            <w:hideMark/>
          </w:tcPr>
          <w:p w14:paraId="327BF79B" w14:textId="77777777" w:rsidR="008E235E" w:rsidRPr="008E235E" w:rsidRDefault="008E235E" w:rsidP="00216C12">
            <w:pPr>
              <w:spacing w:after="0" w:line="240" w:lineRule="auto"/>
              <w:jc w:val="right"/>
              <w:rPr>
                <w:rFonts w:ascii="Arial" w:hAnsi="Arial" w:cs="Arial"/>
                <w:b/>
                <w:bCs/>
                <w:sz w:val="16"/>
                <w:szCs w:val="16"/>
              </w:rPr>
            </w:pPr>
          </w:p>
        </w:tc>
        <w:tc>
          <w:tcPr>
            <w:tcW w:w="857" w:type="dxa"/>
            <w:tcBorders>
              <w:top w:val="nil"/>
              <w:left w:val="nil"/>
              <w:bottom w:val="nil"/>
              <w:right w:val="nil"/>
            </w:tcBorders>
            <w:shd w:val="clear" w:color="000000" w:fill="E6E6E6"/>
            <w:vAlign w:val="bottom"/>
            <w:hideMark/>
          </w:tcPr>
          <w:p w14:paraId="58D6B36C" w14:textId="52E64948" w:rsidR="008E235E" w:rsidRPr="008E235E" w:rsidRDefault="008E235E" w:rsidP="00216C12">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3FAE2654" w14:textId="77777777" w:rsidR="008E235E" w:rsidRPr="008E235E" w:rsidRDefault="008E235E" w:rsidP="00216C12">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1701342B" w14:textId="77777777" w:rsidR="008E235E" w:rsidRPr="008E235E" w:rsidRDefault="008E235E" w:rsidP="00216C12">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vAlign w:val="bottom"/>
            <w:hideMark/>
          </w:tcPr>
          <w:p w14:paraId="243B0C52" w14:textId="77777777" w:rsidR="008E235E" w:rsidRPr="008E235E" w:rsidRDefault="008E235E" w:rsidP="00216C12">
            <w:pPr>
              <w:spacing w:after="0" w:line="240" w:lineRule="auto"/>
              <w:jc w:val="right"/>
              <w:rPr>
                <w:rFonts w:ascii="Times New Roman" w:hAnsi="Times New Roman"/>
              </w:rPr>
            </w:pPr>
          </w:p>
        </w:tc>
      </w:tr>
      <w:tr w:rsidR="008E235E" w:rsidRPr="008E235E" w14:paraId="4F242E87" w14:textId="77777777" w:rsidTr="00875F80">
        <w:trPr>
          <w:trHeight w:val="204"/>
        </w:trPr>
        <w:tc>
          <w:tcPr>
            <w:tcW w:w="3261" w:type="dxa"/>
            <w:tcBorders>
              <w:top w:val="nil"/>
              <w:left w:val="nil"/>
              <w:bottom w:val="nil"/>
              <w:right w:val="nil"/>
            </w:tcBorders>
            <w:shd w:val="clear" w:color="auto" w:fill="auto"/>
            <w:vAlign w:val="center"/>
            <w:hideMark/>
          </w:tcPr>
          <w:p w14:paraId="2A60EFCE" w14:textId="18ED5B01" w:rsidR="008E235E" w:rsidRPr="008E235E" w:rsidRDefault="008E235E" w:rsidP="008E235E">
            <w:pPr>
              <w:spacing w:after="0" w:line="240" w:lineRule="auto"/>
              <w:ind w:left="113"/>
              <w:jc w:val="left"/>
              <w:rPr>
                <w:rFonts w:ascii="Arial" w:hAnsi="Arial" w:cs="Arial"/>
                <w:sz w:val="16"/>
                <w:szCs w:val="16"/>
              </w:rPr>
            </w:pPr>
            <w:r w:rsidRPr="008E235E">
              <w:rPr>
                <w:rFonts w:ascii="Arial" w:hAnsi="Arial" w:cs="Arial"/>
                <w:sz w:val="16"/>
                <w:szCs w:val="16"/>
              </w:rPr>
              <w:t xml:space="preserve">Funded internally from </w:t>
            </w:r>
            <w:r w:rsidR="008863D9">
              <w:rPr>
                <w:rFonts w:ascii="Arial" w:hAnsi="Arial" w:cs="Arial"/>
                <w:sz w:val="16"/>
                <w:szCs w:val="16"/>
              </w:rPr>
              <w:t>Department</w:t>
            </w:r>
            <w:r w:rsidRPr="008E235E">
              <w:rPr>
                <w:rFonts w:ascii="Arial" w:hAnsi="Arial" w:cs="Arial"/>
                <w:sz w:val="16"/>
                <w:szCs w:val="16"/>
              </w:rPr>
              <w:t>al</w:t>
            </w:r>
            <w:r>
              <w:rPr>
                <w:rFonts w:ascii="Arial" w:hAnsi="Arial" w:cs="Arial"/>
                <w:sz w:val="16"/>
                <w:szCs w:val="16"/>
              </w:rPr>
              <w:t xml:space="preserve"> </w:t>
            </w:r>
            <w:r w:rsidRPr="008E235E">
              <w:rPr>
                <w:rFonts w:ascii="Arial" w:hAnsi="Arial" w:cs="Arial"/>
                <w:sz w:val="16"/>
                <w:szCs w:val="16"/>
              </w:rPr>
              <w:t xml:space="preserve">resources </w:t>
            </w:r>
            <w:r w:rsidRPr="008E235E">
              <w:rPr>
                <w:rFonts w:ascii="Arial" w:hAnsi="Arial" w:cs="Arial"/>
                <w:sz w:val="16"/>
                <w:szCs w:val="16"/>
                <w:vertAlign w:val="superscript"/>
              </w:rPr>
              <w:t>(a)</w:t>
            </w:r>
          </w:p>
        </w:tc>
        <w:tc>
          <w:tcPr>
            <w:tcW w:w="856" w:type="dxa"/>
            <w:tcBorders>
              <w:top w:val="nil"/>
              <w:left w:val="nil"/>
              <w:bottom w:val="nil"/>
              <w:right w:val="nil"/>
            </w:tcBorders>
            <w:shd w:val="clear" w:color="auto" w:fill="auto"/>
            <w:noWrap/>
            <w:vAlign w:val="bottom"/>
            <w:hideMark/>
          </w:tcPr>
          <w:p w14:paraId="63DC69CE" w14:textId="6796337C" w:rsidR="008E235E" w:rsidRPr="008E235E" w:rsidRDefault="008E235E" w:rsidP="00216C12">
            <w:pPr>
              <w:spacing w:after="0" w:line="240" w:lineRule="auto"/>
              <w:jc w:val="right"/>
              <w:rPr>
                <w:rFonts w:ascii="Arial" w:hAnsi="Arial" w:cs="Arial"/>
                <w:sz w:val="16"/>
                <w:szCs w:val="16"/>
              </w:rPr>
            </w:pPr>
            <w:r w:rsidRPr="008E235E">
              <w:rPr>
                <w:rFonts w:ascii="Arial" w:hAnsi="Arial" w:cs="Arial"/>
                <w:sz w:val="16"/>
                <w:szCs w:val="16"/>
              </w:rPr>
              <w:t>15,780</w:t>
            </w:r>
          </w:p>
        </w:tc>
        <w:tc>
          <w:tcPr>
            <w:tcW w:w="857" w:type="dxa"/>
            <w:tcBorders>
              <w:top w:val="nil"/>
              <w:left w:val="nil"/>
              <w:bottom w:val="nil"/>
              <w:right w:val="nil"/>
            </w:tcBorders>
            <w:shd w:val="clear" w:color="000000" w:fill="E6E6E6"/>
            <w:noWrap/>
            <w:vAlign w:val="bottom"/>
            <w:hideMark/>
          </w:tcPr>
          <w:p w14:paraId="19D3F7FA" w14:textId="0841FE35" w:rsidR="008E235E" w:rsidRPr="008E235E" w:rsidRDefault="008E235E" w:rsidP="00216C12">
            <w:pPr>
              <w:spacing w:after="0" w:line="240" w:lineRule="auto"/>
              <w:jc w:val="right"/>
              <w:rPr>
                <w:rFonts w:ascii="Arial" w:hAnsi="Arial" w:cs="Arial"/>
                <w:sz w:val="16"/>
                <w:szCs w:val="16"/>
              </w:rPr>
            </w:pPr>
            <w:r w:rsidRPr="008E235E">
              <w:rPr>
                <w:rFonts w:ascii="Arial" w:hAnsi="Arial" w:cs="Arial"/>
                <w:sz w:val="16"/>
                <w:szCs w:val="16"/>
              </w:rPr>
              <w:t>21,841</w:t>
            </w:r>
          </w:p>
        </w:tc>
        <w:tc>
          <w:tcPr>
            <w:tcW w:w="857" w:type="dxa"/>
            <w:tcBorders>
              <w:top w:val="nil"/>
              <w:left w:val="nil"/>
              <w:bottom w:val="nil"/>
              <w:right w:val="nil"/>
            </w:tcBorders>
            <w:shd w:val="clear" w:color="auto" w:fill="auto"/>
            <w:noWrap/>
            <w:vAlign w:val="bottom"/>
            <w:hideMark/>
          </w:tcPr>
          <w:p w14:paraId="73DCFA20" w14:textId="66C1E8C8" w:rsidR="008E235E" w:rsidRPr="008E235E" w:rsidRDefault="008E235E" w:rsidP="00216C12">
            <w:pPr>
              <w:spacing w:after="0" w:line="240" w:lineRule="auto"/>
              <w:jc w:val="right"/>
              <w:rPr>
                <w:rFonts w:ascii="Arial" w:hAnsi="Arial" w:cs="Arial"/>
                <w:sz w:val="16"/>
                <w:szCs w:val="16"/>
              </w:rPr>
            </w:pPr>
            <w:r w:rsidRPr="008E235E">
              <w:rPr>
                <w:rFonts w:ascii="Arial" w:hAnsi="Arial" w:cs="Arial"/>
                <w:sz w:val="16"/>
                <w:szCs w:val="16"/>
              </w:rPr>
              <w:t>27,967</w:t>
            </w:r>
          </w:p>
        </w:tc>
        <w:tc>
          <w:tcPr>
            <w:tcW w:w="857" w:type="dxa"/>
            <w:tcBorders>
              <w:top w:val="nil"/>
              <w:left w:val="nil"/>
              <w:bottom w:val="nil"/>
              <w:right w:val="nil"/>
            </w:tcBorders>
            <w:shd w:val="clear" w:color="auto" w:fill="auto"/>
            <w:noWrap/>
            <w:vAlign w:val="bottom"/>
            <w:hideMark/>
          </w:tcPr>
          <w:p w14:paraId="7F748253" w14:textId="380C1CF8" w:rsidR="008E235E" w:rsidRPr="008E235E" w:rsidRDefault="008E235E" w:rsidP="00216C12">
            <w:pPr>
              <w:spacing w:after="0" w:line="240" w:lineRule="auto"/>
              <w:jc w:val="right"/>
              <w:rPr>
                <w:rFonts w:ascii="Arial" w:hAnsi="Arial" w:cs="Arial"/>
                <w:sz w:val="16"/>
                <w:szCs w:val="16"/>
              </w:rPr>
            </w:pPr>
            <w:r w:rsidRPr="008E235E">
              <w:rPr>
                <w:rFonts w:ascii="Arial" w:hAnsi="Arial" w:cs="Arial"/>
                <w:sz w:val="16"/>
                <w:szCs w:val="16"/>
              </w:rPr>
              <w:t>8,094</w:t>
            </w:r>
          </w:p>
        </w:tc>
        <w:tc>
          <w:tcPr>
            <w:tcW w:w="857" w:type="dxa"/>
            <w:tcBorders>
              <w:top w:val="nil"/>
              <w:left w:val="nil"/>
              <w:bottom w:val="nil"/>
              <w:right w:val="nil"/>
            </w:tcBorders>
            <w:shd w:val="clear" w:color="auto" w:fill="auto"/>
            <w:noWrap/>
            <w:vAlign w:val="bottom"/>
            <w:hideMark/>
          </w:tcPr>
          <w:p w14:paraId="33B8AF27" w14:textId="43C0278A" w:rsidR="008E235E" w:rsidRPr="008E235E" w:rsidRDefault="008E235E" w:rsidP="00216C12">
            <w:pPr>
              <w:spacing w:after="0" w:line="240" w:lineRule="auto"/>
              <w:jc w:val="right"/>
              <w:rPr>
                <w:rFonts w:ascii="Arial" w:hAnsi="Arial" w:cs="Arial"/>
                <w:sz w:val="16"/>
                <w:szCs w:val="16"/>
              </w:rPr>
            </w:pPr>
            <w:r w:rsidRPr="008E235E">
              <w:rPr>
                <w:rFonts w:ascii="Arial" w:hAnsi="Arial" w:cs="Arial"/>
                <w:sz w:val="16"/>
                <w:szCs w:val="16"/>
              </w:rPr>
              <w:t>11,197</w:t>
            </w:r>
          </w:p>
        </w:tc>
      </w:tr>
      <w:tr w:rsidR="008E235E" w:rsidRPr="008E235E" w14:paraId="65D6CFA3" w14:textId="77777777" w:rsidTr="00875F80">
        <w:trPr>
          <w:trHeight w:val="204"/>
        </w:trPr>
        <w:tc>
          <w:tcPr>
            <w:tcW w:w="3261" w:type="dxa"/>
            <w:tcBorders>
              <w:top w:val="nil"/>
              <w:left w:val="nil"/>
              <w:bottom w:val="nil"/>
              <w:right w:val="nil"/>
            </w:tcBorders>
            <w:shd w:val="clear" w:color="auto" w:fill="auto"/>
            <w:noWrap/>
            <w:vAlign w:val="center"/>
            <w:hideMark/>
          </w:tcPr>
          <w:p w14:paraId="3A19D632" w14:textId="77777777" w:rsidR="008E235E" w:rsidRPr="008E235E" w:rsidRDefault="008E235E" w:rsidP="008E235E">
            <w:pPr>
              <w:spacing w:after="0" w:line="240" w:lineRule="auto"/>
              <w:jc w:val="left"/>
              <w:rPr>
                <w:rFonts w:ascii="Arial" w:hAnsi="Arial" w:cs="Arial"/>
                <w:b/>
                <w:bCs/>
                <w:sz w:val="16"/>
                <w:szCs w:val="16"/>
              </w:rPr>
            </w:pPr>
            <w:r w:rsidRPr="008E235E">
              <w:rPr>
                <w:rFonts w:ascii="Arial" w:hAnsi="Arial" w:cs="Arial"/>
                <w:b/>
                <w:bCs/>
                <w:sz w:val="16"/>
                <w:szCs w:val="16"/>
              </w:rPr>
              <w:t>TOTAL</w:t>
            </w:r>
          </w:p>
        </w:tc>
        <w:tc>
          <w:tcPr>
            <w:tcW w:w="856" w:type="dxa"/>
            <w:tcBorders>
              <w:top w:val="single" w:sz="4" w:space="0" w:color="auto"/>
              <w:left w:val="nil"/>
              <w:bottom w:val="single" w:sz="4" w:space="0" w:color="auto"/>
              <w:right w:val="nil"/>
            </w:tcBorders>
            <w:shd w:val="clear" w:color="auto" w:fill="auto"/>
            <w:noWrap/>
            <w:vAlign w:val="bottom"/>
            <w:hideMark/>
          </w:tcPr>
          <w:p w14:paraId="0C3B1E40" w14:textId="3DB9C3FB" w:rsidR="008E235E" w:rsidRPr="008E235E" w:rsidRDefault="008E235E" w:rsidP="00216C12">
            <w:pPr>
              <w:spacing w:after="0" w:line="240" w:lineRule="auto"/>
              <w:jc w:val="right"/>
              <w:rPr>
                <w:rFonts w:ascii="Arial" w:hAnsi="Arial" w:cs="Arial"/>
                <w:b/>
                <w:bCs/>
                <w:sz w:val="16"/>
                <w:szCs w:val="16"/>
              </w:rPr>
            </w:pPr>
            <w:r w:rsidRPr="008E235E">
              <w:rPr>
                <w:rFonts w:ascii="Arial" w:hAnsi="Arial" w:cs="Arial"/>
                <w:b/>
                <w:bCs/>
                <w:sz w:val="16"/>
                <w:szCs w:val="16"/>
              </w:rPr>
              <w:t>15,780</w:t>
            </w:r>
          </w:p>
        </w:tc>
        <w:tc>
          <w:tcPr>
            <w:tcW w:w="857" w:type="dxa"/>
            <w:tcBorders>
              <w:top w:val="single" w:sz="4" w:space="0" w:color="auto"/>
              <w:left w:val="nil"/>
              <w:bottom w:val="single" w:sz="4" w:space="0" w:color="auto"/>
              <w:right w:val="nil"/>
            </w:tcBorders>
            <w:shd w:val="clear" w:color="000000" w:fill="E6E6E6"/>
            <w:noWrap/>
            <w:vAlign w:val="bottom"/>
            <w:hideMark/>
          </w:tcPr>
          <w:p w14:paraId="530427CF" w14:textId="1AA04EC6" w:rsidR="008E235E" w:rsidRPr="008E235E" w:rsidRDefault="008E235E" w:rsidP="00216C12">
            <w:pPr>
              <w:spacing w:after="0" w:line="240" w:lineRule="auto"/>
              <w:jc w:val="right"/>
              <w:rPr>
                <w:rFonts w:ascii="Arial" w:hAnsi="Arial" w:cs="Arial"/>
                <w:b/>
                <w:bCs/>
                <w:sz w:val="16"/>
                <w:szCs w:val="16"/>
              </w:rPr>
            </w:pPr>
            <w:r w:rsidRPr="008E235E">
              <w:rPr>
                <w:rFonts w:ascii="Arial" w:hAnsi="Arial" w:cs="Arial"/>
                <w:b/>
                <w:bCs/>
                <w:sz w:val="16"/>
                <w:szCs w:val="16"/>
              </w:rPr>
              <w:t>21,841</w:t>
            </w:r>
          </w:p>
        </w:tc>
        <w:tc>
          <w:tcPr>
            <w:tcW w:w="857" w:type="dxa"/>
            <w:tcBorders>
              <w:top w:val="single" w:sz="4" w:space="0" w:color="auto"/>
              <w:left w:val="nil"/>
              <w:bottom w:val="single" w:sz="4" w:space="0" w:color="auto"/>
              <w:right w:val="nil"/>
            </w:tcBorders>
            <w:shd w:val="clear" w:color="auto" w:fill="auto"/>
            <w:noWrap/>
            <w:vAlign w:val="bottom"/>
            <w:hideMark/>
          </w:tcPr>
          <w:p w14:paraId="617810A1" w14:textId="12FACC90" w:rsidR="008E235E" w:rsidRPr="008E235E" w:rsidRDefault="008E235E" w:rsidP="00216C12">
            <w:pPr>
              <w:spacing w:after="0" w:line="240" w:lineRule="auto"/>
              <w:jc w:val="right"/>
              <w:rPr>
                <w:rFonts w:ascii="Arial" w:hAnsi="Arial" w:cs="Arial"/>
                <w:b/>
                <w:bCs/>
                <w:sz w:val="16"/>
                <w:szCs w:val="16"/>
              </w:rPr>
            </w:pPr>
            <w:r w:rsidRPr="008E235E">
              <w:rPr>
                <w:rFonts w:ascii="Arial" w:hAnsi="Arial" w:cs="Arial"/>
                <w:b/>
                <w:bCs/>
                <w:sz w:val="16"/>
                <w:szCs w:val="16"/>
              </w:rPr>
              <w:t>27,967</w:t>
            </w:r>
          </w:p>
        </w:tc>
        <w:tc>
          <w:tcPr>
            <w:tcW w:w="857" w:type="dxa"/>
            <w:tcBorders>
              <w:top w:val="single" w:sz="4" w:space="0" w:color="auto"/>
              <w:left w:val="nil"/>
              <w:bottom w:val="single" w:sz="4" w:space="0" w:color="auto"/>
              <w:right w:val="nil"/>
            </w:tcBorders>
            <w:shd w:val="clear" w:color="auto" w:fill="auto"/>
            <w:noWrap/>
            <w:vAlign w:val="bottom"/>
            <w:hideMark/>
          </w:tcPr>
          <w:p w14:paraId="5622E7EC" w14:textId="3A86607E" w:rsidR="008E235E" w:rsidRPr="008E235E" w:rsidRDefault="008E235E" w:rsidP="00216C12">
            <w:pPr>
              <w:spacing w:after="0" w:line="240" w:lineRule="auto"/>
              <w:jc w:val="right"/>
              <w:rPr>
                <w:rFonts w:ascii="Arial" w:hAnsi="Arial" w:cs="Arial"/>
                <w:b/>
                <w:bCs/>
                <w:sz w:val="16"/>
                <w:szCs w:val="16"/>
              </w:rPr>
            </w:pPr>
            <w:r w:rsidRPr="008E235E">
              <w:rPr>
                <w:rFonts w:ascii="Arial" w:hAnsi="Arial" w:cs="Arial"/>
                <w:b/>
                <w:bCs/>
                <w:sz w:val="16"/>
                <w:szCs w:val="16"/>
              </w:rPr>
              <w:t>8,094</w:t>
            </w:r>
          </w:p>
        </w:tc>
        <w:tc>
          <w:tcPr>
            <w:tcW w:w="857" w:type="dxa"/>
            <w:tcBorders>
              <w:top w:val="single" w:sz="4" w:space="0" w:color="auto"/>
              <w:left w:val="nil"/>
              <w:bottom w:val="single" w:sz="4" w:space="0" w:color="auto"/>
              <w:right w:val="nil"/>
            </w:tcBorders>
            <w:shd w:val="clear" w:color="auto" w:fill="auto"/>
            <w:noWrap/>
            <w:vAlign w:val="bottom"/>
            <w:hideMark/>
          </w:tcPr>
          <w:p w14:paraId="1428371B" w14:textId="503093BF" w:rsidR="008E235E" w:rsidRPr="008E235E" w:rsidRDefault="008E235E" w:rsidP="00216C12">
            <w:pPr>
              <w:spacing w:after="0" w:line="240" w:lineRule="auto"/>
              <w:jc w:val="right"/>
              <w:rPr>
                <w:rFonts w:ascii="Arial" w:hAnsi="Arial" w:cs="Arial"/>
                <w:b/>
                <w:bCs/>
                <w:sz w:val="16"/>
                <w:szCs w:val="16"/>
              </w:rPr>
            </w:pPr>
            <w:r w:rsidRPr="008E235E">
              <w:rPr>
                <w:rFonts w:ascii="Arial" w:hAnsi="Arial" w:cs="Arial"/>
                <w:b/>
                <w:bCs/>
                <w:sz w:val="16"/>
                <w:szCs w:val="16"/>
              </w:rPr>
              <w:t>11,197</w:t>
            </w:r>
          </w:p>
        </w:tc>
      </w:tr>
      <w:tr w:rsidR="008E235E" w:rsidRPr="008E235E" w14:paraId="53547790" w14:textId="77777777" w:rsidTr="00875F80">
        <w:trPr>
          <w:trHeight w:val="204"/>
        </w:trPr>
        <w:tc>
          <w:tcPr>
            <w:tcW w:w="3261" w:type="dxa"/>
            <w:tcBorders>
              <w:top w:val="nil"/>
              <w:left w:val="nil"/>
              <w:bottom w:val="nil"/>
              <w:right w:val="nil"/>
            </w:tcBorders>
            <w:shd w:val="clear" w:color="auto" w:fill="auto"/>
            <w:vAlign w:val="center"/>
            <w:hideMark/>
          </w:tcPr>
          <w:p w14:paraId="7CE88F55" w14:textId="413209F8" w:rsidR="008E235E" w:rsidRPr="008E235E" w:rsidRDefault="008E235E" w:rsidP="008E235E">
            <w:pPr>
              <w:spacing w:after="0" w:line="240" w:lineRule="auto"/>
              <w:jc w:val="left"/>
              <w:rPr>
                <w:rFonts w:ascii="Arial" w:hAnsi="Arial" w:cs="Arial"/>
                <w:b/>
                <w:bCs/>
                <w:sz w:val="16"/>
                <w:szCs w:val="16"/>
              </w:rPr>
            </w:pPr>
            <w:r w:rsidRPr="008E235E">
              <w:rPr>
                <w:rFonts w:ascii="Arial" w:hAnsi="Arial" w:cs="Arial"/>
                <w:b/>
                <w:bCs/>
                <w:sz w:val="16"/>
                <w:szCs w:val="16"/>
              </w:rPr>
              <w:t>RECONCILIATION OF CASH USED</w:t>
            </w:r>
            <w:r>
              <w:rPr>
                <w:rFonts w:ascii="Arial" w:hAnsi="Arial" w:cs="Arial"/>
                <w:b/>
                <w:bCs/>
                <w:sz w:val="16"/>
                <w:szCs w:val="16"/>
              </w:rPr>
              <w:t xml:space="preserve"> </w:t>
            </w:r>
            <w:r w:rsidRPr="008E235E">
              <w:rPr>
                <w:rFonts w:ascii="Arial" w:hAnsi="Arial" w:cs="Arial"/>
                <w:b/>
                <w:bCs/>
                <w:sz w:val="16"/>
                <w:szCs w:val="16"/>
              </w:rPr>
              <w:t>TO ACQUIRE ASSETS TO ASSET</w:t>
            </w:r>
            <w:r>
              <w:rPr>
                <w:rFonts w:ascii="Arial" w:hAnsi="Arial" w:cs="Arial"/>
                <w:b/>
                <w:bCs/>
                <w:sz w:val="16"/>
                <w:szCs w:val="16"/>
              </w:rPr>
              <w:t xml:space="preserve"> </w:t>
            </w:r>
            <w:r w:rsidRPr="008E235E">
              <w:rPr>
                <w:rFonts w:ascii="Arial" w:hAnsi="Arial" w:cs="Arial"/>
                <w:b/>
                <w:bCs/>
                <w:sz w:val="16"/>
                <w:szCs w:val="16"/>
              </w:rPr>
              <w:t>MOVEMENT TABLE</w:t>
            </w:r>
          </w:p>
        </w:tc>
        <w:tc>
          <w:tcPr>
            <w:tcW w:w="856" w:type="dxa"/>
            <w:tcBorders>
              <w:top w:val="nil"/>
              <w:left w:val="nil"/>
              <w:bottom w:val="nil"/>
              <w:right w:val="nil"/>
            </w:tcBorders>
            <w:shd w:val="clear" w:color="auto" w:fill="auto"/>
            <w:noWrap/>
            <w:vAlign w:val="bottom"/>
            <w:hideMark/>
          </w:tcPr>
          <w:p w14:paraId="00CF9809" w14:textId="77777777" w:rsidR="008E235E" w:rsidRPr="008E235E" w:rsidRDefault="008E235E" w:rsidP="00216C12">
            <w:pPr>
              <w:spacing w:after="0" w:line="240" w:lineRule="auto"/>
              <w:jc w:val="right"/>
              <w:rPr>
                <w:rFonts w:ascii="Arial" w:hAnsi="Arial" w:cs="Arial"/>
                <w:b/>
                <w:bCs/>
                <w:sz w:val="16"/>
                <w:szCs w:val="16"/>
              </w:rPr>
            </w:pPr>
          </w:p>
        </w:tc>
        <w:tc>
          <w:tcPr>
            <w:tcW w:w="857" w:type="dxa"/>
            <w:tcBorders>
              <w:top w:val="nil"/>
              <w:left w:val="nil"/>
              <w:bottom w:val="nil"/>
              <w:right w:val="nil"/>
            </w:tcBorders>
            <w:shd w:val="clear" w:color="000000" w:fill="E6E6E6"/>
            <w:noWrap/>
            <w:vAlign w:val="bottom"/>
            <w:hideMark/>
          </w:tcPr>
          <w:p w14:paraId="370830F7" w14:textId="72A0D549" w:rsidR="008E235E" w:rsidRPr="008E235E" w:rsidRDefault="008E235E" w:rsidP="00216C12">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504B4733" w14:textId="77777777" w:rsidR="008E235E" w:rsidRPr="008E235E" w:rsidRDefault="008E235E" w:rsidP="00216C12">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72F7622A" w14:textId="77777777" w:rsidR="008E235E" w:rsidRPr="008E235E" w:rsidRDefault="008E235E" w:rsidP="00216C12">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177DE204" w14:textId="77777777" w:rsidR="008E235E" w:rsidRPr="008E235E" w:rsidRDefault="008E235E" w:rsidP="00216C12">
            <w:pPr>
              <w:spacing w:after="0" w:line="240" w:lineRule="auto"/>
              <w:jc w:val="right"/>
              <w:rPr>
                <w:rFonts w:ascii="Times New Roman" w:hAnsi="Times New Roman"/>
              </w:rPr>
            </w:pPr>
          </w:p>
        </w:tc>
      </w:tr>
      <w:tr w:rsidR="008E235E" w:rsidRPr="008E235E" w14:paraId="68381CDC" w14:textId="77777777" w:rsidTr="00875F80">
        <w:trPr>
          <w:trHeight w:val="204"/>
        </w:trPr>
        <w:tc>
          <w:tcPr>
            <w:tcW w:w="3261" w:type="dxa"/>
            <w:tcBorders>
              <w:top w:val="nil"/>
              <w:left w:val="nil"/>
              <w:bottom w:val="nil"/>
              <w:right w:val="nil"/>
            </w:tcBorders>
            <w:shd w:val="clear" w:color="auto" w:fill="auto"/>
            <w:noWrap/>
            <w:vAlign w:val="center"/>
            <w:hideMark/>
          </w:tcPr>
          <w:p w14:paraId="6A7BAD6C" w14:textId="77777777" w:rsidR="008E235E" w:rsidRPr="008E235E" w:rsidRDefault="008E235E" w:rsidP="008E235E">
            <w:pPr>
              <w:spacing w:after="0" w:line="240" w:lineRule="auto"/>
              <w:ind w:firstLineChars="100" w:firstLine="160"/>
              <w:jc w:val="left"/>
              <w:rPr>
                <w:rFonts w:ascii="Arial" w:hAnsi="Arial" w:cs="Arial"/>
                <w:sz w:val="16"/>
                <w:szCs w:val="16"/>
              </w:rPr>
            </w:pPr>
            <w:r w:rsidRPr="008E235E">
              <w:rPr>
                <w:rFonts w:ascii="Arial" w:hAnsi="Arial" w:cs="Arial"/>
                <w:sz w:val="16"/>
                <w:szCs w:val="16"/>
              </w:rPr>
              <w:t>Total purchases</w:t>
            </w:r>
          </w:p>
        </w:tc>
        <w:tc>
          <w:tcPr>
            <w:tcW w:w="856" w:type="dxa"/>
            <w:tcBorders>
              <w:top w:val="nil"/>
              <w:left w:val="nil"/>
              <w:bottom w:val="nil"/>
              <w:right w:val="nil"/>
            </w:tcBorders>
            <w:shd w:val="clear" w:color="auto" w:fill="auto"/>
            <w:noWrap/>
            <w:vAlign w:val="bottom"/>
            <w:hideMark/>
          </w:tcPr>
          <w:p w14:paraId="25B8E778" w14:textId="1F2335A0" w:rsidR="008E235E" w:rsidRPr="008E235E" w:rsidRDefault="008E235E" w:rsidP="00216C12">
            <w:pPr>
              <w:spacing w:after="0" w:line="240" w:lineRule="auto"/>
              <w:jc w:val="right"/>
              <w:rPr>
                <w:rFonts w:ascii="Arial" w:hAnsi="Arial" w:cs="Arial"/>
                <w:sz w:val="16"/>
                <w:szCs w:val="16"/>
              </w:rPr>
            </w:pPr>
            <w:r w:rsidRPr="008E235E">
              <w:rPr>
                <w:rFonts w:ascii="Arial" w:hAnsi="Arial" w:cs="Arial"/>
                <w:sz w:val="16"/>
                <w:szCs w:val="16"/>
              </w:rPr>
              <w:t>15,780</w:t>
            </w:r>
          </w:p>
        </w:tc>
        <w:tc>
          <w:tcPr>
            <w:tcW w:w="857" w:type="dxa"/>
            <w:tcBorders>
              <w:top w:val="nil"/>
              <w:left w:val="nil"/>
              <w:bottom w:val="nil"/>
              <w:right w:val="nil"/>
            </w:tcBorders>
            <w:shd w:val="clear" w:color="000000" w:fill="E6E6E6"/>
            <w:noWrap/>
            <w:vAlign w:val="bottom"/>
            <w:hideMark/>
          </w:tcPr>
          <w:p w14:paraId="4194BB43" w14:textId="24CD0861" w:rsidR="008E235E" w:rsidRPr="008E235E" w:rsidRDefault="008E235E" w:rsidP="00216C12">
            <w:pPr>
              <w:spacing w:after="0" w:line="240" w:lineRule="auto"/>
              <w:jc w:val="right"/>
              <w:rPr>
                <w:rFonts w:ascii="Arial" w:hAnsi="Arial" w:cs="Arial"/>
                <w:sz w:val="16"/>
                <w:szCs w:val="16"/>
              </w:rPr>
            </w:pPr>
            <w:r w:rsidRPr="008E235E">
              <w:rPr>
                <w:rFonts w:ascii="Arial" w:hAnsi="Arial" w:cs="Arial"/>
                <w:sz w:val="16"/>
                <w:szCs w:val="16"/>
              </w:rPr>
              <w:t>21,841</w:t>
            </w:r>
          </w:p>
        </w:tc>
        <w:tc>
          <w:tcPr>
            <w:tcW w:w="857" w:type="dxa"/>
            <w:tcBorders>
              <w:top w:val="nil"/>
              <w:left w:val="nil"/>
              <w:bottom w:val="nil"/>
              <w:right w:val="nil"/>
            </w:tcBorders>
            <w:shd w:val="clear" w:color="auto" w:fill="auto"/>
            <w:noWrap/>
            <w:vAlign w:val="bottom"/>
            <w:hideMark/>
          </w:tcPr>
          <w:p w14:paraId="01E0DCEC" w14:textId="68C72F20" w:rsidR="008E235E" w:rsidRPr="008E235E" w:rsidRDefault="008E235E" w:rsidP="00216C12">
            <w:pPr>
              <w:spacing w:after="0" w:line="240" w:lineRule="auto"/>
              <w:jc w:val="right"/>
              <w:rPr>
                <w:rFonts w:ascii="Arial" w:hAnsi="Arial" w:cs="Arial"/>
                <w:sz w:val="16"/>
                <w:szCs w:val="16"/>
              </w:rPr>
            </w:pPr>
            <w:r w:rsidRPr="008E235E">
              <w:rPr>
                <w:rFonts w:ascii="Arial" w:hAnsi="Arial" w:cs="Arial"/>
                <w:sz w:val="16"/>
                <w:szCs w:val="16"/>
              </w:rPr>
              <w:t>27,967</w:t>
            </w:r>
          </w:p>
        </w:tc>
        <w:tc>
          <w:tcPr>
            <w:tcW w:w="857" w:type="dxa"/>
            <w:tcBorders>
              <w:top w:val="nil"/>
              <w:left w:val="nil"/>
              <w:bottom w:val="nil"/>
              <w:right w:val="nil"/>
            </w:tcBorders>
            <w:shd w:val="clear" w:color="auto" w:fill="auto"/>
            <w:noWrap/>
            <w:vAlign w:val="bottom"/>
            <w:hideMark/>
          </w:tcPr>
          <w:p w14:paraId="2A880C92" w14:textId="3C67E02D" w:rsidR="008E235E" w:rsidRPr="008E235E" w:rsidRDefault="008E235E" w:rsidP="00216C12">
            <w:pPr>
              <w:spacing w:after="0" w:line="240" w:lineRule="auto"/>
              <w:jc w:val="right"/>
              <w:rPr>
                <w:rFonts w:ascii="Arial" w:hAnsi="Arial" w:cs="Arial"/>
                <w:sz w:val="16"/>
                <w:szCs w:val="16"/>
              </w:rPr>
            </w:pPr>
            <w:r w:rsidRPr="008E235E">
              <w:rPr>
                <w:rFonts w:ascii="Arial" w:hAnsi="Arial" w:cs="Arial"/>
                <w:sz w:val="16"/>
                <w:szCs w:val="16"/>
              </w:rPr>
              <w:t>8,094</w:t>
            </w:r>
          </w:p>
        </w:tc>
        <w:tc>
          <w:tcPr>
            <w:tcW w:w="857" w:type="dxa"/>
            <w:tcBorders>
              <w:top w:val="nil"/>
              <w:left w:val="nil"/>
              <w:bottom w:val="nil"/>
              <w:right w:val="nil"/>
            </w:tcBorders>
            <w:shd w:val="clear" w:color="auto" w:fill="auto"/>
            <w:noWrap/>
            <w:vAlign w:val="bottom"/>
            <w:hideMark/>
          </w:tcPr>
          <w:p w14:paraId="405717C8" w14:textId="780FFA5B" w:rsidR="008E235E" w:rsidRPr="008E235E" w:rsidRDefault="008E235E" w:rsidP="00216C12">
            <w:pPr>
              <w:spacing w:after="0" w:line="240" w:lineRule="auto"/>
              <w:jc w:val="right"/>
              <w:rPr>
                <w:rFonts w:ascii="Arial" w:hAnsi="Arial" w:cs="Arial"/>
                <w:sz w:val="16"/>
                <w:szCs w:val="16"/>
              </w:rPr>
            </w:pPr>
            <w:r w:rsidRPr="008E235E">
              <w:rPr>
                <w:rFonts w:ascii="Arial" w:hAnsi="Arial" w:cs="Arial"/>
                <w:sz w:val="16"/>
                <w:szCs w:val="16"/>
              </w:rPr>
              <w:t>11,197</w:t>
            </w:r>
          </w:p>
        </w:tc>
      </w:tr>
      <w:tr w:rsidR="008E235E" w:rsidRPr="008E235E" w14:paraId="4216C560" w14:textId="77777777" w:rsidTr="00875F80">
        <w:trPr>
          <w:trHeight w:val="204"/>
        </w:trPr>
        <w:tc>
          <w:tcPr>
            <w:tcW w:w="3261" w:type="dxa"/>
            <w:tcBorders>
              <w:top w:val="nil"/>
              <w:left w:val="nil"/>
              <w:bottom w:val="single" w:sz="4" w:space="0" w:color="auto"/>
              <w:right w:val="nil"/>
            </w:tcBorders>
            <w:shd w:val="clear" w:color="auto" w:fill="auto"/>
            <w:vAlign w:val="center"/>
            <w:hideMark/>
          </w:tcPr>
          <w:p w14:paraId="4BB80F85" w14:textId="77777777" w:rsidR="008E235E" w:rsidRPr="008E235E" w:rsidRDefault="008E235E" w:rsidP="008E235E">
            <w:pPr>
              <w:spacing w:after="0" w:line="240" w:lineRule="auto"/>
              <w:jc w:val="left"/>
              <w:rPr>
                <w:rFonts w:ascii="Arial" w:hAnsi="Arial" w:cs="Arial"/>
                <w:b/>
                <w:bCs/>
                <w:sz w:val="16"/>
                <w:szCs w:val="16"/>
              </w:rPr>
            </w:pPr>
            <w:r w:rsidRPr="008E235E">
              <w:rPr>
                <w:rFonts w:ascii="Arial" w:hAnsi="Arial" w:cs="Arial"/>
                <w:b/>
                <w:bCs/>
                <w:sz w:val="16"/>
                <w:szCs w:val="16"/>
              </w:rPr>
              <w:t>Total cash used to acquire assets</w:t>
            </w:r>
          </w:p>
        </w:tc>
        <w:tc>
          <w:tcPr>
            <w:tcW w:w="856" w:type="dxa"/>
            <w:tcBorders>
              <w:top w:val="single" w:sz="4" w:space="0" w:color="auto"/>
              <w:left w:val="nil"/>
              <w:bottom w:val="single" w:sz="4" w:space="0" w:color="auto"/>
              <w:right w:val="nil"/>
            </w:tcBorders>
            <w:shd w:val="clear" w:color="auto" w:fill="auto"/>
            <w:noWrap/>
            <w:vAlign w:val="bottom"/>
            <w:hideMark/>
          </w:tcPr>
          <w:p w14:paraId="6F3834DC" w14:textId="1804775D" w:rsidR="008E235E" w:rsidRPr="008E235E" w:rsidRDefault="008E235E" w:rsidP="00216C12">
            <w:pPr>
              <w:spacing w:after="0" w:line="240" w:lineRule="auto"/>
              <w:jc w:val="right"/>
              <w:rPr>
                <w:rFonts w:ascii="Arial" w:hAnsi="Arial" w:cs="Arial"/>
                <w:b/>
                <w:bCs/>
                <w:sz w:val="16"/>
                <w:szCs w:val="16"/>
              </w:rPr>
            </w:pPr>
            <w:r w:rsidRPr="008E235E">
              <w:rPr>
                <w:rFonts w:ascii="Arial" w:hAnsi="Arial" w:cs="Arial"/>
                <w:b/>
                <w:bCs/>
                <w:sz w:val="16"/>
                <w:szCs w:val="16"/>
              </w:rPr>
              <w:t>15,780</w:t>
            </w:r>
          </w:p>
        </w:tc>
        <w:tc>
          <w:tcPr>
            <w:tcW w:w="857" w:type="dxa"/>
            <w:tcBorders>
              <w:top w:val="single" w:sz="4" w:space="0" w:color="auto"/>
              <w:left w:val="nil"/>
              <w:bottom w:val="single" w:sz="4" w:space="0" w:color="auto"/>
              <w:right w:val="nil"/>
            </w:tcBorders>
            <w:shd w:val="clear" w:color="000000" w:fill="E6E6E6"/>
            <w:noWrap/>
            <w:vAlign w:val="bottom"/>
            <w:hideMark/>
          </w:tcPr>
          <w:p w14:paraId="5A50CA11" w14:textId="7E63D976" w:rsidR="008E235E" w:rsidRPr="008E235E" w:rsidRDefault="008E235E" w:rsidP="00216C12">
            <w:pPr>
              <w:spacing w:after="0" w:line="240" w:lineRule="auto"/>
              <w:jc w:val="right"/>
              <w:rPr>
                <w:rFonts w:ascii="Arial" w:hAnsi="Arial" w:cs="Arial"/>
                <w:b/>
                <w:bCs/>
                <w:sz w:val="16"/>
                <w:szCs w:val="16"/>
              </w:rPr>
            </w:pPr>
            <w:r w:rsidRPr="008E235E">
              <w:rPr>
                <w:rFonts w:ascii="Arial" w:hAnsi="Arial" w:cs="Arial"/>
                <w:b/>
                <w:bCs/>
                <w:sz w:val="16"/>
                <w:szCs w:val="16"/>
              </w:rPr>
              <w:t>21,841</w:t>
            </w:r>
          </w:p>
        </w:tc>
        <w:tc>
          <w:tcPr>
            <w:tcW w:w="857" w:type="dxa"/>
            <w:tcBorders>
              <w:top w:val="single" w:sz="4" w:space="0" w:color="auto"/>
              <w:left w:val="nil"/>
              <w:bottom w:val="single" w:sz="4" w:space="0" w:color="auto"/>
              <w:right w:val="nil"/>
            </w:tcBorders>
            <w:shd w:val="clear" w:color="auto" w:fill="auto"/>
            <w:noWrap/>
            <w:vAlign w:val="bottom"/>
            <w:hideMark/>
          </w:tcPr>
          <w:p w14:paraId="6864C89D" w14:textId="579A8A4A" w:rsidR="008E235E" w:rsidRPr="008E235E" w:rsidRDefault="008E235E" w:rsidP="00216C12">
            <w:pPr>
              <w:spacing w:after="0" w:line="240" w:lineRule="auto"/>
              <w:jc w:val="right"/>
              <w:rPr>
                <w:rFonts w:ascii="Arial" w:hAnsi="Arial" w:cs="Arial"/>
                <w:b/>
                <w:bCs/>
                <w:sz w:val="16"/>
                <w:szCs w:val="16"/>
              </w:rPr>
            </w:pPr>
            <w:r w:rsidRPr="008E235E">
              <w:rPr>
                <w:rFonts w:ascii="Arial" w:hAnsi="Arial" w:cs="Arial"/>
                <w:b/>
                <w:bCs/>
                <w:sz w:val="16"/>
                <w:szCs w:val="16"/>
              </w:rPr>
              <w:t>27,967</w:t>
            </w:r>
          </w:p>
        </w:tc>
        <w:tc>
          <w:tcPr>
            <w:tcW w:w="857" w:type="dxa"/>
            <w:tcBorders>
              <w:top w:val="single" w:sz="4" w:space="0" w:color="auto"/>
              <w:left w:val="nil"/>
              <w:bottom w:val="single" w:sz="4" w:space="0" w:color="auto"/>
              <w:right w:val="nil"/>
            </w:tcBorders>
            <w:shd w:val="clear" w:color="auto" w:fill="auto"/>
            <w:noWrap/>
            <w:vAlign w:val="bottom"/>
            <w:hideMark/>
          </w:tcPr>
          <w:p w14:paraId="7D711216" w14:textId="5EB80DA0" w:rsidR="008E235E" w:rsidRPr="008E235E" w:rsidRDefault="008E235E" w:rsidP="00216C12">
            <w:pPr>
              <w:spacing w:after="0" w:line="240" w:lineRule="auto"/>
              <w:jc w:val="right"/>
              <w:rPr>
                <w:rFonts w:ascii="Arial" w:hAnsi="Arial" w:cs="Arial"/>
                <w:b/>
                <w:bCs/>
                <w:sz w:val="16"/>
                <w:szCs w:val="16"/>
              </w:rPr>
            </w:pPr>
            <w:r w:rsidRPr="008E235E">
              <w:rPr>
                <w:rFonts w:ascii="Arial" w:hAnsi="Arial" w:cs="Arial"/>
                <w:b/>
                <w:bCs/>
                <w:sz w:val="16"/>
                <w:szCs w:val="16"/>
              </w:rPr>
              <w:t>8,094</w:t>
            </w:r>
          </w:p>
        </w:tc>
        <w:tc>
          <w:tcPr>
            <w:tcW w:w="857" w:type="dxa"/>
            <w:tcBorders>
              <w:top w:val="single" w:sz="4" w:space="0" w:color="auto"/>
              <w:left w:val="nil"/>
              <w:bottom w:val="single" w:sz="4" w:space="0" w:color="auto"/>
              <w:right w:val="nil"/>
            </w:tcBorders>
            <w:shd w:val="clear" w:color="auto" w:fill="auto"/>
            <w:noWrap/>
            <w:vAlign w:val="bottom"/>
            <w:hideMark/>
          </w:tcPr>
          <w:p w14:paraId="75CFDB23" w14:textId="55EF9DAC" w:rsidR="008E235E" w:rsidRPr="008E235E" w:rsidRDefault="008E235E" w:rsidP="00216C12">
            <w:pPr>
              <w:spacing w:after="0" w:line="240" w:lineRule="auto"/>
              <w:jc w:val="right"/>
              <w:rPr>
                <w:rFonts w:ascii="Arial" w:hAnsi="Arial" w:cs="Arial"/>
                <w:b/>
                <w:bCs/>
                <w:sz w:val="16"/>
                <w:szCs w:val="16"/>
              </w:rPr>
            </w:pPr>
            <w:r w:rsidRPr="008E235E">
              <w:rPr>
                <w:rFonts w:ascii="Arial" w:hAnsi="Arial" w:cs="Arial"/>
                <w:b/>
                <w:bCs/>
                <w:sz w:val="16"/>
                <w:szCs w:val="16"/>
              </w:rPr>
              <w:t>11,197</w:t>
            </w:r>
          </w:p>
        </w:tc>
      </w:tr>
    </w:tbl>
    <w:p w14:paraId="1543F200" w14:textId="6C2A8AF5" w:rsidR="00C17040" w:rsidRPr="008E235E" w:rsidRDefault="00C17040" w:rsidP="008E235E">
      <w:pPr>
        <w:pStyle w:val="TableGraphic"/>
        <w:spacing w:before="60"/>
        <w:rPr>
          <w:rFonts w:ascii="Arial" w:hAnsi="Arial" w:cs="Arial"/>
          <w:i w:val="0"/>
          <w:color w:val="auto"/>
          <w:sz w:val="16"/>
        </w:rPr>
      </w:pPr>
      <w:r w:rsidRPr="008E235E">
        <w:rPr>
          <w:rFonts w:ascii="Arial" w:hAnsi="Arial" w:cs="Arial"/>
          <w:i w:val="0"/>
          <w:color w:val="auto"/>
          <w:sz w:val="16"/>
        </w:rPr>
        <w:t>Prepared on Australian Accounting Standards basis.</w:t>
      </w:r>
    </w:p>
    <w:p w14:paraId="192CCD3B" w14:textId="77777777" w:rsidR="00975D1E" w:rsidRPr="00975D1E" w:rsidRDefault="00975D1E" w:rsidP="00F10ACD">
      <w:pPr>
        <w:pStyle w:val="ListParagraph"/>
        <w:numPr>
          <w:ilvl w:val="0"/>
          <w:numId w:val="59"/>
        </w:numPr>
        <w:ind w:left="284" w:hanging="284"/>
        <w:rPr>
          <w:rFonts w:ascii="Arial" w:hAnsi="Arial"/>
          <w:sz w:val="16"/>
        </w:rPr>
      </w:pPr>
      <w:r w:rsidRPr="00975D1E">
        <w:rPr>
          <w:rFonts w:ascii="Arial" w:hAnsi="Arial"/>
          <w:sz w:val="16"/>
        </w:rPr>
        <w:t>Includes funding from prior year appropriations, entity receipts and proceeds from sale of assets.</w:t>
      </w:r>
    </w:p>
    <w:p w14:paraId="3574B09D" w14:textId="77777777" w:rsidR="00307BC3" w:rsidRDefault="00307BC3" w:rsidP="00C17040">
      <w:pPr>
        <w:pStyle w:val="TableHeading"/>
        <w:spacing w:before="0" w:after="0"/>
        <w:rPr>
          <w:snapToGrid w:val="0"/>
        </w:rPr>
      </w:pPr>
    </w:p>
    <w:p w14:paraId="75453713" w14:textId="6341A0BC" w:rsidR="00C17040" w:rsidRDefault="00C17040" w:rsidP="00C17040">
      <w:pPr>
        <w:pStyle w:val="TableHeading"/>
        <w:spacing w:before="0" w:after="0"/>
        <w:rPr>
          <w:lang w:val="en-AU"/>
        </w:rPr>
      </w:pPr>
      <w:r>
        <w:rPr>
          <w:snapToGrid w:val="0"/>
        </w:rPr>
        <w:t>Table 3.</w:t>
      </w:r>
      <w:r>
        <w:rPr>
          <w:snapToGrid w:val="0"/>
          <w:lang w:val="en-AU"/>
        </w:rPr>
        <w:t>7</w:t>
      </w:r>
      <w:r>
        <w:rPr>
          <w:snapToGrid w:val="0"/>
        </w:rPr>
        <w:t xml:space="preserve">: </w:t>
      </w:r>
      <w:r w:rsidRPr="00014438">
        <w:rPr>
          <w:snapToGrid w:val="0"/>
        </w:rPr>
        <w:t xml:space="preserve">Statement of </w:t>
      </w:r>
      <w:r w:rsidR="008863D9">
        <w:rPr>
          <w:snapToGrid w:val="0"/>
          <w:lang w:val="en-AU"/>
        </w:rPr>
        <w:t>Department</w:t>
      </w:r>
      <w:r>
        <w:rPr>
          <w:snapToGrid w:val="0"/>
          <w:lang w:val="en-AU"/>
        </w:rPr>
        <w:t xml:space="preserve">al </w:t>
      </w:r>
      <w:r w:rsidRPr="00014438">
        <w:rPr>
          <w:snapToGrid w:val="0"/>
        </w:rPr>
        <w:t>asset movements (</w:t>
      </w:r>
      <w:r w:rsidR="00377489">
        <w:rPr>
          <w:snapToGrid w:val="0"/>
          <w:lang w:val="en-AU"/>
        </w:rPr>
        <w:t>2021-22 Budget year</w:t>
      </w:r>
      <w:r w:rsidRPr="00014438">
        <w:rPr>
          <w:snapToGrid w:val="0"/>
        </w:rPr>
        <w:t>)</w:t>
      </w:r>
    </w:p>
    <w:tbl>
      <w:tblPr>
        <w:tblW w:w="0" w:type="auto"/>
        <w:tblLayout w:type="fixed"/>
        <w:tblLook w:val="04A0" w:firstRow="1" w:lastRow="0" w:firstColumn="1" w:lastColumn="0" w:noHBand="0" w:noVBand="1"/>
      </w:tblPr>
      <w:tblGrid>
        <w:gridCol w:w="3544"/>
        <w:gridCol w:w="895"/>
        <w:gridCol w:w="964"/>
        <w:gridCol w:w="1140"/>
        <w:gridCol w:w="992"/>
      </w:tblGrid>
      <w:tr w:rsidR="00307BC3" w:rsidRPr="003C3292" w14:paraId="06811E37" w14:textId="77777777" w:rsidTr="00875F80">
        <w:trPr>
          <w:trHeight w:val="56"/>
        </w:trPr>
        <w:tc>
          <w:tcPr>
            <w:tcW w:w="3544" w:type="dxa"/>
            <w:tcBorders>
              <w:top w:val="single" w:sz="4" w:space="0" w:color="auto"/>
              <w:left w:val="nil"/>
              <w:bottom w:val="nil"/>
              <w:right w:val="nil"/>
            </w:tcBorders>
            <w:shd w:val="clear" w:color="auto" w:fill="auto"/>
            <w:noWrap/>
            <w:vAlign w:val="center"/>
          </w:tcPr>
          <w:p w14:paraId="604ADB77" w14:textId="77777777" w:rsidR="00307BC3" w:rsidRPr="003C3292" w:rsidRDefault="00307BC3" w:rsidP="003C3292">
            <w:pPr>
              <w:spacing w:after="0" w:line="240" w:lineRule="auto"/>
              <w:jc w:val="left"/>
              <w:rPr>
                <w:rFonts w:ascii="Arial" w:hAnsi="Arial" w:cs="Arial"/>
                <w:sz w:val="16"/>
                <w:szCs w:val="16"/>
              </w:rPr>
            </w:pPr>
          </w:p>
        </w:tc>
        <w:tc>
          <w:tcPr>
            <w:tcW w:w="3991" w:type="dxa"/>
            <w:gridSpan w:val="4"/>
            <w:tcBorders>
              <w:top w:val="single" w:sz="4" w:space="0" w:color="auto"/>
              <w:left w:val="nil"/>
              <w:bottom w:val="single" w:sz="4" w:space="0" w:color="auto"/>
              <w:right w:val="nil"/>
            </w:tcBorders>
            <w:shd w:val="clear" w:color="auto" w:fill="auto"/>
            <w:vAlign w:val="center"/>
          </w:tcPr>
          <w:p w14:paraId="3B99633E" w14:textId="2449A5F2" w:rsidR="00307BC3" w:rsidRPr="00307BC3" w:rsidRDefault="00307BC3" w:rsidP="00307BC3">
            <w:pPr>
              <w:spacing w:after="0" w:line="240" w:lineRule="auto"/>
              <w:jc w:val="center"/>
              <w:rPr>
                <w:rFonts w:ascii="Arial" w:hAnsi="Arial" w:cs="Arial"/>
                <w:b/>
                <w:sz w:val="16"/>
                <w:szCs w:val="16"/>
              </w:rPr>
            </w:pPr>
            <w:r w:rsidRPr="00307BC3">
              <w:rPr>
                <w:rFonts w:ascii="Arial" w:hAnsi="Arial" w:cs="Arial"/>
                <w:b/>
                <w:sz w:val="16"/>
                <w:szCs w:val="16"/>
              </w:rPr>
              <w:t>Asset category</w:t>
            </w:r>
          </w:p>
        </w:tc>
      </w:tr>
      <w:tr w:rsidR="003C3292" w:rsidRPr="003C3292" w14:paraId="3DD0FE89" w14:textId="77777777" w:rsidTr="00875F80">
        <w:trPr>
          <w:trHeight w:val="323"/>
        </w:trPr>
        <w:tc>
          <w:tcPr>
            <w:tcW w:w="3544" w:type="dxa"/>
            <w:tcBorders>
              <w:left w:val="nil"/>
              <w:bottom w:val="nil"/>
              <w:right w:val="nil"/>
            </w:tcBorders>
            <w:shd w:val="clear" w:color="auto" w:fill="auto"/>
            <w:noWrap/>
            <w:vAlign w:val="center"/>
            <w:hideMark/>
          </w:tcPr>
          <w:p w14:paraId="10365FFD" w14:textId="77777777" w:rsidR="003C3292" w:rsidRPr="003C3292" w:rsidRDefault="003C3292" w:rsidP="003C3292">
            <w:pPr>
              <w:spacing w:after="0" w:line="240" w:lineRule="auto"/>
              <w:jc w:val="left"/>
              <w:rPr>
                <w:rFonts w:ascii="Arial" w:hAnsi="Arial" w:cs="Arial"/>
                <w:sz w:val="16"/>
                <w:szCs w:val="16"/>
              </w:rPr>
            </w:pPr>
            <w:r w:rsidRPr="003C3292">
              <w:rPr>
                <w:rFonts w:ascii="Arial" w:hAnsi="Arial" w:cs="Arial"/>
                <w:sz w:val="16"/>
                <w:szCs w:val="16"/>
              </w:rPr>
              <w:t> </w:t>
            </w:r>
          </w:p>
        </w:tc>
        <w:tc>
          <w:tcPr>
            <w:tcW w:w="895" w:type="dxa"/>
            <w:tcBorders>
              <w:top w:val="single" w:sz="4" w:space="0" w:color="auto"/>
              <w:left w:val="nil"/>
              <w:bottom w:val="single" w:sz="4" w:space="0" w:color="auto"/>
              <w:right w:val="nil"/>
            </w:tcBorders>
            <w:shd w:val="clear" w:color="auto" w:fill="auto"/>
            <w:vAlign w:val="center"/>
            <w:hideMark/>
          </w:tcPr>
          <w:p w14:paraId="110D25DC" w14:textId="77777777" w:rsidR="003C3292" w:rsidRPr="003C3292" w:rsidRDefault="003C3292" w:rsidP="003C3292">
            <w:pPr>
              <w:spacing w:after="0" w:line="240" w:lineRule="auto"/>
              <w:jc w:val="right"/>
              <w:rPr>
                <w:rFonts w:ascii="Arial" w:hAnsi="Arial" w:cs="Arial"/>
                <w:sz w:val="16"/>
                <w:szCs w:val="16"/>
              </w:rPr>
            </w:pPr>
            <w:r w:rsidRPr="003C3292">
              <w:rPr>
                <w:rFonts w:ascii="Arial" w:hAnsi="Arial" w:cs="Arial"/>
                <w:sz w:val="16"/>
                <w:szCs w:val="16"/>
              </w:rPr>
              <w:t>Buildings</w:t>
            </w:r>
            <w:r w:rsidRPr="003C3292">
              <w:rPr>
                <w:rFonts w:ascii="Arial" w:hAnsi="Arial" w:cs="Arial"/>
                <w:sz w:val="16"/>
                <w:szCs w:val="16"/>
              </w:rPr>
              <w:br/>
            </w:r>
            <w:r w:rsidRPr="003C3292">
              <w:rPr>
                <w:rFonts w:ascii="Arial" w:hAnsi="Arial" w:cs="Arial"/>
                <w:sz w:val="16"/>
                <w:szCs w:val="16"/>
              </w:rPr>
              <w:br/>
            </w:r>
            <w:r w:rsidRPr="003C3292">
              <w:rPr>
                <w:rFonts w:ascii="Arial" w:hAnsi="Arial" w:cs="Arial"/>
                <w:sz w:val="16"/>
                <w:szCs w:val="16"/>
              </w:rPr>
              <w:br/>
            </w:r>
            <w:r w:rsidRPr="003C3292">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center"/>
            <w:hideMark/>
          </w:tcPr>
          <w:p w14:paraId="40721E32" w14:textId="77777777" w:rsidR="003C3292" w:rsidRPr="003C3292" w:rsidRDefault="003C3292" w:rsidP="003C3292">
            <w:pPr>
              <w:spacing w:after="0" w:line="240" w:lineRule="auto"/>
              <w:jc w:val="right"/>
              <w:rPr>
                <w:rFonts w:ascii="Arial" w:hAnsi="Arial" w:cs="Arial"/>
                <w:sz w:val="16"/>
                <w:szCs w:val="16"/>
              </w:rPr>
            </w:pPr>
            <w:r w:rsidRPr="003C3292">
              <w:rPr>
                <w:rFonts w:ascii="Arial" w:hAnsi="Arial" w:cs="Arial"/>
                <w:sz w:val="16"/>
                <w:szCs w:val="16"/>
              </w:rPr>
              <w:t>Other</w:t>
            </w:r>
            <w:r w:rsidRPr="003C3292">
              <w:rPr>
                <w:rFonts w:ascii="Arial" w:hAnsi="Arial" w:cs="Arial"/>
                <w:sz w:val="16"/>
                <w:szCs w:val="16"/>
              </w:rPr>
              <w:br/>
              <w:t>property,</w:t>
            </w:r>
            <w:r w:rsidRPr="003C3292">
              <w:rPr>
                <w:rFonts w:ascii="Arial" w:hAnsi="Arial" w:cs="Arial"/>
                <w:sz w:val="16"/>
                <w:szCs w:val="16"/>
              </w:rPr>
              <w:br/>
              <w:t>plant and</w:t>
            </w:r>
            <w:r w:rsidRPr="003C3292">
              <w:rPr>
                <w:rFonts w:ascii="Arial" w:hAnsi="Arial" w:cs="Arial"/>
                <w:sz w:val="16"/>
                <w:szCs w:val="16"/>
              </w:rPr>
              <w:br/>
              <w:t>equipment</w:t>
            </w:r>
            <w:r w:rsidRPr="003C3292">
              <w:rPr>
                <w:rFonts w:ascii="Arial" w:hAnsi="Arial" w:cs="Arial"/>
                <w:sz w:val="16"/>
                <w:szCs w:val="16"/>
              </w:rPr>
              <w:br/>
              <w:t>$'000</w:t>
            </w:r>
          </w:p>
        </w:tc>
        <w:tc>
          <w:tcPr>
            <w:tcW w:w="1140" w:type="dxa"/>
            <w:tcBorders>
              <w:top w:val="single" w:sz="4" w:space="0" w:color="auto"/>
              <w:left w:val="nil"/>
              <w:bottom w:val="single" w:sz="4" w:space="0" w:color="auto"/>
              <w:right w:val="nil"/>
            </w:tcBorders>
            <w:shd w:val="clear" w:color="auto" w:fill="auto"/>
            <w:vAlign w:val="center"/>
            <w:hideMark/>
          </w:tcPr>
          <w:p w14:paraId="6E3AA8F6" w14:textId="77777777" w:rsidR="003B4729" w:rsidRDefault="003C3292" w:rsidP="003C3292">
            <w:pPr>
              <w:spacing w:after="0" w:line="240" w:lineRule="auto"/>
              <w:jc w:val="right"/>
              <w:rPr>
                <w:rFonts w:ascii="Arial" w:hAnsi="Arial" w:cs="Arial"/>
                <w:sz w:val="16"/>
                <w:szCs w:val="16"/>
              </w:rPr>
            </w:pPr>
            <w:r w:rsidRPr="003C3292">
              <w:rPr>
                <w:rFonts w:ascii="Arial" w:hAnsi="Arial" w:cs="Arial"/>
                <w:sz w:val="16"/>
                <w:szCs w:val="16"/>
              </w:rPr>
              <w:t>Computer</w:t>
            </w:r>
            <w:r w:rsidRPr="003C3292">
              <w:rPr>
                <w:rFonts w:ascii="Arial" w:hAnsi="Arial" w:cs="Arial"/>
                <w:sz w:val="16"/>
                <w:szCs w:val="16"/>
              </w:rPr>
              <w:br/>
              <w:t xml:space="preserve">software </w:t>
            </w:r>
          </w:p>
          <w:p w14:paraId="74FD439F" w14:textId="364ACA2B" w:rsidR="003C3292" w:rsidRPr="003C3292" w:rsidRDefault="003C3292" w:rsidP="003C3292">
            <w:pPr>
              <w:spacing w:after="0" w:line="240" w:lineRule="auto"/>
              <w:jc w:val="right"/>
              <w:rPr>
                <w:rFonts w:ascii="Arial" w:hAnsi="Arial" w:cs="Arial"/>
                <w:sz w:val="16"/>
                <w:szCs w:val="16"/>
              </w:rPr>
            </w:pPr>
            <w:r w:rsidRPr="003C3292">
              <w:rPr>
                <w:rFonts w:ascii="Arial" w:hAnsi="Arial" w:cs="Arial"/>
                <w:sz w:val="16"/>
                <w:szCs w:val="16"/>
              </w:rPr>
              <w:t>and</w:t>
            </w:r>
            <w:r w:rsidRPr="003C3292">
              <w:rPr>
                <w:rFonts w:ascii="Arial" w:hAnsi="Arial" w:cs="Arial"/>
                <w:sz w:val="16"/>
                <w:szCs w:val="16"/>
              </w:rPr>
              <w:br/>
              <w:t>intangibles</w:t>
            </w:r>
            <w:r w:rsidRPr="003C3292">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center"/>
            <w:hideMark/>
          </w:tcPr>
          <w:p w14:paraId="33181456" w14:textId="77777777" w:rsidR="003C3292" w:rsidRPr="003C3292" w:rsidRDefault="003C3292" w:rsidP="003C3292">
            <w:pPr>
              <w:spacing w:after="0" w:line="240" w:lineRule="auto"/>
              <w:jc w:val="right"/>
              <w:rPr>
                <w:rFonts w:ascii="Arial" w:hAnsi="Arial" w:cs="Arial"/>
                <w:sz w:val="16"/>
                <w:szCs w:val="16"/>
              </w:rPr>
            </w:pPr>
            <w:r w:rsidRPr="003C3292">
              <w:rPr>
                <w:rFonts w:ascii="Arial" w:hAnsi="Arial" w:cs="Arial"/>
                <w:sz w:val="16"/>
                <w:szCs w:val="16"/>
              </w:rPr>
              <w:t>Total</w:t>
            </w:r>
            <w:r w:rsidRPr="003C3292">
              <w:rPr>
                <w:rFonts w:ascii="Arial" w:hAnsi="Arial" w:cs="Arial"/>
                <w:sz w:val="16"/>
                <w:szCs w:val="16"/>
              </w:rPr>
              <w:br/>
            </w:r>
            <w:r w:rsidRPr="003C3292">
              <w:rPr>
                <w:rFonts w:ascii="Arial" w:hAnsi="Arial" w:cs="Arial"/>
                <w:sz w:val="16"/>
                <w:szCs w:val="16"/>
              </w:rPr>
              <w:br/>
            </w:r>
            <w:r w:rsidRPr="003C3292">
              <w:rPr>
                <w:rFonts w:ascii="Arial" w:hAnsi="Arial" w:cs="Arial"/>
                <w:sz w:val="16"/>
                <w:szCs w:val="16"/>
              </w:rPr>
              <w:br/>
            </w:r>
            <w:r w:rsidRPr="003C3292">
              <w:rPr>
                <w:rFonts w:ascii="Arial" w:hAnsi="Arial" w:cs="Arial"/>
                <w:sz w:val="16"/>
                <w:szCs w:val="16"/>
              </w:rPr>
              <w:br/>
              <w:t>$'000</w:t>
            </w:r>
          </w:p>
        </w:tc>
      </w:tr>
      <w:tr w:rsidR="003C3292" w:rsidRPr="003C3292" w14:paraId="7944AE0B" w14:textId="77777777" w:rsidTr="00875F80">
        <w:trPr>
          <w:trHeight w:val="204"/>
        </w:trPr>
        <w:tc>
          <w:tcPr>
            <w:tcW w:w="3544" w:type="dxa"/>
            <w:tcBorders>
              <w:top w:val="nil"/>
              <w:left w:val="nil"/>
              <w:bottom w:val="nil"/>
              <w:right w:val="nil"/>
            </w:tcBorders>
            <w:shd w:val="clear" w:color="auto" w:fill="auto"/>
            <w:vAlign w:val="bottom"/>
            <w:hideMark/>
          </w:tcPr>
          <w:p w14:paraId="15C198B3" w14:textId="77777777" w:rsidR="003C3292" w:rsidRPr="003C3292" w:rsidRDefault="003C3292" w:rsidP="003C3292">
            <w:pPr>
              <w:spacing w:after="0" w:line="240" w:lineRule="auto"/>
              <w:jc w:val="left"/>
              <w:rPr>
                <w:rFonts w:ascii="Arial" w:hAnsi="Arial" w:cs="Arial"/>
                <w:b/>
                <w:bCs/>
                <w:sz w:val="16"/>
                <w:szCs w:val="16"/>
              </w:rPr>
            </w:pPr>
            <w:r w:rsidRPr="003C3292">
              <w:rPr>
                <w:rFonts w:ascii="Arial" w:hAnsi="Arial" w:cs="Arial"/>
                <w:b/>
                <w:bCs/>
                <w:sz w:val="16"/>
                <w:szCs w:val="16"/>
              </w:rPr>
              <w:t>As at 1 July 2021</w:t>
            </w:r>
          </w:p>
        </w:tc>
        <w:tc>
          <w:tcPr>
            <w:tcW w:w="895" w:type="dxa"/>
            <w:tcBorders>
              <w:top w:val="nil"/>
              <w:left w:val="nil"/>
              <w:bottom w:val="nil"/>
              <w:right w:val="nil"/>
            </w:tcBorders>
            <w:shd w:val="clear" w:color="auto" w:fill="auto"/>
            <w:noWrap/>
            <w:vAlign w:val="bottom"/>
            <w:hideMark/>
          </w:tcPr>
          <w:p w14:paraId="3F0BD714" w14:textId="77777777" w:rsidR="003C3292" w:rsidRPr="003C3292" w:rsidRDefault="003C3292" w:rsidP="00216C12">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4447021E" w14:textId="77777777" w:rsidR="003C3292" w:rsidRPr="003C3292" w:rsidRDefault="003C3292" w:rsidP="00216C12">
            <w:pPr>
              <w:spacing w:after="0" w:line="240" w:lineRule="auto"/>
              <w:jc w:val="right"/>
              <w:rPr>
                <w:rFonts w:ascii="Times New Roman" w:hAnsi="Times New Roman"/>
              </w:rPr>
            </w:pPr>
          </w:p>
        </w:tc>
        <w:tc>
          <w:tcPr>
            <w:tcW w:w="1140" w:type="dxa"/>
            <w:tcBorders>
              <w:top w:val="nil"/>
              <w:left w:val="nil"/>
              <w:bottom w:val="nil"/>
              <w:right w:val="nil"/>
            </w:tcBorders>
            <w:shd w:val="clear" w:color="auto" w:fill="auto"/>
            <w:noWrap/>
            <w:vAlign w:val="bottom"/>
            <w:hideMark/>
          </w:tcPr>
          <w:p w14:paraId="7329094B" w14:textId="77777777" w:rsidR="003C3292" w:rsidRPr="003C3292" w:rsidRDefault="003C3292" w:rsidP="00216C12">
            <w:pPr>
              <w:spacing w:after="0" w:line="240" w:lineRule="auto"/>
              <w:jc w:val="right"/>
              <w:rPr>
                <w:rFonts w:ascii="Times New Roman" w:hAnsi="Times New Roman"/>
              </w:rPr>
            </w:pPr>
          </w:p>
        </w:tc>
        <w:tc>
          <w:tcPr>
            <w:tcW w:w="992" w:type="dxa"/>
            <w:tcBorders>
              <w:top w:val="nil"/>
              <w:left w:val="nil"/>
              <w:bottom w:val="nil"/>
              <w:right w:val="nil"/>
            </w:tcBorders>
            <w:shd w:val="clear" w:color="auto" w:fill="auto"/>
            <w:noWrap/>
            <w:vAlign w:val="bottom"/>
            <w:hideMark/>
          </w:tcPr>
          <w:p w14:paraId="08567EA1" w14:textId="77777777" w:rsidR="003C3292" w:rsidRPr="003C3292" w:rsidRDefault="003C3292" w:rsidP="00216C12">
            <w:pPr>
              <w:spacing w:after="0" w:line="240" w:lineRule="auto"/>
              <w:jc w:val="right"/>
              <w:rPr>
                <w:rFonts w:ascii="Times New Roman" w:hAnsi="Times New Roman"/>
              </w:rPr>
            </w:pPr>
          </w:p>
        </w:tc>
      </w:tr>
      <w:tr w:rsidR="003C3292" w:rsidRPr="003C3292" w14:paraId="78EC997F" w14:textId="77777777" w:rsidTr="00875F80">
        <w:trPr>
          <w:trHeight w:val="204"/>
        </w:trPr>
        <w:tc>
          <w:tcPr>
            <w:tcW w:w="3544" w:type="dxa"/>
            <w:tcBorders>
              <w:top w:val="nil"/>
              <w:left w:val="nil"/>
              <w:bottom w:val="nil"/>
              <w:right w:val="nil"/>
            </w:tcBorders>
            <w:shd w:val="clear" w:color="auto" w:fill="auto"/>
            <w:vAlign w:val="bottom"/>
            <w:hideMark/>
          </w:tcPr>
          <w:p w14:paraId="5AD5C7BE" w14:textId="77777777" w:rsidR="003C3292" w:rsidRPr="003C3292" w:rsidRDefault="003C3292" w:rsidP="003C3292">
            <w:pPr>
              <w:spacing w:after="0" w:line="240" w:lineRule="auto"/>
              <w:ind w:left="113"/>
              <w:jc w:val="left"/>
              <w:rPr>
                <w:rFonts w:ascii="Arial" w:hAnsi="Arial" w:cs="Arial"/>
                <w:sz w:val="16"/>
                <w:szCs w:val="16"/>
              </w:rPr>
            </w:pPr>
            <w:r w:rsidRPr="003C3292">
              <w:rPr>
                <w:rFonts w:ascii="Arial" w:hAnsi="Arial" w:cs="Arial"/>
                <w:sz w:val="16"/>
                <w:szCs w:val="16"/>
              </w:rPr>
              <w:t xml:space="preserve">Gross book value </w:t>
            </w:r>
          </w:p>
        </w:tc>
        <w:tc>
          <w:tcPr>
            <w:tcW w:w="895" w:type="dxa"/>
            <w:tcBorders>
              <w:top w:val="nil"/>
              <w:left w:val="nil"/>
              <w:bottom w:val="nil"/>
              <w:right w:val="nil"/>
            </w:tcBorders>
            <w:shd w:val="clear" w:color="auto" w:fill="auto"/>
            <w:noWrap/>
            <w:vAlign w:val="bottom"/>
            <w:hideMark/>
          </w:tcPr>
          <w:p w14:paraId="565CA5A7" w14:textId="2F02CF78"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3B4BEB82" w14:textId="19DE05E3"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8,408</w:t>
            </w:r>
          </w:p>
        </w:tc>
        <w:tc>
          <w:tcPr>
            <w:tcW w:w="1140" w:type="dxa"/>
            <w:tcBorders>
              <w:top w:val="nil"/>
              <w:left w:val="nil"/>
              <w:bottom w:val="nil"/>
              <w:right w:val="nil"/>
            </w:tcBorders>
            <w:shd w:val="clear" w:color="auto" w:fill="auto"/>
            <w:noWrap/>
            <w:vAlign w:val="bottom"/>
            <w:hideMark/>
          </w:tcPr>
          <w:p w14:paraId="6A96AD05" w14:textId="7594A064"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82,156</w:t>
            </w:r>
          </w:p>
        </w:tc>
        <w:tc>
          <w:tcPr>
            <w:tcW w:w="992" w:type="dxa"/>
            <w:tcBorders>
              <w:top w:val="nil"/>
              <w:left w:val="nil"/>
              <w:bottom w:val="nil"/>
              <w:right w:val="nil"/>
            </w:tcBorders>
            <w:shd w:val="clear" w:color="auto" w:fill="auto"/>
            <w:noWrap/>
            <w:vAlign w:val="bottom"/>
            <w:hideMark/>
          </w:tcPr>
          <w:p w14:paraId="31788E01" w14:textId="61DA0EBE"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90,564</w:t>
            </w:r>
          </w:p>
        </w:tc>
      </w:tr>
      <w:tr w:rsidR="003C3292" w:rsidRPr="003C3292" w14:paraId="3F5B7CA4" w14:textId="77777777" w:rsidTr="00875F80">
        <w:trPr>
          <w:trHeight w:val="204"/>
        </w:trPr>
        <w:tc>
          <w:tcPr>
            <w:tcW w:w="3544" w:type="dxa"/>
            <w:tcBorders>
              <w:top w:val="nil"/>
              <w:left w:val="nil"/>
              <w:bottom w:val="nil"/>
              <w:right w:val="nil"/>
            </w:tcBorders>
            <w:shd w:val="clear" w:color="auto" w:fill="auto"/>
            <w:noWrap/>
            <w:vAlign w:val="center"/>
            <w:hideMark/>
          </w:tcPr>
          <w:p w14:paraId="27C994E0" w14:textId="77777777" w:rsidR="003C3292" w:rsidRPr="003C3292" w:rsidRDefault="003C3292" w:rsidP="003C3292">
            <w:pPr>
              <w:spacing w:after="0" w:line="240" w:lineRule="auto"/>
              <w:ind w:left="113"/>
              <w:jc w:val="left"/>
              <w:rPr>
                <w:rFonts w:ascii="Arial" w:hAnsi="Arial" w:cs="Arial"/>
                <w:sz w:val="16"/>
                <w:szCs w:val="16"/>
              </w:rPr>
            </w:pPr>
            <w:r w:rsidRPr="003C3292">
              <w:rPr>
                <w:rFonts w:ascii="Arial" w:hAnsi="Arial" w:cs="Arial"/>
                <w:sz w:val="16"/>
                <w:szCs w:val="16"/>
              </w:rPr>
              <w:t>Gross book value - ROU assets</w:t>
            </w:r>
          </w:p>
        </w:tc>
        <w:tc>
          <w:tcPr>
            <w:tcW w:w="895" w:type="dxa"/>
            <w:tcBorders>
              <w:top w:val="nil"/>
              <w:left w:val="nil"/>
              <w:bottom w:val="nil"/>
              <w:right w:val="nil"/>
            </w:tcBorders>
            <w:shd w:val="clear" w:color="auto" w:fill="auto"/>
            <w:noWrap/>
            <w:vAlign w:val="bottom"/>
            <w:hideMark/>
          </w:tcPr>
          <w:p w14:paraId="7B61130A" w14:textId="057476F4"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56,855</w:t>
            </w:r>
          </w:p>
        </w:tc>
        <w:tc>
          <w:tcPr>
            <w:tcW w:w="964" w:type="dxa"/>
            <w:tcBorders>
              <w:top w:val="nil"/>
              <w:left w:val="nil"/>
              <w:bottom w:val="nil"/>
              <w:right w:val="nil"/>
            </w:tcBorders>
            <w:shd w:val="clear" w:color="auto" w:fill="auto"/>
            <w:noWrap/>
            <w:vAlign w:val="bottom"/>
            <w:hideMark/>
          </w:tcPr>
          <w:p w14:paraId="56245347" w14:textId="60041FA4"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900</w:t>
            </w:r>
          </w:p>
        </w:tc>
        <w:tc>
          <w:tcPr>
            <w:tcW w:w="1140" w:type="dxa"/>
            <w:tcBorders>
              <w:top w:val="nil"/>
              <w:left w:val="nil"/>
              <w:bottom w:val="nil"/>
              <w:right w:val="nil"/>
            </w:tcBorders>
            <w:shd w:val="clear" w:color="auto" w:fill="auto"/>
            <w:noWrap/>
            <w:vAlign w:val="bottom"/>
            <w:hideMark/>
          </w:tcPr>
          <w:p w14:paraId="4A9BB351" w14:textId="193ECED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523B132D" w14:textId="1991D60A"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57,755</w:t>
            </w:r>
          </w:p>
        </w:tc>
      </w:tr>
      <w:tr w:rsidR="003C3292" w:rsidRPr="003C3292" w14:paraId="2E47EEAF" w14:textId="77777777" w:rsidTr="00875F80">
        <w:trPr>
          <w:trHeight w:val="204"/>
        </w:trPr>
        <w:tc>
          <w:tcPr>
            <w:tcW w:w="3544" w:type="dxa"/>
            <w:tcBorders>
              <w:top w:val="nil"/>
              <w:left w:val="nil"/>
              <w:bottom w:val="nil"/>
              <w:right w:val="nil"/>
            </w:tcBorders>
            <w:shd w:val="clear" w:color="auto" w:fill="auto"/>
            <w:vAlign w:val="bottom"/>
            <w:hideMark/>
          </w:tcPr>
          <w:p w14:paraId="33C96A82" w14:textId="2D528B99" w:rsidR="003C3292" w:rsidRPr="003C3292" w:rsidRDefault="003C3292" w:rsidP="003C3292">
            <w:pPr>
              <w:spacing w:after="0" w:line="240" w:lineRule="auto"/>
              <w:ind w:left="113"/>
              <w:jc w:val="left"/>
              <w:rPr>
                <w:rFonts w:ascii="Arial" w:hAnsi="Arial" w:cs="Arial"/>
                <w:sz w:val="16"/>
                <w:szCs w:val="16"/>
              </w:rPr>
            </w:pPr>
            <w:r w:rsidRPr="003C3292">
              <w:rPr>
                <w:rFonts w:ascii="Arial" w:hAnsi="Arial" w:cs="Arial"/>
                <w:sz w:val="16"/>
                <w:szCs w:val="16"/>
              </w:rPr>
              <w:t>Accumulated depreciation/</w:t>
            </w:r>
            <w:r>
              <w:rPr>
                <w:rFonts w:ascii="Arial" w:hAnsi="Arial" w:cs="Arial"/>
                <w:sz w:val="16"/>
                <w:szCs w:val="16"/>
              </w:rPr>
              <w:t xml:space="preserve">amortisation and </w:t>
            </w:r>
            <w:r w:rsidRPr="003C3292">
              <w:rPr>
                <w:rFonts w:ascii="Arial" w:hAnsi="Arial" w:cs="Arial"/>
                <w:sz w:val="16"/>
                <w:szCs w:val="16"/>
              </w:rPr>
              <w:t>impairment</w:t>
            </w:r>
          </w:p>
        </w:tc>
        <w:tc>
          <w:tcPr>
            <w:tcW w:w="895" w:type="dxa"/>
            <w:tcBorders>
              <w:top w:val="nil"/>
              <w:left w:val="nil"/>
              <w:bottom w:val="nil"/>
              <w:right w:val="nil"/>
            </w:tcBorders>
            <w:shd w:val="clear" w:color="auto" w:fill="auto"/>
            <w:noWrap/>
            <w:vAlign w:val="bottom"/>
            <w:hideMark/>
          </w:tcPr>
          <w:p w14:paraId="5107C947" w14:textId="0ACCFF80"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32C190A5" w14:textId="7777777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(1)</w:t>
            </w:r>
          </w:p>
        </w:tc>
        <w:tc>
          <w:tcPr>
            <w:tcW w:w="1140" w:type="dxa"/>
            <w:tcBorders>
              <w:top w:val="nil"/>
              <w:left w:val="nil"/>
              <w:bottom w:val="nil"/>
              <w:right w:val="nil"/>
            </w:tcBorders>
            <w:shd w:val="clear" w:color="auto" w:fill="auto"/>
            <w:noWrap/>
            <w:vAlign w:val="bottom"/>
            <w:hideMark/>
          </w:tcPr>
          <w:p w14:paraId="46D6DA57" w14:textId="7777777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(40,431)</w:t>
            </w:r>
          </w:p>
        </w:tc>
        <w:tc>
          <w:tcPr>
            <w:tcW w:w="992" w:type="dxa"/>
            <w:tcBorders>
              <w:top w:val="nil"/>
              <w:left w:val="nil"/>
              <w:bottom w:val="nil"/>
              <w:right w:val="nil"/>
            </w:tcBorders>
            <w:shd w:val="clear" w:color="auto" w:fill="auto"/>
            <w:noWrap/>
            <w:vAlign w:val="bottom"/>
            <w:hideMark/>
          </w:tcPr>
          <w:p w14:paraId="3B8311A0" w14:textId="7777777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(40,432)</w:t>
            </w:r>
          </w:p>
        </w:tc>
      </w:tr>
      <w:tr w:rsidR="003C3292" w:rsidRPr="003C3292" w14:paraId="362FAAAE" w14:textId="77777777" w:rsidTr="00875F80">
        <w:trPr>
          <w:trHeight w:val="204"/>
        </w:trPr>
        <w:tc>
          <w:tcPr>
            <w:tcW w:w="3544" w:type="dxa"/>
            <w:tcBorders>
              <w:top w:val="nil"/>
              <w:left w:val="nil"/>
              <w:bottom w:val="nil"/>
              <w:right w:val="nil"/>
            </w:tcBorders>
            <w:shd w:val="clear" w:color="auto" w:fill="auto"/>
            <w:vAlign w:val="center"/>
            <w:hideMark/>
          </w:tcPr>
          <w:p w14:paraId="189C74F6" w14:textId="77777777" w:rsidR="003C3292" w:rsidRPr="003C3292" w:rsidRDefault="003C3292" w:rsidP="003C3292">
            <w:pPr>
              <w:spacing w:after="0" w:line="240" w:lineRule="auto"/>
              <w:ind w:left="113"/>
              <w:jc w:val="left"/>
              <w:rPr>
                <w:rFonts w:ascii="Arial" w:hAnsi="Arial" w:cs="Arial"/>
                <w:sz w:val="16"/>
                <w:szCs w:val="16"/>
              </w:rPr>
            </w:pPr>
            <w:r w:rsidRPr="003C3292">
              <w:rPr>
                <w:rFonts w:ascii="Arial" w:hAnsi="Arial" w:cs="Arial"/>
                <w:sz w:val="16"/>
                <w:szCs w:val="16"/>
              </w:rPr>
              <w:t>Accumulated depreciation/amortisation and impairment - ROU assets</w:t>
            </w:r>
          </w:p>
        </w:tc>
        <w:tc>
          <w:tcPr>
            <w:tcW w:w="895" w:type="dxa"/>
            <w:tcBorders>
              <w:top w:val="nil"/>
              <w:left w:val="nil"/>
              <w:bottom w:val="nil"/>
              <w:right w:val="nil"/>
            </w:tcBorders>
            <w:shd w:val="clear" w:color="auto" w:fill="auto"/>
            <w:noWrap/>
            <w:vAlign w:val="bottom"/>
            <w:hideMark/>
          </w:tcPr>
          <w:p w14:paraId="453FBC7C" w14:textId="7777777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(17,088)</w:t>
            </w:r>
          </w:p>
        </w:tc>
        <w:tc>
          <w:tcPr>
            <w:tcW w:w="964" w:type="dxa"/>
            <w:tcBorders>
              <w:top w:val="nil"/>
              <w:left w:val="nil"/>
              <w:bottom w:val="nil"/>
              <w:right w:val="nil"/>
            </w:tcBorders>
            <w:shd w:val="clear" w:color="auto" w:fill="auto"/>
            <w:noWrap/>
            <w:vAlign w:val="bottom"/>
            <w:hideMark/>
          </w:tcPr>
          <w:p w14:paraId="392EC6F3" w14:textId="7777777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(365)</w:t>
            </w:r>
          </w:p>
        </w:tc>
        <w:tc>
          <w:tcPr>
            <w:tcW w:w="1140" w:type="dxa"/>
            <w:tcBorders>
              <w:top w:val="nil"/>
              <w:left w:val="nil"/>
              <w:bottom w:val="nil"/>
              <w:right w:val="nil"/>
            </w:tcBorders>
            <w:shd w:val="clear" w:color="auto" w:fill="auto"/>
            <w:noWrap/>
            <w:vAlign w:val="bottom"/>
            <w:hideMark/>
          </w:tcPr>
          <w:p w14:paraId="52933350" w14:textId="75727803"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74247880" w14:textId="7777777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(17,453)</w:t>
            </w:r>
          </w:p>
        </w:tc>
      </w:tr>
      <w:tr w:rsidR="003C3292" w:rsidRPr="003C3292" w14:paraId="6B893909" w14:textId="77777777" w:rsidTr="00875F80">
        <w:trPr>
          <w:trHeight w:val="204"/>
        </w:trPr>
        <w:tc>
          <w:tcPr>
            <w:tcW w:w="3544" w:type="dxa"/>
            <w:tcBorders>
              <w:top w:val="nil"/>
              <w:left w:val="nil"/>
              <w:bottom w:val="nil"/>
              <w:right w:val="nil"/>
            </w:tcBorders>
            <w:shd w:val="clear" w:color="auto" w:fill="auto"/>
            <w:vAlign w:val="bottom"/>
            <w:hideMark/>
          </w:tcPr>
          <w:p w14:paraId="5DB3A981" w14:textId="77777777" w:rsidR="003C3292" w:rsidRPr="003C3292" w:rsidRDefault="003C3292" w:rsidP="003C3292">
            <w:pPr>
              <w:spacing w:after="0" w:line="240" w:lineRule="auto"/>
              <w:jc w:val="left"/>
              <w:rPr>
                <w:rFonts w:ascii="Arial" w:hAnsi="Arial" w:cs="Arial"/>
                <w:b/>
                <w:bCs/>
                <w:sz w:val="16"/>
                <w:szCs w:val="16"/>
              </w:rPr>
            </w:pPr>
            <w:r w:rsidRPr="003C3292">
              <w:rPr>
                <w:rFonts w:ascii="Arial" w:hAnsi="Arial" w:cs="Arial"/>
                <w:b/>
                <w:bCs/>
                <w:sz w:val="16"/>
                <w:szCs w:val="16"/>
              </w:rPr>
              <w:t>Opening net book balance</w:t>
            </w:r>
          </w:p>
        </w:tc>
        <w:tc>
          <w:tcPr>
            <w:tcW w:w="895" w:type="dxa"/>
            <w:tcBorders>
              <w:top w:val="single" w:sz="4" w:space="0" w:color="auto"/>
              <w:left w:val="nil"/>
              <w:bottom w:val="single" w:sz="4" w:space="0" w:color="auto"/>
              <w:right w:val="nil"/>
            </w:tcBorders>
            <w:shd w:val="clear" w:color="auto" w:fill="auto"/>
            <w:noWrap/>
            <w:vAlign w:val="bottom"/>
            <w:hideMark/>
          </w:tcPr>
          <w:p w14:paraId="507AA0F7" w14:textId="4372F2DE" w:rsidR="003C3292" w:rsidRPr="003C3292" w:rsidRDefault="003C3292" w:rsidP="00216C12">
            <w:pPr>
              <w:spacing w:after="0" w:line="240" w:lineRule="auto"/>
              <w:jc w:val="right"/>
              <w:rPr>
                <w:rFonts w:ascii="Arial" w:hAnsi="Arial" w:cs="Arial"/>
                <w:b/>
                <w:bCs/>
                <w:sz w:val="16"/>
                <w:szCs w:val="16"/>
              </w:rPr>
            </w:pPr>
            <w:r w:rsidRPr="003C3292">
              <w:rPr>
                <w:rFonts w:ascii="Arial" w:hAnsi="Arial" w:cs="Arial"/>
                <w:b/>
                <w:bCs/>
                <w:sz w:val="16"/>
                <w:szCs w:val="16"/>
              </w:rPr>
              <w:t>39,767</w:t>
            </w:r>
          </w:p>
        </w:tc>
        <w:tc>
          <w:tcPr>
            <w:tcW w:w="964" w:type="dxa"/>
            <w:tcBorders>
              <w:top w:val="single" w:sz="4" w:space="0" w:color="auto"/>
              <w:left w:val="nil"/>
              <w:bottom w:val="single" w:sz="4" w:space="0" w:color="auto"/>
              <w:right w:val="nil"/>
            </w:tcBorders>
            <w:shd w:val="clear" w:color="auto" w:fill="auto"/>
            <w:noWrap/>
            <w:vAlign w:val="bottom"/>
            <w:hideMark/>
          </w:tcPr>
          <w:p w14:paraId="0B7DFB2D" w14:textId="2BDBF828" w:rsidR="003C3292" w:rsidRPr="003C3292" w:rsidRDefault="003C3292" w:rsidP="00216C12">
            <w:pPr>
              <w:spacing w:after="0" w:line="240" w:lineRule="auto"/>
              <w:jc w:val="right"/>
              <w:rPr>
                <w:rFonts w:ascii="Arial" w:hAnsi="Arial" w:cs="Arial"/>
                <w:b/>
                <w:bCs/>
                <w:sz w:val="16"/>
                <w:szCs w:val="16"/>
              </w:rPr>
            </w:pPr>
            <w:r w:rsidRPr="003C3292">
              <w:rPr>
                <w:rFonts w:ascii="Arial" w:hAnsi="Arial" w:cs="Arial"/>
                <w:b/>
                <w:bCs/>
                <w:sz w:val="16"/>
                <w:szCs w:val="16"/>
              </w:rPr>
              <w:t>8,942</w:t>
            </w:r>
          </w:p>
        </w:tc>
        <w:tc>
          <w:tcPr>
            <w:tcW w:w="1140" w:type="dxa"/>
            <w:tcBorders>
              <w:top w:val="single" w:sz="4" w:space="0" w:color="auto"/>
              <w:left w:val="nil"/>
              <w:bottom w:val="single" w:sz="4" w:space="0" w:color="auto"/>
              <w:right w:val="nil"/>
            </w:tcBorders>
            <w:shd w:val="clear" w:color="auto" w:fill="auto"/>
            <w:noWrap/>
            <w:vAlign w:val="bottom"/>
            <w:hideMark/>
          </w:tcPr>
          <w:p w14:paraId="7B199FD9" w14:textId="30CBD147" w:rsidR="003C3292" w:rsidRPr="003C3292" w:rsidRDefault="003C3292" w:rsidP="00216C12">
            <w:pPr>
              <w:spacing w:after="0" w:line="240" w:lineRule="auto"/>
              <w:jc w:val="right"/>
              <w:rPr>
                <w:rFonts w:ascii="Arial" w:hAnsi="Arial" w:cs="Arial"/>
                <w:b/>
                <w:bCs/>
                <w:sz w:val="16"/>
                <w:szCs w:val="16"/>
              </w:rPr>
            </w:pPr>
            <w:r w:rsidRPr="003C3292">
              <w:rPr>
                <w:rFonts w:ascii="Arial" w:hAnsi="Arial" w:cs="Arial"/>
                <w:b/>
                <w:bCs/>
                <w:sz w:val="16"/>
                <w:szCs w:val="16"/>
              </w:rPr>
              <w:t>41,725</w:t>
            </w:r>
          </w:p>
        </w:tc>
        <w:tc>
          <w:tcPr>
            <w:tcW w:w="992" w:type="dxa"/>
            <w:tcBorders>
              <w:top w:val="single" w:sz="4" w:space="0" w:color="auto"/>
              <w:left w:val="nil"/>
              <w:bottom w:val="single" w:sz="4" w:space="0" w:color="auto"/>
              <w:right w:val="nil"/>
            </w:tcBorders>
            <w:shd w:val="clear" w:color="auto" w:fill="auto"/>
            <w:noWrap/>
            <w:vAlign w:val="bottom"/>
            <w:hideMark/>
          </w:tcPr>
          <w:p w14:paraId="21163202" w14:textId="162853DB" w:rsidR="003C3292" w:rsidRPr="003C3292" w:rsidRDefault="003C3292" w:rsidP="00216C12">
            <w:pPr>
              <w:spacing w:after="0" w:line="240" w:lineRule="auto"/>
              <w:jc w:val="right"/>
              <w:rPr>
                <w:rFonts w:ascii="Arial" w:hAnsi="Arial" w:cs="Arial"/>
                <w:b/>
                <w:bCs/>
                <w:sz w:val="16"/>
                <w:szCs w:val="16"/>
              </w:rPr>
            </w:pPr>
            <w:r w:rsidRPr="003C3292">
              <w:rPr>
                <w:rFonts w:ascii="Arial" w:hAnsi="Arial" w:cs="Arial"/>
                <w:b/>
                <w:bCs/>
                <w:sz w:val="16"/>
                <w:szCs w:val="16"/>
              </w:rPr>
              <w:t>90,434</w:t>
            </w:r>
          </w:p>
        </w:tc>
      </w:tr>
      <w:tr w:rsidR="003C3292" w:rsidRPr="003C3292" w14:paraId="2D9305E8" w14:textId="77777777" w:rsidTr="00875F80">
        <w:trPr>
          <w:trHeight w:val="204"/>
        </w:trPr>
        <w:tc>
          <w:tcPr>
            <w:tcW w:w="3544" w:type="dxa"/>
            <w:tcBorders>
              <w:top w:val="nil"/>
              <w:left w:val="nil"/>
              <w:bottom w:val="nil"/>
              <w:right w:val="nil"/>
            </w:tcBorders>
            <w:shd w:val="clear" w:color="auto" w:fill="auto"/>
            <w:vAlign w:val="bottom"/>
            <w:hideMark/>
          </w:tcPr>
          <w:p w14:paraId="0A5E04F6" w14:textId="77777777" w:rsidR="003C3292" w:rsidRPr="003C3292" w:rsidRDefault="003C3292" w:rsidP="003C3292">
            <w:pPr>
              <w:spacing w:after="0" w:line="240" w:lineRule="auto"/>
              <w:jc w:val="left"/>
              <w:rPr>
                <w:rFonts w:ascii="Arial" w:hAnsi="Arial" w:cs="Arial"/>
                <w:b/>
                <w:bCs/>
                <w:sz w:val="16"/>
                <w:szCs w:val="16"/>
              </w:rPr>
            </w:pPr>
            <w:r w:rsidRPr="003C3292">
              <w:rPr>
                <w:rFonts w:ascii="Arial" w:hAnsi="Arial" w:cs="Arial"/>
                <w:b/>
                <w:bCs/>
                <w:sz w:val="16"/>
                <w:szCs w:val="16"/>
              </w:rPr>
              <w:t>Capital asset additions</w:t>
            </w:r>
          </w:p>
        </w:tc>
        <w:tc>
          <w:tcPr>
            <w:tcW w:w="895" w:type="dxa"/>
            <w:tcBorders>
              <w:top w:val="nil"/>
              <w:left w:val="nil"/>
              <w:bottom w:val="nil"/>
              <w:right w:val="nil"/>
            </w:tcBorders>
            <w:shd w:val="clear" w:color="auto" w:fill="auto"/>
            <w:noWrap/>
            <w:vAlign w:val="bottom"/>
            <w:hideMark/>
          </w:tcPr>
          <w:p w14:paraId="53F0FA0D" w14:textId="77777777" w:rsidR="003C3292" w:rsidRPr="003C3292" w:rsidRDefault="003C3292" w:rsidP="00216C12">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5EB5B6C3" w14:textId="77777777" w:rsidR="003C3292" w:rsidRPr="003C3292" w:rsidRDefault="003C3292" w:rsidP="00216C12">
            <w:pPr>
              <w:spacing w:after="0" w:line="240" w:lineRule="auto"/>
              <w:jc w:val="right"/>
              <w:rPr>
                <w:rFonts w:ascii="Times New Roman" w:hAnsi="Times New Roman"/>
              </w:rPr>
            </w:pPr>
          </w:p>
        </w:tc>
        <w:tc>
          <w:tcPr>
            <w:tcW w:w="1140" w:type="dxa"/>
            <w:tcBorders>
              <w:top w:val="nil"/>
              <w:left w:val="nil"/>
              <w:bottom w:val="nil"/>
              <w:right w:val="nil"/>
            </w:tcBorders>
            <w:shd w:val="clear" w:color="auto" w:fill="auto"/>
            <w:noWrap/>
            <w:vAlign w:val="bottom"/>
            <w:hideMark/>
          </w:tcPr>
          <w:p w14:paraId="7C314235" w14:textId="77777777" w:rsidR="003C3292" w:rsidRPr="003C3292" w:rsidRDefault="003C3292" w:rsidP="00216C12">
            <w:pPr>
              <w:spacing w:after="0" w:line="240" w:lineRule="auto"/>
              <w:jc w:val="right"/>
              <w:rPr>
                <w:rFonts w:ascii="Times New Roman" w:hAnsi="Times New Roman"/>
              </w:rPr>
            </w:pPr>
          </w:p>
        </w:tc>
        <w:tc>
          <w:tcPr>
            <w:tcW w:w="992" w:type="dxa"/>
            <w:tcBorders>
              <w:top w:val="nil"/>
              <w:left w:val="nil"/>
              <w:bottom w:val="nil"/>
              <w:right w:val="nil"/>
            </w:tcBorders>
            <w:shd w:val="clear" w:color="auto" w:fill="auto"/>
            <w:noWrap/>
            <w:vAlign w:val="bottom"/>
            <w:hideMark/>
          </w:tcPr>
          <w:p w14:paraId="08C5F6A0" w14:textId="77777777" w:rsidR="003C3292" w:rsidRPr="003C3292" w:rsidRDefault="003C3292" w:rsidP="00216C12">
            <w:pPr>
              <w:spacing w:after="0" w:line="240" w:lineRule="auto"/>
              <w:jc w:val="right"/>
              <w:rPr>
                <w:rFonts w:ascii="Times New Roman" w:hAnsi="Times New Roman"/>
              </w:rPr>
            </w:pPr>
          </w:p>
        </w:tc>
      </w:tr>
      <w:tr w:rsidR="003C3292" w:rsidRPr="003C3292" w14:paraId="50C18EBF" w14:textId="77777777" w:rsidTr="00875F80">
        <w:trPr>
          <w:trHeight w:val="204"/>
        </w:trPr>
        <w:tc>
          <w:tcPr>
            <w:tcW w:w="3544" w:type="dxa"/>
            <w:tcBorders>
              <w:top w:val="nil"/>
              <w:left w:val="nil"/>
              <w:bottom w:val="nil"/>
              <w:right w:val="nil"/>
            </w:tcBorders>
            <w:shd w:val="clear" w:color="auto" w:fill="auto"/>
            <w:vAlign w:val="bottom"/>
            <w:hideMark/>
          </w:tcPr>
          <w:p w14:paraId="7C566E71" w14:textId="1E04F147" w:rsidR="003C3292" w:rsidRPr="003C3292" w:rsidRDefault="003C3292" w:rsidP="003C3292">
            <w:pPr>
              <w:spacing w:after="0" w:line="240" w:lineRule="auto"/>
              <w:ind w:left="170"/>
              <w:jc w:val="left"/>
              <w:rPr>
                <w:rFonts w:ascii="Arial" w:hAnsi="Arial" w:cs="Arial"/>
                <w:b/>
                <w:bCs/>
                <w:sz w:val="16"/>
                <w:szCs w:val="16"/>
              </w:rPr>
            </w:pPr>
            <w:r w:rsidRPr="003C3292">
              <w:rPr>
                <w:rFonts w:ascii="Arial" w:hAnsi="Arial" w:cs="Arial"/>
                <w:b/>
                <w:bCs/>
                <w:sz w:val="16"/>
                <w:szCs w:val="16"/>
              </w:rPr>
              <w:t>Estimated expenditure on new</w:t>
            </w:r>
            <w:r>
              <w:rPr>
                <w:rFonts w:ascii="Arial" w:hAnsi="Arial" w:cs="Arial"/>
                <w:b/>
                <w:bCs/>
                <w:sz w:val="16"/>
                <w:szCs w:val="16"/>
              </w:rPr>
              <w:t xml:space="preserve"> </w:t>
            </w:r>
            <w:r w:rsidRPr="003C3292">
              <w:rPr>
                <w:rFonts w:ascii="Arial" w:hAnsi="Arial" w:cs="Arial"/>
                <w:b/>
                <w:bCs/>
                <w:sz w:val="16"/>
                <w:szCs w:val="16"/>
              </w:rPr>
              <w:t>or replacement assets</w:t>
            </w:r>
          </w:p>
        </w:tc>
        <w:tc>
          <w:tcPr>
            <w:tcW w:w="895" w:type="dxa"/>
            <w:tcBorders>
              <w:top w:val="nil"/>
              <w:left w:val="nil"/>
              <w:bottom w:val="nil"/>
              <w:right w:val="nil"/>
            </w:tcBorders>
            <w:shd w:val="clear" w:color="auto" w:fill="auto"/>
            <w:noWrap/>
            <w:vAlign w:val="bottom"/>
            <w:hideMark/>
          </w:tcPr>
          <w:p w14:paraId="1AD7EB1A" w14:textId="77777777" w:rsidR="003C3292" w:rsidRPr="003C3292" w:rsidRDefault="003C3292" w:rsidP="00216C12">
            <w:pPr>
              <w:spacing w:after="0" w:line="240" w:lineRule="auto"/>
              <w:ind w:firstLineChars="100" w:firstLine="160"/>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6862F645" w14:textId="77777777" w:rsidR="003C3292" w:rsidRPr="003C3292" w:rsidRDefault="003C3292" w:rsidP="00216C12">
            <w:pPr>
              <w:spacing w:after="0" w:line="240" w:lineRule="auto"/>
              <w:jc w:val="right"/>
              <w:rPr>
                <w:rFonts w:ascii="Times New Roman" w:hAnsi="Times New Roman"/>
              </w:rPr>
            </w:pPr>
          </w:p>
        </w:tc>
        <w:tc>
          <w:tcPr>
            <w:tcW w:w="1140" w:type="dxa"/>
            <w:tcBorders>
              <w:top w:val="nil"/>
              <w:left w:val="nil"/>
              <w:bottom w:val="nil"/>
              <w:right w:val="nil"/>
            </w:tcBorders>
            <w:shd w:val="clear" w:color="auto" w:fill="auto"/>
            <w:noWrap/>
            <w:vAlign w:val="bottom"/>
            <w:hideMark/>
          </w:tcPr>
          <w:p w14:paraId="378EAD41" w14:textId="77777777" w:rsidR="003C3292" w:rsidRPr="003C3292" w:rsidRDefault="003C3292" w:rsidP="00216C12">
            <w:pPr>
              <w:spacing w:after="0" w:line="240" w:lineRule="auto"/>
              <w:jc w:val="right"/>
              <w:rPr>
                <w:rFonts w:ascii="Times New Roman" w:hAnsi="Times New Roman"/>
              </w:rPr>
            </w:pPr>
          </w:p>
        </w:tc>
        <w:tc>
          <w:tcPr>
            <w:tcW w:w="992" w:type="dxa"/>
            <w:tcBorders>
              <w:top w:val="nil"/>
              <w:left w:val="nil"/>
              <w:bottom w:val="nil"/>
              <w:right w:val="nil"/>
            </w:tcBorders>
            <w:shd w:val="clear" w:color="auto" w:fill="auto"/>
            <w:noWrap/>
            <w:vAlign w:val="bottom"/>
            <w:hideMark/>
          </w:tcPr>
          <w:p w14:paraId="77995793" w14:textId="77777777" w:rsidR="003C3292" w:rsidRPr="003C3292" w:rsidRDefault="003C3292" w:rsidP="00216C12">
            <w:pPr>
              <w:spacing w:after="0" w:line="240" w:lineRule="auto"/>
              <w:jc w:val="right"/>
              <w:rPr>
                <w:rFonts w:ascii="Times New Roman" w:hAnsi="Times New Roman"/>
              </w:rPr>
            </w:pPr>
          </w:p>
        </w:tc>
      </w:tr>
      <w:tr w:rsidR="003C3292" w:rsidRPr="003C3292" w14:paraId="09B27645" w14:textId="77777777" w:rsidTr="00875F80">
        <w:trPr>
          <w:trHeight w:val="204"/>
        </w:trPr>
        <w:tc>
          <w:tcPr>
            <w:tcW w:w="3544" w:type="dxa"/>
            <w:tcBorders>
              <w:top w:val="nil"/>
              <w:left w:val="nil"/>
              <w:bottom w:val="nil"/>
              <w:right w:val="nil"/>
            </w:tcBorders>
            <w:shd w:val="clear" w:color="auto" w:fill="auto"/>
            <w:vAlign w:val="bottom"/>
            <w:hideMark/>
          </w:tcPr>
          <w:p w14:paraId="2C8E2867" w14:textId="77777777" w:rsidR="003C3292" w:rsidRPr="003C3292" w:rsidRDefault="003C3292" w:rsidP="003C3292">
            <w:pPr>
              <w:spacing w:after="0" w:line="240" w:lineRule="auto"/>
              <w:ind w:left="227"/>
              <w:jc w:val="left"/>
              <w:rPr>
                <w:rFonts w:ascii="Arial" w:hAnsi="Arial" w:cs="Arial"/>
                <w:sz w:val="16"/>
                <w:szCs w:val="16"/>
              </w:rPr>
            </w:pPr>
            <w:r w:rsidRPr="003C3292">
              <w:rPr>
                <w:rFonts w:ascii="Arial" w:hAnsi="Arial" w:cs="Arial"/>
                <w:sz w:val="16"/>
                <w:szCs w:val="16"/>
              </w:rPr>
              <w:t>By purchase - other</w:t>
            </w:r>
          </w:p>
        </w:tc>
        <w:tc>
          <w:tcPr>
            <w:tcW w:w="895" w:type="dxa"/>
            <w:tcBorders>
              <w:top w:val="nil"/>
              <w:left w:val="nil"/>
              <w:bottom w:val="nil"/>
              <w:right w:val="nil"/>
            </w:tcBorders>
            <w:shd w:val="clear" w:color="auto" w:fill="auto"/>
            <w:noWrap/>
            <w:vAlign w:val="bottom"/>
            <w:hideMark/>
          </w:tcPr>
          <w:p w14:paraId="64B0CA49" w14:textId="2425C1D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6D4D4EAC" w14:textId="578A214E"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7,870</w:t>
            </w:r>
          </w:p>
        </w:tc>
        <w:tc>
          <w:tcPr>
            <w:tcW w:w="1140" w:type="dxa"/>
            <w:tcBorders>
              <w:top w:val="nil"/>
              <w:left w:val="nil"/>
              <w:bottom w:val="nil"/>
              <w:right w:val="nil"/>
            </w:tcBorders>
            <w:shd w:val="clear" w:color="auto" w:fill="auto"/>
            <w:noWrap/>
            <w:vAlign w:val="bottom"/>
            <w:hideMark/>
          </w:tcPr>
          <w:p w14:paraId="49D01BDD" w14:textId="692CA31F"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13,971</w:t>
            </w:r>
          </w:p>
        </w:tc>
        <w:tc>
          <w:tcPr>
            <w:tcW w:w="992" w:type="dxa"/>
            <w:tcBorders>
              <w:top w:val="nil"/>
              <w:left w:val="nil"/>
              <w:bottom w:val="nil"/>
              <w:right w:val="nil"/>
            </w:tcBorders>
            <w:shd w:val="clear" w:color="auto" w:fill="auto"/>
            <w:noWrap/>
            <w:vAlign w:val="bottom"/>
            <w:hideMark/>
          </w:tcPr>
          <w:p w14:paraId="4FC9BF08" w14:textId="707ACAC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21,841</w:t>
            </w:r>
          </w:p>
        </w:tc>
      </w:tr>
      <w:tr w:rsidR="003C3292" w:rsidRPr="003C3292" w14:paraId="2F536F56" w14:textId="77777777" w:rsidTr="00875F80">
        <w:trPr>
          <w:trHeight w:val="204"/>
        </w:trPr>
        <w:tc>
          <w:tcPr>
            <w:tcW w:w="3544" w:type="dxa"/>
            <w:tcBorders>
              <w:top w:val="nil"/>
              <w:left w:val="nil"/>
              <w:bottom w:val="nil"/>
              <w:right w:val="nil"/>
            </w:tcBorders>
            <w:shd w:val="clear" w:color="auto" w:fill="auto"/>
            <w:vAlign w:val="center"/>
            <w:hideMark/>
          </w:tcPr>
          <w:p w14:paraId="1E6FD8CF" w14:textId="77777777" w:rsidR="003C3292" w:rsidRPr="003C3292" w:rsidRDefault="003C3292" w:rsidP="003C3292">
            <w:pPr>
              <w:spacing w:after="0" w:line="240" w:lineRule="auto"/>
              <w:ind w:left="227"/>
              <w:jc w:val="left"/>
              <w:rPr>
                <w:rFonts w:ascii="Arial" w:hAnsi="Arial" w:cs="Arial"/>
                <w:sz w:val="16"/>
                <w:szCs w:val="16"/>
              </w:rPr>
            </w:pPr>
            <w:r w:rsidRPr="003C3292">
              <w:rPr>
                <w:rFonts w:ascii="Arial" w:hAnsi="Arial" w:cs="Arial"/>
                <w:sz w:val="16"/>
                <w:szCs w:val="16"/>
              </w:rPr>
              <w:t>By purchase - other - ROU assets</w:t>
            </w:r>
          </w:p>
        </w:tc>
        <w:tc>
          <w:tcPr>
            <w:tcW w:w="895" w:type="dxa"/>
            <w:tcBorders>
              <w:top w:val="nil"/>
              <w:left w:val="nil"/>
              <w:bottom w:val="nil"/>
              <w:right w:val="nil"/>
            </w:tcBorders>
            <w:shd w:val="clear" w:color="auto" w:fill="auto"/>
            <w:noWrap/>
            <w:vAlign w:val="bottom"/>
            <w:hideMark/>
          </w:tcPr>
          <w:p w14:paraId="43DD4954" w14:textId="31C2316D"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1,587</w:t>
            </w:r>
          </w:p>
        </w:tc>
        <w:tc>
          <w:tcPr>
            <w:tcW w:w="964" w:type="dxa"/>
            <w:tcBorders>
              <w:top w:val="nil"/>
              <w:left w:val="nil"/>
              <w:bottom w:val="nil"/>
              <w:right w:val="nil"/>
            </w:tcBorders>
            <w:shd w:val="clear" w:color="auto" w:fill="auto"/>
            <w:noWrap/>
            <w:vAlign w:val="bottom"/>
            <w:hideMark/>
          </w:tcPr>
          <w:p w14:paraId="1B52E3F9" w14:textId="01EEE344"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14:paraId="560093BC" w14:textId="449151D0"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6F3069B0" w14:textId="15FC758E"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1,587</w:t>
            </w:r>
          </w:p>
        </w:tc>
      </w:tr>
      <w:tr w:rsidR="003C3292" w:rsidRPr="003C3292" w14:paraId="1A45DBE4" w14:textId="77777777" w:rsidTr="00875F80">
        <w:trPr>
          <w:trHeight w:val="204"/>
        </w:trPr>
        <w:tc>
          <w:tcPr>
            <w:tcW w:w="3544" w:type="dxa"/>
            <w:tcBorders>
              <w:top w:val="nil"/>
              <w:left w:val="nil"/>
              <w:bottom w:val="nil"/>
              <w:right w:val="nil"/>
            </w:tcBorders>
            <w:shd w:val="clear" w:color="auto" w:fill="auto"/>
            <w:vAlign w:val="bottom"/>
            <w:hideMark/>
          </w:tcPr>
          <w:p w14:paraId="2EE30D63" w14:textId="77777777" w:rsidR="003C3292" w:rsidRPr="003C3292" w:rsidRDefault="003C3292" w:rsidP="003C3292">
            <w:pPr>
              <w:spacing w:after="0" w:line="240" w:lineRule="auto"/>
              <w:ind w:firstLineChars="100" w:firstLine="160"/>
              <w:jc w:val="left"/>
              <w:rPr>
                <w:rFonts w:ascii="Arial" w:hAnsi="Arial" w:cs="Arial"/>
                <w:b/>
                <w:bCs/>
                <w:sz w:val="16"/>
                <w:szCs w:val="16"/>
              </w:rPr>
            </w:pPr>
            <w:r w:rsidRPr="003C3292">
              <w:rPr>
                <w:rFonts w:ascii="Arial" w:hAnsi="Arial" w:cs="Arial"/>
                <w:b/>
                <w:bCs/>
                <w:sz w:val="16"/>
                <w:szCs w:val="16"/>
              </w:rPr>
              <w:t>Total additions</w:t>
            </w:r>
          </w:p>
        </w:tc>
        <w:tc>
          <w:tcPr>
            <w:tcW w:w="895" w:type="dxa"/>
            <w:tcBorders>
              <w:top w:val="single" w:sz="4" w:space="0" w:color="auto"/>
              <w:left w:val="nil"/>
              <w:bottom w:val="nil"/>
              <w:right w:val="nil"/>
            </w:tcBorders>
            <w:shd w:val="clear" w:color="auto" w:fill="auto"/>
            <w:noWrap/>
            <w:vAlign w:val="bottom"/>
            <w:hideMark/>
          </w:tcPr>
          <w:p w14:paraId="57854BF5" w14:textId="11367CAA" w:rsidR="003C3292" w:rsidRPr="003C3292" w:rsidRDefault="003C3292" w:rsidP="00216C12">
            <w:pPr>
              <w:spacing w:after="0" w:line="240" w:lineRule="auto"/>
              <w:jc w:val="right"/>
              <w:rPr>
                <w:rFonts w:ascii="Arial" w:hAnsi="Arial" w:cs="Arial"/>
                <w:b/>
                <w:bCs/>
                <w:sz w:val="16"/>
                <w:szCs w:val="16"/>
              </w:rPr>
            </w:pPr>
            <w:r w:rsidRPr="003C3292">
              <w:rPr>
                <w:rFonts w:ascii="Arial" w:hAnsi="Arial" w:cs="Arial"/>
                <w:b/>
                <w:bCs/>
                <w:sz w:val="16"/>
                <w:szCs w:val="16"/>
              </w:rPr>
              <w:t>1,587</w:t>
            </w:r>
          </w:p>
        </w:tc>
        <w:tc>
          <w:tcPr>
            <w:tcW w:w="964" w:type="dxa"/>
            <w:tcBorders>
              <w:top w:val="single" w:sz="4" w:space="0" w:color="auto"/>
              <w:left w:val="nil"/>
              <w:bottom w:val="nil"/>
              <w:right w:val="nil"/>
            </w:tcBorders>
            <w:shd w:val="clear" w:color="auto" w:fill="auto"/>
            <w:noWrap/>
            <w:vAlign w:val="bottom"/>
            <w:hideMark/>
          </w:tcPr>
          <w:p w14:paraId="2FBFCA4D" w14:textId="72594272" w:rsidR="003C3292" w:rsidRPr="003C3292" w:rsidRDefault="003C3292" w:rsidP="00216C12">
            <w:pPr>
              <w:spacing w:after="0" w:line="240" w:lineRule="auto"/>
              <w:jc w:val="right"/>
              <w:rPr>
                <w:rFonts w:ascii="Arial" w:hAnsi="Arial" w:cs="Arial"/>
                <w:b/>
                <w:bCs/>
                <w:sz w:val="16"/>
                <w:szCs w:val="16"/>
              </w:rPr>
            </w:pPr>
            <w:r w:rsidRPr="003C3292">
              <w:rPr>
                <w:rFonts w:ascii="Arial" w:hAnsi="Arial" w:cs="Arial"/>
                <w:b/>
                <w:bCs/>
                <w:sz w:val="16"/>
                <w:szCs w:val="16"/>
              </w:rPr>
              <w:t>7,870</w:t>
            </w:r>
          </w:p>
        </w:tc>
        <w:tc>
          <w:tcPr>
            <w:tcW w:w="1140" w:type="dxa"/>
            <w:tcBorders>
              <w:top w:val="single" w:sz="4" w:space="0" w:color="auto"/>
              <w:left w:val="nil"/>
              <w:bottom w:val="nil"/>
              <w:right w:val="nil"/>
            </w:tcBorders>
            <w:shd w:val="clear" w:color="auto" w:fill="auto"/>
            <w:noWrap/>
            <w:vAlign w:val="bottom"/>
            <w:hideMark/>
          </w:tcPr>
          <w:p w14:paraId="6BC0ACB5" w14:textId="6557148F" w:rsidR="003C3292" w:rsidRPr="003C3292" w:rsidRDefault="003C3292" w:rsidP="00216C12">
            <w:pPr>
              <w:spacing w:after="0" w:line="240" w:lineRule="auto"/>
              <w:jc w:val="right"/>
              <w:rPr>
                <w:rFonts w:ascii="Arial" w:hAnsi="Arial" w:cs="Arial"/>
                <w:b/>
                <w:bCs/>
                <w:sz w:val="16"/>
                <w:szCs w:val="16"/>
              </w:rPr>
            </w:pPr>
            <w:r w:rsidRPr="003C3292">
              <w:rPr>
                <w:rFonts w:ascii="Arial" w:hAnsi="Arial" w:cs="Arial"/>
                <w:b/>
                <w:bCs/>
                <w:sz w:val="16"/>
                <w:szCs w:val="16"/>
              </w:rPr>
              <w:t>13,971</w:t>
            </w:r>
          </w:p>
        </w:tc>
        <w:tc>
          <w:tcPr>
            <w:tcW w:w="992" w:type="dxa"/>
            <w:tcBorders>
              <w:top w:val="single" w:sz="4" w:space="0" w:color="auto"/>
              <w:left w:val="nil"/>
              <w:bottom w:val="nil"/>
              <w:right w:val="nil"/>
            </w:tcBorders>
            <w:shd w:val="clear" w:color="auto" w:fill="auto"/>
            <w:noWrap/>
            <w:vAlign w:val="bottom"/>
            <w:hideMark/>
          </w:tcPr>
          <w:p w14:paraId="59AE998F" w14:textId="58BCA99C" w:rsidR="003C3292" w:rsidRPr="003C3292" w:rsidRDefault="003C3292" w:rsidP="00216C12">
            <w:pPr>
              <w:spacing w:after="0" w:line="240" w:lineRule="auto"/>
              <w:jc w:val="right"/>
              <w:rPr>
                <w:rFonts w:ascii="Arial" w:hAnsi="Arial" w:cs="Arial"/>
                <w:b/>
                <w:bCs/>
                <w:sz w:val="16"/>
                <w:szCs w:val="16"/>
              </w:rPr>
            </w:pPr>
            <w:r w:rsidRPr="003C3292">
              <w:rPr>
                <w:rFonts w:ascii="Arial" w:hAnsi="Arial" w:cs="Arial"/>
                <w:b/>
                <w:bCs/>
                <w:sz w:val="16"/>
                <w:szCs w:val="16"/>
              </w:rPr>
              <w:t>23,428</w:t>
            </w:r>
          </w:p>
        </w:tc>
      </w:tr>
      <w:tr w:rsidR="003C3292" w:rsidRPr="003C3292" w14:paraId="6802B61E" w14:textId="77777777" w:rsidTr="00875F80">
        <w:trPr>
          <w:trHeight w:val="204"/>
        </w:trPr>
        <w:tc>
          <w:tcPr>
            <w:tcW w:w="3544" w:type="dxa"/>
            <w:tcBorders>
              <w:top w:val="nil"/>
              <w:left w:val="nil"/>
              <w:bottom w:val="nil"/>
              <w:right w:val="nil"/>
            </w:tcBorders>
            <w:shd w:val="clear" w:color="auto" w:fill="auto"/>
            <w:vAlign w:val="bottom"/>
            <w:hideMark/>
          </w:tcPr>
          <w:p w14:paraId="0511849C" w14:textId="77777777" w:rsidR="003C3292" w:rsidRPr="003C3292" w:rsidRDefault="003C3292" w:rsidP="003C3292">
            <w:pPr>
              <w:spacing w:after="0" w:line="240" w:lineRule="auto"/>
              <w:ind w:firstLineChars="100" w:firstLine="160"/>
              <w:jc w:val="left"/>
              <w:rPr>
                <w:rFonts w:ascii="Arial" w:hAnsi="Arial" w:cs="Arial"/>
                <w:b/>
                <w:bCs/>
                <w:sz w:val="16"/>
                <w:szCs w:val="16"/>
              </w:rPr>
            </w:pPr>
            <w:r w:rsidRPr="003C3292">
              <w:rPr>
                <w:rFonts w:ascii="Arial" w:hAnsi="Arial" w:cs="Arial"/>
                <w:b/>
                <w:bCs/>
                <w:sz w:val="16"/>
                <w:szCs w:val="16"/>
              </w:rPr>
              <w:t>Other movements</w:t>
            </w:r>
          </w:p>
        </w:tc>
        <w:tc>
          <w:tcPr>
            <w:tcW w:w="895" w:type="dxa"/>
            <w:tcBorders>
              <w:top w:val="single" w:sz="4" w:space="0" w:color="auto"/>
              <w:left w:val="nil"/>
              <w:bottom w:val="nil"/>
              <w:right w:val="nil"/>
            </w:tcBorders>
            <w:shd w:val="clear" w:color="auto" w:fill="auto"/>
            <w:noWrap/>
            <w:vAlign w:val="bottom"/>
            <w:hideMark/>
          </w:tcPr>
          <w:p w14:paraId="0C1912CA" w14:textId="58C3A295" w:rsidR="003C3292" w:rsidRPr="003C3292" w:rsidRDefault="003C3292" w:rsidP="00216C12">
            <w:pPr>
              <w:spacing w:after="0" w:line="240" w:lineRule="auto"/>
              <w:jc w:val="right"/>
              <w:rPr>
                <w:rFonts w:ascii="Arial" w:hAnsi="Arial" w:cs="Arial"/>
                <w:b/>
                <w:bCs/>
                <w:sz w:val="16"/>
                <w:szCs w:val="16"/>
              </w:rPr>
            </w:pPr>
          </w:p>
        </w:tc>
        <w:tc>
          <w:tcPr>
            <w:tcW w:w="964" w:type="dxa"/>
            <w:tcBorders>
              <w:top w:val="single" w:sz="4" w:space="0" w:color="auto"/>
              <w:left w:val="nil"/>
              <w:bottom w:val="nil"/>
              <w:right w:val="nil"/>
            </w:tcBorders>
            <w:shd w:val="clear" w:color="auto" w:fill="auto"/>
            <w:noWrap/>
            <w:vAlign w:val="bottom"/>
            <w:hideMark/>
          </w:tcPr>
          <w:p w14:paraId="38F2991D" w14:textId="644110F5" w:rsidR="003C3292" w:rsidRPr="003C3292" w:rsidRDefault="003C3292" w:rsidP="00216C12">
            <w:pPr>
              <w:spacing w:after="0" w:line="240" w:lineRule="auto"/>
              <w:jc w:val="right"/>
              <w:rPr>
                <w:rFonts w:ascii="Arial" w:hAnsi="Arial" w:cs="Arial"/>
                <w:b/>
                <w:bCs/>
                <w:sz w:val="16"/>
                <w:szCs w:val="16"/>
              </w:rPr>
            </w:pPr>
          </w:p>
        </w:tc>
        <w:tc>
          <w:tcPr>
            <w:tcW w:w="1140" w:type="dxa"/>
            <w:tcBorders>
              <w:top w:val="single" w:sz="4" w:space="0" w:color="auto"/>
              <w:left w:val="nil"/>
              <w:bottom w:val="nil"/>
              <w:right w:val="nil"/>
            </w:tcBorders>
            <w:shd w:val="clear" w:color="auto" w:fill="auto"/>
            <w:noWrap/>
            <w:vAlign w:val="bottom"/>
            <w:hideMark/>
          </w:tcPr>
          <w:p w14:paraId="4DE8BD2F" w14:textId="2F34773F" w:rsidR="003C3292" w:rsidRPr="003C3292" w:rsidRDefault="003C3292" w:rsidP="00216C12">
            <w:pPr>
              <w:spacing w:after="0" w:line="240" w:lineRule="auto"/>
              <w:jc w:val="right"/>
              <w:rPr>
                <w:rFonts w:ascii="Arial" w:hAnsi="Arial" w:cs="Arial"/>
                <w:b/>
                <w:bCs/>
                <w:sz w:val="16"/>
                <w:szCs w:val="16"/>
              </w:rPr>
            </w:pPr>
          </w:p>
        </w:tc>
        <w:tc>
          <w:tcPr>
            <w:tcW w:w="992" w:type="dxa"/>
            <w:tcBorders>
              <w:top w:val="single" w:sz="4" w:space="0" w:color="auto"/>
              <w:left w:val="nil"/>
              <w:bottom w:val="nil"/>
              <w:right w:val="nil"/>
            </w:tcBorders>
            <w:shd w:val="clear" w:color="auto" w:fill="auto"/>
            <w:noWrap/>
            <w:vAlign w:val="bottom"/>
            <w:hideMark/>
          </w:tcPr>
          <w:p w14:paraId="74AE9122" w14:textId="0ACF897A" w:rsidR="003C3292" w:rsidRPr="003C3292" w:rsidRDefault="003C3292" w:rsidP="00216C12">
            <w:pPr>
              <w:spacing w:after="0" w:line="240" w:lineRule="auto"/>
              <w:jc w:val="right"/>
              <w:rPr>
                <w:rFonts w:ascii="Arial" w:hAnsi="Arial" w:cs="Arial"/>
                <w:b/>
                <w:bCs/>
                <w:sz w:val="16"/>
                <w:szCs w:val="16"/>
              </w:rPr>
            </w:pPr>
          </w:p>
        </w:tc>
      </w:tr>
      <w:tr w:rsidR="003C3292" w:rsidRPr="003C3292" w14:paraId="0B5BC018" w14:textId="77777777" w:rsidTr="00875F80">
        <w:trPr>
          <w:trHeight w:val="204"/>
        </w:trPr>
        <w:tc>
          <w:tcPr>
            <w:tcW w:w="3544" w:type="dxa"/>
            <w:tcBorders>
              <w:top w:val="nil"/>
              <w:left w:val="nil"/>
              <w:bottom w:val="nil"/>
              <w:right w:val="nil"/>
            </w:tcBorders>
            <w:shd w:val="clear" w:color="auto" w:fill="auto"/>
            <w:vAlign w:val="bottom"/>
            <w:hideMark/>
          </w:tcPr>
          <w:p w14:paraId="4B1184F9" w14:textId="77777777" w:rsidR="003C3292" w:rsidRPr="003C3292" w:rsidRDefault="003C3292" w:rsidP="003C3292">
            <w:pPr>
              <w:spacing w:after="0" w:line="240" w:lineRule="auto"/>
              <w:ind w:left="113"/>
              <w:jc w:val="left"/>
              <w:rPr>
                <w:rFonts w:ascii="Arial" w:hAnsi="Arial" w:cs="Arial"/>
                <w:sz w:val="16"/>
                <w:szCs w:val="16"/>
              </w:rPr>
            </w:pPr>
            <w:r w:rsidRPr="003C3292">
              <w:rPr>
                <w:rFonts w:ascii="Arial" w:hAnsi="Arial" w:cs="Arial"/>
                <w:sz w:val="16"/>
                <w:szCs w:val="16"/>
              </w:rPr>
              <w:t>Depreciation/amortisation expense</w:t>
            </w:r>
          </w:p>
        </w:tc>
        <w:tc>
          <w:tcPr>
            <w:tcW w:w="895" w:type="dxa"/>
            <w:tcBorders>
              <w:top w:val="nil"/>
              <w:left w:val="nil"/>
              <w:bottom w:val="nil"/>
              <w:right w:val="nil"/>
            </w:tcBorders>
            <w:shd w:val="clear" w:color="auto" w:fill="auto"/>
            <w:noWrap/>
            <w:vAlign w:val="bottom"/>
            <w:hideMark/>
          </w:tcPr>
          <w:p w14:paraId="7A2729C2" w14:textId="56D9BBC6"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4B79E77E" w14:textId="7777777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(3,297)</w:t>
            </w:r>
          </w:p>
        </w:tc>
        <w:tc>
          <w:tcPr>
            <w:tcW w:w="1140" w:type="dxa"/>
            <w:tcBorders>
              <w:top w:val="nil"/>
              <w:left w:val="nil"/>
              <w:bottom w:val="nil"/>
              <w:right w:val="nil"/>
            </w:tcBorders>
            <w:shd w:val="clear" w:color="auto" w:fill="auto"/>
            <w:noWrap/>
            <w:vAlign w:val="bottom"/>
            <w:hideMark/>
          </w:tcPr>
          <w:p w14:paraId="1EB2BBE5" w14:textId="7777777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(10,943)</w:t>
            </w:r>
          </w:p>
        </w:tc>
        <w:tc>
          <w:tcPr>
            <w:tcW w:w="992" w:type="dxa"/>
            <w:tcBorders>
              <w:top w:val="nil"/>
              <w:left w:val="nil"/>
              <w:bottom w:val="nil"/>
              <w:right w:val="nil"/>
            </w:tcBorders>
            <w:shd w:val="clear" w:color="auto" w:fill="auto"/>
            <w:noWrap/>
            <w:vAlign w:val="bottom"/>
            <w:hideMark/>
          </w:tcPr>
          <w:p w14:paraId="49DF01FA" w14:textId="7777777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(14,240)</w:t>
            </w:r>
          </w:p>
        </w:tc>
      </w:tr>
      <w:tr w:rsidR="003C3292" w:rsidRPr="003C3292" w14:paraId="6F9DF3BE" w14:textId="77777777" w:rsidTr="00875F80">
        <w:trPr>
          <w:trHeight w:val="204"/>
        </w:trPr>
        <w:tc>
          <w:tcPr>
            <w:tcW w:w="3544" w:type="dxa"/>
            <w:tcBorders>
              <w:top w:val="nil"/>
              <w:left w:val="nil"/>
              <w:bottom w:val="nil"/>
              <w:right w:val="nil"/>
            </w:tcBorders>
            <w:shd w:val="clear" w:color="auto" w:fill="auto"/>
            <w:vAlign w:val="center"/>
            <w:hideMark/>
          </w:tcPr>
          <w:p w14:paraId="59E51E40" w14:textId="543FDED0" w:rsidR="003C3292" w:rsidRPr="003C3292" w:rsidRDefault="003C3292" w:rsidP="003C3292">
            <w:pPr>
              <w:spacing w:after="0" w:line="240" w:lineRule="auto"/>
              <w:ind w:left="113"/>
              <w:jc w:val="left"/>
              <w:rPr>
                <w:rFonts w:ascii="Arial" w:hAnsi="Arial" w:cs="Arial"/>
                <w:sz w:val="16"/>
                <w:szCs w:val="16"/>
              </w:rPr>
            </w:pPr>
            <w:r w:rsidRPr="003C3292">
              <w:rPr>
                <w:rFonts w:ascii="Arial" w:hAnsi="Arial" w:cs="Arial"/>
                <w:sz w:val="16"/>
                <w:szCs w:val="16"/>
              </w:rPr>
              <w:t>Depreciation/amortisation on ROU assets</w:t>
            </w:r>
          </w:p>
        </w:tc>
        <w:tc>
          <w:tcPr>
            <w:tcW w:w="895" w:type="dxa"/>
            <w:tcBorders>
              <w:top w:val="nil"/>
              <w:left w:val="nil"/>
              <w:bottom w:val="nil"/>
              <w:right w:val="nil"/>
            </w:tcBorders>
            <w:shd w:val="clear" w:color="auto" w:fill="auto"/>
            <w:noWrap/>
            <w:vAlign w:val="bottom"/>
            <w:hideMark/>
          </w:tcPr>
          <w:p w14:paraId="45C66CAB" w14:textId="7777777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(10,143)</w:t>
            </w:r>
          </w:p>
        </w:tc>
        <w:tc>
          <w:tcPr>
            <w:tcW w:w="964" w:type="dxa"/>
            <w:tcBorders>
              <w:top w:val="nil"/>
              <w:left w:val="nil"/>
              <w:bottom w:val="nil"/>
              <w:right w:val="nil"/>
            </w:tcBorders>
            <w:shd w:val="clear" w:color="auto" w:fill="auto"/>
            <w:noWrap/>
            <w:vAlign w:val="bottom"/>
            <w:hideMark/>
          </w:tcPr>
          <w:p w14:paraId="6843B9C8" w14:textId="7A058C71"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14:paraId="093B0972" w14:textId="41E9D25F"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38E62172" w14:textId="7777777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(10,143)</w:t>
            </w:r>
          </w:p>
        </w:tc>
      </w:tr>
      <w:tr w:rsidR="003C3292" w:rsidRPr="003C3292" w14:paraId="0D5888BA" w14:textId="77777777" w:rsidTr="00875F80">
        <w:trPr>
          <w:trHeight w:val="204"/>
        </w:trPr>
        <w:tc>
          <w:tcPr>
            <w:tcW w:w="3544" w:type="dxa"/>
            <w:tcBorders>
              <w:top w:val="nil"/>
              <w:left w:val="nil"/>
              <w:bottom w:val="nil"/>
              <w:right w:val="nil"/>
            </w:tcBorders>
            <w:shd w:val="clear" w:color="auto" w:fill="auto"/>
            <w:vAlign w:val="bottom"/>
            <w:hideMark/>
          </w:tcPr>
          <w:p w14:paraId="199CBE5B" w14:textId="77777777" w:rsidR="003C3292" w:rsidRPr="003C3292" w:rsidRDefault="003C3292" w:rsidP="003C3292">
            <w:pPr>
              <w:spacing w:after="0" w:line="240" w:lineRule="auto"/>
              <w:ind w:left="113"/>
              <w:jc w:val="left"/>
              <w:rPr>
                <w:rFonts w:ascii="Arial" w:hAnsi="Arial" w:cs="Arial"/>
                <w:sz w:val="16"/>
                <w:szCs w:val="16"/>
              </w:rPr>
            </w:pPr>
            <w:r w:rsidRPr="003C3292">
              <w:rPr>
                <w:rFonts w:ascii="Arial" w:hAnsi="Arial" w:cs="Arial"/>
                <w:sz w:val="16"/>
                <w:szCs w:val="16"/>
              </w:rPr>
              <w:t>Other</w:t>
            </w:r>
          </w:p>
        </w:tc>
        <w:tc>
          <w:tcPr>
            <w:tcW w:w="895" w:type="dxa"/>
            <w:tcBorders>
              <w:top w:val="nil"/>
              <w:left w:val="nil"/>
              <w:bottom w:val="nil"/>
              <w:right w:val="nil"/>
            </w:tcBorders>
            <w:shd w:val="clear" w:color="auto" w:fill="auto"/>
            <w:noWrap/>
            <w:vAlign w:val="bottom"/>
            <w:hideMark/>
          </w:tcPr>
          <w:p w14:paraId="2D3F6620" w14:textId="2F6708AC" w:rsidR="003C3292" w:rsidRPr="003C3292" w:rsidRDefault="00307BC3" w:rsidP="00216C12">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743DB4E3" w14:textId="09FD5D58" w:rsidR="003C3292" w:rsidRPr="003C3292" w:rsidRDefault="00307BC3" w:rsidP="00216C12">
            <w:pPr>
              <w:spacing w:after="0" w:line="240" w:lineRule="auto"/>
              <w:jc w:val="right"/>
              <w:rPr>
                <w:rFonts w:ascii="Times New Roman" w:hAnsi="Times New Roman"/>
              </w:rPr>
            </w:pPr>
            <w:r>
              <w:rPr>
                <w:rFonts w:ascii="Times New Roman" w:hAnsi="Times New Roman"/>
              </w:rPr>
              <w:t>-</w:t>
            </w:r>
          </w:p>
        </w:tc>
        <w:tc>
          <w:tcPr>
            <w:tcW w:w="1140" w:type="dxa"/>
            <w:tcBorders>
              <w:top w:val="nil"/>
              <w:left w:val="nil"/>
              <w:bottom w:val="nil"/>
              <w:right w:val="nil"/>
            </w:tcBorders>
            <w:shd w:val="clear" w:color="auto" w:fill="auto"/>
            <w:noWrap/>
            <w:vAlign w:val="bottom"/>
            <w:hideMark/>
          </w:tcPr>
          <w:p w14:paraId="7E514B71" w14:textId="7777777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(1)</w:t>
            </w:r>
          </w:p>
        </w:tc>
        <w:tc>
          <w:tcPr>
            <w:tcW w:w="992" w:type="dxa"/>
            <w:tcBorders>
              <w:top w:val="nil"/>
              <w:left w:val="nil"/>
              <w:bottom w:val="nil"/>
              <w:right w:val="nil"/>
            </w:tcBorders>
            <w:shd w:val="clear" w:color="auto" w:fill="auto"/>
            <w:noWrap/>
            <w:vAlign w:val="bottom"/>
            <w:hideMark/>
          </w:tcPr>
          <w:p w14:paraId="0FC82C4F" w14:textId="7777777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(1)</w:t>
            </w:r>
          </w:p>
        </w:tc>
      </w:tr>
      <w:tr w:rsidR="003C3292" w:rsidRPr="003C3292" w14:paraId="509F37E4" w14:textId="77777777" w:rsidTr="00875F80">
        <w:trPr>
          <w:trHeight w:val="204"/>
        </w:trPr>
        <w:tc>
          <w:tcPr>
            <w:tcW w:w="3544" w:type="dxa"/>
            <w:tcBorders>
              <w:top w:val="nil"/>
              <w:left w:val="nil"/>
              <w:right w:val="nil"/>
            </w:tcBorders>
            <w:shd w:val="clear" w:color="auto" w:fill="auto"/>
            <w:vAlign w:val="center"/>
            <w:hideMark/>
          </w:tcPr>
          <w:p w14:paraId="1881F9A0" w14:textId="77777777" w:rsidR="003C3292" w:rsidRPr="003C3292" w:rsidRDefault="003C3292" w:rsidP="003C3292">
            <w:pPr>
              <w:spacing w:after="0" w:line="240" w:lineRule="auto"/>
              <w:ind w:left="113"/>
              <w:jc w:val="left"/>
              <w:rPr>
                <w:rFonts w:ascii="Arial" w:hAnsi="Arial" w:cs="Arial"/>
                <w:sz w:val="16"/>
                <w:szCs w:val="16"/>
              </w:rPr>
            </w:pPr>
            <w:r w:rsidRPr="003C3292">
              <w:rPr>
                <w:rFonts w:ascii="Arial" w:hAnsi="Arial" w:cs="Arial"/>
                <w:sz w:val="16"/>
                <w:szCs w:val="16"/>
              </w:rPr>
              <w:t>Other - ROU assets</w:t>
            </w:r>
          </w:p>
        </w:tc>
        <w:tc>
          <w:tcPr>
            <w:tcW w:w="895" w:type="dxa"/>
            <w:tcBorders>
              <w:top w:val="nil"/>
              <w:left w:val="nil"/>
              <w:bottom w:val="nil"/>
              <w:right w:val="nil"/>
            </w:tcBorders>
            <w:shd w:val="clear" w:color="auto" w:fill="auto"/>
            <w:noWrap/>
            <w:vAlign w:val="bottom"/>
            <w:hideMark/>
          </w:tcPr>
          <w:p w14:paraId="4D522F7D" w14:textId="42386226"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1</w:t>
            </w:r>
          </w:p>
        </w:tc>
        <w:tc>
          <w:tcPr>
            <w:tcW w:w="964" w:type="dxa"/>
            <w:tcBorders>
              <w:top w:val="nil"/>
              <w:left w:val="nil"/>
              <w:bottom w:val="nil"/>
              <w:right w:val="nil"/>
            </w:tcBorders>
            <w:shd w:val="clear" w:color="auto" w:fill="auto"/>
            <w:noWrap/>
            <w:vAlign w:val="bottom"/>
            <w:hideMark/>
          </w:tcPr>
          <w:p w14:paraId="64F4A95F" w14:textId="081A2B44"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w:t>
            </w:r>
          </w:p>
        </w:tc>
        <w:tc>
          <w:tcPr>
            <w:tcW w:w="1140" w:type="dxa"/>
            <w:tcBorders>
              <w:top w:val="nil"/>
              <w:left w:val="nil"/>
              <w:bottom w:val="nil"/>
              <w:right w:val="nil"/>
            </w:tcBorders>
            <w:shd w:val="clear" w:color="auto" w:fill="auto"/>
            <w:noWrap/>
            <w:vAlign w:val="bottom"/>
            <w:hideMark/>
          </w:tcPr>
          <w:p w14:paraId="19128EFC" w14:textId="63F37FC9" w:rsidR="003C3292" w:rsidRPr="003C3292" w:rsidRDefault="00307BC3" w:rsidP="00216C12">
            <w:pPr>
              <w:spacing w:after="0" w:line="240" w:lineRule="auto"/>
              <w:jc w:val="right"/>
              <w:rPr>
                <w:rFonts w:ascii="Arial" w:hAnsi="Arial" w:cs="Arial"/>
                <w:sz w:val="16"/>
                <w:szCs w:val="16"/>
              </w:rPr>
            </w:pPr>
            <w:r>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78041B7B" w14:textId="6EFA92E9"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1</w:t>
            </w:r>
          </w:p>
        </w:tc>
      </w:tr>
      <w:tr w:rsidR="003C3292" w:rsidRPr="003C3292" w14:paraId="4A81BA0A" w14:textId="77777777" w:rsidTr="00875F80">
        <w:trPr>
          <w:trHeight w:val="204"/>
        </w:trPr>
        <w:tc>
          <w:tcPr>
            <w:tcW w:w="3544" w:type="dxa"/>
            <w:tcBorders>
              <w:top w:val="nil"/>
              <w:left w:val="nil"/>
              <w:right w:val="nil"/>
            </w:tcBorders>
            <w:shd w:val="clear" w:color="auto" w:fill="auto"/>
            <w:vAlign w:val="bottom"/>
            <w:hideMark/>
          </w:tcPr>
          <w:p w14:paraId="07300990" w14:textId="77777777" w:rsidR="003C3292" w:rsidRPr="003C3292" w:rsidRDefault="003C3292" w:rsidP="003C3292">
            <w:pPr>
              <w:spacing w:after="0" w:line="240" w:lineRule="auto"/>
              <w:ind w:firstLineChars="100" w:firstLine="160"/>
              <w:jc w:val="left"/>
              <w:rPr>
                <w:rFonts w:ascii="Arial" w:hAnsi="Arial" w:cs="Arial"/>
                <w:b/>
                <w:bCs/>
                <w:sz w:val="16"/>
                <w:szCs w:val="16"/>
              </w:rPr>
            </w:pPr>
            <w:r w:rsidRPr="003C3292">
              <w:rPr>
                <w:rFonts w:ascii="Arial" w:hAnsi="Arial" w:cs="Arial"/>
                <w:b/>
                <w:bCs/>
                <w:sz w:val="16"/>
                <w:szCs w:val="16"/>
              </w:rPr>
              <w:t>Total other movements</w:t>
            </w:r>
          </w:p>
        </w:tc>
        <w:tc>
          <w:tcPr>
            <w:tcW w:w="895" w:type="dxa"/>
            <w:tcBorders>
              <w:top w:val="single" w:sz="4" w:space="0" w:color="auto"/>
              <w:left w:val="nil"/>
              <w:bottom w:val="single" w:sz="4" w:space="0" w:color="auto"/>
              <w:right w:val="nil"/>
            </w:tcBorders>
            <w:shd w:val="clear" w:color="auto" w:fill="auto"/>
            <w:noWrap/>
            <w:vAlign w:val="bottom"/>
            <w:hideMark/>
          </w:tcPr>
          <w:p w14:paraId="58EB83B9" w14:textId="77777777" w:rsidR="003C3292" w:rsidRPr="003C3292" w:rsidRDefault="003C3292" w:rsidP="00216C12">
            <w:pPr>
              <w:spacing w:after="0" w:line="240" w:lineRule="auto"/>
              <w:jc w:val="right"/>
              <w:rPr>
                <w:rFonts w:ascii="Arial" w:hAnsi="Arial" w:cs="Arial"/>
                <w:b/>
                <w:bCs/>
                <w:sz w:val="16"/>
                <w:szCs w:val="16"/>
              </w:rPr>
            </w:pPr>
            <w:r w:rsidRPr="003C3292">
              <w:rPr>
                <w:rFonts w:ascii="Arial" w:hAnsi="Arial" w:cs="Arial"/>
                <w:b/>
                <w:bCs/>
                <w:sz w:val="16"/>
                <w:szCs w:val="16"/>
              </w:rPr>
              <w:t>(10,142)</w:t>
            </w:r>
          </w:p>
        </w:tc>
        <w:tc>
          <w:tcPr>
            <w:tcW w:w="964" w:type="dxa"/>
            <w:tcBorders>
              <w:top w:val="single" w:sz="4" w:space="0" w:color="auto"/>
              <w:left w:val="nil"/>
              <w:bottom w:val="single" w:sz="4" w:space="0" w:color="auto"/>
              <w:right w:val="nil"/>
            </w:tcBorders>
            <w:shd w:val="clear" w:color="auto" w:fill="auto"/>
            <w:noWrap/>
            <w:vAlign w:val="bottom"/>
            <w:hideMark/>
          </w:tcPr>
          <w:p w14:paraId="5E2922B4" w14:textId="77777777" w:rsidR="003C3292" w:rsidRPr="003C3292" w:rsidRDefault="003C3292" w:rsidP="00216C12">
            <w:pPr>
              <w:spacing w:after="0" w:line="240" w:lineRule="auto"/>
              <w:jc w:val="right"/>
              <w:rPr>
                <w:rFonts w:ascii="Arial" w:hAnsi="Arial" w:cs="Arial"/>
                <w:b/>
                <w:bCs/>
                <w:sz w:val="16"/>
                <w:szCs w:val="16"/>
              </w:rPr>
            </w:pPr>
            <w:r w:rsidRPr="003C3292">
              <w:rPr>
                <w:rFonts w:ascii="Arial" w:hAnsi="Arial" w:cs="Arial"/>
                <w:b/>
                <w:bCs/>
                <w:sz w:val="16"/>
                <w:szCs w:val="16"/>
              </w:rPr>
              <w:t>(3,297)</w:t>
            </w:r>
          </w:p>
        </w:tc>
        <w:tc>
          <w:tcPr>
            <w:tcW w:w="1140" w:type="dxa"/>
            <w:tcBorders>
              <w:top w:val="single" w:sz="4" w:space="0" w:color="auto"/>
              <w:left w:val="nil"/>
              <w:bottom w:val="single" w:sz="4" w:space="0" w:color="auto"/>
              <w:right w:val="nil"/>
            </w:tcBorders>
            <w:shd w:val="clear" w:color="auto" w:fill="auto"/>
            <w:noWrap/>
            <w:vAlign w:val="bottom"/>
            <w:hideMark/>
          </w:tcPr>
          <w:p w14:paraId="6B252CB4" w14:textId="77777777" w:rsidR="003C3292" w:rsidRPr="003C3292" w:rsidRDefault="003C3292" w:rsidP="00216C12">
            <w:pPr>
              <w:spacing w:after="0" w:line="240" w:lineRule="auto"/>
              <w:jc w:val="right"/>
              <w:rPr>
                <w:rFonts w:ascii="Arial" w:hAnsi="Arial" w:cs="Arial"/>
                <w:b/>
                <w:bCs/>
                <w:sz w:val="16"/>
                <w:szCs w:val="16"/>
              </w:rPr>
            </w:pPr>
            <w:r w:rsidRPr="003C3292">
              <w:rPr>
                <w:rFonts w:ascii="Arial" w:hAnsi="Arial" w:cs="Arial"/>
                <w:b/>
                <w:bCs/>
                <w:sz w:val="16"/>
                <w:szCs w:val="16"/>
              </w:rPr>
              <w:t>(10,944)</w:t>
            </w:r>
          </w:p>
        </w:tc>
        <w:tc>
          <w:tcPr>
            <w:tcW w:w="992" w:type="dxa"/>
            <w:tcBorders>
              <w:top w:val="single" w:sz="4" w:space="0" w:color="auto"/>
              <w:left w:val="nil"/>
              <w:bottom w:val="single" w:sz="4" w:space="0" w:color="auto"/>
              <w:right w:val="nil"/>
            </w:tcBorders>
            <w:shd w:val="clear" w:color="auto" w:fill="auto"/>
            <w:noWrap/>
            <w:vAlign w:val="bottom"/>
            <w:hideMark/>
          </w:tcPr>
          <w:p w14:paraId="0C30E304" w14:textId="77777777" w:rsidR="003C3292" w:rsidRPr="003C3292" w:rsidRDefault="003C3292" w:rsidP="00216C12">
            <w:pPr>
              <w:spacing w:after="0" w:line="240" w:lineRule="auto"/>
              <w:jc w:val="right"/>
              <w:rPr>
                <w:rFonts w:ascii="Arial" w:hAnsi="Arial" w:cs="Arial"/>
                <w:b/>
                <w:bCs/>
                <w:sz w:val="16"/>
                <w:szCs w:val="16"/>
              </w:rPr>
            </w:pPr>
            <w:r w:rsidRPr="003C3292">
              <w:rPr>
                <w:rFonts w:ascii="Arial" w:hAnsi="Arial" w:cs="Arial"/>
                <w:b/>
                <w:bCs/>
                <w:sz w:val="16"/>
                <w:szCs w:val="16"/>
              </w:rPr>
              <w:t>(24,383)</w:t>
            </w:r>
          </w:p>
        </w:tc>
      </w:tr>
      <w:tr w:rsidR="003C3292" w:rsidRPr="003C3292" w14:paraId="60EFC64D" w14:textId="77777777" w:rsidTr="00875F80">
        <w:trPr>
          <w:trHeight w:val="204"/>
        </w:trPr>
        <w:tc>
          <w:tcPr>
            <w:tcW w:w="3544" w:type="dxa"/>
            <w:tcBorders>
              <w:top w:val="nil"/>
              <w:left w:val="nil"/>
              <w:bottom w:val="nil"/>
              <w:right w:val="nil"/>
            </w:tcBorders>
            <w:shd w:val="clear" w:color="auto" w:fill="auto"/>
            <w:vAlign w:val="bottom"/>
            <w:hideMark/>
          </w:tcPr>
          <w:p w14:paraId="6DCAE434" w14:textId="77777777" w:rsidR="003C3292" w:rsidRPr="003C3292" w:rsidRDefault="003C3292" w:rsidP="003C3292">
            <w:pPr>
              <w:spacing w:after="0" w:line="240" w:lineRule="auto"/>
              <w:jc w:val="left"/>
              <w:rPr>
                <w:rFonts w:ascii="Arial" w:hAnsi="Arial" w:cs="Arial"/>
                <w:b/>
                <w:bCs/>
                <w:sz w:val="16"/>
                <w:szCs w:val="16"/>
              </w:rPr>
            </w:pPr>
            <w:r w:rsidRPr="003C3292">
              <w:rPr>
                <w:rFonts w:ascii="Arial" w:hAnsi="Arial" w:cs="Arial"/>
                <w:b/>
                <w:bCs/>
                <w:sz w:val="16"/>
                <w:szCs w:val="16"/>
              </w:rPr>
              <w:t>As at 30 June 2022</w:t>
            </w:r>
          </w:p>
        </w:tc>
        <w:tc>
          <w:tcPr>
            <w:tcW w:w="895" w:type="dxa"/>
            <w:tcBorders>
              <w:top w:val="nil"/>
              <w:left w:val="nil"/>
              <w:bottom w:val="nil"/>
              <w:right w:val="nil"/>
            </w:tcBorders>
            <w:shd w:val="clear" w:color="auto" w:fill="auto"/>
            <w:noWrap/>
            <w:vAlign w:val="bottom"/>
            <w:hideMark/>
          </w:tcPr>
          <w:p w14:paraId="1BA17F2D" w14:textId="77777777" w:rsidR="003C3292" w:rsidRPr="003C3292" w:rsidRDefault="003C3292" w:rsidP="00216C12">
            <w:pPr>
              <w:spacing w:after="0" w:line="240" w:lineRule="auto"/>
              <w:jc w:val="right"/>
              <w:rPr>
                <w:rFonts w:ascii="Arial" w:hAnsi="Arial" w:cs="Arial"/>
                <w:b/>
                <w:bCs/>
                <w:sz w:val="16"/>
                <w:szCs w:val="16"/>
              </w:rPr>
            </w:pPr>
          </w:p>
        </w:tc>
        <w:tc>
          <w:tcPr>
            <w:tcW w:w="964" w:type="dxa"/>
            <w:tcBorders>
              <w:top w:val="nil"/>
              <w:left w:val="nil"/>
              <w:bottom w:val="nil"/>
              <w:right w:val="nil"/>
            </w:tcBorders>
            <w:shd w:val="clear" w:color="auto" w:fill="auto"/>
            <w:noWrap/>
            <w:vAlign w:val="bottom"/>
            <w:hideMark/>
          </w:tcPr>
          <w:p w14:paraId="1D98A490" w14:textId="77777777" w:rsidR="003C3292" w:rsidRPr="003C3292" w:rsidRDefault="003C3292" w:rsidP="00216C12">
            <w:pPr>
              <w:spacing w:after="0" w:line="240" w:lineRule="auto"/>
              <w:jc w:val="right"/>
              <w:rPr>
                <w:rFonts w:ascii="Times New Roman" w:hAnsi="Times New Roman"/>
              </w:rPr>
            </w:pPr>
          </w:p>
        </w:tc>
        <w:tc>
          <w:tcPr>
            <w:tcW w:w="1140" w:type="dxa"/>
            <w:tcBorders>
              <w:top w:val="nil"/>
              <w:left w:val="nil"/>
              <w:bottom w:val="nil"/>
              <w:right w:val="nil"/>
            </w:tcBorders>
            <w:shd w:val="clear" w:color="auto" w:fill="auto"/>
            <w:noWrap/>
            <w:vAlign w:val="bottom"/>
            <w:hideMark/>
          </w:tcPr>
          <w:p w14:paraId="03EDD92B" w14:textId="77777777" w:rsidR="003C3292" w:rsidRPr="003C3292" w:rsidRDefault="003C3292" w:rsidP="00216C12">
            <w:pPr>
              <w:spacing w:after="0" w:line="240" w:lineRule="auto"/>
              <w:jc w:val="right"/>
              <w:rPr>
                <w:rFonts w:ascii="Times New Roman" w:hAnsi="Times New Roman"/>
              </w:rPr>
            </w:pPr>
          </w:p>
        </w:tc>
        <w:tc>
          <w:tcPr>
            <w:tcW w:w="992" w:type="dxa"/>
            <w:tcBorders>
              <w:top w:val="nil"/>
              <w:left w:val="nil"/>
              <w:bottom w:val="nil"/>
              <w:right w:val="nil"/>
            </w:tcBorders>
            <w:shd w:val="clear" w:color="auto" w:fill="auto"/>
            <w:noWrap/>
            <w:vAlign w:val="bottom"/>
            <w:hideMark/>
          </w:tcPr>
          <w:p w14:paraId="56B10A94" w14:textId="77777777" w:rsidR="003C3292" w:rsidRPr="003C3292" w:rsidRDefault="003C3292" w:rsidP="00216C12">
            <w:pPr>
              <w:spacing w:after="0" w:line="240" w:lineRule="auto"/>
              <w:jc w:val="right"/>
              <w:rPr>
                <w:rFonts w:ascii="Times New Roman" w:hAnsi="Times New Roman"/>
              </w:rPr>
            </w:pPr>
          </w:p>
        </w:tc>
      </w:tr>
      <w:tr w:rsidR="003C3292" w:rsidRPr="003C3292" w14:paraId="10E44D4E" w14:textId="77777777" w:rsidTr="00875F80">
        <w:trPr>
          <w:trHeight w:val="204"/>
        </w:trPr>
        <w:tc>
          <w:tcPr>
            <w:tcW w:w="3544" w:type="dxa"/>
            <w:tcBorders>
              <w:top w:val="nil"/>
              <w:left w:val="nil"/>
              <w:bottom w:val="nil"/>
              <w:right w:val="nil"/>
            </w:tcBorders>
            <w:shd w:val="clear" w:color="auto" w:fill="auto"/>
            <w:vAlign w:val="center"/>
            <w:hideMark/>
          </w:tcPr>
          <w:p w14:paraId="69975F72" w14:textId="77777777" w:rsidR="003C3292" w:rsidRPr="003C3292" w:rsidRDefault="003C3292" w:rsidP="003C3292">
            <w:pPr>
              <w:spacing w:after="0" w:line="240" w:lineRule="auto"/>
              <w:ind w:left="113"/>
              <w:jc w:val="left"/>
              <w:rPr>
                <w:rFonts w:ascii="Arial" w:hAnsi="Arial" w:cs="Arial"/>
                <w:sz w:val="16"/>
                <w:szCs w:val="16"/>
              </w:rPr>
            </w:pPr>
            <w:r w:rsidRPr="003C3292">
              <w:rPr>
                <w:rFonts w:ascii="Arial" w:hAnsi="Arial" w:cs="Arial"/>
                <w:sz w:val="16"/>
                <w:szCs w:val="16"/>
              </w:rPr>
              <w:t>Gross book value</w:t>
            </w:r>
          </w:p>
        </w:tc>
        <w:tc>
          <w:tcPr>
            <w:tcW w:w="895" w:type="dxa"/>
            <w:tcBorders>
              <w:top w:val="nil"/>
              <w:left w:val="nil"/>
              <w:bottom w:val="nil"/>
              <w:right w:val="nil"/>
            </w:tcBorders>
            <w:shd w:val="clear" w:color="auto" w:fill="auto"/>
            <w:noWrap/>
            <w:vAlign w:val="bottom"/>
            <w:hideMark/>
          </w:tcPr>
          <w:p w14:paraId="6F3592B2" w14:textId="1DE2F23A"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7549A149" w14:textId="26735F08"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16,278</w:t>
            </w:r>
          </w:p>
        </w:tc>
        <w:tc>
          <w:tcPr>
            <w:tcW w:w="1140" w:type="dxa"/>
            <w:tcBorders>
              <w:top w:val="nil"/>
              <w:left w:val="nil"/>
              <w:bottom w:val="nil"/>
              <w:right w:val="nil"/>
            </w:tcBorders>
            <w:shd w:val="clear" w:color="auto" w:fill="auto"/>
            <w:noWrap/>
            <w:vAlign w:val="bottom"/>
            <w:hideMark/>
          </w:tcPr>
          <w:p w14:paraId="24BD59A5" w14:textId="33118615"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96,126</w:t>
            </w:r>
          </w:p>
        </w:tc>
        <w:tc>
          <w:tcPr>
            <w:tcW w:w="992" w:type="dxa"/>
            <w:tcBorders>
              <w:top w:val="nil"/>
              <w:left w:val="nil"/>
              <w:bottom w:val="nil"/>
              <w:right w:val="nil"/>
            </w:tcBorders>
            <w:shd w:val="clear" w:color="auto" w:fill="auto"/>
            <w:noWrap/>
            <w:vAlign w:val="bottom"/>
            <w:hideMark/>
          </w:tcPr>
          <w:p w14:paraId="0F24C69E" w14:textId="425194BE"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112,404</w:t>
            </w:r>
          </w:p>
        </w:tc>
      </w:tr>
      <w:tr w:rsidR="003C3292" w:rsidRPr="003C3292" w14:paraId="33E0F8E1" w14:textId="77777777" w:rsidTr="00875F80">
        <w:trPr>
          <w:trHeight w:val="204"/>
        </w:trPr>
        <w:tc>
          <w:tcPr>
            <w:tcW w:w="3544" w:type="dxa"/>
            <w:tcBorders>
              <w:top w:val="nil"/>
              <w:left w:val="nil"/>
              <w:bottom w:val="nil"/>
              <w:right w:val="nil"/>
            </w:tcBorders>
            <w:shd w:val="clear" w:color="auto" w:fill="auto"/>
            <w:vAlign w:val="center"/>
            <w:hideMark/>
          </w:tcPr>
          <w:p w14:paraId="21765BC4" w14:textId="77777777" w:rsidR="003C3292" w:rsidRPr="003C3292" w:rsidRDefault="003C3292" w:rsidP="003C3292">
            <w:pPr>
              <w:spacing w:after="0" w:line="240" w:lineRule="auto"/>
              <w:ind w:left="113"/>
              <w:jc w:val="left"/>
              <w:rPr>
                <w:rFonts w:ascii="Arial" w:hAnsi="Arial" w:cs="Arial"/>
                <w:sz w:val="16"/>
                <w:szCs w:val="16"/>
              </w:rPr>
            </w:pPr>
            <w:r w:rsidRPr="003C3292">
              <w:rPr>
                <w:rFonts w:ascii="Arial" w:hAnsi="Arial" w:cs="Arial"/>
                <w:sz w:val="16"/>
                <w:szCs w:val="16"/>
              </w:rPr>
              <w:t>Gross book value - ROU assets</w:t>
            </w:r>
          </w:p>
        </w:tc>
        <w:tc>
          <w:tcPr>
            <w:tcW w:w="895" w:type="dxa"/>
            <w:tcBorders>
              <w:top w:val="nil"/>
              <w:left w:val="nil"/>
              <w:bottom w:val="nil"/>
              <w:right w:val="nil"/>
            </w:tcBorders>
            <w:shd w:val="clear" w:color="auto" w:fill="auto"/>
            <w:noWrap/>
            <w:vAlign w:val="bottom"/>
            <w:hideMark/>
          </w:tcPr>
          <w:p w14:paraId="54AB2B0B" w14:textId="4EC410F1"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58,443</w:t>
            </w:r>
          </w:p>
        </w:tc>
        <w:tc>
          <w:tcPr>
            <w:tcW w:w="964" w:type="dxa"/>
            <w:tcBorders>
              <w:top w:val="nil"/>
              <w:left w:val="nil"/>
              <w:bottom w:val="nil"/>
              <w:right w:val="nil"/>
            </w:tcBorders>
            <w:shd w:val="clear" w:color="auto" w:fill="auto"/>
            <w:noWrap/>
            <w:vAlign w:val="bottom"/>
            <w:hideMark/>
          </w:tcPr>
          <w:p w14:paraId="459F31B8" w14:textId="52CAD82C"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900</w:t>
            </w:r>
          </w:p>
        </w:tc>
        <w:tc>
          <w:tcPr>
            <w:tcW w:w="1140" w:type="dxa"/>
            <w:tcBorders>
              <w:top w:val="nil"/>
              <w:left w:val="nil"/>
              <w:bottom w:val="nil"/>
              <w:right w:val="nil"/>
            </w:tcBorders>
            <w:shd w:val="clear" w:color="auto" w:fill="auto"/>
            <w:noWrap/>
            <w:vAlign w:val="bottom"/>
            <w:hideMark/>
          </w:tcPr>
          <w:p w14:paraId="074328D4" w14:textId="4AD3FC08"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3681FD58" w14:textId="417895E6"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59,343</w:t>
            </w:r>
          </w:p>
        </w:tc>
      </w:tr>
      <w:tr w:rsidR="003C3292" w:rsidRPr="003C3292" w14:paraId="0D2EBAFA" w14:textId="77777777" w:rsidTr="00875F80">
        <w:trPr>
          <w:trHeight w:val="204"/>
        </w:trPr>
        <w:tc>
          <w:tcPr>
            <w:tcW w:w="3544" w:type="dxa"/>
            <w:tcBorders>
              <w:top w:val="nil"/>
              <w:left w:val="nil"/>
              <w:bottom w:val="nil"/>
              <w:right w:val="nil"/>
            </w:tcBorders>
            <w:shd w:val="clear" w:color="auto" w:fill="auto"/>
            <w:vAlign w:val="center"/>
            <w:hideMark/>
          </w:tcPr>
          <w:p w14:paraId="58B89665" w14:textId="11547803" w:rsidR="003C3292" w:rsidRPr="003C3292" w:rsidRDefault="003C3292" w:rsidP="003C3292">
            <w:pPr>
              <w:spacing w:after="0" w:line="240" w:lineRule="auto"/>
              <w:ind w:left="113"/>
              <w:jc w:val="left"/>
              <w:rPr>
                <w:rFonts w:ascii="Arial" w:hAnsi="Arial" w:cs="Arial"/>
                <w:sz w:val="16"/>
                <w:szCs w:val="16"/>
              </w:rPr>
            </w:pPr>
            <w:r w:rsidRPr="003C3292">
              <w:rPr>
                <w:rFonts w:ascii="Arial" w:hAnsi="Arial" w:cs="Arial"/>
                <w:sz w:val="16"/>
                <w:szCs w:val="16"/>
              </w:rPr>
              <w:t>Accumulated depreciation/amortisation and impairment</w:t>
            </w:r>
          </w:p>
        </w:tc>
        <w:tc>
          <w:tcPr>
            <w:tcW w:w="895" w:type="dxa"/>
            <w:tcBorders>
              <w:top w:val="nil"/>
              <w:left w:val="nil"/>
              <w:bottom w:val="nil"/>
              <w:right w:val="nil"/>
            </w:tcBorders>
            <w:shd w:val="clear" w:color="auto" w:fill="auto"/>
            <w:noWrap/>
            <w:vAlign w:val="bottom"/>
            <w:hideMark/>
          </w:tcPr>
          <w:p w14:paraId="3C6E858C" w14:textId="4A1B6DF9"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77061210" w14:textId="7777777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(3,298)</w:t>
            </w:r>
          </w:p>
        </w:tc>
        <w:tc>
          <w:tcPr>
            <w:tcW w:w="1140" w:type="dxa"/>
            <w:tcBorders>
              <w:top w:val="nil"/>
              <w:left w:val="nil"/>
              <w:bottom w:val="nil"/>
              <w:right w:val="nil"/>
            </w:tcBorders>
            <w:shd w:val="clear" w:color="auto" w:fill="auto"/>
            <w:noWrap/>
            <w:vAlign w:val="bottom"/>
            <w:hideMark/>
          </w:tcPr>
          <w:p w14:paraId="3EEFF795" w14:textId="7777777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(51,374)</w:t>
            </w:r>
          </w:p>
        </w:tc>
        <w:tc>
          <w:tcPr>
            <w:tcW w:w="992" w:type="dxa"/>
            <w:tcBorders>
              <w:top w:val="nil"/>
              <w:left w:val="nil"/>
              <w:bottom w:val="nil"/>
              <w:right w:val="nil"/>
            </w:tcBorders>
            <w:shd w:val="clear" w:color="auto" w:fill="auto"/>
            <w:noWrap/>
            <w:vAlign w:val="bottom"/>
            <w:hideMark/>
          </w:tcPr>
          <w:p w14:paraId="16F9EE11" w14:textId="7777777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(54,672)</w:t>
            </w:r>
          </w:p>
        </w:tc>
      </w:tr>
      <w:tr w:rsidR="003C3292" w:rsidRPr="003C3292" w14:paraId="7F7EC084" w14:textId="77777777" w:rsidTr="00875F80">
        <w:trPr>
          <w:trHeight w:val="204"/>
        </w:trPr>
        <w:tc>
          <w:tcPr>
            <w:tcW w:w="3544" w:type="dxa"/>
            <w:tcBorders>
              <w:top w:val="nil"/>
              <w:left w:val="nil"/>
              <w:bottom w:val="nil"/>
              <w:right w:val="nil"/>
            </w:tcBorders>
            <w:shd w:val="clear" w:color="auto" w:fill="auto"/>
            <w:vAlign w:val="center"/>
            <w:hideMark/>
          </w:tcPr>
          <w:p w14:paraId="54C7B028" w14:textId="77777777" w:rsidR="003C3292" w:rsidRPr="003C3292" w:rsidRDefault="003C3292" w:rsidP="003C3292">
            <w:pPr>
              <w:spacing w:after="0" w:line="240" w:lineRule="auto"/>
              <w:ind w:left="113"/>
              <w:jc w:val="left"/>
              <w:rPr>
                <w:rFonts w:ascii="Arial" w:hAnsi="Arial" w:cs="Arial"/>
                <w:sz w:val="16"/>
                <w:szCs w:val="16"/>
              </w:rPr>
            </w:pPr>
            <w:r w:rsidRPr="003C3292">
              <w:rPr>
                <w:rFonts w:ascii="Arial" w:hAnsi="Arial" w:cs="Arial"/>
                <w:sz w:val="16"/>
                <w:szCs w:val="16"/>
              </w:rPr>
              <w:t>Accumulated depreciation/amortisation and impairment - ROU assets</w:t>
            </w:r>
          </w:p>
        </w:tc>
        <w:tc>
          <w:tcPr>
            <w:tcW w:w="895" w:type="dxa"/>
            <w:tcBorders>
              <w:top w:val="nil"/>
              <w:left w:val="nil"/>
              <w:bottom w:val="nil"/>
              <w:right w:val="nil"/>
            </w:tcBorders>
            <w:shd w:val="clear" w:color="auto" w:fill="auto"/>
            <w:noWrap/>
            <w:vAlign w:val="bottom"/>
            <w:hideMark/>
          </w:tcPr>
          <w:p w14:paraId="0BBDD63C" w14:textId="7777777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(27,231)</w:t>
            </w:r>
          </w:p>
        </w:tc>
        <w:tc>
          <w:tcPr>
            <w:tcW w:w="964" w:type="dxa"/>
            <w:tcBorders>
              <w:top w:val="nil"/>
              <w:left w:val="nil"/>
              <w:bottom w:val="nil"/>
              <w:right w:val="nil"/>
            </w:tcBorders>
            <w:shd w:val="clear" w:color="auto" w:fill="auto"/>
            <w:noWrap/>
            <w:vAlign w:val="bottom"/>
            <w:hideMark/>
          </w:tcPr>
          <w:p w14:paraId="0CD07E43" w14:textId="7777777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(365)</w:t>
            </w:r>
          </w:p>
        </w:tc>
        <w:tc>
          <w:tcPr>
            <w:tcW w:w="1140" w:type="dxa"/>
            <w:tcBorders>
              <w:top w:val="nil"/>
              <w:left w:val="nil"/>
              <w:bottom w:val="nil"/>
              <w:right w:val="nil"/>
            </w:tcBorders>
            <w:shd w:val="clear" w:color="auto" w:fill="auto"/>
            <w:noWrap/>
            <w:vAlign w:val="bottom"/>
            <w:hideMark/>
          </w:tcPr>
          <w:p w14:paraId="3588883D" w14:textId="1956C5FF"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51DF52F7" w14:textId="77777777" w:rsidR="003C3292" w:rsidRPr="003C3292" w:rsidRDefault="003C3292" w:rsidP="00216C12">
            <w:pPr>
              <w:spacing w:after="0" w:line="240" w:lineRule="auto"/>
              <w:jc w:val="right"/>
              <w:rPr>
                <w:rFonts w:ascii="Arial" w:hAnsi="Arial" w:cs="Arial"/>
                <w:sz w:val="16"/>
                <w:szCs w:val="16"/>
              </w:rPr>
            </w:pPr>
            <w:r w:rsidRPr="003C3292">
              <w:rPr>
                <w:rFonts w:ascii="Arial" w:hAnsi="Arial" w:cs="Arial"/>
                <w:sz w:val="16"/>
                <w:szCs w:val="16"/>
              </w:rPr>
              <w:t>(27,596)</w:t>
            </w:r>
          </w:p>
        </w:tc>
      </w:tr>
      <w:tr w:rsidR="003C3292" w:rsidRPr="003C3292" w14:paraId="0ED0D04F" w14:textId="77777777" w:rsidTr="00875F80">
        <w:trPr>
          <w:trHeight w:val="204"/>
        </w:trPr>
        <w:tc>
          <w:tcPr>
            <w:tcW w:w="3544" w:type="dxa"/>
            <w:tcBorders>
              <w:top w:val="nil"/>
              <w:left w:val="nil"/>
              <w:bottom w:val="single" w:sz="4" w:space="0" w:color="auto"/>
              <w:right w:val="nil"/>
            </w:tcBorders>
            <w:shd w:val="clear" w:color="auto" w:fill="auto"/>
            <w:noWrap/>
            <w:vAlign w:val="bottom"/>
            <w:hideMark/>
          </w:tcPr>
          <w:p w14:paraId="3CAC92A5" w14:textId="77777777" w:rsidR="003C3292" w:rsidRPr="003C3292" w:rsidRDefault="003C3292" w:rsidP="003C3292">
            <w:pPr>
              <w:spacing w:after="0" w:line="240" w:lineRule="auto"/>
              <w:jc w:val="left"/>
              <w:rPr>
                <w:rFonts w:ascii="Arial" w:hAnsi="Arial" w:cs="Arial"/>
                <w:b/>
                <w:bCs/>
                <w:sz w:val="16"/>
                <w:szCs w:val="16"/>
              </w:rPr>
            </w:pPr>
            <w:r w:rsidRPr="003C3292">
              <w:rPr>
                <w:rFonts w:ascii="Arial" w:hAnsi="Arial" w:cs="Arial"/>
                <w:b/>
                <w:bCs/>
                <w:sz w:val="16"/>
                <w:szCs w:val="16"/>
              </w:rPr>
              <w:t>Closing net book balance</w:t>
            </w:r>
          </w:p>
        </w:tc>
        <w:tc>
          <w:tcPr>
            <w:tcW w:w="895" w:type="dxa"/>
            <w:tcBorders>
              <w:top w:val="single" w:sz="4" w:space="0" w:color="auto"/>
              <w:left w:val="nil"/>
              <w:bottom w:val="single" w:sz="4" w:space="0" w:color="auto"/>
              <w:right w:val="nil"/>
            </w:tcBorders>
            <w:shd w:val="clear" w:color="auto" w:fill="auto"/>
            <w:noWrap/>
            <w:vAlign w:val="bottom"/>
            <w:hideMark/>
          </w:tcPr>
          <w:p w14:paraId="4382A62C" w14:textId="30F687A0" w:rsidR="003C3292" w:rsidRPr="003C3292" w:rsidRDefault="003C3292" w:rsidP="00216C12">
            <w:pPr>
              <w:spacing w:after="0" w:line="240" w:lineRule="auto"/>
              <w:jc w:val="right"/>
              <w:rPr>
                <w:rFonts w:ascii="Arial" w:hAnsi="Arial" w:cs="Arial"/>
                <w:b/>
                <w:bCs/>
                <w:sz w:val="16"/>
                <w:szCs w:val="16"/>
              </w:rPr>
            </w:pPr>
            <w:r w:rsidRPr="003C3292">
              <w:rPr>
                <w:rFonts w:ascii="Arial" w:hAnsi="Arial" w:cs="Arial"/>
                <w:b/>
                <w:bCs/>
                <w:sz w:val="16"/>
                <w:szCs w:val="16"/>
              </w:rPr>
              <w:t>31,212</w:t>
            </w:r>
          </w:p>
        </w:tc>
        <w:tc>
          <w:tcPr>
            <w:tcW w:w="964" w:type="dxa"/>
            <w:tcBorders>
              <w:top w:val="single" w:sz="4" w:space="0" w:color="auto"/>
              <w:left w:val="nil"/>
              <w:bottom w:val="single" w:sz="4" w:space="0" w:color="auto"/>
              <w:right w:val="nil"/>
            </w:tcBorders>
            <w:shd w:val="clear" w:color="auto" w:fill="auto"/>
            <w:noWrap/>
            <w:vAlign w:val="bottom"/>
            <w:hideMark/>
          </w:tcPr>
          <w:p w14:paraId="062DC4D9" w14:textId="7CBDE39B" w:rsidR="003C3292" w:rsidRPr="003C3292" w:rsidRDefault="003C3292" w:rsidP="00216C12">
            <w:pPr>
              <w:spacing w:after="0" w:line="240" w:lineRule="auto"/>
              <w:jc w:val="right"/>
              <w:rPr>
                <w:rFonts w:ascii="Arial" w:hAnsi="Arial" w:cs="Arial"/>
                <w:b/>
                <w:bCs/>
                <w:sz w:val="16"/>
                <w:szCs w:val="16"/>
              </w:rPr>
            </w:pPr>
            <w:r w:rsidRPr="003C3292">
              <w:rPr>
                <w:rFonts w:ascii="Arial" w:hAnsi="Arial" w:cs="Arial"/>
                <w:b/>
                <w:bCs/>
                <w:sz w:val="16"/>
                <w:szCs w:val="16"/>
              </w:rPr>
              <w:t>13,515</w:t>
            </w:r>
          </w:p>
        </w:tc>
        <w:tc>
          <w:tcPr>
            <w:tcW w:w="1140" w:type="dxa"/>
            <w:tcBorders>
              <w:top w:val="single" w:sz="4" w:space="0" w:color="auto"/>
              <w:left w:val="nil"/>
              <w:bottom w:val="single" w:sz="4" w:space="0" w:color="auto"/>
              <w:right w:val="nil"/>
            </w:tcBorders>
            <w:shd w:val="clear" w:color="auto" w:fill="auto"/>
            <w:noWrap/>
            <w:vAlign w:val="bottom"/>
            <w:hideMark/>
          </w:tcPr>
          <w:p w14:paraId="24E56AA9" w14:textId="1BD1B363" w:rsidR="003C3292" w:rsidRPr="003C3292" w:rsidRDefault="003C3292" w:rsidP="00216C12">
            <w:pPr>
              <w:spacing w:after="0" w:line="240" w:lineRule="auto"/>
              <w:jc w:val="right"/>
              <w:rPr>
                <w:rFonts w:ascii="Arial" w:hAnsi="Arial" w:cs="Arial"/>
                <w:b/>
                <w:bCs/>
                <w:sz w:val="16"/>
                <w:szCs w:val="16"/>
              </w:rPr>
            </w:pPr>
            <w:r w:rsidRPr="003C3292">
              <w:rPr>
                <w:rFonts w:ascii="Arial" w:hAnsi="Arial" w:cs="Arial"/>
                <w:b/>
                <w:bCs/>
                <w:sz w:val="16"/>
                <w:szCs w:val="16"/>
              </w:rPr>
              <w:t>44,752</w:t>
            </w:r>
          </w:p>
        </w:tc>
        <w:tc>
          <w:tcPr>
            <w:tcW w:w="992" w:type="dxa"/>
            <w:tcBorders>
              <w:top w:val="single" w:sz="4" w:space="0" w:color="auto"/>
              <w:left w:val="nil"/>
              <w:bottom w:val="single" w:sz="4" w:space="0" w:color="auto"/>
              <w:right w:val="nil"/>
            </w:tcBorders>
            <w:shd w:val="clear" w:color="auto" w:fill="auto"/>
            <w:noWrap/>
            <w:vAlign w:val="bottom"/>
            <w:hideMark/>
          </w:tcPr>
          <w:p w14:paraId="1039A738" w14:textId="56DB9D07" w:rsidR="003C3292" w:rsidRPr="003C3292" w:rsidRDefault="003C3292" w:rsidP="00216C12">
            <w:pPr>
              <w:spacing w:after="0" w:line="240" w:lineRule="auto"/>
              <w:jc w:val="right"/>
              <w:rPr>
                <w:rFonts w:ascii="Arial" w:hAnsi="Arial" w:cs="Arial"/>
                <w:b/>
                <w:bCs/>
                <w:sz w:val="16"/>
                <w:szCs w:val="16"/>
              </w:rPr>
            </w:pPr>
            <w:r w:rsidRPr="003C3292">
              <w:rPr>
                <w:rFonts w:ascii="Arial" w:hAnsi="Arial" w:cs="Arial"/>
                <w:b/>
                <w:bCs/>
                <w:sz w:val="16"/>
                <w:szCs w:val="16"/>
              </w:rPr>
              <w:t>89,479</w:t>
            </w:r>
          </w:p>
        </w:tc>
      </w:tr>
    </w:tbl>
    <w:p w14:paraId="035B7610" w14:textId="0FE6C24A" w:rsidR="00C17040" w:rsidRPr="007D5711" w:rsidRDefault="007D5711" w:rsidP="00362E40">
      <w:pPr>
        <w:spacing w:beforeLines="30" w:before="72" w:after="0" w:line="240" w:lineRule="auto"/>
        <w:rPr>
          <w:rFonts w:ascii="Arial" w:hAnsi="Arial" w:cs="Arial"/>
          <w:sz w:val="16"/>
          <w:lang w:val="en-US"/>
        </w:rPr>
      </w:pPr>
      <w:r w:rsidRPr="007D5711">
        <w:rPr>
          <w:rFonts w:ascii="Arial" w:hAnsi="Arial" w:cs="Arial"/>
          <w:sz w:val="16"/>
          <w:lang w:val="en-US"/>
        </w:rPr>
        <w:t>Prepared on Australian Accounting Standards basis</w:t>
      </w:r>
      <w:r w:rsidR="00362E40">
        <w:rPr>
          <w:rFonts w:ascii="Arial" w:hAnsi="Arial" w:cs="Arial"/>
          <w:sz w:val="16"/>
          <w:lang w:val="en-US"/>
        </w:rPr>
        <w:t>.</w:t>
      </w:r>
    </w:p>
    <w:p w14:paraId="15F030C8" w14:textId="77777777" w:rsidR="003B710F" w:rsidRDefault="003B710F" w:rsidP="00362E40">
      <w:pPr>
        <w:spacing w:beforeLines="30" w:before="72" w:after="0" w:line="240" w:lineRule="auto"/>
        <w:jc w:val="left"/>
        <w:rPr>
          <w:b/>
          <w:lang w:val="x-none"/>
        </w:rPr>
        <w:sectPr w:rsidR="003B710F" w:rsidSect="003C1698">
          <w:footerReference w:type="even" r:id="rId84"/>
          <w:type w:val="oddPage"/>
          <w:pgSz w:w="11907" w:h="16840" w:code="9"/>
          <w:pgMar w:top="2835" w:right="2098" w:bottom="2466" w:left="2098" w:header="1814" w:footer="1814" w:gutter="0"/>
          <w:cols w:space="720"/>
          <w:titlePg/>
        </w:sectPr>
      </w:pPr>
    </w:p>
    <w:p w14:paraId="217DA97F" w14:textId="217EBB9D" w:rsidR="003B710F" w:rsidRPr="003B710F" w:rsidRDefault="003B710F">
      <w:pPr>
        <w:spacing w:after="0" w:line="240" w:lineRule="auto"/>
        <w:jc w:val="left"/>
        <w:rPr>
          <w:b/>
          <w:lang w:val="x-none"/>
        </w:rPr>
      </w:pPr>
    </w:p>
    <w:p w14:paraId="3349A9BE" w14:textId="7272B245" w:rsidR="009610AF" w:rsidRDefault="00C4608A" w:rsidP="00625914">
      <w:pPr>
        <w:pStyle w:val="PartHeading-NoTOC"/>
      </w:pPr>
      <w:r w:rsidRPr="009610AF">
        <w:t>National Capital Authority</w:t>
      </w:r>
    </w:p>
    <w:p w14:paraId="3646CCE8" w14:textId="77777777" w:rsidR="00625914" w:rsidRPr="009610AF" w:rsidRDefault="00625914" w:rsidP="00625914">
      <w:pPr>
        <w:pStyle w:val="PartHeading-NoTOC"/>
        <w:rPr>
          <w:szCs w:val="52"/>
        </w:rPr>
      </w:pPr>
    </w:p>
    <w:p w14:paraId="5E54BDAD" w14:textId="7D963DEC" w:rsidR="00914885" w:rsidRPr="009610AF" w:rsidRDefault="00914885" w:rsidP="00D17655">
      <w:pPr>
        <w:pStyle w:val="PartHeading-NoTOC"/>
      </w:pPr>
      <w:r w:rsidRPr="009610AF">
        <w:t xml:space="preserve"> Additional Estimates Statements</w:t>
      </w:r>
    </w:p>
    <w:p w14:paraId="73FD7AA0" w14:textId="53D1B71C" w:rsidR="00914885" w:rsidRDefault="00914885" w:rsidP="00914885"/>
    <w:p w14:paraId="2F6A8A75" w14:textId="77777777" w:rsidR="009610AF" w:rsidRPr="0035086F" w:rsidRDefault="009610AF" w:rsidP="00914885">
      <w:pPr>
        <w:sectPr w:rsidR="009610AF" w:rsidRPr="0035086F" w:rsidSect="003C3292">
          <w:headerReference w:type="first" r:id="rId85"/>
          <w:footerReference w:type="first" r:id="rId86"/>
          <w:type w:val="oddPage"/>
          <w:pgSz w:w="11907" w:h="16840" w:code="9"/>
          <w:pgMar w:top="2835" w:right="2098" w:bottom="2466" w:left="2098" w:header="1814" w:footer="1814" w:gutter="0"/>
          <w:cols w:space="720"/>
          <w:vAlign w:val="center"/>
          <w:titlePg/>
        </w:sectPr>
      </w:pPr>
    </w:p>
    <w:p w14:paraId="5E5631BA" w14:textId="15A4AFBC" w:rsidR="00914885" w:rsidRPr="00C4608A" w:rsidRDefault="00C4608A" w:rsidP="00B634FB">
      <w:pPr>
        <w:pStyle w:val="Heading1-NoTOC"/>
        <w:rPr>
          <w:lang w:val="en-US"/>
        </w:rPr>
      </w:pPr>
      <w:r>
        <w:rPr>
          <w:lang w:val="en-US"/>
        </w:rPr>
        <w:lastRenderedPageBreak/>
        <w:t>National Capital Authority</w:t>
      </w:r>
    </w:p>
    <w:p w14:paraId="2EAE6124" w14:textId="1A098500" w:rsidR="004A32F4" w:rsidRDefault="004A32F4">
      <w:pPr>
        <w:pStyle w:val="TOC1"/>
        <w:rPr>
          <w:rFonts w:asciiTheme="minorHAnsi" w:eastAsiaTheme="minorEastAsia" w:hAnsiTheme="minorHAnsi" w:cstheme="minorBidi"/>
          <w:b w:val="0"/>
          <w:noProof/>
          <w:sz w:val="22"/>
          <w:szCs w:val="22"/>
        </w:rPr>
      </w:pPr>
      <w:r>
        <w:fldChar w:fldCharType="begin"/>
      </w:r>
      <w:r>
        <w:instrText xml:space="preserve"> TOC \h \z \t "Heading 2 - TOC NCA,1,Heading 3 NCA,2" </w:instrText>
      </w:r>
      <w:r>
        <w:fldChar w:fldCharType="separate"/>
      </w:r>
      <w:hyperlink w:anchor="_Toc93040839" w:history="1">
        <w:r w:rsidRPr="00C768ED">
          <w:rPr>
            <w:rStyle w:val="Hyperlink"/>
            <w:noProof/>
          </w:rPr>
          <w:t>Section 1: Entity overview and resources</w:t>
        </w:r>
        <w:r>
          <w:rPr>
            <w:noProof/>
            <w:webHidden/>
          </w:rPr>
          <w:tab/>
        </w:r>
        <w:r>
          <w:rPr>
            <w:noProof/>
            <w:webHidden/>
          </w:rPr>
          <w:fldChar w:fldCharType="begin"/>
        </w:r>
        <w:r>
          <w:rPr>
            <w:noProof/>
            <w:webHidden/>
          </w:rPr>
          <w:instrText xml:space="preserve"> PAGEREF _Toc93040839 \h </w:instrText>
        </w:r>
        <w:r>
          <w:rPr>
            <w:noProof/>
            <w:webHidden/>
          </w:rPr>
        </w:r>
        <w:r>
          <w:rPr>
            <w:noProof/>
            <w:webHidden/>
          </w:rPr>
          <w:fldChar w:fldCharType="separate"/>
        </w:r>
        <w:r w:rsidR="003B5862">
          <w:rPr>
            <w:noProof/>
            <w:webHidden/>
          </w:rPr>
          <w:t>119</w:t>
        </w:r>
        <w:r>
          <w:rPr>
            <w:noProof/>
            <w:webHidden/>
          </w:rPr>
          <w:fldChar w:fldCharType="end"/>
        </w:r>
      </w:hyperlink>
    </w:p>
    <w:p w14:paraId="72D167E9" w14:textId="05ADA5D9" w:rsidR="004A32F4" w:rsidRDefault="005616C5">
      <w:pPr>
        <w:pStyle w:val="TOC2"/>
        <w:tabs>
          <w:tab w:val="left" w:pos="660"/>
        </w:tabs>
        <w:rPr>
          <w:rFonts w:asciiTheme="minorHAnsi" w:eastAsiaTheme="minorEastAsia" w:hAnsiTheme="minorHAnsi" w:cstheme="minorBidi"/>
          <w:noProof/>
          <w:sz w:val="22"/>
          <w:szCs w:val="22"/>
        </w:rPr>
      </w:pPr>
      <w:hyperlink w:anchor="_Toc93040840" w:history="1">
        <w:r w:rsidR="004A32F4" w:rsidRPr="00C768ED">
          <w:rPr>
            <w:rStyle w:val="Hyperlink"/>
            <w:noProof/>
          </w:rPr>
          <w:t>1.1</w:t>
        </w:r>
        <w:r w:rsidR="004A32F4">
          <w:rPr>
            <w:rFonts w:asciiTheme="minorHAnsi" w:eastAsiaTheme="minorEastAsia" w:hAnsiTheme="minorHAnsi" w:cstheme="minorBidi"/>
            <w:noProof/>
            <w:sz w:val="22"/>
            <w:szCs w:val="22"/>
          </w:rPr>
          <w:tab/>
        </w:r>
        <w:r w:rsidR="004A32F4" w:rsidRPr="00C768ED">
          <w:rPr>
            <w:rStyle w:val="Hyperlink"/>
            <w:noProof/>
          </w:rPr>
          <w:t>Strategic direction statement</w:t>
        </w:r>
        <w:r w:rsidR="004A32F4">
          <w:rPr>
            <w:noProof/>
            <w:webHidden/>
          </w:rPr>
          <w:tab/>
        </w:r>
        <w:r w:rsidR="004A32F4">
          <w:rPr>
            <w:noProof/>
            <w:webHidden/>
          </w:rPr>
          <w:fldChar w:fldCharType="begin"/>
        </w:r>
        <w:r w:rsidR="004A32F4">
          <w:rPr>
            <w:noProof/>
            <w:webHidden/>
          </w:rPr>
          <w:instrText xml:space="preserve"> PAGEREF _Toc93040840 \h </w:instrText>
        </w:r>
        <w:r w:rsidR="004A32F4">
          <w:rPr>
            <w:noProof/>
            <w:webHidden/>
          </w:rPr>
        </w:r>
        <w:r w:rsidR="004A32F4">
          <w:rPr>
            <w:noProof/>
            <w:webHidden/>
          </w:rPr>
          <w:fldChar w:fldCharType="separate"/>
        </w:r>
        <w:r w:rsidR="003B5862">
          <w:rPr>
            <w:noProof/>
            <w:webHidden/>
          </w:rPr>
          <w:t>119</w:t>
        </w:r>
        <w:r w:rsidR="004A32F4">
          <w:rPr>
            <w:noProof/>
            <w:webHidden/>
          </w:rPr>
          <w:fldChar w:fldCharType="end"/>
        </w:r>
      </w:hyperlink>
    </w:p>
    <w:p w14:paraId="668C3A92" w14:textId="75453EA0" w:rsidR="004A32F4" w:rsidRDefault="005616C5">
      <w:pPr>
        <w:pStyle w:val="TOC2"/>
        <w:tabs>
          <w:tab w:val="left" w:pos="660"/>
        </w:tabs>
        <w:rPr>
          <w:rFonts w:asciiTheme="minorHAnsi" w:eastAsiaTheme="minorEastAsia" w:hAnsiTheme="minorHAnsi" w:cstheme="minorBidi"/>
          <w:noProof/>
          <w:sz w:val="22"/>
          <w:szCs w:val="22"/>
        </w:rPr>
      </w:pPr>
      <w:hyperlink w:anchor="_Toc93040841" w:history="1">
        <w:r w:rsidR="004A32F4" w:rsidRPr="00C768ED">
          <w:rPr>
            <w:rStyle w:val="Hyperlink"/>
            <w:noProof/>
          </w:rPr>
          <w:t>1.2</w:t>
        </w:r>
        <w:r w:rsidR="004A32F4">
          <w:rPr>
            <w:rFonts w:asciiTheme="minorHAnsi" w:eastAsiaTheme="minorEastAsia" w:hAnsiTheme="minorHAnsi" w:cstheme="minorBidi"/>
            <w:noProof/>
            <w:sz w:val="22"/>
            <w:szCs w:val="22"/>
          </w:rPr>
          <w:tab/>
        </w:r>
        <w:r w:rsidR="004A32F4" w:rsidRPr="00C768ED">
          <w:rPr>
            <w:rStyle w:val="Hyperlink"/>
            <w:noProof/>
          </w:rPr>
          <w:t>Entity resource statement</w:t>
        </w:r>
        <w:r w:rsidR="004A32F4">
          <w:rPr>
            <w:noProof/>
            <w:webHidden/>
          </w:rPr>
          <w:tab/>
        </w:r>
        <w:r w:rsidR="004A32F4">
          <w:rPr>
            <w:noProof/>
            <w:webHidden/>
          </w:rPr>
          <w:fldChar w:fldCharType="begin"/>
        </w:r>
        <w:r w:rsidR="004A32F4">
          <w:rPr>
            <w:noProof/>
            <w:webHidden/>
          </w:rPr>
          <w:instrText xml:space="preserve"> PAGEREF _Toc93040841 \h </w:instrText>
        </w:r>
        <w:r w:rsidR="004A32F4">
          <w:rPr>
            <w:noProof/>
            <w:webHidden/>
          </w:rPr>
        </w:r>
        <w:r w:rsidR="004A32F4">
          <w:rPr>
            <w:noProof/>
            <w:webHidden/>
          </w:rPr>
          <w:fldChar w:fldCharType="separate"/>
        </w:r>
        <w:r w:rsidR="003B5862">
          <w:rPr>
            <w:noProof/>
            <w:webHidden/>
          </w:rPr>
          <w:t>121</w:t>
        </w:r>
        <w:r w:rsidR="004A32F4">
          <w:rPr>
            <w:noProof/>
            <w:webHidden/>
          </w:rPr>
          <w:fldChar w:fldCharType="end"/>
        </w:r>
      </w:hyperlink>
    </w:p>
    <w:p w14:paraId="2CAFE6A8" w14:textId="674C7955" w:rsidR="004A32F4" w:rsidRDefault="005616C5">
      <w:pPr>
        <w:pStyle w:val="TOC2"/>
        <w:tabs>
          <w:tab w:val="left" w:pos="660"/>
        </w:tabs>
        <w:rPr>
          <w:rFonts w:asciiTheme="minorHAnsi" w:eastAsiaTheme="minorEastAsia" w:hAnsiTheme="minorHAnsi" w:cstheme="minorBidi"/>
          <w:noProof/>
          <w:sz w:val="22"/>
          <w:szCs w:val="22"/>
        </w:rPr>
      </w:pPr>
      <w:hyperlink w:anchor="_Toc93040842" w:history="1">
        <w:r w:rsidR="004A32F4" w:rsidRPr="00C768ED">
          <w:rPr>
            <w:rStyle w:val="Hyperlink"/>
            <w:noProof/>
          </w:rPr>
          <w:t>1.3</w:t>
        </w:r>
        <w:r w:rsidR="004A32F4">
          <w:rPr>
            <w:rFonts w:asciiTheme="minorHAnsi" w:eastAsiaTheme="minorEastAsia" w:hAnsiTheme="minorHAnsi" w:cstheme="minorBidi"/>
            <w:noProof/>
            <w:sz w:val="22"/>
            <w:szCs w:val="22"/>
          </w:rPr>
          <w:tab/>
        </w:r>
        <w:r w:rsidR="004A32F4" w:rsidRPr="00C768ED">
          <w:rPr>
            <w:rStyle w:val="Hyperlink"/>
            <w:noProof/>
          </w:rPr>
          <w:t>Entity measures</w:t>
        </w:r>
        <w:r w:rsidR="004A32F4">
          <w:rPr>
            <w:noProof/>
            <w:webHidden/>
          </w:rPr>
          <w:tab/>
        </w:r>
        <w:r w:rsidR="004A32F4">
          <w:rPr>
            <w:noProof/>
            <w:webHidden/>
          </w:rPr>
          <w:fldChar w:fldCharType="begin"/>
        </w:r>
        <w:r w:rsidR="004A32F4">
          <w:rPr>
            <w:noProof/>
            <w:webHidden/>
          </w:rPr>
          <w:instrText xml:space="preserve"> PAGEREF _Toc93040842 \h </w:instrText>
        </w:r>
        <w:r w:rsidR="004A32F4">
          <w:rPr>
            <w:noProof/>
            <w:webHidden/>
          </w:rPr>
        </w:r>
        <w:r w:rsidR="004A32F4">
          <w:rPr>
            <w:noProof/>
            <w:webHidden/>
          </w:rPr>
          <w:fldChar w:fldCharType="separate"/>
        </w:r>
        <w:r w:rsidR="003B5862">
          <w:rPr>
            <w:noProof/>
            <w:webHidden/>
          </w:rPr>
          <w:t>122</w:t>
        </w:r>
        <w:r w:rsidR="004A32F4">
          <w:rPr>
            <w:noProof/>
            <w:webHidden/>
          </w:rPr>
          <w:fldChar w:fldCharType="end"/>
        </w:r>
      </w:hyperlink>
    </w:p>
    <w:p w14:paraId="733078EB" w14:textId="191D4C3D" w:rsidR="004A32F4" w:rsidRDefault="005616C5">
      <w:pPr>
        <w:pStyle w:val="TOC2"/>
        <w:tabs>
          <w:tab w:val="left" w:pos="660"/>
        </w:tabs>
        <w:rPr>
          <w:rFonts w:asciiTheme="minorHAnsi" w:eastAsiaTheme="minorEastAsia" w:hAnsiTheme="minorHAnsi" w:cstheme="minorBidi"/>
          <w:noProof/>
          <w:sz w:val="22"/>
          <w:szCs w:val="22"/>
        </w:rPr>
      </w:pPr>
      <w:hyperlink w:anchor="_Toc93040843" w:history="1">
        <w:r w:rsidR="004A32F4" w:rsidRPr="00C768ED">
          <w:rPr>
            <w:rStyle w:val="Hyperlink"/>
            <w:noProof/>
          </w:rPr>
          <w:t>1.4</w:t>
        </w:r>
        <w:r w:rsidR="004A32F4">
          <w:rPr>
            <w:rFonts w:asciiTheme="minorHAnsi" w:eastAsiaTheme="minorEastAsia" w:hAnsiTheme="minorHAnsi" w:cstheme="minorBidi"/>
            <w:noProof/>
            <w:sz w:val="22"/>
            <w:szCs w:val="22"/>
          </w:rPr>
          <w:tab/>
        </w:r>
        <w:r w:rsidR="004A32F4" w:rsidRPr="00C768ED">
          <w:rPr>
            <w:rStyle w:val="Hyperlink"/>
            <w:noProof/>
          </w:rPr>
          <w:t>Additional estimates, resourcing and variations to outcomes</w:t>
        </w:r>
        <w:r w:rsidR="004A32F4">
          <w:rPr>
            <w:noProof/>
            <w:webHidden/>
          </w:rPr>
          <w:tab/>
        </w:r>
        <w:r w:rsidR="004A32F4">
          <w:rPr>
            <w:noProof/>
            <w:webHidden/>
          </w:rPr>
          <w:fldChar w:fldCharType="begin"/>
        </w:r>
        <w:r w:rsidR="004A32F4">
          <w:rPr>
            <w:noProof/>
            <w:webHidden/>
          </w:rPr>
          <w:instrText xml:space="preserve"> PAGEREF _Toc93040843 \h </w:instrText>
        </w:r>
        <w:r w:rsidR="004A32F4">
          <w:rPr>
            <w:noProof/>
            <w:webHidden/>
          </w:rPr>
        </w:r>
        <w:r w:rsidR="004A32F4">
          <w:rPr>
            <w:noProof/>
            <w:webHidden/>
          </w:rPr>
          <w:fldChar w:fldCharType="separate"/>
        </w:r>
        <w:r w:rsidR="003B5862">
          <w:rPr>
            <w:noProof/>
            <w:webHidden/>
          </w:rPr>
          <w:t>122</w:t>
        </w:r>
        <w:r w:rsidR="004A32F4">
          <w:rPr>
            <w:noProof/>
            <w:webHidden/>
          </w:rPr>
          <w:fldChar w:fldCharType="end"/>
        </w:r>
      </w:hyperlink>
    </w:p>
    <w:p w14:paraId="259BD0ED" w14:textId="40E0DA6F" w:rsidR="004A32F4" w:rsidRDefault="005616C5">
      <w:pPr>
        <w:pStyle w:val="TOC2"/>
        <w:tabs>
          <w:tab w:val="left" w:pos="660"/>
        </w:tabs>
        <w:rPr>
          <w:rFonts w:asciiTheme="minorHAnsi" w:eastAsiaTheme="minorEastAsia" w:hAnsiTheme="minorHAnsi" w:cstheme="minorBidi"/>
          <w:noProof/>
          <w:sz w:val="22"/>
          <w:szCs w:val="22"/>
        </w:rPr>
      </w:pPr>
      <w:hyperlink w:anchor="_Toc93040844" w:history="1">
        <w:r w:rsidR="004A32F4" w:rsidRPr="00C768ED">
          <w:rPr>
            <w:rStyle w:val="Hyperlink"/>
            <w:noProof/>
          </w:rPr>
          <w:t>1.5</w:t>
        </w:r>
        <w:r w:rsidR="004A32F4">
          <w:rPr>
            <w:rFonts w:asciiTheme="minorHAnsi" w:eastAsiaTheme="minorEastAsia" w:hAnsiTheme="minorHAnsi" w:cstheme="minorBidi"/>
            <w:noProof/>
            <w:sz w:val="22"/>
            <w:szCs w:val="22"/>
          </w:rPr>
          <w:tab/>
        </w:r>
        <w:r w:rsidR="004A32F4" w:rsidRPr="00C768ED">
          <w:rPr>
            <w:rStyle w:val="Hyperlink"/>
            <w:noProof/>
          </w:rPr>
          <w:t>Breakdown of additional estimates by appropriation bill</w:t>
        </w:r>
        <w:r w:rsidR="004A32F4">
          <w:rPr>
            <w:noProof/>
            <w:webHidden/>
          </w:rPr>
          <w:tab/>
        </w:r>
        <w:r w:rsidR="004A32F4">
          <w:rPr>
            <w:noProof/>
            <w:webHidden/>
          </w:rPr>
          <w:fldChar w:fldCharType="begin"/>
        </w:r>
        <w:r w:rsidR="004A32F4">
          <w:rPr>
            <w:noProof/>
            <w:webHidden/>
          </w:rPr>
          <w:instrText xml:space="preserve"> PAGEREF _Toc93040844 \h </w:instrText>
        </w:r>
        <w:r w:rsidR="004A32F4">
          <w:rPr>
            <w:noProof/>
            <w:webHidden/>
          </w:rPr>
        </w:r>
        <w:r w:rsidR="004A32F4">
          <w:rPr>
            <w:noProof/>
            <w:webHidden/>
          </w:rPr>
          <w:fldChar w:fldCharType="separate"/>
        </w:r>
        <w:r w:rsidR="003B5862">
          <w:rPr>
            <w:noProof/>
            <w:webHidden/>
          </w:rPr>
          <w:t>123</w:t>
        </w:r>
        <w:r w:rsidR="004A32F4">
          <w:rPr>
            <w:noProof/>
            <w:webHidden/>
          </w:rPr>
          <w:fldChar w:fldCharType="end"/>
        </w:r>
      </w:hyperlink>
    </w:p>
    <w:p w14:paraId="65AAC9D2" w14:textId="6C1319E9" w:rsidR="004A32F4" w:rsidRDefault="005616C5">
      <w:pPr>
        <w:pStyle w:val="TOC1"/>
        <w:rPr>
          <w:rFonts w:asciiTheme="minorHAnsi" w:eastAsiaTheme="minorEastAsia" w:hAnsiTheme="minorHAnsi" w:cstheme="minorBidi"/>
          <w:b w:val="0"/>
          <w:noProof/>
          <w:sz w:val="22"/>
          <w:szCs w:val="22"/>
        </w:rPr>
      </w:pPr>
      <w:hyperlink w:anchor="_Toc93040845" w:history="1">
        <w:r w:rsidR="004A32F4" w:rsidRPr="00C768ED">
          <w:rPr>
            <w:rStyle w:val="Hyperlink"/>
            <w:noProof/>
          </w:rPr>
          <w:t>Section 2: Revisions to outcomes and planned performance</w:t>
        </w:r>
        <w:r w:rsidR="004A32F4">
          <w:rPr>
            <w:noProof/>
            <w:webHidden/>
          </w:rPr>
          <w:tab/>
        </w:r>
        <w:r w:rsidR="004A32F4">
          <w:rPr>
            <w:noProof/>
            <w:webHidden/>
          </w:rPr>
          <w:fldChar w:fldCharType="begin"/>
        </w:r>
        <w:r w:rsidR="004A32F4">
          <w:rPr>
            <w:noProof/>
            <w:webHidden/>
          </w:rPr>
          <w:instrText xml:space="preserve"> PAGEREF _Toc93040845 \h </w:instrText>
        </w:r>
        <w:r w:rsidR="004A32F4">
          <w:rPr>
            <w:noProof/>
            <w:webHidden/>
          </w:rPr>
        </w:r>
        <w:r w:rsidR="004A32F4">
          <w:rPr>
            <w:noProof/>
            <w:webHidden/>
          </w:rPr>
          <w:fldChar w:fldCharType="separate"/>
        </w:r>
        <w:r w:rsidR="003B5862">
          <w:rPr>
            <w:noProof/>
            <w:webHidden/>
          </w:rPr>
          <w:t>124</w:t>
        </w:r>
        <w:r w:rsidR="004A32F4">
          <w:rPr>
            <w:noProof/>
            <w:webHidden/>
          </w:rPr>
          <w:fldChar w:fldCharType="end"/>
        </w:r>
      </w:hyperlink>
    </w:p>
    <w:p w14:paraId="640D6031" w14:textId="328E878C" w:rsidR="004A32F4" w:rsidRDefault="005616C5">
      <w:pPr>
        <w:pStyle w:val="TOC2"/>
        <w:tabs>
          <w:tab w:val="left" w:pos="660"/>
        </w:tabs>
        <w:rPr>
          <w:rFonts w:asciiTheme="minorHAnsi" w:eastAsiaTheme="minorEastAsia" w:hAnsiTheme="minorHAnsi" w:cstheme="minorBidi"/>
          <w:noProof/>
          <w:sz w:val="22"/>
          <w:szCs w:val="22"/>
        </w:rPr>
      </w:pPr>
      <w:hyperlink w:anchor="_Toc93040846" w:history="1">
        <w:r w:rsidR="004A32F4" w:rsidRPr="00C768ED">
          <w:rPr>
            <w:rStyle w:val="Hyperlink"/>
            <w:noProof/>
          </w:rPr>
          <w:t>2.1</w:t>
        </w:r>
        <w:r w:rsidR="004A32F4">
          <w:rPr>
            <w:rFonts w:asciiTheme="minorHAnsi" w:eastAsiaTheme="minorEastAsia" w:hAnsiTheme="minorHAnsi" w:cstheme="minorBidi"/>
            <w:noProof/>
            <w:sz w:val="22"/>
            <w:szCs w:val="22"/>
          </w:rPr>
          <w:tab/>
        </w:r>
        <w:r w:rsidR="004A32F4" w:rsidRPr="00C768ED">
          <w:rPr>
            <w:rStyle w:val="Hyperlink"/>
            <w:noProof/>
          </w:rPr>
          <w:t>Changes to outcome and program structures</w:t>
        </w:r>
        <w:r w:rsidR="004A32F4">
          <w:rPr>
            <w:noProof/>
            <w:webHidden/>
          </w:rPr>
          <w:tab/>
        </w:r>
        <w:r w:rsidR="004A32F4">
          <w:rPr>
            <w:noProof/>
            <w:webHidden/>
          </w:rPr>
          <w:fldChar w:fldCharType="begin"/>
        </w:r>
        <w:r w:rsidR="004A32F4">
          <w:rPr>
            <w:noProof/>
            <w:webHidden/>
          </w:rPr>
          <w:instrText xml:space="preserve"> PAGEREF _Toc93040846 \h </w:instrText>
        </w:r>
        <w:r w:rsidR="004A32F4">
          <w:rPr>
            <w:noProof/>
            <w:webHidden/>
          </w:rPr>
        </w:r>
        <w:r w:rsidR="004A32F4">
          <w:rPr>
            <w:noProof/>
            <w:webHidden/>
          </w:rPr>
          <w:fldChar w:fldCharType="separate"/>
        </w:r>
        <w:r w:rsidR="003B5862">
          <w:rPr>
            <w:noProof/>
            <w:webHidden/>
          </w:rPr>
          <w:t>124</w:t>
        </w:r>
        <w:r w:rsidR="004A32F4">
          <w:rPr>
            <w:noProof/>
            <w:webHidden/>
          </w:rPr>
          <w:fldChar w:fldCharType="end"/>
        </w:r>
      </w:hyperlink>
    </w:p>
    <w:p w14:paraId="70302F02" w14:textId="1F2C56D5" w:rsidR="004A32F4" w:rsidRDefault="005616C5">
      <w:pPr>
        <w:pStyle w:val="TOC2"/>
        <w:tabs>
          <w:tab w:val="left" w:pos="660"/>
        </w:tabs>
        <w:rPr>
          <w:rFonts w:asciiTheme="minorHAnsi" w:eastAsiaTheme="minorEastAsia" w:hAnsiTheme="minorHAnsi" w:cstheme="minorBidi"/>
          <w:noProof/>
          <w:sz w:val="22"/>
          <w:szCs w:val="22"/>
        </w:rPr>
      </w:pPr>
      <w:hyperlink w:anchor="_Toc93040847" w:history="1">
        <w:r w:rsidR="004A32F4" w:rsidRPr="00C768ED">
          <w:rPr>
            <w:rStyle w:val="Hyperlink"/>
            <w:noProof/>
          </w:rPr>
          <w:t>2.2</w:t>
        </w:r>
        <w:r w:rsidR="004A32F4">
          <w:rPr>
            <w:rFonts w:asciiTheme="minorHAnsi" w:eastAsiaTheme="minorEastAsia" w:hAnsiTheme="minorHAnsi" w:cstheme="minorBidi"/>
            <w:noProof/>
            <w:sz w:val="22"/>
            <w:szCs w:val="22"/>
          </w:rPr>
          <w:tab/>
        </w:r>
        <w:r w:rsidR="004A32F4" w:rsidRPr="00C768ED">
          <w:rPr>
            <w:rStyle w:val="Hyperlink"/>
            <w:noProof/>
          </w:rPr>
          <w:t>Budgeted expenses and performance for outcome 1</w:t>
        </w:r>
        <w:r w:rsidR="004A32F4">
          <w:rPr>
            <w:noProof/>
            <w:webHidden/>
          </w:rPr>
          <w:tab/>
        </w:r>
        <w:r w:rsidR="004A32F4">
          <w:rPr>
            <w:noProof/>
            <w:webHidden/>
          </w:rPr>
          <w:fldChar w:fldCharType="begin"/>
        </w:r>
        <w:r w:rsidR="004A32F4">
          <w:rPr>
            <w:noProof/>
            <w:webHidden/>
          </w:rPr>
          <w:instrText xml:space="preserve"> PAGEREF _Toc93040847 \h </w:instrText>
        </w:r>
        <w:r w:rsidR="004A32F4">
          <w:rPr>
            <w:noProof/>
            <w:webHidden/>
          </w:rPr>
        </w:r>
        <w:r w:rsidR="004A32F4">
          <w:rPr>
            <w:noProof/>
            <w:webHidden/>
          </w:rPr>
          <w:fldChar w:fldCharType="separate"/>
        </w:r>
        <w:r w:rsidR="003B5862">
          <w:rPr>
            <w:noProof/>
            <w:webHidden/>
          </w:rPr>
          <w:t>124</w:t>
        </w:r>
        <w:r w:rsidR="004A32F4">
          <w:rPr>
            <w:noProof/>
            <w:webHidden/>
          </w:rPr>
          <w:fldChar w:fldCharType="end"/>
        </w:r>
      </w:hyperlink>
    </w:p>
    <w:p w14:paraId="03885F8F" w14:textId="7C57CA5F" w:rsidR="004A32F4" w:rsidRDefault="005616C5">
      <w:pPr>
        <w:pStyle w:val="TOC1"/>
        <w:rPr>
          <w:rFonts w:asciiTheme="minorHAnsi" w:eastAsiaTheme="minorEastAsia" w:hAnsiTheme="minorHAnsi" w:cstheme="minorBidi"/>
          <w:b w:val="0"/>
          <w:noProof/>
          <w:sz w:val="22"/>
          <w:szCs w:val="22"/>
        </w:rPr>
      </w:pPr>
      <w:hyperlink w:anchor="_Toc93040848" w:history="1">
        <w:r w:rsidR="004A32F4" w:rsidRPr="00C768ED">
          <w:rPr>
            <w:rStyle w:val="Hyperlink"/>
            <w:noProof/>
          </w:rPr>
          <w:t>Section 3: Special account flows and budgeted financial statements</w:t>
        </w:r>
        <w:r w:rsidR="004A32F4">
          <w:rPr>
            <w:noProof/>
            <w:webHidden/>
          </w:rPr>
          <w:tab/>
        </w:r>
        <w:r w:rsidR="004A32F4">
          <w:rPr>
            <w:noProof/>
            <w:webHidden/>
          </w:rPr>
          <w:fldChar w:fldCharType="begin"/>
        </w:r>
        <w:r w:rsidR="004A32F4">
          <w:rPr>
            <w:noProof/>
            <w:webHidden/>
          </w:rPr>
          <w:instrText xml:space="preserve"> PAGEREF _Toc93040848 \h </w:instrText>
        </w:r>
        <w:r w:rsidR="004A32F4">
          <w:rPr>
            <w:noProof/>
            <w:webHidden/>
          </w:rPr>
        </w:r>
        <w:r w:rsidR="004A32F4">
          <w:rPr>
            <w:noProof/>
            <w:webHidden/>
          </w:rPr>
          <w:fldChar w:fldCharType="separate"/>
        </w:r>
        <w:r w:rsidR="003B5862">
          <w:rPr>
            <w:noProof/>
            <w:webHidden/>
          </w:rPr>
          <w:t>126</w:t>
        </w:r>
        <w:r w:rsidR="004A32F4">
          <w:rPr>
            <w:noProof/>
            <w:webHidden/>
          </w:rPr>
          <w:fldChar w:fldCharType="end"/>
        </w:r>
      </w:hyperlink>
    </w:p>
    <w:p w14:paraId="21C69FEE" w14:textId="226A04BF" w:rsidR="004A32F4" w:rsidRDefault="005616C5">
      <w:pPr>
        <w:pStyle w:val="TOC2"/>
        <w:tabs>
          <w:tab w:val="left" w:pos="660"/>
        </w:tabs>
        <w:rPr>
          <w:rFonts w:asciiTheme="minorHAnsi" w:eastAsiaTheme="minorEastAsia" w:hAnsiTheme="minorHAnsi" w:cstheme="minorBidi"/>
          <w:noProof/>
          <w:sz w:val="22"/>
          <w:szCs w:val="22"/>
        </w:rPr>
      </w:pPr>
      <w:hyperlink w:anchor="_Toc93040849" w:history="1">
        <w:r w:rsidR="004A32F4" w:rsidRPr="00C768ED">
          <w:rPr>
            <w:rStyle w:val="Hyperlink"/>
            <w:noProof/>
          </w:rPr>
          <w:t>3.1</w:t>
        </w:r>
        <w:r w:rsidR="004A32F4">
          <w:rPr>
            <w:rFonts w:asciiTheme="minorHAnsi" w:eastAsiaTheme="minorEastAsia" w:hAnsiTheme="minorHAnsi" w:cstheme="minorBidi"/>
            <w:noProof/>
            <w:sz w:val="22"/>
            <w:szCs w:val="22"/>
          </w:rPr>
          <w:tab/>
        </w:r>
        <w:r w:rsidR="004A32F4" w:rsidRPr="00C768ED">
          <w:rPr>
            <w:rStyle w:val="Hyperlink"/>
            <w:noProof/>
          </w:rPr>
          <w:t>Special Account Flows</w:t>
        </w:r>
        <w:r w:rsidR="004A32F4">
          <w:rPr>
            <w:noProof/>
            <w:webHidden/>
          </w:rPr>
          <w:tab/>
        </w:r>
        <w:r w:rsidR="004A32F4">
          <w:rPr>
            <w:noProof/>
            <w:webHidden/>
          </w:rPr>
          <w:fldChar w:fldCharType="begin"/>
        </w:r>
        <w:r w:rsidR="004A32F4">
          <w:rPr>
            <w:noProof/>
            <w:webHidden/>
          </w:rPr>
          <w:instrText xml:space="preserve"> PAGEREF _Toc93040849 \h </w:instrText>
        </w:r>
        <w:r w:rsidR="004A32F4">
          <w:rPr>
            <w:noProof/>
            <w:webHidden/>
          </w:rPr>
        </w:r>
        <w:r w:rsidR="004A32F4">
          <w:rPr>
            <w:noProof/>
            <w:webHidden/>
          </w:rPr>
          <w:fldChar w:fldCharType="separate"/>
        </w:r>
        <w:r w:rsidR="003B5862">
          <w:rPr>
            <w:noProof/>
            <w:webHidden/>
          </w:rPr>
          <w:t>126</w:t>
        </w:r>
        <w:r w:rsidR="004A32F4">
          <w:rPr>
            <w:noProof/>
            <w:webHidden/>
          </w:rPr>
          <w:fldChar w:fldCharType="end"/>
        </w:r>
      </w:hyperlink>
    </w:p>
    <w:p w14:paraId="5BF24307" w14:textId="63F22269" w:rsidR="004A32F4" w:rsidRDefault="005616C5">
      <w:pPr>
        <w:pStyle w:val="TOC2"/>
        <w:tabs>
          <w:tab w:val="left" w:pos="660"/>
        </w:tabs>
        <w:rPr>
          <w:rFonts w:asciiTheme="minorHAnsi" w:eastAsiaTheme="minorEastAsia" w:hAnsiTheme="minorHAnsi" w:cstheme="minorBidi"/>
          <w:noProof/>
          <w:sz w:val="22"/>
          <w:szCs w:val="22"/>
        </w:rPr>
      </w:pPr>
      <w:hyperlink w:anchor="_Toc93040850" w:history="1">
        <w:r w:rsidR="004A32F4" w:rsidRPr="00C768ED">
          <w:rPr>
            <w:rStyle w:val="Hyperlink"/>
            <w:noProof/>
          </w:rPr>
          <w:t>3.2</w:t>
        </w:r>
        <w:r w:rsidR="004A32F4">
          <w:rPr>
            <w:rFonts w:asciiTheme="minorHAnsi" w:eastAsiaTheme="minorEastAsia" w:hAnsiTheme="minorHAnsi" w:cstheme="minorBidi"/>
            <w:noProof/>
            <w:sz w:val="22"/>
            <w:szCs w:val="22"/>
          </w:rPr>
          <w:tab/>
        </w:r>
        <w:r w:rsidR="004A32F4" w:rsidRPr="00C768ED">
          <w:rPr>
            <w:rStyle w:val="Hyperlink"/>
            <w:noProof/>
          </w:rPr>
          <w:t>Budgeted financial statements</w:t>
        </w:r>
        <w:r w:rsidR="004A32F4">
          <w:rPr>
            <w:noProof/>
            <w:webHidden/>
          </w:rPr>
          <w:tab/>
        </w:r>
        <w:r w:rsidR="004A32F4">
          <w:rPr>
            <w:noProof/>
            <w:webHidden/>
          </w:rPr>
          <w:fldChar w:fldCharType="begin"/>
        </w:r>
        <w:r w:rsidR="004A32F4">
          <w:rPr>
            <w:noProof/>
            <w:webHidden/>
          </w:rPr>
          <w:instrText xml:space="preserve"> PAGEREF _Toc93040850 \h </w:instrText>
        </w:r>
        <w:r w:rsidR="004A32F4">
          <w:rPr>
            <w:noProof/>
            <w:webHidden/>
          </w:rPr>
        </w:r>
        <w:r w:rsidR="004A32F4">
          <w:rPr>
            <w:noProof/>
            <w:webHidden/>
          </w:rPr>
          <w:fldChar w:fldCharType="separate"/>
        </w:r>
        <w:r w:rsidR="003B5862">
          <w:rPr>
            <w:noProof/>
            <w:webHidden/>
          </w:rPr>
          <w:t>126</w:t>
        </w:r>
        <w:r w:rsidR="004A32F4">
          <w:rPr>
            <w:noProof/>
            <w:webHidden/>
          </w:rPr>
          <w:fldChar w:fldCharType="end"/>
        </w:r>
      </w:hyperlink>
    </w:p>
    <w:p w14:paraId="3957D5E3" w14:textId="557C7482" w:rsidR="00914885" w:rsidRDefault="004A32F4" w:rsidP="00914885">
      <w:r>
        <w:fldChar w:fldCharType="end"/>
      </w:r>
    </w:p>
    <w:p w14:paraId="73B06FED" w14:textId="77777777" w:rsidR="00485B7E" w:rsidRDefault="00485B7E" w:rsidP="00914885">
      <w:pPr>
        <w:sectPr w:rsidR="00485B7E" w:rsidSect="005A601A">
          <w:headerReference w:type="even" r:id="rId87"/>
          <w:headerReference w:type="default" r:id="rId88"/>
          <w:headerReference w:type="first" r:id="rId89"/>
          <w:footerReference w:type="first" r:id="rId90"/>
          <w:type w:val="oddPage"/>
          <w:pgSz w:w="11907" w:h="16840" w:code="9"/>
          <w:pgMar w:top="2835" w:right="2098" w:bottom="2466" w:left="2098" w:header="1814" w:footer="1814" w:gutter="0"/>
          <w:cols w:space="720"/>
          <w:titlePg/>
        </w:sectPr>
      </w:pPr>
    </w:p>
    <w:p w14:paraId="05C175A8" w14:textId="5098F1DB" w:rsidR="00914885" w:rsidRDefault="00EC28BF" w:rsidP="00914885">
      <w:pPr>
        <w:pStyle w:val="Heading1-LVL2"/>
      </w:pPr>
      <w:bookmarkStart w:id="421" w:name="_Toc63841399"/>
      <w:bookmarkStart w:id="422" w:name="_Toc94198474"/>
      <w:r>
        <w:rPr>
          <w:lang w:val="en-US"/>
        </w:rPr>
        <w:lastRenderedPageBreak/>
        <w:t>National Capital Authority</w:t>
      </w:r>
      <w:bookmarkEnd w:id="421"/>
      <w:bookmarkEnd w:id="422"/>
    </w:p>
    <w:p w14:paraId="69CB6840" w14:textId="2E569366" w:rsidR="00914885" w:rsidRPr="00F045E6" w:rsidRDefault="00914885" w:rsidP="00FB6A01">
      <w:pPr>
        <w:pStyle w:val="Heading2-TOCNCA"/>
      </w:pPr>
      <w:bookmarkStart w:id="423" w:name="_Toc92990180"/>
      <w:bookmarkStart w:id="424" w:name="_Toc92990471"/>
      <w:bookmarkStart w:id="425" w:name="_Toc93040839"/>
      <w:r w:rsidRPr="00F045E6">
        <w:t>Section 1: Entity overview and resources</w:t>
      </w:r>
      <w:bookmarkEnd w:id="423"/>
      <w:bookmarkEnd w:id="424"/>
      <w:bookmarkEnd w:id="425"/>
    </w:p>
    <w:p w14:paraId="3B6B3E42" w14:textId="00A89216" w:rsidR="00914885" w:rsidRPr="002322E9" w:rsidRDefault="00914885" w:rsidP="00FB6A01">
      <w:pPr>
        <w:pStyle w:val="Heading3NCA"/>
        <w:rPr>
          <w:lang w:val="en-AU"/>
        </w:rPr>
      </w:pPr>
      <w:bookmarkStart w:id="426" w:name="_Toc92990181"/>
      <w:bookmarkStart w:id="427" w:name="_Toc92990472"/>
      <w:bookmarkStart w:id="428" w:name="_Toc93040840"/>
      <w:r>
        <w:t>1.1</w:t>
      </w:r>
      <w:r>
        <w:tab/>
      </w:r>
      <w:r w:rsidRPr="004928FF">
        <w:t>Strategic direction</w:t>
      </w:r>
      <w:r>
        <w:rPr>
          <w:lang w:val="en-AU"/>
        </w:rPr>
        <w:t xml:space="preserve"> statement</w:t>
      </w:r>
      <w:bookmarkEnd w:id="426"/>
      <w:bookmarkEnd w:id="427"/>
      <w:bookmarkEnd w:id="428"/>
    </w:p>
    <w:p w14:paraId="3BDA8CA8" w14:textId="481A2F98" w:rsidR="005304CC" w:rsidRDefault="005304CC" w:rsidP="004D1B95">
      <w:pPr>
        <w:spacing w:after="120"/>
        <w:jc w:val="left"/>
      </w:pPr>
      <w:r w:rsidRPr="00DF6A43">
        <w:t>The National Capital Authority’s (NCA) strategic direction statement has not changed from that published in the 202</w:t>
      </w:r>
      <w:r>
        <w:t>1</w:t>
      </w:r>
      <w:r w:rsidRPr="00DF6A43">
        <w:t>–2</w:t>
      </w:r>
      <w:r>
        <w:t>2</w:t>
      </w:r>
      <w:r w:rsidRPr="00DF6A43">
        <w:t xml:space="preserve"> </w:t>
      </w:r>
      <w:r w:rsidR="00360023" w:rsidRPr="00ED7989">
        <w:t xml:space="preserve">Infrastructure, Transport, Regional Development and Communications </w:t>
      </w:r>
      <w:r w:rsidRPr="00DF6A43">
        <w:t>PB Statements.</w:t>
      </w:r>
    </w:p>
    <w:p w14:paraId="5794D574" w14:textId="54491758" w:rsidR="00B811BE" w:rsidRPr="00B94E5D" w:rsidRDefault="00B811BE" w:rsidP="00B811BE">
      <w:pPr>
        <w:jc w:val="left"/>
      </w:pPr>
      <w:r w:rsidRPr="00B94E5D">
        <w:t xml:space="preserve">The </w:t>
      </w:r>
      <w:r w:rsidR="0098313C">
        <w:t>NCA</w:t>
      </w:r>
      <w:r w:rsidRPr="00B94E5D">
        <w:t xml:space="preserve"> was established under the </w:t>
      </w:r>
      <w:r w:rsidRPr="00B94E5D">
        <w:rPr>
          <w:i/>
        </w:rPr>
        <w:t>Australian Capital Territory (Planning and Land Management) Act 1988</w:t>
      </w:r>
      <w:r w:rsidRPr="00B94E5D">
        <w:t xml:space="preserve"> (the PALM Act).</w:t>
      </w:r>
    </w:p>
    <w:p w14:paraId="03CDB688" w14:textId="77777777" w:rsidR="00B811BE" w:rsidRPr="00B94E5D" w:rsidRDefault="00B811BE" w:rsidP="00B811BE">
      <w:pPr>
        <w:jc w:val="left"/>
      </w:pPr>
      <w:r w:rsidRPr="00B94E5D">
        <w:t>The PALM Act prescribes the NCA’s powers and functions and makes it subject to general Ministerial direction. The Assistant Minister for Regional Development and Territories has administrative responsibility for the PALM Act.</w:t>
      </w:r>
    </w:p>
    <w:p w14:paraId="05E020C1" w14:textId="584AF0F1" w:rsidR="00B811BE" w:rsidRPr="00B94E5D" w:rsidRDefault="00B811BE" w:rsidP="00B811BE">
      <w:pPr>
        <w:jc w:val="left"/>
      </w:pPr>
      <w:r w:rsidRPr="00B94E5D">
        <w:t xml:space="preserve">On behalf of the Australian Government, the NCA performs the role of trustee and manager of areas in Canberra and the Australian Capital Territory (ACT) that are designated as National Land for the special purpose of Canberra as Australia’s National Capital. The NCA shapes the future of Canberra for all Australians through the National Capital Plan </w:t>
      </w:r>
      <w:r w:rsidR="0098313C">
        <w:t xml:space="preserve">(the Plan) </w:t>
      </w:r>
      <w:r w:rsidRPr="00B94E5D">
        <w:t>and related planning and development work. The NCA also manages much of the National Estate – such as Lake Burley Griffin, the National Triangle and Anzac Parade – and encourages citizens and visitors to explore Canberra’s unique characteristics and special role as the National Capital.</w:t>
      </w:r>
    </w:p>
    <w:p w14:paraId="02553913" w14:textId="77777777" w:rsidR="00B811BE" w:rsidRPr="00B94E5D" w:rsidRDefault="00B811BE" w:rsidP="00B811BE">
      <w:pPr>
        <w:spacing w:after="120"/>
        <w:jc w:val="left"/>
      </w:pPr>
      <w:r w:rsidRPr="00B94E5D">
        <w:t>The functions of the NCA are set out in section 6 of the PALM Act and include:</w:t>
      </w:r>
    </w:p>
    <w:p w14:paraId="1A7B40C8" w14:textId="77777777" w:rsidR="00B811BE" w:rsidRPr="00B94E5D" w:rsidRDefault="00B811BE" w:rsidP="009B54D8">
      <w:pPr>
        <w:numPr>
          <w:ilvl w:val="0"/>
          <w:numId w:val="20"/>
        </w:numPr>
        <w:spacing w:after="120" w:line="240" w:lineRule="auto"/>
        <w:ind w:left="357" w:hanging="357"/>
        <w:jc w:val="left"/>
      </w:pPr>
      <w:r w:rsidRPr="00B94E5D">
        <w:t>to prepare and administer a National Capital Plan, providing the overall planning and development framework for Canberra as Australia’s National Capital</w:t>
      </w:r>
    </w:p>
    <w:p w14:paraId="0570F8F3" w14:textId="77777777" w:rsidR="00B811BE" w:rsidRPr="00B94E5D" w:rsidRDefault="00B811BE" w:rsidP="009B54D8">
      <w:pPr>
        <w:numPr>
          <w:ilvl w:val="0"/>
          <w:numId w:val="20"/>
        </w:numPr>
        <w:spacing w:after="120" w:line="240" w:lineRule="auto"/>
        <w:ind w:left="357" w:hanging="357"/>
        <w:jc w:val="left"/>
      </w:pPr>
      <w:r w:rsidRPr="00B94E5D">
        <w:t>to keep the Plan under constant review and to propose amendments to it as required</w:t>
      </w:r>
    </w:p>
    <w:p w14:paraId="5A0B46E9" w14:textId="4CFC5822" w:rsidR="00B811BE" w:rsidRPr="00B94E5D" w:rsidRDefault="00B811BE" w:rsidP="009B54D8">
      <w:pPr>
        <w:numPr>
          <w:ilvl w:val="0"/>
          <w:numId w:val="20"/>
        </w:numPr>
        <w:spacing w:after="120" w:line="240" w:lineRule="auto"/>
        <w:ind w:left="357" w:hanging="357"/>
        <w:jc w:val="left"/>
      </w:pPr>
      <w:r w:rsidRPr="00B94E5D">
        <w:t xml:space="preserve">on behalf of the Commonwealth, to commission works to be carried out in Designated Areas in accordance with the Plan where neither a </w:t>
      </w:r>
      <w:r w:rsidR="008863D9">
        <w:t>Department</w:t>
      </w:r>
      <w:r w:rsidRPr="00B94E5D">
        <w:t xml:space="preserve"> of State of the Commonwealth nor any Commonwealth authority has the responsibility to commission those works</w:t>
      </w:r>
    </w:p>
    <w:p w14:paraId="7DAC412B" w14:textId="77777777" w:rsidR="00B811BE" w:rsidRPr="00B94E5D" w:rsidRDefault="00B811BE" w:rsidP="009B54D8">
      <w:pPr>
        <w:numPr>
          <w:ilvl w:val="0"/>
          <w:numId w:val="20"/>
        </w:numPr>
        <w:spacing w:after="120" w:line="240" w:lineRule="auto"/>
        <w:ind w:left="357" w:hanging="357"/>
        <w:jc w:val="left"/>
      </w:pPr>
      <w:r w:rsidRPr="00B94E5D">
        <w:t>to recommend to the Minister the carrying out of works that the NCA considers desirable to maintain or enhance the character of the National Capital</w:t>
      </w:r>
    </w:p>
    <w:p w14:paraId="544CF75F" w14:textId="77777777" w:rsidR="00B811BE" w:rsidRPr="00B94E5D" w:rsidRDefault="00B811BE" w:rsidP="009B54D8">
      <w:pPr>
        <w:numPr>
          <w:ilvl w:val="0"/>
          <w:numId w:val="20"/>
        </w:numPr>
        <w:spacing w:after="120" w:line="240" w:lineRule="auto"/>
        <w:ind w:left="357" w:hanging="357"/>
        <w:jc w:val="left"/>
      </w:pPr>
      <w:r w:rsidRPr="00B94E5D">
        <w:t>to foster an awareness of Canberra as the National Capital</w:t>
      </w:r>
    </w:p>
    <w:p w14:paraId="27BACEF4" w14:textId="77777777" w:rsidR="00B811BE" w:rsidRPr="00B94E5D" w:rsidRDefault="00B811BE" w:rsidP="009B54D8">
      <w:pPr>
        <w:numPr>
          <w:ilvl w:val="0"/>
          <w:numId w:val="20"/>
        </w:numPr>
        <w:spacing w:after="120" w:line="240" w:lineRule="auto"/>
        <w:ind w:left="357" w:hanging="357"/>
        <w:jc w:val="left"/>
      </w:pPr>
      <w:r w:rsidRPr="00B94E5D">
        <w:t>with the Minister’s approval, to perform planning services for any person or body, whether within Australia or overseas</w:t>
      </w:r>
    </w:p>
    <w:p w14:paraId="485382F4" w14:textId="77777777" w:rsidR="00FB04A7" w:rsidRDefault="00FB04A7">
      <w:pPr>
        <w:spacing w:after="0" w:line="240" w:lineRule="auto"/>
        <w:jc w:val="left"/>
      </w:pPr>
      <w:r>
        <w:br w:type="page"/>
      </w:r>
    </w:p>
    <w:p w14:paraId="44A23F81" w14:textId="325A2BEA" w:rsidR="00B811BE" w:rsidRPr="00B94E5D" w:rsidRDefault="00B811BE" w:rsidP="009B54D8">
      <w:pPr>
        <w:numPr>
          <w:ilvl w:val="0"/>
          <w:numId w:val="20"/>
        </w:numPr>
        <w:spacing w:line="240" w:lineRule="auto"/>
        <w:ind w:left="357" w:hanging="357"/>
        <w:jc w:val="left"/>
      </w:pPr>
      <w:proofErr w:type="gramStart"/>
      <w:r w:rsidRPr="00B94E5D">
        <w:lastRenderedPageBreak/>
        <w:t>with</w:t>
      </w:r>
      <w:proofErr w:type="gramEnd"/>
      <w:r w:rsidRPr="00B94E5D">
        <w:t xml:space="preserve"> the exception of the taking of water, and with the Minister’s approval, to manage National Land designated in writing by the Minister as land required for the special purposes of Canberra as the National Capital, on behalf of the Commonwealth.</w:t>
      </w:r>
    </w:p>
    <w:p w14:paraId="1F6B220A" w14:textId="77777777" w:rsidR="00B811BE" w:rsidRPr="00B94E5D" w:rsidRDefault="00B811BE" w:rsidP="00B811BE">
      <w:pPr>
        <w:keepNext/>
        <w:spacing w:after="120"/>
        <w:jc w:val="left"/>
      </w:pPr>
      <w:r w:rsidRPr="00B94E5D">
        <w:t>The main ongoing components of the NCA’s work is to:</w:t>
      </w:r>
    </w:p>
    <w:p w14:paraId="6C059BDE" w14:textId="77777777" w:rsidR="00B811BE" w:rsidRPr="00B94E5D" w:rsidRDefault="00B811BE" w:rsidP="009B54D8">
      <w:pPr>
        <w:keepNext/>
        <w:numPr>
          <w:ilvl w:val="0"/>
          <w:numId w:val="20"/>
        </w:numPr>
        <w:spacing w:after="120" w:line="240" w:lineRule="auto"/>
        <w:ind w:left="357" w:hanging="357"/>
        <w:jc w:val="left"/>
      </w:pPr>
      <w:r w:rsidRPr="00B94E5D">
        <w:t>support and encourage high quality planning, design and development of nationally significant parts of Canberra</w:t>
      </w:r>
    </w:p>
    <w:p w14:paraId="2E39835E" w14:textId="77777777" w:rsidR="00B811BE" w:rsidRPr="00B94E5D" w:rsidRDefault="00B811BE" w:rsidP="009B54D8">
      <w:pPr>
        <w:keepNext/>
        <w:numPr>
          <w:ilvl w:val="0"/>
          <w:numId w:val="20"/>
        </w:numPr>
        <w:spacing w:after="120" w:line="240" w:lineRule="auto"/>
        <w:ind w:left="357" w:hanging="357"/>
        <w:jc w:val="left"/>
      </w:pPr>
      <w:r w:rsidRPr="00B94E5D">
        <w:t>manage and enhance Commonwealth assets on National Land</w:t>
      </w:r>
    </w:p>
    <w:p w14:paraId="6F718064" w14:textId="77777777" w:rsidR="00B811BE" w:rsidRPr="00B94E5D" w:rsidRDefault="00B811BE" w:rsidP="009B54D8">
      <w:pPr>
        <w:keepNext/>
        <w:numPr>
          <w:ilvl w:val="0"/>
          <w:numId w:val="20"/>
        </w:numPr>
        <w:spacing w:after="120" w:line="240" w:lineRule="auto"/>
        <w:ind w:left="357" w:hanging="357"/>
        <w:jc w:val="left"/>
      </w:pPr>
      <w:proofErr w:type="gramStart"/>
      <w:r w:rsidRPr="00B94E5D">
        <w:t>communicate</w:t>
      </w:r>
      <w:proofErr w:type="gramEnd"/>
      <w:r w:rsidRPr="00B94E5D">
        <w:t xml:space="preserve"> the unique characteristics and importance of the National Capital to its citizens</w:t>
      </w:r>
      <w:r>
        <w:t>.</w:t>
      </w:r>
    </w:p>
    <w:p w14:paraId="705774F6" w14:textId="77777777" w:rsidR="00B811BE" w:rsidRPr="00B94E5D" w:rsidRDefault="00B811BE" w:rsidP="00B811BE">
      <w:pPr>
        <w:spacing w:after="120"/>
        <w:jc w:val="left"/>
      </w:pPr>
      <w:r w:rsidRPr="00B94E5D">
        <w:t>The NCA’s strategic priorities for the next four years are to:</w:t>
      </w:r>
    </w:p>
    <w:p w14:paraId="662EEC4A" w14:textId="77777777" w:rsidR="00B811BE" w:rsidRPr="00B94E5D" w:rsidRDefault="00B811BE" w:rsidP="009B54D8">
      <w:pPr>
        <w:numPr>
          <w:ilvl w:val="0"/>
          <w:numId w:val="20"/>
        </w:numPr>
        <w:spacing w:after="120" w:line="240" w:lineRule="auto"/>
        <w:ind w:left="357" w:hanging="357"/>
        <w:jc w:val="left"/>
      </w:pPr>
      <w:r w:rsidRPr="00B94E5D">
        <w:t>progress a significant capital works program to maintain and enhance the Commonwealth’s assets and strategic objectives including strengthening Commonwealth Avenue Bridge, upgrading key elements of Scrivener Dam and planning works for an additional diplomatic estate in North Curtin</w:t>
      </w:r>
    </w:p>
    <w:p w14:paraId="312BB484" w14:textId="77777777" w:rsidR="00B811BE" w:rsidRPr="00B94E5D" w:rsidRDefault="00B811BE" w:rsidP="009B54D8">
      <w:pPr>
        <w:numPr>
          <w:ilvl w:val="0"/>
          <w:numId w:val="20"/>
        </w:numPr>
        <w:spacing w:after="120" w:line="240" w:lineRule="auto"/>
        <w:ind w:left="357" w:hanging="357"/>
        <w:jc w:val="left"/>
      </w:pPr>
      <w:r w:rsidRPr="00B94E5D">
        <w:t>enhance the citizen and visitor experience and national and regional awareness of Australia’s National Capital - a place that tells the story of who we are, where we come from and our place in the world</w:t>
      </w:r>
      <w:r w:rsidRPr="00B94E5D" w:rsidDel="00404236">
        <w:t xml:space="preserve"> </w:t>
      </w:r>
      <w:r w:rsidRPr="00B94E5D">
        <w:t xml:space="preserve"> </w:t>
      </w:r>
    </w:p>
    <w:p w14:paraId="74B8F96D" w14:textId="77777777" w:rsidR="00B811BE" w:rsidRPr="00B94E5D" w:rsidRDefault="00B811BE" w:rsidP="009B54D8">
      <w:pPr>
        <w:numPr>
          <w:ilvl w:val="0"/>
          <w:numId w:val="20"/>
        </w:numPr>
        <w:spacing w:after="120" w:line="240" w:lineRule="auto"/>
        <w:ind w:left="357" w:hanging="357"/>
        <w:jc w:val="left"/>
      </w:pPr>
      <w:proofErr w:type="gramStart"/>
      <w:r w:rsidRPr="00B94E5D">
        <w:t>continue</w:t>
      </w:r>
      <w:proofErr w:type="gramEnd"/>
      <w:r w:rsidRPr="00B94E5D">
        <w:t xml:space="preserve"> to create and maintain a National Capital that successfully balances the Griffin plan and legacy with the aspirations of a modern, dynamic city.</w:t>
      </w:r>
    </w:p>
    <w:p w14:paraId="7745C3C1" w14:textId="77777777" w:rsidR="00B811BE" w:rsidRPr="00B94E5D" w:rsidRDefault="00B811BE" w:rsidP="00B811BE">
      <w:pPr>
        <w:spacing w:after="120" w:line="240" w:lineRule="auto"/>
        <w:jc w:val="left"/>
      </w:pPr>
      <w:r w:rsidRPr="00B94E5D">
        <w:t xml:space="preserve">The NCA will deliver </w:t>
      </w:r>
      <w:r>
        <w:t>its</w:t>
      </w:r>
      <w:r w:rsidRPr="00B94E5D">
        <w:t xml:space="preserve"> strategic priorities while successfully maintaining and enhancing an ex</w:t>
      </w:r>
      <w:r>
        <w:t>tensive and valued asset base. The NCA’s</w:t>
      </w:r>
      <w:r w:rsidRPr="00B94E5D">
        <w:t xml:space="preserve"> work will include optimising </w:t>
      </w:r>
      <w:r>
        <w:t>its</w:t>
      </w:r>
      <w:r w:rsidRPr="00B94E5D">
        <w:t xml:space="preserve"> asset management plans, maintaining a positive safety culture, and aligning </w:t>
      </w:r>
      <w:r>
        <w:t>its</w:t>
      </w:r>
      <w:r w:rsidRPr="00B94E5D">
        <w:t xml:space="preserve"> people and resources with areas of greatest priority.</w:t>
      </w:r>
    </w:p>
    <w:p w14:paraId="0E9B9FE8" w14:textId="724DAD8F" w:rsidR="00B811BE" w:rsidRPr="00DF6A43" w:rsidRDefault="00B811BE" w:rsidP="00B811BE">
      <w:pPr>
        <w:spacing w:after="120"/>
      </w:pPr>
      <w:r w:rsidRPr="00B94E5D">
        <w:br w:type="page"/>
      </w:r>
    </w:p>
    <w:p w14:paraId="23256CC7" w14:textId="4A1B2264" w:rsidR="00914885" w:rsidRPr="004928FF" w:rsidRDefault="00914885" w:rsidP="00FB6A01">
      <w:pPr>
        <w:pStyle w:val="Heading3NCA"/>
      </w:pPr>
      <w:bookmarkStart w:id="429" w:name="_Toc92990182"/>
      <w:bookmarkStart w:id="430" w:name="_Toc92990473"/>
      <w:bookmarkStart w:id="431" w:name="_Toc93040841"/>
      <w:r>
        <w:lastRenderedPageBreak/>
        <w:t>1.2</w:t>
      </w:r>
      <w:r>
        <w:tab/>
        <w:t>Entity resource statement</w:t>
      </w:r>
      <w:bookmarkEnd w:id="429"/>
      <w:bookmarkEnd w:id="430"/>
      <w:bookmarkEnd w:id="431"/>
    </w:p>
    <w:p w14:paraId="40A2573A" w14:textId="3F26F93B" w:rsidR="005304CC" w:rsidRPr="00B349B7" w:rsidRDefault="005304CC" w:rsidP="008E3678">
      <w:pPr>
        <w:jc w:val="left"/>
      </w:pPr>
      <w:r w:rsidRPr="00B349B7">
        <w:t xml:space="preserve">The </w:t>
      </w:r>
      <w:r w:rsidR="0098313C">
        <w:t>NCA</w:t>
      </w:r>
      <w:r w:rsidRPr="00B349B7">
        <w:t xml:space="preserve"> resource statement details the resourcing for the NCA at Additional Estimates. Table 1.1 shows the total resources from all sources for the 202</w:t>
      </w:r>
      <w:r>
        <w:t>1</w:t>
      </w:r>
      <w:r w:rsidRPr="00B349B7">
        <w:t>–2</w:t>
      </w:r>
      <w:r>
        <w:t>2</w:t>
      </w:r>
      <w:r w:rsidRPr="00B349B7">
        <w:t xml:space="preserve"> Budget year, including variations through Appropriation Bills Nos. 3 and 4.</w:t>
      </w:r>
    </w:p>
    <w:p w14:paraId="30201AA6" w14:textId="503C0709" w:rsidR="009610AF" w:rsidRDefault="006D6366" w:rsidP="006D6366">
      <w:pPr>
        <w:pStyle w:val="PBSHeading-FiguresandTableswithindent"/>
        <w:spacing w:after="20"/>
        <w:ind w:left="0" w:firstLine="0"/>
        <w:rPr>
          <w:rFonts w:ascii="Arial" w:hAnsi="Arial" w:cs="Arial"/>
          <w:sz w:val="20"/>
          <w:szCs w:val="20"/>
        </w:rPr>
      </w:pPr>
      <w:r w:rsidRPr="00B349B7">
        <w:rPr>
          <w:rFonts w:ascii="Arial" w:hAnsi="Arial" w:cs="Arial"/>
          <w:sz w:val="20"/>
          <w:szCs w:val="20"/>
        </w:rPr>
        <w:t>Tabl</w:t>
      </w:r>
      <w:r w:rsidR="000672C0">
        <w:rPr>
          <w:rFonts w:ascii="Arial" w:hAnsi="Arial" w:cs="Arial"/>
          <w:sz w:val="20"/>
          <w:szCs w:val="20"/>
        </w:rPr>
        <w:t xml:space="preserve">e 1.1: </w:t>
      </w:r>
      <w:r w:rsidRPr="00B349B7">
        <w:rPr>
          <w:rFonts w:ascii="Arial" w:hAnsi="Arial"/>
          <w:sz w:val="20"/>
          <w:szCs w:val="20"/>
          <w:lang w:eastAsia="x-none"/>
        </w:rPr>
        <w:t>National Capital Authority</w:t>
      </w:r>
      <w:r w:rsidRPr="00C602FB">
        <w:rPr>
          <w:rFonts w:ascii="Arial" w:hAnsi="Arial"/>
          <w:lang w:val="x-none" w:eastAsia="x-none"/>
        </w:rPr>
        <w:t xml:space="preserve"> </w:t>
      </w:r>
      <w:r w:rsidRPr="00B349B7">
        <w:rPr>
          <w:rFonts w:ascii="Arial" w:hAnsi="Arial" w:cs="Arial"/>
          <w:sz w:val="20"/>
          <w:szCs w:val="20"/>
        </w:rPr>
        <w:t>resource statement – Additional estimates for 202</w:t>
      </w:r>
      <w:r>
        <w:rPr>
          <w:rFonts w:ascii="Arial" w:hAnsi="Arial" w:cs="Arial"/>
          <w:sz w:val="20"/>
          <w:szCs w:val="20"/>
        </w:rPr>
        <w:t>1</w:t>
      </w:r>
      <w:r w:rsidRPr="00B349B7">
        <w:rPr>
          <w:rFonts w:ascii="Arial" w:hAnsi="Arial" w:cs="Arial"/>
          <w:sz w:val="20"/>
          <w:szCs w:val="20"/>
        </w:rPr>
        <w:t>–2</w:t>
      </w:r>
      <w:r>
        <w:rPr>
          <w:rFonts w:ascii="Arial" w:hAnsi="Arial" w:cs="Arial"/>
          <w:sz w:val="20"/>
          <w:szCs w:val="20"/>
        </w:rPr>
        <w:t xml:space="preserve">2 as at Additional </w:t>
      </w:r>
      <w:r w:rsidRPr="00B349B7">
        <w:rPr>
          <w:rFonts w:ascii="Arial" w:hAnsi="Arial" w:cs="Arial"/>
          <w:sz w:val="20"/>
          <w:szCs w:val="20"/>
        </w:rPr>
        <w:t>Estimates February 202</w:t>
      </w:r>
      <w:r>
        <w:rPr>
          <w:rFonts w:ascii="Arial" w:hAnsi="Arial" w:cs="Arial"/>
          <w:sz w:val="20"/>
          <w:szCs w:val="20"/>
        </w:rPr>
        <w:t>2</w:t>
      </w:r>
    </w:p>
    <w:tbl>
      <w:tblPr>
        <w:tblW w:w="0" w:type="auto"/>
        <w:tblLayout w:type="fixed"/>
        <w:tblLook w:val="04A0" w:firstRow="1" w:lastRow="0" w:firstColumn="1" w:lastColumn="0" w:noHBand="0" w:noVBand="1"/>
      </w:tblPr>
      <w:tblGrid>
        <w:gridCol w:w="2828"/>
        <w:gridCol w:w="276"/>
        <w:gridCol w:w="1257"/>
        <w:gridCol w:w="1160"/>
        <w:gridCol w:w="992"/>
        <w:gridCol w:w="1134"/>
      </w:tblGrid>
      <w:tr w:rsidR="00892C68" w:rsidRPr="007541CE" w14:paraId="71482B49" w14:textId="77777777" w:rsidTr="00244C4F">
        <w:trPr>
          <w:trHeight w:val="204"/>
        </w:trPr>
        <w:tc>
          <w:tcPr>
            <w:tcW w:w="2828" w:type="dxa"/>
            <w:tcBorders>
              <w:top w:val="single" w:sz="4" w:space="0" w:color="auto"/>
              <w:left w:val="nil"/>
              <w:bottom w:val="nil"/>
              <w:right w:val="nil"/>
            </w:tcBorders>
            <w:shd w:val="clear" w:color="auto" w:fill="auto"/>
            <w:noWrap/>
            <w:hideMark/>
          </w:tcPr>
          <w:p w14:paraId="5733FEDE" w14:textId="77777777" w:rsidR="00892C68" w:rsidRPr="007541CE" w:rsidRDefault="00892C68" w:rsidP="00892C68">
            <w:pPr>
              <w:spacing w:after="0" w:line="240" w:lineRule="auto"/>
              <w:jc w:val="left"/>
              <w:rPr>
                <w:rFonts w:ascii="Arial" w:hAnsi="Arial" w:cs="Arial"/>
                <w:color w:val="000000"/>
                <w:sz w:val="18"/>
                <w:szCs w:val="18"/>
              </w:rPr>
            </w:pPr>
            <w:r w:rsidRPr="007541CE">
              <w:rPr>
                <w:rFonts w:ascii="Arial" w:hAnsi="Arial" w:cs="Arial"/>
                <w:color w:val="000000"/>
                <w:sz w:val="18"/>
                <w:szCs w:val="18"/>
              </w:rPr>
              <w:t> </w:t>
            </w:r>
          </w:p>
        </w:tc>
        <w:tc>
          <w:tcPr>
            <w:tcW w:w="276" w:type="dxa"/>
            <w:tcBorders>
              <w:top w:val="single" w:sz="4" w:space="0" w:color="auto"/>
              <w:left w:val="nil"/>
              <w:bottom w:val="nil"/>
              <w:right w:val="nil"/>
            </w:tcBorders>
            <w:shd w:val="clear" w:color="auto" w:fill="auto"/>
            <w:noWrap/>
            <w:hideMark/>
          </w:tcPr>
          <w:p w14:paraId="00C5683D" w14:textId="77777777" w:rsidR="00892C68" w:rsidRPr="007541CE" w:rsidRDefault="00892C68" w:rsidP="00892C68">
            <w:pPr>
              <w:spacing w:after="0" w:line="240" w:lineRule="auto"/>
              <w:jc w:val="center"/>
              <w:rPr>
                <w:rFonts w:ascii="Arial" w:hAnsi="Arial" w:cs="Arial"/>
                <w:color w:val="000000"/>
                <w:sz w:val="18"/>
                <w:szCs w:val="18"/>
              </w:rPr>
            </w:pPr>
            <w:r w:rsidRPr="007541CE">
              <w:rPr>
                <w:rFonts w:ascii="Arial" w:hAnsi="Arial" w:cs="Arial"/>
                <w:color w:val="000000"/>
                <w:sz w:val="18"/>
                <w:szCs w:val="18"/>
              </w:rPr>
              <w:t> </w:t>
            </w:r>
          </w:p>
        </w:tc>
        <w:tc>
          <w:tcPr>
            <w:tcW w:w="1257" w:type="dxa"/>
            <w:tcBorders>
              <w:top w:val="single" w:sz="4" w:space="0" w:color="auto"/>
              <w:left w:val="nil"/>
              <w:bottom w:val="single" w:sz="4" w:space="0" w:color="auto"/>
              <w:right w:val="nil"/>
            </w:tcBorders>
            <w:shd w:val="clear" w:color="auto" w:fill="auto"/>
            <w:vAlign w:val="bottom"/>
            <w:hideMark/>
          </w:tcPr>
          <w:p w14:paraId="303C9A9E" w14:textId="1B934639" w:rsidR="00892C68" w:rsidRPr="007541CE" w:rsidRDefault="00892C68" w:rsidP="00892C68">
            <w:pPr>
              <w:spacing w:after="0" w:line="240" w:lineRule="auto"/>
              <w:jc w:val="right"/>
              <w:rPr>
                <w:rFonts w:ascii="Arial" w:hAnsi="Arial" w:cs="Arial"/>
                <w:color w:val="000000"/>
                <w:sz w:val="16"/>
                <w:szCs w:val="16"/>
              </w:rPr>
            </w:pPr>
            <w:r w:rsidRPr="00B22A82">
              <w:rPr>
                <w:rFonts w:ascii="Arial" w:hAnsi="Arial" w:cs="Arial"/>
                <w:iCs/>
                <w:color w:val="000000"/>
                <w:sz w:val="16"/>
                <w:szCs w:val="16"/>
              </w:rPr>
              <w:t>Actual</w:t>
            </w:r>
            <w:r w:rsidRPr="00B22A82">
              <w:rPr>
                <w:rFonts w:ascii="Arial" w:hAnsi="Arial" w:cs="Arial"/>
                <w:iCs/>
                <w:color w:val="000000"/>
                <w:sz w:val="16"/>
                <w:szCs w:val="16"/>
              </w:rPr>
              <w:br/>
              <w:t>available</w:t>
            </w:r>
            <w:r w:rsidRPr="00B22A82">
              <w:rPr>
                <w:rFonts w:ascii="Arial" w:hAnsi="Arial" w:cs="Arial"/>
                <w:iCs/>
                <w:color w:val="000000"/>
                <w:sz w:val="16"/>
                <w:szCs w:val="16"/>
              </w:rPr>
              <w:br/>
              <w:t>appropriation</w:t>
            </w:r>
            <w:r w:rsidRPr="00B22A82">
              <w:rPr>
                <w:rFonts w:ascii="Arial" w:hAnsi="Arial" w:cs="Arial"/>
                <w:iCs/>
                <w:color w:val="000000"/>
                <w:sz w:val="16"/>
                <w:szCs w:val="16"/>
              </w:rPr>
              <w:br/>
            </w:r>
            <w:r w:rsidRPr="00B22A82">
              <w:rPr>
                <w:rFonts w:ascii="Arial" w:hAnsi="Arial" w:cs="Arial"/>
                <w:iCs/>
                <w:color w:val="000000"/>
                <w:sz w:val="16"/>
                <w:szCs w:val="16"/>
              </w:rPr>
              <w:br/>
              <w:t>2020-21</w:t>
            </w:r>
            <w:r w:rsidRPr="00B22A82">
              <w:rPr>
                <w:rFonts w:ascii="Arial" w:hAnsi="Arial" w:cs="Arial"/>
                <w:iCs/>
                <w:color w:val="000000"/>
                <w:sz w:val="16"/>
                <w:szCs w:val="16"/>
              </w:rPr>
              <w:br/>
              <w:t>$'000</w:t>
            </w:r>
          </w:p>
        </w:tc>
        <w:tc>
          <w:tcPr>
            <w:tcW w:w="1160" w:type="dxa"/>
            <w:tcBorders>
              <w:top w:val="single" w:sz="4" w:space="0" w:color="auto"/>
              <w:left w:val="nil"/>
              <w:bottom w:val="single" w:sz="4" w:space="0" w:color="auto"/>
              <w:right w:val="nil"/>
            </w:tcBorders>
            <w:shd w:val="clear" w:color="auto" w:fill="auto"/>
            <w:vAlign w:val="bottom"/>
            <w:hideMark/>
          </w:tcPr>
          <w:p w14:paraId="20046A8E" w14:textId="33CDFE91" w:rsidR="00892C68" w:rsidRPr="007541CE" w:rsidRDefault="00892C68" w:rsidP="00892C68">
            <w:pPr>
              <w:spacing w:after="0" w:line="240" w:lineRule="auto"/>
              <w:jc w:val="right"/>
              <w:rPr>
                <w:rFonts w:ascii="Arial" w:hAnsi="Arial" w:cs="Arial"/>
                <w:color w:val="000000"/>
                <w:sz w:val="16"/>
                <w:szCs w:val="16"/>
              </w:rPr>
            </w:pPr>
            <w:r w:rsidRPr="00B22A82">
              <w:rPr>
                <w:rFonts w:ascii="Arial" w:hAnsi="Arial" w:cs="Arial"/>
                <w:color w:val="000000"/>
                <w:sz w:val="16"/>
                <w:szCs w:val="16"/>
              </w:rPr>
              <w:t>Estimate</w:t>
            </w:r>
            <w:r w:rsidRPr="00B22A82">
              <w:rPr>
                <w:rFonts w:ascii="Arial" w:hAnsi="Arial" w:cs="Arial"/>
                <w:color w:val="000000"/>
                <w:sz w:val="16"/>
                <w:szCs w:val="16"/>
              </w:rPr>
              <w:br/>
              <w:t>as at</w:t>
            </w:r>
            <w:r w:rsidRPr="00B22A82">
              <w:rPr>
                <w:rFonts w:ascii="Arial" w:hAnsi="Arial" w:cs="Arial"/>
                <w:color w:val="000000"/>
                <w:sz w:val="16"/>
                <w:szCs w:val="16"/>
              </w:rPr>
              <w:br/>
              <w:t>Budget</w:t>
            </w:r>
            <w:r w:rsidRPr="00B22A82">
              <w:rPr>
                <w:rFonts w:ascii="Arial" w:hAnsi="Arial" w:cs="Arial"/>
                <w:color w:val="000000"/>
                <w:sz w:val="16"/>
                <w:szCs w:val="16"/>
              </w:rPr>
              <w:br/>
            </w:r>
            <w:r w:rsidRPr="00B22A82">
              <w:rPr>
                <w:rFonts w:ascii="Arial" w:hAnsi="Arial" w:cs="Arial"/>
                <w:color w:val="000000"/>
                <w:sz w:val="16"/>
                <w:szCs w:val="16"/>
              </w:rPr>
              <w:br/>
              <w:t>2021-22</w:t>
            </w:r>
            <w:r w:rsidRPr="00B22A82">
              <w:rPr>
                <w:rFonts w:ascii="Arial" w:hAnsi="Arial" w:cs="Arial"/>
                <w:color w:val="000000"/>
                <w:sz w:val="16"/>
                <w:szCs w:val="16"/>
              </w:rPr>
              <w:br/>
              <w:t>$'000</w:t>
            </w:r>
          </w:p>
        </w:tc>
        <w:tc>
          <w:tcPr>
            <w:tcW w:w="992" w:type="dxa"/>
            <w:tcBorders>
              <w:top w:val="single" w:sz="4" w:space="0" w:color="auto"/>
              <w:left w:val="nil"/>
              <w:bottom w:val="single" w:sz="4" w:space="0" w:color="auto"/>
              <w:right w:val="nil"/>
            </w:tcBorders>
            <w:shd w:val="clear" w:color="auto" w:fill="auto"/>
            <w:vAlign w:val="bottom"/>
            <w:hideMark/>
          </w:tcPr>
          <w:p w14:paraId="002CF05A" w14:textId="5AE81743" w:rsidR="00892C68" w:rsidRPr="007541CE" w:rsidRDefault="00892C68" w:rsidP="00892C68">
            <w:pPr>
              <w:spacing w:after="0" w:line="240" w:lineRule="auto"/>
              <w:jc w:val="right"/>
              <w:rPr>
                <w:rFonts w:ascii="Arial" w:hAnsi="Arial" w:cs="Arial"/>
                <w:color w:val="000000"/>
                <w:sz w:val="16"/>
                <w:szCs w:val="16"/>
              </w:rPr>
            </w:pPr>
            <w:r w:rsidRPr="00B22A82">
              <w:rPr>
                <w:rFonts w:ascii="Arial" w:hAnsi="Arial" w:cs="Arial"/>
                <w:color w:val="000000"/>
                <w:sz w:val="16"/>
                <w:szCs w:val="16"/>
              </w:rPr>
              <w:t>Proposed</w:t>
            </w:r>
            <w:r w:rsidRPr="00B22A82">
              <w:rPr>
                <w:rFonts w:ascii="Arial" w:hAnsi="Arial" w:cs="Arial"/>
                <w:color w:val="000000"/>
                <w:sz w:val="16"/>
                <w:szCs w:val="16"/>
              </w:rPr>
              <w:br/>
              <w:t>Additional</w:t>
            </w:r>
            <w:r w:rsidRPr="00B22A82">
              <w:rPr>
                <w:rFonts w:ascii="Arial" w:hAnsi="Arial" w:cs="Arial"/>
                <w:color w:val="000000"/>
                <w:sz w:val="16"/>
                <w:szCs w:val="16"/>
              </w:rPr>
              <w:br/>
              <w:t>Estimates</w:t>
            </w:r>
            <w:r w:rsidRPr="00B22A82">
              <w:rPr>
                <w:rFonts w:ascii="Arial" w:hAnsi="Arial" w:cs="Arial"/>
                <w:color w:val="000000"/>
                <w:sz w:val="16"/>
                <w:szCs w:val="16"/>
              </w:rPr>
              <w:br/>
            </w:r>
            <w:r w:rsidRPr="00B22A82">
              <w:rPr>
                <w:rFonts w:ascii="Arial" w:hAnsi="Arial" w:cs="Arial"/>
                <w:color w:val="000000"/>
                <w:sz w:val="16"/>
                <w:szCs w:val="16"/>
              </w:rPr>
              <w:br/>
              <w:t>2021-22</w:t>
            </w:r>
            <w:r w:rsidRPr="00B22A82">
              <w:rPr>
                <w:rFonts w:ascii="Arial" w:hAnsi="Arial" w:cs="Arial"/>
                <w:color w:val="000000"/>
                <w:sz w:val="16"/>
                <w:szCs w:val="16"/>
              </w:rPr>
              <w:br/>
              <w:t>$'000</w:t>
            </w:r>
          </w:p>
        </w:tc>
        <w:tc>
          <w:tcPr>
            <w:tcW w:w="1134" w:type="dxa"/>
            <w:tcBorders>
              <w:top w:val="single" w:sz="4" w:space="0" w:color="auto"/>
              <w:left w:val="nil"/>
              <w:bottom w:val="single" w:sz="4" w:space="0" w:color="auto"/>
              <w:right w:val="nil"/>
            </w:tcBorders>
            <w:shd w:val="clear" w:color="000000" w:fill="E6E6E6"/>
            <w:vAlign w:val="bottom"/>
            <w:hideMark/>
          </w:tcPr>
          <w:p w14:paraId="3601773D" w14:textId="3E377965" w:rsidR="00892C68" w:rsidRPr="007541CE" w:rsidRDefault="00892C68" w:rsidP="00892C68">
            <w:pPr>
              <w:spacing w:after="0" w:line="240" w:lineRule="auto"/>
              <w:jc w:val="right"/>
              <w:rPr>
                <w:rFonts w:ascii="Arial" w:hAnsi="Arial" w:cs="Arial"/>
                <w:color w:val="000000"/>
                <w:sz w:val="16"/>
                <w:szCs w:val="16"/>
              </w:rPr>
            </w:pPr>
            <w:r w:rsidRPr="00B22A82">
              <w:rPr>
                <w:rFonts w:ascii="Arial" w:hAnsi="Arial" w:cs="Arial"/>
                <w:color w:val="000000"/>
                <w:sz w:val="16"/>
                <w:szCs w:val="16"/>
              </w:rPr>
              <w:t>Total</w:t>
            </w:r>
            <w:r w:rsidRPr="00B22A82">
              <w:rPr>
                <w:rFonts w:ascii="Arial" w:hAnsi="Arial" w:cs="Arial"/>
                <w:color w:val="000000"/>
                <w:sz w:val="16"/>
                <w:szCs w:val="16"/>
              </w:rPr>
              <w:br/>
              <w:t>estimate at</w:t>
            </w:r>
            <w:r w:rsidRPr="00B22A82">
              <w:rPr>
                <w:rFonts w:ascii="Arial" w:hAnsi="Arial" w:cs="Arial"/>
                <w:color w:val="000000"/>
                <w:sz w:val="16"/>
                <w:szCs w:val="16"/>
              </w:rPr>
              <w:br/>
              <w:t>Additional</w:t>
            </w:r>
            <w:r w:rsidRPr="00B22A82">
              <w:rPr>
                <w:rFonts w:ascii="Arial" w:hAnsi="Arial" w:cs="Arial"/>
                <w:color w:val="000000"/>
                <w:sz w:val="16"/>
                <w:szCs w:val="16"/>
              </w:rPr>
              <w:br/>
              <w:t>Estimates</w:t>
            </w:r>
            <w:r w:rsidRPr="00B22A82">
              <w:rPr>
                <w:rFonts w:ascii="Arial" w:hAnsi="Arial" w:cs="Arial"/>
                <w:color w:val="000000"/>
                <w:sz w:val="16"/>
                <w:szCs w:val="16"/>
              </w:rPr>
              <w:br/>
              <w:t>2021-22</w:t>
            </w:r>
            <w:r w:rsidRPr="00B22A82">
              <w:rPr>
                <w:rFonts w:ascii="Arial" w:hAnsi="Arial" w:cs="Arial"/>
                <w:color w:val="000000"/>
                <w:sz w:val="16"/>
                <w:szCs w:val="16"/>
              </w:rPr>
              <w:br/>
              <w:t>$'000</w:t>
            </w:r>
          </w:p>
        </w:tc>
      </w:tr>
      <w:tr w:rsidR="007541CE" w:rsidRPr="007541CE" w14:paraId="043A136C" w14:textId="77777777" w:rsidTr="00244C4F">
        <w:trPr>
          <w:trHeight w:val="204"/>
        </w:trPr>
        <w:tc>
          <w:tcPr>
            <w:tcW w:w="2828" w:type="dxa"/>
            <w:tcBorders>
              <w:top w:val="nil"/>
              <w:left w:val="nil"/>
              <w:bottom w:val="nil"/>
              <w:right w:val="nil"/>
            </w:tcBorders>
            <w:shd w:val="clear" w:color="auto" w:fill="auto"/>
            <w:noWrap/>
            <w:hideMark/>
          </w:tcPr>
          <w:p w14:paraId="7D0C2581" w14:textId="7F6AC4D1" w:rsidR="007541CE" w:rsidRPr="007541CE" w:rsidRDefault="008863D9" w:rsidP="007541CE">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7541CE" w:rsidRPr="007541CE">
              <w:rPr>
                <w:rFonts w:ascii="Arial" w:hAnsi="Arial" w:cs="Arial"/>
                <w:b/>
                <w:bCs/>
                <w:color w:val="000000"/>
                <w:sz w:val="16"/>
                <w:szCs w:val="16"/>
              </w:rPr>
              <w:t>al</w:t>
            </w:r>
          </w:p>
        </w:tc>
        <w:tc>
          <w:tcPr>
            <w:tcW w:w="276" w:type="dxa"/>
            <w:tcBorders>
              <w:top w:val="nil"/>
              <w:left w:val="nil"/>
              <w:bottom w:val="nil"/>
              <w:right w:val="nil"/>
            </w:tcBorders>
            <w:shd w:val="clear" w:color="auto" w:fill="auto"/>
            <w:noWrap/>
            <w:hideMark/>
          </w:tcPr>
          <w:p w14:paraId="5607BAC0" w14:textId="77777777" w:rsidR="007541CE" w:rsidRPr="007541CE" w:rsidRDefault="007541CE" w:rsidP="007541CE">
            <w:pPr>
              <w:spacing w:after="0" w:line="240" w:lineRule="auto"/>
              <w:jc w:val="left"/>
              <w:rPr>
                <w:rFonts w:ascii="Arial" w:hAnsi="Arial" w:cs="Arial"/>
                <w:b/>
                <w:bCs/>
                <w:color w:val="000000"/>
                <w:sz w:val="16"/>
                <w:szCs w:val="16"/>
              </w:rPr>
            </w:pPr>
          </w:p>
        </w:tc>
        <w:tc>
          <w:tcPr>
            <w:tcW w:w="1257" w:type="dxa"/>
            <w:tcBorders>
              <w:top w:val="single" w:sz="4" w:space="0" w:color="auto"/>
              <w:left w:val="nil"/>
              <w:bottom w:val="nil"/>
              <w:right w:val="nil"/>
            </w:tcBorders>
            <w:shd w:val="clear" w:color="000000" w:fill="FFFFFF"/>
            <w:noWrap/>
            <w:vAlign w:val="bottom"/>
            <w:hideMark/>
          </w:tcPr>
          <w:p w14:paraId="01943F61" w14:textId="28F424AF" w:rsidR="007541CE" w:rsidRPr="007541CE" w:rsidRDefault="007541CE" w:rsidP="00365900">
            <w:pPr>
              <w:spacing w:after="0" w:line="240" w:lineRule="auto"/>
              <w:jc w:val="right"/>
              <w:rPr>
                <w:rFonts w:ascii="Arial" w:hAnsi="Arial" w:cs="Arial"/>
                <w:color w:val="000000"/>
                <w:sz w:val="16"/>
                <w:szCs w:val="16"/>
              </w:rPr>
            </w:pPr>
          </w:p>
        </w:tc>
        <w:tc>
          <w:tcPr>
            <w:tcW w:w="1160" w:type="dxa"/>
            <w:tcBorders>
              <w:top w:val="single" w:sz="4" w:space="0" w:color="auto"/>
              <w:left w:val="nil"/>
              <w:bottom w:val="nil"/>
              <w:right w:val="nil"/>
            </w:tcBorders>
            <w:shd w:val="clear" w:color="auto" w:fill="auto"/>
            <w:noWrap/>
            <w:vAlign w:val="bottom"/>
            <w:hideMark/>
          </w:tcPr>
          <w:p w14:paraId="2F5027BC" w14:textId="77777777" w:rsidR="007541CE" w:rsidRPr="007541CE" w:rsidRDefault="007541CE" w:rsidP="00365900">
            <w:pPr>
              <w:spacing w:after="0" w:line="240" w:lineRule="auto"/>
              <w:jc w:val="right"/>
              <w:rPr>
                <w:rFonts w:ascii="Arial" w:hAnsi="Arial" w:cs="Arial"/>
                <w:color w:val="000000"/>
                <w:sz w:val="16"/>
                <w:szCs w:val="16"/>
              </w:rPr>
            </w:pPr>
          </w:p>
        </w:tc>
        <w:tc>
          <w:tcPr>
            <w:tcW w:w="992" w:type="dxa"/>
            <w:tcBorders>
              <w:top w:val="single" w:sz="4" w:space="0" w:color="auto"/>
              <w:left w:val="nil"/>
              <w:bottom w:val="nil"/>
              <w:right w:val="nil"/>
            </w:tcBorders>
            <w:shd w:val="clear" w:color="auto" w:fill="auto"/>
            <w:noWrap/>
            <w:vAlign w:val="bottom"/>
            <w:hideMark/>
          </w:tcPr>
          <w:p w14:paraId="771EDC5B" w14:textId="77777777" w:rsidR="007541CE" w:rsidRPr="007541CE" w:rsidRDefault="007541CE" w:rsidP="00365900">
            <w:pPr>
              <w:spacing w:after="0" w:line="240" w:lineRule="auto"/>
              <w:jc w:val="right"/>
              <w:rPr>
                <w:rFonts w:ascii="Times New Roman" w:hAnsi="Times New Roman"/>
              </w:rPr>
            </w:pPr>
          </w:p>
        </w:tc>
        <w:tc>
          <w:tcPr>
            <w:tcW w:w="1134" w:type="dxa"/>
            <w:tcBorders>
              <w:top w:val="single" w:sz="4" w:space="0" w:color="auto"/>
              <w:left w:val="nil"/>
              <w:bottom w:val="nil"/>
              <w:right w:val="nil"/>
            </w:tcBorders>
            <w:shd w:val="clear" w:color="000000" w:fill="E6E6E6"/>
            <w:noWrap/>
            <w:vAlign w:val="bottom"/>
            <w:hideMark/>
          </w:tcPr>
          <w:p w14:paraId="5C5356E9" w14:textId="39301DAC" w:rsidR="007541CE" w:rsidRPr="007541CE" w:rsidRDefault="007541CE" w:rsidP="00365900">
            <w:pPr>
              <w:spacing w:after="0" w:line="240" w:lineRule="auto"/>
              <w:jc w:val="right"/>
              <w:rPr>
                <w:rFonts w:ascii="Arial" w:hAnsi="Arial" w:cs="Arial"/>
                <w:color w:val="000000"/>
                <w:sz w:val="16"/>
                <w:szCs w:val="16"/>
              </w:rPr>
            </w:pPr>
          </w:p>
        </w:tc>
      </w:tr>
      <w:tr w:rsidR="007541CE" w:rsidRPr="007541CE" w14:paraId="187818FE" w14:textId="77777777" w:rsidTr="00244C4F">
        <w:trPr>
          <w:trHeight w:val="204"/>
        </w:trPr>
        <w:tc>
          <w:tcPr>
            <w:tcW w:w="3104" w:type="dxa"/>
            <w:gridSpan w:val="2"/>
            <w:tcBorders>
              <w:top w:val="nil"/>
              <w:left w:val="nil"/>
              <w:bottom w:val="nil"/>
              <w:right w:val="nil"/>
            </w:tcBorders>
            <w:shd w:val="clear" w:color="auto" w:fill="auto"/>
            <w:noWrap/>
            <w:hideMark/>
          </w:tcPr>
          <w:p w14:paraId="4307C37E" w14:textId="77777777" w:rsidR="007541CE" w:rsidRPr="007541CE" w:rsidRDefault="007541CE" w:rsidP="007541CE">
            <w:pPr>
              <w:spacing w:after="0" w:line="240" w:lineRule="auto"/>
              <w:jc w:val="left"/>
              <w:rPr>
                <w:rFonts w:ascii="Arial" w:hAnsi="Arial" w:cs="Arial"/>
                <w:color w:val="000000"/>
                <w:sz w:val="16"/>
                <w:szCs w:val="16"/>
              </w:rPr>
            </w:pPr>
            <w:r w:rsidRPr="007541CE">
              <w:rPr>
                <w:rFonts w:ascii="Arial" w:hAnsi="Arial" w:cs="Arial"/>
                <w:color w:val="000000"/>
                <w:sz w:val="16"/>
                <w:szCs w:val="16"/>
              </w:rPr>
              <w:t xml:space="preserve">Annual appropriations - ordinary annual services </w:t>
            </w:r>
            <w:r w:rsidRPr="007541CE">
              <w:rPr>
                <w:rFonts w:ascii="Arial" w:hAnsi="Arial" w:cs="Arial"/>
                <w:color w:val="000000"/>
                <w:sz w:val="16"/>
                <w:szCs w:val="16"/>
                <w:vertAlign w:val="superscript"/>
              </w:rPr>
              <w:t>(a)</w:t>
            </w:r>
          </w:p>
        </w:tc>
        <w:tc>
          <w:tcPr>
            <w:tcW w:w="1257" w:type="dxa"/>
            <w:tcBorders>
              <w:top w:val="nil"/>
              <w:left w:val="nil"/>
              <w:bottom w:val="nil"/>
              <w:right w:val="nil"/>
            </w:tcBorders>
            <w:shd w:val="clear" w:color="000000" w:fill="FFFFFF"/>
            <w:noWrap/>
            <w:vAlign w:val="bottom"/>
            <w:hideMark/>
          </w:tcPr>
          <w:p w14:paraId="1BE38787" w14:textId="77777777" w:rsidR="007541CE" w:rsidRPr="007541CE" w:rsidRDefault="007541CE" w:rsidP="00365900">
            <w:pPr>
              <w:spacing w:after="0" w:line="240" w:lineRule="auto"/>
              <w:jc w:val="right"/>
              <w:rPr>
                <w:rFonts w:ascii="Arial" w:hAnsi="Arial" w:cs="Arial"/>
                <w:color w:val="000000"/>
                <w:sz w:val="16"/>
                <w:szCs w:val="16"/>
              </w:rPr>
            </w:pPr>
            <w:r w:rsidRPr="007541CE">
              <w:rPr>
                <w:rFonts w:ascii="Arial" w:hAnsi="Arial" w:cs="Arial"/>
                <w:color w:val="000000"/>
                <w:sz w:val="16"/>
                <w:szCs w:val="16"/>
              </w:rPr>
              <w:t> </w:t>
            </w:r>
          </w:p>
        </w:tc>
        <w:tc>
          <w:tcPr>
            <w:tcW w:w="1160" w:type="dxa"/>
            <w:tcBorders>
              <w:top w:val="nil"/>
              <w:left w:val="nil"/>
              <w:bottom w:val="nil"/>
              <w:right w:val="nil"/>
            </w:tcBorders>
            <w:shd w:val="clear" w:color="auto" w:fill="auto"/>
            <w:noWrap/>
            <w:vAlign w:val="bottom"/>
            <w:hideMark/>
          </w:tcPr>
          <w:p w14:paraId="02D2F5DA" w14:textId="77777777" w:rsidR="007541CE" w:rsidRPr="007541CE" w:rsidRDefault="007541CE" w:rsidP="00365900">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777262A8" w14:textId="77777777" w:rsidR="007541CE" w:rsidRPr="007541CE" w:rsidRDefault="007541CE" w:rsidP="00365900">
            <w:pPr>
              <w:spacing w:after="0" w:line="240" w:lineRule="auto"/>
              <w:jc w:val="right"/>
              <w:rPr>
                <w:rFonts w:ascii="Times New Roman" w:hAnsi="Times New Roman"/>
              </w:rPr>
            </w:pPr>
          </w:p>
        </w:tc>
        <w:tc>
          <w:tcPr>
            <w:tcW w:w="1134" w:type="dxa"/>
            <w:tcBorders>
              <w:top w:val="nil"/>
              <w:left w:val="nil"/>
              <w:bottom w:val="nil"/>
              <w:right w:val="nil"/>
            </w:tcBorders>
            <w:shd w:val="clear" w:color="000000" w:fill="E6E6E6"/>
            <w:noWrap/>
            <w:vAlign w:val="bottom"/>
            <w:hideMark/>
          </w:tcPr>
          <w:p w14:paraId="7AC2A670" w14:textId="05EF2FFF" w:rsidR="007541CE" w:rsidRPr="007541CE" w:rsidRDefault="007541CE" w:rsidP="00365900">
            <w:pPr>
              <w:spacing w:after="0" w:line="240" w:lineRule="auto"/>
              <w:jc w:val="right"/>
              <w:rPr>
                <w:rFonts w:ascii="Arial" w:hAnsi="Arial" w:cs="Arial"/>
                <w:color w:val="000000"/>
                <w:sz w:val="16"/>
                <w:szCs w:val="16"/>
              </w:rPr>
            </w:pPr>
          </w:p>
        </w:tc>
      </w:tr>
      <w:tr w:rsidR="007C37A5" w:rsidRPr="007541CE" w14:paraId="5D8F04FC" w14:textId="77777777" w:rsidTr="00244C4F">
        <w:trPr>
          <w:trHeight w:val="204"/>
        </w:trPr>
        <w:tc>
          <w:tcPr>
            <w:tcW w:w="2828" w:type="dxa"/>
            <w:tcBorders>
              <w:top w:val="nil"/>
              <w:left w:val="nil"/>
              <w:bottom w:val="nil"/>
              <w:right w:val="nil"/>
            </w:tcBorders>
            <w:shd w:val="clear" w:color="auto" w:fill="auto"/>
            <w:noWrap/>
            <w:hideMark/>
          </w:tcPr>
          <w:p w14:paraId="526376F4" w14:textId="77777777" w:rsidR="007C37A5" w:rsidRPr="007541CE" w:rsidRDefault="007C37A5" w:rsidP="007C37A5">
            <w:pPr>
              <w:spacing w:after="0" w:line="240" w:lineRule="auto"/>
              <w:ind w:left="113"/>
              <w:jc w:val="left"/>
              <w:rPr>
                <w:rFonts w:ascii="Arial" w:hAnsi="Arial" w:cs="Arial"/>
                <w:color w:val="000000"/>
                <w:sz w:val="16"/>
                <w:szCs w:val="16"/>
              </w:rPr>
            </w:pPr>
            <w:r w:rsidRPr="007541CE">
              <w:rPr>
                <w:rFonts w:ascii="Arial" w:hAnsi="Arial" w:cs="Arial"/>
                <w:color w:val="000000"/>
                <w:sz w:val="16"/>
                <w:szCs w:val="16"/>
              </w:rPr>
              <w:t xml:space="preserve">Prior year appropriations </w:t>
            </w:r>
            <w:r w:rsidRPr="007541CE">
              <w:rPr>
                <w:rFonts w:ascii="Arial" w:hAnsi="Arial" w:cs="Arial"/>
                <w:color w:val="000000"/>
                <w:sz w:val="16"/>
                <w:szCs w:val="16"/>
                <w:vertAlign w:val="superscript"/>
              </w:rPr>
              <w:t>(b)</w:t>
            </w:r>
          </w:p>
        </w:tc>
        <w:tc>
          <w:tcPr>
            <w:tcW w:w="276" w:type="dxa"/>
            <w:tcBorders>
              <w:top w:val="nil"/>
              <w:left w:val="nil"/>
              <w:bottom w:val="nil"/>
              <w:right w:val="nil"/>
            </w:tcBorders>
            <w:shd w:val="clear" w:color="auto" w:fill="auto"/>
            <w:noWrap/>
            <w:hideMark/>
          </w:tcPr>
          <w:p w14:paraId="4CD74EB3" w14:textId="77777777" w:rsidR="007C37A5" w:rsidRPr="007541CE" w:rsidRDefault="007C37A5" w:rsidP="007C37A5">
            <w:pPr>
              <w:spacing w:after="0" w:line="240" w:lineRule="auto"/>
              <w:ind w:firstLineChars="100" w:firstLine="160"/>
              <w:jc w:val="left"/>
              <w:rPr>
                <w:rFonts w:ascii="Arial" w:hAnsi="Arial" w:cs="Arial"/>
                <w:color w:val="000000"/>
                <w:sz w:val="16"/>
                <w:szCs w:val="16"/>
              </w:rPr>
            </w:pPr>
          </w:p>
        </w:tc>
        <w:tc>
          <w:tcPr>
            <w:tcW w:w="1257" w:type="dxa"/>
            <w:tcBorders>
              <w:top w:val="nil"/>
              <w:left w:val="nil"/>
              <w:bottom w:val="nil"/>
              <w:right w:val="nil"/>
            </w:tcBorders>
            <w:shd w:val="clear" w:color="000000" w:fill="FFFFFF"/>
            <w:noWrap/>
            <w:vAlign w:val="bottom"/>
            <w:hideMark/>
          </w:tcPr>
          <w:p w14:paraId="7AF2FD9E" w14:textId="2D369E97"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7,122</w:t>
            </w:r>
          </w:p>
        </w:tc>
        <w:tc>
          <w:tcPr>
            <w:tcW w:w="1160" w:type="dxa"/>
            <w:tcBorders>
              <w:top w:val="nil"/>
              <w:left w:val="nil"/>
              <w:bottom w:val="nil"/>
              <w:right w:val="nil"/>
            </w:tcBorders>
            <w:shd w:val="clear" w:color="auto" w:fill="auto"/>
            <w:noWrap/>
            <w:vAlign w:val="bottom"/>
            <w:hideMark/>
          </w:tcPr>
          <w:p w14:paraId="56F8995F" w14:textId="236EDB4D"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7,122</w:t>
            </w:r>
          </w:p>
        </w:tc>
        <w:tc>
          <w:tcPr>
            <w:tcW w:w="992" w:type="dxa"/>
            <w:tcBorders>
              <w:top w:val="nil"/>
              <w:left w:val="nil"/>
              <w:bottom w:val="nil"/>
              <w:right w:val="nil"/>
            </w:tcBorders>
            <w:shd w:val="clear" w:color="auto" w:fill="auto"/>
            <w:noWrap/>
            <w:vAlign w:val="bottom"/>
            <w:hideMark/>
          </w:tcPr>
          <w:p w14:paraId="7545CBBD" w14:textId="6512C444"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w:t>
            </w:r>
          </w:p>
        </w:tc>
        <w:tc>
          <w:tcPr>
            <w:tcW w:w="1134" w:type="dxa"/>
            <w:tcBorders>
              <w:top w:val="nil"/>
              <w:left w:val="nil"/>
              <w:bottom w:val="nil"/>
              <w:right w:val="nil"/>
            </w:tcBorders>
            <w:shd w:val="clear" w:color="000000" w:fill="E6E6E6"/>
            <w:noWrap/>
            <w:vAlign w:val="bottom"/>
            <w:hideMark/>
          </w:tcPr>
          <w:p w14:paraId="2B5E5927" w14:textId="6EDFE7A5"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7,122</w:t>
            </w:r>
          </w:p>
        </w:tc>
      </w:tr>
      <w:tr w:rsidR="007C37A5" w:rsidRPr="007541CE" w14:paraId="04D1B006" w14:textId="77777777" w:rsidTr="00244C4F">
        <w:trPr>
          <w:trHeight w:val="204"/>
        </w:trPr>
        <w:tc>
          <w:tcPr>
            <w:tcW w:w="2828" w:type="dxa"/>
            <w:tcBorders>
              <w:top w:val="nil"/>
              <w:left w:val="nil"/>
              <w:bottom w:val="nil"/>
              <w:right w:val="nil"/>
            </w:tcBorders>
            <w:shd w:val="clear" w:color="auto" w:fill="auto"/>
            <w:noWrap/>
            <w:hideMark/>
          </w:tcPr>
          <w:p w14:paraId="52BF0CE4" w14:textId="281EAEE4" w:rsidR="007C37A5" w:rsidRPr="007541CE" w:rsidRDefault="008863D9" w:rsidP="007C37A5">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007C37A5" w:rsidRPr="007541CE">
              <w:rPr>
                <w:rFonts w:ascii="Arial" w:hAnsi="Arial" w:cs="Arial"/>
                <w:color w:val="000000"/>
                <w:sz w:val="16"/>
                <w:szCs w:val="16"/>
              </w:rPr>
              <w:t>al appropriation</w:t>
            </w:r>
          </w:p>
        </w:tc>
        <w:tc>
          <w:tcPr>
            <w:tcW w:w="276" w:type="dxa"/>
            <w:tcBorders>
              <w:top w:val="nil"/>
              <w:left w:val="nil"/>
              <w:bottom w:val="nil"/>
              <w:right w:val="nil"/>
            </w:tcBorders>
            <w:shd w:val="clear" w:color="auto" w:fill="auto"/>
            <w:noWrap/>
            <w:hideMark/>
          </w:tcPr>
          <w:p w14:paraId="065E5C66" w14:textId="77777777" w:rsidR="007C37A5" w:rsidRPr="007541CE" w:rsidRDefault="007C37A5" w:rsidP="007C37A5">
            <w:pPr>
              <w:spacing w:after="0" w:line="240" w:lineRule="auto"/>
              <w:ind w:firstLineChars="100" w:firstLine="160"/>
              <w:jc w:val="left"/>
              <w:rPr>
                <w:rFonts w:ascii="Arial" w:hAnsi="Arial" w:cs="Arial"/>
                <w:color w:val="000000"/>
                <w:sz w:val="16"/>
                <w:szCs w:val="16"/>
              </w:rPr>
            </w:pPr>
          </w:p>
        </w:tc>
        <w:tc>
          <w:tcPr>
            <w:tcW w:w="1257" w:type="dxa"/>
            <w:tcBorders>
              <w:top w:val="nil"/>
              <w:left w:val="nil"/>
              <w:bottom w:val="nil"/>
              <w:right w:val="nil"/>
            </w:tcBorders>
            <w:shd w:val="clear" w:color="000000" w:fill="FFFFFF"/>
            <w:noWrap/>
            <w:vAlign w:val="bottom"/>
            <w:hideMark/>
          </w:tcPr>
          <w:p w14:paraId="6D0B7929" w14:textId="1EC69A82"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10,949</w:t>
            </w:r>
          </w:p>
        </w:tc>
        <w:tc>
          <w:tcPr>
            <w:tcW w:w="1160" w:type="dxa"/>
            <w:tcBorders>
              <w:top w:val="nil"/>
              <w:left w:val="nil"/>
              <w:bottom w:val="nil"/>
              <w:right w:val="nil"/>
            </w:tcBorders>
            <w:shd w:val="clear" w:color="000000" w:fill="FFFFFF"/>
            <w:noWrap/>
            <w:vAlign w:val="bottom"/>
            <w:hideMark/>
          </w:tcPr>
          <w:p w14:paraId="6C341E5E" w14:textId="4422208D"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10,357</w:t>
            </w:r>
          </w:p>
        </w:tc>
        <w:tc>
          <w:tcPr>
            <w:tcW w:w="992" w:type="dxa"/>
            <w:tcBorders>
              <w:top w:val="nil"/>
              <w:left w:val="nil"/>
              <w:bottom w:val="nil"/>
              <w:right w:val="nil"/>
            </w:tcBorders>
            <w:shd w:val="clear" w:color="auto" w:fill="auto"/>
            <w:noWrap/>
            <w:vAlign w:val="bottom"/>
            <w:hideMark/>
          </w:tcPr>
          <w:p w14:paraId="45561358" w14:textId="31424C5F"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w:t>
            </w:r>
          </w:p>
        </w:tc>
        <w:tc>
          <w:tcPr>
            <w:tcW w:w="1134" w:type="dxa"/>
            <w:tcBorders>
              <w:top w:val="nil"/>
              <w:left w:val="nil"/>
              <w:bottom w:val="nil"/>
              <w:right w:val="nil"/>
            </w:tcBorders>
            <w:shd w:val="clear" w:color="000000" w:fill="E6E6E6"/>
            <w:noWrap/>
            <w:vAlign w:val="bottom"/>
            <w:hideMark/>
          </w:tcPr>
          <w:p w14:paraId="7D140A07" w14:textId="6C47AB52"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10,357</w:t>
            </w:r>
          </w:p>
        </w:tc>
      </w:tr>
      <w:tr w:rsidR="007C37A5" w:rsidRPr="007541CE" w14:paraId="09072346" w14:textId="77777777" w:rsidTr="00244C4F">
        <w:trPr>
          <w:trHeight w:val="204"/>
        </w:trPr>
        <w:tc>
          <w:tcPr>
            <w:tcW w:w="2828" w:type="dxa"/>
            <w:tcBorders>
              <w:top w:val="nil"/>
              <w:left w:val="nil"/>
              <w:bottom w:val="nil"/>
              <w:right w:val="nil"/>
            </w:tcBorders>
            <w:shd w:val="clear" w:color="auto" w:fill="auto"/>
            <w:noWrap/>
            <w:hideMark/>
          </w:tcPr>
          <w:p w14:paraId="7B5A84DB" w14:textId="6A4E070C" w:rsidR="007C37A5" w:rsidRPr="007541CE" w:rsidRDefault="007C37A5" w:rsidP="007C37A5">
            <w:pPr>
              <w:spacing w:after="0" w:line="240" w:lineRule="auto"/>
              <w:ind w:left="113"/>
              <w:jc w:val="left"/>
              <w:rPr>
                <w:rFonts w:ascii="Arial" w:hAnsi="Arial" w:cs="Arial"/>
                <w:color w:val="000000"/>
                <w:sz w:val="16"/>
                <w:szCs w:val="16"/>
              </w:rPr>
            </w:pPr>
            <w:r>
              <w:rPr>
                <w:rFonts w:ascii="Arial" w:hAnsi="Arial" w:cs="Arial"/>
                <w:color w:val="000000"/>
                <w:sz w:val="16"/>
                <w:szCs w:val="16"/>
              </w:rPr>
              <w:t>s74 external revenue</w:t>
            </w:r>
            <w:r w:rsidRPr="007541CE">
              <w:rPr>
                <w:rFonts w:ascii="Arial" w:hAnsi="Arial" w:cs="Arial"/>
                <w:color w:val="000000"/>
                <w:sz w:val="16"/>
                <w:szCs w:val="16"/>
              </w:rPr>
              <w:t xml:space="preserve"> </w:t>
            </w:r>
            <w:r w:rsidRPr="007541CE">
              <w:rPr>
                <w:rFonts w:ascii="Arial" w:hAnsi="Arial" w:cs="Arial"/>
                <w:color w:val="000000"/>
                <w:sz w:val="16"/>
                <w:szCs w:val="16"/>
                <w:vertAlign w:val="superscript"/>
              </w:rPr>
              <w:t>(c)</w:t>
            </w:r>
          </w:p>
        </w:tc>
        <w:tc>
          <w:tcPr>
            <w:tcW w:w="276" w:type="dxa"/>
            <w:tcBorders>
              <w:top w:val="nil"/>
              <w:left w:val="nil"/>
              <w:bottom w:val="nil"/>
              <w:right w:val="nil"/>
            </w:tcBorders>
            <w:shd w:val="clear" w:color="auto" w:fill="auto"/>
            <w:noWrap/>
            <w:hideMark/>
          </w:tcPr>
          <w:p w14:paraId="5AA7CBFB" w14:textId="77777777" w:rsidR="007C37A5" w:rsidRPr="007541CE" w:rsidRDefault="007C37A5" w:rsidP="007C37A5">
            <w:pPr>
              <w:spacing w:after="0" w:line="240" w:lineRule="auto"/>
              <w:ind w:firstLineChars="100" w:firstLine="160"/>
              <w:jc w:val="left"/>
              <w:rPr>
                <w:rFonts w:ascii="Arial" w:hAnsi="Arial" w:cs="Arial"/>
                <w:color w:val="000000"/>
                <w:sz w:val="16"/>
                <w:szCs w:val="16"/>
              </w:rPr>
            </w:pPr>
          </w:p>
        </w:tc>
        <w:tc>
          <w:tcPr>
            <w:tcW w:w="1257" w:type="dxa"/>
            <w:tcBorders>
              <w:top w:val="nil"/>
              <w:left w:val="nil"/>
              <w:bottom w:val="nil"/>
              <w:right w:val="nil"/>
            </w:tcBorders>
            <w:shd w:val="clear" w:color="000000" w:fill="FFFFFF"/>
            <w:noWrap/>
            <w:vAlign w:val="bottom"/>
            <w:hideMark/>
          </w:tcPr>
          <w:p w14:paraId="724930ED" w14:textId="66532A03" w:rsidR="007C37A5" w:rsidRPr="00892C68" w:rsidRDefault="007C37A5" w:rsidP="00695495">
            <w:pPr>
              <w:spacing w:after="0" w:line="240" w:lineRule="auto"/>
              <w:jc w:val="right"/>
              <w:rPr>
                <w:rFonts w:ascii="Arial" w:hAnsi="Arial" w:cs="Arial"/>
                <w:color w:val="000000"/>
                <w:sz w:val="16"/>
                <w:szCs w:val="16"/>
              </w:rPr>
            </w:pPr>
            <w:r w:rsidRPr="00892C68">
              <w:rPr>
                <w:rFonts w:ascii="Arial" w:hAnsi="Arial" w:cs="Arial"/>
                <w:color w:val="000000"/>
                <w:sz w:val="16"/>
                <w:szCs w:val="16"/>
              </w:rPr>
              <w:t>2,</w:t>
            </w:r>
            <w:r w:rsidR="00695495" w:rsidRPr="00892C68">
              <w:rPr>
                <w:rFonts w:ascii="Arial" w:hAnsi="Arial" w:cs="Arial"/>
                <w:color w:val="000000"/>
                <w:sz w:val="16"/>
                <w:szCs w:val="16"/>
              </w:rPr>
              <w:t>926</w:t>
            </w:r>
          </w:p>
        </w:tc>
        <w:tc>
          <w:tcPr>
            <w:tcW w:w="1160" w:type="dxa"/>
            <w:tcBorders>
              <w:top w:val="nil"/>
              <w:left w:val="nil"/>
              <w:bottom w:val="nil"/>
              <w:right w:val="nil"/>
            </w:tcBorders>
            <w:shd w:val="clear" w:color="000000" w:fill="FFFFFF"/>
            <w:noWrap/>
            <w:vAlign w:val="bottom"/>
            <w:hideMark/>
          </w:tcPr>
          <w:p w14:paraId="7CE6DEA4" w14:textId="3227DEC9"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2,494</w:t>
            </w:r>
          </w:p>
        </w:tc>
        <w:tc>
          <w:tcPr>
            <w:tcW w:w="992" w:type="dxa"/>
            <w:tcBorders>
              <w:top w:val="nil"/>
              <w:left w:val="nil"/>
              <w:bottom w:val="nil"/>
              <w:right w:val="nil"/>
            </w:tcBorders>
            <w:shd w:val="clear" w:color="auto" w:fill="auto"/>
            <w:noWrap/>
            <w:vAlign w:val="bottom"/>
            <w:hideMark/>
          </w:tcPr>
          <w:p w14:paraId="32826BBF" w14:textId="42919AC9"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w:t>
            </w:r>
          </w:p>
        </w:tc>
        <w:tc>
          <w:tcPr>
            <w:tcW w:w="1134" w:type="dxa"/>
            <w:tcBorders>
              <w:top w:val="nil"/>
              <w:left w:val="nil"/>
              <w:bottom w:val="nil"/>
              <w:right w:val="nil"/>
            </w:tcBorders>
            <w:shd w:val="clear" w:color="000000" w:fill="E6E6E6"/>
            <w:noWrap/>
            <w:vAlign w:val="bottom"/>
            <w:hideMark/>
          </w:tcPr>
          <w:p w14:paraId="6698A537" w14:textId="3E9A9EC9"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2,494</w:t>
            </w:r>
          </w:p>
        </w:tc>
      </w:tr>
      <w:tr w:rsidR="007C37A5" w:rsidRPr="007541CE" w14:paraId="6C91A736" w14:textId="77777777" w:rsidTr="00244C4F">
        <w:trPr>
          <w:trHeight w:val="204"/>
        </w:trPr>
        <w:tc>
          <w:tcPr>
            <w:tcW w:w="2828" w:type="dxa"/>
            <w:tcBorders>
              <w:top w:val="nil"/>
              <w:left w:val="nil"/>
              <w:bottom w:val="nil"/>
              <w:right w:val="nil"/>
            </w:tcBorders>
            <w:shd w:val="clear" w:color="auto" w:fill="auto"/>
            <w:noWrap/>
            <w:hideMark/>
          </w:tcPr>
          <w:p w14:paraId="71E0E44E" w14:textId="6D42F098" w:rsidR="007C37A5" w:rsidRPr="007541CE" w:rsidRDefault="008863D9" w:rsidP="007C37A5">
            <w:pPr>
              <w:spacing w:after="0" w:line="240" w:lineRule="auto"/>
              <w:ind w:left="113"/>
              <w:jc w:val="left"/>
              <w:rPr>
                <w:rFonts w:ascii="Arial" w:hAnsi="Arial" w:cs="Arial"/>
                <w:color w:val="000000"/>
                <w:sz w:val="16"/>
                <w:szCs w:val="16"/>
              </w:rPr>
            </w:pPr>
            <w:r>
              <w:rPr>
                <w:rFonts w:ascii="Arial" w:hAnsi="Arial" w:cs="Arial"/>
                <w:color w:val="000000"/>
                <w:sz w:val="16"/>
                <w:szCs w:val="16"/>
              </w:rPr>
              <w:t>Department</w:t>
            </w:r>
            <w:r w:rsidR="007C37A5" w:rsidRPr="007541CE">
              <w:rPr>
                <w:rFonts w:ascii="Arial" w:hAnsi="Arial" w:cs="Arial"/>
                <w:color w:val="000000"/>
                <w:sz w:val="16"/>
                <w:szCs w:val="16"/>
              </w:rPr>
              <w:t xml:space="preserve">al capital budget </w:t>
            </w:r>
            <w:r w:rsidR="007C37A5" w:rsidRPr="007541CE">
              <w:rPr>
                <w:rFonts w:ascii="Arial" w:hAnsi="Arial" w:cs="Arial"/>
                <w:color w:val="000000"/>
                <w:sz w:val="16"/>
                <w:szCs w:val="16"/>
                <w:vertAlign w:val="superscript"/>
              </w:rPr>
              <w:t>(d)</w:t>
            </w:r>
          </w:p>
        </w:tc>
        <w:tc>
          <w:tcPr>
            <w:tcW w:w="276" w:type="dxa"/>
            <w:tcBorders>
              <w:top w:val="nil"/>
              <w:left w:val="nil"/>
              <w:bottom w:val="nil"/>
              <w:right w:val="nil"/>
            </w:tcBorders>
            <w:shd w:val="clear" w:color="auto" w:fill="auto"/>
            <w:noWrap/>
            <w:hideMark/>
          </w:tcPr>
          <w:p w14:paraId="5BA38729" w14:textId="77777777" w:rsidR="007C37A5" w:rsidRPr="007541CE" w:rsidRDefault="007C37A5" w:rsidP="007C37A5">
            <w:pPr>
              <w:spacing w:after="0" w:line="240" w:lineRule="auto"/>
              <w:ind w:firstLineChars="100" w:firstLine="160"/>
              <w:jc w:val="left"/>
              <w:rPr>
                <w:rFonts w:ascii="Arial" w:hAnsi="Arial" w:cs="Arial"/>
                <w:color w:val="000000"/>
                <w:sz w:val="16"/>
                <w:szCs w:val="16"/>
              </w:rPr>
            </w:pPr>
          </w:p>
        </w:tc>
        <w:tc>
          <w:tcPr>
            <w:tcW w:w="1257" w:type="dxa"/>
            <w:tcBorders>
              <w:top w:val="nil"/>
              <w:left w:val="nil"/>
              <w:bottom w:val="single" w:sz="4" w:space="0" w:color="auto"/>
              <w:right w:val="nil"/>
            </w:tcBorders>
            <w:shd w:val="clear" w:color="000000" w:fill="FFFFFF"/>
            <w:noWrap/>
            <w:vAlign w:val="bottom"/>
            <w:hideMark/>
          </w:tcPr>
          <w:p w14:paraId="2B850F6E" w14:textId="4CCA4FB9"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661</w:t>
            </w:r>
          </w:p>
        </w:tc>
        <w:tc>
          <w:tcPr>
            <w:tcW w:w="1160" w:type="dxa"/>
            <w:tcBorders>
              <w:top w:val="nil"/>
              <w:left w:val="nil"/>
              <w:bottom w:val="single" w:sz="4" w:space="0" w:color="auto"/>
              <w:right w:val="nil"/>
            </w:tcBorders>
            <w:shd w:val="clear" w:color="000000" w:fill="FFFFFF"/>
            <w:noWrap/>
            <w:vAlign w:val="bottom"/>
            <w:hideMark/>
          </w:tcPr>
          <w:p w14:paraId="2AADB924" w14:textId="086149B9"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661</w:t>
            </w:r>
          </w:p>
        </w:tc>
        <w:tc>
          <w:tcPr>
            <w:tcW w:w="992" w:type="dxa"/>
            <w:tcBorders>
              <w:top w:val="nil"/>
              <w:left w:val="nil"/>
              <w:bottom w:val="single" w:sz="4" w:space="0" w:color="auto"/>
              <w:right w:val="nil"/>
            </w:tcBorders>
            <w:shd w:val="clear" w:color="auto" w:fill="auto"/>
            <w:noWrap/>
            <w:vAlign w:val="bottom"/>
            <w:hideMark/>
          </w:tcPr>
          <w:p w14:paraId="6FFD1BAE" w14:textId="2F14B38F"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3,500</w:t>
            </w:r>
          </w:p>
        </w:tc>
        <w:tc>
          <w:tcPr>
            <w:tcW w:w="1134" w:type="dxa"/>
            <w:tcBorders>
              <w:top w:val="nil"/>
              <w:left w:val="nil"/>
              <w:bottom w:val="single" w:sz="4" w:space="0" w:color="auto"/>
              <w:right w:val="nil"/>
            </w:tcBorders>
            <w:shd w:val="clear" w:color="000000" w:fill="E6E6E6"/>
            <w:noWrap/>
            <w:vAlign w:val="bottom"/>
            <w:hideMark/>
          </w:tcPr>
          <w:p w14:paraId="32CFE504" w14:textId="1755E5B2"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4,161</w:t>
            </w:r>
          </w:p>
        </w:tc>
      </w:tr>
      <w:tr w:rsidR="007C37A5" w:rsidRPr="007541CE" w14:paraId="66CCF443" w14:textId="77777777" w:rsidTr="00244C4F">
        <w:trPr>
          <w:trHeight w:val="204"/>
        </w:trPr>
        <w:tc>
          <w:tcPr>
            <w:tcW w:w="2828" w:type="dxa"/>
            <w:tcBorders>
              <w:top w:val="nil"/>
              <w:left w:val="nil"/>
              <w:bottom w:val="nil"/>
              <w:right w:val="nil"/>
            </w:tcBorders>
            <w:shd w:val="clear" w:color="auto" w:fill="auto"/>
            <w:noWrap/>
            <w:hideMark/>
          </w:tcPr>
          <w:p w14:paraId="2AC8BDE0" w14:textId="0939F505" w:rsidR="007C37A5" w:rsidRPr="004223BD" w:rsidRDefault="007C37A5" w:rsidP="007C37A5">
            <w:pPr>
              <w:spacing w:after="0" w:line="240" w:lineRule="auto"/>
              <w:jc w:val="left"/>
              <w:rPr>
                <w:rFonts w:ascii="Arial" w:hAnsi="Arial" w:cs="Arial"/>
                <w:iCs/>
                <w:color w:val="000000"/>
                <w:sz w:val="16"/>
                <w:szCs w:val="16"/>
              </w:rPr>
            </w:pPr>
            <w:r w:rsidRPr="004223BD">
              <w:rPr>
                <w:rFonts w:ascii="Arial" w:hAnsi="Arial" w:cs="Arial"/>
                <w:iCs/>
                <w:color w:val="000000"/>
                <w:sz w:val="16"/>
                <w:szCs w:val="16"/>
              </w:rPr>
              <w:t xml:space="preserve">Total </w:t>
            </w:r>
            <w:r w:rsidR="008863D9">
              <w:rPr>
                <w:rFonts w:ascii="Arial" w:hAnsi="Arial" w:cs="Arial"/>
                <w:iCs/>
                <w:color w:val="000000"/>
                <w:sz w:val="16"/>
                <w:szCs w:val="16"/>
              </w:rPr>
              <w:t>Department</w:t>
            </w:r>
            <w:r w:rsidRPr="004223BD">
              <w:rPr>
                <w:rFonts w:ascii="Arial" w:hAnsi="Arial" w:cs="Arial"/>
                <w:iCs/>
                <w:color w:val="000000"/>
                <w:sz w:val="16"/>
                <w:szCs w:val="16"/>
              </w:rPr>
              <w:t>al annual appropriations</w:t>
            </w:r>
          </w:p>
        </w:tc>
        <w:tc>
          <w:tcPr>
            <w:tcW w:w="276" w:type="dxa"/>
            <w:tcBorders>
              <w:top w:val="nil"/>
              <w:left w:val="nil"/>
              <w:bottom w:val="nil"/>
              <w:right w:val="nil"/>
            </w:tcBorders>
            <w:shd w:val="clear" w:color="auto" w:fill="auto"/>
            <w:hideMark/>
          </w:tcPr>
          <w:p w14:paraId="72290C92" w14:textId="77777777" w:rsidR="007C37A5" w:rsidRPr="004223BD" w:rsidRDefault="007C37A5" w:rsidP="007C37A5">
            <w:pPr>
              <w:spacing w:after="0" w:line="240" w:lineRule="auto"/>
              <w:jc w:val="left"/>
              <w:rPr>
                <w:rFonts w:ascii="Arial" w:hAnsi="Arial" w:cs="Arial"/>
                <w:iCs/>
                <w:color w:val="000000"/>
                <w:sz w:val="16"/>
                <w:szCs w:val="16"/>
              </w:rPr>
            </w:pPr>
          </w:p>
        </w:tc>
        <w:tc>
          <w:tcPr>
            <w:tcW w:w="1257" w:type="dxa"/>
            <w:tcBorders>
              <w:top w:val="single" w:sz="4" w:space="0" w:color="auto"/>
              <w:left w:val="nil"/>
              <w:bottom w:val="single" w:sz="4" w:space="0" w:color="auto"/>
              <w:right w:val="nil"/>
            </w:tcBorders>
            <w:shd w:val="clear" w:color="000000" w:fill="FFFFFF"/>
            <w:noWrap/>
            <w:vAlign w:val="bottom"/>
            <w:hideMark/>
          </w:tcPr>
          <w:p w14:paraId="2BD420D8" w14:textId="64DAB50C" w:rsidR="007C37A5" w:rsidRPr="00892C68" w:rsidRDefault="00695495"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21,658</w:t>
            </w:r>
          </w:p>
        </w:tc>
        <w:tc>
          <w:tcPr>
            <w:tcW w:w="1160" w:type="dxa"/>
            <w:tcBorders>
              <w:top w:val="single" w:sz="4" w:space="0" w:color="auto"/>
              <w:left w:val="nil"/>
              <w:bottom w:val="single" w:sz="4" w:space="0" w:color="auto"/>
              <w:right w:val="nil"/>
            </w:tcBorders>
            <w:shd w:val="clear" w:color="auto" w:fill="auto"/>
            <w:noWrap/>
            <w:vAlign w:val="bottom"/>
            <w:hideMark/>
          </w:tcPr>
          <w:p w14:paraId="03FCD637" w14:textId="6C4C53C5" w:rsidR="007C37A5" w:rsidRPr="00892C68" w:rsidRDefault="007C37A5"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20,634</w:t>
            </w:r>
          </w:p>
        </w:tc>
        <w:tc>
          <w:tcPr>
            <w:tcW w:w="992" w:type="dxa"/>
            <w:tcBorders>
              <w:top w:val="single" w:sz="4" w:space="0" w:color="auto"/>
              <w:left w:val="nil"/>
              <w:bottom w:val="single" w:sz="4" w:space="0" w:color="auto"/>
              <w:right w:val="nil"/>
            </w:tcBorders>
            <w:shd w:val="clear" w:color="auto" w:fill="auto"/>
            <w:noWrap/>
            <w:vAlign w:val="bottom"/>
            <w:hideMark/>
          </w:tcPr>
          <w:p w14:paraId="014A20F7" w14:textId="6EEE76AF" w:rsidR="007C37A5" w:rsidRPr="00892C68" w:rsidRDefault="007C37A5"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3,500</w:t>
            </w:r>
          </w:p>
        </w:tc>
        <w:tc>
          <w:tcPr>
            <w:tcW w:w="1134" w:type="dxa"/>
            <w:tcBorders>
              <w:top w:val="single" w:sz="4" w:space="0" w:color="auto"/>
              <w:left w:val="nil"/>
              <w:bottom w:val="single" w:sz="4" w:space="0" w:color="auto"/>
              <w:right w:val="nil"/>
            </w:tcBorders>
            <w:shd w:val="clear" w:color="000000" w:fill="E6E6E6"/>
            <w:noWrap/>
            <w:vAlign w:val="bottom"/>
            <w:hideMark/>
          </w:tcPr>
          <w:p w14:paraId="7C9121DC" w14:textId="47368B93" w:rsidR="007C37A5" w:rsidRPr="00892C68" w:rsidRDefault="007C37A5"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24,134</w:t>
            </w:r>
          </w:p>
        </w:tc>
      </w:tr>
      <w:tr w:rsidR="007C37A5" w:rsidRPr="007541CE" w14:paraId="0A520BA4" w14:textId="77777777" w:rsidTr="00244C4F">
        <w:trPr>
          <w:trHeight w:val="204"/>
        </w:trPr>
        <w:tc>
          <w:tcPr>
            <w:tcW w:w="2828" w:type="dxa"/>
            <w:tcBorders>
              <w:top w:val="nil"/>
              <w:left w:val="nil"/>
              <w:bottom w:val="nil"/>
              <w:right w:val="nil"/>
            </w:tcBorders>
            <w:shd w:val="clear" w:color="auto" w:fill="auto"/>
            <w:noWrap/>
            <w:hideMark/>
          </w:tcPr>
          <w:p w14:paraId="5FC38FD2" w14:textId="41EACD5B" w:rsidR="007C37A5" w:rsidRPr="004223BD" w:rsidRDefault="007C37A5" w:rsidP="007C37A5">
            <w:pPr>
              <w:spacing w:after="0" w:line="240" w:lineRule="auto"/>
              <w:jc w:val="left"/>
              <w:rPr>
                <w:rFonts w:ascii="Arial" w:hAnsi="Arial" w:cs="Arial"/>
                <w:b/>
                <w:bCs/>
                <w:iCs/>
                <w:color w:val="000000"/>
                <w:sz w:val="16"/>
                <w:szCs w:val="16"/>
              </w:rPr>
            </w:pPr>
            <w:r w:rsidRPr="004223BD">
              <w:rPr>
                <w:rFonts w:ascii="Arial" w:hAnsi="Arial" w:cs="Arial"/>
                <w:b/>
                <w:bCs/>
                <w:iCs/>
                <w:color w:val="000000"/>
                <w:sz w:val="16"/>
                <w:szCs w:val="16"/>
              </w:rPr>
              <w:t xml:space="preserve">Total </w:t>
            </w:r>
            <w:r w:rsidR="008863D9">
              <w:rPr>
                <w:rFonts w:ascii="Arial" w:hAnsi="Arial" w:cs="Arial"/>
                <w:b/>
                <w:bCs/>
                <w:iCs/>
                <w:color w:val="000000"/>
                <w:sz w:val="16"/>
                <w:szCs w:val="16"/>
              </w:rPr>
              <w:t>Department</w:t>
            </w:r>
            <w:r w:rsidRPr="004223BD">
              <w:rPr>
                <w:rFonts w:ascii="Arial" w:hAnsi="Arial" w:cs="Arial"/>
                <w:b/>
                <w:bCs/>
                <w:iCs/>
                <w:color w:val="000000"/>
                <w:sz w:val="16"/>
                <w:szCs w:val="16"/>
              </w:rPr>
              <w:t>al resourcing</w:t>
            </w:r>
          </w:p>
        </w:tc>
        <w:tc>
          <w:tcPr>
            <w:tcW w:w="276" w:type="dxa"/>
            <w:tcBorders>
              <w:top w:val="nil"/>
              <w:left w:val="nil"/>
              <w:bottom w:val="nil"/>
              <w:right w:val="nil"/>
            </w:tcBorders>
            <w:shd w:val="clear" w:color="auto" w:fill="auto"/>
            <w:noWrap/>
            <w:hideMark/>
          </w:tcPr>
          <w:p w14:paraId="6C715130" w14:textId="77777777" w:rsidR="007C37A5" w:rsidRPr="004223BD" w:rsidRDefault="007C37A5" w:rsidP="007C37A5">
            <w:pPr>
              <w:spacing w:after="0" w:line="240" w:lineRule="auto"/>
              <w:jc w:val="left"/>
              <w:rPr>
                <w:rFonts w:ascii="Arial" w:hAnsi="Arial" w:cs="Arial"/>
                <w:b/>
                <w:bCs/>
                <w:iCs/>
                <w:color w:val="000000"/>
                <w:sz w:val="16"/>
                <w:szCs w:val="16"/>
              </w:rPr>
            </w:pPr>
          </w:p>
        </w:tc>
        <w:tc>
          <w:tcPr>
            <w:tcW w:w="1257" w:type="dxa"/>
            <w:tcBorders>
              <w:top w:val="nil"/>
              <w:left w:val="nil"/>
              <w:bottom w:val="single" w:sz="4" w:space="0" w:color="auto"/>
              <w:right w:val="nil"/>
            </w:tcBorders>
            <w:shd w:val="clear" w:color="000000" w:fill="FFFFFF"/>
            <w:noWrap/>
            <w:vAlign w:val="bottom"/>
            <w:hideMark/>
          </w:tcPr>
          <w:p w14:paraId="52449FD6" w14:textId="0DA657E9" w:rsidR="007C37A5" w:rsidRPr="00892C68" w:rsidRDefault="00695495" w:rsidP="00365900">
            <w:pPr>
              <w:spacing w:after="0" w:line="240" w:lineRule="auto"/>
              <w:jc w:val="right"/>
              <w:rPr>
                <w:rFonts w:ascii="Arial" w:hAnsi="Arial" w:cs="Arial"/>
                <w:b/>
                <w:bCs/>
                <w:iCs/>
                <w:color w:val="000000"/>
                <w:sz w:val="16"/>
                <w:szCs w:val="16"/>
              </w:rPr>
            </w:pPr>
            <w:r w:rsidRPr="00892C68">
              <w:rPr>
                <w:rFonts w:ascii="Arial" w:hAnsi="Arial" w:cs="Arial"/>
                <w:b/>
                <w:bCs/>
                <w:iCs/>
                <w:color w:val="000000"/>
                <w:sz w:val="16"/>
                <w:szCs w:val="16"/>
              </w:rPr>
              <w:t>21,658</w:t>
            </w:r>
          </w:p>
        </w:tc>
        <w:tc>
          <w:tcPr>
            <w:tcW w:w="1160" w:type="dxa"/>
            <w:tcBorders>
              <w:top w:val="nil"/>
              <w:left w:val="nil"/>
              <w:bottom w:val="single" w:sz="4" w:space="0" w:color="auto"/>
              <w:right w:val="nil"/>
            </w:tcBorders>
            <w:shd w:val="clear" w:color="auto" w:fill="auto"/>
            <w:noWrap/>
            <w:vAlign w:val="bottom"/>
            <w:hideMark/>
          </w:tcPr>
          <w:p w14:paraId="2DB4C942" w14:textId="097166FD" w:rsidR="007C37A5" w:rsidRPr="00892C68" w:rsidRDefault="007C37A5" w:rsidP="00365900">
            <w:pPr>
              <w:spacing w:after="0" w:line="240" w:lineRule="auto"/>
              <w:jc w:val="right"/>
              <w:rPr>
                <w:rFonts w:ascii="Arial" w:hAnsi="Arial" w:cs="Arial"/>
                <w:b/>
                <w:bCs/>
                <w:iCs/>
                <w:color w:val="000000"/>
                <w:sz w:val="16"/>
                <w:szCs w:val="16"/>
              </w:rPr>
            </w:pPr>
            <w:r w:rsidRPr="00892C68">
              <w:rPr>
                <w:rFonts w:ascii="Arial" w:hAnsi="Arial" w:cs="Arial"/>
                <w:b/>
                <w:bCs/>
                <w:iCs/>
                <w:color w:val="000000"/>
                <w:sz w:val="16"/>
                <w:szCs w:val="16"/>
              </w:rPr>
              <w:t>20,634</w:t>
            </w:r>
          </w:p>
        </w:tc>
        <w:tc>
          <w:tcPr>
            <w:tcW w:w="992" w:type="dxa"/>
            <w:tcBorders>
              <w:top w:val="nil"/>
              <w:left w:val="nil"/>
              <w:bottom w:val="single" w:sz="4" w:space="0" w:color="auto"/>
              <w:right w:val="nil"/>
            </w:tcBorders>
            <w:shd w:val="clear" w:color="auto" w:fill="auto"/>
            <w:noWrap/>
            <w:vAlign w:val="bottom"/>
            <w:hideMark/>
          </w:tcPr>
          <w:p w14:paraId="21ABE1F1" w14:textId="3E3EFDB5" w:rsidR="007C37A5" w:rsidRPr="00892C68" w:rsidRDefault="007C37A5" w:rsidP="00365900">
            <w:pPr>
              <w:spacing w:after="0" w:line="240" w:lineRule="auto"/>
              <w:jc w:val="right"/>
              <w:rPr>
                <w:rFonts w:ascii="Arial" w:hAnsi="Arial" w:cs="Arial"/>
                <w:b/>
                <w:bCs/>
                <w:iCs/>
                <w:color w:val="000000"/>
                <w:sz w:val="16"/>
                <w:szCs w:val="16"/>
              </w:rPr>
            </w:pPr>
            <w:r w:rsidRPr="00892C68">
              <w:rPr>
                <w:rFonts w:ascii="Arial" w:hAnsi="Arial" w:cs="Arial"/>
                <w:b/>
                <w:bCs/>
                <w:iCs/>
                <w:color w:val="000000"/>
                <w:sz w:val="16"/>
                <w:szCs w:val="16"/>
              </w:rPr>
              <w:t>3,500</w:t>
            </w:r>
          </w:p>
        </w:tc>
        <w:tc>
          <w:tcPr>
            <w:tcW w:w="1134" w:type="dxa"/>
            <w:tcBorders>
              <w:top w:val="nil"/>
              <w:left w:val="nil"/>
              <w:bottom w:val="single" w:sz="4" w:space="0" w:color="auto"/>
              <w:right w:val="nil"/>
            </w:tcBorders>
            <w:shd w:val="clear" w:color="000000" w:fill="E6E6E6"/>
            <w:noWrap/>
            <w:vAlign w:val="bottom"/>
            <w:hideMark/>
          </w:tcPr>
          <w:p w14:paraId="6FE048B4" w14:textId="5E88B99F" w:rsidR="007C37A5" w:rsidRPr="00892C68" w:rsidRDefault="007C37A5" w:rsidP="00365900">
            <w:pPr>
              <w:spacing w:after="0" w:line="240" w:lineRule="auto"/>
              <w:jc w:val="right"/>
              <w:rPr>
                <w:rFonts w:ascii="Arial" w:hAnsi="Arial" w:cs="Arial"/>
                <w:b/>
                <w:bCs/>
                <w:iCs/>
                <w:color w:val="000000"/>
                <w:sz w:val="16"/>
                <w:szCs w:val="16"/>
              </w:rPr>
            </w:pPr>
            <w:r w:rsidRPr="00892C68">
              <w:rPr>
                <w:rFonts w:ascii="Arial" w:hAnsi="Arial" w:cs="Arial"/>
                <w:b/>
                <w:bCs/>
                <w:iCs/>
                <w:color w:val="000000"/>
                <w:sz w:val="16"/>
                <w:szCs w:val="16"/>
              </w:rPr>
              <w:t>24,134</w:t>
            </w:r>
          </w:p>
        </w:tc>
      </w:tr>
      <w:tr w:rsidR="007541CE" w:rsidRPr="007541CE" w14:paraId="7FC11859" w14:textId="77777777" w:rsidTr="00244C4F">
        <w:trPr>
          <w:trHeight w:val="204"/>
        </w:trPr>
        <w:tc>
          <w:tcPr>
            <w:tcW w:w="2828" w:type="dxa"/>
            <w:tcBorders>
              <w:top w:val="nil"/>
              <w:left w:val="nil"/>
              <w:bottom w:val="nil"/>
              <w:right w:val="nil"/>
            </w:tcBorders>
            <w:shd w:val="clear" w:color="auto" w:fill="auto"/>
            <w:noWrap/>
            <w:hideMark/>
          </w:tcPr>
          <w:p w14:paraId="12691456" w14:textId="77777777" w:rsidR="007541CE" w:rsidRPr="004223BD" w:rsidRDefault="007541CE" w:rsidP="007541CE">
            <w:pPr>
              <w:spacing w:after="0" w:line="240" w:lineRule="auto"/>
              <w:jc w:val="left"/>
              <w:rPr>
                <w:rFonts w:ascii="Arial" w:hAnsi="Arial" w:cs="Arial"/>
                <w:b/>
                <w:bCs/>
                <w:color w:val="000000"/>
                <w:sz w:val="16"/>
                <w:szCs w:val="16"/>
              </w:rPr>
            </w:pPr>
            <w:r w:rsidRPr="004223BD">
              <w:rPr>
                <w:rFonts w:ascii="Arial" w:hAnsi="Arial" w:cs="Arial"/>
                <w:b/>
                <w:bCs/>
                <w:color w:val="000000"/>
                <w:sz w:val="16"/>
                <w:szCs w:val="16"/>
              </w:rPr>
              <w:t>Administered</w:t>
            </w:r>
          </w:p>
        </w:tc>
        <w:tc>
          <w:tcPr>
            <w:tcW w:w="276" w:type="dxa"/>
            <w:tcBorders>
              <w:top w:val="nil"/>
              <w:left w:val="nil"/>
              <w:bottom w:val="nil"/>
              <w:right w:val="nil"/>
            </w:tcBorders>
            <w:shd w:val="clear" w:color="auto" w:fill="auto"/>
            <w:noWrap/>
            <w:hideMark/>
          </w:tcPr>
          <w:p w14:paraId="643DED60" w14:textId="77777777" w:rsidR="007541CE" w:rsidRPr="004223BD" w:rsidRDefault="007541CE" w:rsidP="007541CE">
            <w:pPr>
              <w:spacing w:after="0" w:line="240" w:lineRule="auto"/>
              <w:jc w:val="left"/>
              <w:rPr>
                <w:rFonts w:ascii="Arial" w:hAnsi="Arial" w:cs="Arial"/>
                <w:b/>
                <w:bCs/>
                <w:color w:val="000000"/>
                <w:sz w:val="16"/>
                <w:szCs w:val="16"/>
              </w:rPr>
            </w:pPr>
          </w:p>
        </w:tc>
        <w:tc>
          <w:tcPr>
            <w:tcW w:w="1257" w:type="dxa"/>
            <w:tcBorders>
              <w:top w:val="nil"/>
              <w:left w:val="nil"/>
              <w:bottom w:val="nil"/>
              <w:right w:val="nil"/>
            </w:tcBorders>
            <w:shd w:val="clear" w:color="000000" w:fill="FFFFFF"/>
            <w:noWrap/>
            <w:vAlign w:val="bottom"/>
            <w:hideMark/>
          </w:tcPr>
          <w:p w14:paraId="36C85650" w14:textId="66EA5C58" w:rsidR="007541CE" w:rsidRPr="00892C68" w:rsidRDefault="007541CE" w:rsidP="007541CE">
            <w:pPr>
              <w:spacing w:after="0" w:line="240" w:lineRule="auto"/>
              <w:jc w:val="right"/>
              <w:rPr>
                <w:rFonts w:ascii="Arial" w:hAnsi="Arial" w:cs="Arial"/>
                <w:b/>
                <w:bCs/>
                <w:iCs/>
                <w:color w:val="000000"/>
                <w:sz w:val="16"/>
                <w:szCs w:val="16"/>
              </w:rPr>
            </w:pPr>
          </w:p>
        </w:tc>
        <w:tc>
          <w:tcPr>
            <w:tcW w:w="1160" w:type="dxa"/>
            <w:tcBorders>
              <w:top w:val="nil"/>
              <w:left w:val="nil"/>
              <w:bottom w:val="nil"/>
              <w:right w:val="nil"/>
            </w:tcBorders>
            <w:shd w:val="clear" w:color="auto" w:fill="auto"/>
            <w:noWrap/>
            <w:vAlign w:val="bottom"/>
            <w:hideMark/>
          </w:tcPr>
          <w:p w14:paraId="3EA41E1E" w14:textId="77777777" w:rsidR="007541CE" w:rsidRPr="00892C68" w:rsidRDefault="007541CE" w:rsidP="007541CE">
            <w:pPr>
              <w:spacing w:after="0" w:line="240" w:lineRule="auto"/>
              <w:jc w:val="right"/>
              <w:rPr>
                <w:rFonts w:ascii="Arial" w:hAnsi="Arial" w:cs="Arial"/>
                <w:b/>
                <w:bCs/>
                <w:iCs/>
                <w:color w:val="000000"/>
                <w:sz w:val="16"/>
                <w:szCs w:val="16"/>
              </w:rPr>
            </w:pPr>
          </w:p>
        </w:tc>
        <w:tc>
          <w:tcPr>
            <w:tcW w:w="992" w:type="dxa"/>
            <w:tcBorders>
              <w:top w:val="nil"/>
              <w:left w:val="nil"/>
              <w:bottom w:val="nil"/>
              <w:right w:val="nil"/>
            </w:tcBorders>
            <w:shd w:val="clear" w:color="auto" w:fill="auto"/>
            <w:noWrap/>
            <w:vAlign w:val="bottom"/>
            <w:hideMark/>
          </w:tcPr>
          <w:p w14:paraId="3F4561CC" w14:textId="77777777" w:rsidR="007541CE" w:rsidRPr="00892C68" w:rsidRDefault="007541CE" w:rsidP="007541CE">
            <w:pPr>
              <w:spacing w:after="0" w:line="240" w:lineRule="auto"/>
              <w:jc w:val="left"/>
              <w:rPr>
                <w:rFonts w:ascii="Times New Roman" w:hAnsi="Times New Roman"/>
                <w:sz w:val="16"/>
                <w:szCs w:val="16"/>
              </w:rPr>
            </w:pPr>
          </w:p>
        </w:tc>
        <w:tc>
          <w:tcPr>
            <w:tcW w:w="1134" w:type="dxa"/>
            <w:tcBorders>
              <w:top w:val="nil"/>
              <w:left w:val="nil"/>
              <w:bottom w:val="nil"/>
              <w:right w:val="nil"/>
            </w:tcBorders>
            <w:shd w:val="clear" w:color="000000" w:fill="E6E6E6"/>
            <w:noWrap/>
            <w:vAlign w:val="bottom"/>
            <w:hideMark/>
          </w:tcPr>
          <w:p w14:paraId="3059CAAD" w14:textId="47E59833" w:rsidR="007541CE" w:rsidRPr="00892C68" w:rsidRDefault="007541CE" w:rsidP="007541CE">
            <w:pPr>
              <w:spacing w:after="0" w:line="240" w:lineRule="auto"/>
              <w:jc w:val="left"/>
              <w:rPr>
                <w:rFonts w:ascii="Arial" w:hAnsi="Arial" w:cs="Arial"/>
                <w:color w:val="000000"/>
                <w:sz w:val="16"/>
                <w:szCs w:val="16"/>
              </w:rPr>
            </w:pPr>
          </w:p>
        </w:tc>
      </w:tr>
      <w:tr w:rsidR="007541CE" w:rsidRPr="007541CE" w14:paraId="76EE2B2F" w14:textId="77777777" w:rsidTr="00244C4F">
        <w:trPr>
          <w:trHeight w:val="204"/>
        </w:trPr>
        <w:tc>
          <w:tcPr>
            <w:tcW w:w="3104" w:type="dxa"/>
            <w:gridSpan w:val="2"/>
            <w:tcBorders>
              <w:top w:val="nil"/>
              <w:left w:val="nil"/>
              <w:bottom w:val="nil"/>
              <w:right w:val="nil"/>
            </w:tcBorders>
            <w:shd w:val="clear" w:color="auto" w:fill="auto"/>
            <w:noWrap/>
            <w:hideMark/>
          </w:tcPr>
          <w:p w14:paraId="2DD015CE" w14:textId="77777777" w:rsidR="007541CE" w:rsidRPr="004223BD" w:rsidRDefault="007541CE" w:rsidP="007541CE">
            <w:pPr>
              <w:spacing w:after="0" w:line="240" w:lineRule="auto"/>
              <w:jc w:val="left"/>
              <w:rPr>
                <w:rFonts w:ascii="Arial" w:hAnsi="Arial" w:cs="Arial"/>
                <w:color w:val="000000"/>
                <w:sz w:val="16"/>
                <w:szCs w:val="16"/>
              </w:rPr>
            </w:pPr>
            <w:r w:rsidRPr="004223BD">
              <w:rPr>
                <w:rFonts w:ascii="Arial" w:hAnsi="Arial" w:cs="Arial"/>
                <w:color w:val="000000"/>
                <w:sz w:val="16"/>
                <w:szCs w:val="16"/>
              </w:rPr>
              <w:t xml:space="preserve">Annual appropriations - ordinary annual services </w:t>
            </w:r>
            <w:r w:rsidRPr="004223BD">
              <w:rPr>
                <w:rFonts w:ascii="Arial" w:hAnsi="Arial" w:cs="Arial"/>
                <w:color w:val="000000"/>
                <w:sz w:val="16"/>
                <w:szCs w:val="16"/>
                <w:vertAlign w:val="superscript"/>
              </w:rPr>
              <w:t>(a)</w:t>
            </w:r>
          </w:p>
        </w:tc>
        <w:tc>
          <w:tcPr>
            <w:tcW w:w="1257" w:type="dxa"/>
            <w:tcBorders>
              <w:top w:val="nil"/>
              <w:left w:val="nil"/>
              <w:bottom w:val="nil"/>
              <w:right w:val="nil"/>
            </w:tcBorders>
            <w:shd w:val="clear" w:color="000000" w:fill="FFFFFF"/>
            <w:noWrap/>
            <w:vAlign w:val="bottom"/>
            <w:hideMark/>
          </w:tcPr>
          <w:p w14:paraId="22E142E6" w14:textId="07D2E660" w:rsidR="007541CE" w:rsidRPr="00892C68" w:rsidRDefault="007541CE" w:rsidP="00365900">
            <w:pPr>
              <w:spacing w:after="0" w:line="240" w:lineRule="auto"/>
              <w:jc w:val="right"/>
              <w:rPr>
                <w:rFonts w:ascii="Arial" w:hAnsi="Arial" w:cs="Arial"/>
                <w:color w:val="000000"/>
                <w:sz w:val="16"/>
                <w:szCs w:val="16"/>
              </w:rPr>
            </w:pPr>
          </w:p>
        </w:tc>
        <w:tc>
          <w:tcPr>
            <w:tcW w:w="1160" w:type="dxa"/>
            <w:tcBorders>
              <w:top w:val="nil"/>
              <w:left w:val="nil"/>
              <w:bottom w:val="nil"/>
              <w:right w:val="nil"/>
            </w:tcBorders>
            <w:shd w:val="clear" w:color="auto" w:fill="auto"/>
            <w:noWrap/>
            <w:vAlign w:val="bottom"/>
            <w:hideMark/>
          </w:tcPr>
          <w:p w14:paraId="36D03AD6" w14:textId="77777777" w:rsidR="007541CE" w:rsidRPr="00892C68" w:rsidRDefault="007541CE" w:rsidP="00365900">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2D9AE657" w14:textId="77777777" w:rsidR="007541CE" w:rsidRPr="00892C68" w:rsidRDefault="007541CE" w:rsidP="00365900">
            <w:pPr>
              <w:spacing w:after="0" w:line="240" w:lineRule="auto"/>
              <w:jc w:val="right"/>
              <w:rPr>
                <w:rFonts w:ascii="Times New Roman" w:hAnsi="Times New Roman"/>
                <w:sz w:val="16"/>
                <w:szCs w:val="16"/>
              </w:rPr>
            </w:pPr>
          </w:p>
        </w:tc>
        <w:tc>
          <w:tcPr>
            <w:tcW w:w="1134" w:type="dxa"/>
            <w:tcBorders>
              <w:top w:val="nil"/>
              <w:left w:val="nil"/>
              <w:bottom w:val="nil"/>
              <w:right w:val="nil"/>
            </w:tcBorders>
            <w:shd w:val="clear" w:color="000000" w:fill="E6E6E6"/>
            <w:noWrap/>
            <w:vAlign w:val="bottom"/>
            <w:hideMark/>
          </w:tcPr>
          <w:p w14:paraId="0CFD929C" w14:textId="4E0CBC83" w:rsidR="007541CE" w:rsidRPr="00892C68" w:rsidRDefault="007541CE" w:rsidP="00365900">
            <w:pPr>
              <w:spacing w:after="0" w:line="240" w:lineRule="auto"/>
              <w:jc w:val="right"/>
              <w:rPr>
                <w:rFonts w:ascii="Arial" w:hAnsi="Arial" w:cs="Arial"/>
                <w:color w:val="000000"/>
                <w:sz w:val="16"/>
                <w:szCs w:val="16"/>
              </w:rPr>
            </w:pPr>
          </w:p>
        </w:tc>
      </w:tr>
      <w:tr w:rsidR="00695495" w:rsidRPr="007541CE" w14:paraId="3ECC4F68" w14:textId="77777777" w:rsidTr="00244C4F">
        <w:trPr>
          <w:trHeight w:val="204"/>
        </w:trPr>
        <w:tc>
          <w:tcPr>
            <w:tcW w:w="3104" w:type="dxa"/>
            <w:gridSpan w:val="2"/>
            <w:tcBorders>
              <w:top w:val="nil"/>
              <w:left w:val="nil"/>
              <w:bottom w:val="nil"/>
              <w:right w:val="nil"/>
            </w:tcBorders>
            <w:shd w:val="clear" w:color="auto" w:fill="auto"/>
            <w:noWrap/>
          </w:tcPr>
          <w:p w14:paraId="630CA690" w14:textId="51227D78" w:rsidR="00695495" w:rsidRPr="004223BD" w:rsidRDefault="00695495" w:rsidP="00695495">
            <w:pPr>
              <w:spacing w:after="0" w:line="240" w:lineRule="auto"/>
              <w:ind w:left="113"/>
              <w:jc w:val="left"/>
              <w:rPr>
                <w:rFonts w:ascii="Arial" w:hAnsi="Arial" w:cs="Arial"/>
                <w:color w:val="000000"/>
                <w:sz w:val="16"/>
                <w:szCs w:val="16"/>
              </w:rPr>
            </w:pPr>
            <w:r w:rsidRPr="007541CE">
              <w:rPr>
                <w:rFonts w:ascii="Arial" w:hAnsi="Arial" w:cs="Arial"/>
                <w:color w:val="000000"/>
                <w:sz w:val="16"/>
                <w:szCs w:val="16"/>
              </w:rPr>
              <w:t xml:space="preserve">Prior year appropriations </w:t>
            </w:r>
            <w:r w:rsidRPr="007541CE">
              <w:rPr>
                <w:rFonts w:ascii="Arial" w:hAnsi="Arial" w:cs="Arial"/>
                <w:color w:val="000000"/>
                <w:sz w:val="16"/>
                <w:szCs w:val="16"/>
                <w:vertAlign w:val="superscript"/>
              </w:rPr>
              <w:t>(b)</w:t>
            </w:r>
          </w:p>
        </w:tc>
        <w:tc>
          <w:tcPr>
            <w:tcW w:w="1257" w:type="dxa"/>
            <w:tcBorders>
              <w:top w:val="nil"/>
              <w:left w:val="nil"/>
              <w:bottom w:val="nil"/>
              <w:right w:val="nil"/>
            </w:tcBorders>
            <w:shd w:val="clear" w:color="000000" w:fill="FFFFFF"/>
            <w:noWrap/>
            <w:vAlign w:val="bottom"/>
          </w:tcPr>
          <w:p w14:paraId="775EC78A" w14:textId="673FF8EA" w:rsidR="00695495" w:rsidRPr="00892C68" w:rsidRDefault="0069549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w:t>
            </w:r>
          </w:p>
        </w:tc>
        <w:tc>
          <w:tcPr>
            <w:tcW w:w="1160" w:type="dxa"/>
            <w:tcBorders>
              <w:top w:val="nil"/>
              <w:left w:val="nil"/>
              <w:bottom w:val="nil"/>
              <w:right w:val="nil"/>
            </w:tcBorders>
            <w:shd w:val="clear" w:color="auto" w:fill="auto"/>
            <w:noWrap/>
            <w:vAlign w:val="bottom"/>
          </w:tcPr>
          <w:p w14:paraId="0A19E230" w14:textId="32E543C4" w:rsidR="00695495" w:rsidRPr="00B048FF" w:rsidRDefault="00695495" w:rsidP="00365900">
            <w:pPr>
              <w:spacing w:after="0" w:line="240" w:lineRule="auto"/>
              <w:jc w:val="right"/>
              <w:rPr>
                <w:rFonts w:ascii="Arial" w:hAnsi="Arial" w:cs="Arial"/>
                <w:color w:val="000000"/>
                <w:sz w:val="16"/>
                <w:szCs w:val="16"/>
              </w:rPr>
            </w:pPr>
            <w:r w:rsidRPr="00B048FF">
              <w:rPr>
                <w:rFonts w:ascii="Arial" w:hAnsi="Arial" w:cs="Arial"/>
                <w:color w:val="000000"/>
                <w:sz w:val="16"/>
                <w:szCs w:val="16"/>
              </w:rPr>
              <w:t>1,709</w:t>
            </w:r>
          </w:p>
        </w:tc>
        <w:tc>
          <w:tcPr>
            <w:tcW w:w="992" w:type="dxa"/>
            <w:tcBorders>
              <w:top w:val="nil"/>
              <w:left w:val="nil"/>
              <w:bottom w:val="nil"/>
              <w:right w:val="nil"/>
            </w:tcBorders>
            <w:shd w:val="clear" w:color="auto" w:fill="auto"/>
            <w:noWrap/>
            <w:vAlign w:val="bottom"/>
          </w:tcPr>
          <w:p w14:paraId="1E06F207" w14:textId="6F1594EB" w:rsidR="00695495" w:rsidRPr="00B048FF" w:rsidRDefault="00695495" w:rsidP="00365900">
            <w:pPr>
              <w:spacing w:after="0" w:line="240" w:lineRule="auto"/>
              <w:jc w:val="right"/>
              <w:rPr>
                <w:rFonts w:ascii="Times New Roman" w:hAnsi="Times New Roman"/>
                <w:sz w:val="16"/>
                <w:szCs w:val="16"/>
              </w:rPr>
            </w:pPr>
            <w:r w:rsidRPr="00B048FF">
              <w:rPr>
                <w:rFonts w:ascii="Times New Roman" w:hAnsi="Times New Roman"/>
                <w:sz w:val="16"/>
                <w:szCs w:val="16"/>
              </w:rPr>
              <w:t>-</w:t>
            </w:r>
          </w:p>
        </w:tc>
        <w:tc>
          <w:tcPr>
            <w:tcW w:w="1134" w:type="dxa"/>
            <w:tcBorders>
              <w:top w:val="nil"/>
              <w:left w:val="nil"/>
              <w:bottom w:val="nil"/>
              <w:right w:val="nil"/>
            </w:tcBorders>
            <w:shd w:val="clear" w:color="000000" w:fill="E6E6E6"/>
            <w:noWrap/>
            <w:vAlign w:val="bottom"/>
          </w:tcPr>
          <w:p w14:paraId="0B7FBEED" w14:textId="45043942" w:rsidR="00695495" w:rsidRPr="00892C68" w:rsidRDefault="0069549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1,709</w:t>
            </w:r>
          </w:p>
        </w:tc>
      </w:tr>
      <w:tr w:rsidR="007C37A5" w:rsidRPr="007541CE" w14:paraId="5FD097F3" w14:textId="77777777" w:rsidTr="00244C4F">
        <w:trPr>
          <w:trHeight w:val="204"/>
        </w:trPr>
        <w:tc>
          <w:tcPr>
            <w:tcW w:w="2828" w:type="dxa"/>
            <w:tcBorders>
              <w:top w:val="nil"/>
              <w:left w:val="nil"/>
              <w:bottom w:val="nil"/>
              <w:right w:val="nil"/>
            </w:tcBorders>
            <w:shd w:val="clear" w:color="auto" w:fill="auto"/>
            <w:noWrap/>
            <w:hideMark/>
          </w:tcPr>
          <w:p w14:paraId="29FB92FA" w14:textId="77777777" w:rsidR="007C37A5" w:rsidRPr="004223BD" w:rsidRDefault="007C37A5" w:rsidP="00892C68">
            <w:pPr>
              <w:spacing w:after="0" w:line="240" w:lineRule="auto"/>
              <w:ind w:left="113"/>
              <w:jc w:val="left"/>
              <w:rPr>
                <w:rFonts w:ascii="Arial" w:hAnsi="Arial" w:cs="Arial"/>
                <w:color w:val="000000"/>
                <w:sz w:val="16"/>
                <w:szCs w:val="16"/>
              </w:rPr>
            </w:pPr>
            <w:r w:rsidRPr="004223BD">
              <w:rPr>
                <w:rFonts w:ascii="Arial" w:hAnsi="Arial" w:cs="Arial"/>
                <w:color w:val="000000"/>
                <w:sz w:val="16"/>
                <w:szCs w:val="16"/>
              </w:rPr>
              <w:t>Outcome 1</w:t>
            </w:r>
          </w:p>
        </w:tc>
        <w:tc>
          <w:tcPr>
            <w:tcW w:w="276" w:type="dxa"/>
            <w:tcBorders>
              <w:top w:val="nil"/>
              <w:left w:val="nil"/>
              <w:bottom w:val="nil"/>
              <w:right w:val="nil"/>
            </w:tcBorders>
            <w:shd w:val="clear" w:color="auto" w:fill="auto"/>
            <w:noWrap/>
            <w:hideMark/>
          </w:tcPr>
          <w:p w14:paraId="33423FB0" w14:textId="77777777" w:rsidR="007C37A5" w:rsidRPr="004223BD" w:rsidRDefault="007C37A5" w:rsidP="007C37A5">
            <w:pPr>
              <w:spacing w:after="0" w:line="240" w:lineRule="auto"/>
              <w:ind w:firstLineChars="100" w:firstLine="160"/>
              <w:jc w:val="left"/>
              <w:rPr>
                <w:rFonts w:ascii="Arial" w:hAnsi="Arial" w:cs="Arial"/>
                <w:color w:val="000000"/>
                <w:sz w:val="16"/>
                <w:szCs w:val="16"/>
              </w:rPr>
            </w:pPr>
          </w:p>
        </w:tc>
        <w:tc>
          <w:tcPr>
            <w:tcW w:w="1257" w:type="dxa"/>
            <w:tcBorders>
              <w:top w:val="nil"/>
              <w:left w:val="nil"/>
              <w:bottom w:val="nil"/>
              <w:right w:val="nil"/>
            </w:tcBorders>
            <w:shd w:val="clear" w:color="auto" w:fill="auto"/>
            <w:noWrap/>
            <w:vAlign w:val="bottom"/>
            <w:hideMark/>
          </w:tcPr>
          <w:p w14:paraId="0F9205A1" w14:textId="40DCAEC4"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17,384</w:t>
            </w:r>
          </w:p>
        </w:tc>
        <w:tc>
          <w:tcPr>
            <w:tcW w:w="1160" w:type="dxa"/>
            <w:tcBorders>
              <w:top w:val="nil"/>
              <w:left w:val="nil"/>
              <w:bottom w:val="nil"/>
              <w:right w:val="nil"/>
            </w:tcBorders>
            <w:shd w:val="clear" w:color="auto" w:fill="auto"/>
            <w:noWrap/>
            <w:vAlign w:val="bottom"/>
            <w:hideMark/>
          </w:tcPr>
          <w:p w14:paraId="6FEE97ED" w14:textId="6D297063" w:rsidR="007C37A5" w:rsidRPr="00B048FF" w:rsidRDefault="007C37A5" w:rsidP="00365900">
            <w:pPr>
              <w:spacing w:after="0" w:line="240" w:lineRule="auto"/>
              <w:jc w:val="right"/>
              <w:rPr>
                <w:rFonts w:ascii="Arial" w:hAnsi="Arial" w:cs="Arial"/>
                <w:color w:val="000000"/>
                <w:sz w:val="16"/>
                <w:szCs w:val="16"/>
              </w:rPr>
            </w:pPr>
            <w:r w:rsidRPr="00B048FF">
              <w:rPr>
                <w:rFonts w:ascii="Arial" w:hAnsi="Arial" w:cs="Arial"/>
                <w:color w:val="000000"/>
                <w:sz w:val="16"/>
                <w:szCs w:val="16"/>
              </w:rPr>
              <w:t>16,381</w:t>
            </w:r>
          </w:p>
        </w:tc>
        <w:tc>
          <w:tcPr>
            <w:tcW w:w="992" w:type="dxa"/>
            <w:tcBorders>
              <w:top w:val="nil"/>
              <w:left w:val="nil"/>
              <w:bottom w:val="nil"/>
              <w:right w:val="nil"/>
            </w:tcBorders>
            <w:shd w:val="clear" w:color="auto" w:fill="auto"/>
            <w:noWrap/>
            <w:vAlign w:val="bottom"/>
            <w:hideMark/>
          </w:tcPr>
          <w:p w14:paraId="5B6B74D5" w14:textId="745E7FDD" w:rsidR="007C37A5" w:rsidRPr="00B048FF" w:rsidRDefault="00515D2E" w:rsidP="00365900">
            <w:pPr>
              <w:spacing w:after="0" w:line="240" w:lineRule="auto"/>
              <w:jc w:val="right"/>
              <w:rPr>
                <w:rFonts w:ascii="Arial" w:hAnsi="Arial" w:cs="Arial"/>
                <w:color w:val="000000"/>
                <w:sz w:val="16"/>
                <w:szCs w:val="16"/>
              </w:rPr>
            </w:pPr>
            <w:r w:rsidRPr="00B048FF">
              <w:rPr>
                <w:rFonts w:ascii="Arial" w:hAnsi="Arial" w:cs="Arial"/>
                <w:color w:val="000000"/>
                <w:sz w:val="16"/>
                <w:szCs w:val="16"/>
              </w:rPr>
              <w:t>-</w:t>
            </w:r>
          </w:p>
        </w:tc>
        <w:tc>
          <w:tcPr>
            <w:tcW w:w="1134" w:type="dxa"/>
            <w:tcBorders>
              <w:top w:val="nil"/>
              <w:left w:val="nil"/>
              <w:bottom w:val="nil"/>
              <w:right w:val="nil"/>
            </w:tcBorders>
            <w:shd w:val="clear" w:color="000000" w:fill="E6E6E6"/>
            <w:noWrap/>
            <w:vAlign w:val="bottom"/>
            <w:hideMark/>
          </w:tcPr>
          <w:p w14:paraId="4795FB25" w14:textId="69C98856"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16,381</w:t>
            </w:r>
          </w:p>
        </w:tc>
      </w:tr>
      <w:tr w:rsidR="007C37A5" w:rsidRPr="007541CE" w14:paraId="4C7DAF12" w14:textId="77777777" w:rsidTr="00244C4F">
        <w:trPr>
          <w:trHeight w:val="204"/>
        </w:trPr>
        <w:tc>
          <w:tcPr>
            <w:tcW w:w="2828" w:type="dxa"/>
            <w:tcBorders>
              <w:top w:val="nil"/>
              <w:left w:val="nil"/>
              <w:bottom w:val="nil"/>
              <w:right w:val="nil"/>
            </w:tcBorders>
            <w:shd w:val="clear" w:color="auto" w:fill="auto"/>
            <w:noWrap/>
            <w:hideMark/>
          </w:tcPr>
          <w:p w14:paraId="6062397D" w14:textId="77777777" w:rsidR="007C37A5" w:rsidRPr="004223BD" w:rsidRDefault="007C37A5" w:rsidP="00892C68">
            <w:pPr>
              <w:spacing w:after="0" w:line="240" w:lineRule="auto"/>
              <w:ind w:left="113"/>
              <w:jc w:val="left"/>
              <w:rPr>
                <w:rFonts w:ascii="Arial" w:hAnsi="Arial" w:cs="Arial"/>
                <w:color w:val="000000"/>
                <w:sz w:val="16"/>
                <w:szCs w:val="16"/>
              </w:rPr>
            </w:pPr>
            <w:r w:rsidRPr="004223BD">
              <w:rPr>
                <w:rFonts w:ascii="Arial" w:hAnsi="Arial" w:cs="Arial"/>
                <w:color w:val="000000"/>
                <w:sz w:val="16"/>
                <w:szCs w:val="16"/>
              </w:rPr>
              <w:t xml:space="preserve">Administered capital budget </w:t>
            </w:r>
            <w:r w:rsidRPr="004223BD">
              <w:rPr>
                <w:rFonts w:ascii="Arial" w:hAnsi="Arial" w:cs="Arial"/>
                <w:color w:val="000000"/>
                <w:sz w:val="16"/>
                <w:szCs w:val="16"/>
                <w:vertAlign w:val="superscript"/>
              </w:rPr>
              <w:t>(e)</w:t>
            </w:r>
          </w:p>
        </w:tc>
        <w:tc>
          <w:tcPr>
            <w:tcW w:w="276" w:type="dxa"/>
            <w:tcBorders>
              <w:top w:val="nil"/>
              <w:left w:val="nil"/>
              <w:bottom w:val="nil"/>
              <w:right w:val="nil"/>
            </w:tcBorders>
            <w:shd w:val="clear" w:color="auto" w:fill="auto"/>
            <w:noWrap/>
            <w:hideMark/>
          </w:tcPr>
          <w:p w14:paraId="3344660C" w14:textId="77777777" w:rsidR="007C37A5" w:rsidRPr="004223BD" w:rsidRDefault="007C37A5" w:rsidP="007C37A5">
            <w:pPr>
              <w:spacing w:after="0" w:line="240" w:lineRule="auto"/>
              <w:ind w:firstLineChars="100" w:firstLine="160"/>
              <w:jc w:val="left"/>
              <w:rPr>
                <w:rFonts w:ascii="Arial" w:hAnsi="Arial" w:cs="Arial"/>
                <w:color w:val="000000"/>
                <w:sz w:val="16"/>
                <w:szCs w:val="16"/>
              </w:rPr>
            </w:pPr>
          </w:p>
        </w:tc>
        <w:tc>
          <w:tcPr>
            <w:tcW w:w="1257" w:type="dxa"/>
            <w:tcBorders>
              <w:top w:val="nil"/>
              <w:left w:val="nil"/>
              <w:right w:val="nil"/>
            </w:tcBorders>
            <w:shd w:val="clear" w:color="000000" w:fill="FFFFFF"/>
            <w:noWrap/>
            <w:vAlign w:val="bottom"/>
            <w:hideMark/>
          </w:tcPr>
          <w:p w14:paraId="620BBAF1" w14:textId="73804D8A" w:rsidR="007C37A5" w:rsidRPr="00892C68" w:rsidRDefault="007C37A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17,184</w:t>
            </w:r>
          </w:p>
        </w:tc>
        <w:tc>
          <w:tcPr>
            <w:tcW w:w="1160" w:type="dxa"/>
            <w:tcBorders>
              <w:top w:val="nil"/>
              <w:left w:val="nil"/>
              <w:right w:val="nil"/>
            </w:tcBorders>
            <w:shd w:val="clear" w:color="auto" w:fill="auto"/>
            <w:noWrap/>
            <w:vAlign w:val="bottom"/>
            <w:hideMark/>
          </w:tcPr>
          <w:p w14:paraId="770F8E8F" w14:textId="1C2BA278" w:rsidR="007C37A5" w:rsidRPr="00B048FF" w:rsidRDefault="007C37A5" w:rsidP="00365900">
            <w:pPr>
              <w:spacing w:after="0" w:line="240" w:lineRule="auto"/>
              <w:jc w:val="right"/>
              <w:rPr>
                <w:rFonts w:ascii="Arial" w:hAnsi="Arial" w:cs="Arial"/>
                <w:color w:val="000000"/>
                <w:sz w:val="16"/>
                <w:szCs w:val="16"/>
              </w:rPr>
            </w:pPr>
            <w:r w:rsidRPr="00B048FF">
              <w:rPr>
                <w:rFonts w:ascii="Arial" w:hAnsi="Arial" w:cs="Arial"/>
                <w:color w:val="000000"/>
                <w:sz w:val="16"/>
                <w:szCs w:val="16"/>
              </w:rPr>
              <w:t>17,106</w:t>
            </w:r>
          </w:p>
        </w:tc>
        <w:tc>
          <w:tcPr>
            <w:tcW w:w="992" w:type="dxa"/>
            <w:tcBorders>
              <w:top w:val="nil"/>
              <w:left w:val="nil"/>
              <w:right w:val="nil"/>
            </w:tcBorders>
            <w:shd w:val="clear" w:color="auto" w:fill="auto"/>
            <w:noWrap/>
            <w:vAlign w:val="bottom"/>
            <w:hideMark/>
          </w:tcPr>
          <w:p w14:paraId="780CCAEB" w14:textId="41231F58" w:rsidR="007C37A5" w:rsidRPr="00B048FF" w:rsidRDefault="00515D2E" w:rsidP="00695495">
            <w:pPr>
              <w:spacing w:after="0" w:line="240" w:lineRule="auto"/>
              <w:jc w:val="right"/>
              <w:rPr>
                <w:rFonts w:ascii="Arial" w:hAnsi="Arial" w:cs="Arial"/>
                <w:color w:val="000000"/>
                <w:sz w:val="16"/>
                <w:szCs w:val="16"/>
              </w:rPr>
            </w:pPr>
            <w:r w:rsidRPr="00B048FF">
              <w:rPr>
                <w:rFonts w:ascii="Arial" w:hAnsi="Arial" w:cs="Arial"/>
                <w:color w:val="000000"/>
                <w:sz w:val="16"/>
                <w:szCs w:val="16"/>
              </w:rPr>
              <w:t>(</w:t>
            </w:r>
            <w:r w:rsidR="00695495" w:rsidRPr="00B048FF">
              <w:rPr>
                <w:rFonts w:ascii="Arial" w:hAnsi="Arial" w:cs="Arial"/>
                <w:color w:val="000000"/>
                <w:sz w:val="16"/>
                <w:szCs w:val="16"/>
              </w:rPr>
              <w:t>3,500</w:t>
            </w:r>
            <w:r w:rsidRPr="00B048FF">
              <w:rPr>
                <w:rFonts w:ascii="Arial" w:hAnsi="Arial" w:cs="Arial"/>
                <w:color w:val="000000"/>
                <w:sz w:val="16"/>
                <w:szCs w:val="16"/>
              </w:rPr>
              <w:t>)</w:t>
            </w:r>
          </w:p>
        </w:tc>
        <w:tc>
          <w:tcPr>
            <w:tcW w:w="1134" w:type="dxa"/>
            <w:tcBorders>
              <w:top w:val="nil"/>
              <w:left w:val="nil"/>
              <w:right w:val="nil"/>
            </w:tcBorders>
            <w:shd w:val="clear" w:color="000000" w:fill="E6E6E6"/>
            <w:noWrap/>
            <w:vAlign w:val="bottom"/>
            <w:hideMark/>
          </w:tcPr>
          <w:p w14:paraId="0A6B2BD8" w14:textId="552BD5C9" w:rsidR="007C37A5" w:rsidRPr="00892C68" w:rsidRDefault="00695495"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13,606</w:t>
            </w:r>
          </w:p>
        </w:tc>
      </w:tr>
      <w:tr w:rsidR="00695495" w:rsidRPr="007541CE" w14:paraId="7782042F" w14:textId="77777777" w:rsidTr="00244C4F">
        <w:trPr>
          <w:trHeight w:val="204"/>
        </w:trPr>
        <w:tc>
          <w:tcPr>
            <w:tcW w:w="2828" w:type="dxa"/>
            <w:tcBorders>
              <w:top w:val="nil"/>
              <w:left w:val="nil"/>
              <w:bottom w:val="nil"/>
              <w:right w:val="nil"/>
            </w:tcBorders>
            <w:shd w:val="clear" w:color="auto" w:fill="auto"/>
            <w:noWrap/>
          </w:tcPr>
          <w:p w14:paraId="26AF33D4" w14:textId="49643B8B" w:rsidR="00695495" w:rsidRPr="001A594B" w:rsidRDefault="00695495" w:rsidP="00892C68">
            <w:pPr>
              <w:spacing w:after="0" w:line="240" w:lineRule="auto"/>
              <w:ind w:left="113"/>
              <w:jc w:val="left"/>
              <w:outlineLvl w:val="0"/>
              <w:rPr>
                <w:rFonts w:ascii="Arial" w:hAnsi="Arial" w:cs="Arial"/>
                <w:color w:val="000000"/>
                <w:sz w:val="16"/>
                <w:szCs w:val="16"/>
              </w:rPr>
            </w:pPr>
            <w:r w:rsidRPr="001A594B">
              <w:rPr>
                <w:rFonts w:ascii="Arial" w:hAnsi="Arial" w:cs="Arial"/>
                <w:color w:val="000000"/>
                <w:sz w:val="16"/>
                <w:szCs w:val="16"/>
              </w:rPr>
              <w:t xml:space="preserve">Prior year appropriations </w:t>
            </w:r>
            <w:r w:rsidRPr="001A594B">
              <w:rPr>
                <w:rFonts w:ascii="Arial" w:hAnsi="Arial" w:cs="Arial"/>
                <w:color w:val="000000"/>
                <w:sz w:val="16"/>
                <w:szCs w:val="16"/>
                <w:vertAlign w:val="superscript"/>
              </w:rPr>
              <w:t>(b)</w:t>
            </w:r>
          </w:p>
        </w:tc>
        <w:tc>
          <w:tcPr>
            <w:tcW w:w="276" w:type="dxa"/>
            <w:tcBorders>
              <w:top w:val="nil"/>
              <w:left w:val="nil"/>
              <w:bottom w:val="nil"/>
              <w:right w:val="nil"/>
            </w:tcBorders>
            <w:shd w:val="clear" w:color="auto" w:fill="auto"/>
            <w:noWrap/>
          </w:tcPr>
          <w:p w14:paraId="2A640CAE" w14:textId="77777777" w:rsidR="00695495" w:rsidRPr="001A594B" w:rsidRDefault="00695495" w:rsidP="007C37A5">
            <w:pPr>
              <w:spacing w:after="0" w:line="240" w:lineRule="auto"/>
              <w:ind w:firstLineChars="100" w:firstLine="160"/>
              <w:jc w:val="left"/>
              <w:outlineLvl w:val="0"/>
              <w:rPr>
                <w:rFonts w:ascii="Arial" w:hAnsi="Arial" w:cs="Arial"/>
                <w:color w:val="000000"/>
                <w:sz w:val="16"/>
                <w:szCs w:val="16"/>
              </w:rPr>
            </w:pPr>
          </w:p>
        </w:tc>
        <w:tc>
          <w:tcPr>
            <w:tcW w:w="1257" w:type="dxa"/>
            <w:tcBorders>
              <w:top w:val="nil"/>
              <w:left w:val="nil"/>
              <w:right w:val="nil"/>
            </w:tcBorders>
            <w:shd w:val="clear" w:color="auto" w:fill="auto"/>
            <w:noWrap/>
            <w:vAlign w:val="bottom"/>
          </w:tcPr>
          <w:p w14:paraId="5B473FAF" w14:textId="2253540E" w:rsidR="00695495" w:rsidRPr="00892C68" w:rsidRDefault="00695495" w:rsidP="00365900">
            <w:pPr>
              <w:spacing w:after="0" w:line="240" w:lineRule="auto"/>
              <w:jc w:val="right"/>
              <w:outlineLvl w:val="0"/>
              <w:rPr>
                <w:rFonts w:ascii="Arial" w:hAnsi="Arial" w:cs="Arial"/>
                <w:color w:val="000000"/>
                <w:sz w:val="16"/>
                <w:szCs w:val="16"/>
              </w:rPr>
            </w:pPr>
            <w:r w:rsidRPr="00892C68">
              <w:rPr>
                <w:rFonts w:ascii="Arial" w:hAnsi="Arial" w:cs="Arial"/>
                <w:color w:val="000000"/>
                <w:sz w:val="16"/>
                <w:szCs w:val="16"/>
              </w:rPr>
              <w:t>-</w:t>
            </w:r>
          </w:p>
        </w:tc>
        <w:tc>
          <w:tcPr>
            <w:tcW w:w="1160" w:type="dxa"/>
            <w:tcBorders>
              <w:top w:val="nil"/>
              <w:left w:val="nil"/>
              <w:right w:val="nil"/>
            </w:tcBorders>
            <w:shd w:val="clear" w:color="auto" w:fill="auto"/>
            <w:noWrap/>
            <w:vAlign w:val="bottom"/>
          </w:tcPr>
          <w:p w14:paraId="5762F98F" w14:textId="56ED403F" w:rsidR="00695495" w:rsidRPr="00B048FF" w:rsidRDefault="00695495" w:rsidP="00365900">
            <w:pPr>
              <w:spacing w:after="0" w:line="240" w:lineRule="auto"/>
              <w:jc w:val="right"/>
              <w:outlineLvl w:val="0"/>
              <w:rPr>
                <w:rFonts w:ascii="Arial" w:hAnsi="Arial" w:cs="Arial"/>
                <w:color w:val="000000"/>
                <w:sz w:val="16"/>
                <w:szCs w:val="16"/>
              </w:rPr>
            </w:pPr>
            <w:r w:rsidRPr="00B048FF">
              <w:rPr>
                <w:rFonts w:ascii="Arial" w:hAnsi="Arial" w:cs="Arial"/>
                <w:color w:val="000000"/>
                <w:sz w:val="16"/>
                <w:szCs w:val="16"/>
              </w:rPr>
              <w:t>1,935</w:t>
            </w:r>
          </w:p>
        </w:tc>
        <w:tc>
          <w:tcPr>
            <w:tcW w:w="992" w:type="dxa"/>
            <w:tcBorders>
              <w:top w:val="nil"/>
              <w:left w:val="nil"/>
              <w:right w:val="nil"/>
            </w:tcBorders>
            <w:shd w:val="clear" w:color="auto" w:fill="auto"/>
            <w:noWrap/>
            <w:vAlign w:val="bottom"/>
          </w:tcPr>
          <w:p w14:paraId="0B0CCCC0" w14:textId="7BFB227E" w:rsidR="00695495" w:rsidRPr="00B048FF" w:rsidRDefault="00695495" w:rsidP="00365900">
            <w:pPr>
              <w:spacing w:after="0" w:line="240" w:lineRule="auto"/>
              <w:jc w:val="right"/>
              <w:outlineLvl w:val="0"/>
              <w:rPr>
                <w:rFonts w:ascii="Arial" w:hAnsi="Arial" w:cs="Arial"/>
                <w:color w:val="000000"/>
                <w:sz w:val="16"/>
                <w:szCs w:val="16"/>
              </w:rPr>
            </w:pPr>
            <w:r w:rsidRPr="00B048FF">
              <w:rPr>
                <w:rFonts w:ascii="Arial" w:hAnsi="Arial" w:cs="Arial"/>
                <w:color w:val="000000"/>
                <w:sz w:val="16"/>
                <w:szCs w:val="16"/>
              </w:rPr>
              <w:t>-</w:t>
            </w:r>
          </w:p>
        </w:tc>
        <w:tc>
          <w:tcPr>
            <w:tcW w:w="1134" w:type="dxa"/>
            <w:tcBorders>
              <w:top w:val="nil"/>
              <w:left w:val="nil"/>
              <w:right w:val="nil"/>
            </w:tcBorders>
            <w:shd w:val="clear" w:color="auto" w:fill="E6E6E6"/>
            <w:noWrap/>
            <w:vAlign w:val="bottom"/>
          </w:tcPr>
          <w:p w14:paraId="0517A783" w14:textId="7E21749F" w:rsidR="00695495" w:rsidRPr="00892C68" w:rsidRDefault="006948CE" w:rsidP="00365900">
            <w:pPr>
              <w:spacing w:after="0" w:line="240" w:lineRule="auto"/>
              <w:jc w:val="right"/>
              <w:outlineLvl w:val="0"/>
              <w:rPr>
                <w:rFonts w:ascii="Arial" w:hAnsi="Arial" w:cs="Arial"/>
                <w:color w:val="000000"/>
                <w:sz w:val="16"/>
                <w:szCs w:val="16"/>
              </w:rPr>
            </w:pPr>
            <w:r w:rsidRPr="00892C68">
              <w:rPr>
                <w:rFonts w:ascii="Arial" w:hAnsi="Arial" w:cs="Arial"/>
                <w:color w:val="000000"/>
                <w:sz w:val="16"/>
                <w:szCs w:val="16"/>
              </w:rPr>
              <w:t>1,935</w:t>
            </w:r>
          </w:p>
        </w:tc>
      </w:tr>
      <w:tr w:rsidR="007C37A5" w:rsidRPr="007541CE" w14:paraId="29FCD6A7" w14:textId="77777777" w:rsidTr="00244C4F">
        <w:trPr>
          <w:trHeight w:val="204"/>
        </w:trPr>
        <w:tc>
          <w:tcPr>
            <w:tcW w:w="2828" w:type="dxa"/>
            <w:tcBorders>
              <w:top w:val="nil"/>
              <w:left w:val="nil"/>
              <w:bottom w:val="nil"/>
              <w:right w:val="nil"/>
            </w:tcBorders>
            <w:shd w:val="clear" w:color="auto" w:fill="auto"/>
            <w:noWrap/>
            <w:hideMark/>
          </w:tcPr>
          <w:p w14:paraId="44D2E2F1" w14:textId="2D22C965" w:rsidR="007C37A5" w:rsidRPr="004223BD" w:rsidRDefault="007C37A5" w:rsidP="00892C68">
            <w:pPr>
              <w:spacing w:after="0" w:line="240" w:lineRule="auto"/>
              <w:ind w:left="113"/>
              <w:jc w:val="left"/>
              <w:outlineLvl w:val="0"/>
              <w:rPr>
                <w:rFonts w:ascii="Arial" w:hAnsi="Arial" w:cs="Arial"/>
                <w:color w:val="000000"/>
                <w:sz w:val="16"/>
                <w:szCs w:val="16"/>
              </w:rPr>
            </w:pPr>
            <w:r w:rsidRPr="004223BD">
              <w:rPr>
                <w:rFonts w:ascii="Arial" w:hAnsi="Arial" w:cs="Arial"/>
                <w:color w:val="000000"/>
                <w:sz w:val="16"/>
                <w:szCs w:val="16"/>
              </w:rPr>
              <w:t>Administered assets and liabilities</w:t>
            </w:r>
            <w:r w:rsidR="00892C68">
              <w:rPr>
                <w:rFonts w:ascii="Arial" w:hAnsi="Arial" w:cs="Arial"/>
                <w:color w:val="000000"/>
                <w:sz w:val="16"/>
                <w:szCs w:val="16"/>
              </w:rPr>
              <w:t> </w:t>
            </w:r>
            <w:r w:rsidR="00892C68" w:rsidRPr="004223BD">
              <w:rPr>
                <w:rFonts w:ascii="Arial" w:hAnsi="Arial" w:cs="Arial"/>
                <w:iCs/>
                <w:color w:val="000000"/>
                <w:sz w:val="16"/>
                <w:szCs w:val="16"/>
                <w:vertAlign w:val="superscript"/>
              </w:rPr>
              <w:t>(f)</w:t>
            </w:r>
          </w:p>
        </w:tc>
        <w:tc>
          <w:tcPr>
            <w:tcW w:w="276" w:type="dxa"/>
            <w:tcBorders>
              <w:top w:val="nil"/>
              <w:left w:val="nil"/>
              <w:bottom w:val="nil"/>
              <w:right w:val="nil"/>
            </w:tcBorders>
            <w:shd w:val="clear" w:color="auto" w:fill="auto"/>
            <w:noWrap/>
            <w:hideMark/>
          </w:tcPr>
          <w:p w14:paraId="69590B65" w14:textId="77777777" w:rsidR="007C37A5" w:rsidRPr="004223BD" w:rsidRDefault="007C37A5" w:rsidP="007C37A5">
            <w:pPr>
              <w:spacing w:after="0" w:line="240" w:lineRule="auto"/>
              <w:ind w:firstLineChars="100" w:firstLine="160"/>
              <w:jc w:val="left"/>
              <w:outlineLvl w:val="0"/>
              <w:rPr>
                <w:rFonts w:ascii="Arial" w:hAnsi="Arial" w:cs="Arial"/>
                <w:color w:val="000000"/>
                <w:sz w:val="16"/>
                <w:szCs w:val="16"/>
              </w:rPr>
            </w:pPr>
          </w:p>
        </w:tc>
        <w:tc>
          <w:tcPr>
            <w:tcW w:w="1257" w:type="dxa"/>
            <w:tcBorders>
              <w:left w:val="nil"/>
              <w:bottom w:val="single" w:sz="4" w:space="0" w:color="auto"/>
              <w:right w:val="nil"/>
            </w:tcBorders>
            <w:shd w:val="clear" w:color="000000" w:fill="FFFFFF"/>
            <w:noWrap/>
            <w:vAlign w:val="bottom"/>
            <w:hideMark/>
          </w:tcPr>
          <w:p w14:paraId="18170559" w14:textId="3E67B971" w:rsidR="007C37A5" w:rsidRPr="00892C68" w:rsidRDefault="007C37A5" w:rsidP="00365900">
            <w:pPr>
              <w:spacing w:after="0" w:line="240" w:lineRule="auto"/>
              <w:jc w:val="right"/>
              <w:outlineLvl w:val="0"/>
              <w:rPr>
                <w:rFonts w:ascii="Arial" w:hAnsi="Arial" w:cs="Arial"/>
                <w:color w:val="000000"/>
                <w:sz w:val="16"/>
                <w:szCs w:val="16"/>
              </w:rPr>
            </w:pPr>
            <w:r w:rsidRPr="00892C68">
              <w:rPr>
                <w:rFonts w:ascii="Arial" w:hAnsi="Arial" w:cs="Arial"/>
                <w:color w:val="000000"/>
                <w:sz w:val="16"/>
                <w:szCs w:val="16"/>
              </w:rPr>
              <w:t>1,935</w:t>
            </w:r>
          </w:p>
        </w:tc>
        <w:tc>
          <w:tcPr>
            <w:tcW w:w="1160" w:type="dxa"/>
            <w:tcBorders>
              <w:left w:val="nil"/>
              <w:bottom w:val="single" w:sz="4" w:space="0" w:color="auto"/>
              <w:right w:val="nil"/>
            </w:tcBorders>
            <w:shd w:val="clear" w:color="auto" w:fill="auto"/>
            <w:noWrap/>
            <w:vAlign w:val="bottom"/>
            <w:hideMark/>
          </w:tcPr>
          <w:p w14:paraId="4634F123" w14:textId="75C0BFE6" w:rsidR="007C37A5" w:rsidRPr="00B048FF" w:rsidRDefault="00217425" w:rsidP="00365900">
            <w:pPr>
              <w:spacing w:after="0" w:line="240" w:lineRule="auto"/>
              <w:jc w:val="right"/>
              <w:outlineLvl w:val="0"/>
              <w:rPr>
                <w:rFonts w:ascii="Arial" w:hAnsi="Arial" w:cs="Arial"/>
                <w:color w:val="000000"/>
                <w:sz w:val="16"/>
                <w:szCs w:val="16"/>
              </w:rPr>
            </w:pPr>
            <w:r w:rsidRPr="00B048FF">
              <w:rPr>
                <w:rFonts w:ascii="Arial" w:hAnsi="Arial" w:cs="Arial"/>
                <w:color w:val="000000"/>
                <w:sz w:val="16"/>
                <w:szCs w:val="16"/>
              </w:rPr>
              <w:t>27,657</w:t>
            </w:r>
          </w:p>
        </w:tc>
        <w:tc>
          <w:tcPr>
            <w:tcW w:w="992" w:type="dxa"/>
            <w:tcBorders>
              <w:left w:val="nil"/>
              <w:bottom w:val="single" w:sz="4" w:space="0" w:color="auto"/>
              <w:right w:val="nil"/>
            </w:tcBorders>
            <w:shd w:val="clear" w:color="auto" w:fill="auto"/>
            <w:noWrap/>
            <w:vAlign w:val="bottom"/>
            <w:hideMark/>
          </w:tcPr>
          <w:p w14:paraId="24476FD2" w14:textId="10C75C7E" w:rsidR="007C37A5" w:rsidRPr="00B048FF" w:rsidRDefault="006948CE" w:rsidP="00365900">
            <w:pPr>
              <w:spacing w:after="0" w:line="240" w:lineRule="auto"/>
              <w:jc w:val="right"/>
              <w:outlineLvl w:val="0"/>
              <w:rPr>
                <w:rFonts w:ascii="Arial" w:hAnsi="Arial" w:cs="Arial"/>
                <w:color w:val="000000"/>
                <w:sz w:val="16"/>
                <w:szCs w:val="16"/>
              </w:rPr>
            </w:pPr>
            <w:r w:rsidRPr="00B048FF">
              <w:rPr>
                <w:rFonts w:ascii="Arial" w:hAnsi="Arial" w:cs="Arial"/>
                <w:color w:val="000000"/>
                <w:sz w:val="16"/>
                <w:szCs w:val="16"/>
              </w:rPr>
              <w:t>1,250</w:t>
            </w:r>
          </w:p>
        </w:tc>
        <w:tc>
          <w:tcPr>
            <w:tcW w:w="1134" w:type="dxa"/>
            <w:tcBorders>
              <w:left w:val="nil"/>
              <w:bottom w:val="single" w:sz="4" w:space="0" w:color="auto"/>
              <w:right w:val="nil"/>
            </w:tcBorders>
            <w:shd w:val="clear" w:color="000000" w:fill="E6E6E6"/>
            <w:noWrap/>
            <w:vAlign w:val="bottom"/>
            <w:hideMark/>
          </w:tcPr>
          <w:p w14:paraId="1621CE87" w14:textId="71F2E4C7" w:rsidR="007C37A5" w:rsidRPr="00892C68" w:rsidRDefault="006948CE" w:rsidP="00365900">
            <w:pPr>
              <w:spacing w:after="0" w:line="240" w:lineRule="auto"/>
              <w:jc w:val="right"/>
              <w:outlineLvl w:val="0"/>
              <w:rPr>
                <w:rFonts w:ascii="Arial" w:hAnsi="Arial" w:cs="Arial"/>
                <w:color w:val="000000"/>
                <w:sz w:val="16"/>
                <w:szCs w:val="16"/>
              </w:rPr>
            </w:pPr>
            <w:r w:rsidRPr="00892C68">
              <w:rPr>
                <w:rFonts w:ascii="Arial" w:hAnsi="Arial" w:cs="Arial"/>
                <w:color w:val="000000"/>
                <w:sz w:val="16"/>
                <w:szCs w:val="16"/>
              </w:rPr>
              <w:t>28,907</w:t>
            </w:r>
          </w:p>
        </w:tc>
      </w:tr>
      <w:tr w:rsidR="007C37A5" w:rsidRPr="007541CE" w14:paraId="2218640A" w14:textId="77777777" w:rsidTr="00244C4F">
        <w:trPr>
          <w:trHeight w:val="204"/>
        </w:trPr>
        <w:tc>
          <w:tcPr>
            <w:tcW w:w="2828" w:type="dxa"/>
            <w:tcBorders>
              <w:top w:val="nil"/>
              <w:left w:val="nil"/>
              <w:bottom w:val="nil"/>
              <w:right w:val="nil"/>
            </w:tcBorders>
            <w:shd w:val="clear" w:color="auto" w:fill="auto"/>
            <w:noWrap/>
            <w:hideMark/>
          </w:tcPr>
          <w:p w14:paraId="63C394B1" w14:textId="155C6D31" w:rsidR="007C37A5" w:rsidRPr="004223BD" w:rsidRDefault="007C37A5" w:rsidP="00892C68">
            <w:pPr>
              <w:spacing w:after="0" w:line="240" w:lineRule="auto"/>
              <w:jc w:val="left"/>
              <w:rPr>
                <w:rFonts w:ascii="Arial" w:hAnsi="Arial" w:cs="Arial"/>
                <w:iCs/>
                <w:color w:val="000000"/>
                <w:sz w:val="16"/>
                <w:szCs w:val="16"/>
              </w:rPr>
            </w:pPr>
            <w:r w:rsidRPr="004223BD">
              <w:rPr>
                <w:rFonts w:ascii="Arial" w:hAnsi="Arial" w:cs="Arial"/>
                <w:iCs/>
                <w:color w:val="000000"/>
                <w:sz w:val="16"/>
                <w:szCs w:val="16"/>
              </w:rPr>
              <w:t xml:space="preserve">Total administered annual appropriations </w:t>
            </w:r>
          </w:p>
        </w:tc>
        <w:tc>
          <w:tcPr>
            <w:tcW w:w="276" w:type="dxa"/>
            <w:tcBorders>
              <w:top w:val="nil"/>
              <w:left w:val="nil"/>
              <w:bottom w:val="nil"/>
              <w:right w:val="nil"/>
            </w:tcBorders>
            <w:shd w:val="clear" w:color="auto" w:fill="auto"/>
            <w:noWrap/>
            <w:hideMark/>
          </w:tcPr>
          <w:p w14:paraId="612C23D7" w14:textId="77777777" w:rsidR="007C37A5" w:rsidRPr="004223BD" w:rsidRDefault="007C37A5" w:rsidP="007C37A5">
            <w:pPr>
              <w:spacing w:after="0" w:line="240" w:lineRule="auto"/>
              <w:jc w:val="left"/>
              <w:rPr>
                <w:rFonts w:ascii="Arial" w:hAnsi="Arial" w:cs="Arial"/>
                <w:iCs/>
                <w:color w:val="000000"/>
                <w:sz w:val="16"/>
                <w:szCs w:val="16"/>
              </w:rPr>
            </w:pPr>
          </w:p>
        </w:tc>
        <w:tc>
          <w:tcPr>
            <w:tcW w:w="1257" w:type="dxa"/>
            <w:tcBorders>
              <w:top w:val="single" w:sz="4" w:space="0" w:color="auto"/>
              <w:left w:val="nil"/>
              <w:bottom w:val="single" w:sz="4" w:space="0" w:color="auto"/>
              <w:right w:val="nil"/>
            </w:tcBorders>
            <w:shd w:val="clear" w:color="000000" w:fill="FFFFFF"/>
            <w:noWrap/>
            <w:vAlign w:val="bottom"/>
            <w:hideMark/>
          </w:tcPr>
          <w:p w14:paraId="7567CB44" w14:textId="781E927F" w:rsidR="007C37A5" w:rsidRPr="00892C68" w:rsidRDefault="007C37A5"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36,503</w:t>
            </w:r>
          </w:p>
        </w:tc>
        <w:tc>
          <w:tcPr>
            <w:tcW w:w="1160" w:type="dxa"/>
            <w:tcBorders>
              <w:top w:val="single" w:sz="4" w:space="0" w:color="auto"/>
              <w:left w:val="nil"/>
              <w:bottom w:val="single" w:sz="4" w:space="0" w:color="auto"/>
              <w:right w:val="nil"/>
            </w:tcBorders>
            <w:shd w:val="clear" w:color="000000" w:fill="FFFFFF"/>
            <w:noWrap/>
            <w:vAlign w:val="bottom"/>
            <w:hideMark/>
          </w:tcPr>
          <w:p w14:paraId="29EDD994" w14:textId="5CC7EB64" w:rsidR="007C37A5" w:rsidRPr="00892C68" w:rsidRDefault="006948CE"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64,788</w:t>
            </w:r>
          </w:p>
        </w:tc>
        <w:tc>
          <w:tcPr>
            <w:tcW w:w="992" w:type="dxa"/>
            <w:tcBorders>
              <w:top w:val="single" w:sz="4" w:space="0" w:color="auto"/>
              <w:left w:val="nil"/>
              <w:bottom w:val="single" w:sz="4" w:space="0" w:color="auto"/>
              <w:right w:val="nil"/>
            </w:tcBorders>
            <w:shd w:val="clear" w:color="auto" w:fill="auto"/>
            <w:noWrap/>
            <w:vAlign w:val="bottom"/>
            <w:hideMark/>
          </w:tcPr>
          <w:p w14:paraId="13E7CE7C" w14:textId="77777777" w:rsidR="007C37A5" w:rsidRPr="00892C68" w:rsidRDefault="007C37A5"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(2,250)</w:t>
            </w:r>
          </w:p>
        </w:tc>
        <w:tc>
          <w:tcPr>
            <w:tcW w:w="1134" w:type="dxa"/>
            <w:tcBorders>
              <w:top w:val="single" w:sz="4" w:space="0" w:color="auto"/>
              <w:left w:val="nil"/>
              <w:bottom w:val="single" w:sz="4" w:space="0" w:color="auto"/>
              <w:right w:val="nil"/>
            </w:tcBorders>
            <w:shd w:val="clear" w:color="000000" w:fill="E6E6E6"/>
            <w:noWrap/>
            <w:vAlign w:val="bottom"/>
            <w:hideMark/>
          </w:tcPr>
          <w:p w14:paraId="142D1F59" w14:textId="3C878C7F" w:rsidR="007C37A5" w:rsidRPr="00892C68" w:rsidRDefault="006948CE" w:rsidP="00365900">
            <w:pPr>
              <w:spacing w:after="0" w:line="240" w:lineRule="auto"/>
              <w:jc w:val="right"/>
              <w:rPr>
                <w:rFonts w:ascii="Arial" w:hAnsi="Arial" w:cs="Arial"/>
                <w:color w:val="000000"/>
                <w:sz w:val="16"/>
                <w:szCs w:val="16"/>
              </w:rPr>
            </w:pPr>
            <w:r w:rsidRPr="00892C68">
              <w:rPr>
                <w:rFonts w:ascii="Arial" w:hAnsi="Arial" w:cs="Arial"/>
                <w:color w:val="000000"/>
                <w:sz w:val="16"/>
                <w:szCs w:val="16"/>
              </w:rPr>
              <w:t>62,538</w:t>
            </w:r>
          </w:p>
        </w:tc>
      </w:tr>
      <w:tr w:rsidR="007C37A5" w:rsidRPr="007541CE" w14:paraId="4452CD50" w14:textId="77777777" w:rsidTr="00244C4F">
        <w:trPr>
          <w:trHeight w:val="204"/>
        </w:trPr>
        <w:tc>
          <w:tcPr>
            <w:tcW w:w="2828" w:type="dxa"/>
            <w:tcBorders>
              <w:top w:val="nil"/>
              <w:left w:val="nil"/>
              <w:bottom w:val="nil"/>
              <w:right w:val="nil"/>
            </w:tcBorders>
            <w:shd w:val="clear" w:color="auto" w:fill="auto"/>
            <w:noWrap/>
            <w:hideMark/>
          </w:tcPr>
          <w:p w14:paraId="1CC28AC8" w14:textId="77777777" w:rsidR="007C37A5" w:rsidRPr="004223BD" w:rsidRDefault="007C37A5" w:rsidP="007C37A5">
            <w:pPr>
              <w:spacing w:after="0" w:line="240" w:lineRule="auto"/>
              <w:jc w:val="left"/>
              <w:rPr>
                <w:rFonts w:ascii="Arial" w:hAnsi="Arial" w:cs="Arial"/>
                <w:iCs/>
                <w:color w:val="000000"/>
                <w:sz w:val="16"/>
                <w:szCs w:val="16"/>
              </w:rPr>
            </w:pPr>
            <w:r w:rsidRPr="004223BD">
              <w:rPr>
                <w:rFonts w:ascii="Arial" w:hAnsi="Arial" w:cs="Arial"/>
                <w:iCs/>
                <w:color w:val="000000"/>
                <w:sz w:val="16"/>
                <w:szCs w:val="16"/>
              </w:rPr>
              <w:t xml:space="preserve">Total administered special appropriations </w:t>
            </w:r>
            <w:r w:rsidRPr="004223BD">
              <w:rPr>
                <w:rFonts w:ascii="Arial" w:hAnsi="Arial" w:cs="Arial"/>
                <w:iCs/>
                <w:color w:val="000000"/>
                <w:sz w:val="16"/>
                <w:szCs w:val="16"/>
                <w:vertAlign w:val="superscript"/>
              </w:rPr>
              <w:t>(g)</w:t>
            </w:r>
          </w:p>
        </w:tc>
        <w:tc>
          <w:tcPr>
            <w:tcW w:w="276" w:type="dxa"/>
            <w:tcBorders>
              <w:top w:val="nil"/>
              <w:left w:val="nil"/>
              <w:bottom w:val="nil"/>
              <w:right w:val="nil"/>
            </w:tcBorders>
            <w:shd w:val="clear" w:color="auto" w:fill="auto"/>
            <w:noWrap/>
            <w:hideMark/>
          </w:tcPr>
          <w:p w14:paraId="6E52E881" w14:textId="77777777" w:rsidR="007C37A5" w:rsidRPr="004223BD" w:rsidRDefault="007C37A5" w:rsidP="007C37A5">
            <w:pPr>
              <w:spacing w:after="0" w:line="240" w:lineRule="auto"/>
              <w:jc w:val="left"/>
              <w:rPr>
                <w:rFonts w:ascii="Arial" w:hAnsi="Arial" w:cs="Arial"/>
                <w:iCs/>
                <w:color w:val="000000"/>
                <w:sz w:val="16"/>
                <w:szCs w:val="16"/>
              </w:rPr>
            </w:pPr>
          </w:p>
        </w:tc>
        <w:tc>
          <w:tcPr>
            <w:tcW w:w="1257" w:type="dxa"/>
            <w:tcBorders>
              <w:top w:val="single" w:sz="4" w:space="0" w:color="auto"/>
              <w:left w:val="nil"/>
              <w:bottom w:val="single" w:sz="4" w:space="0" w:color="auto"/>
              <w:right w:val="nil"/>
            </w:tcBorders>
            <w:shd w:val="clear" w:color="000000" w:fill="FFFFFF"/>
            <w:noWrap/>
            <w:vAlign w:val="bottom"/>
            <w:hideMark/>
          </w:tcPr>
          <w:p w14:paraId="7DAE927F" w14:textId="6CB3B10A" w:rsidR="007C37A5" w:rsidRPr="00892C68" w:rsidRDefault="007C37A5"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25</w:t>
            </w:r>
          </w:p>
        </w:tc>
        <w:tc>
          <w:tcPr>
            <w:tcW w:w="1160" w:type="dxa"/>
            <w:tcBorders>
              <w:top w:val="single" w:sz="4" w:space="0" w:color="auto"/>
              <w:left w:val="nil"/>
              <w:bottom w:val="single" w:sz="4" w:space="0" w:color="auto"/>
              <w:right w:val="nil"/>
            </w:tcBorders>
            <w:shd w:val="clear" w:color="000000" w:fill="FFFFFF"/>
            <w:noWrap/>
            <w:vAlign w:val="bottom"/>
            <w:hideMark/>
          </w:tcPr>
          <w:p w14:paraId="2D37193C" w14:textId="449BB84F" w:rsidR="007C37A5" w:rsidRPr="00892C68" w:rsidRDefault="007C37A5"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25</w:t>
            </w:r>
          </w:p>
        </w:tc>
        <w:tc>
          <w:tcPr>
            <w:tcW w:w="992" w:type="dxa"/>
            <w:tcBorders>
              <w:top w:val="single" w:sz="4" w:space="0" w:color="auto"/>
              <w:left w:val="nil"/>
              <w:bottom w:val="single" w:sz="4" w:space="0" w:color="auto"/>
              <w:right w:val="nil"/>
            </w:tcBorders>
            <w:shd w:val="clear" w:color="auto" w:fill="auto"/>
            <w:noWrap/>
            <w:vAlign w:val="bottom"/>
            <w:hideMark/>
          </w:tcPr>
          <w:p w14:paraId="01D61C00" w14:textId="70B4B1FF" w:rsidR="007C37A5" w:rsidRPr="00892C68" w:rsidRDefault="007C37A5"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w:t>
            </w:r>
          </w:p>
        </w:tc>
        <w:tc>
          <w:tcPr>
            <w:tcW w:w="1134" w:type="dxa"/>
            <w:tcBorders>
              <w:top w:val="single" w:sz="4" w:space="0" w:color="auto"/>
              <w:left w:val="nil"/>
              <w:bottom w:val="single" w:sz="4" w:space="0" w:color="auto"/>
              <w:right w:val="nil"/>
            </w:tcBorders>
            <w:shd w:val="clear" w:color="000000" w:fill="E6E6E6"/>
            <w:noWrap/>
            <w:vAlign w:val="bottom"/>
            <w:hideMark/>
          </w:tcPr>
          <w:p w14:paraId="3624FEE1" w14:textId="24FA79DB" w:rsidR="007C37A5" w:rsidRPr="00892C68" w:rsidRDefault="007C37A5" w:rsidP="00365900">
            <w:pPr>
              <w:spacing w:after="0" w:line="240" w:lineRule="auto"/>
              <w:jc w:val="right"/>
              <w:rPr>
                <w:rFonts w:ascii="Arial" w:hAnsi="Arial" w:cs="Arial"/>
                <w:iCs/>
                <w:color w:val="000000"/>
                <w:sz w:val="16"/>
                <w:szCs w:val="16"/>
              </w:rPr>
            </w:pPr>
            <w:r w:rsidRPr="00892C68">
              <w:rPr>
                <w:rFonts w:ascii="Arial" w:hAnsi="Arial" w:cs="Arial"/>
                <w:iCs/>
                <w:color w:val="000000"/>
                <w:sz w:val="16"/>
                <w:szCs w:val="16"/>
              </w:rPr>
              <w:t>25</w:t>
            </w:r>
          </w:p>
        </w:tc>
      </w:tr>
      <w:tr w:rsidR="007C37A5" w:rsidRPr="007541CE" w14:paraId="704D0ACF" w14:textId="77777777" w:rsidTr="00244C4F">
        <w:trPr>
          <w:trHeight w:val="204"/>
        </w:trPr>
        <w:tc>
          <w:tcPr>
            <w:tcW w:w="2828" w:type="dxa"/>
            <w:tcBorders>
              <w:top w:val="nil"/>
              <w:left w:val="nil"/>
              <w:bottom w:val="nil"/>
              <w:right w:val="nil"/>
            </w:tcBorders>
            <w:shd w:val="clear" w:color="auto" w:fill="auto"/>
            <w:noWrap/>
            <w:hideMark/>
          </w:tcPr>
          <w:p w14:paraId="379B4C28" w14:textId="77777777" w:rsidR="007C37A5" w:rsidRPr="004223BD" w:rsidRDefault="007C37A5" w:rsidP="007C37A5">
            <w:pPr>
              <w:spacing w:after="0" w:line="240" w:lineRule="auto"/>
              <w:jc w:val="left"/>
              <w:rPr>
                <w:rFonts w:ascii="Arial" w:hAnsi="Arial" w:cs="Arial"/>
                <w:b/>
                <w:bCs/>
                <w:iCs/>
                <w:color w:val="000000"/>
                <w:sz w:val="16"/>
                <w:szCs w:val="16"/>
              </w:rPr>
            </w:pPr>
            <w:r w:rsidRPr="004223BD">
              <w:rPr>
                <w:rFonts w:ascii="Arial" w:hAnsi="Arial" w:cs="Arial"/>
                <w:b/>
                <w:bCs/>
                <w:iCs/>
                <w:color w:val="000000"/>
                <w:sz w:val="16"/>
                <w:szCs w:val="16"/>
              </w:rPr>
              <w:t>Total administered resourcing</w:t>
            </w:r>
          </w:p>
        </w:tc>
        <w:tc>
          <w:tcPr>
            <w:tcW w:w="276" w:type="dxa"/>
            <w:tcBorders>
              <w:top w:val="nil"/>
              <w:left w:val="nil"/>
              <w:bottom w:val="nil"/>
              <w:right w:val="nil"/>
            </w:tcBorders>
            <w:shd w:val="clear" w:color="auto" w:fill="auto"/>
            <w:noWrap/>
            <w:hideMark/>
          </w:tcPr>
          <w:p w14:paraId="5BC5690E" w14:textId="77777777" w:rsidR="007C37A5" w:rsidRPr="004223BD" w:rsidRDefault="007C37A5" w:rsidP="007C37A5">
            <w:pPr>
              <w:spacing w:after="0" w:line="240" w:lineRule="auto"/>
              <w:jc w:val="left"/>
              <w:rPr>
                <w:rFonts w:ascii="Arial" w:hAnsi="Arial" w:cs="Arial"/>
                <w:b/>
                <w:bCs/>
                <w:iCs/>
                <w:color w:val="000000"/>
                <w:sz w:val="16"/>
                <w:szCs w:val="16"/>
              </w:rPr>
            </w:pPr>
          </w:p>
        </w:tc>
        <w:tc>
          <w:tcPr>
            <w:tcW w:w="1257" w:type="dxa"/>
            <w:tcBorders>
              <w:top w:val="nil"/>
              <w:left w:val="nil"/>
              <w:bottom w:val="single" w:sz="4" w:space="0" w:color="auto"/>
              <w:right w:val="nil"/>
            </w:tcBorders>
            <w:shd w:val="clear" w:color="000000" w:fill="FFFFFF"/>
            <w:noWrap/>
            <w:vAlign w:val="bottom"/>
            <w:hideMark/>
          </w:tcPr>
          <w:p w14:paraId="3F5C25B6" w14:textId="38218127" w:rsidR="007C37A5" w:rsidRPr="00892C68" w:rsidRDefault="007C37A5" w:rsidP="00365900">
            <w:pPr>
              <w:spacing w:after="0" w:line="240" w:lineRule="auto"/>
              <w:jc w:val="right"/>
              <w:rPr>
                <w:rFonts w:ascii="Arial" w:hAnsi="Arial" w:cs="Arial"/>
                <w:b/>
                <w:bCs/>
                <w:iCs/>
                <w:color w:val="000000"/>
                <w:sz w:val="16"/>
                <w:szCs w:val="16"/>
              </w:rPr>
            </w:pPr>
            <w:r w:rsidRPr="00892C68">
              <w:rPr>
                <w:rFonts w:ascii="Arial" w:hAnsi="Arial" w:cs="Arial"/>
                <w:b/>
                <w:bCs/>
                <w:iCs/>
                <w:color w:val="000000"/>
                <w:sz w:val="16"/>
                <w:szCs w:val="16"/>
              </w:rPr>
              <w:t>36,528</w:t>
            </w:r>
          </w:p>
        </w:tc>
        <w:tc>
          <w:tcPr>
            <w:tcW w:w="1160" w:type="dxa"/>
            <w:tcBorders>
              <w:top w:val="nil"/>
              <w:left w:val="nil"/>
              <w:bottom w:val="single" w:sz="4" w:space="0" w:color="auto"/>
              <w:right w:val="nil"/>
            </w:tcBorders>
            <w:shd w:val="clear" w:color="000000" w:fill="FFFFFF"/>
            <w:noWrap/>
            <w:vAlign w:val="bottom"/>
            <w:hideMark/>
          </w:tcPr>
          <w:p w14:paraId="4D1F98F9" w14:textId="3B2CF447" w:rsidR="007C37A5" w:rsidRPr="00892C68" w:rsidRDefault="006948CE" w:rsidP="00365900">
            <w:pPr>
              <w:spacing w:after="0" w:line="240" w:lineRule="auto"/>
              <w:jc w:val="right"/>
              <w:rPr>
                <w:rFonts w:ascii="Arial" w:hAnsi="Arial" w:cs="Arial"/>
                <w:b/>
                <w:bCs/>
                <w:iCs/>
                <w:color w:val="000000"/>
                <w:sz w:val="16"/>
                <w:szCs w:val="16"/>
              </w:rPr>
            </w:pPr>
            <w:r w:rsidRPr="00892C68">
              <w:rPr>
                <w:rFonts w:ascii="Arial" w:hAnsi="Arial" w:cs="Arial"/>
                <w:b/>
                <w:bCs/>
                <w:iCs/>
                <w:color w:val="000000"/>
                <w:sz w:val="16"/>
                <w:szCs w:val="16"/>
              </w:rPr>
              <w:t>64,813</w:t>
            </w:r>
          </w:p>
        </w:tc>
        <w:tc>
          <w:tcPr>
            <w:tcW w:w="992" w:type="dxa"/>
            <w:tcBorders>
              <w:top w:val="nil"/>
              <w:left w:val="nil"/>
              <w:bottom w:val="single" w:sz="4" w:space="0" w:color="auto"/>
              <w:right w:val="nil"/>
            </w:tcBorders>
            <w:shd w:val="clear" w:color="auto" w:fill="auto"/>
            <w:noWrap/>
            <w:vAlign w:val="bottom"/>
            <w:hideMark/>
          </w:tcPr>
          <w:p w14:paraId="38DB808A" w14:textId="77777777" w:rsidR="007C37A5" w:rsidRPr="00892C68" w:rsidRDefault="007C37A5" w:rsidP="00365900">
            <w:pPr>
              <w:spacing w:after="0" w:line="240" w:lineRule="auto"/>
              <w:jc w:val="right"/>
              <w:rPr>
                <w:rFonts w:ascii="Arial" w:hAnsi="Arial" w:cs="Arial"/>
                <w:b/>
                <w:bCs/>
                <w:iCs/>
                <w:color w:val="000000"/>
                <w:sz w:val="16"/>
                <w:szCs w:val="16"/>
              </w:rPr>
            </w:pPr>
            <w:r w:rsidRPr="00892C68">
              <w:rPr>
                <w:rFonts w:ascii="Arial" w:hAnsi="Arial" w:cs="Arial"/>
                <w:b/>
                <w:bCs/>
                <w:iCs/>
                <w:color w:val="000000"/>
                <w:sz w:val="16"/>
                <w:szCs w:val="16"/>
              </w:rPr>
              <w:t>(2,250)</w:t>
            </w:r>
          </w:p>
        </w:tc>
        <w:tc>
          <w:tcPr>
            <w:tcW w:w="1134" w:type="dxa"/>
            <w:tcBorders>
              <w:top w:val="nil"/>
              <w:left w:val="nil"/>
              <w:bottom w:val="single" w:sz="4" w:space="0" w:color="auto"/>
              <w:right w:val="nil"/>
            </w:tcBorders>
            <w:shd w:val="clear" w:color="000000" w:fill="E6E6E6"/>
            <w:noWrap/>
            <w:vAlign w:val="bottom"/>
            <w:hideMark/>
          </w:tcPr>
          <w:p w14:paraId="20C63E34" w14:textId="256C6B43" w:rsidR="007C37A5" w:rsidRPr="00892C68" w:rsidRDefault="006948CE" w:rsidP="00365900">
            <w:pPr>
              <w:spacing w:after="0" w:line="240" w:lineRule="auto"/>
              <w:jc w:val="right"/>
              <w:rPr>
                <w:rFonts w:ascii="Arial" w:hAnsi="Arial" w:cs="Arial"/>
                <w:b/>
                <w:bCs/>
                <w:iCs/>
                <w:color w:val="000000"/>
                <w:sz w:val="16"/>
                <w:szCs w:val="16"/>
              </w:rPr>
            </w:pPr>
            <w:r w:rsidRPr="00892C68">
              <w:rPr>
                <w:rFonts w:ascii="Arial" w:hAnsi="Arial" w:cs="Arial"/>
                <w:b/>
                <w:bCs/>
                <w:iCs/>
                <w:color w:val="000000"/>
                <w:sz w:val="16"/>
                <w:szCs w:val="16"/>
              </w:rPr>
              <w:t>62,563</w:t>
            </w:r>
          </w:p>
        </w:tc>
      </w:tr>
      <w:tr w:rsidR="007C37A5" w:rsidRPr="007541CE" w14:paraId="7CE9FA25" w14:textId="77777777" w:rsidTr="00244C4F">
        <w:trPr>
          <w:trHeight w:val="204"/>
        </w:trPr>
        <w:tc>
          <w:tcPr>
            <w:tcW w:w="2828" w:type="dxa"/>
            <w:tcBorders>
              <w:top w:val="nil"/>
              <w:left w:val="nil"/>
              <w:bottom w:val="single" w:sz="4" w:space="0" w:color="auto"/>
              <w:right w:val="nil"/>
            </w:tcBorders>
            <w:shd w:val="clear" w:color="auto" w:fill="auto"/>
            <w:noWrap/>
            <w:hideMark/>
          </w:tcPr>
          <w:p w14:paraId="4F117232" w14:textId="77777777" w:rsidR="007C37A5" w:rsidRPr="004223BD" w:rsidRDefault="007C37A5" w:rsidP="007C37A5">
            <w:pPr>
              <w:spacing w:after="0" w:line="240" w:lineRule="auto"/>
              <w:jc w:val="left"/>
              <w:rPr>
                <w:rFonts w:ascii="Arial" w:hAnsi="Arial" w:cs="Arial"/>
                <w:b/>
                <w:bCs/>
                <w:color w:val="000000"/>
                <w:sz w:val="16"/>
                <w:szCs w:val="16"/>
              </w:rPr>
            </w:pPr>
            <w:r w:rsidRPr="004223BD">
              <w:rPr>
                <w:rFonts w:ascii="Arial" w:hAnsi="Arial" w:cs="Arial"/>
                <w:b/>
                <w:bCs/>
                <w:color w:val="000000"/>
                <w:sz w:val="16"/>
                <w:szCs w:val="16"/>
              </w:rPr>
              <w:t>Total resourcing</w:t>
            </w:r>
          </w:p>
        </w:tc>
        <w:tc>
          <w:tcPr>
            <w:tcW w:w="276" w:type="dxa"/>
            <w:tcBorders>
              <w:top w:val="nil"/>
              <w:left w:val="nil"/>
              <w:bottom w:val="single" w:sz="4" w:space="0" w:color="auto"/>
              <w:right w:val="nil"/>
            </w:tcBorders>
            <w:shd w:val="clear" w:color="auto" w:fill="auto"/>
            <w:noWrap/>
            <w:hideMark/>
          </w:tcPr>
          <w:p w14:paraId="6B56CFA3" w14:textId="77777777" w:rsidR="007C37A5" w:rsidRPr="004223BD" w:rsidRDefault="007C37A5" w:rsidP="007C37A5">
            <w:pPr>
              <w:spacing w:after="0" w:line="240" w:lineRule="auto"/>
              <w:jc w:val="left"/>
              <w:rPr>
                <w:rFonts w:ascii="Arial" w:hAnsi="Arial" w:cs="Arial"/>
                <w:b/>
                <w:bCs/>
                <w:color w:val="000000"/>
                <w:sz w:val="16"/>
                <w:szCs w:val="16"/>
              </w:rPr>
            </w:pPr>
          </w:p>
        </w:tc>
        <w:tc>
          <w:tcPr>
            <w:tcW w:w="1257" w:type="dxa"/>
            <w:tcBorders>
              <w:top w:val="nil"/>
              <w:left w:val="nil"/>
              <w:bottom w:val="single" w:sz="4" w:space="0" w:color="auto"/>
              <w:right w:val="nil"/>
            </w:tcBorders>
            <w:shd w:val="clear" w:color="000000" w:fill="FFFFFF"/>
            <w:noWrap/>
            <w:vAlign w:val="bottom"/>
            <w:hideMark/>
          </w:tcPr>
          <w:p w14:paraId="7C689A7F" w14:textId="1765ED85" w:rsidR="007C37A5" w:rsidRPr="00892C68" w:rsidRDefault="006948CE" w:rsidP="00365900">
            <w:pPr>
              <w:spacing w:after="0" w:line="240" w:lineRule="auto"/>
              <w:jc w:val="right"/>
              <w:rPr>
                <w:rFonts w:ascii="Arial" w:hAnsi="Arial" w:cs="Arial"/>
                <w:b/>
                <w:bCs/>
                <w:color w:val="000000"/>
                <w:sz w:val="16"/>
                <w:szCs w:val="16"/>
              </w:rPr>
            </w:pPr>
            <w:r w:rsidRPr="00892C68">
              <w:rPr>
                <w:rFonts w:ascii="Arial" w:hAnsi="Arial" w:cs="Arial"/>
                <w:b/>
                <w:bCs/>
                <w:color w:val="000000"/>
                <w:sz w:val="16"/>
                <w:szCs w:val="16"/>
              </w:rPr>
              <w:t>58,186</w:t>
            </w:r>
          </w:p>
        </w:tc>
        <w:tc>
          <w:tcPr>
            <w:tcW w:w="1160" w:type="dxa"/>
            <w:tcBorders>
              <w:top w:val="nil"/>
              <w:left w:val="nil"/>
              <w:bottom w:val="single" w:sz="4" w:space="0" w:color="auto"/>
              <w:right w:val="nil"/>
            </w:tcBorders>
            <w:shd w:val="clear" w:color="000000" w:fill="FFFFFF"/>
            <w:noWrap/>
            <w:vAlign w:val="bottom"/>
            <w:hideMark/>
          </w:tcPr>
          <w:p w14:paraId="53FBE4C2" w14:textId="7EEF0B8A" w:rsidR="007C37A5" w:rsidRPr="00892C68" w:rsidRDefault="006948CE" w:rsidP="00365900">
            <w:pPr>
              <w:spacing w:after="0" w:line="240" w:lineRule="auto"/>
              <w:jc w:val="right"/>
              <w:rPr>
                <w:rFonts w:ascii="Arial" w:hAnsi="Arial" w:cs="Arial"/>
                <w:b/>
                <w:bCs/>
                <w:color w:val="000000"/>
                <w:sz w:val="16"/>
                <w:szCs w:val="16"/>
              </w:rPr>
            </w:pPr>
            <w:r w:rsidRPr="00892C68">
              <w:rPr>
                <w:rFonts w:ascii="Arial" w:hAnsi="Arial" w:cs="Arial"/>
                <w:b/>
                <w:bCs/>
                <w:color w:val="000000"/>
                <w:sz w:val="16"/>
                <w:szCs w:val="16"/>
              </w:rPr>
              <w:t>85,447</w:t>
            </w:r>
          </w:p>
        </w:tc>
        <w:tc>
          <w:tcPr>
            <w:tcW w:w="992" w:type="dxa"/>
            <w:tcBorders>
              <w:top w:val="nil"/>
              <w:left w:val="nil"/>
              <w:bottom w:val="single" w:sz="4" w:space="0" w:color="auto"/>
              <w:right w:val="nil"/>
            </w:tcBorders>
            <w:shd w:val="clear" w:color="auto" w:fill="auto"/>
            <w:noWrap/>
            <w:vAlign w:val="bottom"/>
            <w:hideMark/>
          </w:tcPr>
          <w:p w14:paraId="3933158B" w14:textId="3264CDFC" w:rsidR="007C37A5" w:rsidRPr="00892C68" w:rsidRDefault="007C37A5" w:rsidP="00365900">
            <w:pPr>
              <w:spacing w:after="0" w:line="240" w:lineRule="auto"/>
              <w:jc w:val="right"/>
              <w:rPr>
                <w:rFonts w:ascii="Arial" w:hAnsi="Arial" w:cs="Arial"/>
                <w:b/>
                <w:bCs/>
                <w:color w:val="000000"/>
                <w:sz w:val="16"/>
                <w:szCs w:val="16"/>
              </w:rPr>
            </w:pPr>
            <w:r w:rsidRPr="00892C68">
              <w:rPr>
                <w:rFonts w:ascii="Arial" w:hAnsi="Arial" w:cs="Arial"/>
                <w:b/>
                <w:bCs/>
                <w:color w:val="000000"/>
                <w:sz w:val="16"/>
                <w:szCs w:val="16"/>
              </w:rPr>
              <w:t>1,250</w:t>
            </w:r>
          </w:p>
        </w:tc>
        <w:tc>
          <w:tcPr>
            <w:tcW w:w="1134" w:type="dxa"/>
            <w:tcBorders>
              <w:top w:val="nil"/>
              <w:left w:val="nil"/>
              <w:bottom w:val="single" w:sz="4" w:space="0" w:color="auto"/>
              <w:right w:val="nil"/>
            </w:tcBorders>
            <w:shd w:val="clear" w:color="000000" w:fill="E6E6E6"/>
            <w:noWrap/>
            <w:vAlign w:val="bottom"/>
            <w:hideMark/>
          </w:tcPr>
          <w:p w14:paraId="3F7EC21F" w14:textId="652653A3" w:rsidR="007C37A5" w:rsidRPr="00892C68" w:rsidRDefault="006948CE" w:rsidP="00365900">
            <w:pPr>
              <w:spacing w:after="0" w:line="240" w:lineRule="auto"/>
              <w:jc w:val="right"/>
              <w:rPr>
                <w:rFonts w:ascii="Arial" w:hAnsi="Arial" w:cs="Arial"/>
                <w:b/>
                <w:bCs/>
                <w:color w:val="000000"/>
                <w:sz w:val="16"/>
                <w:szCs w:val="16"/>
              </w:rPr>
            </w:pPr>
            <w:r w:rsidRPr="00892C68">
              <w:rPr>
                <w:rFonts w:ascii="Arial" w:hAnsi="Arial" w:cs="Arial"/>
                <w:b/>
                <w:bCs/>
                <w:color w:val="000000"/>
                <w:sz w:val="16"/>
                <w:szCs w:val="16"/>
              </w:rPr>
              <w:t>86,697</w:t>
            </w:r>
          </w:p>
        </w:tc>
      </w:tr>
    </w:tbl>
    <w:p w14:paraId="08792273" w14:textId="77777777" w:rsidR="00451D78" w:rsidRDefault="00451D78" w:rsidP="006D6366">
      <w:pPr>
        <w:pStyle w:val="PBSHeading-FiguresandTableswithindent"/>
        <w:spacing w:after="20"/>
        <w:ind w:left="0" w:firstLine="0"/>
        <w:rPr>
          <w:rFonts w:ascii="Arial" w:hAnsi="Arial" w:cs="Arial"/>
          <w:sz w:val="20"/>
          <w:szCs w:val="20"/>
        </w:rPr>
      </w:pPr>
    </w:p>
    <w:tbl>
      <w:tblPr>
        <w:tblW w:w="0" w:type="auto"/>
        <w:tblLayout w:type="fixed"/>
        <w:tblLook w:val="04A0" w:firstRow="1" w:lastRow="0" w:firstColumn="1" w:lastColumn="0" w:noHBand="0" w:noVBand="1"/>
      </w:tblPr>
      <w:tblGrid>
        <w:gridCol w:w="5245"/>
        <w:gridCol w:w="267"/>
        <w:gridCol w:w="1009"/>
        <w:gridCol w:w="1134"/>
      </w:tblGrid>
      <w:tr w:rsidR="003154C7" w:rsidRPr="003154C7" w14:paraId="15EA47FB" w14:textId="77777777" w:rsidTr="00244C4F">
        <w:trPr>
          <w:trHeight w:val="240"/>
        </w:trPr>
        <w:tc>
          <w:tcPr>
            <w:tcW w:w="5245" w:type="dxa"/>
            <w:tcBorders>
              <w:top w:val="single" w:sz="4" w:space="0" w:color="auto"/>
              <w:left w:val="nil"/>
              <w:bottom w:val="nil"/>
              <w:right w:val="nil"/>
            </w:tcBorders>
            <w:shd w:val="clear" w:color="auto" w:fill="auto"/>
            <w:noWrap/>
            <w:hideMark/>
          </w:tcPr>
          <w:p w14:paraId="02B5A670" w14:textId="77777777" w:rsidR="003154C7" w:rsidRPr="003154C7" w:rsidRDefault="003154C7" w:rsidP="003154C7">
            <w:pPr>
              <w:spacing w:after="0" w:line="240" w:lineRule="auto"/>
              <w:jc w:val="left"/>
              <w:rPr>
                <w:rFonts w:ascii="Times New Roman" w:hAnsi="Times New Roman"/>
                <w:sz w:val="24"/>
                <w:szCs w:val="24"/>
              </w:rPr>
            </w:pPr>
          </w:p>
        </w:tc>
        <w:tc>
          <w:tcPr>
            <w:tcW w:w="267" w:type="dxa"/>
            <w:tcBorders>
              <w:top w:val="single" w:sz="4" w:space="0" w:color="auto"/>
              <w:left w:val="nil"/>
              <w:bottom w:val="single" w:sz="4" w:space="0" w:color="auto"/>
              <w:right w:val="nil"/>
            </w:tcBorders>
            <w:shd w:val="clear" w:color="auto" w:fill="auto"/>
            <w:noWrap/>
            <w:hideMark/>
          </w:tcPr>
          <w:p w14:paraId="0DBEC6DF" w14:textId="77777777" w:rsidR="003154C7" w:rsidRPr="003154C7" w:rsidRDefault="003154C7" w:rsidP="003154C7">
            <w:pPr>
              <w:spacing w:after="0" w:line="240" w:lineRule="auto"/>
              <w:jc w:val="right"/>
              <w:rPr>
                <w:rFonts w:ascii="Arial" w:hAnsi="Arial" w:cs="Arial"/>
                <w:color w:val="000000"/>
                <w:sz w:val="18"/>
                <w:szCs w:val="18"/>
              </w:rPr>
            </w:pPr>
            <w:r w:rsidRPr="003154C7">
              <w:rPr>
                <w:rFonts w:ascii="Arial" w:hAnsi="Arial" w:cs="Arial"/>
                <w:color w:val="000000"/>
                <w:sz w:val="18"/>
                <w:szCs w:val="18"/>
              </w:rPr>
              <w:t> </w:t>
            </w:r>
          </w:p>
        </w:tc>
        <w:tc>
          <w:tcPr>
            <w:tcW w:w="1009" w:type="dxa"/>
            <w:tcBorders>
              <w:top w:val="single" w:sz="4" w:space="0" w:color="auto"/>
              <w:left w:val="nil"/>
              <w:bottom w:val="single" w:sz="4" w:space="0" w:color="auto"/>
              <w:right w:val="nil"/>
            </w:tcBorders>
            <w:shd w:val="clear" w:color="auto" w:fill="auto"/>
            <w:noWrap/>
            <w:vAlign w:val="bottom"/>
            <w:hideMark/>
          </w:tcPr>
          <w:p w14:paraId="6AE0049F" w14:textId="77777777" w:rsidR="003154C7" w:rsidRPr="003154C7" w:rsidRDefault="003154C7" w:rsidP="003154C7">
            <w:pPr>
              <w:spacing w:after="0" w:line="240" w:lineRule="auto"/>
              <w:jc w:val="right"/>
              <w:rPr>
                <w:rFonts w:ascii="Arial" w:hAnsi="Arial" w:cs="Arial"/>
                <w:color w:val="000000"/>
                <w:sz w:val="16"/>
                <w:szCs w:val="16"/>
              </w:rPr>
            </w:pPr>
            <w:r w:rsidRPr="003154C7">
              <w:rPr>
                <w:rFonts w:ascii="Arial" w:hAnsi="Arial" w:cs="Arial"/>
                <w:color w:val="000000"/>
                <w:sz w:val="16"/>
                <w:szCs w:val="16"/>
              </w:rPr>
              <w:t>Actual 2020-21</w:t>
            </w:r>
          </w:p>
        </w:tc>
        <w:tc>
          <w:tcPr>
            <w:tcW w:w="1134" w:type="dxa"/>
            <w:tcBorders>
              <w:top w:val="single" w:sz="4" w:space="0" w:color="auto"/>
              <w:left w:val="nil"/>
              <w:bottom w:val="single" w:sz="4" w:space="0" w:color="auto"/>
              <w:right w:val="nil"/>
            </w:tcBorders>
            <w:shd w:val="clear" w:color="000000" w:fill="E6E6E6"/>
            <w:noWrap/>
            <w:vAlign w:val="bottom"/>
            <w:hideMark/>
          </w:tcPr>
          <w:p w14:paraId="52DA25D5" w14:textId="77777777" w:rsidR="003154C7" w:rsidRPr="003154C7" w:rsidRDefault="003154C7" w:rsidP="003154C7">
            <w:pPr>
              <w:spacing w:after="0" w:line="240" w:lineRule="auto"/>
              <w:jc w:val="right"/>
              <w:rPr>
                <w:rFonts w:ascii="Arial" w:hAnsi="Arial" w:cs="Arial"/>
                <w:color w:val="000000"/>
                <w:sz w:val="16"/>
                <w:szCs w:val="16"/>
              </w:rPr>
            </w:pPr>
            <w:r w:rsidRPr="003154C7">
              <w:rPr>
                <w:rFonts w:ascii="Arial" w:hAnsi="Arial" w:cs="Arial"/>
                <w:color w:val="000000"/>
                <w:sz w:val="16"/>
                <w:szCs w:val="16"/>
              </w:rPr>
              <w:t>2021-22</w:t>
            </w:r>
          </w:p>
        </w:tc>
      </w:tr>
      <w:tr w:rsidR="003154C7" w:rsidRPr="003154C7" w14:paraId="4B51EBF2" w14:textId="77777777" w:rsidTr="00244C4F">
        <w:trPr>
          <w:trHeight w:val="204"/>
        </w:trPr>
        <w:tc>
          <w:tcPr>
            <w:tcW w:w="5245" w:type="dxa"/>
            <w:tcBorders>
              <w:top w:val="nil"/>
              <w:left w:val="nil"/>
              <w:bottom w:val="single" w:sz="4" w:space="0" w:color="auto"/>
              <w:right w:val="nil"/>
            </w:tcBorders>
            <w:shd w:val="clear" w:color="auto" w:fill="auto"/>
            <w:noWrap/>
            <w:hideMark/>
          </w:tcPr>
          <w:p w14:paraId="2EF41643" w14:textId="77777777" w:rsidR="003154C7" w:rsidRPr="003154C7" w:rsidRDefault="003154C7" w:rsidP="003154C7">
            <w:pPr>
              <w:spacing w:after="0" w:line="240" w:lineRule="auto"/>
              <w:jc w:val="left"/>
              <w:rPr>
                <w:rFonts w:ascii="Arial" w:hAnsi="Arial" w:cs="Arial"/>
                <w:b/>
                <w:bCs/>
                <w:color w:val="000000"/>
                <w:sz w:val="16"/>
                <w:szCs w:val="16"/>
              </w:rPr>
            </w:pPr>
            <w:r w:rsidRPr="003154C7">
              <w:rPr>
                <w:rFonts w:ascii="Arial" w:hAnsi="Arial" w:cs="Arial"/>
                <w:b/>
                <w:bCs/>
                <w:color w:val="000000"/>
                <w:sz w:val="16"/>
                <w:szCs w:val="16"/>
              </w:rPr>
              <w:t>Average staffing level (number)</w:t>
            </w:r>
          </w:p>
        </w:tc>
        <w:tc>
          <w:tcPr>
            <w:tcW w:w="267" w:type="dxa"/>
            <w:tcBorders>
              <w:top w:val="nil"/>
              <w:left w:val="nil"/>
              <w:bottom w:val="single" w:sz="4" w:space="0" w:color="auto"/>
              <w:right w:val="nil"/>
            </w:tcBorders>
            <w:shd w:val="clear" w:color="auto" w:fill="auto"/>
            <w:noWrap/>
            <w:vAlign w:val="bottom"/>
            <w:hideMark/>
          </w:tcPr>
          <w:p w14:paraId="6506D9A3" w14:textId="1860E42B" w:rsidR="003154C7" w:rsidRPr="003154C7" w:rsidRDefault="003154C7" w:rsidP="003154C7">
            <w:pPr>
              <w:spacing w:after="0" w:line="240" w:lineRule="auto"/>
              <w:jc w:val="right"/>
              <w:rPr>
                <w:rFonts w:ascii="Arial" w:hAnsi="Arial" w:cs="Arial"/>
                <w:color w:val="000000"/>
                <w:sz w:val="18"/>
                <w:szCs w:val="18"/>
              </w:rPr>
            </w:pPr>
          </w:p>
        </w:tc>
        <w:tc>
          <w:tcPr>
            <w:tcW w:w="1009" w:type="dxa"/>
            <w:tcBorders>
              <w:top w:val="nil"/>
              <w:left w:val="nil"/>
              <w:bottom w:val="single" w:sz="4" w:space="0" w:color="auto"/>
              <w:right w:val="nil"/>
            </w:tcBorders>
            <w:shd w:val="clear" w:color="000000" w:fill="FFFFFF"/>
            <w:noWrap/>
            <w:vAlign w:val="bottom"/>
            <w:hideMark/>
          </w:tcPr>
          <w:p w14:paraId="52D81F20" w14:textId="0ADB22CA" w:rsidR="003154C7" w:rsidRPr="003154C7" w:rsidRDefault="003154C7" w:rsidP="00451D78">
            <w:pPr>
              <w:spacing w:after="0" w:line="240" w:lineRule="auto"/>
              <w:jc w:val="right"/>
              <w:rPr>
                <w:rFonts w:ascii="Arial" w:hAnsi="Arial" w:cs="Arial"/>
                <w:color w:val="000000"/>
                <w:sz w:val="16"/>
                <w:szCs w:val="16"/>
              </w:rPr>
            </w:pPr>
            <w:r w:rsidRPr="003154C7">
              <w:rPr>
                <w:rFonts w:ascii="Arial" w:hAnsi="Arial" w:cs="Arial"/>
                <w:color w:val="000000"/>
                <w:sz w:val="16"/>
                <w:szCs w:val="16"/>
              </w:rPr>
              <w:t>5</w:t>
            </w:r>
            <w:r w:rsidR="00451D78">
              <w:rPr>
                <w:rFonts w:ascii="Arial" w:hAnsi="Arial" w:cs="Arial"/>
                <w:color w:val="000000"/>
                <w:sz w:val="16"/>
                <w:szCs w:val="16"/>
              </w:rPr>
              <w:t>2</w:t>
            </w:r>
          </w:p>
        </w:tc>
        <w:tc>
          <w:tcPr>
            <w:tcW w:w="1134" w:type="dxa"/>
            <w:tcBorders>
              <w:top w:val="nil"/>
              <w:left w:val="nil"/>
              <w:bottom w:val="single" w:sz="4" w:space="0" w:color="auto"/>
              <w:right w:val="nil"/>
            </w:tcBorders>
            <w:shd w:val="clear" w:color="000000" w:fill="E6E6E6"/>
            <w:noWrap/>
            <w:vAlign w:val="bottom"/>
            <w:hideMark/>
          </w:tcPr>
          <w:p w14:paraId="7BECED20" w14:textId="11D5BB27" w:rsidR="003154C7" w:rsidRPr="003154C7" w:rsidRDefault="003154C7" w:rsidP="003154C7">
            <w:pPr>
              <w:spacing w:after="0" w:line="240" w:lineRule="auto"/>
              <w:jc w:val="right"/>
              <w:rPr>
                <w:rFonts w:ascii="Arial" w:hAnsi="Arial" w:cs="Arial"/>
                <w:color w:val="000000"/>
                <w:sz w:val="16"/>
                <w:szCs w:val="16"/>
              </w:rPr>
            </w:pPr>
            <w:r w:rsidRPr="003154C7">
              <w:rPr>
                <w:rFonts w:ascii="Arial" w:hAnsi="Arial" w:cs="Arial"/>
                <w:color w:val="000000"/>
                <w:sz w:val="16"/>
                <w:szCs w:val="16"/>
              </w:rPr>
              <w:t>62</w:t>
            </w:r>
          </w:p>
        </w:tc>
      </w:tr>
    </w:tbl>
    <w:p w14:paraId="4CF9645A" w14:textId="77777777" w:rsidR="008E3678" w:rsidRPr="008E3678" w:rsidRDefault="008E3678" w:rsidP="004D4091">
      <w:pPr>
        <w:pStyle w:val="PBSHeading-FiguresandTableswithindent"/>
        <w:spacing w:before="60" w:after="20"/>
        <w:ind w:left="284" w:hanging="284"/>
        <w:rPr>
          <w:rFonts w:ascii="Arial" w:hAnsi="Arial" w:cs="Arial"/>
          <w:b w:val="0"/>
          <w:sz w:val="16"/>
          <w:szCs w:val="20"/>
        </w:rPr>
      </w:pPr>
      <w:r w:rsidRPr="008E3678">
        <w:rPr>
          <w:rFonts w:ascii="Arial" w:hAnsi="Arial" w:cs="Arial"/>
          <w:b w:val="0"/>
          <w:sz w:val="16"/>
          <w:szCs w:val="20"/>
        </w:rPr>
        <w:t>(a) Appropriation Act (No. 1) 2021-22 and Appropriation Bill (No. 3) 2021-22.</w:t>
      </w:r>
    </w:p>
    <w:p w14:paraId="0970008C" w14:textId="34361413" w:rsidR="008E3678" w:rsidRPr="008E3678" w:rsidRDefault="008E3678" w:rsidP="004D4091">
      <w:pPr>
        <w:pStyle w:val="PBSHeading-FiguresandTableswithindent"/>
        <w:spacing w:after="20"/>
        <w:ind w:left="284" w:hanging="284"/>
        <w:rPr>
          <w:rFonts w:ascii="Arial" w:hAnsi="Arial" w:cs="Arial"/>
          <w:b w:val="0"/>
          <w:sz w:val="16"/>
          <w:szCs w:val="20"/>
        </w:rPr>
      </w:pPr>
      <w:r w:rsidRPr="008E3678">
        <w:rPr>
          <w:rFonts w:ascii="Arial" w:hAnsi="Arial" w:cs="Arial"/>
          <w:b w:val="0"/>
          <w:sz w:val="16"/>
          <w:szCs w:val="20"/>
        </w:rPr>
        <w:t>(b) Estimate at Budget has been adjusted to reflect the actual balance</w:t>
      </w:r>
      <w:r w:rsidR="008F6E0F">
        <w:rPr>
          <w:rFonts w:ascii="Arial" w:hAnsi="Arial" w:cs="Arial"/>
          <w:b w:val="0"/>
          <w:sz w:val="16"/>
          <w:szCs w:val="20"/>
        </w:rPr>
        <w:t xml:space="preserve"> and/or approved amount</w:t>
      </w:r>
      <w:r w:rsidRPr="008E3678">
        <w:rPr>
          <w:rFonts w:ascii="Arial" w:hAnsi="Arial" w:cs="Arial"/>
          <w:b w:val="0"/>
          <w:sz w:val="16"/>
          <w:szCs w:val="20"/>
        </w:rPr>
        <w:t xml:space="preserve"> carried</w:t>
      </w:r>
      <w:r>
        <w:rPr>
          <w:rFonts w:ascii="Arial" w:hAnsi="Arial" w:cs="Arial"/>
          <w:b w:val="0"/>
          <w:sz w:val="16"/>
          <w:szCs w:val="20"/>
        </w:rPr>
        <w:t xml:space="preserve"> from previous years for annual </w:t>
      </w:r>
      <w:r w:rsidRPr="008E3678">
        <w:rPr>
          <w:rFonts w:ascii="Arial" w:hAnsi="Arial" w:cs="Arial"/>
          <w:b w:val="0"/>
          <w:sz w:val="16"/>
          <w:szCs w:val="20"/>
        </w:rPr>
        <w:t>appropriations (refer to Note 5.1 Appropriations in the NCA’s 2020-21 Annual Report).</w:t>
      </w:r>
    </w:p>
    <w:p w14:paraId="0D0EC274" w14:textId="06DAA465" w:rsidR="008E3678" w:rsidRPr="008E3678" w:rsidRDefault="008E3678" w:rsidP="004D4091">
      <w:pPr>
        <w:pStyle w:val="PBSHeading-FiguresandTableswithindent"/>
        <w:spacing w:after="20"/>
        <w:ind w:left="284" w:hanging="284"/>
        <w:rPr>
          <w:rFonts w:ascii="Arial" w:hAnsi="Arial" w:cs="Arial"/>
          <w:b w:val="0"/>
          <w:sz w:val="16"/>
          <w:szCs w:val="20"/>
        </w:rPr>
      </w:pPr>
      <w:r w:rsidRPr="008E3678">
        <w:rPr>
          <w:rFonts w:ascii="Arial" w:hAnsi="Arial" w:cs="Arial"/>
          <w:b w:val="0"/>
          <w:sz w:val="16"/>
          <w:szCs w:val="20"/>
        </w:rPr>
        <w:t xml:space="preserve">(c) Estimated retained revenue receipts under section 74 of the </w:t>
      </w:r>
      <w:r w:rsidRPr="0098313C">
        <w:rPr>
          <w:rFonts w:ascii="Arial" w:hAnsi="Arial" w:cs="Arial"/>
          <w:b w:val="0"/>
          <w:i/>
          <w:sz w:val="16"/>
          <w:szCs w:val="20"/>
        </w:rPr>
        <w:t>Public Governance, Performance and Accountability Act 2013</w:t>
      </w:r>
      <w:r w:rsidRPr="008E3678">
        <w:rPr>
          <w:rFonts w:ascii="Arial" w:hAnsi="Arial" w:cs="Arial"/>
          <w:b w:val="0"/>
          <w:sz w:val="16"/>
          <w:szCs w:val="20"/>
        </w:rPr>
        <w:t xml:space="preserve"> (PGPA Act).</w:t>
      </w:r>
    </w:p>
    <w:p w14:paraId="200F1FC1" w14:textId="5E7BBF67" w:rsidR="008E3678" w:rsidRPr="008E3678" w:rsidRDefault="008E3678" w:rsidP="004D4091">
      <w:pPr>
        <w:pStyle w:val="PBSHeading-FiguresandTableswithindent"/>
        <w:spacing w:after="20"/>
        <w:ind w:left="284" w:hanging="284"/>
        <w:rPr>
          <w:rFonts w:ascii="Arial" w:hAnsi="Arial" w:cs="Arial"/>
          <w:b w:val="0"/>
          <w:sz w:val="16"/>
          <w:szCs w:val="20"/>
        </w:rPr>
      </w:pPr>
      <w:r w:rsidRPr="008E3678">
        <w:rPr>
          <w:rFonts w:ascii="Arial" w:hAnsi="Arial" w:cs="Arial"/>
          <w:b w:val="0"/>
          <w:sz w:val="16"/>
          <w:szCs w:val="20"/>
        </w:rPr>
        <w:t xml:space="preserve">(d) </w:t>
      </w:r>
      <w:r w:rsidR="008863D9">
        <w:rPr>
          <w:rFonts w:ascii="Arial" w:hAnsi="Arial" w:cs="Arial"/>
          <w:b w:val="0"/>
          <w:sz w:val="16"/>
          <w:szCs w:val="20"/>
        </w:rPr>
        <w:t>Department</w:t>
      </w:r>
      <w:r w:rsidRPr="008E3678">
        <w:rPr>
          <w:rFonts w:ascii="Arial" w:hAnsi="Arial" w:cs="Arial"/>
          <w:b w:val="0"/>
          <w:sz w:val="16"/>
          <w:szCs w:val="20"/>
        </w:rPr>
        <w:t xml:space="preserve">al capital budgets </w:t>
      </w:r>
      <w:r w:rsidR="00892C68">
        <w:rPr>
          <w:rFonts w:ascii="Arial" w:hAnsi="Arial" w:cs="Arial"/>
          <w:b w:val="0"/>
          <w:sz w:val="16"/>
          <w:szCs w:val="20"/>
        </w:rPr>
        <w:t xml:space="preserve">(DCBs) </w:t>
      </w:r>
      <w:r w:rsidRPr="008E3678">
        <w:rPr>
          <w:rFonts w:ascii="Arial" w:hAnsi="Arial" w:cs="Arial"/>
          <w:b w:val="0"/>
          <w:sz w:val="16"/>
          <w:szCs w:val="20"/>
        </w:rPr>
        <w:t>are not separately identified in Appropriat</w:t>
      </w:r>
      <w:r>
        <w:rPr>
          <w:rFonts w:ascii="Arial" w:hAnsi="Arial" w:cs="Arial"/>
          <w:b w:val="0"/>
          <w:sz w:val="16"/>
          <w:szCs w:val="20"/>
        </w:rPr>
        <w:t xml:space="preserve">ion Act (No.1) and form part of </w:t>
      </w:r>
      <w:r w:rsidRPr="008E3678">
        <w:rPr>
          <w:rFonts w:ascii="Arial" w:hAnsi="Arial" w:cs="Arial"/>
          <w:b w:val="0"/>
          <w:sz w:val="16"/>
          <w:szCs w:val="20"/>
        </w:rPr>
        <w:t>ordinary annual services items. Please refer to Table 3.6 for further details</w:t>
      </w:r>
      <w:r>
        <w:rPr>
          <w:rFonts w:ascii="Arial" w:hAnsi="Arial" w:cs="Arial"/>
          <w:b w:val="0"/>
          <w:sz w:val="16"/>
          <w:szCs w:val="20"/>
        </w:rPr>
        <w:t xml:space="preserve">. For accounting purposes, this </w:t>
      </w:r>
      <w:r w:rsidRPr="008E3678">
        <w:rPr>
          <w:rFonts w:ascii="Arial" w:hAnsi="Arial" w:cs="Arial"/>
          <w:b w:val="0"/>
          <w:sz w:val="16"/>
          <w:szCs w:val="20"/>
        </w:rPr>
        <w:t>amount has been designated as a 'contribution by owner'.</w:t>
      </w:r>
    </w:p>
    <w:p w14:paraId="7BCB1487" w14:textId="210C2047" w:rsidR="008E3678" w:rsidRPr="008E3678" w:rsidRDefault="008E3678" w:rsidP="004D4091">
      <w:pPr>
        <w:pStyle w:val="PBSHeading-FiguresandTableswithindent"/>
        <w:spacing w:after="20"/>
        <w:ind w:left="284" w:hanging="284"/>
        <w:rPr>
          <w:rFonts w:ascii="Arial" w:hAnsi="Arial" w:cs="Arial"/>
          <w:b w:val="0"/>
          <w:sz w:val="16"/>
          <w:szCs w:val="20"/>
        </w:rPr>
      </w:pPr>
      <w:r w:rsidRPr="008E3678">
        <w:rPr>
          <w:rFonts w:ascii="Arial" w:hAnsi="Arial" w:cs="Arial"/>
          <w:b w:val="0"/>
          <w:sz w:val="16"/>
          <w:szCs w:val="20"/>
        </w:rPr>
        <w:t xml:space="preserve">(e) Administered capital budgets </w:t>
      </w:r>
      <w:r w:rsidR="00892C68">
        <w:rPr>
          <w:rFonts w:ascii="Arial" w:hAnsi="Arial" w:cs="Arial"/>
          <w:b w:val="0"/>
          <w:sz w:val="16"/>
          <w:szCs w:val="20"/>
        </w:rPr>
        <w:t xml:space="preserve">(ACBs) </w:t>
      </w:r>
      <w:r w:rsidRPr="008E3678">
        <w:rPr>
          <w:rFonts w:ascii="Arial" w:hAnsi="Arial" w:cs="Arial"/>
          <w:b w:val="0"/>
          <w:sz w:val="16"/>
          <w:szCs w:val="20"/>
        </w:rPr>
        <w:t xml:space="preserve">are not separately identified in Appropriation Act </w:t>
      </w:r>
      <w:r>
        <w:rPr>
          <w:rFonts w:ascii="Arial" w:hAnsi="Arial" w:cs="Arial"/>
          <w:b w:val="0"/>
          <w:sz w:val="16"/>
          <w:szCs w:val="20"/>
        </w:rPr>
        <w:t xml:space="preserve">(No. 1) and form part of </w:t>
      </w:r>
      <w:r w:rsidRPr="008E3678">
        <w:rPr>
          <w:rFonts w:ascii="Arial" w:hAnsi="Arial" w:cs="Arial"/>
          <w:b w:val="0"/>
          <w:sz w:val="16"/>
          <w:szCs w:val="20"/>
        </w:rPr>
        <w:t>ordinary annual services items. Please refer to Table 3.11 for further details</w:t>
      </w:r>
      <w:r>
        <w:rPr>
          <w:rFonts w:ascii="Arial" w:hAnsi="Arial" w:cs="Arial"/>
          <w:b w:val="0"/>
          <w:sz w:val="16"/>
          <w:szCs w:val="20"/>
        </w:rPr>
        <w:t xml:space="preserve">. For accounting purposes, this </w:t>
      </w:r>
      <w:r w:rsidRPr="008E3678">
        <w:rPr>
          <w:rFonts w:ascii="Arial" w:hAnsi="Arial" w:cs="Arial"/>
          <w:b w:val="0"/>
          <w:sz w:val="16"/>
          <w:szCs w:val="20"/>
        </w:rPr>
        <w:t>amount is designated as a 'contribution by owner'.</w:t>
      </w:r>
    </w:p>
    <w:p w14:paraId="38DF792D" w14:textId="4C79663F" w:rsidR="008E3678" w:rsidRPr="008E3678" w:rsidRDefault="008E3678" w:rsidP="004D4091">
      <w:pPr>
        <w:pStyle w:val="PBSHeading-FiguresandTableswithindent"/>
        <w:spacing w:after="20"/>
        <w:ind w:left="284" w:hanging="284"/>
        <w:rPr>
          <w:rFonts w:ascii="Arial" w:hAnsi="Arial" w:cs="Arial"/>
          <w:b w:val="0"/>
          <w:sz w:val="16"/>
          <w:szCs w:val="20"/>
        </w:rPr>
      </w:pPr>
      <w:r w:rsidRPr="008E3678">
        <w:rPr>
          <w:rFonts w:ascii="Arial" w:hAnsi="Arial" w:cs="Arial"/>
          <w:b w:val="0"/>
          <w:sz w:val="16"/>
          <w:szCs w:val="20"/>
        </w:rPr>
        <w:t xml:space="preserve">(f) </w:t>
      </w:r>
      <w:r w:rsidR="00892C68" w:rsidRPr="008E3678">
        <w:rPr>
          <w:rFonts w:ascii="Arial" w:hAnsi="Arial" w:cs="Arial"/>
          <w:b w:val="0"/>
          <w:sz w:val="16"/>
          <w:szCs w:val="20"/>
        </w:rPr>
        <w:t xml:space="preserve">Appropriation </w:t>
      </w:r>
      <w:r w:rsidR="00892C68">
        <w:rPr>
          <w:rFonts w:ascii="Arial" w:hAnsi="Arial" w:cs="Arial"/>
          <w:b w:val="0"/>
          <w:sz w:val="16"/>
          <w:szCs w:val="20"/>
        </w:rPr>
        <w:t xml:space="preserve">Act </w:t>
      </w:r>
      <w:r w:rsidR="00892C68" w:rsidRPr="008E3678">
        <w:rPr>
          <w:rFonts w:ascii="Arial" w:hAnsi="Arial" w:cs="Arial"/>
          <w:b w:val="0"/>
          <w:sz w:val="16"/>
          <w:szCs w:val="20"/>
        </w:rPr>
        <w:t xml:space="preserve">(No. </w:t>
      </w:r>
      <w:r w:rsidR="00892C68">
        <w:rPr>
          <w:rFonts w:ascii="Arial" w:hAnsi="Arial" w:cs="Arial"/>
          <w:b w:val="0"/>
          <w:sz w:val="16"/>
          <w:szCs w:val="20"/>
        </w:rPr>
        <w:t>2</w:t>
      </w:r>
      <w:r w:rsidR="00892C68" w:rsidRPr="008E3678">
        <w:rPr>
          <w:rFonts w:ascii="Arial" w:hAnsi="Arial" w:cs="Arial"/>
          <w:b w:val="0"/>
          <w:sz w:val="16"/>
          <w:szCs w:val="20"/>
        </w:rPr>
        <w:t>) 2021-22</w:t>
      </w:r>
      <w:r w:rsidR="00892C68">
        <w:rPr>
          <w:rFonts w:ascii="Arial" w:hAnsi="Arial" w:cs="Arial"/>
          <w:b w:val="0"/>
          <w:sz w:val="16"/>
          <w:szCs w:val="20"/>
        </w:rPr>
        <w:t xml:space="preserve"> and </w:t>
      </w:r>
      <w:r w:rsidRPr="008E3678">
        <w:rPr>
          <w:rFonts w:ascii="Arial" w:hAnsi="Arial" w:cs="Arial"/>
          <w:b w:val="0"/>
          <w:sz w:val="16"/>
          <w:szCs w:val="20"/>
        </w:rPr>
        <w:t>Appropriation Bill (No. 4) 2021-22.</w:t>
      </w:r>
    </w:p>
    <w:p w14:paraId="4C75BE09" w14:textId="7038902E" w:rsidR="003154C7" w:rsidRPr="008E3678" w:rsidRDefault="008E3678" w:rsidP="004D4091">
      <w:pPr>
        <w:pStyle w:val="PBSHeading-FiguresandTableswithindent"/>
        <w:spacing w:after="20"/>
        <w:ind w:left="284" w:hanging="284"/>
        <w:rPr>
          <w:rFonts w:ascii="Arial" w:hAnsi="Arial" w:cs="Arial"/>
          <w:b w:val="0"/>
          <w:sz w:val="16"/>
          <w:szCs w:val="20"/>
        </w:rPr>
      </w:pPr>
      <w:r w:rsidRPr="008E3678">
        <w:rPr>
          <w:rFonts w:ascii="Arial" w:hAnsi="Arial" w:cs="Arial"/>
          <w:b w:val="0"/>
          <w:sz w:val="16"/>
          <w:szCs w:val="20"/>
        </w:rPr>
        <w:t>(g) Repayments not provided for under other appropriations</w:t>
      </w:r>
    </w:p>
    <w:p w14:paraId="01E7331E" w14:textId="66B287BB" w:rsidR="00914885" w:rsidRDefault="00914885" w:rsidP="0061251A">
      <w:pPr>
        <w:pStyle w:val="Heading3NCA"/>
        <w:spacing w:before="240"/>
        <w:rPr>
          <w:lang w:val="en-AU"/>
        </w:rPr>
      </w:pPr>
      <w:bookmarkStart w:id="432" w:name="_Toc92990183"/>
      <w:bookmarkStart w:id="433" w:name="_Toc92990474"/>
      <w:bookmarkStart w:id="434" w:name="_Toc93040842"/>
      <w:r>
        <w:lastRenderedPageBreak/>
        <w:t>1.3</w:t>
      </w:r>
      <w:r>
        <w:tab/>
        <w:t xml:space="preserve">Entity </w:t>
      </w:r>
      <w:r>
        <w:rPr>
          <w:lang w:val="en-AU"/>
        </w:rPr>
        <w:t>measures</w:t>
      </w:r>
      <w:bookmarkEnd w:id="432"/>
      <w:bookmarkEnd w:id="433"/>
      <w:bookmarkEnd w:id="434"/>
    </w:p>
    <w:p w14:paraId="65B0EEBD" w14:textId="3DDCCF7E" w:rsidR="0061251A" w:rsidRDefault="0061251A" w:rsidP="0061251A">
      <w:pPr>
        <w:jc w:val="left"/>
      </w:pPr>
      <w:r w:rsidRPr="00F1244F">
        <w:t xml:space="preserve">Table 1.2 summarises new Government measures reflected in </w:t>
      </w:r>
      <w:r w:rsidR="00892C68">
        <w:t xml:space="preserve">the </w:t>
      </w:r>
      <w:r w:rsidRPr="00F1244F">
        <w:t>NCA’s estimates since the 2021-22 Budget. The table is split into receipt and payment measures, with the affected program identified.</w:t>
      </w:r>
    </w:p>
    <w:p w14:paraId="4FC3A8F1" w14:textId="3B8FECA4" w:rsidR="0061251A" w:rsidRDefault="0061251A" w:rsidP="0061251A">
      <w:pPr>
        <w:pStyle w:val="TableHeading"/>
        <w:rPr>
          <w:lang w:val="en-US"/>
        </w:rPr>
      </w:pPr>
      <w:r w:rsidRPr="00F1244F">
        <w:t xml:space="preserve">Table 1.2: </w:t>
      </w:r>
      <w:r w:rsidRPr="00F1244F">
        <w:rPr>
          <w:lang w:val="en-AU"/>
        </w:rPr>
        <w:t>NCA</w:t>
      </w:r>
      <w:r w:rsidRPr="00F1244F">
        <w:t xml:space="preserve"> </w:t>
      </w:r>
      <w:r w:rsidRPr="00F1244F">
        <w:rPr>
          <w:lang w:val="en-AU"/>
        </w:rPr>
        <w:t xml:space="preserve">2021-22 </w:t>
      </w:r>
      <w:r w:rsidRPr="00F1244F">
        <w:rPr>
          <w:lang w:val="en-US"/>
        </w:rPr>
        <w:t xml:space="preserve">measures </w:t>
      </w:r>
    </w:p>
    <w:tbl>
      <w:tblPr>
        <w:tblW w:w="0" w:type="auto"/>
        <w:tblLayout w:type="fixed"/>
        <w:tblLook w:val="04A0" w:firstRow="1" w:lastRow="0" w:firstColumn="1" w:lastColumn="0" w:noHBand="0" w:noVBand="1"/>
      </w:tblPr>
      <w:tblGrid>
        <w:gridCol w:w="2977"/>
        <w:gridCol w:w="851"/>
        <w:gridCol w:w="850"/>
        <w:gridCol w:w="993"/>
        <w:gridCol w:w="992"/>
        <w:gridCol w:w="992"/>
      </w:tblGrid>
      <w:tr w:rsidR="00573AA6" w:rsidRPr="00573AA6" w14:paraId="73C7E0FC" w14:textId="77777777" w:rsidTr="00C471CA">
        <w:trPr>
          <w:trHeight w:val="192"/>
        </w:trPr>
        <w:tc>
          <w:tcPr>
            <w:tcW w:w="2977" w:type="dxa"/>
            <w:tcBorders>
              <w:top w:val="single" w:sz="4" w:space="0" w:color="auto"/>
              <w:left w:val="nil"/>
              <w:bottom w:val="nil"/>
              <w:right w:val="nil"/>
            </w:tcBorders>
            <w:shd w:val="clear" w:color="auto" w:fill="auto"/>
            <w:noWrap/>
            <w:vAlign w:val="bottom"/>
            <w:hideMark/>
          </w:tcPr>
          <w:p w14:paraId="70C20155" w14:textId="77777777" w:rsidR="00573AA6" w:rsidRPr="00573AA6" w:rsidRDefault="00573AA6" w:rsidP="00573AA6">
            <w:pPr>
              <w:spacing w:after="0" w:line="240" w:lineRule="auto"/>
              <w:jc w:val="left"/>
              <w:rPr>
                <w:rFonts w:ascii="Arial" w:hAnsi="Arial" w:cs="Arial"/>
                <w:sz w:val="16"/>
                <w:szCs w:val="16"/>
              </w:rPr>
            </w:pPr>
            <w:r w:rsidRPr="00573AA6">
              <w:rPr>
                <w:rFonts w:ascii="Arial" w:hAnsi="Arial" w:cs="Arial"/>
                <w:sz w:val="16"/>
                <w:szCs w:val="16"/>
              </w:rPr>
              <w:t> </w:t>
            </w:r>
          </w:p>
        </w:tc>
        <w:tc>
          <w:tcPr>
            <w:tcW w:w="851" w:type="dxa"/>
            <w:tcBorders>
              <w:top w:val="single" w:sz="4" w:space="0" w:color="auto"/>
              <w:left w:val="nil"/>
              <w:bottom w:val="single" w:sz="4" w:space="0" w:color="auto"/>
              <w:right w:val="nil"/>
            </w:tcBorders>
            <w:shd w:val="clear" w:color="auto" w:fill="auto"/>
            <w:noWrap/>
            <w:vAlign w:val="bottom"/>
            <w:hideMark/>
          </w:tcPr>
          <w:p w14:paraId="5DBA1117" w14:textId="77777777" w:rsidR="00573AA6" w:rsidRPr="00573AA6" w:rsidRDefault="00573AA6" w:rsidP="00573AA6">
            <w:pPr>
              <w:spacing w:after="0" w:line="240" w:lineRule="auto"/>
              <w:jc w:val="left"/>
              <w:rPr>
                <w:rFonts w:ascii="Arial" w:hAnsi="Arial" w:cs="Arial"/>
                <w:sz w:val="16"/>
                <w:szCs w:val="16"/>
              </w:rPr>
            </w:pPr>
            <w:r w:rsidRPr="00573AA6">
              <w:rPr>
                <w:rFonts w:ascii="Arial" w:hAnsi="Arial" w:cs="Arial"/>
                <w:sz w:val="16"/>
                <w:szCs w:val="16"/>
              </w:rPr>
              <w:t>Program</w:t>
            </w:r>
          </w:p>
        </w:tc>
        <w:tc>
          <w:tcPr>
            <w:tcW w:w="850" w:type="dxa"/>
            <w:tcBorders>
              <w:top w:val="single" w:sz="4" w:space="0" w:color="auto"/>
              <w:left w:val="nil"/>
              <w:bottom w:val="single" w:sz="4" w:space="0" w:color="auto"/>
              <w:right w:val="nil"/>
            </w:tcBorders>
            <w:shd w:val="clear" w:color="auto" w:fill="auto"/>
            <w:vAlign w:val="bottom"/>
            <w:hideMark/>
          </w:tcPr>
          <w:p w14:paraId="462E78E5" w14:textId="77777777" w:rsidR="00573AA6" w:rsidRPr="00573AA6" w:rsidRDefault="00573AA6" w:rsidP="00573AA6">
            <w:pPr>
              <w:spacing w:after="0" w:line="240" w:lineRule="auto"/>
              <w:jc w:val="right"/>
              <w:rPr>
                <w:rFonts w:ascii="Arial" w:hAnsi="Arial" w:cs="Arial"/>
                <w:sz w:val="16"/>
                <w:szCs w:val="16"/>
              </w:rPr>
            </w:pPr>
            <w:r w:rsidRPr="00573AA6">
              <w:rPr>
                <w:rFonts w:ascii="Arial" w:hAnsi="Arial" w:cs="Arial"/>
                <w:sz w:val="16"/>
                <w:szCs w:val="16"/>
              </w:rPr>
              <w:t>2021-22</w:t>
            </w:r>
            <w:r w:rsidRPr="00573AA6">
              <w:rPr>
                <w:rFonts w:ascii="Arial" w:hAnsi="Arial" w:cs="Arial"/>
                <w:sz w:val="16"/>
                <w:szCs w:val="16"/>
              </w:rPr>
              <w:br/>
              <w:t>$'000</w:t>
            </w:r>
          </w:p>
        </w:tc>
        <w:tc>
          <w:tcPr>
            <w:tcW w:w="993" w:type="dxa"/>
            <w:tcBorders>
              <w:top w:val="single" w:sz="4" w:space="0" w:color="auto"/>
              <w:left w:val="nil"/>
              <w:bottom w:val="single" w:sz="4" w:space="0" w:color="auto"/>
              <w:right w:val="nil"/>
            </w:tcBorders>
            <w:shd w:val="clear" w:color="000000" w:fill="E6E6E6"/>
            <w:vAlign w:val="bottom"/>
            <w:hideMark/>
          </w:tcPr>
          <w:p w14:paraId="7FE0C55A" w14:textId="77777777" w:rsidR="00573AA6" w:rsidRPr="00573AA6" w:rsidRDefault="00573AA6" w:rsidP="00573AA6">
            <w:pPr>
              <w:spacing w:after="0" w:line="240" w:lineRule="auto"/>
              <w:jc w:val="right"/>
              <w:rPr>
                <w:rFonts w:ascii="Arial" w:hAnsi="Arial" w:cs="Arial"/>
                <w:sz w:val="16"/>
                <w:szCs w:val="16"/>
              </w:rPr>
            </w:pPr>
            <w:r w:rsidRPr="00573AA6">
              <w:rPr>
                <w:rFonts w:ascii="Arial" w:hAnsi="Arial" w:cs="Arial"/>
                <w:sz w:val="16"/>
                <w:szCs w:val="16"/>
              </w:rPr>
              <w:t>2022-23</w:t>
            </w:r>
            <w:r w:rsidRPr="00573AA6">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bottom"/>
            <w:hideMark/>
          </w:tcPr>
          <w:p w14:paraId="6CFFF791" w14:textId="77777777" w:rsidR="00573AA6" w:rsidRPr="00573AA6" w:rsidRDefault="00573AA6" w:rsidP="00573AA6">
            <w:pPr>
              <w:spacing w:after="0" w:line="240" w:lineRule="auto"/>
              <w:jc w:val="right"/>
              <w:rPr>
                <w:rFonts w:ascii="Arial" w:hAnsi="Arial" w:cs="Arial"/>
                <w:sz w:val="16"/>
                <w:szCs w:val="16"/>
              </w:rPr>
            </w:pPr>
            <w:r w:rsidRPr="00573AA6">
              <w:rPr>
                <w:rFonts w:ascii="Arial" w:hAnsi="Arial" w:cs="Arial"/>
                <w:sz w:val="16"/>
                <w:szCs w:val="16"/>
              </w:rPr>
              <w:t>2023-24</w:t>
            </w:r>
            <w:r w:rsidRPr="00573AA6">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000000" w:fill="E6E6E6"/>
            <w:vAlign w:val="bottom"/>
            <w:hideMark/>
          </w:tcPr>
          <w:p w14:paraId="32C968D7" w14:textId="77777777" w:rsidR="00573AA6" w:rsidRPr="00573AA6" w:rsidRDefault="00573AA6" w:rsidP="00573AA6">
            <w:pPr>
              <w:spacing w:after="0" w:line="240" w:lineRule="auto"/>
              <w:jc w:val="right"/>
              <w:rPr>
                <w:rFonts w:ascii="Arial" w:hAnsi="Arial" w:cs="Arial"/>
                <w:sz w:val="16"/>
                <w:szCs w:val="16"/>
              </w:rPr>
            </w:pPr>
            <w:r w:rsidRPr="00573AA6">
              <w:rPr>
                <w:rFonts w:ascii="Arial" w:hAnsi="Arial" w:cs="Arial"/>
                <w:sz w:val="16"/>
                <w:szCs w:val="16"/>
              </w:rPr>
              <w:t>2024-25</w:t>
            </w:r>
            <w:r w:rsidRPr="00573AA6">
              <w:rPr>
                <w:rFonts w:ascii="Arial" w:hAnsi="Arial" w:cs="Arial"/>
                <w:sz w:val="16"/>
                <w:szCs w:val="16"/>
              </w:rPr>
              <w:br/>
              <w:t>$'000</w:t>
            </w:r>
          </w:p>
        </w:tc>
      </w:tr>
      <w:tr w:rsidR="00573AA6" w:rsidRPr="00573AA6" w14:paraId="3E9EA4EC" w14:textId="77777777" w:rsidTr="00C471CA">
        <w:trPr>
          <w:trHeight w:val="203"/>
        </w:trPr>
        <w:tc>
          <w:tcPr>
            <w:tcW w:w="2977" w:type="dxa"/>
            <w:tcBorders>
              <w:top w:val="nil"/>
              <w:left w:val="nil"/>
              <w:bottom w:val="nil"/>
              <w:right w:val="nil"/>
            </w:tcBorders>
            <w:shd w:val="clear" w:color="auto" w:fill="auto"/>
            <w:vAlign w:val="bottom"/>
            <w:hideMark/>
          </w:tcPr>
          <w:p w14:paraId="560F1E6E" w14:textId="699690BC" w:rsidR="00573AA6" w:rsidRPr="00573AA6" w:rsidRDefault="00C970B9" w:rsidP="00C970B9">
            <w:pPr>
              <w:spacing w:after="0" w:line="240" w:lineRule="auto"/>
              <w:jc w:val="left"/>
              <w:rPr>
                <w:rFonts w:ascii="Arial" w:hAnsi="Arial" w:cs="Arial"/>
                <w:b/>
                <w:bCs/>
                <w:sz w:val="16"/>
                <w:szCs w:val="16"/>
              </w:rPr>
            </w:pPr>
            <w:r>
              <w:rPr>
                <w:rFonts w:ascii="Arial" w:hAnsi="Arial" w:cs="Arial"/>
                <w:b/>
                <w:bCs/>
                <w:sz w:val="16"/>
                <w:szCs w:val="16"/>
              </w:rPr>
              <w:t>Payment</w:t>
            </w:r>
            <w:r w:rsidR="00216C12">
              <w:rPr>
                <w:rFonts w:ascii="Arial" w:hAnsi="Arial" w:cs="Arial"/>
                <w:b/>
                <w:bCs/>
                <w:sz w:val="16"/>
                <w:szCs w:val="16"/>
              </w:rPr>
              <w:t xml:space="preserve"> measures</w:t>
            </w:r>
          </w:p>
        </w:tc>
        <w:tc>
          <w:tcPr>
            <w:tcW w:w="851" w:type="dxa"/>
            <w:tcBorders>
              <w:top w:val="nil"/>
              <w:left w:val="nil"/>
              <w:bottom w:val="nil"/>
              <w:right w:val="nil"/>
            </w:tcBorders>
            <w:shd w:val="clear" w:color="auto" w:fill="auto"/>
            <w:noWrap/>
            <w:vAlign w:val="bottom"/>
            <w:hideMark/>
          </w:tcPr>
          <w:p w14:paraId="1D0F379B" w14:textId="77777777" w:rsidR="00573AA6" w:rsidRPr="00573AA6" w:rsidRDefault="00573AA6" w:rsidP="00573AA6">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6BD50062" w14:textId="77777777" w:rsidR="00573AA6" w:rsidRPr="00573AA6" w:rsidRDefault="00573AA6" w:rsidP="00573AA6">
            <w:pPr>
              <w:spacing w:after="0" w:line="240" w:lineRule="auto"/>
              <w:jc w:val="right"/>
              <w:rPr>
                <w:rFonts w:ascii="Times New Roman" w:hAnsi="Times New Roman"/>
              </w:rPr>
            </w:pPr>
          </w:p>
        </w:tc>
        <w:tc>
          <w:tcPr>
            <w:tcW w:w="993" w:type="dxa"/>
            <w:tcBorders>
              <w:top w:val="nil"/>
              <w:left w:val="nil"/>
              <w:bottom w:val="nil"/>
              <w:right w:val="nil"/>
            </w:tcBorders>
            <w:shd w:val="clear" w:color="000000" w:fill="E6E6E6"/>
            <w:noWrap/>
            <w:vAlign w:val="bottom"/>
            <w:hideMark/>
          </w:tcPr>
          <w:p w14:paraId="657CAFF4" w14:textId="7D1A6E5D" w:rsidR="00573AA6" w:rsidRPr="00573AA6" w:rsidRDefault="00573AA6" w:rsidP="00573AA6">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7B770352" w14:textId="77777777" w:rsidR="00573AA6" w:rsidRPr="00573AA6" w:rsidRDefault="00573AA6" w:rsidP="00573AA6">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14:paraId="1FC75F45" w14:textId="7A08E4A3" w:rsidR="00573AA6" w:rsidRPr="00573AA6" w:rsidRDefault="00573AA6" w:rsidP="00573AA6">
            <w:pPr>
              <w:spacing w:after="0" w:line="240" w:lineRule="auto"/>
              <w:jc w:val="right"/>
              <w:rPr>
                <w:rFonts w:ascii="Arial" w:hAnsi="Arial" w:cs="Arial"/>
                <w:sz w:val="16"/>
                <w:szCs w:val="16"/>
              </w:rPr>
            </w:pPr>
          </w:p>
        </w:tc>
      </w:tr>
      <w:tr w:rsidR="00573AA6" w:rsidRPr="00573AA6" w14:paraId="6E3A6ED1" w14:textId="77777777" w:rsidTr="00C471CA">
        <w:trPr>
          <w:trHeight w:val="203"/>
        </w:trPr>
        <w:tc>
          <w:tcPr>
            <w:tcW w:w="2977" w:type="dxa"/>
            <w:tcBorders>
              <w:top w:val="nil"/>
              <w:left w:val="nil"/>
              <w:bottom w:val="nil"/>
              <w:right w:val="nil"/>
            </w:tcBorders>
            <w:shd w:val="clear" w:color="auto" w:fill="auto"/>
            <w:vAlign w:val="bottom"/>
            <w:hideMark/>
          </w:tcPr>
          <w:p w14:paraId="6729B6D1" w14:textId="6B8906A4" w:rsidR="00573AA6" w:rsidRPr="00573AA6" w:rsidRDefault="00573AA6" w:rsidP="00573AA6">
            <w:pPr>
              <w:spacing w:after="0" w:line="240" w:lineRule="auto"/>
              <w:jc w:val="left"/>
              <w:rPr>
                <w:rFonts w:ascii="Arial" w:hAnsi="Arial" w:cs="Arial"/>
                <w:sz w:val="16"/>
                <w:szCs w:val="16"/>
              </w:rPr>
            </w:pPr>
            <w:r w:rsidRPr="00573AA6">
              <w:rPr>
                <w:rFonts w:ascii="Arial" w:hAnsi="Arial" w:cs="Arial"/>
                <w:sz w:val="16"/>
                <w:szCs w:val="16"/>
              </w:rPr>
              <w:t>National Commemorative Statues</w:t>
            </w:r>
            <w:r w:rsidR="00120788">
              <w:rPr>
                <w:rFonts w:ascii="Arial" w:hAnsi="Arial" w:cs="Arial"/>
                <w:sz w:val="16"/>
                <w:szCs w:val="16"/>
              </w:rPr>
              <w:t xml:space="preserve"> </w:t>
            </w:r>
            <w:r w:rsidR="00120788" w:rsidRPr="00120788">
              <w:rPr>
                <w:rFonts w:ascii="Arial" w:hAnsi="Arial" w:cs="Arial"/>
                <w:sz w:val="16"/>
                <w:szCs w:val="16"/>
                <w:vertAlign w:val="superscript"/>
              </w:rPr>
              <w:t>(a)</w:t>
            </w:r>
          </w:p>
        </w:tc>
        <w:tc>
          <w:tcPr>
            <w:tcW w:w="851" w:type="dxa"/>
            <w:tcBorders>
              <w:top w:val="nil"/>
              <w:left w:val="nil"/>
              <w:bottom w:val="nil"/>
              <w:right w:val="nil"/>
            </w:tcBorders>
            <w:shd w:val="clear" w:color="auto" w:fill="auto"/>
            <w:noWrap/>
            <w:vAlign w:val="bottom"/>
            <w:hideMark/>
          </w:tcPr>
          <w:p w14:paraId="46575BE6" w14:textId="358FFFF1" w:rsidR="00573AA6" w:rsidRPr="00573AA6" w:rsidRDefault="00573AA6" w:rsidP="00573AA6">
            <w:pPr>
              <w:spacing w:after="0" w:line="240" w:lineRule="auto"/>
              <w:jc w:val="center"/>
              <w:rPr>
                <w:rFonts w:ascii="Arial" w:hAnsi="Arial" w:cs="Arial"/>
                <w:sz w:val="16"/>
                <w:szCs w:val="16"/>
              </w:rPr>
            </w:pPr>
            <w:r w:rsidRPr="00573AA6">
              <w:rPr>
                <w:rFonts w:ascii="Arial" w:hAnsi="Arial" w:cs="Arial"/>
                <w:sz w:val="16"/>
                <w:szCs w:val="16"/>
              </w:rPr>
              <w:t>1.2</w:t>
            </w:r>
          </w:p>
        </w:tc>
        <w:tc>
          <w:tcPr>
            <w:tcW w:w="850" w:type="dxa"/>
            <w:tcBorders>
              <w:top w:val="nil"/>
              <w:left w:val="nil"/>
              <w:bottom w:val="nil"/>
              <w:right w:val="nil"/>
            </w:tcBorders>
            <w:shd w:val="clear" w:color="auto" w:fill="auto"/>
            <w:noWrap/>
            <w:vAlign w:val="bottom"/>
            <w:hideMark/>
          </w:tcPr>
          <w:p w14:paraId="206D5695" w14:textId="77777777" w:rsidR="00573AA6" w:rsidRPr="00573AA6" w:rsidRDefault="00573AA6" w:rsidP="00573AA6">
            <w:pPr>
              <w:spacing w:after="0" w:line="240" w:lineRule="auto"/>
              <w:jc w:val="right"/>
              <w:rPr>
                <w:rFonts w:ascii="Arial" w:hAnsi="Arial" w:cs="Arial"/>
                <w:sz w:val="16"/>
                <w:szCs w:val="16"/>
              </w:rPr>
            </w:pPr>
          </w:p>
        </w:tc>
        <w:tc>
          <w:tcPr>
            <w:tcW w:w="993" w:type="dxa"/>
            <w:tcBorders>
              <w:top w:val="nil"/>
              <w:left w:val="nil"/>
              <w:bottom w:val="nil"/>
              <w:right w:val="nil"/>
            </w:tcBorders>
            <w:shd w:val="clear" w:color="000000" w:fill="E6E6E6"/>
            <w:noWrap/>
            <w:vAlign w:val="bottom"/>
            <w:hideMark/>
          </w:tcPr>
          <w:p w14:paraId="1D9F454F" w14:textId="705AA241" w:rsidR="00573AA6" w:rsidRPr="00573AA6" w:rsidRDefault="00573AA6" w:rsidP="00573AA6">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02329D80" w14:textId="77777777" w:rsidR="00573AA6" w:rsidRPr="00573AA6" w:rsidRDefault="00573AA6" w:rsidP="00573AA6">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14:paraId="6AD0FB02" w14:textId="600F926B" w:rsidR="00573AA6" w:rsidRPr="00573AA6" w:rsidRDefault="00573AA6" w:rsidP="00573AA6">
            <w:pPr>
              <w:spacing w:after="0" w:line="240" w:lineRule="auto"/>
              <w:jc w:val="right"/>
              <w:rPr>
                <w:rFonts w:ascii="Arial" w:hAnsi="Arial" w:cs="Arial"/>
                <w:sz w:val="16"/>
                <w:szCs w:val="16"/>
              </w:rPr>
            </w:pPr>
          </w:p>
        </w:tc>
      </w:tr>
      <w:tr w:rsidR="00573AA6" w:rsidRPr="00573AA6" w14:paraId="13A106DE" w14:textId="77777777" w:rsidTr="00C471CA">
        <w:trPr>
          <w:trHeight w:val="203"/>
        </w:trPr>
        <w:tc>
          <w:tcPr>
            <w:tcW w:w="2977" w:type="dxa"/>
            <w:tcBorders>
              <w:top w:val="nil"/>
              <w:left w:val="nil"/>
              <w:bottom w:val="nil"/>
              <w:right w:val="nil"/>
            </w:tcBorders>
            <w:shd w:val="clear" w:color="auto" w:fill="auto"/>
            <w:noWrap/>
            <w:vAlign w:val="bottom"/>
            <w:hideMark/>
          </w:tcPr>
          <w:p w14:paraId="52BA38D8" w14:textId="22809A4C" w:rsidR="00573AA6" w:rsidRPr="00573AA6" w:rsidRDefault="00573AA6" w:rsidP="00892C68">
            <w:pPr>
              <w:spacing w:after="0" w:line="240" w:lineRule="auto"/>
              <w:ind w:firstLineChars="100" w:firstLine="160"/>
              <w:jc w:val="left"/>
              <w:rPr>
                <w:rFonts w:ascii="Arial" w:hAnsi="Arial" w:cs="Arial"/>
                <w:sz w:val="16"/>
                <w:szCs w:val="16"/>
              </w:rPr>
            </w:pPr>
            <w:r w:rsidRPr="00573AA6">
              <w:rPr>
                <w:rFonts w:ascii="Arial" w:hAnsi="Arial" w:cs="Arial"/>
                <w:sz w:val="16"/>
                <w:szCs w:val="16"/>
              </w:rPr>
              <w:t xml:space="preserve">Administered </w:t>
            </w:r>
            <w:r w:rsidR="00892C68">
              <w:rPr>
                <w:rFonts w:ascii="Arial" w:hAnsi="Arial" w:cs="Arial"/>
                <w:sz w:val="16"/>
                <w:szCs w:val="16"/>
              </w:rPr>
              <w:t>payments</w:t>
            </w:r>
          </w:p>
        </w:tc>
        <w:tc>
          <w:tcPr>
            <w:tcW w:w="851" w:type="dxa"/>
            <w:tcBorders>
              <w:top w:val="nil"/>
              <w:left w:val="nil"/>
              <w:bottom w:val="nil"/>
              <w:right w:val="nil"/>
            </w:tcBorders>
            <w:shd w:val="clear" w:color="auto" w:fill="auto"/>
            <w:noWrap/>
            <w:vAlign w:val="bottom"/>
            <w:hideMark/>
          </w:tcPr>
          <w:p w14:paraId="4D23861E" w14:textId="77777777" w:rsidR="00573AA6" w:rsidRPr="00573AA6" w:rsidRDefault="00573AA6" w:rsidP="00573AA6">
            <w:pPr>
              <w:spacing w:after="0" w:line="240" w:lineRule="auto"/>
              <w:ind w:firstLineChars="100" w:firstLine="160"/>
              <w:jc w:val="right"/>
              <w:rPr>
                <w:rFonts w:ascii="Arial" w:hAnsi="Arial" w:cs="Arial"/>
                <w:sz w:val="16"/>
                <w:szCs w:val="16"/>
              </w:rPr>
            </w:pPr>
          </w:p>
        </w:tc>
        <w:tc>
          <w:tcPr>
            <w:tcW w:w="850" w:type="dxa"/>
            <w:tcBorders>
              <w:top w:val="nil"/>
              <w:left w:val="nil"/>
              <w:right w:val="nil"/>
            </w:tcBorders>
            <w:shd w:val="clear" w:color="auto" w:fill="auto"/>
            <w:noWrap/>
            <w:vAlign w:val="bottom"/>
            <w:hideMark/>
          </w:tcPr>
          <w:p w14:paraId="66DD09F5" w14:textId="507107FC" w:rsidR="00573AA6" w:rsidRPr="00573AA6" w:rsidRDefault="00573AA6" w:rsidP="00573AA6">
            <w:pPr>
              <w:spacing w:after="0" w:line="240" w:lineRule="auto"/>
              <w:jc w:val="right"/>
              <w:rPr>
                <w:rFonts w:ascii="Arial" w:hAnsi="Arial" w:cs="Arial"/>
                <w:color w:val="000000"/>
                <w:sz w:val="16"/>
                <w:szCs w:val="16"/>
              </w:rPr>
            </w:pPr>
            <w:r w:rsidRPr="00573AA6">
              <w:rPr>
                <w:rFonts w:ascii="Arial" w:hAnsi="Arial" w:cs="Arial"/>
                <w:color w:val="000000"/>
                <w:sz w:val="16"/>
                <w:szCs w:val="16"/>
              </w:rPr>
              <w:t>1,250</w:t>
            </w:r>
          </w:p>
        </w:tc>
        <w:tc>
          <w:tcPr>
            <w:tcW w:w="993" w:type="dxa"/>
            <w:tcBorders>
              <w:top w:val="nil"/>
              <w:left w:val="nil"/>
              <w:right w:val="nil"/>
            </w:tcBorders>
            <w:shd w:val="clear" w:color="000000" w:fill="E6E6E6"/>
            <w:noWrap/>
            <w:vAlign w:val="bottom"/>
            <w:hideMark/>
          </w:tcPr>
          <w:p w14:paraId="48D3ECC5" w14:textId="1C61B8DD" w:rsidR="00573AA6" w:rsidRPr="00573AA6" w:rsidRDefault="00573AA6" w:rsidP="00573AA6">
            <w:pPr>
              <w:spacing w:after="0" w:line="240" w:lineRule="auto"/>
              <w:jc w:val="right"/>
              <w:rPr>
                <w:rFonts w:ascii="Arial" w:hAnsi="Arial" w:cs="Arial"/>
                <w:sz w:val="16"/>
                <w:szCs w:val="16"/>
              </w:rPr>
            </w:pPr>
            <w:r w:rsidRPr="00573AA6">
              <w:rPr>
                <w:rFonts w:ascii="Arial" w:hAnsi="Arial" w:cs="Arial"/>
                <w:sz w:val="16"/>
                <w:szCs w:val="16"/>
              </w:rPr>
              <w:t>-</w:t>
            </w:r>
          </w:p>
        </w:tc>
        <w:tc>
          <w:tcPr>
            <w:tcW w:w="992" w:type="dxa"/>
            <w:tcBorders>
              <w:top w:val="nil"/>
              <w:left w:val="nil"/>
              <w:right w:val="nil"/>
            </w:tcBorders>
            <w:shd w:val="clear" w:color="auto" w:fill="auto"/>
            <w:noWrap/>
            <w:vAlign w:val="bottom"/>
            <w:hideMark/>
          </w:tcPr>
          <w:p w14:paraId="052F2992" w14:textId="0FB04AE7" w:rsidR="00573AA6" w:rsidRPr="00573AA6" w:rsidRDefault="00573AA6" w:rsidP="00573AA6">
            <w:pPr>
              <w:spacing w:after="0" w:line="240" w:lineRule="auto"/>
              <w:jc w:val="right"/>
              <w:rPr>
                <w:rFonts w:ascii="Arial" w:hAnsi="Arial" w:cs="Arial"/>
                <w:sz w:val="16"/>
                <w:szCs w:val="16"/>
              </w:rPr>
            </w:pPr>
            <w:r w:rsidRPr="00573AA6">
              <w:rPr>
                <w:rFonts w:ascii="Arial" w:hAnsi="Arial" w:cs="Arial"/>
                <w:sz w:val="16"/>
                <w:szCs w:val="16"/>
              </w:rPr>
              <w:t>-</w:t>
            </w:r>
          </w:p>
        </w:tc>
        <w:tc>
          <w:tcPr>
            <w:tcW w:w="992" w:type="dxa"/>
            <w:tcBorders>
              <w:top w:val="nil"/>
              <w:left w:val="nil"/>
              <w:right w:val="nil"/>
            </w:tcBorders>
            <w:shd w:val="clear" w:color="000000" w:fill="E6E6E6"/>
            <w:noWrap/>
            <w:vAlign w:val="bottom"/>
            <w:hideMark/>
          </w:tcPr>
          <w:p w14:paraId="7D5A7E02" w14:textId="03CF2EC0" w:rsidR="00573AA6" w:rsidRPr="00573AA6" w:rsidRDefault="00573AA6" w:rsidP="00573AA6">
            <w:pPr>
              <w:spacing w:after="0" w:line="240" w:lineRule="auto"/>
              <w:jc w:val="right"/>
              <w:rPr>
                <w:rFonts w:ascii="Arial" w:hAnsi="Arial" w:cs="Arial"/>
                <w:sz w:val="16"/>
                <w:szCs w:val="16"/>
              </w:rPr>
            </w:pPr>
            <w:r w:rsidRPr="00573AA6">
              <w:rPr>
                <w:rFonts w:ascii="Arial" w:hAnsi="Arial" w:cs="Arial"/>
                <w:sz w:val="16"/>
                <w:szCs w:val="16"/>
              </w:rPr>
              <w:t>-</w:t>
            </w:r>
          </w:p>
        </w:tc>
      </w:tr>
      <w:tr w:rsidR="00573AA6" w:rsidRPr="00573AA6" w14:paraId="0FDBA1CD" w14:textId="77777777" w:rsidTr="00C471CA">
        <w:trPr>
          <w:trHeight w:val="203"/>
        </w:trPr>
        <w:tc>
          <w:tcPr>
            <w:tcW w:w="2977" w:type="dxa"/>
            <w:tcBorders>
              <w:top w:val="nil"/>
              <w:left w:val="nil"/>
              <w:bottom w:val="nil"/>
              <w:right w:val="nil"/>
            </w:tcBorders>
            <w:shd w:val="clear" w:color="auto" w:fill="auto"/>
            <w:noWrap/>
            <w:vAlign w:val="bottom"/>
            <w:hideMark/>
          </w:tcPr>
          <w:p w14:paraId="4707BA64" w14:textId="77777777" w:rsidR="00573AA6" w:rsidRPr="00573AA6" w:rsidRDefault="00573AA6" w:rsidP="00573AA6">
            <w:pPr>
              <w:spacing w:after="0" w:line="240" w:lineRule="auto"/>
              <w:jc w:val="left"/>
              <w:rPr>
                <w:rFonts w:ascii="Arial" w:hAnsi="Arial" w:cs="Arial"/>
                <w:b/>
                <w:bCs/>
                <w:sz w:val="16"/>
                <w:szCs w:val="16"/>
              </w:rPr>
            </w:pPr>
            <w:r w:rsidRPr="00573AA6">
              <w:rPr>
                <w:rFonts w:ascii="Arial" w:hAnsi="Arial" w:cs="Arial"/>
                <w:b/>
                <w:bCs/>
                <w:sz w:val="16"/>
                <w:szCs w:val="16"/>
              </w:rPr>
              <w:t>Total</w:t>
            </w:r>
          </w:p>
        </w:tc>
        <w:tc>
          <w:tcPr>
            <w:tcW w:w="851" w:type="dxa"/>
            <w:tcBorders>
              <w:top w:val="nil"/>
              <w:left w:val="nil"/>
              <w:bottom w:val="nil"/>
              <w:right w:val="nil"/>
            </w:tcBorders>
            <w:shd w:val="clear" w:color="auto" w:fill="auto"/>
            <w:noWrap/>
            <w:vAlign w:val="bottom"/>
            <w:hideMark/>
          </w:tcPr>
          <w:p w14:paraId="0E866626" w14:textId="77777777" w:rsidR="00573AA6" w:rsidRPr="00573AA6" w:rsidRDefault="00573AA6" w:rsidP="00573AA6">
            <w:pPr>
              <w:spacing w:after="0" w:line="240" w:lineRule="auto"/>
              <w:jc w:val="right"/>
              <w:rPr>
                <w:rFonts w:ascii="Arial" w:hAnsi="Arial" w:cs="Arial"/>
                <w:b/>
                <w:bCs/>
                <w:sz w:val="16"/>
                <w:szCs w:val="16"/>
              </w:rPr>
            </w:pPr>
          </w:p>
        </w:tc>
        <w:tc>
          <w:tcPr>
            <w:tcW w:w="850" w:type="dxa"/>
            <w:tcBorders>
              <w:top w:val="nil"/>
              <w:left w:val="nil"/>
              <w:bottom w:val="single" w:sz="4" w:space="0" w:color="auto"/>
              <w:right w:val="nil"/>
            </w:tcBorders>
            <w:shd w:val="clear" w:color="auto" w:fill="auto"/>
            <w:noWrap/>
            <w:vAlign w:val="bottom"/>
            <w:hideMark/>
          </w:tcPr>
          <w:p w14:paraId="55097A3F" w14:textId="72B34613" w:rsidR="00573AA6" w:rsidRPr="00546B48" w:rsidRDefault="00573AA6" w:rsidP="00573AA6">
            <w:pPr>
              <w:spacing w:after="0" w:line="240" w:lineRule="auto"/>
              <w:jc w:val="right"/>
              <w:rPr>
                <w:rFonts w:ascii="Arial" w:hAnsi="Arial" w:cs="Arial"/>
                <w:b/>
                <w:color w:val="000000"/>
                <w:sz w:val="16"/>
                <w:szCs w:val="16"/>
              </w:rPr>
            </w:pPr>
            <w:r w:rsidRPr="00546B48">
              <w:rPr>
                <w:rFonts w:ascii="Arial" w:hAnsi="Arial" w:cs="Arial"/>
                <w:b/>
                <w:color w:val="000000"/>
                <w:sz w:val="16"/>
                <w:szCs w:val="16"/>
              </w:rPr>
              <w:t>1,250</w:t>
            </w:r>
          </w:p>
        </w:tc>
        <w:tc>
          <w:tcPr>
            <w:tcW w:w="993" w:type="dxa"/>
            <w:tcBorders>
              <w:top w:val="nil"/>
              <w:left w:val="nil"/>
              <w:bottom w:val="single" w:sz="4" w:space="0" w:color="auto"/>
              <w:right w:val="nil"/>
            </w:tcBorders>
            <w:shd w:val="clear" w:color="000000" w:fill="E6E6E6"/>
            <w:noWrap/>
            <w:vAlign w:val="bottom"/>
            <w:hideMark/>
          </w:tcPr>
          <w:p w14:paraId="67A3B6CC" w14:textId="2B94B4EF" w:rsidR="00573AA6" w:rsidRPr="00546B48" w:rsidRDefault="00573AA6" w:rsidP="00573AA6">
            <w:pPr>
              <w:spacing w:after="0" w:line="240" w:lineRule="auto"/>
              <w:jc w:val="right"/>
              <w:rPr>
                <w:rFonts w:ascii="Arial" w:hAnsi="Arial" w:cs="Arial"/>
                <w:b/>
                <w:sz w:val="16"/>
                <w:szCs w:val="16"/>
              </w:rPr>
            </w:pPr>
            <w:r w:rsidRPr="00546B48">
              <w:rPr>
                <w:rFonts w:ascii="Arial" w:hAnsi="Arial" w:cs="Arial"/>
                <w:b/>
                <w:sz w:val="16"/>
                <w:szCs w:val="16"/>
              </w:rPr>
              <w:t>-</w:t>
            </w:r>
          </w:p>
        </w:tc>
        <w:tc>
          <w:tcPr>
            <w:tcW w:w="992" w:type="dxa"/>
            <w:tcBorders>
              <w:top w:val="nil"/>
              <w:left w:val="nil"/>
              <w:bottom w:val="single" w:sz="4" w:space="0" w:color="auto"/>
              <w:right w:val="nil"/>
            </w:tcBorders>
            <w:shd w:val="clear" w:color="auto" w:fill="auto"/>
            <w:noWrap/>
            <w:vAlign w:val="bottom"/>
            <w:hideMark/>
          </w:tcPr>
          <w:p w14:paraId="0EA8B03D" w14:textId="1C29BEC1" w:rsidR="00573AA6" w:rsidRPr="00546B48" w:rsidRDefault="00573AA6" w:rsidP="00573AA6">
            <w:pPr>
              <w:spacing w:after="0" w:line="240" w:lineRule="auto"/>
              <w:jc w:val="right"/>
              <w:rPr>
                <w:rFonts w:ascii="Arial" w:hAnsi="Arial" w:cs="Arial"/>
                <w:b/>
                <w:sz w:val="16"/>
                <w:szCs w:val="16"/>
              </w:rPr>
            </w:pPr>
            <w:r w:rsidRPr="00546B48">
              <w:rPr>
                <w:rFonts w:ascii="Arial" w:hAnsi="Arial" w:cs="Arial"/>
                <w:b/>
                <w:sz w:val="16"/>
                <w:szCs w:val="16"/>
              </w:rPr>
              <w:t>-</w:t>
            </w:r>
          </w:p>
        </w:tc>
        <w:tc>
          <w:tcPr>
            <w:tcW w:w="992" w:type="dxa"/>
            <w:tcBorders>
              <w:top w:val="nil"/>
              <w:left w:val="nil"/>
              <w:bottom w:val="single" w:sz="4" w:space="0" w:color="auto"/>
              <w:right w:val="nil"/>
            </w:tcBorders>
            <w:shd w:val="clear" w:color="000000" w:fill="E6E6E6"/>
            <w:noWrap/>
            <w:vAlign w:val="bottom"/>
            <w:hideMark/>
          </w:tcPr>
          <w:p w14:paraId="787DDEDC" w14:textId="6E4149DE" w:rsidR="00573AA6" w:rsidRPr="00546B48" w:rsidRDefault="00573AA6" w:rsidP="00573AA6">
            <w:pPr>
              <w:spacing w:after="0" w:line="240" w:lineRule="auto"/>
              <w:jc w:val="right"/>
              <w:rPr>
                <w:rFonts w:ascii="Arial" w:hAnsi="Arial" w:cs="Arial"/>
                <w:b/>
                <w:sz w:val="16"/>
                <w:szCs w:val="16"/>
              </w:rPr>
            </w:pPr>
            <w:r w:rsidRPr="00546B48">
              <w:rPr>
                <w:rFonts w:ascii="Arial" w:hAnsi="Arial" w:cs="Arial"/>
                <w:b/>
                <w:sz w:val="16"/>
                <w:szCs w:val="16"/>
              </w:rPr>
              <w:t>-</w:t>
            </w:r>
          </w:p>
        </w:tc>
      </w:tr>
      <w:tr w:rsidR="00573AA6" w:rsidRPr="00573AA6" w14:paraId="0801CE01" w14:textId="77777777" w:rsidTr="00C471CA">
        <w:trPr>
          <w:trHeight w:val="203"/>
        </w:trPr>
        <w:tc>
          <w:tcPr>
            <w:tcW w:w="2977" w:type="dxa"/>
            <w:tcBorders>
              <w:top w:val="nil"/>
              <w:left w:val="nil"/>
              <w:bottom w:val="nil"/>
              <w:right w:val="nil"/>
            </w:tcBorders>
            <w:shd w:val="clear" w:color="auto" w:fill="auto"/>
            <w:noWrap/>
            <w:vAlign w:val="bottom"/>
            <w:hideMark/>
          </w:tcPr>
          <w:p w14:paraId="77DADCF5" w14:textId="10291043" w:rsidR="00573AA6" w:rsidRPr="00573AA6" w:rsidRDefault="00573AA6" w:rsidP="00C970B9">
            <w:pPr>
              <w:spacing w:after="0" w:line="240" w:lineRule="auto"/>
              <w:jc w:val="left"/>
              <w:rPr>
                <w:rFonts w:ascii="Arial" w:hAnsi="Arial" w:cs="Arial"/>
                <w:b/>
                <w:bCs/>
                <w:sz w:val="16"/>
                <w:szCs w:val="16"/>
              </w:rPr>
            </w:pPr>
            <w:r w:rsidRPr="00573AA6">
              <w:rPr>
                <w:rFonts w:ascii="Arial" w:hAnsi="Arial" w:cs="Arial"/>
                <w:b/>
                <w:bCs/>
                <w:sz w:val="16"/>
                <w:szCs w:val="16"/>
              </w:rPr>
              <w:t xml:space="preserve">Total </w:t>
            </w:r>
            <w:r w:rsidR="00C970B9">
              <w:rPr>
                <w:rFonts w:ascii="Arial" w:hAnsi="Arial" w:cs="Arial"/>
                <w:b/>
                <w:bCs/>
                <w:sz w:val="16"/>
                <w:szCs w:val="16"/>
              </w:rPr>
              <w:t>payment</w:t>
            </w:r>
            <w:r w:rsidRPr="00573AA6">
              <w:rPr>
                <w:rFonts w:ascii="Arial" w:hAnsi="Arial" w:cs="Arial"/>
                <w:b/>
                <w:bCs/>
                <w:sz w:val="16"/>
                <w:szCs w:val="16"/>
              </w:rPr>
              <w:t xml:space="preserve"> measures</w:t>
            </w:r>
          </w:p>
        </w:tc>
        <w:tc>
          <w:tcPr>
            <w:tcW w:w="851" w:type="dxa"/>
            <w:tcBorders>
              <w:top w:val="nil"/>
              <w:left w:val="nil"/>
              <w:bottom w:val="nil"/>
              <w:right w:val="nil"/>
            </w:tcBorders>
            <w:shd w:val="clear" w:color="auto" w:fill="auto"/>
            <w:noWrap/>
            <w:vAlign w:val="bottom"/>
            <w:hideMark/>
          </w:tcPr>
          <w:p w14:paraId="225B98A5" w14:textId="77777777" w:rsidR="00573AA6" w:rsidRPr="00573AA6" w:rsidRDefault="00573AA6" w:rsidP="00573AA6">
            <w:pPr>
              <w:spacing w:after="0" w:line="240" w:lineRule="auto"/>
              <w:jc w:val="right"/>
              <w:rPr>
                <w:rFonts w:ascii="Arial" w:hAnsi="Arial" w:cs="Arial"/>
                <w:b/>
                <w:bCs/>
                <w:sz w:val="16"/>
                <w:szCs w:val="16"/>
              </w:rPr>
            </w:pPr>
          </w:p>
        </w:tc>
        <w:tc>
          <w:tcPr>
            <w:tcW w:w="850" w:type="dxa"/>
            <w:tcBorders>
              <w:top w:val="single" w:sz="4" w:space="0" w:color="auto"/>
              <w:left w:val="nil"/>
              <w:bottom w:val="nil"/>
              <w:right w:val="nil"/>
            </w:tcBorders>
            <w:shd w:val="clear" w:color="auto" w:fill="auto"/>
            <w:noWrap/>
            <w:vAlign w:val="bottom"/>
            <w:hideMark/>
          </w:tcPr>
          <w:p w14:paraId="2EFBAC50" w14:textId="77777777" w:rsidR="00573AA6" w:rsidRPr="00573AA6" w:rsidRDefault="00573AA6" w:rsidP="00573AA6">
            <w:pPr>
              <w:spacing w:after="0" w:line="240" w:lineRule="auto"/>
              <w:jc w:val="right"/>
              <w:rPr>
                <w:rFonts w:ascii="Times New Roman" w:hAnsi="Times New Roman"/>
              </w:rPr>
            </w:pPr>
          </w:p>
        </w:tc>
        <w:tc>
          <w:tcPr>
            <w:tcW w:w="993" w:type="dxa"/>
            <w:tcBorders>
              <w:top w:val="single" w:sz="4" w:space="0" w:color="auto"/>
              <w:left w:val="nil"/>
              <w:bottom w:val="nil"/>
              <w:right w:val="nil"/>
            </w:tcBorders>
            <w:shd w:val="clear" w:color="000000" w:fill="E6E6E6"/>
            <w:noWrap/>
            <w:vAlign w:val="bottom"/>
            <w:hideMark/>
          </w:tcPr>
          <w:p w14:paraId="080E3FA6" w14:textId="59BBB64B" w:rsidR="00573AA6" w:rsidRPr="00573AA6" w:rsidRDefault="00573AA6" w:rsidP="00573AA6">
            <w:pPr>
              <w:spacing w:after="0" w:line="240" w:lineRule="auto"/>
              <w:jc w:val="right"/>
              <w:rPr>
                <w:rFonts w:ascii="Arial" w:hAnsi="Arial" w:cs="Arial"/>
                <w:sz w:val="16"/>
                <w:szCs w:val="16"/>
              </w:rPr>
            </w:pPr>
          </w:p>
        </w:tc>
        <w:tc>
          <w:tcPr>
            <w:tcW w:w="992" w:type="dxa"/>
            <w:tcBorders>
              <w:top w:val="single" w:sz="4" w:space="0" w:color="auto"/>
              <w:left w:val="nil"/>
              <w:bottom w:val="nil"/>
              <w:right w:val="nil"/>
            </w:tcBorders>
            <w:shd w:val="clear" w:color="auto" w:fill="auto"/>
            <w:noWrap/>
            <w:vAlign w:val="bottom"/>
            <w:hideMark/>
          </w:tcPr>
          <w:p w14:paraId="25AC7AD4" w14:textId="77777777" w:rsidR="00573AA6" w:rsidRPr="00573AA6" w:rsidRDefault="00573AA6" w:rsidP="00573AA6">
            <w:pPr>
              <w:spacing w:after="0" w:line="240" w:lineRule="auto"/>
              <w:jc w:val="right"/>
              <w:rPr>
                <w:rFonts w:ascii="Arial" w:hAnsi="Arial" w:cs="Arial"/>
                <w:sz w:val="16"/>
                <w:szCs w:val="16"/>
              </w:rPr>
            </w:pPr>
          </w:p>
        </w:tc>
        <w:tc>
          <w:tcPr>
            <w:tcW w:w="992" w:type="dxa"/>
            <w:tcBorders>
              <w:top w:val="single" w:sz="4" w:space="0" w:color="auto"/>
              <w:left w:val="nil"/>
              <w:bottom w:val="nil"/>
              <w:right w:val="nil"/>
            </w:tcBorders>
            <w:shd w:val="clear" w:color="000000" w:fill="E6E6E6"/>
            <w:noWrap/>
            <w:vAlign w:val="bottom"/>
            <w:hideMark/>
          </w:tcPr>
          <w:p w14:paraId="64F0E158" w14:textId="114D43C6" w:rsidR="00573AA6" w:rsidRPr="00573AA6" w:rsidRDefault="00573AA6" w:rsidP="00573AA6">
            <w:pPr>
              <w:spacing w:after="0" w:line="240" w:lineRule="auto"/>
              <w:jc w:val="right"/>
              <w:rPr>
                <w:rFonts w:ascii="Arial" w:hAnsi="Arial" w:cs="Arial"/>
                <w:sz w:val="16"/>
                <w:szCs w:val="16"/>
              </w:rPr>
            </w:pPr>
          </w:p>
        </w:tc>
      </w:tr>
      <w:tr w:rsidR="00573AA6" w:rsidRPr="00573AA6" w14:paraId="42D03614" w14:textId="77777777" w:rsidTr="00C471CA">
        <w:trPr>
          <w:trHeight w:val="203"/>
        </w:trPr>
        <w:tc>
          <w:tcPr>
            <w:tcW w:w="2977" w:type="dxa"/>
            <w:tcBorders>
              <w:top w:val="nil"/>
              <w:left w:val="nil"/>
              <w:bottom w:val="nil"/>
              <w:right w:val="nil"/>
            </w:tcBorders>
            <w:shd w:val="clear" w:color="auto" w:fill="auto"/>
            <w:noWrap/>
            <w:vAlign w:val="bottom"/>
            <w:hideMark/>
          </w:tcPr>
          <w:p w14:paraId="4848B875" w14:textId="77777777" w:rsidR="00573AA6" w:rsidRPr="00573AA6" w:rsidRDefault="00573AA6" w:rsidP="00573AA6">
            <w:pPr>
              <w:spacing w:after="0" w:line="240" w:lineRule="auto"/>
              <w:ind w:firstLineChars="100" w:firstLine="160"/>
              <w:jc w:val="left"/>
              <w:rPr>
                <w:rFonts w:ascii="Arial" w:hAnsi="Arial" w:cs="Arial"/>
                <w:sz w:val="16"/>
                <w:szCs w:val="16"/>
              </w:rPr>
            </w:pPr>
            <w:r w:rsidRPr="00573AA6">
              <w:rPr>
                <w:rFonts w:ascii="Arial" w:hAnsi="Arial" w:cs="Arial"/>
                <w:sz w:val="16"/>
                <w:szCs w:val="16"/>
              </w:rPr>
              <w:t>Administered</w:t>
            </w:r>
          </w:p>
        </w:tc>
        <w:tc>
          <w:tcPr>
            <w:tcW w:w="851" w:type="dxa"/>
            <w:tcBorders>
              <w:top w:val="nil"/>
              <w:left w:val="nil"/>
              <w:bottom w:val="nil"/>
              <w:right w:val="nil"/>
            </w:tcBorders>
            <w:shd w:val="clear" w:color="auto" w:fill="auto"/>
            <w:noWrap/>
            <w:vAlign w:val="bottom"/>
            <w:hideMark/>
          </w:tcPr>
          <w:p w14:paraId="28D92DE8" w14:textId="77777777" w:rsidR="00573AA6" w:rsidRPr="00573AA6" w:rsidRDefault="00573AA6" w:rsidP="00573AA6">
            <w:pPr>
              <w:spacing w:after="0" w:line="240" w:lineRule="auto"/>
              <w:ind w:firstLineChars="100" w:firstLine="160"/>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EC2E91C" w14:textId="5C2DC551" w:rsidR="00573AA6" w:rsidRPr="00573AA6" w:rsidRDefault="00573AA6" w:rsidP="00573AA6">
            <w:pPr>
              <w:spacing w:after="0" w:line="240" w:lineRule="auto"/>
              <w:jc w:val="right"/>
              <w:rPr>
                <w:rFonts w:ascii="Arial" w:hAnsi="Arial" w:cs="Arial"/>
                <w:color w:val="000000"/>
                <w:sz w:val="16"/>
                <w:szCs w:val="16"/>
              </w:rPr>
            </w:pPr>
            <w:r w:rsidRPr="00573AA6">
              <w:rPr>
                <w:rFonts w:ascii="Arial" w:hAnsi="Arial" w:cs="Arial"/>
                <w:color w:val="000000"/>
                <w:sz w:val="16"/>
                <w:szCs w:val="16"/>
              </w:rPr>
              <w:t>1,250</w:t>
            </w:r>
          </w:p>
        </w:tc>
        <w:tc>
          <w:tcPr>
            <w:tcW w:w="993" w:type="dxa"/>
            <w:tcBorders>
              <w:top w:val="nil"/>
              <w:left w:val="nil"/>
              <w:bottom w:val="nil"/>
              <w:right w:val="nil"/>
            </w:tcBorders>
            <w:shd w:val="clear" w:color="000000" w:fill="E6E6E6"/>
            <w:noWrap/>
            <w:vAlign w:val="bottom"/>
            <w:hideMark/>
          </w:tcPr>
          <w:p w14:paraId="0675AA1F" w14:textId="6CA27EEC" w:rsidR="00573AA6" w:rsidRPr="00573AA6" w:rsidRDefault="00573AA6" w:rsidP="00573AA6">
            <w:pPr>
              <w:spacing w:after="0" w:line="240" w:lineRule="auto"/>
              <w:jc w:val="right"/>
              <w:rPr>
                <w:rFonts w:ascii="Arial" w:hAnsi="Arial" w:cs="Arial"/>
                <w:sz w:val="16"/>
                <w:szCs w:val="16"/>
              </w:rPr>
            </w:pPr>
            <w:r w:rsidRPr="00573AA6">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6B0C1DA8" w14:textId="724F12E1" w:rsidR="00573AA6" w:rsidRPr="00573AA6" w:rsidRDefault="00573AA6" w:rsidP="00573AA6">
            <w:pPr>
              <w:spacing w:after="0" w:line="240" w:lineRule="auto"/>
              <w:jc w:val="right"/>
              <w:rPr>
                <w:rFonts w:ascii="Arial" w:hAnsi="Arial" w:cs="Arial"/>
                <w:sz w:val="16"/>
                <w:szCs w:val="16"/>
              </w:rPr>
            </w:pPr>
            <w:r w:rsidRPr="00573AA6">
              <w:rPr>
                <w:rFonts w:ascii="Arial" w:hAnsi="Arial" w:cs="Arial"/>
                <w:sz w:val="16"/>
                <w:szCs w:val="16"/>
              </w:rPr>
              <w:t>-</w:t>
            </w:r>
          </w:p>
        </w:tc>
        <w:tc>
          <w:tcPr>
            <w:tcW w:w="992" w:type="dxa"/>
            <w:tcBorders>
              <w:top w:val="nil"/>
              <w:left w:val="nil"/>
              <w:bottom w:val="nil"/>
              <w:right w:val="nil"/>
            </w:tcBorders>
            <w:shd w:val="clear" w:color="000000" w:fill="E6E6E6"/>
            <w:noWrap/>
            <w:vAlign w:val="bottom"/>
            <w:hideMark/>
          </w:tcPr>
          <w:p w14:paraId="4ADAB14A" w14:textId="0C47E289" w:rsidR="00573AA6" w:rsidRPr="00573AA6" w:rsidRDefault="00573AA6" w:rsidP="00573AA6">
            <w:pPr>
              <w:spacing w:after="0" w:line="240" w:lineRule="auto"/>
              <w:jc w:val="right"/>
              <w:rPr>
                <w:rFonts w:ascii="Arial" w:hAnsi="Arial" w:cs="Arial"/>
                <w:sz w:val="16"/>
                <w:szCs w:val="16"/>
              </w:rPr>
            </w:pPr>
            <w:r w:rsidRPr="00573AA6">
              <w:rPr>
                <w:rFonts w:ascii="Arial" w:hAnsi="Arial" w:cs="Arial"/>
                <w:sz w:val="16"/>
                <w:szCs w:val="16"/>
              </w:rPr>
              <w:t>-</w:t>
            </w:r>
          </w:p>
        </w:tc>
      </w:tr>
      <w:tr w:rsidR="00573AA6" w:rsidRPr="00573AA6" w14:paraId="637E21AA" w14:textId="77777777" w:rsidTr="00C471CA">
        <w:trPr>
          <w:trHeight w:val="203"/>
        </w:trPr>
        <w:tc>
          <w:tcPr>
            <w:tcW w:w="2977" w:type="dxa"/>
            <w:tcBorders>
              <w:top w:val="nil"/>
              <w:left w:val="nil"/>
              <w:bottom w:val="single" w:sz="4" w:space="0" w:color="auto"/>
              <w:right w:val="nil"/>
            </w:tcBorders>
            <w:shd w:val="clear" w:color="auto" w:fill="auto"/>
            <w:noWrap/>
            <w:vAlign w:val="bottom"/>
            <w:hideMark/>
          </w:tcPr>
          <w:p w14:paraId="4E631E65" w14:textId="77777777" w:rsidR="00573AA6" w:rsidRPr="00573AA6" w:rsidRDefault="00573AA6" w:rsidP="00573AA6">
            <w:pPr>
              <w:spacing w:after="0" w:line="240" w:lineRule="auto"/>
              <w:jc w:val="left"/>
              <w:rPr>
                <w:rFonts w:ascii="Arial" w:hAnsi="Arial" w:cs="Arial"/>
                <w:b/>
                <w:bCs/>
                <w:sz w:val="16"/>
                <w:szCs w:val="16"/>
              </w:rPr>
            </w:pPr>
            <w:r w:rsidRPr="00573AA6">
              <w:rPr>
                <w:rFonts w:ascii="Arial" w:hAnsi="Arial" w:cs="Arial"/>
                <w:b/>
                <w:bCs/>
                <w:sz w:val="16"/>
                <w:szCs w:val="16"/>
              </w:rPr>
              <w:t>Total</w:t>
            </w:r>
          </w:p>
        </w:tc>
        <w:tc>
          <w:tcPr>
            <w:tcW w:w="851" w:type="dxa"/>
            <w:tcBorders>
              <w:top w:val="nil"/>
              <w:left w:val="nil"/>
              <w:bottom w:val="single" w:sz="4" w:space="0" w:color="auto"/>
              <w:right w:val="nil"/>
            </w:tcBorders>
            <w:shd w:val="clear" w:color="auto" w:fill="auto"/>
            <w:noWrap/>
            <w:vAlign w:val="bottom"/>
            <w:hideMark/>
          </w:tcPr>
          <w:p w14:paraId="4B91D784" w14:textId="4A7F13F8" w:rsidR="00573AA6" w:rsidRPr="00573AA6" w:rsidRDefault="00573AA6" w:rsidP="00573AA6">
            <w:pPr>
              <w:spacing w:after="0" w:line="240" w:lineRule="auto"/>
              <w:jc w:val="right"/>
              <w:rPr>
                <w:rFonts w:ascii="Arial" w:hAnsi="Arial" w:cs="Arial"/>
                <w:b/>
                <w:bCs/>
                <w:sz w:val="16"/>
                <w:szCs w:val="16"/>
              </w:rPr>
            </w:pPr>
          </w:p>
        </w:tc>
        <w:tc>
          <w:tcPr>
            <w:tcW w:w="850" w:type="dxa"/>
            <w:tcBorders>
              <w:top w:val="nil"/>
              <w:left w:val="nil"/>
              <w:bottom w:val="single" w:sz="4" w:space="0" w:color="auto"/>
              <w:right w:val="nil"/>
            </w:tcBorders>
            <w:shd w:val="clear" w:color="auto" w:fill="auto"/>
            <w:noWrap/>
            <w:vAlign w:val="bottom"/>
            <w:hideMark/>
          </w:tcPr>
          <w:p w14:paraId="3505C017" w14:textId="10F683E8" w:rsidR="00573AA6" w:rsidRPr="00573AA6" w:rsidRDefault="00573AA6" w:rsidP="00573AA6">
            <w:pPr>
              <w:spacing w:after="0" w:line="240" w:lineRule="auto"/>
              <w:jc w:val="right"/>
              <w:rPr>
                <w:rFonts w:ascii="Arial" w:hAnsi="Arial" w:cs="Arial"/>
                <w:b/>
                <w:bCs/>
                <w:sz w:val="16"/>
                <w:szCs w:val="16"/>
              </w:rPr>
            </w:pPr>
            <w:r w:rsidRPr="00573AA6">
              <w:rPr>
                <w:rFonts w:ascii="Arial" w:hAnsi="Arial" w:cs="Arial"/>
                <w:b/>
                <w:bCs/>
                <w:sz w:val="16"/>
                <w:szCs w:val="16"/>
              </w:rPr>
              <w:t>1,250</w:t>
            </w:r>
          </w:p>
        </w:tc>
        <w:tc>
          <w:tcPr>
            <w:tcW w:w="993" w:type="dxa"/>
            <w:tcBorders>
              <w:top w:val="nil"/>
              <w:left w:val="nil"/>
              <w:bottom w:val="single" w:sz="4" w:space="0" w:color="auto"/>
              <w:right w:val="nil"/>
            </w:tcBorders>
            <w:shd w:val="clear" w:color="000000" w:fill="E6E6E6"/>
            <w:noWrap/>
            <w:vAlign w:val="bottom"/>
            <w:hideMark/>
          </w:tcPr>
          <w:p w14:paraId="38A703BA" w14:textId="55A4F4A3" w:rsidR="00573AA6" w:rsidRPr="00573AA6" w:rsidRDefault="00573AA6" w:rsidP="00573AA6">
            <w:pPr>
              <w:spacing w:after="0" w:line="240" w:lineRule="auto"/>
              <w:jc w:val="right"/>
              <w:rPr>
                <w:rFonts w:ascii="Arial" w:hAnsi="Arial" w:cs="Arial"/>
                <w:b/>
                <w:bCs/>
                <w:sz w:val="16"/>
                <w:szCs w:val="16"/>
              </w:rPr>
            </w:pPr>
            <w:r w:rsidRPr="00573AA6">
              <w:rPr>
                <w:rFonts w:ascii="Arial" w:hAnsi="Arial" w:cs="Arial"/>
                <w:b/>
                <w:bCs/>
                <w:sz w:val="16"/>
                <w:szCs w:val="16"/>
              </w:rPr>
              <w:t>-</w:t>
            </w:r>
          </w:p>
        </w:tc>
        <w:tc>
          <w:tcPr>
            <w:tcW w:w="992" w:type="dxa"/>
            <w:tcBorders>
              <w:top w:val="nil"/>
              <w:left w:val="nil"/>
              <w:bottom w:val="single" w:sz="4" w:space="0" w:color="auto"/>
              <w:right w:val="nil"/>
            </w:tcBorders>
            <w:shd w:val="clear" w:color="auto" w:fill="auto"/>
            <w:noWrap/>
            <w:vAlign w:val="bottom"/>
            <w:hideMark/>
          </w:tcPr>
          <w:p w14:paraId="7A46DA72" w14:textId="0EEEA986" w:rsidR="00573AA6" w:rsidRPr="00573AA6" w:rsidRDefault="00573AA6" w:rsidP="00573AA6">
            <w:pPr>
              <w:spacing w:after="0" w:line="240" w:lineRule="auto"/>
              <w:jc w:val="right"/>
              <w:rPr>
                <w:rFonts w:ascii="Arial" w:hAnsi="Arial" w:cs="Arial"/>
                <w:b/>
                <w:bCs/>
                <w:sz w:val="16"/>
                <w:szCs w:val="16"/>
              </w:rPr>
            </w:pPr>
            <w:r w:rsidRPr="00573AA6">
              <w:rPr>
                <w:rFonts w:ascii="Arial" w:hAnsi="Arial" w:cs="Arial"/>
                <w:b/>
                <w:bCs/>
                <w:sz w:val="16"/>
                <w:szCs w:val="16"/>
              </w:rPr>
              <w:t>-</w:t>
            </w:r>
          </w:p>
        </w:tc>
        <w:tc>
          <w:tcPr>
            <w:tcW w:w="992" w:type="dxa"/>
            <w:tcBorders>
              <w:top w:val="nil"/>
              <w:left w:val="nil"/>
              <w:bottom w:val="single" w:sz="4" w:space="0" w:color="auto"/>
              <w:right w:val="nil"/>
            </w:tcBorders>
            <w:shd w:val="clear" w:color="000000" w:fill="E6E6E6"/>
            <w:noWrap/>
            <w:vAlign w:val="bottom"/>
            <w:hideMark/>
          </w:tcPr>
          <w:p w14:paraId="0B374C7E" w14:textId="635E2D6A" w:rsidR="00573AA6" w:rsidRPr="00573AA6" w:rsidRDefault="00573AA6" w:rsidP="00573AA6">
            <w:pPr>
              <w:spacing w:after="0" w:line="240" w:lineRule="auto"/>
              <w:jc w:val="right"/>
              <w:rPr>
                <w:rFonts w:ascii="Arial" w:hAnsi="Arial" w:cs="Arial"/>
                <w:b/>
                <w:bCs/>
                <w:sz w:val="16"/>
                <w:szCs w:val="16"/>
              </w:rPr>
            </w:pPr>
            <w:r w:rsidRPr="00573AA6">
              <w:rPr>
                <w:rFonts w:ascii="Arial" w:hAnsi="Arial" w:cs="Arial"/>
                <w:b/>
                <w:bCs/>
                <w:sz w:val="16"/>
                <w:szCs w:val="16"/>
              </w:rPr>
              <w:t>-</w:t>
            </w:r>
          </w:p>
        </w:tc>
      </w:tr>
    </w:tbl>
    <w:p w14:paraId="2F4DDFE9" w14:textId="065B3158" w:rsidR="00CF56FC" w:rsidRDefault="008A53A1" w:rsidP="004D1B95">
      <w:pPr>
        <w:spacing w:before="60" w:after="0" w:line="240" w:lineRule="auto"/>
        <w:jc w:val="left"/>
        <w:rPr>
          <w:rFonts w:ascii="Arial" w:hAnsi="Arial" w:cs="Arial"/>
          <w:sz w:val="16"/>
          <w:szCs w:val="16"/>
        </w:rPr>
      </w:pPr>
      <w:r w:rsidRPr="008A53A1">
        <w:rPr>
          <w:rFonts w:ascii="Arial" w:hAnsi="Arial" w:cs="Arial"/>
          <w:sz w:val="16"/>
          <w:szCs w:val="16"/>
        </w:rPr>
        <w:t>Figures displayed as a negative (-) represent a decrease in funds and a positive (+) represent an increase in funds</w:t>
      </w:r>
    </w:p>
    <w:p w14:paraId="7380AA5F" w14:textId="57C1E82B" w:rsidR="00120788" w:rsidRDefault="00120788" w:rsidP="004D1B95">
      <w:pPr>
        <w:spacing w:line="240" w:lineRule="auto"/>
        <w:ind w:left="284" w:hanging="284"/>
        <w:jc w:val="left"/>
        <w:rPr>
          <w:rFonts w:ascii="Arial" w:hAnsi="Arial" w:cs="Arial"/>
          <w:sz w:val="16"/>
          <w:szCs w:val="16"/>
        </w:rPr>
      </w:pPr>
      <w:r>
        <w:rPr>
          <w:rFonts w:ascii="Arial" w:hAnsi="Arial" w:cs="Arial"/>
          <w:sz w:val="16"/>
          <w:szCs w:val="16"/>
        </w:rPr>
        <w:t>(a)</w:t>
      </w:r>
      <w:r>
        <w:rPr>
          <w:rFonts w:ascii="Arial" w:hAnsi="Arial" w:cs="Arial"/>
          <w:sz w:val="16"/>
          <w:szCs w:val="16"/>
        </w:rPr>
        <w:tab/>
        <w:t>Measure relates to a decision taken not yet announced from 2021-22 Budget.</w:t>
      </w:r>
    </w:p>
    <w:p w14:paraId="6D67F094" w14:textId="3FF6F9DB" w:rsidR="00914885" w:rsidRPr="001E1BB6" w:rsidRDefault="00914885" w:rsidP="00FB6A01">
      <w:pPr>
        <w:pStyle w:val="Heading3NCA"/>
        <w:rPr>
          <w:lang w:val="en-AU"/>
        </w:rPr>
      </w:pPr>
      <w:bookmarkStart w:id="435" w:name="_Toc92990184"/>
      <w:bookmarkStart w:id="436" w:name="_Toc92990475"/>
      <w:bookmarkStart w:id="437" w:name="_Toc93040843"/>
      <w:r>
        <w:t>1.4</w:t>
      </w:r>
      <w:r>
        <w:tab/>
        <w:t>Additional estimates</w:t>
      </w:r>
      <w:r>
        <w:rPr>
          <w:lang w:val="en-AU"/>
        </w:rPr>
        <w:t>, resourcing</w:t>
      </w:r>
      <w:r>
        <w:t xml:space="preserve"> and v</w:t>
      </w:r>
      <w:r w:rsidRPr="00597122">
        <w:t>ariations</w:t>
      </w:r>
      <w:r>
        <w:rPr>
          <w:lang w:val="en-AU"/>
        </w:rPr>
        <w:t xml:space="preserve"> to outcomes</w:t>
      </w:r>
      <w:bookmarkEnd w:id="435"/>
      <w:bookmarkEnd w:id="436"/>
      <w:bookmarkEnd w:id="437"/>
    </w:p>
    <w:p w14:paraId="4785513B" w14:textId="6FBD1537" w:rsidR="00914885" w:rsidRPr="001A75A9" w:rsidRDefault="000F7804" w:rsidP="00304684">
      <w:pPr>
        <w:jc w:val="left"/>
      </w:pPr>
      <w:r w:rsidRPr="0089223E">
        <w:t>The following tables detail the changes to the resourcing for the NCA at Additional Estimates, by outcome. Table 1.3 details the additional estimates resulting from new measures and other variations since the 202</w:t>
      </w:r>
      <w:r>
        <w:t>1</w:t>
      </w:r>
      <w:r w:rsidRPr="0089223E">
        <w:t>–2</w:t>
      </w:r>
      <w:r>
        <w:t>2</w:t>
      </w:r>
      <w:r w:rsidRPr="0089223E">
        <w:t xml:space="preserve"> Budget in Appropriation Bills Nos. 3 and</w:t>
      </w:r>
      <w:r w:rsidR="002C2E23">
        <w:t> </w:t>
      </w:r>
      <w:r w:rsidRPr="0089223E">
        <w:t>4.</w:t>
      </w:r>
    </w:p>
    <w:p w14:paraId="022D06FE" w14:textId="31E25039" w:rsidR="008D4F63" w:rsidRDefault="00914885" w:rsidP="002C3E0F">
      <w:pPr>
        <w:pStyle w:val="TableHeading"/>
      </w:pPr>
      <w:r w:rsidRPr="001A75A9">
        <w:t>Table 1.</w:t>
      </w:r>
      <w:r>
        <w:t xml:space="preserve">3: </w:t>
      </w:r>
      <w:r w:rsidRPr="001A75A9">
        <w:t xml:space="preserve">Additional </w:t>
      </w:r>
      <w:r>
        <w:t>e</w:t>
      </w:r>
      <w:r w:rsidRPr="001A75A9">
        <w:t>stimates</w:t>
      </w:r>
      <w:r>
        <w:rPr>
          <w:lang w:val="en-AU"/>
        </w:rPr>
        <w:t xml:space="preserve"> </w:t>
      </w:r>
      <w:r w:rsidRPr="001A75A9">
        <w:t xml:space="preserve">and </w:t>
      </w:r>
      <w:r>
        <w:rPr>
          <w:lang w:val="en-AU"/>
        </w:rPr>
        <w:t xml:space="preserve">other </w:t>
      </w:r>
      <w:r>
        <w:t>v</w:t>
      </w:r>
      <w:r w:rsidRPr="001A75A9">
        <w:t xml:space="preserve">ariations to </w:t>
      </w:r>
      <w:r>
        <w:t>o</w:t>
      </w:r>
      <w:r w:rsidRPr="001A75A9">
        <w:t xml:space="preserve">utcomes since </w:t>
      </w:r>
      <w:r>
        <w:rPr>
          <w:lang w:val="en-AU"/>
        </w:rPr>
        <w:t>2021-22</w:t>
      </w:r>
      <w:r w:rsidRPr="001A75A9">
        <w:t xml:space="preserve"> Budget</w:t>
      </w:r>
    </w:p>
    <w:tbl>
      <w:tblPr>
        <w:tblW w:w="0" w:type="auto"/>
        <w:tblLayout w:type="fixed"/>
        <w:tblLook w:val="04A0" w:firstRow="1" w:lastRow="0" w:firstColumn="1" w:lastColumn="0" w:noHBand="0" w:noVBand="1"/>
      </w:tblPr>
      <w:tblGrid>
        <w:gridCol w:w="2977"/>
        <w:gridCol w:w="866"/>
        <w:gridCol w:w="977"/>
        <w:gridCol w:w="968"/>
        <w:gridCol w:w="963"/>
        <w:gridCol w:w="959"/>
      </w:tblGrid>
      <w:tr w:rsidR="001825D7" w:rsidRPr="008D4F63" w14:paraId="3529736E" w14:textId="77777777" w:rsidTr="00C471CA">
        <w:trPr>
          <w:trHeight w:val="329"/>
        </w:trPr>
        <w:tc>
          <w:tcPr>
            <w:tcW w:w="2977" w:type="dxa"/>
            <w:tcBorders>
              <w:top w:val="single" w:sz="4" w:space="0" w:color="auto"/>
              <w:left w:val="nil"/>
              <w:bottom w:val="nil"/>
              <w:right w:val="nil"/>
            </w:tcBorders>
            <w:shd w:val="clear" w:color="auto" w:fill="auto"/>
            <w:noWrap/>
            <w:hideMark/>
          </w:tcPr>
          <w:p w14:paraId="0551D128" w14:textId="77777777" w:rsidR="001825D7" w:rsidRPr="008D4F63" w:rsidRDefault="001825D7" w:rsidP="001825D7">
            <w:pPr>
              <w:spacing w:after="0" w:line="240" w:lineRule="auto"/>
              <w:jc w:val="left"/>
              <w:rPr>
                <w:rFonts w:ascii="Arial" w:hAnsi="Arial" w:cs="Arial"/>
                <w:color w:val="000000"/>
                <w:sz w:val="16"/>
                <w:szCs w:val="16"/>
              </w:rPr>
            </w:pPr>
            <w:r w:rsidRPr="008D4F63">
              <w:rPr>
                <w:rFonts w:ascii="Arial" w:hAnsi="Arial" w:cs="Arial"/>
                <w:color w:val="000000"/>
                <w:sz w:val="16"/>
                <w:szCs w:val="16"/>
              </w:rPr>
              <w:t> </w:t>
            </w:r>
          </w:p>
        </w:tc>
        <w:tc>
          <w:tcPr>
            <w:tcW w:w="866" w:type="dxa"/>
            <w:tcBorders>
              <w:top w:val="single" w:sz="4" w:space="0" w:color="auto"/>
              <w:left w:val="nil"/>
              <w:bottom w:val="single" w:sz="4" w:space="0" w:color="auto"/>
              <w:right w:val="nil"/>
            </w:tcBorders>
            <w:shd w:val="clear" w:color="auto" w:fill="auto"/>
            <w:hideMark/>
          </w:tcPr>
          <w:p w14:paraId="2ED19DCF" w14:textId="77777777" w:rsidR="001825D7" w:rsidRPr="008D4F63" w:rsidRDefault="001825D7" w:rsidP="001825D7">
            <w:pPr>
              <w:spacing w:after="0" w:line="240" w:lineRule="auto"/>
              <w:jc w:val="center"/>
              <w:rPr>
                <w:rFonts w:ascii="Arial" w:hAnsi="Arial" w:cs="Arial"/>
                <w:color w:val="000000"/>
                <w:sz w:val="16"/>
                <w:szCs w:val="16"/>
              </w:rPr>
            </w:pPr>
            <w:r w:rsidRPr="008D4F63">
              <w:rPr>
                <w:rFonts w:ascii="Arial" w:hAnsi="Arial" w:cs="Arial"/>
                <w:color w:val="000000"/>
                <w:sz w:val="16"/>
                <w:szCs w:val="16"/>
              </w:rPr>
              <w:t>Program impacted</w:t>
            </w:r>
          </w:p>
        </w:tc>
        <w:tc>
          <w:tcPr>
            <w:tcW w:w="977" w:type="dxa"/>
            <w:tcBorders>
              <w:top w:val="single" w:sz="4" w:space="0" w:color="auto"/>
              <w:left w:val="nil"/>
              <w:bottom w:val="single" w:sz="4" w:space="0" w:color="auto"/>
              <w:right w:val="nil"/>
            </w:tcBorders>
            <w:shd w:val="clear" w:color="000000" w:fill="E6E6E6"/>
            <w:hideMark/>
          </w:tcPr>
          <w:p w14:paraId="3A9FE378" w14:textId="77777777" w:rsidR="001825D7" w:rsidRPr="008D4F63" w:rsidRDefault="001825D7" w:rsidP="001825D7">
            <w:pPr>
              <w:spacing w:after="0" w:line="240" w:lineRule="auto"/>
              <w:jc w:val="right"/>
              <w:rPr>
                <w:rFonts w:ascii="Arial" w:hAnsi="Arial" w:cs="Arial"/>
                <w:sz w:val="16"/>
                <w:szCs w:val="16"/>
              </w:rPr>
            </w:pPr>
            <w:r w:rsidRPr="008D4F63">
              <w:rPr>
                <w:rFonts w:ascii="Arial" w:hAnsi="Arial" w:cs="Arial"/>
                <w:sz w:val="16"/>
                <w:szCs w:val="16"/>
              </w:rPr>
              <w:t>2021-22</w:t>
            </w:r>
            <w:r w:rsidRPr="008D4F63">
              <w:rPr>
                <w:rFonts w:ascii="Arial" w:hAnsi="Arial" w:cs="Arial"/>
                <w:sz w:val="16"/>
                <w:szCs w:val="16"/>
              </w:rPr>
              <w:br/>
              <w:t>$'000</w:t>
            </w:r>
          </w:p>
        </w:tc>
        <w:tc>
          <w:tcPr>
            <w:tcW w:w="968" w:type="dxa"/>
            <w:tcBorders>
              <w:top w:val="single" w:sz="4" w:space="0" w:color="auto"/>
              <w:left w:val="nil"/>
              <w:bottom w:val="single" w:sz="4" w:space="0" w:color="000000"/>
              <w:right w:val="nil"/>
            </w:tcBorders>
            <w:shd w:val="clear" w:color="auto" w:fill="auto"/>
            <w:hideMark/>
          </w:tcPr>
          <w:p w14:paraId="22E64132" w14:textId="77777777" w:rsidR="001825D7" w:rsidRPr="008D4F63" w:rsidRDefault="001825D7" w:rsidP="001825D7">
            <w:pPr>
              <w:spacing w:after="0" w:line="240" w:lineRule="auto"/>
              <w:jc w:val="right"/>
              <w:rPr>
                <w:rFonts w:ascii="Arial" w:hAnsi="Arial" w:cs="Arial"/>
                <w:color w:val="000000"/>
                <w:sz w:val="16"/>
                <w:szCs w:val="16"/>
              </w:rPr>
            </w:pPr>
            <w:r w:rsidRPr="008D4F63">
              <w:rPr>
                <w:rFonts w:ascii="Arial" w:hAnsi="Arial" w:cs="Arial"/>
                <w:color w:val="000000"/>
                <w:sz w:val="16"/>
                <w:szCs w:val="16"/>
              </w:rPr>
              <w:t>2022-23</w:t>
            </w:r>
            <w:r w:rsidRPr="008D4F63">
              <w:rPr>
                <w:rFonts w:ascii="Arial" w:hAnsi="Arial" w:cs="Arial"/>
                <w:color w:val="000000"/>
                <w:sz w:val="16"/>
                <w:szCs w:val="16"/>
              </w:rPr>
              <w:br/>
              <w:t>$'000</w:t>
            </w:r>
          </w:p>
        </w:tc>
        <w:tc>
          <w:tcPr>
            <w:tcW w:w="963" w:type="dxa"/>
            <w:tcBorders>
              <w:top w:val="single" w:sz="4" w:space="0" w:color="auto"/>
              <w:left w:val="nil"/>
              <w:bottom w:val="single" w:sz="4" w:space="0" w:color="000000"/>
              <w:right w:val="nil"/>
            </w:tcBorders>
            <w:shd w:val="clear" w:color="auto" w:fill="auto"/>
            <w:hideMark/>
          </w:tcPr>
          <w:p w14:paraId="765FE364" w14:textId="77777777" w:rsidR="001825D7" w:rsidRPr="008D4F63" w:rsidRDefault="001825D7" w:rsidP="001825D7">
            <w:pPr>
              <w:spacing w:after="0" w:line="240" w:lineRule="auto"/>
              <w:jc w:val="right"/>
              <w:rPr>
                <w:rFonts w:ascii="Arial" w:hAnsi="Arial" w:cs="Arial"/>
                <w:color w:val="000000"/>
                <w:sz w:val="16"/>
                <w:szCs w:val="16"/>
              </w:rPr>
            </w:pPr>
            <w:r w:rsidRPr="008D4F63">
              <w:rPr>
                <w:rFonts w:ascii="Arial" w:hAnsi="Arial" w:cs="Arial"/>
                <w:color w:val="000000"/>
                <w:sz w:val="16"/>
                <w:szCs w:val="16"/>
              </w:rPr>
              <w:t>2023-24</w:t>
            </w:r>
            <w:r w:rsidRPr="008D4F63">
              <w:rPr>
                <w:rFonts w:ascii="Arial" w:hAnsi="Arial" w:cs="Arial"/>
                <w:color w:val="000000"/>
                <w:sz w:val="16"/>
                <w:szCs w:val="16"/>
              </w:rPr>
              <w:br/>
              <w:t>$'000</w:t>
            </w:r>
          </w:p>
        </w:tc>
        <w:tc>
          <w:tcPr>
            <w:tcW w:w="959" w:type="dxa"/>
            <w:tcBorders>
              <w:top w:val="single" w:sz="4" w:space="0" w:color="auto"/>
              <w:left w:val="nil"/>
              <w:bottom w:val="single" w:sz="4" w:space="0" w:color="000000"/>
              <w:right w:val="nil"/>
            </w:tcBorders>
            <w:shd w:val="clear" w:color="auto" w:fill="auto"/>
            <w:hideMark/>
          </w:tcPr>
          <w:p w14:paraId="57A3776D" w14:textId="77777777" w:rsidR="001825D7" w:rsidRPr="008D4F63" w:rsidRDefault="001825D7" w:rsidP="001825D7">
            <w:pPr>
              <w:spacing w:after="0" w:line="240" w:lineRule="auto"/>
              <w:jc w:val="right"/>
              <w:rPr>
                <w:rFonts w:ascii="Arial" w:hAnsi="Arial" w:cs="Arial"/>
                <w:color w:val="000000"/>
                <w:sz w:val="16"/>
                <w:szCs w:val="16"/>
              </w:rPr>
            </w:pPr>
            <w:r w:rsidRPr="008D4F63">
              <w:rPr>
                <w:rFonts w:ascii="Arial" w:hAnsi="Arial" w:cs="Arial"/>
                <w:color w:val="000000"/>
                <w:sz w:val="16"/>
                <w:szCs w:val="16"/>
              </w:rPr>
              <w:t>2024-25</w:t>
            </w:r>
            <w:r w:rsidRPr="008D4F63">
              <w:rPr>
                <w:rFonts w:ascii="Arial" w:hAnsi="Arial" w:cs="Arial"/>
                <w:color w:val="000000"/>
                <w:sz w:val="16"/>
                <w:szCs w:val="16"/>
              </w:rPr>
              <w:br/>
              <w:t>$'000</w:t>
            </w:r>
          </w:p>
        </w:tc>
      </w:tr>
      <w:tr w:rsidR="001825D7" w:rsidRPr="008D4F63" w14:paraId="5587875D" w14:textId="77777777" w:rsidTr="00C471CA">
        <w:trPr>
          <w:trHeight w:val="204"/>
        </w:trPr>
        <w:tc>
          <w:tcPr>
            <w:tcW w:w="2977" w:type="dxa"/>
            <w:tcBorders>
              <w:top w:val="nil"/>
              <w:left w:val="nil"/>
              <w:bottom w:val="nil"/>
              <w:right w:val="nil"/>
            </w:tcBorders>
            <w:shd w:val="clear" w:color="auto" w:fill="auto"/>
            <w:noWrap/>
            <w:hideMark/>
          </w:tcPr>
          <w:p w14:paraId="123E0CD8" w14:textId="77777777" w:rsidR="001825D7" w:rsidRPr="008D4F63" w:rsidRDefault="001825D7" w:rsidP="001825D7">
            <w:pPr>
              <w:spacing w:after="0" w:line="240" w:lineRule="auto"/>
              <w:jc w:val="left"/>
              <w:rPr>
                <w:rFonts w:ascii="Arial" w:hAnsi="Arial" w:cs="Arial"/>
                <w:b/>
                <w:bCs/>
                <w:color w:val="000000"/>
                <w:sz w:val="16"/>
                <w:szCs w:val="16"/>
              </w:rPr>
            </w:pPr>
            <w:r w:rsidRPr="008D4F63">
              <w:rPr>
                <w:rFonts w:ascii="Arial" w:hAnsi="Arial" w:cs="Arial"/>
                <w:b/>
                <w:bCs/>
                <w:color w:val="000000"/>
                <w:sz w:val="16"/>
                <w:szCs w:val="16"/>
              </w:rPr>
              <w:t>Outcome 1</w:t>
            </w:r>
          </w:p>
        </w:tc>
        <w:tc>
          <w:tcPr>
            <w:tcW w:w="866" w:type="dxa"/>
            <w:tcBorders>
              <w:top w:val="nil"/>
              <w:left w:val="nil"/>
              <w:bottom w:val="nil"/>
              <w:right w:val="nil"/>
            </w:tcBorders>
            <w:shd w:val="clear" w:color="auto" w:fill="auto"/>
            <w:noWrap/>
            <w:vAlign w:val="bottom"/>
            <w:hideMark/>
          </w:tcPr>
          <w:p w14:paraId="717F71B0" w14:textId="77777777" w:rsidR="001825D7" w:rsidRPr="008D4F63" w:rsidRDefault="001825D7" w:rsidP="001825D7">
            <w:pPr>
              <w:spacing w:after="0" w:line="240" w:lineRule="auto"/>
              <w:jc w:val="righ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bottom"/>
            <w:hideMark/>
          </w:tcPr>
          <w:p w14:paraId="4139681F" w14:textId="77777777" w:rsidR="001825D7" w:rsidRPr="008D4F63" w:rsidRDefault="001825D7" w:rsidP="001825D7">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525C386A" w14:textId="77777777" w:rsidR="001825D7" w:rsidRPr="008D4F63" w:rsidRDefault="001825D7" w:rsidP="001825D7">
            <w:pPr>
              <w:spacing w:after="0" w:line="240" w:lineRule="auto"/>
              <w:jc w:val="right"/>
              <w:rPr>
                <w:rFonts w:ascii="Arial" w:hAnsi="Arial" w:cs="Arial"/>
                <w:sz w:val="16"/>
                <w:szCs w:val="16"/>
              </w:rPr>
            </w:pPr>
          </w:p>
        </w:tc>
        <w:tc>
          <w:tcPr>
            <w:tcW w:w="963" w:type="dxa"/>
            <w:tcBorders>
              <w:top w:val="nil"/>
              <w:left w:val="nil"/>
              <w:bottom w:val="nil"/>
              <w:right w:val="nil"/>
            </w:tcBorders>
            <w:shd w:val="clear" w:color="auto" w:fill="auto"/>
            <w:noWrap/>
            <w:vAlign w:val="bottom"/>
            <w:hideMark/>
          </w:tcPr>
          <w:p w14:paraId="36ED1B77" w14:textId="77777777" w:rsidR="001825D7" w:rsidRPr="008D4F63" w:rsidRDefault="001825D7" w:rsidP="001825D7">
            <w:pPr>
              <w:spacing w:after="0" w:line="240" w:lineRule="auto"/>
              <w:jc w:val="right"/>
              <w:rPr>
                <w:rFonts w:ascii="Times New Roman" w:hAnsi="Times New Roman"/>
              </w:rPr>
            </w:pPr>
          </w:p>
        </w:tc>
        <w:tc>
          <w:tcPr>
            <w:tcW w:w="959" w:type="dxa"/>
            <w:tcBorders>
              <w:top w:val="nil"/>
              <w:left w:val="nil"/>
              <w:bottom w:val="nil"/>
              <w:right w:val="nil"/>
            </w:tcBorders>
            <w:shd w:val="clear" w:color="auto" w:fill="auto"/>
            <w:noWrap/>
            <w:vAlign w:val="bottom"/>
            <w:hideMark/>
          </w:tcPr>
          <w:p w14:paraId="41437FB8" w14:textId="77777777" w:rsidR="001825D7" w:rsidRPr="008D4F63" w:rsidRDefault="001825D7" w:rsidP="001825D7">
            <w:pPr>
              <w:spacing w:after="0" w:line="240" w:lineRule="auto"/>
              <w:jc w:val="right"/>
              <w:rPr>
                <w:rFonts w:ascii="Times New Roman" w:hAnsi="Times New Roman"/>
              </w:rPr>
            </w:pPr>
          </w:p>
        </w:tc>
      </w:tr>
      <w:tr w:rsidR="001825D7" w:rsidRPr="008D4F63" w14:paraId="0619FD4D" w14:textId="77777777" w:rsidTr="00C471CA">
        <w:trPr>
          <w:trHeight w:val="204"/>
        </w:trPr>
        <w:tc>
          <w:tcPr>
            <w:tcW w:w="2977" w:type="dxa"/>
            <w:tcBorders>
              <w:top w:val="nil"/>
              <w:left w:val="nil"/>
              <w:bottom w:val="nil"/>
              <w:right w:val="nil"/>
            </w:tcBorders>
            <w:shd w:val="clear" w:color="auto" w:fill="auto"/>
            <w:noWrap/>
            <w:hideMark/>
          </w:tcPr>
          <w:p w14:paraId="4B60EC9A" w14:textId="77777777" w:rsidR="001825D7" w:rsidRPr="008D4F63" w:rsidRDefault="001825D7" w:rsidP="001825D7">
            <w:pPr>
              <w:spacing w:after="0" w:line="240" w:lineRule="auto"/>
              <w:jc w:val="left"/>
              <w:rPr>
                <w:rFonts w:ascii="Arial" w:hAnsi="Arial" w:cs="Arial"/>
                <w:b/>
                <w:bCs/>
                <w:color w:val="000000"/>
                <w:sz w:val="16"/>
                <w:szCs w:val="16"/>
              </w:rPr>
            </w:pPr>
            <w:r w:rsidRPr="008D4F63">
              <w:rPr>
                <w:rFonts w:ascii="Arial" w:hAnsi="Arial" w:cs="Arial"/>
                <w:b/>
                <w:bCs/>
                <w:color w:val="000000"/>
                <w:sz w:val="16"/>
                <w:szCs w:val="16"/>
              </w:rPr>
              <w:t xml:space="preserve">Administered </w:t>
            </w:r>
          </w:p>
        </w:tc>
        <w:tc>
          <w:tcPr>
            <w:tcW w:w="866" w:type="dxa"/>
            <w:tcBorders>
              <w:top w:val="nil"/>
              <w:left w:val="nil"/>
              <w:bottom w:val="nil"/>
              <w:right w:val="nil"/>
            </w:tcBorders>
            <w:shd w:val="clear" w:color="auto" w:fill="auto"/>
            <w:noWrap/>
            <w:vAlign w:val="bottom"/>
            <w:hideMark/>
          </w:tcPr>
          <w:p w14:paraId="6061A669" w14:textId="77777777" w:rsidR="001825D7" w:rsidRPr="008D4F63" w:rsidRDefault="001825D7" w:rsidP="001825D7">
            <w:pPr>
              <w:spacing w:after="0" w:line="240" w:lineRule="auto"/>
              <w:jc w:val="righ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bottom"/>
            <w:hideMark/>
          </w:tcPr>
          <w:p w14:paraId="1D39FB83" w14:textId="77777777" w:rsidR="001825D7" w:rsidRPr="008D4F63" w:rsidRDefault="001825D7" w:rsidP="001825D7">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5472A39C" w14:textId="77777777" w:rsidR="001825D7" w:rsidRPr="008D4F63" w:rsidRDefault="001825D7" w:rsidP="001825D7">
            <w:pPr>
              <w:spacing w:after="0" w:line="240" w:lineRule="auto"/>
              <w:jc w:val="right"/>
              <w:rPr>
                <w:rFonts w:ascii="Arial" w:hAnsi="Arial" w:cs="Arial"/>
                <w:sz w:val="16"/>
                <w:szCs w:val="16"/>
              </w:rPr>
            </w:pPr>
          </w:p>
        </w:tc>
        <w:tc>
          <w:tcPr>
            <w:tcW w:w="963" w:type="dxa"/>
            <w:tcBorders>
              <w:top w:val="nil"/>
              <w:left w:val="nil"/>
              <w:bottom w:val="nil"/>
              <w:right w:val="nil"/>
            </w:tcBorders>
            <w:shd w:val="clear" w:color="auto" w:fill="auto"/>
            <w:noWrap/>
            <w:vAlign w:val="bottom"/>
            <w:hideMark/>
          </w:tcPr>
          <w:p w14:paraId="4CFB7B67" w14:textId="77777777" w:rsidR="001825D7" w:rsidRPr="008D4F63" w:rsidRDefault="001825D7" w:rsidP="001825D7">
            <w:pPr>
              <w:spacing w:after="0" w:line="240" w:lineRule="auto"/>
              <w:jc w:val="right"/>
              <w:rPr>
                <w:rFonts w:ascii="Times New Roman" w:hAnsi="Times New Roman"/>
              </w:rPr>
            </w:pPr>
          </w:p>
        </w:tc>
        <w:tc>
          <w:tcPr>
            <w:tcW w:w="959" w:type="dxa"/>
            <w:tcBorders>
              <w:top w:val="nil"/>
              <w:left w:val="nil"/>
              <w:bottom w:val="nil"/>
              <w:right w:val="nil"/>
            </w:tcBorders>
            <w:shd w:val="clear" w:color="auto" w:fill="auto"/>
            <w:noWrap/>
            <w:vAlign w:val="bottom"/>
            <w:hideMark/>
          </w:tcPr>
          <w:p w14:paraId="66B9EF30" w14:textId="77777777" w:rsidR="001825D7" w:rsidRPr="008D4F63" w:rsidRDefault="001825D7" w:rsidP="001825D7">
            <w:pPr>
              <w:spacing w:after="0" w:line="240" w:lineRule="auto"/>
              <w:jc w:val="right"/>
              <w:rPr>
                <w:rFonts w:ascii="Times New Roman" w:hAnsi="Times New Roman"/>
              </w:rPr>
            </w:pPr>
          </w:p>
        </w:tc>
      </w:tr>
      <w:tr w:rsidR="001825D7" w:rsidRPr="008D4F63" w14:paraId="3B80F865" w14:textId="77777777" w:rsidTr="00C471CA">
        <w:trPr>
          <w:trHeight w:val="204"/>
        </w:trPr>
        <w:tc>
          <w:tcPr>
            <w:tcW w:w="2977" w:type="dxa"/>
            <w:tcBorders>
              <w:top w:val="nil"/>
              <w:left w:val="nil"/>
              <w:bottom w:val="nil"/>
              <w:right w:val="nil"/>
            </w:tcBorders>
            <w:shd w:val="clear" w:color="auto" w:fill="auto"/>
            <w:noWrap/>
            <w:hideMark/>
          </w:tcPr>
          <w:p w14:paraId="2E1725ED" w14:textId="77777777" w:rsidR="001825D7" w:rsidRPr="008D4F63" w:rsidRDefault="001825D7" w:rsidP="001825D7">
            <w:pPr>
              <w:spacing w:after="0" w:line="240" w:lineRule="auto"/>
              <w:ind w:left="113"/>
              <w:jc w:val="left"/>
              <w:rPr>
                <w:rFonts w:ascii="Arial" w:hAnsi="Arial" w:cs="Arial"/>
                <w:b/>
                <w:bCs/>
                <w:color w:val="000000"/>
                <w:sz w:val="16"/>
                <w:szCs w:val="16"/>
              </w:rPr>
            </w:pPr>
            <w:r w:rsidRPr="008D4F63">
              <w:rPr>
                <w:rFonts w:ascii="Arial" w:hAnsi="Arial" w:cs="Arial"/>
                <w:b/>
                <w:bCs/>
                <w:color w:val="000000"/>
                <w:sz w:val="16"/>
                <w:szCs w:val="16"/>
              </w:rPr>
              <w:t>Annual appropriations</w:t>
            </w:r>
          </w:p>
        </w:tc>
        <w:tc>
          <w:tcPr>
            <w:tcW w:w="866" w:type="dxa"/>
            <w:tcBorders>
              <w:top w:val="nil"/>
              <w:left w:val="nil"/>
              <w:bottom w:val="nil"/>
              <w:right w:val="nil"/>
            </w:tcBorders>
            <w:shd w:val="clear" w:color="auto" w:fill="auto"/>
            <w:noWrap/>
            <w:vAlign w:val="bottom"/>
            <w:hideMark/>
          </w:tcPr>
          <w:p w14:paraId="4916BC5B" w14:textId="77777777" w:rsidR="001825D7" w:rsidRPr="008D4F63" w:rsidRDefault="001825D7" w:rsidP="001825D7">
            <w:pPr>
              <w:spacing w:after="0" w:line="240" w:lineRule="auto"/>
              <w:ind w:firstLineChars="100" w:firstLine="160"/>
              <w:jc w:val="righ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bottom"/>
            <w:hideMark/>
          </w:tcPr>
          <w:p w14:paraId="0844BEF0" w14:textId="77777777" w:rsidR="001825D7" w:rsidRPr="008D4F63" w:rsidRDefault="001825D7" w:rsidP="001825D7">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505DA26D" w14:textId="77777777" w:rsidR="001825D7" w:rsidRPr="008D4F63" w:rsidRDefault="001825D7" w:rsidP="001825D7">
            <w:pPr>
              <w:spacing w:after="0" w:line="240" w:lineRule="auto"/>
              <w:jc w:val="right"/>
              <w:rPr>
                <w:rFonts w:ascii="Arial" w:hAnsi="Arial" w:cs="Arial"/>
                <w:sz w:val="16"/>
                <w:szCs w:val="16"/>
              </w:rPr>
            </w:pPr>
          </w:p>
        </w:tc>
        <w:tc>
          <w:tcPr>
            <w:tcW w:w="963" w:type="dxa"/>
            <w:tcBorders>
              <w:top w:val="nil"/>
              <w:left w:val="nil"/>
              <w:bottom w:val="nil"/>
              <w:right w:val="nil"/>
            </w:tcBorders>
            <w:shd w:val="clear" w:color="auto" w:fill="auto"/>
            <w:noWrap/>
            <w:vAlign w:val="bottom"/>
            <w:hideMark/>
          </w:tcPr>
          <w:p w14:paraId="332D1401" w14:textId="77777777" w:rsidR="001825D7" w:rsidRPr="008D4F63" w:rsidRDefault="001825D7" w:rsidP="001825D7">
            <w:pPr>
              <w:spacing w:after="0" w:line="240" w:lineRule="auto"/>
              <w:jc w:val="right"/>
              <w:rPr>
                <w:rFonts w:ascii="Times New Roman" w:hAnsi="Times New Roman"/>
              </w:rPr>
            </w:pPr>
          </w:p>
        </w:tc>
        <w:tc>
          <w:tcPr>
            <w:tcW w:w="959" w:type="dxa"/>
            <w:tcBorders>
              <w:top w:val="nil"/>
              <w:left w:val="nil"/>
              <w:bottom w:val="nil"/>
              <w:right w:val="nil"/>
            </w:tcBorders>
            <w:shd w:val="clear" w:color="auto" w:fill="auto"/>
            <w:noWrap/>
            <w:vAlign w:val="bottom"/>
            <w:hideMark/>
          </w:tcPr>
          <w:p w14:paraId="63652D1F" w14:textId="77777777" w:rsidR="001825D7" w:rsidRPr="008D4F63" w:rsidRDefault="001825D7" w:rsidP="001825D7">
            <w:pPr>
              <w:spacing w:after="0" w:line="240" w:lineRule="auto"/>
              <w:jc w:val="right"/>
              <w:rPr>
                <w:rFonts w:ascii="Times New Roman" w:hAnsi="Times New Roman"/>
              </w:rPr>
            </w:pPr>
          </w:p>
        </w:tc>
      </w:tr>
      <w:tr w:rsidR="001825D7" w:rsidRPr="008D4F63" w14:paraId="14960F66" w14:textId="77777777" w:rsidTr="00C471CA">
        <w:trPr>
          <w:trHeight w:val="204"/>
        </w:trPr>
        <w:tc>
          <w:tcPr>
            <w:tcW w:w="2977" w:type="dxa"/>
            <w:tcBorders>
              <w:top w:val="nil"/>
              <w:left w:val="nil"/>
              <w:bottom w:val="nil"/>
              <w:right w:val="nil"/>
            </w:tcBorders>
            <w:shd w:val="clear" w:color="auto" w:fill="auto"/>
            <w:noWrap/>
            <w:hideMark/>
          </w:tcPr>
          <w:p w14:paraId="5DC61760" w14:textId="77777777" w:rsidR="001825D7" w:rsidRPr="008D4F63" w:rsidRDefault="001825D7" w:rsidP="001825D7">
            <w:pPr>
              <w:spacing w:after="0" w:line="240" w:lineRule="auto"/>
              <w:ind w:left="227"/>
              <w:jc w:val="left"/>
              <w:rPr>
                <w:rFonts w:ascii="Arial" w:hAnsi="Arial" w:cs="Arial"/>
                <w:b/>
                <w:bCs/>
                <w:color w:val="000000"/>
                <w:sz w:val="16"/>
                <w:szCs w:val="16"/>
              </w:rPr>
            </w:pPr>
            <w:r>
              <w:rPr>
                <w:rFonts w:ascii="Arial" w:hAnsi="Arial" w:cs="Arial"/>
                <w:b/>
                <w:bCs/>
                <w:color w:val="000000"/>
                <w:sz w:val="16"/>
                <w:szCs w:val="16"/>
              </w:rPr>
              <w:t>Measure</w:t>
            </w:r>
          </w:p>
        </w:tc>
        <w:tc>
          <w:tcPr>
            <w:tcW w:w="866" w:type="dxa"/>
            <w:tcBorders>
              <w:top w:val="nil"/>
              <w:left w:val="nil"/>
              <w:bottom w:val="nil"/>
              <w:right w:val="nil"/>
            </w:tcBorders>
            <w:shd w:val="clear" w:color="auto" w:fill="auto"/>
            <w:noWrap/>
            <w:vAlign w:val="bottom"/>
          </w:tcPr>
          <w:p w14:paraId="137BB22B" w14:textId="77777777" w:rsidR="001825D7" w:rsidRPr="008D4F63" w:rsidRDefault="001825D7" w:rsidP="001825D7">
            <w:pPr>
              <w:spacing w:after="0" w:line="240" w:lineRule="auto"/>
              <w:jc w:val="right"/>
              <w:rPr>
                <w:rFonts w:ascii="Arial" w:hAnsi="Arial" w:cs="Arial"/>
                <w:color w:val="000000"/>
                <w:sz w:val="16"/>
                <w:szCs w:val="16"/>
              </w:rPr>
            </w:pPr>
          </w:p>
        </w:tc>
        <w:tc>
          <w:tcPr>
            <w:tcW w:w="977" w:type="dxa"/>
            <w:tcBorders>
              <w:top w:val="nil"/>
              <w:left w:val="nil"/>
              <w:bottom w:val="nil"/>
              <w:right w:val="nil"/>
            </w:tcBorders>
            <w:shd w:val="clear" w:color="000000" w:fill="E6E6E6"/>
            <w:noWrap/>
            <w:vAlign w:val="bottom"/>
          </w:tcPr>
          <w:p w14:paraId="0B6ECB81" w14:textId="77777777" w:rsidR="001825D7" w:rsidRPr="008D4F63" w:rsidRDefault="001825D7" w:rsidP="001825D7">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tcPr>
          <w:p w14:paraId="3481C9F6" w14:textId="77777777" w:rsidR="001825D7" w:rsidRPr="008D4F63" w:rsidRDefault="001825D7" w:rsidP="001825D7">
            <w:pPr>
              <w:spacing w:after="0" w:line="240" w:lineRule="auto"/>
              <w:jc w:val="right"/>
              <w:rPr>
                <w:rFonts w:ascii="Arial" w:hAnsi="Arial" w:cs="Arial"/>
                <w:sz w:val="16"/>
                <w:szCs w:val="16"/>
              </w:rPr>
            </w:pPr>
          </w:p>
        </w:tc>
        <w:tc>
          <w:tcPr>
            <w:tcW w:w="963" w:type="dxa"/>
            <w:tcBorders>
              <w:top w:val="nil"/>
              <w:left w:val="nil"/>
              <w:bottom w:val="nil"/>
              <w:right w:val="nil"/>
            </w:tcBorders>
            <w:shd w:val="clear" w:color="auto" w:fill="auto"/>
            <w:noWrap/>
            <w:vAlign w:val="bottom"/>
          </w:tcPr>
          <w:p w14:paraId="722DC1C0" w14:textId="77777777" w:rsidR="001825D7" w:rsidRPr="008D4F63" w:rsidRDefault="001825D7" w:rsidP="001825D7">
            <w:pPr>
              <w:spacing w:after="0" w:line="240" w:lineRule="auto"/>
              <w:jc w:val="right"/>
              <w:rPr>
                <w:rFonts w:ascii="Times New Roman" w:hAnsi="Times New Roman"/>
              </w:rPr>
            </w:pPr>
          </w:p>
        </w:tc>
        <w:tc>
          <w:tcPr>
            <w:tcW w:w="959" w:type="dxa"/>
            <w:tcBorders>
              <w:top w:val="nil"/>
              <w:left w:val="nil"/>
              <w:bottom w:val="nil"/>
              <w:right w:val="nil"/>
            </w:tcBorders>
            <w:shd w:val="clear" w:color="auto" w:fill="auto"/>
            <w:noWrap/>
            <w:vAlign w:val="bottom"/>
          </w:tcPr>
          <w:p w14:paraId="606EC55B" w14:textId="77777777" w:rsidR="001825D7" w:rsidRPr="008D4F63" w:rsidRDefault="001825D7" w:rsidP="001825D7">
            <w:pPr>
              <w:spacing w:after="0" w:line="240" w:lineRule="auto"/>
              <w:jc w:val="right"/>
              <w:rPr>
                <w:rFonts w:ascii="Times New Roman" w:hAnsi="Times New Roman"/>
              </w:rPr>
            </w:pPr>
          </w:p>
        </w:tc>
      </w:tr>
      <w:tr w:rsidR="001825D7" w:rsidRPr="008D4F63" w14:paraId="6D0937A0" w14:textId="77777777" w:rsidTr="00C471CA">
        <w:trPr>
          <w:trHeight w:val="204"/>
        </w:trPr>
        <w:tc>
          <w:tcPr>
            <w:tcW w:w="2977" w:type="dxa"/>
            <w:tcBorders>
              <w:top w:val="nil"/>
              <w:left w:val="nil"/>
              <w:bottom w:val="nil"/>
              <w:right w:val="nil"/>
            </w:tcBorders>
            <w:shd w:val="clear" w:color="auto" w:fill="auto"/>
            <w:hideMark/>
          </w:tcPr>
          <w:p w14:paraId="5BD97FA3" w14:textId="77777777" w:rsidR="001825D7" w:rsidRPr="00A9622F" w:rsidRDefault="001825D7" w:rsidP="001825D7">
            <w:pPr>
              <w:spacing w:after="0" w:line="240" w:lineRule="auto"/>
              <w:ind w:left="227"/>
              <w:jc w:val="left"/>
              <w:rPr>
                <w:rFonts w:ascii="Arial" w:hAnsi="Arial" w:cs="Arial"/>
                <w:bCs/>
                <w:color w:val="000000"/>
                <w:sz w:val="16"/>
                <w:szCs w:val="16"/>
              </w:rPr>
            </w:pPr>
            <w:r w:rsidRPr="00A9622F">
              <w:rPr>
                <w:rFonts w:ascii="Arial" w:hAnsi="Arial" w:cs="Arial"/>
                <w:bCs/>
                <w:color w:val="000000"/>
                <w:sz w:val="16"/>
                <w:szCs w:val="16"/>
              </w:rPr>
              <w:t>National Commemorative Statues</w:t>
            </w:r>
          </w:p>
        </w:tc>
        <w:tc>
          <w:tcPr>
            <w:tcW w:w="866" w:type="dxa"/>
            <w:tcBorders>
              <w:top w:val="nil"/>
              <w:left w:val="nil"/>
              <w:bottom w:val="nil"/>
              <w:right w:val="nil"/>
            </w:tcBorders>
            <w:shd w:val="clear" w:color="auto" w:fill="auto"/>
            <w:noWrap/>
            <w:vAlign w:val="bottom"/>
            <w:hideMark/>
          </w:tcPr>
          <w:p w14:paraId="42028A46" w14:textId="77777777" w:rsidR="001825D7" w:rsidRPr="00C969CA" w:rsidRDefault="001825D7" w:rsidP="001825D7">
            <w:pPr>
              <w:spacing w:after="0" w:line="240" w:lineRule="auto"/>
              <w:jc w:val="center"/>
              <w:rPr>
                <w:rFonts w:ascii="Arial" w:hAnsi="Arial" w:cs="Arial"/>
                <w:color w:val="000000"/>
                <w:sz w:val="16"/>
                <w:szCs w:val="16"/>
              </w:rPr>
            </w:pPr>
            <w:r w:rsidRPr="00C969CA">
              <w:rPr>
                <w:rFonts w:ascii="Arial" w:hAnsi="Arial" w:cs="Arial"/>
                <w:color w:val="000000"/>
                <w:sz w:val="16"/>
                <w:szCs w:val="16"/>
              </w:rPr>
              <w:t>1.2</w:t>
            </w:r>
          </w:p>
        </w:tc>
        <w:tc>
          <w:tcPr>
            <w:tcW w:w="977" w:type="dxa"/>
            <w:tcBorders>
              <w:top w:val="nil"/>
              <w:left w:val="nil"/>
              <w:bottom w:val="nil"/>
              <w:right w:val="nil"/>
            </w:tcBorders>
            <w:shd w:val="clear" w:color="000000" w:fill="E6E6E6"/>
            <w:noWrap/>
            <w:vAlign w:val="bottom"/>
            <w:hideMark/>
          </w:tcPr>
          <w:p w14:paraId="767F7525" w14:textId="77777777" w:rsidR="001825D7" w:rsidRPr="00C969CA" w:rsidRDefault="001825D7" w:rsidP="001825D7">
            <w:pPr>
              <w:spacing w:after="0" w:line="240" w:lineRule="auto"/>
              <w:jc w:val="right"/>
              <w:rPr>
                <w:rFonts w:ascii="Arial" w:hAnsi="Arial" w:cs="Arial"/>
                <w:sz w:val="16"/>
                <w:szCs w:val="16"/>
              </w:rPr>
            </w:pPr>
            <w:r w:rsidRPr="00C969CA">
              <w:rPr>
                <w:rFonts w:ascii="Arial" w:hAnsi="Arial" w:cs="Arial"/>
                <w:sz w:val="16"/>
                <w:szCs w:val="16"/>
              </w:rPr>
              <w:t>1,250</w:t>
            </w:r>
          </w:p>
        </w:tc>
        <w:tc>
          <w:tcPr>
            <w:tcW w:w="968" w:type="dxa"/>
            <w:tcBorders>
              <w:top w:val="nil"/>
              <w:left w:val="nil"/>
              <w:bottom w:val="nil"/>
              <w:right w:val="nil"/>
            </w:tcBorders>
            <w:shd w:val="clear" w:color="auto" w:fill="auto"/>
            <w:noWrap/>
            <w:vAlign w:val="bottom"/>
            <w:hideMark/>
          </w:tcPr>
          <w:p w14:paraId="12BE04DB" w14:textId="77777777" w:rsidR="001825D7" w:rsidRPr="00C969CA" w:rsidRDefault="001825D7" w:rsidP="001825D7">
            <w:pPr>
              <w:spacing w:after="0" w:line="240" w:lineRule="auto"/>
              <w:jc w:val="right"/>
              <w:rPr>
                <w:rFonts w:ascii="Arial" w:hAnsi="Arial" w:cs="Arial"/>
                <w:sz w:val="16"/>
                <w:szCs w:val="16"/>
              </w:rPr>
            </w:pPr>
            <w:r w:rsidRPr="00C969CA">
              <w:rPr>
                <w:rFonts w:ascii="Arial" w:hAnsi="Arial" w:cs="Arial"/>
                <w:color w:val="000000"/>
                <w:sz w:val="16"/>
                <w:szCs w:val="16"/>
              </w:rPr>
              <w:t>-</w:t>
            </w:r>
          </w:p>
        </w:tc>
        <w:tc>
          <w:tcPr>
            <w:tcW w:w="963" w:type="dxa"/>
            <w:tcBorders>
              <w:top w:val="nil"/>
              <w:left w:val="nil"/>
              <w:bottom w:val="nil"/>
              <w:right w:val="nil"/>
            </w:tcBorders>
            <w:shd w:val="clear" w:color="auto" w:fill="auto"/>
            <w:noWrap/>
            <w:vAlign w:val="bottom"/>
            <w:hideMark/>
          </w:tcPr>
          <w:p w14:paraId="1ECCF524" w14:textId="77777777" w:rsidR="001825D7" w:rsidRPr="00C969CA" w:rsidRDefault="001825D7" w:rsidP="001825D7">
            <w:pPr>
              <w:spacing w:after="0" w:line="240" w:lineRule="auto"/>
              <w:jc w:val="right"/>
              <w:rPr>
                <w:rFonts w:ascii="Times New Roman" w:hAnsi="Times New Roman"/>
                <w:sz w:val="16"/>
                <w:szCs w:val="16"/>
              </w:rPr>
            </w:pPr>
            <w:r w:rsidRPr="00C969CA">
              <w:rPr>
                <w:rFonts w:ascii="Arial" w:hAnsi="Arial" w:cs="Arial"/>
                <w:color w:val="000000"/>
                <w:sz w:val="16"/>
                <w:szCs w:val="16"/>
              </w:rPr>
              <w:t>-</w:t>
            </w:r>
          </w:p>
        </w:tc>
        <w:tc>
          <w:tcPr>
            <w:tcW w:w="959" w:type="dxa"/>
            <w:tcBorders>
              <w:top w:val="nil"/>
              <w:left w:val="nil"/>
              <w:bottom w:val="nil"/>
              <w:right w:val="nil"/>
            </w:tcBorders>
            <w:shd w:val="clear" w:color="auto" w:fill="auto"/>
            <w:noWrap/>
            <w:vAlign w:val="bottom"/>
            <w:hideMark/>
          </w:tcPr>
          <w:p w14:paraId="37E526AB" w14:textId="77777777" w:rsidR="001825D7" w:rsidRPr="00C969CA" w:rsidRDefault="001825D7" w:rsidP="001825D7">
            <w:pPr>
              <w:spacing w:after="0" w:line="240" w:lineRule="auto"/>
              <w:jc w:val="right"/>
              <w:rPr>
                <w:rFonts w:ascii="Times New Roman" w:hAnsi="Times New Roman"/>
                <w:sz w:val="16"/>
                <w:szCs w:val="16"/>
              </w:rPr>
            </w:pPr>
            <w:r w:rsidRPr="00C969CA">
              <w:rPr>
                <w:rFonts w:ascii="Arial" w:hAnsi="Arial" w:cs="Arial"/>
                <w:color w:val="000000"/>
                <w:sz w:val="16"/>
                <w:szCs w:val="16"/>
              </w:rPr>
              <w:t>-</w:t>
            </w:r>
          </w:p>
        </w:tc>
      </w:tr>
      <w:tr w:rsidR="001825D7" w:rsidRPr="008D4F63" w14:paraId="1E8EBD5A" w14:textId="77777777" w:rsidTr="00C471CA">
        <w:trPr>
          <w:trHeight w:val="204"/>
        </w:trPr>
        <w:tc>
          <w:tcPr>
            <w:tcW w:w="2977" w:type="dxa"/>
            <w:tcBorders>
              <w:top w:val="nil"/>
              <w:left w:val="nil"/>
              <w:bottom w:val="nil"/>
              <w:right w:val="nil"/>
            </w:tcBorders>
            <w:shd w:val="clear" w:color="auto" w:fill="auto"/>
            <w:noWrap/>
            <w:hideMark/>
          </w:tcPr>
          <w:p w14:paraId="15A7D63C" w14:textId="77777777" w:rsidR="001825D7" w:rsidRPr="008D4F63" w:rsidRDefault="001825D7" w:rsidP="001825D7">
            <w:pPr>
              <w:spacing w:after="0" w:line="240" w:lineRule="auto"/>
              <w:ind w:left="227"/>
              <w:jc w:val="left"/>
              <w:rPr>
                <w:rFonts w:ascii="Arial" w:hAnsi="Arial" w:cs="Arial"/>
                <w:b/>
                <w:bCs/>
                <w:color w:val="000000"/>
                <w:sz w:val="16"/>
                <w:szCs w:val="16"/>
              </w:rPr>
            </w:pPr>
            <w:r w:rsidRPr="008D4F63">
              <w:rPr>
                <w:rFonts w:ascii="Arial" w:hAnsi="Arial" w:cs="Arial"/>
                <w:b/>
                <w:bCs/>
                <w:color w:val="000000"/>
                <w:sz w:val="16"/>
                <w:szCs w:val="16"/>
              </w:rPr>
              <w:t>Movement of Funds</w:t>
            </w:r>
          </w:p>
        </w:tc>
        <w:tc>
          <w:tcPr>
            <w:tcW w:w="866" w:type="dxa"/>
            <w:tcBorders>
              <w:top w:val="nil"/>
              <w:left w:val="nil"/>
              <w:bottom w:val="nil"/>
              <w:right w:val="nil"/>
            </w:tcBorders>
            <w:shd w:val="clear" w:color="auto" w:fill="auto"/>
            <w:noWrap/>
            <w:vAlign w:val="bottom"/>
          </w:tcPr>
          <w:p w14:paraId="62D27EDB" w14:textId="77777777" w:rsidR="001825D7" w:rsidRPr="00C969CA" w:rsidRDefault="001825D7" w:rsidP="001825D7">
            <w:pPr>
              <w:spacing w:after="0" w:line="240" w:lineRule="auto"/>
              <w:ind w:firstLineChars="200" w:firstLine="320"/>
              <w:jc w:val="righ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bottom"/>
          </w:tcPr>
          <w:p w14:paraId="40598734" w14:textId="77777777" w:rsidR="001825D7" w:rsidRPr="00C969CA" w:rsidRDefault="001825D7" w:rsidP="001825D7">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tcPr>
          <w:p w14:paraId="45A4A218" w14:textId="77777777" w:rsidR="001825D7" w:rsidRPr="00C969CA" w:rsidRDefault="001825D7" w:rsidP="001825D7">
            <w:pPr>
              <w:spacing w:after="0" w:line="240" w:lineRule="auto"/>
              <w:jc w:val="right"/>
              <w:rPr>
                <w:rFonts w:ascii="Arial" w:hAnsi="Arial" w:cs="Arial"/>
                <w:sz w:val="16"/>
                <w:szCs w:val="16"/>
              </w:rPr>
            </w:pPr>
          </w:p>
        </w:tc>
        <w:tc>
          <w:tcPr>
            <w:tcW w:w="963" w:type="dxa"/>
            <w:tcBorders>
              <w:top w:val="nil"/>
              <w:left w:val="nil"/>
              <w:bottom w:val="nil"/>
              <w:right w:val="nil"/>
            </w:tcBorders>
            <w:shd w:val="clear" w:color="auto" w:fill="auto"/>
            <w:noWrap/>
            <w:vAlign w:val="bottom"/>
          </w:tcPr>
          <w:p w14:paraId="57EB4224" w14:textId="77777777" w:rsidR="001825D7" w:rsidRPr="00C969CA" w:rsidRDefault="001825D7" w:rsidP="001825D7">
            <w:pPr>
              <w:spacing w:after="0" w:line="240" w:lineRule="auto"/>
              <w:jc w:val="right"/>
              <w:rPr>
                <w:rFonts w:ascii="Times New Roman" w:hAnsi="Times New Roman"/>
                <w:sz w:val="16"/>
                <w:szCs w:val="16"/>
              </w:rPr>
            </w:pPr>
          </w:p>
        </w:tc>
        <w:tc>
          <w:tcPr>
            <w:tcW w:w="959" w:type="dxa"/>
            <w:tcBorders>
              <w:top w:val="nil"/>
              <w:left w:val="nil"/>
              <w:bottom w:val="nil"/>
              <w:right w:val="nil"/>
            </w:tcBorders>
            <w:shd w:val="clear" w:color="auto" w:fill="auto"/>
            <w:noWrap/>
            <w:vAlign w:val="bottom"/>
          </w:tcPr>
          <w:p w14:paraId="77554D98" w14:textId="77777777" w:rsidR="001825D7" w:rsidRPr="00C969CA" w:rsidRDefault="001825D7" w:rsidP="001825D7">
            <w:pPr>
              <w:spacing w:after="0" w:line="240" w:lineRule="auto"/>
              <w:jc w:val="right"/>
              <w:rPr>
                <w:rFonts w:ascii="Times New Roman" w:hAnsi="Times New Roman"/>
                <w:sz w:val="16"/>
                <w:szCs w:val="16"/>
              </w:rPr>
            </w:pPr>
          </w:p>
        </w:tc>
      </w:tr>
      <w:tr w:rsidR="001825D7" w:rsidRPr="008D4F63" w14:paraId="5BAE18BA" w14:textId="77777777" w:rsidTr="00C471CA">
        <w:trPr>
          <w:trHeight w:val="204"/>
        </w:trPr>
        <w:tc>
          <w:tcPr>
            <w:tcW w:w="2977" w:type="dxa"/>
            <w:tcBorders>
              <w:top w:val="nil"/>
              <w:left w:val="nil"/>
              <w:right w:val="nil"/>
            </w:tcBorders>
            <w:shd w:val="clear" w:color="auto" w:fill="auto"/>
            <w:noWrap/>
            <w:hideMark/>
          </w:tcPr>
          <w:p w14:paraId="6502E65B" w14:textId="0CC8E57A" w:rsidR="001825D7" w:rsidRPr="00A9622F" w:rsidRDefault="001825D7" w:rsidP="00D334D0">
            <w:pPr>
              <w:spacing w:after="0" w:line="240" w:lineRule="auto"/>
              <w:ind w:left="227"/>
              <w:jc w:val="left"/>
              <w:rPr>
                <w:rFonts w:ascii="Arial" w:hAnsi="Arial" w:cs="Arial"/>
                <w:bCs/>
                <w:color w:val="000000"/>
                <w:sz w:val="16"/>
                <w:szCs w:val="16"/>
              </w:rPr>
            </w:pPr>
            <w:r w:rsidRPr="00A9622F">
              <w:rPr>
                <w:rFonts w:ascii="Arial" w:hAnsi="Arial" w:cs="Arial"/>
                <w:bCs/>
                <w:color w:val="000000"/>
                <w:sz w:val="16"/>
                <w:szCs w:val="16"/>
              </w:rPr>
              <w:t>Transfer to DCB</w:t>
            </w:r>
          </w:p>
        </w:tc>
        <w:tc>
          <w:tcPr>
            <w:tcW w:w="866" w:type="dxa"/>
            <w:tcBorders>
              <w:top w:val="nil"/>
              <w:left w:val="nil"/>
              <w:right w:val="nil"/>
            </w:tcBorders>
            <w:shd w:val="clear" w:color="auto" w:fill="auto"/>
            <w:noWrap/>
            <w:vAlign w:val="bottom"/>
            <w:hideMark/>
          </w:tcPr>
          <w:p w14:paraId="3B4C27E5" w14:textId="77777777" w:rsidR="001825D7" w:rsidRPr="00C969CA" w:rsidRDefault="001825D7" w:rsidP="001825D7">
            <w:pPr>
              <w:spacing w:after="0" w:line="240" w:lineRule="auto"/>
              <w:jc w:val="center"/>
              <w:rPr>
                <w:rFonts w:ascii="Arial" w:hAnsi="Arial" w:cs="Arial"/>
                <w:color w:val="000000"/>
                <w:sz w:val="16"/>
                <w:szCs w:val="16"/>
              </w:rPr>
            </w:pPr>
            <w:r w:rsidRPr="00C969CA">
              <w:rPr>
                <w:rFonts w:ascii="Arial" w:hAnsi="Arial" w:cs="Arial"/>
                <w:color w:val="000000"/>
                <w:sz w:val="16"/>
                <w:szCs w:val="16"/>
              </w:rPr>
              <w:t>1.2</w:t>
            </w:r>
          </w:p>
        </w:tc>
        <w:tc>
          <w:tcPr>
            <w:tcW w:w="977" w:type="dxa"/>
            <w:tcBorders>
              <w:top w:val="nil"/>
              <w:left w:val="nil"/>
              <w:bottom w:val="nil"/>
              <w:right w:val="nil"/>
            </w:tcBorders>
            <w:shd w:val="clear" w:color="000000" w:fill="E6E6E6"/>
            <w:noWrap/>
            <w:vAlign w:val="bottom"/>
          </w:tcPr>
          <w:p w14:paraId="73A3592D" w14:textId="77777777" w:rsidR="001825D7" w:rsidRPr="00C969CA" w:rsidRDefault="001825D7" w:rsidP="001825D7">
            <w:pPr>
              <w:spacing w:after="0" w:line="240" w:lineRule="auto"/>
              <w:jc w:val="right"/>
              <w:rPr>
                <w:rFonts w:ascii="Arial" w:hAnsi="Arial" w:cs="Arial"/>
                <w:sz w:val="16"/>
                <w:szCs w:val="16"/>
              </w:rPr>
            </w:pPr>
            <w:r w:rsidRPr="00C969CA">
              <w:rPr>
                <w:rFonts w:ascii="Arial" w:hAnsi="Arial" w:cs="Arial"/>
                <w:sz w:val="16"/>
                <w:szCs w:val="16"/>
              </w:rPr>
              <w:t>(3,500)</w:t>
            </w:r>
          </w:p>
        </w:tc>
        <w:tc>
          <w:tcPr>
            <w:tcW w:w="968" w:type="dxa"/>
            <w:tcBorders>
              <w:top w:val="nil"/>
              <w:left w:val="nil"/>
              <w:bottom w:val="nil"/>
              <w:right w:val="nil"/>
            </w:tcBorders>
            <w:shd w:val="clear" w:color="auto" w:fill="auto"/>
            <w:noWrap/>
            <w:vAlign w:val="bottom"/>
          </w:tcPr>
          <w:p w14:paraId="5CA0FD25" w14:textId="77777777" w:rsidR="001825D7" w:rsidRPr="00C969CA" w:rsidRDefault="001825D7" w:rsidP="001825D7">
            <w:pPr>
              <w:spacing w:after="0" w:line="240" w:lineRule="auto"/>
              <w:jc w:val="right"/>
              <w:rPr>
                <w:rFonts w:ascii="Arial" w:hAnsi="Arial" w:cs="Arial"/>
                <w:color w:val="000000"/>
                <w:sz w:val="16"/>
                <w:szCs w:val="16"/>
              </w:rPr>
            </w:pPr>
            <w:r w:rsidRPr="00C969CA">
              <w:rPr>
                <w:rFonts w:ascii="Arial" w:hAnsi="Arial" w:cs="Arial"/>
                <w:color w:val="000000"/>
                <w:sz w:val="16"/>
                <w:szCs w:val="16"/>
              </w:rPr>
              <w:t>-</w:t>
            </w:r>
          </w:p>
        </w:tc>
        <w:tc>
          <w:tcPr>
            <w:tcW w:w="963" w:type="dxa"/>
            <w:tcBorders>
              <w:top w:val="nil"/>
              <w:left w:val="nil"/>
              <w:bottom w:val="nil"/>
              <w:right w:val="nil"/>
            </w:tcBorders>
            <w:shd w:val="clear" w:color="auto" w:fill="auto"/>
            <w:noWrap/>
            <w:vAlign w:val="bottom"/>
          </w:tcPr>
          <w:p w14:paraId="271C6091" w14:textId="77777777" w:rsidR="001825D7" w:rsidRPr="00C969CA" w:rsidRDefault="001825D7" w:rsidP="001825D7">
            <w:pPr>
              <w:spacing w:after="0" w:line="240" w:lineRule="auto"/>
              <w:jc w:val="right"/>
              <w:rPr>
                <w:rFonts w:ascii="Arial" w:hAnsi="Arial" w:cs="Arial"/>
                <w:color w:val="000000"/>
                <w:sz w:val="16"/>
                <w:szCs w:val="16"/>
              </w:rPr>
            </w:pPr>
            <w:r w:rsidRPr="00C969CA">
              <w:rPr>
                <w:rFonts w:ascii="Arial" w:hAnsi="Arial" w:cs="Arial"/>
                <w:color w:val="000000"/>
                <w:sz w:val="16"/>
                <w:szCs w:val="16"/>
              </w:rPr>
              <w:t>-</w:t>
            </w:r>
          </w:p>
        </w:tc>
        <w:tc>
          <w:tcPr>
            <w:tcW w:w="959" w:type="dxa"/>
            <w:tcBorders>
              <w:top w:val="nil"/>
              <w:left w:val="nil"/>
              <w:bottom w:val="nil"/>
              <w:right w:val="nil"/>
            </w:tcBorders>
            <w:shd w:val="clear" w:color="auto" w:fill="auto"/>
            <w:noWrap/>
            <w:vAlign w:val="bottom"/>
          </w:tcPr>
          <w:p w14:paraId="06B15247" w14:textId="77777777" w:rsidR="001825D7" w:rsidRPr="00C969CA" w:rsidRDefault="001825D7" w:rsidP="001825D7">
            <w:pPr>
              <w:spacing w:after="0" w:line="240" w:lineRule="auto"/>
              <w:jc w:val="right"/>
              <w:rPr>
                <w:rFonts w:ascii="Arial" w:hAnsi="Arial" w:cs="Arial"/>
                <w:color w:val="000000"/>
                <w:sz w:val="16"/>
                <w:szCs w:val="16"/>
              </w:rPr>
            </w:pPr>
            <w:r w:rsidRPr="00C969CA">
              <w:rPr>
                <w:rFonts w:ascii="Arial" w:hAnsi="Arial" w:cs="Arial"/>
                <w:color w:val="000000"/>
                <w:sz w:val="16"/>
                <w:szCs w:val="16"/>
              </w:rPr>
              <w:t>-</w:t>
            </w:r>
          </w:p>
        </w:tc>
      </w:tr>
      <w:tr w:rsidR="00FC323A" w:rsidRPr="008D4F63" w14:paraId="3C9F6C21" w14:textId="77777777" w:rsidTr="00C471CA">
        <w:trPr>
          <w:trHeight w:val="204"/>
        </w:trPr>
        <w:tc>
          <w:tcPr>
            <w:tcW w:w="2977" w:type="dxa"/>
            <w:tcBorders>
              <w:top w:val="nil"/>
              <w:left w:val="nil"/>
              <w:right w:val="nil"/>
            </w:tcBorders>
            <w:shd w:val="clear" w:color="auto" w:fill="auto"/>
            <w:noWrap/>
          </w:tcPr>
          <w:p w14:paraId="76E26415" w14:textId="2C7D1943" w:rsidR="00FC323A" w:rsidRPr="00A9622F" w:rsidRDefault="00631EF1" w:rsidP="00892C68">
            <w:pPr>
              <w:spacing w:after="0" w:line="240" w:lineRule="auto"/>
              <w:ind w:left="227"/>
              <w:jc w:val="left"/>
              <w:rPr>
                <w:rFonts w:ascii="Arial" w:hAnsi="Arial" w:cs="Arial"/>
                <w:bCs/>
                <w:color w:val="000000"/>
                <w:sz w:val="16"/>
                <w:szCs w:val="16"/>
              </w:rPr>
            </w:pPr>
            <w:r>
              <w:rPr>
                <w:rFonts w:ascii="Arial" w:hAnsi="Arial" w:cs="Arial"/>
                <w:bCs/>
                <w:color w:val="000000"/>
                <w:sz w:val="16"/>
                <w:szCs w:val="16"/>
              </w:rPr>
              <w:t>Operational funding</w:t>
            </w:r>
            <w:r w:rsidR="00FC323A">
              <w:rPr>
                <w:rFonts w:ascii="Arial" w:hAnsi="Arial" w:cs="Arial"/>
                <w:bCs/>
                <w:color w:val="000000"/>
                <w:sz w:val="16"/>
                <w:szCs w:val="16"/>
              </w:rPr>
              <w:t xml:space="preserve"> </w:t>
            </w:r>
            <w:r w:rsidR="00FC323A" w:rsidRPr="00FC323A">
              <w:rPr>
                <w:rFonts w:ascii="Arial" w:hAnsi="Arial" w:cs="Arial"/>
                <w:bCs/>
                <w:color w:val="000000"/>
                <w:sz w:val="16"/>
                <w:szCs w:val="16"/>
                <w:vertAlign w:val="superscript"/>
              </w:rPr>
              <w:t>(a)</w:t>
            </w:r>
            <w:r w:rsidR="00FC323A">
              <w:rPr>
                <w:rFonts w:ascii="Arial" w:hAnsi="Arial" w:cs="Arial"/>
                <w:bCs/>
                <w:color w:val="000000"/>
                <w:sz w:val="16"/>
                <w:szCs w:val="16"/>
              </w:rPr>
              <w:t xml:space="preserve"> </w:t>
            </w:r>
          </w:p>
        </w:tc>
        <w:tc>
          <w:tcPr>
            <w:tcW w:w="866" w:type="dxa"/>
            <w:tcBorders>
              <w:top w:val="nil"/>
              <w:left w:val="nil"/>
              <w:right w:val="nil"/>
            </w:tcBorders>
            <w:shd w:val="clear" w:color="auto" w:fill="auto"/>
            <w:noWrap/>
            <w:vAlign w:val="bottom"/>
          </w:tcPr>
          <w:p w14:paraId="66266227" w14:textId="192CA18F" w:rsidR="00FC323A" w:rsidRPr="00C969CA" w:rsidRDefault="00FC323A" w:rsidP="001825D7">
            <w:pPr>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77" w:type="dxa"/>
            <w:tcBorders>
              <w:top w:val="nil"/>
              <w:left w:val="nil"/>
              <w:bottom w:val="nil"/>
              <w:right w:val="nil"/>
            </w:tcBorders>
            <w:shd w:val="clear" w:color="000000" w:fill="E6E6E6"/>
            <w:noWrap/>
            <w:vAlign w:val="bottom"/>
          </w:tcPr>
          <w:p w14:paraId="69905AFE" w14:textId="5C9FCA7A" w:rsidR="00FC323A" w:rsidRPr="00C969CA" w:rsidRDefault="00FC323A" w:rsidP="001825D7">
            <w:pPr>
              <w:spacing w:after="0" w:line="240" w:lineRule="auto"/>
              <w:jc w:val="right"/>
              <w:rPr>
                <w:rFonts w:ascii="Arial" w:hAnsi="Arial" w:cs="Arial"/>
                <w:sz w:val="16"/>
                <w:szCs w:val="16"/>
              </w:rPr>
            </w:pPr>
            <w:r>
              <w:rPr>
                <w:rFonts w:ascii="Arial" w:hAnsi="Arial" w:cs="Arial"/>
                <w:sz w:val="16"/>
                <w:szCs w:val="16"/>
              </w:rPr>
              <w:t>1,709</w:t>
            </w:r>
          </w:p>
        </w:tc>
        <w:tc>
          <w:tcPr>
            <w:tcW w:w="968" w:type="dxa"/>
            <w:tcBorders>
              <w:top w:val="nil"/>
              <w:left w:val="nil"/>
              <w:bottom w:val="nil"/>
              <w:right w:val="nil"/>
            </w:tcBorders>
            <w:shd w:val="clear" w:color="auto" w:fill="auto"/>
            <w:noWrap/>
            <w:vAlign w:val="bottom"/>
          </w:tcPr>
          <w:p w14:paraId="61FFA088" w14:textId="76CA316E" w:rsidR="00FC323A" w:rsidRPr="00C969CA" w:rsidRDefault="00FC323A" w:rsidP="001825D7">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3" w:type="dxa"/>
            <w:tcBorders>
              <w:top w:val="nil"/>
              <w:left w:val="nil"/>
              <w:bottom w:val="nil"/>
              <w:right w:val="nil"/>
            </w:tcBorders>
            <w:shd w:val="clear" w:color="auto" w:fill="auto"/>
            <w:noWrap/>
            <w:vAlign w:val="bottom"/>
          </w:tcPr>
          <w:p w14:paraId="26BE6E94" w14:textId="77197B94" w:rsidR="00FC323A" w:rsidRPr="00C969CA" w:rsidRDefault="00FC323A" w:rsidP="001825D7">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9" w:type="dxa"/>
            <w:tcBorders>
              <w:top w:val="nil"/>
              <w:left w:val="nil"/>
              <w:bottom w:val="nil"/>
              <w:right w:val="nil"/>
            </w:tcBorders>
            <w:shd w:val="clear" w:color="auto" w:fill="auto"/>
            <w:noWrap/>
            <w:vAlign w:val="bottom"/>
          </w:tcPr>
          <w:p w14:paraId="72A4F031" w14:textId="7533C3C0" w:rsidR="00FC323A" w:rsidRPr="00C969CA" w:rsidRDefault="00FC323A" w:rsidP="001825D7">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FC323A" w:rsidRPr="008D4F63" w14:paraId="2BB2B9ED" w14:textId="77777777" w:rsidTr="00C471CA">
        <w:trPr>
          <w:trHeight w:val="204"/>
        </w:trPr>
        <w:tc>
          <w:tcPr>
            <w:tcW w:w="2977" w:type="dxa"/>
            <w:tcBorders>
              <w:top w:val="nil"/>
              <w:left w:val="nil"/>
              <w:right w:val="nil"/>
            </w:tcBorders>
            <w:shd w:val="clear" w:color="auto" w:fill="auto"/>
            <w:noWrap/>
          </w:tcPr>
          <w:p w14:paraId="2A15BD23" w14:textId="752236CE" w:rsidR="00FC323A" w:rsidRPr="00A9622F" w:rsidRDefault="00631EF1" w:rsidP="00D334D0">
            <w:pPr>
              <w:spacing w:after="0" w:line="240" w:lineRule="auto"/>
              <w:ind w:left="227"/>
              <w:jc w:val="left"/>
              <w:rPr>
                <w:rFonts w:ascii="Arial" w:hAnsi="Arial" w:cs="Arial"/>
                <w:bCs/>
                <w:color w:val="000000"/>
                <w:sz w:val="16"/>
                <w:szCs w:val="16"/>
              </w:rPr>
            </w:pPr>
            <w:r>
              <w:rPr>
                <w:rFonts w:ascii="Arial" w:hAnsi="Arial" w:cs="Arial"/>
                <w:bCs/>
                <w:color w:val="000000"/>
                <w:sz w:val="16"/>
                <w:szCs w:val="16"/>
              </w:rPr>
              <w:t>Capital funding</w:t>
            </w:r>
            <w:r w:rsidR="00FC323A">
              <w:rPr>
                <w:rFonts w:ascii="Arial" w:hAnsi="Arial" w:cs="Arial"/>
                <w:bCs/>
                <w:color w:val="000000"/>
                <w:sz w:val="16"/>
                <w:szCs w:val="16"/>
              </w:rPr>
              <w:t xml:space="preserve"> </w:t>
            </w:r>
            <w:r w:rsidR="00FC323A" w:rsidRPr="00FC323A">
              <w:rPr>
                <w:rFonts w:ascii="Arial" w:hAnsi="Arial" w:cs="Arial"/>
                <w:bCs/>
                <w:color w:val="000000"/>
                <w:sz w:val="16"/>
                <w:szCs w:val="16"/>
                <w:vertAlign w:val="superscript"/>
              </w:rPr>
              <w:t>(a)</w:t>
            </w:r>
          </w:p>
        </w:tc>
        <w:tc>
          <w:tcPr>
            <w:tcW w:w="866" w:type="dxa"/>
            <w:tcBorders>
              <w:top w:val="nil"/>
              <w:left w:val="nil"/>
              <w:right w:val="nil"/>
            </w:tcBorders>
            <w:shd w:val="clear" w:color="auto" w:fill="auto"/>
            <w:noWrap/>
            <w:vAlign w:val="bottom"/>
          </w:tcPr>
          <w:p w14:paraId="1F05AC6D" w14:textId="4EDC2E7C" w:rsidR="00FC323A" w:rsidRPr="00C969CA" w:rsidRDefault="00FC323A" w:rsidP="001825D7">
            <w:pPr>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977" w:type="dxa"/>
            <w:tcBorders>
              <w:top w:val="nil"/>
              <w:left w:val="nil"/>
              <w:bottom w:val="nil"/>
              <w:right w:val="nil"/>
            </w:tcBorders>
            <w:shd w:val="clear" w:color="000000" w:fill="E6E6E6"/>
            <w:noWrap/>
            <w:vAlign w:val="bottom"/>
          </w:tcPr>
          <w:p w14:paraId="37B49ABA" w14:textId="653AB5BC" w:rsidR="00FC323A" w:rsidRPr="00C969CA" w:rsidRDefault="00FC323A" w:rsidP="001825D7">
            <w:pPr>
              <w:spacing w:after="0" w:line="240" w:lineRule="auto"/>
              <w:jc w:val="right"/>
              <w:rPr>
                <w:rFonts w:ascii="Arial" w:hAnsi="Arial" w:cs="Arial"/>
                <w:sz w:val="16"/>
                <w:szCs w:val="16"/>
              </w:rPr>
            </w:pPr>
            <w:r>
              <w:rPr>
                <w:rFonts w:ascii="Arial" w:hAnsi="Arial" w:cs="Arial"/>
                <w:sz w:val="16"/>
                <w:szCs w:val="16"/>
              </w:rPr>
              <w:t>1,935</w:t>
            </w:r>
          </w:p>
        </w:tc>
        <w:tc>
          <w:tcPr>
            <w:tcW w:w="968" w:type="dxa"/>
            <w:tcBorders>
              <w:top w:val="nil"/>
              <w:left w:val="nil"/>
              <w:bottom w:val="nil"/>
              <w:right w:val="nil"/>
            </w:tcBorders>
            <w:shd w:val="clear" w:color="auto" w:fill="auto"/>
            <w:noWrap/>
            <w:vAlign w:val="bottom"/>
          </w:tcPr>
          <w:p w14:paraId="26A0B633" w14:textId="3E221132" w:rsidR="00FC323A" w:rsidRPr="00C969CA" w:rsidRDefault="00FC323A" w:rsidP="001825D7">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63" w:type="dxa"/>
            <w:tcBorders>
              <w:top w:val="nil"/>
              <w:left w:val="nil"/>
              <w:bottom w:val="nil"/>
              <w:right w:val="nil"/>
            </w:tcBorders>
            <w:shd w:val="clear" w:color="auto" w:fill="auto"/>
            <w:noWrap/>
            <w:vAlign w:val="bottom"/>
          </w:tcPr>
          <w:p w14:paraId="7E7A9A31" w14:textId="7A765B8B" w:rsidR="00FC323A" w:rsidRPr="00C969CA" w:rsidRDefault="00FC323A" w:rsidP="001825D7">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9" w:type="dxa"/>
            <w:tcBorders>
              <w:top w:val="nil"/>
              <w:left w:val="nil"/>
              <w:bottom w:val="nil"/>
              <w:right w:val="nil"/>
            </w:tcBorders>
            <w:shd w:val="clear" w:color="auto" w:fill="auto"/>
            <w:noWrap/>
            <w:vAlign w:val="bottom"/>
          </w:tcPr>
          <w:p w14:paraId="407A3792" w14:textId="11DDDD19" w:rsidR="00FC323A" w:rsidRPr="00C969CA" w:rsidRDefault="00FC323A" w:rsidP="001825D7">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93E64" w:rsidRPr="00A93E64" w14:paraId="21F80A2C" w14:textId="77777777" w:rsidTr="00C471CA">
        <w:trPr>
          <w:trHeight w:val="204"/>
        </w:trPr>
        <w:tc>
          <w:tcPr>
            <w:tcW w:w="2977" w:type="dxa"/>
            <w:tcBorders>
              <w:top w:val="nil"/>
              <w:left w:val="nil"/>
              <w:right w:val="nil"/>
            </w:tcBorders>
            <w:shd w:val="clear" w:color="auto" w:fill="auto"/>
            <w:noWrap/>
          </w:tcPr>
          <w:p w14:paraId="0091CCDE" w14:textId="68386148" w:rsidR="00A93E64" w:rsidRPr="00A93E64" w:rsidRDefault="00A93E64" w:rsidP="00A93E64">
            <w:pPr>
              <w:spacing w:after="0" w:line="240" w:lineRule="auto"/>
              <w:ind w:left="227"/>
              <w:jc w:val="left"/>
              <w:rPr>
                <w:rFonts w:ascii="Arial" w:hAnsi="Arial" w:cs="Arial"/>
                <w:b/>
                <w:bCs/>
                <w:color w:val="000000"/>
                <w:sz w:val="16"/>
                <w:szCs w:val="16"/>
              </w:rPr>
            </w:pPr>
            <w:r w:rsidRPr="00A93E64">
              <w:rPr>
                <w:rFonts w:ascii="Arial" w:hAnsi="Arial" w:cs="Arial"/>
                <w:b/>
                <w:bCs/>
                <w:color w:val="000000"/>
                <w:sz w:val="16"/>
                <w:szCs w:val="16"/>
              </w:rPr>
              <w:t>Other varia</w:t>
            </w:r>
            <w:r>
              <w:rPr>
                <w:rFonts w:ascii="Arial" w:hAnsi="Arial" w:cs="Arial"/>
                <w:b/>
                <w:bCs/>
                <w:color w:val="000000"/>
                <w:sz w:val="16"/>
                <w:szCs w:val="16"/>
              </w:rPr>
              <w:t>tions</w:t>
            </w:r>
          </w:p>
        </w:tc>
        <w:tc>
          <w:tcPr>
            <w:tcW w:w="866" w:type="dxa"/>
            <w:tcBorders>
              <w:top w:val="nil"/>
              <w:left w:val="nil"/>
              <w:right w:val="nil"/>
            </w:tcBorders>
            <w:shd w:val="clear" w:color="auto" w:fill="auto"/>
            <w:noWrap/>
            <w:vAlign w:val="bottom"/>
          </w:tcPr>
          <w:p w14:paraId="746D1578" w14:textId="77777777" w:rsidR="00A93E64" w:rsidRPr="00A93E64" w:rsidRDefault="00A93E64" w:rsidP="001825D7">
            <w:pPr>
              <w:spacing w:after="0" w:line="240" w:lineRule="auto"/>
              <w:jc w:val="center"/>
              <w:rPr>
                <w:rFonts w:ascii="Arial" w:hAnsi="Arial" w:cs="Arial"/>
                <w:b/>
                <w:color w:val="000000"/>
                <w:sz w:val="16"/>
                <w:szCs w:val="16"/>
              </w:rPr>
            </w:pPr>
          </w:p>
        </w:tc>
        <w:tc>
          <w:tcPr>
            <w:tcW w:w="977" w:type="dxa"/>
            <w:tcBorders>
              <w:top w:val="nil"/>
              <w:left w:val="nil"/>
              <w:bottom w:val="nil"/>
              <w:right w:val="nil"/>
            </w:tcBorders>
            <w:shd w:val="clear" w:color="000000" w:fill="E6E6E6"/>
            <w:noWrap/>
            <w:vAlign w:val="bottom"/>
          </w:tcPr>
          <w:p w14:paraId="17DD9EF9" w14:textId="77777777" w:rsidR="00A93E64" w:rsidRPr="00A93E64" w:rsidRDefault="00A93E64" w:rsidP="001825D7">
            <w:pPr>
              <w:spacing w:after="0" w:line="240" w:lineRule="auto"/>
              <w:jc w:val="right"/>
              <w:rPr>
                <w:rFonts w:ascii="Arial" w:hAnsi="Arial" w:cs="Arial"/>
                <w:b/>
                <w:sz w:val="16"/>
                <w:szCs w:val="16"/>
              </w:rPr>
            </w:pPr>
          </w:p>
        </w:tc>
        <w:tc>
          <w:tcPr>
            <w:tcW w:w="968" w:type="dxa"/>
            <w:tcBorders>
              <w:top w:val="nil"/>
              <w:left w:val="nil"/>
              <w:bottom w:val="nil"/>
              <w:right w:val="nil"/>
            </w:tcBorders>
            <w:shd w:val="clear" w:color="auto" w:fill="auto"/>
            <w:noWrap/>
            <w:vAlign w:val="bottom"/>
          </w:tcPr>
          <w:p w14:paraId="2C287792" w14:textId="77777777" w:rsidR="00A93E64" w:rsidRPr="00A93E64" w:rsidRDefault="00A93E64" w:rsidP="001825D7">
            <w:pPr>
              <w:spacing w:after="0" w:line="240" w:lineRule="auto"/>
              <w:jc w:val="right"/>
              <w:rPr>
                <w:rFonts w:ascii="Arial" w:hAnsi="Arial" w:cs="Arial"/>
                <w:b/>
                <w:color w:val="000000"/>
                <w:sz w:val="16"/>
                <w:szCs w:val="16"/>
              </w:rPr>
            </w:pPr>
          </w:p>
        </w:tc>
        <w:tc>
          <w:tcPr>
            <w:tcW w:w="963" w:type="dxa"/>
            <w:tcBorders>
              <w:top w:val="nil"/>
              <w:left w:val="nil"/>
              <w:bottom w:val="nil"/>
              <w:right w:val="nil"/>
            </w:tcBorders>
            <w:shd w:val="clear" w:color="auto" w:fill="auto"/>
            <w:noWrap/>
            <w:vAlign w:val="bottom"/>
          </w:tcPr>
          <w:p w14:paraId="277FEFF6" w14:textId="77777777" w:rsidR="00A93E64" w:rsidRPr="00A93E64" w:rsidRDefault="00A93E64" w:rsidP="001825D7">
            <w:pPr>
              <w:spacing w:after="0" w:line="240" w:lineRule="auto"/>
              <w:jc w:val="right"/>
              <w:rPr>
                <w:rFonts w:ascii="Arial" w:hAnsi="Arial" w:cs="Arial"/>
                <w:b/>
                <w:color w:val="000000"/>
                <w:sz w:val="16"/>
                <w:szCs w:val="16"/>
              </w:rPr>
            </w:pPr>
          </w:p>
        </w:tc>
        <w:tc>
          <w:tcPr>
            <w:tcW w:w="959" w:type="dxa"/>
            <w:tcBorders>
              <w:top w:val="nil"/>
              <w:left w:val="nil"/>
              <w:bottom w:val="nil"/>
              <w:right w:val="nil"/>
            </w:tcBorders>
            <w:shd w:val="clear" w:color="auto" w:fill="auto"/>
            <w:noWrap/>
            <w:vAlign w:val="bottom"/>
          </w:tcPr>
          <w:p w14:paraId="722574A0" w14:textId="77777777" w:rsidR="00A93E64" w:rsidRPr="00A93E64" w:rsidRDefault="00A93E64" w:rsidP="001825D7">
            <w:pPr>
              <w:spacing w:after="0" w:line="240" w:lineRule="auto"/>
              <w:jc w:val="right"/>
              <w:rPr>
                <w:rFonts w:ascii="Arial" w:hAnsi="Arial" w:cs="Arial"/>
                <w:b/>
                <w:color w:val="000000"/>
                <w:sz w:val="16"/>
                <w:szCs w:val="16"/>
              </w:rPr>
            </w:pPr>
          </w:p>
        </w:tc>
      </w:tr>
      <w:tr w:rsidR="00A93E64" w:rsidRPr="008D4F63" w14:paraId="185E14D8" w14:textId="77777777" w:rsidTr="00C471CA">
        <w:trPr>
          <w:trHeight w:val="204"/>
        </w:trPr>
        <w:tc>
          <w:tcPr>
            <w:tcW w:w="2977" w:type="dxa"/>
            <w:tcBorders>
              <w:top w:val="nil"/>
              <w:left w:val="nil"/>
              <w:right w:val="nil"/>
            </w:tcBorders>
            <w:shd w:val="clear" w:color="auto" w:fill="auto"/>
            <w:noWrap/>
          </w:tcPr>
          <w:p w14:paraId="4F3539D3" w14:textId="6DFD6BC1" w:rsidR="00A93E64" w:rsidRPr="00F865FA" w:rsidRDefault="00A93E64" w:rsidP="00D334D0">
            <w:pPr>
              <w:spacing w:after="0" w:line="240" w:lineRule="auto"/>
              <w:ind w:left="227"/>
              <w:jc w:val="left"/>
              <w:rPr>
                <w:rFonts w:ascii="Arial" w:hAnsi="Arial" w:cs="Arial"/>
                <w:bCs/>
                <w:color w:val="000000"/>
                <w:sz w:val="16"/>
                <w:szCs w:val="16"/>
              </w:rPr>
            </w:pPr>
            <w:r w:rsidRPr="00F865FA">
              <w:rPr>
                <w:rFonts w:ascii="Arial" w:hAnsi="Arial" w:cs="Arial"/>
                <w:bCs/>
                <w:sz w:val="16"/>
                <w:szCs w:val="16"/>
              </w:rPr>
              <w:t>Changes in Parameters</w:t>
            </w:r>
          </w:p>
        </w:tc>
        <w:tc>
          <w:tcPr>
            <w:tcW w:w="866" w:type="dxa"/>
            <w:tcBorders>
              <w:top w:val="nil"/>
              <w:left w:val="nil"/>
              <w:right w:val="nil"/>
            </w:tcBorders>
            <w:shd w:val="clear" w:color="auto" w:fill="auto"/>
            <w:noWrap/>
            <w:vAlign w:val="bottom"/>
          </w:tcPr>
          <w:p w14:paraId="47F82D57" w14:textId="5C7F5452" w:rsidR="00A93E64" w:rsidRPr="00C969CA" w:rsidRDefault="00A93E64" w:rsidP="001825D7">
            <w:pPr>
              <w:spacing w:after="0" w:line="240" w:lineRule="auto"/>
              <w:jc w:val="center"/>
              <w:rPr>
                <w:rFonts w:ascii="Arial" w:hAnsi="Arial" w:cs="Arial"/>
                <w:color w:val="000000"/>
                <w:sz w:val="16"/>
                <w:szCs w:val="16"/>
              </w:rPr>
            </w:pPr>
            <w:r>
              <w:rPr>
                <w:rFonts w:ascii="Arial" w:hAnsi="Arial" w:cs="Arial"/>
                <w:color w:val="000000"/>
                <w:sz w:val="16"/>
                <w:szCs w:val="16"/>
              </w:rPr>
              <w:t>ALL</w:t>
            </w:r>
          </w:p>
        </w:tc>
        <w:tc>
          <w:tcPr>
            <w:tcW w:w="977" w:type="dxa"/>
            <w:tcBorders>
              <w:top w:val="nil"/>
              <w:left w:val="nil"/>
              <w:bottom w:val="nil"/>
              <w:right w:val="nil"/>
            </w:tcBorders>
            <w:shd w:val="clear" w:color="000000" w:fill="E6E6E6"/>
            <w:noWrap/>
            <w:vAlign w:val="bottom"/>
          </w:tcPr>
          <w:p w14:paraId="16F04CB5" w14:textId="6B5E82E8" w:rsidR="00A93E64" w:rsidRPr="00C969CA" w:rsidRDefault="00A93E64" w:rsidP="001825D7">
            <w:pPr>
              <w:spacing w:after="0" w:line="240" w:lineRule="auto"/>
              <w:jc w:val="right"/>
              <w:rPr>
                <w:rFonts w:ascii="Arial" w:hAnsi="Arial" w:cs="Arial"/>
                <w:sz w:val="16"/>
                <w:szCs w:val="16"/>
              </w:rPr>
            </w:pPr>
            <w:r>
              <w:rPr>
                <w:rFonts w:ascii="Arial" w:hAnsi="Arial" w:cs="Arial"/>
                <w:sz w:val="16"/>
                <w:szCs w:val="16"/>
              </w:rPr>
              <w:t>-</w:t>
            </w:r>
          </w:p>
        </w:tc>
        <w:tc>
          <w:tcPr>
            <w:tcW w:w="968" w:type="dxa"/>
            <w:tcBorders>
              <w:top w:val="nil"/>
              <w:left w:val="nil"/>
              <w:bottom w:val="nil"/>
              <w:right w:val="nil"/>
            </w:tcBorders>
            <w:shd w:val="clear" w:color="auto" w:fill="auto"/>
            <w:noWrap/>
            <w:vAlign w:val="bottom"/>
          </w:tcPr>
          <w:p w14:paraId="1BBB7706" w14:textId="4D111A01" w:rsidR="00A93E64" w:rsidRPr="00C969CA" w:rsidRDefault="00FC323A" w:rsidP="001825D7">
            <w:pPr>
              <w:spacing w:after="0" w:line="240" w:lineRule="auto"/>
              <w:jc w:val="right"/>
              <w:rPr>
                <w:rFonts w:ascii="Arial" w:hAnsi="Arial" w:cs="Arial"/>
                <w:color w:val="000000"/>
                <w:sz w:val="16"/>
                <w:szCs w:val="16"/>
              </w:rPr>
            </w:pPr>
            <w:r>
              <w:rPr>
                <w:rFonts w:ascii="Arial" w:hAnsi="Arial" w:cs="Arial"/>
                <w:color w:val="000000"/>
                <w:sz w:val="16"/>
                <w:szCs w:val="16"/>
              </w:rPr>
              <w:t>62</w:t>
            </w:r>
          </w:p>
        </w:tc>
        <w:tc>
          <w:tcPr>
            <w:tcW w:w="963" w:type="dxa"/>
            <w:tcBorders>
              <w:top w:val="nil"/>
              <w:left w:val="nil"/>
              <w:bottom w:val="nil"/>
              <w:right w:val="nil"/>
            </w:tcBorders>
            <w:shd w:val="clear" w:color="auto" w:fill="auto"/>
            <w:noWrap/>
            <w:vAlign w:val="bottom"/>
          </w:tcPr>
          <w:p w14:paraId="01D1EEA9" w14:textId="4BBA519C" w:rsidR="00A93E64" w:rsidRPr="00C969CA" w:rsidRDefault="00A93E64" w:rsidP="00FC323A">
            <w:pPr>
              <w:spacing w:after="0" w:line="240" w:lineRule="auto"/>
              <w:jc w:val="right"/>
              <w:rPr>
                <w:rFonts w:ascii="Arial" w:hAnsi="Arial" w:cs="Arial"/>
                <w:color w:val="000000"/>
                <w:sz w:val="16"/>
                <w:szCs w:val="16"/>
              </w:rPr>
            </w:pPr>
            <w:r>
              <w:rPr>
                <w:rFonts w:ascii="Arial" w:hAnsi="Arial" w:cs="Arial"/>
                <w:color w:val="000000"/>
                <w:sz w:val="16"/>
                <w:szCs w:val="16"/>
              </w:rPr>
              <w:t>1</w:t>
            </w:r>
            <w:r w:rsidR="00FC323A">
              <w:rPr>
                <w:rFonts w:ascii="Arial" w:hAnsi="Arial" w:cs="Arial"/>
                <w:color w:val="000000"/>
                <w:sz w:val="16"/>
                <w:szCs w:val="16"/>
              </w:rPr>
              <w:t>92</w:t>
            </w:r>
          </w:p>
        </w:tc>
        <w:tc>
          <w:tcPr>
            <w:tcW w:w="959" w:type="dxa"/>
            <w:tcBorders>
              <w:top w:val="nil"/>
              <w:left w:val="nil"/>
              <w:bottom w:val="nil"/>
              <w:right w:val="nil"/>
            </w:tcBorders>
            <w:shd w:val="clear" w:color="auto" w:fill="auto"/>
            <w:noWrap/>
            <w:vAlign w:val="bottom"/>
          </w:tcPr>
          <w:p w14:paraId="6DBD75D3" w14:textId="42ECE0D5" w:rsidR="00A93E64" w:rsidRPr="00C969CA" w:rsidRDefault="00FC323A" w:rsidP="00FC323A">
            <w:pPr>
              <w:spacing w:after="0" w:line="240" w:lineRule="auto"/>
              <w:jc w:val="right"/>
              <w:rPr>
                <w:rFonts w:ascii="Arial" w:hAnsi="Arial" w:cs="Arial"/>
                <w:color w:val="000000"/>
                <w:sz w:val="16"/>
                <w:szCs w:val="16"/>
              </w:rPr>
            </w:pPr>
            <w:r>
              <w:rPr>
                <w:rFonts w:ascii="Arial" w:hAnsi="Arial" w:cs="Arial"/>
                <w:color w:val="000000"/>
                <w:sz w:val="16"/>
                <w:szCs w:val="16"/>
              </w:rPr>
              <w:t>368</w:t>
            </w:r>
          </w:p>
        </w:tc>
      </w:tr>
      <w:tr w:rsidR="001825D7" w:rsidRPr="008D4F63" w14:paraId="649AD23D" w14:textId="77777777" w:rsidTr="00C471CA">
        <w:trPr>
          <w:trHeight w:val="204"/>
        </w:trPr>
        <w:tc>
          <w:tcPr>
            <w:tcW w:w="2977" w:type="dxa"/>
            <w:tcBorders>
              <w:top w:val="nil"/>
              <w:left w:val="nil"/>
              <w:right w:val="nil"/>
            </w:tcBorders>
            <w:shd w:val="clear" w:color="auto" w:fill="auto"/>
            <w:hideMark/>
          </w:tcPr>
          <w:p w14:paraId="40F7747B" w14:textId="77777777" w:rsidR="001825D7" w:rsidRPr="008D4F63" w:rsidRDefault="001825D7" w:rsidP="001825D7">
            <w:pPr>
              <w:spacing w:after="0" w:line="240" w:lineRule="auto"/>
              <w:jc w:val="left"/>
              <w:rPr>
                <w:rFonts w:ascii="Arial" w:hAnsi="Arial" w:cs="Arial"/>
                <w:b/>
                <w:bCs/>
                <w:color w:val="000000"/>
                <w:sz w:val="16"/>
                <w:szCs w:val="16"/>
              </w:rPr>
            </w:pPr>
            <w:r w:rsidRPr="008D4F63">
              <w:rPr>
                <w:rFonts w:ascii="Arial" w:hAnsi="Arial" w:cs="Arial"/>
                <w:b/>
                <w:bCs/>
                <w:color w:val="000000"/>
                <w:sz w:val="16"/>
                <w:szCs w:val="16"/>
              </w:rPr>
              <w:t>Net impact on appropriations for</w:t>
            </w:r>
            <w:r>
              <w:rPr>
                <w:rFonts w:ascii="Arial" w:hAnsi="Arial" w:cs="Arial"/>
                <w:b/>
                <w:bCs/>
                <w:color w:val="000000"/>
                <w:sz w:val="16"/>
                <w:szCs w:val="16"/>
              </w:rPr>
              <w:t xml:space="preserve"> </w:t>
            </w:r>
            <w:r w:rsidRPr="008D4F63">
              <w:rPr>
                <w:rFonts w:ascii="Arial" w:hAnsi="Arial" w:cs="Arial"/>
                <w:b/>
                <w:bCs/>
                <w:color w:val="000000"/>
                <w:sz w:val="16"/>
                <w:szCs w:val="16"/>
              </w:rPr>
              <w:t>Outcome 1 (administered)</w:t>
            </w:r>
          </w:p>
        </w:tc>
        <w:tc>
          <w:tcPr>
            <w:tcW w:w="866" w:type="dxa"/>
            <w:tcBorders>
              <w:top w:val="nil"/>
              <w:left w:val="nil"/>
              <w:right w:val="nil"/>
            </w:tcBorders>
            <w:shd w:val="clear" w:color="auto" w:fill="auto"/>
            <w:noWrap/>
            <w:vAlign w:val="bottom"/>
            <w:hideMark/>
          </w:tcPr>
          <w:p w14:paraId="703C7583" w14:textId="77777777" w:rsidR="001825D7" w:rsidRPr="00C969CA" w:rsidRDefault="001825D7" w:rsidP="001825D7">
            <w:pPr>
              <w:spacing w:after="0" w:line="240" w:lineRule="auto"/>
              <w:jc w:val="right"/>
              <w:rPr>
                <w:rFonts w:ascii="Arial" w:hAnsi="Arial" w:cs="Arial"/>
                <w:color w:val="000000"/>
                <w:sz w:val="16"/>
                <w:szCs w:val="16"/>
              </w:rPr>
            </w:pPr>
          </w:p>
        </w:tc>
        <w:tc>
          <w:tcPr>
            <w:tcW w:w="977" w:type="dxa"/>
            <w:tcBorders>
              <w:top w:val="single" w:sz="4" w:space="0" w:color="auto"/>
              <w:left w:val="nil"/>
              <w:bottom w:val="single" w:sz="4" w:space="0" w:color="000000"/>
              <w:right w:val="nil"/>
            </w:tcBorders>
            <w:shd w:val="clear" w:color="000000" w:fill="E6E6E6"/>
            <w:noWrap/>
            <w:vAlign w:val="bottom"/>
            <w:hideMark/>
          </w:tcPr>
          <w:p w14:paraId="5A7512D5" w14:textId="49119CA7" w:rsidR="001825D7" w:rsidRPr="00C969CA" w:rsidRDefault="00FC323A" w:rsidP="00FC323A">
            <w:pPr>
              <w:spacing w:after="0" w:line="240" w:lineRule="auto"/>
              <w:jc w:val="right"/>
              <w:rPr>
                <w:rFonts w:ascii="Arial" w:hAnsi="Arial" w:cs="Arial"/>
                <w:b/>
                <w:bCs/>
                <w:sz w:val="16"/>
                <w:szCs w:val="16"/>
              </w:rPr>
            </w:pPr>
            <w:r>
              <w:rPr>
                <w:rFonts w:ascii="Arial" w:hAnsi="Arial" w:cs="Arial"/>
                <w:b/>
                <w:bCs/>
                <w:sz w:val="16"/>
                <w:szCs w:val="16"/>
              </w:rPr>
              <w:t>1,394</w:t>
            </w:r>
          </w:p>
        </w:tc>
        <w:tc>
          <w:tcPr>
            <w:tcW w:w="968" w:type="dxa"/>
            <w:tcBorders>
              <w:top w:val="single" w:sz="4" w:space="0" w:color="auto"/>
              <w:left w:val="nil"/>
              <w:bottom w:val="single" w:sz="4" w:space="0" w:color="000000"/>
              <w:right w:val="nil"/>
            </w:tcBorders>
            <w:shd w:val="clear" w:color="auto" w:fill="auto"/>
            <w:noWrap/>
            <w:vAlign w:val="bottom"/>
            <w:hideMark/>
          </w:tcPr>
          <w:p w14:paraId="5860531D" w14:textId="2361D2DF" w:rsidR="001825D7" w:rsidRPr="00C969CA" w:rsidRDefault="00FC323A" w:rsidP="001825D7">
            <w:pPr>
              <w:spacing w:after="0" w:line="240" w:lineRule="auto"/>
              <w:jc w:val="right"/>
              <w:rPr>
                <w:rFonts w:ascii="Arial" w:hAnsi="Arial" w:cs="Arial"/>
                <w:b/>
                <w:bCs/>
                <w:color w:val="000000"/>
                <w:sz w:val="16"/>
                <w:szCs w:val="16"/>
              </w:rPr>
            </w:pPr>
            <w:r>
              <w:rPr>
                <w:rFonts w:ascii="Arial" w:hAnsi="Arial" w:cs="Arial"/>
                <w:b/>
                <w:bCs/>
                <w:color w:val="000000"/>
                <w:sz w:val="16"/>
                <w:szCs w:val="16"/>
              </w:rPr>
              <w:t>62</w:t>
            </w:r>
          </w:p>
        </w:tc>
        <w:tc>
          <w:tcPr>
            <w:tcW w:w="963" w:type="dxa"/>
            <w:tcBorders>
              <w:top w:val="single" w:sz="4" w:space="0" w:color="auto"/>
              <w:left w:val="nil"/>
              <w:bottom w:val="single" w:sz="4" w:space="0" w:color="000000"/>
              <w:right w:val="nil"/>
            </w:tcBorders>
            <w:shd w:val="clear" w:color="auto" w:fill="auto"/>
            <w:noWrap/>
            <w:vAlign w:val="bottom"/>
            <w:hideMark/>
          </w:tcPr>
          <w:p w14:paraId="0261624B" w14:textId="52492CB1" w:rsidR="001825D7" w:rsidRPr="00C969CA" w:rsidRDefault="00FC323A" w:rsidP="001825D7">
            <w:pPr>
              <w:spacing w:after="0" w:line="240" w:lineRule="auto"/>
              <w:jc w:val="right"/>
              <w:rPr>
                <w:rFonts w:ascii="Arial" w:hAnsi="Arial" w:cs="Arial"/>
                <w:b/>
                <w:bCs/>
                <w:color w:val="000000"/>
                <w:sz w:val="16"/>
                <w:szCs w:val="16"/>
              </w:rPr>
            </w:pPr>
            <w:r>
              <w:rPr>
                <w:rFonts w:ascii="Arial" w:hAnsi="Arial" w:cs="Arial"/>
                <w:b/>
                <w:bCs/>
                <w:color w:val="000000"/>
                <w:sz w:val="16"/>
                <w:szCs w:val="16"/>
              </w:rPr>
              <w:t>192</w:t>
            </w:r>
          </w:p>
        </w:tc>
        <w:tc>
          <w:tcPr>
            <w:tcW w:w="959" w:type="dxa"/>
            <w:tcBorders>
              <w:top w:val="single" w:sz="4" w:space="0" w:color="auto"/>
              <w:left w:val="nil"/>
              <w:bottom w:val="single" w:sz="4" w:space="0" w:color="000000"/>
              <w:right w:val="nil"/>
            </w:tcBorders>
            <w:shd w:val="clear" w:color="auto" w:fill="auto"/>
            <w:noWrap/>
            <w:vAlign w:val="bottom"/>
            <w:hideMark/>
          </w:tcPr>
          <w:p w14:paraId="6D049A28" w14:textId="4D138992" w:rsidR="001825D7" w:rsidRPr="00C969CA" w:rsidRDefault="00FC323A" w:rsidP="001825D7">
            <w:pPr>
              <w:spacing w:after="0" w:line="240" w:lineRule="auto"/>
              <w:jc w:val="right"/>
              <w:rPr>
                <w:rFonts w:ascii="Arial" w:hAnsi="Arial" w:cs="Arial"/>
                <w:b/>
                <w:bCs/>
                <w:color w:val="000000"/>
                <w:sz w:val="16"/>
                <w:szCs w:val="16"/>
              </w:rPr>
            </w:pPr>
            <w:r>
              <w:rPr>
                <w:rFonts w:ascii="Arial" w:hAnsi="Arial" w:cs="Arial"/>
                <w:b/>
                <w:bCs/>
                <w:color w:val="000000"/>
                <w:sz w:val="16"/>
                <w:szCs w:val="16"/>
              </w:rPr>
              <w:t>368</w:t>
            </w:r>
          </w:p>
        </w:tc>
      </w:tr>
      <w:tr w:rsidR="001825D7" w:rsidRPr="008D4F63" w14:paraId="276DACFF" w14:textId="77777777" w:rsidTr="00C471CA">
        <w:trPr>
          <w:trHeight w:val="204"/>
        </w:trPr>
        <w:tc>
          <w:tcPr>
            <w:tcW w:w="2977" w:type="dxa"/>
            <w:tcBorders>
              <w:top w:val="nil"/>
              <w:left w:val="nil"/>
              <w:bottom w:val="nil"/>
              <w:right w:val="nil"/>
            </w:tcBorders>
            <w:shd w:val="clear" w:color="auto" w:fill="auto"/>
            <w:hideMark/>
          </w:tcPr>
          <w:p w14:paraId="228059AF" w14:textId="215AEF91" w:rsidR="001825D7" w:rsidRPr="008D4F63" w:rsidRDefault="008863D9" w:rsidP="001825D7">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1825D7" w:rsidRPr="008D4F63">
              <w:rPr>
                <w:rFonts w:ascii="Arial" w:hAnsi="Arial" w:cs="Arial"/>
                <w:b/>
                <w:bCs/>
                <w:color w:val="000000"/>
                <w:sz w:val="16"/>
                <w:szCs w:val="16"/>
              </w:rPr>
              <w:t xml:space="preserve">al </w:t>
            </w:r>
          </w:p>
        </w:tc>
        <w:tc>
          <w:tcPr>
            <w:tcW w:w="866" w:type="dxa"/>
            <w:tcBorders>
              <w:top w:val="nil"/>
              <w:left w:val="nil"/>
              <w:bottom w:val="nil"/>
              <w:right w:val="nil"/>
            </w:tcBorders>
            <w:shd w:val="clear" w:color="auto" w:fill="auto"/>
            <w:noWrap/>
            <w:vAlign w:val="bottom"/>
            <w:hideMark/>
          </w:tcPr>
          <w:p w14:paraId="30FD5B27" w14:textId="77777777" w:rsidR="001825D7" w:rsidRPr="00C969CA" w:rsidRDefault="001825D7" w:rsidP="001825D7">
            <w:pPr>
              <w:spacing w:after="0" w:line="240" w:lineRule="auto"/>
              <w:jc w:val="righ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bottom"/>
            <w:hideMark/>
          </w:tcPr>
          <w:p w14:paraId="029EB313" w14:textId="77777777" w:rsidR="001825D7" w:rsidRPr="00C969CA" w:rsidRDefault="001825D7" w:rsidP="001825D7">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1D489375" w14:textId="77777777" w:rsidR="001825D7" w:rsidRPr="00C969CA" w:rsidRDefault="001825D7" w:rsidP="001825D7">
            <w:pPr>
              <w:spacing w:after="0" w:line="240" w:lineRule="auto"/>
              <w:jc w:val="right"/>
              <w:rPr>
                <w:rFonts w:ascii="Arial" w:hAnsi="Arial" w:cs="Arial"/>
                <w:sz w:val="16"/>
                <w:szCs w:val="16"/>
              </w:rPr>
            </w:pPr>
          </w:p>
        </w:tc>
        <w:tc>
          <w:tcPr>
            <w:tcW w:w="963" w:type="dxa"/>
            <w:tcBorders>
              <w:top w:val="nil"/>
              <w:left w:val="nil"/>
              <w:bottom w:val="nil"/>
              <w:right w:val="nil"/>
            </w:tcBorders>
            <w:shd w:val="clear" w:color="auto" w:fill="auto"/>
            <w:noWrap/>
            <w:vAlign w:val="bottom"/>
            <w:hideMark/>
          </w:tcPr>
          <w:p w14:paraId="044DA1C9" w14:textId="77777777" w:rsidR="001825D7" w:rsidRPr="00C969CA" w:rsidRDefault="001825D7" w:rsidP="001825D7">
            <w:pPr>
              <w:spacing w:after="0" w:line="240" w:lineRule="auto"/>
              <w:jc w:val="right"/>
              <w:rPr>
                <w:rFonts w:ascii="Times New Roman" w:hAnsi="Times New Roman"/>
                <w:sz w:val="16"/>
                <w:szCs w:val="16"/>
              </w:rPr>
            </w:pPr>
          </w:p>
        </w:tc>
        <w:tc>
          <w:tcPr>
            <w:tcW w:w="959" w:type="dxa"/>
            <w:tcBorders>
              <w:top w:val="nil"/>
              <w:left w:val="nil"/>
              <w:bottom w:val="nil"/>
              <w:right w:val="nil"/>
            </w:tcBorders>
            <w:shd w:val="clear" w:color="auto" w:fill="auto"/>
            <w:noWrap/>
            <w:vAlign w:val="bottom"/>
            <w:hideMark/>
          </w:tcPr>
          <w:p w14:paraId="314461EE" w14:textId="77777777" w:rsidR="001825D7" w:rsidRPr="00C969CA" w:rsidRDefault="001825D7" w:rsidP="001825D7">
            <w:pPr>
              <w:spacing w:after="0" w:line="240" w:lineRule="auto"/>
              <w:jc w:val="right"/>
              <w:rPr>
                <w:rFonts w:ascii="Times New Roman" w:hAnsi="Times New Roman"/>
                <w:sz w:val="16"/>
                <w:szCs w:val="16"/>
              </w:rPr>
            </w:pPr>
          </w:p>
        </w:tc>
      </w:tr>
      <w:tr w:rsidR="001825D7" w:rsidRPr="008D4F63" w14:paraId="7A829D6E" w14:textId="77777777" w:rsidTr="00C471CA">
        <w:trPr>
          <w:trHeight w:val="204"/>
        </w:trPr>
        <w:tc>
          <w:tcPr>
            <w:tcW w:w="2977" w:type="dxa"/>
            <w:tcBorders>
              <w:top w:val="nil"/>
              <w:left w:val="nil"/>
              <w:bottom w:val="nil"/>
              <w:right w:val="nil"/>
            </w:tcBorders>
            <w:shd w:val="clear" w:color="auto" w:fill="auto"/>
            <w:noWrap/>
            <w:hideMark/>
          </w:tcPr>
          <w:p w14:paraId="35927BB1" w14:textId="77777777" w:rsidR="001825D7" w:rsidRPr="008D4F63" w:rsidRDefault="001825D7" w:rsidP="001825D7">
            <w:pPr>
              <w:spacing w:after="0" w:line="240" w:lineRule="auto"/>
              <w:ind w:left="113"/>
              <w:jc w:val="left"/>
              <w:rPr>
                <w:rFonts w:ascii="Arial" w:hAnsi="Arial" w:cs="Arial"/>
                <w:b/>
                <w:bCs/>
                <w:color w:val="000000"/>
                <w:sz w:val="16"/>
                <w:szCs w:val="16"/>
              </w:rPr>
            </w:pPr>
            <w:r w:rsidRPr="008D4F63">
              <w:rPr>
                <w:rFonts w:ascii="Arial" w:hAnsi="Arial" w:cs="Arial"/>
                <w:b/>
                <w:bCs/>
                <w:color w:val="000000"/>
                <w:sz w:val="16"/>
                <w:szCs w:val="16"/>
              </w:rPr>
              <w:t>Annual appropriations</w:t>
            </w:r>
          </w:p>
        </w:tc>
        <w:tc>
          <w:tcPr>
            <w:tcW w:w="866" w:type="dxa"/>
            <w:tcBorders>
              <w:top w:val="nil"/>
              <w:left w:val="nil"/>
              <w:bottom w:val="nil"/>
              <w:right w:val="nil"/>
            </w:tcBorders>
            <w:shd w:val="clear" w:color="auto" w:fill="auto"/>
            <w:noWrap/>
            <w:vAlign w:val="bottom"/>
            <w:hideMark/>
          </w:tcPr>
          <w:p w14:paraId="4FA012F6" w14:textId="77777777" w:rsidR="001825D7" w:rsidRPr="00C969CA" w:rsidRDefault="001825D7" w:rsidP="001825D7">
            <w:pPr>
              <w:spacing w:after="0" w:line="240" w:lineRule="auto"/>
              <w:ind w:firstLineChars="100" w:firstLine="160"/>
              <w:jc w:val="righ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bottom"/>
            <w:hideMark/>
          </w:tcPr>
          <w:p w14:paraId="4B044327" w14:textId="77777777" w:rsidR="001825D7" w:rsidRPr="00C969CA" w:rsidRDefault="001825D7" w:rsidP="001825D7">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7D911C8F" w14:textId="77777777" w:rsidR="001825D7" w:rsidRPr="00C969CA" w:rsidRDefault="001825D7" w:rsidP="001825D7">
            <w:pPr>
              <w:spacing w:after="0" w:line="240" w:lineRule="auto"/>
              <w:jc w:val="right"/>
              <w:rPr>
                <w:rFonts w:ascii="Arial" w:hAnsi="Arial" w:cs="Arial"/>
                <w:sz w:val="16"/>
                <w:szCs w:val="16"/>
              </w:rPr>
            </w:pPr>
          </w:p>
        </w:tc>
        <w:tc>
          <w:tcPr>
            <w:tcW w:w="963" w:type="dxa"/>
            <w:tcBorders>
              <w:top w:val="nil"/>
              <w:left w:val="nil"/>
              <w:bottom w:val="nil"/>
              <w:right w:val="nil"/>
            </w:tcBorders>
            <w:shd w:val="clear" w:color="auto" w:fill="auto"/>
            <w:noWrap/>
            <w:vAlign w:val="bottom"/>
            <w:hideMark/>
          </w:tcPr>
          <w:p w14:paraId="4301A1A5" w14:textId="77777777" w:rsidR="001825D7" w:rsidRPr="00C969CA" w:rsidRDefault="001825D7" w:rsidP="001825D7">
            <w:pPr>
              <w:spacing w:after="0" w:line="240" w:lineRule="auto"/>
              <w:jc w:val="right"/>
              <w:rPr>
                <w:rFonts w:ascii="Times New Roman" w:hAnsi="Times New Roman"/>
                <w:sz w:val="16"/>
                <w:szCs w:val="16"/>
              </w:rPr>
            </w:pPr>
          </w:p>
        </w:tc>
        <w:tc>
          <w:tcPr>
            <w:tcW w:w="959" w:type="dxa"/>
            <w:tcBorders>
              <w:top w:val="nil"/>
              <w:left w:val="nil"/>
              <w:bottom w:val="nil"/>
              <w:right w:val="nil"/>
            </w:tcBorders>
            <w:shd w:val="clear" w:color="auto" w:fill="auto"/>
            <w:noWrap/>
            <w:vAlign w:val="bottom"/>
            <w:hideMark/>
          </w:tcPr>
          <w:p w14:paraId="30A30EFC" w14:textId="77777777" w:rsidR="001825D7" w:rsidRPr="00C969CA" w:rsidRDefault="001825D7" w:rsidP="001825D7">
            <w:pPr>
              <w:spacing w:after="0" w:line="240" w:lineRule="auto"/>
              <w:jc w:val="right"/>
              <w:rPr>
                <w:rFonts w:ascii="Times New Roman" w:hAnsi="Times New Roman"/>
                <w:sz w:val="16"/>
                <w:szCs w:val="16"/>
              </w:rPr>
            </w:pPr>
          </w:p>
        </w:tc>
      </w:tr>
      <w:tr w:rsidR="001825D7" w:rsidRPr="008D4F63" w14:paraId="2E9D8135" w14:textId="77777777" w:rsidTr="00C471CA">
        <w:trPr>
          <w:trHeight w:val="204"/>
        </w:trPr>
        <w:tc>
          <w:tcPr>
            <w:tcW w:w="2977" w:type="dxa"/>
            <w:tcBorders>
              <w:top w:val="nil"/>
              <w:left w:val="nil"/>
              <w:bottom w:val="nil"/>
              <w:right w:val="nil"/>
            </w:tcBorders>
            <w:shd w:val="clear" w:color="auto" w:fill="auto"/>
            <w:noWrap/>
            <w:hideMark/>
          </w:tcPr>
          <w:p w14:paraId="7FDE7487" w14:textId="77777777" w:rsidR="001825D7" w:rsidRPr="008D4F63" w:rsidRDefault="001825D7" w:rsidP="001825D7">
            <w:pPr>
              <w:spacing w:after="0" w:line="240" w:lineRule="auto"/>
              <w:ind w:left="227"/>
              <w:jc w:val="left"/>
              <w:rPr>
                <w:rFonts w:ascii="Arial" w:hAnsi="Arial" w:cs="Arial"/>
                <w:b/>
                <w:bCs/>
                <w:color w:val="000000"/>
                <w:sz w:val="16"/>
                <w:szCs w:val="16"/>
              </w:rPr>
            </w:pPr>
            <w:r w:rsidRPr="008D4F63">
              <w:rPr>
                <w:rFonts w:ascii="Arial" w:hAnsi="Arial" w:cs="Arial"/>
                <w:b/>
                <w:bCs/>
                <w:color w:val="000000"/>
                <w:sz w:val="16"/>
                <w:szCs w:val="16"/>
              </w:rPr>
              <w:t>Movement of Funds</w:t>
            </w:r>
          </w:p>
        </w:tc>
        <w:tc>
          <w:tcPr>
            <w:tcW w:w="866" w:type="dxa"/>
            <w:tcBorders>
              <w:top w:val="nil"/>
              <w:left w:val="nil"/>
              <w:bottom w:val="nil"/>
              <w:right w:val="nil"/>
            </w:tcBorders>
            <w:shd w:val="clear" w:color="auto" w:fill="auto"/>
            <w:noWrap/>
            <w:vAlign w:val="bottom"/>
            <w:hideMark/>
          </w:tcPr>
          <w:p w14:paraId="14294AB8" w14:textId="77777777" w:rsidR="001825D7" w:rsidRPr="00C969CA" w:rsidRDefault="001825D7" w:rsidP="001825D7">
            <w:pPr>
              <w:spacing w:after="0" w:line="240" w:lineRule="auto"/>
              <w:ind w:firstLineChars="200" w:firstLine="320"/>
              <w:jc w:val="right"/>
              <w:rPr>
                <w:rFonts w:ascii="Arial" w:hAnsi="Arial" w:cs="Arial"/>
                <w:b/>
                <w:bCs/>
                <w:color w:val="000000"/>
                <w:sz w:val="16"/>
                <w:szCs w:val="16"/>
              </w:rPr>
            </w:pPr>
          </w:p>
        </w:tc>
        <w:tc>
          <w:tcPr>
            <w:tcW w:w="977" w:type="dxa"/>
            <w:tcBorders>
              <w:top w:val="nil"/>
              <w:left w:val="nil"/>
              <w:bottom w:val="nil"/>
              <w:right w:val="nil"/>
            </w:tcBorders>
            <w:shd w:val="clear" w:color="000000" w:fill="E6E6E6"/>
            <w:noWrap/>
            <w:vAlign w:val="bottom"/>
            <w:hideMark/>
          </w:tcPr>
          <w:p w14:paraId="0F242912" w14:textId="77777777" w:rsidR="001825D7" w:rsidRPr="00C969CA" w:rsidRDefault="001825D7" w:rsidP="001825D7">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7948622A" w14:textId="77777777" w:rsidR="001825D7" w:rsidRPr="00C969CA" w:rsidRDefault="001825D7" w:rsidP="001825D7">
            <w:pPr>
              <w:spacing w:after="0" w:line="240" w:lineRule="auto"/>
              <w:jc w:val="right"/>
              <w:rPr>
                <w:rFonts w:ascii="Arial" w:hAnsi="Arial" w:cs="Arial"/>
                <w:sz w:val="16"/>
                <w:szCs w:val="16"/>
              </w:rPr>
            </w:pPr>
          </w:p>
        </w:tc>
        <w:tc>
          <w:tcPr>
            <w:tcW w:w="963" w:type="dxa"/>
            <w:tcBorders>
              <w:top w:val="nil"/>
              <w:left w:val="nil"/>
              <w:bottom w:val="nil"/>
              <w:right w:val="nil"/>
            </w:tcBorders>
            <w:shd w:val="clear" w:color="auto" w:fill="auto"/>
            <w:noWrap/>
            <w:vAlign w:val="bottom"/>
            <w:hideMark/>
          </w:tcPr>
          <w:p w14:paraId="68EAE229" w14:textId="77777777" w:rsidR="001825D7" w:rsidRPr="00C969CA" w:rsidRDefault="001825D7" w:rsidP="001825D7">
            <w:pPr>
              <w:spacing w:after="0" w:line="240" w:lineRule="auto"/>
              <w:jc w:val="right"/>
              <w:rPr>
                <w:rFonts w:ascii="Times New Roman" w:hAnsi="Times New Roman"/>
                <w:sz w:val="16"/>
                <w:szCs w:val="16"/>
              </w:rPr>
            </w:pPr>
          </w:p>
        </w:tc>
        <w:tc>
          <w:tcPr>
            <w:tcW w:w="959" w:type="dxa"/>
            <w:tcBorders>
              <w:top w:val="nil"/>
              <w:left w:val="nil"/>
              <w:bottom w:val="nil"/>
              <w:right w:val="nil"/>
            </w:tcBorders>
            <w:shd w:val="clear" w:color="auto" w:fill="auto"/>
            <w:noWrap/>
            <w:vAlign w:val="bottom"/>
            <w:hideMark/>
          </w:tcPr>
          <w:p w14:paraId="15F3374F" w14:textId="77777777" w:rsidR="001825D7" w:rsidRPr="00C969CA" w:rsidRDefault="001825D7" w:rsidP="001825D7">
            <w:pPr>
              <w:spacing w:after="0" w:line="240" w:lineRule="auto"/>
              <w:jc w:val="right"/>
              <w:rPr>
                <w:rFonts w:ascii="Times New Roman" w:hAnsi="Times New Roman"/>
                <w:sz w:val="16"/>
                <w:szCs w:val="16"/>
              </w:rPr>
            </w:pPr>
          </w:p>
        </w:tc>
      </w:tr>
      <w:tr w:rsidR="001825D7" w:rsidRPr="008D4F63" w14:paraId="0BEF6C53" w14:textId="77777777" w:rsidTr="00C471CA">
        <w:trPr>
          <w:trHeight w:val="204"/>
        </w:trPr>
        <w:tc>
          <w:tcPr>
            <w:tcW w:w="2977" w:type="dxa"/>
            <w:tcBorders>
              <w:top w:val="nil"/>
              <w:left w:val="nil"/>
              <w:bottom w:val="nil"/>
              <w:right w:val="nil"/>
            </w:tcBorders>
            <w:shd w:val="clear" w:color="auto" w:fill="auto"/>
            <w:noWrap/>
            <w:hideMark/>
          </w:tcPr>
          <w:p w14:paraId="6B7287DF" w14:textId="77777777" w:rsidR="001825D7" w:rsidRPr="00A9622F" w:rsidRDefault="001825D7" w:rsidP="001825D7">
            <w:pPr>
              <w:spacing w:after="0" w:line="240" w:lineRule="auto"/>
              <w:ind w:left="227"/>
              <w:jc w:val="left"/>
              <w:rPr>
                <w:rFonts w:ascii="Arial" w:hAnsi="Arial" w:cs="Arial"/>
                <w:bCs/>
                <w:color w:val="000000"/>
                <w:sz w:val="16"/>
                <w:szCs w:val="16"/>
              </w:rPr>
            </w:pPr>
            <w:r w:rsidRPr="00A9622F">
              <w:rPr>
                <w:rFonts w:ascii="Arial" w:hAnsi="Arial" w:cs="Arial"/>
                <w:bCs/>
                <w:color w:val="000000"/>
                <w:sz w:val="16"/>
                <w:szCs w:val="16"/>
              </w:rPr>
              <w:t>Transfer from ACB</w:t>
            </w:r>
          </w:p>
        </w:tc>
        <w:tc>
          <w:tcPr>
            <w:tcW w:w="866" w:type="dxa"/>
            <w:tcBorders>
              <w:top w:val="nil"/>
              <w:left w:val="nil"/>
              <w:bottom w:val="nil"/>
              <w:right w:val="nil"/>
            </w:tcBorders>
            <w:shd w:val="clear" w:color="auto" w:fill="auto"/>
            <w:noWrap/>
            <w:vAlign w:val="bottom"/>
            <w:hideMark/>
          </w:tcPr>
          <w:p w14:paraId="23D36A01" w14:textId="77777777" w:rsidR="001825D7" w:rsidRPr="00C969CA" w:rsidRDefault="001825D7" w:rsidP="001825D7">
            <w:pPr>
              <w:spacing w:after="0" w:line="240" w:lineRule="auto"/>
              <w:jc w:val="center"/>
              <w:rPr>
                <w:rFonts w:ascii="Arial" w:hAnsi="Arial" w:cs="Arial"/>
                <w:color w:val="000000"/>
                <w:sz w:val="16"/>
                <w:szCs w:val="16"/>
              </w:rPr>
            </w:pPr>
            <w:r w:rsidRPr="00C969CA">
              <w:rPr>
                <w:rFonts w:ascii="Arial" w:hAnsi="Arial" w:cs="Arial"/>
                <w:color w:val="000000"/>
                <w:sz w:val="16"/>
                <w:szCs w:val="16"/>
              </w:rPr>
              <w:t>1.1</w:t>
            </w:r>
          </w:p>
        </w:tc>
        <w:tc>
          <w:tcPr>
            <w:tcW w:w="977" w:type="dxa"/>
            <w:tcBorders>
              <w:top w:val="nil"/>
              <w:left w:val="nil"/>
              <w:bottom w:val="nil"/>
              <w:right w:val="nil"/>
            </w:tcBorders>
            <w:shd w:val="clear" w:color="000000" w:fill="E6E6E6"/>
            <w:noWrap/>
            <w:vAlign w:val="bottom"/>
            <w:hideMark/>
          </w:tcPr>
          <w:p w14:paraId="009662BD" w14:textId="77777777" w:rsidR="001825D7" w:rsidRPr="00C969CA" w:rsidRDefault="001825D7" w:rsidP="001825D7">
            <w:pPr>
              <w:spacing w:after="0" w:line="240" w:lineRule="auto"/>
              <w:jc w:val="right"/>
              <w:rPr>
                <w:rFonts w:ascii="Arial" w:hAnsi="Arial" w:cs="Arial"/>
                <w:sz w:val="16"/>
                <w:szCs w:val="16"/>
              </w:rPr>
            </w:pPr>
            <w:r w:rsidRPr="00C969CA">
              <w:rPr>
                <w:rFonts w:ascii="Arial" w:hAnsi="Arial" w:cs="Arial"/>
                <w:sz w:val="16"/>
                <w:szCs w:val="16"/>
              </w:rPr>
              <w:t>3,500</w:t>
            </w:r>
          </w:p>
        </w:tc>
        <w:tc>
          <w:tcPr>
            <w:tcW w:w="968" w:type="dxa"/>
            <w:tcBorders>
              <w:top w:val="nil"/>
              <w:left w:val="nil"/>
              <w:bottom w:val="nil"/>
              <w:right w:val="nil"/>
            </w:tcBorders>
            <w:shd w:val="clear" w:color="auto" w:fill="auto"/>
            <w:noWrap/>
            <w:vAlign w:val="bottom"/>
            <w:hideMark/>
          </w:tcPr>
          <w:p w14:paraId="24568CE2" w14:textId="77777777" w:rsidR="001825D7" w:rsidRPr="00C969CA" w:rsidRDefault="001825D7" w:rsidP="001825D7">
            <w:pPr>
              <w:spacing w:after="0" w:line="240" w:lineRule="auto"/>
              <w:jc w:val="right"/>
              <w:rPr>
                <w:rFonts w:ascii="Arial" w:hAnsi="Arial" w:cs="Arial"/>
                <w:color w:val="000000"/>
                <w:sz w:val="16"/>
                <w:szCs w:val="16"/>
              </w:rPr>
            </w:pPr>
            <w:r w:rsidRPr="00C969CA">
              <w:rPr>
                <w:rFonts w:ascii="Arial" w:hAnsi="Arial" w:cs="Arial"/>
                <w:color w:val="000000"/>
                <w:sz w:val="16"/>
                <w:szCs w:val="16"/>
              </w:rPr>
              <w:t>-</w:t>
            </w:r>
          </w:p>
        </w:tc>
        <w:tc>
          <w:tcPr>
            <w:tcW w:w="963" w:type="dxa"/>
            <w:tcBorders>
              <w:top w:val="nil"/>
              <w:left w:val="nil"/>
              <w:bottom w:val="nil"/>
              <w:right w:val="nil"/>
            </w:tcBorders>
            <w:shd w:val="clear" w:color="auto" w:fill="auto"/>
            <w:noWrap/>
            <w:vAlign w:val="bottom"/>
            <w:hideMark/>
          </w:tcPr>
          <w:p w14:paraId="276771A0" w14:textId="77777777" w:rsidR="001825D7" w:rsidRPr="00C969CA" w:rsidRDefault="001825D7" w:rsidP="001825D7">
            <w:pPr>
              <w:spacing w:after="0" w:line="240" w:lineRule="auto"/>
              <w:jc w:val="right"/>
              <w:rPr>
                <w:rFonts w:ascii="Arial" w:hAnsi="Arial" w:cs="Arial"/>
                <w:color w:val="000000"/>
                <w:sz w:val="16"/>
                <w:szCs w:val="16"/>
              </w:rPr>
            </w:pPr>
            <w:r w:rsidRPr="00C969CA">
              <w:rPr>
                <w:rFonts w:ascii="Arial" w:hAnsi="Arial" w:cs="Arial"/>
                <w:color w:val="000000"/>
                <w:sz w:val="16"/>
                <w:szCs w:val="16"/>
              </w:rPr>
              <w:t>-</w:t>
            </w:r>
          </w:p>
        </w:tc>
        <w:tc>
          <w:tcPr>
            <w:tcW w:w="959" w:type="dxa"/>
            <w:tcBorders>
              <w:top w:val="nil"/>
              <w:left w:val="nil"/>
              <w:bottom w:val="nil"/>
              <w:right w:val="nil"/>
            </w:tcBorders>
            <w:shd w:val="clear" w:color="auto" w:fill="auto"/>
            <w:noWrap/>
            <w:vAlign w:val="bottom"/>
            <w:hideMark/>
          </w:tcPr>
          <w:p w14:paraId="467EDCF5" w14:textId="77777777" w:rsidR="001825D7" w:rsidRPr="00C969CA" w:rsidRDefault="001825D7" w:rsidP="001825D7">
            <w:pPr>
              <w:spacing w:after="0" w:line="240" w:lineRule="auto"/>
              <w:jc w:val="right"/>
              <w:rPr>
                <w:rFonts w:ascii="Arial" w:hAnsi="Arial" w:cs="Arial"/>
                <w:color w:val="000000"/>
                <w:sz w:val="16"/>
                <w:szCs w:val="16"/>
              </w:rPr>
            </w:pPr>
            <w:r w:rsidRPr="00C969CA">
              <w:rPr>
                <w:rFonts w:ascii="Arial" w:hAnsi="Arial" w:cs="Arial"/>
                <w:color w:val="000000"/>
                <w:sz w:val="16"/>
                <w:szCs w:val="16"/>
              </w:rPr>
              <w:t>-</w:t>
            </w:r>
          </w:p>
        </w:tc>
      </w:tr>
      <w:tr w:rsidR="00A93E64" w:rsidRPr="008D4F63" w14:paraId="42A9C5D7" w14:textId="77777777" w:rsidTr="00C471CA">
        <w:trPr>
          <w:trHeight w:val="204"/>
        </w:trPr>
        <w:tc>
          <w:tcPr>
            <w:tcW w:w="2977" w:type="dxa"/>
            <w:tcBorders>
              <w:top w:val="nil"/>
              <w:left w:val="nil"/>
              <w:bottom w:val="nil"/>
              <w:right w:val="nil"/>
            </w:tcBorders>
            <w:shd w:val="clear" w:color="auto" w:fill="auto"/>
            <w:noWrap/>
          </w:tcPr>
          <w:p w14:paraId="05849105" w14:textId="3D0FFAA6" w:rsidR="00A93E64" w:rsidRPr="00A9622F" w:rsidRDefault="00A93E64" w:rsidP="00A93E64">
            <w:pPr>
              <w:spacing w:after="0" w:line="240" w:lineRule="auto"/>
              <w:ind w:left="227"/>
              <w:jc w:val="left"/>
              <w:rPr>
                <w:rFonts w:ascii="Arial" w:hAnsi="Arial" w:cs="Arial"/>
                <w:bCs/>
                <w:color w:val="000000"/>
                <w:sz w:val="16"/>
                <w:szCs w:val="16"/>
              </w:rPr>
            </w:pPr>
            <w:r w:rsidRPr="00A93E64">
              <w:rPr>
                <w:rFonts w:ascii="Arial" w:hAnsi="Arial" w:cs="Arial"/>
                <w:b/>
                <w:bCs/>
                <w:color w:val="000000"/>
                <w:sz w:val="16"/>
                <w:szCs w:val="16"/>
              </w:rPr>
              <w:t>Other varia</w:t>
            </w:r>
            <w:r>
              <w:rPr>
                <w:rFonts w:ascii="Arial" w:hAnsi="Arial" w:cs="Arial"/>
                <w:b/>
                <w:bCs/>
                <w:color w:val="000000"/>
                <w:sz w:val="16"/>
                <w:szCs w:val="16"/>
              </w:rPr>
              <w:t>tions</w:t>
            </w:r>
          </w:p>
        </w:tc>
        <w:tc>
          <w:tcPr>
            <w:tcW w:w="866" w:type="dxa"/>
            <w:tcBorders>
              <w:top w:val="nil"/>
              <w:left w:val="nil"/>
              <w:bottom w:val="nil"/>
              <w:right w:val="nil"/>
            </w:tcBorders>
            <w:shd w:val="clear" w:color="auto" w:fill="auto"/>
            <w:noWrap/>
            <w:vAlign w:val="bottom"/>
          </w:tcPr>
          <w:p w14:paraId="49BC1B1F" w14:textId="77777777" w:rsidR="00A93E64" w:rsidRPr="00C969CA" w:rsidRDefault="00A93E64" w:rsidP="00A93E64">
            <w:pPr>
              <w:spacing w:after="0" w:line="240" w:lineRule="auto"/>
              <w:jc w:val="center"/>
              <w:rPr>
                <w:rFonts w:ascii="Arial" w:hAnsi="Arial" w:cs="Arial"/>
                <w:color w:val="000000"/>
                <w:sz w:val="16"/>
                <w:szCs w:val="16"/>
              </w:rPr>
            </w:pPr>
          </w:p>
        </w:tc>
        <w:tc>
          <w:tcPr>
            <w:tcW w:w="977" w:type="dxa"/>
            <w:tcBorders>
              <w:top w:val="nil"/>
              <w:left w:val="nil"/>
              <w:bottom w:val="nil"/>
              <w:right w:val="nil"/>
            </w:tcBorders>
            <w:shd w:val="clear" w:color="000000" w:fill="E6E6E6"/>
            <w:noWrap/>
            <w:vAlign w:val="bottom"/>
          </w:tcPr>
          <w:p w14:paraId="506957D7" w14:textId="77777777" w:rsidR="00A93E64" w:rsidRPr="00C969CA" w:rsidRDefault="00A93E64" w:rsidP="00A93E64">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tcPr>
          <w:p w14:paraId="745BBC4D" w14:textId="77777777" w:rsidR="00A93E64" w:rsidRPr="00C969CA" w:rsidRDefault="00A93E64" w:rsidP="00A93E64">
            <w:pPr>
              <w:spacing w:after="0" w:line="240" w:lineRule="auto"/>
              <w:jc w:val="right"/>
              <w:rPr>
                <w:rFonts w:ascii="Arial" w:hAnsi="Arial" w:cs="Arial"/>
                <w:color w:val="000000"/>
                <w:sz w:val="16"/>
                <w:szCs w:val="16"/>
              </w:rPr>
            </w:pPr>
          </w:p>
        </w:tc>
        <w:tc>
          <w:tcPr>
            <w:tcW w:w="963" w:type="dxa"/>
            <w:tcBorders>
              <w:top w:val="nil"/>
              <w:left w:val="nil"/>
              <w:bottom w:val="nil"/>
              <w:right w:val="nil"/>
            </w:tcBorders>
            <w:shd w:val="clear" w:color="auto" w:fill="auto"/>
            <w:noWrap/>
            <w:vAlign w:val="bottom"/>
          </w:tcPr>
          <w:p w14:paraId="7E53D712" w14:textId="77777777" w:rsidR="00A93E64" w:rsidRPr="00C969CA" w:rsidRDefault="00A93E64" w:rsidP="00A93E64">
            <w:pPr>
              <w:spacing w:after="0" w:line="240" w:lineRule="auto"/>
              <w:jc w:val="right"/>
              <w:rPr>
                <w:rFonts w:ascii="Arial" w:hAnsi="Arial" w:cs="Arial"/>
                <w:color w:val="000000"/>
                <w:sz w:val="16"/>
                <w:szCs w:val="16"/>
              </w:rPr>
            </w:pPr>
          </w:p>
        </w:tc>
        <w:tc>
          <w:tcPr>
            <w:tcW w:w="959" w:type="dxa"/>
            <w:tcBorders>
              <w:top w:val="nil"/>
              <w:left w:val="nil"/>
              <w:bottom w:val="nil"/>
              <w:right w:val="nil"/>
            </w:tcBorders>
            <w:shd w:val="clear" w:color="auto" w:fill="auto"/>
            <w:noWrap/>
            <w:vAlign w:val="bottom"/>
          </w:tcPr>
          <w:p w14:paraId="716ECC8A" w14:textId="77777777" w:rsidR="00A93E64" w:rsidRPr="00C969CA" w:rsidRDefault="00A93E64" w:rsidP="00A93E64">
            <w:pPr>
              <w:spacing w:after="0" w:line="240" w:lineRule="auto"/>
              <w:jc w:val="right"/>
              <w:rPr>
                <w:rFonts w:ascii="Arial" w:hAnsi="Arial" w:cs="Arial"/>
                <w:color w:val="000000"/>
                <w:sz w:val="16"/>
                <w:szCs w:val="16"/>
              </w:rPr>
            </w:pPr>
          </w:p>
        </w:tc>
      </w:tr>
      <w:tr w:rsidR="00A93E64" w:rsidRPr="008D4F63" w14:paraId="4DC12B28" w14:textId="77777777" w:rsidTr="00C471CA">
        <w:trPr>
          <w:trHeight w:val="204"/>
        </w:trPr>
        <w:tc>
          <w:tcPr>
            <w:tcW w:w="2977" w:type="dxa"/>
            <w:tcBorders>
              <w:top w:val="nil"/>
              <w:left w:val="nil"/>
              <w:bottom w:val="nil"/>
              <w:right w:val="nil"/>
            </w:tcBorders>
            <w:shd w:val="clear" w:color="auto" w:fill="auto"/>
            <w:noWrap/>
          </w:tcPr>
          <w:p w14:paraId="555E8DDC" w14:textId="290F92AA" w:rsidR="00A93E64" w:rsidRPr="00F865FA" w:rsidRDefault="00A93E64" w:rsidP="00A93E64">
            <w:pPr>
              <w:spacing w:after="0" w:line="240" w:lineRule="auto"/>
              <w:ind w:left="227"/>
              <w:jc w:val="left"/>
              <w:rPr>
                <w:rFonts w:ascii="Arial" w:hAnsi="Arial" w:cs="Arial"/>
                <w:bCs/>
                <w:color w:val="000000"/>
                <w:sz w:val="16"/>
                <w:szCs w:val="16"/>
              </w:rPr>
            </w:pPr>
            <w:r w:rsidRPr="00F865FA">
              <w:rPr>
                <w:rFonts w:ascii="Arial" w:hAnsi="Arial" w:cs="Arial"/>
                <w:bCs/>
                <w:sz w:val="16"/>
                <w:szCs w:val="16"/>
              </w:rPr>
              <w:t>Changes in Parameters</w:t>
            </w:r>
          </w:p>
        </w:tc>
        <w:tc>
          <w:tcPr>
            <w:tcW w:w="866" w:type="dxa"/>
            <w:tcBorders>
              <w:top w:val="nil"/>
              <w:left w:val="nil"/>
              <w:bottom w:val="nil"/>
              <w:right w:val="nil"/>
            </w:tcBorders>
            <w:shd w:val="clear" w:color="auto" w:fill="auto"/>
            <w:noWrap/>
            <w:vAlign w:val="bottom"/>
          </w:tcPr>
          <w:p w14:paraId="27750B10" w14:textId="40A2A408" w:rsidR="00A93E64" w:rsidRPr="00C969CA" w:rsidRDefault="00A93E64" w:rsidP="00A93E64">
            <w:pPr>
              <w:spacing w:after="0" w:line="240" w:lineRule="auto"/>
              <w:jc w:val="center"/>
              <w:rPr>
                <w:rFonts w:ascii="Arial" w:hAnsi="Arial" w:cs="Arial"/>
                <w:color w:val="000000"/>
                <w:sz w:val="16"/>
                <w:szCs w:val="16"/>
              </w:rPr>
            </w:pPr>
            <w:r>
              <w:rPr>
                <w:rFonts w:ascii="Arial" w:hAnsi="Arial" w:cs="Arial"/>
                <w:color w:val="000000"/>
                <w:sz w:val="16"/>
                <w:szCs w:val="16"/>
              </w:rPr>
              <w:t>ALL</w:t>
            </w:r>
          </w:p>
        </w:tc>
        <w:tc>
          <w:tcPr>
            <w:tcW w:w="977" w:type="dxa"/>
            <w:tcBorders>
              <w:top w:val="nil"/>
              <w:left w:val="nil"/>
              <w:bottom w:val="nil"/>
              <w:right w:val="nil"/>
            </w:tcBorders>
            <w:shd w:val="clear" w:color="000000" w:fill="E6E6E6"/>
            <w:noWrap/>
            <w:vAlign w:val="bottom"/>
          </w:tcPr>
          <w:p w14:paraId="50362BFE" w14:textId="78E5C848" w:rsidR="00A93E64" w:rsidRPr="00C969CA" w:rsidRDefault="00A93E64" w:rsidP="00A93E64">
            <w:pPr>
              <w:spacing w:after="0" w:line="240" w:lineRule="auto"/>
              <w:jc w:val="right"/>
              <w:rPr>
                <w:rFonts w:ascii="Arial" w:hAnsi="Arial" w:cs="Arial"/>
                <w:sz w:val="16"/>
                <w:szCs w:val="16"/>
              </w:rPr>
            </w:pPr>
            <w:r>
              <w:rPr>
                <w:rFonts w:ascii="Arial" w:hAnsi="Arial" w:cs="Arial"/>
                <w:sz w:val="16"/>
                <w:szCs w:val="16"/>
              </w:rPr>
              <w:t>-</w:t>
            </w:r>
          </w:p>
        </w:tc>
        <w:tc>
          <w:tcPr>
            <w:tcW w:w="968" w:type="dxa"/>
            <w:tcBorders>
              <w:top w:val="nil"/>
              <w:left w:val="nil"/>
              <w:bottom w:val="nil"/>
              <w:right w:val="nil"/>
            </w:tcBorders>
            <w:shd w:val="clear" w:color="auto" w:fill="auto"/>
            <w:noWrap/>
            <w:vAlign w:val="bottom"/>
          </w:tcPr>
          <w:p w14:paraId="49429E8B" w14:textId="2F483ED8" w:rsidR="00A93E64" w:rsidRPr="00C969CA" w:rsidRDefault="00120788" w:rsidP="00A93E64">
            <w:pPr>
              <w:spacing w:after="0" w:line="240" w:lineRule="auto"/>
              <w:jc w:val="right"/>
              <w:rPr>
                <w:rFonts w:ascii="Arial" w:hAnsi="Arial" w:cs="Arial"/>
                <w:color w:val="000000"/>
                <w:sz w:val="16"/>
                <w:szCs w:val="16"/>
              </w:rPr>
            </w:pPr>
            <w:r>
              <w:rPr>
                <w:rFonts w:ascii="Arial" w:hAnsi="Arial" w:cs="Arial"/>
                <w:color w:val="000000"/>
                <w:sz w:val="16"/>
                <w:szCs w:val="16"/>
              </w:rPr>
              <w:t>21</w:t>
            </w:r>
          </w:p>
        </w:tc>
        <w:tc>
          <w:tcPr>
            <w:tcW w:w="963" w:type="dxa"/>
            <w:tcBorders>
              <w:top w:val="nil"/>
              <w:left w:val="nil"/>
              <w:bottom w:val="nil"/>
              <w:right w:val="nil"/>
            </w:tcBorders>
            <w:shd w:val="clear" w:color="auto" w:fill="auto"/>
            <w:noWrap/>
            <w:vAlign w:val="bottom"/>
          </w:tcPr>
          <w:p w14:paraId="1BC90A39" w14:textId="50BC3337" w:rsidR="00A93E64" w:rsidRPr="00C969CA" w:rsidRDefault="00A93E64" w:rsidP="00120788">
            <w:pPr>
              <w:spacing w:after="0" w:line="240" w:lineRule="auto"/>
              <w:jc w:val="right"/>
              <w:rPr>
                <w:rFonts w:ascii="Arial" w:hAnsi="Arial" w:cs="Arial"/>
                <w:color w:val="000000"/>
                <w:sz w:val="16"/>
                <w:szCs w:val="16"/>
              </w:rPr>
            </w:pPr>
            <w:r>
              <w:rPr>
                <w:rFonts w:ascii="Arial" w:hAnsi="Arial" w:cs="Arial"/>
                <w:color w:val="000000"/>
                <w:sz w:val="16"/>
                <w:szCs w:val="16"/>
              </w:rPr>
              <w:t>6</w:t>
            </w:r>
            <w:r w:rsidR="00120788">
              <w:rPr>
                <w:rFonts w:ascii="Arial" w:hAnsi="Arial" w:cs="Arial"/>
                <w:color w:val="000000"/>
                <w:sz w:val="16"/>
                <w:szCs w:val="16"/>
              </w:rPr>
              <w:t>5</w:t>
            </w:r>
          </w:p>
        </w:tc>
        <w:tc>
          <w:tcPr>
            <w:tcW w:w="959" w:type="dxa"/>
            <w:tcBorders>
              <w:top w:val="nil"/>
              <w:left w:val="nil"/>
              <w:bottom w:val="nil"/>
              <w:right w:val="nil"/>
            </w:tcBorders>
            <w:shd w:val="clear" w:color="auto" w:fill="auto"/>
            <w:noWrap/>
            <w:vAlign w:val="bottom"/>
          </w:tcPr>
          <w:p w14:paraId="0A99EA60" w14:textId="20B2F962" w:rsidR="00A93E64" w:rsidRPr="00C969CA" w:rsidRDefault="00120788" w:rsidP="00120788">
            <w:pPr>
              <w:spacing w:after="0" w:line="240" w:lineRule="auto"/>
              <w:jc w:val="right"/>
              <w:rPr>
                <w:rFonts w:ascii="Arial" w:hAnsi="Arial" w:cs="Arial"/>
                <w:color w:val="000000"/>
                <w:sz w:val="16"/>
                <w:szCs w:val="16"/>
              </w:rPr>
            </w:pPr>
            <w:r>
              <w:rPr>
                <w:rFonts w:ascii="Arial" w:hAnsi="Arial" w:cs="Arial"/>
                <w:color w:val="000000"/>
                <w:sz w:val="16"/>
                <w:szCs w:val="16"/>
              </w:rPr>
              <w:t>112</w:t>
            </w:r>
          </w:p>
        </w:tc>
      </w:tr>
      <w:tr w:rsidR="001825D7" w:rsidRPr="008D4F63" w14:paraId="1D46D907" w14:textId="77777777" w:rsidTr="00C471CA">
        <w:trPr>
          <w:trHeight w:val="204"/>
        </w:trPr>
        <w:tc>
          <w:tcPr>
            <w:tcW w:w="2977" w:type="dxa"/>
            <w:tcBorders>
              <w:top w:val="nil"/>
              <w:left w:val="nil"/>
              <w:bottom w:val="nil"/>
              <w:right w:val="nil"/>
            </w:tcBorders>
            <w:shd w:val="clear" w:color="auto" w:fill="auto"/>
            <w:hideMark/>
          </w:tcPr>
          <w:p w14:paraId="7B1B68B1" w14:textId="3A7B9BE7" w:rsidR="001825D7" w:rsidRPr="008D4F63" w:rsidRDefault="001825D7" w:rsidP="001825D7">
            <w:pPr>
              <w:spacing w:after="0" w:line="240" w:lineRule="auto"/>
              <w:jc w:val="left"/>
              <w:rPr>
                <w:rFonts w:ascii="Arial" w:hAnsi="Arial" w:cs="Arial"/>
                <w:b/>
                <w:bCs/>
                <w:color w:val="000000"/>
                <w:sz w:val="16"/>
                <w:szCs w:val="16"/>
              </w:rPr>
            </w:pPr>
            <w:r w:rsidRPr="008D4F63">
              <w:rPr>
                <w:rFonts w:ascii="Arial" w:hAnsi="Arial" w:cs="Arial"/>
                <w:b/>
                <w:bCs/>
                <w:color w:val="000000"/>
                <w:sz w:val="16"/>
                <w:szCs w:val="16"/>
              </w:rPr>
              <w:t>Ne</w:t>
            </w:r>
            <w:r>
              <w:rPr>
                <w:rFonts w:ascii="Arial" w:hAnsi="Arial" w:cs="Arial"/>
                <w:b/>
                <w:bCs/>
                <w:color w:val="000000"/>
                <w:sz w:val="16"/>
                <w:szCs w:val="16"/>
              </w:rPr>
              <w:t>t impact on appropriations for</w:t>
            </w:r>
            <w:r w:rsidRPr="008D4F63">
              <w:rPr>
                <w:rFonts w:ascii="Arial" w:hAnsi="Arial" w:cs="Arial"/>
                <w:b/>
                <w:bCs/>
                <w:color w:val="000000"/>
                <w:sz w:val="16"/>
                <w:szCs w:val="16"/>
              </w:rPr>
              <w:t xml:space="preserve"> Outcome 1 (</w:t>
            </w:r>
            <w:r w:rsidR="008863D9">
              <w:rPr>
                <w:rFonts w:ascii="Arial" w:hAnsi="Arial" w:cs="Arial"/>
                <w:b/>
                <w:bCs/>
                <w:color w:val="000000"/>
                <w:sz w:val="16"/>
                <w:szCs w:val="16"/>
              </w:rPr>
              <w:t>Department</w:t>
            </w:r>
            <w:r w:rsidRPr="008D4F63">
              <w:rPr>
                <w:rFonts w:ascii="Arial" w:hAnsi="Arial" w:cs="Arial"/>
                <w:b/>
                <w:bCs/>
                <w:color w:val="000000"/>
                <w:sz w:val="16"/>
                <w:szCs w:val="16"/>
              </w:rPr>
              <w:t>al)</w:t>
            </w:r>
          </w:p>
        </w:tc>
        <w:tc>
          <w:tcPr>
            <w:tcW w:w="866" w:type="dxa"/>
            <w:tcBorders>
              <w:top w:val="nil"/>
              <w:left w:val="nil"/>
              <w:bottom w:val="nil"/>
              <w:right w:val="nil"/>
            </w:tcBorders>
            <w:shd w:val="clear" w:color="auto" w:fill="auto"/>
            <w:noWrap/>
            <w:vAlign w:val="bottom"/>
            <w:hideMark/>
          </w:tcPr>
          <w:p w14:paraId="658C4582" w14:textId="77777777" w:rsidR="001825D7" w:rsidRPr="00C969CA" w:rsidRDefault="001825D7" w:rsidP="001825D7">
            <w:pPr>
              <w:spacing w:after="0" w:line="240" w:lineRule="auto"/>
              <w:jc w:val="right"/>
              <w:rPr>
                <w:rFonts w:ascii="Arial" w:hAnsi="Arial" w:cs="Arial"/>
                <w:b/>
                <w:bCs/>
                <w:color w:val="000000"/>
                <w:sz w:val="16"/>
                <w:szCs w:val="16"/>
              </w:rPr>
            </w:pPr>
          </w:p>
        </w:tc>
        <w:tc>
          <w:tcPr>
            <w:tcW w:w="977" w:type="dxa"/>
            <w:tcBorders>
              <w:top w:val="single" w:sz="4" w:space="0" w:color="auto"/>
              <w:left w:val="nil"/>
              <w:bottom w:val="single" w:sz="4" w:space="0" w:color="auto"/>
              <w:right w:val="nil"/>
            </w:tcBorders>
            <w:shd w:val="clear" w:color="000000" w:fill="E6E6E6"/>
            <w:noWrap/>
            <w:vAlign w:val="bottom"/>
            <w:hideMark/>
          </w:tcPr>
          <w:p w14:paraId="51538C21" w14:textId="77777777" w:rsidR="001825D7" w:rsidRPr="00C969CA" w:rsidRDefault="001825D7" w:rsidP="001825D7">
            <w:pPr>
              <w:spacing w:after="0" w:line="240" w:lineRule="auto"/>
              <w:jc w:val="right"/>
              <w:rPr>
                <w:rFonts w:ascii="Arial" w:hAnsi="Arial" w:cs="Arial"/>
                <w:b/>
                <w:bCs/>
                <w:sz w:val="16"/>
                <w:szCs w:val="16"/>
              </w:rPr>
            </w:pPr>
            <w:r w:rsidRPr="00C969CA">
              <w:rPr>
                <w:rFonts w:ascii="Arial" w:hAnsi="Arial" w:cs="Arial"/>
                <w:b/>
                <w:bCs/>
                <w:sz w:val="16"/>
                <w:szCs w:val="16"/>
              </w:rPr>
              <w:t>3,500</w:t>
            </w:r>
          </w:p>
        </w:tc>
        <w:tc>
          <w:tcPr>
            <w:tcW w:w="968" w:type="dxa"/>
            <w:tcBorders>
              <w:top w:val="single" w:sz="4" w:space="0" w:color="auto"/>
              <w:left w:val="nil"/>
              <w:bottom w:val="single" w:sz="4" w:space="0" w:color="auto"/>
              <w:right w:val="nil"/>
            </w:tcBorders>
            <w:shd w:val="clear" w:color="auto" w:fill="auto"/>
            <w:noWrap/>
            <w:vAlign w:val="bottom"/>
            <w:hideMark/>
          </w:tcPr>
          <w:p w14:paraId="0D33AA27" w14:textId="1E5510DB" w:rsidR="001825D7" w:rsidRPr="00C969CA" w:rsidRDefault="00120788" w:rsidP="001825D7">
            <w:pPr>
              <w:spacing w:after="0" w:line="240" w:lineRule="auto"/>
              <w:jc w:val="right"/>
              <w:rPr>
                <w:rFonts w:ascii="Arial" w:hAnsi="Arial" w:cs="Arial"/>
                <w:b/>
                <w:bCs/>
                <w:color w:val="000000"/>
                <w:sz w:val="16"/>
                <w:szCs w:val="16"/>
              </w:rPr>
            </w:pPr>
            <w:r>
              <w:rPr>
                <w:rFonts w:ascii="Arial" w:hAnsi="Arial" w:cs="Arial"/>
                <w:b/>
                <w:bCs/>
                <w:color w:val="000000"/>
                <w:sz w:val="16"/>
                <w:szCs w:val="16"/>
              </w:rPr>
              <w:t>21</w:t>
            </w:r>
          </w:p>
        </w:tc>
        <w:tc>
          <w:tcPr>
            <w:tcW w:w="963" w:type="dxa"/>
            <w:tcBorders>
              <w:top w:val="single" w:sz="4" w:space="0" w:color="auto"/>
              <w:left w:val="nil"/>
              <w:bottom w:val="single" w:sz="4" w:space="0" w:color="auto"/>
              <w:right w:val="nil"/>
            </w:tcBorders>
            <w:shd w:val="clear" w:color="auto" w:fill="auto"/>
            <w:noWrap/>
            <w:vAlign w:val="bottom"/>
            <w:hideMark/>
          </w:tcPr>
          <w:p w14:paraId="12135DAE" w14:textId="7272336D" w:rsidR="001825D7" w:rsidRPr="00C969CA" w:rsidRDefault="00A93E64" w:rsidP="00120788">
            <w:pPr>
              <w:spacing w:after="0" w:line="240" w:lineRule="auto"/>
              <w:jc w:val="right"/>
              <w:rPr>
                <w:rFonts w:ascii="Arial" w:hAnsi="Arial" w:cs="Arial"/>
                <w:b/>
                <w:bCs/>
                <w:color w:val="000000"/>
                <w:sz w:val="16"/>
                <w:szCs w:val="16"/>
              </w:rPr>
            </w:pPr>
            <w:r>
              <w:rPr>
                <w:rFonts w:ascii="Arial" w:hAnsi="Arial" w:cs="Arial"/>
                <w:b/>
                <w:bCs/>
                <w:color w:val="000000"/>
                <w:sz w:val="16"/>
                <w:szCs w:val="16"/>
              </w:rPr>
              <w:t>6</w:t>
            </w:r>
            <w:r w:rsidR="00120788">
              <w:rPr>
                <w:rFonts w:ascii="Arial" w:hAnsi="Arial" w:cs="Arial"/>
                <w:b/>
                <w:bCs/>
                <w:color w:val="000000"/>
                <w:sz w:val="16"/>
                <w:szCs w:val="16"/>
              </w:rPr>
              <w:t>5</w:t>
            </w:r>
          </w:p>
        </w:tc>
        <w:tc>
          <w:tcPr>
            <w:tcW w:w="959" w:type="dxa"/>
            <w:tcBorders>
              <w:top w:val="single" w:sz="4" w:space="0" w:color="auto"/>
              <w:left w:val="nil"/>
              <w:bottom w:val="single" w:sz="4" w:space="0" w:color="auto"/>
              <w:right w:val="nil"/>
            </w:tcBorders>
            <w:shd w:val="clear" w:color="auto" w:fill="auto"/>
            <w:noWrap/>
            <w:vAlign w:val="bottom"/>
            <w:hideMark/>
          </w:tcPr>
          <w:p w14:paraId="0BFDA8F1" w14:textId="538F0387" w:rsidR="001825D7" w:rsidRPr="00C969CA" w:rsidRDefault="00A93E64" w:rsidP="00120788">
            <w:pPr>
              <w:spacing w:after="0" w:line="240" w:lineRule="auto"/>
              <w:jc w:val="right"/>
              <w:rPr>
                <w:rFonts w:ascii="Arial" w:hAnsi="Arial" w:cs="Arial"/>
                <w:b/>
                <w:bCs/>
                <w:color w:val="000000"/>
                <w:sz w:val="16"/>
                <w:szCs w:val="16"/>
              </w:rPr>
            </w:pPr>
            <w:r>
              <w:rPr>
                <w:rFonts w:ascii="Arial" w:hAnsi="Arial" w:cs="Arial"/>
                <w:b/>
                <w:bCs/>
                <w:color w:val="000000"/>
                <w:sz w:val="16"/>
                <w:szCs w:val="16"/>
              </w:rPr>
              <w:t>1</w:t>
            </w:r>
            <w:r w:rsidR="00120788">
              <w:rPr>
                <w:rFonts w:ascii="Arial" w:hAnsi="Arial" w:cs="Arial"/>
                <w:b/>
                <w:bCs/>
                <w:color w:val="000000"/>
                <w:sz w:val="16"/>
                <w:szCs w:val="16"/>
              </w:rPr>
              <w:t>12</w:t>
            </w:r>
          </w:p>
        </w:tc>
      </w:tr>
      <w:tr w:rsidR="001825D7" w:rsidRPr="008D4F63" w14:paraId="2E7F8DDF" w14:textId="77777777" w:rsidTr="00C471CA">
        <w:trPr>
          <w:trHeight w:val="204"/>
        </w:trPr>
        <w:tc>
          <w:tcPr>
            <w:tcW w:w="2977" w:type="dxa"/>
            <w:tcBorders>
              <w:top w:val="nil"/>
              <w:left w:val="nil"/>
              <w:bottom w:val="single" w:sz="4" w:space="0" w:color="auto"/>
              <w:right w:val="nil"/>
            </w:tcBorders>
            <w:shd w:val="clear" w:color="auto" w:fill="auto"/>
            <w:hideMark/>
          </w:tcPr>
          <w:p w14:paraId="4200B337" w14:textId="77777777" w:rsidR="001825D7" w:rsidRPr="008D4F63" w:rsidRDefault="001825D7" w:rsidP="001825D7">
            <w:pPr>
              <w:spacing w:after="0" w:line="240" w:lineRule="auto"/>
              <w:jc w:val="left"/>
              <w:rPr>
                <w:rFonts w:ascii="Arial" w:hAnsi="Arial" w:cs="Arial"/>
                <w:b/>
                <w:bCs/>
                <w:color w:val="000000"/>
                <w:sz w:val="16"/>
                <w:szCs w:val="16"/>
              </w:rPr>
            </w:pPr>
            <w:r w:rsidRPr="008D4F63">
              <w:rPr>
                <w:rFonts w:ascii="Arial" w:hAnsi="Arial" w:cs="Arial"/>
                <w:b/>
                <w:bCs/>
                <w:color w:val="000000"/>
                <w:sz w:val="16"/>
                <w:szCs w:val="16"/>
              </w:rPr>
              <w:t>Tot</w:t>
            </w:r>
            <w:r>
              <w:rPr>
                <w:rFonts w:ascii="Arial" w:hAnsi="Arial" w:cs="Arial"/>
                <w:b/>
                <w:bCs/>
                <w:color w:val="000000"/>
                <w:sz w:val="16"/>
                <w:szCs w:val="16"/>
              </w:rPr>
              <w:t>al net impact on appropriations</w:t>
            </w:r>
            <w:r w:rsidRPr="008D4F63">
              <w:rPr>
                <w:rFonts w:ascii="Arial" w:hAnsi="Arial" w:cs="Arial"/>
                <w:b/>
                <w:bCs/>
                <w:color w:val="000000"/>
                <w:sz w:val="16"/>
                <w:szCs w:val="16"/>
              </w:rPr>
              <w:t xml:space="preserve"> for Outcome 1</w:t>
            </w:r>
          </w:p>
        </w:tc>
        <w:tc>
          <w:tcPr>
            <w:tcW w:w="866" w:type="dxa"/>
            <w:tcBorders>
              <w:top w:val="nil"/>
              <w:left w:val="nil"/>
              <w:bottom w:val="single" w:sz="4" w:space="0" w:color="auto"/>
              <w:right w:val="nil"/>
            </w:tcBorders>
            <w:shd w:val="clear" w:color="auto" w:fill="auto"/>
            <w:noWrap/>
            <w:vAlign w:val="bottom"/>
            <w:hideMark/>
          </w:tcPr>
          <w:p w14:paraId="2FE81E5F" w14:textId="77777777" w:rsidR="001825D7" w:rsidRPr="00C969CA" w:rsidRDefault="001825D7" w:rsidP="001825D7">
            <w:pPr>
              <w:spacing w:after="0" w:line="240" w:lineRule="auto"/>
              <w:jc w:val="right"/>
              <w:rPr>
                <w:rFonts w:ascii="Arial" w:hAnsi="Arial" w:cs="Arial"/>
                <w:color w:val="000000"/>
                <w:sz w:val="16"/>
                <w:szCs w:val="16"/>
              </w:rPr>
            </w:pPr>
          </w:p>
        </w:tc>
        <w:tc>
          <w:tcPr>
            <w:tcW w:w="977" w:type="dxa"/>
            <w:tcBorders>
              <w:top w:val="nil"/>
              <w:left w:val="nil"/>
              <w:bottom w:val="single" w:sz="4" w:space="0" w:color="auto"/>
              <w:right w:val="nil"/>
            </w:tcBorders>
            <w:shd w:val="clear" w:color="000000" w:fill="E6E6E6"/>
            <w:noWrap/>
            <w:vAlign w:val="bottom"/>
            <w:hideMark/>
          </w:tcPr>
          <w:p w14:paraId="76E1F0BC" w14:textId="7BF7F691" w:rsidR="001825D7" w:rsidRPr="00C969CA" w:rsidRDefault="00120788" w:rsidP="001825D7">
            <w:pPr>
              <w:spacing w:after="0" w:line="240" w:lineRule="auto"/>
              <w:jc w:val="right"/>
              <w:rPr>
                <w:rFonts w:ascii="Arial" w:hAnsi="Arial" w:cs="Arial"/>
                <w:b/>
                <w:bCs/>
                <w:sz w:val="16"/>
                <w:szCs w:val="16"/>
              </w:rPr>
            </w:pPr>
            <w:r>
              <w:rPr>
                <w:rFonts w:ascii="Arial" w:hAnsi="Arial" w:cs="Arial"/>
                <w:b/>
                <w:bCs/>
                <w:sz w:val="16"/>
                <w:szCs w:val="16"/>
              </w:rPr>
              <w:t>4,894</w:t>
            </w:r>
          </w:p>
        </w:tc>
        <w:tc>
          <w:tcPr>
            <w:tcW w:w="968" w:type="dxa"/>
            <w:tcBorders>
              <w:top w:val="nil"/>
              <w:left w:val="nil"/>
              <w:bottom w:val="single" w:sz="4" w:space="0" w:color="auto"/>
              <w:right w:val="nil"/>
            </w:tcBorders>
            <w:shd w:val="clear" w:color="auto" w:fill="auto"/>
            <w:noWrap/>
            <w:vAlign w:val="bottom"/>
            <w:hideMark/>
          </w:tcPr>
          <w:p w14:paraId="54DD4E69" w14:textId="716CC231" w:rsidR="001825D7" w:rsidRPr="00C969CA" w:rsidRDefault="00120788" w:rsidP="001825D7">
            <w:pPr>
              <w:spacing w:after="0" w:line="240" w:lineRule="auto"/>
              <w:jc w:val="right"/>
              <w:rPr>
                <w:rFonts w:ascii="Arial" w:hAnsi="Arial" w:cs="Arial"/>
                <w:b/>
                <w:bCs/>
                <w:color w:val="000000"/>
                <w:sz w:val="16"/>
                <w:szCs w:val="16"/>
              </w:rPr>
            </w:pPr>
            <w:r>
              <w:rPr>
                <w:rFonts w:ascii="Arial" w:hAnsi="Arial" w:cs="Arial"/>
                <w:b/>
                <w:bCs/>
                <w:color w:val="000000"/>
                <w:sz w:val="16"/>
                <w:szCs w:val="16"/>
              </w:rPr>
              <w:t>83</w:t>
            </w:r>
          </w:p>
        </w:tc>
        <w:tc>
          <w:tcPr>
            <w:tcW w:w="963" w:type="dxa"/>
            <w:tcBorders>
              <w:top w:val="nil"/>
              <w:left w:val="nil"/>
              <w:bottom w:val="single" w:sz="4" w:space="0" w:color="auto"/>
              <w:right w:val="nil"/>
            </w:tcBorders>
            <w:shd w:val="clear" w:color="auto" w:fill="auto"/>
            <w:noWrap/>
            <w:vAlign w:val="bottom"/>
            <w:hideMark/>
          </w:tcPr>
          <w:p w14:paraId="4916048F" w14:textId="3CA9F7EF" w:rsidR="001825D7" w:rsidRPr="00C969CA" w:rsidRDefault="00120788" w:rsidP="001825D7">
            <w:pPr>
              <w:spacing w:after="0" w:line="240" w:lineRule="auto"/>
              <w:jc w:val="right"/>
              <w:rPr>
                <w:rFonts w:ascii="Arial" w:hAnsi="Arial" w:cs="Arial"/>
                <w:b/>
                <w:bCs/>
                <w:color w:val="000000"/>
                <w:sz w:val="16"/>
                <w:szCs w:val="16"/>
              </w:rPr>
            </w:pPr>
            <w:r>
              <w:rPr>
                <w:rFonts w:ascii="Arial" w:hAnsi="Arial" w:cs="Arial"/>
                <w:b/>
                <w:bCs/>
                <w:color w:val="000000"/>
                <w:sz w:val="16"/>
                <w:szCs w:val="16"/>
              </w:rPr>
              <w:t>257</w:t>
            </w:r>
          </w:p>
        </w:tc>
        <w:tc>
          <w:tcPr>
            <w:tcW w:w="959" w:type="dxa"/>
            <w:tcBorders>
              <w:top w:val="nil"/>
              <w:left w:val="nil"/>
              <w:bottom w:val="single" w:sz="4" w:space="0" w:color="auto"/>
              <w:right w:val="nil"/>
            </w:tcBorders>
            <w:shd w:val="clear" w:color="auto" w:fill="auto"/>
            <w:noWrap/>
            <w:vAlign w:val="bottom"/>
            <w:hideMark/>
          </w:tcPr>
          <w:p w14:paraId="6CB9C9CC" w14:textId="50A8ADFF" w:rsidR="001825D7" w:rsidRPr="00C969CA" w:rsidRDefault="00120788" w:rsidP="001825D7">
            <w:pPr>
              <w:spacing w:after="0" w:line="240" w:lineRule="auto"/>
              <w:jc w:val="right"/>
              <w:rPr>
                <w:rFonts w:ascii="Arial" w:hAnsi="Arial" w:cs="Arial"/>
                <w:b/>
                <w:bCs/>
                <w:color w:val="000000"/>
                <w:sz w:val="16"/>
                <w:szCs w:val="16"/>
              </w:rPr>
            </w:pPr>
            <w:r>
              <w:rPr>
                <w:rFonts w:ascii="Arial" w:hAnsi="Arial" w:cs="Arial"/>
                <w:b/>
                <w:bCs/>
                <w:color w:val="000000"/>
                <w:sz w:val="16"/>
                <w:szCs w:val="16"/>
              </w:rPr>
              <w:t>480</w:t>
            </w:r>
          </w:p>
        </w:tc>
      </w:tr>
    </w:tbl>
    <w:p w14:paraId="754B920E" w14:textId="63E457C2" w:rsidR="004D4091" w:rsidRPr="00E576E2" w:rsidRDefault="00C471CA" w:rsidP="00120788">
      <w:pPr>
        <w:spacing w:after="0" w:line="240" w:lineRule="auto"/>
        <w:ind w:left="284" w:hanging="284"/>
        <w:jc w:val="left"/>
        <w:rPr>
          <w:rFonts w:ascii="Arial" w:hAnsi="Arial" w:cs="Arial"/>
          <w:sz w:val="16"/>
          <w:szCs w:val="16"/>
        </w:rPr>
      </w:pPr>
      <w:r>
        <w:rPr>
          <w:rFonts w:ascii="Arial" w:hAnsi="Arial" w:cs="Arial"/>
          <w:sz w:val="16"/>
          <w:szCs w:val="16"/>
        </w:rPr>
        <w:t xml:space="preserve"> </w:t>
      </w:r>
      <w:r w:rsidR="00120788" w:rsidRPr="004958CA">
        <w:rPr>
          <w:rFonts w:ascii="Arial" w:hAnsi="Arial" w:cs="Arial"/>
          <w:sz w:val="16"/>
          <w:szCs w:val="16"/>
        </w:rPr>
        <w:t>(a)</w:t>
      </w:r>
      <w:r w:rsidR="00120788" w:rsidRPr="004958CA">
        <w:rPr>
          <w:rFonts w:ascii="Arial" w:hAnsi="Arial" w:cs="Arial"/>
          <w:sz w:val="16"/>
          <w:szCs w:val="16"/>
        </w:rPr>
        <w:tab/>
        <w:t xml:space="preserve">Movement of Funds from </w:t>
      </w:r>
      <w:r w:rsidR="00892C68" w:rsidRPr="004958CA">
        <w:rPr>
          <w:rFonts w:ascii="Arial" w:hAnsi="Arial" w:cs="Arial"/>
          <w:sz w:val="16"/>
          <w:szCs w:val="16"/>
        </w:rPr>
        <w:t xml:space="preserve">2020-21 into </w:t>
      </w:r>
      <w:r w:rsidR="00120788" w:rsidRPr="004958CA">
        <w:rPr>
          <w:rFonts w:ascii="Arial" w:hAnsi="Arial" w:cs="Arial"/>
          <w:sz w:val="16"/>
          <w:szCs w:val="16"/>
        </w:rPr>
        <w:t>202</w:t>
      </w:r>
      <w:r w:rsidRPr="004958CA">
        <w:rPr>
          <w:rFonts w:ascii="Arial" w:hAnsi="Arial" w:cs="Arial"/>
          <w:sz w:val="16"/>
          <w:szCs w:val="16"/>
        </w:rPr>
        <w:t>1-22</w:t>
      </w:r>
      <w:r w:rsidR="00120788" w:rsidRPr="004958CA">
        <w:rPr>
          <w:rFonts w:ascii="Arial" w:hAnsi="Arial" w:cs="Arial"/>
          <w:sz w:val="16"/>
          <w:szCs w:val="16"/>
        </w:rPr>
        <w:t>.</w:t>
      </w:r>
    </w:p>
    <w:p w14:paraId="709A4FD8" w14:textId="5AD7A47C" w:rsidR="00914885" w:rsidRPr="00564C0F" w:rsidRDefault="00914885" w:rsidP="00FB6A01">
      <w:pPr>
        <w:pStyle w:val="Heading3NCA"/>
      </w:pPr>
      <w:bookmarkStart w:id="438" w:name="_Toc92990185"/>
      <w:bookmarkStart w:id="439" w:name="_Toc92990476"/>
      <w:bookmarkStart w:id="440" w:name="_Toc93040844"/>
      <w:r>
        <w:rPr>
          <w:lang w:val="en-AU"/>
        </w:rPr>
        <w:lastRenderedPageBreak/>
        <w:t>1</w:t>
      </w:r>
      <w:r>
        <w:t>.</w:t>
      </w:r>
      <w:r>
        <w:rPr>
          <w:lang w:val="en-AU"/>
        </w:rPr>
        <w:t>5</w:t>
      </w:r>
      <w:r>
        <w:tab/>
      </w:r>
      <w:r w:rsidRPr="00564C0F">
        <w:t>Breakdown of additional estimates by appropriation bill</w:t>
      </w:r>
      <w:bookmarkEnd w:id="438"/>
      <w:bookmarkEnd w:id="439"/>
      <w:bookmarkEnd w:id="440"/>
    </w:p>
    <w:p w14:paraId="5E953B7F" w14:textId="77777777" w:rsidR="0004022C" w:rsidRPr="004718CD" w:rsidRDefault="0004022C" w:rsidP="00132649">
      <w:pPr>
        <w:jc w:val="left"/>
      </w:pPr>
      <w:r w:rsidRPr="004718CD">
        <w:t>The following tables detail the additional estimates sought for the NCA through Appropriation Bills Nos. 3 and 4.</w:t>
      </w:r>
    </w:p>
    <w:p w14:paraId="32C730E5" w14:textId="05D68005" w:rsidR="002C3E0F" w:rsidRDefault="00914885" w:rsidP="002C3E0F">
      <w:pPr>
        <w:pStyle w:val="TableHeading"/>
        <w:rPr>
          <w:lang w:val="en-AU"/>
        </w:rPr>
      </w:pPr>
      <w:r>
        <w:t>Table 1.</w:t>
      </w:r>
      <w:r>
        <w:rPr>
          <w:lang w:val="en-AU"/>
        </w:rPr>
        <w:t>4</w:t>
      </w:r>
      <w:r w:rsidRPr="00564C0F">
        <w:t xml:space="preserve">: Appropriation Bill (No. 3) </w:t>
      </w:r>
      <w:r>
        <w:rPr>
          <w:lang w:val="en-AU"/>
        </w:rPr>
        <w:t>2021-22</w:t>
      </w:r>
    </w:p>
    <w:tbl>
      <w:tblPr>
        <w:tblW w:w="7653" w:type="dxa"/>
        <w:tblLook w:val="04A0" w:firstRow="1" w:lastRow="0" w:firstColumn="1" w:lastColumn="0" w:noHBand="0" w:noVBand="1"/>
      </w:tblPr>
      <w:tblGrid>
        <w:gridCol w:w="2552"/>
        <w:gridCol w:w="1276"/>
        <w:gridCol w:w="993"/>
        <w:gridCol w:w="992"/>
        <w:gridCol w:w="920"/>
        <w:gridCol w:w="920"/>
      </w:tblGrid>
      <w:tr w:rsidR="009505A6" w:rsidRPr="009505A6" w14:paraId="137C88F0" w14:textId="77777777" w:rsidTr="004D4091">
        <w:trPr>
          <w:trHeight w:val="448"/>
        </w:trPr>
        <w:tc>
          <w:tcPr>
            <w:tcW w:w="2552" w:type="dxa"/>
            <w:tcBorders>
              <w:top w:val="single" w:sz="4" w:space="0" w:color="auto"/>
              <w:left w:val="nil"/>
              <w:bottom w:val="single" w:sz="4" w:space="0" w:color="auto"/>
              <w:right w:val="nil"/>
            </w:tcBorders>
            <w:shd w:val="clear" w:color="auto" w:fill="auto"/>
            <w:noWrap/>
            <w:hideMark/>
          </w:tcPr>
          <w:p w14:paraId="2F795B7A" w14:textId="77777777" w:rsidR="009505A6" w:rsidRPr="009505A6" w:rsidRDefault="009505A6" w:rsidP="009505A6">
            <w:pPr>
              <w:spacing w:after="0" w:line="240" w:lineRule="auto"/>
              <w:jc w:val="left"/>
              <w:rPr>
                <w:rFonts w:ascii="Arial" w:hAnsi="Arial" w:cs="Arial"/>
                <w:color w:val="000000"/>
                <w:sz w:val="16"/>
                <w:szCs w:val="16"/>
              </w:rPr>
            </w:pPr>
            <w:r w:rsidRPr="009505A6">
              <w:rPr>
                <w:rFonts w:ascii="Arial" w:hAnsi="Arial" w:cs="Arial"/>
                <w:color w:val="000000"/>
                <w:sz w:val="16"/>
                <w:szCs w:val="16"/>
              </w:rPr>
              <w:t> </w:t>
            </w:r>
          </w:p>
        </w:tc>
        <w:tc>
          <w:tcPr>
            <w:tcW w:w="1276" w:type="dxa"/>
            <w:tcBorders>
              <w:top w:val="single" w:sz="4" w:space="0" w:color="auto"/>
              <w:left w:val="nil"/>
              <w:bottom w:val="single" w:sz="4" w:space="0" w:color="auto"/>
              <w:right w:val="nil"/>
            </w:tcBorders>
            <w:shd w:val="clear" w:color="auto" w:fill="auto"/>
            <w:vAlign w:val="bottom"/>
            <w:hideMark/>
          </w:tcPr>
          <w:p w14:paraId="5DB71C41" w14:textId="77777777" w:rsidR="009505A6" w:rsidRPr="009505A6" w:rsidRDefault="009505A6" w:rsidP="009505A6">
            <w:pPr>
              <w:spacing w:after="0" w:line="240" w:lineRule="auto"/>
              <w:jc w:val="right"/>
              <w:rPr>
                <w:rFonts w:ascii="Arial" w:hAnsi="Arial" w:cs="Arial"/>
                <w:color w:val="000000"/>
                <w:sz w:val="16"/>
                <w:szCs w:val="16"/>
              </w:rPr>
            </w:pPr>
            <w:r w:rsidRPr="009505A6">
              <w:rPr>
                <w:rFonts w:ascii="Arial" w:hAnsi="Arial" w:cs="Arial"/>
                <w:color w:val="000000"/>
                <w:sz w:val="16"/>
                <w:szCs w:val="16"/>
              </w:rPr>
              <w:t>2020-21</w:t>
            </w:r>
            <w:r w:rsidRPr="009505A6">
              <w:rPr>
                <w:rFonts w:ascii="Arial" w:hAnsi="Arial" w:cs="Arial"/>
                <w:color w:val="000000"/>
                <w:sz w:val="16"/>
                <w:szCs w:val="16"/>
              </w:rPr>
              <w:br/>
              <w:t>Available</w:t>
            </w:r>
            <w:r w:rsidRPr="009505A6">
              <w:rPr>
                <w:rFonts w:ascii="Arial" w:hAnsi="Arial" w:cs="Arial"/>
                <w:color w:val="000000"/>
                <w:sz w:val="16"/>
                <w:szCs w:val="16"/>
              </w:rPr>
              <w:br/>
              <w:t>$'000</w:t>
            </w:r>
          </w:p>
        </w:tc>
        <w:tc>
          <w:tcPr>
            <w:tcW w:w="993" w:type="dxa"/>
            <w:tcBorders>
              <w:top w:val="single" w:sz="4" w:space="0" w:color="auto"/>
              <w:left w:val="nil"/>
              <w:bottom w:val="single" w:sz="4" w:space="0" w:color="auto"/>
              <w:right w:val="nil"/>
            </w:tcBorders>
            <w:shd w:val="clear" w:color="auto" w:fill="auto"/>
            <w:vAlign w:val="bottom"/>
            <w:hideMark/>
          </w:tcPr>
          <w:p w14:paraId="54C3C7A6" w14:textId="77777777" w:rsidR="009505A6" w:rsidRPr="009505A6" w:rsidRDefault="009505A6" w:rsidP="009505A6">
            <w:pPr>
              <w:spacing w:after="0" w:line="240" w:lineRule="auto"/>
              <w:jc w:val="right"/>
              <w:rPr>
                <w:rFonts w:ascii="Arial" w:hAnsi="Arial" w:cs="Arial"/>
                <w:color w:val="000000"/>
                <w:sz w:val="16"/>
                <w:szCs w:val="16"/>
              </w:rPr>
            </w:pPr>
            <w:r w:rsidRPr="009505A6">
              <w:rPr>
                <w:rFonts w:ascii="Arial" w:hAnsi="Arial" w:cs="Arial"/>
                <w:color w:val="000000"/>
                <w:sz w:val="16"/>
                <w:szCs w:val="16"/>
              </w:rPr>
              <w:t>2021-22</w:t>
            </w:r>
            <w:r w:rsidRPr="009505A6">
              <w:rPr>
                <w:rFonts w:ascii="Arial" w:hAnsi="Arial" w:cs="Arial"/>
                <w:color w:val="000000"/>
                <w:sz w:val="16"/>
                <w:szCs w:val="16"/>
              </w:rPr>
              <w:br/>
              <w:t>Budget</w:t>
            </w:r>
            <w:r w:rsidRPr="009505A6">
              <w:rPr>
                <w:rFonts w:ascii="Arial" w:hAnsi="Arial" w:cs="Arial"/>
                <w:color w:val="000000"/>
                <w:sz w:val="16"/>
                <w:szCs w:val="16"/>
              </w:rPr>
              <w:br/>
              <w:t>$'000</w:t>
            </w:r>
          </w:p>
        </w:tc>
        <w:tc>
          <w:tcPr>
            <w:tcW w:w="992" w:type="dxa"/>
            <w:tcBorders>
              <w:top w:val="single" w:sz="4" w:space="0" w:color="auto"/>
              <w:left w:val="nil"/>
              <w:bottom w:val="single" w:sz="4" w:space="0" w:color="auto"/>
              <w:right w:val="nil"/>
            </w:tcBorders>
            <w:shd w:val="clear" w:color="auto" w:fill="auto"/>
            <w:vAlign w:val="bottom"/>
            <w:hideMark/>
          </w:tcPr>
          <w:p w14:paraId="75CF0391" w14:textId="77777777" w:rsidR="009505A6" w:rsidRPr="009505A6" w:rsidRDefault="009505A6" w:rsidP="009505A6">
            <w:pPr>
              <w:spacing w:after="0" w:line="240" w:lineRule="auto"/>
              <w:jc w:val="right"/>
              <w:rPr>
                <w:rFonts w:ascii="Arial" w:hAnsi="Arial" w:cs="Arial"/>
                <w:color w:val="000000"/>
                <w:sz w:val="16"/>
                <w:szCs w:val="16"/>
              </w:rPr>
            </w:pPr>
            <w:r w:rsidRPr="009505A6">
              <w:rPr>
                <w:rFonts w:ascii="Arial" w:hAnsi="Arial" w:cs="Arial"/>
                <w:color w:val="000000"/>
                <w:sz w:val="16"/>
                <w:szCs w:val="16"/>
              </w:rPr>
              <w:t>2021-22</w:t>
            </w:r>
            <w:r w:rsidRPr="009505A6">
              <w:rPr>
                <w:rFonts w:ascii="Arial" w:hAnsi="Arial" w:cs="Arial"/>
                <w:color w:val="000000"/>
                <w:sz w:val="16"/>
                <w:szCs w:val="16"/>
              </w:rPr>
              <w:br/>
              <w:t>Revised</w:t>
            </w:r>
            <w:r w:rsidRPr="009505A6">
              <w:rPr>
                <w:rFonts w:ascii="Arial" w:hAnsi="Arial" w:cs="Arial"/>
                <w:color w:val="000000"/>
                <w:sz w:val="16"/>
                <w:szCs w:val="16"/>
              </w:rPr>
              <w:br/>
              <w:t>$'000</w:t>
            </w:r>
          </w:p>
        </w:tc>
        <w:tc>
          <w:tcPr>
            <w:tcW w:w="920" w:type="dxa"/>
            <w:tcBorders>
              <w:top w:val="single" w:sz="4" w:space="0" w:color="auto"/>
              <w:left w:val="nil"/>
              <w:bottom w:val="single" w:sz="4" w:space="0" w:color="auto"/>
              <w:right w:val="nil"/>
            </w:tcBorders>
            <w:shd w:val="clear" w:color="000000" w:fill="E6E6E6"/>
            <w:vAlign w:val="bottom"/>
            <w:hideMark/>
          </w:tcPr>
          <w:p w14:paraId="21C8D0D5" w14:textId="77777777" w:rsidR="009505A6" w:rsidRPr="009505A6" w:rsidRDefault="009505A6" w:rsidP="009505A6">
            <w:pPr>
              <w:spacing w:after="0" w:line="240" w:lineRule="auto"/>
              <w:jc w:val="right"/>
              <w:rPr>
                <w:rFonts w:ascii="Arial" w:hAnsi="Arial" w:cs="Arial"/>
                <w:color w:val="000000"/>
                <w:sz w:val="16"/>
                <w:szCs w:val="16"/>
              </w:rPr>
            </w:pPr>
            <w:r w:rsidRPr="009505A6">
              <w:rPr>
                <w:rFonts w:ascii="Arial" w:hAnsi="Arial" w:cs="Arial"/>
                <w:color w:val="000000"/>
                <w:sz w:val="16"/>
                <w:szCs w:val="16"/>
              </w:rPr>
              <w:t>Additional Estimates</w:t>
            </w:r>
            <w:r w:rsidRPr="009505A6">
              <w:rPr>
                <w:rFonts w:ascii="Arial" w:hAnsi="Arial" w:cs="Arial"/>
                <w:color w:val="000000"/>
                <w:sz w:val="16"/>
                <w:szCs w:val="16"/>
              </w:rPr>
              <w:br/>
              <w:t>$'000</w:t>
            </w:r>
          </w:p>
        </w:tc>
        <w:tc>
          <w:tcPr>
            <w:tcW w:w="920" w:type="dxa"/>
            <w:tcBorders>
              <w:top w:val="single" w:sz="4" w:space="0" w:color="auto"/>
              <w:left w:val="nil"/>
              <w:bottom w:val="single" w:sz="4" w:space="0" w:color="auto"/>
              <w:right w:val="nil"/>
            </w:tcBorders>
            <w:shd w:val="clear" w:color="000000" w:fill="E6E6E6"/>
            <w:vAlign w:val="bottom"/>
            <w:hideMark/>
          </w:tcPr>
          <w:p w14:paraId="3000384C" w14:textId="77777777" w:rsidR="009505A6" w:rsidRPr="009505A6" w:rsidRDefault="009505A6" w:rsidP="009505A6">
            <w:pPr>
              <w:spacing w:after="0" w:line="240" w:lineRule="auto"/>
              <w:jc w:val="right"/>
              <w:rPr>
                <w:rFonts w:ascii="Arial" w:hAnsi="Arial" w:cs="Arial"/>
                <w:color w:val="000000"/>
                <w:sz w:val="16"/>
                <w:szCs w:val="16"/>
              </w:rPr>
            </w:pPr>
            <w:r w:rsidRPr="009505A6">
              <w:rPr>
                <w:rFonts w:ascii="Arial" w:hAnsi="Arial" w:cs="Arial"/>
                <w:color w:val="000000"/>
                <w:sz w:val="16"/>
                <w:szCs w:val="16"/>
              </w:rPr>
              <w:t>Reduced Estimates</w:t>
            </w:r>
            <w:r w:rsidRPr="009505A6">
              <w:rPr>
                <w:rFonts w:ascii="Arial" w:hAnsi="Arial" w:cs="Arial"/>
                <w:color w:val="000000"/>
                <w:sz w:val="16"/>
                <w:szCs w:val="16"/>
              </w:rPr>
              <w:br/>
              <w:t>$'000</w:t>
            </w:r>
          </w:p>
        </w:tc>
      </w:tr>
      <w:tr w:rsidR="009505A6" w:rsidRPr="009505A6" w14:paraId="1E8537CF" w14:textId="77777777" w:rsidTr="004D4091">
        <w:trPr>
          <w:trHeight w:val="204"/>
        </w:trPr>
        <w:tc>
          <w:tcPr>
            <w:tcW w:w="2552" w:type="dxa"/>
            <w:tcBorders>
              <w:top w:val="single" w:sz="4" w:space="0" w:color="auto"/>
              <w:left w:val="nil"/>
              <w:bottom w:val="nil"/>
              <w:right w:val="nil"/>
            </w:tcBorders>
            <w:shd w:val="clear" w:color="auto" w:fill="auto"/>
            <w:hideMark/>
          </w:tcPr>
          <w:p w14:paraId="54CC0915" w14:textId="77777777" w:rsidR="009505A6" w:rsidRPr="009505A6" w:rsidRDefault="009505A6" w:rsidP="009505A6">
            <w:pPr>
              <w:spacing w:after="0" w:line="240" w:lineRule="auto"/>
              <w:jc w:val="left"/>
              <w:rPr>
                <w:rFonts w:ascii="Arial" w:hAnsi="Arial" w:cs="Arial"/>
                <w:b/>
                <w:bCs/>
                <w:color w:val="000000"/>
                <w:sz w:val="16"/>
                <w:szCs w:val="16"/>
              </w:rPr>
            </w:pPr>
            <w:r w:rsidRPr="009505A6">
              <w:rPr>
                <w:rFonts w:ascii="Arial" w:hAnsi="Arial" w:cs="Arial"/>
                <w:b/>
                <w:bCs/>
                <w:color w:val="000000"/>
                <w:sz w:val="16"/>
                <w:szCs w:val="16"/>
              </w:rPr>
              <w:t>Administered items</w:t>
            </w:r>
          </w:p>
        </w:tc>
        <w:tc>
          <w:tcPr>
            <w:tcW w:w="1276" w:type="dxa"/>
            <w:tcBorders>
              <w:top w:val="single" w:sz="4" w:space="0" w:color="auto"/>
              <w:left w:val="nil"/>
              <w:bottom w:val="nil"/>
              <w:right w:val="nil"/>
            </w:tcBorders>
            <w:shd w:val="clear" w:color="auto" w:fill="auto"/>
            <w:noWrap/>
            <w:vAlign w:val="bottom"/>
            <w:hideMark/>
          </w:tcPr>
          <w:p w14:paraId="32854CB6" w14:textId="77777777" w:rsidR="009505A6" w:rsidRPr="00546B48" w:rsidRDefault="009505A6" w:rsidP="009505A6">
            <w:pPr>
              <w:spacing w:after="0" w:line="240" w:lineRule="auto"/>
              <w:jc w:val="right"/>
              <w:rPr>
                <w:rFonts w:ascii="Arial" w:hAnsi="Arial" w:cs="Arial"/>
                <w:b/>
                <w:bCs/>
                <w:color w:val="000000"/>
                <w:sz w:val="16"/>
                <w:szCs w:val="16"/>
              </w:rPr>
            </w:pPr>
          </w:p>
        </w:tc>
        <w:tc>
          <w:tcPr>
            <w:tcW w:w="993" w:type="dxa"/>
            <w:tcBorders>
              <w:top w:val="single" w:sz="4" w:space="0" w:color="auto"/>
              <w:left w:val="nil"/>
              <w:bottom w:val="nil"/>
              <w:right w:val="nil"/>
            </w:tcBorders>
            <w:shd w:val="clear" w:color="auto" w:fill="auto"/>
            <w:noWrap/>
            <w:vAlign w:val="bottom"/>
            <w:hideMark/>
          </w:tcPr>
          <w:p w14:paraId="3EDCB30A" w14:textId="77777777" w:rsidR="009505A6" w:rsidRPr="00546B48" w:rsidRDefault="009505A6" w:rsidP="009505A6">
            <w:pPr>
              <w:spacing w:after="0" w:line="240" w:lineRule="auto"/>
              <w:jc w:val="right"/>
              <w:rPr>
                <w:rFonts w:ascii="Times New Roman" w:hAnsi="Times New Roman"/>
                <w:sz w:val="16"/>
                <w:szCs w:val="16"/>
              </w:rPr>
            </w:pPr>
          </w:p>
        </w:tc>
        <w:tc>
          <w:tcPr>
            <w:tcW w:w="992" w:type="dxa"/>
            <w:tcBorders>
              <w:top w:val="single" w:sz="4" w:space="0" w:color="auto"/>
              <w:left w:val="nil"/>
              <w:bottom w:val="nil"/>
              <w:right w:val="nil"/>
            </w:tcBorders>
            <w:shd w:val="clear" w:color="auto" w:fill="auto"/>
            <w:noWrap/>
            <w:vAlign w:val="bottom"/>
            <w:hideMark/>
          </w:tcPr>
          <w:p w14:paraId="33CD6711" w14:textId="77777777" w:rsidR="009505A6" w:rsidRPr="00546B48" w:rsidRDefault="009505A6" w:rsidP="009505A6">
            <w:pPr>
              <w:spacing w:after="0" w:line="240" w:lineRule="auto"/>
              <w:jc w:val="right"/>
              <w:rPr>
                <w:rFonts w:ascii="Times New Roman" w:hAnsi="Times New Roman"/>
                <w:sz w:val="16"/>
                <w:szCs w:val="16"/>
              </w:rPr>
            </w:pPr>
          </w:p>
        </w:tc>
        <w:tc>
          <w:tcPr>
            <w:tcW w:w="920" w:type="dxa"/>
            <w:tcBorders>
              <w:top w:val="single" w:sz="4" w:space="0" w:color="auto"/>
              <w:left w:val="nil"/>
              <w:bottom w:val="nil"/>
              <w:right w:val="nil"/>
            </w:tcBorders>
            <w:shd w:val="clear" w:color="000000" w:fill="E6E6E6"/>
            <w:noWrap/>
            <w:vAlign w:val="bottom"/>
            <w:hideMark/>
          </w:tcPr>
          <w:p w14:paraId="69F7C83F" w14:textId="195C88B8" w:rsidR="009505A6" w:rsidRPr="00546B48" w:rsidRDefault="009505A6" w:rsidP="009505A6">
            <w:pPr>
              <w:spacing w:after="0" w:line="240" w:lineRule="auto"/>
              <w:jc w:val="right"/>
              <w:rPr>
                <w:rFonts w:ascii="Arial" w:hAnsi="Arial" w:cs="Arial"/>
                <w:color w:val="000000"/>
                <w:sz w:val="16"/>
                <w:szCs w:val="16"/>
              </w:rPr>
            </w:pPr>
          </w:p>
        </w:tc>
        <w:tc>
          <w:tcPr>
            <w:tcW w:w="920" w:type="dxa"/>
            <w:tcBorders>
              <w:top w:val="single" w:sz="4" w:space="0" w:color="auto"/>
              <w:left w:val="nil"/>
            </w:tcBorders>
            <w:shd w:val="clear" w:color="000000" w:fill="E6E6E6"/>
            <w:noWrap/>
            <w:vAlign w:val="bottom"/>
            <w:hideMark/>
          </w:tcPr>
          <w:p w14:paraId="61CA0741" w14:textId="0DF5CC72" w:rsidR="009505A6" w:rsidRPr="00546B48" w:rsidRDefault="009505A6" w:rsidP="009505A6">
            <w:pPr>
              <w:spacing w:after="0" w:line="240" w:lineRule="auto"/>
              <w:jc w:val="right"/>
              <w:rPr>
                <w:rFonts w:ascii="Arial" w:hAnsi="Arial" w:cs="Arial"/>
                <w:color w:val="000000"/>
                <w:sz w:val="16"/>
                <w:szCs w:val="16"/>
              </w:rPr>
            </w:pPr>
          </w:p>
        </w:tc>
      </w:tr>
      <w:tr w:rsidR="009505A6" w:rsidRPr="009505A6" w14:paraId="38BFD287" w14:textId="77777777" w:rsidTr="004D4091">
        <w:trPr>
          <w:trHeight w:val="204"/>
        </w:trPr>
        <w:tc>
          <w:tcPr>
            <w:tcW w:w="2552" w:type="dxa"/>
            <w:tcBorders>
              <w:top w:val="nil"/>
              <w:left w:val="nil"/>
              <w:right w:val="nil"/>
            </w:tcBorders>
            <w:shd w:val="clear" w:color="auto" w:fill="auto"/>
            <w:hideMark/>
          </w:tcPr>
          <w:p w14:paraId="77BAC8F4" w14:textId="77777777" w:rsidR="009505A6" w:rsidRPr="009505A6" w:rsidRDefault="009505A6" w:rsidP="00C61E8F">
            <w:pPr>
              <w:spacing w:after="0" w:line="240" w:lineRule="auto"/>
              <w:ind w:left="113"/>
              <w:jc w:val="left"/>
              <w:rPr>
                <w:rFonts w:ascii="Arial" w:hAnsi="Arial" w:cs="Arial"/>
                <w:b/>
                <w:bCs/>
                <w:color w:val="000000"/>
                <w:sz w:val="16"/>
                <w:szCs w:val="16"/>
              </w:rPr>
            </w:pPr>
            <w:r w:rsidRPr="009505A6">
              <w:rPr>
                <w:rFonts w:ascii="Arial" w:hAnsi="Arial" w:cs="Arial"/>
                <w:b/>
                <w:bCs/>
                <w:color w:val="000000"/>
                <w:sz w:val="16"/>
                <w:szCs w:val="16"/>
              </w:rPr>
              <w:t>Outcome 1</w:t>
            </w:r>
          </w:p>
        </w:tc>
        <w:tc>
          <w:tcPr>
            <w:tcW w:w="1276" w:type="dxa"/>
            <w:tcBorders>
              <w:top w:val="nil"/>
              <w:left w:val="nil"/>
              <w:right w:val="nil"/>
            </w:tcBorders>
            <w:shd w:val="clear" w:color="auto" w:fill="auto"/>
            <w:noWrap/>
            <w:vAlign w:val="bottom"/>
            <w:hideMark/>
          </w:tcPr>
          <w:p w14:paraId="53BC20CA" w14:textId="77777777" w:rsidR="009505A6" w:rsidRPr="00546B48" w:rsidRDefault="009505A6" w:rsidP="009505A6">
            <w:pPr>
              <w:spacing w:after="0" w:line="240" w:lineRule="auto"/>
              <w:jc w:val="right"/>
              <w:rPr>
                <w:rFonts w:ascii="Arial" w:hAnsi="Arial" w:cs="Arial"/>
                <w:b/>
                <w:bCs/>
                <w:color w:val="000000"/>
                <w:sz w:val="16"/>
                <w:szCs w:val="16"/>
              </w:rPr>
            </w:pPr>
          </w:p>
        </w:tc>
        <w:tc>
          <w:tcPr>
            <w:tcW w:w="993" w:type="dxa"/>
            <w:tcBorders>
              <w:top w:val="nil"/>
              <w:left w:val="nil"/>
              <w:right w:val="nil"/>
            </w:tcBorders>
            <w:shd w:val="clear" w:color="auto" w:fill="auto"/>
            <w:noWrap/>
            <w:vAlign w:val="bottom"/>
            <w:hideMark/>
          </w:tcPr>
          <w:p w14:paraId="7342D1CD" w14:textId="77777777" w:rsidR="009505A6" w:rsidRPr="00546B48" w:rsidRDefault="009505A6" w:rsidP="009505A6">
            <w:pPr>
              <w:spacing w:after="0" w:line="240" w:lineRule="auto"/>
              <w:jc w:val="right"/>
              <w:rPr>
                <w:rFonts w:ascii="Times New Roman" w:hAnsi="Times New Roman"/>
                <w:sz w:val="16"/>
                <w:szCs w:val="16"/>
              </w:rPr>
            </w:pPr>
          </w:p>
        </w:tc>
        <w:tc>
          <w:tcPr>
            <w:tcW w:w="992" w:type="dxa"/>
            <w:tcBorders>
              <w:top w:val="nil"/>
              <w:left w:val="nil"/>
              <w:right w:val="nil"/>
            </w:tcBorders>
            <w:shd w:val="clear" w:color="auto" w:fill="auto"/>
            <w:noWrap/>
            <w:vAlign w:val="bottom"/>
            <w:hideMark/>
          </w:tcPr>
          <w:p w14:paraId="65779F4E" w14:textId="77777777" w:rsidR="009505A6" w:rsidRPr="00546B48" w:rsidRDefault="009505A6" w:rsidP="009505A6">
            <w:pPr>
              <w:spacing w:after="0" w:line="240" w:lineRule="auto"/>
              <w:jc w:val="right"/>
              <w:rPr>
                <w:rFonts w:ascii="Times New Roman" w:hAnsi="Times New Roman"/>
                <w:sz w:val="16"/>
                <w:szCs w:val="16"/>
              </w:rPr>
            </w:pPr>
          </w:p>
        </w:tc>
        <w:tc>
          <w:tcPr>
            <w:tcW w:w="920" w:type="dxa"/>
            <w:tcBorders>
              <w:top w:val="nil"/>
              <w:left w:val="nil"/>
              <w:right w:val="nil"/>
            </w:tcBorders>
            <w:shd w:val="clear" w:color="000000" w:fill="E6E6E6"/>
            <w:noWrap/>
            <w:vAlign w:val="bottom"/>
            <w:hideMark/>
          </w:tcPr>
          <w:p w14:paraId="39275AAA" w14:textId="29B0DD79" w:rsidR="009505A6" w:rsidRPr="00546B48" w:rsidRDefault="009505A6" w:rsidP="009505A6">
            <w:pPr>
              <w:spacing w:after="0" w:line="240" w:lineRule="auto"/>
              <w:jc w:val="right"/>
              <w:rPr>
                <w:rFonts w:ascii="Arial" w:hAnsi="Arial" w:cs="Arial"/>
                <w:color w:val="000000"/>
                <w:sz w:val="16"/>
                <w:szCs w:val="16"/>
              </w:rPr>
            </w:pPr>
          </w:p>
        </w:tc>
        <w:tc>
          <w:tcPr>
            <w:tcW w:w="920" w:type="dxa"/>
            <w:tcBorders>
              <w:top w:val="nil"/>
              <w:left w:val="nil"/>
            </w:tcBorders>
            <w:shd w:val="clear" w:color="000000" w:fill="E6E6E6"/>
            <w:noWrap/>
            <w:vAlign w:val="bottom"/>
            <w:hideMark/>
          </w:tcPr>
          <w:p w14:paraId="35CDF1BE" w14:textId="012D3D4F" w:rsidR="009505A6" w:rsidRPr="00546B48" w:rsidRDefault="009505A6" w:rsidP="009505A6">
            <w:pPr>
              <w:spacing w:after="0" w:line="240" w:lineRule="auto"/>
              <w:jc w:val="right"/>
              <w:rPr>
                <w:rFonts w:ascii="Arial" w:hAnsi="Arial" w:cs="Arial"/>
                <w:color w:val="000000"/>
                <w:sz w:val="16"/>
                <w:szCs w:val="16"/>
              </w:rPr>
            </w:pPr>
          </w:p>
        </w:tc>
      </w:tr>
      <w:tr w:rsidR="009505A6" w:rsidRPr="009505A6" w14:paraId="48A2EB1D" w14:textId="77777777" w:rsidTr="00AD3087">
        <w:trPr>
          <w:trHeight w:val="204"/>
        </w:trPr>
        <w:tc>
          <w:tcPr>
            <w:tcW w:w="2552" w:type="dxa"/>
            <w:tcBorders>
              <w:top w:val="nil"/>
              <w:left w:val="nil"/>
              <w:right w:val="nil"/>
            </w:tcBorders>
            <w:shd w:val="clear" w:color="auto" w:fill="auto"/>
            <w:hideMark/>
          </w:tcPr>
          <w:p w14:paraId="31FC49FA" w14:textId="77777777" w:rsidR="009505A6" w:rsidRPr="009505A6" w:rsidRDefault="009505A6" w:rsidP="00553851">
            <w:pPr>
              <w:spacing w:after="0" w:line="240" w:lineRule="auto"/>
              <w:ind w:left="113"/>
              <w:jc w:val="left"/>
              <w:rPr>
                <w:rFonts w:ascii="Arial" w:hAnsi="Arial" w:cs="Arial"/>
                <w:color w:val="000000"/>
                <w:sz w:val="16"/>
                <w:szCs w:val="16"/>
              </w:rPr>
            </w:pPr>
            <w:r w:rsidRPr="009505A6">
              <w:rPr>
                <w:rFonts w:ascii="Arial" w:hAnsi="Arial" w:cs="Arial"/>
                <w:color w:val="000000"/>
                <w:sz w:val="16"/>
                <w:szCs w:val="16"/>
              </w:rPr>
              <w:t>Manage the strategic planning, promotion and enhancement of Canberra as the National Capital for all Australians through the development and administration of the National Capital Plan, operation of the National Capital Exhibition, delivery of education and awareness programs and works to enhance the character of the National Capital</w:t>
            </w:r>
          </w:p>
        </w:tc>
        <w:tc>
          <w:tcPr>
            <w:tcW w:w="1276" w:type="dxa"/>
            <w:tcBorders>
              <w:top w:val="nil"/>
              <w:left w:val="nil"/>
              <w:bottom w:val="single" w:sz="4" w:space="0" w:color="auto"/>
              <w:right w:val="nil"/>
            </w:tcBorders>
            <w:shd w:val="clear" w:color="auto" w:fill="auto"/>
            <w:noWrap/>
            <w:vAlign w:val="bottom"/>
            <w:hideMark/>
          </w:tcPr>
          <w:p w14:paraId="36AED9DB" w14:textId="30F619AB" w:rsidR="009505A6" w:rsidRPr="00546B48" w:rsidRDefault="007B4B32" w:rsidP="009505A6">
            <w:pPr>
              <w:spacing w:after="0" w:line="240" w:lineRule="auto"/>
              <w:jc w:val="right"/>
              <w:rPr>
                <w:rFonts w:ascii="Arial" w:hAnsi="Arial" w:cs="Arial"/>
                <w:color w:val="000000"/>
                <w:sz w:val="16"/>
                <w:szCs w:val="16"/>
              </w:rPr>
            </w:pPr>
            <w:r>
              <w:rPr>
                <w:rFonts w:ascii="Arial" w:hAnsi="Arial" w:cs="Arial"/>
                <w:color w:val="000000"/>
                <w:sz w:val="16"/>
                <w:szCs w:val="16"/>
              </w:rPr>
              <w:t>34,568</w:t>
            </w:r>
          </w:p>
        </w:tc>
        <w:tc>
          <w:tcPr>
            <w:tcW w:w="993" w:type="dxa"/>
            <w:tcBorders>
              <w:top w:val="nil"/>
              <w:left w:val="nil"/>
              <w:bottom w:val="single" w:sz="4" w:space="0" w:color="auto"/>
              <w:right w:val="nil"/>
            </w:tcBorders>
            <w:shd w:val="clear" w:color="auto" w:fill="auto"/>
            <w:noWrap/>
            <w:vAlign w:val="bottom"/>
            <w:hideMark/>
          </w:tcPr>
          <w:p w14:paraId="6CE87ED2" w14:textId="7C56AFB7" w:rsidR="009505A6" w:rsidRPr="00546B48" w:rsidRDefault="008065EC" w:rsidP="009505A6">
            <w:pPr>
              <w:spacing w:after="0" w:line="240" w:lineRule="auto"/>
              <w:jc w:val="right"/>
              <w:rPr>
                <w:rFonts w:ascii="Arial" w:hAnsi="Arial" w:cs="Arial"/>
                <w:color w:val="000000"/>
                <w:sz w:val="16"/>
                <w:szCs w:val="16"/>
              </w:rPr>
            </w:pPr>
            <w:r w:rsidRPr="00546B48">
              <w:rPr>
                <w:rFonts w:ascii="Arial" w:hAnsi="Arial" w:cs="Arial"/>
                <w:color w:val="000000"/>
                <w:sz w:val="16"/>
                <w:szCs w:val="16"/>
              </w:rPr>
              <w:t>33,487</w:t>
            </w:r>
          </w:p>
        </w:tc>
        <w:tc>
          <w:tcPr>
            <w:tcW w:w="992" w:type="dxa"/>
            <w:tcBorders>
              <w:top w:val="nil"/>
              <w:left w:val="nil"/>
              <w:bottom w:val="single" w:sz="4" w:space="0" w:color="auto"/>
              <w:right w:val="nil"/>
            </w:tcBorders>
            <w:shd w:val="clear" w:color="auto" w:fill="auto"/>
            <w:noWrap/>
            <w:vAlign w:val="bottom"/>
            <w:hideMark/>
          </w:tcPr>
          <w:p w14:paraId="2E563D72" w14:textId="58D34BE7" w:rsidR="009505A6" w:rsidRPr="00546B48" w:rsidRDefault="007B4B32" w:rsidP="009505A6">
            <w:pPr>
              <w:spacing w:after="0" w:line="240" w:lineRule="auto"/>
              <w:jc w:val="right"/>
              <w:rPr>
                <w:rFonts w:ascii="Arial" w:hAnsi="Arial" w:cs="Arial"/>
                <w:color w:val="000000"/>
                <w:sz w:val="16"/>
                <w:szCs w:val="16"/>
              </w:rPr>
            </w:pPr>
            <w:r>
              <w:rPr>
                <w:rFonts w:ascii="Arial" w:hAnsi="Arial" w:cs="Arial"/>
                <w:color w:val="000000"/>
                <w:sz w:val="16"/>
                <w:szCs w:val="16"/>
              </w:rPr>
              <w:t>29,987</w:t>
            </w:r>
          </w:p>
        </w:tc>
        <w:tc>
          <w:tcPr>
            <w:tcW w:w="920" w:type="dxa"/>
            <w:tcBorders>
              <w:top w:val="nil"/>
              <w:left w:val="nil"/>
              <w:bottom w:val="single" w:sz="4" w:space="0" w:color="auto"/>
              <w:right w:val="nil"/>
            </w:tcBorders>
            <w:shd w:val="clear" w:color="000000" w:fill="E6E6E6"/>
            <w:noWrap/>
            <w:vAlign w:val="bottom"/>
            <w:hideMark/>
          </w:tcPr>
          <w:p w14:paraId="3D7FFB55" w14:textId="575B38A2" w:rsidR="009505A6" w:rsidRPr="00546B48" w:rsidRDefault="009505A6" w:rsidP="009505A6">
            <w:pPr>
              <w:spacing w:after="0" w:line="240" w:lineRule="auto"/>
              <w:jc w:val="right"/>
              <w:rPr>
                <w:rFonts w:ascii="Arial" w:hAnsi="Arial" w:cs="Arial"/>
                <w:color w:val="000000"/>
                <w:sz w:val="16"/>
                <w:szCs w:val="16"/>
              </w:rPr>
            </w:pPr>
            <w:r w:rsidRPr="00546B48">
              <w:rPr>
                <w:rFonts w:ascii="Arial" w:hAnsi="Arial" w:cs="Arial"/>
                <w:color w:val="000000"/>
                <w:sz w:val="16"/>
                <w:szCs w:val="16"/>
              </w:rPr>
              <w:t>-</w:t>
            </w:r>
          </w:p>
        </w:tc>
        <w:tc>
          <w:tcPr>
            <w:tcW w:w="920" w:type="dxa"/>
            <w:tcBorders>
              <w:top w:val="nil"/>
              <w:left w:val="nil"/>
              <w:bottom w:val="single" w:sz="4" w:space="0" w:color="auto"/>
            </w:tcBorders>
            <w:shd w:val="clear" w:color="000000" w:fill="E6E6E6"/>
            <w:noWrap/>
            <w:vAlign w:val="bottom"/>
            <w:hideMark/>
          </w:tcPr>
          <w:p w14:paraId="71D9B934" w14:textId="4F632774" w:rsidR="009505A6" w:rsidRPr="00546B48" w:rsidRDefault="009505A6" w:rsidP="007F37F4">
            <w:pPr>
              <w:spacing w:after="0" w:line="240" w:lineRule="auto"/>
              <w:jc w:val="right"/>
              <w:rPr>
                <w:rFonts w:ascii="Arial" w:hAnsi="Arial" w:cs="Arial"/>
                <w:color w:val="000000"/>
                <w:sz w:val="16"/>
                <w:szCs w:val="16"/>
              </w:rPr>
            </w:pPr>
            <w:r w:rsidRPr="00546B48">
              <w:rPr>
                <w:rFonts w:ascii="Arial" w:hAnsi="Arial" w:cs="Arial"/>
                <w:color w:val="000000"/>
                <w:sz w:val="16"/>
                <w:szCs w:val="16"/>
              </w:rPr>
              <w:t>(</w:t>
            </w:r>
            <w:r w:rsidR="007F37F4">
              <w:rPr>
                <w:rFonts w:ascii="Arial" w:hAnsi="Arial" w:cs="Arial"/>
                <w:color w:val="000000"/>
                <w:sz w:val="16"/>
                <w:szCs w:val="16"/>
              </w:rPr>
              <w:t>3,500</w:t>
            </w:r>
            <w:r w:rsidRPr="00546B48">
              <w:rPr>
                <w:rFonts w:ascii="Arial" w:hAnsi="Arial" w:cs="Arial"/>
                <w:color w:val="000000"/>
                <w:sz w:val="16"/>
                <w:szCs w:val="16"/>
              </w:rPr>
              <w:t>)</w:t>
            </w:r>
          </w:p>
        </w:tc>
      </w:tr>
      <w:tr w:rsidR="009505A6" w:rsidRPr="009505A6" w14:paraId="6246350F" w14:textId="77777777" w:rsidTr="004D4091">
        <w:trPr>
          <w:trHeight w:val="204"/>
        </w:trPr>
        <w:tc>
          <w:tcPr>
            <w:tcW w:w="2552" w:type="dxa"/>
            <w:tcBorders>
              <w:left w:val="nil"/>
              <w:bottom w:val="nil"/>
              <w:right w:val="nil"/>
            </w:tcBorders>
            <w:shd w:val="clear" w:color="auto" w:fill="auto"/>
            <w:noWrap/>
            <w:hideMark/>
          </w:tcPr>
          <w:p w14:paraId="2D228EAE" w14:textId="11BD6EF6" w:rsidR="009505A6" w:rsidRPr="009505A6" w:rsidRDefault="009505A6" w:rsidP="00AD78E6">
            <w:pPr>
              <w:spacing w:after="0" w:line="240" w:lineRule="auto"/>
              <w:jc w:val="left"/>
              <w:rPr>
                <w:rFonts w:ascii="Arial" w:hAnsi="Arial" w:cs="Arial"/>
                <w:b/>
                <w:bCs/>
                <w:color w:val="000000"/>
                <w:sz w:val="16"/>
                <w:szCs w:val="16"/>
              </w:rPr>
            </w:pPr>
            <w:r w:rsidRPr="009505A6">
              <w:rPr>
                <w:rFonts w:ascii="Arial" w:hAnsi="Arial" w:cs="Arial"/>
                <w:b/>
                <w:bCs/>
                <w:color w:val="000000"/>
                <w:sz w:val="16"/>
                <w:szCs w:val="16"/>
              </w:rPr>
              <w:t>Total</w:t>
            </w:r>
            <w:r w:rsidR="00341AC1">
              <w:rPr>
                <w:rFonts w:ascii="Arial" w:hAnsi="Arial" w:cs="Arial"/>
                <w:b/>
                <w:bCs/>
                <w:color w:val="000000"/>
                <w:sz w:val="16"/>
                <w:szCs w:val="16"/>
              </w:rPr>
              <w:t xml:space="preserve"> A</w:t>
            </w:r>
            <w:r w:rsidR="00AD78E6">
              <w:rPr>
                <w:rFonts w:ascii="Arial" w:hAnsi="Arial" w:cs="Arial"/>
                <w:b/>
                <w:bCs/>
                <w:color w:val="000000"/>
                <w:sz w:val="16"/>
                <w:szCs w:val="16"/>
              </w:rPr>
              <w:t>dministered</w:t>
            </w:r>
          </w:p>
        </w:tc>
        <w:tc>
          <w:tcPr>
            <w:tcW w:w="1276" w:type="dxa"/>
            <w:tcBorders>
              <w:top w:val="single" w:sz="4" w:space="0" w:color="auto"/>
              <w:left w:val="nil"/>
              <w:bottom w:val="single" w:sz="4" w:space="0" w:color="auto"/>
              <w:right w:val="nil"/>
            </w:tcBorders>
            <w:shd w:val="clear" w:color="auto" w:fill="auto"/>
            <w:noWrap/>
            <w:vAlign w:val="bottom"/>
            <w:hideMark/>
          </w:tcPr>
          <w:p w14:paraId="21C86634" w14:textId="2806AC4E" w:rsidR="009505A6" w:rsidRPr="00546B48" w:rsidRDefault="007B4B32" w:rsidP="009505A6">
            <w:pPr>
              <w:spacing w:after="0" w:line="240" w:lineRule="auto"/>
              <w:jc w:val="right"/>
              <w:rPr>
                <w:rFonts w:ascii="Arial" w:hAnsi="Arial" w:cs="Arial"/>
                <w:b/>
                <w:color w:val="000000"/>
                <w:sz w:val="16"/>
                <w:szCs w:val="16"/>
              </w:rPr>
            </w:pPr>
            <w:r>
              <w:rPr>
                <w:rFonts w:ascii="Arial" w:hAnsi="Arial" w:cs="Arial"/>
                <w:b/>
                <w:color w:val="000000"/>
                <w:sz w:val="16"/>
                <w:szCs w:val="16"/>
              </w:rPr>
              <w:t>34,568</w:t>
            </w:r>
          </w:p>
        </w:tc>
        <w:tc>
          <w:tcPr>
            <w:tcW w:w="993" w:type="dxa"/>
            <w:tcBorders>
              <w:top w:val="single" w:sz="4" w:space="0" w:color="auto"/>
              <w:left w:val="nil"/>
              <w:bottom w:val="single" w:sz="4" w:space="0" w:color="auto"/>
              <w:right w:val="nil"/>
            </w:tcBorders>
            <w:shd w:val="clear" w:color="auto" w:fill="auto"/>
            <w:noWrap/>
            <w:vAlign w:val="bottom"/>
            <w:hideMark/>
          </w:tcPr>
          <w:p w14:paraId="2005AD30" w14:textId="52E7E737" w:rsidR="009505A6" w:rsidRPr="00546B48" w:rsidRDefault="008065EC" w:rsidP="009505A6">
            <w:pPr>
              <w:spacing w:after="0" w:line="240" w:lineRule="auto"/>
              <w:jc w:val="right"/>
              <w:rPr>
                <w:rFonts w:ascii="Arial" w:hAnsi="Arial" w:cs="Arial"/>
                <w:b/>
                <w:color w:val="000000"/>
                <w:sz w:val="16"/>
                <w:szCs w:val="16"/>
              </w:rPr>
            </w:pPr>
            <w:r w:rsidRPr="00546B48">
              <w:rPr>
                <w:rFonts w:ascii="Arial" w:hAnsi="Arial" w:cs="Arial"/>
                <w:b/>
                <w:color w:val="000000"/>
                <w:sz w:val="16"/>
                <w:szCs w:val="16"/>
              </w:rPr>
              <w:t>33,487</w:t>
            </w:r>
          </w:p>
        </w:tc>
        <w:tc>
          <w:tcPr>
            <w:tcW w:w="992" w:type="dxa"/>
            <w:tcBorders>
              <w:top w:val="single" w:sz="4" w:space="0" w:color="auto"/>
              <w:left w:val="nil"/>
              <w:bottom w:val="single" w:sz="4" w:space="0" w:color="auto"/>
              <w:right w:val="nil"/>
            </w:tcBorders>
            <w:shd w:val="clear" w:color="auto" w:fill="auto"/>
            <w:noWrap/>
            <w:vAlign w:val="bottom"/>
            <w:hideMark/>
          </w:tcPr>
          <w:p w14:paraId="14D1CB2E" w14:textId="329EB7A0" w:rsidR="009505A6" w:rsidRPr="00546B48" w:rsidRDefault="007B4B32" w:rsidP="009505A6">
            <w:pPr>
              <w:spacing w:after="0" w:line="240" w:lineRule="auto"/>
              <w:jc w:val="right"/>
              <w:rPr>
                <w:rFonts w:ascii="Arial" w:hAnsi="Arial" w:cs="Arial"/>
                <w:b/>
                <w:color w:val="000000"/>
                <w:sz w:val="16"/>
                <w:szCs w:val="16"/>
              </w:rPr>
            </w:pPr>
            <w:r>
              <w:rPr>
                <w:rFonts w:ascii="Arial" w:hAnsi="Arial" w:cs="Arial"/>
                <w:b/>
                <w:color w:val="000000"/>
                <w:sz w:val="16"/>
                <w:szCs w:val="16"/>
              </w:rPr>
              <w:t>29,987</w:t>
            </w:r>
          </w:p>
        </w:tc>
        <w:tc>
          <w:tcPr>
            <w:tcW w:w="920" w:type="dxa"/>
            <w:tcBorders>
              <w:top w:val="single" w:sz="4" w:space="0" w:color="auto"/>
              <w:left w:val="nil"/>
              <w:bottom w:val="single" w:sz="4" w:space="0" w:color="auto"/>
              <w:right w:val="nil"/>
            </w:tcBorders>
            <w:shd w:val="clear" w:color="000000" w:fill="E6E6E6"/>
            <w:noWrap/>
            <w:vAlign w:val="bottom"/>
            <w:hideMark/>
          </w:tcPr>
          <w:p w14:paraId="4F6C54CA" w14:textId="43F038FE" w:rsidR="009505A6" w:rsidRPr="00546B48" w:rsidRDefault="009505A6" w:rsidP="009505A6">
            <w:pPr>
              <w:spacing w:after="0" w:line="240" w:lineRule="auto"/>
              <w:jc w:val="right"/>
              <w:rPr>
                <w:rFonts w:ascii="Arial" w:hAnsi="Arial" w:cs="Arial"/>
                <w:b/>
                <w:color w:val="000000"/>
                <w:sz w:val="16"/>
                <w:szCs w:val="16"/>
              </w:rPr>
            </w:pPr>
            <w:r w:rsidRPr="00546B48">
              <w:rPr>
                <w:rFonts w:ascii="Arial" w:hAnsi="Arial" w:cs="Arial"/>
                <w:b/>
                <w:color w:val="000000"/>
                <w:sz w:val="16"/>
                <w:szCs w:val="16"/>
              </w:rPr>
              <w:t>-</w:t>
            </w:r>
          </w:p>
        </w:tc>
        <w:tc>
          <w:tcPr>
            <w:tcW w:w="920" w:type="dxa"/>
            <w:tcBorders>
              <w:top w:val="single" w:sz="4" w:space="0" w:color="auto"/>
              <w:left w:val="nil"/>
              <w:bottom w:val="single" w:sz="4" w:space="0" w:color="auto"/>
              <w:right w:val="nil"/>
            </w:tcBorders>
            <w:shd w:val="clear" w:color="000000" w:fill="E6E6E6"/>
            <w:noWrap/>
            <w:vAlign w:val="bottom"/>
            <w:hideMark/>
          </w:tcPr>
          <w:p w14:paraId="09FDA240" w14:textId="7DF27BF9" w:rsidR="009505A6" w:rsidRPr="00546B48" w:rsidRDefault="008065EC" w:rsidP="007F37F4">
            <w:pPr>
              <w:spacing w:after="0" w:line="240" w:lineRule="auto"/>
              <w:jc w:val="right"/>
              <w:rPr>
                <w:rFonts w:ascii="Arial" w:hAnsi="Arial" w:cs="Arial"/>
                <w:b/>
                <w:color w:val="000000"/>
                <w:sz w:val="16"/>
                <w:szCs w:val="16"/>
              </w:rPr>
            </w:pPr>
            <w:r w:rsidRPr="00546B48">
              <w:rPr>
                <w:rFonts w:ascii="Arial" w:hAnsi="Arial" w:cs="Arial"/>
                <w:b/>
                <w:color w:val="000000"/>
                <w:sz w:val="16"/>
                <w:szCs w:val="16"/>
              </w:rPr>
              <w:t>(</w:t>
            </w:r>
            <w:r w:rsidR="007F37F4">
              <w:rPr>
                <w:rFonts w:ascii="Arial" w:hAnsi="Arial" w:cs="Arial"/>
                <w:b/>
                <w:color w:val="000000"/>
                <w:sz w:val="16"/>
                <w:szCs w:val="16"/>
              </w:rPr>
              <w:t>3,500</w:t>
            </w:r>
            <w:r w:rsidRPr="00546B48">
              <w:rPr>
                <w:rFonts w:ascii="Arial" w:hAnsi="Arial" w:cs="Arial"/>
                <w:b/>
                <w:color w:val="000000"/>
                <w:sz w:val="16"/>
                <w:szCs w:val="16"/>
              </w:rPr>
              <w:t>)</w:t>
            </w:r>
          </w:p>
        </w:tc>
      </w:tr>
      <w:tr w:rsidR="009505A6" w:rsidRPr="009505A6" w14:paraId="03945105" w14:textId="77777777" w:rsidTr="004D4091">
        <w:trPr>
          <w:trHeight w:val="204"/>
        </w:trPr>
        <w:tc>
          <w:tcPr>
            <w:tcW w:w="2552" w:type="dxa"/>
            <w:tcBorders>
              <w:top w:val="nil"/>
              <w:left w:val="nil"/>
              <w:bottom w:val="nil"/>
              <w:right w:val="nil"/>
            </w:tcBorders>
            <w:shd w:val="clear" w:color="auto" w:fill="auto"/>
            <w:hideMark/>
          </w:tcPr>
          <w:p w14:paraId="74EA7D53" w14:textId="3E52AF0D" w:rsidR="009505A6" w:rsidRPr="009505A6" w:rsidRDefault="008863D9" w:rsidP="00546B48">
            <w:pPr>
              <w:spacing w:before="60"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9505A6" w:rsidRPr="009505A6">
              <w:rPr>
                <w:rFonts w:ascii="Arial" w:hAnsi="Arial" w:cs="Arial"/>
                <w:b/>
                <w:bCs/>
                <w:color w:val="000000"/>
                <w:sz w:val="16"/>
                <w:szCs w:val="16"/>
              </w:rPr>
              <w:t>al programs</w:t>
            </w:r>
          </w:p>
        </w:tc>
        <w:tc>
          <w:tcPr>
            <w:tcW w:w="1276" w:type="dxa"/>
            <w:tcBorders>
              <w:top w:val="nil"/>
              <w:left w:val="nil"/>
              <w:bottom w:val="nil"/>
              <w:right w:val="nil"/>
            </w:tcBorders>
            <w:shd w:val="clear" w:color="auto" w:fill="auto"/>
            <w:noWrap/>
            <w:vAlign w:val="bottom"/>
            <w:hideMark/>
          </w:tcPr>
          <w:p w14:paraId="62D6D322" w14:textId="77777777" w:rsidR="009505A6" w:rsidRPr="00546B48" w:rsidRDefault="009505A6" w:rsidP="009505A6">
            <w:pPr>
              <w:spacing w:after="0" w:line="240" w:lineRule="auto"/>
              <w:jc w:val="right"/>
              <w:rPr>
                <w:rFonts w:ascii="Arial" w:hAnsi="Arial" w:cs="Arial"/>
                <w:b/>
                <w:bCs/>
                <w:color w:val="000000"/>
                <w:sz w:val="16"/>
                <w:szCs w:val="16"/>
              </w:rPr>
            </w:pPr>
          </w:p>
        </w:tc>
        <w:tc>
          <w:tcPr>
            <w:tcW w:w="993" w:type="dxa"/>
            <w:tcBorders>
              <w:top w:val="nil"/>
              <w:left w:val="nil"/>
              <w:bottom w:val="nil"/>
              <w:right w:val="nil"/>
            </w:tcBorders>
            <w:shd w:val="clear" w:color="auto" w:fill="auto"/>
            <w:noWrap/>
            <w:vAlign w:val="bottom"/>
            <w:hideMark/>
          </w:tcPr>
          <w:p w14:paraId="666EB476" w14:textId="77777777" w:rsidR="009505A6" w:rsidRPr="00546B48" w:rsidRDefault="009505A6" w:rsidP="009505A6">
            <w:pPr>
              <w:spacing w:after="0" w:line="240" w:lineRule="auto"/>
              <w:jc w:val="right"/>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14:paraId="400E0F66" w14:textId="77777777" w:rsidR="009505A6" w:rsidRPr="00546B48" w:rsidRDefault="009505A6" w:rsidP="009505A6">
            <w:pPr>
              <w:spacing w:after="0" w:line="240" w:lineRule="auto"/>
              <w:jc w:val="right"/>
              <w:rPr>
                <w:rFonts w:ascii="Times New Roman" w:hAnsi="Times New Roman"/>
                <w:sz w:val="16"/>
                <w:szCs w:val="16"/>
              </w:rPr>
            </w:pPr>
          </w:p>
        </w:tc>
        <w:tc>
          <w:tcPr>
            <w:tcW w:w="920" w:type="dxa"/>
            <w:tcBorders>
              <w:top w:val="nil"/>
              <w:left w:val="nil"/>
              <w:bottom w:val="nil"/>
              <w:right w:val="nil"/>
            </w:tcBorders>
            <w:shd w:val="clear" w:color="000000" w:fill="E6E6E6"/>
            <w:noWrap/>
            <w:vAlign w:val="bottom"/>
            <w:hideMark/>
          </w:tcPr>
          <w:p w14:paraId="7671918B" w14:textId="71C74748" w:rsidR="009505A6" w:rsidRPr="00546B48" w:rsidRDefault="009505A6" w:rsidP="009505A6">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000000" w:fill="E6E6E6"/>
            <w:noWrap/>
            <w:vAlign w:val="bottom"/>
            <w:hideMark/>
          </w:tcPr>
          <w:p w14:paraId="7DE98B5C" w14:textId="05067B4A" w:rsidR="009505A6" w:rsidRPr="00546B48" w:rsidRDefault="009505A6" w:rsidP="009505A6">
            <w:pPr>
              <w:spacing w:after="0" w:line="240" w:lineRule="auto"/>
              <w:jc w:val="right"/>
              <w:rPr>
                <w:rFonts w:ascii="Arial" w:hAnsi="Arial" w:cs="Arial"/>
                <w:color w:val="000000"/>
                <w:sz w:val="16"/>
                <w:szCs w:val="16"/>
              </w:rPr>
            </w:pPr>
          </w:p>
        </w:tc>
      </w:tr>
      <w:tr w:rsidR="009505A6" w:rsidRPr="009505A6" w14:paraId="13428399" w14:textId="77777777" w:rsidTr="004D4091">
        <w:trPr>
          <w:trHeight w:val="204"/>
        </w:trPr>
        <w:tc>
          <w:tcPr>
            <w:tcW w:w="2552" w:type="dxa"/>
            <w:tcBorders>
              <w:top w:val="nil"/>
              <w:left w:val="nil"/>
              <w:bottom w:val="nil"/>
              <w:right w:val="nil"/>
            </w:tcBorders>
            <w:shd w:val="clear" w:color="auto" w:fill="auto"/>
            <w:hideMark/>
          </w:tcPr>
          <w:p w14:paraId="6BF4E563" w14:textId="77777777" w:rsidR="009505A6" w:rsidRPr="009505A6" w:rsidRDefault="009505A6" w:rsidP="00C61E8F">
            <w:pPr>
              <w:spacing w:after="0" w:line="240" w:lineRule="auto"/>
              <w:ind w:left="113"/>
              <w:jc w:val="left"/>
              <w:rPr>
                <w:rFonts w:ascii="Arial" w:hAnsi="Arial" w:cs="Arial"/>
                <w:b/>
                <w:bCs/>
                <w:color w:val="000000"/>
                <w:sz w:val="16"/>
                <w:szCs w:val="16"/>
              </w:rPr>
            </w:pPr>
            <w:r w:rsidRPr="009505A6">
              <w:rPr>
                <w:rFonts w:ascii="Arial" w:hAnsi="Arial" w:cs="Arial"/>
                <w:b/>
                <w:bCs/>
                <w:color w:val="000000"/>
                <w:sz w:val="16"/>
                <w:szCs w:val="16"/>
              </w:rPr>
              <w:t>Outcome 1</w:t>
            </w:r>
          </w:p>
        </w:tc>
        <w:tc>
          <w:tcPr>
            <w:tcW w:w="1276" w:type="dxa"/>
            <w:tcBorders>
              <w:top w:val="nil"/>
              <w:left w:val="nil"/>
              <w:bottom w:val="nil"/>
              <w:right w:val="nil"/>
            </w:tcBorders>
            <w:shd w:val="clear" w:color="auto" w:fill="auto"/>
            <w:noWrap/>
            <w:vAlign w:val="bottom"/>
            <w:hideMark/>
          </w:tcPr>
          <w:p w14:paraId="2D10E620" w14:textId="77777777" w:rsidR="009505A6" w:rsidRPr="00546B48" w:rsidRDefault="009505A6" w:rsidP="009505A6">
            <w:pPr>
              <w:spacing w:after="0" w:line="240" w:lineRule="auto"/>
              <w:jc w:val="right"/>
              <w:rPr>
                <w:rFonts w:ascii="Arial" w:hAnsi="Arial" w:cs="Arial"/>
                <w:b/>
                <w:bCs/>
                <w:color w:val="000000"/>
                <w:sz w:val="16"/>
                <w:szCs w:val="16"/>
              </w:rPr>
            </w:pPr>
          </w:p>
        </w:tc>
        <w:tc>
          <w:tcPr>
            <w:tcW w:w="993" w:type="dxa"/>
            <w:tcBorders>
              <w:top w:val="nil"/>
              <w:left w:val="nil"/>
              <w:bottom w:val="nil"/>
              <w:right w:val="nil"/>
            </w:tcBorders>
            <w:shd w:val="clear" w:color="auto" w:fill="auto"/>
            <w:noWrap/>
            <w:vAlign w:val="bottom"/>
            <w:hideMark/>
          </w:tcPr>
          <w:p w14:paraId="7C592779" w14:textId="77777777" w:rsidR="009505A6" w:rsidRPr="00546B48" w:rsidRDefault="009505A6" w:rsidP="009505A6">
            <w:pPr>
              <w:spacing w:after="0" w:line="240" w:lineRule="auto"/>
              <w:jc w:val="right"/>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14:paraId="034C4299" w14:textId="77777777" w:rsidR="009505A6" w:rsidRPr="00546B48" w:rsidRDefault="009505A6" w:rsidP="009505A6">
            <w:pPr>
              <w:spacing w:after="0" w:line="240" w:lineRule="auto"/>
              <w:jc w:val="right"/>
              <w:rPr>
                <w:rFonts w:ascii="Times New Roman" w:hAnsi="Times New Roman"/>
                <w:sz w:val="16"/>
                <w:szCs w:val="16"/>
              </w:rPr>
            </w:pPr>
          </w:p>
        </w:tc>
        <w:tc>
          <w:tcPr>
            <w:tcW w:w="920" w:type="dxa"/>
            <w:tcBorders>
              <w:top w:val="nil"/>
              <w:left w:val="nil"/>
              <w:bottom w:val="nil"/>
              <w:right w:val="nil"/>
            </w:tcBorders>
            <w:shd w:val="clear" w:color="000000" w:fill="E6E6E6"/>
            <w:noWrap/>
            <w:vAlign w:val="bottom"/>
            <w:hideMark/>
          </w:tcPr>
          <w:p w14:paraId="1FA3A1F4" w14:textId="64B4692C" w:rsidR="009505A6" w:rsidRPr="00546B48" w:rsidRDefault="009505A6" w:rsidP="009505A6">
            <w:pPr>
              <w:spacing w:after="0" w:line="240" w:lineRule="auto"/>
              <w:jc w:val="right"/>
              <w:rPr>
                <w:rFonts w:ascii="Arial" w:hAnsi="Arial" w:cs="Arial"/>
                <w:color w:val="000000"/>
                <w:sz w:val="16"/>
                <w:szCs w:val="16"/>
              </w:rPr>
            </w:pPr>
          </w:p>
        </w:tc>
        <w:tc>
          <w:tcPr>
            <w:tcW w:w="920" w:type="dxa"/>
            <w:tcBorders>
              <w:top w:val="nil"/>
              <w:left w:val="nil"/>
              <w:bottom w:val="nil"/>
              <w:right w:val="nil"/>
            </w:tcBorders>
            <w:shd w:val="clear" w:color="000000" w:fill="E6E6E6"/>
            <w:noWrap/>
            <w:vAlign w:val="bottom"/>
            <w:hideMark/>
          </w:tcPr>
          <w:p w14:paraId="6388D439" w14:textId="7833AC06" w:rsidR="009505A6" w:rsidRPr="00546B48" w:rsidRDefault="009505A6" w:rsidP="009505A6">
            <w:pPr>
              <w:spacing w:after="0" w:line="240" w:lineRule="auto"/>
              <w:jc w:val="right"/>
              <w:rPr>
                <w:rFonts w:ascii="Arial" w:hAnsi="Arial" w:cs="Arial"/>
                <w:color w:val="000000"/>
                <w:sz w:val="16"/>
                <w:szCs w:val="16"/>
              </w:rPr>
            </w:pPr>
          </w:p>
        </w:tc>
      </w:tr>
      <w:tr w:rsidR="009505A6" w:rsidRPr="009505A6" w14:paraId="618F50A6" w14:textId="77777777" w:rsidTr="004D4091">
        <w:trPr>
          <w:trHeight w:val="204"/>
        </w:trPr>
        <w:tc>
          <w:tcPr>
            <w:tcW w:w="2552" w:type="dxa"/>
            <w:tcBorders>
              <w:top w:val="nil"/>
              <w:left w:val="nil"/>
              <w:bottom w:val="nil"/>
              <w:right w:val="nil"/>
            </w:tcBorders>
            <w:shd w:val="clear" w:color="auto" w:fill="auto"/>
            <w:hideMark/>
          </w:tcPr>
          <w:p w14:paraId="79BF45D7" w14:textId="77777777" w:rsidR="009505A6" w:rsidRPr="009505A6" w:rsidRDefault="009505A6" w:rsidP="00553851">
            <w:pPr>
              <w:spacing w:after="0" w:line="240" w:lineRule="auto"/>
              <w:ind w:left="113"/>
              <w:jc w:val="left"/>
              <w:rPr>
                <w:rFonts w:ascii="Arial" w:hAnsi="Arial" w:cs="Arial"/>
                <w:color w:val="000000"/>
                <w:sz w:val="16"/>
                <w:szCs w:val="16"/>
              </w:rPr>
            </w:pPr>
            <w:r w:rsidRPr="009505A6">
              <w:rPr>
                <w:rFonts w:ascii="Arial" w:hAnsi="Arial" w:cs="Arial"/>
                <w:color w:val="000000"/>
                <w:sz w:val="16"/>
                <w:szCs w:val="16"/>
              </w:rPr>
              <w:t>Manage the strategic planning, promotion and enhancement of Canberra as the National Capital for all Australians through the development and administration of the National Capital Plan, operation of the National Capital Exhibition, delivery of education and awareness programs and works to enhance the character of the National Capital</w:t>
            </w:r>
          </w:p>
        </w:tc>
        <w:tc>
          <w:tcPr>
            <w:tcW w:w="1276" w:type="dxa"/>
            <w:tcBorders>
              <w:top w:val="nil"/>
              <w:left w:val="nil"/>
              <w:bottom w:val="single" w:sz="4" w:space="0" w:color="auto"/>
              <w:right w:val="nil"/>
            </w:tcBorders>
            <w:shd w:val="clear" w:color="auto" w:fill="auto"/>
            <w:noWrap/>
            <w:vAlign w:val="bottom"/>
            <w:hideMark/>
          </w:tcPr>
          <w:p w14:paraId="39E75153" w14:textId="715B69B9" w:rsidR="009505A6" w:rsidRPr="00546B48" w:rsidRDefault="009505A6" w:rsidP="009505A6">
            <w:pPr>
              <w:spacing w:after="0" w:line="240" w:lineRule="auto"/>
              <w:jc w:val="right"/>
              <w:rPr>
                <w:rFonts w:ascii="Arial" w:hAnsi="Arial" w:cs="Arial"/>
                <w:color w:val="000000"/>
                <w:sz w:val="16"/>
                <w:szCs w:val="16"/>
              </w:rPr>
            </w:pPr>
            <w:r w:rsidRPr="00546B48">
              <w:rPr>
                <w:rFonts w:ascii="Arial" w:hAnsi="Arial" w:cs="Arial"/>
                <w:color w:val="000000"/>
                <w:sz w:val="16"/>
                <w:szCs w:val="16"/>
              </w:rPr>
              <w:t>11,610</w:t>
            </w:r>
          </w:p>
        </w:tc>
        <w:tc>
          <w:tcPr>
            <w:tcW w:w="993" w:type="dxa"/>
            <w:tcBorders>
              <w:top w:val="nil"/>
              <w:left w:val="nil"/>
              <w:bottom w:val="single" w:sz="4" w:space="0" w:color="auto"/>
              <w:right w:val="nil"/>
            </w:tcBorders>
            <w:shd w:val="clear" w:color="auto" w:fill="auto"/>
            <w:noWrap/>
            <w:vAlign w:val="bottom"/>
            <w:hideMark/>
          </w:tcPr>
          <w:p w14:paraId="7A27BFAE" w14:textId="5AF3CEAC" w:rsidR="009505A6" w:rsidRPr="00546B48" w:rsidRDefault="009505A6" w:rsidP="009505A6">
            <w:pPr>
              <w:spacing w:after="0" w:line="240" w:lineRule="auto"/>
              <w:jc w:val="right"/>
              <w:rPr>
                <w:rFonts w:ascii="Arial" w:hAnsi="Arial" w:cs="Arial"/>
                <w:color w:val="000000"/>
                <w:sz w:val="16"/>
                <w:szCs w:val="16"/>
              </w:rPr>
            </w:pPr>
            <w:r w:rsidRPr="00546B48">
              <w:rPr>
                <w:rFonts w:ascii="Arial" w:hAnsi="Arial" w:cs="Arial"/>
                <w:color w:val="000000"/>
                <w:sz w:val="16"/>
                <w:szCs w:val="16"/>
              </w:rPr>
              <w:t>11,018</w:t>
            </w:r>
          </w:p>
        </w:tc>
        <w:tc>
          <w:tcPr>
            <w:tcW w:w="992" w:type="dxa"/>
            <w:tcBorders>
              <w:top w:val="nil"/>
              <w:left w:val="nil"/>
              <w:bottom w:val="single" w:sz="4" w:space="0" w:color="auto"/>
              <w:right w:val="nil"/>
            </w:tcBorders>
            <w:shd w:val="clear" w:color="auto" w:fill="auto"/>
            <w:noWrap/>
            <w:vAlign w:val="bottom"/>
            <w:hideMark/>
          </w:tcPr>
          <w:p w14:paraId="61F170F1" w14:textId="564C8F0C" w:rsidR="009505A6" w:rsidRPr="00546B48" w:rsidRDefault="009505A6" w:rsidP="009505A6">
            <w:pPr>
              <w:spacing w:after="0" w:line="240" w:lineRule="auto"/>
              <w:jc w:val="right"/>
              <w:rPr>
                <w:rFonts w:ascii="Arial" w:hAnsi="Arial" w:cs="Arial"/>
                <w:color w:val="000000"/>
                <w:sz w:val="16"/>
                <w:szCs w:val="16"/>
              </w:rPr>
            </w:pPr>
            <w:r w:rsidRPr="00546B48">
              <w:rPr>
                <w:rFonts w:ascii="Arial" w:hAnsi="Arial" w:cs="Arial"/>
                <w:color w:val="000000"/>
                <w:sz w:val="16"/>
                <w:szCs w:val="16"/>
              </w:rPr>
              <w:t>14,518</w:t>
            </w:r>
          </w:p>
        </w:tc>
        <w:tc>
          <w:tcPr>
            <w:tcW w:w="920" w:type="dxa"/>
            <w:tcBorders>
              <w:top w:val="nil"/>
              <w:left w:val="nil"/>
              <w:bottom w:val="single" w:sz="4" w:space="0" w:color="auto"/>
              <w:right w:val="nil"/>
            </w:tcBorders>
            <w:shd w:val="clear" w:color="000000" w:fill="E6E6E6"/>
            <w:noWrap/>
            <w:vAlign w:val="bottom"/>
            <w:hideMark/>
          </w:tcPr>
          <w:p w14:paraId="0686BBC6" w14:textId="5218B525" w:rsidR="009505A6" w:rsidRPr="00546B48" w:rsidRDefault="009505A6" w:rsidP="009505A6">
            <w:pPr>
              <w:spacing w:after="0" w:line="240" w:lineRule="auto"/>
              <w:jc w:val="right"/>
              <w:rPr>
                <w:rFonts w:ascii="Arial" w:hAnsi="Arial" w:cs="Arial"/>
                <w:color w:val="000000"/>
                <w:sz w:val="16"/>
                <w:szCs w:val="16"/>
              </w:rPr>
            </w:pPr>
            <w:r w:rsidRPr="00546B48">
              <w:rPr>
                <w:rFonts w:ascii="Arial" w:hAnsi="Arial" w:cs="Arial"/>
                <w:color w:val="000000"/>
                <w:sz w:val="16"/>
                <w:szCs w:val="16"/>
              </w:rPr>
              <w:t>3,500</w:t>
            </w:r>
          </w:p>
        </w:tc>
        <w:tc>
          <w:tcPr>
            <w:tcW w:w="920" w:type="dxa"/>
            <w:tcBorders>
              <w:top w:val="nil"/>
              <w:left w:val="nil"/>
              <w:bottom w:val="single" w:sz="4" w:space="0" w:color="auto"/>
              <w:right w:val="nil"/>
            </w:tcBorders>
            <w:shd w:val="clear" w:color="000000" w:fill="E6E6E6"/>
            <w:noWrap/>
            <w:vAlign w:val="bottom"/>
            <w:hideMark/>
          </w:tcPr>
          <w:p w14:paraId="79DE55D2" w14:textId="18EA3AF7" w:rsidR="009505A6" w:rsidRPr="00546B48" w:rsidRDefault="009505A6" w:rsidP="009505A6">
            <w:pPr>
              <w:spacing w:after="0" w:line="240" w:lineRule="auto"/>
              <w:jc w:val="right"/>
              <w:rPr>
                <w:rFonts w:ascii="Arial" w:hAnsi="Arial" w:cs="Arial"/>
                <w:color w:val="000000"/>
                <w:sz w:val="16"/>
                <w:szCs w:val="16"/>
              </w:rPr>
            </w:pPr>
            <w:r w:rsidRPr="00546B48">
              <w:rPr>
                <w:rFonts w:ascii="Arial" w:hAnsi="Arial" w:cs="Arial"/>
                <w:color w:val="000000"/>
                <w:sz w:val="16"/>
                <w:szCs w:val="16"/>
              </w:rPr>
              <w:t>-</w:t>
            </w:r>
          </w:p>
        </w:tc>
      </w:tr>
      <w:tr w:rsidR="009505A6" w:rsidRPr="009505A6" w14:paraId="662B71F8" w14:textId="77777777" w:rsidTr="004D4091">
        <w:trPr>
          <w:trHeight w:val="204"/>
        </w:trPr>
        <w:tc>
          <w:tcPr>
            <w:tcW w:w="2552" w:type="dxa"/>
            <w:tcBorders>
              <w:top w:val="nil"/>
              <w:left w:val="nil"/>
              <w:bottom w:val="nil"/>
              <w:right w:val="nil"/>
            </w:tcBorders>
            <w:shd w:val="clear" w:color="auto" w:fill="auto"/>
            <w:noWrap/>
            <w:hideMark/>
          </w:tcPr>
          <w:p w14:paraId="5215D7C8" w14:textId="296DD114" w:rsidR="009505A6" w:rsidRPr="009505A6" w:rsidRDefault="009505A6" w:rsidP="009505A6">
            <w:pPr>
              <w:spacing w:after="0" w:line="240" w:lineRule="auto"/>
              <w:jc w:val="left"/>
              <w:rPr>
                <w:rFonts w:ascii="Arial" w:hAnsi="Arial" w:cs="Arial"/>
                <w:b/>
                <w:bCs/>
                <w:color w:val="000000"/>
                <w:sz w:val="16"/>
                <w:szCs w:val="16"/>
              </w:rPr>
            </w:pPr>
            <w:r w:rsidRPr="009505A6">
              <w:rPr>
                <w:rFonts w:ascii="Arial" w:hAnsi="Arial" w:cs="Arial"/>
                <w:b/>
                <w:bCs/>
                <w:color w:val="000000"/>
                <w:sz w:val="16"/>
                <w:szCs w:val="16"/>
              </w:rPr>
              <w:t>Total</w:t>
            </w:r>
            <w:r w:rsidR="00AD78E6" w:rsidRPr="00BD4C77">
              <w:rPr>
                <w:rFonts w:ascii="Arial" w:hAnsi="Arial" w:cs="Arial"/>
                <w:b/>
                <w:bCs/>
                <w:color w:val="000000"/>
                <w:sz w:val="16"/>
                <w:szCs w:val="16"/>
              </w:rPr>
              <w:t xml:space="preserve"> </w:t>
            </w:r>
            <w:r w:rsidR="008863D9">
              <w:rPr>
                <w:rFonts w:ascii="Arial" w:hAnsi="Arial" w:cs="Arial"/>
                <w:b/>
                <w:bCs/>
                <w:color w:val="000000"/>
                <w:sz w:val="16"/>
                <w:szCs w:val="16"/>
              </w:rPr>
              <w:t>Department</w:t>
            </w:r>
            <w:r w:rsidR="00AD78E6" w:rsidRPr="00BD4C77">
              <w:rPr>
                <w:rFonts w:ascii="Arial" w:hAnsi="Arial" w:cs="Arial"/>
                <w:b/>
                <w:bCs/>
                <w:color w:val="000000"/>
                <w:sz w:val="16"/>
                <w:szCs w:val="16"/>
              </w:rPr>
              <w:t>al</w:t>
            </w:r>
          </w:p>
        </w:tc>
        <w:tc>
          <w:tcPr>
            <w:tcW w:w="1276" w:type="dxa"/>
            <w:tcBorders>
              <w:top w:val="single" w:sz="4" w:space="0" w:color="auto"/>
              <w:left w:val="nil"/>
              <w:bottom w:val="single" w:sz="4" w:space="0" w:color="auto"/>
              <w:right w:val="nil"/>
            </w:tcBorders>
            <w:shd w:val="clear" w:color="auto" w:fill="auto"/>
            <w:noWrap/>
            <w:vAlign w:val="bottom"/>
            <w:hideMark/>
          </w:tcPr>
          <w:p w14:paraId="2B03E794" w14:textId="6CE4C622" w:rsidR="009505A6" w:rsidRPr="00546B48" w:rsidRDefault="009505A6" w:rsidP="009505A6">
            <w:pPr>
              <w:spacing w:after="0" w:line="240" w:lineRule="auto"/>
              <w:jc w:val="right"/>
              <w:rPr>
                <w:rFonts w:ascii="Arial" w:hAnsi="Arial" w:cs="Arial"/>
                <w:b/>
                <w:color w:val="000000"/>
                <w:sz w:val="16"/>
                <w:szCs w:val="16"/>
              </w:rPr>
            </w:pPr>
            <w:r w:rsidRPr="00546B48">
              <w:rPr>
                <w:rFonts w:ascii="Arial" w:hAnsi="Arial" w:cs="Arial"/>
                <w:b/>
                <w:color w:val="000000"/>
                <w:sz w:val="16"/>
                <w:szCs w:val="16"/>
              </w:rPr>
              <w:t>11,610</w:t>
            </w:r>
          </w:p>
        </w:tc>
        <w:tc>
          <w:tcPr>
            <w:tcW w:w="993" w:type="dxa"/>
            <w:tcBorders>
              <w:top w:val="single" w:sz="4" w:space="0" w:color="auto"/>
              <w:left w:val="nil"/>
              <w:bottom w:val="single" w:sz="4" w:space="0" w:color="auto"/>
              <w:right w:val="nil"/>
            </w:tcBorders>
            <w:shd w:val="clear" w:color="auto" w:fill="auto"/>
            <w:noWrap/>
            <w:vAlign w:val="bottom"/>
            <w:hideMark/>
          </w:tcPr>
          <w:p w14:paraId="4FD7DD06" w14:textId="1F91ED3B" w:rsidR="009505A6" w:rsidRPr="00546B48" w:rsidRDefault="009505A6" w:rsidP="009505A6">
            <w:pPr>
              <w:spacing w:after="0" w:line="240" w:lineRule="auto"/>
              <w:jc w:val="right"/>
              <w:rPr>
                <w:rFonts w:ascii="Arial" w:hAnsi="Arial" w:cs="Arial"/>
                <w:b/>
                <w:color w:val="000000"/>
                <w:sz w:val="16"/>
                <w:szCs w:val="16"/>
              </w:rPr>
            </w:pPr>
            <w:r w:rsidRPr="00546B48">
              <w:rPr>
                <w:rFonts w:ascii="Arial" w:hAnsi="Arial" w:cs="Arial"/>
                <w:b/>
                <w:color w:val="000000"/>
                <w:sz w:val="16"/>
                <w:szCs w:val="16"/>
              </w:rPr>
              <w:t>11,018</w:t>
            </w:r>
          </w:p>
        </w:tc>
        <w:tc>
          <w:tcPr>
            <w:tcW w:w="992" w:type="dxa"/>
            <w:tcBorders>
              <w:top w:val="single" w:sz="4" w:space="0" w:color="auto"/>
              <w:left w:val="nil"/>
              <w:bottom w:val="single" w:sz="4" w:space="0" w:color="auto"/>
              <w:right w:val="nil"/>
            </w:tcBorders>
            <w:shd w:val="clear" w:color="auto" w:fill="auto"/>
            <w:noWrap/>
            <w:vAlign w:val="bottom"/>
            <w:hideMark/>
          </w:tcPr>
          <w:p w14:paraId="27471B3A" w14:textId="3C46B30C" w:rsidR="009505A6" w:rsidRPr="00546B48" w:rsidRDefault="009505A6" w:rsidP="009505A6">
            <w:pPr>
              <w:spacing w:after="0" w:line="240" w:lineRule="auto"/>
              <w:jc w:val="right"/>
              <w:rPr>
                <w:rFonts w:ascii="Arial" w:hAnsi="Arial" w:cs="Arial"/>
                <w:b/>
                <w:color w:val="000000"/>
                <w:sz w:val="16"/>
                <w:szCs w:val="16"/>
              </w:rPr>
            </w:pPr>
            <w:r w:rsidRPr="00546B48">
              <w:rPr>
                <w:rFonts w:ascii="Arial" w:hAnsi="Arial" w:cs="Arial"/>
                <w:b/>
                <w:color w:val="000000"/>
                <w:sz w:val="16"/>
                <w:szCs w:val="16"/>
              </w:rPr>
              <w:t>14,518</w:t>
            </w:r>
          </w:p>
        </w:tc>
        <w:tc>
          <w:tcPr>
            <w:tcW w:w="920" w:type="dxa"/>
            <w:tcBorders>
              <w:top w:val="single" w:sz="4" w:space="0" w:color="auto"/>
              <w:left w:val="nil"/>
              <w:bottom w:val="single" w:sz="4" w:space="0" w:color="auto"/>
              <w:right w:val="nil"/>
            </w:tcBorders>
            <w:shd w:val="clear" w:color="000000" w:fill="E6E6E6"/>
            <w:noWrap/>
            <w:vAlign w:val="bottom"/>
            <w:hideMark/>
          </w:tcPr>
          <w:p w14:paraId="6DEC570F" w14:textId="7F4F9930" w:rsidR="009505A6" w:rsidRPr="00546B48" w:rsidRDefault="009505A6" w:rsidP="009505A6">
            <w:pPr>
              <w:spacing w:after="0" w:line="240" w:lineRule="auto"/>
              <w:jc w:val="right"/>
              <w:rPr>
                <w:rFonts w:ascii="Arial" w:hAnsi="Arial" w:cs="Arial"/>
                <w:b/>
                <w:color w:val="000000"/>
                <w:sz w:val="16"/>
                <w:szCs w:val="16"/>
              </w:rPr>
            </w:pPr>
            <w:r w:rsidRPr="00546B48">
              <w:rPr>
                <w:rFonts w:ascii="Arial" w:hAnsi="Arial" w:cs="Arial"/>
                <w:b/>
                <w:color w:val="000000"/>
                <w:sz w:val="16"/>
                <w:szCs w:val="16"/>
              </w:rPr>
              <w:t>3,500</w:t>
            </w:r>
          </w:p>
        </w:tc>
        <w:tc>
          <w:tcPr>
            <w:tcW w:w="920" w:type="dxa"/>
            <w:tcBorders>
              <w:top w:val="single" w:sz="4" w:space="0" w:color="auto"/>
              <w:left w:val="nil"/>
              <w:bottom w:val="single" w:sz="4" w:space="0" w:color="auto"/>
            </w:tcBorders>
            <w:shd w:val="clear" w:color="000000" w:fill="E6E6E6"/>
            <w:noWrap/>
            <w:vAlign w:val="bottom"/>
            <w:hideMark/>
          </w:tcPr>
          <w:p w14:paraId="1ED4D63C" w14:textId="2BB4D1BB" w:rsidR="009505A6" w:rsidRPr="00546B48" w:rsidRDefault="009505A6" w:rsidP="009505A6">
            <w:pPr>
              <w:spacing w:after="0" w:line="240" w:lineRule="auto"/>
              <w:jc w:val="right"/>
              <w:rPr>
                <w:rFonts w:ascii="Arial" w:hAnsi="Arial" w:cs="Arial"/>
                <w:b/>
                <w:color w:val="000000"/>
                <w:sz w:val="16"/>
                <w:szCs w:val="16"/>
              </w:rPr>
            </w:pPr>
            <w:r w:rsidRPr="00546B48">
              <w:rPr>
                <w:rFonts w:ascii="Arial" w:hAnsi="Arial" w:cs="Arial"/>
                <w:b/>
                <w:color w:val="000000"/>
                <w:sz w:val="16"/>
                <w:szCs w:val="16"/>
              </w:rPr>
              <w:t>-</w:t>
            </w:r>
          </w:p>
        </w:tc>
      </w:tr>
      <w:tr w:rsidR="009505A6" w:rsidRPr="009505A6" w14:paraId="0358372D" w14:textId="77777777" w:rsidTr="00C61E8F">
        <w:trPr>
          <w:trHeight w:val="204"/>
        </w:trPr>
        <w:tc>
          <w:tcPr>
            <w:tcW w:w="2552" w:type="dxa"/>
            <w:tcBorders>
              <w:top w:val="nil"/>
              <w:left w:val="nil"/>
              <w:bottom w:val="single" w:sz="4" w:space="0" w:color="auto"/>
              <w:right w:val="nil"/>
            </w:tcBorders>
            <w:shd w:val="clear" w:color="auto" w:fill="auto"/>
            <w:noWrap/>
            <w:hideMark/>
          </w:tcPr>
          <w:p w14:paraId="6BA8000A" w14:textId="245AAA11" w:rsidR="009505A6" w:rsidRPr="009505A6" w:rsidRDefault="009505A6" w:rsidP="00892C68">
            <w:pPr>
              <w:spacing w:after="0" w:line="240" w:lineRule="auto"/>
              <w:jc w:val="left"/>
              <w:rPr>
                <w:rFonts w:ascii="Arial" w:hAnsi="Arial" w:cs="Arial"/>
                <w:b/>
                <w:bCs/>
                <w:color w:val="000000"/>
                <w:sz w:val="16"/>
                <w:szCs w:val="16"/>
              </w:rPr>
            </w:pPr>
            <w:r w:rsidRPr="009505A6">
              <w:rPr>
                <w:rFonts w:ascii="Arial" w:hAnsi="Arial" w:cs="Arial"/>
                <w:b/>
                <w:bCs/>
                <w:color w:val="000000"/>
                <w:sz w:val="16"/>
                <w:szCs w:val="16"/>
              </w:rPr>
              <w:t xml:space="preserve">Total </w:t>
            </w:r>
            <w:r w:rsidR="00892C68">
              <w:rPr>
                <w:rFonts w:ascii="Arial" w:hAnsi="Arial" w:cs="Arial"/>
                <w:b/>
                <w:bCs/>
                <w:color w:val="000000"/>
                <w:sz w:val="16"/>
                <w:szCs w:val="16"/>
              </w:rPr>
              <w:t>A</w:t>
            </w:r>
            <w:r w:rsidRPr="009505A6">
              <w:rPr>
                <w:rFonts w:ascii="Arial" w:hAnsi="Arial" w:cs="Arial"/>
                <w:b/>
                <w:bCs/>
                <w:color w:val="000000"/>
                <w:sz w:val="16"/>
                <w:szCs w:val="16"/>
              </w:rPr>
              <w:t xml:space="preserve">dministered and </w:t>
            </w:r>
            <w:r w:rsidR="00D94F71">
              <w:rPr>
                <w:rFonts w:ascii="Arial" w:hAnsi="Arial" w:cs="Arial"/>
                <w:b/>
                <w:bCs/>
                <w:color w:val="000000"/>
                <w:sz w:val="16"/>
                <w:szCs w:val="16"/>
              </w:rPr>
              <w:t>D</w:t>
            </w:r>
            <w:r w:rsidR="008863D9">
              <w:rPr>
                <w:rFonts w:ascii="Arial" w:hAnsi="Arial" w:cs="Arial"/>
                <w:b/>
                <w:bCs/>
                <w:color w:val="000000"/>
                <w:sz w:val="16"/>
                <w:szCs w:val="16"/>
              </w:rPr>
              <w:t>epartment</w:t>
            </w:r>
            <w:r w:rsidRPr="009505A6">
              <w:rPr>
                <w:rFonts w:ascii="Arial" w:hAnsi="Arial" w:cs="Arial"/>
                <w:b/>
                <w:bCs/>
                <w:color w:val="000000"/>
                <w:sz w:val="16"/>
                <w:szCs w:val="16"/>
              </w:rPr>
              <w:t>al</w:t>
            </w:r>
          </w:p>
        </w:tc>
        <w:tc>
          <w:tcPr>
            <w:tcW w:w="1276" w:type="dxa"/>
            <w:tcBorders>
              <w:top w:val="single" w:sz="4" w:space="0" w:color="auto"/>
              <w:left w:val="nil"/>
              <w:bottom w:val="single" w:sz="4" w:space="0" w:color="auto"/>
              <w:right w:val="nil"/>
            </w:tcBorders>
            <w:shd w:val="clear" w:color="auto" w:fill="auto"/>
            <w:noWrap/>
            <w:vAlign w:val="bottom"/>
            <w:hideMark/>
          </w:tcPr>
          <w:p w14:paraId="271664DD" w14:textId="2F378BF2" w:rsidR="009505A6" w:rsidRPr="00546B48" w:rsidRDefault="007B4B32" w:rsidP="009505A6">
            <w:pPr>
              <w:spacing w:after="0" w:line="240" w:lineRule="auto"/>
              <w:jc w:val="right"/>
              <w:rPr>
                <w:rFonts w:ascii="Arial" w:hAnsi="Arial" w:cs="Arial"/>
                <w:b/>
                <w:bCs/>
                <w:color w:val="000000"/>
                <w:sz w:val="16"/>
                <w:szCs w:val="16"/>
              </w:rPr>
            </w:pPr>
            <w:r>
              <w:rPr>
                <w:rFonts w:ascii="Arial" w:hAnsi="Arial" w:cs="Arial"/>
                <w:b/>
                <w:bCs/>
                <w:color w:val="000000"/>
                <w:sz w:val="16"/>
                <w:szCs w:val="16"/>
              </w:rPr>
              <w:t>46,178</w:t>
            </w:r>
          </w:p>
        </w:tc>
        <w:tc>
          <w:tcPr>
            <w:tcW w:w="993" w:type="dxa"/>
            <w:tcBorders>
              <w:top w:val="single" w:sz="4" w:space="0" w:color="auto"/>
              <w:left w:val="nil"/>
              <w:bottom w:val="single" w:sz="4" w:space="0" w:color="auto"/>
              <w:right w:val="nil"/>
            </w:tcBorders>
            <w:shd w:val="clear" w:color="auto" w:fill="auto"/>
            <w:noWrap/>
            <w:vAlign w:val="bottom"/>
            <w:hideMark/>
          </w:tcPr>
          <w:p w14:paraId="2128350C" w14:textId="60F504BF" w:rsidR="009505A6" w:rsidRPr="00546B48" w:rsidRDefault="008065EC" w:rsidP="009505A6">
            <w:pPr>
              <w:spacing w:after="0" w:line="240" w:lineRule="auto"/>
              <w:jc w:val="right"/>
              <w:rPr>
                <w:rFonts w:ascii="Arial" w:hAnsi="Arial" w:cs="Arial"/>
                <w:b/>
                <w:bCs/>
                <w:color w:val="000000"/>
                <w:sz w:val="16"/>
                <w:szCs w:val="16"/>
              </w:rPr>
            </w:pPr>
            <w:r w:rsidRPr="00546B48">
              <w:rPr>
                <w:rFonts w:ascii="Arial" w:hAnsi="Arial" w:cs="Arial"/>
                <w:b/>
                <w:bCs/>
                <w:color w:val="000000"/>
                <w:sz w:val="16"/>
                <w:szCs w:val="16"/>
              </w:rPr>
              <w:t>44,505</w:t>
            </w:r>
          </w:p>
        </w:tc>
        <w:tc>
          <w:tcPr>
            <w:tcW w:w="992" w:type="dxa"/>
            <w:tcBorders>
              <w:top w:val="single" w:sz="4" w:space="0" w:color="auto"/>
              <w:left w:val="nil"/>
              <w:bottom w:val="single" w:sz="4" w:space="0" w:color="auto"/>
              <w:right w:val="nil"/>
            </w:tcBorders>
            <w:shd w:val="clear" w:color="auto" w:fill="auto"/>
            <w:noWrap/>
            <w:vAlign w:val="bottom"/>
            <w:hideMark/>
          </w:tcPr>
          <w:p w14:paraId="1E87E122" w14:textId="70ECF34A" w:rsidR="009505A6" w:rsidRPr="00546B48" w:rsidRDefault="008065EC" w:rsidP="007B4B32">
            <w:pPr>
              <w:spacing w:after="0" w:line="240" w:lineRule="auto"/>
              <w:jc w:val="right"/>
              <w:rPr>
                <w:rFonts w:ascii="Arial" w:hAnsi="Arial" w:cs="Arial"/>
                <w:b/>
                <w:bCs/>
                <w:color w:val="000000"/>
                <w:sz w:val="16"/>
                <w:szCs w:val="16"/>
              </w:rPr>
            </w:pPr>
            <w:r w:rsidRPr="00546B48">
              <w:rPr>
                <w:rFonts w:ascii="Arial" w:hAnsi="Arial" w:cs="Arial"/>
                <w:b/>
                <w:bCs/>
                <w:color w:val="000000"/>
                <w:sz w:val="16"/>
                <w:szCs w:val="16"/>
              </w:rPr>
              <w:t>44,</w:t>
            </w:r>
            <w:r w:rsidR="007B4B32">
              <w:rPr>
                <w:rFonts w:ascii="Arial" w:hAnsi="Arial" w:cs="Arial"/>
                <w:b/>
                <w:bCs/>
                <w:color w:val="000000"/>
                <w:sz w:val="16"/>
                <w:szCs w:val="16"/>
              </w:rPr>
              <w:t>50</w:t>
            </w:r>
            <w:r w:rsidRPr="00546B48">
              <w:rPr>
                <w:rFonts w:ascii="Arial" w:hAnsi="Arial" w:cs="Arial"/>
                <w:b/>
                <w:bCs/>
                <w:color w:val="000000"/>
                <w:sz w:val="16"/>
                <w:szCs w:val="16"/>
              </w:rPr>
              <w:t>5</w:t>
            </w:r>
          </w:p>
        </w:tc>
        <w:tc>
          <w:tcPr>
            <w:tcW w:w="920" w:type="dxa"/>
            <w:tcBorders>
              <w:top w:val="single" w:sz="4" w:space="0" w:color="auto"/>
              <w:left w:val="nil"/>
              <w:bottom w:val="single" w:sz="4" w:space="0" w:color="auto"/>
              <w:right w:val="nil"/>
            </w:tcBorders>
            <w:shd w:val="clear" w:color="000000" w:fill="E6E6E6"/>
            <w:noWrap/>
            <w:vAlign w:val="bottom"/>
            <w:hideMark/>
          </w:tcPr>
          <w:p w14:paraId="5DD48BAC" w14:textId="699F4966" w:rsidR="009505A6" w:rsidRPr="00546B48" w:rsidRDefault="009505A6" w:rsidP="009505A6">
            <w:pPr>
              <w:spacing w:after="0" w:line="240" w:lineRule="auto"/>
              <w:jc w:val="right"/>
              <w:rPr>
                <w:rFonts w:ascii="Arial" w:hAnsi="Arial" w:cs="Arial"/>
                <w:b/>
                <w:bCs/>
                <w:color w:val="000000"/>
                <w:sz w:val="16"/>
                <w:szCs w:val="16"/>
              </w:rPr>
            </w:pPr>
            <w:r w:rsidRPr="00546B48">
              <w:rPr>
                <w:rFonts w:ascii="Arial" w:hAnsi="Arial" w:cs="Arial"/>
                <w:b/>
                <w:bCs/>
                <w:color w:val="000000"/>
                <w:sz w:val="16"/>
                <w:szCs w:val="16"/>
              </w:rPr>
              <w:t>3,500</w:t>
            </w:r>
          </w:p>
        </w:tc>
        <w:tc>
          <w:tcPr>
            <w:tcW w:w="920" w:type="dxa"/>
            <w:tcBorders>
              <w:top w:val="single" w:sz="4" w:space="0" w:color="auto"/>
              <w:left w:val="nil"/>
              <w:bottom w:val="single" w:sz="4" w:space="0" w:color="auto"/>
            </w:tcBorders>
            <w:shd w:val="clear" w:color="000000" w:fill="E6E6E6"/>
            <w:noWrap/>
            <w:vAlign w:val="bottom"/>
            <w:hideMark/>
          </w:tcPr>
          <w:p w14:paraId="3DFF39C6" w14:textId="573E0412" w:rsidR="009505A6" w:rsidRPr="00546B48" w:rsidRDefault="007B4B32" w:rsidP="007B4B32">
            <w:pPr>
              <w:spacing w:after="0" w:line="240" w:lineRule="auto"/>
              <w:jc w:val="right"/>
              <w:rPr>
                <w:rFonts w:ascii="Arial" w:hAnsi="Arial" w:cs="Arial"/>
                <w:b/>
                <w:bCs/>
                <w:color w:val="000000"/>
                <w:sz w:val="16"/>
                <w:szCs w:val="16"/>
              </w:rPr>
            </w:pPr>
            <w:r>
              <w:rPr>
                <w:rFonts w:ascii="Arial" w:hAnsi="Arial" w:cs="Arial"/>
                <w:b/>
                <w:bCs/>
                <w:color w:val="000000"/>
                <w:sz w:val="16"/>
                <w:szCs w:val="16"/>
              </w:rPr>
              <w:t>(3</w:t>
            </w:r>
            <w:r w:rsidR="008065EC" w:rsidRPr="00546B48">
              <w:rPr>
                <w:rFonts w:ascii="Arial" w:hAnsi="Arial" w:cs="Arial"/>
                <w:b/>
                <w:bCs/>
                <w:color w:val="000000"/>
                <w:sz w:val="16"/>
                <w:szCs w:val="16"/>
              </w:rPr>
              <w:t>,</w:t>
            </w:r>
            <w:r>
              <w:rPr>
                <w:rFonts w:ascii="Arial" w:hAnsi="Arial" w:cs="Arial"/>
                <w:b/>
                <w:bCs/>
                <w:color w:val="000000"/>
                <w:sz w:val="16"/>
                <w:szCs w:val="16"/>
              </w:rPr>
              <w:t>500)</w:t>
            </w:r>
          </w:p>
        </w:tc>
      </w:tr>
    </w:tbl>
    <w:p w14:paraId="10F9FE03" w14:textId="3AAD96E4" w:rsidR="009505A6" w:rsidRDefault="009505A6" w:rsidP="009505A6">
      <w:pPr>
        <w:pStyle w:val="TableGraphic"/>
        <w:rPr>
          <w:i w:val="0"/>
          <w:color w:val="auto"/>
        </w:rPr>
      </w:pPr>
    </w:p>
    <w:p w14:paraId="54E8A592" w14:textId="4F43B3A2" w:rsidR="008F4215" w:rsidRPr="008F4215" w:rsidRDefault="008F4215" w:rsidP="008F4215">
      <w:pPr>
        <w:spacing w:after="0"/>
      </w:pPr>
      <w:r w:rsidRPr="0004022C">
        <w:rPr>
          <w:rFonts w:ascii="Arial" w:hAnsi="Arial" w:cs="Arial"/>
          <w:b/>
          <w:bCs/>
          <w:color w:val="000000"/>
          <w:sz w:val="18"/>
          <w:szCs w:val="18"/>
        </w:rPr>
        <w:t>Table 1.5</w:t>
      </w:r>
      <w:r>
        <w:rPr>
          <w:rFonts w:ascii="Arial" w:hAnsi="Arial" w:cs="Arial"/>
          <w:b/>
          <w:bCs/>
          <w:color w:val="000000"/>
          <w:sz w:val="18"/>
          <w:szCs w:val="18"/>
        </w:rPr>
        <w:t>:</w:t>
      </w:r>
      <w:r w:rsidRPr="0004022C">
        <w:rPr>
          <w:rFonts w:ascii="Arial" w:hAnsi="Arial" w:cs="Arial"/>
          <w:b/>
          <w:bCs/>
          <w:color w:val="000000"/>
          <w:sz w:val="18"/>
          <w:szCs w:val="18"/>
        </w:rPr>
        <w:t xml:space="preserve"> Appropriation Bill (No. 4) 2021-22</w:t>
      </w:r>
    </w:p>
    <w:tbl>
      <w:tblPr>
        <w:tblW w:w="7632" w:type="dxa"/>
        <w:tblLook w:val="04A0" w:firstRow="1" w:lastRow="0" w:firstColumn="1" w:lastColumn="0" w:noHBand="0" w:noVBand="1"/>
      </w:tblPr>
      <w:tblGrid>
        <w:gridCol w:w="2978"/>
        <w:gridCol w:w="873"/>
        <w:gridCol w:w="969"/>
        <w:gridCol w:w="992"/>
        <w:gridCol w:w="919"/>
        <w:gridCol w:w="901"/>
      </w:tblGrid>
      <w:tr w:rsidR="008F4215" w:rsidRPr="0004022C" w14:paraId="0A6ECAA9" w14:textId="77777777" w:rsidTr="00C61E8F">
        <w:trPr>
          <w:trHeight w:val="490"/>
        </w:trPr>
        <w:tc>
          <w:tcPr>
            <w:tcW w:w="2978" w:type="dxa"/>
            <w:tcBorders>
              <w:top w:val="single" w:sz="4" w:space="0" w:color="auto"/>
              <w:left w:val="nil"/>
              <w:bottom w:val="nil"/>
              <w:right w:val="nil"/>
            </w:tcBorders>
            <w:shd w:val="clear" w:color="auto" w:fill="auto"/>
            <w:noWrap/>
            <w:vAlign w:val="center"/>
            <w:hideMark/>
          </w:tcPr>
          <w:p w14:paraId="73CC6E3A" w14:textId="77777777" w:rsidR="008F4215" w:rsidRPr="0004022C" w:rsidRDefault="008F4215" w:rsidP="00AB6075">
            <w:pPr>
              <w:spacing w:after="0" w:line="240" w:lineRule="auto"/>
              <w:jc w:val="left"/>
              <w:rPr>
                <w:rFonts w:ascii="Arial" w:hAnsi="Arial" w:cs="Arial"/>
                <w:color w:val="000000"/>
                <w:sz w:val="16"/>
                <w:szCs w:val="16"/>
              </w:rPr>
            </w:pPr>
            <w:r w:rsidRPr="0004022C">
              <w:rPr>
                <w:rFonts w:ascii="Arial" w:hAnsi="Arial" w:cs="Arial"/>
                <w:color w:val="000000"/>
                <w:sz w:val="16"/>
                <w:szCs w:val="16"/>
              </w:rPr>
              <w:t> </w:t>
            </w:r>
          </w:p>
        </w:tc>
        <w:tc>
          <w:tcPr>
            <w:tcW w:w="873" w:type="dxa"/>
            <w:tcBorders>
              <w:top w:val="single" w:sz="4" w:space="0" w:color="auto"/>
              <w:left w:val="nil"/>
              <w:bottom w:val="single" w:sz="4" w:space="0" w:color="000000"/>
              <w:right w:val="nil"/>
            </w:tcBorders>
            <w:shd w:val="clear" w:color="auto" w:fill="auto"/>
            <w:vAlign w:val="center"/>
            <w:hideMark/>
          </w:tcPr>
          <w:p w14:paraId="04AD9EE2" w14:textId="77777777" w:rsidR="008F4215" w:rsidRPr="0004022C" w:rsidRDefault="008F4215" w:rsidP="00AB6075">
            <w:pPr>
              <w:spacing w:after="0" w:line="240" w:lineRule="auto"/>
              <w:jc w:val="right"/>
              <w:rPr>
                <w:rFonts w:ascii="Arial" w:hAnsi="Arial" w:cs="Arial"/>
                <w:color w:val="000000"/>
                <w:sz w:val="16"/>
                <w:szCs w:val="16"/>
              </w:rPr>
            </w:pPr>
            <w:r w:rsidRPr="0004022C">
              <w:rPr>
                <w:rFonts w:ascii="Arial" w:hAnsi="Arial" w:cs="Arial"/>
                <w:color w:val="000000"/>
                <w:sz w:val="16"/>
                <w:szCs w:val="16"/>
              </w:rPr>
              <w:t>2020-21</w:t>
            </w:r>
            <w:r w:rsidRPr="0004022C">
              <w:rPr>
                <w:rFonts w:ascii="Arial" w:hAnsi="Arial" w:cs="Arial"/>
                <w:color w:val="000000"/>
                <w:sz w:val="16"/>
                <w:szCs w:val="16"/>
              </w:rPr>
              <w:br/>
              <w:t>Available</w:t>
            </w:r>
            <w:r w:rsidRPr="0004022C">
              <w:rPr>
                <w:rFonts w:ascii="Arial" w:hAnsi="Arial" w:cs="Arial"/>
                <w:color w:val="000000"/>
                <w:sz w:val="16"/>
                <w:szCs w:val="16"/>
              </w:rPr>
              <w:br/>
              <w:t>$'000</w:t>
            </w:r>
          </w:p>
        </w:tc>
        <w:tc>
          <w:tcPr>
            <w:tcW w:w="969" w:type="dxa"/>
            <w:tcBorders>
              <w:top w:val="single" w:sz="4" w:space="0" w:color="auto"/>
              <w:left w:val="nil"/>
              <w:bottom w:val="single" w:sz="4" w:space="0" w:color="000000"/>
              <w:right w:val="nil"/>
            </w:tcBorders>
            <w:shd w:val="clear" w:color="auto" w:fill="auto"/>
            <w:vAlign w:val="center"/>
            <w:hideMark/>
          </w:tcPr>
          <w:p w14:paraId="13B508AA" w14:textId="77777777" w:rsidR="008F4215" w:rsidRPr="0004022C" w:rsidRDefault="008F4215" w:rsidP="00AB6075">
            <w:pPr>
              <w:spacing w:after="0" w:line="240" w:lineRule="auto"/>
              <w:jc w:val="right"/>
              <w:rPr>
                <w:rFonts w:ascii="Arial" w:hAnsi="Arial" w:cs="Arial"/>
                <w:color w:val="000000"/>
                <w:sz w:val="16"/>
                <w:szCs w:val="16"/>
              </w:rPr>
            </w:pPr>
            <w:r w:rsidRPr="0004022C">
              <w:rPr>
                <w:rFonts w:ascii="Arial" w:hAnsi="Arial" w:cs="Arial"/>
                <w:color w:val="000000"/>
                <w:sz w:val="16"/>
                <w:szCs w:val="16"/>
              </w:rPr>
              <w:t>2021-22</w:t>
            </w:r>
            <w:r w:rsidRPr="0004022C">
              <w:rPr>
                <w:rFonts w:ascii="Arial" w:hAnsi="Arial" w:cs="Arial"/>
                <w:color w:val="000000"/>
                <w:sz w:val="16"/>
                <w:szCs w:val="16"/>
              </w:rPr>
              <w:br/>
              <w:t>Budget</w:t>
            </w:r>
            <w:r w:rsidRPr="0004022C">
              <w:rPr>
                <w:rFonts w:ascii="Arial" w:hAnsi="Arial" w:cs="Arial"/>
                <w:color w:val="000000"/>
                <w:sz w:val="16"/>
                <w:szCs w:val="16"/>
              </w:rPr>
              <w:br/>
              <w:t>$'000</w:t>
            </w:r>
          </w:p>
        </w:tc>
        <w:tc>
          <w:tcPr>
            <w:tcW w:w="992" w:type="dxa"/>
            <w:tcBorders>
              <w:top w:val="single" w:sz="4" w:space="0" w:color="auto"/>
              <w:left w:val="nil"/>
              <w:bottom w:val="single" w:sz="4" w:space="0" w:color="000000"/>
              <w:right w:val="nil"/>
            </w:tcBorders>
            <w:shd w:val="clear" w:color="auto" w:fill="auto"/>
            <w:vAlign w:val="center"/>
            <w:hideMark/>
          </w:tcPr>
          <w:p w14:paraId="231A1CF4" w14:textId="77777777" w:rsidR="008F4215" w:rsidRPr="0004022C" w:rsidRDefault="008F4215" w:rsidP="00AB6075">
            <w:pPr>
              <w:spacing w:after="0" w:line="240" w:lineRule="auto"/>
              <w:jc w:val="right"/>
              <w:rPr>
                <w:rFonts w:ascii="Arial" w:hAnsi="Arial" w:cs="Arial"/>
                <w:color w:val="000000"/>
                <w:sz w:val="16"/>
                <w:szCs w:val="16"/>
              </w:rPr>
            </w:pPr>
            <w:r w:rsidRPr="0004022C">
              <w:rPr>
                <w:rFonts w:ascii="Arial" w:hAnsi="Arial" w:cs="Arial"/>
                <w:color w:val="000000"/>
                <w:sz w:val="16"/>
                <w:szCs w:val="16"/>
              </w:rPr>
              <w:t>2021-22</w:t>
            </w:r>
            <w:r w:rsidRPr="0004022C">
              <w:rPr>
                <w:rFonts w:ascii="Arial" w:hAnsi="Arial" w:cs="Arial"/>
                <w:color w:val="000000"/>
                <w:sz w:val="16"/>
                <w:szCs w:val="16"/>
              </w:rPr>
              <w:br/>
              <w:t>Revised</w:t>
            </w:r>
            <w:r w:rsidRPr="0004022C">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3BD58326" w14:textId="77777777" w:rsidR="008F4215" w:rsidRPr="0004022C" w:rsidRDefault="008F4215" w:rsidP="00AB6075">
            <w:pPr>
              <w:spacing w:after="0" w:line="240" w:lineRule="auto"/>
              <w:jc w:val="right"/>
              <w:rPr>
                <w:rFonts w:ascii="Arial" w:hAnsi="Arial" w:cs="Arial"/>
                <w:color w:val="000000"/>
                <w:sz w:val="16"/>
                <w:szCs w:val="16"/>
              </w:rPr>
            </w:pPr>
            <w:r w:rsidRPr="0004022C">
              <w:rPr>
                <w:rFonts w:ascii="Arial" w:hAnsi="Arial" w:cs="Arial"/>
                <w:color w:val="000000"/>
                <w:sz w:val="16"/>
                <w:szCs w:val="16"/>
              </w:rPr>
              <w:t>Additional estimates</w:t>
            </w:r>
            <w:r w:rsidRPr="0004022C">
              <w:rPr>
                <w:rFonts w:ascii="Arial" w:hAnsi="Arial" w:cs="Arial"/>
                <w:color w:val="000000"/>
                <w:sz w:val="16"/>
                <w:szCs w:val="16"/>
              </w:rPr>
              <w:br/>
              <w:t>$'000</w:t>
            </w:r>
          </w:p>
        </w:tc>
        <w:tc>
          <w:tcPr>
            <w:tcW w:w="901" w:type="dxa"/>
            <w:tcBorders>
              <w:top w:val="single" w:sz="4" w:space="0" w:color="auto"/>
              <w:left w:val="nil"/>
              <w:bottom w:val="single" w:sz="4" w:space="0" w:color="000000"/>
              <w:right w:val="nil"/>
            </w:tcBorders>
            <w:shd w:val="clear" w:color="000000" w:fill="E6E6E6"/>
            <w:vAlign w:val="center"/>
            <w:hideMark/>
          </w:tcPr>
          <w:p w14:paraId="09151FBA" w14:textId="77777777" w:rsidR="008F4215" w:rsidRPr="0004022C" w:rsidRDefault="008F4215" w:rsidP="00AB6075">
            <w:pPr>
              <w:spacing w:after="0" w:line="240" w:lineRule="auto"/>
              <w:jc w:val="right"/>
              <w:rPr>
                <w:rFonts w:ascii="Arial" w:hAnsi="Arial" w:cs="Arial"/>
                <w:color w:val="000000"/>
                <w:sz w:val="16"/>
                <w:szCs w:val="16"/>
              </w:rPr>
            </w:pPr>
            <w:r w:rsidRPr="0004022C">
              <w:rPr>
                <w:rFonts w:ascii="Arial" w:hAnsi="Arial" w:cs="Arial"/>
                <w:color w:val="000000"/>
                <w:sz w:val="16"/>
                <w:szCs w:val="16"/>
              </w:rPr>
              <w:t>Reduced estimates</w:t>
            </w:r>
            <w:r w:rsidRPr="0004022C">
              <w:rPr>
                <w:rFonts w:ascii="Arial" w:hAnsi="Arial" w:cs="Arial"/>
                <w:color w:val="000000"/>
                <w:sz w:val="16"/>
                <w:szCs w:val="16"/>
              </w:rPr>
              <w:br/>
              <w:t>$'000</w:t>
            </w:r>
          </w:p>
        </w:tc>
      </w:tr>
      <w:tr w:rsidR="008F4215" w:rsidRPr="0004022C" w14:paraId="49C6C427" w14:textId="77777777" w:rsidTr="00C61E8F">
        <w:trPr>
          <w:trHeight w:val="204"/>
        </w:trPr>
        <w:tc>
          <w:tcPr>
            <w:tcW w:w="2978" w:type="dxa"/>
            <w:tcBorders>
              <w:top w:val="nil"/>
              <w:left w:val="nil"/>
              <w:bottom w:val="nil"/>
              <w:right w:val="nil"/>
            </w:tcBorders>
            <w:shd w:val="clear" w:color="auto" w:fill="auto"/>
            <w:noWrap/>
            <w:vAlign w:val="center"/>
            <w:hideMark/>
          </w:tcPr>
          <w:p w14:paraId="57616FB0" w14:textId="77777777" w:rsidR="008F4215" w:rsidRPr="0004022C" w:rsidRDefault="008F4215" w:rsidP="00AB6075">
            <w:pPr>
              <w:spacing w:after="0" w:line="240" w:lineRule="auto"/>
              <w:jc w:val="left"/>
              <w:rPr>
                <w:rFonts w:ascii="Arial" w:hAnsi="Arial" w:cs="Arial"/>
                <w:b/>
                <w:bCs/>
                <w:color w:val="000000"/>
                <w:sz w:val="16"/>
                <w:szCs w:val="16"/>
              </w:rPr>
            </w:pPr>
            <w:r w:rsidRPr="0004022C">
              <w:rPr>
                <w:rFonts w:ascii="Arial" w:hAnsi="Arial" w:cs="Arial"/>
                <w:b/>
                <w:bCs/>
                <w:color w:val="000000"/>
                <w:sz w:val="16"/>
                <w:szCs w:val="16"/>
              </w:rPr>
              <w:t>Non-operating</w:t>
            </w:r>
          </w:p>
        </w:tc>
        <w:tc>
          <w:tcPr>
            <w:tcW w:w="873" w:type="dxa"/>
            <w:tcBorders>
              <w:top w:val="single" w:sz="4" w:space="0" w:color="auto"/>
              <w:left w:val="nil"/>
              <w:bottom w:val="nil"/>
              <w:right w:val="nil"/>
            </w:tcBorders>
            <w:shd w:val="clear" w:color="auto" w:fill="auto"/>
            <w:noWrap/>
            <w:vAlign w:val="bottom"/>
            <w:hideMark/>
          </w:tcPr>
          <w:p w14:paraId="500698EA" w14:textId="77777777" w:rsidR="008F4215" w:rsidRPr="0004022C" w:rsidRDefault="008F4215" w:rsidP="00AB6075">
            <w:pPr>
              <w:spacing w:after="0" w:line="240" w:lineRule="auto"/>
              <w:jc w:val="right"/>
              <w:rPr>
                <w:rFonts w:ascii="Arial" w:hAnsi="Arial" w:cs="Arial"/>
                <w:color w:val="000000"/>
                <w:sz w:val="16"/>
                <w:szCs w:val="16"/>
              </w:rPr>
            </w:pPr>
          </w:p>
        </w:tc>
        <w:tc>
          <w:tcPr>
            <w:tcW w:w="969" w:type="dxa"/>
            <w:tcBorders>
              <w:top w:val="single" w:sz="4" w:space="0" w:color="auto"/>
              <w:left w:val="nil"/>
              <w:bottom w:val="nil"/>
              <w:right w:val="nil"/>
            </w:tcBorders>
            <w:shd w:val="clear" w:color="auto" w:fill="auto"/>
            <w:noWrap/>
            <w:vAlign w:val="bottom"/>
            <w:hideMark/>
          </w:tcPr>
          <w:p w14:paraId="28252B04" w14:textId="77777777" w:rsidR="008F4215" w:rsidRPr="0004022C" w:rsidRDefault="008F4215" w:rsidP="00AB6075">
            <w:pPr>
              <w:spacing w:after="0" w:line="240" w:lineRule="auto"/>
              <w:jc w:val="right"/>
              <w:rPr>
                <w:rFonts w:ascii="Arial" w:hAnsi="Arial" w:cs="Arial"/>
                <w:color w:val="000000"/>
                <w:sz w:val="16"/>
                <w:szCs w:val="16"/>
              </w:rPr>
            </w:pPr>
          </w:p>
        </w:tc>
        <w:tc>
          <w:tcPr>
            <w:tcW w:w="992" w:type="dxa"/>
            <w:tcBorders>
              <w:top w:val="single" w:sz="4" w:space="0" w:color="auto"/>
              <w:left w:val="nil"/>
              <w:bottom w:val="nil"/>
              <w:right w:val="nil"/>
            </w:tcBorders>
            <w:shd w:val="clear" w:color="auto" w:fill="auto"/>
            <w:noWrap/>
            <w:vAlign w:val="bottom"/>
            <w:hideMark/>
          </w:tcPr>
          <w:p w14:paraId="34F00269" w14:textId="77777777" w:rsidR="008F4215" w:rsidRPr="0004022C" w:rsidRDefault="008F4215" w:rsidP="00AB6075">
            <w:pPr>
              <w:spacing w:after="0" w:line="240" w:lineRule="auto"/>
              <w:jc w:val="right"/>
              <w:rPr>
                <w:rFonts w:ascii="Arial" w:hAnsi="Arial" w:cs="Arial"/>
                <w:color w:val="000000"/>
                <w:sz w:val="16"/>
                <w:szCs w:val="16"/>
              </w:rPr>
            </w:pPr>
          </w:p>
        </w:tc>
        <w:tc>
          <w:tcPr>
            <w:tcW w:w="919" w:type="dxa"/>
            <w:tcBorders>
              <w:top w:val="single" w:sz="4" w:space="0" w:color="auto"/>
              <w:left w:val="nil"/>
              <w:bottom w:val="nil"/>
              <w:right w:val="nil"/>
            </w:tcBorders>
            <w:shd w:val="clear" w:color="000000" w:fill="E6E6E6"/>
            <w:noWrap/>
            <w:vAlign w:val="bottom"/>
            <w:hideMark/>
          </w:tcPr>
          <w:p w14:paraId="76993455" w14:textId="77777777" w:rsidR="008F4215" w:rsidRPr="0004022C" w:rsidRDefault="008F4215" w:rsidP="00AB6075">
            <w:pPr>
              <w:spacing w:after="0" w:line="240" w:lineRule="auto"/>
              <w:jc w:val="right"/>
              <w:rPr>
                <w:rFonts w:ascii="Arial" w:hAnsi="Arial" w:cs="Arial"/>
                <w:color w:val="000000"/>
                <w:sz w:val="16"/>
                <w:szCs w:val="16"/>
              </w:rPr>
            </w:pPr>
          </w:p>
        </w:tc>
        <w:tc>
          <w:tcPr>
            <w:tcW w:w="901" w:type="dxa"/>
            <w:tcBorders>
              <w:top w:val="single" w:sz="4" w:space="0" w:color="auto"/>
              <w:left w:val="nil"/>
              <w:bottom w:val="nil"/>
              <w:right w:val="nil"/>
            </w:tcBorders>
            <w:shd w:val="clear" w:color="000000" w:fill="E6E6E6"/>
            <w:noWrap/>
            <w:vAlign w:val="bottom"/>
            <w:hideMark/>
          </w:tcPr>
          <w:p w14:paraId="6E7997F0" w14:textId="77777777" w:rsidR="008F4215" w:rsidRPr="0004022C" w:rsidRDefault="008F4215" w:rsidP="00AB6075">
            <w:pPr>
              <w:spacing w:after="0" w:line="240" w:lineRule="auto"/>
              <w:jc w:val="right"/>
              <w:rPr>
                <w:rFonts w:ascii="Arial" w:hAnsi="Arial" w:cs="Arial"/>
                <w:color w:val="000000"/>
                <w:sz w:val="16"/>
                <w:szCs w:val="16"/>
              </w:rPr>
            </w:pPr>
          </w:p>
        </w:tc>
      </w:tr>
      <w:tr w:rsidR="008F4215" w:rsidRPr="0004022C" w14:paraId="3D9EB460" w14:textId="77777777" w:rsidTr="00C61E8F">
        <w:trPr>
          <w:trHeight w:val="204"/>
        </w:trPr>
        <w:tc>
          <w:tcPr>
            <w:tcW w:w="2978" w:type="dxa"/>
            <w:tcBorders>
              <w:top w:val="nil"/>
              <w:left w:val="nil"/>
              <w:bottom w:val="nil"/>
              <w:right w:val="nil"/>
            </w:tcBorders>
            <w:shd w:val="clear" w:color="auto" w:fill="auto"/>
            <w:noWrap/>
            <w:vAlign w:val="center"/>
            <w:hideMark/>
          </w:tcPr>
          <w:p w14:paraId="695FF0A5" w14:textId="77777777" w:rsidR="008F4215" w:rsidRPr="0004022C" w:rsidRDefault="008F4215" w:rsidP="00AB6075">
            <w:pPr>
              <w:spacing w:after="0" w:line="240" w:lineRule="auto"/>
              <w:ind w:left="227"/>
              <w:jc w:val="left"/>
              <w:rPr>
                <w:rFonts w:ascii="Arial" w:hAnsi="Arial" w:cs="Arial"/>
                <w:color w:val="000000"/>
                <w:sz w:val="16"/>
                <w:szCs w:val="16"/>
              </w:rPr>
            </w:pPr>
            <w:r w:rsidRPr="0004022C">
              <w:rPr>
                <w:rFonts w:ascii="Arial" w:hAnsi="Arial" w:cs="Arial"/>
                <w:color w:val="000000"/>
                <w:sz w:val="16"/>
                <w:szCs w:val="16"/>
              </w:rPr>
              <w:t>Administered assets and liabilities</w:t>
            </w:r>
          </w:p>
        </w:tc>
        <w:tc>
          <w:tcPr>
            <w:tcW w:w="873" w:type="dxa"/>
            <w:tcBorders>
              <w:top w:val="nil"/>
              <w:left w:val="nil"/>
              <w:bottom w:val="nil"/>
              <w:right w:val="nil"/>
            </w:tcBorders>
            <w:shd w:val="clear" w:color="auto" w:fill="auto"/>
            <w:noWrap/>
            <w:vAlign w:val="bottom"/>
            <w:hideMark/>
          </w:tcPr>
          <w:p w14:paraId="209FDA09" w14:textId="77777777" w:rsidR="008F4215" w:rsidRPr="0004022C" w:rsidRDefault="008F4215" w:rsidP="00AB6075">
            <w:pPr>
              <w:spacing w:after="0" w:line="240" w:lineRule="auto"/>
              <w:jc w:val="right"/>
              <w:rPr>
                <w:rFonts w:ascii="Arial" w:hAnsi="Arial" w:cs="Arial"/>
                <w:color w:val="000000"/>
                <w:sz w:val="16"/>
                <w:szCs w:val="16"/>
              </w:rPr>
            </w:pPr>
            <w:r w:rsidRPr="0004022C">
              <w:rPr>
                <w:rFonts w:ascii="Arial" w:hAnsi="Arial" w:cs="Arial"/>
                <w:color w:val="000000"/>
                <w:sz w:val="16"/>
                <w:szCs w:val="16"/>
              </w:rPr>
              <w:t>1,935</w:t>
            </w:r>
          </w:p>
        </w:tc>
        <w:tc>
          <w:tcPr>
            <w:tcW w:w="969" w:type="dxa"/>
            <w:tcBorders>
              <w:top w:val="nil"/>
              <w:left w:val="nil"/>
              <w:bottom w:val="nil"/>
              <w:right w:val="nil"/>
            </w:tcBorders>
            <w:shd w:val="clear" w:color="auto" w:fill="auto"/>
            <w:noWrap/>
            <w:vAlign w:val="bottom"/>
            <w:hideMark/>
          </w:tcPr>
          <w:p w14:paraId="2F7C5AEB" w14:textId="0479AFB1" w:rsidR="008F4215" w:rsidRPr="0004022C" w:rsidRDefault="008065EC" w:rsidP="00546B48">
            <w:pPr>
              <w:spacing w:after="0" w:line="240" w:lineRule="auto"/>
              <w:jc w:val="right"/>
              <w:rPr>
                <w:rFonts w:ascii="Arial" w:hAnsi="Arial" w:cs="Arial"/>
                <w:color w:val="000000"/>
                <w:sz w:val="16"/>
                <w:szCs w:val="16"/>
              </w:rPr>
            </w:pPr>
            <w:r>
              <w:rPr>
                <w:rFonts w:ascii="Arial" w:hAnsi="Arial" w:cs="Arial"/>
                <w:color w:val="000000"/>
                <w:sz w:val="16"/>
                <w:szCs w:val="16"/>
              </w:rPr>
              <w:t>27</w:t>
            </w:r>
            <w:r w:rsidR="00546B48">
              <w:rPr>
                <w:rFonts w:ascii="Arial" w:hAnsi="Arial" w:cs="Arial"/>
                <w:color w:val="000000"/>
                <w:sz w:val="16"/>
                <w:szCs w:val="16"/>
              </w:rPr>
              <w:t>,</w:t>
            </w:r>
            <w:r>
              <w:rPr>
                <w:rFonts w:ascii="Arial" w:hAnsi="Arial" w:cs="Arial"/>
                <w:color w:val="000000"/>
                <w:sz w:val="16"/>
                <w:szCs w:val="16"/>
              </w:rPr>
              <w:t>657</w:t>
            </w:r>
          </w:p>
        </w:tc>
        <w:tc>
          <w:tcPr>
            <w:tcW w:w="992" w:type="dxa"/>
            <w:tcBorders>
              <w:top w:val="nil"/>
              <w:left w:val="nil"/>
              <w:bottom w:val="nil"/>
              <w:right w:val="nil"/>
            </w:tcBorders>
            <w:shd w:val="clear" w:color="auto" w:fill="auto"/>
            <w:noWrap/>
            <w:vAlign w:val="bottom"/>
            <w:hideMark/>
          </w:tcPr>
          <w:p w14:paraId="50B8C66E" w14:textId="4E5715A2" w:rsidR="008F4215" w:rsidRPr="0004022C" w:rsidRDefault="007F37F4" w:rsidP="00546B48">
            <w:pPr>
              <w:spacing w:after="0" w:line="240" w:lineRule="auto"/>
              <w:jc w:val="right"/>
              <w:rPr>
                <w:rFonts w:ascii="Arial" w:hAnsi="Arial" w:cs="Arial"/>
                <w:color w:val="000000"/>
                <w:sz w:val="16"/>
                <w:szCs w:val="16"/>
              </w:rPr>
            </w:pPr>
            <w:r>
              <w:rPr>
                <w:rFonts w:ascii="Arial" w:hAnsi="Arial" w:cs="Arial"/>
                <w:color w:val="000000"/>
                <w:sz w:val="16"/>
                <w:szCs w:val="16"/>
              </w:rPr>
              <w:t>28,907</w:t>
            </w:r>
          </w:p>
        </w:tc>
        <w:tc>
          <w:tcPr>
            <w:tcW w:w="919" w:type="dxa"/>
            <w:tcBorders>
              <w:top w:val="nil"/>
              <w:left w:val="nil"/>
              <w:bottom w:val="nil"/>
              <w:right w:val="nil"/>
            </w:tcBorders>
            <w:shd w:val="clear" w:color="000000" w:fill="E6E6E6"/>
            <w:noWrap/>
            <w:vAlign w:val="bottom"/>
            <w:hideMark/>
          </w:tcPr>
          <w:p w14:paraId="5BA15ABA" w14:textId="56758CEB" w:rsidR="008F4215" w:rsidRPr="0004022C" w:rsidRDefault="007F37F4" w:rsidP="007F37F4">
            <w:pPr>
              <w:spacing w:after="0" w:line="240" w:lineRule="auto"/>
              <w:jc w:val="right"/>
              <w:rPr>
                <w:rFonts w:ascii="Arial" w:hAnsi="Arial" w:cs="Arial"/>
                <w:color w:val="000000"/>
                <w:sz w:val="16"/>
                <w:szCs w:val="16"/>
              </w:rPr>
            </w:pPr>
            <w:r>
              <w:rPr>
                <w:rFonts w:ascii="Arial" w:hAnsi="Arial" w:cs="Arial"/>
                <w:color w:val="000000"/>
                <w:sz w:val="16"/>
                <w:szCs w:val="16"/>
              </w:rPr>
              <w:t>1,250</w:t>
            </w:r>
          </w:p>
        </w:tc>
        <w:tc>
          <w:tcPr>
            <w:tcW w:w="901" w:type="dxa"/>
            <w:tcBorders>
              <w:top w:val="nil"/>
              <w:left w:val="nil"/>
              <w:bottom w:val="nil"/>
              <w:right w:val="nil"/>
            </w:tcBorders>
            <w:shd w:val="clear" w:color="000000" w:fill="E6E6E6"/>
            <w:noWrap/>
            <w:vAlign w:val="bottom"/>
            <w:hideMark/>
          </w:tcPr>
          <w:p w14:paraId="58227992" w14:textId="4AD0459D" w:rsidR="008F4215" w:rsidRPr="0004022C" w:rsidRDefault="008F4215" w:rsidP="007F37F4">
            <w:pPr>
              <w:spacing w:after="0" w:line="240" w:lineRule="auto"/>
              <w:jc w:val="right"/>
              <w:rPr>
                <w:rFonts w:ascii="Arial" w:hAnsi="Arial" w:cs="Arial"/>
                <w:color w:val="000000"/>
                <w:sz w:val="16"/>
                <w:szCs w:val="16"/>
              </w:rPr>
            </w:pPr>
            <w:r w:rsidRPr="0004022C">
              <w:rPr>
                <w:rFonts w:ascii="Arial" w:hAnsi="Arial" w:cs="Arial"/>
                <w:color w:val="000000"/>
                <w:sz w:val="16"/>
                <w:szCs w:val="16"/>
              </w:rPr>
              <w:t>-</w:t>
            </w:r>
          </w:p>
        </w:tc>
      </w:tr>
      <w:tr w:rsidR="008065EC" w:rsidRPr="0004022C" w14:paraId="7167913F" w14:textId="77777777" w:rsidTr="00C61E8F">
        <w:trPr>
          <w:trHeight w:val="204"/>
        </w:trPr>
        <w:tc>
          <w:tcPr>
            <w:tcW w:w="2978" w:type="dxa"/>
            <w:tcBorders>
              <w:top w:val="nil"/>
              <w:left w:val="nil"/>
              <w:bottom w:val="nil"/>
              <w:right w:val="nil"/>
            </w:tcBorders>
            <w:shd w:val="clear" w:color="auto" w:fill="auto"/>
            <w:noWrap/>
            <w:vAlign w:val="center"/>
            <w:hideMark/>
          </w:tcPr>
          <w:p w14:paraId="0C7A94A7" w14:textId="77777777" w:rsidR="008065EC" w:rsidRPr="0004022C" w:rsidRDefault="008065EC" w:rsidP="008065EC">
            <w:pPr>
              <w:spacing w:after="0" w:line="240" w:lineRule="auto"/>
              <w:jc w:val="left"/>
              <w:rPr>
                <w:rFonts w:ascii="Arial" w:hAnsi="Arial" w:cs="Arial"/>
                <w:b/>
                <w:bCs/>
                <w:color w:val="000000"/>
                <w:sz w:val="16"/>
                <w:szCs w:val="16"/>
              </w:rPr>
            </w:pPr>
            <w:r w:rsidRPr="0004022C">
              <w:rPr>
                <w:rFonts w:ascii="Arial" w:hAnsi="Arial" w:cs="Arial"/>
                <w:b/>
                <w:bCs/>
                <w:color w:val="000000"/>
                <w:sz w:val="16"/>
                <w:szCs w:val="16"/>
              </w:rPr>
              <w:t>Total non-operating</w:t>
            </w:r>
          </w:p>
        </w:tc>
        <w:tc>
          <w:tcPr>
            <w:tcW w:w="873" w:type="dxa"/>
            <w:tcBorders>
              <w:top w:val="single" w:sz="4" w:space="0" w:color="auto"/>
              <w:left w:val="nil"/>
              <w:bottom w:val="nil"/>
              <w:right w:val="nil"/>
            </w:tcBorders>
            <w:shd w:val="clear" w:color="auto" w:fill="auto"/>
            <w:noWrap/>
            <w:vAlign w:val="bottom"/>
            <w:hideMark/>
          </w:tcPr>
          <w:p w14:paraId="55A592F9" w14:textId="77777777" w:rsidR="008065EC" w:rsidRPr="009E77AC" w:rsidRDefault="008065EC" w:rsidP="008065EC">
            <w:pPr>
              <w:spacing w:after="0" w:line="240" w:lineRule="auto"/>
              <w:jc w:val="right"/>
              <w:rPr>
                <w:rFonts w:ascii="Arial" w:hAnsi="Arial" w:cs="Arial"/>
                <w:b/>
                <w:bCs/>
                <w:color w:val="000000"/>
                <w:sz w:val="16"/>
                <w:szCs w:val="16"/>
              </w:rPr>
            </w:pPr>
            <w:r w:rsidRPr="009E77AC">
              <w:rPr>
                <w:rFonts w:ascii="Arial" w:hAnsi="Arial" w:cs="Arial"/>
                <w:b/>
                <w:color w:val="000000"/>
                <w:sz w:val="16"/>
                <w:szCs w:val="16"/>
              </w:rPr>
              <w:t>1,935</w:t>
            </w:r>
          </w:p>
        </w:tc>
        <w:tc>
          <w:tcPr>
            <w:tcW w:w="969" w:type="dxa"/>
            <w:tcBorders>
              <w:top w:val="single" w:sz="4" w:space="0" w:color="auto"/>
              <w:left w:val="nil"/>
              <w:bottom w:val="nil"/>
              <w:right w:val="nil"/>
            </w:tcBorders>
            <w:shd w:val="clear" w:color="auto" w:fill="auto"/>
            <w:noWrap/>
            <w:vAlign w:val="bottom"/>
            <w:hideMark/>
          </w:tcPr>
          <w:p w14:paraId="4C043F29" w14:textId="2D99597A" w:rsidR="008065EC" w:rsidRPr="0004022C" w:rsidRDefault="008065EC" w:rsidP="00546B48">
            <w:pPr>
              <w:spacing w:after="0" w:line="240" w:lineRule="auto"/>
              <w:jc w:val="right"/>
              <w:rPr>
                <w:rFonts w:ascii="Arial" w:hAnsi="Arial" w:cs="Arial"/>
                <w:b/>
                <w:bCs/>
                <w:color w:val="000000"/>
                <w:sz w:val="16"/>
                <w:szCs w:val="16"/>
              </w:rPr>
            </w:pPr>
            <w:r w:rsidRPr="008065EC">
              <w:rPr>
                <w:rFonts w:ascii="Arial" w:hAnsi="Arial" w:cs="Arial"/>
                <w:b/>
                <w:color w:val="000000"/>
                <w:sz w:val="16"/>
                <w:szCs w:val="16"/>
              </w:rPr>
              <w:t>27</w:t>
            </w:r>
            <w:r w:rsidR="00546B48">
              <w:rPr>
                <w:rFonts w:ascii="Arial" w:hAnsi="Arial" w:cs="Arial"/>
                <w:b/>
                <w:color w:val="000000"/>
                <w:sz w:val="16"/>
                <w:szCs w:val="16"/>
              </w:rPr>
              <w:t>,</w:t>
            </w:r>
            <w:r w:rsidRPr="008065EC">
              <w:rPr>
                <w:rFonts w:ascii="Arial" w:hAnsi="Arial" w:cs="Arial"/>
                <w:b/>
                <w:color w:val="000000"/>
                <w:sz w:val="16"/>
                <w:szCs w:val="16"/>
              </w:rPr>
              <w:t>657</w:t>
            </w:r>
          </w:p>
        </w:tc>
        <w:tc>
          <w:tcPr>
            <w:tcW w:w="992" w:type="dxa"/>
            <w:tcBorders>
              <w:top w:val="single" w:sz="4" w:space="0" w:color="auto"/>
              <w:left w:val="nil"/>
              <w:bottom w:val="nil"/>
              <w:right w:val="nil"/>
            </w:tcBorders>
            <w:shd w:val="clear" w:color="auto" w:fill="auto"/>
            <w:noWrap/>
            <w:vAlign w:val="bottom"/>
            <w:hideMark/>
          </w:tcPr>
          <w:p w14:paraId="59F7E687" w14:textId="5ED966DD" w:rsidR="008065EC" w:rsidRPr="008065EC" w:rsidRDefault="007F37F4" w:rsidP="00546B48">
            <w:pPr>
              <w:spacing w:after="0" w:line="240" w:lineRule="auto"/>
              <w:jc w:val="right"/>
              <w:rPr>
                <w:rFonts w:ascii="Arial" w:hAnsi="Arial" w:cs="Arial"/>
                <w:b/>
                <w:bCs/>
                <w:color w:val="000000"/>
                <w:sz w:val="16"/>
                <w:szCs w:val="16"/>
              </w:rPr>
            </w:pPr>
            <w:r>
              <w:rPr>
                <w:rFonts w:ascii="Arial" w:hAnsi="Arial" w:cs="Arial"/>
                <w:b/>
                <w:color w:val="000000"/>
                <w:sz w:val="16"/>
                <w:szCs w:val="16"/>
              </w:rPr>
              <w:t>28,907</w:t>
            </w:r>
          </w:p>
        </w:tc>
        <w:tc>
          <w:tcPr>
            <w:tcW w:w="919" w:type="dxa"/>
            <w:tcBorders>
              <w:top w:val="single" w:sz="4" w:space="0" w:color="auto"/>
              <w:left w:val="nil"/>
              <w:bottom w:val="nil"/>
              <w:right w:val="nil"/>
            </w:tcBorders>
            <w:shd w:val="clear" w:color="000000" w:fill="E6E6E6"/>
            <w:noWrap/>
            <w:vAlign w:val="bottom"/>
            <w:hideMark/>
          </w:tcPr>
          <w:p w14:paraId="1653B2B2" w14:textId="711C1C48" w:rsidR="008065EC" w:rsidRPr="0004022C" w:rsidRDefault="007F37F4" w:rsidP="007F37F4">
            <w:pPr>
              <w:spacing w:after="0" w:line="240" w:lineRule="auto"/>
              <w:jc w:val="right"/>
              <w:rPr>
                <w:rFonts w:ascii="Arial" w:hAnsi="Arial" w:cs="Arial"/>
                <w:b/>
                <w:bCs/>
                <w:color w:val="000000"/>
                <w:sz w:val="16"/>
                <w:szCs w:val="16"/>
              </w:rPr>
            </w:pPr>
            <w:r>
              <w:rPr>
                <w:rFonts w:ascii="Arial" w:hAnsi="Arial" w:cs="Arial"/>
                <w:b/>
                <w:bCs/>
                <w:color w:val="000000"/>
                <w:sz w:val="16"/>
                <w:szCs w:val="16"/>
              </w:rPr>
              <w:t>1,250</w:t>
            </w:r>
          </w:p>
        </w:tc>
        <w:tc>
          <w:tcPr>
            <w:tcW w:w="901" w:type="dxa"/>
            <w:tcBorders>
              <w:top w:val="single" w:sz="4" w:space="0" w:color="auto"/>
              <w:left w:val="nil"/>
              <w:bottom w:val="nil"/>
              <w:right w:val="nil"/>
            </w:tcBorders>
            <w:shd w:val="clear" w:color="000000" w:fill="E6E6E6"/>
            <w:noWrap/>
            <w:vAlign w:val="bottom"/>
            <w:hideMark/>
          </w:tcPr>
          <w:p w14:paraId="23FB0E7D" w14:textId="4B61B358" w:rsidR="008065EC" w:rsidRPr="0004022C" w:rsidRDefault="008065EC" w:rsidP="007F37F4">
            <w:pPr>
              <w:spacing w:after="0" w:line="240" w:lineRule="auto"/>
              <w:jc w:val="right"/>
              <w:rPr>
                <w:rFonts w:ascii="Arial" w:hAnsi="Arial" w:cs="Arial"/>
                <w:b/>
                <w:bCs/>
                <w:color w:val="000000"/>
                <w:sz w:val="16"/>
                <w:szCs w:val="16"/>
              </w:rPr>
            </w:pPr>
            <w:r w:rsidRPr="0004022C">
              <w:rPr>
                <w:rFonts w:ascii="Arial" w:hAnsi="Arial" w:cs="Arial"/>
                <w:b/>
                <w:bCs/>
                <w:color w:val="000000"/>
                <w:sz w:val="16"/>
                <w:szCs w:val="16"/>
              </w:rPr>
              <w:t>-</w:t>
            </w:r>
          </w:p>
        </w:tc>
      </w:tr>
      <w:tr w:rsidR="008065EC" w:rsidRPr="0004022C" w14:paraId="160978A8" w14:textId="77777777" w:rsidTr="00C61E8F">
        <w:trPr>
          <w:trHeight w:val="204"/>
        </w:trPr>
        <w:tc>
          <w:tcPr>
            <w:tcW w:w="2978" w:type="dxa"/>
            <w:tcBorders>
              <w:top w:val="nil"/>
              <w:left w:val="nil"/>
              <w:bottom w:val="single" w:sz="4" w:space="0" w:color="auto"/>
              <w:right w:val="nil"/>
            </w:tcBorders>
            <w:shd w:val="clear" w:color="auto" w:fill="auto"/>
            <w:noWrap/>
            <w:vAlign w:val="center"/>
            <w:hideMark/>
          </w:tcPr>
          <w:p w14:paraId="2D3C14CD" w14:textId="77777777" w:rsidR="008065EC" w:rsidRPr="0004022C" w:rsidRDefault="008065EC" w:rsidP="008065EC">
            <w:pPr>
              <w:spacing w:after="0" w:line="240" w:lineRule="auto"/>
              <w:jc w:val="left"/>
              <w:rPr>
                <w:rFonts w:ascii="Arial" w:hAnsi="Arial" w:cs="Arial"/>
                <w:b/>
                <w:bCs/>
                <w:color w:val="000000"/>
                <w:sz w:val="16"/>
                <w:szCs w:val="16"/>
              </w:rPr>
            </w:pPr>
            <w:r w:rsidRPr="0004022C">
              <w:rPr>
                <w:rFonts w:ascii="Arial" w:hAnsi="Arial" w:cs="Arial"/>
                <w:b/>
                <w:bCs/>
                <w:color w:val="000000"/>
                <w:sz w:val="16"/>
                <w:szCs w:val="16"/>
              </w:rPr>
              <w:t>Total other services</w:t>
            </w:r>
          </w:p>
        </w:tc>
        <w:tc>
          <w:tcPr>
            <w:tcW w:w="873" w:type="dxa"/>
            <w:tcBorders>
              <w:top w:val="single" w:sz="4" w:space="0" w:color="auto"/>
              <w:left w:val="nil"/>
              <w:bottom w:val="single" w:sz="4" w:space="0" w:color="auto"/>
              <w:right w:val="nil"/>
            </w:tcBorders>
            <w:shd w:val="clear" w:color="auto" w:fill="auto"/>
            <w:noWrap/>
            <w:vAlign w:val="bottom"/>
            <w:hideMark/>
          </w:tcPr>
          <w:p w14:paraId="74F6BA23" w14:textId="77777777" w:rsidR="008065EC" w:rsidRPr="009E77AC" w:rsidRDefault="008065EC" w:rsidP="008065EC">
            <w:pPr>
              <w:spacing w:after="0" w:line="240" w:lineRule="auto"/>
              <w:jc w:val="right"/>
              <w:rPr>
                <w:rFonts w:ascii="Arial" w:hAnsi="Arial" w:cs="Arial"/>
                <w:b/>
                <w:bCs/>
                <w:color w:val="000000"/>
                <w:sz w:val="16"/>
                <w:szCs w:val="16"/>
              </w:rPr>
            </w:pPr>
            <w:r w:rsidRPr="009E77AC">
              <w:rPr>
                <w:rFonts w:ascii="Arial" w:hAnsi="Arial" w:cs="Arial"/>
                <w:b/>
                <w:color w:val="000000"/>
                <w:sz w:val="16"/>
                <w:szCs w:val="16"/>
              </w:rPr>
              <w:t>1,935</w:t>
            </w:r>
          </w:p>
        </w:tc>
        <w:tc>
          <w:tcPr>
            <w:tcW w:w="969" w:type="dxa"/>
            <w:tcBorders>
              <w:top w:val="single" w:sz="4" w:space="0" w:color="auto"/>
              <w:left w:val="nil"/>
              <w:bottom w:val="single" w:sz="4" w:space="0" w:color="auto"/>
              <w:right w:val="nil"/>
            </w:tcBorders>
            <w:shd w:val="clear" w:color="auto" w:fill="auto"/>
            <w:noWrap/>
            <w:vAlign w:val="bottom"/>
            <w:hideMark/>
          </w:tcPr>
          <w:p w14:paraId="384FBD5D" w14:textId="140B0AC5" w:rsidR="008065EC" w:rsidRPr="0004022C" w:rsidRDefault="008065EC" w:rsidP="00546B48">
            <w:pPr>
              <w:spacing w:after="0" w:line="240" w:lineRule="auto"/>
              <w:jc w:val="right"/>
              <w:rPr>
                <w:rFonts w:ascii="Arial" w:hAnsi="Arial" w:cs="Arial"/>
                <w:b/>
                <w:bCs/>
                <w:color w:val="000000"/>
                <w:sz w:val="16"/>
                <w:szCs w:val="16"/>
              </w:rPr>
            </w:pPr>
            <w:r w:rsidRPr="008065EC">
              <w:rPr>
                <w:rFonts w:ascii="Arial" w:hAnsi="Arial" w:cs="Arial"/>
                <w:b/>
                <w:color w:val="000000"/>
                <w:sz w:val="16"/>
                <w:szCs w:val="16"/>
              </w:rPr>
              <w:t>27</w:t>
            </w:r>
            <w:r w:rsidR="00546B48">
              <w:rPr>
                <w:rFonts w:ascii="Arial" w:hAnsi="Arial" w:cs="Arial"/>
                <w:b/>
                <w:color w:val="000000"/>
                <w:sz w:val="16"/>
                <w:szCs w:val="16"/>
              </w:rPr>
              <w:t>,</w:t>
            </w:r>
            <w:r w:rsidRPr="008065EC">
              <w:rPr>
                <w:rFonts w:ascii="Arial" w:hAnsi="Arial" w:cs="Arial"/>
                <w:b/>
                <w:color w:val="000000"/>
                <w:sz w:val="16"/>
                <w:szCs w:val="16"/>
              </w:rPr>
              <w:t>657</w:t>
            </w:r>
          </w:p>
        </w:tc>
        <w:tc>
          <w:tcPr>
            <w:tcW w:w="992" w:type="dxa"/>
            <w:tcBorders>
              <w:top w:val="single" w:sz="4" w:space="0" w:color="auto"/>
              <w:left w:val="nil"/>
              <w:bottom w:val="single" w:sz="4" w:space="0" w:color="auto"/>
              <w:right w:val="nil"/>
            </w:tcBorders>
            <w:shd w:val="clear" w:color="auto" w:fill="auto"/>
            <w:noWrap/>
            <w:vAlign w:val="bottom"/>
            <w:hideMark/>
          </w:tcPr>
          <w:p w14:paraId="66205AF2" w14:textId="4FF6BA23" w:rsidR="008065EC" w:rsidRPr="0004022C" w:rsidRDefault="007F37F4" w:rsidP="00546B48">
            <w:pPr>
              <w:spacing w:after="0" w:line="240" w:lineRule="auto"/>
              <w:jc w:val="right"/>
              <w:rPr>
                <w:rFonts w:ascii="Arial" w:hAnsi="Arial" w:cs="Arial"/>
                <w:b/>
                <w:bCs/>
                <w:color w:val="000000"/>
                <w:sz w:val="16"/>
                <w:szCs w:val="16"/>
              </w:rPr>
            </w:pPr>
            <w:r>
              <w:rPr>
                <w:rFonts w:ascii="Arial" w:hAnsi="Arial" w:cs="Arial"/>
                <w:b/>
                <w:color w:val="000000"/>
                <w:sz w:val="16"/>
                <w:szCs w:val="16"/>
              </w:rPr>
              <w:t>28,907</w:t>
            </w:r>
          </w:p>
        </w:tc>
        <w:tc>
          <w:tcPr>
            <w:tcW w:w="919" w:type="dxa"/>
            <w:tcBorders>
              <w:top w:val="single" w:sz="4" w:space="0" w:color="auto"/>
              <w:left w:val="nil"/>
              <w:bottom w:val="single" w:sz="4" w:space="0" w:color="auto"/>
              <w:right w:val="nil"/>
            </w:tcBorders>
            <w:shd w:val="clear" w:color="000000" w:fill="E6E6E6"/>
            <w:noWrap/>
            <w:vAlign w:val="bottom"/>
            <w:hideMark/>
          </w:tcPr>
          <w:p w14:paraId="024DDEAB" w14:textId="30FCDB29" w:rsidR="008065EC" w:rsidRPr="0004022C" w:rsidRDefault="007B4B32" w:rsidP="008065EC">
            <w:pPr>
              <w:spacing w:after="0" w:line="240" w:lineRule="auto"/>
              <w:jc w:val="right"/>
              <w:rPr>
                <w:rFonts w:ascii="Arial" w:hAnsi="Arial" w:cs="Arial"/>
                <w:b/>
                <w:bCs/>
                <w:color w:val="000000"/>
                <w:sz w:val="16"/>
                <w:szCs w:val="16"/>
              </w:rPr>
            </w:pPr>
            <w:r>
              <w:rPr>
                <w:rFonts w:ascii="Arial" w:hAnsi="Arial" w:cs="Arial"/>
                <w:b/>
                <w:bCs/>
                <w:color w:val="000000"/>
                <w:sz w:val="16"/>
                <w:szCs w:val="16"/>
              </w:rPr>
              <w:t>1,250</w:t>
            </w:r>
          </w:p>
        </w:tc>
        <w:tc>
          <w:tcPr>
            <w:tcW w:w="901" w:type="dxa"/>
            <w:tcBorders>
              <w:top w:val="single" w:sz="4" w:space="0" w:color="auto"/>
              <w:left w:val="nil"/>
              <w:bottom w:val="single" w:sz="4" w:space="0" w:color="auto"/>
              <w:right w:val="nil"/>
            </w:tcBorders>
            <w:shd w:val="clear" w:color="000000" w:fill="E6E6E6"/>
            <w:noWrap/>
            <w:vAlign w:val="bottom"/>
            <w:hideMark/>
          </w:tcPr>
          <w:p w14:paraId="0063F70E" w14:textId="77777777" w:rsidR="008065EC" w:rsidRPr="0004022C" w:rsidRDefault="008065EC" w:rsidP="008065EC">
            <w:pPr>
              <w:spacing w:after="0" w:line="240" w:lineRule="auto"/>
              <w:jc w:val="right"/>
              <w:rPr>
                <w:rFonts w:ascii="Arial" w:hAnsi="Arial" w:cs="Arial"/>
                <w:b/>
                <w:bCs/>
                <w:color w:val="000000"/>
                <w:sz w:val="16"/>
                <w:szCs w:val="16"/>
              </w:rPr>
            </w:pPr>
            <w:r w:rsidRPr="0004022C">
              <w:rPr>
                <w:rFonts w:ascii="Arial" w:hAnsi="Arial" w:cs="Arial"/>
                <w:b/>
                <w:bCs/>
                <w:color w:val="000000"/>
                <w:sz w:val="16"/>
                <w:szCs w:val="16"/>
              </w:rPr>
              <w:t>-</w:t>
            </w:r>
          </w:p>
        </w:tc>
      </w:tr>
    </w:tbl>
    <w:p w14:paraId="545A5B84" w14:textId="142232CA" w:rsidR="00914885" w:rsidRPr="00E41681" w:rsidRDefault="00914885" w:rsidP="00FB6A01">
      <w:pPr>
        <w:pStyle w:val="Heading2-TOCNCA"/>
      </w:pPr>
      <w:r>
        <w:br w:type="page"/>
      </w:r>
      <w:bookmarkStart w:id="441" w:name="_Toc92990186"/>
      <w:bookmarkStart w:id="442" w:name="_Toc92990477"/>
      <w:bookmarkStart w:id="443" w:name="_Toc93040845"/>
      <w:r w:rsidRPr="00E41681">
        <w:lastRenderedPageBreak/>
        <w:t>Section 2: Revisions to outcomes and planned performance</w:t>
      </w:r>
      <w:bookmarkEnd w:id="441"/>
      <w:bookmarkEnd w:id="442"/>
      <w:bookmarkEnd w:id="443"/>
    </w:p>
    <w:p w14:paraId="2975B5E4" w14:textId="7E745F25" w:rsidR="00914885" w:rsidRDefault="00914885" w:rsidP="00FB6A01">
      <w:pPr>
        <w:pStyle w:val="Heading3NCA"/>
      </w:pPr>
      <w:bookmarkStart w:id="444" w:name="_Toc92990187"/>
      <w:bookmarkStart w:id="445" w:name="_Toc92990478"/>
      <w:bookmarkStart w:id="446" w:name="_Toc93040846"/>
      <w:r>
        <w:t>2.</w:t>
      </w:r>
      <w:r w:rsidR="00121ECE">
        <w:t>1</w:t>
      </w:r>
      <w:r>
        <w:tab/>
        <w:t>Changes to outcome and program structures</w:t>
      </w:r>
      <w:bookmarkEnd w:id="444"/>
      <w:bookmarkEnd w:id="445"/>
      <w:bookmarkEnd w:id="446"/>
      <w:r>
        <w:t xml:space="preserve"> </w:t>
      </w:r>
    </w:p>
    <w:p w14:paraId="401C243D" w14:textId="692746AA" w:rsidR="0004022C" w:rsidRPr="00E9545B" w:rsidRDefault="0004022C" w:rsidP="006E1112">
      <w:pPr>
        <w:jc w:val="left"/>
      </w:pPr>
      <w:r w:rsidRPr="00E9545B">
        <w:t>The outcome and program structures for the NCA have not changed from th</w:t>
      </w:r>
      <w:r>
        <w:t xml:space="preserve">ose published </w:t>
      </w:r>
      <w:r w:rsidRPr="00E9545B">
        <w:t xml:space="preserve">in the </w:t>
      </w:r>
      <w:r w:rsidR="00360023" w:rsidRPr="00E9545B">
        <w:t>202</w:t>
      </w:r>
      <w:r w:rsidR="00360023">
        <w:t>1</w:t>
      </w:r>
      <w:r w:rsidR="00360023" w:rsidRPr="00E9545B">
        <w:t>–2</w:t>
      </w:r>
      <w:r w:rsidR="00360023">
        <w:t>2</w:t>
      </w:r>
      <w:r w:rsidR="00360023" w:rsidRPr="00E9545B">
        <w:t xml:space="preserve"> </w:t>
      </w:r>
      <w:r>
        <w:t xml:space="preserve">Infrastructure, Transport, Regional Development and Communications </w:t>
      </w:r>
      <w:r w:rsidRPr="00E9545B">
        <w:t>PB</w:t>
      </w:r>
      <w:r w:rsidR="00654F33">
        <w:t> </w:t>
      </w:r>
      <w:r w:rsidRPr="00E9545B">
        <w:t>Statements.</w:t>
      </w:r>
    </w:p>
    <w:p w14:paraId="6AD041D4" w14:textId="4DA78834" w:rsidR="00914885" w:rsidRDefault="00914885" w:rsidP="00FB6A01">
      <w:pPr>
        <w:pStyle w:val="Heading3NCA"/>
      </w:pPr>
      <w:bookmarkStart w:id="447" w:name="_Toc92990188"/>
      <w:bookmarkStart w:id="448" w:name="_Toc92990479"/>
      <w:bookmarkStart w:id="449" w:name="_Toc93040847"/>
      <w:r>
        <w:t>2.</w:t>
      </w:r>
      <w:r w:rsidR="00121ECE">
        <w:t>2</w:t>
      </w:r>
      <w:r>
        <w:tab/>
        <w:t>Budgeted expens</w:t>
      </w:r>
      <w:r w:rsidR="00121ECE">
        <w:t xml:space="preserve">es and performance for </w:t>
      </w:r>
      <w:r w:rsidR="006A053E">
        <w:rPr>
          <w:lang w:val="en-AU"/>
        </w:rPr>
        <w:t>Outcome</w:t>
      </w:r>
      <w:r w:rsidR="00121ECE">
        <w:t xml:space="preserve"> 1</w:t>
      </w:r>
      <w:bookmarkEnd w:id="447"/>
      <w:bookmarkEnd w:id="448"/>
      <w:bookmarkEnd w:id="449"/>
    </w:p>
    <w:tbl>
      <w:tblPr>
        <w:tblW w:w="7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7542"/>
      </w:tblGrid>
      <w:tr w:rsidR="00121ECE" w:rsidRPr="00373AEC" w14:paraId="34FADB17" w14:textId="77777777" w:rsidTr="00BC2D84">
        <w:tc>
          <w:tcPr>
            <w:tcW w:w="7542" w:type="dxa"/>
            <w:shd w:val="clear" w:color="auto" w:fill="E6E6E6"/>
          </w:tcPr>
          <w:p w14:paraId="7F4C80EC" w14:textId="4C3CD78A" w:rsidR="00121ECE" w:rsidRPr="0043244B" w:rsidRDefault="00121ECE" w:rsidP="0040418E">
            <w:pPr>
              <w:spacing w:before="120" w:after="120"/>
              <w:jc w:val="left"/>
              <w:rPr>
                <w:rFonts w:ascii="Arial" w:hAnsi="Arial" w:cs="Arial"/>
                <w:b/>
              </w:rPr>
            </w:pPr>
            <w:r>
              <w:br w:type="page"/>
            </w:r>
            <w:r w:rsidRPr="0043244B">
              <w:rPr>
                <w:rFonts w:ascii="Arial" w:hAnsi="Arial"/>
                <w:b/>
              </w:rPr>
              <w:t>Outcome 1: Manage the strategic planning, promotion and enhancement of Canberra as the National Capital for all Australians through the development and administration of the National Capital Plan, operation of the National Capital Exhibition, delivery of education and awareness programs and works to enhance the ch</w:t>
            </w:r>
            <w:r w:rsidR="00892C68">
              <w:rPr>
                <w:rFonts w:ascii="Arial" w:hAnsi="Arial"/>
                <w:b/>
              </w:rPr>
              <w:t>aracter of the National Capital</w:t>
            </w:r>
          </w:p>
        </w:tc>
      </w:tr>
    </w:tbl>
    <w:p w14:paraId="16B3D6DA" w14:textId="767BEFCB" w:rsidR="00121ECE" w:rsidRPr="0043244B" w:rsidRDefault="00121ECE" w:rsidP="00121ECE">
      <w:pPr>
        <w:pStyle w:val="PBSHeading-Outcomestrategy"/>
        <w:spacing w:before="240"/>
        <w:rPr>
          <w:sz w:val="20"/>
        </w:rPr>
      </w:pPr>
      <w:r w:rsidRPr="0043244B">
        <w:rPr>
          <w:sz w:val="20"/>
        </w:rPr>
        <w:t>Budgeted expenses for Outcome 1</w:t>
      </w:r>
    </w:p>
    <w:p w14:paraId="5CFE31B1" w14:textId="59D1289C" w:rsidR="00121ECE" w:rsidRDefault="00121ECE" w:rsidP="000A4AAB">
      <w:pPr>
        <w:pStyle w:val="PBSHeading-FiguresandTables"/>
        <w:spacing w:after="240"/>
        <w:rPr>
          <w:rFonts w:ascii="Book Antiqua" w:hAnsi="Book Antiqua"/>
          <w:b w:val="0"/>
          <w:sz w:val="20"/>
          <w:szCs w:val="20"/>
          <w:lang w:val="en-US"/>
        </w:rPr>
      </w:pPr>
      <w:r w:rsidRPr="0043244B">
        <w:rPr>
          <w:rFonts w:ascii="Book Antiqua" w:hAnsi="Book Antiqua"/>
          <w:b w:val="0"/>
          <w:sz w:val="20"/>
          <w:szCs w:val="20"/>
          <w:lang w:val="en-US"/>
        </w:rPr>
        <w:t xml:space="preserve">This table shows how much the </w:t>
      </w:r>
      <w:r w:rsidR="00892C68">
        <w:rPr>
          <w:rFonts w:ascii="Book Antiqua" w:hAnsi="Book Antiqua"/>
          <w:b w:val="0"/>
          <w:sz w:val="20"/>
          <w:szCs w:val="20"/>
          <w:lang w:val="en-US"/>
        </w:rPr>
        <w:t>NCA</w:t>
      </w:r>
      <w:r w:rsidRPr="0043244B">
        <w:rPr>
          <w:rFonts w:ascii="Book Antiqua" w:hAnsi="Book Antiqua"/>
          <w:b w:val="0"/>
          <w:sz w:val="20"/>
          <w:szCs w:val="20"/>
          <w:lang w:val="en-US"/>
        </w:rPr>
        <w:t xml:space="preserve"> intends to spend (on an accrual basis) on achieving the outcome, broken down by program, as well as by Administered and </w:t>
      </w:r>
      <w:r w:rsidR="008863D9">
        <w:rPr>
          <w:rFonts w:ascii="Book Antiqua" w:hAnsi="Book Antiqua"/>
          <w:b w:val="0"/>
          <w:sz w:val="20"/>
          <w:szCs w:val="20"/>
          <w:lang w:val="en-US"/>
        </w:rPr>
        <w:t>Department</w:t>
      </w:r>
      <w:r w:rsidRPr="0043244B">
        <w:rPr>
          <w:rFonts w:ascii="Book Antiqua" w:hAnsi="Book Antiqua"/>
          <w:b w:val="0"/>
          <w:sz w:val="20"/>
          <w:szCs w:val="20"/>
          <w:lang w:val="en-US"/>
        </w:rPr>
        <w:t>al funding sources.</w:t>
      </w:r>
    </w:p>
    <w:p w14:paraId="582FEC7C" w14:textId="2B945128" w:rsidR="00CC0DB9" w:rsidRDefault="00CC0DB9" w:rsidP="00CC0DB9">
      <w:pPr>
        <w:pStyle w:val="TableHeading"/>
        <w:rPr>
          <w:lang w:val="en-AU"/>
        </w:rPr>
      </w:pPr>
      <w:r>
        <w:t>Table 2.</w:t>
      </w:r>
      <w:r w:rsidR="00CA2D6A">
        <w:rPr>
          <w:lang w:val="en-AU"/>
        </w:rPr>
        <w:t>2.1</w:t>
      </w:r>
      <w:r>
        <w:t xml:space="preserve">: Budgeted expenses for Outcome </w:t>
      </w:r>
      <w:r>
        <w:rPr>
          <w:lang w:val="en-AU"/>
        </w:rPr>
        <w:t>1</w:t>
      </w:r>
    </w:p>
    <w:tbl>
      <w:tblPr>
        <w:tblW w:w="7617" w:type="dxa"/>
        <w:tblLook w:val="04A0" w:firstRow="1" w:lastRow="0" w:firstColumn="1" w:lastColumn="0" w:noHBand="0" w:noVBand="1"/>
      </w:tblPr>
      <w:tblGrid>
        <w:gridCol w:w="2694"/>
        <w:gridCol w:w="851"/>
        <w:gridCol w:w="1037"/>
        <w:gridCol w:w="19"/>
        <w:gridCol w:w="928"/>
        <w:gridCol w:w="90"/>
        <w:gridCol w:w="903"/>
        <w:gridCol w:w="134"/>
        <w:gridCol w:w="923"/>
        <w:gridCol w:w="39"/>
      </w:tblGrid>
      <w:tr w:rsidR="00CB212E" w:rsidRPr="0040418E" w14:paraId="2049FBD4" w14:textId="77777777" w:rsidTr="00892C68">
        <w:trPr>
          <w:trHeight w:val="204"/>
        </w:trPr>
        <w:tc>
          <w:tcPr>
            <w:tcW w:w="2694" w:type="dxa"/>
            <w:tcBorders>
              <w:top w:val="single" w:sz="4" w:space="0" w:color="auto"/>
              <w:left w:val="nil"/>
              <w:bottom w:val="nil"/>
              <w:right w:val="nil"/>
            </w:tcBorders>
            <w:shd w:val="clear" w:color="auto" w:fill="auto"/>
            <w:noWrap/>
            <w:hideMark/>
          </w:tcPr>
          <w:p w14:paraId="15F897B2" w14:textId="77777777" w:rsidR="00CB212E" w:rsidRPr="0040418E" w:rsidRDefault="00CB212E" w:rsidP="00CB212E">
            <w:pPr>
              <w:spacing w:after="0" w:line="240" w:lineRule="auto"/>
              <w:jc w:val="left"/>
              <w:rPr>
                <w:rFonts w:ascii="Arial" w:hAnsi="Arial" w:cs="Arial"/>
                <w:sz w:val="16"/>
                <w:szCs w:val="16"/>
              </w:rPr>
            </w:pPr>
            <w:r w:rsidRPr="0040418E">
              <w:rPr>
                <w:rFonts w:ascii="Arial" w:hAnsi="Arial" w:cs="Arial"/>
                <w:sz w:val="16"/>
                <w:szCs w:val="16"/>
              </w:rPr>
              <w:t> </w:t>
            </w:r>
          </w:p>
        </w:tc>
        <w:tc>
          <w:tcPr>
            <w:tcW w:w="851" w:type="dxa"/>
            <w:tcBorders>
              <w:top w:val="single" w:sz="4" w:space="0" w:color="auto"/>
              <w:left w:val="nil"/>
              <w:bottom w:val="nil"/>
              <w:right w:val="nil"/>
            </w:tcBorders>
            <w:shd w:val="clear" w:color="auto" w:fill="auto"/>
            <w:vAlign w:val="bottom"/>
            <w:hideMark/>
          </w:tcPr>
          <w:p w14:paraId="5CF8ADE5" w14:textId="77777777" w:rsidR="00892C68" w:rsidRDefault="00CB212E" w:rsidP="00CB212E">
            <w:pPr>
              <w:spacing w:after="0" w:line="240" w:lineRule="auto"/>
              <w:jc w:val="right"/>
              <w:rPr>
                <w:rFonts w:ascii="Arial" w:hAnsi="Arial" w:cs="Arial"/>
                <w:sz w:val="16"/>
                <w:szCs w:val="16"/>
              </w:rPr>
            </w:pPr>
            <w:r w:rsidRPr="0040418E">
              <w:rPr>
                <w:rFonts w:ascii="Arial" w:hAnsi="Arial" w:cs="Arial"/>
                <w:sz w:val="16"/>
                <w:szCs w:val="16"/>
              </w:rPr>
              <w:t>2020-21</w:t>
            </w:r>
            <w:r w:rsidR="00892C68" w:rsidRPr="0040418E">
              <w:rPr>
                <w:rFonts w:ascii="Arial" w:hAnsi="Arial" w:cs="Arial"/>
                <w:sz w:val="16"/>
                <w:szCs w:val="16"/>
              </w:rPr>
              <w:t xml:space="preserve"> Actual</w:t>
            </w:r>
          </w:p>
          <w:p w14:paraId="3EB46C99" w14:textId="77777777" w:rsidR="00892C68" w:rsidRDefault="00892C68" w:rsidP="00CB212E">
            <w:pPr>
              <w:spacing w:after="0" w:line="240" w:lineRule="auto"/>
              <w:jc w:val="right"/>
              <w:rPr>
                <w:rFonts w:ascii="Arial" w:hAnsi="Arial" w:cs="Arial"/>
                <w:sz w:val="16"/>
                <w:szCs w:val="16"/>
              </w:rPr>
            </w:pPr>
          </w:p>
          <w:p w14:paraId="7CE0512A" w14:textId="231383CF" w:rsidR="00CB212E" w:rsidRPr="0040418E" w:rsidRDefault="00892C68" w:rsidP="00CB212E">
            <w:pPr>
              <w:spacing w:after="0" w:line="240" w:lineRule="auto"/>
              <w:jc w:val="right"/>
              <w:rPr>
                <w:rFonts w:ascii="Arial" w:hAnsi="Arial" w:cs="Arial"/>
                <w:sz w:val="16"/>
                <w:szCs w:val="16"/>
              </w:rPr>
            </w:pPr>
            <w:r w:rsidRPr="0040418E">
              <w:rPr>
                <w:rFonts w:ascii="Arial" w:hAnsi="Arial" w:cs="Arial"/>
                <w:sz w:val="16"/>
                <w:szCs w:val="16"/>
              </w:rPr>
              <w:t>$'000</w:t>
            </w:r>
          </w:p>
        </w:tc>
        <w:tc>
          <w:tcPr>
            <w:tcW w:w="1037" w:type="dxa"/>
            <w:tcBorders>
              <w:top w:val="single" w:sz="4" w:space="0" w:color="auto"/>
              <w:left w:val="nil"/>
              <w:bottom w:val="nil"/>
              <w:right w:val="nil"/>
            </w:tcBorders>
            <w:shd w:val="clear" w:color="000000" w:fill="E6E6E6"/>
            <w:vAlign w:val="bottom"/>
            <w:hideMark/>
          </w:tcPr>
          <w:p w14:paraId="69BCD833" w14:textId="77777777" w:rsidR="00892C68" w:rsidRDefault="00CB212E" w:rsidP="00CB212E">
            <w:pPr>
              <w:spacing w:after="0" w:line="240" w:lineRule="auto"/>
              <w:jc w:val="right"/>
              <w:rPr>
                <w:rFonts w:ascii="Arial" w:hAnsi="Arial" w:cs="Arial"/>
                <w:sz w:val="16"/>
                <w:szCs w:val="16"/>
              </w:rPr>
            </w:pPr>
            <w:r w:rsidRPr="0040418E">
              <w:rPr>
                <w:rFonts w:ascii="Arial" w:hAnsi="Arial" w:cs="Arial"/>
                <w:sz w:val="16"/>
                <w:szCs w:val="16"/>
              </w:rPr>
              <w:t>2021-22</w:t>
            </w:r>
            <w:r w:rsidR="00892C68" w:rsidRPr="0040418E">
              <w:rPr>
                <w:rFonts w:ascii="Arial" w:hAnsi="Arial" w:cs="Arial"/>
                <w:sz w:val="16"/>
                <w:szCs w:val="16"/>
              </w:rPr>
              <w:t xml:space="preserve"> Revised</w:t>
            </w:r>
            <w:r w:rsidR="00892C68">
              <w:rPr>
                <w:rFonts w:ascii="Arial" w:hAnsi="Arial" w:cs="Arial"/>
                <w:sz w:val="16"/>
                <w:szCs w:val="16"/>
              </w:rPr>
              <w:t xml:space="preserve"> Budget</w:t>
            </w:r>
          </w:p>
          <w:p w14:paraId="4496BFBA" w14:textId="710BB8C9" w:rsidR="00CB212E" w:rsidRPr="0040418E" w:rsidRDefault="00892C68" w:rsidP="00CB212E">
            <w:pPr>
              <w:spacing w:after="0" w:line="240" w:lineRule="auto"/>
              <w:jc w:val="right"/>
              <w:rPr>
                <w:rFonts w:ascii="Arial" w:hAnsi="Arial" w:cs="Arial"/>
                <w:sz w:val="16"/>
                <w:szCs w:val="16"/>
              </w:rPr>
            </w:pPr>
            <w:r w:rsidRPr="0040418E">
              <w:rPr>
                <w:rFonts w:ascii="Arial" w:hAnsi="Arial" w:cs="Arial"/>
                <w:sz w:val="16"/>
                <w:szCs w:val="16"/>
              </w:rPr>
              <w:t>$'000</w:t>
            </w:r>
          </w:p>
        </w:tc>
        <w:tc>
          <w:tcPr>
            <w:tcW w:w="1037" w:type="dxa"/>
            <w:gridSpan w:val="3"/>
            <w:tcBorders>
              <w:top w:val="single" w:sz="4" w:space="0" w:color="auto"/>
              <w:left w:val="nil"/>
              <w:bottom w:val="nil"/>
              <w:right w:val="nil"/>
            </w:tcBorders>
            <w:shd w:val="clear" w:color="auto" w:fill="auto"/>
            <w:vAlign w:val="bottom"/>
            <w:hideMark/>
          </w:tcPr>
          <w:p w14:paraId="66E1C986" w14:textId="77777777" w:rsidR="00892C68" w:rsidRDefault="00CB212E" w:rsidP="00CB212E">
            <w:pPr>
              <w:spacing w:after="0" w:line="240" w:lineRule="auto"/>
              <w:jc w:val="right"/>
              <w:rPr>
                <w:rFonts w:ascii="Arial" w:hAnsi="Arial" w:cs="Arial"/>
                <w:sz w:val="16"/>
                <w:szCs w:val="16"/>
              </w:rPr>
            </w:pPr>
            <w:r w:rsidRPr="0040418E">
              <w:rPr>
                <w:rFonts w:ascii="Arial" w:hAnsi="Arial" w:cs="Arial"/>
                <w:sz w:val="16"/>
                <w:szCs w:val="16"/>
              </w:rPr>
              <w:t>2022-23</w:t>
            </w:r>
            <w:r w:rsidR="00892C68" w:rsidRPr="0040418E">
              <w:rPr>
                <w:rFonts w:ascii="Arial" w:hAnsi="Arial" w:cs="Arial"/>
                <w:sz w:val="16"/>
                <w:szCs w:val="16"/>
              </w:rPr>
              <w:t xml:space="preserve"> Forward estimate</w:t>
            </w:r>
          </w:p>
          <w:p w14:paraId="66462BFE" w14:textId="186E9F4B" w:rsidR="00CB212E" w:rsidRPr="0040418E" w:rsidRDefault="00892C68" w:rsidP="00CB212E">
            <w:pPr>
              <w:spacing w:after="0" w:line="240" w:lineRule="auto"/>
              <w:jc w:val="right"/>
              <w:rPr>
                <w:rFonts w:ascii="Arial" w:hAnsi="Arial" w:cs="Arial"/>
                <w:sz w:val="16"/>
                <w:szCs w:val="16"/>
              </w:rPr>
            </w:pPr>
            <w:r w:rsidRPr="0040418E">
              <w:rPr>
                <w:rFonts w:ascii="Arial" w:hAnsi="Arial" w:cs="Arial"/>
                <w:sz w:val="16"/>
                <w:szCs w:val="16"/>
              </w:rPr>
              <w:t>$'000</w:t>
            </w:r>
          </w:p>
        </w:tc>
        <w:tc>
          <w:tcPr>
            <w:tcW w:w="1037" w:type="dxa"/>
            <w:gridSpan w:val="2"/>
            <w:tcBorders>
              <w:top w:val="single" w:sz="4" w:space="0" w:color="auto"/>
              <w:left w:val="nil"/>
              <w:bottom w:val="nil"/>
              <w:right w:val="nil"/>
            </w:tcBorders>
            <w:shd w:val="clear" w:color="auto" w:fill="auto"/>
            <w:vAlign w:val="bottom"/>
            <w:hideMark/>
          </w:tcPr>
          <w:p w14:paraId="1705639B" w14:textId="3A7D993D" w:rsidR="00892C68" w:rsidRDefault="00CB212E" w:rsidP="00892C68">
            <w:pPr>
              <w:spacing w:after="0" w:line="240" w:lineRule="auto"/>
              <w:jc w:val="right"/>
              <w:rPr>
                <w:rFonts w:ascii="Arial" w:hAnsi="Arial" w:cs="Arial"/>
                <w:sz w:val="16"/>
                <w:szCs w:val="16"/>
              </w:rPr>
            </w:pPr>
            <w:r w:rsidRPr="0040418E">
              <w:rPr>
                <w:rFonts w:ascii="Arial" w:hAnsi="Arial" w:cs="Arial"/>
                <w:sz w:val="16"/>
                <w:szCs w:val="16"/>
              </w:rPr>
              <w:t>2023-24</w:t>
            </w:r>
            <w:r w:rsidR="00892C68" w:rsidRPr="0040418E">
              <w:rPr>
                <w:rFonts w:ascii="Arial" w:hAnsi="Arial" w:cs="Arial"/>
                <w:sz w:val="16"/>
                <w:szCs w:val="16"/>
              </w:rPr>
              <w:t xml:space="preserve"> Forward estimate</w:t>
            </w:r>
          </w:p>
          <w:p w14:paraId="2D129EEB" w14:textId="44CAFDF6" w:rsidR="00CB212E" w:rsidRPr="0040418E" w:rsidRDefault="00892C68" w:rsidP="00892C68">
            <w:pPr>
              <w:spacing w:after="0" w:line="240" w:lineRule="auto"/>
              <w:jc w:val="right"/>
              <w:rPr>
                <w:rFonts w:ascii="Arial" w:hAnsi="Arial" w:cs="Arial"/>
                <w:sz w:val="16"/>
                <w:szCs w:val="16"/>
              </w:rPr>
            </w:pPr>
            <w:r w:rsidRPr="0040418E">
              <w:rPr>
                <w:rFonts w:ascii="Arial" w:hAnsi="Arial" w:cs="Arial"/>
                <w:sz w:val="16"/>
                <w:szCs w:val="16"/>
              </w:rPr>
              <w:t>$'000</w:t>
            </w:r>
          </w:p>
        </w:tc>
        <w:tc>
          <w:tcPr>
            <w:tcW w:w="960" w:type="dxa"/>
            <w:gridSpan w:val="2"/>
            <w:tcBorders>
              <w:top w:val="single" w:sz="4" w:space="0" w:color="auto"/>
              <w:left w:val="nil"/>
              <w:bottom w:val="nil"/>
              <w:right w:val="nil"/>
            </w:tcBorders>
            <w:shd w:val="clear" w:color="auto" w:fill="auto"/>
            <w:vAlign w:val="bottom"/>
            <w:hideMark/>
          </w:tcPr>
          <w:p w14:paraId="512FFAD9" w14:textId="6A34413A" w:rsidR="00892C68" w:rsidRDefault="00CB212E" w:rsidP="00892C68">
            <w:pPr>
              <w:spacing w:after="0" w:line="240" w:lineRule="auto"/>
              <w:jc w:val="right"/>
              <w:rPr>
                <w:rFonts w:ascii="Arial" w:hAnsi="Arial" w:cs="Arial"/>
                <w:sz w:val="16"/>
                <w:szCs w:val="16"/>
              </w:rPr>
            </w:pPr>
            <w:r w:rsidRPr="0040418E">
              <w:rPr>
                <w:rFonts w:ascii="Arial" w:hAnsi="Arial" w:cs="Arial"/>
                <w:sz w:val="16"/>
                <w:szCs w:val="16"/>
              </w:rPr>
              <w:t>2024-25</w:t>
            </w:r>
            <w:r w:rsidR="00892C68" w:rsidRPr="0040418E">
              <w:rPr>
                <w:rFonts w:ascii="Arial" w:hAnsi="Arial" w:cs="Arial"/>
                <w:sz w:val="16"/>
                <w:szCs w:val="16"/>
              </w:rPr>
              <w:t xml:space="preserve"> Forward estimate</w:t>
            </w:r>
          </w:p>
          <w:p w14:paraId="3E676993" w14:textId="38B7473A" w:rsidR="00CB212E" w:rsidRPr="0040418E" w:rsidRDefault="00892C68" w:rsidP="00892C68">
            <w:pPr>
              <w:spacing w:after="0" w:line="240" w:lineRule="auto"/>
              <w:jc w:val="right"/>
              <w:rPr>
                <w:rFonts w:ascii="Arial" w:hAnsi="Arial" w:cs="Arial"/>
                <w:sz w:val="16"/>
                <w:szCs w:val="16"/>
              </w:rPr>
            </w:pPr>
            <w:r w:rsidRPr="0040418E">
              <w:rPr>
                <w:rFonts w:ascii="Arial" w:hAnsi="Arial" w:cs="Arial"/>
                <w:sz w:val="16"/>
                <w:szCs w:val="16"/>
              </w:rPr>
              <w:t>$'000</w:t>
            </w:r>
          </w:p>
        </w:tc>
      </w:tr>
      <w:tr w:rsidR="00546B48" w:rsidRPr="00CB212E" w14:paraId="2EEB757E" w14:textId="77777777" w:rsidTr="00892C68">
        <w:trPr>
          <w:trHeight w:val="170"/>
        </w:trPr>
        <w:tc>
          <w:tcPr>
            <w:tcW w:w="7617" w:type="dxa"/>
            <w:gridSpan w:val="10"/>
            <w:tcBorders>
              <w:top w:val="single" w:sz="4" w:space="0" w:color="auto"/>
              <w:left w:val="nil"/>
              <w:bottom w:val="single" w:sz="4" w:space="0" w:color="auto"/>
              <w:right w:val="nil"/>
            </w:tcBorders>
            <w:shd w:val="clear" w:color="000000" w:fill="E6E6E6"/>
            <w:noWrap/>
            <w:hideMark/>
          </w:tcPr>
          <w:p w14:paraId="3AF6F395" w14:textId="2E37B6C3" w:rsidR="00546B48" w:rsidRPr="00CB212E" w:rsidRDefault="00546B48" w:rsidP="00546B48">
            <w:pPr>
              <w:spacing w:after="0" w:line="240" w:lineRule="auto"/>
              <w:jc w:val="left"/>
              <w:outlineLvl w:val="0"/>
              <w:rPr>
                <w:rFonts w:ascii="Arial" w:hAnsi="Arial" w:cs="Arial"/>
                <w:sz w:val="16"/>
                <w:szCs w:val="16"/>
              </w:rPr>
            </w:pPr>
            <w:r w:rsidRPr="00CB212E">
              <w:rPr>
                <w:rFonts w:ascii="Arial" w:hAnsi="Arial" w:cs="Arial"/>
                <w:b/>
                <w:bCs/>
                <w:sz w:val="16"/>
                <w:szCs w:val="16"/>
              </w:rPr>
              <w:t>Program 1.1: National Capital Functions</w:t>
            </w:r>
          </w:p>
        </w:tc>
      </w:tr>
      <w:tr w:rsidR="00CB212E" w:rsidRPr="00CB212E" w14:paraId="7F12734C" w14:textId="77777777" w:rsidTr="00892C68">
        <w:trPr>
          <w:trHeight w:val="204"/>
        </w:trPr>
        <w:tc>
          <w:tcPr>
            <w:tcW w:w="2694" w:type="dxa"/>
            <w:tcBorders>
              <w:top w:val="nil"/>
              <w:left w:val="nil"/>
              <w:bottom w:val="nil"/>
              <w:right w:val="nil"/>
            </w:tcBorders>
            <w:shd w:val="clear" w:color="auto" w:fill="auto"/>
            <w:noWrap/>
            <w:vAlign w:val="bottom"/>
            <w:hideMark/>
          </w:tcPr>
          <w:p w14:paraId="7792DCFA" w14:textId="698CAE76" w:rsidR="00CB212E" w:rsidRPr="00892C68" w:rsidRDefault="008863D9" w:rsidP="00AE3CA4">
            <w:pPr>
              <w:spacing w:after="0" w:line="240" w:lineRule="auto"/>
              <w:jc w:val="left"/>
              <w:outlineLvl w:val="0"/>
              <w:rPr>
                <w:rFonts w:ascii="Arial" w:hAnsi="Arial" w:cs="Arial"/>
                <w:sz w:val="16"/>
                <w:szCs w:val="16"/>
              </w:rPr>
            </w:pPr>
            <w:r w:rsidRPr="00892C68">
              <w:rPr>
                <w:rFonts w:ascii="Arial" w:hAnsi="Arial" w:cs="Arial"/>
                <w:sz w:val="16"/>
                <w:szCs w:val="16"/>
              </w:rPr>
              <w:t>Department</w:t>
            </w:r>
            <w:r w:rsidR="00CB212E" w:rsidRPr="00892C68">
              <w:rPr>
                <w:rFonts w:ascii="Arial" w:hAnsi="Arial" w:cs="Arial"/>
                <w:sz w:val="16"/>
                <w:szCs w:val="16"/>
              </w:rPr>
              <w:t>al expenses</w:t>
            </w:r>
          </w:p>
        </w:tc>
        <w:tc>
          <w:tcPr>
            <w:tcW w:w="851" w:type="dxa"/>
            <w:tcBorders>
              <w:top w:val="nil"/>
              <w:left w:val="nil"/>
              <w:bottom w:val="nil"/>
              <w:right w:val="nil"/>
            </w:tcBorders>
            <w:shd w:val="clear" w:color="auto" w:fill="auto"/>
            <w:noWrap/>
            <w:vAlign w:val="bottom"/>
            <w:hideMark/>
          </w:tcPr>
          <w:p w14:paraId="58344919" w14:textId="77777777" w:rsidR="00CB212E" w:rsidRPr="00892C68" w:rsidRDefault="00CB212E" w:rsidP="00CB212E">
            <w:pPr>
              <w:spacing w:after="0" w:line="240" w:lineRule="auto"/>
              <w:jc w:val="left"/>
              <w:outlineLvl w:val="0"/>
              <w:rPr>
                <w:rFonts w:ascii="Arial" w:hAnsi="Arial" w:cs="Arial"/>
                <w:sz w:val="16"/>
                <w:szCs w:val="16"/>
              </w:rPr>
            </w:pPr>
          </w:p>
        </w:tc>
        <w:tc>
          <w:tcPr>
            <w:tcW w:w="1037" w:type="dxa"/>
            <w:tcBorders>
              <w:top w:val="nil"/>
              <w:left w:val="nil"/>
              <w:bottom w:val="nil"/>
              <w:right w:val="nil"/>
            </w:tcBorders>
            <w:shd w:val="clear" w:color="000000" w:fill="E6E6E6"/>
            <w:noWrap/>
            <w:vAlign w:val="bottom"/>
            <w:hideMark/>
          </w:tcPr>
          <w:p w14:paraId="68E51BAC" w14:textId="32C3641C" w:rsidR="00CB212E" w:rsidRPr="00892C68" w:rsidRDefault="00CB212E" w:rsidP="00CB212E">
            <w:pPr>
              <w:spacing w:after="0" w:line="240" w:lineRule="auto"/>
              <w:jc w:val="right"/>
              <w:outlineLvl w:val="0"/>
              <w:rPr>
                <w:rFonts w:ascii="Arial" w:hAnsi="Arial" w:cs="Arial"/>
                <w:sz w:val="16"/>
                <w:szCs w:val="16"/>
              </w:rPr>
            </w:pPr>
          </w:p>
        </w:tc>
        <w:tc>
          <w:tcPr>
            <w:tcW w:w="1037" w:type="dxa"/>
            <w:gridSpan w:val="3"/>
            <w:tcBorders>
              <w:top w:val="nil"/>
              <w:left w:val="nil"/>
              <w:bottom w:val="nil"/>
              <w:right w:val="nil"/>
            </w:tcBorders>
            <w:shd w:val="clear" w:color="auto" w:fill="auto"/>
            <w:noWrap/>
            <w:vAlign w:val="bottom"/>
            <w:hideMark/>
          </w:tcPr>
          <w:p w14:paraId="38637C49" w14:textId="77777777" w:rsidR="00CB212E" w:rsidRPr="00892C68" w:rsidRDefault="00CB212E" w:rsidP="00CB212E">
            <w:pPr>
              <w:spacing w:after="0" w:line="240" w:lineRule="auto"/>
              <w:jc w:val="right"/>
              <w:outlineLvl w:val="0"/>
              <w:rPr>
                <w:rFonts w:ascii="Arial" w:hAnsi="Arial" w:cs="Arial"/>
                <w:sz w:val="16"/>
                <w:szCs w:val="16"/>
              </w:rPr>
            </w:pPr>
          </w:p>
        </w:tc>
        <w:tc>
          <w:tcPr>
            <w:tcW w:w="1037" w:type="dxa"/>
            <w:gridSpan w:val="2"/>
            <w:tcBorders>
              <w:top w:val="nil"/>
              <w:left w:val="nil"/>
              <w:bottom w:val="nil"/>
              <w:right w:val="nil"/>
            </w:tcBorders>
            <w:shd w:val="clear" w:color="auto" w:fill="auto"/>
            <w:noWrap/>
            <w:vAlign w:val="bottom"/>
            <w:hideMark/>
          </w:tcPr>
          <w:p w14:paraId="5BA3DE73" w14:textId="77777777" w:rsidR="00CB212E" w:rsidRPr="00892C68" w:rsidRDefault="00CB212E" w:rsidP="00CB212E">
            <w:pPr>
              <w:spacing w:after="0" w:line="240" w:lineRule="auto"/>
              <w:jc w:val="right"/>
              <w:outlineLvl w:val="0"/>
              <w:rPr>
                <w:rFonts w:ascii="Times New Roman" w:hAnsi="Times New Roman"/>
                <w:sz w:val="16"/>
                <w:szCs w:val="16"/>
              </w:rPr>
            </w:pPr>
          </w:p>
        </w:tc>
        <w:tc>
          <w:tcPr>
            <w:tcW w:w="960" w:type="dxa"/>
            <w:gridSpan w:val="2"/>
            <w:tcBorders>
              <w:top w:val="nil"/>
              <w:left w:val="nil"/>
              <w:bottom w:val="nil"/>
              <w:right w:val="nil"/>
            </w:tcBorders>
            <w:shd w:val="clear" w:color="auto" w:fill="auto"/>
            <w:noWrap/>
            <w:vAlign w:val="bottom"/>
            <w:hideMark/>
          </w:tcPr>
          <w:p w14:paraId="3899CB21" w14:textId="77777777" w:rsidR="00CB212E" w:rsidRPr="00892C68" w:rsidRDefault="00CB212E" w:rsidP="00CB212E">
            <w:pPr>
              <w:spacing w:after="0" w:line="240" w:lineRule="auto"/>
              <w:jc w:val="right"/>
              <w:outlineLvl w:val="0"/>
              <w:rPr>
                <w:rFonts w:ascii="Times New Roman" w:hAnsi="Times New Roman"/>
                <w:sz w:val="16"/>
                <w:szCs w:val="16"/>
              </w:rPr>
            </w:pPr>
          </w:p>
        </w:tc>
      </w:tr>
      <w:tr w:rsidR="00CB212E" w:rsidRPr="00CB212E" w14:paraId="40971131" w14:textId="77777777" w:rsidTr="00892C68">
        <w:trPr>
          <w:trHeight w:val="204"/>
        </w:trPr>
        <w:tc>
          <w:tcPr>
            <w:tcW w:w="2694" w:type="dxa"/>
            <w:tcBorders>
              <w:top w:val="nil"/>
              <w:left w:val="nil"/>
              <w:bottom w:val="nil"/>
              <w:right w:val="nil"/>
            </w:tcBorders>
            <w:shd w:val="clear" w:color="auto" w:fill="auto"/>
            <w:vAlign w:val="bottom"/>
            <w:hideMark/>
          </w:tcPr>
          <w:p w14:paraId="01DE214D" w14:textId="0CA7686D" w:rsidR="00CB212E" w:rsidRPr="00892C68" w:rsidRDefault="008863D9" w:rsidP="00BC2D84">
            <w:pPr>
              <w:spacing w:after="0" w:line="240" w:lineRule="auto"/>
              <w:ind w:left="113"/>
              <w:jc w:val="left"/>
              <w:outlineLvl w:val="0"/>
              <w:rPr>
                <w:rFonts w:ascii="Arial" w:hAnsi="Arial" w:cs="Arial"/>
                <w:sz w:val="16"/>
                <w:szCs w:val="16"/>
              </w:rPr>
            </w:pPr>
            <w:r w:rsidRPr="00892C68">
              <w:rPr>
                <w:rFonts w:ascii="Arial" w:hAnsi="Arial" w:cs="Arial"/>
                <w:sz w:val="16"/>
                <w:szCs w:val="16"/>
              </w:rPr>
              <w:t>Department</w:t>
            </w:r>
            <w:r w:rsidR="00CB212E" w:rsidRPr="00892C68">
              <w:rPr>
                <w:rFonts w:ascii="Arial" w:hAnsi="Arial" w:cs="Arial"/>
                <w:sz w:val="16"/>
                <w:szCs w:val="16"/>
              </w:rPr>
              <w:t>al appropriation</w:t>
            </w:r>
          </w:p>
        </w:tc>
        <w:tc>
          <w:tcPr>
            <w:tcW w:w="851" w:type="dxa"/>
            <w:tcBorders>
              <w:top w:val="nil"/>
              <w:left w:val="nil"/>
              <w:bottom w:val="nil"/>
              <w:right w:val="nil"/>
            </w:tcBorders>
            <w:shd w:val="clear" w:color="auto" w:fill="auto"/>
            <w:noWrap/>
            <w:vAlign w:val="bottom"/>
            <w:hideMark/>
          </w:tcPr>
          <w:p w14:paraId="41B02FA9" w14:textId="0668C569" w:rsidR="00CB212E" w:rsidRPr="00892C68" w:rsidRDefault="008220D2" w:rsidP="00CB212E">
            <w:pPr>
              <w:spacing w:after="0" w:line="240" w:lineRule="auto"/>
              <w:jc w:val="right"/>
              <w:outlineLvl w:val="0"/>
              <w:rPr>
                <w:rFonts w:ascii="Arial" w:hAnsi="Arial" w:cs="Arial"/>
                <w:sz w:val="16"/>
                <w:szCs w:val="16"/>
              </w:rPr>
            </w:pPr>
            <w:r w:rsidRPr="00892C68">
              <w:rPr>
                <w:rFonts w:ascii="Arial" w:hAnsi="Arial" w:cs="Arial"/>
                <w:sz w:val="16"/>
                <w:szCs w:val="16"/>
              </w:rPr>
              <w:t>11,528</w:t>
            </w:r>
          </w:p>
        </w:tc>
        <w:tc>
          <w:tcPr>
            <w:tcW w:w="1037" w:type="dxa"/>
            <w:tcBorders>
              <w:top w:val="nil"/>
              <w:left w:val="nil"/>
              <w:bottom w:val="nil"/>
              <w:right w:val="nil"/>
            </w:tcBorders>
            <w:shd w:val="clear" w:color="000000" w:fill="E6E6E6"/>
            <w:noWrap/>
            <w:vAlign w:val="bottom"/>
            <w:hideMark/>
          </w:tcPr>
          <w:p w14:paraId="1F213214" w14:textId="3021A651"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10,357</w:t>
            </w:r>
          </w:p>
        </w:tc>
        <w:tc>
          <w:tcPr>
            <w:tcW w:w="1037" w:type="dxa"/>
            <w:gridSpan w:val="3"/>
            <w:tcBorders>
              <w:top w:val="nil"/>
              <w:left w:val="nil"/>
              <w:bottom w:val="nil"/>
              <w:right w:val="nil"/>
            </w:tcBorders>
            <w:shd w:val="clear" w:color="auto" w:fill="auto"/>
            <w:noWrap/>
            <w:vAlign w:val="bottom"/>
            <w:hideMark/>
          </w:tcPr>
          <w:p w14:paraId="578ADEEA" w14:textId="15F62F8B"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10,279</w:t>
            </w:r>
          </w:p>
        </w:tc>
        <w:tc>
          <w:tcPr>
            <w:tcW w:w="1037" w:type="dxa"/>
            <w:gridSpan w:val="2"/>
            <w:tcBorders>
              <w:top w:val="nil"/>
              <w:left w:val="nil"/>
              <w:bottom w:val="nil"/>
              <w:right w:val="nil"/>
            </w:tcBorders>
            <w:shd w:val="clear" w:color="auto" w:fill="auto"/>
            <w:noWrap/>
            <w:vAlign w:val="bottom"/>
            <w:hideMark/>
          </w:tcPr>
          <w:p w14:paraId="059692F3" w14:textId="208AB13A"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10,370</w:t>
            </w:r>
          </w:p>
        </w:tc>
        <w:tc>
          <w:tcPr>
            <w:tcW w:w="960" w:type="dxa"/>
            <w:gridSpan w:val="2"/>
            <w:tcBorders>
              <w:top w:val="nil"/>
              <w:left w:val="nil"/>
              <w:bottom w:val="nil"/>
              <w:right w:val="nil"/>
            </w:tcBorders>
            <w:shd w:val="clear" w:color="auto" w:fill="auto"/>
            <w:noWrap/>
            <w:vAlign w:val="bottom"/>
            <w:hideMark/>
          </w:tcPr>
          <w:p w14:paraId="7C9022E1" w14:textId="03BDCDB9"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9,715</w:t>
            </w:r>
          </w:p>
        </w:tc>
      </w:tr>
      <w:tr w:rsidR="00CB212E" w:rsidRPr="00CB212E" w14:paraId="66487C65" w14:textId="77777777" w:rsidTr="00892C68">
        <w:trPr>
          <w:trHeight w:val="204"/>
        </w:trPr>
        <w:tc>
          <w:tcPr>
            <w:tcW w:w="2694" w:type="dxa"/>
            <w:tcBorders>
              <w:top w:val="nil"/>
              <w:left w:val="nil"/>
              <w:bottom w:val="nil"/>
              <w:right w:val="nil"/>
            </w:tcBorders>
            <w:shd w:val="clear" w:color="auto" w:fill="auto"/>
            <w:vAlign w:val="bottom"/>
            <w:hideMark/>
          </w:tcPr>
          <w:p w14:paraId="7E7B5D96" w14:textId="77777777" w:rsidR="00CB212E" w:rsidRPr="00892C68" w:rsidRDefault="00CB212E" w:rsidP="00BC2D84">
            <w:pPr>
              <w:spacing w:after="0" w:line="240" w:lineRule="auto"/>
              <w:ind w:left="113"/>
              <w:jc w:val="left"/>
              <w:outlineLvl w:val="0"/>
              <w:rPr>
                <w:rFonts w:ascii="Arial" w:hAnsi="Arial" w:cs="Arial"/>
                <w:sz w:val="16"/>
                <w:szCs w:val="16"/>
              </w:rPr>
            </w:pPr>
            <w:r w:rsidRPr="00892C68">
              <w:rPr>
                <w:rFonts w:ascii="Arial" w:hAnsi="Arial" w:cs="Arial"/>
                <w:sz w:val="16"/>
                <w:szCs w:val="16"/>
              </w:rPr>
              <w:t xml:space="preserve">s74 retained revenue receipts </w:t>
            </w:r>
            <w:r w:rsidRPr="00892C68">
              <w:rPr>
                <w:rFonts w:ascii="Arial" w:hAnsi="Arial" w:cs="Arial"/>
                <w:sz w:val="16"/>
                <w:szCs w:val="16"/>
                <w:vertAlign w:val="superscript"/>
              </w:rPr>
              <w:t>(a)</w:t>
            </w:r>
          </w:p>
        </w:tc>
        <w:tc>
          <w:tcPr>
            <w:tcW w:w="851" w:type="dxa"/>
            <w:tcBorders>
              <w:top w:val="nil"/>
              <w:left w:val="nil"/>
              <w:bottom w:val="nil"/>
              <w:right w:val="nil"/>
            </w:tcBorders>
            <w:shd w:val="clear" w:color="auto" w:fill="auto"/>
            <w:noWrap/>
            <w:vAlign w:val="bottom"/>
            <w:hideMark/>
          </w:tcPr>
          <w:p w14:paraId="5DC24D0F" w14:textId="7CEF9179" w:rsidR="00CB212E" w:rsidRPr="00892C68" w:rsidRDefault="008220D2" w:rsidP="00CB212E">
            <w:pPr>
              <w:spacing w:after="0" w:line="240" w:lineRule="auto"/>
              <w:jc w:val="right"/>
              <w:outlineLvl w:val="0"/>
              <w:rPr>
                <w:rFonts w:ascii="Arial" w:hAnsi="Arial" w:cs="Arial"/>
                <w:sz w:val="16"/>
                <w:szCs w:val="16"/>
              </w:rPr>
            </w:pPr>
            <w:r w:rsidRPr="00892C68">
              <w:rPr>
                <w:rFonts w:ascii="Arial" w:hAnsi="Arial" w:cs="Arial"/>
                <w:sz w:val="16"/>
                <w:szCs w:val="16"/>
              </w:rPr>
              <w:t>2,926</w:t>
            </w:r>
          </w:p>
        </w:tc>
        <w:tc>
          <w:tcPr>
            <w:tcW w:w="1037" w:type="dxa"/>
            <w:tcBorders>
              <w:top w:val="nil"/>
              <w:left w:val="nil"/>
              <w:bottom w:val="nil"/>
              <w:right w:val="nil"/>
            </w:tcBorders>
            <w:shd w:val="clear" w:color="000000" w:fill="E6E6E6"/>
            <w:noWrap/>
            <w:vAlign w:val="bottom"/>
            <w:hideMark/>
          </w:tcPr>
          <w:p w14:paraId="0213252D" w14:textId="7CB8D6AF"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2,494</w:t>
            </w:r>
          </w:p>
        </w:tc>
        <w:tc>
          <w:tcPr>
            <w:tcW w:w="1037" w:type="dxa"/>
            <w:gridSpan w:val="3"/>
            <w:tcBorders>
              <w:top w:val="nil"/>
              <w:left w:val="nil"/>
              <w:bottom w:val="nil"/>
              <w:right w:val="nil"/>
            </w:tcBorders>
            <w:shd w:val="clear" w:color="auto" w:fill="auto"/>
            <w:noWrap/>
            <w:vAlign w:val="bottom"/>
            <w:hideMark/>
          </w:tcPr>
          <w:p w14:paraId="3385D1F7" w14:textId="5A10DF93"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2,660</w:t>
            </w:r>
          </w:p>
        </w:tc>
        <w:tc>
          <w:tcPr>
            <w:tcW w:w="1037" w:type="dxa"/>
            <w:gridSpan w:val="2"/>
            <w:tcBorders>
              <w:top w:val="nil"/>
              <w:left w:val="nil"/>
              <w:bottom w:val="nil"/>
              <w:right w:val="nil"/>
            </w:tcBorders>
            <w:shd w:val="clear" w:color="auto" w:fill="auto"/>
            <w:noWrap/>
            <w:vAlign w:val="bottom"/>
            <w:hideMark/>
          </w:tcPr>
          <w:p w14:paraId="2FD4C76D" w14:textId="545DE8BC"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2,775</w:t>
            </w:r>
          </w:p>
        </w:tc>
        <w:tc>
          <w:tcPr>
            <w:tcW w:w="960" w:type="dxa"/>
            <w:gridSpan w:val="2"/>
            <w:tcBorders>
              <w:top w:val="nil"/>
              <w:left w:val="nil"/>
              <w:bottom w:val="nil"/>
              <w:right w:val="nil"/>
            </w:tcBorders>
            <w:shd w:val="clear" w:color="auto" w:fill="auto"/>
            <w:noWrap/>
            <w:vAlign w:val="bottom"/>
            <w:hideMark/>
          </w:tcPr>
          <w:p w14:paraId="10F37126" w14:textId="31B66870"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2,775</w:t>
            </w:r>
          </w:p>
        </w:tc>
      </w:tr>
      <w:tr w:rsidR="00CB212E" w:rsidRPr="00CB212E" w14:paraId="5DBC05E0" w14:textId="77777777" w:rsidTr="00892C68">
        <w:trPr>
          <w:trHeight w:val="204"/>
        </w:trPr>
        <w:tc>
          <w:tcPr>
            <w:tcW w:w="2694" w:type="dxa"/>
            <w:tcBorders>
              <w:top w:val="nil"/>
              <w:left w:val="nil"/>
              <w:bottom w:val="nil"/>
              <w:right w:val="nil"/>
            </w:tcBorders>
            <w:shd w:val="clear" w:color="auto" w:fill="auto"/>
            <w:vAlign w:val="bottom"/>
            <w:hideMark/>
          </w:tcPr>
          <w:p w14:paraId="05D9145F" w14:textId="78E40330" w:rsidR="00CB212E" w:rsidRPr="00892C68" w:rsidRDefault="00CB212E" w:rsidP="00BC2D84">
            <w:pPr>
              <w:tabs>
                <w:tab w:val="left" w:pos="1304"/>
              </w:tabs>
              <w:spacing w:after="0" w:line="240" w:lineRule="auto"/>
              <w:ind w:left="113"/>
              <w:jc w:val="left"/>
              <w:outlineLvl w:val="0"/>
              <w:rPr>
                <w:rFonts w:ascii="Arial" w:hAnsi="Arial" w:cs="Arial"/>
                <w:sz w:val="16"/>
                <w:szCs w:val="16"/>
              </w:rPr>
            </w:pPr>
            <w:r w:rsidRPr="00892C68">
              <w:rPr>
                <w:rFonts w:ascii="Arial" w:hAnsi="Arial" w:cs="Arial"/>
                <w:sz w:val="16"/>
                <w:szCs w:val="16"/>
              </w:rPr>
              <w:t>Expenses not requiring a</w:t>
            </w:r>
            <w:r w:rsidR="00D94F71" w:rsidRPr="00892C68">
              <w:rPr>
                <w:rFonts w:ascii="Arial" w:hAnsi="Arial" w:cs="Arial"/>
                <w:sz w:val="16"/>
                <w:szCs w:val="16"/>
              </w:rPr>
              <w:t>ppropriation in the Budget year </w:t>
            </w:r>
            <w:r w:rsidRPr="00892C68">
              <w:rPr>
                <w:rFonts w:ascii="Arial" w:hAnsi="Arial" w:cs="Arial"/>
                <w:sz w:val="16"/>
                <w:szCs w:val="16"/>
                <w:vertAlign w:val="superscript"/>
              </w:rPr>
              <w:t>(b)</w:t>
            </w:r>
          </w:p>
        </w:tc>
        <w:tc>
          <w:tcPr>
            <w:tcW w:w="851" w:type="dxa"/>
            <w:tcBorders>
              <w:top w:val="nil"/>
              <w:left w:val="nil"/>
              <w:bottom w:val="nil"/>
              <w:right w:val="nil"/>
            </w:tcBorders>
            <w:shd w:val="clear" w:color="000000" w:fill="FFFFFF"/>
            <w:noWrap/>
            <w:vAlign w:val="bottom"/>
            <w:hideMark/>
          </w:tcPr>
          <w:p w14:paraId="73EF46A4" w14:textId="16EA5D90" w:rsidR="00CB212E" w:rsidRPr="00892C68" w:rsidRDefault="00CB212E" w:rsidP="008220D2">
            <w:pPr>
              <w:spacing w:after="0" w:line="240" w:lineRule="auto"/>
              <w:jc w:val="right"/>
              <w:outlineLvl w:val="0"/>
              <w:rPr>
                <w:rFonts w:ascii="Arial" w:hAnsi="Arial" w:cs="Arial"/>
                <w:sz w:val="16"/>
                <w:szCs w:val="16"/>
              </w:rPr>
            </w:pPr>
            <w:r w:rsidRPr="00892C68">
              <w:rPr>
                <w:rFonts w:ascii="Arial" w:hAnsi="Arial" w:cs="Arial"/>
                <w:sz w:val="16"/>
                <w:szCs w:val="16"/>
              </w:rPr>
              <w:t>1,34</w:t>
            </w:r>
            <w:r w:rsidR="008220D2" w:rsidRPr="00892C68">
              <w:rPr>
                <w:rFonts w:ascii="Arial" w:hAnsi="Arial" w:cs="Arial"/>
                <w:sz w:val="16"/>
                <w:szCs w:val="16"/>
              </w:rPr>
              <w:t>0</w:t>
            </w:r>
          </w:p>
        </w:tc>
        <w:tc>
          <w:tcPr>
            <w:tcW w:w="1037" w:type="dxa"/>
            <w:tcBorders>
              <w:top w:val="nil"/>
              <w:left w:val="nil"/>
              <w:bottom w:val="nil"/>
              <w:right w:val="nil"/>
            </w:tcBorders>
            <w:shd w:val="clear" w:color="000000" w:fill="E6E6E6"/>
            <w:noWrap/>
            <w:vAlign w:val="bottom"/>
            <w:hideMark/>
          </w:tcPr>
          <w:p w14:paraId="3D760261" w14:textId="234FECFB"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1,150</w:t>
            </w:r>
          </w:p>
        </w:tc>
        <w:tc>
          <w:tcPr>
            <w:tcW w:w="1037" w:type="dxa"/>
            <w:gridSpan w:val="3"/>
            <w:tcBorders>
              <w:top w:val="nil"/>
              <w:left w:val="nil"/>
              <w:bottom w:val="nil"/>
              <w:right w:val="nil"/>
            </w:tcBorders>
            <w:shd w:val="clear" w:color="000000" w:fill="FFFFFF"/>
            <w:noWrap/>
            <w:vAlign w:val="bottom"/>
            <w:hideMark/>
          </w:tcPr>
          <w:p w14:paraId="7346265E" w14:textId="4C431174"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1,156</w:t>
            </w:r>
          </w:p>
        </w:tc>
        <w:tc>
          <w:tcPr>
            <w:tcW w:w="1037" w:type="dxa"/>
            <w:gridSpan w:val="2"/>
            <w:tcBorders>
              <w:top w:val="nil"/>
              <w:left w:val="nil"/>
              <w:bottom w:val="nil"/>
              <w:right w:val="nil"/>
            </w:tcBorders>
            <w:shd w:val="clear" w:color="auto" w:fill="auto"/>
            <w:noWrap/>
            <w:vAlign w:val="bottom"/>
            <w:hideMark/>
          </w:tcPr>
          <w:p w14:paraId="653AC9E6" w14:textId="440178CA"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1,295</w:t>
            </w:r>
          </w:p>
        </w:tc>
        <w:tc>
          <w:tcPr>
            <w:tcW w:w="960" w:type="dxa"/>
            <w:gridSpan w:val="2"/>
            <w:tcBorders>
              <w:top w:val="nil"/>
              <w:left w:val="nil"/>
              <w:bottom w:val="nil"/>
              <w:right w:val="nil"/>
            </w:tcBorders>
            <w:shd w:val="clear" w:color="auto" w:fill="auto"/>
            <w:noWrap/>
            <w:vAlign w:val="bottom"/>
            <w:hideMark/>
          </w:tcPr>
          <w:p w14:paraId="1B60702C" w14:textId="0783BB92" w:rsidR="00CB212E" w:rsidRPr="00892C68" w:rsidRDefault="00CB212E" w:rsidP="00CB212E">
            <w:pPr>
              <w:spacing w:after="0" w:line="240" w:lineRule="auto"/>
              <w:jc w:val="right"/>
              <w:outlineLvl w:val="0"/>
              <w:rPr>
                <w:rFonts w:ascii="Arial" w:hAnsi="Arial" w:cs="Arial"/>
                <w:sz w:val="16"/>
                <w:szCs w:val="16"/>
              </w:rPr>
            </w:pPr>
            <w:r w:rsidRPr="00892C68">
              <w:rPr>
                <w:rFonts w:ascii="Arial" w:hAnsi="Arial" w:cs="Arial"/>
                <w:sz w:val="16"/>
                <w:szCs w:val="16"/>
              </w:rPr>
              <w:t>1,289</w:t>
            </w:r>
          </w:p>
        </w:tc>
      </w:tr>
      <w:tr w:rsidR="00CB212E" w:rsidRPr="00CB212E" w14:paraId="2DE918D5" w14:textId="77777777" w:rsidTr="00892C68">
        <w:trPr>
          <w:trHeight w:val="204"/>
        </w:trPr>
        <w:tc>
          <w:tcPr>
            <w:tcW w:w="2694" w:type="dxa"/>
            <w:tcBorders>
              <w:top w:val="nil"/>
              <w:left w:val="nil"/>
              <w:bottom w:val="nil"/>
              <w:right w:val="nil"/>
            </w:tcBorders>
            <w:shd w:val="clear" w:color="auto" w:fill="auto"/>
            <w:vAlign w:val="bottom"/>
            <w:hideMark/>
          </w:tcPr>
          <w:p w14:paraId="113A3D91" w14:textId="59402444" w:rsidR="00CB212E" w:rsidRPr="00892C68" w:rsidRDefault="00CB212E" w:rsidP="00892C68">
            <w:pPr>
              <w:spacing w:after="0" w:line="240" w:lineRule="auto"/>
              <w:ind w:left="38"/>
              <w:jc w:val="right"/>
              <w:outlineLvl w:val="0"/>
              <w:rPr>
                <w:rFonts w:ascii="Arial" w:hAnsi="Arial" w:cs="Arial"/>
                <w:b/>
                <w:bCs/>
                <w:sz w:val="16"/>
                <w:szCs w:val="16"/>
              </w:rPr>
            </w:pPr>
            <w:r w:rsidRPr="00892C68">
              <w:rPr>
                <w:rFonts w:ascii="Arial" w:hAnsi="Arial" w:cs="Arial"/>
                <w:b/>
                <w:bCs/>
                <w:sz w:val="16"/>
                <w:szCs w:val="16"/>
              </w:rPr>
              <w:t xml:space="preserve">Total </w:t>
            </w:r>
            <w:r w:rsidR="002367A2">
              <w:rPr>
                <w:rFonts w:ascii="Arial" w:hAnsi="Arial" w:cs="Arial"/>
                <w:b/>
                <w:bCs/>
                <w:sz w:val="16"/>
                <w:szCs w:val="16"/>
              </w:rPr>
              <w:t>D</w:t>
            </w:r>
            <w:r w:rsidR="008863D9" w:rsidRPr="00892C68">
              <w:rPr>
                <w:rFonts w:ascii="Arial" w:hAnsi="Arial" w:cs="Arial"/>
                <w:b/>
                <w:bCs/>
                <w:sz w:val="16"/>
                <w:szCs w:val="16"/>
              </w:rPr>
              <w:t>epartment</w:t>
            </w:r>
            <w:r w:rsidRPr="00892C68">
              <w:rPr>
                <w:rFonts w:ascii="Arial" w:hAnsi="Arial" w:cs="Arial"/>
                <w:b/>
                <w:bCs/>
                <w:sz w:val="16"/>
                <w:szCs w:val="16"/>
              </w:rPr>
              <w:t>al expenses</w:t>
            </w:r>
          </w:p>
        </w:tc>
        <w:tc>
          <w:tcPr>
            <w:tcW w:w="851" w:type="dxa"/>
            <w:tcBorders>
              <w:top w:val="single" w:sz="4" w:space="0" w:color="auto"/>
              <w:left w:val="nil"/>
              <w:bottom w:val="single" w:sz="4" w:space="0" w:color="auto"/>
              <w:right w:val="nil"/>
            </w:tcBorders>
            <w:shd w:val="clear" w:color="000000" w:fill="FFFFFF"/>
            <w:noWrap/>
            <w:vAlign w:val="bottom"/>
            <w:hideMark/>
          </w:tcPr>
          <w:p w14:paraId="02589954" w14:textId="63BF8FE0" w:rsidR="00CB212E" w:rsidRPr="00892C68" w:rsidRDefault="00CB212E" w:rsidP="00CB212E">
            <w:pPr>
              <w:spacing w:after="0" w:line="240" w:lineRule="auto"/>
              <w:jc w:val="right"/>
              <w:outlineLvl w:val="0"/>
              <w:rPr>
                <w:rFonts w:ascii="Arial" w:hAnsi="Arial" w:cs="Arial"/>
                <w:b/>
                <w:bCs/>
                <w:sz w:val="16"/>
                <w:szCs w:val="16"/>
              </w:rPr>
            </w:pPr>
            <w:r w:rsidRPr="00892C68">
              <w:rPr>
                <w:rFonts w:ascii="Arial" w:hAnsi="Arial" w:cs="Arial"/>
                <w:b/>
                <w:bCs/>
                <w:sz w:val="16"/>
                <w:szCs w:val="16"/>
              </w:rPr>
              <w:t>15,794</w:t>
            </w:r>
          </w:p>
        </w:tc>
        <w:tc>
          <w:tcPr>
            <w:tcW w:w="1037" w:type="dxa"/>
            <w:tcBorders>
              <w:top w:val="single" w:sz="4" w:space="0" w:color="auto"/>
              <w:left w:val="nil"/>
              <w:bottom w:val="single" w:sz="4" w:space="0" w:color="auto"/>
              <w:right w:val="nil"/>
            </w:tcBorders>
            <w:shd w:val="clear" w:color="000000" w:fill="E6E6E6"/>
            <w:noWrap/>
            <w:vAlign w:val="bottom"/>
            <w:hideMark/>
          </w:tcPr>
          <w:p w14:paraId="1BFEE118" w14:textId="46FF7B49" w:rsidR="00CB212E" w:rsidRPr="00892C68" w:rsidRDefault="00CB212E" w:rsidP="00CB212E">
            <w:pPr>
              <w:spacing w:after="0" w:line="240" w:lineRule="auto"/>
              <w:jc w:val="right"/>
              <w:outlineLvl w:val="0"/>
              <w:rPr>
                <w:rFonts w:ascii="Arial" w:hAnsi="Arial" w:cs="Arial"/>
                <w:b/>
                <w:bCs/>
                <w:sz w:val="16"/>
                <w:szCs w:val="16"/>
              </w:rPr>
            </w:pPr>
            <w:r w:rsidRPr="00892C68">
              <w:rPr>
                <w:rFonts w:ascii="Arial" w:hAnsi="Arial" w:cs="Arial"/>
                <w:b/>
                <w:bCs/>
                <w:sz w:val="16"/>
                <w:szCs w:val="16"/>
              </w:rPr>
              <w:t>14,001</w:t>
            </w:r>
          </w:p>
        </w:tc>
        <w:tc>
          <w:tcPr>
            <w:tcW w:w="1037" w:type="dxa"/>
            <w:gridSpan w:val="3"/>
            <w:tcBorders>
              <w:top w:val="single" w:sz="4" w:space="0" w:color="auto"/>
              <w:left w:val="nil"/>
              <w:bottom w:val="single" w:sz="4" w:space="0" w:color="auto"/>
              <w:right w:val="nil"/>
            </w:tcBorders>
            <w:shd w:val="clear" w:color="000000" w:fill="FFFFFF"/>
            <w:noWrap/>
            <w:vAlign w:val="bottom"/>
            <w:hideMark/>
          </w:tcPr>
          <w:p w14:paraId="1C0E0454" w14:textId="52298379" w:rsidR="00CB212E" w:rsidRPr="00892C68" w:rsidRDefault="00CB212E" w:rsidP="00CB212E">
            <w:pPr>
              <w:spacing w:after="0" w:line="240" w:lineRule="auto"/>
              <w:jc w:val="right"/>
              <w:outlineLvl w:val="0"/>
              <w:rPr>
                <w:rFonts w:ascii="Arial" w:hAnsi="Arial" w:cs="Arial"/>
                <w:b/>
                <w:bCs/>
                <w:sz w:val="16"/>
                <w:szCs w:val="16"/>
              </w:rPr>
            </w:pPr>
            <w:r w:rsidRPr="00892C68">
              <w:rPr>
                <w:rFonts w:ascii="Arial" w:hAnsi="Arial" w:cs="Arial"/>
                <w:b/>
                <w:bCs/>
                <w:sz w:val="16"/>
                <w:szCs w:val="16"/>
              </w:rPr>
              <w:t>14,095</w:t>
            </w:r>
          </w:p>
        </w:tc>
        <w:tc>
          <w:tcPr>
            <w:tcW w:w="1037" w:type="dxa"/>
            <w:gridSpan w:val="2"/>
            <w:tcBorders>
              <w:top w:val="single" w:sz="4" w:space="0" w:color="auto"/>
              <w:left w:val="nil"/>
              <w:bottom w:val="single" w:sz="4" w:space="0" w:color="auto"/>
              <w:right w:val="nil"/>
            </w:tcBorders>
            <w:shd w:val="clear" w:color="auto" w:fill="auto"/>
            <w:noWrap/>
            <w:vAlign w:val="bottom"/>
            <w:hideMark/>
          </w:tcPr>
          <w:p w14:paraId="60C8D43E" w14:textId="1DA59EA3" w:rsidR="00CB212E" w:rsidRPr="00892C68" w:rsidRDefault="00CB212E" w:rsidP="00CB212E">
            <w:pPr>
              <w:spacing w:after="0" w:line="240" w:lineRule="auto"/>
              <w:jc w:val="right"/>
              <w:outlineLvl w:val="0"/>
              <w:rPr>
                <w:rFonts w:ascii="Arial" w:hAnsi="Arial" w:cs="Arial"/>
                <w:b/>
                <w:bCs/>
                <w:sz w:val="16"/>
                <w:szCs w:val="16"/>
              </w:rPr>
            </w:pPr>
            <w:r w:rsidRPr="00892C68">
              <w:rPr>
                <w:rFonts w:ascii="Arial" w:hAnsi="Arial" w:cs="Arial"/>
                <w:b/>
                <w:bCs/>
                <w:sz w:val="16"/>
                <w:szCs w:val="16"/>
              </w:rPr>
              <w:t>14,440</w:t>
            </w:r>
          </w:p>
        </w:tc>
        <w:tc>
          <w:tcPr>
            <w:tcW w:w="960" w:type="dxa"/>
            <w:gridSpan w:val="2"/>
            <w:tcBorders>
              <w:top w:val="single" w:sz="4" w:space="0" w:color="auto"/>
              <w:left w:val="nil"/>
              <w:bottom w:val="single" w:sz="4" w:space="0" w:color="auto"/>
              <w:right w:val="nil"/>
            </w:tcBorders>
            <w:shd w:val="clear" w:color="auto" w:fill="auto"/>
            <w:noWrap/>
            <w:vAlign w:val="bottom"/>
            <w:hideMark/>
          </w:tcPr>
          <w:p w14:paraId="1383448A" w14:textId="75C39958" w:rsidR="00CB212E" w:rsidRPr="00892C68" w:rsidRDefault="00CB212E" w:rsidP="00CB212E">
            <w:pPr>
              <w:spacing w:after="0" w:line="240" w:lineRule="auto"/>
              <w:jc w:val="right"/>
              <w:outlineLvl w:val="0"/>
              <w:rPr>
                <w:rFonts w:ascii="Arial" w:hAnsi="Arial" w:cs="Arial"/>
                <w:b/>
                <w:bCs/>
                <w:sz w:val="16"/>
                <w:szCs w:val="16"/>
              </w:rPr>
            </w:pPr>
            <w:r w:rsidRPr="00892C68">
              <w:rPr>
                <w:rFonts w:ascii="Arial" w:hAnsi="Arial" w:cs="Arial"/>
                <w:b/>
                <w:bCs/>
                <w:sz w:val="16"/>
                <w:szCs w:val="16"/>
              </w:rPr>
              <w:t>13,779</w:t>
            </w:r>
          </w:p>
        </w:tc>
      </w:tr>
      <w:tr w:rsidR="00CB212E" w:rsidRPr="00CB212E" w14:paraId="21F7AD4A" w14:textId="77777777" w:rsidTr="00892C68">
        <w:trPr>
          <w:trHeight w:val="204"/>
        </w:trPr>
        <w:tc>
          <w:tcPr>
            <w:tcW w:w="2694" w:type="dxa"/>
            <w:tcBorders>
              <w:top w:val="nil"/>
              <w:left w:val="nil"/>
              <w:bottom w:val="single" w:sz="4" w:space="0" w:color="auto"/>
              <w:right w:val="nil"/>
            </w:tcBorders>
            <w:shd w:val="clear" w:color="auto" w:fill="auto"/>
            <w:noWrap/>
            <w:vAlign w:val="bottom"/>
            <w:hideMark/>
          </w:tcPr>
          <w:p w14:paraId="35277125" w14:textId="77777777" w:rsidR="00CB212E" w:rsidRPr="00892C68" w:rsidRDefault="00CB212E" w:rsidP="00CB212E">
            <w:pPr>
              <w:spacing w:after="0" w:line="240" w:lineRule="auto"/>
              <w:jc w:val="left"/>
              <w:outlineLvl w:val="0"/>
              <w:rPr>
                <w:rFonts w:ascii="Arial" w:hAnsi="Arial" w:cs="Arial"/>
                <w:b/>
                <w:bCs/>
                <w:sz w:val="16"/>
                <w:szCs w:val="16"/>
              </w:rPr>
            </w:pPr>
            <w:r w:rsidRPr="00892C68">
              <w:rPr>
                <w:rFonts w:ascii="Arial" w:hAnsi="Arial" w:cs="Arial"/>
                <w:b/>
                <w:bCs/>
                <w:sz w:val="16"/>
                <w:szCs w:val="16"/>
              </w:rPr>
              <w:t>Total expenses for Program 1.1</w:t>
            </w:r>
          </w:p>
        </w:tc>
        <w:tc>
          <w:tcPr>
            <w:tcW w:w="851" w:type="dxa"/>
            <w:tcBorders>
              <w:top w:val="nil"/>
              <w:left w:val="nil"/>
              <w:bottom w:val="single" w:sz="4" w:space="0" w:color="auto"/>
              <w:right w:val="nil"/>
            </w:tcBorders>
            <w:shd w:val="clear" w:color="000000" w:fill="FFFFFF"/>
            <w:noWrap/>
            <w:vAlign w:val="bottom"/>
            <w:hideMark/>
          </w:tcPr>
          <w:p w14:paraId="452C7295" w14:textId="178140D9" w:rsidR="00CB212E" w:rsidRPr="00892C68" w:rsidRDefault="00CB212E" w:rsidP="00CB212E">
            <w:pPr>
              <w:spacing w:after="0" w:line="240" w:lineRule="auto"/>
              <w:jc w:val="right"/>
              <w:outlineLvl w:val="0"/>
              <w:rPr>
                <w:rFonts w:ascii="Arial" w:hAnsi="Arial" w:cs="Arial"/>
                <w:b/>
                <w:bCs/>
                <w:sz w:val="16"/>
                <w:szCs w:val="16"/>
              </w:rPr>
            </w:pPr>
            <w:r w:rsidRPr="00892C68">
              <w:rPr>
                <w:rFonts w:ascii="Arial" w:hAnsi="Arial" w:cs="Arial"/>
                <w:b/>
                <w:bCs/>
                <w:sz w:val="16"/>
                <w:szCs w:val="16"/>
              </w:rPr>
              <w:t>15,794</w:t>
            </w:r>
          </w:p>
        </w:tc>
        <w:tc>
          <w:tcPr>
            <w:tcW w:w="1037" w:type="dxa"/>
            <w:tcBorders>
              <w:top w:val="nil"/>
              <w:left w:val="nil"/>
              <w:bottom w:val="single" w:sz="4" w:space="0" w:color="auto"/>
              <w:right w:val="nil"/>
            </w:tcBorders>
            <w:shd w:val="clear" w:color="000000" w:fill="E6E6E6"/>
            <w:noWrap/>
            <w:vAlign w:val="bottom"/>
            <w:hideMark/>
          </w:tcPr>
          <w:p w14:paraId="5534854F" w14:textId="54A170AA" w:rsidR="00CB212E" w:rsidRPr="00892C68" w:rsidRDefault="00CB212E" w:rsidP="00CB212E">
            <w:pPr>
              <w:spacing w:after="0" w:line="240" w:lineRule="auto"/>
              <w:jc w:val="right"/>
              <w:outlineLvl w:val="0"/>
              <w:rPr>
                <w:rFonts w:ascii="Arial" w:hAnsi="Arial" w:cs="Arial"/>
                <w:b/>
                <w:bCs/>
                <w:sz w:val="16"/>
                <w:szCs w:val="16"/>
              </w:rPr>
            </w:pPr>
            <w:r w:rsidRPr="00892C68">
              <w:rPr>
                <w:rFonts w:ascii="Arial" w:hAnsi="Arial" w:cs="Arial"/>
                <w:b/>
                <w:bCs/>
                <w:sz w:val="16"/>
                <w:szCs w:val="16"/>
              </w:rPr>
              <w:t>14,001</w:t>
            </w:r>
          </w:p>
        </w:tc>
        <w:tc>
          <w:tcPr>
            <w:tcW w:w="1037" w:type="dxa"/>
            <w:gridSpan w:val="3"/>
            <w:tcBorders>
              <w:top w:val="nil"/>
              <w:left w:val="nil"/>
              <w:bottom w:val="single" w:sz="4" w:space="0" w:color="auto"/>
              <w:right w:val="nil"/>
            </w:tcBorders>
            <w:shd w:val="clear" w:color="000000" w:fill="FFFFFF"/>
            <w:noWrap/>
            <w:vAlign w:val="bottom"/>
            <w:hideMark/>
          </w:tcPr>
          <w:p w14:paraId="5AEB16F7" w14:textId="506C0D90" w:rsidR="00CB212E" w:rsidRPr="00892C68" w:rsidRDefault="00CB212E" w:rsidP="00CB212E">
            <w:pPr>
              <w:spacing w:after="0" w:line="240" w:lineRule="auto"/>
              <w:jc w:val="right"/>
              <w:outlineLvl w:val="0"/>
              <w:rPr>
                <w:rFonts w:ascii="Arial" w:hAnsi="Arial" w:cs="Arial"/>
                <w:b/>
                <w:bCs/>
                <w:sz w:val="16"/>
                <w:szCs w:val="16"/>
              </w:rPr>
            </w:pPr>
            <w:r w:rsidRPr="00892C68">
              <w:rPr>
                <w:rFonts w:ascii="Arial" w:hAnsi="Arial" w:cs="Arial"/>
                <w:b/>
                <w:bCs/>
                <w:sz w:val="16"/>
                <w:szCs w:val="16"/>
              </w:rPr>
              <w:t>14,095</w:t>
            </w:r>
          </w:p>
        </w:tc>
        <w:tc>
          <w:tcPr>
            <w:tcW w:w="1037" w:type="dxa"/>
            <w:gridSpan w:val="2"/>
            <w:tcBorders>
              <w:top w:val="nil"/>
              <w:left w:val="nil"/>
              <w:bottom w:val="single" w:sz="4" w:space="0" w:color="auto"/>
              <w:right w:val="nil"/>
            </w:tcBorders>
            <w:shd w:val="clear" w:color="auto" w:fill="auto"/>
            <w:noWrap/>
            <w:vAlign w:val="bottom"/>
            <w:hideMark/>
          </w:tcPr>
          <w:p w14:paraId="07DCF7D2" w14:textId="5C51250D" w:rsidR="00CB212E" w:rsidRPr="00892C68" w:rsidRDefault="00CB212E" w:rsidP="00CB212E">
            <w:pPr>
              <w:spacing w:after="0" w:line="240" w:lineRule="auto"/>
              <w:jc w:val="right"/>
              <w:outlineLvl w:val="0"/>
              <w:rPr>
                <w:rFonts w:ascii="Arial" w:hAnsi="Arial" w:cs="Arial"/>
                <w:b/>
                <w:bCs/>
                <w:sz w:val="16"/>
                <w:szCs w:val="16"/>
              </w:rPr>
            </w:pPr>
            <w:r w:rsidRPr="00892C68">
              <w:rPr>
                <w:rFonts w:ascii="Arial" w:hAnsi="Arial" w:cs="Arial"/>
                <w:b/>
                <w:bCs/>
                <w:sz w:val="16"/>
                <w:szCs w:val="16"/>
              </w:rPr>
              <w:t>14,440</w:t>
            </w:r>
          </w:p>
        </w:tc>
        <w:tc>
          <w:tcPr>
            <w:tcW w:w="960" w:type="dxa"/>
            <w:gridSpan w:val="2"/>
            <w:tcBorders>
              <w:top w:val="nil"/>
              <w:left w:val="nil"/>
              <w:bottom w:val="single" w:sz="4" w:space="0" w:color="auto"/>
              <w:right w:val="nil"/>
            </w:tcBorders>
            <w:shd w:val="clear" w:color="auto" w:fill="auto"/>
            <w:noWrap/>
            <w:vAlign w:val="bottom"/>
            <w:hideMark/>
          </w:tcPr>
          <w:p w14:paraId="431BF0F5" w14:textId="30075876" w:rsidR="00CB212E" w:rsidRPr="00892C68" w:rsidRDefault="00CB212E" w:rsidP="00CB212E">
            <w:pPr>
              <w:spacing w:after="0" w:line="240" w:lineRule="auto"/>
              <w:jc w:val="right"/>
              <w:outlineLvl w:val="0"/>
              <w:rPr>
                <w:rFonts w:ascii="Arial" w:hAnsi="Arial" w:cs="Arial"/>
                <w:b/>
                <w:bCs/>
                <w:sz w:val="16"/>
                <w:szCs w:val="16"/>
              </w:rPr>
            </w:pPr>
            <w:r w:rsidRPr="00892C68">
              <w:rPr>
                <w:rFonts w:ascii="Arial" w:hAnsi="Arial" w:cs="Arial"/>
                <w:b/>
                <w:bCs/>
                <w:sz w:val="16"/>
                <w:szCs w:val="16"/>
              </w:rPr>
              <w:t>13,779</w:t>
            </w:r>
          </w:p>
        </w:tc>
      </w:tr>
      <w:tr w:rsidR="00546B48" w:rsidRPr="00CB212E" w14:paraId="4E07B265" w14:textId="77777777" w:rsidTr="00892C68">
        <w:trPr>
          <w:gridAfter w:val="1"/>
          <w:wAfter w:w="38" w:type="dxa"/>
          <w:trHeight w:val="204"/>
        </w:trPr>
        <w:tc>
          <w:tcPr>
            <w:tcW w:w="7579" w:type="dxa"/>
            <w:gridSpan w:val="9"/>
            <w:tcBorders>
              <w:top w:val="single" w:sz="4" w:space="0" w:color="auto"/>
              <w:left w:val="nil"/>
              <w:bottom w:val="single" w:sz="4" w:space="0" w:color="auto"/>
              <w:right w:val="nil"/>
            </w:tcBorders>
            <w:shd w:val="clear" w:color="000000" w:fill="E6E6E6"/>
            <w:noWrap/>
            <w:hideMark/>
          </w:tcPr>
          <w:p w14:paraId="207BF236" w14:textId="77777777" w:rsidR="00546B48" w:rsidRPr="00CB212E" w:rsidRDefault="00546B48" w:rsidP="00161932">
            <w:pPr>
              <w:spacing w:after="0" w:line="240" w:lineRule="auto"/>
              <w:jc w:val="left"/>
              <w:outlineLvl w:val="0"/>
              <w:rPr>
                <w:rFonts w:ascii="Arial" w:hAnsi="Arial" w:cs="Arial"/>
                <w:sz w:val="16"/>
                <w:szCs w:val="16"/>
              </w:rPr>
            </w:pPr>
            <w:r w:rsidRPr="00CB212E">
              <w:rPr>
                <w:rFonts w:ascii="Arial" w:hAnsi="Arial" w:cs="Arial"/>
                <w:b/>
                <w:bCs/>
                <w:sz w:val="16"/>
                <w:szCs w:val="16"/>
              </w:rPr>
              <w:t>Program 1.2: National Capital Estate</w:t>
            </w:r>
          </w:p>
        </w:tc>
      </w:tr>
      <w:tr w:rsidR="00546B48" w:rsidRPr="00CB212E" w14:paraId="7745DEE2" w14:textId="77777777" w:rsidTr="00892C68">
        <w:trPr>
          <w:gridAfter w:val="1"/>
          <w:wAfter w:w="39" w:type="dxa"/>
          <w:trHeight w:val="204"/>
        </w:trPr>
        <w:tc>
          <w:tcPr>
            <w:tcW w:w="2694" w:type="dxa"/>
            <w:tcBorders>
              <w:top w:val="nil"/>
              <w:left w:val="nil"/>
              <w:bottom w:val="nil"/>
              <w:right w:val="nil"/>
            </w:tcBorders>
            <w:shd w:val="clear" w:color="auto" w:fill="auto"/>
            <w:noWrap/>
            <w:vAlign w:val="bottom"/>
            <w:hideMark/>
          </w:tcPr>
          <w:p w14:paraId="1853B00D" w14:textId="77777777" w:rsidR="00546B48" w:rsidRPr="00892C68" w:rsidRDefault="00546B48" w:rsidP="00161932">
            <w:pPr>
              <w:spacing w:after="0" w:line="240" w:lineRule="auto"/>
              <w:jc w:val="left"/>
              <w:outlineLvl w:val="0"/>
              <w:rPr>
                <w:rFonts w:ascii="Arial" w:hAnsi="Arial" w:cs="Arial"/>
                <w:sz w:val="16"/>
                <w:szCs w:val="16"/>
              </w:rPr>
            </w:pPr>
            <w:r w:rsidRPr="00892C68">
              <w:rPr>
                <w:rFonts w:ascii="Arial" w:hAnsi="Arial" w:cs="Arial"/>
                <w:sz w:val="16"/>
                <w:szCs w:val="16"/>
              </w:rPr>
              <w:t>Administered expenses</w:t>
            </w:r>
          </w:p>
        </w:tc>
        <w:tc>
          <w:tcPr>
            <w:tcW w:w="851" w:type="dxa"/>
            <w:tcBorders>
              <w:top w:val="nil"/>
              <w:left w:val="nil"/>
              <w:bottom w:val="nil"/>
              <w:right w:val="nil"/>
            </w:tcBorders>
            <w:shd w:val="clear" w:color="auto" w:fill="auto"/>
            <w:noWrap/>
            <w:vAlign w:val="bottom"/>
            <w:hideMark/>
          </w:tcPr>
          <w:p w14:paraId="5D9590A7" w14:textId="77777777" w:rsidR="00546B48" w:rsidRPr="00892C68" w:rsidRDefault="00546B48" w:rsidP="00161932">
            <w:pPr>
              <w:spacing w:after="0" w:line="240" w:lineRule="auto"/>
              <w:jc w:val="right"/>
              <w:outlineLvl w:val="0"/>
              <w:rPr>
                <w:rFonts w:ascii="Arial" w:hAnsi="Arial" w:cs="Arial"/>
                <w:sz w:val="16"/>
                <w:szCs w:val="16"/>
              </w:rPr>
            </w:pPr>
          </w:p>
        </w:tc>
        <w:tc>
          <w:tcPr>
            <w:tcW w:w="1056" w:type="dxa"/>
            <w:gridSpan w:val="2"/>
            <w:tcBorders>
              <w:top w:val="nil"/>
              <w:left w:val="nil"/>
              <w:bottom w:val="nil"/>
              <w:right w:val="nil"/>
            </w:tcBorders>
            <w:shd w:val="clear" w:color="000000" w:fill="E6E6E6"/>
            <w:noWrap/>
            <w:vAlign w:val="bottom"/>
            <w:hideMark/>
          </w:tcPr>
          <w:p w14:paraId="4DDB3DC5" w14:textId="77777777" w:rsidR="00546B48" w:rsidRPr="00892C68" w:rsidRDefault="00546B48" w:rsidP="00161932">
            <w:pPr>
              <w:spacing w:after="0" w:line="240" w:lineRule="auto"/>
              <w:jc w:val="right"/>
              <w:outlineLvl w:val="0"/>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6EDD8601" w14:textId="77777777" w:rsidR="00546B48" w:rsidRPr="00892C68" w:rsidRDefault="00546B48" w:rsidP="00161932">
            <w:pPr>
              <w:spacing w:after="0" w:line="240" w:lineRule="auto"/>
              <w:jc w:val="right"/>
              <w:outlineLvl w:val="0"/>
              <w:rPr>
                <w:rFonts w:ascii="Arial" w:hAnsi="Arial" w:cs="Arial"/>
                <w:sz w:val="16"/>
                <w:szCs w:val="16"/>
              </w:rPr>
            </w:pPr>
          </w:p>
        </w:tc>
        <w:tc>
          <w:tcPr>
            <w:tcW w:w="993" w:type="dxa"/>
            <w:gridSpan w:val="2"/>
            <w:tcBorders>
              <w:top w:val="nil"/>
              <w:left w:val="nil"/>
              <w:bottom w:val="nil"/>
              <w:right w:val="nil"/>
            </w:tcBorders>
            <w:shd w:val="clear" w:color="auto" w:fill="auto"/>
            <w:noWrap/>
            <w:vAlign w:val="bottom"/>
            <w:hideMark/>
          </w:tcPr>
          <w:p w14:paraId="436AD397" w14:textId="77777777" w:rsidR="00546B48" w:rsidRPr="00892C68" w:rsidRDefault="00546B48" w:rsidP="00161932">
            <w:pPr>
              <w:spacing w:after="0" w:line="240" w:lineRule="auto"/>
              <w:jc w:val="right"/>
              <w:outlineLvl w:val="0"/>
              <w:rPr>
                <w:rFonts w:ascii="Times New Roman" w:hAnsi="Times New Roman"/>
                <w:sz w:val="16"/>
                <w:szCs w:val="16"/>
              </w:rPr>
            </w:pPr>
          </w:p>
        </w:tc>
        <w:tc>
          <w:tcPr>
            <w:tcW w:w="1056" w:type="dxa"/>
            <w:gridSpan w:val="2"/>
            <w:tcBorders>
              <w:top w:val="nil"/>
              <w:left w:val="nil"/>
              <w:bottom w:val="nil"/>
              <w:right w:val="nil"/>
            </w:tcBorders>
            <w:shd w:val="clear" w:color="auto" w:fill="auto"/>
            <w:noWrap/>
            <w:vAlign w:val="bottom"/>
            <w:hideMark/>
          </w:tcPr>
          <w:p w14:paraId="7444322D" w14:textId="77777777" w:rsidR="00546B48" w:rsidRPr="00892C68" w:rsidRDefault="00546B48" w:rsidP="00161932">
            <w:pPr>
              <w:spacing w:after="0" w:line="240" w:lineRule="auto"/>
              <w:jc w:val="right"/>
              <w:outlineLvl w:val="0"/>
              <w:rPr>
                <w:rFonts w:ascii="Times New Roman" w:hAnsi="Times New Roman"/>
                <w:sz w:val="16"/>
                <w:szCs w:val="16"/>
              </w:rPr>
            </w:pPr>
          </w:p>
        </w:tc>
      </w:tr>
      <w:tr w:rsidR="00546B48" w:rsidRPr="00CB212E" w14:paraId="7C99641B" w14:textId="77777777" w:rsidTr="00892C68">
        <w:trPr>
          <w:gridAfter w:val="1"/>
          <w:wAfter w:w="39" w:type="dxa"/>
          <w:trHeight w:val="204"/>
        </w:trPr>
        <w:tc>
          <w:tcPr>
            <w:tcW w:w="2694" w:type="dxa"/>
            <w:tcBorders>
              <w:top w:val="nil"/>
              <w:left w:val="nil"/>
              <w:bottom w:val="nil"/>
              <w:right w:val="nil"/>
            </w:tcBorders>
            <w:shd w:val="clear" w:color="auto" w:fill="auto"/>
            <w:vAlign w:val="bottom"/>
            <w:hideMark/>
          </w:tcPr>
          <w:p w14:paraId="4E846BBA" w14:textId="58F0B39E" w:rsidR="00546B48" w:rsidRPr="00892C68" w:rsidRDefault="00546B48" w:rsidP="00161932">
            <w:pPr>
              <w:spacing w:after="0" w:line="240" w:lineRule="auto"/>
              <w:ind w:left="113"/>
              <w:jc w:val="left"/>
              <w:outlineLvl w:val="0"/>
              <w:rPr>
                <w:rFonts w:ascii="Arial" w:hAnsi="Arial" w:cs="Arial"/>
                <w:sz w:val="16"/>
                <w:szCs w:val="16"/>
              </w:rPr>
            </w:pPr>
            <w:r w:rsidRPr="00892C68">
              <w:rPr>
                <w:rFonts w:ascii="Arial" w:hAnsi="Arial" w:cs="Arial"/>
                <w:sz w:val="16"/>
                <w:szCs w:val="16"/>
              </w:rPr>
              <w:t>Ordinary Annual Services (</w:t>
            </w:r>
            <w:r w:rsidRPr="00892C68">
              <w:rPr>
                <w:rFonts w:ascii="Arial" w:hAnsi="Arial" w:cs="Arial"/>
                <w:i/>
                <w:iCs/>
                <w:sz w:val="16"/>
                <w:szCs w:val="16"/>
              </w:rPr>
              <w:t>Appropriation Act No. 1</w:t>
            </w:r>
            <w:r w:rsidR="006A053E">
              <w:rPr>
                <w:rFonts w:ascii="Arial" w:hAnsi="Arial" w:cs="Arial"/>
                <w:sz w:val="16"/>
                <w:szCs w:val="16"/>
              </w:rPr>
              <w:t xml:space="preserve"> and Bill No</w:t>
            </w:r>
            <w:r w:rsidRPr="00892C68">
              <w:rPr>
                <w:rFonts w:ascii="Arial" w:hAnsi="Arial" w:cs="Arial"/>
                <w:sz w:val="16"/>
                <w:szCs w:val="16"/>
              </w:rPr>
              <w:t>. 3)</w:t>
            </w:r>
          </w:p>
        </w:tc>
        <w:tc>
          <w:tcPr>
            <w:tcW w:w="851" w:type="dxa"/>
            <w:tcBorders>
              <w:top w:val="nil"/>
              <w:left w:val="nil"/>
              <w:bottom w:val="nil"/>
              <w:right w:val="nil"/>
            </w:tcBorders>
            <w:shd w:val="clear" w:color="000000" w:fill="FFFFFF"/>
            <w:noWrap/>
            <w:vAlign w:val="bottom"/>
            <w:hideMark/>
          </w:tcPr>
          <w:p w14:paraId="4925A080"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16,019</w:t>
            </w:r>
          </w:p>
        </w:tc>
        <w:tc>
          <w:tcPr>
            <w:tcW w:w="1056" w:type="dxa"/>
            <w:gridSpan w:val="2"/>
            <w:tcBorders>
              <w:top w:val="nil"/>
              <w:left w:val="nil"/>
              <w:bottom w:val="nil"/>
              <w:right w:val="nil"/>
            </w:tcBorders>
            <w:shd w:val="clear" w:color="000000" w:fill="E6E6E6"/>
            <w:noWrap/>
            <w:vAlign w:val="bottom"/>
            <w:hideMark/>
          </w:tcPr>
          <w:p w14:paraId="438B37D9"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18,090</w:t>
            </w:r>
          </w:p>
        </w:tc>
        <w:tc>
          <w:tcPr>
            <w:tcW w:w="928" w:type="dxa"/>
            <w:tcBorders>
              <w:top w:val="nil"/>
              <w:left w:val="nil"/>
              <w:bottom w:val="nil"/>
              <w:right w:val="nil"/>
            </w:tcBorders>
            <w:shd w:val="clear" w:color="000000" w:fill="FFFFFF"/>
            <w:noWrap/>
            <w:vAlign w:val="bottom"/>
            <w:hideMark/>
          </w:tcPr>
          <w:p w14:paraId="4EEA6882"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17,124</w:t>
            </w:r>
          </w:p>
        </w:tc>
        <w:tc>
          <w:tcPr>
            <w:tcW w:w="993" w:type="dxa"/>
            <w:gridSpan w:val="2"/>
            <w:tcBorders>
              <w:top w:val="nil"/>
              <w:left w:val="nil"/>
              <w:bottom w:val="nil"/>
              <w:right w:val="nil"/>
            </w:tcBorders>
            <w:shd w:val="clear" w:color="000000" w:fill="FFFFFF"/>
            <w:noWrap/>
            <w:vAlign w:val="bottom"/>
            <w:hideMark/>
          </w:tcPr>
          <w:p w14:paraId="11B8138E"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18,170</w:t>
            </w:r>
          </w:p>
        </w:tc>
        <w:tc>
          <w:tcPr>
            <w:tcW w:w="1056" w:type="dxa"/>
            <w:gridSpan w:val="2"/>
            <w:tcBorders>
              <w:top w:val="nil"/>
              <w:left w:val="nil"/>
              <w:bottom w:val="nil"/>
              <w:right w:val="nil"/>
            </w:tcBorders>
            <w:shd w:val="clear" w:color="000000" w:fill="FFFFFF"/>
            <w:noWrap/>
            <w:vAlign w:val="bottom"/>
            <w:hideMark/>
          </w:tcPr>
          <w:p w14:paraId="5DD2D745"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19,562</w:t>
            </w:r>
          </w:p>
        </w:tc>
      </w:tr>
      <w:tr w:rsidR="00546B48" w:rsidRPr="00CB212E" w14:paraId="7A1D8781" w14:textId="77777777" w:rsidTr="00892C68">
        <w:trPr>
          <w:gridAfter w:val="1"/>
          <w:wAfter w:w="39" w:type="dxa"/>
          <w:trHeight w:val="204"/>
        </w:trPr>
        <w:tc>
          <w:tcPr>
            <w:tcW w:w="2694" w:type="dxa"/>
            <w:tcBorders>
              <w:top w:val="nil"/>
              <w:left w:val="nil"/>
              <w:bottom w:val="nil"/>
              <w:right w:val="nil"/>
            </w:tcBorders>
            <w:shd w:val="clear" w:color="auto" w:fill="auto"/>
            <w:noWrap/>
            <w:vAlign w:val="bottom"/>
            <w:hideMark/>
          </w:tcPr>
          <w:p w14:paraId="23A24B2F" w14:textId="77777777" w:rsidR="00546B48" w:rsidRPr="00892C68" w:rsidRDefault="00546B48" w:rsidP="00161932">
            <w:pPr>
              <w:spacing w:after="0" w:line="240" w:lineRule="auto"/>
              <w:ind w:left="113"/>
              <w:jc w:val="left"/>
              <w:outlineLvl w:val="0"/>
              <w:rPr>
                <w:rFonts w:ascii="Arial" w:hAnsi="Arial" w:cs="Arial"/>
                <w:sz w:val="16"/>
                <w:szCs w:val="16"/>
              </w:rPr>
            </w:pPr>
            <w:r w:rsidRPr="00892C68">
              <w:rPr>
                <w:rFonts w:ascii="Arial" w:hAnsi="Arial" w:cs="Arial"/>
                <w:sz w:val="16"/>
                <w:szCs w:val="16"/>
              </w:rPr>
              <w:t>Special Appropriations</w:t>
            </w:r>
          </w:p>
        </w:tc>
        <w:tc>
          <w:tcPr>
            <w:tcW w:w="851" w:type="dxa"/>
            <w:tcBorders>
              <w:top w:val="nil"/>
              <w:left w:val="nil"/>
              <w:bottom w:val="nil"/>
              <w:right w:val="nil"/>
            </w:tcBorders>
            <w:shd w:val="clear" w:color="auto" w:fill="auto"/>
            <w:noWrap/>
            <w:vAlign w:val="bottom"/>
            <w:hideMark/>
          </w:tcPr>
          <w:p w14:paraId="242B08CB" w14:textId="77777777" w:rsidR="00546B48" w:rsidRPr="00892C68" w:rsidRDefault="00546B48" w:rsidP="00161932">
            <w:pPr>
              <w:spacing w:after="0" w:line="240" w:lineRule="auto"/>
              <w:ind w:firstLineChars="100" w:firstLine="160"/>
              <w:jc w:val="right"/>
              <w:outlineLvl w:val="0"/>
              <w:rPr>
                <w:rFonts w:ascii="Arial" w:hAnsi="Arial" w:cs="Arial"/>
                <w:sz w:val="16"/>
                <w:szCs w:val="16"/>
              </w:rPr>
            </w:pPr>
          </w:p>
        </w:tc>
        <w:tc>
          <w:tcPr>
            <w:tcW w:w="1056" w:type="dxa"/>
            <w:gridSpan w:val="2"/>
            <w:tcBorders>
              <w:top w:val="nil"/>
              <w:left w:val="nil"/>
              <w:bottom w:val="nil"/>
              <w:right w:val="nil"/>
            </w:tcBorders>
            <w:shd w:val="clear" w:color="000000" w:fill="E6E6E6"/>
            <w:noWrap/>
            <w:vAlign w:val="bottom"/>
            <w:hideMark/>
          </w:tcPr>
          <w:p w14:paraId="21FD087F" w14:textId="77777777" w:rsidR="00546B48" w:rsidRPr="00892C68" w:rsidRDefault="00546B48" w:rsidP="00161932">
            <w:pPr>
              <w:spacing w:after="0" w:line="240" w:lineRule="auto"/>
              <w:jc w:val="right"/>
              <w:outlineLvl w:val="0"/>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033BC52F" w14:textId="77777777" w:rsidR="00546B48" w:rsidRPr="00892C68" w:rsidRDefault="00546B48" w:rsidP="00161932">
            <w:pPr>
              <w:spacing w:after="0" w:line="240" w:lineRule="auto"/>
              <w:jc w:val="right"/>
              <w:outlineLvl w:val="0"/>
              <w:rPr>
                <w:rFonts w:ascii="Arial" w:hAnsi="Arial" w:cs="Arial"/>
                <w:sz w:val="16"/>
                <w:szCs w:val="16"/>
              </w:rPr>
            </w:pPr>
          </w:p>
        </w:tc>
        <w:tc>
          <w:tcPr>
            <w:tcW w:w="993" w:type="dxa"/>
            <w:gridSpan w:val="2"/>
            <w:tcBorders>
              <w:top w:val="nil"/>
              <w:left w:val="nil"/>
              <w:bottom w:val="nil"/>
              <w:right w:val="nil"/>
            </w:tcBorders>
            <w:shd w:val="clear" w:color="auto" w:fill="auto"/>
            <w:noWrap/>
            <w:vAlign w:val="bottom"/>
            <w:hideMark/>
          </w:tcPr>
          <w:p w14:paraId="270855C5" w14:textId="77777777" w:rsidR="00546B48" w:rsidRPr="00892C68" w:rsidRDefault="00546B48" w:rsidP="00161932">
            <w:pPr>
              <w:spacing w:after="0" w:line="240" w:lineRule="auto"/>
              <w:jc w:val="right"/>
              <w:outlineLvl w:val="0"/>
              <w:rPr>
                <w:rFonts w:ascii="Times New Roman" w:hAnsi="Times New Roman"/>
                <w:sz w:val="16"/>
                <w:szCs w:val="16"/>
              </w:rPr>
            </w:pPr>
          </w:p>
        </w:tc>
        <w:tc>
          <w:tcPr>
            <w:tcW w:w="1056" w:type="dxa"/>
            <w:gridSpan w:val="2"/>
            <w:tcBorders>
              <w:top w:val="nil"/>
              <w:left w:val="nil"/>
              <w:bottom w:val="nil"/>
              <w:right w:val="nil"/>
            </w:tcBorders>
            <w:shd w:val="clear" w:color="auto" w:fill="auto"/>
            <w:noWrap/>
            <w:vAlign w:val="bottom"/>
            <w:hideMark/>
          </w:tcPr>
          <w:p w14:paraId="05CF3B2B" w14:textId="77777777" w:rsidR="00546B48" w:rsidRPr="00892C68" w:rsidRDefault="00546B48" w:rsidP="00161932">
            <w:pPr>
              <w:spacing w:after="0" w:line="240" w:lineRule="auto"/>
              <w:jc w:val="right"/>
              <w:outlineLvl w:val="0"/>
              <w:rPr>
                <w:rFonts w:ascii="Times New Roman" w:hAnsi="Times New Roman"/>
                <w:sz w:val="16"/>
                <w:szCs w:val="16"/>
              </w:rPr>
            </w:pPr>
          </w:p>
        </w:tc>
      </w:tr>
      <w:tr w:rsidR="00546B48" w:rsidRPr="00CB212E" w14:paraId="5B141530" w14:textId="77777777" w:rsidTr="00892C68">
        <w:trPr>
          <w:gridAfter w:val="1"/>
          <w:wAfter w:w="39" w:type="dxa"/>
          <w:trHeight w:val="204"/>
        </w:trPr>
        <w:tc>
          <w:tcPr>
            <w:tcW w:w="2694" w:type="dxa"/>
            <w:tcBorders>
              <w:top w:val="nil"/>
              <w:left w:val="nil"/>
              <w:bottom w:val="nil"/>
              <w:right w:val="nil"/>
            </w:tcBorders>
            <w:shd w:val="clear" w:color="auto" w:fill="auto"/>
            <w:vAlign w:val="bottom"/>
            <w:hideMark/>
          </w:tcPr>
          <w:p w14:paraId="59E46A7B" w14:textId="77777777" w:rsidR="00546B48" w:rsidRPr="00892C68" w:rsidRDefault="00546B48" w:rsidP="00161932">
            <w:pPr>
              <w:spacing w:after="0" w:line="240" w:lineRule="auto"/>
              <w:ind w:left="227"/>
              <w:jc w:val="left"/>
              <w:outlineLvl w:val="0"/>
              <w:rPr>
                <w:rFonts w:ascii="Arial" w:hAnsi="Arial" w:cs="Arial"/>
                <w:i/>
                <w:sz w:val="16"/>
                <w:szCs w:val="16"/>
              </w:rPr>
            </w:pPr>
            <w:r w:rsidRPr="00892C68">
              <w:rPr>
                <w:rFonts w:ascii="Arial" w:hAnsi="Arial" w:cs="Arial"/>
                <w:i/>
                <w:sz w:val="16"/>
                <w:szCs w:val="16"/>
              </w:rPr>
              <w:t>Public Governance, Performance and Accountability Act 2013</w:t>
            </w:r>
          </w:p>
        </w:tc>
        <w:tc>
          <w:tcPr>
            <w:tcW w:w="851" w:type="dxa"/>
            <w:tcBorders>
              <w:top w:val="nil"/>
              <w:left w:val="nil"/>
              <w:bottom w:val="nil"/>
              <w:right w:val="nil"/>
            </w:tcBorders>
            <w:shd w:val="clear" w:color="auto" w:fill="auto"/>
            <w:noWrap/>
            <w:vAlign w:val="bottom"/>
            <w:hideMark/>
          </w:tcPr>
          <w:p w14:paraId="2AD5CC06"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25</w:t>
            </w:r>
          </w:p>
        </w:tc>
        <w:tc>
          <w:tcPr>
            <w:tcW w:w="1056" w:type="dxa"/>
            <w:gridSpan w:val="2"/>
            <w:tcBorders>
              <w:top w:val="nil"/>
              <w:left w:val="nil"/>
              <w:bottom w:val="nil"/>
              <w:right w:val="nil"/>
            </w:tcBorders>
            <w:shd w:val="clear" w:color="000000" w:fill="E6E6E6"/>
            <w:noWrap/>
            <w:vAlign w:val="bottom"/>
            <w:hideMark/>
          </w:tcPr>
          <w:p w14:paraId="6700C5C3"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25</w:t>
            </w:r>
          </w:p>
        </w:tc>
        <w:tc>
          <w:tcPr>
            <w:tcW w:w="928" w:type="dxa"/>
            <w:tcBorders>
              <w:top w:val="nil"/>
              <w:left w:val="nil"/>
              <w:bottom w:val="nil"/>
              <w:right w:val="nil"/>
            </w:tcBorders>
            <w:shd w:val="clear" w:color="auto" w:fill="auto"/>
            <w:noWrap/>
            <w:vAlign w:val="bottom"/>
            <w:hideMark/>
          </w:tcPr>
          <w:p w14:paraId="23AFC3E6"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25</w:t>
            </w:r>
          </w:p>
        </w:tc>
        <w:tc>
          <w:tcPr>
            <w:tcW w:w="993" w:type="dxa"/>
            <w:gridSpan w:val="2"/>
            <w:tcBorders>
              <w:top w:val="nil"/>
              <w:left w:val="nil"/>
              <w:bottom w:val="nil"/>
              <w:right w:val="nil"/>
            </w:tcBorders>
            <w:shd w:val="clear" w:color="auto" w:fill="auto"/>
            <w:noWrap/>
            <w:vAlign w:val="bottom"/>
            <w:hideMark/>
          </w:tcPr>
          <w:p w14:paraId="28FB2446"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25</w:t>
            </w:r>
          </w:p>
        </w:tc>
        <w:tc>
          <w:tcPr>
            <w:tcW w:w="1056" w:type="dxa"/>
            <w:gridSpan w:val="2"/>
            <w:tcBorders>
              <w:top w:val="nil"/>
              <w:left w:val="nil"/>
              <w:bottom w:val="nil"/>
              <w:right w:val="nil"/>
            </w:tcBorders>
            <w:shd w:val="clear" w:color="auto" w:fill="auto"/>
            <w:noWrap/>
            <w:vAlign w:val="bottom"/>
            <w:hideMark/>
          </w:tcPr>
          <w:p w14:paraId="45AB637A"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25</w:t>
            </w:r>
          </w:p>
        </w:tc>
      </w:tr>
      <w:tr w:rsidR="00546B48" w:rsidRPr="00CB212E" w14:paraId="24E76820" w14:textId="77777777" w:rsidTr="00892C68">
        <w:trPr>
          <w:gridAfter w:val="1"/>
          <w:wAfter w:w="39" w:type="dxa"/>
          <w:trHeight w:val="204"/>
        </w:trPr>
        <w:tc>
          <w:tcPr>
            <w:tcW w:w="2694" w:type="dxa"/>
            <w:tcBorders>
              <w:top w:val="nil"/>
              <w:left w:val="nil"/>
              <w:bottom w:val="nil"/>
              <w:right w:val="nil"/>
            </w:tcBorders>
            <w:shd w:val="clear" w:color="auto" w:fill="auto"/>
            <w:vAlign w:val="bottom"/>
            <w:hideMark/>
          </w:tcPr>
          <w:p w14:paraId="2C7DB26C" w14:textId="5DA09B75" w:rsidR="00546B48" w:rsidRPr="00892C68" w:rsidRDefault="00546B48" w:rsidP="00161932">
            <w:pPr>
              <w:spacing w:after="0" w:line="240" w:lineRule="auto"/>
              <w:ind w:left="113"/>
              <w:jc w:val="left"/>
              <w:outlineLvl w:val="0"/>
              <w:rPr>
                <w:rFonts w:ascii="Arial" w:hAnsi="Arial" w:cs="Arial"/>
                <w:sz w:val="16"/>
                <w:szCs w:val="16"/>
              </w:rPr>
            </w:pPr>
            <w:r w:rsidRPr="00892C68">
              <w:rPr>
                <w:rFonts w:ascii="Arial" w:hAnsi="Arial" w:cs="Arial"/>
                <w:sz w:val="16"/>
                <w:szCs w:val="16"/>
              </w:rPr>
              <w:t>Expenses not requiring a</w:t>
            </w:r>
            <w:r w:rsidR="00D94F71" w:rsidRPr="00892C68">
              <w:rPr>
                <w:rFonts w:ascii="Arial" w:hAnsi="Arial" w:cs="Arial"/>
                <w:sz w:val="16"/>
                <w:szCs w:val="16"/>
              </w:rPr>
              <w:t>ppropriation in the Budget year </w:t>
            </w:r>
            <w:r w:rsidRPr="00892C68">
              <w:rPr>
                <w:rFonts w:ascii="Arial" w:hAnsi="Arial" w:cs="Arial"/>
                <w:sz w:val="16"/>
                <w:szCs w:val="16"/>
                <w:vertAlign w:val="superscript"/>
              </w:rPr>
              <w:t>(c)</w:t>
            </w:r>
          </w:p>
        </w:tc>
        <w:tc>
          <w:tcPr>
            <w:tcW w:w="851" w:type="dxa"/>
            <w:tcBorders>
              <w:top w:val="nil"/>
              <w:left w:val="nil"/>
              <w:bottom w:val="nil"/>
              <w:right w:val="nil"/>
            </w:tcBorders>
            <w:shd w:val="clear" w:color="auto" w:fill="auto"/>
            <w:noWrap/>
            <w:vAlign w:val="bottom"/>
            <w:hideMark/>
          </w:tcPr>
          <w:p w14:paraId="6D32A6DC"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25,657</w:t>
            </w:r>
          </w:p>
        </w:tc>
        <w:tc>
          <w:tcPr>
            <w:tcW w:w="1056" w:type="dxa"/>
            <w:gridSpan w:val="2"/>
            <w:tcBorders>
              <w:top w:val="nil"/>
              <w:left w:val="nil"/>
              <w:bottom w:val="nil"/>
              <w:right w:val="nil"/>
            </w:tcBorders>
            <w:shd w:val="clear" w:color="000000" w:fill="E6E6E6"/>
            <w:noWrap/>
            <w:vAlign w:val="bottom"/>
            <w:hideMark/>
          </w:tcPr>
          <w:p w14:paraId="4B3826A7"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26,678</w:t>
            </w:r>
          </w:p>
        </w:tc>
        <w:tc>
          <w:tcPr>
            <w:tcW w:w="928" w:type="dxa"/>
            <w:tcBorders>
              <w:top w:val="nil"/>
              <w:left w:val="nil"/>
              <w:bottom w:val="nil"/>
              <w:right w:val="nil"/>
            </w:tcBorders>
            <w:shd w:val="clear" w:color="auto" w:fill="auto"/>
            <w:noWrap/>
            <w:vAlign w:val="bottom"/>
            <w:hideMark/>
          </w:tcPr>
          <w:p w14:paraId="442FC1B0"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26,592</w:t>
            </w:r>
          </w:p>
        </w:tc>
        <w:tc>
          <w:tcPr>
            <w:tcW w:w="993" w:type="dxa"/>
            <w:gridSpan w:val="2"/>
            <w:tcBorders>
              <w:top w:val="nil"/>
              <w:left w:val="nil"/>
              <w:bottom w:val="nil"/>
              <w:right w:val="nil"/>
            </w:tcBorders>
            <w:shd w:val="clear" w:color="auto" w:fill="auto"/>
            <w:noWrap/>
            <w:vAlign w:val="bottom"/>
            <w:hideMark/>
          </w:tcPr>
          <w:p w14:paraId="772661CA"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26,647</w:t>
            </w:r>
          </w:p>
        </w:tc>
        <w:tc>
          <w:tcPr>
            <w:tcW w:w="1056" w:type="dxa"/>
            <w:gridSpan w:val="2"/>
            <w:tcBorders>
              <w:top w:val="nil"/>
              <w:left w:val="nil"/>
              <w:bottom w:val="nil"/>
              <w:right w:val="nil"/>
            </w:tcBorders>
            <w:shd w:val="clear" w:color="auto" w:fill="auto"/>
            <w:noWrap/>
            <w:vAlign w:val="bottom"/>
            <w:hideMark/>
          </w:tcPr>
          <w:p w14:paraId="16826EF5" w14:textId="77777777" w:rsidR="00546B48" w:rsidRPr="00892C68" w:rsidRDefault="00546B48" w:rsidP="00161932">
            <w:pPr>
              <w:spacing w:after="0" w:line="240" w:lineRule="auto"/>
              <w:jc w:val="right"/>
              <w:outlineLvl w:val="0"/>
              <w:rPr>
                <w:rFonts w:ascii="Arial" w:hAnsi="Arial" w:cs="Arial"/>
                <w:sz w:val="16"/>
                <w:szCs w:val="16"/>
              </w:rPr>
            </w:pPr>
            <w:r w:rsidRPr="00892C68">
              <w:rPr>
                <w:rFonts w:ascii="Arial" w:hAnsi="Arial" w:cs="Arial"/>
                <w:sz w:val="16"/>
                <w:szCs w:val="16"/>
              </w:rPr>
              <w:t>26,647</w:t>
            </w:r>
          </w:p>
        </w:tc>
      </w:tr>
      <w:tr w:rsidR="00546B48" w:rsidRPr="00CB212E" w14:paraId="154EFCF4" w14:textId="77777777" w:rsidTr="00892C68">
        <w:trPr>
          <w:gridAfter w:val="1"/>
          <w:wAfter w:w="39" w:type="dxa"/>
          <w:trHeight w:val="204"/>
        </w:trPr>
        <w:tc>
          <w:tcPr>
            <w:tcW w:w="2694" w:type="dxa"/>
            <w:tcBorders>
              <w:top w:val="nil"/>
              <w:left w:val="nil"/>
              <w:bottom w:val="nil"/>
              <w:right w:val="nil"/>
            </w:tcBorders>
            <w:shd w:val="clear" w:color="auto" w:fill="auto"/>
            <w:vAlign w:val="bottom"/>
            <w:hideMark/>
          </w:tcPr>
          <w:p w14:paraId="5C92532A" w14:textId="7220DFFF" w:rsidR="00546B48" w:rsidRPr="00892C68" w:rsidRDefault="002367A2" w:rsidP="00161932">
            <w:pPr>
              <w:spacing w:after="0" w:line="240" w:lineRule="auto"/>
              <w:ind w:firstLineChars="100" w:firstLine="160"/>
              <w:jc w:val="right"/>
              <w:outlineLvl w:val="0"/>
              <w:rPr>
                <w:rFonts w:ascii="Arial" w:hAnsi="Arial" w:cs="Arial"/>
                <w:b/>
                <w:bCs/>
                <w:sz w:val="16"/>
                <w:szCs w:val="16"/>
              </w:rPr>
            </w:pPr>
            <w:r>
              <w:rPr>
                <w:rFonts w:ascii="Arial" w:hAnsi="Arial" w:cs="Arial"/>
                <w:b/>
                <w:bCs/>
                <w:sz w:val="16"/>
                <w:szCs w:val="16"/>
              </w:rPr>
              <w:t>Total A</w:t>
            </w:r>
            <w:r w:rsidR="00546B48" w:rsidRPr="00892C68">
              <w:rPr>
                <w:rFonts w:ascii="Arial" w:hAnsi="Arial" w:cs="Arial"/>
                <w:b/>
                <w:bCs/>
                <w:sz w:val="16"/>
                <w:szCs w:val="16"/>
              </w:rPr>
              <w:t>dministered expenses</w:t>
            </w:r>
          </w:p>
        </w:tc>
        <w:tc>
          <w:tcPr>
            <w:tcW w:w="851" w:type="dxa"/>
            <w:tcBorders>
              <w:top w:val="single" w:sz="4" w:space="0" w:color="auto"/>
              <w:left w:val="nil"/>
              <w:bottom w:val="single" w:sz="4" w:space="0" w:color="auto"/>
              <w:right w:val="nil"/>
            </w:tcBorders>
            <w:shd w:val="clear" w:color="auto" w:fill="auto"/>
            <w:noWrap/>
            <w:vAlign w:val="bottom"/>
            <w:hideMark/>
          </w:tcPr>
          <w:p w14:paraId="748D4D4B" w14:textId="77777777" w:rsidR="00546B48" w:rsidRPr="00892C68" w:rsidRDefault="00546B48" w:rsidP="00161932">
            <w:pPr>
              <w:spacing w:after="0" w:line="240" w:lineRule="auto"/>
              <w:jc w:val="right"/>
              <w:outlineLvl w:val="0"/>
              <w:rPr>
                <w:rFonts w:ascii="Arial" w:hAnsi="Arial" w:cs="Arial"/>
                <w:b/>
                <w:bCs/>
                <w:sz w:val="16"/>
                <w:szCs w:val="16"/>
              </w:rPr>
            </w:pPr>
            <w:r w:rsidRPr="00892C68">
              <w:rPr>
                <w:rFonts w:ascii="Arial" w:hAnsi="Arial" w:cs="Arial"/>
                <w:b/>
                <w:bCs/>
                <w:sz w:val="16"/>
                <w:szCs w:val="16"/>
              </w:rPr>
              <w:t>41,701</w:t>
            </w:r>
          </w:p>
        </w:tc>
        <w:tc>
          <w:tcPr>
            <w:tcW w:w="1056" w:type="dxa"/>
            <w:gridSpan w:val="2"/>
            <w:tcBorders>
              <w:top w:val="single" w:sz="4" w:space="0" w:color="auto"/>
              <w:left w:val="nil"/>
              <w:bottom w:val="single" w:sz="4" w:space="0" w:color="auto"/>
              <w:right w:val="nil"/>
            </w:tcBorders>
            <w:shd w:val="clear" w:color="000000" w:fill="E6E6E6"/>
            <w:noWrap/>
            <w:vAlign w:val="bottom"/>
            <w:hideMark/>
          </w:tcPr>
          <w:p w14:paraId="6BDB2AAF" w14:textId="77777777" w:rsidR="00546B48" w:rsidRPr="00892C68" w:rsidRDefault="00546B48" w:rsidP="00161932">
            <w:pPr>
              <w:spacing w:after="0" w:line="240" w:lineRule="auto"/>
              <w:jc w:val="right"/>
              <w:outlineLvl w:val="0"/>
              <w:rPr>
                <w:rFonts w:ascii="Arial" w:hAnsi="Arial" w:cs="Arial"/>
                <w:b/>
                <w:bCs/>
                <w:sz w:val="16"/>
                <w:szCs w:val="16"/>
              </w:rPr>
            </w:pPr>
            <w:r w:rsidRPr="00892C68">
              <w:rPr>
                <w:rFonts w:ascii="Arial" w:hAnsi="Arial" w:cs="Arial"/>
                <w:b/>
                <w:bCs/>
                <w:sz w:val="16"/>
                <w:szCs w:val="16"/>
              </w:rPr>
              <w:t>44,793</w:t>
            </w:r>
          </w:p>
        </w:tc>
        <w:tc>
          <w:tcPr>
            <w:tcW w:w="928" w:type="dxa"/>
            <w:tcBorders>
              <w:top w:val="single" w:sz="4" w:space="0" w:color="auto"/>
              <w:left w:val="nil"/>
              <w:bottom w:val="single" w:sz="4" w:space="0" w:color="auto"/>
              <w:right w:val="nil"/>
            </w:tcBorders>
            <w:shd w:val="clear" w:color="auto" w:fill="auto"/>
            <w:noWrap/>
            <w:vAlign w:val="bottom"/>
            <w:hideMark/>
          </w:tcPr>
          <w:p w14:paraId="52015FE7" w14:textId="77777777" w:rsidR="00546B48" w:rsidRPr="00892C68" w:rsidRDefault="00546B48" w:rsidP="00161932">
            <w:pPr>
              <w:spacing w:after="0" w:line="240" w:lineRule="auto"/>
              <w:jc w:val="right"/>
              <w:outlineLvl w:val="0"/>
              <w:rPr>
                <w:rFonts w:ascii="Arial" w:hAnsi="Arial" w:cs="Arial"/>
                <w:b/>
                <w:bCs/>
                <w:sz w:val="16"/>
                <w:szCs w:val="16"/>
              </w:rPr>
            </w:pPr>
            <w:r w:rsidRPr="00892C68">
              <w:rPr>
                <w:rFonts w:ascii="Arial" w:hAnsi="Arial" w:cs="Arial"/>
                <w:b/>
                <w:bCs/>
                <w:sz w:val="16"/>
                <w:szCs w:val="16"/>
              </w:rPr>
              <w:t>43,741</w:t>
            </w:r>
          </w:p>
        </w:tc>
        <w:tc>
          <w:tcPr>
            <w:tcW w:w="993" w:type="dxa"/>
            <w:gridSpan w:val="2"/>
            <w:tcBorders>
              <w:top w:val="single" w:sz="4" w:space="0" w:color="auto"/>
              <w:left w:val="nil"/>
              <w:bottom w:val="single" w:sz="4" w:space="0" w:color="auto"/>
              <w:right w:val="nil"/>
            </w:tcBorders>
            <w:shd w:val="clear" w:color="auto" w:fill="auto"/>
            <w:noWrap/>
            <w:vAlign w:val="bottom"/>
            <w:hideMark/>
          </w:tcPr>
          <w:p w14:paraId="19C90327" w14:textId="77777777" w:rsidR="00546B48" w:rsidRPr="00892C68" w:rsidRDefault="00546B48" w:rsidP="00161932">
            <w:pPr>
              <w:spacing w:after="0" w:line="240" w:lineRule="auto"/>
              <w:jc w:val="right"/>
              <w:outlineLvl w:val="0"/>
              <w:rPr>
                <w:rFonts w:ascii="Arial" w:hAnsi="Arial" w:cs="Arial"/>
                <w:b/>
                <w:bCs/>
                <w:sz w:val="16"/>
                <w:szCs w:val="16"/>
              </w:rPr>
            </w:pPr>
            <w:r w:rsidRPr="00892C68">
              <w:rPr>
                <w:rFonts w:ascii="Arial" w:hAnsi="Arial" w:cs="Arial"/>
                <w:b/>
                <w:bCs/>
                <w:sz w:val="16"/>
                <w:szCs w:val="16"/>
              </w:rPr>
              <w:t>44,842</w:t>
            </w:r>
          </w:p>
        </w:tc>
        <w:tc>
          <w:tcPr>
            <w:tcW w:w="1056" w:type="dxa"/>
            <w:gridSpan w:val="2"/>
            <w:tcBorders>
              <w:top w:val="single" w:sz="4" w:space="0" w:color="auto"/>
              <w:left w:val="nil"/>
              <w:bottom w:val="single" w:sz="4" w:space="0" w:color="auto"/>
              <w:right w:val="nil"/>
            </w:tcBorders>
            <w:shd w:val="clear" w:color="auto" w:fill="auto"/>
            <w:noWrap/>
            <w:vAlign w:val="bottom"/>
            <w:hideMark/>
          </w:tcPr>
          <w:p w14:paraId="4F8AA7AA" w14:textId="77777777" w:rsidR="00546B48" w:rsidRPr="00892C68" w:rsidRDefault="00546B48" w:rsidP="00161932">
            <w:pPr>
              <w:spacing w:after="0" w:line="240" w:lineRule="auto"/>
              <w:jc w:val="right"/>
              <w:outlineLvl w:val="0"/>
              <w:rPr>
                <w:rFonts w:ascii="Arial" w:hAnsi="Arial" w:cs="Arial"/>
                <w:b/>
                <w:bCs/>
                <w:sz w:val="16"/>
                <w:szCs w:val="16"/>
              </w:rPr>
            </w:pPr>
            <w:r w:rsidRPr="00892C68">
              <w:rPr>
                <w:rFonts w:ascii="Arial" w:hAnsi="Arial" w:cs="Arial"/>
                <w:b/>
                <w:bCs/>
                <w:sz w:val="16"/>
                <w:szCs w:val="16"/>
              </w:rPr>
              <w:t>46,234</w:t>
            </w:r>
          </w:p>
        </w:tc>
      </w:tr>
      <w:tr w:rsidR="00546B48" w:rsidRPr="00CB212E" w14:paraId="54236AA6" w14:textId="77777777" w:rsidTr="00892C68">
        <w:trPr>
          <w:gridAfter w:val="1"/>
          <w:wAfter w:w="39" w:type="dxa"/>
          <w:trHeight w:val="204"/>
        </w:trPr>
        <w:tc>
          <w:tcPr>
            <w:tcW w:w="2694" w:type="dxa"/>
            <w:tcBorders>
              <w:top w:val="nil"/>
              <w:left w:val="nil"/>
              <w:bottom w:val="single" w:sz="4" w:space="0" w:color="auto"/>
              <w:right w:val="nil"/>
            </w:tcBorders>
            <w:shd w:val="clear" w:color="auto" w:fill="auto"/>
            <w:noWrap/>
            <w:vAlign w:val="bottom"/>
            <w:hideMark/>
          </w:tcPr>
          <w:p w14:paraId="124AC81A" w14:textId="77777777" w:rsidR="00546B48" w:rsidRPr="00892C68" w:rsidRDefault="00546B48" w:rsidP="00161932">
            <w:pPr>
              <w:spacing w:after="0" w:line="240" w:lineRule="auto"/>
              <w:jc w:val="left"/>
              <w:outlineLvl w:val="0"/>
              <w:rPr>
                <w:rFonts w:ascii="Arial" w:hAnsi="Arial" w:cs="Arial"/>
                <w:b/>
                <w:bCs/>
                <w:sz w:val="16"/>
                <w:szCs w:val="16"/>
              </w:rPr>
            </w:pPr>
            <w:r w:rsidRPr="00892C68">
              <w:rPr>
                <w:rFonts w:ascii="Arial" w:hAnsi="Arial" w:cs="Arial"/>
                <w:b/>
                <w:bCs/>
                <w:sz w:val="16"/>
                <w:szCs w:val="16"/>
              </w:rPr>
              <w:t>Total expenses for Program 1.2</w:t>
            </w:r>
          </w:p>
        </w:tc>
        <w:tc>
          <w:tcPr>
            <w:tcW w:w="851" w:type="dxa"/>
            <w:tcBorders>
              <w:top w:val="nil"/>
              <w:left w:val="nil"/>
              <w:bottom w:val="single" w:sz="4" w:space="0" w:color="auto"/>
              <w:right w:val="nil"/>
            </w:tcBorders>
            <w:shd w:val="clear" w:color="auto" w:fill="auto"/>
            <w:noWrap/>
            <w:vAlign w:val="bottom"/>
            <w:hideMark/>
          </w:tcPr>
          <w:p w14:paraId="59EB4E68" w14:textId="77777777" w:rsidR="00546B48" w:rsidRPr="00892C68" w:rsidRDefault="00546B48" w:rsidP="00161932">
            <w:pPr>
              <w:spacing w:after="0" w:line="240" w:lineRule="auto"/>
              <w:jc w:val="right"/>
              <w:outlineLvl w:val="0"/>
              <w:rPr>
                <w:rFonts w:ascii="Arial" w:hAnsi="Arial" w:cs="Arial"/>
                <w:b/>
                <w:bCs/>
                <w:sz w:val="16"/>
                <w:szCs w:val="16"/>
              </w:rPr>
            </w:pPr>
            <w:r w:rsidRPr="00892C68">
              <w:rPr>
                <w:rFonts w:ascii="Arial" w:hAnsi="Arial" w:cs="Arial"/>
                <w:b/>
                <w:bCs/>
                <w:sz w:val="16"/>
                <w:szCs w:val="16"/>
              </w:rPr>
              <w:t>41,701</w:t>
            </w:r>
          </w:p>
        </w:tc>
        <w:tc>
          <w:tcPr>
            <w:tcW w:w="1056" w:type="dxa"/>
            <w:gridSpan w:val="2"/>
            <w:tcBorders>
              <w:top w:val="nil"/>
              <w:left w:val="nil"/>
              <w:bottom w:val="single" w:sz="4" w:space="0" w:color="auto"/>
              <w:right w:val="nil"/>
            </w:tcBorders>
            <w:shd w:val="clear" w:color="000000" w:fill="E6E6E6"/>
            <w:noWrap/>
            <w:vAlign w:val="bottom"/>
            <w:hideMark/>
          </w:tcPr>
          <w:p w14:paraId="332BD821" w14:textId="77777777" w:rsidR="00546B48" w:rsidRPr="00892C68" w:rsidRDefault="00546B48" w:rsidP="00161932">
            <w:pPr>
              <w:spacing w:after="0" w:line="240" w:lineRule="auto"/>
              <w:jc w:val="right"/>
              <w:outlineLvl w:val="0"/>
              <w:rPr>
                <w:rFonts w:ascii="Arial" w:hAnsi="Arial" w:cs="Arial"/>
                <w:b/>
                <w:bCs/>
                <w:sz w:val="16"/>
                <w:szCs w:val="16"/>
              </w:rPr>
            </w:pPr>
            <w:r w:rsidRPr="00892C68">
              <w:rPr>
                <w:rFonts w:ascii="Arial" w:hAnsi="Arial" w:cs="Arial"/>
                <w:b/>
                <w:bCs/>
                <w:sz w:val="16"/>
                <w:szCs w:val="16"/>
              </w:rPr>
              <w:t>44,793</w:t>
            </w:r>
          </w:p>
        </w:tc>
        <w:tc>
          <w:tcPr>
            <w:tcW w:w="928" w:type="dxa"/>
            <w:tcBorders>
              <w:top w:val="nil"/>
              <w:left w:val="nil"/>
              <w:bottom w:val="single" w:sz="4" w:space="0" w:color="auto"/>
              <w:right w:val="nil"/>
            </w:tcBorders>
            <w:shd w:val="clear" w:color="auto" w:fill="auto"/>
            <w:noWrap/>
            <w:vAlign w:val="bottom"/>
            <w:hideMark/>
          </w:tcPr>
          <w:p w14:paraId="340F367E" w14:textId="77777777" w:rsidR="00546B48" w:rsidRPr="00892C68" w:rsidRDefault="00546B48" w:rsidP="00161932">
            <w:pPr>
              <w:spacing w:after="0" w:line="240" w:lineRule="auto"/>
              <w:jc w:val="right"/>
              <w:outlineLvl w:val="0"/>
              <w:rPr>
                <w:rFonts w:ascii="Arial" w:hAnsi="Arial" w:cs="Arial"/>
                <w:b/>
                <w:bCs/>
                <w:sz w:val="16"/>
                <w:szCs w:val="16"/>
              </w:rPr>
            </w:pPr>
            <w:r w:rsidRPr="00892C68">
              <w:rPr>
                <w:rFonts w:ascii="Arial" w:hAnsi="Arial" w:cs="Arial"/>
                <w:b/>
                <w:bCs/>
                <w:sz w:val="16"/>
                <w:szCs w:val="16"/>
              </w:rPr>
              <w:t>43,741</w:t>
            </w:r>
          </w:p>
        </w:tc>
        <w:tc>
          <w:tcPr>
            <w:tcW w:w="993" w:type="dxa"/>
            <w:gridSpan w:val="2"/>
            <w:tcBorders>
              <w:top w:val="nil"/>
              <w:left w:val="nil"/>
              <w:bottom w:val="single" w:sz="4" w:space="0" w:color="auto"/>
              <w:right w:val="nil"/>
            </w:tcBorders>
            <w:shd w:val="clear" w:color="auto" w:fill="auto"/>
            <w:noWrap/>
            <w:vAlign w:val="bottom"/>
            <w:hideMark/>
          </w:tcPr>
          <w:p w14:paraId="46AA44B5" w14:textId="77777777" w:rsidR="00546B48" w:rsidRPr="00892C68" w:rsidRDefault="00546B48" w:rsidP="00161932">
            <w:pPr>
              <w:spacing w:after="0" w:line="240" w:lineRule="auto"/>
              <w:jc w:val="right"/>
              <w:outlineLvl w:val="0"/>
              <w:rPr>
                <w:rFonts w:ascii="Arial" w:hAnsi="Arial" w:cs="Arial"/>
                <w:b/>
                <w:bCs/>
                <w:sz w:val="16"/>
                <w:szCs w:val="16"/>
              </w:rPr>
            </w:pPr>
            <w:r w:rsidRPr="00892C68">
              <w:rPr>
                <w:rFonts w:ascii="Arial" w:hAnsi="Arial" w:cs="Arial"/>
                <w:b/>
                <w:bCs/>
                <w:sz w:val="16"/>
                <w:szCs w:val="16"/>
              </w:rPr>
              <w:t>44,842</w:t>
            </w:r>
          </w:p>
        </w:tc>
        <w:tc>
          <w:tcPr>
            <w:tcW w:w="1056" w:type="dxa"/>
            <w:gridSpan w:val="2"/>
            <w:tcBorders>
              <w:top w:val="nil"/>
              <w:left w:val="nil"/>
              <w:bottom w:val="single" w:sz="4" w:space="0" w:color="auto"/>
              <w:right w:val="nil"/>
            </w:tcBorders>
            <w:shd w:val="clear" w:color="auto" w:fill="auto"/>
            <w:noWrap/>
            <w:vAlign w:val="bottom"/>
            <w:hideMark/>
          </w:tcPr>
          <w:p w14:paraId="0D1AB1CB" w14:textId="77777777" w:rsidR="00546B48" w:rsidRPr="00892C68" w:rsidRDefault="00546B48" w:rsidP="00161932">
            <w:pPr>
              <w:spacing w:after="0" w:line="240" w:lineRule="auto"/>
              <w:jc w:val="right"/>
              <w:outlineLvl w:val="0"/>
              <w:rPr>
                <w:rFonts w:ascii="Arial" w:hAnsi="Arial" w:cs="Arial"/>
                <w:b/>
                <w:bCs/>
                <w:sz w:val="16"/>
                <w:szCs w:val="16"/>
              </w:rPr>
            </w:pPr>
            <w:r w:rsidRPr="00892C68">
              <w:rPr>
                <w:rFonts w:ascii="Arial" w:hAnsi="Arial" w:cs="Arial"/>
                <w:b/>
                <w:bCs/>
                <w:sz w:val="16"/>
                <w:szCs w:val="16"/>
              </w:rPr>
              <w:t>46,234</w:t>
            </w:r>
          </w:p>
        </w:tc>
      </w:tr>
    </w:tbl>
    <w:p w14:paraId="0550CECA" w14:textId="5697B674" w:rsidR="00CB212E" w:rsidRPr="001436E5" w:rsidRDefault="00CB212E" w:rsidP="00CB212E">
      <w:pPr>
        <w:pStyle w:val="TableHeading"/>
        <w:rPr>
          <w:highlight w:val="yellow"/>
          <w:lang w:val="en-AU"/>
        </w:rPr>
      </w:pPr>
      <w:r w:rsidRPr="00D93D96">
        <w:lastRenderedPageBreak/>
        <w:t>Table 2.</w:t>
      </w:r>
      <w:r>
        <w:rPr>
          <w:lang w:val="en-AU"/>
        </w:rPr>
        <w:t>2.</w:t>
      </w:r>
      <w:r w:rsidRPr="00D93D96">
        <w:t>1 Budgeted expenses</w:t>
      </w:r>
      <w:r>
        <w:rPr>
          <w:lang w:val="en-AU"/>
        </w:rPr>
        <w:t xml:space="preserve"> for</w:t>
      </w:r>
      <w:r w:rsidRPr="00D93D96">
        <w:t xml:space="preserve"> Outcome </w:t>
      </w:r>
      <w:r>
        <w:rPr>
          <w:lang w:val="en-US"/>
        </w:rPr>
        <w:t>1</w:t>
      </w:r>
      <w:r>
        <w:rPr>
          <w:lang w:val="en-AU"/>
        </w:rPr>
        <w:t xml:space="preserve"> (continued)</w:t>
      </w:r>
    </w:p>
    <w:tbl>
      <w:tblPr>
        <w:tblW w:w="7895" w:type="dxa"/>
        <w:tblLook w:val="04A0" w:firstRow="1" w:lastRow="0" w:firstColumn="1" w:lastColumn="0" w:noHBand="0" w:noVBand="1"/>
      </w:tblPr>
      <w:tblGrid>
        <w:gridCol w:w="2977"/>
        <w:gridCol w:w="851"/>
        <w:gridCol w:w="1037"/>
        <w:gridCol w:w="19"/>
        <w:gridCol w:w="928"/>
        <w:gridCol w:w="90"/>
        <w:gridCol w:w="903"/>
        <w:gridCol w:w="134"/>
        <w:gridCol w:w="923"/>
        <w:gridCol w:w="33"/>
      </w:tblGrid>
      <w:tr w:rsidR="00892C68" w:rsidRPr="0040418E" w14:paraId="6C09ADD5" w14:textId="77777777" w:rsidTr="00892C68">
        <w:trPr>
          <w:trHeight w:val="204"/>
        </w:trPr>
        <w:tc>
          <w:tcPr>
            <w:tcW w:w="2977" w:type="dxa"/>
            <w:tcBorders>
              <w:top w:val="single" w:sz="4" w:space="0" w:color="auto"/>
              <w:left w:val="nil"/>
              <w:bottom w:val="nil"/>
              <w:right w:val="nil"/>
            </w:tcBorders>
            <w:shd w:val="clear" w:color="auto" w:fill="auto"/>
            <w:noWrap/>
            <w:hideMark/>
          </w:tcPr>
          <w:p w14:paraId="0B3DEC37" w14:textId="0BC7A469" w:rsidR="00892C68" w:rsidRPr="0040418E" w:rsidRDefault="00892C68" w:rsidP="00892C68">
            <w:pPr>
              <w:spacing w:after="0" w:line="240" w:lineRule="auto"/>
              <w:jc w:val="left"/>
              <w:rPr>
                <w:rFonts w:ascii="Arial" w:hAnsi="Arial" w:cs="Arial"/>
                <w:sz w:val="16"/>
                <w:szCs w:val="16"/>
              </w:rPr>
            </w:pPr>
            <w:r w:rsidRPr="0040418E">
              <w:rPr>
                <w:rFonts w:ascii="Arial" w:hAnsi="Arial" w:cs="Arial"/>
                <w:sz w:val="16"/>
                <w:szCs w:val="16"/>
              </w:rPr>
              <w:t> </w:t>
            </w:r>
          </w:p>
        </w:tc>
        <w:tc>
          <w:tcPr>
            <w:tcW w:w="851" w:type="dxa"/>
            <w:tcBorders>
              <w:top w:val="single" w:sz="4" w:space="0" w:color="auto"/>
              <w:left w:val="nil"/>
              <w:bottom w:val="nil"/>
              <w:right w:val="nil"/>
            </w:tcBorders>
            <w:shd w:val="clear" w:color="auto" w:fill="auto"/>
            <w:vAlign w:val="bottom"/>
            <w:hideMark/>
          </w:tcPr>
          <w:p w14:paraId="2F05A292" w14:textId="77777777" w:rsidR="00892C68" w:rsidRDefault="00892C68" w:rsidP="00892C68">
            <w:pPr>
              <w:spacing w:after="0" w:line="240" w:lineRule="auto"/>
              <w:jc w:val="right"/>
              <w:rPr>
                <w:rFonts w:ascii="Arial" w:hAnsi="Arial" w:cs="Arial"/>
                <w:sz w:val="16"/>
                <w:szCs w:val="16"/>
              </w:rPr>
            </w:pPr>
            <w:r w:rsidRPr="0040418E">
              <w:rPr>
                <w:rFonts w:ascii="Arial" w:hAnsi="Arial" w:cs="Arial"/>
                <w:sz w:val="16"/>
                <w:szCs w:val="16"/>
              </w:rPr>
              <w:t>2020-21 Actual</w:t>
            </w:r>
          </w:p>
          <w:p w14:paraId="063A81DA" w14:textId="77777777" w:rsidR="00892C68" w:rsidRDefault="00892C68" w:rsidP="00892C68">
            <w:pPr>
              <w:spacing w:after="0" w:line="240" w:lineRule="auto"/>
              <w:jc w:val="right"/>
              <w:rPr>
                <w:rFonts w:ascii="Arial" w:hAnsi="Arial" w:cs="Arial"/>
                <w:sz w:val="16"/>
                <w:szCs w:val="16"/>
              </w:rPr>
            </w:pPr>
          </w:p>
          <w:p w14:paraId="619BA6A3" w14:textId="0D942E43" w:rsidR="00892C68" w:rsidRPr="0040418E" w:rsidRDefault="00892C68" w:rsidP="00892C68">
            <w:pPr>
              <w:spacing w:after="0" w:line="240" w:lineRule="auto"/>
              <w:jc w:val="right"/>
              <w:rPr>
                <w:rFonts w:ascii="Arial" w:hAnsi="Arial" w:cs="Arial"/>
                <w:sz w:val="16"/>
                <w:szCs w:val="16"/>
              </w:rPr>
            </w:pPr>
            <w:r w:rsidRPr="0040418E">
              <w:rPr>
                <w:rFonts w:ascii="Arial" w:hAnsi="Arial" w:cs="Arial"/>
                <w:sz w:val="16"/>
                <w:szCs w:val="16"/>
              </w:rPr>
              <w:t>$'000</w:t>
            </w:r>
          </w:p>
        </w:tc>
        <w:tc>
          <w:tcPr>
            <w:tcW w:w="1037" w:type="dxa"/>
            <w:tcBorders>
              <w:top w:val="single" w:sz="4" w:space="0" w:color="auto"/>
              <w:left w:val="nil"/>
              <w:bottom w:val="nil"/>
              <w:right w:val="nil"/>
            </w:tcBorders>
            <w:shd w:val="clear" w:color="000000" w:fill="E6E6E6"/>
            <w:vAlign w:val="bottom"/>
            <w:hideMark/>
          </w:tcPr>
          <w:p w14:paraId="355D587E" w14:textId="77777777" w:rsidR="00892C68" w:rsidRDefault="00892C68" w:rsidP="00892C68">
            <w:pPr>
              <w:spacing w:after="0" w:line="240" w:lineRule="auto"/>
              <w:jc w:val="right"/>
              <w:rPr>
                <w:rFonts w:ascii="Arial" w:hAnsi="Arial" w:cs="Arial"/>
                <w:sz w:val="16"/>
                <w:szCs w:val="16"/>
              </w:rPr>
            </w:pPr>
            <w:r w:rsidRPr="0040418E">
              <w:rPr>
                <w:rFonts w:ascii="Arial" w:hAnsi="Arial" w:cs="Arial"/>
                <w:sz w:val="16"/>
                <w:szCs w:val="16"/>
              </w:rPr>
              <w:t>2021-22 Revised</w:t>
            </w:r>
            <w:r>
              <w:rPr>
                <w:rFonts w:ascii="Arial" w:hAnsi="Arial" w:cs="Arial"/>
                <w:sz w:val="16"/>
                <w:szCs w:val="16"/>
              </w:rPr>
              <w:t xml:space="preserve"> Budget</w:t>
            </w:r>
          </w:p>
          <w:p w14:paraId="2B549EF2" w14:textId="5918B1AA" w:rsidR="00892C68" w:rsidRPr="0040418E" w:rsidRDefault="00892C68" w:rsidP="00892C68">
            <w:pPr>
              <w:spacing w:after="0" w:line="240" w:lineRule="auto"/>
              <w:jc w:val="right"/>
              <w:rPr>
                <w:rFonts w:ascii="Arial" w:hAnsi="Arial" w:cs="Arial"/>
                <w:sz w:val="16"/>
                <w:szCs w:val="16"/>
              </w:rPr>
            </w:pPr>
            <w:r w:rsidRPr="0040418E">
              <w:rPr>
                <w:rFonts w:ascii="Arial" w:hAnsi="Arial" w:cs="Arial"/>
                <w:sz w:val="16"/>
                <w:szCs w:val="16"/>
              </w:rPr>
              <w:t>$'000</w:t>
            </w:r>
          </w:p>
        </w:tc>
        <w:tc>
          <w:tcPr>
            <w:tcW w:w="1037" w:type="dxa"/>
            <w:gridSpan w:val="3"/>
            <w:tcBorders>
              <w:top w:val="single" w:sz="4" w:space="0" w:color="auto"/>
              <w:left w:val="nil"/>
              <w:bottom w:val="nil"/>
              <w:right w:val="nil"/>
            </w:tcBorders>
            <w:shd w:val="clear" w:color="auto" w:fill="auto"/>
            <w:vAlign w:val="bottom"/>
            <w:hideMark/>
          </w:tcPr>
          <w:p w14:paraId="66D0BAFC" w14:textId="77777777" w:rsidR="00892C68" w:rsidRDefault="00892C68" w:rsidP="00892C68">
            <w:pPr>
              <w:spacing w:after="0" w:line="240" w:lineRule="auto"/>
              <w:jc w:val="right"/>
              <w:rPr>
                <w:rFonts w:ascii="Arial" w:hAnsi="Arial" w:cs="Arial"/>
                <w:sz w:val="16"/>
                <w:szCs w:val="16"/>
              </w:rPr>
            </w:pPr>
            <w:r w:rsidRPr="0040418E">
              <w:rPr>
                <w:rFonts w:ascii="Arial" w:hAnsi="Arial" w:cs="Arial"/>
                <w:sz w:val="16"/>
                <w:szCs w:val="16"/>
              </w:rPr>
              <w:t>2022-23 Forward estimate</w:t>
            </w:r>
          </w:p>
          <w:p w14:paraId="68627AAF" w14:textId="70A24064" w:rsidR="00892C68" w:rsidRPr="0040418E" w:rsidRDefault="00892C68" w:rsidP="00892C68">
            <w:pPr>
              <w:spacing w:after="0" w:line="240" w:lineRule="auto"/>
              <w:jc w:val="right"/>
              <w:rPr>
                <w:rFonts w:ascii="Arial" w:hAnsi="Arial" w:cs="Arial"/>
                <w:sz w:val="16"/>
                <w:szCs w:val="16"/>
              </w:rPr>
            </w:pPr>
            <w:r w:rsidRPr="0040418E">
              <w:rPr>
                <w:rFonts w:ascii="Arial" w:hAnsi="Arial" w:cs="Arial"/>
                <w:sz w:val="16"/>
                <w:szCs w:val="16"/>
              </w:rPr>
              <w:t>$'000</w:t>
            </w:r>
          </w:p>
        </w:tc>
        <w:tc>
          <w:tcPr>
            <w:tcW w:w="1037" w:type="dxa"/>
            <w:gridSpan w:val="2"/>
            <w:tcBorders>
              <w:top w:val="single" w:sz="4" w:space="0" w:color="auto"/>
              <w:left w:val="nil"/>
              <w:bottom w:val="nil"/>
              <w:right w:val="nil"/>
            </w:tcBorders>
            <w:shd w:val="clear" w:color="auto" w:fill="auto"/>
            <w:vAlign w:val="bottom"/>
            <w:hideMark/>
          </w:tcPr>
          <w:p w14:paraId="1474BDDD" w14:textId="77777777" w:rsidR="00892C68" w:rsidRDefault="00892C68" w:rsidP="00892C68">
            <w:pPr>
              <w:spacing w:after="0" w:line="240" w:lineRule="auto"/>
              <w:jc w:val="right"/>
              <w:rPr>
                <w:rFonts w:ascii="Arial" w:hAnsi="Arial" w:cs="Arial"/>
                <w:sz w:val="16"/>
                <w:szCs w:val="16"/>
              </w:rPr>
            </w:pPr>
            <w:r w:rsidRPr="0040418E">
              <w:rPr>
                <w:rFonts w:ascii="Arial" w:hAnsi="Arial" w:cs="Arial"/>
                <w:sz w:val="16"/>
                <w:szCs w:val="16"/>
              </w:rPr>
              <w:t>2023-24 Forward estimate</w:t>
            </w:r>
          </w:p>
          <w:p w14:paraId="2509846F" w14:textId="5DA47E6E" w:rsidR="00892C68" w:rsidRPr="0040418E" w:rsidRDefault="00892C68" w:rsidP="00892C68">
            <w:pPr>
              <w:spacing w:after="0" w:line="240" w:lineRule="auto"/>
              <w:jc w:val="right"/>
              <w:rPr>
                <w:rFonts w:ascii="Arial" w:hAnsi="Arial" w:cs="Arial"/>
                <w:sz w:val="16"/>
                <w:szCs w:val="16"/>
              </w:rPr>
            </w:pPr>
            <w:r w:rsidRPr="0040418E">
              <w:rPr>
                <w:rFonts w:ascii="Arial" w:hAnsi="Arial" w:cs="Arial"/>
                <w:sz w:val="16"/>
                <w:szCs w:val="16"/>
              </w:rPr>
              <w:t>$'000</w:t>
            </w:r>
          </w:p>
        </w:tc>
        <w:tc>
          <w:tcPr>
            <w:tcW w:w="956" w:type="dxa"/>
            <w:gridSpan w:val="2"/>
            <w:tcBorders>
              <w:top w:val="single" w:sz="4" w:space="0" w:color="auto"/>
              <w:left w:val="nil"/>
              <w:bottom w:val="nil"/>
              <w:right w:val="nil"/>
            </w:tcBorders>
            <w:shd w:val="clear" w:color="auto" w:fill="auto"/>
            <w:vAlign w:val="bottom"/>
            <w:hideMark/>
          </w:tcPr>
          <w:p w14:paraId="4C922B9F" w14:textId="77777777" w:rsidR="00892C68" w:rsidRDefault="00892C68" w:rsidP="00892C68">
            <w:pPr>
              <w:spacing w:after="0" w:line="240" w:lineRule="auto"/>
              <w:jc w:val="right"/>
              <w:rPr>
                <w:rFonts w:ascii="Arial" w:hAnsi="Arial" w:cs="Arial"/>
                <w:sz w:val="16"/>
                <w:szCs w:val="16"/>
              </w:rPr>
            </w:pPr>
            <w:r w:rsidRPr="0040418E">
              <w:rPr>
                <w:rFonts w:ascii="Arial" w:hAnsi="Arial" w:cs="Arial"/>
                <w:sz w:val="16"/>
                <w:szCs w:val="16"/>
              </w:rPr>
              <w:t>2024-25 Forward estimate</w:t>
            </w:r>
          </w:p>
          <w:p w14:paraId="792A6FA3" w14:textId="1EA05359" w:rsidR="00892C68" w:rsidRPr="0040418E" w:rsidRDefault="00892C68" w:rsidP="00892C68">
            <w:pPr>
              <w:spacing w:after="0" w:line="240" w:lineRule="auto"/>
              <w:jc w:val="right"/>
              <w:rPr>
                <w:rFonts w:ascii="Arial" w:hAnsi="Arial" w:cs="Arial"/>
                <w:sz w:val="16"/>
                <w:szCs w:val="16"/>
              </w:rPr>
            </w:pPr>
            <w:r w:rsidRPr="0040418E">
              <w:rPr>
                <w:rFonts w:ascii="Arial" w:hAnsi="Arial" w:cs="Arial"/>
                <w:sz w:val="16"/>
                <w:szCs w:val="16"/>
              </w:rPr>
              <w:t>$'000</w:t>
            </w:r>
          </w:p>
        </w:tc>
      </w:tr>
      <w:tr w:rsidR="00546B48" w:rsidRPr="00CB212E" w14:paraId="080E2685" w14:textId="77777777" w:rsidTr="00892C68">
        <w:trPr>
          <w:gridAfter w:val="1"/>
          <w:wAfter w:w="33" w:type="dxa"/>
          <w:trHeight w:val="204"/>
        </w:trPr>
        <w:tc>
          <w:tcPr>
            <w:tcW w:w="7862" w:type="dxa"/>
            <w:gridSpan w:val="9"/>
            <w:tcBorders>
              <w:top w:val="single" w:sz="4" w:space="0" w:color="auto"/>
              <w:left w:val="nil"/>
              <w:bottom w:val="single" w:sz="4" w:space="0" w:color="auto"/>
              <w:right w:val="nil"/>
            </w:tcBorders>
            <w:shd w:val="clear" w:color="000000" w:fill="E6E6E6"/>
            <w:noWrap/>
            <w:hideMark/>
          </w:tcPr>
          <w:p w14:paraId="3F1AF3F7" w14:textId="04683437" w:rsidR="00546B48" w:rsidRPr="00CB212E" w:rsidRDefault="00546B48" w:rsidP="00546B48">
            <w:pPr>
              <w:spacing w:after="0" w:line="240" w:lineRule="auto"/>
              <w:jc w:val="left"/>
              <w:rPr>
                <w:rFonts w:ascii="Arial" w:hAnsi="Arial" w:cs="Arial"/>
                <w:sz w:val="16"/>
                <w:szCs w:val="16"/>
              </w:rPr>
            </w:pPr>
            <w:r w:rsidRPr="00CB212E">
              <w:rPr>
                <w:rFonts w:ascii="Arial" w:hAnsi="Arial" w:cs="Arial"/>
                <w:b/>
                <w:bCs/>
                <w:sz w:val="16"/>
                <w:szCs w:val="16"/>
              </w:rPr>
              <w:t>Outcome 1 Totals by appropriation type</w:t>
            </w:r>
          </w:p>
        </w:tc>
      </w:tr>
      <w:tr w:rsidR="00CB212E" w:rsidRPr="00CB212E" w14:paraId="333ECF78" w14:textId="77777777" w:rsidTr="00892C68">
        <w:trPr>
          <w:gridAfter w:val="1"/>
          <w:wAfter w:w="34" w:type="dxa"/>
          <w:trHeight w:val="204"/>
        </w:trPr>
        <w:tc>
          <w:tcPr>
            <w:tcW w:w="2977" w:type="dxa"/>
            <w:tcBorders>
              <w:top w:val="nil"/>
              <w:left w:val="nil"/>
              <w:bottom w:val="nil"/>
              <w:right w:val="nil"/>
            </w:tcBorders>
            <w:shd w:val="clear" w:color="auto" w:fill="auto"/>
            <w:noWrap/>
            <w:vAlign w:val="bottom"/>
            <w:hideMark/>
          </w:tcPr>
          <w:p w14:paraId="5940D998" w14:textId="77777777" w:rsidR="00CB212E" w:rsidRPr="00892C68" w:rsidRDefault="00CB212E" w:rsidP="00CB212E">
            <w:pPr>
              <w:spacing w:after="0" w:line="240" w:lineRule="auto"/>
              <w:jc w:val="left"/>
              <w:rPr>
                <w:rFonts w:ascii="Arial" w:hAnsi="Arial" w:cs="Arial"/>
                <w:sz w:val="16"/>
                <w:szCs w:val="16"/>
              </w:rPr>
            </w:pPr>
            <w:r w:rsidRPr="00892C68">
              <w:rPr>
                <w:rFonts w:ascii="Arial" w:hAnsi="Arial" w:cs="Arial"/>
                <w:sz w:val="16"/>
                <w:szCs w:val="16"/>
              </w:rPr>
              <w:t>Administered expenses</w:t>
            </w:r>
          </w:p>
        </w:tc>
        <w:tc>
          <w:tcPr>
            <w:tcW w:w="851" w:type="dxa"/>
            <w:tcBorders>
              <w:top w:val="nil"/>
              <w:left w:val="nil"/>
              <w:bottom w:val="nil"/>
              <w:right w:val="nil"/>
            </w:tcBorders>
            <w:shd w:val="clear" w:color="auto" w:fill="auto"/>
            <w:noWrap/>
            <w:vAlign w:val="bottom"/>
            <w:hideMark/>
          </w:tcPr>
          <w:p w14:paraId="27E89408" w14:textId="77777777" w:rsidR="00CB212E" w:rsidRPr="00892C68" w:rsidRDefault="00CB212E" w:rsidP="00917B90">
            <w:pPr>
              <w:spacing w:after="0" w:line="240" w:lineRule="auto"/>
              <w:jc w:val="right"/>
              <w:rPr>
                <w:rFonts w:ascii="Arial" w:hAnsi="Arial" w:cs="Arial"/>
                <w:sz w:val="16"/>
                <w:szCs w:val="16"/>
              </w:rPr>
            </w:pPr>
          </w:p>
        </w:tc>
        <w:tc>
          <w:tcPr>
            <w:tcW w:w="1056" w:type="dxa"/>
            <w:gridSpan w:val="2"/>
            <w:tcBorders>
              <w:top w:val="nil"/>
              <w:left w:val="nil"/>
              <w:bottom w:val="nil"/>
              <w:right w:val="nil"/>
            </w:tcBorders>
            <w:shd w:val="clear" w:color="000000" w:fill="E6E6E6"/>
            <w:noWrap/>
            <w:vAlign w:val="bottom"/>
            <w:hideMark/>
          </w:tcPr>
          <w:p w14:paraId="2083BB65" w14:textId="73A55022" w:rsidR="00CB212E" w:rsidRPr="00892C68" w:rsidRDefault="00CB212E" w:rsidP="00917B90">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8B8C5EA" w14:textId="77777777" w:rsidR="00CB212E" w:rsidRPr="00892C68" w:rsidRDefault="00CB212E" w:rsidP="00917B90">
            <w:pPr>
              <w:spacing w:after="0" w:line="240" w:lineRule="auto"/>
              <w:jc w:val="right"/>
              <w:rPr>
                <w:rFonts w:ascii="Arial" w:hAnsi="Arial" w:cs="Arial"/>
                <w:sz w:val="16"/>
                <w:szCs w:val="16"/>
              </w:rPr>
            </w:pPr>
          </w:p>
        </w:tc>
        <w:tc>
          <w:tcPr>
            <w:tcW w:w="993" w:type="dxa"/>
            <w:gridSpan w:val="2"/>
            <w:tcBorders>
              <w:top w:val="nil"/>
              <w:left w:val="nil"/>
              <w:bottom w:val="nil"/>
              <w:right w:val="nil"/>
            </w:tcBorders>
            <w:shd w:val="clear" w:color="auto" w:fill="auto"/>
            <w:noWrap/>
            <w:vAlign w:val="bottom"/>
            <w:hideMark/>
          </w:tcPr>
          <w:p w14:paraId="638D92FF" w14:textId="77777777" w:rsidR="00CB212E" w:rsidRPr="00892C68" w:rsidRDefault="00CB212E" w:rsidP="00917B90">
            <w:pPr>
              <w:spacing w:after="0" w:line="240" w:lineRule="auto"/>
              <w:jc w:val="right"/>
              <w:rPr>
                <w:rFonts w:ascii="Times New Roman" w:hAnsi="Times New Roman"/>
                <w:sz w:val="16"/>
                <w:szCs w:val="16"/>
              </w:rPr>
            </w:pPr>
          </w:p>
        </w:tc>
        <w:tc>
          <w:tcPr>
            <w:tcW w:w="1056" w:type="dxa"/>
            <w:gridSpan w:val="2"/>
            <w:tcBorders>
              <w:top w:val="nil"/>
              <w:left w:val="nil"/>
              <w:bottom w:val="nil"/>
              <w:right w:val="nil"/>
            </w:tcBorders>
            <w:shd w:val="clear" w:color="auto" w:fill="auto"/>
            <w:noWrap/>
            <w:vAlign w:val="bottom"/>
            <w:hideMark/>
          </w:tcPr>
          <w:p w14:paraId="494D3D8B" w14:textId="77777777" w:rsidR="00CB212E" w:rsidRPr="00892C68" w:rsidRDefault="00CB212E" w:rsidP="00917B90">
            <w:pPr>
              <w:spacing w:after="0" w:line="240" w:lineRule="auto"/>
              <w:jc w:val="right"/>
              <w:rPr>
                <w:rFonts w:ascii="Times New Roman" w:hAnsi="Times New Roman"/>
                <w:sz w:val="16"/>
                <w:szCs w:val="16"/>
              </w:rPr>
            </w:pPr>
          </w:p>
        </w:tc>
      </w:tr>
      <w:tr w:rsidR="00CB212E" w:rsidRPr="00CB212E" w14:paraId="1A1D748A" w14:textId="77777777" w:rsidTr="00892C68">
        <w:trPr>
          <w:gridAfter w:val="1"/>
          <w:wAfter w:w="34" w:type="dxa"/>
          <w:trHeight w:val="204"/>
        </w:trPr>
        <w:tc>
          <w:tcPr>
            <w:tcW w:w="2977" w:type="dxa"/>
            <w:tcBorders>
              <w:top w:val="nil"/>
              <w:left w:val="nil"/>
              <w:bottom w:val="nil"/>
              <w:right w:val="nil"/>
            </w:tcBorders>
            <w:shd w:val="clear" w:color="auto" w:fill="auto"/>
            <w:vAlign w:val="bottom"/>
            <w:hideMark/>
          </w:tcPr>
          <w:p w14:paraId="0BA9FD7F" w14:textId="1AA86A1C" w:rsidR="00CB212E" w:rsidRPr="00892C68" w:rsidRDefault="00CB212E" w:rsidP="00553851">
            <w:pPr>
              <w:spacing w:after="0" w:line="240" w:lineRule="auto"/>
              <w:ind w:left="113"/>
              <w:jc w:val="left"/>
              <w:rPr>
                <w:rFonts w:ascii="Arial" w:hAnsi="Arial" w:cs="Arial"/>
                <w:sz w:val="16"/>
                <w:szCs w:val="16"/>
              </w:rPr>
            </w:pPr>
            <w:r w:rsidRPr="00892C68">
              <w:rPr>
                <w:rFonts w:ascii="Arial" w:hAnsi="Arial" w:cs="Arial"/>
                <w:sz w:val="16"/>
                <w:szCs w:val="16"/>
              </w:rPr>
              <w:t>Ordinary Annual Services (</w:t>
            </w:r>
            <w:r w:rsidRPr="00892C68">
              <w:rPr>
                <w:rFonts w:ascii="Arial" w:hAnsi="Arial" w:cs="Arial"/>
                <w:i/>
                <w:iCs/>
                <w:sz w:val="16"/>
                <w:szCs w:val="16"/>
              </w:rPr>
              <w:t>Appropriation Act No. 1</w:t>
            </w:r>
            <w:r w:rsidRPr="00892C68">
              <w:rPr>
                <w:rFonts w:ascii="Arial" w:hAnsi="Arial" w:cs="Arial"/>
                <w:sz w:val="16"/>
                <w:szCs w:val="16"/>
              </w:rPr>
              <w:t xml:space="preserve"> and Bill No.</w:t>
            </w:r>
            <w:r w:rsidR="00AE3CA4" w:rsidRPr="00892C68">
              <w:rPr>
                <w:rFonts w:ascii="Arial" w:hAnsi="Arial" w:cs="Arial"/>
                <w:sz w:val="16"/>
                <w:szCs w:val="16"/>
              </w:rPr>
              <w:t> </w:t>
            </w:r>
            <w:r w:rsidRPr="00892C68">
              <w:rPr>
                <w:rFonts w:ascii="Arial" w:hAnsi="Arial" w:cs="Arial"/>
                <w:sz w:val="16"/>
                <w:szCs w:val="16"/>
              </w:rPr>
              <w:t>3)</w:t>
            </w:r>
          </w:p>
        </w:tc>
        <w:tc>
          <w:tcPr>
            <w:tcW w:w="851" w:type="dxa"/>
            <w:tcBorders>
              <w:top w:val="nil"/>
              <w:left w:val="nil"/>
              <w:bottom w:val="nil"/>
              <w:right w:val="nil"/>
            </w:tcBorders>
            <w:shd w:val="clear" w:color="auto" w:fill="auto"/>
            <w:noWrap/>
            <w:vAlign w:val="bottom"/>
            <w:hideMark/>
          </w:tcPr>
          <w:p w14:paraId="136EAEE1" w14:textId="28003093"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16,019</w:t>
            </w:r>
          </w:p>
        </w:tc>
        <w:tc>
          <w:tcPr>
            <w:tcW w:w="1056" w:type="dxa"/>
            <w:gridSpan w:val="2"/>
            <w:tcBorders>
              <w:top w:val="nil"/>
              <w:left w:val="nil"/>
              <w:bottom w:val="nil"/>
              <w:right w:val="nil"/>
            </w:tcBorders>
            <w:shd w:val="clear" w:color="000000" w:fill="E6E6E6"/>
            <w:noWrap/>
            <w:vAlign w:val="bottom"/>
            <w:hideMark/>
          </w:tcPr>
          <w:p w14:paraId="1837BAFE" w14:textId="2A543392"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18,090</w:t>
            </w:r>
          </w:p>
        </w:tc>
        <w:tc>
          <w:tcPr>
            <w:tcW w:w="928" w:type="dxa"/>
            <w:tcBorders>
              <w:top w:val="nil"/>
              <w:left w:val="nil"/>
              <w:bottom w:val="nil"/>
              <w:right w:val="nil"/>
            </w:tcBorders>
            <w:shd w:val="clear" w:color="auto" w:fill="auto"/>
            <w:noWrap/>
            <w:vAlign w:val="bottom"/>
            <w:hideMark/>
          </w:tcPr>
          <w:p w14:paraId="2D0D602A" w14:textId="7B4B3C68"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17,124</w:t>
            </w:r>
          </w:p>
        </w:tc>
        <w:tc>
          <w:tcPr>
            <w:tcW w:w="993" w:type="dxa"/>
            <w:gridSpan w:val="2"/>
            <w:tcBorders>
              <w:top w:val="nil"/>
              <w:left w:val="nil"/>
              <w:bottom w:val="nil"/>
              <w:right w:val="nil"/>
            </w:tcBorders>
            <w:shd w:val="clear" w:color="auto" w:fill="auto"/>
            <w:noWrap/>
            <w:vAlign w:val="bottom"/>
            <w:hideMark/>
          </w:tcPr>
          <w:p w14:paraId="752F0671" w14:textId="10594FDB"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18,170</w:t>
            </w:r>
          </w:p>
        </w:tc>
        <w:tc>
          <w:tcPr>
            <w:tcW w:w="1056" w:type="dxa"/>
            <w:gridSpan w:val="2"/>
            <w:tcBorders>
              <w:top w:val="nil"/>
              <w:left w:val="nil"/>
              <w:bottom w:val="nil"/>
              <w:right w:val="nil"/>
            </w:tcBorders>
            <w:shd w:val="clear" w:color="auto" w:fill="auto"/>
            <w:noWrap/>
            <w:vAlign w:val="bottom"/>
            <w:hideMark/>
          </w:tcPr>
          <w:p w14:paraId="28171F6E" w14:textId="4D593197"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19,562</w:t>
            </w:r>
          </w:p>
        </w:tc>
      </w:tr>
      <w:tr w:rsidR="00CB212E" w:rsidRPr="00CB212E" w14:paraId="7902E1CE" w14:textId="77777777" w:rsidTr="00892C68">
        <w:trPr>
          <w:gridAfter w:val="1"/>
          <w:wAfter w:w="34" w:type="dxa"/>
          <w:trHeight w:val="204"/>
        </w:trPr>
        <w:tc>
          <w:tcPr>
            <w:tcW w:w="2977" w:type="dxa"/>
            <w:tcBorders>
              <w:top w:val="nil"/>
              <w:left w:val="nil"/>
              <w:bottom w:val="nil"/>
              <w:right w:val="nil"/>
            </w:tcBorders>
            <w:shd w:val="clear" w:color="auto" w:fill="auto"/>
            <w:noWrap/>
            <w:vAlign w:val="bottom"/>
            <w:hideMark/>
          </w:tcPr>
          <w:p w14:paraId="770C80BC" w14:textId="77777777" w:rsidR="00CB212E" w:rsidRPr="00892C68" w:rsidRDefault="00CB212E" w:rsidP="00553851">
            <w:pPr>
              <w:spacing w:after="0" w:line="240" w:lineRule="auto"/>
              <w:ind w:left="113"/>
              <w:jc w:val="left"/>
              <w:rPr>
                <w:rFonts w:ascii="Arial" w:hAnsi="Arial" w:cs="Arial"/>
                <w:sz w:val="16"/>
                <w:szCs w:val="16"/>
              </w:rPr>
            </w:pPr>
            <w:r w:rsidRPr="00892C68">
              <w:rPr>
                <w:rFonts w:ascii="Arial" w:hAnsi="Arial" w:cs="Arial"/>
                <w:sz w:val="16"/>
                <w:szCs w:val="16"/>
              </w:rPr>
              <w:t>Special Appropriations</w:t>
            </w:r>
          </w:p>
        </w:tc>
        <w:tc>
          <w:tcPr>
            <w:tcW w:w="851" w:type="dxa"/>
            <w:tcBorders>
              <w:top w:val="nil"/>
              <w:left w:val="nil"/>
              <w:bottom w:val="nil"/>
              <w:right w:val="nil"/>
            </w:tcBorders>
            <w:shd w:val="clear" w:color="auto" w:fill="auto"/>
            <w:noWrap/>
            <w:vAlign w:val="bottom"/>
            <w:hideMark/>
          </w:tcPr>
          <w:p w14:paraId="35B3ABC0" w14:textId="77777777" w:rsidR="00CB212E" w:rsidRPr="00892C68" w:rsidRDefault="00CB212E" w:rsidP="00917B90">
            <w:pPr>
              <w:spacing w:after="0" w:line="240" w:lineRule="auto"/>
              <w:ind w:firstLineChars="100" w:firstLine="160"/>
              <w:jc w:val="right"/>
              <w:rPr>
                <w:rFonts w:ascii="Arial" w:hAnsi="Arial" w:cs="Arial"/>
                <w:sz w:val="16"/>
                <w:szCs w:val="16"/>
              </w:rPr>
            </w:pPr>
          </w:p>
        </w:tc>
        <w:tc>
          <w:tcPr>
            <w:tcW w:w="1056" w:type="dxa"/>
            <w:gridSpan w:val="2"/>
            <w:tcBorders>
              <w:top w:val="nil"/>
              <w:left w:val="nil"/>
              <w:bottom w:val="nil"/>
              <w:right w:val="nil"/>
            </w:tcBorders>
            <w:shd w:val="clear" w:color="000000" w:fill="E6E6E6"/>
            <w:noWrap/>
            <w:vAlign w:val="bottom"/>
            <w:hideMark/>
          </w:tcPr>
          <w:p w14:paraId="48D0BD8A" w14:textId="71D04E10" w:rsidR="00CB212E" w:rsidRPr="00892C68" w:rsidRDefault="00CB212E" w:rsidP="00917B90">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0B043A57" w14:textId="77777777" w:rsidR="00CB212E" w:rsidRPr="00892C68" w:rsidRDefault="00CB212E" w:rsidP="00917B90">
            <w:pPr>
              <w:spacing w:after="0" w:line="240" w:lineRule="auto"/>
              <w:jc w:val="right"/>
              <w:rPr>
                <w:rFonts w:ascii="Arial" w:hAnsi="Arial" w:cs="Arial"/>
                <w:sz w:val="16"/>
                <w:szCs w:val="16"/>
              </w:rPr>
            </w:pPr>
          </w:p>
        </w:tc>
        <w:tc>
          <w:tcPr>
            <w:tcW w:w="993" w:type="dxa"/>
            <w:gridSpan w:val="2"/>
            <w:tcBorders>
              <w:top w:val="nil"/>
              <w:left w:val="nil"/>
              <w:bottom w:val="nil"/>
              <w:right w:val="nil"/>
            </w:tcBorders>
            <w:shd w:val="clear" w:color="auto" w:fill="auto"/>
            <w:noWrap/>
            <w:vAlign w:val="bottom"/>
            <w:hideMark/>
          </w:tcPr>
          <w:p w14:paraId="3C3EE1F7" w14:textId="77777777" w:rsidR="00CB212E" w:rsidRPr="00892C68" w:rsidRDefault="00CB212E" w:rsidP="00917B90">
            <w:pPr>
              <w:spacing w:after="0" w:line="240" w:lineRule="auto"/>
              <w:jc w:val="right"/>
              <w:rPr>
                <w:rFonts w:ascii="Times New Roman" w:hAnsi="Times New Roman"/>
                <w:sz w:val="16"/>
                <w:szCs w:val="16"/>
              </w:rPr>
            </w:pPr>
          </w:p>
        </w:tc>
        <w:tc>
          <w:tcPr>
            <w:tcW w:w="1056" w:type="dxa"/>
            <w:gridSpan w:val="2"/>
            <w:tcBorders>
              <w:top w:val="nil"/>
              <w:left w:val="nil"/>
              <w:bottom w:val="nil"/>
              <w:right w:val="nil"/>
            </w:tcBorders>
            <w:shd w:val="clear" w:color="auto" w:fill="auto"/>
            <w:noWrap/>
            <w:vAlign w:val="bottom"/>
            <w:hideMark/>
          </w:tcPr>
          <w:p w14:paraId="536F89B6" w14:textId="77777777" w:rsidR="00CB212E" w:rsidRPr="00892C68" w:rsidRDefault="00CB212E" w:rsidP="00917B90">
            <w:pPr>
              <w:spacing w:after="0" w:line="240" w:lineRule="auto"/>
              <w:jc w:val="right"/>
              <w:rPr>
                <w:rFonts w:ascii="Times New Roman" w:hAnsi="Times New Roman"/>
                <w:sz w:val="16"/>
                <w:szCs w:val="16"/>
              </w:rPr>
            </w:pPr>
          </w:p>
        </w:tc>
      </w:tr>
      <w:tr w:rsidR="00CB212E" w:rsidRPr="00CB212E" w14:paraId="4E32741C" w14:textId="77777777" w:rsidTr="00892C68">
        <w:trPr>
          <w:gridAfter w:val="1"/>
          <w:wAfter w:w="34" w:type="dxa"/>
          <w:trHeight w:val="204"/>
        </w:trPr>
        <w:tc>
          <w:tcPr>
            <w:tcW w:w="2977" w:type="dxa"/>
            <w:tcBorders>
              <w:top w:val="nil"/>
              <w:left w:val="nil"/>
              <w:bottom w:val="nil"/>
              <w:right w:val="nil"/>
            </w:tcBorders>
            <w:shd w:val="clear" w:color="auto" w:fill="auto"/>
            <w:vAlign w:val="bottom"/>
            <w:hideMark/>
          </w:tcPr>
          <w:p w14:paraId="7E9DA21B" w14:textId="77777777" w:rsidR="00CB212E" w:rsidRPr="00892C68" w:rsidRDefault="00CB212E" w:rsidP="00553851">
            <w:pPr>
              <w:spacing w:after="0" w:line="240" w:lineRule="auto"/>
              <w:ind w:left="227"/>
              <w:jc w:val="left"/>
              <w:rPr>
                <w:rFonts w:ascii="Arial" w:hAnsi="Arial" w:cs="Arial"/>
                <w:i/>
                <w:sz w:val="16"/>
                <w:szCs w:val="16"/>
              </w:rPr>
            </w:pPr>
            <w:r w:rsidRPr="00892C68">
              <w:rPr>
                <w:rFonts w:ascii="Arial" w:hAnsi="Arial" w:cs="Arial"/>
                <w:i/>
                <w:sz w:val="16"/>
                <w:szCs w:val="16"/>
              </w:rPr>
              <w:t>Public Governance, Performance and Accountability Act 2013</w:t>
            </w:r>
          </w:p>
        </w:tc>
        <w:tc>
          <w:tcPr>
            <w:tcW w:w="851" w:type="dxa"/>
            <w:tcBorders>
              <w:top w:val="nil"/>
              <w:left w:val="nil"/>
              <w:bottom w:val="nil"/>
              <w:right w:val="nil"/>
            </w:tcBorders>
            <w:shd w:val="clear" w:color="auto" w:fill="auto"/>
            <w:noWrap/>
            <w:vAlign w:val="bottom"/>
            <w:hideMark/>
          </w:tcPr>
          <w:p w14:paraId="0060D2D5" w14:textId="5F4F9E57"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25</w:t>
            </w:r>
          </w:p>
        </w:tc>
        <w:tc>
          <w:tcPr>
            <w:tcW w:w="1056" w:type="dxa"/>
            <w:gridSpan w:val="2"/>
            <w:tcBorders>
              <w:top w:val="nil"/>
              <w:left w:val="nil"/>
              <w:bottom w:val="nil"/>
              <w:right w:val="nil"/>
            </w:tcBorders>
            <w:shd w:val="clear" w:color="000000" w:fill="E6E6E6"/>
            <w:noWrap/>
            <w:vAlign w:val="bottom"/>
            <w:hideMark/>
          </w:tcPr>
          <w:p w14:paraId="1D84F3F2" w14:textId="0C7A6A6B"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25</w:t>
            </w:r>
          </w:p>
        </w:tc>
        <w:tc>
          <w:tcPr>
            <w:tcW w:w="928" w:type="dxa"/>
            <w:tcBorders>
              <w:top w:val="nil"/>
              <w:left w:val="nil"/>
              <w:bottom w:val="nil"/>
              <w:right w:val="nil"/>
            </w:tcBorders>
            <w:shd w:val="clear" w:color="auto" w:fill="auto"/>
            <w:noWrap/>
            <w:vAlign w:val="bottom"/>
            <w:hideMark/>
          </w:tcPr>
          <w:p w14:paraId="108F5818" w14:textId="4F51332F"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25</w:t>
            </w:r>
          </w:p>
        </w:tc>
        <w:tc>
          <w:tcPr>
            <w:tcW w:w="993" w:type="dxa"/>
            <w:gridSpan w:val="2"/>
            <w:tcBorders>
              <w:top w:val="nil"/>
              <w:left w:val="nil"/>
              <w:bottom w:val="nil"/>
              <w:right w:val="nil"/>
            </w:tcBorders>
            <w:shd w:val="clear" w:color="auto" w:fill="auto"/>
            <w:noWrap/>
            <w:vAlign w:val="bottom"/>
            <w:hideMark/>
          </w:tcPr>
          <w:p w14:paraId="66335607" w14:textId="79256145"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25</w:t>
            </w:r>
          </w:p>
        </w:tc>
        <w:tc>
          <w:tcPr>
            <w:tcW w:w="1056" w:type="dxa"/>
            <w:gridSpan w:val="2"/>
            <w:tcBorders>
              <w:top w:val="nil"/>
              <w:left w:val="nil"/>
              <w:bottom w:val="nil"/>
              <w:right w:val="nil"/>
            </w:tcBorders>
            <w:shd w:val="clear" w:color="auto" w:fill="auto"/>
            <w:noWrap/>
            <w:vAlign w:val="bottom"/>
            <w:hideMark/>
          </w:tcPr>
          <w:p w14:paraId="5A78250E" w14:textId="2A11940C"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25</w:t>
            </w:r>
          </w:p>
        </w:tc>
      </w:tr>
      <w:tr w:rsidR="00CB212E" w:rsidRPr="00CB212E" w14:paraId="714E2BBC" w14:textId="77777777" w:rsidTr="00892C68">
        <w:trPr>
          <w:gridAfter w:val="1"/>
          <w:wAfter w:w="34" w:type="dxa"/>
          <w:trHeight w:val="204"/>
        </w:trPr>
        <w:tc>
          <w:tcPr>
            <w:tcW w:w="2977" w:type="dxa"/>
            <w:tcBorders>
              <w:top w:val="nil"/>
              <w:left w:val="nil"/>
              <w:bottom w:val="nil"/>
              <w:right w:val="nil"/>
            </w:tcBorders>
            <w:shd w:val="clear" w:color="auto" w:fill="auto"/>
            <w:vAlign w:val="bottom"/>
            <w:hideMark/>
          </w:tcPr>
          <w:p w14:paraId="009D30D7" w14:textId="77777777" w:rsidR="00CB212E" w:rsidRPr="00892C68" w:rsidRDefault="00CB212E" w:rsidP="00553851">
            <w:pPr>
              <w:spacing w:after="0" w:line="240" w:lineRule="auto"/>
              <w:ind w:left="113"/>
              <w:jc w:val="left"/>
              <w:rPr>
                <w:rFonts w:ascii="Arial" w:hAnsi="Arial" w:cs="Arial"/>
                <w:sz w:val="16"/>
                <w:szCs w:val="16"/>
              </w:rPr>
            </w:pPr>
            <w:r w:rsidRPr="00892C68">
              <w:rPr>
                <w:rFonts w:ascii="Arial" w:hAnsi="Arial" w:cs="Arial"/>
                <w:sz w:val="16"/>
                <w:szCs w:val="16"/>
              </w:rPr>
              <w:t xml:space="preserve">Expenses not requiring appropriation in the Budget year </w:t>
            </w:r>
            <w:r w:rsidRPr="00892C68">
              <w:rPr>
                <w:rFonts w:ascii="Arial" w:hAnsi="Arial" w:cs="Arial"/>
                <w:sz w:val="16"/>
                <w:szCs w:val="16"/>
                <w:vertAlign w:val="superscript"/>
              </w:rPr>
              <w:t>(c)</w:t>
            </w:r>
          </w:p>
        </w:tc>
        <w:tc>
          <w:tcPr>
            <w:tcW w:w="851" w:type="dxa"/>
            <w:tcBorders>
              <w:top w:val="nil"/>
              <w:left w:val="nil"/>
              <w:bottom w:val="nil"/>
              <w:right w:val="nil"/>
            </w:tcBorders>
            <w:shd w:val="clear" w:color="auto" w:fill="auto"/>
            <w:noWrap/>
            <w:vAlign w:val="bottom"/>
            <w:hideMark/>
          </w:tcPr>
          <w:p w14:paraId="29675357" w14:textId="7F694D1F"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25,657</w:t>
            </w:r>
          </w:p>
        </w:tc>
        <w:tc>
          <w:tcPr>
            <w:tcW w:w="1056" w:type="dxa"/>
            <w:gridSpan w:val="2"/>
            <w:tcBorders>
              <w:top w:val="nil"/>
              <w:left w:val="nil"/>
              <w:bottom w:val="nil"/>
              <w:right w:val="nil"/>
            </w:tcBorders>
            <w:shd w:val="clear" w:color="000000" w:fill="E6E6E6"/>
            <w:noWrap/>
            <w:vAlign w:val="bottom"/>
            <w:hideMark/>
          </w:tcPr>
          <w:p w14:paraId="7BF50306" w14:textId="05C0AA62"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26,678</w:t>
            </w:r>
          </w:p>
        </w:tc>
        <w:tc>
          <w:tcPr>
            <w:tcW w:w="928" w:type="dxa"/>
            <w:tcBorders>
              <w:top w:val="nil"/>
              <w:left w:val="nil"/>
              <w:bottom w:val="nil"/>
              <w:right w:val="nil"/>
            </w:tcBorders>
            <w:shd w:val="clear" w:color="auto" w:fill="auto"/>
            <w:noWrap/>
            <w:vAlign w:val="bottom"/>
            <w:hideMark/>
          </w:tcPr>
          <w:p w14:paraId="01820165" w14:textId="4B55187D"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26,592</w:t>
            </w:r>
          </w:p>
        </w:tc>
        <w:tc>
          <w:tcPr>
            <w:tcW w:w="993" w:type="dxa"/>
            <w:gridSpan w:val="2"/>
            <w:tcBorders>
              <w:top w:val="nil"/>
              <w:left w:val="nil"/>
              <w:bottom w:val="nil"/>
              <w:right w:val="nil"/>
            </w:tcBorders>
            <w:shd w:val="clear" w:color="auto" w:fill="auto"/>
            <w:noWrap/>
            <w:vAlign w:val="bottom"/>
            <w:hideMark/>
          </w:tcPr>
          <w:p w14:paraId="737C3377" w14:textId="1A9957AB"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26,647</w:t>
            </w:r>
          </w:p>
        </w:tc>
        <w:tc>
          <w:tcPr>
            <w:tcW w:w="1056" w:type="dxa"/>
            <w:gridSpan w:val="2"/>
            <w:tcBorders>
              <w:top w:val="nil"/>
              <w:left w:val="nil"/>
              <w:bottom w:val="nil"/>
              <w:right w:val="nil"/>
            </w:tcBorders>
            <w:shd w:val="clear" w:color="auto" w:fill="auto"/>
            <w:noWrap/>
            <w:vAlign w:val="bottom"/>
            <w:hideMark/>
          </w:tcPr>
          <w:p w14:paraId="7ECF49C6" w14:textId="07C4EFF3"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26,647</w:t>
            </w:r>
          </w:p>
        </w:tc>
      </w:tr>
      <w:tr w:rsidR="00CB212E" w:rsidRPr="00CB212E" w14:paraId="709613CA" w14:textId="77777777" w:rsidTr="00892C68">
        <w:trPr>
          <w:gridAfter w:val="1"/>
          <w:wAfter w:w="34" w:type="dxa"/>
          <w:trHeight w:val="204"/>
        </w:trPr>
        <w:tc>
          <w:tcPr>
            <w:tcW w:w="2977" w:type="dxa"/>
            <w:tcBorders>
              <w:top w:val="nil"/>
              <w:left w:val="nil"/>
              <w:bottom w:val="nil"/>
              <w:right w:val="nil"/>
            </w:tcBorders>
            <w:shd w:val="clear" w:color="auto" w:fill="auto"/>
            <w:vAlign w:val="bottom"/>
            <w:hideMark/>
          </w:tcPr>
          <w:p w14:paraId="5EF0C069" w14:textId="6AAA3EB6" w:rsidR="00CB212E" w:rsidRPr="00892C68" w:rsidRDefault="00892C68" w:rsidP="00CB212E">
            <w:pPr>
              <w:spacing w:after="0" w:line="240" w:lineRule="auto"/>
              <w:ind w:firstLineChars="100" w:firstLine="160"/>
              <w:jc w:val="right"/>
              <w:rPr>
                <w:rFonts w:ascii="Arial" w:hAnsi="Arial" w:cs="Arial"/>
                <w:b/>
                <w:bCs/>
                <w:sz w:val="16"/>
                <w:szCs w:val="16"/>
              </w:rPr>
            </w:pPr>
            <w:r>
              <w:rPr>
                <w:rFonts w:ascii="Arial" w:hAnsi="Arial" w:cs="Arial"/>
                <w:b/>
                <w:bCs/>
                <w:sz w:val="16"/>
                <w:szCs w:val="16"/>
              </w:rPr>
              <w:t>Total A</w:t>
            </w:r>
            <w:r w:rsidR="00CB212E" w:rsidRPr="00892C68">
              <w:rPr>
                <w:rFonts w:ascii="Arial" w:hAnsi="Arial" w:cs="Arial"/>
                <w:b/>
                <w:bCs/>
                <w:sz w:val="16"/>
                <w:szCs w:val="16"/>
              </w:rPr>
              <w:t>dministered expenses</w:t>
            </w:r>
          </w:p>
        </w:tc>
        <w:tc>
          <w:tcPr>
            <w:tcW w:w="851" w:type="dxa"/>
            <w:tcBorders>
              <w:top w:val="single" w:sz="4" w:space="0" w:color="auto"/>
              <w:left w:val="nil"/>
              <w:bottom w:val="single" w:sz="4" w:space="0" w:color="auto"/>
              <w:right w:val="nil"/>
            </w:tcBorders>
            <w:shd w:val="clear" w:color="auto" w:fill="auto"/>
            <w:noWrap/>
            <w:vAlign w:val="bottom"/>
            <w:hideMark/>
          </w:tcPr>
          <w:p w14:paraId="55125263" w14:textId="2935F2ED"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41,701</w:t>
            </w:r>
          </w:p>
        </w:tc>
        <w:tc>
          <w:tcPr>
            <w:tcW w:w="1056" w:type="dxa"/>
            <w:gridSpan w:val="2"/>
            <w:tcBorders>
              <w:top w:val="single" w:sz="4" w:space="0" w:color="auto"/>
              <w:left w:val="nil"/>
              <w:bottom w:val="single" w:sz="4" w:space="0" w:color="auto"/>
              <w:right w:val="nil"/>
            </w:tcBorders>
            <w:shd w:val="clear" w:color="000000" w:fill="E6E6E6"/>
            <w:noWrap/>
            <w:vAlign w:val="bottom"/>
            <w:hideMark/>
          </w:tcPr>
          <w:p w14:paraId="3AEF7C6D" w14:textId="15B54A0A"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44,793</w:t>
            </w:r>
          </w:p>
        </w:tc>
        <w:tc>
          <w:tcPr>
            <w:tcW w:w="928" w:type="dxa"/>
            <w:tcBorders>
              <w:top w:val="single" w:sz="4" w:space="0" w:color="auto"/>
              <w:left w:val="nil"/>
              <w:bottom w:val="single" w:sz="4" w:space="0" w:color="auto"/>
              <w:right w:val="nil"/>
            </w:tcBorders>
            <w:shd w:val="clear" w:color="auto" w:fill="auto"/>
            <w:noWrap/>
            <w:vAlign w:val="bottom"/>
            <w:hideMark/>
          </w:tcPr>
          <w:p w14:paraId="108540FC" w14:textId="66E6103C"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43,741</w:t>
            </w:r>
          </w:p>
        </w:tc>
        <w:tc>
          <w:tcPr>
            <w:tcW w:w="993" w:type="dxa"/>
            <w:gridSpan w:val="2"/>
            <w:tcBorders>
              <w:top w:val="single" w:sz="4" w:space="0" w:color="auto"/>
              <w:left w:val="nil"/>
              <w:bottom w:val="single" w:sz="4" w:space="0" w:color="auto"/>
              <w:right w:val="nil"/>
            </w:tcBorders>
            <w:shd w:val="clear" w:color="auto" w:fill="auto"/>
            <w:noWrap/>
            <w:vAlign w:val="bottom"/>
            <w:hideMark/>
          </w:tcPr>
          <w:p w14:paraId="631ABFCA" w14:textId="2309CD41"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44,842</w:t>
            </w:r>
          </w:p>
        </w:tc>
        <w:tc>
          <w:tcPr>
            <w:tcW w:w="1056" w:type="dxa"/>
            <w:gridSpan w:val="2"/>
            <w:tcBorders>
              <w:top w:val="single" w:sz="4" w:space="0" w:color="auto"/>
              <w:left w:val="nil"/>
              <w:bottom w:val="single" w:sz="4" w:space="0" w:color="auto"/>
              <w:right w:val="nil"/>
            </w:tcBorders>
            <w:shd w:val="clear" w:color="auto" w:fill="auto"/>
            <w:noWrap/>
            <w:vAlign w:val="bottom"/>
            <w:hideMark/>
          </w:tcPr>
          <w:p w14:paraId="143C83B9" w14:textId="4A13E8F7"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46,234</w:t>
            </w:r>
          </w:p>
        </w:tc>
      </w:tr>
      <w:tr w:rsidR="00CB212E" w:rsidRPr="00CB212E" w14:paraId="12B5F727" w14:textId="77777777" w:rsidTr="00892C68">
        <w:trPr>
          <w:gridAfter w:val="1"/>
          <w:wAfter w:w="34" w:type="dxa"/>
          <w:trHeight w:val="204"/>
        </w:trPr>
        <w:tc>
          <w:tcPr>
            <w:tcW w:w="2977" w:type="dxa"/>
            <w:tcBorders>
              <w:top w:val="nil"/>
              <w:left w:val="nil"/>
              <w:bottom w:val="nil"/>
              <w:right w:val="nil"/>
            </w:tcBorders>
            <w:shd w:val="clear" w:color="auto" w:fill="auto"/>
            <w:noWrap/>
            <w:vAlign w:val="bottom"/>
            <w:hideMark/>
          </w:tcPr>
          <w:p w14:paraId="396F7C2C" w14:textId="157EBFB9" w:rsidR="00CB212E" w:rsidRPr="00892C68" w:rsidRDefault="008863D9" w:rsidP="00CB212E">
            <w:pPr>
              <w:spacing w:after="0" w:line="240" w:lineRule="auto"/>
              <w:jc w:val="left"/>
              <w:rPr>
                <w:rFonts w:ascii="Arial" w:hAnsi="Arial" w:cs="Arial"/>
                <w:sz w:val="16"/>
                <w:szCs w:val="16"/>
              </w:rPr>
            </w:pPr>
            <w:r w:rsidRPr="00892C68">
              <w:rPr>
                <w:rFonts w:ascii="Arial" w:hAnsi="Arial" w:cs="Arial"/>
                <w:sz w:val="16"/>
                <w:szCs w:val="16"/>
              </w:rPr>
              <w:t>Department</w:t>
            </w:r>
            <w:r w:rsidR="00CB212E" w:rsidRPr="00892C68">
              <w:rPr>
                <w:rFonts w:ascii="Arial" w:hAnsi="Arial" w:cs="Arial"/>
                <w:sz w:val="16"/>
                <w:szCs w:val="16"/>
              </w:rPr>
              <w:t>al expenses</w:t>
            </w:r>
          </w:p>
        </w:tc>
        <w:tc>
          <w:tcPr>
            <w:tcW w:w="851" w:type="dxa"/>
            <w:tcBorders>
              <w:top w:val="nil"/>
              <w:left w:val="nil"/>
              <w:bottom w:val="nil"/>
              <w:right w:val="nil"/>
            </w:tcBorders>
            <w:shd w:val="clear" w:color="auto" w:fill="auto"/>
            <w:noWrap/>
            <w:vAlign w:val="bottom"/>
            <w:hideMark/>
          </w:tcPr>
          <w:p w14:paraId="04FB7044" w14:textId="77777777" w:rsidR="00CB212E" w:rsidRPr="00892C68" w:rsidRDefault="00CB212E" w:rsidP="00917B90">
            <w:pPr>
              <w:spacing w:after="0" w:line="240" w:lineRule="auto"/>
              <w:jc w:val="right"/>
              <w:rPr>
                <w:rFonts w:ascii="Arial" w:hAnsi="Arial" w:cs="Arial"/>
                <w:sz w:val="16"/>
                <w:szCs w:val="16"/>
              </w:rPr>
            </w:pPr>
          </w:p>
        </w:tc>
        <w:tc>
          <w:tcPr>
            <w:tcW w:w="1056" w:type="dxa"/>
            <w:gridSpan w:val="2"/>
            <w:tcBorders>
              <w:top w:val="nil"/>
              <w:left w:val="nil"/>
              <w:bottom w:val="nil"/>
              <w:right w:val="nil"/>
            </w:tcBorders>
            <w:shd w:val="clear" w:color="000000" w:fill="E6E6E6"/>
            <w:noWrap/>
            <w:vAlign w:val="bottom"/>
            <w:hideMark/>
          </w:tcPr>
          <w:p w14:paraId="3D0E90BC" w14:textId="57531F92" w:rsidR="00CB212E" w:rsidRPr="00892C68" w:rsidRDefault="00CB212E" w:rsidP="00917B90">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72D34054" w14:textId="77777777" w:rsidR="00CB212E" w:rsidRPr="00892C68" w:rsidRDefault="00CB212E" w:rsidP="00917B90">
            <w:pPr>
              <w:spacing w:after="0" w:line="240" w:lineRule="auto"/>
              <w:jc w:val="right"/>
              <w:rPr>
                <w:rFonts w:ascii="Arial" w:hAnsi="Arial" w:cs="Arial"/>
                <w:sz w:val="16"/>
                <w:szCs w:val="16"/>
              </w:rPr>
            </w:pPr>
          </w:p>
        </w:tc>
        <w:tc>
          <w:tcPr>
            <w:tcW w:w="993" w:type="dxa"/>
            <w:gridSpan w:val="2"/>
            <w:tcBorders>
              <w:top w:val="nil"/>
              <w:left w:val="nil"/>
              <w:bottom w:val="nil"/>
              <w:right w:val="nil"/>
            </w:tcBorders>
            <w:shd w:val="clear" w:color="auto" w:fill="auto"/>
            <w:noWrap/>
            <w:vAlign w:val="bottom"/>
            <w:hideMark/>
          </w:tcPr>
          <w:p w14:paraId="2D57D406" w14:textId="77777777" w:rsidR="00CB212E" w:rsidRPr="00892C68" w:rsidRDefault="00CB212E" w:rsidP="00917B90">
            <w:pPr>
              <w:spacing w:after="0" w:line="240" w:lineRule="auto"/>
              <w:jc w:val="right"/>
              <w:rPr>
                <w:rFonts w:ascii="Times New Roman" w:hAnsi="Times New Roman"/>
                <w:sz w:val="16"/>
                <w:szCs w:val="16"/>
              </w:rPr>
            </w:pPr>
          </w:p>
        </w:tc>
        <w:tc>
          <w:tcPr>
            <w:tcW w:w="1056" w:type="dxa"/>
            <w:gridSpan w:val="2"/>
            <w:tcBorders>
              <w:top w:val="nil"/>
              <w:left w:val="nil"/>
              <w:bottom w:val="nil"/>
              <w:right w:val="nil"/>
            </w:tcBorders>
            <w:shd w:val="clear" w:color="auto" w:fill="auto"/>
            <w:noWrap/>
            <w:vAlign w:val="bottom"/>
            <w:hideMark/>
          </w:tcPr>
          <w:p w14:paraId="1D6DA740" w14:textId="77777777" w:rsidR="00CB212E" w:rsidRPr="00892C68" w:rsidRDefault="00CB212E" w:rsidP="00917B90">
            <w:pPr>
              <w:spacing w:after="0" w:line="240" w:lineRule="auto"/>
              <w:jc w:val="right"/>
              <w:rPr>
                <w:rFonts w:ascii="Times New Roman" w:hAnsi="Times New Roman"/>
                <w:sz w:val="16"/>
                <w:szCs w:val="16"/>
              </w:rPr>
            </w:pPr>
          </w:p>
        </w:tc>
      </w:tr>
      <w:tr w:rsidR="00CB212E" w:rsidRPr="00CB212E" w14:paraId="42DB9134" w14:textId="77777777" w:rsidTr="00892C68">
        <w:trPr>
          <w:gridAfter w:val="1"/>
          <w:wAfter w:w="34" w:type="dxa"/>
          <w:trHeight w:val="204"/>
        </w:trPr>
        <w:tc>
          <w:tcPr>
            <w:tcW w:w="2977" w:type="dxa"/>
            <w:tcBorders>
              <w:top w:val="nil"/>
              <w:left w:val="nil"/>
              <w:bottom w:val="nil"/>
              <w:right w:val="nil"/>
            </w:tcBorders>
            <w:shd w:val="clear" w:color="auto" w:fill="auto"/>
            <w:vAlign w:val="bottom"/>
            <w:hideMark/>
          </w:tcPr>
          <w:p w14:paraId="69D74FC8" w14:textId="6C850855" w:rsidR="00CB212E" w:rsidRPr="00892C68" w:rsidRDefault="008863D9" w:rsidP="00892C68">
            <w:pPr>
              <w:spacing w:after="0" w:line="240" w:lineRule="auto"/>
              <w:ind w:left="113"/>
              <w:jc w:val="left"/>
              <w:rPr>
                <w:rFonts w:ascii="Arial" w:hAnsi="Arial" w:cs="Arial"/>
                <w:sz w:val="16"/>
                <w:szCs w:val="16"/>
              </w:rPr>
            </w:pPr>
            <w:r w:rsidRPr="00892C68">
              <w:rPr>
                <w:rFonts w:ascii="Arial" w:hAnsi="Arial" w:cs="Arial"/>
                <w:sz w:val="16"/>
                <w:szCs w:val="16"/>
              </w:rPr>
              <w:t>Department</w:t>
            </w:r>
            <w:r w:rsidR="00CB212E" w:rsidRPr="00892C68">
              <w:rPr>
                <w:rFonts w:ascii="Arial" w:hAnsi="Arial" w:cs="Arial"/>
                <w:sz w:val="16"/>
                <w:szCs w:val="16"/>
              </w:rPr>
              <w:t>al appropriation</w:t>
            </w:r>
          </w:p>
        </w:tc>
        <w:tc>
          <w:tcPr>
            <w:tcW w:w="851" w:type="dxa"/>
            <w:tcBorders>
              <w:top w:val="nil"/>
              <w:left w:val="nil"/>
              <w:bottom w:val="nil"/>
              <w:right w:val="nil"/>
            </w:tcBorders>
            <w:shd w:val="clear" w:color="auto" w:fill="auto"/>
            <w:noWrap/>
            <w:vAlign w:val="bottom"/>
            <w:hideMark/>
          </w:tcPr>
          <w:p w14:paraId="041CA9D7" w14:textId="24D8B43E" w:rsidR="00CB212E" w:rsidRPr="00892C68" w:rsidRDefault="00F70163" w:rsidP="00917B90">
            <w:pPr>
              <w:spacing w:after="0" w:line="240" w:lineRule="auto"/>
              <w:jc w:val="right"/>
              <w:rPr>
                <w:rFonts w:ascii="Arial" w:hAnsi="Arial" w:cs="Arial"/>
                <w:sz w:val="16"/>
                <w:szCs w:val="16"/>
              </w:rPr>
            </w:pPr>
            <w:r w:rsidRPr="00892C68">
              <w:rPr>
                <w:rFonts w:ascii="Arial" w:hAnsi="Arial" w:cs="Arial"/>
                <w:sz w:val="16"/>
                <w:szCs w:val="16"/>
              </w:rPr>
              <w:t>11,528</w:t>
            </w:r>
          </w:p>
        </w:tc>
        <w:tc>
          <w:tcPr>
            <w:tcW w:w="1056" w:type="dxa"/>
            <w:gridSpan w:val="2"/>
            <w:tcBorders>
              <w:top w:val="nil"/>
              <w:left w:val="nil"/>
              <w:bottom w:val="nil"/>
              <w:right w:val="nil"/>
            </w:tcBorders>
            <w:shd w:val="clear" w:color="000000" w:fill="E6E6E6"/>
            <w:noWrap/>
            <w:vAlign w:val="bottom"/>
            <w:hideMark/>
          </w:tcPr>
          <w:p w14:paraId="5AAC4C16" w14:textId="30BECDAF"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10,357</w:t>
            </w:r>
          </w:p>
        </w:tc>
        <w:tc>
          <w:tcPr>
            <w:tcW w:w="928" w:type="dxa"/>
            <w:tcBorders>
              <w:top w:val="nil"/>
              <w:left w:val="nil"/>
              <w:bottom w:val="nil"/>
              <w:right w:val="nil"/>
            </w:tcBorders>
            <w:shd w:val="clear" w:color="auto" w:fill="auto"/>
            <w:noWrap/>
            <w:vAlign w:val="bottom"/>
            <w:hideMark/>
          </w:tcPr>
          <w:p w14:paraId="1EEFBD90" w14:textId="22E5787C"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10,279</w:t>
            </w:r>
          </w:p>
        </w:tc>
        <w:tc>
          <w:tcPr>
            <w:tcW w:w="993" w:type="dxa"/>
            <w:gridSpan w:val="2"/>
            <w:tcBorders>
              <w:top w:val="nil"/>
              <w:left w:val="nil"/>
              <w:bottom w:val="nil"/>
              <w:right w:val="nil"/>
            </w:tcBorders>
            <w:shd w:val="clear" w:color="auto" w:fill="auto"/>
            <w:noWrap/>
            <w:vAlign w:val="bottom"/>
            <w:hideMark/>
          </w:tcPr>
          <w:p w14:paraId="6E48016B" w14:textId="584BF294"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10,370</w:t>
            </w:r>
          </w:p>
        </w:tc>
        <w:tc>
          <w:tcPr>
            <w:tcW w:w="1056" w:type="dxa"/>
            <w:gridSpan w:val="2"/>
            <w:tcBorders>
              <w:top w:val="nil"/>
              <w:left w:val="nil"/>
              <w:bottom w:val="nil"/>
              <w:right w:val="nil"/>
            </w:tcBorders>
            <w:shd w:val="clear" w:color="auto" w:fill="auto"/>
            <w:noWrap/>
            <w:vAlign w:val="bottom"/>
            <w:hideMark/>
          </w:tcPr>
          <w:p w14:paraId="5B6B6A58" w14:textId="74A6072E"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9,715</w:t>
            </w:r>
          </w:p>
        </w:tc>
      </w:tr>
      <w:tr w:rsidR="00CB212E" w:rsidRPr="00CB212E" w14:paraId="47A10038" w14:textId="77777777" w:rsidTr="00892C68">
        <w:trPr>
          <w:gridAfter w:val="1"/>
          <w:wAfter w:w="34" w:type="dxa"/>
          <w:trHeight w:val="204"/>
        </w:trPr>
        <w:tc>
          <w:tcPr>
            <w:tcW w:w="2977" w:type="dxa"/>
            <w:tcBorders>
              <w:top w:val="nil"/>
              <w:left w:val="nil"/>
              <w:bottom w:val="nil"/>
              <w:right w:val="nil"/>
            </w:tcBorders>
            <w:shd w:val="clear" w:color="auto" w:fill="auto"/>
            <w:vAlign w:val="bottom"/>
            <w:hideMark/>
          </w:tcPr>
          <w:p w14:paraId="7C5E4C8E" w14:textId="77777777" w:rsidR="00CB212E" w:rsidRPr="00892C68" w:rsidRDefault="00CB212E" w:rsidP="00892C68">
            <w:pPr>
              <w:spacing w:after="0" w:line="240" w:lineRule="auto"/>
              <w:ind w:left="113"/>
              <w:jc w:val="left"/>
              <w:rPr>
                <w:rFonts w:ascii="Arial" w:hAnsi="Arial" w:cs="Arial"/>
                <w:sz w:val="16"/>
                <w:szCs w:val="16"/>
              </w:rPr>
            </w:pPr>
            <w:r w:rsidRPr="00892C68">
              <w:rPr>
                <w:rFonts w:ascii="Arial" w:hAnsi="Arial" w:cs="Arial"/>
                <w:sz w:val="16"/>
                <w:szCs w:val="16"/>
              </w:rPr>
              <w:t xml:space="preserve">s74 retained revenue receipts </w:t>
            </w:r>
            <w:r w:rsidRPr="00892C68">
              <w:rPr>
                <w:rFonts w:ascii="Arial" w:hAnsi="Arial" w:cs="Arial"/>
                <w:sz w:val="16"/>
                <w:szCs w:val="16"/>
                <w:vertAlign w:val="superscript"/>
              </w:rPr>
              <w:t>(a)</w:t>
            </w:r>
          </w:p>
        </w:tc>
        <w:tc>
          <w:tcPr>
            <w:tcW w:w="851" w:type="dxa"/>
            <w:tcBorders>
              <w:top w:val="nil"/>
              <w:left w:val="nil"/>
              <w:bottom w:val="nil"/>
              <w:right w:val="nil"/>
            </w:tcBorders>
            <w:shd w:val="clear" w:color="auto" w:fill="auto"/>
            <w:noWrap/>
            <w:vAlign w:val="bottom"/>
            <w:hideMark/>
          </w:tcPr>
          <w:p w14:paraId="48ABED87" w14:textId="50D19EB1" w:rsidR="00CB212E" w:rsidRPr="00892C68" w:rsidRDefault="00F70163" w:rsidP="00917B90">
            <w:pPr>
              <w:spacing w:after="0" w:line="240" w:lineRule="auto"/>
              <w:jc w:val="right"/>
              <w:rPr>
                <w:rFonts w:ascii="Arial" w:hAnsi="Arial" w:cs="Arial"/>
                <w:sz w:val="16"/>
                <w:szCs w:val="16"/>
              </w:rPr>
            </w:pPr>
            <w:r w:rsidRPr="00892C68">
              <w:rPr>
                <w:rFonts w:ascii="Arial" w:hAnsi="Arial" w:cs="Arial"/>
                <w:sz w:val="16"/>
                <w:szCs w:val="16"/>
              </w:rPr>
              <w:t>2,926</w:t>
            </w:r>
          </w:p>
        </w:tc>
        <w:tc>
          <w:tcPr>
            <w:tcW w:w="1056" w:type="dxa"/>
            <w:gridSpan w:val="2"/>
            <w:tcBorders>
              <w:top w:val="nil"/>
              <w:left w:val="nil"/>
              <w:bottom w:val="nil"/>
              <w:right w:val="nil"/>
            </w:tcBorders>
            <w:shd w:val="clear" w:color="000000" w:fill="E6E6E6"/>
            <w:noWrap/>
            <w:vAlign w:val="bottom"/>
            <w:hideMark/>
          </w:tcPr>
          <w:p w14:paraId="06C43D52" w14:textId="485ACF3C"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2,494</w:t>
            </w:r>
          </w:p>
        </w:tc>
        <w:tc>
          <w:tcPr>
            <w:tcW w:w="928" w:type="dxa"/>
            <w:tcBorders>
              <w:top w:val="nil"/>
              <w:left w:val="nil"/>
              <w:bottom w:val="nil"/>
              <w:right w:val="nil"/>
            </w:tcBorders>
            <w:shd w:val="clear" w:color="auto" w:fill="auto"/>
            <w:noWrap/>
            <w:vAlign w:val="bottom"/>
            <w:hideMark/>
          </w:tcPr>
          <w:p w14:paraId="31712E22" w14:textId="5ECD05C4"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2,660</w:t>
            </w:r>
          </w:p>
        </w:tc>
        <w:tc>
          <w:tcPr>
            <w:tcW w:w="993" w:type="dxa"/>
            <w:gridSpan w:val="2"/>
            <w:tcBorders>
              <w:top w:val="nil"/>
              <w:left w:val="nil"/>
              <w:bottom w:val="nil"/>
              <w:right w:val="nil"/>
            </w:tcBorders>
            <w:shd w:val="clear" w:color="auto" w:fill="auto"/>
            <w:noWrap/>
            <w:vAlign w:val="bottom"/>
            <w:hideMark/>
          </w:tcPr>
          <w:p w14:paraId="5E03A2CB" w14:textId="7A63094A"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2,775</w:t>
            </w:r>
          </w:p>
        </w:tc>
        <w:tc>
          <w:tcPr>
            <w:tcW w:w="1056" w:type="dxa"/>
            <w:gridSpan w:val="2"/>
            <w:tcBorders>
              <w:top w:val="nil"/>
              <w:left w:val="nil"/>
              <w:bottom w:val="nil"/>
              <w:right w:val="nil"/>
            </w:tcBorders>
            <w:shd w:val="clear" w:color="auto" w:fill="auto"/>
            <w:noWrap/>
            <w:vAlign w:val="bottom"/>
            <w:hideMark/>
          </w:tcPr>
          <w:p w14:paraId="4C893AC9" w14:textId="44685AF6"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2,775</w:t>
            </w:r>
          </w:p>
        </w:tc>
      </w:tr>
      <w:tr w:rsidR="00CB212E" w:rsidRPr="00CB212E" w14:paraId="62147443" w14:textId="77777777" w:rsidTr="00892C68">
        <w:trPr>
          <w:gridAfter w:val="1"/>
          <w:wAfter w:w="34" w:type="dxa"/>
          <w:trHeight w:val="204"/>
        </w:trPr>
        <w:tc>
          <w:tcPr>
            <w:tcW w:w="2977" w:type="dxa"/>
            <w:tcBorders>
              <w:top w:val="nil"/>
              <w:left w:val="nil"/>
              <w:bottom w:val="nil"/>
              <w:right w:val="nil"/>
            </w:tcBorders>
            <w:shd w:val="clear" w:color="auto" w:fill="auto"/>
            <w:vAlign w:val="bottom"/>
            <w:hideMark/>
          </w:tcPr>
          <w:p w14:paraId="06923DF6" w14:textId="77777777" w:rsidR="00CB212E" w:rsidRPr="00892C68" w:rsidRDefault="00CB212E" w:rsidP="00892C68">
            <w:pPr>
              <w:spacing w:after="0" w:line="240" w:lineRule="auto"/>
              <w:ind w:left="113"/>
              <w:jc w:val="left"/>
              <w:rPr>
                <w:rFonts w:ascii="Arial" w:hAnsi="Arial" w:cs="Arial"/>
                <w:sz w:val="16"/>
                <w:szCs w:val="16"/>
              </w:rPr>
            </w:pPr>
            <w:r w:rsidRPr="00892C68">
              <w:rPr>
                <w:rFonts w:ascii="Arial" w:hAnsi="Arial" w:cs="Arial"/>
                <w:sz w:val="16"/>
                <w:szCs w:val="16"/>
              </w:rPr>
              <w:t>Expenses not requiring appropriation in the Budget year</w:t>
            </w:r>
            <w:r w:rsidRPr="00892C68">
              <w:rPr>
                <w:rFonts w:ascii="Arial" w:hAnsi="Arial" w:cs="Arial"/>
                <w:sz w:val="16"/>
                <w:szCs w:val="16"/>
                <w:vertAlign w:val="superscript"/>
              </w:rPr>
              <w:t xml:space="preserve"> (b)</w:t>
            </w:r>
          </w:p>
        </w:tc>
        <w:tc>
          <w:tcPr>
            <w:tcW w:w="851" w:type="dxa"/>
            <w:tcBorders>
              <w:top w:val="nil"/>
              <w:left w:val="nil"/>
              <w:bottom w:val="nil"/>
              <w:right w:val="nil"/>
            </w:tcBorders>
            <w:shd w:val="clear" w:color="auto" w:fill="auto"/>
            <w:noWrap/>
            <w:vAlign w:val="bottom"/>
            <w:hideMark/>
          </w:tcPr>
          <w:p w14:paraId="335FC323" w14:textId="1CB9E59D" w:rsidR="00CB212E" w:rsidRPr="00892C68" w:rsidRDefault="00CB212E" w:rsidP="00F70163">
            <w:pPr>
              <w:spacing w:after="0" w:line="240" w:lineRule="auto"/>
              <w:jc w:val="right"/>
              <w:rPr>
                <w:rFonts w:ascii="Arial" w:hAnsi="Arial" w:cs="Arial"/>
                <w:sz w:val="16"/>
                <w:szCs w:val="16"/>
              </w:rPr>
            </w:pPr>
            <w:r w:rsidRPr="00892C68">
              <w:rPr>
                <w:rFonts w:ascii="Arial" w:hAnsi="Arial" w:cs="Arial"/>
                <w:sz w:val="16"/>
                <w:szCs w:val="16"/>
              </w:rPr>
              <w:t>1,34</w:t>
            </w:r>
            <w:r w:rsidR="00F70163" w:rsidRPr="00892C68">
              <w:rPr>
                <w:rFonts w:ascii="Arial" w:hAnsi="Arial" w:cs="Arial"/>
                <w:sz w:val="16"/>
                <w:szCs w:val="16"/>
              </w:rPr>
              <w:t>0</w:t>
            </w:r>
          </w:p>
        </w:tc>
        <w:tc>
          <w:tcPr>
            <w:tcW w:w="1056" w:type="dxa"/>
            <w:gridSpan w:val="2"/>
            <w:tcBorders>
              <w:top w:val="nil"/>
              <w:left w:val="nil"/>
              <w:bottom w:val="nil"/>
              <w:right w:val="nil"/>
            </w:tcBorders>
            <w:shd w:val="clear" w:color="000000" w:fill="E6E6E6"/>
            <w:noWrap/>
            <w:vAlign w:val="bottom"/>
            <w:hideMark/>
          </w:tcPr>
          <w:p w14:paraId="7BCDD51A" w14:textId="440AE3CA"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1,150</w:t>
            </w:r>
          </w:p>
        </w:tc>
        <w:tc>
          <w:tcPr>
            <w:tcW w:w="928" w:type="dxa"/>
            <w:tcBorders>
              <w:top w:val="nil"/>
              <w:left w:val="nil"/>
              <w:bottom w:val="nil"/>
              <w:right w:val="nil"/>
            </w:tcBorders>
            <w:shd w:val="clear" w:color="auto" w:fill="auto"/>
            <w:noWrap/>
            <w:vAlign w:val="bottom"/>
            <w:hideMark/>
          </w:tcPr>
          <w:p w14:paraId="227539E9" w14:textId="70D18523"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1,156</w:t>
            </w:r>
          </w:p>
        </w:tc>
        <w:tc>
          <w:tcPr>
            <w:tcW w:w="993" w:type="dxa"/>
            <w:gridSpan w:val="2"/>
            <w:tcBorders>
              <w:top w:val="nil"/>
              <w:left w:val="nil"/>
              <w:bottom w:val="nil"/>
              <w:right w:val="nil"/>
            </w:tcBorders>
            <w:shd w:val="clear" w:color="auto" w:fill="auto"/>
            <w:noWrap/>
            <w:vAlign w:val="bottom"/>
            <w:hideMark/>
          </w:tcPr>
          <w:p w14:paraId="063B760A" w14:textId="30ED77DE"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1,295</w:t>
            </w:r>
          </w:p>
        </w:tc>
        <w:tc>
          <w:tcPr>
            <w:tcW w:w="1056" w:type="dxa"/>
            <w:gridSpan w:val="2"/>
            <w:tcBorders>
              <w:top w:val="nil"/>
              <w:left w:val="nil"/>
              <w:bottom w:val="nil"/>
              <w:right w:val="nil"/>
            </w:tcBorders>
            <w:shd w:val="clear" w:color="auto" w:fill="auto"/>
            <w:noWrap/>
            <w:vAlign w:val="bottom"/>
            <w:hideMark/>
          </w:tcPr>
          <w:p w14:paraId="322C21AB" w14:textId="211C45B5" w:rsidR="00CB212E" w:rsidRPr="00892C68" w:rsidRDefault="00CB212E" w:rsidP="00917B90">
            <w:pPr>
              <w:spacing w:after="0" w:line="240" w:lineRule="auto"/>
              <w:jc w:val="right"/>
              <w:rPr>
                <w:rFonts w:ascii="Arial" w:hAnsi="Arial" w:cs="Arial"/>
                <w:sz w:val="16"/>
                <w:szCs w:val="16"/>
              </w:rPr>
            </w:pPr>
            <w:r w:rsidRPr="00892C68">
              <w:rPr>
                <w:rFonts w:ascii="Arial" w:hAnsi="Arial" w:cs="Arial"/>
                <w:sz w:val="16"/>
                <w:szCs w:val="16"/>
              </w:rPr>
              <w:t>1,289</w:t>
            </w:r>
          </w:p>
        </w:tc>
      </w:tr>
      <w:tr w:rsidR="00CB212E" w:rsidRPr="00CB212E" w14:paraId="7134D19F" w14:textId="77777777" w:rsidTr="00892C68">
        <w:trPr>
          <w:gridAfter w:val="1"/>
          <w:wAfter w:w="34" w:type="dxa"/>
          <w:trHeight w:val="204"/>
        </w:trPr>
        <w:tc>
          <w:tcPr>
            <w:tcW w:w="2977" w:type="dxa"/>
            <w:tcBorders>
              <w:top w:val="nil"/>
              <w:left w:val="nil"/>
              <w:bottom w:val="nil"/>
              <w:right w:val="nil"/>
            </w:tcBorders>
            <w:shd w:val="clear" w:color="auto" w:fill="auto"/>
            <w:vAlign w:val="bottom"/>
            <w:hideMark/>
          </w:tcPr>
          <w:p w14:paraId="45BD11B2" w14:textId="37E074F2" w:rsidR="00CB212E" w:rsidRPr="00892C68" w:rsidRDefault="00CB212E" w:rsidP="00892C68">
            <w:pPr>
              <w:spacing w:after="0" w:line="240" w:lineRule="auto"/>
              <w:ind w:firstLineChars="100" w:firstLine="160"/>
              <w:jc w:val="right"/>
              <w:rPr>
                <w:rFonts w:ascii="Arial" w:hAnsi="Arial" w:cs="Arial"/>
                <w:b/>
                <w:bCs/>
                <w:sz w:val="16"/>
                <w:szCs w:val="16"/>
              </w:rPr>
            </w:pPr>
            <w:r w:rsidRPr="00892C68">
              <w:rPr>
                <w:rFonts w:ascii="Arial" w:hAnsi="Arial" w:cs="Arial"/>
                <w:b/>
                <w:bCs/>
                <w:sz w:val="16"/>
                <w:szCs w:val="16"/>
              </w:rPr>
              <w:t xml:space="preserve">Total </w:t>
            </w:r>
            <w:r w:rsidR="00892C68">
              <w:rPr>
                <w:rFonts w:ascii="Arial" w:hAnsi="Arial" w:cs="Arial"/>
                <w:b/>
                <w:bCs/>
                <w:sz w:val="16"/>
                <w:szCs w:val="16"/>
              </w:rPr>
              <w:t>D</w:t>
            </w:r>
            <w:r w:rsidR="008863D9" w:rsidRPr="00892C68">
              <w:rPr>
                <w:rFonts w:ascii="Arial" w:hAnsi="Arial" w:cs="Arial"/>
                <w:b/>
                <w:bCs/>
                <w:sz w:val="16"/>
                <w:szCs w:val="16"/>
              </w:rPr>
              <w:t>epartment</w:t>
            </w:r>
            <w:r w:rsidRPr="00892C68">
              <w:rPr>
                <w:rFonts w:ascii="Arial" w:hAnsi="Arial" w:cs="Arial"/>
                <w:b/>
                <w:bCs/>
                <w:sz w:val="16"/>
                <w:szCs w:val="16"/>
              </w:rPr>
              <w:t>al expenses</w:t>
            </w:r>
          </w:p>
        </w:tc>
        <w:tc>
          <w:tcPr>
            <w:tcW w:w="851" w:type="dxa"/>
            <w:tcBorders>
              <w:top w:val="single" w:sz="4" w:space="0" w:color="auto"/>
              <w:left w:val="nil"/>
              <w:bottom w:val="single" w:sz="4" w:space="0" w:color="auto"/>
              <w:right w:val="nil"/>
            </w:tcBorders>
            <w:shd w:val="clear" w:color="auto" w:fill="auto"/>
            <w:noWrap/>
            <w:vAlign w:val="bottom"/>
            <w:hideMark/>
          </w:tcPr>
          <w:p w14:paraId="015CADF6" w14:textId="54AB0439"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15,794</w:t>
            </w:r>
          </w:p>
        </w:tc>
        <w:tc>
          <w:tcPr>
            <w:tcW w:w="1056" w:type="dxa"/>
            <w:gridSpan w:val="2"/>
            <w:tcBorders>
              <w:top w:val="single" w:sz="4" w:space="0" w:color="auto"/>
              <w:left w:val="nil"/>
              <w:bottom w:val="single" w:sz="4" w:space="0" w:color="auto"/>
              <w:right w:val="nil"/>
            </w:tcBorders>
            <w:shd w:val="clear" w:color="000000" w:fill="E6E6E6"/>
            <w:noWrap/>
            <w:vAlign w:val="bottom"/>
            <w:hideMark/>
          </w:tcPr>
          <w:p w14:paraId="5B8A771B" w14:textId="3FCDE5E2"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14,001</w:t>
            </w:r>
          </w:p>
        </w:tc>
        <w:tc>
          <w:tcPr>
            <w:tcW w:w="928" w:type="dxa"/>
            <w:tcBorders>
              <w:top w:val="single" w:sz="4" w:space="0" w:color="auto"/>
              <w:left w:val="nil"/>
              <w:bottom w:val="single" w:sz="4" w:space="0" w:color="auto"/>
              <w:right w:val="nil"/>
            </w:tcBorders>
            <w:shd w:val="clear" w:color="auto" w:fill="auto"/>
            <w:noWrap/>
            <w:vAlign w:val="bottom"/>
            <w:hideMark/>
          </w:tcPr>
          <w:p w14:paraId="6A081E40" w14:textId="58F8ED83"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14,095</w:t>
            </w:r>
          </w:p>
        </w:tc>
        <w:tc>
          <w:tcPr>
            <w:tcW w:w="993" w:type="dxa"/>
            <w:gridSpan w:val="2"/>
            <w:tcBorders>
              <w:top w:val="single" w:sz="4" w:space="0" w:color="auto"/>
              <w:left w:val="nil"/>
              <w:bottom w:val="single" w:sz="4" w:space="0" w:color="auto"/>
              <w:right w:val="nil"/>
            </w:tcBorders>
            <w:shd w:val="clear" w:color="auto" w:fill="auto"/>
            <w:noWrap/>
            <w:vAlign w:val="bottom"/>
            <w:hideMark/>
          </w:tcPr>
          <w:p w14:paraId="547D6194" w14:textId="60BC8F55"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14,440</w:t>
            </w:r>
          </w:p>
        </w:tc>
        <w:tc>
          <w:tcPr>
            <w:tcW w:w="1056" w:type="dxa"/>
            <w:gridSpan w:val="2"/>
            <w:tcBorders>
              <w:top w:val="single" w:sz="4" w:space="0" w:color="auto"/>
              <w:left w:val="nil"/>
              <w:bottom w:val="single" w:sz="4" w:space="0" w:color="auto"/>
              <w:right w:val="nil"/>
            </w:tcBorders>
            <w:shd w:val="clear" w:color="auto" w:fill="auto"/>
            <w:noWrap/>
            <w:vAlign w:val="bottom"/>
            <w:hideMark/>
          </w:tcPr>
          <w:p w14:paraId="69154CEB" w14:textId="3CD39A6D"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13,779</w:t>
            </w:r>
          </w:p>
        </w:tc>
      </w:tr>
      <w:tr w:rsidR="00CB212E" w:rsidRPr="00CB212E" w14:paraId="0FAF2375" w14:textId="77777777" w:rsidTr="00892C68">
        <w:trPr>
          <w:gridAfter w:val="1"/>
          <w:wAfter w:w="34" w:type="dxa"/>
          <w:trHeight w:val="204"/>
        </w:trPr>
        <w:tc>
          <w:tcPr>
            <w:tcW w:w="2977" w:type="dxa"/>
            <w:tcBorders>
              <w:top w:val="nil"/>
              <w:left w:val="nil"/>
              <w:bottom w:val="single" w:sz="4" w:space="0" w:color="auto"/>
              <w:right w:val="nil"/>
            </w:tcBorders>
            <w:shd w:val="clear" w:color="auto" w:fill="auto"/>
            <w:noWrap/>
            <w:vAlign w:val="bottom"/>
            <w:hideMark/>
          </w:tcPr>
          <w:p w14:paraId="14738522" w14:textId="77777777" w:rsidR="00CB212E" w:rsidRPr="00892C68" w:rsidRDefault="00CB212E" w:rsidP="00CB212E">
            <w:pPr>
              <w:spacing w:after="0" w:line="240" w:lineRule="auto"/>
              <w:jc w:val="left"/>
              <w:rPr>
                <w:rFonts w:ascii="Arial" w:hAnsi="Arial" w:cs="Arial"/>
                <w:b/>
                <w:bCs/>
                <w:sz w:val="16"/>
                <w:szCs w:val="16"/>
              </w:rPr>
            </w:pPr>
            <w:r w:rsidRPr="00892C68">
              <w:rPr>
                <w:rFonts w:ascii="Arial" w:hAnsi="Arial" w:cs="Arial"/>
                <w:b/>
                <w:bCs/>
                <w:sz w:val="16"/>
                <w:szCs w:val="16"/>
              </w:rPr>
              <w:t>Total expenses for Outcome 1</w:t>
            </w:r>
          </w:p>
        </w:tc>
        <w:tc>
          <w:tcPr>
            <w:tcW w:w="851" w:type="dxa"/>
            <w:tcBorders>
              <w:top w:val="nil"/>
              <w:left w:val="nil"/>
              <w:bottom w:val="single" w:sz="4" w:space="0" w:color="auto"/>
              <w:right w:val="nil"/>
            </w:tcBorders>
            <w:shd w:val="clear" w:color="auto" w:fill="auto"/>
            <w:noWrap/>
            <w:vAlign w:val="bottom"/>
            <w:hideMark/>
          </w:tcPr>
          <w:p w14:paraId="2EC72718" w14:textId="2C36C3F6"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57,495</w:t>
            </w:r>
          </w:p>
        </w:tc>
        <w:tc>
          <w:tcPr>
            <w:tcW w:w="1056" w:type="dxa"/>
            <w:gridSpan w:val="2"/>
            <w:tcBorders>
              <w:top w:val="nil"/>
              <w:left w:val="nil"/>
              <w:bottom w:val="single" w:sz="4" w:space="0" w:color="auto"/>
              <w:right w:val="nil"/>
            </w:tcBorders>
            <w:shd w:val="clear" w:color="000000" w:fill="E6E6E6"/>
            <w:noWrap/>
            <w:vAlign w:val="bottom"/>
            <w:hideMark/>
          </w:tcPr>
          <w:p w14:paraId="293390F9" w14:textId="4C088969"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58,794</w:t>
            </w:r>
          </w:p>
        </w:tc>
        <w:tc>
          <w:tcPr>
            <w:tcW w:w="928" w:type="dxa"/>
            <w:tcBorders>
              <w:top w:val="nil"/>
              <w:left w:val="nil"/>
              <w:bottom w:val="single" w:sz="4" w:space="0" w:color="auto"/>
              <w:right w:val="nil"/>
            </w:tcBorders>
            <w:shd w:val="clear" w:color="auto" w:fill="auto"/>
            <w:noWrap/>
            <w:vAlign w:val="bottom"/>
            <w:hideMark/>
          </w:tcPr>
          <w:p w14:paraId="3A4D5E59" w14:textId="7E8C6133"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57,836</w:t>
            </w:r>
          </w:p>
        </w:tc>
        <w:tc>
          <w:tcPr>
            <w:tcW w:w="993" w:type="dxa"/>
            <w:gridSpan w:val="2"/>
            <w:tcBorders>
              <w:top w:val="nil"/>
              <w:left w:val="nil"/>
              <w:bottom w:val="single" w:sz="4" w:space="0" w:color="auto"/>
              <w:right w:val="nil"/>
            </w:tcBorders>
            <w:shd w:val="clear" w:color="auto" w:fill="auto"/>
            <w:noWrap/>
            <w:vAlign w:val="bottom"/>
            <w:hideMark/>
          </w:tcPr>
          <w:p w14:paraId="45295785" w14:textId="6A79DC7B"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59,282</w:t>
            </w:r>
          </w:p>
        </w:tc>
        <w:tc>
          <w:tcPr>
            <w:tcW w:w="1056" w:type="dxa"/>
            <w:gridSpan w:val="2"/>
            <w:tcBorders>
              <w:top w:val="nil"/>
              <w:left w:val="nil"/>
              <w:bottom w:val="single" w:sz="4" w:space="0" w:color="auto"/>
              <w:right w:val="nil"/>
            </w:tcBorders>
            <w:shd w:val="clear" w:color="auto" w:fill="auto"/>
            <w:noWrap/>
            <w:vAlign w:val="bottom"/>
            <w:hideMark/>
          </w:tcPr>
          <w:p w14:paraId="5E0F6554" w14:textId="600C5DBB" w:rsidR="00CB212E" w:rsidRPr="00892C68" w:rsidRDefault="00CB212E" w:rsidP="00917B90">
            <w:pPr>
              <w:spacing w:after="0" w:line="240" w:lineRule="auto"/>
              <w:jc w:val="right"/>
              <w:rPr>
                <w:rFonts w:ascii="Arial" w:hAnsi="Arial" w:cs="Arial"/>
                <w:b/>
                <w:bCs/>
                <w:sz w:val="16"/>
                <w:szCs w:val="16"/>
              </w:rPr>
            </w:pPr>
            <w:r w:rsidRPr="00892C68">
              <w:rPr>
                <w:rFonts w:ascii="Arial" w:hAnsi="Arial" w:cs="Arial"/>
                <w:b/>
                <w:bCs/>
                <w:sz w:val="16"/>
                <w:szCs w:val="16"/>
              </w:rPr>
              <w:t>60,013</w:t>
            </w:r>
          </w:p>
        </w:tc>
      </w:tr>
    </w:tbl>
    <w:p w14:paraId="3BE50601" w14:textId="37E81533" w:rsidR="003C498E" w:rsidRPr="0044264F" w:rsidRDefault="003C498E" w:rsidP="009E77AC">
      <w:pPr>
        <w:pStyle w:val="TableHeading"/>
        <w:spacing w:before="0" w:after="0"/>
        <w:rPr>
          <w:highlight w:val="yellow"/>
          <w:lang w:val="en-AU"/>
        </w:rPr>
      </w:pPr>
    </w:p>
    <w:tbl>
      <w:tblPr>
        <w:tblW w:w="4884" w:type="dxa"/>
        <w:tblLook w:val="04A0" w:firstRow="1" w:lastRow="0" w:firstColumn="1" w:lastColumn="0" w:noHBand="0" w:noVBand="1"/>
      </w:tblPr>
      <w:tblGrid>
        <w:gridCol w:w="2694"/>
        <w:gridCol w:w="1134"/>
        <w:gridCol w:w="1056"/>
      </w:tblGrid>
      <w:tr w:rsidR="003C498E" w:rsidRPr="0044264F" w14:paraId="11A51C97" w14:textId="77777777" w:rsidTr="00892C68">
        <w:trPr>
          <w:trHeight w:val="204"/>
        </w:trPr>
        <w:tc>
          <w:tcPr>
            <w:tcW w:w="2694" w:type="dxa"/>
            <w:tcBorders>
              <w:top w:val="single" w:sz="4" w:space="0" w:color="auto"/>
              <w:left w:val="nil"/>
              <w:bottom w:val="nil"/>
              <w:right w:val="nil"/>
            </w:tcBorders>
            <w:shd w:val="clear" w:color="auto" w:fill="auto"/>
            <w:noWrap/>
            <w:hideMark/>
          </w:tcPr>
          <w:p w14:paraId="5C243971" w14:textId="77777777" w:rsidR="003C498E" w:rsidRPr="003C498E" w:rsidRDefault="003C498E" w:rsidP="00BD72A9">
            <w:pPr>
              <w:spacing w:after="0" w:line="240" w:lineRule="auto"/>
              <w:ind w:firstLineChars="100" w:firstLine="160"/>
              <w:jc w:val="left"/>
              <w:rPr>
                <w:rFonts w:ascii="Arial" w:hAnsi="Arial" w:cs="Arial"/>
                <w:sz w:val="16"/>
                <w:szCs w:val="18"/>
              </w:rPr>
            </w:pPr>
            <w:r w:rsidRPr="003C498E">
              <w:rPr>
                <w:rFonts w:ascii="Arial" w:hAnsi="Arial" w:cs="Arial"/>
                <w:sz w:val="16"/>
                <w:szCs w:val="18"/>
              </w:rPr>
              <w:t> </w:t>
            </w:r>
          </w:p>
        </w:tc>
        <w:tc>
          <w:tcPr>
            <w:tcW w:w="1134" w:type="dxa"/>
            <w:tcBorders>
              <w:top w:val="single" w:sz="4" w:space="0" w:color="auto"/>
              <w:left w:val="nil"/>
              <w:bottom w:val="single" w:sz="4" w:space="0" w:color="auto"/>
              <w:right w:val="nil"/>
            </w:tcBorders>
            <w:shd w:val="clear" w:color="auto" w:fill="auto"/>
            <w:noWrap/>
            <w:vAlign w:val="bottom"/>
            <w:hideMark/>
          </w:tcPr>
          <w:p w14:paraId="79CBD054" w14:textId="77777777" w:rsidR="009E77AC" w:rsidRDefault="009E77AC" w:rsidP="00BD72A9">
            <w:pPr>
              <w:spacing w:after="0" w:line="240" w:lineRule="auto"/>
              <w:jc w:val="right"/>
              <w:rPr>
                <w:rFonts w:ascii="Arial" w:hAnsi="Arial" w:cs="Arial"/>
                <w:sz w:val="16"/>
                <w:szCs w:val="18"/>
              </w:rPr>
            </w:pPr>
            <w:r>
              <w:rPr>
                <w:rFonts w:ascii="Arial" w:hAnsi="Arial" w:cs="Arial"/>
                <w:sz w:val="16"/>
                <w:szCs w:val="18"/>
              </w:rPr>
              <w:t xml:space="preserve">Actual </w:t>
            </w:r>
          </w:p>
          <w:p w14:paraId="74BC7F29" w14:textId="5098323B" w:rsidR="003C498E" w:rsidRPr="003C498E" w:rsidRDefault="003C498E" w:rsidP="00BD72A9">
            <w:pPr>
              <w:spacing w:after="0" w:line="240" w:lineRule="auto"/>
              <w:jc w:val="right"/>
              <w:rPr>
                <w:rFonts w:ascii="Arial" w:hAnsi="Arial" w:cs="Arial"/>
                <w:sz w:val="16"/>
                <w:szCs w:val="18"/>
              </w:rPr>
            </w:pPr>
            <w:r w:rsidRPr="003C498E">
              <w:rPr>
                <w:rFonts w:ascii="Arial" w:hAnsi="Arial" w:cs="Arial"/>
                <w:sz w:val="16"/>
                <w:szCs w:val="18"/>
              </w:rPr>
              <w:t>2020-21</w:t>
            </w:r>
          </w:p>
        </w:tc>
        <w:tc>
          <w:tcPr>
            <w:tcW w:w="1056" w:type="dxa"/>
            <w:tcBorders>
              <w:top w:val="single" w:sz="4" w:space="0" w:color="auto"/>
              <w:left w:val="nil"/>
              <w:bottom w:val="single" w:sz="4" w:space="0" w:color="auto"/>
              <w:right w:val="nil"/>
            </w:tcBorders>
            <w:shd w:val="clear" w:color="000000" w:fill="E6E6E6"/>
            <w:noWrap/>
            <w:vAlign w:val="bottom"/>
            <w:hideMark/>
          </w:tcPr>
          <w:p w14:paraId="7E67434C" w14:textId="77777777" w:rsidR="003C498E" w:rsidRPr="003C498E" w:rsidRDefault="003C498E" w:rsidP="00BD72A9">
            <w:pPr>
              <w:spacing w:after="0" w:line="240" w:lineRule="auto"/>
              <w:jc w:val="right"/>
              <w:rPr>
                <w:rFonts w:ascii="Arial" w:hAnsi="Arial" w:cs="Arial"/>
                <w:sz w:val="16"/>
                <w:szCs w:val="18"/>
              </w:rPr>
            </w:pPr>
            <w:r w:rsidRPr="003C498E">
              <w:rPr>
                <w:rFonts w:ascii="Arial" w:hAnsi="Arial" w:cs="Arial"/>
                <w:sz w:val="16"/>
                <w:szCs w:val="18"/>
              </w:rPr>
              <w:t>2021-22</w:t>
            </w:r>
          </w:p>
        </w:tc>
      </w:tr>
      <w:tr w:rsidR="003C498E" w:rsidRPr="001E0962" w14:paraId="447C1E45" w14:textId="77777777" w:rsidTr="00892C68">
        <w:trPr>
          <w:trHeight w:val="204"/>
        </w:trPr>
        <w:tc>
          <w:tcPr>
            <w:tcW w:w="2694" w:type="dxa"/>
            <w:tcBorders>
              <w:top w:val="nil"/>
              <w:left w:val="nil"/>
              <w:bottom w:val="single" w:sz="4" w:space="0" w:color="auto"/>
              <w:right w:val="nil"/>
            </w:tcBorders>
            <w:shd w:val="clear" w:color="auto" w:fill="auto"/>
            <w:noWrap/>
            <w:hideMark/>
          </w:tcPr>
          <w:p w14:paraId="23AE4B12" w14:textId="77777777" w:rsidR="003C498E" w:rsidRPr="003C498E" w:rsidRDefault="003C498E" w:rsidP="00BD72A9">
            <w:pPr>
              <w:spacing w:after="0" w:line="240" w:lineRule="auto"/>
              <w:jc w:val="left"/>
              <w:rPr>
                <w:rFonts w:ascii="Arial" w:hAnsi="Arial" w:cs="Arial"/>
                <w:b/>
                <w:bCs/>
                <w:sz w:val="16"/>
                <w:szCs w:val="18"/>
              </w:rPr>
            </w:pPr>
            <w:r w:rsidRPr="003C498E">
              <w:rPr>
                <w:rFonts w:ascii="Arial" w:hAnsi="Arial" w:cs="Arial"/>
                <w:b/>
                <w:bCs/>
                <w:sz w:val="16"/>
                <w:szCs w:val="18"/>
              </w:rPr>
              <w:t>Average staffing level (number)</w:t>
            </w:r>
          </w:p>
        </w:tc>
        <w:tc>
          <w:tcPr>
            <w:tcW w:w="1134" w:type="dxa"/>
            <w:tcBorders>
              <w:top w:val="nil"/>
              <w:left w:val="nil"/>
              <w:bottom w:val="single" w:sz="4" w:space="0" w:color="auto"/>
              <w:right w:val="nil"/>
            </w:tcBorders>
            <w:shd w:val="clear" w:color="auto" w:fill="auto"/>
            <w:noWrap/>
            <w:vAlign w:val="bottom"/>
            <w:hideMark/>
          </w:tcPr>
          <w:p w14:paraId="7082C6F4" w14:textId="129AD07C" w:rsidR="003C498E" w:rsidRPr="009E77AC" w:rsidRDefault="00D413BA" w:rsidP="00BD72A9">
            <w:pPr>
              <w:spacing w:after="0" w:line="240" w:lineRule="auto"/>
              <w:jc w:val="right"/>
              <w:rPr>
                <w:rFonts w:ascii="Arial" w:hAnsi="Arial" w:cs="Arial"/>
                <w:sz w:val="16"/>
                <w:szCs w:val="16"/>
              </w:rPr>
            </w:pPr>
            <w:r>
              <w:rPr>
                <w:rFonts w:ascii="Arial" w:hAnsi="Arial" w:cs="Arial"/>
                <w:sz w:val="16"/>
                <w:szCs w:val="16"/>
              </w:rPr>
              <w:t>52</w:t>
            </w:r>
          </w:p>
        </w:tc>
        <w:tc>
          <w:tcPr>
            <w:tcW w:w="1056" w:type="dxa"/>
            <w:tcBorders>
              <w:top w:val="nil"/>
              <w:left w:val="nil"/>
              <w:bottom w:val="single" w:sz="4" w:space="0" w:color="auto"/>
              <w:right w:val="nil"/>
            </w:tcBorders>
            <w:shd w:val="clear" w:color="000000" w:fill="E6E6E6"/>
            <w:noWrap/>
            <w:vAlign w:val="bottom"/>
            <w:hideMark/>
          </w:tcPr>
          <w:p w14:paraId="6417818A" w14:textId="77777777" w:rsidR="003C498E" w:rsidRPr="009E77AC" w:rsidRDefault="003C498E" w:rsidP="00BD72A9">
            <w:pPr>
              <w:spacing w:after="0" w:line="240" w:lineRule="auto"/>
              <w:jc w:val="right"/>
              <w:rPr>
                <w:rFonts w:ascii="Arial" w:hAnsi="Arial" w:cs="Arial"/>
                <w:sz w:val="16"/>
                <w:szCs w:val="16"/>
              </w:rPr>
            </w:pPr>
            <w:r w:rsidRPr="009E77AC">
              <w:rPr>
                <w:rFonts w:ascii="Arial" w:hAnsi="Arial" w:cs="Arial"/>
                <w:sz w:val="16"/>
                <w:szCs w:val="16"/>
              </w:rPr>
              <w:t>62</w:t>
            </w:r>
          </w:p>
        </w:tc>
      </w:tr>
    </w:tbl>
    <w:p w14:paraId="315407BC" w14:textId="7C5F883E" w:rsidR="00B81BD1" w:rsidRPr="00B735D7" w:rsidRDefault="007E7827" w:rsidP="004D1B95">
      <w:pPr>
        <w:spacing w:before="60" w:after="0" w:line="240" w:lineRule="auto"/>
        <w:ind w:left="284" w:hanging="284"/>
        <w:jc w:val="left"/>
        <w:rPr>
          <w:rFonts w:ascii="Arial" w:hAnsi="Arial" w:cs="Arial"/>
          <w:sz w:val="16"/>
          <w:szCs w:val="16"/>
        </w:rPr>
      </w:pPr>
      <w:r w:rsidRPr="00B735D7">
        <w:rPr>
          <w:rFonts w:ascii="Arial" w:hAnsi="Arial" w:cs="Arial"/>
          <w:sz w:val="16"/>
          <w:szCs w:val="16"/>
        </w:rPr>
        <w:t>(a) Estimated expenses incurred in relation to receipts retained un</w:t>
      </w:r>
      <w:r w:rsidR="00B81BD1" w:rsidRPr="00B735D7">
        <w:rPr>
          <w:rFonts w:ascii="Arial" w:hAnsi="Arial" w:cs="Arial"/>
          <w:sz w:val="16"/>
          <w:szCs w:val="16"/>
        </w:rPr>
        <w:t>der section 74 of the PGPA Act.</w:t>
      </w:r>
    </w:p>
    <w:p w14:paraId="7533933C" w14:textId="2E39C535" w:rsidR="009D6155" w:rsidRDefault="007E7827" w:rsidP="004D1B95">
      <w:pPr>
        <w:spacing w:after="0" w:line="240" w:lineRule="auto"/>
        <w:ind w:left="284" w:hanging="284"/>
        <w:jc w:val="left"/>
        <w:rPr>
          <w:rFonts w:ascii="Arial" w:hAnsi="Arial" w:cs="Arial"/>
          <w:sz w:val="16"/>
          <w:szCs w:val="16"/>
        </w:rPr>
      </w:pPr>
      <w:r w:rsidRPr="00B735D7">
        <w:rPr>
          <w:rFonts w:ascii="Arial" w:hAnsi="Arial" w:cs="Arial"/>
          <w:sz w:val="16"/>
          <w:szCs w:val="16"/>
        </w:rPr>
        <w:t xml:space="preserve">(b) </w:t>
      </w:r>
      <w:r w:rsidR="008863D9">
        <w:rPr>
          <w:rFonts w:ascii="Arial" w:hAnsi="Arial" w:cs="Arial"/>
          <w:sz w:val="16"/>
          <w:szCs w:val="16"/>
        </w:rPr>
        <w:t>Department</w:t>
      </w:r>
      <w:r w:rsidRPr="00B735D7">
        <w:rPr>
          <w:rFonts w:ascii="Arial" w:hAnsi="Arial" w:cs="Arial"/>
          <w:sz w:val="16"/>
          <w:szCs w:val="16"/>
        </w:rPr>
        <w:t>al ‘Expenses not requiring appropriation in the Budget year’ is made up of depreciation and amortisation expenses and res</w:t>
      </w:r>
      <w:r w:rsidR="00B81BD1" w:rsidRPr="00B735D7">
        <w:rPr>
          <w:rFonts w:ascii="Arial" w:hAnsi="Arial" w:cs="Arial"/>
          <w:sz w:val="16"/>
          <w:szCs w:val="16"/>
        </w:rPr>
        <w:t>ources received free of charge.</w:t>
      </w:r>
    </w:p>
    <w:p w14:paraId="2C687EA0" w14:textId="4AA9F547" w:rsidR="007E7827" w:rsidRPr="00B735D7" w:rsidRDefault="007E7827" w:rsidP="004D1B95">
      <w:pPr>
        <w:spacing w:after="0" w:line="240" w:lineRule="auto"/>
        <w:ind w:left="284" w:hanging="284"/>
        <w:jc w:val="left"/>
        <w:rPr>
          <w:rFonts w:ascii="Arial" w:hAnsi="Arial" w:cs="Arial"/>
          <w:sz w:val="16"/>
          <w:szCs w:val="16"/>
        </w:rPr>
      </w:pPr>
      <w:r w:rsidRPr="00B735D7">
        <w:rPr>
          <w:rFonts w:ascii="Arial" w:hAnsi="Arial" w:cs="Arial"/>
          <w:sz w:val="16"/>
          <w:szCs w:val="16"/>
        </w:rPr>
        <w:t>(c) Administered ‘Expenses not requiring appropriation in the Budget year’ is made up of depreciation and amortisation expenses and expenses related to the write-down of assets.</w:t>
      </w:r>
    </w:p>
    <w:p w14:paraId="54CF1310" w14:textId="24AFB9B2" w:rsidR="001E0962" w:rsidRPr="00B735D7" w:rsidRDefault="001E0962" w:rsidP="007E7827">
      <w:pPr>
        <w:spacing w:after="0" w:line="240" w:lineRule="auto"/>
        <w:jc w:val="left"/>
        <w:rPr>
          <w:rFonts w:ascii="Arial" w:hAnsi="Arial" w:cs="Arial"/>
          <w:sz w:val="16"/>
          <w:szCs w:val="16"/>
        </w:rPr>
      </w:pPr>
    </w:p>
    <w:p w14:paraId="4B902A3A" w14:textId="24FD8156" w:rsidR="007E7827" w:rsidRPr="0043244B" w:rsidRDefault="007E7827" w:rsidP="00431813">
      <w:pPr>
        <w:pStyle w:val="PBSHeading-FiguresandTables"/>
        <w:rPr>
          <w:rFonts w:ascii="Arial" w:hAnsi="Arial" w:cs="Arial"/>
          <w:sz w:val="20"/>
          <w:szCs w:val="20"/>
        </w:rPr>
      </w:pPr>
      <w:r w:rsidRPr="0043244B">
        <w:rPr>
          <w:rFonts w:ascii="Arial" w:hAnsi="Arial" w:cs="Arial"/>
          <w:sz w:val="20"/>
          <w:szCs w:val="20"/>
        </w:rPr>
        <w:t>Performance criteria for Outcome 1</w:t>
      </w:r>
    </w:p>
    <w:p w14:paraId="74B0DD64" w14:textId="609C62BA" w:rsidR="009D6155" w:rsidRDefault="007E7827" w:rsidP="00CC0DB9">
      <w:pPr>
        <w:spacing w:after="120"/>
        <w:jc w:val="left"/>
      </w:pPr>
      <w:r>
        <w:t xml:space="preserve">There has been no change to the performance criteria for Outcome 1 resulting from the decisions made since 2021-22 Budget. The NCA’s detailed performance criteria can be found in the </w:t>
      </w:r>
      <w:r w:rsidR="00360023">
        <w:t>2021</w:t>
      </w:r>
      <w:r w:rsidR="00360023">
        <w:noBreakHyphen/>
        <w:t xml:space="preserve">22 </w:t>
      </w:r>
      <w:r>
        <w:t>Infrastructure, Transport, Regional Development and Communications PB Statements.</w:t>
      </w:r>
    </w:p>
    <w:p w14:paraId="6B14FF9B" w14:textId="77777777" w:rsidR="009D6155" w:rsidRDefault="009D6155">
      <w:pPr>
        <w:spacing w:after="0" w:line="240" w:lineRule="auto"/>
        <w:jc w:val="left"/>
      </w:pPr>
      <w:r>
        <w:br w:type="page"/>
      </w:r>
    </w:p>
    <w:p w14:paraId="0DD53736" w14:textId="2CF2D75E" w:rsidR="00914885" w:rsidRPr="00E41681" w:rsidRDefault="00914885" w:rsidP="00FB6A01">
      <w:pPr>
        <w:pStyle w:val="Heading2-TOCNCA"/>
      </w:pPr>
      <w:bookmarkStart w:id="450" w:name="_Toc92990189"/>
      <w:bookmarkStart w:id="451" w:name="_Toc92990480"/>
      <w:bookmarkStart w:id="452" w:name="_Toc93040848"/>
      <w:r w:rsidRPr="00E41681">
        <w:lastRenderedPageBreak/>
        <w:t>Section 3: Special account flows and budgeted financial statements</w:t>
      </w:r>
      <w:bookmarkEnd w:id="450"/>
      <w:bookmarkEnd w:id="451"/>
      <w:bookmarkEnd w:id="452"/>
    </w:p>
    <w:p w14:paraId="2DA826D7" w14:textId="2FC5FF6F" w:rsidR="00251C4D" w:rsidRPr="004D6211" w:rsidRDefault="00914885" w:rsidP="00FB6A01">
      <w:pPr>
        <w:pStyle w:val="Heading3NCA"/>
        <w:rPr>
          <w:rFonts w:ascii="Arial" w:hAnsi="Arial"/>
          <w:smallCaps/>
          <w:sz w:val="26"/>
        </w:rPr>
      </w:pPr>
      <w:bookmarkStart w:id="453" w:name="_Toc92990190"/>
      <w:bookmarkStart w:id="454" w:name="_Toc92990481"/>
      <w:bookmarkStart w:id="455" w:name="_Toc93040849"/>
      <w:r w:rsidRPr="004D3E2B">
        <w:t>3.1</w:t>
      </w:r>
      <w:r w:rsidRPr="004D3E2B">
        <w:tab/>
      </w:r>
      <w:r w:rsidR="00654F33">
        <w:t>Special Account Flows</w:t>
      </w:r>
      <w:bookmarkEnd w:id="453"/>
      <w:bookmarkEnd w:id="454"/>
      <w:bookmarkEnd w:id="455"/>
      <w:r w:rsidR="00654F33" w:rsidRPr="004D6211" w:rsidDel="00654F33">
        <w:rPr>
          <w:rFonts w:ascii="Arial" w:hAnsi="Arial"/>
          <w:smallCaps/>
          <w:sz w:val="26"/>
        </w:rPr>
        <w:t xml:space="preserve"> </w:t>
      </w:r>
    </w:p>
    <w:p w14:paraId="26E6E005" w14:textId="77777777" w:rsidR="00251C4D" w:rsidRPr="00532C5E" w:rsidRDefault="00251C4D" w:rsidP="00251C4D">
      <w:pPr>
        <w:pStyle w:val="PBSHeading-FiguresandTables"/>
        <w:spacing w:before="120"/>
        <w:rPr>
          <w:rFonts w:ascii="Arial" w:hAnsi="Arial" w:cs="Arial"/>
          <w:caps/>
        </w:rPr>
      </w:pPr>
      <w:r w:rsidRPr="00532C5E">
        <w:rPr>
          <w:rFonts w:ascii="Arial" w:hAnsi="Arial" w:cs="Arial"/>
        </w:rPr>
        <w:t>Estimates of special account flows and balances</w:t>
      </w:r>
    </w:p>
    <w:p w14:paraId="022CF876" w14:textId="77777777" w:rsidR="00251C4D" w:rsidRPr="00532C5E" w:rsidRDefault="00251C4D" w:rsidP="0002571F">
      <w:pPr>
        <w:spacing w:line="276" w:lineRule="auto"/>
        <w:jc w:val="left"/>
        <w:rPr>
          <w:rFonts w:cs="Arial"/>
        </w:rPr>
      </w:pPr>
      <w:r w:rsidRPr="00532C5E">
        <w:rPr>
          <w:rFonts w:cs="Arial"/>
        </w:rPr>
        <w:t>The NCA does not maintain Special Accounts.</w:t>
      </w:r>
    </w:p>
    <w:p w14:paraId="12F8EF79" w14:textId="7A47EEDF" w:rsidR="00914885" w:rsidRDefault="00914885" w:rsidP="00FB6A01">
      <w:pPr>
        <w:pStyle w:val="Heading3NCA"/>
      </w:pPr>
      <w:bookmarkStart w:id="456" w:name="_Toc92990191"/>
      <w:bookmarkStart w:id="457" w:name="_Toc92990482"/>
      <w:bookmarkStart w:id="458" w:name="_Toc93040850"/>
      <w:r w:rsidRPr="005554F9">
        <w:t>3.2</w:t>
      </w:r>
      <w:r>
        <w:tab/>
        <w:t>Budgeted financial statements</w:t>
      </w:r>
      <w:bookmarkEnd w:id="456"/>
      <w:bookmarkEnd w:id="457"/>
      <w:bookmarkEnd w:id="458"/>
    </w:p>
    <w:p w14:paraId="7307BDEF" w14:textId="77777777" w:rsidR="00914885" w:rsidRPr="004928FF" w:rsidRDefault="00914885" w:rsidP="00914885">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28025058" w14:textId="48201C83" w:rsidR="00251C4D" w:rsidRPr="003E7880" w:rsidRDefault="00251C4D" w:rsidP="00132649">
      <w:pPr>
        <w:spacing w:before="120" w:after="120"/>
        <w:jc w:val="left"/>
      </w:pPr>
      <w:r w:rsidRPr="003E7880">
        <w:t xml:space="preserve">An analysis of the NCA’s financial position, as reflected in the budgeted </w:t>
      </w:r>
      <w:r w:rsidR="003402D0">
        <w:t>d</w:t>
      </w:r>
      <w:r w:rsidR="008863D9">
        <w:t>epartment</w:t>
      </w:r>
      <w:r w:rsidRPr="003E7880">
        <w:t>al financial statements and administered schedules for 202</w:t>
      </w:r>
      <w:r>
        <w:t>1</w:t>
      </w:r>
      <w:r w:rsidRPr="003E7880">
        <w:t>–2</w:t>
      </w:r>
      <w:r>
        <w:t>2</w:t>
      </w:r>
      <w:r w:rsidRPr="003E7880">
        <w:t>, is provided below.</w:t>
      </w:r>
    </w:p>
    <w:p w14:paraId="7BD11AC7" w14:textId="2D90F825" w:rsidR="00251C4D" w:rsidRPr="00532C5E" w:rsidRDefault="008863D9" w:rsidP="00251C4D">
      <w:pPr>
        <w:spacing w:after="120"/>
        <w:rPr>
          <w:rFonts w:ascii="Arial" w:hAnsi="Arial" w:cs="Arial"/>
          <w:b/>
        </w:rPr>
      </w:pPr>
      <w:r>
        <w:rPr>
          <w:rFonts w:ascii="Arial" w:hAnsi="Arial" w:cs="Arial"/>
          <w:b/>
        </w:rPr>
        <w:t>Department</w:t>
      </w:r>
      <w:r w:rsidR="00251C4D" w:rsidRPr="00532C5E">
        <w:rPr>
          <w:rFonts w:ascii="Arial" w:hAnsi="Arial" w:cs="Arial"/>
          <w:b/>
        </w:rPr>
        <w:t xml:space="preserve">al comprehensive income statement </w:t>
      </w:r>
    </w:p>
    <w:p w14:paraId="1FFD4A31" w14:textId="62D943D2" w:rsidR="00251C4D" w:rsidRPr="00D275A6" w:rsidRDefault="00251C4D" w:rsidP="00132649">
      <w:pPr>
        <w:spacing w:after="120"/>
        <w:jc w:val="left"/>
        <w:rPr>
          <w:iCs/>
        </w:rPr>
      </w:pPr>
      <w:r w:rsidRPr="00D275A6">
        <w:rPr>
          <w:iCs/>
        </w:rPr>
        <w:t>The NCA reported an operating loss of $</w:t>
      </w:r>
      <w:r w:rsidR="00CB174F">
        <w:rPr>
          <w:iCs/>
        </w:rPr>
        <w:t>1.0</w:t>
      </w:r>
      <w:r w:rsidRPr="00D275A6">
        <w:rPr>
          <w:iCs/>
        </w:rPr>
        <w:t xml:space="preserve"> million in 20</w:t>
      </w:r>
      <w:r>
        <w:rPr>
          <w:iCs/>
        </w:rPr>
        <w:t>20</w:t>
      </w:r>
      <w:r w:rsidRPr="00D275A6">
        <w:rPr>
          <w:iCs/>
        </w:rPr>
        <w:t>-2</w:t>
      </w:r>
      <w:r>
        <w:rPr>
          <w:iCs/>
        </w:rPr>
        <w:t>1</w:t>
      </w:r>
      <w:r w:rsidRPr="00D275A6">
        <w:rPr>
          <w:iCs/>
        </w:rPr>
        <w:t>, adjusted for depreciation and amortisation expenses. The loss reflects the impacts of the COVID-19 pandemic, which affected the NCA’s own source revenue from March 2020.</w:t>
      </w:r>
    </w:p>
    <w:p w14:paraId="5314040E" w14:textId="5B45B348" w:rsidR="00251C4D" w:rsidRPr="00D275A6" w:rsidRDefault="00251C4D" w:rsidP="00132649">
      <w:pPr>
        <w:spacing w:after="120"/>
        <w:jc w:val="left"/>
        <w:rPr>
          <w:iCs/>
        </w:rPr>
      </w:pPr>
      <w:r>
        <w:rPr>
          <w:iCs/>
        </w:rPr>
        <w:t>T</w:t>
      </w:r>
      <w:r w:rsidRPr="00D275A6">
        <w:rPr>
          <w:iCs/>
        </w:rPr>
        <w:t>he NCA is budgeting for break-even operating results</w:t>
      </w:r>
      <w:r>
        <w:rPr>
          <w:iCs/>
        </w:rPr>
        <w:t xml:space="preserve"> in 2021-22 and the forward years</w:t>
      </w:r>
      <w:r w:rsidRPr="00D275A6">
        <w:rPr>
          <w:iCs/>
        </w:rPr>
        <w:t>.</w:t>
      </w:r>
      <w:r>
        <w:rPr>
          <w:iCs/>
        </w:rPr>
        <w:t xml:space="preserve"> Total r</w:t>
      </w:r>
      <w:r w:rsidRPr="00D275A6">
        <w:rPr>
          <w:iCs/>
        </w:rPr>
        <w:t>evenue from Government over the budget and forward years has been adjusted to take account of indexa</w:t>
      </w:r>
      <w:r w:rsidR="000672C0">
        <w:rPr>
          <w:iCs/>
        </w:rPr>
        <w:t xml:space="preserve">tion and efficiency dividends. </w:t>
      </w:r>
      <w:r w:rsidRPr="00D275A6">
        <w:rPr>
          <w:iCs/>
        </w:rPr>
        <w:t>Revenue from other sources principally reflects the recovery of costs for the provision of services, revenue from events and rental income.</w:t>
      </w:r>
    </w:p>
    <w:p w14:paraId="41EC6726" w14:textId="7F843DC9" w:rsidR="00251C4D" w:rsidRPr="00532C5E" w:rsidRDefault="00251C4D" w:rsidP="00251C4D">
      <w:pPr>
        <w:spacing w:after="120"/>
        <w:rPr>
          <w:rFonts w:ascii="Arial" w:hAnsi="Arial" w:cs="Arial"/>
          <w:b/>
        </w:rPr>
      </w:pPr>
      <w:r w:rsidRPr="00532C5E">
        <w:rPr>
          <w:rFonts w:ascii="Arial" w:hAnsi="Arial" w:cs="Arial"/>
          <w:b/>
        </w:rPr>
        <w:t xml:space="preserve">Budgeted </w:t>
      </w:r>
      <w:r w:rsidR="008863D9">
        <w:rPr>
          <w:rFonts w:ascii="Arial" w:hAnsi="Arial" w:cs="Arial"/>
          <w:b/>
        </w:rPr>
        <w:t>Department</w:t>
      </w:r>
      <w:r w:rsidRPr="00532C5E">
        <w:rPr>
          <w:rFonts w:ascii="Arial" w:hAnsi="Arial" w:cs="Arial"/>
          <w:b/>
        </w:rPr>
        <w:t>al balance sheet</w:t>
      </w:r>
    </w:p>
    <w:p w14:paraId="253E0362" w14:textId="25325C9B" w:rsidR="00251C4D" w:rsidRDefault="00251C4D" w:rsidP="00132649">
      <w:pPr>
        <w:jc w:val="left"/>
        <w:rPr>
          <w:iCs/>
        </w:rPr>
      </w:pPr>
      <w:bookmarkStart w:id="459" w:name="_Toc290627466"/>
      <w:bookmarkStart w:id="460" w:name="_Toc320714208"/>
      <w:bookmarkStart w:id="461" w:name="_Toc320714236"/>
      <w:r w:rsidRPr="005150D6">
        <w:rPr>
          <w:iCs/>
        </w:rPr>
        <w:t xml:space="preserve">From 2020-21 levels of </w:t>
      </w:r>
      <w:r w:rsidR="003402D0">
        <w:rPr>
          <w:iCs/>
        </w:rPr>
        <w:t>d</w:t>
      </w:r>
      <w:r w:rsidR="008863D9">
        <w:rPr>
          <w:iCs/>
        </w:rPr>
        <w:t>epartment</w:t>
      </w:r>
      <w:r w:rsidRPr="005150D6">
        <w:rPr>
          <w:iCs/>
        </w:rPr>
        <w:t xml:space="preserve">al capital </w:t>
      </w:r>
      <w:r w:rsidR="003402D0">
        <w:rPr>
          <w:iCs/>
        </w:rPr>
        <w:t>f</w:t>
      </w:r>
      <w:r w:rsidR="002367A2">
        <w:rPr>
          <w:iCs/>
        </w:rPr>
        <w:t>unding return to the lower pre</w:t>
      </w:r>
      <w:r w:rsidR="002367A2">
        <w:rPr>
          <w:iCs/>
        </w:rPr>
        <w:noBreakHyphen/>
      </w:r>
      <w:r w:rsidR="003402D0">
        <w:rPr>
          <w:iCs/>
        </w:rPr>
        <w:t>m</w:t>
      </w:r>
      <w:r w:rsidRPr="005150D6">
        <w:rPr>
          <w:iCs/>
        </w:rPr>
        <w:t>odernisation funding amounts.</w:t>
      </w:r>
      <w:r w:rsidR="003402D0">
        <w:rPr>
          <w:iCs/>
        </w:rPr>
        <w:t xml:space="preserve"> However, in 2021-22 there is a one-off transfer of $3.5 mil</w:t>
      </w:r>
      <w:r w:rsidR="001A594B">
        <w:rPr>
          <w:iCs/>
        </w:rPr>
        <w:t xml:space="preserve">lion from administered capital </w:t>
      </w:r>
      <w:r w:rsidR="003402D0">
        <w:rPr>
          <w:iCs/>
        </w:rPr>
        <w:t>to departmental capital.</w:t>
      </w:r>
    </w:p>
    <w:p w14:paraId="4B7056D6" w14:textId="77777777" w:rsidR="00251C4D" w:rsidRPr="00532C5E" w:rsidRDefault="00251C4D" w:rsidP="002367A2">
      <w:pPr>
        <w:spacing w:after="120"/>
        <w:jc w:val="left"/>
        <w:rPr>
          <w:rFonts w:ascii="Arial" w:hAnsi="Arial" w:cs="Arial"/>
          <w:b/>
        </w:rPr>
      </w:pPr>
      <w:r w:rsidRPr="00532C5E">
        <w:rPr>
          <w:rFonts w:ascii="Arial" w:hAnsi="Arial" w:cs="Arial"/>
          <w:b/>
        </w:rPr>
        <w:t>Schedule of budgeted income and expenses administered on behalf of Government</w:t>
      </w:r>
    </w:p>
    <w:p w14:paraId="2FC0374B" w14:textId="77777777" w:rsidR="00251C4D" w:rsidRPr="004A0BDD" w:rsidRDefault="00251C4D" w:rsidP="00132649">
      <w:pPr>
        <w:spacing w:after="120"/>
        <w:jc w:val="left"/>
        <w:rPr>
          <w:iCs/>
        </w:rPr>
      </w:pPr>
      <w:bookmarkStart w:id="462" w:name="_Toc290627467"/>
      <w:bookmarkStart w:id="463" w:name="_Toc320714209"/>
      <w:bookmarkStart w:id="464" w:name="_Toc320714237"/>
      <w:bookmarkEnd w:id="459"/>
      <w:bookmarkEnd w:id="460"/>
      <w:bookmarkEnd w:id="461"/>
      <w:r w:rsidRPr="004A0BDD">
        <w:rPr>
          <w:iCs/>
        </w:rPr>
        <w:t>Revenue from administered activities primarily includes pay parking revenue, lease revenue on diplomatic land and user charges, which are returned in full to the Budget.</w:t>
      </w:r>
    </w:p>
    <w:p w14:paraId="7C161321" w14:textId="77777777" w:rsidR="00251C4D" w:rsidRPr="004A0BDD" w:rsidRDefault="00251C4D" w:rsidP="00132649">
      <w:pPr>
        <w:spacing w:after="120"/>
        <w:jc w:val="left"/>
        <w:rPr>
          <w:iCs/>
        </w:rPr>
      </w:pPr>
      <w:r w:rsidRPr="004A0BDD">
        <w:rPr>
          <w:iCs/>
        </w:rPr>
        <w:t xml:space="preserve">In 2021-22, the NCA will receive appropriation of $16.4 million for supplier expenses including operating expenses associated with the administration of the pay parking program, maintenance of the National Estate and the insurance premium for risks associated with assets on National Land. </w:t>
      </w:r>
    </w:p>
    <w:p w14:paraId="75E8E5DA" w14:textId="77777777" w:rsidR="00251C4D" w:rsidRPr="00532C5E" w:rsidRDefault="00251C4D" w:rsidP="00251C4D">
      <w:pPr>
        <w:spacing w:after="120"/>
        <w:rPr>
          <w:rFonts w:ascii="Arial" w:hAnsi="Arial" w:cs="Arial"/>
          <w:b/>
        </w:rPr>
      </w:pPr>
      <w:r w:rsidRPr="00532C5E">
        <w:rPr>
          <w:rFonts w:ascii="Arial" w:hAnsi="Arial" w:cs="Arial"/>
          <w:b/>
        </w:rPr>
        <w:t>Schedule of budgeted assets and liabilities administered on behalf of Government</w:t>
      </w:r>
    </w:p>
    <w:bookmarkEnd w:id="462"/>
    <w:bookmarkEnd w:id="463"/>
    <w:bookmarkEnd w:id="464"/>
    <w:p w14:paraId="02C6C89F" w14:textId="2080096B" w:rsidR="00064764" w:rsidRDefault="001A594B" w:rsidP="00132649">
      <w:pPr>
        <w:spacing w:after="200" w:line="276" w:lineRule="auto"/>
        <w:jc w:val="left"/>
        <w:rPr>
          <w:iCs/>
        </w:rPr>
      </w:pPr>
      <w:r>
        <w:rPr>
          <w:iCs/>
        </w:rPr>
        <w:t xml:space="preserve">In 2021-22, the NCA </w:t>
      </w:r>
      <w:r w:rsidR="00251C4D" w:rsidRPr="004A0BDD">
        <w:rPr>
          <w:iCs/>
        </w:rPr>
        <w:t>receive</w:t>
      </w:r>
      <w:r>
        <w:rPr>
          <w:iCs/>
        </w:rPr>
        <w:t>d</w:t>
      </w:r>
      <w:r w:rsidR="00251C4D" w:rsidRPr="004A0BDD">
        <w:rPr>
          <w:iCs/>
        </w:rPr>
        <w:t xml:space="preserve"> appropriation of $1</w:t>
      </w:r>
      <w:r w:rsidR="003402D0">
        <w:rPr>
          <w:iCs/>
        </w:rPr>
        <w:t>7.1</w:t>
      </w:r>
      <w:r w:rsidR="00251C4D" w:rsidRPr="004A0BDD">
        <w:rPr>
          <w:iCs/>
        </w:rPr>
        <w:t xml:space="preserve"> million for activities it administers on behalf of the Government. </w:t>
      </w:r>
      <w:r w:rsidR="003402D0">
        <w:rPr>
          <w:iCs/>
        </w:rPr>
        <w:t xml:space="preserve">However, $3.5 million of this is being transferred to departmental capital (a one-off transfer). The reduced appropriation of $13.6 million is </w:t>
      </w:r>
      <w:r w:rsidR="003402D0">
        <w:rPr>
          <w:iCs/>
        </w:rPr>
        <w:lastRenderedPageBreak/>
        <w:t xml:space="preserve">directly linked </w:t>
      </w:r>
      <w:r w:rsidR="00251C4D" w:rsidRPr="004A0BDD">
        <w:rPr>
          <w:iCs/>
        </w:rPr>
        <w:t>to the administered capital budget and will be used to replace and upgrade existing administered assets.</w:t>
      </w:r>
    </w:p>
    <w:p w14:paraId="44F375B9" w14:textId="77777777" w:rsidR="00914885" w:rsidRPr="004928FF" w:rsidRDefault="00914885" w:rsidP="00914885">
      <w:pPr>
        <w:pStyle w:val="Heading4"/>
      </w:pPr>
      <w:r w:rsidRPr="00EC73D1">
        <w:t>3.2.2</w:t>
      </w:r>
      <w:r>
        <w:tab/>
      </w:r>
      <w:r w:rsidRPr="004928FF">
        <w:t xml:space="preserve">Budgeted </w:t>
      </w:r>
      <w:r>
        <w:t>f</w:t>
      </w:r>
      <w:r w:rsidRPr="004928FF">
        <w:t xml:space="preserve">inancial </w:t>
      </w:r>
      <w:r>
        <w:t>s</w:t>
      </w:r>
      <w:r w:rsidRPr="004928FF">
        <w:t>tatements</w:t>
      </w:r>
    </w:p>
    <w:p w14:paraId="4AF807D5" w14:textId="77777777" w:rsidR="00914885" w:rsidRDefault="00914885" w:rsidP="00914885">
      <w:pPr>
        <w:pStyle w:val="TableHeading"/>
        <w:spacing w:before="0"/>
        <w:rPr>
          <w:snapToGrid w:val="0"/>
          <w:lang w:val="en-AU"/>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Pr>
          <w:snapToGrid w:val="0"/>
          <w:lang w:val="en-AU"/>
        </w:rPr>
        <w:t xml:space="preserve"> for the period ended 30 June</w:t>
      </w:r>
    </w:p>
    <w:tbl>
      <w:tblPr>
        <w:tblW w:w="0" w:type="auto"/>
        <w:tblLayout w:type="fixed"/>
        <w:tblLook w:val="04A0" w:firstRow="1" w:lastRow="0" w:firstColumn="1" w:lastColumn="0" w:noHBand="0" w:noVBand="1"/>
      </w:tblPr>
      <w:tblGrid>
        <w:gridCol w:w="3119"/>
        <w:gridCol w:w="812"/>
        <w:gridCol w:w="1059"/>
        <w:gridCol w:w="919"/>
        <w:gridCol w:w="919"/>
        <w:gridCol w:w="821"/>
      </w:tblGrid>
      <w:tr w:rsidR="002367A2" w:rsidRPr="00513EDD" w14:paraId="5063A147" w14:textId="77777777" w:rsidTr="002367A2">
        <w:trPr>
          <w:trHeight w:val="240"/>
        </w:trPr>
        <w:tc>
          <w:tcPr>
            <w:tcW w:w="3119" w:type="dxa"/>
            <w:tcBorders>
              <w:top w:val="single" w:sz="4" w:space="0" w:color="auto"/>
              <w:left w:val="nil"/>
              <w:bottom w:val="nil"/>
              <w:right w:val="nil"/>
            </w:tcBorders>
            <w:shd w:val="clear" w:color="auto" w:fill="auto"/>
            <w:noWrap/>
            <w:hideMark/>
          </w:tcPr>
          <w:p w14:paraId="6FCC8754" w14:textId="112198A8" w:rsidR="002367A2" w:rsidRPr="00513EDD" w:rsidRDefault="002367A2" w:rsidP="002367A2">
            <w:pPr>
              <w:spacing w:after="0" w:line="240" w:lineRule="auto"/>
              <w:jc w:val="left"/>
              <w:rPr>
                <w:rFonts w:ascii="Arial" w:hAnsi="Arial" w:cs="Arial"/>
                <w:color w:val="000000"/>
                <w:sz w:val="16"/>
                <w:szCs w:val="16"/>
              </w:rPr>
            </w:pPr>
            <w:bookmarkStart w:id="465" w:name="RANGE!A3:F63"/>
            <w:r w:rsidRPr="00513EDD">
              <w:rPr>
                <w:rFonts w:ascii="Arial" w:hAnsi="Arial" w:cs="Arial"/>
                <w:color w:val="000000"/>
                <w:sz w:val="16"/>
                <w:szCs w:val="16"/>
              </w:rPr>
              <w:t> </w:t>
            </w:r>
            <w:bookmarkEnd w:id="465"/>
          </w:p>
        </w:tc>
        <w:tc>
          <w:tcPr>
            <w:tcW w:w="812" w:type="dxa"/>
            <w:tcBorders>
              <w:top w:val="single" w:sz="4" w:space="0" w:color="auto"/>
              <w:left w:val="nil"/>
              <w:bottom w:val="single" w:sz="4" w:space="0" w:color="auto"/>
              <w:right w:val="nil"/>
            </w:tcBorders>
            <w:shd w:val="clear" w:color="auto" w:fill="auto"/>
            <w:hideMark/>
          </w:tcPr>
          <w:p w14:paraId="14709728" w14:textId="5D0CB935" w:rsidR="002367A2" w:rsidRPr="00513EDD"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2020-21 Actual</w:t>
            </w:r>
            <w:r w:rsidRPr="004349E0">
              <w:rPr>
                <w:rFonts w:ascii="Arial" w:hAnsi="Arial" w:cs="Arial"/>
                <w:sz w:val="16"/>
                <w:szCs w:val="16"/>
              </w:rPr>
              <w:br/>
            </w:r>
            <w:r w:rsidRPr="004349E0">
              <w:rPr>
                <w:rFonts w:ascii="Arial" w:hAnsi="Arial" w:cs="Arial"/>
                <w:sz w:val="16"/>
                <w:szCs w:val="16"/>
              </w:rPr>
              <w:br/>
              <w:t>$'000</w:t>
            </w:r>
          </w:p>
        </w:tc>
        <w:tc>
          <w:tcPr>
            <w:tcW w:w="1059" w:type="dxa"/>
            <w:tcBorders>
              <w:top w:val="single" w:sz="4" w:space="0" w:color="auto"/>
              <w:left w:val="nil"/>
              <w:bottom w:val="single" w:sz="4" w:space="0" w:color="auto"/>
              <w:right w:val="nil"/>
            </w:tcBorders>
            <w:shd w:val="clear" w:color="000000" w:fill="E6E6E6"/>
            <w:hideMark/>
          </w:tcPr>
          <w:p w14:paraId="3E6393E7" w14:textId="0249CAC8" w:rsidR="002367A2" w:rsidRPr="00513EDD"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2021-22</w:t>
            </w:r>
            <w:r w:rsidRPr="004349E0">
              <w:rPr>
                <w:rFonts w:ascii="Arial" w:hAnsi="Arial" w:cs="Arial"/>
                <w:sz w:val="16"/>
                <w:szCs w:val="16"/>
              </w:rPr>
              <w:br/>
              <w:t>Revised Budget</w:t>
            </w:r>
            <w:r w:rsidRPr="004349E0">
              <w:rPr>
                <w:rFonts w:ascii="Arial" w:hAnsi="Arial" w:cs="Arial"/>
                <w:sz w:val="16"/>
                <w:szCs w:val="16"/>
              </w:rPr>
              <w:br/>
              <w:t>$'000</w:t>
            </w:r>
          </w:p>
        </w:tc>
        <w:tc>
          <w:tcPr>
            <w:tcW w:w="919" w:type="dxa"/>
            <w:tcBorders>
              <w:top w:val="single" w:sz="4" w:space="0" w:color="auto"/>
              <w:left w:val="nil"/>
              <w:bottom w:val="single" w:sz="4" w:space="0" w:color="auto"/>
              <w:right w:val="nil"/>
            </w:tcBorders>
            <w:shd w:val="clear" w:color="auto" w:fill="auto"/>
            <w:hideMark/>
          </w:tcPr>
          <w:p w14:paraId="0D2DCB81" w14:textId="4CF50B76" w:rsidR="002367A2" w:rsidRPr="00513EDD"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2022-23 Forward estimate</w:t>
            </w:r>
            <w:r w:rsidRPr="004349E0">
              <w:rPr>
                <w:rFonts w:ascii="Arial" w:hAnsi="Arial" w:cs="Arial"/>
                <w:sz w:val="16"/>
                <w:szCs w:val="16"/>
              </w:rPr>
              <w:br/>
              <w:t>$'000</w:t>
            </w:r>
          </w:p>
        </w:tc>
        <w:tc>
          <w:tcPr>
            <w:tcW w:w="919" w:type="dxa"/>
            <w:tcBorders>
              <w:top w:val="single" w:sz="4" w:space="0" w:color="auto"/>
              <w:left w:val="nil"/>
              <w:bottom w:val="single" w:sz="4" w:space="0" w:color="auto"/>
              <w:right w:val="nil"/>
            </w:tcBorders>
            <w:shd w:val="clear" w:color="auto" w:fill="auto"/>
            <w:hideMark/>
          </w:tcPr>
          <w:p w14:paraId="30E4CB63" w14:textId="0ADF5ACE" w:rsidR="002367A2" w:rsidRPr="00513EDD"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2023-24 Forward estimate</w:t>
            </w:r>
            <w:r w:rsidRPr="004349E0">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545B5F4B" w14:textId="06C47E9A" w:rsidR="002367A2" w:rsidRPr="00513EDD"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2024-25</w:t>
            </w:r>
            <w:r w:rsidRPr="004349E0">
              <w:rPr>
                <w:rFonts w:ascii="Arial" w:hAnsi="Arial" w:cs="Arial"/>
                <w:sz w:val="16"/>
                <w:szCs w:val="16"/>
              </w:rPr>
              <w:br/>
              <w:t>Forward estimate</w:t>
            </w:r>
            <w:r w:rsidRPr="004349E0">
              <w:rPr>
                <w:rFonts w:ascii="Arial" w:hAnsi="Arial" w:cs="Arial"/>
                <w:sz w:val="16"/>
                <w:szCs w:val="16"/>
              </w:rPr>
              <w:br/>
              <w:t>$'000</w:t>
            </w:r>
          </w:p>
        </w:tc>
      </w:tr>
      <w:tr w:rsidR="00513EDD" w:rsidRPr="00513EDD" w14:paraId="30D80669" w14:textId="77777777" w:rsidTr="00177B65">
        <w:trPr>
          <w:trHeight w:val="204"/>
        </w:trPr>
        <w:tc>
          <w:tcPr>
            <w:tcW w:w="3119" w:type="dxa"/>
            <w:tcBorders>
              <w:top w:val="nil"/>
              <w:left w:val="nil"/>
              <w:bottom w:val="nil"/>
              <w:right w:val="nil"/>
            </w:tcBorders>
            <w:shd w:val="clear" w:color="auto" w:fill="auto"/>
            <w:vAlign w:val="bottom"/>
            <w:hideMark/>
          </w:tcPr>
          <w:p w14:paraId="10C7792D" w14:textId="77777777" w:rsidR="00513EDD" w:rsidRPr="00177B65" w:rsidRDefault="00513EDD" w:rsidP="00513EDD">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EXPENSES</w:t>
            </w:r>
          </w:p>
        </w:tc>
        <w:tc>
          <w:tcPr>
            <w:tcW w:w="812" w:type="dxa"/>
            <w:tcBorders>
              <w:top w:val="single" w:sz="4" w:space="0" w:color="auto"/>
              <w:left w:val="nil"/>
              <w:bottom w:val="nil"/>
              <w:right w:val="nil"/>
            </w:tcBorders>
            <w:shd w:val="clear" w:color="auto" w:fill="auto"/>
            <w:noWrap/>
            <w:vAlign w:val="bottom"/>
            <w:hideMark/>
          </w:tcPr>
          <w:p w14:paraId="4F805AC2" w14:textId="77777777" w:rsidR="00513EDD" w:rsidRPr="00177B65" w:rsidRDefault="00513EDD" w:rsidP="00513EDD">
            <w:pPr>
              <w:spacing w:after="0" w:line="240" w:lineRule="auto"/>
              <w:jc w:val="left"/>
              <w:rPr>
                <w:rFonts w:ascii="Arial" w:hAnsi="Arial" w:cs="Arial"/>
                <w:b/>
                <w:bCs/>
                <w:color w:val="000000"/>
                <w:sz w:val="16"/>
                <w:szCs w:val="16"/>
              </w:rPr>
            </w:pPr>
          </w:p>
        </w:tc>
        <w:tc>
          <w:tcPr>
            <w:tcW w:w="1059" w:type="dxa"/>
            <w:tcBorders>
              <w:top w:val="single" w:sz="4" w:space="0" w:color="auto"/>
              <w:left w:val="nil"/>
              <w:bottom w:val="nil"/>
              <w:right w:val="nil"/>
            </w:tcBorders>
            <w:shd w:val="clear" w:color="000000" w:fill="E6E6E6"/>
            <w:noWrap/>
            <w:vAlign w:val="bottom"/>
            <w:hideMark/>
          </w:tcPr>
          <w:p w14:paraId="0A26B326" w14:textId="2E005948" w:rsidR="00513EDD" w:rsidRPr="00177B65" w:rsidRDefault="00513EDD" w:rsidP="00513EDD">
            <w:pPr>
              <w:spacing w:after="0" w:line="240" w:lineRule="auto"/>
              <w:jc w:val="right"/>
              <w:rPr>
                <w:rFonts w:ascii="Arial" w:hAnsi="Arial" w:cs="Arial"/>
                <w:color w:val="000000"/>
                <w:sz w:val="16"/>
                <w:szCs w:val="16"/>
              </w:rPr>
            </w:pPr>
          </w:p>
        </w:tc>
        <w:tc>
          <w:tcPr>
            <w:tcW w:w="919" w:type="dxa"/>
            <w:tcBorders>
              <w:top w:val="single" w:sz="4" w:space="0" w:color="auto"/>
              <w:left w:val="nil"/>
              <w:bottom w:val="nil"/>
              <w:right w:val="nil"/>
            </w:tcBorders>
            <w:shd w:val="clear" w:color="auto" w:fill="auto"/>
            <w:noWrap/>
            <w:vAlign w:val="bottom"/>
            <w:hideMark/>
          </w:tcPr>
          <w:p w14:paraId="09B37726" w14:textId="77777777" w:rsidR="00513EDD" w:rsidRPr="00177B65" w:rsidRDefault="00513EDD" w:rsidP="00513EDD">
            <w:pPr>
              <w:spacing w:after="0" w:line="240" w:lineRule="auto"/>
              <w:jc w:val="right"/>
              <w:rPr>
                <w:rFonts w:ascii="Arial" w:hAnsi="Arial" w:cs="Arial"/>
                <w:color w:val="000000"/>
                <w:sz w:val="16"/>
                <w:szCs w:val="16"/>
              </w:rPr>
            </w:pPr>
          </w:p>
        </w:tc>
        <w:tc>
          <w:tcPr>
            <w:tcW w:w="919" w:type="dxa"/>
            <w:tcBorders>
              <w:top w:val="single" w:sz="4" w:space="0" w:color="auto"/>
              <w:left w:val="nil"/>
              <w:bottom w:val="nil"/>
              <w:right w:val="nil"/>
            </w:tcBorders>
            <w:shd w:val="clear" w:color="auto" w:fill="auto"/>
            <w:noWrap/>
            <w:vAlign w:val="bottom"/>
            <w:hideMark/>
          </w:tcPr>
          <w:p w14:paraId="44EEA513" w14:textId="77777777" w:rsidR="00513EDD" w:rsidRPr="00177B65" w:rsidRDefault="00513EDD" w:rsidP="00513EDD">
            <w:pPr>
              <w:spacing w:after="0" w:line="240" w:lineRule="auto"/>
              <w:jc w:val="right"/>
              <w:rPr>
                <w:rFonts w:ascii="Times New Roman" w:hAnsi="Times New Roman"/>
                <w:sz w:val="16"/>
                <w:szCs w:val="16"/>
              </w:rPr>
            </w:pPr>
          </w:p>
        </w:tc>
        <w:tc>
          <w:tcPr>
            <w:tcW w:w="821" w:type="dxa"/>
            <w:tcBorders>
              <w:top w:val="single" w:sz="4" w:space="0" w:color="auto"/>
              <w:left w:val="nil"/>
              <w:bottom w:val="nil"/>
              <w:right w:val="nil"/>
            </w:tcBorders>
            <w:shd w:val="clear" w:color="auto" w:fill="auto"/>
            <w:noWrap/>
            <w:vAlign w:val="bottom"/>
            <w:hideMark/>
          </w:tcPr>
          <w:p w14:paraId="123FB38E" w14:textId="77777777" w:rsidR="00513EDD" w:rsidRPr="00177B65" w:rsidRDefault="00513EDD" w:rsidP="00513EDD">
            <w:pPr>
              <w:spacing w:after="0" w:line="240" w:lineRule="auto"/>
              <w:jc w:val="right"/>
              <w:rPr>
                <w:rFonts w:ascii="Times New Roman" w:hAnsi="Times New Roman"/>
                <w:sz w:val="16"/>
                <w:szCs w:val="16"/>
              </w:rPr>
            </w:pPr>
          </w:p>
        </w:tc>
      </w:tr>
      <w:tr w:rsidR="00513EDD" w:rsidRPr="00513EDD" w14:paraId="247116AA" w14:textId="77777777" w:rsidTr="00177B65">
        <w:trPr>
          <w:trHeight w:val="204"/>
        </w:trPr>
        <w:tc>
          <w:tcPr>
            <w:tcW w:w="3119" w:type="dxa"/>
            <w:tcBorders>
              <w:top w:val="nil"/>
              <w:left w:val="nil"/>
              <w:bottom w:val="nil"/>
              <w:right w:val="nil"/>
            </w:tcBorders>
            <w:shd w:val="clear" w:color="auto" w:fill="auto"/>
            <w:noWrap/>
            <w:vAlign w:val="bottom"/>
            <w:hideMark/>
          </w:tcPr>
          <w:p w14:paraId="6A7AA9FB" w14:textId="77777777" w:rsidR="00513EDD" w:rsidRPr="00177B65" w:rsidRDefault="00513EDD" w:rsidP="00132649">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Employee benefits</w:t>
            </w:r>
          </w:p>
        </w:tc>
        <w:tc>
          <w:tcPr>
            <w:tcW w:w="812" w:type="dxa"/>
            <w:tcBorders>
              <w:top w:val="nil"/>
              <w:left w:val="nil"/>
              <w:bottom w:val="nil"/>
              <w:right w:val="nil"/>
            </w:tcBorders>
            <w:shd w:val="clear" w:color="auto" w:fill="auto"/>
            <w:noWrap/>
            <w:vAlign w:val="bottom"/>
            <w:hideMark/>
          </w:tcPr>
          <w:p w14:paraId="7ED7F917" w14:textId="5E6DF28D"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6,395</w:t>
            </w:r>
          </w:p>
        </w:tc>
        <w:tc>
          <w:tcPr>
            <w:tcW w:w="1059" w:type="dxa"/>
            <w:tcBorders>
              <w:top w:val="nil"/>
              <w:left w:val="nil"/>
              <w:bottom w:val="nil"/>
              <w:right w:val="nil"/>
            </w:tcBorders>
            <w:shd w:val="clear" w:color="000000" w:fill="E6E6E6"/>
            <w:noWrap/>
            <w:vAlign w:val="bottom"/>
            <w:hideMark/>
          </w:tcPr>
          <w:p w14:paraId="3E7BF1AC" w14:textId="3AFEEB6E"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7,402</w:t>
            </w:r>
          </w:p>
        </w:tc>
        <w:tc>
          <w:tcPr>
            <w:tcW w:w="919" w:type="dxa"/>
            <w:tcBorders>
              <w:top w:val="nil"/>
              <w:left w:val="nil"/>
              <w:bottom w:val="nil"/>
              <w:right w:val="nil"/>
            </w:tcBorders>
            <w:shd w:val="clear" w:color="auto" w:fill="auto"/>
            <w:noWrap/>
            <w:vAlign w:val="bottom"/>
            <w:hideMark/>
          </w:tcPr>
          <w:p w14:paraId="33F33950" w14:textId="609ABD7D"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7,622</w:t>
            </w:r>
          </w:p>
        </w:tc>
        <w:tc>
          <w:tcPr>
            <w:tcW w:w="919" w:type="dxa"/>
            <w:tcBorders>
              <w:top w:val="nil"/>
              <w:left w:val="nil"/>
              <w:bottom w:val="nil"/>
              <w:right w:val="nil"/>
            </w:tcBorders>
            <w:shd w:val="clear" w:color="auto" w:fill="auto"/>
            <w:noWrap/>
            <w:vAlign w:val="bottom"/>
            <w:hideMark/>
          </w:tcPr>
          <w:p w14:paraId="14EA8623" w14:textId="2B645F25"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7,816</w:t>
            </w:r>
          </w:p>
        </w:tc>
        <w:tc>
          <w:tcPr>
            <w:tcW w:w="821" w:type="dxa"/>
            <w:tcBorders>
              <w:top w:val="nil"/>
              <w:left w:val="nil"/>
              <w:bottom w:val="nil"/>
              <w:right w:val="nil"/>
            </w:tcBorders>
            <w:shd w:val="clear" w:color="auto" w:fill="auto"/>
            <w:noWrap/>
            <w:vAlign w:val="bottom"/>
            <w:hideMark/>
          </w:tcPr>
          <w:p w14:paraId="0428988D" w14:textId="44A2D626"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7,198</w:t>
            </w:r>
          </w:p>
        </w:tc>
      </w:tr>
      <w:tr w:rsidR="00513EDD" w:rsidRPr="00513EDD" w14:paraId="3DC64BDD" w14:textId="77777777" w:rsidTr="00177B65">
        <w:trPr>
          <w:trHeight w:val="204"/>
        </w:trPr>
        <w:tc>
          <w:tcPr>
            <w:tcW w:w="3119" w:type="dxa"/>
            <w:tcBorders>
              <w:top w:val="nil"/>
              <w:left w:val="nil"/>
              <w:bottom w:val="nil"/>
              <w:right w:val="nil"/>
            </w:tcBorders>
            <w:shd w:val="clear" w:color="auto" w:fill="auto"/>
            <w:noWrap/>
            <w:vAlign w:val="bottom"/>
            <w:hideMark/>
          </w:tcPr>
          <w:p w14:paraId="217F4F80" w14:textId="77777777" w:rsidR="00513EDD" w:rsidRPr="00177B65" w:rsidRDefault="00513EDD" w:rsidP="00132649">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Suppliers</w:t>
            </w:r>
          </w:p>
        </w:tc>
        <w:tc>
          <w:tcPr>
            <w:tcW w:w="812" w:type="dxa"/>
            <w:tcBorders>
              <w:top w:val="nil"/>
              <w:left w:val="nil"/>
              <w:bottom w:val="nil"/>
              <w:right w:val="nil"/>
            </w:tcBorders>
            <w:shd w:val="clear" w:color="auto" w:fill="auto"/>
            <w:noWrap/>
            <w:vAlign w:val="bottom"/>
            <w:hideMark/>
          </w:tcPr>
          <w:p w14:paraId="2C19AFE0" w14:textId="35FE4320"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7,744</w:t>
            </w:r>
          </w:p>
        </w:tc>
        <w:tc>
          <w:tcPr>
            <w:tcW w:w="1059" w:type="dxa"/>
            <w:tcBorders>
              <w:top w:val="nil"/>
              <w:left w:val="nil"/>
              <w:bottom w:val="nil"/>
              <w:right w:val="nil"/>
            </w:tcBorders>
            <w:shd w:val="clear" w:color="000000" w:fill="E6E6E6"/>
            <w:noWrap/>
            <w:vAlign w:val="bottom"/>
            <w:hideMark/>
          </w:tcPr>
          <w:p w14:paraId="707CFE10" w14:textId="7661FBDD"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5,164</w:t>
            </w:r>
          </w:p>
        </w:tc>
        <w:tc>
          <w:tcPr>
            <w:tcW w:w="919" w:type="dxa"/>
            <w:tcBorders>
              <w:top w:val="nil"/>
              <w:left w:val="nil"/>
              <w:bottom w:val="nil"/>
              <w:right w:val="nil"/>
            </w:tcBorders>
            <w:shd w:val="clear" w:color="auto" w:fill="auto"/>
            <w:noWrap/>
            <w:vAlign w:val="bottom"/>
            <w:hideMark/>
          </w:tcPr>
          <w:p w14:paraId="062B95EA" w14:textId="280833F0"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5,030</w:t>
            </w:r>
          </w:p>
        </w:tc>
        <w:tc>
          <w:tcPr>
            <w:tcW w:w="919" w:type="dxa"/>
            <w:tcBorders>
              <w:top w:val="nil"/>
              <w:left w:val="nil"/>
              <w:bottom w:val="nil"/>
              <w:right w:val="nil"/>
            </w:tcBorders>
            <w:shd w:val="clear" w:color="auto" w:fill="auto"/>
            <w:noWrap/>
            <w:vAlign w:val="bottom"/>
            <w:hideMark/>
          </w:tcPr>
          <w:p w14:paraId="5122ED46" w14:textId="5DBD5255"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5,037</w:t>
            </w:r>
          </w:p>
        </w:tc>
        <w:tc>
          <w:tcPr>
            <w:tcW w:w="821" w:type="dxa"/>
            <w:tcBorders>
              <w:top w:val="nil"/>
              <w:left w:val="nil"/>
              <w:bottom w:val="nil"/>
              <w:right w:val="nil"/>
            </w:tcBorders>
            <w:shd w:val="clear" w:color="auto" w:fill="auto"/>
            <w:noWrap/>
            <w:vAlign w:val="bottom"/>
            <w:hideMark/>
          </w:tcPr>
          <w:p w14:paraId="43F58A45" w14:textId="430C600B"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4,995</w:t>
            </w:r>
          </w:p>
        </w:tc>
      </w:tr>
      <w:tr w:rsidR="00513EDD" w:rsidRPr="00513EDD" w14:paraId="0E399EB1" w14:textId="77777777" w:rsidTr="00177B65">
        <w:trPr>
          <w:trHeight w:val="204"/>
        </w:trPr>
        <w:tc>
          <w:tcPr>
            <w:tcW w:w="3119" w:type="dxa"/>
            <w:tcBorders>
              <w:top w:val="nil"/>
              <w:left w:val="nil"/>
              <w:bottom w:val="nil"/>
              <w:right w:val="nil"/>
            </w:tcBorders>
            <w:shd w:val="clear" w:color="auto" w:fill="auto"/>
            <w:noWrap/>
            <w:vAlign w:val="bottom"/>
            <w:hideMark/>
          </w:tcPr>
          <w:p w14:paraId="7B592C1B" w14:textId="77777777" w:rsidR="00513EDD" w:rsidRPr="00177B65" w:rsidRDefault="00513EDD" w:rsidP="00132649">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Depreciation and amortisation</w:t>
            </w:r>
          </w:p>
        </w:tc>
        <w:tc>
          <w:tcPr>
            <w:tcW w:w="812" w:type="dxa"/>
            <w:tcBorders>
              <w:top w:val="nil"/>
              <w:left w:val="nil"/>
              <w:bottom w:val="nil"/>
              <w:right w:val="nil"/>
            </w:tcBorders>
            <w:shd w:val="clear" w:color="auto" w:fill="auto"/>
            <w:noWrap/>
            <w:vAlign w:val="bottom"/>
            <w:hideMark/>
          </w:tcPr>
          <w:p w14:paraId="26FE0B4F" w14:textId="4CCD65AE"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1,647</w:t>
            </w:r>
          </w:p>
        </w:tc>
        <w:tc>
          <w:tcPr>
            <w:tcW w:w="1059" w:type="dxa"/>
            <w:tcBorders>
              <w:top w:val="nil"/>
              <w:left w:val="nil"/>
              <w:bottom w:val="nil"/>
              <w:right w:val="nil"/>
            </w:tcBorders>
            <w:shd w:val="clear" w:color="000000" w:fill="E6E6E6"/>
            <w:noWrap/>
            <w:vAlign w:val="bottom"/>
            <w:hideMark/>
          </w:tcPr>
          <w:p w14:paraId="7B04A725" w14:textId="7EC29C53"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1,427</w:t>
            </w:r>
          </w:p>
        </w:tc>
        <w:tc>
          <w:tcPr>
            <w:tcW w:w="919" w:type="dxa"/>
            <w:tcBorders>
              <w:top w:val="nil"/>
              <w:left w:val="nil"/>
              <w:bottom w:val="nil"/>
              <w:right w:val="nil"/>
            </w:tcBorders>
            <w:shd w:val="clear" w:color="auto" w:fill="auto"/>
            <w:noWrap/>
            <w:vAlign w:val="bottom"/>
            <w:hideMark/>
          </w:tcPr>
          <w:p w14:paraId="7C8D2149" w14:textId="0AF40D5F"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1,439</w:t>
            </w:r>
          </w:p>
        </w:tc>
        <w:tc>
          <w:tcPr>
            <w:tcW w:w="919" w:type="dxa"/>
            <w:tcBorders>
              <w:top w:val="nil"/>
              <w:left w:val="nil"/>
              <w:bottom w:val="nil"/>
              <w:right w:val="nil"/>
            </w:tcBorders>
            <w:shd w:val="clear" w:color="auto" w:fill="auto"/>
            <w:noWrap/>
            <w:vAlign w:val="bottom"/>
            <w:hideMark/>
          </w:tcPr>
          <w:p w14:paraId="4D42EE9F" w14:textId="4FB1BAAB"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1,584</w:t>
            </w:r>
          </w:p>
        </w:tc>
        <w:tc>
          <w:tcPr>
            <w:tcW w:w="821" w:type="dxa"/>
            <w:tcBorders>
              <w:top w:val="nil"/>
              <w:left w:val="nil"/>
              <w:bottom w:val="nil"/>
              <w:right w:val="nil"/>
            </w:tcBorders>
            <w:shd w:val="clear" w:color="auto" w:fill="auto"/>
            <w:noWrap/>
            <w:vAlign w:val="bottom"/>
            <w:hideMark/>
          </w:tcPr>
          <w:p w14:paraId="1BC92268" w14:textId="7053250F"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1,584</w:t>
            </w:r>
          </w:p>
        </w:tc>
      </w:tr>
      <w:tr w:rsidR="00513EDD" w:rsidRPr="00513EDD" w14:paraId="21C233CF" w14:textId="77777777" w:rsidTr="00177B65">
        <w:trPr>
          <w:trHeight w:val="204"/>
        </w:trPr>
        <w:tc>
          <w:tcPr>
            <w:tcW w:w="3119" w:type="dxa"/>
            <w:tcBorders>
              <w:top w:val="nil"/>
              <w:left w:val="nil"/>
              <w:bottom w:val="nil"/>
              <w:right w:val="nil"/>
            </w:tcBorders>
            <w:shd w:val="clear" w:color="auto" w:fill="auto"/>
            <w:noWrap/>
            <w:vAlign w:val="bottom"/>
            <w:hideMark/>
          </w:tcPr>
          <w:p w14:paraId="53899489" w14:textId="77777777" w:rsidR="00513EDD" w:rsidRPr="00177B65" w:rsidRDefault="00513EDD" w:rsidP="00132649">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Write-down and impairment of assets</w:t>
            </w:r>
          </w:p>
        </w:tc>
        <w:tc>
          <w:tcPr>
            <w:tcW w:w="812" w:type="dxa"/>
            <w:tcBorders>
              <w:top w:val="nil"/>
              <w:left w:val="nil"/>
              <w:bottom w:val="nil"/>
              <w:right w:val="nil"/>
            </w:tcBorders>
            <w:shd w:val="clear" w:color="auto" w:fill="auto"/>
            <w:noWrap/>
            <w:vAlign w:val="bottom"/>
            <w:hideMark/>
          </w:tcPr>
          <w:p w14:paraId="60143A5D" w14:textId="40C1A2B7"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4</w:t>
            </w:r>
          </w:p>
        </w:tc>
        <w:tc>
          <w:tcPr>
            <w:tcW w:w="1059" w:type="dxa"/>
            <w:tcBorders>
              <w:top w:val="nil"/>
              <w:left w:val="nil"/>
              <w:bottom w:val="nil"/>
              <w:right w:val="nil"/>
            </w:tcBorders>
            <w:shd w:val="clear" w:color="000000" w:fill="E6E6E6"/>
            <w:noWrap/>
            <w:vAlign w:val="bottom"/>
            <w:hideMark/>
          </w:tcPr>
          <w:p w14:paraId="030FDF86" w14:textId="5F8C2078"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c>
          <w:tcPr>
            <w:tcW w:w="919" w:type="dxa"/>
            <w:tcBorders>
              <w:top w:val="nil"/>
              <w:left w:val="nil"/>
              <w:bottom w:val="nil"/>
              <w:right w:val="nil"/>
            </w:tcBorders>
            <w:shd w:val="clear" w:color="auto" w:fill="auto"/>
            <w:noWrap/>
            <w:vAlign w:val="bottom"/>
            <w:hideMark/>
          </w:tcPr>
          <w:p w14:paraId="12FED413" w14:textId="1DC67B34"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c>
          <w:tcPr>
            <w:tcW w:w="919" w:type="dxa"/>
            <w:tcBorders>
              <w:top w:val="nil"/>
              <w:left w:val="nil"/>
              <w:bottom w:val="nil"/>
              <w:right w:val="nil"/>
            </w:tcBorders>
            <w:shd w:val="clear" w:color="auto" w:fill="auto"/>
            <w:noWrap/>
            <w:vAlign w:val="bottom"/>
            <w:hideMark/>
          </w:tcPr>
          <w:p w14:paraId="551A9FD1" w14:textId="62714B09"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c>
          <w:tcPr>
            <w:tcW w:w="821" w:type="dxa"/>
            <w:tcBorders>
              <w:top w:val="nil"/>
              <w:left w:val="nil"/>
              <w:bottom w:val="nil"/>
              <w:right w:val="nil"/>
            </w:tcBorders>
            <w:shd w:val="clear" w:color="auto" w:fill="auto"/>
            <w:noWrap/>
            <w:vAlign w:val="bottom"/>
            <w:hideMark/>
          </w:tcPr>
          <w:p w14:paraId="7971E745" w14:textId="2F588D9C"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r>
      <w:tr w:rsidR="00513EDD" w:rsidRPr="00513EDD" w14:paraId="202B0A38" w14:textId="77777777" w:rsidTr="00177B65">
        <w:trPr>
          <w:trHeight w:val="204"/>
        </w:trPr>
        <w:tc>
          <w:tcPr>
            <w:tcW w:w="3119" w:type="dxa"/>
            <w:tcBorders>
              <w:top w:val="nil"/>
              <w:left w:val="nil"/>
              <w:bottom w:val="nil"/>
              <w:right w:val="nil"/>
            </w:tcBorders>
            <w:shd w:val="clear" w:color="auto" w:fill="auto"/>
            <w:noWrap/>
            <w:vAlign w:val="bottom"/>
            <w:hideMark/>
          </w:tcPr>
          <w:p w14:paraId="324A5BD9" w14:textId="77777777" w:rsidR="00513EDD" w:rsidRPr="00177B65" w:rsidRDefault="00513EDD" w:rsidP="00132649">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Finance costs</w:t>
            </w:r>
          </w:p>
        </w:tc>
        <w:tc>
          <w:tcPr>
            <w:tcW w:w="812" w:type="dxa"/>
            <w:tcBorders>
              <w:top w:val="nil"/>
              <w:left w:val="nil"/>
              <w:bottom w:val="nil"/>
              <w:right w:val="nil"/>
            </w:tcBorders>
            <w:shd w:val="clear" w:color="auto" w:fill="auto"/>
            <w:noWrap/>
            <w:vAlign w:val="bottom"/>
            <w:hideMark/>
          </w:tcPr>
          <w:p w14:paraId="69B270E4" w14:textId="733D5E61"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4</w:t>
            </w:r>
          </w:p>
        </w:tc>
        <w:tc>
          <w:tcPr>
            <w:tcW w:w="1059" w:type="dxa"/>
            <w:tcBorders>
              <w:top w:val="nil"/>
              <w:left w:val="nil"/>
              <w:bottom w:val="nil"/>
              <w:right w:val="nil"/>
            </w:tcBorders>
            <w:shd w:val="clear" w:color="000000" w:fill="E6E6E6"/>
            <w:noWrap/>
            <w:vAlign w:val="bottom"/>
            <w:hideMark/>
          </w:tcPr>
          <w:p w14:paraId="7DA1CB97" w14:textId="145A9EBC"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8</w:t>
            </w:r>
          </w:p>
        </w:tc>
        <w:tc>
          <w:tcPr>
            <w:tcW w:w="919" w:type="dxa"/>
            <w:tcBorders>
              <w:top w:val="nil"/>
              <w:left w:val="nil"/>
              <w:bottom w:val="nil"/>
              <w:right w:val="nil"/>
            </w:tcBorders>
            <w:shd w:val="clear" w:color="auto" w:fill="auto"/>
            <w:noWrap/>
            <w:vAlign w:val="bottom"/>
            <w:hideMark/>
          </w:tcPr>
          <w:p w14:paraId="430C6E38" w14:textId="7388508F"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4</w:t>
            </w:r>
          </w:p>
        </w:tc>
        <w:tc>
          <w:tcPr>
            <w:tcW w:w="919" w:type="dxa"/>
            <w:tcBorders>
              <w:top w:val="nil"/>
              <w:left w:val="nil"/>
              <w:bottom w:val="nil"/>
              <w:right w:val="nil"/>
            </w:tcBorders>
            <w:shd w:val="clear" w:color="auto" w:fill="auto"/>
            <w:noWrap/>
            <w:vAlign w:val="bottom"/>
            <w:hideMark/>
          </w:tcPr>
          <w:p w14:paraId="4EED38AE" w14:textId="4F877BFA"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w:t>
            </w:r>
          </w:p>
        </w:tc>
        <w:tc>
          <w:tcPr>
            <w:tcW w:w="821" w:type="dxa"/>
            <w:tcBorders>
              <w:top w:val="nil"/>
              <w:left w:val="nil"/>
              <w:bottom w:val="nil"/>
              <w:right w:val="nil"/>
            </w:tcBorders>
            <w:shd w:val="clear" w:color="auto" w:fill="auto"/>
            <w:noWrap/>
            <w:vAlign w:val="bottom"/>
            <w:hideMark/>
          </w:tcPr>
          <w:p w14:paraId="7DA438FC" w14:textId="1BAC13BE"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2</w:t>
            </w:r>
          </w:p>
        </w:tc>
      </w:tr>
      <w:tr w:rsidR="00513EDD" w:rsidRPr="00513EDD" w14:paraId="26573816" w14:textId="77777777" w:rsidTr="00177B65">
        <w:trPr>
          <w:trHeight w:val="204"/>
        </w:trPr>
        <w:tc>
          <w:tcPr>
            <w:tcW w:w="3119" w:type="dxa"/>
            <w:tcBorders>
              <w:top w:val="nil"/>
              <w:left w:val="nil"/>
              <w:bottom w:val="nil"/>
              <w:right w:val="nil"/>
            </w:tcBorders>
            <w:shd w:val="clear" w:color="auto" w:fill="auto"/>
            <w:vAlign w:val="bottom"/>
            <w:hideMark/>
          </w:tcPr>
          <w:p w14:paraId="2E33C4C3" w14:textId="77777777" w:rsidR="00513EDD" w:rsidRPr="00177B65" w:rsidRDefault="00513EDD" w:rsidP="00513EDD">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Total expenses</w:t>
            </w:r>
          </w:p>
        </w:tc>
        <w:tc>
          <w:tcPr>
            <w:tcW w:w="812" w:type="dxa"/>
            <w:tcBorders>
              <w:top w:val="single" w:sz="4" w:space="0" w:color="auto"/>
              <w:left w:val="nil"/>
              <w:bottom w:val="single" w:sz="4" w:space="0" w:color="auto"/>
              <w:right w:val="nil"/>
            </w:tcBorders>
            <w:shd w:val="clear" w:color="000000" w:fill="FFFFFF"/>
            <w:noWrap/>
            <w:vAlign w:val="bottom"/>
            <w:hideMark/>
          </w:tcPr>
          <w:p w14:paraId="13102C15" w14:textId="337E2568"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15,794</w:t>
            </w:r>
          </w:p>
        </w:tc>
        <w:tc>
          <w:tcPr>
            <w:tcW w:w="1059" w:type="dxa"/>
            <w:tcBorders>
              <w:top w:val="single" w:sz="4" w:space="0" w:color="auto"/>
              <w:left w:val="nil"/>
              <w:bottom w:val="single" w:sz="4" w:space="0" w:color="auto"/>
              <w:right w:val="nil"/>
            </w:tcBorders>
            <w:shd w:val="clear" w:color="000000" w:fill="E6E6E6"/>
            <w:noWrap/>
            <w:vAlign w:val="bottom"/>
            <w:hideMark/>
          </w:tcPr>
          <w:p w14:paraId="6E77E0CA" w14:textId="096DE844"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14,001</w:t>
            </w:r>
          </w:p>
        </w:tc>
        <w:tc>
          <w:tcPr>
            <w:tcW w:w="919" w:type="dxa"/>
            <w:tcBorders>
              <w:top w:val="single" w:sz="4" w:space="0" w:color="auto"/>
              <w:left w:val="nil"/>
              <w:bottom w:val="single" w:sz="4" w:space="0" w:color="auto"/>
              <w:right w:val="nil"/>
            </w:tcBorders>
            <w:shd w:val="clear" w:color="000000" w:fill="FFFFFF"/>
            <w:noWrap/>
            <w:vAlign w:val="bottom"/>
            <w:hideMark/>
          </w:tcPr>
          <w:p w14:paraId="07F7AA4F" w14:textId="5874383E"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14,095</w:t>
            </w:r>
          </w:p>
        </w:tc>
        <w:tc>
          <w:tcPr>
            <w:tcW w:w="919" w:type="dxa"/>
            <w:tcBorders>
              <w:top w:val="single" w:sz="4" w:space="0" w:color="auto"/>
              <w:left w:val="nil"/>
              <w:bottom w:val="single" w:sz="4" w:space="0" w:color="auto"/>
              <w:right w:val="nil"/>
            </w:tcBorders>
            <w:shd w:val="clear" w:color="auto" w:fill="auto"/>
            <w:noWrap/>
            <w:vAlign w:val="bottom"/>
            <w:hideMark/>
          </w:tcPr>
          <w:p w14:paraId="434D552B" w14:textId="7D9E7D8F"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14,440</w:t>
            </w:r>
          </w:p>
        </w:tc>
        <w:tc>
          <w:tcPr>
            <w:tcW w:w="821" w:type="dxa"/>
            <w:tcBorders>
              <w:top w:val="single" w:sz="4" w:space="0" w:color="auto"/>
              <w:left w:val="nil"/>
              <w:bottom w:val="single" w:sz="4" w:space="0" w:color="auto"/>
              <w:right w:val="nil"/>
            </w:tcBorders>
            <w:shd w:val="clear" w:color="auto" w:fill="auto"/>
            <w:noWrap/>
            <w:vAlign w:val="bottom"/>
            <w:hideMark/>
          </w:tcPr>
          <w:p w14:paraId="08C91C81" w14:textId="4443CB63"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13,779</w:t>
            </w:r>
          </w:p>
        </w:tc>
      </w:tr>
      <w:tr w:rsidR="00513EDD" w:rsidRPr="00513EDD" w14:paraId="326EEF11" w14:textId="77777777" w:rsidTr="00177B65">
        <w:trPr>
          <w:trHeight w:val="204"/>
        </w:trPr>
        <w:tc>
          <w:tcPr>
            <w:tcW w:w="3119" w:type="dxa"/>
            <w:tcBorders>
              <w:top w:val="nil"/>
              <w:left w:val="nil"/>
              <w:bottom w:val="nil"/>
              <w:right w:val="nil"/>
            </w:tcBorders>
            <w:shd w:val="clear" w:color="auto" w:fill="auto"/>
            <w:noWrap/>
            <w:vAlign w:val="bottom"/>
            <w:hideMark/>
          </w:tcPr>
          <w:p w14:paraId="7B0F78CF" w14:textId="77777777" w:rsidR="00513EDD" w:rsidRPr="00177B65" w:rsidRDefault="00513EDD" w:rsidP="00513EDD">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LESS:</w:t>
            </w:r>
          </w:p>
        </w:tc>
        <w:tc>
          <w:tcPr>
            <w:tcW w:w="812" w:type="dxa"/>
            <w:tcBorders>
              <w:top w:val="nil"/>
              <w:left w:val="nil"/>
              <w:bottom w:val="nil"/>
              <w:right w:val="nil"/>
            </w:tcBorders>
            <w:shd w:val="clear" w:color="auto" w:fill="auto"/>
            <w:noWrap/>
            <w:vAlign w:val="bottom"/>
            <w:hideMark/>
          </w:tcPr>
          <w:p w14:paraId="1B9A8EB8" w14:textId="77777777" w:rsidR="00513EDD" w:rsidRPr="00177B65" w:rsidRDefault="00513EDD" w:rsidP="00513EDD">
            <w:pPr>
              <w:spacing w:after="0" w:line="240" w:lineRule="auto"/>
              <w:jc w:val="left"/>
              <w:rPr>
                <w:rFonts w:ascii="Arial" w:hAnsi="Arial" w:cs="Arial"/>
                <w:b/>
                <w:bCs/>
                <w:color w:val="000000"/>
                <w:sz w:val="16"/>
                <w:szCs w:val="16"/>
              </w:rPr>
            </w:pPr>
          </w:p>
        </w:tc>
        <w:tc>
          <w:tcPr>
            <w:tcW w:w="1059" w:type="dxa"/>
            <w:tcBorders>
              <w:top w:val="nil"/>
              <w:left w:val="nil"/>
              <w:bottom w:val="nil"/>
              <w:right w:val="nil"/>
            </w:tcBorders>
            <w:shd w:val="clear" w:color="000000" w:fill="E6E6E6"/>
            <w:noWrap/>
            <w:vAlign w:val="bottom"/>
            <w:hideMark/>
          </w:tcPr>
          <w:p w14:paraId="1361E384" w14:textId="77DE794A" w:rsidR="00513EDD" w:rsidRPr="00177B65" w:rsidRDefault="00513EDD" w:rsidP="00513EDD">
            <w:pPr>
              <w:spacing w:after="0" w:line="240" w:lineRule="auto"/>
              <w:jc w:val="right"/>
              <w:rPr>
                <w:rFonts w:ascii="Arial" w:hAnsi="Arial" w:cs="Arial"/>
                <w:color w:val="000000"/>
                <w:sz w:val="16"/>
                <w:szCs w:val="16"/>
              </w:rPr>
            </w:pPr>
          </w:p>
        </w:tc>
        <w:tc>
          <w:tcPr>
            <w:tcW w:w="919" w:type="dxa"/>
            <w:tcBorders>
              <w:top w:val="nil"/>
              <w:left w:val="nil"/>
              <w:bottom w:val="nil"/>
              <w:right w:val="nil"/>
            </w:tcBorders>
            <w:shd w:val="clear" w:color="auto" w:fill="auto"/>
            <w:noWrap/>
            <w:vAlign w:val="bottom"/>
            <w:hideMark/>
          </w:tcPr>
          <w:p w14:paraId="2D61FB0C" w14:textId="77777777" w:rsidR="00513EDD" w:rsidRPr="00177B65" w:rsidRDefault="00513EDD" w:rsidP="00513EDD">
            <w:pPr>
              <w:spacing w:after="0" w:line="240" w:lineRule="auto"/>
              <w:jc w:val="right"/>
              <w:rPr>
                <w:rFonts w:ascii="Arial" w:hAnsi="Arial" w:cs="Arial"/>
                <w:color w:val="000000"/>
                <w:sz w:val="16"/>
                <w:szCs w:val="16"/>
              </w:rPr>
            </w:pPr>
          </w:p>
        </w:tc>
        <w:tc>
          <w:tcPr>
            <w:tcW w:w="919" w:type="dxa"/>
            <w:tcBorders>
              <w:top w:val="nil"/>
              <w:left w:val="nil"/>
              <w:bottom w:val="nil"/>
              <w:right w:val="nil"/>
            </w:tcBorders>
            <w:shd w:val="clear" w:color="auto" w:fill="auto"/>
            <w:noWrap/>
            <w:vAlign w:val="bottom"/>
            <w:hideMark/>
          </w:tcPr>
          <w:p w14:paraId="22E8C8C3" w14:textId="77777777" w:rsidR="00513EDD" w:rsidRPr="00177B65" w:rsidRDefault="00513EDD" w:rsidP="00513EDD">
            <w:pPr>
              <w:spacing w:after="0" w:line="240" w:lineRule="auto"/>
              <w:jc w:val="right"/>
              <w:rPr>
                <w:rFonts w:ascii="Times New Roman" w:hAnsi="Times New Roman"/>
                <w:sz w:val="16"/>
                <w:szCs w:val="16"/>
              </w:rPr>
            </w:pPr>
          </w:p>
        </w:tc>
        <w:tc>
          <w:tcPr>
            <w:tcW w:w="821" w:type="dxa"/>
            <w:tcBorders>
              <w:top w:val="nil"/>
              <w:left w:val="nil"/>
              <w:bottom w:val="nil"/>
              <w:right w:val="nil"/>
            </w:tcBorders>
            <w:shd w:val="clear" w:color="auto" w:fill="auto"/>
            <w:noWrap/>
            <w:vAlign w:val="bottom"/>
            <w:hideMark/>
          </w:tcPr>
          <w:p w14:paraId="576AACAB" w14:textId="77777777" w:rsidR="00513EDD" w:rsidRPr="00177B65" w:rsidRDefault="00513EDD" w:rsidP="00513EDD">
            <w:pPr>
              <w:spacing w:after="0" w:line="240" w:lineRule="auto"/>
              <w:jc w:val="right"/>
              <w:rPr>
                <w:rFonts w:ascii="Times New Roman" w:hAnsi="Times New Roman"/>
                <w:sz w:val="16"/>
                <w:szCs w:val="16"/>
              </w:rPr>
            </w:pPr>
          </w:p>
        </w:tc>
      </w:tr>
      <w:tr w:rsidR="00513EDD" w:rsidRPr="00513EDD" w14:paraId="224F1FAA" w14:textId="77777777" w:rsidTr="00177B65">
        <w:trPr>
          <w:trHeight w:val="204"/>
        </w:trPr>
        <w:tc>
          <w:tcPr>
            <w:tcW w:w="3119" w:type="dxa"/>
            <w:tcBorders>
              <w:top w:val="nil"/>
              <w:left w:val="nil"/>
              <w:bottom w:val="nil"/>
              <w:right w:val="nil"/>
            </w:tcBorders>
            <w:shd w:val="clear" w:color="auto" w:fill="auto"/>
            <w:noWrap/>
            <w:vAlign w:val="bottom"/>
            <w:hideMark/>
          </w:tcPr>
          <w:p w14:paraId="64D63BEF" w14:textId="77777777" w:rsidR="00513EDD" w:rsidRPr="00177B65" w:rsidRDefault="00513EDD" w:rsidP="00513EDD">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OWN-SOURCE INCOME</w:t>
            </w:r>
          </w:p>
        </w:tc>
        <w:tc>
          <w:tcPr>
            <w:tcW w:w="812" w:type="dxa"/>
            <w:tcBorders>
              <w:top w:val="nil"/>
              <w:left w:val="nil"/>
              <w:bottom w:val="nil"/>
              <w:right w:val="nil"/>
            </w:tcBorders>
            <w:shd w:val="clear" w:color="auto" w:fill="auto"/>
            <w:noWrap/>
            <w:vAlign w:val="bottom"/>
            <w:hideMark/>
          </w:tcPr>
          <w:p w14:paraId="09C63B16" w14:textId="77777777" w:rsidR="00513EDD" w:rsidRPr="00177B65" w:rsidRDefault="00513EDD" w:rsidP="00513EDD">
            <w:pPr>
              <w:spacing w:after="0" w:line="240" w:lineRule="auto"/>
              <w:jc w:val="left"/>
              <w:rPr>
                <w:rFonts w:ascii="Arial" w:hAnsi="Arial" w:cs="Arial"/>
                <w:b/>
                <w:bCs/>
                <w:color w:val="000000"/>
                <w:sz w:val="16"/>
                <w:szCs w:val="16"/>
              </w:rPr>
            </w:pPr>
          </w:p>
        </w:tc>
        <w:tc>
          <w:tcPr>
            <w:tcW w:w="1059" w:type="dxa"/>
            <w:tcBorders>
              <w:top w:val="nil"/>
              <w:left w:val="nil"/>
              <w:bottom w:val="nil"/>
              <w:right w:val="nil"/>
            </w:tcBorders>
            <w:shd w:val="clear" w:color="000000" w:fill="E6E6E6"/>
            <w:noWrap/>
            <w:vAlign w:val="bottom"/>
            <w:hideMark/>
          </w:tcPr>
          <w:p w14:paraId="14D566C1" w14:textId="2CE01467" w:rsidR="00513EDD" w:rsidRPr="00177B65" w:rsidRDefault="00513EDD" w:rsidP="00513EDD">
            <w:pPr>
              <w:spacing w:after="0" w:line="240" w:lineRule="auto"/>
              <w:jc w:val="right"/>
              <w:rPr>
                <w:rFonts w:ascii="Arial" w:hAnsi="Arial" w:cs="Arial"/>
                <w:color w:val="000000"/>
                <w:sz w:val="16"/>
                <w:szCs w:val="16"/>
              </w:rPr>
            </w:pPr>
          </w:p>
        </w:tc>
        <w:tc>
          <w:tcPr>
            <w:tcW w:w="919" w:type="dxa"/>
            <w:tcBorders>
              <w:top w:val="nil"/>
              <w:left w:val="nil"/>
              <w:bottom w:val="nil"/>
              <w:right w:val="nil"/>
            </w:tcBorders>
            <w:shd w:val="clear" w:color="auto" w:fill="auto"/>
            <w:noWrap/>
            <w:vAlign w:val="bottom"/>
            <w:hideMark/>
          </w:tcPr>
          <w:p w14:paraId="59D3B096" w14:textId="77777777" w:rsidR="00513EDD" w:rsidRPr="00177B65" w:rsidRDefault="00513EDD" w:rsidP="00513EDD">
            <w:pPr>
              <w:spacing w:after="0" w:line="240" w:lineRule="auto"/>
              <w:jc w:val="right"/>
              <w:rPr>
                <w:rFonts w:ascii="Arial" w:hAnsi="Arial" w:cs="Arial"/>
                <w:color w:val="000000"/>
                <w:sz w:val="16"/>
                <w:szCs w:val="16"/>
              </w:rPr>
            </w:pPr>
          </w:p>
        </w:tc>
        <w:tc>
          <w:tcPr>
            <w:tcW w:w="919" w:type="dxa"/>
            <w:tcBorders>
              <w:top w:val="nil"/>
              <w:left w:val="nil"/>
              <w:bottom w:val="nil"/>
              <w:right w:val="nil"/>
            </w:tcBorders>
            <w:shd w:val="clear" w:color="auto" w:fill="auto"/>
            <w:noWrap/>
            <w:vAlign w:val="bottom"/>
            <w:hideMark/>
          </w:tcPr>
          <w:p w14:paraId="292A465B" w14:textId="77777777" w:rsidR="00513EDD" w:rsidRPr="00177B65" w:rsidRDefault="00513EDD" w:rsidP="00513EDD">
            <w:pPr>
              <w:spacing w:after="0" w:line="240" w:lineRule="auto"/>
              <w:jc w:val="right"/>
              <w:rPr>
                <w:rFonts w:ascii="Times New Roman" w:hAnsi="Times New Roman"/>
                <w:sz w:val="16"/>
                <w:szCs w:val="16"/>
              </w:rPr>
            </w:pPr>
          </w:p>
        </w:tc>
        <w:tc>
          <w:tcPr>
            <w:tcW w:w="821" w:type="dxa"/>
            <w:tcBorders>
              <w:top w:val="nil"/>
              <w:left w:val="nil"/>
              <w:bottom w:val="nil"/>
              <w:right w:val="nil"/>
            </w:tcBorders>
            <w:shd w:val="clear" w:color="auto" w:fill="auto"/>
            <w:noWrap/>
            <w:vAlign w:val="bottom"/>
            <w:hideMark/>
          </w:tcPr>
          <w:p w14:paraId="55D9DF0F" w14:textId="77777777" w:rsidR="00513EDD" w:rsidRPr="00177B65" w:rsidRDefault="00513EDD" w:rsidP="00513EDD">
            <w:pPr>
              <w:spacing w:after="0" w:line="240" w:lineRule="auto"/>
              <w:jc w:val="right"/>
              <w:rPr>
                <w:rFonts w:ascii="Times New Roman" w:hAnsi="Times New Roman"/>
                <w:sz w:val="16"/>
                <w:szCs w:val="16"/>
              </w:rPr>
            </w:pPr>
          </w:p>
        </w:tc>
      </w:tr>
      <w:tr w:rsidR="00513EDD" w:rsidRPr="00513EDD" w14:paraId="44E9BB2A" w14:textId="77777777" w:rsidTr="00177B65">
        <w:trPr>
          <w:trHeight w:val="204"/>
        </w:trPr>
        <w:tc>
          <w:tcPr>
            <w:tcW w:w="3119" w:type="dxa"/>
            <w:tcBorders>
              <w:top w:val="nil"/>
              <w:left w:val="nil"/>
              <w:bottom w:val="nil"/>
              <w:right w:val="nil"/>
            </w:tcBorders>
            <w:shd w:val="clear" w:color="auto" w:fill="auto"/>
            <w:noWrap/>
            <w:vAlign w:val="bottom"/>
            <w:hideMark/>
          </w:tcPr>
          <w:p w14:paraId="507E6EBC" w14:textId="77777777" w:rsidR="00513EDD" w:rsidRPr="00177B65" w:rsidRDefault="00513EDD" w:rsidP="00513EDD">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Own-source revenue</w:t>
            </w:r>
          </w:p>
        </w:tc>
        <w:tc>
          <w:tcPr>
            <w:tcW w:w="812" w:type="dxa"/>
            <w:tcBorders>
              <w:top w:val="nil"/>
              <w:left w:val="nil"/>
              <w:bottom w:val="nil"/>
              <w:right w:val="nil"/>
            </w:tcBorders>
            <w:shd w:val="clear" w:color="auto" w:fill="auto"/>
            <w:noWrap/>
            <w:vAlign w:val="bottom"/>
            <w:hideMark/>
          </w:tcPr>
          <w:p w14:paraId="1D6B020F" w14:textId="77777777" w:rsidR="00513EDD" w:rsidRPr="00177B65" w:rsidRDefault="00513EDD" w:rsidP="00513EDD">
            <w:pPr>
              <w:spacing w:after="0" w:line="240" w:lineRule="auto"/>
              <w:jc w:val="left"/>
              <w:rPr>
                <w:rFonts w:ascii="Arial" w:hAnsi="Arial" w:cs="Arial"/>
                <w:b/>
                <w:bCs/>
                <w:color w:val="000000"/>
                <w:sz w:val="16"/>
                <w:szCs w:val="16"/>
              </w:rPr>
            </w:pPr>
          </w:p>
        </w:tc>
        <w:tc>
          <w:tcPr>
            <w:tcW w:w="1059" w:type="dxa"/>
            <w:tcBorders>
              <w:top w:val="nil"/>
              <w:left w:val="nil"/>
              <w:bottom w:val="nil"/>
              <w:right w:val="nil"/>
            </w:tcBorders>
            <w:shd w:val="clear" w:color="000000" w:fill="E6E6E6"/>
            <w:noWrap/>
            <w:vAlign w:val="bottom"/>
            <w:hideMark/>
          </w:tcPr>
          <w:p w14:paraId="2D3AB22C" w14:textId="2B7B8B76" w:rsidR="00513EDD" w:rsidRPr="00177B65" w:rsidRDefault="00513EDD" w:rsidP="00513EDD">
            <w:pPr>
              <w:spacing w:after="0" w:line="240" w:lineRule="auto"/>
              <w:jc w:val="right"/>
              <w:rPr>
                <w:rFonts w:ascii="Arial" w:hAnsi="Arial" w:cs="Arial"/>
                <w:color w:val="000000"/>
                <w:sz w:val="16"/>
                <w:szCs w:val="16"/>
              </w:rPr>
            </w:pPr>
          </w:p>
        </w:tc>
        <w:tc>
          <w:tcPr>
            <w:tcW w:w="919" w:type="dxa"/>
            <w:tcBorders>
              <w:top w:val="nil"/>
              <w:left w:val="nil"/>
              <w:bottom w:val="nil"/>
              <w:right w:val="nil"/>
            </w:tcBorders>
            <w:shd w:val="clear" w:color="auto" w:fill="auto"/>
            <w:noWrap/>
            <w:vAlign w:val="bottom"/>
            <w:hideMark/>
          </w:tcPr>
          <w:p w14:paraId="3FD208B8" w14:textId="77777777" w:rsidR="00513EDD" w:rsidRPr="00177B65" w:rsidRDefault="00513EDD" w:rsidP="00513EDD">
            <w:pPr>
              <w:spacing w:after="0" w:line="240" w:lineRule="auto"/>
              <w:jc w:val="right"/>
              <w:rPr>
                <w:rFonts w:ascii="Arial" w:hAnsi="Arial" w:cs="Arial"/>
                <w:color w:val="000000"/>
                <w:sz w:val="16"/>
                <w:szCs w:val="16"/>
              </w:rPr>
            </w:pPr>
          </w:p>
        </w:tc>
        <w:tc>
          <w:tcPr>
            <w:tcW w:w="919" w:type="dxa"/>
            <w:tcBorders>
              <w:top w:val="nil"/>
              <w:left w:val="nil"/>
              <w:bottom w:val="nil"/>
              <w:right w:val="nil"/>
            </w:tcBorders>
            <w:shd w:val="clear" w:color="auto" w:fill="auto"/>
            <w:noWrap/>
            <w:vAlign w:val="bottom"/>
            <w:hideMark/>
          </w:tcPr>
          <w:p w14:paraId="77A5404D" w14:textId="77777777" w:rsidR="00513EDD" w:rsidRPr="00177B65" w:rsidRDefault="00513EDD" w:rsidP="00513EDD">
            <w:pPr>
              <w:spacing w:after="0" w:line="240" w:lineRule="auto"/>
              <w:jc w:val="right"/>
              <w:rPr>
                <w:rFonts w:ascii="Times New Roman" w:hAnsi="Times New Roman"/>
                <w:sz w:val="16"/>
                <w:szCs w:val="16"/>
              </w:rPr>
            </w:pPr>
          </w:p>
        </w:tc>
        <w:tc>
          <w:tcPr>
            <w:tcW w:w="821" w:type="dxa"/>
            <w:tcBorders>
              <w:top w:val="nil"/>
              <w:left w:val="nil"/>
              <w:bottom w:val="nil"/>
              <w:right w:val="nil"/>
            </w:tcBorders>
            <w:shd w:val="clear" w:color="auto" w:fill="auto"/>
            <w:noWrap/>
            <w:vAlign w:val="bottom"/>
            <w:hideMark/>
          </w:tcPr>
          <w:p w14:paraId="19A0B26D" w14:textId="77777777" w:rsidR="00513EDD" w:rsidRPr="00177B65" w:rsidRDefault="00513EDD" w:rsidP="00513EDD">
            <w:pPr>
              <w:spacing w:after="0" w:line="240" w:lineRule="auto"/>
              <w:jc w:val="right"/>
              <w:rPr>
                <w:rFonts w:ascii="Times New Roman" w:hAnsi="Times New Roman"/>
                <w:sz w:val="16"/>
                <w:szCs w:val="16"/>
              </w:rPr>
            </w:pPr>
          </w:p>
        </w:tc>
      </w:tr>
      <w:tr w:rsidR="00513EDD" w:rsidRPr="00513EDD" w14:paraId="5E7BAEA8" w14:textId="77777777" w:rsidTr="00177B65">
        <w:trPr>
          <w:trHeight w:val="204"/>
        </w:trPr>
        <w:tc>
          <w:tcPr>
            <w:tcW w:w="3119" w:type="dxa"/>
            <w:tcBorders>
              <w:top w:val="nil"/>
              <w:left w:val="nil"/>
              <w:bottom w:val="nil"/>
              <w:right w:val="nil"/>
            </w:tcBorders>
            <w:shd w:val="clear" w:color="auto" w:fill="auto"/>
            <w:noWrap/>
            <w:vAlign w:val="bottom"/>
            <w:hideMark/>
          </w:tcPr>
          <w:p w14:paraId="55BE239B" w14:textId="77777777" w:rsidR="00513EDD" w:rsidRPr="00177B65" w:rsidRDefault="00513EDD" w:rsidP="00132649">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Sale of goods and rendering of services</w:t>
            </w:r>
          </w:p>
        </w:tc>
        <w:tc>
          <w:tcPr>
            <w:tcW w:w="812" w:type="dxa"/>
            <w:tcBorders>
              <w:top w:val="nil"/>
              <w:left w:val="nil"/>
              <w:bottom w:val="nil"/>
              <w:right w:val="nil"/>
            </w:tcBorders>
            <w:shd w:val="clear" w:color="auto" w:fill="auto"/>
            <w:noWrap/>
            <w:vAlign w:val="bottom"/>
            <w:hideMark/>
          </w:tcPr>
          <w:p w14:paraId="7A68D9FB" w14:textId="3DA1F1C1"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2,878</w:t>
            </w:r>
          </w:p>
        </w:tc>
        <w:tc>
          <w:tcPr>
            <w:tcW w:w="1059" w:type="dxa"/>
            <w:tcBorders>
              <w:top w:val="nil"/>
              <w:left w:val="nil"/>
              <w:bottom w:val="nil"/>
              <w:right w:val="nil"/>
            </w:tcBorders>
            <w:shd w:val="clear" w:color="000000" w:fill="E6E6E6"/>
            <w:noWrap/>
            <w:vAlign w:val="bottom"/>
            <w:hideMark/>
          </w:tcPr>
          <w:p w14:paraId="237F68DF" w14:textId="08C44252"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2,494</w:t>
            </w:r>
          </w:p>
        </w:tc>
        <w:tc>
          <w:tcPr>
            <w:tcW w:w="919" w:type="dxa"/>
            <w:tcBorders>
              <w:top w:val="nil"/>
              <w:left w:val="nil"/>
              <w:bottom w:val="nil"/>
              <w:right w:val="nil"/>
            </w:tcBorders>
            <w:shd w:val="clear" w:color="auto" w:fill="auto"/>
            <w:noWrap/>
            <w:vAlign w:val="bottom"/>
            <w:hideMark/>
          </w:tcPr>
          <w:p w14:paraId="69E7020F" w14:textId="6C310905"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2,660</w:t>
            </w:r>
          </w:p>
        </w:tc>
        <w:tc>
          <w:tcPr>
            <w:tcW w:w="919" w:type="dxa"/>
            <w:tcBorders>
              <w:top w:val="nil"/>
              <w:left w:val="nil"/>
              <w:bottom w:val="nil"/>
              <w:right w:val="nil"/>
            </w:tcBorders>
            <w:shd w:val="clear" w:color="auto" w:fill="auto"/>
            <w:noWrap/>
            <w:vAlign w:val="bottom"/>
            <w:hideMark/>
          </w:tcPr>
          <w:p w14:paraId="5E46EB7D" w14:textId="3033FEBA"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2,775</w:t>
            </w:r>
          </w:p>
        </w:tc>
        <w:tc>
          <w:tcPr>
            <w:tcW w:w="821" w:type="dxa"/>
            <w:tcBorders>
              <w:top w:val="nil"/>
              <w:left w:val="nil"/>
              <w:bottom w:val="nil"/>
              <w:right w:val="nil"/>
            </w:tcBorders>
            <w:shd w:val="clear" w:color="auto" w:fill="auto"/>
            <w:noWrap/>
            <w:vAlign w:val="bottom"/>
            <w:hideMark/>
          </w:tcPr>
          <w:p w14:paraId="61C505C8" w14:textId="55BFED6D"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2,775</w:t>
            </w:r>
          </w:p>
        </w:tc>
      </w:tr>
      <w:tr w:rsidR="00513EDD" w:rsidRPr="00513EDD" w14:paraId="0B74BD93" w14:textId="77777777" w:rsidTr="00177B65">
        <w:trPr>
          <w:trHeight w:val="204"/>
        </w:trPr>
        <w:tc>
          <w:tcPr>
            <w:tcW w:w="3119" w:type="dxa"/>
            <w:tcBorders>
              <w:top w:val="nil"/>
              <w:left w:val="nil"/>
              <w:bottom w:val="nil"/>
              <w:right w:val="nil"/>
            </w:tcBorders>
            <w:shd w:val="clear" w:color="auto" w:fill="auto"/>
            <w:noWrap/>
            <w:vAlign w:val="bottom"/>
            <w:hideMark/>
          </w:tcPr>
          <w:p w14:paraId="49E85D8A" w14:textId="77777777" w:rsidR="00513EDD" w:rsidRPr="00177B65" w:rsidRDefault="00513EDD" w:rsidP="00132649">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Other sources of non-taxation revenue</w:t>
            </w:r>
          </w:p>
        </w:tc>
        <w:tc>
          <w:tcPr>
            <w:tcW w:w="812" w:type="dxa"/>
            <w:tcBorders>
              <w:top w:val="nil"/>
              <w:left w:val="nil"/>
              <w:bottom w:val="nil"/>
              <w:right w:val="nil"/>
            </w:tcBorders>
            <w:shd w:val="clear" w:color="auto" w:fill="auto"/>
            <w:noWrap/>
            <w:vAlign w:val="bottom"/>
            <w:hideMark/>
          </w:tcPr>
          <w:p w14:paraId="7259504B" w14:textId="3F044FDB"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48</w:t>
            </w:r>
          </w:p>
        </w:tc>
        <w:tc>
          <w:tcPr>
            <w:tcW w:w="1059" w:type="dxa"/>
            <w:tcBorders>
              <w:top w:val="nil"/>
              <w:left w:val="nil"/>
              <w:bottom w:val="nil"/>
              <w:right w:val="nil"/>
            </w:tcBorders>
            <w:shd w:val="clear" w:color="000000" w:fill="E6E6E6"/>
            <w:noWrap/>
            <w:vAlign w:val="bottom"/>
            <w:hideMark/>
          </w:tcPr>
          <w:p w14:paraId="676A534A" w14:textId="2378558F"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50</w:t>
            </w:r>
          </w:p>
        </w:tc>
        <w:tc>
          <w:tcPr>
            <w:tcW w:w="919" w:type="dxa"/>
            <w:tcBorders>
              <w:top w:val="nil"/>
              <w:left w:val="nil"/>
              <w:bottom w:val="nil"/>
              <w:right w:val="nil"/>
            </w:tcBorders>
            <w:shd w:val="clear" w:color="auto" w:fill="auto"/>
            <w:noWrap/>
            <w:vAlign w:val="bottom"/>
            <w:hideMark/>
          </w:tcPr>
          <w:p w14:paraId="750A3C6F" w14:textId="5A770FFC"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50</w:t>
            </w:r>
          </w:p>
        </w:tc>
        <w:tc>
          <w:tcPr>
            <w:tcW w:w="919" w:type="dxa"/>
            <w:tcBorders>
              <w:top w:val="nil"/>
              <w:left w:val="nil"/>
              <w:bottom w:val="nil"/>
              <w:right w:val="nil"/>
            </w:tcBorders>
            <w:shd w:val="clear" w:color="auto" w:fill="auto"/>
            <w:noWrap/>
            <w:vAlign w:val="bottom"/>
            <w:hideMark/>
          </w:tcPr>
          <w:p w14:paraId="24BD6683" w14:textId="24AD29DD"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50</w:t>
            </w:r>
          </w:p>
        </w:tc>
        <w:tc>
          <w:tcPr>
            <w:tcW w:w="821" w:type="dxa"/>
            <w:tcBorders>
              <w:top w:val="nil"/>
              <w:left w:val="nil"/>
              <w:bottom w:val="nil"/>
              <w:right w:val="nil"/>
            </w:tcBorders>
            <w:shd w:val="clear" w:color="auto" w:fill="auto"/>
            <w:noWrap/>
            <w:vAlign w:val="bottom"/>
            <w:hideMark/>
          </w:tcPr>
          <w:p w14:paraId="1112708E" w14:textId="222BCBAB"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50</w:t>
            </w:r>
          </w:p>
        </w:tc>
      </w:tr>
      <w:tr w:rsidR="00513EDD" w:rsidRPr="00513EDD" w14:paraId="4F6BFDB9" w14:textId="77777777" w:rsidTr="00177B65">
        <w:trPr>
          <w:trHeight w:val="204"/>
        </w:trPr>
        <w:tc>
          <w:tcPr>
            <w:tcW w:w="3119" w:type="dxa"/>
            <w:tcBorders>
              <w:top w:val="nil"/>
              <w:left w:val="nil"/>
              <w:bottom w:val="nil"/>
              <w:right w:val="nil"/>
            </w:tcBorders>
            <w:shd w:val="clear" w:color="auto" w:fill="auto"/>
            <w:noWrap/>
            <w:vAlign w:val="bottom"/>
            <w:hideMark/>
          </w:tcPr>
          <w:p w14:paraId="1899568B" w14:textId="77777777" w:rsidR="00513EDD" w:rsidRPr="00177B65" w:rsidRDefault="00513EDD" w:rsidP="00513EDD">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Total own-source revenue</w:t>
            </w:r>
          </w:p>
        </w:tc>
        <w:tc>
          <w:tcPr>
            <w:tcW w:w="812" w:type="dxa"/>
            <w:tcBorders>
              <w:top w:val="single" w:sz="4" w:space="0" w:color="auto"/>
              <w:left w:val="nil"/>
              <w:bottom w:val="single" w:sz="4" w:space="0" w:color="auto"/>
              <w:right w:val="nil"/>
            </w:tcBorders>
            <w:shd w:val="clear" w:color="auto" w:fill="auto"/>
            <w:noWrap/>
            <w:vAlign w:val="bottom"/>
            <w:hideMark/>
          </w:tcPr>
          <w:p w14:paraId="4D99D76E" w14:textId="0531246F"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2,926</w:t>
            </w:r>
          </w:p>
        </w:tc>
        <w:tc>
          <w:tcPr>
            <w:tcW w:w="1059" w:type="dxa"/>
            <w:tcBorders>
              <w:top w:val="single" w:sz="4" w:space="0" w:color="auto"/>
              <w:left w:val="nil"/>
              <w:bottom w:val="single" w:sz="4" w:space="0" w:color="auto"/>
              <w:right w:val="nil"/>
            </w:tcBorders>
            <w:shd w:val="clear" w:color="000000" w:fill="E6E6E6"/>
            <w:noWrap/>
            <w:vAlign w:val="bottom"/>
            <w:hideMark/>
          </w:tcPr>
          <w:p w14:paraId="21EA7500" w14:textId="494F6A79"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2,544</w:t>
            </w:r>
          </w:p>
        </w:tc>
        <w:tc>
          <w:tcPr>
            <w:tcW w:w="919" w:type="dxa"/>
            <w:tcBorders>
              <w:top w:val="single" w:sz="4" w:space="0" w:color="auto"/>
              <w:left w:val="nil"/>
              <w:bottom w:val="single" w:sz="4" w:space="0" w:color="auto"/>
              <w:right w:val="nil"/>
            </w:tcBorders>
            <w:shd w:val="clear" w:color="auto" w:fill="auto"/>
            <w:noWrap/>
            <w:vAlign w:val="bottom"/>
            <w:hideMark/>
          </w:tcPr>
          <w:p w14:paraId="3A9732E7" w14:textId="06B48DFC"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2,710</w:t>
            </w:r>
          </w:p>
        </w:tc>
        <w:tc>
          <w:tcPr>
            <w:tcW w:w="919" w:type="dxa"/>
            <w:tcBorders>
              <w:top w:val="single" w:sz="4" w:space="0" w:color="auto"/>
              <w:left w:val="nil"/>
              <w:bottom w:val="single" w:sz="4" w:space="0" w:color="auto"/>
              <w:right w:val="nil"/>
            </w:tcBorders>
            <w:shd w:val="clear" w:color="auto" w:fill="auto"/>
            <w:noWrap/>
            <w:vAlign w:val="bottom"/>
            <w:hideMark/>
          </w:tcPr>
          <w:p w14:paraId="5588A0B5" w14:textId="57B7B0D9"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2,825</w:t>
            </w:r>
          </w:p>
        </w:tc>
        <w:tc>
          <w:tcPr>
            <w:tcW w:w="821" w:type="dxa"/>
            <w:tcBorders>
              <w:top w:val="single" w:sz="4" w:space="0" w:color="auto"/>
              <w:left w:val="nil"/>
              <w:bottom w:val="single" w:sz="4" w:space="0" w:color="auto"/>
              <w:right w:val="nil"/>
            </w:tcBorders>
            <w:shd w:val="clear" w:color="auto" w:fill="auto"/>
            <w:noWrap/>
            <w:vAlign w:val="bottom"/>
            <w:hideMark/>
          </w:tcPr>
          <w:p w14:paraId="758A22F5" w14:textId="3D08466E"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2,825</w:t>
            </w:r>
          </w:p>
        </w:tc>
      </w:tr>
      <w:tr w:rsidR="00513EDD" w:rsidRPr="00513EDD" w14:paraId="1B0AA083" w14:textId="77777777" w:rsidTr="00177B65">
        <w:trPr>
          <w:trHeight w:val="204"/>
        </w:trPr>
        <w:tc>
          <w:tcPr>
            <w:tcW w:w="3119" w:type="dxa"/>
            <w:tcBorders>
              <w:top w:val="nil"/>
              <w:left w:val="nil"/>
              <w:bottom w:val="nil"/>
              <w:right w:val="nil"/>
            </w:tcBorders>
            <w:shd w:val="clear" w:color="auto" w:fill="auto"/>
            <w:noWrap/>
            <w:vAlign w:val="bottom"/>
            <w:hideMark/>
          </w:tcPr>
          <w:p w14:paraId="7CF1919F" w14:textId="77777777" w:rsidR="00513EDD" w:rsidRPr="00177B65" w:rsidRDefault="00513EDD" w:rsidP="00513EDD">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Net (cost of)/contribution by services</w:t>
            </w:r>
          </w:p>
        </w:tc>
        <w:tc>
          <w:tcPr>
            <w:tcW w:w="812" w:type="dxa"/>
            <w:tcBorders>
              <w:top w:val="single" w:sz="4" w:space="0" w:color="auto"/>
              <w:left w:val="nil"/>
              <w:bottom w:val="single" w:sz="4" w:space="0" w:color="auto"/>
              <w:right w:val="nil"/>
            </w:tcBorders>
            <w:shd w:val="clear" w:color="auto" w:fill="auto"/>
            <w:noWrap/>
            <w:vAlign w:val="bottom"/>
            <w:hideMark/>
          </w:tcPr>
          <w:p w14:paraId="5A6C84C9"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(12,868)</w:t>
            </w:r>
          </w:p>
        </w:tc>
        <w:tc>
          <w:tcPr>
            <w:tcW w:w="1059" w:type="dxa"/>
            <w:tcBorders>
              <w:top w:val="single" w:sz="4" w:space="0" w:color="auto"/>
              <w:left w:val="nil"/>
              <w:bottom w:val="single" w:sz="4" w:space="0" w:color="auto"/>
              <w:right w:val="nil"/>
            </w:tcBorders>
            <w:shd w:val="clear" w:color="000000" w:fill="E6E6E6"/>
            <w:noWrap/>
            <w:vAlign w:val="bottom"/>
            <w:hideMark/>
          </w:tcPr>
          <w:p w14:paraId="102EEEF6"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(11,457)</w:t>
            </w:r>
          </w:p>
        </w:tc>
        <w:tc>
          <w:tcPr>
            <w:tcW w:w="919" w:type="dxa"/>
            <w:tcBorders>
              <w:top w:val="single" w:sz="4" w:space="0" w:color="auto"/>
              <w:left w:val="nil"/>
              <w:bottom w:val="single" w:sz="4" w:space="0" w:color="auto"/>
              <w:right w:val="nil"/>
            </w:tcBorders>
            <w:shd w:val="clear" w:color="auto" w:fill="auto"/>
            <w:noWrap/>
            <w:vAlign w:val="bottom"/>
            <w:hideMark/>
          </w:tcPr>
          <w:p w14:paraId="739201F8"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(11,385)</w:t>
            </w:r>
          </w:p>
        </w:tc>
        <w:tc>
          <w:tcPr>
            <w:tcW w:w="919" w:type="dxa"/>
            <w:tcBorders>
              <w:top w:val="single" w:sz="4" w:space="0" w:color="auto"/>
              <w:left w:val="nil"/>
              <w:bottom w:val="single" w:sz="4" w:space="0" w:color="auto"/>
              <w:right w:val="nil"/>
            </w:tcBorders>
            <w:shd w:val="clear" w:color="auto" w:fill="auto"/>
            <w:noWrap/>
            <w:vAlign w:val="bottom"/>
            <w:hideMark/>
          </w:tcPr>
          <w:p w14:paraId="4362868C"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(11,615)</w:t>
            </w:r>
          </w:p>
        </w:tc>
        <w:tc>
          <w:tcPr>
            <w:tcW w:w="821" w:type="dxa"/>
            <w:tcBorders>
              <w:top w:val="single" w:sz="4" w:space="0" w:color="auto"/>
              <w:left w:val="nil"/>
              <w:bottom w:val="single" w:sz="4" w:space="0" w:color="auto"/>
              <w:right w:val="nil"/>
            </w:tcBorders>
            <w:shd w:val="clear" w:color="auto" w:fill="auto"/>
            <w:noWrap/>
            <w:vAlign w:val="bottom"/>
            <w:hideMark/>
          </w:tcPr>
          <w:p w14:paraId="35D081A6"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(10,954)</w:t>
            </w:r>
          </w:p>
        </w:tc>
      </w:tr>
      <w:tr w:rsidR="00513EDD" w:rsidRPr="00513EDD" w14:paraId="711E9C13" w14:textId="77777777" w:rsidTr="00177B65">
        <w:trPr>
          <w:trHeight w:val="204"/>
        </w:trPr>
        <w:tc>
          <w:tcPr>
            <w:tcW w:w="3119" w:type="dxa"/>
            <w:tcBorders>
              <w:top w:val="nil"/>
              <w:left w:val="nil"/>
              <w:bottom w:val="nil"/>
              <w:right w:val="nil"/>
            </w:tcBorders>
            <w:shd w:val="clear" w:color="auto" w:fill="auto"/>
            <w:noWrap/>
            <w:vAlign w:val="bottom"/>
            <w:hideMark/>
          </w:tcPr>
          <w:p w14:paraId="01BC87F4" w14:textId="77777777" w:rsidR="00513EDD" w:rsidRPr="00177B65" w:rsidRDefault="00513EDD" w:rsidP="00132649">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Revenue from Government</w:t>
            </w:r>
          </w:p>
        </w:tc>
        <w:tc>
          <w:tcPr>
            <w:tcW w:w="812" w:type="dxa"/>
            <w:tcBorders>
              <w:top w:val="nil"/>
              <w:left w:val="nil"/>
              <w:bottom w:val="nil"/>
              <w:right w:val="nil"/>
            </w:tcBorders>
            <w:shd w:val="clear" w:color="auto" w:fill="auto"/>
            <w:noWrap/>
            <w:vAlign w:val="bottom"/>
            <w:hideMark/>
          </w:tcPr>
          <w:p w14:paraId="38B83E42" w14:textId="0182BC63"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10,949</w:t>
            </w:r>
          </w:p>
        </w:tc>
        <w:tc>
          <w:tcPr>
            <w:tcW w:w="1059" w:type="dxa"/>
            <w:tcBorders>
              <w:top w:val="nil"/>
              <w:left w:val="nil"/>
              <w:bottom w:val="nil"/>
              <w:right w:val="nil"/>
            </w:tcBorders>
            <w:shd w:val="clear" w:color="000000" w:fill="E6E6E6"/>
            <w:noWrap/>
            <w:vAlign w:val="bottom"/>
            <w:hideMark/>
          </w:tcPr>
          <w:p w14:paraId="0F3940AD" w14:textId="0F81CDF3"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10,357</w:t>
            </w:r>
          </w:p>
        </w:tc>
        <w:tc>
          <w:tcPr>
            <w:tcW w:w="919" w:type="dxa"/>
            <w:tcBorders>
              <w:top w:val="nil"/>
              <w:left w:val="nil"/>
              <w:bottom w:val="nil"/>
              <w:right w:val="nil"/>
            </w:tcBorders>
            <w:shd w:val="clear" w:color="auto" w:fill="auto"/>
            <w:noWrap/>
            <w:vAlign w:val="bottom"/>
            <w:hideMark/>
          </w:tcPr>
          <w:p w14:paraId="2272D709" w14:textId="01C6AEA9"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10,279</w:t>
            </w:r>
          </w:p>
        </w:tc>
        <w:tc>
          <w:tcPr>
            <w:tcW w:w="919" w:type="dxa"/>
            <w:tcBorders>
              <w:top w:val="nil"/>
              <w:left w:val="nil"/>
              <w:bottom w:val="nil"/>
              <w:right w:val="nil"/>
            </w:tcBorders>
            <w:shd w:val="clear" w:color="auto" w:fill="auto"/>
            <w:noWrap/>
            <w:vAlign w:val="bottom"/>
            <w:hideMark/>
          </w:tcPr>
          <w:p w14:paraId="2AB031DD" w14:textId="3E273E08"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10,370</w:t>
            </w:r>
          </w:p>
        </w:tc>
        <w:tc>
          <w:tcPr>
            <w:tcW w:w="821" w:type="dxa"/>
            <w:tcBorders>
              <w:top w:val="nil"/>
              <w:left w:val="nil"/>
              <w:bottom w:val="nil"/>
              <w:right w:val="nil"/>
            </w:tcBorders>
            <w:shd w:val="clear" w:color="auto" w:fill="auto"/>
            <w:noWrap/>
            <w:vAlign w:val="bottom"/>
            <w:hideMark/>
          </w:tcPr>
          <w:p w14:paraId="4475AA9A" w14:textId="028396AF"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9,715</w:t>
            </w:r>
          </w:p>
        </w:tc>
      </w:tr>
      <w:tr w:rsidR="00513EDD" w:rsidRPr="00513EDD" w14:paraId="48C5A5EA" w14:textId="77777777" w:rsidTr="00177B65">
        <w:trPr>
          <w:trHeight w:val="204"/>
        </w:trPr>
        <w:tc>
          <w:tcPr>
            <w:tcW w:w="3119" w:type="dxa"/>
            <w:tcBorders>
              <w:top w:val="nil"/>
              <w:left w:val="nil"/>
              <w:bottom w:val="nil"/>
              <w:right w:val="nil"/>
            </w:tcBorders>
            <w:shd w:val="clear" w:color="auto" w:fill="auto"/>
            <w:vAlign w:val="bottom"/>
            <w:hideMark/>
          </w:tcPr>
          <w:p w14:paraId="3E5685B4" w14:textId="77777777" w:rsidR="00513EDD" w:rsidRPr="00177B65" w:rsidRDefault="00513EDD" w:rsidP="00513EDD">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Surplus/(Deficit) attributable to the Australian Government</w:t>
            </w:r>
          </w:p>
        </w:tc>
        <w:tc>
          <w:tcPr>
            <w:tcW w:w="812" w:type="dxa"/>
            <w:tcBorders>
              <w:top w:val="single" w:sz="4" w:space="0" w:color="auto"/>
              <w:left w:val="nil"/>
              <w:bottom w:val="single" w:sz="4" w:space="0" w:color="auto"/>
              <w:right w:val="nil"/>
            </w:tcBorders>
            <w:shd w:val="clear" w:color="auto" w:fill="auto"/>
            <w:noWrap/>
            <w:vAlign w:val="bottom"/>
            <w:hideMark/>
          </w:tcPr>
          <w:p w14:paraId="18542D86"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(1,919)</w:t>
            </w:r>
          </w:p>
        </w:tc>
        <w:tc>
          <w:tcPr>
            <w:tcW w:w="1059" w:type="dxa"/>
            <w:tcBorders>
              <w:top w:val="single" w:sz="4" w:space="0" w:color="auto"/>
              <w:left w:val="nil"/>
              <w:bottom w:val="single" w:sz="4" w:space="0" w:color="auto"/>
              <w:right w:val="nil"/>
            </w:tcBorders>
            <w:shd w:val="clear" w:color="000000" w:fill="E6E6E6"/>
            <w:noWrap/>
            <w:vAlign w:val="bottom"/>
            <w:hideMark/>
          </w:tcPr>
          <w:p w14:paraId="70632D11"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(1,100)</w:t>
            </w:r>
          </w:p>
        </w:tc>
        <w:tc>
          <w:tcPr>
            <w:tcW w:w="919" w:type="dxa"/>
            <w:tcBorders>
              <w:top w:val="single" w:sz="4" w:space="0" w:color="auto"/>
              <w:left w:val="nil"/>
              <w:bottom w:val="single" w:sz="4" w:space="0" w:color="auto"/>
              <w:right w:val="nil"/>
            </w:tcBorders>
            <w:shd w:val="clear" w:color="auto" w:fill="auto"/>
            <w:noWrap/>
            <w:vAlign w:val="bottom"/>
            <w:hideMark/>
          </w:tcPr>
          <w:p w14:paraId="27C4D8A4"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(1,106)</w:t>
            </w:r>
          </w:p>
        </w:tc>
        <w:tc>
          <w:tcPr>
            <w:tcW w:w="919" w:type="dxa"/>
            <w:tcBorders>
              <w:top w:val="single" w:sz="4" w:space="0" w:color="auto"/>
              <w:left w:val="nil"/>
              <w:bottom w:val="single" w:sz="4" w:space="0" w:color="auto"/>
              <w:right w:val="nil"/>
            </w:tcBorders>
            <w:shd w:val="clear" w:color="auto" w:fill="auto"/>
            <w:noWrap/>
            <w:vAlign w:val="bottom"/>
            <w:hideMark/>
          </w:tcPr>
          <w:p w14:paraId="45B7E1F8"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(1,245)</w:t>
            </w:r>
          </w:p>
        </w:tc>
        <w:tc>
          <w:tcPr>
            <w:tcW w:w="821" w:type="dxa"/>
            <w:tcBorders>
              <w:top w:val="single" w:sz="4" w:space="0" w:color="auto"/>
              <w:left w:val="nil"/>
              <w:bottom w:val="single" w:sz="4" w:space="0" w:color="auto"/>
              <w:right w:val="nil"/>
            </w:tcBorders>
            <w:shd w:val="clear" w:color="auto" w:fill="auto"/>
            <w:noWrap/>
            <w:vAlign w:val="bottom"/>
            <w:hideMark/>
          </w:tcPr>
          <w:p w14:paraId="3A64D17E"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(1,239)</w:t>
            </w:r>
          </w:p>
        </w:tc>
      </w:tr>
      <w:tr w:rsidR="00513EDD" w:rsidRPr="00513EDD" w14:paraId="367B240E" w14:textId="77777777" w:rsidTr="00177B65">
        <w:trPr>
          <w:trHeight w:val="204"/>
        </w:trPr>
        <w:tc>
          <w:tcPr>
            <w:tcW w:w="3119" w:type="dxa"/>
            <w:tcBorders>
              <w:top w:val="nil"/>
              <w:left w:val="nil"/>
              <w:bottom w:val="nil"/>
              <w:right w:val="nil"/>
            </w:tcBorders>
            <w:shd w:val="clear" w:color="auto" w:fill="auto"/>
            <w:noWrap/>
            <w:vAlign w:val="bottom"/>
            <w:hideMark/>
          </w:tcPr>
          <w:p w14:paraId="617AE55C" w14:textId="77777777" w:rsidR="00513EDD" w:rsidRPr="00177B65" w:rsidRDefault="00513EDD" w:rsidP="00513EDD">
            <w:pPr>
              <w:spacing w:after="0" w:line="240" w:lineRule="auto"/>
              <w:jc w:val="left"/>
              <w:outlineLvl w:val="0"/>
              <w:rPr>
                <w:rFonts w:ascii="Arial" w:hAnsi="Arial" w:cs="Arial"/>
                <w:b/>
                <w:bCs/>
                <w:color w:val="000000"/>
                <w:sz w:val="16"/>
                <w:szCs w:val="16"/>
              </w:rPr>
            </w:pPr>
            <w:r w:rsidRPr="00177B65">
              <w:rPr>
                <w:rFonts w:ascii="Arial" w:hAnsi="Arial" w:cs="Arial"/>
                <w:b/>
                <w:bCs/>
                <w:color w:val="000000"/>
                <w:sz w:val="16"/>
                <w:szCs w:val="16"/>
              </w:rPr>
              <w:t>OTHER COMPREHENSIVE INCOME</w:t>
            </w:r>
          </w:p>
        </w:tc>
        <w:tc>
          <w:tcPr>
            <w:tcW w:w="812" w:type="dxa"/>
            <w:tcBorders>
              <w:top w:val="nil"/>
              <w:left w:val="nil"/>
              <w:bottom w:val="nil"/>
              <w:right w:val="nil"/>
            </w:tcBorders>
            <w:shd w:val="clear" w:color="auto" w:fill="auto"/>
            <w:noWrap/>
            <w:vAlign w:val="bottom"/>
            <w:hideMark/>
          </w:tcPr>
          <w:p w14:paraId="42BDF514" w14:textId="77777777" w:rsidR="00513EDD" w:rsidRPr="00177B65" w:rsidRDefault="00513EDD" w:rsidP="00513EDD">
            <w:pPr>
              <w:spacing w:after="0" w:line="240" w:lineRule="auto"/>
              <w:jc w:val="left"/>
              <w:outlineLvl w:val="0"/>
              <w:rPr>
                <w:rFonts w:ascii="Arial" w:hAnsi="Arial" w:cs="Arial"/>
                <w:b/>
                <w:bCs/>
                <w:color w:val="000000"/>
                <w:sz w:val="16"/>
                <w:szCs w:val="16"/>
              </w:rPr>
            </w:pPr>
          </w:p>
        </w:tc>
        <w:tc>
          <w:tcPr>
            <w:tcW w:w="1059" w:type="dxa"/>
            <w:tcBorders>
              <w:top w:val="nil"/>
              <w:left w:val="nil"/>
              <w:bottom w:val="nil"/>
              <w:right w:val="nil"/>
            </w:tcBorders>
            <w:shd w:val="clear" w:color="000000" w:fill="E6E6E6"/>
            <w:noWrap/>
            <w:vAlign w:val="bottom"/>
            <w:hideMark/>
          </w:tcPr>
          <w:p w14:paraId="0C6FE75F" w14:textId="0D387B3D" w:rsidR="00513EDD" w:rsidRPr="00177B65" w:rsidRDefault="00513EDD" w:rsidP="00513EDD">
            <w:pPr>
              <w:spacing w:after="0" w:line="240" w:lineRule="auto"/>
              <w:jc w:val="right"/>
              <w:outlineLvl w:val="0"/>
              <w:rPr>
                <w:rFonts w:ascii="Arial" w:hAnsi="Arial" w:cs="Arial"/>
                <w:color w:val="000000"/>
                <w:sz w:val="16"/>
                <w:szCs w:val="16"/>
              </w:rPr>
            </w:pPr>
          </w:p>
        </w:tc>
        <w:tc>
          <w:tcPr>
            <w:tcW w:w="919" w:type="dxa"/>
            <w:tcBorders>
              <w:top w:val="nil"/>
              <w:left w:val="nil"/>
              <w:bottom w:val="nil"/>
              <w:right w:val="nil"/>
            </w:tcBorders>
            <w:shd w:val="clear" w:color="auto" w:fill="auto"/>
            <w:noWrap/>
            <w:vAlign w:val="bottom"/>
            <w:hideMark/>
          </w:tcPr>
          <w:p w14:paraId="3C0BD897" w14:textId="77777777" w:rsidR="00513EDD" w:rsidRPr="00177B65" w:rsidRDefault="00513EDD" w:rsidP="00513EDD">
            <w:pPr>
              <w:spacing w:after="0" w:line="240" w:lineRule="auto"/>
              <w:jc w:val="right"/>
              <w:outlineLvl w:val="0"/>
              <w:rPr>
                <w:rFonts w:ascii="Arial" w:hAnsi="Arial" w:cs="Arial"/>
                <w:color w:val="000000"/>
                <w:sz w:val="16"/>
                <w:szCs w:val="16"/>
              </w:rPr>
            </w:pPr>
          </w:p>
        </w:tc>
        <w:tc>
          <w:tcPr>
            <w:tcW w:w="919" w:type="dxa"/>
            <w:tcBorders>
              <w:top w:val="nil"/>
              <w:left w:val="nil"/>
              <w:bottom w:val="nil"/>
              <w:right w:val="nil"/>
            </w:tcBorders>
            <w:shd w:val="clear" w:color="auto" w:fill="auto"/>
            <w:noWrap/>
            <w:vAlign w:val="bottom"/>
            <w:hideMark/>
          </w:tcPr>
          <w:p w14:paraId="2D80F1B9" w14:textId="77777777" w:rsidR="00513EDD" w:rsidRPr="00177B65" w:rsidRDefault="00513EDD" w:rsidP="00513EDD">
            <w:pPr>
              <w:spacing w:after="0" w:line="240" w:lineRule="auto"/>
              <w:jc w:val="right"/>
              <w:outlineLvl w:val="0"/>
              <w:rPr>
                <w:rFonts w:ascii="Times New Roman" w:hAnsi="Times New Roman"/>
                <w:sz w:val="16"/>
                <w:szCs w:val="16"/>
              </w:rPr>
            </w:pPr>
          </w:p>
        </w:tc>
        <w:tc>
          <w:tcPr>
            <w:tcW w:w="821" w:type="dxa"/>
            <w:tcBorders>
              <w:top w:val="nil"/>
              <w:left w:val="nil"/>
              <w:bottom w:val="nil"/>
              <w:right w:val="nil"/>
            </w:tcBorders>
            <w:shd w:val="clear" w:color="auto" w:fill="auto"/>
            <w:noWrap/>
            <w:vAlign w:val="bottom"/>
            <w:hideMark/>
          </w:tcPr>
          <w:p w14:paraId="46C60A04" w14:textId="77777777" w:rsidR="00513EDD" w:rsidRPr="00177B65" w:rsidRDefault="00513EDD" w:rsidP="00513EDD">
            <w:pPr>
              <w:spacing w:after="0" w:line="240" w:lineRule="auto"/>
              <w:jc w:val="right"/>
              <w:outlineLvl w:val="0"/>
              <w:rPr>
                <w:rFonts w:ascii="Times New Roman" w:hAnsi="Times New Roman"/>
                <w:sz w:val="16"/>
                <w:szCs w:val="16"/>
              </w:rPr>
            </w:pPr>
          </w:p>
        </w:tc>
      </w:tr>
      <w:tr w:rsidR="00513EDD" w:rsidRPr="00513EDD" w14:paraId="392B238F" w14:textId="77777777" w:rsidTr="00177B65">
        <w:trPr>
          <w:trHeight w:val="204"/>
        </w:trPr>
        <w:tc>
          <w:tcPr>
            <w:tcW w:w="3119" w:type="dxa"/>
            <w:tcBorders>
              <w:top w:val="nil"/>
              <w:left w:val="nil"/>
              <w:bottom w:val="nil"/>
              <w:right w:val="nil"/>
            </w:tcBorders>
            <w:shd w:val="clear" w:color="auto" w:fill="auto"/>
            <w:noWrap/>
            <w:vAlign w:val="bottom"/>
            <w:hideMark/>
          </w:tcPr>
          <w:p w14:paraId="2D22F671" w14:textId="77777777" w:rsidR="00513EDD" w:rsidRPr="00177B65" w:rsidRDefault="00513EDD" w:rsidP="00132649">
            <w:pPr>
              <w:spacing w:after="0" w:line="240" w:lineRule="auto"/>
              <w:ind w:left="113"/>
              <w:jc w:val="left"/>
              <w:outlineLvl w:val="0"/>
              <w:rPr>
                <w:rFonts w:ascii="Arial" w:hAnsi="Arial" w:cs="Arial"/>
                <w:color w:val="000000"/>
                <w:sz w:val="16"/>
                <w:szCs w:val="16"/>
              </w:rPr>
            </w:pPr>
            <w:r w:rsidRPr="00177B65">
              <w:rPr>
                <w:rFonts w:ascii="Arial" w:hAnsi="Arial" w:cs="Arial"/>
                <w:color w:val="000000"/>
                <w:sz w:val="16"/>
                <w:szCs w:val="16"/>
              </w:rPr>
              <w:t>Changes in asset revaluation reserves</w:t>
            </w:r>
          </w:p>
        </w:tc>
        <w:tc>
          <w:tcPr>
            <w:tcW w:w="812" w:type="dxa"/>
            <w:tcBorders>
              <w:top w:val="nil"/>
              <w:left w:val="nil"/>
              <w:bottom w:val="nil"/>
              <w:right w:val="nil"/>
            </w:tcBorders>
            <w:shd w:val="clear" w:color="auto" w:fill="auto"/>
            <w:noWrap/>
            <w:vAlign w:val="bottom"/>
            <w:hideMark/>
          </w:tcPr>
          <w:p w14:paraId="31552039" w14:textId="77777777" w:rsidR="00513EDD" w:rsidRPr="00177B65" w:rsidRDefault="00513EDD" w:rsidP="00513EDD">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(359)</w:t>
            </w:r>
          </w:p>
        </w:tc>
        <w:tc>
          <w:tcPr>
            <w:tcW w:w="1059" w:type="dxa"/>
            <w:tcBorders>
              <w:top w:val="nil"/>
              <w:left w:val="nil"/>
              <w:bottom w:val="nil"/>
              <w:right w:val="nil"/>
            </w:tcBorders>
            <w:shd w:val="clear" w:color="000000" w:fill="E6E6E6"/>
            <w:noWrap/>
            <w:vAlign w:val="bottom"/>
            <w:hideMark/>
          </w:tcPr>
          <w:p w14:paraId="29C1F603" w14:textId="4ADC8776" w:rsidR="00513EDD" w:rsidRPr="00177B65" w:rsidRDefault="00513EDD" w:rsidP="00513EDD">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w:t>
            </w:r>
          </w:p>
        </w:tc>
        <w:tc>
          <w:tcPr>
            <w:tcW w:w="919" w:type="dxa"/>
            <w:tcBorders>
              <w:top w:val="nil"/>
              <w:left w:val="nil"/>
              <w:bottom w:val="nil"/>
              <w:right w:val="nil"/>
            </w:tcBorders>
            <w:shd w:val="clear" w:color="auto" w:fill="auto"/>
            <w:noWrap/>
            <w:vAlign w:val="bottom"/>
            <w:hideMark/>
          </w:tcPr>
          <w:p w14:paraId="110799A0" w14:textId="0945A276" w:rsidR="00513EDD" w:rsidRPr="00177B65" w:rsidRDefault="00513EDD" w:rsidP="00513EDD">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w:t>
            </w:r>
          </w:p>
        </w:tc>
        <w:tc>
          <w:tcPr>
            <w:tcW w:w="919" w:type="dxa"/>
            <w:tcBorders>
              <w:top w:val="nil"/>
              <w:left w:val="nil"/>
              <w:bottom w:val="nil"/>
              <w:right w:val="nil"/>
            </w:tcBorders>
            <w:shd w:val="clear" w:color="auto" w:fill="auto"/>
            <w:noWrap/>
            <w:vAlign w:val="bottom"/>
            <w:hideMark/>
          </w:tcPr>
          <w:p w14:paraId="6B9D3C01" w14:textId="4F7642F0" w:rsidR="00513EDD" w:rsidRPr="00177B65" w:rsidRDefault="00513EDD" w:rsidP="00513EDD">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w:t>
            </w:r>
          </w:p>
        </w:tc>
        <w:tc>
          <w:tcPr>
            <w:tcW w:w="821" w:type="dxa"/>
            <w:tcBorders>
              <w:top w:val="nil"/>
              <w:left w:val="nil"/>
              <w:bottom w:val="nil"/>
              <w:right w:val="nil"/>
            </w:tcBorders>
            <w:shd w:val="clear" w:color="auto" w:fill="auto"/>
            <w:noWrap/>
            <w:vAlign w:val="bottom"/>
            <w:hideMark/>
          </w:tcPr>
          <w:p w14:paraId="0A13EB00" w14:textId="06F2C244" w:rsidR="00513EDD" w:rsidRPr="00177B65" w:rsidRDefault="00513EDD" w:rsidP="00513EDD">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w:t>
            </w:r>
          </w:p>
        </w:tc>
      </w:tr>
      <w:tr w:rsidR="00513EDD" w:rsidRPr="00513EDD" w14:paraId="6468C3EB" w14:textId="77777777" w:rsidTr="00177B65">
        <w:trPr>
          <w:trHeight w:val="204"/>
        </w:trPr>
        <w:tc>
          <w:tcPr>
            <w:tcW w:w="3119" w:type="dxa"/>
            <w:tcBorders>
              <w:top w:val="nil"/>
              <w:left w:val="nil"/>
              <w:bottom w:val="nil"/>
              <w:right w:val="nil"/>
            </w:tcBorders>
            <w:shd w:val="clear" w:color="auto" w:fill="auto"/>
            <w:noWrap/>
            <w:vAlign w:val="bottom"/>
            <w:hideMark/>
          </w:tcPr>
          <w:p w14:paraId="47000681" w14:textId="77777777" w:rsidR="00513EDD" w:rsidRPr="00177B65" w:rsidRDefault="00513EDD" w:rsidP="00513EDD">
            <w:pPr>
              <w:spacing w:after="0" w:line="240" w:lineRule="auto"/>
              <w:jc w:val="left"/>
              <w:outlineLvl w:val="0"/>
              <w:rPr>
                <w:rFonts w:ascii="Arial" w:hAnsi="Arial" w:cs="Arial"/>
                <w:b/>
                <w:bCs/>
                <w:color w:val="000000"/>
                <w:sz w:val="16"/>
                <w:szCs w:val="16"/>
              </w:rPr>
            </w:pPr>
            <w:r w:rsidRPr="00177B65">
              <w:rPr>
                <w:rFonts w:ascii="Arial" w:hAnsi="Arial" w:cs="Arial"/>
                <w:b/>
                <w:bCs/>
                <w:color w:val="000000"/>
                <w:sz w:val="16"/>
                <w:szCs w:val="16"/>
              </w:rPr>
              <w:t>Total other comprehensive income</w:t>
            </w:r>
          </w:p>
        </w:tc>
        <w:tc>
          <w:tcPr>
            <w:tcW w:w="812" w:type="dxa"/>
            <w:tcBorders>
              <w:top w:val="single" w:sz="4" w:space="0" w:color="auto"/>
              <w:left w:val="nil"/>
              <w:bottom w:val="single" w:sz="4" w:space="0" w:color="auto"/>
              <w:right w:val="nil"/>
            </w:tcBorders>
            <w:shd w:val="clear" w:color="auto" w:fill="auto"/>
            <w:noWrap/>
            <w:vAlign w:val="bottom"/>
            <w:hideMark/>
          </w:tcPr>
          <w:p w14:paraId="67066FBB" w14:textId="77777777" w:rsidR="00513EDD" w:rsidRPr="00177B65" w:rsidRDefault="00513EDD" w:rsidP="00513EDD">
            <w:pPr>
              <w:spacing w:after="0" w:line="240" w:lineRule="auto"/>
              <w:jc w:val="right"/>
              <w:outlineLvl w:val="0"/>
              <w:rPr>
                <w:rFonts w:ascii="Arial" w:hAnsi="Arial" w:cs="Arial"/>
                <w:b/>
                <w:bCs/>
                <w:color w:val="000000"/>
                <w:sz w:val="16"/>
                <w:szCs w:val="16"/>
              </w:rPr>
            </w:pPr>
            <w:r w:rsidRPr="00177B65">
              <w:rPr>
                <w:rFonts w:ascii="Arial" w:hAnsi="Arial" w:cs="Arial"/>
                <w:b/>
                <w:bCs/>
                <w:color w:val="000000"/>
                <w:sz w:val="16"/>
                <w:szCs w:val="16"/>
              </w:rPr>
              <w:t>(359)</w:t>
            </w:r>
          </w:p>
        </w:tc>
        <w:tc>
          <w:tcPr>
            <w:tcW w:w="1059" w:type="dxa"/>
            <w:tcBorders>
              <w:top w:val="single" w:sz="4" w:space="0" w:color="auto"/>
              <w:left w:val="nil"/>
              <w:bottom w:val="single" w:sz="4" w:space="0" w:color="auto"/>
              <w:right w:val="nil"/>
            </w:tcBorders>
            <w:shd w:val="clear" w:color="000000" w:fill="E6E6E6"/>
            <w:noWrap/>
            <w:vAlign w:val="bottom"/>
            <w:hideMark/>
          </w:tcPr>
          <w:p w14:paraId="7CF95636" w14:textId="2A134C59" w:rsidR="00513EDD" w:rsidRPr="00177B65" w:rsidRDefault="00513EDD" w:rsidP="00513EDD">
            <w:pPr>
              <w:spacing w:after="0" w:line="240" w:lineRule="auto"/>
              <w:jc w:val="right"/>
              <w:outlineLvl w:val="0"/>
              <w:rPr>
                <w:rFonts w:ascii="Arial" w:hAnsi="Arial" w:cs="Arial"/>
                <w:b/>
                <w:bCs/>
                <w:color w:val="000000"/>
                <w:sz w:val="16"/>
                <w:szCs w:val="16"/>
              </w:rPr>
            </w:pPr>
            <w:r w:rsidRPr="00177B65">
              <w:rPr>
                <w:rFonts w:ascii="Arial" w:hAnsi="Arial" w:cs="Arial"/>
                <w:b/>
                <w:bCs/>
                <w:color w:val="000000"/>
                <w:sz w:val="16"/>
                <w:szCs w:val="16"/>
              </w:rPr>
              <w:t>-</w:t>
            </w:r>
          </w:p>
        </w:tc>
        <w:tc>
          <w:tcPr>
            <w:tcW w:w="919" w:type="dxa"/>
            <w:tcBorders>
              <w:top w:val="single" w:sz="4" w:space="0" w:color="auto"/>
              <w:left w:val="nil"/>
              <w:bottom w:val="single" w:sz="4" w:space="0" w:color="auto"/>
              <w:right w:val="nil"/>
            </w:tcBorders>
            <w:shd w:val="clear" w:color="auto" w:fill="auto"/>
            <w:noWrap/>
            <w:vAlign w:val="bottom"/>
            <w:hideMark/>
          </w:tcPr>
          <w:p w14:paraId="046D4A6F" w14:textId="4164BB2A" w:rsidR="00513EDD" w:rsidRPr="00177B65" w:rsidRDefault="00513EDD" w:rsidP="00513EDD">
            <w:pPr>
              <w:spacing w:after="0" w:line="240" w:lineRule="auto"/>
              <w:jc w:val="right"/>
              <w:outlineLvl w:val="0"/>
              <w:rPr>
                <w:rFonts w:ascii="Arial" w:hAnsi="Arial" w:cs="Arial"/>
                <w:b/>
                <w:bCs/>
                <w:color w:val="000000"/>
                <w:sz w:val="16"/>
                <w:szCs w:val="16"/>
              </w:rPr>
            </w:pPr>
            <w:r w:rsidRPr="00177B65">
              <w:rPr>
                <w:rFonts w:ascii="Arial" w:hAnsi="Arial" w:cs="Arial"/>
                <w:b/>
                <w:bCs/>
                <w:color w:val="000000"/>
                <w:sz w:val="16"/>
                <w:szCs w:val="16"/>
              </w:rPr>
              <w:t>-</w:t>
            </w:r>
          </w:p>
        </w:tc>
        <w:tc>
          <w:tcPr>
            <w:tcW w:w="919" w:type="dxa"/>
            <w:tcBorders>
              <w:top w:val="single" w:sz="4" w:space="0" w:color="auto"/>
              <w:left w:val="nil"/>
              <w:bottom w:val="single" w:sz="4" w:space="0" w:color="auto"/>
              <w:right w:val="nil"/>
            </w:tcBorders>
            <w:shd w:val="clear" w:color="auto" w:fill="auto"/>
            <w:noWrap/>
            <w:vAlign w:val="bottom"/>
            <w:hideMark/>
          </w:tcPr>
          <w:p w14:paraId="6FCD3EB1" w14:textId="506D0303" w:rsidR="00513EDD" w:rsidRPr="00177B65" w:rsidRDefault="00513EDD" w:rsidP="00513EDD">
            <w:pPr>
              <w:spacing w:after="0" w:line="240" w:lineRule="auto"/>
              <w:jc w:val="right"/>
              <w:outlineLvl w:val="0"/>
              <w:rPr>
                <w:rFonts w:ascii="Arial" w:hAnsi="Arial" w:cs="Arial"/>
                <w:b/>
                <w:bCs/>
                <w:color w:val="000000"/>
                <w:sz w:val="16"/>
                <w:szCs w:val="16"/>
              </w:rPr>
            </w:pPr>
            <w:r w:rsidRPr="00177B65">
              <w:rPr>
                <w:rFonts w:ascii="Arial" w:hAnsi="Arial" w:cs="Arial"/>
                <w:b/>
                <w:bCs/>
                <w:color w:val="000000"/>
                <w:sz w:val="16"/>
                <w:szCs w:val="16"/>
              </w:rPr>
              <w:t>-</w:t>
            </w:r>
          </w:p>
        </w:tc>
        <w:tc>
          <w:tcPr>
            <w:tcW w:w="821" w:type="dxa"/>
            <w:tcBorders>
              <w:top w:val="single" w:sz="4" w:space="0" w:color="auto"/>
              <w:left w:val="nil"/>
              <w:bottom w:val="single" w:sz="4" w:space="0" w:color="auto"/>
              <w:right w:val="nil"/>
            </w:tcBorders>
            <w:shd w:val="clear" w:color="auto" w:fill="auto"/>
            <w:noWrap/>
            <w:vAlign w:val="bottom"/>
            <w:hideMark/>
          </w:tcPr>
          <w:p w14:paraId="2FEAF93F" w14:textId="0119723F" w:rsidR="00513EDD" w:rsidRPr="00177B65" w:rsidRDefault="00513EDD" w:rsidP="00513EDD">
            <w:pPr>
              <w:spacing w:after="0" w:line="240" w:lineRule="auto"/>
              <w:jc w:val="right"/>
              <w:outlineLvl w:val="0"/>
              <w:rPr>
                <w:rFonts w:ascii="Arial" w:hAnsi="Arial" w:cs="Arial"/>
                <w:b/>
                <w:bCs/>
                <w:color w:val="000000"/>
                <w:sz w:val="16"/>
                <w:szCs w:val="16"/>
              </w:rPr>
            </w:pPr>
            <w:r w:rsidRPr="00177B65">
              <w:rPr>
                <w:rFonts w:ascii="Arial" w:hAnsi="Arial" w:cs="Arial"/>
                <w:b/>
                <w:bCs/>
                <w:color w:val="000000"/>
                <w:sz w:val="16"/>
                <w:szCs w:val="16"/>
              </w:rPr>
              <w:t>-</w:t>
            </w:r>
          </w:p>
        </w:tc>
      </w:tr>
      <w:tr w:rsidR="00513EDD" w:rsidRPr="00513EDD" w14:paraId="7C25E118" w14:textId="77777777" w:rsidTr="00177B65">
        <w:trPr>
          <w:trHeight w:val="204"/>
        </w:trPr>
        <w:tc>
          <w:tcPr>
            <w:tcW w:w="3119" w:type="dxa"/>
            <w:tcBorders>
              <w:top w:val="nil"/>
              <w:left w:val="nil"/>
              <w:bottom w:val="single" w:sz="4" w:space="0" w:color="auto"/>
              <w:right w:val="nil"/>
            </w:tcBorders>
            <w:shd w:val="clear" w:color="auto" w:fill="auto"/>
            <w:vAlign w:val="bottom"/>
            <w:hideMark/>
          </w:tcPr>
          <w:p w14:paraId="22310D01" w14:textId="77777777" w:rsidR="00513EDD" w:rsidRPr="00177B65" w:rsidRDefault="00513EDD" w:rsidP="00513EDD">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Total comprehensive income/(loss) attributable to the Australian Government</w:t>
            </w:r>
          </w:p>
        </w:tc>
        <w:tc>
          <w:tcPr>
            <w:tcW w:w="812" w:type="dxa"/>
            <w:tcBorders>
              <w:top w:val="nil"/>
              <w:left w:val="nil"/>
              <w:bottom w:val="single" w:sz="4" w:space="0" w:color="auto"/>
              <w:right w:val="nil"/>
            </w:tcBorders>
            <w:shd w:val="clear" w:color="auto" w:fill="auto"/>
            <w:noWrap/>
            <w:vAlign w:val="bottom"/>
            <w:hideMark/>
          </w:tcPr>
          <w:p w14:paraId="4ECC91CA"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(2,278)</w:t>
            </w:r>
          </w:p>
        </w:tc>
        <w:tc>
          <w:tcPr>
            <w:tcW w:w="1059" w:type="dxa"/>
            <w:tcBorders>
              <w:top w:val="nil"/>
              <w:left w:val="nil"/>
              <w:bottom w:val="single" w:sz="4" w:space="0" w:color="auto"/>
              <w:right w:val="nil"/>
            </w:tcBorders>
            <w:shd w:val="clear" w:color="000000" w:fill="E6E6E6"/>
            <w:noWrap/>
            <w:vAlign w:val="bottom"/>
            <w:hideMark/>
          </w:tcPr>
          <w:p w14:paraId="1901D597"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(1,100)</w:t>
            </w:r>
          </w:p>
        </w:tc>
        <w:tc>
          <w:tcPr>
            <w:tcW w:w="919" w:type="dxa"/>
            <w:tcBorders>
              <w:top w:val="nil"/>
              <w:left w:val="nil"/>
              <w:bottom w:val="single" w:sz="4" w:space="0" w:color="auto"/>
              <w:right w:val="nil"/>
            </w:tcBorders>
            <w:shd w:val="clear" w:color="auto" w:fill="auto"/>
            <w:noWrap/>
            <w:vAlign w:val="bottom"/>
            <w:hideMark/>
          </w:tcPr>
          <w:p w14:paraId="766BC836"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(1,106)</w:t>
            </w:r>
          </w:p>
        </w:tc>
        <w:tc>
          <w:tcPr>
            <w:tcW w:w="919" w:type="dxa"/>
            <w:tcBorders>
              <w:top w:val="nil"/>
              <w:left w:val="nil"/>
              <w:bottom w:val="single" w:sz="4" w:space="0" w:color="auto"/>
              <w:right w:val="nil"/>
            </w:tcBorders>
            <w:shd w:val="clear" w:color="auto" w:fill="auto"/>
            <w:noWrap/>
            <w:vAlign w:val="bottom"/>
            <w:hideMark/>
          </w:tcPr>
          <w:p w14:paraId="1FECAEF7"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(1,245)</w:t>
            </w:r>
          </w:p>
        </w:tc>
        <w:tc>
          <w:tcPr>
            <w:tcW w:w="821" w:type="dxa"/>
            <w:tcBorders>
              <w:top w:val="nil"/>
              <w:left w:val="nil"/>
              <w:bottom w:val="single" w:sz="4" w:space="0" w:color="auto"/>
              <w:right w:val="nil"/>
            </w:tcBorders>
            <w:shd w:val="clear" w:color="auto" w:fill="auto"/>
            <w:noWrap/>
            <w:vAlign w:val="bottom"/>
            <w:hideMark/>
          </w:tcPr>
          <w:p w14:paraId="5600EA35" w14:textId="77777777" w:rsidR="00513EDD" w:rsidRPr="00177B65" w:rsidRDefault="00513EDD" w:rsidP="00513EDD">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(1,239)</w:t>
            </w:r>
          </w:p>
        </w:tc>
      </w:tr>
      <w:tr w:rsidR="00553851" w:rsidRPr="00513EDD" w14:paraId="2919C57E" w14:textId="77777777" w:rsidTr="00177B65">
        <w:trPr>
          <w:trHeight w:val="204"/>
        </w:trPr>
        <w:tc>
          <w:tcPr>
            <w:tcW w:w="7649" w:type="dxa"/>
            <w:gridSpan w:val="6"/>
            <w:tcBorders>
              <w:top w:val="single" w:sz="4" w:space="0" w:color="auto"/>
              <w:left w:val="nil"/>
              <w:bottom w:val="single" w:sz="4" w:space="0" w:color="auto"/>
              <w:right w:val="nil"/>
            </w:tcBorders>
            <w:shd w:val="clear" w:color="auto" w:fill="auto"/>
            <w:noWrap/>
            <w:vAlign w:val="bottom"/>
            <w:hideMark/>
          </w:tcPr>
          <w:p w14:paraId="14E4D05A" w14:textId="6D24B3A7" w:rsidR="00553851" w:rsidRPr="00177B65" w:rsidRDefault="00553851" w:rsidP="00553851">
            <w:pPr>
              <w:spacing w:after="0" w:line="240" w:lineRule="auto"/>
              <w:jc w:val="left"/>
              <w:rPr>
                <w:rFonts w:ascii="Arial" w:hAnsi="Arial" w:cs="Arial"/>
                <w:color w:val="000000"/>
                <w:sz w:val="16"/>
                <w:szCs w:val="16"/>
              </w:rPr>
            </w:pPr>
            <w:r w:rsidRPr="00177B65">
              <w:rPr>
                <w:rFonts w:ascii="Arial" w:hAnsi="Arial" w:cs="Arial"/>
                <w:b/>
                <w:bCs/>
                <w:color w:val="000000"/>
                <w:sz w:val="16"/>
                <w:szCs w:val="16"/>
              </w:rPr>
              <w:t>Note: Impact of net cash appropriation arrangements</w:t>
            </w:r>
          </w:p>
        </w:tc>
      </w:tr>
      <w:tr w:rsidR="00E56DA5" w:rsidRPr="00513EDD" w14:paraId="2B4DB12C" w14:textId="77777777" w:rsidTr="00177B65">
        <w:trPr>
          <w:trHeight w:val="204"/>
        </w:trPr>
        <w:tc>
          <w:tcPr>
            <w:tcW w:w="3119" w:type="dxa"/>
            <w:tcBorders>
              <w:top w:val="single" w:sz="4" w:space="0" w:color="auto"/>
              <w:left w:val="nil"/>
              <w:right w:val="nil"/>
            </w:tcBorders>
            <w:shd w:val="clear" w:color="auto" w:fill="auto"/>
            <w:vAlign w:val="bottom"/>
            <w:hideMark/>
          </w:tcPr>
          <w:p w14:paraId="3CDF5698" w14:textId="77777777" w:rsidR="00E56DA5" w:rsidRPr="00177B65" w:rsidRDefault="00E56DA5" w:rsidP="001D4F7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Total comprehensive income/(loss) - as per statement of comprehensive income</w:t>
            </w:r>
          </w:p>
        </w:tc>
        <w:tc>
          <w:tcPr>
            <w:tcW w:w="812" w:type="dxa"/>
            <w:tcBorders>
              <w:top w:val="single" w:sz="4" w:space="0" w:color="auto"/>
              <w:left w:val="nil"/>
              <w:right w:val="nil"/>
            </w:tcBorders>
            <w:shd w:val="clear" w:color="auto" w:fill="auto"/>
            <w:noWrap/>
            <w:vAlign w:val="bottom"/>
            <w:hideMark/>
          </w:tcPr>
          <w:p w14:paraId="5F09DED5" w14:textId="77777777" w:rsidR="00E56DA5" w:rsidRPr="00177B65" w:rsidRDefault="00E56DA5" w:rsidP="001D4F78">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(2,278)</w:t>
            </w:r>
          </w:p>
        </w:tc>
        <w:tc>
          <w:tcPr>
            <w:tcW w:w="1059" w:type="dxa"/>
            <w:tcBorders>
              <w:top w:val="single" w:sz="4" w:space="0" w:color="auto"/>
              <w:left w:val="nil"/>
              <w:right w:val="nil"/>
            </w:tcBorders>
            <w:shd w:val="clear" w:color="000000" w:fill="E6E6E6"/>
            <w:noWrap/>
            <w:vAlign w:val="bottom"/>
            <w:hideMark/>
          </w:tcPr>
          <w:p w14:paraId="18B67483" w14:textId="77777777" w:rsidR="00E56DA5" w:rsidRPr="00177B65" w:rsidRDefault="00E56DA5" w:rsidP="001D4F78">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(1,100)</w:t>
            </w:r>
          </w:p>
        </w:tc>
        <w:tc>
          <w:tcPr>
            <w:tcW w:w="919" w:type="dxa"/>
            <w:tcBorders>
              <w:top w:val="single" w:sz="4" w:space="0" w:color="auto"/>
              <w:left w:val="nil"/>
              <w:right w:val="nil"/>
            </w:tcBorders>
            <w:shd w:val="clear" w:color="auto" w:fill="auto"/>
            <w:noWrap/>
            <w:vAlign w:val="bottom"/>
            <w:hideMark/>
          </w:tcPr>
          <w:p w14:paraId="2AA084FB" w14:textId="77777777" w:rsidR="00E56DA5" w:rsidRPr="00177B65" w:rsidRDefault="00E56DA5" w:rsidP="001D4F78">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(1,106)</w:t>
            </w:r>
          </w:p>
        </w:tc>
        <w:tc>
          <w:tcPr>
            <w:tcW w:w="919" w:type="dxa"/>
            <w:tcBorders>
              <w:top w:val="single" w:sz="4" w:space="0" w:color="auto"/>
              <w:left w:val="nil"/>
              <w:right w:val="nil"/>
            </w:tcBorders>
            <w:shd w:val="clear" w:color="auto" w:fill="auto"/>
            <w:noWrap/>
            <w:vAlign w:val="bottom"/>
            <w:hideMark/>
          </w:tcPr>
          <w:p w14:paraId="6B1A5E48" w14:textId="77777777" w:rsidR="00E56DA5" w:rsidRPr="00177B65" w:rsidRDefault="00E56DA5" w:rsidP="001D4F78">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(1,245)</w:t>
            </w:r>
          </w:p>
        </w:tc>
        <w:tc>
          <w:tcPr>
            <w:tcW w:w="821" w:type="dxa"/>
            <w:tcBorders>
              <w:top w:val="single" w:sz="4" w:space="0" w:color="auto"/>
              <w:left w:val="nil"/>
              <w:right w:val="nil"/>
            </w:tcBorders>
            <w:shd w:val="clear" w:color="auto" w:fill="auto"/>
            <w:noWrap/>
            <w:vAlign w:val="bottom"/>
            <w:hideMark/>
          </w:tcPr>
          <w:p w14:paraId="6D9FECD6" w14:textId="77777777" w:rsidR="00E56DA5" w:rsidRPr="00177B65" w:rsidRDefault="00E56DA5" w:rsidP="001D4F78">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(1,239)</w:t>
            </w:r>
          </w:p>
        </w:tc>
      </w:tr>
      <w:tr w:rsidR="00513EDD" w:rsidRPr="00513EDD" w14:paraId="441746B9" w14:textId="77777777" w:rsidTr="00177B65">
        <w:trPr>
          <w:trHeight w:val="204"/>
        </w:trPr>
        <w:tc>
          <w:tcPr>
            <w:tcW w:w="3119" w:type="dxa"/>
            <w:tcBorders>
              <w:top w:val="nil"/>
              <w:left w:val="nil"/>
              <w:bottom w:val="nil"/>
              <w:right w:val="nil"/>
            </w:tcBorders>
            <w:shd w:val="clear" w:color="auto" w:fill="auto"/>
            <w:vAlign w:val="bottom"/>
            <w:hideMark/>
          </w:tcPr>
          <w:p w14:paraId="6D12531C" w14:textId="39697387" w:rsidR="00513EDD" w:rsidRPr="00177B65" w:rsidRDefault="002367A2" w:rsidP="002367A2">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p</w:t>
            </w:r>
            <w:r w:rsidR="00513EDD" w:rsidRPr="00177B65">
              <w:rPr>
                <w:rFonts w:ascii="Arial" w:hAnsi="Arial" w:cs="Arial"/>
                <w:color w:val="000000"/>
                <w:sz w:val="16"/>
                <w:szCs w:val="16"/>
              </w:rPr>
              <w:t xml:space="preserve">lus: depreciation/amortisation expenses previously funded through revenue appropriation </w:t>
            </w:r>
            <w:r w:rsidR="00513EDD" w:rsidRPr="00177B65">
              <w:rPr>
                <w:rFonts w:ascii="Arial" w:hAnsi="Arial" w:cs="Arial"/>
                <w:color w:val="000000"/>
                <w:sz w:val="16"/>
                <w:szCs w:val="16"/>
                <w:vertAlign w:val="superscript"/>
              </w:rPr>
              <w:t>(a)</w:t>
            </w:r>
          </w:p>
        </w:tc>
        <w:tc>
          <w:tcPr>
            <w:tcW w:w="812" w:type="dxa"/>
            <w:tcBorders>
              <w:top w:val="nil"/>
              <w:left w:val="nil"/>
              <w:bottom w:val="nil"/>
              <w:right w:val="nil"/>
            </w:tcBorders>
            <w:shd w:val="clear" w:color="auto" w:fill="auto"/>
            <w:noWrap/>
            <w:vAlign w:val="bottom"/>
            <w:hideMark/>
          </w:tcPr>
          <w:p w14:paraId="730B42D1" w14:textId="0A27A19A"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1,316</w:t>
            </w:r>
          </w:p>
        </w:tc>
        <w:tc>
          <w:tcPr>
            <w:tcW w:w="1059" w:type="dxa"/>
            <w:tcBorders>
              <w:top w:val="nil"/>
              <w:left w:val="nil"/>
              <w:bottom w:val="nil"/>
              <w:right w:val="nil"/>
            </w:tcBorders>
            <w:shd w:val="clear" w:color="000000" w:fill="E6E6E6"/>
            <w:noWrap/>
            <w:vAlign w:val="bottom"/>
            <w:hideMark/>
          </w:tcPr>
          <w:p w14:paraId="120F50A0" w14:textId="2D6F573B"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1,088</w:t>
            </w:r>
          </w:p>
        </w:tc>
        <w:tc>
          <w:tcPr>
            <w:tcW w:w="919" w:type="dxa"/>
            <w:tcBorders>
              <w:top w:val="nil"/>
              <w:left w:val="nil"/>
              <w:bottom w:val="nil"/>
              <w:right w:val="nil"/>
            </w:tcBorders>
            <w:shd w:val="clear" w:color="auto" w:fill="auto"/>
            <w:noWrap/>
            <w:vAlign w:val="bottom"/>
            <w:hideMark/>
          </w:tcPr>
          <w:p w14:paraId="7094D7F9" w14:textId="23723473"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1,100</w:t>
            </w:r>
          </w:p>
        </w:tc>
        <w:tc>
          <w:tcPr>
            <w:tcW w:w="919" w:type="dxa"/>
            <w:tcBorders>
              <w:top w:val="nil"/>
              <w:left w:val="nil"/>
              <w:bottom w:val="nil"/>
              <w:right w:val="nil"/>
            </w:tcBorders>
            <w:shd w:val="clear" w:color="auto" w:fill="auto"/>
            <w:noWrap/>
            <w:vAlign w:val="bottom"/>
            <w:hideMark/>
          </w:tcPr>
          <w:p w14:paraId="192E6119" w14:textId="6F52D439"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1,245</w:t>
            </w:r>
          </w:p>
        </w:tc>
        <w:tc>
          <w:tcPr>
            <w:tcW w:w="821" w:type="dxa"/>
            <w:tcBorders>
              <w:top w:val="nil"/>
              <w:left w:val="nil"/>
              <w:bottom w:val="nil"/>
              <w:right w:val="nil"/>
            </w:tcBorders>
            <w:shd w:val="clear" w:color="auto" w:fill="auto"/>
            <w:noWrap/>
            <w:vAlign w:val="bottom"/>
            <w:hideMark/>
          </w:tcPr>
          <w:p w14:paraId="234FB674" w14:textId="57A4949A"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1,245</w:t>
            </w:r>
          </w:p>
        </w:tc>
      </w:tr>
      <w:tr w:rsidR="00513EDD" w:rsidRPr="00513EDD" w14:paraId="7A626AC1" w14:textId="77777777" w:rsidTr="00177B65">
        <w:trPr>
          <w:trHeight w:val="204"/>
        </w:trPr>
        <w:tc>
          <w:tcPr>
            <w:tcW w:w="3119" w:type="dxa"/>
            <w:tcBorders>
              <w:top w:val="nil"/>
              <w:left w:val="nil"/>
              <w:bottom w:val="nil"/>
              <w:right w:val="nil"/>
            </w:tcBorders>
            <w:shd w:val="clear" w:color="auto" w:fill="auto"/>
            <w:vAlign w:val="bottom"/>
            <w:hideMark/>
          </w:tcPr>
          <w:p w14:paraId="4C010517" w14:textId="6B788DF5" w:rsidR="00513EDD" w:rsidRPr="00177B65" w:rsidRDefault="002367A2" w:rsidP="002367A2">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p</w:t>
            </w:r>
            <w:r w:rsidR="00513EDD" w:rsidRPr="00177B65">
              <w:rPr>
                <w:rFonts w:ascii="Arial" w:hAnsi="Arial" w:cs="Arial"/>
                <w:color w:val="000000"/>
                <w:sz w:val="16"/>
                <w:szCs w:val="16"/>
              </w:rPr>
              <w:t>lus: depreciation right-of-use assets</w:t>
            </w:r>
            <w:r w:rsidR="00132649" w:rsidRPr="00177B65">
              <w:rPr>
                <w:rFonts w:ascii="Arial" w:hAnsi="Arial" w:cs="Arial"/>
                <w:color w:val="000000"/>
                <w:sz w:val="16"/>
                <w:szCs w:val="16"/>
              </w:rPr>
              <w:t> </w:t>
            </w:r>
            <w:r w:rsidR="00513EDD" w:rsidRPr="00177B65">
              <w:rPr>
                <w:rFonts w:ascii="Arial" w:hAnsi="Arial" w:cs="Arial"/>
                <w:color w:val="000000"/>
                <w:sz w:val="16"/>
                <w:szCs w:val="16"/>
                <w:vertAlign w:val="superscript"/>
              </w:rPr>
              <w:t>(b)</w:t>
            </w:r>
          </w:p>
        </w:tc>
        <w:tc>
          <w:tcPr>
            <w:tcW w:w="812" w:type="dxa"/>
            <w:tcBorders>
              <w:top w:val="nil"/>
              <w:left w:val="nil"/>
              <w:right w:val="nil"/>
            </w:tcBorders>
            <w:shd w:val="clear" w:color="auto" w:fill="auto"/>
            <w:noWrap/>
            <w:vAlign w:val="bottom"/>
            <w:hideMark/>
          </w:tcPr>
          <w:p w14:paraId="5E2D340C" w14:textId="5FE5C890"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331</w:t>
            </w:r>
          </w:p>
        </w:tc>
        <w:tc>
          <w:tcPr>
            <w:tcW w:w="1059" w:type="dxa"/>
            <w:tcBorders>
              <w:top w:val="nil"/>
              <w:left w:val="nil"/>
              <w:right w:val="nil"/>
            </w:tcBorders>
            <w:shd w:val="clear" w:color="000000" w:fill="E6E6E6"/>
            <w:noWrap/>
            <w:vAlign w:val="bottom"/>
            <w:hideMark/>
          </w:tcPr>
          <w:p w14:paraId="07329165" w14:textId="0D4C1661"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339</w:t>
            </w:r>
          </w:p>
        </w:tc>
        <w:tc>
          <w:tcPr>
            <w:tcW w:w="919" w:type="dxa"/>
            <w:tcBorders>
              <w:top w:val="nil"/>
              <w:left w:val="nil"/>
              <w:right w:val="nil"/>
            </w:tcBorders>
            <w:shd w:val="clear" w:color="auto" w:fill="auto"/>
            <w:noWrap/>
            <w:vAlign w:val="bottom"/>
            <w:hideMark/>
          </w:tcPr>
          <w:p w14:paraId="3A008BC9" w14:textId="3B034774"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339</w:t>
            </w:r>
          </w:p>
        </w:tc>
        <w:tc>
          <w:tcPr>
            <w:tcW w:w="919" w:type="dxa"/>
            <w:tcBorders>
              <w:top w:val="nil"/>
              <w:left w:val="nil"/>
              <w:right w:val="nil"/>
            </w:tcBorders>
            <w:shd w:val="clear" w:color="auto" w:fill="auto"/>
            <w:noWrap/>
            <w:vAlign w:val="bottom"/>
            <w:hideMark/>
          </w:tcPr>
          <w:p w14:paraId="41FF6B6C" w14:textId="07D8FA2C"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339</w:t>
            </w:r>
          </w:p>
        </w:tc>
        <w:tc>
          <w:tcPr>
            <w:tcW w:w="821" w:type="dxa"/>
            <w:tcBorders>
              <w:top w:val="nil"/>
              <w:left w:val="nil"/>
              <w:right w:val="nil"/>
            </w:tcBorders>
            <w:shd w:val="clear" w:color="auto" w:fill="auto"/>
            <w:noWrap/>
            <w:vAlign w:val="bottom"/>
            <w:hideMark/>
          </w:tcPr>
          <w:p w14:paraId="7EC8DA0F" w14:textId="2A0212F9"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339</w:t>
            </w:r>
          </w:p>
        </w:tc>
      </w:tr>
      <w:tr w:rsidR="00513EDD" w:rsidRPr="00513EDD" w14:paraId="216EE73E" w14:textId="77777777" w:rsidTr="00177B65">
        <w:trPr>
          <w:trHeight w:val="204"/>
        </w:trPr>
        <w:tc>
          <w:tcPr>
            <w:tcW w:w="3119" w:type="dxa"/>
            <w:tcBorders>
              <w:top w:val="nil"/>
              <w:left w:val="nil"/>
              <w:bottom w:val="nil"/>
              <w:right w:val="nil"/>
            </w:tcBorders>
            <w:shd w:val="clear" w:color="auto" w:fill="auto"/>
            <w:vAlign w:val="bottom"/>
            <w:hideMark/>
          </w:tcPr>
          <w:p w14:paraId="2CA67150" w14:textId="4295D1D9" w:rsidR="00513EDD" w:rsidRPr="00177B65" w:rsidRDefault="002367A2" w:rsidP="002367A2">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l</w:t>
            </w:r>
            <w:r w:rsidR="00513EDD" w:rsidRPr="00177B65">
              <w:rPr>
                <w:rFonts w:ascii="Arial" w:hAnsi="Arial" w:cs="Arial"/>
                <w:color w:val="000000"/>
                <w:sz w:val="16"/>
                <w:szCs w:val="16"/>
              </w:rPr>
              <w:t xml:space="preserve">ess: principal repayments - leased assets </w:t>
            </w:r>
            <w:r w:rsidR="00513EDD" w:rsidRPr="00177B65">
              <w:rPr>
                <w:rFonts w:ascii="Arial" w:hAnsi="Arial" w:cs="Arial"/>
                <w:color w:val="000000"/>
                <w:sz w:val="16"/>
                <w:szCs w:val="16"/>
                <w:vertAlign w:val="superscript"/>
              </w:rPr>
              <w:t>(b)</w:t>
            </w:r>
          </w:p>
        </w:tc>
        <w:tc>
          <w:tcPr>
            <w:tcW w:w="812" w:type="dxa"/>
            <w:tcBorders>
              <w:top w:val="nil"/>
              <w:left w:val="nil"/>
              <w:bottom w:val="single" w:sz="4" w:space="0" w:color="auto"/>
              <w:right w:val="nil"/>
            </w:tcBorders>
            <w:shd w:val="clear" w:color="auto" w:fill="auto"/>
            <w:noWrap/>
            <w:vAlign w:val="bottom"/>
            <w:hideMark/>
          </w:tcPr>
          <w:p w14:paraId="0855E601" w14:textId="77777777"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(352)</w:t>
            </w:r>
          </w:p>
        </w:tc>
        <w:tc>
          <w:tcPr>
            <w:tcW w:w="1059" w:type="dxa"/>
            <w:tcBorders>
              <w:top w:val="nil"/>
              <w:left w:val="nil"/>
              <w:bottom w:val="single" w:sz="4" w:space="0" w:color="auto"/>
              <w:right w:val="nil"/>
            </w:tcBorders>
            <w:shd w:val="clear" w:color="000000" w:fill="E6E6E6"/>
            <w:noWrap/>
            <w:vAlign w:val="bottom"/>
            <w:hideMark/>
          </w:tcPr>
          <w:p w14:paraId="626562F8" w14:textId="77777777"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(327)</w:t>
            </w:r>
          </w:p>
        </w:tc>
        <w:tc>
          <w:tcPr>
            <w:tcW w:w="919" w:type="dxa"/>
            <w:tcBorders>
              <w:top w:val="nil"/>
              <w:left w:val="nil"/>
              <w:bottom w:val="single" w:sz="4" w:space="0" w:color="auto"/>
              <w:right w:val="nil"/>
            </w:tcBorders>
            <w:shd w:val="clear" w:color="auto" w:fill="auto"/>
            <w:noWrap/>
            <w:vAlign w:val="bottom"/>
            <w:hideMark/>
          </w:tcPr>
          <w:p w14:paraId="66929D2E" w14:textId="77777777"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(333)</w:t>
            </w:r>
          </w:p>
        </w:tc>
        <w:tc>
          <w:tcPr>
            <w:tcW w:w="919" w:type="dxa"/>
            <w:tcBorders>
              <w:top w:val="nil"/>
              <w:left w:val="nil"/>
              <w:bottom w:val="single" w:sz="4" w:space="0" w:color="auto"/>
              <w:right w:val="nil"/>
            </w:tcBorders>
            <w:shd w:val="clear" w:color="auto" w:fill="auto"/>
            <w:noWrap/>
            <w:vAlign w:val="bottom"/>
            <w:hideMark/>
          </w:tcPr>
          <w:p w14:paraId="21A4ECCB" w14:textId="77777777"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(339)</w:t>
            </w:r>
          </w:p>
        </w:tc>
        <w:tc>
          <w:tcPr>
            <w:tcW w:w="821" w:type="dxa"/>
            <w:tcBorders>
              <w:top w:val="nil"/>
              <w:left w:val="nil"/>
              <w:bottom w:val="single" w:sz="4" w:space="0" w:color="auto"/>
              <w:right w:val="nil"/>
            </w:tcBorders>
            <w:shd w:val="clear" w:color="auto" w:fill="auto"/>
            <w:noWrap/>
            <w:vAlign w:val="bottom"/>
            <w:hideMark/>
          </w:tcPr>
          <w:p w14:paraId="4F1CDD9E" w14:textId="77777777" w:rsidR="00513EDD" w:rsidRPr="00177B65" w:rsidRDefault="00513EDD" w:rsidP="00513EDD">
            <w:pPr>
              <w:spacing w:after="0" w:line="240" w:lineRule="auto"/>
              <w:jc w:val="right"/>
              <w:rPr>
                <w:rFonts w:ascii="Arial" w:hAnsi="Arial" w:cs="Arial"/>
                <w:color w:val="000000"/>
                <w:sz w:val="16"/>
                <w:szCs w:val="16"/>
              </w:rPr>
            </w:pPr>
            <w:r w:rsidRPr="00177B65">
              <w:rPr>
                <w:rFonts w:ascii="Arial" w:hAnsi="Arial" w:cs="Arial"/>
                <w:color w:val="000000"/>
                <w:sz w:val="16"/>
                <w:szCs w:val="16"/>
              </w:rPr>
              <w:t>(345)</w:t>
            </w:r>
          </w:p>
        </w:tc>
      </w:tr>
      <w:tr w:rsidR="00E56DA5" w:rsidRPr="00513EDD" w14:paraId="376C8303" w14:textId="77777777" w:rsidTr="00177B65">
        <w:trPr>
          <w:trHeight w:val="204"/>
        </w:trPr>
        <w:tc>
          <w:tcPr>
            <w:tcW w:w="3119" w:type="dxa"/>
            <w:tcBorders>
              <w:top w:val="nil"/>
              <w:left w:val="nil"/>
              <w:bottom w:val="single" w:sz="4" w:space="0" w:color="auto"/>
              <w:right w:val="nil"/>
            </w:tcBorders>
            <w:shd w:val="clear" w:color="auto" w:fill="auto"/>
            <w:vAlign w:val="bottom"/>
          </w:tcPr>
          <w:p w14:paraId="6709C2C3" w14:textId="492F5941" w:rsidR="00E56DA5" w:rsidRPr="00177B65" w:rsidRDefault="00E56DA5" w:rsidP="00E56DA5">
            <w:pPr>
              <w:spacing w:after="0" w:line="240" w:lineRule="auto"/>
              <w:jc w:val="left"/>
              <w:rPr>
                <w:rFonts w:ascii="Arial" w:hAnsi="Arial" w:cs="Arial"/>
                <w:b/>
                <w:bCs/>
                <w:sz w:val="16"/>
                <w:szCs w:val="16"/>
              </w:rPr>
            </w:pPr>
            <w:r w:rsidRPr="00177B65">
              <w:rPr>
                <w:rFonts w:ascii="Arial" w:hAnsi="Arial" w:cs="Arial"/>
                <w:b/>
                <w:bCs/>
                <w:sz w:val="16"/>
                <w:szCs w:val="16"/>
              </w:rPr>
              <w:t>Net Cash Operating Surplus/ (Deficit)</w:t>
            </w:r>
          </w:p>
        </w:tc>
        <w:tc>
          <w:tcPr>
            <w:tcW w:w="812" w:type="dxa"/>
            <w:tcBorders>
              <w:top w:val="single" w:sz="4" w:space="0" w:color="auto"/>
              <w:left w:val="nil"/>
              <w:bottom w:val="single" w:sz="4" w:space="0" w:color="auto"/>
              <w:right w:val="nil"/>
            </w:tcBorders>
            <w:shd w:val="clear" w:color="auto" w:fill="auto"/>
            <w:noWrap/>
            <w:vAlign w:val="bottom"/>
          </w:tcPr>
          <w:p w14:paraId="7C8192AB" w14:textId="387FF3DF" w:rsidR="00E56DA5" w:rsidRPr="00177B65" w:rsidRDefault="00E56DA5" w:rsidP="00E56DA5">
            <w:pPr>
              <w:spacing w:after="0" w:line="240" w:lineRule="auto"/>
              <w:jc w:val="right"/>
              <w:rPr>
                <w:rFonts w:ascii="Arial" w:hAnsi="Arial" w:cs="Arial"/>
                <w:b/>
                <w:bCs/>
                <w:sz w:val="16"/>
                <w:szCs w:val="16"/>
              </w:rPr>
            </w:pPr>
            <w:r w:rsidRPr="00177B65">
              <w:rPr>
                <w:rFonts w:ascii="Arial" w:hAnsi="Arial" w:cs="Arial"/>
                <w:b/>
                <w:bCs/>
                <w:sz w:val="16"/>
                <w:szCs w:val="16"/>
              </w:rPr>
              <w:t>(983)</w:t>
            </w:r>
          </w:p>
        </w:tc>
        <w:tc>
          <w:tcPr>
            <w:tcW w:w="1059" w:type="dxa"/>
            <w:tcBorders>
              <w:top w:val="single" w:sz="4" w:space="0" w:color="auto"/>
              <w:left w:val="nil"/>
              <w:bottom w:val="single" w:sz="4" w:space="0" w:color="auto"/>
              <w:right w:val="nil"/>
            </w:tcBorders>
            <w:shd w:val="clear" w:color="000000" w:fill="E6E6E6"/>
            <w:noWrap/>
            <w:vAlign w:val="bottom"/>
          </w:tcPr>
          <w:p w14:paraId="11E4B68A" w14:textId="1FBB8303" w:rsidR="00E56DA5" w:rsidRPr="00177B65" w:rsidRDefault="00E56DA5" w:rsidP="00E56DA5">
            <w:pPr>
              <w:spacing w:after="0" w:line="240" w:lineRule="auto"/>
              <w:jc w:val="right"/>
              <w:rPr>
                <w:rFonts w:ascii="Arial" w:hAnsi="Arial" w:cs="Arial"/>
                <w:b/>
                <w:bCs/>
                <w:sz w:val="16"/>
                <w:szCs w:val="16"/>
              </w:rPr>
            </w:pPr>
            <w:r w:rsidRPr="00177B65">
              <w:rPr>
                <w:rFonts w:ascii="Arial" w:hAnsi="Arial" w:cs="Arial"/>
                <w:b/>
                <w:bCs/>
                <w:sz w:val="16"/>
                <w:szCs w:val="16"/>
              </w:rPr>
              <w:t>-</w:t>
            </w:r>
          </w:p>
        </w:tc>
        <w:tc>
          <w:tcPr>
            <w:tcW w:w="919" w:type="dxa"/>
            <w:tcBorders>
              <w:top w:val="single" w:sz="4" w:space="0" w:color="auto"/>
              <w:left w:val="nil"/>
              <w:bottom w:val="single" w:sz="4" w:space="0" w:color="auto"/>
              <w:right w:val="nil"/>
            </w:tcBorders>
            <w:shd w:val="clear" w:color="auto" w:fill="auto"/>
            <w:noWrap/>
            <w:vAlign w:val="bottom"/>
          </w:tcPr>
          <w:p w14:paraId="0E3B8EE6" w14:textId="779DCB20" w:rsidR="00E56DA5" w:rsidRPr="00177B65" w:rsidRDefault="00E56DA5" w:rsidP="00E56DA5">
            <w:pPr>
              <w:spacing w:after="0" w:line="240" w:lineRule="auto"/>
              <w:jc w:val="right"/>
              <w:rPr>
                <w:rFonts w:ascii="Arial" w:hAnsi="Arial" w:cs="Arial"/>
                <w:b/>
                <w:bCs/>
                <w:sz w:val="16"/>
                <w:szCs w:val="16"/>
              </w:rPr>
            </w:pPr>
            <w:r w:rsidRPr="00177B65">
              <w:rPr>
                <w:rFonts w:ascii="Arial" w:hAnsi="Arial" w:cs="Arial"/>
                <w:b/>
                <w:bCs/>
                <w:sz w:val="16"/>
                <w:szCs w:val="16"/>
              </w:rPr>
              <w:t>-</w:t>
            </w:r>
          </w:p>
        </w:tc>
        <w:tc>
          <w:tcPr>
            <w:tcW w:w="919" w:type="dxa"/>
            <w:tcBorders>
              <w:top w:val="single" w:sz="4" w:space="0" w:color="auto"/>
              <w:left w:val="nil"/>
              <w:bottom w:val="single" w:sz="4" w:space="0" w:color="auto"/>
              <w:right w:val="nil"/>
            </w:tcBorders>
            <w:shd w:val="clear" w:color="auto" w:fill="auto"/>
            <w:noWrap/>
            <w:vAlign w:val="bottom"/>
          </w:tcPr>
          <w:p w14:paraId="1DE5BAF7" w14:textId="7B867DF0" w:rsidR="00E56DA5" w:rsidRPr="00177B65" w:rsidRDefault="00E56DA5" w:rsidP="00E56DA5">
            <w:pPr>
              <w:spacing w:after="0" w:line="240" w:lineRule="auto"/>
              <w:jc w:val="right"/>
              <w:rPr>
                <w:rFonts w:ascii="Arial" w:hAnsi="Arial" w:cs="Arial"/>
                <w:b/>
                <w:bCs/>
                <w:sz w:val="16"/>
                <w:szCs w:val="16"/>
              </w:rPr>
            </w:pPr>
            <w:r w:rsidRPr="00177B65">
              <w:rPr>
                <w:rFonts w:ascii="Arial" w:hAnsi="Arial" w:cs="Arial"/>
                <w:b/>
                <w:bCs/>
                <w:sz w:val="16"/>
                <w:szCs w:val="16"/>
              </w:rPr>
              <w:t>-</w:t>
            </w:r>
          </w:p>
        </w:tc>
        <w:tc>
          <w:tcPr>
            <w:tcW w:w="821" w:type="dxa"/>
            <w:tcBorders>
              <w:top w:val="single" w:sz="4" w:space="0" w:color="auto"/>
              <w:left w:val="nil"/>
              <w:bottom w:val="single" w:sz="4" w:space="0" w:color="auto"/>
              <w:right w:val="nil"/>
            </w:tcBorders>
            <w:shd w:val="clear" w:color="auto" w:fill="auto"/>
            <w:noWrap/>
            <w:vAlign w:val="bottom"/>
          </w:tcPr>
          <w:p w14:paraId="11424C0F" w14:textId="719A4F01" w:rsidR="00E56DA5" w:rsidRPr="00177B65" w:rsidRDefault="00E56DA5" w:rsidP="00E56DA5">
            <w:pPr>
              <w:spacing w:after="0" w:line="240" w:lineRule="auto"/>
              <w:jc w:val="right"/>
              <w:rPr>
                <w:rFonts w:ascii="Arial" w:hAnsi="Arial" w:cs="Arial"/>
                <w:b/>
                <w:bCs/>
                <w:sz w:val="16"/>
                <w:szCs w:val="16"/>
              </w:rPr>
            </w:pPr>
            <w:r w:rsidRPr="00177B65">
              <w:rPr>
                <w:rFonts w:ascii="Arial" w:hAnsi="Arial" w:cs="Arial"/>
                <w:b/>
                <w:bCs/>
                <w:sz w:val="16"/>
                <w:szCs w:val="16"/>
              </w:rPr>
              <w:t>-</w:t>
            </w:r>
          </w:p>
        </w:tc>
      </w:tr>
    </w:tbl>
    <w:p w14:paraId="0EFE8502" w14:textId="2DD50051" w:rsidR="00D129D0" w:rsidRDefault="00D129D0" w:rsidP="00B70077">
      <w:pPr>
        <w:spacing w:before="60" w:after="0" w:line="240" w:lineRule="auto"/>
        <w:jc w:val="left"/>
        <w:rPr>
          <w:rFonts w:ascii="Arial" w:hAnsi="Arial" w:cs="Arial"/>
          <w:color w:val="000000"/>
          <w:sz w:val="16"/>
          <w:szCs w:val="18"/>
        </w:rPr>
      </w:pPr>
      <w:r w:rsidRPr="00417412">
        <w:rPr>
          <w:rFonts w:ascii="Arial" w:hAnsi="Arial" w:cs="Arial"/>
          <w:color w:val="000000"/>
          <w:sz w:val="16"/>
          <w:szCs w:val="18"/>
        </w:rPr>
        <w:t>Prepared on Australian Accounting Standards basis</w:t>
      </w:r>
    </w:p>
    <w:p w14:paraId="14AFEBF0" w14:textId="064E4E28" w:rsidR="00132649" w:rsidRDefault="00D129D0" w:rsidP="00B70077">
      <w:pPr>
        <w:spacing w:after="0" w:line="240" w:lineRule="auto"/>
        <w:ind w:left="284" w:hanging="284"/>
        <w:jc w:val="left"/>
        <w:rPr>
          <w:rFonts w:ascii="Arial" w:hAnsi="Arial" w:cs="Arial"/>
          <w:color w:val="000000"/>
          <w:sz w:val="16"/>
          <w:szCs w:val="18"/>
        </w:rPr>
      </w:pPr>
      <w:r>
        <w:rPr>
          <w:rFonts w:ascii="Arial" w:hAnsi="Arial" w:cs="Arial"/>
          <w:color w:val="000000"/>
          <w:sz w:val="16"/>
          <w:szCs w:val="18"/>
        </w:rPr>
        <w:t>(a)</w:t>
      </w:r>
      <w:r>
        <w:rPr>
          <w:rFonts w:ascii="Arial" w:hAnsi="Arial" w:cs="Arial"/>
          <w:color w:val="000000"/>
          <w:sz w:val="16"/>
          <w:szCs w:val="18"/>
        </w:rPr>
        <w:tab/>
      </w:r>
      <w:r w:rsidR="00513EDD" w:rsidRPr="00417412">
        <w:rPr>
          <w:rFonts w:ascii="Arial" w:hAnsi="Arial" w:cs="Arial"/>
          <w:color w:val="000000"/>
          <w:sz w:val="16"/>
          <w:szCs w:val="18"/>
        </w:rPr>
        <w:t>From 2010–11, the Government introduced net cash appropriation arrangements where Appropriation Act No. 1 or Bill No. 3 revenue appropriations for the depreciation/amortisation expenses of non-corporate</w:t>
      </w:r>
      <w:r w:rsidR="00417412" w:rsidRPr="00417412">
        <w:rPr>
          <w:rFonts w:ascii="Arial" w:hAnsi="Arial" w:cs="Arial"/>
          <w:color w:val="000000"/>
          <w:sz w:val="16"/>
          <w:szCs w:val="18"/>
        </w:rPr>
        <w:t xml:space="preserve"> </w:t>
      </w:r>
      <w:r w:rsidR="00513EDD" w:rsidRPr="00417412">
        <w:rPr>
          <w:rFonts w:ascii="Arial" w:hAnsi="Arial" w:cs="Arial"/>
          <w:color w:val="000000"/>
          <w:sz w:val="16"/>
          <w:szCs w:val="18"/>
        </w:rPr>
        <w:t>Commonwealth entities (and select corporate Commonwealth entities) were replaced with a separate</w:t>
      </w:r>
      <w:r w:rsidR="00417412" w:rsidRPr="00417412">
        <w:rPr>
          <w:rFonts w:ascii="Arial" w:hAnsi="Arial" w:cs="Arial"/>
          <w:color w:val="000000"/>
          <w:sz w:val="16"/>
          <w:szCs w:val="18"/>
        </w:rPr>
        <w:t xml:space="preserve"> </w:t>
      </w:r>
      <w:r w:rsidR="00513EDD" w:rsidRPr="00417412">
        <w:rPr>
          <w:rFonts w:ascii="Arial" w:hAnsi="Arial" w:cs="Arial"/>
          <w:color w:val="000000"/>
          <w:sz w:val="16"/>
          <w:szCs w:val="18"/>
        </w:rPr>
        <w:t xml:space="preserve">capital budget (the </w:t>
      </w:r>
      <w:r w:rsidR="008863D9">
        <w:rPr>
          <w:rFonts w:ascii="Arial" w:hAnsi="Arial" w:cs="Arial"/>
          <w:color w:val="000000"/>
          <w:sz w:val="16"/>
          <w:szCs w:val="18"/>
        </w:rPr>
        <w:t>Department</w:t>
      </w:r>
      <w:r w:rsidR="00513EDD" w:rsidRPr="00417412">
        <w:rPr>
          <w:rFonts w:ascii="Arial" w:hAnsi="Arial" w:cs="Arial"/>
          <w:color w:val="000000"/>
          <w:sz w:val="16"/>
          <w:szCs w:val="18"/>
        </w:rPr>
        <w:t xml:space="preserve">al Capital Budget, or DCB) provided through Appropriation Act No. 1 or Bill No. 3 equity appropriations. For information regarding DCBs, please refer to Table 3.6 </w:t>
      </w:r>
      <w:r w:rsidR="008863D9">
        <w:rPr>
          <w:rFonts w:ascii="Arial" w:hAnsi="Arial" w:cs="Arial"/>
          <w:color w:val="000000"/>
          <w:sz w:val="16"/>
          <w:szCs w:val="18"/>
        </w:rPr>
        <w:t>Department</w:t>
      </w:r>
      <w:r w:rsidR="00513EDD" w:rsidRPr="00417412">
        <w:rPr>
          <w:rFonts w:ascii="Arial" w:hAnsi="Arial" w:cs="Arial"/>
          <w:color w:val="000000"/>
          <w:sz w:val="16"/>
          <w:szCs w:val="18"/>
        </w:rPr>
        <w:t xml:space="preserve">al Capital Budget Statement. </w:t>
      </w:r>
    </w:p>
    <w:p w14:paraId="37E7BD75" w14:textId="234E5E8B" w:rsidR="00513EDD" w:rsidRDefault="00513EDD" w:rsidP="00B70077">
      <w:pPr>
        <w:spacing w:after="0" w:line="240" w:lineRule="auto"/>
        <w:ind w:left="284" w:hanging="284"/>
        <w:jc w:val="left"/>
        <w:rPr>
          <w:rFonts w:ascii="Arial" w:hAnsi="Arial" w:cs="Arial"/>
          <w:color w:val="000000"/>
          <w:sz w:val="16"/>
          <w:szCs w:val="18"/>
        </w:rPr>
      </w:pPr>
      <w:r w:rsidRPr="00417412">
        <w:rPr>
          <w:rFonts w:ascii="Arial" w:hAnsi="Arial" w:cs="Arial"/>
          <w:color w:val="000000"/>
          <w:sz w:val="16"/>
          <w:szCs w:val="18"/>
        </w:rPr>
        <w:t xml:space="preserve">(b) </w:t>
      </w:r>
      <w:r w:rsidR="005345FF">
        <w:rPr>
          <w:rFonts w:ascii="Arial" w:hAnsi="Arial" w:cs="Arial"/>
          <w:color w:val="000000"/>
          <w:sz w:val="16"/>
          <w:szCs w:val="18"/>
        </w:rPr>
        <w:tab/>
      </w:r>
      <w:r w:rsidRPr="00417412">
        <w:rPr>
          <w:rFonts w:ascii="Arial" w:hAnsi="Arial" w:cs="Arial"/>
          <w:color w:val="000000"/>
          <w:sz w:val="16"/>
          <w:szCs w:val="18"/>
        </w:rPr>
        <w:t>Applies to lease arrangements under AASB 16 Leases.</w:t>
      </w:r>
    </w:p>
    <w:p w14:paraId="0E7F2373" w14:textId="77777777" w:rsidR="009E77AC" w:rsidRDefault="009E77AC">
      <w:pPr>
        <w:spacing w:after="0" w:line="240" w:lineRule="auto"/>
        <w:jc w:val="left"/>
        <w:rPr>
          <w:rFonts w:ascii="Arial" w:hAnsi="Arial"/>
          <w:b/>
          <w:snapToGrid w:val="0"/>
          <w:lang w:val="x-none"/>
        </w:rPr>
      </w:pPr>
      <w:r>
        <w:rPr>
          <w:snapToGrid w:val="0"/>
        </w:rPr>
        <w:br w:type="page"/>
      </w:r>
    </w:p>
    <w:p w14:paraId="36AA071C" w14:textId="2D7FF8F3" w:rsidR="00DB0575" w:rsidRDefault="00A91D6C" w:rsidP="00A91D6C">
      <w:pPr>
        <w:pStyle w:val="TableHeading"/>
        <w:spacing w:before="0"/>
        <w:rPr>
          <w:rFonts w:cs="Arial"/>
          <w:color w:val="000000"/>
          <w:sz w:val="18"/>
          <w:szCs w:val="18"/>
        </w:rPr>
      </w:pPr>
      <w:r>
        <w:rPr>
          <w:snapToGrid w:val="0"/>
        </w:rPr>
        <w:lastRenderedPageBreak/>
        <w:t>Table 3.3</w:t>
      </w:r>
      <w:r w:rsidRPr="00014438">
        <w:rPr>
          <w:snapToGrid w:val="0"/>
        </w:rPr>
        <w:t xml:space="preserve">: Budgeted </w:t>
      </w:r>
      <w:r w:rsidR="008863D9">
        <w:rPr>
          <w:snapToGrid w:val="0"/>
        </w:rPr>
        <w:t>Department</w:t>
      </w:r>
      <w:r w:rsidRPr="00014438">
        <w:rPr>
          <w:snapToGrid w:val="0"/>
        </w:rPr>
        <w:t xml:space="preserve">al </w:t>
      </w:r>
      <w:r>
        <w:rPr>
          <w:snapToGrid w:val="0"/>
        </w:rPr>
        <w:t>b</w:t>
      </w:r>
      <w:r w:rsidRPr="00014438">
        <w:rPr>
          <w:snapToGrid w:val="0"/>
        </w:rPr>
        <w:t xml:space="preserve">alance </w:t>
      </w:r>
      <w:r>
        <w:rPr>
          <w:snapToGrid w:val="0"/>
        </w:rPr>
        <w:t>s</w:t>
      </w:r>
      <w:r w:rsidRPr="00014438">
        <w:rPr>
          <w:snapToGrid w:val="0"/>
        </w:rPr>
        <w:t>heet (as at 30 June)</w:t>
      </w:r>
      <w:r w:rsidRPr="00EC73D1">
        <w:rPr>
          <w:b w:val="0"/>
          <w:snapToGrid w:val="0"/>
        </w:rPr>
        <w:t xml:space="preserve"> </w:t>
      </w:r>
    </w:p>
    <w:tbl>
      <w:tblPr>
        <w:tblW w:w="0" w:type="auto"/>
        <w:tblLayout w:type="fixed"/>
        <w:tblLook w:val="04A0" w:firstRow="1" w:lastRow="0" w:firstColumn="1" w:lastColumn="0" w:noHBand="0" w:noVBand="1"/>
      </w:tblPr>
      <w:tblGrid>
        <w:gridCol w:w="2552"/>
        <w:gridCol w:w="850"/>
        <w:gridCol w:w="1060"/>
        <w:gridCol w:w="1060"/>
        <w:gridCol w:w="1060"/>
        <w:gridCol w:w="1053"/>
      </w:tblGrid>
      <w:tr w:rsidR="002367A2" w:rsidRPr="00513EDD" w14:paraId="4698A78C" w14:textId="77777777" w:rsidTr="002367A2">
        <w:trPr>
          <w:trHeight w:val="240"/>
        </w:trPr>
        <w:tc>
          <w:tcPr>
            <w:tcW w:w="2552" w:type="dxa"/>
            <w:tcBorders>
              <w:top w:val="single" w:sz="4" w:space="0" w:color="auto"/>
              <w:left w:val="nil"/>
              <w:bottom w:val="nil"/>
              <w:right w:val="nil"/>
            </w:tcBorders>
            <w:shd w:val="clear" w:color="auto" w:fill="auto"/>
            <w:noWrap/>
            <w:hideMark/>
          </w:tcPr>
          <w:p w14:paraId="5E158ECD" w14:textId="6BFDAEE0" w:rsidR="002367A2" w:rsidRPr="00513EDD" w:rsidRDefault="002367A2" w:rsidP="002367A2">
            <w:pPr>
              <w:spacing w:after="0" w:line="240" w:lineRule="auto"/>
              <w:jc w:val="left"/>
              <w:rPr>
                <w:rFonts w:ascii="Arial" w:hAnsi="Arial" w:cs="Arial"/>
                <w:sz w:val="16"/>
                <w:szCs w:val="16"/>
              </w:rPr>
            </w:pPr>
            <w:bookmarkStart w:id="466" w:name="RANGE!A3:F55"/>
            <w:r w:rsidRPr="00513EDD">
              <w:rPr>
                <w:rFonts w:ascii="Arial" w:hAnsi="Arial" w:cs="Arial"/>
                <w:sz w:val="16"/>
                <w:szCs w:val="16"/>
              </w:rPr>
              <w:t> </w:t>
            </w:r>
            <w:bookmarkEnd w:id="466"/>
          </w:p>
        </w:tc>
        <w:tc>
          <w:tcPr>
            <w:tcW w:w="850" w:type="dxa"/>
            <w:tcBorders>
              <w:top w:val="single" w:sz="4" w:space="0" w:color="auto"/>
              <w:left w:val="nil"/>
              <w:bottom w:val="single" w:sz="4" w:space="0" w:color="auto"/>
              <w:right w:val="nil"/>
            </w:tcBorders>
            <w:shd w:val="clear" w:color="auto" w:fill="auto"/>
            <w:hideMark/>
          </w:tcPr>
          <w:p w14:paraId="7C14284F" w14:textId="38D97F1B" w:rsidR="002367A2" w:rsidRPr="00513EDD" w:rsidRDefault="002367A2" w:rsidP="002367A2">
            <w:pPr>
              <w:spacing w:after="0" w:line="240" w:lineRule="auto"/>
              <w:jc w:val="right"/>
              <w:rPr>
                <w:rFonts w:ascii="Arial" w:hAnsi="Arial" w:cs="Arial"/>
                <w:sz w:val="16"/>
                <w:szCs w:val="16"/>
              </w:rPr>
            </w:pPr>
            <w:r w:rsidRPr="004349E0">
              <w:rPr>
                <w:rFonts w:ascii="Arial" w:hAnsi="Arial" w:cs="Arial"/>
                <w:sz w:val="16"/>
                <w:szCs w:val="16"/>
              </w:rPr>
              <w:t>2020-21 Actual</w:t>
            </w:r>
            <w:r w:rsidRPr="004349E0">
              <w:rPr>
                <w:rFonts w:ascii="Arial" w:hAnsi="Arial" w:cs="Arial"/>
                <w:sz w:val="16"/>
                <w:szCs w:val="16"/>
              </w:rPr>
              <w:br/>
            </w:r>
            <w:r w:rsidRPr="004349E0">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000000" w:fill="E6E6E6"/>
            <w:hideMark/>
          </w:tcPr>
          <w:p w14:paraId="2C5B56BC" w14:textId="691C367C" w:rsidR="002367A2" w:rsidRPr="00513EDD" w:rsidRDefault="002367A2" w:rsidP="002367A2">
            <w:pPr>
              <w:spacing w:after="0" w:line="240" w:lineRule="auto"/>
              <w:jc w:val="right"/>
              <w:rPr>
                <w:rFonts w:ascii="Arial" w:hAnsi="Arial" w:cs="Arial"/>
                <w:sz w:val="16"/>
                <w:szCs w:val="16"/>
              </w:rPr>
            </w:pPr>
            <w:r w:rsidRPr="004349E0">
              <w:rPr>
                <w:rFonts w:ascii="Arial" w:hAnsi="Arial" w:cs="Arial"/>
                <w:sz w:val="16"/>
                <w:szCs w:val="16"/>
              </w:rPr>
              <w:t>2021-22</w:t>
            </w:r>
            <w:r w:rsidRPr="004349E0">
              <w:rPr>
                <w:rFonts w:ascii="Arial" w:hAnsi="Arial" w:cs="Arial"/>
                <w:sz w:val="16"/>
                <w:szCs w:val="16"/>
              </w:rPr>
              <w:br/>
              <w:t>Revised Budget</w:t>
            </w:r>
            <w:r w:rsidRPr="004349E0">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471B43D6" w14:textId="45738C51" w:rsidR="002367A2" w:rsidRPr="00513EDD" w:rsidRDefault="002367A2" w:rsidP="002367A2">
            <w:pPr>
              <w:spacing w:after="0" w:line="240" w:lineRule="auto"/>
              <w:jc w:val="right"/>
              <w:rPr>
                <w:rFonts w:ascii="Arial" w:hAnsi="Arial" w:cs="Arial"/>
                <w:sz w:val="16"/>
                <w:szCs w:val="16"/>
              </w:rPr>
            </w:pPr>
            <w:r w:rsidRPr="004349E0">
              <w:rPr>
                <w:rFonts w:ascii="Arial" w:hAnsi="Arial" w:cs="Arial"/>
                <w:sz w:val="16"/>
                <w:szCs w:val="16"/>
              </w:rPr>
              <w:t>2022-23 Forward estimate</w:t>
            </w:r>
            <w:r w:rsidRPr="004349E0">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7C0644E7" w14:textId="73B3CD07" w:rsidR="002367A2" w:rsidRPr="00513EDD" w:rsidRDefault="002367A2" w:rsidP="002367A2">
            <w:pPr>
              <w:spacing w:after="0" w:line="240" w:lineRule="auto"/>
              <w:jc w:val="right"/>
              <w:rPr>
                <w:rFonts w:ascii="Arial" w:hAnsi="Arial" w:cs="Arial"/>
                <w:sz w:val="16"/>
                <w:szCs w:val="16"/>
              </w:rPr>
            </w:pPr>
            <w:r w:rsidRPr="004349E0">
              <w:rPr>
                <w:rFonts w:ascii="Arial" w:hAnsi="Arial" w:cs="Arial"/>
                <w:sz w:val="16"/>
                <w:szCs w:val="16"/>
              </w:rPr>
              <w:t>2023-24 Forward estimate</w:t>
            </w:r>
            <w:r w:rsidRPr="004349E0">
              <w:rPr>
                <w:rFonts w:ascii="Arial" w:hAnsi="Arial" w:cs="Arial"/>
                <w:sz w:val="16"/>
                <w:szCs w:val="16"/>
              </w:rPr>
              <w:br/>
              <w:t>$'000</w:t>
            </w:r>
          </w:p>
        </w:tc>
        <w:tc>
          <w:tcPr>
            <w:tcW w:w="1053" w:type="dxa"/>
            <w:tcBorders>
              <w:top w:val="single" w:sz="4" w:space="0" w:color="auto"/>
              <w:left w:val="nil"/>
              <w:bottom w:val="single" w:sz="4" w:space="0" w:color="auto"/>
              <w:right w:val="nil"/>
            </w:tcBorders>
            <w:shd w:val="clear" w:color="auto" w:fill="auto"/>
            <w:hideMark/>
          </w:tcPr>
          <w:p w14:paraId="178E3BCB" w14:textId="0B1B69F8" w:rsidR="002367A2" w:rsidRPr="00513EDD" w:rsidRDefault="002367A2" w:rsidP="002367A2">
            <w:pPr>
              <w:spacing w:after="0" w:line="240" w:lineRule="auto"/>
              <w:jc w:val="right"/>
              <w:rPr>
                <w:rFonts w:ascii="Arial" w:hAnsi="Arial" w:cs="Arial"/>
                <w:sz w:val="16"/>
                <w:szCs w:val="16"/>
              </w:rPr>
            </w:pPr>
            <w:r w:rsidRPr="004349E0">
              <w:rPr>
                <w:rFonts w:ascii="Arial" w:hAnsi="Arial" w:cs="Arial"/>
                <w:sz w:val="16"/>
                <w:szCs w:val="16"/>
              </w:rPr>
              <w:t>2024-25</w:t>
            </w:r>
            <w:r w:rsidRPr="004349E0">
              <w:rPr>
                <w:rFonts w:ascii="Arial" w:hAnsi="Arial" w:cs="Arial"/>
                <w:sz w:val="16"/>
                <w:szCs w:val="16"/>
              </w:rPr>
              <w:br/>
              <w:t>Forward estimate</w:t>
            </w:r>
            <w:r w:rsidRPr="004349E0">
              <w:rPr>
                <w:rFonts w:ascii="Arial" w:hAnsi="Arial" w:cs="Arial"/>
                <w:sz w:val="16"/>
                <w:szCs w:val="16"/>
              </w:rPr>
              <w:br/>
              <w:t>$'000</w:t>
            </w:r>
          </w:p>
        </w:tc>
      </w:tr>
      <w:tr w:rsidR="002367A2" w:rsidRPr="00513EDD" w14:paraId="0410EC39" w14:textId="77777777" w:rsidTr="00177B65">
        <w:trPr>
          <w:trHeight w:val="204"/>
        </w:trPr>
        <w:tc>
          <w:tcPr>
            <w:tcW w:w="2552" w:type="dxa"/>
            <w:tcBorders>
              <w:top w:val="nil"/>
              <w:left w:val="nil"/>
              <w:bottom w:val="nil"/>
              <w:right w:val="nil"/>
            </w:tcBorders>
            <w:shd w:val="clear" w:color="auto" w:fill="auto"/>
            <w:noWrap/>
            <w:vAlign w:val="bottom"/>
            <w:hideMark/>
          </w:tcPr>
          <w:p w14:paraId="63819385"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ASSETS</w:t>
            </w:r>
          </w:p>
        </w:tc>
        <w:tc>
          <w:tcPr>
            <w:tcW w:w="850" w:type="dxa"/>
            <w:tcBorders>
              <w:top w:val="single" w:sz="4" w:space="0" w:color="auto"/>
              <w:left w:val="nil"/>
              <w:bottom w:val="nil"/>
              <w:right w:val="nil"/>
            </w:tcBorders>
            <w:shd w:val="clear" w:color="auto" w:fill="auto"/>
            <w:noWrap/>
            <w:vAlign w:val="bottom"/>
            <w:hideMark/>
          </w:tcPr>
          <w:p w14:paraId="7D054C00" w14:textId="77777777" w:rsidR="002367A2" w:rsidRPr="00177B65" w:rsidRDefault="002367A2" w:rsidP="002367A2">
            <w:pPr>
              <w:spacing w:after="0" w:line="240" w:lineRule="auto"/>
              <w:jc w:val="right"/>
              <w:rPr>
                <w:rFonts w:ascii="Arial" w:hAnsi="Arial" w:cs="Arial"/>
                <w:b/>
                <w:bCs/>
                <w:sz w:val="16"/>
                <w:szCs w:val="16"/>
              </w:rPr>
            </w:pPr>
          </w:p>
        </w:tc>
        <w:tc>
          <w:tcPr>
            <w:tcW w:w="1060" w:type="dxa"/>
            <w:tcBorders>
              <w:top w:val="single" w:sz="4" w:space="0" w:color="auto"/>
              <w:left w:val="nil"/>
              <w:bottom w:val="nil"/>
              <w:right w:val="nil"/>
            </w:tcBorders>
            <w:shd w:val="clear" w:color="000000" w:fill="E6E6E6"/>
            <w:noWrap/>
            <w:vAlign w:val="bottom"/>
            <w:hideMark/>
          </w:tcPr>
          <w:p w14:paraId="4F419169" w14:textId="75BDDE7A" w:rsidR="002367A2" w:rsidRPr="00177B65" w:rsidRDefault="002367A2" w:rsidP="002367A2">
            <w:pPr>
              <w:spacing w:after="0" w:line="240" w:lineRule="auto"/>
              <w:jc w:val="right"/>
              <w:rPr>
                <w:rFonts w:ascii="Arial" w:hAnsi="Arial" w:cs="Arial"/>
                <w:sz w:val="16"/>
                <w:szCs w:val="16"/>
              </w:rPr>
            </w:pPr>
          </w:p>
        </w:tc>
        <w:tc>
          <w:tcPr>
            <w:tcW w:w="1060" w:type="dxa"/>
            <w:tcBorders>
              <w:top w:val="single" w:sz="4" w:space="0" w:color="auto"/>
              <w:left w:val="nil"/>
              <w:bottom w:val="nil"/>
              <w:right w:val="nil"/>
            </w:tcBorders>
            <w:shd w:val="clear" w:color="auto" w:fill="auto"/>
            <w:noWrap/>
            <w:vAlign w:val="bottom"/>
            <w:hideMark/>
          </w:tcPr>
          <w:p w14:paraId="21745B43" w14:textId="77777777" w:rsidR="002367A2" w:rsidRPr="00177B65" w:rsidRDefault="002367A2" w:rsidP="002367A2">
            <w:pPr>
              <w:spacing w:after="0" w:line="240" w:lineRule="auto"/>
              <w:jc w:val="right"/>
              <w:rPr>
                <w:rFonts w:ascii="Arial" w:hAnsi="Arial" w:cs="Arial"/>
                <w:sz w:val="16"/>
                <w:szCs w:val="16"/>
              </w:rPr>
            </w:pPr>
          </w:p>
        </w:tc>
        <w:tc>
          <w:tcPr>
            <w:tcW w:w="1060" w:type="dxa"/>
            <w:tcBorders>
              <w:top w:val="single" w:sz="4" w:space="0" w:color="auto"/>
              <w:left w:val="nil"/>
              <w:bottom w:val="nil"/>
              <w:right w:val="nil"/>
            </w:tcBorders>
            <w:shd w:val="clear" w:color="auto" w:fill="auto"/>
            <w:noWrap/>
            <w:vAlign w:val="bottom"/>
            <w:hideMark/>
          </w:tcPr>
          <w:p w14:paraId="07DDE552" w14:textId="77777777" w:rsidR="002367A2" w:rsidRPr="00177B65" w:rsidRDefault="002367A2" w:rsidP="002367A2">
            <w:pPr>
              <w:spacing w:after="0" w:line="240" w:lineRule="auto"/>
              <w:jc w:val="right"/>
              <w:rPr>
                <w:rFonts w:ascii="Times New Roman" w:hAnsi="Times New Roman"/>
                <w:sz w:val="16"/>
                <w:szCs w:val="16"/>
              </w:rPr>
            </w:pPr>
          </w:p>
        </w:tc>
        <w:tc>
          <w:tcPr>
            <w:tcW w:w="1053" w:type="dxa"/>
            <w:tcBorders>
              <w:top w:val="single" w:sz="4" w:space="0" w:color="auto"/>
              <w:left w:val="nil"/>
              <w:bottom w:val="nil"/>
              <w:right w:val="nil"/>
            </w:tcBorders>
            <w:shd w:val="clear" w:color="auto" w:fill="auto"/>
            <w:noWrap/>
            <w:vAlign w:val="bottom"/>
            <w:hideMark/>
          </w:tcPr>
          <w:p w14:paraId="66B3354E" w14:textId="77777777" w:rsidR="002367A2" w:rsidRPr="00177B65" w:rsidRDefault="002367A2" w:rsidP="002367A2">
            <w:pPr>
              <w:spacing w:after="0" w:line="240" w:lineRule="auto"/>
              <w:jc w:val="right"/>
              <w:rPr>
                <w:rFonts w:ascii="Times New Roman" w:hAnsi="Times New Roman"/>
                <w:sz w:val="16"/>
                <w:szCs w:val="16"/>
              </w:rPr>
            </w:pPr>
          </w:p>
        </w:tc>
      </w:tr>
      <w:tr w:rsidR="002367A2" w:rsidRPr="00513EDD" w14:paraId="77849E2F" w14:textId="77777777" w:rsidTr="00177B65">
        <w:trPr>
          <w:trHeight w:val="204"/>
        </w:trPr>
        <w:tc>
          <w:tcPr>
            <w:tcW w:w="2552" w:type="dxa"/>
            <w:tcBorders>
              <w:top w:val="nil"/>
              <w:left w:val="nil"/>
              <w:bottom w:val="nil"/>
              <w:right w:val="nil"/>
            </w:tcBorders>
            <w:shd w:val="clear" w:color="auto" w:fill="auto"/>
            <w:noWrap/>
            <w:vAlign w:val="bottom"/>
            <w:hideMark/>
          </w:tcPr>
          <w:p w14:paraId="1842F5FD"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Financial assets</w:t>
            </w:r>
          </w:p>
        </w:tc>
        <w:tc>
          <w:tcPr>
            <w:tcW w:w="850" w:type="dxa"/>
            <w:tcBorders>
              <w:top w:val="nil"/>
              <w:left w:val="nil"/>
              <w:bottom w:val="nil"/>
              <w:right w:val="nil"/>
            </w:tcBorders>
            <w:shd w:val="clear" w:color="auto" w:fill="auto"/>
            <w:noWrap/>
            <w:vAlign w:val="bottom"/>
            <w:hideMark/>
          </w:tcPr>
          <w:p w14:paraId="5BE3B5FD" w14:textId="77777777" w:rsidR="002367A2" w:rsidRPr="00177B65" w:rsidRDefault="002367A2" w:rsidP="002367A2">
            <w:pPr>
              <w:spacing w:after="0" w:line="240" w:lineRule="auto"/>
              <w:jc w:val="right"/>
              <w:rPr>
                <w:rFonts w:ascii="Arial" w:hAnsi="Arial" w:cs="Arial"/>
                <w:b/>
                <w:bCs/>
                <w:sz w:val="16"/>
                <w:szCs w:val="16"/>
              </w:rPr>
            </w:pPr>
          </w:p>
        </w:tc>
        <w:tc>
          <w:tcPr>
            <w:tcW w:w="1060" w:type="dxa"/>
            <w:tcBorders>
              <w:top w:val="nil"/>
              <w:left w:val="nil"/>
              <w:bottom w:val="nil"/>
              <w:right w:val="nil"/>
            </w:tcBorders>
            <w:shd w:val="clear" w:color="000000" w:fill="E6E6E6"/>
            <w:noWrap/>
            <w:vAlign w:val="bottom"/>
            <w:hideMark/>
          </w:tcPr>
          <w:p w14:paraId="49C984E6" w14:textId="100CD37A"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52FC4B2A" w14:textId="77777777"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33DC5B68" w14:textId="77777777" w:rsidR="002367A2" w:rsidRPr="00177B65" w:rsidRDefault="002367A2" w:rsidP="002367A2">
            <w:pPr>
              <w:spacing w:after="0" w:line="240" w:lineRule="auto"/>
              <w:jc w:val="right"/>
              <w:rPr>
                <w:rFonts w:ascii="Times New Roman" w:hAnsi="Times New Roman"/>
                <w:sz w:val="16"/>
                <w:szCs w:val="16"/>
              </w:rPr>
            </w:pPr>
          </w:p>
        </w:tc>
        <w:tc>
          <w:tcPr>
            <w:tcW w:w="1053" w:type="dxa"/>
            <w:tcBorders>
              <w:top w:val="nil"/>
              <w:left w:val="nil"/>
              <w:bottom w:val="nil"/>
              <w:right w:val="nil"/>
            </w:tcBorders>
            <w:shd w:val="clear" w:color="auto" w:fill="auto"/>
            <w:noWrap/>
            <w:vAlign w:val="bottom"/>
            <w:hideMark/>
          </w:tcPr>
          <w:p w14:paraId="27AB73C2" w14:textId="77777777" w:rsidR="002367A2" w:rsidRPr="00177B65" w:rsidRDefault="002367A2" w:rsidP="002367A2">
            <w:pPr>
              <w:spacing w:after="0" w:line="240" w:lineRule="auto"/>
              <w:jc w:val="right"/>
              <w:rPr>
                <w:rFonts w:ascii="Times New Roman" w:hAnsi="Times New Roman"/>
                <w:sz w:val="16"/>
                <w:szCs w:val="16"/>
              </w:rPr>
            </w:pPr>
          </w:p>
        </w:tc>
      </w:tr>
      <w:tr w:rsidR="002367A2" w:rsidRPr="00513EDD" w14:paraId="0D6465BD" w14:textId="77777777" w:rsidTr="00177B65">
        <w:trPr>
          <w:trHeight w:val="204"/>
        </w:trPr>
        <w:tc>
          <w:tcPr>
            <w:tcW w:w="2552" w:type="dxa"/>
            <w:tcBorders>
              <w:top w:val="nil"/>
              <w:left w:val="nil"/>
              <w:bottom w:val="nil"/>
              <w:right w:val="nil"/>
            </w:tcBorders>
            <w:shd w:val="clear" w:color="auto" w:fill="auto"/>
            <w:noWrap/>
            <w:vAlign w:val="bottom"/>
            <w:hideMark/>
          </w:tcPr>
          <w:p w14:paraId="35B56092"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Cash and cash equivalents</w:t>
            </w:r>
          </w:p>
        </w:tc>
        <w:tc>
          <w:tcPr>
            <w:tcW w:w="850" w:type="dxa"/>
            <w:tcBorders>
              <w:top w:val="nil"/>
              <w:left w:val="nil"/>
              <w:bottom w:val="nil"/>
              <w:right w:val="nil"/>
            </w:tcBorders>
            <w:shd w:val="clear" w:color="auto" w:fill="auto"/>
            <w:noWrap/>
            <w:vAlign w:val="bottom"/>
            <w:hideMark/>
          </w:tcPr>
          <w:p w14:paraId="0A467F4F" w14:textId="5719AB30"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159</w:t>
            </w:r>
          </w:p>
        </w:tc>
        <w:tc>
          <w:tcPr>
            <w:tcW w:w="1060" w:type="dxa"/>
            <w:tcBorders>
              <w:top w:val="nil"/>
              <w:left w:val="nil"/>
              <w:bottom w:val="nil"/>
              <w:right w:val="nil"/>
            </w:tcBorders>
            <w:shd w:val="clear" w:color="000000" w:fill="E6E6E6"/>
            <w:noWrap/>
            <w:vAlign w:val="bottom"/>
            <w:hideMark/>
          </w:tcPr>
          <w:p w14:paraId="4D8EAB00" w14:textId="0EC92F4D"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159</w:t>
            </w:r>
          </w:p>
        </w:tc>
        <w:tc>
          <w:tcPr>
            <w:tcW w:w="1060" w:type="dxa"/>
            <w:tcBorders>
              <w:top w:val="nil"/>
              <w:left w:val="nil"/>
              <w:bottom w:val="nil"/>
              <w:right w:val="nil"/>
            </w:tcBorders>
            <w:shd w:val="clear" w:color="auto" w:fill="auto"/>
            <w:noWrap/>
            <w:vAlign w:val="bottom"/>
            <w:hideMark/>
          </w:tcPr>
          <w:p w14:paraId="75430CC4" w14:textId="57284ECD"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159</w:t>
            </w:r>
          </w:p>
        </w:tc>
        <w:tc>
          <w:tcPr>
            <w:tcW w:w="1060" w:type="dxa"/>
            <w:tcBorders>
              <w:top w:val="nil"/>
              <w:left w:val="nil"/>
              <w:bottom w:val="nil"/>
              <w:right w:val="nil"/>
            </w:tcBorders>
            <w:shd w:val="clear" w:color="auto" w:fill="auto"/>
            <w:noWrap/>
            <w:vAlign w:val="bottom"/>
            <w:hideMark/>
          </w:tcPr>
          <w:p w14:paraId="284DBF61" w14:textId="4063E04B"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159</w:t>
            </w:r>
          </w:p>
        </w:tc>
        <w:tc>
          <w:tcPr>
            <w:tcW w:w="1053" w:type="dxa"/>
            <w:tcBorders>
              <w:top w:val="nil"/>
              <w:left w:val="nil"/>
              <w:bottom w:val="nil"/>
              <w:right w:val="nil"/>
            </w:tcBorders>
            <w:shd w:val="clear" w:color="auto" w:fill="auto"/>
            <w:noWrap/>
            <w:vAlign w:val="bottom"/>
            <w:hideMark/>
          </w:tcPr>
          <w:p w14:paraId="49B3AF99" w14:textId="52A08492"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159</w:t>
            </w:r>
          </w:p>
        </w:tc>
      </w:tr>
      <w:tr w:rsidR="002367A2" w:rsidRPr="00513EDD" w14:paraId="3354CB87" w14:textId="77777777" w:rsidTr="00177B65">
        <w:trPr>
          <w:trHeight w:val="204"/>
        </w:trPr>
        <w:tc>
          <w:tcPr>
            <w:tcW w:w="2552" w:type="dxa"/>
            <w:tcBorders>
              <w:top w:val="nil"/>
              <w:left w:val="nil"/>
              <w:bottom w:val="nil"/>
              <w:right w:val="nil"/>
            </w:tcBorders>
            <w:shd w:val="clear" w:color="auto" w:fill="auto"/>
            <w:noWrap/>
            <w:vAlign w:val="bottom"/>
            <w:hideMark/>
          </w:tcPr>
          <w:p w14:paraId="5F9FBF60"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Trade and other receivables</w:t>
            </w:r>
          </w:p>
        </w:tc>
        <w:tc>
          <w:tcPr>
            <w:tcW w:w="850" w:type="dxa"/>
            <w:tcBorders>
              <w:top w:val="nil"/>
              <w:left w:val="nil"/>
              <w:bottom w:val="nil"/>
              <w:right w:val="nil"/>
            </w:tcBorders>
            <w:shd w:val="clear" w:color="auto" w:fill="auto"/>
            <w:noWrap/>
            <w:vAlign w:val="bottom"/>
            <w:hideMark/>
          </w:tcPr>
          <w:p w14:paraId="0E7DBD2A" w14:textId="730AC162"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5,762</w:t>
            </w:r>
          </w:p>
        </w:tc>
        <w:tc>
          <w:tcPr>
            <w:tcW w:w="1060" w:type="dxa"/>
            <w:tcBorders>
              <w:top w:val="nil"/>
              <w:left w:val="nil"/>
              <w:bottom w:val="nil"/>
              <w:right w:val="nil"/>
            </w:tcBorders>
            <w:shd w:val="clear" w:color="000000" w:fill="E6E6E6"/>
            <w:noWrap/>
            <w:vAlign w:val="bottom"/>
            <w:hideMark/>
          </w:tcPr>
          <w:p w14:paraId="08CEAE55" w14:textId="7EA9BF77"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5,762</w:t>
            </w:r>
          </w:p>
        </w:tc>
        <w:tc>
          <w:tcPr>
            <w:tcW w:w="1060" w:type="dxa"/>
            <w:tcBorders>
              <w:top w:val="nil"/>
              <w:left w:val="nil"/>
              <w:bottom w:val="nil"/>
              <w:right w:val="nil"/>
            </w:tcBorders>
            <w:shd w:val="clear" w:color="auto" w:fill="auto"/>
            <w:noWrap/>
            <w:vAlign w:val="bottom"/>
            <w:hideMark/>
          </w:tcPr>
          <w:p w14:paraId="7C029D96" w14:textId="5123239A"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5,762</w:t>
            </w:r>
          </w:p>
        </w:tc>
        <w:tc>
          <w:tcPr>
            <w:tcW w:w="1060" w:type="dxa"/>
            <w:tcBorders>
              <w:top w:val="nil"/>
              <w:left w:val="nil"/>
              <w:bottom w:val="nil"/>
              <w:right w:val="nil"/>
            </w:tcBorders>
            <w:shd w:val="clear" w:color="auto" w:fill="auto"/>
            <w:noWrap/>
            <w:vAlign w:val="bottom"/>
            <w:hideMark/>
          </w:tcPr>
          <w:p w14:paraId="0B6471DD" w14:textId="4C19B006"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5,762</w:t>
            </w:r>
          </w:p>
        </w:tc>
        <w:tc>
          <w:tcPr>
            <w:tcW w:w="1053" w:type="dxa"/>
            <w:tcBorders>
              <w:top w:val="nil"/>
              <w:left w:val="nil"/>
              <w:bottom w:val="nil"/>
              <w:right w:val="nil"/>
            </w:tcBorders>
            <w:shd w:val="clear" w:color="auto" w:fill="auto"/>
            <w:noWrap/>
            <w:vAlign w:val="bottom"/>
            <w:hideMark/>
          </w:tcPr>
          <w:p w14:paraId="2770F431" w14:textId="1082B14C"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5,762</w:t>
            </w:r>
          </w:p>
        </w:tc>
      </w:tr>
      <w:tr w:rsidR="002367A2" w:rsidRPr="00513EDD" w14:paraId="1EE44400" w14:textId="77777777" w:rsidTr="00177B65">
        <w:trPr>
          <w:trHeight w:val="204"/>
        </w:trPr>
        <w:tc>
          <w:tcPr>
            <w:tcW w:w="2552" w:type="dxa"/>
            <w:tcBorders>
              <w:top w:val="nil"/>
              <w:left w:val="nil"/>
              <w:bottom w:val="nil"/>
              <w:right w:val="nil"/>
            </w:tcBorders>
            <w:shd w:val="clear" w:color="auto" w:fill="auto"/>
            <w:noWrap/>
            <w:vAlign w:val="bottom"/>
            <w:hideMark/>
          </w:tcPr>
          <w:p w14:paraId="13AE51DC" w14:textId="77777777" w:rsidR="002367A2" w:rsidRPr="00177B65" w:rsidRDefault="002367A2" w:rsidP="002367A2">
            <w:pPr>
              <w:spacing w:after="0" w:line="240" w:lineRule="auto"/>
              <w:jc w:val="left"/>
              <w:rPr>
                <w:rFonts w:ascii="Arial" w:hAnsi="Arial" w:cs="Arial"/>
                <w:b/>
                <w:bCs/>
                <w:i/>
                <w:iCs/>
                <w:sz w:val="16"/>
                <w:szCs w:val="16"/>
              </w:rPr>
            </w:pPr>
            <w:r w:rsidRPr="00177B65">
              <w:rPr>
                <w:rFonts w:ascii="Arial" w:hAnsi="Arial" w:cs="Arial"/>
                <w:b/>
                <w:bCs/>
                <w:i/>
                <w:iCs/>
                <w:sz w:val="16"/>
                <w:szCs w:val="16"/>
              </w:rPr>
              <w:t>Total financial assets</w:t>
            </w:r>
          </w:p>
        </w:tc>
        <w:tc>
          <w:tcPr>
            <w:tcW w:w="850" w:type="dxa"/>
            <w:tcBorders>
              <w:top w:val="single" w:sz="4" w:space="0" w:color="auto"/>
              <w:left w:val="nil"/>
              <w:bottom w:val="single" w:sz="4" w:space="0" w:color="auto"/>
              <w:right w:val="nil"/>
            </w:tcBorders>
            <w:shd w:val="clear" w:color="auto" w:fill="auto"/>
            <w:noWrap/>
            <w:vAlign w:val="bottom"/>
            <w:hideMark/>
          </w:tcPr>
          <w:p w14:paraId="21873193" w14:textId="31CB19A4"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5,921</w:t>
            </w:r>
          </w:p>
        </w:tc>
        <w:tc>
          <w:tcPr>
            <w:tcW w:w="1060" w:type="dxa"/>
            <w:tcBorders>
              <w:top w:val="single" w:sz="4" w:space="0" w:color="auto"/>
              <w:left w:val="nil"/>
              <w:bottom w:val="single" w:sz="4" w:space="0" w:color="auto"/>
              <w:right w:val="nil"/>
            </w:tcBorders>
            <w:shd w:val="clear" w:color="000000" w:fill="E6E6E6"/>
            <w:noWrap/>
            <w:vAlign w:val="bottom"/>
            <w:hideMark/>
          </w:tcPr>
          <w:p w14:paraId="5A85A746" w14:textId="57A386B0"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5,921</w:t>
            </w:r>
          </w:p>
        </w:tc>
        <w:tc>
          <w:tcPr>
            <w:tcW w:w="1060" w:type="dxa"/>
            <w:tcBorders>
              <w:top w:val="single" w:sz="4" w:space="0" w:color="auto"/>
              <w:left w:val="nil"/>
              <w:bottom w:val="single" w:sz="4" w:space="0" w:color="auto"/>
              <w:right w:val="nil"/>
            </w:tcBorders>
            <w:shd w:val="clear" w:color="auto" w:fill="auto"/>
            <w:noWrap/>
            <w:vAlign w:val="bottom"/>
            <w:hideMark/>
          </w:tcPr>
          <w:p w14:paraId="546EFE39" w14:textId="3772ED2C"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5,921</w:t>
            </w:r>
          </w:p>
        </w:tc>
        <w:tc>
          <w:tcPr>
            <w:tcW w:w="1060" w:type="dxa"/>
            <w:tcBorders>
              <w:top w:val="single" w:sz="4" w:space="0" w:color="auto"/>
              <w:left w:val="nil"/>
              <w:bottom w:val="single" w:sz="4" w:space="0" w:color="auto"/>
              <w:right w:val="nil"/>
            </w:tcBorders>
            <w:shd w:val="clear" w:color="auto" w:fill="auto"/>
            <w:noWrap/>
            <w:vAlign w:val="bottom"/>
            <w:hideMark/>
          </w:tcPr>
          <w:p w14:paraId="411BA9B9" w14:textId="4F0185A7"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5,921</w:t>
            </w:r>
          </w:p>
        </w:tc>
        <w:tc>
          <w:tcPr>
            <w:tcW w:w="1053" w:type="dxa"/>
            <w:tcBorders>
              <w:top w:val="single" w:sz="4" w:space="0" w:color="auto"/>
              <w:left w:val="nil"/>
              <w:bottom w:val="single" w:sz="4" w:space="0" w:color="auto"/>
              <w:right w:val="nil"/>
            </w:tcBorders>
            <w:shd w:val="clear" w:color="auto" w:fill="auto"/>
            <w:noWrap/>
            <w:vAlign w:val="bottom"/>
            <w:hideMark/>
          </w:tcPr>
          <w:p w14:paraId="5D4AEFF4" w14:textId="08713B40"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5,921</w:t>
            </w:r>
          </w:p>
        </w:tc>
      </w:tr>
      <w:tr w:rsidR="002367A2" w:rsidRPr="00513EDD" w14:paraId="4475F1CE" w14:textId="77777777" w:rsidTr="00177B65">
        <w:trPr>
          <w:trHeight w:val="204"/>
        </w:trPr>
        <w:tc>
          <w:tcPr>
            <w:tcW w:w="2552" w:type="dxa"/>
            <w:tcBorders>
              <w:top w:val="nil"/>
              <w:left w:val="nil"/>
              <w:bottom w:val="nil"/>
              <w:right w:val="nil"/>
            </w:tcBorders>
            <w:shd w:val="clear" w:color="auto" w:fill="auto"/>
            <w:noWrap/>
            <w:vAlign w:val="bottom"/>
            <w:hideMark/>
          </w:tcPr>
          <w:p w14:paraId="36117E1B"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Non-financial assets</w:t>
            </w:r>
          </w:p>
        </w:tc>
        <w:tc>
          <w:tcPr>
            <w:tcW w:w="850" w:type="dxa"/>
            <w:tcBorders>
              <w:top w:val="nil"/>
              <w:left w:val="nil"/>
              <w:bottom w:val="nil"/>
              <w:right w:val="nil"/>
            </w:tcBorders>
            <w:shd w:val="clear" w:color="auto" w:fill="auto"/>
            <w:noWrap/>
            <w:vAlign w:val="bottom"/>
            <w:hideMark/>
          </w:tcPr>
          <w:p w14:paraId="581F9DEF" w14:textId="77777777" w:rsidR="002367A2" w:rsidRPr="00177B65" w:rsidRDefault="002367A2" w:rsidP="002367A2">
            <w:pPr>
              <w:spacing w:after="0" w:line="240" w:lineRule="auto"/>
              <w:jc w:val="right"/>
              <w:rPr>
                <w:rFonts w:ascii="Arial" w:hAnsi="Arial" w:cs="Arial"/>
                <w:b/>
                <w:bCs/>
                <w:sz w:val="16"/>
                <w:szCs w:val="16"/>
              </w:rPr>
            </w:pPr>
          </w:p>
        </w:tc>
        <w:tc>
          <w:tcPr>
            <w:tcW w:w="1060" w:type="dxa"/>
            <w:tcBorders>
              <w:top w:val="nil"/>
              <w:left w:val="nil"/>
              <w:bottom w:val="nil"/>
              <w:right w:val="nil"/>
            </w:tcBorders>
            <w:shd w:val="clear" w:color="000000" w:fill="E6E6E6"/>
            <w:noWrap/>
            <w:vAlign w:val="bottom"/>
            <w:hideMark/>
          </w:tcPr>
          <w:p w14:paraId="4FFAC8A4" w14:textId="7AFAC915"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62F02E37" w14:textId="77777777"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3329F0BD" w14:textId="77777777" w:rsidR="002367A2" w:rsidRPr="00177B65" w:rsidRDefault="002367A2" w:rsidP="002367A2">
            <w:pPr>
              <w:spacing w:after="0" w:line="240" w:lineRule="auto"/>
              <w:jc w:val="right"/>
              <w:rPr>
                <w:rFonts w:ascii="Times New Roman" w:hAnsi="Times New Roman"/>
                <w:sz w:val="16"/>
                <w:szCs w:val="16"/>
              </w:rPr>
            </w:pPr>
          </w:p>
        </w:tc>
        <w:tc>
          <w:tcPr>
            <w:tcW w:w="1053" w:type="dxa"/>
            <w:tcBorders>
              <w:top w:val="nil"/>
              <w:left w:val="nil"/>
              <w:bottom w:val="nil"/>
              <w:right w:val="nil"/>
            </w:tcBorders>
            <w:shd w:val="clear" w:color="auto" w:fill="auto"/>
            <w:noWrap/>
            <w:vAlign w:val="bottom"/>
            <w:hideMark/>
          </w:tcPr>
          <w:p w14:paraId="6B0546B1" w14:textId="77777777" w:rsidR="002367A2" w:rsidRPr="00177B65" w:rsidRDefault="002367A2" w:rsidP="002367A2">
            <w:pPr>
              <w:spacing w:after="0" w:line="240" w:lineRule="auto"/>
              <w:jc w:val="right"/>
              <w:rPr>
                <w:rFonts w:ascii="Times New Roman" w:hAnsi="Times New Roman"/>
                <w:sz w:val="16"/>
                <w:szCs w:val="16"/>
              </w:rPr>
            </w:pPr>
          </w:p>
        </w:tc>
      </w:tr>
      <w:tr w:rsidR="002367A2" w:rsidRPr="00513EDD" w14:paraId="41B60885" w14:textId="77777777" w:rsidTr="00177B65">
        <w:trPr>
          <w:trHeight w:val="204"/>
        </w:trPr>
        <w:tc>
          <w:tcPr>
            <w:tcW w:w="2552" w:type="dxa"/>
            <w:tcBorders>
              <w:top w:val="nil"/>
              <w:left w:val="nil"/>
              <w:bottom w:val="nil"/>
              <w:right w:val="nil"/>
            </w:tcBorders>
            <w:shd w:val="clear" w:color="auto" w:fill="auto"/>
            <w:noWrap/>
            <w:vAlign w:val="bottom"/>
            <w:hideMark/>
          </w:tcPr>
          <w:p w14:paraId="7BCA4F43"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Land and buildings</w:t>
            </w:r>
          </w:p>
        </w:tc>
        <w:tc>
          <w:tcPr>
            <w:tcW w:w="850" w:type="dxa"/>
            <w:tcBorders>
              <w:top w:val="nil"/>
              <w:left w:val="nil"/>
              <w:bottom w:val="nil"/>
              <w:right w:val="nil"/>
            </w:tcBorders>
            <w:shd w:val="clear" w:color="auto" w:fill="auto"/>
            <w:noWrap/>
            <w:vAlign w:val="bottom"/>
            <w:hideMark/>
          </w:tcPr>
          <w:p w14:paraId="1B4FBEF8" w14:textId="02012BBC"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11,551</w:t>
            </w:r>
          </w:p>
        </w:tc>
        <w:tc>
          <w:tcPr>
            <w:tcW w:w="1060" w:type="dxa"/>
            <w:tcBorders>
              <w:top w:val="nil"/>
              <w:left w:val="nil"/>
              <w:bottom w:val="nil"/>
              <w:right w:val="nil"/>
            </w:tcBorders>
            <w:shd w:val="clear" w:color="000000" w:fill="E6E6E6"/>
            <w:noWrap/>
            <w:vAlign w:val="bottom"/>
            <w:hideMark/>
          </w:tcPr>
          <w:p w14:paraId="5D5DECDC" w14:textId="2C941A98"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15,998 </w:t>
            </w:r>
          </w:p>
        </w:tc>
        <w:tc>
          <w:tcPr>
            <w:tcW w:w="1060" w:type="dxa"/>
            <w:tcBorders>
              <w:top w:val="nil"/>
              <w:left w:val="nil"/>
              <w:bottom w:val="nil"/>
              <w:right w:val="nil"/>
            </w:tcBorders>
            <w:shd w:val="clear" w:color="auto" w:fill="auto"/>
            <w:noWrap/>
            <w:vAlign w:val="bottom"/>
            <w:hideMark/>
          </w:tcPr>
          <w:p w14:paraId="775499AC" w14:textId="7C44906E"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15,549 </w:t>
            </w:r>
          </w:p>
        </w:tc>
        <w:tc>
          <w:tcPr>
            <w:tcW w:w="1060" w:type="dxa"/>
            <w:tcBorders>
              <w:top w:val="nil"/>
              <w:left w:val="nil"/>
              <w:bottom w:val="nil"/>
              <w:right w:val="nil"/>
            </w:tcBorders>
            <w:shd w:val="clear" w:color="auto" w:fill="auto"/>
            <w:noWrap/>
            <w:vAlign w:val="bottom"/>
            <w:hideMark/>
          </w:tcPr>
          <w:p w14:paraId="03984EF4" w14:textId="76646CD8"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14,560 </w:t>
            </w:r>
          </w:p>
        </w:tc>
        <w:tc>
          <w:tcPr>
            <w:tcW w:w="1053" w:type="dxa"/>
            <w:tcBorders>
              <w:top w:val="nil"/>
              <w:left w:val="nil"/>
              <w:bottom w:val="nil"/>
              <w:right w:val="nil"/>
            </w:tcBorders>
            <w:shd w:val="clear" w:color="auto" w:fill="auto"/>
            <w:noWrap/>
            <w:vAlign w:val="bottom"/>
            <w:hideMark/>
          </w:tcPr>
          <w:p w14:paraId="051996AC" w14:textId="6397C551"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13,761 </w:t>
            </w:r>
          </w:p>
        </w:tc>
      </w:tr>
      <w:tr w:rsidR="002367A2" w:rsidRPr="00513EDD" w14:paraId="202C6555" w14:textId="77777777" w:rsidTr="00177B65">
        <w:trPr>
          <w:trHeight w:val="204"/>
        </w:trPr>
        <w:tc>
          <w:tcPr>
            <w:tcW w:w="2552" w:type="dxa"/>
            <w:tcBorders>
              <w:top w:val="nil"/>
              <w:left w:val="nil"/>
              <w:bottom w:val="nil"/>
              <w:right w:val="nil"/>
            </w:tcBorders>
            <w:shd w:val="clear" w:color="auto" w:fill="auto"/>
            <w:noWrap/>
            <w:vAlign w:val="bottom"/>
            <w:hideMark/>
          </w:tcPr>
          <w:p w14:paraId="7F71AD74"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Property, plant and equipment</w:t>
            </w:r>
          </w:p>
        </w:tc>
        <w:tc>
          <w:tcPr>
            <w:tcW w:w="850" w:type="dxa"/>
            <w:tcBorders>
              <w:top w:val="nil"/>
              <w:left w:val="nil"/>
              <w:bottom w:val="nil"/>
              <w:right w:val="nil"/>
            </w:tcBorders>
            <w:shd w:val="clear" w:color="auto" w:fill="auto"/>
            <w:noWrap/>
            <w:vAlign w:val="bottom"/>
            <w:hideMark/>
          </w:tcPr>
          <w:p w14:paraId="471844DC" w14:textId="68A3C63B"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1,945</w:t>
            </w:r>
          </w:p>
        </w:tc>
        <w:tc>
          <w:tcPr>
            <w:tcW w:w="1060" w:type="dxa"/>
            <w:tcBorders>
              <w:top w:val="nil"/>
              <w:left w:val="nil"/>
              <w:bottom w:val="nil"/>
              <w:right w:val="nil"/>
            </w:tcBorders>
            <w:shd w:val="clear" w:color="000000" w:fill="E6E6E6"/>
            <w:noWrap/>
            <w:vAlign w:val="bottom"/>
            <w:hideMark/>
          </w:tcPr>
          <w:p w14:paraId="0916805F" w14:textId="62D4F28E"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1,975 </w:t>
            </w:r>
          </w:p>
        </w:tc>
        <w:tc>
          <w:tcPr>
            <w:tcW w:w="1060" w:type="dxa"/>
            <w:tcBorders>
              <w:top w:val="nil"/>
              <w:left w:val="nil"/>
              <w:bottom w:val="nil"/>
              <w:right w:val="nil"/>
            </w:tcBorders>
            <w:shd w:val="clear" w:color="auto" w:fill="auto"/>
            <w:noWrap/>
            <w:vAlign w:val="bottom"/>
            <w:hideMark/>
          </w:tcPr>
          <w:p w14:paraId="3F4764D3" w14:textId="66283C0D"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1,930 </w:t>
            </w:r>
          </w:p>
        </w:tc>
        <w:tc>
          <w:tcPr>
            <w:tcW w:w="1060" w:type="dxa"/>
            <w:tcBorders>
              <w:top w:val="nil"/>
              <w:left w:val="nil"/>
              <w:bottom w:val="nil"/>
              <w:right w:val="nil"/>
            </w:tcBorders>
            <w:shd w:val="clear" w:color="auto" w:fill="auto"/>
            <w:noWrap/>
            <w:vAlign w:val="bottom"/>
            <w:hideMark/>
          </w:tcPr>
          <w:p w14:paraId="30F3C1DA" w14:textId="52905CBF"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2,363 </w:t>
            </w:r>
          </w:p>
        </w:tc>
        <w:tc>
          <w:tcPr>
            <w:tcW w:w="1053" w:type="dxa"/>
            <w:tcBorders>
              <w:top w:val="nil"/>
              <w:left w:val="nil"/>
              <w:bottom w:val="nil"/>
              <w:right w:val="nil"/>
            </w:tcBorders>
            <w:shd w:val="clear" w:color="auto" w:fill="auto"/>
            <w:noWrap/>
            <w:vAlign w:val="bottom"/>
            <w:hideMark/>
          </w:tcPr>
          <w:p w14:paraId="1260A1D0" w14:textId="2E913A86"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2,391 </w:t>
            </w:r>
          </w:p>
        </w:tc>
      </w:tr>
      <w:tr w:rsidR="002367A2" w:rsidRPr="00513EDD" w14:paraId="289292B1" w14:textId="77777777" w:rsidTr="00177B65">
        <w:trPr>
          <w:trHeight w:val="204"/>
        </w:trPr>
        <w:tc>
          <w:tcPr>
            <w:tcW w:w="2552" w:type="dxa"/>
            <w:tcBorders>
              <w:top w:val="nil"/>
              <w:left w:val="nil"/>
              <w:bottom w:val="nil"/>
              <w:right w:val="nil"/>
            </w:tcBorders>
            <w:shd w:val="clear" w:color="auto" w:fill="auto"/>
            <w:noWrap/>
            <w:vAlign w:val="bottom"/>
            <w:hideMark/>
          </w:tcPr>
          <w:p w14:paraId="62382D44"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Intangibles</w:t>
            </w:r>
          </w:p>
        </w:tc>
        <w:tc>
          <w:tcPr>
            <w:tcW w:w="850" w:type="dxa"/>
            <w:tcBorders>
              <w:top w:val="nil"/>
              <w:left w:val="nil"/>
              <w:bottom w:val="nil"/>
              <w:right w:val="nil"/>
            </w:tcBorders>
            <w:shd w:val="clear" w:color="auto" w:fill="auto"/>
            <w:noWrap/>
            <w:vAlign w:val="bottom"/>
            <w:hideMark/>
          </w:tcPr>
          <w:p w14:paraId="202D7D2B" w14:textId="017E6D62"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3,295</w:t>
            </w:r>
          </w:p>
        </w:tc>
        <w:tc>
          <w:tcPr>
            <w:tcW w:w="1060" w:type="dxa"/>
            <w:tcBorders>
              <w:top w:val="nil"/>
              <w:left w:val="nil"/>
              <w:bottom w:val="nil"/>
              <w:right w:val="nil"/>
            </w:tcBorders>
            <w:shd w:val="clear" w:color="000000" w:fill="E6E6E6"/>
            <w:noWrap/>
            <w:vAlign w:val="bottom"/>
            <w:hideMark/>
          </w:tcPr>
          <w:p w14:paraId="0C27B0F1" w14:textId="67801D45"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3,231 </w:t>
            </w:r>
          </w:p>
        </w:tc>
        <w:tc>
          <w:tcPr>
            <w:tcW w:w="1060" w:type="dxa"/>
            <w:tcBorders>
              <w:top w:val="nil"/>
              <w:left w:val="nil"/>
              <w:bottom w:val="nil"/>
              <w:right w:val="nil"/>
            </w:tcBorders>
            <w:shd w:val="clear" w:color="auto" w:fill="auto"/>
            <w:noWrap/>
            <w:vAlign w:val="bottom"/>
            <w:hideMark/>
          </w:tcPr>
          <w:p w14:paraId="69BBCA9D" w14:textId="63F1BA74"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2,957 </w:t>
            </w:r>
          </w:p>
        </w:tc>
        <w:tc>
          <w:tcPr>
            <w:tcW w:w="1060" w:type="dxa"/>
            <w:tcBorders>
              <w:top w:val="nil"/>
              <w:left w:val="nil"/>
              <w:bottom w:val="nil"/>
              <w:right w:val="nil"/>
            </w:tcBorders>
            <w:shd w:val="clear" w:color="auto" w:fill="auto"/>
            <w:noWrap/>
            <w:vAlign w:val="bottom"/>
            <w:hideMark/>
          </w:tcPr>
          <w:p w14:paraId="6458EAA9" w14:textId="2B1A992C"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2,607 </w:t>
            </w:r>
          </w:p>
        </w:tc>
        <w:tc>
          <w:tcPr>
            <w:tcW w:w="1053" w:type="dxa"/>
            <w:tcBorders>
              <w:top w:val="nil"/>
              <w:left w:val="nil"/>
              <w:bottom w:val="nil"/>
              <w:right w:val="nil"/>
            </w:tcBorders>
            <w:shd w:val="clear" w:color="auto" w:fill="auto"/>
            <w:noWrap/>
            <w:vAlign w:val="bottom"/>
            <w:hideMark/>
          </w:tcPr>
          <w:p w14:paraId="422F3860" w14:textId="714D72B3"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2,457 </w:t>
            </w:r>
          </w:p>
        </w:tc>
      </w:tr>
      <w:tr w:rsidR="002367A2" w:rsidRPr="00513EDD" w14:paraId="29B39CA5" w14:textId="77777777" w:rsidTr="00177B65">
        <w:trPr>
          <w:trHeight w:val="204"/>
        </w:trPr>
        <w:tc>
          <w:tcPr>
            <w:tcW w:w="2552" w:type="dxa"/>
            <w:tcBorders>
              <w:top w:val="nil"/>
              <w:left w:val="nil"/>
              <w:bottom w:val="nil"/>
              <w:right w:val="nil"/>
            </w:tcBorders>
            <w:shd w:val="clear" w:color="auto" w:fill="auto"/>
            <w:noWrap/>
            <w:vAlign w:val="bottom"/>
            <w:hideMark/>
          </w:tcPr>
          <w:p w14:paraId="1A1265A6"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Heritage and cultural assets</w:t>
            </w:r>
          </w:p>
        </w:tc>
        <w:tc>
          <w:tcPr>
            <w:tcW w:w="850" w:type="dxa"/>
            <w:tcBorders>
              <w:top w:val="nil"/>
              <w:left w:val="nil"/>
              <w:bottom w:val="nil"/>
              <w:right w:val="nil"/>
            </w:tcBorders>
            <w:shd w:val="clear" w:color="auto" w:fill="auto"/>
            <w:noWrap/>
            <w:vAlign w:val="bottom"/>
            <w:hideMark/>
          </w:tcPr>
          <w:p w14:paraId="4ED24082" w14:textId="53798041"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201</w:t>
            </w:r>
          </w:p>
        </w:tc>
        <w:tc>
          <w:tcPr>
            <w:tcW w:w="1060" w:type="dxa"/>
            <w:tcBorders>
              <w:top w:val="nil"/>
              <w:left w:val="nil"/>
              <w:bottom w:val="nil"/>
              <w:right w:val="nil"/>
            </w:tcBorders>
            <w:shd w:val="clear" w:color="000000" w:fill="E6E6E6"/>
            <w:noWrap/>
            <w:vAlign w:val="bottom"/>
            <w:hideMark/>
          </w:tcPr>
          <w:p w14:paraId="7301A5B2" w14:textId="0FEF539B"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218 </w:t>
            </w:r>
          </w:p>
        </w:tc>
        <w:tc>
          <w:tcPr>
            <w:tcW w:w="1060" w:type="dxa"/>
            <w:tcBorders>
              <w:top w:val="nil"/>
              <w:left w:val="nil"/>
              <w:bottom w:val="nil"/>
              <w:right w:val="nil"/>
            </w:tcBorders>
            <w:shd w:val="clear" w:color="auto" w:fill="auto"/>
            <w:noWrap/>
            <w:vAlign w:val="bottom"/>
            <w:hideMark/>
          </w:tcPr>
          <w:p w14:paraId="213EA224" w14:textId="6B7E613C"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213 </w:t>
            </w:r>
          </w:p>
        </w:tc>
        <w:tc>
          <w:tcPr>
            <w:tcW w:w="1060" w:type="dxa"/>
            <w:tcBorders>
              <w:top w:val="nil"/>
              <w:left w:val="nil"/>
              <w:bottom w:val="nil"/>
              <w:right w:val="nil"/>
            </w:tcBorders>
            <w:shd w:val="clear" w:color="auto" w:fill="auto"/>
            <w:noWrap/>
            <w:vAlign w:val="bottom"/>
            <w:hideMark/>
          </w:tcPr>
          <w:p w14:paraId="7ADEF7F2" w14:textId="453127CE"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208 </w:t>
            </w:r>
          </w:p>
        </w:tc>
        <w:tc>
          <w:tcPr>
            <w:tcW w:w="1053" w:type="dxa"/>
            <w:tcBorders>
              <w:top w:val="nil"/>
              <w:left w:val="nil"/>
              <w:bottom w:val="nil"/>
              <w:right w:val="nil"/>
            </w:tcBorders>
            <w:shd w:val="clear" w:color="auto" w:fill="auto"/>
            <w:noWrap/>
            <w:vAlign w:val="bottom"/>
            <w:hideMark/>
          </w:tcPr>
          <w:p w14:paraId="56DAF9F2" w14:textId="2B7F2F42"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223 </w:t>
            </w:r>
          </w:p>
        </w:tc>
      </w:tr>
      <w:tr w:rsidR="002367A2" w:rsidRPr="00513EDD" w14:paraId="2D89F02A" w14:textId="77777777" w:rsidTr="00177B65">
        <w:trPr>
          <w:trHeight w:val="204"/>
        </w:trPr>
        <w:tc>
          <w:tcPr>
            <w:tcW w:w="2552" w:type="dxa"/>
            <w:tcBorders>
              <w:top w:val="nil"/>
              <w:left w:val="nil"/>
              <w:bottom w:val="nil"/>
              <w:right w:val="nil"/>
            </w:tcBorders>
            <w:shd w:val="clear" w:color="auto" w:fill="auto"/>
            <w:noWrap/>
            <w:vAlign w:val="bottom"/>
            <w:hideMark/>
          </w:tcPr>
          <w:p w14:paraId="6A8D36B6"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Other non-financial assets</w:t>
            </w:r>
          </w:p>
        </w:tc>
        <w:tc>
          <w:tcPr>
            <w:tcW w:w="850" w:type="dxa"/>
            <w:tcBorders>
              <w:top w:val="nil"/>
              <w:left w:val="nil"/>
              <w:bottom w:val="nil"/>
              <w:right w:val="nil"/>
            </w:tcBorders>
            <w:shd w:val="clear" w:color="auto" w:fill="auto"/>
            <w:noWrap/>
            <w:vAlign w:val="bottom"/>
            <w:hideMark/>
          </w:tcPr>
          <w:p w14:paraId="4678DCFA" w14:textId="1C29C354"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124</w:t>
            </w:r>
          </w:p>
        </w:tc>
        <w:tc>
          <w:tcPr>
            <w:tcW w:w="1060" w:type="dxa"/>
            <w:tcBorders>
              <w:top w:val="nil"/>
              <w:left w:val="nil"/>
              <w:bottom w:val="nil"/>
              <w:right w:val="nil"/>
            </w:tcBorders>
            <w:shd w:val="clear" w:color="000000" w:fill="E6E6E6"/>
            <w:noWrap/>
            <w:vAlign w:val="bottom"/>
            <w:hideMark/>
          </w:tcPr>
          <w:p w14:paraId="25C23C23" w14:textId="6C657DA0"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124 </w:t>
            </w:r>
          </w:p>
        </w:tc>
        <w:tc>
          <w:tcPr>
            <w:tcW w:w="1060" w:type="dxa"/>
            <w:tcBorders>
              <w:top w:val="nil"/>
              <w:left w:val="nil"/>
              <w:bottom w:val="nil"/>
              <w:right w:val="nil"/>
            </w:tcBorders>
            <w:shd w:val="clear" w:color="auto" w:fill="auto"/>
            <w:noWrap/>
            <w:vAlign w:val="bottom"/>
            <w:hideMark/>
          </w:tcPr>
          <w:p w14:paraId="2789D1F9" w14:textId="4009C5C9"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124 </w:t>
            </w:r>
          </w:p>
        </w:tc>
        <w:tc>
          <w:tcPr>
            <w:tcW w:w="1060" w:type="dxa"/>
            <w:tcBorders>
              <w:top w:val="nil"/>
              <w:left w:val="nil"/>
              <w:bottom w:val="nil"/>
              <w:right w:val="nil"/>
            </w:tcBorders>
            <w:shd w:val="clear" w:color="auto" w:fill="auto"/>
            <w:noWrap/>
            <w:vAlign w:val="bottom"/>
            <w:hideMark/>
          </w:tcPr>
          <w:p w14:paraId="6D490D54" w14:textId="50A5D1E6"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124 </w:t>
            </w:r>
          </w:p>
        </w:tc>
        <w:tc>
          <w:tcPr>
            <w:tcW w:w="1053" w:type="dxa"/>
            <w:tcBorders>
              <w:top w:val="nil"/>
              <w:left w:val="nil"/>
              <w:bottom w:val="nil"/>
              <w:right w:val="nil"/>
            </w:tcBorders>
            <w:shd w:val="clear" w:color="auto" w:fill="auto"/>
            <w:noWrap/>
            <w:vAlign w:val="bottom"/>
            <w:hideMark/>
          </w:tcPr>
          <w:p w14:paraId="2691417C" w14:textId="2F9F458B"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124 </w:t>
            </w:r>
          </w:p>
        </w:tc>
      </w:tr>
      <w:tr w:rsidR="002367A2" w:rsidRPr="00513EDD" w14:paraId="0664A6B4" w14:textId="77777777" w:rsidTr="00177B65">
        <w:trPr>
          <w:trHeight w:val="204"/>
        </w:trPr>
        <w:tc>
          <w:tcPr>
            <w:tcW w:w="2552" w:type="dxa"/>
            <w:tcBorders>
              <w:top w:val="nil"/>
              <w:left w:val="nil"/>
              <w:bottom w:val="nil"/>
              <w:right w:val="nil"/>
            </w:tcBorders>
            <w:shd w:val="clear" w:color="auto" w:fill="auto"/>
            <w:noWrap/>
            <w:vAlign w:val="bottom"/>
            <w:hideMark/>
          </w:tcPr>
          <w:p w14:paraId="1FCF44FD" w14:textId="77777777" w:rsidR="002367A2" w:rsidRPr="00177B65" w:rsidRDefault="002367A2" w:rsidP="002367A2">
            <w:pPr>
              <w:spacing w:after="0" w:line="240" w:lineRule="auto"/>
              <w:jc w:val="left"/>
              <w:rPr>
                <w:rFonts w:ascii="Arial" w:hAnsi="Arial" w:cs="Arial"/>
                <w:b/>
                <w:bCs/>
                <w:iCs/>
                <w:sz w:val="16"/>
                <w:szCs w:val="16"/>
              </w:rPr>
            </w:pPr>
            <w:r w:rsidRPr="00177B65">
              <w:rPr>
                <w:rFonts w:ascii="Arial" w:hAnsi="Arial" w:cs="Arial"/>
                <w:b/>
                <w:bCs/>
                <w:iCs/>
                <w:sz w:val="16"/>
                <w:szCs w:val="16"/>
              </w:rPr>
              <w:t>Total non-financial assets</w:t>
            </w:r>
          </w:p>
        </w:tc>
        <w:tc>
          <w:tcPr>
            <w:tcW w:w="850" w:type="dxa"/>
            <w:tcBorders>
              <w:top w:val="single" w:sz="4" w:space="0" w:color="auto"/>
              <w:left w:val="nil"/>
              <w:bottom w:val="single" w:sz="4" w:space="0" w:color="auto"/>
              <w:right w:val="nil"/>
            </w:tcBorders>
            <w:shd w:val="clear" w:color="auto" w:fill="auto"/>
            <w:noWrap/>
            <w:vAlign w:val="bottom"/>
            <w:hideMark/>
          </w:tcPr>
          <w:p w14:paraId="6D966D8E" w14:textId="7E6D0500"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17,116</w:t>
            </w:r>
          </w:p>
        </w:tc>
        <w:tc>
          <w:tcPr>
            <w:tcW w:w="1060" w:type="dxa"/>
            <w:tcBorders>
              <w:top w:val="single" w:sz="4" w:space="0" w:color="auto"/>
              <w:left w:val="nil"/>
              <w:bottom w:val="single" w:sz="4" w:space="0" w:color="auto"/>
              <w:right w:val="nil"/>
            </w:tcBorders>
            <w:shd w:val="clear" w:color="000000" w:fill="E6E6E6"/>
            <w:noWrap/>
            <w:vAlign w:val="bottom"/>
            <w:hideMark/>
          </w:tcPr>
          <w:p w14:paraId="3EF5E403" w14:textId="6964CC37"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 xml:space="preserve">21,546 </w:t>
            </w:r>
          </w:p>
        </w:tc>
        <w:tc>
          <w:tcPr>
            <w:tcW w:w="1060" w:type="dxa"/>
            <w:tcBorders>
              <w:top w:val="single" w:sz="4" w:space="0" w:color="auto"/>
              <w:left w:val="nil"/>
              <w:bottom w:val="single" w:sz="4" w:space="0" w:color="auto"/>
              <w:right w:val="nil"/>
            </w:tcBorders>
            <w:shd w:val="clear" w:color="auto" w:fill="auto"/>
            <w:noWrap/>
            <w:vAlign w:val="bottom"/>
            <w:hideMark/>
          </w:tcPr>
          <w:p w14:paraId="7A3911A4" w14:textId="76E7F871"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 xml:space="preserve">20,773 </w:t>
            </w:r>
          </w:p>
        </w:tc>
        <w:tc>
          <w:tcPr>
            <w:tcW w:w="1060" w:type="dxa"/>
            <w:tcBorders>
              <w:top w:val="single" w:sz="4" w:space="0" w:color="auto"/>
              <w:left w:val="nil"/>
              <w:bottom w:val="single" w:sz="4" w:space="0" w:color="auto"/>
              <w:right w:val="nil"/>
            </w:tcBorders>
            <w:shd w:val="clear" w:color="auto" w:fill="auto"/>
            <w:noWrap/>
            <w:vAlign w:val="bottom"/>
            <w:hideMark/>
          </w:tcPr>
          <w:p w14:paraId="7A66B683" w14:textId="0CEC3777"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 xml:space="preserve">19,862 </w:t>
            </w:r>
          </w:p>
        </w:tc>
        <w:tc>
          <w:tcPr>
            <w:tcW w:w="1053" w:type="dxa"/>
            <w:tcBorders>
              <w:top w:val="single" w:sz="4" w:space="0" w:color="auto"/>
              <w:left w:val="nil"/>
              <w:bottom w:val="single" w:sz="4" w:space="0" w:color="auto"/>
              <w:right w:val="nil"/>
            </w:tcBorders>
            <w:shd w:val="clear" w:color="auto" w:fill="auto"/>
            <w:noWrap/>
            <w:vAlign w:val="bottom"/>
            <w:hideMark/>
          </w:tcPr>
          <w:p w14:paraId="5174BC32" w14:textId="0FD23051"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 xml:space="preserve">18,956 </w:t>
            </w:r>
          </w:p>
        </w:tc>
      </w:tr>
      <w:tr w:rsidR="002367A2" w:rsidRPr="00513EDD" w14:paraId="268241B9" w14:textId="77777777" w:rsidTr="00177B65">
        <w:trPr>
          <w:trHeight w:val="204"/>
        </w:trPr>
        <w:tc>
          <w:tcPr>
            <w:tcW w:w="2552" w:type="dxa"/>
            <w:tcBorders>
              <w:top w:val="nil"/>
              <w:left w:val="nil"/>
              <w:bottom w:val="nil"/>
              <w:right w:val="nil"/>
            </w:tcBorders>
            <w:shd w:val="clear" w:color="auto" w:fill="auto"/>
            <w:noWrap/>
            <w:vAlign w:val="bottom"/>
            <w:hideMark/>
          </w:tcPr>
          <w:p w14:paraId="5E5C0761"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Total assets</w:t>
            </w:r>
          </w:p>
        </w:tc>
        <w:tc>
          <w:tcPr>
            <w:tcW w:w="850" w:type="dxa"/>
            <w:tcBorders>
              <w:top w:val="single" w:sz="4" w:space="0" w:color="auto"/>
              <w:left w:val="nil"/>
              <w:bottom w:val="single" w:sz="4" w:space="0" w:color="auto"/>
              <w:right w:val="nil"/>
            </w:tcBorders>
            <w:shd w:val="clear" w:color="auto" w:fill="auto"/>
            <w:noWrap/>
            <w:vAlign w:val="bottom"/>
            <w:hideMark/>
          </w:tcPr>
          <w:p w14:paraId="0B93F2BA" w14:textId="3B4DE6A1"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23,037</w:t>
            </w:r>
          </w:p>
        </w:tc>
        <w:tc>
          <w:tcPr>
            <w:tcW w:w="1060" w:type="dxa"/>
            <w:tcBorders>
              <w:top w:val="single" w:sz="4" w:space="0" w:color="auto"/>
              <w:left w:val="nil"/>
              <w:bottom w:val="single" w:sz="4" w:space="0" w:color="auto"/>
              <w:right w:val="nil"/>
            </w:tcBorders>
            <w:shd w:val="clear" w:color="000000" w:fill="E6E6E6"/>
            <w:noWrap/>
            <w:vAlign w:val="bottom"/>
            <w:hideMark/>
          </w:tcPr>
          <w:p w14:paraId="45D37EEB" w14:textId="0F8D19C5"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 xml:space="preserve">27,467 </w:t>
            </w:r>
          </w:p>
        </w:tc>
        <w:tc>
          <w:tcPr>
            <w:tcW w:w="1060" w:type="dxa"/>
            <w:tcBorders>
              <w:top w:val="single" w:sz="4" w:space="0" w:color="auto"/>
              <w:left w:val="nil"/>
              <w:bottom w:val="single" w:sz="4" w:space="0" w:color="auto"/>
              <w:right w:val="nil"/>
            </w:tcBorders>
            <w:shd w:val="clear" w:color="auto" w:fill="auto"/>
            <w:noWrap/>
            <w:vAlign w:val="bottom"/>
            <w:hideMark/>
          </w:tcPr>
          <w:p w14:paraId="5DB8E3CC" w14:textId="476EDE47"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 xml:space="preserve">26,694 </w:t>
            </w:r>
          </w:p>
        </w:tc>
        <w:tc>
          <w:tcPr>
            <w:tcW w:w="1060" w:type="dxa"/>
            <w:tcBorders>
              <w:top w:val="single" w:sz="4" w:space="0" w:color="auto"/>
              <w:left w:val="nil"/>
              <w:bottom w:val="single" w:sz="4" w:space="0" w:color="auto"/>
              <w:right w:val="nil"/>
            </w:tcBorders>
            <w:shd w:val="clear" w:color="auto" w:fill="auto"/>
            <w:noWrap/>
            <w:vAlign w:val="bottom"/>
            <w:hideMark/>
          </w:tcPr>
          <w:p w14:paraId="1907EE91" w14:textId="025BA1F3"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 xml:space="preserve">25,783 </w:t>
            </w:r>
          </w:p>
        </w:tc>
        <w:tc>
          <w:tcPr>
            <w:tcW w:w="1053" w:type="dxa"/>
            <w:tcBorders>
              <w:top w:val="single" w:sz="4" w:space="0" w:color="auto"/>
              <w:left w:val="nil"/>
              <w:bottom w:val="single" w:sz="4" w:space="0" w:color="auto"/>
              <w:right w:val="nil"/>
            </w:tcBorders>
            <w:shd w:val="clear" w:color="auto" w:fill="auto"/>
            <w:noWrap/>
            <w:vAlign w:val="bottom"/>
            <w:hideMark/>
          </w:tcPr>
          <w:p w14:paraId="6057E1E7" w14:textId="63717A0D"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 xml:space="preserve">24,877 </w:t>
            </w:r>
          </w:p>
        </w:tc>
      </w:tr>
      <w:tr w:rsidR="002367A2" w:rsidRPr="00513EDD" w14:paraId="6ABFE9C1" w14:textId="77777777" w:rsidTr="00177B65">
        <w:trPr>
          <w:trHeight w:val="204"/>
        </w:trPr>
        <w:tc>
          <w:tcPr>
            <w:tcW w:w="2552" w:type="dxa"/>
            <w:tcBorders>
              <w:top w:val="nil"/>
              <w:left w:val="nil"/>
              <w:bottom w:val="nil"/>
              <w:right w:val="nil"/>
            </w:tcBorders>
            <w:shd w:val="clear" w:color="auto" w:fill="auto"/>
            <w:noWrap/>
            <w:vAlign w:val="bottom"/>
            <w:hideMark/>
          </w:tcPr>
          <w:p w14:paraId="6E2011C6"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LIABILITIES</w:t>
            </w:r>
          </w:p>
        </w:tc>
        <w:tc>
          <w:tcPr>
            <w:tcW w:w="850" w:type="dxa"/>
            <w:tcBorders>
              <w:top w:val="nil"/>
              <w:left w:val="nil"/>
              <w:bottom w:val="nil"/>
              <w:right w:val="nil"/>
            </w:tcBorders>
            <w:shd w:val="clear" w:color="auto" w:fill="auto"/>
            <w:noWrap/>
            <w:vAlign w:val="bottom"/>
            <w:hideMark/>
          </w:tcPr>
          <w:p w14:paraId="5F56C247" w14:textId="77777777" w:rsidR="002367A2" w:rsidRPr="00177B65" w:rsidRDefault="002367A2" w:rsidP="002367A2">
            <w:pPr>
              <w:spacing w:after="0" w:line="240" w:lineRule="auto"/>
              <w:jc w:val="right"/>
              <w:rPr>
                <w:rFonts w:ascii="Arial" w:hAnsi="Arial" w:cs="Arial"/>
                <w:b/>
                <w:bCs/>
                <w:sz w:val="16"/>
                <w:szCs w:val="16"/>
              </w:rPr>
            </w:pPr>
          </w:p>
        </w:tc>
        <w:tc>
          <w:tcPr>
            <w:tcW w:w="1060" w:type="dxa"/>
            <w:tcBorders>
              <w:top w:val="nil"/>
              <w:left w:val="nil"/>
              <w:bottom w:val="nil"/>
              <w:right w:val="nil"/>
            </w:tcBorders>
            <w:shd w:val="clear" w:color="000000" w:fill="E6E6E6"/>
            <w:noWrap/>
            <w:vAlign w:val="bottom"/>
            <w:hideMark/>
          </w:tcPr>
          <w:p w14:paraId="1E68069F" w14:textId="1616A817"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17D2B9A9" w14:textId="77777777"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0A294F35" w14:textId="77777777" w:rsidR="002367A2" w:rsidRPr="00177B65" w:rsidRDefault="002367A2" w:rsidP="002367A2">
            <w:pPr>
              <w:spacing w:after="0" w:line="240" w:lineRule="auto"/>
              <w:jc w:val="right"/>
              <w:rPr>
                <w:rFonts w:ascii="Times New Roman" w:hAnsi="Times New Roman"/>
                <w:sz w:val="16"/>
                <w:szCs w:val="16"/>
              </w:rPr>
            </w:pPr>
          </w:p>
        </w:tc>
        <w:tc>
          <w:tcPr>
            <w:tcW w:w="1053" w:type="dxa"/>
            <w:tcBorders>
              <w:top w:val="nil"/>
              <w:left w:val="nil"/>
              <w:bottom w:val="nil"/>
              <w:right w:val="nil"/>
            </w:tcBorders>
            <w:shd w:val="clear" w:color="auto" w:fill="auto"/>
            <w:noWrap/>
            <w:vAlign w:val="bottom"/>
            <w:hideMark/>
          </w:tcPr>
          <w:p w14:paraId="6DD04A51" w14:textId="77777777" w:rsidR="002367A2" w:rsidRPr="00177B65" w:rsidRDefault="002367A2" w:rsidP="002367A2">
            <w:pPr>
              <w:spacing w:after="0" w:line="240" w:lineRule="auto"/>
              <w:jc w:val="right"/>
              <w:rPr>
                <w:rFonts w:ascii="Times New Roman" w:hAnsi="Times New Roman"/>
                <w:sz w:val="16"/>
                <w:szCs w:val="16"/>
              </w:rPr>
            </w:pPr>
          </w:p>
        </w:tc>
      </w:tr>
      <w:tr w:rsidR="002367A2" w:rsidRPr="00513EDD" w14:paraId="5F3ACB5F" w14:textId="77777777" w:rsidTr="00177B65">
        <w:trPr>
          <w:trHeight w:val="204"/>
        </w:trPr>
        <w:tc>
          <w:tcPr>
            <w:tcW w:w="2552" w:type="dxa"/>
            <w:tcBorders>
              <w:top w:val="nil"/>
              <w:left w:val="nil"/>
              <w:bottom w:val="nil"/>
              <w:right w:val="nil"/>
            </w:tcBorders>
            <w:shd w:val="clear" w:color="auto" w:fill="auto"/>
            <w:noWrap/>
            <w:vAlign w:val="bottom"/>
            <w:hideMark/>
          </w:tcPr>
          <w:p w14:paraId="5F777358"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Payables</w:t>
            </w:r>
          </w:p>
        </w:tc>
        <w:tc>
          <w:tcPr>
            <w:tcW w:w="850" w:type="dxa"/>
            <w:tcBorders>
              <w:top w:val="nil"/>
              <w:left w:val="nil"/>
              <w:bottom w:val="nil"/>
              <w:right w:val="nil"/>
            </w:tcBorders>
            <w:shd w:val="clear" w:color="auto" w:fill="auto"/>
            <w:noWrap/>
            <w:vAlign w:val="bottom"/>
            <w:hideMark/>
          </w:tcPr>
          <w:p w14:paraId="0490D5D5" w14:textId="77777777" w:rsidR="002367A2" w:rsidRPr="00177B65" w:rsidRDefault="002367A2" w:rsidP="002367A2">
            <w:pPr>
              <w:spacing w:after="0" w:line="240" w:lineRule="auto"/>
              <w:jc w:val="right"/>
              <w:rPr>
                <w:rFonts w:ascii="Arial" w:hAnsi="Arial" w:cs="Arial"/>
                <w:b/>
                <w:bCs/>
                <w:sz w:val="16"/>
                <w:szCs w:val="16"/>
              </w:rPr>
            </w:pPr>
          </w:p>
        </w:tc>
        <w:tc>
          <w:tcPr>
            <w:tcW w:w="1060" w:type="dxa"/>
            <w:tcBorders>
              <w:top w:val="nil"/>
              <w:left w:val="nil"/>
              <w:bottom w:val="nil"/>
              <w:right w:val="nil"/>
            </w:tcBorders>
            <w:shd w:val="clear" w:color="000000" w:fill="E6E6E6"/>
            <w:noWrap/>
            <w:vAlign w:val="bottom"/>
            <w:hideMark/>
          </w:tcPr>
          <w:p w14:paraId="4367FE35" w14:textId="7E3B43A2"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07900914" w14:textId="77777777"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3BB9053B" w14:textId="77777777" w:rsidR="002367A2" w:rsidRPr="00177B65" w:rsidRDefault="002367A2" w:rsidP="002367A2">
            <w:pPr>
              <w:spacing w:after="0" w:line="240" w:lineRule="auto"/>
              <w:jc w:val="right"/>
              <w:rPr>
                <w:rFonts w:ascii="Times New Roman" w:hAnsi="Times New Roman"/>
                <w:sz w:val="16"/>
                <w:szCs w:val="16"/>
              </w:rPr>
            </w:pPr>
          </w:p>
        </w:tc>
        <w:tc>
          <w:tcPr>
            <w:tcW w:w="1053" w:type="dxa"/>
            <w:tcBorders>
              <w:top w:val="nil"/>
              <w:left w:val="nil"/>
              <w:bottom w:val="nil"/>
              <w:right w:val="nil"/>
            </w:tcBorders>
            <w:shd w:val="clear" w:color="auto" w:fill="auto"/>
            <w:noWrap/>
            <w:vAlign w:val="bottom"/>
            <w:hideMark/>
          </w:tcPr>
          <w:p w14:paraId="440A6E6B" w14:textId="77777777" w:rsidR="002367A2" w:rsidRPr="00177B65" w:rsidRDefault="002367A2" w:rsidP="002367A2">
            <w:pPr>
              <w:spacing w:after="0" w:line="240" w:lineRule="auto"/>
              <w:jc w:val="right"/>
              <w:rPr>
                <w:rFonts w:ascii="Times New Roman" w:hAnsi="Times New Roman"/>
                <w:sz w:val="16"/>
                <w:szCs w:val="16"/>
              </w:rPr>
            </w:pPr>
          </w:p>
        </w:tc>
      </w:tr>
      <w:tr w:rsidR="002367A2" w:rsidRPr="00513EDD" w14:paraId="29619944" w14:textId="77777777" w:rsidTr="00177B65">
        <w:trPr>
          <w:trHeight w:val="204"/>
        </w:trPr>
        <w:tc>
          <w:tcPr>
            <w:tcW w:w="2552" w:type="dxa"/>
            <w:tcBorders>
              <w:top w:val="nil"/>
              <w:left w:val="nil"/>
              <w:bottom w:val="nil"/>
              <w:right w:val="nil"/>
            </w:tcBorders>
            <w:shd w:val="clear" w:color="auto" w:fill="auto"/>
            <w:noWrap/>
            <w:vAlign w:val="bottom"/>
            <w:hideMark/>
          </w:tcPr>
          <w:p w14:paraId="6D98E6CE"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Suppliers</w:t>
            </w:r>
          </w:p>
        </w:tc>
        <w:tc>
          <w:tcPr>
            <w:tcW w:w="850" w:type="dxa"/>
            <w:tcBorders>
              <w:top w:val="nil"/>
              <w:left w:val="nil"/>
              <w:bottom w:val="nil"/>
              <w:right w:val="nil"/>
            </w:tcBorders>
            <w:shd w:val="clear" w:color="auto" w:fill="auto"/>
            <w:noWrap/>
            <w:vAlign w:val="bottom"/>
            <w:hideMark/>
          </w:tcPr>
          <w:p w14:paraId="1DDB713D" w14:textId="429E906B"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973</w:t>
            </w:r>
          </w:p>
        </w:tc>
        <w:tc>
          <w:tcPr>
            <w:tcW w:w="1060" w:type="dxa"/>
            <w:tcBorders>
              <w:top w:val="nil"/>
              <w:left w:val="nil"/>
              <w:bottom w:val="nil"/>
              <w:right w:val="nil"/>
            </w:tcBorders>
            <w:shd w:val="clear" w:color="000000" w:fill="E6E6E6"/>
            <w:noWrap/>
            <w:vAlign w:val="bottom"/>
            <w:hideMark/>
          </w:tcPr>
          <w:p w14:paraId="0693E324" w14:textId="5817285E"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1,019</w:t>
            </w:r>
          </w:p>
        </w:tc>
        <w:tc>
          <w:tcPr>
            <w:tcW w:w="1060" w:type="dxa"/>
            <w:tcBorders>
              <w:top w:val="nil"/>
              <w:left w:val="nil"/>
              <w:bottom w:val="nil"/>
              <w:right w:val="nil"/>
            </w:tcBorders>
            <w:shd w:val="clear" w:color="auto" w:fill="auto"/>
            <w:noWrap/>
            <w:vAlign w:val="bottom"/>
            <w:hideMark/>
          </w:tcPr>
          <w:p w14:paraId="727D9578" w14:textId="0B7493A4"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1,019</w:t>
            </w:r>
          </w:p>
        </w:tc>
        <w:tc>
          <w:tcPr>
            <w:tcW w:w="1060" w:type="dxa"/>
            <w:tcBorders>
              <w:top w:val="nil"/>
              <w:left w:val="nil"/>
              <w:bottom w:val="nil"/>
              <w:right w:val="nil"/>
            </w:tcBorders>
            <w:shd w:val="clear" w:color="auto" w:fill="auto"/>
            <w:noWrap/>
            <w:vAlign w:val="bottom"/>
            <w:hideMark/>
          </w:tcPr>
          <w:p w14:paraId="56DC220A" w14:textId="1250A6DD"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1,019</w:t>
            </w:r>
          </w:p>
        </w:tc>
        <w:tc>
          <w:tcPr>
            <w:tcW w:w="1053" w:type="dxa"/>
            <w:tcBorders>
              <w:top w:val="nil"/>
              <w:left w:val="nil"/>
              <w:bottom w:val="nil"/>
              <w:right w:val="nil"/>
            </w:tcBorders>
            <w:shd w:val="clear" w:color="auto" w:fill="auto"/>
            <w:noWrap/>
            <w:vAlign w:val="bottom"/>
            <w:hideMark/>
          </w:tcPr>
          <w:p w14:paraId="5612C6CD" w14:textId="3B1E2D2C"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1,019</w:t>
            </w:r>
          </w:p>
        </w:tc>
      </w:tr>
      <w:tr w:rsidR="002367A2" w:rsidRPr="00513EDD" w14:paraId="70EF334E" w14:textId="77777777" w:rsidTr="00177B65">
        <w:trPr>
          <w:trHeight w:val="204"/>
        </w:trPr>
        <w:tc>
          <w:tcPr>
            <w:tcW w:w="2552" w:type="dxa"/>
            <w:tcBorders>
              <w:top w:val="nil"/>
              <w:left w:val="nil"/>
              <w:bottom w:val="nil"/>
              <w:right w:val="nil"/>
            </w:tcBorders>
            <w:shd w:val="clear" w:color="auto" w:fill="auto"/>
            <w:noWrap/>
            <w:vAlign w:val="bottom"/>
            <w:hideMark/>
          </w:tcPr>
          <w:p w14:paraId="204183AC"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Other payables</w:t>
            </w:r>
          </w:p>
        </w:tc>
        <w:tc>
          <w:tcPr>
            <w:tcW w:w="850" w:type="dxa"/>
            <w:tcBorders>
              <w:top w:val="nil"/>
              <w:left w:val="nil"/>
              <w:bottom w:val="nil"/>
              <w:right w:val="nil"/>
            </w:tcBorders>
            <w:shd w:val="clear" w:color="auto" w:fill="auto"/>
            <w:noWrap/>
            <w:vAlign w:val="bottom"/>
            <w:hideMark/>
          </w:tcPr>
          <w:p w14:paraId="0C651948" w14:textId="0FB7D65E"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4,384</w:t>
            </w:r>
          </w:p>
        </w:tc>
        <w:tc>
          <w:tcPr>
            <w:tcW w:w="1060" w:type="dxa"/>
            <w:tcBorders>
              <w:top w:val="nil"/>
              <w:left w:val="nil"/>
              <w:bottom w:val="nil"/>
              <w:right w:val="nil"/>
            </w:tcBorders>
            <w:shd w:val="clear" w:color="000000" w:fill="E6E6E6"/>
            <w:noWrap/>
            <w:vAlign w:val="bottom"/>
            <w:hideMark/>
          </w:tcPr>
          <w:p w14:paraId="1D8790B0" w14:textId="1AA77E69"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4,384</w:t>
            </w:r>
          </w:p>
        </w:tc>
        <w:tc>
          <w:tcPr>
            <w:tcW w:w="1060" w:type="dxa"/>
            <w:tcBorders>
              <w:top w:val="nil"/>
              <w:left w:val="nil"/>
              <w:bottom w:val="nil"/>
              <w:right w:val="nil"/>
            </w:tcBorders>
            <w:shd w:val="clear" w:color="auto" w:fill="auto"/>
            <w:noWrap/>
            <w:vAlign w:val="bottom"/>
            <w:hideMark/>
          </w:tcPr>
          <w:p w14:paraId="74C665E2" w14:textId="26A946B5"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4,384</w:t>
            </w:r>
          </w:p>
        </w:tc>
        <w:tc>
          <w:tcPr>
            <w:tcW w:w="1060" w:type="dxa"/>
            <w:tcBorders>
              <w:top w:val="nil"/>
              <w:left w:val="nil"/>
              <w:bottom w:val="nil"/>
              <w:right w:val="nil"/>
            </w:tcBorders>
            <w:shd w:val="clear" w:color="auto" w:fill="auto"/>
            <w:noWrap/>
            <w:vAlign w:val="bottom"/>
            <w:hideMark/>
          </w:tcPr>
          <w:p w14:paraId="7A3F86E9" w14:textId="470A48F2"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4,384</w:t>
            </w:r>
          </w:p>
        </w:tc>
        <w:tc>
          <w:tcPr>
            <w:tcW w:w="1053" w:type="dxa"/>
            <w:tcBorders>
              <w:top w:val="nil"/>
              <w:left w:val="nil"/>
              <w:bottom w:val="nil"/>
              <w:right w:val="nil"/>
            </w:tcBorders>
            <w:shd w:val="clear" w:color="auto" w:fill="auto"/>
            <w:noWrap/>
            <w:vAlign w:val="bottom"/>
            <w:hideMark/>
          </w:tcPr>
          <w:p w14:paraId="72278391" w14:textId="709D58C8"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4,384</w:t>
            </w:r>
          </w:p>
        </w:tc>
      </w:tr>
      <w:tr w:rsidR="002367A2" w:rsidRPr="00513EDD" w14:paraId="1A6E5EB5" w14:textId="77777777" w:rsidTr="00177B65">
        <w:trPr>
          <w:trHeight w:val="204"/>
        </w:trPr>
        <w:tc>
          <w:tcPr>
            <w:tcW w:w="2552" w:type="dxa"/>
            <w:tcBorders>
              <w:top w:val="nil"/>
              <w:left w:val="nil"/>
              <w:bottom w:val="nil"/>
              <w:right w:val="nil"/>
            </w:tcBorders>
            <w:shd w:val="clear" w:color="auto" w:fill="auto"/>
            <w:noWrap/>
            <w:vAlign w:val="bottom"/>
            <w:hideMark/>
          </w:tcPr>
          <w:p w14:paraId="23902B41" w14:textId="77777777" w:rsidR="002367A2" w:rsidRPr="00177B65" w:rsidRDefault="002367A2" w:rsidP="002367A2">
            <w:pPr>
              <w:spacing w:after="0" w:line="240" w:lineRule="auto"/>
              <w:jc w:val="left"/>
              <w:rPr>
                <w:rFonts w:ascii="Arial" w:hAnsi="Arial" w:cs="Arial"/>
                <w:b/>
                <w:bCs/>
                <w:iCs/>
                <w:sz w:val="16"/>
                <w:szCs w:val="16"/>
              </w:rPr>
            </w:pPr>
            <w:r w:rsidRPr="00177B65">
              <w:rPr>
                <w:rFonts w:ascii="Arial" w:hAnsi="Arial" w:cs="Arial"/>
                <w:b/>
                <w:bCs/>
                <w:iCs/>
                <w:sz w:val="16"/>
                <w:szCs w:val="16"/>
              </w:rPr>
              <w:t>Total payables</w:t>
            </w:r>
          </w:p>
        </w:tc>
        <w:tc>
          <w:tcPr>
            <w:tcW w:w="850" w:type="dxa"/>
            <w:tcBorders>
              <w:top w:val="single" w:sz="4" w:space="0" w:color="auto"/>
              <w:left w:val="nil"/>
              <w:bottom w:val="single" w:sz="4" w:space="0" w:color="auto"/>
              <w:right w:val="nil"/>
            </w:tcBorders>
            <w:shd w:val="clear" w:color="auto" w:fill="auto"/>
            <w:noWrap/>
            <w:vAlign w:val="bottom"/>
            <w:hideMark/>
          </w:tcPr>
          <w:p w14:paraId="6CD81016" w14:textId="5F63EDEF"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5,357</w:t>
            </w:r>
          </w:p>
        </w:tc>
        <w:tc>
          <w:tcPr>
            <w:tcW w:w="1060" w:type="dxa"/>
            <w:tcBorders>
              <w:top w:val="single" w:sz="4" w:space="0" w:color="auto"/>
              <w:left w:val="nil"/>
              <w:bottom w:val="single" w:sz="4" w:space="0" w:color="auto"/>
              <w:right w:val="nil"/>
            </w:tcBorders>
            <w:shd w:val="clear" w:color="000000" w:fill="E6E6E6"/>
            <w:noWrap/>
            <w:vAlign w:val="bottom"/>
            <w:hideMark/>
          </w:tcPr>
          <w:p w14:paraId="37EE1407" w14:textId="17ABDEA4"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5,403</w:t>
            </w:r>
          </w:p>
        </w:tc>
        <w:tc>
          <w:tcPr>
            <w:tcW w:w="1060" w:type="dxa"/>
            <w:tcBorders>
              <w:top w:val="single" w:sz="4" w:space="0" w:color="auto"/>
              <w:left w:val="nil"/>
              <w:bottom w:val="single" w:sz="4" w:space="0" w:color="auto"/>
              <w:right w:val="nil"/>
            </w:tcBorders>
            <w:shd w:val="clear" w:color="auto" w:fill="auto"/>
            <w:noWrap/>
            <w:vAlign w:val="bottom"/>
            <w:hideMark/>
          </w:tcPr>
          <w:p w14:paraId="43832A15" w14:textId="3788F3E0"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5,403</w:t>
            </w:r>
          </w:p>
        </w:tc>
        <w:tc>
          <w:tcPr>
            <w:tcW w:w="1060" w:type="dxa"/>
            <w:tcBorders>
              <w:top w:val="single" w:sz="4" w:space="0" w:color="auto"/>
              <w:left w:val="nil"/>
              <w:bottom w:val="single" w:sz="4" w:space="0" w:color="auto"/>
              <w:right w:val="nil"/>
            </w:tcBorders>
            <w:shd w:val="clear" w:color="auto" w:fill="auto"/>
            <w:noWrap/>
            <w:vAlign w:val="bottom"/>
            <w:hideMark/>
          </w:tcPr>
          <w:p w14:paraId="19F243CB" w14:textId="1C0097FE"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5,403</w:t>
            </w:r>
          </w:p>
        </w:tc>
        <w:tc>
          <w:tcPr>
            <w:tcW w:w="1053" w:type="dxa"/>
            <w:tcBorders>
              <w:top w:val="single" w:sz="4" w:space="0" w:color="auto"/>
              <w:left w:val="nil"/>
              <w:bottom w:val="single" w:sz="4" w:space="0" w:color="auto"/>
              <w:right w:val="nil"/>
            </w:tcBorders>
            <w:shd w:val="clear" w:color="auto" w:fill="auto"/>
            <w:noWrap/>
            <w:vAlign w:val="bottom"/>
            <w:hideMark/>
          </w:tcPr>
          <w:p w14:paraId="7E1F8641" w14:textId="5DD3A6EA"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5,403</w:t>
            </w:r>
          </w:p>
        </w:tc>
      </w:tr>
      <w:tr w:rsidR="002367A2" w:rsidRPr="00513EDD" w14:paraId="2A0D4F02" w14:textId="77777777" w:rsidTr="00177B65">
        <w:trPr>
          <w:trHeight w:val="204"/>
        </w:trPr>
        <w:tc>
          <w:tcPr>
            <w:tcW w:w="2552" w:type="dxa"/>
            <w:tcBorders>
              <w:top w:val="nil"/>
              <w:left w:val="nil"/>
              <w:bottom w:val="nil"/>
              <w:right w:val="nil"/>
            </w:tcBorders>
            <w:shd w:val="clear" w:color="auto" w:fill="auto"/>
            <w:noWrap/>
            <w:vAlign w:val="bottom"/>
            <w:hideMark/>
          </w:tcPr>
          <w:p w14:paraId="1733F93C"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Interest bearing liabilities</w:t>
            </w:r>
          </w:p>
        </w:tc>
        <w:tc>
          <w:tcPr>
            <w:tcW w:w="850" w:type="dxa"/>
            <w:tcBorders>
              <w:top w:val="nil"/>
              <w:left w:val="nil"/>
              <w:bottom w:val="nil"/>
              <w:right w:val="nil"/>
            </w:tcBorders>
            <w:shd w:val="clear" w:color="auto" w:fill="auto"/>
            <w:noWrap/>
            <w:vAlign w:val="bottom"/>
            <w:hideMark/>
          </w:tcPr>
          <w:p w14:paraId="3FED1E1B" w14:textId="77777777" w:rsidR="002367A2" w:rsidRPr="00177B65" w:rsidRDefault="002367A2" w:rsidP="002367A2">
            <w:pPr>
              <w:spacing w:after="0" w:line="240" w:lineRule="auto"/>
              <w:jc w:val="right"/>
              <w:rPr>
                <w:rFonts w:ascii="Arial" w:hAnsi="Arial" w:cs="Arial"/>
                <w:b/>
                <w:bCs/>
                <w:sz w:val="16"/>
                <w:szCs w:val="16"/>
              </w:rPr>
            </w:pPr>
          </w:p>
        </w:tc>
        <w:tc>
          <w:tcPr>
            <w:tcW w:w="1060" w:type="dxa"/>
            <w:tcBorders>
              <w:top w:val="nil"/>
              <w:left w:val="nil"/>
              <w:bottom w:val="nil"/>
              <w:right w:val="nil"/>
            </w:tcBorders>
            <w:shd w:val="clear" w:color="000000" w:fill="E6E6E6"/>
            <w:noWrap/>
            <w:vAlign w:val="bottom"/>
            <w:hideMark/>
          </w:tcPr>
          <w:p w14:paraId="06A8CB34" w14:textId="1BB74F54"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148831C1" w14:textId="77777777"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47E984DE" w14:textId="77777777" w:rsidR="002367A2" w:rsidRPr="00177B65" w:rsidRDefault="002367A2" w:rsidP="002367A2">
            <w:pPr>
              <w:spacing w:after="0" w:line="240" w:lineRule="auto"/>
              <w:jc w:val="right"/>
              <w:rPr>
                <w:rFonts w:ascii="Times New Roman" w:hAnsi="Times New Roman"/>
                <w:sz w:val="16"/>
                <w:szCs w:val="16"/>
              </w:rPr>
            </w:pPr>
          </w:p>
        </w:tc>
        <w:tc>
          <w:tcPr>
            <w:tcW w:w="1053" w:type="dxa"/>
            <w:tcBorders>
              <w:top w:val="nil"/>
              <w:left w:val="nil"/>
              <w:bottom w:val="nil"/>
              <w:right w:val="nil"/>
            </w:tcBorders>
            <w:shd w:val="clear" w:color="auto" w:fill="auto"/>
            <w:noWrap/>
            <w:vAlign w:val="bottom"/>
            <w:hideMark/>
          </w:tcPr>
          <w:p w14:paraId="649B04A0" w14:textId="77777777" w:rsidR="002367A2" w:rsidRPr="00177B65" w:rsidRDefault="002367A2" w:rsidP="002367A2">
            <w:pPr>
              <w:spacing w:after="0" w:line="240" w:lineRule="auto"/>
              <w:jc w:val="right"/>
              <w:rPr>
                <w:rFonts w:ascii="Times New Roman" w:hAnsi="Times New Roman"/>
                <w:sz w:val="16"/>
                <w:szCs w:val="16"/>
              </w:rPr>
            </w:pPr>
          </w:p>
        </w:tc>
      </w:tr>
      <w:tr w:rsidR="002367A2" w:rsidRPr="00513EDD" w14:paraId="007DCC72" w14:textId="77777777" w:rsidTr="00177B65">
        <w:trPr>
          <w:trHeight w:val="204"/>
        </w:trPr>
        <w:tc>
          <w:tcPr>
            <w:tcW w:w="2552" w:type="dxa"/>
            <w:tcBorders>
              <w:top w:val="nil"/>
              <w:left w:val="nil"/>
              <w:bottom w:val="nil"/>
              <w:right w:val="nil"/>
            </w:tcBorders>
            <w:shd w:val="clear" w:color="auto" w:fill="auto"/>
            <w:noWrap/>
            <w:vAlign w:val="bottom"/>
            <w:hideMark/>
          </w:tcPr>
          <w:p w14:paraId="5B9CD43F"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Leases</w:t>
            </w:r>
          </w:p>
        </w:tc>
        <w:tc>
          <w:tcPr>
            <w:tcW w:w="850" w:type="dxa"/>
            <w:tcBorders>
              <w:top w:val="nil"/>
              <w:left w:val="nil"/>
              <w:bottom w:val="nil"/>
              <w:right w:val="nil"/>
            </w:tcBorders>
            <w:shd w:val="clear" w:color="auto" w:fill="auto"/>
            <w:noWrap/>
            <w:vAlign w:val="bottom"/>
            <w:hideMark/>
          </w:tcPr>
          <w:p w14:paraId="2A874A88" w14:textId="626B07B4"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33</w:t>
            </w:r>
          </w:p>
        </w:tc>
        <w:tc>
          <w:tcPr>
            <w:tcW w:w="1060" w:type="dxa"/>
            <w:tcBorders>
              <w:top w:val="nil"/>
              <w:left w:val="nil"/>
              <w:bottom w:val="nil"/>
              <w:right w:val="nil"/>
            </w:tcBorders>
            <w:shd w:val="clear" w:color="000000" w:fill="E6E6E6"/>
            <w:noWrap/>
            <w:vAlign w:val="bottom"/>
            <w:hideMark/>
          </w:tcPr>
          <w:p w14:paraId="23430E7D" w14:textId="3F137B74"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1,356</w:t>
            </w:r>
          </w:p>
        </w:tc>
        <w:tc>
          <w:tcPr>
            <w:tcW w:w="1060" w:type="dxa"/>
            <w:tcBorders>
              <w:top w:val="nil"/>
              <w:left w:val="nil"/>
              <w:bottom w:val="nil"/>
              <w:right w:val="nil"/>
            </w:tcBorders>
            <w:shd w:val="clear" w:color="auto" w:fill="auto"/>
            <w:noWrap/>
            <w:vAlign w:val="bottom"/>
            <w:hideMark/>
          </w:tcPr>
          <w:p w14:paraId="5E8F8509" w14:textId="6973DCAB"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1,023</w:t>
            </w:r>
          </w:p>
        </w:tc>
        <w:tc>
          <w:tcPr>
            <w:tcW w:w="1060" w:type="dxa"/>
            <w:tcBorders>
              <w:top w:val="nil"/>
              <w:left w:val="nil"/>
              <w:bottom w:val="nil"/>
              <w:right w:val="nil"/>
            </w:tcBorders>
            <w:shd w:val="clear" w:color="auto" w:fill="auto"/>
            <w:noWrap/>
            <w:vAlign w:val="bottom"/>
            <w:hideMark/>
          </w:tcPr>
          <w:p w14:paraId="42EF89E1" w14:textId="1CE5698F"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684</w:t>
            </w:r>
          </w:p>
        </w:tc>
        <w:tc>
          <w:tcPr>
            <w:tcW w:w="1053" w:type="dxa"/>
            <w:tcBorders>
              <w:top w:val="nil"/>
              <w:left w:val="nil"/>
              <w:bottom w:val="nil"/>
              <w:right w:val="nil"/>
            </w:tcBorders>
            <w:shd w:val="clear" w:color="auto" w:fill="auto"/>
            <w:noWrap/>
            <w:vAlign w:val="bottom"/>
            <w:hideMark/>
          </w:tcPr>
          <w:p w14:paraId="7A894DE2" w14:textId="280F59D5"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339</w:t>
            </w:r>
          </w:p>
        </w:tc>
      </w:tr>
      <w:tr w:rsidR="002367A2" w:rsidRPr="00513EDD" w14:paraId="4DBE0617" w14:textId="77777777" w:rsidTr="00177B65">
        <w:trPr>
          <w:trHeight w:val="204"/>
        </w:trPr>
        <w:tc>
          <w:tcPr>
            <w:tcW w:w="2552" w:type="dxa"/>
            <w:tcBorders>
              <w:top w:val="nil"/>
              <w:left w:val="nil"/>
              <w:bottom w:val="nil"/>
              <w:right w:val="nil"/>
            </w:tcBorders>
            <w:shd w:val="clear" w:color="auto" w:fill="auto"/>
            <w:noWrap/>
            <w:vAlign w:val="bottom"/>
            <w:hideMark/>
          </w:tcPr>
          <w:p w14:paraId="7518CFE8" w14:textId="77777777" w:rsidR="002367A2" w:rsidRPr="00177B65" w:rsidRDefault="002367A2" w:rsidP="002367A2">
            <w:pPr>
              <w:spacing w:after="0" w:line="240" w:lineRule="auto"/>
              <w:jc w:val="left"/>
              <w:rPr>
                <w:rFonts w:ascii="Arial" w:hAnsi="Arial" w:cs="Arial"/>
                <w:b/>
                <w:bCs/>
                <w:iCs/>
                <w:sz w:val="16"/>
                <w:szCs w:val="16"/>
              </w:rPr>
            </w:pPr>
            <w:r w:rsidRPr="00177B65">
              <w:rPr>
                <w:rFonts w:ascii="Arial" w:hAnsi="Arial" w:cs="Arial"/>
                <w:b/>
                <w:bCs/>
                <w:iCs/>
                <w:sz w:val="16"/>
                <w:szCs w:val="16"/>
              </w:rPr>
              <w:t>Total interest bearing liabilities</w:t>
            </w:r>
          </w:p>
        </w:tc>
        <w:tc>
          <w:tcPr>
            <w:tcW w:w="850" w:type="dxa"/>
            <w:tcBorders>
              <w:top w:val="single" w:sz="4" w:space="0" w:color="auto"/>
              <w:left w:val="nil"/>
              <w:bottom w:val="single" w:sz="4" w:space="0" w:color="auto"/>
              <w:right w:val="nil"/>
            </w:tcBorders>
            <w:shd w:val="clear" w:color="auto" w:fill="auto"/>
            <w:noWrap/>
            <w:vAlign w:val="bottom"/>
            <w:hideMark/>
          </w:tcPr>
          <w:p w14:paraId="53ECF4B6" w14:textId="6FF613C6"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33</w:t>
            </w:r>
          </w:p>
        </w:tc>
        <w:tc>
          <w:tcPr>
            <w:tcW w:w="1060" w:type="dxa"/>
            <w:tcBorders>
              <w:top w:val="single" w:sz="4" w:space="0" w:color="auto"/>
              <w:left w:val="nil"/>
              <w:bottom w:val="single" w:sz="4" w:space="0" w:color="auto"/>
              <w:right w:val="nil"/>
            </w:tcBorders>
            <w:shd w:val="clear" w:color="000000" w:fill="E6E6E6"/>
            <w:noWrap/>
            <w:vAlign w:val="bottom"/>
            <w:hideMark/>
          </w:tcPr>
          <w:p w14:paraId="4474D20B" w14:textId="4E617323"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1,356</w:t>
            </w:r>
          </w:p>
        </w:tc>
        <w:tc>
          <w:tcPr>
            <w:tcW w:w="1060" w:type="dxa"/>
            <w:tcBorders>
              <w:top w:val="single" w:sz="4" w:space="0" w:color="auto"/>
              <w:left w:val="nil"/>
              <w:bottom w:val="single" w:sz="4" w:space="0" w:color="auto"/>
              <w:right w:val="nil"/>
            </w:tcBorders>
            <w:shd w:val="clear" w:color="auto" w:fill="auto"/>
            <w:noWrap/>
            <w:vAlign w:val="bottom"/>
            <w:hideMark/>
          </w:tcPr>
          <w:p w14:paraId="50AAC75D" w14:textId="0B8AE840"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1,023</w:t>
            </w:r>
          </w:p>
        </w:tc>
        <w:tc>
          <w:tcPr>
            <w:tcW w:w="1060" w:type="dxa"/>
            <w:tcBorders>
              <w:top w:val="single" w:sz="4" w:space="0" w:color="auto"/>
              <w:left w:val="nil"/>
              <w:bottom w:val="single" w:sz="4" w:space="0" w:color="auto"/>
              <w:right w:val="nil"/>
            </w:tcBorders>
            <w:shd w:val="clear" w:color="auto" w:fill="auto"/>
            <w:noWrap/>
            <w:vAlign w:val="bottom"/>
            <w:hideMark/>
          </w:tcPr>
          <w:p w14:paraId="42AF0CAF" w14:textId="6AFC8D41"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684</w:t>
            </w:r>
          </w:p>
        </w:tc>
        <w:tc>
          <w:tcPr>
            <w:tcW w:w="1053" w:type="dxa"/>
            <w:tcBorders>
              <w:top w:val="single" w:sz="4" w:space="0" w:color="auto"/>
              <w:left w:val="nil"/>
              <w:bottom w:val="single" w:sz="4" w:space="0" w:color="auto"/>
              <w:right w:val="nil"/>
            </w:tcBorders>
            <w:shd w:val="clear" w:color="auto" w:fill="auto"/>
            <w:noWrap/>
            <w:vAlign w:val="bottom"/>
            <w:hideMark/>
          </w:tcPr>
          <w:p w14:paraId="50865D81" w14:textId="75C3E4AE"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339</w:t>
            </w:r>
          </w:p>
        </w:tc>
      </w:tr>
      <w:tr w:rsidR="002367A2" w:rsidRPr="00513EDD" w14:paraId="53B7BC68" w14:textId="77777777" w:rsidTr="00177B65">
        <w:trPr>
          <w:trHeight w:val="204"/>
        </w:trPr>
        <w:tc>
          <w:tcPr>
            <w:tcW w:w="2552" w:type="dxa"/>
            <w:tcBorders>
              <w:top w:val="nil"/>
              <w:left w:val="nil"/>
              <w:bottom w:val="nil"/>
              <w:right w:val="nil"/>
            </w:tcBorders>
            <w:shd w:val="clear" w:color="auto" w:fill="auto"/>
            <w:noWrap/>
            <w:vAlign w:val="bottom"/>
            <w:hideMark/>
          </w:tcPr>
          <w:p w14:paraId="0DFC6D3C"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Provisions</w:t>
            </w:r>
          </w:p>
        </w:tc>
        <w:tc>
          <w:tcPr>
            <w:tcW w:w="850" w:type="dxa"/>
            <w:tcBorders>
              <w:top w:val="nil"/>
              <w:left w:val="nil"/>
              <w:bottom w:val="nil"/>
              <w:right w:val="nil"/>
            </w:tcBorders>
            <w:shd w:val="clear" w:color="auto" w:fill="auto"/>
            <w:noWrap/>
            <w:vAlign w:val="bottom"/>
            <w:hideMark/>
          </w:tcPr>
          <w:p w14:paraId="27F75836" w14:textId="77777777" w:rsidR="002367A2" w:rsidRPr="00177B65" w:rsidRDefault="002367A2" w:rsidP="002367A2">
            <w:pPr>
              <w:spacing w:after="0" w:line="240" w:lineRule="auto"/>
              <w:jc w:val="right"/>
              <w:rPr>
                <w:rFonts w:ascii="Arial" w:hAnsi="Arial" w:cs="Arial"/>
                <w:b/>
                <w:bCs/>
                <w:sz w:val="16"/>
                <w:szCs w:val="16"/>
              </w:rPr>
            </w:pPr>
          </w:p>
        </w:tc>
        <w:tc>
          <w:tcPr>
            <w:tcW w:w="1060" w:type="dxa"/>
            <w:tcBorders>
              <w:top w:val="nil"/>
              <w:left w:val="nil"/>
              <w:bottom w:val="nil"/>
              <w:right w:val="nil"/>
            </w:tcBorders>
            <w:shd w:val="clear" w:color="000000" w:fill="E6E6E6"/>
            <w:noWrap/>
            <w:vAlign w:val="bottom"/>
            <w:hideMark/>
          </w:tcPr>
          <w:p w14:paraId="56FFD90C" w14:textId="7728E0F7"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30367B80" w14:textId="77777777"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352CA4AF" w14:textId="77777777" w:rsidR="002367A2" w:rsidRPr="00177B65" w:rsidRDefault="002367A2" w:rsidP="002367A2">
            <w:pPr>
              <w:spacing w:after="0" w:line="240" w:lineRule="auto"/>
              <w:jc w:val="right"/>
              <w:rPr>
                <w:rFonts w:ascii="Times New Roman" w:hAnsi="Times New Roman"/>
                <w:sz w:val="16"/>
                <w:szCs w:val="16"/>
              </w:rPr>
            </w:pPr>
          </w:p>
        </w:tc>
        <w:tc>
          <w:tcPr>
            <w:tcW w:w="1053" w:type="dxa"/>
            <w:tcBorders>
              <w:top w:val="nil"/>
              <w:left w:val="nil"/>
              <w:bottom w:val="nil"/>
              <w:right w:val="nil"/>
            </w:tcBorders>
            <w:shd w:val="clear" w:color="auto" w:fill="auto"/>
            <w:noWrap/>
            <w:vAlign w:val="bottom"/>
            <w:hideMark/>
          </w:tcPr>
          <w:p w14:paraId="0CB6967C" w14:textId="77777777" w:rsidR="002367A2" w:rsidRPr="00177B65" w:rsidRDefault="002367A2" w:rsidP="002367A2">
            <w:pPr>
              <w:spacing w:after="0" w:line="240" w:lineRule="auto"/>
              <w:jc w:val="right"/>
              <w:rPr>
                <w:rFonts w:ascii="Times New Roman" w:hAnsi="Times New Roman"/>
                <w:sz w:val="16"/>
                <w:szCs w:val="16"/>
              </w:rPr>
            </w:pPr>
          </w:p>
        </w:tc>
      </w:tr>
      <w:tr w:rsidR="002367A2" w:rsidRPr="00513EDD" w14:paraId="12029FC8" w14:textId="77777777" w:rsidTr="00177B65">
        <w:trPr>
          <w:trHeight w:val="204"/>
        </w:trPr>
        <w:tc>
          <w:tcPr>
            <w:tcW w:w="2552" w:type="dxa"/>
            <w:tcBorders>
              <w:top w:val="nil"/>
              <w:left w:val="nil"/>
              <w:bottom w:val="nil"/>
              <w:right w:val="nil"/>
            </w:tcBorders>
            <w:shd w:val="clear" w:color="auto" w:fill="auto"/>
            <w:noWrap/>
            <w:vAlign w:val="bottom"/>
            <w:hideMark/>
          </w:tcPr>
          <w:p w14:paraId="4AC3C5CF"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Employee provisions</w:t>
            </w:r>
          </w:p>
        </w:tc>
        <w:tc>
          <w:tcPr>
            <w:tcW w:w="850" w:type="dxa"/>
            <w:tcBorders>
              <w:top w:val="nil"/>
              <w:left w:val="nil"/>
              <w:bottom w:val="nil"/>
              <w:right w:val="nil"/>
            </w:tcBorders>
            <w:shd w:val="clear" w:color="auto" w:fill="auto"/>
            <w:noWrap/>
            <w:vAlign w:val="bottom"/>
            <w:hideMark/>
          </w:tcPr>
          <w:p w14:paraId="538882D8" w14:textId="764B6A60"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2,033</w:t>
            </w:r>
          </w:p>
        </w:tc>
        <w:tc>
          <w:tcPr>
            <w:tcW w:w="1060" w:type="dxa"/>
            <w:tcBorders>
              <w:top w:val="nil"/>
              <w:left w:val="nil"/>
              <w:bottom w:val="nil"/>
              <w:right w:val="nil"/>
            </w:tcBorders>
            <w:shd w:val="clear" w:color="000000" w:fill="E6E6E6"/>
            <w:noWrap/>
            <w:vAlign w:val="bottom"/>
            <w:hideMark/>
          </w:tcPr>
          <w:p w14:paraId="371080D8" w14:textId="463CCE73"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2,033</w:t>
            </w:r>
          </w:p>
        </w:tc>
        <w:tc>
          <w:tcPr>
            <w:tcW w:w="1060" w:type="dxa"/>
            <w:tcBorders>
              <w:top w:val="nil"/>
              <w:left w:val="nil"/>
              <w:bottom w:val="nil"/>
              <w:right w:val="nil"/>
            </w:tcBorders>
            <w:shd w:val="clear" w:color="auto" w:fill="auto"/>
            <w:noWrap/>
            <w:vAlign w:val="bottom"/>
            <w:hideMark/>
          </w:tcPr>
          <w:p w14:paraId="0F2BB949" w14:textId="25C8E912"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2,033</w:t>
            </w:r>
          </w:p>
        </w:tc>
        <w:tc>
          <w:tcPr>
            <w:tcW w:w="1060" w:type="dxa"/>
            <w:tcBorders>
              <w:top w:val="nil"/>
              <w:left w:val="nil"/>
              <w:bottom w:val="nil"/>
              <w:right w:val="nil"/>
            </w:tcBorders>
            <w:shd w:val="clear" w:color="auto" w:fill="auto"/>
            <w:noWrap/>
            <w:vAlign w:val="bottom"/>
            <w:hideMark/>
          </w:tcPr>
          <w:p w14:paraId="1B6FDEB1" w14:textId="27A22278"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2,033</w:t>
            </w:r>
          </w:p>
        </w:tc>
        <w:tc>
          <w:tcPr>
            <w:tcW w:w="1053" w:type="dxa"/>
            <w:tcBorders>
              <w:top w:val="nil"/>
              <w:left w:val="nil"/>
              <w:bottom w:val="nil"/>
              <w:right w:val="nil"/>
            </w:tcBorders>
            <w:shd w:val="clear" w:color="auto" w:fill="auto"/>
            <w:noWrap/>
            <w:vAlign w:val="bottom"/>
            <w:hideMark/>
          </w:tcPr>
          <w:p w14:paraId="2DBEF67B" w14:textId="121121A6"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2,033</w:t>
            </w:r>
          </w:p>
        </w:tc>
      </w:tr>
      <w:tr w:rsidR="002367A2" w:rsidRPr="00513EDD" w14:paraId="7B086551" w14:textId="77777777" w:rsidTr="00177B65">
        <w:trPr>
          <w:trHeight w:val="204"/>
        </w:trPr>
        <w:tc>
          <w:tcPr>
            <w:tcW w:w="2552" w:type="dxa"/>
            <w:tcBorders>
              <w:top w:val="nil"/>
              <w:left w:val="nil"/>
              <w:bottom w:val="nil"/>
              <w:right w:val="nil"/>
            </w:tcBorders>
            <w:shd w:val="clear" w:color="auto" w:fill="auto"/>
            <w:noWrap/>
            <w:vAlign w:val="bottom"/>
            <w:hideMark/>
          </w:tcPr>
          <w:p w14:paraId="09B87FFF" w14:textId="77777777" w:rsidR="002367A2" w:rsidRPr="00177B65" w:rsidRDefault="002367A2" w:rsidP="002367A2">
            <w:pPr>
              <w:spacing w:after="0" w:line="240" w:lineRule="auto"/>
              <w:jc w:val="left"/>
              <w:rPr>
                <w:rFonts w:ascii="Arial" w:hAnsi="Arial" w:cs="Arial"/>
                <w:b/>
                <w:bCs/>
                <w:iCs/>
                <w:sz w:val="16"/>
                <w:szCs w:val="16"/>
              </w:rPr>
            </w:pPr>
            <w:r w:rsidRPr="00177B65">
              <w:rPr>
                <w:rFonts w:ascii="Arial" w:hAnsi="Arial" w:cs="Arial"/>
                <w:b/>
                <w:bCs/>
                <w:iCs/>
                <w:sz w:val="16"/>
                <w:szCs w:val="16"/>
              </w:rPr>
              <w:t>Total provisions</w:t>
            </w:r>
          </w:p>
        </w:tc>
        <w:tc>
          <w:tcPr>
            <w:tcW w:w="850" w:type="dxa"/>
            <w:tcBorders>
              <w:top w:val="single" w:sz="4" w:space="0" w:color="auto"/>
              <w:left w:val="nil"/>
              <w:bottom w:val="single" w:sz="4" w:space="0" w:color="auto"/>
              <w:right w:val="nil"/>
            </w:tcBorders>
            <w:shd w:val="clear" w:color="auto" w:fill="auto"/>
            <w:noWrap/>
            <w:vAlign w:val="bottom"/>
            <w:hideMark/>
          </w:tcPr>
          <w:p w14:paraId="0612FFEE" w14:textId="36449ECB"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2,033</w:t>
            </w:r>
          </w:p>
        </w:tc>
        <w:tc>
          <w:tcPr>
            <w:tcW w:w="1060" w:type="dxa"/>
            <w:tcBorders>
              <w:top w:val="single" w:sz="4" w:space="0" w:color="auto"/>
              <w:left w:val="nil"/>
              <w:bottom w:val="single" w:sz="4" w:space="0" w:color="auto"/>
              <w:right w:val="nil"/>
            </w:tcBorders>
            <w:shd w:val="clear" w:color="000000" w:fill="E6E6E6"/>
            <w:noWrap/>
            <w:vAlign w:val="bottom"/>
            <w:hideMark/>
          </w:tcPr>
          <w:p w14:paraId="21F0F9F8" w14:textId="018CA226"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2,033</w:t>
            </w:r>
          </w:p>
        </w:tc>
        <w:tc>
          <w:tcPr>
            <w:tcW w:w="1060" w:type="dxa"/>
            <w:tcBorders>
              <w:top w:val="single" w:sz="4" w:space="0" w:color="auto"/>
              <w:left w:val="nil"/>
              <w:bottom w:val="single" w:sz="4" w:space="0" w:color="auto"/>
              <w:right w:val="nil"/>
            </w:tcBorders>
            <w:shd w:val="clear" w:color="auto" w:fill="auto"/>
            <w:noWrap/>
            <w:vAlign w:val="bottom"/>
            <w:hideMark/>
          </w:tcPr>
          <w:p w14:paraId="34B274E3" w14:textId="0B353B76"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2,033</w:t>
            </w:r>
          </w:p>
        </w:tc>
        <w:tc>
          <w:tcPr>
            <w:tcW w:w="1060" w:type="dxa"/>
            <w:tcBorders>
              <w:top w:val="single" w:sz="4" w:space="0" w:color="auto"/>
              <w:left w:val="nil"/>
              <w:bottom w:val="single" w:sz="4" w:space="0" w:color="auto"/>
              <w:right w:val="nil"/>
            </w:tcBorders>
            <w:shd w:val="clear" w:color="auto" w:fill="auto"/>
            <w:noWrap/>
            <w:vAlign w:val="bottom"/>
            <w:hideMark/>
          </w:tcPr>
          <w:p w14:paraId="3D3B017B" w14:textId="1436E56E"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2,033</w:t>
            </w:r>
          </w:p>
        </w:tc>
        <w:tc>
          <w:tcPr>
            <w:tcW w:w="1053" w:type="dxa"/>
            <w:tcBorders>
              <w:top w:val="single" w:sz="4" w:space="0" w:color="auto"/>
              <w:left w:val="nil"/>
              <w:bottom w:val="single" w:sz="4" w:space="0" w:color="auto"/>
              <w:right w:val="nil"/>
            </w:tcBorders>
            <w:shd w:val="clear" w:color="auto" w:fill="auto"/>
            <w:noWrap/>
            <w:vAlign w:val="bottom"/>
            <w:hideMark/>
          </w:tcPr>
          <w:p w14:paraId="1BB49D6F" w14:textId="190C577C" w:rsidR="002367A2" w:rsidRPr="00177B65" w:rsidRDefault="002367A2" w:rsidP="002367A2">
            <w:pPr>
              <w:spacing w:after="0" w:line="240" w:lineRule="auto"/>
              <w:jc w:val="right"/>
              <w:rPr>
                <w:rFonts w:ascii="Arial" w:hAnsi="Arial" w:cs="Arial"/>
                <w:b/>
                <w:bCs/>
                <w:iCs/>
                <w:sz w:val="16"/>
                <w:szCs w:val="16"/>
              </w:rPr>
            </w:pPr>
            <w:r w:rsidRPr="00177B65">
              <w:rPr>
                <w:rFonts w:ascii="Arial" w:hAnsi="Arial" w:cs="Arial"/>
                <w:b/>
                <w:bCs/>
                <w:iCs/>
                <w:sz w:val="16"/>
                <w:szCs w:val="16"/>
              </w:rPr>
              <w:t>2,033</w:t>
            </w:r>
          </w:p>
        </w:tc>
      </w:tr>
      <w:tr w:rsidR="002367A2" w:rsidRPr="00513EDD" w14:paraId="0D1B3E71" w14:textId="77777777" w:rsidTr="00177B65">
        <w:trPr>
          <w:trHeight w:val="204"/>
        </w:trPr>
        <w:tc>
          <w:tcPr>
            <w:tcW w:w="2552" w:type="dxa"/>
            <w:tcBorders>
              <w:top w:val="nil"/>
              <w:left w:val="nil"/>
              <w:bottom w:val="nil"/>
              <w:right w:val="nil"/>
            </w:tcBorders>
            <w:shd w:val="clear" w:color="auto" w:fill="auto"/>
            <w:noWrap/>
            <w:vAlign w:val="bottom"/>
            <w:hideMark/>
          </w:tcPr>
          <w:p w14:paraId="0C23C4E6"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Total liabilities</w:t>
            </w:r>
          </w:p>
        </w:tc>
        <w:tc>
          <w:tcPr>
            <w:tcW w:w="850" w:type="dxa"/>
            <w:tcBorders>
              <w:top w:val="single" w:sz="4" w:space="0" w:color="auto"/>
              <w:left w:val="nil"/>
              <w:bottom w:val="single" w:sz="4" w:space="0" w:color="auto"/>
              <w:right w:val="nil"/>
            </w:tcBorders>
            <w:shd w:val="clear" w:color="auto" w:fill="auto"/>
            <w:noWrap/>
            <w:vAlign w:val="bottom"/>
            <w:hideMark/>
          </w:tcPr>
          <w:p w14:paraId="53455165" w14:textId="0984F9D1"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7,423</w:t>
            </w:r>
          </w:p>
        </w:tc>
        <w:tc>
          <w:tcPr>
            <w:tcW w:w="1060" w:type="dxa"/>
            <w:tcBorders>
              <w:top w:val="single" w:sz="4" w:space="0" w:color="auto"/>
              <w:left w:val="nil"/>
              <w:bottom w:val="single" w:sz="4" w:space="0" w:color="auto"/>
              <w:right w:val="nil"/>
            </w:tcBorders>
            <w:shd w:val="clear" w:color="000000" w:fill="E6E6E6"/>
            <w:noWrap/>
            <w:vAlign w:val="bottom"/>
            <w:hideMark/>
          </w:tcPr>
          <w:p w14:paraId="25505F1E" w14:textId="4D7086E0"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8,792</w:t>
            </w:r>
          </w:p>
        </w:tc>
        <w:tc>
          <w:tcPr>
            <w:tcW w:w="1060" w:type="dxa"/>
            <w:tcBorders>
              <w:top w:val="single" w:sz="4" w:space="0" w:color="auto"/>
              <w:left w:val="nil"/>
              <w:bottom w:val="single" w:sz="4" w:space="0" w:color="auto"/>
              <w:right w:val="nil"/>
            </w:tcBorders>
            <w:shd w:val="clear" w:color="auto" w:fill="auto"/>
            <w:noWrap/>
            <w:vAlign w:val="bottom"/>
            <w:hideMark/>
          </w:tcPr>
          <w:p w14:paraId="175DCA0F" w14:textId="70F32D8E"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8,459</w:t>
            </w:r>
          </w:p>
        </w:tc>
        <w:tc>
          <w:tcPr>
            <w:tcW w:w="1060" w:type="dxa"/>
            <w:tcBorders>
              <w:top w:val="single" w:sz="4" w:space="0" w:color="auto"/>
              <w:left w:val="nil"/>
              <w:bottom w:val="single" w:sz="4" w:space="0" w:color="auto"/>
              <w:right w:val="nil"/>
            </w:tcBorders>
            <w:shd w:val="clear" w:color="auto" w:fill="auto"/>
            <w:noWrap/>
            <w:vAlign w:val="bottom"/>
            <w:hideMark/>
          </w:tcPr>
          <w:p w14:paraId="041D51DB" w14:textId="3C279194"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8,120</w:t>
            </w:r>
          </w:p>
        </w:tc>
        <w:tc>
          <w:tcPr>
            <w:tcW w:w="1053" w:type="dxa"/>
            <w:tcBorders>
              <w:top w:val="single" w:sz="4" w:space="0" w:color="auto"/>
              <w:left w:val="nil"/>
              <w:bottom w:val="single" w:sz="4" w:space="0" w:color="auto"/>
              <w:right w:val="nil"/>
            </w:tcBorders>
            <w:shd w:val="clear" w:color="auto" w:fill="auto"/>
            <w:noWrap/>
            <w:vAlign w:val="bottom"/>
            <w:hideMark/>
          </w:tcPr>
          <w:p w14:paraId="73D9FF12" w14:textId="5508B14F"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7,775</w:t>
            </w:r>
          </w:p>
        </w:tc>
      </w:tr>
      <w:tr w:rsidR="002367A2" w:rsidRPr="00513EDD" w14:paraId="7998C4E7" w14:textId="77777777" w:rsidTr="00177B65">
        <w:trPr>
          <w:trHeight w:val="204"/>
        </w:trPr>
        <w:tc>
          <w:tcPr>
            <w:tcW w:w="2552" w:type="dxa"/>
            <w:tcBorders>
              <w:top w:val="nil"/>
              <w:left w:val="nil"/>
              <w:bottom w:val="nil"/>
              <w:right w:val="nil"/>
            </w:tcBorders>
            <w:shd w:val="clear" w:color="auto" w:fill="auto"/>
            <w:noWrap/>
            <w:vAlign w:val="bottom"/>
            <w:hideMark/>
          </w:tcPr>
          <w:p w14:paraId="693733EA"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Net assets</w:t>
            </w:r>
          </w:p>
        </w:tc>
        <w:tc>
          <w:tcPr>
            <w:tcW w:w="850" w:type="dxa"/>
            <w:tcBorders>
              <w:top w:val="single" w:sz="4" w:space="0" w:color="auto"/>
              <w:left w:val="nil"/>
              <w:bottom w:val="single" w:sz="4" w:space="0" w:color="auto"/>
              <w:right w:val="nil"/>
            </w:tcBorders>
            <w:shd w:val="clear" w:color="auto" w:fill="auto"/>
            <w:noWrap/>
            <w:vAlign w:val="bottom"/>
            <w:hideMark/>
          </w:tcPr>
          <w:p w14:paraId="05CF8110" w14:textId="4986F5AC"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15,614</w:t>
            </w:r>
          </w:p>
        </w:tc>
        <w:tc>
          <w:tcPr>
            <w:tcW w:w="1060" w:type="dxa"/>
            <w:tcBorders>
              <w:top w:val="single" w:sz="4" w:space="0" w:color="auto"/>
              <w:left w:val="nil"/>
              <w:bottom w:val="single" w:sz="4" w:space="0" w:color="auto"/>
              <w:right w:val="nil"/>
            </w:tcBorders>
            <w:shd w:val="clear" w:color="000000" w:fill="E6E6E6"/>
            <w:noWrap/>
            <w:vAlign w:val="bottom"/>
            <w:hideMark/>
          </w:tcPr>
          <w:p w14:paraId="0496E941" w14:textId="598B9662"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15,175</w:t>
            </w:r>
          </w:p>
        </w:tc>
        <w:tc>
          <w:tcPr>
            <w:tcW w:w="1060" w:type="dxa"/>
            <w:tcBorders>
              <w:top w:val="single" w:sz="4" w:space="0" w:color="auto"/>
              <w:left w:val="nil"/>
              <w:bottom w:val="single" w:sz="4" w:space="0" w:color="auto"/>
              <w:right w:val="nil"/>
            </w:tcBorders>
            <w:shd w:val="clear" w:color="auto" w:fill="auto"/>
            <w:noWrap/>
            <w:vAlign w:val="bottom"/>
            <w:hideMark/>
          </w:tcPr>
          <w:p w14:paraId="2C7F1D0F" w14:textId="5B1511B4"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14,735</w:t>
            </w:r>
          </w:p>
        </w:tc>
        <w:tc>
          <w:tcPr>
            <w:tcW w:w="1060" w:type="dxa"/>
            <w:tcBorders>
              <w:top w:val="single" w:sz="4" w:space="0" w:color="auto"/>
              <w:left w:val="nil"/>
              <w:bottom w:val="single" w:sz="4" w:space="0" w:color="auto"/>
              <w:right w:val="nil"/>
            </w:tcBorders>
            <w:shd w:val="clear" w:color="auto" w:fill="auto"/>
            <w:noWrap/>
            <w:vAlign w:val="bottom"/>
            <w:hideMark/>
          </w:tcPr>
          <w:p w14:paraId="238A9601" w14:textId="52551A01"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14,163</w:t>
            </w:r>
          </w:p>
        </w:tc>
        <w:tc>
          <w:tcPr>
            <w:tcW w:w="1053" w:type="dxa"/>
            <w:tcBorders>
              <w:top w:val="single" w:sz="4" w:space="0" w:color="auto"/>
              <w:left w:val="nil"/>
              <w:bottom w:val="single" w:sz="4" w:space="0" w:color="auto"/>
              <w:right w:val="nil"/>
            </w:tcBorders>
            <w:shd w:val="clear" w:color="auto" w:fill="auto"/>
            <w:noWrap/>
            <w:vAlign w:val="bottom"/>
            <w:hideMark/>
          </w:tcPr>
          <w:p w14:paraId="16A957C4" w14:textId="25D37C9F"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13,602</w:t>
            </w:r>
          </w:p>
        </w:tc>
      </w:tr>
      <w:tr w:rsidR="002367A2" w:rsidRPr="00513EDD" w14:paraId="11AB5C37" w14:textId="77777777" w:rsidTr="00177B65">
        <w:trPr>
          <w:trHeight w:val="204"/>
        </w:trPr>
        <w:tc>
          <w:tcPr>
            <w:tcW w:w="2552" w:type="dxa"/>
            <w:tcBorders>
              <w:top w:val="nil"/>
              <w:left w:val="nil"/>
              <w:bottom w:val="nil"/>
              <w:right w:val="nil"/>
            </w:tcBorders>
            <w:shd w:val="clear" w:color="auto" w:fill="auto"/>
            <w:noWrap/>
            <w:vAlign w:val="bottom"/>
            <w:hideMark/>
          </w:tcPr>
          <w:p w14:paraId="74C6D5CA"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EQUITY</w:t>
            </w:r>
          </w:p>
        </w:tc>
        <w:tc>
          <w:tcPr>
            <w:tcW w:w="850" w:type="dxa"/>
            <w:tcBorders>
              <w:top w:val="nil"/>
              <w:left w:val="nil"/>
              <w:bottom w:val="nil"/>
              <w:right w:val="nil"/>
            </w:tcBorders>
            <w:shd w:val="clear" w:color="auto" w:fill="auto"/>
            <w:noWrap/>
            <w:vAlign w:val="bottom"/>
            <w:hideMark/>
          </w:tcPr>
          <w:p w14:paraId="0B049A9A" w14:textId="77777777" w:rsidR="002367A2" w:rsidRPr="00177B65" w:rsidRDefault="002367A2" w:rsidP="002367A2">
            <w:pPr>
              <w:spacing w:after="0" w:line="240" w:lineRule="auto"/>
              <w:jc w:val="right"/>
              <w:rPr>
                <w:rFonts w:ascii="Arial" w:hAnsi="Arial" w:cs="Arial"/>
                <w:b/>
                <w:bCs/>
                <w:sz w:val="16"/>
                <w:szCs w:val="16"/>
              </w:rPr>
            </w:pPr>
          </w:p>
        </w:tc>
        <w:tc>
          <w:tcPr>
            <w:tcW w:w="1060" w:type="dxa"/>
            <w:tcBorders>
              <w:top w:val="nil"/>
              <w:left w:val="nil"/>
              <w:bottom w:val="nil"/>
              <w:right w:val="nil"/>
            </w:tcBorders>
            <w:shd w:val="clear" w:color="000000" w:fill="E6E6E6"/>
            <w:noWrap/>
            <w:vAlign w:val="bottom"/>
            <w:hideMark/>
          </w:tcPr>
          <w:p w14:paraId="4AABAEEE" w14:textId="3D609496"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3762C803" w14:textId="77777777" w:rsidR="002367A2" w:rsidRPr="00177B65" w:rsidRDefault="002367A2" w:rsidP="002367A2">
            <w:pPr>
              <w:spacing w:after="0" w:line="240" w:lineRule="auto"/>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14:paraId="639FF5FA" w14:textId="77777777" w:rsidR="002367A2" w:rsidRPr="00177B65" w:rsidRDefault="002367A2" w:rsidP="002367A2">
            <w:pPr>
              <w:spacing w:after="0" w:line="240" w:lineRule="auto"/>
              <w:jc w:val="right"/>
              <w:rPr>
                <w:rFonts w:ascii="Times New Roman" w:hAnsi="Times New Roman"/>
                <w:sz w:val="16"/>
                <w:szCs w:val="16"/>
              </w:rPr>
            </w:pPr>
          </w:p>
        </w:tc>
        <w:tc>
          <w:tcPr>
            <w:tcW w:w="1053" w:type="dxa"/>
            <w:tcBorders>
              <w:top w:val="nil"/>
              <w:left w:val="nil"/>
              <w:bottom w:val="nil"/>
              <w:right w:val="nil"/>
            </w:tcBorders>
            <w:shd w:val="clear" w:color="auto" w:fill="auto"/>
            <w:noWrap/>
            <w:vAlign w:val="bottom"/>
            <w:hideMark/>
          </w:tcPr>
          <w:p w14:paraId="0AAC5E53" w14:textId="77777777" w:rsidR="002367A2" w:rsidRPr="00177B65" w:rsidRDefault="002367A2" w:rsidP="002367A2">
            <w:pPr>
              <w:spacing w:after="0" w:line="240" w:lineRule="auto"/>
              <w:jc w:val="right"/>
              <w:rPr>
                <w:rFonts w:ascii="Times New Roman" w:hAnsi="Times New Roman"/>
                <w:sz w:val="16"/>
                <w:szCs w:val="16"/>
              </w:rPr>
            </w:pPr>
          </w:p>
        </w:tc>
      </w:tr>
      <w:tr w:rsidR="002367A2" w:rsidRPr="00513EDD" w14:paraId="0006514A" w14:textId="77777777" w:rsidTr="00177B65">
        <w:trPr>
          <w:trHeight w:val="204"/>
        </w:trPr>
        <w:tc>
          <w:tcPr>
            <w:tcW w:w="2552" w:type="dxa"/>
            <w:tcBorders>
              <w:top w:val="nil"/>
              <w:left w:val="nil"/>
              <w:bottom w:val="nil"/>
              <w:right w:val="nil"/>
            </w:tcBorders>
            <w:shd w:val="clear" w:color="auto" w:fill="auto"/>
            <w:noWrap/>
            <w:vAlign w:val="bottom"/>
            <w:hideMark/>
          </w:tcPr>
          <w:p w14:paraId="75FD5716"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Contributed equity</w:t>
            </w:r>
          </w:p>
        </w:tc>
        <w:tc>
          <w:tcPr>
            <w:tcW w:w="850" w:type="dxa"/>
            <w:tcBorders>
              <w:top w:val="nil"/>
              <w:left w:val="nil"/>
              <w:bottom w:val="nil"/>
              <w:right w:val="nil"/>
            </w:tcBorders>
            <w:shd w:val="clear" w:color="auto" w:fill="auto"/>
            <w:noWrap/>
            <w:vAlign w:val="bottom"/>
            <w:hideMark/>
          </w:tcPr>
          <w:p w14:paraId="1302CE2C" w14:textId="15FA5875"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16,078 </w:t>
            </w:r>
          </w:p>
        </w:tc>
        <w:tc>
          <w:tcPr>
            <w:tcW w:w="1060" w:type="dxa"/>
            <w:tcBorders>
              <w:top w:val="nil"/>
              <w:left w:val="nil"/>
              <w:bottom w:val="nil"/>
              <w:right w:val="nil"/>
            </w:tcBorders>
            <w:shd w:val="clear" w:color="000000" w:fill="E6E6E6"/>
            <w:noWrap/>
            <w:vAlign w:val="bottom"/>
            <w:hideMark/>
          </w:tcPr>
          <w:p w14:paraId="6DAC261A" w14:textId="2D5782CA"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20,239 </w:t>
            </w:r>
          </w:p>
        </w:tc>
        <w:tc>
          <w:tcPr>
            <w:tcW w:w="1060" w:type="dxa"/>
            <w:tcBorders>
              <w:top w:val="nil"/>
              <w:left w:val="nil"/>
              <w:bottom w:val="nil"/>
              <w:right w:val="nil"/>
            </w:tcBorders>
            <w:shd w:val="clear" w:color="auto" w:fill="auto"/>
            <w:noWrap/>
            <w:vAlign w:val="bottom"/>
            <w:hideMark/>
          </w:tcPr>
          <w:p w14:paraId="003EB586" w14:textId="117C033B"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20,905 </w:t>
            </w:r>
          </w:p>
        </w:tc>
        <w:tc>
          <w:tcPr>
            <w:tcW w:w="1060" w:type="dxa"/>
            <w:tcBorders>
              <w:top w:val="nil"/>
              <w:left w:val="nil"/>
              <w:bottom w:val="nil"/>
              <w:right w:val="nil"/>
            </w:tcBorders>
            <w:shd w:val="clear" w:color="auto" w:fill="auto"/>
            <w:noWrap/>
            <w:vAlign w:val="bottom"/>
            <w:hideMark/>
          </w:tcPr>
          <w:p w14:paraId="00C695BF" w14:textId="290045BC"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21,578 </w:t>
            </w:r>
          </w:p>
        </w:tc>
        <w:tc>
          <w:tcPr>
            <w:tcW w:w="1053" w:type="dxa"/>
            <w:tcBorders>
              <w:top w:val="nil"/>
              <w:left w:val="nil"/>
              <w:bottom w:val="nil"/>
              <w:right w:val="nil"/>
            </w:tcBorders>
            <w:shd w:val="clear" w:color="auto" w:fill="auto"/>
            <w:noWrap/>
            <w:vAlign w:val="bottom"/>
            <w:hideMark/>
          </w:tcPr>
          <w:p w14:paraId="5D6B7F7A" w14:textId="6AFF59AF"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22,256 </w:t>
            </w:r>
          </w:p>
        </w:tc>
      </w:tr>
      <w:tr w:rsidR="002367A2" w:rsidRPr="00513EDD" w14:paraId="3AD3A21E" w14:textId="77777777" w:rsidTr="00177B65">
        <w:trPr>
          <w:trHeight w:val="204"/>
        </w:trPr>
        <w:tc>
          <w:tcPr>
            <w:tcW w:w="2552" w:type="dxa"/>
            <w:tcBorders>
              <w:top w:val="nil"/>
              <w:left w:val="nil"/>
              <w:bottom w:val="nil"/>
              <w:right w:val="nil"/>
            </w:tcBorders>
            <w:shd w:val="clear" w:color="auto" w:fill="auto"/>
            <w:noWrap/>
            <w:vAlign w:val="bottom"/>
            <w:hideMark/>
          </w:tcPr>
          <w:p w14:paraId="0D693424"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Reserves</w:t>
            </w:r>
          </w:p>
        </w:tc>
        <w:tc>
          <w:tcPr>
            <w:tcW w:w="850" w:type="dxa"/>
            <w:tcBorders>
              <w:top w:val="nil"/>
              <w:left w:val="nil"/>
              <w:bottom w:val="nil"/>
              <w:right w:val="nil"/>
            </w:tcBorders>
            <w:shd w:val="clear" w:color="auto" w:fill="auto"/>
            <w:noWrap/>
            <w:vAlign w:val="bottom"/>
            <w:hideMark/>
          </w:tcPr>
          <w:p w14:paraId="1801FBA9" w14:textId="35E1DEC5"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9,186 </w:t>
            </w:r>
          </w:p>
        </w:tc>
        <w:tc>
          <w:tcPr>
            <w:tcW w:w="1060" w:type="dxa"/>
            <w:tcBorders>
              <w:top w:val="nil"/>
              <w:left w:val="nil"/>
              <w:bottom w:val="nil"/>
              <w:right w:val="nil"/>
            </w:tcBorders>
            <w:shd w:val="clear" w:color="000000" w:fill="E6E6E6"/>
            <w:noWrap/>
            <w:vAlign w:val="bottom"/>
            <w:hideMark/>
          </w:tcPr>
          <w:p w14:paraId="1F203478" w14:textId="72FDEDCA"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9,186 </w:t>
            </w:r>
          </w:p>
        </w:tc>
        <w:tc>
          <w:tcPr>
            <w:tcW w:w="1060" w:type="dxa"/>
            <w:tcBorders>
              <w:top w:val="nil"/>
              <w:left w:val="nil"/>
              <w:bottom w:val="nil"/>
              <w:right w:val="nil"/>
            </w:tcBorders>
            <w:shd w:val="clear" w:color="auto" w:fill="auto"/>
            <w:noWrap/>
            <w:vAlign w:val="bottom"/>
            <w:hideMark/>
          </w:tcPr>
          <w:p w14:paraId="3189981C" w14:textId="78CAE52C"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9,186 </w:t>
            </w:r>
          </w:p>
        </w:tc>
        <w:tc>
          <w:tcPr>
            <w:tcW w:w="1060" w:type="dxa"/>
            <w:tcBorders>
              <w:top w:val="nil"/>
              <w:left w:val="nil"/>
              <w:bottom w:val="nil"/>
              <w:right w:val="nil"/>
            </w:tcBorders>
            <w:shd w:val="clear" w:color="auto" w:fill="auto"/>
            <w:noWrap/>
            <w:vAlign w:val="bottom"/>
            <w:hideMark/>
          </w:tcPr>
          <w:p w14:paraId="069D3A80" w14:textId="55DC36DF"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9,186 </w:t>
            </w:r>
          </w:p>
        </w:tc>
        <w:tc>
          <w:tcPr>
            <w:tcW w:w="1053" w:type="dxa"/>
            <w:tcBorders>
              <w:top w:val="nil"/>
              <w:left w:val="nil"/>
              <w:bottom w:val="nil"/>
              <w:right w:val="nil"/>
            </w:tcBorders>
            <w:shd w:val="clear" w:color="auto" w:fill="auto"/>
            <w:noWrap/>
            <w:vAlign w:val="bottom"/>
            <w:hideMark/>
          </w:tcPr>
          <w:p w14:paraId="58D9E92F" w14:textId="23AA1669"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 xml:space="preserve">9,186 </w:t>
            </w:r>
          </w:p>
        </w:tc>
      </w:tr>
      <w:tr w:rsidR="002367A2" w:rsidRPr="00513EDD" w14:paraId="18A0E1C4" w14:textId="77777777" w:rsidTr="00177B65">
        <w:trPr>
          <w:trHeight w:val="204"/>
        </w:trPr>
        <w:tc>
          <w:tcPr>
            <w:tcW w:w="2552" w:type="dxa"/>
            <w:tcBorders>
              <w:top w:val="nil"/>
              <w:left w:val="nil"/>
              <w:bottom w:val="nil"/>
              <w:right w:val="nil"/>
            </w:tcBorders>
            <w:shd w:val="clear" w:color="auto" w:fill="auto"/>
            <w:noWrap/>
            <w:vAlign w:val="bottom"/>
            <w:hideMark/>
          </w:tcPr>
          <w:p w14:paraId="63FF1DE8" w14:textId="77777777" w:rsidR="002367A2" w:rsidRPr="00177B65" w:rsidRDefault="002367A2" w:rsidP="002367A2">
            <w:pPr>
              <w:spacing w:after="0" w:line="240" w:lineRule="auto"/>
              <w:ind w:left="113"/>
              <w:jc w:val="left"/>
              <w:rPr>
                <w:rFonts w:ascii="Arial" w:hAnsi="Arial" w:cs="Arial"/>
                <w:sz w:val="16"/>
                <w:szCs w:val="16"/>
              </w:rPr>
            </w:pPr>
            <w:r w:rsidRPr="00177B65">
              <w:rPr>
                <w:rFonts w:ascii="Arial" w:hAnsi="Arial" w:cs="Arial"/>
                <w:sz w:val="16"/>
                <w:szCs w:val="16"/>
              </w:rPr>
              <w:t>Retained surplus/(accumulated deficit)</w:t>
            </w:r>
          </w:p>
        </w:tc>
        <w:tc>
          <w:tcPr>
            <w:tcW w:w="850" w:type="dxa"/>
            <w:tcBorders>
              <w:top w:val="nil"/>
              <w:left w:val="nil"/>
              <w:bottom w:val="nil"/>
              <w:right w:val="nil"/>
            </w:tcBorders>
            <w:shd w:val="clear" w:color="auto" w:fill="auto"/>
            <w:noWrap/>
            <w:vAlign w:val="bottom"/>
            <w:hideMark/>
          </w:tcPr>
          <w:p w14:paraId="4D2B3249" w14:textId="29E47CA0"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(9,650)</w:t>
            </w:r>
          </w:p>
        </w:tc>
        <w:tc>
          <w:tcPr>
            <w:tcW w:w="1060" w:type="dxa"/>
            <w:tcBorders>
              <w:top w:val="nil"/>
              <w:left w:val="nil"/>
              <w:bottom w:val="nil"/>
              <w:right w:val="nil"/>
            </w:tcBorders>
            <w:shd w:val="clear" w:color="000000" w:fill="E6E6E6"/>
            <w:noWrap/>
            <w:vAlign w:val="bottom"/>
            <w:hideMark/>
          </w:tcPr>
          <w:p w14:paraId="0D34EEAB" w14:textId="03DEFA8C"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(10,750)</w:t>
            </w:r>
          </w:p>
        </w:tc>
        <w:tc>
          <w:tcPr>
            <w:tcW w:w="1060" w:type="dxa"/>
            <w:tcBorders>
              <w:top w:val="nil"/>
              <w:left w:val="nil"/>
              <w:bottom w:val="nil"/>
              <w:right w:val="nil"/>
            </w:tcBorders>
            <w:shd w:val="clear" w:color="auto" w:fill="auto"/>
            <w:noWrap/>
            <w:vAlign w:val="bottom"/>
            <w:hideMark/>
          </w:tcPr>
          <w:p w14:paraId="42B4C8EC" w14:textId="26CDDDE5"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(11,856)</w:t>
            </w:r>
          </w:p>
        </w:tc>
        <w:tc>
          <w:tcPr>
            <w:tcW w:w="1060" w:type="dxa"/>
            <w:tcBorders>
              <w:top w:val="nil"/>
              <w:left w:val="nil"/>
              <w:bottom w:val="nil"/>
              <w:right w:val="nil"/>
            </w:tcBorders>
            <w:shd w:val="clear" w:color="auto" w:fill="auto"/>
            <w:noWrap/>
            <w:vAlign w:val="bottom"/>
            <w:hideMark/>
          </w:tcPr>
          <w:p w14:paraId="2C8CE56B" w14:textId="519AB15F"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(13,101)</w:t>
            </w:r>
          </w:p>
        </w:tc>
        <w:tc>
          <w:tcPr>
            <w:tcW w:w="1053" w:type="dxa"/>
            <w:tcBorders>
              <w:top w:val="nil"/>
              <w:left w:val="nil"/>
              <w:bottom w:val="nil"/>
              <w:right w:val="nil"/>
            </w:tcBorders>
            <w:shd w:val="clear" w:color="auto" w:fill="auto"/>
            <w:noWrap/>
            <w:vAlign w:val="bottom"/>
            <w:hideMark/>
          </w:tcPr>
          <w:p w14:paraId="344A11FD" w14:textId="510671F8" w:rsidR="002367A2" w:rsidRPr="00177B65" w:rsidRDefault="002367A2" w:rsidP="002367A2">
            <w:pPr>
              <w:spacing w:after="0" w:line="240" w:lineRule="auto"/>
              <w:jc w:val="right"/>
              <w:rPr>
                <w:rFonts w:ascii="Arial" w:hAnsi="Arial" w:cs="Arial"/>
                <w:sz w:val="16"/>
                <w:szCs w:val="16"/>
              </w:rPr>
            </w:pPr>
            <w:r w:rsidRPr="00177B65">
              <w:rPr>
                <w:rFonts w:ascii="Arial" w:hAnsi="Arial" w:cs="Arial"/>
                <w:sz w:val="16"/>
                <w:szCs w:val="16"/>
              </w:rPr>
              <w:t>(14,340)</w:t>
            </w:r>
          </w:p>
        </w:tc>
      </w:tr>
      <w:tr w:rsidR="002367A2" w:rsidRPr="00513EDD" w14:paraId="0BD0EBE8" w14:textId="77777777" w:rsidTr="00177B65">
        <w:trPr>
          <w:trHeight w:val="204"/>
        </w:trPr>
        <w:tc>
          <w:tcPr>
            <w:tcW w:w="2552" w:type="dxa"/>
            <w:tcBorders>
              <w:top w:val="nil"/>
              <w:left w:val="nil"/>
              <w:bottom w:val="single" w:sz="4" w:space="0" w:color="auto"/>
              <w:right w:val="nil"/>
            </w:tcBorders>
            <w:shd w:val="clear" w:color="auto" w:fill="auto"/>
            <w:noWrap/>
            <w:vAlign w:val="bottom"/>
            <w:hideMark/>
          </w:tcPr>
          <w:p w14:paraId="6F01E149" w14:textId="77777777" w:rsidR="002367A2" w:rsidRPr="00177B65" w:rsidRDefault="002367A2" w:rsidP="002367A2">
            <w:pPr>
              <w:spacing w:after="0" w:line="240" w:lineRule="auto"/>
              <w:jc w:val="left"/>
              <w:rPr>
                <w:rFonts w:ascii="Arial" w:hAnsi="Arial" w:cs="Arial"/>
                <w:b/>
                <w:bCs/>
                <w:sz w:val="16"/>
                <w:szCs w:val="16"/>
              </w:rPr>
            </w:pPr>
            <w:r w:rsidRPr="00177B65">
              <w:rPr>
                <w:rFonts w:ascii="Arial" w:hAnsi="Arial" w:cs="Arial"/>
                <w:b/>
                <w:bCs/>
                <w:sz w:val="16"/>
                <w:szCs w:val="16"/>
              </w:rPr>
              <w:t>Total equity</w:t>
            </w:r>
          </w:p>
        </w:tc>
        <w:tc>
          <w:tcPr>
            <w:tcW w:w="850" w:type="dxa"/>
            <w:tcBorders>
              <w:top w:val="single" w:sz="4" w:space="0" w:color="auto"/>
              <w:left w:val="nil"/>
              <w:bottom w:val="single" w:sz="4" w:space="0" w:color="auto"/>
              <w:right w:val="nil"/>
            </w:tcBorders>
            <w:shd w:val="clear" w:color="auto" w:fill="auto"/>
            <w:noWrap/>
            <w:vAlign w:val="bottom"/>
            <w:hideMark/>
          </w:tcPr>
          <w:p w14:paraId="362C997E" w14:textId="16917AC7"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 xml:space="preserve">15,614 </w:t>
            </w:r>
          </w:p>
        </w:tc>
        <w:tc>
          <w:tcPr>
            <w:tcW w:w="1060" w:type="dxa"/>
            <w:tcBorders>
              <w:top w:val="single" w:sz="4" w:space="0" w:color="auto"/>
              <w:left w:val="nil"/>
              <w:bottom w:val="single" w:sz="4" w:space="0" w:color="auto"/>
              <w:right w:val="nil"/>
            </w:tcBorders>
            <w:shd w:val="clear" w:color="000000" w:fill="E6E6E6"/>
            <w:noWrap/>
            <w:vAlign w:val="bottom"/>
            <w:hideMark/>
          </w:tcPr>
          <w:p w14:paraId="680946DF" w14:textId="6DE1FB08"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 xml:space="preserve">18,675 </w:t>
            </w:r>
          </w:p>
        </w:tc>
        <w:tc>
          <w:tcPr>
            <w:tcW w:w="1060" w:type="dxa"/>
            <w:tcBorders>
              <w:top w:val="single" w:sz="4" w:space="0" w:color="auto"/>
              <w:left w:val="nil"/>
              <w:bottom w:val="single" w:sz="4" w:space="0" w:color="auto"/>
              <w:right w:val="nil"/>
            </w:tcBorders>
            <w:shd w:val="clear" w:color="auto" w:fill="auto"/>
            <w:noWrap/>
            <w:vAlign w:val="bottom"/>
            <w:hideMark/>
          </w:tcPr>
          <w:p w14:paraId="46F0B985" w14:textId="68780CBC"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 xml:space="preserve">18,235 </w:t>
            </w:r>
          </w:p>
        </w:tc>
        <w:tc>
          <w:tcPr>
            <w:tcW w:w="1060" w:type="dxa"/>
            <w:tcBorders>
              <w:top w:val="single" w:sz="4" w:space="0" w:color="auto"/>
              <w:left w:val="nil"/>
              <w:bottom w:val="single" w:sz="4" w:space="0" w:color="auto"/>
              <w:right w:val="nil"/>
            </w:tcBorders>
            <w:shd w:val="clear" w:color="auto" w:fill="auto"/>
            <w:noWrap/>
            <w:vAlign w:val="bottom"/>
            <w:hideMark/>
          </w:tcPr>
          <w:p w14:paraId="1C09FB5C" w14:textId="2B4E06A3"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 xml:space="preserve">17,663 </w:t>
            </w:r>
          </w:p>
        </w:tc>
        <w:tc>
          <w:tcPr>
            <w:tcW w:w="1053" w:type="dxa"/>
            <w:tcBorders>
              <w:top w:val="single" w:sz="4" w:space="0" w:color="auto"/>
              <w:left w:val="nil"/>
              <w:bottom w:val="single" w:sz="4" w:space="0" w:color="auto"/>
              <w:right w:val="nil"/>
            </w:tcBorders>
            <w:shd w:val="clear" w:color="auto" w:fill="auto"/>
            <w:noWrap/>
            <w:vAlign w:val="bottom"/>
            <w:hideMark/>
          </w:tcPr>
          <w:p w14:paraId="45FCBC4F" w14:textId="1419942B" w:rsidR="002367A2" w:rsidRPr="00177B65" w:rsidRDefault="002367A2" w:rsidP="002367A2">
            <w:pPr>
              <w:spacing w:after="0" w:line="240" w:lineRule="auto"/>
              <w:jc w:val="right"/>
              <w:rPr>
                <w:rFonts w:ascii="Arial" w:hAnsi="Arial" w:cs="Arial"/>
                <w:b/>
                <w:bCs/>
                <w:sz w:val="16"/>
                <w:szCs w:val="16"/>
              </w:rPr>
            </w:pPr>
            <w:r w:rsidRPr="00177B65">
              <w:rPr>
                <w:rFonts w:ascii="Arial" w:hAnsi="Arial" w:cs="Arial"/>
                <w:b/>
                <w:bCs/>
                <w:sz w:val="16"/>
                <w:szCs w:val="16"/>
              </w:rPr>
              <w:t xml:space="preserve">17,102 </w:t>
            </w:r>
          </w:p>
        </w:tc>
      </w:tr>
    </w:tbl>
    <w:p w14:paraId="64408232" w14:textId="77777777" w:rsidR="00D129D0" w:rsidRPr="00D129D0" w:rsidRDefault="00D129D0" w:rsidP="0002571F">
      <w:pPr>
        <w:pStyle w:val="TableGraphic"/>
        <w:spacing w:before="60"/>
        <w:jc w:val="left"/>
        <w:rPr>
          <w:rFonts w:ascii="Arial" w:hAnsi="Arial" w:cs="Arial"/>
          <w:i w:val="0"/>
          <w:snapToGrid w:val="0"/>
          <w:color w:val="auto"/>
          <w:sz w:val="16"/>
          <w:szCs w:val="16"/>
        </w:rPr>
      </w:pPr>
      <w:r w:rsidRPr="00D129D0">
        <w:rPr>
          <w:rFonts w:ascii="Arial" w:hAnsi="Arial" w:cs="Arial"/>
          <w:i w:val="0"/>
          <w:snapToGrid w:val="0"/>
          <w:color w:val="auto"/>
          <w:sz w:val="16"/>
          <w:szCs w:val="16"/>
        </w:rPr>
        <w:t>Prepared on Australian Accounting Standards basis.</w:t>
      </w:r>
    </w:p>
    <w:p w14:paraId="1B41301D" w14:textId="1B3BEA8D" w:rsidR="006A6808" w:rsidRDefault="006A6808" w:rsidP="00914885">
      <w:pPr>
        <w:pStyle w:val="SingleParagraph"/>
        <w:rPr>
          <w:snapToGrid w:val="0"/>
        </w:rPr>
      </w:pPr>
    </w:p>
    <w:p w14:paraId="64A1E4A2" w14:textId="77777777" w:rsidR="006A6808" w:rsidRDefault="006A6808">
      <w:pPr>
        <w:spacing w:after="0" w:line="240" w:lineRule="auto"/>
        <w:jc w:val="left"/>
        <w:rPr>
          <w:snapToGrid w:val="0"/>
        </w:rPr>
      </w:pPr>
      <w:r>
        <w:rPr>
          <w:snapToGrid w:val="0"/>
        </w:rPr>
        <w:br w:type="page"/>
      </w:r>
    </w:p>
    <w:p w14:paraId="2EDF9BB5" w14:textId="55F06B6E" w:rsidR="00914885" w:rsidRDefault="00914885" w:rsidP="00914885">
      <w:pPr>
        <w:pStyle w:val="TableHeading"/>
        <w:spacing w:before="0"/>
        <w:rPr>
          <w:b w:val="0"/>
          <w:snapToGrid w:val="0"/>
        </w:rPr>
      </w:pPr>
      <w:r>
        <w:rPr>
          <w:snapToGrid w:val="0"/>
        </w:rPr>
        <w:lastRenderedPageBreak/>
        <w:t xml:space="preserve">Table 3.4: </w:t>
      </w:r>
      <w:r w:rsidR="008863D9">
        <w:rPr>
          <w:snapToGrid w:val="0"/>
        </w:rPr>
        <w:t>Department</w:t>
      </w:r>
      <w:r w:rsidRPr="00014438">
        <w:rPr>
          <w:snapToGrid w:val="0"/>
        </w:rPr>
        <w:t xml:space="preserve">al </w:t>
      </w:r>
      <w:r>
        <w:rPr>
          <w:snapToGrid w:val="0"/>
        </w:rPr>
        <w:t>s</w:t>
      </w:r>
      <w:r w:rsidRPr="00014438">
        <w:rPr>
          <w:snapToGrid w:val="0"/>
        </w:rPr>
        <w:t xml:space="preserve">tatement of </w:t>
      </w:r>
      <w:r>
        <w:rPr>
          <w:snapToGrid w:val="0"/>
        </w:rPr>
        <w:t>c</w:t>
      </w:r>
      <w:r w:rsidRPr="00014438">
        <w:rPr>
          <w:snapToGrid w:val="0"/>
        </w:rPr>
        <w:t xml:space="preserve">hanges in </w:t>
      </w:r>
      <w:r>
        <w:rPr>
          <w:snapToGrid w:val="0"/>
        </w:rPr>
        <w:t>e</w:t>
      </w:r>
      <w:r w:rsidRPr="00014438">
        <w:rPr>
          <w:snapToGrid w:val="0"/>
        </w:rPr>
        <w:t xml:space="preserve">quity — </w:t>
      </w:r>
      <w:r>
        <w:rPr>
          <w:snapToGrid w:val="0"/>
        </w:rPr>
        <w:t>s</w:t>
      </w:r>
      <w:r w:rsidRPr="00014438">
        <w:rPr>
          <w:snapToGrid w:val="0"/>
        </w:rPr>
        <w:t xml:space="preserve">ummary of </w:t>
      </w:r>
      <w:r>
        <w:rPr>
          <w:snapToGrid w:val="0"/>
        </w:rPr>
        <w:t>m</w:t>
      </w:r>
      <w:r w:rsidRPr="00014438">
        <w:rPr>
          <w:snapToGrid w:val="0"/>
        </w:rPr>
        <w:t>ovement (</w:t>
      </w:r>
      <w:r w:rsidR="00377489">
        <w:rPr>
          <w:snapToGrid w:val="0"/>
        </w:rPr>
        <w:t>2021-22 Budget year</w:t>
      </w:r>
      <w:r w:rsidRPr="00014438">
        <w:rPr>
          <w:snapToGrid w:val="0"/>
        </w:rPr>
        <w:t>)</w:t>
      </w:r>
      <w:r w:rsidRPr="00EC73D1">
        <w:rPr>
          <w:b w:val="0"/>
          <w:snapToGrid w:val="0"/>
        </w:rPr>
        <w:t xml:space="preserve"> </w:t>
      </w:r>
    </w:p>
    <w:tbl>
      <w:tblPr>
        <w:tblW w:w="7601" w:type="dxa"/>
        <w:tblLook w:val="04A0" w:firstRow="1" w:lastRow="0" w:firstColumn="1" w:lastColumn="0" w:noHBand="0" w:noVBand="1"/>
      </w:tblPr>
      <w:tblGrid>
        <w:gridCol w:w="3261"/>
        <w:gridCol w:w="992"/>
        <w:gridCol w:w="1117"/>
        <w:gridCol w:w="1117"/>
        <w:gridCol w:w="1114"/>
      </w:tblGrid>
      <w:tr w:rsidR="006A6808" w:rsidRPr="00504E31" w14:paraId="60F1A5A1" w14:textId="77777777" w:rsidTr="00AD3087">
        <w:trPr>
          <w:trHeight w:val="240"/>
        </w:trPr>
        <w:tc>
          <w:tcPr>
            <w:tcW w:w="3261" w:type="dxa"/>
            <w:tcBorders>
              <w:top w:val="single" w:sz="4" w:space="0" w:color="auto"/>
              <w:left w:val="nil"/>
              <w:bottom w:val="nil"/>
              <w:right w:val="nil"/>
            </w:tcBorders>
            <w:shd w:val="clear" w:color="auto" w:fill="auto"/>
            <w:noWrap/>
            <w:hideMark/>
          </w:tcPr>
          <w:p w14:paraId="307A03E6" w14:textId="77777777" w:rsidR="006A6808" w:rsidRPr="00504E31" w:rsidRDefault="006A6808" w:rsidP="006A6808">
            <w:pPr>
              <w:spacing w:after="0" w:line="240" w:lineRule="auto"/>
              <w:jc w:val="left"/>
              <w:rPr>
                <w:rFonts w:ascii="Arial" w:hAnsi="Arial" w:cs="Arial"/>
                <w:sz w:val="16"/>
                <w:szCs w:val="16"/>
              </w:rPr>
            </w:pPr>
            <w:r w:rsidRPr="00504E31">
              <w:rPr>
                <w:rFonts w:ascii="Arial" w:hAnsi="Arial" w:cs="Arial"/>
                <w:sz w:val="16"/>
                <w:szCs w:val="16"/>
              </w:rPr>
              <w:t> </w:t>
            </w:r>
          </w:p>
        </w:tc>
        <w:tc>
          <w:tcPr>
            <w:tcW w:w="992" w:type="dxa"/>
            <w:tcBorders>
              <w:top w:val="single" w:sz="4" w:space="0" w:color="auto"/>
              <w:left w:val="nil"/>
              <w:bottom w:val="nil"/>
              <w:right w:val="nil"/>
            </w:tcBorders>
            <w:shd w:val="clear" w:color="auto" w:fill="auto"/>
            <w:hideMark/>
          </w:tcPr>
          <w:p w14:paraId="53F45EBA"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Retained</w:t>
            </w:r>
          </w:p>
        </w:tc>
        <w:tc>
          <w:tcPr>
            <w:tcW w:w="1117" w:type="dxa"/>
            <w:tcBorders>
              <w:top w:val="single" w:sz="4" w:space="0" w:color="auto"/>
              <w:left w:val="nil"/>
              <w:bottom w:val="nil"/>
              <w:right w:val="nil"/>
            </w:tcBorders>
            <w:shd w:val="clear" w:color="auto" w:fill="auto"/>
            <w:hideMark/>
          </w:tcPr>
          <w:p w14:paraId="60E2ED0B"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Asset</w:t>
            </w:r>
          </w:p>
        </w:tc>
        <w:tc>
          <w:tcPr>
            <w:tcW w:w="1117" w:type="dxa"/>
            <w:tcBorders>
              <w:top w:val="single" w:sz="4" w:space="0" w:color="auto"/>
              <w:left w:val="nil"/>
              <w:bottom w:val="nil"/>
              <w:right w:val="nil"/>
            </w:tcBorders>
            <w:shd w:val="clear" w:color="auto" w:fill="auto"/>
            <w:hideMark/>
          </w:tcPr>
          <w:p w14:paraId="7CACB947"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Contributed</w:t>
            </w:r>
          </w:p>
        </w:tc>
        <w:tc>
          <w:tcPr>
            <w:tcW w:w="1114" w:type="dxa"/>
            <w:tcBorders>
              <w:top w:val="single" w:sz="4" w:space="0" w:color="auto"/>
              <w:left w:val="nil"/>
              <w:bottom w:val="nil"/>
              <w:right w:val="nil"/>
            </w:tcBorders>
            <w:shd w:val="clear" w:color="auto" w:fill="auto"/>
            <w:hideMark/>
          </w:tcPr>
          <w:p w14:paraId="094CC36B"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Total</w:t>
            </w:r>
          </w:p>
        </w:tc>
      </w:tr>
      <w:tr w:rsidR="006A6808" w:rsidRPr="00504E31" w14:paraId="3426E1A0" w14:textId="77777777" w:rsidTr="00AD3087">
        <w:trPr>
          <w:trHeight w:val="240"/>
        </w:trPr>
        <w:tc>
          <w:tcPr>
            <w:tcW w:w="3261" w:type="dxa"/>
            <w:tcBorders>
              <w:top w:val="nil"/>
              <w:left w:val="nil"/>
              <w:bottom w:val="nil"/>
              <w:right w:val="nil"/>
            </w:tcBorders>
            <w:shd w:val="clear" w:color="auto" w:fill="auto"/>
            <w:noWrap/>
            <w:hideMark/>
          </w:tcPr>
          <w:p w14:paraId="316BEF73" w14:textId="77777777" w:rsidR="006A6808" w:rsidRPr="00504E31" w:rsidRDefault="006A6808" w:rsidP="006A6808">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hideMark/>
          </w:tcPr>
          <w:p w14:paraId="14CDE014"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earnings</w:t>
            </w:r>
          </w:p>
        </w:tc>
        <w:tc>
          <w:tcPr>
            <w:tcW w:w="1117" w:type="dxa"/>
            <w:tcBorders>
              <w:top w:val="nil"/>
              <w:left w:val="nil"/>
              <w:bottom w:val="nil"/>
              <w:right w:val="nil"/>
            </w:tcBorders>
            <w:shd w:val="clear" w:color="auto" w:fill="auto"/>
            <w:hideMark/>
          </w:tcPr>
          <w:p w14:paraId="391A15D0"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revaluation</w:t>
            </w:r>
          </w:p>
        </w:tc>
        <w:tc>
          <w:tcPr>
            <w:tcW w:w="1117" w:type="dxa"/>
            <w:tcBorders>
              <w:top w:val="nil"/>
              <w:left w:val="nil"/>
              <w:bottom w:val="nil"/>
              <w:right w:val="nil"/>
            </w:tcBorders>
            <w:shd w:val="clear" w:color="auto" w:fill="auto"/>
            <w:hideMark/>
          </w:tcPr>
          <w:p w14:paraId="38C3AF65"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equity/</w:t>
            </w:r>
          </w:p>
        </w:tc>
        <w:tc>
          <w:tcPr>
            <w:tcW w:w="1114" w:type="dxa"/>
            <w:tcBorders>
              <w:top w:val="nil"/>
              <w:left w:val="nil"/>
              <w:bottom w:val="nil"/>
              <w:right w:val="nil"/>
            </w:tcBorders>
            <w:shd w:val="clear" w:color="auto" w:fill="auto"/>
            <w:hideMark/>
          </w:tcPr>
          <w:p w14:paraId="462C7F92"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equity</w:t>
            </w:r>
          </w:p>
        </w:tc>
      </w:tr>
      <w:tr w:rsidR="006A6808" w:rsidRPr="00504E31" w14:paraId="5064DEB9" w14:textId="77777777" w:rsidTr="00AD3087">
        <w:trPr>
          <w:trHeight w:val="240"/>
        </w:trPr>
        <w:tc>
          <w:tcPr>
            <w:tcW w:w="3261" w:type="dxa"/>
            <w:tcBorders>
              <w:top w:val="nil"/>
              <w:left w:val="nil"/>
              <w:bottom w:val="nil"/>
              <w:right w:val="nil"/>
            </w:tcBorders>
            <w:shd w:val="clear" w:color="auto" w:fill="auto"/>
            <w:noWrap/>
            <w:hideMark/>
          </w:tcPr>
          <w:p w14:paraId="52AA8BF1" w14:textId="77777777" w:rsidR="006A6808" w:rsidRPr="00504E31" w:rsidRDefault="006A6808" w:rsidP="006A6808">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hideMark/>
          </w:tcPr>
          <w:p w14:paraId="73C78E10" w14:textId="77777777" w:rsidR="006A6808" w:rsidRPr="00504E31" w:rsidRDefault="006A6808" w:rsidP="006A6808">
            <w:pPr>
              <w:spacing w:after="0" w:line="240" w:lineRule="auto"/>
              <w:jc w:val="left"/>
              <w:rPr>
                <w:rFonts w:ascii="Arial" w:hAnsi="Arial" w:cs="Arial"/>
                <w:sz w:val="16"/>
                <w:szCs w:val="16"/>
              </w:rPr>
            </w:pPr>
          </w:p>
        </w:tc>
        <w:tc>
          <w:tcPr>
            <w:tcW w:w="1117" w:type="dxa"/>
            <w:tcBorders>
              <w:top w:val="nil"/>
              <w:left w:val="nil"/>
              <w:bottom w:val="nil"/>
              <w:right w:val="nil"/>
            </w:tcBorders>
            <w:shd w:val="clear" w:color="auto" w:fill="auto"/>
            <w:hideMark/>
          </w:tcPr>
          <w:p w14:paraId="49A20322"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reserve</w:t>
            </w:r>
          </w:p>
        </w:tc>
        <w:tc>
          <w:tcPr>
            <w:tcW w:w="1117" w:type="dxa"/>
            <w:tcBorders>
              <w:top w:val="nil"/>
              <w:left w:val="nil"/>
              <w:bottom w:val="nil"/>
              <w:right w:val="nil"/>
            </w:tcBorders>
            <w:shd w:val="clear" w:color="auto" w:fill="auto"/>
            <w:hideMark/>
          </w:tcPr>
          <w:p w14:paraId="675F0AFD"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capital</w:t>
            </w:r>
          </w:p>
        </w:tc>
        <w:tc>
          <w:tcPr>
            <w:tcW w:w="1114" w:type="dxa"/>
            <w:tcBorders>
              <w:top w:val="nil"/>
              <w:left w:val="nil"/>
              <w:bottom w:val="nil"/>
              <w:right w:val="nil"/>
            </w:tcBorders>
            <w:shd w:val="clear" w:color="auto" w:fill="auto"/>
            <w:hideMark/>
          </w:tcPr>
          <w:p w14:paraId="44356B5E" w14:textId="77777777" w:rsidR="006A6808" w:rsidRPr="00504E31" w:rsidRDefault="006A6808" w:rsidP="006A6808">
            <w:pPr>
              <w:spacing w:after="0" w:line="240" w:lineRule="auto"/>
              <w:jc w:val="right"/>
              <w:rPr>
                <w:rFonts w:ascii="Arial" w:hAnsi="Arial" w:cs="Arial"/>
                <w:sz w:val="16"/>
                <w:szCs w:val="16"/>
              </w:rPr>
            </w:pPr>
          </w:p>
        </w:tc>
      </w:tr>
      <w:tr w:rsidR="006A6808" w:rsidRPr="00504E31" w14:paraId="0A4F6F64" w14:textId="77777777" w:rsidTr="00AD3087">
        <w:trPr>
          <w:trHeight w:val="66"/>
        </w:trPr>
        <w:tc>
          <w:tcPr>
            <w:tcW w:w="3261" w:type="dxa"/>
            <w:tcBorders>
              <w:top w:val="nil"/>
              <w:left w:val="nil"/>
              <w:bottom w:val="nil"/>
              <w:right w:val="nil"/>
            </w:tcBorders>
            <w:shd w:val="clear" w:color="auto" w:fill="auto"/>
            <w:noWrap/>
            <w:hideMark/>
          </w:tcPr>
          <w:p w14:paraId="48C1366C" w14:textId="77777777" w:rsidR="006A6808" w:rsidRPr="00504E31" w:rsidRDefault="006A6808" w:rsidP="006A6808">
            <w:pPr>
              <w:spacing w:after="0" w:line="240" w:lineRule="auto"/>
              <w:jc w:val="right"/>
              <w:rPr>
                <w:rFonts w:ascii="Arial" w:hAnsi="Arial" w:cs="Arial"/>
                <w:sz w:val="16"/>
                <w:szCs w:val="16"/>
              </w:rPr>
            </w:pPr>
          </w:p>
        </w:tc>
        <w:tc>
          <w:tcPr>
            <w:tcW w:w="992" w:type="dxa"/>
            <w:tcBorders>
              <w:top w:val="nil"/>
              <w:left w:val="nil"/>
              <w:bottom w:val="single" w:sz="4" w:space="0" w:color="auto"/>
              <w:right w:val="nil"/>
            </w:tcBorders>
            <w:shd w:val="clear" w:color="auto" w:fill="auto"/>
            <w:noWrap/>
            <w:hideMark/>
          </w:tcPr>
          <w:p w14:paraId="3751B78F"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$'000</w:t>
            </w:r>
          </w:p>
        </w:tc>
        <w:tc>
          <w:tcPr>
            <w:tcW w:w="1117" w:type="dxa"/>
            <w:tcBorders>
              <w:top w:val="nil"/>
              <w:left w:val="nil"/>
              <w:bottom w:val="single" w:sz="4" w:space="0" w:color="auto"/>
              <w:right w:val="nil"/>
            </w:tcBorders>
            <w:shd w:val="clear" w:color="auto" w:fill="auto"/>
            <w:noWrap/>
            <w:hideMark/>
          </w:tcPr>
          <w:p w14:paraId="54FBB91F"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$'000</w:t>
            </w:r>
          </w:p>
        </w:tc>
        <w:tc>
          <w:tcPr>
            <w:tcW w:w="1117" w:type="dxa"/>
            <w:tcBorders>
              <w:top w:val="nil"/>
              <w:left w:val="nil"/>
              <w:bottom w:val="single" w:sz="4" w:space="0" w:color="auto"/>
              <w:right w:val="nil"/>
            </w:tcBorders>
            <w:shd w:val="clear" w:color="auto" w:fill="auto"/>
            <w:noWrap/>
            <w:hideMark/>
          </w:tcPr>
          <w:p w14:paraId="57F9C1BD"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$'000</w:t>
            </w:r>
          </w:p>
        </w:tc>
        <w:tc>
          <w:tcPr>
            <w:tcW w:w="1114" w:type="dxa"/>
            <w:tcBorders>
              <w:top w:val="nil"/>
              <w:left w:val="nil"/>
              <w:bottom w:val="single" w:sz="4" w:space="0" w:color="auto"/>
              <w:right w:val="nil"/>
            </w:tcBorders>
            <w:shd w:val="clear" w:color="auto" w:fill="auto"/>
            <w:noWrap/>
            <w:hideMark/>
          </w:tcPr>
          <w:p w14:paraId="238A4395" w14:textId="77777777" w:rsidR="006A6808" w:rsidRPr="00504E31" w:rsidRDefault="006A6808" w:rsidP="006A6808">
            <w:pPr>
              <w:spacing w:after="0" w:line="240" w:lineRule="auto"/>
              <w:jc w:val="right"/>
              <w:rPr>
                <w:rFonts w:ascii="Arial" w:hAnsi="Arial" w:cs="Arial"/>
                <w:sz w:val="16"/>
                <w:szCs w:val="16"/>
              </w:rPr>
            </w:pPr>
            <w:r w:rsidRPr="00504E31">
              <w:rPr>
                <w:rFonts w:ascii="Arial" w:hAnsi="Arial" w:cs="Arial"/>
                <w:sz w:val="16"/>
                <w:szCs w:val="16"/>
              </w:rPr>
              <w:t>$'000</w:t>
            </w:r>
          </w:p>
        </w:tc>
      </w:tr>
      <w:tr w:rsidR="006A6808" w:rsidRPr="00504E31" w14:paraId="07205822" w14:textId="77777777" w:rsidTr="00177B65">
        <w:trPr>
          <w:trHeight w:val="204"/>
        </w:trPr>
        <w:tc>
          <w:tcPr>
            <w:tcW w:w="3261" w:type="dxa"/>
            <w:tcBorders>
              <w:top w:val="nil"/>
              <w:left w:val="nil"/>
              <w:bottom w:val="nil"/>
              <w:right w:val="nil"/>
            </w:tcBorders>
            <w:shd w:val="clear" w:color="auto" w:fill="auto"/>
            <w:vAlign w:val="bottom"/>
            <w:hideMark/>
          </w:tcPr>
          <w:p w14:paraId="24711503" w14:textId="77777777" w:rsidR="006A6808" w:rsidRPr="00177B65" w:rsidRDefault="006A6808" w:rsidP="006A6808">
            <w:pPr>
              <w:spacing w:after="0" w:line="240" w:lineRule="auto"/>
              <w:jc w:val="left"/>
              <w:rPr>
                <w:rFonts w:ascii="Arial" w:hAnsi="Arial" w:cs="Arial"/>
                <w:b/>
                <w:bCs/>
                <w:sz w:val="16"/>
                <w:szCs w:val="16"/>
              </w:rPr>
            </w:pPr>
            <w:r w:rsidRPr="00177B65">
              <w:rPr>
                <w:rFonts w:ascii="Arial" w:hAnsi="Arial" w:cs="Arial"/>
                <w:b/>
                <w:bCs/>
                <w:sz w:val="16"/>
                <w:szCs w:val="16"/>
              </w:rPr>
              <w:t>Opening balance as at 1 July 2021</w:t>
            </w:r>
          </w:p>
        </w:tc>
        <w:tc>
          <w:tcPr>
            <w:tcW w:w="992" w:type="dxa"/>
            <w:tcBorders>
              <w:top w:val="nil"/>
              <w:left w:val="nil"/>
              <w:bottom w:val="nil"/>
              <w:right w:val="nil"/>
            </w:tcBorders>
            <w:shd w:val="clear" w:color="auto" w:fill="auto"/>
            <w:noWrap/>
            <w:vAlign w:val="bottom"/>
            <w:hideMark/>
          </w:tcPr>
          <w:p w14:paraId="213FEB15" w14:textId="77777777" w:rsidR="006A6808" w:rsidRPr="00177B65" w:rsidRDefault="006A6808" w:rsidP="00504E31">
            <w:pPr>
              <w:spacing w:after="0" w:line="240" w:lineRule="auto"/>
              <w:jc w:val="right"/>
              <w:rPr>
                <w:rFonts w:ascii="Arial" w:hAnsi="Arial" w:cs="Arial"/>
                <w:b/>
                <w:bCs/>
                <w:sz w:val="16"/>
                <w:szCs w:val="16"/>
              </w:rPr>
            </w:pPr>
          </w:p>
        </w:tc>
        <w:tc>
          <w:tcPr>
            <w:tcW w:w="1117" w:type="dxa"/>
            <w:tcBorders>
              <w:top w:val="nil"/>
              <w:left w:val="nil"/>
              <w:bottom w:val="nil"/>
              <w:right w:val="nil"/>
            </w:tcBorders>
            <w:shd w:val="clear" w:color="auto" w:fill="auto"/>
            <w:noWrap/>
            <w:vAlign w:val="bottom"/>
            <w:hideMark/>
          </w:tcPr>
          <w:p w14:paraId="2C2A5A0C" w14:textId="77777777" w:rsidR="006A6808" w:rsidRPr="00177B65" w:rsidRDefault="006A6808" w:rsidP="00504E31">
            <w:pPr>
              <w:spacing w:after="0" w:line="240" w:lineRule="auto"/>
              <w:jc w:val="right"/>
              <w:rPr>
                <w:rFonts w:ascii="Arial" w:hAnsi="Arial" w:cs="Arial"/>
                <w:sz w:val="16"/>
                <w:szCs w:val="16"/>
              </w:rPr>
            </w:pPr>
          </w:p>
        </w:tc>
        <w:tc>
          <w:tcPr>
            <w:tcW w:w="1117" w:type="dxa"/>
            <w:tcBorders>
              <w:top w:val="nil"/>
              <w:left w:val="nil"/>
              <w:bottom w:val="nil"/>
              <w:right w:val="nil"/>
            </w:tcBorders>
            <w:shd w:val="clear" w:color="auto" w:fill="auto"/>
            <w:noWrap/>
            <w:vAlign w:val="bottom"/>
            <w:hideMark/>
          </w:tcPr>
          <w:p w14:paraId="6FCD5AE5" w14:textId="77777777" w:rsidR="006A6808" w:rsidRPr="00177B65" w:rsidRDefault="006A6808" w:rsidP="00504E31">
            <w:pPr>
              <w:spacing w:after="0" w:line="240" w:lineRule="auto"/>
              <w:jc w:val="right"/>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14:paraId="3424E98B" w14:textId="77777777" w:rsidR="006A6808" w:rsidRPr="00177B65" w:rsidRDefault="006A6808" w:rsidP="00504E31">
            <w:pPr>
              <w:spacing w:after="0" w:line="240" w:lineRule="auto"/>
              <w:jc w:val="right"/>
              <w:rPr>
                <w:rFonts w:ascii="Arial" w:hAnsi="Arial" w:cs="Arial"/>
                <w:sz w:val="16"/>
                <w:szCs w:val="16"/>
              </w:rPr>
            </w:pPr>
          </w:p>
        </w:tc>
      </w:tr>
      <w:tr w:rsidR="006A6808" w:rsidRPr="00504E31" w14:paraId="3DDB65BC" w14:textId="77777777" w:rsidTr="00177B65">
        <w:trPr>
          <w:trHeight w:val="204"/>
        </w:trPr>
        <w:tc>
          <w:tcPr>
            <w:tcW w:w="3261" w:type="dxa"/>
            <w:tcBorders>
              <w:top w:val="nil"/>
              <w:left w:val="nil"/>
              <w:bottom w:val="nil"/>
              <w:right w:val="nil"/>
            </w:tcBorders>
            <w:shd w:val="clear" w:color="auto" w:fill="auto"/>
            <w:noWrap/>
            <w:vAlign w:val="bottom"/>
            <w:hideMark/>
          </w:tcPr>
          <w:p w14:paraId="7EE1D3A2" w14:textId="77777777" w:rsidR="006A6808" w:rsidRPr="00177B65" w:rsidRDefault="006A6808" w:rsidP="00504E31">
            <w:pPr>
              <w:spacing w:after="0" w:line="240" w:lineRule="auto"/>
              <w:ind w:left="113"/>
              <w:jc w:val="left"/>
              <w:rPr>
                <w:rFonts w:ascii="Arial" w:hAnsi="Arial" w:cs="Arial"/>
                <w:sz w:val="16"/>
                <w:szCs w:val="16"/>
              </w:rPr>
            </w:pPr>
            <w:r w:rsidRPr="00177B65">
              <w:rPr>
                <w:rFonts w:ascii="Arial" w:hAnsi="Arial" w:cs="Arial"/>
                <w:sz w:val="16"/>
                <w:szCs w:val="16"/>
              </w:rPr>
              <w:t>Balance carried forward from previous period</w:t>
            </w:r>
          </w:p>
        </w:tc>
        <w:tc>
          <w:tcPr>
            <w:tcW w:w="992" w:type="dxa"/>
            <w:tcBorders>
              <w:top w:val="nil"/>
              <w:left w:val="nil"/>
              <w:bottom w:val="nil"/>
              <w:right w:val="nil"/>
            </w:tcBorders>
            <w:shd w:val="clear" w:color="auto" w:fill="auto"/>
            <w:noWrap/>
            <w:vAlign w:val="bottom"/>
            <w:hideMark/>
          </w:tcPr>
          <w:p w14:paraId="3880F267" w14:textId="77777777"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(9,650)</w:t>
            </w:r>
          </w:p>
        </w:tc>
        <w:tc>
          <w:tcPr>
            <w:tcW w:w="1117" w:type="dxa"/>
            <w:tcBorders>
              <w:top w:val="nil"/>
              <w:left w:val="nil"/>
              <w:bottom w:val="nil"/>
              <w:right w:val="nil"/>
            </w:tcBorders>
            <w:shd w:val="clear" w:color="auto" w:fill="auto"/>
            <w:noWrap/>
            <w:vAlign w:val="bottom"/>
            <w:hideMark/>
          </w:tcPr>
          <w:p w14:paraId="45E01955" w14:textId="6CECFC09"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9,186</w:t>
            </w:r>
          </w:p>
        </w:tc>
        <w:tc>
          <w:tcPr>
            <w:tcW w:w="1117" w:type="dxa"/>
            <w:tcBorders>
              <w:top w:val="nil"/>
              <w:left w:val="nil"/>
              <w:bottom w:val="nil"/>
              <w:right w:val="nil"/>
            </w:tcBorders>
            <w:shd w:val="clear" w:color="auto" w:fill="auto"/>
            <w:noWrap/>
            <w:vAlign w:val="bottom"/>
            <w:hideMark/>
          </w:tcPr>
          <w:p w14:paraId="4138A965" w14:textId="5A8DDCC7"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16,078</w:t>
            </w:r>
          </w:p>
        </w:tc>
        <w:tc>
          <w:tcPr>
            <w:tcW w:w="1114" w:type="dxa"/>
            <w:tcBorders>
              <w:top w:val="nil"/>
              <w:left w:val="nil"/>
              <w:bottom w:val="nil"/>
              <w:right w:val="nil"/>
            </w:tcBorders>
            <w:shd w:val="clear" w:color="auto" w:fill="auto"/>
            <w:noWrap/>
            <w:vAlign w:val="bottom"/>
            <w:hideMark/>
          </w:tcPr>
          <w:p w14:paraId="35C76787" w14:textId="0F5BB3B5"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15,614</w:t>
            </w:r>
          </w:p>
        </w:tc>
      </w:tr>
      <w:tr w:rsidR="006A6808" w:rsidRPr="00504E31" w14:paraId="3990994D" w14:textId="77777777" w:rsidTr="00177B65">
        <w:trPr>
          <w:trHeight w:val="204"/>
        </w:trPr>
        <w:tc>
          <w:tcPr>
            <w:tcW w:w="3261" w:type="dxa"/>
            <w:tcBorders>
              <w:top w:val="nil"/>
              <w:left w:val="nil"/>
              <w:bottom w:val="nil"/>
              <w:right w:val="nil"/>
            </w:tcBorders>
            <w:shd w:val="clear" w:color="auto" w:fill="auto"/>
            <w:noWrap/>
            <w:vAlign w:val="bottom"/>
            <w:hideMark/>
          </w:tcPr>
          <w:p w14:paraId="24DA9FE9" w14:textId="77777777" w:rsidR="006A6808" w:rsidRPr="00177B65" w:rsidRDefault="006A6808" w:rsidP="006A6808">
            <w:pPr>
              <w:spacing w:after="0" w:line="240" w:lineRule="auto"/>
              <w:jc w:val="left"/>
              <w:rPr>
                <w:rFonts w:ascii="Arial" w:hAnsi="Arial" w:cs="Arial"/>
                <w:b/>
                <w:bCs/>
                <w:sz w:val="16"/>
                <w:szCs w:val="16"/>
              </w:rPr>
            </w:pPr>
            <w:r w:rsidRPr="00177B65">
              <w:rPr>
                <w:rFonts w:ascii="Arial" w:hAnsi="Arial" w:cs="Arial"/>
                <w:b/>
                <w:bCs/>
                <w:sz w:val="16"/>
                <w:szCs w:val="16"/>
              </w:rPr>
              <w:t>Adjusted opening balance</w:t>
            </w:r>
          </w:p>
        </w:tc>
        <w:tc>
          <w:tcPr>
            <w:tcW w:w="992" w:type="dxa"/>
            <w:tcBorders>
              <w:top w:val="single" w:sz="4" w:space="0" w:color="auto"/>
              <w:left w:val="nil"/>
              <w:bottom w:val="single" w:sz="4" w:space="0" w:color="auto"/>
              <w:right w:val="nil"/>
            </w:tcBorders>
            <w:shd w:val="clear" w:color="auto" w:fill="auto"/>
            <w:noWrap/>
            <w:vAlign w:val="bottom"/>
            <w:hideMark/>
          </w:tcPr>
          <w:p w14:paraId="7235737A" w14:textId="77777777" w:rsidR="006A6808" w:rsidRPr="00177B65" w:rsidRDefault="006A6808" w:rsidP="00504E31">
            <w:pPr>
              <w:spacing w:after="0" w:line="240" w:lineRule="auto"/>
              <w:jc w:val="right"/>
              <w:rPr>
                <w:rFonts w:ascii="Arial" w:hAnsi="Arial" w:cs="Arial"/>
                <w:b/>
                <w:bCs/>
                <w:sz w:val="16"/>
                <w:szCs w:val="16"/>
              </w:rPr>
            </w:pPr>
            <w:r w:rsidRPr="00177B65">
              <w:rPr>
                <w:rFonts w:ascii="Arial" w:hAnsi="Arial" w:cs="Arial"/>
                <w:b/>
                <w:bCs/>
                <w:sz w:val="16"/>
                <w:szCs w:val="16"/>
              </w:rPr>
              <w:t>(9,650)</w:t>
            </w:r>
          </w:p>
        </w:tc>
        <w:tc>
          <w:tcPr>
            <w:tcW w:w="1117" w:type="dxa"/>
            <w:tcBorders>
              <w:top w:val="single" w:sz="4" w:space="0" w:color="auto"/>
              <w:left w:val="nil"/>
              <w:bottom w:val="single" w:sz="4" w:space="0" w:color="auto"/>
              <w:right w:val="nil"/>
            </w:tcBorders>
            <w:shd w:val="clear" w:color="auto" w:fill="auto"/>
            <w:noWrap/>
            <w:vAlign w:val="bottom"/>
            <w:hideMark/>
          </w:tcPr>
          <w:p w14:paraId="079BF441" w14:textId="4C09F26E" w:rsidR="006A6808" w:rsidRPr="00177B65" w:rsidRDefault="006A6808" w:rsidP="00504E31">
            <w:pPr>
              <w:spacing w:after="0" w:line="240" w:lineRule="auto"/>
              <w:jc w:val="right"/>
              <w:rPr>
                <w:rFonts w:ascii="Arial" w:hAnsi="Arial" w:cs="Arial"/>
                <w:b/>
                <w:bCs/>
                <w:sz w:val="16"/>
                <w:szCs w:val="16"/>
              </w:rPr>
            </w:pPr>
            <w:r w:rsidRPr="00177B65">
              <w:rPr>
                <w:rFonts w:ascii="Arial" w:hAnsi="Arial" w:cs="Arial"/>
                <w:b/>
                <w:bCs/>
                <w:sz w:val="16"/>
                <w:szCs w:val="16"/>
              </w:rPr>
              <w:t>9,186</w:t>
            </w:r>
          </w:p>
        </w:tc>
        <w:tc>
          <w:tcPr>
            <w:tcW w:w="1117" w:type="dxa"/>
            <w:tcBorders>
              <w:top w:val="single" w:sz="4" w:space="0" w:color="auto"/>
              <w:left w:val="nil"/>
              <w:bottom w:val="single" w:sz="4" w:space="0" w:color="auto"/>
              <w:right w:val="nil"/>
            </w:tcBorders>
            <w:shd w:val="clear" w:color="auto" w:fill="auto"/>
            <w:noWrap/>
            <w:vAlign w:val="bottom"/>
            <w:hideMark/>
          </w:tcPr>
          <w:p w14:paraId="04F60881" w14:textId="34A65156" w:rsidR="006A6808" w:rsidRPr="00177B65" w:rsidRDefault="006A6808" w:rsidP="00504E31">
            <w:pPr>
              <w:spacing w:after="0" w:line="240" w:lineRule="auto"/>
              <w:jc w:val="right"/>
              <w:rPr>
                <w:rFonts w:ascii="Arial" w:hAnsi="Arial" w:cs="Arial"/>
                <w:b/>
                <w:bCs/>
                <w:sz w:val="16"/>
                <w:szCs w:val="16"/>
              </w:rPr>
            </w:pPr>
            <w:r w:rsidRPr="00177B65">
              <w:rPr>
                <w:rFonts w:ascii="Arial" w:hAnsi="Arial" w:cs="Arial"/>
                <w:b/>
                <w:bCs/>
                <w:sz w:val="16"/>
                <w:szCs w:val="16"/>
              </w:rPr>
              <w:t>16,078</w:t>
            </w:r>
          </w:p>
        </w:tc>
        <w:tc>
          <w:tcPr>
            <w:tcW w:w="1114" w:type="dxa"/>
            <w:tcBorders>
              <w:top w:val="single" w:sz="4" w:space="0" w:color="auto"/>
              <w:left w:val="nil"/>
              <w:bottom w:val="single" w:sz="4" w:space="0" w:color="auto"/>
              <w:right w:val="nil"/>
            </w:tcBorders>
            <w:shd w:val="clear" w:color="auto" w:fill="auto"/>
            <w:noWrap/>
            <w:vAlign w:val="bottom"/>
            <w:hideMark/>
          </w:tcPr>
          <w:p w14:paraId="6DB0FAC0" w14:textId="6B8B0EE1" w:rsidR="006A6808" w:rsidRPr="00177B65" w:rsidRDefault="006A6808" w:rsidP="00504E31">
            <w:pPr>
              <w:spacing w:after="0" w:line="240" w:lineRule="auto"/>
              <w:jc w:val="right"/>
              <w:rPr>
                <w:rFonts w:ascii="Arial" w:hAnsi="Arial" w:cs="Arial"/>
                <w:b/>
                <w:bCs/>
                <w:sz w:val="16"/>
                <w:szCs w:val="16"/>
              </w:rPr>
            </w:pPr>
            <w:r w:rsidRPr="00177B65">
              <w:rPr>
                <w:rFonts w:ascii="Arial" w:hAnsi="Arial" w:cs="Arial"/>
                <w:b/>
                <w:bCs/>
                <w:sz w:val="16"/>
                <w:szCs w:val="16"/>
              </w:rPr>
              <w:t>15,614</w:t>
            </w:r>
          </w:p>
        </w:tc>
      </w:tr>
      <w:tr w:rsidR="006A6808" w:rsidRPr="00504E31" w14:paraId="4811CC26" w14:textId="77777777" w:rsidTr="00177B65">
        <w:trPr>
          <w:trHeight w:val="204"/>
        </w:trPr>
        <w:tc>
          <w:tcPr>
            <w:tcW w:w="3261" w:type="dxa"/>
            <w:tcBorders>
              <w:top w:val="nil"/>
              <w:left w:val="nil"/>
              <w:bottom w:val="nil"/>
              <w:right w:val="nil"/>
            </w:tcBorders>
            <w:shd w:val="clear" w:color="auto" w:fill="auto"/>
            <w:vAlign w:val="bottom"/>
            <w:hideMark/>
          </w:tcPr>
          <w:p w14:paraId="01DFD932" w14:textId="77777777" w:rsidR="006A6808" w:rsidRPr="00177B65" w:rsidRDefault="006A6808" w:rsidP="006A6808">
            <w:pPr>
              <w:spacing w:after="0" w:line="240" w:lineRule="auto"/>
              <w:jc w:val="left"/>
              <w:rPr>
                <w:rFonts w:ascii="Arial" w:hAnsi="Arial" w:cs="Arial"/>
                <w:b/>
                <w:bCs/>
                <w:sz w:val="16"/>
                <w:szCs w:val="16"/>
              </w:rPr>
            </w:pPr>
            <w:r w:rsidRPr="00177B65">
              <w:rPr>
                <w:rFonts w:ascii="Arial" w:hAnsi="Arial" w:cs="Arial"/>
                <w:b/>
                <w:bCs/>
                <w:sz w:val="16"/>
                <w:szCs w:val="16"/>
              </w:rPr>
              <w:t>Comprehensive income</w:t>
            </w:r>
          </w:p>
        </w:tc>
        <w:tc>
          <w:tcPr>
            <w:tcW w:w="992" w:type="dxa"/>
            <w:tcBorders>
              <w:top w:val="nil"/>
              <w:left w:val="nil"/>
              <w:bottom w:val="nil"/>
              <w:right w:val="nil"/>
            </w:tcBorders>
            <w:shd w:val="clear" w:color="auto" w:fill="auto"/>
            <w:noWrap/>
            <w:vAlign w:val="bottom"/>
            <w:hideMark/>
          </w:tcPr>
          <w:p w14:paraId="039C0A2A" w14:textId="77777777" w:rsidR="006A6808" w:rsidRPr="00177B65" w:rsidRDefault="006A6808" w:rsidP="00504E31">
            <w:pPr>
              <w:spacing w:after="0" w:line="240" w:lineRule="auto"/>
              <w:jc w:val="right"/>
              <w:rPr>
                <w:rFonts w:ascii="Arial" w:hAnsi="Arial" w:cs="Arial"/>
                <w:b/>
                <w:bCs/>
                <w:sz w:val="16"/>
                <w:szCs w:val="16"/>
              </w:rPr>
            </w:pPr>
          </w:p>
        </w:tc>
        <w:tc>
          <w:tcPr>
            <w:tcW w:w="1117" w:type="dxa"/>
            <w:tcBorders>
              <w:top w:val="nil"/>
              <w:left w:val="nil"/>
              <w:bottom w:val="nil"/>
              <w:right w:val="nil"/>
            </w:tcBorders>
            <w:shd w:val="clear" w:color="auto" w:fill="auto"/>
            <w:noWrap/>
            <w:vAlign w:val="bottom"/>
            <w:hideMark/>
          </w:tcPr>
          <w:p w14:paraId="143EAD2D" w14:textId="77777777" w:rsidR="006A6808" w:rsidRPr="00177B65" w:rsidRDefault="006A6808" w:rsidP="00504E31">
            <w:pPr>
              <w:spacing w:after="0" w:line="240" w:lineRule="auto"/>
              <w:jc w:val="right"/>
              <w:rPr>
                <w:rFonts w:ascii="Arial" w:hAnsi="Arial" w:cs="Arial"/>
                <w:sz w:val="16"/>
                <w:szCs w:val="16"/>
              </w:rPr>
            </w:pPr>
          </w:p>
        </w:tc>
        <w:tc>
          <w:tcPr>
            <w:tcW w:w="1117" w:type="dxa"/>
            <w:tcBorders>
              <w:top w:val="nil"/>
              <w:left w:val="nil"/>
              <w:bottom w:val="nil"/>
              <w:right w:val="nil"/>
            </w:tcBorders>
            <w:shd w:val="clear" w:color="auto" w:fill="auto"/>
            <w:noWrap/>
            <w:vAlign w:val="bottom"/>
            <w:hideMark/>
          </w:tcPr>
          <w:p w14:paraId="43865F7F" w14:textId="77777777" w:rsidR="006A6808" w:rsidRPr="00177B65" w:rsidRDefault="006A6808" w:rsidP="00504E31">
            <w:pPr>
              <w:spacing w:after="0" w:line="240" w:lineRule="auto"/>
              <w:jc w:val="right"/>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14:paraId="150A52A9" w14:textId="77777777" w:rsidR="006A6808" w:rsidRPr="00177B65" w:rsidRDefault="006A6808" w:rsidP="00504E31">
            <w:pPr>
              <w:spacing w:after="0" w:line="240" w:lineRule="auto"/>
              <w:jc w:val="right"/>
              <w:rPr>
                <w:rFonts w:ascii="Arial" w:hAnsi="Arial" w:cs="Arial"/>
                <w:sz w:val="16"/>
                <w:szCs w:val="16"/>
              </w:rPr>
            </w:pPr>
          </w:p>
        </w:tc>
      </w:tr>
      <w:tr w:rsidR="006A6808" w:rsidRPr="00504E31" w14:paraId="23A3B484" w14:textId="77777777" w:rsidTr="00177B65">
        <w:trPr>
          <w:trHeight w:val="204"/>
        </w:trPr>
        <w:tc>
          <w:tcPr>
            <w:tcW w:w="3261" w:type="dxa"/>
            <w:tcBorders>
              <w:top w:val="nil"/>
              <w:left w:val="nil"/>
              <w:bottom w:val="nil"/>
              <w:right w:val="nil"/>
            </w:tcBorders>
            <w:shd w:val="clear" w:color="auto" w:fill="auto"/>
            <w:noWrap/>
            <w:vAlign w:val="bottom"/>
            <w:hideMark/>
          </w:tcPr>
          <w:p w14:paraId="6DD1B4D4" w14:textId="77777777" w:rsidR="006A6808" w:rsidRPr="00177B65" w:rsidRDefault="006A6808" w:rsidP="00504E31">
            <w:pPr>
              <w:spacing w:after="0" w:line="240" w:lineRule="auto"/>
              <w:ind w:left="113"/>
              <w:jc w:val="left"/>
              <w:rPr>
                <w:rFonts w:ascii="Arial" w:hAnsi="Arial" w:cs="Arial"/>
                <w:sz w:val="16"/>
                <w:szCs w:val="16"/>
              </w:rPr>
            </w:pPr>
            <w:r w:rsidRPr="00177B65">
              <w:rPr>
                <w:rFonts w:ascii="Arial" w:hAnsi="Arial" w:cs="Arial"/>
                <w:sz w:val="16"/>
                <w:szCs w:val="16"/>
              </w:rPr>
              <w:t>Surplus/(deficit) for the period</w:t>
            </w:r>
          </w:p>
        </w:tc>
        <w:tc>
          <w:tcPr>
            <w:tcW w:w="992" w:type="dxa"/>
            <w:tcBorders>
              <w:top w:val="nil"/>
              <w:left w:val="nil"/>
              <w:bottom w:val="nil"/>
              <w:right w:val="nil"/>
            </w:tcBorders>
            <w:shd w:val="clear" w:color="auto" w:fill="auto"/>
            <w:noWrap/>
            <w:vAlign w:val="bottom"/>
            <w:hideMark/>
          </w:tcPr>
          <w:p w14:paraId="21131FDB" w14:textId="77777777"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(1,100)</w:t>
            </w:r>
          </w:p>
        </w:tc>
        <w:tc>
          <w:tcPr>
            <w:tcW w:w="1117" w:type="dxa"/>
            <w:tcBorders>
              <w:top w:val="nil"/>
              <w:left w:val="nil"/>
              <w:bottom w:val="nil"/>
              <w:right w:val="nil"/>
            </w:tcBorders>
            <w:shd w:val="clear" w:color="auto" w:fill="auto"/>
            <w:noWrap/>
            <w:vAlign w:val="bottom"/>
            <w:hideMark/>
          </w:tcPr>
          <w:p w14:paraId="75B9CB54" w14:textId="50C6C83F"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w:t>
            </w:r>
          </w:p>
        </w:tc>
        <w:tc>
          <w:tcPr>
            <w:tcW w:w="1117" w:type="dxa"/>
            <w:tcBorders>
              <w:top w:val="nil"/>
              <w:left w:val="nil"/>
              <w:bottom w:val="nil"/>
              <w:right w:val="nil"/>
            </w:tcBorders>
            <w:shd w:val="clear" w:color="auto" w:fill="auto"/>
            <w:noWrap/>
            <w:vAlign w:val="bottom"/>
            <w:hideMark/>
          </w:tcPr>
          <w:p w14:paraId="73BA4D40" w14:textId="74FCF220"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w:t>
            </w:r>
          </w:p>
        </w:tc>
        <w:tc>
          <w:tcPr>
            <w:tcW w:w="1114" w:type="dxa"/>
            <w:tcBorders>
              <w:top w:val="nil"/>
              <w:left w:val="nil"/>
              <w:bottom w:val="nil"/>
              <w:right w:val="nil"/>
            </w:tcBorders>
            <w:shd w:val="clear" w:color="auto" w:fill="auto"/>
            <w:noWrap/>
            <w:vAlign w:val="bottom"/>
            <w:hideMark/>
          </w:tcPr>
          <w:p w14:paraId="4D327447" w14:textId="77777777"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(1,100)</w:t>
            </w:r>
          </w:p>
        </w:tc>
      </w:tr>
      <w:tr w:rsidR="006A6808" w:rsidRPr="00504E31" w14:paraId="53BB77DC" w14:textId="77777777" w:rsidTr="00177B65">
        <w:trPr>
          <w:trHeight w:val="204"/>
        </w:trPr>
        <w:tc>
          <w:tcPr>
            <w:tcW w:w="3261" w:type="dxa"/>
            <w:tcBorders>
              <w:top w:val="nil"/>
              <w:left w:val="nil"/>
              <w:bottom w:val="nil"/>
              <w:right w:val="nil"/>
            </w:tcBorders>
            <w:shd w:val="clear" w:color="auto" w:fill="auto"/>
            <w:noWrap/>
            <w:vAlign w:val="bottom"/>
            <w:hideMark/>
          </w:tcPr>
          <w:p w14:paraId="5A50F4EF" w14:textId="77777777" w:rsidR="006A6808" w:rsidRPr="00177B65" w:rsidRDefault="006A6808" w:rsidP="006A6808">
            <w:pPr>
              <w:spacing w:after="0" w:line="240" w:lineRule="auto"/>
              <w:jc w:val="left"/>
              <w:rPr>
                <w:rFonts w:ascii="Arial" w:hAnsi="Arial" w:cs="Arial"/>
                <w:b/>
                <w:bCs/>
                <w:sz w:val="16"/>
                <w:szCs w:val="16"/>
              </w:rPr>
            </w:pPr>
            <w:r w:rsidRPr="00177B65">
              <w:rPr>
                <w:rFonts w:ascii="Arial" w:hAnsi="Arial" w:cs="Arial"/>
                <w:b/>
                <w:bCs/>
                <w:sz w:val="16"/>
                <w:szCs w:val="16"/>
              </w:rPr>
              <w:t>Total comprehensive income</w:t>
            </w:r>
          </w:p>
        </w:tc>
        <w:tc>
          <w:tcPr>
            <w:tcW w:w="992" w:type="dxa"/>
            <w:tcBorders>
              <w:top w:val="single" w:sz="4" w:space="0" w:color="auto"/>
              <w:left w:val="nil"/>
              <w:bottom w:val="single" w:sz="4" w:space="0" w:color="auto"/>
              <w:right w:val="nil"/>
            </w:tcBorders>
            <w:shd w:val="clear" w:color="auto" w:fill="auto"/>
            <w:noWrap/>
            <w:vAlign w:val="bottom"/>
            <w:hideMark/>
          </w:tcPr>
          <w:p w14:paraId="6ED14B84" w14:textId="77777777" w:rsidR="006A6808" w:rsidRPr="00177B65" w:rsidRDefault="006A6808" w:rsidP="00504E31">
            <w:pPr>
              <w:spacing w:after="0" w:line="240" w:lineRule="auto"/>
              <w:jc w:val="right"/>
              <w:rPr>
                <w:rFonts w:ascii="Arial" w:hAnsi="Arial" w:cs="Arial"/>
                <w:b/>
                <w:bCs/>
                <w:sz w:val="16"/>
                <w:szCs w:val="16"/>
              </w:rPr>
            </w:pPr>
            <w:r w:rsidRPr="00177B65">
              <w:rPr>
                <w:rFonts w:ascii="Arial" w:hAnsi="Arial" w:cs="Arial"/>
                <w:b/>
                <w:bCs/>
                <w:sz w:val="16"/>
                <w:szCs w:val="16"/>
              </w:rPr>
              <w:t>(1,100)</w:t>
            </w:r>
          </w:p>
        </w:tc>
        <w:tc>
          <w:tcPr>
            <w:tcW w:w="1117" w:type="dxa"/>
            <w:tcBorders>
              <w:top w:val="single" w:sz="4" w:space="0" w:color="auto"/>
              <w:left w:val="nil"/>
              <w:bottom w:val="single" w:sz="4" w:space="0" w:color="auto"/>
              <w:right w:val="nil"/>
            </w:tcBorders>
            <w:shd w:val="clear" w:color="auto" w:fill="auto"/>
            <w:noWrap/>
            <w:vAlign w:val="bottom"/>
            <w:hideMark/>
          </w:tcPr>
          <w:p w14:paraId="6E4AE6DC" w14:textId="26E19C47" w:rsidR="006A6808" w:rsidRPr="00177B65" w:rsidRDefault="006A6808" w:rsidP="00504E31">
            <w:pPr>
              <w:spacing w:after="0" w:line="240" w:lineRule="auto"/>
              <w:jc w:val="right"/>
              <w:rPr>
                <w:rFonts w:ascii="Arial" w:hAnsi="Arial" w:cs="Arial"/>
                <w:b/>
                <w:bCs/>
                <w:sz w:val="16"/>
                <w:szCs w:val="16"/>
              </w:rPr>
            </w:pPr>
            <w:r w:rsidRPr="00177B65">
              <w:rPr>
                <w:rFonts w:ascii="Arial" w:hAnsi="Arial" w:cs="Arial"/>
                <w:b/>
                <w:bCs/>
                <w:sz w:val="16"/>
                <w:szCs w:val="16"/>
              </w:rPr>
              <w:t>-</w:t>
            </w:r>
          </w:p>
        </w:tc>
        <w:tc>
          <w:tcPr>
            <w:tcW w:w="1117" w:type="dxa"/>
            <w:tcBorders>
              <w:top w:val="single" w:sz="4" w:space="0" w:color="auto"/>
              <w:left w:val="nil"/>
              <w:bottom w:val="single" w:sz="4" w:space="0" w:color="auto"/>
              <w:right w:val="nil"/>
            </w:tcBorders>
            <w:shd w:val="clear" w:color="auto" w:fill="auto"/>
            <w:noWrap/>
            <w:vAlign w:val="bottom"/>
            <w:hideMark/>
          </w:tcPr>
          <w:p w14:paraId="4A8772F1" w14:textId="383523F0" w:rsidR="006A6808" w:rsidRPr="00177B65" w:rsidRDefault="006A6808" w:rsidP="00504E31">
            <w:pPr>
              <w:spacing w:after="0" w:line="240" w:lineRule="auto"/>
              <w:jc w:val="right"/>
              <w:rPr>
                <w:rFonts w:ascii="Arial" w:hAnsi="Arial" w:cs="Arial"/>
                <w:b/>
                <w:bCs/>
                <w:sz w:val="16"/>
                <w:szCs w:val="16"/>
              </w:rPr>
            </w:pPr>
            <w:r w:rsidRPr="00177B65">
              <w:rPr>
                <w:rFonts w:ascii="Arial" w:hAnsi="Arial" w:cs="Arial"/>
                <w:b/>
                <w:bCs/>
                <w:sz w:val="16"/>
                <w:szCs w:val="16"/>
              </w:rPr>
              <w:t>-</w:t>
            </w:r>
          </w:p>
        </w:tc>
        <w:tc>
          <w:tcPr>
            <w:tcW w:w="1114" w:type="dxa"/>
            <w:tcBorders>
              <w:top w:val="single" w:sz="4" w:space="0" w:color="auto"/>
              <w:left w:val="nil"/>
              <w:bottom w:val="single" w:sz="4" w:space="0" w:color="auto"/>
              <w:right w:val="nil"/>
            </w:tcBorders>
            <w:shd w:val="clear" w:color="auto" w:fill="auto"/>
            <w:noWrap/>
            <w:vAlign w:val="bottom"/>
            <w:hideMark/>
          </w:tcPr>
          <w:p w14:paraId="49516C7B" w14:textId="77777777" w:rsidR="006A6808" w:rsidRPr="00177B65" w:rsidRDefault="006A6808" w:rsidP="00504E31">
            <w:pPr>
              <w:spacing w:after="0" w:line="240" w:lineRule="auto"/>
              <w:jc w:val="right"/>
              <w:rPr>
                <w:rFonts w:ascii="Arial" w:hAnsi="Arial" w:cs="Arial"/>
                <w:b/>
                <w:bCs/>
                <w:sz w:val="16"/>
                <w:szCs w:val="16"/>
              </w:rPr>
            </w:pPr>
            <w:r w:rsidRPr="00177B65">
              <w:rPr>
                <w:rFonts w:ascii="Arial" w:hAnsi="Arial" w:cs="Arial"/>
                <w:b/>
                <w:bCs/>
                <w:sz w:val="16"/>
                <w:szCs w:val="16"/>
              </w:rPr>
              <w:t>(1,100)</w:t>
            </w:r>
          </w:p>
        </w:tc>
      </w:tr>
      <w:tr w:rsidR="006A6808" w:rsidRPr="00504E31" w14:paraId="15BAFF4E" w14:textId="77777777" w:rsidTr="00177B65">
        <w:trPr>
          <w:trHeight w:val="204"/>
        </w:trPr>
        <w:tc>
          <w:tcPr>
            <w:tcW w:w="3261" w:type="dxa"/>
            <w:tcBorders>
              <w:top w:val="nil"/>
              <w:left w:val="nil"/>
              <w:bottom w:val="nil"/>
              <w:right w:val="nil"/>
            </w:tcBorders>
            <w:shd w:val="clear" w:color="auto" w:fill="auto"/>
            <w:noWrap/>
            <w:vAlign w:val="bottom"/>
            <w:hideMark/>
          </w:tcPr>
          <w:p w14:paraId="59F21035" w14:textId="77777777" w:rsidR="006A6808" w:rsidRPr="00177B65" w:rsidRDefault="006A6808" w:rsidP="00504E31">
            <w:pPr>
              <w:spacing w:after="0" w:line="240" w:lineRule="auto"/>
              <w:ind w:left="113"/>
              <w:jc w:val="left"/>
              <w:rPr>
                <w:rFonts w:ascii="Arial" w:hAnsi="Arial" w:cs="Arial"/>
                <w:sz w:val="16"/>
                <w:szCs w:val="16"/>
              </w:rPr>
            </w:pPr>
            <w:r w:rsidRPr="00177B65">
              <w:rPr>
                <w:rFonts w:ascii="Arial" w:hAnsi="Arial" w:cs="Arial"/>
                <w:sz w:val="16"/>
                <w:szCs w:val="16"/>
              </w:rPr>
              <w:t>of which:</w:t>
            </w:r>
          </w:p>
        </w:tc>
        <w:tc>
          <w:tcPr>
            <w:tcW w:w="992" w:type="dxa"/>
            <w:tcBorders>
              <w:top w:val="nil"/>
              <w:left w:val="nil"/>
              <w:bottom w:val="nil"/>
              <w:right w:val="nil"/>
            </w:tcBorders>
            <w:shd w:val="clear" w:color="auto" w:fill="auto"/>
            <w:noWrap/>
            <w:vAlign w:val="bottom"/>
            <w:hideMark/>
          </w:tcPr>
          <w:p w14:paraId="3664A090" w14:textId="77777777" w:rsidR="006A6808" w:rsidRPr="00177B65" w:rsidRDefault="006A6808" w:rsidP="00504E31">
            <w:pPr>
              <w:spacing w:after="0" w:line="240" w:lineRule="auto"/>
              <w:ind w:firstLineChars="100" w:firstLine="160"/>
              <w:jc w:val="right"/>
              <w:rPr>
                <w:rFonts w:ascii="Arial" w:hAnsi="Arial" w:cs="Arial"/>
                <w:sz w:val="16"/>
                <w:szCs w:val="16"/>
              </w:rPr>
            </w:pPr>
          </w:p>
        </w:tc>
        <w:tc>
          <w:tcPr>
            <w:tcW w:w="1117" w:type="dxa"/>
            <w:tcBorders>
              <w:top w:val="nil"/>
              <w:left w:val="nil"/>
              <w:bottom w:val="nil"/>
              <w:right w:val="nil"/>
            </w:tcBorders>
            <w:shd w:val="clear" w:color="auto" w:fill="auto"/>
            <w:noWrap/>
            <w:vAlign w:val="bottom"/>
            <w:hideMark/>
          </w:tcPr>
          <w:p w14:paraId="4D708FF3" w14:textId="77777777" w:rsidR="006A6808" w:rsidRPr="00177B65" w:rsidRDefault="006A6808" w:rsidP="00504E31">
            <w:pPr>
              <w:spacing w:after="0" w:line="240" w:lineRule="auto"/>
              <w:jc w:val="right"/>
              <w:rPr>
                <w:rFonts w:ascii="Arial" w:hAnsi="Arial" w:cs="Arial"/>
                <w:sz w:val="16"/>
                <w:szCs w:val="16"/>
              </w:rPr>
            </w:pPr>
          </w:p>
        </w:tc>
        <w:tc>
          <w:tcPr>
            <w:tcW w:w="1117" w:type="dxa"/>
            <w:tcBorders>
              <w:top w:val="nil"/>
              <w:left w:val="nil"/>
              <w:bottom w:val="nil"/>
              <w:right w:val="nil"/>
            </w:tcBorders>
            <w:shd w:val="clear" w:color="auto" w:fill="auto"/>
            <w:noWrap/>
            <w:vAlign w:val="bottom"/>
            <w:hideMark/>
          </w:tcPr>
          <w:p w14:paraId="724F3CBC" w14:textId="77777777" w:rsidR="006A6808" w:rsidRPr="00177B65" w:rsidRDefault="006A6808" w:rsidP="00504E31">
            <w:pPr>
              <w:spacing w:after="0" w:line="240" w:lineRule="auto"/>
              <w:jc w:val="right"/>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14:paraId="64D9E1DE" w14:textId="77777777" w:rsidR="006A6808" w:rsidRPr="00177B65" w:rsidRDefault="006A6808" w:rsidP="00504E31">
            <w:pPr>
              <w:spacing w:after="0" w:line="240" w:lineRule="auto"/>
              <w:jc w:val="right"/>
              <w:rPr>
                <w:rFonts w:ascii="Arial" w:hAnsi="Arial" w:cs="Arial"/>
                <w:sz w:val="16"/>
                <w:szCs w:val="16"/>
              </w:rPr>
            </w:pPr>
          </w:p>
        </w:tc>
      </w:tr>
      <w:tr w:rsidR="006A6808" w:rsidRPr="00504E31" w14:paraId="6EA4A510" w14:textId="77777777" w:rsidTr="00177B65">
        <w:trPr>
          <w:trHeight w:val="204"/>
        </w:trPr>
        <w:tc>
          <w:tcPr>
            <w:tcW w:w="3261" w:type="dxa"/>
            <w:tcBorders>
              <w:top w:val="nil"/>
              <w:left w:val="nil"/>
              <w:bottom w:val="nil"/>
              <w:right w:val="nil"/>
            </w:tcBorders>
            <w:shd w:val="clear" w:color="auto" w:fill="auto"/>
            <w:noWrap/>
            <w:vAlign w:val="bottom"/>
            <w:hideMark/>
          </w:tcPr>
          <w:p w14:paraId="41E11E44" w14:textId="058C1D5F" w:rsidR="006A6808" w:rsidRPr="00177B65" w:rsidRDefault="006A6808" w:rsidP="00504E31">
            <w:pPr>
              <w:spacing w:after="0" w:line="240" w:lineRule="auto"/>
              <w:ind w:left="113"/>
              <w:jc w:val="left"/>
              <w:rPr>
                <w:rFonts w:ascii="Arial" w:hAnsi="Arial" w:cs="Arial"/>
                <w:sz w:val="16"/>
                <w:szCs w:val="16"/>
              </w:rPr>
            </w:pPr>
            <w:r w:rsidRPr="00177B65">
              <w:rPr>
                <w:rFonts w:ascii="Arial" w:hAnsi="Arial" w:cs="Arial"/>
                <w:sz w:val="16"/>
                <w:szCs w:val="16"/>
              </w:rPr>
              <w:t>Attributa</w:t>
            </w:r>
            <w:r w:rsidR="00504E31" w:rsidRPr="00177B65">
              <w:rPr>
                <w:rFonts w:ascii="Arial" w:hAnsi="Arial" w:cs="Arial"/>
                <w:sz w:val="16"/>
                <w:szCs w:val="16"/>
              </w:rPr>
              <w:t>ble to the Australian Governmen</w:t>
            </w:r>
            <w:r w:rsidR="009E4E81" w:rsidRPr="00177B65">
              <w:rPr>
                <w:rFonts w:ascii="Arial" w:hAnsi="Arial" w:cs="Arial"/>
                <w:sz w:val="16"/>
                <w:szCs w:val="16"/>
              </w:rPr>
              <w:t>t</w:t>
            </w:r>
          </w:p>
        </w:tc>
        <w:tc>
          <w:tcPr>
            <w:tcW w:w="992" w:type="dxa"/>
            <w:tcBorders>
              <w:top w:val="nil"/>
              <w:left w:val="nil"/>
              <w:bottom w:val="nil"/>
              <w:right w:val="nil"/>
            </w:tcBorders>
            <w:shd w:val="clear" w:color="auto" w:fill="auto"/>
            <w:noWrap/>
            <w:vAlign w:val="bottom"/>
            <w:hideMark/>
          </w:tcPr>
          <w:p w14:paraId="7452E2C1" w14:textId="77777777"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(1,100)</w:t>
            </w:r>
          </w:p>
        </w:tc>
        <w:tc>
          <w:tcPr>
            <w:tcW w:w="1117" w:type="dxa"/>
            <w:tcBorders>
              <w:top w:val="nil"/>
              <w:left w:val="nil"/>
              <w:bottom w:val="nil"/>
              <w:right w:val="nil"/>
            </w:tcBorders>
            <w:shd w:val="clear" w:color="auto" w:fill="auto"/>
            <w:noWrap/>
            <w:vAlign w:val="bottom"/>
            <w:hideMark/>
          </w:tcPr>
          <w:p w14:paraId="2AD1EDF7" w14:textId="69B0875A"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w:t>
            </w:r>
          </w:p>
        </w:tc>
        <w:tc>
          <w:tcPr>
            <w:tcW w:w="1117" w:type="dxa"/>
            <w:tcBorders>
              <w:top w:val="nil"/>
              <w:left w:val="nil"/>
              <w:bottom w:val="nil"/>
              <w:right w:val="nil"/>
            </w:tcBorders>
            <w:shd w:val="clear" w:color="auto" w:fill="auto"/>
            <w:noWrap/>
            <w:vAlign w:val="bottom"/>
            <w:hideMark/>
          </w:tcPr>
          <w:p w14:paraId="52A2ED47" w14:textId="34456761"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w:t>
            </w:r>
          </w:p>
        </w:tc>
        <w:tc>
          <w:tcPr>
            <w:tcW w:w="1114" w:type="dxa"/>
            <w:tcBorders>
              <w:top w:val="nil"/>
              <w:left w:val="nil"/>
              <w:bottom w:val="nil"/>
              <w:right w:val="nil"/>
            </w:tcBorders>
            <w:shd w:val="clear" w:color="auto" w:fill="auto"/>
            <w:noWrap/>
            <w:vAlign w:val="bottom"/>
            <w:hideMark/>
          </w:tcPr>
          <w:p w14:paraId="4F75A0BF" w14:textId="77777777" w:rsidR="006A6808" w:rsidRPr="00177B65" w:rsidRDefault="006A6808" w:rsidP="00504E31">
            <w:pPr>
              <w:spacing w:after="0" w:line="240" w:lineRule="auto"/>
              <w:jc w:val="right"/>
              <w:rPr>
                <w:rFonts w:ascii="Arial" w:hAnsi="Arial" w:cs="Arial"/>
                <w:sz w:val="16"/>
                <w:szCs w:val="16"/>
              </w:rPr>
            </w:pPr>
            <w:r w:rsidRPr="00177B65">
              <w:rPr>
                <w:rFonts w:ascii="Arial" w:hAnsi="Arial" w:cs="Arial"/>
                <w:sz w:val="16"/>
                <w:szCs w:val="16"/>
              </w:rPr>
              <w:t>(1,100)</w:t>
            </w:r>
          </w:p>
        </w:tc>
      </w:tr>
      <w:tr w:rsidR="006A6808" w:rsidRPr="00504E31" w14:paraId="0055B751" w14:textId="77777777" w:rsidTr="00177B65">
        <w:trPr>
          <w:trHeight w:val="204"/>
        </w:trPr>
        <w:tc>
          <w:tcPr>
            <w:tcW w:w="3261" w:type="dxa"/>
            <w:tcBorders>
              <w:top w:val="nil"/>
              <w:left w:val="nil"/>
              <w:bottom w:val="nil"/>
              <w:right w:val="nil"/>
            </w:tcBorders>
            <w:shd w:val="clear" w:color="auto" w:fill="auto"/>
            <w:vAlign w:val="bottom"/>
            <w:hideMark/>
          </w:tcPr>
          <w:p w14:paraId="3D5D434F" w14:textId="77777777" w:rsidR="006A6808" w:rsidRPr="00177B65" w:rsidRDefault="006A6808" w:rsidP="006A6808">
            <w:pPr>
              <w:spacing w:after="0" w:line="240" w:lineRule="auto"/>
              <w:jc w:val="left"/>
              <w:rPr>
                <w:rFonts w:ascii="Arial" w:hAnsi="Arial" w:cs="Arial"/>
                <w:b/>
                <w:bCs/>
                <w:sz w:val="16"/>
                <w:szCs w:val="16"/>
              </w:rPr>
            </w:pPr>
            <w:r w:rsidRPr="00177B65">
              <w:rPr>
                <w:rFonts w:ascii="Arial" w:hAnsi="Arial" w:cs="Arial"/>
                <w:b/>
                <w:bCs/>
                <w:sz w:val="16"/>
                <w:szCs w:val="16"/>
              </w:rPr>
              <w:t>Transactions with owners</w:t>
            </w:r>
          </w:p>
        </w:tc>
        <w:tc>
          <w:tcPr>
            <w:tcW w:w="992" w:type="dxa"/>
            <w:tcBorders>
              <w:top w:val="nil"/>
              <w:left w:val="nil"/>
              <w:bottom w:val="nil"/>
              <w:right w:val="nil"/>
            </w:tcBorders>
            <w:shd w:val="clear" w:color="auto" w:fill="auto"/>
            <w:noWrap/>
            <w:vAlign w:val="bottom"/>
            <w:hideMark/>
          </w:tcPr>
          <w:p w14:paraId="3DEC0823" w14:textId="77777777" w:rsidR="006A6808" w:rsidRPr="00177B65" w:rsidRDefault="006A6808" w:rsidP="00504E31">
            <w:pPr>
              <w:spacing w:after="0" w:line="240" w:lineRule="auto"/>
              <w:jc w:val="right"/>
              <w:rPr>
                <w:rFonts w:ascii="Arial" w:hAnsi="Arial" w:cs="Arial"/>
                <w:b/>
                <w:bCs/>
                <w:sz w:val="16"/>
                <w:szCs w:val="16"/>
              </w:rPr>
            </w:pPr>
          </w:p>
        </w:tc>
        <w:tc>
          <w:tcPr>
            <w:tcW w:w="1117" w:type="dxa"/>
            <w:tcBorders>
              <w:top w:val="nil"/>
              <w:left w:val="nil"/>
              <w:bottom w:val="nil"/>
              <w:right w:val="nil"/>
            </w:tcBorders>
            <w:shd w:val="clear" w:color="auto" w:fill="auto"/>
            <w:noWrap/>
            <w:vAlign w:val="bottom"/>
            <w:hideMark/>
          </w:tcPr>
          <w:p w14:paraId="230109C6" w14:textId="77777777" w:rsidR="006A6808" w:rsidRPr="00177B65" w:rsidRDefault="006A6808" w:rsidP="00504E31">
            <w:pPr>
              <w:spacing w:after="0" w:line="240" w:lineRule="auto"/>
              <w:jc w:val="right"/>
              <w:rPr>
                <w:rFonts w:ascii="Arial" w:hAnsi="Arial" w:cs="Arial"/>
                <w:sz w:val="16"/>
                <w:szCs w:val="16"/>
              </w:rPr>
            </w:pPr>
          </w:p>
        </w:tc>
        <w:tc>
          <w:tcPr>
            <w:tcW w:w="1117" w:type="dxa"/>
            <w:tcBorders>
              <w:top w:val="nil"/>
              <w:left w:val="nil"/>
              <w:bottom w:val="nil"/>
              <w:right w:val="nil"/>
            </w:tcBorders>
            <w:shd w:val="clear" w:color="auto" w:fill="auto"/>
            <w:noWrap/>
            <w:vAlign w:val="bottom"/>
            <w:hideMark/>
          </w:tcPr>
          <w:p w14:paraId="79E0A959" w14:textId="77777777" w:rsidR="006A6808" w:rsidRPr="00177B65" w:rsidRDefault="006A6808" w:rsidP="00504E31">
            <w:pPr>
              <w:spacing w:after="0" w:line="240" w:lineRule="auto"/>
              <w:jc w:val="right"/>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14:paraId="3ACDB2EB" w14:textId="77777777" w:rsidR="006A6808" w:rsidRPr="00177B65" w:rsidRDefault="006A6808" w:rsidP="00504E31">
            <w:pPr>
              <w:spacing w:after="0" w:line="240" w:lineRule="auto"/>
              <w:jc w:val="right"/>
              <w:rPr>
                <w:rFonts w:ascii="Arial" w:hAnsi="Arial" w:cs="Arial"/>
                <w:sz w:val="16"/>
                <w:szCs w:val="16"/>
              </w:rPr>
            </w:pPr>
          </w:p>
        </w:tc>
      </w:tr>
      <w:tr w:rsidR="006A6808" w:rsidRPr="00504E31" w14:paraId="23AD9FA0" w14:textId="77777777" w:rsidTr="00177B65">
        <w:trPr>
          <w:trHeight w:val="204"/>
        </w:trPr>
        <w:tc>
          <w:tcPr>
            <w:tcW w:w="3261" w:type="dxa"/>
            <w:tcBorders>
              <w:top w:val="nil"/>
              <w:left w:val="nil"/>
              <w:bottom w:val="nil"/>
              <w:right w:val="nil"/>
            </w:tcBorders>
            <w:shd w:val="clear" w:color="auto" w:fill="auto"/>
            <w:noWrap/>
            <w:vAlign w:val="bottom"/>
            <w:hideMark/>
          </w:tcPr>
          <w:p w14:paraId="73665F03" w14:textId="77777777" w:rsidR="006A6808" w:rsidRPr="00177B65" w:rsidRDefault="006A6808" w:rsidP="00504E31">
            <w:pPr>
              <w:spacing w:after="0" w:line="240" w:lineRule="auto"/>
              <w:ind w:left="113"/>
              <w:jc w:val="left"/>
              <w:rPr>
                <w:rFonts w:ascii="Arial" w:hAnsi="Arial" w:cs="Arial"/>
                <w:i/>
                <w:iCs/>
                <w:sz w:val="16"/>
                <w:szCs w:val="16"/>
              </w:rPr>
            </w:pPr>
            <w:r w:rsidRPr="00177B65">
              <w:rPr>
                <w:rFonts w:ascii="Arial" w:hAnsi="Arial" w:cs="Arial"/>
                <w:sz w:val="16"/>
                <w:szCs w:val="16"/>
              </w:rPr>
              <w:t>Contribution by owners</w:t>
            </w:r>
          </w:p>
        </w:tc>
        <w:tc>
          <w:tcPr>
            <w:tcW w:w="992" w:type="dxa"/>
            <w:tcBorders>
              <w:top w:val="nil"/>
              <w:left w:val="nil"/>
              <w:bottom w:val="nil"/>
              <w:right w:val="nil"/>
            </w:tcBorders>
            <w:shd w:val="clear" w:color="auto" w:fill="auto"/>
            <w:noWrap/>
            <w:vAlign w:val="bottom"/>
            <w:hideMark/>
          </w:tcPr>
          <w:p w14:paraId="3957E5F6" w14:textId="77777777" w:rsidR="006A6808" w:rsidRPr="00177B65" w:rsidRDefault="006A6808" w:rsidP="00504E31">
            <w:pPr>
              <w:spacing w:after="0" w:line="240" w:lineRule="auto"/>
              <w:ind w:firstLineChars="100" w:firstLine="160"/>
              <w:jc w:val="right"/>
              <w:rPr>
                <w:rFonts w:ascii="Arial" w:hAnsi="Arial" w:cs="Arial"/>
                <w:i/>
                <w:iCs/>
                <w:sz w:val="16"/>
                <w:szCs w:val="16"/>
              </w:rPr>
            </w:pPr>
          </w:p>
        </w:tc>
        <w:tc>
          <w:tcPr>
            <w:tcW w:w="1117" w:type="dxa"/>
            <w:tcBorders>
              <w:top w:val="nil"/>
              <w:left w:val="nil"/>
              <w:bottom w:val="nil"/>
              <w:right w:val="nil"/>
            </w:tcBorders>
            <w:shd w:val="clear" w:color="auto" w:fill="auto"/>
            <w:noWrap/>
            <w:vAlign w:val="bottom"/>
            <w:hideMark/>
          </w:tcPr>
          <w:p w14:paraId="7C1DD792" w14:textId="77777777" w:rsidR="006A6808" w:rsidRPr="00177B65" w:rsidRDefault="006A6808" w:rsidP="00504E31">
            <w:pPr>
              <w:spacing w:after="0" w:line="240" w:lineRule="auto"/>
              <w:jc w:val="right"/>
              <w:rPr>
                <w:rFonts w:ascii="Arial" w:hAnsi="Arial" w:cs="Arial"/>
                <w:sz w:val="16"/>
                <w:szCs w:val="16"/>
              </w:rPr>
            </w:pPr>
          </w:p>
        </w:tc>
        <w:tc>
          <w:tcPr>
            <w:tcW w:w="1117" w:type="dxa"/>
            <w:tcBorders>
              <w:top w:val="nil"/>
              <w:left w:val="nil"/>
              <w:bottom w:val="nil"/>
              <w:right w:val="nil"/>
            </w:tcBorders>
            <w:shd w:val="clear" w:color="auto" w:fill="auto"/>
            <w:noWrap/>
            <w:vAlign w:val="bottom"/>
            <w:hideMark/>
          </w:tcPr>
          <w:p w14:paraId="1FE3E7A3" w14:textId="77777777" w:rsidR="006A6808" w:rsidRPr="00177B65" w:rsidRDefault="006A6808" w:rsidP="00504E31">
            <w:pPr>
              <w:spacing w:after="0" w:line="240" w:lineRule="auto"/>
              <w:jc w:val="right"/>
              <w:rPr>
                <w:rFonts w:ascii="Arial" w:hAnsi="Arial" w:cs="Arial"/>
                <w:sz w:val="16"/>
                <w:szCs w:val="16"/>
              </w:rPr>
            </w:pPr>
          </w:p>
        </w:tc>
        <w:tc>
          <w:tcPr>
            <w:tcW w:w="1114" w:type="dxa"/>
            <w:tcBorders>
              <w:top w:val="nil"/>
              <w:left w:val="nil"/>
              <w:bottom w:val="nil"/>
              <w:right w:val="nil"/>
            </w:tcBorders>
            <w:shd w:val="clear" w:color="auto" w:fill="auto"/>
            <w:noWrap/>
            <w:vAlign w:val="bottom"/>
            <w:hideMark/>
          </w:tcPr>
          <w:p w14:paraId="053A2BC4" w14:textId="77777777" w:rsidR="006A6808" w:rsidRPr="00177B65" w:rsidRDefault="006A6808" w:rsidP="00504E31">
            <w:pPr>
              <w:spacing w:after="0" w:line="240" w:lineRule="auto"/>
              <w:jc w:val="right"/>
              <w:rPr>
                <w:rFonts w:ascii="Arial" w:hAnsi="Arial" w:cs="Arial"/>
                <w:sz w:val="16"/>
                <w:szCs w:val="16"/>
              </w:rPr>
            </w:pPr>
          </w:p>
        </w:tc>
      </w:tr>
      <w:tr w:rsidR="00741A8F" w:rsidRPr="00504E31" w14:paraId="6103DD03" w14:textId="77777777" w:rsidTr="00177B65">
        <w:trPr>
          <w:trHeight w:val="204"/>
        </w:trPr>
        <w:tc>
          <w:tcPr>
            <w:tcW w:w="3261" w:type="dxa"/>
            <w:tcBorders>
              <w:top w:val="nil"/>
              <w:left w:val="nil"/>
              <w:bottom w:val="nil"/>
              <w:right w:val="nil"/>
            </w:tcBorders>
            <w:shd w:val="clear" w:color="auto" w:fill="auto"/>
            <w:noWrap/>
            <w:vAlign w:val="bottom"/>
            <w:hideMark/>
          </w:tcPr>
          <w:p w14:paraId="56D1710D" w14:textId="54510520" w:rsidR="00741A8F" w:rsidRPr="00177B65" w:rsidRDefault="008863D9" w:rsidP="00741A8F">
            <w:pPr>
              <w:spacing w:after="0" w:line="240" w:lineRule="auto"/>
              <w:ind w:left="113"/>
              <w:jc w:val="left"/>
              <w:rPr>
                <w:rFonts w:ascii="Arial" w:hAnsi="Arial" w:cs="Arial"/>
                <w:sz w:val="16"/>
                <w:szCs w:val="16"/>
              </w:rPr>
            </w:pPr>
            <w:r w:rsidRPr="00177B65">
              <w:rPr>
                <w:rFonts w:ascii="Arial" w:hAnsi="Arial" w:cs="Arial"/>
                <w:sz w:val="16"/>
                <w:szCs w:val="16"/>
              </w:rPr>
              <w:t>Department</w:t>
            </w:r>
            <w:r w:rsidR="00741A8F" w:rsidRPr="00177B65">
              <w:rPr>
                <w:rFonts w:ascii="Arial" w:hAnsi="Arial" w:cs="Arial"/>
                <w:sz w:val="16"/>
                <w:szCs w:val="16"/>
              </w:rPr>
              <w:t>al Capital Budget (DCBs)</w:t>
            </w:r>
          </w:p>
        </w:tc>
        <w:tc>
          <w:tcPr>
            <w:tcW w:w="992" w:type="dxa"/>
            <w:tcBorders>
              <w:top w:val="nil"/>
              <w:left w:val="nil"/>
              <w:bottom w:val="nil"/>
              <w:right w:val="nil"/>
            </w:tcBorders>
            <w:shd w:val="clear" w:color="auto" w:fill="auto"/>
            <w:noWrap/>
            <w:vAlign w:val="bottom"/>
            <w:hideMark/>
          </w:tcPr>
          <w:p w14:paraId="3BEAD4D7" w14:textId="659BCC5A" w:rsidR="00741A8F" w:rsidRPr="00177B65" w:rsidRDefault="00741A8F" w:rsidP="00741A8F">
            <w:pPr>
              <w:spacing w:after="0" w:line="240" w:lineRule="auto"/>
              <w:jc w:val="right"/>
              <w:rPr>
                <w:rFonts w:ascii="Arial" w:hAnsi="Arial" w:cs="Arial"/>
                <w:sz w:val="16"/>
                <w:szCs w:val="16"/>
              </w:rPr>
            </w:pPr>
            <w:r w:rsidRPr="00177B65">
              <w:rPr>
                <w:rFonts w:ascii="Arial" w:hAnsi="Arial" w:cs="Arial"/>
                <w:sz w:val="16"/>
                <w:szCs w:val="16"/>
              </w:rPr>
              <w:t>-</w:t>
            </w:r>
          </w:p>
        </w:tc>
        <w:tc>
          <w:tcPr>
            <w:tcW w:w="1117" w:type="dxa"/>
            <w:tcBorders>
              <w:top w:val="nil"/>
              <w:left w:val="nil"/>
              <w:bottom w:val="nil"/>
              <w:right w:val="nil"/>
            </w:tcBorders>
            <w:shd w:val="clear" w:color="auto" w:fill="auto"/>
            <w:noWrap/>
            <w:vAlign w:val="bottom"/>
            <w:hideMark/>
          </w:tcPr>
          <w:p w14:paraId="3AF42322" w14:textId="24FB89EA" w:rsidR="00741A8F" w:rsidRPr="00177B65" w:rsidRDefault="00741A8F" w:rsidP="00741A8F">
            <w:pPr>
              <w:spacing w:after="0" w:line="240" w:lineRule="auto"/>
              <w:jc w:val="right"/>
              <w:rPr>
                <w:rFonts w:ascii="Arial" w:hAnsi="Arial" w:cs="Arial"/>
                <w:sz w:val="16"/>
                <w:szCs w:val="16"/>
              </w:rPr>
            </w:pPr>
            <w:r w:rsidRPr="00177B65">
              <w:rPr>
                <w:rFonts w:ascii="Arial" w:hAnsi="Arial" w:cs="Arial"/>
                <w:sz w:val="16"/>
                <w:szCs w:val="16"/>
              </w:rPr>
              <w:t>-</w:t>
            </w:r>
          </w:p>
        </w:tc>
        <w:tc>
          <w:tcPr>
            <w:tcW w:w="1117" w:type="dxa"/>
            <w:tcBorders>
              <w:top w:val="nil"/>
              <w:left w:val="nil"/>
              <w:bottom w:val="nil"/>
              <w:right w:val="nil"/>
            </w:tcBorders>
            <w:shd w:val="clear" w:color="auto" w:fill="auto"/>
            <w:noWrap/>
            <w:vAlign w:val="bottom"/>
            <w:hideMark/>
          </w:tcPr>
          <w:p w14:paraId="42F49FD3" w14:textId="798FC2C8" w:rsidR="00741A8F" w:rsidRPr="00177B65" w:rsidRDefault="00741A8F" w:rsidP="00741A8F">
            <w:pPr>
              <w:spacing w:after="0" w:line="240" w:lineRule="auto"/>
              <w:jc w:val="right"/>
              <w:rPr>
                <w:rFonts w:ascii="Arial" w:hAnsi="Arial" w:cs="Arial"/>
                <w:sz w:val="16"/>
                <w:szCs w:val="16"/>
              </w:rPr>
            </w:pPr>
            <w:r w:rsidRPr="00177B65">
              <w:rPr>
                <w:rFonts w:ascii="Arial" w:hAnsi="Arial" w:cs="Arial"/>
                <w:sz w:val="16"/>
                <w:szCs w:val="16"/>
              </w:rPr>
              <w:t>4,161</w:t>
            </w:r>
          </w:p>
        </w:tc>
        <w:tc>
          <w:tcPr>
            <w:tcW w:w="1114" w:type="dxa"/>
            <w:tcBorders>
              <w:top w:val="nil"/>
              <w:left w:val="nil"/>
              <w:bottom w:val="nil"/>
              <w:right w:val="nil"/>
            </w:tcBorders>
            <w:shd w:val="clear" w:color="auto" w:fill="auto"/>
            <w:noWrap/>
            <w:vAlign w:val="bottom"/>
            <w:hideMark/>
          </w:tcPr>
          <w:p w14:paraId="3DA43EA4" w14:textId="36D3D8EB" w:rsidR="00741A8F" w:rsidRPr="00177B65" w:rsidRDefault="00741A8F" w:rsidP="00741A8F">
            <w:pPr>
              <w:spacing w:after="0" w:line="240" w:lineRule="auto"/>
              <w:jc w:val="right"/>
              <w:rPr>
                <w:rFonts w:ascii="Arial" w:hAnsi="Arial" w:cs="Arial"/>
                <w:sz w:val="16"/>
                <w:szCs w:val="16"/>
              </w:rPr>
            </w:pPr>
            <w:r w:rsidRPr="00177B65">
              <w:rPr>
                <w:rFonts w:ascii="Arial" w:hAnsi="Arial" w:cs="Arial"/>
                <w:sz w:val="16"/>
                <w:szCs w:val="16"/>
              </w:rPr>
              <w:t>4,161</w:t>
            </w:r>
          </w:p>
        </w:tc>
      </w:tr>
      <w:tr w:rsidR="00741A8F" w:rsidRPr="00504E31" w14:paraId="5AEFEFEB" w14:textId="77777777" w:rsidTr="00177B65">
        <w:trPr>
          <w:trHeight w:val="204"/>
        </w:trPr>
        <w:tc>
          <w:tcPr>
            <w:tcW w:w="3261" w:type="dxa"/>
            <w:tcBorders>
              <w:top w:val="nil"/>
              <w:left w:val="nil"/>
              <w:bottom w:val="nil"/>
              <w:right w:val="nil"/>
            </w:tcBorders>
            <w:shd w:val="clear" w:color="auto" w:fill="auto"/>
            <w:noWrap/>
            <w:vAlign w:val="bottom"/>
            <w:hideMark/>
          </w:tcPr>
          <w:p w14:paraId="6C42A836" w14:textId="77777777" w:rsidR="00741A8F" w:rsidRPr="00177B65" w:rsidRDefault="00741A8F" w:rsidP="00741A8F">
            <w:pPr>
              <w:spacing w:after="0" w:line="240" w:lineRule="auto"/>
              <w:jc w:val="left"/>
              <w:rPr>
                <w:rFonts w:ascii="Arial" w:hAnsi="Arial" w:cs="Arial"/>
                <w:b/>
                <w:bCs/>
                <w:sz w:val="16"/>
                <w:szCs w:val="16"/>
              </w:rPr>
            </w:pPr>
            <w:r w:rsidRPr="00177B65">
              <w:rPr>
                <w:rFonts w:ascii="Arial" w:hAnsi="Arial" w:cs="Arial"/>
                <w:b/>
                <w:bCs/>
                <w:sz w:val="16"/>
                <w:szCs w:val="16"/>
              </w:rPr>
              <w:t>Sub-total transactions with owners</w:t>
            </w:r>
          </w:p>
        </w:tc>
        <w:tc>
          <w:tcPr>
            <w:tcW w:w="992" w:type="dxa"/>
            <w:tcBorders>
              <w:top w:val="single" w:sz="4" w:space="0" w:color="auto"/>
              <w:left w:val="nil"/>
              <w:bottom w:val="single" w:sz="4" w:space="0" w:color="auto"/>
              <w:right w:val="nil"/>
            </w:tcBorders>
            <w:shd w:val="clear" w:color="auto" w:fill="auto"/>
            <w:noWrap/>
            <w:vAlign w:val="bottom"/>
            <w:hideMark/>
          </w:tcPr>
          <w:p w14:paraId="543BFD94" w14:textId="587E3F8A" w:rsidR="00741A8F" w:rsidRPr="00177B65" w:rsidRDefault="00741A8F" w:rsidP="00741A8F">
            <w:pPr>
              <w:spacing w:after="0" w:line="240" w:lineRule="auto"/>
              <w:jc w:val="right"/>
              <w:rPr>
                <w:rFonts w:ascii="Arial" w:hAnsi="Arial" w:cs="Arial"/>
                <w:b/>
                <w:bCs/>
                <w:sz w:val="16"/>
                <w:szCs w:val="16"/>
              </w:rPr>
            </w:pPr>
            <w:r w:rsidRPr="00177B65">
              <w:rPr>
                <w:rFonts w:ascii="Arial" w:hAnsi="Arial" w:cs="Arial"/>
                <w:b/>
                <w:bCs/>
                <w:sz w:val="16"/>
                <w:szCs w:val="16"/>
              </w:rPr>
              <w:t>-</w:t>
            </w:r>
          </w:p>
        </w:tc>
        <w:tc>
          <w:tcPr>
            <w:tcW w:w="1117" w:type="dxa"/>
            <w:tcBorders>
              <w:top w:val="single" w:sz="4" w:space="0" w:color="auto"/>
              <w:left w:val="nil"/>
              <w:bottom w:val="single" w:sz="4" w:space="0" w:color="auto"/>
              <w:right w:val="nil"/>
            </w:tcBorders>
            <w:shd w:val="clear" w:color="auto" w:fill="auto"/>
            <w:noWrap/>
            <w:vAlign w:val="bottom"/>
            <w:hideMark/>
          </w:tcPr>
          <w:p w14:paraId="1C7BE837" w14:textId="7E586AAB" w:rsidR="00741A8F" w:rsidRPr="00177B65" w:rsidRDefault="00741A8F" w:rsidP="00741A8F">
            <w:pPr>
              <w:spacing w:after="0" w:line="240" w:lineRule="auto"/>
              <w:jc w:val="right"/>
              <w:rPr>
                <w:rFonts w:ascii="Arial" w:hAnsi="Arial" w:cs="Arial"/>
                <w:b/>
                <w:bCs/>
                <w:sz w:val="16"/>
                <w:szCs w:val="16"/>
              </w:rPr>
            </w:pPr>
            <w:r w:rsidRPr="00177B65">
              <w:rPr>
                <w:rFonts w:ascii="Arial" w:hAnsi="Arial" w:cs="Arial"/>
                <w:b/>
                <w:bCs/>
                <w:sz w:val="16"/>
                <w:szCs w:val="16"/>
              </w:rPr>
              <w:t>-</w:t>
            </w:r>
          </w:p>
        </w:tc>
        <w:tc>
          <w:tcPr>
            <w:tcW w:w="1117" w:type="dxa"/>
            <w:tcBorders>
              <w:top w:val="single" w:sz="4" w:space="0" w:color="auto"/>
              <w:left w:val="nil"/>
              <w:bottom w:val="single" w:sz="4" w:space="0" w:color="auto"/>
              <w:right w:val="nil"/>
            </w:tcBorders>
            <w:shd w:val="clear" w:color="auto" w:fill="auto"/>
            <w:noWrap/>
            <w:vAlign w:val="bottom"/>
            <w:hideMark/>
          </w:tcPr>
          <w:p w14:paraId="58884A77" w14:textId="630098C5" w:rsidR="00741A8F" w:rsidRPr="00177B65" w:rsidRDefault="00741A8F" w:rsidP="00741A8F">
            <w:pPr>
              <w:spacing w:after="0" w:line="240" w:lineRule="auto"/>
              <w:jc w:val="right"/>
              <w:rPr>
                <w:rFonts w:ascii="Arial" w:hAnsi="Arial" w:cs="Arial"/>
                <w:b/>
                <w:bCs/>
                <w:sz w:val="16"/>
                <w:szCs w:val="16"/>
              </w:rPr>
            </w:pPr>
            <w:r w:rsidRPr="00177B65">
              <w:rPr>
                <w:rFonts w:ascii="Arial" w:hAnsi="Arial" w:cs="Arial"/>
                <w:b/>
                <w:bCs/>
                <w:sz w:val="16"/>
                <w:szCs w:val="16"/>
              </w:rPr>
              <w:t>4,161</w:t>
            </w:r>
          </w:p>
        </w:tc>
        <w:tc>
          <w:tcPr>
            <w:tcW w:w="1114" w:type="dxa"/>
            <w:tcBorders>
              <w:top w:val="single" w:sz="4" w:space="0" w:color="auto"/>
              <w:left w:val="nil"/>
              <w:bottom w:val="single" w:sz="4" w:space="0" w:color="auto"/>
              <w:right w:val="nil"/>
            </w:tcBorders>
            <w:shd w:val="clear" w:color="auto" w:fill="auto"/>
            <w:noWrap/>
            <w:vAlign w:val="bottom"/>
            <w:hideMark/>
          </w:tcPr>
          <w:p w14:paraId="7F9D91D1" w14:textId="36A1A807" w:rsidR="00741A8F" w:rsidRPr="00177B65" w:rsidRDefault="00741A8F" w:rsidP="00741A8F">
            <w:pPr>
              <w:spacing w:after="0" w:line="240" w:lineRule="auto"/>
              <w:jc w:val="right"/>
              <w:rPr>
                <w:rFonts w:ascii="Arial" w:hAnsi="Arial" w:cs="Arial"/>
                <w:b/>
                <w:bCs/>
                <w:sz w:val="16"/>
                <w:szCs w:val="16"/>
              </w:rPr>
            </w:pPr>
            <w:r w:rsidRPr="00177B65">
              <w:rPr>
                <w:rFonts w:ascii="Arial" w:hAnsi="Arial" w:cs="Arial"/>
                <w:b/>
                <w:bCs/>
                <w:sz w:val="16"/>
                <w:szCs w:val="16"/>
              </w:rPr>
              <w:t>4,161</w:t>
            </w:r>
          </w:p>
        </w:tc>
      </w:tr>
      <w:tr w:rsidR="006A6808" w:rsidRPr="00504E31" w14:paraId="3984CD01" w14:textId="77777777" w:rsidTr="00177B65">
        <w:trPr>
          <w:trHeight w:val="204"/>
        </w:trPr>
        <w:tc>
          <w:tcPr>
            <w:tcW w:w="3261" w:type="dxa"/>
            <w:tcBorders>
              <w:top w:val="nil"/>
              <w:left w:val="nil"/>
              <w:bottom w:val="single" w:sz="4" w:space="0" w:color="auto"/>
              <w:right w:val="nil"/>
            </w:tcBorders>
            <w:shd w:val="clear" w:color="auto" w:fill="auto"/>
            <w:vAlign w:val="bottom"/>
            <w:hideMark/>
          </w:tcPr>
          <w:p w14:paraId="41D3E0EA" w14:textId="77777777" w:rsidR="006A6808" w:rsidRPr="00177B65" w:rsidRDefault="006A6808" w:rsidP="006A6808">
            <w:pPr>
              <w:spacing w:after="0" w:line="240" w:lineRule="auto"/>
              <w:jc w:val="left"/>
              <w:rPr>
                <w:rFonts w:ascii="Arial" w:hAnsi="Arial" w:cs="Arial"/>
                <w:b/>
                <w:bCs/>
                <w:sz w:val="16"/>
                <w:szCs w:val="16"/>
              </w:rPr>
            </w:pPr>
            <w:r w:rsidRPr="00177B65">
              <w:rPr>
                <w:rFonts w:ascii="Arial" w:hAnsi="Arial" w:cs="Arial"/>
                <w:b/>
                <w:bCs/>
                <w:sz w:val="16"/>
                <w:szCs w:val="16"/>
              </w:rPr>
              <w:t>Closing balance attributable to the Australian Government</w:t>
            </w:r>
          </w:p>
        </w:tc>
        <w:tc>
          <w:tcPr>
            <w:tcW w:w="992" w:type="dxa"/>
            <w:tcBorders>
              <w:top w:val="single" w:sz="4" w:space="0" w:color="auto"/>
              <w:left w:val="nil"/>
              <w:bottom w:val="single" w:sz="4" w:space="0" w:color="auto"/>
              <w:right w:val="nil"/>
            </w:tcBorders>
            <w:shd w:val="clear" w:color="auto" w:fill="auto"/>
            <w:noWrap/>
            <w:vAlign w:val="bottom"/>
            <w:hideMark/>
          </w:tcPr>
          <w:p w14:paraId="786842FA" w14:textId="77777777" w:rsidR="006A6808" w:rsidRPr="00177B65" w:rsidRDefault="006A6808" w:rsidP="00504E31">
            <w:pPr>
              <w:spacing w:after="0" w:line="240" w:lineRule="auto"/>
              <w:jc w:val="right"/>
              <w:rPr>
                <w:rFonts w:ascii="Arial" w:hAnsi="Arial" w:cs="Arial"/>
                <w:b/>
                <w:bCs/>
                <w:sz w:val="16"/>
                <w:szCs w:val="16"/>
              </w:rPr>
            </w:pPr>
            <w:r w:rsidRPr="00177B65">
              <w:rPr>
                <w:rFonts w:ascii="Arial" w:hAnsi="Arial" w:cs="Arial"/>
                <w:b/>
                <w:bCs/>
                <w:sz w:val="16"/>
                <w:szCs w:val="16"/>
              </w:rPr>
              <w:t>(10,750)</w:t>
            </w:r>
          </w:p>
        </w:tc>
        <w:tc>
          <w:tcPr>
            <w:tcW w:w="1117" w:type="dxa"/>
            <w:tcBorders>
              <w:top w:val="single" w:sz="4" w:space="0" w:color="auto"/>
              <w:left w:val="nil"/>
              <w:bottom w:val="single" w:sz="4" w:space="0" w:color="auto"/>
              <w:right w:val="nil"/>
            </w:tcBorders>
            <w:shd w:val="clear" w:color="auto" w:fill="auto"/>
            <w:noWrap/>
            <w:vAlign w:val="bottom"/>
            <w:hideMark/>
          </w:tcPr>
          <w:p w14:paraId="52DE6615" w14:textId="2B895965" w:rsidR="006A6808" w:rsidRPr="00177B65" w:rsidRDefault="006A6808" w:rsidP="00504E31">
            <w:pPr>
              <w:spacing w:after="0" w:line="240" w:lineRule="auto"/>
              <w:jc w:val="right"/>
              <w:rPr>
                <w:rFonts w:ascii="Arial" w:hAnsi="Arial" w:cs="Arial"/>
                <w:b/>
                <w:bCs/>
                <w:sz w:val="16"/>
                <w:szCs w:val="16"/>
              </w:rPr>
            </w:pPr>
            <w:r w:rsidRPr="00177B65">
              <w:rPr>
                <w:rFonts w:ascii="Arial" w:hAnsi="Arial" w:cs="Arial"/>
                <w:b/>
                <w:bCs/>
                <w:sz w:val="16"/>
                <w:szCs w:val="16"/>
              </w:rPr>
              <w:t>9,186</w:t>
            </w:r>
          </w:p>
        </w:tc>
        <w:tc>
          <w:tcPr>
            <w:tcW w:w="1117" w:type="dxa"/>
            <w:tcBorders>
              <w:top w:val="single" w:sz="4" w:space="0" w:color="auto"/>
              <w:left w:val="nil"/>
              <w:bottom w:val="single" w:sz="4" w:space="0" w:color="auto"/>
              <w:right w:val="nil"/>
            </w:tcBorders>
            <w:shd w:val="clear" w:color="auto" w:fill="auto"/>
            <w:noWrap/>
            <w:vAlign w:val="bottom"/>
            <w:hideMark/>
          </w:tcPr>
          <w:p w14:paraId="38FF17CF" w14:textId="26BEDEAA" w:rsidR="006A6808" w:rsidRPr="00177B65" w:rsidRDefault="00741A8F" w:rsidP="00741A8F">
            <w:pPr>
              <w:spacing w:after="0" w:line="240" w:lineRule="auto"/>
              <w:jc w:val="right"/>
              <w:rPr>
                <w:rFonts w:ascii="Arial" w:hAnsi="Arial" w:cs="Arial"/>
                <w:b/>
                <w:bCs/>
                <w:sz w:val="16"/>
                <w:szCs w:val="16"/>
              </w:rPr>
            </w:pPr>
            <w:r w:rsidRPr="00177B65">
              <w:rPr>
                <w:rFonts w:ascii="Arial" w:hAnsi="Arial" w:cs="Arial"/>
                <w:b/>
                <w:bCs/>
                <w:sz w:val="16"/>
                <w:szCs w:val="16"/>
              </w:rPr>
              <w:t>20</w:t>
            </w:r>
            <w:r w:rsidR="006A6808" w:rsidRPr="00177B65">
              <w:rPr>
                <w:rFonts w:ascii="Arial" w:hAnsi="Arial" w:cs="Arial"/>
                <w:b/>
                <w:bCs/>
                <w:sz w:val="16"/>
                <w:szCs w:val="16"/>
              </w:rPr>
              <w:t>,</w:t>
            </w:r>
            <w:r w:rsidRPr="00177B65">
              <w:rPr>
                <w:rFonts w:ascii="Arial" w:hAnsi="Arial" w:cs="Arial"/>
                <w:b/>
                <w:bCs/>
                <w:sz w:val="16"/>
                <w:szCs w:val="16"/>
              </w:rPr>
              <w:t>2</w:t>
            </w:r>
            <w:r w:rsidR="006A6808" w:rsidRPr="00177B65">
              <w:rPr>
                <w:rFonts w:ascii="Arial" w:hAnsi="Arial" w:cs="Arial"/>
                <w:b/>
                <w:bCs/>
                <w:sz w:val="16"/>
                <w:szCs w:val="16"/>
              </w:rPr>
              <w:t>39</w:t>
            </w:r>
          </w:p>
        </w:tc>
        <w:tc>
          <w:tcPr>
            <w:tcW w:w="1114" w:type="dxa"/>
            <w:tcBorders>
              <w:top w:val="single" w:sz="4" w:space="0" w:color="auto"/>
              <w:left w:val="nil"/>
              <w:bottom w:val="single" w:sz="4" w:space="0" w:color="auto"/>
              <w:right w:val="nil"/>
            </w:tcBorders>
            <w:shd w:val="clear" w:color="auto" w:fill="auto"/>
            <w:noWrap/>
            <w:vAlign w:val="bottom"/>
            <w:hideMark/>
          </w:tcPr>
          <w:p w14:paraId="2D41346C" w14:textId="57677845" w:rsidR="006A6808" w:rsidRPr="00177B65" w:rsidRDefault="00741A8F" w:rsidP="00504E31">
            <w:pPr>
              <w:spacing w:after="0" w:line="240" w:lineRule="auto"/>
              <w:jc w:val="right"/>
              <w:rPr>
                <w:rFonts w:ascii="Arial" w:hAnsi="Arial" w:cs="Arial"/>
                <w:b/>
                <w:bCs/>
                <w:sz w:val="16"/>
                <w:szCs w:val="16"/>
              </w:rPr>
            </w:pPr>
            <w:r w:rsidRPr="00177B65">
              <w:rPr>
                <w:rFonts w:ascii="Arial" w:hAnsi="Arial" w:cs="Arial"/>
                <w:b/>
                <w:bCs/>
                <w:sz w:val="16"/>
                <w:szCs w:val="16"/>
              </w:rPr>
              <w:t>18,675</w:t>
            </w:r>
          </w:p>
        </w:tc>
      </w:tr>
    </w:tbl>
    <w:p w14:paraId="31C5A22C" w14:textId="77777777" w:rsidR="00D129D0" w:rsidRPr="00D129D0" w:rsidRDefault="00D129D0" w:rsidP="0002571F">
      <w:pPr>
        <w:pStyle w:val="TableGraphic"/>
        <w:spacing w:before="60"/>
        <w:jc w:val="left"/>
        <w:rPr>
          <w:rFonts w:ascii="Arial" w:hAnsi="Arial" w:cs="Arial"/>
          <w:i w:val="0"/>
          <w:snapToGrid w:val="0"/>
          <w:color w:val="auto"/>
          <w:sz w:val="16"/>
          <w:szCs w:val="16"/>
        </w:rPr>
      </w:pPr>
      <w:r w:rsidRPr="00D129D0">
        <w:rPr>
          <w:rFonts w:ascii="Arial" w:hAnsi="Arial" w:cs="Arial"/>
          <w:i w:val="0"/>
          <w:snapToGrid w:val="0"/>
          <w:color w:val="auto"/>
          <w:sz w:val="16"/>
          <w:szCs w:val="16"/>
        </w:rPr>
        <w:t>Prepared on Australian Accounting Standards basis.</w:t>
      </w:r>
    </w:p>
    <w:p w14:paraId="19F752D0" w14:textId="77777777" w:rsidR="006A6808" w:rsidRDefault="006A6808">
      <w:pPr>
        <w:spacing w:after="0" w:line="240" w:lineRule="auto"/>
        <w:jc w:val="left"/>
        <w:rPr>
          <w:lang w:val="x-none"/>
        </w:rPr>
      </w:pPr>
      <w:r>
        <w:rPr>
          <w:lang w:val="x-none"/>
        </w:rPr>
        <w:br w:type="page"/>
      </w:r>
    </w:p>
    <w:p w14:paraId="0F596515" w14:textId="4FD4B392" w:rsidR="00914885" w:rsidRDefault="00914885" w:rsidP="00914885">
      <w:pPr>
        <w:pStyle w:val="TableHeading"/>
        <w:spacing w:before="0"/>
        <w:rPr>
          <w:lang w:val="en-AU"/>
        </w:rPr>
      </w:pPr>
      <w:r>
        <w:rPr>
          <w:snapToGrid w:val="0"/>
        </w:rPr>
        <w:lastRenderedPageBreak/>
        <w:t>Table 3</w:t>
      </w:r>
      <w:r w:rsidRPr="00014438">
        <w:rPr>
          <w:snapToGrid w:val="0"/>
        </w:rPr>
        <w:t>.</w:t>
      </w:r>
      <w:r>
        <w:rPr>
          <w:snapToGrid w:val="0"/>
        </w:rPr>
        <w:t>5</w:t>
      </w:r>
      <w:r w:rsidRPr="00014438">
        <w:rPr>
          <w:snapToGrid w:val="0"/>
        </w:rPr>
        <w:t xml:space="preserve">: Budgeted </w:t>
      </w:r>
      <w:r w:rsidR="008863D9">
        <w:rPr>
          <w:snapToGrid w:val="0"/>
        </w:rPr>
        <w:t>Department</w:t>
      </w:r>
      <w:r w:rsidRPr="00014438">
        <w:rPr>
          <w:snapToGrid w:val="0"/>
        </w:rPr>
        <w:t xml:space="preserve">al </w:t>
      </w:r>
      <w:r>
        <w:rPr>
          <w:snapToGrid w:val="0"/>
        </w:rPr>
        <w:t>s</w:t>
      </w:r>
      <w:r w:rsidRPr="00014438">
        <w:rPr>
          <w:snapToGrid w:val="0"/>
        </w:rPr>
        <w:t xml:space="preserve">tatement of </w:t>
      </w:r>
      <w:r>
        <w:rPr>
          <w:snapToGrid w:val="0"/>
        </w:rPr>
        <w:t>c</w:t>
      </w:r>
      <w:r w:rsidRPr="00014438">
        <w:rPr>
          <w:snapToGrid w:val="0"/>
        </w:rPr>
        <w:t xml:space="preserve">ash </w:t>
      </w:r>
      <w:r>
        <w:rPr>
          <w:snapToGrid w:val="0"/>
        </w:rPr>
        <w:t>f</w:t>
      </w:r>
      <w:r w:rsidRPr="00014438">
        <w:rPr>
          <w:snapToGrid w:val="0"/>
        </w:rPr>
        <w:t>lows (</w:t>
      </w:r>
      <w:r>
        <w:rPr>
          <w:snapToGrid w:val="0"/>
          <w:lang w:val="en-AU"/>
        </w:rPr>
        <w:t>for the period ended</w:t>
      </w:r>
      <w:r w:rsidRPr="00014438">
        <w:rPr>
          <w:snapToGrid w:val="0"/>
        </w:rPr>
        <w:t xml:space="preserve"> 30 June)</w:t>
      </w:r>
    </w:p>
    <w:tbl>
      <w:tblPr>
        <w:tblW w:w="7489" w:type="dxa"/>
        <w:tblLook w:val="04A0" w:firstRow="1" w:lastRow="0" w:firstColumn="1" w:lastColumn="0" w:noHBand="0" w:noVBand="1"/>
      </w:tblPr>
      <w:tblGrid>
        <w:gridCol w:w="2410"/>
        <w:gridCol w:w="851"/>
        <w:gridCol w:w="1057"/>
        <w:gridCol w:w="1057"/>
        <w:gridCol w:w="1057"/>
        <w:gridCol w:w="1057"/>
      </w:tblGrid>
      <w:tr w:rsidR="002367A2" w:rsidRPr="00504E31" w14:paraId="2AB8E4F9" w14:textId="77777777" w:rsidTr="002367A2">
        <w:trPr>
          <w:trHeight w:val="240"/>
        </w:trPr>
        <w:tc>
          <w:tcPr>
            <w:tcW w:w="2410" w:type="dxa"/>
            <w:tcBorders>
              <w:top w:val="single" w:sz="4" w:space="0" w:color="auto"/>
              <w:left w:val="nil"/>
              <w:bottom w:val="nil"/>
              <w:right w:val="nil"/>
            </w:tcBorders>
            <w:shd w:val="clear" w:color="auto" w:fill="auto"/>
            <w:noWrap/>
            <w:hideMark/>
          </w:tcPr>
          <w:p w14:paraId="6F7D56C9" w14:textId="77777777" w:rsidR="002367A2" w:rsidRPr="00504E31" w:rsidRDefault="002367A2" w:rsidP="002367A2">
            <w:pPr>
              <w:spacing w:after="0" w:line="240" w:lineRule="auto"/>
              <w:jc w:val="left"/>
              <w:rPr>
                <w:rFonts w:ascii="Arial" w:hAnsi="Arial" w:cs="Arial"/>
                <w:color w:val="000000"/>
                <w:sz w:val="16"/>
                <w:szCs w:val="16"/>
              </w:rPr>
            </w:pPr>
            <w:r w:rsidRPr="00504E31">
              <w:rPr>
                <w:rFonts w:ascii="Arial" w:hAnsi="Arial" w:cs="Arial"/>
                <w:color w:val="000000"/>
                <w:sz w:val="16"/>
                <w:szCs w:val="16"/>
              </w:rPr>
              <w:t> </w:t>
            </w:r>
          </w:p>
        </w:tc>
        <w:tc>
          <w:tcPr>
            <w:tcW w:w="851" w:type="dxa"/>
            <w:tcBorders>
              <w:top w:val="single" w:sz="4" w:space="0" w:color="auto"/>
              <w:left w:val="nil"/>
              <w:bottom w:val="single" w:sz="4" w:space="0" w:color="auto"/>
              <w:right w:val="nil"/>
            </w:tcBorders>
            <w:shd w:val="clear" w:color="auto" w:fill="auto"/>
            <w:hideMark/>
          </w:tcPr>
          <w:p w14:paraId="3677597A" w14:textId="77B77D67" w:rsidR="002367A2" w:rsidRPr="00504E31"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2020-21 Actual</w:t>
            </w:r>
            <w:r w:rsidRPr="004349E0">
              <w:rPr>
                <w:rFonts w:ascii="Arial" w:hAnsi="Arial" w:cs="Arial"/>
                <w:sz w:val="16"/>
                <w:szCs w:val="16"/>
              </w:rPr>
              <w:br/>
            </w:r>
            <w:r w:rsidRPr="004349E0">
              <w:rPr>
                <w:rFonts w:ascii="Arial" w:hAnsi="Arial" w:cs="Arial"/>
                <w:sz w:val="16"/>
                <w:szCs w:val="16"/>
              </w:rPr>
              <w:br/>
              <w:t>$'000</w:t>
            </w:r>
          </w:p>
        </w:tc>
        <w:tc>
          <w:tcPr>
            <w:tcW w:w="1057" w:type="dxa"/>
            <w:tcBorders>
              <w:top w:val="single" w:sz="4" w:space="0" w:color="auto"/>
              <w:left w:val="nil"/>
              <w:bottom w:val="single" w:sz="4" w:space="0" w:color="auto"/>
              <w:right w:val="nil"/>
            </w:tcBorders>
            <w:shd w:val="clear" w:color="000000" w:fill="E6E6E6"/>
            <w:hideMark/>
          </w:tcPr>
          <w:p w14:paraId="1BB06BEC" w14:textId="63EE98B8" w:rsidR="002367A2" w:rsidRPr="00504E31"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2021-22</w:t>
            </w:r>
            <w:r w:rsidRPr="004349E0">
              <w:rPr>
                <w:rFonts w:ascii="Arial" w:hAnsi="Arial" w:cs="Arial"/>
                <w:sz w:val="16"/>
                <w:szCs w:val="16"/>
              </w:rPr>
              <w:br/>
              <w:t>Revised Budget</w:t>
            </w:r>
            <w:r w:rsidRPr="004349E0">
              <w:rPr>
                <w:rFonts w:ascii="Arial" w:hAnsi="Arial" w:cs="Arial"/>
                <w:sz w:val="16"/>
                <w:szCs w:val="16"/>
              </w:rPr>
              <w:br/>
              <w:t>$'000</w:t>
            </w:r>
          </w:p>
        </w:tc>
        <w:tc>
          <w:tcPr>
            <w:tcW w:w="1057" w:type="dxa"/>
            <w:tcBorders>
              <w:top w:val="single" w:sz="4" w:space="0" w:color="auto"/>
              <w:left w:val="nil"/>
              <w:bottom w:val="single" w:sz="4" w:space="0" w:color="auto"/>
              <w:right w:val="nil"/>
            </w:tcBorders>
            <w:shd w:val="clear" w:color="auto" w:fill="auto"/>
            <w:hideMark/>
          </w:tcPr>
          <w:p w14:paraId="5A2904F7" w14:textId="012E93ED" w:rsidR="002367A2" w:rsidRPr="00504E31"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2022-23 Forward estimate</w:t>
            </w:r>
            <w:r w:rsidRPr="004349E0">
              <w:rPr>
                <w:rFonts w:ascii="Arial" w:hAnsi="Arial" w:cs="Arial"/>
                <w:sz w:val="16"/>
                <w:szCs w:val="16"/>
              </w:rPr>
              <w:br/>
              <w:t>$'000</w:t>
            </w:r>
          </w:p>
        </w:tc>
        <w:tc>
          <w:tcPr>
            <w:tcW w:w="1057" w:type="dxa"/>
            <w:tcBorders>
              <w:top w:val="single" w:sz="4" w:space="0" w:color="auto"/>
              <w:left w:val="nil"/>
              <w:bottom w:val="single" w:sz="4" w:space="0" w:color="auto"/>
              <w:right w:val="nil"/>
            </w:tcBorders>
            <w:shd w:val="clear" w:color="auto" w:fill="auto"/>
            <w:hideMark/>
          </w:tcPr>
          <w:p w14:paraId="72B05577" w14:textId="20EC1EF3" w:rsidR="002367A2" w:rsidRPr="00504E31"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2023-24 Forward estimate</w:t>
            </w:r>
            <w:r w:rsidRPr="004349E0">
              <w:rPr>
                <w:rFonts w:ascii="Arial" w:hAnsi="Arial" w:cs="Arial"/>
                <w:sz w:val="16"/>
                <w:szCs w:val="16"/>
              </w:rPr>
              <w:br/>
              <w:t>$'000</w:t>
            </w:r>
          </w:p>
        </w:tc>
        <w:tc>
          <w:tcPr>
            <w:tcW w:w="1057" w:type="dxa"/>
            <w:tcBorders>
              <w:top w:val="single" w:sz="4" w:space="0" w:color="auto"/>
              <w:left w:val="nil"/>
              <w:bottom w:val="single" w:sz="4" w:space="0" w:color="auto"/>
              <w:right w:val="nil"/>
            </w:tcBorders>
            <w:shd w:val="clear" w:color="auto" w:fill="auto"/>
            <w:hideMark/>
          </w:tcPr>
          <w:p w14:paraId="71CB98FC" w14:textId="54E708A1" w:rsidR="002367A2" w:rsidRPr="00504E31"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2024-25</w:t>
            </w:r>
            <w:r w:rsidRPr="004349E0">
              <w:rPr>
                <w:rFonts w:ascii="Arial" w:hAnsi="Arial" w:cs="Arial"/>
                <w:sz w:val="16"/>
                <w:szCs w:val="16"/>
              </w:rPr>
              <w:br/>
              <w:t>Forward estimate</w:t>
            </w:r>
            <w:r w:rsidRPr="004349E0">
              <w:rPr>
                <w:rFonts w:ascii="Arial" w:hAnsi="Arial" w:cs="Arial"/>
                <w:sz w:val="16"/>
                <w:szCs w:val="16"/>
              </w:rPr>
              <w:br/>
              <w:t>$'000</w:t>
            </w:r>
          </w:p>
        </w:tc>
      </w:tr>
      <w:tr w:rsidR="006A6808" w:rsidRPr="00504E31" w14:paraId="6EA1DE92" w14:textId="77777777" w:rsidTr="00177B65">
        <w:trPr>
          <w:trHeight w:val="204"/>
        </w:trPr>
        <w:tc>
          <w:tcPr>
            <w:tcW w:w="2410" w:type="dxa"/>
            <w:tcBorders>
              <w:top w:val="nil"/>
              <w:left w:val="nil"/>
              <w:bottom w:val="nil"/>
              <w:right w:val="nil"/>
            </w:tcBorders>
            <w:shd w:val="clear" w:color="auto" w:fill="auto"/>
            <w:noWrap/>
            <w:vAlign w:val="bottom"/>
            <w:hideMark/>
          </w:tcPr>
          <w:p w14:paraId="16FBF0C3"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OPERATING ACTIVITIES</w:t>
            </w:r>
          </w:p>
        </w:tc>
        <w:tc>
          <w:tcPr>
            <w:tcW w:w="851" w:type="dxa"/>
            <w:tcBorders>
              <w:top w:val="nil"/>
              <w:left w:val="nil"/>
              <w:bottom w:val="nil"/>
              <w:right w:val="nil"/>
            </w:tcBorders>
            <w:shd w:val="clear" w:color="auto" w:fill="auto"/>
            <w:noWrap/>
            <w:vAlign w:val="bottom"/>
            <w:hideMark/>
          </w:tcPr>
          <w:p w14:paraId="5A502FDF" w14:textId="77777777" w:rsidR="006A6808" w:rsidRPr="00177B65" w:rsidRDefault="006A6808" w:rsidP="00AD308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14:paraId="51495F58" w14:textId="2B20F6C0"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06DB8AF0" w14:textId="77777777"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2F6DD61B" w14:textId="77777777" w:rsidR="006A6808" w:rsidRPr="00177B65" w:rsidRDefault="006A6808" w:rsidP="00AD3087">
            <w:pPr>
              <w:spacing w:after="0" w:line="240" w:lineRule="auto"/>
              <w:jc w:val="right"/>
              <w:rPr>
                <w:rFonts w:ascii="Arial" w:hAnsi="Arial" w:cs="Arial"/>
                <w:sz w:val="16"/>
                <w:szCs w:val="16"/>
              </w:rPr>
            </w:pPr>
          </w:p>
        </w:tc>
        <w:tc>
          <w:tcPr>
            <w:tcW w:w="1057" w:type="dxa"/>
            <w:tcBorders>
              <w:top w:val="nil"/>
              <w:left w:val="nil"/>
              <w:bottom w:val="nil"/>
              <w:right w:val="nil"/>
            </w:tcBorders>
            <w:shd w:val="clear" w:color="auto" w:fill="auto"/>
            <w:noWrap/>
            <w:vAlign w:val="bottom"/>
            <w:hideMark/>
          </w:tcPr>
          <w:p w14:paraId="23BB9723" w14:textId="77777777" w:rsidR="006A6808" w:rsidRPr="00177B65" w:rsidRDefault="006A6808" w:rsidP="00AD3087">
            <w:pPr>
              <w:spacing w:after="0" w:line="240" w:lineRule="auto"/>
              <w:jc w:val="right"/>
              <w:rPr>
                <w:rFonts w:ascii="Arial" w:hAnsi="Arial" w:cs="Arial"/>
                <w:sz w:val="16"/>
                <w:szCs w:val="16"/>
              </w:rPr>
            </w:pPr>
          </w:p>
        </w:tc>
      </w:tr>
      <w:tr w:rsidR="006A6808" w:rsidRPr="00504E31" w14:paraId="64095D65" w14:textId="77777777" w:rsidTr="00177B65">
        <w:trPr>
          <w:trHeight w:val="204"/>
        </w:trPr>
        <w:tc>
          <w:tcPr>
            <w:tcW w:w="2410" w:type="dxa"/>
            <w:tcBorders>
              <w:top w:val="nil"/>
              <w:left w:val="nil"/>
              <w:bottom w:val="nil"/>
              <w:right w:val="nil"/>
            </w:tcBorders>
            <w:shd w:val="clear" w:color="auto" w:fill="auto"/>
            <w:noWrap/>
            <w:vAlign w:val="bottom"/>
            <w:hideMark/>
          </w:tcPr>
          <w:p w14:paraId="52E48478"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Cash received</w:t>
            </w:r>
          </w:p>
        </w:tc>
        <w:tc>
          <w:tcPr>
            <w:tcW w:w="851" w:type="dxa"/>
            <w:tcBorders>
              <w:top w:val="nil"/>
              <w:left w:val="nil"/>
              <w:bottom w:val="nil"/>
              <w:right w:val="nil"/>
            </w:tcBorders>
            <w:shd w:val="clear" w:color="auto" w:fill="auto"/>
            <w:noWrap/>
            <w:vAlign w:val="bottom"/>
            <w:hideMark/>
          </w:tcPr>
          <w:p w14:paraId="23BACC22" w14:textId="77777777" w:rsidR="006A6808" w:rsidRPr="00177B65" w:rsidRDefault="006A6808" w:rsidP="00AD308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14:paraId="5035F457" w14:textId="2AA6FE57"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40EB8C17" w14:textId="77777777"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276A2A12" w14:textId="77777777" w:rsidR="006A6808" w:rsidRPr="00177B65" w:rsidRDefault="006A6808" w:rsidP="00AD3087">
            <w:pPr>
              <w:spacing w:after="0" w:line="240" w:lineRule="auto"/>
              <w:jc w:val="right"/>
              <w:rPr>
                <w:rFonts w:ascii="Arial" w:hAnsi="Arial" w:cs="Arial"/>
                <w:sz w:val="16"/>
                <w:szCs w:val="16"/>
              </w:rPr>
            </w:pPr>
          </w:p>
        </w:tc>
        <w:tc>
          <w:tcPr>
            <w:tcW w:w="1057" w:type="dxa"/>
            <w:tcBorders>
              <w:top w:val="nil"/>
              <w:left w:val="nil"/>
              <w:bottom w:val="nil"/>
              <w:right w:val="nil"/>
            </w:tcBorders>
            <w:shd w:val="clear" w:color="auto" w:fill="auto"/>
            <w:noWrap/>
            <w:vAlign w:val="bottom"/>
            <w:hideMark/>
          </w:tcPr>
          <w:p w14:paraId="2EDCB49B" w14:textId="77777777" w:rsidR="006A6808" w:rsidRPr="00177B65" w:rsidRDefault="006A6808" w:rsidP="00AD3087">
            <w:pPr>
              <w:spacing w:after="0" w:line="240" w:lineRule="auto"/>
              <w:jc w:val="right"/>
              <w:rPr>
                <w:rFonts w:ascii="Arial" w:hAnsi="Arial" w:cs="Arial"/>
                <w:sz w:val="16"/>
                <w:szCs w:val="16"/>
              </w:rPr>
            </w:pPr>
          </w:p>
        </w:tc>
      </w:tr>
      <w:tr w:rsidR="006A6808" w:rsidRPr="00504E31" w14:paraId="7A3AED2D" w14:textId="77777777" w:rsidTr="00177B65">
        <w:trPr>
          <w:trHeight w:val="204"/>
        </w:trPr>
        <w:tc>
          <w:tcPr>
            <w:tcW w:w="2410" w:type="dxa"/>
            <w:tcBorders>
              <w:top w:val="nil"/>
              <w:left w:val="nil"/>
              <w:bottom w:val="nil"/>
              <w:right w:val="nil"/>
            </w:tcBorders>
            <w:shd w:val="clear" w:color="auto" w:fill="auto"/>
            <w:noWrap/>
            <w:vAlign w:val="bottom"/>
            <w:hideMark/>
          </w:tcPr>
          <w:p w14:paraId="5650E9A5" w14:textId="77777777" w:rsidR="006A6808" w:rsidRPr="00177B65" w:rsidRDefault="006A6808" w:rsidP="00504E31">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Appropriations</w:t>
            </w:r>
          </w:p>
        </w:tc>
        <w:tc>
          <w:tcPr>
            <w:tcW w:w="851" w:type="dxa"/>
            <w:tcBorders>
              <w:top w:val="nil"/>
              <w:left w:val="nil"/>
              <w:bottom w:val="nil"/>
              <w:right w:val="nil"/>
            </w:tcBorders>
            <w:shd w:val="clear" w:color="auto" w:fill="auto"/>
            <w:noWrap/>
            <w:vAlign w:val="bottom"/>
            <w:hideMark/>
          </w:tcPr>
          <w:p w14:paraId="792045BD" w14:textId="63781A3B"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15,370</w:t>
            </w:r>
          </w:p>
        </w:tc>
        <w:tc>
          <w:tcPr>
            <w:tcW w:w="1057" w:type="dxa"/>
            <w:tcBorders>
              <w:top w:val="nil"/>
              <w:left w:val="nil"/>
              <w:bottom w:val="nil"/>
              <w:right w:val="nil"/>
            </w:tcBorders>
            <w:shd w:val="clear" w:color="000000" w:fill="E6E6E6"/>
            <w:noWrap/>
            <w:vAlign w:val="bottom"/>
            <w:hideMark/>
          </w:tcPr>
          <w:p w14:paraId="66206BF4" w14:textId="11934658"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10,357</w:t>
            </w:r>
          </w:p>
        </w:tc>
        <w:tc>
          <w:tcPr>
            <w:tcW w:w="1057" w:type="dxa"/>
            <w:tcBorders>
              <w:top w:val="nil"/>
              <w:left w:val="nil"/>
              <w:bottom w:val="nil"/>
              <w:right w:val="nil"/>
            </w:tcBorders>
            <w:shd w:val="clear" w:color="auto" w:fill="auto"/>
            <w:noWrap/>
            <w:vAlign w:val="bottom"/>
            <w:hideMark/>
          </w:tcPr>
          <w:p w14:paraId="04DA5912" w14:textId="59FE4993"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10,279</w:t>
            </w:r>
          </w:p>
        </w:tc>
        <w:tc>
          <w:tcPr>
            <w:tcW w:w="1057" w:type="dxa"/>
            <w:tcBorders>
              <w:top w:val="nil"/>
              <w:left w:val="nil"/>
              <w:bottom w:val="nil"/>
              <w:right w:val="nil"/>
            </w:tcBorders>
            <w:shd w:val="clear" w:color="auto" w:fill="auto"/>
            <w:noWrap/>
            <w:vAlign w:val="bottom"/>
            <w:hideMark/>
          </w:tcPr>
          <w:p w14:paraId="4797AA75" w14:textId="0B5981AB"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10,370</w:t>
            </w:r>
          </w:p>
        </w:tc>
        <w:tc>
          <w:tcPr>
            <w:tcW w:w="1057" w:type="dxa"/>
            <w:tcBorders>
              <w:top w:val="nil"/>
              <w:left w:val="nil"/>
              <w:bottom w:val="nil"/>
              <w:right w:val="nil"/>
            </w:tcBorders>
            <w:shd w:val="clear" w:color="auto" w:fill="auto"/>
            <w:noWrap/>
            <w:vAlign w:val="bottom"/>
            <w:hideMark/>
          </w:tcPr>
          <w:p w14:paraId="207316B5" w14:textId="03D03ADE"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9,715</w:t>
            </w:r>
          </w:p>
        </w:tc>
      </w:tr>
      <w:tr w:rsidR="006A6808" w:rsidRPr="00504E31" w14:paraId="3E11C378" w14:textId="77777777" w:rsidTr="00177B65">
        <w:trPr>
          <w:trHeight w:val="204"/>
        </w:trPr>
        <w:tc>
          <w:tcPr>
            <w:tcW w:w="2410" w:type="dxa"/>
            <w:tcBorders>
              <w:top w:val="nil"/>
              <w:left w:val="nil"/>
              <w:bottom w:val="nil"/>
              <w:right w:val="nil"/>
            </w:tcBorders>
            <w:shd w:val="clear" w:color="auto" w:fill="auto"/>
            <w:vAlign w:val="bottom"/>
            <w:hideMark/>
          </w:tcPr>
          <w:p w14:paraId="41A9C5DE" w14:textId="77777777" w:rsidR="006A6808" w:rsidRPr="00177B65" w:rsidRDefault="006A6808" w:rsidP="00504E31">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Sale of goods and rendering of services</w:t>
            </w:r>
          </w:p>
        </w:tc>
        <w:tc>
          <w:tcPr>
            <w:tcW w:w="851" w:type="dxa"/>
            <w:tcBorders>
              <w:top w:val="nil"/>
              <w:left w:val="nil"/>
              <w:bottom w:val="nil"/>
              <w:right w:val="nil"/>
            </w:tcBorders>
            <w:shd w:val="clear" w:color="auto" w:fill="auto"/>
            <w:noWrap/>
            <w:vAlign w:val="bottom"/>
            <w:hideMark/>
          </w:tcPr>
          <w:p w14:paraId="2918AC7E" w14:textId="666EFD89"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3,788</w:t>
            </w:r>
          </w:p>
        </w:tc>
        <w:tc>
          <w:tcPr>
            <w:tcW w:w="1057" w:type="dxa"/>
            <w:tcBorders>
              <w:top w:val="nil"/>
              <w:left w:val="nil"/>
              <w:bottom w:val="nil"/>
              <w:right w:val="nil"/>
            </w:tcBorders>
            <w:shd w:val="clear" w:color="000000" w:fill="E6E6E6"/>
            <w:noWrap/>
            <w:vAlign w:val="bottom"/>
            <w:hideMark/>
          </w:tcPr>
          <w:p w14:paraId="329E2542" w14:textId="4B015506"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2,494</w:t>
            </w:r>
          </w:p>
        </w:tc>
        <w:tc>
          <w:tcPr>
            <w:tcW w:w="1057" w:type="dxa"/>
            <w:tcBorders>
              <w:top w:val="nil"/>
              <w:left w:val="nil"/>
              <w:bottom w:val="nil"/>
              <w:right w:val="nil"/>
            </w:tcBorders>
            <w:shd w:val="clear" w:color="auto" w:fill="auto"/>
            <w:noWrap/>
            <w:vAlign w:val="bottom"/>
            <w:hideMark/>
          </w:tcPr>
          <w:p w14:paraId="78081364" w14:textId="0D27A25F"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2,660</w:t>
            </w:r>
          </w:p>
        </w:tc>
        <w:tc>
          <w:tcPr>
            <w:tcW w:w="1057" w:type="dxa"/>
            <w:tcBorders>
              <w:top w:val="nil"/>
              <w:left w:val="nil"/>
              <w:bottom w:val="nil"/>
              <w:right w:val="nil"/>
            </w:tcBorders>
            <w:shd w:val="clear" w:color="auto" w:fill="auto"/>
            <w:noWrap/>
            <w:vAlign w:val="bottom"/>
            <w:hideMark/>
          </w:tcPr>
          <w:p w14:paraId="68DCC8EE" w14:textId="448CCC29"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2,775</w:t>
            </w:r>
          </w:p>
        </w:tc>
        <w:tc>
          <w:tcPr>
            <w:tcW w:w="1057" w:type="dxa"/>
            <w:tcBorders>
              <w:top w:val="nil"/>
              <w:left w:val="nil"/>
              <w:bottom w:val="nil"/>
              <w:right w:val="nil"/>
            </w:tcBorders>
            <w:shd w:val="clear" w:color="auto" w:fill="auto"/>
            <w:noWrap/>
            <w:vAlign w:val="bottom"/>
            <w:hideMark/>
          </w:tcPr>
          <w:p w14:paraId="791537FC" w14:textId="68811CD4"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2,775</w:t>
            </w:r>
          </w:p>
        </w:tc>
      </w:tr>
      <w:tr w:rsidR="006A6808" w:rsidRPr="00504E31" w14:paraId="7A47219E" w14:textId="77777777" w:rsidTr="00177B65">
        <w:trPr>
          <w:trHeight w:val="204"/>
        </w:trPr>
        <w:tc>
          <w:tcPr>
            <w:tcW w:w="2410" w:type="dxa"/>
            <w:tcBorders>
              <w:top w:val="nil"/>
              <w:left w:val="nil"/>
              <w:bottom w:val="nil"/>
              <w:right w:val="nil"/>
            </w:tcBorders>
            <w:shd w:val="clear" w:color="auto" w:fill="auto"/>
            <w:noWrap/>
            <w:vAlign w:val="bottom"/>
            <w:hideMark/>
          </w:tcPr>
          <w:p w14:paraId="4A84B56D" w14:textId="77777777" w:rsidR="006A6808" w:rsidRPr="00177B65" w:rsidRDefault="006A6808" w:rsidP="00504E31">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Net GST received</w:t>
            </w:r>
          </w:p>
        </w:tc>
        <w:tc>
          <w:tcPr>
            <w:tcW w:w="851" w:type="dxa"/>
            <w:tcBorders>
              <w:top w:val="nil"/>
              <w:left w:val="nil"/>
              <w:bottom w:val="nil"/>
              <w:right w:val="nil"/>
            </w:tcBorders>
            <w:shd w:val="clear" w:color="auto" w:fill="auto"/>
            <w:noWrap/>
            <w:vAlign w:val="bottom"/>
            <w:hideMark/>
          </w:tcPr>
          <w:p w14:paraId="6030E07A" w14:textId="3C3BEC59"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62</w:t>
            </w:r>
          </w:p>
        </w:tc>
        <w:tc>
          <w:tcPr>
            <w:tcW w:w="1057" w:type="dxa"/>
            <w:tcBorders>
              <w:top w:val="nil"/>
              <w:left w:val="nil"/>
              <w:bottom w:val="nil"/>
              <w:right w:val="nil"/>
            </w:tcBorders>
            <w:shd w:val="clear" w:color="000000" w:fill="E6E6E6"/>
            <w:noWrap/>
            <w:vAlign w:val="bottom"/>
            <w:hideMark/>
          </w:tcPr>
          <w:p w14:paraId="4E2085E8" w14:textId="61E6EB6C"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c>
          <w:tcPr>
            <w:tcW w:w="1057" w:type="dxa"/>
            <w:tcBorders>
              <w:top w:val="nil"/>
              <w:left w:val="nil"/>
              <w:bottom w:val="nil"/>
              <w:right w:val="nil"/>
            </w:tcBorders>
            <w:shd w:val="clear" w:color="auto" w:fill="auto"/>
            <w:noWrap/>
            <w:vAlign w:val="bottom"/>
            <w:hideMark/>
          </w:tcPr>
          <w:p w14:paraId="50BDEA19" w14:textId="72E266F2"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c>
          <w:tcPr>
            <w:tcW w:w="1057" w:type="dxa"/>
            <w:tcBorders>
              <w:top w:val="nil"/>
              <w:left w:val="nil"/>
              <w:bottom w:val="nil"/>
              <w:right w:val="nil"/>
            </w:tcBorders>
            <w:shd w:val="clear" w:color="auto" w:fill="auto"/>
            <w:noWrap/>
            <w:vAlign w:val="bottom"/>
            <w:hideMark/>
          </w:tcPr>
          <w:p w14:paraId="20CAB29A" w14:textId="72945483"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c>
          <w:tcPr>
            <w:tcW w:w="1057" w:type="dxa"/>
            <w:tcBorders>
              <w:top w:val="nil"/>
              <w:left w:val="nil"/>
              <w:bottom w:val="nil"/>
              <w:right w:val="nil"/>
            </w:tcBorders>
            <w:shd w:val="clear" w:color="auto" w:fill="auto"/>
            <w:noWrap/>
            <w:vAlign w:val="bottom"/>
            <w:hideMark/>
          </w:tcPr>
          <w:p w14:paraId="1B32788B" w14:textId="3F7B1682"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r>
      <w:tr w:rsidR="006A6808" w:rsidRPr="00504E31" w14:paraId="257C8037" w14:textId="77777777" w:rsidTr="00177B65">
        <w:trPr>
          <w:trHeight w:val="204"/>
        </w:trPr>
        <w:tc>
          <w:tcPr>
            <w:tcW w:w="2410" w:type="dxa"/>
            <w:tcBorders>
              <w:top w:val="nil"/>
              <w:left w:val="nil"/>
              <w:bottom w:val="nil"/>
              <w:right w:val="nil"/>
            </w:tcBorders>
            <w:shd w:val="clear" w:color="auto" w:fill="auto"/>
            <w:noWrap/>
            <w:vAlign w:val="bottom"/>
            <w:hideMark/>
          </w:tcPr>
          <w:p w14:paraId="15E1A249" w14:textId="77777777" w:rsidR="006A6808" w:rsidRPr="00177B65" w:rsidRDefault="006A6808" w:rsidP="00504E31">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Other</w:t>
            </w:r>
          </w:p>
        </w:tc>
        <w:tc>
          <w:tcPr>
            <w:tcW w:w="851" w:type="dxa"/>
            <w:tcBorders>
              <w:top w:val="nil"/>
              <w:left w:val="nil"/>
              <w:bottom w:val="nil"/>
              <w:right w:val="nil"/>
            </w:tcBorders>
            <w:shd w:val="clear" w:color="auto" w:fill="auto"/>
            <w:noWrap/>
            <w:vAlign w:val="bottom"/>
            <w:hideMark/>
          </w:tcPr>
          <w:p w14:paraId="0C1B95FA" w14:textId="701B48DF" w:rsidR="006A6808" w:rsidRPr="00177B65" w:rsidRDefault="006A6808" w:rsidP="00AD3087">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198</w:t>
            </w:r>
          </w:p>
        </w:tc>
        <w:tc>
          <w:tcPr>
            <w:tcW w:w="1057" w:type="dxa"/>
            <w:tcBorders>
              <w:top w:val="nil"/>
              <w:left w:val="nil"/>
              <w:bottom w:val="nil"/>
              <w:right w:val="nil"/>
            </w:tcBorders>
            <w:shd w:val="clear" w:color="000000" w:fill="E6E6E6"/>
            <w:noWrap/>
            <w:vAlign w:val="bottom"/>
            <w:hideMark/>
          </w:tcPr>
          <w:p w14:paraId="195547ED" w14:textId="61C7966F" w:rsidR="006A6808" w:rsidRPr="00177B65" w:rsidRDefault="006A6808" w:rsidP="00AD3087">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w:t>
            </w:r>
          </w:p>
        </w:tc>
        <w:tc>
          <w:tcPr>
            <w:tcW w:w="1057" w:type="dxa"/>
            <w:tcBorders>
              <w:top w:val="nil"/>
              <w:left w:val="nil"/>
              <w:bottom w:val="nil"/>
              <w:right w:val="nil"/>
            </w:tcBorders>
            <w:shd w:val="clear" w:color="auto" w:fill="auto"/>
            <w:noWrap/>
            <w:vAlign w:val="bottom"/>
            <w:hideMark/>
          </w:tcPr>
          <w:p w14:paraId="77B51A19" w14:textId="40E3113E" w:rsidR="006A6808" w:rsidRPr="00177B65" w:rsidRDefault="006A6808" w:rsidP="00AD3087">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w:t>
            </w:r>
          </w:p>
        </w:tc>
        <w:tc>
          <w:tcPr>
            <w:tcW w:w="1057" w:type="dxa"/>
            <w:tcBorders>
              <w:top w:val="nil"/>
              <w:left w:val="nil"/>
              <w:bottom w:val="nil"/>
              <w:right w:val="nil"/>
            </w:tcBorders>
            <w:shd w:val="clear" w:color="auto" w:fill="auto"/>
            <w:noWrap/>
            <w:vAlign w:val="bottom"/>
            <w:hideMark/>
          </w:tcPr>
          <w:p w14:paraId="79B72A76" w14:textId="62194718" w:rsidR="006A6808" w:rsidRPr="00177B65" w:rsidRDefault="006A6808" w:rsidP="00AD3087">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w:t>
            </w:r>
          </w:p>
        </w:tc>
        <w:tc>
          <w:tcPr>
            <w:tcW w:w="1057" w:type="dxa"/>
            <w:tcBorders>
              <w:top w:val="nil"/>
              <w:left w:val="nil"/>
              <w:bottom w:val="nil"/>
              <w:right w:val="nil"/>
            </w:tcBorders>
            <w:shd w:val="clear" w:color="auto" w:fill="auto"/>
            <w:noWrap/>
            <w:vAlign w:val="bottom"/>
            <w:hideMark/>
          </w:tcPr>
          <w:p w14:paraId="02E4FAF7" w14:textId="7EC9602C" w:rsidR="006A6808" w:rsidRPr="00177B65" w:rsidRDefault="006A6808" w:rsidP="00AD3087">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w:t>
            </w:r>
          </w:p>
        </w:tc>
      </w:tr>
      <w:tr w:rsidR="006A6808" w:rsidRPr="007B3B97" w14:paraId="19944777" w14:textId="77777777" w:rsidTr="00177B65">
        <w:trPr>
          <w:trHeight w:val="204"/>
        </w:trPr>
        <w:tc>
          <w:tcPr>
            <w:tcW w:w="2410" w:type="dxa"/>
            <w:tcBorders>
              <w:top w:val="nil"/>
              <w:left w:val="nil"/>
              <w:bottom w:val="nil"/>
              <w:right w:val="nil"/>
            </w:tcBorders>
            <w:shd w:val="clear" w:color="auto" w:fill="auto"/>
            <w:noWrap/>
            <w:vAlign w:val="bottom"/>
            <w:hideMark/>
          </w:tcPr>
          <w:p w14:paraId="344F9773" w14:textId="77777777" w:rsidR="006A6808" w:rsidRPr="00177B65" w:rsidRDefault="006A6808" w:rsidP="006A6808">
            <w:pPr>
              <w:spacing w:after="0" w:line="240" w:lineRule="auto"/>
              <w:jc w:val="left"/>
              <w:rPr>
                <w:rFonts w:ascii="Arial" w:hAnsi="Arial" w:cs="Arial"/>
                <w:b/>
                <w:bCs/>
                <w:iCs/>
                <w:color w:val="000000"/>
                <w:sz w:val="16"/>
                <w:szCs w:val="16"/>
              </w:rPr>
            </w:pPr>
            <w:r w:rsidRPr="00177B65">
              <w:rPr>
                <w:rFonts w:ascii="Arial" w:hAnsi="Arial" w:cs="Arial"/>
                <w:b/>
                <w:bCs/>
                <w:iCs/>
                <w:color w:val="000000"/>
                <w:sz w:val="16"/>
                <w:szCs w:val="16"/>
              </w:rPr>
              <w:t>Total cash received</w:t>
            </w:r>
          </w:p>
        </w:tc>
        <w:tc>
          <w:tcPr>
            <w:tcW w:w="851" w:type="dxa"/>
            <w:tcBorders>
              <w:top w:val="single" w:sz="4" w:space="0" w:color="auto"/>
              <w:left w:val="nil"/>
              <w:bottom w:val="single" w:sz="4" w:space="0" w:color="auto"/>
              <w:right w:val="nil"/>
            </w:tcBorders>
            <w:shd w:val="clear" w:color="auto" w:fill="auto"/>
            <w:noWrap/>
            <w:vAlign w:val="bottom"/>
            <w:hideMark/>
          </w:tcPr>
          <w:p w14:paraId="6C71DC9C" w14:textId="0E7B6CE0"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19,418</w:t>
            </w:r>
          </w:p>
        </w:tc>
        <w:tc>
          <w:tcPr>
            <w:tcW w:w="1057" w:type="dxa"/>
            <w:tcBorders>
              <w:top w:val="single" w:sz="4" w:space="0" w:color="auto"/>
              <w:left w:val="nil"/>
              <w:bottom w:val="single" w:sz="4" w:space="0" w:color="auto"/>
              <w:right w:val="nil"/>
            </w:tcBorders>
            <w:shd w:val="clear" w:color="000000" w:fill="E6E6E6"/>
            <w:noWrap/>
            <w:vAlign w:val="bottom"/>
            <w:hideMark/>
          </w:tcPr>
          <w:p w14:paraId="67293199" w14:textId="300C8EA4"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12,851</w:t>
            </w:r>
          </w:p>
        </w:tc>
        <w:tc>
          <w:tcPr>
            <w:tcW w:w="1057" w:type="dxa"/>
            <w:tcBorders>
              <w:top w:val="single" w:sz="4" w:space="0" w:color="auto"/>
              <w:left w:val="nil"/>
              <w:bottom w:val="single" w:sz="4" w:space="0" w:color="auto"/>
              <w:right w:val="nil"/>
            </w:tcBorders>
            <w:shd w:val="clear" w:color="auto" w:fill="auto"/>
            <w:noWrap/>
            <w:vAlign w:val="bottom"/>
            <w:hideMark/>
          </w:tcPr>
          <w:p w14:paraId="3260AE33" w14:textId="6CC8E512"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12,939</w:t>
            </w:r>
          </w:p>
        </w:tc>
        <w:tc>
          <w:tcPr>
            <w:tcW w:w="1057" w:type="dxa"/>
            <w:tcBorders>
              <w:top w:val="single" w:sz="4" w:space="0" w:color="auto"/>
              <w:left w:val="nil"/>
              <w:bottom w:val="single" w:sz="4" w:space="0" w:color="auto"/>
              <w:right w:val="nil"/>
            </w:tcBorders>
            <w:shd w:val="clear" w:color="auto" w:fill="auto"/>
            <w:noWrap/>
            <w:vAlign w:val="bottom"/>
            <w:hideMark/>
          </w:tcPr>
          <w:p w14:paraId="4207986B" w14:textId="7208C5EB"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13,145</w:t>
            </w:r>
          </w:p>
        </w:tc>
        <w:tc>
          <w:tcPr>
            <w:tcW w:w="1057" w:type="dxa"/>
            <w:tcBorders>
              <w:top w:val="single" w:sz="4" w:space="0" w:color="auto"/>
              <w:left w:val="nil"/>
              <w:bottom w:val="single" w:sz="4" w:space="0" w:color="auto"/>
              <w:right w:val="nil"/>
            </w:tcBorders>
            <w:shd w:val="clear" w:color="auto" w:fill="auto"/>
            <w:noWrap/>
            <w:vAlign w:val="bottom"/>
            <w:hideMark/>
          </w:tcPr>
          <w:p w14:paraId="386F1C0F" w14:textId="559DB53E"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12,490</w:t>
            </w:r>
          </w:p>
        </w:tc>
      </w:tr>
      <w:tr w:rsidR="006A6808" w:rsidRPr="00504E31" w14:paraId="2459098E" w14:textId="77777777" w:rsidTr="00177B65">
        <w:trPr>
          <w:trHeight w:val="204"/>
        </w:trPr>
        <w:tc>
          <w:tcPr>
            <w:tcW w:w="2410" w:type="dxa"/>
            <w:tcBorders>
              <w:top w:val="nil"/>
              <w:left w:val="nil"/>
              <w:bottom w:val="nil"/>
              <w:right w:val="nil"/>
            </w:tcBorders>
            <w:shd w:val="clear" w:color="auto" w:fill="auto"/>
            <w:noWrap/>
            <w:vAlign w:val="bottom"/>
            <w:hideMark/>
          </w:tcPr>
          <w:p w14:paraId="6E00D019"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Cash used</w:t>
            </w:r>
          </w:p>
        </w:tc>
        <w:tc>
          <w:tcPr>
            <w:tcW w:w="851" w:type="dxa"/>
            <w:tcBorders>
              <w:top w:val="nil"/>
              <w:left w:val="nil"/>
              <w:bottom w:val="nil"/>
              <w:right w:val="nil"/>
            </w:tcBorders>
            <w:shd w:val="clear" w:color="auto" w:fill="auto"/>
            <w:noWrap/>
            <w:vAlign w:val="bottom"/>
            <w:hideMark/>
          </w:tcPr>
          <w:p w14:paraId="303C4399" w14:textId="77777777" w:rsidR="006A6808" w:rsidRPr="00177B65" w:rsidRDefault="006A6808" w:rsidP="00AD308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14:paraId="12FA0972" w14:textId="1E3EE284"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1D490B1F" w14:textId="77777777"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163C5A4A" w14:textId="77777777" w:rsidR="006A6808" w:rsidRPr="00177B65" w:rsidRDefault="006A6808" w:rsidP="00AD3087">
            <w:pPr>
              <w:spacing w:after="0" w:line="240" w:lineRule="auto"/>
              <w:jc w:val="right"/>
              <w:rPr>
                <w:rFonts w:ascii="Arial" w:hAnsi="Arial" w:cs="Arial"/>
                <w:sz w:val="16"/>
                <w:szCs w:val="16"/>
              </w:rPr>
            </w:pPr>
          </w:p>
        </w:tc>
        <w:tc>
          <w:tcPr>
            <w:tcW w:w="1057" w:type="dxa"/>
            <w:tcBorders>
              <w:top w:val="nil"/>
              <w:left w:val="nil"/>
              <w:bottom w:val="nil"/>
              <w:right w:val="nil"/>
            </w:tcBorders>
            <w:shd w:val="clear" w:color="auto" w:fill="auto"/>
            <w:noWrap/>
            <w:vAlign w:val="bottom"/>
            <w:hideMark/>
          </w:tcPr>
          <w:p w14:paraId="24607AF0" w14:textId="77777777" w:rsidR="006A6808" w:rsidRPr="00177B65" w:rsidRDefault="006A6808" w:rsidP="00AD3087">
            <w:pPr>
              <w:spacing w:after="0" w:line="240" w:lineRule="auto"/>
              <w:jc w:val="right"/>
              <w:rPr>
                <w:rFonts w:ascii="Arial" w:hAnsi="Arial" w:cs="Arial"/>
                <w:sz w:val="16"/>
                <w:szCs w:val="16"/>
              </w:rPr>
            </w:pPr>
          </w:p>
        </w:tc>
      </w:tr>
      <w:tr w:rsidR="006A6808" w:rsidRPr="00504E31" w14:paraId="4A755856" w14:textId="77777777" w:rsidTr="00177B65">
        <w:trPr>
          <w:trHeight w:val="204"/>
        </w:trPr>
        <w:tc>
          <w:tcPr>
            <w:tcW w:w="2410" w:type="dxa"/>
            <w:tcBorders>
              <w:top w:val="nil"/>
              <w:left w:val="nil"/>
              <w:bottom w:val="nil"/>
              <w:right w:val="nil"/>
            </w:tcBorders>
            <w:shd w:val="clear" w:color="auto" w:fill="auto"/>
            <w:noWrap/>
            <w:vAlign w:val="bottom"/>
            <w:hideMark/>
          </w:tcPr>
          <w:p w14:paraId="06D04130" w14:textId="77777777" w:rsidR="006A6808" w:rsidRPr="00177B65" w:rsidRDefault="006A6808" w:rsidP="00504E31">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Employees</w:t>
            </w:r>
          </w:p>
        </w:tc>
        <w:tc>
          <w:tcPr>
            <w:tcW w:w="851" w:type="dxa"/>
            <w:tcBorders>
              <w:top w:val="nil"/>
              <w:left w:val="nil"/>
              <w:bottom w:val="nil"/>
              <w:right w:val="nil"/>
            </w:tcBorders>
            <w:shd w:val="clear" w:color="auto" w:fill="auto"/>
            <w:noWrap/>
            <w:vAlign w:val="bottom"/>
            <w:hideMark/>
          </w:tcPr>
          <w:p w14:paraId="7E61958A" w14:textId="6D84B75E"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6,368</w:t>
            </w:r>
          </w:p>
        </w:tc>
        <w:tc>
          <w:tcPr>
            <w:tcW w:w="1057" w:type="dxa"/>
            <w:tcBorders>
              <w:top w:val="nil"/>
              <w:left w:val="nil"/>
              <w:bottom w:val="nil"/>
              <w:right w:val="nil"/>
            </w:tcBorders>
            <w:shd w:val="clear" w:color="000000" w:fill="E6E6E6"/>
            <w:noWrap/>
            <w:vAlign w:val="bottom"/>
            <w:hideMark/>
          </w:tcPr>
          <w:p w14:paraId="00B2DDCD" w14:textId="177B940D"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7,402</w:t>
            </w:r>
          </w:p>
        </w:tc>
        <w:tc>
          <w:tcPr>
            <w:tcW w:w="1057" w:type="dxa"/>
            <w:tcBorders>
              <w:top w:val="nil"/>
              <w:left w:val="nil"/>
              <w:bottom w:val="nil"/>
              <w:right w:val="nil"/>
            </w:tcBorders>
            <w:shd w:val="clear" w:color="auto" w:fill="auto"/>
            <w:noWrap/>
            <w:vAlign w:val="bottom"/>
            <w:hideMark/>
          </w:tcPr>
          <w:p w14:paraId="68F3AEF4" w14:textId="7AEB76C8"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7,622</w:t>
            </w:r>
          </w:p>
        </w:tc>
        <w:tc>
          <w:tcPr>
            <w:tcW w:w="1057" w:type="dxa"/>
            <w:tcBorders>
              <w:top w:val="nil"/>
              <w:left w:val="nil"/>
              <w:bottom w:val="nil"/>
              <w:right w:val="nil"/>
            </w:tcBorders>
            <w:shd w:val="clear" w:color="auto" w:fill="auto"/>
            <w:noWrap/>
            <w:vAlign w:val="bottom"/>
            <w:hideMark/>
          </w:tcPr>
          <w:p w14:paraId="678BAA4B" w14:textId="3638E279"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7,816</w:t>
            </w:r>
          </w:p>
        </w:tc>
        <w:tc>
          <w:tcPr>
            <w:tcW w:w="1057" w:type="dxa"/>
            <w:tcBorders>
              <w:top w:val="nil"/>
              <w:left w:val="nil"/>
              <w:bottom w:val="nil"/>
              <w:right w:val="nil"/>
            </w:tcBorders>
            <w:shd w:val="clear" w:color="auto" w:fill="auto"/>
            <w:noWrap/>
            <w:vAlign w:val="bottom"/>
            <w:hideMark/>
          </w:tcPr>
          <w:p w14:paraId="7410FAE0" w14:textId="3F5513B3"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7,198</w:t>
            </w:r>
          </w:p>
        </w:tc>
      </w:tr>
      <w:tr w:rsidR="006A6808" w:rsidRPr="00504E31" w14:paraId="30A3EA89" w14:textId="77777777" w:rsidTr="00177B65">
        <w:trPr>
          <w:trHeight w:val="204"/>
        </w:trPr>
        <w:tc>
          <w:tcPr>
            <w:tcW w:w="2410" w:type="dxa"/>
            <w:tcBorders>
              <w:top w:val="nil"/>
              <w:left w:val="nil"/>
              <w:bottom w:val="nil"/>
              <w:right w:val="nil"/>
            </w:tcBorders>
            <w:shd w:val="clear" w:color="auto" w:fill="auto"/>
            <w:noWrap/>
            <w:vAlign w:val="bottom"/>
            <w:hideMark/>
          </w:tcPr>
          <w:p w14:paraId="12CAC9EA" w14:textId="77777777" w:rsidR="006A6808" w:rsidRPr="00177B65" w:rsidRDefault="006A6808" w:rsidP="00504E31">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Suppliers</w:t>
            </w:r>
          </w:p>
        </w:tc>
        <w:tc>
          <w:tcPr>
            <w:tcW w:w="851" w:type="dxa"/>
            <w:tcBorders>
              <w:top w:val="nil"/>
              <w:left w:val="nil"/>
              <w:bottom w:val="nil"/>
              <w:right w:val="nil"/>
            </w:tcBorders>
            <w:shd w:val="clear" w:color="000000" w:fill="FFFFFF"/>
            <w:noWrap/>
            <w:vAlign w:val="bottom"/>
            <w:hideMark/>
          </w:tcPr>
          <w:p w14:paraId="08B0D45A" w14:textId="3DE18867"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7,813</w:t>
            </w:r>
          </w:p>
        </w:tc>
        <w:tc>
          <w:tcPr>
            <w:tcW w:w="1057" w:type="dxa"/>
            <w:tcBorders>
              <w:top w:val="nil"/>
              <w:left w:val="nil"/>
              <w:bottom w:val="nil"/>
              <w:right w:val="nil"/>
            </w:tcBorders>
            <w:shd w:val="clear" w:color="000000" w:fill="E6E6E6"/>
            <w:noWrap/>
            <w:vAlign w:val="bottom"/>
            <w:hideMark/>
          </w:tcPr>
          <w:p w14:paraId="02CF38F8" w14:textId="103AB11C"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5,117</w:t>
            </w:r>
          </w:p>
        </w:tc>
        <w:tc>
          <w:tcPr>
            <w:tcW w:w="1057" w:type="dxa"/>
            <w:tcBorders>
              <w:top w:val="nil"/>
              <w:left w:val="nil"/>
              <w:bottom w:val="nil"/>
              <w:right w:val="nil"/>
            </w:tcBorders>
            <w:shd w:val="clear" w:color="000000" w:fill="FFFFFF"/>
            <w:noWrap/>
            <w:vAlign w:val="bottom"/>
            <w:hideMark/>
          </w:tcPr>
          <w:p w14:paraId="62C94561" w14:textId="36A942E8"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4,980</w:t>
            </w:r>
          </w:p>
        </w:tc>
        <w:tc>
          <w:tcPr>
            <w:tcW w:w="1057" w:type="dxa"/>
            <w:tcBorders>
              <w:top w:val="nil"/>
              <w:left w:val="nil"/>
              <w:bottom w:val="nil"/>
              <w:right w:val="nil"/>
            </w:tcBorders>
            <w:shd w:val="clear" w:color="000000" w:fill="FFFFFF"/>
            <w:noWrap/>
            <w:vAlign w:val="bottom"/>
            <w:hideMark/>
          </w:tcPr>
          <w:p w14:paraId="5E77786D" w14:textId="16789FEA"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4,987</w:t>
            </w:r>
          </w:p>
        </w:tc>
        <w:tc>
          <w:tcPr>
            <w:tcW w:w="1057" w:type="dxa"/>
            <w:tcBorders>
              <w:top w:val="nil"/>
              <w:left w:val="nil"/>
              <w:bottom w:val="nil"/>
              <w:right w:val="nil"/>
            </w:tcBorders>
            <w:shd w:val="clear" w:color="000000" w:fill="FFFFFF"/>
            <w:noWrap/>
            <w:vAlign w:val="bottom"/>
            <w:hideMark/>
          </w:tcPr>
          <w:p w14:paraId="2853C471" w14:textId="2C9BA17C"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4,945</w:t>
            </w:r>
          </w:p>
        </w:tc>
      </w:tr>
      <w:tr w:rsidR="006A6808" w:rsidRPr="00504E31" w14:paraId="126DC9F4" w14:textId="77777777" w:rsidTr="00177B65">
        <w:trPr>
          <w:trHeight w:val="204"/>
        </w:trPr>
        <w:tc>
          <w:tcPr>
            <w:tcW w:w="2410" w:type="dxa"/>
            <w:tcBorders>
              <w:top w:val="nil"/>
              <w:left w:val="nil"/>
              <w:bottom w:val="nil"/>
              <w:right w:val="nil"/>
            </w:tcBorders>
            <w:shd w:val="clear" w:color="auto" w:fill="auto"/>
            <w:noWrap/>
            <w:vAlign w:val="bottom"/>
            <w:hideMark/>
          </w:tcPr>
          <w:p w14:paraId="1B694830" w14:textId="77777777" w:rsidR="006A6808" w:rsidRPr="00177B65" w:rsidRDefault="006A6808" w:rsidP="00504E31">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Interest payments on lease liability</w:t>
            </w:r>
          </w:p>
        </w:tc>
        <w:tc>
          <w:tcPr>
            <w:tcW w:w="851" w:type="dxa"/>
            <w:tcBorders>
              <w:top w:val="nil"/>
              <w:left w:val="nil"/>
              <w:bottom w:val="nil"/>
              <w:right w:val="nil"/>
            </w:tcBorders>
            <w:shd w:val="clear" w:color="000000" w:fill="FFFFFF"/>
            <w:noWrap/>
            <w:vAlign w:val="bottom"/>
            <w:hideMark/>
          </w:tcPr>
          <w:p w14:paraId="310318AE" w14:textId="698EE4D7"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4</w:t>
            </w:r>
          </w:p>
        </w:tc>
        <w:tc>
          <w:tcPr>
            <w:tcW w:w="1057" w:type="dxa"/>
            <w:tcBorders>
              <w:top w:val="nil"/>
              <w:left w:val="nil"/>
              <w:bottom w:val="nil"/>
              <w:right w:val="nil"/>
            </w:tcBorders>
            <w:shd w:val="clear" w:color="000000" w:fill="E6E6E6"/>
            <w:noWrap/>
            <w:vAlign w:val="bottom"/>
            <w:hideMark/>
          </w:tcPr>
          <w:p w14:paraId="5ED68A60" w14:textId="29EE014C"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5</w:t>
            </w:r>
          </w:p>
        </w:tc>
        <w:tc>
          <w:tcPr>
            <w:tcW w:w="1057" w:type="dxa"/>
            <w:tcBorders>
              <w:top w:val="nil"/>
              <w:left w:val="nil"/>
              <w:bottom w:val="nil"/>
              <w:right w:val="nil"/>
            </w:tcBorders>
            <w:shd w:val="clear" w:color="000000" w:fill="FFFFFF"/>
            <w:noWrap/>
            <w:vAlign w:val="bottom"/>
            <w:hideMark/>
          </w:tcPr>
          <w:p w14:paraId="6787636F" w14:textId="2AB47762"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4</w:t>
            </w:r>
          </w:p>
        </w:tc>
        <w:tc>
          <w:tcPr>
            <w:tcW w:w="1057" w:type="dxa"/>
            <w:tcBorders>
              <w:top w:val="nil"/>
              <w:left w:val="nil"/>
              <w:bottom w:val="nil"/>
              <w:right w:val="nil"/>
            </w:tcBorders>
            <w:shd w:val="clear" w:color="000000" w:fill="FFFFFF"/>
            <w:noWrap/>
            <w:vAlign w:val="bottom"/>
            <w:hideMark/>
          </w:tcPr>
          <w:p w14:paraId="4FFE7C01" w14:textId="6854BBF9"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3</w:t>
            </w:r>
          </w:p>
        </w:tc>
        <w:tc>
          <w:tcPr>
            <w:tcW w:w="1057" w:type="dxa"/>
            <w:tcBorders>
              <w:top w:val="nil"/>
              <w:left w:val="nil"/>
              <w:bottom w:val="nil"/>
              <w:right w:val="nil"/>
            </w:tcBorders>
            <w:shd w:val="clear" w:color="000000" w:fill="FFFFFF"/>
            <w:noWrap/>
            <w:vAlign w:val="bottom"/>
            <w:hideMark/>
          </w:tcPr>
          <w:p w14:paraId="70E814AB" w14:textId="15BC2357"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2</w:t>
            </w:r>
          </w:p>
        </w:tc>
      </w:tr>
      <w:tr w:rsidR="006A6808" w:rsidRPr="00504E31" w14:paraId="00708071" w14:textId="77777777" w:rsidTr="00177B65">
        <w:trPr>
          <w:trHeight w:val="204"/>
        </w:trPr>
        <w:tc>
          <w:tcPr>
            <w:tcW w:w="2410" w:type="dxa"/>
            <w:tcBorders>
              <w:top w:val="nil"/>
              <w:left w:val="nil"/>
              <w:bottom w:val="nil"/>
              <w:right w:val="nil"/>
            </w:tcBorders>
            <w:shd w:val="clear" w:color="auto" w:fill="auto"/>
            <w:noWrap/>
            <w:vAlign w:val="bottom"/>
            <w:hideMark/>
          </w:tcPr>
          <w:p w14:paraId="18E9436D" w14:textId="4DEC6A45" w:rsidR="006A6808" w:rsidRPr="00177B65" w:rsidRDefault="006A6808" w:rsidP="00504E31">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s74 External Revenue</w:t>
            </w:r>
            <w:r w:rsidR="00504E31" w:rsidRPr="00177B65">
              <w:rPr>
                <w:rFonts w:ascii="Arial" w:hAnsi="Arial" w:cs="Arial"/>
                <w:color w:val="000000"/>
                <w:sz w:val="16"/>
                <w:szCs w:val="16"/>
              </w:rPr>
              <w:t xml:space="preserve"> </w:t>
            </w:r>
            <w:r w:rsidRPr="00177B65">
              <w:rPr>
                <w:rFonts w:ascii="Arial" w:hAnsi="Arial" w:cs="Arial"/>
                <w:color w:val="000000"/>
                <w:sz w:val="16"/>
                <w:szCs w:val="16"/>
              </w:rPr>
              <w:t xml:space="preserve">transferred to the OPA </w:t>
            </w:r>
          </w:p>
        </w:tc>
        <w:tc>
          <w:tcPr>
            <w:tcW w:w="851" w:type="dxa"/>
            <w:tcBorders>
              <w:top w:val="nil"/>
              <w:left w:val="nil"/>
              <w:bottom w:val="nil"/>
              <w:right w:val="nil"/>
            </w:tcBorders>
            <w:shd w:val="clear" w:color="000000" w:fill="FFFFFF"/>
            <w:noWrap/>
            <w:vAlign w:val="bottom"/>
            <w:hideMark/>
          </w:tcPr>
          <w:p w14:paraId="47CC5F66" w14:textId="6DA478F3"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4,947</w:t>
            </w:r>
          </w:p>
        </w:tc>
        <w:tc>
          <w:tcPr>
            <w:tcW w:w="1057" w:type="dxa"/>
            <w:tcBorders>
              <w:top w:val="nil"/>
              <w:left w:val="nil"/>
              <w:bottom w:val="nil"/>
              <w:right w:val="nil"/>
            </w:tcBorders>
            <w:shd w:val="clear" w:color="000000" w:fill="E6E6E6"/>
            <w:noWrap/>
            <w:vAlign w:val="bottom"/>
            <w:hideMark/>
          </w:tcPr>
          <w:p w14:paraId="0674ABBE" w14:textId="59C0F2E5"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c>
          <w:tcPr>
            <w:tcW w:w="1057" w:type="dxa"/>
            <w:tcBorders>
              <w:top w:val="nil"/>
              <w:left w:val="nil"/>
              <w:bottom w:val="nil"/>
              <w:right w:val="nil"/>
            </w:tcBorders>
            <w:shd w:val="clear" w:color="000000" w:fill="FFFFFF"/>
            <w:noWrap/>
            <w:vAlign w:val="bottom"/>
            <w:hideMark/>
          </w:tcPr>
          <w:p w14:paraId="44ED49C7" w14:textId="5A331554"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c>
          <w:tcPr>
            <w:tcW w:w="1057" w:type="dxa"/>
            <w:tcBorders>
              <w:top w:val="nil"/>
              <w:left w:val="nil"/>
              <w:bottom w:val="nil"/>
              <w:right w:val="nil"/>
            </w:tcBorders>
            <w:shd w:val="clear" w:color="000000" w:fill="FFFFFF"/>
            <w:noWrap/>
            <w:vAlign w:val="bottom"/>
            <w:hideMark/>
          </w:tcPr>
          <w:p w14:paraId="5E342225" w14:textId="74C6250F"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c>
          <w:tcPr>
            <w:tcW w:w="1057" w:type="dxa"/>
            <w:tcBorders>
              <w:top w:val="nil"/>
              <w:left w:val="nil"/>
              <w:bottom w:val="nil"/>
              <w:right w:val="nil"/>
            </w:tcBorders>
            <w:shd w:val="clear" w:color="000000" w:fill="FFFFFF"/>
            <w:noWrap/>
            <w:vAlign w:val="bottom"/>
            <w:hideMark/>
          </w:tcPr>
          <w:p w14:paraId="110ED0E4" w14:textId="70889FB7"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w:t>
            </w:r>
          </w:p>
        </w:tc>
      </w:tr>
      <w:tr w:rsidR="006A6808" w:rsidRPr="007B3B97" w14:paraId="32672964" w14:textId="77777777" w:rsidTr="00177B65">
        <w:trPr>
          <w:trHeight w:val="204"/>
        </w:trPr>
        <w:tc>
          <w:tcPr>
            <w:tcW w:w="2410" w:type="dxa"/>
            <w:tcBorders>
              <w:top w:val="nil"/>
              <w:left w:val="nil"/>
              <w:bottom w:val="nil"/>
              <w:right w:val="nil"/>
            </w:tcBorders>
            <w:shd w:val="clear" w:color="auto" w:fill="auto"/>
            <w:noWrap/>
            <w:vAlign w:val="bottom"/>
            <w:hideMark/>
          </w:tcPr>
          <w:p w14:paraId="76FC18B5" w14:textId="77777777" w:rsidR="006A6808" w:rsidRPr="00177B65" w:rsidRDefault="006A6808" w:rsidP="006A6808">
            <w:pPr>
              <w:spacing w:after="0" w:line="240" w:lineRule="auto"/>
              <w:jc w:val="left"/>
              <w:rPr>
                <w:rFonts w:ascii="Arial" w:hAnsi="Arial" w:cs="Arial"/>
                <w:b/>
                <w:bCs/>
                <w:iCs/>
                <w:color w:val="000000"/>
                <w:sz w:val="16"/>
                <w:szCs w:val="16"/>
              </w:rPr>
            </w:pPr>
            <w:r w:rsidRPr="00177B65">
              <w:rPr>
                <w:rFonts w:ascii="Arial" w:hAnsi="Arial" w:cs="Arial"/>
                <w:b/>
                <w:bCs/>
                <w:iCs/>
                <w:color w:val="000000"/>
                <w:sz w:val="16"/>
                <w:szCs w:val="16"/>
              </w:rPr>
              <w:t>Total cash used</w:t>
            </w:r>
          </w:p>
        </w:tc>
        <w:tc>
          <w:tcPr>
            <w:tcW w:w="851" w:type="dxa"/>
            <w:tcBorders>
              <w:top w:val="single" w:sz="4" w:space="0" w:color="auto"/>
              <w:left w:val="nil"/>
              <w:bottom w:val="single" w:sz="4" w:space="0" w:color="auto"/>
              <w:right w:val="nil"/>
            </w:tcBorders>
            <w:shd w:val="clear" w:color="auto" w:fill="auto"/>
            <w:noWrap/>
            <w:vAlign w:val="bottom"/>
            <w:hideMark/>
          </w:tcPr>
          <w:p w14:paraId="404CD7A8" w14:textId="446425A4"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19,132</w:t>
            </w:r>
          </w:p>
        </w:tc>
        <w:tc>
          <w:tcPr>
            <w:tcW w:w="1057" w:type="dxa"/>
            <w:tcBorders>
              <w:top w:val="single" w:sz="4" w:space="0" w:color="auto"/>
              <w:left w:val="nil"/>
              <w:bottom w:val="single" w:sz="4" w:space="0" w:color="auto"/>
              <w:right w:val="nil"/>
            </w:tcBorders>
            <w:shd w:val="clear" w:color="000000" w:fill="E6E6E6"/>
            <w:noWrap/>
            <w:vAlign w:val="bottom"/>
            <w:hideMark/>
          </w:tcPr>
          <w:p w14:paraId="5EFA2FCE" w14:textId="5104EFA6"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12,524</w:t>
            </w:r>
          </w:p>
        </w:tc>
        <w:tc>
          <w:tcPr>
            <w:tcW w:w="1057" w:type="dxa"/>
            <w:tcBorders>
              <w:top w:val="single" w:sz="4" w:space="0" w:color="auto"/>
              <w:left w:val="nil"/>
              <w:bottom w:val="single" w:sz="4" w:space="0" w:color="auto"/>
              <w:right w:val="nil"/>
            </w:tcBorders>
            <w:shd w:val="clear" w:color="auto" w:fill="auto"/>
            <w:noWrap/>
            <w:vAlign w:val="bottom"/>
            <w:hideMark/>
          </w:tcPr>
          <w:p w14:paraId="3F08E1A1" w14:textId="456AA2CC"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12,606</w:t>
            </w:r>
          </w:p>
        </w:tc>
        <w:tc>
          <w:tcPr>
            <w:tcW w:w="1057" w:type="dxa"/>
            <w:tcBorders>
              <w:top w:val="single" w:sz="4" w:space="0" w:color="auto"/>
              <w:left w:val="nil"/>
              <w:bottom w:val="single" w:sz="4" w:space="0" w:color="auto"/>
              <w:right w:val="nil"/>
            </w:tcBorders>
            <w:shd w:val="clear" w:color="auto" w:fill="auto"/>
            <w:noWrap/>
            <w:vAlign w:val="bottom"/>
            <w:hideMark/>
          </w:tcPr>
          <w:p w14:paraId="52C4B7A0" w14:textId="26F450BD"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12,806</w:t>
            </w:r>
          </w:p>
        </w:tc>
        <w:tc>
          <w:tcPr>
            <w:tcW w:w="1057" w:type="dxa"/>
            <w:tcBorders>
              <w:top w:val="single" w:sz="4" w:space="0" w:color="auto"/>
              <w:left w:val="nil"/>
              <w:bottom w:val="single" w:sz="4" w:space="0" w:color="auto"/>
              <w:right w:val="nil"/>
            </w:tcBorders>
            <w:shd w:val="clear" w:color="auto" w:fill="auto"/>
            <w:noWrap/>
            <w:vAlign w:val="bottom"/>
            <w:hideMark/>
          </w:tcPr>
          <w:p w14:paraId="5FC562AB" w14:textId="05CA3A55"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12,145</w:t>
            </w:r>
          </w:p>
        </w:tc>
      </w:tr>
      <w:tr w:rsidR="006A6808" w:rsidRPr="00504E31" w14:paraId="0810EA99" w14:textId="77777777" w:rsidTr="00177B65">
        <w:trPr>
          <w:trHeight w:val="204"/>
        </w:trPr>
        <w:tc>
          <w:tcPr>
            <w:tcW w:w="2410" w:type="dxa"/>
            <w:tcBorders>
              <w:top w:val="nil"/>
              <w:left w:val="nil"/>
              <w:bottom w:val="nil"/>
              <w:right w:val="nil"/>
            </w:tcBorders>
            <w:shd w:val="clear" w:color="auto" w:fill="auto"/>
            <w:noWrap/>
            <w:vAlign w:val="bottom"/>
            <w:hideMark/>
          </w:tcPr>
          <w:p w14:paraId="3AABB10D"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Net cash from/(used by) operating activities</w:t>
            </w:r>
          </w:p>
        </w:tc>
        <w:tc>
          <w:tcPr>
            <w:tcW w:w="851" w:type="dxa"/>
            <w:tcBorders>
              <w:top w:val="single" w:sz="4" w:space="0" w:color="auto"/>
              <w:left w:val="nil"/>
              <w:bottom w:val="single" w:sz="4" w:space="0" w:color="auto"/>
              <w:right w:val="nil"/>
            </w:tcBorders>
            <w:shd w:val="clear" w:color="auto" w:fill="auto"/>
            <w:noWrap/>
            <w:vAlign w:val="bottom"/>
            <w:hideMark/>
          </w:tcPr>
          <w:p w14:paraId="67B423C0" w14:textId="3A2C6FEC"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286</w:t>
            </w:r>
          </w:p>
        </w:tc>
        <w:tc>
          <w:tcPr>
            <w:tcW w:w="1057" w:type="dxa"/>
            <w:tcBorders>
              <w:top w:val="single" w:sz="4" w:space="0" w:color="auto"/>
              <w:left w:val="nil"/>
              <w:bottom w:val="single" w:sz="4" w:space="0" w:color="auto"/>
              <w:right w:val="nil"/>
            </w:tcBorders>
            <w:shd w:val="clear" w:color="000000" w:fill="E6E6E6"/>
            <w:noWrap/>
            <w:vAlign w:val="bottom"/>
            <w:hideMark/>
          </w:tcPr>
          <w:p w14:paraId="04CC6966" w14:textId="55CE8E8B"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327</w:t>
            </w:r>
          </w:p>
        </w:tc>
        <w:tc>
          <w:tcPr>
            <w:tcW w:w="1057" w:type="dxa"/>
            <w:tcBorders>
              <w:top w:val="single" w:sz="4" w:space="0" w:color="auto"/>
              <w:left w:val="nil"/>
              <w:bottom w:val="single" w:sz="4" w:space="0" w:color="auto"/>
              <w:right w:val="nil"/>
            </w:tcBorders>
            <w:shd w:val="clear" w:color="auto" w:fill="auto"/>
            <w:noWrap/>
            <w:vAlign w:val="bottom"/>
            <w:hideMark/>
          </w:tcPr>
          <w:p w14:paraId="30F43011" w14:textId="703F5438"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333</w:t>
            </w:r>
          </w:p>
        </w:tc>
        <w:tc>
          <w:tcPr>
            <w:tcW w:w="1057" w:type="dxa"/>
            <w:tcBorders>
              <w:top w:val="single" w:sz="4" w:space="0" w:color="auto"/>
              <w:left w:val="nil"/>
              <w:bottom w:val="single" w:sz="4" w:space="0" w:color="auto"/>
              <w:right w:val="nil"/>
            </w:tcBorders>
            <w:shd w:val="clear" w:color="auto" w:fill="auto"/>
            <w:noWrap/>
            <w:vAlign w:val="bottom"/>
            <w:hideMark/>
          </w:tcPr>
          <w:p w14:paraId="22E4D6FE" w14:textId="488ECD7F"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339</w:t>
            </w:r>
          </w:p>
        </w:tc>
        <w:tc>
          <w:tcPr>
            <w:tcW w:w="1057" w:type="dxa"/>
            <w:tcBorders>
              <w:top w:val="single" w:sz="4" w:space="0" w:color="auto"/>
              <w:left w:val="nil"/>
              <w:bottom w:val="single" w:sz="4" w:space="0" w:color="auto"/>
              <w:right w:val="nil"/>
            </w:tcBorders>
            <w:shd w:val="clear" w:color="auto" w:fill="auto"/>
            <w:noWrap/>
            <w:vAlign w:val="bottom"/>
            <w:hideMark/>
          </w:tcPr>
          <w:p w14:paraId="40188772" w14:textId="296E635F"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345</w:t>
            </w:r>
          </w:p>
        </w:tc>
      </w:tr>
      <w:tr w:rsidR="006A6808" w:rsidRPr="00504E31" w14:paraId="024296D0" w14:textId="77777777" w:rsidTr="00177B65">
        <w:trPr>
          <w:trHeight w:val="204"/>
        </w:trPr>
        <w:tc>
          <w:tcPr>
            <w:tcW w:w="2410" w:type="dxa"/>
            <w:tcBorders>
              <w:top w:val="nil"/>
              <w:left w:val="nil"/>
              <w:bottom w:val="nil"/>
              <w:right w:val="nil"/>
            </w:tcBorders>
            <w:shd w:val="clear" w:color="auto" w:fill="auto"/>
            <w:noWrap/>
            <w:vAlign w:val="bottom"/>
            <w:hideMark/>
          </w:tcPr>
          <w:p w14:paraId="0C049C51"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INVESTING ACTIVITIES</w:t>
            </w:r>
          </w:p>
        </w:tc>
        <w:tc>
          <w:tcPr>
            <w:tcW w:w="851" w:type="dxa"/>
            <w:tcBorders>
              <w:top w:val="nil"/>
              <w:left w:val="nil"/>
              <w:bottom w:val="nil"/>
              <w:right w:val="nil"/>
            </w:tcBorders>
            <w:shd w:val="clear" w:color="auto" w:fill="auto"/>
            <w:noWrap/>
            <w:vAlign w:val="bottom"/>
            <w:hideMark/>
          </w:tcPr>
          <w:p w14:paraId="27ED93C3" w14:textId="77777777" w:rsidR="006A6808" w:rsidRPr="00177B65" w:rsidRDefault="006A6808" w:rsidP="00AD308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14:paraId="604A6C7D" w14:textId="0AE6EC03"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2230F0A5" w14:textId="77777777"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4A8CBFBC" w14:textId="77777777" w:rsidR="006A6808" w:rsidRPr="00177B65" w:rsidRDefault="006A6808" w:rsidP="00AD3087">
            <w:pPr>
              <w:spacing w:after="0" w:line="240" w:lineRule="auto"/>
              <w:jc w:val="right"/>
              <w:rPr>
                <w:rFonts w:ascii="Arial" w:hAnsi="Arial" w:cs="Arial"/>
                <w:sz w:val="16"/>
                <w:szCs w:val="16"/>
              </w:rPr>
            </w:pPr>
          </w:p>
        </w:tc>
        <w:tc>
          <w:tcPr>
            <w:tcW w:w="1057" w:type="dxa"/>
            <w:tcBorders>
              <w:top w:val="nil"/>
              <w:left w:val="nil"/>
              <w:bottom w:val="nil"/>
              <w:right w:val="nil"/>
            </w:tcBorders>
            <w:shd w:val="clear" w:color="auto" w:fill="auto"/>
            <w:noWrap/>
            <w:vAlign w:val="bottom"/>
            <w:hideMark/>
          </w:tcPr>
          <w:p w14:paraId="14A46851" w14:textId="77777777" w:rsidR="006A6808" w:rsidRPr="00177B65" w:rsidRDefault="006A6808" w:rsidP="00AD3087">
            <w:pPr>
              <w:spacing w:after="0" w:line="240" w:lineRule="auto"/>
              <w:jc w:val="right"/>
              <w:rPr>
                <w:rFonts w:ascii="Arial" w:hAnsi="Arial" w:cs="Arial"/>
                <w:sz w:val="16"/>
                <w:szCs w:val="16"/>
              </w:rPr>
            </w:pPr>
          </w:p>
        </w:tc>
      </w:tr>
      <w:tr w:rsidR="006A6808" w:rsidRPr="00504E31" w14:paraId="792A82A2" w14:textId="77777777" w:rsidTr="00177B65">
        <w:trPr>
          <w:trHeight w:val="204"/>
        </w:trPr>
        <w:tc>
          <w:tcPr>
            <w:tcW w:w="2410" w:type="dxa"/>
            <w:tcBorders>
              <w:top w:val="nil"/>
              <w:left w:val="nil"/>
              <w:bottom w:val="nil"/>
              <w:right w:val="nil"/>
            </w:tcBorders>
            <w:shd w:val="clear" w:color="auto" w:fill="auto"/>
            <w:noWrap/>
            <w:vAlign w:val="bottom"/>
            <w:hideMark/>
          </w:tcPr>
          <w:p w14:paraId="3951EF06"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Cash used</w:t>
            </w:r>
          </w:p>
        </w:tc>
        <w:tc>
          <w:tcPr>
            <w:tcW w:w="851" w:type="dxa"/>
            <w:tcBorders>
              <w:top w:val="nil"/>
              <w:left w:val="nil"/>
              <w:bottom w:val="nil"/>
              <w:right w:val="nil"/>
            </w:tcBorders>
            <w:shd w:val="clear" w:color="auto" w:fill="auto"/>
            <w:noWrap/>
            <w:vAlign w:val="bottom"/>
            <w:hideMark/>
          </w:tcPr>
          <w:p w14:paraId="174B8A1B" w14:textId="77777777" w:rsidR="006A6808" w:rsidRPr="00177B65" w:rsidRDefault="006A6808" w:rsidP="00AD308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14:paraId="47FDE7E1" w14:textId="11256A0D"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72B573CF" w14:textId="77777777"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3628BA92" w14:textId="77777777" w:rsidR="006A6808" w:rsidRPr="00177B65" w:rsidRDefault="006A6808" w:rsidP="00AD3087">
            <w:pPr>
              <w:spacing w:after="0" w:line="240" w:lineRule="auto"/>
              <w:jc w:val="right"/>
              <w:rPr>
                <w:rFonts w:ascii="Arial" w:hAnsi="Arial" w:cs="Arial"/>
                <w:sz w:val="16"/>
                <w:szCs w:val="16"/>
              </w:rPr>
            </w:pPr>
          </w:p>
        </w:tc>
        <w:tc>
          <w:tcPr>
            <w:tcW w:w="1057" w:type="dxa"/>
            <w:tcBorders>
              <w:top w:val="nil"/>
              <w:left w:val="nil"/>
              <w:bottom w:val="nil"/>
              <w:right w:val="nil"/>
            </w:tcBorders>
            <w:shd w:val="clear" w:color="auto" w:fill="auto"/>
            <w:noWrap/>
            <w:vAlign w:val="bottom"/>
            <w:hideMark/>
          </w:tcPr>
          <w:p w14:paraId="538A3BF2" w14:textId="77777777" w:rsidR="006A6808" w:rsidRPr="00177B65" w:rsidRDefault="006A6808" w:rsidP="00AD3087">
            <w:pPr>
              <w:spacing w:after="0" w:line="240" w:lineRule="auto"/>
              <w:jc w:val="right"/>
              <w:rPr>
                <w:rFonts w:ascii="Arial" w:hAnsi="Arial" w:cs="Arial"/>
                <w:sz w:val="16"/>
                <w:szCs w:val="16"/>
              </w:rPr>
            </w:pPr>
          </w:p>
        </w:tc>
      </w:tr>
      <w:tr w:rsidR="006A6808" w:rsidRPr="00504E31" w14:paraId="6F2031E4" w14:textId="77777777" w:rsidTr="00177B65">
        <w:trPr>
          <w:trHeight w:val="204"/>
        </w:trPr>
        <w:tc>
          <w:tcPr>
            <w:tcW w:w="2410" w:type="dxa"/>
            <w:tcBorders>
              <w:top w:val="nil"/>
              <w:left w:val="nil"/>
              <w:bottom w:val="nil"/>
              <w:right w:val="nil"/>
            </w:tcBorders>
            <w:shd w:val="clear" w:color="auto" w:fill="auto"/>
            <w:vAlign w:val="bottom"/>
            <w:hideMark/>
          </w:tcPr>
          <w:p w14:paraId="6EE28B3E" w14:textId="77777777" w:rsidR="006A6808" w:rsidRPr="00177B65" w:rsidRDefault="006A6808" w:rsidP="00504E31">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Purchase of property, plant and equipment and intangibles</w:t>
            </w:r>
          </w:p>
        </w:tc>
        <w:tc>
          <w:tcPr>
            <w:tcW w:w="851" w:type="dxa"/>
            <w:tcBorders>
              <w:top w:val="nil"/>
              <w:left w:val="nil"/>
              <w:bottom w:val="nil"/>
              <w:right w:val="nil"/>
            </w:tcBorders>
            <w:shd w:val="clear" w:color="auto" w:fill="auto"/>
            <w:noWrap/>
            <w:vAlign w:val="bottom"/>
            <w:hideMark/>
          </w:tcPr>
          <w:p w14:paraId="0404B640" w14:textId="63622B91"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2,326</w:t>
            </w:r>
          </w:p>
        </w:tc>
        <w:tc>
          <w:tcPr>
            <w:tcW w:w="1057" w:type="dxa"/>
            <w:tcBorders>
              <w:top w:val="nil"/>
              <w:left w:val="nil"/>
              <w:bottom w:val="nil"/>
              <w:right w:val="nil"/>
            </w:tcBorders>
            <w:shd w:val="clear" w:color="000000" w:fill="E6E6E6"/>
            <w:noWrap/>
            <w:vAlign w:val="bottom"/>
            <w:hideMark/>
          </w:tcPr>
          <w:p w14:paraId="43D057F1" w14:textId="29F3BF4D" w:rsidR="006A6808" w:rsidRPr="00177B65" w:rsidRDefault="008F1DD5"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4,1</w:t>
            </w:r>
            <w:r w:rsidR="006A6808" w:rsidRPr="00177B65">
              <w:rPr>
                <w:rFonts w:ascii="Arial" w:hAnsi="Arial" w:cs="Arial"/>
                <w:color w:val="000000"/>
                <w:sz w:val="16"/>
                <w:szCs w:val="16"/>
              </w:rPr>
              <w:t>61</w:t>
            </w:r>
          </w:p>
        </w:tc>
        <w:tc>
          <w:tcPr>
            <w:tcW w:w="1057" w:type="dxa"/>
            <w:tcBorders>
              <w:top w:val="nil"/>
              <w:left w:val="nil"/>
              <w:bottom w:val="nil"/>
              <w:right w:val="nil"/>
            </w:tcBorders>
            <w:shd w:val="clear" w:color="auto" w:fill="auto"/>
            <w:noWrap/>
            <w:vAlign w:val="bottom"/>
            <w:hideMark/>
          </w:tcPr>
          <w:p w14:paraId="2ACA9636" w14:textId="350160FF"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666</w:t>
            </w:r>
          </w:p>
        </w:tc>
        <w:tc>
          <w:tcPr>
            <w:tcW w:w="1057" w:type="dxa"/>
            <w:tcBorders>
              <w:top w:val="nil"/>
              <w:left w:val="nil"/>
              <w:bottom w:val="nil"/>
              <w:right w:val="nil"/>
            </w:tcBorders>
            <w:shd w:val="clear" w:color="auto" w:fill="auto"/>
            <w:noWrap/>
            <w:vAlign w:val="bottom"/>
            <w:hideMark/>
          </w:tcPr>
          <w:p w14:paraId="38F17168" w14:textId="10F2F5B9"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673</w:t>
            </w:r>
          </w:p>
        </w:tc>
        <w:tc>
          <w:tcPr>
            <w:tcW w:w="1057" w:type="dxa"/>
            <w:tcBorders>
              <w:top w:val="nil"/>
              <w:left w:val="nil"/>
              <w:bottom w:val="nil"/>
              <w:right w:val="nil"/>
            </w:tcBorders>
            <w:shd w:val="clear" w:color="auto" w:fill="auto"/>
            <w:noWrap/>
            <w:vAlign w:val="bottom"/>
            <w:hideMark/>
          </w:tcPr>
          <w:p w14:paraId="219869D1" w14:textId="53C980F0"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678</w:t>
            </w:r>
          </w:p>
        </w:tc>
      </w:tr>
      <w:tr w:rsidR="006A6808" w:rsidRPr="007B3B97" w14:paraId="7A1582FA" w14:textId="77777777" w:rsidTr="00177B65">
        <w:trPr>
          <w:trHeight w:val="204"/>
        </w:trPr>
        <w:tc>
          <w:tcPr>
            <w:tcW w:w="2410" w:type="dxa"/>
            <w:tcBorders>
              <w:top w:val="nil"/>
              <w:left w:val="nil"/>
              <w:bottom w:val="nil"/>
              <w:right w:val="nil"/>
            </w:tcBorders>
            <w:shd w:val="clear" w:color="auto" w:fill="auto"/>
            <w:noWrap/>
            <w:vAlign w:val="bottom"/>
            <w:hideMark/>
          </w:tcPr>
          <w:p w14:paraId="4126F628" w14:textId="77777777" w:rsidR="006A6808" w:rsidRPr="00177B65" w:rsidRDefault="006A6808" w:rsidP="006A6808">
            <w:pPr>
              <w:spacing w:after="0" w:line="240" w:lineRule="auto"/>
              <w:jc w:val="left"/>
              <w:rPr>
                <w:rFonts w:ascii="Arial" w:hAnsi="Arial" w:cs="Arial"/>
                <w:b/>
                <w:bCs/>
                <w:iCs/>
                <w:color w:val="000000"/>
                <w:sz w:val="16"/>
                <w:szCs w:val="16"/>
              </w:rPr>
            </w:pPr>
            <w:r w:rsidRPr="00177B65">
              <w:rPr>
                <w:rFonts w:ascii="Arial" w:hAnsi="Arial" w:cs="Arial"/>
                <w:b/>
                <w:bCs/>
                <w:iCs/>
                <w:color w:val="000000"/>
                <w:sz w:val="16"/>
                <w:szCs w:val="16"/>
              </w:rPr>
              <w:t>Total cash used</w:t>
            </w:r>
          </w:p>
        </w:tc>
        <w:tc>
          <w:tcPr>
            <w:tcW w:w="851" w:type="dxa"/>
            <w:tcBorders>
              <w:top w:val="single" w:sz="4" w:space="0" w:color="auto"/>
              <w:left w:val="nil"/>
              <w:bottom w:val="single" w:sz="4" w:space="0" w:color="auto"/>
              <w:right w:val="nil"/>
            </w:tcBorders>
            <w:shd w:val="clear" w:color="auto" w:fill="auto"/>
            <w:noWrap/>
            <w:vAlign w:val="bottom"/>
            <w:hideMark/>
          </w:tcPr>
          <w:p w14:paraId="0EBE3FF7" w14:textId="74646302"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2,326</w:t>
            </w:r>
          </w:p>
        </w:tc>
        <w:tc>
          <w:tcPr>
            <w:tcW w:w="1057" w:type="dxa"/>
            <w:tcBorders>
              <w:top w:val="single" w:sz="4" w:space="0" w:color="auto"/>
              <w:left w:val="nil"/>
              <w:bottom w:val="single" w:sz="4" w:space="0" w:color="auto"/>
              <w:right w:val="nil"/>
            </w:tcBorders>
            <w:shd w:val="clear" w:color="000000" w:fill="E6E6E6"/>
            <w:noWrap/>
            <w:vAlign w:val="bottom"/>
            <w:hideMark/>
          </w:tcPr>
          <w:p w14:paraId="33A89BA2" w14:textId="61C1D5BB" w:rsidR="006A6808" w:rsidRPr="00177B65" w:rsidRDefault="008F1DD5"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4,1</w:t>
            </w:r>
            <w:r w:rsidR="006A6808" w:rsidRPr="00177B65">
              <w:rPr>
                <w:rFonts w:ascii="Arial" w:hAnsi="Arial" w:cs="Arial"/>
                <w:b/>
                <w:bCs/>
                <w:iCs/>
                <w:color w:val="000000"/>
                <w:sz w:val="16"/>
                <w:szCs w:val="16"/>
              </w:rPr>
              <w:t>61</w:t>
            </w:r>
          </w:p>
        </w:tc>
        <w:tc>
          <w:tcPr>
            <w:tcW w:w="1057" w:type="dxa"/>
            <w:tcBorders>
              <w:top w:val="single" w:sz="4" w:space="0" w:color="auto"/>
              <w:left w:val="nil"/>
              <w:bottom w:val="single" w:sz="4" w:space="0" w:color="auto"/>
              <w:right w:val="nil"/>
            </w:tcBorders>
            <w:shd w:val="clear" w:color="auto" w:fill="auto"/>
            <w:noWrap/>
            <w:vAlign w:val="bottom"/>
            <w:hideMark/>
          </w:tcPr>
          <w:p w14:paraId="66675277" w14:textId="41A69C47"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666</w:t>
            </w:r>
          </w:p>
        </w:tc>
        <w:tc>
          <w:tcPr>
            <w:tcW w:w="1057" w:type="dxa"/>
            <w:tcBorders>
              <w:top w:val="single" w:sz="4" w:space="0" w:color="auto"/>
              <w:left w:val="nil"/>
              <w:bottom w:val="single" w:sz="4" w:space="0" w:color="auto"/>
              <w:right w:val="nil"/>
            </w:tcBorders>
            <w:shd w:val="clear" w:color="auto" w:fill="auto"/>
            <w:noWrap/>
            <w:vAlign w:val="bottom"/>
            <w:hideMark/>
          </w:tcPr>
          <w:p w14:paraId="24D39D69" w14:textId="2FC63925"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673</w:t>
            </w:r>
          </w:p>
        </w:tc>
        <w:tc>
          <w:tcPr>
            <w:tcW w:w="1057" w:type="dxa"/>
            <w:tcBorders>
              <w:top w:val="single" w:sz="4" w:space="0" w:color="auto"/>
              <w:left w:val="nil"/>
              <w:bottom w:val="single" w:sz="4" w:space="0" w:color="auto"/>
              <w:right w:val="nil"/>
            </w:tcBorders>
            <w:shd w:val="clear" w:color="auto" w:fill="auto"/>
            <w:noWrap/>
            <w:vAlign w:val="bottom"/>
            <w:hideMark/>
          </w:tcPr>
          <w:p w14:paraId="654A9A7C" w14:textId="628B02C0"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678</w:t>
            </w:r>
          </w:p>
        </w:tc>
      </w:tr>
      <w:tr w:rsidR="006A6808" w:rsidRPr="00504E31" w14:paraId="745F87AF" w14:textId="77777777" w:rsidTr="00177B65">
        <w:trPr>
          <w:trHeight w:val="204"/>
        </w:trPr>
        <w:tc>
          <w:tcPr>
            <w:tcW w:w="2410" w:type="dxa"/>
            <w:tcBorders>
              <w:top w:val="nil"/>
              <w:left w:val="nil"/>
              <w:bottom w:val="nil"/>
              <w:right w:val="nil"/>
            </w:tcBorders>
            <w:shd w:val="clear" w:color="auto" w:fill="auto"/>
            <w:noWrap/>
            <w:vAlign w:val="bottom"/>
            <w:hideMark/>
          </w:tcPr>
          <w:p w14:paraId="264E9B4C"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Net cash from/(used by) investing activities</w:t>
            </w:r>
          </w:p>
        </w:tc>
        <w:tc>
          <w:tcPr>
            <w:tcW w:w="851" w:type="dxa"/>
            <w:tcBorders>
              <w:top w:val="single" w:sz="4" w:space="0" w:color="auto"/>
              <w:left w:val="nil"/>
              <w:bottom w:val="single" w:sz="4" w:space="0" w:color="auto"/>
              <w:right w:val="nil"/>
            </w:tcBorders>
            <w:shd w:val="clear" w:color="auto" w:fill="auto"/>
            <w:noWrap/>
            <w:vAlign w:val="bottom"/>
            <w:hideMark/>
          </w:tcPr>
          <w:p w14:paraId="30A86A6F" w14:textId="77777777"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(2,326)</w:t>
            </w:r>
          </w:p>
        </w:tc>
        <w:tc>
          <w:tcPr>
            <w:tcW w:w="1057" w:type="dxa"/>
            <w:tcBorders>
              <w:top w:val="single" w:sz="4" w:space="0" w:color="auto"/>
              <w:left w:val="nil"/>
              <w:bottom w:val="single" w:sz="4" w:space="0" w:color="auto"/>
              <w:right w:val="nil"/>
            </w:tcBorders>
            <w:shd w:val="clear" w:color="000000" w:fill="E6E6E6"/>
            <w:noWrap/>
            <w:vAlign w:val="bottom"/>
            <w:hideMark/>
          </w:tcPr>
          <w:p w14:paraId="4807E42A" w14:textId="6D38AA02"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w:t>
            </w:r>
            <w:r w:rsidR="008F1DD5" w:rsidRPr="00177B65">
              <w:rPr>
                <w:rFonts w:ascii="Arial" w:hAnsi="Arial" w:cs="Arial"/>
                <w:b/>
                <w:bCs/>
                <w:color w:val="000000"/>
                <w:sz w:val="16"/>
                <w:szCs w:val="16"/>
              </w:rPr>
              <w:t>4,1</w:t>
            </w:r>
            <w:r w:rsidRPr="00177B65">
              <w:rPr>
                <w:rFonts w:ascii="Arial" w:hAnsi="Arial" w:cs="Arial"/>
                <w:b/>
                <w:bCs/>
                <w:color w:val="000000"/>
                <w:sz w:val="16"/>
                <w:szCs w:val="16"/>
              </w:rPr>
              <w:t>61)</w:t>
            </w:r>
          </w:p>
        </w:tc>
        <w:tc>
          <w:tcPr>
            <w:tcW w:w="1057" w:type="dxa"/>
            <w:tcBorders>
              <w:top w:val="single" w:sz="4" w:space="0" w:color="auto"/>
              <w:left w:val="nil"/>
              <w:bottom w:val="single" w:sz="4" w:space="0" w:color="auto"/>
              <w:right w:val="nil"/>
            </w:tcBorders>
            <w:shd w:val="clear" w:color="auto" w:fill="auto"/>
            <w:noWrap/>
            <w:vAlign w:val="bottom"/>
            <w:hideMark/>
          </w:tcPr>
          <w:p w14:paraId="71C8EFCE" w14:textId="77777777"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(666)</w:t>
            </w:r>
          </w:p>
        </w:tc>
        <w:tc>
          <w:tcPr>
            <w:tcW w:w="1057" w:type="dxa"/>
            <w:tcBorders>
              <w:top w:val="single" w:sz="4" w:space="0" w:color="auto"/>
              <w:left w:val="nil"/>
              <w:bottom w:val="single" w:sz="4" w:space="0" w:color="auto"/>
              <w:right w:val="nil"/>
            </w:tcBorders>
            <w:shd w:val="clear" w:color="auto" w:fill="auto"/>
            <w:noWrap/>
            <w:vAlign w:val="bottom"/>
            <w:hideMark/>
          </w:tcPr>
          <w:p w14:paraId="44A495CA" w14:textId="77777777"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(673)</w:t>
            </w:r>
          </w:p>
        </w:tc>
        <w:tc>
          <w:tcPr>
            <w:tcW w:w="1057" w:type="dxa"/>
            <w:tcBorders>
              <w:top w:val="single" w:sz="4" w:space="0" w:color="auto"/>
              <w:left w:val="nil"/>
              <w:bottom w:val="single" w:sz="4" w:space="0" w:color="auto"/>
              <w:right w:val="nil"/>
            </w:tcBorders>
            <w:shd w:val="clear" w:color="auto" w:fill="auto"/>
            <w:noWrap/>
            <w:vAlign w:val="bottom"/>
            <w:hideMark/>
          </w:tcPr>
          <w:p w14:paraId="79134C35" w14:textId="77777777"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(678)</w:t>
            </w:r>
          </w:p>
        </w:tc>
      </w:tr>
      <w:tr w:rsidR="006A6808" w:rsidRPr="00504E31" w14:paraId="04C6A325" w14:textId="77777777" w:rsidTr="00177B65">
        <w:trPr>
          <w:trHeight w:val="204"/>
        </w:trPr>
        <w:tc>
          <w:tcPr>
            <w:tcW w:w="2410" w:type="dxa"/>
            <w:tcBorders>
              <w:top w:val="nil"/>
              <w:left w:val="nil"/>
              <w:bottom w:val="nil"/>
              <w:right w:val="nil"/>
            </w:tcBorders>
            <w:shd w:val="clear" w:color="auto" w:fill="auto"/>
            <w:noWrap/>
            <w:vAlign w:val="bottom"/>
            <w:hideMark/>
          </w:tcPr>
          <w:p w14:paraId="0FE53D49"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FINANCING ACTIVITIES</w:t>
            </w:r>
          </w:p>
        </w:tc>
        <w:tc>
          <w:tcPr>
            <w:tcW w:w="851" w:type="dxa"/>
            <w:tcBorders>
              <w:top w:val="nil"/>
              <w:left w:val="nil"/>
              <w:bottom w:val="nil"/>
              <w:right w:val="nil"/>
            </w:tcBorders>
            <w:shd w:val="clear" w:color="auto" w:fill="auto"/>
            <w:noWrap/>
            <w:vAlign w:val="bottom"/>
            <w:hideMark/>
          </w:tcPr>
          <w:p w14:paraId="686CE4F8" w14:textId="77777777" w:rsidR="006A6808" w:rsidRPr="00177B65" w:rsidRDefault="006A6808" w:rsidP="00AD308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14:paraId="3498FAED" w14:textId="09F57671"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6BDF2119" w14:textId="77777777"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6A05B577" w14:textId="77777777" w:rsidR="006A6808" w:rsidRPr="00177B65" w:rsidRDefault="006A6808" w:rsidP="00AD3087">
            <w:pPr>
              <w:spacing w:after="0" w:line="240" w:lineRule="auto"/>
              <w:jc w:val="right"/>
              <w:rPr>
                <w:rFonts w:ascii="Arial" w:hAnsi="Arial" w:cs="Arial"/>
                <w:sz w:val="16"/>
                <w:szCs w:val="16"/>
              </w:rPr>
            </w:pPr>
          </w:p>
        </w:tc>
        <w:tc>
          <w:tcPr>
            <w:tcW w:w="1057" w:type="dxa"/>
            <w:tcBorders>
              <w:top w:val="nil"/>
              <w:left w:val="nil"/>
              <w:bottom w:val="nil"/>
              <w:right w:val="nil"/>
            </w:tcBorders>
            <w:shd w:val="clear" w:color="auto" w:fill="auto"/>
            <w:noWrap/>
            <w:vAlign w:val="bottom"/>
            <w:hideMark/>
          </w:tcPr>
          <w:p w14:paraId="780F79F5" w14:textId="77777777" w:rsidR="006A6808" w:rsidRPr="00177B65" w:rsidRDefault="006A6808" w:rsidP="00AD3087">
            <w:pPr>
              <w:spacing w:after="0" w:line="240" w:lineRule="auto"/>
              <w:jc w:val="right"/>
              <w:rPr>
                <w:rFonts w:ascii="Arial" w:hAnsi="Arial" w:cs="Arial"/>
                <w:sz w:val="16"/>
                <w:szCs w:val="16"/>
              </w:rPr>
            </w:pPr>
          </w:p>
        </w:tc>
      </w:tr>
      <w:tr w:rsidR="006A6808" w:rsidRPr="00504E31" w14:paraId="20A44D3D" w14:textId="77777777" w:rsidTr="00177B65">
        <w:trPr>
          <w:trHeight w:val="204"/>
        </w:trPr>
        <w:tc>
          <w:tcPr>
            <w:tcW w:w="2410" w:type="dxa"/>
            <w:tcBorders>
              <w:top w:val="nil"/>
              <w:left w:val="nil"/>
              <w:bottom w:val="nil"/>
              <w:right w:val="nil"/>
            </w:tcBorders>
            <w:shd w:val="clear" w:color="auto" w:fill="auto"/>
            <w:noWrap/>
            <w:vAlign w:val="bottom"/>
            <w:hideMark/>
          </w:tcPr>
          <w:p w14:paraId="536D6EB9"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Cash received</w:t>
            </w:r>
          </w:p>
        </w:tc>
        <w:tc>
          <w:tcPr>
            <w:tcW w:w="851" w:type="dxa"/>
            <w:tcBorders>
              <w:top w:val="nil"/>
              <w:left w:val="nil"/>
              <w:bottom w:val="nil"/>
              <w:right w:val="nil"/>
            </w:tcBorders>
            <w:shd w:val="clear" w:color="auto" w:fill="auto"/>
            <w:noWrap/>
            <w:vAlign w:val="bottom"/>
            <w:hideMark/>
          </w:tcPr>
          <w:p w14:paraId="283D9676" w14:textId="77777777" w:rsidR="006A6808" w:rsidRPr="00177B65" w:rsidRDefault="006A6808" w:rsidP="00AD3087">
            <w:pPr>
              <w:spacing w:after="0" w:line="240" w:lineRule="auto"/>
              <w:jc w:val="right"/>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14:paraId="5DC1EBE1" w14:textId="28CD75BD"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73830DB9" w14:textId="77777777" w:rsidR="006A6808" w:rsidRPr="00177B65" w:rsidRDefault="006A6808" w:rsidP="00AD3087">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05B25D22" w14:textId="77777777" w:rsidR="006A6808" w:rsidRPr="00177B65" w:rsidRDefault="006A6808" w:rsidP="00AD3087">
            <w:pPr>
              <w:spacing w:after="0" w:line="240" w:lineRule="auto"/>
              <w:jc w:val="right"/>
              <w:rPr>
                <w:rFonts w:ascii="Arial" w:hAnsi="Arial" w:cs="Arial"/>
                <w:sz w:val="16"/>
                <w:szCs w:val="16"/>
              </w:rPr>
            </w:pPr>
          </w:p>
        </w:tc>
        <w:tc>
          <w:tcPr>
            <w:tcW w:w="1057" w:type="dxa"/>
            <w:tcBorders>
              <w:top w:val="nil"/>
              <w:left w:val="nil"/>
              <w:bottom w:val="nil"/>
              <w:right w:val="nil"/>
            </w:tcBorders>
            <w:shd w:val="clear" w:color="auto" w:fill="auto"/>
            <w:noWrap/>
            <w:vAlign w:val="bottom"/>
            <w:hideMark/>
          </w:tcPr>
          <w:p w14:paraId="26AB9C9F" w14:textId="77777777" w:rsidR="006A6808" w:rsidRPr="00177B65" w:rsidRDefault="006A6808" w:rsidP="00AD3087">
            <w:pPr>
              <w:spacing w:after="0" w:line="240" w:lineRule="auto"/>
              <w:jc w:val="right"/>
              <w:rPr>
                <w:rFonts w:ascii="Arial" w:hAnsi="Arial" w:cs="Arial"/>
                <w:sz w:val="16"/>
                <w:szCs w:val="16"/>
              </w:rPr>
            </w:pPr>
          </w:p>
        </w:tc>
      </w:tr>
      <w:tr w:rsidR="006A6808" w:rsidRPr="00504E31" w14:paraId="54F798BA" w14:textId="77777777" w:rsidTr="00177B65">
        <w:trPr>
          <w:trHeight w:val="204"/>
        </w:trPr>
        <w:tc>
          <w:tcPr>
            <w:tcW w:w="2410" w:type="dxa"/>
            <w:tcBorders>
              <w:top w:val="nil"/>
              <w:left w:val="nil"/>
              <w:bottom w:val="nil"/>
              <w:right w:val="nil"/>
            </w:tcBorders>
            <w:shd w:val="clear" w:color="auto" w:fill="auto"/>
            <w:noWrap/>
            <w:vAlign w:val="bottom"/>
            <w:hideMark/>
          </w:tcPr>
          <w:p w14:paraId="5A33EFF4" w14:textId="77777777" w:rsidR="006A6808" w:rsidRPr="00177B65" w:rsidRDefault="006A6808" w:rsidP="00504E31">
            <w:pPr>
              <w:spacing w:after="0" w:line="240" w:lineRule="auto"/>
              <w:ind w:left="113"/>
              <w:jc w:val="left"/>
              <w:rPr>
                <w:rFonts w:ascii="Arial" w:hAnsi="Arial" w:cs="Arial"/>
                <w:color w:val="000000"/>
                <w:sz w:val="16"/>
                <w:szCs w:val="16"/>
              </w:rPr>
            </w:pPr>
            <w:r w:rsidRPr="00177B65">
              <w:rPr>
                <w:rFonts w:ascii="Arial" w:hAnsi="Arial" w:cs="Arial"/>
                <w:color w:val="000000"/>
                <w:sz w:val="16"/>
                <w:szCs w:val="16"/>
              </w:rPr>
              <w:t>Contributed equity</w:t>
            </w:r>
          </w:p>
        </w:tc>
        <w:tc>
          <w:tcPr>
            <w:tcW w:w="851" w:type="dxa"/>
            <w:tcBorders>
              <w:top w:val="nil"/>
              <w:left w:val="nil"/>
              <w:bottom w:val="nil"/>
              <w:right w:val="nil"/>
            </w:tcBorders>
            <w:shd w:val="clear" w:color="auto" w:fill="auto"/>
            <w:noWrap/>
            <w:vAlign w:val="bottom"/>
            <w:hideMark/>
          </w:tcPr>
          <w:p w14:paraId="158958D5" w14:textId="6D2A9F56"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2,360</w:t>
            </w:r>
          </w:p>
        </w:tc>
        <w:tc>
          <w:tcPr>
            <w:tcW w:w="1057" w:type="dxa"/>
            <w:tcBorders>
              <w:top w:val="nil"/>
              <w:left w:val="nil"/>
              <w:bottom w:val="nil"/>
              <w:right w:val="nil"/>
            </w:tcBorders>
            <w:shd w:val="clear" w:color="000000" w:fill="E6E6E6"/>
            <w:noWrap/>
            <w:vAlign w:val="bottom"/>
            <w:hideMark/>
          </w:tcPr>
          <w:p w14:paraId="51219A27" w14:textId="3EC84BBF" w:rsidR="006A6808" w:rsidRPr="00177B65" w:rsidRDefault="008F1DD5"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4,1</w:t>
            </w:r>
            <w:r w:rsidR="006A6808" w:rsidRPr="00177B65">
              <w:rPr>
                <w:rFonts w:ascii="Arial" w:hAnsi="Arial" w:cs="Arial"/>
                <w:color w:val="000000"/>
                <w:sz w:val="16"/>
                <w:szCs w:val="16"/>
              </w:rPr>
              <w:t>61</w:t>
            </w:r>
          </w:p>
        </w:tc>
        <w:tc>
          <w:tcPr>
            <w:tcW w:w="1057" w:type="dxa"/>
            <w:tcBorders>
              <w:top w:val="nil"/>
              <w:left w:val="nil"/>
              <w:bottom w:val="nil"/>
              <w:right w:val="nil"/>
            </w:tcBorders>
            <w:shd w:val="clear" w:color="auto" w:fill="auto"/>
            <w:noWrap/>
            <w:vAlign w:val="bottom"/>
            <w:hideMark/>
          </w:tcPr>
          <w:p w14:paraId="11239B8B" w14:textId="16F2191E"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666</w:t>
            </w:r>
          </w:p>
        </w:tc>
        <w:tc>
          <w:tcPr>
            <w:tcW w:w="1057" w:type="dxa"/>
            <w:tcBorders>
              <w:top w:val="nil"/>
              <w:left w:val="nil"/>
              <w:bottom w:val="nil"/>
              <w:right w:val="nil"/>
            </w:tcBorders>
            <w:shd w:val="clear" w:color="auto" w:fill="auto"/>
            <w:noWrap/>
            <w:vAlign w:val="bottom"/>
            <w:hideMark/>
          </w:tcPr>
          <w:p w14:paraId="1E12E104" w14:textId="60BA48A5"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673</w:t>
            </w:r>
          </w:p>
        </w:tc>
        <w:tc>
          <w:tcPr>
            <w:tcW w:w="1057" w:type="dxa"/>
            <w:tcBorders>
              <w:top w:val="nil"/>
              <w:left w:val="nil"/>
              <w:bottom w:val="nil"/>
              <w:right w:val="nil"/>
            </w:tcBorders>
            <w:shd w:val="clear" w:color="auto" w:fill="auto"/>
            <w:noWrap/>
            <w:vAlign w:val="bottom"/>
            <w:hideMark/>
          </w:tcPr>
          <w:p w14:paraId="554F0ECC" w14:textId="6581DD59"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678</w:t>
            </w:r>
          </w:p>
        </w:tc>
      </w:tr>
      <w:tr w:rsidR="006A6808" w:rsidRPr="007B3B97" w14:paraId="3A7AEBB4" w14:textId="77777777" w:rsidTr="00177B65">
        <w:trPr>
          <w:trHeight w:val="204"/>
        </w:trPr>
        <w:tc>
          <w:tcPr>
            <w:tcW w:w="2410" w:type="dxa"/>
            <w:tcBorders>
              <w:top w:val="nil"/>
              <w:left w:val="nil"/>
              <w:bottom w:val="nil"/>
              <w:right w:val="nil"/>
            </w:tcBorders>
            <w:shd w:val="clear" w:color="auto" w:fill="auto"/>
            <w:noWrap/>
            <w:vAlign w:val="bottom"/>
            <w:hideMark/>
          </w:tcPr>
          <w:p w14:paraId="39AAF1A3" w14:textId="77777777" w:rsidR="006A6808" w:rsidRPr="00177B65" w:rsidRDefault="006A6808" w:rsidP="006A6808">
            <w:pPr>
              <w:spacing w:after="0" w:line="240" w:lineRule="auto"/>
              <w:jc w:val="left"/>
              <w:rPr>
                <w:rFonts w:ascii="Arial" w:hAnsi="Arial" w:cs="Arial"/>
                <w:b/>
                <w:bCs/>
                <w:iCs/>
                <w:color w:val="000000"/>
                <w:sz w:val="16"/>
                <w:szCs w:val="16"/>
              </w:rPr>
            </w:pPr>
            <w:r w:rsidRPr="00177B65">
              <w:rPr>
                <w:rFonts w:ascii="Arial" w:hAnsi="Arial" w:cs="Arial"/>
                <w:b/>
                <w:bCs/>
                <w:iCs/>
                <w:color w:val="000000"/>
                <w:sz w:val="16"/>
                <w:szCs w:val="16"/>
              </w:rPr>
              <w:t>Total cash received</w:t>
            </w:r>
          </w:p>
        </w:tc>
        <w:tc>
          <w:tcPr>
            <w:tcW w:w="851" w:type="dxa"/>
            <w:tcBorders>
              <w:top w:val="single" w:sz="4" w:space="0" w:color="auto"/>
              <w:left w:val="nil"/>
              <w:bottom w:val="single" w:sz="4" w:space="0" w:color="auto"/>
              <w:right w:val="nil"/>
            </w:tcBorders>
            <w:shd w:val="clear" w:color="auto" w:fill="auto"/>
            <w:noWrap/>
            <w:vAlign w:val="bottom"/>
            <w:hideMark/>
          </w:tcPr>
          <w:p w14:paraId="6E04BA6D" w14:textId="42157F64"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2,360</w:t>
            </w:r>
          </w:p>
        </w:tc>
        <w:tc>
          <w:tcPr>
            <w:tcW w:w="1057" w:type="dxa"/>
            <w:tcBorders>
              <w:top w:val="single" w:sz="4" w:space="0" w:color="auto"/>
              <w:left w:val="nil"/>
              <w:bottom w:val="single" w:sz="4" w:space="0" w:color="auto"/>
              <w:right w:val="nil"/>
            </w:tcBorders>
            <w:shd w:val="clear" w:color="000000" w:fill="E6E6E6"/>
            <w:noWrap/>
            <w:vAlign w:val="bottom"/>
            <w:hideMark/>
          </w:tcPr>
          <w:p w14:paraId="4670DAFD" w14:textId="51B98FC7" w:rsidR="006A6808" w:rsidRPr="00177B65" w:rsidRDefault="008F1DD5"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4,1</w:t>
            </w:r>
            <w:r w:rsidR="006A6808" w:rsidRPr="00177B65">
              <w:rPr>
                <w:rFonts w:ascii="Arial" w:hAnsi="Arial" w:cs="Arial"/>
                <w:b/>
                <w:bCs/>
                <w:iCs/>
                <w:color w:val="000000"/>
                <w:sz w:val="16"/>
                <w:szCs w:val="16"/>
              </w:rPr>
              <w:t>61</w:t>
            </w:r>
          </w:p>
        </w:tc>
        <w:tc>
          <w:tcPr>
            <w:tcW w:w="1057" w:type="dxa"/>
            <w:tcBorders>
              <w:top w:val="single" w:sz="4" w:space="0" w:color="auto"/>
              <w:left w:val="nil"/>
              <w:bottom w:val="single" w:sz="4" w:space="0" w:color="auto"/>
              <w:right w:val="nil"/>
            </w:tcBorders>
            <w:shd w:val="clear" w:color="auto" w:fill="auto"/>
            <w:noWrap/>
            <w:vAlign w:val="bottom"/>
            <w:hideMark/>
          </w:tcPr>
          <w:p w14:paraId="728DEB42" w14:textId="17CE8159"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666</w:t>
            </w:r>
          </w:p>
        </w:tc>
        <w:tc>
          <w:tcPr>
            <w:tcW w:w="1057" w:type="dxa"/>
            <w:tcBorders>
              <w:top w:val="single" w:sz="4" w:space="0" w:color="auto"/>
              <w:left w:val="nil"/>
              <w:bottom w:val="single" w:sz="4" w:space="0" w:color="auto"/>
              <w:right w:val="nil"/>
            </w:tcBorders>
            <w:shd w:val="clear" w:color="auto" w:fill="auto"/>
            <w:noWrap/>
            <w:vAlign w:val="bottom"/>
            <w:hideMark/>
          </w:tcPr>
          <w:p w14:paraId="49872A87" w14:textId="6844FA49"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673</w:t>
            </w:r>
          </w:p>
        </w:tc>
        <w:tc>
          <w:tcPr>
            <w:tcW w:w="1057" w:type="dxa"/>
            <w:tcBorders>
              <w:top w:val="single" w:sz="4" w:space="0" w:color="auto"/>
              <w:left w:val="nil"/>
              <w:bottom w:val="single" w:sz="4" w:space="0" w:color="auto"/>
              <w:right w:val="nil"/>
            </w:tcBorders>
            <w:shd w:val="clear" w:color="auto" w:fill="auto"/>
            <w:noWrap/>
            <w:vAlign w:val="bottom"/>
            <w:hideMark/>
          </w:tcPr>
          <w:p w14:paraId="61775814" w14:textId="3942C33F" w:rsidR="006A6808" w:rsidRPr="00177B65" w:rsidRDefault="006A6808" w:rsidP="00AD3087">
            <w:pPr>
              <w:spacing w:after="0" w:line="240" w:lineRule="auto"/>
              <w:jc w:val="right"/>
              <w:rPr>
                <w:rFonts w:ascii="Arial" w:hAnsi="Arial" w:cs="Arial"/>
                <w:b/>
                <w:bCs/>
                <w:iCs/>
                <w:color w:val="000000"/>
                <w:sz w:val="16"/>
                <w:szCs w:val="16"/>
              </w:rPr>
            </w:pPr>
            <w:r w:rsidRPr="00177B65">
              <w:rPr>
                <w:rFonts w:ascii="Arial" w:hAnsi="Arial" w:cs="Arial"/>
                <w:b/>
                <w:bCs/>
                <w:iCs/>
                <w:color w:val="000000"/>
                <w:sz w:val="16"/>
                <w:szCs w:val="16"/>
              </w:rPr>
              <w:t>678</w:t>
            </w:r>
          </w:p>
        </w:tc>
      </w:tr>
      <w:tr w:rsidR="006A6808" w:rsidRPr="00504E31" w14:paraId="03C77554" w14:textId="77777777" w:rsidTr="00177B65">
        <w:trPr>
          <w:trHeight w:val="204"/>
        </w:trPr>
        <w:tc>
          <w:tcPr>
            <w:tcW w:w="2410" w:type="dxa"/>
            <w:tcBorders>
              <w:top w:val="nil"/>
              <w:left w:val="nil"/>
              <w:bottom w:val="nil"/>
              <w:right w:val="nil"/>
            </w:tcBorders>
            <w:shd w:val="clear" w:color="auto" w:fill="auto"/>
            <w:noWrap/>
            <w:vAlign w:val="bottom"/>
            <w:hideMark/>
          </w:tcPr>
          <w:p w14:paraId="18B13C93" w14:textId="77777777" w:rsidR="006A6808" w:rsidRPr="00177B65" w:rsidRDefault="006A6808" w:rsidP="006A6808">
            <w:pPr>
              <w:spacing w:after="0" w:line="240" w:lineRule="auto"/>
              <w:jc w:val="left"/>
              <w:outlineLvl w:val="0"/>
              <w:rPr>
                <w:rFonts w:ascii="Arial" w:hAnsi="Arial" w:cs="Arial"/>
                <w:b/>
                <w:bCs/>
                <w:color w:val="000000"/>
                <w:sz w:val="16"/>
                <w:szCs w:val="16"/>
              </w:rPr>
            </w:pPr>
            <w:r w:rsidRPr="00177B65">
              <w:rPr>
                <w:rFonts w:ascii="Arial" w:hAnsi="Arial" w:cs="Arial"/>
                <w:b/>
                <w:bCs/>
                <w:color w:val="000000"/>
                <w:sz w:val="16"/>
                <w:szCs w:val="16"/>
              </w:rPr>
              <w:t>Cash used</w:t>
            </w:r>
          </w:p>
        </w:tc>
        <w:tc>
          <w:tcPr>
            <w:tcW w:w="851" w:type="dxa"/>
            <w:tcBorders>
              <w:top w:val="nil"/>
              <w:left w:val="nil"/>
              <w:bottom w:val="nil"/>
              <w:right w:val="nil"/>
            </w:tcBorders>
            <w:shd w:val="clear" w:color="auto" w:fill="auto"/>
            <w:noWrap/>
            <w:vAlign w:val="bottom"/>
            <w:hideMark/>
          </w:tcPr>
          <w:p w14:paraId="626D8142" w14:textId="77777777" w:rsidR="006A6808" w:rsidRPr="00177B65" w:rsidRDefault="006A6808" w:rsidP="00AD3087">
            <w:pPr>
              <w:spacing w:after="0" w:line="240" w:lineRule="auto"/>
              <w:jc w:val="right"/>
              <w:outlineLvl w:val="0"/>
              <w:rPr>
                <w:rFonts w:ascii="Arial" w:hAnsi="Arial" w:cs="Arial"/>
                <w:b/>
                <w:bCs/>
                <w:color w:val="000000"/>
                <w:sz w:val="16"/>
                <w:szCs w:val="16"/>
              </w:rPr>
            </w:pPr>
          </w:p>
        </w:tc>
        <w:tc>
          <w:tcPr>
            <w:tcW w:w="1057" w:type="dxa"/>
            <w:tcBorders>
              <w:top w:val="nil"/>
              <w:left w:val="nil"/>
              <w:bottom w:val="nil"/>
              <w:right w:val="nil"/>
            </w:tcBorders>
            <w:shd w:val="clear" w:color="000000" w:fill="E6E6E6"/>
            <w:noWrap/>
            <w:vAlign w:val="bottom"/>
            <w:hideMark/>
          </w:tcPr>
          <w:p w14:paraId="1E04A11D" w14:textId="514923F9" w:rsidR="006A6808" w:rsidRPr="00177B65" w:rsidRDefault="006A6808" w:rsidP="00AD3087">
            <w:pPr>
              <w:spacing w:after="0" w:line="240" w:lineRule="auto"/>
              <w:jc w:val="right"/>
              <w:outlineLvl w:val="0"/>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32A58ABC" w14:textId="77777777" w:rsidR="006A6808" w:rsidRPr="00177B65" w:rsidRDefault="006A6808" w:rsidP="00AD3087">
            <w:pPr>
              <w:spacing w:after="0" w:line="240" w:lineRule="auto"/>
              <w:jc w:val="right"/>
              <w:outlineLvl w:val="0"/>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13C826CA" w14:textId="77777777" w:rsidR="006A6808" w:rsidRPr="00177B65" w:rsidRDefault="006A6808" w:rsidP="00AD3087">
            <w:pPr>
              <w:spacing w:after="0" w:line="240" w:lineRule="auto"/>
              <w:jc w:val="right"/>
              <w:outlineLvl w:val="0"/>
              <w:rPr>
                <w:rFonts w:ascii="Arial" w:hAnsi="Arial" w:cs="Arial"/>
                <w:sz w:val="16"/>
                <w:szCs w:val="16"/>
              </w:rPr>
            </w:pPr>
          </w:p>
        </w:tc>
        <w:tc>
          <w:tcPr>
            <w:tcW w:w="1057" w:type="dxa"/>
            <w:tcBorders>
              <w:top w:val="nil"/>
              <w:left w:val="nil"/>
              <w:bottom w:val="nil"/>
              <w:right w:val="nil"/>
            </w:tcBorders>
            <w:shd w:val="clear" w:color="auto" w:fill="auto"/>
            <w:noWrap/>
            <w:vAlign w:val="bottom"/>
            <w:hideMark/>
          </w:tcPr>
          <w:p w14:paraId="0084DAB8" w14:textId="77777777" w:rsidR="006A6808" w:rsidRPr="00177B65" w:rsidRDefault="006A6808" w:rsidP="00AD3087">
            <w:pPr>
              <w:spacing w:after="0" w:line="240" w:lineRule="auto"/>
              <w:jc w:val="right"/>
              <w:outlineLvl w:val="0"/>
              <w:rPr>
                <w:rFonts w:ascii="Arial" w:hAnsi="Arial" w:cs="Arial"/>
                <w:sz w:val="16"/>
                <w:szCs w:val="16"/>
              </w:rPr>
            </w:pPr>
          </w:p>
        </w:tc>
      </w:tr>
      <w:tr w:rsidR="006A6808" w:rsidRPr="00504E31" w14:paraId="2E0330AE" w14:textId="77777777" w:rsidTr="00177B65">
        <w:trPr>
          <w:trHeight w:val="204"/>
        </w:trPr>
        <w:tc>
          <w:tcPr>
            <w:tcW w:w="2410" w:type="dxa"/>
            <w:tcBorders>
              <w:top w:val="nil"/>
              <w:left w:val="nil"/>
              <w:bottom w:val="nil"/>
              <w:right w:val="nil"/>
            </w:tcBorders>
            <w:shd w:val="clear" w:color="auto" w:fill="auto"/>
            <w:noWrap/>
            <w:vAlign w:val="bottom"/>
            <w:hideMark/>
          </w:tcPr>
          <w:p w14:paraId="15ECB8A3" w14:textId="385E1760" w:rsidR="006A6808" w:rsidRPr="00177B65" w:rsidRDefault="006A6808" w:rsidP="00504E31">
            <w:pPr>
              <w:spacing w:after="0" w:line="240" w:lineRule="auto"/>
              <w:ind w:left="113"/>
              <w:jc w:val="left"/>
              <w:outlineLvl w:val="0"/>
              <w:rPr>
                <w:rFonts w:ascii="Arial" w:hAnsi="Arial" w:cs="Arial"/>
                <w:color w:val="000000"/>
                <w:sz w:val="16"/>
                <w:szCs w:val="16"/>
              </w:rPr>
            </w:pPr>
            <w:r w:rsidRPr="00177B65">
              <w:rPr>
                <w:rFonts w:ascii="Arial" w:hAnsi="Arial" w:cs="Arial"/>
                <w:color w:val="000000"/>
                <w:sz w:val="16"/>
                <w:szCs w:val="16"/>
              </w:rPr>
              <w:t>Principal Repayments - Leased Assets</w:t>
            </w:r>
          </w:p>
        </w:tc>
        <w:tc>
          <w:tcPr>
            <w:tcW w:w="851" w:type="dxa"/>
            <w:tcBorders>
              <w:top w:val="nil"/>
              <w:left w:val="nil"/>
              <w:bottom w:val="nil"/>
              <w:right w:val="nil"/>
            </w:tcBorders>
            <w:shd w:val="clear" w:color="auto" w:fill="auto"/>
            <w:noWrap/>
            <w:vAlign w:val="bottom"/>
            <w:hideMark/>
          </w:tcPr>
          <w:p w14:paraId="35740F21" w14:textId="7DF5EA5C" w:rsidR="006A6808" w:rsidRPr="00177B65" w:rsidRDefault="006A6808" w:rsidP="00AD3087">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352</w:t>
            </w:r>
          </w:p>
        </w:tc>
        <w:tc>
          <w:tcPr>
            <w:tcW w:w="1057" w:type="dxa"/>
            <w:tcBorders>
              <w:top w:val="nil"/>
              <w:left w:val="nil"/>
              <w:bottom w:val="nil"/>
              <w:right w:val="nil"/>
            </w:tcBorders>
            <w:shd w:val="clear" w:color="000000" w:fill="E6E6E6"/>
            <w:noWrap/>
            <w:vAlign w:val="bottom"/>
            <w:hideMark/>
          </w:tcPr>
          <w:p w14:paraId="40752B41" w14:textId="5E2CC2A2" w:rsidR="006A6808" w:rsidRPr="00177B65" w:rsidRDefault="006A6808" w:rsidP="00AD3087">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327</w:t>
            </w:r>
          </w:p>
        </w:tc>
        <w:tc>
          <w:tcPr>
            <w:tcW w:w="1057" w:type="dxa"/>
            <w:tcBorders>
              <w:top w:val="nil"/>
              <w:left w:val="nil"/>
              <w:bottom w:val="nil"/>
              <w:right w:val="nil"/>
            </w:tcBorders>
            <w:shd w:val="clear" w:color="auto" w:fill="auto"/>
            <w:noWrap/>
            <w:vAlign w:val="bottom"/>
            <w:hideMark/>
          </w:tcPr>
          <w:p w14:paraId="6A09267E" w14:textId="76339A63" w:rsidR="006A6808" w:rsidRPr="00177B65" w:rsidRDefault="006A6808" w:rsidP="00AD3087">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333</w:t>
            </w:r>
          </w:p>
        </w:tc>
        <w:tc>
          <w:tcPr>
            <w:tcW w:w="1057" w:type="dxa"/>
            <w:tcBorders>
              <w:top w:val="nil"/>
              <w:left w:val="nil"/>
              <w:bottom w:val="nil"/>
              <w:right w:val="nil"/>
            </w:tcBorders>
            <w:shd w:val="clear" w:color="auto" w:fill="auto"/>
            <w:noWrap/>
            <w:vAlign w:val="bottom"/>
            <w:hideMark/>
          </w:tcPr>
          <w:p w14:paraId="7C168D5B" w14:textId="34B6CA7E" w:rsidR="006A6808" w:rsidRPr="00177B65" w:rsidRDefault="006A6808" w:rsidP="00AD3087">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339</w:t>
            </w:r>
          </w:p>
        </w:tc>
        <w:tc>
          <w:tcPr>
            <w:tcW w:w="1057" w:type="dxa"/>
            <w:tcBorders>
              <w:top w:val="nil"/>
              <w:left w:val="nil"/>
              <w:bottom w:val="nil"/>
              <w:right w:val="nil"/>
            </w:tcBorders>
            <w:shd w:val="clear" w:color="auto" w:fill="auto"/>
            <w:noWrap/>
            <w:vAlign w:val="bottom"/>
            <w:hideMark/>
          </w:tcPr>
          <w:p w14:paraId="0839D73F" w14:textId="6383076F" w:rsidR="006A6808" w:rsidRPr="00177B65" w:rsidRDefault="006A6808" w:rsidP="00AD3087">
            <w:pPr>
              <w:spacing w:after="0" w:line="240" w:lineRule="auto"/>
              <w:jc w:val="right"/>
              <w:outlineLvl w:val="0"/>
              <w:rPr>
                <w:rFonts w:ascii="Arial" w:hAnsi="Arial" w:cs="Arial"/>
                <w:color w:val="000000"/>
                <w:sz w:val="16"/>
                <w:szCs w:val="16"/>
              </w:rPr>
            </w:pPr>
            <w:r w:rsidRPr="00177B65">
              <w:rPr>
                <w:rFonts w:ascii="Arial" w:hAnsi="Arial" w:cs="Arial"/>
                <w:color w:val="000000"/>
                <w:sz w:val="16"/>
                <w:szCs w:val="16"/>
              </w:rPr>
              <w:t>345</w:t>
            </w:r>
          </w:p>
        </w:tc>
      </w:tr>
      <w:tr w:rsidR="006A6808" w:rsidRPr="00504E31" w14:paraId="3C41AE1B" w14:textId="77777777" w:rsidTr="00177B65">
        <w:trPr>
          <w:trHeight w:val="204"/>
        </w:trPr>
        <w:tc>
          <w:tcPr>
            <w:tcW w:w="2410" w:type="dxa"/>
            <w:tcBorders>
              <w:top w:val="nil"/>
              <w:left w:val="nil"/>
              <w:bottom w:val="nil"/>
              <w:right w:val="nil"/>
            </w:tcBorders>
            <w:shd w:val="clear" w:color="auto" w:fill="auto"/>
            <w:noWrap/>
            <w:vAlign w:val="bottom"/>
            <w:hideMark/>
          </w:tcPr>
          <w:p w14:paraId="4B6F3DCE" w14:textId="77777777" w:rsidR="006A6808" w:rsidRPr="00177B65" w:rsidRDefault="006A6808" w:rsidP="006A6808">
            <w:pPr>
              <w:spacing w:after="0" w:line="240" w:lineRule="auto"/>
              <w:jc w:val="left"/>
              <w:outlineLvl w:val="0"/>
              <w:rPr>
                <w:rFonts w:ascii="Arial" w:hAnsi="Arial" w:cs="Arial"/>
                <w:b/>
                <w:bCs/>
                <w:i/>
                <w:iCs/>
                <w:color w:val="000000"/>
                <w:sz w:val="16"/>
                <w:szCs w:val="16"/>
              </w:rPr>
            </w:pPr>
            <w:r w:rsidRPr="00177B65">
              <w:rPr>
                <w:rFonts w:ascii="Arial" w:hAnsi="Arial" w:cs="Arial"/>
                <w:b/>
                <w:bCs/>
                <w:i/>
                <w:iCs/>
                <w:color w:val="000000"/>
                <w:sz w:val="16"/>
                <w:szCs w:val="16"/>
              </w:rPr>
              <w:t>Total cash used</w:t>
            </w:r>
          </w:p>
        </w:tc>
        <w:tc>
          <w:tcPr>
            <w:tcW w:w="851" w:type="dxa"/>
            <w:tcBorders>
              <w:top w:val="single" w:sz="4" w:space="0" w:color="auto"/>
              <w:left w:val="nil"/>
              <w:bottom w:val="single" w:sz="4" w:space="0" w:color="auto"/>
              <w:right w:val="nil"/>
            </w:tcBorders>
            <w:shd w:val="clear" w:color="auto" w:fill="auto"/>
            <w:noWrap/>
            <w:vAlign w:val="bottom"/>
            <w:hideMark/>
          </w:tcPr>
          <w:p w14:paraId="05A2E354" w14:textId="34C107FD" w:rsidR="006A6808" w:rsidRPr="00177B65" w:rsidRDefault="006A6808" w:rsidP="00AD3087">
            <w:pPr>
              <w:spacing w:after="0" w:line="240" w:lineRule="auto"/>
              <w:jc w:val="right"/>
              <w:outlineLvl w:val="0"/>
              <w:rPr>
                <w:rFonts w:ascii="Arial" w:hAnsi="Arial" w:cs="Arial"/>
                <w:b/>
                <w:bCs/>
                <w:i/>
                <w:iCs/>
                <w:color w:val="000000"/>
                <w:sz w:val="16"/>
                <w:szCs w:val="16"/>
              </w:rPr>
            </w:pPr>
            <w:r w:rsidRPr="00177B65">
              <w:rPr>
                <w:rFonts w:ascii="Arial" w:hAnsi="Arial" w:cs="Arial"/>
                <w:b/>
                <w:bCs/>
                <w:i/>
                <w:iCs/>
                <w:color w:val="000000"/>
                <w:sz w:val="16"/>
                <w:szCs w:val="16"/>
              </w:rPr>
              <w:t>352</w:t>
            </w:r>
          </w:p>
        </w:tc>
        <w:tc>
          <w:tcPr>
            <w:tcW w:w="1057" w:type="dxa"/>
            <w:tcBorders>
              <w:top w:val="single" w:sz="4" w:space="0" w:color="auto"/>
              <w:left w:val="nil"/>
              <w:bottom w:val="single" w:sz="4" w:space="0" w:color="auto"/>
              <w:right w:val="nil"/>
            </w:tcBorders>
            <w:shd w:val="clear" w:color="000000" w:fill="E6E6E6"/>
            <w:noWrap/>
            <w:vAlign w:val="bottom"/>
            <w:hideMark/>
          </w:tcPr>
          <w:p w14:paraId="54F7B8AC" w14:textId="6C5C4681" w:rsidR="006A6808" w:rsidRPr="00177B65" w:rsidRDefault="006A6808" w:rsidP="00AD3087">
            <w:pPr>
              <w:spacing w:after="0" w:line="240" w:lineRule="auto"/>
              <w:jc w:val="right"/>
              <w:outlineLvl w:val="0"/>
              <w:rPr>
                <w:rFonts w:ascii="Arial" w:hAnsi="Arial" w:cs="Arial"/>
                <w:b/>
                <w:bCs/>
                <w:i/>
                <w:iCs/>
                <w:color w:val="000000"/>
                <w:sz w:val="16"/>
                <w:szCs w:val="16"/>
              </w:rPr>
            </w:pPr>
            <w:r w:rsidRPr="00177B65">
              <w:rPr>
                <w:rFonts w:ascii="Arial" w:hAnsi="Arial" w:cs="Arial"/>
                <w:b/>
                <w:bCs/>
                <w:i/>
                <w:iCs/>
                <w:color w:val="000000"/>
                <w:sz w:val="16"/>
                <w:szCs w:val="16"/>
              </w:rPr>
              <w:t>327</w:t>
            </w:r>
          </w:p>
        </w:tc>
        <w:tc>
          <w:tcPr>
            <w:tcW w:w="1057" w:type="dxa"/>
            <w:tcBorders>
              <w:top w:val="single" w:sz="4" w:space="0" w:color="auto"/>
              <w:left w:val="nil"/>
              <w:bottom w:val="single" w:sz="4" w:space="0" w:color="auto"/>
              <w:right w:val="nil"/>
            </w:tcBorders>
            <w:shd w:val="clear" w:color="auto" w:fill="auto"/>
            <w:noWrap/>
            <w:vAlign w:val="bottom"/>
            <w:hideMark/>
          </w:tcPr>
          <w:p w14:paraId="3E74904D" w14:textId="2B09BBA6" w:rsidR="006A6808" w:rsidRPr="00177B65" w:rsidRDefault="006A6808" w:rsidP="00AD3087">
            <w:pPr>
              <w:spacing w:after="0" w:line="240" w:lineRule="auto"/>
              <w:jc w:val="right"/>
              <w:outlineLvl w:val="0"/>
              <w:rPr>
                <w:rFonts w:ascii="Arial" w:hAnsi="Arial" w:cs="Arial"/>
                <w:b/>
                <w:bCs/>
                <w:i/>
                <w:iCs/>
                <w:color w:val="000000"/>
                <w:sz w:val="16"/>
                <w:szCs w:val="16"/>
              </w:rPr>
            </w:pPr>
            <w:r w:rsidRPr="00177B65">
              <w:rPr>
                <w:rFonts w:ascii="Arial" w:hAnsi="Arial" w:cs="Arial"/>
                <w:b/>
                <w:bCs/>
                <w:i/>
                <w:iCs/>
                <w:color w:val="000000"/>
                <w:sz w:val="16"/>
                <w:szCs w:val="16"/>
              </w:rPr>
              <w:t>333</w:t>
            </w:r>
          </w:p>
        </w:tc>
        <w:tc>
          <w:tcPr>
            <w:tcW w:w="1057" w:type="dxa"/>
            <w:tcBorders>
              <w:top w:val="single" w:sz="4" w:space="0" w:color="auto"/>
              <w:left w:val="nil"/>
              <w:bottom w:val="single" w:sz="4" w:space="0" w:color="auto"/>
              <w:right w:val="nil"/>
            </w:tcBorders>
            <w:shd w:val="clear" w:color="auto" w:fill="auto"/>
            <w:noWrap/>
            <w:vAlign w:val="bottom"/>
            <w:hideMark/>
          </w:tcPr>
          <w:p w14:paraId="18D0B071" w14:textId="2F70A1A7" w:rsidR="006A6808" w:rsidRPr="00177B65" w:rsidRDefault="006A6808" w:rsidP="00AD3087">
            <w:pPr>
              <w:spacing w:after="0" w:line="240" w:lineRule="auto"/>
              <w:jc w:val="right"/>
              <w:outlineLvl w:val="0"/>
              <w:rPr>
                <w:rFonts w:ascii="Arial" w:hAnsi="Arial" w:cs="Arial"/>
                <w:b/>
                <w:bCs/>
                <w:i/>
                <w:iCs/>
                <w:color w:val="000000"/>
                <w:sz w:val="16"/>
                <w:szCs w:val="16"/>
              </w:rPr>
            </w:pPr>
            <w:r w:rsidRPr="00177B65">
              <w:rPr>
                <w:rFonts w:ascii="Arial" w:hAnsi="Arial" w:cs="Arial"/>
                <w:b/>
                <w:bCs/>
                <w:i/>
                <w:iCs/>
                <w:color w:val="000000"/>
                <w:sz w:val="16"/>
                <w:szCs w:val="16"/>
              </w:rPr>
              <w:t>339</w:t>
            </w:r>
          </w:p>
        </w:tc>
        <w:tc>
          <w:tcPr>
            <w:tcW w:w="1057" w:type="dxa"/>
            <w:tcBorders>
              <w:top w:val="single" w:sz="4" w:space="0" w:color="auto"/>
              <w:left w:val="nil"/>
              <w:bottom w:val="single" w:sz="4" w:space="0" w:color="auto"/>
              <w:right w:val="nil"/>
            </w:tcBorders>
            <w:shd w:val="clear" w:color="auto" w:fill="auto"/>
            <w:noWrap/>
            <w:vAlign w:val="bottom"/>
            <w:hideMark/>
          </w:tcPr>
          <w:p w14:paraId="190DAA0F" w14:textId="0EF64F0D" w:rsidR="006A6808" w:rsidRPr="00177B65" w:rsidRDefault="006A6808" w:rsidP="00AD3087">
            <w:pPr>
              <w:spacing w:after="0" w:line="240" w:lineRule="auto"/>
              <w:jc w:val="right"/>
              <w:outlineLvl w:val="0"/>
              <w:rPr>
                <w:rFonts w:ascii="Arial" w:hAnsi="Arial" w:cs="Arial"/>
                <w:b/>
                <w:bCs/>
                <w:i/>
                <w:iCs/>
                <w:color w:val="000000"/>
                <w:sz w:val="16"/>
                <w:szCs w:val="16"/>
              </w:rPr>
            </w:pPr>
            <w:r w:rsidRPr="00177B65">
              <w:rPr>
                <w:rFonts w:ascii="Arial" w:hAnsi="Arial" w:cs="Arial"/>
                <w:b/>
                <w:bCs/>
                <w:i/>
                <w:iCs/>
                <w:color w:val="000000"/>
                <w:sz w:val="16"/>
                <w:szCs w:val="16"/>
              </w:rPr>
              <w:t>345</w:t>
            </w:r>
          </w:p>
        </w:tc>
      </w:tr>
      <w:tr w:rsidR="006A6808" w:rsidRPr="00504E31" w14:paraId="4F16AFD8" w14:textId="77777777" w:rsidTr="00177B65">
        <w:trPr>
          <w:trHeight w:val="204"/>
        </w:trPr>
        <w:tc>
          <w:tcPr>
            <w:tcW w:w="2410" w:type="dxa"/>
            <w:tcBorders>
              <w:top w:val="nil"/>
              <w:left w:val="nil"/>
              <w:bottom w:val="nil"/>
              <w:right w:val="nil"/>
            </w:tcBorders>
            <w:shd w:val="clear" w:color="auto" w:fill="auto"/>
            <w:vAlign w:val="bottom"/>
            <w:hideMark/>
          </w:tcPr>
          <w:p w14:paraId="3EC1258A"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Net cash from/(used by) financing activities</w:t>
            </w:r>
          </w:p>
        </w:tc>
        <w:tc>
          <w:tcPr>
            <w:tcW w:w="851" w:type="dxa"/>
            <w:tcBorders>
              <w:top w:val="single" w:sz="4" w:space="0" w:color="auto"/>
              <w:left w:val="nil"/>
              <w:bottom w:val="single" w:sz="4" w:space="0" w:color="auto"/>
              <w:right w:val="nil"/>
            </w:tcBorders>
            <w:shd w:val="clear" w:color="auto" w:fill="auto"/>
            <w:noWrap/>
            <w:vAlign w:val="bottom"/>
            <w:hideMark/>
          </w:tcPr>
          <w:p w14:paraId="12C9EFE9" w14:textId="1A434EDC"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2,008</w:t>
            </w:r>
          </w:p>
        </w:tc>
        <w:tc>
          <w:tcPr>
            <w:tcW w:w="1057" w:type="dxa"/>
            <w:tcBorders>
              <w:top w:val="single" w:sz="4" w:space="0" w:color="auto"/>
              <w:left w:val="nil"/>
              <w:bottom w:val="single" w:sz="4" w:space="0" w:color="auto"/>
              <w:right w:val="nil"/>
            </w:tcBorders>
            <w:shd w:val="clear" w:color="000000" w:fill="E6E6E6"/>
            <w:noWrap/>
            <w:vAlign w:val="bottom"/>
            <w:hideMark/>
          </w:tcPr>
          <w:p w14:paraId="680569C6" w14:textId="2C1C5901"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3</w:t>
            </w:r>
            <w:r w:rsidR="008F1DD5" w:rsidRPr="00177B65">
              <w:rPr>
                <w:rFonts w:ascii="Arial" w:hAnsi="Arial" w:cs="Arial"/>
                <w:b/>
                <w:bCs/>
                <w:color w:val="000000"/>
                <w:sz w:val="16"/>
                <w:szCs w:val="16"/>
              </w:rPr>
              <w:t>,8</w:t>
            </w:r>
            <w:r w:rsidRPr="00177B65">
              <w:rPr>
                <w:rFonts w:ascii="Arial" w:hAnsi="Arial" w:cs="Arial"/>
                <w:b/>
                <w:bCs/>
                <w:color w:val="000000"/>
                <w:sz w:val="16"/>
                <w:szCs w:val="16"/>
              </w:rPr>
              <w:t>34</w:t>
            </w:r>
          </w:p>
        </w:tc>
        <w:tc>
          <w:tcPr>
            <w:tcW w:w="1057" w:type="dxa"/>
            <w:tcBorders>
              <w:top w:val="single" w:sz="4" w:space="0" w:color="auto"/>
              <w:left w:val="nil"/>
              <w:bottom w:val="single" w:sz="4" w:space="0" w:color="auto"/>
              <w:right w:val="nil"/>
            </w:tcBorders>
            <w:shd w:val="clear" w:color="auto" w:fill="auto"/>
            <w:noWrap/>
            <w:vAlign w:val="bottom"/>
            <w:hideMark/>
          </w:tcPr>
          <w:p w14:paraId="32B7D09C" w14:textId="47A82801"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333</w:t>
            </w:r>
          </w:p>
        </w:tc>
        <w:tc>
          <w:tcPr>
            <w:tcW w:w="1057" w:type="dxa"/>
            <w:tcBorders>
              <w:top w:val="single" w:sz="4" w:space="0" w:color="auto"/>
              <w:left w:val="nil"/>
              <w:bottom w:val="single" w:sz="4" w:space="0" w:color="auto"/>
              <w:right w:val="nil"/>
            </w:tcBorders>
            <w:shd w:val="clear" w:color="auto" w:fill="auto"/>
            <w:noWrap/>
            <w:vAlign w:val="bottom"/>
            <w:hideMark/>
          </w:tcPr>
          <w:p w14:paraId="50CAB7EE" w14:textId="1913959E"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334</w:t>
            </w:r>
          </w:p>
        </w:tc>
        <w:tc>
          <w:tcPr>
            <w:tcW w:w="1057" w:type="dxa"/>
            <w:tcBorders>
              <w:top w:val="single" w:sz="4" w:space="0" w:color="auto"/>
              <w:left w:val="nil"/>
              <w:bottom w:val="single" w:sz="4" w:space="0" w:color="auto"/>
              <w:right w:val="nil"/>
            </w:tcBorders>
            <w:shd w:val="clear" w:color="auto" w:fill="auto"/>
            <w:noWrap/>
            <w:vAlign w:val="bottom"/>
            <w:hideMark/>
          </w:tcPr>
          <w:p w14:paraId="0BFEF557" w14:textId="1F5F8D6A"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333</w:t>
            </w:r>
          </w:p>
        </w:tc>
      </w:tr>
      <w:tr w:rsidR="006A6808" w:rsidRPr="00504E31" w14:paraId="0D53E8BE" w14:textId="77777777" w:rsidTr="00177B65">
        <w:trPr>
          <w:trHeight w:val="204"/>
        </w:trPr>
        <w:tc>
          <w:tcPr>
            <w:tcW w:w="2410" w:type="dxa"/>
            <w:tcBorders>
              <w:top w:val="nil"/>
              <w:left w:val="nil"/>
              <w:bottom w:val="nil"/>
              <w:right w:val="nil"/>
            </w:tcBorders>
            <w:shd w:val="clear" w:color="auto" w:fill="auto"/>
            <w:noWrap/>
            <w:vAlign w:val="bottom"/>
            <w:hideMark/>
          </w:tcPr>
          <w:p w14:paraId="3464D5E0"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Net increase/(decrease) in cash held</w:t>
            </w:r>
          </w:p>
        </w:tc>
        <w:tc>
          <w:tcPr>
            <w:tcW w:w="851" w:type="dxa"/>
            <w:tcBorders>
              <w:top w:val="single" w:sz="4" w:space="0" w:color="auto"/>
              <w:left w:val="nil"/>
              <w:bottom w:val="single" w:sz="4" w:space="0" w:color="auto"/>
              <w:right w:val="nil"/>
            </w:tcBorders>
            <w:shd w:val="clear" w:color="auto" w:fill="auto"/>
            <w:noWrap/>
            <w:vAlign w:val="bottom"/>
            <w:hideMark/>
          </w:tcPr>
          <w:p w14:paraId="1B6DB523" w14:textId="77777777"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(32)</w:t>
            </w:r>
          </w:p>
        </w:tc>
        <w:tc>
          <w:tcPr>
            <w:tcW w:w="1057" w:type="dxa"/>
            <w:tcBorders>
              <w:top w:val="single" w:sz="4" w:space="0" w:color="auto"/>
              <w:left w:val="nil"/>
              <w:bottom w:val="single" w:sz="4" w:space="0" w:color="auto"/>
              <w:right w:val="nil"/>
            </w:tcBorders>
            <w:shd w:val="clear" w:color="000000" w:fill="E6E6E6"/>
            <w:noWrap/>
            <w:vAlign w:val="bottom"/>
            <w:hideMark/>
          </w:tcPr>
          <w:p w14:paraId="5ACAD37C" w14:textId="2FC0EC22"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w:t>
            </w:r>
          </w:p>
        </w:tc>
        <w:tc>
          <w:tcPr>
            <w:tcW w:w="1057" w:type="dxa"/>
            <w:tcBorders>
              <w:top w:val="single" w:sz="4" w:space="0" w:color="auto"/>
              <w:left w:val="nil"/>
              <w:bottom w:val="single" w:sz="4" w:space="0" w:color="auto"/>
              <w:right w:val="nil"/>
            </w:tcBorders>
            <w:shd w:val="clear" w:color="auto" w:fill="auto"/>
            <w:noWrap/>
            <w:vAlign w:val="bottom"/>
            <w:hideMark/>
          </w:tcPr>
          <w:p w14:paraId="322018BC" w14:textId="172F98EA"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w:t>
            </w:r>
          </w:p>
        </w:tc>
        <w:tc>
          <w:tcPr>
            <w:tcW w:w="1057" w:type="dxa"/>
            <w:tcBorders>
              <w:top w:val="single" w:sz="4" w:space="0" w:color="auto"/>
              <w:left w:val="nil"/>
              <w:bottom w:val="single" w:sz="4" w:space="0" w:color="auto"/>
              <w:right w:val="nil"/>
            </w:tcBorders>
            <w:shd w:val="clear" w:color="auto" w:fill="auto"/>
            <w:noWrap/>
            <w:vAlign w:val="bottom"/>
            <w:hideMark/>
          </w:tcPr>
          <w:p w14:paraId="1461B23A" w14:textId="180A0434"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w:t>
            </w:r>
          </w:p>
        </w:tc>
        <w:tc>
          <w:tcPr>
            <w:tcW w:w="1057" w:type="dxa"/>
            <w:tcBorders>
              <w:top w:val="single" w:sz="4" w:space="0" w:color="auto"/>
              <w:left w:val="nil"/>
              <w:bottom w:val="single" w:sz="4" w:space="0" w:color="auto"/>
              <w:right w:val="nil"/>
            </w:tcBorders>
            <w:shd w:val="clear" w:color="auto" w:fill="auto"/>
            <w:noWrap/>
            <w:vAlign w:val="bottom"/>
            <w:hideMark/>
          </w:tcPr>
          <w:p w14:paraId="02FF0AF4" w14:textId="53500566"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w:t>
            </w:r>
          </w:p>
        </w:tc>
      </w:tr>
      <w:tr w:rsidR="006A6808" w:rsidRPr="00504E31" w14:paraId="7D131753" w14:textId="77777777" w:rsidTr="00177B65">
        <w:trPr>
          <w:trHeight w:val="204"/>
        </w:trPr>
        <w:tc>
          <w:tcPr>
            <w:tcW w:w="2410" w:type="dxa"/>
            <w:tcBorders>
              <w:top w:val="nil"/>
              <w:left w:val="nil"/>
              <w:bottom w:val="nil"/>
              <w:right w:val="nil"/>
            </w:tcBorders>
            <w:shd w:val="clear" w:color="auto" w:fill="auto"/>
            <w:vAlign w:val="bottom"/>
            <w:hideMark/>
          </w:tcPr>
          <w:p w14:paraId="67147A0B" w14:textId="77777777" w:rsidR="006A6808" w:rsidRPr="00177B65" w:rsidRDefault="006A6808" w:rsidP="00177B65">
            <w:pPr>
              <w:spacing w:before="60" w:after="0" w:line="240" w:lineRule="auto"/>
              <w:jc w:val="left"/>
              <w:rPr>
                <w:rFonts w:ascii="Arial" w:hAnsi="Arial" w:cs="Arial"/>
                <w:color w:val="000000"/>
                <w:sz w:val="16"/>
                <w:szCs w:val="16"/>
              </w:rPr>
            </w:pPr>
            <w:r w:rsidRPr="00177B65">
              <w:rPr>
                <w:rFonts w:ascii="Arial" w:hAnsi="Arial" w:cs="Arial"/>
                <w:color w:val="000000"/>
                <w:sz w:val="16"/>
                <w:szCs w:val="16"/>
              </w:rPr>
              <w:t>Cash and cash equivalents at the beginning of the reporting period</w:t>
            </w:r>
          </w:p>
        </w:tc>
        <w:tc>
          <w:tcPr>
            <w:tcW w:w="851" w:type="dxa"/>
            <w:tcBorders>
              <w:top w:val="nil"/>
              <w:left w:val="nil"/>
              <w:bottom w:val="nil"/>
              <w:right w:val="nil"/>
            </w:tcBorders>
            <w:shd w:val="clear" w:color="auto" w:fill="auto"/>
            <w:noWrap/>
            <w:vAlign w:val="bottom"/>
            <w:hideMark/>
          </w:tcPr>
          <w:p w14:paraId="179AF199" w14:textId="3FEBF0F9"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191</w:t>
            </w:r>
          </w:p>
        </w:tc>
        <w:tc>
          <w:tcPr>
            <w:tcW w:w="1057" w:type="dxa"/>
            <w:tcBorders>
              <w:top w:val="nil"/>
              <w:left w:val="nil"/>
              <w:bottom w:val="nil"/>
              <w:right w:val="nil"/>
            </w:tcBorders>
            <w:shd w:val="clear" w:color="000000" w:fill="E6E6E6"/>
            <w:noWrap/>
            <w:vAlign w:val="bottom"/>
            <w:hideMark/>
          </w:tcPr>
          <w:p w14:paraId="2E333D92" w14:textId="59884EE8"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159</w:t>
            </w:r>
          </w:p>
        </w:tc>
        <w:tc>
          <w:tcPr>
            <w:tcW w:w="1057" w:type="dxa"/>
            <w:tcBorders>
              <w:top w:val="nil"/>
              <w:left w:val="nil"/>
              <w:bottom w:val="nil"/>
              <w:right w:val="nil"/>
            </w:tcBorders>
            <w:shd w:val="clear" w:color="auto" w:fill="auto"/>
            <w:noWrap/>
            <w:vAlign w:val="bottom"/>
            <w:hideMark/>
          </w:tcPr>
          <w:p w14:paraId="7ECDCC59" w14:textId="5D47FAF0"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159</w:t>
            </w:r>
          </w:p>
        </w:tc>
        <w:tc>
          <w:tcPr>
            <w:tcW w:w="1057" w:type="dxa"/>
            <w:tcBorders>
              <w:top w:val="nil"/>
              <w:left w:val="nil"/>
              <w:bottom w:val="nil"/>
              <w:right w:val="nil"/>
            </w:tcBorders>
            <w:shd w:val="clear" w:color="auto" w:fill="auto"/>
            <w:noWrap/>
            <w:vAlign w:val="bottom"/>
            <w:hideMark/>
          </w:tcPr>
          <w:p w14:paraId="38256905" w14:textId="2D72AF2B"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159</w:t>
            </w:r>
          </w:p>
        </w:tc>
        <w:tc>
          <w:tcPr>
            <w:tcW w:w="1057" w:type="dxa"/>
            <w:tcBorders>
              <w:top w:val="nil"/>
              <w:left w:val="nil"/>
              <w:bottom w:val="nil"/>
              <w:right w:val="nil"/>
            </w:tcBorders>
            <w:shd w:val="clear" w:color="auto" w:fill="auto"/>
            <w:noWrap/>
            <w:vAlign w:val="bottom"/>
            <w:hideMark/>
          </w:tcPr>
          <w:p w14:paraId="0E3AB3DE" w14:textId="23B6C044" w:rsidR="006A6808" w:rsidRPr="00177B65" w:rsidRDefault="006A6808" w:rsidP="00AD3087">
            <w:pPr>
              <w:spacing w:after="0" w:line="240" w:lineRule="auto"/>
              <w:jc w:val="right"/>
              <w:rPr>
                <w:rFonts w:ascii="Arial" w:hAnsi="Arial" w:cs="Arial"/>
                <w:color w:val="000000"/>
                <w:sz w:val="16"/>
                <w:szCs w:val="16"/>
              </w:rPr>
            </w:pPr>
            <w:r w:rsidRPr="00177B65">
              <w:rPr>
                <w:rFonts w:ascii="Arial" w:hAnsi="Arial" w:cs="Arial"/>
                <w:color w:val="000000"/>
                <w:sz w:val="16"/>
                <w:szCs w:val="16"/>
              </w:rPr>
              <w:t>159</w:t>
            </w:r>
          </w:p>
        </w:tc>
      </w:tr>
      <w:tr w:rsidR="006A6808" w:rsidRPr="00504E31" w14:paraId="26676C2D" w14:textId="77777777" w:rsidTr="00177B65">
        <w:trPr>
          <w:trHeight w:val="204"/>
        </w:trPr>
        <w:tc>
          <w:tcPr>
            <w:tcW w:w="2410" w:type="dxa"/>
            <w:tcBorders>
              <w:top w:val="nil"/>
              <w:left w:val="nil"/>
              <w:bottom w:val="single" w:sz="4" w:space="0" w:color="auto"/>
              <w:right w:val="nil"/>
            </w:tcBorders>
            <w:shd w:val="clear" w:color="auto" w:fill="auto"/>
            <w:vAlign w:val="bottom"/>
            <w:hideMark/>
          </w:tcPr>
          <w:p w14:paraId="6072B686" w14:textId="77777777" w:rsidR="006A6808" w:rsidRPr="00177B65" w:rsidRDefault="006A6808" w:rsidP="006A6808">
            <w:pPr>
              <w:spacing w:after="0" w:line="240" w:lineRule="auto"/>
              <w:jc w:val="left"/>
              <w:rPr>
                <w:rFonts w:ascii="Arial" w:hAnsi="Arial" w:cs="Arial"/>
                <w:b/>
                <w:bCs/>
                <w:color w:val="000000"/>
                <w:sz w:val="16"/>
                <w:szCs w:val="16"/>
              </w:rPr>
            </w:pPr>
            <w:r w:rsidRPr="00177B65">
              <w:rPr>
                <w:rFonts w:ascii="Arial" w:hAnsi="Arial" w:cs="Arial"/>
                <w:b/>
                <w:bCs/>
                <w:color w:val="000000"/>
                <w:sz w:val="16"/>
                <w:szCs w:val="16"/>
              </w:rPr>
              <w:t>Cash and cash equivalents at the end of the reporting period</w:t>
            </w:r>
          </w:p>
        </w:tc>
        <w:tc>
          <w:tcPr>
            <w:tcW w:w="851" w:type="dxa"/>
            <w:tcBorders>
              <w:top w:val="single" w:sz="4" w:space="0" w:color="auto"/>
              <w:left w:val="nil"/>
              <w:bottom w:val="single" w:sz="4" w:space="0" w:color="auto"/>
              <w:right w:val="nil"/>
            </w:tcBorders>
            <w:shd w:val="clear" w:color="auto" w:fill="auto"/>
            <w:noWrap/>
            <w:vAlign w:val="bottom"/>
            <w:hideMark/>
          </w:tcPr>
          <w:p w14:paraId="2BD117C2" w14:textId="34FABAA9"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159</w:t>
            </w:r>
          </w:p>
        </w:tc>
        <w:tc>
          <w:tcPr>
            <w:tcW w:w="1057" w:type="dxa"/>
            <w:tcBorders>
              <w:top w:val="single" w:sz="4" w:space="0" w:color="auto"/>
              <w:left w:val="nil"/>
              <w:bottom w:val="single" w:sz="4" w:space="0" w:color="auto"/>
              <w:right w:val="nil"/>
            </w:tcBorders>
            <w:shd w:val="clear" w:color="000000" w:fill="E6E6E6"/>
            <w:noWrap/>
            <w:vAlign w:val="bottom"/>
            <w:hideMark/>
          </w:tcPr>
          <w:p w14:paraId="0F894898" w14:textId="11D7A397"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159</w:t>
            </w:r>
          </w:p>
        </w:tc>
        <w:tc>
          <w:tcPr>
            <w:tcW w:w="1057" w:type="dxa"/>
            <w:tcBorders>
              <w:top w:val="single" w:sz="4" w:space="0" w:color="auto"/>
              <w:left w:val="nil"/>
              <w:bottom w:val="single" w:sz="4" w:space="0" w:color="auto"/>
              <w:right w:val="nil"/>
            </w:tcBorders>
            <w:shd w:val="clear" w:color="auto" w:fill="auto"/>
            <w:noWrap/>
            <w:vAlign w:val="bottom"/>
            <w:hideMark/>
          </w:tcPr>
          <w:p w14:paraId="20B29DE7" w14:textId="18AB8231"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159</w:t>
            </w:r>
          </w:p>
        </w:tc>
        <w:tc>
          <w:tcPr>
            <w:tcW w:w="1057" w:type="dxa"/>
            <w:tcBorders>
              <w:top w:val="single" w:sz="4" w:space="0" w:color="auto"/>
              <w:left w:val="nil"/>
              <w:bottom w:val="single" w:sz="4" w:space="0" w:color="auto"/>
              <w:right w:val="nil"/>
            </w:tcBorders>
            <w:shd w:val="clear" w:color="auto" w:fill="auto"/>
            <w:noWrap/>
            <w:vAlign w:val="bottom"/>
            <w:hideMark/>
          </w:tcPr>
          <w:p w14:paraId="7F60609C" w14:textId="06AE5D55"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159</w:t>
            </w:r>
          </w:p>
        </w:tc>
        <w:tc>
          <w:tcPr>
            <w:tcW w:w="1057" w:type="dxa"/>
            <w:tcBorders>
              <w:top w:val="single" w:sz="4" w:space="0" w:color="auto"/>
              <w:left w:val="nil"/>
              <w:bottom w:val="single" w:sz="4" w:space="0" w:color="auto"/>
              <w:right w:val="nil"/>
            </w:tcBorders>
            <w:shd w:val="clear" w:color="auto" w:fill="auto"/>
            <w:noWrap/>
            <w:vAlign w:val="bottom"/>
            <w:hideMark/>
          </w:tcPr>
          <w:p w14:paraId="2F673BA1" w14:textId="6A3F3CF3" w:rsidR="006A6808" w:rsidRPr="00177B65" w:rsidRDefault="006A6808" w:rsidP="00AD3087">
            <w:pPr>
              <w:spacing w:after="0" w:line="240" w:lineRule="auto"/>
              <w:jc w:val="right"/>
              <w:rPr>
                <w:rFonts w:ascii="Arial" w:hAnsi="Arial" w:cs="Arial"/>
                <w:b/>
                <w:bCs/>
                <w:color w:val="000000"/>
                <w:sz w:val="16"/>
                <w:szCs w:val="16"/>
              </w:rPr>
            </w:pPr>
            <w:r w:rsidRPr="00177B65">
              <w:rPr>
                <w:rFonts w:ascii="Arial" w:hAnsi="Arial" w:cs="Arial"/>
                <w:b/>
                <w:bCs/>
                <w:color w:val="000000"/>
                <w:sz w:val="16"/>
                <w:szCs w:val="16"/>
              </w:rPr>
              <w:t>159</w:t>
            </w:r>
          </w:p>
        </w:tc>
      </w:tr>
    </w:tbl>
    <w:p w14:paraId="191E8775" w14:textId="05A76720" w:rsidR="00504E31" w:rsidRPr="00D129D0" w:rsidRDefault="00D129D0" w:rsidP="0002571F">
      <w:pPr>
        <w:pStyle w:val="TableGraphic"/>
        <w:spacing w:before="60"/>
        <w:jc w:val="left"/>
        <w:rPr>
          <w:rFonts w:ascii="Arial" w:hAnsi="Arial" w:cs="Arial"/>
          <w:i w:val="0"/>
          <w:snapToGrid w:val="0"/>
          <w:color w:val="auto"/>
          <w:sz w:val="16"/>
          <w:szCs w:val="16"/>
        </w:rPr>
      </w:pPr>
      <w:r w:rsidRPr="00D129D0">
        <w:rPr>
          <w:rFonts w:ascii="Arial" w:hAnsi="Arial" w:cs="Arial"/>
          <w:i w:val="0"/>
          <w:snapToGrid w:val="0"/>
          <w:color w:val="auto"/>
          <w:sz w:val="16"/>
          <w:szCs w:val="16"/>
        </w:rPr>
        <w:t>Prepared on Australian Accounting Standards basis.</w:t>
      </w:r>
    </w:p>
    <w:p w14:paraId="13399263" w14:textId="77777777" w:rsidR="00504E31" w:rsidRDefault="00504E31">
      <w:pPr>
        <w:spacing w:after="0" w:line="240" w:lineRule="auto"/>
        <w:jc w:val="left"/>
        <w:rPr>
          <w:i/>
          <w:snapToGrid w:val="0"/>
          <w:color w:val="FF0000"/>
        </w:rPr>
      </w:pPr>
      <w:r>
        <w:rPr>
          <w:snapToGrid w:val="0"/>
        </w:rPr>
        <w:br w:type="page"/>
      </w:r>
    </w:p>
    <w:p w14:paraId="433F51FF" w14:textId="64F97F18" w:rsidR="00914885" w:rsidRDefault="00914885" w:rsidP="00914885">
      <w:pPr>
        <w:pStyle w:val="TableHeading"/>
        <w:spacing w:before="0"/>
        <w:rPr>
          <w:lang w:val="en-AU"/>
        </w:rPr>
      </w:pPr>
      <w:r>
        <w:rPr>
          <w:snapToGrid w:val="0"/>
        </w:rPr>
        <w:lastRenderedPageBreak/>
        <w:t>Table 3.6:</w:t>
      </w:r>
      <w:r w:rsidRPr="00014438">
        <w:rPr>
          <w:snapToGrid w:val="0"/>
        </w:rPr>
        <w:t xml:space="preserve"> </w:t>
      </w:r>
      <w:r w:rsidR="008863D9">
        <w:rPr>
          <w:snapToGrid w:val="0"/>
          <w:lang w:val="en-AU"/>
        </w:rPr>
        <w:t>Department</w:t>
      </w:r>
      <w:r>
        <w:rPr>
          <w:snapToGrid w:val="0"/>
          <w:lang w:val="en-AU"/>
        </w:rPr>
        <w:t xml:space="preserve">al </w:t>
      </w:r>
      <w:r w:rsidRPr="00014438">
        <w:rPr>
          <w:snapToGrid w:val="0"/>
        </w:rPr>
        <w:t>capital budget statement</w:t>
      </w:r>
      <w:r>
        <w:rPr>
          <w:snapToGrid w:val="0"/>
          <w:lang w:val="en-AU"/>
        </w:rPr>
        <w:t xml:space="preserve"> (for the period ended 30 June)</w:t>
      </w:r>
      <w:r w:rsidRPr="008D4221">
        <w:rPr>
          <w:b w:val="0"/>
          <w:snapToGrid w:val="0"/>
        </w:rPr>
        <w:t xml:space="preserve"> </w:t>
      </w:r>
    </w:p>
    <w:tbl>
      <w:tblPr>
        <w:tblW w:w="7644" w:type="dxa"/>
        <w:tblLook w:val="04A0" w:firstRow="1" w:lastRow="0" w:firstColumn="1" w:lastColumn="0" w:noHBand="0" w:noVBand="1"/>
      </w:tblPr>
      <w:tblGrid>
        <w:gridCol w:w="2835"/>
        <w:gridCol w:w="851"/>
        <w:gridCol w:w="992"/>
        <w:gridCol w:w="851"/>
        <w:gridCol w:w="1057"/>
        <w:gridCol w:w="1058"/>
      </w:tblGrid>
      <w:tr w:rsidR="002367A2" w:rsidRPr="006E44FE" w14:paraId="3C46AFE4" w14:textId="77777777" w:rsidTr="002367A2">
        <w:trPr>
          <w:trHeight w:val="204"/>
        </w:trPr>
        <w:tc>
          <w:tcPr>
            <w:tcW w:w="2835" w:type="dxa"/>
            <w:tcBorders>
              <w:top w:val="single" w:sz="4" w:space="0" w:color="auto"/>
              <w:left w:val="nil"/>
              <w:bottom w:val="nil"/>
              <w:right w:val="nil"/>
            </w:tcBorders>
            <w:shd w:val="clear" w:color="auto" w:fill="auto"/>
            <w:noWrap/>
            <w:hideMark/>
          </w:tcPr>
          <w:p w14:paraId="5ABB38F1" w14:textId="7CB2B005" w:rsidR="002367A2" w:rsidRPr="006E44FE" w:rsidRDefault="002367A2" w:rsidP="002367A2">
            <w:pPr>
              <w:spacing w:after="0" w:line="240" w:lineRule="auto"/>
              <w:jc w:val="left"/>
              <w:rPr>
                <w:rFonts w:ascii="Arial" w:hAnsi="Arial" w:cs="Arial"/>
                <w:sz w:val="16"/>
                <w:szCs w:val="16"/>
              </w:rPr>
            </w:pPr>
            <w:bookmarkStart w:id="467" w:name="RANGE!A3:F31"/>
            <w:r w:rsidRPr="006E44FE">
              <w:rPr>
                <w:rFonts w:ascii="Arial" w:hAnsi="Arial" w:cs="Arial"/>
                <w:sz w:val="16"/>
                <w:szCs w:val="16"/>
              </w:rPr>
              <w:t> </w:t>
            </w:r>
            <w:bookmarkEnd w:id="467"/>
          </w:p>
        </w:tc>
        <w:tc>
          <w:tcPr>
            <w:tcW w:w="851" w:type="dxa"/>
            <w:tcBorders>
              <w:top w:val="single" w:sz="4" w:space="0" w:color="auto"/>
              <w:left w:val="nil"/>
              <w:bottom w:val="single" w:sz="4" w:space="0" w:color="auto"/>
              <w:right w:val="nil"/>
            </w:tcBorders>
            <w:shd w:val="clear" w:color="auto" w:fill="auto"/>
            <w:hideMark/>
          </w:tcPr>
          <w:p w14:paraId="5B84571B" w14:textId="0AE7388B" w:rsidR="002367A2" w:rsidRPr="006E44FE" w:rsidRDefault="002367A2" w:rsidP="002367A2">
            <w:pPr>
              <w:spacing w:after="0" w:line="240" w:lineRule="auto"/>
              <w:jc w:val="right"/>
              <w:rPr>
                <w:rFonts w:ascii="Arial" w:hAnsi="Arial" w:cs="Arial"/>
                <w:sz w:val="16"/>
                <w:szCs w:val="16"/>
              </w:rPr>
            </w:pPr>
            <w:r w:rsidRPr="004349E0">
              <w:rPr>
                <w:rFonts w:ascii="Arial" w:hAnsi="Arial" w:cs="Arial"/>
                <w:sz w:val="16"/>
                <w:szCs w:val="16"/>
              </w:rPr>
              <w:t>2020-21 Actual</w:t>
            </w:r>
            <w:r w:rsidRPr="004349E0">
              <w:rPr>
                <w:rFonts w:ascii="Arial" w:hAnsi="Arial" w:cs="Arial"/>
                <w:sz w:val="16"/>
                <w:szCs w:val="16"/>
              </w:rPr>
              <w:br/>
            </w:r>
            <w:r w:rsidRPr="004349E0">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000000" w:fill="E6E6E6"/>
            <w:hideMark/>
          </w:tcPr>
          <w:p w14:paraId="7F0E93AD" w14:textId="7C1F2732" w:rsidR="002367A2" w:rsidRPr="006E44FE" w:rsidRDefault="002367A2" w:rsidP="002367A2">
            <w:pPr>
              <w:spacing w:after="0" w:line="240" w:lineRule="auto"/>
              <w:jc w:val="right"/>
              <w:rPr>
                <w:rFonts w:ascii="Arial" w:hAnsi="Arial" w:cs="Arial"/>
                <w:sz w:val="16"/>
                <w:szCs w:val="16"/>
              </w:rPr>
            </w:pPr>
            <w:r w:rsidRPr="004349E0">
              <w:rPr>
                <w:rFonts w:ascii="Arial" w:hAnsi="Arial" w:cs="Arial"/>
                <w:sz w:val="16"/>
                <w:szCs w:val="16"/>
              </w:rPr>
              <w:t>2021-22</w:t>
            </w:r>
            <w:r w:rsidRPr="004349E0">
              <w:rPr>
                <w:rFonts w:ascii="Arial" w:hAnsi="Arial" w:cs="Arial"/>
                <w:sz w:val="16"/>
                <w:szCs w:val="16"/>
              </w:rPr>
              <w:br/>
              <w:t>Revised Budget</w:t>
            </w:r>
            <w:r w:rsidRPr="004349E0">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hideMark/>
          </w:tcPr>
          <w:p w14:paraId="6D445120" w14:textId="07D2204C" w:rsidR="002367A2" w:rsidRPr="006E44FE" w:rsidRDefault="002367A2" w:rsidP="002367A2">
            <w:pPr>
              <w:spacing w:after="0" w:line="240" w:lineRule="auto"/>
              <w:jc w:val="right"/>
              <w:rPr>
                <w:rFonts w:ascii="Arial" w:hAnsi="Arial" w:cs="Arial"/>
                <w:sz w:val="16"/>
                <w:szCs w:val="16"/>
              </w:rPr>
            </w:pPr>
            <w:r w:rsidRPr="004349E0">
              <w:rPr>
                <w:rFonts w:ascii="Arial" w:hAnsi="Arial" w:cs="Arial"/>
                <w:sz w:val="16"/>
                <w:szCs w:val="16"/>
              </w:rPr>
              <w:t>2022-23 Forward estimate</w:t>
            </w:r>
            <w:r w:rsidRPr="004349E0">
              <w:rPr>
                <w:rFonts w:ascii="Arial" w:hAnsi="Arial" w:cs="Arial"/>
                <w:sz w:val="16"/>
                <w:szCs w:val="16"/>
              </w:rPr>
              <w:br/>
              <w:t>$'000</w:t>
            </w:r>
          </w:p>
        </w:tc>
        <w:tc>
          <w:tcPr>
            <w:tcW w:w="1057" w:type="dxa"/>
            <w:tcBorders>
              <w:top w:val="single" w:sz="4" w:space="0" w:color="auto"/>
              <w:left w:val="nil"/>
              <w:bottom w:val="single" w:sz="4" w:space="0" w:color="auto"/>
              <w:right w:val="nil"/>
            </w:tcBorders>
            <w:shd w:val="clear" w:color="auto" w:fill="auto"/>
            <w:hideMark/>
          </w:tcPr>
          <w:p w14:paraId="70E92D70" w14:textId="2D7665EA" w:rsidR="002367A2" w:rsidRPr="006E44FE" w:rsidRDefault="002367A2" w:rsidP="002367A2">
            <w:pPr>
              <w:spacing w:after="0" w:line="240" w:lineRule="auto"/>
              <w:jc w:val="right"/>
              <w:rPr>
                <w:rFonts w:ascii="Arial" w:hAnsi="Arial" w:cs="Arial"/>
                <w:sz w:val="16"/>
                <w:szCs w:val="16"/>
              </w:rPr>
            </w:pPr>
            <w:r w:rsidRPr="004349E0">
              <w:rPr>
                <w:rFonts w:ascii="Arial" w:hAnsi="Arial" w:cs="Arial"/>
                <w:sz w:val="16"/>
                <w:szCs w:val="16"/>
              </w:rPr>
              <w:t>2023-24 Forward estimate</w:t>
            </w:r>
            <w:r w:rsidRPr="004349E0">
              <w:rPr>
                <w:rFonts w:ascii="Arial" w:hAnsi="Arial" w:cs="Arial"/>
                <w:sz w:val="16"/>
                <w:szCs w:val="16"/>
              </w:rPr>
              <w:br/>
              <w:t>$'000</w:t>
            </w:r>
          </w:p>
        </w:tc>
        <w:tc>
          <w:tcPr>
            <w:tcW w:w="1058" w:type="dxa"/>
            <w:tcBorders>
              <w:top w:val="single" w:sz="4" w:space="0" w:color="auto"/>
              <w:left w:val="nil"/>
              <w:bottom w:val="single" w:sz="4" w:space="0" w:color="auto"/>
              <w:right w:val="nil"/>
            </w:tcBorders>
            <w:shd w:val="clear" w:color="auto" w:fill="auto"/>
            <w:hideMark/>
          </w:tcPr>
          <w:p w14:paraId="3C81026C" w14:textId="0A766C6F" w:rsidR="002367A2" w:rsidRPr="006E44FE" w:rsidRDefault="002367A2" w:rsidP="002367A2">
            <w:pPr>
              <w:spacing w:after="0" w:line="240" w:lineRule="auto"/>
              <w:jc w:val="right"/>
              <w:rPr>
                <w:rFonts w:ascii="Arial" w:hAnsi="Arial" w:cs="Arial"/>
                <w:sz w:val="16"/>
                <w:szCs w:val="16"/>
              </w:rPr>
            </w:pPr>
            <w:r w:rsidRPr="004349E0">
              <w:rPr>
                <w:rFonts w:ascii="Arial" w:hAnsi="Arial" w:cs="Arial"/>
                <w:sz w:val="16"/>
                <w:szCs w:val="16"/>
              </w:rPr>
              <w:t>2024-25</w:t>
            </w:r>
            <w:r w:rsidRPr="004349E0">
              <w:rPr>
                <w:rFonts w:ascii="Arial" w:hAnsi="Arial" w:cs="Arial"/>
                <w:sz w:val="16"/>
                <w:szCs w:val="16"/>
              </w:rPr>
              <w:br/>
              <w:t>Forward estimate</w:t>
            </w:r>
            <w:r w:rsidRPr="004349E0">
              <w:rPr>
                <w:rFonts w:ascii="Arial" w:hAnsi="Arial" w:cs="Arial"/>
                <w:sz w:val="16"/>
                <w:szCs w:val="16"/>
              </w:rPr>
              <w:br/>
              <w:t>$'000</w:t>
            </w:r>
          </w:p>
        </w:tc>
      </w:tr>
      <w:tr w:rsidR="006A6808" w:rsidRPr="006E44FE" w14:paraId="37C6419E" w14:textId="77777777" w:rsidTr="00AD3087">
        <w:trPr>
          <w:trHeight w:val="204"/>
        </w:trPr>
        <w:tc>
          <w:tcPr>
            <w:tcW w:w="2835" w:type="dxa"/>
            <w:tcBorders>
              <w:top w:val="nil"/>
              <w:left w:val="nil"/>
              <w:bottom w:val="nil"/>
              <w:right w:val="nil"/>
            </w:tcBorders>
            <w:shd w:val="clear" w:color="auto" w:fill="auto"/>
            <w:noWrap/>
            <w:hideMark/>
          </w:tcPr>
          <w:p w14:paraId="05208DCF" w14:textId="77777777" w:rsidR="006A6808" w:rsidRPr="006E44FE" w:rsidRDefault="006A6808" w:rsidP="006A6808">
            <w:pPr>
              <w:spacing w:after="0" w:line="240" w:lineRule="auto"/>
              <w:jc w:val="left"/>
              <w:rPr>
                <w:rFonts w:ascii="Arial" w:hAnsi="Arial" w:cs="Arial"/>
                <w:b/>
                <w:bCs/>
                <w:sz w:val="16"/>
                <w:szCs w:val="16"/>
              </w:rPr>
            </w:pPr>
            <w:r w:rsidRPr="006E44FE">
              <w:rPr>
                <w:rFonts w:ascii="Arial" w:hAnsi="Arial" w:cs="Arial"/>
                <w:b/>
                <w:bCs/>
                <w:sz w:val="16"/>
                <w:szCs w:val="16"/>
              </w:rPr>
              <w:t>NEW CAPITAL APPROPRIATIONS</w:t>
            </w:r>
          </w:p>
        </w:tc>
        <w:tc>
          <w:tcPr>
            <w:tcW w:w="851" w:type="dxa"/>
            <w:tcBorders>
              <w:top w:val="nil"/>
              <w:left w:val="nil"/>
              <w:bottom w:val="nil"/>
              <w:right w:val="nil"/>
            </w:tcBorders>
            <w:shd w:val="clear" w:color="000000" w:fill="FFFFFF"/>
            <w:noWrap/>
            <w:vAlign w:val="bottom"/>
            <w:hideMark/>
          </w:tcPr>
          <w:p w14:paraId="4CECF9CE" w14:textId="61B0E424" w:rsidR="006A6808" w:rsidRPr="006E44FE" w:rsidRDefault="006A6808" w:rsidP="006E44FE">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14:paraId="3A382D7D" w14:textId="5A2D2AF8" w:rsidR="006A6808" w:rsidRPr="006E44FE" w:rsidRDefault="006A6808" w:rsidP="006E44FE">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1835E7E2" w14:textId="77777777" w:rsidR="006A6808" w:rsidRPr="006E44FE" w:rsidRDefault="006A6808" w:rsidP="006E44FE">
            <w:pPr>
              <w:spacing w:after="0" w:line="240" w:lineRule="auto"/>
              <w:jc w:val="right"/>
              <w:rPr>
                <w:rFonts w:ascii="Arial" w:hAnsi="Arial" w:cs="Arial"/>
                <w:sz w:val="16"/>
                <w:szCs w:val="16"/>
              </w:rPr>
            </w:pPr>
          </w:p>
        </w:tc>
        <w:tc>
          <w:tcPr>
            <w:tcW w:w="1057" w:type="dxa"/>
            <w:tcBorders>
              <w:top w:val="nil"/>
              <w:left w:val="nil"/>
              <w:bottom w:val="nil"/>
              <w:right w:val="nil"/>
            </w:tcBorders>
            <w:shd w:val="clear" w:color="auto" w:fill="auto"/>
            <w:noWrap/>
            <w:vAlign w:val="bottom"/>
            <w:hideMark/>
          </w:tcPr>
          <w:p w14:paraId="670D89EA" w14:textId="77777777" w:rsidR="006A6808" w:rsidRPr="006E44FE" w:rsidRDefault="006A6808" w:rsidP="006E44FE">
            <w:pPr>
              <w:spacing w:after="0" w:line="240" w:lineRule="auto"/>
              <w:jc w:val="right"/>
              <w:rPr>
                <w:rFonts w:ascii="Arial" w:hAnsi="Arial" w:cs="Arial"/>
                <w:sz w:val="16"/>
                <w:szCs w:val="16"/>
              </w:rPr>
            </w:pPr>
          </w:p>
        </w:tc>
        <w:tc>
          <w:tcPr>
            <w:tcW w:w="1058" w:type="dxa"/>
            <w:tcBorders>
              <w:top w:val="nil"/>
              <w:left w:val="nil"/>
              <w:bottom w:val="nil"/>
              <w:right w:val="nil"/>
            </w:tcBorders>
            <w:shd w:val="clear" w:color="auto" w:fill="auto"/>
            <w:noWrap/>
            <w:vAlign w:val="bottom"/>
            <w:hideMark/>
          </w:tcPr>
          <w:p w14:paraId="0D70B46C" w14:textId="77777777" w:rsidR="006A6808" w:rsidRPr="006E44FE" w:rsidRDefault="006A6808" w:rsidP="006E44FE">
            <w:pPr>
              <w:spacing w:after="0" w:line="240" w:lineRule="auto"/>
              <w:jc w:val="right"/>
              <w:rPr>
                <w:rFonts w:ascii="Arial" w:hAnsi="Arial" w:cs="Arial"/>
                <w:sz w:val="16"/>
                <w:szCs w:val="16"/>
              </w:rPr>
            </w:pPr>
          </w:p>
        </w:tc>
      </w:tr>
      <w:tr w:rsidR="006A6808" w:rsidRPr="006E44FE" w14:paraId="2DE1F54F" w14:textId="77777777" w:rsidTr="00AD3087">
        <w:trPr>
          <w:trHeight w:val="204"/>
        </w:trPr>
        <w:tc>
          <w:tcPr>
            <w:tcW w:w="2835" w:type="dxa"/>
            <w:tcBorders>
              <w:top w:val="nil"/>
              <w:left w:val="nil"/>
              <w:bottom w:val="nil"/>
              <w:right w:val="nil"/>
            </w:tcBorders>
            <w:shd w:val="clear" w:color="auto" w:fill="auto"/>
            <w:hideMark/>
          </w:tcPr>
          <w:p w14:paraId="4BD00E95" w14:textId="77777777" w:rsidR="006A6808" w:rsidRPr="006E44FE" w:rsidRDefault="006A6808" w:rsidP="006E44FE">
            <w:pPr>
              <w:spacing w:after="0" w:line="240" w:lineRule="auto"/>
              <w:ind w:left="113"/>
              <w:jc w:val="left"/>
              <w:rPr>
                <w:rFonts w:ascii="Arial" w:hAnsi="Arial" w:cs="Arial"/>
                <w:sz w:val="16"/>
                <w:szCs w:val="16"/>
              </w:rPr>
            </w:pPr>
            <w:r w:rsidRPr="006E44FE">
              <w:rPr>
                <w:rFonts w:ascii="Arial" w:hAnsi="Arial" w:cs="Arial"/>
                <w:sz w:val="16"/>
                <w:szCs w:val="16"/>
              </w:rPr>
              <w:t>Capital budget - Bill 1 (DCB)</w:t>
            </w:r>
          </w:p>
        </w:tc>
        <w:tc>
          <w:tcPr>
            <w:tcW w:w="851" w:type="dxa"/>
            <w:tcBorders>
              <w:top w:val="nil"/>
              <w:left w:val="nil"/>
              <w:bottom w:val="nil"/>
              <w:right w:val="nil"/>
            </w:tcBorders>
            <w:shd w:val="clear" w:color="000000" w:fill="FFFFFF"/>
            <w:noWrap/>
            <w:vAlign w:val="bottom"/>
            <w:hideMark/>
          </w:tcPr>
          <w:p w14:paraId="07CC4F36" w14:textId="11D64988"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661</w:t>
            </w:r>
          </w:p>
        </w:tc>
        <w:tc>
          <w:tcPr>
            <w:tcW w:w="992" w:type="dxa"/>
            <w:tcBorders>
              <w:top w:val="nil"/>
              <w:left w:val="nil"/>
              <w:bottom w:val="nil"/>
              <w:right w:val="nil"/>
            </w:tcBorders>
            <w:shd w:val="clear" w:color="000000" w:fill="E6E6E6"/>
            <w:noWrap/>
            <w:vAlign w:val="bottom"/>
            <w:hideMark/>
          </w:tcPr>
          <w:p w14:paraId="44077F5E" w14:textId="34053C1A" w:rsidR="006A6808" w:rsidRPr="006E44FE" w:rsidRDefault="00C4540A" w:rsidP="006E44FE">
            <w:pPr>
              <w:spacing w:after="0" w:line="240" w:lineRule="auto"/>
              <w:jc w:val="right"/>
              <w:rPr>
                <w:rFonts w:ascii="Arial" w:hAnsi="Arial" w:cs="Arial"/>
                <w:sz w:val="16"/>
                <w:szCs w:val="16"/>
              </w:rPr>
            </w:pPr>
            <w:r>
              <w:rPr>
                <w:rFonts w:ascii="Arial" w:hAnsi="Arial" w:cs="Arial"/>
                <w:sz w:val="16"/>
                <w:szCs w:val="16"/>
              </w:rPr>
              <w:t>4,1</w:t>
            </w:r>
            <w:r w:rsidR="006A6808" w:rsidRPr="006E44FE">
              <w:rPr>
                <w:rFonts w:ascii="Arial" w:hAnsi="Arial" w:cs="Arial"/>
                <w:sz w:val="16"/>
                <w:szCs w:val="16"/>
              </w:rPr>
              <w:t>61</w:t>
            </w:r>
          </w:p>
        </w:tc>
        <w:tc>
          <w:tcPr>
            <w:tcW w:w="851" w:type="dxa"/>
            <w:tcBorders>
              <w:top w:val="nil"/>
              <w:left w:val="nil"/>
              <w:bottom w:val="nil"/>
              <w:right w:val="nil"/>
            </w:tcBorders>
            <w:shd w:val="clear" w:color="auto" w:fill="auto"/>
            <w:noWrap/>
            <w:vAlign w:val="bottom"/>
            <w:hideMark/>
          </w:tcPr>
          <w:p w14:paraId="6EAE0E31" w14:textId="0E37C348"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666</w:t>
            </w:r>
          </w:p>
        </w:tc>
        <w:tc>
          <w:tcPr>
            <w:tcW w:w="1057" w:type="dxa"/>
            <w:tcBorders>
              <w:top w:val="nil"/>
              <w:left w:val="nil"/>
              <w:bottom w:val="nil"/>
              <w:right w:val="nil"/>
            </w:tcBorders>
            <w:shd w:val="clear" w:color="auto" w:fill="auto"/>
            <w:noWrap/>
            <w:vAlign w:val="bottom"/>
            <w:hideMark/>
          </w:tcPr>
          <w:p w14:paraId="26634DDC" w14:textId="0C4B5B01"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673</w:t>
            </w:r>
          </w:p>
        </w:tc>
        <w:tc>
          <w:tcPr>
            <w:tcW w:w="1058" w:type="dxa"/>
            <w:tcBorders>
              <w:top w:val="nil"/>
              <w:left w:val="nil"/>
              <w:bottom w:val="nil"/>
              <w:right w:val="nil"/>
            </w:tcBorders>
            <w:shd w:val="clear" w:color="auto" w:fill="auto"/>
            <w:noWrap/>
            <w:vAlign w:val="bottom"/>
            <w:hideMark/>
          </w:tcPr>
          <w:p w14:paraId="4AAEC5AA" w14:textId="41EEF188"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678</w:t>
            </w:r>
          </w:p>
        </w:tc>
      </w:tr>
      <w:tr w:rsidR="006A6808" w:rsidRPr="006E44FE" w14:paraId="5CE1E262" w14:textId="77777777" w:rsidTr="00AD3087">
        <w:trPr>
          <w:trHeight w:val="204"/>
        </w:trPr>
        <w:tc>
          <w:tcPr>
            <w:tcW w:w="2835" w:type="dxa"/>
            <w:tcBorders>
              <w:top w:val="nil"/>
              <w:left w:val="nil"/>
              <w:bottom w:val="nil"/>
              <w:right w:val="nil"/>
            </w:tcBorders>
            <w:shd w:val="clear" w:color="auto" w:fill="auto"/>
            <w:noWrap/>
            <w:hideMark/>
          </w:tcPr>
          <w:p w14:paraId="09603775" w14:textId="77777777" w:rsidR="006A6808" w:rsidRPr="006E44FE" w:rsidRDefault="006A6808" w:rsidP="006A6808">
            <w:pPr>
              <w:spacing w:after="0" w:line="240" w:lineRule="auto"/>
              <w:jc w:val="left"/>
              <w:rPr>
                <w:rFonts w:ascii="Arial" w:hAnsi="Arial" w:cs="Arial"/>
                <w:b/>
                <w:bCs/>
                <w:sz w:val="16"/>
                <w:szCs w:val="16"/>
              </w:rPr>
            </w:pPr>
            <w:r w:rsidRPr="006E44FE">
              <w:rPr>
                <w:rFonts w:ascii="Arial" w:hAnsi="Arial" w:cs="Arial"/>
                <w:b/>
                <w:bCs/>
                <w:sz w:val="16"/>
                <w:szCs w:val="16"/>
              </w:rPr>
              <w:t>Total new capital appropriations</w:t>
            </w:r>
          </w:p>
        </w:tc>
        <w:tc>
          <w:tcPr>
            <w:tcW w:w="851" w:type="dxa"/>
            <w:tcBorders>
              <w:top w:val="single" w:sz="4" w:space="0" w:color="auto"/>
              <w:left w:val="nil"/>
              <w:bottom w:val="single" w:sz="4" w:space="0" w:color="auto"/>
              <w:right w:val="nil"/>
            </w:tcBorders>
            <w:shd w:val="clear" w:color="000000" w:fill="FFFFFF"/>
            <w:noWrap/>
            <w:vAlign w:val="bottom"/>
            <w:hideMark/>
          </w:tcPr>
          <w:p w14:paraId="4B3C399B" w14:textId="4A708729"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661</w:t>
            </w:r>
          </w:p>
        </w:tc>
        <w:tc>
          <w:tcPr>
            <w:tcW w:w="992" w:type="dxa"/>
            <w:tcBorders>
              <w:top w:val="single" w:sz="4" w:space="0" w:color="auto"/>
              <w:left w:val="nil"/>
              <w:bottom w:val="single" w:sz="4" w:space="0" w:color="auto"/>
              <w:right w:val="nil"/>
            </w:tcBorders>
            <w:shd w:val="clear" w:color="000000" w:fill="E6E6E6"/>
            <w:noWrap/>
            <w:vAlign w:val="bottom"/>
            <w:hideMark/>
          </w:tcPr>
          <w:p w14:paraId="607ABF52" w14:textId="47B007C8" w:rsidR="006A6808" w:rsidRPr="006E44FE" w:rsidRDefault="00C4540A" w:rsidP="006E44FE">
            <w:pPr>
              <w:spacing w:after="0" w:line="240" w:lineRule="auto"/>
              <w:jc w:val="right"/>
              <w:rPr>
                <w:rFonts w:ascii="Arial" w:hAnsi="Arial" w:cs="Arial"/>
                <w:b/>
                <w:bCs/>
                <w:sz w:val="16"/>
                <w:szCs w:val="16"/>
              </w:rPr>
            </w:pPr>
            <w:r>
              <w:rPr>
                <w:rFonts w:ascii="Arial" w:hAnsi="Arial" w:cs="Arial"/>
                <w:b/>
                <w:bCs/>
                <w:sz w:val="16"/>
                <w:szCs w:val="16"/>
              </w:rPr>
              <w:t>4,1</w:t>
            </w:r>
            <w:r w:rsidR="006A6808" w:rsidRPr="006E44FE">
              <w:rPr>
                <w:rFonts w:ascii="Arial" w:hAnsi="Arial" w:cs="Arial"/>
                <w:b/>
                <w:bCs/>
                <w:sz w:val="16"/>
                <w:szCs w:val="16"/>
              </w:rPr>
              <w:t>61</w:t>
            </w:r>
          </w:p>
        </w:tc>
        <w:tc>
          <w:tcPr>
            <w:tcW w:w="851" w:type="dxa"/>
            <w:tcBorders>
              <w:top w:val="single" w:sz="4" w:space="0" w:color="auto"/>
              <w:left w:val="nil"/>
              <w:bottom w:val="single" w:sz="4" w:space="0" w:color="auto"/>
              <w:right w:val="nil"/>
            </w:tcBorders>
            <w:shd w:val="clear" w:color="auto" w:fill="auto"/>
            <w:noWrap/>
            <w:vAlign w:val="bottom"/>
            <w:hideMark/>
          </w:tcPr>
          <w:p w14:paraId="600A9D68" w14:textId="7F97D330"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666</w:t>
            </w:r>
          </w:p>
        </w:tc>
        <w:tc>
          <w:tcPr>
            <w:tcW w:w="1057" w:type="dxa"/>
            <w:tcBorders>
              <w:top w:val="single" w:sz="4" w:space="0" w:color="auto"/>
              <w:left w:val="nil"/>
              <w:bottom w:val="single" w:sz="4" w:space="0" w:color="auto"/>
              <w:right w:val="nil"/>
            </w:tcBorders>
            <w:shd w:val="clear" w:color="auto" w:fill="auto"/>
            <w:noWrap/>
            <w:vAlign w:val="bottom"/>
            <w:hideMark/>
          </w:tcPr>
          <w:p w14:paraId="124578D9" w14:textId="7E8DCD19"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673</w:t>
            </w:r>
          </w:p>
        </w:tc>
        <w:tc>
          <w:tcPr>
            <w:tcW w:w="1058" w:type="dxa"/>
            <w:tcBorders>
              <w:top w:val="single" w:sz="4" w:space="0" w:color="auto"/>
              <w:left w:val="nil"/>
              <w:bottom w:val="single" w:sz="4" w:space="0" w:color="auto"/>
              <w:right w:val="nil"/>
            </w:tcBorders>
            <w:shd w:val="clear" w:color="auto" w:fill="auto"/>
            <w:noWrap/>
            <w:vAlign w:val="bottom"/>
            <w:hideMark/>
          </w:tcPr>
          <w:p w14:paraId="0E39DD0D" w14:textId="2102313E"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678</w:t>
            </w:r>
          </w:p>
        </w:tc>
      </w:tr>
      <w:tr w:rsidR="006A6808" w:rsidRPr="006E44FE" w14:paraId="5408D407" w14:textId="77777777" w:rsidTr="00AD3087">
        <w:trPr>
          <w:trHeight w:val="204"/>
        </w:trPr>
        <w:tc>
          <w:tcPr>
            <w:tcW w:w="2835" w:type="dxa"/>
            <w:tcBorders>
              <w:top w:val="nil"/>
              <w:left w:val="nil"/>
              <w:bottom w:val="nil"/>
              <w:right w:val="nil"/>
            </w:tcBorders>
            <w:shd w:val="clear" w:color="auto" w:fill="auto"/>
            <w:noWrap/>
            <w:hideMark/>
          </w:tcPr>
          <w:p w14:paraId="60B6BF50" w14:textId="77777777" w:rsidR="006A6808" w:rsidRPr="003D5C8F" w:rsidRDefault="006A6808" w:rsidP="003D5C8F">
            <w:pPr>
              <w:spacing w:after="0" w:line="240" w:lineRule="auto"/>
              <w:ind w:left="113"/>
              <w:jc w:val="left"/>
              <w:rPr>
                <w:rFonts w:ascii="Arial" w:hAnsi="Arial" w:cs="Arial"/>
                <w:b/>
                <w:bCs/>
                <w:iCs/>
                <w:sz w:val="16"/>
                <w:szCs w:val="16"/>
              </w:rPr>
            </w:pPr>
            <w:r w:rsidRPr="003D5C8F">
              <w:rPr>
                <w:rFonts w:ascii="Arial" w:hAnsi="Arial" w:cs="Arial"/>
                <w:b/>
                <w:bCs/>
                <w:iCs/>
                <w:sz w:val="16"/>
                <w:szCs w:val="16"/>
              </w:rPr>
              <w:t>Provided for:</w:t>
            </w:r>
          </w:p>
        </w:tc>
        <w:tc>
          <w:tcPr>
            <w:tcW w:w="851" w:type="dxa"/>
            <w:tcBorders>
              <w:top w:val="nil"/>
              <w:left w:val="nil"/>
              <w:bottom w:val="nil"/>
              <w:right w:val="nil"/>
            </w:tcBorders>
            <w:shd w:val="clear" w:color="000000" w:fill="FFFFFF"/>
            <w:noWrap/>
            <w:vAlign w:val="bottom"/>
            <w:hideMark/>
          </w:tcPr>
          <w:p w14:paraId="5DD6479D" w14:textId="6C27E66C" w:rsidR="006A6808" w:rsidRPr="003D5C8F" w:rsidRDefault="006A6808" w:rsidP="006E44FE">
            <w:pPr>
              <w:spacing w:after="0" w:line="240" w:lineRule="auto"/>
              <w:jc w:val="right"/>
              <w:rPr>
                <w:rFonts w:ascii="Arial" w:hAnsi="Arial" w:cs="Arial"/>
                <w:iCs/>
                <w:sz w:val="16"/>
                <w:szCs w:val="16"/>
              </w:rPr>
            </w:pPr>
          </w:p>
        </w:tc>
        <w:tc>
          <w:tcPr>
            <w:tcW w:w="992" w:type="dxa"/>
            <w:tcBorders>
              <w:top w:val="nil"/>
              <w:left w:val="nil"/>
              <w:bottom w:val="nil"/>
              <w:right w:val="nil"/>
            </w:tcBorders>
            <w:shd w:val="clear" w:color="000000" w:fill="E6E6E6"/>
            <w:noWrap/>
            <w:vAlign w:val="bottom"/>
            <w:hideMark/>
          </w:tcPr>
          <w:p w14:paraId="00862CED" w14:textId="51BFA156" w:rsidR="006A6808" w:rsidRPr="003D5C8F" w:rsidRDefault="006A6808" w:rsidP="006E44FE">
            <w:pPr>
              <w:spacing w:after="0" w:line="240" w:lineRule="auto"/>
              <w:jc w:val="right"/>
              <w:rPr>
                <w:rFonts w:ascii="Arial" w:hAnsi="Arial" w:cs="Arial"/>
                <w:iCs/>
                <w:sz w:val="16"/>
                <w:szCs w:val="16"/>
              </w:rPr>
            </w:pPr>
          </w:p>
        </w:tc>
        <w:tc>
          <w:tcPr>
            <w:tcW w:w="851" w:type="dxa"/>
            <w:tcBorders>
              <w:top w:val="nil"/>
              <w:left w:val="nil"/>
              <w:bottom w:val="nil"/>
              <w:right w:val="nil"/>
            </w:tcBorders>
            <w:shd w:val="clear" w:color="auto" w:fill="auto"/>
            <w:noWrap/>
            <w:vAlign w:val="bottom"/>
            <w:hideMark/>
          </w:tcPr>
          <w:p w14:paraId="3676403D" w14:textId="77777777" w:rsidR="006A6808" w:rsidRPr="003D5C8F" w:rsidRDefault="006A6808" w:rsidP="006E44FE">
            <w:pPr>
              <w:spacing w:after="0" w:line="240" w:lineRule="auto"/>
              <w:jc w:val="right"/>
              <w:rPr>
                <w:rFonts w:ascii="Arial" w:hAnsi="Arial" w:cs="Arial"/>
                <w:iCs/>
                <w:sz w:val="16"/>
                <w:szCs w:val="16"/>
              </w:rPr>
            </w:pPr>
          </w:p>
        </w:tc>
        <w:tc>
          <w:tcPr>
            <w:tcW w:w="1057" w:type="dxa"/>
            <w:tcBorders>
              <w:top w:val="nil"/>
              <w:left w:val="nil"/>
              <w:bottom w:val="nil"/>
              <w:right w:val="nil"/>
            </w:tcBorders>
            <w:shd w:val="clear" w:color="auto" w:fill="auto"/>
            <w:noWrap/>
            <w:vAlign w:val="bottom"/>
            <w:hideMark/>
          </w:tcPr>
          <w:p w14:paraId="718B2A37" w14:textId="77777777" w:rsidR="006A6808" w:rsidRPr="003D5C8F" w:rsidRDefault="006A6808" w:rsidP="006E44FE">
            <w:pPr>
              <w:spacing w:after="0" w:line="240" w:lineRule="auto"/>
              <w:jc w:val="right"/>
              <w:rPr>
                <w:rFonts w:ascii="Arial" w:hAnsi="Arial" w:cs="Arial"/>
                <w:sz w:val="16"/>
                <w:szCs w:val="16"/>
              </w:rPr>
            </w:pPr>
          </w:p>
        </w:tc>
        <w:tc>
          <w:tcPr>
            <w:tcW w:w="1058" w:type="dxa"/>
            <w:tcBorders>
              <w:top w:val="nil"/>
              <w:left w:val="nil"/>
              <w:bottom w:val="nil"/>
              <w:right w:val="nil"/>
            </w:tcBorders>
            <w:shd w:val="clear" w:color="auto" w:fill="auto"/>
            <w:noWrap/>
            <w:vAlign w:val="bottom"/>
            <w:hideMark/>
          </w:tcPr>
          <w:p w14:paraId="02DF8548" w14:textId="77777777" w:rsidR="006A6808" w:rsidRPr="003D5C8F" w:rsidRDefault="006A6808" w:rsidP="006E44FE">
            <w:pPr>
              <w:spacing w:after="0" w:line="240" w:lineRule="auto"/>
              <w:jc w:val="right"/>
              <w:rPr>
                <w:rFonts w:ascii="Arial" w:hAnsi="Arial" w:cs="Arial"/>
                <w:sz w:val="16"/>
                <w:szCs w:val="16"/>
              </w:rPr>
            </w:pPr>
          </w:p>
        </w:tc>
      </w:tr>
      <w:tr w:rsidR="006A6808" w:rsidRPr="006E44FE" w14:paraId="2877FD70" w14:textId="77777777" w:rsidTr="00AD3087">
        <w:trPr>
          <w:trHeight w:val="204"/>
        </w:trPr>
        <w:tc>
          <w:tcPr>
            <w:tcW w:w="2835" w:type="dxa"/>
            <w:tcBorders>
              <w:top w:val="nil"/>
              <w:left w:val="nil"/>
              <w:bottom w:val="nil"/>
              <w:right w:val="nil"/>
            </w:tcBorders>
            <w:shd w:val="clear" w:color="auto" w:fill="auto"/>
            <w:noWrap/>
            <w:hideMark/>
          </w:tcPr>
          <w:p w14:paraId="71BAE536" w14:textId="77777777" w:rsidR="006A6808" w:rsidRPr="003D5C8F" w:rsidRDefault="006A6808" w:rsidP="003D5C8F">
            <w:pPr>
              <w:spacing w:after="0" w:line="240" w:lineRule="auto"/>
              <w:ind w:left="227"/>
              <w:jc w:val="left"/>
              <w:rPr>
                <w:rFonts w:ascii="Arial" w:hAnsi="Arial" w:cs="Arial"/>
                <w:iCs/>
                <w:sz w:val="16"/>
                <w:szCs w:val="16"/>
              </w:rPr>
            </w:pPr>
            <w:r w:rsidRPr="003D5C8F">
              <w:rPr>
                <w:rFonts w:ascii="Arial" w:hAnsi="Arial" w:cs="Arial"/>
                <w:sz w:val="16"/>
                <w:szCs w:val="16"/>
              </w:rPr>
              <w:t>Purchase of non-financial assets</w:t>
            </w:r>
          </w:p>
        </w:tc>
        <w:tc>
          <w:tcPr>
            <w:tcW w:w="851" w:type="dxa"/>
            <w:tcBorders>
              <w:top w:val="nil"/>
              <w:left w:val="nil"/>
              <w:bottom w:val="nil"/>
              <w:right w:val="nil"/>
            </w:tcBorders>
            <w:shd w:val="clear" w:color="000000" w:fill="FFFFFF"/>
            <w:noWrap/>
            <w:vAlign w:val="bottom"/>
            <w:hideMark/>
          </w:tcPr>
          <w:p w14:paraId="29F84334" w14:textId="3F9D53DB" w:rsidR="006A6808" w:rsidRPr="003D5C8F" w:rsidRDefault="006A6808" w:rsidP="006E44FE">
            <w:pPr>
              <w:spacing w:after="0" w:line="240" w:lineRule="auto"/>
              <w:jc w:val="right"/>
              <w:rPr>
                <w:rFonts w:ascii="Arial" w:hAnsi="Arial" w:cs="Arial"/>
                <w:iCs/>
                <w:sz w:val="16"/>
                <w:szCs w:val="16"/>
              </w:rPr>
            </w:pPr>
            <w:r w:rsidRPr="003D5C8F">
              <w:rPr>
                <w:rFonts w:ascii="Arial" w:hAnsi="Arial" w:cs="Arial"/>
                <w:iCs/>
                <w:sz w:val="16"/>
                <w:szCs w:val="16"/>
              </w:rPr>
              <w:t>661</w:t>
            </w:r>
          </w:p>
        </w:tc>
        <w:tc>
          <w:tcPr>
            <w:tcW w:w="992" w:type="dxa"/>
            <w:tcBorders>
              <w:top w:val="nil"/>
              <w:left w:val="nil"/>
              <w:bottom w:val="nil"/>
              <w:right w:val="nil"/>
            </w:tcBorders>
            <w:shd w:val="clear" w:color="000000" w:fill="E6E6E6"/>
            <w:noWrap/>
            <w:vAlign w:val="bottom"/>
            <w:hideMark/>
          </w:tcPr>
          <w:p w14:paraId="3436DBA9" w14:textId="39725C66" w:rsidR="006A6808" w:rsidRPr="003D5C8F" w:rsidRDefault="00C4540A" w:rsidP="006E44FE">
            <w:pPr>
              <w:spacing w:after="0" w:line="240" w:lineRule="auto"/>
              <w:jc w:val="right"/>
              <w:rPr>
                <w:rFonts w:ascii="Arial" w:hAnsi="Arial" w:cs="Arial"/>
                <w:iCs/>
                <w:sz w:val="16"/>
                <w:szCs w:val="16"/>
              </w:rPr>
            </w:pPr>
            <w:r w:rsidRPr="003D5C8F">
              <w:rPr>
                <w:rFonts w:ascii="Arial" w:hAnsi="Arial" w:cs="Arial"/>
                <w:iCs/>
                <w:sz w:val="16"/>
                <w:szCs w:val="16"/>
              </w:rPr>
              <w:t>4,1</w:t>
            </w:r>
            <w:r w:rsidR="006A6808" w:rsidRPr="003D5C8F">
              <w:rPr>
                <w:rFonts w:ascii="Arial" w:hAnsi="Arial" w:cs="Arial"/>
                <w:iCs/>
                <w:sz w:val="16"/>
                <w:szCs w:val="16"/>
              </w:rPr>
              <w:t>61</w:t>
            </w:r>
          </w:p>
        </w:tc>
        <w:tc>
          <w:tcPr>
            <w:tcW w:w="851" w:type="dxa"/>
            <w:tcBorders>
              <w:top w:val="nil"/>
              <w:left w:val="nil"/>
              <w:bottom w:val="nil"/>
              <w:right w:val="nil"/>
            </w:tcBorders>
            <w:shd w:val="clear" w:color="auto" w:fill="auto"/>
            <w:noWrap/>
            <w:vAlign w:val="bottom"/>
            <w:hideMark/>
          </w:tcPr>
          <w:p w14:paraId="3795BDF5" w14:textId="4971F2C0" w:rsidR="006A6808" w:rsidRPr="003D5C8F" w:rsidRDefault="006A6808" w:rsidP="006E44FE">
            <w:pPr>
              <w:spacing w:after="0" w:line="240" w:lineRule="auto"/>
              <w:jc w:val="right"/>
              <w:rPr>
                <w:rFonts w:ascii="Arial" w:hAnsi="Arial" w:cs="Arial"/>
                <w:iCs/>
                <w:sz w:val="16"/>
                <w:szCs w:val="16"/>
              </w:rPr>
            </w:pPr>
            <w:r w:rsidRPr="003D5C8F">
              <w:rPr>
                <w:rFonts w:ascii="Arial" w:hAnsi="Arial" w:cs="Arial"/>
                <w:iCs/>
                <w:sz w:val="16"/>
                <w:szCs w:val="16"/>
              </w:rPr>
              <w:t>666</w:t>
            </w:r>
          </w:p>
        </w:tc>
        <w:tc>
          <w:tcPr>
            <w:tcW w:w="1057" w:type="dxa"/>
            <w:tcBorders>
              <w:top w:val="nil"/>
              <w:left w:val="nil"/>
              <w:bottom w:val="nil"/>
              <w:right w:val="nil"/>
            </w:tcBorders>
            <w:shd w:val="clear" w:color="auto" w:fill="auto"/>
            <w:noWrap/>
            <w:vAlign w:val="bottom"/>
            <w:hideMark/>
          </w:tcPr>
          <w:p w14:paraId="06A5387F" w14:textId="337A8BC3" w:rsidR="006A6808" w:rsidRPr="003D5C8F" w:rsidRDefault="006A6808" w:rsidP="006E44FE">
            <w:pPr>
              <w:spacing w:after="0" w:line="240" w:lineRule="auto"/>
              <w:jc w:val="right"/>
              <w:rPr>
                <w:rFonts w:ascii="Arial" w:hAnsi="Arial" w:cs="Arial"/>
                <w:iCs/>
                <w:sz w:val="16"/>
                <w:szCs w:val="16"/>
              </w:rPr>
            </w:pPr>
            <w:r w:rsidRPr="003D5C8F">
              <w:rPr>
                <w:rFonts w:ascii="Arial" w:hAnsi="Arial" w:cs="Arial"/>
                <w:iCs/>
                <w:sz w:val="16"/>
                <w:szCs w:val="16"/>
              </w:rPr>
              <w:t>673</w:t>
            </w:r>
          </w:p>
        </w:tc>
        <w:tc>
          <w:tcPr>
            <w:tcW w:w="1058" w:type="dxa"/>
            <w:tcBorders>
              <w:top w:val="nil"/>
              <w:left w:val="nil"/>
              <w:bottom w:val="nil"/>
              <w:right w:val="nil"/>
            </w:tcBorders>
            <w:shd w:val="clear" w:color="auto" w:fill="auto"/>
            <w:noWrap/>
            <w:vAlign w:val="bottom"/>
            <w:hideMark/>
          </w:tcPr>
          <w:p w14:paraId="0B752779" w14:textId="7F5093C6" w:rsidR="006A6808" w:rsidRPr="003D5C8F" w:rsidRDefault="006A6808" w:rsidP="006E44FE">
            <w:pPr>
              <w:spacing w:after="0" w:line="240" w:lineRule="auto"/>
              <w:jc w:val="right"/>
              <w:rPr>
                <w:rFonts w:ascii="Arial" w:hAnsi="Arial" w:cs="Arial"/>
                <w:iCs/>
                <w:sz w:val="16"/>
                <w:szCs w:val="16"/>
              </w:rPr>
            </w:pPr>
            <w:r w:rsidRPr="003D5C8F">
              <w:rPr>
                <w:rFonts w:ascii="Arial" w:hAnsi="Arial" w:cs="Arial"/>
                <w:iCs/>
                <w:sz w:val="16"/>
                <w:szCs w:val="16"/>
              </w:rPr>
              <w:t>678</w:t>
            </w:r>
          </w:p>
        </w:tc>
      </w:tr>
      <w:tr w:rsidR="006A6808" w:rsidRPr="006E44FE" w14:paraId="663DDC7A" w14:textId="77777777" w:rsidTr="00AD3087">
        <w:trPr>
          <w:trHeight w:val="204"/>
        </w:trPr>
        <w:tc>
          <w:tcPr>
            <w:tcW w:w="2835" w:type="dxa"/>
            <w:tcBorders>
              <w:top w:val="nil"/>
              <w:left w:val="nil"/>
              <w:bottom w:val="nil"/>
              <w:right w:val="nil"/>
            </w:tcBorders>
            <w:shd w:val="clear" w:color="auto" w:fill="auto"/>
            <w:noWrap/>
            <w:hideMark/>
          </w:tcPr>
          <w:p w14:paraId="1E42792C" w14:textId="77777777" w:rsidR="006A6808" w:rsidRPr="003D5C8F" w:rsidRDefault="006A6808" w:rsidP="003D5C8F">
            <w:pPr>
              <w:spacing w:after="0" w:line="240" w:lineRule="auto"/>
              <w:ind w:left="113"/>
              <w:jc w:val="left"/>
              <w:rPr>
                <w:rFonts w:ascii="Arial" w:hAnsi="Arial" w:cs="Arial"/>
                <w:b/>
                <w:bCs/>
                <w:iCs/>
                <w:sz w:val="16"/>
                <w:szCs w:val="16"/>
              </w:rPr>
            </w:pPr>
            <w:r w:rsidRPr="003D5C8F">
              <w:rPr>
                <w:rFonts w:ascii="Arial" w:hAnsi="Arial" w:cs="Arial"/>
                <w:b/>
                <w:bCs/>
                <w:iCs/>
                <w:sz w:val="16"/>
                <w:szCs w:val="16"/>
              </w:rPr>
              <w:t>Total items</w:t>
            </w:r>
          </w:p>
        </w:tc>
        <w:tc>
          <w:tcPr>
            <w:tcW w:w="851" w:type="dxa"/>
            <w:tcBorders>
              <w:top w:val="single" w:sz="4" w:space="0" w:color="auto"/>
              <w:left w:val="nil"/>
              <w:bottom w:val="single" w:sz="4" w:space="0" w:color="auto"/>
              <w:right w:val="nil"/>
            </w:tcBorders>
            <w:shd w:val="clear" w:color="000000" w:fill="FFFFFF"/>
            <w:noWrap/>
            <w:vAlign w:val="bottom"/>
            <w:hideMark/>
          </w:tcPr>
          <w:p w14:paraId="772F4B66" w14:textId="51420E43" w:rsidR="006A6808" w:rsidRPr="003D5C8F" w:rsidRDefault="006A6808" w:rsidP="006E44FE">
            <w:pPr>
              <w:spacing w:after="0" w:line="240" w:lineRule="auto"/>
              <w:jc w:val="right"/>
              <w:rPr>
                <w:rFonts w:ascii="Arial" w:hAnsi="Arial" w:cs="Arial"/>
                <w:b/>
                <w:bCs/>
                <w:iCs/>
                <w:sz w:val="16"/>
                <w:szCs w:val="16"/>
              </w:rPr>
            </w:pPr>
            <w:r w:rsidRPr="003D5C8F">
              <w:rPr>
                <w:rFonts w:ascii="Arial" w:hAnsi="Arial" w:cs="Arial"/>
                <w:b/>
                <w:bCs/>
                <w:iCs/>
                <w:sz w:val="16"/>
                <w:szCs w:val="16"/>
              </w:rPr>
              <w:t>661</w:t>
            </w:r>
          </w:p>
        </w:tc>
        <w:tc>
          <w:tcPr>
            <w:tcW w:w="992" w:type="dxa"/>
            <w:tcBorders>
              <w:top w:val="single" w:sz="4" w:space="0" w:color="auto"/>
              <w:left w:val="nil"/>
              <w:bottom w:val="single" w:sz="4" w:space="0" w:color="auto"/>
              <w:right w:val="nil"/>
            </w:tcBorders>
            <w:shd w:val="clear" w:color="000000" w:fill="E6E6E6"/>
            <w:noWrap/>
            <w:vAlign w:val="bottom"/>
            <w:hideMark/>
          </w:tcPr>
          <w:p w14:paraId="6C6C6DA8" w14:textId="56BA497A" w:rsidR="006A6808" w:rsidRPr="003D5C8F" w:rsidRDefault="00C4540A" w:rsidP="006E44FE">
            <w:pPr>
              <w:spacing w:after="0" w:line="240" w:lineRule="auto"/>
              <w:jc w:val="right"/>
              <w:rPr>
                <w:rFonts w:ascii="Arial" w:hAnsi="Arial" w:cs="Arial"/>
                <w:b/>
                <w:bCs/>
                <w:iCs/>
                <w:sz w:val="16"/>
                <w:szCs w:val="16"/>
              </w:rPr>
            </w:pPr>
            <w:r w:rsidRPr="003D5C8F">
              <w:rPr>
                <w:rFonts w:ascii="Arial" w:hAnsi="Arial" w:cs="Arial"/>
                <w:b/>
                <w:bCs/>
                <w:iCs/>
                <w:sz w:val="16"/>
                <w:szCs w:val="16"/>
              </w:rPr>
              <w:t>4,1</w:t>
            </w:r>
            <w:r w:rsidR="006A6808" w:rsidRPr="003D5C8F">
              <w:rPr>
                <w:rFonts w:ascii="Arial" w:hAnsi="Arial" w:cs="Arial"/>
                <w:b/>
                <w:bCs/>
                <w:iCs/>
                <w:sz w:val="16"/>
                <w:szCs w:val="16"/>
              </w:rPr>
              <w:t>61</w:t>
            </w:r>
          </w:p>
        </w:tc>
        <w:tc>
          <w:tcPr>
            <w:tcW w:w="851" w:type="dxa"/>
            <w:tcBorders>
              <w:top w:val="single" w:sz="4" w:space="0" w:color="auto"/>
              <w:left w:val="nil"/>
              <w:bottom w:val="single" w:sz="4" w:space="0" w:color="auto"/>
              <w:right w:val="nil"/>
            </w:tcBorders>
            <w:shd w:val="clear" w:color="auto" w:fill="auto"/>
            <w:noWrap/>
            <w:vAlign w:val="bottom"/>
            <w:hideMark/>
          </w:tcPr>
          <w:p w14:paraId="16B7AB90" w14:textId="5B58896B" w:rsidR="006A6808" w:rsidRPr="003D5C8F" w:rsidRDefault="006A6808" w:rsidP="006E44FE">
            <w:pPr>
              <w:spacing w:after="0" w:line="240" w:lineRule="auto"/>
              <w:jc w:val="right"/>
              <w:rPr>
                <w:rFonts w:ascii="Arial" w:hAnsi="Arial" w:cs="Arial"/>
                <w:b/>
                <w:bCs/>
                <w:iCs/>
                <w:sz w:val="16"/>
                <w:szCs w:val="16"/>
              </w:rPr>
            </w:pPr>
            <w:r w:rsidRPr="003D5C8F">
              <w:rPr>
                <w:rFonts w:ascii="Arial" w:hAnsi="Arial" w:cs="Arial"/>
                <w:b/>
                <w:bCs/>
                <w:iCs/>
                <w:sz w:val="16"/>
                <w:szCs w:val="16"/>
              </w:rPr>
              <w:t>666</w:t>
            </w:r>
          </w:p>
        </w:tc>
        <w:tc>
          <w:tcPr>
            <w:tcW w:w="1057" w:type="dxa"/>
            <w:tcBorders>
              <w:top w:val="single" w:sz="4" w:space="0" w:color="auto"/>
              <w:left w:val="nil"/>
              <w:bottom w:val="single" w:sz="4" w:space="0" w:color="auto"/>
              <w:right w:val="nil"/>
            </w:tcBorders>
            <w:shd w:val="clear" w:color="auto" w:fill="auto"/>
            <w:noWrap/>
            <w:vAlign w:val="bottom"/>
            <w:hideMark/>
          </w:tcPr>
          <w:p w14:paraId="1F3D6B96" w14:textId="6E9CA203" w:rsidR="006A6808" w:rsidRPr="003D5C8F" w:rsidRDefault="006A6808" w:rsidP="006E44FE">
            <w:pPr>
              <w:spacing w:after="0" w:line="240" w:lineRule="auto"/>
              <w:jc w:val="right"/>
              <w:rPr>
                <w:rFonts w:ascii="Arial" w:hAnsi="Arial" w:cs="Arial"/>
                <w:b/>
                <w:bCs/>
                <w:iCs/>
                <w:sz w:val="16"/>
                <w:szCs w:val="16"/>
              </w:rPr>
            </w:pPr>
            <w:r w:rsidRPr="003D5C8F">
              <w:rPr>
                <w:rFonts w:ascii="Arial" w:hAnsi="Arial" w:cs="Arial"/>
                <w:b/>
                <w:bCs/>
                <w:iCs/>
                <w:sz w:val="16"/>
                <w:szCs w:val="16"/>
              </w:rPr>
              <w:t>673</w:t>
            </w:r>
          </w:p>
        </w:tc>
        <w:tc>
          <w:tcPr>
            <w:tcW w:w="1058" w:type="dxa"/>
            <w:tcBorders>
              <w:top w:val="single" w:sz="4" w:space="0" w:color="auto"/>
              <w:left w:val="nil"/>
              <w:bottom w:val="single" w:sz="4" w:space="0" w:color="auto"/>
              <w:right w:val="nil"/>
            </w:tcBorders>
            <w:shd w:val="clear" w:color="auto" w:fill="auto"/>
            <w:noWrap/>
            <w:vAlign w:val="bottom"/>
            <w:hideMark/>
          </w:tcPr>
          <w:p w14:paraId="12551CC8" w14:textId="0A004C9F" w:rsidR="006A6808" w:rsidRPr="003D5C8F" w:rsidRDefault="006A6808" w:rsidP="006E44FE">
            <w:pPr>
              <w:spacing w:after="0" w:line="240" w:lineRule="auto"/>
              <w:jc w:val="right"/>
              <w:rPr>
                <w:rFonts w:ascii="Arial" w:hAnsi="Arial" w:cs="Arial"/>
                <w:b/>
                <w:bCs/>
                <w:iCs/>
                <w:sz w:val="16"/>
                <w:szCs w:val="16"/>
              </w:rPr>
            </w:pPr>
            <w:r w:rsidRPr="003D5C8F">
              <w:rPr>
                <w:rFonts w:ascii="Arial" w:hAnsi="Arial" w:cs="Arial"/>
                <w:b/>
                <w:bCs/>
                <w:iCs/>
                <w:sz w:val="16"/>
                <w:szCs w:val="16"/>
              </w:rPr>
              <w:t>678</w:t>
            </w:r>
          </w:p>
        </w:tc>
      </w:tr>
      <w:tr w:rsidR="006A6808" w:rsidRPr="006E44FE" w14:paraId="5DE36B1A" w14:textId="77777777" w:rsidTr="00AD3087">
        <w:trPr>
          <w:trHeight w:val="204"/>
        </w:trPr>
        <w:tc>
          <w:tcPr>
            <w:tcW w:w="2835" w:type="dxa"/>
            <w:tcBorders>
              <w:top w:val="nil"/>
              <w:left w:val="nil"/>
              <w:bottom w:val="nil"/>
              <w:right w:val="nil"/>
            </w:tcBorders>
            <w:shd w:val="clear" w:color="auto" w:fill="auto"/>
            <w:noWrap/>
            <w:hideMark/>
          </w:tcPr>
          <w:p w14:paraId="6E401A85" w14:textId="77777777" w:rsidR="006A6808" w:rsidRPr="006E44FE" w:rsidRDefault="006A6808" w:rsidP="006A6808">
            <w:pPr>
              <w:spacing w:after="0" w:line="240" w:lineRule="auto"/>
              <w:jc w:val="left"/>
              <w:rPr>
                <w:rFonts w:ascii="Arial" w:hAnsi="Arial" w:cs="Arial"/>
                <w:b/>
                <w:bCs/>
                <w:sz w:val="16"/>
                <w:szCs w:val="16"/>
              </w:rPr>
            </w:pPr>
            <w:r w:rsidRPr="006E44FE">
              <w:rPr>
                <w:rFonts w:ascii="Arial" w:hAnsi="Arial" w:cs="Arial"/>
                <w:b/>
                <w:bCs/>
                <w:sz w:val="16"/>
                <w:szCs w:val="16"/>
              </w:rPr>
              <w:t>PURCHASE OF NON-FINANCIAL ASSETS</w:t>
            </w:r>
          </w:p>
        </w:tc>
        <w:tc>
          <w:tcPr>
            <w:tcW w:w="851" w:type="dxa"/>
            <w:tcBorders>
              <w:top w:val="nil"/>
              <w:left w:val="nil"/>
              <w:bottom w:val="nil"/>
              <w:right w:val="nil"/>
            </w:tcBorders>
            <w:shd w:val="clear" w:color="000000" w:fill="FFFFFF"/>
            <w:noWrap/>
            <w:vAlign w:val="bottom"/>
            <w:hideMark/>
          </w:tcPr>
          <w:p w14:paraId="2C46573B" w14:textId="4888293B" w:rsidR="006A6808" w:rsidRPr="006E44FE" w:rsidRDefault="006A6808" w:rsidP="006E44FE">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14:paraId="218D301A" w14:textId="2AA2A27D" w:rsidR="006A6808" w:rsidRPr="006E44FE" w:rsidRDefault="006A6808" w:rsidP="006E44FE">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407B1BBA" w14:textId="77777777" w:rsidR="006A6808" w:rsidRPr="006E44FE" w:rsidRDefault="006A6808" w:rsidP="006E44FE">
            <w:pPr>
              <w:spacing w:after="0" w:line="240" w:lineRule="auto"/>
              <w:jc w:val="right"/>
              <w:rPr>
                <w:rFonts w:ascii="Arial" w:hAnsi="Arial" w:cs="Arial"/>
                <w:sz w:val="16"/>
                <w:szCs w:val="16"/>
              </w:rPr>
            </w:pPr>
          </w:p>
        </w:tc>
        <w:tc>
          <w:tcPr>
            <w:tcW w:w="1057" w:type="dxa"/>
            <w:tcBorders>
              <w:top w:val="nil"/>
              <w:left w:val="nil"/>
              <w:bottom w:val="nil"/>
              <w:right w:val="nil"/>
            </w:tcBorders>
            <w:shd w:val="clear" w:color="auto" w:fill="auto"/>
            <w:noWrap/>
            <w:vAlign w:val="bottom"/>
            <w:hideMark/>
          </w:tcPr>
          <w:p w14:paraId="4DE396F2" w14:textId="77777777" w:rsidR="006A6808" w:rsidRPr="006E44FE" w:rsidRDefault="006A6808" w:rsidP="006E44FE">
            <w:pPr>
              <w:spacing w:after="0" w:line="240" w:lineRule="auto"/>
              <w:jc w:val="right"/>
              <w:rPr>
                <w:rFonts w:ascii="Arial" w:hAnsi="Arial" w:cs="Arial"/>
                <w:sz w:val="16"/>
                <w:szCs w:val="16"/>
              </w:rPr>
            </w:pPr>
          </w:p>
        </w:tc>
        <w:tc>
          <w:tcPr>
            <w:tcW w:w="1058" w:type="dxa"/>
            <w:tcBorders>
              <w:top w:val="nil"/>
              <w:left w:val="nil"/>
              <w:bottom w:val="nil"/>
              <w:right w:val="nil"/>
            </w:tcBorders>
            <w:shd w:val="clear" w:color="auto" w:fill="auto"/>
            <w:noWrap/>
            <w:vAlign w:val="bottom"/>
            <w:hideMark/>
          </w:tcPr>
          <w:p w14:paraId="2F229CBA" w14:textId="77777777" w:rsidR="006A6808" w:rsidRPr="006E44FE" w:rsidRDefault="006A6808" w:rsidP="006E44FE">
            <w:pPr>
              <w:spacing w:after="0" w:line="240" w:lineRule="auto"/>
              <w:jc w:val="right"/>
              <w:rPr>
                <w:rFonts w:ascii="Arial" w:hAnsi="Arial" w:cs="Arial"/>
                <w:sz w:val="16"/>
                <w:szCs w:val="16"/>
              </w:rPr>
            </w:pPr>
          </w:p>
        </w:tc>
      </w:tr>
      <w:tr w:rsidR="006A6808" w:rsidRPr="006E44FE" w14:paraId="2EA97DF1" w14:textId="77777777" w:rsidTr="00AD3087">
        <w:trPr>
          <w:trHeight w:val="204"/>
        </w:trPr>
        <w:tc>
          <w:tcPr>
            <w:tcW w:w="2835" w:type="dxa"/>
            <w:tcBorders>
              <w:top w:val="nil"/>
              <w:left w:val="nil"/>
              <w:bottom w:val="nil"/>
              <w:right w:val="nil"/>
            </w:tcBorders>
            <w:shd w:val="clear" w:color="auto" w:fill="auto"/>
            <w:noWrap/>
            <w:hideMark/>
          </w:tcPr>
          <w:p w14:paraId="426008E5" w14:textId="5F3468EA" w:rsidR="006A6808" w:rsidRPr="006E44FE" w:rsidRDefault="006A6808" w:rsidP="006E44FE">
            <w:pPr>
              <w:spacing w:after="0" w:line="240" w:lineRule="auto"/>
              <w:ind w:left="113"/>
              <w:jc w:val="left"/>
              <w:rPr>
                <w:rFonts w:ascii="Arial" w:hAnsi="Arial" w:cs="Arial"/>
                <w:sz w:val="16"/>
                <w:szCs w:val="16"/>
              </w:rPr>
            </w:pPr>
            <w:r w:rsidRPr="006E44FE">
              <w:rPr>
                <w:rFonts w:ascii="Arial" w:hAnsi="Arial" w:cs="Arial"/>
                <w:sz w:val="16"/>
                <w:szCs w:val="16"/>
              </w:rPr>
              <w:t xml:space="preserve">Funded by capital appropriations </w:t>
            </w:r>
            <w:r w:rsidR="009B54D8">
              <w:rPr>
                <w:rFonts w:ascii="Arial" w:hAnsi="Arial" w:cs="Arial"/>
                <w:sz w:val="16"/>
                <w:szCs w:val="16"/>
              </w:rPr>
              <w:t>–</w:t>
            </w:r>
            <w:r w:rsidRPr="006E44FE">
              <w:rPr>
                <w:rFonts w:ascii="Arial" w:hAnsi="Arial" w:cs="Arial"/>
                <w:sz w:val="16"/>
                <w:szCs w:val="16"/>
              </w:rPr>
              <w:t xml:space="preserve"> DCB</w:t>
            </w:r>
            <w:r w:rsidR="009B54D8">
              <w:rPr>
                <w:rFonts w:ascii="Arial" w:hAnsi="Arial" w:cs="Arial"/>
                <w:sz w:val="16"/>
                <w:szCs w:val="16"/>
              </w:rPr>
              <w:t xml:space="preserve"> </w:t>
            </w:r>
            <w:r w:rsidR="009B54D8" w:rsidRPr="006E44FE">
              <w:rPr>
                <w:rFonts w:ascii="Arial" w:hAnsi="Arial" w:cs="Arial"/>
                <w:sz w:val="16"/>
                <w:szCs w:val="16"/>
                <w:vertAlign w:val="superscript"/>
              </w:rPr>
              <w:t>(a)</w:t>
            </w:r>
          </w:p>
        </w:tc>
        <w:tc>
          <w:tcPr>
            <w:tcW w:w="851" w:type="dxa"/>
            <w:tcBorders>
              <w:top w:val="nil"/>
              <w:left w:val="nil"/>
              <w:bottom w:val="nil"/>
              <w:right w:val="nil"/>
            </w:tcBorders>
            <w:shd w:val="clear" w:color="000000" w:fill="FFFFFF"/>
            <w:noWrap/>
            <w:vAlign w:val="bottom"/>
            <w:hideMark/>
          </w:tcPr>
          <w:p w14:paraId="79420C6F" w14:textId="2866AE00"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661</w:t>
            </w:r>
          </w:p>
        </w:tc>
        <w:tc>
          <w:tcPr>
            <w:tcW w:w="992" w:type="dxa"/>
            <w:tcBorders>
              <w:top w:val="nil"/>
              <w:left w:val="nil"/>
              <w:bottom w:val="nil"/>
              <w:right w:val="nil"/>
            </w:tcBorders>
            <w:shd w:val="clear" w:color="000000" w:fill="E6E6E6"/>
            <w:noWrap/>
            <w:vAlign w:val="bottom"/>
            <w:hideMark/>
          </w:tcPr>
          <w:p w14:paraId="75E3F6F5" w14:textId="5773217A" w:rsidR="006A6808" w:rsidRPr="006E44FE" w:rsidRDefault="00C4540A" w:rsidP="006E44FE">
            <w:pPr>
              <w:spacing w:after="0" w:line="240" w:lineRule="auto"/>
              <w:jc w:val="right"/>
              <w:rPr>
                <w:rFonts w:ascii="Arial" w:hAnsi="Arial" w:cs="Arial"/>
                <w:sz w:val="16"/>
                <w:szCs w:val="16"/>
              </w:rPr>
            </w:pPr>
            <w:r>
              <w:rPr>
                <w:rFonts w:ascii="Arial" w:hAnsi="Arial" w:cs="Arial"/>
                <w:sz w:val="16"/>
                <w:szCs w:val="16"/>
              </w:rPr>
              <w:t>4,1</w:t>
            </w:r>
            <w:r w:rsidR="006A6808" w:rsidRPr="006E44FE">
              <w:rPr>
                <w:rFonts w:ascii="Arial" w:hAnsi="Arial" w:cs="Arial"/>
                <w:sz w:val="16"/>
                <w:szCs w:val="16"/>
              </w:rPr>
              <w:t>61</w:t>
            </w:r>
          </w:p>
        </w:tc>
        <w:tc>
          <w:tcPr>
            <w:tcW w:w="851" w:type="dxa"/>
            <w:tcBorders>
              <w:top w:val="nil"/>
              <w:left w:val="nil"/>
              <w:bottom w:val="nil"/>
              <w:right w:val="nil"/>
            </w:tcBorders>
            <w:shd w:val="clear" w:color="auto" w:fill="auto"/>
            <w:noWrap/>
            <w:vAlign w:val="bottom"/>
            <w:hideMark/>
          </w:tcPr>
          <w:p w14:paraId="4585FFED" w14:textId="2F2B47E7"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666</w:t>
            </w:r>
          </w:p>
        </w:tc>
        <w:tc>
          <w:tcPr>
            <w:tcW w:w="1057" w:type="dxa"/>
            <w:tcBorders>
              <w:top w:val="nil"/>
              <w:left w:val="nil"/>
              <w:bottom w:val="nil"/>
              <w:right w:val="nil"/>
            </w:tcBorders>
            <w:shd w:val="clear" w:color="auto" w:fill="auto"/>
            <w:noWrap/>
            <w:vAlign w:val="bottom"/>
            <w:hideMark/>
          </w:tcPr>
          <w:p w14:paraId="40B808BB" w14:textId="2A722516"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673</w:t>
            </w:r>
          </w:p>
        </w:tc>
        <w:tc>
          <w:tcPr>
            <w:tcW w:w="1058" w:type="dxa"/>
            <w:tcBorders>
              <w:top w:val="nil"/>
              <w:left w:val="nil"/>
              <w:bottom w:val="nil"/>
              <w:right w:val="nil"/>
            </w:tcBorders>
            <w:shd w:val="clear" w:color="auto" w:fill="auto"/>
            <w:noWrap/>
            <w:vAlign w:val="bottom"/>
            <w:hideMark/>
          </w:tcPr>
          <w:p w14:paraId="6F33BB68" w14:textId="7805915C"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678</w:t>
            </w:r>
          </w:p>
        </w:tc>
      </w:tr>
      <w:tr w:rsidR="006A6808" w:rsidRPr="006E44FE" w14:paraId="43351B76" w14:textId="77777777" w:rsidTr="00AD3087">
        <w:trPr>
          <w:trHeight w:val="204"/>
        </w:trPr>
        <w:tc>
          <w:tcPr>
            <w:tcW w:w="2835" w:type="dxa"/>
            <w:tcBorders>
              <w:top w:val="nil"/>
              <w:left w:val="nil"/>
              <w:bottom w:val="nil"/>
              <w:right w:val="nil"/>
            </w:tcBorders>
            <w:shd w:val="clear" w:color="auto" w:fill="auto"/>
            <w:hideMark/>
          </w:tcPr>
          <w:p w14:paraId="37515573" w14:textId="1E980AA3" w:rsidR="006A6808" w:rsidRPr="006E44FE" w:rsidRDefault="006A6808" w:rsidP="009B54D8">
            <w:pPr>
              <w:spacing w:after="0" w:line="240" w:lineRule="auto"/>
              <w:ind w:left="113"/>
              <w:jc w:val="left"/>
              <w:rPr>
                <w:rFonts w:ascii="Arial" w:hAnsi="Arial" w:cs="Arial"/>
                <w:sz w:val="16"/>
                <w:szCs w:val="16"/>
              </w:rPr>
            </w:pPr>
            <w:r w:rsidRPr="006E44FE">
              <w:rPr>
                <w:rFonts w:ascii="Arial" w:hAnsi="Arial" w:cs="Arial"/>
                <w:sz w:val="16"/>
                <w:szCs w:val="16"/>
              </w:rPr>
              <w:t xml:space="preserve">Funded internally from </w:t>
            </w:r>
            <w:r w:rsidR="008863D9">
              <w:rPr>
                <w:rFonts w:ascii="Arial" w:hAnsi="Arial" w:cs="Arial"/>
                <w:sz w:val="16"/>
                <w:szCs w:val="16"/>
              </w:rPr>
              <w:t>Department</w:t>
            </w:r>
            <w:r w:rsidRPr="006E44FE">
              <w:rPr>
                <w:rFonts w:ascii="Arial" w:hAnsi="Arial" w:cs="Arial"/>
                <w:sz w:val="16"/>
                <w:szCs w:val="16"/>
              </w:rPr>
              <w:t xml:space="preserve">al resources </w:t>
            </w:r>
          </w:p>
        </w:tc>
        <w:tc>
          <w:tcPr>
            <w:tcW w:w="851" w:type="dxa"/>
            <w:tcBorders>
              <w:top w:val="nil"/>
              <w:left w:val="nil"/>
              <w:bottom w:val="nil"/>
              <w:right w:val="nil"/>
            </w:tcBorders>
            <w:shd w:val="clear" w:color="000000" w:fill="FFFFFF"/>
            <w:noWrap/>
            <w:vAlign w:val="bottom"/>
            <w:hideMark/>
          </w:tcPr>
          <w:p w14:paraId="464800E2" w14:textId="08A6647F" w:rsidR="006A6808" w:rsidRPr="006E44FE" w:rsidRDefault="006A6808" w:rsidP="006E44FE">
            <w:pPr>
              <w:spacing w:after="0" w:line="240" w:lineRule="auto"/>
              <w:jc w:val="right"/>
              <w:outlineLvl w:val="0"/>
              <w:rPr>
                <w:rFonts w:ascii="Arial" w:hAnsi="Arial" w:cs="Arial"/>
                <w:sz w:val="16"/>
                <w:szCs w:val="16"/>
              </w:rPr>
            </w:pPr>
            <w:r w:rsidRPr="006E44FE">
              <w:rPr>
                <w:rFonts w:ascii="Arial" w:hAnsi="Arial" w:cs="Arial"/>
                <w:sz w:val="16"/>
                <w:szCs w:val="16"/>
              </w:rPr>
              <w:t>1,665</w:t>
            </w:r>
          </w:p>
        </w:tc>
        <w:tc>
          <w:tcPr>
            <w:tcW w:w="992" w:type="dxa"/>
            <w:tcBorders>
              <w:top w:val="nil"/>
              <w:left w:val="nil"/>
              <w:bottom w:val="nil"/>
              <w:right w:val="nil"/>
            </w:tcBorders>
            <w:shd w:val="clear" w:color="000000" w:fill="E6E6E6"/>
            <w:noWrap/>
            <w:vAlign w:val="bottom"/>
            <w:hideMark/>
          </w:tcPr>
          <w:p w14:paraId="5356AB5A" w14:textId="726A092A" w:rsidR="006A6808" w:rsidRPr="006E44FE" w:rsidRDefault="006A6808" w:rsidP="006E44FE">
            <w:pPr>
              <w:spacing w:after="0" w:line="240" w:lineRule="auto"/>
              <w:jc w:val="right"/>
              <w:outlineLvl w:val="0"/>
              <w:rPr>
                <w:rFonts w:ascii="Arial" w:hAnsi="Arial" w:cs="Arial"/>
                <w:sz w:val="16"/>
                <w:szCs w:val="16"/>
              </w:rPr>
            </w:pPr>
            <w:r w:rsidRPr="006E44FE">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3EF87FF3" w14:textId="68EE96D4" w:rsidR="006A6808" w:rsidRPr="006E44FE" w:rsidRDefault="006A6808" w:rsidP="006E44FE">
            <w:pPr>
              <w:spacing w:after="0" w:line="240" w:lineRule="auto"/>
              <w:jc w:val="right"/>
              <w:outlineLvl w:val="0"/>
              <w:rPr>
                <w:rFonts w:ascii="Arial" w:hAnsi="Arial" w:cs="Arial"/>
                <w:sz w:val="16"/>
                <w:szCs w:val="16"/>
              </w:rPr>
            </w:pPr>
            <w:r w:rsidRPr="006E44FE">
              <w:rPr>
                <w:rFonts w:ascii="Arial" w:hAnsi="Arial" w:cs="Arial"/>
                <w:sz w:val="16"/>
                <w:szCs w:val="16"/>
              </w:rPr>
              <w:t>-</w:t>
            </w:r>
          </w:p>
        </w:tc>
        <w:tc>
          <w:tcPr>
            <w:tcW w:w="1057" w:type="dxa"/>
            <w:tcBorders>
              <w:top w:val="nil"/>
              <w:left w:val="nil"/>
              <w:bottom w:val="nil"/>
              <w:right w:val="nil"/>
            </w:tcBorders>
            <w:shd w:val="clear" w:color="auto" w:fill="auto"/>
            <w:noWrap/>
            <w:vAlign w:val="bottom"/>
            <w:hideMark/>
          </w:tcPr>
          <w:p w14:paraId="5E516877" w14:textId="241D258C" w:rsidR="006A6808" w:rsidRPr="006E44FE" w:rsidRDefault="006A6808" w:rsidP="006E44FE">
            <w:pPr>
              <w:spacing w:after="0" w:line="240" w:lineRule="auto"/>
              <w:jc w:val="right"/>
              <w:outlineLvl w:val="0"/>
              <w:rPr>
                <w:rFonts w:ascii="Arial" w:hAnsi="Arial" w:cs="Arial"/>
                <w:sz w:val="16"/>
                <w:szCs w:val="16"/>
              </w:rPr>
            </w:pPr>
            <w:r w:rsidRPr="006E44FE">
              <w:rPr>
                <w:rFonts w:ascii="Arial" w:hAnsi="Arial" w:cs="Arial"/>
                <w:sz w:val="16"/>
                <w:szCs w:val="16"/>
              </w:rPr>
              <w:t>-</w:t>
            </w:r>
          </w:p>
        </w:tc>
        <w:tc>
          <w:tcPr>
            <w:tcW w:w="1058" w:type="dxa"/>
            <w:tcBorders>
              <w:top w:val="nil"/>
              <w:left w:val="nil"/>
              <w:bottom w:val="nil"/>
              <w:right w:val="nil"/>
            </w:tcBorders>
            <w:shd w:val="clear" w:color="auto" w:fill="auto"/>
            <w:noWrap/>
            <w:vAlign w:val="bottom"/>
            <w:hideMark/>
          </w:tcPr>
          <w:p w14:paraId="7421793D" w14:textId="0D36403B" w:rsidR="006A6808" w:rsidRPr="006E44FE" w:rsidRDefault="006A6808" w:rsidP="006E44FE">
            <w:pPr>
              <w:spacing w:after="0" w:line="240" w:lineRule="auto"/>
              <w:jc w:val="right"/>
              <w:outlineLvl w:val="0"/>
              <w:rPr>
                <w:rFonts w:ascii="Arial" w:hAnsi="Arial" w:cs="Arial"/>
                <w:sz w:val="16"/>
                <w:szCs w:val="16"/>
              </w:rPr>
            </w:pPr>
            <w:r w:rsidRPr="006E44FE">
              <w:rPr>
                <w:rFonts w:ascii="Arial" w:hAnsi="Arial" w:cs="Arial"/>
                <w:sz w:val="16"/>
                <w:szCs w:val="16"/>
              </w:rPr>
              <w:t>-</w:t>
            </w:r>
          </w:p>
        </w:tc>
      </w:tr>
      <w:tr w:rsidR="006A6808" w:rsidRPr="006E44FE" w14:paraId="046A9F0A" w14:textId="77777777" w:rsidTr="00AD3087">
        <w:trPr>
          <w:trHeight w:val="204"/>
        </w:trPr>
        <w:tc>
          <w:tcPr>
            <w:tcW w:w="2835" w:type="dxa"/>
            <w:tcBorders>
              <w:top w:val="nil"/>
              <w:left w:val="nil"/>
              <w:bottom w:val="nil"/>
              <w:right w:val="nil"/>
            </w:tcBorders>
            <w:shd w:val="clear" w:color="auto" w:fill="auto"/>
            <w:noWrap/>
            <w:hideMark/>
          </w:tcPr>
          <w:p w14:paraId="676B52E9" w14:textId="77777777" w:rsidR="006A6808" w:rsidRPr="006E44FE" w:rsidRDefault="006A6808" w:rsidP="006A6808">
            <w:pPr>
              <w:spacing w:after="0" w:line="240" w:lineRule="auto"/>
              <w:jc w:val="left"/>
              <w:rPr>
                <w:rFonts w:ascii="Arial" w:hAnsi="Arial" w:cs="Arial"/>
                <w:b/>
                <w:bCs/>
                <w:sz w:val="16"/>
                <w:szCs w:val="16"/>
              </w:rPr>
            </w:pPr>
            <w:r w:rsidRPr="006E44FE">
              <w:rPr>
                <w:rFonts w:ascii="Arial" w:hAnsi="Arial" w:cs="Arial"/>
                <w:b/>
                <w:bCs/>
                <w:sz w:val="16"/>
                <w:szCs w:val="16"/>
              </w:rPr>
              <w:t>Total</w:t>
            </w:r>
          </w:p>
        </w:tc>
        <w:tc>
          <w:tcPr>
            <w:tcW w:w="851" w:type="dxa"/>
            <w:tcBorders>
              <w:top w:val="single" w:sz="4" w:space="0" w:color="auto"/>
              <w:left w:val="nil"/>
              <w:bottom w:val="single" w:sz="4" w:space="0" w:color="auto"/>
              <w:right w:val="nil"/>
            </w:tcBorders>
            <w:shd w:val="clear" w:color="000000" w:fill="FFFFFF"/>
            <w:noWrap/>
            <w:vAlign w:val="bottom"/>
            <w:hideMark/>
          </w:tcPr>
          <w:p w14:paraId="1B5894B5" w14:textId="754ADF23"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2,326</w:t>
            </w:r>
          </w:p>
        </w:tc>
        <w:tc>
          <w:tcPr>
            <w:tcW w:w="992" w:type="dxa"/>
            <w:tcBorders>
              <w:top w:val="single" w:sz="4" w:space="0" w:color="auto"/>
              <w:left w:val="nil"/>
              <w:bottom w:val="single" w:sz="4" w:space="0" w:color="auto"/>
              <w:right w:val="nil"/>
            </w:tcBorders>
            <w:shd w:val="clear" w:color="000000" w:fill="E6E6E6"/>
            <w:noWrap/>
            <w:vAlign w:val="bottom"/>
            <w:hideMark/>
          </w:tcPr>
          <w:p w14:paraId="304D91FC" w14:textId="0DC64350" w:rsidR="006A6808" w:rsidRPr="003D5C8F" w:rsidRDefault="00C4540A" w:rsidP="006E44FE">
            <w:pPr>
              <w:spacing w:after="0" w:line="240" w:lineRule="auto"/>
              <w:jc w:val="right"/>
              <w:rPr>
                <w:rFonts w:ascii="Arial" w:hAnsi="Arial" w:cs="Arial"/>
                <w:b/>
                <w:bCs/>
                <w:sz w:val="16"/>
                <w:szCs w:val="16"/>
              </w:rPr>
            </w:pPr>
            <w:r w:rsidRPr="003D5C8F">
              <w:rPr>
                <w:rFonts w:ascii="Arial" w:hAnsi="Arial" w:cs="Arial"/>
                <w:b/>
                <w:bCs/>
                <w:iCs/>
                <w:sz w:val="16"/>
                <w:szCs w:val="16"/>
              </w:rPr>
              <w:t>4,161</w:t>
            </w:r>
          </w:p>
        </w:tc>
        <w:tc>
          <w:tcPr>
            <w:tcW w:w="851" w:type="dxa"/>
            <w:tcBorders>
              <w:top w:val="single" w:sz="4" w:space="0" w:color="auto"/>
              <w:left w:val="nil"/>
              <w:bottom w:val="single" w:sz="4" w:space="0" w:color="auto"/>
              <w:right w:val="nil"/>
            </w:tcBorders>
            <w:shd w:val="clear" w:color="auto" w:fill="auto"/>
            <w:noWrap/>
            <w:vAlign w:val="bottom"/>
            <w:hideMark/>
          </w:tcPr>
          <w:p w14:paraId="2AE64D29" w14:textId="6476914B"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666</w:t>
            </w:r>
          </w:p>
        </w:tc>
        <w:tc>
          <w:tcPr>
            <w:tcW w:w="1057" w:type="dxa"/>
            <w:tcBorders>
              <w:top w:val="single" w:sz="4" w:space="0" w:color="auto"/>
              <w:left w:val="nil"/>
              <w:bottom w:val="single" w:sz="4" w:space="0" w:color="auto"/>
              <w:right w:val="nil"/>
            </w:tcBorders>
            <w:shd w:val="clear" w:color="auto" w:fill="auto"/>
            <w:noWrap/>
            <w:vAlign w:val="bottom"/>
            <w:hideMark/>
          </w:tcPr>
          <w:p w14:paraId="602AE4DA" w14:textId="33B0D0E6"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673</w:t>
            </w:r>
          </w:p>
        </w:tc>
        <w:tc>
          <w:tcPr>
            <w:tcW w:w="1058" w:type="dxa"/>
            <w:tcBorders>
              <w:top w:val="single" w:sz="4" w:space="0" w:color="auto"/>
              <w:left w:val="nil"/>
              <w:bottom w:val="single" w:sz="4" w:space="0" w:color="auto"/>
              <w:right w:val="nil"/>
            </w:tcBorders>
            <w:shd w:val="clear" w:color="auto" w:fill="auto"/>
            <w:noWrap/>
            <w:vAlign w:val="bottom"/>
            <w:hideMark/>
          </w:tcPr>
          <w:p w14:paraId="689A598F" w14:textId="214ADB8D"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678</w:t>
            </w:r>
          </w:p>
        </w:tc>
      </w:tr>
      <w:tr w:rsidR="006A6808" w:rsidRPr="006E44FE" w14:paraId="27E7A3AC" w14:textId="77777777" w:rsidTr="00AD3087">
        <w:trPr>
          <w:trHeight w:val="204"/>
        </w:trPr>
        <w:tc>
          <w:tcPr>
            <w:tcW w:w="2835" w:type="dxa"/>
            <w:tcBorders>
              <w:top w:val="nil"/>
              <w:left w:val="nil"/>
              <w:bottom w:val="nil"/>
              <w:right w:val="nil"/>
            </w:tcBorders>
            <w:shd w:val="clear" w:color="auto" w:fill="auto"/>
            <w:noWrap/>
            <w:hideMark/>
          </w:tcPr>
          <w:p w14:paraId="0963FF2E" w14:textId="77777777" w:rsidR="006A6808" w:rsidRPr="006E44FE" w:rsidRDefault="006A6808" w:rsidP="006E44FE">
            <w:pPr>
              <w:spacing w:after="0" w:line="240" w:lineRule="auto"/>
              <w:ind w:left="113"/>
              <w:jc w:val="left"/>
              <w:rPr>
                <w:rFonts w:ascii="Arial" w:hAnsi="Arial" w:cs="Arial"/>
                <w:sz w:val="16"/>
                <w:szCs w:val="16"/>
              </w:rPr>
            </w:pPr>
            <w:r w:rsidRPr="006E44FE">
              <w:rPr>
                <w:rFonts w:ascii="Arial" w:hAnsi="Arial" w:cs="Arial"/>
                <w:sz w:val="16"/>
                <w:szCs w:val="16"/>
              </w:rPr>
              <w:t>Total purchases</w:t>
            </w:r>
          </w:p>
        </w:tc>
        <w:tc>
          <w:tcPr>
            <w:tcW w:w="851" w:type="dxa"/>
            <w:tcBorders>
              <w:top w:val="nil"/>
              <w:left w:val="nil"/>
              <w:bottom w:val="nil"/>
              <w:right w:val="nil"/>
            </w:tcBorders>
            <w:shd w:val="clear" w:color="000000" w:fill="FFFFFF"/>
            <w:noWrap/>
            <w:vAlign w:val="bottom"/>
            <w:hideMark/>
          </w:tcPr>
          <w:p w14:paraId="5C413232" w14:textId="4FD57B73"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2,326</w:t>
            </w:r>
          </w:p>
        </w:tc>
        <w:tc>
          <w:tcPr>
            <w:tcW w:w="992" w:type="dxa"/>
            <w:tcBorders>
              <w:top w:val="nil"/>
              <w:left w:val="nil"/>
              <w:bottom w:val="nil"/>
              <w:right w:val="nil"/>
            </w:tcBorders>
            <w:shd w:val="clear" w:color="000000" w:fill="E6E6E6"/>
            <w:noWrap/>
            <w:vAlign w:val="bottom"/>
            <w:hideMark/>
          </w:tcPr>
          <w:p w14:paraId="4C2F81A1" w14:textId="77F7A429" w:rsidR="006A6808" w:rsidRPr="003D5C8F" w:rsidRDefault="00C4540A" w:rsidP="006E44FE">
            <w:pPr>
              <w:spacing w:after="0" w:line="240" w:lineRule="auto"/>
              <w:jc w:val="right"/>
              <w:rPr>
                <w:rFonts w:ascii="Arial" w:hAnsi="Arial" w:cs="Arial"/>
                <w:sz w:val="16"/>
                <w:szCs w:val="16"/>
              </w:rPr>
            </w:pPr>
            <w:r w:rsidRPr="003D5C8F">
              <w:rPr>
                <w:rFonts w:ascii="Arial" w:hAnsi="Arial" w:cs="Arial"/>
                <w:sz w:val="16"/>
                <w:szCs w:val="16"/>
              </w:rPr>
              <w:t>4,161</w:t>
            </w:r>
          </w:p>
        </w:tc>
        <w:tc>
          <w:tcPr>
            <w:tcW w:w="851" w:type="dxa"/>
            <w:tcBorders>
              <w:top w:val="nil"/>
              <w:left w:val="nil"/>
              <w:bottom w:val="nil"/>
              <w:right w:val="nil"/>
            </w:tcBorders>
            <w:shd w:val="clear" w:color="auto" w:fill="auto"/>
            <w:noWrap/>
            <w:vAlign w:val="bottom"/>
            <w:hideMark/>
          </w:tcPr>
          <w:p w14:paraId="558CD2AE" w14:textId="7DB91AC1"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666</w:t>
            </w:r>
          </w:p>
        </w:tc>
        <w:tc>
          <w:tcPr>
            <w:tcW w:w="1057" w:type="dxa"/>
            <w:tcBorders>
              <w:top w:val="nil"/>
              <w:left w:val="nil"/>
              <w:bottom w:val="nil"/>
              <w:right w:val="nil"/>
            </w:tcBorders>
            <w:shd w:val="clear" w:color="auto" w:fill="auto"/>
            <w:noWrap/>
            <w:vAlign w:val="bottom"/>
            <w:hideMark/>
          </w:tcPr>
          <w:p w14:paraId="167B4B35" w14:textId="41445660"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673</w:t>
            </w:r>
          </w:p>
        </w:tc>
        <w:tc>
          <w:tcPr>
            <w:tcW w:w="1058" w:type="dxa"/>
            <w:tcBorders>
              <w:top w:val="nil"/>
              <w:left w:val="nil"/>
              <w:bottom w:val="nil"/>
              <w:right w:val="nil"/>
            </w:tcBorders>
            <w:shd w:val="clear" w:color="auto" w:fill="auto"/>
            <w:noWrap/>
            <w:vAlign w:val="bottom"/>
            <w:hideMark/>
          </w:tcPr>
          <w:p w14:paraId="1300FC9C" w14:textId="75B268E1" w:rsidR="006A6808" w:rsidRPr="006E44FE" w:rsidRDefault="006A6808" w:rsidP="006E44FE">
            <w:pPr>
              <w:spacing w:after="0" w:line="240" w:lineRule="auto"/>
              <w:jc w:val="right"/>
              <w:rPr>
                <w:rFonts w:ascii="Arial" w:hAnsi="Arial" w:cs="Arial"/>
                <w:sz w:val="16"/>
                <w:szCs w:val="16"/>
              </w:rPr>
            </w:pPr>
            <w:r w:rsidRPr="006E44FE">
              <w:rPr>
                <w:rFonts w:ascii="Arial" w:hAnsi="Arial" w:cs="Arial"/>
                <w:sz w:val="16"/>
                <w:szCs w:val="16"/>
              </w:rPr>
              <w:t>678</w:t>
            </w:r>
          </w:p>
        </w:tc>
      </w:tr>
      <w:tr w:rsidR="006A6808" w:rsidRPr="006E44FE" w14:paraId="67C99DB0" w14:textId="77777777" w:rsidTr="00AD3087">
        <w:trPr>
          <w:trHeight w:val="204"/>
        </w:trPr>
        <w:tc>
          <w:tcPr>
            <w:tcW w:w="2835" w:type="dxa"/>
            <w:tcBorders>
              <w:top w:val="nil"/>
              <w:left w:val="nil"/>
              <w:bottom w:val="single" w:sz="4" w:space="0" w:color="auto"/>
              <w:right w:val="nil"/>
            </w:tcBorders>
            <w:shd w:val="clear" w:color="auto" w:fill="auto"/>
            <w:noWrap/>
            <w:hideMark/>
          </w:tcPr>
          <w:p w14:paraId="7C7EBD65" w14:textId="77777777" w:rsidR="006A6808" w:rsidRPr="006E44FE" w:rsidRDefault="006A6808" w:rsidP="006A6808">
            <w:pPr>
              <w:spacing w:after="0" w:line="240" w:lineRule="auto"/>
              <w:jc w:val="left"/>
              <w:rPr>
                <w:rFonts w:ascii="Arial" w:hAnsi="Arial" w:cs="Arial"/>
                <w:b/>
                <w:bCs/>
                <w:sz w:val="16"/>
                <w:szCs w:val="16"/>
              </w:rPr>
            </w:pPr>
            <w:r w:rsidRPr="006E44FE">
              <w:rPr>
                <w:rFonts w:ascii="Arial" w:hAnsi="Arial" w:cs="Arial"/>
                <w:b/>
                <w:bCs/>
                <w:sz w:val="16"/>
                <w:szCs w:val="16"/>
              </w:rPr>
              <w:t>Total cash used to acquire assets</w:t>
            </w:r>
          </w:p>
        </w:tc>
        <w:tc>
          <w:tcPr>
            <w:tcW w:w="851" w:type="dxa"/>
            <w:tcBorders>
              <w:top w:val="single" w:sz="4" w:space="0" w:color="auto"/>
              <w:left w:val="nil"/>
              <w:bottom w:val="single" w:sz="4" w:space="0" w:color="auto"/>
              <w:right w:val="nil"/>
            </w:tcBorders>
            <w:shd w:val="clear" w:color="000000" w:fill="FFFFFF"/>
            <w:noWrap/>
            <w:vAlign w:val="bottom"/>
            <w:hideMark/>
          </w:tcPr>
          <w:p w14:paraId="2534C993" w14:textId="586E6EEE"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2,326</w:t>
            </w:r>
          </w:p>
        </w:tc>
        <w:tc>
          <w:tcPr>
            <w:tcW w:w="992" w:type="dxa"/>
            <w:tcBorders>
              <w:top w:val="single" w:sz="4" w:space="0" w:color="auto"/>
              <w:left w:val="nil"/>
              <w:bottom w:val="single" w:sz="4" w:space="0" w:color="auto"/>
              <w:right w:val="nil"/>
            </w:tcBorders>
            <w:shd w:val="clear" w:color="000000" w:fill="E6E6E6"/>
            <w:noWrap/>
            <w:vAlign w:val="bottom"/>
            <w:hideMark/>
          </w:tcPr>
          <w:p w14:paraId="7525C5DF" w14:textId="52E11669" w:rsidR="006A6808" w:rsidRPr="003D5C8F" w:rsidRDefault="00C4540A" w:rsidP="006E44FE">
            <w:pPr>
              <w:spacing w:after="0" w:line="240" w:lineRule="auto"/>
              <w:jc w:val="right"/>
              <w:rPr>
                <w:rFonts w:ascii="Arial" w:hAnsi="Arial" w:cs="Arial"/>
                <w:b/>
                <w:bCs/>
                <w:sz w:val="16"/>
                <w:szCs w:val="16"/>
              </w:rPr>
            </w:pPr>
            <w:r w:rsidRPr="003D5C8F">
              <w:rPr>
                <w:rFonts w:ascii="Arial" w:hAnsi="Arial" w:cs="Arial"/>
                <w:b/>
                <w:bCs/>
                <w:iCs/>
                <w:sz w:val="16"/>
                <w:szCs w:val="16"/>
              </w:rPr>
              <w:t>4,161</w:t>
            </w:r>
          </w:p>
        </w:tc>
        <w:tc>
          <w:tcPr>
            <w:tcW w:w="851" w:type="dxa"/>
            <w:tcBorders>
              <w:top w:val="single" w:sz="4" w:space="0" w:color="auto"/>
              <w:left w:val="nil"/>
              <w:bottom w:val="single" w:sz="4" w:space="0" w:color="auto"/>
              <w:right w:val="nil"/>
            </w:tcBorders>
            <w:shd w:val="clear" w:color="auto" w:fill="auto"/>
            <w:noWrap/>
            <w:vAlign w:val="bottom"/>
            <w:hideMark/>
          </w:tcPr>
          <w:p w14:paraId="4524E210" w14:textId="3A6B08EB"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666</w:t>
            </w:r>
          </w:p>
        </w:tc>
        <w:tc>
          <w:tcPr>
            <w:tcW w:w="1057" w:type="dxa"/>
            <w:tcBorders>
              <w:top w:val="single" w:sz="4" w:space="0" w:color="auto"/>
              <w:left w:val="nil"/>
              <w:bottom w:val="single" w:sz="4" w:space="0" w:color="auto"/>
              <w:right w:val="nil"/>
            </w:tcBorders>
            <w:shd w:val="clear" w:color="auto" w:fill="auto"/>
            <w:noWrap/>
            <w:vAlign w:val="bottom"/>
            <w:hideMark/>
          </w:tcPr>
          <w:p w14:paraId="330168F0" w14:textId="3741E548"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673</w:t>
            </w:r>
          </w:p>
        </w:tc>
        <w:tc>
          <w:tcPr>
            <w:tcW w:w="1058" w:type="dxa"/>
            <w:tcBorders>
              <w:top w:val="single" w:sz="4" w:space="0" w:color="auto"/>
              <w:left w:val="nil"/>
              <w:bottom w:val="single" w:sz="4" w:space="0" w:color="auto"/>
              <w:right w:val="nil"/>
            </w:tcBorders>
            <w:shd w:val="clear" w:color="auto" w:fill="auto"/>
            <w:noWrap/>
            <w:vAlign w:val="bottom"/>
            <w:hideMark/>
          </w:tcPr>
          <w:p w14:paraId="582392F5" w14:textId="7605C0B0" w:rsidR="006A6808" w:rsidRPr="006E44FE" w:rsidRDefault="006A6808" w:rsidP="006E44FE">
            <w:pPr>
              <w:spacing w:after="0" w:line="240" w:lineRule="auto"/>
              <w:jc w:val="right"/>
              <w:rPr>
                <w:rFonts w:ascii="Arial" w:hAnsi="Arial" w:cs="Arial"/>
                <w:b/>
                <w:bCs/>
                <w:sz w:val="16"/>
                <w:szCs w:val="16"/>
              </w:rPr>
            </w:pPr>
            <w:r w:rsidRPr="006E44FE">
              <w:rPr>
                <w:rFonts w:ascii="Arial" w:hAnsi="Arial" w:cs="Arial"/>
                <w:b/>
                <w:bCs/>
                <w:sz w:val="16"/>
                <w:szCs w:val="16"/>
              </w:rPr>
              <w:t>678</w:t>
            </w:r>
          </w:p>
        </w:tc>
      </w:tr>
    </w:tbl>
    <w:p w14:paraId="47F2AB1A" w14:textId="77777777" w:rsidR="00D129D0" w:rsidRPr="00D129D0" w:rsidRDefault="00D129D0" w:rsidP="0002571F">
      <w:pPr>
        <w:pStyle w:val="TableHeading"/>
        <w:spacing w:before="60" w:after="0"/>
        <w:rPr>
          <w:rFonts w:cs="Arial"/>
          <w:b w:val="0"/>
          <w:snapToGrid w:val="0"/>
          <w:sz w:val="16"/>
          <w:szCs w:val="16"/>
        </w:rPr>
      </w:pPr>
      <w:r w:rsidRPr="00D129D0">
        <w:rPr>
          <w:rFonts w:cs="Arial"/>
          <w:b w:val="0"/>
          <w:snapToGrid w:val="0"/>
          <w:sz w:val="16"/>
          <w:szCs w:val="16"/>
        </w:rPr>
        <w:t>Prepared on Australian Accounting Standards basis.</w:t>
      </w:r>
    </w:p>
    <w:p w14:paraId="25357845" w14:textId="0F000438" w:rsidR="00914885" w:rsidRDefault="00D129D0" w:rsidP="0002571F">
      <w:pPr>
        <w:pStyle w:val="ChartandTableFootnoteAlpha"/>
        <w:numPr>
          <w:ilvl w:val="0"/>
          <w:numId w:val="56"/>
        </w:numPr>
        <w:tabs>
          <w:tab w:val="clear" w:pos="397"/>
          <w:tab w:val="left" w:pos="284"/>
        </w:tabs>
        <w:ind w:left="284" w:hanging="284"/>
        <w:jc w:val="left"/>
        <w:rPr>
          <w:snapToGrid w:val="0"/>
        </w:rPr>
      </w:pPr>
      <w:r w:rsidRPr="00D129D0">
        <w:rPr>
          <w:rFonts w:cs="Arial"/>
          <w:szCs w:val="16"/>
        </w:rPr>
        <w:t xml:space="preserve">Includes purchases from current and previous years’ </w:t>
      </w:r>
      <w:r w:rsidR="008863D9">
        <w:rPr>
          <w:rFonts w:cs="Arial"/>
          <w:szCs w:val="16"/>
        </w:rPr>
        <w:t>Department</w:t>
      </w:r>
      <w:r w:rsidRPr="00D129D0">
        <w:rPr>
          <w:rFonts w:cs="Arial"/>
          <w:szCs w:val="16"/>
        </w:rPr>
        <w:t>al Capital Budgets (DCBs).</w:t>
      </w:r>
      <w:r w:rsidR="000366AC">
        <w:rPr>
          <w:snapToGrid w:val="0"/>
        </w:rPr>
        <w:t xml:space="preserve"> </w:t>
      </w:r>
      <w:r w:rsidR="00914885">
        <w:rPr>
          <w:snapToGrid w:val="0"/>
        </w:rPr>
        <w:br w:type="page"/>
      </w:r>
    </w:p>
    <w:p w14:paraId="0F53AADD" w14:textId="2105C22D" w:rsidR="00914885" w:rsidRDefault="00914885" w:rsidP="00914885">
      <w:pPr>
        <w:pStyle w:val="TableHeading"/>
        <w:spacing w:before="0" w:after="0"/>
        <w:rPr>
          <w:lang w:val="en-AU"/>
        </w:rPr>
      </w:pPr>
      <w:r>
        <w:rPr>
          <w:snapToGrid w:val="0"/>
        </w:rPr>
        <w:lastRenderedPageBreak/>
        <w:t>Table 3.</w:t>
      </w:r>
      <w:r>
        <w:rPr>
          <w:snapToGrid w:val="0"/>
          <w:lang w:val="en-AU"/>
        </w:rPr>
        <w:t>7</w:t>
      </w:r>
      <w:r>
        <w:rPr>
          <w:snapToGrid w:val="0"/>
        </w:rPr>
        <w:t xml:space="preserve">: </w:t>
      </w:r>
      <w:r w:rsidRPr="00014438">
        <w:rPr>
          <w:snapToGrid w:val="0"/>
        </w:rPr>
        <w:t xml:space="preserve">Statement of </w:t>
      </w:r>
      <w:r w:rsidR="008863D9">
        <w:rPr>
          <w:snapToGrid w:val="0"/>
          <w:lang w:val="en-AU"/>
        </w:rPr>
        <w:t>Department</w:t>
      </w:r>
      <w:r>
        <w:rPr>
          <w:snapToGrid w:val="0"/>
          <w:lang w:val="en-AU"/>
        </w:rPr>
        <w:t xml:space="preserve">al </w:t>
      </w:r>
      <w:r w:rsidRPr="00014438">
        <w:rPr>
          <w:snapToGrid w:val="0"/>
        </w:rPr>
        <w:t>asset movements (</w:t>
      </w:r>
      <w:r w:rsidR="00377489">
        <w:rPr>
          <w:snapToGrid w:val="0"/>
          <w:lang w:val="en-AU"/>
        </w:rPr>
        <w:t>2021-22 Budget year</w:t>
      </w:r>
      <w:r w:rsidRPr="00014438">
        <w:rPr>
          <w:snapToGrid w:val="0"/>
        </w:rPr>
        <w:t>)</w:t>
      </w:r>
    </w:p>
    <w:tbl>
      <w:tblPr>
        <w:tblW w:w="7770" w:type="dxa"/>
        <w:tblLook w:val="04A0" w:firstRow="1" w:lastRow="0" w:firstColumn="1" w:lastColumn="0" w:noHBand="0" w:noVBand="1"/>
      </w:tblPr>
      <w:tblGrid>
        <w:gridCol w:w="3119"/>
        <w:gridCol w:w="996"/>
        <w:gridCol w:w="1018"/>
        <w:gridCol w:w="825"/>
        <w:gridCol w:w="981"/>
        <w:gridCol w:w="831"/>
      </w:tblGrid>
      <w:tr w:rsidR="009E77AC" w:rsidRPr="006A6808" w14:paraId="6C50DB9C" w14:textId="77777777" w:rsidTr="00553851">
        <w:trPr>
          <w:trHeight w:val="56"/>
        </w:trPr>
        <w:tc>
          <w:tcPr>
            <w:tcW w:w="3119" w:type="dxa"/>
            <w:tcBorders>
              <w:top w:val="single" w:sz="4" w:space="0" w:color="auto"/>
              <w:left w:val="nil"/>
              <w:bottom w:val="nil"/>
              <w:right w:val="nil"/>
            </w:tcBorders>
            <w:shd w:val="clear" w:color="auto" w:fill="auto"/>
            <w:noWrap/>
            <w:hideMark/>
          </w:tcPr>
          <w:p w14:paraId="3A080B9A" w14:textId="6C0F395D" w:rsidR="009E77AC" w:rsidRPr="006A6808" w:rsidRDefault="009E77AC" w:rsidP="006A6808">
            <w:pPr>
              <w:spacing w:after="0" w:line="240" w:lineRule="auto"/>
              <w:jc w:val="left"/>
              <w:rPr>
                <w:rFonts w:ascii="Arial" w:hAnsi="Arial" w:cs="Arial"/>
                <w:sz w:val="16"/>
                <w:szCs w:val="16"/>
              </w:rPr>
            </w:pPr>
            <w:bookmarkStart w:id="468" w:name="RANGE!A3:F41"/>
            <w:r w:rsidRPr="006A6808">
              <w:rPr>
                <w:rFonts w:ascii="Arial" w:hAnsi="Arial" w:cs="Arial"/>
                <w:sz w:val="16"/>
                <w:szCs w:val="16"/>
              </w:rPr>
              <w:t> </w:t>
            </w:r>
            <w:bookmarkEnd w:id="468"/>
          </w:p>
        </w:tc>
        <w:tc>
          <w:tcPr>
            <w:tcW w:w="4651" w:type="dxa"/>
            <w:gridSpan w:val="5"/>
            <w:tcBorders>
              <w:top w:val="single" w:sz="4" w:space="0" w:color="auto"/>
              <w:left w:val="nil"/>
              <w:bottom w:val="single" w:sz="4" w:space="0" w:color="auto"/>
              <w:right w:val="nil"/>
            </w:tcBorders>
            <w:shd w:val="clear" w:color="auto" w:fill="auto"/>
            <w:vAlign w:val="bottom"/>
          </w:tcPr>
          <w:p w14:paraId="23541907" w14:textId="46203AE4" w:rsidR="009E77AC" w:rsidRPr="009E77AC" w:rsidRDefault="009E77AC" w:rsidP="009E77AC">
            <w:pPr>
              <w:spacing w:after="0" w:line="240" w:lineRule="auto"/>
              <w:jc w:val="center"/>
              <w:rPr>
                <w:rFonts w:ascii="Arial" w:hAnsi="Arial" w:cs="Arial"/>
                <w:b/>
                <w:sz w:val="16"/>
                <w:szCs w:val="16"/>
              </w:rPr>
            </w:pPr>
            <w:r w:rsidRPr="009E77AC">
              <w:rPr>
                <w:rFonts w:ascii="Arial" w:hAnsi="Arial" w:cs="Arial"/>
                <w:b/>
                <w:sz w:val="16"/>
                <w:szCs w:val="16"/>
              </w:rPr>
              <w:t>Asset category</w:t>
            </w:r>
          </w:p>
        </w:tc>
      </w:tr>
      <w:tr w:rsidR="009E77AC" w:rsidRPr="009E77AC" w14:paraId="12373823" w14:textId="77777777" w:rsidTr="00D129D0">
        <w:trPr>
          <w:trHeight w:val="240"/>
        </w:trPr>
        <w:tc>
          <w:tcPr>
            <w:tcW w:w="3119" w:type="dxa"/>
            <w:tcBorders>
              <w:left w:val="nil"/>
              <w:bottom w:val="nil"/>
              <w:right w:val="nil"/>
            </w:tcBorders>
            <w:shd w:val="clear" w:color="auto" w:fill="auto"/>
            <w:noWrap/>
            <w:hideMark/>
          </w:tcPr>
          <w:p w14:paraId="298596F5" w14:textId="77777777" w:rsidR="009E77AC" w:rsidRPr="006A6808" w:rsidRDefault="009E77AC" w:rsidP="001346D5">
            <w:pPr>
              <w:spacing w:after="0" w:line="240" w:lineRule="auto"/>
              <w:jc w:val="left"/>
              <w:rPr>
                <w:rFonts w:ascii="Arial" w:hAnsi="Arial" w:cs="Arial"/>
                <w:sz w:val="16"/>
                <w:szCs w:val="16"/>
              </w:rPr>
            </w:pPr>
            <w:r w:rsidRPr="006A6808">
              <w:rPr>
                <w:rFonts w:ascii="Arial" w:hAnsi="Arial" w:cs="Arial"/>
                <w:sz w:val="16"/>
                <w:szCs w:val="16"/>
              </w:rPr>
              <w:t> </w:t>
            </w:r>
          </w:p>
        </w:tc>
        <w:tc>
          <w:tcPr>
            <w:tcW w:w="996" w:type="dxa"/>
            <w:tcBorders>
              <w:top w:val="single" w:sz="4" w:space="0" w:color="auto"/>
              <w:left w:val="nil"/>
              <w:bottom w:val="single" w:sz="4" w:space="0" w:color="auto"/>
              <w:right w:val="nil"/>
            </w:tcBorders>
            <w:shd w:val="clear" w:color="auto" w:fill="auto"/>
            <w:hideMark/>
          </w:tcPr>
          <w:p w14:paraId="4347F964" w14:textId="77777777" w:rsidR="009E77AC" w:rsidRDefault="009E77AC" w:rsidP="001346D5">
            <w:pPr>
              <w:spacing w:after="0" w:line="240" w:lineRule="auto"/>
              <w:jc w:val="right"/>
              <w:rPr>
                <w:rFonts w:ascii="Arial" w:hAnsi="Arial" w:cs="Arial"/>
                <w:sz w:val="16"/>
                <w:szCs w:val="16"/>
              </w:rPr>
            </w:pPr>
            <w:r w:rsidRPr="009E77AC">
              <w:rPr>
                <w:rFonts w:ascii="Arial" w:hAnsi="Arial" w:cs="Arial"/>
                <w:sz w:val="16"/>
                <w:szCs w:val="16"/>
              </w:rPr>
              <w:t>Buildings</w:t>
            </w:r>
          </w:p>
          <w:p w14:paraId="34AE5727" w14:textId="77777777" w:rsidR="00245999" w:rsidRDefault="00245999" w:rsidP="001346D5">
            <w:pPr>
              <w:spacing w:after="0" w:line="240" w:lineRule="auto"/>
              <w:jc w:val="right"/>
              <w:rPr>
                <w:rFonts w:ascii="Arial" w:hAnsi="Arial" w:cs="Arial"/>
                <w:sz w:val="16"/>
                <w:szCs w:val="16"/>
              </w:rPr>
            </w:pPr>
          </w:p>
          <w:p w14:paraId="7E055D76" w14:textId="77777777" w:rsidR="00245999" w:rsidRDefault="00245999" w:rsidP="001346D5">
            <w:pPr>
              <w:spacing w:after="0" w:line="240" w:lineRule="auto"/>
              <w:jc w:val="right"/>
              <w:rPr>
                <w:rFonts w:ascii="Arial" w:hAnsi="Arial" w:cs="Arial"/>
                <w:sz w:val="16"/>
                <w:szCs w:val="16"/>
              </w:rPr>
            </w:pPr>
          </w:p>
          <w:p w14:paraId="7D0AD2B3" w14:textId="77777777" w:rsidR="00245999" w:rsidRDefault="00245999" w:rsidP="001346D5">
            <w:pPr>
              <w:spacing w:after="0" w:line="240" w:lineRule="auto"/>
              <w:jc w:val="right"/>
              <w:rPr>
                <w:rFonts w:ascii="Arial" w:hAnsi="Arial" w:cs="Arial"/>
                <w:sz w:val="16"/>
                <w:szCs w:val="16"/>
              </w:rPr>
            </w:pPr>
          </w:p>
          <w:p w14:paraId="04FCF452" w14:textId="1BC38DC2" w:rsidR="00245999" w:rsidRPr="009E77AC" w:rsidRDefault="00245999" w:rsidP="001346D5">
            <w:pPr>
              <w:spacing w:after="0" w:line="240" w:lineRule="auto"/>
              <w:jc w:val="right"/>
              <w:rPr>
                <w:rFonts w:ascii="Arial" w:hAnsi="Arial" w:cs="Arial"/>
                <w:sz w:val="16"/>
                <w:szCs w:val="16"/>
              </w:rPr>
            </w:pPr>
            <w:r w:rsidRPr="009E77AC">
              <w:rPr>
                <w:rFonts w:ascii="Arial" w:hAnsi="Arial" w:cs="Arial"/>
                <w:sz w:val="16"/>
                <w:szCs w:val="16"/>
              </w:rPr>
              <w:t>$'000</w:t>
            </w:r>
          </w:p>
        </w:tc>
        <w:tc>
          <w:tcPr>
            <w:tcW w:w="1018" w:type="dxa"/>
            <w:tcBorders>
              <w:top w:val="single" w:sz="4" w:space="0" w:color="auto"/>
              <w:left w:val="nil"/>
              <w:bottom w:val="single" w:sz="4" w:space="0" w:color="auto"/>
              <w:right w:val="nil"/>
            </w:tcBorders>
            <w:shd w:val="clear" w:color="auto" w:fill="auto"/>
            <w:hideMark/>
          </w:tcPr>
          <w:p w14:paraId="7516EBA6" w14:textId="77777777" w:rsidR="009E77AC" w:rsidRDefault="009E77AC" w:rsidP="001346D5">
            <w:pPr>
              <w:spacing w:after="0" w:line="240" w:lineRule="auto"/>
              <w:jc w:val="right"/>
              <w:rPr>
                <w:rFonts w:ascii="Arial" w:hAnsi="Arial" w:cs="Arial"/>
                <w:sz w:val="16"/>
                <w:szCs w:val="16"/>
              </w:rPr>
            </w:pPr>
            <w:r w:rsidRPr="009E77AC">
              <w:rPr>
                <w:rFonts w:ascii="Arial" w:hAnsi="Arial" w:cs="Arial"/>
                <w:sz w:val="16"/>
                <w:szCs w:val="16"/>
              </w:rPr>
              <w:t>Other</w:t>
            </w:r>
            <w:r w:rsidR="00245999" w:rsidRPr="009E77AC">
              <w:rPr>
                <w:rFonts w:ascii="Arial" w:hAnsi="Arial" w:cs="Arial"/>
                <w:sz w:val="16"/>
                <w:szCs w:val="16"/>
              </w:rPr>
              <w:t xml:space="preserve"> property</w:t>
            </w:r>
            <w:r w:rsidR="00245999">
              <w:rPr>
                <w:rFonts w:ascii="Arial" w:hAnsi="Arial" w:cs="Arial"/>
                <w:sz w:val="16"/>
                <w:szCs w:val="16"/>
              </w:rPr>
              <w:t>, plant and equipment</w:t>
            </w:r>
          </w:p>
          <w:p w14:paraId="7735B3EB" w14:textId="5A4DD03B" w:rsidR="00245999" w:rsidRPr="009E77AC" w:rsidRDefault="00245999" w:rsidP="001346D5">
            <w:pPr>
              <w:spacing w:after="0" w:line="240" w:lineRule="auto"/>
              <w:jc w:val="right"/>
              <w:rPr>
                <w:rFonts w:ascii="Arial" w:hAnsi="Arial" w:cs="Arial"/>
                <w:sz w:val="16"/>
                <w:szCs w:val="16"/>
              </w:rPr>
            </w:pPr>
            <w:r w:rsidRPr="009E77AC">
              <w:rPr>
                <w:rFonts w:ascii="Arial" w:hAnsi="Arial" w:cs="Arial"/>
                <w:sz w:val="16"/>
                <w:szCs w:val="16"/>
              </w:rPr>
              <w:t>$'000</w:t>
            </w:r>
          </w:p>
        </w:tc>
        <w:tc>
          <w:tcPr>
            <w:tcW w:w="825" w:type="dxa"/>
            <w:tcBorders>
              <w:top w:val="single" w:sz="4" w:space="0" w:color="auto"/>
              <w:left w:val="nil"/>
              <w:bottom w:val="single" w:sz="4" w:space="0" w:color="auto"/>
              <w:right w:val="nil"/>
            </w:tcBorders>
            <w:shd w:val="clear" w:color="auto" w:fill="auto"/>
            <w:hideMark/>
          </w:tcPr>
          <w:p w14:paraId="59E0408B" w14:textId="77777777" w:rsidR="009E77AC" w:rsidRDefault="009E77AC" w:rsidP="001346D5">
            <w:pPr>
              <w:spacing w:after="0" w:line="240" w:lineRule="auto"/>
              <w:jc w:val="right"/>
              <w:rPr>
                <w:rFonts w:ascii="Arial" w:hAnsi="Arial" w:cs="Arial"/>
                <w:sz w:val="16"/>
                <w:szCs w:val="16"/>
              </w:rPr>
            </w:pPr>
            <w:r w:rsidRPr="009E77AC">
              <w:rPr>
                <w:rFonts w:ascii="Arial" w:hAnsi="Arial" w:cs="Arial"/>
                <w:sz w:val="16"/>
                <w:szCs w:val="16"/>
              </w:rPr>
              <w:t>Heritage</w:t>
            </w:r>
            <w:r w:rsidR="00245999" w:rsidRPr="009E77AC">
              <w:rPr>
                <w:rFonts w:ascii="Arial" w:hAnsi="Arial" w:cs="Arial"/>
                <w:sz w:val="16"/>
                <w:szCs w:val="16"/>
              </w:rPr>
              <w:t xml:space="preserve"> and cultural assets</w:t>
            </w:r>
          </w:p>
          <w:p w14:paraId="62443F2C" w14:textId="0B6251C6" w:rsidR="00245999" w:rsidRPr="009E77AC" w:rsidRDefault="00245999" w:rsidP="001346D5">
            <w:pPr>
              <w:spacing w:after="0" w:line="240" w:lineRule="auto"/>
              <w:jc w:val="right"/>
              <w:rPr>
                <w:rFonts w:ascii="Arial" w:hAnsi="Arial" w:cs="Arial"/>
                <w:sz w:val="16"/>
                <w:szCs w:val="16"/>
              </w:rPr>
            </w:pPr>
            <w:r w:rsidRPr="009E77AC">
              <w:rPr>
                <w:rFonts w:ascii="Arial" w:hAnsi="Arial" w:cs="Arial"/>
                <w:sz w:val="16"/>
                <w:szCs w:val="16"/>
              </w:rPr>
              <w:t>$'000</w:t>
            </w:r>
          </w:p>
        </w:tc>
        <w:tc>
          <w:tcPr>
            <w:tcW w:w="981" w:type="dxa"/>
            <w:tcBorders>
              <w:top w:val="single" w:sz="4" w:space="0" w:color="auto"/>
              <w:left w:val="nil"/>
              <w:bottom w:val="single" w:sz="4" w:space="0" w:color="auto"/>
              <w:right w:val="nil"/>
            </w:tcBorders>
            <w:shd w:val="clear" w:color="auto" w:fill="auto"/>
            <w:hideMark/>
          </w:tcPr>
          <w:p w14:paraId="473D847B" w14:textId="77777777" w:rsidR="00245999" w:rsidRDefault="009E77AC" w:rsidP="001346D5">
            <w:pPr>
              <w:spacing w:after="0" w:line="240" w:lineRule="auto"/>
              <w:jc w:val="right"/>
              <w:rPr>
                <w:rFonts w:ascii="Arial" w:hAnsi="Arial" w:cs="Arial"/>
                <w:sz w:val="16"/>
                <w:szCs w:val="16"/>
              </w:rPr>
            </w:pPr>
            <w:r w:rsidRPr="009E77AC">
              <w:rPr>
                <w:rFonts w:ascii="Arial" w:hAnsi="Arial" w:cs="Arial"/>
                <w:sz w:val="16"/>
                <w:szCs w:val="16"/>
              </w:rPr>
              <w:t>Computer</w:t>
            </w:r>
            <w:r w:rsidR="00245999" w:rsidRPr="009E77AC">
              <w:rPr>
                <w:rFonts w:ascii="Arial" w:hAnsi="Arial" w:cs="Arial"/>
                <w:sz w:val="16"/>
                <w:szCs w:val="16"/>
              </w:rPr>
              <w:t xml:space="preserve"> software and intangibles</w:t>
            </w:r>
          </w:p>
          <w:p w14:paraId="6F385E1D" w14:textId="22202BD0" w:rsidR="009E77AC" w:rsidRPr="009E77AC" w:rsidRDefault="00245999" w:rsidP="001346D5">
            <w:pPr>
              <w:spacing w:after="0" w:line="240" w:lineRule="auto"/>
              <w:jc w:val="right"/>
              <w:rPr>
                <w:rFonts w:ascii="Arial" w:hAnsi="Arial" w:cs="Arial"/>
                <w:sz w:val="16"/>
                <w:szCs w:val="16"/>
              </w:rPr>
            </w:pPr>
            <w:r w:rsidRPr="009E77AC">
              <w:rPr>
                <w:rFonts w:ascii="Arial" w:hAnsi="Arial" w:cs="Arial"/>
                <w:sz w:val="16"/>
                <w:szCs w:val="16"/>
              </w:rPr>
              <w:t>$'000</w:t>
            </w:r>
          </w:p>
        </w:tc>
        <w:tc>
          <w:tcPr>
            <w:tcW w:w="831" w:type="dxa"/>
            <w:tcBorders>
              <w:top w:val="single" w:sz="4" w:space="0" w:color="auto"/>
              <w:left w:val="nil"/>
              <w:bottom w:val="single" w:sz="4" w:space="0" w:color="auto"/>
              <w:right w:val="nil"/>
            </w:tcBorders>
            <w:shd w:val="clear" w:color="auto" w:fill="auto"/>
            <w:hideMark/>
          </w:tcPr>
          <w:p w14:paraId="062FD9CA" w14:textId="77777777" w:rsidR="009E77AC" w:rsidRDefault="009E77AC" w:rsidP="001346D5">
            <w:pPr>
              <w:spacing w:after="0" w:line="240" w:lineRule="auto"/>
              <w:jc w:val="right"/>
              <w:rPr>
                <w:rFonts w:ascii="Arial" w:hAnsi="Arial" w:cs="Arial"/>
                <w:sz w:val="16"/>
                <w:szCs w:val="16"/>
              </w:rPr>
            </w:pPr>
            <w:r w:rsidRPr="009E77AC">
              <w:rPr>
                <w:rFonts w:ascii="Arial" w:hAnsi="Arial" w:cs="Arial"/>
                <w:sz w:val="16"/>
                <w:szCs w:val="16"/>
              </w:rPr>
              <w:t>Total</w:t>
            </w:r>
          </w:p>
          <w:p w14:paraId="06223E49" w14:textId="77777777" w:rsidR="00245999" w:rsidRDefault="00245999" w:rsidP="001346D5">
            <w:pPr>
              <w:spacing w:after="0" w:line="240" w:lineRule="auto"/>
              <w:jc w:val="right"/>
              <w:rPr>
                <w:rFonts w:ascii="Arial" w:hAnsi="Arial" w:cs="Arial"/>
                <w:sz w:val="16"/>
                <w:szCs w:val="16"/>
              </w:rPr>
            </w:pPr>
          </w:p>
          <w:p w14:paraId="6E627A8C" w14:textId="77777777" w:rsidR="00245999" w:rsidRDefault="00245999" w:rsidP="001346D5">
            <w:pPr>
              <w:spacing w:after="0" w:line="240" w:lineRule="auto"/>
              <w:jc w:val="right"/>
              <w:rPr>
                <w:rFonts w:ascii="Arial" w:hAnsi="Arial" w:cs="Arial"/>
                <w:sz w:val="16"/>
                <w:szCs w:val="16"/>
              </w:rPr>
            </w:pPr>
          </w:p>
          <w:p w14:paraId="4EEFCD67" w14:textId="77777777" w:rsidR="00245999" w:rsidRDefault="00245999" w:rsidP="001346D5">
            <w:pPr>
              <w:spacing w:after="0" w:line="240" w:lineRule="auto"/>
              <w:jc w:val="right"/>
              <w:rPr>
                <w:rFonts w:ascii="Arial" w:hAnsi="Arial" w:cs="Arial"/>
                <w:sz w:val="16"/>
                <w:szCs w:val="16"/>
              </w:rPr>
            </w:pPr>
          </w:p>
          <w:p w14:paraId="607F6449" w14:textId="2700E9BF" w:rsidR="00245999" w:rsidRPr="009E77AC" w:rsidRDefault="00245999" w:rsidP="001346D5">
            <w:pPr>
              <w:spacing w:after="0" w:line="240" w:lineRule="auto"/>
              <w:jc w:val="right"/>
              <w:rPr>
                <w:rFonts w:ascii="Arial" w:hAnsi="Arial" w:cs="Arial"/>
                <w:sz w:val="16"/>
                <w:szCs w:val="16"/>
              </w:rPr>
            </w:pPr>
            <w:r w:rsidRPr="009E77AC">
              <w:rPr>
                <w:rFonts w:ascii="Arial" w:hAnsi="Arial" w:cs="Arial"/>
                <w:sz w:val="16"/>
                <w:szCs w:val="16"/>
              </w:rPr>
              <w:t>$'000</w:t>
            </w:r>
          </w:p>
        </w:tc>
      </w:tr>
      <w:tr w:rsidR="006A6808" w:rsidRPr="006A6808" w14:paraId="6FFC5415" w14:textId="77777777" w:rsidTr="00EF5AA2">
        <w:trPr>
          <w:trHeight w:val="204"/>
        </w:trPr>
        <w:tc>
          <w:tcPr>
            <w:tcW w:w="3119" w:type="dxa"/>
            <w:tcBorders>
              <w:top w:val="nil"/>
              <w:left w:val="nil"/>
              <w:bottom w:val="nil"/>
              <w:right w:val="nil"/>
            </w:tcBorders>
            <w:shd w:val="clear" w:color="auto" w:fill="auto"/>
            <w:hideMark/>
          </w:tcPr>
          <w:p w14:paraId="4000DC1B" w14:textId="77777777" w:rsidR="006A6808" w:rsidRPr="006A6808" w:rsidRDefault="006A6808" w:rsidP="006A6808">
            <w:pPr>
              <w:spacing w:after="0" w:line="240" w:lineRule="auto"/>
              <w:jc w:val="left"/>
              <w:rPr>
                <w:rFonts w:ascii="Arial" w:hAnsi="Arial" w:cs="Arial"/>
                <w:b/>
                <w:bCs/>
                <w:sz w:val="16"/>
                <w:szCs w:val="16"/>
              </w:rPr>
            </w:pPr>
            <w:r w:rsidRPr="006A6808">
              <w:rPr>
                <w:rFonts w:ascii="Arial" w:hAnsi="Arial" w:cs="Arial"/>
                <w:b/>
                <w:bCs/>
                <w:sz w:val="16"/>
                <w:szCs w:val="16"/>
              </w:rPr>
              <w:t>As at 1 July 2021</w:t>
            </w:r>
          </w:p>
        </w:tc>
        <w:tc>
          <w:tcPr>
            <w:tcW w:w="996" w:type="dxa"/>
            <w:tcBorders>
              <w:top w:val="single" w:sz="4" w:space="0" w:color="auto"/>
              <w:left w:val="nil"/>
              <w:bottom w:val="nil"/>
              <w:right w:val="nil"/>
            </w:tcBorders>
            <w:shd w:val="clear" w:color="auto" w:fill="auto"/>
            <w:noWrap/>
            <w:vAlign w:val="bottom"/>
            <w:hideMark/>
          </w:tcPr>
          <w:p w14:paraId="7C08C3C8" w14:textId="77777777" w:rsidR="006A6808" w:rsidRPr="009E77AC" w:rsidRDefault="006A6808" w:rsidP="00E81D8C">
            <w:pPr>
              <w:spacing w:after="0" w:line="240" w:lineRule="auto"/>
              <w:jc w:val="right"/>
              <w:rPr>
                <w:rFonts w:ascii="Arial" w:hAnsi="Arial" w:cs="Arial"/>
                <w:b/>
                <w:bCs/>
                <w:sz w:val="16"/>
                <w:szCs w:val="16"/>
              </w:rPr>
            </w:pPr>
          </w:p>
        </w:tc>
        <w:tc>
          <w:tcPr>
            <w:tcW w:w="1018" w:type="dxa"/>
            <w:tcBorders>
              <w:top w:val="single" w:sz="4" w:space="0" w:color="auto"/>
              <w:left w:val="nil"/>
              <w:bottom w:val="nil"/>
              <w:right w:val="nil"/>
            </w:tcBorders>
            <w:shd w:val="clear" w:color="auto" w:fill="auto"/>
            <w:noWrap/>
            <w:vAlign w:val="bottom"/>
            <w:hideMark/>
          </w:tcPr>
          <w:p w14:paraId="774BD6E6" w14:textId="77777777" w:rsidR="006A6808" w:rsidRPr="009E77AC" w:rsidRDefault="006A6808" w:rsidP="00E81D8C">
            <w:pPr>
              <w:spacing w:after="0" w:line="240" w:lineRule="auto"/>
              <w:jc w:val="right"/>
              <w:rPr>
                <w:rFonts w:ascii="Times New Roman" w:hAnsi="Times New Roman"/>
                <w:sz w:val="16"/>
                <w:szCs w:val="16"/>
              </w:rPr>
            </w:pPr>
          </w:p>
        </w:tc>
        <w:tc>
          <w:tcPr>
            <w:tcW w:w="825" w:type="dxa"/>
            <w:tcBorders>
              <w:top w:val="single" w:sz="4" w:space="0" w:color="auto"/>
              <w:left w:val="nil"/>
              <w:bottom w:val="nil"/>
              <w:right w:val="nil"/>
            </w:tcBorders>
            <w:shd w:val="clear" w:color="auto" w:fill="auto"/>
            <w:noWrap/>
            <w:vAlign w:val="bottom"/>
            <w:hideMark/>
          </w:tcPr>
          <w:p w14:paraId="33803083" w14:textId="77777777" w:rsidR="006A6808" w:rsidRPr="009E77AC" w:rsidRDefault="006A6808" w:rsidP="00E81D8C">
            <w:pPr>
              <w:spacing w:after="0" w:line="240" w:lineRule="auto"/>
              <w:jc w:val="right"/>
              <w:rPr>
                <w:rFonts w:ascii="Times New Roman" w:hAnsi="Times New Roman"/>
                <w:sz w:val="16"/>
                <w:szCs w:val="16"/>
              </w:rPr>
            </w:pPr>
          </w:p>
        </w:tc>
        <w:tc>
          <w:tcPr>
            <w:tcW w:w="981" w:type="dxa"/>
            <w:tcBorders>
              <w:top w:val="single" w:sz="4" w:space="0" w:color="auto"/>
              <w:left w:val="nil"/>
              <w:bottom w:val="nil"/>
              <w:right w:val="nil"/>
            </w:tcBorders>
            <w:shd w:val="clear" w:color="auto" w:fill="auto"/>
            <w:noWrap/>
            <w:vAlign w:val="bottom"/>
            <w:hideMark/>
          </w:tcPr>
          <w:p w14:paraId="57D1EE46" w14:textId="77777777" w:rsidR="006A6808" w:rsidRPr="009E77AC" w:rsidRDefault="006A6808" w:rsidP="00E81D8C">
            <w:pPr>
              <w:spacing w:after="0" w:line="240" w:lineRule="auto"/>
              <w:jc w:val="right"/>
              <w:rPr>
                <w:rFonts w:ascii="Times New Roman" w:hAnsi="Times New Roman"/>
                <w:sz w:val="16"/>
                <w:szCs w:val="16"/>
              </w:rPr>
            </w:pPr>
          </w:p>
        </w:tc>
        <w:tc>
          <w:tcPr>
            <w:tcW w:w="831" w:type="dxa"/>
            <w:tcBorders>
              <w:top w:val="single" w:sz="4" w:space="0" w:color="auto"/>
              <w:left w:val="nil"/>
              <w:bottom w:val="nil"/>
              <w:right w:val="nil"/>
            </w:tcBorders>
            <w:shd w:val="clear" w:color="auto" w:fill="auto"/>
            <w:noWrap/>
            <w:vAlign w:val="bottom"/>
            <w:hideMark/>
          </w:tcPr>
          <w:p w14:paraId="2BAEE7B8" w14:textId="77777777" w:rsidR="006A6808" w:rsidRPr="009E77AC" w:rsidRDefault="006A6808" w:rsidP="00E81D8C">
            <w:pPr>
              <w:spacing w:after="0" w:line="240" w:lineRule="auto"/>
              <w:jc w:val="right"/>
              <w:rPr>
                <w:rFonts w:ascii="Times New Roman" w:hAnsi="Times New Roman"/>
                <w:sz w:val="16"/>
                <w:szCs w:val="16"/>
              </w:rPr>
            </w:pPr>
          </w:p>
        </w:tc>
      </w:tr>
      <w:tr w:rsidR="006A6808" w:rsidRPr="006A6808" w14:paraId="450E7944" w14:textId="77777777" w:rsidTr="00EF5AA2">
        <w:trPr>
          <w:trHeight w:val="204"/>
        </w:trPr>
        <w:tc>
          <w:tcPr>
            <w:tcW w:w="3119" w:type="dxa"/>
            <w:tcBorders>
              <w:top w:val="nil"/>
              <w:left w:val="nil"/>
              <w:bottom w:val="nil"/>
              <w:right w:val="nil"/>
            </w:tcBorders>
            <w:shd w:val="clear" w:color="auto" w:fill="auto"/>
            <w:noWrap/>
            <w:hideMark/>
          </w:tcPr>
          <w:p w14:paraId="3E32AC74" w14:textId="77777777" w:rsidR="006A6808" w:rsidRPr="006A6808" w:rsidRDefault="006A6808" w:rsidP="00E81D8C">
            <w:pPr>
              <w:spacing w:after="0" w:line="240" w:lineRule="auto"/>
              <w:ind w:left="113"/>
              <w:jc w:val="left"/>
              <w:rPr>
                <w:rFonts w:ascii="Arial" w:hAnsi="Arial" w:cs="Arial"/>
                <w:sz w:val="16"/>
                <w:szCs w:val="16"/>
              </w:rPr>
            </w:pPr>
            <w:r w:rsidRPr="006A6808">
              <w:rPr>
                <w:rFonts w:ascii="Arial" w:hAnsi="Arial" w:cs="Arial"/>
                <w:sz w:val="16"/>
                <w:szCs w:val="16"/>
              </w:rPr>
              <w:t>Gross book value</w:t>
            </w:r>
          </w:p>
        </w:tc>
        <w:tc>
          <w:tcPr>
            <w:tcW w:w="996" w:type="dxa"/>
            <w:tcBorders>
              <w:top w:val="nil"/>
              <w:left w:val="nil"/>
              <w:bottom w:val="nil"/>
              <w:right w:val="nil"/>
            </w:tcBorders>
            <w:shd w:val="clear" w:color="auto" w:fill="auto"/>
            <w:noWrap/>
            <w:vAlign w:val="bottom"/>
            <w:hideMark/>
          </w:tcPr>
          <w:p w14:paraId="390EBDAD" w14:textId="69D9F73F"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12,158</w:t>
            </w:r>
          </w:p>
        </w:tc>
        <w:tc>
          <w:tcPr>
            <w:tcW w:w="1018" w:type="dxa"/>
            <w:tcBorders>
              <w:top w:val="nil"/>
              <w:left w:val="nil"/>
              <w:bottom w:val="nil"/>
              <w:right w:val="nil"/>
            </w:tcBorders>
            <w:shd w:val="clear" w:color="auto" w:fill="auto"/>
            <w:noWrap/>
            <w:vAlign w:val="bottom"/>
            <w:hideMark/>
          </w:tcPr>
          <w:p w14:paraId="058F6008" w14:textId="69EF1D40"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2,204</w:t>
            </w:r>
          </w:p>
        </w:tc>
        <w:tc>
          <w:tcPr>
            <w:tcW w:w="825" w:type="dxa"/>
            <w:tcBorders>
              <w:top w:val="nil"/>
              <w:left w:val="nil"/>
              <w:bottom w:val="nil"/>
              <w:right w:val="nil"/>
            </w:tcBorders>
            <w:shd w:val="clear" w:color="auto" w:fill="auto"/>
            <w:noWrap/>
            <w:vAlign w:val="bottom"/>
            <w:hideMark/>
          </w:tcPr>
          <w:p w14:paraId="6863BFA3" w14:textId="154219A3"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206</w:t>
            </w:r>
          </w:p>
        </w:tc>
        <w:tc>
          <w:tcPr>
            <w:tcW w:w="981" w:type="dxa"/>
            <w:tcBorders>
              <w:top w:val="nil"/>
              <w:left w:val="nil"/>
              <w:bottom w:val="nil"/>
              <w:right w:val="nil"/>
            </w:tcBorders>
            <w:shd w:val="clear" w:color="auto" w:fill="auto"/>
            <w:noWrap/>
            <w:vAlign w:val="bottom"/>
            <w:hideMark/>
          </w:tcPr>
          <w:p w14:paraId="55BBBAE9" w14:textId="23DE3F95"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5,493</w:t>
            </w:r>
          </w:p>
        </w:tc>
        <w:tc>
          <w:tcPr>
            <w:tcW w:w="831" w:type="dxa"/>
            <w:tcBorders>
              <w:top w:val="nil"/>
              <w:left w:val="nil"/>
              <w:bottom w:val="nil"/>
              <w:right w:val="nil"/>
            </w:tcBorders>
            <w:shd w:val="clear" w:color="auto" w:fill="auto"/>
            <w:noWrap/>
            <w:vAlign w:val="bottom"/>
            <w:hideMark/>
          </w:tcPr>
          <w:p w14:paraId="1DFE6FA9" w14:textId="203A07E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20,061</w:t>
            </w:r>
          </w:p>
        </w:tc>
      </w:tr>
      <w:tr w:rsidR="006A6808" w:rsidRPr="006A6808" w14:paraId="7301647A" w14:textId="77777777" w:rsidTr="00EF5AA2">
        <w:trPr>
          <w:trHeight w:val="204"/>
        </w:trPr>
        <w:tc>
          <w:tcPr>
            <w:tcW w:w="3119" w:type="dxa"/>
            <w:tcBorders>
              <w:top w:val="nil"/>
              <w:left w:val="nil"/>
              <w:bottom w:val="nil"/>
              <w:right w:val="nil"/>
            </w:tcBorders>
            <w:shd w:val="clear" w:color="auto" w:fill="auto"/>
            <w:noWrap/>
            <w:hideMark/>
          </w:tcPr>
          <w:p w14:paraId="574EFB7F" w14:textId="77777777" w:rsidR="006A6808" w:rsidRPr="006A6808" w:rsidRDefault="006A6808" w:rsidP="00E81D8C">
            <w:pPr>
              <w:spacing w:after="0" w:line="240" w:lineRule="auto"/>
              <w:ind w:left="113"/>
              <w:jc w:val="left"/>
              <w:rPr>
                <w:rFonts w:ascii="Arial" w:hAnsi="Arial" w:cs="Arial"/>
                <w:sz w:val="16"/>
                <w:szCs w:val="16"/>
              </w:rPr>
            </w:pPr>
            <w:r w:rsidRPr="006A6808">
              <w:rPr>
                <w:rFonts w:ascii="Arial" w:hAnsi="Arial" w:cs="Arial"/>
                <w:sz w:val="16"/>
                <w:szCs w:val="16"/>
              </w:rPr>
              <w:t>Gross book value - ROU</w:t>
            </w:r>
          </w:p>
        </w:tc>
        <w:tc>
          <w:tcPr>
            <w:tcW w:w="996" w:type="dxa"/>
            <w:tcBorders>
              <w:top w:val="nil"/>
              <w:left w:val="nil"/>
              <w:bottom w:val="nil"/>
              <w:right w:val="nil"/>
            </w:tcBorders>
            <w:shd w:val="clear" w:color="auto" w:fill="auto"/>
            <w:noWrap/>
            <w:vAlign w:val="bottom"/>
            <w:hideMark/>
          </w:tcPr>
          <w:p w14:paraId="0C131028" w14:textId="6D4DFB69"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662</w:t>
            </w:r>
          </w:p>
        </w:tc>
        <w:tc>
          <w:tcPr>
            <w:tcW w:w="1018" w:type="dxa"/>
            <w:tcBorders>
              <w:top w:val="nil"/>
              <w:left w:val="nil"/>
              <w:bottom w:val="nil"/>
              <w:right w:val="nil"/>
            </w:tcBorders>
            <w:shd w:val="clear" w:color="auto" w:fill="auto"/>
            <w:noWrap/>
            <w:vAlign w:val="bottom"/>
            <w:hideMark/>
          </w:tcPr>
          <w:p w14:paraId="525F79EA" w14:textId="63B2EAD2"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w:t>
            </w:r>
          </w:p>
        </w:tc>
        <w:tc>
          <w:tcPr>
            <w:tcW w:w="825" w:type="dxa"/>
            <w:tcBorders>
              <w:top w:val="nil"/>
              <w:left w:val="nil"/>
              <w:bottom w:val="nil"/>
              <w:right w:val="nil"/>
            </w:tcBorders>
            <w:shd w:val="clear" w:color="auto" w:fill="auto"/>
            <w:noWrap/>
            <w:vAlign w:val="bottom"/>
            <w:hideMark/>
          </w:tcPr>
          <w:p w14:paraId="33D4E65E" w14:textId="61E767E8"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09966E42" w14:textId="058A2586"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w:t>
            </w:r>
          </w:p>
        </w:tc>
        <w:tc>
          <w:tcPr>
            <w:tcW w:w="831" w:type="dxa"/>
            <w:tcBorders>
              <w:top w:val="nil"/>
              <w:left w:val="nil"/>
              <w:bottom w:val="nil"/>
              <w:right w:val="nil"/>
            </w:tcBorders>
            <w:shd w:val="clear" w:color="auto" w:fill="auto"/>
            <w:noWrap/>
            <w:vAlign w:val="bottom"/>
            <w:hideMark/>
          </w:tcPr>
          <w:p w14:paraId="6B107FBD" w14:textId="1FCE2AEC"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662</w:t>
            </w:r>
          </w:p>
        </w:tc>
      </w:tr>
      <w:tr w:rsidR="006A6808" w:rsidRPr="006A6808" w14:paraId="4D34586F" w14:textId="77777777" w:rsidTr="00EF5AA2">
        <w:trPr>
          <w:trHeight w:val="204"/>
        </w:trPr>
        <w:tc>
          <w:tcPr>
            <w:tcW w:w="3119" w:type="dxa"/>
            <w:tcBorders>
              <w:top w:val="nil"/>
              <w:left w:val="nil"/>
              <w:bottom w:val="nil"/>
              <w:right w:val="nil"/>
            </w:tcBorders>
            <w:shd w:val="clear" w:color="auto" w:fill="auto"/>
            <w:hideMark/>
          </w:tcPr>
          <w:p w14:paraId="17788F0A" w14:textId="77777777" w:rsidR="006A6808" w:rsidRPr="006A6808" w:rsidRDefault="006A6808" w:rsidP="00E81D8C">
            <w:pPr>
              <w:spacing w:after="0" w:line="240" w:lineRule="auto"/>
              <w:ind w:left="113"/>
              <w:jc w:val="left"/>
              <w:rPr>
                <w:rFonts w:ascii="Arial" w:hAnsi="Arial" w:cs="Arial"/>
                <w:sz w:val="16"/>
                <w:szCs w:val="16"/>
              </w:rPr>
            </w:pPr>
            <w:r w:rsidRPr="006A6808">
              <w:rPr>
                <w:rFonts w:ascii="Arial" w:hAnsi="Arial" w:cs="Arial"/>
                <w:sz w:val="16"/>
                <w:szCs w:val="16"/>
              </w:rPr>
              <w:t>Accumulated depreciation/amortisation and impairment</w:t>
            </w:r>
          </w:p>
        </w:tc>
        <w:tc>
          <w:tcPr>
            <w:tcW w:w="996" w:type="dxa"/>
            <w:tcBorders>
              <w:top w:val="nil"/>
              <w:left w:val="nil"/>
              <w:bottom w:val="nil"/>
              <w:right w:val="nil"/>
            </w:tcBorders>
            <w:shd w:val="clear" w:color="auto" w:fill="auto"/>
            <w:noWrap/>
            <w:vAlign w:val="bottom"/>
            <w:hideMark/>
          </w:tcPr>
          <w:p w14:paraId="071429B5"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(607)</w:t>
            </w:r>
          </w:p>
        </w:tc>
        <w:tc>
          <w:tcPr>
            <w:tcW w:w="1018" w:type="dxa"/>
            <w:tcBorders>
              <w:top w:val="nil"/>
              <w:left w:val="nil"/>
              <w:bottom w:val="nil"/>
              <w:right w:val="nil"/>
            </w:tcBorders>
            <w:shd w:val="clear" w:color="auto" w:fill="auto"/>
            <w:noWrap/>
            <w:vAlign w:val="bottom"/>
            <w:hideMark/>
          </w:tcPr>
          <w:p w14:paraId="2B90CBA3"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(246)</w:t>
            </w:r>
          </w:p>
        </w:tc>
        <w:tc>
          <w:tcPr>
            <w:tcW w:w="825" w:type="dxa"/>
            <w:tcBorders>
              <w:top w:val="nil"/>
              <w:left w:val="nil"/>
              <w:bottom w:val="nil"/>
              <w:right w:val="nil"/>
            </w:tcBorders>
            <w:shd w:val="clear" w:color="auto" w:fill="auto"/>
            <w:noWrap/>
            <w:vAlign w:val="bottom"/>
            <w:hideMark/>
          </w:tcPr>
          <w:p w14:paraId="6CE0FF9C"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(5)</w:t>
            </w:r>
          </w:p>
        </w:tc>
        <w:tc>
          <w:tcPr>
            <w:tcW w:w="981" w:type="dxa"/>
            <w:tcBorders>
              <w:top w:val="nil"/>
              <w:left w:val="nil"/>
              <w:bottom w:val="nil"/>
              <w:right w:val="nil"/>
            </w:tcBorders>
            <w:shd w:val="clear" w:color="auto" w:fill="auto"/>
            <w:noWrap/>
            <w:vAlign w:val="bottom"/>
            <w:hideMark/>
          </w:tcPr>
          <w:p w14:paraId="0EBAE3E2"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(2,198)</w:t>
            </w:r>
          </w:p>
        </w:tc>
        <w:tc>
          <w:tcPr>
            <w:tcW w:w="831" w:type="dxa"/>
            <w:tcBorders>
              <w:top w:val="nil"/>
              <w:left w:val="nil"/>
              <w:bottom w:val="nil"/>
              <w:right w:val="nil"/>
            </w:tcBorders>
            <w:shd w:val="clear" w:color="auto" w:fill="auto"/>
            <w:noWrap/>
            <w:vAlign w:val="bottom"/>
            <w:hideMark/>
          </w:tcPr>
          <w:p w14:paraId="32C51145"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(3,056)</w:t>
            </w:r>
          </w:p>
        </w:tc>
      </w:tr>
      <w:tr w:rsidR="006A6808" w:rsidRPr="006A6808" w14:paraId="0CBE2A0E" w14:textId="77777777" w:rsidTr="00EF5AA2">
        <w:trPr>
          <w:trHeight w:val="204"/>
        </w:trPr>
        <w:tc>
          <w:tcPr>
            <w:tcW w:w="3119" w:type="dxa"/>
            <w:tcBorders>
              <w:top w:val="nil"/>
              <w:left w:val="nil"/>
              <w:bottom w:val="nil"/>
              <w:right w:val="nil"/>
            </w:tcBorders>
            <w:shd w:val="clear" w:color="auto" w:fill="auto"/>
            <w:hideMark/>
          </w:tcPr>
          <w:p w14:paraId="6C318864" w14:textId="1349E242" w:rsidR="006A6808" w:rsidRPr="006A6808" w:rsidRDefault="006A6808" w:rsidP="00E81D8C">
            <w:pPr>
              <w:spacing w:after="0" w:line="240" w:lineRule="auto"/>
              <w:ind w:left="113"/>
              <w:jc w:val="left"/>
              <w:rPr>
                <w:rFonts w:ascii="Arial" w:hAnsi="Arial" w:cs="Arial"/>
                <w:sz w:val="16"/>
                <w:szCs w:val="16"/>
              </w:rPr>
            </w:pPr>
            <w:r w:rsidRPr="006A6808">
              <w:rPr>
                <w:rFonts w:ascii="Arial" w:hAnsi="Arial" w:cs="Arial"/>
                <w:sz w:val="16"/>
                <w:szCs w:val="16"/>
              </w:rPr>
              <w:t>Accumulated depreciation/</w:t>
            </w:r>
            <w:r w:rsidR="00E81D8C">
              <w:rPr>
                <w:rFonts w:ascii="Arial" w:hAnsi="Arial" w:cs="Arial"/>
                <w:sz w:val="16"/>
                <w:szCs w:val="16"/>
              </w:rPr>
              <w:t xml:space="preserve"> </w:t>
            </w:r>
            <w:r w:rsidRPr="006A6808">
              <w:rPr>
                <w:rFonts w:ascii="Arial" w:hAnsi="Arial" w:cs="Arial"/>
                <w:sz w:val="16"/>
                <w:szCs w:val="16"/>
              </w:rPr>
              <w:t xml:space="preserve">amortisation and impairment </w:t>
            </w:r>
            <w:r w:rsidR="00177B65">
              <w:rPr>
                <w:rFonts w:ascii="Arial" w:hAnsi="Arial" w:cs="Arial"/>
                <w:sz w:val="16"/>
                <w:szCs w:val="16"/>
              </w:rPr>
              <w:t xml:space="preserve">– </w:t>
            </w:r>
            <w:r w:rsidRPr="006A6808">
              <w:rPr>
                <w:rFonts w:ascii="Arial" w:hAnsi="Arial" w:cs="Arial"/>
                <w:sz w:val="16"/>
                <w:szCs w:val="16"/>
              </w:rPr>
              <w:t>ROU assets</w:t>
            </w:r>
          </w:p>
        </w:tc>
        <w:tc>
          <w:tcPr>
            <w:tcW w:w="996" w:type="dxa"/>
            <w:tcBorders>
              <w:top w:val="nil"/>
              <w:left w:val="nil"/>
              <w:bottom w:val="nil"/>
              <w:right w:val="nil"/>
            </w:tcBorders>
            <w:shd w:val="clear" w:color="auto" w:fill="auto"/>
            <w:noWrap/>
            <w:vAlign w:val="bottom"/>
            <w:hideMark/>
          </w:tcPr>
          <w:p w14:paraId="434A5E03"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(662)</w:t>
            </w:r>
          </w:p>
        </w:tc>
        <w:tc>
          <w:tcPr>
            <w:tcW w:w="1018" w:type="dxa"/>
            <w:tcBorders>
              <w:top w:val="nil"/>
              <w:left w:val="nil"/>
              <w:bottom w:val="nil"/>
              <w:right w:val="nil"/>
            </w:tcBorders>
            <w:shd w:val="clear" w:color="auto" w:fill="auto"/>
            <w:noWrap/>
            <w:vAlign w:val="bottom"/>
            <w:hideMark/>
          </w:tcPr>
          <w:p w14:paraId="17057255"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(13)</w:t>
            </w:r>
          </w:p>
        </w:tc>
        <w:tc>
          <w:tcPr>
            <w:tcW w:w="825" w:type="dxa"/>
            <w:tcBorders>
              <w:top w:val="nil"/>
              <w:left w:val="nil"/>
              <w:bottom w:val="nil"/>
              <w:right w:val="nil"/>
            </w:tcBorders>
            <w:shd w:val="clear" w:color="auto" w:fill="auto"/>
            <w:noWrap/>
            <w:vAlign w:val="bottom"/>
            <w:hideMark/>
          </w:tcPr>
          <w:p w14:paraId="46FFE72B" w14:textId="042C73E1" w:rsidR="006A6808" w:rsidRPr="009E77AC" w:rsidRDefault="00553851" w:rsidP="00E81D8C">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6254309D" w14:textId="43515DC6"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w:t>
            </w:r>
          </w:p>
        </w:tc>
        <w:tc>
          <w:tcPr>
            <w:tcW w:w="831" w:type="dxa"/>
            <w:tcBorders>
              <w:top w:val="nil"/>
              <w:left w:val="nil"/>
              <w:bottom w:val="nil"/>
              <w:right w:val="nil"/>
            </w:tcBorders>
            <w:shd w:val="clear" w:color="auto" w:fill="auto"/>
            <w:noWrap/>
            <w:vAlign w:val="bottom"/>
            <w:hideMark/>
          </w:tcPr>
          <w:p w14:paraId="52D9E8A0"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(675)</w:t>
            </w:r>
          </w:p>
        </w:tc>
      </w:tr>
      <w:tr w:rsidR="006A6808" w:rsidRPr="006A6808" w14:paraId="40CD8695" w14:textId="77777777" w:rsidTr="00EF5AA2">
        <w:trPr>
          <w:trHeight w:val="204"/>
        </w:trPr>
        <w:tc>
          <w:tcPr>
            <w:tcW w:w="3119" w:type="dxa"/>
            <w:tcBorders>
              <w:top w:val="nil"/>
              <w:left w:val="nil"/>
              <w:bottom w:val="nil"/>
              <w:right w:val="nil"/>
            </w:tcBorders>
            <w:shd w:val="clear" w:color="auto" w:fill="auto"/>
            <w:noWrap/>
            <w:hideMark/>
          </w:tcPr>
          <w:p w14:paraId="76600C16" w14:textId="77777777" w:rsidR="006A6808" w:rsidRPr="006A6808" w:rsidRDefault="006A6808" w:rsidP="006A6808">
            <w:pPr>
              <w:spacing w:after="0" w:line="240" w:lineRule="auto"/>
              <w:jc w:val="left"/>
              <w:rPr>
                <w:rFonts w:ascii="Arial" w:hAnsi="Arial" w:cs="Arial"/>
                <w:b/>
                <w:bCs/>
                <w:sz w:val="16"/>
                <w:szCs w:val="16"/>
              </w:rPr>
            </w:pPr>
            <w:r w:rsidRPr="006A6808">
              <w:rPr>
                <w:rFonts w:ascii="Arial" w:hAnsi="Arial" w:cs="Arial"/>
                <w:b/>
                <w:bCs/>
                <w:sz w:val="16"/>
                <w:szCs w:val="16"/>
              </w:rPr>
              <w:t>Opening net book balance</w:t>
            </w:r>
          </w:p>
        </w:tc>
        <w:tc>
          <w:tcPr>
            <w:tcW w:w="996" w:type="dxa"/>
            <w:tcBorders>
              <w:top w:val="single" w:sz="4" w:space="0" w:color="auto"/>
              <w:left w:val="nil"/>
              <w:bottom w:val="single" w:sz="4" w:space="0" w:color="auto"/>
              <w:right w:val="nil"/>
            </w:tcBorders>
            <w:shd w:val="clear" w:color="auto" w:fill="auto"/>
            <w:noWrap/>
            <w:vAlign w:val="bottom"/>
            <w:hideMark/>
          </w:tcPr>
          <w:p w14:paraId="5DBCA040" w14:textId="23875E0E" w:rsidR="006A6808" w:rsidRPr="009E77AC" w:rsidRDefault="006A6808" w:rsidP="00E81D8C">
            <w:pPr>
              <w:spacing w:after="0" w:line="240" w:lineRule="auto"/>
              <w:jc w:val="right"/>
              <w:rPr>
                <w:rFonts w:ascii="Arial" w:hAnsi="Arial" w:cs="Arial"/>
                <w:b/>
                <w:bCs/>
                <w:sz w:val="16"/>
                <w:szCs w:val="16"/>
              </w:rPr>
            </w:pPr>
            <w:r w:rsidRPr="009E77AC">
              <w:rPr>
                <w:rFonts w:ascii="Arial" w:hAnsi="Arial" w:cs="Arial"/>
                <w:b/>
                <w:bCs/>
                <w:sz w:val="16"/>
                <w:szCs w:val="16"/>
              </w:rPr>
              <w:t>11,551</w:t>
            </w:r>
          </w:p>
        </w:tc>
        <w:tc>
          <w:tcPr>
            <w:tcW w:w="1018" w:type="dxa"/>
            <w:tcBorders>
              <w:top w:val="single" w:sz="4" w:space="0" w:color="auto"/>
              <w:left w:val="nil"/>
              <w:bottom w:val="single" w:sz="4" w:space="0" w:color="auto"/>
              <w:right w:val="nil"/>
            </w:tcBorders>
            <w:shd w:val="clear" w:color="auto" w:fill="auto"/>
            <w:noWrap/>
            <w:vAlign w:val="bottom"/>
            <w:hideMark/>
          </w:tcPr>
          <w:p w14:paraId="285CA59F" w14:textId="1B3012DC" w:rsidR="006A6808" w:rsidRPr="009E77AC" w:rsidRDefault="006A6808" w:rsidP="00E81D8C">
            <w:pPr>
              <w:spacing w:after="0" w:line="240" w:lineRule="auto"/>
              <w:jc w:val="right"/>
              <w:rPr>
                <w:rFonts w:ascii="Arial" w:hAnsi="Arial" w:cs="Arial"/>
                <w:b/>
                <w:bCs/>
                <w:sz w:val="16"/>
                <w:szCs w:val="16"/>
              </w:rPr>
            </w:pPr>
            <w:r w:rsidRPr="009E77AC">
              <w:rPr>
                <w:rFonts w:ascii="Arial" w:hAnsi="Arial" w:cs="Arial"/>
                <w:b/>
                <w:bCs/>
                <w:sz w:val="16"/>
                <w:szCs w:val="16"/>
              </w:rPr>
              <w:t>1,945</w:t>
            </w:r>
          </w:p>
        </w:tc>
        <w:tc>
          <w:tcPr>
            <w:tcW w:w="825" w:type="dxa"/>
            <w:tcBorders>
              <w:top w:val="single" w:sz="4" w:space="0" w:color="auto"/>
              <w:left w:val="nil"/>
              <w:bottom w:val="single" w:sz="4" w:space="0" w:color="auto"/>
              <w:right w:val="nil"/>
            </w:tcBorders>
            <w:shd w:val="clear" w:color="auto" w:fill="auto"/>
            <w:noWrap/>
            <w:vAlign w:val="bottom"/>
            <w:hideMark/>
          </w:tcPr>
          <w:p w14:paraId="054A8D99" w14:textId="1E50383F" w:rsidR="006A6808" w:rsidRPr="009E77AC" w:rsidRDefault="006A6808" w:rsidP="00E81D8C">
            <w:pPr>
              <w:spacing w:after="0" w:line="240" w:lineRule="auto"/>
              <w:jc w:val="right"/>
              <w:rPr>
                <w:rFonts w:ascii="Arial" w:hAnsi="Arial" w:cs="Arial"/>
                <w:b/>
                <w:bCs/>
                <w:sz w:val="16"/>
                <w:szCs w:val="16"/>
              </w:rPr>
            </w:pPr>
            <w:r w:rsidRPr="009E77AC">
              <w:rPr>
                <w:rFonts w:ascii="Arial" w:hAnsi="Arial" w:cs="Arial"/>
                <w:b/>
                <w:bCs/>
                <w:sz w:val="16"/>
                <w:szCs w:val="16"/>
              </w:rPr>
              <w:t>201</w:t>
            </w:r>
          </w:p>
        </w:tc>
        <w:tc>
          <w:tcPr>
            <w:tcW w:w="981" w:type="dxa"/>
            <w:tcBorders>
              <w:top w:val="single" w:sz="4" w:space="0" w:color="auto"/>
              <w:left w:val="nil"/>
              <w:bottom w:val="single" w:sz="4" w:space="0" w:color="auto"/>
              <w:right w:val="nil"/>
            </w:tcBorders>
            <w:shd w:val="clear" w:color="auto" w:fill="auto"/>
            <w:noWrap/>
            <w:vAlign w:val="bottom"/>
            <w:hideMark/>
          </w:tcPr>
          <w:p w14:paraId="1826C8FA" w14:textId="068A96D1" w:rsidR="006A6808" w:rsidRPr="009E77AC" w:rsidRDefault="006A6808" w:rsidP="00E81D8C">
            <w:pPr>
              <w:spacing w:after="0" w:line="240" w:lineRule="auto"/>
              <w:jc w:val="right"/>
              <w:rPr>
                <w:rFonts w:ascii="Arial" w:hAnsi="Arial" w:cs="Arial"/>
                <w:b/>
                <w:bCs/>
                <w:sz w:val="16"/>
                <w:szCs w:val="16"/>
              </w:rPr>
            </w:pPr>
            <w:r w:rsidRPr="009E77AC">
              <w:rPr>
                <w:rFonts w:ascii="Arial" w:hAnsi="Arial" w:cs="Arial"/>
                <w:b/>
                <w:bCs/>
                <w:sz w:val="16"/>
                <w:szCs w:val="16"/>
              </w:rPr>
              <w:t>3,295</w:t>
            </w:r>
          </w:p>
        </w:tc>
        <w:tc>
          <w:tcPr>
            <w:tcW w:w="831" w:type="dxa"/>
            <w:tcBorders>
              <w:top w:val="single" w:sz="4" w:space="0" w:color="auto"/>
              <w:left w:val="nil"/>
              <w:bottom w:val="single" w:sz="4" w:space="0" w:color="auto"/>
              <w:right w:val="nil"/>
            </w:tcBorders>
            <w:shd w:val="clear" w:color="auto" w:fill="auto"/>
            <w:noWrap/>
            <w:vAlign w:val="bottom"/>
            <w:hideMark/>
          </w:tcPr>
          <w:p w14:paraId="22F8E09C" w14:textId="0DC87FCF" w:rsidR="006A6808" w:rsidRPr="009E77AC" w:rsidRDefault="006A6808" w:rsidP="00E81D8C">
            <w:pPr>
              <w:spacing w:after="0" w:line="240" w:lineRule="auto"/>
              <w:jc w:val="right"/>
              <w:rPr>
                <w:rFonts w:ascii="Arial" w:hAnsi="Arial" w:cs="Arial"/>
                <w:b/>
                <w:bCs/>
                <w:sz w:val="16"/>
                <w:szCs w:val="16"/>
              </w:rPr>
            </w:pPr>
            <w:r w:rsidRPr="009E77AC">
              <w:rPr>
                <w:rFonts w:ascii="Arial" w:hAnsi="Arial" w:cs="Arial"/>
                <w:b/>
                <w:bCs/>
                <w:sz w:val="16"/>
                <w:szCs w:val="16"/>
              </w:rPr>
              <w:t>16,992</w:t>
            </w:r>
          </w:p>
        </w:tc>
      </w:tr>
      <w:tr w:rsidR="006A6808" w:rsidRPr="006A6808" w14:paraId="5BB2999B" w14:textId="77777777" w:rsidTr="00EF5AA2">
        <w:trPr>
          <w:trHeight w:val="204"/>
        </w:trPr>
        <w:tc>
          <w:tcPr>
            <w:tcW w:w="3119" w:type="dxa"/>
            <w:tcBorders>
              <w:top w:val="nil"/>
              <w:left w:val="nil"/>
              <w:bottom w:val="nil"/>
              <w:right w:val="nil"/>
            </w:tcBorders>
            <w:shd w:val="clear" w:color="auto" w:fill="auto"/>
            <w:hideMark/>
          </w:tcPr>
          <w:p w14:paraId="27B0C7AA" w14:textId="77777777" w:rsidR="006A6808" w:rsidRPr="006A6808" w:rsidRDefault="006A6808" w:rsidP="006A6808">
            <w:pPr>
              <w:spacing w:after="0" w:line="240" w:lineRule="auto"/>
              <w:jc w:val="left"/>
              <w:rPr>
                <w:rFonts w:ascii="Arial" w:hAnsi="Arial" w:cs="Arial"/>
                <w:b/>
                <w:bCs/>
                <w:sz w:val="16"/>
                <w:szCs w:val="16"/>
              </w:rPr>
            </w:pPr>
            <w:r w:rsidRPr="006A6808">
              <w:rPr>
                <w:rFonts w:ascii="Arial" w:hAnsi="Arial" w:cs="Arial"/>
                <w:b/>
                <w:bCs/>
                <w:sz w:val="16"/>
                <w:szCs w:val="16"/>
              </w:rPr>
              <w:t>Capital asset additions</w:t>
            </w:r>
          </w:p>
        </w:tc>
        <w:tc>
          <w:tcPr>
            <w:tcW w:w="996" w:type="dxa"/>
            <w:tcBorders>
              <w:top w:val="nil"/>
              <w:left w:val="nil"/>
              <w:bottom w:val="nil"/>
              <w:right w:val="nil"/>
            </w:tcBorders>
            <w:shd w:val="clear" w:color="auto" w:fill="auto"/>
            <w:noWrap/>
            <w:vAlign w:val="bottom"/>
            <w:hideMark/>
          </w:tcPr>
          <w:p w14:paraId="43E88DD0" w14:textId="77777777" w:rsidR="006A6808" w:rsidRPr="009E77AC" w:rsidRDefault="006A6808" w:rsidP="00E81D8C">
            <w:pPr>
              <w:spacing w:after="0" w:line="240" w:lineRule="auto"/>
              <w:jc w:val="right"/>
              <w:rPr>
                <w:rFonts w:ascii="Arial" w:hAnsi="Arial" w:cs="Arial"/>
                <w:b/>
                <w:bCs/>
                <w:sz w:val="16"/>
                <w:szCs w:val="16"/>
              </w:rPr>
            </w:pPr>
          </w:p>
        </w:tc>
        <w:tc>
          <w:tcPr>
            <w:tcW w:w="1018" w:type="dxa"/>
            <w:tcBorders>
              <w:top w:val="nil"/>
              <w:left w:val="nil"/>
              <w:bottom w:val="nil"/>
              <w:right w:val="nil"/>
            </w:tcBorders>
            <w:shd w:val="clear" w:color="auto" w:fill="auto"/>
            <w:noWrap/>
            <w:vAlign w:val="bottom"/>
            <w:hideMark/>
          </w:tcPr>
          <w:p w14:paraId="4B954239" w14:textId="77777777" w:rsidR="006A6808" w:rsidRPr="009E77AC" w:rsidRDefault="006A6808" w:rsidP="00E81D8C">
            <w:pPr>
              <w:spacing w:after="0" w:line="240" w:lineRule="auto"/>
              <w:jc w:val="right"/>
              <w:rPr>
                <w:rFonts w:ascii="Times New Roman" w:hAnsi="Times New Roman"/>
                <w:sz w:val="16"/>
                <w:szCs w:val="16"/>
              </w:rPr>
            </w:pPr>
          </w:p>
        </w:tc>
        <w:tc>
          <w:tcPr>
            <w:tcW w:w="825" w:type="dxa"/>
            <w:tcBorders>
              <w:top w:val="nil"/>
              <w:left w:val="nil"/>
              <w:bottom w:val="nil"/>
              <w:right w:val="nil"/>
            </w:tcBorders>
            <w:shd w:val="clear" w:color="auto" w:fill="auto"/>
            <w:noWrap/>
            <w:vAlign w:val="bottom"/>
            <w:hideMark/>
          </w:tcPr>
          <w:p w14:paraId="381A607F" w14:textId="77777777" w:rsidR="006A6808" w:rsidRPr="009E77AC" w:rsidRDefault="006A6808" w:rsidP="00E81D8C">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66F4AF2B" w14:textId="77777777" w:rsidR="006A6808" w:rsidRPr="009E77AC" w:rsidRDefault="006A6808" w:rsidP="00E81D8C">
            <w:pPr>
              <w:spacing w:after="0" w:line="240" w:lineRule="auto"/>
              <w:jc w:val="right"/>
              <w:rPr>
                <w:rFonts w:ascii="Times New Roman" w:hAnsi="Times New Roman"/>
                <w:sz w:val="16"/>
                <w:szCs w:val="16"/>
              </w:rPr>
            </w:pPr>
          </w:p>
        </w:tc>
        <w:tc>
          <w:tcPr>
            <w:tcW w:w="831" w:type="dxa"/>
            <w:tcBorders>
              <w:top w:val="nil"/>
              <w:left w:val="nil"/>
              <w:bottom w:val="nil"/>
              <w:right w:val="nil"/>
            </w:tcBorders>
            <w:shd w:val="clear" w:color="auto" w:fill="auto"/>
            <w:noWrap/>
            <w:vAlign w:val="bottom"/>
            <w:hideMark/>
          </w:tcPr>
          <w:p w14:paraId="53F0E5F4" w14:textId="77777777" w:rsidR="006A6808" w:rsidRPr="009E77AC" w:rsidRDefault="006A6808" w:rsidP="00E81D8C">
            <w:pPr>
              <w:spacing w:after="0" w:line="240" w:lineRule="auto"/>
              <w:jc w:val="right"/>
              <w:rPr>
                <w:rFonts w:ascii="Times New Roman" w:hAnsi="Times New Roman"/>
                <w:sz w:val="16"/>
                <w:szCs w:val="16"/>
              </w:rPr>
            </w:pPr>
          </w:p>
        </w:tc>
      </w:tr>
      <w:tr w:rsidR="006A6808" w:rsidRPr="006A6808" w14:paraId="198A006C" w14:textId="77777777" w:rsidTr="00EF5AA2">
        <w:trPr>
          <w:trHeight w:val="204"/>
        </w:trPr>
        <w:tc>
          <w:tcPr>
            <w:tcW w:w="3119" w:type="dxa"/>
            <w:tcBorders>
              <w:top w:val="nil"/>
              <w:left w:val="nil"/>
              <w:bottom w:val="nil"/>
              <w:right w:val="nil"/>
            </w:tcBorders>
            <w:shd w:val="clear" w:color="auto" w:fill="auto"/>
            <w:hideMark/>
          </w:tcPr>
          <w:p w14:paraId="6DBBB296" w14:textId="77777777" w:rsidR="006A6808" w:rsidRPr="006A6808" w:rsidRDefault="006A6808" w:rsidP="00E81D8C">
            <w:pPr>
              <w:spacing w:after="0" w:line="240" w:lineRule="auto"/>
              <w:ind w:left="113"/>
              <w:jc w:val="left"/>
              <w:rPr>
                <w:rFonts w:ascii="Arial" w:hAnsi="Arial" w:cs="Arial"/>
                <w:b/>
                <w:bCs/>
                <w:sz w:val="16"/>
                <w:szCs w:val="16"/>
              </w:rPr>
            </w:pPr>
            <w:r w:rsidRPr="006A6808">
              <w:rPr>
                <w:rFonts w:ascii="Arial" w:hAnsi="Arial" w:cs="Arial"/>
                <w:b/>
                <w:bCs/>
                <w:sz w:val="16"/>
                <w:szCs w:val="16"/>
              </w:rPr>
              <w:t>Estimated expenditure on new or replacement assets</w:t>
            </w:r>
          </w:p>
        </w:tc>
        <w:tc>
          <w:tcPr>
            <w:tcW w:w="996" w:type="dxa"/>
            <w:tcBorders>
              <w:top w:val="nil"/>
              <w:left w:val="nil"/>
              <w:bottom w:val="nil"/>
              <w:right w:val="nil"/>
            </w:tcBorders>
            <w:shd w:val="clear" w:color="auto" w:fill="auto"/>
            <w:noWrap/>
            <w:vAlign w:val="bottom"/>
            <w:hideMark/>
          </w:tcPr>
          <w:p w14:paraId="54BF182E" w14:textId="77777777" w:rsidR="006A6808" w:rsidRPr="009E77AC" w:rsidRDefault="006A6808" w:rsidP="00E81D8C">
            <w:pPr>
              <w:spacing w:after="0" w:line="240" w:lineRule="auto"/>
              <w:ind w:firstLineChars="100" w:firstLine="160"/>
              <w:jc w:val="right"/>
              <w:rPr>
                <w:rFonts w:ascii="Arial" w:hAnsi="Arial" w:cs="Arial"/>
                <w:b/>
                <w:bCs/>
                <w:sz w:val="16"/>
                <w:szCs w:val="16"/>
              </w:rPr>
            </w:pPr>
          </w:p>
        </w:tc>
        <w:tc>
          <w:tcPr>
            <w:tcW w:w="1018" w:type="dxa"/>
            <w:tcBorders>
              <w:top w:val="nil"/>
              <w:left w:val="nil"/>
              <w:bottom w:val="nil"/>
              <w:right w:val="nil"/>
            </w:tcBorders>
            <w:shd w:val="clear" w:color="auto" w:fill="auto"/>
            <w:noWrap/>
            <w:vAlign w:val="bottom"/>
            <w:hideMark/>
          </w:tcPr>
          <w:p w14:paraId="420F87EF" w14:textId="77777777" w:rsidR="006A6808" w:rsidRPr="009E77AC" w:rsidRDefault="006A6808" w:rsidP="00E81D8C">
            <w:pPr>
              <w:spacing w:after="0" w:line="240" w:lineRule="auto"/>
              <w:jc w:val="right"/>
              <w:rPr>
                <w:rFonts w:ascii="Times New Roman" w:hAnsi="Times New Roman"/>
                <w:sz w:val="16"/>
                <w:szCs w:val="16"/>
              </w:rPr>
            </w:pPr>
          </w:p>
        </w:tc>
        <w:tc>
          <w:tcPr>
            <w:tcW w:w="825" w:type="dxa"/>
            <w:tcBorders>
              <w:top w:val="nil"/>
              <w:left w:val="nil"/>
              <w:bottom w:val="nil"/>
              <w:right w:val="nil"/>
            </w:tcBorders>
            <w:shd w:val="clear" w:color="auto" w:fill="auto"/>
            <w:noWrap/>
            <w:vAlign w:val="bottom"/>
            <w:hideMark/>
          </w:tcPr>
          <w:p w14:paraId="68DEB2E4" w14:textId="77777777" w:rsidR="006A6808" w:rsidRPr="009E77AC" w:rsidRDefault="006A6808" w:rsidP="00E81D8C">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4281B137" w14:textId="77777777" w:rsidR="006A6808" w:rsidRPr="009E77AC" w:rsidRDefault="006A6808" w:rsidP="00E81D8C">
            <w:pPr>
              <w:spacing w:after="0" w:line="240" w:lineRule="auto"/>
              <w:jc w:val="right"/>
              <w:rPr>
                <w:rFonts w:ascii="Times New Roman" w:hAnsi="Times New Roman"/>
                <w:sz w:val="16"/>
                <w:szCs w:val="16"/>
              </w:rPr>
            </w:pPr>
          </w:p>
        </w:tc>
        <w:tc>
          <w:tcPr>
            <w:tcW w:w="831" w:type="dxa"/>
            <w:tcBorders>
              <w:top w:val="nil"/>
              <w:left w:val="nil"/>
              <w:bottom w:val="nil"/>
              <w:right w:val="nil"/>
            </w:tcBorders>
            <w:shd w:val="clear" w:color="auto" w:fill="auto"/>
            <w:noWrap/>
            <w:vAlign w:val="bottom"/>
            <w:hideMark/>
          </w:tcPr>
          <w:p w14:paraId="04786366" w14:textId="77777777" w:rsidR="006A6808" w:rsidRPr="009E77AC" w:rsidRDefault="006A6808" w:rsidP="00E81D8C">
            <w:pPr>
              <w:spacing w:after="0" w:line="240" w:lineRule="auto"/>
              <w:jc w:val="right"/>
              <w:rPr>
                <w:rFonts w:ascii="Times New Roman" w:hAnsi="Times New Roman"/>
                <w:sz w:val="16"/>
                <w:szCs w:val="16"/>
              </w:rPr>
            </w:pPr>
          </w:p>
        </w:tc>
      </w:tr>
      <w:tr w:rsidR="004339FE" w:rsidRPr="006A6808" w14:paraId="6D36B839" w14:textId="77777777" w:rsidTr="00EF5AA2">
        <w:trPr>
          <w:trHeight w:val="204"/>
        </w:trPr>
        <w:tc>
          <w:tcPr>
            <w:tcW w:w="3119" w:type="dxa"/>
            <w:tcBorders>
              <w:top w:val="nil"/>
              <w:left w:val="nil"/>
              <w:bottom w:val="nil"/>
              <w:right w:val="nil"/>
            </w:tcBorders>
            <w:shd w:val="clear" w:color="auto" w:fill="auto"/>
            <w:hideMark/>
          </w:tcPr>
          <w:p w14:paraId="5E3EE3D5" w14:textId="77777777" w:rsidR="004339FE" w:rsidRPr="006A6808" w:rsidRDefault="004339FE" w:rsidP="004339FE">
            <w:pPr>
              <w:spacing w:after="0" w:line="240" w:lineRule="auto"/>
              <w:ind w:left="227"/>
              <w:jc w:val="left"/>
              <w:rPr>
                <w:rFonts w:ascii="Arial" w:hAnsi="Arial" w:cs="Arial"/>
                <w:sz w:val="16"/>
                <w:szCs w:val="16"/>
              </w:rPr>
            </w:pPr>
            <w:r w:rsidRPr="006A6808">
              <w:rPr>
                <w:rFonts w:ascii="Arial" w:hAnsi="Arial" w:cs="Arial"/>
                <w:sz w:val="16"/>
                <w:szCs w:val="16"/>
              </w:rPr>
              <w:t xml:space="preserve">By purchase - appropriation ordinary annual services </w:t>
            </w:r>
            <w:r w:rsidRPr="00E81D8C">
              <w:rPr>
                <w:rFonts w:ascii="Arial" w:hAnsi="Arial" w:cs="Arial"/>
                <w:sz w:val="16"/>
                <w:szCs w:val="16"/>
                <w:vertAlign w:val="superscript"/>
              </w:rPr>
              <w:t>(a)</w:t>
            </w:r>
          </w:p>
        </w:tc>
        <w:tc>
          <w:tcPr>
            <w:tcW w:w="996" w:type="dxa"/>
            <w:tcBorders>
              <w:top w:val="nil"/>
              <w:left w:val="nil"/>
              <w:bottom w:val="nil"/>
              <w:right w:val="nil"/>
            </w:tcBorders>
            <w:shd w:val="clear" w:color="auto" w:fill="auto"/>
            <w:noWrap/>
            <w:vAlign w:val="bottom"/>
            <w:hideMark/>
          </w:tcPr>
          <w:p w14:paraId="2DB74FDA" w14:textId="4F53583C"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3,595</w:t>
            </w:r>
          </w:p>
        </w:tc>
        <w:tc>
          <w:tcPr>
            <w:tcW w:w="1018" w:type="dxa"/>
            <w:tcBorders>
              <w:top w:val="nil"/>
              <w:left w:val="nil"/>
              <w:bottom w:val="nil"/>
              <w:right w:val="nil"/>
            </w:tcBorders>
            <w:shd w:val="clear" w:color="auto" w:fill="auto"/>
            <w:noWrap/>
            <w:vAlign w:val="bottom"/>
            <w:hideMark/>
          </w:tcPr>
          <w:p w14:paraId="6C7F2021" w14:textId="4B6CE152"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268</w:t>
            </w:r>
          </w:p>
        </w:tc>
        <w:tc>
          <w:tcPr>
            <w:tcW w:w="825" w:type="dxa"/>
            <w:tcBorders>
              <w:top w:val="nil"/>
              <w:left w:val="nil"/>
              <w:bottom w:val="nil"/>
              <w:right w:val="nil"/>
            </w:tcBorders>
            <w:shd w:val="clear" w:color="auto" w:fill="auto"/>
            <w:noWrap/>
            <w:vAlign w:val="bottom"/>
            <w:hideMark/>
          </w:tcPr>
          <w:p w14:paraId="64008C32" w14:textId="2B0CD35E"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20</w:t>
            </w:r>
          </w:p>
        </w:tc>
        <w:tc>
          <w:tcPr>
            <w:tcW w:w="981" w:type="dxa"/>
            <w:tcBorders>
              <w:top w:val="nil"/>
              <w:left w:val="nil"/>
              <w:bottom w:val="nil"/>
              <w:right w:val="nil"/>
            </w:tcBorders>
            <w:shd w:val="clear" w:color="auto" w:fill="auto"/>
            <w:noWrap/>
            <w:vAlign w:val="bottom"/>
            <w:hideMark/>
          </w:tcPr>
          <w:p w14:paraId="040F3DE6" w14:textId="2615890D"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278</w:t>
            </w:r>
          </w:p>
        </w:tc>
        <w:tc>
          <w:tcPr>
            <w:tcW w:w="831" w:type="dxa"/>
            <w:tcBorders>
              <w:top w:val="nil"/>
              <w:left w:val="nil"/>
              <w:bottom w:val="nil"/>
              <w:right w:val="nil"/>
            </w:tcBorders>
            <w:shd w:val="clear" w:color="auto" w:fill="auto"/>
            <w:noWrap/>
            <w:vAlign w:val="bottom"/>
            <w:hideMark/>
          </w:tcPr>
          <w:p w14:paraId="57C64AF7" w14:textId="233791A4"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4,161</w:t>
            </w:r>
          </w:p>
        </w:tc>
      </w:tr>
      <w:tr w:rsidR="004339FE" w:rsidRPr="006A6808" w14:paraId="238BBFEC" w14:textId="77777777" w:rsidTr="00EF5AA2">
        <w:trPr>
          <w:trHeight w:val="204"/>
        </w:trPr>
        <w:tc>
          <w:tcPr>
            <w:tcW w:w="3119" w:type="dxa"/>
            <w:tcBorders>
              <w:top w:val="nil"/>
              <w:left w:val="nil"/>
              <w:bottom w:val="nil"/>
              <w:right w:val="nil"/>
            </w:tcBorders>
            <w:shd w:val="clear" w:color="auto" w:fill="auto"/>
            <w:hideMark/>
          </w:tcPr>
          <w:p w14:paraId="67466262" w14:textId="56156759" w:rsidR="004339FE" w:rsidRPr="006A6808" w:rsidRDefault="004339FE" w:rsidP="00792451">
            <w:pPr>
              <w:spacing w:after="0" w:line="240" w:lineRule="auto"/>
              <w:ind w:left="227"/>
              <w:jc w:val="left"/>
              <w:rPr>
                <w:rFonts w:ascii="Arial" w:hAnsi="Arial" w:cs="Arial"/>
                <w:sz w:val="16"/>
                <w:szCs w:val="16"/>
              </w:rPr>
            </w:pPr>
            <w:r w:rsidRPr="006A6808">
              <w:rPr>
                <w:rFonts w:ascii="Arial" w:hAnsi="Arial" w:cs="Arial"/>
                <w:sz w:val="16"/>
                <w:szCs w:val="16"/>
              </w:rPr>
              <w:t>By purchase - appropriation ordinary annual services</w:t>
            </w:r>
            <w:r w:rsidR="00422502">
              <w:rPr>
                <w:rFonts w:ascii="Arial" w:hAnsi="Arial" w:cs="Arial"/>
                <w:sz w:val="16"/>
                <w:szCs w:val="16"/>
              </w:rPr>
              <w:t xml:space="preserve"> – ROU assets</w:t>
            </w:r>
          </w:p>
        </w:tc>
        <w:tc>
          <w:tcPr>
            <w:tcW w:w="996" w:type="dxa"/>
            <w:tcBorders>
              <w:top w:val="nil"/>
              <w:left w:val="nil"/>
              <w:bottom w:val="nil"/>
              <w:right w:val="nil"/>
            </w:tcBorders>
            <w:shd w:val="clear" w:color="auto" w:fill="auto"/>
            <w:noWrap/>
            <w:vAlign w:val="bottom"/>
            <w:hideMark/>
          </w:tcPr>
          <w:p w14:paraId="1239373A" w14:textId="25DAF2DB"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1,696</w:t>
            </w:r>
          </w:p>
        </w:tc>
        <w:tc>
          <w:tcPr>
            <w:tcW w:w="1018" w:type="dxa"/>
            <w:tcBorders>
              <w:top w:val="nil"/>
              <w:left w:val="nil"/>
              <w:bottom w:val="nil"/>
              <w:right w:val="nil"/>
            </w:tcBorders>
            <w:shd w:val="clear" w:color="auto" w:fill="auto"/>
            <w:noWrap/>
            <w:vAlign w:val="bottom"/>
            <w:hideMark/>
          </w:tcPr>
          <w:p w14:paraId="38085595" w14:textId="5BA390D3"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w:t>
            </w:r>
          </w:p>
        </w:tc>
        <w:tc>
          <w:tcPr>
            <w:tcW w:w="825" w:type="dxa"/>
            <w:tcBorders>
              <w:top w:val="nil"/>
              <w:left w:val="nil"/>
              <w:bottom w:val="nil"/>
              <w:right w:val="nil"/>
            </w:tcBorders>
            <w:shd w:val="clear" w:color="auto" w:fill="auto"/>
            <w:noWrap/>
            <w:vAlign w:val="bottom"/>
            <w:hideMark/>
          </w:tcPr>
          <w:p w14:paraId="32C800BC" w14:textId="2CF7E39E"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3DD0EA57" w14:textId="3CE3ECA1"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w:t>
            </w:r>
          </w:p>
        </w:tc>
        <w:tc>
          <w:tcPr>
            <w:tcW w:w="831" w:type="dxa"/>
            <w:tcBorders>
              <w:top w:val="nil"/>
              <w:left w:val="nil"/>
              <w:bottom w:val="nil"/>
              <w:right w:val="nil"/>
            </w:tcBorders>
            <w:shd w:val="clear" w:color="auto" w:fill="auto"/>
            <w:noWrap/>
            <w:vAlign w:val="bottom"/>
            <w:hideMark/>
          </w:tcPr>
          <w:p w14:paraId="12BACE5F" w14:textId="0EF9BA3A"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1,696</w:t>
            </w:r>
          </w:p>
        </w:tc>
      </w:tr>
      <w:tr w:rsidR="004339FE" w:rsidRPr="006A6808" w14:paraId="2A0AC764" w14:textId="77777777" w:rsidTr="00EF5AA2">
        <w:trPr>
          <w:trHeight w:val="204"/>
        </w:trPr>
        <w:tc>
          <w:tcPr>
            <w:tcW w:w="3119" w:type="dxa"/>
            <w:tcBorders>
              <w:top w:val="nil"/>
              <w:left w:val="nil"/>
              <w:bottom w:val="nil"/>
              <w:right w:val="nil"/>
            </w:tcBorders>
            <w:shd w:val="clear" w:color="auto" w:fill="auto"/>
            <w:noWrap/>
            <w:hideMark/>
          </w:tcPr>
          <w:p w14:paraId="434E770F" w14:textId="77777777" w:rsidR="004339FE" w:rsidRPr="006A6808" w:rsidRDefault="004339FE" w:rsidP="004339FE">
            <w:pPr>
              <w:spacing w:after="0" w:line="240" w:lineRule="auto"/>
              <w:jc w:val="left"/>
              <w:rPr>
                <w:rFonts w:ascii="Arial" w:hAnsi="Arial" w:cs="Arial"/>
                <w:b/>
                <w:bCs/>
                <w:sz w:val="16"/>
                <w:szCs w:val="16"/>
              </w:rPr>
            </w:pPr>
            <w:r w:rsidRPr="006A6808">
              <w:rPr>
                <w:rFonts w:ascii="Arial" w:hAnsi="Arial" w:cs="Arial"/>
                <w:b/>
                <w:bCs/>
                <w:sz w:val="16"/>
                <w:szCs w:val="16"/>
              </w:rPr>
              <w:t>Total additions</w:t>
            </w:r>
          </w:p>
        </w:tc>
        <w:tc>
          <w:tcPr>
            <w:tcW w:w="996" w:type="dxa"/>
            <w:tcBorders>
              <w:top w:val="single" w:sz="4" w:space="0" w:color="auto"/>
              <w:left w:val="nil"/>
              <w:bottom w:val="single" w:sz="4" w:space="0" w:color="auto"/>
              <w:right w:val="nil"/>
            </w:tcBorders>
            <w:shd w:val="clear" w:color="auto" w:fill="auto"/>
            <w:noWrap/>
            <w:vAlign w:val="bottom"/>
            <w:hideMark/>
          </w:tcPr>
          <w:p w14:paraId="343A4860" w14:textId="1D69FF77" w:rsidR="004339FE" w:rsidRPr="009E77AC" w:rsidRDefault="004339FE" w:rsidP="004339FE">
            <w:pPr>
              <w:spacing w:after="0" w:line="240" w:lineRule="auto"/>
              <w:jc w:val="right"/>
              <w:rPr>
                <w:rFonts w:ascii="Arial" w:hAnsi="Arial" w:cs="Arial"/>
                <w:b/>
                <w:bCs/>
                <w:sz w:val="16"/>
                <w:szCs w:val="16"/>
              </w:rPr>
            </w:pPr>
            <w:r>
              <w:rPr>
                <w:rFonts w:ascii="Arial" w:hAnsi="Arial" w:cs="Arial"/>
                <w:b/>
                <w:bCs/>
                <w:sz w:val="16"/>
                <w:szCs w:val="16"/>
              </w:rPr>
              <w:t>5,291</w:t>
            </w:r>
          </w:p>
        </w:tc>
        <w:tc>
          <w:tcPr>
            <w:tcW w:w="1018" w:type="dxa"/>
            <w:tcBorders>
              <w:top w:val="single" w:sz="4" w:space="0" w:color="auto"/>
              <w:left w:val="nil"/>
              <w:bottom w:val="single" w:sz="4" w:space="0" w:color="auto"/>
              <w:right w:val="nil"/>
            </w:tcBorders>
            <w:shd w:val="clear" w:color="auto" w:fill="auto"/>
            <w:noWrap/>
            <w:vAlign w:val="bottom"/>
            <w:hideMark/>
          </w:tcPr>
          <w:p w14:paraId="3AF7611E" w14:textId="067A3B25" w:rsidR="004339FE" w:rsidRPr="009E77AC" w:rsidRDefault="004339FE" w:rsidP="004339FE">
            <w:pPr>
              <w:spacing w:after="0" w:line="240" w:lineRule="auto"/>
              <w:jc w:val="right"/>
              <w:rPr>
                <w:rFonts w:ascii="Arial" w:hAnsi="Arial" w:cs="Arial"/>
                <w:b/>
                <w:bCs/>
                <w:sz w:val="16"/>
                <w:szCs w:val="16"/>
              </w:rPr>
            </w:pPr>
            <w:r>
              <w:rPr>
                <w:rFonts w:ascii="Arial" w:hAnsi="Arial" w:cs="Arial"/>
                <w:b/>
                <w:bCs/>
                <w:sz w:val="16"/>
                <w:szCs w:val="16"/>
              </w:rPr>
              <w:t>268</w:t>
            </w:r>
          </w:p>
        </w:tc>
        <w:tc>
          <w:tcPr>
            <w:tcW w:w="825" w:type="dxa"/>
            <w:tcBorders>
              <w:top w:val="single" w:sz="4" w:space="0" w:color="auto"/>
              <w:left w:val="nil"/>
              <w:bottom w:val="single" w:sz="4" w:space="0" w:color="auto"/>
              <w:right w:val="nil"/>
            </w:tcBorders>
            <w:shd w:val="clear" w:color="auto" w:fill="auto"/>
            <w:noWrap/>
            <w:vAlign w:val="bottom"/>
            <w:hideMark/>
          </w:tcPr>
          <w:p w14:paraId="3F55985C" w14:textId="1A3BB5CA" w:rsidR="004339FE" w:rsidRPr="009E77AC" w:rsidRDefault="004339FE" w:rsidP="004339FE">
            <w:pPr>
              <w:spacing w:after="0" w:line="240" w:lineRule="auto"/>
              <w:jc w:val="right"/>
              <w:rPr>
                <w:rFonts w:ascii="Arial" w:hAnsi="Arial" w:cs="Arial"/>
                <w:b/>
                <w:bCs/>
                <w:sz w:val="16"/>
                <w:szCs w:val="16"/>
              </w:rPr>
            </w:pPr>
            <w:r>
              <w:rPr>
                <w:rFonts w:ascii="Arial" w:hAnsi="Arial" w:cs="Arial"/>
                <w:b/>
                <w:bCs/>
                <w:sz w:val="16"/>
                <w:szCs w:val="16"/>
              </w:rPr>
              <w:t>20</w:t>
            </w:r>
          </w:p>
        </w:tc>
        <w:tc>
          <w:tcPr>
            <w:tcW w:w="981" w:type="dxa"/>
            <w:tcBorders>
              <w:top w:val="single" w:sz="4" w:space="0" w:color="auto"/>
              <w:left w:val="nil"/>
              <w:bottom w:val="single" w:sz="4" w:space="0" w:color="auto"/>
              <w:right w:val="nil"/>
            </w:tcBorders>
            <w:shd w:val="clear" w:color="auto" w:fill="auto"/>
            <w:noWrap/>
            <w:vAlign w:val="bottom"/>
            <w:hideMark/>
          </w:tcPr>
          <w:p w14:paraId="51C2E0CE" w14:textId="7FB9B476" w:rsidR="004339FE" w:rsidRPr="009E77AC" w:rsidRDefault="004339FE" w:rsidP="004339FE">
            <w:pPr>
              <w:spacing w:after="0" w:line="240" w:lineRule="auto"/>
              <w:jc w:val="right"/>
              <w:rPr>
                <w:rFonts w:ascii="Arial" w:hAnsi="Arial" w:cs="Arial"/>
                <w:b/>
                <w:bCs/>
                <w:sz w:val="16"/>
                <w:szCs w:val="16"/>
              </w:rPr>
            </w:pPr>
            <w:r>
              <w:rPr>
                <w:rFonts w:ascii="Arial" w:hAnsi="Arial" w:cs="Arial"/>
                <w:b/>
                <w:bCs/>
                <w:sz w:val="16"/>
                <w:szCs w:val="16"/>
              </w:rPr>
              <w:t>278</w:t>
            </w:r>
          </w:p>
        </w:tc>
        <w:tc>
          <w:tcPr>
            <w:tcW w:w="831" w:type="dxa"/>
            <w:tcBorders>
              <w:top w:val="single" w:sz="4" w:space="0" w:color="auto"/>
              <w:left w:val="nil"/>
              <w:bottom w:val="single" w:sz="4" w:space="0" w:color="auto"/>
              <w:right w:val="nil"/>
            </w:tcBorders>
            <w:shd w:val="clear" w:color="auto" w:fill="auto"/>
            <w:noWrap/>
            <w:vAlign w:val="bottom"/>
            <w:hideMark/>
          </w:tcPr>
          <w:p w14:paraId="3C372171" w14:textId="124D07E9" w:rsidR="004339FE" w:rsidRPr="009E77AC" w:rsidRDefault="004339FE" w:rsidP="004339FE">
            <w:pPr>
              <w:spacing w:after="0" w:line="240" w:lineRule="auto"/>
              <w:jc w:val="right"/>
              <w:rPr>
                <w:rFonts w:ascii="Arial" w:hAnsi="Arial" w:cs="Arial"/>
                <w:b/>
                <w:bCs/>
                <w:sz w:val="16"/>
                <w:szCs w:val="16"/>
              </w:rPr>
            </w:pPr>
            <w:r>
              <w:rPr>
                <w:rFonts w:ascii="Arial" w:hAnsi="Arial" w:cs="Arial"/>
                <w:b/>
                <w:bCs/>
                <w:sz w:val="16"/>
                <w:szCs w:val="16"/>
              </w:rPr>
              <w:t>5,857</w:t>
            </w:r>
          </w:p>
        </w:tc>
      </w:tr>
      <w:tr w:rsidR="006A6808" w:rsidRPr="006A6808" w14:paraId="382F1B60" w14:textId="77777777" w:rsidTr="00EF5AA2">
        <w:trPr>
          <w:trHeight w:val="204"/>
        </w:trPr>
        <w:tc>
          <w:tcPr>
            <w:tcW w:w="3119" w:type="dxa"/>
            <w:tcBorders>
              <w:top w:val="nil"/>
              <w:left w:val="nil"/>
              <w:bottom w:val="nil"/>
              <w:right w:val="nil"/>
            </w:tcBorders>
            <w:shd w:val="clear" w:color="auto" w:fill="auto"/>
            <w:hideMark/>
          </w:tcPr>
          <w:p w14:paraId="7A900AE9" w14:textId="77777777" w:rsidR="006A6808" w:rsidRPr="006A6808" w:rsidRDefault="006A6808" w:rsidP="00E81D8C">
            <w:pPr>
              <w:spacing w:after="0" w:line="240" w:lineRule="auto"/>
              <w:jc w:val="left"/>
              <w:rPr>
                <w:rFonts w:ascii="Arial" w:hAnsi="Arial" w:cs="Arial"/>
                <w:b/>
                <w:bCs/>
                <w:sz w:val="16"/>
                <w:szCs w:val="16"/>
              </w:rPr>
            </w:pPr>
            <w:r w:rsidRPr="006A6808">
              <w:rPr>
                <w:rFonts w:ascii="Arial" w:hAnsi="Arial" w:cs="Arial"/>
                <w:b/>
                <w:bCs/>
                <w:sz w:val="16"/>
                <w:szCs w:val="16"/>
              </w:rPr>
              <w:t>Other movements</w:t>
            </w:r>
          </w:p>
        </w:tc>
        <w:tc>
          <w:tcPr>
            <w:tcW w:w="996" w:type="dxa"/>
            <w:tcBorders>
              <w:top w:val="nil"/>
              <w:left w:val="nil"/>
              <w:bottom w:val="nil"/>
              <w:right w:val="nil"/>
            </w:tcBorders>
            <w:shd w:val="clear" w:color="auto" w:fill="auto"/>
            <w:noWrap/>
            <w:vAlign w:val="bottom"/>
            <w:hideMark/>
          </w:tcPr>
          <w:p w14:paraId="02FF86B5" w14:textId="77777777" w:rsidR="006A6808" w:rsidRPr="009E77AC" w:rsidRDefault="006A6808" w:rsidP="00E81D8C">
            <w:pPr>
              <w:spacing w:after="0" w:line="240" w:lineRule="auto"/>
              <w:ind w:firstLineChars="100" w:firstLine="160"/>
              <w:jc w:val="right"/>
              <w:rPr>
                <w:rFonts w:ascii="Arial" w:hAnsi="Arial" w:cs="Arial"/>
                <w:b/>
                <w:bCs/>
                <w:sz w:val="16"/>
                <w:szCs w:val="16"/>
              </w:rPr>
            </w:pPr>
          </w:p>
        </w:tc>
        <w:tc>
          <w:tcPr>
            <w:tcW w:w="1018" w:type="dxa"/>
            <w:tcBorders>
              <w:top w:val="nil"/>
              <w:left w:val="nil"/>
              <w:bottom w:val="nil"/>
              <w:right w:val="nil"/>
            </w:tcBorders>
            <w:shd w:val="clear" w:color="auto" w:fill="auto"/>
            <w:noWrap/>
            <w:vAlign w:val="bottom"/>
            <w:hideMark/>
          </w:tcPr>
          <w:p w14:paraId="1FDF7D30" w14:textId="77777777" w:rsidR="006A6808" w:rsidRPr="009E77AC" w:rsidRDefault="006A6808" w:rsidP="00E81D8C">
            <w:pPr>
              <w:spacing w:after="0" w:line="240" w:lineRule="auto"/>
              <w:jc w:val="right"/>
              <w:rPr>
                <w:rFonts w:ascii="Times New Roman" w:hAnsi="Times New Roman"/>
                <w:sz w:val="16"/>
                <w:szCs w:val="16"/>
              </w:rPr>
            </w:pPr>
          </w:p>
        </w:tc>
        <w:tc>
          <w:tcPr>
            <w:tcW w:w="825" w:type="dxa"/>
            <w:tcBorders>
              <w:top w:val="nil"/>
              <w:left w:val="nil"/>
              <w:bottom w:val="nil"/>
              <w:right w:val="nil"/>
            </w:tcBorders>
            <w:shd w:val="clear" w:color="auto" w:fill="auto"/>
            <w:noWrap/>
            <w:vAlign w:val="bottom"/>
            <w:hideMark/>
          </w:tcPr>
          <w:p w14:paraId="5BD24D17" w14:textId="77777777" w:rsidR="006A6808" w:rsidRPr="009E77AC" w:rsidRDefault="006A6808" w:rsidP="00E81D8C">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2DE4541B" w14:textId="77777777" w:rsidR="006A6808" w:rsidRPr="009E77AC" w:rsidRDefault="006A6808" w:rsidP="00E81D8C">
            <w:pPr>
              <w:spacing w:after="0" w:line="240" w:lineRule="auto"/>
              <w:jc w:val="right"/>
              <w:rPr>
                <w:rFonts w:ascii="Times New Roman" w:hAnsi="Times New Roman"/>
                <w:sz w:val="16"/>
                <w:szCs w:val="16"/>
              </w:rPr>
            </w:pPr>
          </w:p>
        </w:tc>
        <w:tc>
          <w:tcPr>
            <w:tcW w:w="831" w:type="dxa"/>
            <w:tcBorders>
              <w:top w:val="nil"/>
              <w:left w:val="nil"/>
              <w:bottom w:val="nil"/>
              <w:right w:val="nil"/>
            </w:tcBorders>
            <w:shd w:val="clear" w:color="auto" w:fill="auto"/>
            <w:noWrap/>
            <w:vAlign w:val="bottom"/>
            <w:hideMark/>
          </w:tcPr>
          <w:p w14:paraId="2B7B671A" w14:textId="77777777" w:rsidR="006A6808" w:rsidRPr="009E77AC" w:rsidRDefault="006A6808" w:rsidP="00E81D8C">
            <w:pPr>
              <w:spacing w:after="0" w:line="240" w:lineRule="auto"/>
              <w:jc w:val="right"/>
              <w:rPr>
                <w:rFonts w:ascii="Times New Roman" w:hAnsi="Times New Roman"/>
                <w:sz w:val="16"/>
                <w:szCs w:val="16"/>
              </w:rPr>
            </w:pPr>
          </w:p>
        </w:tc>
      </w:tr>
      <w:tr w:rsidR="006A6808" w:rsidRPr="006A6808" w14:paraId="6932671A" w14:textId="77777777" w:rsidTr="00EF5AA2">
        <w:trPr>
          <w:trHeight w:val="204"/>
        </w:trPr>
        <w:tc>
          <w:tcPr>
            <w:tcW w:w="3119" w:type="dxa"/>
            <w:tcBorders>
              <w:top w:val="nil"/>
              <w:left w:val="nil"/>
              <w:bottom w:val="nil"/>
              <w:right w:val="nil"/>
            </w:tcBorders>
            <w:shd w:val="clear" w:color="auto" w:fill="auto"/>
            <w:noWrap/>
            <w:hideMark/>
          </w:tcPr>
          <w:p w14:paraId="0239FDEE" w14:textId="77777777" w:rsidR="006A6808" w:rsidRPr="006A6808" w:rsidRDefault="006A6808" w:rsidP="00E81D8C">
            <w:pPr>
              <w:spacing w:after="0" w:line="240" w:lineRule="auto"/>
              <w:ind w:left="227"/>
              <w:jc w:val="left"/>
              <w:rPr>
                <w:rFonts w:ascii="Arial" w:hAnsi="Arial" w:cs="Arial"/>
                <w:sz w:val="16"/>
                <w:szCs w:val="16"/>
              </w:rPr>
            </w:pPr>
            <w:r w:rsidRPr="006A6808">
              <w:rPr>
                <w:rFonts w:ascii="Arial" w:hAnsi="Arial" w:cs="Arial"/>
                <w:sz w:val="16"/>
                <w:szCs w:val="16"/>
              </w:rPr>
              <w:t>Depreciation/amortisation expense</w:t>
            </w:r>
          </w:p>
        </w:tc>
        <w:tc>
          <w:tcPr>
            <w:tcW w:w="996" w:type="dxa"/>
            <w:tcBorders>
              <w:top w:val="nil"/>
              <w:left w:val="nil"/>
              <w:bottom w:val="nil"/>
              <w:right w:val="nil"/>
            </w:tcBorders>
            <w:shd w:val="clear" w:color="auto" w:fill="auto"/>
            <w:noWrap/>
            <w:vAlign w:val="bottom"/>
            <w:hideMark/>
          </w:tcPr>
          <w:p w14:paraId="05CF54F4"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(505)</w:t>
            </w:r>
          </w:p>
        </w:tc>
        <w:tc>
          <w:tcPr>
            <w:tcW w:w="1018" w:type="dxa"/>
            <w:tcBorders>
              <w:top w:val="nil"/>
              <w:left w:val="nil"/>
              <w:bottom w:val="nil"/>
              <w:right w:val="nil"/>
            </w:tcBorders>
            <w:shd w:val="clear" w:color="auto" w:fill="auto"/>
            <w:noWrap/>
            <w:vAlign w:val="bottom"/>
            <w:hideMark/>
          </w:tcPr>
          <w:p w14:paraId="7DFABEAD"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(238)</w:t>
            </w:r>
          </w:p>
        </w:tc>
        <w:tc>
          <w:tcPr>
            <w:tcW w:w="825" w:type="dxa"/>
            <w:tcBorders>
              <w:top w:val="nil"/>
              <w:left w:val="nil"/>
              <w:bottom w:val="nil"/>
              <w:right w:val="nil"/>
            </w:tcBorders>
            <w:shd w:val="clear" w:color="auto" w:fill="auto"/>
            <w:noWrap/>
            <w:vAlign w:val="bottom"/>
            <w:hideMark/>
          </w:tcPr>
          <w:p w14:paraId="1771DFDD"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(3)</w:t>
            </w:r>
          </w:p>
        </w:tc>
        <w:tc>
          <w:tcPr>
            <w:tcW w:w="981" w:type="dxa"/>
            <w:tcBorders>
              <w:top w:val="nil"/>
              <w:left w:val="nil"/>
              <w:bottom w:val="nil"/>
              <w:right w:val="nil"/>
            </w:tcBorders>
            <w:shd w:val="clear" w:color="auto" w:fill="auto"/>
            <w:noWrap/>
            <w:vAlign w:val="bottom"/>
            <w:hideMark/>
          </w:tcPr>
          <w:p w14:paraId="06A5D092"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(342)</w:t>
            </w:r>
          </w:p>
        </w:tc>
        <w:tc>
          <w:tcPr>
            <w:tcW w:w="831" w:type="dxa"/>
            <w:tcBorders>
              <w:top w:val="nil"/>
              <w:left w:val="nil"/>
              <w:bottom w:val="nil"/>
              <w:right w:val="nil"/>
            </w:tcBorders>
            <w:shd w:val="clear" w:color="auto" w:fill="auto"/>
            <w:noWrap/>
            <w:vAlign w:val="bottom"/>
            <w:hideMark/>
          </w:tcPr>
          <w:p w14:paraId="223F15C2"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(1,088)</w:t>
            </w:r>
          </w:p>
        </w:tc>
      </w:tr>
      <w:tr w:rsidR="006A6808" w:rsidRPr="006A6808" w14:paraId="2CF74545" w14:textId="77777777" w:rsidTr="00EF5AA2">
        <w:trPr>
          <w:trHeight w:val="204"/>
        </w:trPr>
        <w:tc>
          <w:tcPr>
            <w:tcW w:w="3119" w:type="dxa"/>
            <w:tcBorders>
              <w:top w:val="nil"/>
              <w:left w:val="nil"/>
              <w:bottom w:val="nil"/>
              <w:right w:val="nil"/>
            </w:tcBorders>
            <w:shd w:val="clear" w:color="auto" w:fill="auto"/>
            <w:noWrap/>
            <w:hideMark/>
          </w:tcPr>
          <w:p w14:paraId="4DAA300E" w14:textId="77777777" w:rsidR="006A6808" w:rsidRPr="006A6808" w:rsidRDefault="006A6808" w:rsidP="00E81D8C">
            <w:pPr>
              <w:spacing w:after="0" w:line="240" w:lineRule="auto"/>
              <w:ind w:left="227"/>
              <w:jc w:val="left"/>
              <w:rPr>
                <w:rFonts w:ascii="Arial" w:hAnsi="Arial" w:cs="Arial"/>
                <w:sz w:val="16"/>
                <w:szCs w:val="16"/>
              </w:rPr>
            </w:pPr>
            <w:r w:rsidRPr="006A6808">
              <w:rPr>
                <w:rFonts w:ascii="Arial" w:hAnsi="Arial" w:cs="Arial"/>
                <w:sz w:val="16"/>
                <w:szCs w:val="16"/>
              </w:rPr>
              <w:t>Depreciation/amortisation on ROU</w:t>
            </w:r>
          </w:p>
        </w:tc>
        <w:tc>
          <w:tcPr>
            <w:tcW w:w="996" w:type="dxa"/>
            <w:tcBorders>
              <w:top w:val="nil"/>
              <w:left w:val="nil"/>
              <w:bottom w:val="nil"/>
              <w:right w:val="nil"/>
            </w:tcBorders>
            <w:shd w:val="clear" w:color="auto" w:fill="auto"/>
            <w:noWrap/>
            <w:vAlign w:val="bottom"/>
            <w:hideMark/>
          </w:tcPr>
          <w:p w14:paraId="15025A3C"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(339)</w:t>
            </w:r>
          </w:p>
        </w:tc>
        <w:tc>
          <w:tcPr>
            <w:tcW w:w="1018" w:type="dxa"/>
            <w:tcBorders>
              <w:top w:val="nil"/>
              <w:left w:val="nil"/>
              <w:bottom w:val="nil"/>
              <w:right w:val="nil"/>
            </w:tcBorders>
            <w:shd w:val="clear" w:color="auto" w:fill="auto"/>
            <w:noWrap/>
            <w:vAlign w:val="bottom"/>
            <w:hideMark/>
          </w:tcPr>
          <w:p w14:paraId="164C7EC6" w14:textId="2E986FF3"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w:t>
            </w:r>
          </w:p>
        </w:tc>
        <w:tc>
          <w:tcPr>
            <w:tcW w:w="825" w:type="dxa"/>
            <w:tcBorders>
              <w:top w:val="nil"/>
              <w:left w:val="nil"/>
              <w:bottom w:val="nil"/>
              <w:right w:val="nil"/>
            </w:tcBorders>
            <w:shd w:val="clear" w:color="auto" w:fill="auto"/>
            <w:noWrap/>
            <w:vAlign w:val="bottom"/>
            <w:hideMark/>
          </w:tcPr>
          <w:p w14:paraId="0FA836A4" w14:textId="290B856F"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4344FAB5" w14:textId="3A0ACA18"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w:t>
            </w:r>
          </w:p>
        </w:tc>
        <w:tc>
          <w:tcPr>
            <w:tcW w:w="831" w:type="dxa"/>
            <w:tcBorders>
              <w:top w:val="nil"/>
              <w:left w:val="nil"/>
              <w:bottom w:val="nil"/>
              <w:right w:val="nil"/>
            </w:tcBorders>
            <w:shd w:val="clear" w:color="auto" w:fill="auto"/>
            <w:noWrap/>
            <w:vAlign w:val="bottom"/>
            <w:hideMark/>
          </w:tcPr>
          <w:p w14:paraId="4852D662" w14:textId="77777777" w:rsidR="006A6808" w:rsidRPr="009E77AC" w:rsidRDefault="006A6808" w:rsidP="00E81D8C">
            <w:pPr>
              <w:spacing w:after="0" w:line="240" w:lineRule="auto"/>
              <w:jc w:val="right"/>
              <w:rPr>
                <w:rFonts w:ascii="Arial" w:hAnsi="Arial" w:cs="Arial"/>
                <w:sz w:val="16"/>
                <w:szCs w:val="16"/>
              </w:rPr>
            </w:pPr>
            <w:r w:rsidRPr="009E77AC">
              <w:rPr>
                <w:rFonts w:ascii="Arial" w:hAnsi="Arial" w:cs="Arial"/>
                <w:sz w:val="16"/>
                <w:szCs w:val="16"/>
              </w:rPr>
              <w:t>(339)</w:t>
            </w:r>
          </w:p>
        </w:tc>
      </w:tr>
      <w:tr w:rsidR="006A6808" w:rsidRPr="006A6808" w14:paraId="29FE51E8" w14:textId="77777777" w:rsidTr="00EF5AA2">
        <w:trPr>
          <w:trHeight w:val="204"/>
        </w:trPr>
        <w:tc>
          <w:tcPr>
            <w:tcW w:w="3119" w:type="dxa"/>
            <w:tcBorders>
              <w:top w:val="nil"/>
              <w:left w:val="nil"/>
              <w:bottom w:val="nil"/>
              <w:right w:val="nil"/>
            </w:tcBorders>
            <w:shd w:val="clear" w:color="auto" w:fill="auto"/>
            <w:noWrap/>
            <w:hideMark/>
          </w:tcPr>
          <w:p w14:paraId="25292F7A" w14:textId="77777777" w:rsidR="006A6808" w:rsidRPr="006A6808" w:rsidRDefault="006A6808" w:rsidP="00E81D8C">
            <w:pPr>
              <w:spacing w:after="0" w:line="240" w:lineRule="auto"/>
              <w:ind w:left="113"/>
              <w:jc w:val="left"/>
              <w:rPr>
                <w:rFonts w:ascii="Arial" w:hAnsi="Arial" w:cs="Arial"/>
                <w:b/>
                <w:bCs/>
                <w:sz w:val="16"/>
                <w:szCs w:val="16"/>
              </w:rPr>
            </w:pPr>
            <w:r w:rsidRPr="006A6808">
              <w:rPr>
                <w:rFonts w:ascii="Arial" w:hAnsi="Arial" w:cs="Arial"/>
                <w:b/>
                <w:bCs/>
                <w:sz w:val="16"/>
                <w:szCs w:val="16"/>
              </w:rPr>
              <w:t>Total other movements</w:t>
            </w:r>
          </w:p>
        </w:tc>
        <w:tc>
          <w:tcPr>
            <w:tcW w:w="996" w:type="dxa"/>
            <w:tcBorders>
              <w:top w:val="single" w:sz="4" w:space="0" w:color="auto"/>
              <w:left w:val="nil"/>
              <w:bottom w:val="single" w:sz="4" w:space="0" w:color="auto"/>
              <w:right w:val="nil"/>
            </w:tcBorders>
            <w:shd w:val="clear" w:color="auto" w:fill="auto"/>
            <w:noWrap/>
            <w:vAlign w:val="bottom"/>
            <w:hideMark/>
          </w:tcPr>
          <w:p w14:paraId="380F12C5" w14:textId="77777777" w:rsidR="006A6808" w:rsidRPr="009E77AC" w:rsidRDefault="006A6808" w:rsidP="00E81D8C">
            <w:pPr>
              <w:spacing w:after="0" w:line="240" w:lineRule="auto"/>
              <w:jc w:val="right"/>
              <w:rPr>
                <w:rFonts w:ascii="Arial" w:hAnsi="Arial" w:cs="Arial"/>
                <w:b/>
                <w:bCs/>
                <w:sz w:val="16"/>
                <w:szCs w:val="16"/>
              </w:rPr>
            </w:pPr>
            <w:r w:rsidRPr="009E77AC">
              <w:rPr>
                <w:rFonts w:ascii="Arial" w:hAnsi="Arial" w:cs="Arial"/>
                <w:b/>
                <w:bCs/>
                <w:sz w:val="16"/>
                <w:szCs w:val="16"/>
              </w:rPr>
              <w:t>(844)</w:t>
            </w:r>
          </w:p>
        </w:tc>
        <w:tc>
          <w:tcPr>
            <w:tcW w:w="1018" w:type="dxa"/>
            <w:tcBorders>
              <w:top w:val="single" w:sz="4" w:space="0" w:color="auto"/>
              <w:left w:val="nil"/>
              <w:bottom w:val="single" w:sz="4" w:space="0" w:color="auto"/>
              <w:right w:val="nil"/>
            </w:tcBorders>
            <w:shd w:val="clear" w:color="auto" w:fill="auto"/>
            <w:noWrap/>
            <w:vAlign w:val="bottom"/>
            <w:hideMark/>
          </w:tcPr>
          <w:p w14:paraId="354FD2EE" w14:textId="77777777" w:rsidR="006A6808" w:rsidRPr="009E77AC" w:rsidRDefault="006A6808" w:rsidP="00E81D8C">
            <w:pPr>
              <w:spacing w:after="0" w:line="240" w:lineRule="auto"/>
              <w:jc w:val="right"/>
              <w:rPr>
                <w:rFonts w:ascii="Arial" w:hAnsi="Arial" w:cs="Arial"/>
                <w:b/>
                <w:bCs/>
                <w:sz w:val="16"/>
                <w:szCs w:val="16"/>
              </w:rPr>
            </w:pPr>
            <w:r w:rsidRPr="009E77AC">
              <w:rPr>
                <w:rFonts w:ascii="Arial" w:hAnsi="Arial" w:cs="Arial"/>
                <w:b/>
                <w:bCs/>
                <w:sz w:val="16"/>
                <w:szCs w:val="16"/>
              </w:rPr>
              <w:t>(238)</w:t>
            </w:r>
          </w:p>
        </w:tc>
        <w:tc>
          <w:tcPr>
            <w:tcW w:w="825" w:type="dxa"/>
            <w:tcBorders>
              <w:top w:val="single" w:sz="4" w:space="0" w:color="auto"/>
              <w:left w:val="nil"/>
              <w:bottom w:val="single" w:sz="4" w:space="0" w:color="auto"/>
              <w:right w:val="nil"/>
            </w:tcBorders>
            <w:shd w:val="clear" w:color="auto" w:fill="auto"/>
            <w:noWrap/>
            <w:vAlign w:val="bottom"/>
            <w:hideMark/>
          </w:tcPr>
          <w:p w14:paraId="525BB340" w14:textId="77777777" w:rsidR="006A6808" w:rsidRPr="009E77AC" w:rsidRDefault="006A6808" w:rsidP="00E81D8C">
            <w:pPr>
              <w:spacing w:after="0" w:line="240" w:lineRule="auto"/>
              <w:jc w:val="right"/>
              <w:rPr>
                <w:rFonts w:ascii="Arial" w:hAnsi="Arial" w:cs="Arial"/>
                <w:b/>
                <w:bCs/>
                <w:sz w:val="16"/>
                <w:szCs w:val="16"/>
              </w:rPr>
            </w:pPr>
            <w:r w:rsidRPr="009E77AC">
              <w:rPr>
                <w:rFonts w:ascii="Arial" w:hAnsi="Arial" w:cs="Arial"/>
                <w:b/>
                <w:bCs/>
                <w:sz w:val="16"/>
                <w:szCs w:val="16"/>
              </w:rPr>
              <w:t>(3)</w:t>
            </w:r>
          </w:p>
        </w:tc>
        <w:tc>
          <w:tcPr>
            <w:tcW w:w="981" w:type="dxa"/>
            <w:tcBorders>
              <w:top w:val="single" w:sz="4" w:space="0" w:color="auto"/>
              <w:left w:val="nil"/>
              <w:bottom w:val="single" w:sz="4" w:space="0" w:color="auto"/>
              <w:right w:val="nil"/>
            </w:tcBorders>
            <w:shd w:val="clear" w:color="auto" w:fill="auto"/>
            <w:noWrap/>
            <w:vAlign w:val="bottom"/>
            <w:hideMark/>
          </w:tcPr>
          <w:p w14:paraId="22F88055" w14:textId="77777777" w:rsidR="006A6808" w:rsidRPr="009E77AC" w:rsidRDefault="006A6808" w:rsidP="00E81D8C">
            <w:pPr>
              <w:spacing w:after="0" w:line="240" w:lineRule="auto"/>
              <w:jc w:val="right"/>
              <w:rPr>
                <w:rFonts w:ascii="Arial" w:hAnsi="Arial" w:cs="Arial"/>
                <w:b/>
                <w:bCs/>
                <w:sz w:val="16"/>
                <w:szCs w:val="16"/>
              </w:rPr>
            </w:pPr>
            <w:r w:rsidRPr="009E77AC">
              <w:rPr>
                <w:rFonts w:ascii="Arial" w:hAnsi="Arial" w:cs="Arial"/>
                <w:b/>
                <w:bCs/>
                <w:sz w:val="16"/>
                <w:szCs w:val="16"/>
              </w:rPr>
              <w:t>(342)</w:t>
            </w:r>
          </w:p>
        </w:tc>
        <w:tc>
          <w:tcPr>
            <w:tcW w:w="831" w:type="dxa"/>
            <w:tcBorders>
              <w:top w:val="single" w:sz="4" w:space="0" w:color="auto"/>
              <w:left w:val="nil"/>
              <w:bottom w:val="single" w:sz="4" w:space="0" w:color="auto"/>
              <w:right w:val="nil"/>
            </w:tcBorders>
            <w:shd w:val="clear" w:color="auto" w:fill="auto"/>
            <w:noWrap/>
            <w:vAlign w:val="bottom"/>
            <w:hideMark/>
          </w:tcPr>
          <w:p w14:paraId="32600DCD" w14:textId="77777777" w:rsidR="006A6808" w:rsidRPr="009E77AC" w:rsidRDefault="006A6808" w:rsidP="00E81D8C">
            <w:pPr>
              <w:spacing w:after="0" w:line="240" w:lineRule="auto"/>
              <w:jc w:val="right"/>
              <w:rPr>
                <w:rFonts w:ascii="Arial" w:hAnsi="Arial" w:cs="Arial"/>
                <w:b/>
                <w:bCs/>
                <w:sz w:val="16"/>
                <w:szCs w:val="16"/>
              </w:rPr>
            </w:pPr>
            <w:r w:rsidRPr="009E77AC">
              <w:rPr>
                <w:rFonts w:ascii="Arial" w:hAnsi="Arial" w:cs="Arial"/>
                <w:b/>
                <w:bCs/>
                <w:sz w:val="16"/>
                <w:szCs w:val="16"/>
              </w:rPr>
              <w:t>(1,427)</w:t>
            </w:r>
          </w:p>
        </w:tc>
      </w:tr>
      <w:tr w:rsidR="006A6808" w:rsidRPr="006A6808" w14:paraId="21ED17E9" w14:textId="77777777" w:rsidTr="00EF5AA2">
        <w:trPr>
          <w:trHeight w:val="204"/>
        </w:trPr>
        <w:tc>
          <w:tcPr>
            <w:tcW w:w="3119" w:type="dxa"/>
            <w:tcBorders>
              <w:top w:val="nil"/>
              <w:left w:val="nil"/>
              <w:bottom w:val="nil"/>
              <w:right w:val="nil"/>
            </w:tcBorders>
            <w:shd w:val="clear" w:color="auto" w:fill="auto"/>
            <w:hideMark/>
          </w:tcPr>
          <w:p w14:paraId="25429FF3" w14:textId="77777777" w:rsidR="006A6808" w:rsidRPr="006A6808" w:rsidRDefault="006A6808" w:rsidP="006A6808">
            <w:pPr>
              <w:spacing w:after="0" w:line="240" w:lineRule="auto"/>
              <w:jc w:val="left"/>
              <w:rPr>
                <w:rFonts w:ascii="Arial" w:hAnsi="Arial" w:cs="Arial"/>
                <w:b/>
                <w:bCs/>
                <w:sz w:val="16"/>
                <w:szCs w:val="16"/>
              </w:rPr>
            </w:pPr>
            <w:r w:rsidRPr="006A6808">
              <w:rPr>
                <w:rFonts w:ascii="Arial" w:hAnsi="Arial" w:cs="Arial"/>
                <w:b/>
                <w:bCs/>
                <w:sz w:val="16"/>
                <w:szCs w:val="16"/>
              </w:rPr>
              <w:t>As at 30 June 2022</w:t>
            </w:r>
          </w:p>
        </w:tc>
        <w:tc>
          <w:tcPr>
            <w:tcW w:w="996" w:type="dxa"/>
            <w:tcBorders>
              <w:top w:val="nil"/>
              <w:left w:val="nil"/>
              <w:bottom w:val="nil"/>
              <w:right w:val="nil"/>
            </w:tcBorders>
            <w:shd w:val="clear" w:color="auto" w:fill="auto"/>
            <w:noWrap/>
            <w:vAlign w:val="bottom"/>
            <w:hideMark/>
          </w:tcPr>
          <w:p w14:paraId="07FEE494" w14:textId="77777777" w:rsidR="006A6808" w:rsidRPr="009E77AC" w:rsidRDefault="006A6808" w:rsidP="00E81D8C">
            <w:pPr>
              <w:spacing w:after="0" w:line="240" w:lineRule="auto"/>
              <w:jc w:val="right"/>
              <w:rPr>
                <w:rFonts w:ascii="Arial" w:hAnsi="Arial" w:cs="Arial"/>
                <w:b/>
                <w:bCs/>
                <w:sz w:val="16"/>
                <w:szCs w:val="16"/>
              </w:rPr>
            </w:pPr>
          </w:p>
        </w:tc>
        <w:tc>
          <w:tcPr>
            <w:tcW w:w="1018" w:type="dxa"/>
            <w:tcBorders>
              <w:top w:val="nil"/>
              <w:left w:val="nil"/>
              <w:bottom w:val="nil"/>
              <w:right w:val="nil"/>
            </w:tcBorders>
            <w:shd w:val="clear" w:color="auto" w:fill="auto"/>
            <w:noWrap/>
            <w:vAlign w:val="bottom"/>
            <w:hideMark/>
          </w:tcPr>
          <w:p w14:paraId="5893B730" w14:textId="77777777" w:rsidR="006A6808" w:rsidRPr="009E77AC" w:rsidRDefault="006A6808" w:rsidP="00E81D8C">
            <w:pPr>
              <w:spacing w:after="0" w:line="240" w:lineRule="auto"/>
              <w:jc w:val="right"/>
              <w:rPr>
                <w:rFonts w:ascii="Times New Roman" w:hAnsi="Times New Roman"/>
                <w:sz w:val="16"/>
                <w:szCs w:val="16"/>
              </w:rPr>
            </w:pPr>
          </w:p>
        </w:tc>
        <w:tc>
          <w:tcPr>
            <w:tcW w:w="825" w:type="dxa"/>
            <w:tcBorders>
              <w:top w:val="nil"/>
              <w:left w:val="nil"/>
              <w:bottom w:val="nil"/>
              <w:right w:val="nil"/>
            </w:tcBorders>
            <w:shd w:val="clear" w:color="auto" w:fill="auto"/>
            <w:noWrap/>
            <w:vAlign w:val="bottom"/>
            <w:hideMark/>
          </w:tcPr>
          <w:p w14:paraId="35E799D5" w14:textId="77777777" w:rsidR="006A6808" w:rsidRPr="009E77AC" w:rsidRDefault="006A6808" w:rsidP="00E81D8C">
            <w:pPr>
              <w:spacing w:after="0" w:line="240" w:lineRule="auto"/>
              <w:jc w:val="right"/>
              <w:rPr>
                <w:rFonts w:ascii="Times New Roman" w:hAnsi="Times New Roman"/>
                <w:sz w:val="16"/>
                <w:szCs w:val="16"/>
              </w:rPr>
            </w:pPr>
          </w:p>
        </w:tc>
        <w:tc>
          <w:tcPr>
            <w:tcW w:w="981" w:type="dxa"/>
            <w:tcBorders>
              <w:top w:val="nil"/>
              <w:left w:val="nil"/>
              <w:bottom w:val="nil"/>
              <w:right w:val="nil"/>
            </w:tcBorders>
            <w:shd w:val="clear" w:color="auto" w:fill="auto"/>
            <w:noWrap/>
            <w:vAlign w:val="bottom"/>
            <w:hideMark/>
          </w:tcPr>
          <w:p w14:paraId="110561B7" w14:textId="77777777" w:rsidR="006A6808" w:rsidRPr="009E77AC" w:rsidRDefault="006A6808" w:rsidP="00E81D8C">
            <w:pPr>
              <w:spacing w:after="0" w:line="240" w:lineRule="auto"/>
              <w:jc w:val="right"/>
              <w:rPr>
                <w:rFonts w:ascii="Times New Roman" w:hAnsi="Times New Roman"/>
                <w:sz w:val="16"/>
                <w:szCs w:val="16"/>
              </w:rPr>
            </w:pPr>
          </w:p>
        </w:tc>
        <w:tc>
          <w:tcPr>
            <w:tcW w:w="831" w:type="dxa"/>
            <w:tcBorders>
              <w:top w:val="nil"/>
              <w:left w:val="nil"/>
              <w:bottom w:val="nil"/>
              <w:right w:val="nil"/>
            </w:tcBorders>
            <w:shd w:val="clear" w:color="auto" w:fill="auto"/>
            <w:noWrap/>
            <w:vAlign w:val="bottom"/>
            <w:hideMark/>
          </w:tcPr>
          <w:p w14:paraId="16825B16" w14:textId="77777777" w:rsidR="006A6808" w:rsidRPr="009E77AC" w:rsidRDefault="006A6808" w:rsidP="00E81D8C">
            <w:pPr>
              <w:spacing w:after="0" w:line="240" w:lineRule="auto"/>
              <w:jc w:val="right"/>
              <w:rPr>
                <w:rFonts w:ascii="Times New Roman" w:hAnsi="Times New Roman"/>
                <w:sz w:val="16"/>
                <w:szCs w:val="16"/>
              </w:rPr>
            </w:pPr>
          </w:p>
        </w:tc>
      </w:tr>
      <w:tr w:rsidR="004339FE" w:rsidRPr="006A6808" w14:paraId="2F908190" w14:textId="77777777" w:rsidTr="00EF5AA2">
        <w:trPr>
          <w:trHeight w:val="204"/>
        </w:trPr>
        <w:tc>
          <w:tcPr>
            <w:tcW w:w="3119" w:type="dxa"/>
            <w:tcBorders>
              <w:top w:val="nil"/>
              <w:left w:val="nil"/>
              <w:bottom w:val="nil"/>
              <w:right w:val="nil"/>
            </w:tcBorders>
            <w:shd w:val="clear" w:color="auto" w:fill="auto"/>
            <w:noWrap/>
            <w:hideMark/>
          </w:tcPr>
          <w:p w14:paraId="1FBB12F9" w14:textId="77777777" w:rsidR="004339FE" w:rsidRPr="006A6808" w:rsidRDefault="004339FE" w:rsidP="004339FE">
            <w:pPr>
              <w:spacing w:after="0" w:line="240" w:lineRule="auto"/>
              <w:ind w:left="113"/>
              <w:jc w:val="left"/>
              <w:rPr>
                <w:rFonts w:ascii="Arial" w:hAnsi="Arial" w:cs="Arial"/>
                <w:sz w:val="16"/>
                <w:szCs w:val="16"/>
              </w:rPr>
            </w:pPr>
            <w:r w:rsidRPr="006A6808">
              <w:rPr>
                <w:rFonts w:ascii="Arial" w:hAnsi="Arial" w:cs="Arial"/>
                <w:sz w:val="16"/>
                <w:szCs w:val="16"/>
              </w:rPr>
              <w:t>Gross book value</w:t>
            </w:r>
          </w:p>
        </w:tc>
        <w:tc>
          <w:tcPr>
            <w:tcW w:w="996" w:type="dxa"/>
            <w:tcBorders>
              <w:top w:val="nil"/>
              <w:left w:val="nil"/>
              <w:bottom w:val="nil"/>
              <w:right w:val="nil"/>
            </w:tcBorders>
            <w:shd w:val="clear" w:color="auto" w:fill="auto"/>
            <w:noWrap/>
            <w:vAlign w:val="bottom"/>
            <w:hideMark/>
          </w:tcPr>
          <w:p w14:paraId="66D39F50" w14:textId="30351EA2"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15,753</w:t>
            </w:r>
          </w:p>
        </w:tc>
        <w:tc>
          <w:tcPr>
            <w:tcW w:w="1018" w:type="dxa"/>
            <w:tcBorders>
              <w:top w:val="nil"/>
              <w:left w:val="nil"/>
              <w:bottom w:val="nil"/>
              <w:right w:val="nil"/>
            </w:tcBorders>
            <w:shd w:val="clear" w:color="auto" w:fill="auto"/>
            <w:noWrap/>
            <w:vAlign w:val="bottom"/>
            <w:hideMark/>
          </w:tcPr>
          <w:p w14:paraId="5F93BD7E" w14:textId="00E4EE0B"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2,472</w:t>
            </w:r>
          </w:p>
        </w:tc>
        <w:tc>
          <w:tcPr>
            <w:tcW w:w="825" w:type="dxa"/>
            <w:tcBorders>
              <w:top w:val="nil"/>
              <w:left w:val="nil"/>
              <w:bottom w:val="nil"/>
              <w:right w:val="nil"/>
            </w:tcBorders>
            <w:shd w:val="clear" w:color="auto" w:fill="auto"/>
            <w:noWrap/>
            <w:vAlign w:val="bottom"/>
            <w:hideMark/>
          </w:tcPr>
          <w:p w14:paraId="41D96729" w14:textId="698CD085"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226</w:t>
            </w:r>
          </w:p>
        </w:tc>
        <w:tc>
          <w:tcPr>
            <w:tcW w:w="981" w:type="dxa"/>
            <w:tcBorders>
              <w:top w:val="nil"/>
              <w:left w:val="nil"/>
              <w:bottom w:val="nil"/>
              <w:right w:val="nil"/>
            </w:tcBorders>
            <w:shd w:val="clear" w:color="auto" w:fill="auto"/>
            <w:noWrap/>
            <w:vAlign w:val="bottom"/>
            <w:hideMark/>
          </w:tcPr>
          <w:p w14:paraId="4C57684F" w14:textId="5A2864D1"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5,771</w:t>
            </w:r>
          </w:p>
        </w:tc>
        <w:tc>
          <w:tcPr>
            <w:tcW w:w="831" w:type="dxa"/>
            <w:tcBorders>
              <w:top w:val="nil"/>
              <w:left w:val="nil"/>
              <w:bottom w:val="nil"/>
              <w:right w:val="nil"/>
            </w:tcBorders>
            <w:shd w:val="clear" w:color="auto" w:fill="auto"/>
            <w:noWrap/>
            <w:vAlign w:val="bottom"/>
            <w:hideMark/>
          </w:tcPr>
          <w:p w14:paraId="5049856D" w14:textId="5AB09DCF"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24,222</w:t>
            </w:r>
          </w:p>
        </w:tc>
      </w:tr>
      <w:tr w:rsidR="004339FE" w:rsidRPr="006A6808" w14:paraId="42E53C5F" w14:textId="77777777" w:rsidTr="00EF5AA2">
        <w:trPr>
          <w:trHeight w:val="204"/>
        </w:trPr>
        <w:tc>
          <w:tcPr>
            <w:tcW w:w="3119" w:type="dxa"/>
            <w:tcBorders>
              <w:top w:val="nil"/>
              <w:left w:val="nil"/>
              <w:bottom w:val="nil"/>
              <w:right w:val="nil"/>
            </w:tcBorders>
            <w:shd w:val="clear" w:color="auto" w:fill="auto"/>
            <w:noWrap/>
            <w:hideMark/>
          </w:tcPr>
          <w:p w14:paraId="55C7386B" w14:textId="77777777" w:rsidR="004339FE" w:rsidRPr="006A6808" w:rsidRDefault="004339FE" w:rsidP="004339FE">
            <w:pPr>
              <w:spacing w:after="0" w:line="240" w:lineRule="auto"/>
              <w:ind w:left="113"/>
              <w:jc w:val="left"/>
              <w:rPr>
                <w:rFonts w:ascii="Arial" w:hAnsi="Arial" w:cs="Arial"/>
                <w:sz w:val="16"/>
                <w:szCs w:val="16"/>
              </w:rPr>
            </w:pPr>
            <w:r w:rsidRPr="006A6808">
              <w:rPr>
                <w:rFonts w:ascii="Arial" w:hAnsi="Arial" w:cs="Arial"/>
                <w:sz w:val="16"/>
                <w:szCs w:val="16"/>
              </w:rPr>
              <w:t>Gross book value - ROU</w:t>
            </w:r>
          </w:p>
        </w:tc>
        <w:tc>
          <w:tcPr>
            <w:tcW w:w="996" w:type="dxa"/>
            <w:tcBorders>
              <w:top w:val="nil"/>
              <w:left w:val="nil"/>
              <w:bottom w:val="nil"/>
              <w:right w:val="nil"/>
            </w:tcBorders>
            <w:shd w:val="clear" w:color="auto" w:fill="auto"/>
            <w:noWrap/>
            <w:vAlign w:val="bottom"/>
            <w:hideMark/>
          </w:tcPr>
          <w:p w14:paraId="56CC492C" w14:textId="44A30004"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2,358</w:t>
            </w:r>
          </w:p>
        </w:tc>
        <w:tc>
          <w:tcPr>
            <w:tcW w:w="1018" w:type="dxa"/>
            <w:tcBorders>
              <w:top w:val="nil"/>
              <w:left w:val="nil"/>
              <w:bottom w:val="nil"/>
              <w:right w:val="nil"/>
            </w:tcBorders>
            <w:shd w:val="clear" w:color="auto" w:fill="auto"/>
            <w:noWrap/>
            <w:vAlign w:val="bottom"/>
            <w:hideMark/>
          </w:tcPr>
          <w:p w14:paraId="761FF0D3" w14:textId="3C446FEC"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w:t>
            </w:r>
          </w:p>
        </w:tc>
        <w:tc>
          <w:tcPr>
            <w:tcW w:w="825" w:type="dxa"/>
            <w:tcBorders>
              <w:top w:val="nil"/>
              <w:left w:val="nil"/>
              <w:bottom w:val="nil"/>
              <w:right w:val="nil"/>
            </w:tcBorders>
            <w:shd w:val="clear" w:color="auto" w:fill="auto"/>
            <w:noWrap/>
            <w:vAlign w:val="bottom"/>
            <w:hideMark/>
          </w:tcPr>
          <w:p w14:paraId="4266D8AC" w14:textId="28867BBD"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7E93086F" w14:textId="4A45D4AE"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w:t>
            </w:r>
          </w:p>
        </w:tc>
        <w:tc>
          <w:tcPr>
            <w:tcW w:w="831" w:type="dxa"/>
            <w:tcBorders>
              <w:top w:val="nil"/>
              <w:left w:val="nil"/>
              <w:bottom w:val="nil"/>
              <w:right w:val="nil"/>
            </w:tcBorders>
            <w:shd w:val="clear" w:color="auto" w:fill="auto"/>
            <w:noWrap/>
            <w:vAlign w:val="bottom"/>
            <w:hideMark/>
          </w:tcPr>
          <w:p w14:paraId="69B7953D" w14:textId="73FCFAF0"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2,358</w:t>
            </w:r>
          </w:p>
        </w:tc>
      </w:tr>
      <w:tr w:rsidR="004339FE" w:rsidRPr="006A6808" w14:paraId="6A03A2FA" w14:textId="77777777" w:rsidTr="00EF5AA2">
        <w:trPr>
          <w:trHeight w:val="204"/>
        </w:trPr>
        <w:tc>
          <w:tcPr>
            <w:tcW w:w="3119" w:type="dxa"/>
            <w:tcBorders>
              <w:top w:val="nil"/>
              <w:left w:val="nil"/>
              <w:bottom w:val="nil"/>
              <w:right w:val="nil"/>
            </w:tcBorders>
            <w:shd w:val="clear" w:color="auto" w:fill="auto"/>
            <w:hideMark/>
          </w:tcPr>
          <w:p w14:paraId="6F49E1F9" w14:textId="77777777" w:rsidR="004339FE" w:rsidRPr="006A6808" w:rsidRDefault="004339FE" w:rsidP="004339FE">
            <w:pPr>
              <w:spacing w:after="0" w:line="240" w:lineRule="auto"/>
              <w:ind w:left="113"/>
              <w:jc w:val="left"/>
              <w:rPr>
                <w:rFonts w:ascii="Arial" w:hAnsi="Arial" w:cs="Arial"/>
                <w:sz w:val="16"/>
                <w:szCs w:val="16"/>
              </w:rPr>
            </w:pPr>
            <w:r w:rsidRPr="006A6808">
              <w:rPr>
                <w:rFonts w:ascii="Arial" w:hAnsi="Arial" w:cs="Arial"/>
                <w:sz w:val="16"/>
                <w:szCs w:val="16"/>
              </w:rPr>
              <w:t>Accumulated depreciation/amortisation and impairment</w:t>
            </w:r>
          </w:p>
        </w:tc>
        <w:tc>
          <w:tcPr>
            <w:tcW w:w="996" w:type="dxa"/>
            <w:tcBorders>
              <w:top w:val="nil"/>
              <w:left w:val="nil"/>
              <w:bottom w:val="nil"/>
              <w:right w:val="nil"/>
            </w:tcBorders>
            <w:shd w:val="clear" w:color="auto" w:fill="auto"/>
            <w:noWrap/>
            <w:vAlign w:val="bottom"/>
            <w:hideMark/>
          </w:tcPr>
          <w:p w14:paraId="006F0905" w14:textId="40504651"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(1,112)</w:t>
            </w:r>
          </w:p>
        </w:tc>
        <w:tc>
          <w:tcPr>
            <w:tcW w:w="1018" w:type="dxa"/>
            <w:tcBorders>
              <w:top w:val="nil"/>
              <w:left w:val="nil"/>
              <w:bottom w:val="nil"/>
              <w:right w:val="nil"/>
            </w:tcBorders>
            <w:shd w:val="clear" w:color="auto" w:fill="auto"/>
            <w:noWrap/>
            <w:vAlign w:val="bottom"/>
            <w:hideMark/>
          </w:tcPr>
          <w:p w14:paraId="3EB9A629" w14:textId="24656D46"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(484)</w:t>
            </w:r>
          </w:p>
        </w:tc>
        <w:tc>
          <w:tcPr>
            <w:tcW w:w="825" w:type="dxa"/>
            <w:tcBorders>
              <w:top w:val="nil"/>
              <w:left w:val="nil"/>
              <w:bottom w:val="nil"/>
              <w:right w:val="nil"/>
            </w:tcBorders>
            <w:shd w:val="clear" w:color="auto" w:fill="auto"/>
            <w:noWrap/>
            <w:vAlign w:val="bottom"/>
            <w:hideMark/>
          </w:tcPr>
          <w:p w14:paraId="73284637" w14:textId="30D9A146"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(8)</w:t>
            </w:r>
          </w:p>
        </w:tc>
        <w:tc>
          <w:tcPr>
            <w:tcW w:w="981" w:type="dxa"/>
            <w:tcBorders>
              <w:top w:val="nil"/>
              <w:left w:val="nil"/>
              <w:bottom w:val="nil"/>
              <w:right w:val="nil"/>
            </w:tcBorders>
            <w:shd w:val="clear" w:color="auto" w:fill="auto"/>
            <w:noWrap/>
            <w:vAlign w:val="bottom"/>
            <w:hideMark/>
          </w:tcPr>
          <w:p w14:paraId="6B1A90AF" w14:textId="0FAB2792"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(2,540)</w:t>
            </w:r>
          </w:p>
        </w:tc>
        <w:tc>
          <w:tcPr>
            <w:tcW w:w="831" w:type="dxa"/>
            <w:tcBorders>
              <w:top w:val="nil"/>
              <w:left w:val="nil"/>
              <w:bottom w:val="nil"/>
              <w:right w:val="nil"/>
            </w:tcBorders>
            <w:shd w:val="clear" w:color="auto" w:fill="auto"/>
            <w:noWrap/>
            <w:vAlign w:val="bottom"/>
            <w:hideMark/>
          </w:tcPr>
          <w:p w14:paraId="752D6835" w14:textId="590ED10F"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(4,144)</w:t>
            </w:r>
          </w:p>
        </w:tc>
      </w:tr>
      <w:tr w:rsidR="004339FE" w:rsidRPr="006A6808" w14:paraId="2EAF9A3A" w14:textId="77777777" w:rsidTr="00EF5AA2">
        <w:trPr>
          <w:trHeight w:val="204"/>
        </w:trPr>
        <w:tc>
          <w:tcPr>
            <w:tcW w:w="3119" w:type="dxa"/>
            <w:tcBorders>
              <w:top w:val="nil"/>
              <w:left w:val="nil"/>
              <w:bottom w:val="nil"/>
              <w:right w:val="nil"/>
            </w:tcBorders>
            <w:shd w:val="clear" w:color="auto" w:fill="auto"/>
            <w:hideMark/>
          </w:tcPr>
          <w:p w14:paraId="2890360D" w14:textId="77777777" w:rsidR="004339FE" w:rsidRPr="006A6808" w:rsidRDefault="004339FE" w:rsidP="004339FE">
            <w:pPr>
              <w:spacing w:after="0" w:line="240" w:lineRule="auto"/>
              <w:ind w:left="113"/>
              <w:jc w:val="left"/>
              <w:rPr>
                <w:rFonts w:ascii="Arial" w:hAnsi="Arial" w:cs="Arial"/>
                <w:sz w:val="16"/>
                <w:szCs w:val="16"/>
              </w:rPr>
            </w:pPr>
            <w:r w:rsidRPr="006A6808">
              <w:rPr>
                <w:rFonts w:ascii="Arial" w:hAnsi="Arial" w:cs="Arial"/>
                <w:sz w:val="16"/>
                <w:szCs w:val="16"/>
              </w:rPr>
              <w:t>Accumulated depreciation/amortisation and impairment - ROU</w:t>
            </w:r>
          </w:p>
        </w:tc>
        <w:tc>
          <w:tcPr>
            <w:tcW w:w="996" w:type="dxa"/>
            <w:tcBorders>
              <w:top w:val="nil"/>
              <w:left w:val="nil"/>
              <w:bottom w:val="nil"/>
              <w:right w:val="nil"/>
            </w:tcBorders>
            <w:shd w:val="clear" w:color="auto" w:fill="auto"/>
            <w:noWrap/>
            <w:vAlign w:val="bottom"/>
            <w:hideMark/>
          </w:tcPr>
          <w:p w14:paraId="3F765369" w14:textId="78FF9923"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(1,001)</w:t>
            </w:r>
          </w:p>
        </w:tc>
        <w:tc>
          <w:tcPr>
            <w:tcW w:w="1018" w:type="dxa"/>
            <w:tcBorders>
              <w:top w:val="nil"/>
              <w:left w:val="nil"/>
              <w:bottom w:val="nil"/>
              <w:right w:val="nil"/>
            </w:tcBorders>
            <w:shd w:val="clear" w:color="auto" w:fill="auto"/>
            <w:noWrap/>
            <w:vAlign w:val="bottom"/>
            <w:hideMark/>
          </w:tcPr>
          <w:p w14:paraId="396AAFF2" w14:textId="0271E712"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(13)</w:t>
            </w:r>
          </w:p>
        </w:tc>
        <w:tc>
          <w:tcPr>
            <w:tcW w:w="825" w:type="dxa"/>
            <w:tcBorders>
              <w:top w:val="nil"/>
              <w:left w:val="nil"/>
              <w:bottom w:val="nil"/>
              <w:right w:val="nil"/>
            </w:tcBorders>
            <w:shd w:val="clear" w:color="auto" w:fill="auto"/>
            <w:noWrap/>
            <w:vAlign w:val="bottom"/>
            <w:hideMark/>
          </w:tcPr>
          <w:p w14:paraId="4CECB7B9" w14:textId="4B33C053"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305101C2" w14:textId="1B6602CD"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w:t>
            </w:r>
          </w:p>
        </w:tc>
        <w:tc>
          <w:tcPr>
            <w:tcW w:w="831" w:type="dxa"/>
            <w:tcBorders>
              <w:top w:val="nil"/>
              <w:left w:val="nil"/>
              <w:bottom w:val="nil"/>
              <w:right w:val="nil"/>
            </w:tcBorders>
            <w:shd w:val="clear" w:color="auto" w:fill="auto"/>
            <w:noWrap/>
            <w:vAlign w:val="bottom"/>
            <w:hideMark/>
          </w:tcPr>
          <w:p w14:paraId="2EBD493E" w14:textId="0727FA31" w:rsidR="004339FE" w:rsidRPr="009E77AC" w:rsidRDefault="004339FE" w:rsidP="004339FE">
            <w:pPr>
              <w:spacing w:after="0" w:line="240" w:lineRule="auto"/>
              <w:jc w:val="right"/>
              <w:rPr>
                <w:rFonts w:ascii="Arial" w:hAnsi="Arial" w:cs="Arial"/>
                <w:sz w:val="16"/>
                <w:szCs w:val="16"/>
              </w:rPr>
            </w:pPr>
            <w:r>
              <w:rPr>
                <w:rFonts w:ascii="Arial" w:hAnsi="Arial" w:cs="Arial"/>
                <w:sz w:val="16"/>
                <w:szCs w:val="16"/>
              </w:rPr>
              <w:t>(1,014)</w:t>
            </w:r>
          </w:p>
        </w:tc>
      </w:tr>
      <w:tr w:rsidR="004339FE" w:rsidRPr="006A6808" w14:paraId="3CBE5292" w14:textId="77777777" w:rsidTr="00EF5AA2">
        <w:trPr>
          <w:trHeight w:val="204"/>
        </w:trPr>
        <w:tc>
          <w:tcPr>
            <w:tcW w:w="3119" w:type="dxa"/>
            <w:tcBorders>
              <w:top w:val="nil"/>
              <w:left w:val="nil"/>
              <w:bottom w:val="single" w:sz="4" w:space="0" w:color="auto"/>
              <w:right w:val="nil"/>
            </w:tcBorders>
            <w:shd w:val="clear" w:color="auto" w:fill="auto"/>
            <w:noWrap/>
            <w:hideMark/>
          </w:tcPr>
          <w:p w14:paraId="21BC8095" w14:textId="77777777" w:rsidR="004339FE" w:rsidRPr="006A6808" w:rsidRDefault="004339FE" w:rsidP="004339FE">
            <w:pPr>
              <w:spacing w:after="0" w:line="240" w:lineRule="auto"/>
              <w:jc w:val="left"/>
              <w:rPr>
                <w:rFonts w:ascii="Arial" w:hAnsi="Arial" w:cs="Arial"/>
                <w:b/>
                <w:bCs/>
                <w:sz w:val="16"/>
                <w:szCs w:val="16"/>
              </w:rPr>
            </w:pPr>
            <w:r w:rsidRPr="006A6808">
              <w:rPr>
                <w:rFonts w:ascii="Arial" w:hAnsi="Arial" w:cs="Arial"/>
                <w:b/>
                <w:bCs/>
                <w:sz w:val="16"/>
                <w:szCs w:val="16"/>
              </w:rPr>
              <w:t>Closing net book balance</w:t>
            </w:r>
          </w:p>
        </w:tc>
        <w:tc>
          <w:tcPr>
            <w:tcW w:w="996" w:type="dxa"/>
            <w:tcBorders>
              <w:top w:val="single" w:sz="4" w:space="0" w:color="auto"/>
              <w:left w:val="nil"/>
              <w:bottom w:val="single" w:sz="4" w:space="0" w:color="auto"/>
              <w:right w:val="nil"/>
            </w:tcBorders>
            <w:shd w:val="clear" w:color="auto" w:fill="auto"/>
            <w:noWrap/>
            <w:vAlign w:val="bottom"/>
            <w:hideMark/>
          </w:tcPr>
          <w:p w14:paraId="579DA1FA" w14:textId="3386335D" w:rsidR="004339FE" w:rsidRPr="009E77AC" w:rsidRDefault="004339FE" w:rsidP="004339FE">
            <w:pPr>
              <w:spacing w:after="0" w:line="240" w:lineRule="auto"/>
              <w:jc w:val="right"/>
              <w:rPr>
                <w:rFonts w:ascii="Arial" w:hAnsi="Arial" w:cs="Arial"/>
                <w:b/>
                <w:bCs/>
                <w:sz w:val="16"/>
                <w:szCs w:val="16"/>
              </w:rPr>
            </w:pPr>
            <w:r>
              <w:rPr>
                <w:rFonts w:ascii="Arial" w:hAnsi="Arial" w:cs="Arial"/>
                <w:b/>
                <w:bCs/>
                <w:sz w:val="16"/>
                <w:szCs w:val="16"/>
              </w:rPr>
              <w:t>15,998</w:t>
            </w:r>
          </w:p>
        </w:tc>
        <w:tc>
          <w:tcPr>
            <w:tcW w:w="1018" w:type="dxa"/>
            <w:tcBorders>
              <w:top w:val="single" w:sz="4" w:space="0" w:color="auto"/>
              <w:left w:val="nil"/>
              <w:bottom w:val="single" w:sz="4" w:space="0" w:color="auto"/>
              <w:right w:val="nil"/>
            </w:tcBorders>
            <w:shd w:val="clear" w:color="auto" w:fill="auto"/>
            <w:noWrap/>
            <w:vAlign w:val="bottom"/>
            <w:hideMark/>
          </w:tcPr>
          <w:p w14:paraId="555BE975" w14:textId="3E6D35CD" w:rsidR="004339FE" w:rsidRPr="009E77AC" w:rsidRDefault="004339FE" w:rsidP="004339FE">
            <w:pPr>
              <w:spacing w:after="0" w:line="240" w:lineRule="auto"/>
              <w:jc w:val="right"/>
              <w:rPr>
                <w:rFonts w:ascii="Arial" w:hAnsi="Arial" w:cs="Arial"/>
                <w:b/>
                <w:bCs/>
                <w:sz w:val="16"/>
                <w:szCs w:val="16"/>
              </w:rPr>
            </w:pPr>
            <w:r>
              <w:rPr>
                <w:rFonts w:ascii="Arial" w:hAnsi="Arial" w:cs="Arial"/>
                <w:b/>
                <w:bCs/>
                <w:sz w:val="16"/>
                <w:szCs w:val="16"/>
              </w:rPr>
              <w:t>1,975</w:t>
            </w:r>
          </w:p>
        </w:tc>
        <w:tc>
          <w:tcPr>
            <w:tcW w:w="825" w:type="dxa"/>
            <w:tcBorders>
              <w:top w:val="single" w:sz="4" w:space="0" w:color="auto"/>
              <w:left w:val="nil"/>
              <w:bottom w:val="single" w:sz="4" w:space="0" w:color="auto"/>
              <w:right w:val="nil"/>
            </w:tcBorders>
            <w:shd w:val="clear" w:color="auto" w:fill="auto"/>
            <w:noWrap/>
            <w:vAlign w:val="bottom"/>
            <w:hideMark/>
          </w:tcPr>
          <w:p w14:paraId="42180E16" w14:textId="7EB5CA18" w:rsidR="004339FE" w:rsidRPr="009E77AC" w:rsidRDefault="004339FE" w:rsidP="004339FE">
            <w:pPr>
              <w:spacing w:after="0" w:line="240" w:lineRule="auto"/>
              <w:jc w:val="right"/>
              <w:rPr>
                <w:rFonts w:ascii="Arial" w:hAnsi="Arial" w:cs="Arial"/>
                <w:b/>
                <w:bCs/>
                <w:sz w:val="16"/>
                <w:szCs w:val="16"/>
              </w:rPr>
            </w:pPr>
            <w:r>
              <w:rPr>
                <w:rFonts w:ascii="Arial" w:hAnsi="Arial" w:cs="Arial"/>
                <w:b/>
                <w:bCs/>
                <w:sz w:val="16"/>
                <w:szCs w:val="16"/>
              </w:rPr>
              <w:t>218</w:t>
            </w:r>
          </w:p>
        </w:tc>
        <w:tc>
          <w:tcPr>
            <w:tcW w:w="981" w:type="dxa"/>
            <w:tcBorders>
              <w:top w:val="single" w:sz="4" w:space="0" w:color="auto"/>
              <w:left w:val="nil"/>
              <w:bottom w:val="single" w:sz="4" w:space="0" w:color="auto"/>
              <w:right w:val="nil"/>
            </w:tcBorders>
            <w:shd w:val="clear" w:color="auto" w:fill="auto"/>
            <w:noWrap/>
            <w:vAlign w:val="bottom"/>
            <w:hideMark/>
          </w:tcPr>
          <w:p w14:paraId="2FE14101" w14:textId="1F16E5A5" w:rsidR="004339FE" w:rsidRPr="009E77AC" w:rsidRDefault="004339FE" w:rsidP="004339FE">
            <w:pPr>
              <w:spacing w:after="0" w:line="240" w:lineRule="auto"/>
              <w:jc w:val="right"/>
              <w:rPr>
                <w:rFonts w:ascii="Arial" w:hAnsi="Arial" w:cs="Arial"/>
                <w:b/>
                <w:bCs/>
                <w:sz w:val="16"/>
                <w:szCs w:val="16"/>
              </w:rPr>
            </w:pPr>
            <w:r>
              <w:rPr>
                <w:rFonts w:ascii="Arial" w:hAnsi="Arial" w:cs="Arial"/>
                <w:b/>
                <w:bCs/>
                <w:sz w:val="16"/>
                <w:szCs w:val="16"/>
              </w:rPr>
              <w:t>3,231</w:t>
            </w:r>
          </w:p>
        </w:tc>
        <w:tc>
          <w:tcPr>
            <w:tcW w:w="831" w:type="dxa"/>
            <w:tcBorders>
              <w:top w:val="single" w:sz="4" w:space="0" w:color="auto"/>
              <w:left w:val="nil"/>
              <w:bottom w:val="single" w:sz="4" w:space="0" w:color="auto"/>
              <w:right w:val="nil"/>
            </w:tcBorders>
            <w:shd w:val="clear" w:color="auto" w:fill="auto"/>
            <w:noWrap/>
            <w:vAlign w:val="bottom"/>
            <w:hideMark/>
          </w:tcPr>
          <w:p w14:paraId="6F878320" w14:textId="4C74A636" w:rsidR="004339FE" w:rsidRPr="009E77AC" w:rsidRDefault="004339FE" w:rsidP="004339FE">
            <w:pPr>
              <w:spacing w:after="0" w:line="240" w:lineRule="auto"/>
              <w:jc w:val="right"/>
              <w:rPr>
                <w:rFonts w:ascii="Arial" w:hAnsi="Arial" w:cs="Arial"/>
                <w:b/>
                <w:bCs/>
                <w:sz w:val="16"/>
                <w:szCs w:val="16"/>
              </w:rPr>
            </w:pPr>
            <w:r>
              <w:rPr>
                <w:rFonts w:ascii="Arial" w:hAnsi="Arial" w:cs="Arial"/>
                <w:b/>
                <w:bCs/>
                <w:sz w:val="16"/>
                <w:szCs w:val="16"/>
              </w:rPr>
              <w:t>21,422</w:t>
            </w:r>
          </w:p>
        </w:tc>
      </w:tr>
    </w:tbl>
    <w:p w14:paraId="6FA7F5CF" w14:textId="77777777" w:rsidR="00D129D0" w:rsidRPr="00D129D0" w:rsidRDefault="00D129D0" w:rsidP="0002571F">
      <w:pPr>
        <w:spacing w:before="60" w:after="0" w:line="240" w:lineRule="auto"/>
        <w:jc w:val="left"/>
        <w:rPr>
          <w:rFonts w:ascii="Arial" w:hAnsi="Arial" w:cs="Arial"/>
          <w:sz w:val="16"/>
          <w:lang w:val="en-US"/>
        </w:rPr>
      </w:pPr>
      <w:r w:rsidRPr="00D129D0">
        <w:rPr>
          <w:rFonts w:ascii="Arial" w:hAnsi="Arial" w:cs="Arial"/>
          <w:sz w:val="16"/>
          <w:lang w:val="en-US"/>
        </w:rPr>
        <w:t>Prepared on Australian Accounting Standards basis.</w:t>
      </w:r>
    </w:p>
    <w:p w14:paraId="6473C6D2" w14:textId="0FDBA5E0" w:rsidR="00914885" w:rsidRPr="002D7AAB" w:rsidRDefault="00D129D0" w:rsidP="0002571F">
      <w:pPr>
        <w:pStyle w:val="ListParagraph"/>
        <w:numPr>
          <w:ilvl w:val="0"/>
          <w:numId w:val="64"/>
        </w:numPr>
        <w:spacing w:after="0" w:line="240" w:lineRule="auto"/>
        <w:ind w:left="284" w:hanging="284"/>
        <w:rPr>
          <w:rFonts w:ascii="Arial" w:hAnsi="Arial" w:cs="Arial"/>
          <w:sz w:val="16"/>
        </w:rPr>
      </w:pPr>
      <w:r w:rsidRPr="002D7AAB">
        <w:rPr>
          <w:rFonts w:ascii="Arial" w:hAnsi="Arial" w:cs="Arial"/>
          <w:sz w:val="16"/>
        </w:rPr>
        <w:t>‘Appropriation ordinary annual services’ refers to funding provided through Appropriation Act (No. 1) 2021</w:t>
      </w:r>
      <w:r w:rsidR="007F2AA3">
        <w:rPr>
          <w:rFonts w:ascii="Arial" w:hAnsi="Arial" w:cs="Arial"/>
          <w:sz w:val="16"/>
        </w:rPr>
        <w:t>-22 and Bill (No. 3) 2021</w:t>
      </w:r>
      <w:r w:rsidRPr="002D7AAB">
        <w:rPr>
          <w:rFonts w:ascii="Arial" w:hAnsi="Arial" w:cs="Arial"/>
          <w:sz w:val="16"/>
        </w:rPr>
        <w:t>–2</w:t>
      </w:r>
      <w:r w:rsidR="007F2AA3">
        <w:rPr>
          <w:rFonts w:ascii="Arial" w:hAnsi="Arial" w:cs="Arial"/>
          <w:sz w:val="16"/>
        </w:rPr>
        <w:t>2</w:t>
      </w:r>
      <w:r w:rsidRPr="002D7AAB">
        <w:rPr>
          <w:rFonts w:ascii="Arial" w:hAnsi="Arial" w:cs="Arial"/>
          <w:sz w:val="16"/>
        </w:rPr>
        <w:t xml:space="preserve"> for DCBs.</w:t>
      </w:r>
    </w:p>
    <w:p w14:paraId="22F8864E" w14:textId="77777777" w:rsidR="00914885" w:rsidRDefault="00914885" w:rsidP="00914885">
      <w:pPr>
        <w:rPr>
          <w:lang w:val="x-none"/>
        </w:rPr>
      </w:pPr>
    </w:p>
    <w:p w14:paraId="334528F7" w14:textId="77777777" w:rsidR="00914885" w:rsidRPr="00BA015C" w:rsidRDefault="00914885" w:rsidP="00914885">
      <w:pPr>
        <w:rPr>
          <w:lang w:val="x-none"/>
        </w:rPr>
        <w:sectPr w:rsidR="00914885" w:rsidRPr="00BA015C" w:rsidSect="00177B65">
          <w:headerReference w:type="even" r:id="rId91"/>
          <w:headerReference w:type="default" r:id="rId92"/>
          <w:footerReference w:type="even" r:id="rId93"/>
          <w:footerReference w:type="default" r:id="rId94"/>
          <w:headerReference w:type="first" r:id="rId95"/>
          <w:footerReference w:type="first" r:id="rId96"/>
          <w:type w:val="oddPage"/>
          <w:pgSz w:w="11907" w:h="16840" w:code="9"/>
          <w:pgMar w:top="2466" w:right="2098" w:bottom="2466" w:left="2098" w:header="1814" w:footer="1814" w:gutter="0"/>
          <w:cols w:space="708"/>
          <w:titlePg/>
          <w:docGrid w:linePitch="360"/>
        </w:sectPr>
      </w:pPr>
    </w:p>
    <w:p w14:paraId="680C3E45" w14:textId="77777777" w:rsidR="00914885" w:rsidRDefault="00914885" w:rsidP="00914885">
      <w:pPr>
        <w:pStyle w:val="TableHeading"/>
        <w:spacing w:before="0"/>
        <w:rPr>
          <w:lang w:val="en-AU"/>
        </w:rPr>
      </w:pPr>
      <w:r>
        <w:rPr>
          <w:snapToGrid w:val="0"/>
        </w:rPr>
        <w:lastRenderedPageBreak/>
        <w:t xml:space="preserve">Table 3.8: </w:t>
      </w:r>
      <w:r w:rsidRPr="007463B7">
        <w:rPr>
          <w:snapToGrid w:val="0"/>
        </w:rPr>
        <w:t xml:space="preserve">Schedule of </w:t>
      </w:r>
      <w:r>
        <w:rPr>
          <w:snapToGrid w:val="0"/>
        </w:rPr>
        <w:t>b</w:t>
      </w:r>
      <w:r w:rsidRPr="007463B7">
        <w:rPr>
          <w:snapToGrid w:val="0"/>
        </w:rPr>
        <w:t xml:space="preserve">udgeted </w:t>
      </w:r>
      <w:r>
        <w:rPr>
          <w:snapToGrid w:val="0"/>
        </w:rPr>
        <w:t>i</w:t>
      </w:r>
      <w:r w:rsidRPr="007463B7">
        <w:rPr>
          <w:snapToGrid w:val="0"/>
        </w:rPr>
        <w:t xml:space="preserve">ncome and </w:t>
      </w:r>
      <w:r>
        <w:rPr>
          <w:snapToGrid w:val="0"/>
        </w:rPr>
        <w:t>e</w:t>
      </w:r>
      <w:r w:rsidRPr="007463B7">
        <w:rPr>
          <w:snapToGrid w:val="0"/>
        </w:rPr>
        <w:t xml:space="preserve">xpenses </w:t>
      </w:r>
      <w:r>
        <w:rPr>
          <w:snapToGrid w:val="0"/>
        </w:rPr>
        <w:t>a</w:t>
      </w:r>
      <w:r w:rsidRPr="007463B7">
        <w:rPr>
          <w:snapToGrid w:val="0"/>
        </w:rPr>
        <w:t xml:space="preserve">dministered on </w:t>
      </w:r>
      <w:r>
        <w:rPr>
          <w:snapToGrid w:val="0"/>
        </w:rPr>
        <w:t>b</w:t>
      </w:r>
      <w:r w:rsidRPr="007463B7">
        <w:rPr>
          <w:snapToGrid w:val="0"/>
        </w:rPr>
        <w:t>ehalf of</w:t>
      </w:r>
      <w:r>
        <w:rPr>
          <w:snapToGrid w:val="0"/>
        </w:rPr>
        <w:t xml:space="preserve"> G</w:t>
      </w:r>
      <w:r w:rsidRPr="007463B7">
        <w:rPr>
          <w:snapToGrid w:val="0"/>
        </w:rPr>
        <w:t>overnment (for the period ended 30 June)</w:t>
      </w:r>
      <w:r w:rsidRPr="008D4221">
        <w:rPr>
          <w:b w:val="0"/>
          <w:snapToGrid w:val="0"/>
        </w:rPr>
        <w:t xml:space="preserve"> </w:t>
      </w:r>
    </w:p>
    <w:tbl>
      <w:tblPr>
        <w:tblW w:w="7590" w:type="dxa"/>
        <w:tblLook w:val="04A0" w:firstRow="1" w:lastRow="0" w:firstColumn="1" w:lastColumn="0" w:noHBand="0" w:noVBand="1"/>
      </w:tblPr>
      <w:tblGrid>
        <w:gridCol w:w="2835"/>
        <w:gridCol w:w="993"/>
        <w:gridCol w:w="850"/>
        <w:gridCol w:w="851"/>
        <w:gridCol w:w="992"/>
        <w:gridCol w:w="1069"/>
      </w:tblGrid>
      <w:tr w:rsidR="002367A2" w:rsidRPr="003B5F49" w14:paraId="258EAA34" w14:textId="77777777" w:rsidTr="002367A2">
        <w:trPr>
          <w:trHeight w:val="240"/>
        </w:trPr>
        <w:tc>
          <w:tcPr>
            <w:tcW w:w="2835" w:type="dxa"/>
            <w:tcBorders>
              <w:top w:val="single" w:sz="4" w:space="0" w:color="auto"/>
              <w:left w:val="nil"/>
              <w:bottom w:val="nil"/>
              <w:right w:val="nil"/>
            </w:tcBorders>
            <w:shd w:val="clear" w:color="auto" w:fill="auto"/>
            <w:noWrap/>
            <w:hideMark/>
          </w:tcPr>
          <w:p w14:paraId="48269C4C" w14:textId="77846E10" w:rsidR="002367A2" w:rsidRPr="003B5F49" w:rsidRDefault="002367A2" w:rsidP="002367A2">
            <w:pPr>
              <w:spacing w:after="0" w:line="240" w:lineRule="auto"/>
              <w:jc w:val="left"/>
              <w:rPr>
                <w:rFonts w:ascii="Arial" w:hAnsi="Arial" w:cs="Arial"/>
                <w:color w:val="000000"/>
                <w:sz w:val="16"/>
                <w:szCs w:val="16"/>
              </w:rPr>
            </w:pPr>
            <w:bookmarkStart w:id="469" w:name="RANGE!A3:F37"/>
            <w:r w:rsidRPr="003B5F49">
              <w:rPr>
                <w:rFonts w:ascii="Arial" w:hAnsi="Arial" w:cs="Arial"/>
                <w:color w:val="000000"/>
                <w:sz w:val="16"/>
                <w:szCs w:val="16"/>
              </w:rPr>
              <w:t> </w:t>
            </w:r>
            <w:bookmarkEnd w:id="469"/>
          </w:p>
        </w:tc>
        <w:tc>
          <w:tcPr>
            <w:tcW w:w="993" w:type="dxa"/>
            <w:tcBorders>
              <w:top w:val="single" w:sz="4" w:space="0" w:color="auto"/>
              <w:left w:val="nil"/>
              <w:bottom w:val="single" w:sz="4" w:space="0" w:color="auto"/>
              <w:right w:val="nil"/>
            </w:tcBorders>
            <w:shd w:val="clear" w:color="auto" w:fill="auto"/>
            <w:hideMark/>
          </w:tcPr>
          <w:p w14:paraId="0C46E512" w14:textId="35DA3937"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2020-21 Actual</w:t>
            </w:r>
            <w:r w:rsidRPr="004349E0">
              <w:rPr>
                <w:rFonts w:ascii="Arial" w:hAnsi="Arial" w:cs="Arial"/>
                <w:sz w:val="16"/>
                <w:szCs w:val="16"/>
              </w:rPr>
              <w:br/>
            </w:r>
            <w:r w:rsidRPr="004349E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000000" w:fill="E6E6E6"/>
            <w:hideMark/>
          </w:tcPr>
          <w:p w14:paraId="16CE8A0E" w14:textId="7B868A2B"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2021-22</w:t>
            </w:r>
            <w:r w:rsidRPr="004349E0">
              <w:rPr>
                <w:rFonts w:ascii="Arial" w:hAnsi="Arial" w:cs="Arial"/>
                <w:sz w:val="16"/>
                <w:szCs w:val="16"/>
              </w:rPr>
              <w:br/>
              <w:t>Revised Budget</w:t>
            </w:r>
            <w:r w:rsidRPr="004349E0">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hideMark/>
          </w:tcPr>
          <w:p w14:paraId="0C92FC80" w14:textId="1AE89301"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2022-23 Forward estimate</w:t>
            </w:r>
            <w:r w:rsidRPr="004349E0">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hideMark/>
          </w:tcPr>
          <w:p w14:paraId="7DED83ED" w14:textId="5C2CE760"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2023-24 Forward estimate</w:t>
            </w:r>
            <w:r w:rsidRPr="004349E0">
              <w:rPr>
                <w:rFonts w:ascii="Arial" w:hAnsi="Arial" w:cs="Arial"/>
                <w:sz w:val="16"/>
                <w:szCs w:val="16"/>
              </w:rPr>
              <w:br/>
              <w:t>$'000</w:t>
            </w:r>
          </w:p>
        </w:tc>
        <w:tc>
          <w:tcPr>
            <w:tcW w:w="1069" w:type="dxa"/>
            <w:tcBorders>
              <w:top w:val="single" w:sz="4" w:space="0" w:color="auto"/>
              <w:left w:val="nil"/>
              <w:bottom w:val="single" w:sz="4" w:space="0" w:color="auto"/>
              <w:right w:val="nil"/>
            </w:tcBorders>
            <w:shd w:val="clear" w:color="auto" w:fill="auto"/>
            <w:hideMark/>
          </w:tcPr>
          <w:p w14:paraId="1BEB1B9A" w14:textId="6022CDBC"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2024-25</w:t>
            </w:r>
            <w:r w:rsidRPr="004349E0">
              <w:rPr>
                <w:rFonts w:ascii="Arial" w:hAnsi="Arial" w:cs="Arial"/>
                <w:sz w:val="16"/>
                <w:szCs w:val="16"/>
              </w:rPr>
              <w:br/>
              <w:t>Forward estimate</w:t>
            </w:r>
            <w:r w:rsidRPr="004349E0">
              <w:rPr>
                <w:rFonts w:ascii="Arial" w:hAnsi="Arial" w:cs="Arial"/>
                <w:sz w:val="16"/>
                <w:szCs w:val="16"/>
              </w:rPr>
              <w:br/>
              <w:t>$'000</w:t>
            </w:r>
          </w:p>
        </w:tc>
      </w:tr>
      <w:tr w:rsidR="003B5F49" w:rsidRPr="003B5F49" w14:paraId="122B9389" w14:textId="77777777" w:rsidTr="002367A2">
        <w:trPr>
          <w:trHeight w:val="204"/>
        </w:trPr>
        <w:tc>
          <w:tcPr>
            <w:tcW w:w="2835" w:type="dxa"/>
            <w:tcBorders>
              <w:top w:val="nil"/>
              <w:left w:val="nil"/>
              <w:bottom w:val="nil"/>
              <w:right w:val="nil"/>
            </w:tcBorders>
            <w:shd w:val="clear" w:color="auto" w:fill="auto"/>
            <w:hideMark/>
          </w:tcPr>
          <w:p w14:paraId="454592A0"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EXPENSES ADMINISTERED ON BEHALF OF GOVERNMENT</w:t>
            </w:r>
          </w:p>
        </w:tc>
        <w:tc>
          <w:tcPr>
            <w:tcW w:w="993" w:type="dxa"/>
            <w:tcBorders>
              <w:top w:val="nil"/>
              <w:left w:val="nil"/>
              <w:bottom w:val="nil"/>
              <w:right w:val="nil"/>
            </w:tcBorders>
            <w:shd w:val="clear" w:color="auto" w:fill="auto"/>
            <w:noWrap/>
            <w:vAlign w:val="bottom"/>
            <w:hideMark/>
          </w:tcPr>
          <w:p w14:paraId="1916E47C" w14:textId="77777777" w:rsidR="003B5F49" w:rsidRPr="003B5F49" w:rsidRDefault="003B5F49" w:rsidP="006E44FE">
            <w:pPr>
              <w:spacing w:after="0" w:line="240" w:lineRule="auto"/>
              <w:jc w:val="right"/>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1E483327" w14:textId="25906D34" w:rsidR="003B5F49" w:rsidRPr="003B5F49" w:rsidRDefault="003B5F49" w:rsidP="006E44FE">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14:paraId="52DF2B4B" w14:textId="77777777" w:rsidR="003B5F49" w:rsidRPr="003B5F49" w:rsidRDefault="003B5F49" w:rsidP="006E44FE">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568CCB10" w14:textId="77777777" w:rsidR="003B5F49" w:rsidRPr="003B5F49" w:rsidRDefault="003B5F49" w:rsidP="006E44FE">
            <w:pPr>
              <w:spacing w:after="0" w:line="240" w:lineRule="auto"/>
              <w:jc w:val="right"/>
              <w:rPr>
                <w:rFonts w:ascii="Times New Roman" w:hAnsi="Times New Roman"/>
              </w:rPr>
            </w:pPr>
          </w:p>
        </w:tc>
        <w:tc>
          <w:tcPr>
            <w:tcW w:w="1069" w:type="dxa"/>
            <w:tcBorders>
              <w:top w:val="nil"/>
              <w:left w:val="nil"/>
              <w:bottom w:val="nil"/>
              <w:right w:val="nil"/>
            </w:tcBorders>
            <w:shd w:val="clear" w:color="auto" w:fill="auto"/>
            <w:noWrap/>
            <w:vAlign w:val="bottom"/>
            <w:hideMark/>
          </w:tcPr>
          <w:p w14:paraId="72571773" w14:textId="77777777" w:rsidR="003B5F49" w:rsidRPr="003B5F49" w:rsidRDefault="003B5F49" w:rsidP="006E44FE">
            <w:pPr>
              <w:spacing w:after="0" w:line="240" w:lineRule="auto"/>
              <w:jc w:val="right"/>
              <w:rPr>
                <w:rFonts w:ascii="Times New Roman" w:hAnsi="Times New Roman"/>
              </w:rPr>
            </w:pPr>
          </w:p>
        </w:tc>
      </w:tr>
      <w:tr w:rsidR="003B5F49" w:rsidRPr="003B5F49" w14:paraId="79DEB2AF" w14:textId="77777777" w:rsidTr="002367A2">
        <w:trPr>
          <w:trHeight w:val="204"/>
        </w:trPr>
        <w:tc>
          <w:tcPr>
            <w:tcW w:w="2835" w:type="dxa"/>
            <w:tcBorders>
              <w:top w:val="nil"/>
              <w:left w:val="nil"/>
              <w:bottom w:val="nil"/>
              <w:right w:val="nil"/>
            </w:tcBorders>
            <w:shd w:val="clear" w:color="auto" w:fill="auto"/>
            <w:noWrap/>
            <w:hideMark/>
          </w:tcPr>
          <w:p w14:paraId="2CC7B2E1" w14:textId="77777777" w:rsidR="003B5F49" w:rsidRPr="003B5F49" w:rsidRDefault="003B5F49" w:rsidP="006E44FE">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Supplier expenses</w:t>
            </w:r>
          </w:p>
        </w:tc>
        <w:tc>
          <w:tcPr>
            <w:tcW w:w="993" w:type="dxa"/>
            <w:tcBorders>
              <w:top w:val="nil"/>
              <w:left w:val="nil"/>
              <w:bottom w:val="nil"/>
              <w:right w:val="nil"/>
            </w:tcBorders>
            <w:shd w:val="clear" w:color="auto" w:fill="auto"/>
            <w:noWrap/>
            <w:vAlign w:val="bottom"/>
            <w:hideMark/>
          </w:tcPr>
          <w:p w14:paraId="04263FDA" w14:textId="30BA2B86"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16,044</w:t>
            </w:r>
          </w:p>
        </w:tc>
        <w:tc>
          <w:tcPr>
            <w:tcW w:w="850" w:type="dxa"/>
            <w:tcBorders>
              <w:top w:val="nil"/>
              <w:left w:val="nil"/>
              <w:bottom w:val="nil"/>
              <w:right w:val="nil"/>
            </w:tcBorders>
            <w:shd w:val="clear" w:color="000000" w:fill="E6E6E6"/>
            <w:noWrap/>
            <w:vAlign w:val="bottom"/>
            <w:hideMark/>
          </w:tcPr>
          <w:p w14:paraId="4A6C4711" w14:textId="71248007"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18,115</w:t>
            </w:r>
          </w:p>
        </w:tc>
        <w:tc>
          <w:tcPr>
            <w:tcW w:w="851" w:type="dxa"/>
            <w:tcBorders>
              <w:top w:val="nil"/>
              <w:left w:val="nil"/>
              <w:bottom w:val="nil"/>
              <w:right w:val="nil"/>
            </w:tcBorders>
            <w:shd w:val="clear" w:color="auto" w:fill="auto"/>
            <w:noWrap/>
            <w:vAlign w:val="bottom"/>
            <w:hideMark/>
          </w:tcPr>
          <w:p w14:paraId="36EF2BD8" w14:textId="20509045"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17,149</w:t>
            </w:r>
          </w:p>
        </w:tc>
        <w:tc>
          <w:tcPr>
            <w:tcW w:w="992" w:type="dxa"/>
            <w:tcBorders>
              <w:top w:val="nil"/>
              <w:left w:val="nil"/>
              <w:bottom w:val="nil"/>
              <w:right w:val="nil"/>
            </w:tcBorders>
            <w:shd w:val="clear" w:color="auto" w:fill="auto"/>
            <w:noWrap/>
            <w:vAlign w:val="bottom"/>
            <w:hideMark/>
          </w:tcPr>
          <w:p w14:paraId="1071E10D" w14:textId="4DBB6721"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18,195</w:t>
            </w:r>
          </w:p>
        </w:tc>
        <w:tc>
          <w:tcPr>
            <w:tcW w:w="1069" w:type="dxa"/>
            <w:tcBorders>
              <w:top w:val="nil"/>
              <w:left w:val="nil"/>
              <w:bottom w:val="nil"/>
              <w:right w:val="nil"/>
            </w:tcBorders>
            <w:shd w:val="clear" w:color="auto" w:fill="auto"/>
            <w:noWrap/>
            <w:vAlign w:val="bottom"/>
            <w:hideMark/>
          </w:tcPr>
          <w:p w14:paraId="7BD3728E" w14:textId="29704271"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19,587</w:t>
            </w:r>
          </w:p>
        </w:tc>
      </w:tr>
      <w:tr w:rsidR="003B5F49" w:rsidRPr="003B5F49" w14:paraId="1FEA0E7C" w14:textId="77777777" w:rsidTr="002367A2">
        <w:trPr>
          <w:trHeight w:val="204"/>
        </w:trPr>
        <w:tc>
          <w:tcPr>
            <w:tcW w:w="2835" w:type="dxa"/>
            <w:tcBorders>
              <w:top w:val="nil"/>
              <w:left w:val="nil"/>
              <w:bottom w:val="nil"/>
              <w:right w:val="nil"/>
            </w:tcBorders>
            <w:shd w:val="clear" w:color="auto" w:fill="auto"/>
            <w:noWrap/>
            <w:hideMark/>
          </w:tcPr>
          <w:p w14:paraId="6F79E293" w14:textId="77777777" w:rsidR="003B5F49" w:rsidRPr="003B5F49" w:rsidRDefault="003B5F49" w:rsidP="006E44FE">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Depreciation and amortisation</w:t>
            </w:r>
          </w:p>
        </w:tc>
        <w:tc>
          <w:tcPr>
            <w:tcW w:w="993" w:type="dxa"/>
            <w:tcBorders>
              <w:top w:val="nil"/>
              <w:left w:val="nil"/>
              <w:bottom w:val="nil"/>
              <w:right w:val="nil"/>
            </w:tcBorders>
            <w:shd w:val="clear" w:color="auto" w:fill="auto"/>
            <w:noWrap/>
            <w:vAlign w:val="bottom"/>
            <w:hideMark/>
          </w:tcPr>
          <w:p w14:paraId="31F61D1C" w14:textId="52B1C0A4"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22,764</w:t>
            </w:r>
          </w:p>
        </w:tc>
        <w:tc>
          <w:tcPr>
            <w:tcW w:w="850" w:type="dxa"/>
            <w:tcBorders>
              <w:top w:val="nil"/>
              <w:left w:val="nil"/>
              <w:bottom w:val="nil"/>
              <w:right w:val="nil"/>
            </w:tcBorders>
            <w:shd w:val="clear" w:color="000000" w:fill="E6E6E6"/>
            <w:noWrap/>
            <w:vAlign w:val="bottom"/>
            <w:hideMark/>
          </w:tcPr>
          <w:p w14:paraId="49C790D1" w14:textId="08383A62"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24,678</w:t>
            </w:r>
          </w:p>
        </w:tc>
        <w:tc>
          <w:tcPr>
            <w:tcW w:w="851" w:type="dxa"/>
            <w:tcBorders>
              <w:top w:val="nil"/>
              <w:left w:val="nil"/>
              <w:bottom w:val="nil"/>
              <w:right w:val="nil"/>
            </w:tcBorders>
            <w:shd w:val="clear" w:color="auto" w:fill="auto"/>
            <w:noWrap/>
            <w:vAlign w:val="bottom"/>
            <w:hideMark/>
          </w:tcPr>
          <w:p w14:paraId="080B6D02" w14:textId="70247D2B"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24,592</w:t>
            </w:r>
          </w:p>
        </w:tc>
        <w:tc>
          <w:tcPr>
            <w:tcW w:w="992" w:type="dxa"/>
            <w:tcBorders>
              <w:top w:val="nil"/>
              <w:left w:val="nil"/>
              <w:bottom w:val="nil"/>
              <w:right w:val="nil"/>
            </w:tcBorders>
            <w:shd w:val="clear" w:color="auto" w:fill="auto"/>
            <w:noWrap/>
            <w:vAlign w:val="bottom"/>
            <w:hideMark/>
          </w:tcPr>
          <w:p w14:paraId="3961995A" w14:textId="42E2C3F8"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24,647</w:t>
            </w:r>
          </w:p>
        </w:tc>
        <w:tc>
          <w:tcPr>
            <w:tcW w:w="1069" w:type="dxa"/>
            <w:tcBorders>
              <w:top w:val="nil"/>
              <w:left w:val="nil"/>
              <w:bottom w:val="nil"/>
              <w:right w:val="nil"/>
            </w:tcBorders>
            <w:shd w:val="clear" w:color="auto" w:fill="auto"/>
            <w:noWrap/>
            <w:vAlign w:val="bottom"/>
            <w:hideMark/>
          </w:tcPr>
          <w:p w14:paraId="7044F14D" w14:textId="1084E9EC"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24,647</w:t>
            </w:r>
          </w:p>
        </w:tc>
      </w:tr>
      <w:tr w:rsidR="003B5F49" w:rsidRPr="003B5F49" w14:paraId="7799C500" w14:textId="77777777" w:rsidTr="002367A2">
        <w:trPr>
          <w:trHeight w:val="204"/>
        </w:trPr>
        <w:tc>
          <w:tcPr>
            <w:tcW w:w="2835" w:type="dxa"/>
            <w:tcBorders>
              <w:top w:val="nil"/>
              <w:left w:val="nil"/>
              <w:bottom w:val="nil"/>
              <w:right w:val="nil"/>
            </w:tcBorders>
            <w:shd w:val="clear" w:color="auto" w:fill="auto"/>
            <w:noWrap/>
            <w:hideMark/>
          </w:tcPr>
          <w:p w14:paraId="713A7A18" w14:textId="77777777" w:rsidR="003B5F49" w:rsidRPr="003B5F49" w:rsidRDefault="003B5F49" w:rsidP="006E44FE">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Write-down and impairment of assets</w:t>
            </w:r>
          </w:p>
        </w:tc>
        <w:tc>
          <w:tcPr>
            <w:tcW w:w="993" w:type="dxa"/>
            <w:tcBorders>
              <w:top w:val="nil"/>
              <w:left w:val="nil"/>
              <w:bottom w:val="nil"/>
              <w:right w:val="nil"/>
            </w:tcBorders>
            <w:shd w:val="clear" w:color="auto" w:fill="auto"/>
            <w:noWrap/>
            <w:vAlign w:val="bottom"/>
            <w:hideMark/>
          </w:tcPr>
          <w:p w14:paraId="6B6ADCC2" w14:textId="560EBAA1"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2,893</w:t>
            </w:r>
          </w:p>
        </w:tc>
        <w:tc>
          <w:tcPr>
            <w:tcW w:w="850" w:type="dxa"/>
            <w:tcBorders>
              <w:top w:val="nil"/>
              <w:left w:val="nil"/>
              <w:bottom w:val="nil"/>
              <w:right w:val="nil"/>
            </w:tcBorders>
            <w:shd w:val="clear" w:color="000000" w:fill="E6E6E6"/>
            <w:noWrap/>
            <w:vAlign w:val="bottom"/>
            <w:hideMark/>
          </w:tcPr>
          <w:p w14:paraId="7DA3E9FF" w14:textId="0E1A9FAA"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2,000</w:t>
            </w:r>
          </w:p>
        </w:tc>
        <w:tc>
          <w:tcPr>
            <w:tcW w:w="851" w:type="dxa"/>
            <w:tcBorders>
              <w:top w:val="nil"/>
              <w:left w:val="nil"/>
              <w:bottom w:val="nil"/>
              <w:right w:val="nil"/>
            </w:tcBorders>
            <w:shd w:val="clear" w:color="auto" w:fill="auto"/>
            <w:noWrap/>
            <w:vAlign w:val="bottom"/>
            <w:hideMark/>
          </w:tcPr>
          <w:p w14:paraId="1454CEA8" w14:textId="2E6BE2D3"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2,000</w:t>
            </w:r>
          </w:p>
        </w:tc>
        <w:tc>
          <w:tcPr>
            <w:tcW w:w="992" w:type="dxa"/>
            <w:tcBorders>
              <w:top w:val="nil"/>
              <w:left w:val="nil"/>
              <w:bottom w:val="nil"/>
              <w:right w:val="nil"/>
            </w:tcBorders>
            <w:shd w:val="clear" w:color="auto" w:fill="auto"/>
            <w:noWrap/>
            <w:vAlign w:val="bottom"/>
            <w:hideMark/>
          </w:tcPr>
          <w:p w14:paraId="1488AF9E" w14:textId="7BE9769D"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2,000</w:t>
            </w:r>
          </w:p>
        </w:tc>
        <w:tc>
          <w:tcPr>
            <w:tcW w:w="1069" w:type="dxa"/>
            <w:tcBorders>
              <w:top w:val="nil"/>
              <w:left w:val="nil"/>
              <w:bottom w:val="nil"/>
              <w:right w:val="nil"/>
            </w:tcBorders>
            <w:shd w:val="clear" w:color="auto" w:fill="auto"/>
            <w:noWrap/>
            <w:vAlign w:val="bottom"/>
            <w:hideMark/>
          </w:tcPr>
          <w:p w14:paraId="5AC5F6CC" w14:textId="46786D8E"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2,000</w:t>
            </w:r>
          </w:p>
        </w:tc>
      </w:tr>
      <w:tr w:rsidR="003B5F49" w:rsidRPr="003B5F49" w14:paraId="2955266B" w14:textId="77777777" w:rsidTr="002367A2">
        <w:trPr>
          <w:trHeight w:val="204"/>
        </w:trPr>
        <w:tc>
          <w:tcPr>
            <w:tcW w:w="2835" w:type="dxa"/>
            <w:tcBorders>
              <w:top w:val="nil"/>
              <w:left w:val="nil"/>
              <w:bottom w:val="nil"/>
              <w:right w:val="nil"/>
            </w:tcBorders>
            <w:shd w:val="clear" w:color="auto" w:fill="auto"/>
            <w:hideMark/>
          </w:tcPr>
          <w:p w14:paraId="6127897C"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Total expenses administered on behalf of Government</w:t>
            </w:r>
          </w:p>
        </w:tc>
        <w:tc>
          <w:tcPr>
            <w:tcW w:w="993" w:type="dxa"/>
            <w:tcBorders>
              <w:top w:val="single" w:sz="4" w:space="0" w:color="auto"/>
              <w:left w:val="nil"/>
              <w:bottom w:val="single" w:sz="4" w:space="0" w:color="auto"/>
              <w:right w:val="nil"/>
            </w:tcBorders>
            <w:shd w:val="clear" w:color="auto" w:fill="auto"/>
            <w:noWrap/>
            <w:vAlign w:val="bottom"/>
            <w:hideMark/>
          </w:tcPr>
          <w:p w14:paraId="44D236E2" w14:textId="150FB8A1"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41,701</w:t>
            </w:r>
          </w:p>
        </w:tc>
        <w:tc>
          <w:tcPr>
            <w:tcW w:w="850" w:type="dxa"/>
            <w:tcBorders>
              <w:top w:val="single" w:sz="4" w:space="0" w:color="auto"/>
              <w:left w:val="nil"/>
              <w:bottom w:val="single" w:sz="4" w:space="0" w:color="auto"/>
              <w:right w:val="nil"/>
            </w:tcBorders>
            <w:shd w:val="clear" w:color="000000" w:fill="E6E6E6"/>
            <w:noWrap/>
            <w:vAlign w:val="bottom"/>
            <w:hideMark/>
          </w:tcPr>
          <w:p w14:paraId="4F9057F7" w14:textId="172ABC60"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44,793</w:t>
            </w:r>
          </w:p>
        </w:tc>
        <w:tc>
          <w:tcPr>
            <w:tcW w:w="851" w:type="dxa"/>
            <w:tcBorders>
              <w:top w:val="single" w:sz="4" w:space="0" w:color="auto"/>
              <w:left w:val="nil"/>
              <w:bottom w:val="single" w:sz="4" w:space="0" w:color="auto"/>
              <w:right w:val="nil"/>
            </w:tcBorders>
            <w:shd w:val="clear" w:color="auto" w:fill="auto"/>
            <w:noWrap/>
            <w:vAlign w:val="bottom"/>
            <w:hideMark/>
          </w:tcPr>
          <w:p w14:paraId="6F8B6CBA" w14:textId="5D897814"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43,741</w:t>
            </w:r>
          </w:p>
        </w:tc>
        <w:tc>
          <w:tcPr>
            <w:tcW w:w="992" w:type="dxa"/>
            <w:tcBorders>
              <w:top w:val="single" w:sz="4" w:space="0" w:color="auto"/>
              <w:left w:val="nil"/>
              <w:bottom w:val="single" w:sz="4" w:space="0" w:color="auto"/>
              <w:right w:val="nil"/>
            </w:tcBorders>
            <w:shd w:val="clear" w:color="auto" w:fill="auto"/>
            <w:noWrap/>
            <w:vAlign w:val="bottom"/>
            <w:hideMark/>
          </w:tcPr>
          <w:p w14:paraId="52D71F25" w14:textId="7DD082DC"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44,842</w:t>
            </w:r>
          </w:p>
        </w:tc>
        <w:tc>
          <w:tcPr>
            <w:tcW w:w="1069" w:type="dxa"/>
            <w:tcBorders>
              <w:top w:val="single" w:sz="4" w:space="0" w:color="auto"/>
              <w:left w:val="nil"/>
              <w:bottom w:val="single" w:sz="4" w:space="0" w:color="auto"/>
              <w:right w:val="nil"/>
            </w:tcBorders>
            <w:shd w:val="clear" w:color="auto" w:fill="auto"/>
            <w:noWrap/>
            <w:vAlign w:val="bottom"/>
            <w:hideMark/>
          </w:tcPr>
          <w:p w14:paraId="21D2A6C9" w14:textId="43392BD5"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46,234</w:t>
            </w:r>
          </w:p>
        </w:tc>
      </w:tr>
      <w:tr w:rsidR="003B5F49" w:rsidRPr="003B5F49" w14:paraId="434965C0" w14:textId="77777777" w:rsidTr="002367A2">
        <w:trPr>
          <w:trHeight w:val="204"/>
        </w:trPr>
        <w:tc>
          <w:tcPr>
            <w:tcW w:w="2835" w:type="dxa"/>
            <w:tcBorders>
              <w:top w:val="nil"/>
              <w:left w:val="nil"/>
              <w:bottom w:val="nil"/>
              <w:right w:val="nil"/>
            </w:tcBorders>
            <w:shd w:val="clear" w:color="auto" w:fill="auto"/>
            <w:noWrap/>
            <w:hideMark/>
          </w:tcPr>
          <w:p w14:paraId="42AF8F98"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LESS:</w:t>
            </w:r>
          </w:p>
        </w:tc>
        <w:tc>
          <w:tcPr>
            <w:tcW w:w="993" w:type="dxa"/>
            <w:tcBorders>
              <w:top w:val="nil"/>
              <w:left w:val="nil"/>
              <w:bottom w:val="nil"/>
              <w:right w:val="nil"/>
            </w:tcBorders>
            <w:shd w:val="clear" w:color="auto" w:fill="auto"/>
            <w:noWrap/>
            <w:vAlign w:val="bottom"/>
            <w:hideMark/>
          </w:tcPr>
          <w:p w14:paraId="642480F3" w14:textId="77777777" w:rsidR="003B5F49" w:rsidRPr="00245999" w:rsidRDefault="003B5F49" w:rsidP="006E44FE">
            <w:pPr>
              <w:spacing w:after="0" w:line="240" w:lineRule="auto"/>
              <w:jc w:val="right"/>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6773D619" w14:textId="0353523D" w:rsidR="003B5F49" w:rsidRPr="00245999" w:rsidRDefault="003B5F49" w:rsidP="006E44FE">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14:paraId="61E96588" w14:textId="77777777" w:rsidR="003B5F49" w:rsidRPr="00245999" w:rsidRDefault="003B5F49" w:rsidP="006E44FE">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51E8F430" w14:textId="77777777" w:rsidR="003B5F49" w:rsidRPr="00245999" w:rsidRDefault="003B5F49" w:rsidP="006E44FE">
            <w:pPr>
              <w:spacing w:after="0" w:line="240" w:lineRule="auto"/>
              <w:jc w:val="right"/>
              <w:rPr>
                <w:rFonts w:ascii="Times New Roman" w:hAnsi="Times New Roman"/>
                <w:sz w:val="16"/>
                <w:szCs w:val="16"/>
              </w:rPr>
            </w:pPr>
          </w:p>
        </w:tc>
        <w:tc>
          <w:tcPr>
            <w:tcW w:w="1069" w:type="dxa"/>
            <w:tcBorders>
              <w:top w:val="nil"/>
              <w:left w:val="nil"/>
              <w:bottom w:val="nil"/>
              <w:right w:val="nil"/>
            </w:tcBorders>
            <w:shd w:val="clear" w:color="auto" w:fill="auto"/>
            <w:noWrap/>
            <w:vAlign w:val="bottom"/>
            <w:hideMark/>
          </w:tcPr>
          <w:p w14:paraId="70ECB0D9" w14:textId="77777777" w:rsidR="003B5F49" w:rsidRPr="00245999" w:rsidRDefault="003B5F49" w:rsidP="006E44FE">
            <w:pPr>
              <w:spacing w:after="0" w:line="240" w:lineRule="auto"/>
              <w:jc w:val="right"/>
              <w:rPr>
                <w:rFonts w:ascii="Times New Roman" w:hAnsi="Times New Roman"/>
                <w:sz w:val="16"/>
                <w:szCs w:val="16"/>
              </w:rPr>
            </w:pPr>
          </w:p>
        </w:tc>
      </w:tr>
      <w:tr w:rsidR="003B5F49" w:rsidRPr="003B5F49" w14:paraId="376D30B9" w14:textId="77777777" w:rsidTr="002367A2">
        <w:trPr>
          <w:trHeight w:val="204"/>
        </w:trPr>
        <w:tc>
          <w:tcPr>
            <w:tcW w:w="2835" w:type="dxa"/>
            <w:tcBorders>
              <w:top w:val="nil"/>
              <w:left w:val="nil"/>
              <w:bottom w:val="nil"/>
              <w:right w:val="nil"/>
            </w:tcBorders>
            <w:shd w:val="clear" w:color="auto" w:fill="auto"/>
            <w:noWrap/>
            <w:hideMark/>
          </w:tcPr>
          <w:p w14:paraId="71D14665"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OWN-SOURCE INCOME</w:t>
            </w:r>
          </w:p>
        </w:tc>
        <w:tc>
          <w:tcPr>
            <w:tcW w:w="993" w:type="dxa"/>
            <w:tcBorders>
              <w:top w:val="nil"/>
              <w:left w:val="nil"/>
              <w:bottom w:val="nil"/>
              <w:right w:val="nil"/>
            </w:tcBorders>
            <w:shd w:val="clear" w:color="auto" w:fill="auto"/>
            <w:noWrap/>
            <w:vAlign w:val="bottom"/>
            <w:hideMark/>
          </w:tcPr>
          <w:p w14:paraId="0486941F" w14:textId="77777777" w:rsidR="003B5F49" w:rsidRPr="00245999" w:rsidRDefault="003B5F49" w:rsidP="006E44FE">
            <w:pPr>
              <w:spacing w:after="0" w:line="240" w:lineRule="auto"/>
              <w:jc w:val="right"/>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39ED0D74" w14:textId="2E86A90E" w:rsidR="003B5F49" w:rsidRPr="00245999" w:rsidRDefault="003B5F49" w:rsidP="006E44FE">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14:paraId="5629EAB7" w14:textId="77777777" w:rsidR="003B5F49" w:rsidRPr="00245999" w:rsidRDefault="003B5F49" w:rsidP="006E44FE">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211E4493" w14:textId="77777777" w:rsidR="003B5F49" w:rsidRPr="00245999" w:rsidRDefault="003B5F49" w:rsidP="006E44FE">
            <w:pPr>
              <w:spacing w:after="0" w:line="240" w:lineRule="auto"/>
              <w:jc w:val="right"/>
              <w:rPr>
                <w:rFonts w:ascii="Times New Roman" w:hAnsi="Times New Roman"/>
                <w:sz w:val="16"/>
                <w:szCs w:val="16"/>
              </w:rPr>
            </w:pPr>
          </w:p>
        </w:tc>
        <w:tc>
          <w:tcPr>
            <w:tcW w:w="1069" w:type="dxa"/>
            <w:tcBorders>
              <w:top w:val="nil"/>
              <w:left w:val="nil"/>
              <w:bottom w:val="nil"/>
              <w:right w:val="nil"/>
            </w:tcBorders>
            <w:shd w:val="clear" w:color="auto" w:fill="auto"/>
            <w:noWrap/>
            <w:vAlign w:val="bottom"/>
            <w:hideMark/>
          </w:tcPr>
          <w:p w14:paraId="213989EE" w14:textId="77777777" w:rsidR="003B5F49" w:rsidRPr="00245999" w:rsidRDefault="003B5F49" w:rsidP="006E44FE">
            <w:pPr>
              <w:spacing w:after="0" w:line="240" w:lineRule="auto"/>
              <w:jc w:val="right"/>
              <w:rPr>
                <w:rFonts w:ascii="Times New Roman" w:hAnsi="Times New Roman"/>
                <w:sz w:val="16"/>
                <w:szCs w:val="16"/>
              </w:rPr>
            </w:pPr>
          </w:p>
        </w:tc>
      </w:tr>
      <w:tr w:rsidR="003B5F49" w:rsidRPr="003B5F49" w14:paraId="78DD8C97" w14:textId="77777777" w:rsidTr="002367A2">
        <w:trPr>
          <w:trHeight w:val="204"/>
        </w:trPr>
        <w:tc>
          <w:tcPr>
            <w:tcW w:w="2835" w:type="dxa"/>
            <w:tcBorders>
              <w:top w:val="nil"/>
              <w:left w:val="nil"/>
              <w:bottom w:val="nil"/>
              <w:right w:val="nil"/>
            </w:tcBorders>
            <w:shd w:val="clear" w:color="auto" w:fill="auto"/>
            <w:noWrap/>
            <w:hideMark/>
          </w:tcPr>
          <w:p w14:paraId="72F30B10"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Non-taxation revenue</w:t>
            </w:r>
          </w:p>
        </w:tc>
        <w:tc>
          <w:tcPr>
            <w:tcW w:w="993" w:type="dxa"/>
            <w:tcBorders>
              <w:top w:val="nil"/>
              <w:left w:val="nil"/>
              <w:bottom w:val="nil"/>
              <w:right w:val="nil"/>
            </w:tcBorders>
            <w:shd w:val="clear" w:color="auto" w:fill="auto"/>
            <w:noWrap/>
            <w:vAlign w:val="bottom"/>
            <w:hideMark/>
          </w:tcPr>
          <w:p w14:paraId="70FC4731" w14:textId="77777777" w:rsidR="003B5F49" w:rsidRPr="00245999" w:rsidRDefault="003B5F49" w:rsidP="006E44FE">
            <w:pPr>
              <w:spacing w:after="0" w:line="240" w:lineRule="auto"/>
              <w:jc w:val="right"/>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19440FAD" w14:textId="7F104F15" w:rsidR="003B5F49" w:rsidRPr="00245999" w:rsidRDefault="003B5F49" w:rsidP="006E44FE">
            <w:pPr>
              <w:spacing w:after="0" w:line="240" w:lineRule="auto"/>
              <w:jc w:val="right"/>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14:paraId="631A1079" w14:textId="77777777" w:rsidR="003B5F49" w:rsidRPr="00245999" w:rsidRDefault="003B5F49" w:rsidP="006E44FE">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79F6EDBC" w14:textId="77777777" w:rsidR="003B5F49" w:rsidRPr="00245999" w:rsidRDefault="003B5F49" w:rsidP="006E44FE">
            <w:pPr>
              <w:spacing w:after="0" w:line="240" w:lineRule="auto"/>
              <w:jc w:val="right"/>
              <w:rPr>
                <w:rFonts w:ascii="Times New Roman" w:hAnsi="Times New Roman"/>
                <w:sz w:val="16"/>
                <w:szCs w:val="16"/>
              </w:rPr>
            </w:pPr>
          </w:p>
        </w:tc>
        <w:tc>
          <w:tcPr>
            <w:tcW w:w="1069" w:type="dxa"/>
            <w:tcBorders>
              <w:top w:val="nil"/>
              <w:left w:val="nil"/>
              <w:bottom w:val="nil"/>
              <w:right w:val="nil"/>
            </w:tcBorders>
            <w:shd w:val="clear" w:color="auto" w:fill="auto"/>
            <w:noWrap/>
            <w:vAlign w:val="bottom"/>
            <w:hideMark/>
          </w:tcPr>
          <w:p w14:paraId="110B4833" w14:textId="77777777" w:rsidR="003B5F49" w:rsidRPr="00245999" w:rsidRDefault="003B5F49" w:rsidP="006E44FE">
            <w:pPr>
              <w:spacing w:after="0" w:line="240" w:lineRule="auto"/>
              <w:jc w:val="right"/>
              <w:rPr>
                <w:rFonts w:ascii="Times New Roman" w:hAnsi="Times New Roman"/>
                <w:sz w:val="16"/>
                <w:szCs w:val="16"/>
              </w:rPr>
            </w:pPr>
          </w:p>
        </w:tc>
      </w:tr>
      <w:tr w:rsidR="003B5F49" w:rsidRPr="003B5F49" w14:paraId="09786747" w14:textId="77777777" w:rsidTr="002367A2">
        <w:trPr>
          <w:trHeight w:val="204"/>
        </w:trPr>
        <w:tc>
          <w:tcPr>
            <w:tcW w:w="2835" w:type="dxa"/>
            <w:tcBorders>
              <w:top w:val="nil"/>
              <w:left w:val="nil"/>
              <w:bottom w:val="nil"/>
              <w:right w:val="nil"/>
            </w:tcBorders>
            <w:shd w:val="clear" w:color="auto" w:fill="auto"/>
            <w:hideMark/>
          </w:tcPr>
          <w:p w14:paraId="6667624E" w14:textId="77777777" w:rsidR="003B5F49" w:rsidRPr="003B5F49" w:rsidRDefault="003B5F49" w:rsidP="006E44FE">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Sale of goods and rendering of services</w:t>
            </w:r>
          </w:p>
        </w:tc>
        <w:tc>
          <w:tcPr>
            <w:tcW w:w="993" w:type="dxa"/>
            <w:tcBorders>
              <w:top w:val="nil"/>
              <w:left w:val="nil"/>
              <w:bottom w:val="nil"/>
              <w:right w:val="nil"/>
            </w:tcBorders>
            <w:shd w:val="clear" w:color="auto" w:fill="auto"/>
            <w:noWrap/>
            <w:vAlign w:val="bottom"/>
            <w:hideMark/>
          </w:tcPr>
          <w:p w14:paraId="27334871" w14:textId="2FB6D709"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21,829</w:t>
            </w:r>
          </w:p>
        </w:tc>
        <w:tc>
          <w:tcPr>
            <w:tcW w:w="850" w:type="dxa"/>
            <w:tcBorders>
              <w:top w:val="nil"/>
              <w:left w:val="nil"/>
              <w:bottom w:val="nil"/>
              <w:right w:val="nil"/>
            </w:tcBorders>
            <w:shd w:val="clear" w:color="000000" w:fill="E6E6E6"/>
            <w:noWrap/>
            <w:vAlign w:val="bottom"/>
            <w:hideMark/>
          </w:tcPr>
          <w:p w14:paraId="756EE56C" w14:textId="1464383C"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18,732</w:t>
            </w:r>
          </w:p>
        </w:tc>
        <w:tc>
          <w:tcPr>
            <w:tcW w:w="851" w:type="dxa"/>
            <w:tcBorders>
              <w:top w:val="nil"/>
              <w:left w:val="nil"/>
              <w:bottom w:val="nil"/>
              <w:right w:val="nil"/>
            </w:tcBorders>
            <w:shd w:val="clear" w:color="auto" w:fill="auto"/>
            <w:noWrap/>
            <w:vAlign w:val="bottom"/>
            <w:hideMark/>
          </w:tcPr>
          <w:p w14:paraId="3A64604A" w14:textId="63CDFF9B"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28,409</w:t>
            </w:r>
          </w:p>
        </w:tc>
        <w:tc>
          <w:tcPr>
            <w:tcW w:w="992" w:type="dxa"/>
            <w:tcBorders>
              <w:top w:val="nil"/>
              <w:left w:val="nil"/>
              <w:bottom w:val="nil"/>
              <w:right w:val="nil"/>
            </w:tcBorders>
            <w:shd w:val="clear" w:color="auto" w:fill="auto"/>
            <w:noWrap/>
            <w:vAlign w:val="bottom"/>
            <w:hideMark/>
          </w:tcPr>
          <w:p w14:paraId="37CEBAB2" w14:textId="70D3C4C8"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29,312</w:t>
            </w:r>
          </w:p>
        </w:tc>
        <w:tc>
          <w:tcPr>
            <w:tcW w:w="1069" w:type="dxa"/>
            <w:tcBorders>
              <w:top w:val="nil"/>
              <w:left w:val="nil"/>
              <w:bottom w:val="nil"/>
              <w:right w:val="nil"/>
            </w:tcBorders>
            <w:shd w:val="clear" w:color="auto" w:fill="auto"/>
            <w:noWrap/>
            <w:vAlign w:val="bottom"/>
            <w:hideMark/>
          </w:tcPr>
          <w:p w14:paraId="10DD00E7" w14:textId="073126F1"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30,190</w:t>
            </w:r>
          </w:p>
        </w:tc>
      </w:tr>
      <w:tr w:rsidR="003B5F49" w:rsidRPr="003B5F49" w14:paraId="45EF1AC2" w14:textId="77777777" w:rsidTr="002367A2">
        <w:trPr>
          <w:trHeight w:val="204"/>
        </w:trPr>
        <w:tc>
          <w:tcPr>
            <w:tcW w:w="2835" w:type="dxa"/>
            <w:tcBorders>
              <w:top w:val="nil"/>
              <w:left w:val="nil"/>
              <w:bottom w:val="nil"/>
              <w:right w:val="nil"/>
            </w:tcBorders>
            <w:shd w:val="clear" w:color="auto" w:fill="auto"/>
            <w:noWrap/>
            <w:hideMark/>
          </w:tcPr>
          <w:p w14:paraId="6B1EBB99" w14:textId="77777777" w:rsidR="003B5F49" w:rsidRPr="003B5F49" w:rsidRDefault="003B5F49" w:rsidP="006E44FE">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Other revenue</w:t>
            </w:r>
          </w:p>
        </w:tc>
        <w:tc>
          <w:tcPr>
            <w:tcW w:w="993" w:type="dxa"/>
            <w:tcBorders>
              <w:top w:val="nil"/>
              <w:left w:val="nil"/>
              <w:bottom w:val="nil"/>
              <w:right w:val="nil"/>
            </w:tcBorders>
            <w:shd w:val="clear" w:color="auto" w:fill="auto"/>
            <w:noWrap/>
            <w:vAlign w:val="bottom"/>
            <w:hideMark/>
          </w:tcPr>
          <w:p w14:paraId="150FCE40" w14:textId="03AFAFD1"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991</w:t>
            </w:r>
          </w:p>
        </w:tc>
        <w:tc>
          <w:tcPr>
            <w:tcW w:w="850" w:type="dxa"/>
            <w:tcBorders>
              <w:top w:val="nil"/>
              <w:left w:val="nil"/>
              <w:bottom w:val="nil"/>
              <w:right w:val="nil"/>
            </w:tcBorders>
            <w:shd w:val="clear" w:color="000000" w:fill="E6E6E6"/>
            <w:noWrap/>
            <w:vAlign w:val="bottom"/>
            <w:hideMark/>
          </w:tcPr>
          <w:p w14:paraId="1A6835DC" w14:textId="05F88440"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10</w:t>
            </w:r>
          </w:p>
        </w:tc>
        <w:tc>
          <w:tcPr>
            <w:tcW w:w="851" w:type="dxa"/>
            <w:tcBorders>
              <w:top w:val="nil"/>
              <w:left w:val="nil"/>
              <w:bottom w:val="nil"/>
              <w:right w:val="nil"/>
            </w:tcBorders>
            <w:shd w:val="clear" w:color="auto" w:fill="auto"/>
            <w:noWrap/>
            <w:vAlign w:val="bottom"/>
            <w:hideMark/>
          </w:tcPr>
          <w:p w14:paraId="2AE6ECC6" w14:textId="29F63BE1"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10</w:t>
            </w:r>
          </w:p>
        </w:tc>
        <w:tc>
          <w:tcPr>
            <w:tcW w:w="992" w:type="dxa"/>
            <w:tcBorders>
              <w:top w:val="nil"/>
              <w:left w:val="nil"/>
              <w:bottom w:val="nil"/>
              <w:right w:val="nil"/>
            </w:tcBorders>
            <w:shd w:val="clear" w:color="auto" w:fill="auto"/>
            <w:noWrap/>
            <w:vAlign w:val="bottom"/>
            <w:hideMark/>
          </w:tcPr>
          <w:p w14:paraId="78163614" w14:textId="6663FC28"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12</w:t>
            </w:r>
          </w:p>
        </w:tc>
        <w:tc>
          <w:tcPr>
            <w:tcW w:w="1069" w:type="dxa"/>
            <w:tcBorders>
              <w:top w:val="nil"/>
              <w:left w:val="nil"/>
              <w:bottom w:val="nil"/>
              <w:right w:val="nil"/>
            </w:tcBorders>
            <w:shd w:val="clear" w:color="auto" w:fill="auto"/>
            <w:noWrap/>
            <w:vAlign w:val="bottom"/>
            <w:hideMark/>
          </w:tcPr>
          <w:p w14:paraId="0725886B" w14:textId="24CD6712" w:rsidR="003B5F49" w:rsidRPr="00245999" w:rsidRDefault="003B5F49" w:rsidP="006E44FE">
            <w:pPr>
              <w:spacing w:after="0" w:line="240" w:lineRule="auto"/>
              <w:jc w:val="right"/>
              <w:rPr>
                <w:rFonts w:ascii="Arial" w:hAnsi="Arial" w:cs="Arial"/>
                <w:color w:val="000000"/>
                <w:sz w:val="16"/>
                <w:szCs w:val="16"/>
              </w:rPr>
            </w:pPr>
            <w:r w:rsidRPr="00245999">
              <w:rPr>
                <w:rFonts w:ascii="Arial" w:hAnsi="Arial" w:cs="Arial"/>
                <w:color w:val="000000"/>
                <w:sz w:val="16"/>
                <w:szCs w:val="16"/>
              </w:rPr>
              <w:t>12</w:t>
            </w:r>
          </w:p>
        </w:tc>
      </w:tr>
      <w:tr w:rsidR="003B5F49" w:rsidRPr="003B5F49" w14:paraId="1A7CA9A8" w14:textId="77777777" w:rsidTr="002367A2">
        <w:trPr>
          <w:trHeight w:val="204"/>
        </w:trPr>
        <w:tc>
          <w:tcPr>
            <w:tcW w:w="2835" w:type="dxa"/>
            <w:tcBorders>
              <w:top w:val="nil"/>
              <w:left w:val="nil"/>
              <w:bottom w:val="nil"/>
              <w:right w:val="nil"/>
            </w:tcBorders>
            <w:shd w:val="clear" w:color="auto" w:fill="auto"/>
            <w:noWrap/>
            <w:hideMark/>
          </w:tcPr>
          <w:p w14:paraId="00E24C90"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Total non-taxation revenue</w:t>
            </w:r>
          </w:p>
        </w:tc>
        <w:tc>
          <w:tcPr>
            <w:tcW w:w="993" w:type="dxa"/>
            <w:tcBorders>
              <w:top w:val="single" w:sz="4" w:space="0" w:color="auto"/>
              <w:left w:val="nil"/>
              <w:bottom w:val="single" w:sz="4" w:space="0" w:color="auto"/>
              <w:right w:val="nil"/>
            </w:tcBorders>
            <w:shd w:val="clear" w:color="auto" w:fill="auto"/>
            <w:noWrap/>
            <w:vAlign w:val="bottom"/>
            <w:hideMark/>
          </w:tcPr>
          <w:p w14:paraId="049FD9C0" w14:textId="76F7DD86"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22,820</w:t>
            </w:r>
          </w:p>
        </w:tc>
        <w:tc>
          <w:tcPr>
            <w:tcW w:w="850" w:type="dxa"/>
            <w:tcBorders>
              <w:top w:val="single" w:sz="4" w:space="0" w:color="auto"/>
              <w:left w:val="nil"/>
              <w:bottom w:val="single" w:sz="4" w:space="0" w:color="auto"/>
              <w:right w:val="nil"/>
            </w:tcBorders>
            <w:shd w:val="clear" w:color="000000" w:fill="E6E6E6"/>
            <w:noWrap/>
            <w:vAlign w:val="bottom"/>
            <w:hideMark/>
          </w:tcPr>
          <w:p w14:paraId="03715F64" w14:textId="1DFA6288"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18,742</w:t>
            </w:r>
          </w:p>
        </w:tc>
        <w:tc>
          <w:tcPr>
            <w:tcW w:w="851" w:type="dxa"/>
            <w:tcBorders>
              <w:top w:val="single" w:sz="4" w:space="0" w:color="auto"/>
              <w:left w:val="nil"/>
              <w:bottom w:val="single" w:sz="4" w:space="0" w:color="auto"/>
              <w:right w:val="nil"/>
            </w:tcBorders>
            <w:shd w:val="clear" w:color="auto" w:fill="auto"/>
            <w:noWrap/>
            <w:vAlign w:val="bottom"/>
            <w:hideMark/>
          </w:tcPr>
          <w:p w14:paraId="2F6526A0" w14:textId="29A2B0D5"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28,419</w:t>
            </w:r>
          </w:p>
        </w:tc>
        <w:tc>
          <w:tcPr>
            <w:tcW w:w="992" w:type="dxa"/>
            <w:tcBorders>
              <w:top w:val="single" w:sz="4" w:space="0" w:color="auto"/>
              <w:left w:val="nil"/>
              <w:bottom w:val="single" w:sz="4" w:space="0" w:color="auto"/>
              <w:right w:val="nil"/>
            </w:tcBorders>
            <w:shd w:val="clear" w:color="auto" w:fill="auto"/>
            <w:noWrap/>
            <w:vAlign w:val="bottom"/>
            <w:hideMark/>
          </w:tcPr>
          <w:p w14:paraId="56879188" w14:textId="6166A269"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29,324</w:t>
            </w:r>
          </w:p>
        </w:tc>
        <w:tc>
          <w:tcPr>
            <w:tcW w:w="1069" w:type="dxa"/>
            <w:tcBorders>
              <w:top w:val="single" w:sz="4" w:space="0" w:color="auto"/>
              <w:left w:val="nil"/>
              <w:bottom w:val="single" w:sz="4" w:space="0" w:color="auto"/>
              <w:right w:val="nil"/>
            </w:tcBorders>
            <w:shd w:val="clear" w:color="auto" w:fill="auto"/>
            <w:noWrap/>
            <w:vAlign w:val="bottom"/>
            <w:hideMark/>
          </w:tcPr>
          <w:p w14:paraId="29E6E8C5" w14:textId="3971777A"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30,202</w:t>
            </w:r>
          </w:p>
        </w:tc>
      </w:tr>
      <w:tr w:rsidR="003B5F49" w:rsidRPr="003B5F49" w14:paraId="13EFAE86" w14:textId="77777777" w:rsidTr="002367A2">
        <w:trPr>
          <w:trHeight w:val="204"/>
        </w:trPr>
        <w:tc>
          <w:tcPr>
            <w:tcW w:w="2835" w:type="dxa"/>
            <w:tcBorders>
              <w:top w:val="nil"/>
              <w:left w:val="nil"/>
              <w:bottom w:val="nil"/>
              <w:right w:val="nil"/>
            </w:tcBorders>
            <w:shd w:val="clear" w:color="auto" w:fill="auto"/>
            <w:hideMark/>
          </w:tcPr>
          <w:p w14:paraId="3B854E93"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Total own-source income administered on behalf of Government</w:t>
            </w:r>
          </w:p>
        </w:tc>
        <w:tc>
          <w:tcPr>
            <w:tcW w:w="993" w:type="dxa"/>
            <w:tcBorders>
              <w:top w:val="single" w:sz="4" w:space="0" w:color="auto"/>
              <w:left w:val="nil"/>
              <w:bottom w:val="single" w:sz="4" w:space="0" w:color="auto"/>
              <w:right w:val="nil"/>
            </w:tcBorders>
            <w:shd w:val="clear" w:color="auto" w:fill="auto"/>
            <w:noWrap/>
            <w:vAlign w:val="bottom"/>
            <w:hideMark/>
          </w:tcPr>
          <w:p w14:paraId="04242E41" w14:textId="51015B49"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22,820</w:t>
            </w:r>
          </w:p>
        </w:tc>
        <w:tc>
          <w:tcPr>
            <w:tcW w:w="850" w:type="dxa"/>
            <w:tcBorders>
              <w:top w:val="single" w:sz="4" w:space="0" w:color="auto"/>
              <w:left w:val="nil"/>
              <w:bottom w:val="single" w:sz="4" w:space="0" w:color="auto"/>
              <w:right w:val="nil"/>
            </w:tcBorders>
            <w:shd w:val="clear" w:color="000000" w:fill="E6E6E6"/>
            <w:noWrap/>
            <w:vAlign w:val="bottom"/>
            <w:hideMark/>
          </w:tcPr>
          <w:p w14:paraId="7B0F26B6" w14:textId="3C17E2CD"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18,742</w:t>
            </w:r>
          </w:p>
        </w:tc>
        <w:tc>
          <w:tcPr>
            <w:tcW w:w="851" w:type="dxa"/>
            <w:tcBorders>
              <w:top w:val="single" w:sz="4" w:space="0" w:color="auto"/>
              <w:left w:val="nil"/>
              <w:bottom w:val="single" w:sz="4" w:space="0" w:color="auto"/>
              <w:right w:val="nil"/>
            </w:tcBorders>
            <w:shd w:val="clear" w:color="auto" w:fill="auto"/>
            <w:noWrap/>
            <w:vAlign w:val="bottom"/>
            <w:hideMark/>
          </w:tcPr>
          <w:p w14:paraId="0F4D0FAD" w14:textId="7B649FCC"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28,419</w:t>
            </w:r>
          </w:p>
        </w:tc>
        <w:tc>
          <w:tcPr>
            <w:tcW w:w="992" w:type="dxa"/>
            <w:tcBorders>
              <w:top w:val="single" w:sz="4" w:space="0" w:color="auto"/>
              <w:left w:val="nil"/>
              <w:bottom w:val="single" w:sz="4" w:space="0" w:color="auto"/>
              <w:right w:val="nil"/>
            </w:tcBorders>
            <w:shd w:val="clear" w:color="auto" w:fill="auto"/>
            <w:noWrap/>
            <w:vAlign w:val="bottom"/>
            <w:hideMark/>
          </w:tcPr>
          <w:p w14:paraId="1A5F278F" w14:textId="5E534055"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29,324</w:t>
            </w:r>
          </w:p>
        </w:tc>
        <w:tc>
          <w:tcPr>
            <w:tcW w:w="1069" w:type="dxa"/>
            <w:tcBorders>
              <w:top w:val="single" w:sz="4" w:space="0" w:color="auto"/>
              <w:left w:val="nil"/>
              <w:bottom w:val="single" w:sz="4" w:space="0" w:color="auto"/>
              <w:right w:val="nil"/>
            </w:tcBorders>
            <w:shd w:val="clear" w:color="auto" w:fill="auto"/>
            <w:noWrap/>
            <w:vAlign w:val="bottom"/>
            <w:hideMark/>
          </w:tcPr>
          <w:p w14:paraId="4F7D45E8" w14:textId="3AD7D405"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30,202</w:t>
            </w:r>
          </w:p>
        </w:tc>
      </w:tr>
      <w:tr w:rsidR="003B5F49" w:rsidRPr="003B5F49" w14:paraId="284A6BCE" w14:textId="77777777" w:rsidTr="002367A2">
        <w:trPr>
          <w:trHeight w:val="204"/>
        </w:trPr>
        <w:tc>
          <w:tcPr>
            <w:tcW w:w="2835" w:type="dxa"/>
            <w:tcBorders>
              <w:top w:val="nil"/>
              <w:left w:val="nil"/>
              <w:bottom w:val="nil"/>
              <w:right w:val="nil"/>
            </w:tcBorders>
            <w:shd w:val="clear" w:color="auto" w:fill="auto"/>
            <w:hideMark/>
          </w:tcPr>
          <w:p w14:paraId="6D070AF7"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Net (cost of)/contribution by services</w:t>
            </w:r>
          </w:p>
        </w:tc>
        <w:tc>
          <w:tcPr>
            <w:tcW w:w="993" w:type="dxa"/>
            <w:tcBorders>
              <w:top w:val="single" w:sz="4" w:space="0" w:color="auto"/>
              <w:left w:val="nil"/>
              <w:bottom w:val="single" w:sz="4" w:space="0" w:color="auto"/>
              <w:right w:val="nil"/>
            </w:tcBorders>
            <w:shd w:val="clear" w:color="auto" w:fill="auto"/>
            <w:noWrap/>
            <w:vAlign w:val="bottom"/>
            <w:hideMark/>
          </w:tcPr>
          <w:p w14:paraId="423CA017" w14:textId="77777777"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(18,881)</w:t>
            </w:r>
          </w:p>
        </w:tc>
        <w:tc>
          <w:tcPr>
            <w:tcW w:w="850" w:type="dxa"/>
            <w:tcBorders>
              <w:top w:val="single" w:sz="4" w:space="0" w:color="auto"/>
              <w:left w:val="nil"/>
              <w:bottom w:val="single" w:sz="4" w:space="0" w:color="auto"/>
              <w:right w:val="nil"/>
            </w:tcBorders>
            <w:shd w:val="clear" w:color="000000" w:fill="E6E6E6"/>
            <w:noWrap/>
            <w:vAlign w:val="bottom"/>
            <w:hideMark/>
          </w:tcPr>
          <w:p w14:paraId="2AD65DA9" w14:textId="77777777"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(26,051)</w:t>
            </w:r>
          </w:p>
        </w:tc>
        <w:tc>
          <w:tcPr>
            <w:tcW w:w="851" w:type="dxa"/>
            <w:tcBorders>
              <w:top w:val="single" w:sz="4" w:space="0" w:color="auto"/>
              <w:left w:val="nil"/>
              <w:bottom w:val="single" w:sz="4" w:space="0" w:color="auto"/>
              <w:right w:val="nil"/>
            </w:tcBorders>
            <w:shd w:val="clear" w:color="auto" w:fill="auto"/>
            <w:noWrap/>
            <w:vAlign w:val="bottom"/>
            <w:hideMark/>
          </w:tcPr>
          <w:p w14:paraId="7CD3E4EC" w14:textId="77777777"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(15,322)</w:t>
            </w:r>
          </w:p>
        </w:tc>
        <w:tc>
          <w:tcPr>
            <w:tcW w:w="992" w:type="dxa"/>
            <w:tcBorders>
              <w:top w:val="single" w:sz="4" w:space="0" w:color="auto"/>
              <w:left w:val="nil"/>
              <w:bottom w:val="single" w:sz="4" w:space="0" w:color="auto"/>
              <w:right w:val="nil"/>
            </w:tcBorders>
            <w:shd w:val="clear" w:color="auto" w:fill="auto"/>
            <w:noWrap/>
            <w:vAlign w:val="bottom"/>
            <w:hideMark/>
          </w:tcPr>
          <w:p w14:paraId="68022B57" w14:textId="77777777"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(15,518)</w:t>
            </w:r>
          </w:p>
        </w:tc>
        <w:tc>
          <w:tcPr>
            <w:tcW w:w="1069" w:type="dxa"/>
            <w:tcBorders>
              <w:top w:val="single" w:sz="4" w:space="0" w:color="auto"/>
              <w:left w:val="nil"/>
              <w:bottom w:val="single" w:sz="4" w:space="0" w:color="auto"/>
              <w:right w:val="nil"/>
            </w:tcBorders>
            <w:shd w:val="clear" w:color="auto" w:fill="auto"/>
            <w:noWrap/>
            <w:vAlign w:val="bottom"/>
            <w:hideMark/>
          </w:tcPr>
          <w:p w14:paraId="3645A151" w14:textId="77777777"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(16,032)</w:t>
            </w:r>
          </w:p>
        </w:tc>
      </w:tr>
      <w:tr w:rsidR="003B5F49" w:rsidRPr="003B5F49" w14:paraId="12F5D2D4" w14:textId="77777777" w:rsidTr="002367A2">
        <w:trPr>
          <w:trHeight w:val="204"/>
        </w:trPr>
        <w:tc>
          <w:tcPr>
            <w:tcW w:w="2835" w:type="dxa"/>
            <w:tcBorders>
              <w:top w:val="nil"/>
              <w:left w:val="nil"/>
              <w:bottom w:val="nil"/>
              <w:right w:val="nil"/>
            </w:tcBorders>
            <w:shd w:val="clear" w:color="auto" w:fill="auto"/>
            <w:hideMark/>
          </w:tcPr>
          <w:p w14:paraId="4A168D56"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Surplus/(Deficit)</w:t>
            </w:r>
          </w:p>
        </w:tc>
        <w:tc>
          <w:tcPr>
            <w:tcW w:w="993" w:type="dxa"/>
            <w:tcBorders>
              <w:top w:val="nil"/>
              <w:left w:val="nil"/>
              <w:bottom w:val="single" w:sz="4" w:space="0" w:color="auto"/>
              <w:right w:val="nil"/>
            </w:tcBorders>
            <w:shd w:val="clear" w:color="auto" w:fill="auto"/>
            <w:noWrap/>
            <w:vAlign w:val="bottom"/>
            <w:hideMark/>
          </w:tcPr>
          <w:p w14:paraId="5E38EB5D" w14:textId="77777777"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(18,881)</w:t>
            </w:r>
          </w:p>
        </w:tc>
        <w:tc>
          <w:tcPr>
            <w:tcW w:w="850" w:type="dxa"/>
            <w:tcBorders>
              <w:top w:val="nil"/>
              <w:left w:val="nil"/>
              <w:bottom w:val="single" w:sz="4" w:space="0" w:color="auto"/>
              <w:right w:val="nil"/>
            </w:tcBorders>
            <w:shd w:val="clear" w:color="000000" w:fill="E6E6E6"/>
            <w:noWrap/>
            <w:vAlign w:val="bottom"/>
            <w:hideMark/>
          </w:tcPr>
          <w:p w14:paraId="48AA47CB" w14:textId="77777777"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(26,051)</w:t>
            </w:r>
          </w:p>
        </w:tc>
        <w:tc>
          <w:tcPr>
            <w:tcW w:w="851" w:type="dxa"/>
            <w:tcBorders>
              <w:top w:val="nil"/>
              <w:left w:val="nil"/>
              <w:bottom w:val="single" w:sz="4" w:space="0" w:color="auto"/>
              <w:right w:val="nil"/>
            </w:tcBorders>
            <w:shd w:val="clear" w:color="auto" w:fill="auto"/>
            <w:noWrap/>
            <w:vAlign w:val="bottom"/>
            <w:hideMark/>
          </w:tcPr>
          <w:p w14:paraId="47911DFF" w14:textId="77777777"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(15,322)</w:t>
            </w:r>
          </w:p>
        </w:tc>
        <w:tc>
          <w:tcPr>
            <w:tcW w:w="992" w:type="dxa"/>
            <w:tcBorders>
              <w:top w:val="nil"/>
              <w:left w:val="nil"/>
              <w:bottom w:val="single" w:sz="4" w:space="0" w:color="auto"/>
              <w:right w:val="nil"/>
            </w:tcBorders>
            <w:shd w:val="clear" w:color="auto" w:fill="auto"/>
            <w:noWrap/>
            <w:vAlign w:val="bottom"/>
            <w:hideMark/>
          </w:tcPr>
          <w:p w14:paraId="2538A504" w14:textId="77777777"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(15,518)</w:t>
            </w:r>
          </w:p>
        </w:tc>
        <w:tc>
          <w:tcPr>
            <w:tcW w:w="1069" w:type="dxa"/>
            <w:tcBorders>
              <w:top w:val="nil"/>
              <w:left w:val="nil"/>
              <w:bottom w:val="single" w:sz="4" w:space="0" w:color="auto"/>
              <w:right w:val="nil"/>
            </w:tcBorders>
            <w:shd w:val="clear" w:color="auto" w:fill="auto"/>
            <w:noWrap/>
            <w:vAlign w:val="bottom"/>
            <w:hideMark/>
          </w:tcPr>
          <w:p w14:paraId="091F5B14" w14:textId="77777777" w:rsidR="003B5F49" w:rsidRPr="00245999" w:rsidRDefault="003B5F49" w:rsidP="006E44FE">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(16,032)</w:t>
            </w:r>
          </w:p>
        </w:tc>
      </w:tr>
      <w:tr w:rsidR="003B5F49" w:rsidRPr="003B5F49" w14:paraId="6C798DD3" w14:textId="77777777" w:rsidTr="002367A2">
        <w:trPr>
          <w:trHeight w:val="204"/>
        </w:trPr>
        <w:tc>
          <w:tcPr>
            <w:tcW w:w="2835" w:type="dxa"/>
            <w:tcBorders>
              <w:top w:val="nil"/>
              <w:left w:val="nil"/>
              <w:bottom w:val="nil"/>
              <w:right w:val="nil"/>
            </w:tcBorders>
            <w:shd w:val="clear" w:color="auto" w:fill="auto"/>
            <w:noWrap/>
            <w:hideMark/>
          </w:tcPr>
          <w:p w14:paraId="7BA5CA35" w14:textId="77777777" w:rsidR="003B5F49" w:rsidRPr="003B5F49" w:rsidRDefault="003B5F49" w:rsidP="003B5F49">
            <w:pPr>
              <w:spacing w:after="0" w:line="240" w:lineRule="auto"/>
              <w:jc w:val="left"/>
              <w:outlineLvl w:val="0"/>
              <w:rPr>
                <w:rFonts w:ascii="Arial" w:hAnsi="Arial" w:cs="Arial"/>
                <w:b/>
                <w:bCs/>
                <w:color w:val="000000"/>
                <w:sz w:val="16"/>
                <w:szCs w:val="16"/>
              </w:rPr>
            </w:pPr>
            <w:r w:rsidRPr="003B5F49">
              <w:rPr>
                <w:rFonts w:ascii="Arial" w:hAnsi="Arial" w:cs="Arial"/>
                <w:b/>
                <w:bCs/>
                <w:color w:val="000000"/>
                <w:sz w:val="16"/>
                <w:szCs w:val="16"/>
              </w:rPr>
              <w:t>OTHER COMPREHENSIVE INCOME</w:t>
            </w:r>
          </w:p>
        </w:tc>
        <w:tc>
          <w:tcPr>
            <w:tcW w:w="993" w:type="dxa"/>
            <w:tcBorders>
              <w:top w:val="nil"/>
              <w:left w:val="nil"/>
              <w:bottom w:val="nil"/>
              <w:right w:val="nil"/>
            </w:tcBorders>
            <w:shd w:val="clear" w:color="auto" w:fill="auto"/>
            <w:noWrap/>
            <w:vAlign w:val="bottom"/>
            <w:hideMark/>
          </w:tcPr>
          <w:p w14:paraId="224B4020" w14:textId="77777777" w:rsidR="003B5F49" w:rsidRPr="00245999" w:rsidRDefault="003B5F49" w:rsidP="006E44FE">
            <w:pPr>
              <w:spacing w:after="0" w:line="240" w:lineRule="auto"/>
              <w:jc w:val="right"/>
              <w:outlineLvl w:val="0"/>
              <w:rPr>
                <w:rFonts w:ascii="Arial" w:hAnsi="Arial" w:cs="Arial"/>
                <w:b/>
                <w:bCs/>
                <w:color w:val="000000"/>
                <w:sz w:val="16"/>
                <w:szCs w:val="16"/>
              </w:rPr>
            </w:pPr>
          </w:p>
        </w:tc>
        <w:tc>
          <w:tcPr>
            <w:tcW w:w="850" w:type="dxa"/>
            <w:tcBorders>
              <w:top w:val="nil"/>
              <w:left w:val="nil"/>
              <w:bottom w:val="nil"/>
              <w:right w:val="nil"/>
            </w:tcBorders>
            <w:shd w:val="clear" w:color="000000" w:fill="E6E6E6"/>
            <w:noWrap/>
            <w:vAlign w:val="bottom"/>
            <w:hideMark/>
          </w:tcPr>
          <w:p w14:paraId="3BE7E29E" w14:textId="04EDA72D" w:rsidR="003B5F49" w:rsidRPr="00245999" w:rsidRDefault="003B5F49" w:rsidP="006E44FE">
            <w:pPr>
              <w:spacing w:after="0" w:line="240" w:lineRule="auto"/>
              <w:jc w:val="right"/>
              <w:outlineLvl w:val="0"/>
              <w:rPr>
                <w:rFonts w:ascii="Arial" w:hAnsi="Arial" w:cs="Arial"/>
                <w:color w:val="000000"/>
                <w:sz w:val="16"/>
                <w:szCs w:val="16"/>
              </w:rPr>
            </w:pPr>
          </w:p>
        </w:tc>
        <w:tc>
          <w:tcPr>
            <w:tcW w:w="851" w:type="dxa"/>
            <w:tcBorders>
              <w:top w:val="nil"/>
              <w:left w:val="nil"/>
              <w:bottom w:val="nil"/>
              <w:right w:val="nil"/>
            </w:tcBorders>
            <w:shd w:val="clear" w:color="auto" w:fill="auto"/>
            <w:noWrap/>
            <w:vAlign w:val="bottom"/>
            <w:hideMark/>
          </w:tcPr>
          <w:p w14:paraId="49ED9CD1" w14:textId="77777777" w:rsidR="003B5F49" w:rsidRPr="00245999" w:rsidRDefault="003B5F49" w:rsidP="006E44FE">
            <w:pPr>
              <w:spacing w:after="0" w:line="240" w:lineRule="auto"/>
              <w:jc w:val="right"/>
              <w:outlineLvl w:val="0"/>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3BA5DA76" w14:textId="77777777" w:rsidR="003B5F49" w:rsidRPr="00245999" w:rsidRDefault="003B5F49" w:rsidP="006E44FE">
            <w:pPr>
              <w:spacing w:after="0" w:line="240" w:lineRule="auto"/>
              <w:jc w:val="right"/>
              <w:outlineLvl w:val="0"/>
              <w:rPr>
                <w:rFonts w:ascii="Times New Roman" w:hAnsi="Times New Roman"/>
                <w:sz w:val="16"/>
                <w:szCs w:val="16"/>
              </w:rPr>
            </w:pPr>
          </w:p>
        </w:tc>
        <w:tc>
          <w:tcPr>
            <w:tcW w:w="1069" w:type="dxa"/>
            <w:tcBorders>
              <w:top w:val="nil"/>
              <w:left w:val="nil"/>
              <w:bottom w:val="nil"/>
              <w:right w:val="nil"/>
            </w:tcBorders>
            <w:shd w:val="clear" w:color="auto" w:fill="auto"/>
            <w:noWrap/>
            <w:vAlign w:val="bottom"/>
            <w:hideMark/>
          </w:tcPr>
          <w:p w14:paraId="64BAC738" w14:textId="77777777" w:rsidR="003B5F49" w:rsidRPr="00245999" w:rsidRDefault="003B5F49" w:rsidP="006E44FE">
            <w:pPr>
              <w:spacing w:after="0" w:line="240" w:lineRule="auto"/>
              <w:jc w:val="right"/>
              <w:outlineLvl w:val="0"/>
              <w:rPr>
                <w:rFonts w:ascii="Times New Roman" w:hAnsi="Times New Roman"/>
                <w:sz w:val="16"/>
                <w:szCs w:val="16"/>
              </w:rPr>
            </w:pPr>
          </w:p>
        </w:tc>
      </w:tr>
      <w:tr w:rsidR="003B5F49" w:rsidRPr="003B5F49" w14:paraId="7BD03A62" w14:textId="77777777" w:rsidTr="002367A2">
        <w:trPr>
          <w:trHeight w:val="204"/>
        </w:trPr>
        <w:tc>
          <w:tcPr>
            <w:tcW w:w="2835" w:type="dxa"/>
            <w:tcBorders>
              <w:top w:val="nil"/>
              <w:left w:val="nil"/>
              <w:bottom w:val="nil"/>
              <w:right w:val="nil"/>
            </w:tcBorders>
            <w:shd w:val="clear" w:color="auto" w:fill="auto"/>
            <w:noWrap/>
            <w:hideMark/>
          </w:tcPr>
          <w:p w14:paraId="0E42D9BB" w14:textId="77777777" w:rsidR="003B5F49" w:rsidRPr="003B5F49" w:rsidRDefault="003B5F49" w:rsidP="006E44FE">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Changes in asset revaluation reserves</w:t>
            </w:r>
          </w:p>
        </w:tc>
        <w:tc>
          <w:tcPr>
            <w:tcW w:w="993" w:type="dxa"/>
            <w:tcBorders>
              <w:top w:val="nil"/>
              <w:left w:val="nil"/>
              <w:bottom w:val="nil"/>
              <w:right w:val="nil"/>
            </w:tcBorders>
            <w:shd w:val="clear" w:color="auto" w:fill="auto"/>
            <w:noWrap/>
            <w:vAlign w:val="bottom"/>
            <w:hideMark/>
          </w:tcPr>
          <w:p w14:paraId="35A79B00" w14:textId="2C331748" w:rsidR="003B5F49" w:rsidRPr="00245999" w:rsidRDefault="003B5F49" w:rsidP="006E44FE">
            <w:pPr>
              <w:spacing w:after="0" w:line="240" w:lineRule="auto"/>
              <w:jc w:val="right"/>
              <w:outlineLvl w:val="0"/>
              <w:rPr>
                <w:rFonts w:ascii="Arial" w:hAnsi="Arial" w:cs="Arial"/>
                <w:color w:val="000000"/>
                <w:sz w:val="16"/>
                <w:szCs w:val="16"/>
              </w:rPr>
            </w:pPr>
            <w:r w:rsidRPr="00245999">
              <w:rPr>
                <w:rFonts w:ascii="Arial" w:hAnsi="Arial" w:cs="Arial"/>
                <w:color w:val="000000"/>
                <w:sz w:val="16"/>
                <w:szCs w:val="16"/>
              </w:rPr>
              <w:t>39,558</w:t>
            </w:r>
          </w:p>
        </w:tc>
        <w:tc>
          <w:tcPr>
            <w:tcW w:w="850" w:type="dxa"/>
            <w:tcBorders>
              <w:top w:val="nil"/>
              <w:left w:val="nil"/>
              <w:bottom w:val="nil"/>
              <w:right w:val="nil"/>
            </w:tcBorders>
            <w:shd w:val="clear" w:color="000000" w:fill="E6E6E6"/>
            <w:noWrap/>
            <w:vAlign w:val="bottom"/>
            <w:hideMark/>
          </w:tcPr>
          <w:p w14:paraId="79F20E16" w14:textId="3F10E5E5" w:rsidR="003B5F49" w:rsidRPr="00245999" w:rsidRDefault="003B5F49" w:rsidP="006E44FE">
            <w:pPr>
              <w:spacing w:after="0" w:line="240" w:lineRule="auto"/>
              <w:jc w:val="right"/>
              <w:outlineLvl w:val="0"/>
              <w:rPr>
                <w:rFonts w:ascii="Arial" w:hAnsi="Arial" w:cs="Arial"/>
                <w:color w:val="000000"/>
                <w:sz w:val="16"/>
                <w:szCs w:val="16"/>
              </w:rPr>
            </w:pPr>
            <w:r w:rsidRPr="00245999">
              <w:rPr>
                <w:rFonts w:ascii="Arial" w:hAnsi="Arial" w:cs="Arial"/>
                <w:color w:val="000000"/>
                <w:sz w:val="16"/>
                <w:szCs w:val="16"/>
              </w:rPr>
              <w:t>-</w:t>
            </w:r>
          </w:p>
        </w:tc>
        <w:tc>
          <w:tcPr>
            <w:tcW w:w="851" w:type="dxa"/>
            <w:tcBorders>
              <w:top w:val="nil"/>
              <w:left w:val="nil"/>
              <w:bottom w:val="nil"/>
              <w:right w:val="nil"/>
            </w:tcBorders>
            <w:shd w:val="clear" w:color="auto" w:fill="auto"/>
            <w:noWrap/>
            <w:vAlign w:val="bottom"/>
            <w:hideMark/>
          </w:tcPr>
          <w:p w14:paraId="56135FF2" w14:textId="065059A3" w:rsidR="003B5F49" w:rsidRPr="00245999" w:rsidRDefault="003B5F49" w:rsidP="006E44FE">
            <w:pPr>
              <w:spacing w:after="0" w:line="240" w:lineRule="auto"/>
              <w:jc w:val="right"/>
              <w:outlineLvl w:val="0"/>
              <w:rPr>
                <w:rFonts w:ascii="Arial" w:hAnsi="Arial" w:cs="Arial"/>
                <w:color w:val="000000"/>
                <w:sz w:val="16"/>
                <w:szCs w:val="16"/>
              </w:rPr>
            </w:pPr>
            <w:r w:rsidRPr="00245999">
              <w:rPr>
                <w:rFonts w:ascii="Arial" w:hAnsi="Arial" w:cs="Arial"/>
                <w:color w:val="000000"/>
                <w:sz w:val="16"/>
                <w:szCs w:val="16"/>
              </w:rPr>
              <w:t>-</w:t>
            </w:r>
          </w:p>
        </w:tc>
        <w:tc>
          <w:tcPr>
            <w:tcW w:w="992" w:type="dxa"/>
            <w:tcBorders>
              <w:top w:val="nil"/>
              <w:left w:val="nil"/>
              <w:bottom w:val="nil"/>
              <w:right w:val="nil"/>
            </w:tcBorders>
            <w:shd w:val="clear" w:color="auto" w:fill="auto"/>
            <w:noWrap/>
            <w:vAlign w:val="bottom"/>
            <w:hideMark/>
          </w:tcPr>
          <w:p w14:paraId="4054ADCA" w14:textId="538B74B7" w:rsidR="003B5F49" w:rsidRPr="00245999" w:rsidRDefault="003B5F49" w:rsidP="006E44FE">
            <w:pPr>
              <w:spacing w:after="0" w:line="240" w:lineRule="auto"/>
              <w:jc w:val="right"/>
              <w:outlineLvl w:val="0"/>
              <w:rPr>
                <w:rFonts w:ascii="Arial" w:hAnsi="Arial" w:cs="Arial"/>
                <w:color w:val="000000"/>
                <w:sz w:val="16"/>
                <w:szCs w:val="16"/>
              </w:rPr>
            </w:pPr>
            <w:r w:rsidRPr="00245999">
              <w:rPr>
                <w:rFonts w:ascii="Arial" w:hAnsi="Arial" w:cs="Arial"/>
                <w:color w:val="000000"/>
                <w:sz w:val="16"/>
                <w:szCs w:val="16"/>
              </w:rPr>
              <w:t>-</w:t>
            </w:r>
          </w:p>
        </w:tc>
        <w:tc>
          <w:tcPr>
            <w:tcW w:w="1069" w:type="dxa"/>
            <w:tcBorders>
              <w:top w:val="nil"/>
              <w:left w:val="nil"/>
              <w:bottom w:val="nil"/>
              <w:right w:val="nil"/>
            </w:tcBorders>
            <w:shd w:val="clear" w:color="auto" w:fill="auto"/>
            <w:noWrap/>
            <w:vAlign w:val="bottom"/>
            <w:hideMark/>
          </w:tcPr>
          <w:p w14:paraId="0B9C0749" w14:textId="28097AA8" w:rsidR="003B5F49" w:rsidRPr="00245999" w:rsidRDefault="003B5F49" w:rsidP="006E44FE">
            <w:pPr>
              <w:spacing w:after="0" w:line="240" w:lineRule="auto"/>
              <w:jc w:val="right"/>
              <w:outlineLvl w:val="0"/>
              <w:rPr>
                <w:rFonts w:ascii="Arial" w:hAnsi="Arial" w:cs="Arial"/>
                <w:color w:val="000000"/>
                <w:sz w:val="16"/>
                <w:szCs w:val="16"/>
              </w:rPr>
            </w:pPr>
            <w:r w:rsidRPr="00245999">
              <w:rPr>
                <w:rFonts w:ascii="Arial" w:hAnsi="Arial" w:cs="Arial"/>
                <w:color w:val="000000"/>
                <w:sz w:val="16"/>
                <w:szCs w:val="16"/>
              </w:rPr>
              <w:t>-</w:t>
            </w:r>
          </w:p>
        </w:tc>
      </w:tr>
      <w:tr w:rsidR="003B5F49" w:rsidRPr="003B5F49" w14:paraId="123DE243" w14:textId="77777777" w:rsidTr="002367A2">
        <w:trPr>
          <w:trHeight w:val="204"/>
        </w:trPr>
        <w:tc>
          <w:tcPr>
            <w:tcW w:w="2835" w:type="dxa"/>
            <w:tcBorders>
              <w:top w:val="nil"/>
              <w:left w:val="nil"/>
              <w:bottom w:val="nil"/>
              <w:right w:val="nil"/>
            </w:tcBorders>
            <w:shd w:val="clear" w:color="auto" w:fill="auto"/>
            <w:noWrap/>
            <w:hideMark/>
          </w:tcPr>
          <w:p w14:paraId="60FEBAC8" w14:textId="77777777" w:rsidR="003B5F49" w:rsidRPr="003B5F49" w:rsidRDefault="003B5F49" w:rsidP="003B5F49">
            <w:pPr>
              <w:spacing w:after="0" w:line="240" w:lineRule="auto"/>
              <w:jc w:val="left"/>
              <w:outlineLvl w:val="0"/>
              <w:rPr>
                <w:rFonts w:ascii="Arial" w:hAnsi="Arial" w:cs="Arial"/>
                <w:b/>
                <w:bCs/>
                <w:color w:val="000000"/>
                <w:sz w:val="16"/>
                <w:szCs w:val="16"/>
              </w:rPr>
            </w:pPr>
            <w:r w:rsidRPr="003B5F49">
              <w:rPr>
                <w:rFonts w:ascii="Arial" w:hAnsi="Arial" w:cs="Arial"/>
                <w:b/>
                <w:bCs/>
                <w:color w:val="000000"/>
                <w:sz w:val="16"/>
                <w:szCs w:val="16"/>
              </w:rPr>
              <w:t>Total other comprehensive income</w:t>
            </w:r>
          </w:p>
        </w:tc>
        <w:tc>
          <w:tcPr>
            <w:tcW w:w="993" w:type="dxa"/>
            <w:tcBorders>
              <w:top w:val="single" w:sz="4" w:space="0" w:color="auto"/>
              <w:left w:val="nil"/>
              <w:bottom w:val="single" w:sz="4" w:space="0" w:color="auto"/>
              <w:right w:val="nil"/>
            </w:tcBorders>
            <w:shd w:val="clear" w:color="auto" w:fill="auto"/>
            <w:noWrap/>
            <w:vAlign w:val="bottom"/>
            <w:hideMark/>
          </w:tcPr>
          <w:p w14:paraId="27506D90" w14:textId="0DDBBD6D" w:rsidR="003B5F49" w:rsidRPr="00245999" w:rsidRDefault="003B5F49" w:rsidP="006E44FE">
            <w:pPr>
              <w:spacing w:after="0" w:line="240" w:lineRule="auto"/>
              <w:jc w:val="right"/>
              <w:outlineLvl w:val="0"/>
              <w:rPr>
                <w:rFonts w:ascii="Arial" w:hAnsi="Arial" w:cs="Arial"/>
                <w:b/>
                <w:bCs/>
                <w:color w:val="000000"/>
                <w:sz w:val="16"/>
                <w:szCs w:val="16"/>
              </w:rPr>
            </w:pPr>
            <w:r w:rsidRPr="00245999">
              <w:rPr>
                <w:rFonts w:ascii="Arial" w:hAnsi="Arial" w:cs="Arial"/>
                <w:b/>
                <w:bCs/>
                <w:color w:val="000000"/>
                <w:sz w:val="16"/>
                <w:szCs w:val="16"/>
              </w:rPr>
              <w:t>39,558</w:t>
            </w:r>
          </w:p>
        </w:tc>
        <w:tc>
          <w:tcPr>
            <w:tcW w:w="850" w:type="dxa"/>
            <w:tcBorders>
              <w:top w:val="single" w:sz="4" w:space="0" w:color="auto"/>
              <w:left w:val="nil"/>
              <w:bottom w:val="single" w:sz="4" w:space="0" w:color="auto"/>
              <w:right w:val="nil"/>
            </w:tcBorders>
            <w:shd w:val="clear" w:color="000000" w:fill="E6E6E6"/>
            <w:noWrap/>
            <w:vAlign w:val="bottom"/>
            <w:hideMark/>
          </w:tcPr>
          <w:p w14:paraId="5387FE29" w14:textId="41FEAB68" w:rsidR="003B5F49" w:rsidRPr="00245999" w:rsidRDefault="003B5F49" w:rsidP="006E44FE">
            <w:pPr>
              <w:spacing w:after="0" w:line="240" w:lineRule="auto"/>
              <w:jc w:val="right"/>
              <w:outlineLvl w:val="0"/>
              <w:rPr>
                <w:rFonts w:ascii="Arial" w:hAnsi="Arial" w:cs="Arial"/>
                <w:b/>
                <w:bCs/>
                <w:color w:val="000000"/>
                <w:sz w:val="16"/>
                <w:szCs w:val="16"/>
              </w:rPr>
            </w:pPr>
            <w:r w:rsidRPr="00245999">
              <w:rPr>
                <w:rFonts w:ascii="Arial" w:hAnsi="Arial" w:cs="Arial"/>
                <w:b/>
                <w:bCs/>
                <w:color w:val="000000"/>
                <w:sz w:val="16"/>
                <w:szCs w:val="16"/>
              </w:rPr>
              <w:t>-</w:t>
            </w:r>
          </w:p>
        </w:tc>
        <w:tc>
          <w:tcPr>
            <w:tcW w:w="851" w:type="dxa"/>
            <w:tcBorders>
              <w:top w:val="single" w:sz="4" w:space="0" w:color="auto"/>
              <w:left w:val="nil"/>
              <w:bottom w:val="single" w:sz="4" w:space="0" w:color="auto"/>
              <w:right w:val="nil"/>
            </w:tcBorders>
            <w:shd w:val="clear" w:color="auto" w:fill="auto"/>
            <w:noWrap/>
            <w:vAlign w:val="bottom"/>
            <w:hideMark/>
          </w:tcPr>
          <w:p w14:paraId="232E445C" w14:textId="62028015" w:rsidR="003B5F49" w:rsidRPr="00245999" w:rsidRDefault="003B5F49" w:rsidP="006E44FE">
            <w:pPr>
              <w:spacing w:after="0" w:line="240" w:lineRule="auto"/>
              <w:jc w:val="right"/>
              <w:outlineLvl w:val="0"/>
              <w:rPr>
                <w:rFonts w:ascii="Arial" w:hAnsi="Arial" w:cs="Arial"/>
                <w:b/>
                <w:bCs/>
                <w:color w:val="000000"/>
                <w:sz w:val="16"/>
                <w:szCs w:val="16"/>
              </w:rPr>
            </w:pPr>
            <w:r w:rsidRPr="00245999">
              <w:rPr>
                <w:rFonts w:ascii="Arial" w:hAnsi="Arial" w:cs="Arial"/>
                <w:b/>
                <w:bCs/>
                <w:color w:val="000000"/>
                <w:sz w:val="16"/>
                <w:szCs w:val="16"/>
              </w:rPr>
              <w:t>-</w:t>
            </w:r>
          </w:p>
        </w:tc>
        <w:tc>
          <w:tcPr>
            <w:tcW w:w="992" w:type="dxa"/>
            <w:tcBorders>
              <w:top w:val="single" w:sz="4" w:space="0" w:color="auto"/>
              <w:left w:val="nil"/>
              <w:bottom w:val="single" w:sz="4" w:space="0" w:color="auto"/>
              <w:right w:val="nil"/>
            </w:tcBorders>
            <w:shd w:val="clear" w:color="auto" w:fill="auto"/>
            <w:noWrap/>
            <w:vAlign w:val="bottom"/>
            <w:hideMark/>
          </w:tcPr>
          <w:p w14:paraId="4101529E" w14:textId="14F89487" w:rsidR="003B5F49" w:rsidRPr="00245999" w:rsidRDefault="003B5F49" w:rsidP="006E44FE">
            <w:pPr>
              <w:spacing w:after="0" w:line="240" w:lineRule="auto"/>
              <w:jc w:val="right"/>
              <w:outlineLvl w:val="0"/>
              <w:rPr>
                <w:rFonts w:ascii="Arial" w:hAnsi="Arial" w:cs="Arial"/>
                <w:b/>
                <w:bCs/>
                <w:color w:val="000000"/>
                <w:sz w:val="16"/>
                <w:szCs w:val="16"/>
              </w:rPr>
            </w:pPr>
            <w:r w:rsidRPr="00245999">
              <w:rPr>
                <w:rFonts w:ascii="Arial" w:hAnsi="Arial" w:cs="Arial"/>
                <w:b/>
                <w:bCs/>
                <w:color w:val="000000"/>
                <w:sz w:val="16"/>
                <w:szCs w:val="16"/>
              </w:rPr>
              <w:t>-</w:t>
            </w:r>
          </w:p>
        </w:tc>
        <w:tc>
          <w:tcPr>
            <w:tcW w:w="1069" w:type="dxa"/>
            <w:tcBorders>
              <w:top w:val="single" w:sz="4" w:space="0" w:color="auto"/>
              <w:left w:val="nil"/>
              <w:bottom w:val="single" w:sz="4" w:space="0" w:color="auto"/>
              <w:right w:val="nil"/>
            </w:tcBorders>
            <w:shd w:val="clear" w:color="auto" w:fill="auto"/>
            <w:noWrap/>
            <w:vAlign w:val="bottom"/>
            <w:hideMark/>
          </w:tcPr>
          <w:p w14:paraId="6ACB3F07" w14:textId="1F66ABED" w:rsidR="003B5F49" w:rsidRPr="00245999" w:rsidRDefault="003B5F49" w:rsidP="006E44FE">
            <w:pPr>
              <w:spacing w:after="0" w:line="240" w:lineRule="auto"/>
              <w:jc w:val="right"/>
              <w:outlineLvl w:val="0"/>
              <w:rPr>
                <w:rFonts w:ascii="Arial" w:hAnsi="Arial" w:cs="Arial"/>
                <w:b/>
                <w:bCs/>
                <w:color w:val="000000"/>
                <w:sz w:val="16"/>
                <w:szCs w:val="16"/>
              </w:rPr>
            </w:pPr>
            <w:r w:rsidRPr="00245999">
              <w:rPr>
                <w:rFonts w:ascii="Arial" w:hAnsi="Arial" w:cs="Arial"/>
                <w:b/>
                <w:bCs/>
                <w:color w:val="000000"/>
                <w:sz w:val="16"/>
                <w:szCs w:val="16"/>
              </w:rPr>
              <w:t>-</w:t>
            </w:r>
          </w:p>
        </w:tc>
      </w:tr>
      <w:tr w:rsidR="003B5F49" w:rsidRPr="003B5F49" w14:paraId="311DF203" w14:textId="77777777" w:rsidTr="002367A2">
        <w:trPr>
          <w:trHeight w:val="204"/>
        </w:trPr>
        <w:tc>
          <w:tcPr>
            <w:tcW w:w="2835" w:type="dxa"/>
            <w:tcBorders>
              <w:top w:val="nil"/>
              <w:left w:val="nil"/>
              <w:bottom w:val="single" w:sz="4" w:space="0" w:color="auto"/>
              <w:right w:val="nil"/>
            </w:tcBorders>
            <w:shd w:val="clear" w:color="auto" w:fill="auto"/>
            <w:hideMark/>
          </w:tcPr>
          <w:p w14:paraId="6B1DDB69" w14:textId="77777777" w:rsidR="003B5F49" w:rsidRPr="003B5F49" w:rsidRDefault="003B5F49" w:rsidP="003B5F49">
            <w:pPr>
              <w:spacing w:after="0" w:line="240" w:lineRule="auto"/>
              <w:jc w:val="left"/>
              <w:outlineLvl w:val="0"/>
              <w:rPr>
                <w:rFonts w:ascii="Arial" w:hAnsi="Arial" w:cs="Arial"/>
                <w:b/>
                <w:bCs/>
                <w:color w:val="000000"/>
                <w:sz w:val="16"/>
                <w:szCs w:val="16"/>
              </w:rPr>
            </w:pPr>
            <w:r w:rsidRPr="003B5F49">
              <w:rPr>
                <w:rFonts w:ascii="Arial" w:hAnsi="Arial" w:cs="Arial"/>
                <w:b/>
                <w:bCs/>
                <w:color w:val="000000"/>
                <w:sz w:val="16"/>
                <w:szCs w:val="16"/>
              </w:rPr>
              <w:t>Total comprehensive income/(loss) attributable to the Australian Government</w:t>
            </w:r>
          </w:p>
        </w:tc>
        <w:tc>
          <w:tcPr>
            <w:tcW w:w="993" w:type="dxa"/>
            <w:tcBorders>
              <w:top w:val="single" w:sz="4" w:space="0" w:color="auto"/>
              <w:left w:val="nil"/>
              <w:bottom w:val="single" w:sz="4" w:space="0" w:color="auto"/>
              <w:right w:val="nil"/>
            </w:tcBorders>
            <w:shd w:val="clear" w:color="auto" w:fill="auto"/>
            <w:noWrap/>
            <w:vAlign w:val="bottom"/>
            <w:hideMark/>
          </w:tcPr>
          <w:p w14:paraId="73773863" w14:textId="40DE755F" w:rsidR="003B5F49" w:rsidRPr="00245999" w:rsidRDefault="003B5F49" w:rsidP="006E44FE">
            <w:pPr>
              <w:spacing w:after="0" w:line="240" w:lineRule="auto"/>
              <w:jc w:val="right"/>
              <w:outlineLvl w:val="0"/>
              <w:rPr>
                <w:rFonts w:ascii="Arial" w:hAnsi="Arial" w:cs="Arial"/>
                <w:b/>
                <w:bCs/>
                <w:color w:val="000000"/>
                <w:sz w:val="16"/>
                <w:szCs w:val="16"/>
              </w:rPr>
            </w:pPr>
            <w:r w:rsidRPr="00245999">
              <w:rPr>
                <w:rFonts w:ascii="Arial" w:hAnsi="Arial" w:cs="Arial"/>
                <w:b/>
                <w:bCs/>
                <w:color w:val="000000"/>
                <w:sz w:val="16"/>
                <w:szCs w:val="16"/>
              </w:rPr>
              <w:t>20,677</w:t>
            </w:r>
          </w:p>
        </w:tc>
        <w:tc>
          <w:tcPr>
            <w:tcW w:w="850" w:type="dxa"/>
            <w:tcBorders>
              <w:top w:val="single" w:sz="4" w:space="0" w:color="auto"/>
              <w:left w:val="nil"/>
              <w:bottom w:val="single" w:sz="4" w:space="0" w:color="auto"/>
              <w:right w:val="nil"/>
            </w:tcBorders>
            <w:shd w:val="clear" w:color="000000" w:fill="E6E6E6"/>
            <w:noWrap/>
            <w:vAlign w:val="bottom"/>
            <w:hideMark/>
          </w:tcPr>
          <w:p w14:paraId="3FBB27E0" w14:textId="77777777" w:rsidR="003B5F49" w:rsidRPr="00245999" w:rsidRDefault="003B5F49" w:rsidP="006E44FE">
            <w:pPr>
              <w:spacing w:after="0" w:line="240" w:lineRule="auto"/>
              <w:jc w:val="right"/>
              <w:outlineLvl w:val="0"/>
              <w:rPr>
                <w:rFonts w:ascii="Arial" w:hAnsi="Arial" w:cs="Arial"/>
                <w:b/>
                <w:bCs/>
                <w:color w:val="000000"/>
                <w:sz w:val="16"/>
                <w:szCs w:val="16"/>
              </w:rPr>
            </w:pPr>
            <w:r w:rsidRPr="00245999">
              <w:rPr>
                <w:rFonts w:ascii="Arial" w:hAnsi="Arial" w:cs="Arial"/>
                <w:b/>
                <w:bCs/>
                <w:color w:val="000000"/>
                <w:sz w:val="16"/>
                <w:szCs w:val="16"/>
              </w:rPr>
              <w:t>(26,051)</w:t>
            </w:r>
          </w:p>
        </w:tc>
        <w:tc>
          <w:tcPr>
            <w:tcW w:w="851" w:type="dxa"/>
            <w:tcBorders>
              <w:top w:val="single" w:sz="4" w:space="0" w:color="auto"/>
              <w:left w:val="nil"/>
              <w:bottom w:val="single" w:sz="4" w:space="0" w:color="auto"/>
              <w:right w:val="nil"/>
            </w:tcBorders>
            <w:shd w:val="clear" w:color="auto" w:fill="auto"/>
            <w:noWrap/>
            <w:vAlign w:val="bottom"/>
            <w:hideMark/>
          </w:tcPr>
          <w:p w14:paraId="09F5843C" w14:textId="77777777" w:rsidR="003B5F49" w:rsidRPr="00245999" w:rsidRDefault="003B5F49" w:rsidP="006E44FE">
            <w:pPr>
              <w:spacing w:after="0" w:line="240" w:lineRule="auto"/>
              <w:jc w:val="right"/>
              <w:outlineLvl w:val="0"/>
              <w:rPr>
                <w:rFonts w:ascii="Arial" w:hAnsi="Arial" w:cs="Arial"/>
                <w:b/>
                <w:bCs/>
                <w:color w:val="000000"/>
                <w:sz w:val="16"/>
                <w:szCs w:val="16"/>
              </w:rPr>
            </w:pPr>
            <w:r w:rsidRPr="00245999">
              <w:rPr>
                <w:rFonts w:ascii="Arial" w:hAnsi="Arial" w:cs="Arial"/>
                <w:b/>
                <w:bCs/>
                <w:color w:val="000000"/>
                <w:sz w:val="16"/>
                <w:szCs w:val="16"/>
              </w:rPr>
              <w:t>(15,322)</w:t>
            </w:r>
          </w:p>
        </w:tc>
        <w:tc>
          <w:tcPr>
            <w:tcW w:w="992" w:type="dxa"/>
            <w:tcBorders>
              <w:top w:val="single" w:sz="4" w:space="0" w:color="auto"/>
              <w:left w:val="nil"/>
              <w:bottom w:val="single" w:sz="4" w:space="0" w:color="auto"/>
              <w:right w:val="nil"/>
            </w:tcBorders>
            <w:shd w:val="clear" w:color="auto" w:fill="auto"/>
            <w:noWrap/>
            <w:vAlign w:val="bottom"/>
            <w:hideMark/>
          </w:tcPr>
          <w:p w14:paraId="2ADEACB1" w14:textId="77777777" w:rsidR="003B5F49" w:rsidRPr="00245999" w:rsidRDefault="003B5F49" w:rsidP="006E44FE">
            <w:pPr>
              <w:spacing w:after="0" w:line="240" w:lineRule="auto"/>
              <w:jc w:val="right"/>
              <w:outlineLvl w:val="0"/>
              <w:rPr>
                <w:rFonts w:ascii="Arial" w:hAnsi="Arial" w:cs="Arial"/>
                <w:b/>
                <w:bCs/>
                <w:color w:val="000000"/>
                <w:sz w:val="16"/>
                <w:szCs w:val="16"/>
              </w:rPr>
            </w:pPr>
            <w:r w:rsidRPr="00245999">
              <w:rPr>
                <w:rFonts w:ascii="Arial" w:hAnsi="Arial" w:cs="Arial"/>
                <w:b/>
                <w:bCs/>
                <w:color w:val="000000"/>
                <w:sz w:val="16"/>
                <w:szCs w:val="16"/>
              </w:rPr>
              <w:t>(15,518)</w:t>
            </w:r>
          </w:p>
        </w:tc>
        <w:tc>
          <w:tcPr>
            <w:tcW w:w="1069" w:type="dxa"/>
            <w:tcBorders>
              <w:top w:val="single" w:sz="4" w:space="0" w:color="auto"/>
              <w:left w:val="nil"/>
              <w:bottom w:val="single" w:sz="4" w:space="0" w:color="auto"/>
              <w:right w:val="nil"/>
            </w:tcBorders>
            <w:shd w:val="clear" w:color="auto" w:fill="auto"/>
            <w:noWrap/>
            <w:vAlign w:val="bottom"/>
            <w:hideMark/>
          </w:tcPr>
          <w:p w14:paraId="3B93D34D" w14:textId="77777777" w:rsidR="003B5F49" w:rsidRPr="00245999" w:rsidRDefault="003B5F49" w:rsidP="006E44FE">
            <w:pPr>
              <w:spacing w:after="0" w:line="240" w:lineRule="auto"/>
              <w:jc w:val="right"/>
              <w:outlineLvl w:val="0"/>
              <w:rPr>
                <w:rFonts w:ascii="Arial" w:hAnsi="Arial" w:cs="Arial"/>
                <w:b/>
                <w:bCs/>
                <w:color w:val="000000"/>
                <w:sz w:val="16"/>
                <w:szCs w:val="16"/>
              </w:rPr>
            </w:pPr>
            <w:r w:rsidRPr="00245999">
              <w:rPr>
                <w:rFonts w:ascii="Arial" w:hAnsi="Arial" w:cs="Arial"/>
                <w:b/>
                <w:bCs/>
                <w:color w:val="000000"/>
                <w:sz w:val="16"/>
                <w:szCs w:val="16"/>
              </w:rPr>
              <w:t>(16,032)</w:t>
            </w:r>
          </w:p>
        </w:tc>
      </w:tr>
      <w:tr w:rsidR="003B5F49" w:rsidRPr="00086CB4" w14:paraId="208BB061" w14:textId="77777777" w:rsidTr="009608C3">
        <w:trPr>
          <w:trHeight w:val="315"/>
        </w:trPr>
        <w:tc>
          <w:tcPr>
            <w:tcW w:w="7590" w:type="dxa"/>
            <w:gridSpan w:val="6"/>
            <w:tcBorders>
              <w:top w:val="nil"/>
              <w:left w:val="nil"/>
              <w:bottom w:val="nil"/>
              <w:right w:val="nil"/>
            </w:tcBorders>
            <w:shd w:val="clear" w:color="auto" w:fill="auto"/>
            <w:noWrap/>
            <w:vAlign w:val="center"/>
            <w:hideMark/>
          </w:tcPr>
          <w:p w14:paraId="6EFE4035" w14:textId="77777777" w:rsidR="003B5F49" w:rsidRPr="00086CB4" w:rsidRDefault="003B5F49" w:rsidP="00834C3D">
            <w:pPr>
              <w:spacing w:before="60" w:after="0" w:line="240" w:lineRule="auto"/>
              <w:jc w:val="left"/>
              <w:rPr>
                <w:rFonts w:ascii="Arial" w:hAnsi="Arial" w:cs="Arial"/>
                <w:color w:val="000000"/>
                <w:sz w:val="16"/>
                <w:szCs w:val="18"/>
              </w:rPr>
            </w:pPr>
            <w:r w:rsidRPr="00086CB4">
              <w:rPr>
                <w:rFonts w:ascii="Arial" w:hAnsi="Arial" w:cs="Arial"/>
                <w:color w:val="000000"/>
                <w:sz w:val="16"/>
                <w:szCs w:val="18"/>
              </w:rPr>
              <w:t>Prepared on Australian Accounting Standards basis.</w:t>
            </w:r>
          </w:p>
          <w:p w14:paraId="64DA2A0A" w14:textId="103EA0B8" w:rsidR="003B5F49" w:rsidRPr="00086CB4" w:rsidRDefault="003B5F49" w:rsidP="00834C3D">
            <w:pPr>
              <w:spacing w:before="60" w:after="0" w:line="240" w:lineRule="auto"/>
              <w:jc w:val="left"/>
              <w:rPr>
                <w:rFonts w:ascii="Arial" w:hAnsi="Arial" w:cs="Arial"/>
                <w:color w:val="000000"/>
                <w:sz w:val="16"/>
                <w:szCs w:val="18"/>
              </w:rPr>
            </w:pPr>
          </w:p>
        </w:tc>
      </w:tr>
    </w:tbl>
    <w:p w14:paraId="06942A1E" w14:textId="77777777" w:rsidR="00713A9F" w:rsidRDefault="00713A9F" w:rsidP="003B5F49">
      <w:pPr>
        <w:pStyle w:val="TableHeading"/>
        <w:spacing w:before="0"/>
        <w:rPr>
          <w:snapToGrid w:val="0"/>
        </w:rPr>
      </w:pPr>
    </w:p>
    <w:p w14:paraId="5F686C34" w14:textId="77777777" w:rsidR="00713A9F" w:rsidRDefault="00713A9F">
      <w:pPr>
        <w:spacing w:after="0" w:line="240" w:lineRule="auto"/>
        <w:jc w:val="left"/>
        <w:rPr>
          <w:rFonts w:ascii="Arial" w:hAnsi="Arial"/>
          <w:b/>
          <w:snapToGrid w:val="0"/>
          <w:lang w:val="x-none"/>
        </w:rPr>
      </w:pPr>
      <w:r>
        <w:rPr>
          <w:snapToGrid w:val="0"/>
        </w:rPr>
        <w:br w:type="page"/>
      </w:r>
    </w:p>
    <w:p w14:paraId="312521A9" w14:textId="7D2068FB" w:rsidR="003B5F49" w:rsidRPr="003B5F49" w:rsidRDefault="00914885" w:rsidP="003B5F49">
      <w:pPr>
        <w:pStyle w:val="TableHeading"/>
        <w:spacing w:before="0"/>
        <w:rPr>
          <w:b w:val="0"/>
          <w:snapToGrid w:val="0"/>
          <w:lang w:val="en-AU"/>
        </w:rPr>
      </w:pPr>
      <w:r>
        <w:rPr>
          <w:snapToGrid w:val="0"/>
        </w:rPr>
        <w:lastRenderedPageBreak/>
        <w:t xml:space="preserve">Table 3.9: </w:t>
      </w:r>
      <w:r w:rsidRPr="00014438">
        <w:rPr>
          <w:snapToGrid w:val="0"/>
        </w:rPr>
        <w:t xml:space="preserve">Schedule of </w:t>
      </w:r>
      <w:r>
        <w:rPr>
          <w:snapToGrid w:val="0"/>
        </w:rPr>
        <w:t>b</w:t>
      </w:r>
      <w:r w:rsidRPr="00014438">
        <w:rPr>
          <w:snapToGrid w:val="0"/>
        </w:rPr>
        <w:t xml:space="preserve">udgeted </w:t>
      </w:r>
      <w:r>
        <w:rPr>
          <w:snapToGrid w:val="0"/>
        </w:rPr>
        <w:t>a</w:t>
      </w:r>
      <w:r w:rsidRPr="00014438">
        <w:rPr>
          <w:snapToGrid w:val="0"/>
        </w:rPr>
        <w:t xml:space="preserve">ssets and </w:t>
      </w:r>
      <w:r>
        <w:rPr>
          <w:snapToGrid w:val="0"/>
        </w:rPr>
        <w:t>l</w:t>
      </w:r>
      <w:r w:rsidRPr="00014438">
        <w:rPr>
          <w:snapToGrid w:val="0"/>
        </w:rPr>
        <w:t xml:space="preserve">iabilities </w:t>
      </w:r>
      <w:r>
        <w:rPr>
          <w:snapToGrid w:val="0"/>
        </w:rPr>
        <w:t>a</w:t>
      </w:r>
      <w:r w:rsidRPr="00014438">
        <w:rPr>
          <w:snapToGrid w:val="0"/>
        </w:rPr>
        <w:t xml:space="preserve">dministered on </w:t>
      </w:r>
      <w:r>
        <w:rPr>
          <w:snapToGrid w:val="0"/>
        </w:rPr>
        <w:t>b</w:t>
      </w:r>
      <w:r w:rsidRPr="00014438">
        <w:rPr>
          <w:snapToGrid w:val="0"/>
        </w:rPr>
        <w:t xml:space="preserve">ehalf of </w:t>
      </w:r>
      <w:r>
        <w:rPr>
          <w:snapToGrid w:val="0"/>
        </w:rPr>
        <w:t>G</w:t>
      </w:r>
      <w:r w:rsidRPr="00014438">
        <w:rPr>
          <w:snapToGrid w:val="0"/>
        </w:rPr>
        <w:t>overnment (as at 30 June)</w:t>
      </w:r>
    </w:p>
    <w:tbl>
      <w:tblPr>
        <w:tblW w:w="7454" w:type="dxa"/>
        <w:tblLook w:val="04A0" w:firstRow="1" w:lastRow="0" w:firstColumn="1" w:lastColumn="0" w:noHBand="0" w:noVBand="1"/>
      </w:tblPr>
      <w:tblGrid>
        <w:gridCol w:w="2552"/>
        <w:gridCol w:w="992"/>
        <w:gridCol w:w="992"/>
        <w:gridCol w:w="1057"/>
        <w:gridCol w:w="928"/>
        <w:gridCol w:w="933"/>
      </w:tblGrid>
      <w:tr w:rsidR="002367A2" w:rsidRPr="003B5F49" w14:paraId="5F70D5CC" w14:textId="77777777" w:rsidTr="002367A2">
        <w:trPr>
          <w:trHeight w:val="240"/>
        </w:trPr>
        <w:tc>
          <w:tcPr>
            <w:tcW w:w="2552" w:type="dxa"/>
            <w:tcBorders>
              <w:top w:val="single" w:sz="4" w:space="0" w:color="auto"/>
              <w:left w:val="nil"/>
              <w:bottom w:val="nil"/>
              <w:right w:val="nil"/>
            </w:tcBorders>
            <w:shd w:val="clear" w:color="auto" w:fill="auto"/>
            <w:noWrap/>
            <w:hideMark/>
          </w:tcPr>
          <w:p w14:paraId="122880F6" w14:textId="21C342F6" w:rsidR="002367A2" w:rsidRPr="003B5F49" w:rsidRDefault="002367A2" w:rsidP="002367A2">
            <w:pPr>
              <w:spacing w:after="0" w:line="240" w:lineRule="auto"/>
              <w:jc w:val="left"/>
              <w:rPr>
                <w:rFonts w:ascii="Arial" w:hAnsi="Arial" w:cs="Arial"/>
                <w:color w:val="000000"/>
                <w:sz w:val="16"/>
                <w:szCs w:val="16"/>
              </w:rPr>
            </w:pPr>
            <w:bookmarkStart w:id="470" w:name="RANGE!A3:F35"/>
            <w:r w:rsidRPr="003B5F49">
              <w:rPr>
                <w:rFonts w:ascii="Arial" w:hAnsi="Arial" w:cs="Arial"/>
                <w:color w:val="000000"/>
                <w:sz w:val="16"/>
                <w:szCs w:val="16"/>
              </w:rPr>
              <w:t> </w:t>
            </w:r>
            <w:bookmarkEnd w:id="470"/>
          </w:p>
        </w:tc>
        <w:tc>
          <w:tcPr>
            <w:tcW w:w="992" w:type="dxa"/>
            <w:tcBorders>
              <w:top w:val="single" w:sz="4" w:space="0" w:color="auto"/>
              <w:left w:val="nil"/>
              <w:bottom w:val="single" w:sz="4" w:space="0" w:color="auto"/>
              <w:right w:val="nil"/>
            </w:tcBorders>
            <w:shd w:val="clear" w:color="auto" w:fill="auto"/>
            <w:hideMark/>
          </w:tcPr>
          <w:p w14:paraId="36E80A7A" w14:textId="7B2176F3"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2020-21 Actual</w:t>
            </w:r>
            <w:r w:rsidRPr="004349E0">
              <w:rPr>
                <w:rFonts w:ascii="Arial" w:hAnsi="Arial" w:cs="Arial"/>
                <w:sz w:val="16"/>
                <w:szCs w:val="16"/>
              </w:rPr>
              <w:br/>
            </w:r>
            <w:r w:rsidRPr="004349E0">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000000" w:fill="E6E6E6"/>
            <w:hideMark/>
          </w:tcPr>
          <w:p w14:paraId="7EE6AB21" w14:textId="3ABCE4AE"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2021-22</w:t>
            </w:r>
            <w:r w:rsidRPr="004349E0">
              <w:rPr>
                <w:rFonts w:ascii="Arial" w:hAnsi="Arial" w:cs="Arial"/>
                <w:sz w:val="16"/>
                <w:szCs w:val="16"/>
              </w:rPr>
              <w:br/>
              <w:t>Revised Budget</w:t>
            </w:r>
            <w:r w:rsidRPr="004349E0">
              <w:rPr>
                <w:rFonts w:ascii="Arial" w:hAnsi="Arial" w:cs="Arial"/>
                <w:sz w:val="16"/>
                <w:szCs w:val="16"/>
              </w:rPr>
              <w:br/>
              <w:t>$'000</w:t>
            </w:r>
          </w:p>
        </w:tc>
        <w:tc>
          <w:tcPr>
            <w:tcW w:w="1057" w:type="dxa"/>
            <w:tcBorders>
              <w:top w:val="single" w:sz="4" w:space="0" w:color="auto"/>
              <w:left w:val="nil"/>
              <w:bottom w:val="single" w:sz="4" w:space="0" w:color="auto"/>
              <w:right w:val="nil"/>
            </w:tcBorders>
            <w:shd w:val="clear" w:color="auto" w:fill="auto"/>
            <w:hideMark/>
          </w:tcPr>
          <w:p w14:paraId="724015C2" w14:textId="6B382198"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2022-23 Forward estimate</w:t>
            </w:r>
            <w:r w:rsidRPr="004349E0">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hideMark/>
          </w:tcPr>
          <w:p w14:paraId="1F8FAE96" w14:textId="03940651"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2023-24 Forward estimate</w:t>
            </w:r>
            <w:r w:rsidRPr="004349E0">
              <w:rPr>
                <w:rFonts w:ascii="Arial" w:hAnsi="Arial" w:cs="Arial"/>
                <w:sz w:val="16"/>
                <w:szCs w:val="16"/>
              </w:rPr>
              <w:br/>
              <w:t>$'000</w:t>
            </w:r>
          </w:p>
        </w:tc>
        <w:tc>
          <w:tcPr>
            <w:tcW w:w="933" w:type="dxa"/>
            <w:tcBorders>
              <w:top w:val="single" w:sz="4" w:space="0" w:color="auto"/>
              <w:left w:val="nil"/>
              <w:bottom w:val="single" w:sz="4" w:space="0" w:color="auto"/>
              <w:right w:val="nil"/>
            </w:tcBorders>
            <w:shd w:val="clear" w:color="auto" w:fill="auto"/>
            <w:hideMark/>
          </w:tcPr>
          <w:p w14:paraId="662974C0" w14:textId="321EE06E"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2024-25</w:t>
            </w:r>
            <w:r w:rsidRPr="004349E0">
              <w:rPr>
                <w:rFonts w:ascii="Arial" w:hAnsi="Arial" w:cs="Arial"/>
                <w:sz w:val="16"/>
                <w:szCs w:val="16"/>
              </w:rPr>
              <w:br/>
              <w:t>Forward estimate</w:t>
            </w:r>
            <w:r w:rsidRPr="004349E0">
              <w:rPr>
                <w:rFonts w:ascii="Arial" w:hAnsi="Arial" w:cs="Arial"/>
                <w:sz w:val="16"/>
                <w:szCs w:val="16"/>
              </w:rPr>
              <w:br/>
              <w:t>$'000</w:t>
            </w:r>
          </w:p>
        </w:tc>
      </w:tr>
      <w:tr w:rsidR="003B5F49" w:rsidRPr="003B5F49" w14:paraId="2CBA3A3C" w14:textId="77777777" w:rsidTr="00C57688">
        <w:trPr>
          <w:trHeight w:val="204"/>
        </w:trPr>
        <w:tc>
          <w:tcPr>
            <w:tcW w:w="2552" w:type="dxa"/>
            <w:tcBorders>
              <w:top w:val="nil"/>
              <w:left w:val="nil"/>
              <w:bottom w:val="nil"/>
              <w:right w:val="nil"/>
            </w:tcBorders>
            <w:shd w:val="clear" w:color="auto" w:fill="auto"/>
            <w:hideMark/>
          </w:tcPr>
          <w:p w14:paraId="4B1E3687"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ASSETS</w:t>
            </w:r>
          </w:p>
        </w:tc>
        <w:tc>
          <w:tcPr>
            <w:tcW w:w="992" w:type="dxa"/>
            <w:tcBorders>
              <w:top w:val="nil"/>
              <w:left w:val="nil"/>
              <w:bottom w:val="nil"/>
              <w:right w:val="nil"/>
            </w:tcBorders>
            <w:shd w:val="clear" w:color="auto" w:fill="auto"/>
            <w:noWrap/>
            <w:vAlign w:val="bottom"/>
            <w:hideMark/>
          </w:tcPr>
          <w:p w14:paraId="611EC2C4" w14:textId="77777777" w:rsidR="003B5F49" w:rsidRPr="003B5F49" w:rsidRDefault="003B5F49" w:rsidP="00C57688">
            <w:pPr>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clear" w:color="000000" w:fill="E6E6E6"/>
            <w:noWrap/>
            <w:vAlign w:val="bottom"/>
            <w:hideMark/>
          </w:tcPr>
          <w:p w14:paraId="7422BE5A" w14:textId="2D4A3328" w:rsidR="003B5F49" w:rsidRPr="003B5F49" w:rsidRDefault="003B5F49" w:rsidP="00C57688">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73ED8B23" w14:textId="77777777" w:rsidR="003B5F49" w:rsidRPr="003B5F49" w:rsidRDefault="003B5F49" w:rsidP="00C5768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7AFFB513" w14:textId="77777777" w:rsidR="003B5F49" w:rsidRPr="003B5F49" w:rsidRDefault="003B5F49" w:rsidP="00C57688">
            <w:pPr>
              <w:spacing w:after="0" w:line="240" w:lineRule="auto"/>
              <w:jc w:val="right"/>
              <w:rPr>
                <w:rFonts w:ascii="Times New Roman" w:hAnsi="Times New Roman"/>
              </w:rPr>
            </w:pPr>
          </w:p>
        </w:tc>
        <w:tc>
          <w:tcPr>
            <w:tcW w:w="933" w:type="dxa"/>
            <w:tcBorders>
              <w:top w:val="nil"/>
              <w:left w:val="nil"/>
              <w:bottom w:val="nil"/>
              <w:right w:val="nil"/>
            </w:tcBorders>
            <w:shd w:val="clear" w:color="auto" w:fill="auto"/>
            <w:noWrap/>
            <w:vAlign w:val="bottom"/>
            <w:hideMark/>
          </w:tcPr>
          <w:p w14:paraId="3ED28161" w14:textId="77777777" w:rsidR="003B5F49" w:rsidRPr="003B5F49" w:rsidRDefault="003B5F49" w:rsidP="00C57688">
            <w:pPr>
              <w:spacing w:after="0" w:line="240" w:lineRule="auto"/>
              <w:jc w:val="right"/>
              <w:rPr>
                <w:rFonts w:ascii="Times New Roman" w:hAnsi="Times New Roman"/>
              </w:rPr>
            </w:pPr>
          </w:p>
        </w:tc>
      </w:tr>
      <w:tr w:rsidR="003B5F49" w:rsidRPr="003B5F49" w14:paraId="41677611" w14:textId="77777777" w:rsidTr="00C57688">
        <w:trPr>
          <w:trHeight w:val="204"/>
        </w:trPr>
        <w:tc>
          <w:tcPr>
            <w:tcW w:w="2552" w:type="dxa"/>
            <w:tcBorders>
              <w:top w:val="nil"/>
              <w:left w:val="nil"/>
              <w:bottom w:val="nil"/>
              <w:right w:val="nil"/>
            </w:tcBorders>
            <w:shd w:val="clear" w:color="auto" w:fill="auto"/>
            <w:noWrap/>
            <w:hideMark/>
          </w:tcPr>
          <w:p w14:paraId="7F58DB05"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Financial assets</w:t>
            </w:r>
          </w:p>
        </w:tc>
        <w:tc>
          <w:tcPr>
            <w:tcW w:w="992" w:type="dxa"/>
            <w:tcBorders>
              <w:top w:val="nil"/>
              <w:left w:val="nil"/>
              <w:bottom w:val="nil"/>
              <w:right w:val="nil"/>
            </w:tcBorders>
            <w:shd w:val="clear" w:color="auto" w:fill="auto"/>
            <w:noWrap/>
            <w:vAlign w:val="bottom"/>
            <w:hideMark/>
          </w:tcPr>
          <w:p w14:paraId="0ED75D1C" w14:textId="77777777" w:rsidR="003B5F49" w:rsidRPr="00245999" w:rsidRDefault="003B5F49" w:rsidP="00C57688">
            <w:pPr>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clear" w:color="000000" w:fill="E6E6E6"/>
            <w:noWrap/>
            <w:vAlign w:val="bottom"/>
            <w:hideMark/>
          </w:tcPr>
          <w:p w14:paraId="771BAC3F" w14:textId="12994094" w:rsidR="003B5F49" w:rsidRPr="00245999" w:rsidRDefault="003B5F49" w:rsidP="00C57688">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7BABEC1D" w14:textId="77777777" w:rsidR="003B5F49" w:rsidRPr="00245999" w:rsidRDefault="003B5F49" w:rsidP="00C5768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0D8DFEDD" w14:textId="77777777" w:rsidR="003B5F49" w:rsidRPr="00245999" w:rsidRDefault="003B5F49" w:rsidP="00C57688">
            <w:pPr>
              <w:spacing w:after="0" w:line="240" w:lineRule="auto"/>
              <w:jc w:val="right"/>
              <w:rPr>
                <w:rFonts w:ascii="Times New Roman" w:hAnsi="Times New Roman"/>
                <w:sz w:val="16"/>
                <w:szCs w:val="16"/>
              </w:rPr>
            </w:pPr>
          </w:p>
        </w:tc>
        <w:tc>
          <w:tcPr>
            <w:tcW w:w="933" w:type="dxa"/>
            <w:tcBorders>
              <w:top w:val="nil"/>
              <w:left w:val="nil"/>
              <w:bottom w:val="nil"/>
              <w:right w:val="nil"/>
            </w:tcBorders>
            <w:shd w:val="clear" w:color="auto" w:fill="auto"/>
            <w:noWrap/>
            <w:vAlign w:val="bottom"/>
            <w:hideMark/>
          </w:tcPr>
          <w:p w14:paraId="1B770E2C" w14:textId="77777777" w:rsidR="003B5F49" w:rsidRPr="00245999" w:rsidRDefault="003B5F49" w:rsidP="00C57688">
            <w:pPr>
              <w:spacing w:after="0" w:line="240" w:lineRule="auto"/>
              <w:jc w:val="right"/>
              <w:rPr>
                <w:rFonts w:ascii="Times New Roman" w:hAnsi="Times New Roman"/>
                <w:sz w:val="16"/>
                <w:szCs w:val="16"/>
              </w:rPr>
            </w:pPr>
          </w:p>
        </w:tc>
      </w:tr>
      <w:tr w:rsidR="003B5F49" w:rsidRPr="003B5F49" w14:paraId="64A1A824" w14:textId="77777777" w:rsidTr="00C57688">
        <w:trPr>
          <w:trHeight w:val="204"/>
        </w:trPr>
        <w:tc>
          <w:tcPr>
            <w:tcW w:w="2552" w:type="dxa"/>
            <w:tcBorders>
              <w:top w:val="nil"/>
              <w:left w:val="nil"/>
              <w:bottom w:val="nil"/>
              <w:right w:val="nil"/>
            </w:tcBorders>
            <w:shd w:val="clear" w:color="auto" w:fill="auto"/>
            <w:noWrap/>
            <w:hideMark/>
          </w:tcPr>
          <w:p w14:paraId="392939FA" w14:textId="77777777" w:rsidR="003B5F49" w:rsidRPr="003B5F49" w:rsidRDefault="003B5F49" w:rsidP="002359B6">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Cash and cash equivalents</w:t>
            </w:r>
          </w:p>
        </w:tc>
        <w:tc>
          <w:tcPr>
            <w:tcW w:w="992" w:type="dxa"/>
            <w:tcBorders>
              <w:top w:val="nil"/>
              <w:left w:val="nil"/>
              <w:bottom w:val="nil"/>
              <w:right w:val="nil"/>
            </w:tcBorders>
            <w:shd w:val="clear" w:color="auto" w:fill="auto"/>
            <w:noWrap/>
            <w:vAlign w:val="bottom"/>
            <w:hideMark/>
          </w:tcPr>
          <w:p w14:paraId="7DA1F074" w14:textId="1C4F2657"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559</w:t>
            </w:r>
          </w:p>
        </w:tc>
        <w:tc>
          <w:tcPr>
            <w:tcW w:w="992" w:type="dxa"/>
            <w:tcBorders>
              <w:top w:val="nil"/>
              <w:left w:val="nil"/>
              <w:bottom w:val="nil"/>
              <w:right w:val="nil"/>
            </w:tcBorders>
            <w:shd w:val="clear" w:color="000000" w:fill="E6E6E6"/>
            <w:noWrap/>
            <w:vAlign w:val="bottom"/>
            <w:hideMark/>
          </w:tcPr>
          <w:p w14:paraId="48927AAA" w14:textId="237E9067"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559</w:t>
            </w:r>
          </w:p>
        </w:tc>
        <w:tc>
          <w:tcPr>
            <w:tcW w:w="1057" w:type="dxa"/>
            <w:tcBorders>
              <w:top w:val="nil"/>
              <w:left w:val="nil"/>
              <w:bottom w:val="nil"/>
              <w:right w:val="nil"/>
            </w:tcBorders>
            <w:shd w:val="clear" w:color="auto" w:fill="auto"/>
            <w:noWrap/>
            <w:vAlign w:val="bottom"/>
            <w:hideMark/>
          </w:tcPr>
          <w:p w14:paraId="3678B495" w14:textId="49768D1E"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559</w:t>
            </w:r>
          </w:p>
        </w:tc>
        <w:tc>
          <w:tcPr>
            <w:tcW w:w="928" w:type="dxa"/>
            <w:tcBorders>
              <w:top w:val="nil"/>
              <w:left w:val="nil"/>
              <w:bottom w:val="nil"/>
              <w:right w:val="nil"/>
            </w:tcBorders>
            <w:shd w:val="clear" w:color="auto" w:fill="auto"/>
            <w:noWrap/>
            <w:vAlign w:val="bottom"/>
            <w:hideMark/>
          </w:tcPr>
          <w:p w14:paraId="4FB49663" w14:textId="64109F99"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559</w:t>
            </w:r>
          </w:p>
        </w:tc>
        <w:tc>
          <w:tcPr>
            <w:tcW w:w="933" w:type="dxa"/>
            <w:tcBorders>
              <w:top w:val="nil"/>
              <w:left w:val="nil"/>
              <w:bottom w:val="nil"/>
              <w:right w:val="nil"/>
            </w:tcBorders>
            <w:shd w:val="clear" w:color="auto" w:fill="auto"/>
            <w:noWrap/>
            <w:vAlign w:val="bottom"/>
            <w:hideMark/>
          </w:tcPr>
          <w:p w14:paraId="5DFA4122" w14:textId="6CC79968"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559</w:t>
            </w:r>
          </w:p>
        </w:tc>
      </w:tr>
      <w:tr w:rsidR="003B5F49" w:rsidRPr="003B5F49" w14:paraId="0B47DAB1" w14:textId="77777777" w:rsidTr="00C57688">
        <w:trPr>
          <w:trHeight w:val="204"/>
        </w:trPr>
        <w:tc>
          <w:tcPr>
            <w:tcW w:w="2552" w:type="dxa"/>
            <w:tcBorders>
              <w:top w:val="nil"/>
              <w:left w:val="nil"/>
              <w:bottom w:val="nil"/>
              <w:right w:val="nil"/>
            </w:tcBorders>
            <w:shd w:val="clear" w:color="auto" w:fill="auto"/>
            <w:noWrap/>
            <w:hideMark/>
          </w:tcPr>
          <w:p w14:paraId="28BC5169" w14:textId="77777777" w:rsidR="003B5F49" w:rsidRPr="003B5F49" w:rsidRDefault="003B5F49" w:rsidP="002359B6">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Receivables</w:t>
            </w:r>
          </w:p>
        </w:tc>
        <w:tc>
          <w:tcPr>
            <w:tcW w:w="992" w:type="dxa"/>
            <w:tcBorders>
              <w:top w:val="nil"/>
              <w:left w:val="nil"/>
              <w:bottom w:val="nil"/>
              <w:right w:val="nil"/>
            </w:tcBorders>
            <w:shd w:val="clear" w:color="auto" w:fill="auto"/>
            <w:noWrap/>
            <w:vAlign w:val="bottom"/>
            <w:hideMark/>
          </w:tcPr>
          <w:p w14:paraId="5B8BE4F0" w14:textId="4055090B"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1,997</w:t>
            </w:r>
          </w:p>
        </w:tc>
        <w:tc>
          <w:tcPr>
            <w:tcW w:w="992" w:type="dxa"/>
            <w:tcBorders>
              <w:top w:val="nil"/>
              <w:left w:val="nil"/>
              <w:bottom w:val="nil"/>
              <w:right w:val="nil"/>
            </w:tcBorders>
            <w:shd w:val="clear" w:color="000000" w:fill="E6E6E6"/>
            <w:noWrap/>
            <w:vAlign w:val="bottom"/>
            <w:hideMark/>
          </w:tcPr>
          <w:p w14:paraId="20DAA315" w14:textId="1948B1F5"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1,997</w:t>
            </w:r>
          </w:p>
        </w:tc>
        <w:tc>
          <w:tcPr>
            <w:tcW w:w="1057" w:type="dxa"/>
            <w:tcBorders>
              <w:top w:val="nil"/>
              <w:left w:val="nil"/>
              <w:bottom w:val="nil"/>
              <w:right w:val="nil"/>
            </w:tcBorders>
            <w:shd w:val="clear" w:color="auto" w:fill="auto"/>
            <w:noWrap/>
            <w:vAlign w:val="bottom"/>
            <w:hideMark/>
          </w:tcPr>
          <w:p w14:paraId="7EAF1293" w14:textId="14DFB802"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1,997</w:t>
            </w:r>
          </w:p>
        </w:tc>
        <w:tc>
          <w:tcPr>
            <w:tcW w:w="928" w:type="dxa"/>
            <w:tcBorders>
              <w:top w:val="nil"/>
              <w:left w:val="nil"/>
              <w:bottom w:val="nil"/>
              <w:right w:val="nil"/>
            </w:tcBorders>
            <w:shd w:val="clear" w:color="auto" w:fill="auto"/>
            <w:noWrap/>
            <w:vAlign w:val="bottom"/>
            <w:hideMark/>
          </w:tcPr>
          <w:p w14:paraId="1D688937" w14:textId="65A2DA73"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1,997</w:t>
            </w:r>
          </w:p>
        </w:tc>
        <w:tc>
          <w:tcPr>
            <w:tcW w:w="933" w:type="dxa"/>
            <w:tcBorders>
              <w:top w:val="nil"/>
              <w:left w:val="nil"/>
              <w:bottom w:val="nil"/>
              <w:right w:val="nil"/>
            </w:tcBorders>
            <w:shd w:val="clear" w:color="auto" w:fill="auto"/>
            <w:noWrap/>
            <w:vAlign w:val="bottom"/>
            <w:hideMark/>
          </w:tcPr>
          <w:p w14:paraId="4E64C78A" w14:textId="33A350AF"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1,997</w:t>
            </w:r>
          </w:p>
        </w:tc>
      </w:tr>
      <w:tr w:rsidR="003B5F49" w:rsidRPr="003B5F49" w14:paraId="01BDE5EA" w14:textId="77777777" w:rsidTr="00C57688">
        <w:trPr>
          <w:trHeight w:val="204"/>
        </w:trPr>
        <w:tc>
          <w:tcPr>
            <w:tcW w:w="2552" w:type="dxa"/>
            <w:tcBorders>
              <w:top w:val="nil"/>
              <w:left w:val="nil"/>
              <w:bottom w:val="nil"/>
              <w:right w:val="nil"/>
            </w:tcBorders>
            <w:shd w:val="clear" w:color="auto" w:fill="auto"/>
            <w:noWrap/>
            <w:hideMark/>
          </w:tcPr>
          <w:p w14:paraId="5E9D7ECF" w14:textId="77777777" w:rsidR="003B5F49" w:rsidRPr="003B5F49" w:rsidRDefault="003B5F49" w:rsidP="003B5F49">
            <w:pPr>
              <w:spacing w:after="0" w:line="240" w:lineRule="auto"/>
              <w:jc w:val="left"/>
              <w:rPr>
                <w:rFonts w:ascii="Arial" w:hAnsi="Arial" w:cs="Arial"/>
                <w:b/>
                <w:bCs/>
                <w:i/>
                <w:iCs/>
                <w:color w:val="000000"/>
                <w:sz w:val="16"/>
                <w:szCs w:val="16"/>
              </w:rPr>
            </w:pPr>
            <w:r w:rsidRPr="003B5F49">
              <w:rPr>
                <w:rFonts w:ascii="Arial" w:hAnsi="Arial" w:cs="Arial"/>
                <w:b/>
                <w:bCs/>
                <w:i/>
                <w:iCs/>
                <w:color w:val="000000"/>
                <w:sz w:val="16"/>
                <w:szCs w:val="16"/>
              </w:rPr>
              <w:t>Total financial assets</w:t>
            </w:r>
          </w:p>
        </w:tc>
        <w:tc>
          <w:tcPr>
            <w:tcW w:w="992" w:type="dxa"/>
            <w:tcBorders>
              <w:top w:val="single" w:sz="4" w:space="0" w:color="auto"/>
              <w:left w:val="nil"/>
              <w:bottom w:val="single" w:sz="4" w:space="0" w:color="auto"/>
              <w:right w:val="nil"/>
            </w:tcBorders>
            <w:shd w:val="clear" w:color="auto" w:fill="auto"/>
            <w:noWrap/>
            <w:vAlign w:val="bottom"/>
            <w:hideMark/>
          </w:tcPr>
          <w:p w14:paraId="5B16A21D" w14:textId="1B5B1A6D" w:rsidR="003B5F49" w:rsidRPr="00245999" w:rsidRDefault="003B5F49" w:rsidP="00C57688">
            <w:pPr>
              <w:spacing w:after="0" w:line="240" w:lineRule="auto"/>
              <w:jc w:val="right"/>
              <w:rPr>
                <w:rFonts w:ascii="Arial" w:hAnsi="Arial" w:cs="Arial"/>
                <w:b/>
                <w:bCs/>
                <w:i/>
                <w:iCs/>
                <w:color w:val="000000"/>
                <w:sz w:val="16"/>
                <w:szCs w:val="16"/>
              </w:rPr>
            </w:pPr>
            <w:r w:rsidRPr="00245999">
              <w:rPr>
                <w:rFonts w:ascii="Arial" w:hAnsi="Arial" w:cs="Arial"/>
                <w:b/>
                <w:bCs/>
                <w:i/>
                <w:iCs/>
                <w:color w:val="000000"/>
                <w:sz w:val="16"/>
                <w:szCs w:val="16"/>
              </w:rPr>
              <w:t>2,556</w:t>
            </w:r>
          </w:p>
        </w:tc>
        <w:tc>
          <w:tcPr>
            <w:tcW w:w="992" w:type="dxa"/>
            <w:tcBorders>
              <w:top w:val="single" w:sz="4" w:space="0" w:color="auto"/>
              <w:left w:val="nil"/>
              <w:bottom w:val="single" w:sz="4" w:space="0" w:color="auto"/>
              <w:right w:val="nil"/>
            </w:tcBorders>
            <w:shd w:val="clear" w:color="000000" w:fill="E6E6E6"/>
            <w:noWrap/>
            <w:vAlign w:val="bottom"/>
            <w:hideMark/>
          </w:tcPr>
          <w:p w14:paraId="0E56275A" w14:textId="11117AB4" w:rsidR="003B5F49" w:rsidRPr="00245999" w:rsidRDefault="003B5F49" w:rsidP="00C57688">
            <w:pPr>
              <w:spacing w:after="0" w:line="240" w:lineRule="auto"/>
              <w:jc w:val="right"/>
              <w:rPr>
                <w:rFonts w:ascii="Arial" w:hAnsi="Arial" w:cs="Arial"/>
                <w:b/>
                <w:bCs/>
                <w:i/>
                <w:iCs/>
                <w:color w:val="000000"/>
                <w:sz w:val="16"/>
                <w:szCs w:val="16"/>
              </w:rPr>
            </w:pPr>
            <w:r w:rsidRPr="00245999">
              <w:rPr>
                <w:rFonts w:ascii="Arial" w:hAnsi="Arial" w:cs="Arial"/>
                <w:b/>
                <w:bCs/>
                <w:i/>
                <w:iCs/>
                <w:color w:val="000000"/>
                <w:sz w:val="16"/>
                <w:szCs w:val="16"/>
              </w:rPr>
              <w:t>2,556</w:t>
            </w:r>
          </w:p>
        </w:tc>
        <w:tc>
          <w:tcPr>
            <w:tcW w:w="1057" w:type="dxa"/>
            <w:tcBorders>
              <w:top w:val="single" w:sz="4" w:space="0" w:color="auto"/>
              <w:left w:val="nil"/>
              <w:bottom w:val="single" w:sz="4" w:space="0" w:color="auto"/>
              <w:right w:val="nil"/>
            </w:tcBorders>
            <w:shd w:val="clear" w:color="auto" w:fill="auto"/>
            <w:noWrap/>
            <w:vAlign w:val="bottom"/>
            <w:hideMark/>
          </w:tcPr>
          <w:p w14:paraId="1A3061FE" w14:textId="669CFA38" w:rsidR="003B5F49" w:rsidRPr="00245999" w:rsidRDefault="003B5F49" w:rsidP="00C57688">
            <w:pPr>
              <w:spacing w:after="0" w:line="240" w:lineRule="auto"/>
              <w:jc w:val="right"/>
              <w:rPr>
                <w:rFonts w:ascii="Arial" w:hAnsi="Arial" w:cs="Arial"/>
                <w:b/>
                <w:bCs/>
                <w:i/>
                <w:iCs/>
                <w:color w:val="000000"/>
                <w:sz w:val="16"/>
                <w:szCs w:val="16"/>
              </w:rPr>
            </w:pPr>
            <w:r w:rsidRPr="00245999">
              <w:rPr>
                <w:rFonts w:ascii="Arial" w:hAnsi="Arial" w:cs="Arial"/>
                <w:b/>
                <w:bCs/>
                <w:i/>
                <w:iCs/>
                <w:color w:val="000000"/>
                <w:sz w:val="16"/>
                <w:szCs w:val="16"/>
              </w:rPr>
              <w:t>2,556</w:t>
            </w:r>
          </w:p>
        </w:tc>
        <w:tc>
          <w:tcPr>
            <w:tcW w:w="928" w:type="dxa"/>
            <w:tcBorders>
              <w:top w:val="single" w:sz="4" w:space="0" w:color="auto"/>
              <w:left w:val="nil"/>
              <w:bottom w:val="single" w:sz="4" w:space="0" w:color="auto"/>
              <w:right w:val="nil"/>
            </w:tcBorders>
            <w:shd w:val="clear" w:color="auto" w:fill="auto"/>
            <w:noWrap/>
            <w:vAlign w:val="bottom"/>
            <w:hideMark/>
          </w:tcPr>
          <w:p w14:paraId="4D2C0CE3" w14:textId="2F382457" w:rsidR="003B5F49" w:rsidRPr="00245999" w:rsidRDefault="003B5F49" w:rsidP="00C57688">
            <w:pPr>
              <w:spacing w:after="0" w:line="240" w:lineRule="auto"/>
              <w:jc w:val="right"/>
              <w:rPr>
                <w:rFonts w:ascii="Arial" w:hAnsi="Arial" w:cs="Arial"/>
                <w:b/>
                <w:bCs/>
                <w:i/>
                <w:iCs/>
                <w:color w:val="000000"/>
                <w:sz w:val="16"/>
                <w:szCs w:val="16"/>
              </w:rPr>
            </w:pPr>
            <w:r w:rsidRPr="00245999">
              <w:rPr>
                <w:rFonts w:ascii="Arial" w:hAnsi="Arial" w:cs="Arial"/>
                <w:b/>
                <w:bCs/>
                <w:i/>
                <w:iCs/>
                <w:color w:val="000000"/>
                <w:sz w:val="16"/>
                <w:szCs w:val="16"/>
              </w:rPr>
              <w:t>2,556</w:t>
            </w:r>
          </w:p>
        </w:tc>
        <w:tc>
          <w:tcPr>
            <w:tcW w:w="933" w:type="dxa"/>
            <w:tcBorders>
              <w:top w:val="single" w:sz="4" w:space="0" w:color="auto"/>
              <w:left w:val="nil"/>
              <w:bottom w:val="single" w:sz="4" w:space="0" w:color="auto"/>
              <w:right w:val="nil"/>
            </w:tcBorders>
            <w:shd w:val="clear" w:color="auto" w:fill="auto"/>
            <w:noWrap/>
            <w:vAlign w:val="bottom"/>
            <w:hideMark/>
          </w:tcPr>
          <w:p w14:paraId="2DF74279" w14:textId="17D6E9F6" w:rsidR="003B5F49" w:rsidRPr="00245999" w:rsidRDefault="003B5F49" w:rsidP="00C57688">
            <w:pPr>
              <w:spacing w:after="0" w:line="240" w:lineRule="auto"/>
              <w:jc w:val="right"/>
              <w:rPr>
                <w:rFonts w:ascii="Arial" w:hAnsi="Arial" w:cs="Arial"/>
                <w:b/>
                <w:bCs/>
                <w:i/>
                <w:iCs/>
                <w:color w:val="000000"/>
                <w:sz w:val="16"/>
                <w:szCs w:val="16"/>
              </w:rPr>
            </w:pPr>
            <w:r w:rsidRPr="00245999">
              <w:rPr>
                <w:rFonts w:ascii="Arial" w:hAnsi="Arial" w:cs="Arial"/>
                <w:b/>
                <w:bCs/>
                <w:i/>
                <w:iCs/>
                <w:color w:val="000000"/>
                <w:sz w:val="16"/>
                <w:szCs w:val="16"/>
              </w:rPr>
              <w:t>2,556</w:t>
            </w:r>
          </w:p>
        </w:tc>
      </w:tr>
      <w:tr w:rsidR="003B5F49" w:rsidRPr="003B5F49" w14:paraId="7C92ADEC" w14:textId="77777777" w:rsidTr="00C57688">
        <w:trPr>
          <w:trHeight w:val="204"/>
        </w:trPr>
        <w:tc>
          <w:tcPr>
            <w:tcW w:w="2552" w:type="dxa"/>
            <w:tcBorders>
              <w:top w:val="nil"/>
              <w:left w:val="nil"/>
              <w:bottom w:val="nil"/>
              <w:right w:val="nil"/>
            </w:tcBorders>
            <w:shd w:val="clear" w:color="auto" w:fill="auto"/>
            <w:noWrap/>
            <w:hideMark/>
          </w:tcPr>
          <w:p w14:paraId="6D2A0032"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Non-financial assets</w:t>
            </w:r>
          </w:p>
        </w:tc>
        <w:tc>
          <w:tcPr>
            <w:tcW w:w="992" w:type="dxa"/>
            <w:tcBorders>
              <w:top w:val="nil"/>
              <w:left w:val="nil"/>
              <w:bottom w:val="nil"/>
              <w:right w:val="nil"/>
            </w:tcBorders>
            <w:shd w:val="clear" w:color="auto" w:fill="auto"/>
            <w:noWrap/>
            <w:vAlign w:val="bottom"/>
            <w:hideMark/>
          </w:tcPr>
          <w:p w14:paraId="7F567539" w14:textId="77777777" w:rsidR="003B5F49" w:rsidRPr="00245999" w:rsidRDefault="003B5F49" w:rsidP="00C57688">
            <w:pPr>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clear" w:color="000000" w:fill="E6E6E6"/>
            <w:noWrap/>
            <w:vAlign w:val="bottom"/>
            <w:hideMark/>
          </w:tcPr>
          <w:p w14:paraId="32DC149A" w14:textId="2ADA395E" w:rsidR="003B5F49" w:rsidRPr="00245999" w:rsidRDefault="003B5F49" w:rsidP="00C57688">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400F2C64" w14:textId="77777777" w:rsidR="003B5F49" w:rsidRPr="00245999" w:rsidRDefault="003B5F49" w:rsidP="00C5768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2126C701" w14:textId="77777777" w:rsidR="003B5F49" w:rsidRPr="00245999" w:rsidRDefault="003B5F49" w:rsidP="00C57688">
            <w:pPr>
              <w:spacing w:after="0" w:line="240" w:lineRule="auto"/>
              <w:jc w:val="right"/>
              <w:rPr>
                <w:rFonts w:ascii="Times New Roman" w:hAnsi="Times New Roman"/>
                <w:sz w:val="16"/>
                <w:szCs w:val="16"/>
              </w:rPr>
            </w:pPr>
          </w:p>
        </w:tc>
        <w:tc>
          <w:tcPr>
            <w:tcW w:w="933" w:type="dxa"/>
            <w:tcBorders>
              <w:top w:val="nil"/>
              <w:left w:val="nil"/>
              <w:bottom w:val="nil"/>
              <w:right w:val="nil"/>
            </w:tcBorders>
            <w:shd w:val="clear" w:color="auto" w:fill="auto"/>
            <w:noWrap/>
            <w:vAlign w:val="bottom"/>
            <w:hideMark/>
          </w:tcPr>
          <w:p w14:paraId="67AD408F" w14:textId="77777777" w:rsidR="003B5F49" w:rsidRPr="00245999" w:rsidRDefault="003B5F49" w:rsidP="00C57688">
            <w:pPr>
              <w:spacing w:after="0" w:line="240" w:lineRule="auto"/>
              <w:jc w:val="right"/>
              <w:rPr>
                <w:rFonts w:ascii="Times New Roman" w:hAnsi="Times New Roman"/>
                <w:sz w:val="16"/>
                <w:szCs w:val="16"/>
              </w:rPr>
            </w:pPr>
          </w:p>
        </w:tc>
      </w:tr>
      <w:tr w:rsidR="00CF5BD0" w:rsidRPr="003B5F49" w14:paraId="0F6DBBBF" w14:textId="77777777" w:rsidTr="00C57688">
        <w:trPr>
          <w:trHeight w:val="204"/>
        </w:trPr>
        <w:tc>
          <w:tcPr>
            <w:tcW w:w="2552" w:type="dxa"/>
            <w:tcBorders>
              <w:top w:val="nil"/>
              <w:left w:val="nil"/>
              <w:bottom w:val="nil"/>
              <w:right w:val="nil"/>
            </w:tcBorders>
            <w:shd w:val="clear" w:color="auto" w:fill="auto"/>
            <w:noWrap/>
            <w:hideMark/>
          </w:tcPr>
          <w:p w14:paraId="2227403B" w14:textId="77777777" w:rsidR="00CF5BD0" w:rsidRPr="003B5F49" w:rsidRDefault="00CF5BD0" w:rsidP="00CF5BD0">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Land and buildings</w:t>
            </w:r>
          </w:p>
        </w:tc>
        <w:tc>
          <w:tcPr>
            <w:tcW w:w="992" w:type="dxa"/>
            <w:tcBorders>
              <w:top w:val="nil"/>
              <w:left w:val="nil"/>
              <w:bottom w:val="nil"/>
              <w:right w:val="nil"/>
            </w:tcBorders>
            <w:shd w:val="clear" w:color="auto" w:fill="auto"/>
            <w:noWrap/>
            <w:vAlign w:val="bottom"/>
            <w:hideMark/>
          </w:tcPr>
          <w:p w14:paraId="56D7D6E6" w14:textId="3BCF134A"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522,727</w:t>
            </w:r>
          </w:p>
        </w:tc>
        <w:tc>
          <w:tcPr>
            <w:tcW w:w="992" w:type="dxa"/>
            <w:tcBorders>
              <w:top w:val="nil"/>
              <w:left w:val="nil"/>
              <w:bottom w:val="nil"/>
              <w:right w:val="nil"/>
            </w:tcBorders>
            <w:shd w:val="clear" w:color="000000" w:fill="E6E6E6"/>
            <w:noWrap/>
            <w:vAlign w:val="bottom"/>
            <w:hideMark/>
          </w:tcPr>
          <w:p w14:paraId="315C09A0" w14:textId="1223D062"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522,508</w:t>
            </w:r>
          </w:p>
        </w:tc>
        <w:tc>
          <w:tcPr>
            <w:tcW w:w="1057" w:type="dxa"/>
            <w:tcBorders>
              <w:top w:val="nil"/>
              <w:left w:val="nil"/>
              <w:bottom w:val="nil"/>
              <w:right w:val="nil"/>
            </w:tcBorders>
            <w:shd w:val="clear" w:color="auto" w:fill="auto"/>
            <w:noWrap/>
            <w:vAlign w:val="bottom"/>
            <w:hideMark/>
          </w:tcPr>
          <w:p w14:paraId="32EA1153" w14:textId="02FDF28F"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522,310</w:t>
            </w:r>
          </w:p>
        </w:tc>
        <w:tc>
          <w:tcPr>
            <w:tcW w:w="928" w:type="dxa"/>
            <w:tcBorders>
              <w:top w:val="nil"/>
              <w:left w:val="nil"/>
              <w:bottom w:val="nil"/>
              <w:right w:val="nil"/>
            </w:tcBorders>
            <w:shd w:val="clear" w:color="auto" w:fill="auto"/>
            <w:noWrap/>
            <w:vAlign w:val="bottom"/>
            <w:hideMark/>
          </w:tcPr>
          <w:p w14:paraId="58A75A98" w14:textId="634EF8D7"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521,560</w:t>
            </w:r>
          </w:p>
        </w:tc>
        <w:tc>
          <w:tcPr>
            <w:tcW w:w="933" w:type="dxa"/>
            <w:tcBorders>
              <w:top w:val="nil"/>
              <w:left w:val="nil"/>
              <w:bottom w:val="nil"/>
              <w:right w:val="nil"/>
            </w:tcBorders>
            <w:shd w:val="clear" w:color="auto" w:fill="auto"/>
            <w:noWrap/>
            <w:vAlign w:val="bottom"/>
            <w:hideMark/>
          </w:tcPr>
          <w:p w14:paraId="274B50F6" w14:textId="67AD4658"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521,310</w:t>
            </w:r>
          </w:p>
        </w:tc>
      </w:tr>
      <w:tr w:rsidR="00CF5BD0" w:rsidRPr="003B5F49" w14:paraId="398C8685" w14:textId="77777777" w:rsidTr="00C57688">
        <w:trPr>
          <w:trHeight w:val="204"/>
        </w:trPr>
        <w:tc>
          <w:tcPr>
            <w:tcW w:w="2552" w:type="dxa"/>
            <w:tcBorders>
              <w:top w:val="nil"/>
              <w:left w:val="nil"/>
              <w:bottom w:val="nil"/>
              <w:right w:val="nil"/>
            </w:tcBorders>
            <w:shd w:val="clear" w:color="auto" w:fill="auto"/>
            <w:noWrap/>
            <w:hideMark/>
          </w:tcPr>
          <w:p w14:paraId="7FC841B6" w14:textId="77777777" w:rsidR="00CF5BD0" w:rsidRPr="003B5F49" w:rsidRDefault="00CF5BD0" w:rsidP="00CF5BD0">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Property, plant and equipment</w:t>
            </w:r>
          </w:p>
        </w:tc>
        <w:tc>
          <w:tcPr>
            <w:tcW w:w="992" w:type="dxa"/>
            <w:tcBorders>
              <w:top w:val="nil"/>
              <w:left w:val="nil"/>
              <w:bottom w:val="nil"/>
              <w:right w:val="nil"/>
            </w:tcBorders>
            <w:shd w:val="clear" w:color="auto" w:fill="auto"/>
            <w:noWrap/>
            <w:vAlign w:val="bottom"/>
            <w:hideMark/>
          </w:tcPr>
          <w:p w14:paraId="408DCD37" w14:textId="7D708092"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418,411</w:t>
            </w:r>
          </w:p>
        </w:tc>
        <w:tc>
          <w:tcPr>
            <w:tcW w:w="992" w:type="dxa"/>
            <w:tcBorders>
              <w:top w:val="nil"/>
              <w:left w:val="nil"/>
              <w:bottom w:val="nil"/>
              <w:right w:val="nil"/>
            </w:tcBorders>
            <w:shd w:val="clear" w:color="000000" w:fill="E6E6E6"/>
            <w:noWrap/>
            <w:vAlign w:val="bottom"/>
            <w:hideMark/>
          </w:tcPr>
          <w:p w14:paraId="1B06989D" w14:textId="600162BD"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433,494</w:t>
            </w:r>
          </w:p>
        </w:tc>
        <w:tc>
          <w:tcPr>
            <w:tcW w:w="1057" w:type="dxa"/>
            <w:tcBorders>
              <w:top w:val="nil"/>
              <w:left w:val="nil"/>
              <w:bottom w:val="nil"/>
              <w:right w:val="nil"/>
            </w:tcBorders>
            <w:shd w:val="clear" w:color="auto" w:fill="auto"/>
            <w:noWrap/>
            <w:vAlign w:val="bottom"/>
            <w:hideMark/>
          </w:tcPr>
          <w:p w14:paraId="67198C82" w14:textId="3035D6AF"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468,446</w:t>
            </w:r>
          </w:p>
        </w:tc>
        <w:tc>
          <w:tcPr>
            <w:tcW w:w="928" w:type="dxa"/>
            <w:tcBorders>
              <w:top w:val="nil"/>
              <w:left w:val="nil"/>
              <w:bottom w:val="nil"/>
              <w:right w:val="nil"/>
            </w:tcBorders>
            <w:shd w:val="clear" w:color="auto" w:fill="auto"/>
            <w:noWrap/>
            <w:vAlign w:val="bottom"/>
            <w:hideMark/>
          </w:tcPr>
          <w:p w14:paraId="5A305062" w14:textId="1C79D23D"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505,820</w:t>
            </w:r>
          </w:p>
        </w:tc>
        <w:tc>
          <w:tcPr>
            <w:tcW w:w="933" w:type="dxa"/>
            <w:tcBorders>
              <w:top w:val="nil"/>
              <w:left w:val="nil"/>
              <w:bottom w:val="nil"/>
              <w:right w:val="nil"/>
            </w:tcBorders>
            <w:shd w:val="clear" w:color="auto" w:fill="auto"/>
            <w:noWrap/>
            <w:vAlign w:val="bottom"/>
            <w:hideMark/>
          </w:tcPr>
          <w:p w14:paraId="0A88B4CB" w14:textId="08833FC3"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500,561</w:t>
            </w:r>
          </w:p>
        </w:tc>
      </w:tr>
      <w:tr w:rsidR="00CF5BD0" w:rsidRPr="003B5F49" w14:paraId="132740C7" w14:textId="77777777" w:rsidTr="00C57688">
        <w:trPr>
          <w:trHeight w:val="204"/>
        </w:trPr>
        <w:tc>
          <w:tcPr>
            <w:tcW w:w="2552" w:type="dxa"/>
            <w:tcBorders>
              <w:top w:val="nil"/>
              <w:left w:val="nil"/>
              <w:bottom w:val="nil"/>
              <w:right w:val="nil"/>
            </w:tcBorders>
            <w:shd w:val="clear" w:color="auto" w:fill="auto"/>
            <w:noWrap/>
            <w:hideMark/>
          </w:tcPr>
          <w:p w14:paraId="5F116DB0" w14:textId="77777777" w:rsidR="00CF5BD0" w:rsidRPr="003B5F49" w:rsidRDefault="00CF5BD0" w:rsidP="00CF5BD0">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Heritage and cultural assets</w:t>
            </w:r>
          </w:p>
        </w:tc>
        <w:tc>
          <w:tcPr>
            <w:tcW w:w="992" w:type="dxa"/>
            <w:tcBorders>
              <w:top w:val="nil"/>
              <w:left w:val="nil"/>
              <w:bottom w:val="nil"/>
              <w:right w:val="nil"/>
            </w:tcBorders>
            <w:shd w:val="clear" w:color="auto" w:fill="auto"/>
            <w:noWrap/>
            <w:vAlign w:val="bottom"/>
            <w:hideMark/>
          </w:tcPr>
          <w:p w14:paraId="3AA9DCD1" w14:textId="2E31C7E6"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54,212</w:t>
            </w:r>
          </w:p>
        </w:tc>
        <w:tc>
          <w:tcPr>
            <w:tcW w:w="992" w:type="dxa"/>
            <w:tcBorders>
              <w:top w:val="nil"/>
              <w:left w:val="nil"/>
              <w:bottom w:val="nil"/>
              <w:right w:val="nil"/>
            </w:tcBorders>
            <w:shd w:val="clear" w:color="000000" w:fill="E6E6E6"/>
            <w:noWrap/>
            <w:vAlign w:val="bottom"/>
            <w:hideMark/>
          </w:tcPr>
          <w:p w14:paraId="21891CA3" w14:textId="46CE94E7"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55,197</w:t>
            </w:r>
          </w:p>
        </w:tc>
        <w:tc>
          <w:tcPr>
            <w:tcW w:w="1057" w:type="dxa"/>
            <w:tcBorders>
              <w:top w:val="nil"/>
              <w:left w:val="nil"/>
              <w:bottom w:val="nil"/>
              <w:right w:val="nil"/>
            </w:tcBorders>
            <w:shd w:val="clear" w:color="auto" w:fill="auto"/>
            <w:noWrap/>
            <w:vAlign w:val="bottom"/>
            <w:hideMark/>
          </w:tcPr>
          <w:p w14:paraId="241C6379" w14:textId="7E332D4B"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57,397</w:t>
            </w:r>
          </w:p>
        </w:tc>
        <w:tc>
          <w:tcPr>
            <w:tcW w:w="928" w:type="dxa"/>
            <w:tcBorders>
              <w:top w:val="nil"/>
              <w:left w:val="nil"/>
              <w:bottom w:val="nil"/>
              <w:right w:val="nil"/>
            </w:tcBorders>
            <w:shd w:val="clear" w:color="auto" w:fill="auto"/>
            <w:noWrap/>
            <w:vAlign w:val="bottom"/>
            <w:hideMark/>
          </w:tcPr>
          <w:p w14:paraId="7020CCA8" w14:textId="0C5D8C1D"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56,597</w:t>
            </w:r>
          </w:p>
        </w:tc>
        <w:tc>
          <w:tcPr>
            <w:tcW w:w="933" w:type="dxa"/>
            <w:tcBorders>
              <w:top w:val="nil"/>
              <w:left w:val="nil"/>
              <w:bottom w:val="nil"/>
              <w:right w:val="nil"/>
            </w:tcBorders>
            <w:shd w:val="clear" w:color="auto" w:fill="auto"/>
            <w:noWrap/>
            <w:vAlign w:val="bottom"/>
            <w:hideMark/>
          </w:tcPr>
          <w:p w14:paraId="35582F9C" w14:textId="7BD4DD5E"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56,397</w:t>
            </w:r>
          </w:p>
        </w:tc>
      </w:tr>
      <w:tr w:rsidR="00CF5BD0" w:rsidRPr="003B5F49" w14:paraId="712C2139" w14:textId="77777777" w:rsidTr="00C57688">
        <w:trPr>
          <w:trHeight w:val="204"/>
        </w:trPr>
        <w:tc>
          <w:tcPr>
            <w:tcW w:w="2552" w:type="dxa"/>
            <w:tcBorders>
              <w:top w:val="nil"/>
              <w:left w:val="nil"/>
              <w:bottom w:val="nil"/>
              <w:right w:val="nil"/>
            </w:tcBorders>
            <w:shd w:val="clear" w:color="auto" w:fill="auto"/>
            <w:noWrap/>
            <w:hideMark/>
          </w:tcPr>
          <w:p w14:paraId="63ECC23F" w14:textId="77777777" w:rsidR="00CF5BD0" w:rsidRPr="003B5F49" w:rsidRDefault="00CF5BD0" w:rsidP="00CF5BD0">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Intangibles</w:t>
            </w:r>
          </w:p>
        </w:tc>
        <w:tc>
          <w:tcPr>
            <w:tcW w:w="992" w:type="dxa"/>
            <w:tcBorders>
              <w:top w:val="nil"/>
              <w:left w:val="nil"/>
              <w:bottom w:val="nil"/>
              <w:right w:val="nil"/>
            </w:tcBorders>
            <w:shd w:val="clear" w:color="auto" w:fill="auto"/>
            <w:noWrap/>
            <w:vAlign w:val="bottom"/>
            <w:hideMark/>
          </w:tcPr>
          <w:p w14:paraId="0CE4CE52" w14:textId="303D5F21"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3,380</w:t>
            </w:r>
          </w:p>
        </w:tc>
        <w:tc>
          <w:tcPr>
            <w:tcW w:w="992" w:type="dxa"/>
            <w:tcBorders>
              <w:top w:val="nil"/>
              <w:left w:val="nil"/>
              <w:bottom w:val="nil"/>
              <w:right w:val="nil"/>
            </w:tcBorders>
            <w:shd w:val="clear" w:color="000000" w:fill="E6E6E6"/>
            <w:noWrap/>
            <w:vAlign w:val="bottom"/>
            <w:hideMark/>
          </w:tcPr>
          <w:p w14:paraId="40CBD4B0" w14:textId="3D7731C1"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3,366</w:t>
            </w:r>
          </w:p>
        </w:tc>
        <w:tc>
          <w:tcPr>
            <w:tcW w:w="1057" w:type="dxa"/>
            <w:tcBorders>
              <w:top w:val="nil"/>
              <w:left w:val="nil"/>
              <w:bottom w:val="nil"/>
              <w:right w:val="nil"/>
            </w:tcBorders>
            <w:shd w:val="clear" w:color="auto" w:fill="auto"/>
            <w:noWrap/>
            <w:vAlign w:val="bottom"/>
            <w:hideMark/>
          </w:tcPr>
          <w:p w14:paraId="66AB46EA" w14:textId="20BC9EDE"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4,321</w:t>
            </w:r>
          </w:p>
        </w:tc>
        <w:tc>
          <w:tcPr>
            <w:tcW w:w="928" w:type="dxa"/>
            <w:tcBorders>
              <w:top w:val="nil"/>
              <w:left w:val="nil"/>
              <w:bottom w:val="nil"/>
              <w:right w:val="nil"/>
            </w:tcBorders>
            <w:shd w:val="clear" w:color="auto" w:fill="auto"/>
            <w:noWrap/>
            <w:vAlign w:val="bottom"/>
            <w:hideMark/>
          </w:tcPr>
          <w:p w14:paraId="53CC7D30" w14:textId="7F2777BF"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4,271</w:t>
            </w:r>
          </w:p>
        </w:tc>
        <w:tc>
          <w:tcPr>
            <w:tcW w:w="933" w:type="dxa"/>
            <w:tcBorders>
              <w:top w:val="nil"/>
              <w:left w:val="nil"/>
              <w:bottom w:val="nil"/>
              <w:right w:val="nil"/>
            </w:tcBorders>
            <w:shd w:val="clear" w:color="auto" w:fill="auto"/>
            <w:noWrap/>
            <w:vAlign w:val="bottom"/>
            <w:hideMark/>
          </w:tcPr>
          <w:p w14:paraId="66EB6FC7" w14:textId="2829D712" w:rsidR="00CF5BD0" w:rsidRPr="00245999" w:rsidRDefault="00CF5BD0" w:rsidP="00C57688">
            <w:pPr>
              <w:spacing w:after="0" w:line="240" w:lineRule="auto"/>
              <w:jc w:val="right"/>
              <w:rPr>
                <w:rFonts w:ascii="Arial" w:hAnsi="Arial" w:cs="Arial"/>
                <w:color w:val="000000"/>
                <w:sz w:val="16"/>
                <w:szCs w:val="16"/>
              </w:rPr>
            </w:pPr>
            <w:r>
              <w:rPr>
                <w:rFonts w:ascii="Arial" w:hAnsi="Arial" w:cs="Arial"/>
                <w:color w:val="000000"/>
                <w:sz w:val="16"/>
                <w:szCs w:val="16"/>
              </w:rPr>
              <w:t>4,251</w:t>
            </w:r>
          </w:p>
        </w:tc>
      </w:tr>
      <w:tr w:rsidR="00CF5BD0" w:rsidRPr="003B5F49" w14:paraId="6A8A341C" w14:textId="77777777" w:rsidTr="00C57688">
        <w:trPr>
          <w:trHeight w:val="204"/>
        </w:trPr>
        <w:tc>
          <w:tcPr>
            <w:tcW w:w="2552" w:type="dxa"/>
            <w:tcBorders>
              <w:top w:val="nil"/>
              <w:left w:val="nil"/>
              <w:bottom w:val="nil"/>
              <w:right w:val="nil"/>
            </w:tcBorders>
            <w:shd w:val="clear" w:color="auto" w:fill="auto"/>
            <w:noWrap/>
            <w:hideMark/>
          </w:tcPr>
          <w:p w14:paraId="4503722E" w14:textId="77777777" w:rsidR="00CF5BD0" w:rsidRPr="003B5F49" w:rsidRDefault="00CF5BD0" w:rsidP="00CF5BD0">
            <w:pPr>
              <w:spacing w:after="0" w:line="240" w:lineRule="auto"/>
              <w:jc w:val="left"/>
              <w:rPr>
                <w:rFonts w:ascii="Arial" w:hAnsi="Arial" w:cs="Arial"/>
                <w:b/>
                <w:bCs/>
                <w:i/>
                <w:iCs/>
                <w:color w:val="000000"/>
                <w:sz w:val="16"/>
                <w:szCs w:val="16"/>
              </w:rPr>
            </w:pPr>
            <w:r w:rsidRPr="003B5F49">
              <w:rPr>
                <w:rFonts w:ascii="Arial" w:hAnsi="Arial" w:cs="Arial"/>
                <w:b/>
                <w:bCs/>
                <w:i/>
                <w:iCs/>
                <w:color w:val="000000"/>
                <w:sz w:val="16"/>
                <w:szCs w:val="16"/>
              </w:rPr>
              <w:t>Total non-financial assets</w:t>
            </w:r>
          </w:p>
        </w:tc>
        <w:tc>
          <w:tcPr>
            <w:tcW w:w="992" w:type="dxa"/>
            <w:tcBorders>
              <w:top w:val="single" w:sz="4" w:space="0" w:color="auto"/>
              <w:left w:val="nil"/>
              <w:bottom w:val="single" w:sz="4" w:space="0" w:color="auto"/>
              <w:right w:val="nil"/>
            </w:tcBorders>
            <w:shd w:val="clear" w:color="auto" w:fill="auto"/>
            <w:noWrap/>
            <w:vAlign w:val="bottom"/>
            <w:hideMark/>
          </w:tcPr>
          <w:p w14:paraId="30402CE6" w14:textId="682C8A9A" w:rsidR="00CF5BD0" w:rsidRPr="00245999" w:rsidRDefault="00CF5BD0" w:rsidP="00C576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998,730</w:t>
            </w:r>
          </w:p>
        </w:tc>
        <w:tc>
          <w:tcPr>
            <w:tcW w:w="992" w:type="dxa"/>
            <w:tcBorders>
              <w:top w:val="single" w:sz="4" w:space="0" w:color="auto"/>
              <w:left w:val="nil"/>
              <w:bottom w:val="single" w:sz="4" w:space="0" w:color="auto"/>
              <w:right w:val="nil"/>
            </w:tcBorders>
            <w:shd w:val="clear" w:color="000000" w:fill="E6E6E6"/>
            <w:noWrap/>
            <w:vAlign w:val="bottom"/>
            <w:hideMark/>
          </w:tcPr>
          <w:p w14:paraId="29073365" w14:textId="0FCE3793" w:rsidR="00CF5BD0" w:rsidRPr="00245999" w:rsidRDefault="00CF5BD0" w:rsidP="00C576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1,014,565</w:t>
            </w:r>
          </w:p>
        </w:tc>
        <w:tc>
          <w:tcPr>
            <w:tcW w:w="1057" w:type="dxa"/>
            <w:tcBorders>
              <w:top w:val="single" w:sz="4" w:space="0" w:color="auto"/>
              <w:left w:val="nil"/>
              <w:bottom w:val="single" w:sz="4" w:space="0" w:color="auto"/>
              <w:right w:val="nil"/>
            </w:tcBorders>
            <w:shd w:val="clear" w:color="auto" w:fill="auto"/>
            <w:noWrap/>
            <w:vAlign w:val="bottom"/>
            <w:hideMark/>
          </w:tcPr>
          <w:p w14:paraId="144B7A3E" w14:textId="7536BF04" w:rsidR="00CF5BD0" w:rsidRPr="00245999" w:rsidRDefault="00CF5BD0" w:rsidP="00C576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1,052,474</w:t>
            </w:r>
          </w:p>
        </w:tc>
        <w:tc>
          <w:tcPr>
            <w:tcW w:w="928" w:type="dxa"/>
            <w:tcBorders>
              <w:top w:val="single" w:sz="4" w:space="0" w:color="auto"/>
              <w:left w:val="nil"/>
              <w:bottom w:val="single" w:sz="4" w:space="0" w:color="auto"/>
              <w:right w:val="nil"/>
            </w:tcBorders>
            <w:shd w:val="clear" w:color="auto" w:fill="auto"/>
            <w:noWrap/>
            <w:vAlign w:val="bottom"/>
            <w:hideMark/>
          </w:tcPr>
          <w:p w14:paraId="2E9D5A1E" w14:textId="504AFAA2" w:rsidR="00CF5BD0" w:rsidRPr="00245999" w:rsidRDefault="00CF5BD0" w:rsidP="00C576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1,088,248</w:t>
            </w:r>
          </w:p>
        </w:tc>
        <w:tc>
          <w:tcPr>
            <w:tcW w:w="933" w:type="dxa"/>
            <w:tcBorders>
              <w:top w:val="single" w:sz="4" w:space="0" w:color="auto"/>
              <w:left w:val="nil"/>
              <w:bottom w:val="single" w:sz="4" w:space="0" w:color="auto"/>
              <w:right w:val="nil"/>
            </w:tcBorders>
            <w:shd w:val="clear" w:color="auto" w:fill="auto"/>
            <w:noWrap/>
            <w:vAlign w:val="bottom"/>
            <w:hideMark/>
          </w:tcPr>
          <w:p w14:paraId="6596F036" w14:textId="677DEE31" w:rsidR="00CF5BD0" w:rsidRPr="00245999" w:rsidRDefault="00CF5BD0" w:rsidP="00C5768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1,082,519</w:t>
            </w:r>
          </w:p>
        </w:tc>
      </w:tr>
      <w:tr w:rsidR="00CF5BD0" w:rsidRPr="003B5F49" w14:paraId="34A3A010" w14:textId="77777777" w:rsidTr="00C57688">
        <w:trPr>
          <w:trHeight w:val="204"/>
        </w:trPr>
        <w:tc>
          <w:tcPr>
            <w:tcW w:w="2552" w:type="dxa"/>
            <w:tcBorders>
              <w:top w:val="nil"/>
              <w:left w:val="nil"/>
              <w:bottom w:val="nil"/>
              <w:right w:val="nil"/>
            </w:tcBorders>
            <w:shd w:val="clear" w:color="auto" w:fill="auto"/>
            <w:vAlign w:val="bottom"/>
            <w:hideMark/>
          </w:tcPr>
          <w:p w14:paraId="52FE16F9" w14:textId="77777777" w:rsidR="00CF5BD0" w:rsidRPr="003B5F49" w:rsidRDefault="00CF5BD0" w:rsidP="00CF5BD0">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Total assets administered on behalf of Government</w:t>
            </w:r>
          </w:p>
        </w:tc>
        <w:tc>
          <w:tcPr>
            <w:tcW w:w="992" w:type="dxa"/>
            <w:tcBorders>
              <w:top w:val="single" w:sz="4" w:space="0" w:color="auto"/>
              <w:left w:val="nil"/>
              <w:bottom w:val="single" w:sz="4" w:space="0" w:color="auto"/>
              <w:right w:val="nil"/>
            </w:tcBorders>
            <w:shd w:val="clear" w:color="auto" w:fill="auto"/>
            <w:noWrap/>
            <w:vAlign w:val="bottom"/>
            <w:hideMark/>
          </w:tcPr>
          <w:p w14:paraId="78C43182" w14:textId="6527C9BB" w:rsidR="00CF5BD0" w:rsidRPr="00245999" w:rsidRDefault="00CF5BD0"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1,001,286</w:t>
            </w:r>
          </w:p>
        </w:tc>
        <w:tc>
          <w:tcPr>
            <w:tcW w:w="992" w:type="dxa"/>
            <w:tcBorders>
              <w:top w:val="single" w:sz="4" w:space="0" w:color="auto"/>
              <w:left w:val="nil"/>
              <w:bottom w:val="single" w:sz="4" w:space="0" w:color="auto"/>
              <w:right w:val="nil"/>
            </w:tcBorders>
            <w:shd w:val="clear" w:color="000000" w:fill="E6E6E6"/>
            <w:noWrap/>
            <w:vAlign w:val="bottom"/>
            <w:hideMark/>
          </w:tcPr>
          <w:p w14:paraId="19AC4D60" w14:textId="4272F568" w:rsidR="00CF5BD0" w:rsidRPr="00245999" w:rsidRDefault="00CF5BD0"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1,017,121</w:t>
            </w:r>
          </w:p>
        </w:tc>
        <w:tc>
          <w:tcPr>
            <w:tcW w:w="1057" w:type="dxa"/>
            <w:tcBorders>
              <w:top w:val="single" w:sz="4" w:space="0" w:color="auto"/>
              <w:left w:val="nil"/>
              <w:bottom w:val="single" w:sz="4" w:space="0" w:color="auto"/>
              <w:right w:val="nil"/>
            </w:tcBorders>
            <w:shd w:val="clear" w:color="auto" w:fill="auto"/>
            <w:noWrap/>
            <w:vAlign w:val="bottom"/>
            <w:hideMark/>
          </w:tcPr>
          <w:p w14:paraId="02212D2D" w14:textId="4F3D74E4" w:rsidR="00CF5BD0" w:rsidRPr="00245999" w:rsidRDefault="00CF5BD0"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1,055,030</w:t>
            </w:r>
          </w:p>
        </w:tc>
        <w:tc>
          <w:tcPr>
            <w:tcW w:w="928" w:type="dxa"/>
            <w:tcBorders>
              <w:top w:val="single" w:sz="4" w:space="0" w:color="auto"/>
              <w:left w:val="nil"/>
              <w:bottom w:val="single" w:sz="4" w:space="0" w:color="auto"/>
              <w:right w:val="nil"/>
            </w:tcBorders>
            <w:shd w:val="clear" w:color="auto" w:fill="auto"/>
            <w:noWrap/>
            <w:vAlign w:val="bottom"/>
            <w:hideMark/>
          </w:tcPr>
          <w:p w14:paraId="4DCECDE5" w14:textId="03BA2E11" w:rsidR="00CF5BD0" w:rsidRPr="00245999" w:rsidRDefault="00CF5BD0"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1,090,804</w:t>
            </w:r>
          </w:p>
        </w:tc>
        <w:tc>
          <w:tcPr>
            <w:tcW w:w="933" w:type="dxa"/>
            <w:tcBorders>
              <w:top w:val="single" w:sz="4" w:space="0" w:color="auto"/>
              <w:left w:val="nil"/>
              <w:bottom w:val="single" w:sz="4" w:space="0" w:color="auto"/>
              <w:right w:val="nil"/>
            </w:tcBorders>
            <w:shd w:val="clear" w:color="auto" w:fill="auto"/>
            <w:noWrap/>
            <w:vAlign w:val="bottom"/>
            <w:hideMark/>
          </w:tcPr>
          <w:p w14:paraId="11BDAD07" w14:textId="1885F07C" w:rsidR="00CF5BD0" w:rsidRPr="00245999" w:rsidRDefault="00CF5BD0"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1,085,075</w:t>
            </w:r>
          </w:p>
        </w:tc>
      </w:tr>
      <w:tr w:rsidR="003B5F49" w:rsidRPr="003B5F49" w14:paraId="06D5C497" w14:textId="77777777" w:rsidTr="00C57688">
        <w:trPr>
          <w:trHeight w:val="204"/>
        </w:trPr>
        <w:tc>
          <w:tcPr>
            <w:tcW w:w="2552" w:type="dxa"/>
            <w:tcBorders>
              <w:top w:val="nil"/>
              <w:left w:val="nil"/>
              <w:bottom w:val="nil"/>
              <w:right w:val="nil"/>
            </w:tcBorders>
            <w:shd w:val="clear" w:color="auto" w:fill="auto"/>
            <w:hideMark/>
          </w:tcPr>
          <w:p w14:paraId="04405A56"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LIABILITIES</w:t>
            </w:r>
          </w:p>
        </w:tc>
        <w:tc>
          <w:tcPr>
            <w:tcW w:w="992" w:type="dxa"/>
            <w:tcBorders>
              <w:top w:val="nil"/>
              <w:left w:val="nil"/>
              <w:bottom w:val="nil"/>
              <w:right w:val="nil"/>
            </w:tcBorders>
            <w:shd w:val="clear" w:color="auto" w:fill="auto"/>
            <w:noWrap/>
            <w:vAlign w:val="bottom"/>
            <w:hideMark/>
          </w:tcPr>
          <w:p w14:paraId="33D64486" w14:textId="77777777" w:rsidR="003B5F49" w:rsidRPr="00245999" w:rsidRDefault="003B5F49" w:rsidP="00C57688">
            <w:pPr>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clear" w:color="000000" w:fill="E6E6E6"/>
            <w:noWrap/>
            <w:vAlign w:val="bottom"/>
            <w:hideMark/>
          </w:tcPr>
          <w:p w14:paraId="3E0F93C2" w14:textId="10FC0798" w:rsidR="003B5F49" w:rsidRPr="00245999" w:rsidRDefault="003B5F49" w:rsidP="00C57688">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76A45376" w14:textId="77777777" w:rsidR="003B5F49" w:rsidRPr="00245999" w:rsidRDefault="003B5F49" w:rsidP="00C5768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1922DBD7" w14:textId="77777777" w:rsidR="003B5F49" w:rsidRPr="00245999" w:rsidRDefault="003B5F49" w:rsidP="00C57688">
            <w:pPr>
              <w:spacing w:after="0" w:line="240" w:lineRule="auto"/>
              <w:jc w:val="right"/>
              <w:rPr>
                <w:rFonts w:ascii="Times New Roman" w:hAnsi="Times New Roman"/>
                <w:sz w:val="16"/>
                <w:szCs w:val="16"/>
              </w:rPr>
            </w:pPr>
          </w:p>
        </w:tc>
        <w:tc>
          <w:tcPr>
            <w:tcW w:w="933" w:type="dxa"/>
            <w:tcBorders>
              <w:top w:val="nil"/>
              <w:left w:val="nil"/>
              <w:bottom w:val="nil"/>
              <w:right w:val="nil"/>
            </w:tcBorders>
            <w:shd w:val="clear" w:color="auto" w:fill="auto"/>
            <w:noWrap/>
            <w:vAlign w:val="bottom"/>
            <w:hideMark/>
          </w:tcPr>
          <w:p w14:paraId="69589840" w14:textId="77777777" w:rsidR="003B5F49" w:rsidRPr="00245999" w:rsidRDefault="003B5F49" w:rsidP="00C57688">
            <w:pPr>
              <w:spacing w:after="0" w:line="240" w:lineRule="auto"/>
              <w:jc w:val="right"/>
              <w:rPr>
                <w:rFonts w:ascii="Times New Roman" w:hAnsi="Times New Roman"/>
                <w:sz w:val="16"/>
                <w:szCs w:val="16"/>
              </w:rPr>
            </w:pPr>
          </w:p>
        </w:tc>
      </w:tr>
      <w:tr w:rsidR="003B5F49" w:rsidRPr="003B5F49" w14:paraId="2E9E2313" w14:textId="77777777" w:rsidTr="00C57688">
        <w:trPr>
          <w:trHeight w:val="204"/>
        </w:trPr>
        <w:tc>
          <w:tcPr>
            <w:tcW w:w="2552" w:type="dxa"/>
            <w:tcBorders>
              <w:top w:val="nil"/>
              <w:left w:val="nil"/>
              <w:bottom w:val="nil"/>
              <w:right w:val="nil"/>
            </w:tcBorders>
            <w:shd w:val="clear" w:color="auto" w:fill="auto"/>
            <w:noWrap/>
            <w:hideMark/>
          </w:tcPr>
          <w:p w14:paraId="51E39990"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Payables</w:t>
            </w:r>
          </w:p>
        </w:tc>
        <w:tc>
          <w:tcPr>
            <w:tcW w:w="992" w:type="dxa"/>
            <w:tcBorders>
              <w:top w:val="nil"/>
              <w:left w:val="nil"/>
              <w:bottom w:val="nil"/>
              <w:right w:val="nil"/>
            </w:tcBorders>
            <w:shd w:val="clear" w:color="auto" w:fill="auto"/>
            <w:noWrap/>
            <w:vAlign w:val="bottom"/>
            <w:hideMark/>
          </w:tcPr>
          <w:p w14:paraId="238718CF" w14:textId="77777777" w:rsidR="003B5F49" w:rsidRPr="00245999" w:rsidRDefault="003B5F49" w:rsidP="00C57688">
            <w:pPr>
              <w:spacing w:after="0" w:line="240" w:lineRule="auto"/>
              <w:jc w:val="right"/>
              <w:rPr>
                <w:rFonts w:ascii="Arial" w:hAnsi="Arial" w:cs="Arial"/>
                <w:b/>
                <w:bCs/>
                <w:color w:val="000000"/>
                <w:sz w:val="16"/>
                <w:szCs w:val="16"/>
              </w:rPr>
            </w:pPr>
          </w:p>
        </w:tc>
        <w:tc>
          <w:tcPr>
            <w:tcW w:w="992" w:type="dxa"/>
            <w:tcBorders>
              <w:top w:val="nil"/>
              <w:left w:val="nil"/>
              <w:bottom w:val="nil"/>
              <w:right w:val="nil"/>
            </w:tcBorders>
            <w:shd w:val="clear" w:color="000000" w:fill="E6E6E6"/>
            <w:noWrap/>
            <w:vAlign w:val="bottom"/>
            <w:hideMark/>
          </w:tcPr>
          <w:p w14:paraId="10CF7B78" w14:textId="2FBC0F83" w:rsidR="003B5F49" w:rsidRPr="00245999" w:rsidRDefault="003B5F49" w:rsidP="00C57688">
            <w:pPr>
              <w:spacing w:after="0" w:line="240" w:lineRule="auto"/>
              <w:jc w:val="right"/>
              <w:rPr>
                <w:rFonts w:ascii="Arial" w:hAnsi="Arial" w:cs="Arial"/>
                <w:color w:val="000000"/>
                <w:sz w:val="16"/>
                <w:szCs w:val="16"/>
              </w:rPr>
            </w:pPr>
          </w:p>
        </w:tc>
        <w:tc>
          <w:tcPr>
            <w:tcW w:w="1057" w:type="dxa"/>
            <w:tcBorders>
              <w:top w:val="nil"/>
              <w:left w:val="nil"/>
              <w:bottom w:val="nil"/>
              <w:right w:val="nil"/>
            </w:tcBorders>
            <w:shd w:val="clear" w:color="auto" w:fill="auto"/>
            <w:noWrap/>
            <w:vAlign w:val="bottom"/>
            <w:hideMark/>
          </w:tcPr>
          <w:p w14:paraId="02C05BE7" w14:textId="77777777" w:rsidR="003B5F49" w:rsidRPr="00245999" w:rsidRDefault="003B5F49" w:rsidP="00C57688">
            <w:pPr>
              <w:spacing w:after="0" w:line="240" w:lineRule="auto"/>
              <w:jc w:val="right"/>
              <w:rPr>
                <w:rFonts w:ascii="Arial" w:hAnsi="Arial" w:cs="Arial"/>
                <w:color w:val="000000"/>
                <w:sz w:val="16"/>
                <w:szCs w:val="16"/>
              </w:rPr>
            </w:pPr>
          </w:p>
        </w:tc>
        <w:tc>
          <w:tcPr>
            <w:tcW w:w="928" w:type="dxa"/>
            <w:tcBorders>
              <w:top w:val="nil"/>
              <w:left w:val="nil"/>
              <w:bottom w:val="nil"/>
              <w:right w:val="nil"/>
            </w:tcBorders>
            <w:shd w:val="clear" w:color="auto" w:fill="auto"/>
            <w:noWrap/>
            <w:vAlign w:val="bottom"/>
            <w:hideMark/>
          </w:tcPr>
          <w:p w14:paraId="28924DF7" w14:textId="77777777" w:rsidR="003B5F49" w:rsidRPr="00245999" w:rsidRDefault="003B5F49" w:rsidP="00C57688">
            <w:pPr>
              <w:spacing w:after="0" w:line="240" w:lineRule="auto"/>
              <w:jc w:val="right"/>
              <w:rPr>
                <w:rFonts w:ascii="Times New Roman" w:hAnsi="Times New Roman"/>
                <w:sz w:val="16"/>
                <w:szCs w:val="16"/>
              </w:rPr>
            </w:pPr>
          </w:p>
        </w:tc>
        <w:tc>
          <w:tcPr>
            <w:tcW w:w="933" w:type="dxa"/>
            <w:tcBorders>
              <w:top w:val="nil"/>
              <w:left w:val="nil"/>
              <w:bottom w:val="nil"/>
              <w:right w:val="nil"/>
            </w:tcBorders>
            <w:shd w:val="clear" w:color="auto" w:fill="auto"/>
            <w:noWrap/>
            <w:vAlign w:val="bottom"/>
            <w:hideMark/>
          </w:tcPr>
          <w:p w14:paraId="0FC5B42F" w14:textId="77777777" w:rsidR="003B5F49" w:rsidRPr="00245999" w:rsidRDefault="003B5F49" w:rsidP="00C57688">
            <w:pPr>
              <w:spacing w:after="0" w:line="240" w:lineRule="auto"/>
              <w:jc w:val="right"/>
              <w:rPr>
                <w:rFonts w:ascii="Times New Roman" w:hAnsi="Times New Roman"/>
                <w:sz w:val="16"/>
                <w:szCs w:val="16"/>
              </w:rPr>
            </w:pPr>
          </w:p>
        </w:tc>
      </w:tr>
      <w:tr w:rsidR="003B5F49" w:rsidRPr="003B5F49" w14:paraId="3F0D1437" w14:textId="77777777" w:rsidTr="00C57688">
        <w:trPr>
          <w:trHeight w:val="204"/>
        </w:trPr>
        <w:tc>
          <w:tcPr>
            <w:tcW w:w="2552" w:type="dxa"/>
            <w:tcBorders>
              <w:top w:val="nil"/>
              <w:left w:val="nil"/>
              <w:bottom w:val="nil"/>
              <w:right w:val="nil"/>
            </w:tcBorders>
            <w:shd w:val="clear" w:color="auto" w:fill="auto"/>
            <w:noWrap/>
            <w:hideMark/>
          </w:tcPr>
          <w:p w14:paraId="03B46BFE" w14:textId="77777777" w:rsidR="003B5F49" w:rsidRPr="003B5F49" w:rsidRDefault="003B5F49" w:rsidP="002359B6">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Suppliers</w:t>
            </w:r>
          </w:p>
        </w:tc>
        <w:tc>
          <w:tcPr>
            <w:tcW w:w="992" w:type="dxa"/>
            <w:tcBorders>
              <w:top w:val="nil"/>
              <w:left w:val="nil"/>
              <w:bottom w:val="nil"/>
              <w:right w:val="nil"/>
            </w:tcBorders>
            <w:shd w:val="clear" w:color="auto" w:fill="auto"/>
            <w:noWrap/>
            <w:vAlign w:val="bottom"/>
            <w:hideMark/>
          </w:tcPr>
          <w:p w14:paraId="3B9FABD1" w14:textId="5CABDE65"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5,775</w:t>
            </w:r>
          </w:p>
        </w:tc>
        <w:tc>
          <w:tcPr>
            <w:tcW w:w="992" w:type="dxa"/>
            <w:tcBorders>
              <w:top w:val="nil"/>
              <w:left w:val="nil"/>
              <w:bottom w:val="nil"/>
              <w:right w:val="nil"/>
            </w:tcBorders>
            <w:shd w:val="clear" w:color="000000" w:fill="E6E6E6"/>
            <w:noWrap/>
            <w:vAlign w:val="bottom"/>
            <w:hideMark/>
          </w:tcPr>
          <w:p w14:paraId="778F41C5" w14:textId="487F9F4F"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5,775</w:t>
            </w:r>
          </w:p>
        </w:tc>
        <w:tc>
          <w:tcPr>
            <w:tcW w:w="1057" w:type="dxa"/>
            <w:tcBorders>
              <w:top w:val="nil"/>
              <w:left w:val="nil"/>
              <w:bottom w:val="nil"/>
              <w:right w:val="nil"/>
            </w:tcBorders>
            <w:shd w:val="clear" w:color="auto" w:fill="auto"/>
            <w:noWrap/>
            <w:vAlign w:val="bottom"/>
            <w:hideMark/>
          </w:tcPr>
          <w:p w14:paraId="4DDB2265" w14:textId="630F72A3"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5,775</w:t>
            </w:r>
          </w:p>
        </w:tc>
        <w:tc>
          <w:tcPr>
            <w:tcW w:w="928" w:type="dxa"/>
            <w:tcBorders>
              <w:top w:val="nil"/>
              <w:left w:val="nil"/>
              <w:bottom w:val="nil"/>
              <w:right w:val="nil"/>
            </w:tcBorders>
            <w:shd w:val="clear" w:color="auto" w:fill="auto"/>
            <w:noWrap/>
            <w:vAlign w:val="bottom"/>
            <w:hideMark/>
          </w:tcPr>
          <w:p w14:paraId="6AC35208" w14:textId="62ADC85B"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5,775</w:t>
            </w:r>
          </w:p>
        </w:tc>
        <w:tc>
          <w:tcPr>
            <w:tcW w:w="933" w:type="dxa"/>
            <w:tcBorders>
              <w:top w:val="nil"/>
              <w:left w:val="nil"/>
              <w:bottom w:val="nil"/>
              <w:right w:val="nil"/>
            </w:tcBorders>
            <w:shd w:val="clear" w:color="auto" w:fill="auto"/>
            <w:noWrap/>
            <w:vAlign w:val="bottom"/>
            <w:hideMark/>
          </w:tcPr>
          <w:p w14:paraId="622EF8D6" w14:textId="3FEC2F8A"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5,775</w:t>
            </w:r>
          </w:p>
        </w:tc>
      </w:tr>
      <w:tr w:rsidR="003B5F49" w:rsidRPr="003B5F49" w14:paraId="4FD53FED" w14:textId="77777777" w:rsidTr="00C57688">
        <w:trPr>
          <w:trHeight w:val="204"/>
        </w:trPr>
        <w:tc>
          <w:tcPr>
            <w:tcW w:w="2552" w:type="dxa"/>
            <w:tcBorders>
              <w:top w:val="nil"/>
              <w:left w:val="nil"/>
              <w:bottom w:val="nil"/>
              <w:right w:val="nil"/>
            </w:tcBorders>
            <w:shd w:val="clear" w:color="auto" w:fill="auto"/>
            <w:noWrap/>
            <w:hideMark/>
          </w:tcPr>
          <w:p w14:paraId="73CD6016" w14:textId="77777777" w:rsidR="003B5F49" w:rsidRPr="003B5F49" w:rsidRDefault="003B5F49" w:rsidP="002359B6">
            <w:pPr>
              <w:spacing w:after="0" w:line="240" w:lineRule="auto"/>
              <w:ind w:left="113"/>
              <w:jc w:val="left"/>
              <w:rPr>
                <w:rFonts w:ascii="Arial" w:hAnsi="Arial" w:cs="Arial"/>
                <w:color w:val="000000"/>
                <w:sz w:val="16"/>
                <w:szCs w:val="16"/>
              </w:rPr>
            </w:pPr>
            <w:r w:rsidRPr="003B5F49">
              <w:rPr>
                <w:rFonts w:ascii="Arial" w:hAnsi="Arial" w:cs="Arial"/>
                <w:color w:val="000000"/>
                <w:sz w:val="16"/>
                <w:szCs w:val="16"/>
              </w:rPr>
              <w:t>Other payables</w:t>
            </w:r>
          </w:p>
        </w:tc>
        <w:tc>
          <w:tcPr>
            <w:tcW w:w="992" w:type="dxa"/>
            <w:tcBorders>
              <w:top w:val="nil"/>
              <w:left w:val="nil"/>
              <w:bottom w:val="nil"/>
              <w:right w:val="nil"/>
            </w:tcBorders>
            <w:shd w:val="clear" w:color="auto" w:fill="auto"/>
            <w:noWrap/>
            <w:vAlign w:val="bottom"/>
            <w:hideMark/>
          </w:tcPr>
          <w:p w14:paraId="28EC3197" w14:textId="62E88ADC"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21,407</w:t>
            </w:r>
          </w:p>
        </w:tc>
        <w:tc>
          <w:tcPr>
            <w:tcW w:w="992" w:type="dxa"/>
            <w:tcBorders>
              <w:top w:val="nil"/>
              <w:left w:val="nil"/>
              <w:bottom w:val="nil"/>
              <w:right w:val="nil"/>
            </w:tcBorders>
            <w:shd w:val="clear" w:color="000000" w:fill="E6E6E6"/>
            <w:noWrap/>
            <w:vAlign w:val="bottom"/>
            <w:hideMark/>
          </w:tcPr>
          <w:p w14:paraId="0837429A" w14:textId="0E240FF0"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21,407</w:t>
            </w:r>
          </w:p>
        </w:tc>
        <w:tc>
          <w:tcPr>
            <w:tcW w:w="1057" w:type="dxa"/>
            <w:tcBorders>
              <w:top w:val="nil"/>
              <w:left w:val="nil"/>
              <w:bottom w:val="nil"/>
              <w:right w:val="nil"/>
            </w:tcBorders>
            <w:shd w:val="clear" w:color="auto" w:fill="auto"/>
            <w:noWrap/>
            <w:vAlign w:val="bottom"/>
            <w:hideMark/>
          </w:tcPr>
          <w:p w14:paraId="4B02D221" w14:textId="188420E3"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21,407</w:t>
            </w:r>
          </w:p>
        </w:tc>
        <w:tc>
          <w:tcPr>
            <w:tcW w:w="928" w:type="dxa"/>
            <w:tcBorders>
              <w:top w:val="nil"/>
              <w:left w:val="nil"/>
              <w:bottom w:val="nil"/>
              <w:right w:val="nil"/>
            </w:tcBorders>
            <w:shd w:val="clear" w:color="auto" w:fill="auto"/>
            <w:noWrap/>
            <w:vAlign w:val="bottom"/>
            <w:hideMark/>
          </w:tcPr>
          <w:p w14:paraId="46442111" w14:textId="1FEE6EDF"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21,407</w:t>
            </w:r>
          </w:p>
        </w:tc>
        <w:tc>
          <w:tcPr>
            <w:tcW w:w="933" w:type="dxa"/>
            <w:tcBorders>
              <w:top w:val="nil"/>
              <w:left w:val="nil"/>
              <w:bottom w:val="nil"/>
              <w:right w:val="nil"/>
            </w:tcBorders>
            <w:shd w:val="clear" w:color="auto" w:fill="auto"/>
            <w:noWrap/>
            <w:vAlign w:val="bottom"/>
            <w:hideMark/>
          </w:tcPr>
          <w:p w14:paraId="3EB5644A" w14:textId="192022A7" w:rsidR="003B5F49" w:rsidRPr="00245999" w:rsidRDefault="003B5F49" w:rsidP="00C57688">
            <w:pPr>
              <w:spacing w:after="0" w:line="240" w:lineRule="auto"/>
              <w:jc w:val="right"/>
              <w:rPr>
                <w:rFonts w:ascii="Arial" w:hAnsi="Arial" w:cs="Arial"/>
                <w:color w:val="000000"/>
                <w:sz w:val="16"/>
                <w:szCs w:val="16"/>
              </w:rPr>
            </w:pPr>
            <w:r w:rsidRPr="00245999">
              <w:rPr>
                <w:rFonts w:ascii="Arial" w:hAnsi="Arial" w:cs="Arial"/>
                <w:color w:val="000000"/>
                <w:sz w:val="16"/>
                <w:szCs w:val="16"/>
              </w:rPr>
              <w:t>21,407</w:t>
            </w:r>
          </w:p>
        </w:tc>
      </w:tr>
      <w:tr w:rsidR="003B5F49" w:rsidRPr="003B5F49" w14:paraId="71F078DD" w14:textId="77777777" w:rsidTr="00C57688">
        <w:trPr>
          <w:trHeight w:val="204"/>
        </w:trPr>
        <w:tc>
          <w:tcPr>
            <w:tcW w:w="2552" w:type="dxa"/>
            <w:tcBorders>
              <w:top w:val="nil"/>
              <w:left w:val="nil"/>
              <w:bottom w:val="nil"/>
              <w:right w:val="nil"/>
            </w:tcBorders>
            <w:shd w:val="clear" w:color="auto" w:fill="auto"/>
            <w:noWrap/>
            <w:hideMark/>
          </w:tcPr>
          <w:p w14:paraId="43024728" w14:textId="77777777" w:rsidR="003B5F49" w:rsidRPr="003B5F49" w:rsidRDefault="003B5F49" w:rsidP="003B5F49">
            <w:pPr>
              <w:spacing w:after="0" w:line="240" w:lineRule="auto"/>
              <w:jc w:val="left"/>
              <w:rPr>
                <w:rFonts w:ascii="Arial" w:hAnsi="Arial" w:cs="Arial"/>
                <w:b/>
                <w:bCs/>
                <w:i/>
                <w:iCs/>
                <w:color w:val="000000"/>
                <w:sz w:val="16"/>
                <w:szCs w:val="16"/>
              </w:rPr>
            </w:pPr>
            <w:r w:rsidRPr="003B5F49">
              <w:rPr>
                <w:rFonts w:ascii="Arial" w:hAnsi="Arial" w:cs="Arial"/>
                <w:b/>
                <w:bCs/>
                <w:i/>
                <w:iCs/>
                <w:color w:val="000000"/>
                <w:sz w:val="16"/>
                <w:szCs w:val="16"/>
              </w:rPr>
              <w:t>Total payables</w:t>
            </w:r>
          </w:p>
        </w:tc>
        <w:tc>
          <w:tcPr>
            <w:tcW w:w="992" w:type="dxa"/>
            <w:tcBorders>
              <w:top w:val="single" w:sz="4" w:space="0" w:color="auto"/>
              <w:left w:val="nil"/>
              <w:bottom w:val="single" w:sz="4" w:space="0" w:color="auto"/>
              <w:right w:val="nil"/>
            </w:tcBorders>
            <w:shd w:val="clear" w:color="auto" w:fill="auto"/>
            <w:noWrap/>
            <w:vAlign w:val="bottom"/>
            <w:hideMark/>
          </w:tcPr>
          <w:p w14:paraId="49709E20" w14:textId="00DE18A5" w:rsidR="003B5F49" w:rsidRPr="00245999" w:rsidRDefault="003B5F49" w:rsidP="00C57688">
            <w:pPr>
              <w:spacing w:after="0" w:line="240" w:lineRule="auto"/>
              <w:jc w:val="right"/>
              <w:rPr>
                <w:rFonts w:ascii="Arial" w:hAnsi="Arial" w:cs="Arial"/>
                <w:b/>
                <w:bCs/>
                <w:i/>
                <w:iCs/>
                <w:color w:val="000000"/>
                <w:sz w:val="16"/>
                <w:szCs w:val="16"/>
              </w:rPr>
            </w:pPr>
            <w:r w:rsidRPr="00245999">
              <w:rPr>
                <w:rFonts w:ascii="Arial" w:hAnsi="Arial" w:cs="Arial"/>
                <w:b/>
                <w:bCs/>
                <w:i/>
                <w:iCs/>
                <w:color w:val="000000"/>
                <w:sz w:val="16"/>
                <w:szCs w:val="16"/>
              </w:rPr>
              <w:t>27,182</w:t>
            </w:r>
          </w:p>
        </w:tc>
        <w:tc>
          <w:tcPr>
            <w:tcW w:w="992" w:type="dxa"/>
            <w:tcBorders>
              <w:top w:val="single" w:sz="4" w:space="0" w:color="auto"/>
              <w:left w:val="nil"/>
              <w:bottom w:val="single" w:sz="4" w:space="0" w:color="auto"/>
              <w:right w:val="nil"/>
            </w:tcBorders>
            <w:shd w:val="clear" w:color="000000" w:fill="E6E6E6"/>
            <w:noWrap/>
            <w:vAlign w:val="bottom"/>
            <w:hideMark/>
          </w:tcPr>
          <w:p w14:paraId="006F0E3E" w14:textId="6364195A" w:rsidR="003B5F49" w:rsidRPr="00245999" w:rsidRDefault="003B5F49" w:rsidP="00C57688">
            <w:pPr>
              <w:spacing w:after="0" w:line="240" w:lineRule="auto"/>
              <w:jc w:val="right"/>
              <w:rPr>
                <w:rFonts w:ascii="Arial" w:hAnsi="Arial" w:cs="Arial"/>
                <w:b/>
                <w:bCs/>
                <w:i/>
                <w:iCs/>
                <w:color w:val="000000"/>
                <w:sz w:val="16"/>
                <w:szCs w:val="16"/>
              </w:rPr>
            </w:pPr>
            <w:r w:rsidRPr="00245999">
              <w:rPr>
                <w:rFonts w:ascii="Arial" w:hAnsi="Arial" w:cs="Arial"/>
                <w:b/>
                <w:bCs/>
                <w:i/>
                <w:iCs/>
                <w:color w:val="000000"/>
                <w:sz w:val="16"/>
                <w:szCs w:val="16"/>
              </w:rPr>
              <w:t>27,182</w:t>
            </w:r>
          </w:p>
        </w:tc>
        <w:tc>
          <w:tcPr>
            <w:tcW w:w="1057" w:type="dxa"/>
            <w:tcBorders>
              <w:top w:val="single" w:sz="4" w:space="0" w:color="auto"/>
              <w:left w:val="nil"/>
              <w:bottom w:val="single" w:sz="4" w:space="0" w:color="auto"/>
              <w:right w:val="nil"/>
            </w:tcBorders>
            <w:shd w:val="clear" w:color="auto" w:fill="auto"/>
            <w:noWrap/>
            <w:vAlign w:val="bottom"/>
            <w:hideMark/>
          </w:tcPr>
          <w:p w14:paraId="3F82011E" w14:textId="122D805E" w:rsidR="003B5F49" w:rsidRPr="00245999" w:rsidRDefault="003B5F49" w:rsidP="00C57688">
            <w:pPr>
              <w:spacing w:after="0" w:line="240" w:lineRule="auto"/>
              <w:jc w:val="right"/>
              <w:rPr>
                <w:rFonts w:ascii="Arial" w:hAnsi="Arial" w:cs="Arial"/>
                <w:b/>
                <w:bCs/>
                <w:i/>
                <w:iCs/>
                <w:color w:val="000000"/>
                <w:sz w:val="16"/>
                <w:szCs w:val="16"/>
              </w:rPr>
            </w:pPr>
            <w:r w:rsidRPr="00245999">
              <w:rPr>
                <w:rFonts w:ascii="Arial" w:hAnsi="Arial" w:cs="Arial"/>
                <w:b/>
                <w:bCs/>
                <w:i/>
                <w:iCs/>
                <w:color w:val="000000"/>
                <w:sz w:val="16"/>
                <w:szCs w:val="16"/>
              </w:rPr>
              <w:t>27,182</w:t>
            </w:r>
          </w:p>
        </w:tc>
        <w:tc>
          <w:tcPr>
            <w:tcW w:w="928" w:type="dxa"/>
            <w:tcBorders>
              <w:top w:val="single" w:sz="4" w:space="0" w:color="auto"/>
              <w:left w:val="nil"/>
              <w:bottom w:val="single" w:sz="4" w:space="0" w:color="auto"/>
              <w:right w:val="nil"/>
            </w:tcBorders>
            <w:shd w:val="clear" w:color="auto" w:fill="auto"/>
            <w:noWrap/>
            <w:vAlign w:val="bottom"/>
            <w:hideMark/>
          </w:tcPr>
          <w:p w14:paraId="7971B643" w14:textId="76A25FF3" w:rsidR="003B5F49" w:rsidRPr="00245999" w:rsidRDefault="003B5F49" w:rsidP="00C57688">
            <w:pPr>
              <w:spacing w:after="0" w:line="240" w:lineRule="auto"/>
              <w:jc w:val="right"/>
              <w:rPr>
                <w:rFonts w:ascii="Arial" w:hAnsi="Arial" w:cs="Arial"/>
                <w:b/>
                <w:bCs/>
                <w:i/>
                <w:iCs/>
                <w:color w:val="000000"/>
                <w:sz w:val="16"/>
                <w:szCs w:val="16"/>
              </w:rPr>
            </w:pPr>
            <w:r w:rsidRPr="00245999">
              <w:rPr>
                <w:rFonts w:ascii="Arial" w:hAnsi="Arial" w:cs="Arial"/>
                <w:b/>
                <w:bCs/>
                <w:i/>
                <w:iCs/>
                <w:color w:val="000000"/>
                <w:sz w:val="16"/>
                <w:szCs w:val="16"/>
              </w:rPr>
              <w:t>27,182</w:t>
            </w:r>
          </w:p>
        </w:tc>
        <w:tc>
          <w:tcPr>
            <w:tcW w:w="933" w:type="dxa"/>
            <w:tcBorders>
              <w:top w:val="single" w:sz="4" w:space="0" w:color="auto"/>
              <w:left w:val="nil"/>
              <w:bottom w:val="single" w:sz="4" w:space="0" w:color="auto"/>
              <w:right w:val="nil"/>
            </w:tcBorders>
            <w:shd w:val="clear" w:color="auto" w:fill="auto"/>
            <w:noWrap/>
            <w:vAlign w:val="bottom"/>
            <w:hideMark/>
          </w:tcPr>
          <w:p w14:paraId="1A6A0FE5" w14:textId="4E47EA42" w:rsidR="003B5F49" w:rsidRPr="00245999" w:rsidRDefault="003B5F49" w:rsidP="00C57688">
            <w:pPr>
              <w:spacing w:after="0" w:line="240" w:lineRule="auto"/>
              <w:jc w:val="right"/>
              <w:rPr>
                <w:rFonts w:ascii="Arial" w:hAnsi="Arial" w:cs="Arial"/>
                <w:b/>
                <w:bCs/>
                <w:i/>
                <w:iCs/>
                <w:color w:val="000000"/>
                <w:sz w:val="16"/>
                <w:szCs w:val="16"/>
              </w:rPr>
            </w:pPr>
            <w:r w:rsidRPr="00245999">
              <w:rPr>
                <w:rFonts w:ascii="Arial" w:hAnsi="Arial" w:cs="Arial"/>
                <w:b/>
                <w:bCs/>
                <w:i/>
                <w:iCs/>
                <w:color w:val="000000"/>
                <w:sz w:val="16"/>
                <w:szCs w:val="16"/>
              </w:rPr>
              <w:t>27,182</w:t>
            </w:r>
          </w:p>
        </w:tc>
      </w:tr>
      <w:tr w:rsidR="003B5F49" w:rsidRPr="003B5F49" w14:paraId="61DF1804" w14:textId="77777777" w:rsidTr="00C57688">
        <w:trPr>
          <w:trHeight w:val="204"/>
        </w:trPr>
        <w:tc>
          <w:tcPr>
            <w:tcW w:w="2552" w:type="dxa"/>
            <w:tcBorders>
              <w:top w:val="nil"/>
              <w:left w:val="nil"/>
              <w:bottom w:val="nil"/>
              <w:right w:val="nil"/>
            </w:tcBorders>
            <w:shd w:val="clear" w:color="auto" w:fill="auto"/>
            <w:hideMark/>
          </w:tcPr>
          <w:p w14:paraId="3159AABA" w14:textId="77777777" w:rsidR="003B5F49" w:rsidRPr="003B5F49" w:rsidRDefault="003B5F49" w:rsidP="003B5F49">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Total liabilities administered on behalf of Government</w:t>
            </w:r>
          </w:p>
        </w:tc>
        <w:tc>
          <w:tcPr>
            <w:tcW w:w="992" w:type="dxa"/>
            <w:tcBorders>
              <w:top w:val="single" w:sz="4" w:space="0" w:color="auto"/>
              <w:left w:val="nil"/>
              <w:bottom w:val="single" w:sz="4" w:space="0" w:color="auto"/>
              <w:right w:val="nil"/>
            </w:tcBorders>
            <w:shd w:val="clear" w:color="auto" w:fill="auto"/>
            <w:noWrap/>
            <w:vAlign w:val="bottom"/>
            <w:hideMark/>
          </w:tcPr>
          <w:p w14:paraId="57F75F89" w14:textId="37F2BEEB" w:rsidR="003B5F49" w:rsidRPr="00245999" w:rsidRDefault="003B5F49" w:rsidP="00C57688">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27,182</w:t>
            </w:r>
          </w:p>
        </w:tc>
        <w:tc>
          <w:tcPr>
            <w:tcW w:w="992" w:type="dxa"/>
            <w:tcBorders>
              <w:top w:val="single" w:sz="4" w:space="0" w:color="auto"/>
              <w:left w:val="nil"/>
              <w:bottom w:val="single" w:sz="4" w:space="0" w:color="auto"/>
              <w:right w:val="nil"/>
            </w:tcBorders>
            <w:shd w:val="clear" w:color="000000" w:fill="E6E6E6"/>
            <w:noWrap/>
            <w:vAlign w:val="bottom"/>
            <w:hideMark/>
          </w:tcPr>
          <w:p w14:paraId="4818ECED" w14:textId="76930826" w:rsidR="003B5F49" w:rsidRPr="00245999" w:rsidRDefault="003B5F49" w:rsidP="00C57688">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27,182</w:t>
            </w:r>
          </w:p>
        </w:tc>
        <w:tc>
          <w:tcPr>
            <w:tcW w:w="1057" w:type="dxa"/>
            <w:tcBorders>
              <w:top w:val="single" w:sz="4" w:space="0" w:color="auto"/>
              <w:left w:val="nil"/>
              <w:bottom w:val="single" w:sz="4" w:space="0" w:color="auto"/>
              <w:right w:val="nil"/>
            </w:tcBorders>
            <w:shd w:val="clear" w:color="auto" w:fill="auto"/>
            <w:noWrap/>
            <w:vAlign w:val="bottom"/>
            <w:hideMark/>
          </w:tcPr>
          <w:p w14:paraId="7F4617FC" w14:textId="01AC7E4A" w:rsidR="003B5F49" w:rsidRPr="00245999" w:rsidRDefault="003B5F49" w:rsidP="00C57688">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27,182</w:t>
            </w:r>
          </w:p>
        </w:tc>
        <w:tc>
          <w:tcPr>
            <w:tcW w:w="928" w:type="dxa"/>
            <w:tcBorders>
              <w:top w:val="single" w:sz="4" w:space="0" w:color="auto"/>
              <w:left w:val="nil"/>
              <w:bottom w:val="single" w:sz="4" w:space="0" w:color="auto"/>
              <w:right w:val="nil"/>
            </w:tcBorders>
            <w:shd w:val="clear" w:color="auto" w:fill="auto"/>
            <w:noWrap/>
            <w:vAlign w:val="bottom"/>
            <w:hideMark/>
          </w:tcPr>
          <w:p w14:paraId="3F132139" w14:textId="51758053" w:rsidR="003B5F49" w:rsidRPr="00245999" w:rsidRDefault="003B5F49" w:rsidP="00C57688">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27,182</w:t>
            </w:r>
          </w:p>
        </w:tc>
        <w:tc>
          <w:tcPr>
            <w:tcW w:w="933" w:type="dxa"/>
            <w:tcBorders>
              <w:top w:val="single" w:sz="4" w:space="0" w:color="auto"/>
              <w:left w:val="nil"/>
              <w:bottom w:val="single" w:sz="4" w:space="0" w:color="auto"/>
              <w:right w:val="nil"/>
            </w:tcBorders>
            <w:shd w:val="clear" w:color="auto" w:fill="auto"/>
            <w:noWrap/>
            <w:vAlign w:val="bottom"/>
            <w:hideMark/>
          </w:tcPr>
          <w:p w14:paraId="5BEE5927" w14:textId="23C8C6C6" w:rsidR="003B5F49" w:rsidRPr="00245999" w:rsidRDefault="003B5F49" w:rsidP="00C57688">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27,182</w:t>
            </w:r>
          </w:p>
        </w:tc>
      </w:tr>
      <w:tr w:rsidR="00CF5BD0" w:rsidRPr="003B5F49" w14:paraId="164BB41E" w14:textId="77777777" w:rsidTr="00C57688">
        <w:trPr>
          <w:trHeight w:val="204"/>
        </w:trPr>
        <w:tc>
          <w:tcPr>
            <w:tcW w:w="2552" w:type="dxa"/>
            <w:tcBorders>
              <w:top w:val="nil"/>
              <w:left w:val="nil"/>
              <w:bottom w:val="single" w:sz="4" w:space="0" w:color="auto"/>
              <w:right w:val="nil"/>
            </w:tcBorders>
            <w:shd w:val="clear" w:color="auto" w:fill="auto"/>
            <w:hideMark/>
          </w:tcPr>
          <w:p w14:paraId="46A92C0B" w14:textId="77777777" w:rsidR="00CF5BD0" w:rsidRPr="003B5F49" w:rsidRDefault="00CF5BD0" w:rsidP="00CF5BD0">
            <w:pPr>
              <w:spacing w:after="0" w:line="240" w:lineRule="auto"/>
              <w:jc w:val="left"/>
              <w:rPr>
                <w:rFonts w:ascii="Arial" w:hAnsi="Arial" w:cs="Arial"/>
                <w:b/>
                <w:bCs/>
                <w:color w:val="000000"/>
                <w:sz w:val="16"/>
                <w:szCs w:val="16"/>
              </w:rPr>
            </w:pPr>
            <w:r w:rsidRPr="003B5F49">
              <w:rPr>
                <w:rFonts w:ascii="Arial" w:hAnsi="Arial" w:cs="Arial"/>
                <w:b/>
                <w:bCs/>
                <w:color w:val="000000"/>
                <w:sz w:val="16"/>
                <w:szCs w:val="16"/>
              </w:rPr>
              <w:t>Net assets/(liabilities)</w:t>
            </w:r>
          </w:p>
        </w:tc>
        <w:tc>
          <w:tcPr>
            <w:tcW w:w="992" w:type="dxa"/>
            <w:tcBorders>
              <w:top w:val="single" w:sz="4" w:space="0" w:color="auto"/>
              <w:left w:val="nil"/>
              <w:bottom w:val="single" w:sz="4" w:space="0" w:color="auto"/>
              <w:right w:val="nil"/>
            </w:tcBorders>
            <w:shd w:val="clear" w:color="auto" w:fill="auto"/>
            <w:noWrap/>
            <w:vAlign w:val="bottom"/>
            <w:hideMark/>
          </w:tcPr>
          <w:p w14:paraId="630B6C9F" w14:textId="65678243" w:rsidR="00CF5BD0" w:rsidRPr="00245999" w:rsidRDefault="00CF5BD0"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974,104</w:t>
            </w:r>
          </w:p>
        </w:tc>
        <w:tc>
          <w:tcPr>
            <w:tcW w:w="992" w:type="dxa"/>
            <w:tcBorders>
              <w:top w:val="single" w:sz="4" w:space="0" w:color="auto"/>
              <w:left w:val="nil"/>
              <w:bottom w:val="single" w:sz="4" w:space="0" w:color="auto"/>
              <w:right w:val="nil"/>
            </w:tcBorders>
            <w:shd w:val="clear" w:color="000000" w:fill="E6E6E6"/>
            <w:noWrap/>
            <w:vAlign w:val="bottom"/>
            <w:hideMark/>
          </w:tcPr>
          <w:p w14:paraId="48530CAB" w14:textId="4EFD2D8A" w:rsidR="00CF5BD0" w:rsidRPr="00245999" w:rsidRDefault="00CF5BD0"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989,939</w:t>
            </w:r>
          </w:p>
        </w:tc>
        <w:tc>
          <w:tcPr>
            <w:tcW w:w="1057" w:type="dxa"/>
            <w:tcBorders>
              <w:top w:val="single" w:sz="4" w:space="0" w:color="auto"/>
              <w:left w:val="nil"/>
              <w:bottom w:val="single" w:sz="4" w:space="0" w:color="auto"/>
              <w:right w:val="nil"/>
            </w:tcBorders>
            <w:shd w:val="clear" w:color="auto" w:fill="auto"/>
            <w:noWrap/>
            <w:vAlign w:val="bottom"/>
            <w:hideMark/>
          </w:tcPr>
          <w:p w14:paraId="3519CE18" w14:textId="61C8E1DF" w:rsidR="00CF5BD0" w:rsidRPr="00245999" w:rsidRDefault="00CF5BD0"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1,027,848</w:t>
            </w:r>
          </w:p>
        </w:tc>
        <w:tc>
          <w:tcPr>
            <w:tcW w:w="928" w:type="dxa"/>
            <w:tcBorders>
              <w:top w:val="single" w:sz="4" w:space="0" w:color="auto"/>
              <w:left w:val="nil"/>
              <w:bottom w:val="single" w:sz="4" w:space="0" w:color="auto"/>
              <w:right w:val="nil"/>
            </w:tcBorders>
            <w:shd w:val="clear" w:color="auto" w:fill="auto"/>
            <w:noWrap/>
            <w:vAlign w:val="bottom"/>
            <w:hideMark/>
          </w:tcPr>
          <w:p w14:paraId="3A043D9E" w14:textId="728E0093" w:rsidR="00CF5BD0" w:rsidRPr="00245999" w:rsidRDefault="00CF5BD0"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1,063,622</w:t>
            </w:r>
          </w:p>
        </w:tc>
        <w:tc>
          <w:tcPr>
            <w:tcW w:w="933" w:type="dxa"/>
            <w:tcBorders>
              <w:top w:val="single" w:sz="4" w:space="0" w:color="auto"/>
              <w:left w:val="nil"/>
              <w:bottom w:val="single" w:sz="4" w:space="0" w:color="auto"/>
              <w:right w:val="nil"/>
            </w:tcBorders>
            <w:shd w:val="clear" w:color="auto" w:fill="auto"/>
            <w:noWrap/>
            <w:vAlign w:val="bottom"/>
            <w:hideMark/>
          </w:tcPr>
          <w:p w14:paraId="4FBCBA81" w14:textId="4CB8FC11" w:rsidR="00CF5BD0" w:rsidRPr="00245999" w:rsidRDefault="00CF5BD0"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1,057,893</w:t>
            </w:r>
          </w:p>
        </w:tc>
      </w:tr>
      <w:tr w:rsidR="003B5F49" w:rsidRPr="00086CB4" w14:paraId="30AA4092" w14:textId="77777777" w:rsidTr="003C7628">
        <w:trPr>
          <w:trHeight w:val="240"/>
        </w:trPr>
        <w:tc>
          <w:tcPr>
            <w:tcW w:w="7454" w:type="dxa"/>
            <w:gridSpan w:val="6"/>
            <w:tcBorders>
              <w:top w:val="nil"/>
              <w:left w:val="nil"/>
              <w:bottom w:val="nil"/>
              <w:right w:val="nil"/>
            </w:tcBorders>
            <w:shd w:val="clear" w:color="auto" w:fill="auto"/>
            <w:noWrap/>
            <w:vAlign w:val="center"/>
            <w:hideMark/>
          </w:tcPr>
          <w:p w14:paraId="7149A0C9" w14:textId="77777777" w:rsidR="003B5F49" w:rsidRPr="00086CB4" w:rsidRDefault="003B5F49" w:rsidP="00834C3D">
            <w:pPr>
              <w:spacing w:before="60" w:after="0" w:line="240" w:lineRule="auto"/>
              <w:jc w:val="left"/>
              <w:rPr>
                <w:rFonts w:ascii="Arial" w:hAnsi="Arial" w:cs="Arial"/>
                <w:color w:val="000000"/>
                <w:sz w:val="16"/>
                <w:szCs w:val="18"/>
              </w:rPr>
            </w:pPr>
            <w:r w:rsidRPr="00086CB4">
              <w:rPr>
                <w:rFonts w:ascii="Arial" w:hAnsi="Arial" w:cs="Arial"/>
                <w:color w:val="000000"/>
                <w:sz w:val="16"/>
                <w:szCs w:val="18"/>
              </w:rPr>
              <w:t>Prepared on Australian Accounting Standards basis.</w:t>
            </w:r>
          </w:p>
        </w:tc>
      </w:tr>
    </w:tbl>
    <w:p w14:paraId="68F36CAF" w14:textId="6E75EA54" w:rsidR="003B5F49" w:rsidRDefault="003B5F49" w:rsidP="00914885">
      <w:pPr>
        <w:pStyle w:val="SingleParagraph"/>
        <w:rPr>
          <w:snapToGrid w:val="0"/>
        </w:rPr>
      </w:pPr>
    </w:p>
    <w:p w14:paraId="3CAB9413" w14:textId="77777777" w:rsidR="003B5F49" w:rsidRDefault="003B5F49">
      <w:pPr>
        <w:spacing w:after="0" w:line="240" w:lineRule="auto"/>
        <w:jc w:val="left"/>
        <w:rPr>
          <w:snapToGrid w:val="0"/>
        </w:rPr>
      </w:pPr>
      <w:r>
        <w:rPr>
          <w:snapToGrid w:val="0"/>
        </w:rPr>
        <w:br w:type="page"/>
      </w:r>
    </w:p>
    <w:p w14:paraId="4C0B4E24" w14:textId="77777777" w:rsidR="00914885" w:rsidRDefault="00914885" w:rsidP="00914885">
      <w:pPr>
        <w:pStyle w:val="TableHeading"/>
        <w:spacing w:before="0"/>
        <w:rPr>
          <w:snapToGrid w:val="0"/>
          <w:lang w:val="en-AU"/>
        </w:rPr>
      </w:pPr>
      <w:r>
        <w:rPr>
          <w:snapToGrid w:val="0"/>
        </w:rPr>
        <w:lastRenderedPageBreak/>
        <w:t>Table 3.10</w:t>
      </w:r>
      <w:r w:rsidRPr="00014438">
        <w:rPr>
          <w:snapToGrid w:val="0"/>
        </w:rPr>
        <w:t xml:space="preserve">: Schedule of </w:t>
      </w:r>
      <w:r>
        <w:rPr>
          <w:snapToGrid w:val="0"/>
        </w:rPr>
        <w:t>b</w:t>
      </w:r>
      <w:r w:rsidRPr="00014438">
        <w:rPr>
          <w:snapToGrid w:val="0"/>
        </w:rPr>
        <w:t xml:space="preserve">udgeted </w:t>
      </w:r>
      <w:r>
        <w:rPr>
          <w:snapToGrid w:val="0"/>
        </w:rPr>
        <w:t>a</w:t>
      </w:r>
      <w:r w:rsidRPr="00014438">
        <w:rPr>
          <w:snapToGrid w:val="0"/>
        </w:rPr>
        <w:t xml:space="preserve">dministered </w:t>
      </w:r>
      <w:r>
        <w:rPr>
          <w:snapToGrid w:val="0"/>
        </w:rPr>
        <w:t>c</w:t>
      </w:r>
      <w:r w:rsidRPr="00014438">
        <w:rPr>
          <w:snapToGrid w:val="0"/>
        </w:rPr>
        <w:t xml:space="preserve">ash </w:t>
      </w:r>
      <w:r>
        <w:rPr>
          <w:snapToGrid w:val="0"/>
        </w:rPr>
        <w:t>f</w:t>
      </w:r>
      <w:r w:rsidRPr="00014438">
        <w:rPr>
          <w:snapToGrid w:val="0"/>
        </w:rPr>
        <w:t xml:space="preserve">lows </w:t>
      </w:r>
      <w:r>
        <w:rPr>
          <w:snapToGrid w:val="0"/>
        </w:rPr>
        <w:t xml:space="preserve">(for the period ended 30 June) </w:t>
      </w:r>
    </w:p>
    <w:tbl>
      <w:tblPr>
        <w:tblW w:w="0" w:type="auto"/>
        <w:tblLayout w:type="fixed"/>
        <w:tblLook w:val="04A0" w:firstRow="1" w:lastRow="0" w:firstColumn="1" w:lastColumn="0" w:noHBand="0" w:noVBand="1"/>
      </w:tblPr>
      <w:tblGrid>
        <w:gridCol w:w="2552"/>
        <w:gridCol w:w="992"/>
        <w:gridCol w:w="1011"/>
        <w:gridCol w:w="992"/>
        <w:gridCol w:w="991"/>
        <w:gridCol w:w="1052"/>
      </w:tblGrid>
      <w:tr w:rsidR="002367A2" w:rsidRPr="003B5F49" w14:paraId="3D8D6A3C" w14:textId="77777777" w:rsidTr="002367A2">
        <w:trPr>
          <w:trHeight w:val="240"/>
        </w:trPr>
        <w:tc>
          <w:tcPr>
            <w:tcW w:w="2552" w:type="dxa"/>
            <w:tcBorders>
              <w:top w:val="single" w:sz="4" w:space="0" w:color="auto"/>
              <w:left w:val="nil"/>
              <w:bottom w:val="nil"/>
              <w:right w:val="nil"/>
            </w:tcBorders>
            <w:shd w:val="clear" w:color="auto" w:fill="auto"/>
            <w:noWrap/>
            <w:hideMark/>
          </w:tcPr>
          <w:p w14:paraId="661CDB94" w14:textId="7DB3C289" w:rsidR="002367A2" w:rsidRPr="003B5F49" w:rsidRDefault="002367A2" w:rsidP="002367A2">
            <w:pPr>
              <w:spacing w:after="0" w:line="240" w:lineRule="auto"/>
              <w:jc w:val="left"/>
              <w:rPr>
                <w:rFonts w:ascii="Arial" w:hAnsi="Arial" w:cs="Arial"/>
                <w:color w:val="000000"/>
                <w:sz w:val="16"/>
                <w:szCs w:val="16"/>
              </w:rPr>
            </w:pPr>
            <w:bookmarkStart w:id="471" w:name="RANGE!A3:F50"/>
            <w:r w:rsidRPr="003B5F49">
              <w:rPr>
                <w:rFonts w:ascii="Arial" w:hAnsi="Arial" w:cs="Arial"/>
                <w:color w:val="000000"/>
                <w:sz w:val="16"/>
                <w:szCs w:val="16"/>
              </w:rPr>
              <w:t> </w:t>
            </w:r>
            <w:bookmarkEnd w:id="471"/>
          </w:p>
        </w:tc>
        <w:tc>
          <w:tcPr>
            <w:tcW w:w="992" w:type="dxa"/>
            <w:tcBorders>
              <w:top w:val="single" w:sz="4" w:space="0" w:color="auto"/>
              <w:left w:val="nil"/>
              <w:bottom w:val="single" w:sz="4" w:space="0" w:color="auto"/>
              <w:right w:val="nil"/>
            </w:tcBorders>
            <w:shd w:val="clear" w:color="auto" w:fill="auto"/>
            <w:hideMark/>
          </w:tcPr>
          <w:p w14:paraId="7C20A86F" w14:textId="6415EC80"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2020-21 Actual</w:t>
            </w:r>
            <w:r w:rsidRPr="004349E0">
              <w:rPr>
                <w:rFonts w:ascii="Arial" w:hAnsi="Arial" w:cs="Arial"/>
                <w:sz w:val="16"/>
                <w:szCs w:val="16"/>
              </w:rPr>
              <w:br/>
            </w:r>
            <w:r w:rsidRPr="004349E0">
              <w:rPr>
                <w:rFonts w:ascii="Arial" w:hAnsi="Arial" w:cs="Arial"/>
                <w:sz w:val="16"/>
                <w:szCs w:val="16"/>
              </w:rPr>
              <w:br/>
              <w:t>$'000</w:t>
            </w:r>
          </w:p>
        </w:tc>
        <w:tc>
          <w:tcPr>
            <w:tcW w:w="1011" w:type="dxa"/>
            <w:tcBorders>
              <w:top w:val="single" w:sz="4" w:space="0" w:color="auto"/>
              <w:left w:val="nil"/>
              <w:bottom w:val="single" w:sz="4" w:space="0" w:color="auto"/>
              <w:right w:val="nil"/>
            </w:tcBorders>
            <w:shd w:val="clear" w:color="000000" w:fill="E6E6E6"/>
            <w:hideMark/>
          </w:tcPr>
          <w:p w14:paraId="0BEAAB34" w14:textId="1005C7C8"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2021-22</w:t>
            </w:r>
            <w:r w:rsidRPr="004349E0">
              <w:rPr>
                <w:rFonts w:ascii="Arial" w:hAnsi="Arial" w:cs="Arial"/>
                <w:sz w:val="16"/>
                <w:szCs w:val="16"/>
              </w:rPr>
              <w:br/>
              <w:t>Revised Budget</w:t>
            </w:r>
            <w:r w:rsidRPr="004349E0">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hideMark/>
          </w:tcPr>
          <w:p w14:paraId="44B6AD8D" w14:textId="1F2A3510"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2022-23 Forward estimate</w:t>
            </w:r>
            <w:r w:rsidRPr="004349E0">
              <w:rPr>
                <w:rFonts w:ascii="Arial" w:hAnsi="Arial" w:cs="Arial"/>
                <w:sz w:val="16"/>
                <w:szCs w:val="16"/>
              </w:rPr>
              <w:br/>
              <w:t>$'000</w:t>
            </w:r>
          </w:p>
        </w:tc>
        <w:tc>
          <w:tcPr>
            <w:tcW w:w="991" w:type="dxa"/>
            <w:tcBorders>
              <w:top w:val="single" w:sz="4" w:space="0" w:color="auto"/>
              <w:left w:val="nil"/>
              <w:bottom w:val="single" w:sz="4" w:space="0" w:color="auto"/>
              <w:right w:val="nil"/>
            </w:tcBorders>
            <w:shd w:val="clear" w:color="auto" w:fill="auto"/>
            <w:hideMark/>
          </w:tcPr>
          <w:p w14:paraId="2F2CD4E3" w14:textId="5B54C61F"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2023-24 Forward estimate</w:t>
            </w:r>
            <w:r w:rsidRPr="004349E0">
              <w:rPr>
                <w:rFonts w:ascii="Arial" w:hAnsi="Arial" w:cs="Arial"/>
                <w:sz w:val="16"/>
                <w:szCs w:val="16"/>
              </w:rPr>
              <w:br/>
              <w:t>$'000</w:t>
            </w:r>
          </w:p>
        </w:tc>
        <w:tc>
          <w:tcPr>
            <w:tcW w:w="1052" w:type="dxa"/>
            <w:tcBorders>
              <w:top w:val="single" w:sz="4" w:space="0" w:color="auto"/>
              <w:left w:val="nil"/>
              <w:bottom w:val="single" w:sz="4" w:space="0" w:color="auto"/>
              <w:right w:val="nil"/>
            </w:tcBorders>
            <w:shd w:val="clear" w:color="auto" w:fill="auto"/>
            <w:hideMark/>
          </w:tcPr>
          <w:p w14:paraId="65EFDA0F" w14:textId="0F1A4F16" w:rsidR="002367A2" w:rsidRPr="003B5F49"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2024-25</w:t>
            </w:r>
            <w:r w:rsidRPr="004349E0">
              <w:rPr>
                <w:rFonts w:ascii="Arial" w:hAnsi="Arial" w:cs="Arial"/>
                <w:sz w:val="16"/>
                <w:szCs w:val="16"/>
              </w:rPr>
              <w:br/>
              <w:t>Forward estimate</w:t>
            </w:r>
            <w:r w:rsidRPr="004349E0">
              <w:rPr>
                <w:rFonts w:ascii="Arial" w:hAnsi="Arial" w:cs="Arial"/>
                <w:sz w:val="16"/>
                <w:szCs w:val="16"/>
              </w:rPr>
              <w:br/>
              <w:t>$'000</w:t>
            </w:r>
          </w:p>
        </w:tc>
      </w:tr>
      <w:tr w:rsidR="003B5F49" w:rsidRPr="003B5F49" w14:paraId="3E3247E1" w14:textId="77777777" w:rsidTr="00147F69">
        <w:trPr>
          <w:trHeight w:val="204"/>
        </w:trPr>
        <w:tc>
          <w:tcPr>
            <w:tcW w:w="2552" w:type="dxa"/>
            <w:tcBorders>
              <w:top w:val="nil"/>
              <w:left w:val="nil"/>
              <w:bottom w:val="nil"/>
              <w:right w:val="nil"/>
            </w:tcBorders>
            <w:shd w:val="clear" w:color="auto" w:fill="auto"/>
            <w:noWrap/>
            <w:vAlign w:val="bottom"/>
            <w:hideMark/>
          </w:tcPr>
          <w:p w14:paraId="506A9D50" w14:textId="77777777" w:rsidR="003B5F49" w:rsidRPr="00147F69" w:rsidRDefault="003B5F49" w:rsidP="003B5F49">
            <w:pPr>
              <w:spacing w:after="0" w:line="240" w:lineRule="auto"/>
              <w:jc w:val="left"/>
              <w:rPr>
                <w:rFonts w:ascii="Arial" w:hAnsi="Arial" w:cs="Arial"/>
                <w:b/>
                <w:bCs/>
                <w:color w:val="000000"/>
                <w:sz w:val="16"/>
                <w:szCs w:val="16"/>
              </w:rPr>
            </w:pPr>
            <w:r w:rsidRPr="00147F69">
              <w:rPr>
                <w:rFonts w:ascii="Arial" w:hAnsi="Arial" w:cs="Arial"/>
                <w:b/>
                <w:bCs/>
                <w:color w:val="000000"/>
                <w:sz w:val="16"/>
                <w:szCs w:val="16"/>
              </w:rPr>
              <w:t>OPERATING ACTIVITIES</w:t>
            </w:r>
          </w:p>
        </w:tc>
        <w:tc>
          <w:tcPr>
            <w:tcW w:w="992" w:type="dxa"/>
            <w:tcBorders>
              <w:top w:val="nil"/>
              <w:left w:val="nil"/>
              <w:bottom w:val="nil"/>
              <w:right w:val="nil"/>
            </w:tcBorders>
            <w:shd w:val="clear" w:color="auto" w:fill="auto"/>
            <w:noWrap/>
            <w:vAlign w:val="bottom"/>
            <w:hideMark/>
          </w:tcPr>
          <w:p w14:paraId="2521DA49" w14:textId="77777777" w:rsidR="003B5F49" w:rsidRPr="00147F69" w:rsidRDefault="003B5F49" w:rsidP="0046488F">
            <w:pPr>
              <w:spacing w:after="0" w:line="240" w:lineRule="auto"/>
              <w:jc w:val="right"/>
              <w:rPr>
                <w:rFonts w:ascii="Arial" w:hAnsi="Arial" w:cs="Arial"/>
                <w:b/>
                <w:bCs/>
                <w:color w:val="000000"/>
                <w:sz w:val="16"/>
                <w:szCs w:val="16"/>
              </w:rPr>
            </w:pPr>
          </w:p>
        </w:tc>
        <w:tc>
          <w:tcPr>
            <w:tcW w:w="1011" w:type="dxa"/>
            <w:tcBorders>
              <w:top w:val="nil"/>
              <w:left w:val="nil"/>
              <w:bottom w:val="nil"/>
              <w:right w:val="nil"/>
            </w:tcBorders>
            <w:shd w:val="clear" w:color="000000" w:fill="E6E6E6"/>
            <w:noWrap/>
            <w:vAlign w:val="bottom"/>
            <w:hideMark/>
          </w:tcPr>
          <w:p w14:paraId="1EBFDC4B" w14:textId="3216424E" w:rsidR="003B5F49" w:rsidRPr="00147F69" w:rsidRDefault="003B5F49" w:rsidP="0046488F">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4172DE72" w14:textId="77777777" w:rsidR="003B5F49" w:rsidRPr="00147F69" w:rsidRDefault="003B5F49" w:rsidP="0046488F">
            <w:pPr>
              <w:spacing w:after="0" w:line="240" w:lineRule="auto"/>
              <w:jc w:val="right"/>
              <w:rPr>
                <w:rFonts w:ascii="Arial" w:hAnsi="Arial" w:cs="Arial"/>
                <w:color w:val="000000"/>
                <w:sz w:val="16"/>
                <w:szCs w:val="16"/>
              </w:rPr>
            </w:pPr>
          </w:p>
        </w:tc>
        <w:tc>
          <w:tcPr>
            <w:tcW w:w="991" w:type="dxa"/>
            <w:tcBorders>
              <w:top w:val="nil"/>
              <w:left w:val="nil"/>
              <w:bottom w:val="nil"/>
              <w:right w:val="nil"/>
            </w:tcBorders>
            <w:shd w:val="clear" w:color="auto" w:fill="auto"/>
            <w:noWrap/>
            <w:vAlign w:val="bottom"/>
            <w:hideMark/>
          </w:tcPr>
          <w:p w14:paraId="6ECC93E7" w14:textId="77777777" w:rsidR="003B5F49" w:rsidRPr="00147F69" w:rsidRDefault="003B5F49" w:rsidP="0046488F">
            <w:pPr>
              <w:spacing w:after="0" w:line="240" w:lineRule="auto"/>
              <w:jc w:val="right"/>
              <w:rPr>
                <w:rFonts w:ascii="Times New Roman" w:hAnsi="Times New Roman"/>
                <w:sz w:val="16"/>
                <w:szCs w:val="16"/>
              </w:rPr>
            </w:pPr>
          </w:p>
        </w:tc>
        <w:tc>
          <w:tcPr>
            <w:tcW w:w="1052" w:type="dxa"/>
            <w:tcBorders>
              <w:top w:val="nil"/>
              <w:left w:val="nil"/>
              <w:bottom w:val="nil"/>
              <w:right w:val="nil"/>
            </w:tcBorders>
            <w:shd w:val="clear" w:color="auto" w:fill="auto"/>
            <w:noWrap/>
            <w:vAlign w:val="bottom"/>
            <w:hideMark/>
          </w:tcPr>
          <w:p w14:paraId="3952F29D" w14:textId="77777777" w:rsidR="003B5F49" w:rsidRPr="00147F69" w:rsidRDefault="003B5F49" w:rsidP="0046488F">
            <w:pPr>
              <w:spacing w:after="0" w:line="240" w:lineRule="auto"/>
              <w:jc w:val="right"/>
              <w:rPr>
                <w:rFonts w:ascii="Times New Roman" w:hAnsi="Times New Roman"/>
                <w:sz w:val="16"/>
                <w:szCs w:val="16"/>
              </w:rPr>
            </w:pPr>
          </w:p>
        </w:tc>
      </w:tr>
      <w:tr w:rsidR="003B5F49" w:rsidRPr="003B5F49" w14:paraId="0EB86CDC" w14:textId="77777777" w:rsidTr="00147F69">
        <w:trPr>
          <w:trHeight w:val="204"/>
        </w:trPr>
        <w:tc>
          <w:tcPr>
            <w:tcW w:w="2552" w:type="dxa"/>
            <w:tcBorders>
              <w:top w:val="nil"/>
              <w:left w:val="nil"/>
              <w:bottom w:val="nil"/>
              <w:right w:val="nil"/>
            </w:tcBorders>
            <w:shd w:val="clear" w:color="auto" w:fill="auto"/>
            <w:noWrap/>
            <w:vAlign w:val="bottom"/>
            <w:hideMark/>
          </w:tcPr>
          <w:p w14:paraId="29FC4A39" w14:textId="77777777" w:rsidR="003B5F49" w:rsidRPr="00147F69" w:rsidRDefault="003B5F49" w:rsidP="003B5F49">
            <w:pPr>
              <w:spacing w:after="0" w:line="240" w:lineRule="auto"/>
              <w:jc w:val="left"/>
              <w:rPr>
                <w:rFonts w:ascii="Arial" w:hAnsi="Arial" w:cs="Arial"/>
                <w:b/>
                <w:bCs/>
                <w:color w:val="000000"/>
                <w:sz w:val="16"/>
                <w:szCs w:val="16"/>
              </w:rPr>
            </w:pPr>
            <w:r w:rsidRPr="00147F69">
              <w:rPr>
                <w:rFonts w:ascii="Arial" w:hAnsi="Arial" w:cs="Arial"/>
                <w:b/>
                <w:bCs/>
                <w:color w:val="000000"/>
                <w:sz w:val="16"/>
                <w:szCs w:val="16"/>
              </w:rPr>
              <w:t>Cash received</w:t>
            </w:r>
          </w:p>
        </w:tc>
        <w:tc>
          <w:tcPr>
            <w:tcW w:w="992" w:type="dxa"/>
            <w:tcBorders>
              <w:top w:val="nil"/>
              <w:left w:val="nil"/>
              <w:bottom w:val="nil"/>
              <w:right w:val="nil"/>
            </w:tcBorders>
            <w:shd w:val="clear" w:color="auto" w:fill="auto"/>
            <w:noWrap/>
            <w:vAlign w:val="bottom"/>
            <w:hideMark/>
          </w:tcPr>
          <w:p w14:paraId="4EB82B1F" w14:textId="77777777" w:rsidR="003B5F49" w:rsidRPr="00147F69" w:rsidRDefault="003B5F49" w:rsidP="0046488F">
            <w:pPr>
              <w:spacing w:after="0" w:line="240" w:lineRule="auto"/>
              <w:jc w:val="right"/>
              <w:rPr>
                <w:rFonts w:ascii="Arial" w:hAnsi="Arial" w:cs="Arial"/>
                <w:b/>
                <w:bCs/>
                <w:color w:val="000000"/>
                <w:sz w:val="16"/>
                <w:szCs w:val="16"/>
              </w:rPr>
            </w:pPr>
          </w:p>
        </w:tc>
        <w:tc>
          <w:tcPr>
            <w:tcW w:w="1011" w:type="dxa"/>
            <w:tcBorders>
              <w:top w:val="nil"/>
              <w:left w:val="nil"/>
              <w:bottom w:val="nil"/>
              <w:right w:val="nil"/>
            </w:tcBorders>
            <w:shd w:val="clear" w:color="000000" w:fill="E6E6E6"/>
            <w:noWrap/>
            <w:vAlign w:val="bottom"/>
            <w:hideMark/>
          </w:tcPr>
          <w:p w14:paraId="0A5B29DE" w14:textId="1AFA8587" w:rsidR="003B5F49" w:rsidRPr="00147F69" w:rsidRDefault="003B5F49" w:rsidP="0046488F">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6661E8D0" w14:textId="77777777" w:rsidR="003B5F49" w:rsidRPr="00147F69" w:rsidRDefault="003B5F49" w:rsidP="0046488F">
            <w:pPr>
              <w:spacing w:after="0" w:line="240" w:lineRule="auto"/>
              <w:jc w:val="right"/>
              <w:rPr>
                <w:rFonts w:ascii="Arial" w:hAnsi="Arial" w:cs="Arial"/>
                <w:color w:val="000000"/>
                <w:sz w:val="16"/>
                <w:szCs w:val="16"/>
              </w:rPr>
            </w:pPr>
          </w:p>
        </w:tc>
        <w:tc>
          <w:tcPr>
            <w:tcW w:w="991" w:type="dxa"/>
            <w:tcBorders>
              <w:top w:val="nil"/>
              <w:left w:val="nil"/>
              <w:bottom w:val="nil"/>
              <w:right w:val="nil"/>
            </w:tcBorders>
            <w:shd w:val="clear" w:color="auto" w:fill="auto"/>
            <w:noWrap/>
            <w:vAlign w:val="bottom"/>
            <w:hideMark/>
          </w:tcPr>
          <w:p w14:paraId="552D521F" w14:textId="77777777" w:rsidR="003B5F49" w:rsidRPr="00147F69" w:rsidRDefault="003B5F49" w:rsidP="0046488F">
            <w:pPr>
              <w:spacing w:after="0" w:line="240" w:lineRule="auto"/>
              <w:jc w:val="right"/>
              <w:rPr>
                <w:rFonts w:ascii="Times New Roman" w:hAnsi="Times New Roman"/>
                <w:sz w:val="16"/>
                <w:szCs w:val="16"/>
              </w:rPr>
            </w:pPr>
          </w:p>
        </w:tc>
        <w:tc>
          <w:tcPr>
            <w:tcW w:w="1052" w:type="dxa"/>
            <w:tcBorders>
              <w:top w:val="nil"/>
              <w:left w:val="nil"/>
              <w:bottom w:val="nil"/>
              <w:right w:val="nil"/>
            </w:tcBorders>
            <w:shd w:val="clear" w:color="auto" w:fill="auto"/>
            <w:noWrap/>
            <w:vAlign w:val="bottom"/>
            <w:hideMark/>
          </w:tcPr>
          <w:p w14:paraId="46B451F1" w14:textId="77777777" w:rsidR="003B5F49" w:rsidRPr="00147F69" w:rsidRDefault="003B5F49" w:rsidP="0046488F">
            <w:pPr>
              <w:spacing w:after="0" w:line="240" w:lineRule="auto"/>
              <w:jc w:val="right"/>
              <w:rPr>
                <w:rFonts w:ascii="Times New Roman" w:hAnsi="Times New Roman"/>
                <w:sz w:val="16"/>
                <w:szCs w:val="16"/>
              </w:rPr>
            </w:pPr>
          </w:p>
        </w:tc>
      </w:tr>
      <w:tr w:rsidR="003B5F49" w:rsidRPr="003B5F49" w14:paraId="4DF69A12" w14:textId="77777777" w:rsidTr="00147F69">
        <w:trPr>
          <w:trHeight w:val="204"/>
        </w:trPr>
        <w:tc>
          <w:tcPr>
            <w:tcW w:w="2552" w:type="dxa"/>
            <w:tcBorders>
              <w:top w:val="nil"/>
              <w:left w:val="nil"/>
              <w:bottom w:val="nil"/>
              <w:right w:val="nil"/>
            </w:tcBorders>
            <w:shd w:val="clear" w:color="auto" w:fill="auto"/>
            <w:noWrap/>
            <w:vAlign w:val="bottom"/>
            <w:hideMark/>
          </w:tcPr>
          <w:p w14:paraId="5434F363" w14:textId="77777777" w:rsidR="003B5F49" w:rsidRPr="00147F69" w:rsidRDefault="003B5F49" w:rsidP="002359B6">
            <w:pPr>
              <w:spacing w:after="0" w:line="240" w:lineRule="auto"/>
              <w:ind w:left="113"/>
              <w:jc w:val="left"/>
              <w:rPr>
                <w:rFonts w:ascii="Arial" w:hAnsi="Arial" w:cs="Arial"/>
                <w:color w:val="000000"/>
                <w:sz w:val="16"/>
                <w:szCs w:val="16"/>
              </w:rPr>
            </w:pPr>
            <w:r w:rsidRPr="00147F69">
              <w:rPr>
                <w:rFonts w:ascii="Arial" w:hAnsi="Arial" w:cs="Arial"/>
                <w:color w:val="000000"/>
                <w:sz w:val="16"/>
                <w:szCs w:val="16"/>
              </w:rPr>
              <w:t>Sales of goods and rendering of services</w:t>
            </w:r>
          </w:p>
        </w:tc>
        <w:tc>
          <w:tcPr>
            <w:tcW w:w="992" w:type="dxa"/>
            <w:tcBorders>
              <w:top w:val="nil"/>
              <w:left w:val="nil"/>
              <w:bottom w:val="nil"/>
              <w:right w:val="nil"/>
            </w:tcBorders>
            <w:shd w:val="clear" w:color="auto" w:fill="auto"/>
            <w:noWrap/>
            <w:vAlign w:val="bottom"/>
            <w:hideMark/>
          </w:tcPr>
          <w:p w14:paraId="0E69F10A" w14:textId="17E158B3"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24,118</w:t>
            </w:r>
          </w:p>
        </w:tc>
        <w:tc>
          <w:tcPr>
            <w:tcW w:w="1011" w:type="dxa"/>
            <w:tcBorders>
              <w:top w:val="nil"/>
              <w:left w:val="nil"/>
              <w:bottom w:val="nil"/>
              <w:right w:val="nil"/>
            </w:tcBorders>
            <w:shd w:val="clear" w:color="000000" w:fill="E6E6E6"/>
            <w:noWrap/>
            <w:vAlign w:val="bottom"/>
            <w:hideMark/>
          </w:tcPr>
          <w:p w14:paraId="1150B878" w14:textId="3B147789"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18,732</w:t>
            </w:r>
          </w:p>
        </w:tc>
        <w:tc>
          <w:tcPr>
            <w:tcW w:w="992" w:type="dxa"/>
            <w:tcBorders>
              <w:top w:val="nil"/>
              <w:left w:val="nil"/>
              <w:bottom w:val="nil"/>
              <w:right w:val="nil"/>
            </w:tcBorders>
            <w:shd w:val="clear" w:color="auto" w:fill="auto"/>
            <w:noWrap/>
            <w:vAlign w:val="bottom"/>
            <w:hideMark/>
          </w:tcPr>
          <w:p w14:paraId="60C19109" w14:textId="1B3A9891"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28,409</w:t>
            </w:r>
          </w:p>
        </w:tc>
        <w:tc>
          <w:tcPr>
            <w:tcW w:w="991" w:type="dxa"/>
            <w:tcBorders>
              <w:top w:val="nil"/>
              <w:left w:val="nil"/>
              <w:bottom w:val="nil"/>
              <w:right w:val="nil"/>
            </w:tcBorders>
            <w:shd w:val="clear" w:color="auto" w:fill="auto"/>
            <w:noWrap/>
            <w:vAlign w:val="bottom"/>
            <w:hideMark/>
          </w:tcPr>
          <w:p w14:paraId="7CE5DE02" w14:textId="31FBA554"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29,312</w:t>
            </w:r>
          </w:p>
        </w:tc>
        <w:tc>
          <w:tcPr>
            <w:tcW w:w="1052" w:type="dxa"/>
            <w:tcBorders>
              <w:top w:val="nil"/>
              <w:left w:val="nil"/>
              <w:bottom w:val="nil"/>
              <w:right w:val="nil"/>
            </w:tcBorders>
            <w:shd w:val="clear" w:color="auto" w:fill="auto"/>
            <w:noWrap/>
            <w:vAlign w:val="bottom"/>
            <w:hideMark/>
          </w:tcPr>
          <w:p w14:paraId="1982E778" w14:textId="1E025944"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30,190</w:t>
            </w:r>
          </w:p>
        </w:tc>
      </w:tr>
      <w:tr w:rsidR="003B5F49" w:rsidRPr="003B5F49" w14:paraId="43BC1EB3" w14:textId="77777777" w:rsidTr="00147F69">
        <w:trPr>
          <w:trHeight w:val="204"/>
        </w:trPr>
        <w:tc>
          <w:tcPr>
            <w:tcW w:w="2552" w:type="dxa"/>
            <w:tcBorders>
              <w:top w:val="nil"/>
              <w:left w:val="nil"/>
              <w:bottom w:val="nil"/>
              <w:right w:val="nil"/>
            </w:tcBorders>
            <w:shd w:val="clear" w:color="auto" w:fill="auto"/>
            <w:noWrap/>
            <w:vAlign w:val="bottom"/>
            <w:hideMark/>
          </w:tcPr>
          <w:p w14:paraId="08817637" w14:textId="2B51C0FD" w:rsidR="003B5F49" w:rsidRPr="00147F69" w:rsidRDefault="003B5F49" w:rsidP="006A053E">
            <w:pPr>
              <w:spacing w:after="0" w:line="240" w:lineRule="auto"/>
              <w:ind w:left="113"/>
              <w:jc w:val="left"/>
              <w:rPr>
                <w:rFonts w:ascii="Arial" w:hAnsi="Arial" w:cs="Arial"/>
                <w:color w:val="000000"/>
                <w:sz w:val="16"/>
                <w:szCs w:val="16"/>
              </w:rPr>
            </w:pPr>
            <w:r w:rsidRPr="00147F69">
              <w:rPr>
                <w:rFonts w:ascii="Arial" w:hAnsi="Arial" w:cs="Arial"/>
                <w:color w:val="000000"/>
                <w:sz w:val="16"/>
                <w:szCs w:val="16"/>
              </w:rPr>
              <w:t>G</w:t>
            </w:r>
            <w:r w:rsidR="006A053E">
              <w:rPr>
                <w:rFonts w:ascii="Arial" w:hAnsi="Arial" w:cs="Arial"/>
                <w:color w:val="000000"/>
                <w:sz w:val="16"/>
                <w:szCs w:val="16"/>
              </w:rPr>
              <w:t>ST</w:t>
            </w:r>
            <w:r w:rsidRPr="00147F69">
              <w:rPr>
                <w:rFonts w:ascii="Arial" w:hAnsi="Arial" w:cs="Arial"/>
                <w:color w:val="000000"/>
                <w:sz w:val="16"/>
                <w:szCs w:val="16"/>
              </w:rPr>
              <w:t xml:space="preserve"> received</w:t>
            </w:r>
          </w:p>
        </w:tc>
        <w:tc>
          <w:tcPr>
            <w:tcW w:w="992" w:type="dxa"/>
            <w:tcBorders>
              <w:top w:val="nil"/>
              <w:left w:val="nil"/>
              <w:bottom w:val="nil"/>
              <w:right w:val="nil"/>
            </w:tcBorders>
            <w:shd w:val="clear" w:color="auto" w:fill="auto"/>
            <w:noWrap/>
            <w:vAlign w:val="bottom"/>
            <w:hideMark/>
          </w:tcPr>
          <w:p w14:paraId="69A0CF01" w14:textId="5B273FB2"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1,447</w:t>
            </w:r>
          </w:p>
        </w:tc>
        <w:tc>
          <w:tcPr>
            <w:tcW w:w="1011" w:type="dxa"/>
            <w:tcBorders>
              <w:top w:val="nil"/>
              <w:left w:val="nil"/>
              <w:bottom w:val="nil"/>
              <w:right w:val="nil"/>
            </w:tcBorders>
            <w:shd w:val="clear" w:color="000000" w:fill="E6E6E6"/>
            <w:noWrap/>
            <w:vAlign w:val="bottom"/>
            <w:hideMark/>
          </w:tcPr>
          <w:p w14:paraId="59324DF3" w14:textId="0BC38023"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w:t>
            </w:r>
          </w:p>
        </w:tc>
        <w:tc>
          <w:tcPr>
            <w:tcW w:w="992" w:type="dxa"/>
            <w:tcBorders>
              <w:top w:val="nil"/>
              <w:left w:val="nil"/>
              <w:bottom w:val="nil"/>
              <w:right w:val="nil"/>
            </w:tcBorders>
            <w:shd w:val="clear" w:color="auto" w:fill="auto"/>
            <w:noWrap/>
            <w:vAlign w:val="bottom"/>
            <w:hideMark/>
          </w:tcPr>
          <w:p w14:paraId="79E55564" w14:textId="6617647A"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w:t>
            </w:r>
          </w:p>
        </w:tc>
        <w:tc>
          <w:tcPr>
            <w:tcW w:w="991" w:type="dxa"/>
            <w:tcBorders>
              <w:top w:val="nil"/>
              <w:left w:val="nil"/>
              <w:bottom w:val="nil"/>
              <w:right w:val="nil"/>
            </w:tcBorders>
            <w:shd w:val="clear" w:color="auto" w:fill="auto"/>
            <w:noWrap/>
            <w:vAlign w:val="bottom"/>
            <w:hideMark/>
          </w:tcPr>
          <w:p w14:paraId="6E09CFAB" w14:textId="2A768B24"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w:t>
            </w:r>
          </w:p>
        </w:tc>
        <w:tc>
          <w:tcPr>
            <w:tcW w:w="1052" w:type="dxa"/>
            <w:tcBorders>
              <w:top w:val="nil"/>
              <w:left w:val="nil"/>
              <w:bottom w:val="nil"/>
              <w:right w:val="nil"/>
            </w:tcBorders>
            <w:shd w:val="clear" w:color="auto" w:fill="auto"/>
            <w:noWrap/>
            <w:vAlign w:val="bottom"/>
            <w:hideMark/>
          </w:tcPr>
          <w:p w14:paraId="0970B428" w14:textId="20C4B05B"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w:t>
            </w:r>
          </w:p>
        </w:tc>
      </w:tr>
      <w:tr w:rsidR="003B5F49" w:rsidRPr="003B5F49" w14:paraId="4942F4B9" w14:textId="77777777" w:rsidTr="00147F69">
        <w:trPr>
          <w:trHeight w:val="204"/>
        </w:trPr>
        <w:tc>
          <w:tcPr>
            <w:tcW w:w="2552" w:type="dxa"/>
            <w:tcBorders>
              <w:top w:val="nil"/>
              <w:left w:val="nil"/>
              <w:bottom w:val="nil"/>
              <w:right w:val="nil"/>
            </w:tcBorders>
            <w:shd w:val="clear" w:color="auto" w:fill="auto"/>
            <w:noWrap/>
            <w:vAlign w:val="bottom"/>
            <w:hideMark/>
          </w:tcPr>
          <w:p w14:paraId="22F28D66" w14:textId="77777777" w:rsidR="003B5F49" w:rsidRPr="00147F69" w:rsidRDefault="003B5F49" w:rsidP="002359B6">
            <w:pPr>
              <w:spacing w:after="0" w:line="240" w:lineRule="auto"/>
              <w:ind w:left="113"/>
              <w:jc w:val="left"/>
              <w:rPr>
                <w:rFonts w:ascii="Arial" w:hAnsi="Arial" w:cs="Arial"/>
                <w:color w:val="000000"/>
                <w:sz w:val="16"/>
                <w:szCs w:val="16"/>
              </w:rPr>
            </w:pPr>
            <w:r w:rsidRPr="00147F69">
              <w:rPr>
                <w:rFonts w:ascii="Arial" w:hAnsi="Arial" w:cs="Arial"/>
                <w:color w:val="000000"/>
                <w:sz w:val="16"/>
                <w:szCs w:val="16"/>
              </w:rPr>
              <w:t>Other</w:t>
            </w:r>
          </w:p>
        </w:tc>
        <w:tc>
          <w:tcPr>
            <w:tcW w:w="992" w:type="dxa"/>
            <w:tcBorders>
              <w:top w:val="nil"/>
              <w:left w:val="nil"/>
              <w:bottom w:val="nil"/>
              <w:right w:val="nil"/>
            </w:tcBorders>
            <w:shd w:val="clear" w:color="auto" w:fill="auto"/>
            <w:noWrap/>
            <w:vAlign w:val="bottom"/>
            <w:hideMark/>
          </w:tcPr>
          <w:p w14:paraId="4E2749C3" w14:textId="34AE6974"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22</w:t>
            </w:r>
          </w:p>
        </w:tc>
        <w:tc>
          <w:tcPr>
            <w:tcW w:w="1011" w:type="dxa"/>
            <w:tcBorders>
              <w:top w:val="nil"/>
              <w:left w:val="nil"/>
              <w:bottom w:val="nil"/>
              <w:right w:val="nil"/>
            </w:tcBorders>
            <w:shd w:val="clear" w:color="000000" w:fill="E6E6E6"/>
            <w:noWrap/>
            <w:vAlign w:val="bottom"/>
            <w:hideMark/>
          </w:tcPr>
          <w:p w14:paraId="54459129" w14:textId="22104B2D"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10</w:t>
            </w:r>
          </w:p>
        </w:tc>
        <w:tc>
          <w:tcPr>
            <w:tcW w:w="992" w:type="dxa"/>
            <w:tcBorders>
              <w:top w:val="nil"/>
              <w:left w:val="nil"/>
              <w:bottom w:val="nil"/>
              <w:right w:val="nil"/>
            </w:tcBorders>
            <w:shd w:val="clear" w:color="auto" w:fill="auto"/>
            <w:noWrap/>
            <w:vAlign w:val="bottom"/>
            <w:hideMark/>
          </w:tcPr>
          <w:p w14:paraId="0BDEAB23" w14:textId="6620D47D"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10</w:t>
            </w:r>
          </w:p>
        </w:tc>
        <w:tc>
          <w:tcPr>
            <w:tcW w:w="991" w:type="dxa"/>
            <w:tcBorders>
              <w:top w:val="nil"/>
              <w:left w:val="nil"/>
              <w:bottom w:val="nil"/>
              <w:right w:val="nil"/>
            </w:tcBorders>
            <w:shd w:val="clear" w:color="auto" w:fill="auto"/>
            <w:noWrap/>
            <w:vAlign w:val="bottom"/>
            <w:hideMark/>
          </w:tcPr>
          <w:p w14:paraId="78581E00" w14:textId="1484A2C5"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12</w:t>
            </w:r>
          </w:p>
        </w:tc>
        <w:tc>
          <w:tcPr>
            <w:tcW w:w="1052" w:type="dxa"/>
            <w:tcBorders>
              <w:top w:val="nil"/>
              <w:left w:val="nil"/>
              <w:bottom w:val="nil"/>
              <w:right w:val="nil"/>
            </w:tcBorders>
            <w:shd w:val="clear" w:color="auto" w:fill="auto"/>
            <w:noWrap/>
            <w:vAlign w:val="bottom"/>
            <w:hideMark/>
          </w:tcPr>
          <w:p w14:paraId="6783E05B" w14:textId="3F650D7F"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12</w:t>
            </w:r>
          </w:p>
        </w:tc>
      </w:tr>
      <w:tr w:rsidR="003B5F49" w:rsidRPr="003B5F49" w14:paraId="49B230DF" w14:textId="77777777" w:rsidTr="00147F69">
        <w:trPr>
          <w:trHeight w:val="204"/>
        </w:trPr>
        <w:tc>
          <w:tcPr>
            <w:tcW w:w="2552" w:type="dxa"/>
            <w:tcBorders>
              <w:top w:val="nil"/>
              <w:left w:val="nil"/>
              <w:bottom w:val="nil"/>
              <w:right w:val="nil"/>
            </w:tcBorders>
            <w:shd w:val="clear" w:color="auto" w:fill="auto"/>
            <w:noWrap/>
            <w:vAlign w:val="bottom"/>
            <w:hideMark/>
          </w:tcPr>
          <w:p w14:paraId="28B34C1A" w14:textId="77777777" w:rsidR="003B5F49" w:rsidRPr="00147F69" w:rsidRDefault="003B5F49" w:rsidP="003B5F49">
            <w:pPr>
              <w:spacing w:after="0" w:line="240" w:lineRule="auto"/>
              <w:jc w:val="left"/>
              <w:rPr>
                <w:rFonts w:ascii="Arial" w:hAnsi="Arial" w:cs="Arial"/>
                <w:b/>
                <w:bCs/>
                <w:i/>
                <w:iCs/>
                <w:color w:val="000000"/>
                <w:sz w:val="16"/>
                <w:szCs w:val="16"/>
              </w:rPr>
            </w:pPr>
            <w:r w:rsidRPr="00147F69">
              <w:rPr>
                <w:rFonts w:ascii="Arial" w:hAnsi="Arial" w:cs="Arial"/>
                <w:b/>
                <w:bCs/>
                <w:i/>
                <w:iCs/>
                <w:color w:val="000000"/>
                <w:sz w:val="16"/>
                <w:szCs w:val="16"/>
              </w:rPr>
              <w:t>Total cash received</w:t>
            </w:r>
          </w:p>
        </w:tc>
        <w:tc>
          <w:tcPr>
            <w:tcW w:w="992" w:type="dxa"/>
            <w:tcBorders>
              <w:top w:val="single" w:sz="4" w:space="0" w:color="auto"/>
              <w:left w:val="nil"/>
              <w:bottom w:val="single" w:sz="4" w:space="0" w:color="auto"/>
              <w:right w:val="nil"/>
            </w:tcBorders>
            <w:shd w:val="clear" w:color="auto" w:fill="auto"/>
            <w:noWrap/>
            <w:vAlign w:val="bottom"/>
            <w:hideMark/>
          </w:tcPr>
          <w:p w14:paraId="017B54B2" w14:textId="22C3A83D" w:rsidR="003B5F49" w:rsidRPr="00147F69" w:rsidRDefault="003B5F49"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25,587</w:t>
            </w:r>
          </w:p>
        </w:tc>
        <w:tc>
          <w:tcPr>
            <w:tcW w:w="1011" w:type="dxa"/>
            <w:tcBorders>
              <w:top w:val="single" w:sz="4" w:space="0" w:color="auto"/>
              <w:left w:val="nil"/>
              <w:bottom w:val="single" w:sz="4" w:space="0" w:color="auto"/>
              <w:right w:val="nil"/>
            </w:tcBorders>
            <w:shd w:val="clear" w:color="000000" w:fill="E6E6E6"/>
            <w:noWrap/>
            <w:vAlign w:val="bottom"/>
            <w:hideMark/>
          </w:tcPr>
          <w:p w14:paraId="736CDC92" w14:textId="471A039A" w:rsidR="003B5F49" w:rsidRPr="00147F69" w:rsidRDefault="003B5F49"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18,742</w:t>
            </w:r>
          </w:p>
        </w:tc>
        <w:tc>
          <w:tcPr>
            <w:tcW w:w="992" w:type="dxa"/>
            <w:tcBorders>
              <w:top w:val="single" w:sz="4" w:space="0" w:color="auto"/>
              <w:left w:val="nil"/>
              <w:bottom w:val="single" w:sz="4" w:space="0" w:color="auto"/>
              <w:right w:val="nil"/>
            </w:tcBorders>
            <w:shd w:val="clear" w:color="auto" w:fill="auto"/>
            <w:noWrap/>
            <w:vAlign w:val="bottom"/>
            <w:hideMark/>
          </w:tcPr>
          <w:p w14:paraId="3256B7D0" w14:textId="4C0903CF" w:rsidR="003B5F49" w:rsidRPr="00147F69" w:rsidRDefault="003B5F49"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28,419</w:t>
            </w:r>
          </w:p>
        </w:tc>
        <w:tc>
          <w:tcPr>
            <w:tcW w:w="991" w:type="dxa"/>
            <w:tcBorders>
              <w:top w:val="single" w:sz="4" w:space="0" w:color="auto"/>
              <w:left w:val="nil"/>
              <w:bottom w:val="single" w:sz="4" w:space="0" w:color="auto"/>
              <w:right w:val="nil"/>
            </w:tcBorders>
            <w:shd w:val="clear" w:color="auto" w:fill="auto"/>
            <w:noWrap/>
            <w:vAlign w:val="bottom"/>
            <w:hideMark/>
          </w:tcPr>
          <w:p w14:paraId="43D685CC" w14:textId="10E40660" w:rsidR="003B5F49" w:rsidRPr="00147F69" w:rsidRDefault="003B5F49"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29,324</w:t>
            </w:r>
          </w:p>
        </w:tc>
        <w:tc>
          <w:tcPr>
            <w:tcW w:w="1052" w:type="dxa"/>
            <w:tcBorders>
              <w:top w:val="single" w:sz="4" w:space="0" w:color="auto"/>
              <w:left w:val="nil"/>
              <w:bottom w:val="single" w:sz="4" w:space="0" w:color="auto"/>
              <w:right w:val="nil"/>
            </w:tcBorders>
            <w:shd w:val="clear" w:color="auto" w:fill="auto"/>
            <w:noWrap/>
            <w:vAlign w:val="bottom"/>
            <w:hideMark/>
          </w:tcPr>
          <w:p w14:paraId="17D7B7C8" w14:textId="16D5531D" w:rsidR="003B5F49" w:rsidRPr="00147F69" w:rsidRDefault="003B5F49"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30,202</w:t>
            </w:r>
          </w:p>
        </w:tc>
      </w:tr>
      <w:tr w:rsidR="003B5F49" w:rsidRPr="003B5F49" w14:paraId="6EDFFB08" w14:textId="77777777" w:rsidTr="00147F69">
        <w:trPr>
          <w:trHeight w:val="204"/>
        </w:trPr>
        <w:tc>
          <w:tcPr>
            <w:tcW w:w="2552" w:type="dxa"/>
            <w:tcBorders>
              <w:top w:val="nil"/>
              <w:left w:val="nil"/>
              <w:bottom w:val="nil"/>
              <w:right w:val="nil"/>
            </w:tcBorders>
            <w:shd w:val="clear" w:color="auto" w:fill="auto"/>
            <w:noWrap/>
            <w:vAlign w:val="bottom"/>
            <w:hideMark/>
          </w:tcPr>
          <w:p w14:paraId="5409C436" w14:textId="77777777" w:rsidR="003B5F49" w:rsidRPr="00147F69" w:rsidRDefault="003B5F49" w:rsidP="003B5F49">
            <w:pPr>
              <w:spacing w:after="0" w:line="240" w:lineRule="auto"/>
              <w:jc w:val="left"/>
              <w:rPr>
                <w:rFonts w:ascii="Arial" w:hAnsi="Arial" w:cs="Arial"/>
                <w:b/>
                <w:bCs/>
                <w:color w:val="000000"/>
                <w:sz w:val="16"/>
                <w:szCs w:val="16"/>
              </w:rPr>
            </w:pPr>
            <w:r w:rsidRPr="00147F69">
              <w:rPr>
                <w:rFonts w:ascii="Arial" w:hAnsi="Arial" w:cs="Arial"/>
                <w:b/>
                <w:bCs/>
                <w:color w:val="000000"/>
                <w:sz w:val="16"/>
                <w:szCs w:val="16"/>
              </w:rPr>
              <w:t>Cash used</w:t>
            </w:r>
          </w:p>
        </w:tc>
        <w:tc>
          <w:tcPr>
            <w:tcW w:w="992" w:type="dxa"/>
            <w:tcBorders>
              <w:top w:val="nil"/>
              <w:left w:val="nil"/>
              <w:bottom w:val="nil"/>
              <w:right w:val="nil"/>
            </w:tcBorders>
            <w:shd w:val="clear" w:color="auto" w:fill="auto"/>
            <w:noWrap/>
            <w:vAlign w:val="bottom"/>
            <w:hideMark/>
          </w:tcPr>
          <w:p w14:paraId="15B9265C" w14:textId="77777777" w:rsidR="003B5F49" w:rsidRPr="00147F69" w:rsidRDefault="003B5F49" w:rsidP="0046488F">
            <w:pPr>
              <w:spacing w:after="0" w:line="240" w:lineRule="auto"/>
              <w:jc w:val="right"/>
              <w:rPr>
                <w:rFonts w:ascii="Arial" w:hAnsi="Arial" w:cs="Arial"/>
                <w:b/>
                <w:bCs/>
                <w:color w:val="000000"/>
                <w:sz w:val="16"/>
                <w:szCs w:val="16"/>
              </w:rPr>
            </w:pPr>
          </w:p>
        </w:tc>
        <w:tc>
          <w:tcPr>
            <w:tcW w:w="1011" w:type="dxa"/>
            <w:tcBorders>
              <w:top w:val="nil"/>
              <w:left w:val="nil"/>
              <w:bottom w:val="nil"/>
              <w:right w:val="nil"/>
            </w:tcBorders>
            <w:shd w:val="clear" w:color="000000" w:fill="E6E6E6"/>
            <w:noWrap/>
            <w:vAlign w:val="bottom"/>
            <w:hideMark/>
          </w:tcPr>
          <w:p w14:paraId="7B01499F" w14:textId="10E248E5" w:rsidR="003B5F49" w:rsidRPr="00147F69" w:rsidRDefault="003B5F49" w:rsidP="0046488F">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7B724D6C" w14:textId="77777777" w:rsidR="003B5F49" w:rsidRPr="00147F69" w:rsidRDefault="003B5F49" w:rsidP="0046488F">
            <w:pPr>
              <w:spacing w:after="0" w:line="240" w:lineRule="auto"/>
              <w:jc w:val="right"/>
              <w:rPr>
                <w:rFonts w:ascii="Arial" w:hAnsi="Arial" w:cs="Arial"/>
                <w:color w:val="000000"/>
                <w:sz w:val="16"/>
                <w:szCs w:val="16"/>
              </w:rPr>
            </w:pPr>
          </w:p>
        </w:tc>
        <w:tc>
          <w:tcPr>
            <w:tcW w:w="991" w:type="dxa"/>
            <w:tcBorders>
              <w:top w:val="nil"/>
              <w:left w:val="nil"/>
              <w:bottom w:val="nil"/>
              <w:right w:val="nil"/>
            </w:tcBorders>
            <w:shd w:val="clear" w:color="auto" w:fill="auto"/>
            <w:noWrap/>
            <w:vAlign w:val="bottom"/>
            <w:hideMark/>
          </w:tcPr>
          <w:p w14:paraId="6B112164" w14:textId="77777777" w:rsidR="003B5F49" w:rsidRPr="00147F69" w:rsidRDefault="003B5F49" w:rsidP="0046488F">
            <w:pPr>
              <w:spacing w:after="0" w:line="240" w:lineRule="auto"/>
              <w:jc w:val="right"/>
              <w:rPr>
                <w:rFonts w:ascii="Times New Roman" w:hAnsi="Times New Roman"/>
                <w:sz w:val="16"/>
                <w:szCs w:val="16"/>
              </w:rPr>
            </w:pPr>
          </w:p>
        </w:tc>
        <w:tc>
          <w:tcPr>
            <w:tcW w:w="1052" w:type="dxa"/>
            <w:tcBorders>
              <w:top w:val="nil"/>
              <w:left w:val="nil"/>
              <w:bottom w:val="nil"/>
              <w:right w:val="nil"/>
            </w:tcBorders>
            <w:shd w:val="clear" w:color="auto" w:fill="auto"/>
            <w:noWrap/>
            <w:vAlign w:val="bottom"/>
            <w:hideMark/>
          </w:tcPr>
          <w:p w14:paraId="0B3AEE98" w14:textId="77777777" w:rsidR="003B5F49" w:rsidRPr="00147F69" w:rsidRDefault="003B5F49" w:rsidP="0046488F">
            <w:pPr>
              <w:spacing w:after="0" w:line="240" w:lineRule="auto"/>
              <w:jc w:val="right"/>
              <w:rPr>
                <w:rFonts w:ascii="Times New Roman" w:hAnsi="Times New Roman"/>
                <w:sz w:val="16"/>
                <w:szCs w:val="16"/>
              </w:rPr>
            </w:pPr>
          </w:p>
        </w:tc>
      </w:tr>
      <w:tr w:rsidR="003B5F49" w:rsidRPr="003B5F49" w14:paraId="4D525B28" w14:textId="77777777" w:rsidTr="00147F69">
        <w:trPr>
          <w:trHeight w:val="204"/>
        </w:trPr>
        <w:tc>
          <w:tcPr>
            <w:tcW w:w="2552" w:type="dxa"/>
            <w:tcBorders>
              <w:top w:val="nil"/>
              <w:left w:val="nil"/>
              <w:bottom w:val="nil"/>
              <w:right w:val="nil"/>
            </w:tcBorders>
            <w:shd w:val="clear" w:color="auto" w:fill="auto"/>
            <w:noWrap/>
            <w:vAlign w:val="bottom"/>
            <w:hideMark/>
          </w:tcPr>
          <w:p w14:paraId="21AE5C7E" w14:textId="77777777" w:rsidR="003B5F49" w:rsidRPr="00147F69" w:rsidRDefault="003B5F49" w:rsidP="002359B6">
            <w:pPr>
              <w:spacing w:after="0" w:line="240" w:lineRule="auto"/>
              <w:ind w:left="113"/>
              <w:jc w:val="left"/>
              <w:rPr>
                <w:rFonts w:ascii="Arial" w:hAnsi="Arial" w:cs="Arial"/>
                <w:color w:val="000000"/>
                <w:sz w:val="16"/>
                <w:szCs w:val="16"/>
              </w:rPr>
            </w:pPr>
            <w:r w:rsidRPr="00147F69">
              <w:rPr>
                <w:rFonts w:ascii="Arial" w:hAnsi="Arial" w:cs="Arial"/>
                <w:color w:val="000000"/>
                <w:sz w:val="16"/>
                <w:szCs w:val="16"/>
              </w:rPr>
              <w:t>Suppliers</w:t>
            </w:r>
          </w:p>
        </w:tc>
        <w:tc>
          <w:tcPr>
            <w:tcW w:w="992" w:type="dxa"/>
            <w:tcBorders>
              <w:top w:val="nil"/>
              <w:left w:val="nil"/>
              <w:bottom w:val="nil"/>
              <w:right w:val="nil"/>
            </w:tcBorders>
            <w:shd w:val="clear" w:color="auto" w:fill="auto"/>
            <w:noWrap/>
            <w:vAlign w:val="bottom"/>
            <w:hideMark/>
          </w:tcPr>
          <w:p w14:paraId="391F078B" w14:textId="541325FF"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22,151</w:t>
            </w:r>
          </w:p>
        </w:tc>
        <w:tc>
          <w:tcPr>
            <w:tcW w:w="1011" w:type="dxa"/>
            <w:tcBorders>
              <w:top w:val="nil"/>
              <w:left w:val="nil"/>
              <w:bottom w:val="nil"/>
              <w:right w:val="nil"/>
            </w:tcBorders>
            <w:shd w:val="clear" w:color="000000" w:fill="E6E6E6"/>
            <w:noWrap/>
            <w:vAlign w:val="bottom"/>
            <w:hideMark/>
          </w:tcPr>
          <w:p w14:paraId="76713B0E" w14:textId="7DA5994D"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18,115</w:t>
            </w:r>
          </w:p>
        </w:tc>
        <w:tc>
          <w:tcPr>
            <w:tcW w:w="992" w:type="dxa"/>
            <w:tcBorders>
              <w:top w:val="nil"/>
              <w:left w:val="nil"/>
              <w:bottom w:val="nil"/>
              <w:right w:val="nil"/>
            </w:tcBorders>
            <w:shd w:val="clear" w:color="auto" w:fill="auto"/>
            <w:noWrap/>
            <w:vAlign w:val="bottom"/>
            <w:hideMark/>
          </w:tcPr>
          <w:p w14:paraId="70F386F0" w14:textId="54F70DDE"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17,149</w:t>
            </w:r>
          </w:p>
        </w:tc>
        <w:tc>
          <w:tcPr>
            <w:tcW w:w="991" w:type="dxa"/>
            <w:tcBorders>
              <w:top w:val="nil"/>
              <w:left w:val="nil"/>
              <w:bottom w:val="nil"/>
              <w:right w:val="nil"/>
            </w:tcBorders>
            <w:shd w:val="clear" w:color="auto" w:fill="auto"/>
            <w:noWrap/>
            <w:vAlign w:val="bottom"/>
            <w:hideMark/>
          </w:tcPr>
          <w:p w14:paraId="498C92F5" w14:textId="24DBD0E5"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18,195</w:t>
            </w:r>
          </w:p>
        </w:tc>
        <w:tc>
          <w:tcPr>
            <w:tcW w:w="1052" w:type="dxa"/>
            <w:tcBorders>
              <w:top w:val="nil"/>
              <w:left w:val="nil"/>
              <w:bottom w:val="nil"/>
              <w:right w:val="nil"/>
            </w:tcBorders>
            <w:shd w:val="clear" w:color="auto" w:fill="auto"/>
            <w:noWrap/>
            <w:vAlign w:val="bottom"/>
            <w:hideMark/>
          </w:tcPr>
          <w:p w14:paraId="30EE9EE4" w14:textId="1FE9B377"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19,587</w:t>
            </w:r>
          </w:p>
        </w:tc>
      </w:tr>
      <w:tr w:rsidR="003B5F49" w:rsidRPr="003B5F49" w14:paraId="6DF06A1A" w14:textId="77777777" w:rsidTr="00147F69">
        <w:trPr>
          <w:trHeight w:val="204"/>
        </w:trPr>
        <w:tc>
          <w:tcPr>
            <w:tcW w:w="2552" w:type="dxa"/>
            <w:tcBorders>
              <w:top w:val="nil"/>
              <w:left w:val="nil"/>
              <w:bottom w:val="nil"/>
              <w:right w:val="nil"/>
            </w:tcBorders>
            <w:shd w:val="clear" w:color="auto" w:fill="auto"/>
            <w:noWrap/>
            <w:vAlign w:val="bottom"/>
            <w:hideMark/>
          </w:tcPr>
          <w:p w14:paraId="75D142A2" w14:textId="77777777" w:rsidR="003B5F49" w:rsidRPr="00147F69" w:rsidRDefault="003B5F49" w:rsidP="003B5F49">
            <w:pPr>
              <w:spacing w:after="0" w:line="240" w:lineRule="auto"/>
              <w:jc w:val="left"/>
              <w:rPr>
                <w:rFonts w:ascii="Arial" w:hAnsi="Arial" w:cs="Arial"/>
                <w:b/>
                <w:bCs/>
                <w:i/>
                <w:iCs/>
                <w:color w:val="000000"/>
                <w:sz w:val="16"/>
                <w:szCs w:val="16"/>
              </w:rPr>
            </w:pPr>
            <w:r w:rsidRPr="00147F69">
              <w:rPr>
                <w:rFonts w:ascii="Arial" w:hAnsi="Arial" w:cs="Arial"/>
                <w:b/>
                <w:bCs/>
                <w:i/>
                <w:iCs/>
                <w:color w:val="000000"/>
                <w:sz w:val="16"/>
                <w:szCs w:val="16"/>
              </w:rPr>
              <w:t>Total cash used</w:t>
            </w:r>
          </w:p>
        </w:tc>
        <w:tc>
          <w:tcPr>
            <w:tcW w:w="992" w:type="dxa"/>
            <w:tcBorders>
              <w:top w:val="single" w:sz="4" w:space="0" w:color="auto"/>
              <w:left w:val="nil"/>
              <w:bottom w:val="single" w:sz="4" w:space="0" w:color="auto"/>
              <w:right w:val="nil"/>
            </w:tcBorders>
            <w:shd w:val="clear" w:color="auto" w:fill="auto"/>
            <w:noWrap/>
            <w:vAlign w:val="bottom"/>
            <w:hideMark/>
          </w:tcPr>
          <w:p w14:paraId="77F64300" w14:textId="2D94FC6E" w:rsidR="003B5F49" w:rsidRPr="00147F69" w:rsidRDefault="003B5F49"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22,151</w:t>
            </w:r>
          </w:p>
        </w:tc>
        <w:tc>
          <w:tcPr>
            <w:tcW w:w="1011" w:type="dxa"/>
            <w:tcBorders>
              <w:top w:val="single" w:sz="4" w:space="0" w:color="auto"/>
              <w:left w:val="nil"/>
              <w:bottom w:val="single" w:sz="4" w:space="0" w:color="auto"/>
              <w:right w:val="nil"/>
            </w:tcBorders>
            <w:shd w:val="clear" w:color="000000" w:fill="E6E6E6"/>
            <w:noWrap/>
            <w:vAlign w:val="bottom"/>
            <w:hideMark/>
          </w:tcPr>
          <w:p w14:paraId="3D754479" w14:textId="47A4C3D4" w:rsidR="003B5F49" w:rsidRPr="00147F69" w:rsidRDefault="003B5F49"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18,115</w:t>
            </w:r>
          </w:p>
        </w:tc>
        <w:tc>
          <w:tcPr>
            <w:tcW w:w="992" w:type="dxa"/>
            <w:tcBorders>
              <w:top w:val="single" w:sz="4" w:space="0" w:color="auto"/>
              <w:left w:val="nil"/>
              <w:bottom w:val="single" w:sz="4" w:space="0" w:color="auto"/>
              <w:right w:val="nil"/>
            </w:tcBorders>
            <w:shd w:val="clear" w:color="auto" w:fill="auto"/>
            <w:noWrap/>
            <w:vAlign w:val="bottom"/>
            <w:hideMark/>
          </w:tcPr>
          <w:p w14:paraId="56D097F8" w14:textId="16F97AE1" w:rsidR="003B5F49" w:rsidRPr="00147F69" w:rsidRDefault="003B5F49"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17,149</w:t>
            </w:r>
          </w:p>
        </w:tc>
        <w:tc>
          <w:tcPr>
            <w:tcW w:w="991" w:type="dxa"/>
            <w:tcBorders>
              <w:top w:val="single" w:sz="4" w:space="0" w:color="auto"/>
              <w:left w:val="nil"/>
              <w:bottom w:val="single" w:sz="4" w:space="0" w:color="auto"/>
              <w:right w:val="nil"/>
            </w:tcBorders>
            <w:shd w:val="clear" w:color="auto" w:fill="auto"/>
            <w:noWrap/>
            <w:vAlign w:val="bottom"/>
            <w:hideMark/>
          </w:tcPr>
          <w:p w14:paraId="1B62DFE9" w14:textId="7BEBBB90" w:rsidR="003B5F49" w:rsidRPr="00147F69" w:rsidRDefault="003B5F49"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18,195</w:t>
            </w:r>
          </w:p>
        </w:tc>
        <w:tc>
          <w:tcPr>
            <w:tcW w:w="1052" w:type="dxa"/>
            <w:tcBorders>
              <w:top w:val="single" w:sz="4" w:space="0" w:color="auto"/>
              <w:left w:val="nil"/>
              <w:bottom w:val="single" w:sz="4" w:space="0" w:color="auto"/>
              <w:right w:val="nil"/>
            </w:tcBorders>
            <w:shd w:val="clear" w:color="auto" w:fill="auto"/>
            <w:noWrap/>
            <w:vAlign w:val="bottom"/>
            <w:hideMark/>
          </w:tcPr>
          <w:p w14:paraId="3B34A6D1" w14:textId="1D877B80" w:rsidR="003B5F49" w:rsidRPr="00147F69" w:rsidRDefault="003B5F49"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19,587</w:t>
            </w:r>
          </w:p>
        </w:tc>
      </w:tr>
      <w:tr w:rsidR="003B5F49" w:rsidRPr="003B5F49" w14:paraId="5AD7BC76" w14:textId="77777777" w:rsidTr="00147F69">
        <w:trPr>
          <w:trHeight w:val="204"/>
        </w:trPr>
        <w:tc>
          <w:tcPr>
            <w:tcW w:w="2552" w:type="dxa"/>
            <w:tcBorders>
              <w:top w:val="nil"/>
              <w:left w:val="nil"/>
              <w:bottom w:val="nil"/>
              <w:right w:val="nil"/>
            </w:tcBorders>
            <w:shd w:val="clear" w:color="auto" w:fill="auto"/>
            <w:noWrap/>
            <w:vAlign w:val="bottom"/>
            <w:hideMark/>
          </w:tcPr>
          <w:p w14:paraId="3B2360E8" w14:textId="77777777" w:rsidR="003B5F49" w:rsidRPr="00147F69" w:rsidRDefault="003B5F49" w:rsidP="003B5F49">
            <w:pPr>
              <w:spacing w:after="0" w:line="240" w:lineRule="auto"/>
              <w:jc w:val="left"/>
              <w:rPr>
                <w:rFonts w:ascii="Arial" w:hAnsi="Arial" w:cs="Arial"/>
                <w:b/>
                <w:bCs/>
                <w:color w:val="000000"/>
                <w:sz w:val="16"/>
                <w:szCs w:val="16"/>
              </w:rPr>
            </w:pPr>
            <w:r w:rsidRPr="00147F69">
              <w:rPr>
                <w:rFonts w:ascii="Arial" w:hAnsi="Arial" w:cs="Arial"/>
                <w:b/>
                <w:bCs/>
                <w:color w:val="000000"/>
                <w:sz w:val="16"/>
                <w:szCs w:val="16"/>
              </w:rPr>
              <w:t>Net cash from/(used by) operating activities</w:t>
            </w:r>
          </w:p>
        </w:tc>
        <w:tc>
          <w:tcPr>
            <w:tcW w:w="992" w:type="dxa"/>
            <w:tcBorders>
              <w:top w:val="single" w:sz="4" w:space="0" w:color="auto"/>
              <w:left w:val="nil"/>
              <w:bottom w:val="single" w:sz="4" w:space="0" w:color="auto"/>
              <w:right w:val="nil"/>
            </w:tcBorders>
            <w:shd w:val="clear" w:color="auto" w:fill="auto"/>
            <w:noWrap/>
            <w:vAlign w:val="bottom"/>
            <w:hideMark/>
          </w:tcPr>
          <w:p w14:paraId="574968B1" w14:textId="71999E76" w:rsidR="003B5F49" w:rsidRPr="00147F69" w:rsidRDefault="003B5F49"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3,436</w:t>
            </w:r>
          </w:p>
        </w:tc>
        <w:tc>
          <w:tcPr>
            <w:tcW w:w="1011" w:type="dxa"/>
            <w:tcBorders>
              <w:top w:val="single" w:sz="4" w:space="0" w:color="auto"/>
              <w:left w:val="nil"/>
              <w:bottom w:val="single" w:sz="4" w:space="0" w:color="auto"/>
              <w:right w:val="nil"/>
            </w:tcBorders>
            <w:shd w:val="clear" w:color="000000" w:fill="E6E6E6"/>
            <w:noWrap/>
            <w:vAlign w:val="bottom"/>
            <w:hideMark/>
          </w:tcPr>
          <w:p w14:paraId="364221EC" w14:textId="2D610137" w:rsidR="003B5F49" w:rsidRPr="00147F69" w:rsidRDefault="003B5F49"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627</w:t>
            </w:r>
          </w:p>
        </w:tc>
        <w:tc>
          <w:tcPr>
            <w:tcW w:w="992" w:type="dxa"/>
            <w:tcBorders>
              <w:top w:val="single" w:sz="4" w:space="0" w:color="auto"/>
              <w:left w:val="nil"/>
              <w:bottom w:val="single" w:sz="4" w:space="0" w:color="auto"/>
              <w:right w:val="nil"/>
            </w:tcBorders>
            <w:shd w:val="clear" w:color="auto" w:fill="auto"/>
            <w:noWrap/>
            <w:vAlign w:val="bottom"/>
            <w:hideMark/>
          </w:tcPr>
          <w:p w14:paraId="221C297C" w14:textId="7D7867A1" w:rsidR="003B5F49" w:rsidRPr="00147F69" w:rsidRDefault="003B5F49"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11,270</w:t>
            </w:r>
          </w:p>
        </w:tc>
        <w:tc>
          <w:tcPr>
            <w:tcW w:w="991" w:type="dxa"/>
            <w:tcBorders>
              <w:top w:val="single" w:sz="4" w:space="0" w:color="auto"/>
              <w:left w:val="nil"/>
              <w:bottom w:val="single" w:sz="4" w:space="0" w:color="auto"/>
              <w:right w:val="nil"/>
            </w:tcBorders>
            <w:shd w:val="clear" w:color="auto" w:fill="auto"/>
            <w:noWrap/>
            <w:vAlign w:val="bottom"/>
            <w:hideMark/>
          </w:tcPr>
          <w:p w14:paraId="2D705037" w14:textId="0F2C84BA" w:rsidR="003B5F49" w:rsidRPr="00147F69" w:rsidRDefault="003B5F49"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11,129</w:t>
            </w:r>
          </w:p>
        </w:tc>
        <w:tc>
          <w:tcPr>
            <w:tcW w:w="1052" w:type="dxa"/>
            <w:tcBorders>
              <w:top w:val="single" w:sz="4" w:space="0" w:color="auto"/>
              <w:left w:val="nil"/>
              <w:bottom w:val="single" w:sz="4" w:space="0" w:color="auto"/>
              <w:right w:val="nil"/>
            </w:tcBorders>
            <w:shd w:val="clear" w:color="auto" w:fill="auto"/>
            <w:noWrap/>
            <w:vAlign w:val="bottom"/>
            <w:hideMark/>
          </w:tcPr>
          <w:p w14:paraId="48C22379" w14:textId="39EC8327" w:rsidR="003B5F49" w:rsidRPr="00147F69" w:rsidRDefault="003B5F49"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10,615</w:t>
            </w:r>
          </w:p>
        </w:tc>
      </w:tr>
      <w:tr w:rsidR="003B5F49" w:rsidRPr="003B5F49" w14:paraId="42B4EF38" w14:textId="77777777" w:rsidTr="00147F69">
        <w:trPr>
          <w:trHeight w:val="204"/>
        </w:trPr>
        <w:tc>
          <w:tcPr>
            <w:tcW w:w="2552" w:type="dxa"/>
            <w:tcBorders>
              <w:top w:val="nil"/>
              <w:left w:val="nil"/>
              <w:bottom w:val="nil"/>
              <w:right w:val="nil"/>
            </w:tcBorders>
            <w:shd w:val="clear" w:color="auto" w:fill="auto"/>
            <w:noWrap/>
            <w:vAlign w:val="bottom"/>
            <w:hideMark/>
          </w:tcPr>
          <w:p w14:paraId="2165DD1A" w14:textId="77777777" w:rsidR="003B5F49" w:rsidRPr="00147F69" w:rsidRDefault="003B5F49" w:rsidP="003B5F49">
            <w:pPr>
              <w:spacing w:after="0" w:line="240" w:lineRule="auto"/>
              <w:jc w:val="left"/>
              <w:rPr>
                <w:rFonts w:ascii="Arial" w:hAnsi="Arial" w:cs="Arial"/>
                <w:b/>
                <w:bCs/>
                <w:color w:val="000000"/>
                <w:sz w:val="16"/>
                <w:szCs w:val="16"/>
              </w:rPr>
            </w:pPr>
            <w:r w:rsidRPr="00147F69">
              <w:rPr>
                <w:rFonts w:ascii="Arial" w:hAnsi="Arial" w:cs="Arial"/>
                <w:b/>
                <w:bCs/>
                <w:color w:val="000000"/>
                <w:sz w:val="16"/>
                <w:szCs w:val="16"/>
              </w:rPr>
              <w:t>INVESTING ACTIVITIES</w:t>
            </w:r>
          </w:p>
        </w:tc>
        <w:tc>
          <w:tcPr>
            <w:tcW w:w="992" w:type="dxa"/>
            <w:tcBorders>
              <w:top w:val="nil"/>
              <w:left w:val="nil"/>
              <w:bottom w:val="nil"/>
              <w:right w:val="nil"/>
            </w:tcBorders>
            <w:shd w:val="clear" w:color="auto" w:fill="auto"/>
            <w:noWrap/>
            <w:vAlign w:val="bottom"/>
            <w:hideMark/>
          </w:tcPr>
          <w:p w14:paraId="5BDFE6F1" w14:textId="77777777" w:rsidR="003B5F49" w:rsidRPr="00147F69" w:rsidRDefault="003B5F49" w:rsidP="0046488F">
            <w:pPr>
              <w:spacing w:after="0" w:line="240" w:lineRule="auto"/>
              <w:jc w:val="right"/>
              <w:rPr>
                <w:rFonts w:ascii="Arial" w:hAnsi="Arial" w:cs="Arial"/>
                <w:b/>
                <w:bCs/>
                <w:color w:val="000000"/>
                <w:sz w:val="16"/>
                <w:szCs w:val="16"/>
              </w:rPr>
            </w:pPr>
          </w:p>
        </w:tc>
        <w:tc>
          <w:tcPr>
            <w:tcW w:w="1011" w:type="dxa"/>
            <w:tcBorders>
              <w:top w:val="nil"/>
              <w:left w:val="nil"/>
              <w:bottom w:val="nil"/>
              <w:right w:val="nil"/>
            </w:tcBorders>
            <w:shd w:val="clear" w:color="000000" w:fill="E6E6E6"/>
            <w:noWrap/>
            <w:vAlign w:val="bottom"/>
            <w:hideMark/>
          </w:tcPr>
          <w:p w14:paraId="37AB83BE" w14:textId="41702FC2" w:rsidR="003B5F49" w:rsidRPr="00147F69" w:rsidRDefault="003B5F49" w:rsidP="0046488F">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49E9E1D8" w14:textId="77777777" w:rsidR="003B5F49" w:rsidRPr="00147F69" w:rsidRDefault="003B5F49" w:rsidP="0046488F">
            <w:pPr>
              <w:spacing w:after="0" w:line="240" w:lineRule="auto"/>
              <w:jc w:val="right"/>
              <w:rPr>
                <w:rFonts w:ascii="Arial" w:hAnsi="Arial" w:cs="Arial"/>
                <w:color w:val="000000"/>
                <w:sz w:val="16"/>
                <w:szCs w:val="16"/>
              </w:rPr>
            </w:pPr>
          </w:p>
        </w:tc>
        <w:tc>
          <w:tcPr>
            <w:tcW w:w="991" w:type="dxa"/>
            <w:tcBorders>
              <w:top w:val="nil"/>
              <w:left w:val="nil"/>
              <w:bottom w:val="nil"/>
              <w:right w:val="nil"/>
            </w:tcBorders>
            <w:shd w:val="clear" w:color="auto" w:fill="auto"/>
            <w:noWrap/>
            <w:vAlign w:val="bottom"/>
            <w:hideMark/>
          </w:tcPr>
          <w:p w14:paraId="2C8A02CC" w14:textId="77777777" w:rsidR="003B5F49" w:rsidRPr="00147F69" w:rsidRDefault="003B5F49" w:rsidP="0046488F">
            <w:pPr>
              <w:spacing w:after="0" w:line="240" w:lineRule="auto"/>
              <w:jc w:val="right"/>
              <w:rPr>
                <w:rFonts w:ascii="Times New Roman" w:hAnsi="Times New Roman"/>
                <w:sz w:val="16"/>
                <w:szCs w:val="16"/>
              </w:rPr>
            </w:pPr>
          </w:p>
        </w:tc>
        <w:tc>
          <w:tcPr>
            <w:tcW w:w="1052" w:type="dxa"/>
            <w:tcBorders>
              <w:top w:val="nil"/>
              <w:left w:val="nil"/>
              <w:bottom w:val="nil"/>
              <w:right w:val="nil"/>
            </w:tcBorders>
            <w:shd w:val="clear" w:color="auto" w:fill="auto"/>
            <w:noWrap/>
            <w:vAlign w:val="bottom"/>
            <w:hideMark/>
          </w:tcPr>
          <w:p w14:paraId="459A1218" w14:textId="77777777" w:rsidR="003B5F49" w:rsidRPr="00147F69" w:rsidRDefault="003B5F49" w:rsidP="0046488F">
            <w:pPr>
              <w:spacing w:after="0" w:line="240" w:lineRule="auto"/>
              <w:jc w:val="right"/>
              <w:rPr>
                <w:rFonts w:ascii="Times New Roman" w:hAnsi="Times New Roman"/>
                <w:sz w:val="16"/>
                <w:szCs w:val="16"/>
              </w:rPr>
            </w:pPr>
          </w:p>
        </w:tc>
      </w:tr>
      <w:tr w:rsidR="003B5F49" w:rsidRPr="003B5F49" w14:paraId="2A52C9D3" w14:textId="77777777" w:rsidTr="00147F69">
        <w:trPr>
          <w:trHeight w:val="204"/>
        </w:trPr>
        <w:tc>
          <w:tcPr>
            <w:tcW w:w="2552" w:type="dxa"/>
            <w:tcBorders>
              <w:top w:val="nil"/>
              <w:left w:val="nil"/>
              <w:bottom w:val="nil"/>
              <w:right w:val="nil"/>
            </w:tcBorders>
            <w:shd w:val="clear" w:color="auto" w:fill="auto"/>
            <w:noWrap/>
            <w:vAlign w:val="bottom"/>
            <w:hideMark/>
          </w:tcPr>
          <w:p w14:paraId="324A22A4" w14:textId="77777777" w:rsidR="003B5F49" w:rsidRPr="00147F69" w:rsidRDefault="003B5F49" w:rsidP="003B5F49">
            <w:pPr>
              <w:spacing w:after="0" w:line="240" w:lineRule="auto"/>
              <w:jc w:val="left"/>
              <w:rPr>
                <w:rFonts w:ascii="Arial" w:hAnsi="Arial" w:cs="Arial"/>
                <w:b/>
                <w:bCs/>
                <w:color w:val="000000"/>
                <w:sz w:val="16"/>
                <w:szCs w:val="16"/>
              </w:rPr>
            </w:pPr>
            <w:r w:rsidRPr="00147F69">
              <w:rPr>
                <w:rFonts w:ascii="Arial" w:hAnsi="Arial" w:cs="Arial"/>
                <w:b/>
                <w:bCs/>
                <w:color w:val="000000"/>
                <w:sz w:val="16"/>
                <w:szCs w:val="16"/>
              </w:rPr>
              <w:t>Cash used</w:t>
            </w:r>
          </w:p>
        </w:tc>
        <w:tc>
          <w:tcPr>
            <w:tcW w:w="992" w:type="dxa"/>
            <w:tcBorders>
              <w:top w:val="nil"/>
              <w:left w:val="nil"/>
              <w:bottom w:val="nil"/>
              <w:right w:val="nil"/>
            </w:tcBorders>
            <w:shd w:val="clear" w:color="auto" w:fill="auto"/>
            <w:noWrap/>
            <w:vAlign w:val="bottom"/>
            <w:hideMark/>
          </w:tcPr>
          <w:p w14:paraId="611FCB9D" w14:textId="77777777" w:rsidR="003B5F49" w:rsidRPr="00147F69" w:rsidRDefault="003B5F49" w:rsidP="0046488F">
            <w:pPr>
              <w:spacing w:after="0" w:line="240" w:lineRule="auto"/>
              <w:jc w:val="right"/>
              <w:rPr>
                <w:rFonts w:ascii="Arial" w:hAnsi="Arial" w:cs="Arial"/>
                <w:b/>
                <w:bCs/>
                <w:color w:val="000000"/>
                <w:sz w:val="16"/>
                <w:szCs w:val="16"/>
              </w:rPr>
            </w:pPr>
          </w:p>
        </w:tc>
        <w:tc>
          <w:tcPr>
            <w:tcW w:w="1011" w:type="dxa"/>
            <w:tcBorders>
              <w:top w:val="nil"/>
              <w:left w:val="nil"/>
              <w:bottom w:val="nil"/>
              <w:right w:val="nil"/>
            </w:tcBorders>
            <w:shd w:val="clear" w:color="000000" w:fill="E6E6E6"/>
            <w:noWrap/>
            <w:vAlign w:val="bottom"/>
            <w:hideMark/>
          </w:tcPr>
          <w:p w14:paraId="1BD31E4E" w14:textId="07E4EEFC" w:rsidR="003B5F49" w:rsidRPr="00147F69" w:rsidRDefault="003B5F49" w:rsidP="0046488F">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0D3E48C4" w14:textId="77777777" w:rsidR="003B5F49" w:rsidRPr="00147F69" w:rsidRDefault="003B5F49" w:rsidP="0046488F">
            <w:pPr>
              <w:spacing w:after="0" w:line="240" w:lineRule="auto"/>
              <w:jc w:val="right"/>
              <w:rPr>
                <w:rFonts w:ascii="Arial" w:hAnsi="Arial" w:cs="Arial"/>
                <w:color w:val="000000"/>
                <w:sz w:val="16"/>
                <w:szCs w:val="16"/>
              </w:rPr>
            </w:pPr>
          </w:p>
        </w:tc>
        <w:tc>
          <w:tcPr>
            <w:tcW w:w="991" w:type="dxa"/>
            <w:tcBorders>
              <w:top w:val="nil"/>
              <w:left w:val="nil"/>
              <w:bottom w:val="nil"/>
              <w:right w:val="nil"/>
            </w:tcBorders>
            <w:shd w:val="clear" w:color="auto" w:fill="auto"/>
            <w:noWrap/>
            <w:vAlign w:val="bottom"/>
            <w:hideMark/>
          </w:tcPr>
          <w:p w14:paraId="297A440C" w14:textId="77777777" w:rsidR="003B5F49" w:rsidRPr="00147F69" w:rsidRDefault="003B5F49" w:rsidP="0046488F">
            <w:pPr>
              <w:spacing w:after="0" w:line="240" w:lineRule="auto"/>
              <w:jc w:val="right"/>
              <w:rPr>
                <w:rFonts w:ascii="Times New Roman" w:hAnsi="Times New Roman"/>
                <w:sz w:val="16"/>
                <w:szCs w:val="16"/>
              </w:rPr>
            </w:pPr>
          </w:p>
        </w:tc>
        <w:tc>
          <w:tcPr>
            <w:tcW w:w="1052" w:type="dxa"/>
            <w:tcBorders>
              <w:top w:val="nil"/>
              <w:left w:val="nil"/>
              <w:bottom w:val="nil"/>
              <w:right w:val="nil"/>
            </w:tcBorders>
            <w:shd w:val="clear" w:color="auto" w:fill="auto"/>
            <w:noWrap/>
            <w:vAlign w:val="bottom"/>
            <w:hideMark/>
          </w:tcPr>
          <w:p w14:paraId="529146B7" w14:textId="77777777" w:rsidR="003B5F49" w:rsidRPr="00147F69" w:rsidRDefault="003B5F49" w:rsidP="0046488F">
            <w:pPr>
              <w:spacing w:after="0" w:line="240" w:lineRule="auto"/>
              <w:jc w:val="right"/>
              <w:rPr>
                <w:rFonts w:ascii="Times New Roman" w:hAnsi="Times New Roman"/>
                <w:sz w:val="16"/>
                <w:szCs w:val="16"/>
              </w:rPr>
            </w:pPr>
          </w:p>
        </w:tc>
      </w:tr>
      <w:tr w:rsidR="0046488F" w:rsidRPr="003B5F49" w14:paraId="267DF6D9" w14:textId="77777777" w:rsidTr="00147F69">
        <w:trPr>
          <w:trHeight w:val="204"/>
        </w:trPr>
        <w:tc>
          <w:tcPr>
            <w:tcW w:w="2552" w:type="dxa"/>
            <w:tcBorders>
              <w:top w:val="nil"/>
              <w:left w:val="nil"/>
              <w:bottom w:val="nil"/>
              <w:right w:val="nil"/>
            </w:tcBorders>
            <w:shd w:val="clear" w:color="auto" w:fill="auto"/>
            <w:vAlign w:val="bottom"/>
            <w:hideMark/>
          </w:tcPr>
          <w:p w14:paraId="45157A58" w14:textId="77777777" w:rsidR="0046488F" w:rsidRPr="00147F69" w:rsidRDefault="0046488F" w:rsidP="0046488F">
            <w:pPr>
              <w:spacing w:after="0" w:line="240" w:lineRule="auto"/>
              <w:ind w:left="113"/>
              <w:jc w:val="left"/>
              <w:rPr>
                <w:rFonts w:ascii="Arial" w:hAnsi="Arial" w:cs="Arial"/>
                <w:color w:val="000000"/>
                <w:sz w:val="16"/>
                <w:szCs w:val="16"/>
              </w:rPr>
            </w:pPr>
            <w:r w:rsidRPr="00147F69">
              <w:rPr>
                <w:rFonts w:ascii="Arial" w:hAnsi="Arial" w:cs="Arial"/>
                <w:color w:val="000000"/>
                <w:sz w:val="16"/>
                <w:szCs w:val="16"/>
              </w:rPr>
              <w:t xml:space="preserve">Purchase of property plant and equipment and intangibles </w:t>
            </w:r>
          </w:p>
        </w:tc>
        <w:tc>
          <w:tcPr>
            <w:tcW w:w="992" w:type="dxa"/>
            <w:tcBorders>
              <w:top w:val="nil"/>
              <w:left w:val="nil"/>
              <w:bottom w:val="nil"/>
              <w:right w:val="nil"/>
            </w:tcBorders>
            <w:shd w:val="clear" w:color="auto" w:fill="auto"/>
            <w:noWrap/>
            <w:vAlign w:val="bottom"/>
            <w:hideMark/>
          </w:tcPr>
          <w:p w14:paraId="640361E0" w14:textId="74B0F44A" w:rsidR="0046488F" w:rsidRPr="00147F69" w:rsidRDefault="0046488F"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16,084</w:t>
            </w:r>
          </w:p>
        </w:tc>
        <w:tc>
          <w:tcPr>
            <w:tcW w:w="1011" w:type="dxa"/>
            <w:tcBorders>
              <w:top w:val="nil"/>
              <w:left w:val="nil"/>
              <w:bottom w:val="nil"/>
              <w:right w:val="nil"/>
            </w:tcBorders>
            <w:shd w:val="clear" w:color="000000" w:fill="E6E6E6"/>
            <w:noWrap/>
            <w:vAlign w:val="bottom"/>
            <w:hideMark/>
          </w:tcPr>
          <w:p w14:paraId="70CEBB65" w14:textId="0F7EE125" w:rsidR="0046488F" w:rsidRPr="00147F69" w:rsidRDefault="0046488F"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42,513</w:t>
            </w:r>
          </w:p>
        </w:tc>
        <w:tc>
          <w:tcPr>
            <w:tcW w:w="992" w:type="dxa"/>
            <w:tcBorders>
              <w:top w:val="nil"/>
              <w:left w:val="nil"/>
              <w:bottom w:val="nil"/>
              <w:right w:val="nil"/>
            </w:tcBorders>
            <w:shd w:val="clear" w:color="auto" w:fill="auto"/>
            <w:noWrap/>
            <w:vAlign w:val="bottom"/>
            <w:hideMark/>
          </w:tcPr>
          <w:p w14:paraId="45F7F68B" w14:textId="51E4340E" w:rsidR="0046488F" w:rsidRPr="00147F69" w:rsidRDefault="0046488F"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64,501</w:t>
            </w:r>
          </w:p>
        </w:tc>
        <w:tc>
          <w:tcPr>
            <w:tcW w:w="991" w:type="dxa"/>
            <w:tcBorders>
              <w:top w:val="nil"/>
              <w:left w:val="nil"/>
              <w:bottom w:val="nil"/>
              <w:right w:val="nil"/>
            </w:tcBorders>
            <w:shd w:val="clear" w:color="auto" w:fill="auto"/>
            <w:noWrap/>
            <w:vAlign w:val="bottom"/>
            <w:hideMark/>
          </w:tcPr>
          <w:p w14:paraId="54BA1F37" w14:textId="3AADD042" w:rsidR="0046488F" w:rsidRPr="00147F69" w:rsidRDefault="0046488F"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62,421</w:t>
            </w:r>
          </w:p>
        </w:tc>
        <w:tc>
          <w:tcPr>
            <w:tcW w:w="1052" w:type="dxa"/>
            <w:tcBorders>
              <w:top w:val="nil"/>
              <w:left w:val="nil"/>
              <w:bottom w:val="nil"/>
              <w:right w:val="nil"/>
            </w:tcBorders>
            <w:shd w:val="clear" w:color="auto" w:fill="auto"/>
            <w:noWrap/>
            <w:vAlign w:val="bottom"/>
            <w:hideMark/>
          </w:tcPr>
          <w:p w14:paraId="034C7054" w14:textId="391B3F48" w:rsidR="0046488F" w:rsidRPr="00147F69" w:rsidRDefault="0046488F"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18,918</w:t>
            </w:r>
          </w:p>
        </w:tc>
      </w:tr>
      <w:tr w:rsidR="0046488F" w:rsidRPr="003B5F49" w14:paraId="031088CB" w14:textId="77777777" w:rsidTr="00147F69">
        <w:trPr>
          <w:trHeight w:val="204"/>
        </w:trPr>
        <w:tc>
          <w:tcPr>
            <w:tcW w:w="2552" w:type="dxa"/>
            <w:tcBorders>
              <w:top w:val="nil"/>
              <w:left w:val="nil"/>
              <w:bottom w:val="nil"/>
              <w:right w:val="nil"/>
            </w:tcBorders>
            <w:shd w:val="clear" w:color="auto" w:fill="auto"/>
            <w:noWrap/>
            <w:vAlign w:val="bottom"/>
            <w:hideMark/>
          </w:tcPr>
          <w:p w14:paraId="49739C61" w14:textId="77777777" w:rsidR="0046488F" w:rsidRPr="00147F69" w:rsidRDefault="0046488F" w:rsidP="0046488F">
            <w:pPr>
              <w:spacing w:after="0" w:line="240" w:lineRule="auto"/>
              <w:jc w:val="left"/>
              <w:rPr>
                <w:rFonts w:ascii="Arial" w:hAnsi="Arial" w:cs="Arial"/>
                <w:b/>
                <w:bCs/>
                <w:i/>
                <w:iCs/>
                <w:color w:val="000000"/>
                <w:sz w:val="16"/>
                <w:szCs w:val="16"/>
              </w:rPr>
            </w:pPr>
            <w:r w:rsidRPr="00147F69">
              <w:rPr>
                <w:rFonts w:ascii="Arial" w:hAnsi="Arial" w:cs="Arial"/>
                <w:b/>
                <w:bCs/>
                <w:i/>
                <w:iCs/>
                <w:color w:val="000000"/>
                <w:sz w:val="16"/>
                <w:szCs w:val="16"/>
              </w:rPr>
              <w:t>Total cash used</w:t>
            </w:r>
          </w:p>
        </w:tc>
        <w:tc>
          <w:tcPr>
            <w:tcW w:w="992" w:type="dxa"/>
            <w:tcBorders>
              <w:top w:val="single" w:sz="4" w:space="0" w:color="auto"/>
              <w:left w:val="nil"/>
              <w:bottom w:val="single" w:sz="4" w:space="0" w:color="auto"/>
              <w:right w:val="nil"/>
            </w:tcBorders>
            <w:shd w:val="clear" w:color="auto" w:fill="auto"/>
            <w:noWrap/>
            <w:vAlign w:val="bottom"/>
            <w:hideMark/>
          </w:tcPr>
          <w:p w14:paraId="734312E5" w14:textId="655775AF" w:rsidR="0046488F" w:rsidRPr="00147F69" w:rsidRDefault="0046488F"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16,084</w:t>
            </w:r>
          </w:p>
        </w:tc>
        <w:tc>
          <w:tcPr>
            <w:tcW w:w="1011" w:type="dxa"/>
            <w:tcBorders>
              <w:top w:val="single" w:sz="4" w:space="0" w:color="auto"/>
              <w:left w:val="nil"/>
              <w:bottom w:val="single" w:sz="4" w:space="0" w:color="auto"/>
              <w:right w:val="nil"/>
            </w:tcBorders>
            <w:shd w:val="clear" w:color="000000" w:fill="E6E6E6"/>
            <w:noWrap/>
            <w:vAlign w:val="bottom"/>
            <w:hideMark/>
          </w:tcPr>
          <w:p w14:paraId="6F38DD57" w14:textId="11900FC7" w:rsidR="0046488F" w:rsidRPr="00147F69" w:rsidRDefault="0046488F"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42,513</w:t>
            </w:r>
          </w:p>
        </w:tc>
        <w:tc>
          <w:tcPr>
            <w:tcW w:w="992" w:type="dxa"/>
            <w:tcBorders>
              <w:top w:val="single" w:sz="4" w:space="0" w:color="auto"/>
              <w:left w:val="nil"/>
              <w:bottom w:val="single" w:sz="4" w:space="0" w:color="auto"/>
              <w:right w:val="nil"/>
            </w:tcBorders>
            <w:shd w:val="clear" w:color="auto" w:fill="auto"/>
            <w:noWrap/>
            <w:vAlign w:val="bottom"/>
            <w:hideMark/>
          </w:tcPr>
          <w:p w14:paraId="73904013" w14:textId="37EF4159" w:rsidR="0046488F" w:rsidRPr="00147F69" w:rsidRDefault="0046488F"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64,501</w:t>
            </w:r>
          </w:p>
        </w:tc>
        <w:tc>
          <w:tcPr>
            <w:tcW w:w="991" w:type="dxa"/>
            <w:tcBorders>
              <w:top w:val="single" w:sz="4" w:space="0" w:color="auto"/>
              <w:left w:val="nil"/>
              <w:bottom w:val="single" w:sz="4" w:space="0" w:color="auto"/>
              <w:right w:val="nil"/>
            </w:tcBorders>
            <w:shd w:val="clear" w:color="auto" w:fill="auto"/>
            <w:noWrap/>
            <w:vAlign w:val="bottom"/>
            <w:hideMark/>
          </w:tcPr>
          <w:p w14:paraId="7FF70146" w14:textId="70AAB7BD" w:rsidR="0046488F" w:rsidRPr="00147F69" w:rsidRDefault="0046488F"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62,421</w:t>
            </w:r>
          </w:p>
        </w:tc>
        <w:tc>
          <w:tcPr>
            <w:tcW w:w="1052" w:type="dxa"/>
            <w:tcBorders>
              <w:top w:val="single" w:sz="4" w:space="0" w:color="auto"/>
              <w:left w:val="nil"/>
              <w:bottom w:val="single" w:sz="4" w:space="0" w:color="auto"/>
              <w:right w:val="nil"/>
            </w:tcBorders>
            <w:shd w:val="clear" w:color="auto" w:fill="auto"/>
            <w:noWrap/>
            <w:vAlign w:val="bottom"/>
            <w:hideMark/>
          </w:tcPr>
          <w:p w14:paraId="41F8DBAE" w14:textId="6057C7A4" w:rsidR="0046488F" w:rsidRPr="00147F69" w:rsidRDefault="0046488F" w:rsidP="0046488F">
            <w:pPr>
              <w:spacing w:after="0" w:line="240" w:lineRule="auto"/>
              <w:jc w:val="right"/>
              <w:rPr>
                <w:rFonts w:ascii="Arial" w:hAnsi="Arial" w:cs="Arial"/>
                <w:b/>
                <w:bCs/>
                <w:i/>
                <w:iCs/>
                <w:color w:val="000000"/>
                <w:sz w:val="16"/>
                <w:szCs w:val="16"/>
              </w:rPr>
            </w:pPr>
            <w:r w:rsidRPr="00147F69">
              <w:rPr>
                <w:rFonts w:ascii="Arial" w:hAnsi="Arial" w:cs="Arial"/>
                <w:b/>
                <w:bCs/>
                <w:i/>
                <w:iCs/>
                <w:color w:val="000000"/>
                <w:sz w:val="16"/>
                <w:szCs w:val="16"/>
              </w:rPr>
              <w:t>18,918</w:t>
            </w:r>
          </w:p>
        </w:tc>
      </w:tr>
      <w:tr w:rsidR="0046488F" w:rsidRPr="003B5F49" w14:paraId="1AA9C8E3" w14:textId="77777777" w:rsidTr="00147F69">
        <w:trPr>
          <w:trHeight w:val="204"/>
        </w:trPr>
        <w:tc>
          <w:tcPr>
            <w:tcW w:w="2552" w:type="dxa"/>
            <w:tcBorders>
              <w:top w:val="nil"/>
              <w:left w:val="nil"/>
              <w:bottom w:val="nil"/>
              <w:right w:val="nil"/>
            </w:tcBorders>
            <w:shd w:val="clear" w:color="auto" w:fill="auto"/>
            <w:noWrap/>
            <w:vAlign w:val="bottom"/>
            <w:hideMark/>
          </w:tcPr>
          <w:p w14:paraId="2C5C7A69" w14:textId="77777777" w:rsidR="0046488F" w:rsidRPr="00147F69" w:rsidRDefault="0046488F" w:rsidP="0046488F">
            <w:pPr>
              <w:spacing w:after="0" w:line="240" w:lineRule="auto"/>
              <w:jc w:val="left"/>
              <w:rPr>
                <w:rFonts w:ascii="Arial" w:hAnsi="Arial" w:cs="Arial"/>
                <w:b/>
                <w:bCs/>
                <w:color w:val="000000"/>
                <w:sz w:val="16"/>
                <w:szCs w:val="16"/>
              </w:rPr>
            </w:pPr>
            <w:r w:rsidRPr="00147F69">
              <w:rPr>
                <w:rFonts w:ascii="Arial" w:hAnsi="Arial" w:cs="Arial"/>
                <w:b/>
                <w:bCs/>
                <w:color w:val="000000"/>
                <w:sz w:val="16"/>
                <w:szCs w:val="16"/>
              </w:rPr>
              <w:t xml:space="preserve"> Net cash from/(used by) investing activities</w:t>
            </w:r>
          </w:p>
        </w:tc>
        <w:tc>
          <w:tcPr>
            <w:tcW w:w="992" w:type="dxa"/>
            <w:tcBorders>
              <w:top w:val="single" w:sz="4" w:space="0" w:color="auto"/>
              <w:left w:val="nil"/>
              <w:bottom w:val="single" w:sz="4" w:space="0" w:color="auto"/>
              <w:right w:val="nil"/>
            </w:tcBorders>
            <w:shd w:val="clear" w:color="auto" w:fill="auto"/>
            <w:noWrap/>
            <w:vAlign w:val="bottom"/>
            <w:hideMark/>
          </w:tcPr>
          <w:p w14:paraId="72D0DD7E" w14:textId="77777777" w:rsidR="0046488F" w:rsidRPr="00147F69" w:rsidRDefault="0046488F"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(16,084)</w:t>
            </w:r>
          </w:p>
        </w:tc>
        <w:tc>
          <w:tcPr>
            <w:tcW w:w="1011" w:type="dxa"/>
            <w:tcBorders>
              <w:top w:val="single" w:sz="4" w:space="0" w:color="auto"/>
              <w:left w:val="nil"/>
              <w:bottom w:val="single" w:sz="4" w:space="0" w:color="auto"/>
              <w:right w:val="nil"/>
            </w:tcBorders>
            <w:shd w:val="clear" w:color="000000" w:fill="E6E6E6"/>
            <w:noWrap/>
            <w:vAlign w:val="bottom"/>
            <w:hideMark/>
          </w:tcPr>
          <w:p w14:paraId="51CE2954" w14:textId="304617EA" w:rsidR="0046488F" w:rsidRPr="00147F69" w:rsidRDefault="0046488F"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(42,513)</w:t>
            </w:r>
          </w:p>
        </w:tc>
        <w:tc>
          <w:tcPr>
            <w:tcW w:w="992" w:type="dxa"/>
            <w:tcBorders>
              <w:top w:val="single" w:sz="4" w:space="0" w:color="auto"/>
              <w:left w:val="nil"/>
              <w:bottom w:val="single" w:sz="4" w:space="0" w:color="auto"/>
              <w:right w:val="nil"/>
            </w:tcBorders>
            <w:shd w:val="clear" w:color="auto" w:fill="auto"/>
            <w:noWrap/>
            <w:vAlign w:val="bottom"/>
            <w:hideMark/>
          </w:tcPr>
          <w:p w14:paraId="6D144D69" w14:textId="77777777" w:rsidR="0046488F" w:rsidRPr="00147F69" w:rsidRDefault="0046488F"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(64,501)</w:t>
            </w:r>
          </w:p>
        </w:tc>
        <w:tc>
          <w:tcPr>
            <w:tcW w:w="991" w:type="dxa"/>
            <w:tcBorders>
              <w:top w:val="single" w:sz="4" w:space="0" w:color="auto"/>
              <w:left w:val="nil"/>
              <w:bottom w:val="single" w:sz="4" w:space="0" w:color="auto"/>
              <w:right w:val="nil"/>
            </w:tcBorders>
            <w:shd w:val="clear" w:color="auto" w:fill="auto"/>
            <w:noWrap/>
            <w:vAlign w:val="bottom"/>
            <w:hideMark/>
          </w:tcPr>
          <w:p w14:paraId="3EEAA370" w14:textId="77777777" w:rsidR="0046488F" w:rsidRPr="00147F69" w:rsidRDefault="0046488F"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(62,421)</w:t>
            </w:r>
          </w:p>
        </w:tc>
        <w:tc>
          <w:tcPr>
            <w:tcW w:w="1052" w:type="dxa"/>
            <w:tcBorders>
              <w:top w:val="single" w:sz="4" w:space="0" w:color="auto"/>
              <w:left w:val="nil"/>
              <w:bottom w:val="single" w:sz="4" w:space="0" w:color="auto"/>
              <w:right w:val="nil"/>
            </w:tcBorders>
            <w:shd w:val="clear" w:color="auto" w:fill="auto"/>
            <w:noWrap/>
            <w:vAlign w:val="bottom"/>
            <w:hideMark/>
          </w:tcPr>
          <w:p w14:paraId="4A8CE7EA" w14:textId="77777777" w:rsidR="0046488F" w:rsidRPr="00147F69" w:rsidRDefault="0046488F"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(18,918)</w:t>
            </w:r>
          </w:p>
        </w:tc>
      </w:tr>
      <w:tr w:rsidR="0046488F" w:rsidRPr="003B5F49" w14:paraId="6A1123B6" w14:textId="77777777" w:rsidTr="00147F69">
        <w:trPr>
          <w:trHeight w:val="204"/>
        </w:trPr>
        <w:tc>
          <w:tcPr>
            <w:tcW w:w="2552" w:type="dxa"/>
            <w:tcBorders>
              <w:top w:val="nil"/>
              <w:left w:val="nil"/>
              <w:bottom w:val="nil"/>
              <w:right w:val="nil"/>
            </w:tcBorders>
            <w:shd w:val="clear" w:color="auto" w:fill="auto"/>
            <w:noWrap/>
            <w:vAlign w:val="bottom"/>
            <w:hideMark/>
          </w:tcPr>
          <w:p w14:paraId="7E8C6DE0" w14:textId="77777777" w:rsidR="0046488F" w:rsidRPr="00147F69" w:rsidRDefault="0046488F" w:rsidP="0046488F">
            <w:pPr>
              <w:spacing w:after="0" w:line="240" w:lineRule="auto"/>
              <w:jc w:val="left"/>
              <w:rPr>
                <w:rFonts w:ascii="Arial" w:hAnsi="Arial" w:cs="Arial"/>
                <w:b/>
                <w:bCs/>
                <w:color w:val="000000"/>
                <w:sz w:val="16"/>
                <w:szCs w:val="16"/>
              </w:rPr>
            </w:pPr>
            <w:r w:rsidRPr="00147F69">
              <w:rPr>
                <w:rFonts w:ascii="Arial" w:hAnsi="Arial" w:cs="Arial"/>
                <w:b/>
                <w:bCs/>
                <w:color w:val="000000"/>
                <w:sz w:val="16"/>
                <w:szCs w:val="16"/>
              </w:rPr>
              <w:t>Net increase/(decrease) in cash held</w:t>
            </w:r>
          </w:p>
        </w:tc>
        <w:tc>
          <w:tcPr>
            <w:tcW w:w="992" w:type="dxa"/>
            <w:tcBorders>
              <w:top w:val="single" w:sz="4" w:space="0" w:color="auto"/>
              <w:left w:val="nil"/>
              <w:bottom w:val="single" w:sz="4" w:space="0" w:color="auto"/>
              <w:right w:val="nil"/>
            </w:tcBorders>
            <w:shd w:val="clear" w:color="auto" w:fill="auto"/>
            <w:noWrap/>
            <w:vAlign w:val="bottom"/>
            <w:hideMark/>
          </w:tcPr>
          <w:p w14:paraId="6C601A2A" w14:textId="77777777" w:rsidR="0046488F" w:rsidRPr="00147F69" w:rsidRDefault="0046488F"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(12,648)</w:t>
            </w:r>
          </w:p>
        </w:tc>
        <w:tc>
          <w:tcPr>
            <w:tcW w:w="1011" w:type="dxa"/>
            <w:tcBorders>
              <w:top w:val="single" w:sz="4" w:space="0" w:color="auto"/>
              <w:left w:val="nil"/>
              <w:bottom w:val="single" w:sz="4" w:space="0" w:color="auto"/>
              <w:right w:val="nil"/>
            </w:tcBorders>
            <w:shd w:val="clear" w:color="000000" w:fill="E6E6E6"/>
            <w:noWrap/>
            <w:vAlign w:val="bottom"/>
            <w:hideMark/>
          </w:tcPr>
          <w:p w14:paraId="3DD8BDC3" w14:textId="64354B74" w:rsidR="0046488F" w:rsidRPr="00147F69" w:rsidRDefault="0046488F"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(41,886)</w:t>
            </w:r>
          </w:p>
        </w:tc>
        <w:tc>
          <w:tcPr>
            <w:tcW w:w="992" w:type="dxa"/>
            <w:tcBorders>
              <w:top w:val="single" w:sz="4" w:space="0" w:color="auto"/>
              <w:left w:val="nil"/>
              <w:bottom w:val="single" w:sz="4" w:space="0" w:color="auto"/>
              <w:right w:val="nil"/>
            </w:tcBorders>
            <w:shd w:val="clear" w:color="auto" w:fill="auto"/>
            <w:noWrap/>
            <w:vAlign w:val="bottom"/>
            <w:hideMark/>
          </w:tcPr>
          <w:p w14:paraId="3EF4A919" w14:textId="77777777" w:rsidR="0046488F" w:rsidRPr="00147F69" w:rsidRDefault="0046488F"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(53,231)</w:t>
            </w:r>
          </w:p>
        </w:tc>
        <w:tc>
          <w:tcPr>
            <w:tcW w:w="991" w:type="dxa"/>
            <w:tcBorders>
              <w:top w:val="single" w:sz="4" w:space="0" w:color="auto"/>
              <w:left w:val="nil"/>
              <w:bottom w:val="single" w:sz="4" w:space="0" w:color="auto"/>
              <w:right w:val="nil"/>
            </w:tcBorders>
            <w:shd w:val="clear" w:color="auto" w:fill="auto"/>
            <w:noWrap/>
            <w:vAlign w:val="bottom"/>
            <w:hideMark/>
          </w:tcPr>
          <w:p w14:paraId="4B07F3F5" w14:textId="77777777" w:rsidR="0046488F" w:rsidRPr="00147F69" w:rsidRDefault="0046488F"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(51,292)</w:t>
            </w:r>
          </w:p>
        </w:tc>
        <w:tc>
          <w:tcPr>
            <w:tcW w:w="1052" w:type="dxa"/>
            <w:tcBorders>
              <w:top w:val="single" w:sz="4" w:space="0" w:color="auto"/>
              <w:left w:val="nil"/>
              <w:bottom w:val="single" w:sz="4" w:space="0" w:color="auto"/>
              <w:right w:val="nil"/>
            </w:tcBorders>
            <w:shd w:val="clear" w:color="auto" w:fill="auto"/>
            <w:noWrap/>
            <w:vAlign w:val="bottom"/>
            <w:hideMark/>
          </w:tcPr>
          <w:p w14:paraId="0B26C99C" w14:textId="77777777" w:rsidR="0046488F" w:rsidRPr="00147F69" w:rsidRDefault="0046488F"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(8,303)</w:t>
            </w:r>
          </w:p>
        </w:tc>
      </w:tr>
      <w:tr w:rsidR="003B5F49" w:rsidRPr="003B5F49" w14:paraId="580885E2" w14:textId="77777777" w:rsidTr="00147F69">
        <w:trPr>
          <w:trHeight w:val="204"/>
        </w:trPr>
        <w:tc>
          <w:tcPr>
            <w:tcW w:w="2552" w:type="dxa"/>
            <w:tcBorders>
              <w:top w:val="nil"/>
              <w:left w:val="nil"/>
              <w:bottom w:val="nil"/>
              <w:right w:val="nil"/>
            </w:tcBorders>
            <w:shd w:val="clear" w:color="auto" w:fill="auto"/>
            <w:vAlign w:val="bottom"/>
            <w:hideMark/>
          </w:tcPr>
          <w:p w14:paraId="2E93E63E" w14:textId="77777777" w:rsidR="003B5F49" w:rsidRPr="00147F69" w:rsidRDefault="003B5F49" w:rsidP="002359B6">
            <w:pPr>
              <w:spacing w:after="0" w:line="240" w:lineRule="auto"/>
              <w:ind w:left="113"/>
              <w:jc w:val="left"/>
              <w:rPr>
                <w:rFonts w:ascii="Arial" w:hAnsi="Arial" w:cs="Arial"/>
                <w:color w:val="000000"/>
                <w:sz w:val="16"/>
                <w:szCs w:val="16"/>
              </w:rPr>
            </w:pPr>
            <w:r w:rsidRPr="00147F69">
              <w:rPr>
                <w:rFonts w:ascii="Arial" w:hAnsi="Arial" w:cs="Arial"/>
                <w:color w:val="000000"/>
                <w:sz w:val="16"/>
                <w:szCs w:val="16"/>
              </w:rPr>
              <w:t>Cash and cash equivalents at beginning of reporting period</w:t>
            </w:r>
          </w:p>
        </w:tc>
        <w:tc>
          <w:tcPr>
            <w:tcW w:w="992" w:type="dxa"/>
            <w:tcBorders>
              <w:top w:val="nil"/>
              <w:left w:val="nil"/>
              <w:bottom w:val="nil"/>
              <w:right w:val="nil"/>
            </w:tcBorders>
            <w:shd w:val="clear" w:color="auto" w:fill="auto"/>
            <w:noWrap/>
            <w:vAlign w:val="bottom"/>
            <w:hideMark/>
          </w:tcPr>
          <w:p w14:paraId="7AF4AC4A" w14:textId="2292D3B1"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75</w:t>
            </w:r>
          </w:p>
        </w:tc>
        <w:tc>
          <w:tcPr>
            <w:tcW w:w="1011" w:type="dxa"/>
            <w:tcBorders>
              <w:top w:val="nil"/>
              <w:left w:val="nil"/>
              <w:bottom w:val="nil"/>
              <w:right w:val="nil"/>
            </w:tcBorders>
            <w:shd w:val="clear" w:color="000000" w:fill="E6E6E6"/>
            <w:noWrap/>
            <w:vAlign w:val="bottom"/>
            <w:hideMark/>
          </w:tcPr>
          <w:p w14:paraId="178295EF" w14:textId="75D00377"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559</w:t>
            </w:r>
          </w:p>
        </w:tc>
        <w:tc>
          <w:tcPr>
            <w:tcW w:w="992" w:type="dxa"/>
            <w:tcBorders>
              <w:top w:val="nil"/>
              <w:left w:val="nil"/>
              <w:bottom w:val="nil"/>
              <w:right w:val="nil"/>
            </w:tcBorders>
            <w:shd w:val="clear" w:color="auto" w:fill="auto"/>
            <w:noWrap/>
            <w:vAlign w:val="bottom"/>
            <w:hideMark/>
          </w:tcPr>
          <w:p w14:paraId="07BEBFD4" w14:textId="4821E816"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559</w:t>
            </w:r>
          </w:p>
        </w:tc>
        <w:tc>
          <w:tcPr>
            <w:tcW w:w="991" w:type="dxa"/>
            <w:tcBorders>
              <w:top w:val="nil"/>
              <w:left w:val="nil"/>
              <w:bottom w:val="nil"/>
              <w:right w:val="nil"/>
            </w:tcBorders>
            <w:shd w:val="clear" w:color="auto" w:fill="auto"/>
            <w:noWrap/>
            <w:vAlign w:val="bottom"/>
            <w:hideMark/>
          </w:tcPr>
          <w:p w14:paraId="3BD1DEDD" w14:textId="57D17792"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559</w:t>
            </w:r>
          </w:p>
        </w:tc>
        <w:tc>
          <w:tcPr>
            <w:tcW w:w="1052" w:type="dxa"/>
            <w:tcBorders>
              <w:top w:val="nil"/>
              <w:left w:val="nil"/>
              <w:bottom w:val="nil"/>
              <w:right w:val="nil"/>
            </w:tcBorders>
            <w:shd w:val="clear" w:color="auto" w:fill="auto"/>
            <w:noWrap/>
            <w:vAlign w:val="bottom"/>
            <w:hideMark/>
          </w:tcPr>
          <w:p w14:paraId="7D5F9C9F" w14:textId="19E5053E"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559</w:t>
            </w:r>
          </w:p>
        </w:tc>
      </w:tr>
      <w:tr w:rsidR="003B5F49" w:rsidRPr="003B5F49" w14:paraId="5C9FC2E6" w14:textId="77777777" w:rsidTr="00147F69">
        <w:trPr>
          <w:trHeight w:val="204"/>
        </w:trPr>
        <w:tc>
          <w:tcPr>
            <w:tcW w:w="2552" w:type="dxa"/>
            <w:tcBorders>
              <w:top w:val="nil"/>
              <w:left w:val="nil"/>
              <w:bottom w:val="nil"/>
              <w:right w:val="nil"/>
            </w:tcBorders>
            <w:shd w:val="clear" w:color="auto" w:fill="auto"/>
            <w:noWrap/>
            <w:vAlign w:val="bottom"/>
            <w:hideMark/>
          </w:tcPr>
          <w:p w14:paraId="5A050E56" w14:textId="77777777" w:rsidR="003B5F49" w:rsidRPr="00147F69" w:rsidRDefault="003B5F49" w:rsidP="002359B6">
            <w:pPr>
              <w:spacing w:after="0" w:line="240" w:lineRule="auto"/>
              <w:ind w:left="113"/>
              <w:jc w:val="left"/>
              <w:rPr>
                <w:rFonts w:ascii="Arial" w:hAnsi="Arial" w:cs="Arial"/>
                <w:color w:val="000000"/>
                <w:sz w:val="16"/>
                <w:szCs w:val="16"/>
              </w:rPr>
            </w:pPr>
            <w:r w:rsidRPr="00147F69">
              <w:rPr>
                <w:rFonts w:ascii="Arial" w:hAnsi="Arial" w:cs="Arial"/>
                <w:color w:val="000000"/>
                <w:sz w:val="16"/>
                <w:szCs w:val="16"/>
              </w:rPr>
              <w:t>Cash from Official Public Account for:</w:t>
            </w:r>
          </w:p>
        </w:tc>
        <w:tc>
          <w:tcPr>
            <w:tcW w:w="992" w:type="dxa"/>
            <w:tcBorders>
              <w:top w:val="nil"/>
              <w:left w:val="nil"/>
              <w:bottom w:val="nil"/>
              <w:right w:val="nil"/>
            </w:tcBorders>
            <w:shd w:val="clear" w:color="auto" w:fill="auto"/>
            <w:noWrap/>
            <w:vAlign w:val="bottom"/>
            <w:hideMark/>
          </w:tcPr>
          <w:p w14:paraId="0F03CDEA" w14:textId="77777777" w:rsidR="003B5F49" w:rsidRPr="00147F69" w:rsidRDefault="003B5F49" w:rsidP="0046488F">
            <w:pPr>
              <w:spacing w:after="0" w:line="240" w:lineRule="auto"/>
              <w:ind w:firstLineChars="100" w:firstLine="160"/>
              <w:jc w:val="right"/>
              <w:rPr>
                <w:rFonts w:ascii="Arial" w:hAnsi="Arial" w:cs="Arial"/>
                <w:color w:val="000000"/>
                <w:sz w:val="16"/>
                <w:szCs w:val="16"/>
              </w:rPr>
            </w:pPr>
          </w:p>
        </w:tc>
        <w:tc>
          <w:tcPr>
            <w:tcW w:w="1011" w:type="dxa"/>
            <w:tcBorders>
              <w:top w:val="nil"/>
              <w:left w:val="nil"/>
              <w:bottom w:val="nil"/>
              <w:right w:val="nil"/>
            </w:tcBorders>
            <w:shd w:val="clear" w:color="000000" w:fill="E6E6E6"/>
            <w:noWrap/>
            <w:vAlign w:val="bottom"/>
            <w:hideMark/>
          </w:tcPr>
          <w:p w14:paraId="1FFF473A" w14:textId="0206CFE7" w:rsidR="003B5F49" w:rsidRPr="00147F69" w:rsidRDefault="003B5F49" w:rsidP="0046488F">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1F5C3EE9" w14:textId="77777777" w:rsidR="003B5F49" w:rsidRPr="00147F69" w:rsidRDefault="003B5F49" w:rsidP="0046488F">
            <w:pPr>
              <w:spacing w:after="0" w:line="240" w:lineRule="auto"/>
              <w:jc w:val="right"/>
              <w:rPr>
                <w:rFonts w:ascii="Arial" w:hAnsi="Arial" w:cs="Arial"/>
                <w:color w:val="000000"/>
                <w:sz w:val="16"/>
                <w:szCs w:val="16"/>
              </w:rPr>
            </w:pPr>
          </w:p>
        </w:tc>
        <w:tc>
          <w:tcPr>
            <w:tcW w:w="991" w:type="dxa"/>
            <w:tcBorders>
              <w:top w:val="nil"/>
              <w:left w:val="nil"/>
              <w:bottom w:val="nil"/>
              <w:right w:val="nil"/>
            </w:tcBorders>
            <w:shd w:val="clear" w:color="auto" w:fill="auto"/>
            <w:noWrap/>
            <w:vAlign w:val="bottom"/>
            <w:hideMark/>
          </w:tcPr>
          <w:p w14:paraId="30E62505" w14:textId="77777777" w:rsidR="003B5F49" w:rsidRPr="00147F69" w:rsidRDefault="003B5F49" w:rsidP="0046488F">
            <w:pPr>
              <w:spacing w:after="0" w:line="240" w:lineRule="auto"/>
              <w:jc w:val="right"/>
              <w:rPr>
                <w:rFonts w:ascii="Times New Roman" w:hAnsi="Times New Roman"/>
                <w:sz w:val="16"/>
                <w:szCs w:val="16"/>
              </w:rPr>
            </w:pPr>
          </w:p>
        </w:tc>
        <w:tc>
          <w:tcPr>
            <w:tcW w:w="1052" w:type="dxa"/>
            <w:tcBorders>
              <w:top w:val="nil"/>
              <w:left w:val="nil"/>
              <w:bottom w:val="nil"/>
              <w:right w:val="nil"/>
            </w:tcBorders>
            <w:shd w:val="clear" w:color="auto" w:fill="auto"/>
            <w:noWrap/>
            <w:vAlign w:val="bottom"/>
            <w:hideMark/>
          </w:tcPr>
          <w:p w14:paraId="08270963" w14:textId="77777777" w:rsidR="003B5F49" w:rsidRPr="00147F69" w:rsidRDefault="003B5F49" w:rsidP="0046488F">
            <w:pPr>
              <w:spacing w:after="0" w:line="240" w:lineRule="auto"/>
              <w:jc w:val="right"/>
              <w:rPr>
                <w:rFonts w:ascii="Times New Roman" w:hAnsi="Times New Roman"/>
                <w:sz w:val="16"/>
                <w:szCs w:val="16"/>
              </w:rPr>
            </w:pPr>
          </w:p>
        </w:tc>
      </w:tr>
      <w:tr w:rsidR="0046488F" w:rsidRPr="003B5F49" w14:paraId="660686FA" w14:textId="77777777" w:rsidTr="00147F69">
        <w:trPr>
          <w:trHeight w:val="204"/>
        </w:trPr>
        <w:tc>
          <w:tcPr>
            <w:tcW w:w="2552" w:type="dxa"/>
            <w:tcBorders>
              <w:top w:val="nil"/>
              <w:left w:val="nil"/>
              <w:bottom w:val="nil"/>
              <w:right w:val="nil"/>
            </w:tcBorders>
            <w:shd w:val="clear" w:color="auto" w:fill="auto"/>
            <w:noWrap/>
            <w:vAlign w:val="bottom"/>
            <w:hideMark/>
          </w:tcPr>
          <w:p w14:paraId="7804EAA3" w14:textId="2BD150FF" w:rsidR="0046488F" w:rsidRPr="00147F69" w:rsidRDefault="0046488F" w:rsidP="0046488F">
            <w:pPr>
              <w:spacing w:after="0" w:line="240" w:lineRule="auto"/>
              <w:ind w:left="227"/>
              <w:jc w:val="left"/>
              <w:rPr>
                <w:rFonts w:ascii="Arial" w:hAnsi="Arial" w:cs="Arial"/>
                <w:color w:val="000000"/>
                <w:sz w:val="16"/>
                <w:szCs w:val="16"/>
              </w:rPr>
            </w:pPr>
            <w:r w:rsidRPr="00147F69">
              <w:rPr>
                <w:rFonts w:ascii="Arial" w:hAnsi="Arial" w:cs="Arial"/>
                <w:color w:val="000000"/>
                <w:sz w:val="16"/>
                <w:szCs w:val="16"/>
              </w:rPr>
              <w:t>- Appropriations</w:t>
            </w:r>
          </w:p>
        </w:tc>
        <w:tc>
          <w:tcPr>
            <w:tcW w:w="992" w:type="dxa"/>
            <w:tcBorders>
              <w:top w:val="nil"/>
              <w:left w:val="nil"/>
              <w:bottom w:val="nil"/>
              <w:right w:val="nil"/>
            </w:tcBorders>
            <w:shd w:val="clear" w:color="auto" w:fill="auto"/>
            <w:noWrap/>
            <w:vAlign w:val="bottom"/>
            <w:hideMark/>
          </w:tcPr>
          <w:p w14:paraId="6FAA5D6F" w14:textId="5A62831E" w:rsidR="0046488F" w:rsidRPr="00147F69" w:rsidRDefault="0046488F"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38,539</w:t>
            </w:r>
          </w:p>
        </w:tc>
        <w:tc>
          <w:tcPr>
            <w:tcW w:w="1011" w:type="dxa"/>
            <w:tcBorders>
              <w:top w:val="nil"/>
              <w:left w:val="nil"/>
              <w:bottom w:val="nil"/>
              <w:right w:val="nil"/>
            </w:tcBorders>
            <w:shd w:val="clear" w:color="000000" w:fill="E6E6E6"/>
            <w:noWrap/>
            <w:vAlign w:val="bottom"/>
            <w:hideMark/>
          </w:tcPr>
          <w:p w14:paraId="75CF4CA7" w14:textId="5EB9F5C5" w:rsidR="0046488F" w:rsidRPr="00147F69" w:rsidRDefault="0046488F"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60,628</w:t>
            </w:r>
          </w:p>
        </w:tc>
        <w:tc>
          <w:tcPr>
            <w:tcW w:w="992" w:type="dxa"/>
            <w:tcBorders>
              <w:top w:val="nil"/>
              <w:left w:val="nil"/>
              <w:bottom w:val="nil"/>
              <w:right w:val="nil"/>
            </w:tcBorders>
            <w:shd w:val="clear" w:color="auto" w:fill="auto"/>
            <w:noWrap/>
            <w:vAlign w:val="bottom"/>
            <w:hideMark/>
          </w:tcPr>
          <w:p w14:paraId="2CBCA113" w14:textId="769B2009" w:rsidR="0046488F" w:rsidRPr="00147F69" w:rsidRDefault="0046488F"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81,650</w:t>
            </w:r>
          </w:p>
        </w:tc>
        <w:tc>
          <w:tcPr>
            <w:tcW w:w="991" w:type="dxa"/>
            <w:tcBorders>
              <w:top w:val="nil"/>
              <w:left w:val="nil"/>
              <w:bottom w:val="nil"/>
              <w:right w:val="nil"/>
            </w:tcBorders>
            <w:shd w:val="clear" w:color="auto" w:fill="auto"/>
            <w:noWrap/>
            <w:vAlign w:val="bottom"/>
            <w:hideMark/>
          </w:tcPr>
          <w:p w14:paraId="5B7C19DC" w14:textId="3828DE6C" w:rsidR="0046488F" w:rsidRPr="00147F69" w:rsidRDefault="0046488F"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80,616</w:t>
            </w:r>
          </w:p>
        </w:tc>
        <w:tc>
          <w:tcPr>
            <w:tcW w:w="1052" w:type="dxa"/>
            <w:tcBorders>
              <w:top w:val="nil"/>
              <w:left w:val="nil"/>
              <w:bottom w:val="nil"/>
              <w:right w:val="nil"/>
            </w:tcBorders>
            <w:shd w:val="clear" w:color="auto" w:fill="auto"/>
            <w:noWrap/>
            <w:vAlign w:val="bottom"/>
            <w:hideMark/>
          </w:tcPr>
          <w:p w14:paraId="42F90375" w14:textId="12E9B778" w:rsidR="0046488F" w:rsidRPr="00147F69" w:rsidRDefault="0046488F"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38,505</w:t>
            </w:r>
          </w:p>
        </w:tc>
      </w:tr>
      <w:tr w:rsidR="0046488F" w:rsidRPr="003B5F49" w14:paraId="590F39A1" w14:textId="77777777" w:rsidTr="00147F69">
        <w:trPr>
          <w:trHeight w:val="204"/>
        </w:trPr>
        <w:tc>
          <w:tcPr>
            <w:tcW w:w="2552" w:type="dxa"/>
            <w:tcBorders>
              <w:top w:val="nil"/>
              <w:left w:val="nil"/>
              <w:bottom w:val="nil"/>
              <w:right w:val="nil"/>
            </w:tcBorders>
            <w:shd w:val="clear" w:color="auto" w:fill="auto"/>
            <w:vAlign w:val="bottom"/>
            <w:hideMark/>
          </w:tcPr>
          <w:p w14:paraId="23751F1B" w14:textId="77777777" w:rsidR="0046488F" w:rsidRPr="00147F69" w:rsidRDefault="0046488F" w:rsidP="0046488F">
            <w:pPr>
              <w:spacing w:after="0" w:line="240" w:lineRule="auto"/>
              <w:ind w:left="113"/>
              <w:jc w:val="left"/>
              <w:rPr>
                <w:rFonts w:ascii="Arial" w:hAnsi="Arial" w:cs="Arial"/>
                <w:color w:val="000000"/>
                <w:sz w:val="16"/>
                <w:szCs w:val="16"/>
              </w:rPr>
            </w:pPr>
            <w:r w:rsidRPr="00147F69">
              <w:rPr>
                <w:rFonts w:ascii="Arial" w:hAnsi="Arial" w:cs="Arial"/>
                <w:color w:val="000000"/>
                <w:sz w:val="16"/>
                <w:szCs w:val="16"/>
              </w:rPr>
              <w:t>Total cash from Official Public Account</w:t>
            </w:r>
          </w:p>
        </w:tc>
        <w:tc>
          <w:tcPr>
            <w:tcW w:w="992" w:type="dxa"/>
            <w:tcBorders>
              <w:top w:val="single" w:sz="4" w:space="0" w:color="auto"/>
              <w:left w:val="nil"/>
              <w:bottom w:val="single" w:sz="4" w:space="0" w:color="auto"/>
              <w:right w:val="nil"/>
            </w:tcBorders>
            <w:shd w:val="clear" w:color="auto" w:fill="auto"/>
            <w:noWrap/>
            <w:vAlign w:val="bottom"/>
            <w:hideMark/>
          </w:tcPr>
          <w:p w14:paraId="5F371311" w14:textId="2B302F17" w:rsidR="0046488F" w:rsidRPr="00147F69" w:rsidRDefault="0046488F" w:rsidP="0046488F">
            <w:pPr>
              <w:spacing w:after="0" w:line="240" w:lineRule="auto"/>
              <w:jc w:val="right"/>
              <w:rPr>
                <w:rFonts w:ascii="Arial" w:hAnsi="Arial" w:cs="Arial"/>
                <w:bCs/>
                <w:color w:val="000000"/>
                <w:sz w:val="16"/>
                <w:szCs w:val="16"/>
              </w:rPr>
            </w:pPr>
            <w:r w:rsidRPr="00147F69">
              <w:rPr>
                <w:rFonts w:ascii="Arial" w:hAnsi="Arial" w:cs="Arial"/>
                <w:bCs/>
                <w:color w:val="000000"/>
                <w:sz w:val="16"/>
                <w:szCs w:val="16"/>
              </w:rPr>
              <w:t>38,539</w:t>
            </w:r>
          </w:p>
        </w:tc>
        <w:tc>
          <w:tcPr>
            <w:tcW w:w="1011" w:type="dxa"/>
            <w:tcBorders>
              <w:top w:val="single" w:sz="4" w:space="0" w:color="auto"/>
              <w:left w:val="nil"/>
              <w:bottom w:val="single" w:sz="4" w:space="0" w:color="auto"/>
              <w:right w:val="nil"/>
            </w:tcBorders>
            <w:shd w:val="clear" w:color="000000" w:fill="E6E6E6"/>
            <w:noWrap/>
            <w:vAlign w:val="bottom"/>
            <w:hideMark/>
          </w:tcPr>
          <w:p w14:paraId="5EE35F39" w14:textId="1F16746A" w:rsidR="0046488F" w:rsidRPr="00147F69" w:rsidRDefault="0046488F" w:rsidP="0046488F">
            <w:pPr>
              <w:spacing w:after="0" w:line="240" w:lineRule="auto"/>
              <w:jc w:val="right"/>
              <w:rPr>
                <w:rFonts w:ascii="Arial" w:hAnsi="Arial" w:cs="Arial"/>
                <w:bCs/>
                <w:color w:val="000000"/>
                <w:sz w:val="16"/>
                <w:szCs w:val="16"/>
              </w:rPr>
            </w:pPr>
            <w:r w:rsidRPr="00147F69">
              <w:rPr>
                <w:rFonts w:ascii="Arial" w:hAnsi="Arial" w:cs="Arial"/>
                <w:bCs/>
                <w:color w:val="000000"/>
                <w:sz w:val="16"/>
                <w:szCs w:val="16"/>
              </w:rPr>
              <w:t>60,628</w:t>
            </w:r>
          </w:p>
        </w:tc>
        <w:tc>
          <w:tcPr>
            <w:tcW w:w="992" w:type="dxa"/>
            <w:tcBorders>
              <w:top w:val="single" w:sz="4" w:space="0" w:color="auto"/>
              <w:left w:val="nil"/>
              <w:bottom w:val="single" w:sz="4" w:space="0" w:color="auto"/>
              <w:right w:val="nil"/>
            </w:tcBorders>
            <w:shd w:val="clear" w:color="auto" w:fill="auto"/>
            <w:noWrap/>
            <w:vAlign w:val="bottom"/>
            <w:hideMark/>
          </w:tcPr>
          <w:p w14:paraId="53C8E4B3" w14:textId="679095AE" w:rsidR="0046488F" w:rsidRPr="00147F69" w:rsidRDefault="0046488F" w:rsidP="0046488F">
            <w:pPr>
              <w:spacing w:after="0" w:line="240" w:lineRule="auto"/>
              <w:jc w:val="right"/>
              <w:rPr>
                <w:rFonts w:ascii="Arial" w:hAnsi="Arial" w:cs="Arial"/>
                <w:bCs/>
                <w:color w:val="000000"/>
                <w:sz w:val="16"/>
                <w:szCs w:val="16"/>
              </w:rPr>
            </w:pPr>
            <w:r w:rsidRPr="00147F69">
              <w:rPr>
                <w:rFonts w:ascii="Arial" w:hAnsi="Arial" w:cs="Arial"/>
                <w:bCs/>
                <w:color w:val="000000"/>
                <w:sz w:val="16"/>
                <w:szCs w:val="16"/>
              </w:rPr>
              <w:t>81,650</w:t>
            </w:r>
          </w:p>
        </w:tc>
        <w:tc>
          <w:tcPr>
            <w:tcW w:w="991" w:type="dxa"/>
            <w:tcBorders>
              <w:top w:val="single" w:sz="4" w:space="0" w:color="auto"/>
              <w:left w:val="nil"/>
              <w:bottom w:val="single" w:sz="4" w:space="0" w:color="auto"/>
              <w:right w:val="nil"/>
            </w:tcBorders>
            <w:shd w:val="clear" w:color="auto" w:fill="auto"/>
            <w:noWrap/>
            <w:vAlign w:val="bottom"/>
            <w:hideMark/>
          </w:tcPr>
          <w:p w14:paraId="5CFA7C72" w14:textId="30CB1B8A" w:rsidR="0046488F" w:rsidRPr="00147F69" w:rsidRDefault="0046488F" w:rsidP="0046488F">
            <w:pPr>
              <w:spacing w:after="0" w:line="240" w:lineRule="auto"/>
              <w:jc w:val="right"/>
              <w:rPr>
                <w:rFonts w:ascii="Arial" w:hAnsi="Arial" w:cs="Arial"/>
                <w:bCs/>
                <w:color w:val="000000"/>
                <w:sz w:val="16"/>
                <w:szCs w:val="16"/>
              </w:rPr>
            </w:pPr>
            <w:r w:rsidRPr="00147F69">
              <w:rPr>
                <w:rFonts w:ascii="Arial" w:hAnsi="Arial" w:cs="Arial"/>
                <w:bCs/>
                <w:color w:val="000000"/>
                <w:sz w:val="16"/>
                <w:szCs w:val="16"/>
              </w:rPr>
              <w:t>80,616</w:t>
            </w:r>
          </w:p>
        </w:tc>
        <w:tc>
          <w:tcPr>
            <w:tcW w:w="1052" w:type="dxa"/>
            <w:tcBorders>
              <w:top w:val="single" w:sz="4" w:space="0" w:color="auto"/>
              <w:left w:val="nil"/>
              <w:bottom w:val="single" w:sz="4" w:space="0" w:color="auto"/>
              <w:right w:val="nil"/>
            </w:tcBorders>
            <w:shd w:val="clear" w:color="auto" w:fill="auto"/>
            <w:noWrap/>
            <w:vAlign w:val="bottom"/>
            <w:hideMark/>
          </w:tcPr>
          <w:p w14:paraId="1084FDF4" w14:textId="7AEC431D" w:rsidR="0046488F" w:rsidRPr="00147F69" w:rsidRDefault="0046488F" w:rsidP="0046488F">
            <w:pPr>
              <w:spacing w:after="0" w:line="240" w:lineRule="auto"/>
              <w:jc w:val="right"/>
              <w:rPr>
                <w:rFonts w:ascii="Arial" w:hAnsi="Arial" w:cs="Arial"/>
                <w:bCs/>
                <w:color w:val="000000"/>
                <w:sz w:val="16"/>
                <w:szCs w:val="16"/>
              </w:rPr>
            </w:pPr>
            <w:r w:rsidRPr="00147F69">
              <w:rPr>
                <w:rFonts w:ascii="Arial" w:hAnsi="Arial" w:cs="Arial"/>
                <w:bCs/>
                <w:color w:val="000000"/>
                <w:sz w:val="16"/>
                <w:szCs w:val="16"/>
              </w:rPr>
              <w:t>38,505</w:t>
            </w:r>
          </w:p>
        </w:tc>
      </w:tr>
      <w:tr w:rsidR="003B5F49" w:rsidRPr="003B5F49" w14:paraId="2B54F107" w14:textId="77777777" w:rsidTr="00147F69">
        <w:trPr>
          <w:trHeight w:val="204"/>
        </w:trPr>
        <w:tc>
          <w:tcPr>
            <w:tcW w:w="2552" w:type="dxa"/>
            <w:tcBorders>
              <w:top w:val="nil"/>
              <w:left w:val="nil"/>
              <w:bottom w:val="nil"/>
              <w:right w:val="nil"/>
            </w:tcBorders>
            <w:shd w:val="clear" w:color="auto" w:fill="auto"/>
            <w:noWrap/>
            <w:vAlign w:val="bottom"/>
            <w:hideMark/>
          </w:tcPr>
          <w:p w14:paraId="3822B3F9" w14:textId="77777777" w:rsidR="003B5F49" w:rsidRPr="00147F69" w:rsidRDefault="003B5F49" w:rsidP="002359B6">
            <w:pPr>
              <w:spacing w:after="0" w:line="240" w:lineRule="auto"/>
              <w:ind w:left="113"/>
              <w:jc w:val="left"/>
              <w:rPr>
                <w:rFonts w:ascii="Arial" w:hAnsi="Arial" w:cs="Arial"/>
                <w:color w:val="000000"/>
                <w:sz w:val="16"/>
                <w:szCs w:val="16"/>
              </w:rPr>
            </w:pPr>
            <w:r w:rsidRPr="00147F69">
              <w:rPr>
                <w:rFonts w:ascii="Arial" w:hAnsi="Arial" w:cs="Arial"/>
                <w:color w:val="000000"/>
                <w:sz w:val="16"/>
                <w:szCs w:val="16"/>
              </w:rPr>
              <w:t>Cash to Official Public Account for:</w:t>
            </w:r>
          </w:p>
        </w:tc>
        <w:tc>
          <w:tcPr>
            <w:tcW w:w="992" w:type="dxa"/>
            <w:tcBorders>
              <w:top w:val="nil"/>
              <w:left w:val="nil"/>
              <w:bottom w:val="nil"/>
              <w:right w:val="nil"/>
            </w:tcBorders>
            <w:shd w:val="clear" w:color="auto" w:fill="auto"/>
            <w:noWrap/>
            <w:vAlign w:val="bottom"/>
            <w:hideMark/>
          </w:tcPr>
          <w:p w14:paraId="265F332C" w14:textId="77777777" w:rsidR="003B5F49" w:rsidRPr="00147F69" w:rsidRDefault="003B5F49" w:rsidP="0046488F">
            <w:pPr>
              <w:spacing w:after="0" w:line="240" w:lineRule="auto"/>
              <w:ind w:firstLineChars="100" w:firstLine="160"/>
              <w:jc w:val="right"/>
              <w:rPr>
                <w:rFonts w:ascii="Arial" w:hAnsi="Arial" w:cs="Arial"/>
                <w:color w:val="000000"/>
                <w:sz w:val="16"/>
                <w:szCs w:val="16"/>
              </w:rPr>
            </w:pPr>
          </w:p>
        </w:tc>
        <w:tc>
          <w:tcPr>
            <w:tcW w:w="1011" w:type="dxa"/>
            <w:tcBorders>
              <w:top w:val="nil"/>
              <w:left w:val="nil"/>
              <w:bottom w:val="nil"/>
              <w:right w:val="nil"/>
            </w:tcBorders>
            <w:shd w:val="clear" w:color="000000" w:fill="E6E6E6"/>
            <w:noWrap/>
            <w:vAlign w:val="bottom"/>
            <w:hideMark/>
          </w:tcPr>
          <w:p w14:paraId="2D3ADF0D" w14:textId="54D7A266" w:rsidR="003B5F49" w:rsidRPr="00147F69" w:rsidRDefault="003B5F49" w:rsidP="0046488F">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468BB4D0" w14:textId="77777777" w:rsidR="003B5F49" w:rsidRPr="00147F69" w:rsidRDefault="003B5F49" w:rsidP="0046488F">
            <w:pPr>
              <w:spacing w:after="0" w:line="240" w:lineRule="auto"/>
              <w:jc w:val="right"/>
              <w:rPr>
                <w:rFonts w:ascii="Arial" w:hAnsi="Arial" w:cs="Arial"/>
                <w:color w:val="000000"/>
                <w:sz w:val="16"/>
                <w:szCs w:val="16"/>
              </w:rPr>
            </w:pPr>
          </w:p>
        </w:tc>
        <w:tc>
          <w:tcPr>
            <w:tcW w:w="991" w:type="dxa"/>
            <w:tcBorders>
              <w:top w:val="nil"/>
              <w:left w:val="nil"/>
              <w:bottom w:val="nil"/>
              <w:right w:val="nil"/>
            </w:tcBorders>
            <w:shd w:val="clear" w:color="auto" w:fill="auto"/>
            <w:noWrap/>
            <w:vAlign w:val="bottom"/>
            <w:hideMark/>
          </w:tcPr>
          <w:p w14:paraId="78A46727" w14:textId="77777777" w:rsidR="003B5F49" w:rsidRPr="00147F69" w:rsidRDefault="003B5F49" w:rsidP="0046488F">
            <w:pPr>
              <w:spacing w:after="0" w:line="240" w:lineRule="auto"/>
              <w:jc w:val="right"/>
              <w:rPr>
                <w:rFonts w:ascii="Times New Roman" w:hAnsi="Times New Roman"/>
                <w:sz w:val="16"/>
                <w:szCs w:val="16"/>
              </w:rPr>
            </w:pPr>
          </w:p>
        </w:tc>
        <w:tc>
          <w:tcPr>
            <w:tcW w:w="1052" w:type="dxa"/>
            <w:tcBorders>
              <w:top w:val="nil"/>
              <w:left w:val="nil"/>
              <w:bottom w:val="nil"/>
              <w:right w:val="nil"/>
            </w:tcBorders>
            <w:shd w:val="clear" w:color="auto" w:fill="auto"/>
            <w:noWrap/>
            <w:vAlign w:val="bottom"/>
            <w:hideMark/>
          </w:tcPr>
          <w:p w14:paraId="561629F8" w14:textId="77777777" w:rsidR="003B5F49" w:rsidRPr="00147F69" w:rsidRDefault="003B5F49" w:rsidP="0046488F">
            <w:pPr>
              <w:spacing w:after="0" w:line="240" w:lineRule="auto"/>
              <w:jc w:val="right"/>
              <w:rPr>
                <w:rFonts w:ascii="Times New Roman" w:hAnsi="Times New Roman"/>
                <w:sz w:val="16"/>
                <w:szCs w:val="16"/>
              </w:rPr>
            </w:pPr>
          </w:p>
        </w:tc>
      </w:tr>
      <w:tr w:rsidR="003B5F49" w:rsidRPr="003B5F49" w14:paraId="0B89B4F3" w14:textId="77777777" w:rsidTr="00147F69">
        <w:trPr>
          <w:trHeight w:val="204"/>
        </w:trPr>
        <w:tc>
          <w:tcPr>
            <w:tcW w:w="2552" w:type="dxa"/>
            <w:tcBorders>
              <w:top w:val="nil"/>
              <w:left w:val="nil"/>
              <w:bottom w:val="nil"/>
              <w:right w:val="nil"/>
            </w:tcBorders>
            <w:shd w:val="clear" w:color="auto" w:fill="auto"/>
            <w:noWrap/>
            <w:vAlign w:val="bottom"/>
            <w:hideMark/>
          </w:tcPr>
          <w:p w14:paraId="74AF5C87" w14:textId="211157AB" w:rsidR="003B5F49" w:rsidRPr="00147F69" w:rsidRDefault="003B5F49" w:rsidP="002359B6">
            <w:pPr>
              <w:spacing w:after="0" w:line="240" w:lineRule="auto"/>
              <w:ind w:left="227"/>
              <w:jc w:val="left"/>
              <w:rPr>
                <w:rFonts w:ascii="Arial" w:hAnsi="Arial" w:cs="Arial"/>
                <w:color w:val="000000"/>
                <w:sz w:val="16"/>
                <w:szCs w:val="16"/>
              </w:rPr>
            </w:pPr>
            <w:r w:rsidRPr="00147F69">
              <w:rPr>
                <w:rFonts w:ascii="Arial" w:hAnsi="Arial" w:cs="Arial"/>
                <w:color w:val="000000"/>
                <w:sz w:val="16"/>
                <w:szCs w:val="16"/>
              </w:rPr>
              <w:t>- Other Transfers</w:t>
            </w:r>
          </w:p>
        </w:tc>
        <w:tc>
          <w:tcPr>
            <w:tcW w:w="992" w:type="dxa"/>
            <w:tcBorders>
              <w:top w:val="nil"/>
              <w:left w:val="nil"/>
              <w:bottom w:val="nil"/>
              <w:right w:val="nil"/>
            </w:tcBorders>
            <w:shd w:val="clear" w:color="auto" w:fill="auto"/>
            <w:noWrap/>
            <w:vAlign w:val="bottom"/>
            <w:hideMark/>
          </w:tcPr>
          <w:p w14:paraId="067D8FB9" w14:textId="6F7E0E6D"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25,407</w:t>
            </w:r>
          </w:p>
        </w:tc>
        <w:tc>
          <w:tcPr>
            <w:tcW w:w="1011" w:type="dxa"/>
            <w:tcBorders>
              <w:top w:val="nil"/>
              <w:left w:val="nil"/>
              <w:bottom w:val="nil"/>
              <w:right w:val="nil"/>
            </w:tcBorders>
            <w:shd w:val="clear" w:color="000000" w:fill="E6E6E6"/>
            <w:noWrap/>
            <w:vAlign w:val="bottom"/>
            <w:hideMark/>
          </w:tcPr>
          <w:p w14:paraId="19FF563F" w14:textId="51FC509A"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18,742</w:t>
            </w:r>
          </w:p>
        </w:tc>
        <w:tc>
          <w:tcPr>
            <w:tcW w:w="992" w:type="dxa"/>
            <w:tcBorders>
              <w:top w:val="nil"/>
              <w:left w:val="nil"/>
              <w:bottom w:val="nil"/>
              <w:right w:val="nil"/>
            </w:tcBorders>
            <w:shd w:val="clear" w:color="auto" w:fill="auto"/>
            <w:noWrap/>
            <w:vAlign w:val="bottom"/>
            <w:hideMark/>
          </w:tcPr>
          <w:p w14:paraId="739C5E8A" w14:textId="57ACF817"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28,419</w:t>
            </w:r>
          </w:p>
        </w:tc>
        <w:tc>
          <w:tcPr>
            <w:tcW w:w="991" w:type="dxa"/>
            <w:tcBorders>
              <w:top w:val="nil"/>
              <w:left w:val="nil"/>
              <w:bottom w:val="nil"/>
              <w:right w:val="nil"/>
            </w:tcBorders>
            <w:shd w:val="clear" w:color="auto" w:fill="auto"/>
            <w:noWrap/>
            <w:vAlign w:val="bottom"/>
            <w:hideMark/>
          </w:tcPr>
          <w:p w14:paraId="50E3C20D" w14:textId="21B66386"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29,324</w:t>
            </w:r>
          </w:p>
        </w:tc>
        <w:tc>
          <w:tcPr>
            <w:tcW w:w="1052" w:type="dxa"/>
            <w:tcBorders>
              <w:top w:val="nil"/>
              <w:left w:val="nil"/>
              <w:bottom w:val="nil"/>
              <w:right w:val="nil"/>
            </w:tcBorders>
            <w:shd w:val="clear" w:color="auto" w:fill="auto"/>
            <w:noWrap/>
            <w:vAlign w:val="bottom"/>
            <w:hideMark/>
          </w:tcPr>
          <w:p w14:paraId="4C98588B" w14:textId="6D14C4FF" w:rsidR="003B5F49" w:rsidRPr="00147F69" w:rsidRDefault="003B5F49" w:rsidP="0046488F">
            <w:pPr>
              <w:spacing w:after="0" w:line="240" w:lineRule="auto"/>
              <w:jc w:val="right"/>
              <w:rPr>
                <w:rFonts w:ascii="Arial" w:hAnsi="Arial" w:cs="Arial"/>
                <w:color w:val="000000"/>
                <w:sz w:val="16"/>
                <w:szCs w:val="16"/>
              </w:rPr>
            </w:pPr>
            <w:r w:rsidRPr="00147F69">
              <w:rPr>
                <w:rFonts w:ascii="Arial" w:hAnsi="Arial" w:cs="Arial"/>
                <w:color w:val="000000"/>
                <w:sz w:val="16"/>
                <w:szCs w:val="16"/>
              </w:rPr>
              <w:t>30,202</w:t>
            </w:r>
          </w:p>
        </w:tc>
      </w:tr>
      <w:tr w:rsidR="003B5F49" w:rsidRPr="003B5F49" w14:paraId="6482F456" w14:textId="77777777" w:rsidTr="00147F69">
        <w:trPr>
          <w:trHeight w:val="204"/>
        </w:trPr>
        <w:tc>
          <w:tcPr>
            <w:tcW w:w="2552" w:type="dxa"/>
            <w:tcBorders>
              <w:top w:val="nil"/>
              <w:left w:val="nil"/>
              <w:bottom w:val="nil"/>
              <w:right w:val="nil"/>
            </w:tcBorders>
            <w:shd w:val="clear" w:color="auto" w:fill="auto"/>
            <w:vAlign w:val="bottom"/>
            <w:hideMark/>
          </w:tcPr>
          <w:p w14:paraId="3CEF89B2" w14:textId="77777777" w:rsidR="003B5F49" w:rsidRPr="00147F69" w:rsidRDefault="003B5F49" w:rsidP="002359B6">
            <w:pPr>
              <w:spacing w:after="0" w:line="240" w:lineRule="auto"/>
              <w:jc w:val="left"/>
              <w:rPr>
                <w:rFonts w:ascii="Arial" w:hAnsi="Arial" w:cs="Arial"/>
                <w:color w:val="000000"/>
                <w:sz w:val="16"/>
                <w:szCs w:val="16"/>
              </w:rPr>
            </w:pPr>
            <w:r w:rsidRPr="00147F69">
              <w:rPr>
                <w:rFonts w:ascii="Arial" w:hAnsi="Arial" w:cs="Arial"/>
                <w:color w:val="000000"/>
                <w:sz w:val="16"/>
                <w:szCs w:val="16"/>
              </w:rPr>
              <w:t>Total cash to Official Public Account</w:t>
            </w:r>
          </w:p>
        </w:tc>
        <w:tc>
          <w:tcPr>
            <w:tcW w:w="992" w:type="dxa"/>
            <w:tcBorders>
              <w:top w:val="single" w:sz="4" w:space="0" w:color="auto"/>
              <w:left w:val="nil"/>
              <w:bottom w:val="single" w:sz="4" w:space="0" w:color="auto"/>
              <w:right w:val="nil"/>
            </w:tcBorders>
            <w:shd w:val="clear" w:color="auto" w:fill="auto"/>
            <w:noWrap/>
            <w:vAlign w:val="bottom"/>
            <w:hideMark/>
          </w:tcPr>
          <w:p w14:paraId="4C824D13" w14:textId="50D6691D" w:rsidR="003B5F49" w:rsidRPr="00147F69" w:rsidRDefault="003B5F49" w:rsidP="0046488F">
            <w:pPr>
              <w:spacing w:after="0" w:line="240" w:lineRule="auto"/>
              <w:jc w:val="right"/>
              <w:rPr>
                <w:rFonts w:ascii="Arial" w:hAnsi="Arial" w:cs="Arial"/>
                <w:bCs/>
                <w:color w:val="000000"/>
                <w:sz w:val="16"/>
                <w:szCs w:val="16"/>
              </w:rPr>
            </w:pPr>
            <w:r w:rsidRPr="00147F69">
              <w:rPr>
                <w:rFonts w:ascii="Arial" w:hAnsi="Arial" w:cs="Arial"/>
                <w:bCs/>
                <w:color w:val="000000"/>
                <w:sz w:val="16"/>
                <w:szCs w:val="16"/>
              </w:rPr>
              <w:t>25,407</w:t>
            </w:r>
          </w:p>
        </w:tc>
        <w:tc>
          <w:tcPr>
            <w:tcW w:w="1011" w:type="dxa"/>
            <w:tcBorders>
              <w:top w:val="single" w:sz="4" w:space="0" w:color="auto"/>
              <w:left w:val="nil"/>
              <w:bottom w:val="single" w:sz="4" w:space="0" w:color="auto"/>
              <w:right w:val="nil"/>
            </w:tcBorders>
            <w:shd w:val="clear" w:color="000000" w:fill="E6E6E6"/>
            <w:noWrap/>
            <w:vAlign w:val="bottom"/>
            <w:hideMark/>
          </w:tcPr>
          <w:p w14:paraId="3DD3C2D2" w14:textId="4C8B6EC0" w:rsidR="003B5F49" w:rsidRPr="00147F69" w:rsidRDefault="003B5F49" w:rsidP="0046488F">
            <w:pPr>
              <w:spacing w:after="0" w:line="240" w:lineRule="auto"/>
              <w:jc w:val="right"/>
              <w:rPr>
                <w:rFonts w:ascii="Arial" w:hAnsi="Arial" w:cs="Arial"/>
                <w:bCs/>
                <w:color w:val="000000"/>
                <w:sz w:val="16"/>
                <w:szCs w:val="16"/>
              </w:rPr>
            </w:pPr>
            <w:r w:rsidRPr="00147F69">
              <w:rPr>
                <w:rFonts w:ascii="Arial" w:hAnsi="Arial" w:cs="Arial"/>
                <w:bCs/>
                <w:color w:val="000000"/>
                <w:sz w:val="16"/>
                <w:szCs w:val="16"/>
              </w:rPr>
              <w:t>18,742</w:t>
            </w:r>
          </w:p>
        </w:tc>
        <w:tc>
          <w:tcPr>
            <w:tcW w:w="992" w:type="dxa"/>
            <w:tcBorders>
              <w:top w:val="single" w:sz="4" w:space="0" w:color="auto"/>
              <w:left w:val="nil"/>
              <w:bottom w:val="single" w:sz="4" w:space="0" w:color="auto"/>
              <w:right w:val="nil"/>
            </w:tcBorders>
            <w:shd w:val="clear" w:color="auto" w:fill="auto"/>
            <w:noWrap/>
            <w:vAlign w:val="bottom"/>
            <w:hideMark/>
          </w:tcPr>
          <w:p w14:paraId="7FE5C1DC" w14:textId="1C24A733" w:rsidR="003B5F49" w:rsidRPr="00147F69" w:rsidRDefault="003B5F49" w:rsidP="0046488F">
            <w:pPr>
              <w:spacing w:after="0" w:line="240" w:lineRule="auto"/>
              <w:jc w:val="right"/>
              <w:rPr>
                <w:rFonts w:ascii="Arial" w:hAnsi="Arial" w:cs="Arial"/>
                <w:bCs/>
                <w:color w:val="000000"/>
                <w:sz w:val="16"/>
                <w:szCs w:val="16"/>
              </w:rPr>
            </w:pPr>
            <w:r w:rsidRPr="00147F69">
              <w:rPr>
                <w:rFonts w:ascii="Arial" w:hAnsi="Arial" w:cs="Arial"/>
                <w:bCs/>
                <w:color w:val="000000"/>
                <w:sz w:val="16"/>
                <w:szCs w:val="16"/>
              </w:rPr>
              <w:t>28,419</w:t>
            </w:r>
          </w:p>
        </w:tc>
        <w:tc>
          <w:tcPr>
            <w:tcW w:w="991" w:type="dxa"/>
            <w:tcBorders>
              <w:top w:val="single" w:sz="4" w:space="0" w:color="auto"/>
              <w:left w:val="nil"/>
              <w:bottom w:val="single" w:sz="4" w:space="0" w:color="auto"/>
              <w:right w:val="nil"/>
            </w:tcBorders>
            <w:shd w:val="clear" w:color="auto" w:fill="auto"/>
            <w:noWrap/>
            <w:vAlign w:val="bottom"/>
            <w:hideMark/>
          </w:tcPr>
          <w:p w14:paraId="2C4B1161" w14:textId="452F1523" w:rsidR="003B5F49" w:rsidRPr="00147F69" w:rsidRDefault="003B5F49" w:rsidP="0046488F">
            <w:pPr>
              <w:spacing w:after="0" w:line="240" w:lineRule="auto"/>
              <w:jc w:val="right"/>
              <w:rPr>
                <w:rFonts w:ascii="Arial" w:hAnsi="Arial" w:cs="Arial"/>
                <w:bCs/>
                <w:color w:val="000000"/>
                <w:sz w:val="16"/>
                <w:szCs w:val="16"/>
              </w:rPr>
            </w:pPr>
            <w:r w:rsidRPr="00147F69">
              <w:rPr>
                <w:rFonts w:ascii="Arial" w:hAnsi="Arial" w:cs="Arial"/>
                <w:bCs/>
                <w:color w:val="000000"/>
                <w:sz w:val="16"/>
                <w:szCs w:val="16"/>
              </w:rPr>
              <w:t>29,324</w:t>
            </w:r>
          </w:p>
        </w:tc>
        <w:tc>
          <w:tcPr>
            <w:tcW w:w="1052" w:type="dxa"/>
            <w:tcBorders>
              <w:top w:val="single" w:sz="4" w:space="0" w:color="auto"/>
              <w:left w:val="nil"/>
              <w:bottom w:val="single" w:sz="4" w:space="0" w:color="auto"/>
              <w:right w:val="nil"/>
            </w:tcBorders>
            <w:shd w:val="clear" w:color="auto" w:fill="auto"/>
            <w:noWrap/>
            <w:vAlign w:val="bottom"/>
            <w:hideMark/>
          </w:tcPr>
          <w:p w14:paraId="56E684D6" w14:textId="3A4AAFBD" w:rsidR="003B5F49" w:rsidRPr="00147F69" w:rsidRDefault="003B5F49" w:rsidP="0046488F">
            <w:pPr>
              <w:spacing w:after="0" w:line="240" w:lineRule="auto"/>
              <w:jc w:val="right"/>
              <w:rPr>
                <w:rFonts w:ascii="Arial" w:hAnsi="Arial" w:cs="Arial"/>
                <w:bCs/>
                <w:color w:val="000000"/>
                <w:sz w:val="16"/>
                <w:szCs w:val="16"/>
              </w:rPr>
            </w:pPr>
            <w:r w:rsidRPr="00147F69">
              <w:rPr>
                <w:rFonts w:ascii="Arial" w:hAnsi="Arial" w:cs="Arial"/>
                <w:bCs/>
                <w:color w:val="000000"/>
                <w:sz w:val="16"/>
                <w:szCs w:val="16"/>
              </w:rPr>
              <w:t>30,202</w:t>
            </w:r>
          </w:p>
        </w:tc>
      </w:tr>
      <w:tr w:rsidR="003B5F49" w:rsidRPr="003B5F49" w14:paraId="5E6DEB88" w14:textId="77777777" w:rsidTr="00147F69">
        <w:trPr>
          <w:trHeight w:val="204"/>
        </w:trPr>
        <w:tc>
          <w:tcPr>
            <w:tcW w:w="2552" w:type="dxa"/>
            <w:tcBorders>
              <w:top w:val="nil"/>
              <w:left w:val="nil"/>
              <w:bottom w:val="single" w:sz="4" w:space="0" w:color="auto"/>
              <w:right w:val="nil"/>
            </w:tcBorders>
            <w:shd w:val="clear" w:color="auto" w:fill="auto"/>
            <w:vAlign w:val="bottom"/>
            <w:hideMark/>
          </w:tcPr>
          <w:p w14:paraId="0EE464FB" w14:textId="77777777" w:rsidR="003B5F49" w:rsidRPr="00147F69" w:rsidRDefault="003B5F49" w:rsidP="003B5F49">
            <w:pPr>
              <w:spacing w:after="0" w:line="240" w:lineRule="auto"/>
              <w:jc w:val="left"/>
              <w:rPr>
                <w:rFonts w:ascii="Arial" w:hAnsi="Arial" w:cs="Arial"/>
                <w:b/>
                <w:bCs/>
                <w:color w:val="000000"/>
                <w:sz w:val="16"/>
                <w:szCs w:val="16"/>
              </w:rPr>
            </w:pPr>
            <w:r w:rsidRPr="00147F69">
              <w:rPr>
                <w:rFonts w:ascii="Arial" w:hAnsi="Arial" w:cs="Arial"/>
                <w:b/>
                <w:bCs/>
                <w:color w:val="000000"/>
                <w:sz w:val="16"/>
                <w:szCs w:val="16"/>
              </w:rPr>
              <w:t>Cash and cash equivalents at end of the reporting period</w:t>
            </w:r>
          </w:p>
        </w:tc>
        <w:tc>
          <w:tcPr>
            <w:tcW w:w="992" w:type="dxa"/>
            <w:tcBorders>
              <w:top w:val="single" w:sz="4" w:space="0" w:color="auto"/>
              <w:left w:val="nil"/>
              <w:bottom w:val="single" w:sz="4" w:space="0" w:color="auto"/>
              <w:right w:val="nil"/>
            </w:tcBorders>
            <w:shd w:val="clear" w:color="auto" w:fill="auto"/>
            <w:noWrap/>
            <w:vAlign w:val="bottom"/>
            <w:hideMark/>
          </w:tcPr>
          <w:p w14:paraId="6B02AD93" w14:textId="5E44BF33" w:rsidR="003B5F49" w:rsidRPr="00147F69" w:rsidRDefault="003B5F49"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559</w:t>
            </w:r>
          </w:p>
        </w:tc>
        <w:tc>
          <w:tcPr>
            <w:tcW w:w="1011" w:type="dxa"/>
            <w:tcBorders>
              <w:top w:val="single" w:sz="4" w:space="0" w:color="auto"/>
              <w:left w:val="nil"/>
              <w:bottom w:val="single" w:sz="4" w:space="0" w:color="auto"/>
              <w:right w:val="nil"/>
            </w:tcBorders>
            <w:shd w:val="clear" w:color="000000" w:fill="E6E6E6"/>
            <w:noWrap/>
            <w:vAlign w:val="bottom"/>
            <w:hideMark/>
          </w:tcPr>
          <w:p w14:paraId="60C9C9AD" w14:textId="0E67E3B1" w:rsidR="003B5F49" w:rsidRPr="00147F69" w:rsidRDefault="003B5F49"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559</w:t>
            </w:r>
          </w:p>
        </w:tc>
        <w:tc>
          <w:tcPr>
            <w:tcW w:w="992" w:type="dxa"/>
            <w:tcBorders>
              <w:top w:val="single" w:sz="4" w:space="0" w:color="auto"/>
              <w:left w:val="nil"/>
              <w:bottom w:val="single" w:sz="4" w:space="0" w:color="auto"/>
              <w:right w:val="nil"/>
            </w:tcBorders>
            <w:shd w:val="clear" w:color="auto" w:fill="auto"/>
            <w:noWrap/>
            <w:vAlign w:val="bottom"/>
            <w:hideMark/>
          </w:tcPr>
          <w:p w14:paraId="384AD3A1" w14:textId="4296C0D0" w:rsidR="003B5F49" w:rsidRPr="00147F69" w:rsidRDefault="003B5F49"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559</w:t>
            </w:r>
          </w:p>
        </w:tc>
        <w:tc>
          <w:tcPr>
            <w:tcW w:w="991" w:type="dxa"/>
            <w:tcBorders>
              <w:top w:val="single" w:sz="4" w:space="0" w:color="auto"/>
              <w:left w:val="nil"/>
              <w:bottom w:val="single" w:sz="4" w:space="0" w:color="auto"/>
              <w:right w:val="nil"/>
            </w:tcBorders>
            <w:shd w:val="clear" w:color="auto" w:fill="auto"/>
            <w:noWrap/>
            <w:vAlign w:val="bottom"/>
            <w:hideMark/>
          </w:tcPr>
          <w:p w14:paraId="29A5A2E7" w14:textId="2C6FB84A" w:rsidR="003B5F49" w:rsidRPr="00147F69" w:rsidRDefault="003B5F49"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559</w:t>
            </w:r>
          </w:p>
        </w:tc>
        <w:tc>
          <w:tcPr>
            <w:tcW w:w="1052" w:type="dxa"/>
            <w:tcBorders>
              <w:top w:val="single" w:sz="4" w:space="0" w:color="auto"/>
              <w:left w:val="nil"/>
              <w:bottom w:val="single" w:sz="4" w:space="0" w:color="auto"/>
              <w:right w:val="nil"/>
            </w:tcBorders>
            <w:shd w:val="clear" w:color="auto" w:fill="auto"/>
            <w:noWrap/>
            <w:vAlign w:val="bottom"/>
            <w:hideMark/>
          </w:tcPr>
          <w:p w14:paraId="52674279" w14:textId="54FDC8B9" w:rsidR="003B5F49" w:rsidRPr="00147F69" w:rsidRDefault="003B5F49" w:rsidP="0046488F">
            <w:pPr>
              <w:spacing w:after="0" w:line="240" w:lineRule="auto"/>
              <w:jc w:val="right"/>
              <w:rPr>
                <w:rFonts w:ascii="Arial" w:hAnsi="Arial" w:cs="Arial"/>
                <w:b/>
                <w:bCs/>
                <w:color w:val="000000"/>
                <w:sz w:val="16"/>
                <w:szCs w:val="16"/>
              </w:rPr>
            </w:pPr>
            <w:r w:rsidRPr="00147F69">
              <w:rPr>
                <w:rFonts w:ascii="Arial" w:hAnsi="Arial" w:cs="Arial"/>
                <w:b/>
                <w:bCs/>
                <w:color w:val="000000"/>
                <w:sz w:val="16"/>
                <w:szCs w:val="16"/>
              </w:rPr>
              <w:t>559</w:t>
            </w:r>
          </w:p>
        </w:tc>
      </w:tr>
      <w:tr w:rsidR="003B5F49" w:rsidRPr="006B3C79" w14:paraId="04277B07" w14:textId="77777777" w:rsidTr="00EF5AA2">
        <w:trPr>
          <w:trHeight w:val="240"/>
        </w:trPr>
        <w:tc>
          <w:tcPr>
            <w:tcW w:w="7590" w:type="dxa"/>
            <w:gridSpan w:val="6"/>
            <w:tcBorders>
              <w:top w:val="nil"/>
              <w:left w:val="nil"/>
              <w:bottom w:val="nil"/>
              <w:right w:val="nil"/>
            </w:tcBorders>
            <w:shd w:val="clear" w:color="auto" w:fill="auto"/>
            <w:noWrap/>
            <w:vAlign w:val="center"/>
            <w:hideMark/>
          </w:tcPr>
          <w:p w14:paraId="39F19680" w14:textId="77777777" w:rsidR="003B5F49" w:rsidRPr="006B3C79" w:rsidRDefault="003B5F49" w:rsidP="00834C3D">
            <w:pPr>
              <w:spacing w:before="60" w:after="0" w:line="240" w:lineRule="auto"/>
              <w:jc w:val="left"/>
              <w:rPr>
                <w:rFonts w:ascii="Arial" w:hAnsi="Arial" w:cs="Arial"/>
                <w:color w:val="000000"/>
                <w:sz w:val="16"/>
                <w:szCs w:val="16"/>
              </w:rPr>
            </w:pPr>
            <w:r w:rsidRPr="006B3C79">
              <w:rPr>
                <w:rFonts w:ascii="Arial" w:hAnsi="Arial" w:cs="Arial"/>
                <w:color w:val="000000"/>
                <w:sz w:val="16"/>
                <w:szCs w:val="16"/>
              </w:rPr>
              <w:t>Prepared on Australian Accounting Standards basis.</w:t>
            </w:r>
          </w:p>
        </w:tc>
      </w:tr>
    </w:tbl>
    <w:p w14:paraId="3256002A" w14:textId="77777777" w:rsidR="009155F0" w:rsidRPr="000B1A75" w:rsidRDefault="009155F0">
      <w:pPr>
        <w:spacing w:after="0" w:line="240" w:lineRule="auto"/>
        <w:jc w:val="left"/>
        <w:rPr>
          <w:i/>
        </w:rPr>
      </w:pPr>
      <w:r>
        <w:br w:type="page"/>
      </w:r>
    </w:p>
    <w:p w14:paraId="46B1F6DE" w14:textId="77777777" w:rsidR="00914885" w:rsidRDefault="00914885" w:rsidP="00914885">
      <w:pPr>
        <w:pStyle w:val="TableHeading"/>
        <w:spacing w:before="0"/>
        <w:rPr>
          <w:lang w:val="en-AU"/>
        </w:rPr>
      </w:pPr>
      <w:r>
        <w:rPr>
          <w:snapToGrid w:val="0"/>
        </w:rPr>
        <w:lastRenderedPageBreak/>
        <w:t>Table 3.11</w:t>
      </w:r>
      <w:r w:rsidRPr="00014438">
        <w:rPr>
          <w:snapToGrid w:val="0"/>
        </w:rPr>
        <w:t>: Schedule of administered capital budget</w:t>
      </w:r>
      <w:r>
        <w:rPr>
          <w:snapToGrid w:val="0"/>
          <w:lang w:val="en-AU"/>
        </w:rPr>
        <w:t xml:space="preserve"> (for the period ended 30 June)</w:t>
      </w:r>
    </w:p>
    <w:tbl>
      <w:tblPr>
        <w:tblW w:w="7088" w:type="dxa"/>
        <w:tblLook w:val="04A0" w:firstRow="1" w:lastRow="0" w:firstColumn="1" w:lastColumn="0" w:noHBand="0" w:noVBand="1"/>
      </w:tblPr>
      <w:tblGrid>
        <w:gridCol w:w="2552"/>
        <w:gridCol w:w="850"/>
        <w:gridCol w:w="993"/>
        <w:gridCol w:w="992"/>
        <w:gridCol w:w="850"/>
        <w:gridCol w:w="851"/>
      </w:tblGrid>
      <w:tr w:rsidR="002367A2" w:rsidRPr="00E26332" w14:paraId="456F2753" w14:textId="77777777" w:rsidTr="00147F69">
        <w:trPr>
          <w:trHeight w:val="240"/>
        </w:trPr>
        <w:tc>
          <w:tcPr>
            <w:tcW w:w="2552" w:type="dxa"/>
            <w:tcBorders>
              <w:top w:val="single" w:sz="4" w:space="0" w:color="auto"/>
              <w:left w:val="nil"/>
              <w:bottom w:val="nil"/>
              <w:right w:val="nil"/>
            </w:tcBorders>
            <w:shd w:val="clear" w:color="auto" w:fill="auto"/>
            <w:noWrap/>
            <w:hideMark/>
          </w:tcPr>
          <w:p w14:paraId="7724356A" w14:textId="77777777" w:rsidR="002367A2" w:rsidRPr="00E26332" w:rsidRDefault="002367A2" w:rsidP="002367A2">
            <w:pPr>
              <w:spacing w:after="0" w:line="240" w:lineRule="auto"/>
              <w:jc w:val="left"/>
              <w:rPr>
                <w:rFonts w:ascii="Arial" w:hAnsi="Arial" w:cs="Arial"/>
                <w:color w:val="000000"/>
                <w:sz w:val="16"/>
                <w:szCs w:val="16"/>
              </w:rPr>
            </w:pPr>
            <w:r w:rsidRPr="00E26332">
              <w:rPr>
                <w:rFonts w:ascii="Arial" w:hAnsi="Arial" w:cs="Arial"/>
                <w:color w:val="000000"/>
                <w:sz w:val="16"/>
                <w:szCs w:val="16"/>
              </w:rPr>
              <w:t> </w:t>
            </w:r>
          </w:p>
        </w:tc>
        <w:tc>
          <w:tcPr>
            <w:tcW w:w="850" w:type="dxa"/>
            <w:tcBorders>
              <w:top w:val="single" w:sz="4" w:space="0" w:color="auto"/>
              <w:left w:val="nil"/>
              <w:bottom w:val="single" w:sz="4" w:space="0" w:color="auto"/>
              <w:right w:val="nil"/>
            </w:tcBorders>
            <w:shd w:val="clear" w:color="auto" w:fill="auto"/>
            <w:hideMark/>
          </w:tcPr>
          <w:p w14:paraId="43221420" w14:textId="7FF4163A" w:rsidR="002367A2" w:rsidRPr="00E26332"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2020-21 Actual</w:t>
            </w:r>
            <w:r w:rsidRPr="004349E0">
              <w:rPr>
                <w:rFonts w:ascii="Arial" w:hAnsi="Arial" w:cs="Arial"/>
                <w:sz w:val="16"/>
                <w:szCs w:val="16"/>
              </w:rPr>
              <w:br/>
            </w:r>
            <w:r w:rsidRPr="004349E0">
              <w:rPr>
                <w:rFonts w:ascii="Arial" w:hAnsi="Arial" w:cs="Arial"/>
                <w:sz w:val="16"/>
                <w:szCs w:val="16"/>
              </w:rPr>
              <w:br/>
              <w:t>$'000</w:t>
            </w:r>
          </w:p>
        </w:tc>
        <w:tc>
          <w:tcPr>
            <w:tcW w:w="993" w:type="dxa"/>
            <w:tcBorders>
              <w:top w:val="single" w:sz="4" w:space="0" w:color="auto"/>
              <w:left w:val="nil"/>
              <w:bottom w:val="single" w:sz="4" w:space="0" w:color="auto"/>
              <w:right w:val="nil"/>
            </w:tcBorders>
            <w:shd w:val="clear" w:color="000000" w:fill="E6E6E6"/>
            <w:hideMark/>
          </w:tcPr>
          <w:p w14:paraId="0D6AE9C4" w14:textId="3F80BDD6" w:rsidR="002367A2" w:rsidRPr="00E26332"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2021-22</w:t>
            </w:r>
            <w:r w:rsidRPr="004349E0">
              <w:rPr>
                <w:rFonts w:ascii="Arial" w:hAnsi="Arial" w:cs="Arial"/>
                <w:sz w:val="16"/>
                <w:szCs w:val="16"/>
              </w:rPr>
              <w:br/>
              <w:t>Revised Budget</w:t>
            </w:r>
            <w:r w:rsidRPr="004349E0">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hideMark/>
          </w:tcPr>
          <w:p w14:paraId="5996CB62" w14:textId="0CC0AEA9" w:rsidR="002367A2" w:rsidRPr="00E26332"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2022-23 Forward estimate</w:t>
            </w:r>
            <w:r w:rsidRPr="004349E0">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hideMark/>
          </w:tcPr>
          <w:p w14:paraId="09055DE0" w14:textId="361940B9" w:rsidR="002367A2" w:rsidRPr="00E26332"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2023-24 Forward estimate</w:t>
            </w:r>
            <w:r w:rsidRPr="004349E0">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hideMark/>
          </w:tcPr>
          <w:p w14:paraId="2DEF03BD" w14:textId="5B83729C" w:rsidR="002367A2" w:rsidRPr="00E26332" w:rsidRDefault="002367A2" w:rsidP="002367A2">
            <w:pPr>
              <w:spacing w:after="0" w:line="240" w:lineRule="auto"/>
              <w:jc w:val="right"/>
              <w:rPr>
                <w:rFonts w:ascii="Arial" w:hAnsi="Arial" w:cs="Arial"/>
                <w:color w:val="000000"/>
                <w:sz w:val="16"/>
                <w:szCs w:val="16"/>
              </w:rPr>
            </w:pPr>
            <w:r w:rsidRPr="004349E0">
              <w:rPr>
                <w:rFonts w:ascii="Arial" w:hAnsi="Arial" w:cs="Arial"/>
                <w:sz w:val="16"/>
                <w:szCs w:val="16"/>
              </w:rPr>
              <w:t>2024-25</w:t>
            </w:r>
            <w:r w:rsidRPr="004349E0">
              <w:rPr>
                <w:rFonts w:ascii="Arial" w:hAnsi="Arial" w:cs="Arial"/>
                <w:sz w:val="16"/>
                <w:szCs w:val="16"/>
              </w:rPr>
              <w:br/>
              <w:t>Forward estimate</w:t>
            </w:r>
            <w:r w:rsidRPr="004349E0">
              <w:rPr>
                <w:rFonts w:ascii="Arial" w:hAnsi="Arial" w:cs="Arial"/>
                <w:sz w:val="16"/>
                <w:szCs w:val="16"/>
              </w:rPr>
              <w:br/>
              <w:t>$'000</w:t>
            </w:r>
          </w:p>
        </w:tc>
      </w:tr>
      <w:tr w:rsidR="003B5F49" w:rsidRPr="00E26332" w14:paraId="1CB90E39" w14:textId="77777777" w:rsidTr="00147F69">
        <w:trPr>
          <w:trHeight w:val="204"/>
        </w:trPr>
        <w:tc>
          <w:tcPr>
            <w:tcW w:w="2552" w:type="dxa"/>
            <w:tcBorders>
              <w:top w:val="nil"/>
              <w:left w:val="nil"/>
              <w:bottom w:val="nil"/>
              <w:right w:val="nil"/>
            </w:tcBorders>
            <w:shd w:val="clear" w:color="auto" w:fill="auto"/>
            <w:noWrap/>
            <w:hideMark/>
          </w:tcPr>
          <w:p w14:paraId="52B125C0" w14:textId="77777777" w:rsidR="003B5F49" w:rsidRPr="00E26332" w:rsidRDefault="003B5F49" w:rsidP="003B5F49">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NEW CAPITAL APPROPRIATIONS</w:t>
            </w:r>
          </w:p>
        </w:tc>
        <w:tc>
          <w:tcPr>
            <w:tcW w:w="850" w:type="dxa"/>
            <w:tcBorders>
              <w:top w:val="nil"/>
              <w:left w:val="nil"/>
              <w:bottom w:val="nil"/>
              <w:right w:val="nil"/>
            </w:tcBorders>
            <w:shd w:val="clear" w:color="auto" w:fill="auto"/>
            <w:noWrap/>
            <w:vAlign w:val="bottom"/>
            <w:hideMark/>
          </w:tcPr>
          <w:p w14:paraId="7102238B" w14:textId="77777777" w:rsidR="003B5F49" w:rsidRPr="00E26332" w:rsidRDefault="003B5F49" w:rsidP="00E26332">
            <w:pPr>
              <w:spacing w:after="0" w:line="240" w:lineRule="auto"/>
              <w:jc w:val="right"/>
              <w:rPr>
                <w:rFonts w:ascii="Arial" w:hAnsi="Arial" w:cs="Arial"/>
                <w:b/>
                <w:bCs/>
                <w:color w:val="000000"/>
                <w:sz w:val="16"/>
                <w:szCs w:val="16"/>
              </w:rPr>
            </w:pPr>
          </w:p>
        </w:tc>
        <w:tc>
          <w:tcPr>
            <w:tcW w:w="993" w:type="dxa"/>
            <w:tcBorders>
              <w:top w:val="nil"/>
              <w:left w:val="nil"/>
              <w:bottom w:val="nil"/>
              <w:right w:val="nil"/>
            </w:tcBorders>
            <w:shd w:val="clear" w:color="000000" w:fill="E6E6E6"/>
            <w:noWrap/>
            <w:vAlign w:val="bottom"/>
            <w:hideMark/>
          </w:tcPr>
          <w:p w14:paraId="7A1A81CE" w14:textId="7A41C0D5" w:rsidR="003B5F49" w:rsidRPr="00E26332" w:rsidRDefault="003B5F49" w:rsidP="00E26332">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65F2B4D8" w14:textId="77777777" w:rsidR="003B5F49" w:rsidRPr="00E26332" w:rsidRDefault="003B5F49" w:rsidP="00E26332">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2B10A9CC" w14:textId="77777777" w:rsidR="003B5F49" w:rsidRPr="00E26332" w:rsidRDefault="003B5F49" w:rsidP="00E26332">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394EBD18" w14:textId="77777777" w:rsidR="003B5F49" w:rsidRPr="00E26332" w:rsidRDefault="003B5F49" w:rsidP="00E26332">
            <w:pPr>
              <w:spacing w:after="0" w:line="240" w:lineRule="auto"/>
              <w:jc w:val="right"/>
              <w:rPr>
                <w:rFonts w:ascii="Arial" w:hAnsi="Arial" w:cs="Arial"/>
                <w:sz w:val="16"/>
                <w:szCs w:val="16"/>
              </w:rPr>
            </w:pPr>
          </w:p>
        </w:tc>
      </w:tr>
      <w:tr w:rsidR="00CA45F9" w:rsidRPr="002D7AAB" w14:paraId="46BE8313" w14:textId="77777777" w:rsidTr="00147F69">
        <w:trPr>
          <w:trHeight w:val="204"/>
        </w:trPr>
        <w:tc>
          <w:tcPr>
            <w:tcW w:w="2552" w:type="dxa"/>
            <w:tcBorders>
              <w:top w:val="nil"/>
              <w:left w:val="nil"/>
              <w:bottom w:val="nil"/>
              <w:right w:val="nil"/>
            </w:tcBorders>
            <w:shd w:val="clear" w:color="auto" w:fill="auto"/>
            <w:noWrap/>
            <w:hideMark/>
          </w:tcPr>
          <w:p w14:paraId="026365A5" w14:textId="7B2B556A" w:rsidR="00CA45F9" w:rsidRPr="002D7AAB" w:rsidRDefault="00F06C95" w:rsidP="00F06C95">
            <w:pPr>
              <w:spacing w:after="0" w:line="240" w:lineRule="auto"/>
              <w:ind w:left="113"/>
              <w:jc w:val="left"/>
              <w:rPr>
                <w:rFonts w:ascii="Arial" w:hAnsi="Arial" w:cs="Arial"/>
                <w:color w:val="000000"/>
                <w:sz w:val="16"/>
                <w:szCs w:val="16"/>
              </w:rPr>
            </w:pPr>
            <w:r>
              <w:rPr>
                <w:rFonts w:ascii="Arial" w:hAnsi="Arial" w:cs="Arial"/>
                <w:color w:val="000000"/>
                <w:sz w:val="16"/>
                <w:szCs w:val="16"/>
              </w:rPr>
              <w:t>Capital budget - Act 1 (ACB)</w:t>
            </w:r>
          </w:p>
        </w:tc>
        <w:tc>
          <w:tcPr>
            <w:tcW w:w="850" w:type="dxa"/>
            <w:tcBorders>
              <w:top w:val="nil"/>
              <w:left w:val="nil"/>
              <w:bottom w:val="nil"/>
              <w:right w:val="nil"/>
            </w:tcBorders>
            <w:shd w:val="clear" w:color="auto" w:fill="auto"/>
            <w:noWrap/>
            <w:vAlign w:val="bottom"/>
            <w:hideMark/>
          </w:tcPr>
          <w:p w14:paraId="3A3F229D" w14:textId="478F9A59" w:rsidR="00CA45F9" w:rsidRPr="002D7AAB" w:rsidRDefault="00CA45F9" w:rsidP="00CA45F9">
            <w:pPr>
              <w:spacing w:after="0" w:line="240" w:lineRule="auto"/>
              <w:jc w:val="right"/>
              <w:rPr>
                <w:rFonts w:ascii="Arial" w:hAnsi="Arial" w:cs="Arial"/>
                <w:color w:val="000000"/>
                <w:sz w:val="16"/>
                <w:szCs w:val="16"/>
              </w:rPr>
            </w:pPr>
            <w:r w:rsidRPr="002D7AAB">
              <w:rPr>
                <w:rFonts w:ascii="Arial" w:hAnsi="Arial" w:cs="Arial"/>
                <w:color w:val="000000"/>
                <w:sz w:val="16"/>
                <w:szCs w:val="16"/>
              </w:rPr>
              <w:t>17,184</w:t>
            </w:r>
          </w:p>
        </w:tc>
        <w:tc>
          <w:tcPr>
            <w:tcW w:w="993" w:type="dxa"/>
            <w:tcBorders>
              <w:top w:val="nil"/>
              <w:left w:val="nil"/>
              <w:bottom w:val="nil"/>
              <w:right w:val="nil"/>
            </w:tcBorders>
            <w:shd w:val="clear" w:color="000000" w:fill="E6E6E6"/>
            <w:noWrap/>
            <w:vAlign w:val="bottom"/>
            <w:hideMark/>
          </w:tcPr>
          <w:p w14:paraId="231FB94E" w14:textId="3E550FFD" w:rsidR="00CA45F9" w:rsidRPr="002D7AAB" w:rsidRDefault="00CA45F9" w:rsidP="00CA45F9">
            <w:pPr>
              <w:spacing w:after="0" w:line="240" w:lineRule="auto"/>
              <w:jc w:val="right"/>
              <w:rPr>
                <w:rFonts w:ascii="Arial" w:hAnsi="Arial" w:cs="Arial"/>
                <w:color w:val="000000"/>
                <w:sz w:val="16"/>
                <w:szCs w:val="16"/>
              </w:rPr>
            </w:pPr>
            <w:r w:rsidRPr="002D7AAB">
              <w:rPr>
                <w:rFonts w:ascii="Arial" w:hAnsi="Arial" w:cs="Arial"/>
                <w:color w:val="000000"/>
                <w:sz w:val="16"/>
                <w:szCs w:val="16"/>
              </w:rPr>
              <w:t>13,606</w:t>
            </w:r>
          </w:p>
        </w:tc>
        <w:tc>
          <w:tcPr>
            <w:tcW w:w="992" w:type="dxa"/>
            <w:tcBorders>
              <w:top w:val="nil"/>
              <w:left w:val="nil"/>
              <w:bottom w:val="nil"/>
              <w:right w:val="nil"/>
            </w:tcBorders>
            <w:shd w:val="clear" w:color="auto" w:fill="auto"/>
            <w:noWrap/>
            <w:vAlign w:val="bottom"/>
            <w:hideMark/>
          </w:tcPr>
          <w:p w14:paraId="1314AEC5" w14:textId="713A02E1" w:rsidR="00CA45F9" w:rsidRPr="002D7AAB" w:rsidRDefault="00CA45F9" w:rsidP="00CA45F9">
            <w:pPr>
              <w:spacing w:after="0" w:line="240" w:lineRule="auto"/>
              <w:jc w:val="right"/>
              <w:rPr>
                <w:rFonts w:ascii="Arial" w:hAnsi="Arial" w:cs="Arial"/>
                <w:color w:val="000000"/>
                <w:sz w:val="16"/>
                <w:szCs w:val="16"/>
              </w:rPr>
            </w:pPr>
            <w:r w:rsidRPr="002D7AAB">
              <w:rPr>
                <w:rFonts w:ascii="Arial" w:hAnsi="Arial" w:cs="Arial"/>
                <w:color w:val="000000"/>
                <w:sz w:val="16"/>
                <w:szCs w:val="16"/>
              </w:rPr>
              <w:t>14,261</w:t>
            </w:r>
          </w:p>
        </w:tc>
        <w:tc>
          <w:tcPr>
            <w:tcW w:w="850" w:type="dxa"/>
            <w:tcBorders>
              <w:top w:val="nil"/>
              <w:left w:val="nil"/>
              <w:bottom w:val="nil"/>
              <w:right w:val="nil"/>
            </w:tcBorders>
            <w:shd w:val="clear" w:color="auto" w:fill="auto"/>
            <w:noWrap/>
            <w:vAlign w:val="bottom"/>
            <w:hideMark/>
          </w:tcPr>
          <w:p w14:paraId="1B816F58" w14:textId="598D58C3" w:rsidR="00CA45F9" w:rsidRPr="002D7AAB" w:rsidRDefault="00CA45F9" w:rsidP="00CA45F9">
            <w:pPr>
              <w:spacing w:after="0" w:line="240" w:lineRule="auto"/>
              <w:jc w:val="right"/>
              <w:rPr>
                <w:rFonts w:ascii="Arial" w:hAnsi="Arial" w:cs="Arial"/>
                <w:color w:val="000000"/>
                <w:sz w:val="16"/>
                <w:szCs w:val="16"/>
              </w:rPr>
            </w:pPr>
            <w:r w:rsidRPr="002D7AAB">
              <w:rPr>
                <w:rFonts w:ascii="Arial" w:hAnsi="Arial" w:cs="Arial"/>
                <w:color w:val="000000"/>
                <w:sz w:val="16"/>
                <w:szCs w:val="16"/>
              </w:rPr>
              <w:t>14,331</w:t>
            </w:r>
          </w:p>
        </w:tc>
        <w:tc>
          <w:tcPr>
            <w:tcW w:w="851" w:type="dxa"/>
            <w:tcBorders>
              <w:top w:val="nil"/>
              <w:left w:val="nil"/>
              <w:bottom w:val="nil"/>
              <w:right w:val="nil"/>
            </w:tcBorders>
            <w:shd w:val="clear" w:color="auto" w:fill="auto"/>
            <w:noWrap/>
            <w:vAlign w:val="bottom"/>
            <w:hideMark/>
          </w:tcPr>
          <w:p w14:paraId="4F994A26" w14:textId="1E9327C1" w:rsidR="00CA45F9" w:rsidRPr="002D7AAB" w:rsidRDefault="00CA45F9" w:rsidP="00CA45F9">
            <w:pPr>
              <w:spacing w:after="0" w:line="240" w:lineRule="auto"/>
              <w:jc w:val="right"/>
              <w:rPr>
                <w:rFonts w:ascii="Arial" w:hAnsi="Arial" w:cs="Arial"/>
                <w:color w:val="000000"/>
                <w:sz w:val="16"/>
                <w:szCs w:val="16"/>
              </w:rPr>
            </w:pPr>
            <w:r w:rsidRPr="002D7AAB">
              <w:rPr>
                <w:rFonts w:ascii="Arial" w:hAnsi="Arial" w:cs="Arial"/>
                <w:color w:val="000000"/>
                <w:sz w:val="16"/>
                <w:szCs w:val="16"/>
              </w:rPr>
              <w:t>14,546</w:t>
            </w:r>
          </w:p>
        </w:tc>
      </w:tr>
      <w:tr w:rsidR="00CA45F9" w:rsidRPr="00E26332" w14:paraId="066846F4" w14:textId="77777777" w:rsidTr="00147F69">
        <w:trPr>
          <w:trHeight w:val="204"/>
        </w:trPr>
        <w:tc>
          <w:tcPr>
            <w:tcW w:w="2552" w:type="dxa"/>
            <w:tcBorders>
              <w:top w:val="nil"/>
              <w:left w:val="nil"/>
              <w:bottom w:val="nil"/>
              <w:right w:val="nil"/>
            </w:tcBorders>
            <w:shd w:val="clear" w:color="auto" w:fill="auto"/>
            <w:noWrap/>
            <w:hideMark/>
          </w:tcPr>
          <w:p w14:paraId="15B73FA1" w14:textId="77777777" w:rsidR="00CA45F9" w:rsidRPr="003D5C8F" w:rsidRDefault="00CA45F9" w:rsidP="00CA45F9">
            <w:pPr>
              <w:spacing w:after="0" w:line="240" w:lineRule="auto"/>
              <w:ind w:left="113"/>
              <w:jc w:val="left"/>
              <w:rPr>
                <w:rFonts w:ascii="Arial" w:hAnsi="Arial" w:cs="Arial"/>
                <w:color w:val="000000"/>
                <w:sz w:val="16"/>
                <w:szCs w:val="16"/>
              </w:rPr>
            </w:pPr>
            <w:r w:rsidRPr="003D5C8F">
              <w:rPr>
                <w:rFonts w:ascii="Arial" w:hAnsi="Arial" w:cs="Arial"/>
                <w:color w:val="000000"/>
                <w:sz w:val="16"/>
                <w:szCs w:val="16"/>
              </w:rPr>
              <w:t>Administered assets and liabilities - Act 2</w:t>
            </w:r>
          </w:p>
        </w:tc>
        <w:tc>
          <w:tcPr>
            <w:tcW w:w="850" w:type="dxa"/>
            <w:tcBorders>
              <w:top w:val="nil"/>
              <w:left w:val="nil"/>
              <w:bottom w:val="nil"/>
              <w:right w:val="nil"/>
            </w:tcBorders>
            <w:shd w:val="clear" w:color="auto" w:fill="auto"/>
            <w:noWrap/>
            <w:vAlign w:val="bottom"/>
            <w:hideMark/>
          </w:tcPr>
          <w:p w14:paraId="3210C128" w14:textId="0E68D4B5" w:rsidR="00CA45F9" w:rsidRPr="00245999" w:rsidRDefault="00CA45F9" w:rsidP="00CA45F9">
            <w:pPr>
              <w:spacing w:after="0" w:line="240" w:lineRule="auto"/>
              <w:jc w:val="right"/>
              <w:outlineLvl w:val="0"/>
              <w:rPr>
                <w:rFonts w:ascii="Arial" w:hAnsi="Arial" w:cs="Arial"/>
                <w:color w:val="000000"/>
                <w:sz w:val="16"/>
                <w:szCs w:val="16"/>
              </w:rPr>
            </w:pPr>
            <w:r w:rsidRPr="00245999">
              <w:rPr>
                <w:rFonts w:ascii="Arial" w:hAnsi="Arial" w:cs="Arial"/>
                <w:color w:val="000000"/>
                <w:sz w:val="16"/>
                <w:szCs w:val="16"/>
              </w:rPr>
              <w:t>1,935</w:t>
            </w:r>
          </w:p>
        </w:tc>
        <w:tc>
          <w:tcPr>
            <w:tcW w:w="993" w:type="dxa"/>
            <w:tcBorders>
              <w:top w:val="nil"/>
              <w:left w:val="nil"/>
              <w:bottom w:val="nil"/>
              <w:right w:val="nil"/>
            </w:tcBorders>
            <w:shd w:val="clear" w:color="000000" w:fill="E6E6E6"/>
            <w:noWrap/>
            <w:vAlign w:val="bottom"/>
            <w:hideMark/>
          </w:tcPr>
          <w:p w14:paraId="47CEE1D0" w14:textId="60532B35" w:rsidR="00CA45F9" w:rsidRPr="00245999" w:rsidRDefault="00CA45F9" w:rsidP="00CA45F9">
            <w:pPr>
              <w:spacing w:after="0" w:line="240" w:lineRule="auto"/>
              <w:jc w:val="right"/>
              <w:outlineLvl w:val="0"/>
              <w:rPr>
                <w:rFonts w:ascii="Arial" w:hAnsi="Arial" w:cs="Arial"/>
                <w:color w:val="000000"/>
                <w:sz w:val="16"/>
                <w:szCs w:val="16"/>
              </w:rPr>
            </w:pPr>
            <w:r>
              <w:rPr>
                <w:rFonts w:ascii="Arial" w:hAnsi="Arial" w:cs="Arial"/>
                <w:color w:val="000000"/>
                <w:sz w:val="16"/>
                <w:szCs w:val="16"/>
              </w:rPr>
              <w:t>28,907</w:t>
            </w:r>
          </w:p>
        </w:tc>
        <w:tc>
          <w:tcPr>
            <w:tcW w:w="992" w:type="dxa"/>
            <w:tcBorders>
              <w:top w:val="nil"/>
              <w:left w:val="nil"/>
              <w:bottom w:val="nil"/>
              <w:right w:val="nil"/>
            </w:tcBorders>
            <w:shd w:val="clear" w:color="auto" w:fill="auto"/>
            <w:noWrap/>
            <w:vAlign w:val="bottom"/>
            <w:hideMark/>
          </w:tcPr>
          <w:p w14:paraId="66B9D0F0" w14:textId="4477EFAC" w:rsidR="00CA45F9" w:rsidRPr="00245999" w:rsidRDefault="00CA45F9" w:rsidP="00CA45F9">
            <w:pPr>
              <w:spacing w:after="0" w:line="240" w:lineRule="auto"/>
              <w:jc w:val="right"/>
              <w:outlineLvl w:val="0"/>
              <w:rPr>
                <w:rFonts w:ascii="Arial" w:hAnsi="Arial" w:cs="Arial"/>
                <w:color w:val="000000"/>
                <w:sz w:val="16"/>
                <w:szCs w:val="16"/>
              </w:rPr>
            </w:pPr>
            <w:r w:rsidRPr="00245999">
              <w:rPr>
                <w:rFonts w:ascii="Arial" w:hAnsi="Arial" w:cs="Arial"/>
                <w:color w:val="000000"/>
                <w:sz w:val="16"/>
                <w:szCs w:val="16"/>
              </w:rPr>
              <w:t>50,240</w:t>
            </w:r>
          </w:p>
        </w:tc>
        <w:tc>
          <w:tcPr>
            <w:tcW w:w="850" w:type="dxa"/>
            <w:tcBorders>
              <w:top w:val="nil"/>
              <w:left w:val="nil"/>
              <w:bottom w:val="nil"/>
              <w:right w:val="nil"/>
            </w:tcBorders>
            <w:shd w:val="clear" w:color="auto" w:fill="auto"/>
            <w:noWrap/>
            <w:vAlign w:val="bottom"/>
            <w:hideMark/>
          </w:tcPr>
          <w:p w14:paraId="01916201" w14:textId="483273EC" w:rsidR="00CA45F9" w:rsidRPr="00245999" w:rsidRDefault="00CA45F9" w:rsidP="00CA45F9">
            <w:pPr>
              <w:spacing w:after="0" w:line="240" w:lineRule="auto"/>
              <w:jc w:val="right"/>
              <w:outlineLvl w:val="0"/>
              <w:rPr>
                <w:rFonts w:ascii="Arial" w:hAnsi="Arial" w:cs="Arial"/>
                <w:color w:val="000000"/>
                <w:sz w:val="16"/>
                <w:szCs w:val="16"/>
              </w:rPr>
            </w:pPr>
            <w:r w:rsidRPr="00245999">
              <w:rPr>
                <w:rFonts w:ascii="Arial" w:hAnsi="Arial" w:cs="Arial"/>
                <w:color w:val="000000"/>
                <w:sz w:val="16"/>
                <w:szCs w:val="16"/>
              </w:rPr>
              <w:t>48,090</w:t>
            </w:r>
          </w:p>
        </w:tc>
        <w:tc>
          <w:tcPr>
            <w:tcW w:w="851" w:type="dxa"/>
            <w:tcBorders>
              <w:top w:val="nil"/>
              <w:left w:val="nil"/>
              <w:bottom w:val="nil"/>
              <w:right w:val="nil"/>
            </w:tcBorders>
            <w:shd w:val="clear" w:color="auto" w:fill="auto"/>
            <w:noWrap/>
            <w:vAlign w:val="bottom"/>
            <w:hideMark/>
          </w:tcPr>
          <w:p w14:paraId="41697989" w14:textId="529607CA" w:rsidR="00CA45F9" w:rsidRPr="00245999" w:rsidRDefault="00CA45F9" w:rsidP="00CA45F9">
            <w:pPr>
              <w:spacing w:after="0" w:line="240" w:lineRule="auto"/>
              <w:jc w:val="right"/>
              <w:outlineLvl w:val="0"/>
              <w:rPr>
                <w:rFonts w:ascii="Arial" w:hAnsi="Arial" w:cs="Arial"/>
                <w:color w:val="000000"/>
                <w:sz w:val="16"/>
                <w:szCs w:val="16"/>
              </w:rPr>
            </w:pPr>
            <w:r w:rsidRPr="00245999">
              <w:rPr>
                <w:rFonts w:ascii="Arial" w:hAnsi="Arial" w:cs="Arial"/>
                <w:color w:val="000000"/>
                <w:sz w:val="16"/>
                <w:szCs w:val="16"/>
              </w:rPr>
              <w:t>4,372</w:t>
            </w:r>
          </w:p>
        </w:tc>
      </w:tr>
      <w:tr w:rsidR="00CA45F9" w:rsidRPr="00E26332" w14:paraId="24D416E8" w14:textId="77777777" w:rsidTr="00147F69">
        <w:trPr>
          <w:trHeight w:val="204"/>
        </w:trPr>
        <w:tc>
          <w:tcPr>
            <w:tcW w:w="2552" w:type="dxa"/>
            <w:tcBorders>
              <w:top w:val="nil"/>
              <w:left w:val="nil"/>
              <w:bottom w:val="nil"/>
              <w:right w:val="nil"/>
            </w:tcBorders>
            <w:shd w:val="clear" w:color="auto" w:fill="auto"/>
            <w:noWrap/>
            <w:hideMark/>
          </w:tcPr>
          <w:p w14:paraId="6976B6D6" w14:textId="77777777" w:rsidR="00CA45F9" w:rsidRPr="00E26332" w:rsidRDefault="00CA45F9" w:rsidP="00CA45F9">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Total new capital appropriations</w:t>
            </w:r>
          </w:p>
        </w:tc>
        <w:tc>
          <w:tcPr>
            <w:tcW w:w="850" w:type="dxa"/>
            <w:tcBorders>
              <w:top w:val="single" w:sz="4" w:space="0" w:color="auto"/>
              <w:left w:val="nil"/>
              <w:bottom w:val="single" w:sz="4" w:space="0" w:color="auto"/>
              <w:right w:val="nil"/>
            </w:tcBorders>
            <w:shd w:val="clear" w:color="auto" w:fill="auto"/>
            <w:noWrap/>
            <w:vAlign w:val="bottom"/>
            <w:hideMark/>
          </w:tcPr>
          <w:p w14:paraId="0A51126D" w14:textId="60B5AF2A"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19,119</w:t>
            </w:r>
          </w:p>
        </w:tc>
        <w:tc>
          <w:tcPr>
            <w:tcW w:w="993" w:type="dxa"/>
            <w:tcBorders>
              <w:top w:val="single" w:sz="4" w:space="0" w:color="auto"/>
              <w:left w:val="nil"/>
              <w:bottom w:val="single" w:sz="4" w:space="0" w:color="auto"/>
              <w:right w:val="nil"/>
            </w:tcBorders>
            <w:shd w:val="clear" w:color="000000" w:fill="E6E6E6"/>
            <w:noWrap/>
            <w:vAlign w:val="bottom"/>
            <w:hideMark/>
          </w:tcPr>
          <w:p w14:paraId="633C9B8A" w14:textId="71AD8956" w:rsidR="00CA45F9" w:rsidRPr="00CA45F9" w:rsidRDefault="00CA45F9" w:rsidP="00CA45F9">
            <w:pPr>
              <w:spacing w:after="0" w:line="240" w:lineRule="auto"/>
              <w:jc w:val="right"/>
              <w:rPr>
                <w:rFonts w:ascii="Arial" w:hAnsi="Arial" w:cs="Arial"/>
                <w:b/>
                <w:color w:val="000000"/>
                <w:sz w:val="16"/>
                <w:szCs w:val="16"/>
              </w:rPr>
            </w:pPr>
            <w:r w:rsidRPr="00CA45F9">
              <w:rPr>
                <w:rFonts w:ascii="Arial" w:hAnsi="Arial" w:cs="Arial"/>
                <w:b/>
                <w:color w:val="000000"/>
                <w:sz w:val="16"/>
                <w:szCs w:val="16"/>
              </w:rPr>
              <w:t>42,513</w:t>
            </w:r>
          </w:p>
        </w:tc>
        <w:tc>
          <w:tcPr>
            <w:tcW w:w="992" w:type="dxa"/>
            <w:tcBorders>
              <w:top w:val="single" w:sz="4" w:space="0" w:color="auto"/>
              <w:left w:val="nil"/>
              <w:bottom w:val="single" w:sz="4" w:space="0" w:color="auto"/>
              <w:right w:val="nil"/>
            </w:tcBorders>
            <w:shd w:val="clear" w:color="auto" w:fill="auto"/>
            <w:noWrap/>
            <w:vAlign w:val="bottom"/>
            <w:hideMark/>
          </w:tcPr>
          <w:p w14:paraId="2727E2F6" w14:textId="6ED19569"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64,501</w:t>
            </w:r>
          </w:p>
        </w:tc>
        <w:tc>
          <w:tcPr>
            <w:tcW w:w="850" w:type="dxa"/>
            <w:tcBorders>
              <w:top w:val="single" w:sz="4" w:space="0" w:color="auto"/>
              <w:left w:val="nil"/>
              <w:bottom w:val="single" w:sz="4" w:space="0" w:color="auto"/>
              <w:right w:val="nil"/>
            </w:tcBorders>
            <w:shd w:val="clear" w:color="auto" w:fill="auto"/>
            <w:noWrap/>
            <w:vAlign w:val="bottom"/>
            <w:hideMark/>
          </w:tcPr>
          <w:p w14:paraId="403ACB70" w14:textId="795DC418"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62,421</w:t>
            </w:r>
          </w:p>
        </w:tc>
        <w:tc>
          <w:tcPr>
            <w:tcW w:w="851" w:type="dxa"/>
            <w:tcBorders>
              <w:top w:val="single" w:sz="4" w:space="0" w:color="auto"/>
              <w:left w:val="nil"/>
              <w:bottom w:val="single" w:sz="4" w:space="0" w:color="auto"/>
              <w:right w:val="nil"/>
            </w:tcBorders>
            <w:shd w:val="clear" w:color="auto" w:fill="auto"/>
            <w:noWrap/>
            <w:vAlign w:val="bottom"/>
            <w:hideMark/>
          </w:tcPr>
          <w:p w14:paraId="2A9B59E3" w14:textId="1D38BCBD"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18,918</w:t>
            </w:r>
          </w:p>
        </w:tc>
      </w:tr>
      <w:tr w:rsidR="003B5F49" w:rsidRPr="00E26332" w14:paraId="708671E3" w14:textId="77777777" w:rsidTr="00147F69">
        <w:trPr>
          <w:trHeight w:val="204"/>
        </w:trPr>
        <w:tc>
          <w:tcPr>
            <w:tcW w:w="2552" w:type="dxa"/>
            <w:tcBorders>
              <w:top w:val="nil"/>
              <w:left w:val="nil"/>
              <w:bottom w:val="nil"/>
              <w:right w:val="nil"/>
            </w:tcBorders>
            <w:shd w:val="clear" w:color="auto" w:fill="auto"/>
            <w:noWrap/>
            <w:hideMark/>
          </w:tcPr>
          <w:p w14:paraId="777F9A05" w14:textId="77777777" w:rsidR="003B5F49" w:rsidRPr="00E26332" w:rsidRDefault="003B5F49" w:rsidP="00397680">
            <w:pPr>
              <w:spacing w:after="0" w:line="240" w:lineRule="auto"/>
              <w:ind w:left="113"/>
              <w:jc w:val="left"/>
              <w:rPr>
                <w:rFonts w:ascii="Arial" w:hAnsi="Arial" w:cs="Arial"/>
                <w:b/>
                <w:bCs/>
                <w:iCs/>
                <w:color w:val="000000"/>
                <w:sz w:val="16"/>
                <w:szCs w:val="16"/>
              </w:rPr>
            </w:pPr>
            <w:r w:rsidRPr="00E26332">
              <w:rPr>
                <w:rFonts w:ascii="Arial" w:hAnsi="Arial" w:cs="Arial"/>
                <w:b/>
                <w:bCs/>
                <w:iCs/>
                <w:color w:val="000000"/>
                <w:sz w:val="16"/>
                <w:szCs w:val="16"/>
              </w:rPr>
              <w:t>Provided for:</w:t>
            </w:r>
          </w:p>
        </w:tc>
        <w:tc>
          <w:tcPr>
            <w:tcW w:w="850" w:type="dxa"/>
            <w:tcBorders>
              <w:top w:val="nil"/>
              <w:left w:val="nil"/>
              <w:bottom w:val="nil"/>
              <w:right w:val="nil"/>
            </w:tcBorders>
            <w:shd w:val="clear" w:color="auto" w:fill="auto"/>
            <w:noWrap/>
            <w:vAlign w:val="bottom"/>
            <w:hideMark/>
          </w:tcPr>
          <w:p w14:paraId="7544A68D" w14:textId="77777777" w:rsidR="003B5F49" w:rsidRPr="00245999" w:rsidRDefault="003B5F49" w:rsidP="00E26332">
            <w:pPr>
              <w:spacing w:after="0" w:line="240" w:lineRule="auto"/>
              <w:ind w:firstLineChars="100" w:firstLine="160"/>
              <w:jc w:val="right"/>
              <w:rPr>
                <w:rFonts w:ascii="Arial" w:hAnsi="Arial" w:cs="Arial"/>
                <w:b/>
                <w:bCs/>
                <w:i/>
                <w:iCs/>
                <w:color w:val="000000"/>
                <w:sz w:val="16"/>
                <w:szCs w:val="16"/>
              </w:rPr>
            </w:pPr>
          </w:p>
        </w:tc>
        <w:tc>
          <w:tcPr>
            <w:tcW w:w="993" w:type="dxa"/>
            <w:tcBorders>
              <w:top w:val="nil"/>
              <w:left w:val="nil"/>
              <w:bottom w:val="nil"/>
              <w:right w:val="nil"/>
            </w:tcBorders>
            <w:shd w:val="clear" w:color="000000" w:fill="E6E6E6"/>
            <w:noWrap/>
            <w:vAlign w:val="bottom"/>
            <w:hideMark/>
          </w:tcPr>
          <w:p w14:paraId="65B66F6C" w14:textId="24AD676B" w:rsidR="003B5F49" w:rsidRPr="00245999" w:rsidRDefault="003B5F49" w:rsidP="00E26332">
            <w:pPr>
              <w:spacing w:after="0" w:line="240" w:lineRule="auto"/>
              <w:jc w:val="right"/>
              <w:rPr>
                <w:rFonts w:ascii="Arial" w:hAnsi="Arial" w:cs="Arial"/>
                <w:i/>
                <w:iCs/>
                <w:color w:val="000000"/>
                <w:sz w:val="16"/>
                <w:szCs w:val="16"/>
              </w:rPr>
            </w:pPr>
          </w:p>
        </w:tc>
        <w:tc>
          <w:tcPr>
            <w:tcW w:w="992" w:type="dxa"/>
            <w:tcBorders>
              <w:top w:val="nil"/>
              <w:left w:val="nil"/>
              <w:bottom w:val="nil"/>
              <w:right w:val="nil"/>
            </w:tcBorders>
            <w:shd w:val="clear" w:color="auto" w:fill="auto"/>
            <w:noWrap/>
            <w:vAlign w:val="bottom"/>
            <w:hideMark/>
          </w:tcPr>
          <w:p w14:paraId="22DD7A59" w14:textId="77777777" w:rsidR="003B5F49" w:rsidRPr="00245999" w:rsidRDefault="003B5F49" w:rsidP="00E26332">
            <w:pPr>
              <w:spacing w:after="0" w:line="240" w:lineRule="auto"/>
              <w:jc w:val="right"/>
              <w:rPr>
                <w:rFonts w:ascii="Arial" w:hAnsi="Arial" w:cs="Arial"/>
                <w:i/>
                <w:iCs/>
                <w:color w:val="000000"/>
                <w:sz w:val="16"/>
                <w:szCs w:val="16"/>
              </w:rPr>
            </w:pPr>
          </w:p>
        </w:tc>
        <w:tc>
          <w:tcPr>
            <w:tcW w:w="850" w:type="dxa"/>
            <w:tcBorders>
              <w:top w:val="nil"/>
              <w:left w:val="nil"/>
              <w:bottom w:val="nil"/>
              <w:right w:val="nil"/>
            </w:tcBorders>
            <w:shd w:val="clear" w:color="auto" w:fill="auto"/>
            <w:noWrap/>
            <w:vAlign w:val="bottom"/>
            <w:hideMark/>
          </w:tcPr>
          <w:p w14:paraId="25AB6254" w14:textId="77777777" w:rsidR="003B5F49" w:rsidRPr="00245999" w:rsidRDefault="003B5F49" w:rsidP="00E26332">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3AE7FA9F" w14:textId="77777777" w:rsidR="003B5F49" w:rsidRPr="00245999" w:rsidRDefault="003B5F49" w:rsidP="00E26332">
            <w:pPr>
              <w:spacing w:after="0" w:line="240" w:lineRule="auto"/>
              <w:jc w:val="right"/>
              <w:rPr>
                <w:rFonts w:ascii="Arial" w:hAnsi="Arial" w:cs="Arial"/>
                <w:sz w:val="16"/>
                <w:szCs w:val="16"/>
              </w:rPr>
            </w:pPr>
          </w:p>
        </w:tc>
      </w:tr>
      <w:tr w:rsidR="00CA45F9" w:rsidRPr="00E26332" w14:paraId="342E8842" w14:textId="77777777" w:rsidTr="00147F69">
        <w:trPr>
          <w:trHeight w:val="204"/>
        </w:trPr>
        <w:tc>
          <w:tcPr>
            <w:tcW w:w="2552" w:type="dxa"/>
            <w:tcBorders>
              <w:top w:val="nil"/>
              <w:left w:val="nil"/>
              <w:bottom w:val="nil"/>
              <w:right w:val="nil"/>
            </w:tcBorders>
            <w:shd w:val="clear" w:color="auto" w:fill="auto"/>
            <w:noWrap/>
            <w:hideMark/>
          </w:tcPr>
          <w:p w14:paraId="70CC0048" w14:textId="77777777" w:rsidR="00CA45F9" w:rsidRPr="00E26332" w:rsidRDefault="00CA45F9" w:rsidP="003D5C8F">
            <w:pPr>
              <w:spacing w:after="0" w:line="240" w:lineRule="auto"/>
              <w:ind w:left="227"/>
              <w:jc w:val="left"/>
              <w:rPr>
                <w:rFonts w:ascii="Arial" w:hAnsi="Arial" w:cs="Arial"/>
                <w:i/>
                <w:iCs/>
                <w:color w:val="000000"/>
                <w:sz w:val="16"/>
                <w:szCs w:val="16"/>
              </w:rPr>
            </w:pPr>
            <w:r w:rsidRPr="00E26332">
              <w:rPr>
                <w:rFonts w:ascii="Arial" w:hAnsi="Arial" w:cs="Arial"/>
                <w:color w:val="000000"/>
                <w:sz w:val="16"/>
                <w:szCs w:val="16"/>
              </w:rPr>
              <w:t>Purchase of non-financial assets</w:t>
            </w:r>
          </w:p>
        </w:tc>
        <w:tc>
          <w:tcPr>
            <w:tcW w:w="850" w:type="dxa"/>
            <w:tcBorders>
              <w:top w:val="nil"/>
              <w:left w:val="nil"/>
              <w:bottom w:val="nil"/>
              <w:right w:val="nil"/>
            </w:tcBorders>
            <w:shd w:val="clear" w:color="auto" w:fill="auto"/>
            <w:noWrap/>
            <w:vAlign w:val="bottom"/>
            <w:hideMark/>
          </w:tcPr>
          <w:p w14:paraId="5D33BCDF" w14:textId="2B6535A9" w:rsidR="00CA45F9" w:rsidRPr="002D08C3" w:rsidRDefault="00CA45F9" w:rsidP="00CA45F9">
            <w:pPr>
              <w:spacing w:after="0" w:line="240" w:lineRule="auto"/>
              <w:jc w:val="right"/>
              <w:rPr>
                <w:rFonts w:ascii="Arial" w:hAnsi="Arial" w:cs="Arial"/>
                <w:iCs/>
                <w:color w:val="000000"/>
                <w:sz w:val="16"/>
                <w:szCs w:val="16"/>
              </w:rPr>
            </w:pPr>
            <w:r w:rsidRPr="002D08C3">
              <w:rPr>
                <w:rFonts w:ascii="Arial" w:hAnsi="Arial" w:cs="Arial"/>
                <w:iCs/>
                <w:color w:val="000000"/>
                <w:sz w:val="16"/>
                <w:szCs w:val="16"/>
              </w:rPr>
              <w:t>19,119</w:t>
            </w:r>
          </w:p>
        </w:tc>
        <w:tc>
          <w:tcPr>
            <w:tcW w:w="993" w:type="dxa"/>
            <w:tcBorders>
              <w:top w:val="nil"/>
              <w:left w:val="nil"/>
              <w:bottom w:val="nil"/>
              <w:right w:val="nil"/>
            </w:tcBorders>
            <w:shd w:val="clear" w:color="000000" w:fill="E6E6E6"/>
            <w:noWrap/>
            <w:vAlign w:val="bottom"/>
            <w:hideMark/>
          </w:tcPr>
          <w:p w14:paraId="24E19473" w14:textId="297A9677" w:rsidR="00CA45F9" w:rsidRPr="002D08C3" w:rsidRDefault="00CA45F9" w:rsidP="00CA45F9">
            <w:pPr>
              <w:spacing w:after="0" w:line="240" w:lineRule="auto"/>
              <w:jc w:val="right"/>
              <w:rPr>
                <w:rFonts w:ascii="Arial" w:hAnsi="Arial" w:cs="Arial"/>
                <w:iCs/>
                <w:color w:val="000000"/>
                <w:sz w:val="16"/>
                <w:szCs w:val="16"/>
              </w:rPr>
            </w:pPr>
            <w:r>
              <w:rPr>
                <w:rFonts w:ascii="Arial" w:hAnsi="Arial" w:cs="Arial"/>
                <w:i/>
                <w:iCs/>
                <w:color w:val="000000"/>
                <w:sz w:val="16"/>
                <w:szCs w:val="16"/>
              </w:rPr>
              <w:t>42,513</w:t>
            </w:r>
          </w:p>
        </w:tc>
        <w:tc>
          <w:tcPr>
            <w:tcW w:w="992" w:type="dxa"/>
            <w:tcBorders>
              <w:top w:val="nil"/>
              <w:left w:val="nil"/>
              <w:bottom w:val="nil"/>
              <w:right w:val="nil"/>
            </w:tcBorders>
            <w:shd w:val="clear" w:color="auto" w:fill="auto"/>
            <w:noWrap/>
            <w:vAlign w:val="bottom"/>
            <w:hideMark/>
          </w:tcPr>
          <w:p w14:paraId="7D08C6A8" w14:textId="753D27DE" w:rsidR="00CA45F9" w:rsidRPr="002D08C3" w:rsidRDefault="00CA45F9" w:rsidP="00CA45F9">
            <w:pPr>
              <w:spacing w:after="0" w:line="240" w:lineRule="auto"/>
              <w:jc w:val="right"/>
              <w:rPr>
                <w:rFonts w:ascii="Arial" w:hAnsi="Arial" w:cs="Arial"/>
                <w:iCs/>
                <w:color w:val="000000"/>
                <w:sz w:val="16"/>
                <w:szCs w:val="16"/>
              </w:rPr>
            </w:pPr>
            <w:r w:rsidRPr="002D08C3">
              <w:rPr>
                <w:rFonts w:ascii="Arial" w:hAnsi="Arial" w:cs="Arial"/>
                <w:iCs/>
                <w:color w:val="000000"/>
                <w:sz w:val="16"/>
                <w:szCs w:val="16"/>
              </w:rPr>
              <w:t>64,501</w:t>
            </w:r>
          </w:p>
        </w:tc>
        <w:tc>
          <w:tcPr>
            <w:tcW w:w="850" w:type="dxa"/>
            <w:tcBorders>
              <w:top w:val="nil"/>
              <w:left w:val="nil"/>
              <w:bottom w:val="nil"/>
              <w:right w:val="nil"/>
            </w:tcBorders>
            <w:shd w:val="clear" w:color="auto" w:fill="auto"/>
            <w:noWrap/>
            <w:vAlign w:val="bottom"/>
            <w:hideMark/>
          </w:tcPr>
          <w:p w14:paraId="54BA14CA" w14:textId="462F5F11" w:rsidR="00CA45F9" w:rsidRPr="002D08C3" w:rsidRDefault="00CA45F9" w:rsidP="00CA45F9">
            <w:pPr>
              <w:spacing w:after="0" w:line="240" w:lineRule="auto"/>
              <w:jc w:val="right"/>
              <w:rPr>
                <w:rFonts w:ascii="Arial" w:hAnsi="Arial" w:cs="Arial"/>
                <w:iCs/>
                <w:color w:val="000000"/>
                <w:sz w:val="16"/>
                <w:szCs w:val="16"/>
              </w:rPr>
            </w:pPr>
            <w:r w:rsidRPr="002D08C3">
              <w:rPr>
                <w:rFonts w:ascii="Arial" w:hAnsi="Arial" w:cs="Arial"/>
                <w:iCs/>
                <w:color w:val="000000"/>
                <w:sz w:val="16"/>
                <w:szCs w:val="16"/>
              </w:rPr>
              <w:t>62,421</w:t>
            </w:r>
          </w:p>
        </w:tc>
        <w:tc>
          <w:tcPr>
            <w:tcW w:w="851" w:type="dxa"/>
            <w:tcBorders>
              <w:top w:val="nil"/>
              <w:left w:val="nil"/>
              <w:bottom w:val="nil"/>
              <w:right w:val="nil"/>
            </w:tcBorders>
            <w:shd w:val="clear" w:color="auto" w:fill="auto"/>
            <w:noWrap/>
            <w:vAlign w:val="bottom"/>
            <w:hideMark/>
          </w:tcPr>
          <w:p w14:paraId="01BC69AB" w14:textId="225EECEA" w:rsidR="00CA45F9" w:rsidRPr="002D08C3" w:rsidRDefault="00CA45F9" w:rsidP="00CA45F9">
            <w:pPr>
              <w:spacing w:after="0" w:line="240" w:lineRule="auto"/>
              <w:jc w:val="right"/>
              <w:rPr>
                <w:rFonts w:ascii="Arial" w:hAnsi="Arial" w:cs="Arial"/>
                <w:iCs/>
                <w:color w:val="000000"/>
                <w:sz w:val="16"/>
                <w:szCs w:val="16"/>
              </w:rPr>
            </w:pPr>
            <w:r w:rsidRPr="002D08C3">
              <w:rPr>
                <w:rFonts w:ascii="Arial" w:hAnsi="Arial" w:cs="Arial"/>
                <w:iCs/>
                <w:color w:val="000000"/>
                <w:sz w:val="16"/>
                <w:szCs w:val="16"/>
              </w:rPr>
              <w:t>18,918</w:t>
            </w:r>
          </w:p>
        </w:tc>
      </w:tr>
      <w:tr w:rsidR="00CA45F9" w:rsidRPr="00E26332" w14:paraId="67868988" w14:textId="77777777" w:rsidTr="00147F69">
        <w:trPr>
          <w:trHeight w:val="204"/>
        </w:trPr>
        <w:tc>
          <w:tcPr>
            <w:tcW w:w="2552" w:type="dxa"/>
            <w:tcBorders>
              <w:top w:val="nil"/>
              <w:left w:val="nil"/>
              <w:bottom w:val="nil"/>
              <w:right w:val="nil"/>
            </w:tcBorders>
            <w:shd w:val="clear" w:color="auto" w:fill="auto"/>
            <w:noWrap/>
            <w:hideMark/>
          </w:tcPr>
          <w:p w14:paraId="782E1C39" w14:textId="77777777" w:rsidR="00CA45F9" w:rsidRPr="003D5C8F" w:rsidRDefault="00CA45F9" w:rsidP="003D5C8F">
            <w:pPr>
              <w:spacing w:after="0" w:line="240" w:lineRule="auto"/>
              <w:ind w:left="113"/>
              <w:jc w:val="left"/>
              <w:rPr>
                <w:rFonts w:ascii="Arial" w:hAnsi="Arial" w:cs="Arial"/>
                <w:b/>
                <w:bCs/>
                <w:iCs/>
                <w:color w:val="000000"/>
                <w:sz w:val="16"/>
                <w:szCs w:val="16"/>
              </w:rPr>
            </w:pPr>
            <w:r w:rsidRPr="003D5C8F">
              <w:rPr>
                <w:rFonts w:ascii="Arial" w:hAnsi="Arial" w:cs="Arial"/>
                <w:b/>
                <w:bCs/>
                <w:iCs/>
                <w:color w:val="000000"/>
                <w:sz w:val="16"/>
                <w:szCs w:val="16"/>
              </w:rPr>
              <w:t>Total items</w:t>
            </w:r>
          </w:p>
        </w:tc>
        <w:tc>
          <w:tcPr>
            <w:tcW w:w="850" w:type="dxa"/>
            <w:tcBorders>
              <w:top w:val="single" w:sz="4" w:space="0" w:color="auto"/>
              <w:left w:val="nil"/>
              <w:bottom w:val="single" w:sz="4" w:space="0" w:color="auto"/>
              <w:right w:val="nil"/>
            </w:tcBorders>
            <w:shd w:val="clear" w:color="auto" w:fill="auto"/>
            <w:noWrap/>
            <w:vAlign w:val="bottom"/>
            <w:hideMark/>
          </w:tcPr>
          <w:p w14:paraId="1BFDBC28" w14:textId="2EB38967" w:rsidR="00CA45F9" w:rsidRPr="003D5C8F" w:rsidRDefault="00CA45F9" w:rsidP="00CA45F9">
            <w:pPr>
              <w:spacing w:after="0" w:line="240" w:lineRule="auto"/>
              <w:jc w:val="right"/>
              <w:rPr>
                <w:rFonts w:ascii="Arial" w:hAnsi="Arial" w:cs="Arial"/>
                <w:b/>
                <w:bCs/>
                <w:iCs/>
                <w:color w:val="000000"/>
                <w:sz w:val="16"/>
                <w:szCs w:val="16"/>
              </w:rPr>
            </w:pPr>
            <w:r w:rsidRPr="003D5C8F">
              <w:rPr>
                <w:rFonts w:ascii="Arial" w:hAnsi="Arial" w:cs="Arial"/>
                <w:b/>
                <w:bCs/>
                <w:iCs/>
                <w:color w:val="000000"/>
                <w:sz w:val="16"/>
                <w:szCs w:val="16"/>
              </w:rPr>
              <w:t>19,119</w:t>
            </w:r>
          </w:p>
        </w:tc>
        <w:tc>
          <w:tcPr>
            <w:tcW w:w="993" w:type="dxa"/>
            <w:tcBorders>
              <w:top w:val="single" w:sz="4" w:space="0" w:color="auto"/>
              <w:left w:val="nil"/>
              <w:bottom w:val="single" w:sz="4" w:space="0" w:color="auto"/>
              <w:right w:val="nil"/>
            </w:tcBorders>
            <w:shd w:val="clear" w:color="000000" w:fill="E6E6E6"/>
            <w:noWrap/>
            <w:vAlign w:val="bottom"/>
            <w:hideMark/>
          </w:tcPr>
          <w:p w14:paraId="70281156" w14:textId="5EEB0E33" w:rsidR="00CA45F9" w:rsidRPr="003D5C8F" w:rsidRDefault="00CA45F9" w:rsidP="00CA45F9">
            <w:pPr>
              <w:spacing w:after="0" w:line="240" w:lineRule="auto"/>
              <w:jc w:val="right"/>
              <w:rPr>
                <w:rFonts w:ascii="Arial" w:hAnsi="Arial" w:cs="Arial"/>
                <w:b/>
                <w:iCs/>
                <w:color w:val="000000"/>
                <w:sz w:val="16"/>
                <w:szCs w:val="16"/>
              </w:rPr>
            </w:pPr>
            <w:r w:rsidRPr="003D5C8F">
              <w:rPr>
                <w:rFonts w:ascii="Arial" w:hAnsi="Arial" w:cs="Arial"/>
                <w:b/>
                <w:iCs/>
                <w:color w:val="000000"/>
                <w:sz w:val="16"/>
                <w:szCs w:val="16"/>
              </w:rPr>
              <w:t>42,513</w:t>
            </w:r>
          </w:p>
        </w:tc>
        <w:tc>
          <w:tcPr>
            <w:tcW w:w="992" w:type="dxa"/>
            <w:tcBorders>
              <w:top w:val="single" w:sz="4" w:space="0" w:color="auto"/>
              <w:left w:val="nil"/>
              <w:bottom w:val="single" w:sz="4" w:space="0" w:color="auto"/>
              <w:right w:val="nil"/>
            </w:tcBorders>
            <w:shd w:val="clear" w:color="auto" w:fill="auto"/>
            <w:noWrap/>
            <w:vAlign w:val="bottom"/>
            <w:hideMark/>
          </w:tcPr>
          <w:p w14:paraId="4C2E0308" w14:textId="11DF333A" w:rsidR="00CA45F9" w:rsidRPr="003D5C8F" w:rsidRDefault="00CA45F9" w:rsidP="00CA45F9">
            <w:pPr>
              <w:spacing w:after="0" w:line="240" w:lineRule="auto"/>
              <w:jc w:val="right"/>
              <w:rPr>
                <w:rFonts w:ascii="Arial" w:hAnsi="Arial" w:cs="Arial"/>
                <w:b/>
                <w:bCs/>
                <w:iCs/>
                <w:color w:val="000000"/>
                <w:sz w:val="16"/>
                <w:szCs w:val="16"/>
              </w:rPr>
            </w:pPr>
            <w:r w:rsidRPr="003D5C8F">
              <w:rPr>
                <w:rFonts w:ascii="Arial" w:hAnsi="Arial" w:cs="Arial"/>
                <w:b/>
                <w:bCs/>
                <w:iCs/>
                <w:color w:val="000000"/>
                <w:sz w:val="16"/>
                <w:szCs w:val="16"/>
              </w:rPr>
              <w:t>64,501</w:t>
            </w:r>
          </w:p>
        </w:tc>
        <w:tc>
          <w:tcPr>
            <w:tcW w:w="850" w:type="dxa"/>
            <w:tcBorders>
              <w:top w:val="single" w:sz="4" w:space="0" w:color="auto"/>
              <w:left w:val="nil"/>
              <w:bottom w:val="single" w:sz="4" w:space="0" w:color="auto"/>
              <w:right w:val="nil"/>
            </w:tcBorders>
            <w:shd w:val="clear" w:color="auto" w:fill="auto"/>
            <w:noWrap/>
            <w:vAlign w:val="bottom"/>
            <w:hideMark/>
          </w:tcPr>
          <w:p w14:paraId="1C372E3D" w14:textId="3ABCE627" w:rsidR="00CA45F9" w:rsidRPr="003D5C8F" w:rsidRDefault="00CA45F9" w:rsidP="00CA45F9">
            <w:pPr>
              <w:spacing w:after="0" w:line="240" w:lineRule="auto"/>
              <w:jc w:val="right"/>
              <w:rPr>
                <w:rFonts w:ascii="Arial" w:hAnsi="Arial" w:cs="Arial"/>
                <w:b/>
                <w:bCs/>
                <w:iCs/>
                <w:color w:val="000000"/>
                <w:sz w:val="16"/>
                <w:szCs w:val="16"/>
              </w:rPr>
            </w:pPr>
            <w:r w:rsidRPr="003D5C8F">
              <w:rPr>
                <w:rFonts w:ascii="Arial" w:hAnsi="Arial" w:cs="Arial"/>
                <w:b/>
                <w:bCs/>
                <w:iCs/>
                <w:color w:val="000000"/>
                <w:sz w:val="16"/>
                <w:szCs w:val="16"/>
              </w:rPr>
              <w:t>62,421</w:t>
            </w:r>
          </w:p>
        </w:tc>
        <w:tc>
          <w:tcPr>
            <w:tcW w:w="851" w:type="dxa"/>
            <w:tcBorders>
              <w:top w:val="single" w:sz="4" w:space="0" w:color="auto"/>
              <w:left w:val="nil"/>
              <w:bottom w:val="single" w:sz="4" w:space="0" w:color="auto"/>
              <w:right w:val="nil"/>
            </w:tcBorders>
            <w:shd w:val="clear" w:color="auto" w:fill="auto"/>
            <w:noWrap/>
            <w:vAlign w:val="bottom"/>
            <w:hideMark/>
          </w:tcPr>
          <w:p w14:paraId="0BF595F5" w14:textId="7BD634D7" w:rsidR="00CA45F9" w:rsidRPr="003D5C8F" w:rsidRDefault="00CA45F9" w:rsidP="00CA45F9">
            <w:pPr>
              <w:spacing w:after="0" w:line="240" w:lineRule="auto"/>
              <w:jc w:val="right"/>
              <w:rPr>
                <w:rFonts w:ascii="Arial" w:hAnsi="Arial" w:cs="Arial"/>
                <w:b/>
                <w:bCs/>
                <w:iCs/>
                <w:color w:val="000000"/>
                <w:sz w:val="16"/>
                <w:szCs w:val="16"/>
              </w:rPr>
            </w:pPr>
            <w:r w:rsidRPr="003D5C8F">
              <w:rPr>
                <w:rFonts w:ascii="Arial" w:hAnsi="Arial" w:cs="Arial"/>
                <w:b/>
                <w:bCs/>
                <w:iCs/>
                <w:color w:val="000000"/>
                <w:sz w:val="16"/>
                <w:szCs w:val="16"/>
              </w:rPr>
              <w:t>18,918</w:t>
            </w:r>
          </w:p>
        </w:tc>
      </w:tr>
      <w:tr w:rsidR="003B5F49" w:rsidRPr="00E26332" w14:paraId="2DED037F" w14:textId="77777777" w:rsidTr="00147F69">
        <w:trPr>
          <w:trHeight w:val="204"/>
        </w:trPr>
        <w:tc>
          <w:tcPr>
            <w:tcW w:w="2552" w:type="dxa"/>
            <w:tcBorders>
              <w:top w:val="nil"/>
              <w:left w:val="nil"/>
              <w:bottom w:val="nil"/>
              <w:right w:val="nil"/>
            </w:tcBorders>
            <w:shd w:val="clear" w:color="auto" w:fill="auto"/>
            <w:noWrap/>
            <w:hideMark/>
          </w:tcPr>
          <w:p w14:paraId="2F5702B8" w14:textId="77777777" w:rsidR="003B5F49" w:rsidRPr="00E26332" w:rsidRDefault="003B5F49" w:rsidP="003B5F49">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PURCHASE OF NON-FINANCIAL ASSETS</w:t>
            </w:r>
          </w:p>
        </w:tc>
        <w:tc>
          <w:tcPr>
            <w:tcW w:w="850" w:type="dxa"/>
            <w:tcBorders>
              <w:top w:val="nil"/>
              <w:left w:val="nil"/>
              <w:bottom w:val="nil"/>
              <w:right w:val="nil"/>
            </w:tcBorders>
            <w:shd w:val="clear" w:color="auto" w:fill="auto"/>
            <w:noWrap/>
            <w:vAlign w:val="bottom"/>
            <w:hideMark/>
          </w:tcPr>
          <w:p w14:paraId="38101E4B" w14:textId="77777777" w:rsidR="003B5F49" w:rsidRPr="00245999" w:rsidRDefault="003B5F49" w:rsidP="00E26332">
            <w:pPr>
              <w:spacing w:after="0" w:line="240" w:lineRule="auto"/>
              <w:jc w:val="right"/>
              <w:rPr>
                <w:rFonts w:ascii="Arial" w:hAnsi="Arial" w:cs="Arial"/>
                <w:b/>
                <w:bCs/>
                <w:color w:val="000000"/>
                <w:sz w:val="16"/>
                <w:szCs w:val="16"/>
              </w:rPr>
            </w:pPr>
          </w:p>
        </w:tc>
        <w:tc>
          <w:tcPr>
            <w:tcW w:w="993" w:type="dxa"/>
            <w:tcBorders>
              <w:top w:val="nil"/>
              <w:left w:val="nil"/>
              <w:bottom w:val="nil"/>
              <w:right w:val="nil"/>
            </w:tcBorders>
            <w:shd w:val="clear" w:color="000000" w:fill="E6E6E6"/>
            <w:noWrap/>
            <w:vAlign w:val="bottom"/>
            <w:hideMark/>
          </w:tcPr>
          <w:p w14:paraId="5D66E7BB" w14:textId="63B611AB" w:rsidR="003B5F49" w:rsidRPr="00245999" w:rsidRDefault="003B5F49" w:rsidP="00E26332">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4FD4CB85" w14:textId="77777777" w:rsidR="003B5F49" w:rsidRPr="00245999" w:rsidRDefault="003B5F49" w:rsidP="00E26332">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31909E4F" w14:textId="77777777" w:rsidR="003B5F49" w:rsidRPr="00245999" w:rsidRDefault="003B5F49" w:rsidP="00E26332">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1416133F" w14:textId="77777777" w:rsidR="003B5F49" w:rsidRPr="00245999" w:rsidRDefault="003B5F49" w:rsidP="00E26332">
            <w:pPr>
              <w:spacing w:after="0" w:line="240" w:lineRule="auto"/>
              <w:jc w:val="right"/>
              <w:rPr>
                <w:rFonts w:ascii="Arial" w:hAnsi="Arial" w:cs="Arial"/>
                <w:sz w:val="16"/>
                <w:szCs w:val="16"/>
              </w:rPr>
            </w:pPr>
          </w:p>
        </w:tc>
      </w:tr>
      <w:tr w:rsidR="00F06C95" w:rsidRPr="00E26332" w14:paraId="6EA9DAA7" w14:textId="77777777" w:rsidTr="00147F69">
        <w:trPr>
          <w:trHeight w:val="204"/>
        </w:trPr>
        <w:tc>
          <w:tcPr>
            <w:tcW w:w="2552" w:type="dxa"/>
            <w:tcBorders>
              <w:top w:val="nil"/>
              <w:left w:val="nil"/>
              <w:bottom w:val="nil"/>
              <w:right w:val="nil"/>
            </w:tcBorders>
            <w:shd w:val="clear" w:color="auto" w:fill="auto"/>
            <w:noWrap/>
          </w:tcPr>
          <w:p w14:paraId="05DBB4E4" w14:textId="4FCABA46" w:rsidR="00F06C95" w:rsidRPr="00E26332" w:rsidRDefault="00F06C95" w:rsidP="00F06C95">
            <w:pPr>
              <w:spacing w:after="0" w:line="240" w:lineRule="auto"/>
              <w:ind w:left="113"/>
              <w:jc w:val="left"/>
              <w:rPr>
                <w:rFonts w:ascii="Arial" w:hAnsi="Arial" w:cs="Arial"/>
                <w:b/>
                <w:bCs/>
                <w:color w:val="000000"/>
                <w:sz w:val="16"/>
                <w:szCs w:val="16"/>
              </w:rPr>
            </w:pPr>
            <w:r w:rsidRPr="00E26332">
              <w:rPr>
                <w:rFonts w:ascii="Arial" w:hAnsi="Arial" w:cs="Arial"/>
                <w:color w:val="000000"/>
                <w:sz w:val="16"/>
                <w:szCs w:val="16"/>
              </w:rPr>
              <w:t>Funded by capital appropriation</w:t>
            </w:r>
            <w:r>
              <w:rPr>
                <w:rFonts w:ascii="Arial" w:hAnsi="Arial" w:cs="Arial"/>
                <w:color w:val="000000"/>
                <w:sz w:val="16"/>
                <w:szCs w:val="16"/>
              </w:rPr>
              <w:t>s</w:t>
            </w:r>
            <w:r w:rsidR="004958CA">
              <w:rPr>
                <w:rFonts w:ascii="Arial" w:hAnsi="Arial" w:cs="Arial"/>
                <w:color w:val="000000"/>
                <w:sz w:val="16"/>
                <w:szCs w:val="16"/>
              </w:rPr>
              <w:t xml:space="preserve"> </w:t>
            </w:r>
            <w:r w:rsidR="004958CA" w:rsidRPr="00E26332">
              <w:rPr>
                <w:rFonts w:ascii="Arial" w:hAnsi="Arial" w:cs="Arial"/>
                <w:color w:val="000000"/>
                <w:sz w:val="16"/>
                <w:szCs w:val="16"/>
              </w:rPr>
              <w:t xml:space="preserve">- ACB </w:t>
            </w:r>
            <w:r w:rsidR="004958CA">
              <w:rPr>
                <w:rFonts w:ascii="Arial" w:hAnsi="Arial" w:cs="Arial"/>
                <w:color w:val="000000"/>
                <w:sz w:val="16"/>
                <w:szCs w:val="16"/>
                <w:vertAlign w:val="superscript"/>
              </w:rPr>
              <w:t>(a</w:t>
            </w:r>
            <w:r w:rsidR="004958CA" w:rsidRPr="00E26332">
              <w:rPr>
                <w:rFonts w:ascii="Arial" w:hAnsi="Arial" w:cs="Arial"/>
                <w:color w:val="000000"/>
                <w:sz w:val="16"/>
                <w:szCs w:val="16"/>
                <w:vertAlign w:val="superscript"/>
              </w:rPr>
              <w:t>)</w:t>
            </w:r>
          </w:p>
        </w:tc>
        <w:tc>
          <w:tcPr>
            <w:tcW w:w="850" w:type="dxa"/>
            <w:tcBorders>
              <w:top w:val="nil"/>
              <w:left w:val="nil"/>
              <w:bottom w:val="nil"/>
              <w:right w:val="nil"/>
            </w:tcBorders>
            <w:shd w:val="clear" w:color="auto" w:fill="auto"/>
            <w:noWrap/>
            <w:vAlign w:val="bottom"/>
          </w:tcPr>
          <w:p w14:paraId="58B74D65" w14:textId="4520146A" w:rsidR="00F06C95" w:rsidRPr="00245999" w:rsidRDefault="00F06C95" w:rsidP="00F06C95">
            <w:pPr>
              <w:spacing w:after="0" w:line="240" w:lineRule="auto"/>
              <w:jc w:val="right"/>
              <w:rPr>
                <w:rFonts w:ascii="Arial" w:hAnsi="Arial" w:cs="Arial"/>
                <w:b/>
                <w:bCs/>
                <w:color w:val="000000"/>
                <w:sz w:val="16"/>
                <w:szCs w:val="16"/>
              </w:rPr>
            </w:pPr>
            <w:r w:rsidRPr="002D7AAB">
              <w:rPr>
                <w:rFonts w:ascii="Arial" w:hAnsi="Arial" w:cs="Arial"/>
                <w:color w:val="000000"/>
                <w:sz w:val="16"/>
                <w:szCs w:val="16"/>
              </w:rPr>
              <w:t>17,184</w:t>
            </w:r>
          </w:p>
        </w:tc>
        <w:tc>
          <w:tcPr>
            <w:tcW w:w="993" w:type="dxa"/>
            <w:tcBorders>
              <w:top w:val="nil"/>
              <w:left w:val="nil"/>
              <w:bottom w:val="nil"/>
              <w:right w:val="nil"/>
            </w:tcBorders>
            <w:shd w:val="clear" w:color="000000" w:fill="E6E6E6"/>
            <w:noWrap/>
            <w:vAlign w:val="bottom"/>
          </w:tcPr>
          <w:p w14:paraId="0B20FFDD" w14:textId="7ABC048A" w:rsidR="00F06C95" w:rsidRPr="00245999" w:rsidRDefault="00F06C95" w:rsidP="00F06C95">
            <w:pPr>
              <w:spacing w:after="0" w:line="240" w:lineRule="auto"/>
              <w:jc w:val="right"/>
              <w:rPr>
                <w:rFonts w:ascii="Arial" w:hAnsi="Arial" w:cs="Arial"/>
                <w:color w:val="000000"/>
                <w:sz w:val="16"/>
                <w:szCs w:val="16"/>
              </w:rPr>
            </w:pPr>
            <w:r w:rsidRPr="002D7AAB">
              <w:rPr>
                <w:rFonts w:ascii="Arial" w:hAnsi="Arial" w:cs="Arial"/>
                <w:color w:val="000000"/>
                <w:sz w:val="16"/>
                <w:szCs w:val="16"/>
              </w:rPr>
              <w:t>13,606</w:t>
            </w:r>
          </w:p>
        </w:tc>
        <w:tc>
          <w:tcPr>
            <w:tcW w:w="992" w:type="dxa"/>
            <w:tcBorders>
              <w:top w:val="nil"/>
              <w:left w:val="nil"/>
              <w:bottom w:val="nil"/>
              <w:right w:val="nil"/>
            </w:tcBorders>
            <w:shd w:val="clear" w:color="auto" w:fill="auto"/>
            <w:noWrap/>
            <w:vAlign w:val="bottom"/>
          </w:tcPr>
          <w:p w14:paraId="0C048639" w14:textId="1A0720C4" w:rsidR="00F06C95" w:rsidRPr="00245999" w:rsidRDefault="00F06C95" w:rsidP="00F06C95">
            <w:pPr>
              <w:spacing w:after="0" w:line="240" w:lineRule="auto"/>
              <w:jc w:val="right"/>
              <w:rPr>
                <w:rFonts w:ascii="Arial" w:hAnsi="Arial" w:cs="Arial"/>
                <w:color w:val="000000"/>
                <w:sz w:val="16"/>
                <w:szCs w:val="16"/>
              </w:rPr>
            </w:pPr>
            <w:r w:rsidRPr="002D7AAB">
              <w:rPr>
                <w:rFonts w:ascii="Arial" w:hAnsi="Arial" w:cs="Arial"/>
                <w:color w:val="000000"/>
                <w:sz w:val="16"/>
                <w:szCs w:val="16"/>
              </w:rPr>
              <w:t>14,261</w:t>
            </w:r>
          </w:p>
        </w:tc>
        <w:tc>
          <w:tcPr>
            <w:tcW w:w="850" w:type="dxa"/>
            <w:tcBorders>
              <w:top w:val="nil"/>
              <w:left w:val="nil"/>
              <w:bottom w:val="nil"/>
              <w:right w:val="nil"/>
            </w:tcBorders>
            <w:shd w:val="clear" w:color="auto" w:fill="auto"/>
            <w:noWrap/>
            <w:vAlign w:val="bottom"/>
          </w:tcPr>
          <w:p w14:paraId="249DF061" w14:textId="1E80B1C8" w:rsidR="00F06C95" w:rsidRPr="00245999" w:rsidRDefault="00F06C95" w:rsidP="00F06C95">
            <w:pPr>
              <w:spacing w:after="0" w:line="240" w:lineRule="auto"/>
              <w:jc w:val="right"/>
              <w:rPr>
                <w:rFonts w:ascii="Arial" w:hAnsi="Arial" w:cs="Arial"/>
                <w:sz w:val="16"/>
                <w:szCs w:val="16"/>
              </w:rPr>
            </w:pPr>
            <w:r w:rsidRPr="002D7AAB">
              <w:rPr>
                <w:rFonts w:ascii="Arial" w:hAnsi="Arial" w:cs="Arial"/>
                <w:color w:val="000000"/>
                <w:sz w:val="16"/>
                <w:szCs w:val="16"/>
              </w:rPr>
              <w:t>14,331</w:t>
            </w:r>
          </w:p>
        </w:tc>
        <w:tc>
          <w:tcPr>
            <w:tcW w:w="851" w:type="dxa"/>
            <w:tcBorders>
              <w:top w:val="nil"/>
              <w:left w:val="nil"/>
              <w:bottom w:val="nil"/>
              <w:right w:val="nil"/>
            </w:tcBorders>
            <w:shd w:val="clear" w:color="auto" w:fill="auto"/>
            <w:noWrap/>
            <w:vAlign w:val="bottom"/>
          </w:tcPr>
          <w:p w14:paraId="5A1B9181" w14:textId="4A31106F" w:rsidR="00F06C95" w:rsidRPr="00245999" w:rsidRDefault="00F06C95" w:rsidP="00F06C95">
            <w:pPr>
              <w:spacing w:after="0" w:line="240" w:lineRule="auto"/>
              <w:jc w:val="right"/>
              <w:rPr>
                <w:rFonts w:ascii="Arial" w:hAnsi="Arial" w:cs="Arial"/>
                <w:sz w:val="16"/>
                <w:szCs w:val="16"/>
              </w:rPr>
            </w:pPr>
            <w:r w:rsidRPr="002D7AAB">
              <w:rPr>
                <w:rFonts w:ascii="Arial" w:hAnsi="Arial" w:cs="Arial"/>
                <w:color w:val="000000"/>
                <w:sz w:val="16"/>
                <w:szCs w:val="16"/>
              </w:rPr>
              <w:t>14,546</w:t>
            </w:r>
          </w:p>
        </w:tc>
      </w:tr>
      <w:tr w:rsidR="00F06C95" w:rsidRPr="00E26332" w14:paraId="12423251" w14:textId="77777777" w:rsidTr="00147F69">
        <w:trPr>
          <w:trHeight w:val="204"/>
        </w:trPr>
        <w:tc>
          <w:tcPr>
            <w:tcW w:w="2552" w:type="dxa"/>
            <w:tcBorders>
              <w:top w:val="nil"/>
              <w:left w:val="nil"/>
              <w:bottom w:val="nil"/>
              <w:right w:val="nil"/>
            </w:tcBorders>
            <w:shd w:val="clear" w:color="auto" w:fill="auto"/>
            <w:noWrap/>
            <w:hideMark/>
          </w:tcPr>
          <w:p w14:paraId="78ABEE08" w14:textId="481E9991" w:rsidR="00F06C95" w:rsidRPr="00E26332" w:rsidRDefault="00F06C95" w:rsidP="004958CA">
            <w:pPr>
              <w:spacing w:after="0" w:line="240" w:lineRule="auto"/>
              <w:ind w:left="113"/>
              <w:jc w:val="left"/>
              <w:rPr>
                <w:rFonts w:ascii="Arial" w:hAnsi="Arial" w:cs="Arial"/>
                <w:color w:val="000000"/>
                <w:sz w:val="16"/>
                <w:szCs w:val="16"/>
              </w:rPr>
            </w:pPr>
            <w:r w:rsidRPr="00E26332">
              <w:rPr>
                <w:rFonts w:ascii="Arial" w:hAnsi="Arial" w:cs="Arial"/>
                <w:color w:val="000000"/>
                <w:sz w:val="16"/>
                <w:szCs w:val="16"/>
              </w:rPr>
              <w:t xml:space="preserve">Funded by capital appropriation </w:t>
            </w:r>
          </w:p>
        </w:tc>
        <w:tc>
          <w:tcPr>
            <w:tcW w:w="850" w:type="dxa"/>
            <w:tcBorders>
              <w:top w:val="nil"/>
              <w:left w:val="nil"/>
              <w:bottom w:val="nil"/>
              <w:right w:val="nil"/>
            </w:tcBorders>
            <w:shd w:val="clear" w:color="auto" w:fill="auto"/>
            <w:noWrap/>
            <w:vAlign w:val="bottom"/>
            <w:hideMark/>
          </w:tcPr>
          <w:p w14:paraId="76D7B35F" w14:textId="401EE691" w:rsidR="00F06C95" w:rsidRPr="00245999" w:rsidRDefault="00F06C95" w:rsidP="00F06C95">
            <w:pPr>
              <w:spacing w:after="0" w:line="240" w:lineRule="auto"/>
              <w:jc w:val="right"/>
              <w:rPr>
                <w:rFonts w:ascii="Arial" w:hAnsi="Arial" w:cs="Arial"/>
                <w:color w:val="000000"/>
                <w:sz w:val="16"/>
                <w:szCs w:val="16"/>
              </w:rPr>
            </w:pPr>
            <w:r w:rsidRPr="00245999">
              <w:rPr>
                <w:rFonts w:ascii="Arial" w:hAnsi="Arial" w:cs="Arial"/>
                <w:color w:val="000000"/>
                <w:sz w:val="16"/>
                <w:szCs w:val="16"/>
              </w:rPr>
              <w:t>1,935</w:t>
            </w:r>
          </w:p>
        </w:tc>
        <w:tc>
          <w:tcPr>
            <w:tcW w:w="993" w:type="dxa"/>
            <w:tcBorders>
              <w:top w:val="nil"/>
              <w:left w:val="nil"/>
              <w:bottom w:val="nil"/>
              <w:right w:val="nil"/>
            </w:tcBorders>
            <w:shd w:val="clear" w:color="000000" w:fill="E6E6E6"/>
            <w:noWrap/>
            <w:vAlign w:val="bottom"/>
            <w:hideMark/>
          </w:tcPr>
          <w:p w14:paraId="4C093720" w14:textId="59320536" w:rsidR="00F06C95" w:rsidRPr="00245999" w:rsidRDefault="00F06C95" w:rsidP="00F06C95">
            <w:pPr>
              <w:spacing w:after="0" w:line="240" w:lineRule="auto"/>
              <w:jc w:val="right"/>
              <w:rPr>
                <w:rFonts w:ascii="Arial" w:hAnsi="Arial" w:cs="Arial"/>
                <w:color w:val="000000"/>
                <w:sz w:val="16"/>
                <w:szCs w:val="16"/>
              </w:rPr>
            </w:pPr>
            <w:r>
              <w:rPr>
                <w:rFonts w:ascii="Arial" w:hAnsi="Arial" w:cs="Arial"/>
                <w:color w:val="000000"/>
                <w:sz w:val="16"/>
                <w:szCs w:val="16"/>
              </w:rPr>
              <w:t>28,907</w:t>
            </w:r>
          </w:p>
        </w:tc>
        <w:tc>
          <w:tcPr>
            <w:tcW w:w="992" w:type="dxa"/>
            <w:tcBorders>
              <w:top w:val="nil"/>
              <w:left w:val="nil"/>
              <w:bottom w:val="nil"/>
              <w:right w:val="nil"/>
            </w:tcBorders>
            <w:shd w:val="clear" w:color="auto" w:fill="auto"/>
            <w:noWrap/>
            <w:vAlign w:val="bottom"/>
            <w:hideMark/>
          </w:tcPr>
          <w:p w14:paraId="1894AAF5" w14:textId="41EC2C58" w:rsidR="00F06C95" w:rsidRPr="00245999" w:rsidRDefault="00F06C95" w:rsidP="00F06C95">
            <w:pPr>
              <w:spacing w:after="0" w:line="240" w:lineRule="auto"/>
              <w:jc w:val="right"/>
              <w:rPr>
                <w:rFonts w:ascii="Arial" w:hAnsi="Arial" w:cs="Arial"/>
                <w:color w:val="000000"/>
                <w:sz w:val="16"/>
                <w:szCs w:val="16"/>
              </w:rPr>
            </w:pPr>
            <w:r w:rsidRPr="00245999">
              <w:rPr>
                <w:rFonts w:ascii="Arial" w:hAnsi="Arial" w:cs="Arial"/>
                <w:color w:val="000000"/>
                <w:sz w:val="16"/>
                <w:szCs w:val="16"/>
              </w:rPr>
              <w:t>50,240</w:t>
            </w:r>
          </w:p>
        </w:tc>
        <w:tc>
          <w:tcPr>
            <w:tcW w:w="850" w:type="dxa"/>
            <w:tcBorders>
              <w:top w:val="nil"/>
              <w:left w:val="nil"/>
              <w:bottom w:val="nil"/>
              <w:right w:val="nil"/>
            </w:tcBorders>
            <w:shd w:val="clear" w:color="auto" w:fill="auto"/>
            <w:noWrap/>
            <w:vAlign w:val="bottom"/>
            <w:hideMark/>
          </w:tcPr>
          <w:p w14:paraId="1A6F34CD" w14:textId="4357AE14" w:rsidR="00F06C95" w:rsidRPr="00245999" w:rsidRDefault="00F06C95" w:rsidP="00F06C95">
            <w:pPr>
              <w:spacing w:after="0" w:line="240" w:lineRule="auto"/>
              <w:jc w:val="right"/>
              <w:rPr>
                <w:rFonts w:ascii="Arial" w:hAnsi="Arial" w:cs="Arial"/>
                <w:color w:val="000000"/>
                <w:sz w:val="16"/>
                <w:szCs w:val="16"/>
              </w:rPr>
            </w:pPr>
            <w:r w:rsidRPr="00245999">
              <w:rPr>
                <w:rFonts w:ascii="Arial" w:hAnsi="Arial" w:cs="Arial"/>
                <w:color w:val="000000"/>
                <w:sz w:val="16"/>
                <w:szCs w:val="16"/>
              </w:rPr>
              <w:t>48,090</w:t>
            </w:r>
          </w:p>
        </w:tc>
        <w:tc>
          <w:tcPr>
            <w:tcW w:w="851" w:type="dxa"/>
            <w:tcBorders>
              <w:top w:val="nil"/>
              <w:left w:val="nil"/>
              <w:bottom w:val="nil"/>
              <w:right w:val="nil"/>
            </w:tcBorders>
            <w:shd w:val="clear" w:color="auto" w:fill="auto"/>
            <w:noWrap/>
            <w:vAlign w:val="bottom"/>
            <w:hideMark/>
          </w:tcPr>
          <w:p w14:paraId="37494E00" w14:textId="382B06E9" w:rsidR="00F06C95" w:rsidRPr="00245999" w:rsidRDefault="00F06C95" w:rsidP="00F06C95">
            <w:pPr>
              <w:spacing w:after="0" w:line="240" w:lineRule="auto"/>
              <w:jc w:val="right"/>
              <w:rPr>
                <w:rFonts w:ascii="Arial" w:hAnsi="Arial" w:cs="Arial"/>
                <w:color w:val="000000"/>
                <w:sz w:val="16"/>
                <w:szCs w:val="16"/>
              </w:rPr>
            </w:pPr>
            <w:r w:rsidRPr="00245999">
              <w:rPr>
                <w:rFonts w:ascii="Arial" w:hAnsi="Arial" w:cs="Arial"/>
                <w:color w:val="000000"/>
                <w:sz w:val="16"/>
                <w:szCs w:val="16"/>
              </w:rPr>
              <w:t>4,372</w:t>
            </w:r>
          </w:p>
        </w:tc>
      </w:tr>
      <w:tr w:rsidR="00CA45F9" w:rsidRPr="00E26332" w14:paraId="4DA6BD81" w14:textId="77777777" w:rsidTr="00147F69">
        <w:trPr>
          <w:trHeight w:val="204"/>
        </w:trPr>
        <w:tc>
          <w:tcPr>
            <w:tcW w:w="2552" w:type="dxa"/>
            <w:tcBorders>
              <w:top w:val="nil"/>
              <w:left w:val="nil"/>
              <w:bottom w:val="nil"/>
              <w:right w:val="nil"/>
            </w:tcBorders>
            <w:shd w:val="clear" w:color="auto" w:fill="auto"/>
            <w:noWrap/>
            <w:hideMark/>
          </w:tcPr>
          <w:p w14:paraId="1090F883" w14:textId="77777777" w:rsidR="00CA45F9" w:rsidRPr="00E26332" w:rsidRDefault="00CA45F9" w:rsidP="00CA45F9">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Total</w:t>
            </w:r>
          </w:p>
        </w:tc>
        <w:tc>
          <w:tcPr>
            <w:tcW w:w="850" w:type="dxa"/>
            <w:tcBorders>
              <w:top w:val="single" w:sz="4" w:space="0" w:color="auto"/>
              <w:left w:val="nil"/>
              <w:bottom w:val="single" w:sz="4" w:space="0" w:color="auto"/>
              <w:right w:val="nil"/>
            </w:tcBorders>
            <w:shd w:val="clear" w:color="auto" w:fill="auto"/>
            <w:noWrap/>
            <w:vAlign w:val="bottom"/>
            <w:hideMark/>
          </w:tcPr>
          <w:p w14:paraId="249A7E14" w14:textId="0B8AA8F0"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19,119</w:t>
            </w:r>
          </w:p>
        </w:tc>
        <w:tc>
          <w:tcPr>
            <w:tcW w:w="993" w:type="dxa"/>
            <w:tcBorders>
              <w:top w:val="single" w:sz="4" w:space="0" w:color="auto"/>
              <w:left w:val="nil"/>
              <w:bottom w:val="single" w:sz="4" w:space="0" w:color="auto"/>
              <w:right w:val="nil"/>
            </w:tcBorders>
            <w:shd w:val="clear" w:color="000000" w:fill="E6E6E6"/>
            <w:noWrap/>
            <w:vAlign w:val="bottom"/>
            <w:hideMark/>
          </w:tcPr>
          <w:p w14:paraId="55E3797D" w14:textId="7DDCCF0D" w:rsidR="00CA45F9" w:rsidRPr="00CA45F9" w:rsidRDefault="00CA45F9" w:rsidP="00CA45F9">
            <w:pPr>
              <w:spacing w:after="0" w:line="240" w:lineRule="auto"/>
              <w:jc w:val="right"/>
              <w:rPr>
                <w:rFonts w:ascii="Arial" w:hAnsi="Arial" w:cs="Arial"/>
                <w:b/>
                <w:color w:val="000000"/>
                <w:sz w:val="16"/>
                <w:szCs w:val="16"/>
              </w:rPr>
            </w:pPr>
            <w:r w:rsidRPr="00CA45F9">
              <w:rPr>
                <w:rFonts w:ascii="Arial" w:hAnsi="Arial" w:cs="Arial"/>
                <w:b/>
                <w:color w:val="000000"/>
                <w:sz w:val="16"/>
                <w:szCs w:val="16"/>
              </w:rPr>
              <w:t>42,513</w:t>
            </w:r>
          </w:p>
        </w:tc>
        <w:tc>
          <w:tcPr>
            <w:tcW w:w="992" w:type="dxa"/>
            <w:tcBorders>
              <w:top w:val="single" w:sz="4" w:space="0" w:color="auto"/>
              <w:left w:val="nil"/>
              <w:bottom w:val="single" w:sz="4" w:space="0" w:color="auto"/>
              <w:right w:val="nil"/>
            </w:tcBorders>
            <w:shd w:val="clear" w:color="auto" w:fill="auto"/>
            <w:noWrap/>
            <w:vAlign w:val="bottom"/>
            <w:hideMark/>
          </w:tcPr>
          <w:p w14:paraId="12B8A168" w14:textId="7B746FBC"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64,501</w:t>
            </w:r>
          </w:p>
        </w:tc>
        <w:tc>
          <w:tcPr>
            <w:tcW w:w="850" w:type="dxa"/>
            <w:tcBorders>
              <w:top w:val="single" w:sz="4" w:space="0" w:color="auto"/>
              <w:left w:val="nil"/>
              <w:bottom w:val="single" w:sz="4" w:space="0" w:color="auto"/>
              <w:right w:val="nil"/>
            </w:tcBorders>
            <w:shd w:val="clear" w:color="auto" w:fill="auto"/>
            <w:noWrap/>
            <w:vAlign w:val="bottom"/>
            <w:hideMark/>
          </w:tcPr>
          <w:p w14:paraId="5014C2F6" w14:textId="3CEF898A"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62,421</w:t>
            </w:r>
          </w:p>
        </w:tc>
        <w:tc>
          <w:tcPr>
            <w:tcW w:w="851" w:type="dxa"/>
            <w:tcBorders>
              <w:top w:val="single" w:sz="4" w:space="0" w:color="auto"/>
              <w:left w:val="nil"/>
              <w:bottom w:val="single" w:sz="4" w:space="0" w:color="auto"/>
              <w:right w:val="nil"/>
            </w:tcBorders>
            <w:shd w:val="clear" w:color="auto" w:fill="auto"/>
            <w:noWrap/>
            <w:vAlign w:val="bottom"/>
            <w:hideMark/>
          </w:tcPr>
          <w:p w14:paraId="47882957" w14:textId="4C7C51EB"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18,918</w:t>
            </w:r>
          </w:p>
        </w:tc>
      </w:tr>
      <w:tr w:rsidR="003B5F49" w:rsidRPr="00E26332" w14:paraId="5C892DFC" w14:textId="77777777" w:rsidTr="00147F69">
        <w:trPr>
          <w:trHeight w:val="204"/>
        </w:trPr>
        <w:tc>
          <w:tcPr>
            <w:tcW w:w="2552" w:type="dxa"/>
            <w:tcBorders>
              <w:top w:val="nil"/>
              <w:left w:val="nil"/>
              <w:bottom w:val="nil"/>
              <w:right w:val="nil"/>
            </w:tcBorders>
            <w:shd w:val="clear" w:color="auto" w:fill="auto"/>
            <w:hideMark/>
          </w:tcPr>
          <w:p w14:paraId="10C0E1F8" w14:textId="77777777" w:rsidR="003B5F49" w:rsidRPr="00E26332" w:rsidRDefault="003B5F49" w:rsidP="003B5F49">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RECONCILIATION OF CASH USED TO ACQUIRE ASSETS TO ASSET MOVEMENT TABLE</w:t>
            </w:r>
          </w:p>
        </w:tc>
        <w:tc>
          <w:tcPr>
            <w:tcW w:w="850" w:type="dxa"/>
            <w:tcBorders>
              <w:top w:val="nil"/>
              <w:left w:val="nil"/>
              <w:bottom w:val="nil"/>
              <w:right w:val="nil"/>
            </w:tcBorders>
            <w:shd w:val="clear" w:color="auto" w:fill="auto"/>
            <w:noWrap/>
            <w:vAlign w:val="bottom"/>
            <w:hideMark/>
          </w:tcPr>
          <w:p w14:paraId="52A9B458" w14:textId="77777777" w:rsidR="003B5F49" w:rsidRPr="00245999" w:rsidRDefault="003B5F49" w:rsidP="00E26332">
            <w:pPr>
              <w:spacing w:after="0" w:line="240" w:lineRule="auto"/>
              <w:jc w:val="right"/>
              <w:rPr>
                <w:rFonts w:ascii="Arial" w:hAnsi="Arial" w:cs="Arial"/>
                <w:b/>
                <w:bCs/>
                <w:color w:val="000000"/>
                <w:sz w:val="16"/>
                <w:szCs w:val="16"/>
              </w:rPr>
            </w:pPr>
          </w:p>
        </w:tc>
        <w:tc>
          <w:tcPr>
            <w:tcW w:w="993" w:type="dxa"/>
            <w:tcBorders>
              <w:top w:val="nil"/>
              <w:left w:val="nil"/>
              <w:bottom w:val="nil"/>
              <w:right w:val="nil"/>
            </w:tcBorders>
            <w:shd w:val="clear" w:color="000000" w:fill="E6E6E6"/>
            <w:noWrap/>
            <w:vAlign w:val="bottom"/>
            <w:hideMark/>
          </w:tcPr>
          <w:p w14:paraId="53787839" w14:textId="585F7598" w:rsidR="003B5F49" w:rsidRPr="00245999" w:rsidRDefault="003B5F49" w:rsidP="00E26332">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14:paraId="4FA8FDE5" w14:textId="77777777" w:rsidR="003B5F49" w:rsidRPr="00245999" w:rsidRDefault="003B5F49" w:rsidP="00E26332">
            <w:pPr>
              <w:spacing w:after="0" w:line="240" w:lineRule="auto"/>
              <w:jc w:val="right"/>
              <w:rPr>
                <w:rFonts w:ascii="Arial" w:hAnsi="Arial" w:cs="Arial"/>
                <w:color w:val="000000"/>
                <w:sz w:val="16"/>
                <w:szCs w:val="16"/>
              </w:rPr>
            </w:pPr>
          </w:p>
        </w:tc>
        <w:tc>
          <w:tcPr>
            <w:tcW w:w="850" w:type="dxa"/>
            <w:tcBorders>
              <w:top w:val="nil"/>
              <w:left w:val="nil"/>
              <w:bottom w:val="nil"/>
              <w:right w:val="nil"/>
            </w:tcBorders>
            <w:shd w:val="clear" w:color="auto" w:fill="auto"/>
            <w:noWrap/>
            <w:vAlign w:val="bottom"/>
            <w:hideMark/>
          </w:tcPr>
          <w:p w14:paraId="21211635" w14:textId="77777777" w:rsidR="003B5F49" w:rsidRPr="00245999" w:rsidRDefault="003B5F49" w:rsidP="00E26332">
            <w:pPr>
              <w:spacing w:after="0" w:line="240" w:lineRule="auto"/>
              <w:jc w:val="right"/>
              <w:rPr>
                <w:rFonts w:ascii="Arial" w:hAnsi="Arial" w:cs="Arial"/>
                <w:sz w:val="16"/>
                <w:szCs w:val="16"/>
              </w:rPr>
            </w:pPr>
          </w:p>
        </w:tc>
        <w:tc>
          <w:tcPr>
            <w:tcW w:w="851" w:type="dxa"/>
            <w:tcBorders>
              <w:top w:val="nil"/>
              <w:left w:val="nil"/>
              <w:bottom w:val="nil"/>
              <w:right w:val="nil"/>
            </w:tcBorders>
            <w:shd w:val="clear" w:color="auto" w:fill="auto"/>
            <w:noWrap/>
            <w:vAlign w:val="bottom"/>
            <w:hideMark/>
          </w:tcPr>
          <w:p w14:paraId="0D5DA4D5" w14:textId="77777777" w:rsidR="003B5F49" w:rsidRPr="00245999" w:rsidRDefault="003B5F49" w:rsidP="00E26332">
            <w:pPr>
              <w:spacing w:after="0" w:line="240" w:lineRule="auto"/>
              <w:jc w:val="right"/>
              <w:rPr>
                <w:rFonts w:ascii="Arial" w:hAnsi="Arial" w:cs="Arial"/>
                <w:sz w:val="16"/>
                <w:szCs w:val="16"/>
              </w:rPr>
            </w:pPr>
          </w:p>
        </w:tc>
      </w:tr>
      <w:tr w:rsidR="00CA45F9" w:rsidRPr="00E26332" w14:paraId="58A09B96" w14:textId="77777777" w:rsidTr="00147F69">
        <w:trPr>
          <w:trHeight w:val="204"/>
        </w:trPr>
        <w:tc>
          <w:tcPr>
            <w:tcW w:w="2552" w:type="dxa"/>
            <w:tcBorders>
              <w:top w:val="nil"/>
              <w:left w:val="nil"/>
              <w:bottom w:val="nil"/>
              <w:right w:val="nil"/>
            </w:tcBorders>
            <w:shd w:val="clear" w:color="auto" w:fill="auto"/>
            <w:noWrap/>
            <w:hideMark/>
          </w:tcPr>
          <w:p w14:paraId="15B5F5A4" w14:textId="77777777" w:rsidR="00CA45F9" w:rsidRPr="00E26332" w:rsidRDefault="00CA45F9" w:rsidP="00CA45F9">
            <w:pPr>
              <w:spacing w:after="0" w:line="240" w:lineRule="auto"/>
              <w:ind w:left="113"/>
              <w:jc w:val="left"/>
              <w:rPr>
                <w:rFonts w:ascii="Arial" w:hAnsi="Arial" w:cs="Arial"/>
                <w:color w:val="000000"/>
                <w:sz w:val="16"/>
                <w:szCs w:val="16"/>
              </w:rPr>
            </w:pPr>
            <w:r w:rsidRPr="00E26332">
              <w:rPr>
                <w:rFonts w:ascii="Arial" w:hAnsi="Arial" w:cs="Arial"/>
                <w:color w:val="000000"/>
                <w:sz w:val="16"/>
                <w:szCs w:val="16"/>
              </w:rPr>
              <w:t>Total accrual purchases</w:t>
            </w:r>
          </w:p>
        </w:tc>
        <w:tc>
          <w:tcPr>
            <w:tcW w:w="850" w:type="dxa"/>
            <w:tcBorders>
              <w:top w:val="nil"/>
              <w:left w:val="nil"/>
              <w:bottom w:val="nil"/>
              <w:right w:val="nil"/>
            </w:tcBorders>
            <w:shd w:val="clear" w:color="auto" w:fill="auto"/>
            <w:noWrap/>
            <w:vAlign w:val="bottom"/>
            <w:hideMark/>
          </w:tcPr>
          <w:p w14:paraId="009D46EF" w14:textId="612F1E29" w:rsidR="00CA45F9" w:rsidRPr="00245999" w:rsidRDefault="00CA45F9" w:rsidP="00CA45F9">
            <w:pPr>
              <w:spacing w:after="0" w:line="240" w:lineRule="auto"/>
              <w:jc w:val="right"/>
              <w:rPr>
                <w:rFonts w:ascii="Arial" w:hAnsi="Arial" w:cs="Arial"/>
                <w:color w:val="000000"/>
                <w:sz w:val="16"/>
                <w:szCs w:val="16"/>
              </w:rPr>
            </w:pPr>
            <w:r w:rsidRPr="00245999">
              <w:rPr>
                <w:rFonts w:ascii="Arial" w:hAnsi="Arial" w:cs="Arial"/>
                <w:color w:val="000000"/>
                <w:sz w:val="16"/>
                <w:szCs w:val="16"/>
              </w:rPr>
              <w:t>19,119</w:t>
            </w:r>
          </w:p>
        </w:tc>
        <w:tc>
          <w:tcPr>
            <w:tcW w:w="993" w:type="dxa"/>
            <w:tcBorders>
              <w:top w:val="nil"/>
              <w:left w:val="nil"/>
              <w:bottom w:val="nil"/>
              <w:right w:val="nil"/>
            </w:tcBorders>
            <w:shd w:val="clear" w:color="000000" w:fill="E6E6E6"/>
            <w:noWrap/>
            <w:vAlign w:val="bottom"/>
            <w:hideMark/>
          </w:tcPr>
          <w:p w14:paraId="2CB6F4B3" w14:textId="1B00197D" w:rsidR="00CA45F9" w:rsidRPr="00245999" w:rsidRDefault="00CA45F9" w:rsidP="00CA45F9">
            <w:pPr>
              <w:spacing w:after="0" w:line="240" w:lineRule="auto"/>
              <w:jc w:val="right"/>
              <w:rPr>
                <w:rFonts w:ascii="Arial" w:hAnsi="Arial" w:cs="Arial"/>
                <w:color w:val="000000"/>
                <w:sz w:val="16"/>
                <w:szCs w:val="16"/>
              </w:rPr>
            </w:pPr>
            <w:r>
              <w:rPr>
                <w:rFonts w:ascii="Arial" w:hAnsi="Arial" w:cs="Arial"/>
                <w:color w:val="000000"/>
                <w:sz w:val="16"/>
                <w:szCs w:val="16"/>
              </w:rPr>
              <w:t>42,513</w:t>
            </w:r>
          </w:p>
        </w:tc>
        <w:tc>
          <w:tcPr>
            <w:tcW w:w="992" w:type="dxa"/>
            <w:tcBorders>
              <w:top w:val="nil"/>
              <w:left w:val="nil"/>
              <w:bottom w:val="nil"/>
              <w:right w:val="nil"/>
            </w:tcBorders>
            <w:shd w:val="clear" w:color="auto" w:fill="auto"/>
            <w:noWrap/>
            <w:vAlign w:val="bottom"/>
            <w:hideMark/>
          </w:tcPr>
          <w:p w14:paraId="01D64183" w14:textId="3DDEDB56" w:rsidR="00CA45F9" w:rsidRPr="00245999" w:rsidRDefault="00CA45F9" w:rsidP="00CA45F9">
            <w:pPr>
              <w:spacing w:after="0" w:line="240" w:lineRule="auto"/>
              <w:jc w:val="right"/>
              <w:rPr>
                <w:rFonts w:ascii="Arial" w:hAnsi="Arial" w:cs="Arial"/>
                <w:color w:val="000000"/>
                <w:sz w:val="16"/>
                <w:szCs w:val="16"/>
              </w:rPr>
            </w:pPr>
            <w:r w:rsidRPr="00245999">
              <w:rPr>
                <w:rFonts w:ascii="Arial" w:hAnsi="Arial" w:cs="Arial"/>
                <w:color w:val="000000"/>
                <w:sz w:val="16"/>
                <w:szCs w:val="16"/>
              </w:rPr>
              <w:t>64,501</w:t>
            </w:r>
          </w:p>
        </w:tc>
        <w:tc>
          <w:tcPr>
            <w:tcW w:w="850" w:type="dxa"/>
            <w:tcBorders>
              <w:top w:val="nil"/>
              <w:left w:val="nil"/>
              <w:bottom w:val="nil"/>
              <w:right w:val="nil"/>
            </w:tcBorders>
            <w:shd w:val="clear" w:color="auto" w:fill="auto"/>
            <w:noWrap/>
            <w:vAlign w:val="bottom"/>
            <w:hideMark/>
          </w:tcPr>
          <w:p w14:paraId="139BEC56" w14:textId="2991535A" w:rsidR="00CA45F9" w:rsidRPr="00245999" w:rsidRDefault="00CA45F9" w:rsidP="00CA45F9">
            <w:pPr>
              <w:spacing w:after="0" w:line="240" w:lineRule="auto"/>
              <w:jc w:val="right"/>
              <w:rPr>
                <w:rFonts w:ascii="Arial" w:hAnsi="Arial" w:cs="Arial"/>
                <w:color w:val="000000"/>
                <w:sz w:val="16"/>
                <w:szCs w:val="16"/>
              </w:rPr>
            </w:pPr>
            <w:r w:rsidRPr="00245999">
              <w:rPr>
                <w:rFonts w:ascii="Arial" w:hAnsi="Arial" w:cs="Arial"/>
                <w:color w:val="000000"/>
                <w:sz w:val="16"/>
                <w:szCs w:val="16"/>
              </w:rPr>
              <w:t>62,421</w:t>
            </w:r>
          </w:p>
        </w:tc>
        <w:tc>
          <w:tcPr>
            <w:tcW w:w="851" w:type="dxa"/>
            <w:tcBorders>
              <w:top w:val="nil"/>
              <w:left w:val="nil"/>
              <w:bottom w:val="nil"/>
              <w:right w:val="nil"/>
            </w:tcBorders>
            <w:shd w:val="clear" w:color="auto" w:fill="auto"/>
            <w:noWrap/>
            <w:vAlign w:val="bottom"/>
            <w:hideMark/>
          </w:tcPr>
          <w:p w14:paraId="5FC661BE" w14:textId="473766C2" w:rsidR="00CA45F9" w:rsidRPr="00245999" w:rsidRDefault="00CA45F9" w:rsidP="00CA45F9">
            <w:pPr>
              <w:spacing w:after="0" w:line="240" w:lineRule="auto"/>
              <w:jc w:val="right"/>
              <w:rPr>
                <w:rFonts w:ascii="Arial" w:hAnsi="Arial" w:cs="Arial"/>
                <w:color w:val="000000"/>
                <w:sz w:val="16"/>
                <w:szCs w:val="16"/>
              </w:rPr>
            </w:pPr>
            <w:r w:rsidRPr="00245999">
              <w:rPr>
                <w:rFonts w:ascii="Arial" w:hAnsi="Arial" w:cs="Arial"/>
                <w:color w:val="000000"/>
                <w:sz w:val="16"/>
                <w:szCs w:val="16"/>
              </w:rPr>
              <w:t>18,918</w:t>
            </w:r>
          </w:p>
        </w:tc>
      </w:tr>
      <w:tr w:rsidR="00CA45F9" w:rsidRPr="00E26332" w14:paraId="52D284E4" w14:textId="77777777" w:rsidTr="00147F69">
        <w:trPr>
          <w:trHeight w:val="204"/>
        </w:trPr>
        <w:tc>
          <w:tcPr>
            <w:tcW w:w="2552" w:type="dxa"/>
            <w:tcBorders>
              <w:top w:val="nil"/>
              <w:left w:val="nil"/>
              <w:bottom w:val="single" w:sz="4" w:space="0" w:color="auto"/>
              <w:right w:val="nil"/>
            </w:tcBorders>
            <w:shd w:val="clear" w:color="auto" w:fill="auto"/>
            <w:noWrap/>
            <w:hideMark/>
          </w:tcPr>
          <w:p w14:paraId="247DBEAF" w14:textId="77777777" w:rsidR="00CA45F9" w:rsidRPr="00E26332" w:rsidRDefault="00CA45F9" w:rsidP="00CA45F9">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Total cash used to acquire assets</w:t>
            </w:r>
          </w:p>
        </w:tc>
        <w:tc>
          <w:tcPr>
            <w:tcW w:w="850" w:type="dxa"/>
            <w:tcBorders>
              <w:top w:val="single" w:sz="4" w:space="0" w:color="auto"/>
              <w:left w:val="nil"/>
              <w:bottom w:val="single" w:sz="4" w:space="0" w:color="auto"/>
              <w:right w:val="nil"/>
            </w:tcBorders>
            <w:shd w:val="clear" w:color="auto" w:fill="auto"/>
            <w:noWrap/>
            <w:vAlign w:val="bottom"/>
            <w:hideMark/>
          </w:tcPr>
          <w:p w14:paraId="0708F65A" w14:textId="336DE9C2"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19,119</w:t>
            </w:r>
          </w:p>
        </w:tc>
        <w:tc>
          <w:tcPr>
            <w:tcW w:w="993" w:type="dxa"/>
            <w:tcBorders>
              <w:top w:val="single" w:sz="4" w:space="0" w:color="auto"/>
              <w:left w:val="nil"/>
              <w:bottom w:val="single" w:sz="4" w:space="0" w:color="auto"/>
              <w:right w:val="nil"/>
            </w:tcBorders>
            <w:shd w:val="clear" w:color="000000" w:fill="E6E6E6"/>
            <w:noWrap/>
            <w:vAlign w:val="bottom"/>
            <w:hideMark/>
          </w:tcPr>
          <w:p w14:paraId="7DDF85B3" w14:textId="6DDE9C4F" w:rsidR="00CA45F9" w:rsidRPr="00CA45F9" w:rsidRDefault="00CA45F9" w:rsidP="00CA45F9">
            <w:pPr>
              <w:spacing w:after="0" w:line="240" w:lineRule="auto"/>
              <w:jc w:val="right"/>
              <w:rPr>
                <w:rFonts w:ascii="Arial" w:hAnsi="Arial" w:cs="Arial"/>
                <w:b/>
                <w:color w:val="000000"/>
                <w:sz w:val="16"/>
                <w:szCs w:val="16"/>
              </w:rPr>
            </w:pPr>
            <w:r w:rsidRPr="00CA45F9">
              <w:rPr>
                <w:rFonts w:ascii="Arial" w:hAnsi="Arial" w:cs="Arial"/>
                <w:b/>
                <w:color w:val="000000"/>
                <w:sz w:val="16"/>
                <w:szCs w:val="16"/>
              </w:rPr>
              <w:t>42,513</w:t>
            </w:r>
          </w:p>
        </w:tc>
        <w:tc>
          <w:tcPr>
            <w:tcW w:w="992" w:type="dxa"/>
            <w:tcBorders>
              <w:top w:val="single" w:sz="4" w:space="0" w:color="auto"/>
              <w:left w:val="nil"/>
              <w:bottom w:val="single" w:sz="4" w:space="0" w:color="auto"/>
              <w:right w:val="nil"/>
            </w:tcBorders>
            <w:shd w:val="clear" w:color="auto" w:fill="auto"/>
            <w:noWrap/>
            <w:vAlign w:val="bottom"/>
            <w:hideMark/>
          </w:tcPr>
          <w:p w14:paraId="03192E46" w14:textId="0DA179A3" w:rsidR="00CA45F9" w:rsidRPr="00CA45F9" w:rsidRDefault="00CA45F9" w:rsidP="00CA45F9">
            <w:pPr>
              <w:spacing w:after="0" w:line="240" w:lineRule="auto"/>
              <w:jc w:val="right"/>
              <w:rPr>
                <w:rFonts w:ascii="Arial" w:hAnsi="Arial" w:cs="Arial"/>
                <w:b/>
                <w:bCs/>
                <w:color w:val="000000"/>
                <w:sz w:val="16"/>
                <w:szCs w:val="16"/>
              </w:rPr>
            </w:pPr>
            <w:r w:rsidRPr="00CA45F9">
              <w:rPr>
                <w:rFonts w:ascii="Arial" w:hAnsi="Arial" w:cs="Arial"/>
                <w:b/>
                <w:bCs/>
                <w:color w:val="000000"/>
                <w:sz w:val="16"/>
                <w:szCs w:val="16"/>
              </w:rPr>
              <w:t>64,501</w:t>
            </w:r>
          </w:p>
        </w:tc>
        <w:tc>
          <w:tcPr>
            <w:tcW w:w="850" w:type="dxa"/>
            <w:tcBorders>
              <w:top w:val="single" w:sz="4" w:space="0" w:color="auto"/>
              <w:left w:val="nil"/>
              <w:bottom w:val="single" w:sz="4" w:space="0" w:color="auto"/>
              <w:right w:val="nil"/>
            </w:tcBorders>
            <w:shd w:val="clear" w:color="auto" w:fill="auto"/>
            <w:noWrap/>
            <w:vAlign w:val="bottom"/>
            <w:hideMark/>
          </w:tcPr>
          <w:p w14:paraId="7810EBD9" w14:textId="06C42A60"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62,421</w:t>
            </w:r>
          </w:p>
        </w:tc>
        <w:tc>
          <w:tcPr>
            <w:tcW w:w="851" w:type="dxa"/>
            <w:tcBorders>
              <w:top w:val="single" w:sz="4" w:space="0" w:color="auto"/>
              <w:left w:val="nil"/>
              <w:bottom w:val="single" w:sz="4" w:space="0" w:color="auto"/>
              <w:right w:val="nil"/>
            </w:tcBorders>
            <w:shd w:val="clear" w:color="auto" w:fill="auto"/>
            <w:noWrap/>
            <w:vAlign w:val="bottom"/>
            <w:hideMark/>
          </w:tcPr>
          <w:p w14:paraId="3C34DB6C" w14:textId="2E9A5548" w:rsidR="00CA45F9" w:rsidRPr="00245999" w:rsidRDefault="00CA45F9" w:rsidP="00CA45F9">
            <w:pPr>
              <w:spacing w:after="0" w:line="240" w:lineRule="auto"/>
              <w:jc w:val="right"/>
              <w:rPr>
                <w:rFonts w:ascii="Arial" w:hAnsi="Arial" w:cs="Arial"/>
                <w:b/>
                <w:bCs/>
                <w:color w:val="000000"/>
                <w:sz w:val="16"/>
                <w:szCs w:val="16"/>
              </w:rPr>
            </w:pPr>
            <w:r w:rsidRPr="00245999">
              <w:rPr>
                <w:rFonts w:ascii="Arial" w:hAnsi="Arial" w:cs="Arial"/>
                <w:b/>
                <w:bCs/>
                <w:color w:val="000000"/>
                <w:sz w:val="16"/>
                <w:szCs w:val="16"/>
              </w:rPr>
              <w:t>18,918</w:t>
            </w:r>
          </w:p>
        </w:tc>
      </w:tr>
    </w:tbl>
    <w:p w14:paraId="2953917A" w14:textId="77777777" w:rsidR="00834C3D" w:rsidRPr="00AC530C" w:rsidRDefault="00834C3D" w:rsidP="0002571F">
      <w:pPr>
        <w:pStyle w:val="ChartandTableFootnoteAlpha"/>
        <w:numPr>
          <w:ilvl w:val="0"/>
          <w:numId w:val="0"/>
        </w:numPr>
        <w:spacing w:before="60"/>
        <w:ind w:left="397" w:hanging="397"/>
        <w:jc w:val="left"/>
      </w:pPr>
      <w:r w:rsidRPr="00AC530C">
        <w:t>Prepared on Australian Accounting Standards basis.</w:t>
      </w:r>
    </w:p>
    <w:p w14:paraId="3F6874BA" w14:textId="77777777" w:rsidR="00914885" w:rsidRDefault="00914885" w:rsidP="0002571F">
      <w:pPr>
        <w:pStyle w:val="ChartandTableFootnoteAlpha"/>
        <w:numPr>
          <w:ilvl w:val="0"/>
          <w:numId w:val="66"/>
        </w:numPr>
        <w:tabs>
          <w:tab w:val="clear" w:pos="397"/>
          <w:tab w:val="left" w:pos="284"/>
        </w:tabs>
        <w:ind w:left="284" w:hanging="284"/>
        <w:jc w:val="left"/>
      </w:pPr>
      <w:r w:rsidRPr="005941AC">
        <w:t xml:space="preserve">Includes purchases from current and previous years’ </w:t>
      </w:r>
      <w:r>
        <w:t>Administered</w:t>
      </w:r>
      <w:r w:rsidRPr="005941AC">
        <w:t xml:space="preserve"> Capital Budgets (</w:t>
      </w:r>
      <w:r>
        <w:t>A</w:t>
      </w:r>
      <w:r w:rsidRPr="005941AC">
        <w:t>CBs).</w:t>
      </w:r>
    </w:p>
    <w:p w14:paraId="2552DC4A" w14:textId="77777777" w:rsidR="00914885" w:rsidRDefault="00914885" w:rsidP="00914885">
      <w:pPr>
        <w:pStyle w:val="Source"/>
      </w:pPr>
    </w:p>
    <w:p w14:paraId="6A964E1F" w14:textId="1F45F83C" w:rsidR="00914885" w:rsidRPr="00873E3E" w:rsidRDefault="00914885" w:rsidP="00873E3E">
      <w:pPr>
        <w:pStyle w:val="SingleParagraph"/>
        <w:rPr>
          <w:snapToGrid w:val="0"/>
        </w:rPr>
      </w:pPr>
      <w:r>
        <w:rPr>
          <w:snapToGrid w:val="0"/>
        </w:rPr>
        <w:br w:type="page"/>
      </w:r>
    </w:p>
    <w:p w14:paraId="233FE8A9" w14:textId="53771FDC" w:rsidR="00914885" w:rsidRDefault="00914885" w:rsidP="00914885">
      <w:pPr>
        <w:pStyle w:val="TableHeading"/>
        <w:spacing w:before="0"/>
        <w:rPr>
          <w:snapToGrid w:val="0"/>
        </w:rPr>
      </w:pPr>
      <w:r>
        <w:rPr>
          <w:snapToGrid w:val="0"/>
        </w:rPr>
        <w:lastRenderedPageBreak/>
        <w:t>Table 3.1</w:t>
      </w:r>
      <w:r>
        <w:rPr>
          <w:snapToGrid w:val="0"/>
          <w:lang w:val="en-AU"/>
        </w:rPr>
        <w:t>2</w:t>
      </w:r>
      <w:r>
        <w:rPr>
          <w:snapToGrid w:val="0"/>
        </w:rPr>
        <w:t xml:space="preserve">: </w:t>
      </w:r>
      <w:r w:rsidRPr="00014438">
        <w:rPr>
          <w:snapToGrid w:val="0"/>
        </w:rPr>
        <w:t>Statement of administered asset movements (</w:t>
      </w:r>
      <w:r>
        <w:rPr>
          <w:snapToGrid w:val="0"/>
          <w:lang w:val="en-AU"/>
        </w:rPr>
        <w:t>2021-22 Budget year</w:t>
      </w:r>
      <w:r w:rsidRPr="00014438">
        <w:rPr>
          <w:snapToGrid w:val="0"/>
        </w:rPr>
        <w:t>)</w:t>
      </w:r>
    </w:p>
    <w:tbl>
      <w:tblPr>
        <w:tblW w:w="7964" w:type="dxa"/>
        <w:tblLook w:val="04A0" w:firstRow="1" w:lastRow="0" w:firstColumn="1" w:lastColumn="0" w:noHBand="0" w:noVBand="1"/>
      </w:tblPr>
      <w:tblGrid>
        <w:gridCol w:w="2117"/>
        <w:gridCol w:w="813"/>
        <w:gridCol w:w="881"/>
        <w:gridCol w:w="1009"/>
        <w:gridCol w:w="968"/>
        <w:gridCol w:w="981"/>
        <w:gridCol w:w="1195"/>
      </w:tblGrid>
      <w:tr w:rsidR="00B6110C" w:rsidRPr="00E26332" w14:paraId="30DBAF72" w14:textId="77777777" w:rsidTr="00147F69">
        <w:trPr>
          <w:trHeight w:val="240"/>
        </w:trPr>
        <w:tc>
          <w:tcPr>
            <w:tcW w:w="2117" w:type="dxa"/>
            <w:tcBorders>
              <w:top w:val="single" w:sz="4" w:space="0" w:color="auto"/>
              <w:left w:val="nil"/>
              <w:bottom w:val="nil"/>
              <w:right w:val="nil"/>
            </w:tcBorders>
            <w:shd w:val="clear" w:color="auto" w:fill="auto"/>
            <w:noWrap/>
            <w:hideMark/>
          </w:tcPr>
          <w:p w14:paraId="6B52B69B" w14:textId="3E61F9D9" w:rsidR="00B6110C" w:rsidRPr="00E26332" w:rsidRDefault="00B6110C" w:rsidP="00B6110C">
            <w:pPr>
              <w:spacing w:after="0" w:line="240" w:lineRule="auto"/>
              <w:jc w:val="left"/>
              <w:rPr>
                <w:rFonts w:ascii="Arial" w:hAnsi="Arial" w:cs="Arial"/>
                <w:color w:val="000000"/>
                <w:sz w:val="16"/>
                <w:szCs w:val="16"/>
              </w:rPr>
            </w:pPr>
            <w:bookmarkStart w:id="472" w:name="RANGE!A3:G36"/>
            <w:r w:rsidRPr="00E26332">
              <w:rPr>
                <w:rFonts w:ascii="Arial" w:hAnsi="Arial" w:cs="Arial"/>
                <w:color w:val="000000"/>
                <w:sz w:val="16"/>
                <w:szCs w:val="16"/>
              </w:rPr>
              <w:t> </w:t>
            </w:r>
            <w:bookmarkEnd w:id="472"/>
          </w:p>
        </w:tc>
        <w:tc>
          <w:tcPr>
            <w:tcW w:w="5842" w:type="dxa"/>
            <w:gridSpan w:val="6"/>
            <w:tcBorders>
              <w:top w:val="single" w:sz="4" w:space="0" w:color="auto"/>
              <w:left w:val="nil"/>
              <w:bottom w:val="single" w:sz="4" w:space="0" w:color="auto"/>
              <w:right w:val="nil"/>
            </w:tcBorders>
            <w:shd w:val="clear" w:color="auto" w:fill="auto"/>
            <w:vAlign w:val="bottom"/>
          </w:tcPr>
          <w:p w14:paraId="170EE108" w14:textId="65BFC775" w:rsidR="00B6110C" w:rsidRPr="00E26332" w:rsidRDefault="00B6110C" w:rsidP="00B6110C">
            <w:pPr>
              <w:spacing w:after="0" w:line="240" w:lineRule="auto"/>
              <w:jc w:val="center"/>
              <w:rPr>
                <w:rFonts w:ascii="Arial" w:hAnsi="Arial" w:cs="Arial"/>
                <w:color w:val="000000"/>
                <w:sz w:val="16"/>
                <w:szCs w:val="16"/>
              </w:rPr>
            </w:pPr>
            <w:r w:rsidRPr="009E77AC">
              <w:rPr>
                <w:rFonts w:ascii="Arial" w:hAnsi="Arial" w:cs="Arial"/>
                <w:b/>
                <w:sz w:val="16"/>
                <w:szCs w:val="16"/>
              </w:rPr>
              <w:t>Asset category</w:t>
            </w:r>
          </w:p>
        </w:tc>
      </w:tr>
      <w:tr w:rsidR="00B6110C" w:rsidRPr="00E26332" w14:paraId="22DA08F9" w14:textId="77777777" w:rsidTr="00147F69">
        <w:trPr>
          <w:trHeight w:val="240"/>
        </w:trPr>
        <w:tc>
          <w:tcPr>
            <w:tcW w:w="2117" w:type="dxa"/>
            <w:tcBorders>
              <w:left w:val="nil"/>
              <w:bottom w:val="nil"/>
              <w:right w:val="nil"/>
            </w:tcBorders>
            <w:shd w:val="clear" w:color="auto" w:fill="auto"/>
            <w:noWrap/>
          </w:tcPr>
          <w:p w14:paraId="61DF8FC5" w14:textId="77777777" w:rsidR="00B6110C" w:rsidRPr="00E26332" w:rsidRDefault="00B6110C" w:rsidP="00B6110C">
            <w:pPr>
              <w:spacing w:after="0" w:line="240" w:lineRule="auto"/>
              <w:jc w:val="left"/>
              <w:rPr>
                <w:rFonts w:ascii="Arial" w:hAnsi="Arial" w:cs="Arial"/>
                <w:color w:val="000000"/>
                <w:sz w:val="16"/>
                <w:szCs w:val="16"/>
              </w:rPr>
            </w:pPr>
          </w:p>
        </w:tc>
        <w:tc>
          <w:tcPr>
            <w:tcW w:w="813" w:type="dxa"/>
            <w:tcBorders>
              <w:top w:val="single" w:sz="4" w:space="0" w:color="auto"/>
              <w:left w:val="nil"/>
              <w:bottom w:val="single" w:sz="4" w:space="0" w:color="auto"/>
              <w:right w:val="nil"/>
            </w:tcBorders>
            <w:shd w:val="clear" w:color="auto" w:fill="auto"/>
          </w:tcPr>
          <w:p w14:paraId="031898F3" w14:textId="77777777" w:rsidR="00B6110C" w:rsidRDefault="00B6110C" w:rsidP="00B6110C">
            <w:pPr>
              <w:spacing w:after="0" w:line="240" w:lineRule="auto"/>
              <w:jc w:val="right"/>
              <w:rPr>
                <w:rFonts w:ascii="Arial" w:hAnsi="Arial" w:cs="Arial"/>
                <w:color w:val="000000"/>
                <w:sz w:val="16"/>
                <w:szCs w:val="16"/>
              </w:rPr>
            </w:pPr>
            <w:r w:rsidRPr="00E26332">
              <w:rPr>
                <w:rFonts w:ascii="Arial" w:hAnsi="Arial" w:cs="Arial"/>
                <w:color w:val="000000"/>
                <w:sz w:val="16"/>
                <w:szCs w:val="16"/>
              </w:rPr>
              <w:t>Land</w:t>
            </w:r>
          </w:p>
          <w:p w14:paraId="61B059F3" w14:textId="77777777" w:rsidR="00B6110C" w:rsidRDefault="00B6110C" w:rsidP="00B6110C">
            <w:pPr>
              <w:spacing w:after="0" w:line="240" w:lineRule="auto"/>
              <w:jc w:val="right"/>
              <w:rPr>
                <w:rFonts w:ascii="Arial" w:hAnsi="Arial" w:cs="Arial"/>
                <w:color w:val="000000"/>
                <w:sz w:val="16"/>
                <w:szCs w:val="16"/>
              </w:rPr>
            </w:pPr>
          </w:p>
          <w:p w14:paraId="4577978C" w14:textId="77777777" w:rsidR="00B6110C" w:rsidRDefault="00B6110C" w:rsidP="00B6110C">
            <w:pPr>
              <w:spacing w:after="0" w:line="240" w:lineRule="auto"/>
              <w:jc w:val="right"/>
              <w:rPr>
                <w:rFonts w:ascii="Arial" w:hAnsi="Arial" w:cs="Arial"/>
                <w:color w:val="000000"/>
                <w:sz w:val="16"/>
                <w:szCs w:val="16"/>
              </w:rPr>
            </w:pPr>
          </w:p>
          <w:p w14:paraId="17FD9F4B" w14:textId="77777777" w:rsidR="00B6110C" w:rsidRDefault="00B6110C" w:rsidP="00B6110C">
            <w:pPr>
              <w:spacing w:after="0" w:line="240" w:lineRule="auto"/>
              <w:jc w:val="right"/>
              <w:rPr>
                <w:rFonts w:ascii="Arial" w:hAnsi="Arial" w:cs="Arial"/>
                <w:color w:val="000000"/>
                <w:sz w:val="16"/>
                <w:szCs w:val="16"/>
              </w:rPr>
            </w:pPr>
          </w:p>
          <w:p w14:paraId="589B5C72" w14:textId="77D4B405" w:rsidR="00B6110C" w:rsidRPr="00E26332" w:rsidRDefault="00B6110C" w:rsidP="00B6110C">
            <w:pPr>
              <w:spacing w:after="0" w:line="240" w:lineRule="auto"/>
              <w:jc w:val="right"/>
              <w:rPr>
                <w:rFonts w:ascii="Arial" w:hAnsi="Arial" w:cs="Arial"/>
                <w:color w:val="000000"/>
                <w:sz w:val="16"/>
                <w:szCs w:val="16"/>
              </w:rPr>
            </w:pPr>
            <w:r w:rsidRPr="00E26332">
              <w:rPr>
                <w:rFonts w:ascii="Arial" w:hAnsi="Arial" w:cs="Arial"/>
                <w:color w:val="000000"/>
                <w:sz w:val="16"/>
                <w:szCs w:val="16"/>
              </w:rPr>
              <w:t>$'000</w:t>
            </w:r>
          </w:p>
        </w:tc>
        <w:tc>
          <w:tcPr>
            <w:tcW w:w="881" w:type="dxa"/>
            <w:tcBorders>
              <w:top w:val="single" w:sz="4" w:space="0" w:color="auto"/>
              <w:left w:val="nil"/>
              <w:bottom w:val="single" w:sz="4" w:space="0" w:color="auto"/>
              <w:right w:val="nil"/>
            </w:tcBorders>
            <w:shd w:val="clear" w:color="auto" w:fill="auto"/>
          </w:tcPr>
          <w:p w14:paraId="360B115D" w14:textId="77777777" w:rsidR="00B6110C" w:rsidRDefault="00B6110C" w:rsidP="00B6110C">
            <w:pPr>
              <w:spacing w:after="0" w:line="240" w:lineRule="auto"/>
              <w:jc w:val="right"/>
              <w:rPr>
                <w:rFonts w:ascii="Arial" w:hAnsi="Arial" w:cs="Arial"/>
                <w:sz w:val="16"/>
                <w:szCs w:val="16"/>
              </w:rPr>
            </w:pPr>
            <w:r w:rsidRPr="009E77AC">
              <w:rPr>
                <w:rFonts w:ascii="Arial" w:hAnsi="Arial" w:cs="Arial"/>
                <w:sz w:val="16"/>
                <w:szCs w:val="16"/>
              </w:rPr>
              <w:t>Buildings</w:t>
            </w:r>
          </w:p>
          <w:p w14:paraId="61A5E5D7" w14:textId="77777777" w:rsidR="00B6110C" w:rsidRDefault="00B6110C" w:rsidP="00B6110C">
            <w:pPr>
              <w:spacing w:after="0" w:line="240" w:lineRule="auto"/>
              <w:jc w:val="right"/>
              <w:rPr>
                <w:rFonts w:ascii="Arial" w:hAnsi="Arial" w:cs="Arial"/>
                <w:sz w:val="16"/>
                <w:szCs w:val="16"/>
              </w:rPr>
            </w:pPr>
          </w:p>
          <w:p w14:paraId="346F46C4" w14:textId="77777777" w:rsidR="00B6110C" w:rsidRDefault="00B6110C" w:rsidP="00B6110C">
            <w:pPr>
              <w:spacing w:after="0" w:line="240" w:lineRule="auto"/>
              <w:jc w:val="right"/>
              <w:rPr>
                <w:rFonts w:ascii="Arial" w:hAnsi="Arial" w:cs="Arial"/>
                <w:sz w:val="16"/>
                <w:szCs w:val="16"/>
              </w:rPr>
            </w:pPr>
          </w:p>
          <w:p w14:paraId="2BFAA8FE" w14:textId="77777777" w:rsidR="00B6110C" w:rsidRDefault="00B6110C" w:rsidP="00B6110C">
            <w:pPr>
              <w:spacing w:after="0" w:line="240" w:lineRule="auto"/>
              <w:jc w:val="right"/>
              <w:rPr>
                <w:rFonts w:ascii="Arial" w:hAnsi="Arial" w:cs="Arial"/>
                <w:sz w:val="16"/>
                <w:szCs w:val="16"/>
              </w:rPr>
            </w:pPr>
          </w:p>
          <w:p w14:paraId="5B36601F" w14:textId="4A31DF4E" w:rsidR="00B6110C" w:rsidRPr="009E77AC" w:rsidRDefault="00B6110C" w:rsidP="00B6110C">
            <w:pPr>
              <w:spacing w:after="0" w:line="240" w:lineRule="auto"/>
              <w:jc w:val="right"/>
              <w:rPr>
                <w:rFonts w:ascii="Arial" w:hAnsi="Arial" w:cs="Arial"/>
                <w:sz w:val="16"/>
                <w:szCs w:val="16"/>
              </w:rPr>
            </w:pPr>
            <w:r w:rsidRPr="009E77AC">
              <w:rPr>
                <w:rFonts w:ascii="Arial" w:hAnsi="Arial" w:cs="Arial"/>
                <w:sz w:val="16"/>
                <w:szCs w:val="16"/>
              </w:rPr>
              <w:t>$'000</w:t>
            </w:r>
          </w:p>
        </w:tc>
        <w:tc>
          <w:tcPr>
            <w:tcW w:w="1009" w:type="dxa"/>
            <w:tcBorders>
              <w:top w:val="single" w:sz="4" w:space="0" w:color="auto"/>
              <w:left w:val="nil"/>
              <w:bottom w:val="single" w:sz="4" w:space="0" w:color="auto"/>
              <w:right w:val="nil"/>
            </w:tcBorders>
            <w:shd w:val="clear" w:color="auto" w:fill="auto"/>
          </w:tcPr>
          <w:p w14:paraId="765094AA" w14:textId="77777777" w:rsidR="00B6110C" w:rsidRDefault="00B6110C" w:rsidP="00B6110C">
            <w:pPr>
              <w:spacing w:after="0" w:line="240" w:lineRule="auto"/>
              <w:jc w:val="right"/>
              <w:rPr>
                <w:rFonts w:ascii="Arial" w:hAnsi="Arial" w:cs="Arial"/>
                <w:sz w:val="16"/>
                <w:szCs w:val="16"/>
              </w:rPr>
            </w:pPr>
            <w:r w:rsidRPr="009E77AC">
              <w:rPr>
                <w:rFonts w:ascii="Arial" w:hAnsi="Arial" w:cs="Arial"/>
                <w:sz w:val="16"/>
                <w:szCs w:val="16"/>
              </w:rPr>
              <w:t>Other property</w:t>
            </w:r>
            <w:r>
              <w:rPr>
                <w:rFonts w:ascii="Arial" w:hAnsi="Arial" w:cs="Arial"/>
                <w:sz w:val="16"/>
                <w:szCs w:val="16"/>
              </w:rPr>
              <w:t>, plant and equipment</w:t>
            </w:r>
          </w:p>
          <w:p w14:paraId="501275E1" w14:textId="0C643C17" w:rsidR="00B6110C" w:rsidRPr="009E77AC" w:rsidRDefault="00B6110C" w:rsidP="00B6110C">
            <w:pPr>
              <w:spacing w:after="0" w:line="240" w:lineRule="auto"/>
              <w:jc w:val="right"/>
              <w:rPr>
                <w:rFonts w:ascii="Arial" w:hAnsi="Arial" w:cs="Arial"/>
                <w:sz w:val="16"/>
                <w:szCs w:val="16"/>
              </w:rPr>
            </w:pPr>
            <w:r w:rsidRPr="009E77AC">
              <w:rPr>
                <w:rFonts w:ascii="Arial" w:hAnsi="Arial" w:cs="Arial"/>
                <w:sz w:val="16"/>
                <w:szCs w:val="16"/>
              </w:rPr>
              <w:t>$'000</w:t>
            </w:r>
          </w:p>
        </w:tc>
        <w:tc>
          <w:tcPr>
            <w:tcW w:w="968" w:type="dxa"/>
            <w:tcBorders>
              <w:top w:val="single" w:sz="4" w:space="0" w:color="auto"/>
              <w:left w:val="nil"/>
              <w:bottom w:val="single" w:sz="4" w:space="0" w:color="auto"/>
              <w:right w:val="nil"/>
            </w:tcBorders>
            <w:shd w:val="clear" w:color="auto" w:fill="auto"/>
          </w:tcPr>
          <w:p w14:paraId="7C61FB6B" w14:textId="77777777" w:rsidR="00B6110C" w:rsidRDefault="00B6110C" w:rsidP="00B6110C">
            <w:pPr>
              <w:spacing w:after="0" w:line="240" w:lineRule="auto"/>
              <w:jc w:val="right"/>
              <w:rPr>
                <w:rFonts w:ascii="Arial" w:hAnsi="Arial" w:cs="Arial"/>
                <w:sz w:val="16"/>
                <w:szCs w:val="16"/>
              </w:rPr>
            </w:pPr>
            <w:r w:rsidRPr="009E77AC">
              <w:rPr>
                <w:rFonts w:ascii="Arial" w:hAnsi="Arial" w:cs="Arial"/>
                <w:sz w:val="16"/>
                <w:szCs w:val="16"/>
              </w:rPr>
              <w:t>Heritage and cultural assets</w:t>
            </w:r>
          </w:p>
          <w:p w14:paraId="6F4112CD" w14:textId="55F7397F" w:rsidR="00B6110C" w:rsidRPr="009E77AC" w:rsidRDefault="00B6110C" w:rsidP="00B6110C">
            <w:pPr>
              <w:spacing w:after="0" w:line="240" w:lineRule="auto"/>
              <w:jc w:val="right"/>
              <w:rPr>
                <w:rFonts w:ascii="Arial" w:hAnsi="Arial" w:cs="Arial"/>
                <w:sz w:val="16"/>
                <w:szCs w:val="16"/>
              </w:rPr>
            </w:pPr>
            <w:r w:rsidRPr="009E77AC">
              <w:rPr>
                <w:rFonts w:ascii="Arial" w:hAnsi="Arial" w:cs="Arial"/>
                <w:sz w:val="16"/>
                <w:szCs w:val="16"/>
              </w:rPr>
              <w:t>$'000</w:t>
            </w:r>
          </w:p>
        </w:tc>
        <w:tc>
          <w:tcPr>
            <w:tcW w:w="981" w:type="dxa"/>
            <w:tcBorders>
              <w:top w:val="single" w:sz="4" w:space="0" w:color="auto"/>
              <w:left w:val="nil"/>
              <w:bottom w:val="single" w:sz="4" w:space="0" w:color="auto"/>
              <w:right w:val="nil"/>
            </w:tcBorders>
            <w:shd w:val="clear" w:color="auto" w:fill="auto"/>
          </w:tcPr>
          <w:p w14:paraId="0865A045" w14:textId="77777777" w:rsidR="00B6110C" w:rsidRDefault="00B6110C" w:rsidP="00B6110C">
            <w:pPr>
              <w:spacing w:after="0" w:line="240" w:lineRule="auto"/>
              <w:jc w:val="right"/>
              <w:rPr>
                <w:rFonts w:ascii="Arial" w:hAnsi="Arial" w:cs="Arial"/>
                <w:sz w:val="16"/>
                <w:szCs w:val="16"/>
              </w:rPr>
            </w:pPr>
            <w:r w:rsidRPr="009E77AC">
              <w:rPr>
                <w:rFonts w:ascii="Arial" w:hAnsi="Arial" w:cs="Arial"/>
                <w:sz w:val="16"/>
                <w:szCs w:val="16"/>
              </w:rPr>
              <w:t>Computer software and intangibles</w:t>
            </w:r>
          </w:p>
          <w:p w14:paraId="2E7B290D" w14:textId="3DC23675" w:rsidR="00B6110C" w:rsidRPr="009E77AC" w:rsidRDefault="00B6110C" w:rsidP="00B6110C">
            <w:pPr>
              <w:spacing w:after="0" w:line="240" w:lineRule="auto"/>
              <w:jc w:val="right"/>
              <w:rPr>
                <w:rFonts w:ascii="Arial" w:hAnsi="Arial" w:cs="Arial"/>
                <w:sz w:val="16"/>
                <w:szCs w:val="16"/>
              </w:rPr>
            </w:pPr>
            <w:r w:rsidRPr="009E77AC">
              <w:rPr>
                <w:rFonts w:ascii="Arial" w:hAnsi="Arial" w:cs="Arial"/>
                <w:sz w:val="16"/>
                <w:szCs w:val="16"/>
              </w:rPr>
              <w:t>$'000</w:t>
            </w:r>
          </w:p>
        </w:tc>
        <w:tc>
          <w:tcPr>
            <w:tcW w:w="1195" w:type="dxa"/>
            <w:tcBorders>
              <w:top w:val="single" w:sz="4" w:space="0" w:color="auto"/>
              <w:left w:val="nil"/>
              <w:bottom w:val="single" w:sz="4" w:space="0" w:color="auto"/>
              <w:right w:val="nil"/>
            </w:tcBorders>
            <w:shd w:val="clear" w:color="auto" w:fill="auto"/>
          </w:tcPr>
          <w:p w14:paraId="5EAFF39B" w14:textId="77777777" w:rsidR="00B6110C" w:rsidRDefault="00B6110C" w:rsidP="00B6110C">
            <w:pPr>
              <w:spacing w:after="0" w:line="240" w:lineRule="auto"/>
              <w:jc w:val="right"/>
              <w:rPr>
                <w:rFonts w:ascii="Arial" w:hAnsi="Arial" w:cs="Arial"/>
                <w:sz w:val="16"/>
                <w:szCs w:val="16"/>
              </w:rPr>
            </w:pPr>
            <w:r w:rsidRPr="009E77AC">
              <w:rPr>
                <w:rFonts w:ascii="Arial" w:hAnsi="Arial" w:cs="Arial"/>
                <w:sz w:val="16"/>
                <w:szCs w:val="16"/>
              </w:rPr>
              <w:t>Total</w:t>
            </w:r>
          </w:p>
          <w:p w14:paraId="1F2157A1" w14:textId="77777777" w:rsidR="00B6110C" w:rsidRDefault="00B6110C" w:rsidP="00B6110C">
            <w:pPr>
              <w:spacing w:after="0" w:line="240" w:lineRule="auto"/>
              <w:jc w:val="right"/>
              <w:rPr>
                <w:rFonts w:ascii="Arial" w:hAnsi="Arial" w:cs="Arial"/>
                <w:sz w:val="16"/>
                <w:szCs w:val="16"/>
              </w:rPr>
            </w:pPr>
          </w:p>
          <w:p w14:paraId="5D2B788E" w14:textId="77777777" w:rsidR="00B6110C" w:rsidRDefault="00B6110C" w:rsidP="00B6110C">
            <w:pPr>
              <w:spacing w:after="0" w:line="240" w:lineRule="auto"/>
              <w:jc w:val="right"/>
              <w:rPr>
                <w:rFonts w:ascii="Arial" w:hAnsi="Arial" w:cs="Arial"/>
                <w:sz w:val="16"/>
                <w:szCs w:val="16"/>
              </w:rPr>
            </w:pPr>
          </w:p>
          <w:p w14:paraId="67BCBAD9" w14:textId="77777777" w:rsidR="00B6110C" w:rsidRDefault="00B6110C" w:rsidP="00B6110C">
            <w:pPr>
              <w:spacing w:after="0" w:line="240" w:lineRule="auto"/>
              <w:jc w:val="right"/>
              <w:rPr>
                <w:rFonts w:ascii="Arial" w:hAnsi="Arial" w:cs="Arial"/>
                <w:sz w:val="16"/>
                <w:szCs w:val="16"/>
              </w:rPr>
            </w:pPr>
          </w:p>
          <w:p w14:paraId="45E2A4D3" w14:textId="4E58F9D0" w:rsidR="00B6110C" w:rsidRPr="009E77AC" w:rsidRDefault="00B6110C" w:rsidP="00B6110C">
            <w:pPr>
              <w:spacing w:after="0" w:line="240" w:lineRule="auto"/>
              <w:jc w:val="right"/>
              <w:rPr>
                <w:rFonts w:ascii="Arial" w:hAnsi="Arial" w:cs="Arial"/>
                <w:sz w:val="16"/>
                <w:szCs w:val="16"/>
              </w:rPr>
            </w:pPr>
            <w:r w:rsidRPr="009E77AC">
              <w:rPr>
                <w:rFonts w:ascii="Arial" w:hAnsi="Arial" w:cs="Arial"/>
                <w:sz w:val="16"/>
                <w:szCs w:val="16"/>
              </w:rPr>
              <w:t>$'000</w:t>
            </w:r>
          </w:p>
        </w:tc>
      </w:tr>
      <w:tr w:rsidR="00B6110C" w:rsidRPr="00E26332" w14:paraId="0840912D" w14:textId="77777777" w:rsidTr="00147F69">
        <w:trPr>
          <w:trHeight w:val="204"/>
        </w:trPr>
        <w:tc>
          <w:tcPr>
            <w:tcW w:w="2117" w:type="dxa"/>
            <w:tcBorders>
              <w:top w:val="nil"/>
              <w:left w:val="nil"/>
              <w:bottom w:val="nil"/>
              <w:right w:val="nil"/>
            </w:tcBorders>
            <w:shd w:val="clear" w:color="auto" w:fill="auto"/>
            <w:hideMark/>
          </w:tcPr>
          <w:p w14:paraId="76620710" w14:textId="77777777" w:rsidR="00B6110C" w:rsidRPr="00E26332" w:rsidRDefault="00B6110C" w:rsidP="00B6110C">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As at 1 July 2021</w:t>
            </w:r>
          </w:p>
        </w:tc>
        <w:tc>
          <w:tcPr>
            <w:tcW w:w="813" w:type="dxa"/>
            <w:tcBorders>
              <w:top w:val="single" w:sz="4" w:space="0" w:color="auto"/>
              <w:left w:val="nil"/>
              <w:bottom w:val="nil"/>
              <w:right w:val="nil"/>
            </w:tcBorders>
            <w:shd w:val="clear" w:color="auto" w:fill="auto"/>
            <w:noWrap/>
            <w:vAlign w:val="bottom"/>
            <w:hideMark/>
          </w:tcPr>
          <w:p w14:paraId="29B5F0CB" w14:textId="77777777" w:rsidR="00B6110C" w:rsidRPr="00E26332" w:rsidRDefault="00B6110C" w:rsidP="00C57688">
            <w:pPr>
              <w:spacing w:after="0" w:line="240" w:lineRule="auto"/>
              <w:jc w:val="right"/>
              <w:rPr>
                <w:rFonts w:ascii="Arial" w:hAnsi="Arial" w:cs="Arial"/>
                <w:b/>
                <w:bCs/>
                <w:color w:val="000000"/>
                <w:sz w:val="16"/>
                <w:szCs w:val="16"/>
              </w:rPr>
            </w:pPr>
          </w:p>
        </w:tc>
        <w:tc>
          <w:tcPr>
            <w:tcW w:w="881" w:type="dxa"/>
            <w:tcBorders>
              <w:top w:val="single" w:sz="4" w:space="0" w:color="auto"/>
              <w:left w:val="nil"/>
              <w:bottom w:val="nil"/>
              <w:right w:val="nil"/>
            </w:tcBorders>
            <w:shd w:val="clear" w:color="auto" w:fill="auto"/>
            <w:noWrap/>
            <w:vAlign w:val="bottom"/>
            <w:hideMark/>
          </w:tcPr>
          <w:p w14:paraId="43E35883" w14:textId="77777777" w:rsidR="00B6110C" w:rsidRPr="00E26332" w:rsidRDefault="00B6110C" w:rsidP="00C57688">
            <w:pPr>
              <w:spacing w:after="0" w:line="240" w:lineRule="auto"/>
              <w:jc w:val="right"/>
              <w:rPr>
                <w:rFonts w:ascii="Arial" w:hAnsi="Arial" w:cs="Arial"/>
                <w:sz w:val="16"/>
                <w:szCs w:val="16"/>
              </w:rPr>
            </w:pPr>
          </w:p>
        </w:tc>
        <w:tc>
          <w:tcPr>
            <w:tcW w:w="1009" w:type="dxa"/>
            <w:tcBorders>
              <w:top w:val="single" w:sz="4" w:space="0" w:color="auto"/>
              <w:left w:val="nil"/>
              <w:bottom w:val="nil"/>
              <w:right w:val="nil"/>
            </w:tcBorders>
            <w:shd w:val="clear" w:color="auto" w:fill="auto"/>
            <w:noWrap/>
            <w:vAlign w:val="bottom"/>
            <w:hideMark/>
          </w:tcPr>
          <w:p w14:paraId="03C77F59" w14:textId="77777777" w:rsidR="00B6110C" w:rsidRPr="00E26332" w:rsidRDefault="00B6110C" w:rsidP="00C57688">
            <w:pPr>
              <w:spacing w:after="0" w:line="240" w:lineRule="auto"/>
              <w:jc w:val="right"/>
              <w:rPr>
                <w:rFonts w:ascii="Arial" w:hAnsi="Arial" w:cs="Arial"/>
                <w:sz w:val="16"/>
                <w:szCs w:val="16"/>
              </w:rPr>
            </w:pPr>
          </w:p>
        </w:tc>
        <w:tc>
          <w:tcPr>
            <w:tcW w:w="968" w:type="dxa"/>
            <w:tcBorders>
              <w:top w:val="single" w:sz="4" w:space="0" w:color="auto"/>
              <w:left w:val="nil"/>
              <w:bottom w:val="nil"/>
              <w:right w:val="nil"/>
            </w:tcBorders>
            <w:shd w:val="clear" w:color="auto" w:fill="auto"/>
            <w:noWrap/>
            <w:vAlign w:val="bottom"/>
            <w:hideMark/>
          </w:tcPr>
          <w:p w14:paraId="176D2013" w14:textId="77777777" w:rsidR="00B6110C" w:rsidRPr="00E26332" w:rsidRDefault="00B6110C" w:rsidP="00C57688">
            <w:pPr>
              <w:spacing w:after="0" w:line="240" w:lineRule="auto"/>
              <w:jc w:val="right"/>
              <w:rPr>
                <w:rFonts w:ascii="Arial" w:hAnsi="Arial" w:cs="Arial"/>
                <w:sz w:val="16"/>
                <w:szCs w:val="16"/>
              </w:rPr>
            </w:pPr>
          </w:p>
        </w:tc>
        <w:tc>
          <w:tcPr>
            <w:tcW w:w="981" w:type="dxa"/>
            <w:tcBorders>
              <w:top w:val="single" w:sz="4" w:space="0" w:color="auto"/>
              <w:left w:val="nil"/>
              <w:bottom w:val="nil"/>
              <w:right w:val="nil"/>
            </w:tcBorders>
            <w:shd w:val="clear" w:color="auto" w:fill="auto"/>
            <w:noWrap/>
            <w:vAlign w:val="bottom"/>
            <w:hideMark/>
          </w:tcPr>
          <w:p w14:paraId="507428DB" w14:textId="77777777" w:rsidR="00B6110C" w:rsidRPr="00E26332" w:rsidRDefault="00B6110C" w:rsidP="00C57688">
            <w:pPr>
              <w:spacing w:after="0" w:line="240" w:lineRule="auto"/>
              <w:jc w:val="right"/>
              <w:rPr>
                <w:rFonts w:ascii="Arial" w:hAnsi="Arial" w:cs="Arial"/>
                <w:sz w:val="16"/>
                <w:szCs w:val="16"/>
              </w:rPr>
            </w:pPr>
          </w:p>
        </w:tc>
        <w:tc>
          <w:tcPr>
            <w:tcW w:w="1195" w:type="dxa"/>
            <w:tcBorders>
              <w:top w:val="single" w:sz="4" w:space="0" w:color="auto"/>
              <w:left w:val="nil"/>
              <w:bottom w:val="nil"/>
              <w:right w:val="nil"/>
            </w:tcBorders>
            <w:shd w:val="clear" w:color="auto" w:fill="auto"/>
            <w:noWrap/>
            <w:vAlign w:val="bottom"/>
            <w:hideMark/>
          </w:tcPr>
          <w:p w14:paraId="13503CFE" w14:textId="77777777" w:rsidR="00B6110C" w:rsidRPr="00E26332" w:rsidRDefault="00B6110C" w:rsidP="00C57688">
            <w:pPr>
              <w:spacing w:after="0" w:line="240" w:lineRule="auto"/>
              <w:jc w:val="right"/>
              <w:rPr>
                <w:rFonts w:ascii="Arial" w:hAnsi="Arial" w:cs="Arial"/>
                <w:sz w:val="16"/>
                <w:szCs w:val="16"/>
              </w:rPr>
            </w:pPr>
          </w:p>
        </w:tc>
      </w:tr>
      <w:tr w:rsidR="00B6110C" w:rsidRPr="00E26332" w14:paraId="20943A56" w14:textId="77777777" w:rsidTr="00147F69">
        <w:trPr>
          <w:trHeight w:val="204"/>
        </w:trPr>
        <w:tc>
          <w:tcPr>
            <w:tcW w:w="2117" w:type="dxa"/>
            <w:tcBorders>
              <w:top w:val="nil"/>
              <w:left w:val="nil"/>
              <w:bottom w:val="nil"/>
              <w:right w:val="nil"/>
            </w:tcBorders>
            <w:shd w:val="clear" w:color="auto" w:fill="auto"/>
            <w:noWrap/>
            <w:hideMark/>
          </w:tcPr>
          <w:p w14:paraId="300E27F7" w14:textId="77777777" w:rsidR="00B6110C" w:rsidRPr="00E26332" w:rsidRDefault="00B6110C" w:rsidP="00B6110C">
            <w:pPr>
              <w:spacing w:after="0" w:line="240" w:lineRule="auto"/>
              <w:ind w:left="113"/>
              <w:jc w:val="left"/>
              <w:rPr>
                <w:rFonts w:ascii="Arial" w:hAnsi="Arial" w:cs="Arial"/>
                <w:color w:val="000000"/>
                <w:sz w:val="16"/>
                <w:szCs w:val="16"/>
              </w:rPr>
            </w:pPr>
            <w:r w:rsidRPr="00E26332">
              <w:rPr>
                <w:rFonts w:ascii="Arial" w:hAnsi="Arial" w:cs="Arial"/>
                <w:color w:val="000000"/>
                <w:sz w:val="16"/>
                <w:szCs w:val="16"/>
              </w:rPr>
              <w:t>Gross book value</w:t>
            </w:r>
          </w:p>
        </w:tc>
        <w:tc>
          <w:tcPr>
            <w:tcW w:w="813" w:type="dxa"/>
            <w:tcBorders>
              <w:top w:val="nil"/>
              <w:left w:val="nil"/>
              <w:bottom w:val="nil"/>
              <w:right w:val="nil"/>
            </w:tcBorders>
            <w:shd w:val="clear" w:color="auto" w:fill="auto"/>
            <w:noWrap/>
            <w:vAlign w:val="bottom"/>
            <w:hideMark/>
          </w:tcPr>
          <w:p w14:paraId="2A20068C" w14:textId="6E2EE9F9"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503,230</w:t>
            </w:r>
          </w:p>
        </w:tc>
        <w:tc>
          <w:tcPr>
            <w:tcW w:w="881" w:type="dxa"/>
            <w:tcBorders>
              <w:top w:val="nil"/>
              <w:left w:val="nil"/>
              <w:bottom w:val="nil"/>
              <w:right w:val="nil"/>
            </w:tcBorders>
            <w:shd w:val="clear" w:color="auto" w:fill="auto"/>
            <w:noWrap/>
            <w:vAlign w:val="bottom"/>
            <w:hideMark/>
          </w:tcPr>
          <w:p w14:paraId="29A7FE34" w14:textId="18D2DFEF"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18,844</w:t>
            </w:r>
          </w:p>
        </w:tc>
        <w:tc>
          <w:tcPr>
            <w:tcW w:w="1009" w:type="dxa"/>
            <w:tcBorders>
              <w:top w:val="nil"/>
              <w:left w:val="nil"/>
              <w:bottom w:val="nil"/>
              <w:right w:val="nil"/>
            </w:tcBorders>
            <w:shd w:val="clear" w:color="auto" w:fill="auto"/>
            <w:noWrap/>
            <w:vAlign w:val="bottom"/>
            <w:hideMark/>
          </w:tcPr>
          <w:p w14:paraId="2CCFE676" w14:textId="6CE58BA5"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420,130</w:t>
            </w:r>
          </w:p>
        </w:tc>
        <w:tc>
          <w:tcPr>
            <w:tcW w:w="968" w:type="dxa"/>
            <w:tcBorders>
              <w:top w:val="nil"/>
              <w:left w:val="nil"/>
              <w:bottom w:val="nil"/>
              <w:right w:val="nil"/>
            </w:tcBorders>
            <w:shd w:val="clear" w:color="auto" w:fill="auto"/>
            <w:noWrap/>
            <w:vAlign w:val="bottom"/>
            <w:hideMark/>
          </w:tcPr>
          <w:p w14:paraId="3EC900FA" w14:textId="3D2B1F25"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55,413</w:t>
            </w:r>
          </w:p>
        </w:tc>
        <w:tc>
          <w:tcPr>
            <w:tcW w:w="981" w:type="dxa"/>
            <w:tcBorders>
              <w:top w:val="nil"/>
              <w:left w:val="nil"/>
              <w:bottom w:val="nil"/>
              <w:right w:val="nil"/>
            </w:tcBorders>
            <w:shd w:val="clear" w:color="auto" w:fill="auto"/>
            <w:noWrap/>
            <w:vAlign w:val="bottom"/>
            <w:hideMark/>
          </w:tcPr>
          <w:p w14:paraId="403754EE" w14:textId="3A569EFD"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4,007</w:t>
            </w:r>
          </w:p>
        </w:tc>
        <w:tc>
          <w:tcPr>
            <w:tcW w:w="1195" w:type="dxa"/>
            <w:tcBorders>
              <w:top w:val="nil"/>
              <w:left w:val="nil"/>
              <w:bottom w:val="nil"/>
              <w:right w:val="nil"/>
            </w:tcBorders>
            <w:shd w:val="clear" w:color="auto" w:fill="auto"/>
            <w:noWrap/>
            <w:vAlign w:val="bottom"/>
            <w:hideMark/>
          </w:tcPr>
          <w:p w14:paraId="25C20DB2" w14:textId="281E33DE"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1,001,624</w:t>
            </w:r>
          </w:p>
        </w:tc>
      </w:tr>
      <w:tr w:rsidR="00B6110C" w:rsidRPr="00E26332" w14:paraId="22AA9C94" w14:textId="77777777" w:rsidTr="00147F69">
        <w:trPr>
          <w:trHeight w:val="204"/>
        </w:trPr>
        <w:tc>
          <w:tcPr>
            <w:tcW w:w="2117" w:type="dxa"/>
            <w:tcBorders>
              <w:top w:val="nil"/>
              <w:left w:val="nil"/>
              <w:bottom w:val="nil"/>
              <w:right w:val="nil"/>
            </w:tcBorders>
            <w:shd w:val="clear" w:color="auto" w:fill="auto"/>
            <w:noWrap/>
            <w:hideMark/>
          </w:tcPr>
          <w:p w14:paraId="718EB275" w14:textId="77777777" w:rsidR="00B6110C" w:rsidRPr="00E26332" w:rsidRDefault="00B6110C" w:rsidP="00B6110C">
            <w:pPr>
              <w:spacing w:after="0" w:line="240" w:lineRule="auto"/>
              <w:ind w:left="113"/>
              <w:jc w:val="left"/>
              <w:rPr>
                <w:rFonts w:ascii="Arial" w:hAnsi="Arial" w:cs="Arial"/>
                <w:color w:val="000000"/>
                <w:sz w:val="16"/>
                <w:szCs w:val="16"/>
              </w:rPr>
            </w:pPr>
            <w:r w:rsidRPr="00E26332">
              <w:rPr>
                <w:rFonts w:ascii="Arial" w:hAnsi="Arial" w:cs="Arial"/>
                <w:color w:val="000000"/>
                <w:sz w:val="16"/>
                <w:szCs w:val="16"/>
              </w:rPr>
              <w:t>Accumulated depreciation/amortisation</w:t>
            </w:r>
          </w:p>
        </w:tc>
        <w:tc>
          <w:tcPr>
            <w:tcW w:w="813" w:type="dxa"/>
            <w:tcBorders>
              <w:top w:val="nil"/>
              <w:left w:val="nil"/>
              <w:bottom w:val="nil"/>
              <w:right w:val="nil"/>
            </w:tcBorders>
            <w:shd w:val="clear" w:color="auto" w:fill="auto"/>
            <w:noWrap/>
            <w:vAlign w:val="bottom"/>
            <w:hideMark/>
          </w:tcPr>
          <w:p w14:paraId="0A611BB5"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(16)</w:t>
            </w:r>
          </w:p>
        </w:tc>
        <w:tc>
          <w:tcPr>
            <w:tcW w:w="881" w:type="dxa"/>
            <w:tcBorders>
              <w:top w:val="nil"/>
              <w:left w:val="nil"/>
              <w:bottom w:val="nil"/>
              <w:right w:val="nil"/>
            </w:tcBorders>
            <w:shd w:val="clear" w:color="auto" w:fill="auto"/>
            <w:noWrap/>
            <w:vAlign w:val="bottom"/>
            <w:hideMark/>
          </w:tcPr>
          <w:p w14:paraId="4A70A321" w14:textId="29B88AF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669</w:t>
            </w:r>
          </w:p>
        </w:tc>
        <w:tc>
          <w:tcPr>
            <w:tcW w:w="1009" w:type="dxa"/>
            <w:tcBorders>
              <w:top w:val="nil"/>
              <w:left w:val="nil"/>
              <w:bottom w:val="nil"/>
              <w:right w:val="nil"/>
            </w:tcBorders>
            <w:shd w:val="clear" w:color="auto" w:fill="auto"/>
            <w:noWrap/>
            <w:vAlign w:val="bottom"/>
            <w:hideMark/>
          </w:tcPr>
          <w:p w14:paraId="5E2F018D"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(1,719)</w:t>
            </w:r>
          </w:p>
        </w:tc>
        <w:tc>
          <w:tcPr>
            <w:tcW w:w="968" w:type="dxa"/>
            <w:tcBorders>
              <w:top w:val="nil"/>
              <w:left w:val="nil"/>
              <w:bottom w:val="nil"/>
              <w:right w:val="nil"/>
            </w:tcBorders>
            <w:shd w:val="clear" w:color="auto" w:fill="auto"/>
            <w:noWrap/>
            <w:vAlign w:val="bottom"/>
            <w:hideMark/>
          </w:tcPr>
          <w:p w14:paraId="4C5B72E3"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(1,201)</w:t>
            </w:r>
          </w:p>
        </w:tc>
        <w:tc>
          <w:tcPr>
            <w:tcW w:w="981" w:type="dxa"/>
            <w:tcBorders>
              <w:top w:val="nil"/>
              <w:left w:val="nil"/>
              <w:bottom w:val="nil"/>
              <w:right w:val="nil"/>
            </w:tcBorders>
            <w:shd w:val="clear" w:color="auto" w:fill="auto"/>
            <w:noWrap/>
            <w:vAlign w:val="bottom"/>
            <w:hideMark/>
          </w:tcPr>
          <w:p w14:paraId="6B53412F"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(627)</w:t>
            </w:r>
          </w:p>
        </w:tc>
        <w:tc>
          <w:tcPr>
            <w:tcW w:w="1195" w:type="dxa"/>
            <w:tcBorders>
              <w:top w:val="nil"/>
              <w:left w:val="nil"/>
              <w:bottom w:val="nil"/>
              <w:right w:val="nil"/>
            </w:tcBorders>
            <w:shd w:val="clear" w:color="auto" w:fill="auto"/>
            <w:noWrap/>
            <w:vAlign w:val="bottom"/>
            <w:hideMark/>
          </w:tcPr>
          <w:p w14:paraId="73F8964A"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(2,894)</w:t>
            </w:r>
          </w:p>
        </w:tc>
      </w:tr>
      <w:tr w:rsidR="00B6110C" w:rsidRPr="00E26332" w14:paraId="772247B5" w14:textId="77777777" w:rsidTr="00147F69">
        <w:trPr>
          <w:trHeight w:val="204"/>
        </w:trPr>
        <w:tc>
          <w:tcPr>
            <w:tcW w:w="2117" w:type="dxa"/>
            <w:tcBorders>
              <w:top w:val="nil"/>
              <w:left w:val="nil"/>
              <w:bottom w:val="nil"/>
              <w:right w:val="nil"/>
            </w:tcBorders>
            <w:shd w:val="clear" w:color="auto" w:fill="auto"/>
            <w:noWrap/>
            <w:hideMark/>
          </w:tcPr>
          <w:p w14:paraId="0645B1CF" w14:textId="77777777" w:rsidR="00B6110C" w:rsidRPr="00E26332" w:rsidRDefault="00B6110C" w:rsidP="00B6110C">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Opening net book balance</w:t>
            </w:r>
          </w:p>
        </w:tc>
        <w:tc>
          <w:tcPr>
            <w:tcW w:w="813" w:type="dxa"/>
            <w:tcBorders>
              <w:top w:val="single" w:sz="4" w:space="0" w:color="auto"/>
              <w:left w:val="nil"/>
              <w:bottom w:val="single" w:sz="4" w:space="0" w:color="auto"/>
              <w:right w:val="nil"/>
            </w:tcBorders>
            <w:shd w:val="clear" w:color="auto" w:fill="auto"/>
            <w:noWrap/>
            <w:vAlign w:val="bottom"/>
            <w:hideMark/>
          </w:tcPr>
          <w:p w14:paraId="3AC31616" w14:textId="27B7EBDD" w:rsidR="00B6110C" w:rsidRPr="00E26332" w:rsidRDefault="00B6110C" w:rsidP="00C57688">
            <w:pPr>
              <w:spacing w:after="0" w:line="240" w:lineRule="auto"/>
              <w:jc w:val="right"/>
              <w:rPr>
                <w:rFonts w:ascii="Arial" w:hAnsi="Arial" w:cs="Arial"/>
                <w:b/>
                <w:bCs/>
                <w:color w:val="000000"/>
                <w:sz w:val="16"/>
                <w:szCs w:val="16"/>
              </w:rPr>
            </w:pPr>
            <w:r w:rsidRPr="00E26332">
              <w:rPr>
                <w:rFonts w:ascii="Arial" w:hAnsi="Arial" w:cs="Arial"/>
                <w:b/>
                <w:bCs/>
                <w:color w:val="000000"/>
                <w:sz w:val="16"/>
                <w:szCs w:val="16"/>
              </w:rPr>
              <w:t>503,214</w:t>
            </w:r>
          </w:p>
        </w:tc>
        <w:tc>
          <w:tcPr>
            <w:tcW w:w="881" w:type="dxa"/>
            <w:tcBorders>
              <w:top w:val="single" w:sz="4" w:space="0" w:color="auto"/>
              <w:left w:val="nil"/>
              <w:bottom w:val="single" w:sz="4" w:space="0" w:color="auto"/>
              <w:right w:val="nil"/>
            </w:tcBorders>
            <w:shd w:val="clear" w:color="auto" w:fill="auto"/>
            <w:noWrap/>
            <w:vAlign w:val="bottom"/>
            <w:hideMark/>
          </w:tcPr>
          <w:p w14:paraId="69331332" w14:textId="55E057B9" w:rsidR="00B6110C" w:rsidRPr="00E26332" w:rsidRDefault="00B6110C" w:rsidP="00C57688">
            <w:pPr>
              <w:spacing w:after="0" w:line="240" w:lineRule="auto"/>
              <w:jc w:val="right"/>
              <w:rPr>
                <w:rFonts w:ascii="Arial" w:hAnsi="Arial" w:cs="Arial"/>
                <w:b/>
                <w:bCs/>
                <w:color w:val="000000"/>
                <w:sz w:val="16"/>
                <w:szCs w:val="16"/>
              </w:rPr>
            </w:pPr>
            <w:r w:rsidRPr="00E26332">
              <w:rPr>
                <w:rFonts w:ascii="Arial" w:hAnsi="Arial" w:cs="Arial"/>
                <w:b/>
                <w:bCs/>
                <w:color w:val="000000"/>
                <w:sz w:val="16"/>
                <w:szCs w:val="16"/>
              </w:rPr>
              <w:t>19,513</w:t>
            </w:r>
          </w:p>
        </w:tc>
        <w:tc>
          <w:tcPr>
            <w:tcW w:w="1009" w:type="dxa"/>
            <w:tcBorders>
              <w:top w:val="single" w:sz="4" w:space="0" w:color="auto"/>
              <w:left w:val="nil"/>
              <w:bottom w:val="single" w:sz="4" w:space="0" w:color="auto"/>
              <w:right w:val="nil"/>
            </w:tcBorders>
            <w:shd w:val="clear" w:color="auto" w:fill="auto"/>
            <w:noWrap/>
            <w:vAlign w:val="bottom"/>
            <w:hideMark/>
          </w:tcPr>
          <w:p w14:paraId="677450C2" w14:textId="1A923744" w:rsidR="00B6110C" w:rsidRPr="00E26332" w:rsidRDefault="00B6110C" w:rsidP="00C57688">
            <w:pPr>
              <w:spacing w:after="0" w:line="240" w:lineRule="auto"/>
              <w:jc w:val="right"/>
              <w:rPr>
                <w:rFonts w:ascii="Arial" w:hAnsi="Arial" w:cs="Arial"/>
                <w:b/>
                <w:bCs/>
                <w:color w:val="000000"/>
                <w:sz w:val="16"/>
                <w:szCs w:val="16"/>
              </w:rPr>
            </w:pPr>
            <w:r w:rsidRPr="00E26332">
              <w:rPr>
                <w:rFonts w:ascii="Arial" w:hAnsi="Arial" w:cs="Arial"/>
                <w:b/>
                <w:bCs/>
                <w:color w:val="000000"/>
                <w:sz w:val="16"/>
                <w:szCs w:val="16"/>
              </w:rPr>
              <w:t>418,411</w:t>
            </w:r>
          </w:p>
        </w:tc>
        <w:tc>
          <w:tcPr>
            <w:tcW w:w="968" w:type="dxa"/>
            <w:tcBorders>
              <w:top w:val="single" w:sz="4" w:space="0" w:color="auto"/>
              <w:left w:val="nil"/>
              <w:bottom w:val="single" w:sz="4" w:space="0" w:color="auto"/>
              <w:right w:val="nil"/>
            </w:tcBorders>
            <w:shd w:val="clear" w:color="auto" w:fill="auto"/>
            <w:noWrap/>
            <w:vAlign w:val="bottom"/>
            <w:hideMark/>
          </w:tcPr>
          <w:p w14:paraId="744B1C62" w14:textId="765EE41F" w:rsidR="00B6110C" w:rsidRPr="00E26332" w:rsidRDefault="00B6110C" w:rsidP="00C57688">
            <w:pPr>
              <w:spacing w:after="0" w:line="240" w:lineRule="auto"/>
              <w:jc w:val="right"/>
              <w:rPr>
                <w:rFonts w:ascii="Arial" w:hAnsi="Arial" w:cs="Arial"/>
                <w:b/>
                <w:bCs/>
                <w:color w:val="000000"/>
                <w:sz w:val="16"/>
                <w:szCs w:val="16"/>
              </w:rPr>
            </w:pPr>
            <w:r w:rsidRPr="00E26332">
              <w:rPr>
                <w:rFonts w:ascii="Arial" w:hAnsi="Arial" w:cs="Arial"/>
                <w:b/>
                <w:bCs/>
                <w:color w:val="000000"/>
                <w:sz w:val="16"/>
                <w:szCs w:val="16"/>
              </w:rPr>
              <w:t>54,212</w:t>
            </w:r>
          </w:p>
        </w:tc>
        <w:tc>
          <w:tcPr>
            <w:tcW w:w="981" w:type="dxa"/>
            <w:tcBorders>
              <w:top w:val="single" w:sz="4" w:space="0" w:color="auto"/>
              <w:left w:val="nil"/>
              <w:bottom w:val="single" w:sz="4" w:space="0" w:color="auto"/>
              <w:right w:val="nil"/>
            </w:tcBorders>
            <w:shd w:val="clear" w:color="auto" w:fill="auto"/>
            <w:noWrap/>
            <w:vAlign w:val="bottom"/>
            <w:hideMark/>
          </w:tcPr>
          <w:p w14:paraId="008CC9C0" w14:textId="316270D9" w:rsidR="00B6110C" w:rsidRPr="00E26332" w:rsidRDefault="00B6110C" w:rsidP="00C57688">
            <w:pPr>
              <w:spacing w:after="0" w:line="240" w:lineRule="auto"/>
              <w:jc w:val="right"/>
              <w:rPr>
                <w:rFonts w:ascii="Arial" w:hAnsi="Arial" w:cs="Arial"/>
                <w:b/>
                <w:bCs/>
                <w:color w:val="000000"/>
                <w:sz w:val="16"/>
                <w:szCs w:val="16"/>
              </w:rPr>
            </w:pPr>
            <w:r w:rsidRPr="00E26332">
              <w:rPr>
                <w:rFonts w:ascii="Arial" w:hAnsi="Arial" w:cs="Arial"/>
                <w:b/>
                <w:bCs/>
                <w:color w:val="000000"/>
                <w:sz w:val="16"/>
                <w:szCs w:val="16"/>
              </w:rPr>
              <w:t>3,380</w:t>
            </w:r>
          </w:p>
        </w:tc>
        <w:tc>
          <w:tcPr>
            <w:tcW w:w="1195" w:type="dxa"/>
            <w:tcBorders>
              <w:top w:val="single" w:sz="4" w:space="0" w:color="auto"/>
              <w:left w:val="nil"/>
              <w:bottom w:val="single" w:sz="4" w:space="0" w:color="auto"/>
              <w:right w:val="nil"/>
            </w:tcBorders>
            <w:shd w:val="clear" w:color="auto" w:fill="auto"/>
            <w:noWrap/>
            <w:vAlign w:val="bottom"/>
            <w:hideMark/>
          </w:tcPr>
          <w:p w14:paraId="34247ED4" w14:textId="28900AC7" w:rsidR="00B6110C" w:rsidRPr="00E26332" w:rsidRDefault="00B6110C" w:rsidP="00C57688">
            <w:pPr>
              <w:spacing w:after="0" w:line="240" w:lineRule="auto"/>
              <w:jc w:val="right"/>
              <w:rPr>
                <w:rFonts w:ascii="Arial" w:hAnsi="Arial" w:cs="Arial"/>
                <w:b/>
                <w:bCs/>
                <w:color w:val="000000"/>
                <w:sz w:val="16"/>
                <w:szCs w:val="16"/>
              </w:rPr>
            </w:pPr>
            <w:r w:rsidRPr="00E26332">
              <w:rPr>
                <w:rFonts w:ascii="Arial" w:hAnsi="Arial" w:cs="Arial"/>
                <w:b/>
                <w:bCs/>
                <w:color w:val="000000"/>
                <w:sz w:val="16"/>
                <w:szCs w:val="16"/>
              </w:rPr>
              <w:t>998,730</w:t>
            </w:r>
          </w:p>
        </w:tc>
      </w:tr>
      <w:tr w:rsidR="00B6110C" w:rsidRPr="00E26332" w14:paraId="32AA5DA3" w14:textId="77777777" w:rsidTr="00147F69">
        <w:trPr>
          <w:trHeight w:val="204"/>
        </w:trPr>
        <w:tc>
          <w:tcPr>
            <w:tcW w:w="2117" w:type="dxa"/>
            <w:tcBorders>
              <w:top w:val="nil"/>
              <w:left w:val="nil"/>
              <w:bottom w:val="nil"/>
              <w:right w:val="nil"/>
            </w:tcBorders>
            <w:shd w:val="clear" w:color="auto" w:fill="auto"/>
            <w:hideMark/>
          </w:tcPr>
          <w:p w14:paraId="7925D509" w14:textId="77777777" w:rsidR="00B6110C" w:rsidRPr="00E26332" w:rsidRDefault="00B6110C" w:rsidP="00B6110C">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Capital asset additions</w:t>
            </w:r>
          </w:p>
        </w:tc>
        <w:tc>
          <w:tcPr>
            <w:tcW w:w="813" w:type="dxa"/>
            <w:tcBorders>
              <w:top w:val="nil"/>
              <w:left w:val="nil"/>
              <w:bottom w:val="nil"/>
              <w:right w:val="nil"/>
            </w:tcBorders>
            <w:shd w:val="clear" w:color="auto" w:fill="auto"/>
            <w:noWrap/>
            <w:vAlign w:val="bottom"/>
            <w:hideMark/>
          </w:tcPr>
          <w:p w14:paraId="3B6AC09E" w14:textId="77777777" w:rsidR="00B6110C" w:rsidRPr="00E26332" w:rsidRDefault="00B6110C" w:rsidP="00C57688">
            <w:pPr>
              <w:spacing w:after="0" w:line="240" w:lineRule="auto"/>
              <w:jc w:val="right"/>
              <w:rPr>
                <w:rFonts w:ascii="Arial" w:hAnsi="Arial" w:cs="Arial"/>
                <w:b/>
                <w:bCs/>
                <w:color w:val="000000"/>
                <w:sz w:val="16"/>
                <w:szCs w:val="16"/>
              </w:rPr>
            </w:pPr>
          </w:p>
        </w:tc>
        <w:tc>
          <w:tcPr>
            <w:tcW w:w="881" w:type="dxa"/>
            <w:tcBorders>
              <w:top w:val="nil"/>
              <w:left w:val="nil"/>
              <w:bottom w:val="nil"/>
              <w:right w:val="nil"/>
            </w:tcBorders>
            <w:shd w:val="clear" w:color="auto" w:fill="auto"/>
            <w:noWrap/>
            <w:vAlign w:val="bottom"/>
            <w:hideMark/>
          </w:tcPr>
          <w:p w14:paraId="096C3B1A" w14:textId="77777777" w:rsidR="00B6110C" w:rsidRPr="00E26332" w:rsidRDefault="00B6110C" w:rsidP="00C57688">
            <w:pPr>
              <w:spacing w:after="0" w:line="240" w:lineRule="auto"/>
              <w:jc w:val="right"/>
              <w:rPr>
                <w:rFonts w:ascii="Arial" w:hAnsi="Arial" w:cs="Arial"/>
                <w:sz w:val="16"/>
                <w:szCs w:val="16"/>
              </w:rPr>
            </w:pPr>
          </w:p>
        </w:tc>
        <w:tc>
          <w:tcPr>
            <w:tcW w:w="1009" w:type="dxa"/>
            <w:tcBorders>
              <w:top w:val="nil"/>
              <w:left w:val="nil"/>
              <w:bottom w:val="nil"/>
              <w:right w:val="nil"/>
            </w:tcBorders>
            <w:shd w:val="clear" w:color="auto" w:fill="auto"/>
            <w:noWrap/>
            <w:vAlign w:val="bottom"/>
            <w:hideMark/>
          </w:tcPr>
          <w:p w14:paraId="182415C9" w14:textId="77777777" w:rsidR="00B6110C" w:rsidRPr="00E26332" w:rsidRDefault="00B6110C" w:rsidP="00C57688">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3B64827B" w14:textId="77777777" w:rsidR="00B6110C" w:rsidRPr="00E26332" w:rsidRDefault="00B6110C" w:rsidP="00C57688">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19EE86F2" w14:textId="77777777" w:rsidR="00B6110C" w:rsidRPr="00E26332" w:rsidRDefault="00B6110C" w:rsidP="00C57688">
            <w:pPr>
              <w:spacing w:after="0" w:line="240" w:lineRule="auto"/>
              <w:jc w:val="right"/>
              <w:rPr>
                <w:rFonts w:ascii="Arial" w:hAnsi="Arial" w:cs="Arial"/>
                <w:sz w:val="16"/>
                <w:szCs w:val="16"/>
              </w:rPr>
            </w:pPr>
          </w:p>
        </w:tc>
        <w:tc>
          <w:tcPr>
            <w:tcW w:w="1195" w:type="dxa"/>
            <w:tcBorders>
              <w:top w:val="nil"/>
              <w:left w:val="nil"/>
              <w:bottom w:val="nil"/>
              <w:right w:val="nil"/>
            </w:tcBorders>
            <w:shd w:val="clear" w:color="auto" w:fill="auto"/>
            <w:noWrap/>
            <w:vAlign w:val="bottom"/>
            <w:hideMark/>
          </w:tcPr>
          <w:p w14:paraId="6EBBB8B8" w14:textId="77777777" w:rsidR="00B6110C" w:rsidRPr="00E26332" w:rsidRDefault="00B6110C" w:rsidP="00C57688">
            <w:pPr>
              <w:spacing w:after="0" w:line="240" w:lineRule="auto"/>
              <w:jc w:val="right"/>
              <w:rPr>
                <w:rFonts w:ascii="Arial" w:hAnsi="Arial" w:cs="Arial"/>
                <w:sz w:val="16"/>
                <w:szCs w:val="16"/>
              </w:rPr>
            </w:pPr>
          </w:p>
        </w:tc>
      </w:tr>
      <w:tr w:rsidR="00B6110C" w:rsidRPr="00E26332" w14:paraId="2FF51AA0" w14:textId="77777777" w:rsidTr="00147F69">
        <w:trPr>
          <w:trHeight w:val="204"/>
        </w:trPr>
        <w:tc>
          <w:tcPr>
            <w:tcW w:w="2117" w:type="dxa"/>
            <w:tcBorders>
              <w:top w:val="nil"/>
              <w:left w:val="nil"/>
              <w:bottom w:val="nil"/>
              <w:right w:val="nil"/>
            </w:tcBorders>
            <w:shd w:val="clear" w:color="auto" w:fill="auto"/>
            <w:hideMark/>
          </w:tcPr>
          <w:p w14:paraId="4CD6F42E" w14:textId="77777777" w:rsidR="00B6110C" w:rsidRPr="00E26332" w:rsidRDefault="00B6110C" w:rsidP="006B3C79">
            <w:pPr>
              <w:spacing w:after="0" w:line="240" w:lineRule="auto"/>
              <w:ind w:left="113"/>
              <w:jc w:val="left"/>
              <w:rPr>
                <w:rFonts w:ascii="Arial" w:hAnsi="Arial" w:cs="Arial"/>
                <w:b/>
                <w:bCs/>
                <w:color w:val="000000"/>
                <w:sz w:val="16"/>
                <w:szCs w:val="16"/>
              </w:rPr>
            </w:pPr>
            <w:r w:rsidRPr="00E26332">
              <w:rPr>
                <w:rFonts w:ascii="Arial" w:hAnsi="Arial" w:cs="Arial"/>
                <w:b/>
                <w:bCs/>
                <w:color w:val="000000"/>
                <w:sz w:val="16"/>
                <w:szCs w:val="16"/>
              </w:rPr>
              <w:t>Estimated expenditure on new or replacement assets</w:t>
            </w:r>
          </w:p>
        </w:tc>
        <w:tc>
          <w:tcPr>
            <w:tcW w:w="813" w:type="dxa"/>
            <w:tcBorders>
              <w:top w:val="nil"/>
              <w:left w:val="nil"/>
              <w:bottom w:val="nil"/>
              <w:right w:val="nil"/>
            </w:tcBorders>
            <w:shd w:val="clear" w:color="auto" w:fill="auto"/>
            <w:noWrap/>
            <w:vAlign w:val="bottom"/>
            <w:hideMark/>
          </w:tcPr>
          <w:p w14:paraId="6D626ADD" w14:textId="77777777" w:rsidR="00B6110C" w:rsidRPr="00E26332" w:rsidRDefault="00B6110C" w:rsidP="00C57688">
            <w:pPr>
              <w:spacing w:after="0" w:line="240" w:lineRule="auto"/>
              <w:ind w:firstLineChars="100" w:firstLine="160"/>
              <w:jc w:val="right"/>
              <w:rPr>
                <w:rFonts w:ascii="Arial" w:hAnsi="Arial" w:cs="Arial"/>
                <w:b/>
                <w:bCs/>
                <w:color w:val="000000"/>
                <w:sz w:val="16"/>
                <w:szCs w:val="16"/>
              </w:rPr>
            </w:pPr>
          </w:p>
        </w:tc>
        <w:tc>
          <w:tcPr>
            <w:tcW w:w="881" w:type="dxa"/>
            <w:tcBorders>
              <w:top w:val="nil"/>
              <w:left w:val="nil"/>
              <w:bottom w:val="nil"/>
              <w:right w:val="nil"/>
            </w:tcBorders>
            <w:shd w:val="clear" w:color="auto" w:fill="auto"/>
            <w:noWrap/>
            <w:vAlign w:val="bottom"/>
            <w:hideMark/>
          </w:tcPr>
          <w:p w14:paraId="73AA9E89" w14:textId="77777777" w:rsidR="00B6110C" w:rsidRPr="00E26332" w:rsidRDefault="00B6110C" w:rsidP="00C57688">
            <w:pPr>
              <w:spacing w:after="0" w:line="240" w:lineRule="auto"/>
              <w:jc w:val="right"/>
              <w:rPr>
                <w:rFonts w:ascii="Arial" w:hAnsi="Arial" w:cs="Arial"/>
                <w:sz w:val="16"/>
                <w:szCs w:val="16"/>
              </w:rPr>
            </w:pPr>
          </w:p>
        </w:tc>
        <w:tc>
          <w:tcPr>
            <w:tcW w:w="1009" w:type="dxa"/>
            <w:tcBorders>
              <w:top w:val="nil"/>
              <w:left w:val="nil"/>
              <w:bottom w:val="nil"/>
              <w:right w:val="nil"/>
            </w:tcBorders>
            <w:shd w:val="clear" w:color="auto" w:fill="auto"/>
            <w:noWrap/>
            <w:vAlign w:val="bottom"/>
            <w:hideMark/>
          </w:tcPr>
          <w:p w14:paraId="7390F084" w14:textId="77777777" w:rsidR="00B6110C" w:rsidRPr="00E26332" w:rsidRDefault="00B6110C" w:rsidP="00C57688">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1A67F6CF" w14:textId="77777777" w:rsidR="00B6110C" w:rsidRPr="00E26332" w:rsidRDefault="00B6110C" w:rsidP="00C57688">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21742A9C" w14:textId="77777777" w:rsidR="00B6110C" w:rsidRPr="00E26332" w:rsidRDefault="00B6110C" w:rsidP="00C57688">
            <w:pPr>
              <w:spacing w:after="0" w:line="240" w:lineRule="auto"/>
              <w:jc w:val="right"/>
              <w:rPr>
                <w:rFonts w:ascii="Arial" w:hAnsi="Arial" w:cs="Arial"/>
                <w:sz w:val="16"/>
                <w:szCs w:val="16"/>
              </w:rPr>
            </w:pPr>
          </w:p>
        </w:tc>
        <w:tc>
          <w:tcPr>
            <w:tcW w:w="1195" w:type="dxa"/>
            <w:tcBorders>
              <w:top w:val="nil"/>
              <w:left w:val="nil"/>
              <w:bottom w:val="nil"/>
              <w:right w:val="nil"/>
            </w:tcBorders>
            <w:shd w:val="clear" w:color="auto" w:fill="auto"/>
            <w:noWrap/>
            <w:vAlign w:val="bottom"/>
            <w:hideMark/>
          </w:tcPr>
          <w:p w14:paraId="00935A1F" w14:textId="77777777" w:rsidR="00B6110C" w:rsidRPr="00E26332" w:rsidRDefault="00B6110C" w:rsidP="00C57688">
            <w:pPr>
              <w:spacing w:after="0" w:line="240" w:lineRule="auto"/>
              <w:jc w:val="right"/>
              <w:rPr>
                <w:rFonts w:ascii="Arial" w:hAnsi="Arial" w:cs="Arial"/>
                <w:sz w:val="16"/>
                <w:szCs w:val="16"/>
              </w:rPr>
            </w:pPr>
          </w:p>
        </w:tc>
      </w:tr>
      <w:tr w:rsidR="00B7363C" w:rsidRPr="00E26332" w14:paraId="113B5E2A" w14:textId="77777777" w:rsidTr="00147F69">
        <w:trPr>
          <w:trHeight w:val="204"/>
        </w:trPr>
        <w:tc>
          <w:tcPr>
            <w:tcW w:w="2117" w:type="dxa"/>
            <w:tcBorders>
              <w:top w:val="nil"/>
              <w:left w:val="nil"/>
              <w:bottom w:val="nil"/>
              <w:right w:val="nil"/>
            </w:tcBorders>
            <w:shd w:val="clear" w:color="auto" w:fill="auto"/>
          </w:tcPr>
          <w:p w14:paraId="7CB452B3" w14:textId="5F81D9A7" w:rsidR="00B7363C" w:rsidRPr="00E26332" w:rsidRDefault="00B7363C" w:rsidP="00147F69">
            <w:pPr>
              <w:spacing w:after="0" w:line="240" w:lineRule="auto"/>
              <w:ind w:left="227"/>
              <w:jc w:val="left"/>
              <w:rPr>
                <w:rFonts w:ascii="Arial" w:hAnsi="Arial" w:cs="Arial"/>
                <w:b/>
                <w:bCs/>
                <w:color w:val="000000"/>
                <w:sz w:val="16"/>
                <w:szCs w:val="16"/>
              </w:rPr>
            </w:pPr>
            <w:r w:rsidRPr="00E26332">
              <w:rPr>
                <w:rFonts w:ascii="Arial" w:hAnsi="Arial" w:cs="Arial"/>
                <w:color w:val="000000"/>
                <w:sz w:val="16"/>
                <w:szCs w:val="16"/>
              </w:rPr>
              <w:t xml:space="preserve">By purchase </w:t>
            </w:r>
            <w:r>
              <w:rPr>
                <w:rFonts w:ascii="Arial" w:hAnsi="Arial" w:cs="Arial"/>
                <w:color w:val="000000"/>
                <w:sz w:val="16"/>
                <w:szCs w:val="16"/>
              </w:rPr>
              <w:t>–</w:t>
            </w:r>
            <w:r w:rsidRPr="00E26332">
              <w:rPr>
                <w:rFonts w:ascii="Arial" w:hAnsi="Arial" w:cs="Arial"/>
                <w:color w:val="000000"/>
                <w:sz w:val="16"/>
                <w:szCs w:val="16"/>
              </w:rPr>
              <w:t xml:space="preserve"> appropriation</w:t>
            </w:r>
            <w:r>
              <w:rPr>
                <w:rFonts w:ascii="Arial" w:hAnsi="Arial" w:cs="Arial"/>
                <w:color w:val="000000"/>
                <w:sz w:val="16"/>
                <w:szCs w:val="16"/>
              </w:rPr>
              <w:t xml:space="preserve"> equity</w:t>
            </w:r>
            <w:r w:rsidR="00F40534">
              <w:rPr>
                <w:rFonts w:ascii="Arial" w:hAnsi="Arial" w:cs="Arial"/>
                <w:color w:val="000000"/>
                <w:sz w:val="16"/>
                <w:szCs w:val="16"/>
              </w:rPr>
              <w:t xml:space="preserve"> </w:t>
            </w:r>
            <w:r w:rsidR="00F40534" w:rsidRPr="00F40534">
              <w:rPr>
                <w:rFonts w:ascii="Arial" w:hAnsi="Arial" w:cs="Arial"/>
                <w:color w:val="000000"/>
                <w:sz w:val="16"/>
                <w:szCs w:val="16"/>
                <w:vertAlign w:val="superscript"/>
              </w:rPr>
              <w:t>(a)</w:t>
            </w:r>
          </w:p>
        </w:tc>
        <w:tc>
          <w:tcPr>
            <w:tcW w:w="813" w:type="dxa"/>
            <w:tcBorders>
              <w:top w:val="nil"/>
              <w:left w:val="nil"/>
              <w:bottom w:val="nil"/>
              <w:right w:val="nil"/>
            </w:tcBorders>
            <w:shd w:val="clear" w:color="auto" w:fill="auto"/>
            <w:noWrap/>
            <w:vAlign w:val="bottom"/>
          </w:tcPr>
          <w:p w14:paraId="2CD58E52" w14:textId="2986FAF0" w:rsidR="00B7363C" w:rsidRPr="00E26332" w:rsidRDefault="00B7363C" w:rsidP="00C57688">
            <w:pPr>
              <w:spacing w:after="0" w:line="240" w:lineRule="auto"/>
              <w:ind w:firstLineChars="100" w:firstLine="160"/>
              <w:jc w:val="right"/>
              <w:rPr>
                <w:rFonts w:ascii="Arial" w:hAnsi="Arial" w:cs="Arial"/>
                <w:b/>
                <w:bCs/>
                <w:color w:val="000000"/>
                <w:sz w:val="16"/>
                <w:szCs w:val="16"/>
              </w:rPr>
            </w:pPr>
            <w:r>
              <w:rPr>
                <w:rFonts w:ascii="Arial" w:hAnsi="Arial" w:cs="Arial"/>
                <w:b/>
                <w:bCs/>
                <w:color w:val="000000"/>
                <w:sz w:val="16"/>
                <w:szCs w:val="16"/>
              </w:rPr>
              <w:t>-</w:t>
            </w:r>
          </w:p>
        </w:tc>
        <w:tc>
          <w:tcPr>
            <w:tcW w:w="881" w:type="dxa"/>
            <w:tcBorders>
              <w:top w:val="nil"/>
              <w:left w:val="nil"/>
              <w:bottom w:val="nil"/>
              <w:right w:val="nil"/>
            </w:tcBorders>
            <w:shd w:val="clear" w:color="auto" w:fill="auto"/>
            <w:noWrap/>
            <w:vAlign w:val="bottom"/>
          </w:tcPr>
          <w:p w14:paraId="17C1ABD8" w14:textId="12A5FB24" w:rsidR="00B7363C" w:rsidRPr="00E26332" w:rsidRDefault="00B7363C" w:rsidP="00C57688">
            <w:pPr>
              <w:spacing w:after="0" w:line="240" w:lineRule="auto"/>
              <w:jc w:val="right"/>
              <w:rPr>
                <w:rFonts w:ascii="Arial" w:hAnsi="Arial" w:cs="Arial"/>
                <w:sz w:val="16"/>
                <w:szCs w:val="16"/>
              </w:rPr>
            </w:pPr>
            <w:r>
              <w:rPr>
                <w:rFonts w:ascii="Arial" w:hAnsi="Arial" w:cs="Arial"/>
                <w:sz w:val="16"/>
                <w:szCs w:val="16"/>
              </w:rPr>
              <w:t>-</w:t>
            </w:r>
          </w:p>
        </w:tc>
        <w:tc>
          <w:tcPr>
            <w:tcW w:w="1009" w:type="dxa"/>
            <w:tcBorders>
              <w:top w:val="nil"/>
              <w:left w:val="nil"/>
              <w:bottom w:val="nil"/>
              <w:right w:val="nil"/>
            </w:tcBorders>
            <w:shd w:val="clear" w:color="auto" w:fill="auto"/>
            <w:noWrap/>
            <w:vAlign w:val="bottom"/>
          </w:tcPr>
          <w:p w14:paraId="7BEA3EF4" w14:textId="68D55C47" w:rsidR="00B7363C" w:rsidRPr="00E26332" w:rsidRDefault="00147F69" w:rsidP="00C57688">
            <w:pPr>
              <w:spacing w:after="0" w:line="240" w:lineRule="auto"/>
              <w:jc w:val="right"/>
              <w:rPr>
                <w:rFonts w:ascii="Arial" w:hAnsi="Arial" w:cs="Arial"/>
                <w:sz w:val="16"/>
                <w:szCs w:val="16"/>
              </w:rPr>
            </w:pPr>
            <w:r>
              <w:rPr>
                <w:rFonts w:ascii="Arial" w:hAnsi="Arial" w:cs="Arial"/>
                <w:sz w:val="16"/>
                <w:szCs w:val="16"/>
              </w:rPr>
              <w:t>28,907</w:t>
            </w:r>
          </w:p>
        </w:tc>
        <w:tc>
          <w:tcPr>
            <w:tcW w:w="968" w:type="dxa"/>
            <w:tcBorders>
              <w:top w:val="nil"/>
              <w:left w:val="nil"/>
              <w:bottom w:val="nil"/>
              <w:right w:val="nil"/>
            </w:tcBorders>
            <w:shd w:val="clear" w:color="auto" w:fill="auto"/>
            <w:noWrap/>
            <w:vAlign w:val="bottom"/>
          </w:tcPr>
          <w:p w14:paraId="647E0D66" w14:textId="57FACB1D" w:rsidR="00B7363C" w:rsidRPr="00E26332" w:rsidRDefault="00B7363C" w:rsidP="00C57688">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tcPr>
          <w:p w14:paraId="52D4FE82" w14:textId="0408E403" w:rsidR="00B7363C" w:rsidRPr="00E26332" w:rsidRDefault="00B7363C" w:rsidP="00C57688">
            <w:pPr>
              <w:spacing w:after="0" w:line="240" w:lineRule="auto"/>
              <w:jc w:val="right"/>
              <w:rPr>
                <w:rFonts w:ascii="Arial" w:hAnsi="Arial" w:cs="Arial"/>
                <w:sz w:val="16"/>
                <w:szCs w:val="16"/>
              </w:rPr>
            </w:pPr>
            <w:r>
              <w:rPr>
                <w:rFonts w:ascii="Arial" w:hAnsi="Arial" w:cs="Arial"/>
                <w:sz w:val="16"/>
                <w:szCs w:val="16"/>
              </w:rPr>
              <w:t>-</w:t>
            </w:r>
          </w:p>
        </w:tc>
        <w:tc>
          <w:tcPr>
            <w:tcW w:w="1195" w:type="dxa"/>
            <w:tcBorders>
              <w:top w:val="nil"/>
              <w:left w:val="nil"/>
              <w:bottom w:val="nil"/>
              <w:right w:val="nil"/>
            </w:tcBorders>
            <w:shd w:val="clear" w:color="auto" w:fill="auto"/>
            <w:noWrap/>
            <w:vAlign w:val="bottom"/>
          </w:tcPr>
          <w:p w14:paraId="5034B61D" w14:textId="05A1B2E9" w:rsidR="00B7363C" w:rsidRPr="00E26332" w:rsidRDefault="00147F69" w:rsidP="00147F69">
            <w:pPr>
              <w:spacing w:after="0" w:line="240" w:lineRule="auto"/>
              <w:jc w:val="right"/>
              <w:rPr>
                <w:rFonts w:ascii="Arial" w:hAnsi="Arial" w:cs="Arial"/>
                <w:sz w:val="16"/>
                <w:szCs w:val="16"/>
              </w:rPr>
            </w:pPr>
            <w:r>
              <w:rPr>
                <w:rFonts w:ascii="Arial" w:hAnsi="Arial" w:cs="Arial"/>
                <w:sz w:val="16"/>
                <w:szCs w:val="16"/>
              </w:rPr>
              <w:t>28,907</w:t>
            </w:r>
          </w:p>
        </w:tc>
      </w:tr>
      <w:tr w:rsidR="008B5B66" w:rsidRPr="00E26332" w14:paraId="14FDA398" w14:textId="77777777" w:rsidTr="00147F69">
        <w:trPr>
          <w:trHeight w:val="204"/>
        </w:trPr>
        <w:tc>
          <w:tcPr>
            <w:tcW w:w="2117" w:type="dxa"/>
            <w:tcBorders>
              <w:top w:val="nil"/>
              <w:left w:val="nil"/>
              <w:bottom w:val="nil"/>
              <w:right w:val="nil"/>
            </w:tcBorders>
            <w:shd w:val="clear" w:color="auto" w:fill="auto"/>
            <w:hideMark/>
          </w:tcPr>
          <w:p w14:paraId="690B2AEA" w14:textId="21826023" w:rsidR="008B5B66" w:rsidRPr="00E26332" w:rsidRDefault="008B5B66" w:rsidP="00F40534">
            <w:pPr>
              <w:spacing w:after="0" w:line="240" w:lineRule="auto"/>
              <w:ind w:left="227"/>
              <w:jc w:val="left"/>
              <w:rPr>
                <w:rFonts w:ascii="Arial" w:hAnsi="Arial" w:cs="Arial"/>
                <w:color w:val="000000"/>
                <w:sz w:val="16"/>
                <w:szCs w:val="16"/>
              </w:rPr>
            </w:pPr>
            <w:r w:rsidRPr="00E26332">
              <w:rPr>
                <w:rFonts w:ascii="Arial" w:hAnsi="Arial" w:cs="Arial"/>
                <w:color w:val="000000"/>
                <w:sz w:val="16"/>
                <w:szCs w:val="16"/>
              </w:rPr>
              <w:t xml:space="preserve">By purchase - appropriation ordinary annual services </w:t>
            </w:r>
            <w:r w:rsidRPr="00E26332">
              <w:rPr>
                <w:rFonts w:ascii="Arial" w:hAnsi="Arial" w:cs="Arial"/>
                <w:color w:val="000000"/>
                <w:sz w:val="16"/>
                <w:szCs w:val="16"/>
                <w:vertAlign w:val="superscript"/>
              </w:rPr>
              <w:t>(</w:t>
            </w:r>
            <w:r w:rsidR="00F40534">
              <w:rPr>
                <w:rFonts w:ascii="Arial" w:hAnsi="Arial" w:cs="Arial"/>
                <w:color w:val="000000"/>
                <w:sz w:val="16"/>
                <w:szCs w:val="16"/>
                <w:vertAlign w:val="superscript"/>
              </w:rPr>
              <w:t>b</w:t>
            </w:r>
            <w:r w:rsidRPr="00E26332">
              <w:rPr>
                <w:rFonts w:ascii="Arial" w:hAnsi="Arial" w:cs="Arial"/>
                <w:color w:val="000000"/>
                <w:sz w:val="16"/>
                <w:szCs w:val="16"/>
                <w:vertAlign w:val="superscript"/>
              </w:rPr>
              <w:t>)</w:t>
            </w:r>
          </w:p>
        </w:tc>
        <w:tc>
          <w:tcPr>
            <w:tcW w:w="813" w:type="dxa"/>
            <w:tcBorders>
              <w:top w:val="nil"/>
              <w:left w:val="nil"/>
              <w:bottom w:val="nil"/>
              <w:right w:val="nil"/>
            </w:tcBorders>
            <w:shd w:val="clear" w:color="auto" w:fill="auto"/>
            <w:noWrap/>
            <w:vAlign w:val="bottom"/>
            <w:hideMark/>
          </w:tcPr>
          <w:p w14:paraId="6C7A4097" w14:textId="38FA34E2" w:rsidR="008B5B66" w:rsidRPr="00E26332" w:rsidRDefault="008B5B66"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w:t>
            </w:r>
          </w:p>
        </w:tc>
        <w:tc>
          <w:tcPr>
            <w:tcW w:w="881" w:type="dxa"/>
            <w:tcBorders>
              <w:top w:val="nil"/>
              <w:left w:val="nil"/>
              <w:bottom w:val="nil"/>
              <w:right w:val="nil"/>
            </w:tcBorders>
            <w:shd w:val="clear" w:color="auto" w:fill="auto"/>
            <w:noWrap/>
            <w:vAlign w:val="bottom"/>
            <w:hideMark/>
          </w:tcPr>
          <w:p w14:paraId="290CC077" w14:textId="71CB8B9A" w:rsidR="008B5B66" w:rsidRPr="00E26332" w:rsidRDefault="008B5B66"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476</w:t>
            </w:r>
          </w:p>
        </w:tc>
        <w:tc>
          <w:tcPr>
            <w:tcW w:w="1009" w:type="dxa"/>
            <w:tcBorders>
              <w:top w:val="nil"/>
              <w:left w:val="nil"/>
              <w:bottom w:val="nil"/>
              <w:right w:val="nil"/>
            </w:tcBorders>
            <w:shd w:val="clear" w:color="auto" w:fill="auto"/>
            <w:noWrap/>
            <w:vAlign w:val="bottom"/>
            <w:hideMark/>
          </w:tcPr>
          <w:p w14:paraId="69406660" w14:textId="174E6F8F" w:rsidR="008B5B66" w:rsidRPr="00E26332" w:rsidRDefault="00147F69" w:rsidP="00C57688">
            <w:pPr>
              <w:spacing w:after="0" w:line="240" w:lineRule="auto"/>
              <w:jc w:val="right"/>
              <w:rPr>
                <w:rFonts w:ascii="Arial" w:hAnsi="Arial" w:cs="Arial"/>
                <w:color w:val="000000"/>
                <w:sz w:val="16"/>
                <w:szCs w:val="16"/>
              </w:rPr>
            </w:pPr>
            <w:r>
              <w:rPr>
                <w:rFonts w:ascii="Arial" w:hAnsi="Arial" w:cs="Arial"/>
                <w:color w:val="000000"/>
                <w:sz w:val="16"/>
                <w:szCs w:val="16"/>
              </w:rPr>
              <w:t>11,223</w:t>
            </w:r>
          </w:p>
        </w:tc>
        <w:tc>
          <w:tcPr>
            <w:tcW w:w="968" w:type="dxa"/>
            <w:tcBorders>
              <w:top w:val="nil"/>
              <w:left w:val="nil"/>
              <w:bottom w:val="nil"/>
              <w:right w:val="nil"/>
            </w:tcBorders>
            <w:shd w:val="clear" w:color="auto" w:fill="auto"/>
            <w:noWrap/>
            <w:vAlign w:val="bottom"/>
            <w:hideMark/>
          </w:tcPr>
          <w:p w14:paraId="66A46636" w14:textId="4CDB5A1A" w:rsidR="008B5B66" w:rsidRPr="00E26332" w:rsidRDefault="008B5B66" w:rsidP="00C57688">
            <w:pPr>
              <w:spacing w:after="0" w:line="240" w:lineRule="auto"/>
              <w:jc w:val="right"/>
              <w:rPr>
                <w:rFonts w:ascii="Arial" w:hAnsi="Arial" w:cs="Arial"/>
                <w:color w:val="000000"/>
                <w:sz w:val="16"/>
                <w:szCs w:val="16"/>
              </w:rPr>
            </w:pPr>
            <w:r>
              <w:rPr>
                <w:rFonts w:ascii="Arial" w:hAnsi="Arial" w:cs="Arial"/>
                <w:color w:val="000000"/>
                <w:sz w:val="16"/>
                <w:szCs w:val="16"/>
              </w:rPr>
              <w:t>1,876</w:t>
            </w:r>
          </w:p>
        </w:tc>
        <w:tc>
          <w:tcPr>
            <w:tcW w:w="981" w:type="dxa"/>
            <w:tcBorders>
              <w:top w:val="nil"/>
              <w:left w:val="nil"/>
              <w:bottom w:val="nil"/>
              <w:right w:val="nil"/>
            </w:tcBorders>
            <w:shd w:val="clear" w:color="auto" w:fill="auto"/>
            <w:noWrap/>
            <w:vAlign w:val="bottom"/>
            <w:hideMark/>
          </w:tcPr>
          <w:p w14:paraId="4BF210B0" w14:textId="161C7422" w:rsidR="008B5B66" w:rsidRPr="00E26332" w:rsidRDefault="008B5B66" w:rsidP="00C57688">
            <w:pPr>
              <w:spacing w:after="0" w:line="240" w:lineRule="auto"/>
              <w:jc w:val="right"/>
              <w:rPr>
                <w:rFonts w:ascii="Arial" w:hAnsi="Arial" w:cs="Arial"/>
                <w:color w:val="000000"/>
                <w:sz w:val="16"/>
                <w:szCs w:val="16"/>
              </w:rPr>
            </w:pPr>
            <w:r>
              <w:rPr>
                <w:rFonts w:ascii="Arial" w:hAnsi="Arial" w:cs="Arial"/>
                <w:color w:val="000000"/>
                <w:sz w:val="16"/>
                <w:szCs w:val="16"/>
              </w:rPr>
              <w:t>31</w:t>
            </w:r>
          </w:p>
        </w:tc>
        <w:tc>
          <w:tcPr>
            <w:tcW w:w="1195" w:type="dxa"/>
            <w:tcBorders>
              <w:top w:val="nil"/>
              <w:left w:val="nil"/>
              <w:bottom w:val="nil"/>
              <w:right w:val="nil"/>
            </w:tcBorders>
            <w:shd w:val="clear" w:color="auto" w:fill="auto"/>
            <w:noWrap/>
            <w:vAlign w:val="bottom"/>
            <w:hideMark/>
          </w:tcPr>
          <w:p w14:paraId="20771F6F" w14:textId="745F6010" w:rsidR="008B5B66" w:rsidRPr="00E26332" w:rsidRDefault="00147F69" w:rsidP="00C57688">
            <w:pPr>
              <w:spacing w:after="0" w:line="240" w:lineRule="auto"/>
              <w:jc w:val="right"/>
              <w:rPr>
                <w:rFonts w:ascii="Arial" w:hAnsi="Arial" w:cs="Arial"/>
                <w:color w:val="000000"/>
                <w:sz w:val="16"/>
                <w:szCs w:val="16"/>
              </w:rPr>
            </w:pPr>
            <w:r>
              <w:rPr>
                <w:rFonts w:ascii="Arial" w:hAnsi="Arial" w:cs="Arial"/>
                <w:color w:val="000000"/>
                <w:sz w:val="16"/>
                <w:szCs w:val="16"/>
              </w:rPr>
              <w:t>13,606</w:t>
            </w:r>
          </w:p>
        </w:tc>
      </w:tr>
      <w:tr w:rsidR="008B5B66" w:rsidRPr="00E26332" w14:paraId="40FB183D" w14:textId="77777777" w:rsidTr="00147F69">
        <w:trPr>
          <w:trHeight w:val="204"/>
        </w:trPr>
        <w:tc>
          <w:tcPr>
            <w:tcW w:w="2117" w:type="dxa"/>
            <w:tcBorders>
              <w:top w:val="nil"/>
              <w:left w:val="nil"/>
              <w:bottom w:val="nil"/>
              <w:right w:val="nil"/>
            </w:tcBorders>
            <w:shd w:val="clear" w:color="auto" w:fill="auto"/>
            <w:noWrap/>
            <w:hideMark/>
          </w:tcPr>
          <w:p w14:paraId="6179AF85" w14:textId="77777777" w:rsidR="008B5B66" w:rsidRPr="00E26332" w:rsidRDefault="008B5B66" w:rsidP="008B5B66">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Total additions</w:t>
            </w:r>
          </w:p>
        </w:tc>
        <w:tc>
          <w:tcPr>
            <w:tcW w:w="813" w:type="dxa"/>
            <w:tcBorders>
              <w:top w:val="single" w:sz="4" w:space="0" w:color="auto"/>
              <w:left w:val="nil"/>
              <w:bottom w:val="single" w:sz="4" w:space="0" w:color="auto"/>
              <w:right w:val="nil"/>
            </w:tcBorders>
            <w:shd w:val="clear" w:color="auto" w:fill="auto"/>
            <w:noWrap/>
            <w:vAlign w:val="bottom"/>
            <w:hideMark/>
          </w:tcPr>
          <w:p w14:paraId="144F6F17" w14:textId="45195584" w:rsidR="008B5B66" w:rsidRPr="00E26332" w:rsidRDefault="008B5B66" w:rsidP="00C57688">
            <w:pPr>
              <w:spacing w:after="0" w:line="240" w:lineRule="auto"/>
              <w:jc w:val="right"/>
              <w:rPr>
                <w:rFonts w:ascii="Arial" w:hAnsi="Arial" w:cs="Arial"/>
                <w:b/>
                <w:bCs/>
                <w:color w:val="000000"/>
                <w:sz w:val="16"/>
                <w:szCs w:val="16"/>
              </w:rPr>
            </w:pPr>
            <w:r w:rsidRPr="00E26332">
              <w:rPr>
                <w:rFonts w:ascii="Arial" w:hAnsi="Arial" w:cs="Arial"/>
                <w:b/>
                <w:bCs/>
                <w:color w:val="000000"/>
                <w:sz w:val="16"/>
                <w:szCs w:val="16"/>
              </w:rPr>
              <w:t>-</w:t>
            </w:r>
          </w:p>
        </w:tc>
        <w:tc>
          <w:tcPr>
            <w:tcW w:w="881" w:type="dxa"/>
            <w:tcBorders>
              <w:top w:val="single" w:sz="4" w:space="0" w:color="auto"/>
              <w:left w:val="nil"/>
              <w:bottom w:val="single" w:sz="4" w:space="0" w:color="auto"/>
              <w:right w:val="nil"/>
            </w:tcBorders>
            <w:shd w:val="clear" w:color="auto" w:fill="auto"/>
            <w:noWrap/>
            <w:vAlign w:val="bottom"/>
            <w:hideMark/>
          </w:tcPr>
          <w:p w14:paraId="46657CCD" w14:textId="77F2711B" w:rsidR="008B5B66" w:rsidRPr="00E26332" w:rsidRDefault="008B5B66" w:rsidP="00C57688">
            <w:pPr>
              <w:spacing w:after="0" w:line="240" w:lineRule="auto"/>
              <w:jc w:val="right"/>
              <w:rPr>
                <w:rFonts w:ascii="Arial" w:hAnsi="Arial" w:cs="Arial"/>
                <w:b/>
                <w:bCs/>
                <w:color w:val="000000"/>
                <w:sz w:val="16"/>
                <w:szCs w:val="16"/>
              </w:rPr>
            </w:pPr>
            <w:r w:rsidRPr="00E26332">
              <w:rPr>
                <w:rFonts w:ascii="Arial" w:hAnsi="Arial" w:cs="Arial"/>
                <w:b/>
                <w:bCs/>
                <w:color w:val="000000"/>
                <w:sz w:val="16"/>
                <w:szCs w:val="16"/>
              </w:rPr>
              <w:t>476</w:t>
            </w:r>
          </w:p>
        </w:tc>
        <w:tc>
          <w:tcPr>
            <w:tcW w:w="1009" w:type="dxa"/>
            <w:tcBorders>
              <w:top w:val="single" w:sz="4" w:space="0" w:color="auto"/>
              <w:left w:val="nil"/>
              <w:bottom w:val="single" w:sz="4" w:space="0" w:color="auto"/>
              <w:right w:val="nil"/>
            </w:tcBorders>
            <w:shd w:val="clear" w:color="auto" w:fill="auto"/>
            <w:noWrap/>
            <w:vAlign w:val="bottom"/>
            <w:hideMark/>
          </w:tcPr>
          <w:p w14:paraId="3E71AE32" w14:textId="02B71C0A" w:rsidR="008B5B66" w:rsidRPr="00E26332" w:rsidRDefault="008B5B66"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40,130</w:t>
            </w:r>
          </w:p>
        </w:tc>
        <w:tc>
          <w:tcPr>
            <w:tcW w:w="968" w:type="dxa"/>
            <w:tcBorders>
              <w:top w:val="single" w:sz="4" w:space="0" w:color="auto"/>
              <w:left w:val="nil"/>
              <w:bottom w:val="single" w:sz="4" w:space="0" w:color="auto"/>
              <w:right w:val="nil"/>
            </w:tcBorders>
            <w:shd w:val="clear" w:color="auto" w:fill="auto"/>
            <w:noWrap/>
            <w:vAlign w:val="bottom"/>
            <w:hideMark/>
          </w:tcPr>
          <w:p w14:paraId="2A349952" w14:textId="45BB61BB" w:rsidR="008B5B66" w:rsidRPr="00E26332" w:rsidRDefault="008B5B66"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1,876</w:t>
            </w:r>
          </w:p>
        </w:tc>
        <w:tc>
          <w:tcPr>
            <w:tcW w:w="981" w:type="dxa"/>
            <w:tcBorders>
              <w:top w:val="single" w:sz="4" w:space="0" w:color="auto"/>
              <w:left w:val="nil"/>
              <w:bottom w:val="single" w:sz="4" w:space="0" w:color="auto"/>
              <w:right w:val="nil"/>
            </w:tcBorders>
            <w:shd w:val="clear" w:color="auto" w:fill="auto"/>
            <w:noWrap/>
            <w:vAlign w:val="bottom"/>
            <w:hideMark/>
          </w:tcPr>
          <w:p w14:paraId="3EEA9A82" w14:textId="40A12252" w:rsidR="008B5B66" w:rsidRPr="00E26332" w:rsidRDefault="008B5B66"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31</w:t>
            </w:r>
          </w:p>
        </w:tc>
        <w:tc>
          <w:tcPr>
            <w:tcW w:w="1195" w:type="dxa"/>
            <w:tcBorders>
              <w:top w:val="single" w:sz="4" w:space="0" w:color="auto"/>
              <w:left w:val="nil"/>
              <w:bottom w:val="single" w:sz="4" w:space="0" w:color="auto"/>
              <w:right w:val="nil"/>
            </w:tcBorders>
            <w:shd w:val="clear" w:color="auto" w:fill="auto"/>
            <w:noWrap/>
            <w:vAlign w:val="bottom"/>
            <w:hideMark/>
          </w:tcPr>
          <w:p w14:paraId="49363E26" w14:textId="00AE770A" w:rsidR="008B5B66" w:rsidRPr="00E26332" w:rsidRDefault="008B5B66"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42,513</w:t>
            </w:r>
          </w:p>
        </w:tc>
      </w:tr>
      <w:tr w:rsidR="00B6110C" w:rsidRPr="00E26332" w14:paraId="3997587E" w14:textId="77777777" w:rsidTr="00147F69">
        <w:trPr>
          <w:trHeight w:val="204"/>
        </w:trPr>
        <w:tc>
          <w:tcPr>
            <w:tcW w:w="2117" w:type="dxa"/>
            <w:tcBorders>
              <w:top w:val="nil"/>
              <w:left w:val="nil"/>
              <w:bottom w:val="nil"/>
              <w:right w:val="nil"/>
            </w:tcBorders>
            <w:shd w:val="clear" w:color="auto" w:fill="auto"/>
            <w:hideMark/>
          </w:tcPr>
          <w:p w14:paraId="7BDDAD3B" w14:textId="77777777" w:rsidR="00B6110C" w:rsidRPr="00E26332" w:rsidRDefault="00B6110C" w:rsidP="006B3C79">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Other movements</w:t>
            </w:r>
          </w:p>
        </w:tc>
        <w:tc>
          <w:tcPr>
            <w:tcW w:w="813" w:type="dxa"/>
            <w:tcBorders>
              <w:top w:val="nil"/>
              <w:left w:val="nil"/>
              <w:bottom w:val="nil"/>
              <w:right w:val="nil"/>
            </w:tcBorders>
            <w:shd w:val="clear" w:color="auto" w:fill="auto"/>
            <w:noWrap/>
            <w:vAlign w:val="bottom"/>
            <w:hideMark/>
          </w:tcPr>
          <w:p w14:paraId="024B9ECF" w14:textId="77777777" w:rsidR="00B6110C" w:rsidRPr="00E26332" w:rsidRDefault="00B6110C" w:rsidP="00C57688">
            <w:pPr>
              <w:spacing w:after="0" w:line="240" w:lineRule="auto"/>
              <w:ind w:firstLineChars="100" w:firstLine="160"/>
              <w:jc w:val="right"/>
              <w:rPr>
                <w:rFonts w:ascii="Arial" w:hAnsi="Arial" w:cs="Arial"/>
                <w:b/>
                <w:bCs/>
                <w:color w:val="000000"/>
                <w:sz w:val="16"/>
                <w:szCs w:val="16"/>
              </w:rPr>
            </w:pPr>
          </w:p>
        </w:tc>
        <w:tc>
          <w:tcPr>
            <w:tcW w:w="881" w:type="dxa"/>
            <w:tcBorders>
              <w:top w:val="nil"/>
              <w:left w:val="nil"/>
              <w:bottom w:val="nil"/>
              <w:right w:val="nil"/>
            </w:tcBorders>
            <w:shd w:val="clear" w:color="auto" w:fill="auto"/>
            <w:noWrap/>
            <w:vAlign w:val="bottom"/>
            <w:hideMark/>
          </w:tcPr>
          <w:p w14:paraId="2A180DBE" w14:textId="77777777" w:rsidR="00B6110C" w:rsidRPr="00E26332" w:rsidRDefault="00B6110C" w:rsidP="00C57688">
            <w:pPr>
              <w:spacing w:after="0" w:line="240" w:lineRule="auto"/>
              <w:jc w:val="right"/>
              <w:rPr>
                <w:rFonts w:ascii="Arial" w:hAnsi="Arial" w:cs="Arial"/>
                <w:sz w:val="16"/>
                <w:szCs w:val="16"/>
              </w:rPr>
            </w:pPr>
          </w:p>
        </w:tc>
        <w:tc>
          <w:tcPr>
            <w:tcW w:w="1009" w:type="dxa"/>
            <w:tcBorders>
              <w:top w:val="nil"/>
              <w:left w:val="nil"/>
              <w:bottom w:val="nil"/>
              <w:right w:val="nil"/>
            </w:tcBorders>
            <w:shd w:val="clear" w:color="auto" w:fill="auto"/>
            <w:noWrap/>
            <w:vAlign w:val="bottom"/>
            <w:hideMark/>
          </w:tcPr>
          <w:p w14:paraId="77D401BF" w14:textId="77777777" w:rsidR="00B6110C" w:rsidRPr="00E26332" w:rsidRDefault="00B6110C" w:rsidP="00C57688">
            <w:pPr>
              <w:spacing w:after="0" w:line="240" w:lineRule="auto"/>
              <w:jc w:val="right"/>
              <w:rPr>
                <w:rFonts w:ascii="Arial" w:hAnsi="Arial" w:cs="Arial"/>
                <w:sz w:val="16"/>
                <w:szCs w:val="16"/>
              </w:rPr>
            </w:pPr>
          </w:p>
        </w:tc>
        <w:tc>
          <w:tcPr>
            <w:tcW w:w="968" w:type="dxa"/>
            <w:tcBorders>
              <w:top w:val="nil"/>
              <w:left w:val="nil"/>
              <w:bottom w:val="nil"/>
              <w:right w:val="nil"/>
            </w:tcBorders>
            <w:shd w:val="clear" w:color="auto" w:fill="auto"/>
            <w:noWrap/>
            <w:vAlign w:val="bottom"/>
            <w:hideMark/>
          </w:tcPr>
          <w:p w14:paraId="1B53F76C" w14:textId="77777777" w:rsidR="00B6110C" w:rsidRPr="00E26332" w:rsidRDefault="00B6110C" w:rsidP="00C57688">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7F47A799" w14:textId="77777777" w:rsidR="00B6110C" w:rsidRPr="00E26332" w:rsidRDefault="00B6110C" w:rsidP="00C57688">
            <w:pPr>
              <w:spacing w:after="0" w:line="240" w:lineRule="auto"/>
              <w:jc w:val="right"/>
              <w:rPr>
                <w:rFonts w:ascii="Arial" w:hAnsi="Arial" w:cs="Arial"/>
                <w:sz w:val="16"/>
                <w:szCs w:val="16"/>
              </w:rPr>
            </w:pPr>
          </w:p>
        </w:tc>
        <w:tc>
          <w:tcPr>
            <w:tcW w:w="1195" w:type="dxa"/>
            <w:tcBorders>
              <w:top w:val="nil"/>
              <w:left w:val="nil"/>
              <w:bottom w:val="nil"/>
              <w:right w:val="nil"/>
            </w:tcBorders>
            <w:shd w:val="clear" w:color="auto" w:fill="auto"/>
            <w:noWrap/>
            <w:vAlign w:val="bottom"/>
            <w:hideMark/>
          </w:tcPr>
          <w:p w14:paraId="7AF58FB7" w14:textId="77777777" w:rsidR="00B6110C" w:rsidRPr="00E26332" w:rsidRDefault="00B6110C" w:rsidP="00C57688">
            <w:pPr>
              <w:spacing w:after="0" w:line="240" w:lineRule="auto"/>
              <w:jc w:val="right"/>
              <w:rPr>
                <w:rFonts w:ascii="Arial" w:hAnsi="Arial" w:cs="Arial"/>
                <w:sz w:val="16"/>
                <w:szCs w:val="16"/>
              </w:rPr>
            </w:pPr>
          </w:p>
        </w:tc>
      </w:tr>
      <w:tr w:rsidR="00B6110C" w:rsidRPr="00E26332" w14:paraId="136F4009" w14:textId="77777777" w:rsidTr="00147F69">
        <w:trPr>
          <w:trHeight w:val="204"/>
        </w:trPr>
        <w:tc>
          <w:tcPr>
            <w:tcW w:w="2117" w:type="dxa"/>
            <w:tcBorders>
              <w:top w:val="nil"/>
              <w:left w:val="nil"/>
              <w:bottom w:val="nil"/>
              <w:right w:val="nil"/>
            </w:tcBorders>
            <w:shd w:val="clear" w:color="auto" w:fill="auto"/>
            <w:noWrap/>
            <w:hideMark/>
          </w:tcPr>
          <w:p w14:paraId="7E2A9ABC" w14:textId="20ABEB66" w:rsidR="00B6110C" w:rsidRPr="00E26332" w:rsidRDefault="00B6110C" w:rsidP="00B6110C">
            <w:pPr>
              <w:spacing w:after="0" w:line="240" w:lineRule="auto"/>
              <w:ind w:left="113"/>
              <w:jc w:val="left"/>
              <w:rPr>
                <w:rFonts w:ascii="Arial" w:hAnsi="Arial" w:cs="Arial"/>
                <w:color w:val="000000"/>
                <w:sz w:val="16"/>
                <w:szCs w:val="16"/>
              </w:rPr>
            </w:pPr>
            <w:r w:rsidRPr="00E26332">
              <w:rPr>
                <w:rFonts w:ascii="Arial" w:hAnsi="Arial" w:cs="Arial"/>
                <w:color w:val="000000"/>
                <w:sz w:val="16"/>
                <w:szCs w:val="16"/>
              </w:rPr>
              <w:t>Depreciation/</w:t>
            </w:r>
            <w:r w:rsidR="00147F69">
              <w:rPr>
                <w:rFonts w:ascii="Arial" w:hAnsi="Arial" w:cs="Arial"/>
                <w:color w:val="000000"/>
                <w:sz w:val="16"/>
                <w:szCs w:val="16"/>
              </w:rPr>
              <w:t xml:space="preserve"> </w:t>
            </w:r>
            <w:r w:rsidRPr="00E26332">
              <w:rPr>
                <w:rFonts w:ascii="Arial" w:hAnsi="Arial" w:cs="Arial"/>
                <w:color w:val="000000"/>
                <w:sz w:val="16"/>
                <w:szCs w:val="16"/>
              </w:rPr>
              <w:t>amortisation expense</w:t>
            </w:r>
          </w:p>
        </w:tc>
        <w:tc>
          <w:tcPr>
            <w:tcW w:w="813" w:type="dxa"/>
            <w:tcBorders>
              <w:top w:val="nil"/>
              <w:left w:val="nil"/>
              <w:right w:val="nil"/>
            </w:tcBorders>
            <w:shd w:val="clear" w:color="auto" w:fill="auto"/>
            <w:noWrap/>
            <w:vAlign w:val="bottom"/>
            <w:hideMark/>
          </w:tcPr>
          <w:p w14:paraId="437F0AA5" w14:textId="3A3ED13E"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w:t>
            </w:r>
          </w:p>
        </w:tc>
        <w:tc>
          <w:tcPr>
            <w:tcW w:w="881" w:type="dxa"/>
            <w:tcBorders>
              <w:top w:val="nil"/>
              <w:left w:val="nil"/>
              <w:right w:val="nil"/>
            </w:tcBorders>
            <w:shd w:val="clear" w:color="auto" w:fill="auto"/>
            <w:noWrap/>
            <w:vAlign w:val="bottom"/>
            <w:hideMark/>
          </w:tcPr>
          <w:p w14:paraId="7BC82897"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(695)</w:t>
            </w:r>
          </w:p>
        </w:tc>
        <w:tc>
          <w:tcPr>
            <w:tcW w:w="1009" w:type="dxa"/>
            <w:tcBorders>
              <w:top w:val="nil"/>
              <w:left w:val="nil"/>
              <w:right w:val="nil"/>
            </w:tcBorders>
            <w:shd w:val="clear" w:color="auto" w:fill="auto"/>
            <w:noWrap/>
            <w:vAlign w:val="bottom"/>
            <w:hideMark/>
          </w:tcPr>
          <w:p w14:paraId="48CA2217"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(23,047)</w:t>
            </w:r>
          </w:p>
        </w:tc>
        <w:tc>
          <w:tcPr>
            <w:tcW w:w="968" w:type="dxa"/>
            <w:tcBorders>
              <w:top w:val="nil"/>
              <w:left w:val="nil"/>
              <w:right w:val="nil"/>
            </w:tcBorders>
            <w:shd w:val="clear" w:color="auto" w:fill="auto"/>
            <w:noWrap/>
            <w:vAlign w:val="bottom"/>
            <w:hideMark/>
          </w:tcPr>
          <w:p w14:paraId="0D8AA24D"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(891)</w:t>
            </w:r>
          </w:p>
        </w:tc>
        <w:tc>
          <w:tcPr>
            <w:tcW w:w="981" w:type="dxa"/>
            <w:tcBorders>
              <w:top w:val="nil"/>
              <w:left w:val="nil"/>
              <w:right w:val="nil"/>
            </w:tcBorders>
            <w:shd w:val="clear" w:color="auto" w:fill="auto"/>
            <w:noWrap/>
            <w:vAlign w:val="bottom"/>
            <w:hideMark/>
          </w:tcPr>
          <w:p w14:paraId="1A812490"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(45)</w:t>
            </w:r>
          </w:p>
        </w:tc>
        <w:tc>
          <w:tcPr>
            <w:tcW w:w="1195" w:type="dxa"/>
            <w:tcBorders>
              <w:top w:val="nil"/>
              <w:left w:val="nil"/>
              <w:right w:val="nil"/>
            </w:tcBorders>
            <w:shd w:val="clear" w:color="auto" w:fill="auto"/>
            <w:noWrap/>
            <w:vAlign w:val="bottom"/>
            <w:hideMark/>
          </w:tcPr>
          <w:p w14:paraId="676471D1"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(24,678)</w:t>
            </w:r>
          </w:p>
        </w:tc>
      </w:tr>
      <w:tr w:rsidR="00B6110C" w:rsidRPr="00E26332" w14:paraId="3239EA15" w14:textId="77777777" w:rsidTr="00147F69">
        <w:trPr>
          <w:trHeight w:val="204"/>
        </w:trPr>
        <w:tc>
          <w:tcPr>
            <w:tcW w:w="2117" w:type="dxa"/>
            <w:tcBorders>
              <w:top w:val="nil"/>
              <w:left w:val="nil"/>
              <w:bottom w:val="nil"/>
              <w:right w:val="nil"/>
            </w:tcBorders>
            <w:shd w:val="clear" w:color="auto" w:fill="auto"/>
            <w:noWrap/>
            <w:hideMark/>
          </w:tcPr>
          <w:p w14:paraId="2DF85C55" w14:textId="77777777" w:rsidR="00B6110C" w:rsidRPr="00E26332" w:rsidRDefault="00B6110C" w:rsidP="00B6110C">
            <w:pPr>
              <w:spacing w:after="0" w:line="240" w:lineRule="auto"/>
              <w:ind w:left="113"/>
              <w:jc w:val="left"/>
              <w:rPr>
                <w:rFonts w:ascii="Arial" w:hAnsi="Arial" w:cs="Arial"/>
                <w:color w:val="000000"/>
                <w:sz w:val="16"/>
                <w:szCs w:val="16"/>
              </w:rPr>
            </w:pPr>
            <w:r w:rsidRPr="00E26332">
              <w:rPr>
                <w:rFonts w:ascii="Arial" w:hAnsi="Arial" w:cs="Arial"/>
                <w:color w:val="000000"/>
                <w:sz w:val="16"/>
                <w:szCs w:val="16"/>
              </w:rPr>
              <w:t>Other</w:t>
            </w:r>
          </w:p>
        </w:tc>
        <w:tc>
          <w:tcPr>
            <w:tcW w:w="813" w:type="dxa"/>
            <w:tcBorders>
              <w:top w:val="nil"/>
              <w:left w:val="nil"/>
              <w:bottom w:val="single" w:sz="4" w:space="0" w:color="auto"/>
              <w:right w:val="nil"/>
            </w:tcBorders>
            <w:shd w:val="clear" w:color="auto" w:fill="auto"/>
            <w:noWrap/>
            <w:vAlign w:val="bottom"/>
            <w:hideMark/>
          </w:tcPr>
          <w:p w14:paraId="2BFAF229" w14:textId="16EDFC03"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w:t>
            </w:r>
          </w:p>
        </w:tc>
        <w:tc>
          <w:tcPr>
            <w:tcW w:w="881" w:type="dxa"/>
            <w:tcBorders>
              <w:top w:val="nil"/>
              <w:left w:val="nil"/>
              <w:bottom w:val="single" w:sz="4" w:space="0" w:color="auto"/>
              <w:right w:val="nil"/>
            </w:tcBorders>
            <w:shd w:val="clear" w:color="auto" w:fill="auto"/>
            <w:noWrap/>
            <w:vAlign w:val="bottom"/>
            <w:hideMark/>
          </w:tcPr>
          <w:p w14:paraId="5528DB18" w14:textId="42E9B351"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w:t>
            </w:r>
          </w:p>
        </w:tc>
        <w:tc>
          <w:tcPr>
            <w:tcW w:w="1009" w:type="dxa"/>
            <w:tcBorders>
              <w:top w:val="nil"/>
              <w:left w:val="nil"/>
              <w:bottom w:val="single" w:sz="4" w:space="0" w:color="auto"/>
              <w:right w:val="nil"/>
            </w:tcBorders>
            <w:shd w:val="clear" w:color="auto" w:fill="auto"/>
            <w:noWrap/>
            <w:vAlign w:val="bottom"/>
            <w:hideMark/>
          </w:tcPr>
          <w:p w14:paraId="1B6A1D82"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(2,000)</w:t>
            </w:r>
          </w:p>
        </w:tc>
        <w:tc>
          <w:tcPr>
            <w:tcW w:w="968" w:type="dxa"/>
            <w:tcBorders>
              <w:top w:val="nil"/>
              <w:left w:val="nil"/>
              <w:bottom w:val="single" w:sz="4" w:space="0" w:color="auto"/>
              <w:right w:val="nil"/>
            </w:tcBorders>
            <w:shd w:val="clear" w:color="auto" w:fill="auto"/>
            <w:noWrap/>
            <w:vAlign w:val="bottom"/>
            <w:hideMark/>
          </w:tcPr>
          <w:p w14:paraId="50FACC62" w14:textId="1A90F50F"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w:t>
            </w:r>
          </w:p>
        </w:tc>
        <w:tc>
          <w:tcPr>
            <w:tcW w:w="981" w:type="dxa"/>
            <w:tcBorders>
              <w:top w:val="nil"/>
              <w:left w:val="nil"/>
              <w:bottom w:val="single" w:sz="4" w:space="0" w:color="auto"/>
              <w:right w:val="nil"/>
            </w:tcBorders>
            <w:shd w:val="clear" w:color="auto" w:fill="auto"/>
            <w:noWrap/>
            <w:vAlign w:val="bottom"/>
            <w:hideMark/>
          </w:tcPr>
          <w:p w14:paraId="407FA25E" w14:textId="4615F0A1"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w:t>
            </w:r>
          </w:p>
        </w:tc>
        <w:tc>
          <w:tcPr>
            <w:tcW w:w="1195" w:type="dxa"/>
            <w:tcBorders>
              <w:top w:val="nil"/>
              <w:left w:val="nil"/>
              <w:bottom w:val="single" w:sz="4" w:space="0" w:color="auto"/>
              <w:right w:val="nil"/>
            </w:tcBorders>
            <w:shd w:val="clear" w:color="auto" w:fill="auto"/>
            <w:noWrap/>
            <w:vAlign w:val="bottom"/>
            <w:hideMark/>
          </w:tcPr>
          <w:p w14:paraId="7B84D706" w14:textId="77777777" w:rsidR="00B6110C" w:rsidRPr="00E26332" w:rsidRDefault="00B6110C"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(2,000)</w:t>
            </w:r>
          </w:p>
        </w:tc>
      </w:tr>
      <w:tr w:rsidR="00A254E2" w:rsidRPr="00E26332" w14:paraId="34FA17A3" w14:textId="77777777" w:rsidTr="00147F69">
        <w:trPr>
          <w:trHeight w:val="204"/>
        </w:trPr>
        <w:tc>
          <w:tcPr>
            <w:tcW w:w="2117" w:type="dxa"/>
            <w:tcBorders>
              <w:top w:val="nil"/>
              <w:left w:val="nil"/>
              <w:bottom w:val="nil"/>
              <w:right w:val="nil"/>
            </w:tcBorders>
            <w:shd w:val="clear" w:color="auto" w:fill="auto"/>
            <w:noWrap/>
            <w:hideMark/>
          </w:tcPr>
          <w:p w14:paraId="72D5E67E" w14:textId="3EA4DBE3" w:rsidR="00A254E2" w:rsidRPr="00E26332" w:rsidRDefault="00A254E2" w:rsidP="006B3C79">
            <w:pPr>
              <w:spacing w:after="0" w:line="240" w:lineRule="auto"/>
              <w:rPr>
                <w:rFonts w:ascii="Arial" w:hAnsi="Arial" w:cs="Arial"/>
                <w:color w:val="000000"/>
                <w:sz w:val="16"/>
                <w:szCs w:val="16"/>
              </w:rPr>
            </w:pPr>
            <w:r>
              <w:rPr>
                <w:rFonts w:ascii="Arial" w:hAnsi="Arial" w:cs="Arial"/>
                <w:b/>
                <w:bCs/>
                <w:color w:val="000000"/>
                <w:sz w:val="16"/>
                <w:szCs w:val="16"/>
              </w:rPr>
              <w:t>Total other movements</w:t>
            </w:r>
          </w:p>
        </w:tc>
        <w:tc>
          <w:tcPr>
            <w:tcW w:w="813" w:type="dxa"/>
            <w:tcBorders>
              <w:top w:val="single" w:sz="4" w:space="0" w:color="auto"/>
              <w:left w:val="nil"/>
              <w:bottom w:val="single" w:sz="4" w:space="0" w:color="auto"/>
              <w:right w:val="nil"/>
            </w:tcBorders>
            <w:shd w:val="clear" w:color="auto" w:fill="auto"/>
            <w:noWrap/>
            <w:vAlign w:val="bottom"/>
            <w:hideMark/>
          </w:tcPr>
          <w:p w14:paraId="12F858D3" w14:textId="4019668B" w:rsidR="00A254E2" w:rsidRPr="00E26332" w:rsidRDefault="00A254E2" w:rsidP="00C57688">
            <w:pPr>
              <w:spacing w:after="0" w:line="240" w:lineRule="auto"/>
              <w:jc w:val="right"/>
              <w:rPr>
                <w:rFonts w:ascii="Arial" w:hAnsi="Arial" w:cs="Arial"/>
                <w:sz w:val="16"/>
                <w:szCs w:val="16"/>
              </w:rPr>
            </w:pPr>
            <w:r>
              <w:rPr>
                <w:rFonts w:ascii="Arial" w:hAnsi="Arial" w:cs="Arial"/>
                <w:b/>
                <w:bCs/>
                <w:color w:val="000000"/>
                <w:sz w:val="16"/>
                <w:szCs w:val="16"/>
              </w:rPr>
              <w:t>-</w:t>
            </w:r>
          </w:p>
        </w:tc>
        <w:tc>
          <w:tcPr>
            <w:tcW w:w="881" w:type="dxa"/>
            <w:tcBorders>
              <w:top w:val="single" w:sz="4" w:space="0" w:color="auto"/>
              <w:left w:val="nil"/>
              <w:bottom w:val="single" w:sz="4" w:space="0" w:color="auto"/>
              <w:right w:val="nil"/>
            </w:tcBorders>
            <w:shd w:val="clear" w:color="auto" w:fill="auto"/>
            <w:noWrap/>
            <w:vAlign w:val="bottom"/>
            <w:hideMark/>
          </w:tcPr>
          <w:p w14:paraId="5C74639A" w14:textId="3C4BA2D3" w:rsidR="00A254E2" w:rsidRPr="00E26332" w:rsidRDefault="00A254E2" w:rsidP="00C57688">
            <w:pPr>
              <w:spacing w:after="0" w:line="240" w:lineRule="auto"/>
              <w:jc w:val="right"/>
              <w:rPr>
                <w:rFonts w:ascii="Arial" w:hAnsi="Arial" w:cs="Arial"/>
                <w:sz w:val="16"/>
                <w:szCs w:val="16"/>
              </w:rPr>
            </w:pPr>
            <w:r>
              <w:rPr>
                <w:rFonts w:ascii="Arial" w:hAnsi="Arial" w:cs="Arial"/>
                <w:b/>
                <w:bCs/>
                <w:color w:val="000000"/>
                <w:sz w:val="16"/>
                <w:szCs w:val="16"/>
              </w:rPr>
              <w:t>(695)</w:t>
            </w:r>
          </w:p>
        </w:tc>
        <w:tc>
          <w:tcPr>
            <w:tcW w:w="1009" w:type="dxa"/>
            <w:tcBorders>
              <w:top w:val="single" w:sz="4" w:space="0" w:color="auto"/>
              <w:left w:val="nil"/>
              <w:bottom w:val="single" w:sz="4" w:space="0" w:color="auto"/>
              <w:right w:val="nil"/>
            </w:tcBorders>
            <w:shd w:val="clear" w:color="auto" w:fill="auto"/>
            <w:noWrap/>
            <w:vAlign w:val="bottom"/>
            <w:hideMark/>
          </w:tcPr>
          <w:p w14:paraId="781DF9B0" w14:textId="3CB24EAC" w:rsidR="00A254E2" w:rsidRPr="00E26332" w:rsidRDefault="00A254E2" w:rsidP="00C57688">
            <w:pPr>
              <w:spacing w:after="0" w:line="240" w:lineRule="auto"/>
              <w:jc w:val="right"/>
              <w:rPr>
                <w:rFonts w:ascii="Arial" w:hAnsi="Arial" w:cs="Arial"/>
                <w:sz w:val="16"/>
                <w:szCs w:val="16"/>
              </w:rPr>
            </w:pPr>
            <w:r>
              <w:rPr>
                <w:rFonts w:ascii="Arial" w:hAnsi="Arial" w:cs="Arial"/>
                <w:b/>
                <w:bCs/>
                <w:color w:val="000000"/>
                <w:sz w:val="16"/>
                <w:szCs w:val="16"/>
              </w:rPr>
              <w:t>(25,047)</w:t>
            </w:r>
          </w:p>
        </w:tc>
        <w:tc>
          <w:tcPr>
            <w:tcW w:w="968" w:type="dxa"/>
            <w:tcBorders>
              <w:top w:val="single" w:sz="4" w:space="0" w:color="auto"/>
              <w:left w:val="nil"/>
              <w:bottom w:val="single" w:sz="4" w:space="0" w:color="auto"/>
              <w:right w:val="nil"/>
            </w:tcBorders>
            <w:shd w:val="clear" w:color="auto" w:fill="auto"/>
            <w:noWrap/>
            <w:vAlign w:val="bottom"/>
            <w:hideMark/>
          </w:tcPr>
          <w:p w14:paraId="3100C09C" w14:textId="1F80E40B" w:rsidR="00A254E2" w:rsidRPr="00E26332" w:rsidRDefault="00A254E2" w:rsidP="00C57688">
            <w:pPr>
              <w:spacing w:after="0" w:line="240" w:lineRule="auto"/>
              <w:jc w:val="right"/>
              <w:rPr>
                <w:rFonts w:ascii="Arial" w:hAnsi="Arial" w:cs="Arial"/>
                <w:sz w:val="16"/>
                <w:szCs w:val="16"/>
              </w:rPr>
            </w:pPr>
            <w:r>
              <w:rPr>
                <w:rFonts w:ascii="Arial" w:hAnsi="Arial" w:cs="Arial"/>
                <w:b/>
                <w:bCs/>
                <w:color w:val="000000"/>
                <w:sz w:val="16"/>
                <w:szCs w:val="16"/>
              </w:rPr>
              <w:t>(891)</w:t>
            </w:r>
          </w:p>
        </w:tc>
        <w:tc>
          <w:tcPr>
            <w:tcW w:w="981" w:type="dxa"/>
            <w:tcBorders>
              <w:top w:val="single" w:sz="4" w:space="0" w:color="auto"/>
              <w:left w:val="nil"/>
              <w:bottom w:val="single" w:sz="4" w:space="0" w:color="auto"/>
              <w:right w:val="nil"/>
            </w:tcBorders>
            <w:shd w:val="clear" w:color="auto" w:fill="auto"/>
            <w:noWrap/>
            <w:vAlign w:val="bottom"/>
            <w:hideMark/>
          </w:tcPr>
          <w:p w14:paraId="04E9FB44" w14:textId="2EB93F62" w:rsidR="00A254E2" w:rsidRPr="00E26332" w:rsidRDefault="00A254E2" w:rsidP="00C57688">
            <w:pPr>
              <w:spacing w:after="0" w:line="240" w:lineRule="auto"/>
              <w:jc w:val="right"/>
              <w:rPr>
                <w:rFonts w:ascii="Arial" w:hAnsi="Arial" w:cs="Arial"/>
                <w:sz w:val="16"/>
                <w:szCs w:val="16"/>
              </w:rPr>
            </w:pPr>
            <w:r>
              <w:rPr>
                <w:rFonts w:ascii="Arial" w:hAnsi="Arial" w:cs="Arial"/>
                <w:b/>
                <w:bCs/>
                <w:color w:val="000000"/>
                <w:sz w:val="16"/>
                <w:szCs w:val="16"/>
              </w:rPr>
              <w:t>(45)</w:t>
            </w:r>
          </w:p>
        </w:tc>
        <w:tc>
          <w:tcPr>
            <w:tcW w:w="1195" w:type="dxa"/>
            <w:tcBorders>
              <w:top w:val="single" w:sz="4" w:space="0" w:color="auto"/>
              <w:left w:val="nil"/>
              <w:bottom w:val="single" w:sz="4" w:space="0" w:color="auto"/>
              <w:right w:val="nil"/>
            </w:tcBorders>
            <w:shd w:val="clear" w:color="auto" w:fill="auto"/>
            <w:noWrap/>
            <w:vAlign w:val="bottom"/>
            <w:hideMark/>
          </w:tcPr>
          <w:p w14:paraId="1F5903F9" w14:textId="13C14DB9" w:rsidR="00A254E2" w:rsidRPr="00E26332" w:rsidRDefault="00A254E2" w:rsidP="00C57688">
            <w:pPr>
              <w:spacing w:after="0" w:line="240" w:lineRule="auto"/>
              <w:jc w:val="right"/>
              <w:rPr>
                <w:rFonts w:ascii="Arial" w:hAnsi="Arial" w:cs="Arial"/>
                <w:sz w:val="16"/>
                <w:szCs w:val="16"/>
              </w:rPr>
            </w:pPr>
            <w:r>
              <w:rPr>
                <w:rFonts w:ascii="Arial" w:hAnsi="Arial" w:cs="Arial"/>
                <w:b/>
                <w:bCs/>
                <w:color w:val="000000"/>
                <w:sz w:val="16"/>
                <w:szCs w:val="16"/>
              </w:rPr>
              <w:t>(26,678)</w:t>
            </w:r>
          </w:p>
        </w:tc>
      </w:tr>
      <w:tr w:rsidR="00B6110C" w:rsidRPr="00E26332" w14:paraId="2C952089" w14:textId="77777777" w:rsidTr="00147F69">
        <w:trPr>
          <w:trHeight w:val="204"/>
        </w:trPr>
        <w:tc>
          <w:tcPr>
            <w:tcW w:w="2117" w:type="dxa"/>
            <w:tcBorders>
              <w:top w:val="nil"/>
              <w:left w:val="nil"/>
              <w:bottom w:val="nil"/>
              <w:right w:val="nil"/>
            </w:tcBorders>
            <w:shd w:val="clear" w:color="auto" w:fill="auto"/>
            <w:hideMark/>
          </w:tcPr>
          <w:p w14:paraId="79699A2F" w14:textId="067E27DE" w:rsidR="00B6110C" w:rsidRPr="00E26332" w:rsidRDefault="00B6110C" w:rsidP="00634BFE">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As at 30 June 202</w:t>
            </w:r>
            <w:r w:rsidR="00634BFE">
              <w:rPr>
                <w:rFonts w:ascii="Arial" w:hAnsi="Arial" w:cs="Arial"/>
                <w:b/>
                <w:bCs/>
                <w:color w:val="000000"/>
                <w:sz w:val="16"/>
                <w:szCs w:val="16"/>
              </w:rPr>
              <w:t>2</w:t>
            </w:r>
          </w:p>
        </w:tc>
        <w:tc>
          <w:tcPr>
            <w:tcW w:w="813" w:type="dxa"/>
            <w:tcBorders>
              <w:top w:val="single" w:sz="4" w:space="0" w:color="auto"/>
              <w:left w:val="nil"/>
              <w:bottom w:val="nil"/>
              <w:right w:val="nil"/>
            </w:tcBorders>
            <w:shd w:val="clear" w:color="auto" w:fill="auto"/>
            <w:noWrap/>
            <w:vAlign w:val="bottom"/>
            <w:hideMark/>
          </w:tcPr>
          <w:p w14:paraId="634CF256" w14:textId="77777777" w:rsidR="00B6110C" w:rsidRPr="00E26332" w:rsidRDefault="00B6110C" w:rsidP="00C57688">
            <w:pPr>
              <w:spacing w:after="0" w:line="240" w:lineRule="auto"/>
              <w:jc w:val="right"/>
              <w:rPr>
                <w:rFonts w:ascii="Arial" w:hAnsi="Arial" w:cs="Arial"/>
                <w:b/>
                <w:bCs/>
                <w:color w:val="000000"/>
                <w:sz w:val="16"/>
                <w:szCs w:val="16"/>
              </w:rPr>
            </w:pPr>
          </w:p>
        </w:tc>
        <w:tc>
          <w:tcPr>
            <w:tcW w:w="881" w:type="dxa"/>
            <w:tcBorders>
              <w:top w:val="single" w:sz="4" w:space="0" w:color="auto"/>
              <w:left w:val="nil"/>
              <w:bottom w:val="nil"/>
              <w:right w:val="nil"/>
            </w:tcBorders>
            <w:shd w:val="clear" w:color="auto" w:fill="auto"/>
            <w:noWrap/>
            <w:vAlign w:val="bottom"/>
            <w:hideMark/>
          </w:tcPr>
          <w:p w14:paraId="19F9B16D" w14:textId="77777777" w:rsidR="00B6110C" w:rsidRPr="00E26332" w:rsidRDefault="00B6110C" w:rsidP="00C57688">
            <w:pPr>
              <w:spacing w:after="0" w:line="240" w:lineRule="auto"/>
              <w:jc w:val="right"/>
              <w:rPr>
                <w:rFonts w:ascii="Arial" w:hAnsi="Arial" w:cs="Arial"/>
                <w:sz w:val="16"/>
                <w:szCs w:val="16"/>
              </w:rPr>
            </w:pPr>
          </w:p>
        </w:tc>
        <w:tc>
          <w:tcPr>
            <w:tcW w:w="1009" w:type="dxa"/>
            <w:tcBorders>
              <w:top w:val="single" w:sz="4" w:space="0" w:color="auto"/>
              <w:left w:val="nil"/>
              <w:bottom w:val="nil"/>
              <w:right w:val="nil"/>
            </w:tcBorders>
            <w:shd w:val="clear" w:color="auto" w:fill="auto"/>
            <w:noWrap/>
            <w:vAlign w:val="bottom"/>
            <w:hideMark/>
          </w:tcPr>
          <w:p w14:paraId="1B185075" w14:textId="77777777" w:rsidR="00B6110C" w:rsidRPr="00E26332" w:rsidRDefault="00B6110C" w:rsidP="00C57688">
            <w:pPr>
              <w:spacing w:after="0" w:line="240" w:lineRule="auto"/>
              <w:jc w:val="right"/>
              <w:rPr>
                <w:rFonts w:ascii="Arial" w:hAnsi="Arial" w:cs="Arial"/>
                <w:sz w:val="16"/>
                <w:szCs w:val="16"/>
              </w:rPr>
            </w:pPr>
          </w:p>
        </w:tc>
        <w:tc>
          <w:tcPr>
            <w:tcW w:w="968" w:type="dxa"/>
            <w:tcBorders>
              <w:top w:val="single" w:sz="4" w:space="0" w:color="auto"/>
              <w:left w:val="nil"/>
              <w:bottom w:val="nil"/>
              <w:right w:val="nil"/>
            </w:tcBorders>
            <w:shd w:val="clear" w:color="auto" w:fill="auto"/>
            <w:noWrap/>
            <w:vAlign w:val="bottom"/>
            <w:hideMark/>
          </w:tcPr>
          <w:p w14:paraId="0ED35247" w14:textId="77777777" w:rsidR="00B6110C" w:rsidRPr="00E26332" w:rsidRDefault="00B6110C" w:rsidP="00C57688">
            <w:pPr>
              <w:spacing w:after="0" w:line="240" w:lineRule="auto"/>
              <w:jc w:val="right"/>
              <w:rPr>
                <w:rFonts w:ascii="Arial" w:hAnsi="Arial" w:cs="Arial"/>
                <w:sz w:val="16"/>
                <w:szCs w:val="16"/>
              </w:rPr>
            </w:pPr>
          </w:p>
        </w:tc>
        <w:tc>
          <w:tcPr>
            <w:tcW w:w="981" w:type="dxa"/>
            <w:tcBorders>
              <w:top w:val="single" w:sz="4" w:space="0" w:color="auto"/>
              <w:left w:val="nil"/>
              <w:bottom w:val="nil"/>
              <w:right w:val="nil"/>
            </w:tcBorders>
            <w:shd w:val="clear" w:color="auto" w:fill="auto"/>
            <w:noWrap/>
            <w:vAlign w:val="bottom"/>
            <w:hideMark/>
          </w:tcPr>
          <w:p w14:paraId="5C0822FE" w14:textId="77777777" w:rsidR="00B6110C" w:rsidRPr="00E26332" w:rsidRDefault="00B6110C" w:rsidP="00C57688">
            <w:pPr>
              <w:spacing w:after="0" w:line="240" w:lineRule="auto"/>
              <w:jc w:val="right"/>
              <w:rPr>
                <w:rFonts w:ascii="Arial" w:hAnsi="Arial" w:cs="Arial"/>
                <w:sz w:val="16"/>
                <w:szCs w:val="16"/>
              </w:rPr>
            </w:pPr>
          </w:p>
        </w:tc>
        <w:tc>
          <w:tcPr>
            <w:tcW w:w="1195" w:type="dxa"/>
            <w:tcBorders>
              <w:top w:val="single" w:sz="4" w:space="0" w:color="auto"/>
              <w:left w:val="nil"/>
              <w:bottom w:val="nil"/>
              <w:right w:val="nil"/>
            </w:tcBorders>
            <w:shd w:val="clear" w:color="auto" w:fill="auto"/>
            <w:noWrap/>
            <w:vAlign w:val="bottom"/>
            <w:hideMark/>
          </w:tcPr>
          <w:p w14:paraId="3F3342C4" w14:textId="77777777" w:rsidR="00B6110C" w:rsidRPr="00E26332" w:rsidRDefault="00B6110C" w:rsidP="00C57688">
            <w:pPr>
              <w:spacing w:after="0" w:line="240" w:lineRule="auto"/>
              <w:jc w:val="right"/>
              <w:rPr>
                <w:rFonts w:ascii="Arial" w:hAnsi="Arial" w:cs="Arial"/>
                <w:sz w:val="16"/>
                <w:szCs w:val="16"/>
              </w:rPr>
            </w:pPr>
          </w:p>
        </w:tc>
      </w:tr>
      <w:tr w:rsidR="008B5B66" w:rsidRPr="00E26332" w14:paraId="7DEEF417" w14:textId="77777777" w:rsidTr="00147F69">
        <w:trPr>
          <w:trHeight w:val="204"/>
        </w:trPr>
        <w:tc>
          <w:tcPr>
            <w:tcW w:w="2117" w:type="dxa"/>
            <w:tcBorders>
              <w:top w:val="nil"/>
              <w:left w:val="nil"/>
              <w:bottom w:val="nil"/>
              <w:right w:val="nil"/>
            </w:tcBorders>
            <w:shd w:val="clear" w:color="auto" w:fill="auto"/>
            <w:noWrap/>
            <w:hideMark/>
          </w:tcPr>
          <w:p w14:paraId="700DFE9C" w14:textId="77777777" w:rsidR="008B5B66" w:rsidRPr="00E26332" w:rsidRDefault="008B5B66" w:rsidP="008B5B66">
            <w:pPr>
              <w:spacing w:after="0" w:line="240" w:lineRule="auto"/>
              <w:ind w:left="113"/>
              <w:jc w:val="left"/>
              <w:rPr>
                <w:rFonts w:ascii="Arial" w:hAnsi="Arial" w:cs="Arial"/>
                <w:color w:val="000000"/>
                <w:sz w:val="16"/>
                <w:szCs w:val="16"/>
              </w:rPr>
            </w:pPr>
            <w:r w:rsidRPr="00E26332">
              <w:rPr>
                <w:rFonts w:ascii="Arial" w:hAnsi="Arial" w:cs="Arial"/>
                <w:color w:val="000000"/>
                <w:sz w:val="16"/>
                <w:szCs w:val="16"/>
              </w:rPr>
              <w:t>Gross book value</w:t>
            </w:r>
          </w:p>
        </w:tc>
        <w:tc>
          <w:tcPr>
            <w:tcW w:w="813" w:type="dxa"/>
            <w:tcBorders>
              <w:top w:val="nil"/>
              <w:left w:val="nil"/>
              <w:bottom w:val="nil"/>
              <w:right w:val="nil"/>
            </w:tcBorders>
            <w:shd w:val="clear" w:color="auto" w:fill="auto"/>
            <w:noWrap/>
            <w:vAlign w:val="bottom"/>
            <w:hideMark/>
          </w:tcPr>
          <w:p w14:paraId="63ED9484" w14:textId="52BD2276" w:rsidR="008B5B66" w:rsidRPr="00E26332" w:rsidRDefault="008B5B66"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503,230</w:t>
            </w:r>
          </w:p>
        </w:tc>
        <w:tc>
          <w:tcPr>
            <w:tcW w:w="881" w:type="dxa"/>
            <w:tcBorders>
              <w:top w:val="nil"/>
              <w:left w:val="nil"/>
              <w:bottom w:val="nil"/>
              <w:right w:val="nil"/>
            </w:tcBorders>
            <w:shd w:val="clear" w:color="auto" w:fill="auto"/>
            <w:noWrap/>
            <w:vAlign w:val="bottom"/>
            <w:hideMark/>
          </w:tcPr>
          <w:p w14:paraId="2C6770E2" w14:textId="3CDFD7C4" w:rsidR="008B5B66" w:rsidRPr="00E26332" w:rsidRDefault="008B5B66"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19,320</w:t>
            </w:r>
          </w:p>
        </w:tc>
        <w:tc>
          <w:tcPr>
            <w:tcW w:w="1009" w:type="dxa"/>
            <w:tcBorders>
              <w:top w:val="nil"/>
              <w:left w:val="nil"/>
              <w:bottom w:val="nil"/>
              <w:right w:val="nil"/>
            </w:tcBorders>
            <w:shd w:val="clear" w:color="auto" w:fill="auto"/>
            <w:noWrap/>
            <w:vAlign w:val="bottom"/>
            <w:hideMark/>
          </w:tcPr>
          <w:p w14:paraId="17625B48" w14:textId="297FA6E9" w:rsidR="008B5B66" w:rsidRPr="00E26332" w:rsidRDefault="008B5B66" w:rsidP="00C57688">
            <w:pPr>
              <w:spacing w:after="0" w:line="240" w:lineRule="auto"/>
              <w:jc w:val="right"/>
              <w:rPr>
                <w:rFonts w:ascii="Arial" w:hAnsi="Arial" w:cs="Arial"/>
                <w:color w:val="000000"/>
                <w:sz w:val="16"/>
                <w:szCs w:val="16"/>
              </w:rPr>
            </w:pPr>
            <w:r>
              <w:rPr>
                <w:rFonts w:ascii="Arial" w:hAnsi="Arial" w:cs="Arial"/>
                <w:color w:val="000000"/>
                <w:sz w:val="16"/>
                <w:szCs w:val="16"/>
              </w:rPr>
              <w:t>458,260</w:t>
            </w:r>
          </w:p>
        </w:tc>
        <w:tc>
          <w:tcPr>
            <w:tcW w:w="968" w:type="dxa"/>
            <w:tcBorders>
              <w:top w:val="nil"/>
              <w:left w:val="nil"/>
              <w:bottom w:val="nil"/>
              <w:right w:val="nil"/>
            </w:tcBorders>
            <w:shd w:val="clear" w:color="auto" w:fill="auto"/>
            <w:noWrap/>
            <w:vAlign w:val="bottom"/>
            <w:hideMark/>
          </w:tcPr>
          <w:p w14:paraId="33549014" w14:textId="2132F15E" w:rsidR="008B5B66" w:rsidRPr="00E26332" w:rsidRDefault="008B5B66" w:rsidP="00C57688">
            <w:pPr>
              <w:spacing w:after="0" w:line="240" w:lineRule="auto"/>
              <w:jc w:val="right"/>
              <w:rPr>
                <w:rFonts w:ascii="Arial" w:hAnsi="Arial" w:cs="Arial"/>
                <w:color w:val="000000"/>
                <w:sz w:val="16"/>
                <w:szCs w:val="16"/>
              </w:rPr>
            </w:pPr>
            <w:r>
              <w:rPr>
                <w:rFonts w:ascii="Arial" w:hAnsi="Arial" w:cs="Arial"/>
                <w:color w:val="000000"/>
                <w:sz w:val="16"/>
                <w:szCs w:val="16"/>
              </w:rPr>
              <w:t>57,289</w:t>
            </w:r>
          </w:p>
        </w:tc>
        <w:tc>
          <w:tcPr>
            <w:tcW w:w="981" w:type="dxa"/>
            <w:tcBorders>
              <w:top w:val="nil"/>
              <w:left w:val="nil"/>
              <w:bottom w:val="nil"/>
              <w:right w:val="nil"/>
            </w:tcBorders>
            <w:shd w:val="clear" w:color="auto" w:fill="auto"/>
            <w:noWrap/>
            <w:vAlign w:val="bottom"/>
            <w:hideMark/>
          </w:tcPr>
          <w:p w14:paraId="4E282E93" w14:textId="3A6269E2" w:rsidR="008B5B66" w:rsidRPr="00E26332" w:rsidRDefault="008B5B66" w:rsidP="00C57688">
            <w:pPr>
              <w:spacing w:after="0" w:line="240" w:lineRule="auto"/>
              <w:jc w:val="right"/>
              <w:rPr>
                <w:rFonts w:ascii="Arial" w:hAnsi="Arial" w:cs="Arial"/>
                <w:color w:val="000000"/>
                <w:sz w:val="16"/>
                <w:szCs w:val="16"/>
              </w:rPr>
            </w:pPr>
            <w:r>
              <w:rPr>
                <w:rFonts w:ascii="Arial" w:hAnsi="Arial" w:cs="Arial"/>
                <w:color w:val="000000"/>
                <w:sz w:val="16"/>
                <w:szCs w:val="16"/>
              </w:rPr>
              <w:t>4,038</w:t>
            </w:r>
          </w:p>
        </w:tc>
        <w:tc>
          <w:tcPr>
            <w:tcW w:w="1195" w:type="dxa"/>
            <w:tcBorders>
              <w:top w:val="nil"/>
              <w:left w:val="nil"/>
              <w:bottom w:val="nil"/>
              <w:right w:val="nil"/>
            </w:tcBorders>
            <w:shd w:val="clear" w:color="auto" w:fill="auto"/>
            <w:noWrap/>
            <w:vAlign w:val="bottom"/>
            <w:hideMark/>
          </w:tcPr>
          <w:p w14:paraId="768F9909" w14:textId="6C84C88F" w:rsidR="008B5B66" w:rsidRPr="00E26332" w:rsidRDefault="008B5B66" w:rsidP="00C57688">
            <w:pPr>
              <w:spacing w:after="0" w:line="240" w:lineRule="auto"/>
              <w:jc w:val="right"/>
              <w:rPr>
                <w:rFonts w:ascii="Arial" w:hAnsi="Arial" w:cs="Arial"/>
                <w:color w:val="000000"/>
                <w:sz w:val="16"/>
                <w:szCs w:val="16"/>
              </w:rPr>
            </w:pPr>
            <w:r>
              <w:rPr>
                <w:rFonts w:ascii="Arial" w:hAnsi="Arial" w:cs="Arial"/>
                <w:color w:val="000000"/>
                <w:sz w:val="16"/>
                <w:szCs w:val="16"/>
              </w:rPr>
              <w:t>1,042,137</w:t>
            </w:r>
          </w:p>
        </w:tc>
      </w:tr>
      <w:tr w:rsidR="008B5B66" w:rsidRPr="00E26332" w14:paraId="7E014EDC" w14:textId="77777777" w:rsidTr="00147F69">
        <w:trPr>
          <w:trHeight w:val="204"/>
        </w:trPr>
        <w:tc>
          <w:tcPr>
            <w:tcW w:w="2117" w:type="dxa"/>
            <w:tcBorders>
              <w:top w:val="nil"/>
              <w:left w:val="nil"/>
              <w:bottom w:val="nil"/>
              <w:right w:val="nil"/>
            </w:tcBorders>
            <w:shd w:val="clear" w:color="auto" w:fill="auto"/>
            <w:noWrap/>
            <w:hideMark/>
          </w:tcPr>
          <w:p w14:paraId="53170014" w14:textId="71DEF63E" w:rsidR="008B5B66" w:rsidRPr="00E26332" w:rsidRDefault="008B5B66" w:rsidP="008B5B66">
            <w:pPr>
              <w:spacing w:after="0" w:line="240" w:lineRule="auto"/>
              <w:ind w:left="113"/>
              <w:jc w:val="left"/>
              <w:rPr>
                <w:rFonts w:ascii="Arial" w:hAnsi="Arial" w:cs="Arial"/>
                <w:color w:val="000000"/>
                <w:sz w:val="16"/>
                <w:szCs w:val="16"/>
              </w:rPr>
            </w:pPr>
            <w:r w:rsidRPr="00E26332">
              <w:rPr>
                <w:rFonts w:ascii="Arial" w:hAnsi="Arial" w:cs="Arial"/>
                <w:color w:val="000000"/>
                <w:sz w:val="16"/>
                <w:szCs w:val="16"/>
              </w:rPr>
              <w:t>Accumulated depreciation/</w:t>
            </w:r>
            <w:r>
              <w:rPr>
                <w:rFonts w:ascii="Arial" w:hAnsi="Arial" w:cs="Arial"/>
                <w:color w:val="000000"/>
                <w:sz w:val="16"/>
                <w:szCs w:val="16"/>
              </w:rPr>
              <w:t xml:space="preserve"> </w:t>
            </w:r>
            <w:r w:rsidRPr="00E26332">
              <w:rPr>
                <w:rFonts w:ascii="Arial" w:hAnsi="Arial" w:cs="Arial"/>
                <w:color w:val="000000"/>
                <w:sz w:val="16"/>
                <w:szCs w:val="16"/>
              </w:rPr>
              <w:t>amortisation</w:t>
            </w:r>
          </w:p>
        </w:tc>
        <w:tc>
          <w:tcPr>
            <w:tcW w:w="813" w:type="dxa"/>
            <w:tcBorders>
              <w:top w:val="nil"/>
              <w:left w:val="nil"/>
              <w:bottom w:val="nil"/>
              <w:right w:val="nil"/>
            </w:tcBorders>
            <w:shd w:val="clear" w:color="auto" w:fill="auto"/>
            <w:noWrap/>
            <w:vAlign w:val="bottom"/>
            <w:hideMark/>
          </w:tcPr>
          <w:p w14:paraId="346AE47F" w14:textId="77777777" w:rsidR="008B5B66" w:rsidRPr="00E26332" w:rsidRDefault="008B5B66"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(16)</w:t>
            </w:r>
          </w:p>
        </w:tc>
        <w:tc>
          <w:tcPr>
            <w:tcW w:w="881" w:type="dxa"/>
            <w:tcBorders>
              <w:top w:val="nil"/>
              <w:left w:val="nil"/>
              <w:bottom w:val="nil"/>
              <w:right w:val="nil"/>
            </w:tcBorders>
            <w:shd w:val="clear" w:color="auto" w:fill="auto"/>
            <w:noWrap/>
            <w:vAlign w:val="bottom"/>
            <w:hideMark/>
          </w:tcPr>
          <w:p w14:paraId="03CC9ED4" w14:textId="77777777" w:rsidR="008B5B66" w:rsidRPr="00E26332" w:rsidRDefault="008B5B66" w:rsidP="00C57688">
            <w:pPr>
              <w:spacing w:after="0" w:line="240" w:lineRule="auto"/>
              <w:jc w:val="right"/>
              <w:rPr>
                <w:rFonts w:ascii="Arial" w:hAnsi="Arial" w:cs="Arial"/>
                <w:color w:val="000000"/>
                <w:sz w:val="16"/>
                <w:szCs w:val="16"/>
              </w:rPr>
            </w:pPr>
            <w:r w:rsidRPr="00E26332">
              <w:rPr>
                <w:rFonts w:ascii="Arial" w:hAnsi="Arial" w:cs="Arial"/>
                <w:color w:val="000000"/>
                <w:sz w:val="16"/>
                <w:szCs w:val="16"/>
              </w:rPr>
              <w:t>(26)</w:t>
            </w:r>
          </w:p>
        </w:tc>
        <w:tc>
          <w:tcPr>
            <w:tcW w:w="1009" w:type="dxa"/>
            <w:tcBorders>
              <w:top w:val="nil"/>
              <w:left w:val="nil"/>
              <w:bottom w:val="nil"/>
              <w:right w:val="nil"/>
            </w:tcBorders>
            <w:shd w:val="clear" w:color="auto" w:fill="auto"/>
            <w:noWrap/>
            <w:vAlign w:val="bottom"/>
            <w:hideMark/>
          </w:tcPr>
          <w:p w14:paraId="5BF5D174" w14:textId="3F8F649C" w:rsidR="008B5B66" w:rsidRPr="00E26332" w:rsidRDefault="008B5B66" w:rsidP="00C57688">
            <w:pPr>
              <w:spacing w:after="0" w:line="240" w:lineRule="auto"/>
              <w:jc w:val="right"/>
              <w:rPr>
                <w:rFonts w:ascii="Arial" w:hAnsi="Arial" w:cs="Arial"/>
                <w:color w:val="000000"/>
                <w:sz w:val="16"/>
                <w:szCs w:val="16"/>
              </w:rPr>
            </w:pPr>
            <w:r>
              <w:rPr>
                <w:rFonts w:ascii="Arial" w:hAnsi="Arial" w:cs="Arial"/>
                <w:color w:val="000000"/>
                <w:sz w:val="16"/>
                <w:szCs w:val="16"/>
              </w:rPr>
              <w:t>(24,766)</w:t>
            </w:r>
          </w:p>
        </w:tc>
        <w:tc>
          <w:tcPr>
            <w:tcW w:w="968" w:type="dxa"/>
            <w:tcBorders>
              <w:top w:val="nil"/>
              <w:left w:val="nil"/>
              <w:bottom w:val="nil"/>
              <w:right w:val="nil"/>
            </w:tcBorders>
            <w:shd w:val="clear" w:color="auto" w:fill="auto"/>
            <w:noWrap/>
            <w:vAlign w:val="bottom"/>
            <w:hideMark/>
          </w:tcPr>
          <w:p w14:paraId="00712FF4" w14:textId="36D95A13" w:rsidR="008B5B66" w:rsidRPr="00E26332" w:rsidRDefault="008B5B66" w:rsidP="00C57688">
            <w:pPr>
              <w:spacing w:after="0" w:line="240" w:lineRule="auto"/>
              <w:jc w:val="right"/>
              <w:rPr>
                <w:rFonts w:ascii="Arial" w:hAnsi="Arial" w:cs="Arial"/>
                <w:color w:val="000000"/>
                <w:sz w:val="16"/>
                <w:szCs w:val="16"/>
              </w:rPr>
            </w:pPr>
            <w:r>
              <w:rPr>
                <w:rFonts w:ascii="Arial" w:hAnsi="Arial" w:cs="Arial"/>
                <w:color w:val="000000"/>
                <w:sz w:val="16"/>
                <w:szCs w:val="16"/>
              </w:rPr>
              <w:t>(2,092)</w:t>
            </w:r>
          </w:p>
        </w:tc>
        <w:tc>
          <w:tcPr>
            <w:tcW w:w="981" w:type="dxa"/>
            <w:tcBorders>
              <w:top w:val="nil"/>
              <w:left w:val="nil"/>
              <w:bottom w:val="nil"/>
              <w:right w:val="nil"/>
            </w:tcBorders>
            <w:shd w:val="clear" w:color="auto" w:fill="auto"/>
            <w:noWrap/>
            <w:vAlign w:val="bottom"/>
            <w:hideMark/>
          </w:tcPr>
          <w:p w14:paraId="11494AD5" w14:textId="721DA1CC" w:rsidR="008B5B66" w:rsidRPr="00E26332" w:rsidRDefault="008B5B66" w:rsidP="00C57688">
            <w:pPr>
              <w:spacing w:after="0" w:line="240" w:lineRule="auto"/>
              <w:jc w:val="right"/>
              <w:rPr>
                <w:rFonts w:ascii="Arial" w:hAnsi="Arial" w:cs="Arial"/>
                <w:color w:val="000000"/>
                <w:sz w:val="16"/>
                <w:szCs w:val="16"/>
              </w:rPr>
            </w:pPr>
            <w:r>
              <w:rPr>
                <w:rFonts w:ascii="Arial" w:hAnsi="Arial" w:cs="Arial"/>
                <w:color w:val="000000"/>
                <w:sz w:val="16"/>
                <w:szCs w:val="16"/>
              </w:rPr>
              <w:t>(672)</w:t>
            </w:r>
          </w:p>
        </w:tc>
        <w:tc>
          <w:tcPr>
            <w:tcW w:w="1195" w:type="dxa"/>
            <w:tcBorders>
              <w:top w:val="nil"/>
              <w:left w:val="nil"/>
              <w:bottom w:val="nil"/>
              <w:right w:val="nil"/>
            </w:tcBorders>
            <w:shd w:val="clear" w:color="auto" w:fill="auto"/>
            <w:noWrap/>
            <w:vAlign w:val="bottom"/>
            <w:hideMark/>
          </w:tcPr>
          <w:p w14:paraId="43C880C8" w14:textId="073B1E86" w:rsidR="008B5B66" w:rsidRPr="00E26332" w:rsidRDefault="008B5B66" w:rsidP="00C57688">
            <w:pPr>
              <w:spacing w:after="0" w:line="240" w:lineRule="auto"/>
              <w:jc w:val="right"/>
              <w:rPr>
                <w:rFonts w:ascii="Arial" w:hAnsi="Arial" w:cs="Arial"/>
                <w:color w:val="000000"/>
                <w:sz w:val="16"/>
                <w:szCs w:val="16"/>
              </w:rPr>
            </w:pPr>
            <w:r>
              <w:rPr>
                <w:rFonts w:ascii="Arial" w:hAnsi="Arial" w:cs="Arial"/>
                <w:color w:val="000000"/>
                <w:sz w:val="16"/>
                <w:szCs w:val="16"/>
              </w:rPr>
              <w:t>(27,572)</w:t>
            </w:r>
          </w:p>
        </w:tc>
      </w:tr>
      <w:tr w:rsidR="008B5B66" w:rsidRPr="00E26332" w14:paraId="21901BB7" w14:textId="77777777" w:rsidTr="00147F69">
        <w:trPr>
          <w:trHeight w:val="204"/>
        </w:trPr>
        <w:tc>
          <w:tcPr>
            <w:tcW w:w="2117" w:type="dxa"/>
            <w:tcBorders>
              <w:top w:val="nil"/>
              <w:left w:val="nil"/>
              <w:bottom w:val="single" w:sz="4" w:space="0" w:color="auto"/>
              <w:right w:val="nil"/>
            </w:tcBorders>
            <w:shd w:val="clear" w:color="auto" w:fill="auto"/>
            <w:noWrap/>
            <w:hideMark/>
          </w:tcPr>
          <w:p w14:paraId="133B3A1F" w14:textId="77777777" w:rsidR="008B5B66" w:rsidRPr="00E26332" w:rsidRDefault="008B5B66" w:rsidP="008B5B66">
            <w:pPr>
              <w:spacing w:after="0" w:line="240" w:lineRule="auto"/>
              <w:jc w:val="left"/>
              <w:rPr>
                <w:rFonts w:ascii="Arial" w:hAnsi="Arial" w:cs="Arial"/>
                <w:b/>
                <w:bCs/>
                <w:color w:val="000000"/>
                <w:sz w:val="16"/>
                <w:szCs w:val="16"/>
              </w:rPr>
            </w:pPr>
            <w:r w:rsidRPr="00E26332">
              <w:rPr>
                <w:rFonts w:ascii="Arial" w:hAnsi="Arial" w:cs="Arial"/>
                <w:b/>
                <w:bCs/>
                <w:color w:val="000000"/>
                <w:sz w:val="16"/>
                <w:szCs w:val="16"/>
              </w:rPr>
              <w:t>Closing net book balance</w:t>
            </w:r>
          </w:p>
        </w:tc>
        <w:tc>
          <w:tcPr>
            <w:tcW w:w="813" w:type="dxa"/>
            <w:tcBorders>
              <w:top w:val="single" w:sz="4" w:space="0" w:color="auto"/>
              <w:left w:val="nil"/>
              <w:bottom w:val="single" w:sz="4" w:space="0" w:color="auto"/>
              <w:right w:val="nil"/>
            </w:tcBorders>
            <w:shd w:val="clear" w:color="auto" w:fill="auto"/>
            <w:noWrap/>
            <w:vAlign w:val="bottom"/>
            <w:hideMark/>
          </w:tcPr>
          <w:p w14:paraId="623175D3" w14:textId="5318041F" w:rsidR="008B5B66" w:rsidRPr="00E26332" w:rsidRDefault="008B5B66" w:rsidP="00C57688">
            <w:pPr>
              <w:spacing w:after="0" w:line="240" w:lineRule="auto"/>
              <w:jc w:val="right"/>
              <w:rPr>
                <w:rFonts w:ascii="Arial" w:hAnsi="Arial" w:cs="Arial"/>
                <w:b/>
                <w:bCs/>
                <w:color w:val="000000"/>
                <w:sz w:val="16"/>
                <w:szCs w:val="16"/>
              </w:rPr>
            </w:pPr>
            <w:r w:rsidRPr="00E26332">
              <w:rPr>
                <w:rFonts w:ascii="Arial" w:hAnsi="Arial" w:cs="Arial"/>
                <w:b/>
                <w:bCs/>
                <w:color w:val="000000"/>
                <w:sz w:val="16"/>
                <w:szCs w:val="16"/>
              </w:rPr>
              <w:t>503,214</w:t>
            </w:r>
          </w:p>
        </w:tc>
        <w:tc>
          <w:tcPr>
            <w:tcW w:w="881" w:type="dxa"/>
            <w:tcBorders>
              <w:top w:val="single" w:sz="4" w:space="0" w:color="auto"/>
              <w:left w:val="nil"/>
              <w:bottom w:val="single" w:sz="4" w:space="0" w:color="auto"/>
              <w:right w:val="nil"/>
            </w:tcBorders>
            <w:shd w:val="clear" w:color="auto" w:fill="auto"/>
            <w:noWrap/>
            <w:vAlign w:val="bottom"/>
            <w:hideMark/>
          </w:tcPr>
          <w:p w14:paraId="1E821332" w14:textId="5B62F592" w:rsidR="008B5B66" w:rsidRPr="00E26332" w:rsidRDefault="008B5B66" w:rsidP="00C57688">
            <w:pPr>
              <w:spacing w:after="0" w:line="240" w:lineRule="auto"/>
              <w:jc w:val="right"/>
              <w:rPr>
                <w:rFonts w:ascii="Arial" w:hAnsi="Arial" w:cs="Arial"/>
                <w:b/>
                <w:bCs/>
                <w:color w:val="000000"/>
                <w:sz w:val="16"/>
                <w:szCs w:val="16"/>
              </w:rPr>
            </w:pPr>
            <w:r w:rsidRPr="00E26332">
              <w:rPr>
                <w:rFonts w:ascii="Arial" w:hAnsi="Arial" w:cs="Arial"/>
                <w:b/>
                <w:bCs/>
                <w:color w:val="000000"/>
                <w:sz w:val="16"/>
                <w:szCs w:val="16"/>
              </w:rPr>
              <w:t>19,294</w:t>
            </w:r>
          </w:p>
        </w:tc>
        <w:tc>
          <w:tcPr>
            <w:tcW w:w="1009" w:type="dxa"/>
            <w:tcBorders>
              <w:top w:val="single" w:sz="4" w:space="0" w:color="auto"/>
              <w:left w:val="nil"/>
              <w:bottom w:val="single" w:sz="4" w:space="0" w:color="auto"/>
              <w:right w:val="nil"/>
            </w:tcBorders>
            <w:shd w:val="clear" w:color="auto" w:fill="auto"/>
            <w:noWrap/>
            <w:vAlign w:val="bottom"/>
            <w:hideMark/>
          </w:tcPr>
          <w:p w14:paraId="7F271C15" w14:textId="3D0EFE66" w:rsidR="008B5B66" w:rsidRPr="00E26332" w:rsidRDefault="008B5B66"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433,494</w:t>
            </w:r>
          </w:p>
        </w:tc>
        <w:tc>
          <w:tcPr>
            <w:tcW w:w="968" w:type="dxa"/>
            <w:tcBorders>
              <w:top w:val="single" w:sz="4" w:space="0" w:color="auto"/>
              <w:left w:val="nil"/>
              <w:bottom w:val="single" w:sz="4" w:space="0" w:color="auto"/>
              <w:right w:val="nil"/>
            </w:tcBorders>
            <w:shd w:val="clear" w:color="auto" w:fill="auto"/>
            <w:noWrap/>
            <w:vAlign w:val="bottom"/>
            <w:hideMark/>
          </w:tcPr>
          <w:p w14:paraId="1A6D574E" w14:textId="034270FD" w:rsidR="008B5B66" w:rsidRPr="00E26332" w:rsidRDefault="008B5B66"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55,197</w:t>
            </w:r>
          </w:p>
        </w:tc>
        <w:tc>
          <w:tcPr>
            <w:tcW w:w="981" w:type="dxa"/>
            <w:tcBorders>
              <w:top w:val="single" w:sz="4" w:space="0" w:color="auto"/>
              <w:left w:val="nil"/>
              <w:bottom w:val="single" w:sz="4" w:space="0" w:color="auto"/>
              <w:right w:val="nil"/>
            </w:tcBorders>
            <w:shd w:val="clear" w:color="auto" w:fill="auto"/>
            <w:noWrap/>
            <w:vAlign w:val="bottom"/>
            <w:hideMark/>
          </w:tcPr>
          <w:p w14:paraId="6FBB009B" w14:textId="26F55CE6" w:rsidR="008B5B66" w:rsidRPr="00E26332" w:rsidRDefault="008B5B66"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3,366</w:t>
            </w:r>
          </w:p>
        </w:tc>
        <w:tc>
          <w:tcPr>
            <w:tcW w:w="1195" w:type="dxa"/>
            <w:tcBorders>
              <w:top w:val="single" w:sz="4" w:space="0" w:color="auto"/>
              <w:left w:val="nil"/>
              <w:bottom w:val="single" w:sz="4" w:space="0" w:color="auto"/>
              <w:right w:val="nil"/>
            </w:tcBorders>
            <w:shd w:val="clear" w:color="auto" w:fill="auto"/>
            <w:noWrap/>
            <w:vAlign w:val="bottom"/>
            <w:hideMark/>
          </w:tcPr>
          <w:p w14:paraId="74134021" w14:textId="2DF9A5DF" w:rsidR="008B5B66" w:rsidRPr="00E26332" w:rsidRDefault="008B5B66" w:rsidP="00C57688">
            <w:pPr>
              <w:spacing w:after="0" w:line="240" w:lineRule="auto"/>
              <w:jc w:val="right"/>
              <w:rPr>
                <w:rFonts w:ascii="Arial" w:hAnsi="Arial" w:cs="Arial"/>
                <w:b/>
                <w:bCs/>
                <w:color w:val="000000"/>
                <w:sz w:val="16"/>
                <w:szCs w:val="16"/>
              </w:rPr>
            </w:pPr>
            <w:r>
              <w:rPr>
                <w:rFonts w:ascii="Arial" w:hAnsi="Arial" w:cs="Arial"/>
                <w:b/>
                <w:bCs/>
                <w:color w:val="000000"/>
                <w:sz w:val="16"/>
                <w:szCs w:val="16"/>
              </w:rPr>
              <w:t>1,014,565</w:t>
            </w:r>
          </w:p>
        </w:tc>
      </w:tr>
    </w:tbl>
    <w:p w14:paraId="7C6CCE70" w14:textId="6964BA9D" w:rsidR="00834C3D" w:rsidRPr="00834C3D" w:rsidRDefault="00834C3D" w:rsidP="00834C3D">
      <w:pPr>
        <w:spacing w:before="60" w:after="0" w:line="240" w:lineRule="auto"/>
        <w:rPr>
          <w:rFonts w:ascii="Arial" w:hAnsi="Arial" w:cs="Arial"/>
          <w:sz w:val="16"/>
          <w:szCs w:val="16"/>
          <w:lang w:val="x-none"/>
        </w:rPr>
      </w:pPr>
      <w:r w:rsidRPr="00834C3D">
        <w:rPr>
          <w:rFonts w:ascii="Arial" w:hAnsi="Arial" w:cs="Arial"/>
          <w:sz w:val="16"/>
          <w:szCs w:val="16"/>
          <w:lang w:val="x-none"/>
        </w:rPr>
        <w:t>Prepared on Australian Accounting Standards basis.</w:t>
      </w:r>
    </w:p>
    <w:p w14:paraId="2D74744E" w14:textId="569C6523" w:rsidR="00B7363C" w:rsidRPr="000672C0" w:rsidRDefault="00B7363C" w:rsidP="00F10ACD">
      <w:pPr>
        <w:pStyle w:val="ListParagraph"/>
        <w:numPr>
          <w:ilvl w:val="0"/>
          <w:numId w:val="63"/>
        </w:numPr>
        <w:spacing w:after="0" w:line="240" w:lineRule="auto"/>
        <w:ind w:left="284" w:hanging="284"/>
        <w:rPr>
          <w:rFonts w:ascii="Arial" w:hAnsi="Arial" w:cs="Arial"/>
          <w:sz w:val="16"/>
          <w:szCs w:val="16"/>
          <w:lang w:val="x-none"/>
        </w:rPr>
      </w:pPr>
      <w:r>
        <w:rPr>
          <w:rFonts w:ascii="Arial" w:hAnsi="Arial" w:cs="Arial"/>
          <w:sz w:val="16"/>
          <w:szCs w:val="16"/>
        </w:rPr>
        <w:t xml:space="preserve">‘Appropriation equity’ refers to Administered Assets and Liabilities appropriations provided through </w:t>
      </w:r>
      <w:r w:rsidRPr="000672C0">
        <w:rPr>
          <w:rFonts w:ascii="Arial" w:hAnsi="Arial" w:cs="Arial"/>
          <w:sz w:val="16"/>
          <w:szCs w:val="16"/>
          <w:lang w:val="x-none"/>
        </w:rPr>
        <w:t xml:space="preserve">Appropriation </w:t>
      </w:r>
      <w:r w:rsidR="00147F69">
        <w:rPr>
          <w:rFonts w:ascii="Arial" w:hAnsi="Arial" w:cs="Arial"/>
          <w:sz w:val="16"/>
          <w:szCs w:val="16"/>
        </w:rPr>
        <w:t>Act</w:t>
      </w:r>
      <w:r w:rsidR="00147F69">
        <w:rPr>
          <w:rFonts w:ascii="Arial" w:hAnsi="Arial" w:cs="Arial"/>
          <w:sz w:val="16"/>
          <w:szCs w:val="16"/>
          <w:lang w:val="x-none"/>
        </w:rPr>
        <w:t xml:space="preserve"> </w:t>
      </w:r>
      <w:r>
        <w:rPr>
          <w:rFonts w:ascii="Arial" w:hAnsi="Arial" w:cs="Arial"/>
          <w:sz w:val="16"/>
          <w:szCs w:val="16"/>
          <w:lang w:val="x-none"/>
        </w:rPr>
        <w:t>(No. 2</w:t>
      </w:r>
      <w:r w:rsidRPr="000672C0">
        <w:rPr>
          <w:rFonts w:ascii="Arial" w:hAnsi="Arial" w:cs="Arial"/>
          <w:sz w:val="16"/>
          <w:szCs w:val="16"/>
          <w:lang w:val="x-none"/>
        </w:rPr>
        <w:t>)</w:t>
      </w:r>
      <w:r>
        <w:rPr>
          <w:rFonts w:ascii="Arial" w:hAnsi="Arial" w:cs="Arial"/>
          <w:sz w:val="16"/>
          <w:szCs w:val="16"/>
        </w:rPr>
        <w:t xml:space="preserve"> 2021-22.</w:t>
      </w:r>
    </w:p>
    <w:p w14:paraId="6238B06B" w14:textId="530C78F2" w:rsidR="00834C3D" w:rsidRDefault="00834C3D" w:rsidP="00F10ACD">
      <w:pPr>
        <w:pStyle w:val="ListParagraph"/>
        <w:numPr>
          <w:ilvl w:val="0"/>
          <w:numId w:val="63"/>
        </w:numPr>
        <w:spacing w:after="0" w:line="240" w:lineRule="auto"/>
        <w:ind w:left="284" w:hanging="284"/>
        <w:rPr>
          <w:rFonts w:ascii="Arial" w:hAnsi="Arial" w:cs="Arial"/>
          <w:sz w:val="16"/>
          <w:szCs w:val="16"/>
          <w:lang w:val="x-none"/>
        </w:rPr>
      </w:pPr>
      <w:r w:rsidRPr="000672C0">
        <w:rPr>
          <w:rFonts w:ascii="Arial" w:hAnsi="Arial" w:cs="Arial"/>
          <w:sz w:val="16"/>
          <w:szCs w:val="16"/>
          <w:lang w:val="x-none"/>
        </w:rPr>
        <w:t>‘Appropriation ordinary annual services’ refers to funding provided through Appropriation Act (No. 1) 202</w:t>
      </w:r>
      <w:r w:rsidR="007F2AA3">
        <w:rPr>
          <w:rFonts w:ascii="Arial" w:hAnsi="Arial" w:cs="Arial"/>
          <w:sz w:val="16"/>
          <w:szCs w:val="16"/>
        </w:rPr>
        <w:t>1</w:t>
      </w:r>
      <w:r w:rsidRPr="000672C0">
        <w:rPr>
          <w:rFonts w:ascii="Arial" w:hAnsi="Arial" w:cs="Arial"/>
          <w:sz w:val="16"/>
          <w:szCs w:val="16"/>
          <w:lang w:val="x-none"/>
        </w:rPr>
        <w:t>-2</w:t>
      </w:r>
      <w:r w:rsidR="007F2AA3">
        <w:rPr>
          <w:rFonts w:ascii="Arial" w:hAnsi="Arial" w:cs="Arial"/>
          <w:sz w:val="16"/>
          <w:szCs w:val="16"/>
        </w:rPr>
        <w:t>2</w:t>
      </w:r>
      <w:r w:rsidRPr="000672C0">
        <w:rPr>
          <w:rFonts w:ascii="Arial" w:hAnsi="Arial" w:cs="Arial"/>
          <w:sz w:val="16"/>
          <w:szCs w:val="16"/>
          <w:lang w:val="x-none"/>
        </w:rPr>
        <w:t xml:space="preserve"> ACBs.</w:t>
      </w:r>
    </w:p>
    <w:p w14:paraId="27C1BD5F" w14:textId="77777777" w:rsidR="00834C3D" w:rsidRDefault="00834C3D" w:rsidP="00834C3D">
      <w:pPr>
        <w:spacing w:line="240" w:lineRule="auto"/>
        <w:rPr>
          <w:rFonts w:ascii="Arial" w:hAnsi="Arial" w:cs="Arial"/>
          <w:sz w:val="16"/>
          <w:szCs w:val="16"/>
          <w:lang w:val="x-none"/>
        </w:rPr>
        <w:sectPr w:rsidR="00834C3D" w:rsidSect="00834C3D">
          <w:headerReference w:type="first" r:id="rId97"/>
          <w:footerReference w:type="first" r:id="rId98"/>
          <w:pgSz w:w="11907" w:h="16840" w:code="9"/>
          <w:pgMar w:top="2466" w:right="2098" w:bottom="2466" w:left="2098" w:header="1814" w:footer="1814" w:gutter="0"/>
          <w:cols w:space="720"/>
          <w:titlePg/>
        </w:sectPr>
      </w:pPr>
    </w:p>
    <w:p w14:paraId="48A0D5E4" w14:textId="47DDEC5E" w:rsidR="00834C3D" w:rsidRDefault="00834C3D" w:rsidP="00834C3D">
      <w:pPr>
        <w:spacing w:line="240" w:lineRule="auto"/>
        <w:rPr>
          <w:rFonts w:ascii="Arial" w:hAnsi="Arial" w:cs="Arial"/>
          <w:sz w:val="16"/>
          <w:szCs w:val="16"/>
          <w:lang w:val="x-none"/>
        </w:rPr>
      </w:pPr>
    </w:p>
    <w:p w14:paraId="0019D667" w14:textId="3EBBA650" w:rsidR="00482BA5" w:rsidRDefault="008B6787" w:rsidP="00157D6F">
      <w:pPr>
        <w:pStyle w:val="PartHeading-NoTOC"/>
      </w:pPr>
      <w:r>
        <w:t>National Film and Sound</w:t>
      </w:r>
      <w:r w:rsidR="00914885">
        <w:t xml:space="preserve"> </w:t>
      </w:r>
      <w:r w:rsidR="00157D6F">
        <w:t>Archive</w:t>
      </w:r>
      <w:r>
        <w:t xml:space="preserve"> of Australia </w:t>
      </w:r>
    </w:p>
    <w:p w14:paraId="3FE81B50" w14:textId="77777777" w:rsidR="00625914" w:rsidRDefault="00625914" w:rsidP="00157D6F">
      <w:pPr>
        <w:pStyle w:val="PartHeading-NoTOC"/>
      </w:pPr>
    </w:p>
    <w:p w14:paraId="18C4E608" w14:textId="181053E1" w:rsidR="00914885" w:rsidRDefault="00914885" w:rsidP="00D17655">
      <w:pPr>
        <w:pStyle w:val="PartHeading-NoTOC"/>
      </w:pPr>
      <w:r>
        <w:t>Additional Estimates Statements</w:t>
      </w:r>
    </w:p>
    <w:p w14:paraId="54B97162" w14:textId="77777777" w:rsidR="00914885" w:rsidRPr="0035086F" w:rsidRDefault="00914885" w:rsidP="00914885">
      <w:pPr>
        <w:sectPr w:rsidR="00914885" w:rsidRPr="0035086F" w:rsidSect="00834C3D">
          <w:headerReference w:type="first" r:id="rId99"/>
          <w:footerReference w:type="first" r:id="rId100"/>
          <w:type w:val="oddPage"/>
          <w:pgSz w:w="11907" w:h="16840" w:code="9"/>
          <w:pgMar w:top="2466" w:right="2098" w:bottom="2466" w:left="2098" w:header="1814" w:footer="1814" w:gutter="0"/>
          <w:cols w:space="720"/>
          <w:vAlign w:val="center"/>
          <w:titlePg/>
        </w:sectPr>
      </w:pPr>
    </w:p>
    <w:p w14:paraId="693FAA72" w14:textId="639D8FF0" w:rsidR="00914885" w:rsidRPr="0082788A" w:rsidRDefault="0082788A" w:rsidP="00914885">
      <w:pPr>
        <w:pStyle w:val="Heading1-NoTOC"/>
        <w:jc w:val="left"/>
        <w:rPr>
          <w:lang w:val="en-US"/>
        </w:rPr>
      </w:pPr>
      <w:r>
        <w:rPr>
          <w:lang w:val="en-US"/>
        </w:rPr>
        <w:lastRenderedPageBreak/>
        <w:t>National Film and Sound Archive of Australia</w:t>
      </w:r>
    </w:p>
    <w:p w14:paraId="29389FB3" w14:textId="59E6D359" w:rsidR="00F37CD1" w:rsidRDefault="00B87DAB">
      <w:pPr>
        <w:pStyle w:val="TOC1"/>
        <w:rPr>
          <w:rFonts w:asciiTheme="minorHAnsi" w:eastAsiaTheme="minorEastAsia" w:hAnsiTheme="minorHAnsi" w:cstheme="minorBidi"/>
          <w:b w:val="0"/>
          <w:noProof/>
          <w:sz w:val="22"/>
          <w:szCs w:val="22"/>
        </w:rPr>
      </w:pPr>
      <w:r>
        <w:fldChar w:fldCharType="begin"/>
      </w:r>
      <w:r>
        <w:instrText xml:space="preserve"> TOC \h \z \t "Heading 2 - TOC NFSA,1,Heading 3 NFSA,2" </w:instrText>
      </w:r>
      <w:r>
        <w:fldChar w:fldCharType="separate"/>
      </w:r>
      <w:hyperlink w:anchor="_Toc93405240" w:history="1">
        <w:r w:rsidR="00F37CD1" w:rsidRPr="00D92830">
          <w:rPr>
            <w:rStyle w:val="Hyperlink"/>
            <w:noProof/>
          </w:rPr>
          <w:t>Section 1: Entity overview and resources</w:t>
        </w:r>
        <w:r w:rsidR="00F37CD1">
          <w:rPr>
            <w:noProof/>
            <w:webHidden/>
          </w:rPr>
          <w:tab/>
        </w:r>
        <w:r w:rsidR="00F37CD1">
          <w:rPr>
            <w:noProof/>
            <w:webHidden/>
          </w:rPr>
          <w:fldChar w:fldCharType="begin"/>
        </w:r>
        <w:r w:rsidR="00F37CD1">
          <w:rPr>
            <w:noProof/>
            <w:webHidden/>
          </w:rPr>
          <w:instrText xml:space="preserve"> PAGEREF _Toc93405240 \h </w:instrText>
        </w:r>
        <w:r w:rsidR="00F37CD1">
          <w:rPr>
            <w:noProof/>
            <w:webHidden/>
          </w:rPr>
        </w:r>
        <w:r w:rsidR="00F37CD1">
          <w:rPr>
            <w:noProof/>
            <w:webHidden/>
          </w:rPr>
          <w:fldChar w:fldCharType="separate"/>
        </w:r>
        <w:r w:rsidR="003B5862">
          <w:rPr>
            <w:noProof/>
            <w:webHidden/>
          </w:rPr>
          <w:t>143</w:t>
        </w:r>
        <w:r w:rsidR="00F37CD1">
          <w:rPr>
            <w:noProof/>
            <w:webHidden/>
          </w:rPr>
          <w:fldChar w:fldCharType="end"/>
        </w:r>
      </w:hyperlink>
    </w:p>
    <w:p w14:paraId="7C53696B" w14:textId="46FC8F0D" w:rsidR="00F37CD1" w:rsidRDefault="005616C5">
      <w:pPr>
        <w:pStyle w:val="TOC2"/>
        <w:tabs>
          <w:tab w:val="left" w:pos="660"/>
        </w:tabs>
        <w:rPr>
          <w:rFonts w:asciiTheme="minorHAnsi" w:eastAsiaTheme="minorEastAsia" w:hAnsiTheme="minorHAnsi" w:cstheme="minorBidi"/>
          <w:noProof/>
          <w:sz w:val="22"/>
          <w:szCs w:val="22"/>
        </w:rPr>
      </w:pPr>
      <w:hyperlink w:anchor="_Toc93405241" w:history="1">
        <w:r w:rsidR="00F37CD1" w:rsidRPr="00D92830">
          <w:rPr>
            <w:rStyle w:val="Hyperlink"/>
            <w:noProof/>
          </w:rPr>
          <w:t>1.1</w:t>
        </w:r>
        <w:r w:rsidR="00F37CD1">
          <w:rPr>
            <w:rFonts w:asciiTheme="minorHAnsi" w:eastAsiaTheme="minorEastAsia" w:hAnsiTheme="minorHAnsi" w:cstheme="minorBidi"/>
            <w:noProof/>
            <w:sz w:val="22"/>
            <w:szCs w:val="22"/>
          </w:rPr>
          <w:tab/>
        </w:r>
        <w:r w:rsidR="00F37CD1" w:rsidRPr="00D92830">
          <w:rPr>
            <w:rStyle w:val="Hyperlink"/>
            <w:noProof/>
          </w:rPr>
          <w:t>Strategic direction statement</w:t>
        </w:r>
        <w:r w:rsidR="00F37CD1">
          <w:rPr>
            <w:noProof/>
            <w:webHidden/>
          </w:rPr>
          <w:tab/>
        </w:r>
        <w:r w:rsidR="00F37CD1">
          <w:rPr>
            <w:noProof/>
            <w:webHidden/>
          </w:rPr>
          <w:fldChar w:fldCharType="begin"/>
        </w:r>
        <w:r w:rsidR="00F37CD1">
          <w:rPr>
            <w:noProof/>
            <w:webHidden/>
          </w:rPr>
          <w:instrText xml:space="preserve"> PAGEREF _Toc93405241 \h </w:instrText>
        </w:r>
        <w:r w:rsidR="00F37CD1">
          <w:rPr>
            <w:noProof/>
            <w:webHidden/>
          </w:rPr>
        </w:r>
        <w:r w:rsidR="00F37CD1">
          <w:rPr>
            <w:noProof/>
            <w:webHidden/>
          </w:rPr>
          <w:fldChar w:fldCharType="separate"/>
        </w:r>
        <w:r w:rsidR="003B5862">
          <w:rPr>
            <w:noProof/>
            <w:webHidden/>
          </w:rPr>
          <w:t>143</w:t>
        </w:r>
        <w:r w:rsidR="00F37CD1">
          <w:rPr>
            <w:noProof/>
            <w:webHidden/>
          </w:rPr>
          <w:fldChar w:fldCharType="end"/>
        </w:r>
      </w:hyperlink>
    </w:p>
    <w:p w14:paraId="27003472" w14:textId="02E39D6C" w:rsidR="00F37CD1" w:rsidRDefault="005616C5">
      <w:pPr>
        <w:pStyle w:val="TOC2"/>
        <w:tabs>
          <w:tab w:val="left" w:pos="660"/>
        </w:tabs>
        <w:rPr>
          <w:rFonts w:asciiTheme="minorHAnsi" w:eastAsiaTheme="minorEastAsia" w:hAnsiTheme="minorHAnsi" w:cstheme="minorBidi"/>
          <w:noProof/>
          <w:sz w:val="22"/>
          <w:szCs w:val="22"/>
        </w:rPr>
      </w:pPr>
      <w:hyperlink w:anchor="_Toc93405242" w:history="1">
        <w:r w:rsidR="00F37CD1" w:rsidRPr="00D92830">
          <w:rPr>
            <w:rStyle w:val="Hyperlink"/>
            <w:noProof/>
          </w:rPr>
          <w:t>1.2</w:t>
        </w:r>
        <w:r w:rsidR="00F37CD1">
          <w:rPr>
            <w:rFonts w:asciiTheme="minorHAnsi" w:eastAsiaTheme="minorEastAsia" w:hAnsiTheme="minorHAnsi" w:cstheme="minorBidi"/>
            <w:noProof/>
            <w:sz w:val="22"/>
            <w:szCs w:val="22"/>
          </w:rPr>
          <w:tab/>
        </w:r>
        <w:r w:rsidR="00F37CD1" w:rsidRPr="00D92830">
          <w:rPr>
            <w:rStyle w:val="Hyperlink"/>
            <w:noProof/>
          </w:rPr>
          <w:t>Entity resource statement</w:t>
        </w:r>
        <w:r w:rsidR="00F37CD1">
          <w:rPr>
            <w:noProof/>
            <w:webHidden/>
          </w:rPr>
          <w:tab/>
        </w:r>
        <w:r w:rsidR="00F37CD1">
          <w:rPr>
            <w:noProof/>
            <w:webHidden/>
          </w:rPr>
          <w:fldChar w:fldCharType="begin"/>
        </w:r>
        <w:r w:rsidR="00F37CD1">
          <w:rPr>
            <w:noProof/>
            <w:webHidden/>
          </w:rPr>
          <w:instrText xml:space="preserve"> PAGEREF _Toc93405242 \h </w:instrText>
        </w:r>
        <w:r w:rsidR="00F37CD1">
          <w:rPr>
            <w:noProof/>
            <w:webHidden/>
          </w:rPr>
        </w:r>
        <w:r w:rsidR="00F37CD1">
          <w:rPr>
            <w:noProof/>
            <w:webHidden/>
          </w:rPr>
          <w:fldChar w:fldCharType="separate"/>
        </w:r>
        <w:r w:rsidR="003B5862">
          <w:rPr>
            <w:noProof/>
            <w:webHidden/>
          </w:rPr>
          <w:t>144</w:t>
        </w:r>
        <w:r w:rsidR="00F37CD1">
          <w:rPr>
            <w:noProof/>
            <w:webHidden/>
          </w:rPr>
          <w:fldChar w:fldCharType="end"/>
        </w:r>
      </w:hyperlink>
    </w:p>
    <w:p w14:paraId="4DE8B595" w14:textId="3097F961" w:rsidR="00F37CD1" w:rsidRDefault="005616C5">
      <w:pPr>
        <w:pStyle w:val="TOC2"/>
        <w:tabs>
          <w:tab w:val="left" w:pos="660"/>
        </w:tabs>
        <w:rPr>
          <w:rFonts w:asciiTheme="minorHAnsi" w:eastAsiaTheme="minorEastAsia" w:hAnsiTheme="minorHAnsi" w:cstheme="minorBidi"/>
          <w:noProof/>
          <w:sz w:val="22"/>
          <w:szCs w:val="22"/>
        </w:rPr>
      </w:pPr>
      <w:hyperlink w:anchor="_Toc93405243" w:history="1">
        <w:r w:rsidR="00F37CD1" w:rsidRPr="00D92830">
          <w:rPr>
            <w:rStyle w:val="Hyperlink"/>
            <w:noProof/>
          </w:rPr>
          <w:t>1.3</w:t>
        </w:r>
        <w:r w:rsidR="00F37CD1">
          <w:rPr>
            <w:rFonts w:asciiTheme="minorHAnsi" w:eastAsiaTheme="minorEastAsia" w:hAnsiTheme="minorHAnsi" w:cstheme="minorBidi"/>
            <w:noProof/>
            <w:sz w:val="22"/>
            <w:szCs w:val="22"/>
          </w:rPr>
          <w:tab/>
        </w:r>
        <w:r w:rsidR="00F37CD1" w:rsidRPr="00D92830">
          <w:rPr>
            <w:rStyle w:val="Hyperlink"/>
            <w:noProof/>
          </w:rPr>
          <w:t>Entity measures</w:t>
        </w:r>
        <w:r w:rsidR="00F37CD1">
          <w:rPr>
            <w:noProof/>
            <w:webHidden/>
          </w:rPr>
          <w:tab/>
        </w:r>
        <w:r w:rsidR="00F37CD1">
          <w:rPr>
            <w:noProof/>
            <w:webHidden/>
          </w:rPr>
          <w:fldChar w:fldCharType="begin"/>
        </w:r>
        <w:r w:rsidR="00F37CD1">
          <w:rPr>
            <w:noProof/>
            <w:webHidden/>
          </w:rPr>
          <w:instrText xml:space="preserve"> PAGEREF _Toc93405243 \h </w:instrText>
        </w:r>
        <w:r w:rsidR="00F37CD1">
          <w:rPr>
            <w:noProof/>
            <w:webHidden/>
          </w:rPr>
        </w:r>
        <w:r w:rsidR="00F37CD1">
          <w:rPr>
            <w:noProof/>
            <w:webHidden/>
          </w:rPr>
          <w:fldChar w:fldCharType="separate"/>
        </w:r>
        <w:r w:rsidR="003B5862">
          <w:rPr>
            <w:noProof/>
            <w:webHidden/>
          </w:rPr>
          <w:t>145</w:t>
        </w:r>
        <w:r w:rsidR="00F37CD1">
          <w:rPr>
            <w:noProof/>
            <w:webHidden/>
          </w:rPr>
          <w:fldChar w:fldCharType="end"/>
        </w:r>
      </w:hyperlink>
    </w:p>
    <w:p w14:paraId="738AE97F" w14:textId="245B1A45" w:rsidR="00F37CD1" w:rsidRDefault="005616C5">
      <w:pPr>
        <w:pStyle w:val="TOC2"/>
        <w:tabs>
          <w:tab w:val="left" w:pos="660"/>
        </w:tabs>
        <w:rPr>
          <w:rFonts w:asciiTheme="minorHAnsi" w:eastAsiaTheme="minorEastAsia" w:hAnsiTheme="minorHAnsi" w:cstheme="minorBidi"/>
          <w:noProof/>
          <w:sz w:val="22"/>
          <w:szCs w:val="22"/>
        </w:rPr>
      </w:pPr>
      <w:hyperlink w:anchor="_Toc93405244" w:history="1">
        <w:r w:rsidR="00F37CD1" w:rsidRPr="00D92830">
          <w:rPr>
            <w:rStyle w:val="Hyperlink"/>
            <w:noProof/>
          </w:rPr>
          <w:t>1.4</w:t>
        </w:r>
        <w:r w:rsidR="00F37CD1">
          <w:rPr>
            <w:rFonts w:asciiTheme="minorHAnsi" w:eastAsiaTheme="minorEastAsia" w:hAnsiTheme="minorHAnsi" w:cstheme="minorBidi"/>
            <w:noProof/>
            <w:sz w:val="22"/>
            <w:szCs w:val="22"/>
          </w:rPr>
          <w:tab/>
        </w:r>
        <w:r w:rsidR="00F37CD1" w:rsidRPr="00D92830">
          <w:rPr>
            <w:rStyle w:val="Hyperlink"/>
            <w:noProof/>
          </w:rPr>
          <w:t>Additional estimates, resourcing and variations to outcomes</w:t>
        </w:r>
        <w:r w:rsidR="00F37CD1">
          <w:rPr>
            <w:noProof/>
            <w:webHidden/>
          </w:rPr>
          <w:tab/>
        </w:r>
        <w:r w:rsidR="00F37CD1">
          <w:rPr>
            <w:noProof/>
            <w:webHidden/>
          </w:rPr>
          <w:fldChar w:fldCharType="begin"/>
        </w:r>
        <w:r w:rsidR="00F37CD1">
          <w:rPr>
            <w:noProof/>
            <w:webHidden/>
          </w:rPr>
          <w:instrText xml:space="preserve"> PAGEREF _Toc93405244 \h </w:instrText>
        </w:r>
        <w:r w:rsidR="00F37CD1">
          <w:rPr>
            <w:noProof/>
            <w:webHidden/>
          </w:rPr>
        </w:r>
        <w:r w:rsidR="00F37CD1">
          <w:rPr>
            <w:noProof/>
            <w:webHidden/>
          </w:rPr>
          <w:fldChar w:fldCharType="separate"/>
        </w:r>
        <w:r w:rsidR="003B5862">
          <w:rPr>
            <w:noProof/>
            <w:webHidden/>
          </w:rPr>
          <w:t>145</w:t>
        </w:r>
        <w:r w:rsidR="00F37CD1">
          <w:rPr>
            <w:noProof/>
            <w:webHidden/>
          </w:rPr>
          <w:fldChar w:fldCharType="end"/>
        </w:r>
      </w:hyperlink>
    </w:p>
    <w:p w14:paraId="332C9B35" w14:textId="13E918D3" w:rsidR="00F37CD1" w:rsidRDefault="005616C5">
      <w:pPr>
        <w:pStyle w:val="TOC2"/>
        <w:tabs>
          <w:tab w:val="left" w:pos="660"/>
        </w:tabs>
        <w:rPr>
          <w:rFonts w:asciiTheme="minorHAnsi" w:eastAsiaTheme="minorEastAsia" w:hAnsiTheme="minorHAnsi" w:cstheme="minorBidi"/>
          <w:noProof/>
          <w:sz w:val="22"/>
          <w:szCs w:val="22"/>
        </w:rPr>
      </w:pPr>
      <w:hyperlink w:anchor="_Toc93405245" w:history="1">
        <w:r w:rsidR="00F37CD1" w:rsidRPr="00D92830">
          <w:rPr>
            <w:rStyle w:val="Hyperlink"/>
            <w:noProof/>
          </w:rPr>
          <w:t>1.5</w:t>
        </w:r>
        <w:r w:rsidR="00F37CD1">
          <w:rPr>
            <w:rFonts w:asciiTheme="minorHAnsi" w:eastAsiaTheme="minorEastAsia" w:hAnsiTheme="minorHAnsi" w:cstheme="minorBidi"/>
            <w:noProof/>
            <w:sz w:val="22"/>
            <w:szCs w:val="22"/>
          </w:rPr>
          <w:tab/>
        </w:r>
        <w:r w:rsidR="00F37CD1" w:rsidRPr="00D92830">
          <w:rPr>
            <w:rStyle w:val="Hyperlink"/>
            <w:noProof/>
          </w:rPr>
          <w:t>Breakdown of additional estimates by appropriation bill</w:t>
        </w:r>
        <w:r w:rsidR="00F37CD1">
          <w:rPr>
            <w:noProof/>
            <w:webHidden/>
          </w:rPr>
          <w:tab/>
        </w:r>
        <w:r w:rsidR="00F37CD1">
          <w:rPr>
            <w:noProof/>
            <w:webHidden/>
          </w:rPr>
          <w:fldChar w:fldCharType="begin"/>
        </w:r>
        <w:r w:rsidR="00F37CD1">
          <w:rPr>
            <w:noProof/>
            <w:webHidden/>
          </w:rPr>
          <w:instrText xml:space="preserve"> PAGEREF _Toc93405245 \h </w:instrText>
        </w:r>
        <w:r w:rsidR="00F37CD1">
          <w:rPr>
            <w:noProof/>
            <w:webHidden/>
          </w:rPr>
        </w:r>
        <w:r w:rsidR="00F37CD1">
          <w:rPr>
            <w:noProof/>
            <w:webHidden/>
          </w:rPr>
          <w:fldChar w:fldCharType="separate"/>
        </w:r>
        <w:r w:rsidR="003B5862">
          <w:rPr>
            <w:noProof/>
            <w:webHidden/>
          </w:rPr>
          <w:t>146</w:t>
        </w:r>
        <w:r w:rsidR="00F37CD1">
          <w:rPr>
            <w:noProof/>
            <w:webHidden/>
          </w:rPr>
          <w:fldChar w:fldCharType="end"/>
        </w:r>
      </w:hyperlink>
    </w:p>
    <w:p w14:paraId="514B13A6" w14:textId="2EB1AA0F" w:rsidR="00F37CD1" w:rsidRDefault="005616C5">
      <w:pPr>
        <w:pStyle w:val="TOC1"/>
        <w:rPr>
          <w:rFonts w:asciiTheme="minorHAnsi" w:eastAsiaTheme="minorEastAsia" w:hAnsiTheme="minorHAnsi" w:cstheme="minorBidi"/>
          <w:b w:val="0"/>
          <w:noProof/>
          <w:sz w:val="22"/>
          <w:szCs w:val="22"/>
        </w:rPr>
      </w:pPr>
      <w:hyperlink w:anchor="_Toc93405246" w:history="1">
        <w:r w:rsidR="00F37CD1" w:rsidRPr="00D92830">
          <w:rPr>
            <w:rStyle w:val="Hyperlink"/>
            <w:noProof/>
          </w:rPr>
          <w:t>Section 2: Revisions to outcomes and planned performance</w:t>
        </w:r>
        <w:r w:rsidR="00F37CD1">
          <w:rPr>
            <w:noProof/>
            <w:webHidden/>
          </w:rPr>
          <w:tab/>
        </w:r>
        <w:r w:rsidR="00F37CD1">
          <w:rPr>
            <w:noProof/>
            <w:webHidden/>
          </w:rPr>
          <w:fldChar w:fldCharType="begin"/>
        </w:r>
        <w:r w:rsidR="00F37CD1">
          <w:rPr>
            <w:noProof/>
            <w:webHidden/>
          </w:rPr>
          <w:instrText xml:space="preserve"> PAGEREF _Toc93405246 \h </w:instrText>
        </w:r>
        <w:r w:rsidR="00F37CD1">
          <w:rPr>
            <w:noProof/>
            <w:webHidden/>
          </w:rPr>
        </w:r>
        <w:r w:rsidR="00F37CD1">
          <w:rPr>
            <w:noProof/>
            <w:webHidden/>
          </w:rPr>
          <w:fldChar w:fldCharType="separate"/>
        </w:r>
        <w:r w:rsidR="003B5862">
          <w:rPr>
            <w:noProof/>
            <w:webHidden/>
          </w:rPr>
          <w:t>147</w:t>
        </w:r>
        <w:r w:rsidR="00F37CD1">
          <w:rPr>
            <w:noProof/>
            <w:webHidden/>
          </w:rPr>
          <w:fldChar w:fldCharType="end"/>
        </w:r>
      </w:hyperlink>
    </w:p>
    <w:p w14:paraId="483DA783" w14:textId="55398F5A" w:rsidR="00F37CD1" w:rsidRDefault="005616C5">
      <w:pPr>
        <w:pStyle w:val="TOC2"/>
        <w:tabs>
          <w:tab w:val="left" w:pos="660"/>
        </w:tabs>
        <w:rPr>
          <w:rFonts w:asciiTheme="minorHAnsi" w:eastAsiaTheme="minorEastAsia" w:hAnsiTheme="minorHAnsi" w:cstheme="minorBidi"/>
          <w:noProof/>
          <w:sz w:val="22"/>
          <w:szCs w:val="22"/>
        </w:rPr>
      </w:pPr>
      <w:hyperlink w:anchor="_Toc93405247" w:history="1">
        <w:r w:rsidR="00F37CD1" w:rsidRPr="00D92830">
          <w:rPr>
            <w:rStyle w:val="Hyperlink"/>
            <w:noProof/>
          </w:rPr>
          <w:t>2.1</w:t>
        </w:r>
        <w:r w:rsidR="00F37CD1">
          <w:rPr>
            <w:rFonts w:asciiTheme="minorHAnsi" w:eastAsiaTheme="minorEastAsia" w:hAnsiTheme="minorHAnsi" w:cstheme="minorBidi"/>
            <w:noProof/>
            <w:sz w:val="22"/>
            <w:szCs w:val="22"/>
          </w:rPr>
          <w:tab/>
        </w:r>
        <w:r w:rsidR="00F37CD1" w:rsidRPr="00D92830">
          <w:rPr>
            <w:rStyle w:val="Hyperlink"/>
            <w:noProof/>
          </w:rPr>
          <w:t>Changes to outcome and program structures</w:t>
        </w:r>
        <w:r w:rsidR="00F37CD1">
          <w:rPr>
            <w:noProof/>
            <w:webHidden/>
          </w:rPr>
          <w:tab/>
        </w:r>
        <w:r w:rsidR="00F37CD1">
          <w:rPr>
            <w:noProof/>
            <w:webHidden/>
          </w:rPr>
          <w:fldChar w:fldCharType="begin"/>
        </w:r>
        <w:r w:rsidR="00F37CD1">
          <w:rPr>
            <w:noProof/>
            <w:webHidden/>
          </w:rPr>
          <w:instrText xml:space="preserve"> PAGEREF _Toc93405247 \h </w:instrText>
        </w:r>
        <w:r w:rsidR="00F37CD1">
          <w:rPr>
            <w:noProof/>
            <w:webHidden/>
          </w:rPr>
        </w:r>
        <w:r w:rsidR="00F37CD1">
          <w:rPr>
            <w:noProof/>
            <w:webHidden/>
          </w:rPr>
          <w:fldChar w:fldCharType="separate"/>
        </w:r>
        <w:r w:rsidR="003B5862">
          <w:rPr>
            <w:noProof/>
            <w:webHidden/>
          </w:rPr>
          <w:t>147</w:t>
        </w:r>
        <w:r w:rsidR="00F37CD1">
          <w:rPr>
            <w:noProof/>
            <w:webHidden/>
          </w:rPr>
          <w:fldChar w:fldCharType="end"/>
        </w:r>
      </w:hyperlink>
    </w:p>
    <w:p w14:paraId="00502F20" w14:textId="74D66E7A" w:rsidR="00F37CD1" w:rsidRDefault="005616C5">
      <w:pPr>
        <w:pStyle w:val="TOC2"/>
        <w:tabs>
          <w:tab w:val="left" w:pos="660"/>
        </w:tabs>
        <w:rPr>
          <w:rFonts w:asciiTheme="minorHAnsi" w:eastAsiaTheme="minorEastAsia" w:hAnsiTheme="minorHAnsi" w:cstheme="minorBidi"/>
          <w:noProof/>
          <w:sz w:val="22"/>
          <w:szCs w:val="22"/>
        </w:rPr>
      </w:pPr>
      <w:hyperlink w:anchor="_Toc93405248" w:history="1">
        <w:r w:rsidR="00F37CD1" w:rsidRPr="00D92830">
          <w:rPr>
            <w:rStyle w:val="Hyperlink"/>
            <w:noProof/>
          </w:rPr>
          <w:t>2.2</w:t>
        </w:r>
        <w:r w:rsidR="00F37CD1">
          <w:rPr>
            <w:rFonts w:asciiTheme="minorHAnsi" w:eastAsiaTheme="minorEastAsia" w:hAnsiTheme="minorHAnsi" w:cstheme="minorBidi"/>
            <w:noProof/>
            <w:sz w:val="22"/>
            <w:szCs w:val="22"/>
          </w:rPr>
          <w:tab/>
        </w:r>
        <w:r w:rsidR="00F37CD1" w:rsidRPr="00D92830">
          <w:rPr>
            <w:rStyle w:val="Hyperlink"/>
            <w:noProof/>
          </w:rPr>
          <w:t xml:space="preserve">Budgeted expenses and performance for </w:t>
        </w:r>
        <w:r w:rsidR="00F37CD1" w:rsidRPr="00D92830">
          <w:rPr>
            <w:rStyle w:val="Hyperlink"/>
            <w:noProof/>
            <w:lang w:val="en-US"/>
          </w:rPr>
          <w:t>O</w:t>
        </w:r>
        <w:r w:rsidR="00F37CD1" w:rsidRPr="00D92830">
          <w:rPr>
            <w:rStyle w:val="Hyperlink"/>
            <w:noProof/>
          </w:rPr>
          <w:t>utcome 1</w:t>
        </w:r>
        <w:r w:rsidR="00F37CD1">
          <w:rPr>
            <w:noProof/>
            <w:webHidden/>
          </w:rPr>
          <w:tab/>
        </w:r>
        <w:r w:rsidR="00F37CD1">
          <w:rPr>
            <w:noProof/>
            <w:webHidden/>
          </w:rPr>
          <w:fldChar w:fldCharType="begin"/>
        </w:r>
        <w:r w:rsidR="00F37CD1">
          <w:rPr>
            <w:noProof/>
            <w:webHidden/>
          </w:rPr>
          <w:instrText xml:space="preserve"> PAGEREF _Toc93405248 \h </w:instrText>
        </w:r>
        <w:r w:rsidR="00F37CD1">
          <w:rPr>
            <w:noProof/>
            <w:webHidden/>
          </w:rPr>
        </w:r>
        <w:r w:rsidR="00F37CD1">
          <w:rPr>
            <w:noProof/>
            <w:webHidden/>
          </w:rPr>
          <w:fldChar w:fldCharType="separate"/>
        </w:r>
        <w:r w:rsidR="003B5862">
          <w:rPr>
            <w:noProof/>
            <w:webHidden/>
          </w:rPr>
          <w:t>147</w:t>
        </w:r>
        <w:r w:rsidR="00F37CD1">
          <w:rPr>
            <w:noProof/>
            <w:webHidden/>
          </w:rPr>
          <w:fldChar w:fldCharType="end"/>
        </w:r>
      </w:hyperlink>
    </w:p>
    <w:p w14:paraId="1F2C8CA2" w14:textId="33C6DA35" w:rsidR="00F37CD1" w:rsidRDefault="005616C5">
      <w:pPr>
        <w:pStyle w:val="TOC1"/>
        <w:rPr>
          <w:rFonts w:asciiTheme="minorHAnsi" w:eastAsiaTheme="minorEastAsia" w:hAnsiTheme="minorHAnsi" w:cstheme="minorBidi"/>
          <w:b w:val="0"/>
          <w:noProof/>
          <w:sz w:val="22"/>
          <w:szCs w:val="22"/>
        </w:rPr>
      </w:pPr>
      <w:hyperlink w:anchor="_Toc93405249" w:history="1">
        <w:r w:rsidR="00F37CD1" w:rsidRPr="00D92830">
          <w:rPr>
            <w:rStyle w:val="Hyperlink"/>
            <w:noProof/>
          </w:rPr>
          <w:t>Section 3: Special account flows and budgeted financial statements</w:t>
        </w:r>
        <w:r w:rsidR="00F37CD1">
          <w:rPr>
            <w:noProof/>
            <w:webHidden/>
          </w:rPr>
          <w:tab/>
        </w:r>
        <w:r w:rsidR="00F37CD1">
          <w:rPr>
            <w:noProof/>
            <w:webHidden/>
          </w:rPr>
          <w:fldChar w:fldCharType="begin"/>
        </w:r>
        <w:r w:rsidR="00F37CD1">
          <w:rPr>
            <w:noProof/>
            <w:webHidden/>
          </w:rPr>
          <w:instrText xml:space="preserve"> PAGEREF _Toc93405249 \h </w:instrText>
        </w:r>
        <w:r w:rsidR="00F37CD1">
          <w:rPr>
            <w:noProof/>
            <w:webHidden/>
          </w:rPr>
        </w:r>
        <w:r w:rsidR="00F37CD1">
          <w:rPr>
            <w:noProof/>
            <w:webHidden/>
          </w:rPr>
          <w:fldChar w:fldCharType="separate"/>
        </w:r>
        <w:r w:rsidR="003B5862">
          <w:rPr>
            <w:noProof/>
            <w:webHidden/>
          </w:rPr>
          <w:t>149</w:t>
        </w:r>
        <w:r w:rsidR="00F37CD1">
          <w:rPr>
            <w:noProof/>
            <w:webHidden/>
          </w:rPr>
          <w:fldChar w:fldCharType="end"/>
        </w:r>
      </w:hyperlink>
    </w:p>
    <w:p w14:paraId="0B1BEA90" w14:textId="24F5A655" w:rsidR="00F37CD1" w:rsidRDefault="005616C5">
      <w:pPr>
        <w:pStyle w:val="TOC2"/>
        <w:tabs>
          <w:tab w:val="left" w:pos="660"/>
        </w:tabs>
        <w:rPr>
          <w:rFonts w:asciiTheme="minorHAnsi" w:eastAsiaTheme="minorEastAsia" w:hAnsiTheme="minorHAnsi" w:cstheme="minorBidi"/>
          <w:noProof/>
          <w:sz w:val="22"/>
          <w:szCs w:val="22"/>
        </w:rPr>
      </w:pPr>
      <w:hyperlink w:anchor="_Toc93405250" w:history="1">
        <w:r w:rsidR="00F37CD1" w:rsidRPr="00D92830">
          <w:rPr>
            <w:rStyle w:val="Hyperlink"/>
            <w:noProof/>
          </w:rPr>
          <w:t>3.1</w:t>
        </w:r>
        <w:r w:rsidR="00F37CD1">
          <w:rPr>
            <w:rFonts w:asciiTheme="minorHAnsi" w:eastAsiaTheme="minorEastAsia" w:hAnsiTheme="minorHAnsi" w:cstheme="minorBidi"/>
            <w:noProof/>
            <w:sz w:val="22"/>
            <w:szCs w:val="22"/>
          </w:rPr>
          <w:tab/>
        </w:r>
        <w:r w:rsidR="00F37CD1" w:rsidRPr="00D92830">
          <w:rPr>
            <w:rStyle w:val="Hyperlink"/>
            <w:noProof/>
          </w:rPr>
          <w:t>Special Account Flows</w:t>
        </w:r>
        <w:r w:rsidR="00F37CD1">
          <w:rPr>
            <w:noProof/>
            <w:webHidden/>
          </w:rPr>
          <w:tab/>
        </w:r>
        <w:r w:rsidR="00F37CD1">
          <w:rPr>
            <w:noProof/>
            <w:webHidden/>
          </w:rPr>
          <w:fldChar w:fldCharType="begin"/>
        </w:r>
        <w:r w:rsidR="00F37CD1">
          <w:rPr>
            <w:noProof/>
            <w:webHidden/>
          </w:rPr>
          <w:instrText xml:space="preserve"> PAGEREF _Toc93405250 \h </w:instrText>
        </w:r>
        <w:r w:rsidR="00F37CD1">
          <w:rPr>
            <w:noProof/>
            <w:webHidden/>
          </w:rPr>
        </w:r>
        <w:r w:rsidR="00F37CD1">
          <w:rPr>
            <w:noProof/>
            <w:webHidden/>
          </w:rPr>
          <w:fldChar w:fldCharType="separate"/>
        </w:r>
        <w:r w:rsidR="003B5862">
          <w:rPr>
            <w:noProof/>
            <w:webHidden/>
          </w:rPr>
          <w:t>149</w:t>
        </w:r>
        <w:r w:rsidR="00F37CD1">
          <w:rPr>
            <w:noProof/>
            <w:webHidden/>
          </w:rPr>
          <w:fldChar w:fldCharType="end"/>
        </w:r>
      </w:hyperlink>
    </w:p>
    <w:p w14:paraId="490251A8" w14:textId="7534716B" w:rsidR="00F37CD1" w:rsidRDefault="005616C5">
      <w:pPr>
        <w:pStyle w:val="TOC2"/>
        <w:tabs>
          <w:tab w:val="left" w:pos="660"/>
        </w:tabs>
        <w:rPr>
          <w:rFonts w:asciiTheme="minorHAnsi" w:eastAsiaTheme="minorEastAsia" w:hAnsiTheme="minorHAnsi" w:cstheme="minorBidi"/>
          <w:noProof/>
          <w:sz w:val="22"/>
          <w:szCs w:val="22"/>
        </w:rPr>
      </w:pPr>
      <w:hyperlink w:anchor="_Toc93405251" w:history="1">
        <w:r w:rsidR="00F37CD1" w:rsidRPr="00D92830">
          <w:rPr>
            <w:rStyle w:val="Hyperlink"/>
            <w:noProof/>
            <w:lang w:val="en-US"/>
          </w:rPr>
          <w:t>3.2</w:t>
        </w:r>
        <w:r w:rsidR="00F37CD1">
          <w:rPr>
            <w:rFonts w:asciiTheme="minorHAnsi" w:eastAsiaTheme="minorEastAsia" w:hAnsiTheme="minorHAnsi" w:cstheme="minorBidi"/>
            <w:noProof/>
            <w:sz w:val="22"/>
            <w:szCs w:val="22"/>
          </w:rPr>
          <w:tab/>
        </w:r>
        <w:r w:rsidR="00F37CD1" w:rsidRPr="00D92830">
          <w:rPr>
            <w:rStyle w:val="Hyperlink"/>
            <w:noProof/>
          </w:rPr>
          <w:t>Budgeted financial statements</w:t>
        </w:r>
        <w:r w:rsidR="00F37CD1">
          <w:rPr>
            <w:noProof/>
            <w:webHidden/>
          </w:rPr>
          <w:tab/>
        </w:r>
        <w:r w:rsidR="00F37CD1">
          <w:rPr>
            <w:noProof/>
            <w:webHidden/>
          </w:rPr>
          <w:fldChar w:fldCharType="begin"/>
        </w:r>
        <w:r w:rsidR="00F37CD1">
          <w:rPr>
            <w:noProof/>
            <w:webHidden/>
          </w:rPr>
          <w:instrText xml:space="preserve"> PAGEREF _Toc93405251 \h </w:instrText>
        </w:r>
        <w:r w:rsidR="00F37CD1">
          <w:rPr>
            <w:noProof/>
            <w:webHidden/>
          </w:rPr>
        </w:r>
        <w:r w:rsidR="00F37CD1">
          <w:rPr>
            <w:noProof/>
            <w:webHidden/>
          </w:rPr>
          <w:fldChar w:fldCharType="separate"/>
        </w:r>
        <w:r w:rsidR="003B5862">
          <w:rPr>
            <w:noProof/>
            <w:webHidden/>
          </w:rPr>
          <w:t>149</w:t>
        </w:r>
        <w:r w:rsidR="00F37CD1">
          <w:rPr>
            <w:noProof/>
            <w:webHidden/>
          </w:rPr>
          <w:fldChar w:fldCharType="end"/>
        </w:r>
      </w:hyperlink>
    </w:p>
    <w:p w14:paraId="15DE032B" w14:textId="3CD3ED05" w:rsidR="00914885" w:rsidRDefault="00B87DAB" w:rsidP="00914885">
      <w:r>
        <w:rPr>
          <w:rFonts w:ascii="Arial" w:hAnsi="Arial"/>
        </w:rPr>
        <w:fldChar w:fldCharType="end"/>
      </w:r>
    </w:p>
    <w:p w14:paraId="012C3E6C" w14:textId="77777777" w:rsidR="00914885" w:rsidRPr="0035086F" w:rsidRDefault="00914885" w:rsidP="00914885"/>
    <w:p w14:paraId="196378BF" w14:textId="77777777" w:rsidR="00914885" w:rsidRPr="0035086F" w:rsidRDefault="00914885" w:rsidP="00914885"/>
    <w:p w14:paraId="181C041E" w14:textId="77777777" w:rsidR="00914885" w:rsidRPr="0035086F" w:rsidRDefault="00914885" w:rsidP="00914885">
      <w:pPr>
        <w:sectPr w:rsidR="00914885" w:rsidRPr="0035086F" w:rsidSect="00873E3E">
          <w:headerReference w:type="first" r:id="rId101"/>
          <w:footerReference w:type="first" r:id="rId102"/>
          <w:type w:val="oddPage"/>
          <w:pgSz w:w="11907" w:h="16840" w:code="9"/>
          <w:pgMar w:top="2835" w:right="2098" w:bottom="2466" w:left="2098" w:header="1560" w:footer="1814" w:gutter="0"/>
          <w:cols w:space="720"/>
          <w:titlePg/>
        </w:sectPr>
      </w:pPr>
    </w:p>
    <w:p w14:paraId="05D6B1E1" w14:textId="7C652E94" w:rsidR="00914885" w:rsidRPr="00EC28BF" w:rsidRDefault="00EC28BF" w:rsidP="00F37CD1">
      <w:pPr>
        <w:pStyle w:val="Heading1-LVL2"/>
      </w:pPr>
      <w:bookmarkStart w:id="473" w:name="_Toc94198475"/>
      <w:r>
        <w:lastRenderedPageBreak/>
        <w:t>Nati</w:t>
      </w:r>
      <w:r w:rsidR="0082788A">
        <w:t xml:space="preserve">onal Film </w:t>
      </w:r>
      <w:r w:rsidR="0082788A" w:rsidRPr="008A6240">
        <w:t>and</w:t>
      </w:r>
      <w:r w:rsidR="0082788A">
        <w:t xml:space="preserve"> Sound Archive of Australia</w:t>
      </w:r>
      <w:bookmarkEnd w:id="473"/>
    </w:p>
    <w:p w14:paraId="1872BEB3" w14:textId="74DF3186" w:rsidR="00914885" w:rsidRPr="00F045E6" w:rsidRDefault="00914885" w:rsidP="008176BB">
      <w:pPr>
        <w:pStyle w:val="Heading2-TOCNFSA"/>
      </w:pPr>
      <w:bookmarkStart w:id="474" w:name="_Toc92991319"/>
      <w:bookmarkStart w:id="475" w:name="_Toc93405240"/>
      <w:r w:rsidRPr="00F045E6">
        <w:t>Section 1: Entity overview and resources</w:t>
      </w:r>
      <w:bookmarkEnd w:id="474"/>
      <w:bookmarkEnd w:id="475"/>
    </w:p>
    <w:p w14:paraId="050A8C78" w14:textId="09973C8B" w:rsidR="00914885" w:rsidRPr="002322E9" w:rsidRDefault="00914885" w:rsidP="008176BB">
      <w:pPr>
        <w:pStyle w:val="Heading3NFSA"/>
        <w:rPr>
          <w:lang w:val="en-AU"/>
        </w:rPr>
      </w:pPr>
      <w:bookmarkStart w:id="476" w:name="_Toc92991320"/>
      <w:bookmarkStart w:id="477" w:name="_Toc93405241"/>
      <w:r>
        <w:t>1.1</w:t>
      </w:r>
      <w:r>
        <w:tab/>
      </w:r>
      <w:r w:rsidRPr="004928FF">
        <w:t>Strategic direction</w:t>
      </w:r>
      <w:r>
        <w:rPr>
          <w:lang w:val="en-AU"/>
        </w:rPr>
        <w:t xml:space="preserve"> statement</w:t>
      </w:r>
      <w:bookmarkEnd w:id="476"/>
      <w:bookmarkEnd w:id="477"/>
    </w:p>
    <w:p w14:paraId="2B6AF870" w14:textId="77777777" w:rsidR="0048347B" w:rsidRPr="00B94E5D" w:rsidRDefault="0048347B" w:rsidP="0048347B">
      <w:pPr>
        <w:pStyle w:val="bulletlevel1"/>
        <w:spacing w:before="0"/>
      </w:pPr>
      <w:r w:rsidRPr="00B94E5D">
        <w:t xml:space="preserve">The legislative functions of the National Film and Sound Archive of Australia (NFSA) are outlined in the </w:t>
      </w:r>
      <w:r w:rsidRPr="00B94E5D">
        <w:rPr>
          <w:i/>
        </w:rPr>
        <w:t>National Film and Sound Archive of Australia Act 2008</w:t>
      </w:r>
      <w:r w:rsidRPr="00B94E5D">
        <w:t>. The NFSA is Australia’s premier audio</w:t>
      </w:r>
      <w:r>
        <w:t>-</w:t>
      </w:r>
      <w:r w:rsidRPr="00B94E5D">
        <w:t>visual archive and a place of engagement with Australian audio</w:t>
      </w:r>
      <w:r>
        <w:t>-</w:t>
      </w:r>
      <w:r w:rsidRPr="00B94E5D">
        <w:t>visual production past and present.</w:t>
      </w:r>
    </w:p>
    <w:p w14:paraId="41C9A34D" w14:textId="77777777" w:rsidR="0048347B" w:rsidRPr="00B94E5D" w:rsidRDefault="0048347B" w:rsidP="0048347B">
      <w:pPr>
        <w:pStyle w:val="bulletlevel1"/>
        <w:spacing w:before="0"/>
      </w:pPr>
      <w:r w:rsidRPr="00B94E5D">
        <w:t>The NFSA’s mission is to collect and preserve Australian film, recorded sound, broadcast and new media, and their associated documents and artefacts, and to share the collection with audiences across Australia and overseas.</w:t>
      </w:r>
    </w:p>
    <w:p w14:paraId="6F8A86CE" w14:textId="77777777" w:rsidR="0048347B" w:rsidRPr="00B94E5D" w:rsidRDefault="0048347B" w:rsidP="0048347B">
      <w:pPr>
        <w:pStyle w:val="bulletlevel1"/>
        <w:spacing w:before="0"/>
      </w:pPr>
      <w:r w:rsidRPr="00B94E5D">
        <w:t>The NFSA exists to perform three vital functions:</w:t>
      </w:r>
    </w:p>
    <w:p w14:paraId="306271C4" w14:textId="77777777" w:rsidR="0048347B" w:rsidRPr="00B94E5D" w:rsidRDefault="0048347B" w:rsidP="009B54D8">
      <w:pPr>
        <w:pStyle w:val="bulletlevel1"/>
        <w:numPr>
          <w:ilvl w:val="0"/>
          <w:numId w:val="10"/>
        </w:numPr>
        <w:spacing w:before="0"/>
      </w:pPr>
      <w:r w:rsidRPr="00B94E5D">
        <w:t>collect audio visual works and associated documentation that reflect all aspects of Australian life and our diverse communities</w:t>
      </w:r>
    </w:p>
    <w:p w14:paraId="4BB33974" w14:textId="77777777" w:rsidR="0048347B" w:rsidRPr="00B94E5D" w:rsidRDefault="0048347B" w:rsidP="009B54D8">
      <w:pPr>
        <w:pStyle w:val="bulletlevel1"/>
        <w:numPr>
          <w:ilvl w:val="0"/>
          <w:numId w:val="10"/>
        </w:numPr>
        <w:spacing w:before="0"/>
      </w:pPr>
      <w:r w:rsidRPr="00B94E5D">
        <w:t>preserve the collection in accordance with international standards and working within our resources, to ensure permanent access</w:t>
      </w:r>
    </w:p>
    <w:p w14:paraId="35AFFB65" w14:textId="77777777" w:rsidR="0048347B" w:rsidRPr="00B94E5D" w:rsidRDefault="0048347B" w:rsidP="009B54D8">
      <w:pPr>
        <w:pStyle w:val="bulletlevel1"/>
        <w:numPr>
          <w:ilvl w:val="0"/>
          <w:numId w:val="10"/>
        </w:numPr>
        <w:spacing w:before="0"/>
      </w:pPr>
      <w:proofErr w:type="gramStart"/>
      <w:r w:rsidRPr="00B94E5D">
        <w:t>share</w:t>
      </w:r>
      <w:proofErr w:type="gramEnd"/>
      <w:r w:rsidRPr="00B94E5D">
        <w:t xml:space="preserve"> the collection so its stories form an ongoing part of the evolution of our culture.</w:t>
      </w:r>
    </w:p>
    <w:p w14:paraId="7C6A794D" w14:textId="77777777" w:rsidR="00914885" w:rsidRDefault="00914885" w:rsidP="00914885">
      <w:pPr>
        <w:spacing w:after="0" w:line="240" w:lineRule="auto"/>
        <w:jc w:val="left"/>
        <w:rPr>
          <w:lang w:val="en-US"/>
        </w:rPr>
      </w:pPr>
      <w:r>
        <w:rPr>
          <w:lang w:val="en-US"/>
        </w:rPr>
        <w:br w:type="page"/>
      </w:r>
    </w:p>
    <w:p w14:paraId="290037C0" w14:textId="2194A9BA" w:rsidR="00914885" w:rsidRPr="004928FF" w:rsidRDefault="00914885" w:rsidP="008176BB">
      <w:pPr>
        <w:pStyle w:val="Heading3NFSA"/>
      </w:pPr>
      <w:bookmarkStart w:id="478" w:name="_Toc92991321"/>
      <w:bookmarkStart w:id="479" w:name="_Toc93405242"/>
      <w:r>
        <w:lastRenderedPageBreak/>
        <w:t>1.2</w:t>
      </w:r>
      <w:r>
        <w:tab/>
        <w:t>Entity resource statement</w:t>
      </w:r>
      <w:bookmarkEnd w:id="478"/>
      <w:bookmarkEnd w:id="479"/>
    </w:p>
    <w:p w14:paraId="07DD7DAE" w14:textId="438FF49E" w:rsidR="0048347B" w:rsidRDefault="0048347B" w:rsidP="0048347B">
      <w:pPr>
        <w:pStyle w:val="Exampletext0"/>
        <w:jc w:val="left"/>
        <w:rPr>
          <w:i w:val="0"/>
          <w:color w:val="auto"/>
          <w:lang w:val="en-AU"/>
        </w:rPr>
      </w:pPr>
      <w:r w:rsidRPr="0044717A">
        <w:rPr>
          <w:i w:val="0"/>
          <w:color w:val="auto"/>
          <w:lang w:val="en-AU"/>
        </w:rPr>
        <w:t xml:space="preserve">The </w:t>
      </w:r>
      <w:r w:rsidR="0050026A">
        <w:rPr>
          <w:i w:val="0"/>
          <w:color w:val="auto"/>
          <w:lang w:val="en-AU"/>
        </w:rPr>
        <w:t>NFSA</w:t>
      </w:r>
      <w:r w:rsidRPr="0044717A">
        <w:rPr>
          <w:i w:val="0"/>
          <w:color w:val="auto"/>
          <w:lang w:val="en-AU"/>
        </w:rPr>
        <w:t xml:space="preserve"> resource statement details the resourcing for </w:t>
      </w:r>
      <w:r>
        <w:rPr>
          <w:i w:val="0"/>
          <w:color w:val="auto"/>
          <w:lang w:val="en-AU"/>
        </w:rPr>
        <w:t xml:space="preserve">the </w:t>
      </w:r>
      <w:r w:rsidR="00886877">
        <w:rPr>
          <w:i w:val="0"/>
          <w:color w:val="auto"/>
          <w:lang w:val="en-AU"/>
        </w:rPr>
        <w:t>NFSA</w:t>
      </w:r>
      <w:r w:rsidRPr="0044717A">
        <w:rPr>
          <w:i w:val="0"/>
          <w:color w:val="auto"/>
          <w:lang w:val="en-AU"/>
        </w:rPr>
        <w:t xml:space="preserve"> at Additional Estimates. Table 1.1 shows the total resourc</w:t>
      </w:r>
      <w:r>
        <w:rPr>
          <w:i w:val="0"/>
          <w:color w:val="auto"/>
          <w:lang w:val="en-AU"/>
        </w:rPr>
        <w:t>es from all sources for the 2021-22</w:t>
      </w:r>
      <w:r w:rsidRPr="0044717A">
        <w:rPr>
          <w:i w:val="0"/>
          <w:color w:val="auto"/>
          <w:lang w:val="en-AU"/>
        </w:rPr>
        <w:t xml:space="preserve"> Budget year, including variations through Appropriation Bills No. 3 and No. 4 and special appropriations.</w:t>
      </w:r>
    </w:p>
    <w:p w14:paraId="572B42DE" w14:textId="6E1E542E" w:rsidR="0048347B" w:rsidRPr="00684646" w:rsidRDefault="0048347B" w:rsidP="0048347B">
      <w:pPr>
        <w:pStyle w:val="TableHeading"/>
        <w:rPr>
          <w:b w:val="0"/>
          <w:lang w:val="en-GB"/>
        </w:rPr>
      </w:pPr>
      <w:r w:rsidRPr="00D52F83">
        <w:t xml:space="preserve">Table 1.1: </w:t>
      </w:r>
      <w:r w:rsidRPr="00D52F83">
        <w:rPr>
          <w:lang w:val="en-AU"/>
        </w:rPr>
        <w:t>NFSA</w:t>
      </w:r>
      <w:r w:rsidRPr="00D52F83">
        <w:t xml:space="preserve"> resource statement — </w:t>
      </w:r>
      <w:r w:rsidRPr="00D52F83">
        <w:rPr>
          <w:lang w:val="en-US"/>
        </w:rPr>
        <w:t>Additional</w:t>
      </w:r>
      <w:r w:rsidRPr="00D52F83">
        <w:t xml:space="preserve"> estimates for 202</w:t>
      </w:r>
      <w:r w:rsidRPr="00D52F83">
        <w:rPr>
          <w:lang w:val="en-GB"/>
        </w:rPr>
        <w:t>1</w:t>
      </w:r>
      <w:r w:rsidRPr="00D52F83">
        <w:rPr>
          <w:lang w:val="en-GB"/>
        </w:rPr>
        <w:softHyphen/>
      </w:r>
      <w:r w:rsidRPr="00D52F83">
        <w:rPr>
          <w:lang w:val="en-GB"/>
        </w:rPr>
        <w:softHyphen/>
        <w:t>-22</w:t>
      </w:r>
      <w:r w:rsidRPr="00D52F83">
        <w:t xml:space="preserve"> as at </w:t>
      </w:r>
      <w:r w:rsidRPr="00D52F83">
        <w:rPr>
          <w:lang w:val="en-US"/>
        </w:rPr>
        <w:t>Additional Estimates February</w:t>
      </w:r>
      <w:r w:rsidRPr="00D52F83">
        <w:t xml:space="preserve"> </w:t>
      </w:r>
      <w:r w:rsidR="002A4EF6" w:rsidRPr="00D52F83">
        <w:rPr>
          <w:lang w:val="en-GB"/>
        </w:rPr>
        <w:t>2022</w:t>
      </w:r>
    </w:p>
    <w:tbl>
      <w:tblPr>
        <w:tblW w:w="7655" w:type="dxa"/>
        <w:tblLook w:val="04A0" w:firstRow="1" w:lastRow="0" w:firstColumn="1" w:lastColumn="0" w:noHBand="0" w:noVBand="1"/>
      </w:tblPr>
      <w:tblGrid>
        <w:gridCol w:w="3261"/>
        <w:gridCol w:w="1150"/>
        <w:gridCol w:w="1115"/>
        <w:gridCol w:w="1116"/>
        <w:gridCol w:w="1013"/>
      </w:tblGrid>
      <w:tr w:rsidR="004E751E" w:rsidRPr="0038328A" w14:paraId="1E063A1A" w14:textId="77777777" w:rsidTr="00C211FF">
        <w:trPr>
          <w:trHeight w:val="965"/>
        </w:trPr>
        <w:tc>
          <w:tcPr>
            <w:tcW w:w="3261" w:type="dxa"/>
            <w:tcBorders>
              <w:top w:val="single" w:sz="4" w:space="0" w:color="auto"/>
              <w:left w:val="nil"/>
              <w:bottom w:val="nil"/>
              <w:right w:val="nil"/>
            </w:tcBorders>
            <w:shd w:val="clear" w:color="000000" w:fill="FFFFFF"/>
            <w:noWrap/>
            <w:vAlign w:val="bottom"/>
            <w:hideMark/>
          </w:tcPr>
          <w:p w14:paraId="1C0C0C7C" w14:textId="5ABE29A3" w:rsidR="004E751E" w:rsidRPr="0038328A" w:rsidRDefault="004E751E" w:rsidP="004E751E">
            <w:pPr>
              <w:spacing w:after="0" w:line="240" w:lineRule="auto"/>
              <w:jc w:val="left"/>
              <w:rPr>
                <w:rFonts w:ascii="Arial" w:hAnsi="Arial" w:cs="Arial"/>
                <w:color w:val="000000"/>
                <w:sz w:val="16"/>
                <w:szCs w:val="16"/>
              </w:rPr>
            </w:pPr>
          </w:p>
        </w:tc>
        <w:tc>
          <w:tcPr>
            <w:tcW w:w="1150" w:type="dxa"/>
            <w:tcBorders>
              <w:top w:val="single" w:sz="4" w:space="0" w:color="auto"/>
              <w:left w:val="nil"/>
              <w:bottom w:val="single" w:sz="4" w:space="0" w:color="auto"/>
              <w:right w:val="nil"/>
            </w:tcBorders>
            <w:shd w:val="clear" w:color="000000" w:fill="FFFFFF"/>
            <w:hideMark/>
          </w:tcPr>
          <w:p w14:paraId="1547B59C" w14:textId="77777777" w:rsidR="004E751E" w:rsidRPr="0038328A" w:rsidRDefault="004E751E" w:rsidP="004E751E">
            <w:pPr>
              <w:spacing w:after="0" w:line="240" w:lineRule="auto"/>
              <w:jc w:val="right"/>
              <w:rPr>
                <w:rFonts w:ascii="Arial" w:hAnsi="Arial" w:cs="Arial"/>
                <w:color w:val="000000"/>
                <w:sz w:val="16"/>
                <w:szCs w:val="16"/>
              </w:rPr>
            </w:pPr>
            <w:r w:rsidRPr="0038328A">
              <w:rPr>
                <w:rFonts w:ascii="Arial" w:hAnsi="Arial" w:cs="Arial"/>
                <w:color w:val="000000"/>
                <w:sz w:val="16"/>
                <w:szCs w:val="16"/>
              </w:rPr>
              <w:t>Actual</w:t>
            </w:r>
            <w:r w:rsidRPr="0038328A">
              <w:rPr>
                <w:rFonts w:ascii="Arial" w:hAnsi="Arial" w:cs="Arial"/>
                <w:color w:val="000000"/>
                <w:sz w:val="16"/>
                <w:szCs w:val="16"/>
              </w:rPr>
              <w:br/>
              <w:t>available</w:t>
            </w:r>
            <w:r w:rsidRPr="0038328A">
              <w:rPr>
                <w:rFonts w:ascii="Arial" w:hAnsi="Arial" w:cs="Arial"/>
                <w:color w:val="000000"/>
                <w:sz w:val="16"/>
                <w:szCs w:val="16"/>
              </w:rPr>
              <w:br/>
              <w:t>appropriation</w:t>
            </w:r>
            <w:r w:rsidRPr="0038328A">
              <w:rPr>
                <w:rFonts w:ascii="Arial" w:hAnsi="Arial" w:cs="Arial"/>
                <w:color w:val="000000"/>
                <w:sz w:val="16"/>
                <w:szCs w:val="16"/>
              </w:rPr>
              <w:br/>
            </w:r>
            <w:r w:rsidRPr="0038328A">
              <w:rPr>
                <w:rFonts w:ascii="Arial" w:hAnsi="Arial" w:cs="Arial"/>
                <w:color w:val="000000"/>
                <w:sz w:val="16"/>
                <w:szCs w:val="16"/>
              </w:rPr>
              <w:br/>
              <w:t>2020-21</w:t>
            </w:r>
            <w:r w:rsidRPr="0038328A">
              <w:rPr>
                <w:rFonts w:ascii="Arial" w:hAnsi="Arial" w:cs="Arial"/>
                <w:color w:val="000000"/>
                <w:sz w:val="16"/>
                <w:szCs w:val="16"/>
              </w:rPr>
              <w:br/>
              <w:t>$'000</w:t>
            </w:r>
          </w:p>
        </w:tc>
        <w:tc>
          <w:tcPr>
            <w:tcW w:w="1115" w:type="dxa"/>
            <w:tcBorders>
              <w:top w:val="single" w:sz="4" w:space="0" w:color="auto"/>
              <w:left w:val="nil"/>
              <w:bottom w:val="single" w:sz="4" w:space="0" w:color="auto"/>
              <w:right w:val="nil"/>
            </w:tcBorders>
            <w:shd w:val="clear" w:color="000000" w:fill="FFFFFF"/>
            <w:hideMark/>
          </w:tcPr>
          <w:p w14:paraId="7B0EDCDD" w14:textId="77777777" w:rsidR="004E751E" w:rsidRPr="0038328A" w:rsidRDefault="004E751E" w:rsidP="004E751E">
            <w:pPr>
              <w:spacing w:after="0" w:line="240" w:lineRule="auto"/>
              <w:jc w:val="right"/>
              <w:rPr>
                <w:rFonts w:ascii="Arial" w:hAnsi="Arial" w:cs="Arial"/>
                <w:color w:val="000000"/>
                <w:sz w:val="16"/>
                <w:szCs w:val="16"/>
              </w:rPr>
            </w:pPr>
            <w:r w:rsidRPr="0038328A">
              <w:rPr>
                <w:rFonts w:ascii="Arial" w:hAnsi="Arial" w:cs="Arial"/>
                <w:color w:val="000000"/>
                <w:sz w:val="16"/>
                <w:szCs w:val="16"/>
              </w:rPr>
              <w:t>Estimate</w:t>
            </w:r>
            <w:r w:rsidRPr="0038328A">
              <w:rPr>
                <w:rFonts w:ascii="Arial" w:hAnsi="Arial" w:cs="Arial"/>
                <w:color w:val="000000"/>
                <w:sz w:val="16"/>
                <w:szCs w:val="16"/>
              </w:rPr>
              <w:br/>
              <w:t>as at</w:t>
            </w:r>
            <w:r w:rsidRPr="0038328A">
              <w:rPr>
                <w:rFonts w:ascii="Arial" w:hAnsi="Arial" w:cs="Arial"/>
                <w:color w:val="000000"/>
                <w:sz w:val="16"/>
                <w:szCs w:val="16"/>
              </w:rPr>
              <w:br/>
              <w:t>Budget</w:t>
            </w:r>
            <w:r w:rsidRPr="0038328A">
              <w:rPr>
                <w:rFonts w:ascii="Arial" w:hAnsi="Arial" w:cs="Arial"/>
                <w:color w:val="000000"/>
                <w:sz w:val="16"/>
                <w:szCs w:val="16"/>
              </w:rPr>
              <w:br/>
            </w:r>
            <w:r w:rsidRPr="0038328A">
              <w:rPr>
                <w:rFonts w:ascii="Arial" w:hAnsi="Arial" w:cs="Arial"/>
                <w:color w:val="000000"/>
                <w:sz w:val="16"/>
                <w:szCs w:val="16"/>
              </w:rPr>
              <w:br/>
              <w:t>2021-22</w:t>
            </w:r>
            <w:r w:rsidRPr="0038328A">
              <w:rPr>
                <w:rFonts w:ascii="Arial" w:hAnsi="Arial" w:cs="Arial"/>
                <w:color w:val="000000"/>
                <w:sz w:val="16"/>
                <w:szCs w:val="16"/>
              </w:rPr>
              <w:br/>
              <w:t>$'000</w:t>
            </w:r>
          </w:p>
        </w:tc>
        <w:tc>
          <w:tcPr>
            <w:tcW w:w="1116" w:type="dxa"/>
            <w:tcBorders>
              <w:top w:val="single" w:sz="4" w:space="0" w:color="auto"/>
              <w:left w:val="nil"/>
              <w:bottom w:val="single" w:sz="4" w:space="0" w:color="auto"/>
              <w:right w:val="nil"/>
            </w:tcBorders>
            <w:shd w:val="clear" w:color="000000" w:fill="FFFFFF"/>
            <w:hideMark/>
          </w:tcPr>
          <w:p w14:paraId="043BF729" w14:textId="77777777" w:rsidR="004E751E" w:rsidRPr="0038328A" w:rsidRDefault="004E751E" w:rsidP="004E751E">
            <w:pPr>
              <w:spacing w:after="0" w:line="240" w:lineRule="auto"/>
              <w:jc w:val="right"/>
              <w:rPr>
                <w:rFonts w:ascii="Arial" w:hAnsi="Arial" w:cs="Arial"/>
                <w:color w:val="000000"/>
                <w:sz w:val="16"/>
                <w:szCs w:val="16"/>
              </w:rPr>
            </w:pPr>
            <w:r w:rsidRPr="0038328A">
              <w:rPr>
                <w:rFonts w:ascii="Arial" w:hAnsi="Arial" w:cs="Arial"/>
                <w:color w:val="000000"/>
                <w:sz w:val="16"/>
                <w:szCs w:val="16"/>
              </w:rPr>
              <w:t>Proposed</w:t>
            </w:r>
            <w:r w:rsidRPr="0038328A">
              <w:rPr>
                <w:rFonts w:ascii="Arial" w:hAnsi="Arial" w:cs="Arial"/>
                <w:color w:val="000000"/>
                <w:sz w:val="16"/>
                <w:szCs w:val="16"/>
              </w:rPr>
              <w:br/>
              <w:t>Additional</w:t>
            </w:r>
            <w:r w:rsidRPr="0038328A">
              <w:rPr>
                <w:rFonts w:ascii="Arial" w:hAnsi="Arial" w:cs="Arial"/>
                <w:color w:val="000000"/>
                <w:sz w:val="16"/>
                <w:szCs w:val="16"/>
              </w:rPr>
              <w:br/>
              <w:t>Estimates</w:t>
            </w:r>
            <w:r w:rsidRPr="0038328A">
              <w:rPr>
                <w:rFonts w:ascii="Arial" w:hAnsi="Arial" w:cs="Arial"/>
                <w:color w:val="000000"/>
                <w:sz w:val="16"/>
                <w:szCs w:val="16"/>
              </w:rPr>
              <w:br/>
            </w:r>
            <w:r w:rsidRPr="0038328A">
              <w:rPr>
                <w:rFonts w:ascii="Arial" w:hAnsi="Arial" w:cs="Arial"/>
                <w:color w:val="000000"/>
                <w:sz w:val="16"/>
                <w:szCs w:val="16"/>
              </w:rPr>
              <w:br/>
              <w:t>2021-22</w:t>
            </w:r>
            <w:r w:rsidRPr="0038328A">
              <w:rPr>
                <w:rFonts w:ascii="Arial" w:hAnsi="Arial" w:cs="Arial"/>
                <w:color w:val="000000"/>
                <w:sz w:val="16"/>
                <w:szCs w:val="16"/>
              </w:rPr>
              <w:br/>
              <w:t>$'000</w:t>
            </w:r>
          </w:p>
        </w:tc>
        <w:tc>
          <w:tcPr>
            <w:tcW w:w="1013" w:type="dxa"/>
            <w:tcBorders>
              <w:top w:val="single" w:sz="4" w:space="0" w:color="auto"/>
              <w:left w:val="nil"/>
              <w:bottom w:val="single" w:sz="4" w:space="0" w:color="auto"/>
              <w:right w:val="nil"/>
            </w:tcBorders>
            <w:shd w:val="clear" w:color="000000" w:fill="E6E6E6"/>
            <w:hideMark/>
          </w:tcPr>
          <w:p w14:paraId="0B859087" w14:textId="77777777" w:rsidR="004E751E" w:rsidRPr="0038328A" w:rsidRDefault="004E751E" w:rsidP="004E751E">
            <w:pPr>
              <w:spacing w:after="0" w:line="240" w:lineRule="auto"/>
              <w:jc w:val="right"/>
              <w:rPr>
                <w:rFonts w:ascii="Arial" w:hAnsi="Arial" w:cs="Arial"/>
                <w:color w:val="000000"/>
                <w:sz w:val="16"/>
                <w:szCs w:val="16"/>
              </w:rPr>
            </w:pPr>
            <w:r w:rsidRPr="0038328A">
              <w:rPr>
                <w:rFonts w:ascii="Arial" w:hAnsi="Arial" w:cs="Arial"/>
                <w:color w:val="000000"/>
                <w:sz w:val="16"/>
                <w:szCs w:val="16"/>
              </w:rPr>
              <w:t>Total</w:t>
            </w:r>
            <w:r w:rsidRPr="0038328A">
              <w:rPr>
                <w:rFonts w:ascii="Arial" w:hAnsi="Arial" w:cs="Arial"/>
                <w:color w:val="000000"/>
                <w:sz w:val="16"/>
                <w:szCs w:val="16"/>
              </w:rPr>
              <w:br/>
              <w:t>estimate at</w:t>
            </w:r>
            <w:r w:rsidRPr="0038328A">
              <w:rPr>
                <w:rFonts w:ascii="Arial" w:hAnsi="Arial" w:cs="Arial"/>
                <w:color w:val="000000"/>
                <w:sz w:val="16"/>
                <w:szCs w:val="16"/>
              </w:rPr>
              <w:br/>
              <w:t>Additional</w:t>
            </w:r>
            <w:r w:rsidRPr="0038328A">
              <w:rPr>
                <w:rFonts w:ascii="Arial" w:hAnsi="Arial" w:cs="Arial"/>
                <w:color w:val="000000"/>
                <w:sz w:val="16"/>
                <w:szCs w:val="16"/>
              </w:rPr>
              <w:br/>
              <w:t>Estimates</w:t>
            </w:r>
            <w:r w:rsidRPr="0038328A">
              <w:rPr>
                <w:rFonts w:ascii="Arial" w:hAnsi="Arial" w:cs="Arial"/>
                <w:color w:val="000000"/>
                <w:sz w:val="16"/>
                <w:szCs w:val="16"/>
              </w:rPr>
              <w:br/>
              <w:t>2021-22</w:t>
            </w:r>
            <w:r w:rsidRPr="0038328A">
              <w:rPr>
                <w:rFonts w:ascii="Arial" w:hAnsi="Arial" w:cs="Arial"/>
                <w:color w:val="000000"/>
                <w:sz w:val="16"/>
                <w:szCs w:val="16"/>
              </w:rPr>
              <w:br/>
              <w:t>$'000</w:t>
            </w:r>
          </w:p>
        </w:tc>
      </w:tr>
      <w:tr w:rsidR="00214346" w:rsidRPr="0038328A" w14:paraId="4D248A87" w14:textId="77777777" w:rsidTr="00C211FF">
        <w:trPr>
          <w:trHeight w:val="204"/>
        </w:trPr>
        <w:tc>
          <w:tcPr>
            <w:tcW w:w="3261" w:type="dxa"/>
            <w:tcBorders>
              <w:top w:val="nil"/>
              <w:left w:val="nil"/>
              <w:bottom w:val="nil"/>
              <w:right w:val="nil"/>
            </w:tcBorders>
            <w:shd w:val="clear" w:color="000000" w:fill="FFFFFF"/>
            <w:noWrap/>
            <w:vAlign w:val="bottom"/>
            <w:hideMark/>
          </w:tcPr>
          <w:p w14:paraId="6FEFAD9E" w14:textId="77777777" w:rsidR="00214346" w:rsidRPr="0038328A" w:rsidRDefault="00214346" w:rsidP="00214346">
            <w:pPr>
              <w:spacing w:after="0" w:line="240" w:lineRule="auto"/>
              <w:jc w:val="left"/>
              <w:rPr>
                <w:rFonts w:ascii="Arial" w:hAnsi="Arial" w:cs="Arial"/>
                <w:b/>
                <w:bCs/>
                <w:color w:val="000000"/>
                <w:sz w:val="16"/>
                <w:szCs w:val="16"/>
              </w:rPr>
            </w:pPr>
            <w:r w:rsidRPr="0038328A">
              <w:rPr>
                <w:rFonts w:ascii="Arial" w:hAnsi="Arial" w:cs="Arial"/>
                <w:b/>
                <w:bCs/>
                <w:color w:val="000000"/>
                <w:sz w:val="16"/>
                <w:szCs w:val="16"/>
              </w:rPr>
              <w:t>Opening balance/cash reserves at 1 July</w:t>
            </w:r>
          </w:p>
        </w:tc>
        <w:tc>
          <w:tcPr>
            <w:tcW w:w="1150" w:type="dxa"/>
            <w:tcBorders>
              <w:top w:val="single" w:sz="4" w:space="0" w:color="auto"/>
              <w:left w:val="nil"/>
              <w:bottom w:val="single" w:sz="4" w:space="0" w:color="auto"/>
              <w:right w:val="nil"/>
            </w:tcBorders>
            <w:shd w:val="clear" w:color="000000" w:fill="FFFFFF"/>
            <w:noWrap/>
            <w:vAlign w:val="bottom"/>
            <w:hideMark/>
          </w:tcPr>
          <w:p w14:paraId="58E46CC0" w14:textId="130DA335" w:rsidR="00214346" w:rsidRPr="00553851" w:rsidRDefault="00214346" w:rsidP="00214346">
            <w:pPr>
              <w:spacing w:after="0" w:line="240" w:lineRule="auto"/>
              <w:jc w:val="right"/>
              <w:rPr>
                <w:rFonts w:ascii="Arial" w:hAnsi="Arial" w:cs="Arial"/>
                <w:b/>
                <w:iCs/>
                <w:color w:val="000000"/>
                <w:sz w:val="16"/>
                <w:szCs w:val="16"/>
              </w:rPr>
            </w:pPr>
            <w:r w:rsidRPr="00553851">
              <w:rPr>
                <w:rFonts w:ascii="Arial" w:hAnsi="Arial" w:cs="Arial"/>
                <w:b/>
                <w:iCs/>
                <w:color w:val="000000"/>
                <w:sz w:val="16"/>
                <w:szCs w:val="16"/>
              </w:rPr>
              <w:t xml:space="preserve">1,324 </w:t>
            </w:r>
          </w:p>
        </w:tc>
        <w:tc>
          <w:tcPr>
            <w:tcW w:w="1115" w:type="dxa"/>
            <w:tcBorders>
              <w:top w:val="single" w:sz="4" w:space="0" w:color="auto"/>
              <w:left w:val="nil"/>
              <w:bottom w:val="single" w:sz="4" w:space="0" w:color="auto"/>
              <w:right w:val="nil"/>
            </w:tcBorders>
            <w:shd w:val="clear" w:color="000000" w:fill="FFFFFF"/>
            <w:noWrap/>
            <w:vAlign w:val="bottom"/>
            <w:hideMark/>
          </w:tcPr>
          <w:p w14:paraId="4E2CE062" w14:textId="25546EE2" w:rsidR="00214346" w:rsidRPr="00553851" w:rsidRDefault="00214346" w:rsidP="00214346">
            <w:pPr>
              <w:spacing w:after="0" w:line="240" w:lineRule="auto"/>
              <w:jc w:val="right"/>
              <w:rPr>
                <w:rFonts w:ascii="Arial" w:hAnsi="Arial" w:cs="Arial"/>
                <w:b/>
                <w:iCs/>
                <w:color w:val="000000"/>
                <w:sz w:val="16"/>
                <w:szCs w:val="16"/>
              </w:rPr>
            </w:pPr>
            <w:r w:rsidRPr="00553851">
              <w:rPr>
                <w:rFonts w:ascii="Arial" w:hAnsi="Arial" w:cs="Arial"/>
                <w:b/>
                <w:iCs/>
                <w:color w:val="000000"/>
                <w:sz w:val="16"/>
                <w:szCs w:val="16"/>
              </w:rPr>
              <w:t xml:space="preserve">2,114 </w:t>
            </w:r>
          </w:p>
        </w:tc>
        <w:tc>
          <w:tcPr>
            <w:tcW w:w="1116" w:type="dxa"/>
            <w:tcBorders>
              <w:top w:val="single" w:sz="4" w:space="0" w:color="auto"/>
              <w:left w:val="nil"/>
              <w:bottom w:val="single" w:sz="4" w:space="0" w:color="auto"/>
              <w:right w:val="nil"/>
            </w:tcBorders>
            <w:shd w:val="clear" w:color="000000" w:fill="FFFFFF"/>
            <w:noWrap/>
            <w:vAlign w:val="bottom"/>
            <w:hideMark/>
          </w:tcPr>
          <w:p w14:paraId="2AA8F941" w14:textId="200A9147" w:rsidR="00214346" w:rsidRPr="00553851" w:rsidRDefault="00214346" w:rsidP="00214346">
            <w:pPr>
              <w:spacing w:after="0" w:line="240" w:lineRule="auto"/>
              <w:jc w:val="right"/>
              <w:rPr>
                <w:rFonts w:ascii="Arial" w:hAnsi="Arial" w:cs="Arial"/>
                <w:b/>
                <w:iCs/>
                <w:color w:val="000000"/>
                <w:sz w:val="16"/>
                <w:szCs w:val="16"/>
              </w:rPr>
            </w:pPr>
            <w:r w:rsidRPr="00553851">
              <w:rPr>
                <w:rFonts w:ascii="Arial" w:hAnsi="Arial" w:cs="Arial"/>
                <w:b/>
                <w:iCs/>
                <w:color w:val="000000"/>
                <w:sz w:val="16"/>
                <w:szCs w:val="16"/>
              </w:rPr>
              <w:t>(1,194)</w:t>
            </w:r>
          </w:p>
        </w:tc>
        <w:tc>
          <w:tcPr>
            <w:tcW w:w="1013" w:type="dxa"/>
            <w:tcBorders>
              <w:top w:val="single" w:sz="4" w:space="0" w:color="auto"/>
              <w:left w:val="nil"/>
              <w:bottom w:val="single" w:sz="4" w:space="0" w:color="auto"/>
              <w:right w:val="nil"/>
            </w:tcBorders>
            <w:shd w:val="clear" w:color="000000" w:fill="E6E6E6"/>
            <w:noWrap/>
            <w:vAlign w:val="bottom"/>
            <w:hideMark/>
          </w:tcPr>
          <w:p w14:paraId="2F6EEA70" w14:textId="10BFFB1E" w:rsidR="00214346" w:rsidRPr="00553851" w:rsidRDefault="00214346" w:rsidP="00214346">
            <w:pPr>
              <w:spacing w:after="0" w:line="240" w:lineRule="auto"/>
              <w:jc w:val="right"/>
              <w:rPr>
                <w:rFonts w:ascii="Arial" w:hAnsi="Arial" w:cs="Arial"/>
                <w:b/>
                <w:color w:val="000000"/>
                <w:sz w:val="16"/>
                <w:szCs w:val="16"/>
              </w:rPr>
            </w:pPr>
            <w:r w:rsidRPr="00553851">
              <w:rPr>
                <w:rFonts w:ascii="Arial" w:hAnsi="Arial" w:cs="Arial"/>
                <w:b/>
                <w:color w:val="000000"/>
                <w:sz w:val="16"/>
                <w:szCs w:val="16"/>
              </w:rPr>
              <w:t xml:space="preserve">920 </w:t>
            </w:r>
          </w:p>
        </w:tc>
      </w:tr>
      <w:tr w:rsidR="00214346" w:rsidRPr="0038328A" w14:paraId="331753D5" w14:textId="77777777" w:rsidTr="00C211FF">
        <w:trPr>
          <w:trHeight w:val="204"/>
        </w:trPr>
        <w:tc>
          <w:tcPr>
            <w:tcW w:w="3261" w:type="dxa"/>
            <w:tcBorders>
              <w:top w:val="nil"/>
              <w:left w:val="nil"/>
              <w:bottom w:val="nil"/>
              <w:right w:val="nil"/>
            </w:tcBorders>
            <w:shd w:val="clear" w:color="000000" w:fill="FFFFFF"/>
            <w:vAlign w:val="bottom"/>
            <w:hideMark/>
          </w:tcPr>
          <w:p w14:paraId="0DE32D98" w14:textId="77777777" w:rsidR="00214346" w:rsidRPr="0038328A" w:rsidRDefault="00214346" w:rsidP="00214346">
            <w:pPr>
              <w:spacing w:after="0" w:line="240" w:lineRule="auto"/>
              <w:jc w:val="left"/>
              <w:rPr>
                <w:rFonts w:ascii="Arial" w:hAnsi="Arial" w:cs="Arial"/>
                <w:b/>
                <w:bCs/>
                <w:color w:val="000000"/>
                <w:sz w:val="16"/>
                <w:szCs w:val="16"/>
              </w:rPr>
            </w:pPr>
            <w:r w:rsidRPr="0038328A">
              <w:rPr>
                <w:rFonts w:ascii="Arial" w:hAnsi="Arial" w:cs="Arial"/>
                <w:b/>
                <w:bCs/>
                <w:color w:val="000000"/>
                <w:sz w:val="16"/>
                <w:szCs w:val="16"/>
              </w:rPr>
              <w:t>Funds from Government</w:t>
            </w:r>
          </w:p>
        </w:tc>
        <w:tc>
          <w:tcPr>
            <w:tcW w:w="1150" w:type="dxa"/>
            <w:tcBorders>
              <w:top w:val="nil"/>
              <w:left w:val="nil"/>
              <w:bottom w:val="nil"/>
              <w:right w:val="nil"/>
            </w:tcBorders>
            <w:shd w:val="clear" w:color="000000" w:fill="FFFFFF"/>
            <w:noWrap/>
            <w:vAlign w:val="bottom"/>
            <w:hideMark/>
          </w:tcPr>
          <w:p w14:paraId="5F58DDCF" w14:textId="301163A0"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115" w:type="dxa"/>
            <w:tcBorders>
              <w:top w:val="nil"/>
              <w:left w:val="nil"/>
              <w:bottom w:val="nil"/>
              <w:right w:val="nil"/>
            </w:tcBorders>
            <w:shd w:val="clear" w:color="000000" w:fill="FFFFFF"/>
            <w:noWrap/>
            <w:vAlign w:val="bottom"/>
            <w:hideMark/>
          </w:tcPr>
          <w:p w14:paraId="6F4233E0" w14:textId="2627ADAB"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116" w:type="dxa"/>
            <w:tcBorders>
              <w:top w:val="nil"/>
              <w:left w:val="nil"/>
              <w:bottom w:val="nil"/>
              <w:right w:val="nil"/>
            </w:tcBorders>
            <w:shd w:val="clear" w:color="000000" w:fill="FFFFFF"/>
            <w:noWrap/>
            <w:vAlign w:val="bottom"/>
            <w:hideMark/>
          </w:tcPr>
          <w:p w14:paraId="59CD04DF" w14:textId="5B3E49F8"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013" w:type="dxa"/>
            <w:tcBorders>
              <w:top w:val="nil"/>
              <w:left w:val="nil"/>
              <w:bottom w:val="nil"/>
              <w:right w:val="nil"/>
            </w:tcBorders>
            <w:shd w:val="clear" w:color="000000" w:fill="E6E6E6"/>
            <w:noWrap/>
            <w:vAlign w:val="bottom"/>
            <w:hideMark/>
          </w:tcPr>
          <w:p w14:paraId="2940B974" w14:textId="7FA8888E"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w:t>
            </w:r>
          </w:p>
        </w:tc>
      </w:tr>
      <w:tr w:rsidR="00214346" w:rsidRPr="0038328A" w14:paraId="64C804AC" w14:textId="77777777" w:rsidTr="00C211FF">
        <w:trPr>
          <w:trHeight w:val="204"/>
        </w:trPr>
        <w:tc>
          <w:tcPr>
            <w:tcW w:w="3261" w:type="dxa"/>
            <w:tcBorders>
              <w:top w:val="nil"/>
              <w:left w:val="nil"/>
              <w:bottom w:val="nil"/>
              <w:right w:val="nil"/>
            </w:tcBorders>
            <w:shd w:val="clear" w:color="000000" w:fill="FFFFFF"/>
            <w:vAlign w:val="bottom"/>
            <w:hideMark/>
          </w:tcPr>
          <w:p w14:paraId="20F7F12A" w14:textId="77777777" w:rsidR="00214346" w:rsidRPr="0038328A" w:rsidRDefault="00214346" w:rsidP="00214346">
            <w:pPr>
              <w:spacing w:after="0" w:line="240" w:lineRule="auto"/>
              <w:jc w:val="left"/>
              <w:rPr>
                <w:rFonts w:ascii="Arial" w:hAnsi="Arial" w:cs="Arial"/>
                <w:color w:val="000000"/>
                <w:sz w:val="16"/>
                <w:szCs w:val="16"/>
              </w:rPr>
            </w:pPr>
            <w:r w:rsidRPr="0038328A">
              <w:rPr>
                <w:rFonts w:ascii="Arial" w:hAnsi="Arial" w:cs="Arial"/>
                <w:color w:val="000000"/>
                <w:sz w:val="16"/>
                <w:szCs w:val="16"/>
              </w:rPr>
              <w:t xml:space="preserve">Annual appropriations - ordinary annual services </w:t>
            </w:r>
            <w:r w:rsidRPr="0038328A">
              <w:rPr>
                <w:rFonts w:ascii="Arial" w:hAnsi="Arial" w:cs="Arial"/>
                <w:color w:val="000000"/>
                <w:sz w:val="16"/>
                <w:szCs w:val="16"/>
                <w:vertAlign w:val="superscript"/>
              </w:rPr>
              <w:t>(a)</w:t>
            </w:r>
          </w:p>
        </w:tc>
        <w:tc>
          <w:tcPr>
            <w:tcW w:w="1150" w:type="dxa"/>
            <w:tcBorders>
              <w:top w:val="nil"/>
              <w:left w:val="nil"/>
              <w:bottom w:val="nil"/>
              <w:right w:val="nil"/>
            </w:tcBorders>
            <w:shd w:val="clear" w:color="000000" w:fill="FFFFFF"/>
            <w:noWrap/>
            <w:vAlign w:val="bottom"/>
            <w:hideMark/>
          </w:tcPr>
          <w:p w14:paraId="62EBA97A" w14:textId="7F8BAB24"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115" w:type="dxa"/>
            <w:tcBorders>
              <w:top w:val="nil"/>
              <w:left w:val="nil"/>
              <w:bottom w:val="nil"/>
              <w:right w:val="nil"/>
            </w:tcBorders>
            <w:shd w:val="clear" w:color="000000" w:fill="FFFFFF"/>
            <w:noWrap/>
            <w:vAlign w:val="bottom"/>
            <w:hideMark/>
          </w:tcPr>
          <w:p w14:paraId="05D1A9A1" w14:textId="2C317226"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116" w:type="dxa"/>
            <w:tcBorders>
              <w:top w:val="nil"/>
              <w:left w:val="nil"/>
              <w:bottom w:val="nil"/>
              <w:right w:val="nil"/>
            </w:tcBorders>
            <w:shd w:val="clear" w:color="000000" w:fill="FFFFFF"/>
            <w:noWrap/>
            <w:vAlign w:val="bottom"/>
            <w:hideMark/>
          </w:tcPr>
          <w:p w14:paraId="57654613" w14:textId="7FF4EF32"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013" w:type="dxa"/>
            <w:tcBorders>
              <w:top w:val="nil"/>
              <w:left w:val="nil"/>
              <w:bottom w:val="nil"/>
              <w:right w:val="nil"/>
            </w:tcBorders>
            <w:shd w:val="clear" w:color="000000" w:fill="E6E6E6"/>
            <w:noWrap/>
            <w:vAlign w:val="bottom"/>
            <w:hideMark/>
          </w:tcPr>
          <w:p w14:paraId="633E36C5" w14:textId="728957BC"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w:t>
            </w:r>
          </w:p>
        </w:tc>
      </w:tr>
      <w:tr w:rsidR="00214346" w:rsidRPr="0038328A" w14:paraId="196A8048" w14:textId="77777777" w:rsidTr="00C211FF">
        <w:trPr>
          <w:trHeight w:val="204"/>
        </w:trPr>
        <w:tc>
          <w:tcPr>
            <w:tcW w:w="3261" w:type="dxa"/>
            <w:tcBorders>
              <w:top w:val="nil"/>
              <w:left w:val="nil"/>
              <w:bottom w:val="nil"/>
              <w:right w:val="nil"/>
            </w:tcBorders>
            <w:shd w:val="clear" w:color="000000" w:fill="FFFFFF"/>
            <w:vAlign w:val="bottom"/>
            <w:hideMark/>
          </w:tcPr>
          <w:p w14:paraId="686823E8" w14:textId="77777777" w:rsidR="00214346" w:rsidRPr="0038328A" w:rsidRDefault="00214346" w:rsidP="00214346">
            <w:pPr>
              <w:spacing w:after="0" w:line="240" w:lineRule="auto"/>
              <w:ind w:left="113"/>
              <w:jc w:val="left"/>
              <w:rPr>
                <w:rFonts w:ascii="Arial" w:hAnsi="Arial" w:cs="Arial"/>
                <w:color w:val="000000"/>
                <w:sz w:val="16"/>
                <w:szCs w:val="16"/>
              </w:rPr>
            </w:pPr>
            <w:r w:rsidRPr="0038328A">
              <w:rPr>
                <w:rFonts w:ascii="Arial" w:hAnsi="Arial" w:cs="Arial"/>
                <w:color w:val="000000"/>
                <w:sz w:val="16"/>
                <w:szCs w:val="16"/>
              </w:rPr>
              <w:t>Outcome 1</w:t>
            </w:r>
          </w:p>
        </w:tc>
        <w:tc>
          <w:tcPr>
            <w:tcW w:w="1150" w:type="dxa"/>
            <w:tcBorders>
              <w:top w:val="nil"/>
              <w:left w:val="nil"/>
              <w:bottom w:val="nil"/>
              <w:right w:val="nil"/>
            </w:tcBorders>
            <w:shd w:val="clear" w:color="000000" w:fill="FFFFFF"/>
            <w:noWrap/>
            <w:vAlign w:val="bottom"/>
            <w:hideMark/>
          </w:tcPr>
          <w:p w14:paraId="7E366AEC" w14:textId="4D3AFE76"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26,535 </w:t>
            </w:r>
          </w:p>
        </w:tc>
        <w:tc>
          <w:tcPr>
            <w:tcW w:w="1115" w:type="dxa"/>
            <w:tcBorders>
              <w:top w:val="nil"/>
              <w:left w:val="nil"/>
              <w:bottom w:val="nil"/>
              <w:right w:val="nil"/>
            </w:tcBorders>
            <w:shd w:val="clear" w:color="000000" w:fill="FFFFFF"/>
            <w:noWrap/>
            <w:vAlign w:val="bottom"/>
            <w:hideMark/>
          </w:tcPr>
          <w:p w14:paraId="08B0D24E" w14:textId="2E9A7AB2"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25,084 </w:t>
            </w:r>
          </w:p>
        </w:tc>
        <w:tc>
          <w:tcPr>
            <w:tcW w:w="1116" w:type="dxa"/>
            <w:tcBorders>
              <w:top w:val="nil"/>
              <w:left w:val="nil"/>
              <w:bottom w:val="nil"/>
              <w:right w:val="nil"/>
            </w:tcBorders>
            <w:shd w:val="clear" w:color="auto" w:fill="auto"/>
            <w:noWrap/>
            <w:vAlign w:val="center"/>
            <w:hideMark/>
          </w:tcPr>
          <w:p w14:paraId="0280A37A" w14:textId="7FB5DECA"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xml:space="preserve">2,942 </w:t>
            </w:r>
          </w:p>
        </w:tc>
        <w:tc>
          <w:tcPr>
            <w:tcW w:w="1013" w:type="dxa"/>
            <w:tcBorders>
              <w:top w:val="nil"/>
              <w:left w:val="nil"/>
              <w:bottom w:val="nil"/>
              <w:right w:val="nil"/>
            </w:tcBorders>
            <w:shd w:val="clear" w:color="000000" w:fill="E6E6E6"/>
            <w:noWrap/>
            <w:vAlign w:val="bottom"/>
            <w:hideMark/>
          </w:tcPr>
          <w:p w14:paraId="1C0C2815" w14:textId="13F59DCB"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xml:space="preserve">28,026 </w:t>
            </w:r>
          </w:p>
        </w:tc>
      </w:tr>
      <w:tr w:rsidR="00214346" w:rsidRPr="0038328A" w14:paraId="617DF069" w14:textId="77777777" w:rsidTr="00C211FF">
        <w:trPr>
          <w:trHeight w:val="204"/>
        </w:trPr>
        <w:tc>
          <w:tcPr>
            <w:tcW w:w="3261" w:type="dxa"/>
            <w:tcBorders>
              <w:top w:val="nil"/>
              <w:left w:val="nil"/>
              <w:bottom w:val="nil"/>
              <w:right w:val="nil"/>
            </w:tcBorders>
            <w:shd w:val="clear" w:color="000000" w:fill="FFFFFF"/>
            <w:vAlign w:val="bottom"/>
            <w:hideMark/>
          </w:tcPr>
          <w:p w14:paraId="25C7FBB0" w14:textId="77777777" w:rsidR="00214346" w:rsidRPr="0038328A" w:rsidRDefault="00214346" w:rsidP="00214346">
            <w:pPr>
              <w:spacing w:after="0" w:line="240" w:lineRule="auto"/>
              <w:jc w:val="left"/>
              <w:rPr>
                <w:rFonts w:ascii="Arial" w:hAnsi="Arial" w:cs="Arial"/>
                <w:color w:val="000000"/>
                <w:sz w:val="16"/>
                <w:szCs w:val="16"/>
              </w:rPr>
            </w:pPr>
            <w:r w:rsidRPr="0038328A">
              <w:rPr>
                <w:rFonts w:ascii="Arial" w:hAnsi="Arial" w:cs="Arial"/>
                <w:color w:val="000000"/>
                <w:sz w:val="16"/>
                <w:szCs w:val="16"/>
              </w:rPr>
              <w:t xml:space="preserve">Annual appropriations - other services </w:t>
            </w:r>
            <w:r w:rsidRPr="0038328A">
              <w:rPr>
                <w:rFonts w:ascii="Arial" w:hAnsi="Arial" w:cs="Arial"/>
                <w:color w:val="000000"/>
                <w:sz w:val="16"/>
                <w:szCs w:val="16"/>
                <w:vertAlign w:val="superscript"/>
              </w:rPr>
              <w:t>(b)</w:t>
            </w:r>
          </w:p>
        </w:tc>
        <w:tc>
          <w:tcPr>
            <w:tcW w:w="1150" w:type="dxa"/>
            <w:tcBorders>
              <w:top w:val="nil"/>
              <w:left w:val="nil"/>
              <w:bottom w:val="nil"/>
              <w:right w:val="nil"/>
            </w:tcBorders>
            <w:shd w:val="clear" w:color="000000" w:fill="FFFFFF"/>
            <w:noWrap/>
            <w:vAlign w:val="bottom"/>
            <w:hideMark/>
          </w:tcPr>
          <w:p w14:paraId="040F44E4" w14:textId="50B32839"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115" w:type="dxa"/>
            <w:tcBorders>
              <w:top w:val="nil"/>
              <w:left w:val="nil"/>
              <w:bottom w:val="nil"/>
              <w:right w:val="nil"/>
            </w:tcBorders>
            <w:shd w:val="clear" w:color="000000" w:fill="FFFFFF"/>
            <w:noWrap/>
            <w:vAlign w:val="bottom"/>
            <w:hideMark/>
          </w:tcPr>
          <w:p w14:paraId="58D289E9" w14:textId="041AE462"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116" w:type="dxa"/>
            <w:tcBorders>
              <w:top w:val="nil"/>
              <w:left w:val="nil"/>
              <w:bottom w:val="nil"/>
              <w:right w:val="nil"/>
            </w:tcBorders>
            <w:shd w:val="clear" w:color="000000" w:fill="FFFFFF"/>
            <w:noWrap/>
            <w:vAlign w:val="bottom"/>
            <w:hideMark/>
          </w:tcPr>
          <w:p w14:paraId="20019A7F" w14:textId="16B836A1"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013" w:type="dxa"/>
            <w:tcBorders>
              <w:top w:val="nil"/>
              <w:left w:val="nil"/>
              <w:bottom w:val="nil"/>
              <w:right w:val="nil"/>
            </w:tcBorders>
            <w:shd w:val="clear" w:color="000000" w:fill="E6E6E6"/>
            <w:noWrap/>
            <w:vAlign w:val="bottom"/>
            <w:hideMark/>
          </w:tcPr>
          <w:p w14:paraId="7890AE5C" w14:textId="34148CB7"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w:t>
            </w:r>
          </w:p>
        </w:tc>
      </w:tr>
      <w:tr w:rsidR="00214346" w:rsidRPr="0038328A" w14:paraId="457E9F97" w14:textId="77777777" w:rsidTr="00C211FF">
        <w:trPr>
          <w:trHeight w:val="204"/>
        </w:trPr>
        <w:tc>
          <w:tcPr>
            <w:tcW w:w="3261" w:type="dxa"/>
            <w:tcBorders>
              <w:top w:val="nil"/>
              <w:left w:val="nil"/>
              <w:bottom w:val="nil"/>
              <w:right w:val="nil"/>
            </w:tcBorders>
            <w:shd w:val="clear" w:color="000000" w:fill="FFFFFF"/>
            <w:noWrap/>
            <w:vAlign w:val="bottom"/>
            <w:hideMark/>
          </w:tcPr>
          <w:p w14:paraId="377CE90D" w14:textId="77777777" w:rsidR="00214346" w:rsidRPr="0038328A" w:rsidRDefault="00214346" w:rsidP="001E2C08">
            <w:pPr>
              <w:spacing w:after="0" w:line="240" w:lineRule="auto"/>
              <w:ind w:left="113"/>
              <w:jc w:val="left"/>
              <w:rPr>
                <w:rFonts w:ascii="Arial" w:hAnsi="Arial" w:cs="Arial"/>
                <w:color w:val="000000"/>
                <w:sz w:val="16"/>
                <w:szCs w:val="16"/>
              </w:rPr>
            </w:pPr>
            <w:r w:rsidRPr="0038328A">
              <w:rPr>
                <w:rFonts w:ascii="Arial" w:hAnsi="Arial" w:cs="Arial"/>
                <w:color w:val="000000"/>
                <w:sz w:val="16"/>
                <w:szCs w:val="16"/>
              </w:rPr>
              <w:t>Equity injection</w:t>
            </w:r>
          </w:p>
        </w:tc>
        <w:tc>
          <w:tcPr>
            <w:tcW w:w="1150" w:type="dxa"/>
            <w:tcBorders>
              <w:top w:val="nil"/>
              <w:left w:val="nil"/>
              <w:bottom w:val="nil"/>
              <w:right w:val="nil"/>
            </w:tcBorders>
            <w:shd w:val="clear" w:color="000000" w:fill="FFFFFF"/>
            <w:noWrap/>
            <w:vAlign w:val="bottom"/>
            <w:hideMark/>
          </w:tcPr>
          <w:p w14:paraId="4E0569B2" w14:textId="74800DC5"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809 </w:t>
            </w:r>
          </w:p>
        </w:tc>
        <w:tc>
          <w:tcPr>
            <w:tcW w:w="1115" w:type="dxa"/>
            <w:tcBorders>
              <w:top w:val="nil"/>
              <w:left w:val="nil"/>
              <w:bottom w:val="nil"/>
              <w:right w:val="nil"/>
            </w:tcBorders>
            <w:shd w:val="clear" w:color="000000" w:fill="FFFFFF"/>
            <w:noWrap/>
            <w:vAlign w:val="bottom"/>
            <w:hideMark/>
          </w:tcPr>
          <w:p w14:paraId="40B4A090" w14:textId="7F8C1127"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809 </w:t>
            </w:r>
          </w:p>
        </w:tc>
        <w:tc>
          <w:tcPr>
            <w:tcW w:w="1116" w:type="dxa"/>
            <w:tcBorders>
              <w:top w:val="nil"/>
              <w:left w:val="nil"/>
              <w:bottom w:val="nil"/>
              <w:right w:val="nil"/>
            </w:tcBorders>
            <w:shd w:val="clear" w:color="000000" w:fill="FFFFFF"/>
            <w:noWrap/>
            <w:vAlign w:val="bottom"/>
            <w:hideMark/>
          </w:tcPr>
          <w:p w14:paraId="6C80986A" w14:textId="79F71A57"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3,518 </w:t>
            </w:r>
          </w:p>
        </w:tc>
        <w:tc>
          <w:tcPr>
            <w:tcW w:w="1013" w:type="dxa"/>
            <w:tcBorders>
              <w:top w:val="nil"/>
              <w:left w:val="nil"/>
              <w:bottom w:val="nil"/>
              <w:right w:val="nil"/>
            </w:tcBorders>
            <w:shd w:val="clear" w:color="000000" w:fill="E6E6E6"/>
            <w:noWrap/>
            <w:vAlign w:val="bottom"/>
            <w:hideMark/>
          </w:tcPr>
          <w:p w14:paraId="1C640E20" w14:textId="68ADE00D"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xml:space="preserve">4,327 </w:t>
            </w:r>
          </w:p>
        </w:tc>
      </w:tr>
      <w:tr w:rsidR="00214346" w:rsidRPr="0038328A" w14:paraId="4C2FDBC9" w14:textId="77777777" w:rsidTr="00C211FF">
        <w:trPr>
          <w:trHeight w:val="204"/>
        </w:trPr>
        <w:tc>
          <w:tcPr>
            <w:tcW w:w="3261" w:type="dxa"/>
            <w:tcBorders>
              <w:top w:val="nil"/>
              <w:left w:val="nil"/>
              <w:bottom w:val="nil"/>
              <w:right w:val="nil"/>
            </w:tcBorders>
            <w:shd w:val="clear" w:color="000000" w:fill="FFFFFF"/>
            <w:vAlign w:val="bottom"/>
            <w:hideMark/>
          </w:tcPr>
          <w:p w14:paraId="25BD4603" w14:textId="77777777" w:rsidR="00214346" w:rsidRPr="0038328A" w:rsidRDefault="00214346" w:rsidP="00214346">
            <w:pPr>
              <w:spacing w:after="0" w:line="240" w:lineRule="auto"/>
              <w:jc w:val="left"/>
              <w:rPr>
                <w:rFonts w:ascii="Arial" w:hAnsi="Arial" w:cs="Arial"/>
                <w:color w:val="000000"/>
                <w:sz w:val="16"/>
                <w:szCs w:val="16"/>
              </w:rPr>
            </w:pPr>
            <w:r w:rsidRPr="0038328A">
              <w:rPr>
                <w:rFonts w:ascii="Arial" w:hAnsi="Arial" w:cs="Arial"/>
                <w:color w:val="000000"/>
                <w:sz w:val="16"/>
                <w:szCs w:val="16"/>
              </w:rPr>
              <w:t>Total annual appropriations</w:t>
            </w:r>
          </w:p>
        </w:tc>
        <w:tc>
          <w:tcPr>
            <w:tcW w:w="1150" w:type="dxa"/>
            <w:tcBorders>
              <w:top w:val="single" w:sz="4" w:space="0" w:color="auto"/>
              <w:left w:val="nil"/>
              <w:bottom w:val="single" w:sz="4" w:space="0" w:color="auto"/>
              <w:right w:val="nil"/>
            </w:tcBorders>
            <w:shd w:val="clear" w:color="000000" w:fill="FFFFFF"/>
            <w:noWrap/>
            <w:vAlign w:val="bottom"/>
            <w:hideMark/>
          </w:tcPr>
          <w:p w14:paraId="6933B8FB" w14:textId="519277C4"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27,344 </w:t>
            </w:r>
          </w:p>
        </w:tc>
        <w:tc>
          <w:tcPr>
            <w:tcW w:w="1115" w:type="dxa"/>
            <w:tcBorders>
              <w:top w:val="single" w:sz="4" w:space="0" w:color="auto"/>
              <w:left w:val="nil"/>
              <w:bottom w:val="single" w:sz="4" w:space="0" w:color="auto"/>
              <w:right w:val="nil"/>
            </w:tcBorders>
            <w:shd w:val="clear" w:color="000000" w:fill="FFFFFF"/>
            <w:noWrap/>
            <w:vAlign w:val="bottom"/>
            <w:hideMark/>
          </w:tcPr>
          <w:p w14:paraId="004C5180" w14:textId="379B3A4D"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25,893 </w:t>
            </w:r>
          </w:p>
        </w:tc>
        <w:tc>
          <w:tcPr>
            <w:tcW w:w="1116" w:type="dxa"/>
            <w:tcBorders>
              <w:top w:val="single" w:sz="4" w:space="0" w:color="auto"/>
              <w:left w:val="nil"/>
              <w:bottom w:val="single" w:sz="4" w:space="0" w:color="auto"/>
              <w:right w:val="nil"/>
            </w:tcBorders>
            <w:shd w:val="clear" w:color="000000" w:fill="FFFFFF"/>
            <w:noWrap/>
            <w:vAlign w:val="bottom"/>
            <w:hideMark/>
          </w:tcPr>
          <w:p w14:paraId="0ADF4696" w14:textId="1BFEEC22"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6,460 </w:t>
            </w:r>
          </w:p>
        </w:tc>
        <w:tc>
          <w:tcPr>
            <w:tcW w:w="1013" w:type="dxa"/>
            <w:tcBorders>
              <w:top w:val="single" w:sz="4" w:space="0" w:color="auto"/>
              <w:left w:val="nil"/>
              <w:bottom w:val="single" w:sz="4" w:space="0" w:color="auto"/>
              <w:right w:val="nil"/>
            </w:tcBorders>
            <w:shd w:val="clear" w:color="000000" w:fill="E6E6E6"/>
            <w:noWrap/>
            <w:vAlign w:val="bottom"/>
            <w:hideMark/>
          </w:tcPr>
          <w:p w14:paraId="32A3ACFB" w14:textId="57DDE50C"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32,353 </w:t>
            </w:r>
          </w:p>
        </w:tc>
      </w:tr>
      <w:tr w:rsidR="00214346" w:rsidRPr="0038328A" w14:paraId="6DEE8FFA" w14:textId="77777777" w:rsidTr="00C211FF">
        <w:trPr>
          <w:trHeight w:val="204"/>
        </w:trPr>
        <w:tc>
          <w:tcPr>
            <w:tcW w:w="3261" w:type="dxa"/>
            <w:tcBorders>
              <w:top w:val="nil"/>
              <w:left w:val="nil"/>
              <w:bottom w:val="nil"/>
              <w:right w:val="nil"/>
            </w:tcBorders>
            <w:shd w:val="clear" w:color="000000" w:fill="FFFFFF"/>
            <w:vAlign w:val="bottom"/>
            <w:hideMark/>
          </w:tcPr>
          <w:p w14:paraId="630F8AF7" w14:textId="77777777" w:rsidR="00214346" w:rsidRPr="0038328A" w:rsidRDefault="00214346" w:rsidP="00214346">
            <w:pPr>
              <w:spacing w:after="0" w:line="240" w:lineRule="auto"/>
              <w:jc w:val="left"/>
              <w:rPr>
                <w:rFonts w:ascii="Arial" w:hAnsi="Arial" w:cs="Arial"/>
                <w:color w:val="000000"/>
                <w:sz w:val="16"/>
                <w:szCs w:val="16"/>
              </w:rPr>
            </w:pPr>
            <w:r w:rsidRPr="0038328A">
              <w:rPr>
                <w:rFonts w:ascii="Arial" w:hAnsi="Arial" w:cs="Arial"/>
                <w:color w:val="000000"/>
                <w:sz w:val="16"/>
                <w:szCs w:val="16"/>
              </w:rPr>
              <w:t>Amounts received from related entities</w:t>
            </w:r>
          </w:p>
        </w:tc>
        <w:tc>
          <w:tcPr>
            <w:tcW w:w="1150" w:type="dxa"/>
            <w:tcBorders>
              <w:top w:val="nil"/>
              <w:left w:val="nil"/>
              <w:bottom w:val="nil"/>
              <w:right w:val="nil"/>
            </w:tcBorders>
            <w:shd w:val="clear" w:color="000000" w:fill="FFFFFF"/>
            <w:noWrap/>
            <w:vAlign w:val="bottom"/>
            <w:hideMark/>
          </w:tcPr>
          <w:p w14:paraId="66531F43" w14:textId="76A8F52B"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115" w:type="dxa"/>
            <w:tcBorders>
              <w:top w:val="nil"/>
              <w:left w:val="nil"/>
              <w:bottom w:val="nil"/>
              <w:right w:val="nil"/>
            </w:tcBorders>
            <w:shd w:val="clear" w:color="000000" w:fill="FFFFFF"/>
            <w:noWrap/>
            <w:vAlign w:val="bottom"/>
            <w:hideMark/>
          </w:tcPr>
          <w:p w14:paraId="1DE33F02" w14:textId="4AD25D78"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116" w:type="dxa"/>
            <w:tcBorders>
              <w:top w:val="nil"/>
              <w:left w:val="nil"/>
              <w:bottom w:val="nil"/>
              <w:right w:val="nil"/>
            </w:tcBorders>
            <w:shd w:val="clear" w:color="000000" w:fill="FFFFFF"/>
            <w:noWrap/>
            <w:vAlign w:val="bottom"/>
            <w:hideMark/>
          </w:tcPr>
          <w:p w14:paraId="31F4F842" w14:textId="03589F56"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013" w:type="dxa"/>
            <w:tcBorders>
              <w:top w:val="nil"/>
              <w:left w:val="nil"/>
              <w:bottom w:val="nil"/>
              <w:right w:val="nil"/>
            </w:tcBorders>
            <w:shd w:val="clear" w:color="000000" w:fill="E6E6E6"/>
            <w:noWrap/>
            <w:vAlign w:val="bottom"/>
            <w:hideMark/>
          </w:tcPr>
          <w:p w14:paraId="1DE4CF39" w14:textId="79E55871"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w:t>
            </w:r>
          </w:p>
        </w:tc>
      </w:tr>
      <w:tr w:rsidR="00214346" w:rsidRPr="0038328A" w14:paraId="09BAECE5" w14:textId="77777777" w:rsidTr="00C211FF">
        <w:trPr>
          <w:trHeight w:val="204"/>
        </w:trPr>
        <w:tc>
          <w:tcPr>
            <w:tcW w:w="3261" w:type="dxa"/>
            <w:tcBorders>
              <w:top w:val="nil"/>
              <w:left w:val="nil"/>
              <w:bottom w:val="nil"/>
              <w:right w:val="nil"/>
            </w:tcBorders>
            <w:shd w:val="clear" w:color="000000" w:fill="FFFFFF"/>
            <w:vAlign w:val="bottom"/>
            <w:hideMark/>
          </w:tcPr>
          <w:p w14:paraId="74165497" w14:textId="3EAA4483" w:rsidR="00214346" w:rsidRPr="0038328A" w:rsidRDefault="00214346" w:rsidP="001E2C08">
            <w:pPr>
              <w:spacing w:after="0" w:line="240" w:lineRule="auto"/>
              <w:ind w:left="113"/>
              <w:jc w:val="left"/>
              <w:rPr>
                <w:rFonts w:ascii="Arial" w:hAnsi="Arial" w:cs="Arial"/>
                <w:color w:val="000000"/>
                <w:sz w:val="16"/>
                <w:szCs w:val="16"/>
              </w:rPr>
            </w:pPr>
            <w:r w:rsidRPr="0038328A">
              <w:rPr>
                <w:rFonts w:ascii="Arial" w:hAnsi="Arial" w:cs="Arial"/>
                <w:color w:val="000000"/>
                <w:sz w:val="16"/>
                <w:szCs w:val="16"/>
              </w:rPr>
              <w:t xml:space="preserve">Amounts from portfolio </w:t>
            </w:r>
            <w:r w:rsidR="001E2C08">
              <w:rPr>
                <w:rFonts w:ascii="Arial" w:hAnsi="Arial" w:cs="Arial"/>
                <w:color w:val="000000"/>
                <w:sz w:val="16"/>
                <w:szCs w:val="16"/>
              </w:rPr>
              <w:t>d</w:t>
            </w:r>
            <w:r w:rsidR="008863D9">
              <w:rPr>
                <w:rFonts w:ascii="Arial" w:hAnsi="Arial" w:cs="Arial"/>
                <w:color w:val="000000"/>
                <w:sz w:val="16"/>
                <w:szCs w:val="16"/>
              </w:rPr>
              <w:t>epartment</w:t>
            </w:r>
            <w:r w:rsidRPr="0038328A">
              <w:rPr>
                <w:rFonts w:ascii="Arial" w:hAnsi="Arial" w:cs="Arial"/>
                <w:color w:val="000000"/>
                <w:sz w:val="16"/>
                <w:szCs w:val="16"/>
              </w:rPr>
              <w:t xml:space="preserve"> </w:t>
            </w:r>
            <w:r w:rsidRPr="0038328A">
              <w:rPr>
                <w:rFonts w:ascii="Arial" w:hAnsi="Arial" w:cs="Arial"/>
                <w:color w:val="000000"/>
                <w:sz w:val="16"/>
                <w:szCs w:val="16"/>
                <w:vertAlign w:val="superscript"/>
              </w:rPr>
              <w:t>(c)</w:t>
            </w:r>
          </w:p>
        </w:tc>
        <w:tc>
          <w:tcPr>
            <w:tcW w:w="1150" w:type="dxa"/>
            <w:tcBorders>
              <w:top w:val="nil"/>
              <w:left w:val="nil"/>
              <w:bottom w:val="nil"/>
              <w:right w:val="nil"/>
            </w:tcBorders>
            <w:shd w:val="clear" w:color="000000" w:fill="FFFFFF"/>
            <w:noWrap/>
            <w:vAlign w:val="bottom"/>
            <w:hideMark/>
          </w:tcPr>
          <w:p w14:paraId="17B81EEB" w14:textId="13BFCE47"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3,025 </w:t>
            </w:r>
          </w:p>
        </w:tc>
        <w:tc>
          <w:tcPr>
            <w:tcW w:w="1115" w:type="dxa"/>
            <w:tcBorders>
              <w:top w:val="nil"/>
              <w:left w:val="nil"/>
              <w:bottom w:val="nil"/>
              <w:right w:val="nil"/>
            </w:tcBorders>
            <w:shd w:val="clear" w:color="000000" w:fill="FFFFFF"/>
            <w:noWrap/>
            <w:vAlign w:val="bottom"/>
            <w:hideMark/>
          </w:tcPr>
          <w:p w14:paraId="0D86CCCE" w14:textId="3C469268"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1,000 </w:t>
            </w:r>
          </w:p>
        </w:tc>
        <w:tc>
          <w:tcPr>
            <w:tcW w:w="1116" w:type="dxa"/>
            <w:tcBorders>
              <w:top w:val="nil"/>
              <w:left w:val="nil"/>
              <w:bottom w:val="nil"/>
              <w:right w:val="nil"/>
            </w:tcBorders>
            <w:shd w:val="clear" w:color="000000" w:fill="FFFFFF"/>
            <w:noWrap/>
            <w:vAlign w:val="bottom"/>
            <w:hideMark/>
          </w:tcPr>
          <w:p w14:paraId="076BAD7E" w14:textId="0642B02A"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 </w:t>
            </w:r>
          </w:p>
        </w:tc>
        <w:tc>
          <w:tcPr>
            <w:tcW w:w="1013" w:type="dxa"/>
            <w:tcBorders>
              <w:top w:val="nil"/>
              <w:left w:val="nil"/>
              <w:bottom w:val="nil"/>
              <w:right w:val="nil"/>
            </w:tcBorders>
            <w:shd w:val="clear" w:color="000000" w:fill="E6E6E6"/>
            <w:noWrap/>
            <w:vAlign w:val="bottom"/>
            <w:hideMark/>
          </w:tcPr>
          <w:p w14:paraId="48EB6628" w14:textId="3948F162"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xml:space="preserve">1,000 </w:t>
            </w:r>
          </w:p>
        </w:tc>
      </w:tr>
      <w:tr w:rsidR="00214346" w:rsidRPr="0038328A" w14:paraId="31AEC4B4" w14:textId="77777777" w:rsidTr="00C211FF">
        <w:trPr>
          <w:trHeight w:val="204"/>
        </w:trPr>
        <w:tc>
          <w:tcPr>
            <w:tcW w:w="3261" w:type="dxa"/>
            <w:tcBorders>
              <w:top w:val="nil"/>
              <w:left w:val="nil"/>
              <w:bottom w:val="nil"/>
              <w:right w:val="nil"/>
            </w:tcBorders>
            <w:shd w:val="clear" w:color="000000" w:fill="FFFFFF"/>
            <w:vAlign w:val="bottom"/>
            <w:hideMark/>
          </w:tcPr>
          <w:p w14:paraId="631EB0EE" w14:textId="77777777" w:rsidR="00214346" w:rsidRPr="0038328A" w:rsidRDefault="00214346" w:rsidP="00214346">
            <w:pPr>
              <w:spacing w:after="0" w:line="240" w:lineRule="auto"/>
              <w:jc w:val="left"/>
              <w:rPr>
                <w:rFonts w:ascii="Arial" w:hAnsi="Arial" w:cs="Arial"/>
                <w:color w:val="000000"/>
                <w:sz w:val="16"/>
                <w:szCs w:val="16"/>
              </w:rPr>
            </w:pPr>
            <w:r w:rsidRPr="0038328A">
              <w:rPr>
                <w:rFonts w:ascii="Arial" w:hAnsi="Arial" w:cs="Arial"/>
                <w:color w:val="000000"/>
                <w:sz w:val="16"/>
                <w:szCs w:val="16"/>
              </w:rPr>
              <w:t>Total amounts received from related entities</w:t>
            </w:r>
          </w:p>
        </w:tc>
        <w:tc>
          <w:tcPr>
            <w:tcW w:w="1150" w:type="dxa"/>
            <w:tcBorders>
              <w:top w:val="single" w:sz="4" w:space="0" w:color="auto"/>
              <w:left w:val="nil"/>
              <w:bottom w:val="single" w:sz="4" w:space="0" w:color="auto"/>
              <w:right w:val="nil"/>
            </w:tcBorders>
            <w:shd w:val="clear" w:color="000000" w:fill="FFFFFF"/>
            <w:noWrap/>
            <w:vAlign w:val="bottom"/>
            <w:hideMark/>
          </w:tcPr>
          <w:p w14:paraId="2B768CF4" w14:textId="2CBB0954"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3,025 </w:t>
            </w:r>
          </w:p>
        </w:tc>
        <w:tc>
          <w:tcPr>
            <w:tcW w:w="1115" w:type="dxa"/>
            <w:tcBorders>
              <w:top w:val="single" w:sz="4" w:space="0" w:color="auto"/>
              <w:left w:val="nil"/>
              <w:bottom w:val="single" w:sz="4" w:space="0" w:color="auto"/>
              <w:right w:val="nil"/>
            </w:tcBorders>
            <w:shd w:val="clear" w:color="000000" w:fill="FFFFFF"/>
            <w:noWrap/>
            <w:vAlign w:val="bottom"/>
            <w:hideMark/>
          </w:tcPr>
          <w:p w14:paraId="7E0A3518" w14:textId="244C432F"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1,000 </w:t>
            </w:r>
          </w:p>
        </w:tc>
        <w:tc>
          <w:tcPr>
            <w:tcW w:w="1116" w:type="dxa"/>
            <w:tcBorders>
              <w:top w:val="single" w:sz="4" w:space="0" w:color="auto"/>
              <w:left w:val="nil"/>
              <w:bottom w:val="single" w:sz="4" w:space="0" w:color="auto"/>
              <w:right w:val="nil"/>
            </w:tcBorders>
            <w:shd w:val="clear" w:color="000000" w:fill="FFFFFF"/>
            <w:noWrap/>
            <w:vAlign w:val="bottom"/>
            <w:hideMark/>
          </w:tcPr>
          <w:p w14:paraId="68A3CC5B" w14:textId="2AC5494B"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 </w:t>
            </w:r>
          </w:p>
        </w:tc>
        <w:tc>
          <w:tcPr>
            <w:tcW w:w="1013" w:type="dxa"/>
            <w:tcBorders>
              <w:top w:val="single" w:sz="4" w:space="0" w:color="auto"/>
              <w:left w:val="nil"/>
              <w:bottom w:val="single" w:sz="4" w:space="0" w:color="auto"/>
              <w:right w:val="nil"/>
            </w:tcBorders>
            <w:shd w:val="clear" w:color="000000" w:fill="E6E6E6"/>
            <w:noWrap/>
            <w:vAlign w:val="bottom"/>
            <w:hideMark/>
          </w:tcPr>
          <w:p w14:paraId="6EE3BBF6" w14:textId="344E7FFB"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xml:space="preserve">1,000 </w:t>
            </w:r>
          </w:p>
        </w:tc>
      </w:tr>
      <w:tr w:rsidR="00214346" w:rsidRPr="0038328A" w14:paraId="413F5819" w14:textId="77777777" w:rsidTr="00C211FF">
        <w:trPr>
          <w:trHeight w:val="204"/>
        </w:trPr>
        <w:tc>
          <w:tcPr>
            <w:tcW w:w="3261" w:type="dxa"/>
            <w:tcBorders>
              <w:top w:val="nil"/>
              <w:left w:val="nil"/>
              <w:bottom w:val="nil"/>
              <w:right w:val="nil"/>
            </w:tcBorders>
            <w:shd w:val="clear" w:color="000000" w:fill="FFFFFF"/>
            <w:vAlign w:val="bottom"/>
            <w:hideMark/>
          </w:tcPr>
          <w:p w14:paraId="18BCFC71" w14:textId="77777777" w:rsidR="00214346" w:rsidRPr="0038328A" w:rsidRDefault="00214346" w:rsidP="00214346">
            <w:pPr>
              <w:spacing w:after="0" w:line="240" w:lineRule="auto"/>
              <w:jc w:val="left"/>
              <w:rPr>
                <w:rFonts w:ascii="Arial" w:hAnsi="Arial" w:cs="Arial"/>
                <w:b/>
                <w:bCs/>
                <w:color w:val="000000"/>
                <w:sz w:val="16"/>
                <w:szCs w:val="16"/>
              </w:rPr>
            </w:pPr>
            <w:r w:rsidRPr="0038328A">
              <w:rPr>
                <w:rFonts w:ascii="Arial" w:hAnsi="Arial" w:cs="Arial"/>
                <w:b/>
                <w:bCs/>
                <w:color w:val="000000"/>
                <w:sz w:val="16"/>
                <w:szCs w:val="16"/>
              </w:rPr>
              <w:t>Total funds from Government</w:t>
            </w:r>
          </w:p>
        </w:tc>
        <w:tc>
          <w:tcPr>
            <w:tcW w:w="1150" w:type="dxa"/>
            <w:tcBorders>
              <w:top w:val="single" w:sz="4" w:space="0" w:color="auto"/>
              <w:left w:val="nil"/>
              <w:bottom w:val="single" w:sz="4" w:space="0" w:color="auto"/>
              <w:right w:val="nil"/>
            </w:tcBorders>
            <w:shd w:val="clear" w:color="000000" w:fill="FFFFFF"/>
            <w:noWrap/>
            <w:vAlign w:val="bottom"/>
            <w:hideMark/>
          </w:tcPr>
          <w:p w14:paraId="252D46BB" w14:textId="4112A29C" w:rsidR="00214346" w:rsidRPr="00D413BA" w:rsidRDefault="00214346" w:rsidP="00214346">
            <w:pPr>
              <w:spacing w:after="0" w:line="240" w:lineRule="auto"/>
              <w:jc w:val="right"/>
              <w:rPr>
                <w:rFonts w:ascii="Arial" w:hAnsi="Arial" w:cs="Arial"/>
                <w:b/>
                <w:bCs/>
                <w:iCs/>
                <w:color w:val="000000"/>
                <w:sz w:val="16"/>
                <w:szCs w:val="16"/>
              </w:rPr>
            </w:pPr>
            <w:r w:rsidRPr="00D413BA">
              <w:rPr>
                <w:rFonts w:ascii="Arial" w:hAnsi="Arial" w:cs="Arial"/>
                <w:b/>
                <w:bCs/>
                <w:iCs/>
                <w:color w:val="000000"/>
                <w:sz w:val="16"/>
                <w:szCs w:val="16"/>
              </w:rPr>
              <w:t xml:space="preserve">30,369 </w:t>
            </w:r>
          </w:p>
        </w:tc>
        <w:tc>
          <w:tcPr>
            <w:tcW w:w="1115" w:type="dxa"/>
            <w:tcBorders>
              <w:top w:val="single" w:sz="4" w:space="0" w:color="auto"/>
              <w:left w:val="nil"/>
              <w:bottom w:val="single" w:sz="4" w:space="0" w:color="auto"/>
              <w:right w:val="nil"/>
            </w:tcBorders>
            <w:shd w:val="clear" w:color="000000" w:fill="FFFFFF"/>
            <w:noWrap/>
            <w:vAlign w:val="bottom"/>
            <w:hideMark/>
          </w:tcPr>
          <w:p w14:paraId="54FF38F1" w14:textId="0EF87913" w:rsidR="00214346" w:rsidRPr="00D413BA" w:rsidRDefault="00214346" w:rsidP="00214346">
            <w:pPr>
              <w:spacing w:after="0" w:line="240" w:lineRule="auto"/>
              <w:jc w:val="right"/>
              <w:rPr>
                <w:rFonts w:ascii="Arial" w:hAnsi="Arial" w:cs="Arial"/>
                <w:b/>
                <w:bCs/>
                <w:iCs/>
                <w:color w:val="000000"/>
                <w:sz w:val="16"/>
                <w:szCs w:val="16"/>
              </w:rPr>
            </w:pPr>
            <w:r w:rsidRPr="00D413BA">
              <w:rPr>
                <w:rFonts w:ascii="Arial" w:hAnsi="Arial" w:cs="Arial"/>
                <w:b/>
                <w:bCs/>
                <w:iCs/>
                <w:color w:val="000000"/>
                <w:sz w:val="16"/>
                <w:szCs w:val="16"/>
              </w:rPr>
              <w:t xml:space="preserve">26,893 </w:t>
            </w:r>
          </w:p>
        </w:tc>
        <w:tc>
          <w:tcPr>
            <w:tcW w:w="1116" w:type="dxa"/>
            <w:tcBorders>
              <w:top w:val="single" w:sz="4" w:space="0" w:color="auto"/>
              <w:left w:val="nil"/>
              <w:bottom w:val="single" w:sz="4" w:space="0" w:color="auto"/>
              <w:right w:val="nil"/>
            </w:tcBorders>
            <w:shd w:val="clear" w:color="000000" w:fill="FFFFFF"/>
            <w:noWrap/>
            <w:vAlign w:val="bottom"/>
            <w:hideMark/>
          </w:tcPr>
          <w:p w14:paraId="5E385A8D" w14:textId="3AC9AE53" w:rsidR="00214346" w:rsidRPr="00D413BA" w:rsidRDefault="00214346" w:rsidP="00214346">
            <w:pPr>
              <w:spacing w:after="0" w:line="240" w:lineRule="auto"/>
              <w:jc w:val="right"/>
              <w:rPr>
                <w:rFonts w:ascii="Arial" w:hAnsi="Arial" w:cs="Arial"/>
                <w:b/>
                <w:bCs/>
                <w:iCs/>
                <w:color w:val="000000"/>
                <w:sz w:val="16"/>
                <w:szCs w:val="16"/>
              </w:rPr>
            </w:pPr>
            <w:r w:rsidRPr="00D413BA">
              <w:rPr>
                <w:rFonts w:ascii="Arial" w:hAnsi="Arial" w:cs="Arial"/>
                <w:b/>
                <w:bCs/>
                <w:iCs/>
                <w:color w:val="000000"/>
                <w:sz w:val="16"/>
                <w:szCs w:val="16"/>
              </w:rPr>
              <w:t xml:space="preserve">6,460 </w:t>
            </w:r>
          </w:p>
        </w:tc>
        <w:tc>
          <w:tcPr>
            <w:tcW w:w="1013" w:type="dxa"/>
            <w:tcBorders>
              <w:top w:val="single" w:sz="4" w:space="0" w:color="auto"/>
              <w:left w:val="nil"/>
              <w:bottom w:val="single" w:sz="4" w:space="0" w:color="auto"/>
              <w:right w:val="nil"/>
            </w:tcBorders>
            <w:shd w:val="clear" w:color="000000" w:fill="E6E6E6"/>
            <w:noWrap/>
            <w:vAlign w:val="bottom"/>
            <w:hideMark/>
          </w:tcPr>
          <w:p w14:paraId="32F6CDBB" w14:textId="123659E6" w:rsidR="00214346" w:rsidRPr="00D413BA" w:rsidRDefault="00214346" w:rsidP="00214346">
            <w:pPr>
              <w:spacing w:after="0" w:line="240" w:lineRule="auto"/>
              <w:jc w:val="right"/>
              <w:rPr>
                <w:rFonts w:ascii="Arial" w:hAnsi="Arial" w:cs="Arial"/>
                <w:b/>
                <w:bCs/>
                <w:color w:val="000000"/>
                <w:sz w:val="16"/>
                <w:szCs w:val="16"/>
              </w:rPr>
            </w:pPr>
            <w:r w:rsidRPr="00D413BA">
              <w:rPr>
                <w:rFonts w:ascii="Arial" w:hAnsi="Arial" w:cs="Arial"/>
                <w:b/>
                <w:bCs/>
                <w:color w:val="000000"/>
                <w:sz w:val="16"/>
                <w:szCs w:val="16"/>
              </w:rPr>
              <w:t xml:space="preserve">33,353 </w:t>
            </w:r>
          </w:p>
        </w:tc>
      </w:tr>
      <w:tr w:rsidR="00214346" w:rsidRPr="0038328A" w14:paraId="164C91F0" w14:textId="77777777" w:rsidTr="00C211FF">
        <w:trPr>
          <w:trHeight w:val="204"/>
        </w:trPr>
        <w:tc>
          <w:tcPr>
            <w:tcW w:w="3261" w:type="dxa"/>
            <w:tcBorders>
              <w:top w:val="nil"/>
              <w:left w:val="nil"/>
              <w:bottom w:val="nil"/>
              <w:right w:val="nil"/>
            </w:tcBorders>
            <w:shd w:val="clear" w:color="000000" w:fill="FFFFFF"/>
            <w:vAlign w:val="bottom"/>
            <w:hideMark/>
          </w:tcPr>
          <w:p w14:paraId="362396C4" w14:textId="77777777" w:rsidR="00214346" w:rsidRPr="0038328A" w:rsidRDefault="00214346" w:rsidP="00214346">
            <w:pPr>
              <w:spacing w:after="0" w:line="240" w:lineRule="auto"/>
              <w:jc w:val="left"/>
              <w:rPr>
                <w:rFonts w:ascii="Arial" w:hAnsi="Arial" w:cs="Arial"/>
                <w:b/>
                <w:bCs/>
                <w:color w:val="000000"/>
                <w:sz w:val="16"/>
                <w:szCs w:val="16"/>
              </w:rPr>
            </w:pPr>
            <w:r w:rsidRPr="0038328A">
              <w:rPr>
                <w:rFonts w:ascii="Arial" w:hAnsi="Arial" w:cs="Arial"/>
                <w:b/>
                <w:bCs/>
                <w:color w:val="000000"/>
                <w:sz w:val="16"/>
                <w:szCs w:val="16"/>
              </w:rPr>
              <w:t>Funds from other sources</w:t>
            </w:r>
          </w:p>
        </w:tc>
        <w:tc>
          <w:tcPr>
            <w:tcW w:w="1150" w:type="dxa"/>
            <w:tcBorders>
              <w:top w:val="nil"/>
              <w:left w:val="nil"/>
              <w:bottom w:val="nil"/>
              <w:right w:val="nil"/>
            </w:tcBorders>
            <w:shd w:val="clear" w:color="000000" w:fill="FFFFFF"/>
            <w:noWrap/>
            <w:vAlign w:val="bottom"/>
            <w:hideMark/>
          </w:tcPr>
          <w:p w14:paraId="0E5BB552" w14:textId="4A238F04"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115" w:type="dxa"/>
            <w:tcBorders>
              <w:top w:val="nil"/>
              <w:left w:val="nil"/>
              <w:bottom w:val="nil"/>
              <w:right w:val="nil"/>
            </w:tcBorders>
            <w:shd w:val="clear" w:color="000000" w:fill="FFFFFF"/>
            <w:noWrap/>
            <w:vAlign w:val="bottom"/>
            <w:hideMark/>
          </w:tcPr>
          <w:p w14:paraId="6F47D5A4" w14:textId="51326AB6"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116" w:type="dxa"/>
            <w:tcBorders>
              <w:top w:val="nil"/>
              <w:left w:val="nil"/>
              <w:bottom w:val="nil"/>
              <w:right w:val="nil"/>
            </w:tcBorders>
            <w:shd w:val="clear" w:color="000000" w:fill="FFFFFF"/>
            <w:noWrap/>
            <w:vAlign w:val="bottom"/>
            <w:hideMark/>
          </w:tcPr>
          <w:p w14:paraId="31DBE007" w14:textId="1634B54A"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w:t>
            </w:r>
          </w:p>
        </w:tc>
        <w:tc>
          <w:tcPr>
            <w:tcW w:w="1013" w:type="dxa"/>
            <w:tcBorders>
              <w:top w:val="nil"/>
              <w:left w:val="nil"/>
              <w:bottom w:val="nil"/>
              <w:right w:val="nil"/>
            </w:tcBorders>
            <w:shd w:val="clear" w:color="000000" w:fill="E6E6E6"/>
            <w:noWrap/>
            <w:vAlign w:val="bottom"/>
            <w:hideMark/>
          </w:tcPr>
          <w:p w14:paraId="5B2E324D" w14:textId="7F1BA44E"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w:t>
            </w:r>
          </w:p>
        </w:tc>
      </w:tr>
      <w:tr w:rsidR="00214346" w:rsidRPr="0038328A" w14:paraId="595473D0" w14:textId="77777777" w:rsidTr="00C211FF">
        <w:trPr>
          <w:trHeight w:val="204"/>
        </w:trPr>
        <w:tc>
          <w:tcPr>
            <w:tcW w:w="3261" w:type="dxa"/>
            <w:tcBorders>
              <w:top w:val="nil"/>
              <w:left w:val="nil"/>
              <w:bottom w:val="nil"/>
              <w:right w:val="nil"/>
            </w:tcBorders>
            <w:shd w:val="clear" w:color="000000" w:fill="FFFFFF"/>
            <w:vAlign w:val="bottom"/>
            <w:hideMark/>
          </w:tcPr>
          <w:p w14:paraId="12874F20" w14:textId="77777777" w:rsidR="00214346" w:rsidRPr="0038328A" w:rsidRDefault="00214346" w:rsidP="00214346">
            <w:pPr>
              <w:spacing w:after="0" w:line="240" w:lineRule="auto"/>
              <w:ind w:left="113"/>
              <w:jc w:val="left"/>
              <w:rPr>
                <w:rFonts w:ascii="Arial" w:hAnsi="Arial" w:cs="Arial"/>
                <w:color w:val="000000"/>
                <w:sz w:val="16"/>
                <w:szCs w:val="16"/>
              </w:rPr>
            </w:pPr>
            <w:r w:rsidRPr="0038328A">
              <w:rPr>
                <w:rFonts w:ascii="Arial" w:hAnsi="Arial" w:cs="Arial"/>
                <w:color w:val="000000"/>
                <w:sz w:val="16"/>
                <w:szCs w:val="16"/>
              </w:rPr>
              <w:t>Interest</w:t>
            </w:r>
          </w:p>
        </w:tc>
        <w:tc>
          <w:tcPr>
            <w:tcW w:w="1150" w:type="dxa"/>
            <w:tcBorders>
              <w:top w:val="nil"/>
              <w:left w:val="nil"/>
              <w:bottom w:val="nil"/>
              <w:right w:val="nil"/>
            </w:tcBorders>
            <w:shd w:val="clear" w:color="000000" w:fill="FFFFFF"/>
            <w:noWrap/>
            <w:vAlign w:val="bottom"/>
            <w:hideMark/>
          </w:tcPr>
          <w:p w14:paraId="6BF3352C" w14:textId="2F93A1C6"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71 </w:t>
            </w:r>
          </w:p>
        </w:tc>
        <w:tc>
          <w:tcPr>
            <w:tcW w:w="1115" w:type="dxa"/>
            <w:tcBorders>
              <w:top w:val="nil"/>
              <w:left w:val="nil"/>
              <w:bottom w:val="nil"/>
              <w:right w:val="nil"/>
            </w:tcBorders>
            <w:shd w:val="clear" w:color="000000" w:fill="FFFFFF"/>
            <w:noWrap/>
            <w:vAlign w:val="bottom"/>
            <w:hideMark/>
          </w:tcPr>
          <w:p w14:paraId="6C4BBBD0" w14:textId="41E1A893"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200 </w:t>
            </w:r>
          </w:p>
        </w:tc>
        <w:tc>
          <w:tcPr>
            <w:tcW w:w="1116" w:type="dxa"/>
            <w:tcBorders>
              <w:top w:val="nil"/>
              <w:left w:val="nil"/>
              <w:bottom w:val="nil"/>
              <w:right w:val="nil"/>
            </w:tcBorders>
            <w:shd w:val="clear" w:color="000000" w:fill="FFFFFF"/>
            <w:noWrap/>
            <w:vAlign w:val="bottom"/>
            <w:hideMark/>
          </w:tcPr>
          <w:p w14:paraId="30710AE2" w14:textId="4E292F08"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 </w:t>
            </w:r>
          </w:p>
        </w:tc>
        <w:tc>
          <w:tcPr>
            <w:tcW w:w="1013" w:type="dxa"/>
            <w:tcBorders>
              <w:top w:val="nil"/>
              <w:left w:val="nil"/>
              <w:bottom w:val="nil"/>
              <w:right w:val="nil"/>
            </w:tcBorders>
            <w:shd w:val="clear" w:color="000000" w:fill="E6E6E6"/>
            <w:noWrap/>
            <w:vAlign w:val="bottom"/>
            <w:hideMark/>
          </w:tcPr>
          <w:p w14:paraId="7BBB3E5D" w14:textId="5EDAB41D"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xml:space="preserve">200 </w:t>
            </w:r>
          </w:p>
        </w:tc>
      </w:tr>
      <w:tr w:rsidR="00214346" w:rsidRPr="0038328A" w14:paraId="0CD3DF4A" w14:textId="77777777" w:rsidTr="00C211FF">
        <w:trPr>
          <w:trHeight w:val="204"/>
        </w:trPr>
        <w:tc>
          <w:tcPr>
            <w:tcW w:w="3261" w:type="dxa"/>
            <w:tcBorders>
              <w:top w:val="nil"/>
              <w:left w:val="nil"/>
              <w:bottom w:val="nil"/>
              <w:right w:val="nil"/>
            </w:tcBorders>
            <w:shd w:val="clear" w:color="000000" w:fill="FFFFFF"/>
            <w:vAlign w:val="bottom"/>
            <w:hideMark/>
          </w:tcPr>
          <w:p w14:paraId="17EBE07C" w14:textId="77777777" w:rsidR="00214346" w:rsidRPr="0038328A" w:rsidRDefault="00214346" w:rsidP="00214346">
            <w:pPr>
              <w:spacing w:after="0" w:line="240" w:lineRule="auto"/>
              <w:ind w:left="113"/>
              <w:jc w:val="left"/>
              <w:rPr>
                <w:rFonts w:ascii="Arial" w:hAnsi="Arial" w:cs="Arial"/>
                <w:color w:val="000000"/>
                <w:sz w:val="16"/>
                <w:szCs w:val="16"/>
              </w:rPr>
            </w:pPr>
            <w:r w:rsidRPr="0038328A">
              <w:rPr>
                <w:rFonts w:ascii="Arial" w:hAnsi="Arial" w:cs="Arial"/>
                <w:color w:val="000000"/>
                <w:sz w:val="16"/>
                <w:szCs w:val="16"/>
              </w:rPr>
              <w:t>Royalties</w:t>
            </w:r>
          </w:p>
        </w:tc>
        <w:tc>
          <w:tcPr>
            <w:tcW w:w="1150" w:type="dxa"/>
            <w:tcBorders>
              <w:top w:val="nil"/>
              <w:left w:val="nil"/>
              <w:bottom w:val="nil"/>
              <w:right w:val="nil"/>
            </w:tcBorders>
            <w:shd w:val="clear" w:color="000000" w:fill="FFFFFF"/>
            <w:noWrap/>
            <w:vAlign w:val="bottom"/>
            <w:hideMark/>
          </w:tcPr>
          <w:p w14:paraId="4F0FBA6E" w14:textId="3CFF746A"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151 </w:t>
            </w:r>
          </w:p>
        </w:tc>
        <w:tc>
          <w:tcPr>
            <w:tcW w:w="1115" w:type="dxa"/>
            <w:tcBorders>
              <w:top w:val="nil"/>
              <w:left w:val="nil"/>
              <w:bottom w:val="nil"/>
              <w:right w:val="nil"/>
            </w:tcBorders>
            <w:shd w:val="clear" w:color="000000" w:fill="FFFFFF"/>
            <w:noWrap/>
            <w:vAlign w:val="bottom"/>
            <w:hideMark/>
          </w:tcPr>
          <w:p w14:paraId="296FEF72" w14:textId="416C2AB8"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195 </w:t>
            </w:r>
          </w:p>
        </w:tc>
        <w:tc>
          <w:tcPr>
            <w:tcW w:w="1116" w:type="dxa"/>
            <w:tcBorders>
              <w:top w:val="nil"/>
              <w:left w:val="nil"/>
              <w:bottom w:val="nil"/>
              <w:right w:val="nil"/>
            </w:tcBorders>
            <w:shd w:val="clear" w:color="000000" w:fill="FFFFFF"/>
            <w:noWrap/>
            <w:vAlign w:val="bottom"/>
            <w:hideMark/>
          </w:tcPr>
          <w:p w14:paraId="4641A7F4" w14:textId="09349116"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 </w:t>
            </w:r>
          </w:p>
        </w:tc>
        <w:tc>
          <w:tcPr>
            <w:tcW w:w="1013" w:type="dxa"/>
            <w:tcBorders>
              <w:top w:val="nil"/>
              <w:left w:val="nil"/>
              <w:bottom w:val="nil"/>
              <w:right w:val="nil"/>
            </w:tcBorders>
            <w:shd w:val="clear" w:color="000000" w:fill="E6E6E6"/>
            <w:noWrap/>
            <w:vAlign w:val="bottom"/>
            <w:hideMark/>
          </w:tcPr>
          <w:p w14:paraId="5FD516AD" w14:textId="0597663D"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xml:space="preserve">195 </w:t>
            </w:r>
          </w:p>
        </w:tc>
      </w:tr>
      <w:tr w:rsidR="00214346" w:rsidRPr="0038328A" w14:paraId="198C7416" w14:textId="77777777" w:rsidTr="00C211FF">
        <w:trPr>
          <w:trHeight w:val="204"/>
        </w:trPr>
        <w:tc>
          <w:tcPr>
            <w:tcW w:w="3261" w:type="dxa"/>
            <w:tcBorders>
              <w:top w:val="nil"/>
              <w:left w:val="nil"/>
              <w:bottom w:val="nil"/>
              <w:right w:val="nil"/>
            </w:tcBorders>
            <w:shd w:val="clear" w:color="000000" w:fill="FFFFFF"/>
            <w:vAlign w:val="bottom"/>
            <w:hideMark/>
          </w:tcPr>
          <w:p w14:paraId="3729D7B3" w14:textId="77777777" w:rsidR="00214346" w:rsidRPr="0038328A" w:rsidRDefault="00214346" w:rsidP="00214346">
            <w:pPr>
              <w:spacing w:after="0" w:line="240" w:lineRule="auto"/>
              <w:ind w:left="113"/>
              <w:jc w:val="left"/>
              <w:rPr>
                <w:rFonts w:ascii="Arial" w:hAnsi="Arial" w:cs="Arial"/>
                <w:color w:val="000000"/>
                <w:sz w:val="16"/>
                <w:szCs w:val="16"/>
              </w:rPr>
            </w:pPr>
            <w:r w:rsidRPr="0038328A">
              <w:rPr>
                <w:rFonts w:ascii="Arial" w:hAnsi="Arial" w:cs="Arial"/>
                <w:color w:val="000000"/>
                <w:sz w:val="16"/>
                <w:szCs w:val="16"/>
              </w:rPr>
              <w:t>Sale of goods and services</w:t>
            </w:r>
          </w:p>
        </w:tc>
        <w:tc>
          <w:tcPr>
            <w:tcW w:w="1150" w:type="dxa"/>
            <w:tcBorders>
              <w:top w:val="nil"/>
              <w:left w:val="nil"/>
              <w:bottom w:val="nil"/>
              <w:right w:val="nil"/>
            </w:tcBorders>
            <w:shd w:val="clear" w:color="000000" w:fill="FFFFFF"/>
            <w:noWrap/>
            <w:vAlign w:val="bottom"/>
            <w:hideMark/>
          </w:tcPr>
          <w:p w14:paraId="5B44C23F" w14:textId="74762C85"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760 </w:t>
            </w:r>
          </w:p>
        </w:tc>
        <w:tc>
          <w:tcPr>
            <w:tcW w:w="1115" w:type="dxa"/>
            <w:tcBorders>
              <w:top w:val="nil"/>
              <w:left w:val="nil"/>
              <w:bottom w:val="nil"/>
              <w:right w:val="nil"/>
            </w:tcBorders>
            <w:shd w:val="clear" w:color="000000" w:fill="FFFFFF"/>
            <w:noWrap/>
            <w:vAlign w:val="bottom"/>
            <w:hideMark/>
          </w:tcPr>
          <w:p w14:paraId="77DCCB04" w14:textId="5DCF3521"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741 </w:t>
            </w:r>
          </w:p>
        </w:tc>
        <w:tc>
          <w:tcPr>
            <w:tcW w:w="1116" w:type="dxa"/>
            <w:tcBorders>
              <w:top w:val="nil"/>
              <w:left w:val="nil"/>
              <w:bottom w:val="nil"/>
              <w:right w:val="nil"/>
            </w:tcBorders>
            <w:shd w:val="clear" w:color="000000" w:fill="FFFFFF"/>
            <w:noWrap/>
            <w:vAlign w:val="bottom"/>
            <w:hideMark/>
          </w:tcPr>
          <w:p w14:paraId="6C655A60" w14:textId="440F563C"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 </w:t>
            </w:r>
          </w:p>
        </w:tc>
        <w:tc>
          <w:tcPr>
            <w:tcW w:w="1013" w:type="dxa"/>
            <w:tcBorders>
              <w:top w:val="nil"/>
              <w:left w:val="nil"/>
              <w:bottom w:val="nil"/>
              <w:right w:val="nil"/>
            </w:tcBorders>
            <w:shd w:val="clear" w:color="000000" w:fill="E6E6E6"/>
            <w:noWrap/>
            <w:vAlign w:val="bottom"/>
            <w:hideMark/>
          </w:tcPr>
          <w:p w14:paraId="074913E2" w14:textId="1E97C818"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xml:space="preserve">741 </w:t>
            </w:r>
          </w:p>
        </w:tc>
      </w:tr>
      <w:tr w:rsidR="00214346" w:rsidRPr="0038328A" w14:paraId="088A056F" w14:textId="77777777" w:rsidTr="00C211FF">
        <w:trPr>
          <w:trHeight w:val="204"/>
        </w:trPr>
        <w:tc>
          <w:tcPr>
            <w:tcW w:w="3261" w:type="dxa"/>
            <w:tcBorders>
              <w:top w:val="nil"/>
              <w:left w:val="nil"/>
              <w:bottom w:val="nil"/>
              <w:right w:val="nil"/>
            </w:tcBorders>
            <w:shd w:val="clear" w:color="000000" w:fill="FFFFFF"/>
            <w:vAlign w:val="bottom"/>
            <w:hideMark/>
          </w:tcPr>
          <w:p w14:paraId="3C4E1F33" w14:textId="77777777" w:rsidR="00214346" w:rsidRPr="0038328A" w:rsidRDefault="00214346" w:rsidP="00214346">
            <w:pPr>
              <w:spacing w:after="0" w:line="240" w:lineRule="auto"/>
              <w:ind w:left="113"/>
              <w:jc w:val="left"/>
              <w:rPr>
                <w:rFonts w:ascii="Arial" w:hAnsi="Arial" w:cs="Arial"/>
                <w:color w:val="000000"/>
                <w:sz w:val="16"/>
                <w:szCs w:val="16"/>
              </w:rPr>
            </w:pPr>
            <w:r w:rsidRPr="0038328A">
              <w:rPr>
                <w:rFonts w:ascii="Arial" w:hAnsi="Arial" w:cs="Arial"/>
                <w:color w:val="000000"/>
                <w:sz w:val="16"/>
                <w:szCs w:val="16"/>
              </w:rPr>
              <w:t>Other</w:t>
            </w:r>
          </w:p>
        </w:tc>
        <w:tc>
          <w:tcPr>
            <w:tcW w:w="1150" w:type="dxa"/>
            <w:tcBorders>
              <w:top w:val="nil"/>
              <w:left w:val="nil"/>
              <w:bottom w:val="nil"/>
              <w:right w:val="nil"/>
            </w:tcBorders>
            <w:shd w:val="clear" w:color="000000" w:fill="FFFFFF"/>
            <w:noWrap/>
            <w:vAlign w:val="bottom"/>
            <w:hideMark/>
          </w:tcPr>
          <w:p w14:paraId="1C0FABA4" w14:textId="2863A518"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763 </w:t>
            </w:r>
          </w:p>
        </w:tc>
        <w:tc>
          <w:tcPr>
            <w:tcW w:w="1115" w:type="dxa"/>
            <w:tcBorders>
              <w:top w:val="nil"/>
              <w:left w:val="nil"/>
              <w:bottom w:val="nil"/>
              <w:right w:val="nil"/>
            </w:tcBorders>
            <w:shd w:val="clear" w:color="000000" w:fill="FFFFFF"/>
            <w:noWrap/>
            <w:vAlign w:val="bottom"/>
            <w:hideMark/>
          </w:tcPr>
          <w:p w14:paraId="20386A54" w14:textId="4199C7B1"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590 </w:t>
            </w:r>
          </w:p>
        </w:tc>
        <w:tc>
          <w:tcPr>
            <w:tcW w:w="1116" w:type="dxa"/>
            <w:tcBorders>
              <w:top w:val="nil"/>
              <w:left w:val="nil"/>
              <w:bottom w:val="nil"/>
              <w:right w:val="nil"/>
            </w:tcBorders>
            <w:shd w:val="clear" w:color="000000" w:fill="FFFFFF"/>
            <w:noWrap/>
            <w:vAlign w:val="bottom"/>
            <w:hideMark/>
          </w:tcPr>
          <w:p w14:paraId="2F53D163" w14:textId="543F8AA1" w:rsidR="00214346" w:rsidRPr="00D413BA" w:rsidRDefault="00214346" w:rsidP="00214346">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 </w:t>
            </w:r>
          </w:p>
        </w:tc>
        <w:tc>
          <w:tcPr>
            <w:tcW w:w="1013" w:type="dxa"/>
            <w:tcBorders>
              <w:top w:val="nil"/>
              <w:left w:val="nil"/>
              <w:bottom w:val="nil"/>
              <w:right w:val="nil"/>
            </w:tcBorders>
            <w:shd w:val="clear" w:color="000000" w:fill="E6E6E6"/>
            <w:noWrap/>
            <w:vAlign w:val="bottom"/>
            <w:hideMark/>
          </w:tcPr>
          <w:p w14:paraId="3D9497A2" w14:textId="77F9A4BD" w:rsidR="00214346" w:rsidRPr="00D413BA" w:rsidRDefault="00214346" w:rsidP="00214346">
            <w:pPr>
              <w:spacing w:after="0" w:line="240" w:lineRule="auto"/>
              <w:jc w:val="right"/>
              <w:rPr>
                <w:rFonts w:ascii="Arial" w:hAnsi="Arial" w:cs="Arial"/>
                <w:color w:val="000000"/>
                <w:sz w:val="16"/>
                <w:szCs w:val="16"/>
              </w:rPr>
            </w:pPr>
            <w:r w:rsidRPr="00D413BA">
              <w:rPr>
                <w:rFonts w:ascii="Arial" w:hAnsi="Arial" w:cs="Arial"/>
                <w:color w:val="000000"/>
                <w:sz w:val="16"/>
                <w:szCs w:val="16"/>
              </w:rPr>
              <w:t xml:space="preserve">590 </w:t>
            </w:r>
          </w:p>
        </w:tc>
      </w:tr>
      <w:tr w:rsidR="00214346" w:rsidRPr="0038328A" w14:paraId="6D4B009C" w14:textId="77777777" w:rsidTr="00C211FF">
        <w:trPr>
          <w:trHeight w:val="204"/>
        </w:trPr>
        <w:tc>
          <w:tcPr>
            <w:tcW w:w="3261" w:type="dxa"/>
            <w:tcBorders>
              <w:top w:val="nil"/>
              <w:left w:val="nil"/>
              <w:bottom w:val="nil"/>
              <w:right w:val="nil"/>
            </w:tcBorders>
            <w:shd w:val="clear" w:color="000000" w:fill="FFFFFF"/>
            <w:noWrap/>
            <w:vAlign w:val="bottom"/>
            <w:hideMark/>
          </w:tcPr>
          <w:p w14:paraId="31FF3629" w14:textId="77777777" w:rsidR="00214346" w:rsidRPr="0038328A" w:rsidRDefault="00214346" w:rsidP="00214346">
            <w:pPr>
              <w:spacing w:after="0" w:line="240" w:lineRule="auto"/>
              <w:jc w:val="left"/>
              <w:rPr>
                <w:rFonts w:ascii="Arial" w:hAnsi="Arial" w:cs="Arial"/>
                <w:b/>
                <w:bCs/>
                <w:color w:val="000000"/>
                <w:sz w:val="16"/>
                <w:szCs w:val="16"/>
              </w:rPr>
            </w:pPr>
            <w:r w:rsidRPr="0038328A">
              <w:rPr>
                <w:rFonts w:ascii="Arial" w:hAnsi="Arial" w:cs="Arial"/>
                <w:b/>
                <w:bCs/>
                <w:color w:val="000000"/>
                <w:sz w:val="16"/>
                <w:szCs w:val="16"/>
              </w:rPr>
              <w:t>Total funds from other sources</w:t>
            </w:r>
          </w:p>
        </w:tc>
        <w:tc>
          <w:tcPr>
            <w:tcW w:w="1150" w:type="dxa"/>
            <w:tcBorders>
              <w:top w:val="single" w:sz="4" w:space="0" w:color="auto"/>
              <w:left w:val="nil"/>
              <w:bottom w:val="single" w:sz="4" w:space="0" w:color="auto"/>
              <w:right w:val="nil"/>
            </w:tcBorders>
            <w:shd w:val="clear" w:color="000000" w:fill="FFFFFF"/>
            <w:noWrap/>
            <w:vAlign w:val="bottom"/>
            <w:hideMark/>
          </w:tcPr>
          <w:p w14:paraId="26CD9DA2" w14:textId="76F14F5C" w:rsidR="00214346" w:rsidRPr="00D413BA" w:rsidRDefault="00214346" w:rsidP="00214346">
            <w:pPr>
              <w:spacing w:after="0" w:line="240" w:lineRule="auto"/>
              <w:jc w:val="right"/>
              <w:rPr>
                <w:rFonts w:ascii="Arial" w:hAnsi="Arial" w:cs="Arial"/>
                <w:b/>
                <w:bCs/>
                <w:iCs/>
                <w:color w:val="000000"/>
                <w:sz w:val="16"/>
                <w:szCs w:val="16"/>
              </w:rPr>
            </w:pPr>
            <w:r w:rsidRPr="00D413BA">
              <w:rPr>
                <w:rFonts w:ascii="Arial" w:hAnsi="Arial" w:cs="Arial"/>
                <w:b/>
                <w:bCs/>
                <w:iCs/>
                <w:color w:val="000000"/>
                <w:sz w:val="16"/>
                <w:szCs w:val="16"/>
              </w:rPr>
              <w:t xml:space="preserve">1,745 </w:t>
            </w:r>
          </w:p>
        </w:tc>
        <w:tc>
          <w:tcPr>
            <w:tcW w:w="1115" w:type="dxa"/>
            <w:tcBorders>
              <w:top w:val="single" w:sz="4" w:space="0" w:color="auto"/>
              <w:left w:val="nil"/>
              <w:bottom w:val="single" w:sz="4" w:space="0" w:color="auto"/>
              <w:right w:val="nil"/>
            </w:tcBorders>
            <w:shd w:val="clear" w:color="000000" w:fill="FFFFFF"/>
            <w:noWrap/>
            <w:vAlign w:val="bottom"/>
            <w:hideMark/>
          </w:tcPr>
          <w:p w14:paraId="3925286B" w14:textId="66FED4A2" w:rsidR="00214346" w:rsidRPr="00D413BA" w:rsidRDefault="00214346" w:rsidP="00214346">
            <w:pPr>
              <w:spacing w:after="0" w:line="240" w:lineRule="auto"/>
              <w:jc w:val="right"/>
              <w:rPr>
                <w:rFonts w:ascii="Arial" w:hAnsi="Arial" w:cs="Arial"/>
                <w:b/>
                <w:bCs/>
                <w:iCs/>
                <w:color w:val="000000"/>
                <w:sz w:val="16"/>
                <w:szCs w:val="16"/>
              </w:rPr>
            </w:pPr>
            <w:r w:rsidRPr="00D413BA">
              <w:rPr>
                <w:rFonts w:ascii="Arial" w:hAnsi="Arial" w:cs="Arial"/>
                <w:b/>
                <w:bCs/>
                <w:iCs/>
                <w:color w:val="000000"/>
                <w:sz w:val="16"/>
                <w:szCs w:val="16"/>
              </w:rPr>
              <w:t xml:space="preserve">1,726 </w:t>
            </w:r>
          </w:p>
        </w:tc>
        <w:tc>
          <w:tcPr>
            <w:tcW w:w="1116" w:type="dxa"/>
            <w:tcBorders>
              <w:top w:val="single" w:sz="4" w:space="0" w:color="auto"/>
              <w:left w:val="nil"/>
              <w:bottom w:val="single" w:sz="4" w:space="0" w:color="auto"/>
              <w:right w:val="nil"/>
            </w:tcBorders>
            <w:shd w:val="clear" w:color="000000" w:fill="FFFFFF"/>
            <w:noWrap/>
            <w:vAlign w:val="bottom"/>
            <w:hideMark/>
          </w:tcPr>
          <w:p w14:paraId="618C5F2B" w14:textId="2C68CD82" w:rsidR="00214346" w:rsidRPr="00D413BA" w:rsidRDefault="00214346" w:rsidP="00214346">
            <w:pPr>
              <w:spacing w:after="0" w:line="240" w:lineRule="auto"/>
              <w:jc w:val="right"/>
              <w:rPr>
                <w:rFonts w:ascii="Arial" w:hAnsi="Arial" w:cs="Arial"/>
                <w:b/>
                <w:bCs/>
                <w:iCs/>
                <w:color w:val="000000"/>
                <w:sz w:val="16"/>
                <w:szCs w:val="16"/>
              </w:rPr>
            </w:pPr>
            <w:r w:rsidRPr="00D413BA">
              <w:rPr>
                <w:rFonts w:ascii="Arial" w:hAnsi="Arial" w:cs="Arial"/>
                <w:b/>
                <w:bCs/>
                <w:iCs/>
                <w:color w:val="000000"/>
                <w:sz w:val="16"/>
                <w:szCs w:val="16"/>
              </w:rPr>
              <w:t xml:space="preserve">- </w:t>
            </w:r>
          </w:p>
        </w:tc>
        <w:tc>
          <w:tcPr>
            <w:tcW w:w="1013" w:type="dxa"/>
            <w:tcBorders>
              <w:top w:val="single" w:sz="4" w:space="0" w:color="auto"/>
              <w:left w:val="nil"/>
              <w:bottom w:val="single" w:sz="4" w:space="0" w:color="auto"/>
              <w:right w:val="nil"/>
            </w:tcBorders>
            <w:shd w:val="clear" w:color="000000" w:fill="E6E6E6"/>
            <w:noWrap/>
            <w:vAlign w:val="bottom"/>
            <w:hideMark/>
          </w:tcPr>
          <w:p w14:paraId="612BEDB4" w14:textId="73A68CFE" w:rsidR="00214346" w:rsidRPr="00D413BA" w:rsidRDefault="00214346" w:rsidP="00214346">
            <w:pPr>
              <w:spacing w:after="0" w:line="240" w:lineRule="auto"/>
              <w:jc w:val="right"/>
              <w:rPr>
                <w:rFonts w:ascii="Arial" w:hAnsi="Arial" w:cs="Arial"/>
                <w:b/>
                <w:bCs/>
                <w:color w:val="000000"/>
                <w:sz w:val="16"/>
                <w:szCs w:val="16"/>
              </w:rPr>
            </w:pPr>
            <w:r w:rsidRPr="00D413BA">
              <w:rPr>
                <w:rFonts w:ascii="Arial" w:hAnsi="Arial" w:cs="Arial"/>
                <w:b/>
                <w:bCs/>
                <w:color w:val="000000"/>
                <w:sz w:val="16"/>
                <w:szCs w:val="16"/>
              </w:rPr>
              <w:t xml:space="preserve">1,726 </w:t>
            </w:r>
          </w:p>
        </w:tc>
      </w:tr>
      <w:tr w:rsidR="00214346" w:rsidRPr="0038328A" w14:paraId="4D5AF2B4" w14:textId="77777777" w:rsidTr="00C211FF">
        <w:trPr>
          <w:trHeight w:val="204"/>
        </w:trPr>
        <w:tc>
          <w:tcPr>
            <w:tcW w:w="3261" w:type="dxa"/>
            <w:tcBorders>
              <w:top w:val="nil"/>
              <w:left w:val="nil"/>
              <w:bottom w:val="single" w:sz="4" w:space="0" w:color="auto"/>
              <w:right w:val="nil"/>
            </w:tcBorders>
            <w:shd w:val="clear" w:color="000000" w:fill="FFFFFF"/>
            <w:noWrap/>
            <w:vAlign w:val="bottom"/>
            <w:hideMark/>
          </w:tcPr>
          <w:p w14:paraId="716341ED" w14:textId="77777777" w:rsidR="00214346" w:rsidRPr="0038328A" w:rsidRDefault="00214346" w:rsidP="00214346">
            <w:pPr>
              <w:spacing w:after="0" w:line="240" w:lineRule="auto"/>
              <w:jc w:val="left"/>
              <w:rPr>
                <w:rFonts w:ascii="Arial" w:hAnsi="Arial" w:cs="Arial"/>
                <w:b/>
                <w:bCs/>
                <w:color w:val="000000"/>
                <w:sz w:val="16"/>
                <w:szCs w:val="16"/>
              </w:rPr>
            </w:pPr>
            <w:r w:rsidRPr="0038328A">
              <w:rPr>
                <w:rFonts w:ascii="Arial" w:hAnsi="Arial" w:cs="Arial"/>
                <w:b/>
                <w:bCs/>
                <w:color w:val="000000"/>
                <w:sz w:val="16"/>
                <w:szCs w:val="16"/>
              </w:rPr>
              <w:t>Total net resourcing for NFSA</w:t>
            </w:r>
          </w:p>
        </w:tc>
        <w:tc>
          <w:tcPr>
            <w:tcW w:w="1150" w:type="dxa"/>
            <w:tcBorders>
              <w:top w:val="single" w:sz="4" w:space="0" w:color="auto"/>
              <w:left w:val="nil"/>
              <w:bottom w:val="single" w:sz="4" w:space="0" w:color="auto"/>
              <w:right w:val="nil"/>
            </w:tcBorders>
            <w:shd w:val="clear" w:color="000000" w:fill="FFFFFF"/>
            <w:noWrap/>
            <w:vAlign w:val="bottom"/>
            <w:hideMark/>
          </w:tcPr>
          <w:p w14:paraId="07E5189D" w14:textId="441E24D4" w:rsidR="00214346" w:rsidRPr="00D413BA" w:rsidRDefault="00214346" w:rsidP="00214346">
            <w:pPr>
              <w:spacing w:after="0" w:line="240" w:lineRule="auto"/>
              <w:jc w:val="right"/>
              <w:rPr>
                <w:rFonts w:ascii="Arial" w:hAnsi="Arial" w:cs="Arial"/>
                <w:b/>
                <w:bCs/>
                <w:iCs/>
                <w:color w:val="000000"/>
                <w:sz w:val="16"/>
                <w:szCs w:val="16"/>
              </w:rPr>
            </w:pPr>
            <w:r w:rsidRPr="00D413BA">
              <w:rPr>
                <w:rFonts w:ascii="Arial" w:hAnsi="Arial" w:cs="Arial"/>
                <w:b/>
                <w:bCs/>
                <w:iCs/>
                <w:color w:val="000000"/>
                <w:sz w:val="16"/>
                <w:szCs w:val="16"/>
              </w:rPr>
              <w:t xml:space="preserve">33,438 </w:t>
            </w:r>
          </w:p>
        </w:tc>
        <w:tc>
          <w:tcPr>
            <w:tcW w:w="1115" w:type="dxa"/>
            <w:tcBorders>
              <w:top w:val="single" w:sz="4" w:space="0" w:color="auto"/>
              <w:left w:val="nil"/>
              <w:bottom w:val="single" w:sz="4" w:space="0" w:color="auto"/>
              <w:right w:val="nil"/>
            </w:tcBorders>
            <w:shd w:val="clear" w:color="000000" w:fill="FFFFFF"/>
            <w:noWrap/>
            <w:vAlign w:val="bottom"/>
            <w:hideMark/>
          </w:tcPr>
          <w:p w14:paraId="7AEDE7B8" w14:textId="32D5E491" w:rsidR="00214346" w:rsidRPr="00D413BA" w:rsidRDefault="00214346" w:rsidP="00214346">
            <w:pPr>
              <w:spacing w:after="0" w:line="240" w:lineRule="auto"/>
              <w:jc w:val="right"/>
              <w:rPr>
                <w:rFonts w:ascii="Arial" w:hAnsi="Arial" w:cs="Arial"/>
                <w:b/>
                <w:bCs/>
                <w:iCs/>
                <w:color w:val="000000"/>
                <w:sz w:val="16"/>
                <w:szCs w:val="16"/>
              </w:rPr>
            </w:pPr>
            <w:r w:rsidRPr="00D413BA">
              <w:rPr>
                <w:rFonts w:ascii="Arial" w:hAnsi="Arial" w:cs="Arial"/>
                <w:b/>
                <w:bCs/>
                <w:iCs/>
                <w:color w:val="000000"/>
                <w:sz w:val="16"/>
                <w:szCs w:val="16"/>
              </w:rPr>
              <w:t xml:space="preserve">30,733 </w:t>
            </w:r>
          </w:p>
        </w:tc>
        <w:tc>
          <w:tcPr>
            <w:tcW w:w="1116" w:type="dxa"/>
            <w:tcBorders>
              <w:top w:val="single" w:sz="4" w:space="0" w:color="auto"/>
              <w:left w:val="nil"/>
              <w:bottom w:val="single" w:sz="4" w:space="0" w:color="auto"/>
              <w:right w:val="nil"/>
            </w:tcBorders>
            <w:shd w:val="clear" w:color="000000" w:fill="FFFFFF"/>
            <w:noWrap/>
            <w:vAlign w:val="bottom"/>
            <w:hideMark/>
          </w:tcPr>
          <w:p w14:paraId="13DF6FE3" w14:textId="06B8CF77" w:rsidR="00214346" w:rsidRPr="00D413BA" w:rsidRDefault="00214346" w:rsidP="00214346">
            <w:pPr>
              <w:spacing w:after="0" w:line="240" w:lineRule="auto"/>
              <w:jc w:val="right"/>
              <w:rPr>
                <w:rFonts w:ascii="Arial" w:hAnsi="Arial" w:cs="Arial"/>
                <w:b/>
                <w:bCs/>
                <w:iCs/>
                <w:color w:val="000000"/>
                <w:sz w:val="16"/>
                <w:szCs w:val="16"/>
              </w:rPr>
            </w:pPr>
            <w:r w:rsidRPr="00D413BA">
              <w:rPr>
                <w:rFonts w:ascii="Arial" w:hAnsi="Arial" w:cs="Arial"/>
                <w:b/>
                <w:bCs/>
                <w:iCs/>
                <w:color w:val="000000"/>
                <w:sz w:val="16"/>
                <w:szCs w:val="16"/>
              </w:rPr>
              <w:t xml:space="preserve">5,266 </w:t>
            </w:r>
          </w:p>
        </w:tc>
        <w:tc>
          <w:tcPr>
            <w:tcW w:w="1013" w:type="dxa"/>
            <w:tcBorders>
              <w:top w:val="single" w:sz="4" w:space="0" w:color="auto"/>
              <w:left w:val="nil"/>
              <w:bottom w:val="single" w:sz="4" w:space="0" w:color="auto"/>
              <w:right w:val="nil"/>
            </w:tcBorders>
            <w:shd w:val="clear" w:color="000000" w:fill="E6E6E6"/>
            <w:noWrap/>
            <w:vAlign w:val="bottom"/>
            <w:hideMark/>
          </w:tcPr>
          <w:p w14:paraId="7DD41C9F" w14:textId="2922E07C" w:rsidR="00214346" w:rsidRPr="00D413BA" w:rsidRDefault="00214346" w:rsidP="00214346">
            <w:pPr>
              <w:spacing w:after="0" w:line="240" w:lineRule="auto"/>
              <w:jc w:val="right"/>
              <w:rPr>
                <w:rFonts w:ascii="Arial" w:hAnsi="Arial" w:cs="Arial"/>
                <w:b/>
                <w:bCs/>
                <w:color w:val="000000"/>
                <w:sz w:val="16"/>
                <w:szCs w:val="16"/>
              </w:rPr>
            </w:pPr>
            <w:r w:rsidRPr="00D413BA">
              <w:rPr>
                <w:rFonts w:ascii="Arial" w:hAnsi="Arial" w:cs="Arial"/>
                <w:b/>
                <w:bCs/>
                <w:color w:val="000000"/>
                <w:sz w:val="16"/>
                <w:szCs w:val="16"/>
              </w:rPr>
              <w:t xml:space="preserve">35,999 </w:t>
            </w:r>
          </w:p>
        </w:tc>
      </w:tr>
    </w:tbl>
    <w:p w14:paraId="6D08F578" w14:textId="405F113A" w:rsidR="001346D5" w:rsidRDefault="001346D5" w:rsidP="001346D5">
      <w:pPr>
        <w:pStyle w:val="TableHeading"/>
        <w:spacing w:before="0"/>
        <w:ind w:left="284"/>
        <w:rPr>
          <w:rFonts w:cs="Arial"/>
          <w:b w:val="0"/>
          <w:sz w:val="16"/>
          <w:szCs w:val="16"/>
        </w:rPr>
      </w:pPr>
    </w:p>
    <w:tbl>
      <w:tblPr>
        <w:tblW w:w="7655" w:type="dxa"/>
        <w:tblLook w:val="04A0" w:firstRow="1" w:lastRow="0" w:firstColumn="1" w:lastColumn="0" w:noHBand="0" w:noVBand="1"/>
      </w:tblPr>
      <w:tblGrid>
        <w:gridCol w:w="5529"/>
        <w:gridCol w:w="1134"/>
        <w:gridCol w:w="992"/>
      </w:tblGrid>
      <w:tr w:rsidR="001346D5" w:rsidRPr="0038328A" w14:paraId="28F59261" w14:textId="77777777" w:rsidTr="00C211FF">
        <w:trPr>
          <w:trHeight w:val="114"/>
        </w:trPr>
        <w:tc>
          <w:tcPr>
            <w:tcW w:w="5529" w:type="dxa"/>
            <w:tcBorders>
              <w:top w:val="single" w:sz="4" w:space="0" w:color="auto"/>
              <w:left w:val="nil"/>
              <w:bottom w:val="nil"/>
              <w:right w:val="nil"/>
            </w:tcBorders>
            <w:shd w:val="clear" w:color="000000" w:fill="FFFFFF"/>
            <w:noWrap/>
            <w:vAlign w:val="bottom"/>
            <w:hideMark/>
          </w:tcPr>
          <w:p w14:paraId="4131BBC6" w14:textId="77777777" w:rsidR="001346D5" w:rsidRPr="0038328A" w:rsidRDefault="001346D5" w:rsidP="001346D5">
            <w:pPr>
              <w:spacing w:after="0" w:line="240" w:lineRule="auto"/>
              <w:jc w:val="left"/>
              <w:rPr>
                <w:rFonts w:ascii="Arial" w:hAnsi="Arial" w:cs="Arial"/>
                <w:color w:val="000000"/>
                <w:sz w:val="16"/>
                <w:szCs w:val="16"/>
              </w:rPr>
            </w:pPr>
            <w:r w:rsidRPr="0038328A">
              <w:rPr>
                <w:rFonts w:ascii="Arial" w:hAnsi="Arial" w:cs="Arial"/>
                <w:color w:val="000000"/>
                <w:sz w:val="16"/>
                <w:szCs w:val="16"/>
              </w:rPr>
              <w:t> </w:t>
            </w:r>
          </w:p>
        </w:tc>
        <w:tc>
          <w:tcPr>
            <w:tcW w:w="1134" w:type="dxa"/>
            <w:tcBorders>
              <w:top w:val="single" w:sz="4" w:space="0" w:color="auto"/>
              <w:left w:val="nil"/>
              <w:bottom w:val="single" w:sz="4" w:space="0" w:color="auto"/>
              <w:right w:val="nil"/>
            </w:tcBorders>
            <w:shd w:val="clear" w:color="000000" w:fill="FFFFFF"/>
            <w:noWrap/>
            <w:vAlign w:val="bottom"/>
            <w:hideMark/>
          </w:tcPr>
          <w:p w14:paraId="2BFD8328" w14:textId="77777777" w:rsidR="001346D5" w:rsidRPr="00D413BA" w:rsidRDefault="001346D5" w:rsidP="001346D5">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 xml:space="preserve">Actual </w:t>
            </w:r>
          </w:p>
          <w:p w14:paraId="379D6269" w14:textId="77777777" w:rsidR="001346D5" w:rsidRPr="00D413BA" w:rsidRDefault="001346D5" w:rsidP="001346D5">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2020-21</w:t>
            </w:r>
          </w:p>
        </w:tc>
        <w:tc>
          <w:tcPr>
            <w:tcW w:w="992" w:type="dxa"/>
            <w:tcBorders>
              <w:top w:val="single" w:sz="4" w:space="0" w:color="auto"/>
              <w:left w:val="nil"/>
              <w:bottom w:val="single" w:sz="4" w:space="0" w:color="auto"/>
              <w:right w:val="nil"/>
            </w:tcBorders>
            <w:shd w:val="clear" w:color="000000" w:fill="E6E6E6"/>
            <w:noWrap/>
            <w:vAlign w:val="bottom"/>
            <w:hideMark/>
          </w:tcPr>
          <w:p w14:paraId="2BD5178F" w14:textId="77777777" w:rsidR="001346D5" w:rsidRPr="00D413BA" w:rsidRDefault="001346D5" w:rsidP="001346D5">
            <w:pPr>
              <w:spacing w:after="0" w:line="240" w:lineRule="auto"/>
              <w:jc w:val="right"/>
              <w:rPr>
                <w:rFonts w:ascii="Arial" w:hAnsi="Arial" w:cs="Arial"/>
                <w:color w:val="000000"/>
                <w:sz w:val="16"/>
                <w:szCs w:val="16"/>
              </w:rPr>
            </w:pPr>
            <w:r w:rsidRPr="00D413BA">
              <w:rPr>
                <w:rFonts w:ascii="Arial" w:hAnsi="Arial" w:cs="Arial"/>
                <w:color w:val="000000"/>
                <w:sz w:val="16"/>
                <w:szCs w:val="16"/>
              </w:rPr>
              <w:t>2021-22</w:t>
            </w:r>
          </w:p>
        </w:tc>
      </w:tr>
      <w:tr w:rsidR="001346D5" w:rsidRPr="0038328A" w14:paraId="680AFD8B" w14:textId="77777777" w:rsidTr="00C211FF">
        <w:trPr>
          <w:trHeight w:val="204"/>
        </w:trPr>
        <w:tc>
          <w:tcPr>
            <w:tcW w:w="5529" w:type="dxa"/>
            <w:tcBorders>
              <w:top w:val="nil"/>
              <w:left w:val="nil"/>
              <w:bottom w:val="single" w:sz="4" w:space="0" w:color="auto"/>
              <w:right w:val="nil"/>
            </w:tcBorders>
            <w:shd w:val="clear" w:color="000000" w:fill="FFFFFF"/>
            <w:noWrap/>
            <w:vAlign w:val="bottom"/>
            <w:hideMark/>
          </w:tcPr>
          <w:p w14:paraId="6FFD6D60" w14:textId="77777777" w:rsidR="001346D5" w:rsidRPr="0038328A" w:rsidRDefault="001346D5" w:rsidP="001346D5">
            <w:pPr>
              <w:spacing w:after="0" w:line="240" w:lineRule="auto"/>
              <w:jc w:val="left"/>
              <w:rPr>
                <w:rFonts w:ascii="Arial" w:hAnsi="Arial" w:cs="Arial"/>
                <w:b/>
                <w:bCs/>
                <w:color w:val="000000"/>
                <w:sz w:val="16"/>
                <w:szCs w:val="16"/>
              </w:rPr>
            </w:pPr>
            <w:r w:rsidRPr="0038328A">
              <w:rPr>
                <w:rFonts w:ascii="Arial" w:hAnsi="Arial" w:cs="Arial"/>
                <w:b/>
                <w:bCs/>
                <w:color w:val="000000"/>
                <w:sz w:val="16"/>
                <w:szCs w:val="16"/>
              </w:rPr>
              <w:t>Average staffing level (number)</w:t>
            </w:r>
          </w:p>
        </w:tc>
        <w:tc>
          <w:tcPr>
            <w:tcW w:w="1134" w:type="dxa"/>
            <w:tcBorders>
              <w:top w:val="nil"/>
              <w:left w:val="nil"/>
              <w:bottom w:val="single" w:sz="4" w:space="0" w:color="auto"/>
              <w:right w:val="nil"/>
            </w:tcBorders>
            <w:shd w:val="clear" w:color="000000" w:fill="FFFFFF"/>
            <w:noWrap/>
            <w:vAlign w:val="bottom"/>
            <w:hideMark/>
          </w:tcPr>
          <w:p w14:paraId="6859E96B" w14:textId="77777777" w:rsidR="001346D5" w:rsidRPr="00D413BA" w:rsidRDefault="001346D5" w:rsidP="001346D5">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164</w:t>
            </w:r>
          </w:p>
        </w:tc>
        <w:tc>
          <w:tcPr>
            <w:tcW w:w="992" w:type="dxa"/>
            <w:tcBorders>
              <w:top w:val="nil"/>
              <w:left w:val="nil"/>
              <w:bottom w:val="single" w:sz="4" w:space="0" w:color="auto"/>
              <w:right w:val="nil"/>
            </w:tcBorders>
            <w:shd w:val="clear" w:color="000000" w:fill="E6E6E6"/>
            <w:noWrap/>
            <w:vAlign w:val="bottom"/>
            <w:hideMark/>
          </w:tcPr>
          <w:p w14:paraId="5C5C9D4A" w14:textId="77777777" w:rsidR="001346D5" w:rsidRPr="00D413BA" w:rsidRDefault="001346D5" w:rsidP="001346D5">
            <w:pPr>
              <w:spacing w:after="0" w:line="240" w:lineRule="auto"/>
              <w:jc w:val="right"/>
              <w:rPr>
                <w:rFonts w:ascii="Arial" w:hAnsi="Arial" w:cs="Arial"/>
                <w:color w:val="000000"/>
                <w:sz w:val="16"/>
                <w:szCs w:val="16"/>
              </w:rPr>
            </w:pPr>
            <w:r w:rsidRPr="00D413BA">
              <w:rPr>
                <w:rFonts w:ascii="Arial" w:hAnsi="Arial" w:cs="Arial"/>
                <w:color w:val="000000"/>
                <w:sz w:val="16"/>
                <w:szCs w:val="16"/>
              </w:rPr>
              <w:t>174</w:t>
            </w:r>
          </w:p>
        </w:tc>
      </w:tr>
    </w:tbl>
    <w:p w14:paraId="3C332E96" w14:textId="4122CA90" w:rsidR="004E751E" w:rsidRPr="0038328A" w:rsidRDefault="0038328A" w:rsidP="00BC44A7">
      <w:pPr>
        <w:pStyle w:val="TableHeading"/>
        <w:numPr>
          <w:ilvl w:val="0"/>
          <w:numId w:val="39"/>
        </w:numPr>
        <w:spacing w:before="60"/>
        <w:ind w:left="284" w:hanging="284"/>
        <w:rPr>
          <w:rFonts w:cs="Arial"/>
          <w:b w:val="0"/>
          <w:sz w:val="16"/>
          <w:szCs w:val="16"/>
        </w:rPr>
      </w:pPr>
      <w:r w:rsidRPr="0038328A">
        <w:rPr>
          <w:rFonts w:cs="Arial"/>
          <w:b w:val="0"/>
          <w:sz w:val="16"/>
          <w:szCs w:val="16"/>
        </w:rPr>
        <w:t xml:space="preserve">Appropriation </w:t>
      </w:r>
      <w:r w:rsidR="001E2C08">
        <w:rPr>
          <w:rFonts w:cs="Arial"/>
          <w:b w:val="0"/>
          <w:sz w:val="16"/>
          <w:szCs w:val="16"/>
          <w:lang w:val="en-AU"/>
        </w:rPr>
        <w:t>Act</w:t>
      </w:r>
      <w:r w:rsidRPr="0038328A">
        <w:rPr>
          <w:rFonts w:cs="Arial"/>
          <w:b w:val="0"/>
          <w:sz w:val="16"/>
          <w:szCs w:val="16"/>
        </w:rPr>
        <w:t xml:space="preserve"> (No. 1) 2021-22</w:t>
      </w:r>
      <w:r w:rsidR="001E2C08">
        <w:rPr>
          <w:rFonts w:cs="Arial"/>
          <w:b w:val="0"/>
          <w:sz w:val="16"/>
          <w:szCs w:val="16"/>
          <w:lang w:val="en-AU"/>
        </w:rPr>
        <w:t xml:space="preserve"> and </w:t>
      </w:r>
      <w:r w:rsidR="001E2C08" w:rsidRPr="0038328A">
        <w:rPr>
          <w:rFonts w:cs="Arial"/>
          <w:b w:val="0"/>
          <w:sz w:val="16"/>
          <w:szCs w:val="16"/>
        </w:rPr>
        <w:t xml:space="preserve">Appropriation Bill (No. </w:t>
      </w:r>
      <w:r w:rsidR="001E2C08">
        <w:rPr>
          <w:rFonts w:cs="Arial"/>
          <w:b w:val="0"/>
          <w:sz w:val="16"/>
          <w:szCs w:val="16"/>
          <w:lang w:val="en-AU"/>
        </w:rPr>
        <w:t>3</w:t>
      </w:r>
      <w:r w:rsidR="001E2C08" w:rsidRPr="0038328A">
        <w:rPr>
          <w:rFonts w:cs="Arial"/>
          <w:b w:val="0"/>
          <w:sz w:val="16"/>
          <w:szCs w:val="16"/>
        </w:rPr>
        <w:t>) 2021-22</w:t>
      </w:r>
      <w:r w:rsidRPr="0038328A">
        <w:rPr>
          <w:rFonts w:cs="Arial"/>
          <w:b w:val="0"/>
          <w:sz w:val="16"/>
          <w:szCs w:val="16"/>
        </w:rPr>
        <w:t>.</w:t>
      </w:r>
    </w:p>
    <w:p w14:paraId="4D1D0FC3" w14:textId="4F445189" w:rsidR="001E2C08" w:rsidRPr="0038328A" w:rsidRDefault="0038328A" w:rsidP="00BC44A7">
      <w:pPr>
        <w:pStyle w:val="TableGraphic"/>
        <w:numPr>
          <w:ilvl w:val="0"/>
          <w:numId w:val="39"/>
        </w:numPr>
        <w:ind w:left="284" w:hanging="284"/>
        <w:jc w:val="left"/>
        <w:rPr>
          <w:rFonts w:ascii="Arial" w:hAnsi="Arial" w:cs="Arial"/>
          <w:i w:val="0"/>
          <w:color w:val="auto"/>
          <w:sz w:val="16"/>
          <w:szCs w:val="16"/>
          <w:lang w:val="x-none"/>
        </w:rPr>
      </w:pPr>
      <w:r w:rsidRPr="0038328A">
        <w:rPr>
          <w:rFonts w:ascii="Arial" w:hAnsi="Arial" w:cs="Arial"/>
          <w:i w:val="0"/>
          <w:color w:val="auto"/>
          <w:sz w:val="16"/>
          <w:szCs w:val="16"/>
          <w:lang w:val="x-none"/>
        </w:rPr>
        <w:t xml:space="preserve">Appropriation </w:t>
      </w:r>
      <w:r w:rsidR="001E2C08">
        <w:rPr>
          <w:rFonts w:ascii="Arial" w:hAnsi="Arial" w:cs="Arial"/>
          <w:i w:val="0"/>
          <w:color w:val="auto"/>
          <w:sz w:val="16"/>
          <w:szCs w:val="16"/>
        </w:rPr>
        <w:t>Act</w:t>
      </w:r>
      <w:r w:rsidRPr="0038328A">
        <w:rPr>
          <w:rFonts w:ascii="Arial" w:hAnsi="Arial" w:cs="Arial"/>
          <w:i w:val="0"/>
          <w:color w:val="auto"/>
          <w:sz w:val="16"/>
          <w:szCs w:val="16"/>
          <w:lang w:val="x-none"/>
        </w:rPr>
        <w:t xml:space="preserve"> (No. 2) 2021-22</w:t>
      </w:r>
      <w:r w:rsidR="001E2C08" w:rsidRPr="001E2C08">
        <w:rPr>
          <w:rFonts w:ascii="Arial" w:hAnsi="Arial" w:cs="Arial"/>
          <w:i w:val="0"/>
          <w:color w:val="auto"/>
          <w:sz w:val="16"/>
          <w:szCs w:val="16"/>
          <w:lang w:val="x-none"/>
        </w:rPr>
        <w:t xml:space="preserve"> </w:t>
      </w:r>
      <w:r w:rsidR="001E2C08">
        <w:rPr>
          <w:rFonts w:ascii="Arial" w:hAnsi="Arial" w:cs="Arial"/>
          <w:i w:val="0"/>
          <w:color w:val="auto"/>
          <w:sz w:val="16"/>
          <w:szCs w:val="16"/>
        </w:rPr>
        <w:t xml:space="preserve">and </w:t>
      </w:r>
      <w:r w:rsidR="001E2C08" w:rsidRPr="0038328A">
        <w:rPr>
          <w:rFonts w:ascii="Arial" w:hAnsi="Arial" w:cs="Arial"/>
          <w:i w:val="0"/>
          <w:color w:val="auto"/>
          <w:sz w:val="16"/>
          <w:szCs w:val="16"/>
          <w:lang w:val="x-none"/>
        </w:rPr>
        <w:t xml:space="preserve">Appropriation Bill (No. </w:t>
      </w:r>
      <w:r w:rsidR="001E2C08">
        <w:rPr>
          <w:rFonts w:ascii="Arial" w:hAnsi="Arial" w:cs="Arial"/>
          <w:i w:val="0"/>
          <w:color w:val="auto"/>
          <w:sz w:val="16"/>
          <w:szCs w:val="16"/>
        </w:rPr>
        <w:t>4</w:t>
      </w:r>
      <w:r w:rsidR="001E2C08" w:rsidRPr="0038328A">
        <w:rPr>
          <w:rFonts w:ascii="Arial" w:hAnsi="Arial" w:cs="Arial"/>
          <w:i w:val="0"/>
          <w:color w:val="auto"/>
          <w:sz w:val="16"/>
          <w:szCs w:val="16"/>
          <w:lang w:val="x-none"/>
        </w:rPr>
        <w:t>) 2021-22.</w:t>
      </w:r>
      <w:r w:rsidR="001E2C08" w:rsidRPr="0038328A">
        <w:rPr>
          <w:rFonts w:ascii="Arial" w:hAnsi="Arial" w:cs="Arial"/>
          <w:i w:val="0"/>
          <w:color w:val="auto"/>
          <w:sz w:val="16"/>
          <w:szCs w:val="16"/>
        </w:rPr>
        <w:t xml:space="preserve"> </w:t>
      </w:r>
    </w:p>
    <w:p w14:paraId="4BA0936E" w14:textId="2FAE7A23" w:rsidR="0038328A" w:rsidRPr="0038328A" w:rsidRDefault="0038328A" w:rsidP="00BC44A7">
      <w:pPr>
        <w:pStyle w:val="TableGraphic"/>
        <w:numPr>
          <w:ilvl w:val="0"/>
          <w:numId w:val="39"/>
        </w:numPr>
        <w:ind w:left="284" w:hanging="284"/>
        <w:jc w:val="left"/>
        <w:rPr>
          <w:rFonts w:ascii="Arial" w:hAnsi="Arial" w:cs="Arial"/>
          <w:i w:val="0"/>
          <w:color w:val="auto"/>
          <w:sz w:val="16"/>
          <w:szCs w:val="16"/>
          <w:lang w:val="x-none"/>
        </w:rPr>
      </w:pPr>
      <w:r w:rsidRPr="0038328A">
        <w:rPr>
          <w:rFonts w:ascii="Arial" w:hAnsi="Arial" w:cs="Arial"/>
          <w:i w:val="0"/>
          <w:color w:val="auto"/>
          <w:sz w:val="16"/>
          <w:szCs w:val="16"/>
          <w:lang w:val="x-none"/>
        </w:rPr>
        <w:t xml:space="preserve">Funding provided by the portfolio </w:t>
      </w:r>
      <w:r w:rsidR="006A053E">
        <w:rPr>
          <w:rFonts w:ascii="Arial" w:hAnsi="Arial" w:cs="Arial"/>
          <w:i w:val="0"/>
          <w:color w:val="auto"/>
          <w:sz w:val="16"/>
          <w:szCs w:val="16"/>
        </w:rPr>
        <w:t>department</w:t>
      </w:r>
      <w:r w:rsidRPr="0038328A">
        <w:rPr>
          <w:rFonts w:ascii="Arial" w:hAnsi="Arial" w:cs="Arial"/>
          <w:i w:val="0"/>
          <w:color w:val="auto"/>
          <w:sz w:val="16"/>
          <w:szCs w:val="16"/>
          <w:lang w:val="x-none"/>
        </w:rPr>
        <w:t xml:space="preserve"> that is not specified within the Annual Appropriation Bills as a payment to the NFSA.</w:t>
      </w:r>
    </w:p>
    <w:p w14:paraId="60CC643D" w14:textId="77777777" w:rsidR="001E2C08" w:rsidRPr="001E2C08" w:rsidRDefault="001E2C08" w:rsidP="00BC44A7">
      <w:pPr>
        <w:spacing w:before="60" w:after="0" w:line="240" w:lineRule="auto"/>
        <w:jc w:val="left"/>
        <w:rPr>
          <w:rFonts w:ascii="Arial" w:hAnsi="Arial" w:cs="Arial"/>
          <w:sz w:val="16"/>
          <w:szCs w:val="16"/>
          <w:lang w:val="en-US"/>
        </w:rPr>
      </w:pPr>
      <w:r w:rsidRPr="001E2C08">
        <w:rPr>
          <w:rFonts w:ascii="Arial" w:hAnsi="Arial" w:cs="Arial"/>
          <w:sz w:val="16"/>
          <w:szCs w:val="16"/>
          <w:lang w:val="x-none"/>
        </w:rPr>
        <w:t>The NFSA is not directly appropriated as it is a Corporate Commonwealth Entity. Appropriations are made to the Department of Infrastructure, Transport, Regional Development and Communications (a Non-Corporate Commonwealth Entity), which are then paid to the NFSA and considered “Departmental” for all purposes</w:t>
      </w:r>
      <w:r w:rsidRPr="001E2C08">
        <w:rPr>
          <w:rFonts w:ascii="Arial" w:hAnsi="Arial" w:cs="Arial"/>
          <w:sz w:val="16"/>
          <w:szCs w:val="16"/>
          <w:lang w:val="en-US"/>
        </w:rPr>
        <w:t>.</w:t>
      </w:r>
    </w:p>
    <w:p w14:paraId="72891400" w14:textId="665CB434" w:rsidR="0048347B" w:rsidRDefault="00914885" w:rsidP="0048347B">
      <w:pPr>
        <w:pStyle w:val="TableHeading"/>
      </w:pPr>
      <w:r>
        <w:br w:type="page"/>
      </w:r>
    </w:p>
    <w:p w14:paraId="7B012703" w14:textId="1C12FA11" w:rsidR="00914885" w:rsidRPr="00643B7D" w:rsidRDefault="00914885" w:rsidP="008176BB">
      <w:pPr>
        <w:pStyle w:val="Heading3NFSA"/>
        <w:rPr>
          <w:lang w:val="en-AU"/>
        </w:rPr>
      </w:pPr>
      <w:bookmarkStart w:id="480" w:name="_Toc92991322"/>
      <w:bookmarkStart w:id="481" w:name="_Toc93405243"/>
      <w:r>
        <w:lastRenderedPageBreak/>
        <w:t>1.3</w:t>
      </w:r>
      <w:r>
        <w:tab/>
        <w:t xml:space="preserve">Entity </w:t>
      </w:r>
      <w:r>
        <w:rPr>
          <w:lang w:val="en-AU"/>
        </w:rPr>
        <w:t>measures</w:t>
      </w:r>
      <w:bookmarkEnd w:id="480"/>
      <w:bookmarkEnd w:id="481"/>
    </w:p>
    <w:p w14:paraId="70F8E831" w14:textId="77777777" w:rsidR="0048347B" w:rsidRPr="00486E77" w:rsidRDefault="0048347B" w:rsidP="0048347B">
      <w:pPr>
        <w:jc w:val="left"/>
      </w:pPr>
      <w:r>
        <w:t xml:space="preserve">Table 1.2 summarises new Government measures taken since the 2021-22 Budget. The table is split into receipt and payment measures, with the affected program </w:t>
      </w:r>
      <w:r w:rsidRPr="00486E77">
        <w:t>identified.</w:t>
      </w:r>
    </w:p>
    <w:p w14:paraId="17F08D50" w14:textId="092BE6F4" w:rsidR="0048347B" w:rsidRPr="00551219" w:rsidRDefault="0048347B" w:rsidP="0048347B">
      <w:pPr>
        <w:pStyle w:val="TableHeading"/>
        <w:rPr>
          <w:lang w:val="en-US"/>
        </w:rPr>
      </w:pPr>
      <w:r w:rsidRPr="00551219">
        <w:t xml:space="preserve">Table 1.2: </w:t>
      </w:r>
      <w:r w:rsidR="00090A8A" w:rsidRPr="00551219">
        <w:rPr>
          <w:lang w:val="en-AU"/>
        </w:rPr>
        <w:t>NFSA</w:t>
      </w:r>
      <w:r w:rsidR="00090A8A" w:rsidRPr="00551219">
        <w:t xml:space="preserve"> </w:t>
      </w:r>
      <w:r w:rsidRPr="00551219">
        <w:rPr>
          <w:lang w:val="en-AU"/>
        </w:rPr>
        <w:t xml:space="preserve">2021-22 </w:t>
      </w:r>
      <w:r w:rsidRPr="00551219">
        <w:rPr>
          <w:lang w:val="en-US"/>
        </w:rPr>
        <w:t>measures since Budget</w:t>
      </w:r>
    </w:p>
    <w:tbl>
      <w:tblPr>
        <w:tblW w:w="7516" w:type="dxa"/>
        <w:tblLook w:val="04A0" w:firstRow="1" w:lastRow="0" w:firstColumn="1" w:lastColumn="0" w:noHBand="0" w:noVBand="1"/>
      </w:tblPr>
      <w:tblGrid>
        <w:gridCol w:w="3119"/>
        <w:gridCol w:w="830"/>
        <w:gridCol w:w="850"/>
        <w:gridCol w:w="949"/>
        <w:gridCol w:w="906"/>
        <w:gridCol w:w="862"/>
      </w:tblGrid>
      <w:tr w:rsidR="00551219" w:rsidRPr="00551219" w14:paraId="60DD46F2" w14:textId="77777777" w:rsidTr="00530072">
        <w:trPr>
          <w:trHeight w:val="56"/>
        </w:trPr>
        <w:tc>
          <w:tcPr>
            <w:tcW w:w="3119" w:type="dxa"/>
            <w:tcBorders>
              <w:top w:val="single" w:sz="4" w:space="0" w:color="auto"/>
              <w:left w:val="nil"/>
              <w:bottom w:val="nil"/>
              <w:right w:val="nil"/>
            </w:tcBorders>
            <w:shd w:val="clear" w:color="auto" w:fill="auto"/>
            <w:noWrap/>
            <w:vAlign w:val="bottom"/>
            <w:hideMark/>
          </w:tcPr>
          <w:p w14:paraId="35959702" w14:textId="77777777" w:rsidR="00551219" w:rsidRPr="00551219" w:rsidRDefault="00551219" w:rsidP="00551219">
            <w:pPr>
              <w:spacing w:after="0" w:line="240" w:lineRule="auto"/>
              <w:jc w:val="left"/>
              <w:rPr>
                <w:rFonts w:ascii="Arial" w:hAnsi="Arial" w:cs="Arial"/>
                <w:sz w:val="16"/>
                <w:szCs w:val="16"/>
              </w:rPr>
            </w:pPr>
            <w:r w:rsidRPr="00551219">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14:paraId="46CF0769" w14:textId="77777777" w:rsidR="00551219" w:rsidRPr="00551219" w:rsidRDefault="00551219" w:rsidP="00551219">
            <w:pPr>
              <w:spacing w:after="0" w:line="240" w:lineRule="auto"/>
              <w:jc w:val="left"/>
              <w:rPr>
                <w:rFonts w:ascii="Arial" w:hAnsi="Arial" w:cs="Arial"/>
                <w:sz w:val="16"/>
                <w:szCs w:val="16"/>
              </w:rPr>
            </w:pPr>
            <w:r w:rsidRPr="00551219">
              <w:rPr>
                <w:rFonts w:ascii="Arial" w:hAnsi="Arial" w:cs="Arial"/>
                <w:sz w:val="16"/>
                <w:szCs w:val="16"/>
              </w:rPr>
              <w:t>Program</w:t>
            </w:r>
          </w:p>
        </w:tc>
        <w:tc>
          <w:tcPr>
            <w:tcW w:w="850" w:type="dxa"/>
            <w:tcBorders>
              <w:top w:val="single" w:sz="4" w:space="0" w:color="auto"/>
              <w:left w:val="nil"/>
              <w:bottom w:val="single" w:sz="4" w:space="0" w:color="auto"/>
              <w:right w:val="nil"/>
            </w:tcBorders>
            <w:shd w:val="clear" w:color="auto" w:fill="auto"/>
            <w:vAlign w:val="bottom"/>
            <w:hideMark/>
          </w:tcPr>
          <w:p w14:paraId="0F5C1F43" w14:textId="77777777" w:rsidR="00551219" w:rsidRPr="00551219" w:rsidRDefault="00551219" w:rsidP="00551219">
            <w:pPr>
              <w:spacing w:after="0" w:line="240" w:lineRule="auto"/>
              <w:jc w:val="right"/>
              <w:rPr>
                <w:rFonts w:ascii="Arial" w:hAnsi="Arial" w:cs="Arial"/>
                <w:sz w:val="16"/>
                <w:szCs w:val="16"/>
              </w:rPr>
            </w:pPr>
            <w:r w:rsidRPr="00551219">
              <w:rPr>
                <w:rFonts w:ascii="Arial" w:hAnsi="Arial" w:cs="Arial"/>
                <w:sz w:val="16"/>
                <w:szCs w:val="16"/>
              </w:rPr>
              <w:t>2021-22</w:t>
            </w:r>
            <w:r w:rsidRPr="00551219">
              <w:rPr>
                <w:rFonts w:ascii="Arial" w:hAnsi="Arial" w:cs="Arial"/>
                <w:sz w:val="16"/>
                <w:szCs w:val="16"/>
              </w:rPr>
              <w:br/>
              <w:t>$'000</w:t>
            </w:r>
          </w:p>
        </w:tc>
        <w:tc>
          <w:tcPr>
            <w:tcW w:w="949" w:type="dxa"/>
            <w:tcBorders>
              <w:top w:val="single" w:sz="4" w:space="0" w:color="auto"/>
              <w:left w:val="nil"/>
              <w:bottom w:val="single" w:sz="4" w:space="0" w:color="auto"/>
              <w:right w:val="nil"/>
            </w:tcBorders>
            <w:shd w:val="clear" w:color="000000" w:fill="E6E6E6"/>
            <w:vAlign w:val="bottom"/>
            <w:hideMark/>
          </w:tcPr>
          <w:p w14:paraId="5C281831" w14:textId="77777777" w:rsidR="00551219" w:rsidRPr="00551219" w:rsidRDefault="00551219" w:rsidP="00551219">
            <w:pPr>
              <w:spacing w:after="0" w:line="240" w:lineRule="auto"/>
              <w:jc w:val="right"/>
              <w:rPr>
                <w:rFonts w:ascii="Arial" w:hAnsi="Arial" w:cs="Arial"/>
                <w:sz w:val="16"/>
                <w:szCs w:val="16"/>
              </w:rPr>
            </w:pPr>
            <w:r w:rsidRPr="00551219">
              <w:rPr>
                <w:rFonts w:ascii="Arial" w:hAnsi="Arial" w:cs="Arial"/>
                <w:sz w:val="16"/>
                <w:szCs w:val="16"/>
              </w:rPr>
              <w:t>2022-23</w:t>
            </w:r>
            <w:r w:rsidRPr="00551219">
              <w:rPr>
                <w:rFonts w:ascii="Arial" w:hAnsi="Arial" w:cs="Arial"/>
                <w:sz w:val="16"/>
                <w:szCs w:val="16"/>
              </w:rPr>
              <w:br/>
              <w:t>$'000</w:t>
            </w:r>
          </w:p>
        </w:tc>
        <w:tc>
          <w:tcPr>
            <w:tcW w:w="906" w:type="dxa"/>
            <w:tcBorders>
              <w:top w:val="single" w:sz="4" w:space="0" w:color="auto"/>
              <w:left w:val="nil"/>
              <w:bottom w:val="single" w:sz="4" w:space="0" w:color="auto"/>
              <w:right w:val="nil"/>
            </w:tcBorders>
            <w:shd w:val="clear" w:color="auto" w:fill="auto"/>
            <w:vAlign w:val="bottom"/>
            <w:hideMark/>
          </w:tcPr>
          <w:p w14:paraId="0934FB40" w14:textId="77777777" w:rsidR="00551219" w:rsidRPr="00551219" w:rsidRDefault="00551219" w:rsidP="00551219">
            <w:pPr>
              <w:spacing w:after="0" w:line="240" w:lineRule="auto"/>
              <w:jc w:val="right"/>
              <w:rPr>
                <w:rFonts w:ascii="Arial" w:hAnsi="Arial" w:cs="Arial"/>
                <w:sz w:val="16"/>
                <w:szCs w:val="16"/>
              </w:rPr>
            </w:pPr>
            <w:r w:rsidRPr="00551219">
              <w:rPr>
                <w:rFonts w:ascii="Arial" w:hAnsi="Arial" w:cs="Arial"/>
                <w:sz w:val="16"/>
                <w:szCs w:val="16"/>
              </w:rPr>
              <w:t>2023-24</w:t>
            </w:r>
            <w:r w:rsidRPr="00551219">
              <w:rPr>
                <w:rFonts w:ascii="Arial" w:hAnsi="Arial" w:cs="Arial"/>
                <w:sz w:val="16"/>
                <w:szCs w:val="16"/>
              </w:rPr>
              <w:br/>
              <w:t>$'000</w:t>
            </w:r>
          </w:p>
        </w:tc>
        <w:tc>
          <w:tcPr>
            <w:tcW w:w="862" w:type="dxa"/>
            <w:tcBorders>
              <w:top w:val="single" w:sz="4" w:space="0" w:color="auto"/>
              <w:left w:val="nil"/>
              <w:bottom w:val="single" w:sz="4" w:space="0" w:color="auto"/>
              <w:right w:val="nil"/>
            </w:tcBorders>
            <w:shd w:val="clear" w:color="000000" w:fill="E6E6E6"/>
            <w:vAlign w:val="bottom"/>
            <w:hideMark/>
          </w:tcPr>
          <w:p w14:paraId="50978BDC" w14:textId="77777777" w:rsidR="00551219" w:rsidRPr="00551219" w:rsidRDefault="00551219" w:rsidP="00551219">
            <w:pPr>
              <w:spacing w:after="0" w:line="240" w:lineRule="auto"/>
              <w:jc w:val="right"/>
              <w:rPr>
                <w:rFonts w:ascii="Arial" w:hAnsi="Arial" w:cs="Arial"/>
                <w:sz w:val="16"/>
                <w:szCs w:val="16"/>
              </w:rPr>
            </w:pPr>
            <w:r w:rsidRPr="00551219">
              <w:rPr>
                <w:rFonts w:ascii="Arial" w:hAnsi="Arial" w:cs="Arial"/>
                <w:sz w:val="16"/>
                <w:szCs w:val="16"/>
              </w:rPr>
              <w:t>2024-25</w:t>
            </w:r>
            <w:r w:rsidRPr="00551219">
              <w:rPr>
                <w:rFonts w:ascii="Arial" w:hAnsi="Arial" w:cs="Arial"/>
                <w:sz w:val="16"/>
                <w:szCs w:val="16"/>
              </w:rPr>
              <w:br/>
              <w:t>$'000</w:t>
            </w:r>
          </w:p>
        </w:tc>
      </w:tr>
      <w:tr w:rsidR="00551219" w:rsidRPr="00551219" w14:paraId="4B7E7DA0" w14:textId="77777777" w:rsidTr="00D812C6">
        <w:trPr>
          <w:trHeight w:val="204"/>
        </w:trPr>
        <w:tc>
          <w:tcPr>
            <w:tcW w:w="3119" w:type="dxa"/>
            <w:tcBorders>
              <w:top w:val="nil"/>
              <w:left w:val="nil"/>
              <w:bottom w:val="nil"/>
              <w:right w:val="nil"/>
            </w:tcBorders>
            <w:shd w:val="clear" w:color="auto" w:fill="auto"/>
            <w:vAlign w:val="bottom"/>
            <w:hideMark/>
          </w:tcPr>
          <w:p w14:paraId="23F78B75" w14:textId="77777777" w:rsidR="00551219" w:rsidRPr="00551219" w:rsidRDefault="00551219" w:rsidP="00551219">
            <w:pPr>
              <w:spacing w:after="0" w:line="240" w:lineRule="auto"/>
              <w:jc w:val="left"/>
              <w:rPr>
                <w:rFonts w:ascii="Arial" w:hAnsi="Arial" w:cs="Arial"/>
                <w:b/>
                <w:bCs/>
                <w:sz w:val="16"/>
                <w:szCs w:val="16"/>
              </w:rPr>
            </w:pPr>
            <w:r w:rsidRPr="00551219">
              <w:rPr>
                <w:rFonts w:ascii="Arial" w:hAnsi="Arial" w:cs="Arial"/>
                <w:b/>
                <w:bCs/>
                <w:sz w:val="16"/>
                <w:szCs w:val="16"/>
              </w:rPr>
              <w:t xml:space="preserve">Payment measures </w:t>
            </w:r>
          </w:p>
        </w:tc>
        <w:tc>
          <w:tcPr>
            <w:tcW w:w="830" w:type="dxa"/>
            <w:tcBorders>
              <w:top w:val="nil"/>
              <w:left w:val="nil"/>
              <w:bottom w:val="nil"/>
              <w:right w:val="nil"/>
            </w:tcBorders>
            <w:shd w:val="clear" w:color="auto" w:fill="auto"/>
            <w:noWrap/>
            <w:vAlign w:val="bottom"/>
            <w:hideMark/>
          </w:tcPr>
          <w:p w14:paraId="6AADBD4D" w14:textId="77777777" w:rsidR="00551219" w:rsidRPr="00551219" w:rsidRDefault="00551219" w:rsidP="00551219">
            <w:pPr>
              <w:spacing w:after="0" w:line="240" w:lineRule="auto"/>
              <w:jc w:val="right"/>
              <w:rPr>
                <w:rFonts w:ascii="Arial" w:hAnsi="Arial" w:cs="Arial"/>
                <w:b/>
                <w:bCs/>
                <w:sz w:val="16"/>
                <w:szCs w:val="16"/>
              </w:rPr>
            </w:pPr>
          </w:p>
        </w:tc>
        <w:tc>
          <w:tcPr>
            <w:tcW w:w="850" w:type="dxa"/>
            <w:tcBorders>
              <w:top w:val="nil"/>
              <w:left w:val="nil"/>
              <w:bottom w:val="nil"/>
              <w:right w:val="nil"/>
            </w:tcBorders>
            <w:shd w:val="clear" w:color="auto" w:fill="auto"/>
            <w:noWrap/>
            <w:vAlign w:val="bottom"/>
            <w:hideMark/>
          </w:tcPr>
          <w:p w14:paraId="26441CD9" w14:textId="77777777" w:rsidR="00551219" w:rsidRPr="00551219" w:rsidRDefault="00551219" w:rsidP="00551219">
            <w:pPr>
              <w:spacing w:after="0" w:line="240" w:lineRule="auto"/>
              <w:jc w:val="right"/>
              <w:rPr>
                <w:rFonts w:ascii="Arial" w:hAnsi="Arial" w:cs="Arial"/>
                <w:sz w:val="16"/>
                <w:szCs w:val="16"/>
              </w:rPr>
            </w:pPr>
          </w:p>
        </w:tc>
        <w:tc>
          <w:tcPr>
            <w:tcW w:w="949" w:type="dxa"/>
            <w:tcBorders>
              <w:top w:val="nil"/>
              <w:left w:val="nil"/>
              <w:bottom w:val="nil"/>
              <w:right w:val="nil"/>
            </w:tcBorders>
            <w:shd w:val="clear" w:color="000000" w:fill="E6E6E6"/>
            <w:noWrap/>
            <w:vAlign w:val="bottom"/>
            <w:hideMark/>
          </w:tcPr>
          <w:p w14:paraId="1E137D90" w14:textId="2148DE21" w:rsidR="00551219" w:rsidRPr="00551219" w:rsidRDefault="00551219" w:rsidP="00551219">
            <w:pPr>
              <w:spacing w:after="0" w:line="240" w:lineRule="auto"/>
              <w:jc w:val="right"/>
              <w:rPr>
                <w:rFonts w:ascii="Arial" w:hAnsi="Arial" w:cs="Arial"/>
                <w:sz w:val="16"/>
                <w:szCs w:val="16"/>
              </w:rPr>
            </w:pPr>
          </w:p>
        </w:tc>
        <w:tc>
          <w:tcPr>
            <w:tcW w:w="906" w:type="dxa"/>
            <w:tcBorders>
              <w:top w:val="nil"/>
              <w:left w:val="nil"/>
              <w:bottom w:val="nil"/>
              <w:right w:val="nil"/>
            </w:tcBorders>
            <w:shd w:val="clear" w:color="auto" w:fill="auto"/>
            <w:noWrap/>
            <w:vAlign w:val="bottom"/>
            <w:hideMark/>
          </w:tcPr>
          <w:p w14:paraId="6CC4B0C9" w14:textId="77777777" w:rsidR="00551219" w:rsidRPr="00551219" w:rsidRDefault="00551219" w:rsidP="00551219">
            <w:pPr>
              <w:spacing w:after="0" w:line="240" w:lineRule="auto"/>
              <w:jc w:val="right"/>
              <w:rPr>
                <w:rFonts w:ascii="Arial" w:hAnsi="Arial" w:cs="Arial"/>
                <w:sz w:val="16"/>
                <w:szCs w:val="16"/>
              </w:rPr>
            </w:pPr>
          </w:p>
        </w:tc>
        <w:tc>
          <w:tcPr>
            <w:tcW w:w="862" w:type="dxa"/>
            <w:tcBorders>
              <w:top w:val="nil"/>
              <w:left w:val="nil"/>
              <w:bottom w:val="nil"/>
              <w:right w:val="nil"/>
            </w:tcBorders>
            <w:shd w:val="clear" w:color="000000" w:fill="E6E6E6"/>
            <w:noWrap/>
            <w:vAlign w:val="bottom"/>
            <w:hideMark/>
          </w:tcPr>
          <w:p w14:paraId="50BF070E" w14:textId="037E4E51" w:rsidR="00551219" w:rsidRPr="00551219" w:rsidRDefault="00551219" w:rsidP="00551219">
            <w:pPr>
              <w:spacing w:after="0" w:line="240" w:lineRule="auto"/>
              <w:jc w:val="right"/>
              <w:rPr>
                <w:rFonts w:ascii="Arial" w:hAnsi="Arial" w:cs="Arial"/>
                <w:sz w:val="16"/>
                <w:szCs w:val="16"/>
              </w:rPr>
            </w:pPr>
          </w:p>
        </w:tc>
      </w:tr>
      <w:tr w:rsidR="00551219" w:rsidRPr="00551219" w14:paraId="41B73AEB" w14:textId="77777777" w:rsidTr="00D812C6">
        <w:trPr>
          <w:trHeight w:val="204"/>
        </w:trPr>
        <w:tc>
          <w:tcPr>
            <w:tcW w:w="3119" w:type="dxa"/>
            <w:tcBorders>
              <w:top w:val="nil"/>
              <w:left w:val="nil"/>
              <w:bottom w:val="nil"/>
              <w:right w:val="nil"/>
            </w:tcBorders>
            <w:shd w:val="clear" w:color="auto" w:fill="auto"/>
            <w:vAlign w:val="bottom"/>
            <w:hideMark/>
          </w:tcPr>
          <w:p w14:paraId="4EA63F49" w14:textId="77777777" w:rsidR="00551219" w:rsidRPr="00551219" w:rsidRDefault="00551219" w:rsidP="00551219">
            <w:pPr>
              <w:spacing w:after="0" w:line="240" w:lineRule="auto"/>
              <w:jc w:val="left"/>
              <w:rPr>
                <w:rFonts w:ascii="Arial" w:hAnsi="Arial" w:cs="Arial"/>
                <w:sz w:val="16"/>
                <w:szCs w:val="16"/>
              </w:rPr>
            </w:pPr>
            <w:r w:rsidRPr="00551219">
              <w:rPr>
                <w:rFonts w:ascii="Arial" w:hAnsi="Arial" w:cs="Arial"/>
                <w:sz w:val="16"/>
                <w:szCs w:val="16"/>
              </w:rPr>
              <w:t>National Collecting Institutions - Upgrading Digital Capacity</w:t>
            </w:r>
          </w:p>
        </w:tc>
        <w:tc>
          <w:tcPr>
            <w:tcW w:w="830" w:type="dxa"/>
            <w:tcBorders>
              <w:top w:val="nil"/>
              <w:left w:val="nil"/>
              <w:bottom w:val="nil"/>
              <w:right w:val="nil"/>
            </w:tcBorders>
            <w:shd w:val="clear" w:color="auto" w:fill="auto"/>
            <w:noWrap/>
            <w:vAlign w:val="bottom"/>
            <w:hideMark/>
          </w:tcPr>
          <w:p w14:paraId="5AD6BD64" w14:textId="734DBEBB" w:rsidR="00551219" w:rsidRPr="00551219" w:rsidRDefault="00551219" w:rsidP="00D812C6">
            <w:pPr>
              <w:spacing w:after="0" w:line="240" w:lineRule="auto"/>
              <w:jc w:val="center"/>
              <w:rPr>
                <w:rFonts w:ascii="Arial" w:hAnsi="Arial" w:cs="Arial"/>
                <w:sz w:val="16"/>
                <w:szCs w:val="16"/>
              </w:rPr>
            </w:pPr>
            <w:r w:rsidRPr="00551219">
              <w:rPr>
                <w:rFonts w:ascii="Arial" w:hAnsi="Arial" w:cs="Arial"/>
                <w:sz w:val="16"/>
                <w:szCs w:val="16"/>
              </w:rPr>
              <w:t>1.1</w:t>
            </w:r>
          </w:p>
        </w:tc>
        <w:tc>
          <w:tcPr>
            <w:tcW w:w="850" w:type="dxa"/>
            <w:tcBorders>
              <w:top w:val="nil"/>
              <w:left w:val="nil"/>
              <w:bottom w:val="nil"/>
              <w:right w:val="nil"/>
            </w:tcBorders>
            <w:shd w:val="clear" w:color="auto" w:fill="auto"/>
            <w:noWrap/>
            <w:vAlign w:val="bottom"/>
            <w:hideMark/>
          </w:tcPr>
          <w:p w14:paraId="7B2C986A" w14:textId="77777777" w:rsidR="00551219" w:rsidRPr="00551219" w:rsidRDefault="00551219" w:rsidP="00551219">
            <w:pPr>
              <w:spacing w:after="0" w:line="240" w:lineRule="auto"/>
              <w:jc w:val="right"/>
              <w:rPr>
                <w:rFonts w:ascii="Arial" w:hAnsi="Arial" w:cs="Arial"/>
                <w:sz w:val="16"/>
                <w:szCs w:val="16"/>
              </w:rPr>
            </w:pPr>
          </w:p>
        </w:tc>
        <w:tc>
          <w:tcPr>
            <w:tcW w:w="949" w:type="dxa"/>
            <w:tcBorders>
              <w:top w:val="nil"/>
              <w:left w:val="nil"/>
              <w:bottom w:val="nil"/>
              <w:right w:val="nil"/>
            </w:tcBorders>
            <w:shd w:val="clear" w:color="000000" w:fill="E6E6E6"/>
            <w:noWrap/>
            <w:vAlign w:val="bottom"/>
            <w:hideMark/>
          </w:tcPr>
          <w:p w14:paraId="78E01AB5" w14:textId="089AEF98" w:rsidR="00551219" w:rsidRPr="00551219" w:rsidRDefault="00551219" w:rsidP="00551219">
            <w:pPr>
              <w:spacing w:after="0" w:line="240" w:lineRule="auto"/>
              <w:jc w:val="right"/>
              <w:rPr>
                <w:rFonts w:ascii="Arial" w:hAnsi="Arial" w:cs="Arial"/>
                <w:sz w:val="16"/>
                <w:szCs w:val="16"/>
              </w:rPr>
            </w:pPr>
          </w:p>
        </w:tc>
        <w:tc>
          <w:tcPr>
            <w:tcW w:w="906" w:type="dxa"/>
            <w:tcBorders>
              <w:top w:val="nil"/>
              <w:left w:val="nil"/>
              <w:bottom w:val="nil"/>
              <w:right w:val="nil"/>
            </w:tcBorders>
            <w:shd w:val="clear" w:color="auto" w:fill="auto"/>
            <w:noWrap/>
            <w:vAlign w:val="bottom"/>
            <w:hideMark/>
          </w:tcPr>
          <w:p w14:paraId="486D89DD" w14:textId="77777777" w:rsidR="00551219" w:rsidRPr="00551219" w:rsidRDefault="00551219" w:rsidP="00551219">
            <w:pPr>
              <w:spacing w:after="0" w:line="240" w:lineRule="auto"/>
              <w:jc w:val="right"/>
              <w:rPr>
                <w:rFonts w:ascii="Arial" w:hAnsi="Arial" w:cs="Arial"/>
                <w:sz w:val="16"/>
                <w:szCs w:val="16"/>
              </w:rPr>
            </w:pPr>
          </w:p>
        </w:tc>
        <w:tc>
          <w:tcPr>
            <w:tcW w:w="862" w:type="dxa"/>
            <w:tcBorders>
              <w:top w:val="nil"/>
              <w:left w:val="nil"/>
              <w:bottom w:val="nil"/>
              <w:right w:val="nil"/>
            </w:tcBorders>
            <w:shd w:val="clear" w:color="000000" w:fill="E6E6E6"/>
            <w:noWrap/>
            <w:vAlign w:val="bottom"/>
            <w:hideMark/>
          </w:tcPr>
          <w:p w14:paraId="2D4EC3B8" w14:textId="3AE63DCF" w:rsidR="00551219" w:rsidRPr="00551219" w:rsidRDefault="00551219" w:rsidP="00551219">
            <w:pPr>
              <w:spacing w:after="0" w:line="240" w:lineRule="auto"/>
              <w:jc w:val="right"/>
              <w:rPr>
                <w:rFonts w:ascii="Arial" w:hAnsi="Arial" w:cs="Arial"/>
                <w:sz w:val="16"/>
                <w:szCs w:val="16"/>
              </w:rPr>
            </w:pPr>
          </w:p>
        </w:tc>
      </w:tr>
      <w:tr w:rsidR="00551219" w:rsidRPr="00551219" w14:paraId="5C31B3C2" w14:textId="77777777" w:rsidTr="00553851">
        <w:trPr>
          <w:trHeight w:val="204"/>
        </w:trPr>
        <w:tc>
          <w:tcPr>
            <w:tcW w:w="3119" w:type="dxa"/>
            <w:tcBorders>
              <w:top w:val="nil"/>
              <w:left w:val="nil"/>
              <w:bottom w:val="nil"/>
              <w:right w:val="nil"/>
            </w:tcBorders>
            <w:shd w:val="clear" w:color="auto" w:fill="auto"/>
            <w:noWrap/>
            <w:vAlign w:val="bottom"/>
            <w:hideMark/>
          </w:tcPr>
          <w:p w14:paraId="2D5C1161" w14:textId="1BF9936C" w:rsidR="00551219" w:rsidRPr="00551219" w:rsidRDefault="008863D9" w:rsidP="00551219">
            <w:pPr>
              <w:spacing w:after="0" w:line="240" w:lineRule="auto"/>
              <w:ind w:left="113"/>
              <w:jc w:val="left"/>
              <w:rPr>
                <w:rFonts w:ascii="Arial" w:hAnsi="Arial" w:cs="Arial"/>
                <w:sz w:val="16"/>
                <w:szCs w:val="16"/>
              </w:rPr>
            </w:pPr>
            <w:r>
              <w:rPr>
                <w:rFonts w:ascii="Arial" w:hAnsi="Arial" w:cs="Arial"/>
                <w:sz w:val="16"/>
                <w:szCs w:val="16"/>
              </w:rPr>
              <w:t>Department</w:t>
            </w:r>
            <w:r w:rsidR="00551219" w:rsidRPr="00551219">
              <w:rPr>
                <w:rFonts w:ascii="Arial" w:hAnsi="Arial" w:cs="Arial"/>
                <w:sz w:val="16"/>
                <w:szCs w:val="16"/>
              </w:rPr>
              <w:t xml:space="preserve">al </w:t>
            </w:r>
            <w:r w:rsidR="001346D5">
              <w:rPr>
                <w:rFonts w:ascii="Arial" w:hAnsi="Arial" w:cs="Arial"/>
                <w:sz w:val="16"/>
                <w:szCs w:val="16"/>
              </w:rPr>
              <w:t>payments</w:t>
            </w:r>
          </w:p>
        </w:tc>
        <w:tc>
          <w:tcPr>
            <w:tcW w:w="830" w:type="dxa"/>
            <w:tcBorders>
              <w:top w:val="nil"/>
              <w:left w:val="nil"/>
              <w:bottom w:val="nil"/>
              <w:right w:val="nil"/>
            </w:tcBorders>
            <w:shd w:val="clear" w:color="auto" w:fill="auto"/>
            <w:noWrap/>
            <w:vAlign w:val="bottom"/>
            <w:hideMark/>
          </w:tcPr>
          <w:p w14:paraId="40137F12" w14:textId="77777777" w:rsidR="00551219" w:rsidRPr="00551219" w:rsidRDefault="00551219" w:rsidP="00551219">
            <w:pPr>
              <w:spacing w:after="0" w:line="240" w:lineRule="auto"/>
              <w:ind w:firstLineChars="100" w:firstLine="160"/>
              <w:jc w:val="right"/>
              <w:rPr>
                <w:rFonts w:ascii="Arial" w:hAnsi="Arial" w:cs="Arial"/>
                <w:sz w:val="16"/>
                <w:szCs w:val="16"/>
              </w:rPr>
            </w:pPr>
          </w:p>
        </w:tc>
        <w:tc>
          <w:tcPr>
            <w:tcW w:w="850" w:type="dxa"/>
            <w:tcBorders>
              <w:top w:val="nil"/>
              <w:left w:val="nil"/>
              <w:right w:val="nil"/>
            </w:tcBorders>
            <w:shd w:val="clear" w:color="auto" w:fill="auto"/>
            <w:noWrap/>
            <w:vAlign w:val="bottom"/>
            <w:hideMark/>
          </w:tcPr>
          <w:p w14:paraId="46FE9E4B" w14:textId="53BC1DE2" w:rsidR="00551219" w:rsidRPr="00551219" w:rsidRDefault="00551219" w:rsidP="00551219">
            <w:pPr>
              <w:spacing w:after="0" w:line="240" w:lineRule="auto"/>
              <w:jc w:val="right"/>
              <w:rPr>
                <w:rFonts w:ascii="Arial" w:hAnsi="Arial" w:cs="Arial"/>
                <w:sz w:val="16"/>
                <w:szCs w:val="16"/>
              </w:rPr>
            </w:pPr>
            <w:r w:rsidRPr="00551219">
              <w:rPr>
                <w:rFonts w:ascii="Arial" w:hAnsi="Arial" w:cs="Arial"/>
                <w:sz w:val="16"/>
                <w:szCs w:val="16"/>
              </w:rPr>
              <w:t>6,460</w:t>
            </w:r>
          </w:p>
        </w:tc>
        <w:tc>
          <w:tcPr>
            <w:tcW w:w="949" w:type="dxa"/>
            <w:tcBorders>
              <w:top w:val="nil"/>
              <w:left w:val="nil"/>
              <w:right w:val="nil"/>
            </w:tcBorders>
            <w:shd w:val="clear" w:color="000000" w:fill="E6E6E6"/>
            <w:noWrap/>
            <w:vAlign w:val="bottom"/>
            <w:hideMark/>
          </w:tcPr>
          <w:p w14:paraId="310B8B66" w14:textId="0A06496B" w:rsidR="00551219" w:rsidRPr="00551219" w:rsidRDefault="00551219" w:rsidP="00551219">
            <w:pPr>
              <w:spacing w:after="0" w:line="240" w:lineRule="auto"/>
              <w:jc w:val="right"/>
              <w:rPr>
                <w:rFonts w:ascii="Arial" w:hAnsi="Arial" w:cs="Arial"/>
                <w:sz w:val="16"/>
                <w:szCs w:val="16"/>
              </w:rPr>
            </w:pPr>
            <w:r w:rsidRPr="00551219">
              <w:rPr>
                <w:rFonts w:ascii="Arial" w:hAnsi="Arial" w:cs="Arial"/>
                <w:sz w:val="16"/>
                <w:szCs w:val="16"/>
              </w:rPr>
              <w:t>11,901</w:t>
            </w:r>
          </w:p>
        </w:tc>
        <w:tc>
          <w:tcPr>
            <w:tcW w:w="906" w:type="dxa"/>
            <w:tcBorders>
              <w:top w:val="nil"/>
              <w:left w:val="nil"/>
              <w:right w:val="nil"/>
            </w:tcBorders>
            <w:shd w:val="clear" w:color="auto" w:fill="auto"/>
            <w:noWrap/>
            <w:vAlign w:val="bottom"/>
            <w:hideMark/>
          </w:tcPr>
          <w:p w14:paraId="22EF8DF7" w14:textId="3C698D8C" w:rsidR="00551219" w:rsidRPr="00551219" w:rsidRDefault="00551219" w:rsidP="00551219">
            <w:pPr>
              <w:spacing w:after="0" w:line="240" w:lineRule="auto"/>
              <w:jc w:val="right"/>
              <w:rPr>
                <w:rFonts w:ascii="Arial" w:hAnsi="Arial" w:cs="Arial"/>
                <w:sz w:val="16"/>
                <w:szCs w:val="16"/>
              </w:rPr>
            </w:pPr>
            <w:r w:rsidRPr="00551219">
              <w:rPr>
                <w:rFonts w:ascii="Arial" w:hAnsi="Arial" w:cs="Arial"/>
                <w:sz w:val="16"/>
                <w:szCs w:val="16"/>
              </w:rPr>
              <w:t>13,667</w:t>
            </w:r>
          </w:p>
        </w:tc>
        <w:tc>
          <w:tcPr>
            <w:tcW w:w="862" w:type="dxa"/>
            <w:tcBorders>
              <w:top w:val="nil"/>
              <w:left w:val="nil"/>
              <w:right w:val="nil"/>
            </w:tcBorders>
            <w:shd w:val="clear" w:color="000000" w:fill="E6E6E6"/>
            <w:noWrap/>
            <w:vAlign w:val="bottom"/>
            <w:hideMark/>
          </w:tcPr>
          <w:p w14:paraId="5B260243" w14:textId="2E87695E" w:rsidR="00551219" w:rsidRPr="00551219" w:rsidRDefault="00551219" w:rsidP="00551219">
            <w:pPr>
              <w:spacing w:after="0" w:line="240" w:lineRule="auto"/>
              <w:jc w:val="right"/>
              <w:rPr>
                <w:rFonts w:ascii="Arial" w:hAnsi="Arial" w:cs="Arial"/>
                <w:sz w:val="16"/>
                <w:szCs w:val="16"/>
              </w:rPr>
            </w:pPr>
            <w:r w:rsidRPr="00551219">
              <w:rPr>
                <w:rFonts w:ascii="Arial" w:hAnsi="Arial" w:cs="Arial"/>
                <w:sz w:val="16"/>
                <w:szCs w:val="16"/>
              </w:rPr>
              <w:t>9,895</w:t>
            </w:r>
          </w:p>
        </w:tc>
      </w:tr>
      <w:tr w:rsidR="001346D5" w:rsidRPr="00551219" w14:paraId="27189A46" w14:textId="77777777" w:rsidTr="00553851">
        <w:trPr>
          <w:trHeight w:val="204"/>
        </w:trPr>
        <w:tc>
          <w:tcPr>
            <w:tcW w:w="3119" w:type="dxa"/>
            <w:tcBorders>
              <w:top w:val="nil"/>
              <w:left w:val="nil"/>
              <w:bottom w:val="nil"/>
              <w:right w:val="nil"/>
            </w:tcBorders>
            <w:shd w:val="clear" w:color="auto" w:fill="auto"/>
            <w:vAlign w:val="bottom"/>
            <w:hideMark/>
          </w:tcPr>
          <w:p w14:paraId="79C9F722" w14:textId="77777777" w:rsidR="001346D5" w:rsidRPr="00551219" w:rsidRDefault="001346D5" w:rsidP="001346D5">
            <w:pPr>
              <w:spacing w:after="0" w:line="240" w:lineRule="auto"/>
              <w:jc w:val="left"/>
              <w:rPr>
                <w:rFonts w:ascii="Arial" w:hAnsi="Arial" w:cs="Arial"/>
                <w:b/>
                <w:bCs/>
                <w:sz w:val="16"/>
                <w:szCs w:val="16"/>
              </w:rPr>
            </w:pPr>
            <w:r w:rsidRPr="00551219">
              <w:rPr>
                <w:rFonts w:ascii="Arial" w:hAnsi="Arial" w:cs="Arial"/>
                <w:b/>
                <w:bCs/>
                <w:sz w:val="16"/>
                <w:szCs w:val="16"/>
              </w:rPr>
              <w:t>Total</w:t>
            </w:r>
          </w:p>
        </w:tc>
        <w:tc>
          <w:tcPr>
            <w:tcW w:w="830" w:type="dxa"/>
            <w:tcBorders>
              <w:top w:val="nil"/>
              <w:left w:val="nil"/>
              <w:bottom w:val="nil"/>
              <w:right w:val="nil"/>
            </w:tcBorders>
            <w:shd w:val="clear" w:color="auto" w:fill="auto"/>
            <w:noWrap/>
            <w:vAlign w:val="bottom"/>
            <w:hideMark/>
          </w:tcPr>
          <w:p w14:paraId="541AD580" w14:textId="77777777" w:rsidR="001346D5" w:rsidRPr="00551219" w:rsidRDefault="001346D5" w:rsidP="001346D5">
            <w:pPr>
              <w:spacing w:after="0" w:line="240" w:lineRule="auto"/>
              <w:jc w:val="right"/>
              <w:rPr>
                <w:rFonts w:ascii="Arial" w:hAnsi="Arial" w:cs="Arial"/>
                <w:b/>
                <w:bCs/>
                <w:sz w:val="16"/>
                <w:szCs w:val="16"/>
              </w:rPr>
            </w:pPr>
          </w:p>
        </w:tc>
        <w:tc>
          <w:tcPr>
            <w:tcW w:w="850" w:type="dxa"/>
            <w:tcBorders>
              <w:top w:val="nil"/>
              <w:left w:val="nil"/>
              <w:bottom w:val="single" w:sz="4" w:space="0" w:color="auto"/>
              <w:right w:val="nil"/>
            </w:tcBorders>
            <w:shd w:val="clear" w:color="auto" w:fill="auto"/>
            <w:noWrap/>
            <w:vAlign w:val="bottom"/>
            <w:hideMark/>
          </w:tcPr>
          <w:p w14:paraId="247D7CF9" w14:textId="14BBF53A" w:rsidR="001346D5" w:rsidRPr="001346D5" w:rsidRDefault="001346D5" w:rsidP="001346D5">
            <w:pPr>
              <w:spacing w:after="0" w:line="240" w:lineRule="auto"/>
              <w:jc w:val="right"/>
              <w:rPr>
                <w:rFonts w:ascii="Arial" w:hAnsi="Arial" w:cs="Arial"/>
                <w:b/>
                <w:sz w:val="16"/>
                <w:szCs w:val="16"/>
              </w:rPr>
            </w:pPr>
            <w:r w:rsidRPr="001346D5">
              <w:rPr>
                <w:rFonts w:ascii="Arial" w:hAnsi="Arial" w:cs="Arial"/>
                <w:b/>
                <w:sz w:val="16"/>
                <w:szCs w:val="16"/>
              </w:rPr>
              <w:t>6,460</w:t>
            </w:r>
          </w:p>
        </w:tc>
        <w:tc>
          <w:tcPr>
            <w:tcW w:w="949" w:type="dxa"/>
            <w:tcBorders>
              <w:top w:val="nil"/>
              <w:left w:val="nil"/>
              <w:bottom w:val="single" w:sz="4" w:space="0" w:color="auto"/>
              <w:right w:val="nil"/>
            </w:tcBorders>
            <w:shd w:val="clear" w:color="000000" w:fill="E6E6E6"/>
            <w:noWrap/>
            <w:vAlign w:val="bottom"/>
            <w:hideMark/>
          </w:tcPr>
          <w:p w14:paraId="7D301E64" w14:textId="09BB6D91" w:rsidR="001346D5" w:rsidRPr="001346D5" w:rsidRDefault="001346D5" w:rsidP="001346D5">
            <w:pPr>
              <w:spacing w:after="0" w:line="240" w:lineRule="auto"/>
              <w:jc w:val="right"/>
              <w:rPr>
                <w:rFonts w:ascii="Arial" w:hAnsi="Arial" w:cs="Arial"/>
                <w:b/>
                <w:sz w:val="16"/>
                <w:szCs w:val="16"/>
              </w:rPr>
            </w:pPr>
            <w:r w:rsidRPr="001346D5">
              <w:rPr>
                <w:rFonts w:ascii="Arial" w:hAnsi="Arial" w:cs="Arial"/>
                <w:b/>
                <w:sz w:val="16"/>
                <w:szCs w:val="16"/>
              </w:rPr>
              <w:t>11,901</w:t>
            </w:r>
          </w:p>
        </w:tc>
        <w:tc>
          <w:tcPr>
            <w:tcW w:w="906" w:type="dxa"/>
            <w:tcBorders>
              <w:top w:val="nil"/>
              <w:left w:val="nil"/>
              <w:bottom w:val="single" w:sz="4" w:space="0" w:color="auto"/>
              <w:right w:val="nil"/>
            </w:tcBorders>
            <w:shd w:val="clear" w:color="auto" w:fill="auto"/>
            <w:noWrap/>
            <w:vAlign w:val="bottom"/>
            <w:hideMark/>
          </w:tcPr>
          <w:p w14:paraId="3A0ADC89" w14:textId="76670FB1" w:rsidR="001346D5" w:rsidRPr="001346D5" w:rsidRDefault="001346D5" w:rsidP="001346D5">
            <w:pPr>
              <w:spacing w:after="0" w:line="240" w:lineRule="auto"/>
              <w:jc w:val="right"/>
              <w:rPr>
                <w:rFonts w:ascii="Arial" w:hAnsi="Arial" w:cs="Arial"/>
                <w:b/>
                <w:sz w:val="16"/>
                <w:szCs w:val="16"/>
              </w:rPr>
            </w:pPr>
            <w:r w:rsidRPr="001346D5">
              <w:rPr>
                <w:rFonts w:ascii="Arial" w:hAnsi="Arial" w:cs="Arial"/>
                <w:b/>
                <w:sz w:val="16"/>
                <w:szCs w:val="16"/>
              </w:rPr>
              <w:t>13,667</w:t>
            </w:r>
          </w:p>
        </w:tc>
        <w:tc>
          <w:tcPr>
            <w:tcW w:w="862" w:type="dxa"/>
            <w:tcBorders>
              <w:top w:val="nil"/>
              <w:left w:val="nil"/>
              <w:bottom w:val="single" w:sz="4" w:space="0" w:color="auto"/>
              <w:right w:val="nil"/>
            </w:tcBorders>
            <w:shd w:val="clear" w:color="000000" w:fill="E6E6E6"/>
            <w:noWrap/>
            <w:vAlign w:val="bottom"/>
            <w:hideMark/>
          </w:tcPr>
          <w:p w14:paraId="4DBB5780" w14:textId="6AD1E618" w:rsidR="001346D5" w:rsidRPr="001346D5" w:rsidRDefault="001346D5" w:rsidP="001346D5">
            <w:pPr>
              <w:spacing w:after="0" w:line="240" w:lineRule="auto"/>
              <w:jc w:val="right"/>
              <w:rPr>
                <w:rFonts w:ascii="Arial" w:hAnsi="Arial" w:cs="Arial"/>
                <w:b/>
                <w:sz w:val="16"/>
                <w:szCs w:val="16"/>
              </w:rPr>
            </w:pPr>
            <w:r w:rsidRPr="001346D5">
              <w:rPr>
                <w:rFonts w:ascii="Arial" w:hAnsi="Arial" w:cs="Arial"/>
                <w:b/>
                <w:sz w:val="16"/>
                <w:szCs w:val="16"/>
              </w:rPr>
              <w:t>9,895</w:t>
            </w:r>
          </w:p>
        </w:tc>
      </w:tr>
      <w:tr w:rsidR="001346D5" w:rsidRPr="00551219" w14:paraId="260184A1" w14:textId="77777777" w:rsidTr="00553851">
        <w:trPr>
          <w:trHeight w:val="204"/>
        </w:trPr>
        <w:tc>
          <w:tcPr>
            <w:tcW w:w="3119" w:type="dxa"/>
            <w:tcBorders>
              <w:top w:val="nil"/>
              <w:left w:val="nil"/>
              <w:bottom w:val="nil"/>
              <w:right w:val="nil"/>
            </w:tcBorders>
            <w:shd w:val="clear" w:color="auto" w:fill="auto"/>
            <w:vAlign w:val="bottom"/>
            <w:hideMark/>
          </w:tcPr>
          <w:p w14:paraId="75E341EC" w14:textId="77777777" w:rsidR="001346D5" w:rsidRPr="00551219" w:rsidRDefault="001346D5" w:rsidP="001346D5">
            <w:pPr>
              <w:spacing w:after="0" w:line="240" w:lineRule="auto"/>
              <w:jc w:val="left"/>
              <w:rPr>
                <w:rFonts w:ascii="Arial" w:hAnsi="Arial" w:cs="Arial"/>
                <w:b/>
                <w:bCs/>
                <w:sz w:val="16"/>
                <w:szCs w:val="16"/>
              </w:rPr>
            </w:pPr>
            <w:r w:rsidRPr="00551219">
              <w:rPr>
                <w:rFonts w:ascii="Arial" w:hAnsi="Arial" w:cs="Arial"/>
                <w:b/>
                <w:bCs/>
                <w:sz w:val="16"/>
                <w:szCs w:val="16"/>
              </w:rPr>
              <w:t>Total payment measures</w:t>
            </w:r>
          </w:p>
        </w:tc>
        <w:tc>
          <w:tcPr>
            <w:tcW w:w="830" w:type="dxa"/>
            <w:tcBorders>
              <w:top w:val="nil"/>
              <w:left w:val="nil"/>
              <w:bottom w:val="nil"/>
              <w:right w:val="nil"/>
            </w:tcBorders>
            <w:shd w:val="clear" w:color="auto" w:fill="auto"/>
            <w:noWrap/>
            <w:vAlign w:val="bottom"/>
            <w:hideMark/>
          </w:tcPr>
          <w:p w14:paraId="2A64FA6A" w14:textId="77777777" w:rsidR="001346D5" w:rsidRPr="00551219" w:rsidRDefault="001346D5" w:rsidP="001346D5">
            <w:pPr>
              <w:spacing w:after="0" w:line="240" w:lineRule="auto"/>
              <w:jc w:val="right"/>
              <w:rPr>
                <w:rFonts w:ascii="Arial" w:hAnsi="Arial" w:cs="Arial"/>
                <w:b/>
                <w:bCs/>
                <w:sz w:val="16"/>
                <w:szCs w:val="16"/>
              </w:rPr>
            </w:pPr>
          </w:p>
        </w:tc>
        <w:tc>
          <w:tcPr>
            <w:tcW w:w="850" w:type="dxa"/>
            <w:tcBorders>
              <w:top w:val="single" w:sz="4" w:space="0" w:color="auto"/>
              <w:left w:val="nil"/>
              <w:bottom w:val="nil"/>
              <w:right w:val="nil"/>
            </w:tcBorders>
            <w:shd w:val="clear" w:color="auto" w:fill="auto"/>
            <w:noWrap/>
            <w:vAlign w:val="bottom"/>
            <w:hideMark/>
          </w:tcPr>
          <w:p w14:paraId="7EE77BC3" w14:textId="77777777" w:rsidR="001346D5" w:rsidRPr="00551219" w:rsidRDefault="001346D5" w:rsidP="001346D5">
            <w:pPr>
              <w:spacing w:after="0" w:line="240" w:lineRule="auto"/>
              <w:jc w:val="right"/>
              <w:rPr>
                <w:rFonts w:ascii="Arial" w:hAnsi="Arial" w:cs="Arial"/>
                <w:sz w:val="16"/>
                <w:szCs w:val="16"/>
              </w:rPr>
            </w:pPr>
          </w:p>
        </w:tc>
        <w:tc>
          <w:tcPr>
            <w:tcW w:w="949" w:type="dxa"/>
            <w:tcBorders>
              <w:top w:val="single" w:sz="4" w:space="0" w:color="auto"/>
              <w:left w:val="nil"/>
              <w:bottom w:val="nil"/>
              <w:right w:val="nil"/>
            </w:tcBorders>
            <w:shd w:val="clear" w:color="000000" w:fill="E6E6E6"/>
            <w:noWrap/>
            <w:vAlign w:val="bottom"/>
            <w:hideMark/>
          </w:tcPr>
          <w:p w14:paraId="1183DE14" w14:textId="5F6352E3" w:rsidR="001346D5" w:rsidRPr="00551219" w:rsidRDefault="001346D5" w:rsidP="001346D5">
            <w:pPr>
              <w:spacing w:after="0" w:line="240" w:lineRule="auto"/>
              <w:jc w:val="right"/>
              <w:rPr>
                <w:rFonts w:ascii="Arial" w:hAnsi="Arial" w:cs="Arial"/>
                <w:sz w:val="16"/>
                <w:szCs w:val="16"/>
              </w:rPr>
            </w:pPr>
          </w:p>
        </w:tc>
        <w:tc>
          <w:tcPr>
            <w:tcW w:w="906" w:type="dxa"/>
            <w:tcBorders>
              <w:top w:val="single" w:sz="4" w:space="0" w:color="auto"/>
              <w:left w:val="nil"/>
              <w:bottom w:val="nil"/>
              <w:right w:val="nil"/>
            </w:tcBorders>
            <w:shd w:val="clear" w:color="auto" w:fill="auto"/>
            <w:noWrap/>
            <w:vAlign w:val="bottom"/>
            <w:hideMark/>
          </w:tcPr>
          <w:p w14:paraId="0AEB7106" w14:textId="77777777" w:rsidR="001346D5" w:rsidRPr="00551219" w:rsidRDefault="001346D5" w:rsidP="001346D5">
            <w:pPr>
              <w:spacing w:after="0" w:line="240" w:lineRule="auto"/>
              <w:jc w:val="right"/>
              <w:rPr>
                <w:rFonts w:ascii="Arial" w:hAnsi="Arial" w:cs="Arial"/>
                <w:sz w:val="16"/>
                <w:szCs w:val="16"/>
              </w:rPr>
            </w:pPr>
          </w:p>
        </w:tc>
        <w:tc>
          <w:tcPr>
            <w:tcW w:w="862" w:type="dxa"/>
            <w:tcBorders>
              <w:top w:val="single" w:sz="4" w:space="0" w:color="auto"/>
              <w:left w:val="nil"/>
              <w:bottom w:val="nil"/>
              <w:right w:val="nil"/>
            </w:tcBorders>
            <w:shd w:val="clear" w:color="000000" w:fill="E6E6E6"/>
            <w:noWrap/>
            <w:vAlign w:val="bottom"/>
            <w:hideMark/>
          </w:tcPr>
          <w:p w14:paraId="055B98CC" w14:textId="006FAA7B" w:rsidR="001346D5" w:rsidRPr="00551219" w:rsidRDefault="001346D5" w:rsidP="001346D5">
            <w:pPr>
              <w:spacing w:after="0" w:line="240" w:lineRule="auto"/>
              <w:jc w:val="right"/>
              <w:rPr>
                <w:rFonts w:ascii="Arial" w:hAnsi="Arial" w:cs="Arial"/>
                <w:sz w:val="16"/>
                <w:szCs w:val="16"/>
              </w:rPr>
            </w:pPr>
          </w:p>
        </w:tc>
      </w:tr>
      <w:tr w:rsidR="001346D5" w:rsidRPr="00551219" w14:paraId="3CD8AD60" w14:textId="77777777" w:rsidTr="00D812C6">
        <w:trPr>
          <w:trHeight w:val="204"/>
        </w:trPr>
        <w:tc>
          <w:tcPr>
            <w:tcW w:w="3119" w:type="dxa"/>
            <w:tcBorders>
              <w:top w:val="nil"/>
              <w:left w:val="nil"/>
              <w:bottom w:val="nil"/>
              <w:right w:val="nil"/>
            </w:tcBorders>
            <w:shd w:val="clear" w:color="auto" w:fill="auto"/>
            <w:noWrap/>
            <w:vAlign w:val="bottom"/>
            <w:hideMark/>
          </w:tcPr>
          <w:p w14:paraId="2349E902" w14:textId="22E465D8" w:rsidR="001346D5" w:rsidRPr="00551219" w:rsidRDefault="008863D9" w:rsidP="001346D5">
            <w:pPr>
              <w:spacing w:after="0" w:line="240" w:lineRule="auto"/>
              <w:jc w:val="left"/>
              <w:rPr>
                <w:rFonts w:ascii="Arial" w:hAnsi="Arial" w:cs="Arial"/>
                <w:sz w:val="16"/>
                <w:szCs w:val="16"/>
              </w:rPr>
            </w:pPr>
            <w:r>
              <w:rPr>
                <w:rFonts w:ascii="Arial" w:hAnsi="Arial" w:cs="Arial"/>
                <w:sz w:val="16"/>
                <w:szCs w:val="16"/>
              </w:rPr>
              <w:t>Department</w:t>
            </w:r>
            <w:r w:rsidR="001346D5" w:rsidRPr="00551219">
              <w:rPr>
                <w:rFonts w:ascii="Arial" w:hAnsi="Arial" w:cs="Arial"/>
                <w:sz w:val="16"/>
                <w:szCs w:val="16"/>
              </w:rPr>
              <w:t xml:space="preserve">al </w:t>
            </w:r>
          </w:p>
        </w:tc>
        <w:tc>
          <w:tcPr>
            <w:tcW w:w="830" w:type="dxa"/>
            <w:tcBorders>
              <w:top w:val="nil"/>
              <w:left w:val="nil"/>
              <w:bottom w:val="nil"/>
              <w:right w:val="nil"/>
            </w:tcBorders>
            <w:shd w:val="clear" w:color="auto" w:fill="auto"/>
            <w:noWrap/>
            <w:vAlign w:val="bottom"/>
            <w:hideMark/>
          </w:tcPr>
          <w:p w14:paraId="657CC75E" w14:textId="77777777" w:rsidR="001346D5" w:rsidRPr="00551219" w:rsidRDefault="001346D5" w:rsidP="001346D5">
            <w:pPr>
              <w:spacing w:after="0" w:line="240" w:lineRule="auto"/>
              <w:jc w:val="righ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7EF95296" w14:textId="71F58B5D" w:rsidR="001346D5" w:rsidRPr="00551219" w:rsidRDefault="001346D5" w:rsidP="001346D5">
            <w:pPr>
              <w:spacing w:after="0" w:line="240" w:lineRule="auto"/>
              <w:jc w:val="right"/>
              <w:rPr>
                <w:rFonts w:ascii="Arial" w:hAnsi="Arial" w:cs="Arial"/>
                <w:sz w:val="16"/>
                <w:szCs w:val="16"/>
              </w:rPr>
            </w:pPr>
            <w:r w:rsidRPr="00551219">
              <w:rPr>
                <w:rFonts w:ascii="Arial" w:hAnsi="Arial" w:cs="Arial"/>
                <w:sz w:val="16"/>
                <w:szCs w:val="16"/>
              </w:rPr>
              <w:t>6,460</w:t>
            </w:r>
          </w:p>
        </w:tc>
        <w:tc>
          <w:tcPr>
            <w:tcW w:w="949" w:type="dxa"/>
            <w:tcBorders>
              <w:top w:val="nil"/>
              <w:left w:val="nil"/>
              <w:bottom w:val="nil"/>
              <w:right w:val="nil"/>
            </w:tcBorders>
            <w:shd w:val="clear" w:color="000000" w:fill="E6E6E6"/>
            <w:noWrap/>
            <w:vAlign w:val="bottom"/>
            <w:hideMark/>
          </w:tcPr>
          <w:p w14:paraId="3DE244D8" w14:textId="61407EE4" w:rsidR="001346D5" w:rsidRPr="00551219" w:rsidRDefault="001346D5" w:rsidP="001346D5">
            <w:pPr>
              <w:spacing w:after="0" w:line="240" w:lineRule="auto"/>
              <w:jc w:val="right"/>
              <w:rPr>
                <w:rFonts w:ascii="Arial" w:hAnsi="Arial" w:cs="Arial"/>
                <w:sz w:val="16"/>
                <w:szCs w:val="16"/>
              </w:rPr>
            </w:pPr>
            <w:r w:rsidRPr="00551219">
              <w:rPr>
                <w:rFonts w:ascii="Arial" w:hAnsi="Arial" w:cs="Arial"/>
                <w:sz w:val="16"/>
                <w:szCs w:val="16"/>
              </w:rPr>
              <w:t>11,901</w:t>
            </w:r>
          </w:p>
        </w:tc>
        <w:tc>
          <w:tcPr>
            <w:tcW w:w="906" w:type="dxa"/>
            <w:tcBorders>
              <w:top w:val="nil"/>
              <w:left w:val="nil"/>
              <w:bottom w:val="nil"/>
              <w:right w:val="nil"/>
            </w:tcBorders>
            <w:shd w:val="clear" w:color="auto" w:fill="auto"/>
            <w:noWrap/>
            <w:vAlign w:val="bottom"/>
            <w:hideMark/>
          </w:tcPr>
          <w:p w14:paraId="2C77F227" w14:textId="227B4FD6" w:rsidR="001346D5" w:rsidRPr="00551219" w:rsidRDefault="001346D5" w:rsidP="001346D5">
            <w:pPr>
              <w:spacing w:after="0" w:line="240" w:lineRule="auto"/>
              <w:jc w:val="right"/>
              <w:rPr>
                <w:rFonts w:ascii="Arial" w:hAnsi="Arial" w:cs="Arial"/>
                <w:sz w:val="16"/>
                <w:szCs w:val="16"/>
              </w:rPr>
            </w:pPr>
            <w:r w:rsidRPr="00551219">
              <w:rPr>
                <w:rFonts w:ascii="Arial" w:hAnsi="Arial" w:cs="Arial"/>
                <w:sz w:val="16"/>
                <w:szCs w:val="16"/>
              </w:rPr>
              <w:t>13,667</w:t>
            </w:r>
          </w:p>
        </w:tc>
        <w:tc>
          <w:tcPr>
            <w:tcW w:w="862" w:type="dxa"/>
            <w:tcBorders>
              <w:top w:val="nil"/>
              <w:left w:val="nil"/>
              <w:bottom w:val="nil"/>
              <w:right w:val="nil"/>
            </w:tcBorders>
            <w:shd w:val="clear" w:color="000000" w:fill="E6E6E6"/>
            <w:noWrap/>
            <w:vAlign w:val="bottom"/>
            <w:hideMark/>
          </w:tcPr>
          <w:p w14:paraId="10919A49" w14:textId="5DFD04D8" w:rsidR="001346D5" w:rsidRPr="00551219" w:rsidRDefault="001346D5" w:rsidP="001346D5">
            <w:pPr>
              <w:spacing w:after="0" w:line="240" w:lineRule="auto"/>
              <w:jc w:val="right"/>
              <w:rPr>
                <w:rFonts w:ascii="Arial" w:hAnsi="Arial" w:cs="Arial"/>
                <w:sz w:val="16"/>
                <w:szCs w:val="16"/>
              </w:rPr>
            </w:pPr>
            <w:r w:rsidRPr="00551219">
              <w:rPr>
                <w:rFonts w:ascii="Arial" w:hAnsi="Arial" w:cs="Arial"/>
                <w:sz w:val="16"/>
                <w:szCs w:val="16"/>
              </w:rPr>
              <w:t>9,895</w:t>
            </w:r>
          </w:p>
        </w:tc>
      </w:tr>
      <w:tr w:rsidR="001346D5" w:rsidRPr="00551219" w14:paraId="7F98EC54" w14:textId="77777777" w:rsidTr="00D812C6">
        <w:trPr>
          <w:trHeight w:val="204"/>
        </w:trPr>
        <w:tc>
          <w:tcPr>
            <w:tcW w:w="3119" w:type="dxa"/>
            <w:tcBorders>
              <w:top w:val="nil"/>
              <w:left w:val="nil"/>
              <w:bottom w:val="single" w:sz="4" w:space="0" w:color="auto"/>
              <w:right w:val="nil"/>
            </w:tcBorders>
            <w:shd w:val="clear" w:color="auto" w:fill="auto"/>
            <w:noWrap/>
            <w:vAlign w:val="bottom"/>
            <w:hideMark/>
          </w:tcPr>
          <w:p w14:paraId="5F8000F5" w14:textId="77777777" w:rsidR="001346D5" w:rsidRPr="00551219" w:rsidRDefault="001346D5" w:rsidP="001346D5">
            <w:pPr>
              <w:spacing w:after="0" w:line="240" w:lineRule="auto"/>
              <w:jc w:val="left"/>
              <w:rPr>
                <w:rFonts w:ascii="Arial" w:hAnsi="Arial" w:cs="Arial"/>
                <w:b/>
                <w:bCs/>
                <w:sz w:val="16"/>
                <w:szCs w:val="16"/>
              </w:rPr>
            </w:pPr>
            <w:r w:rsidRPr="00551219">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vAlign w:val="bottom"/>
            <w:hideMark/>
          </w:tcPr>
          <w:p w14:paraId="4CB1A2FA" w14:textId="4EAFC316" w:rsidR="001346D5" w:rsidRPr="00551219" w:rsidRDefault="001346D5" w:rsidP="001346D5">
            <w:pPr>
              <w:spacing w:after="0" w:line="240" w:lineRule="auto"/>
              <w:jc w:val="right"/>
              <w:rPr>
                <w:rFonts w:ascii="Arial" w:hAnsi="Arial" w:cs="Arial"/>
                <w:b/>
                <w:bCs/>
                <w:sz w:val="16"/>
                <w:szCs w:val="16"/>
              </w:rPr>
            </w:pPr>
          </w:p>
        </w:tc>
        <w:tc>
          <w:tcPr>
            <w:tcW w:w="850" w:type="dxa"/>
            <w:tcBorders>
              <w:top w:val="nil"/>
              <w:left w:val="nil"/>
              <w:bottom w:val="single" w:sz="4" w:space="0" w:color="auto"/>
              <w:right w:val="nil"/>
            </w:tcBorders>
            <w:shd w:val="clear" w:color="auto" w:fill="auto"/>
            <w:noWrap/>
            <w:vAlign w:val="bottom"/>
            <w:hideMark/>
          </w:tcPr>
          <w:p w14:paraId="55C620D8" w14:textId="38AA3AEB" w:rsidR="001346D5" w:rsidRPr="00551219" w:rsidRDefault="001346D5" w:rsidP="001346D5">
            <w:pPr>
              <w:spacing w:after="0" w:line="240" w:lineRule="auto"/>
              <w:jc w:val="right"/>
              <w:rPr>
                <w:rFonts w:ascii="Arial" w:hAnsi="Arial" w:cs="Arial"/>
                <w:b/>
                <w:bCs/>
                <w:sz w:val="16"/>
                <w:szCs w:val="16"/>
              </w:rPr>
            </w:pPr>
            <w:r w:rsidRPr="00551219">
              <w:rPr>
                <w:rFonts w:ascii="Arial" w:hAnsi="Arial" w:cs="Arial"/>
                <w:b/>
                <w:bCs/>
                <w:sz w:val="16"/>
                <w:szCs w:val="16"/>
              </w:rPr>
              <w:t>6,460</w:t>
            </w:r>
          </w:p>
        </w:tc>
        <w:tc>
          <w:tcPr>
            <w:tcW w:w="949" w:type="dxa"/>
            <w:tcBorders>
              <w:top w:val="nil"/>
              <w:left w:val="nil"/>
              <w:bottom w:val="single" w:sz="4" w:space="0" w:color="auto"/>
              <w:right w:val="nil"/>
            </w:tcBorders>
            <w:shd w:val="clear" w:color="000000" w:fill="E6E6E6"/>
            <w:noWrap/>
            <w:vAlign w:val="bottom"/>
            <w:hideMark/>
          </w:tcPr>
          <w:p w14:paraId="2CE6D802" w14:textId="382485FA" w:rsidR="001346D5" w:rsidRPr="00551219" w:rsidRDefault="001346D5" w:rsidP="001346D5">
            <w:pPr>
              <w:spacing w:after="0" w:line="240" w:lineRule="auto"/>
              <w:jc w:val="right"/>
              <w:rPr>
                <w:rFonts w:ascii="Arial" w:hAnsi="Arial" w:cs="Arial"/>
                <w:b/>
                <w:bCs/>
                <w:sz w:val="16"/>
                <w:szCs w:val="16"/>
              </w:rPr>
            </w:pPr>
            <w:r w:rsidRPr="00551219">
              <w:rPr>
                <w:rFonts w:ascii="Arial" w:hAnsi="Arial" w:cs="Arial"/>
                <w:b/>
                <w:bCs/>
                <w:sz w:val="16"/>
                <w:szCs w:val="16"/>
              </w:rPr>
              <w:t>11,901</w:t>
            </w:r>
          </w:p>
        </w:tc>
        <w:tc>
          <w:tcPr>
            <w:tcW w:w="906" w:type="dxa"/>
            <w:tcBorders>
              <w:top w:val="nil"/>
              <w:left w:val="nil"/>
              <w:bottom w:val="single" w:sz="4" w:space="0" w:color="auto"/>
              <w:right w:val="nil"/>
            </w:tcBorders>
            <w:shd w:val="clear" w:color="auto" w:fill="auto"/>
            <w:noWrap/>
            <w:vAlign w:val="bottom"/>
            <w:hideMark/>
          </w:tcPr>
          <w:p w14:paraId="2EF9A0E4" w14:textId="4F954D1E" w:rsidR="001346D5" w:rsidRPr="00551219" w:rsidRDefault="001346D5" w:rsidP="001346D5">
            <w:pPr>
              <w:spacing w:after="0" w:line="240" w:lineRule="auto"/>
              <w:jc w:val="right"/>
              <w:rPr>
                <w:rFonts w:ascii="Arial" w:hAnsi="Arial" w:cs="Arial"/>
                <w:b/>
                <w:bCs/>
                <w:sz w:val="16"/>
                <w:szCs w:val="16"/>
              </w:rPr>
            </w:pPr>
            <w:r w:rsidRPr="00551219">
              <w:rPr>
                <w:rFonts w:ascii="Arial" w:hAnsi="Arial" w:cs="Arial"/>
                <w:b/>
                <w:bCs/>
                <w:sz w:val="16"/>
                <w:szCs w:val="16"/>
              </w:rPr>
              <w:t>13,667</w:t>
            </w:r>
          </w:p>
        </w:tc>
        <w:tc>
          <w:tcPr>
            <w:tcW w:w="862" w:type="dxa"/>
            <w:tcBorders>
              <w:top w:val="nil"/>
              <w:left w:val="nil"/>
              <w:bottom w:val="single" w:sz="4" w:space="0" w:color="auto"/>
              <w:right w:val="nil"/>
            </w:tcBorders>
            <w:shd w:val="clear" w:color="000000" w:fill="E6E6E6"/>
            <w:noWrap/>
            <w:vAlign w:val="bottom"/>
            <w:hideMark/>
          </w:tcPr>
          <w:p w14:paraId="399E0E57" w14:textId="6CF7670C" w:rsidR="001346D5" w:rsidRPr="00551219" w:rsidRDefault="001346D5" w:rsidP="001346D5">
            <w:pPr>
              <w:spacing w:after="0" w:line="240" w:lineRule="auto"/>
              <w:jc w:val="right"/>
              <w:rPr>
                <w:rFonts w:ascii="Arial" w:hAnsi="Arial" w:cs="Arial"/>
                <w:b/>
                <w:bCs/>
                <w:sz w:val="16"/>
                <w:szCs w:val="16"/>
              </w:rPr>
            </w:pPr>
            <w:r w:rsidRPr="00551219">
              <w:rPr>
                <w:rFonts w:ascii="Arial" w:hAnsi="Arial" w:cs="Arial"/>
                <w:b/>
                <w:bCs/>
                <w:sz w:val="16"/>
                <w:szCs w:val="16"/>
              </w:rPr>
              <w:t>9,895</w:t>
            </w:r>
          </w:p>
        </w:tc>
      </w:tr>
    </w:tbl>
    <w:p w14:paraId="7447C5D3" w14:textId="75F2BDD1" w:rsidR="00551219" w:rsidRPr="00551219" w:rsidRDefault="00551219" w:rsidP="00D538B1">
      <w:pPr>
        <w:pStyle w:val="TableGraphic"/>
        <w:spacing w:before="60"/>
        <w:ind w:right="56"/>
        <w:rPr>
          <w:rFonts w:ascii="Arial" w:hAnsi="Arial" w:cs="Arial"/>
          <w:i w:val="0"/>
          <w:color w:val="auto"/>
          <w:sz w:val="16"/>
          <w:highlight w:val="yellow"/>
          <w:lang w:val="en-US"/>
        </w:rPr>
      </w:pPr>
      <w:r w:rsidRPr="00551219">
        <w:rPr>
          <w:rFonts w:ascii="Arial" w:hAnsi="Arial" w:cs="Arial"/>
          <w:i w:val="0"/>
          <w:color w:val="auto"/>
          <w:sz w:val="16"/>
          <w:lang w:val="en-US"/>
        </w:rPr>
        <w:t>Figures displayed as a negative (-) represent a decrease in funds and a positive (+) represent an increase in funds.</w:t>
      </w:r>
    </w:p>
    <w:p w14:paraId="38BEACAF" w14:textId="24A2ED1C" w:rsidR="00914885" w:rsidRPr="001E1BB6" w:rsidRDefault="00914885" w:rsidP="008176BB">
      <w:pPr>
        <w:pStyle w:val="Heading3NFSA"/>
        <w:rPr>
          <w:lang w:val="en-AU"/>
        </w:rPr>
      </w:pPr>
      <w:bookmarkStart w:id="482" w:name="_Toc92991323"/>
      <w:bookmarkStart w:id="483" w:name="_Toc93405244"/>
      <w:r>
        <w:t>1.4</w:t>
      </w:r>
      <w:r>
        <w:tab/>
        <w:t>Additional estimates</w:t>
      </w:r>
      <w:r>
        <w:rPr>
          <w:lang w:val="en-AU"/>
        </w:rPr>
        <w:t>, resourcing</w:t>
      </w:r>
      <w:r>
        <w:t xml:space="preserve"> and v</w:t>
      </w:r>
      <w:r w:rsidRPr="00597122">
        <w:t>ariations</w:t>
      </w:r>
      <w:r>
        <w:rPr>
          <w:lang w:val="en-AU"/>
        </w:rPr>
        <w:t xml:space="preserve"> to outcomes</w:t>
      </w:r>
      <w:bookmarkEnd w:id="482"/>
      <w:bookmarkEnd w:id="483"/>
    </w:p>
    <w:p w14:paraId="65FE9F50" w14:textId="2236A321" w:rsidR="005829F4" w:rsidRPr="00312E93" w:rsidRDefault="005829F4" w:rsidP="005829F4">
      <w:pPr>
        <w:jc w:val="left"/>
      </w:pPr>
      <w:r w:rsidRPr="00D81F65">
        <w:t>The following table detail</w:t>
      </w:r>
      <w:r w:rsidR="00216824">
        <w:t>s</w:t>
      </w:r>
      <w:r w:rsidRPr="00D81F65">
        <w:t xml:space="preserve"> the changes to the resourcing for </w:t>
      </w:r>
      <w:r>
        <w:t xml:space="preserve">the </w:t>
      </w:r>
      <w:r w:rsidR="00090A8A">
        <w:t>NFSA</w:t>
      </w:r>
      <w:r w:rsidR="00090A8A" w:rsidRPr="00D81F65">
        <w:t xml:space="preserve"> </w:t>
      </w:r>
      <w:r w:rsidRPr="00D81F65">
        <w:t xml:space="preserve">at Additional Estimates, by outcome. Table 1.3 details the additional estimates resulting from new measures and other variations since the </w:t>
      </w:r>
      <w:r>
        <w:t>2021-22</w:t>
      </w:r>
      <w:r w:rsidRPr="00D81F65">
        <w:t xml:space="preserve"> Budget in Appropriation Bills Nos. 3 and 4. </w:t>
      </w:r>
    </w:p>
    <w:p w14:paraId="7432ADFB" w14:textId="77777777" w:rsidR="005829F4" w:rsidRPr="00E87485" w:rsidRDefault="005829F4" w:rsidP="005829F4">
      <w:pPr>
        <w:pStyle w:val="TableHeading"/>
      </w:pPr>
      <w:r w:rsidRPr="00E87485">
        <w:t>Table 1.3: Additional estimates and other variations to outcomes since 202</w:t>
      </w:r>
      <w:r w:rsidRPr="00E87485">
        <w:rPr>
          <w:lang w:val="en-GB"/>
        </w:rPr>
        <w:t>1</w:t>
      </w:r>
      <w:r w:rsidRPr="00E87485">
        <w:rPr>
          <w:rFonts w:hint="eastAsia"/>
        </w:rPr>
        <w:t>–</w:t>
      </w:r>
      <w:r w:rsidRPr="00E87485">
        <w:t>2</w:t>
      </w:r>
      <w:r w:rsidRPr="00E87485">
        <w:rPr>
          <w:lang w:val="en-GB"/>
        </w:rPr>
        <w:t>2</w:t>
      </w:r>
      <w:r w:rsidRPr="00E87485">
        <w:t xml:space="preserve"> Budget</w:t>
      </w:r>
    </w:p>
    <w:tbl>
      <w:tblPr>
        <w:tblW w:w="7411" w:type="dxa"/>
        <w:tblLook w:val="04A0" w:firstRow="1" w:lastRow="0" w:firstColumn="1" w:lastColumn="0" w:noHBand="0" w:noVBand="1"/>
      </w:tblPr>
      <w:tblGrid>
        <w:gridCol w:w="3119"/>
        <w:gridCol w:w="866"/>
        <w:gridCol w:w="858"/>
        <w:gridCol w:w="856"/>
        <w:gridCol w:w="856"/>
        <w:gridCol w:w="856"/>
      </w:tblGrid>
      <w:tr w:rsidR="00E87485" w:rsidRPr="00A742DC" w14:paraId="25E394C2" w14:textId="77777777" w:rsidTr="00530072">
        <w:trPr>
          <w:trHeight w:val="71"/>
        </w:trPr>
        <w:tc>
          <w:tcPr>
            <w:tcW w:w="3119" w:type="dxa"/>
            <w:tcBorders>
              <w:top w:val="single" w:sz="4" w:space="0" w:color="auto"/>
              <w:left w:val="nil"/>
              <w:bottom w:val="nil"/>
              <w:right w:val="nil"/>
            </w:tcBorders>
            <w:shd w:val="clear" w:color="auto" w:fill="auto"/>
            <w:noWrap/>
            <w:hideMark/>
          </w:tcPr>
          <w:p w14:paraId="6A6047BE" w14:textId="77777777" w:rsidR="00E87485" w:rsidRPr="00A742DC" w:rsidRDefault="00E87485" w:rsidP="00E87485">
            <w:pPr>
              <w:spacing w:after="0" w:line="240" w:lineRule="auto"/>
              <w:jc w:val="left"/>
              <w:rPr>
                <w:rFonts w:ascii="Arial" w:hAnsi="Arial" w:cs="Arial"/>
                <w:color w:val="000000"/>
                <w:sz w:val="16"/>
                <w:szCs w:val="16"/>
              </w:rPr>
            </w:pPr>
            <w:r w:rsidRPr="00A742DC">
              <w:rPr>
                <w:rFonts w:ascii="Arial" w:hAnsi="Arial" w:cs="Arial"/>
                <w:color w:val="000000"/>
                <w:sz w:val="16"/>
                <w:szCs w:val="16"/>
              </w:rPr>
              <w:t> </w:t>
            </w:r>
          </w:p>
        </w:tc>
        <w:tc>
          <w:tcPr>
            <w:tcW w:w="866" w:type="dxa"/>
            <w:tcBorders>
              <w:top w:val="single" w:sz="4" w:space="0" w:color="auto"/>
              <w:left w:val="nil"/>
              <w:bottom w:val="single" w:sz="4" w:space="0" w:color="auto"/>
              <w:right w:val="nil"/>
            </w:tcBorders>
            <w:shd w:val="clear" w:color="auto" w:fill="auto"/>
            <w:hideMark/>
          </w:tcPr>
          <w:p w14:paraId="0AAD28F5" w14:textId="77777777" w:rsidR="00E87485" w:rsidRPr="00A742DC" w:rsidRDefault="00E87485" w:rsidP="00E87485">
            <w:pPr>
              <w:spacing w:after="0" w:line="240" w:lineRule="auto"/>
              <w:jc w:val="center"/>
              <w:rPr>
                <w:rFonts w:ascii="Arial" w:hAnsi="Arial" w:cs="Arial"/>
                <w:color w:val="000000"/>
                <w:sz w:val="16"/>
                <w:szCs w:val="16"/>
              </w:rPr>
            </w:pPr>
            <w:r w:rsidRPr="00A742DC">
              <w:rPr>
                <w:rFonts w:ascii="Arial" w:hAnsi="Arial" w:cs="Arial"/>
                <w:color w:val="000000"/>
                <w:sz w:val="16"/>
                <w:szCs w:val="16"/>
              </w:rPr>
              <w:t>Program impacted</w:t>
            </w:r>
          </w:p>
        </w:tc>
        <w:tc>
          <w:tcPr>
            <w:tcW w:w="858" w:type="dxa"/>
            <w:tcBorders>
              <w:top w:val="single" w:sz="4" w:space="0" w:color="auto"/>
              <w:left w:val="nil"/>
              <w:bottom w:val="single" w:sz="4" w:space="0" w:color="auto"/>
              <w:right w:val="nil"/>
            </w:tcBorders>
            <w:shd w:val="clear" w:color="000000" w:fill="E6E6E6"/>
            <w:hideMark/>
          </w:tcPr>
          <w:p w14:paraId="3008E5D1" w14:textId="77777777" w:rsidR="00E87485" w:rsidRPr="00A742DC" w:rsidRDefault="00E87485" w:rsidP="00E87485">
            <w:pPr>
              <w:spacing w:after="0" w:line="240" w:lineRule="auto"/>
              <w:jc w:val="right"/>
              <w:rPr>
                <w:rFonts w:ascii="Arial" w:hAnsi="Arial" w:cs="Arial"/>
                <w:sz w:val="16"/>
                <w:szCs w:val="16"/>
              </w:rPr>
            </w:pPr>
            <w:r w:rsidRPr="00A742DC">
              <w:rPr>
                <w:rFonts w:ascii="Arial" w:hAnsi="Arial" w:cs="Arial"/>
                <w:sz w:val="16"/>
                <w:szCs w:val="16"/>
              </w:rPr>
              <w:t>2021-22</w:t>
            </w:r>
            <w:r w:rsidRPr="00A742DC">
              <w:rPr>
                <w:rFonts w:ascii="Arial" w:hAnsi="Arial" w:cs="Arial"/>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60656036" w14:textId="77777777" w:rsidR="00E87485" w:rsidRPr="00A742DC" w:rsidRDefault="00E87485" w:rsidP="00E87485">
            <w:pPr>
              <w:spacing w:after="0" w:line="240" w:lineRule="auto"/>
              <w:jc w:val="right"/>
              <w:rPr>
                <w:rFonts w:ascii="Arial" w:hAnsi="Arial" w:cs="Arial"/>
                <w:color w:val="000000"/>
                <w:sz w:val="16"/>
                <w:szCs w:val="16"/>
              </w:rPr>
            </w:pPr>
            <w:r w:rsidRPr="00A742DC">
              <w:rPr>
                <w:rFonts w:ascii="Arial" w:hAnsi="Arial" w:cs="Arial"/>
                <w:color w:val="000000"/>
                <w:sz w:val="16"/>
                <w:szCs w:val="16"/>
              </w:rPr>
              <w:t>2022-23</w:t>
            </w:r>
            <w:r w:rsidRPr="00A742DC">
              <w:rPr>
                <w:rFonts w:ascii="Arial" w:hAnsi="Arial" w:cs="Arial"/>
                <w:color w:val="000000"/>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2C28D6ED" w14:textId="77777777" w:rsidR="00E87485" w:rsidRPr="00A742DC" w:rsidRDefault="00E87485" w:rsidP="00E87485">
            <w:pPr>
              <w:spacing w:after="0" w:line="240" w:lineRule="auto"/>
              <w:jc w:val="right"/>
              <w:rPr>
                <w:rFonts w:ascii="Arial" w:hAnsi="Arial" w:cs="Arial"/>
                <w:color w:val="000000"/>
                <w:sz w:val="16"/>
                <w:szCs w:val="16"/>
              </w:rPr>
            </w:pPr>
            <w:r w:rsidRPr="00A742DC">
              <w:rPr>
                <w:rFonts w:ascii="Arial" w:hAnsi="Arial" w:cs="Arial"/>
                <w:color w:val="000000"/>
                <w:sz w:val="16"/>
                <w:szCs w:val="16"/>
              </w:rPr>
              <w:t>2023-24</w:t>
            </w:r>
            <w:r w:rsidRPr="00A742DC">
              <w:rPr>
                <w:rFonts w:ascii="Arial" w:hAnsi="Arial" w:cs="Arial"/>
                <w:color w:val="000000"/>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35CA1DBC" w14:textId="77777777" w:rsidR="00E87485" w:rsidRPr="00A742DC" w:rsidRDefault="00E87485" w:rsidP="00E87485">
            <w:pPr>
              <w:spacing w:after="0" w:line="240" w:lineRule="auto"/>
              <w:jc w:val="right"/>
              <w:rPr>
                <w:rFonts w:ascii="Arial" w:hAnsi="Arial" w:cs="Arial"/>
                <w:color w:val="000000"/>
                <w:sz w:val="16"/>
                <w:szCs w:val="16"/>
              </w:rPr>
            </w:pPr>
            <w:r w:rsidRPr="00A742DC">
              <w:rPr>
                <w:rFonts w:ascii="Arial" w:hAnsi="Arial" w:cs="Arial"/>
                <w:color w:val="000000"/>
                <w:sz w:val="16"/>
                <w:szCs w:val="16"/>
              </w:rPr>
              <w:t>2024-25</w:t>
            </w:r>
            <w:r w:rsidRPr="00A742DC">
              <w:rPr>
                <w:rFonts w:ascii="Arial" w:hAnsi="Arial" w:cs="Arial"/>
                <w:color w:val="000000"/>
                <w:sz w:val="16"/>
                <w:szCs w:val="16"/>
              </w:rPr>
              <w:br/>
              <w:t>$'000</w:t>
            </w:r>
          </w:p>
        </w:tc>
      </w:tr>
      <w:tr w:rsidR="00E87485" w:rsidRPr="00A742DC" w14:paraId="2AFF2B0F" w14:textId="77777777" w:rsidTr="00D812C6">
        <w:trPr>
          <w:trHeight w:val="204"/>
        </w:trPr>
        <w:tc>
          <w:tcPr>
            <w:tcW w:w="3119" w:type="dxa"/>
            <w:tcBorders>
              <w:top w:val="nil"/>
              <w:left w:val="nil"/>
              <w:bottom w:val="nil"/>
              <w:right w:val="nil"/>
            </w:tcBorders>
            <w:shd w:val="clear" w:color="auto" w:fill="auto"/>
            <w:noWrap/>
          </w:tcPr>
          <w:p w14:paraId="68624C5E" w14:textId="656DBBF0" w:rsidR="00E87485" w:rsidRPr="00A742DC" w:rsidRDefault="00E87485" w:rsidP="00530072">
            <w:pPr>
              <w:spacing w:after="0" w:line="240" w:lineRule="auto"/>
              <w:jc w:val="left"/>
              <w:rPr>
                <w:rFonts w:ascii="Arial" w:hAnsi="Arial" w:cs="Arial"/>
                <w:b/>
                <w:bCs/>
                <w:color w:val="000000"/>
                <w:sz w:val="16"/>
                <w:szCs w:val="16"/>
                <w:u w:val="single"/>
              </w:rPr>
            </w:pPr>
            <w:r w:rsidRPr="00A742DC">
              <w:rPr>
                <w:rFonts w:ascii="Arial" w:hAnsi="Arial" w:cs="Arial"/>
                <w:b/>
                <w:bCs/>
                <w:color w:val="000000"/>
                <w:sz w:val="16"/>
                <w:szCs w:val="16"/>
                <w:u w:val="single"/>
              </w:rPr>
              <w:t>Appropriation Bill No. 3</w:t>
            </w:r>
            <w:r w:rsidR="00955579" w:rsidRPr="00A742DC">
              <w:rPr>
                <w:rFonts w:ascii="Arial" w:hAnsi="Arial" w:cs="Arial"/>
                <w:b/>
                <w:bCs/>
                <w:color w:val="000000"/>
                <w:sz w:val="16"/>
                <w:szCs w:val="16"/>
                <w:u w:val="single"/>
              </w:rPr>
              <w:t xml:space="preserve"> </w:t>
            </w:r>
          </w:p>
        </w:tc>
        <w:tc>
          <w:tcPr>
            <w:tcW w:w="866" w:type="dxa"/>
            <w:tcBorders>
              <w:top w:val="nil"/>
              <w:left w:val="nil"/>
              <w:bottom w:val="nil"/>
              <w:right w:val="nil"/>
            </w:tcBorders>
            <w:shd w:val="clear" w:color="auto" w:fill="auto"/>
            <w:noWrap/>
            <w:vAlign w:val="bottom"/>
          </w:tcPr>
          <w:p w14:paraId="1E189654" w14:textId="77777777" w:rsidR="00E87485" w:rsidRPr="00A742DC" w:rsidRDefault="00E87485" w:rsidP="00E87485">
            <w:pPr>
              <w:spacing w:after="0" w:line="240" w:lineRule="auto"/>
              <w:jc w:val="right"/>
              <w:rPr>
                <w:rFonts w:ascii="Arial" w:hAnsi="Arial" w:cs="Arial"/>
                <w:b/>
                <w:bCs/>
                <w:color w:val="000000"/>
                <w:sz w:val="16"/>
                <w:szCs w:val="16"/>
              </w:rPr>
            </w:pPr>
          </w:p>
        </w:tc>
        <w:tc>
          <w:tcPr>
            <w:tcW w:w="858" w:type="dxa"/>
            <w:tcBorders>
              <w:top w:val="nil"/>
              <w:left w:val="nil"/>
              <w:bottom w:val="nil"/>
              <w:right w:val="nil"/>
            </w:tcBorders>
            <w:shd w:val="clear" w:color="000000" w:fill="E6E6E6"/>
            <w:noWrap/>
            <w:vAlign w:val="bottom"/>
          </w:tcPr>
          <w:p w14:paraId="304BE8BC"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tcPr>
          <w:p w14:paraId="6B2C546D"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tcPr>
          <w:p w14:paraId="1EAFDB87"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tcPr>
          <w:p w14:paraId="5B857C52" w14:textId="77777777" w:rsidR="00E87485" w:rsidRPr="00A742DC" w:rsidRDefault="00E87485" w:rsidP="00E87485">
            <w:pPr>
              <w:spacing w:after="0" w:line="240" w:lineRule="auto"/>
              <w:jc w:val="right"/>
              <w:rPr>
                <w:rFonts w:ascii="Arial" w:hAnsi="Arial" w:cs="Arial"/>
                <w:sz w:val="16"/>
                <w:szCs w:val="16"/>
              </w:rPr>
            </w:pPr>
          </w:p>
        </w:tc>
      </w:tr>
      <w:tr w:rsidR="00E87485" w:rsidRPr="00A742DC" w14:paraId="356B3571" w14:textId="77777777" w:rsidTr="00D812C6">
        <w:trPr>
          <w:trHeight w:val="204"/>
        </w:trPr>
        <w:tc>
          <w:tcPr>
            <w:tcW w:w="3119" w:type="dxa"/>
            <w:tcBorders>
              <w:top w:val="nil"/>
              <w:left w:val="nil"/>
              <w:bottom w:val="nil"/>
              <w:right w:val="nil"/>
            </w:tcBorders>
            <w:shd w:val="clear" w:color="auto" w:fill="auto"/>
            <w:noWrap/>
            <w:hideMark/>
          </w:tcPr>
          <w:p w14:paraId="26CE99B0" w14:textId="77777777" w:rsidR="00E87485" w:rsidRPr="00A742DC" w:rsidRDefault="00E87485" w:rsidP="00E87485">
            <w:pPr>
              <w:spacing w:after="0" w:line="240" w:lineRule="auto"/>
              <w:jc w:val="left"/>
              <w:rPr>
                <w:rFonts w:ascii="Arial" w:hAnsi="Arial" w:cs="Arial"/>
                <w:b/>
                <w:bCs/>
                <w:color w:val="000000"/>
                <w:sz w:val="16"/>
                <w:szCs w:val="16"/>
              </w:rPr>
            </w:pPr>
            <w:r w:rsidRPr="00A742DC">
              <w:rPr>
                <w:rFonts w:ascii="Arial" w:hAnsi="Arial" w:cs="Arial"/>
                <w:b/>
                <w:bCs/>
                <w:color w:val="000000"/>
                <w:sz w:val="16"/>
                <w:szCs w:val="16"/>
              </w:rPr>
              <w:t>Outcome 1</w:t>
            </w:r>
          </w:p>
        </w:tc>
        <w:tc>
          <w:tcPr>
            <w:tcW w:w="866" w:type="dxa"/>
            <w:tcBorders>
              <w:top w:val="nil"/>
              <w:left w:val="nil"/>
              <w:bottom w:val="nil"/>
              <w:right w:val="nil"/>
            </w:tcBorders>
            <w:shd w:val="clear" w:color="auto" w:fill="auto"/>
            <w:noWrap/>
            <w:vAlign w:val="bottom"/>
            <w:hideMark/>
          </w:tcPr>
          <w:p w14:paraId="5EEACC27" w14:textId="77777777" w:rsidR="00E87485" w:rsidRPr="00A742DC" w:rsidRDefault="00E87485" w:rsidP="00E87485">
            <w:pPr>
              <w:spacing w:after="0" w:line="240" w:lineRule="auto"/>
              <w:jc w:val="right"/>
              <w:rPr>
                <w:rFonts w:ascii="Arial" w:hAnsi="Arial" w:cs="Arial"/>
                <w:b/>
                <w:bCs/>
                <w:color w:val="000000"/>
                <w:sz w:val="16"/>
                <w:szCs w:val="16"/>
              </w:rPr>
            </w:pPr>
          </w:p>
        </w:tc>
        <w:tc>
          <w:tcPr>
            <w:tcW w:w="858" w:type="dxa"/>
            <w:tcBorders>
              <w:top w:val="nil"/>
              <w:left w:val="nil"/>
              <w:bottom w:val="nil"/>
              <w:right w:val="nil"/>
            </w:tcBorders>
            <w:shd w:val="clear" w:color="000000" w:fill="E6E6E6"/>
            <w:noWrap/>
            <w:vAlign w:val="bottom"/>
            <w:hideMark/>
          </w:tcPr>
          <w:p w14:paraId="70A6DE7D" w14:textId="0E22BD42"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4CB257F2"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70E4C68A"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13A17DFE" w14:textId="77777777" w:rsidR="00E87485" w:rsidRPr="00A742DC" w:rsidRDefault="00E87485" w:rsidP="00E87485">
            <w:pPr>
              <w:spacing w:after="0" w:line="240" w:lineRule="auto"/>
              <w:jc w:val="right"/>
              <w:rPr>
                <w:rFonts w:ascii="Arial" w:hAnsi="Arial" w:cs="Arial"/>
                <w:sz w:val="16"/>
                <w:szCs w:val="16"/>
              </w:rPr>
            </w:pPr>
          </w:p>
        </w:tc>
      </w:tr>
      <w:tr w:rsidR="00E87485" w:rsidRPr="00A742DC" w14:paraId="24FCB215" w14:textId="77777777" w:rsidTr="00D812C6">
        <w:trPr>
          <w:trHeight w:val="204"/>
        </w:trPr>
        <w:tc>
          <w:tcPr>
            <w:tcW w:w="3119" w:type="dxa"/>
            <w:tcBorders>
              <w:top w:val="nil"/>
              <w:left w:val="nil"/>
              <w:bottom w:val="nil"/>
              <w:right w:val="nil"/>
            </w:tcBorders>
            <w:shd w:val="clear" w:color="auto" w:fill="auto"/>
            <w:hideMark/>
          </w:tcPr>
          <w:p w14:paraId="6CEE046B" w14:textId="0CE5EDF7" w:rsidR="00E87485" w:rsidRPr="00A742DC" w:rsidRDefault="008863D9" w:rsidP="00E87485">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E87485" w:rsidRPr="00A742DC">
              <w:rPr>
                <w:rFonts w:ascii="Arial" w:hAnsi="Arial" w:cs="Arial"/>
                <w:b/>
                <w:bCs/>
                <w:color w:val="000000"/>
                <w:sz w:val="16"/>
                <w:szCs w:val="16"/>
              </w:rPr>
              <w:t xml:space="preserve">al </w:t>
            </w:r>
          </w:p>
        </w:tc>
        <w:tc>
          <w:tcPr>
            <w:tcW w:w="866" w:type="dxa"/>
            <w:tcBorders>
              <w:top w:val="nil"/>
              <w:left w:val="nil"/>
              <w:bottom w:val="nil"/>
              <w:right w:val="nil"/>
            </w:tcBorders>
            <w:shd w:val="clear" w:color="auto" w:fill="auto"/>
            <w:noWrap/>
            <w:vAlign w:val="bottom"/>
            <w:hideMark/>
          </w:tcPr>
          <w:p w14:paraId="022C6AF2" w14:textId="77777777" w:rsidR="00E87485" w:rsidRPr="00A742DC" w:rsidRDefault="00E87485" w:rsidP="00E87485">
            <w:pPr>
              <w:spacing w:after="0" w:line="240" w:lineRule="auto"/>
              <w:jc w:val="right"/>
              <w:rPr>
                <w:rFonts w:ascii="Arial" w:hAnsi="Arial" w:cs="Arial"/>
                <w:b/>
                <w:bCs/>
                <w:color w:val="000000"/>
                <w:sz w:val="16"/>
                <w:szCs w:val="16"/>
              </w:rPr>
            </w:pPr>
          </w:p>
        </w:tc>
        <w:tc>
          <w:tcPr>
            <w:tcW w:w="858" w:type="dxa"/>
            <w:tcBorders>
              <w:top w:val="nil"/>
              <w:left w:val="nil"/>
              <w:bottom w:val="nil"/>
              <w:right w:val="nil"/>
            </w:tcBorders>
            <w:shd w:val="clear" w:color="000000" w:fill="E6E6E6"/>
            <w:noWrap/>
            <w:vAlign w:val="bottom"/>
            <w:hideMark/>
          </w:tcPr>
          <w:p w14:paraId="7D0F72F1" w14:textId="65C3586D"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54B98E20"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6D8E34DE"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038F2149" w14:textId="77777777" w:rsidR="00E87485" w:rsidRPr="00A742DC" w:rsidRDefault="00E87485" w:rsidP="00E87485">
            <w:pPr>
              <w:spacing w:after="0" w:line="240" w:lineRule="auto"/>
              <w:jc w:val="right"/>
              <w:rPr>
                <w:rFonts w:ascii="Arial" w:hAnsi="Arial" w:cs="Arial"/>
                <w:sz w:val="16"/>
                <w:szCs w:val="16"/>
              </w:rPr>
            </w:pPr>
          </w:p>
        </w:tc>
      </w:tr>
      <w:tr w:rsidR="00E87485" w:rsidRPr="00A742DC" w14:paraId="0C408E18" w14:textId="77777777" w:rsidTr="00D812C6">
        <w:trPr>
          <w:trHeight w:val="204"/>
        </w:trPr>
        <w:tc>
          <w:tcPr>
            <w:tcW w:w="3119" w:type="dxa"/>
            <w:tcBorders>
              <w:top w:val="nil"/>
              <w:left w:val="nil"/>
              <w:bottom w:val="nil"/>
              <w:right w:val="nil"/>
            </w:tcBorders>
            <w:shd w:val="clear" w:color="auto" w:fill="auto"/>
            <w:noWrap/>
            <w:hideMark/>
          </w:tcPr>
          <w:p w14:paraId="0D488AD3" w14:textId="77777777" w:rsidR="00E87485" w:rsidRPr="00A742DC" w:rsidRDefault="00E87485" w:rsidP="00E87485">
            <w:pPr>
              <w:spacing w:after="0" w:line="240" w:lineRule="auto"/>
              <w:ind w:left="113"/>
              <w:jc w:val="left"/>
              <w:rPr>
                <w:rFonts w:ascii="Arial" w:hAnsi="Arial" w:cs="Arial"/>
                <w:b/>
                <w:bCs/>
                <w:color w:val="000000"/>
                <w:sz w:val="16"/>
                <w:szCs w:val="16"/>
              </w:rPr>
            </w:pPr>
            <w:r w:rsidRPr="00A742DC">
              <w:rPr>
                <w:rFonts w:ascii="Arial" w:hAnsi="Arial" w:cs="Arial"/>
                <w:b/>
                <w:bCs/>
                <w:color w:val="000000"/>
                <w:sz w:val="16"/>
                <w:szCs w:val="16"/>
              </w:rPr>
              <w:t>Annual appropriations</w:t>
            </w:r>
          </w:p>
        </w:tc>
        <w:tc>
          <w:tcPr>
            <w:tcW w:w="866" w:type="dxa"/>
            <w:tcBorders>
              <w:top w:val="nil"/>
              <w:left w:val="nil"/>
              <w:bottom w:val="nil"/>
              <w:right w:val="nil"/>
            </w:tcBorders>
            <w:shd w:val="clear" w:color="auto" w:fill="auto"/>
            <w:noWrap/>
            <w:vAlign w:val="bottom"/>
            <w:hideMark/>
          </w:tcPr>
          <w:p w14:paraId="33028729" w14:textId="77777777" w:rsidR="00E87485" w:rsidRPr="00A742DC" w:rsidRDefault="00E87485" w:rsidP="00E87485">
            <w:pPr>
              <w:spacing w:after="0" w:line="240" w:lineRule="auto"/>
              <w:ind w:firstLineChars="100" w:firstLine="160"/>
              <w:jc w:val="right"/>
              <w:rPr>
                <w:rFonts w:ascii="Arial" w:hAnsi="Arial" w:cs="Arial"/>
                <w:b/>
                <w:bCs/>
                <w:color w:val="000000"/>
                <w:sz w:val="16"/>
                <w:szCs w:val="16"/>
              </w:rPr>
            </w:pPr>
          </w:p>
        </w:tc>
        <w:tc>
          <w:tcPr>
            <w:tcW w:w="858" w:type="dxa"/>
            <w:tcBorders>
              <w:top w:val="nil"/>
              <w:left w:val="nil"/>
              <w:bottom w:val="nil"/>
              <w:right w:val="nil"/>
            </w:tcBorders>
            <w:shd w:val="clear" w:color="000000" w:fill="E6E6E6"/>
            <w:noWrap/>
            <w:vAlign w:val="bottom"/>
            <w:hideMark/>
          </w:tcPr>
          <w:p w14:paraId="030806D1" w14:textId="12244A6E"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65FA2803"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48DDDBC0"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02442B5F" w14:textId="77777777" w:rsidR="00E87485" w:rsidRPr="00A742DC" w:rsidRDefault="00E87485" w:rsidP="00E87485">
            <w:pPr>
              <w:spacing w:after="0" w:line="240" w:lineRule="auto"/>
              <w:jc w:val="right"/>
              <w:rPr>
                <w:rFonts w:ascii="Arial" w:hAnsi="Arial" w:cs="Arial"/>
                <w:sz w:val="16"/>
                <w:szCs w:val="16"/>
              </w:rPr>
            </w:pPr>
          </w:p>
        </w:tc>
      </w:tr>
      <w:tr w:rsidR="00E87485" w:rsidRPr="00A742DC" w14:paraId="50896EF4" w14:textId="77777777" w:rsidTr="00D812C6">
        <w:trPr>
          <w:trHeight w:val="204"/>
        </w:trPr>
        <w:tc>
          <w:tcPr>
            <w:tcW w:w="3119" w:type="dxa"/>
            <w:tcBorders>
              <w:top w:val="nil"/>
              <w:left w:val="nil"/>
              <w:bottom w:val="nil"/>
              <w:right w:val="nil"/>
            </w:tcBorders>
            <w:shd w:val="clear" w:color="auto" w:fill="auto"/>
            <w:noWrap/>
            <w:hideMark/>
          </w:tcPr>
          <w:p w14:paraId="2397D323" w14:textId="050C6E7D" w:rsidR="00E87485" w:rsidRPr="00A742DC" w:rsidRDefault="0038328A" w:rsidP="0038328A">
            <w:pPr>
              <w:spacing w:after="0" w:line="240" w:lineRule="auto"/>
              <w:ind w:left="227"/>
              <w:jc w:val="left"/>
              <w:rPr>
                <w:rFonts w:ascii="Arial" w:hAnsi="Arial" w:cs="Arial"/>
                <w:b/>
                <w:bCs/>
                <w:color w:val="000000"/>
                <w:sz w:val="16"/>
                <w:szCs w:val="16"/>
              </w:rPr>
            </w:pPr>
            <w:r w:rsidRPr="00A742DC">
              <w:rPr>
                <w:rFonts w:ascii="Arial" w:hAnsi="Arial" w:cs="Arial"/>
                <w:b/>
                <w:bCs/>
                <w:color w:val="000000"/>
                <w:sz w:val="16"/>
                <w:szCs w:val="16"/>
              </w:rPr>
              <w:t>Measures</w:t>
            </w:r>
          </w:p>
        </w:tc>
        <w:tc>
          <w:tcPr>
            <w:tcW w:w="866" w:type="dxa"/>
            <w:tcBorders>
              <w:top w:val="nil"/>
              <w:left w:val="nil"/>
              <w:bottom w:val="nil"/>
              <w:right w:val="nil"/>
            </w:tcBorders>
            <w:shd w:val="clear" w:color="auto" w:fill="auto"/>
            <w:noWrap/>
            <w:vAlign w:val="bottom"/>
            <w:hideMark/>
          </w:tcPr>
          <w:p w14:paraId="128BBAD4" w14:textId="77777777" w:rsidR="00E87485" w:rsidRPr="00A742DC" w:rsidRDefault="00E87485" w:rsidP="00E87485">
            <w:pPr>
              <w:spacing w:after="0" w:line="240" w:lineRule="auto"/>
              <w:ind w:firstLineChars="200" w:firstLine="320"/>
              <w:jc w:val="right"/>
              <w:rPr>
                <w:rFonts w:ascii="Arial" w:hAnsi="Arial" w:cs="Arial"/>
                <w:b/>
                <w:bCs/>
                <w:color w:val="000000"/>
                <w:sz w:val="16"/>
                <w:szCs w:val="16"/>
              </w:rPr>
            </w:pPr>
          </w:p>
        </w:tc>
        <w:tc>
          <w:tcPr>
            <w:tcW w:w="858" w:type="dxa"/>
            <w:tcBorders>
              <w:top w:val="nil"/>
              <w:left w:val="nil"/>
              <w:bottom w:val="nil"/>
              <w:right w:val="nil"/>
            </w:tcBorders>
            <w:shd w:val="clear" w:color="000000" w:fill="E6E6E6"/>
            <w:noWrap/>
            <w:vAlign w:val="bottom"/>
            <w:hideMark/>
          </w:tcPr>
          <w:p w14:paraId="158B086F" w14:textId="154828F8"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11CF4901"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58306FCF" w14:textId="77777777" w:rsidR="00E87485" w:rsidRPr="00A742DC"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553E427C" w14:textId="77777777" w:rsidR="00E87485" w:rsidRPr="00A742DC" w:rsidRDefault="00E87485" w:rsidP="00E87485">
            <w:pPr>
              <w:spacing w:after="0" w:line="240" w:lineRule="auto"/>
              <w:jc w:val="right"/>
              <w:rPr>
                <w:rFonts w:ascii="Arial" w:hAnsi="Arial" w:cs="Arial"/>
                <w:sz w:val="16"/>
                <w:szCs w:val="16"/>
              </w:rPr>
            </w:pPr>
          </w:p>
        </w:tc>
      </w:tr>
      <w:tr w:rsidR="00A742DC" w:rsidRPr="00A742DC" w14:paraId="69098BCC" w14:textId="77777777" w:rsidTr="00D812C6">
        <w:trPr>
          <w:trHeight w:val="204"/>
        </w:trPr>
        <w:tc>
          <w:tcPr>
            <w:tcW w:w="3119" w:type="dxa"/>
            <w:tcBorders>
              <w:top w:val="nil"/>
              <w:left w:val="nil"/>
              <w:bottom w:val="nil"/>
              <w:right w:val="nil"/>
            </w:tcBorders>
            <w:shd w:val="clear" w:color="auto" w:fill="auto"/>
            <w:hideMark/>
          </w:tcPr>
          <w:p w14:paraId="437273A9" w14:textId="14A752EB" w:rsidR="00A742DC" w:rsidRPr="00A742DC" w:rsidRDefault="00A742DC" w:rsidP="00A742DC">
            <w:pPr>
              <w:spacing w:after="0" w:line="240" w:lineRule="auto"/>
              <w:ind w:left="340"/>
              <w:jc w:val="left"/>
              <w:rPr>
                <w:rFonts w:ascii="Arial" w:hAnsi="Arial" w:cs="Arial"/>
                <w:color w:val="000000"/>
                <w:sz w:val="16"/>
                <w:szCs w:val="16"/>
              </w:rPr>
            </w:pPr>
            <w:r w:rsidRPr="00A742DC">
              <w:rPr>
                <w:rFonts w:ascii="Arial" w:hAnsi="Arial" w:cs="Arial"/>
                <w:color w:val="000000"/>
                <w:sz w:val="16"/>
                <w:szCs w:val="16"/>
              </w:rPr>
              <w:t>National Collecting Institutions - Upgrading Digital Capacity</w:t>
            </w:r>
          </w:p>
        </w:tc>
        <w:tc>
          <w:tcPr>
            <w:tcW w:w="866" w:type="dxa"/>
            <w:tcBorders>
              <w:top w:val="nil"/>
              <w:left w:val="nil"/>
              <w:bottom w:val="nil"/>
              <w:right w:val="nil"/>
            </w:tcBorders>
            <w:shd w:val="clear" w:color="auto" w:fill="auto"/>
            <w:noWrap/>
            <w:vAlign w:val="bottom"/>
            <w:hideMark/>
          </w:tcPr>
          <w:p w14:paraId="18CBFF40" w14:textId="77777777" w:rsidR="00A742DC" w:rsidRPr="00A742DC" w:rsidRDefault="00A742DC" w:rsidP="00D812C6">
            <w:pPr>
              <w:spacing w:after="0" w:line="240" w:lineRule="auto"/>
              <w:jc w:val="center"/>
              <w:rPr>
                <w:rFonts w:ascii="Arial" w:hAnsi="Arial" w:cs="Arial"/>
                <w:color w:val="000000"/>
                <w:sz w:val="16"/>
                <w:szCs w:val="16"/>
              </w:rPr>
            </w:pPr>
            <w:r w:rsidRPr="00A742DC">
              <w:rPr>
                <w:rFonts w:ascii="Arial" w:hAnsi="Arial" w:cs="Arial"/>
                <w:color w:val="000000"/>
                <w:sz w:val="16"/>
                <w:szCs w:val="16"/>
              </w:rPr>
              <w:t>1.1</w:t>
            </w:r>
          </w:p>
        </w:tc>
        <w:tc>
          <w:tcPr>
            <w:tcW w:w="858" w:type="dxa"/>
            <w:tcBorders>
              <w:top w:val="nil"/>
              <w:left w:val="nil"/>
              <w:bottom w:val="nil"/>
              <w:right w:val="nil"/>
            </w:tcBorders>
            <w:shd w:val="clear" w:color="000000" w:fill="E6E6E6"/>
            <w:noWrap/>
            <w:vAlign w:val="bottom"/>
            <w:hideMark/>
          </w:tcPr>
          <w:p w14:paraId="650C0075" w14:textId="24A4F3E2" w:rsidR="00A742DC" w:rsidRPr="000161DE" w:rsidRDefault="00A742DC" w:rsidP="00A742DC">
            <w:pPr>
              <w:spacing w:after="0" w:line="240" w:lineRule="auto"/>
              <w:jc w:val="right"/>
              <w:rPr>
                <w:rFonts w:ascii="Arial" w:hAnsi="Arial" w:cs="Arial"/>
                <w:sz w:val="16"/>
                <w:szCs w:val="16"/>
              </w:rPr>
            </w:pPr>
            <w:r w:rsidRPr="000161DE">
              <w:rPr>
                <w:rFonts w:ascii="Arial" w:hAnsi="Arial" w:cs="Arial"/>
                <w:sz w:val="16"/>
                <w:szCs w:val="16"/>
              </w:rPr>
              <w:t>2,942</w:t>
            </w:r>
          </w:p>
        </w:tc>
        <w:tc>
          <w:tcPr>
            <w:tcW w:w="856" w:type="dxa"/>
            <w:tcBorders>
              <w:top w:val="nil"/>
              <w:left w:val="nil"/>
              <w:bottom w:val="nil"/>
              <w:right w:val="nil"/>
            </w:tcBorders>
            <w:shd w:val="clear" w:color="auto" w:fill="auto"/>
            <w:noWrap/>
            <w:vAlign w:val="bottom"/>
            <w:hideMark/>
          </w:tcPr>
          <w:p w14:paraId="187A69EA" w14:textId="435FDF2E" w:rsidR="00A742DC" w:rsidRPr="000161DE" w:rsidRDefault="00A742DC" w:rsidP="00A742DC">
            <w:pPr>
              <w:spacing w:after="0" w:line="240" w:lineRule="auto"/>
              <w:jc w:val="right"/>
              <w:rPr>
                <w:rFonts w:ascii="Arial" w:hAnsi="Arial" w:cs="Arial"/>
                <w:color w:val="000000"/>
                <w:sz w:val="16"/>
                <w:szCs w:val="16"/>
              </w:rPr>
            </w:pPr>
            <w:r w:rsidRPr="000161DE">
              <w:rPr>
                <w:rFonts w:ascii="Arial" w:hAnsi="Arial" w:cs="Arial"/>
                <w:sz w:val="16"/>
                <w:szCs w:val="16"/>
              </w:rPr>
              <w:t>4,316</w:t>
            </w:r>
          </w:p>
        </w:tc>
        <w:tc>
          <w:tcPr>
            <w:tcW w:w="856" w:type="dxa"/>
            <w:tcBorders>
              <w:top w:val="nil"/>
              <w:left w:val="nil"/>
              <w:bottom w:val="nil"/>
              <w:right w:val="nil"/>
            </w:tcBorders>
            <w:shd w:val="clear" w:color="auto" w:fill="auto"/>
            <w:noWrap/>
            <w:vAlign w:val="bottom"/>
            <w:hideMark/>
          </w:tcPr>
          <w:p w14:paraId="2B3DEE95" w14:textId="6FE95EB1" w:rsidR="00A742DC" w:rsidRPr="000161DE" w:rsidRDefault="00A742DC" w:rsidP="00A742DC">
            <w:pPr>
              <w:spacing w:after="0" w:line="240" w:lineRule="auto"/>
              <w:jc w:val="right"/>
              <w:rPr>
                <w:rFonts w:ascii="Arial" w:hAnsi="Arial" w:cs="Arial"/>
                <w:color w:val="000000"/>
                <w:sz w:val="16"/>
                <w:szCs w:val="16"/>
              </w:rPr>
            </w:pPr>
            <w:r w:rsidRPr="000161DE">
              <w:rPr>
                <w:rFonts w:ascii="Arial" w:hAnsi="Arial" w:cs="Arial"/>
                <w:sz w:val="16"/>
                <w:szCs w:val="16"/>
              </w:rPr>
              <w:t>5,737</w:t>
            </w:r>
          </w:p>
        </w:tc>
        <w:tc>
          <w:tcPr>
            <w:tcW w:w="856" w:type="dxa"/>
            <w:tcBorders>
              <w:top w:val="nil"/>
              <w:left w:val="nil"/>
              <w:bottom w:val="nil"/>
              <w:right w:val="nil"/>
            </w:tcBorders>
            <w:shd w:val="clear" w:color="auto" w:fill="auto"/>
            <w:noWrap/>
            <w:vAlign w:val="bottom"/>
            <w:hideMark/>
          </w:tcPr>
          <w:p w14:paraId="01F682EE" w14:textId="1F48D679" w:rsidR="00A742DC" w:rsidRPr="000161DE" w:rsidRDefault="00A742DC" w:rsidP="00A742DC">
            <w:pPr>
              <w:spacing w:after="0" w:line="240" w:lineRule="auto"/>
              <w:jc w:val="right"/>
              <w:rPr>
                <w:rFonts w:ascii="Arial" w:hAnsi="Arial" w:cs="Arial"/>
                <w:color w:val="000000"/>
                <w:sz w:val="16"/>
                <w:szCs w:val="16"/>
              </w:rPr>
            </w:pPr>
            <w:r w:rsidRPr="000161DE">
              <w:rPr>
                <w:rFonts w:ascii="Arial" w:hAnsi="Arial" w:cs="Arial"/>
                <w:sz w:val="16"/>
                <w:szCs w:val="16"/>
              </w:rPr>
              <w:t>5,831</w:t>
            </w:r>
          </w:p>
        </w:tc>
      </w:tr>
      <w:tr w:rsidR="00E87485" w:rsidRPr="00A742DC" w14:paraId="285382FB" w14:textId="77777777" w:rsidTr="00D812C6">
        <w:trPr>
          <w:trHeight w:val="204"/>
        </w:trPr>
        <w:tc>
          <w:tcPr>
            <w:tcW w:w="3119" w:type="dxa"/>
            <w:tcBorders>
              <w:top w:val="nil"/>
              <w:left w:val="nil"/>
              <w:bottom w:val="nil"/>
              <w:right w:val="nil"/>
            </w:tcBorders>
            <w:shd w:val="clear" w:color="auto" w:fill="auto"/>
            <w:noWrap/>
            <w:hideMark/>
          </w:tcPr>
          <w:p w14:paraId="2E44F8D0" w14:textId="04B81A03" w:rsidR="00E87485" w:rsidRPr="00A742DC" w:rsidRDefault="00A9622F" w:rsidP="00A742DC">
            <w:pPr>
              <w:spacing w:after="0" w:line="240" w:lineRule="auto"/>
              <w:ind w:left="227"/>
              <w:jc w:val="left"/>
              <w:rPr>
                <w:rFonts w:ascii="Arial" w:hAnsi="Arial" w:cs="Arial"/>
                <w:b/>
                <w:bCs/>
                <w:color w:val="000000"/>
                <w:sz w:val="16"/>
                <w:szCs w:val="16"/>
              </w:rPr>
            </w:pPr>
            <w:r>
              <w:rPr>
                <w:rFonts w:ascii="Arial" w:hAnsi="Arial" w:cs="Arial"/>
                <w:b/>
                <w:bCs/>
                <w:color w:val="000000"/>
                <w:sz w:val="16"/>
                <w:szCs w:val="16"/>
              </w:rPr>
              <w:t>Other variations</w:t>
            </w:r>
          </w:p>
        </w:tc>
        <w:tc>
          <w:tcPr>
            <w:tcW w:w="866" w:type="dxa"/>
            <w:tcBorders>
              <w:top w:val="nil"/>
              <w:left w:val="nil"/>
              <w:bottom w:val="nil"/>
              <w:right w:val="nil"/>
            </w:tcBorders>
            <w:shd w:val="clear" w:color="auto" w:fill="auto"/>
            <w:noWrap/>
            <w:vAlign w:val="bottom"/>
            <w:hideMark/>
          </w:tcPr>
          <w:p w14:paraId="270A1D07" w14:textId="77777777" w:rsidR="00E87485" w:rsidRPr="00A742DC" w:rsidRDefault="00E87485" w:rsidP="00E87485">
            <w:pPr>
              <w:spacing w:after="0" w:line="240" w:lineRule="auto"/>
              <w:ind w:firstLineChars="200" w:firstLine="320"/>
              <w:jc w:val="right"/>
              <w:rPr>
                <w:rFonts w:ascii="Arial" w:hAnsi="Arial" w:cs="Arial"/>
                <w:b/>
                <w:bCs/>
                <w:color w:val="000000"/>
                <w:sz w:val="16"/>
                <w:szCs w:val="16"/>
              </w:rPr>
            </w:pPr>
          </w:p>
        </w:tc>
        <w:tc>
          <w:tcPr>
            <w:tcW w:w="858" w:type="dxa"/>
            <w:tcBorders>
              <w:top w:val="nil"/>
              <w:left w:val="nil"/>
              <w:bottom w:val="nil"/>
              <w:right w:val="nil"/>
            </w:tcBorders>
            <w:shd w:val="clear" w:color="000000" w:fill="E6E6E6"/>
            <w:noWrap/>
            <w:vAlign w:val="bottom"/>
            <w:hideMark/>
          </w:tcPr>
          <w:p w14:paraId="4A086ABC" w14:textId="1A338FBC" w:rsidR="00E87485" w:rsidRPr="000161DE"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3FF39C4B" w14:textId="77777777" w:rsidR="00E87485" w:rsidRPr="000161DE"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7FBFB598" w14:textId="77777777" w:rsidR="00E87485" w:rsidRPr="000161DE" w:rsidRDefault="00E87485" w:rsidP="00E87485">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78A68BF1" w14:textId="77777777" w:rsidR="00E87485" w:rsidRPr="000161DE" w:rsidRDefault="00E87485" w:rsidP="00E87485">
            <w:pPr>
              <w:spacing w:after="0" w:line="240" w:lineRule="auto"/>
              <w:jc w:val="right"/>
              <w:rPr>
                <w:rFonts w:ascii="Arial" w:hAnsi="Arial" w:cs="Arial"/>
                <w:sz w:val="16"/>
                <w:szCs w:val="16"/>
              </w:rPr>
            </w:pPr>
          </w:p>
        </w:tc>
      </w:tr>
      <w:tr w:rsidR="00E87485" w:rsidRPr="00A742DC" w14:paraId="5DAFFAD8" w14:textId="77777777" w:rsidTr="00D812C6">
        <w:trPr>
          <w:trHeight w:val="204"/>
        </w:trPr>
        <w:tc>
          <w:tcPr>
            <w:tcW w:w="3119" w:type="dxa"/>
            <w:tcBorders>
              <w:top w:val="nil"/>
              <w:left w:val="nil"/>
              <w:right w:val="nil"/>
            </w:tcBorders>
            <w:shd w:val="clear" w:color="auto" w:fill="auto"/>
            <w:noWrap/>
            <w:hideMark/>
          </w:tcPr>
          <w:p w14:paraId="26D4965A" w14:textId="5E3B6775" w:rsidR="00E87485" w:rsidRPr="00A742DC" w:rsidRDefault="00A742DC" w:rsidP="00A9622F">
            <w:pPr>
              <w:spacing w:after="0" w:line="240" w:lineRule="auto"/>
              <w:ind w:left="340"/>
              <w:jc w:val="left"/>
              <w:rPr>
                <w:rFonts w:ascii="Arial" w:hAnsi="Arial" w:cs="Arial"/>
                <w:color w:val="000000"/>
                <w:sz w:val="16"/>
                <w:szCs w:val="16"/>
              </w:rPr>
            </w:pPr>
            <w:r w:rsidRPr="00A742DC">
              <w:rPr>
                <w:rFonts w:ascii="Arial" w:hAnsi="Arial" w:cs="Arial"/>
                <w:color w:val="000000"/>
                <w:sz w:val="16"/>
                <w:szCs w:val="16"/>
              </w:rPr>
              <w:t>Parameter adjustment</w:t>
            </w:r>
            <w:r w:rsidR="00216824">
              <w:rPr>
                <w:rFonts w:ascii="Arial" w:hAnsi="Arial" w:cs="Arial"/>
                <w:color w:val="000000"/>
                <w:sz w:val="16"/>
                <w:szCs w:val="16"/>
              </w:rPr>
              <w:t>s</w:t>
            </w:r>
          </w:p>
        </w:tc>
        <w:tc>
          <w:tcPr>
            <w:tcW w:w="866" w:type="dxa"/>
            <w:tcBorders>
              <w:top w:val="nil"/>
              <w:left w:val="nil"/>
              <w:right w:val="nil"/>
            </w:tcBorders>
            <w:shd w:val="clear" w:color="auto" w:fill="auto"/>
            <w:noWrap/>
            <w:vAlign w:val="bottom"/>
            <w:hideMark/>
          </w:tcPr>
          <w:p w14:paraId="4498B2E4" w14:textId="77777777" w:rsidR="00E87485" w:rsidRPr="00A742DC" w:rsidRDefault="00E87485" w:rsidP="00E87485">
            <w:pPr>
              <w:spacing w:after="0" w:line="240" w:lineRule="auto"/>
              <w:ind w:firstLineChars="200" w:firstLine="320"/>
              <w:jc w:val="right"/>
              <w:rPr>
                <w:rFonts w:ascii="Arial" w:hAnsi="Arial" w:cs="Arial"/>
                <w:color w:val="000000"/>
                <w:sz w:val="16"/>
                <w:szCs w:val="16"/>
              </w:rPr>
            </w:pPr>
          </w:p>
        </w:tc>
        <w:tc>
          <w:tcPr>
            <w:tcW w:w="858" w:type="dxa"/>
            <w:tcBorders>
              <w:top w:val="nil"/>
              <w:left w:val="nil"/>
              <w:bottom w:val="single" w:sz="4" w:space="0" w:color="auto"/>
              <w:right w:val="nil"/>
            </w:tcBorders>
            <w:shd w:val="clear" w:color="000000" w:fill="E6E6E6"/>
            <w:noWrap/>
            <w:vAlign w:val="bottom"/>
            <w:hideMark/>
          </w:tcPr>
          <w:p w14:paraId="3113B783" w14:textId="4EA8C842" w:rsidR="00E87485" w:rsidRPr="000161DE" w:rsidRDefault="00E87485" w:rsidP="00E87485">
            <w:pPr>
              <w:spacing w:after="0" w:line="240" w:lineRule="auto"/>
              <w:jc w:val="right"/>
              <w:rPr>
                <w:rFonts w:ascii="Arial" w:hAnsi="Arial" w:cs="Arial"/>
                <w:sz w:val="16"/>
                <w:szCs w:val="16"/>
              </w:rPr>
            </w:pPr>
            <w:r w:rsidRPr="000161DE">
              <w:rPr>
                <w:rFonts w:ascii="Arial" w:hAnsi="Arial" w:cs="Arial"/>
                <w:sz w:val="16"/>
                <w:szCs w:val="16"/>
              </w:rPr>
              <w:t>-</w:t>
            </w:r>
          </w:p>
        </w:tc>
        <w:tc>
          <w:tcPr>
            <w:tcW w:w="856" w:type="dxa"/>
            <w:tcBorders>
              <w:top w:val="nil"/>
              <w:left w:val="nil"/>
              <w:bottom w:val="single" w:sz="4" w:space="0" w:color="auto"/>
              <w:right w:val="nil"/>
            </w:tcBorders>
            <w:shd w:val="clear" w:color="auto" w:fill="auto"/>
            <w:noWrap/>
            <w:vAlign w:val="bottom"/>
            <w:hideMark/>
          </w:tcPr>
          <w:p w14:paraId="5C73D888" w14:textId="3C177D45" w:rsidR="00E87485" w:rsidRPr="000161DE" w:rsidRDefault="00E87485" w:rsidP="00E87485">
            <w:pPr>
              <w:spacing w:after="0" w:line="240" w:lineRule="auto"/>
              <w:jc w:val="right"/>
              <w:rPr>
                <w:rFonts w:ascii="Arial" w:hAnsi="Arial" w:cs="Arial"/>
                <w:color w:val="000000"/>
                <w:sz w:val="16"/>
                <w:szCs w:val="16"/>
              </w:rPr>
            </w:pPr>
            <w:r w:rsidRPr="000161DE">
              <w:rPr>
                <w:rFonts w:ascii="Arial" w:hAnsi="Arial" w:cs="Arial"/>
                <w:color w:val="000000"/>
                <w:sz w:val="16"/>
                <w:szCs w:val="16"/>
              </w:rPr>
              <w:t>44</w:t>
            </w:r>
          </w:p>
        </w:tc>
        <w:tc>
          <w:tcPr>
            <w:tcW w:w="856" w:type="dxa"/>
            <w:tcBorders>
              <w:top w:val="nil"/>
              <w:left w:val="nil"/>
              <w:bottom w:val="single" w:sz="4" w:space="0" w:color="auto"/>
              <w:right w:val="nil"/>
            </w:tcBorders>
            <w:shd w:val="clear" w:color="auto" w:fill="auto"/>
            <w:noWrap/>
            <w:vAlign w:val="bottom"/>
            <w:hideMark/>
          </w:tcPr>
          <w:p w14:paraId="6346BF3B" w14:textId="6C2D8C1E" w:rsidR="00E87485" w:rsidRPr="000161DE" w:rsidRDefault="00E87485" w:rsidP="00E87485">
            <w:pPr>
              <w:spacing w:after="0" w:line="240" w:lineRule="auto"/>
              <w:jc w:val="right"/>
              <w:rPr>
                <w:rFonts w:ascii="Arial" w:hAnsi="Arial" w:cs="Arial"/>
                <w:color w:val="000000"/>
                <w:sz w:val="16"/>
                <w:szCs w:val="16"/>
              </w:rPr>
            </w:pPr>
            <w:r w:rsidRPr="000161DE">
              <w:rPr>
                <w:rFonts w:ascii="Arial" w:hAnsi="Arial" w:cs="Arial"/>
                <w:color w:val="000000"/>
                <w:sz w:val="16"/>
                <w:szCs w:val="16"/>
              </w:rPr>
              <w:t>128</w:t>
            </w:r>
          </w:p>
        </w:tc>
        <w:tc>
          <w:tcPr>
            <w:tcW w:w="856" w:type="dxa"/>
            <w:tcBorders>
              <w:top w:val="nil"/>
              <w:left w:val="nil"/>
              <w:bottom w:val="single" w:sz="4" w:space="0" w:color="auto"/>
              <w:right w:val="nil"/>
            </w:tcBorders>
            <w:shd w:val="clear" w:color="auto" w:fill="auto"/>
            <w:noWrap/>
            <w:vAlign w:val="bottom"/>
            <w:hideMark/>
          </w:tcPr>
          <w:p w14:paraId="2C2334DE" w14:textId="2A6542C0" w:rsidR="00E87485" w:rsidRPr="000161DE" w:rsidRDefault="00E87485" w:rsidP="00E87485">
            <w:pPr>
              <w:spacing w:after="0" w:line="240" w:lineRule="auto"/>
              <w:jc w:val="right"/>
              <w:rPr>
                <w:rFonts w:ascii="Arial" w:hAnsi="Arial" w:cs="Arial"/>
                <w:color w:val="000000"/>
                <w:sz w:val="16"/>
                <w:szCs w:val="16"/>
              </w:rPr>
            </w:pPr>
            <w:r w:rsidRPr="000161DE">
              <w:rPr>
                <w:rFonts w:ascii="Arial" w:hAnsi="Arial" w:cs="Arial"/>
                <w:color w:val="000000"/>
                <w:sz w:val="16"/>
                <w:szCs w:val="16"/>
              </w:rPr>
              <w:t>235</w:t>
            </w:r>
          </w:p>
        </w:tc>
      </w:tr>
      <w:tr w:rsidR="00A742DC" w:rsidRPr="00A742DC" w14:paraId="35660E94" w14:textId="77777777" w:rsidTr="00D812C6">
        <w:trPr>
          <w:trHeight w:val="204"/>
        </w:trPr>
        <w:tc>
          <w:tcPr>
            <w:tcW w:w="3119" w:type="dxa"/>
            <w:tcBorders>
              <w:top w:val="nil"/>
              <w:left w:val="nil"/>
              <w:bottom w:val="nil"/>
              <w:right w:val="nil"/>
            </w:tcBorders>
            <w:shd w:val="clear" w:color="auto" w:fill="auto"/>
            <w:hideMark/>
          </w:tcPr>
          <w:p w14:paraId="43371446" w14:textId="37A89DAD" w:rsidR="00A742DC" w:rsidRPr="00A742DC" w:rsidRDefault="00A742DC" w:rsidP="00A742DC">
            <w:pPr>
              <w:spacing w:after="0" w:line="240" w:lineRule="auto"/>
              <w:jc w:val="left"/>
              <w:rPr>
                <w:rFonts w:ascii="Arial" w:hAnsi="Arial" w:cs="Arial"/>
                <w:b/>
                <w:bCs/>
                <w:color w:val="000000"/>
                <w:sz w:val="16"/>
                <w:szCs w:val="16"/>
              </w:rPr>
            </w:pPr>
            <w:r w:rsidRPr="00A742DC">
              <w:rPr>
                <w:rFonts w:ascii="Arial" w:hAnsi="Arial" w:cs="Arial"/>
                <w:b/>
                <w:bCs/>
                <w:color w:val="000000"/>
                <w:sz w:val="16"/>
                <w:szCs w:val="16"/>
              </w:rPr>
              <w:t>Net impact on appropriations fo</w:t>
            </w:r>
            <w:r w:rsidR="00530072">
              <w:rPr>
                <w:rFonts w:ascii="Arial" w:hAnsi="Arial" w:cs="Arial"/>
                <w:b/>
                <w:bCs/>
                <w:color w:val="000000"/>
                <w:sz w:val="16"/>
                <w:szCs w:val="16"/>
              </w:rPr>
              <w:t>r Outcome 1 (Appropriation Bill</w:t>
            </w:r>
            <w:r w:rsidRPr="00A742DC">
              <w:rPr>
                <w:rFonts w:ascii="Arial" w:hAnsi="Arial" w:cs="Arial"/>
                <w:b/>
                <w:bCs/>
                <w:color w:val="000000"/>
                <w:sz w:val="16"/>
                <w:szCs w:val="16"/>
              </w:rPr>
              <w:t xml:space="preserve"> No. 3)</w:t>
            </w:r>
          </w:p>
        </w:tc>
        <w:tc>
          <w:tcPr>
            <w:tcW w:w="866" w:type="dxa"/>
            <w:tcBorders>
              <w:top w:val="nil"/>
              <w:left w:val="nil"/>
              <w:bottom w:val="nil"/>
              <w:right w:val="nil"/>
            </w:tcBorders>
            <w:shd w:val="clear" w:color="auto" w:fill="auto"/>
            <w:noWrap/>
            <w:vAlign w:val="bottom"/>
            <w:hideMark/>
          </w:tcPr>
          <w:p w14:paraId="3311992C" w14:textId="77777777" w:rsidR="00A742DC" w:rsidRPr="00A742DC" w:rsidRDefault="00A742DC" w:rsidP="00A742DC">
            <w:pPr>
              <w:spacing w:after="0" w:line="240" w:lineRule="auto"/>
              <w:jc w:val="right"/>
              <w:rPr>
                <w:rFonts w:ascii="Arial" w:hAnsi="Arial" w:cs="Arial"/>
                <w:b/>
                <w:bCs/>
                <w:color w:val="000000"/>
                <w:sz w:val="16"/>
                <w:szCs w:val="16"/>
              </w:rPr>
            </w:pPr>
          </w:p>
        </w:tc>
        <w:tc>
          <w:tcPr>
            <w:tcW w:w="858" w:type="dxa"/>
            <w:tcBorders>
              <w:top w:val="single" w:sz="4" w:space="0" w:color="auto"/>
              <w:left w:val="nil"/>
              <w:bottom w:val="single" w:sz="4" w:space="0" w:color="auto"/>
              <w:right w:val="nil"/>
            </w:tcBorders>
            <w:shd w:val="clear" w:color="000000" w:fill="E6E6E6"/>
            <w:noWrap/>
            <w:vAlign w:val="bottom"/>
            <w:hideMark/>
          </w:tcPr>
          <w:p w14:paraId="452DFB5C" w14:textId="206CBE4A" w:rsidR="00A742DC" w:rsidRPr="00A9622F" w:rsidRDefault="00A742DC" w:rsidP="00A742DC">
            <w:pPr>
              <w:spacing w:after="0" w:line="240" w:lineRule="auto"/>
              <w:jc w:val="right"/>
              <w:rPr>
                <w:rFonts w:ascii="Arial" w:hAnsi="Arial" w:cs="Arial"/>
                <w:b/>
                <w:bCs/>
                <w:sz w:val="16"/>
                <w:szCs w:val="16"/>
              </w:rPr>
            </w:pPr>
            <w:r w:rsidRPr="00A9622F">
              <w:rPr>
                <w:rFonts w:ascii="Arial" w:hAnsi="Arial" w:cs="Arial"/>
                <w:b/>
                <w:sz w:val="16"/>
                <w:szCs w:val="16"/>
              </w:rPr>
              <w:t>2,942</w:t>
            </w:r>
          </w:p>
        </w:tc>
        <w:tc>
          <w:tcPr>
            <w:tcW w:w="856" w:type="dxa"/>
            <w:tcBorders>
              <w:top w:val="single" w:sz="4" w:space="0" w:color="auto"/>
              <w:left w:val="nil"/>
              <w:bottom w:val="single" w:sz="4" w:space="0" w:color="auto"/>
              <w:right w:val="nil"/>
            </w:tcBorders>
            <w:shd w:val="clear" w:color="auto" w:fill="auto"/>
            <w:noWrap/>
            <w:vAlign w:val="bottom"/>
            <w:hideMark/>
          </w:tcPr>
          <w:p w14:paraId="1010D21D" w14:textId="7E309F40" w:rsidR="00A742DC" w:rsidRPr="00A9622F" w:rsidRDefault="00A742DC" w:rsidP="00A742DC">
            <w:pPr>
              <w:spacing w:after="0" w:line="240" w:lineRule="auto"/>
              <w:jc w:val="right"/>
              <w:rPr>
                <w:rFonts w:ascii="Arial" w:hAnsi="Arial" w:cs="Arial"/>
                <w:b/>
                <w:bCs/>
                <w:color w:val="000000"/>
                <w:sz w:val="16"/>
                <w:szCs w:val="16"/>
              </w:rPr>
            </w:pPr>
            <w:r w:rsidRPr="00A9622F">
              <w:rPr>
                <w:rFonts w:ascii="Arial" w:hAnsi="Arial" w:cs="Arial"/>
                <w:b/>
                <w:sz w:val="16"/>
                <w:szCs w:val="16"/>
              </w:rPr>
              <w:t>4,360</w:t>
            </w:r>
          </w:p>
        </w:tc>
        <w:tc>
          <w:tcPr>
            <w:tcW w:w="856" w:type="dxa"/>
            <w:tcBorders>
              <w:top w:val="single" w:sz="4" w:space="0" w:color="auto"/>
              <w:left w:val="nil"/>
              <w:bottom w:val="single" w:sz="4" w:space="0" w:color="auto"/>
              <w:right w:val="nil"/>
            </w:tcBorders>
            <w:shd w:val="clear" w:color="auto" w:fill="auto"/>
            <w:noWrap/>
            <w:vAlign w:val="bottom"/>
            <w:hideMark/>
          </w:tcPr>
          <w:p w14:paraId="70596645" w14:textId="64D76222" w:rsidR="00A742DC" w:rsidRPr="00A9622F" w:rsidRDefault="00A742DC" w:rsidP="00A742DC">
            <w:pPr>
              <w:spacing w:after="0" w:line="240" w:lineRule="auto"/>
              <w:jc w:val="right"/>
              <w:rPr>
                <w:rFonts w:ascii="Arial" w:hAnsi="Arial" w:cs="Arial"/>
                <w:b/>
                <w:bCs/>
                <w:color w:val="000000"/>
                <w:sz w:val="16"/>
                <w:szCs w:val="16"/>
              </w:rPr>
            </w:pPr>
            <w:r w:rsidRPr="00A9622F">
              <w:rPr>
                <w:rFonts w:ascii="Arial" w:hAnsi="Arial" w:cs="Arial"/>
                <w:b/>
                <w:sz w:val="16"/>
                <w:szCs w:val="16"/>
              </w:rPr>
              <w:t>5,865</w:t>
            </w:r>
          </w:p>
        </w:tc>
        <w:tc>
          <w:tcPr>
            <w:tcW w:w="856" w:type="dxa"/>
            <w:tcBorders>
              <w:top w:val="single" w:sz="4" w:space="0" w:color="auto"/>
              <w:left w:val="nil"/>
              <w:bottom w:val="single" w:sz="4" w:space="0" w:color="auto"/>
              <w:right w:val="nil"/>
            </w:tcBorders>
            <w:shd w:val="clear" w:color="auto" w:fill="auto"/>
            <w:noWrap/>
            <w:vAlign w:val="bottom"/>
            <w:hideMark/>
          </w:tcPr>
          <w:p w14:paraId="30B546B3" w14:textId="6BEF0375" w:rsidR="00A742DC" w:rsidRPr="00A9622F" w:rsidRDefault="00A742DC" w:rsidP="00A742DC">
            <w:pPr>
              <w:spacing w:after="0" w:line="240" w:lineRule="auto"/>
              <w:jc w:val="right"/>
              <w:rPr>
                <w:rFonts w:ascii="Arial" w:hAnsi="Arial" w:cs="Arial"/>
                <w:b/>
                <w:bCs/>
                <w:color w:val="000000"/>
                <w:sz w:val="16"/>
                <w:szCs w:val="16"/>
              </w:rPr>
            </w:pPr>
            <w:r w:rsidRPr="00A9622F">
              <w:rPr>
                <w:rFonts w:ascii="Arial" w:hAnsi="Arial" w:cs="Arial"/>
                <w:b/>
                <w:sz w:val="16"/>
                <w:szCs w:val="16"/>
              </w:rPr>
              <w:t>6,066</w:t>
            </w:r>
          </w:p>
        </w:tc>
      </w:tr>
      <w:tr w:rsidR="00A742DC" w:rsidRPr="00A742DC" w14:paraId="68241975" w14:textId="77777777" w:rsidTr="00D812C6">
        <w:trPr>
          <w:trHeight w:val="204"/>
        </w:trPr>
        <w:tc>
          <w:tcPr>
            <w:tcW w:w="3119" w:type="dxa"/>
            <w:tcBorders>
              <w:top w:val="nil"/>
              <w:left w:val="nil"/>
              <w:bottom w:val="nil"/>
              <w:right w:val="nil"/>
            </w:tcBorders>
            <w:shd w:val="clear" w:color="auto" w:fill="auto"/>
            <w:hideMark/>
          </w:tcPr>
          <w:p w14:paraId="31AFB977" w14:textId="77777777" w:rsidR="00A742DC" w:rsidRPr="00A742DC" w:rsidRDefault="00A742DC" w:rsidP="00A742DC">
            <w:pPr>
              <w:spacing w:before="120" w:after="0" w:line="240" w:lineRule="auto"/>
              <w:jc w:val="left"/>
              <w:rPr>
                <w:rFonts w:ascii="Arial" w:hAnsi="Arial" w:cs="Arial"/>
                <w:b/>
                <w:bCs/>
                <w:color w:val="000000"/>
                <w:sz w:val="16"/>
                <w:szCs w:val="16"/>
                <w:u w:val="single"/>
              </w:rPr>
            </w:pPr>
            <w:r w:rsidRPr="00A742DC">
              <w:rPr>
                <w:rFonts w:ascii="Arial" w:hAnsi="Arial" w:cs="Arial"/>
                <w:b/>
                <w:bCs/>
                <w:color w:val="000000"/>
                <w:sz w:val="16"/>
                <w:szCs w:val="16"/>
                <w:u w:val="single"/>
              </w:rPr>
              <w:t>Appropriation Bill No. 4</w:t>
            </w:r>
          </w:p>
          <w:p w14:paraId="3D6ADA1B" w14:textId="77777777" w:rsidR="00A742DC" w:rsidRPr="00A742DC" w:rsidRDefault="00A742DC" w:rsidP="00A742DC">
            <w:pPr>
              <w:spacing w:after="0" w:line="240" w:lineRule="auto"/>
              <w:jc w:val="left"/>
              <w:rPr>
                <w:rFonts w:ascii="Arial" w:hAnsi="Arial" w:cs="Arial"/>
                <w:b/>
                <w:bCs/>
                <w:color w:val="000000"/>
                <w:sz w:val="16"/>
                <w:szCs w:val="16"/>
              </w:rPr>
            </w:pPr>
            <w:r w:rsidRPr="00A742DC">
              <w:rPr>
                <w:rFonts w:ascii="Arial" w:hAnsi="Arial" w:cs="Arial"/>
                <w:b/>
                <w:bCs/>
                <w:color w:val="000000"/>
                <w:sz w:val="16"/>
                <w:szCs w:val="16"/>
              </w:rPr>
              <w:t>Outcome 1</w:t>
            </w:r>
          </w:p>
        </w:tc>
        <w:tc>
          <w:tcPr>
            <w:tcW w:w="866" w:type="dxa"/>
            <w:tcBorders>
              <w:top w:val="nil"/>
              <w:left w:val="nil"/>
              <w:bottom w:val="nil"/>
              <w:right w:val="nil"/>
            </w:tcBorders>
            <w:shd w:val="clear" w:color="auto" w:fill="auto"/>
            <w:noWrap/>
            <w:vAlign w:val="bottom"/>
            <w:hideMark/>
          </w:tcPr>
          <w:p w14:paraId="473E0969" w14:textId="77777777" w:rsidR="00A742DC" w:rsidRPr="00A742DC" w:rsidRDefault="00A742DC" w:rsidP="00A742DC">
            <w:pPr>
              <w:spacing w:after="0" w:line="240" w:lineRule="auto"/>
              <w:jc w:val="right"/>
              <w:rPr>
                <w:rFonts w:ascii="Arial" w:hAnsi="Arial" w:cs="Arial"/>
                <w:b/>
                <w:bCs/>
                <w:color w:val="000000"/>
                <w:sz w:val="16"/>
                <w:szCs w:val="16"/>
              </w:rPr>
            </w:pPr>
          </w:p>
        </w:tc>
        <w:tc>
          <w:tcPr>
            <w:tcW w:w="858" w:type="dxa"/>
            <w:tcBorders>
              <w:top w:val="single" w:sz="4" w:space="0" w:color="auto"/>
              <w:left w:val="nil"/>
              <w:right w:val="nil"/>
            </w:tcBorders>
            <w:shd w:val="clear" w:color="000000" w:fill="E6E6E6"/>
            <w:noWrap/>
            <w:vAlign w:val="bottom"/>
            <w:hideMark/>
          </w:tcPr>
          <w:p w14:paraId="31FBE58D" w14:textId="77777777" w:rsidR="00A742DC" w:rsidRPr="000161DE" w:rsidRDefault="00A742DC" w:rsidP="00A742DC">
            <w:pPr>
              <w:spacing w:after="0" w:line="240" w:lineRule="auto"/>
              <w:jc w:val="right"/>
              <w:rPr>
                <w:rFonts w:ascii="Arial" w:hAnsi="Arial" w:cs="Arial"/>
                <w:sz w:val="16"/>
                <w:szCs w:val="16"/>
              </w:rPr>
            </w:pPr>
          </w:p>
        </w:tc>
        <w:tc>
          <w:tcPr>
            <w:tcW w:w="856" w:type="dxa"/>
            <w:tcBorders>
              <w:top w:val="single" w:sz="4" w:space="0" w:color="auto"/>
              <w:left w:val="nil"/>
              <w:right w:val="nil"/>
            </w:tcBorders>
            <w:shd w:val="clear" w:color="auto" w:fill="auto"/>
            <w:noWrap/>
            <w:vAlign w:val="bottom"/>
            <w:hideMark/>
          </w:tcPr>
          <w:p w14:paraId="27A214FC" w14:textId="77777777" w:rsidR="00A742DC" w:rsidRPr="000161DE" w:rsidRDefault="00A742DC" w:rsidP="00A742DC">
            <w:pPr>
              <w:spacing w:after="0" w:line="240" w:lineRule="auto"/>
              <w:jc w:val="right"/>
              <w:rPr>
                <w:rFonts w:ascii="Arial" w:hAnsi="Arial" w:cs="Arial"/>
                <w:sz w:val="16"/>
                <w:szCs w:val="16"/>
              </w:rPr>
            </w:pPr>
          </w:p>
        </w:tc>
        <w:tc>
          <w:tcPr>
            <w:tcW w:w="856" w:type="dxa"/>
            <w:tcBorders>
              <w:top w:val="single" w:sz="4" w:space="0" w:color="auto"/>
              <w:left w:val="nil"/>
              <w:right w:val="nil"/>
            </w:tcBorders>
            <w:shd w:val="clear" w:color="auto" w:fill="auto"/>
            <w:noWrap/>
            <w:vAlign w:val="bottom"/>
            <w:hideMark/>
          </w:tcPr>
          <w:p w14:paraId="100BDB52" w14:textId="77777777" w:rsidR="00A742DC" w:rsidRPr="000161DE" w:rsidRDefault="00A742DC" w:rsidP="00A742DC">
            <w:pPr>
              <w:spacing w:after="0" w:line="240" w:lineRule="auto"/>
              <w:jc w:val="right"/>
              <w:rPr>
                <w:rFonts w:ascii="Arial" w:hAnsi="Arial" w:cs="Arial"/>
                <w:sz w:val="16"/>
                <w:szCs w:val="16"/>
              </w:rPr>
            </w:pPr>
          </w:p>
        </w:tc>
        <w:tc>
          <w:tcPr>
            <w:tcW w:w="856" w:type="dxa"/>
            <w:tcBorders>
              <w:top w:val="single" w:sz="4" w:space="0" w:color="auto"/>
              <w:left w:val="nil"/>
              <w:right w:val="nil"/>
            </w:tcBorders>
            <w:shd w:val="clear" w:color="auto" w:fill="auto"/>
            <w:noWrap/>
            <w:vAlign w:val="bottom"/>
            <w:hideMark/>
          </w:tcPr>
          <w:p w14:paraId="31E98F1D" w14:textId="77777777" w:rsidR="00A742DC" w:rsidRPr="000161DE" w:rsidRDefault="00A742DC" w:rsidP="00A742DC">
            <w:pPr>
              <w:spacing w:after="0" w:line="240" w:lineRule="auto"/>
              <w:jc w:val="right"/>
              <w:rPr>
                <w:rFonts w:ascii="Arial" w:hAnsi="Arial" w:cs="Arial"/>
                <w:sz w:val="16"/>
                <w:szCs w:val="16"/>
              </w:rPr>
            </w:pPr>
          </w:p>
        </w:tc>
      </w:tr>
      <w:tr w:rsidR="00A742DC" w:rsidRPr="00A742DC" w14:paraId="7DB65760" w14:textId="77777777" w:rsidTr="00D812C6">
        <w:trPr>
          <w:trHeight w:val="204"/>
        </w:trPr>
        <w:tc>
          <w:tcPr>
            <w:tcW w:w="3119" w:type="dxa"/>
            <w:tcBorders>
              <w:top w:val="nil"/>
              <w:left w:val="nil"/>
              <w:bottom w:val="nil"/>
              <w:right w:val="nil"/>
            </w:tcBorders>
            <w:shd w:val="clear" w:color="auto" w:fill="auto"/>
            <w:hideMark/>
          </w:tcPr>
          <w:p w14:paraId="4BF19A1C" w14:textId="11248F0D" w:rsidR="00A742DC" w:rsidRPr="00A742DC" w:rsidRDefault="008863D9" w:rsidP="00A742DC">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A742DC" w:rsidRPr="00A742DC">
              <w:rPr>
                <w:rFonts w:ascii="Arial" w:hAnsi="Arial" w:cs="Arial"/>
                <w:b/>
                <w:bCs/>
                <w:color w:val="000000"/>
                <w:sz w:val="16"/>
                <w:szCs w:val="16"/>
              </w:rPr>
              <w:t xml:space="preserve">al </w:t>
            </w:r>
          </w:p>
        </w:tc>
        <w:tc>
          <w:tcPr>
            <w:tcW w:w="866" w:type="dxa"/>
            <w:tcBorders>
              <w:top w:val="nil"/>
              <w:left w:val="nil"/>
              <w:bottom w:val="nil"/>
              <w:right w:val="nil"/>
            </w:tcBorders>
            <w:shd w:val="clear" w:color="auto" w:fill="auto"/>
            <w:noWrap/>
            <w:vAlign w:val="bottom"/>
            <w:hideMark/>
          </w:tcPr>
          <w:p w14:paraId="0EB200A3" w14:textId="77777777" w:rsidR="00A742DC" w:rsidRPr="00A742DC" w:rsidRDefault="00A742DC" w:rsidP="00A742DC">
            <w:pPr>
              <w:spacing w:after="0" w:line="240" w:lineRule="auto"/>
              <w:jc w:val="right"/>
              <w:rPr>
                <w:rFonts w:ascii="Arial" w:hAnsi="Arial" w:cs="Arial"/>
                <w:b/>
                <w:bCs/>
                <w:color w:val="000000"/>
                <w:sz w:val="16"/>
                <w:szCs w:val="16"/>
              </w:rPr>
            </w:pPr>
          </w:p>
        </w:tc>
        <w:tc>
          <w:tcPr>
            <w:tcW w:w="858" w:type="dxa"/>
            <w:tcBorders>
              <w:left w:val="nil"/>
              <w:right w:val="nil"/>
            </w:tcBorders>
            <w:shd w:val="clear" w:color="000000" w:fill="E6E6E6"/>
            <w:noWrap/>
            <w:vAlign w:val="bottom"/>
            <w:hideMark/>
          </w:tcPr>
          <w:p w14:paraId="5DCF263C" w14:textId="77777777" w:rsidR="00A742DC" w:rsidRPr="000161DE" w:rsidRDefault="00A742DC" w:rsidP="00A742DC">
            <w:pPr>
              <w:spacing w:after="0" w:line="240" w:lineRule="auto"/>
              <w:jc w:val="right"/>
              <w:rPr>
                <w:rFonts w:ascii="Arial" w:hAnsi="Arial" w:cs="Arial"/>
                <w:sz w:val="16"/>
                <w:szCs w:val="16"/>
              </w:rPr>
            </w:pPr>
          </w:p>
        </w:tc>
        <w:tc>
          <w:tcPr>
            <w:tcW w:w="856" w:type="dxa"/>
            <w:tcBorders>
              <w:left w:val="nil"/>
              <w:right w:val="nil"/>
            </w:tcBorders>
            <w:shd w:val="clear" w:color="auto" w:fill="auto"/>
            <w:noWrap/>
            <w:vAlign w:val="bottom"/>
            <w:hideMark/>
          </w:tcPr>
          <w:p w14:paraId="6EFAAE66" w14:textId="77777777" w:rsidR="00A742DC" w:rsidRPr="000161DE" w:rsidRDefault="00A742DC" w:rsidP="00A742DC">
            <w:pPr>
              <w:spacing w:after="0" w:line="240" w:lineRule="auto"/>
              <w:jc w:val="right"/>
              <w:rPr>
                <w:rFonts w:ascii="Arial" w:hAnsi="Arial" w:cs="Arial"/>
                <w:sz w:val="16"/>
                <w:szCs w:val="16"/>
              </w:rPr>
            </w:pPr>
          </w:p>
        </w:tc>
        <w:tc>
          <w:tcPr>
            <w:tcW w:w="856" w:type="dxa"/>
            <w:tcBorders>
              <w:left w:val="nil"/>
              <w:right w:val="nil"/>
            </w:tcBorders>
            <w:shd w:val="clear" w:color="auto" w:fill="auto"/>
            <w:noWrap/>
            <w:vAlign w:val="bottom"/>
            <w:hideMark/>
          </w:tcPr>
          <w:p w14:paraId="220180C2" w14:textId="77777777" w:rsidR="00A742DC" w:rsidRPr="000161DE" w:rsidRDefault="00A742DC" w:rsidP="00A742DC">
            <w:pPr>
              <w:spacing w:after="0" w:line="240" w:lineRule="auto"/>
              <w:jc w:val="right"/>
              <w:rPr>
                <w:rFonts w:ascii="Arial" w:hAnsi="Arial" w:cs="Arial"/>
                <w:sz w:val="16"/>
                <w:szCs w:val="16"/>
              </w:rPr>
            </w:pPr>
          </w:p>
        </w:tc>
        <w:tc>
          <w:tcPr>
            <w:tcW w:w="856" w:type="dxa"/>
            <w:tcBorders>
              <w:left w:val="nil"/>
              <w:right w:val="nil"/>
            </w:tcBorders>
            <w:shd w:val="clear" w:color="auto" w:fill="auto"/>
            <w:noWrap/>
            <w:vAlign w:val="bottom"/>
            <w:hideMark/>
          </w:tcPr>
          <w:p w14:paraId="2EB55623" w14:textId="77777777" w:rsidR="00A742DC" w:rsidRPr="000161DE" w:rsidRDefault="00A742DC" w:rsidP="00A742DC">
            <w:pPr>
              <w:spacing w:after="0" w:line="240" w:lineRule="auto"/>
              <w:jc w:val="right"/>
              <w:rPr>
                <w:rFonts w:ascii="Arial" w:hAnsi="Arial" w:cs="Arial"/>
                <w:sz w:val="16"/>
                <w:szCs w:val="16"/>
              </w:rPr>
            </w:pPr>
          </w:p>
        </w:tc>
      </w:tr>
      <w:tr w:rsidR="00A742DC" w:rsidRPr="00A742DC" w14:paraId="75ADCA1D" w14:textId="77777777" w:rsidTr="00D812C6">
        <w:trPr>
          <w:trHeight w:val="204"/>
        </w:trPr>
        <w:tc>
          <w:tcPr>
            <w:tcW w:w="3119" w:type="dxa"/>
            <w:tcBorders>
              <w:top w:val="nil"/>
              <w:left w:val="nil"/>
              <w:bottom w:val="nil"/>
              <w:right w:val="nil"/>
            </w:tcBorders>
            <w:shd w:val="clear" w:color="auto" w:fill="auto"/>
            <w:hideMark/>
          </w:tcPr>
          <w:p w14:paraId="5742F5D6" w14:textId="77777777" w:rsidR="00A742DC" w:rsidRPr="00A742DC" w:rsidRDefault="00A742DC" w:rsidP="00A742DC">
            <w:pPr>
              <w:spacing w:after="0" w:line="240" w:lineRule="auto"/>
              <w:ind w:left="113"/>
              <w:jc w:val="left"/>
              <w:rPr>
                <w:rFonts w:ascii="Arial" w:hAnsi="Arial" w:cs="Arial"/>
                <w:b/>
                <w:bCs/>
                <w:color w:val="000000"/>
                <w:sz w:val="16"/>
                <w:szCs w:val="16"/>
              </w:rPr>
            </w:pPr>
            <w:r w:rsidRPr="00A742DC">
              <w:rPr>
                <w:rFonts w:ascii="Arial" w:hAnsi="Arial" w:cs="Arial"/>
                <w:b/>
                <w:bCs/>
                <w:color w:val="000000"/>
                <w:sz w:val="16"/>
                <w:szCs w:val="16"/>
              </w:rPr>
              <w:t>Annual appropriations – other services</w:t>
            </w:r>
          </w:p>
        </w:tc>
        <w:tc>
          <w:tcPr>
            <w:tcW w:w="866" w:type="dxa"/>
            <w:tcBorders>
              <w:top w:val="nil"/>
              <w:left w:val="nil"/>
              <w:bottom w:val="nil"/>
              <w:right w:val="nil"/>
            </w:tcBorders>
            <w:shd w:val="clear" w:color="auto" w:fill="auto"/>
            <w:noWrap/>
            <w:vAlign w:val="bottom"/>
            <w:hideMark/>
          </w:tcPr>
          <w:p w14:paraId="3EDDE53D" w14:textId="77777777" w:rsidR="00A742DC" w:rsidRPr="00A742DC" w:rsidRDefault="00A742DC" w:rsidP="00A742DC">
            <w:pPr>
              <w:spacing w:after="0" w:line="240" w:lineRule="auto"/>
              <w:jc w:val="right"/>
              <w:rPr>
                <w:rFonts w:ascii="Arial" w:hAnsi="Arial" w:cs="Arial"/>
                <w:b/>
                <w:bCs/>
                <w:color w:val="000000"/>
                <w:sz w:val="16"/>
                <w:szCs w:val="16"/>
              </w:rPr>
            </w:pPr>
          </w:p>
        </w:tc>
        <w:tc>
          <w:tcPr>
            <w:tcW w:w="858" w:type="dxa"/>
            <w:tcBorders>
              <w:left w:val="nil"/>
              <w:right w:val="nil"/>
            </w:tcBorders>
            <w:shd w:val="clear" w:color="000000" w:fill="E6E6E6"/>
            <w:noWrap/>
            <w:vAlign w:val="bottom"/>
            <w:hideMark/>
          </w:tcPr>
          <w:p w14:paraId="61B02E79" w14:textId="77777777" w:rsidR="00A742DC" w:rsidRPr="000161DE" w:rsidRDefault="00A742DC" w:rsidP="00A742DC">
            <w:pPr>
              <w:spacing w:after="0" w:line="240" w:lineRule="auto"/>
              <w:jc w:val="right"/>
              <w:rPr>
                <w:rFonts w:ascii="Arial" w:hAnsi="Arial" w:cs="Arial"/>
                <w:sz w:val="16"/>
                <w:szCs w:val="16"/>
              </w:rPr>
            </w:pPr>
          </w:p>
        </w:tc>
        <w:tc>
          <w:tcPr>
            <w:tcW w:w="856" w:type="dxa"/>
            <w:tcBorders>
              <w:left w:val="nil"/>
              <w:right w:val="nil"/>
            </w:tcBorders>
            <w:shd w:val="clear" w:color="auto" w:fill="auto"/>
            <w:noWrap/>
            <w:vAlign w:val="bottom"/>
            <w:hideMark/>
          </w:tcPr>
          <w:p w14:paraId="3EF3C594" w14:textId="77777777" w:rsidR="00A742DC" w:rsidRPr="000161DE" w:rsidRDefault="00A742DC" w:rsidP="00A742DC">
            <w:pPr>
              <w:spacing w:after="0" w:line="240" w:lineRule="auto"/>
              <w:jc w:val="right"/>
              <w:rPr>
                <w:rFonts w:ascii="Arial" w:hAnsi="Arial" w:cs="Arial"/>
                <w:sz w:val="16"/>
                <w:szCs w:val="16"/>
              </w:rPr>
            </w:pPr>
          </w:p>
        </w:tc>
        <w:tc>
          <w:tcPr>
            <w:tcW w:w="856" w:type="dxa"/>
            <w:tcBorders>
              <w:left w:val="nil"/>
              <w:right w:val="nil"/>
            </w:tcBorders>
            <w:shd w:val="clear" w:color="auto" w:fill="auto"/>
            <w:noWrap/>
            <w:vAlign w:val="bottom"/>
            <w:hideMark/>
          </w:tcPr>
          <w:p w14:paraId="28EF8EA4" w14:textId="77777777" w:rsidR="00A742DC" w:rsidRPr="000161DE" w:rsidRDefault="00A742DC" w:rsidP="00A742DC">
            <w:pPr>
              <w:spacing w:after="0" w:line="240" w:lineRule="auto"/>
              <w:jc w:val="right"/>
              <w:rPr>
                <w:rFonts w:ascii="Arial" w:hAnsi="Arial" w:cs="Arial"/>
                <w:sz w:val="16"/>
                <w:szCs w:val="16"/>
              </w:rPr>
            </w:pPr>
          </w:p>
        </w:tc>
        <w:tc>
          <w:tcPr>
            <w:tcW w:w="856" w:type="dxa"/>
            <w:tcBorders>
              <w:left w:val="nil"/>
              <w:right w:val="nil"/>
            </w:tcBorders>
            <w:shd w:val="clear" w:color="auto" w:fill="auto"/>
            <w:noWrap/>
            <w:vAlign w:val="bottom"/>
            <w:hideMark/>
          </w:tcPr>
          <w:p w14:paraId="093FF52F" w14:textId="77777777" w:rsidR="00A742DC" w:rsidRPr="000161DE" w:rsidRDefault="00A742DC" w:rsidP="00A742DC">
            <w:pPr>
              <w:spacing w:after="0" w:line="240" w:lineRule="auto"/>
              <w:jc w:val="right"/>
              <w:rPr>
                <w:rFonts w:ascii="Arial" w:hAnsi="Arial" w:cs="Arial"/>
                <w:sz w:val="16"/>
                <w:szCs w:val="16"/>
              </w:rPr>
            </w:pPr>
          </w:p>
        </w:tc>
      </w:tr>
      <w:tr w:rsidR="00A742DC" w:rsidRPr="00A742DC" w14:paraId="1AD5E80A" w14:textId="77777777" w:rsidTr="00D812C6">
        <w:trPr>
          <w:trHeight w:val="204"/>
        </w:trPr>
        <w:tc>
          <w:tcPr>
            <w:tcW w:w="3119" w:type="dxa"/>
            <w:tcBorders>
              <w:top w:val="nil"/>
              <w:left w:val="nil"/>
              <w:bottom w:val="nil"/>
              <w:right w:val="nil"/>
            </w:tcBorders>
            <w:shd w:val="clear" w:color="auto" w:fill="auto"/>
            <w:hideMark/>
          </w:tcPr>
          <w:p w14:paraId="272FA3A9" w14:textId="77777777" w:rsidR="00A742DC" w:rsidRPr="00A742DC" w:rsidRDefault="00A742DC" w:rsidP="00A742DC">
            <w:pPr>
              <w:spacing w:after="0" w:line="240" w:lineRule="auto"/>
              <w:ind w:left="227"/>
              <w:jc w:val="left"/>
              <w:rPr>
                <w:rFonts w:ascii="Arial" w:hAnsi="Arial" w:cs="Arial"/>
                <w:b/>
                <w:bCs/>
                <w:color w:val="000000"/>
                <w:sz w:val="16"/>
                <w:szCs w:val="16"/>
              </w:rPr>
            </w:pPr>
            <w:r w:rsidRPr="00A742DC">
              <w:rPr>
                <w:rFonts w:ascii="Arial" w:hAnsi="Arial" w:cs="Arial"/>
                <w:b/>
                <w:bCs/>
                <w:color w:val="000000"/>
                <w:sz w:val="16"/>
                <w:szCs w:val="16"/>
              </w:rPr>
              <w:t xml:space="preserve">Measures </w:t>
            </w:r>
          </w:p>
        </w:tc>
        <w:tc>
          <w:tcPr>
            <w:tcW w:w="866" w:type="dxa"/>
            <w:tcBorders>
              <w:top w:val="nil"/>
              <w:left w:val="nil"/>
              <w:bottom w:val="nil"/>
              <w:right w:val="nil"/>
            </w:tcBorders>
            <w:shd w:val="clear" w:color="auto" w:fill="auto"/>
            <w:noWrap/>
            <w:vAlign w:val="bottom"/>
            <w:hideMark/>
          </w:tcPr>
          <w:p w14:paraId="69A65E3D" w14:textId="77777777" w:rsidR="00A742DC" w:rsidRPr="00A742DC" w:rsidRDefault="00A742DC" w:rsidP="00A742DC">
            <w:pPr>
              <w:spacing w:after="0" w:line="240" w:lineRule="auto"/>
              <w:jc w:val="right"/>
              <w:rPr>
                <w:rFonts w:ascii="Arial" w:hAnsi="Arial" w:cs="Arial"/>
                <w:b/>
                <w:bCs/>
                <w:color w:val="000000"/>
                <w:sz w:val="16"/>
                <w:szCs w:val="16"/>
              </w:rPr>
            </w:pPr>
          </w:p>
        </w:tc>
        <w:tc>
          <w:tcPr>
            <w:tcW w:w="858" w:type="dxa"/>
            <w:tcBorders>
              <w:left w:val="nil"/>
              <w:right w:val="nil"/>
            </w:tcBorders>
            <w:shd w:val="clear" w:color="000000" w:fill="E6E6E6"/>
            <w:noWrap/>
            <w:vAlign w:val="bottom"/>
            <w:hideMark/>
          </w:tcPr>
          <w:p w14:paraId="2E7A2DD1" w14:textId="77777777" w:rsidR="00A742DC" w:rsidRPr="000161DE" w:rsidRDefault="00A742DC" w:rsidP="00A742DC">
            <w:pPr>
              <w:spacing w:after="0" w:line="240" w:lineRule="auto"/>
              <w:jc w:val="right"/>
              <w:rPr>
                <w:rFonts w:ascii="Arial" w:hAnsi="Arial" w:cs="Arial"/>
                <w:sz w:val="16"/>
                <w:szCs w:val="16"/>
              </w:rPr>
            </w:pPr>
          </w:p>
        </w:tc>
        <w:tc>
          <w:tcPr>
            <w:tcW w:w="856" w:type="dxa"/>
            <w:tcBorders>
              <w:left w:val="nil"/>
              <w:right w:val="nil"/>
            </w:tcBorders>
            <w:shd w:val="clear" w:color="auto" w:fill="auto"/>
            <w:noWrap/>
            <w:vAlign w:val="bottom"/>
            <w:hideMark/>
          </w:tcPr>
          <w:p w14:paraId="203C74BB" w14:textId="77777777" w:rsidR="00A742DC" w:rsidRPr="000161DE" w:rsidRDefault="00A742DC" w:rsidP="00A742DC">
            <w:pPr>
              <w:spacing w:after="0" w:line="240" w:lineRule="auto"/>
              <w:jc w:val="right"/>
              <w:rPr>
                <w:rFonts w:ascii="Arial" w:hAnsi="Arial" w:cs="Arial"/>
                <w:sz w:val="16"/>
                <w:szCs w:val="16"/>
              </w:rPr>
            </w:pPr>
          </w:p>
        </w:tc>
        <w:tc>
          <w:tcPr>
            <w:tcW w:w="856" w:type="dxa"/>
            <w:tcBorders>
              <w:left w:val="nil"/>
              <w:right w:val="nil"/>
            </w:tcBorders>
            <w:shd w:val="clear" w:color="auto" w:fill="auto"/>
            <w:noWrap/>
            <w:vAlign w:val="bottom"/>
            <w:hideMark/>
          </w:tcPr>
          <w:p w14:paraId="4A57008D" w14:textId="77777777" w:rsidR="00A742DC" w:rsidRPr="000161DE" w:rsidRDefault="00A742DC" w:rsidP="00A742DC">
            <w:pPr>
              <w:spacing w:after="0" w:line="240" w:lineRule="auto"/>
              <w:jc w:val="right"/>
              <w:rPr>
                <w:rFonts w:ascii="Arial" w:hAnsi="Arial" w:cs="Arial"/>
                <w:sz w:val="16"/>
                <w:szCs w:val="16"/>
              </w:rPr>
            </w:pPr>
          </w:p>
        </w:tc>
        <w:tc>
          <w:tcPr>
            <w:tcW w:w="856" w:type="dxa"/>
            <w:tcBorders>
              <w:left w:val="nil"/>
              <w:right w:val="nil"/>
            </w:tcBorders>
            <w:shd w:val="clear" w:color="auto" w:fill="auto"/>
            <w:noWrap/>
            <w:vAlign w:val="bottom"/>
            <w:hideMark/>
          </w:tcPr>
          <w:p w14:paraId="06BCFA2B" w14:textId="77777777" w:rsidR="00A742DC" w:rsidRPr="000161DE" w:rsidRDefault="00A742DC" w:rsidP="00A742DC">
            <w:pPr>
              <w:spacing w:after="0" w:line="240" w:lineRule="auto"/>
              <w:jc w:val="right"/>
              <w:rPr>
                <w:rFonts w:ascii="Arial" w:hAnsi="Arial" w:cs="Arial"/>
                <w:sz w:val="16"/>
                <w:szCs w:val="16"/>
              </w:rPr>
            </w:pPr>
          </w:p>
        </w:tc>
      </w:tr>
      <w:tr w:rsidR="00A742DC" w:rsidRPr="00A742DC" w14:paraId="32EF63EA" w14:textId="77777777" w:rsidTr="00D812C6">
        <w:trPr>
          <w:trHeight w:val="204"/>
        </w:trPr>
        <w:tc>
          <w:tcPr>
            <w:tcW w:w="3119" w:type="dxa"/>
            <w:tcBorders>
              <w:top w:val="nil"/>
              <w:left w:val="nil"/>
              <w:bottom w:val="nil"/>
              <w:right w:val="nil"/>
            </w:tcBorders>
            <w:shd w:val="clear" w:color="auto" w:fill="auto"/>
            <w:hideMark/>
          </w:tcPr>
          <w:p w14:paraId="1B3385C0" w14:textId="77777777" w:rsidR="00A742DC" w:rsidRPr="00A742DC" w:rsidRDefault="00A742DC" w:rsidP="00A742DC">
            <w:pPr>
              <w:spacing w:after="0" w:line="240" w:lineRule="auto"/>
              <w:ind w:left="340"/>
              <w:jc w:val="left"/>
              <w:rPr>
                <w:rFonts w:ascii="Arial" w:hAnsi="Arial" w:cs="Arial"/>
                <w:bCs/>
                <w:color w:val="000000"/>
                <w:sz w:val="16"/>
                <w:szCs w:val="16"/>
              </w:rPr>
            </w:pPr>
            <w:r w:rsidRPr="00A742DC">
              <w:rPr>
                <w:rFonts w:ascii="Arial" w:hAnsi="Arial" w:cs="Arial"/>
                <w:bCs/>
                <w:color w:val="000000"/>
                <w:sz w:val="16"/>
                <w:szCs w:val="16"/>
              </w:rPr>
              <w:t>National Collecting Institutions - Upgrading Digital Capacity</w:t>
            </w:r>
          </w:p>
        </w:tc>
        <w:tc>
          <w:tcPr>
            <w:tcW w:w="866" w:type="dxa"/>
            <w:tcBorders>
              <w:top w:val="nil"/>
              <w:left w:val="nil"/>
              <w:bottom w:val="nil"/>
              <w:right w:val="nil"/>
            </w:tcBorders>
            <w:shd w:val="clear" w:color="auto" w:fill="auto"/>
            <w:noWrap/>
            <w:vAlign w:val="bottom"/>
            <w:hideMark/>
          </w:tcPr>
          <w:p w14:paraId="229EE07B" w14:textId="77777777" w:rsidR="00A742DC" w:rsidRPr="00D812C6" w:rsidRDefault="00A742DC" w:rsidP="00D812C6">
            <w:pPr>
              <w:spacing w:after="0" w:line="240" w:lineRule="auto"/>
              <w:jc w:val="center"/>
              <w:rPr>
                <w:rFonts w:ascii="Arial" w:hAnsi="Arial" w:cs="Arial"/>
                <w:bCs/>
                <w:color w:val="000000"/>
                <w:sz w:val="16"/>
                <w:szCs w:val="16"/>
              </w:rPr>
            </w:pPr>
            <w:r w:rsidRPr="00D812C6">
              <w:rPr>
                <w:rFonts w:ascii="Arial" w:hAnsi="Arial" w:cs="Arial"/>
                <w:bCs/>
                <w:color w:val="000000"/>
                <w:sz w:val="16"/>
                <w:szCs w:val="16"/>
              </w:rPr>
              <w:t>1.1</w:t>
            </w:r>
          </w:p>
        </w:tc>
        <w:tc>
          <w:tcPr>
            <w:tcW w:w="858" w:type="dxa"/>
            <w:tcBorders>
              <w:left w:val="nil"/>
              <w:bottom w:val="single" w:sz="4" w:space="0" w:color="auto"/>
              <w:right w:val="nil"/>
            </w:tcBorders>
            <w:shd w:val="clear" w:color="000000" w:fill="E6E6E6"/>
            <w:noWrap/>
            <w:vAlign w:val="bottom"/>
            <w:hideMark/>
          </w:tcPr>
          <w:p w14:paraId="44169E55" w14:textId="77777777" w:rsidR="00A742DC" w:rsidRPr="000161DE" w:rsidRDefault="00A742DC" w:rsidP="00A742DC">
            <w:pPr>
              <w:spacing w:after="0" w:line="240" w:lineRule="auto"/>
              <w:jc w:val="right"/>
              <w:rPr>
                <w:rFonts w:ascii="Arial" w:hAnsi="Arial" w:cs="Arial"/>
                <w:sz w:val="16"/>
                <w:szCs w:val="16"/>
              </w:rPr>
            </w:pPr>
            <w:r w:rsidRPr="000161DE">
              <w:rPr>
                <w:rFonts w:ascii="Arial" w:hAnsi="Arial" w:cs="Arial"/>
                <w:sz w:val="16"/>
                <w:szCs w:val="16"/>
              </w:rPr>
              <w:t>3,518</w:t>
            </w:r>
          </w:p>
        </w:tc>
        <w:tc>
          <w:tcPr>
            <w:tcW w:w="856" w:type="dxa"/>
            <w:tcBorders>
              <w:left w:val="nil"/>
              <w:bottom w:val="single" w:sz="4" w:space="0" w:color="auto"/>
              <w:right w:val="nil"/>
            </w:tcBorders>
            <w:shd w:val="clear" w:color="auto" w:fill="auto"/>
            <w:noWrap/>
            <w:vAlign w:val="bottom"/>
            <w:hideMark/>
          </w:tcPr>
          <w:p w14:paraId="32C4FFF1" w14:textId="25F1F255" w:rsidR="00A742DC" w:rsidRPr="000161DE" w:rsidRDefault="00A742DC" w:rsidP="00A742DC">
            <w:pPr>
              <w:spacing w:after="0" w:line="240" w:lineRule="auto"/>
              <w:jc w:val="right"/>
              <w:rPr>
                <w:rFonts w:ascii="Arial" w:hAnsi="Arial" w:cs="Arial"/>
                <w:sz w:val="16"/>
                <w:szCs w:val="16"/>
              </w:rPr>
            </w:pPr>
            <w:r w:rsidRPr="000161DE">
              <w:rPr>
                <w:rFonts w:ascii="Arial" w:hAnsi="Arial" w:cs="Arial"/>
                <w:sz w:val="16"/>
                <w:szCs w:val="16"/>
              </w:rPr>
              <w:t>7,585</w:t>
            </w:r>
          </w:p>
        </w:tc>
        <w:tc>
          <w:tcPr>
            <w:tcW w:w="856" w:type="dxa"/>
            <w:tcBorders>
              <w:left w:val="nil"/>
              <w:bottom w:val="single" w:sz="4" w:space="0" w:color="auto"/>
              <w:right w:val="nil"/>
            </w:tcBorders>
            <w:shd w:val="clear" w:color="auto" w:fill="auto"/>
            <w:noWrap/>
            <w:vAlign w:val="bottom"/>
            <w:hideMark/>
          </w:tcPr>
          <w:p w14:paraId="4A9B8AF4" w14:textId="6590515E" w:rsidR="00A742DC" w:rsidRPr="000161DE" w:rsidRDefault="00A742DC" w:rsidP="00A742DC">
            <w:pPr>
              <w:spacing w:after="0" w:line="240" w:lineRule="auto"/>
              <w:jc w:val="right"/>
              <w:rPr>
                <w:rFonts w:ascii="Arial" w:hAnsi="Arial" w:cs="Arial"/>
                <w:sz w:val="16"/>
                <w:szCs w:val="16"/>
              </w:rPr>
            </w:pPr>
            <w:r w:rsidRPr="000161DE">
              <w:rPr>
                <w:rFonts w:ascii="Arial" w:hAnsi="Arial" w:cs="Arial"/>
                <w:sz w:val="16"/>
                <w:szCs w:val="16"/>
              </w:rPr>
              <w:t>7,930</w:t>
            </w:r>
          </w:p>
        </w:tc>
        <w:tc>
          <w:tcPr>
            <w:tcW w:w="856" w:type="dxa"/>
            <w:tcBorders>
              <w:left w:val="nil"/>
              <w:bottom w:val="single" w:sz="4" w:space="0" w:color="auto"/>
              <w:right w:val="nil"/>
            </w:tcBorders>
            <w:shd w:val="clear" w:color="auto" w:fill="auto"/>
            <w:noWrap/>
            <w:vAlign w:val="bottom"/>
            <w:hideMark/>
          </w:tcPr>
          <w:p w14:paraId="4C2E9AA4" w14:textId="37387C32" w:rsidR="00A742DC" w:rsidRPr="000161DE" w:rsidRDefault="00A742DC" w:rsidP="00A742DC">
            <w:pPr>
              <w:spacing w:after="0" w:line="240" w:lineRule="auto"/>
              <w:jc w:val="right"/>
              <w:rPr>
                <w:rFonts w:ascii="Arial" w:hAnsi="Arial" w:cs="Arial"/>
                <w:sz w:val="16"/>
                <w:szCs w:val="16"/>
              </w:rPr>
            </w:pPr>
            <w:r w:rsidRPr="000161DE">
              <w:rPr>
                <w:rFonts w:ascii="Arial" w:hAnsi="Arial" w:cs="Arial"/>
                <w:sz w:val="16"/>
                <w:szCs w:val="16"/>
              </w:rPr>
              <w:t>4,064</w:t>
            </w:r>
          </w:p>
        </w:tc>
      </w:tr>
      <w:tr w:rsidR="00A742DC" w:rsidRPr="00A742DC" w14:paraId="56318D91" w14:textId="77777777" w:rsidTr="00D812C6">
        <w:trPr>
          <w:trHeight w:val="204"/>
        </w:trPr>
        <w:tc>
          <w:tcPr>
            <w:tcW w:w="3119" w:type="dxa"/>
            <w:tcBorders>
              <w:top w:val="nil"/>
              <w:left w:val="nil"/>
              <w:bottom w:val="nil"/>
              <w:right w:val="nil"/>
            </w:tcBorders>
            <w:shd w:val="clear" w:color="auto" w:fill="auto"/>
            <w:hideMark/>
          </w:tcPr>
          <w:p w14:paraId="24D8D5C9" w14:textId="77777777" w:rsidR="00A742DC" w:rsidRPr="00A742DC" w:rsidRDefault="00A742DC" w:rsidP="00A742DC">
            <w:pPr>
              <w:spacing w:after="0" w:line="240" w:lineRule="auto"/>
              <w:ind w:left="113"/>
              <w:jc w:val="left"/>
              <w:rPr>
                <w:rFonts w:ascii="Arial" w:hAnsi="Arial" w:cs="Arial"/>
                <w:b/>
                <w:bCs/>
                <w:color w:val="000000"/>
                <w:sz w:val="16"/>
                <w:szCs w:val="16"/>
              </w:rPr>
            </w:pPr>
            <w:r w:rsidRPr="00A742DC">
              <w:rPr>
                <w:rFonts w:ascii="Arial" w:hAnsi="Arial" w:cs="Arial"/>
                <w:b/>
                <w:bCs/>
                <w:color w:val="000000"/>
                <w:sz w:val="16"/>
                <w:szCs w:val="16"/>
              </w:rPr>
              <w:t>Total non-operating</w:t>
            </w:r>
          </w:p>
        </w:tc>
        <w:tc>
          <w:tcPr>
            <w:tcW w:w="866" w:type="dxa"/>
            <w:tcBorders>
              <w:top w:val="nil"/>
              <w:left w:val="nil"/>
              <w:bottom w:val="nil"/>
              <w:right w:val="nil"/>
            </w:tcBorders>
            <w:shd w:val="clear" w:color="auto" w:fill="auto"/>
            <w:noWrap/>
            <w:vAlign w:val="bottom"/>
            <w:hideMark/>
          </w:tcPr>
          <w:p w14:paraId="2D8E4854" w14:textId="77777777" w:rsidR="00A742DC" w:rsidRPr="00A742DC" w:rsidRDefault="00A742DC" w:rsidP="00A742DC">
            <w:pPr>
              <w:spacing w:after="0" w:line="240" w:lineRule="auto"/>
              <w:jc w:val="right"/>
              <w:rPr>
                <w:rFonts w:ascii="Arial" w:hAnsi="Arial" w:cs="Arial"/>
                <w:b/>
                <w:bCs/>
                <w:color w:val="000000"/>
                <w:sz w:val="16"/>
                <w:szCs w:val="16"/>
              </w:rPr>
            </w:pPr>
          </w:p>
        </w:tc>
        <w:tc>
          <w:tcPr>
            <w:tcW w:w="858" w:type="dxa"/>
            <w:tcBorders>
              <w:top w:val="single" w:sz="4" w:space="0" w:color="auto"/>
              <w:left w:val="nil"/>
              <w:bottom w:val="single" w:sz="4" w:space="0" w:color="auto"/>
              <w:right w:val="nil"/>
            </w:tcBorders>
            <w:shd w:val="clear" w:color="000000" w:fill="E6E6E6"/>
            <w:noWrap/>
            <w:vAlign w:val="bottom"/>
            <w:hideMark/>
          </w:tcPr>
          <w:p w14:paraId="46797CDB" w14:textId="77777777" w:rsidR="00A742DC" w:rsidRPr="00530072" w:rsidRDefault="00A742DC" w:rsidP="00A742DC">
            <w:pPr>
              <w:spacing w:after="0" w:line="240" w:lineRule="auto"/>
              <w:jc w:val="right"/>
              <w:rPr>
                <w:rFonts w:ascii="Arial" w:hAnsi="Arial" w:cs="Arial"/>
                <w:b/>
                <w:sz w:val="16"/>
                <w:szCs w:val="16"/>
              </w:rPr>
            </w:pPr>
            <w:r w:rsidRPr="00530072">
              <w:rPr>
                <w:rFonts w:ascii="Arial" w:hAnsi="Arial" w:cs="Arial"/>
                <w:b/>
                <w:sz w:val="16"/>
                <w:szCs w:val="16"/>
              </w:rPr>
              <w:t>3,518</w:t>
            </w:r>
          </w:p>
        </w:tc>
        <w:tc>
          <w:tcPr>
            <w:tcW w:w="856" w:type="dxa"/>
            <w:tcBorders>
              <w:top w:val="single" w:sz="4" w:space="0" w:color="auto"/>
              <w:left w:val="nil"/>
              <w:bottom w:val="single" w:sz="4" w:space="0" w:color="auto"/>
              <w:right w:val="nil"/>
            </w:tcBorders>
            <w:shd w:val="clear" w:color="auto" w:fill="auto"/>
            <w:noWrap/>
            <w:vAlign w:val="bottom"/>
            <w:hideMark/>
          </w:tcPr>
          <w:p w14:paraId="3DB7BC32" w14:textId="252022D2" w:rsidR="00A742DC" w:rsidRPr="00530072" w:rsidRDefault="00A742DC" w:rsidP="00A742DC">
            <w:pPr>
              <w:spacing w:after="0" w:line="240" w:lineRule="auto"/>
              <w:jc w:val="right"/>
              <w:rPr>
                <w:rFonts w:ascii="Arial" w:hAnsi="Arial" w:cs="Arial"/>
                <w:b/>
                <w:sz w:val="16"/>
                <w:szCs w:val="16"/>
              </w:rPr>
            </w:pPr>
            <w:r w:rsidRPr="00530072">
              <w:rPr>
                <w:rFonts w:ascii="Arial" w:hAnsi="Arial" w:cs="Arial"/>
                <w:b/>
                <w:sz w:val="16"/>
                <w:szCs w:val="16"/>
              </w:rPr>
              <w:t>7,585</w:t>
            </w:r>
          </w:p>
        </w:tc>
        <w:tc>
          <w:tcPr>
            <w:tcW w:w="856" w:type="dxa"/>
            <w:tcBorders>
              <w:top w:val="single" w:sz="4" w:space="0" w:color="auto"/>
              <w:left w:val="nil"/>
              <w:bottom w:val="single" w:sz="4" w:space="0" w:color="auto"/>
              <w:right w:val="nil"/>
            </w:tcBorders>
            <w:shd w:val="clear" w:color="auto" w:fill="auto"/>
            <w:noWrap/>
            <w:vAlign w:val="bottom"/>
            <w:hideMark/>
          </w:tcPr>
          <w:p w14:paraId="4CBB8D73" w14:textId="65536E9B" w:rsidR="00A742DC" w:rsidRPr="00530072" w:rsidRDefault="00A742DC" w:rsidP="00A742DC">
            <w:pPr>
              <w:spacing w:after="0" w:line="240" w:lineRule="auto"/>
              <w:jc w:val="right"/>
              <w:rPr>
                <w:rFonts w:ascii="Arial" w:hAnsi="Arial" w:cs="Arial"/>
                <w:b/>
                <w:sz w:val="16"/>
                <w:szCs w:val="16"/>
              </w:rPr>
            </w:pPr>
            <w:r w:rsidRPr="00530072">
              <w:rPr>
                <w:rFonts w:ascii="Arial" w:hAnsi="Arial" w:cs="Arial"/>
                <w:b/>
                <w:sz w:val="16"/>
                <w:szCs w:val="16"/>
              </w:rPr>
              <w:t>7,930</w:t>
            </w:r>
          </w:p>
        </w:tc>
        <w:tc>
          <w:tcPr>
            <w:tcW w:w="856" w:type="dxa"/>
            <w:tcBorders>
              <w:top w:val="single" w:sz="4" w:space="0" w:color="auto"/>
              <w:left w:val="nil"/>
              <w:bottom w:val="single" w:sz="4" w:space="0" w:color="auto"/>
              <w:right w:val="nil"/>
            </w:tcBorders>
            <w:shd w:val="clear" w:color="auto" w:fill="auto"/>
            <w:noWrap/>
            <w:vAlign w:val="bottom"/>
            <w:hideMark/>
          </w:tcPr>
          <w:p w14:paraId="522E52F6" w14:textId="58C16FFD" w:rsidR="00A742DC" w:rsidRPr="00530072" w:rsidRDefault="00A742DC" w:rsidP="00A742DC">
            <w:pPr>
              <w:spacing w:after="0" w:line="240" w:lineRule="auto"/>
              <w:jc w:val="right"/>
              <w:rPr>
                <w:rFonts w:ascii="Arial" w:hAnsi="Arial" w:cs="Arial"/>
                <w:b/>
                <w:sz w:val="16"/>
                <w:szCs w:val="16"/>
              </w:rPr>
            </w:pPr>
            <w:r w:rsidRPr="00530072">
              <w:rPr>
                <w:rFonts w:ascii="Arial" w:hAnsi="Arial" w:cs="Arial"/>
                <w:b/>
                <w:sz w:val="16"/>
                <w:szCs w:val="16"/>
              </w:rPr>
              <w:t>4,064</w:t>
            </w:r>
          </w:p>
        </w:tc>
      </w:tr>
      <w:tr w:rsidR="00A742DC" w:rsidRPr="00A742DC" w14:paraId="2B799638" w14:textId="77777777" w:rsidTr="00D812C6">
        <w:trPr>
          <w:trHeight w:val="204"/>
        </w:trPr>
        <w:tc>
          <w:tcPr>
            <w:tcW w:w="3119" w:type="dxa"/>
            <w:tcBorders>
              <w:top w:val="nil"/>
              <w:left w:val="nil"/>
              <w:bottom w:val="single" w:sz="4" w:space="0" w:color="auto"/>
              <w:right w:val="nil"/>
            </w:tcBorders>
            <w:shd w:val="clear" w:color="auto" w:fill="auto"/>
            <w:hideMark/>
          </w:tcPr>
          <w:p w14:paraId="4610EA96" w14:textId="77777777" w:rsidR="00A742DC" w:rsidRPr="00A742DC" w:rsidRDefault="00A742DC" w:rsidP="00A742DC">
            <w:pPr>
              <w:spacing w:after="0" w:line="240" w:lineRule="auto"/>
              <w:jc w:val="left"/>
              <w:rPr>
                <w:rFonts w:ascii="Arial" w:hAnsi="Arial" w:cs="Arial"/>
                <w:b/>
                <w:bCs/>
                <w:color w:val="000000"/>
                <w:sz w:val="16"/>
                <w:szCs w:val="16"/>
              </w:rPr>
            </w:pPr>
            <w:r w:rsidRPr="00A742DC">
              <w:rPr>
                <w:rFonts w:ascii="Arial" w:hAnsi="Arial" w:cs="Arial"/>
                <w:b/>
                <w:bCs/>
                <w:color w:val="000000"/>
                <w:sz w:val="16"/>
                <w:szCs w:val="16"/>
              </w:rPr>
              <w:t>Total Appropriation Bill No. 4</w:t>
            </w:r>
          </w:p>
        </w:tc>
        <w:tc>
          <w:tcPr>
            <w:tcW w:w="866" w:type="dxa"/>
            <w:tcBorders>
              <w:top w:val="nil"/>
              <w:left w:val="nil"/>
              <w:bottom w:val="single" w:sz="4" w:space="0" w:color="auto"/>
              <w:right w:val="nil"/>
            </w:tcBorders>
            <w:shd w:val="clear" w:color="auto" w:fill="auto"/>
            <w:noWrap/>
            <w:vAlign w:val="bottom"/>
            <w:hideMark/>
          </w:tcPr>
          <w:p w14:paraId="12046073" w14:textId="77777777" w:rsidR="00A742DC" w:rsidRPr="00A742DC" w:rsidRDefault="00A742DC" w:rsidP="00A742DC">
            <w:pPr>
              <w:spacing w:after="0" w:line="240" w:lineRule="auto"/>
              <w:jc w:val="right"/>
              <w:rPr>
                <w:rFonts w:ascii="Arial" w:hAnsi="Arial" w:cs="Arial"/>
                <w:b/>
                <w:bCs/>
                <w:color w:val="000000"/>
                <w:sz w:val="16"/>
                <w:szCs w:val="16"/>
              </w:rPr>
            </w:pPr>
          </w:p>
        </w:tc>
        <w:tc>
          <w:tcPr>
            <w:tcW w:w="858" w:type="dxa"/>
            <w:tcBorders>
              <w:top w:val="single" w:sz="4" w:space="0" w:color="auto"/>
              <w:left w:val="nil"/>
              <w:bottom w:val="single" w:sz="4" w:space="0" w:color="auto"/>
              <w:right w:val="nil"/>
            </w:tcBorders>
            <w:shd w:val="clear" w:color="000000" w:fill="E6E6E6"/>
            <w:noWrap/>
            <w:vAlign w:val="bottom"/>
            <w:hideMark/>
          </w:tcPr>
          <w:p w14:paraId="4CF4DB17" w14:textId="77777777" w:rsidR="00A742DC" w:rsidRPr="00530072" w:rsidRDefault="00A742DC" w:rsidP="00A742DC">
            <w:pPr>
              <w:spacing w:after="0" w:line="240" w:lineRule="auto"/>
              <w:jc w:val="right"/>
              <w:rPr>
                <w:rFonts w:ascii="Arial" w:hAnsi="Arial" w:cs="Arial"/>
                <w:b/>
                <w:sz w:val="16"/>
                <w:szCs w:val="16"/>
              </w:rPr>
            </w:pPr>
            <w:r w:rsidRPr="00530072">
              <w:rPr>
                <w:rFonts w:ascii="Arial" w:hAnsi="Arial" w:cs="Arial"/>
                <w:b/>
                <w:sz w:val="16"/>
                <w:szCs w:val="16"/>
              </w:rPr>
              <w:t>3,518</w:t>
            </w:r>
          </w:p>
        </w:tc>
        <w:tc>
          <w:tcPr>
            <w:tcW w:w="856" w:type="dxa"/>
            <w:tcBorders>
              <w:top w:val="single" w:sz="4" w:space="0" w:color="auto"/>
              <w:left w:val="nil"/>
              <w:bottom w:val="single" w:sz="4" w:space="0" w:color="auto"/>
              <w:right w:val="nil"/>
            </w:tcBorders>
            <w:shd w:val="clear" w:color="auto" w:fill="auto"/>
            <w:noWrap/>
            <w:vAlign w:val="bottom"/>
            <w:hideMark/>
          </w:tcPr>
          <w:p w14:paraId="6885EDD9" w14:textId="32266D6C" w:rsidR="00A742DC" w:rsidRPr="00530072" w:rsidRDefault="00A742DC" w:rsidP="00A742DC">
            <w:pPr>
              <w:spacing w:after="0" w:line="240" w:lineRule="auto"/>
              <w:jc w:val="right"/>
              <w:rPr>
                <w:rFonts w:ascii="Arial" w:hAnsi="Arial" w:cs="Arial"/>
                <w:b/>
                <w:sz w:val="16"/>
                <w:szCs w:val="16"/>
              </w:rPr>
            </w:pPr>
            <w:r w:rsidRPr="00530072">
              <w:rPr>
                <w:rFonts w:ascii="Arial" w:hAnsi="Arial" w:cs="Arial"/>
                <w:b/>
                <w:sz w:val="16"/>
                <w:szCs w:val="16"/>
              </w:rPr>
              <w:t>7,585</w:t>
            </w:r>
          </w:p>
        </w:tc>
        <w:tc>
          <w:tcPr>
            <w:tcW w:w="856" w:type="dxa"/>
            <w:tcBorders>
              <w:top w:val="single" w:sz="4" w:space="0" w:color="auto"/>
              <w:left w:val="nil"/>
              <w:bottom w:val="single" w:sz="4" w:space="0" w:color="auto"/>
              <w:right w:val="nil"/>
            </w:tcBorders>
            <w:shd w:val="clear" w:color="auto" w:fill="auto"/>
            <w:noWrap/>
            <w:vAlign w:val="bottom"/>
            <w:hideMark/>
          </w:tcPr>
          <w:p w14:paraId="75029EA1" w14:textId="334FB578" w:rsidR="00A742DC" w:rsidRPr="00530072" w:rsidRDefault="00A742DC" w:rsidP="00A742DC">
            <w:pPr>
              <w:spacing w:after="0" w:line="240" w:lineRule="auto"/>
              <w:jc w:val="right"/>
              <w:rPr>
                <w:rFonts w:ascii="Arial" w:hAnsi="Arial" w:cs="Arial"/>
                <w:b/>
                <w:sz w:val="16"/>
                <w:szCs w:val="16"/>
              </w:rPr>
            </w:pPr>
            <w:r w:rsidRPr="00530072">
              <w:rPr>
                <w:rFonts w:ascii="Arial" w:hAnsi="Arial" w:cs="Arial"/>
                <w:b/>
                <w:sz w:val="16"/>
                <w:szCs w:val="16"/>
              </w:rPr>
              <w:t>7,930</w:t>
            </w:r>
          </w:p>
        </w:tc>
        <w:tc>
          <w:tcPr>
            <w:tcW w:w="856" w:type="dxa"/>
            <w:tcBorders>
              <w:top w:val="single" w:sz="4" w:space="0" w:color="auto"/>
              <w:left w:val="nil"/>
              <w:bottom w:val="single" w:sz="4" w:space="0" w:color="auto"/>
              <w:right w:val="nil"/>
            </w:tcBorders>
            <w:shd w:val="clear" w:color="auto" w:fill="auto"/>
            <w:noWrap/>
            <w:vAlign w:val="bottom"/>
            <w:hideMark/>
          </w:tcPr>
          <w:p w14:paraId="008C8FE9" w14:textId="5B512666" w:rsidR="00A742DC" w:rsidRPr="00530072" w:rsidRDefault="00A742DC" w:rsidP="00A742DC">
            <w:pPr>
              <w:spacing w:after="0" w:line="240" w:lineRule="auto"/>
              <w:jc w:val="right"/>
              <w:rPr>
                <w:rFonts w:ascii="Arial" w:hAnsi="Arial" w:cs="Arial"/>
                <w:b/>
                <w:sz w:val="16"/>
                <w:szCs w:val="16"/>
              </w:rPr>
            </w:pPr>
            <w:r w:rsidRPr="00530072">
              <w:rPr>
                <w:rFonts w:ascii="Arial" w:hAnsi="Arial" w:cs="Arial"/>
                <w:b/>
                <w:sz w:val="16"/>
                <w:szCs w:val="16"/>
              </w:rPr>
              <w:t>4,064</w:t>
            </w:r>
          </w:p>
        </w:tc>
      </w:tr>
    </w:tbl>
    <w:p w14:paraId="6FA387F9" w14:textId="12D2BB70" w:rsidR="00551219" w:rsidRPr="00E87485" w:rsidRDefault="00E87485" w:rsidP="00D538B1">
      <w:pPr>
        <w:pStyle w:val="TableHeading"/>
        <w:spacing w:before="60"/>
        <w:rPr>
          <w:sz w:val="16"/>
        </w:rPr>
      </w:pPr>
      <w:r w:rsidRPr="00E87485">
        <w:rPr>
          <w:b w:val="0"/>
          <w:sz w:val="16"/>
        </w:rPr>
        <w:t>Prepared on a resourcing (i.e. appropriations available) basis</w:t>
      </w:r>
      <w:r w:rsidRPr="00E87485">
        <w:rPr>
          <w:sz w:val="16"/>
        </w:rPr>
        <w:t>.</w:t>
      </w:r>
    </w:p>
    <w:p w14:paraId="6FAB11F7" w14:textId="15E43A76" w:rsidR="00914885" w:rsidRDefault="00914885" w:rsidP="00914885">
      <w:pPr>
        <w:pStyle w:val="TableHeading"/>
      </w:pPr>
      <w:r>
        <w:br w:type="page"/>
      </w:r>
    </w:p>
    <w:p w14:paraId="3EA939E2" w14:textId="7B10A6FE" w:rsidR="00914885" w:rsidRPr="00564C0F" w:rsidRDefault="00914885" w:rsidP="008176BB">
      <w:pPr>
        <w:pStyle w:val="Heading3NFSA"/>
      </w:pPr>
      <w:bookmarkStart w:id="484" w:name="_Toc92991324"/>
      <w:bookmarkStart w:id="485" w:name="_Toc93405245"/>
      <w:r>
        <w:rPr>
          <w:lang w:val="en-AU"/>
        </w:rPr>
        <w:lastRenderedPageBreak/>
        <w:t>1</w:t>
      </w:r>
      <w:r>
        <w:t>.</w:t>
      </w:r>
      <w:r>
        <w:rPr>
          <w:lang w:val="en-AU"/>
        </w:rPr>
        <w:t>5</w:t>
      </w:r>
      <w:r>
        <w:tab/>
      </w:r>
      <w:r w:rsidRPr="00564C0F">
        <w:t>Breakdown of additional estimates by appropriation bill</w:t>
      </w:r>
      <w:bookmarkEnd w:id="484"/>
      <w:bookmarkEnd w:id="485"/>
    </w:p>
    <w:p w14:paraId="5CED5705" w14:textId="77777777" w:rsidR="005829F4" w:rsidRPr="000968CC" w:rsidRDefault="005829F4" w:rsidP="005829F4">
      <w:pPr>
        <w:jc w:val="left"/>
      </w:pPr>
      <w:r w:rsidRPr="000968CC">
        <w:t>The following tables detail the additional estimates sought for the entity through Appropriation Bills No. 3 and 4.</w:t>
      </w:r>
    </w:p>
    <w:p w14:paraId="183030C3" w14:textId="77777777" w:rsidR="005829F4" w:rsidRDefault="005829F4" w:rsidP="005829F4">
      <w:pPr>
        <w:pStyle w:val="TableHeading"/>
      </w:pPr>
      <w:r w:rsidRPr="00D81F65">
        <w:t>Table 1.4: Appropriation Bill (No. 3) 20</w:t>
      </w:r>
      <w:r>
        <w:t>2</w:t>
      </w:r>
      <w:r>
        <w:rPr>
          <w:lang w:val="en-GB"/>
        </w:rPr>
        <w:t>1</w:t>
      </w:r>
      <w:r w:rsidRPr="00D81F65">
        <w:rPr>
          <w:rFonts w:hint="eastAsia"/>
        </w:rPr>
        <w:t>–</w:t>
      </w:r>
      <w:r>
        <w:t>2</w:t>
      </w:r>
      <w:r>
        <w:rPr>
          <w:lang w:val="en-GB"/>
        </w:rPr>
        <w:t>2</w:t>
      </w:r>
    </w:p>
    <w:tbl>
      <w:tblPr>
        <w:tblW w:w="7286" w:type="dxa"/>
        <w:tblLook w:val="04A0" w:firstRow="1" w:lastRow="0" w:firstColumn="1" w:lastColumn="0" w:noHBand="0" w:noVBand="1"/>
      </w:tblPr>
      <w:tblGrid>
        <w:gridCol w:w="2756"/>
        <w:gridCol w:w="939"/>
        <w:gridCol w:w="876"/>
        <w:gridCol w:w="877"/>
        <w:gridCol w:w="919"/>
        <w:gridCol w:w="919"/>
      </w:tblGrid>
      <w:tr w:rsidR="005829F4" w:rsidRPr="002466D4" w14:paraId="32F53730" w14:textId="77777777" w:rsidTr="00530072">
        <w:trPr>
          <w:trHeight w:val="56"/>
        </w:trPr>
        <w:tc>
          <w:tcPr>
            <w:tcW w:w="2756" w:type="dxa"/>
            <w:tcBorders>
              <w:top w:val="single" w:sz="4" w:space="0" w:color="auto"/>
              <w:left w:val="nil"/>
              <w:bottom w:val="nil"/>
              <w:right w:val="nil"/>
            </w:tcBorders>
            <w:shd w:val="clear" w:color="auto" w:fill="auto"/>
            <w:noWrap/>
            <w:vAlign w:val="center"/>
            <w:hideMark/>
          </w:tcPr>
          <w:p w14:paraId="0BCB696E" w14:textId="77777777" w:rsidR="005829F4" w:rsidRPr="002466D4" w:rsidRDefault="005829F4" w:rsidP="005829F4">
            <w:pPr>
              <w:spacing w:after="0" w:line="240" w:lineRule="auto"/>
              <w:jc w:val="left"/>
              <w:rPr>
                <w:rFonts w:ascii="Arial" w:hAnsi="Arial" w:cs="Arial"/>
                <w:color w:val="000000"/>
                <w:sz w:val="16"/>
                <w:szCs w:val="16"/>
              </w:rPr>
            </w:pPr>
            <w:r w:rsidRPr="002466D4">
              <w:rPr>
                <w:rFonts w:ascii="Arial" w:hAnsi="Arial" w:cs="Arial"/>
                <w:color w:val="000000"/>
                <w:sz w:val="16"/>
                <w:szCs w:val="16"/>
              </w:rPr>
              <w:t> </w:t>
            </w:r>
          </w:p>
        </w:tc>
        <w:tc>
          <w:tcPr>
            <w:tcW w:w="939" w:type="dxa"/>
            <w:tcBorders>
              <w:top w:val="single" w:sz="4" w:space="0" w:color="auto"/>
              <w:left w:val="nil"/>
              <w:bottom w:val="single" w:sz="4" w:space="0" w:color="000000"/>
              <w:right w:val="nil"/>
            </w:tcBorders>
            <w:shd w:val="clear" w:color="auto" w:fill="auto"/>
            <w:vAlign w:val="center"/>
            <w:hideMark/>
          </w:tcPr>
          <w:p w14:paraId="15986A78" w14:textId="77777777" w:rsidR="005829F4" w:rsidRPr="002466D4" w:rsidRDefault="005829F4" w:rsidP="005829F4">
            <w:pPr>
              <w:spacing w:after="0" w:line="240" w:lineRule="auto"/>
              <w:jc w:val="right"/>
              <w:rPr>
                <w:rFonts w:ascii="Arial" w:hAnsi="Arial" w:cs="Arial"/>
                <w:color w:val="000000"/>
                <w:sz w:val="16"/>
                <w:szCs w:val="16"/>
              </w:rPr>
            </w:pPr>
            <w:r w:rsidRPr="002466D4">
              <w:rPr>
                <w:rFonts w:ascii="Arial" w:hAnsi="Arial" w:cs="Arial"/>
                <w:color w:val="000000"/>
                <w:sz w:val="16"/>
                <w:szCs w:val="16"/>
              </w:rPr>
              <w:t>2020-21</w:t>
            </w:r>
            <w:r w:rsidRPr="002466D4">
              <w:rPr>
                <w:rFonts w:ascii="Arial" w:hAnsi="Arial" w:cs="Arial"/>
                <w:color w:val="000000"/>
                <w:sz w:val="16"/>
                <w:szCs w:val="16"/>
              </w:rPr>
              <w:br/>
              <w:t>Available</w:t>
            </w:r>
            <w:r w:rsidRPr="002466D4">
              <w:rPr>
                <w:rFonts w:ascii="Arial" w:hAnsi="Arial" w:cs="Arial"/>
                <w:color w:val="000000"/>
                <w:sz w:val="16"/>
                <w:szCs w:val="16"/>
              </w:rPr>
              <w:br/>
              <w:t>$'000</w:t>
            </w:r>
          </w:p>
        </w:tc>
        <w:tc>
          <w:tcPr>
            <w:tcW w:w="876" w:type="dxa"/>
            <w:tcBorders>
              <w:top w:val="single" w:sz="4" w:space="0" w:color="auto"/>
              <w:left w:val="nil"/>
              <w:bottom w:val="single" w:sz="4" w:space="0" w:color="000000"/>
              <w:right w:val="nil"/>
            </w:tcBorders>
            <w:shd w:val="clear" w:color="auto" w:fill="auto"/>
            <w:vAlign w:val="center"/>
            <w:hideMark/>
          </w:tcPr>
          <w:p w14:paraId="13393857" w14:textId="77777777" w:rsidR="005829F4" w:rsidRPr="002466D4" w:rsidRDefault="005829F4" w:rsidP="005829F4">
            <w:pPr>
              <w:spacing w:after="0" w:line="240" w:lineRule="auto"/>
              <w:jc w:val="right"/>
              <w:rPr>
                <w:rFonts w:ascii="Arial" w:hAnsi="Arial" w:cs="Arial"/>
                <w:color w:val="000000"/>
                <w:sz w:val="16"/>
                <w:szCs w:val="16"/>
              </w:rPr>
            </w:pPr>
            <w:r w:rsidRPr="002466D4">
              <w:rPr>
                <w:rFonts w:ascii="Arial" w:hAnsi="Arial" w:cs="Arial"/>
                <w:color w:val="000000"/>
                <w:sz w:val="16"/>
                <w:szCs w:val="16"/>
              </w:rPr>
              <w:t>2021-22</w:t>
            </w:r>
            <w:r w:rsidRPr="002466D4">
              <w:rPr>
                <w:rFonts w:ascii="Arial" w:hAnsi="Arial" w:cs="Arial"/>
                <w:color w:val="000000"/>
                <w:sz w:val="16"/>
                <w:szCs w:val="16"/>
              </w:rPr>
              <w:br/>
              <w:t>Budget</w:t>
            </w:r>
            <w:r w:rsidRPr="002466D4">
              <w:rPr>
                <w:rFonts w:ascii="Arial" w:hAnsi="Arial" w:cs="Arial"/>
                <w:color w:val="000000"/>
                <w:sz w:val="16"/>
                <w:szCs w:val="16"/>
              </w:rPr>
              <w:br/>
              <w:t>$'000</w:t>
            </w:r>
          </w:p>
        </w:tc>
        <w:tc>
          <w:tcPr>
            <w:tcW w:w="877" w:type="dxa"/>
            <w:tcBorders>
              <w:top w:val="single" w:sz="4" w:space="0" w:color="auto"/>
              <w:left w:val="nil"/>
              <w:bottom w:val="single" w:sz="4" w:space="0" w:color="000000"/>
              <w:right w:val="nil"/>
            </w:tcBorders>
            <w:shd w:val="clear" w:color="auto" w:fill="auto"/>
            <w:vAlign w:val="center"/>
            <w:hideMark/>
          </w:tcPr>
          <w:p w14:paraId="153324AB" w14:textId="77777777" w:rsidR="005829F4" w:rsidRPr="002466D4" w:rsidRDefault="005829F4" w:rsidP="005829F4">
            <w:pPr>
              <w:spacing w:after="0" w:line="240" w:lineRule="auto"/>
              <w:jc w:val="right"/>
              <w:rPr>
                <w:rFonts w:ascii="Arial" w:hAnsi="Arial" w:cs="Arial"/>
                <w:color w:val="000000"/>
                <w:sz w:val="16"/>
                <w:szCs w:val="16"/>
              </w:rPr>
            </w:pPr>
            <w:r w:rsidRPr="002466D4">
              <w:rPr>
                <w:rFonts w:ascii="Arial" w:hAnsi="Arial" w:cs="Arial"/>
                <w:color w:val="000000"/>
                <w:sz w:val="16"/>
                <w:szCs w:val="16"/>
              </w:rPr>
              <w:t>2021-22</w:t>
            </w:r>
            <w:r w:rsidRPr="002466D4">
              <w:rPr>
                <w:rFonts w:ascii="Arial" w:hAnsi="Arial" w:cs="Arial"/>
                <w:color w:val="000000"/>
                <w:sz w:val="16"/>
                <w:szCs w:val="16"/>
              </w:rPr>
              <w:br/>
              <w:t>Revised</w:t>
            </w:r>
            <w:r w:rsidRPr="002466D4">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66127D66" w14:textId="77777777" w:rsidR="005829F4" w:rsidRPr="002466D4" w:rsidRDefault="005829F4" w:rsidP="005829F4">
            <w:pPr>
              <w:spacing w:after="0" w:line="240" w:lineRule="auto"/>
              <w:jc w:val="right"/>
              <w:rPr>
                <w:rFonts w:ascii="Arial" w:hAnsi="Arial" w:cs="Arial"/>
                <w:color w:val="000000"/>
                <w:sz w:val="16"/>
                <w:szCs w:val="16"/>
              </w:rPr>
            </w:pPr>
            <w:r w:rsidRPr="002466D4">
              <w:rPr>
                <w:rFonts w:ascii="Arial" w:hAnsi="Arial" w:cs="Arial"/>
                <w:color w:val="000000"/>
                <w:sz w:val="16"/>
                <w:szCs w:val="16"/>
              </w:rPr>
              <w:t>Additional Estimates</w:t>
            </w:r>
            <w:r w:rsidRPr="002466D4">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6E61A49E" w14:textId="77777777" w:rsidR="005829F4" w:rsidRPr="002466D4" w:rsidRDefault="005829F4" w:rsidP="005829F4">
            <w:pPr>
              <w:spacing w:after="0" w:line="240" w:lineRule="auto"/>
              <w:jc w:val="right"/>
              <w:rPr>
                <w:rFonts w:ascii="Arial" w:hAnsi="Arial" w:cs="Arial"/>
                <w:color w:val="000000"/>
                <w:sz w:val="16"/>
                <w:szCs w:val="16"/>
              </w:rPr>
            </w:pPr>
            <w:r w:rsidRPr="002466D4">
              <w:rPr>
                <w:rFonts w:ascii="Arial" w:hAnsi="Arial" w:cs="Arial"/>
                <w:color w:val="000000"/>
                <w:sz w:val="16"/>
                <w:szCs w:val="16"/>
              </w:rPr>
              <w:t>Reduced Estimates</w:t>
            </w:r>
            <w:r w:rsidRPr="002466D4">
              <w:rPr>
                <w:rFonts w:ascii="Arial" w:hAnsi="Arial" w:cs="Arial"/>
                <w:color w:val="000000"/>
                <w:sz w:val="16"/>
                <w:szCs w:val="16"/>
              </w:rPr>
              <w:br/>
              <w:t>$'000</w:t>
            </w:r>
          </w:p>
        </w:tc>
      </w:tr>
      <w:tr w:rsidR="005829F4" w:rsidRPr="002466D4" w14:paraId="5E5CEAD2" w14:textId="77777777" w:rsidTr="00BD4C77">
        <w:trPr>
          <w:trHeight w:val="204"/>
        </w:trPr>
        <w:tc>
          <w:tcPr>
            <w:tcW w:w="2756" w:type="dxa"/>
            <w:tcBorders>
              <w:top w:val="nil"/>
              <w:left w:val="nil"/>
              <w:bottom w:val="nil"/>
              <w:right w:val="nil"/>
            </w:tcBorders>
            <w:shd w:val="clear" w:color="auto" w:fill="auto"/>
            <w:noWrap/>
            <w:vAlign w:val="bottom"/>
            <w:hideMark/>
          </w:tcPr>
          <w:p w14:paraId="0452F499" w14:textId="3EF91AB8" w:rsidR="005829F4" w:rsidRPr="00BD4C77" w:rsidRDefault="008863D9" w:rsidP="005829F4">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5829F4" w:rsidRPr="00BD4C77">
              <w:rPr>
                <w:rFonts w:ascii="Arial" w:hAnsi="Arial" w:cs="Arial"/>
                <w:b/>
                <w:bCs/>
                <w:color w:val="000000"/>
                <w:sz w:val="16"/>
                <w:szCs w:val="16"/>
              </w:rPr>
              <w:t>al programs</w:t>
            </w:r>
          </w:p>
        </w:tc>
        <w:tc>
          <w:tcPr>
            <w:tcW w:w="939" w:type="dxa"/>
            <w:tcBorders>
              <w:top w:val="nil"/>
              <w:left w:val="nil"/>
              <w:bottom w:val="nil"/>
              <w:right w:val="nil"/>
            </w:tcBorders>
            <w:shd w:val="clear" w:color="auto" w:fill="auto"/>
            <w:noWrap/>
            <w:vAlign w:val="bottom"/>
            <w:hideMark/>
          </w:tcPr>
          <w:p w14:paraId="7D7E41FB" w14:textId="77777777" w:rsidR="005829F4" w:rsidRPr="00BD4C77" w:rsidRDefault="005829F4" w:rsidP="005829F4">
            <w:pPr>
              <w:spacing w:after="0" w:line="240" w:lineRule="auto"/>
              <w:jc w:val="left"/>
              <w:rPr>
                <w:rFonts w:ascii="Arial" w:hAnsi="Arial" w:cs="Arial"/>
                <w:b/>
                <w:bCs/>
                <w:color w:val="000000"/>
                <w:sz w:val="16"/>
                <w:szCs w:val="16"/>
              </w:rPr>
            </w:pPr>
          </w:p>
        </w:tc>
        <w:tc>
          <w:tcPr>
            <w:tcW w:w="876" w:type="dxa"/>
            <w:tcBorders>
              <w:top w:val="nil"/>
              <w:left w:val="nil"/>
              <w:bottom w:val="nil"/>
              <w:right w:val="nil"/>
            </w:tcBorders>
            <w:shd w:val="clear" w:color="auto" w:fill="auto"/>
            <w:noWrap/>
            <w:vAlign w:val="bottom"/>
            <w:hideMark/>
          </w:tcPr>
          <w:p w14:paraId="6FB6476C" w14:textId="77777777" w:rsidR="005829F4" w:rsidRPr="00BD4C77" w:rsidRDefault="005829F4" w:rsidP="005829F4">
            <w:pPr>
              <w:spacing w:after="0" w:line="240" w:lineRule="auto"/>
              <w:jc w:val="lef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3EDEE336" w14:textId="77777777" w:rsidR="005829F4" w:rsidRPr="00BD4C77" w:rsidRDefault="005829F4" w:rsidP="005829F4">
            <w:pPr>
              <w:spacing w:after="0" w:line="240" w:lineRule="auto"/>
              <w:jc w:val="left"/>
              <w:rPr>
                <w:rFonts w:ascii="Times New Roman" w:hAnsi="Times New Roman"/>
                <w:sz w:val="16"/>
                <w:szCs w:val="16"/>
              </w:rPr>
            </w:pPr>
          </w:p>
        </w:tc>
        <w:tc>
          <w:tcPr>
            <w:tcW w:w="919" w:type="dxa"/>
            <w:tcBorders>
              <w:top w:val="nil"/>
              <w:left w:val="nil"/>
              <w:bottom w:val="nil"/>
              <w:right w:val="nil"/>
            </w:tcBorders>
            <w:shd w:val="clear" w:color="000000" w:fill="E6E6E6"/>
            <w:noWrap/>
            <w:vAlign w:val="bottom"/>
            <w:hideMark/>
          </w:tcPr>
          <w:p w14:paraId="07BF5487" w14:textId="7CF917DB" w:rsidR="005829F4" w:rsidRPr="00BD4C77" w:rsidRDefault="005829F4" w:rsidP="005829F4">
            <w:pPr>
              <w:spacing w:after="0" w:line="240" w:lineRule="auto"/>
              <w:jc w:val="left"/>
              <w:rPr>
                <w:rFonts w:ascii="Arial" w:hAnsi="Arial" w:cs="Arial"/>
                <w:color w:val="000000"/>
                <w:sz w:val="16"/>
                <w:szCs w:val="16"/>
              </w:rPr>
            </w:pPr>
          </w:p>
        </w:tc>
        <w:tc>
          <w:tcPr>
            <w:tcW w:w="919" w:type="dxa"/>
            <w:tcBorders>
              <w:top w:val="nil"/>
              <w:left w:val="nil"/>
              <w:bottom w:val="nil"/>
              <w:right w:val="nil"/>
            </w:tcBorders>
            <w:shd w:val="clear" w:color="000000" w:fill="E6E6E6"/>
            <w:noWrap/>
            <w:vAlign w:val="bottom"/>
            <w:hideMark/>
          </w:tcPr>
          <w:p w14:paraId="521A8493" w14:textId="7B1523B1" w:rsidR="005829F4" w:rsidRPr="00BD4C77" w:rsidRDefault="005829F4" w:rsidP="005829F4">
            <w:pPr>
              <w:spacing w:after="0" w:line="240" w:lineRule="auto"/>
              <w:jc w:val="left"/>
              <w:rPr>
                <w:rFonts w:ascii="Arial" w:hAnsi="Arial" w:cs="Arial"/>
                <w:color w:val="000000"/>
                <w:sz w:val="16"/>
                <w:szCs w:val="16"/>
              </w:rPr>
            </w:pPr>
          </w:p>
        </w:tc>
      </w:tr>
      <w:tr w:rsidR="005829F4" w:rsidRPr="002466D4" w14:paraId="3BFE5759" w14:textId="77777777" w:rsidTr="00BD4C77">
        <w:trPr>
          <w:trHeight w:val="204"/>
        </w:trPr>
        <w:tc>
          <w:tcPr>
            <w:tcW w:w="2756" w:type="dxa"/>
            <w:tcBorders>
              <w:top w:val="nil"/>
              <w:left w:val="nil"/>
              <w:bottom w:val="nil"/>
              <w:right w:val="nil"/>
            </w:tcBorders>
            <w:shd w:val="clear" w:color="auto" w:fill="auto"/>
            <w:vAlign w:val="bottom"/>
            <w:hideMark/>
          </w:tcPr>
          <w:p w14:paraId="1AEAC1CC" w14:textId="51DD988A" w:rsidR="00090A8A" w:rsidRPr="00BD4C77" w:rsidRDefault="005829F4" w:rsidP="00BD4C77">
            <w:pPr>
              <w:spacing w:after="0" w:line="240" w:lineRule="auto"/>
              <w:jc w:val="left"/>
              <w:rPr>
                <w:rFonts w:ascii="Arial" w:hAnsi="Arial" w:cs="Arial"/>
                <w:b/>
                <w:bCs/>
                <w:color w:val="000000"/>
                <w:sz w:val="16"/>
                <w:szCs w:val="16"/>
              </w:rPr>
            </w:pPr>
            <w:r w:rsidRPr="00BD4C77">
              <w:rPr>
                <w:rFonts w:ascii="Arial" w:hAnsi="Arial" w:cs="Arial"/>
                <w:b/>
                <w:bCs/>
                <w:color w:val="000000"/>
                <w:sz w:val="16"/>
                <w:szCs w:val="16"/>
              </w:rPr>
              <w:t>Outcome 1</w:t>
            </w:r>
          </w:p>
          <w:p w14:paraId="2DA957F3" w14:textId="446EF849" w:rsidR="005829F4" w:rsidRPr="00BD4C77" w:rsidRDefault="005829F4" w:rsidP="00BD4C77">
            <w:pPr>
              <w:spacing w:after="0" w:line="240" w:lineRule="auto"/>
              <w:ind w:left="113"/>
              <w:jc w:val="left"/>
              <w:rPr>
                <w:rFonts w:ascii="Arial" w:hAnsi="Arial" w:cs="Arial"/>
                <w:b/>
                <w:bCs/>
                <w:color w:val="000000"/>
                <w:sz w:val="16"/>
                <w:szCs w:val="16"/>
              </w:rPr>
            </w:pPr>
            <w:r w:rsidRPr="00BD4C77">
              <w:rPr>
                <w:rFonts w:ascii="Arial" w:hAnsi="Arial" w:cs="Arial"/>
                <w:color w:val="000000"/>
                <w:sz w:val="16"/>
                <w:szCs w:val="16"/>
              </w:rPr>
              <w:t xml:space="preserve">Increased engagement with Australia’s </w:t>
            </w:r>
            <w:r w:rsidR="00216824">
              <w:rPr>
                <w:rFonts w:ascii="Arial" w:hAnsi="Arial" w:cs="Arial"/>
                <w:color w:val="000000"/>
                <w:sz w:val="16"/>
                <w:szCs w:val="16"/>
              </w:rPr>
              <w:t>audio</w:t>
            </w:r>
            <w:r w:rsidR="00C11261" w:rsidRPr="00BD4C77">
              <w:rPr>
                <w:rFonts w:ascii="Arial" w:hAnsi="Arial" w:cs="Arial"/>
                <w:color w:val="000000"/>
                <w:sz w:val="16"/>
                <w:szCs w:val="16"/>
              </w:rPr>
              <w:t>visual</w:t>
            </w:r>
            <w:r w:rsidRPr="00BD4C77">
              <w:rPr>
                <w:rFonts w:ascii="Arial" w:hAnsi="Arial" w:cs="Arial"/>
                <w:color w:val="000000"/>
                <w:sz w:val="16"/>
                <w:szCs w:val="16"/>
              </w:rPr>
              <w:t xml:space="preserve"> culture past and present through developing, preserving, maintaining and promoting the national </w:t>
            </w:r>
            <w:r w:rsidR="00C11261" w:rsidRPr="00BD4C77">
              <w:rPr>
                <w:rFonts w:ascii="Arial" w:hAnsi="Arial" w:cs="Arial"/>
                <w:color w:val="000000"/>
                <w:sz w:val="16"/>
                <w:szCs w:val="16"/>
              </w:rPr>
              <w:t>audio-visual</w:t>
            </w:r>
            <w:r w:rsidRPr="00BD4C77">
              <w:rPr>
                <w:rFonts w:ascii="Arial" w:hAnsi="Arial" w:cs="Arial"/>
                <w:color w:val="000000"/>
                <w:sz w:val="16"/>
                <w:szCs w:val="16"/>
              </w:rPr>
              <w:t xml:space="preserve"> collection of historic and cultural significance</w:t>
            </w:r>
          </w:p>
        </w:tc>
        <w:tc>
          <w:tcPr>
            <w:tcW w:w="939" w:type="dxa"/>
            <w:tcBorders>
              <w:top w:val="nil"/>
              <w:left w:val="nil"/>
              <w:bottom w:val="nil"/>
              <w:right w:val="nil"/>
            </w:tcBorders>
            <w:shd w:val="clear" w:color="auto" w:fill="auto"/>
            <w:noWrap/>
            <w:vAlign w:val="bottom"/>
            <w:hideMark/>
          </w:tcPr>
          <w:p w14:paraId="549FE110" w14:textId="7507364F" w:rsidR="005829F4" w:rsidRPr="00BD4C77" w:rsidRDefault="005829F4" w:rsidP="005829F4">
            <w:pPr>
              <w:spacing w:after="0" w:line="240" w:lineRule="auto"/>
              <w:jc w:val="right"/>
              <w:rPr>
                <w:rFonts w:ascii="Arial" w:hAnsi="Arial" w:cs="Arial"/>
                <w:color w:val="000000"/>
                <w:sz w:val="16"/>
                <w:szCs w:val="16"/>
              </w:rPr>
            </w:pPr>
            <w:r w:rsidRPr="00BD4C77">
              <w:rPr>
                <w:rFonts w:ascii="Arial" w:hAnsi="Arial" w:cs="Arial"/>
                <w:color w:val="000000"/>
                <w:sz w:val="16"/>
                <w:szCs w:val="16"/>
              </w:rPr>
              <w:t>26,535</w:t>
            </w:r>
          </w:p>
        </w:tc>
        <w:tc>
          <w:tcPr>
            <w:tcW w:w="876" w:type="dxa"/>
            <w:tcBorders>
              <w:top w:val="nil"/>
              <w:left w:val="nil"/>
              <w:bottom w:val="nil"/>
              <w:right w:val="nil"/>
            </w:tcBorders>
            <w:shd w:val="clear" w:color="auto" w:fill="auto"/>
            <w:noWrap/>
            <w:vAlign w:val="bottom"/>
            <w:hideMark/>
          </w:tcPr>
          <w:p w14:paraId="148A1036" w14:textId="30BB5C07" w:rsidR="005829F4" w:rsidRPr="00BD4C77" w:rsidRDefault="005829F4" w:rsidP="005829F4">
            <w:pPr>
              <w:spacing w:after="0" w:line="240" w:lineRule="auto"/>
              <w:jc w:val="right"/>
              <w:rPr>
                <w:rFonts w:ascii="Arial" w:hAnsi="Arial" w:cs="Arial"/>
                <w:color w:val="000000"/>
                <w:sz w:val="16"/>
                <w:szCs w:val="16"/>
              </w:rPr>
            </w:pPr>
            <w:r w:rsidRPr="00BD4C77">
              <w:rPr>
                <w:rFonts w:ascii="Arial" w:hAnsi="Arial" w:cs="Arial"/>
                <w:color w:val="000000"/>
                <w:sz w:val="16"/>
                <w:szCs w:val="16"/>
              </w:rPr>
              <w:t>25,084</w:t>
            </w:r>
          </w:p>
        </w:tc>
        <w:tc>
          <w:tcPr>
            <w:tcW w:w="877" w:type="dxa"/>
            <w:tcBorders>
              <w:top w:val="nil"/>
              <w:left w:val="nil"/>
              <w:bottom w:val="nil"/>
              <w:right w:val="nil"/>
            </w:tcBorders>
            <w:shd w:val="clear" w:color="auto" w:fill="auto"/>
            <w:noWrap/>
            <w:vAlign w:val="bottom"/>
            <w:hideMark/>
          </w:tcPr>
          <w:p w14:paraId="0F9CA297" w14:textId="1EC63E9A" w:rsidR="005829F4" w:rsidRPr="00BD4C77" w:rsidRDefault="005829F4" w:rsidP="005829F4">
            <w:pPr>
              <w:spacing w:after="0" w:line="240" w:lineRule="auto"/>
              <w:jc w:val="right"/>
              <w:rPr>
                <w:rFonts w:ascii="Arial" w:hAnsi="Arial" w:cs="Arial"/>
                <w:color w:val="000000"/>
                <w:sz w:val="16"/>
                <w:szCs w:val="16"/>
              </w:rPr>
            </w:pPr>
            <w:r w:rsidRPr="00BD4C77">
              <w:rPr>
                <w:rFonts w:ascii="Arial" w:hAnsi="Arial" w:cs="Arial"/>
                <w:color w:val="000000"/>
                <w:sz w:val="16"/>
                <w:szCs w:val="16"/>
              </w:rPr>
              <w:t>28,026</w:t>
            </w:r>
          </w:p>
        </w:tc>
        <w:tc>
          <w:tcPr>
            <w:tcW w:w="919" w:type="dxa"/>
            <w:tcBorders>
              <w:top w:val="nil"/>
              <w:left w:val="nil"/>
              <w:bottom w:val="nil"/>
              <w:right w:val="nil"/>
            </w:tcBorders>
            <w:shd w:val="clear" w:color="000000" w:fill="E6E6E6"/>
            <w:noWrap/>
            <w:vAlign w:val="bottom"/>
            <w:hideMark/>
          </w:tcPr>
          <w:p w14:paraId="07162C76" w14:textId="365C6D6B" w:rsidR="005829F4" w:rsidRPr="00BD4C77" w:rsidRDefault="005829F4" w:rsidP="005829F4">
            <w:pPr>
              <w:spacing w:after="0" w:line="240" w:lineRule="auto"/>
              <w:jc w:val="right"/>
              <w:rPr>
                <w:rFonts w:ascii="Arial" w:hAnsi="Arial" w:cs="Arial"/>
                <w:color w:val="000000"/>
                <w:sz w:val="16"/>
                <w:szCs w:val="16"/>
              </w:rPr>
            </w:pPr>
            <w:r w:rsidRPr="00BD4C77">
              <w:rPr>
                <w:rFonts w:ascii="Arial" w:hAnsi="Arial" w:cs="Arial"/>
                <w:color w:val="000000"/>
                <w:sz w:val="16"/>
                <w:szCs w:val="16"/>
              </w:rPr>
              <w:t>2,942</w:t>
            </w:r>
          </w:p>
        </w:tc>
        <w:tc>
          <w:tcPr>
            <w:tcW w:w="919" w:type="dxa"/>
            <w:tcBorders>
              <w:top w:val="nil"/>
              <w:left w:val="nil"/>
              <w:bottom w:val="nil"/>
              <w:right w:val="nil"/>
            </w:tcBorders>
            <w:shd w:val="clear" w:color="000000" w:fill="E6E6E6"/>
            <w:noWrap/>
            <w:vAlign w:val="bottom"/>
            <w:hideMark/>
          </w:tcPr>
          <w:p w14:paraId="78B467C8" w14:textId="12DE62B0" w:rsidR="005829F4" w:rsidRPr="00BD4C77" w:rsidRDefault="005829F4" w:rsidP="005829F4">
            <w:pPr>
              <w:spacing w:after="0" w:line="240" w:lineRule="auto"/>
              <w:jc w:val="right"/>
              <w:rPr>
                <w:rFonts w:ascii="Arial" w:hAnsi="Arial" w:cs="Arial"/>
                <w:color w:val="000000"/>
                <w:sz w:val="16"/>
                <w:szCs w:val="16"/>
              </w:rPr>
            </w:pPr>
            <w:r w:rsidRPr="00BD4C77">
              <w:rPr>
                <w:rFonts w:ascii="Arial" w:hAnsi="Arial" w:cs="Arial"/>
                <w:color w:val="000000"/>
                <w:sz w:val="16"/>
                <w:szCs w:val="16"/>
              </w:rPr>
              <w:t>-</w:t>
            </w:r>
          </w:p>
        </w:tc>
      </w:tr>
      <w:tr w:rsidR="005829F4" w:rsidRPr="002466D4" w14:paraId="7965744B" w14:textId="77777777" w:rsidTr="00BD4C77">
        <w:trPr>
          <w:trHeight w:val="204"/>
        </w:trPr>
        <w:tc>
          <w:tcPr>
            <w:tcW w:w="2756" w:type="dxa"/>
            <w:tcBorders>
              <w:top w:val="nil"/>
              <w:left w:val="nil"/>
              <w:bottom w:val="single" w:sz="4" w:space="0" w:color="auto"/>
              <w:right w:val="nil"/>
            </w:tcBorders>
            <w:shd w:val="clear" w:color="auto" w:fill="auto"/>
            <w:noWrap/>
            <w:vAlign w:val="bottom"/>
            <w:hideMark/>
          </w:tcPr>
          <w:p w14:paraId="2769B631" w14:textId="0CECD485" w:rsidR="005829F4" w:rsidRPr="00BD4C77" w:rsidRDefault="005829F4" w:rsidP="005829F4">
            <w:pPr>
              <w:spacing w:after="0" w:line="240" w:lineRule="auto"/>
              <w:jc w:val="left"/>
              <w:rPr>
                <w:rFonts w:ascii="Arial" w:hAnsi="Arial" w:cs="Arial"/>
                <w:b/>
                <w:bCs/>
                <w:color w:val="000000"/>
                <w:sz w:val="16"/>
                <w:szCs w:val="16"/>
              </w:rPr>
            </w:pPr>
            <w:r w:rsidRPr="00BD4C77">
              <w:rPr>
                <w:rFonts w:ascii="Arial" w:hAnsi="Arial" w:cs="Arial"/>
                <w:b/>
                <w:bCs/>
                <w:color w:val="000000"/>
                <w:sz w:val="16"/>
                <w:szCs w:val="16"/>
              </w:rPr>
              <w:t xml:space="preserve">Total </w:t>
            </w:r>
            <w:r w:rsidR="00D94F71">
              <w:rPr>
                <w:rFonts w:ascii="Arial" w:hAnsi="Arial" w:cs="Arial"/>
                <w:b/>
                <w:bCs/>
                <w:color w:val="000000"/>
                <w:sz w:val="16"/>
                <w:szCs w:val="16"/>
              </w:rPr>
              <w:t>D</w:t>
            </w:r>
            <w:r w:rsidR="008863D9">
              <w:rPr>
                <w:rFonts w:ascii="Arial" w:hAnsi="Arial" w:cs="Arial"/>
                <w:b/>
                <w:bCs/>
                <w:color w:val="000000"/>
                <w:sz w:val="16"/>
                <w:szCs w:val="16"/>
              </w:rPr>
              <w:t>epartment</w:t>
            </w:r>
            <w:r w:rsidRPr="00BD4C77">
              <w:rPr>
                <w:rFonts w:ascii="Arial" w:hAnsi="Arial" w:cs="Arial"/>
                <w:b/>
                <w:bCs/>
                <w:color w:val="000000"/>
                <w:sz w:val="16"/>
                <w:szCs w:val="16"/>
              </w:rPr>
              <w:t>al</w:t>
            </w:r>
          </w:p>
        </w:tc>
        <w:tc>
          <w:tcPr>
            <w:tcW w:w="939" w:type="dxa"/>
            <w:tcBorders>
              <w:top w:val="single" w:sz="4" w:space="0" w:color="000000"/>
              <w:left w:val="nil"/>
              <w:bottom w:val="single" w:sz="4" w:space="0" w:color="auto"/>
              <w:right w:val="nil"/>
            </w:tcBorders>
            <w:shd w:val="clear" w:color="auto" w:fill="auto"/>
            <w:noWrap/>
            <w:vAlign w:val="bottom"/>
            <w:hideMark/>
          </w:tcPr>
          <w:p w14:paraId="1D7F4CDF" w14:textId="787CB1FB" w:rsidR="005829F4" w:rsidRPr="00BD4C77" w:rsidRDefault="005829F4" w:rsidP="005829F4">
            <w:pPr>
              <w:spacing w:after="0" w:line="240" w:lineRule="auto"/>
              <w:jc w:val="right"/>
              <w:rPr>
                <w:rFonts w:ascii="Arial" w:hAnsi="Arial" w:cs="Arial"/>
                <w:b/>
                <w:bCs/>
                <w:color w:val="000000"/>
                <w:sz w:val="16"/>
                <w:szCs w:val="16"/>
              </w:rPr>
            </w:pPr>
            <w:r w:rsidRPr="00BD4C77">
              <w:rPr>
                <w:rFonts w:ascii="Arial" w:hAnsi="Arial" w:cs="Arial"/>
                <w:b/>
                <w:bCs/>
                <w:color w:val="000000"/>
                <w:sz w:val="16"/>
                <w:szCs w:val="16"/>
              </w:rPr>
              <w:t>26,535</w:t>
            </w:r>
          </w:p>
        </w:tc>
        <w:tc>
          <w:tcPr>
            <w:tcW w:w="876" w:type="dxa"/>
            <w:tcBorders>
              <w:top w:val="single" w:sz="4" w:space="0" w:color="000000"/>
              <w:left w:val="nil"/>
              <w:bottom w:val="single" w:sz="4" w:space="0" w:color="000000"/>
              <w:right w:val="nil"/>
            </w:tcBorders>
            <w:shd w:val="clear" w:color="auto" w:fill="auto"/>
            <w:noWrap/>
            <w:vAlign w:val="bottom"/>
            <w:hideMark/>
          </w:tcPr>
          <w:p w14:paraId="37B4BD09" w14:textId="62C4E54A" w:rsidR="005829F4" w:rsidRPr="00BD4C77" w:rsidRDefault="005829F4" w:rsidP="005829F4">
            <w:pPr>
              <w:spacing w:after="0" w:line="240" w:lineRule="auto"/>
              <w:jc w:val="right"/>
              <w:rPr>
                <w:rFonts w:ascii="Arial" w:hAnsi="Arial" w:cs="Arial"/>
                <w:b/>
                <w:bCs/>
                <w:color w:val="000000"/>
                <w:sz w:val="16"/>
                <w:szCs w:val="16"/>
              </w:rPr>
            </w:pPr>
            <w:r w:rsidRPr="00BD4C77">
              <w:rPr>
                <w:rFonts w:ascii="Arial" w:hAnsi="Arial" w:cs="Arial"/>
                <w:b/>
                <w:bCs/>
                <w:color w:val="000000"/>
                <w:sz w:val="16"/>
                <w:szCs w:val="16"/>
              </w:rPr>
              <w:t>25,084</w:t>
            </w:r>
          </w:p>
        </w:tc>
        <w:tc>
          <w:tcPr>
            <w:tcW w:w="877" w:type="dxa"/>
            <w:tcBorders>
              <w:top w:val="single" w:sz="4" w:space="0" w:color="000000"/>
              <w:left w:val="nil"/>
              <w:bottom w:val="single" w:sz="4" w:space="0" w:color="000000"/>
              <w:right w:val="nil"/>
            </w:tcBorders>
            <w:shd w:val="clear" w:color="auto" w:fill="auto"/>
            <w:noWrap/>
            <w:vAlign w:val="bottom"/>
            <w:hideMark/>
          </w:tcPr>
          <w:p w14:paraId="2BC4DAB0" w14:textId="369D3282" w:rsidR="005829F4" w:rsidRPr="00BD4C77" w:rsidRDefault="005829F4" w:rsidP="005829F4">
            <w:pPr>
              <w:spacing w:after="0" w:line="240" w:lineRule="auto"/>
              <w:jc w:val="right"/>
              <w:rPr>
                <w:rFonts w:ascii="Arial" w:hAnsi="Arial" w:cs="Arial"/>
                <w:b/>
                <w:bCs/>
                <w:color w:val="000000"/>
                <w:sz w:val="16"/>
                <w:szCs w:val="16"/>
              </w:rPr>
            </w:pPr>
            <w:r w:rsidRPr="00BD4C77">
              <w:rPr>
                <w:rFonts w:ascii="Arial" w:hAnsi="Arial" w:cs="Arial"/>
                <w:b/>
                <w:bCs/>
                <w:color w:val="000000"/>
                <w:sz w:val="16"/>
                <w:szCs w:val="16"/>
              </w:rPr>
              <w:t>28,026</w:t>
            </w:r>
          </w:p>
        </w:tc>
        <w:tc>
          <w:tcPr>
            <w:tcW w:w="919" w:type="dxa"/>
            <w:tcBorders>
              <w:top w:val="single" w:sz="4" w:space="0" w:color="000000"/>
              <w:left w:val="nil"/>
              <w:bottom w:val="single" w:sz="4" w:space="0" w:color="000000"/>
              <w:right w:val="nil"/>
            </w:tcBorders>
            <w:shd w:val="clear" w:color="000000" w:fill="E6E6E6"/>
            <w:noWrap/>
            <w:vAlign w:val="bottom"/>
            <w:hideMark/>
          </w:tcPr>
          <w:p w14:paraId="3A06524D" w14:textId="47A76AE9" w:rsidR="005829F4" w:rsidRPr="00BD4C77" w:rsidRDefault="005829F4" w:rsidP="005829F4">
            <w:pPr>
              <w:spacing w:after="0" w:line="240" w:lineRule="auto"/>
              <w:jc w:val="right"/>
              <w:rPr>
                <w:rFonts w:ascii="Arial" w:hAnsi="Arial" w:cs="Arial"/>
                <w:b/>
                <w:bCs/>
                <w:color w:val="000000"/>
                <w:sz w:val="16"/>
                <w:szCs w:val="16"/>
              </w:rPr>
            </w:pPr>
            <w:r w:rsidRPr="00BD4C77">
              <w:rPr>
                <w:rFonts w:ascii="Arial" w:hAnsi="Arial" w:cs="Arial"/>
                <w:b/>
                <w:bCs/>
                <w:color w:val="000000"/>
                <w:sz w:val="16"/>
                <w:szCs w:val="16"/>
              </w:rPr>
              <w:t>2,942</w:t>
            </w:r>
          </w:p>
        </w:tc>
        <w:tc>
          <w:tcPr>
            <w:tcW w:w="919" w:type="dxa"/>
            <w:tcBorders>
              <w:top w:val="single" w:sz="4" w:space="0" w:color="000000"/>
              <w:left w:val="nil"/>
              <w:bottom w:val="single" w:sz="4" w:space="0" w:color="000000"/>
              <w:right w:val="nil"/>
            </w:tcBorders>
            <w:shd w:val="clear" w:color="000000" w:fill="E6E6E6"/>
            <w:noWrap/>
            <w:vAlign w:val="bottom"/>
            <w:hideMark/>
          </w:tcPr>
          <w:p w14:paraId="1F902EF0" w14:textId="7CBD43A2" w:rsidR="005829F4" w:rsidRPr="00BD4C77" w:rsidRDefault="005829F4" w:rsidP="005829F4">
            <w:pPr>
              <w:spacing w:after="0" w:line="240" w:lineRule="auto"/>
              <w:jc w:val="right"/>
              <w:rPr>
                <w:rFonts w:ascii="Arial" w:hAnsi="Arial" w:cs="Arial"/>
                <w:b/>
                <w:bCs/>
                <w:color w:val="000000"/>
                <w:sz w:val="16"/>
                <w:szCs w:val="16"/>
              </w:rPr>
            </w:pPr>
            <w:r w:rsidRPr="00BD4C77">
              <w:rPr>
                <w:rFonts w:ascii="Arial" w:hAnsi="Arial" w:cs="Arial"/>
                <w:b/>
                <w:bCs/>
                <w:color w:val="000000"/>
                <w:sz w:val="16"/>
                <w:szCs w:val="16"/>
              </w:rPr>
              <w:t>-</w:t>
            </w:r>
          </w:p>
        </w:tc>
      </w:tr>
    </w:tbl>
    <w:p w14:paraId="4A08177B" w14:textId="77777777" w:rsidR="005829F4" w:rsidRPr="00F81049" w:rsidRDefault="005829F4" w:rsidP="005829F4">
      <w:pPr>
        <w:pStyle w:val="TableGraphic"/>
        <w:rPr>
          <w:lang w:val="x-none" w:eastAsia="x-none"/>
        </w:rPr>
      </w:pPr>
    </w:p>
    <w:p w14:paraId="3379A193" w14:textId="77777777" w:rsidR="005829F4" w:rsidRDefault="005829F4" w:rsidP="005829F4">
      <w:pPr>
        <w:pStyle w:val="TableHeading"/>
        <w:rPr>
          <w:lang w:val="en-GB"/>
        </w:rPr>
      </w:pPr>
      <w:r>
        <w:t>Table 1.5:</w:t>
      </w:r>
      <w:r w:rsidRPr="00D81F65">
        <w:t xml:space="preserve"> Appropriation Bill (No. 4) 20</w:t>
      </w:r>
      <w:r>
        <w:t>2</w:t>
      </w:r>
      <w:r>
        <w:rPr>
          <w:lang w:val="en-GB"/>
        </w:rPr>
        <w:t>1</w:t>
      </w:r>
      <w:r w:rsidRPr="00D81F65">
        <w:rPr>
          <w:rFonts w:hint="eastAsia"/>
        </w:rPr>
        <w:t>–</w:t>
      </w:r>
      <w:r>
        <w:t>2</w:t>
      </w:r>
      <w:r>
        <w:rPr>
          <w:lang w:val="en-GB"/>
        </w:rPr>
        <w:t>2</w:t>
      </w:r>
    </w:p>
    <w:tbl>
      <w:tblPr>
        <w:tblW w:w="7282" w:type="dxa"/>
        <w:tblLook w:val="04A0" w:firstRow="1" w:lastRow="0" w:firstColumn="1" w:lastColumn="0" w:noHBand="0" w:noVBand="1"/>
      </w:tblPr>
      <w:tblGrid>
        <w:gridCol w:w="2756"/>
        <w:gridCol w:w="937"/>
        <w:gridCol w:w="875"/>
        <w:gridCol w:w="876"/>
        <w:gridCol w:w="919"/>
        <w:gridCol w:w="919"/>
      </w:tblGrid>
      <w:tr w:rsidR="005829F4" w:rsidRPr="00916763" w14:paraId="3C6201CE" w14:textId="77777777" w:rsidTr="00530072">
        <w:trPr>
          <w:trHeight w:val="56"/>
        </w:trPr>
        <w:tc>
          <w:tcPr>
            <w:tcW w:w="2756" w:type="dxa"/>
            <w:tcBorders>
              <w:top w:val="single" w:sz="4" w:space="0" w:color="auto"/>
              <w:left w:val="nil"/>
              <w:bottom w:val="nil"/>
              <w:right w:val="nil"/>
            </w:tcBorders>
            <w:shd w:val="clear" w:color="auto" w:fill="auto"/>
            <w:noWrap/>
            <w:vAlign w:val="center"/>
            <w:hideMark/>
          </w:tcPr>
          <w:p w14:paraId="5C3860B6" w14:textId="77777777" w:rsidR="005829F4" w:rsidRPr="002466D4" w:rsidRDefault="005829F4" w:rsidP="005829F4">
            <w:pPr>
              <w:spacing w:after="0" w:line="240" w:lineRule="auto"/>
              <w:jc w:val="left"/>
              <w:rPr>
                <w:rFonts w:ascii="Arial" w:hAnsi="Arial" w:cs="Arial"/>
                <w:color w:val="000000"/>
                <w:sz w:val="16"/>
                <w:szCs w:val="16"/>
              </w:rPr>
            </w:pPr>
            <w:r w:rsidRPr="002466D4">
              <w:rPr>
                <w:rFonts w:ascii="Arial" w:hAnsi="Arial" w:cs="Arial"/>
                <w:color w:val="000000"/>
                <w:sz w:val="16"/>
                <w:szCs w:val="16"/>
              </w:rPr>
              <w:t> </w:t>
            </w:r>
          </w:p>
        </w:tc>
        <w:tc>
          <w:tcPr>
            <w:tcW w:w="937" w:type="dxa"/>
            <w:tcBorders>
              <w:top w:val="single" w:sz="4" w:space="0" w:color="auto"/>
              <w:left w:val="nil"/>
              <w:bottom w:val="single" w:sz="4" w:space="0" w:color="000000"/>
              <w:right w:val="nil"/>
            </w:tcBorders>
            <w:shd w:val="clear" w:color="auto" w:fill="auto"/>
            <w:vAlign w:val="center"/>
            <w:hideMark/>
          </w:tcPr>
          <w:p w14:paraId="79E31DED" w14:textId="77777777" w:rsidR="005829F4" w:rsidRPr="00916763" w:rsidRDefault="005829F4" w:rsidP="005829F4">
            <w:pPr>
              <w:spacing w:after="0" w:line="240" w:lineRule="auto"/>
              <w:jc w:val="right"/>
              <w:rPr>
                <w:rFonts w:ascii="Arial" w:hAnsi="Arial" w:cs="Arial"/>
                <w:color w:val="000000"/>
                <w:sz w:val="16"/>
                <w:szCs w:val="16"/>
              </w:rPr>
            </w:pPr>
            <w:r w:rsidRPr="00916763">
              <w:rPr>
                <w:rFonts w:ascii="Arial" w:hAnsi="Arial" w:cs="Arial"/>
                <w:color w:val="000000"/>
                <w:sz w:val="16"/>
                <w:szCs w:val="16"/>
              </w:rPr>
              <w:t>2020-21</w:t>
            </w:r>
            <w:r w:rsidRPr="00916763">
              <w:rPr>
                <w:rFonts w:ascii="Arial" w:hAnsi="Arial" w:cs="Arial"/>
                <w:color w:val="000000"/>
                <w:sz w:val="16"/>
                <w:szCs w:val="16"/>
              </w:rPr>
              <w:br/>
              <w:t>Available</w:t>
            </w:r>
            <w:r w:rsidRPr="00916763">
              <w:rPr>
                <w:rFonts w:ascii="Arial" w:hAnsi="Arial" w:cs="Arial"/>
                <w:color w:val="000000"/>
                <w:sz w:val="16"/>
                <w:szCs w:val="16"/>
              </w:rPr>
              <w:br/>
              <w:t>$'000</w:t>
            </w:r>
          </w:p>
        </w:tc>
        <w:tc>
          <w:tcPr>
            <w:tcW w:w="875" w:type="dxa"/>
            <w:tcBorders>
              <w:top w:val="single" w:sz="4" w:space="0" w:color="auto"/>
              <w:left w:val="nil"/>
              <w:bottom w:val="single" w:sz="4" w:space="0" w:color="000000"/>
              <w:right w:val="nil"/>
            </w:tcBorders>
            <w:shd w:val="clear" w:color="auto" w:fill="auto"/>
            <w:vAlign w:val="center"/>
            <w:hideMark/>
          </w:tcPr>
          <w:p w14:paraId="18FFF7F3" w14:textId="77777777" w:rsidR="005829F4" w:rsidRPr="00916763" w:rsidRDefault="005829F4" w:rsidP="005829F4">
            <w:pPr>
              <w:spacing w:after="0" w:line="240" w:lineRule="auto"/>
              <w:jc w:val="right"/>
              <w:rPr>
                <w:rFonts w:ascii="Arial" w:hAnsi="Arial" w:cs="Arial"/>
                <w:color w:val="000000"/>
                <w:sz w:val="16"/>
                <w:szCs w:val="16"/>
              </w:rPr>
            </w:pPr>
            <w:r w:rsidRPr="00916763">
              <w:rPr>
                <w:rFonts w:ascii="Arial" w:hAnsi="Arial" w:cs="Arial"/>
                <w:color w:val="000000"/>
                <w:sz w:val="16"/>
                <w:szCs w:val="16"/>
              </w:rPr>
              <w:t>2021-22</w:t>
            </w:r>
            <w:r w:rsidRPr="00916763">
              <w:rPr>
                <w:rFonts w:ascii="Arial" w:hAnsi="Arial" w:cs="Arial"/>
                <w:color w:val="000000"/>
                <w:sz w:val="16"/>
                <w:szCs w:val="16"/>
              </w:rPr>
              <w:br/>
              <w:t>Budget</w:t>
            </w:r>
            <w:r w:rsidRPr="00916763">
              <w:rPr>
                <w:rFonts w:ascii="Arial" w:hAnsi="Arial" w:cs="Arial"/>
                <w:color w:val="000000"/>
                <w:sz w:val="16"/>
                <w:szCs w:val="16"/>
              </w:rPr>
              <w:br/>
              <w:t>$'000</w:t>
            </w:r>
          </w:p>
        </w:tc>
        <w:tc>
          <w:tcPr>
            <w:tcW w:w="876" w:type="dxa"/>
            <w:tcBorders>
              <w:top w:val="single" w:sz="4" w:space="0" w:color="auto"/>
              <w:left w:val="nil"/>
              <w:bottom w:val="single" w:sz="4" w:space="0" w:color="000000"/>
              <w:right w:val="nil"/>
            </w:tcBorders>
            <w:shd w:val="clear" w:color="auto" w:fill="auto"/>
            <w:vAlign w:val="center"/>
            <w:hideMark/>
          </w:tcPr>
          <w:p w14:paraId="2ED7D9A7" w14:textId="77777777" w:rsidR="005829F4" w:rsidRPr="00916763" w:rsidRDefault="005829F4" w:rsidP="005829F4">
            <w:pPr>
              <w:spacing w:after="0" w:line="240" w:lineRule="auto"/>
              <w:jc w:val="right"/>
              <w:rPr>
                <w:rFonts w:ascii="Arial" w:hAnsi="Arial" w:cs="Arial"/>
                <w:color w:val="000000"/>
                <w:sz w:val="16"/>
                <w:szCs w:val="16"/>
              </w:rPr>
            </w:pPr>
            <w:r w:rsidRPr="00916763">
              <w:rPr>
                <w:rFonts w:ascii="Arial" w:hAnsi="Arial" w:cs="Arial"/>
                <w:color w:val="000000"/>
                <w:sz w:val="16"/>
                <w:szCs w:val="16"/>
              </w:rPr>
              <w:t>2021-22</w:t>
            </w:r>
            <w:r w:rsidRPr="00916763">
              <w:rPr>
                <w:rFonts w:ascii="Arial" w:hAnsi="Arial" w:cs="Arial"/>
                <w:color w:val="000000"/>
                <w:sz w:val="16"/>
                <w:szCs w:val="16"/>
              </w:rPr>
              <w:br/>
              <w:t>Revised</w:t>
            </w:r>
            <w:r w:rsidRPr="00916763">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29C5B43C" w14:textId="77777777" w:rsidR="005829F4" w:rsidRPr="00916763" w:rsidRDefault="005829F4" w:rsidP="005829F4">
            <w:pPr>
              <w:spacing w:after="0" w:line="240" w:lineRule="auto"/>
              <w:jc w:val="right"/>
              <w:rPr>
                <w:rFonts w:ascii="Arial" w:hAnsi="Arial" w:cs="Arial"/>
                <w:color w:val="000000"/>
                <w:sz w:val="16"/>
                <w:szCs w:val="16"/>
              </w:rPr>
            </w:pPr>
            <w:r w:rsidRPr="00916763">
              <w:rPr>
                <w:rFonts w:ascii="Arial" w:hAnsi="Arial" w:cs="Arial"/>
                <w:color w:val="000000"/>
                <w:sz w:val="16"/>
                <w:szCs w:val="16"/>
              </w:rPr>
              <w:t>Additional Estimates</w:t>
            </w:r>
            <w:r w:rsidRPr="00916763">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20A03019" w14:textId="77777777" w:rsidR="005829F4" w:rsidRPr="00916763" w:rsidRDefault="005829F4" w:rsidP="005829F4">
            <w:pPr>
              <w:spacing w:after="0" w:line="240" w:lineRule="auto"/>
              <w:jc w:val="right"/>
              <w:rPr>
                <w:rFonts w:ascii="Arial" w:hAnsi="Arial" w:cs="Arial"/>
                <w:color w:val="000000"/>
                <w:sz w:val="16"/>
                <w:szCs w:val="16"/>
              </w:rPr>
            </w:pPr>
            <w:r w:rsidRPr="00916763">
              <w:rPr>
                <w:rFonts w:ascii="Arial" w:hAnsi="Arial" w:cs="Arial"/>
                <w:color w:val="000000"/>
                <w:sz w:val="16"/>
                <w:szCs w:val="16"/>
              </w:rPr>
              <w:t>Reduced Estimates</w:t>
            </w:r>
            <w:r w:rsidRPr="00916763">
              <w:rPr>
                <w:rFonts w:ascii="Arial" w:hAnsi="Arial" w:cs="Arial"/>
                <w:color w:val="000000"/>
                <w:sz w:val="16"/>
                <w:szCs w:val="16"/>
              </w:rPr>
              <w:br/>
              <w:t>$'000</w:t>
            </w:r>
          </w:p>
        </w:tc>
      </w:tr>
      <w:tr w:rsidR="005829F4" w:rsidRPr="00916763" w14:paraId="7936E145" w14:textId="77777777" w:rsidTr="00916763">
        <w:trPr>
          <w:trHeight w:val="204"/>
        </w:trPr>
        <w:tc>
          <w:tcPr>
            <w:tcW w:w="2756" w:type="dxa"/>
            <w:tcBorders>
              <w:top w:val="nil"/>
              <w:left w:val="nil"/>
              <w:bottom w:val="nil"/>
              <w:right w:val="nil"/>
            </w:tcBorders>
            <w:shd w:val="clear" w:color="auto" w:fill="auto"/>
            <w:noWrap/>
            <w:vAlign w:val="center"/>
            <w:hideMark/>
          </w:tcPr>
          <w:p w14:paraId="16EC03B2" w14:textId="77777777" w:rsidR="005829F4" w:rsidRPr="00916763" w:rsidRDefault="005829F4" w:rsidP="005829F4">
            <w:pPr>
              <w:spacing w:after="0" w:line="240" w:lineRule="auto"/>
              <w:jc w:val="left"/>
              <w:rPr>
                <w:rFonts w:ascii="Arial" w:hAnsi="Arial" w:cs="Arial"/>
                <w:b/>
                <w:bCs/>
                <w:color w:val="000000"/>
                <w:sz w:val="16"/>
                <w:szCs w:val="16"/>
              </w:rPr>
            </w:pPr>
            <w:r w:rsidRPr="00916763">
              <w:rPr>
                <w:rFonts w:ascii="Arial" w:hAnsi="Arial" w:cs="Arial"/>
                <w:b/>
                <w:bCs/>
                <w:color w:val="000000"/>
                <w:sz w:val="16"/>
                <w:szCs w:val="16"/>
              </w:rPr>
              <w:t>Non-operating</w:t>
            </w:r>
          </w:p>
        </w:tc>
        <w:tc>
          <w:tcPr>
            <w:tcW w:w="937" w:type="dxa"/>
            <w:tcBorders>
              <w:top w:val="nil"/>
              <w:left w:val="nil"/>
              <w:bottom w:val="nil"/>
              <w:right w:val="nil"/>
            </w:tcBorders>
            <w:shd w:val="clear" w:color="auto" w:fill="auto"/>
            <w:noWrap/>
            <w:vAlign w:val="bottom"/>
            <w:hideMark/>
          </w:tcPr>
          <w:p w14:paraId="77567E8E" w14:textId="77777777" w:rsidR="005829F4" w:rsidRPr="00916763" w:rsidRDefault="005829F4" w:rsidP="00916763">
            <w:pPr>
              <w:spacing w:after="0" w:line="240" w:lineRule="auto"/>
              <w:jc w:val="right"/>
              <w:rPr>
                <w:rFonts w:ascii="Arial" w:hAnsi="Arial" w:cs="Arial"/>
                <w:b/>
                <w:bCs/>
                <w:color w:val="000000"/>
                <w:sz w:val="16"/>
                <w:szCs w:val="16"/>
              </w:rPr>
            </w:pPr>
          </w:p>
        </w:tc>
        <w:tc>
          <w:tcPr>
            <w:tcW w:w="875" w:type="dxa"/>
            <w:tcBorders>
              <w:top w:val="nil"/>
              <w:left w:val="nil"/>
              <w:bottom w:val="nil"/>
              <w:right w:val="nil"/>
            </w:tcBorders>
            <w:shd w:val="clear" w:color="auto" w:fill="auto"/>
            <w:noWrap/>
            <w:vAlign w:val="bottom"/>
            <w:hideMark/>
          </w:tcPr>
          <w:p w14:paraId="4C4204F2" w14:textId="77777777" w:rsidR="005829F4" w:rsidRPr="00916763" w:rsidRDefault="005829F4" w:rsidP="00916763">
            <w:pPr>
              <w:spacing w:after="0" w:line="240" w:lineRule="auto"/>
              <w:jc w:val="right"/>
              <w:rPr>
                <w:rFonts w:ascii="Arial" w:hAnsi="Arial" w:cs="Arial"/>
                <w:sz w:val="16"/>
                <w:szCs w:val="16"/>
              </w:rPr>
            </w:pPr>
          </w:p>
        </w:tc>
        <w:tc>
          <w:tcPr>
            <w:tcW w:w="876" w:type="dxa"/>
            <w:tcBorders>
              <w:top w:val="nil"/>
              <w:left w:val="nil"/>
              <w:bottom w:val="nil"/>
              <w:right w:val="nil"/>
            </w:tcBorders>
            <w:shd w:val="clear" w:color="auto" w:fill="auto"/>
            <w:noWrap/>
            <w:vAlign w:val="bottom"/>
            <w:hideMark/>
          </w:tcPr>
          <w:p w14:paraId="1BC49F64" w14:textId="77777777" w:rsidR="005829F4" w:rsidRPr="00916763" w:rsidRDefault="005829F4" w:rsidP="00916763">
            <w:pPr>
              <w:spacing w:after="0" w:line="240" w:lineRule="auto"/>
              <w:jc w:val="right"/>
              <w:rPr>
                <w:rFonts w:ascii="Arial" w:hAnsi="Arial" w:cs="Arial"/>
                <w:sz w:val="16"/>
                <w:szCs w:val="16"/>
              </w:rPr>
            </w:pPr>
          </w:p>
        </w:tc>
        <w:tc>
          <w:tcPr>
            <w:tcW w:w="919" w:type="dxa"/>
            <w:tcBorders>
              <w:top w:val="nil"/>
              <w:left w:val="nil"/>
              <w:bottom w:val="nil"/>
              <w:right w:val="nil"/>
            </w:tcBorders>
            <w:shd w:val="clear" w:color="000000" w:fill="E6E6E6"/>
            <w:noWrap/>
            <w:vAlign w:val="bottom"/>
            <w:hideMark/>
          </w:tcPr>
          <w:p w14:paraId="6123933F" w14:textId="4DC82ABD" w:rsidR="005829F4" w:rsidRPr="00916763" w:rsidRDefault="005829F4" w:rsidP="00916763">
            <w:pPr>
              <w:spacing w:after="0" w:line="240" w:lineRule="auto"/>
              <w:jc w:val="right"/>
              <w:rPr>
                <w:rFonts w:ascii="Arial" w:hAnsi="Arial" w:cs="Arial"/>
                <w:color w:val="000000"/>
                <w:sz w:val="16"/>
                <w:szCs w:val="16"/>
              </w:rPr>
            </w:pPr>
          </w:p>
        </w:tc>
        <w:tc>
          <w:tcPr>
            <w:tcW w:w="919" w:type="dxa"/>
            <w:tcBorders>
              <w:top w:val="nil"/>
              <w:left w:val="nil"/>
              <w:bottom w:val="nil"/>
              <w:right w:val="nil"/>
            </w:tcBorders>
            <w:shd w:val="clear" w:color="000000" w:fill="E6E6E6"/>
            <w:noWrap/>
            <w:vAlign w:val="bottom"/>
            <w:hideMark/>
          </w:tcPr>
          <w:p w14:paraId="2CD4C283" w14:textId="131C78B1" w:rsidR="005829F4" w:rsidRPr="00916763" w:rsidRDefault="005829F4" w:rsidP="00916763">
            <w:pPr>
              <w:spacing w:after="0" w:line="240" w:lineRule="auto"/>
              <w:jc w:val="right"/>
              <w:rPr>
                <w:rFonts w:ascii="Arial" w:hAnsi="Arial" w:cs="Arial"/>
                <w:color w:val="000000"/>
                <w:sz w:val="16"/>
                <w:szCs w:val="16"/>
              </w:rPr>
            </w:pPr>
          </w:p>
        </w:tc>
      </w:tr>
      <w:tr w:rsidR="005829F4" w:rsidRPr="00916763" w14:paraId="7F1CD004" w14:textId="77777777" w:rsidTr="00916763">
        <w:trPr>
          <w:trHeight w:val="204"/>
        </w:trPr>
        <w:tc>
          <w:tcPr>
            <w:tcW w:w="2756" w:type="dxa"/>
            <w:tcBorders>
              <w:top w:val="nil"/>
              <w:left w:val="nil"/>
              <w:bottom w:val="nil"/>
              <w:right w:val="nil"/>
            </w:tcBorders>
            <w:shd w:val="clear" w:color="auto" w:fill="auto"/>
            <w:noWrap/>
            <w:vAlign w:val="center"/>
            <w:hideMark/>
          </w:tcPr>
          <w:p w14:paraId="496D116C" w14:textId="77777777" w:rsidR="005829F4" w:rsidRPr="00916763" w:rsidRDefault="005829F4" w:rsidP="00BD4C77">
            <w:pPr>
              <w:spacing w:after="0" w:line="240" w:lineRule="auto"/>
              <w:ind w:left="113"/>
              <w:jc w:val="left"/>
              <w:rPr>
                <w:rFonts w:ascii="Arial" w:hAnsi="Arial" w:cs="Arial"/>
                <w:color w:val="000000"/>
                <w:sz w:val="16"/>
                <w:szCs w:val="16"/>
              </w:rPr>
            </w:pPr>
            <w:r w:rsidRPr="00916763">
              <w:rPr>
                <w:rFonts w:ascii="Arial" w:hAnsi="Arial" w:cs="Arial"/>
                <w:color w:val="000000"/>
                <w:sz w:val="16"/>
                <w:szCs w:val="16"/>
              </w:rPr>
              <w:t>Equity injections</w:t>
            </w:r>
          </w:p>
        </w:tc>
        <w:tc>
          <w:tcPr>
            <w:tcW w:w="937" w:type="dxa"/>
            <w:tcBorders>
              <w:top w:val="nil"/>
              <w:left w:val="nil"/>
              <w:bottom w:val="nil"/>
              <w:right w:val="nil"/>
            </w:tcBorders>
            <w:shd w:val="clear" w:color="auto" w:fill="auto"/>
            <w:noWrap/>
            <w:vAlign w:val="bottom"/>
            <w:hideMark/>
          </w:tcPr>
          <w:p w14:paraId="784231B9" w14:textId="15715417" w:rsidR="005829F4" w:rsidRPr="00916763" w:rsidRDefault="00916763" w:rsidP="00916763">
            <w:pPr>
              <w:spacing w:after="0" w:line="240" w:lineRule="auto"/>
              <w:ind w:firstLineChars="100" w:firstLine="160"/>
              <w:jc w:val="right"/>
              <w:rPr>
                <w:rFonts w:ascii="Arial" w:hAnsi="Arial" w:cs="Arial"/>
                <w:color w:val="000000"/>
                <w:sz w:val="16"/>
                <w:szCs w:val="16"/>
              </w:rPr>
            </w:pPr>
            <w:r w:rsidRPr="00916763">
              <w:rPr>
                <w:rFonts w:ascii="Arial" w:hAnsi="Arial" w:cs="Arial"/>
                <w:color w:val="000000"/>
                <w:sz w:val="16"/>
                <w:szCs w:val="16"/>
              </w:rPr>
              <w:t>809</w:t>
            </w:r>
          </w:p>
        </w:tc>
        <w:tc>
          <w:tcPr>
            <w:tcW w:w="875" w:type="dxa"/>
            <w:tcBorders>
              <w:top w:val="nil"/>
              <w:left w:val="nil"/>
              <w:bottom w:val="nil"/>
              <w:right w:val="nil"/>
            </w:tcBorders>
            <w:shd w:val="clear" w:color="auto" w:fill="auto"/>
            <w:noWrap/>
            <w:vAlign w:val="bottom"/>
            <w:hideMark/>
          </w:tcPr>
          <w:p w14:paraId="1E7A9014" w14:textId="29552B5B" w:rsidR="005829F4" w:rsidRPr="00916763" w:rsidRDefault="00916763" w:rsidP="00916763">
            <w:pPr>
              <w:spacing w:after="0" w:line="240" w:lineRule="auto"/>
              <w:jc w:val="right"/>
              <w:rPr>
                <w:rFonts w:ascii="Arial" w:hAnsi="Arial" w:cs="Arial"/>
                <w:sz w:val="16"/>
                <w:szCs w:val="16"/>
              </w:rPr>
            </w:pPr>
            <w:r w:rsidRPr="00916763">
              <w:rPr>
                <w:rFonts w:ascii="Arial" w:hAnsi="Arial" w:cs="Arial"/>
                <w:sz w:val="16"/>
                <w:szCs w:val="16"/>
              </w:rPr>
              <w:t>809</w:t>
            </w:r>
          </w:p>
        </w:tc>
        <w:tc>
          <w:tcPr>
            <w:tcW w:w="876" w:type="dxa"/>
            <w:tcBorders>
              <w:top w:val="nil"/>
              <w:left w:val="nil"/>
              <w:bottom w:val="nil"/>
              <w:right w:val="nil"/>
            </w:tcBorders>
            <w:shd w:val="clear" w:color="auto" w:fill="auto"/>
            <w:noWrap/>
            <w:vAlign w:val="bottom"/>
            <w:hideMark/>
          </w:tcPr>
          <w:p w14:paraId="5EF60B22" w14:textId="350AC5DF" w:rsidR="005829F4" w:rsidRPr="00916763" w:rsidRDefault="00916763" w:rsidP="00916763">
            <w:pPr>
              <w:spacing w:after="0" w:line="240" w:lineRule="auto"/>
              <w:jc w:val="right"/>
              <w:rPr>
                <w:rFonts w:ascii="Arial" w:hAnsi="Arial" w:cs="Arial"/>
                <w:sz w:val="16"/>
                <w:szCs w:val="16"/>
              </w:rPr>
            </w:pPr>
            <w:r w:rsidRPr="00916763">
              <w:rPr>
                <w:rFonts w:ascii="Arial" w:hAnsi="Arial" w:cs="Arial"/>
                <w:bCs/>
                <w:color w:val="000000"/>
                <w:sz w:val="16"/>
                <w:szCs w:val="16"/>
              </w:rPr>
              <w:t>4,327</w:t>
            </w:r>
          </w:p>
        </w:tc>
        <w:tc>
          <w:tcPr>
            <w:tcW w:w="919" w:type="dxa"/>
            <w:tcBorders>
              <w:top w:val="nil"/>
              <w:left w:val="nil"/>
              <w:bottom w:val="nil"/>
              <w:right w:val="nil"/>
            </w:tcBorders>
            <w:shd w:val="clear" w:color="000000" w:fill="E6E6E6"/>
            <w:noWrap/>
            <w:vAlign w:val="bottom"/>
            <w:hideMark/>
          </w:tcPr>
          <w:p w14:paraId="2015F637" w14:textId="501C990F" w:rsidR="005829F4" w:rsidRPr="00916763" w:rsidRDefault="00916763" w:rsidP="005848C5">
            <w:pPr>
              <w:spacing w:after="0" w:line="240" w:lineRule="auto"/>
              <w:jc w:val="right"/>
              <w:rPr>
                <w:rFonts w:ascii="Arial" w:hAnsi="Arial" w:cs="Arial"/>
                <w:color w:val="000000"/>
                <w:sz w:val="16"/>
                <w:szCs w:val="16"/>
              </w:rPr>
            </w:pPr>
            <w:r w:rsidRPr="00916763">
              <w:rPr>
                <w:rFonts w:ascii="Arial" w:hAnsi="Arial" w:cs="Arial"/>
                <w:color w:val="000000"/>
                <w:sz w:val="16"/>
                <w:szCs w:val="16"/>
              </w:rPr>
              <w:t>3,518</w:t>
            </w:r>
          </w:p>
        </w:tc>
        <w:tc>
          <w:tcPr>
            <w:tcW w:w="919" w:type="dxa"/>
            <w:tcBorders>
              <w:top w:val="nil"/>
              <w:left w:val="nil"/>
              <w:bottom w:val="nil"/>
              <w:right w:val="nil"/>
            </w:tcBorders>
            <w:shd w:val="clear" w:color="000000" w:fill="E6E6E6"/>
            <w:noWrap/>
            <w:vAlign w:val="bottom"/>
            <w:hideMark/>
          </w:tcPr>
          <w:p w14:paraId="05934DD0" w14:textId="464EE495" w:rsidR="005829F4" w:rsidRPr="00916763" w:rsidRDefault="00916763" w:rsidP="00916763">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5829F4" w:rsidRPr="002466D4" w14:paraId="418912A4" w14:textId="77777777" w:rsidTr="00916763">
        <w:trPr>
          <w:trHeight w:val="204"/>
        </w:trPr>
        <w:tc>
          <w:tcPr>
            <w:tcW w:w="2756" w:type="dxa"/>
            <w:tcBorders>
              <w:top w:val="nil"/>
              <w:left w:val="nil"/>
              <w:bottom w:val="single" w:sz="4" w:space="0" w:color="auto"/>
              <w:right w:val="nil"/>
            </w:tcBorders>
            <w:shd w:val="clear" w:color="auto" w:fill="auto"/>
            <w:noWrap/>
            <w:vAlign w:val="center"/>
            <w:hideMark/>
          </w:tcPr>
          <w:p w14:paraId="61600F85" w14:textId="77777777" w:rsidR="005829F4" w:rsidRPr="00916763" w:rsidRDefault="005829F4" w:rsidP="005829F4">
            <w:pPr>
              <w:spacing w:after="0" w:line="240" w:lineRule="auto"/>
              <w:jc w:val="left"/>
              <w:rPr>
                <w:rFonts w:ascii="Arial" w:hAnsi="Arial" w:cs="Arial"/>
                <w:b/>
                <w:bCs/>
                <w:color w:val="000000"/>
                <w:sz w:val="16"/>
                <w:szCs w:val="16"/>
              </w:rPr>
            </w:pPr>
            <w:r w:rsidRPr="00916763">
              <w:rPr>
                <w:rFonts w:ascii="Arial" w:hAnsi="Arial" w:cs="Arial"/>
                <w:b/>
                <w:bCs/>
                <w:color w:val="000000"/>
                <w:sz w:val="16"/>
                <w:szCs w:val="16"/>
              </w:rPr>
              <w:t>Total non-operating</w:t>
            </w:r>
          </w:p>
        </w:tc>
        <w:tc>
          <w:tcPr>
            <w:tcW w:w="937" w:type="dxa"/>
            <w:tcBorders>
              <w:top w:val="single" w:sz="4" w:space="0" w:color="000000"/>
              <w:left w:val="nil"/>
              <w:bottom w:val="single" w:sz="4" w:space="0" w:color="auto"/>
              <w:right w:val="nil"/>
            </w:tcBorders>
            <w:shd w:val="clear" w:color="auto" w:fill="auto"/>
            <w:noWrap/>
            <w:vAlign w:val="bottom"/>
            <w:hideMark/>
          </w:tcPr>
          <w:p w14:paraId="3D404B7E" w14:textId="5BA41081" w:rsidR="005829F4" w:rsidRPr="00916763" w:rsidRDefault="005829F4" w:rsidP="00916763">
            <w:pPr>
              <w:spacing w:after="0" w:line="240" w:lineRule="auto"/>
              <w:jc w:val="right"/>
              <w:rPr>
                <w:rFonts w:ascii="Arial" w:hAnsi="Arial" w:cs="Arial"/>
                <w:b/>
                <w:bCs/>
                <w:color w:val="000000"/>
                <w:sz w:val="16"/>
                <w:szCs w:val="16"/>
              </w:rPr>
            </w:pPr>
            <w:r w:rsidRPr="00916763">
              <w:rPr>
                <w:rFonts w:ascii="Arial" w:hAnsi="Arial" w:cs="Arial"/>
                <w:b/>
                <w:bCs/>
                <w:color w:val="000000"/>
                <w:sz w:val="16"/>
                <w:szCs w:val="16"/>
              </w:rPr>
              <w:t>809</w:t>
            </w:r>
          </w:p>
        </w:tc>
        <w:tc>
          <w:tcPr>
            <w:tcW w:w="875" w:type="dxa"/>
            <w:tcBorders>
              <w:top w:val="single" w:sz="4" w:space="0" w:color="000000"/>
              <w:left w:val="nil"/>
              <w:bottom w:val="single" w:sz="4" w:space="0" w:color="000000"/>
              <w:right w:val="nil"/>
            </w:tcBorders>
            <w:shd w:val="clear" w:color="auto" w:fill="auto"/>
            <w:noWrap/>
            <w:vAlign w:val="bottom"/>
            <w:hideMark/>
          </w:tcPr>
          <w:p w14:paraId="669CE302" w14:textId="4019FFAD" w:rsidR="005829F4" w:rsidRPr="00916763" w:rsidRDefault="005829F4" w:rsidP="00916763">
            <w:pPr>
              <w:spacing w:after="0" w:line="240" w:lineRule="auto"/>
              <w:jc w:val="right"/>
              <w:rPr>
                <w:rFonts w:ascii="Arial" w:hAnsi="Arial" w:cs="Arial"/>
                <w:b/>
                <w:bCs/>
                <w:color w:val="000000"/>
                <w:sz w:val="16"/>
                <w:szCs w:val="16"/>
              </w:rPr>
            </w:pPr>
            <w:r w:rsidRPr="00916763">
              <w:rPr>
                <w:rFonts w:ascii="Arial" w:hAnsi="Arial" w:cs="Arial"/>
                <w:b/>
                <w:bCs/>
                <w:color w:val="000000"/>
                <w:sz w:val="16"/>
                <w:szCs w:val="16"/>
              </w:rPr>
              <w:t>809</w:t>
            </w:r>
          </w:p>
        </w:tc>
        <w:tc>
          <w:tcPr>
            <w:tcW w:w="876" w:type="dxa"/>
            <w:tcBorders>
              <w:top w:val="single" w:sz="4" w:space="0" w:color="000000"/>
              <w:left w:val="nil"/>
              <w:bottom w:val="single" w:sz="4" w:space="0" w:color="000000"/>
              <w:right w:val="nil"/>
            </w:tcBorders>
            <w:shd w:val="clear" w:color="auto" w:fill="auto"/>
            <w:noWrap/>
            <w:vAlign w:val="bottom"/>
            <w:hideMark/>
          </w:tcPr>
          <w:p w14:paraId="2BBDB372" w14:textId="40726F62" w:rsidR="005829F4" w:rsidRPr="00916763" w:rsidRDefault="005829F4" w:rsidP="00916763">
            <w:pPr>
              <w:spacing w:after="0" w:line="240" w:lineRule="auto"/>
              <w:jc w:val="right"/>
              <w:rPr>
                <w:rFonts w:ascii="Arial" w:hAnsi="Arial" w:cs="Arial"/>
                <w:b/>
                <w:bCs/>
                <w:color w:val="000000"/>
                <w:sz w:val="16"/>
                <w:szCs w:val="16"/>
              </w:rPr>
            </w:pPr>
            <w:r w:rsidRPr="00916763">
              <w:rPr>
                <w:rFonts w:ascii="Arial" w:hAnsi="Arial" w:cs="Arial"/>
                <w:b/>
                <w:bCs/>
                <w:color w:val="000000"/>
                <w:sz w:val="16"/>
                <w:szCs w:val="16"/>
              </w:rPr>
              <w:t>4,327</w:t>
            </w:r>
          </w:p>
        </w:tc>
        <w:tc>
          <w:tcPr>
            <w:tcW w:w="919" w:type="dxa"/>
            <w:tcBorders>
              <w:top w:val="single" w:sz="4" w:space="0" w:color="000000"/>
              <w:left w:val="nil"/>
              <w:bottom w:val="single" w:sz="4" w:space="0" w:color="000000"/>
              <w:right w:val="nil"/>
            </w:tcBorders>
            <w:shd w:val="clear" w:color="000000" w:fill="E6E6E6"/>
            <w:noWrap/>
            <w:vAlign w:val="bottom"/>
            <w:hideMark/>
          </w:tcPr>
          <w:p w14:paraId="2799EF96" w14:textId="0127CCC9" w:rsidR="005829F4" w:rsidRPr="00916763" w:rsidRDefault="005829F4" w:rsidP="00916763">
            <w:pPr>
              <w:spacing w:after="0" w:line="240" w:lineRule="auto"/>
              <w:jc w:val="right"/>
              <w:rPr>
                <w:rFonts w:ascii="Arial" w:hAnsi="Arial" w:cs="Arial"/>
                <w:b/>
                <w:bCs/>
                <w:color w:val="000000"/>
                <w:sz w:val="16"/>
                <w:szCs w:val="16"/>
              </w:rPr>
            </w:pPr>
            <w:r w:rsidRPr="00916763">
              <w:rPr>
                <w:rFonts w:ascii="Arial" w:hAnsi="Arial" w:cs="Arial"/>
                <w:b/>
                <w:bCs/>
                <w:color w:val="000000"/>
                <w:sz w:val="16"/>
                <w:szCs w:val="16"/>
              </w:rPr>
              <w:t>3,518</w:t>
            </w:r>
          </w:p>
        </w:tc>
        <w:tc>
          <w:tcPr>
            <w:tcW w:w="919" w:type="dxa"/>
            <w:tcBorders>
              <w:top w:val="single" w:sz="4" w:space="0" w:color="000000"/>
              <w:left w:val="nil"/>
              <w:bottom w:val="single" w:sz="4" w:space="0" w:color="000000"/>
              <w:right w:val="nil"/>
            </w:tcBorders>
            <w:shd w:val="clear" w:color="000000" w:fill="E6E6E6"/>
            <w:noWrap/>
            <w:vAlign w:val="bottom"/>
            <w:hideMark/>
          </w:tcPr>
          <w:p w14:paraId="578918CB" w14:textId="6EE7E7C0" w:rsidR="005829F4" w:rsidRPr="00916763" w:rsidRDefault="005829F4" w:rsidP="00916763">
            <w:pPr>
              <w:spacing w:after="0" w:line="240" w:lineRule="auto"/>
              <w:jc w:val="right"/>
              <w:rPr>
                <w:rFonts w:ascii="Arial" w:hAnsi="Arial" w:cs="Arial"/>
                <w:b/>
                <w:bCs/>
                <w:color w:val="000000"/>
                <w:sz w:val="16"/>
                <w:szCs w:val="16"/>
              </w:rPr>
            </w:pPr>
            <w:r w:rsidRPr="00916763">
              <w:rPr>
                <w:rFonts w:ascii="Arial" w:hAnsi="Arial" w:cs="Arial"/>
                <w:b/>
                <w:bCs/>
                <w:color w:val="000000"/>
                <w:sz w:val="16"/>
                <w:szCs w:val="16"/>
              </w:rPr>
              <w:t>-</w:t>
            </w:r>
          </w:p>
        </w:tc>
      </w:tr>
    </w:tbl>
    <w:p w14:paraId="49E7EF7F" w14:textId="4601497A" w:rsidR="00914885" w:rsidRDefault="00914885" w:rsidP="00914885">
      <w:pPr>
        <w:spacing w:after="0" w:line="240" w:lineRule="auto"/>
        <w:jc w:val="left"/>
      </w:pPr>
      <w:r>
        <w:br w:type="page"/>
      </w:r>
    </w:p>
    <w:p w14:paraId="06D2F950" w14:textId="63BB5DC0" w:rsidR="00914885" w:rsidRPr="00E41681" w:rsidRDefault="00914885" w:rsidP="008176BB">
      <w:pPr>
        <w:pStyle w:val="Heading2-TOCNFSA"/>
      </w:pPr>
      <w:bookmarkStart w:id="486" w:name="_Toc92991325"/>
      <w:bookmarkStart w:id="487" w:name="_Toc93405246"/>
      <w:r w:rsidRPr="00E41681">
        <w:lastRenderedPageBreak/>
        <w:t>Section 2: Revisions to outcomes and planned performance</w:t>
      </w:r>
      <w:bookmarkEnd w:id="486"/>
      <w:bookmarkEnd w:id="487"/>
    </w:p>
    <w:p w14:paraId="5E7FC927" w14:textId="77777777" w:rsidR="00955579" w:rsidRDefault="00955579" w:rsidP="00F37CD1">
      <w:pPr>
        <w:pStyle w:val="Heading3NFSA"/>
      </w:pPr>
      <w:bookmarkStart w:id="488" w:name="_Toc93405190"/>
      <w:bookmarkStart w:id="489" w:name="_Toc93405247"/>
      <w:r>
        <w:t>2.1</w:t>
      </w:r>
      <w:r>
        <w:tab/>
        <w:t>Changes to outcome and program structures</w:t>
      </w:r>
      <w:bookmarkEnd w:id="488"/>
      <w:bookmarkEnd w:id="489"/>
      <w:r>
        <w:t xml:space="preserve"> </w:t>
      </w:r>
    </w:p>
    <w:p w14:paraId="754BECB1" w14:textId="06DC8544" w:rsidR="00C959B5" w:rsidRPr="001D1BCB" w:rsidRDefault="00C959B5" w:rsidP="00C959B5">
      <w:pPr>
        <w:jc w:val="left"/>
        <w:rPr>
          <w:rFonts w:cs="Arial"/>
        </w:rPr>
      </w:pPr>
      <w:r w:rsidRPr="00EF379E">
        <w:rPr>
          <w:rFonts w:cs="Arial"/>
        </w:rPr>
        <w:t>There has been no revision to the N</w:t>
      </w:r>
      <w:r>
        <w:rPr>
          <w:rFonts w:cs="Arial"/>
        </w:rPr>
        <w:t>FSA</w:t>
      </w:r>
      <w:r w:rsidRPr="00EF379E">
        <w:rPr>
          <w:rFonts w:cs="Arial"/>
        </w:rPr>
        <w:t xml:space="preserve">’s outcome and program structure since the </w:t>
      </w:r>
      <w:r w:rsidR="00360023" w:rsidRPr="001D1BCB">
        <w:rPr>
          <w:rFonts w:cs="Arial"/>
        </w:rPr>
        <w:t xml:space="preserve">2021-22 </w:t>
      </w:r>
      <w:r w:rsidRPr="001D1BCB">
        <w:rPr>
          <w:rFonts w:cs="Arial"/>
        </w:rPr>
        <w:t>Infrastructure, Transport, Regional Development and Communications PB</w:t>
      </w:r>
      <w:r>
        <w:rPr>
          <w:rFonts w:cs="Arial"/>
        </w:rPr>
        <w:t> </w:t>
      </w:r>
      <w:r w:rsidRPr="001D1BCB">
        <w:rPr>
          <w:rFonts w:cs="Arial"/>
        </w:rPr>
        <w:t xml:space="preserve">Statements. </w:t>
      </w:r>
    </w:p>
    <w:p w14:paraId="511550BF" w14:textId="77777777" w:rsidR="005829F4" w:rsidRDefault="005829F4" w:rsidP="005829F4">
      <w:pPr>
        <w:pBdr>
          <w:top w:val="single" w:sz="2" w:space="6" w:color="auto"/>
          <w:left w:val="single" w:sz="2" w:space="4" w:color="auto"/>
          <w:bottom w:val="single" w:sz="2" w:space="6" w:color="auto"/>
          <w:right w:val="single" w:sz="2" w:space="4" w:color="auto"/>
        </w:pBdr>
        <w:spacing w:after="0"/>
      </w:pPr>
      <w:r>
        <w:t xml:space="preserve">The most recent corporate plan for NFSA can be found at: </w:t>
      </w:r>
    </w:p>
    <w:p w14:paraId="39C79AC2" w14:textId="77777777" w:rsidR="005829F4" w:rsidRDefault="005829F4" w:rsidP="005829F4">
      <w:pPr>
        <w:pBdr>
          <w:top w:val="single" w:sz="2" w:space="6" w:color="auto"/>
          <w:left w:val="single" w:sz="2" w:space="4" w:color="auto"/>
          <w:bottom w:val="single" w:sz="2" w:space="6" w:color="auto"/>
          <w:right w:val="single" w:sz="2" w:space="4" w:color="auto"/>
        </w:pBdr>
      </w:pPr>
      <w:r w:rsidRPr="00B02334">
        <w:rPr>
          <w:u w:val="single"/>
        </w:rPr>
        <w:t>www.nfsa.gov.au/about/corporate-information/publications/corporate-</w:t>
      </w:r>
      <w:r w:rsidRPr="00417798">
        <w:rPr>
          <w:u w:val="single"/>
        </w:rPr>
        <w:t>plan</w:t>
      </w:r>
      <w:r w:rsidRPr="00417798">
        <w:t>.</w:t>
      </w:r>
    </w:p>
    <w:p w14:paraId="3988E97B" w14:textId="77777777" w:rsidR="005829F4" w:rsidRDefault="005829F4" w:rsidP="005829F4">
      <w:pPr>
        <w:pBdr>
          <w:top w:val="single" w:sz="2" w:space="6" w:color="auto"/>
          <w:left w:val="single" w:sz="2" w:space="4" w:color="auto"/>
          <w:bottom w:val="single" w:sz="2" w:space="6" w:color="auto"/>
          <w:right w:val="single" w:sz="2" w:space="4" w:color="auto"/>
        </w:pBdr>
        <w:spacing w:after="0"/>
      </w:pPr>
      <w:r>
        <w:t xml:space="preserve">The most recent annual performance statement can be found at: </w:t>
      </w:r>
    </w:p>
    <w:p w14:paraId="5471E7D4" w14:textId="43D92FFB" w:rsidR="005829F4" w:rsidRPr="00417798" w:rsidRDefault="005616C5" w:rsidP="005829F4">
      <w:pPr>
        <w:pBdr>
          <w:top w:val="single" w:sz="2" w:space="6" w:color="auto"/>
          <w:left w:val="single" w:sz="2" w:space="4" w:color="auto"/>
          <w:bottom w:val="single" w:sz="2" w:space="6" w:color="auto"/>
          <w:right w:val="single" w:sz="2" w:space="4" w:color="auto"/>
        </w:pBdr>
        <w:rPr>
          <w:u w:val="single"/>
        </w:rPr>
      </w:pPr>
      <w:hyperlink r:id="rId103" w:history="1">
        <w:r w:rsidR="005829F4" w:rsidRPr="00417798">
          <w:rPr>
            <w:u w:val="single"/>
          </w:rPr>
          <w:t>www.nfsa.gov.au/about/corporate-information/publications/annual-reports</w:t>
        </w:r>
      </w:hyperlink>
    </w:p>
    <w:p w14:paraId="3AC01FBC" w14:textId="3523492C" w:rsidR="00914885" w:rsidRDefault="00914885" w:rsidP="008176BB">
      <w:pPr>
        <w:pStyle w:val="Heading3NFSA"/>
      </w:pPr>
      <w:bookmarkStart w:id="490" w:name="_Toc92991326"/>
      <w:bookmarkStart w:id="491" w:name="_Toc93405248"/>
      <w:r>
        <w:t>2.</w:t>
      </w:r>
      <w:r w:rsidR="00955579">
        <w:t>2</w:t>
      </w:r>
      <w:r>
        <w:tab/>
        <w:t xml:space="preserve">Budgeted expenses and performance for </w:t>
      </w:r>
      <w:r w:rsidR="006A053E">
        <w:rPr>
          <w:lang w:val="en-AU"/>
        </w:rPr>
        <w:t>Outcome</w:t>
      </w:r>
      <w:r>
        <w:t xml:space="preserve"> </w:t>
      </w:r>
      <w:r w:rsidR="00C959B5">
        <w:t>1</w:t>
      </w:r>
      <w:bookmarkEnd w:id="490"/>
      <w:bookmarkEnd w:id="491"/>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914885" w:rsidRPr="005E6F2B" w14:paraId="74756EEA" w14:textId="77777777" w:rsidTr="005829F4">
        <w:tc>
          <w:tcPr>
            <w:tcW w:w="7705" w:type="dxa"/>
            <w:shd w:val="clear" w:color="auto" w:fill="E6E6E6"/>
          </w:tcPr>
          <w:p w14:paraId="2C73E06D" w14:textId="156C4539" w:rsidR="00914885" w:rsidRPr="005E6F2B" w:rsidRDefault="005829F4" w:rsidP="00216824">
            <w:pPr>
              <w:pStyle w:val="TableColumnHeadingLeft"/>
              <w:jc w:val="left"/>
            </w:pPr>
            <w:r w:rsidRPr="005829F4">
              <w:rPr>
                <w:sz w:val="20"/>
              </w:rPr>
              <w:t>Outcome 1: Increased en</w:t>
            </w:r>
            <w:r w:rsidR="00227136">
              <w:rPr>
                <w:sz w:val="20"/>
              </w:rPr>
              <w:t xml:space="preserve">gagement with Australia’s </w:t>
            </w:r>
            <w:r w:rsidR="00C11261">
              <w:rPr>
                <w:sz w:val="20"/>
              </w:rPr>
              <w:t>audio</w:t>
            </w:r>
            <w:r w:rsidR="00C11261" w:rsidRPr="005829F4">
              <w:rPr>
                <w:sz w:val="20"/>
              </w:rPr>
              <w:t>visual</w:t>
            </w:r>
            <w:r w:rsidRPr="005829F4">
              <w:rPr>
                <w:sz w:val="20"/>
              </w:rPr>
              <w:t xml:space="preserve"> culture past and present through developing, preserving, maintaining a</w:t>
            </w:r>
            <w:r w:rsidR="00227136">
              <w:rPr>
                <w:sz w:val="20"/>
              </w:rPr>
              <w:t xml:space="preserve">nd promoting the national </w:t>
            </w:r>
            <w:r w:rsidR="00C11261">
              <w:rPr>
                <w:sz w:val="20"/>
              </w:rPr>
              <w:t>audio</w:t>
            </w:r>
            <w:r w:rsidR="00C11261" w:rsidRPr="005829F4">
              <w:rPr>
                <w:sz w:val="20"/>
              </w:rPr>
              <w:t>-visual</w:t>
            </w:r>
            <w:r w:rsidRPr="005829F4">
              <w:rPr>
                <w:sz w:val="20"/>
              </w:rPr>
              <w:t xml:space="preserve"> collection of historic and cultural significance</w:t>
            </w:r>
          </w:p>
        </w:tc>
      </w:tr>
    </w:tbl>
    <w:p w14:paraId="582D057C" w14:textId="77777777" w:rsidR="00914885" w:rsidRPr="005E6F2B" w:rsidRDefault="00914885" w:rsidP="00914885">
      <w:pPr>
        <w:pStyle w:val="NoSpacing"/>
      </w:pPr>
    </w:p>
    <w:p w14:paraId="148FC487" w14:textId="0D338C31" w:rsidR="00914885" w:rsidRPr="005829F4" w:rsidRDefault="00914885" w:rsidP="00914885">
      <w:pPr>
        <w:pStyle w:val="Heading5"/>
        <w:rPr>
          <w:lang w:val="en-US"/>
        </w:rPr>
      </w:pPr>
      <w:r w:rsidRPr="00446612">
        <w:t xml:space="preserve">Budgeted expenses for Outcome </w:t>
      </w:r>
      <w:r w:rsidR="005829F4">
        <w:rPr>
          <w:lang w:val="en-US"/>
        </w:rPr>
        <w:t>1</w:t>
      </w:r>
    </w:p>
    <w:p w14:paraId="30E64D0F" w14:textId="5175E072" w:rsidR="005829F4" w:rsidRDefault="005829F4" w:rsidP="005829F4">
      <w:pPr>
        <w:jc w:val="left"/>
      </w:pPr>
      <w:r w:rsidRPr="00950281">
        <w:t xml:space="preserve">This table shows how much the </w:t>
      </w:r>
      <w:r w:rsidR="00C959B5">
        <w:t>NFSA</w:t>
      </w:r>
      <w:r w:rsidR="00C959B5" w:rsidRPr="00950281">
        <w:t xml:space="preserve"> </w:t>
      </w:r>
      <w:r w:rsidRPr="00950281">
        <w:t xml:space="preserve">intends to spend (on an accrual basis) on achieving the outcome, broken down by program, as well as by </w:t>
      </w:r>
      <w:r w:rsidR="008863D9">
        <w:t>Department</w:t>
      </w:r>
      <w:r>
        <w:t>al funding sources.</w:t>
      </w:r>
    </w:p>
    <w:p w14:paraId="0E270FE5" w14:textId="516338D4" w:rsidR="005829F4" w:rsidRDefault="005829F4" w:rsidP="005829F4">
      <w:pPr>
        <w:pStyle w:val="TableHeading"/>
        <w:rPr>
          <w:lang w:val="en-AU"/>
        </w:rPr>
      </w:pPr>
      <w:r w:rsidRPr="001C27BF">
        <w:t>Table 2.</w:t>
      </w:r>
      <w:r w:rsidR="00955579">
        <w:rPr>
          <w:lang w:val="en-AU"/>
        </w:rPr>
        <w:t>2</w:t>
      </w:r>
      <w:r w:rsidR="00C77197">
        <w:t>.1</w:t>
      </w:r>
      <w:r w:rsidRPr="001C27BF">
        <w:t xml:space="preserve">: Budgeted expenses for Outcome </w:t>
      </w:r>
      <w:r w:rsidRPr="001C27BF">
        <w:rPr>
          <w:lang w:val="en-AU"/>
        </w:rPr>
        <w:t>1</w:t>
      </w:r>
    </w:p>
    <w:tbl>
      <w:tblPr>
        <w:tblW w:w="7300" w:type="dxa"/>
        <w:tblLook w:val="04A0" w:firstRow="1" w:lastRow="0" w:firstColumn="1" w:lastColumn="0" w:noHBand="0" w:noVBand="1"/>
      </w:tblPr>
      <w:tblGrid>
        <w:gridCol w:w="2900"/>
        <w:gridCol w:w="880"/>
        <w:gridCol w:w="880"/>
        <w:gridCol w:w="880"/>
        <w:gridCol w:w="880"/>
        <w:gridCol w:w="880"/>
      </w:tblGrid>
      <w:tr w:rsidR="00227136" w:rsidRPr="00227136" w14:paraId="2394E313" w14:textId="77777777" w:rsidTr="00530072">
        <w:trPr>
          <w:trHeight w:val="145"/>
        </w:trPr>
        <w:tc>
          <w:tcPr>
            <w:tcW w:w="2900" w:type="dxa"/>
            <w:tcBorders>
              <w:top w:val="single" w:sz="4" w:space="0" w:color="auto"/>
              <w:left w:val="nil"/>
              <w:bottom w:val="nil"/>
              <w:right w:val="nil"/>
            </w:tcBorders>
            <w:shd w:val="clear" w:color="auto" w:fill="auto"/>
            <w:vAlign w:val="center"/>
            <w:hideMark/>
          </w:tcPr>
          <w:p w14:paraId="6945F19C" w14:textId="77777777" w:rsidR="00227136" w:rsidRPr="00227136" w:rsidRDefault="00227136" w:rsidP="00227136">
            <w:pPr>
              <w:spacing w:after="0" w:line="240" w:lineRule="auto"/>
              <w:jc w:val="left"/>
              <w:rPr>
                <w:rFonts w:ascii="Arial" w:hAnsi="Arial" w:cs="Arial"/>
                <w:b/>
                <w:bCs/>
                <w:color w:val="000000"/>
                <w:sz w:val="16"/>
                <w:szCs w:val="16"/>
              </w:rPr>
            </w:pPr>
            <w:r w:rsidRPr="00227136">
              <w:rPr>
                <w:rFonts w:ascii="Arial" w:hAnsi="Arial" w:cs="Arial"/>
                <w:b/>
                <w:bCs/>
                <w:color w:val="000000"/>
                <w:sz w:val="16"/>
                <w:szCs w:val="16"/>
              </w:rPr>
              <w:t> </w:t>
            </w:r>
          </w:p>
        </w:tc>
        <w:tc>
          <w:tcPr>
            <w:tcW w:w="880" w:type="dxa"/>
            <w:tcBorders>
              <w:top w:val="single" w:sz="4" w:space="0" w:color="auto"/>
              <w:left w:val="nil"/>
              <w:bottom w:val="single" w:sz="4" w:space="0" w:color="auto"/>
              <w:right w:val="nil"/>
            </w:tcBorders>
            <w:shd w:val="clear" w:color="auto" w:fill="auto"/>
            <w:hideMark/>
          </w:tcPr>
          <w:p w14:paraId="3B52E93B" w14:textId="77777777" w:rsidR="00227136" w:rsidRPr="00227136" w:rsidRDefault="00227136" w:rsidP="00227136">
            <w:pPr>
              <w:spacing w:after="0" w:line="240" w:lineRule="auto"/>
              <w:jc w:val="right"/>
              <w:rPr>
                <w:rFonts w:ascii="Arial" w:hAnsi="Arial" w:cs="Arial"/>
                <w:sz w:val="16"/>
                <w:szCs w:val="16"/>
              </w:rPr>
            </w:pPr>
            <w:r w:rsidRPr="00227136">
              <w:rPr>
                <w:rFonts w:ascii="Arial" w:hAnsi="Arial" w:cs="Arial"/>
                <w:sz w:val="16"/>
                <w:szCs w:val="16"/>
              </w:rPr>
              <w:t>2020-21 Actual</w:t>
            </w:r>
            <w:r w:rsidRPr="00227136">
              <w:rPr>
                <w:rFonts w:ascii="Arial" w:hAnsi="Arial" w:cs="Arial"/>
                <w:sz w:val="16"/>
                <w:szCs w:val="16"/>
              </w:rPr>
              <w:br/>
            </w:r>
            <w:r w:rsidRPr="00227136">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76CA4410" w14:textId="77777777" w:rsidR="00227136" w:rsidRPr="00227136" w:rsidRDefault="00227136" w:rsidP="00227136">
            <w:pPr>
              <w:spacing w:after="0" w:line="240" w:lineRule="auto"/>
              <w:jc w:val="right"/>
              <w:rPr>
                <w:rFonts w:ascii="Arial" w:hAnsi="Arial" w:cs="Arial"/>
                <w:sz w:val="16"/>
                <w:szCs w:val="16"/>
              </w:rPr>
            </w:pPr>
            <w:r w:rsidRPr="00227136">
              <w:rPr>
                <w:rFonts w:ascii="Arial" w:hAnsi="Arial" w:cs="Arial"/>
                <w:sz w:val="16"/>
                <w:szCs w:val="16"/>
              </w:rPr>
              <w:t>2021-22</w:t>
            </w:r>
            <w:r w:rsidRPr="00227136">
              <w:rPr>
                <w:rFonts w:ascii="Arial" w:hAnsi="Arial" w:cs="Arial"/>
                <w:sz w:val="16"/>
                <w:szCs w:val="16"/>
              </w:rPr>
              <w:br/>
              <w:t>Revised Budget</w:t>
            </w:r>
            <w:r w:rsidRPr="00227136">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48A20C87" w14:textId="77777777" w:rsidR="00227136" w:rsidRPr="00227136" w:rsidRDefault="00227136" w:rsidP="00227136">
            <w:pPr>
              <w:spacing w:after="0" w:line="240" w:lineRule="auto"/>
              <w:jc w:val="right"/>
              <w:rPr>
                <w:rFonts w:ascii="Arial" w:hAnsi="Arial" w:cs="Arial"/>
                <w:sz w:val="16"/>
                <w:szCs w:val="16"/>
              </w:rPr>
            </w:pPr>
            <w:r w:rsidRPr="00227136">
              <w:rPr>
                <w:rFonts w:ascii="Arial" w:hAnsi="Arial" w:cs="Arial"/>
                <w:sz w:val="16"/>
                <w:szCs w:val="16"/>
              </w:rPr>
              <w:t>2022-23 Forward estimate</w:t>
            </w:r>
            <w:r w:rsidRPr="00227136">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0BC7747B" w14:textId="77777777" w:rsidR="00227136" w:rsidRPr="00227136" w:rsidRDefault="00227136" w:rsidP="00227136">
            <w:pPr>
              <w:spacing w:after="0" w:line="240" w:lineRule="auto"/>
              <w:jc w:val="right"/>
              <w:rPr>
                <w:rFonts w:ascii="Arial" w:hAnsi="Arial" w:cs="Arial"/>
                <w:sz w:val="16"/>
                <w:szCs w:val="16"/>
              </w:rPr>
            </w:pPr>
            <w:r w:rsidRPr="00227136">
              <w:rPr>
                <w:rFonts w:ascii="Arial" w:hAnsi="Arial" w:cs="Arial"/>
                <w:sz w:val="16"/>
                <w:szCs w:val="16"/>
              </w:rPr>
              <w:t>2023-24 Forward estimate</w:t>
            </w:r>
            <w:r w:rsidRPr="00227136">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DCC5990" w14:textId="77777777" w:rsidR="00227136" w:rsidRPr="00227136" w:rsidRDefault="00227136" w:rsidP="00227136">
            <w:pPr>
              <w:spacing w:after="0" w:line="240" w:lineRule="auto"/>
              <w:jc w:val="right"/>
              <w:rPr>
                <w:rFonts w:ascii="Arial" w:hAnsi="Arial" w:cs="Arial"/>
                <w:sz w:val="16"/>
                <w:szCs w:val="16"/>
              </w:rPr>
            </w:pPr>
            <w:r w:rsidRPr="00227136">
              <w:rPr>
                <w:rFonts w:ascii="Arial" w:hAnsi="Arial" w:cs="Arial"/>
                <w:sz w:val="16"/>
                <w:szCs w:val="16"/>
              </w:rPr>
              <w:t>2024-25</w:t>
            </w:r>
            <w:r w:rsidRPr="00227136">
              <w:rPr>
                <w:rFonts w:ascii="Arial" w:hAnsi="Arial" w:cs="Arial"/>
                <w:sz w:val="16"/>
                <w:szCs w:val="16"/>
              </w:rPr>
              <w:br/>
              <w:t>Forward estimate</w:t>
            </w:r>
            <w:r w:rsidRPr="00227136">
              <w:rPr>
                <w:rFonts w:ascii="Arial" w:hAnsi="Arial" w:cs="Arial"/>
                <w:sz w:val="16"/>
                <w:szCs w:val="16"/>
              </w:rPr>
              <w:br/>
              <w:t>$'000</w:t>
            </w:r>
          </w:p>
        </w:tc>
      </w:tr>
      <w:tr w:rsidR="00227136" w:rsidRPr="00227136" w14:paraId="77FDA6C9" w14:textId="77777777" w:rsidTr="00227136">
        <w:trPr>
          <w:trHeight w:val="229"/>
        </w:trPr>
        <w:tc>
          <w:tcPr>
            <w:tcW w:w="7300" w:type="dxa"/>
            <w:gridSpan w:val="6"/>
            <w:tcBorders>
              <w:top w:val="single" w:sz="4" w:space="0" w:color="auto"/>
              <w:left w:val="nil"/>
              <w:bottom w:val="single" w:sz="4" w:space="0" w:color="auto"/>
              <w:right w:val="nil"/>
            </w:tcBorders>
            <w:shd w:val="clear" w:color="000000" w:fill="E6E6E6"/>
            <w:vAlign w:val="center"/>
            <w:hideMark/>
          </w:tcPr>
          <w:p w14:paraId="21D809D3" w14:textId="4DA925B1" w:rsidR="00227136" w:rsidRPr="00227136" w:rsidRDefault="00227136" w:rsidP="00227136">
            <w:pPr>
              <w:spacing w:after="0" w:line="240" w:lineRule="auto"/>
              <w:jc w:val="left"/>
              <w:rPr>
                <w:rFonts w:ascii="Arial" w:hAnsi="Arial" w:cs="Arial"/>
                <w:b/>
                <w:bCs/>
                <w:sz w:val="16"/>
                <w:szCs w:val="16"/>
              </w:rPr>
            </w:pPr>
            <w:r>
              <w:rPr>
                <w:rFonts w:ascii="Arial" w:hAnsi="Arial" w:cs="Arial"/>
                <w:b/>
                <w:bCs/>
                <w:sz w:val="16"/>
                <w:szCs w:val="16"/>
              </w:rPr>
              <w:t xml:space="preserve">Program 1.1: Collect, preserve and share the national </w:t>
            </w:r>
            <w:r w:rsidR="00C11261">
              <w:rPr>
                <w:rFonts w:ascii="Arial" w:hAnsi="Arial" w:cs="Arial"/>
                <w:b/>
                <w:bCs/>
                <w:sz w:val="16"/>
                <w:szCs w:val="16"/>
              </w:rPr>
              <w:t>audio-visual</w:t>
            </w:r>
            <w:r>
              <w:rPr>
                <w:rFonts w:ascii="Arial" w:hAnsi="Arial" w:cs="Arial"/>
                <w:b/>
                <w:bCs/>
                <w:sz w:val="16"/>
                <w:szCs w:val="16"/>
              </w:rPr>
              <w:t xml:space="preserve"> collection</w:t>
            </w:r>
          </w:p>
        </w:tc>
      </w:tr>
      <w:tr w:rsidR="00227136" w:rsidRPr="00227136" w14:paraId="5D1348F3" w14:textId="77777777" w:rsidTr="000322C2">
        <w:trPr>
          <w:trHeight w:val="204"/>
        </w:trPr>
        <w:tc>
          <w:tcPr>
            <w:tcW w:w="2900" w:type="dxa"/>
            <w:tcBorders>
              <w:top w:val="nil"/>
              <w:left w:val="nil"/>
              <w:bottom w:val="nil"/>
              <w:right w:val="nil"/>
            </w:tcBorders>
            <w:shd w:val="clear" w:color="auto" w:fill="auto"/>
            <w:noWrap/>
            <w:vAlign w:val="center"/>
            <w:hideMark/>
          </w:tcPr>
          <w:p w14:paraId="58F463A1" w14:textId="77777777" w:rsidR="00227136" w:rsidRPr="00227136" w:rsidRDefault="00227136" w:rsidP="00227136">
            <w:pPr>
              <w:spacing w:after="0" w:line="240" w:lineRule="auto"/>
              <w:jc w:val="left"/>
              <w:rPr>
                <w:rFonts w:ascii="Arial" w:hAnsi="Arial" w:cs="Arial"/>
                <w:sz w:val="16"/>
                <w:szCs w:val="16"/>
              </w:rPr>
            </w:pPr>
            <w:r w:rsidRPr="00227136">
              <w:rPr>
                <w:rFonts w:ascii="Arial" w:hAnsi="Arial" w:cs="Arial"/>
                <w:sz w:val="16"/>
                <w:szCs w:val="16"/>
              </w:rPr>
              <w:t>Revenue from Government</w:t>
            </w:r>
          </w:p>
        </w:tc>
        <w:tc>
          <w:tcPr>
            <w:tcW w:w="880" w:type="dxa"/>
            <w:tcBorders>
              <w:top w:val="nil"/>
              <w:left w:val="nil"/>
              <w:bottom w:val="nil"/>
              <w:right w:val="nil"/>
            </w:tcBorders>
            <w:shd w:val="clear" w:color="auto" w:fill="auto"/>
            <w:noWrap/>
            <w:vAlign w:val="bottom"/>
            <w:hideMark/>
          </w:tcPr>
          <w:p w14:paraId="329F0602" w14:textId="77777777" w:rsidR="00227136" w:rsidRPr="00227136" w:rsidRDefault="00227136" w:rsidP="00B9139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9B6517F" w14:textId="1A72DEE7" w:rsidR="00227136" w:rsidRPr="00227136" w:rsidRDefault="00227136" w:rsidP="00B9139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26135A7" w14:textId="77777777" w:rsidR="00227136" w:rsidRPr="00227136" w:rsidRDefault="00227136" w:rsidP="00B9139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6540A34" w14:textId="77777777" w:rsidR="00227136" w:rsidRPr="00227136" w:rsidRDefault="00227136" w:rsidP="00B9139E">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4118521F" w14:textId="77777777" w:rsidR="00227136" w:rsidRPr="00227136" w:rsidRDefault="00227136" w:rsidP="00B9139E">
            <w:pPr>
              <w:spacing w:after="0" w:line="240" w:lineRule="auto"/>
              <w:jc w:val="right"/>
              <w:rPr>
                <w:rFonts w:ascii="Times New Roman" w:hAnsi="Times New Roman"/>
              </w:rPr>
            </w:pPr>
          </w:p>
        </w:tc>
      </w:tr>
      <w:tr w:rsidR="00227136" w:rsidRPr="00227136" w14:paraId="10F4D8C5" w14:textId="77777777" w:rsidTr="000322C2">
        <w:trPr>
          <w:trHeight w:val="204"/>
        </w:trPr>
        <w:tc>
          <w:tcPr>
            <w:tcW w:w="2900" w:type="dxa"/>
            <w:tcBorders>
              <w:top w:val="nil"/>
              <w:left w:val="nil"/>
              <w:bottom w:val="nil"/>
              <w:right w:val="nil"/>
            </w:tcBorders>
            <w:shd w:val="clear" w:color="auto" w:fill="auto"/>
            <w:vAlign w:val="center"/>
            <w:hideMark/>
          </w:tcPr>
          <w:p w14:paraId="47E27C60" w14:textId="3D999023" w:rsidR="00227136" w:rsidRPr="00227136" w:rsidRDefault="00227136" w:rsidP="00227136">
            <w:pPr>
              <w:spacing w:after="0" w:line="240" w:lineRule="auto"/>
              <w:ind w:left="113"/>
              <w:jc w:val="left"/>
              <w:rPr>
                <w:rFonts w:ascii="Arial" w:hAnsi="Arial" w:cs="Arial"/>
                <w:sz w:val="16"/>
                <w:szCs w:val="16"/>
              </w:rPr>
            </w:pPr>
            <w:r w:rsidRPr="00227136">
              <w:rPr>
                <w:rFonts w:ascii="Arial" w:hAnsi="Arial" w:cs="Arial"/>
                <w:sz w:val="16"/>
                <w:szCs w:val="16"/>
              </w:rPr>
              <w:t>Ordinary annual services</w:t>
            </w:r>
            <w:r>
              <w:rPr>
                <w:rFonts w:ascii="Arial" w:hAnsi="Arial" w:cs="Arial"/>
                <w:sz w:val="16"/>
                <w:szCs w:val="16"/>
              </w:rPr>
              <w:t xml:space="preserve"> </w:t>
            </w:r>
            <w:r w:rsidRPr="00227136">
              <w:rPr>
                <w:rFonts w:ascii="Arial" w:hAnsi="Arial" w:cs="Arial"/>
                <w:sz w:val="16"/>
                <w:szCs w:val="16"/>
              </w:rPr>
              <w:t>(Appropriation Bill No. 1)</w:t>
            </w:r>
          </w:p>
        </w:tc>
        <w:tc>
          <w:tcPr>
            <w:tcW w:w="880" w:type="dxa"/>
            <w:tcBorders>
              <w:top w:val="nil"/>
              <w:left w:val="nil"/>
              <w:bottom w:val="nil"/>
              <w:right w:val="nil"/>
            </w:tcBorders>
            <w:shd w:val="clear" w:color="auto" w:fill="auto"/>
            <w:noWrap/>
            <w:vAlign w:val="bottom"/>
            <w:hideMark/>
          </w:tcPr>
          <w:p w14:paraId="56CA5081" w14:textId="43DE0A93" w:rsidR="00227136" w:rsidRPr="00227136" w:rsidRDefault="00227136" w:rsidP="00B9139E">
            <w:pPr>
              <w:spacing w:after="0" w:line="240" w:lineRule="auto"/>
              <w:jc w:val="right"/>
              <w:rPr>
                <w:rFonts w:ascii="Arial" w:hAnsi="Arial" w:cs="Arial"/>
                <w:color w:val="000000"/>
                <w:sz w:val="16"/>
                <w:szCs w:val="16"/>
              </w:rPr>
            </w:pPr>
            <w:r w:rsidRPr="00227136">
              <w:rPr>
                <w:rFonts w:ascii="Arial" w:hAnsi="Arial" w:cs="Arial"/>
                <w:color w:val="000000"/>
                <w:sz w:val="16"/>
                <w:szCs w:val="16"/>
              </w:rPr>
              <w:t>26,535</w:t>
            </w:r>
          </w:p>
        </w:tc>
        <w:tc>
          <w:tcPr>
            <w:tcW w:w="880" w:type="dxa"/>
            <w:tcBorders>
              <w:top w:val="nil"/>
              <w:left w:val="nil"/>
              <w:bottom w:val="nil"/>
              <w:right w:val="nil"/>
            </w:tcBorders>
            <w:shd w:val="clear" w:color="000000" w:fill="E6E6E6"/>
            <w:noWrap/>
            <w:vAlign w:val="bottom"/>
            <w:hideMark/>
          </w:tcPr>
          <w:p w14:paraId="2A7F58B4" w14:textId="38488E42"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28,026</w:t>
            </w:r>
          </w:p>
        </w:tc>
        <w:tc>
          <w:tcPr>
            <w:tcW w:w="880" w:type="dxa"/>
            <w:tcBorders>
              <w:top w:val="nil"/>
              <w:left w:val="nil"/>
              <w:bottom w:val="nil"/>
              <w:right w:val="nil"/>
            </w:tcBorders>
            <w:shd w:val="clear" w:color="auto" w:fill="auto"/>
            <w:noWrap/>
            <w:vAlign w:val="bottom"/>
            <w:hideMark/>
          </w:tcPr>
          <w:p w14:paraId="727AC42F" w14:textId="5286402F"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29,543</w:t>
            </w:r>
          </w:p>
        </w:tc>
        <w:tc>
          <w:tcPr>
            <w:tcW w:w="880" w:type="dxa"/>
            <w:tcBorders>
              <w:top w:val="nil"/>
              <w:left w:val="nil"/>
              <w:bottom w:val="nil"/>
              <w:right w:val="nil"/>
            </w:tcBorders>
            <w:shd w:val="clear" w:color="auto" w:fill="auto"/>
            <w:noWrap/>
            <w:vAlign w:val="bottom"/>
            <w:hideMark/>
          </w:tcPr>
          <w:p w14:paraId="6AC53443" w14:textId="03592C7C"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30,169</w:t>
            </w:r>
          </w:p>
        </w:tc>
        <w:tc>
          <w:tcPr>
            <w:tcW w:w="880" w:type="dxa"/>
            <w:tcBorders>
              <w:top w:val="nil"/>
              <w:left w:val="nil"/>
              <w:bottom w:val="nil"/>
              <w:right w:val="nil"/>
            </w:tcBorders>
            <w:shd w:val="clear" w:color="auto" w:fill="auto"/>
            <w:noWrap/>
            <w:vAlign w:val="bottom"/>
            <w:hideMark/>
          </w:tcPr>
          <w:p w14:paraId="2A72CB7A" w14:textId="0F0C499F"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30,491</w:t>
            </w:r>
          </w:p>
        </w:tc>
      </w:tr>
      <w:tr w:rsidR="00227136" w:rsidRPr="00227136" w14:paraId="1E26A562" w14:textId="77777777" w:rsidTr="000322C2">
        <w:trPr>
          <w:trHeight w:val="204"/>
        </w:trPr>
        <w:tc>
          <w:tcPr>
            <w:tcW w:w="2900" w:type="dxa"/>
            <w:tcBorders>
              <w:top w:val="nil"/>
              <w:left w:val="nil"/>
              <w:bottom w:val="nil"/>
              <w:right w:val="nil"/>
            </w:tcBorders>
            <w:shd w:val="clear" w:color="auto" w:fill="auto"/>
            <w:noWrap/>
            <w:vAlign w:val="center"/>
            <w:hideMark/>
          </w:tcPr>
          <w:p w14:paraId="1C2CC20E" w14:textId="77777777" w:rsidR="00227136" w:rsidRPr="00227136" w:rsidRDefault="00227136" w:rsidP="00C211FF">
            <w:pPr>
              <w:spacing w:after="0" w:line="240" w:lineRule="auto"/>
              <w:ind w:left="113"/>
              <w:jc w:val="left"/>
              <w:rPr>
                <w:rFonts w:ascii="Arial" w:hAnsi="Arial" w:cs="Arial"/>
                <w:sz w:val="16"/>
                <w:szCs w:val="16"/>
              </w:rPr>
            </w:pPr>
            <w:r w:rsidRPr="00227136">
              <w:rPr>
                <w:rFonts w:ascii="Arial" w:hAnsi="Arial" w:cs="Arial"/>
                <w:sz w:val="16"/>
                <w:szCs w:val="16"/>
              </w:rPr>
              <w:t>Payment from related entities</w:t>
            </w:r>
          </w:p>
        </w:tc>
        <w:tc>
          <w:tcPr>
            <w:tcW w:w="880" w:type="dxa"/>
            <w:tcBorders>
              <w:top w:val="nil"/>
              <w:left w:val="nil"/>
              <w:bottom w:val="nil"/>
              <w:right w:val="nil"/>
            </w:tcBorders>
            <w:shd w:val="clear" w:color="auto" w:fill="auto"/>
            <w:noWrap/>
            <w:vAlign w:val="bottom"/>
            <w:hideMark/>
          </w:tcPr>
          <w:p w14:paraId="7C1D474F" w14:textId="6571118E" w:rsidR="00227136" w:rsidRPr="00227136" w:rsidRDefault="00227136" w:rsidP="00B9139E">
            <w:pPr>
              <w:spacing w:after="0" w:line="240" w:lineRule="auto"/>
              <w:jc w:val="right"/>
              <w:rPr>
                <w:rFonts w:ascii="Arial" w:hAnsi="Arial" w:cs="Arial"/>
                <w:color w:val="000000"/>
                <w:sz w:val="16"/>
                <w:szCs w:val="16"/>
              </w:rPr>
            </w:pPr>
            <w:r w:rsidRPr="00227136">
              <w:rPr>
                <w:rFonts w:ascii="Arial" w:hAnsi="Arial" w:cs="Arial"/>
                <w:color w:val="000000"/>
                <w:sz w:val="16"/>
                <w:szCs w:val="16"/>
              </w:rPr>
              <w:t>3,025</w:t>
            </w:r>
          </w:p>
        </w:tc>
        <w:tc>
          <w:tcPr>
            <w:tcW w:w="880" w:type="dxa"/>
            <w:tcBorders>
              <w:top w:val="nil"/>
              <w:left w:val="nil"/>
              <w:bottom w:val="nil"/>
              <w:right w:val="nil"/>
            </w:tcBorders>
            <w:shd w:val="clear" w:color="000000" w:fill="E6E6E6"/>
            <w:noWrap/>
            <w:vAlign w:val="bottom"/>
            <w:hideMark/>
          </w:tcPr>
          <w:p w14:paraId="0A4592B2" w14:textId="3DBB68A6"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1,000</w:t>
            </w:r>
          </w:p>
        </w:tc>
        <w:tc>
          <w:tcPr>
            <w:tcW w:w="880" w:type="dxa"/>
            <w:tcBorders>
              <w:top w:val="nil"/>
              <w:left w:val="nil"/>
              <w:bottom w:val="nil"/>
              <w:right w:val="nil"/>
            </w:tcBorders>
            <w:shd w:val="clear" w:color="auto" w:fill="auto"/>
            <w:noWrap/>
            <w:vAlign w:val="bottom"/>
            <w:hideMark/>
          </w:tcPr>
          <w:p w14:paraId="2A1966D8" w14:textId="59AA9001"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1,100</w:t>
            </w:r>
          </w:p>
        </w:tc>
        <w:tc>
          <w:tcPr>
            <w:tcW w:w="880" w:type="dxa"/>
            <w:tcBorders>
              <w:top w:val="nil"/>
              <w:left w:val="nil"/>
              <w:bottom w:val="nil"/>
              <w:right w:val="nil"/>
            </w:tcBorders>
            <w:shd w:val="clear" w:color="auto" w:fill="auto"/>
            <w:noWrap/>
            <w:vAlign w:val="bottom"/>
            <w:hideMark/>
          </w:tcPr>
          <w:p w14:paraId="2B8B3E71" w14:textId="7F635F2F"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800</w:t>
            </w:r>
          </w:p>
        </w:tc>
        <w:tc>
          <w:tcPr>
            <w:tcW w:w="880" w:type="dxa"/>
            <w:tcBorders>
              <w:top w:val="nil"/>
              <w:left w:val="nil"/>
              <w:bottom w:val="nil"/>
              <w:right w:val="nil"/>
            </w:tcBorders>
            <w:shd w:val="clear" w:color="auto" w:fill="auto"/>
            <w:noWrap/>
            <w:vAlign w:val="bottom"/>
            <w:hideMark/>
          </w:tcPr>
          <w:p w14:paraId="17E743F4" w14:textId="224792B3"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w:t>
            </w:r>
          </w:p>
        </w:tc>
      </w:tr>
      <w:tr w:rsidR="00227136" w:rsidRPr="00227136" w14:paraId="455CB37B" w14:textId="77777777" w:rsidTr="000322C2">
        <w:trPr>
          <w:trHeight w:val="204"/>
        </w:trPr>
        <w:tc>
          <w:tcPr>
            <w:tcW w:w="2900" w:type="dxa"/>
            <w:tcBorders>
              <w:top w:val="nil"/>
              <w:left w:val="nil"/>
              <w:bottom w:val="nil"/>
              <w:right w:val="nil"/>
            </w:tcBorders>
            <w:shd w:val="clear" w:color="auto" w:fill="auto"/>
            <w:vAlign w:val="center"/>
            <w:hideMark/>
          </w:tcPr>
          <w:p w14:paraId="4BA36DDA" w14:textId="53216271" w:rsidR="00227136" w:rsidRPr="00227136" w:rsidRDefault="00227136" w:rsidP="00C211FF">
            <w:pPr>
              <w:spacing w:after="0" w:line="240" w:lineRule="auto"/>
              <w:ind w:left="113"/>
              <w:jc w:val="left"/>
              <w:rPr>
                <w:rFonts w:ascii="Arial" w:hAnsi="Arial" w:cs="Arial"/>
                <w:sz w:val="16"/>
                <w:szCs w:val="16"/>
              </w:rPr>
            </w:pPr>
            <w:r w:rsidRPr="00227136">
              <w:rPr>
                <w:rFonts w:ascii="Arial" w:hAnsi="Arial" w:cs="Arial"/>
                <w:sz w:val="16"/>
                <w:szCs w:val="16"/>
              </w:rPr>
              <w:t>Expenses not requiring</w:t>
            </w:r>
            <w:r>
              <w:rPr>
                <w:rFonts w:ascii="Arial" w:hAnsi="Arial" w:cs="Arial"/>
                <w:sz w:val="16"/>
                <w:szCs w:val="16"/>
              </w:rPr>
              <w:t xml:space="preserve"> </w:t>
            </w:r>
            <w:r w:rsidRPr="00227136">
              <w:rPr>
                <w:rFonts w:ascii="Arial" w:hAnsi="Arial" w:cs="Arial"/>
                <w:sz w:val="16"/>
                <w:szCs w:val="16"/>
              </w:rPr>
              <w:t>appropriation in the budget year</w:t>
            </w:r>
            <w:r w:rsidR="000322C2">
              <w:rPr>
                <w:rFonts w:ascii="Arial" w:hAnsi="Arial" w:cs="Arial"/>
                <w:sz w:val="16"/>
                <w:szCs w:val="16"/>
              </w:rPr>
              <w:t xml:space="preserve"> </w:t>
            </w:r>
            <w:r w:rsidR="000322C2" w:rsidRPr="000322C2">
              <w:rPr>
                <w:rFonts w:ascii="Arial" w:hAnsi="Arial" w:cs="Arial"/>
                <w:sz w:val="16"/>
                <w:szCs w:val="16"/>
                <w:vertAlign w:val="superscript"/>
              </w:rPr>
              <w:t>(a)</w:t>
            </w:r>
          </w:p>
        </w:tc>
        <w:tc>
          <w:tcPr>
            <w:tcW w:w="880" w:type="dxa"/>
            <w:tcBorders>
              <w:top w:val="nil"/>
              <w:left w:val="nil"/>
              <w:bottom w:val="nil"/>
              <w:right w:val="nil"/>
            </w:tcBorders>
            <w:shd w:val="clear" w:color="auto" w:fill="auto"/>
            <w:noWrap/>
            <w:vAlign w:val="bottom"/>
            <w:hideMark/>
          </w:tcPr>
          <w:p w14:paraId="57BA2873" w14:textId="77777777" w:rsidR="00227136" w:rsidRPr="00227136" w:rsidRDefault="00227136" w:rsidP="00B9139E">
            <w:pPr>
              <w:spacing w:after="0" w:line="240" w:lineRule="auto"/>
              <w:jc w:val="right"/>
              <w:rPr>
                <w:rFonts w:ascii="Arial" w:hAnsi="Arial" w:cs="Arial"/>
                <w:color w:val="000000"/>
                <w:sz w:val="16"/>
                <w:szCs w:val="16"/>
              </w:rPr>
            </w:pPr>
            <w:r w:rsidRPr="00227136">
              <w:rPr>
                <w:rFonts w:ascii="Arial" w:hAnsi="Arial" w:cs="Arial"/>
                <w:color w:val="000000"/>
                <w:sz w:val="16"/>
                <w:szCs w:val="16"/>
              </w:rPr>
              <w:t>(2,088)</w:t>
            </w:r>
          </w:p>
        </w:tc>
        <w:tc>
          <w:tcPr>
            <w:tcW w:w="880" w:type="dxa"/>
            <w:tcBorders>
              <w:top w:val="nil"/>
              <w:left w:val="nil"/>
              <w:bottom w:val="nil"/>
              <w:right w:val="nil"/>
            </w:tcBorders>
            <w:shd w:val="clear" w:color="000000" w:fill="E6E6E6"/>
            <w:noWrap/>
            <w:vAlign w:val="bottom"/>
            <w:hideMark/>
          </w:tcPr>
          <w:p w14:paraId="1BAE9EF8" w14:textId="2ED3A3FC"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3,952</w:t>
            </w:r>
          </w:p>
        </w:tc>
        <w:tc>
          <w:tcPr>
            <w:tcW w:w="880" w:type="dxa"/>
            <w:tcBorders>
              <w:top w:val="nil"/>
              <w:left w:val="nil"/>
              <w:bottom w:val="nil"/>
              <w:right w:val="nil"/>
            </w:tcBorders>
            <w:shd w:val="clear" w:color="auto" w:fill="auto"/>
            <w:noWrap/>
            <w:vAlign w:val="bottom"/>
            <w:hideMark/>
          </w:tcPr>
          <w:p w14:paraId="151545BF" w14:textId="0846D4EA"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4,032</w:t>
            </w:r>
          </w:p>
        </w:tc>
        <w:tc>
          <w:tcPr>
            <w:tcW w:w="880" w:type="dxa"/>
            <w:tcBorders>
              <w:top w:val="nil"/>
              <w:left w:val="nil"/>
              <w:bottom w:val="nil"/>
              <w:right w:val="nil"/>
            </w:tcBorders>
            <w:shd w:val="clear" w:color="auto" w:fill="auto"/>
            <w:noWrap/>
            <w:vAlign w:val="bottom"/>
            <w:hideMark/>
          </w:tcPr>
          <w:p w14:paraId="6C2165F5" w14:textId="2062CABC"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4,398</w:t>
            </w:r>
          </w:p>
        </w:tc>
        <w:tc>
          <w:tcPr>
            <w:tcW w:w="880" w:type="dxa"/>
            <w:tcBorders>
              <w:top w:val="nil"/>
              <w:left w:val="nil"/>
              <w:bottom w:val="nil"/>
              <w:right w:val="nil"/>
            </w:tcBorders>
            <w:shd w:val="clear" w:color="auto" w:fill="auto"/>
            <w:noWrap/>
            <w:vAlign w:val="bottom"/>
            <w:hideMark/>
          </w:tcPr>
          <w:p w14:paraId="58516356" w14:textId="09084AD8"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4,327</w:t>
            </w:r>
          </w:p>
        </w:tc>
      </w:tr>
      <w:tr w:rsidR="00227136" w:rsidRPr="00227136" w14:paraId="236670A3" w14:textId="77777777" w:rsidTr="00294FA6">
        <w:trPr>
          <w:trHeight w:val="204"/>
        </w:trPr>
        <w:tc>
          <w:tcPr>
            <w:tcW w:w="2900" w:type="dxa"/>
            <w:tcBorders>
              <w:top w:val="nil"/>
              <w:left w:val="nil"/>
              <w:right w:val="nil"/>
            </w:tcBorders>
            <w:shd w:val="clear" w:color="auto" w:fill="auto"/>
            <w:vAlign w:val="center"/>
            <w:hideMark/>
          </w:tcPr>
          <w:p w14:paraId="105E5C57" w14:textId="1D4D6AA8" w:rsidR="00227136" w:rsidRPr="00227136" w:rsidRDefault="00227136" w:rsidP="00227136">
            <w:pPr>
              <w:spacing w:after="0" w:line="240" w:lineRule="auto"/>
              <w:jc w:val="left"/>
              <w:rPr>
                <w:rFonts w:ascii="Arial" w:hAnsi="Arial" w:cs="Arial"/>
                <w:sz w:val="16"/>
                <w:szCs w:val="16"/>
              </w:rPr>
            </w:pPr>
            <w:r w:rsidRPr="00227136">
              <w:rPr>
                <w:rFonts w:ascii="Arial" w:hAnsi="Arial" w:cs="Arial"/>
                <w:sz w:val="16"/>
                <w:szCs w:val="16"/>
              </w:rPr>
              <w:t>Revenues from other independent</w:t>
            </w:r>
            <w:r>
              <w:rPr>
                <w:rFonts w:ascii="Arial" w:hAnsi="Arial" w:cs="Arial"/>
                <w:sz w:val="16"/>
                <w:szCs w:val="16"/>
              </w:rPr>
              <w:t xml:space="preserve"> </w:t>
            </w:r>
            <w:r w:rsidRPr="00227136">
              <w:rPr>
                <w:rFonts w:ascii="Arial" w:hAnsi="Arial" w:cs="Arial"/>
                <w:sz w:val="16"/>
                <w:szCs w:val="16"/>
              </w:rPr>
              <w:t xml:space="preserve">sources </w:t>
            </w:r>
          </w:p>
        </w:tc>
        <w:tc>
          <w:tcPr>
            <w:tcW w:w="880" w:type="dxa"/>
            <w:tcBorders>
              <w:top w:val="nil"/>
              <w:left w:val="nil"/>
              <w:bottom w:val="nil"/>
              <w:right w:val="nil"/>
            </w:tcBorders>
            <w:shd w:val="clear" w:color="auto" w:fill="auto"/>
            <w:noWrap/>
            <w:vAlign w:val="bottom"/>
            <w:hideMark/>
          </w:tcPr>
          <w:p w14:paraId="0F09233D" w14:textId="1E2BEAF5" w:rsidR="00227136" w:rsidRPr="00227136" w:rsidRDefault="00227136" w:rsidP="00B9139E">
            <w:pPr>
              <w:spacing w:after="0" w:line="240" w:lineRule="auto"/>
              <w:jc w:val="right"/>
              <w:rPr>
                <w:rFonts w:ascii="Arial" w:hAnsi="Arial" w:cs="Arial"/>
                <w:color w:val="000000"/>
                <w:sz w:val="16"/>
                <w:szCs w:val="16"/>
              </w:rPr>
            </w:pPr>
            <w:r w:rsidRPr="00227136">
              <w:rPr>
                <w:rFonts w:ascii="Arial" w:hAnsi="Arial" w:cs="Arial"/>
                <w:color w:val="000000"/>
                <w:sz w:val="16"/>
                <w:szCs w:val="16"/>
              </w:rPr>
              <w:t>1,745</w:t>
            </w:r>
          </w:p>
        </w:tc>
        <w:tc>
          <w:tcPr>
            <w:tcW w:w="880" w:type="dxa"/>
            <w:tcBorders>
              <w:top w:val="nil"/>
              <w:left w:val="nil"/>
              <w:bottom w:val="nil"/>
              <w:right w:val="nil"/>
            </w:tcBorders>
            <w:shd w:val="clear" w:color="000000" w:fill="E6E6E6"/>
            <w:noWrap/>
            <w:vAlign w:val="bottom"/>
            <w:hideMark/>
          </w:tcPr>
          <w:p w14:paraId="6C99A663" w14:textId="15E16C1C"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1,726</w:t>
            </w:r>
          </w:p>
        </w:tc>
        <w:tc>
          <w:tcPr>
            <w:tcW w:w="880" w:type="dxa"/>
            <w:tcBorders>
              <w:top w:val="nil"/>
              <w:left w:val="nil"/>
              <w:bottom w:val="nil"/>
              <w:right w:val="nil"/>
            </w:tcBorders>
            <w:shd w:val="clear" w:color="auto" w:fill="auto"/>
            <w:noWrap/>
            <w:vAlign w:val="bottom"/>
            <w:hideMark/>
          </w:tcPr>
          <w:p w14:paraId="5D910BE4" w14:textId="03FD1D02"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1,726</w:t>
            </w:r>
          </w:p>
        </w:tc>
        <w:tc>
          <w:tcPr>
            <w:tcW w:w="880" w:type="dxa"/>
            <w:tcBorders>
              <w:top w:val="nil"/>
              <w:left w:val="nil"/>
              <w:bottom w:val="nil"/>
              <w:right w:val="nil"/>
            </w:tcBorders>
            <w:shd w:val="clear" w:color="auto" w:fill="auto"/>
            <w:noWrap/>
            <w:vAlign w:val="bottom"/>
            <w:hideMark/>
          </w:tcPr>
          <w:p w14:paraId="20820146" w14:textId="204E76FF"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1,726</w:t>
            </w:r>
          </w:p>
        </w:tc>
        <w:tc>
          <w:tcPr>
            <w:tcW w:w="880" w:type="dxa"/>
            <w:tcBorders>
              <w:top w:val="nil"/>
              <w:left w:val="nil"/>
              <w:bottom w:val="nil"/>
              <w:right w:val="nil"/>
            </w:tcBorders>
            <w:shd w:val="clear" w:color="auto" w:fill="auto"/>
            <w:noWrap/>
            <w:vAlign w:val="bottom"/>
            <w:hideMark/>
          </w:tcPr>
          <w:p w14:paraId="36778CEF" w14:textId="7D37E0FC"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1,726</w:t>
            </w:r>
          </w:p>
        </w:tc>
      </w:tr>
      <w:tr w:rsidR="00227136" w:rsidRPr="00227136" w14:paraId="467FB870" w14:textId="77777777" w:rsidTr="00294FA6">
        <w:trPr>
          <w:trHeight w:val="204"/>
        </w:trPr>
        <w:tc>
          <w:tcPr>
            <w:tcW w:w="2900" w:type="dxa"/>
            <w:tcBorders>
              <w:top w:val="nil"/>
              <w:left w:val="nil"/>
              <w:bottom w:val="single" w:sz="4" w:space="0" w:color="auto"/>
              <w:right w:val="nil"/>
            </w:tcBorders>
            <w:shd w:val="clear" w:color="auto" w:fill="auto"/>
            <w:noWrap/>
            <w:vAlign w:val="center"/>
            <w:hideMark/>
          </w:tcPr>
          <w:p w14:paraId="2BFBDF74" w14:textId="77777777" w:rsidR="00227136" w:rsidRPr="00227136" w:rsidRDefault="00227136" w:rsidP="00227136">
            <w:pPr>
              <w:spacing w:after="0" w:line="240" w:lineRule="auto"/>
              <w:jc w:val="left"/>
              <w:rPr>
                <w:rFonts w:ascii="Arial" w:hAnsi="Arial" w:cs="Arial"/>
                <w:b/>
                <w:bCs/>
                <w:sz w:val="16"/>
                <w:szCs w:val="16"/>
              </w:rPr>
            </w:pPr>
            <w:r w:rsidRPr="00227136">
              <w:rPr>
                <w:rFonts w:ascii="Arial" w:hAnsi="Arial" w:cs="Arial"/>
                <w:b/>
                <w:bCs/>
                <w:sz w:val="16"/>
                <w:szCs w:val="16"/>
              </w:rPr>
              <w:t>Total expenses for Program 1.1</w:t>
            </w:r>
          </w:p>
        </w:tc>
        <w:tc>
          <w:tcPr>
            <w:tcW w:w="880" w:type="dxa"/>
            <w:tcBorders>
              <w:top w:val="single" w:sz="4" w:space="0" w:color="auto"/>
              <w:left w:val="nil"/>
              <w:bottom w:val="single" w:sz="4" w:space="0" w:color="auto"/>
              <w:right w:val="nil"/>
            </w:tcBorders>
            <w:shd w:val="clear" w:color="auto" w:fill="auto"/>
            <w:noWrap/>
            <w:vAlign w:val="bottom"/>
            <w:hideMark/>
          </w:tcPr>
          <w:p w14:paraId="78B82E7E" w14:textId="63BF2745" w:rsidR="00227136" w:rsidRPr="00227136" w:rsidRDefault="00227136" w:rsidP="00B9139E">
            <w:pPr>
              <w:spacing w:after="0" w:line="240" w:lineRule="auto"/>
              <w:jc w:val="right"/>
              <w:rPr>
                <w:rFonts w:ascii="Arial" w:hAnsi="Arial" w:cs="Arial"/>
                <w:b/>
                <w:bCs/>
                <w:color w:val="000000"/>
                <w:sz w:val="16"/>
                <w:szCs w:val="16"/>
              </w:rPr>
            </w:pPr>
            <w:r w:rsidRPr="00227136">
              <w:rPr>
                <w:rFonts w:ascii="Arial" w:hAnsi="Arial" w:cs="Arial"/>
                <w:b/>
                <w:bCs/>
                <w:color w:val="000000"/>
                <w:sz w:val="16"/>
                <w:szCs w:val="16"/>
              </w:rPr>
              <w:t>29,217</w:t>
            </w:r>
          </w:p>
        </w:tc>
        <w:tc>
          <w:tcPr>
            <w:tcW w:w="880" w:type="dxa"/>
            <w:tcBorders>
              <w:top w:val="single" w:sz="4" w:space="0" w:color="auto"/>
              <w:left w:val="nil"/>
              <w:bottom w:val="single" w:sz="4" w:space="0" w:color="auto"/>
              <w:right w:val="nil"/>
            </w:tcBorders>
            <w:shd w:val="clear" w:color="000000" w:fill="E6E6E6"/>
            <w:noWrap/>
            <w:vAlign w:val="bottom"/>
            <w:hideMark/>
          </w:tcPr>
          <w:p w14:paraId="4CDC914F" w14:textId="3752687F" w:rsidR="00227136" w:rsidRPr="00227136" w:rsidRDefault="00227136" w:rsidP="00B9139E">
            <w:pPr>
              <w:spacing w:after="0" w:line="240" w:lineRule="auto"/>
              <w:jc w:val="right"/>
              <w:rPr>
                <w:rFonts w:ascii="Arial" w:hAnsi="Arial" w:cs="Arial"/>
                <w:b/>
                <w:bCs/>
                <w:color w:val="000000"/>
                <w:sz w:val="16"/>
                <w:szCs w:val="16"/>
              </w:rPr>
            </w:pPr>
            <w:r w:rsidRPr="00227136">
              <w:rPr>
                <w:rFonts w:ascii="Arial" w:hAnsi="Arial" w:cs="Arial"/>
                <w:b/>
                <w:bCs/>
                <w:color w:val="000000"/>
                <w:sz w:val="16"/>
                <w:szCs w:val="16"/>
              </w:rPr>
              <w:t>34,704</w:t>
            </w:r>
          </w:p>
        </w:tc>
        <w:tc>
          <w:tcPr>
            <w:tcW w:w="880" w:type="dxa"/>
            <w:tcBorders>
              <w:top w:val="single" w:sz="4" w:space="0" w:color="auto"/>
              <w:left w:val="nil"/>
              <w:bottom w:val="single" w:sz="4" w:space="0" w:color="auto"/>
              <w:right w:val="nil"/>
            </w:tcBorders>
            <w:shd w:val="clear" w:color="auto" w:fill="auto"/>
            <w:noWrap/>
            <w:vAlign w:val="bottom"/>
            <w:hideMark/>
          </w:tcPr>
          <w:p w14:paraId="44BF4F27" w14:textId="6F7F8F39" w:rsidR="00227136" w:rsidRPr="00227136" w:rsidRDefault="00227136" w:rsidP="00B9139E">
            <w:pPr>
              <w:spacing w:after="0" w:line="240" w:lineRule="auto"/>
              <w:jc w:val="right"/>
              <w:rPr>
                <w:rFonts w:ascii="Arial" w:hAnsi="Arial" w:cs="Arial"/>
                <w:b/>
                <w:bCs/>
                <w:sz w:val="16"/>
                <w:szCs w:val="16"/>
              </w:rPr>
            </w:pPr>
            <w:r w:rsidRPr="00227136">
              <w:rPr>
                <w:rFonts w:ascii="Arial" w:hAnsi="Arial" w:cs="Arial"/>
                <w:b/>
                <w:bCs/>
                <w:sz w:val="16"/>
                <w:szCs w:val="16"/>
              </w:rPr>
              <w:t>36,401</w:t>
            </w:r>
          </w:p>
        </w:tc>
        <w:tc>
          <w:tcPr>
            <w:tcW w:w="880" w:type="dxa"/>
            <w:tcBorders>
              <w:top w:val="single" w:sz="4" w:space="0" w:color="auto"/>
              <w:left w:val="nil"/>
              <w:bottom w:val="single" w:sz="4" w:space="0" w:color="auto"/>
              <w:right w:val="nil"/>
            </w:tcBorders>
            <w:shd w:val="clear" w:color="auto" w:fill="auto"/>
            <w:noWrap/>
            <w:vAlign w:val="bottom"/>
            <w:hideMark/>
          </w:tcPr>
          <w:p w14:paraId="7A4C61A2" w14:textId="0BA67BAA" w:rsidR="00227136" w:rsidRPr="00227136" w:rsidRDefault="00227136" w:rsidP="00B9139E">
            <w:pPr>
              <w:spacing w:after="0" w:line="240" w:lineRule="auto"/>
              <w:jc w:val="right"/>
              <w:rPr>
                <w:rFonts w:ascii="Arial" w:hAnsi="Arial" w:cs="Arial"/>
                <w:b/>
                <w:bCs/>
                <w:sz w:val="16"/>
                <w:szCs w:val="16"/>
              </w:rPr>
            </w:pPr>
            <w:r w:rsidRPr="00227136">
              <w:rPr>
                <w:rFonts w:ascii="Arial" w:hAnsi="Arial" w:cs="Arial"/>
                <w:b/>
                <w:bCs/>
                <w:sz w:val="16"/>
                <w:szCs w:val="16"/>
              </w:rPr>
              <w:t>37,093</w:t>
            </w:r>
          </w:p>
        </w:tc>
        <w:tc>
          <w:tcPr>
            <w:tcW w:w="880" w:type="dxa"/>
            <w:tcBorders>
              <w:top w:val="single" w:sz="4" w:space="0" w:color="auto"/>
              <w:left w:val="nil"/>
              <w:bottom w:val="single" w:sz="4" w:space="0" w:color="auto"/>
              <w:right w:val="nil"/>
            </w:tcBorders>
            <w:shd w:val="clear" w:color="auto" w:fill="auto"/>
            <w:noWrap/>
            <w:vAlign w:val="bottom"/>
            <w:hideMark/>
          </w:tcPr>
          <w:p w14:paraId="5F4A7537" w14:textId="0CE2E946" w:rsidR="00227136" w:rsidRPr="00227136" w:rsidRDefault="00227136" w:rsidP="00B9139E">
            <w:pPr>
              <w:spacing w:after="0" w:line="240" w:lineRule="auto"/>
              <w:jc w:val="right"/>
              <w:rPr>
                <w:rFonts w:ascii="Arial" w:hAnsi="Arial" w:cs="Arial"/>
                <w:b/>
                <w:bCs/>
                <w:sz w:val="16"/>
                <w:szCs w:val="16"/>
              </w:rPr>
            </w:pPr>
            <w:r w:rsidRPr="00227136">
              <w:rPr>
                <w:rFonts w:ascii="Arial" w:hAnsi="Arial" w:cs="Arial"/>
                <w:b/>
                <w:bCs/>
                <w:sz w:val="16"/>
                <w:szCs w:val="16"/>
              </w:rPr>
              <w:t>36,544</w:t>
            </w:r>
          </w:p>
        </w:tc>
      </w:tr>
    </w:tbl>
    <w:p w14:paraId="66ED76C4" w14:textId="6064110D" w:rsidR="00294FA6" w:rsidRDefault="00294FA6">
      <w:r>
        <w:br w:type="page"/>
      </w:r>
    </w:p>
    <w:p w14:paraId="79EEFDE8" w14:textId="1BAB48F0" w:rsidR="00294FA6" w:rsidRPr="00294FA6" w:rsidRDefault="00294FA6" w:rsidP="00294FA6">
      <w:pPr>
        <w:pStyle w:val="TableHeading"/>
        <w:rPr>
          <w:lang w:val="en-AU"/>
        </w:rPr>
      </w:pPr>
      <w:r w:rsidRPr="001C27BF">
        <w:lastRenderedPageBreak/>
        <w:t>Table 2.</w:t>
      </w:r>
      <w:r w:rsidRPr="00294FA6">
        <w:t>2</w:t>
      </w:r>
      <w:r>
        <w:t>.1</w:t>
      </w:r>
      <w:r w:rsidRPr="001C27BF">
        <w:t xml:space="preserve">: Budgeted expenses for Outcome </w:t>
      </w:r>
      <w:r w:rsidRPr="00294FA6">
        <w:t>1</w:t>
      </w:r>
      <w:r>
        <w:rPr>
          <w:lang w:val="en-AU"/>
        </w:rPr>
        <w:t xml:space="preserve"> (continued)</w:t>
      </w:r>
    </w:p>
    <w:tbl>
      <w:tblPr>
        <w:tblW w:w="7300" w:type="dxa"/>
        <w:tblLook w:val="04A0" w:firstRow="1" w:lastRow="0" w:firstColumn="1" w:lastColumn="0" w:noHBand="0" w:noVBand="1"/>
      </w:tblPr>
      <w:tblGrid>
        <w:gridCol w:w="2900"/>
        <w:gridCol w:w="880"/>
        <w:gridCol w:w="880"/>
        <w:gridCol w:w="880"/>
        <w:gridCol w:w="880"/>
        <w:gridCol w:w="880"/>
      </w:tblGrid>
      <w:tr w:rsidR="00530072" w:rsidRPr="00227136" w14:paraId="4354F9FA" w14:textId="77777777" w:rsidTr="002E565D">
        <w:trPr>
          <w:trHeight w:val="145"/>
        </w:trPr>
        <w:tc>
          <w:tcPr>
            <w:tcW w:w="2900" w:type="dxa"/>
            <w:tcBorders>
              <w:top w:val="single" w:sz="4" w:space="0" w:color="auto"/>
              <w:left w:val="nil"/>
              <w:bottom w:val="nil"/>
              <w:right w:val="nil"/>
            </w:tcBorders>
            <w:shd w:val="clear" w:color="auto" w:fill="auto"/>
            <w:vAlign w:val="center"/>
            <w:hideMark/>
          </w:tcPr>
          <w:p w14:paraId="486F77DA" w14:textId="77777777" w:rsidR="00530072" w:rsidRPr="00227136" w:rsidRDefault="00530072" w:rsidP="002E565D">
            <w:pPr>
              <w:spacing w:after="0" w:line="240" w:lineRule="auto"/>
              <w:jc w:val="left"/>
              <w:rPr>
                <w:rFonts w:ascii="Arial" w:hAnsi="Arial" w:cs="Arial"/>
                <w:b/>
                <w:bCs/>
                <w:color w:val="000000"/>
                <w:sz w:val="16"/>
                <w:szCs w:val="16"/>
              </w:rPr>
            </w:pPr>
            <w:r w:rsidRPr="00227136">
              <w:rPr>
                <w:rFonts w:ascii="Arial" w:hAnsi="Arial" w:cs="Arial"/>
                <w:b/>
                <w:bCs/>
                <w:color w:val="000000"/>
                <w:sz w:val="16"/>
                <w:szCs w:val="16"/>
              </w:rPr>
              <w:t> </w:t>
            </w:r>
          </w:p>
        </w:tc>
        <w:tc>
          <w:tcPr>
            <w:tcW w:w="880" w:type="dxa"/>
            <w:tcBorders>
              <w:top w:val="single" w:sz="4" w:space="0" w:color="auto"/>
              <w:left w:val="nil"/>
              <w:bottom w:val="single" w:sz="4" w:space="0" w:color="auto"/>
              <w:right w:val="nil"/>
            </w:tcBorders>
            <w:shd w:val="clear" w:color="auto" w:fill="auto"/>
            <w:hideMark/>
          </w:tcPr>
          <w:p w14:paraId="7755B970" w14:textId="77777777" w:rsidR="00530072" w:rsidRPr="00227136" w:rsidRDefault="00530072" w:rsidP="002E565D">
            <w:pPr>
              <w:spacing w:after="0" w:line="240" w:lineRule="auto"/>
              <w:jc w:val="right"/>
              <w:rPr>
                <w:rFonts w:ascii="Arial" w:hAnsi="Arial" w:cs="Arial"/>
                <w:sz w:val="16"/>
                <w:szCs w:val="16"/>
              </w:rPr>
            </w:pPr>
            <w:r w:rsidRPr="00227136">
              <w:rPr>
                <w:rFonts w:ascii="Arial" w:hAnsi="Arial" w:cs="Arial"/>
                <w:sz w:val="16"/>
                <w:szCs w:val="16"/>
              </w:rPr>
              <w:t>2020-21 Actual</w:t>
            </w:r>
            <w:r w:rsidRPr="00227136">
              <w:rPr>
                <w:rFonts w:ascii="Arial" w:hAnsi="Arial" w:cs="Arial"/>
                <w:sz w:val="16"/>
                <w:szCs w:val="16"/>
              </w:rPr>
              <w:br/>
            </w:r>
            <w:r w:rsidRPr="00227136">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2EB7F653" w14:textId="77777777" w:rsidR="00530072" w:rsidRPr="00227136" w:rsidRDefault="00530072" w:rsidP="002E565D">
            <w:pPr>
              <w:spacing w:after="0" w:line="240" w:lineRule="auto"/>
              <w:jc w:val="right"/>
              <w:rPr>
                <w:rFonts w:ascii="Arial" w:hAnsi="Arial" w:cs="Arial"/>
                <w:sz w:val="16"/>
                <w:szCs w:val="16"/>
              </w:rPr>
            </w:pPr>
            <w:r w:rsidRPr="00227136">
              <w:rPr>
                <w:rFonts w:ascii="Arial" w:hAnsi="Arial" w:cs="Arial"/>
                <w:sz w:val="16"/>
                <w:szCs w:val="16"/>
              </w:rPr>
              <w:t>2021-22</w:t>
            </w:r>
            <w:r w:rsidRPr="00227136">
              <w:rPr>
                <w:rFonts w:ascii="Arial" w:hAnsi="Arial" w:cs="Arial"/>
                <w:sz w:val="16"/>
                <w:szCs w:val="16"/>
              </w:rPr>
              <w:br/>
              <w:t>Revised Budget</w:t>
            </w:r>
            <w:r w:rsidRPr="00227136">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627192B6" w14:textId="77777777" w:rsidR="00530072" w:rsidRPr="00227136" w:rsidRDefault="00530072" w:rsidP="002E565D">
            <w:pPr>
              <w:spacing w:after="0" w:line="240" w:lineRule="auto"/>
              <w:jc w:val="right"/>
              <w:rPr>
                <w:rFonts w:ascii="Arial" w:hAnsi="Arial" w:cs="Arial"/>
                <w:sz w:val="16"/>
                <w:szCs w:val="16"/>
              </w:rPr>
            </w:pPr>
            <w:r w:rsidRPr="00227136">
              <w:rPr>
                <w:rFonts w:ascii="Arial" w:hAnsi="Arial" w:cs="Arial"/>
                <w:sz w:val="16"/>
                <w:szCs w:val="16"/>
              </w:rPr>
              <w:t>2022-23 Forward estimate</w:t>
            </w:r>
            <w:r w:rsidRPr="00227136">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3A1631AD" w14:textId="77777777" w:rsidR="00530072" w:rsidRPr="00227136" w:rsidRDefault="00530072" w:rsidP="002E565D">
            <w:pPr>
              <w:spacing w:after="0" w:line="240" w:lineRule="auto"/>
              <w:jc w:val="right"/>
              <w:rPr>
                <w:rFonts w:ascii="Arial" w:hAnsi="Arial" w:cs="Arial"/>
                <w:sz w:val="16"/>
                <w:szCs w:val="16"/>
              </w:rPr>
            </w:pPr>
            <w:r w:rsidRPr="00227136">
              <w:rPr>
                <w:rFonts w:ascii="Arial" w:hAnsi="Arial" w:cs="Arial"/>
                <w:sz w:val="16"/>
                <w:szCs w:val="16"/>
              </w:rPr>
              <w:t>2023-24 Forward estimate</w:t>
            </w:r>
            <w:r w:rsidRPr="00227136">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007C805C" w14:textId="77777777" w:rsidR="00530072" w:rsidRPr="00227136" w:rsidRDefault="00530072" w:rsidP="002E565D">
            <w:pPr>
              <w:spacing w:after="0" w:line="240" w:lineRule="auto"/>
              <w:jc w:val="right"/>
              <w:rPr>
                <w:rFonts w:ascii="Arial" w:hAnsi="Arial" w:cs="Arial"/>
                <w:sz w:val="16"/>
                <w:szCs w:val="16"/>
              </w:rPr>
            </w:pPr>
            <w:r w:rsidRPr="00227136">
              <w:rPr>
                <w:rFonts w:ascii="Arial" w:hAnsi="Arial" w:cs="Arial"/>
                <w:sz w:val="16"/>
                <w:szCs w:val="16"/>
              </w:rPr>
              <w:t>2024-25</w:t>
            </w:r>
            <w:r w:rsidRPr="00227136">
              <w:rPr>
                <w:rFonts w:ascii="Arial" w:hAnsi="Arial" w:cs="Arial"/>
                <w:sz w:val="16"/>
                <w:szCs w:val="16"/>
              </w:rPr>
              <w:br/>
              <w:t>Forward estimate</w:t>
            </w:r>
            <w:r w:rsidRPr="00227136">
              <w:rPr>
                <w:rFonts w:ascii="Arial" w:hAnsi="Arial" w:cs="Arial"/>
                <w:sz w:val="16"/>
                <w:szCs w:val="16"/>
              </w:rPr>
              <w:br/>
              <w:t>$'000</w:t>
            </w:r>
          </w:p>
        </w:tc>
      </w:tr>
      <w:tr w:rsidR="00227136" w:rsidRPr="00227136" w14:paraId="4A97219E" w14:textId="77777777" w:rsidTr="000322C2">
        <w:trPr>
          <w:trHeight w:val="204"/>
        </w:trPr>
        <w:tc>
          <w:tcPr>
            <w:tcW w:w="7300" w:type="dxa"/>
            <w:gridSpan w:val="6"/>
            <w:tcBorders>
              <w:top w:val="single" w:sz="4" w:space="0" w:color="auto"/>
              <w:left w:val="nil"/>
              <w:bottom w:val="single" w:sz="4" w:space="0" w:color="auto"/>
              <w:right w:val="nil"/>
            </w:tcBorders>
            <w:shd w:val="clear" w:color="000000" w:fill="E6E6E6"/>
            <w:vAlign w:val="bottom"/>
            <w:hideMark/>
          </w:tcPr>
          <w:p w14:paraId="2CD38B63" w14:textId="3A8A4E5F" w:rsidR="00227136" w:rsidRPr="00227136" w:rsidRDefault="00227136" w:rsidP="00227136">
            <w:pPr>
              <w:spacing w:after="0" w:line="240" w:lineRule="auto"/>
              <w:jc w:val="left"/>
              <w:rPr>
                <w:rFonts w:ascii="Arial" w:hAnsi="Arial" w:cs="Arial"/>
                <w:b/>
                <w:bCs/>
                <w:sz w:val="16"/>
                <w:szCs w:val="16"/>
              </w:rPr>
            </w:pPr>
            <w:r w:rsidRPr="00227136">
              <w:rPr>
                <w:rFonts w:ascii="Arial" w:hAnsi="Arial" w:cs="Arial"/>
                <w:b/>
                <w:bCs/>
                <w:sz w:val="16"/>
                <w:szCs w:val="16"/>
              </w:rPr>
              <w:t>Outcome 1 totals by resource type</w:t>
            </w:r>
          </w:p>
        </w:tc>
      </w:tr>
      <w:tr w:rsidR="00227136" w:rsidRPr="00227136" w14:paraId="6A01B3D6" w14:textId="77777777" w:rsidTr="000322C2">
        <w:trPr>
          <w:trHeight w:val="204"/>
        </w:trPr>
        <w:tc>
          <w:tcPr>
            <w:tcW w:w="2900" w:type="dxa"/>
            <w:tcBorders>
              <w:top w:val="nil"/>
              <w:left w:val="nil"/>
              <w:bottom w:val="nil"/>
              <w:right w:val="nil"/>
            </w:tcBorders>
            <w:shd w:val="clear" w:color="auto" w:fill="auto"/>
            <w:noWrap/>
            <w:vAlign w:val="center"/>
            <w:hideMark/>
          </w:tcPr>
          <w:p w14:paraId="22F17D45" w14:textId="77777777" w:rsidR="00227136" w:rsidRPr="00227136" w:rsidRDefault="00227136" w:rsidP="00227136">
            <w:pPr>
              <w:spacing w:after="0" w:line="240" w:lineRule="auto"/>
              <w:jc w:val="left"/>
              <w:rPr>
                <w:rFonts w:ascii="Arial" w:hAnsi="Arial" w:cs="Arial"/>
                <w:sz w:val="16"/>
                <w:szCs w:val="16"/>
              </w:rPr>
            </w:pPr>
            <w:r w:rsidRPr="00227136">
              <w:rPr>
                <w:rFonts w:ascii="Arial" w:hAnsi="Arial" w:cs="Arial"/>
                <w:sz w:val="16"/>
                <w:szCs w:val="16"/>
              </w:rPr>
              <w:t>Revenue from Government</w:t>
            </w:r>
          </w:p>
        </w:tc>
        <w:tc>
          <w:tcPr>
            <w:tcW w:w="880" w:type="dxa"/>
            <w:tcBorders>
              <w:top w:val="nil"/>
              <w:left w:val="nil"/>
              <w:bottom w:val="nil"/>
              <w:right w:val="nil"/>
            </w:tcBorders>
            <w:shd w:val="clear" w:color="auto" w:fill="auto"/>
            <w:noWrap/>
            <w:vAlign w:val="bottom"/>
            <w:hideMark/>
          </w:tcPr>
          <w:p w14:paraId="255F95DC" w14:textId="77777777" w:rsidR="00227136" w:rsidRPr="00227136" w:rsidRDefault="00227136" w:rsidP="00B9139E">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5F04F1EF" w14:textId="781BE4F7" w:rsidR="00227136" w:rsidRPr="00227136" w:rsidRDefault="00227136" w:rsidP="00B9139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5BC255EF" w14:textId="77777777" w:rsidR="00227136" w:rsidRPr="00227136" w:rsidRDefault="00227136" w:rsidP="00B9139E">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967922F" w14:textId="77777777" w:rsidR="00227136" w:rsidRPr="00227136" w:rsidRDefault="00227136" w:rsidP="00B9139E">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255FDF2E" w14:textId="77777777" w:rsidR="00227136" w:rsidRPr="00227136" w:rsidRDefault="00227136" w:rsidP="00B9139E">
            <w:pPr>
              <w:spacing w:after="0" w:line="240" w:lineRule="auto"/>
              <w:jc w:val="right"/>
              <w:rPr>
                <w:rFonts w:ascii="Times New Roman" w:hAnsi="Times New Roman"/>
              </w:rPr>
            </w:pPr>
          </w:p>
        </w:tc>
      </w:tr>
      <w:tr w:rsidR="00227136" w:rsidRPr="00227136" w14:paraId="4A1AF40B" w14:textId="77777777" w:rsidTr="000322C2">
        <w:trPr>
          <w:trHeight w:val="204"/>
        </w:trPr>
        <w:tc>
          <w:tcPr>
            <w:tcW w:w="2900" w:type="dxa"/>
            <w:tcBorders>
              <w:top w:val="nil"/>
              <w:left w:val="nil"/>
              <w:bottom w:val="nil"/>
              <w:right w:val="nil"/>
            </w:tcBorders>
            <w:shd w:val="clear" w:color="auto" w:fill="auto"/>
            <w:vAlign w:val="center"/>
            <w:hideMark/>
          </w:tcPr>
          <w:p w14:paraId="5E5D078F" w14:textId="61F3FC7B" w:rsidR="00227136" w:rsidRPr="00227136" w:rsidRDefault="00227136" w:rsidP="00227136">
            <w:pPr>
              <w:spacing w:after="0" w:line="240" w:lineRule="auto"/>
              <w:ind w:left="113"/>
              <w:jc w:val="left"/>
              <w:rPr>
                <w:rFonts w:ascii="Arial" w:hAnsi="Arial" w:cs="Arial"/>
                <w:sz w:val="16"/>
                <w:szCs w:val="16"/>
              </w:rPr>
            </w:pPr>
            <w:r w:rsidRPr="00227136">
              <w:rPr>
                <w:rFonts w:ascii="Arial" w:hAnsi="Arial" w:cs="Arial"/>
                <w:sz w:val="16"/>
                <w:szCs w:val="16"/>
              </w:rPr>
              <w:t>Ordinary annual services</w:t>
            </w:r>
            <w:r>
              <w:rPr>
                <w:rFonts w:ascii="Arial" w:hAnsi="Arial" w:cs="Arial"/>
                <w:sz w:val="16"/>
                <w:szCs w:val="16"/>
              </w:rPr>
              <w:t xml:space="preserve"> </w:t>
            </w:r>
            <w:r w:rsidRPr="00227136">
              <w:rPr>
                <w:rFonts w:ascii="Arial" w:hAnsi="Arial" w:cs="Arial"/>
                <w:sz w:val="16"/>
                <w:szCs w:val="16"/>
              </w:rPr>
              <w:t>(Appropriation Bill No. 1)</w:t>
            </w:r>
          </w:p>
        </w:tc>
        <w:tc>
          <w:tcPr>
            <w:tcW w:w="880" w:type="dxa"/>
            <w:tcBorders>
              <w:top w:val="nil"/>
              <w:left w:val="nil"/>
              <w:bottom w:val="nil"/>
              <w:right w:val="nil"/>
            </w:tcBorders>
            <w:shd w:val="clear" w:color="auto" w:fill="auto"/>
            <w:noWrap/>
            <w:vAlign w:val="bottom"/>
            <w:hideMark/>
          </w:tcPr>
          <w:p w14:paraId="31F7EB97" w14:textId="612BBCF5" w:rsidR="00227136" w:rsidRPr="00227136" w:rsidRDefault="00227136" w:rsidP="00B9139E">
            <w:pPr>
              <w:spacing w:after="0" w:line="240" w:lineRule="auto"/>
              <w:jc w:val="right"/>
              <w:rPr>
                <w:rFonts w:ascii="Arial" w:hAnsi="Arial" w:cs="Arial"/>
                <w:color w:val="000000"/>
                <w:sz w:val="16"/>
                <w:szCs w:val="16"/>
              </w:rPr>
            </w:pPr>
            <w:r w:rsidRPr="00227136">
              <w:rPr>
                <w:rFonts w:ascii="Arial" w:hAnsi="Arial" w:cs="Arial"/>
                <w:color w:val="000000"/>
                <w:sz w:val="16"/>
                <w:szCs w:val="16"/>
              </w:rPr>
              <w:t>26,535</w:t>
            </w:r>
          </w:p>
        </w:tc>
        <w:tc>
          <w:tcPr>
            <w:tcW w:w="880" w:type="dxa"/>
            <w:tcBorders>
              <w:top w:val="nil"/>
              <w:left w:val="nil"/>
              <w:bottom w:val="nil"/>
              <w:right w:val="nil"/>
            </w:tcBorders>
            <w:shd w:val="clear" w:color="000000" w:fill="E6E6E6"/>
            <w:noWrap/>
            <w:vAlign w:val="bottom"/>
            <w:hideMark/>
          </w:tcPr>
          <w:p w14:paraId="0F15D640" w14:textId="65FCEC20"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28,026</w:t>
            </w:r>
          </w:p>
        </w:tc>
        <w:tc>
          <w:tcPr>
            <w:tcW w:w="880" w:type="dxa"/>
            <w:tcBorders>
              <w:top w:val="nil"/>
              <w:left w:val="nil"/>
              <w:bottom w:val="nil"/>
              <w:right w:val="nil"/>
            </w:tcBorders>
            <w:shd w:val="clear" w:color="auto" w:fill="auto"/>
            <w:noWrap/>
            <w:vAlign w:val="bottom"/>
            <w:hideMark/>
          </w:tcPr>
          <w:p w14:paraId="53C91949" w14:textId="32FB81C2"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29,543</w:t>
            </w:r>
          </w:p>
        </w:tc>
        <w:tc>
          <w:tcPr>
            <w:tcW w:w="880" w:type="dxa"/>
            <w:tcBorders>
              <w:top w:val="nil"/>
              <w:left w:val="nil"/>
              <w:bottom w:val="nil"/>
              <w:right w:val="nil"/>
            </w:tcBorders>
            <w:shd w:val="clear" w:color="auto" w:fill="auto"/>
            <w:noWrap/>
            <w:vAlign w:val="bottom"/>
            <w:hideMark/>
          </w:tcPr>
          <w:p w14:paraId="64DBDCA9" w14:textId="75ADCC29"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30,169</w:t>
            </w:r>
          </w:p>
        </w:tc>
        <w:tc>
          <w:tcPr>
            <w:tcW w:w="880" w:type="dxa"/>
            <w:tcBorders>
              <w:top w:val="nil"/>
              <w:left w:val="nil"/>
              <w:bottom w:val="nil"/>
              <w:right w:val="nil"/>
            </w:tcBorders>
            <w:shd w:val="clear" w:color="auto" w:fill="auto"/>
            <w:noWrap/>
            <w:vAlign w:val="bottom"/>
            <w:hideMark/>
          </w:tcPr>
          <w:p w14:paraId="61AD22BF" w14:textId="277E352F"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30,491</w:t>
            </w:r>
          </w:p>
        </w:tc>
      </w:tr>
      <w:tr w:rsidR="00227136" w:rsidRPr="00227136" w14:paraId="0924437D" w14:textId="77777777" w:rsidTr="000322C2">
        <w:trPr>
          <w:trHeight w:val="204"/>
        </w:trPr>
        <w:tc>
          <w:tcPr>
            <w:tcW w:w="2900" w:type="dxa"/>
            <w:tcBorders>
              <w:top w:val="nil"/>
              <w:left w:val="nil"/>
              <w:bottom w:val="nil"/>
              <w:right w:val="nil"/>
            </w:tcBorders>
            <w:shd w:val="clear" w:color="auto" w:fill="auto"/>
            <w:noWrap/>
            <w:vAlign w:val="center"/>
            <w:hideMark/>
          </w:tcPr>
          <w:p w14:paraId="0711311A" w14:textId="77777777" w:rsidR="00227136" w:rsidRPr="00227136" w:rsidRDefault="00227136" w:rsidP="00227136">
            <w:pPr>
              <w:spacing w:after="0" w:line="240" w:lineRule="auto"/>
              <w:jc w:val="left"/>
              <w:rPr>
                <w:rFonts w:ascii="Arial" w:hAnsi="Arial" w:cs="Arial"/>
                <w:sz w:val="16"/>
                <w:szCs w:val="16"/>
              </w:rPr>
            </w:pPr>
            <w:r w:rsidRPr="00227136">
              <w:rPr>
                <w:rFonts w:ascii="Arial" w:hAnsi="Arial" w:cs="Arial"/>
                <w:sz w:val="16"/>
                <w:szCs w:val="16"/>
              </w:rPr>
              <w:t>Payment from related entities</w:t>
            </w:r>
          </w:p>
        </w:tc>
        <w:tc>
          <w:tcPr>
            <w:tcW w:w="880" w:type="dxa"/>
            <w:tcBorders>
              <w:top w:val="nil"/>
              <w:left w:val="nil"/>
              <w:bottom w:val="nil"/>
              <w:right w:val="nil"/>
            </w:tcBorders>
            <w:shd w:val="clear" w:color="auto" w:fill="auto"/>
            <w:noWrap/>
            <w:vAlign w:val="bottom"/>
            <w:hideMark/>
          </w:tcPr>
          <w:p w14:paraId="39956386" w14:textId="2FCB2251" w:rsidR="00227136" w:rsidRPr="00227136" w:rsidRDefault="00227136" w:rsidP="00B9139E">
            <w:pPr>
              <w:spacing w:after="0" w:line="240" w:lineRule="auto"/>
              <w:jc w:val="right"/>
              <w:rPr>
                <w:rFonts w:ascii="Arial" w:hAnsi="Arial" w:cs="Arial"/>
                <w:color w:val="000000"/>
                <w:sz w:val="16"/>
                <w:szCs w:val="16"/>
              </w:rPr>
            </w:pPr>
            <w:r w:rsidRPr="00227136">
              <w:rPr>
                <w:rFonts w:ascii="Arial" w:hAnsi="Arial" w:cs="Arial"/>
                <w:color w:val="000000"/>
                <w:sz w:val="16"/>
                <w:szCs w:val="16"/>
              </w:rPr>
              <w:t>3,025</w:t>
            </w:r>
          </w:p>
        </w:tc>
        <w:tc>
          <w:tcPr>
            <w:tcW w:w="880" w:type="dxa"/>
            <w:tcBorders>
              <w:top w:val="nil"/>
              <w:left w:val="nil"/>
              <w:bottom w:val="nil"/>
              <w:right w:val="nil"/>
            </w:tcBorders>
            <w:shd w:val="clear" w:color="000000" w:fill="E6E6E6"/>
            <w:noWrap/>
            <w:vAlign w:val="bottom"/>
            <w:hideMark/>
          </w:tcPr>
          <w:p w14:paraId="3317E48C" w14:textId="1EF059E4"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1,000</w:t>
            </w:r>
          </w:p>
        </w:tc>
        <w:tc>
          <w:tcPr>
            <w:tcW w:w="880" w:type="dxa"/>
            <w:tcBorders>
              <w:top w:val="nil"/>
              <w:left w:val="nil"/>
              <w:bottom w:val="nil"/>
              <w:right w:val="nil"/>
            </w:tcBorders>
            <w:shd w:val="clear" w:color="auto" w:fill="auto"/>
            <w:noWrap/>
            <w:vAlign w:val="bottom"/>
            <w:hideMark/>
          </w:tcPr>
          <w:p w14:paraId="36A792AC" w14:textId="05B538DA"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1,100</w:t>
            </w:r>
          </w:p>
        </w:tc>
        <w:tc>
          <w:tcPr>
            <w:tcW w:w="880" w:type="dxa"/>
            <w:tcBorders>
              <w:top w:val="nil"/>
              <w:left w:val="nil"/>
              <w:bottom w:val="nil"/>
              <w:right w:val="nil"/>
            </w:tcBorders>
            <w:shd w:val="clear" w:color="auto" w:fill="auto"/>
            <w:noWrap/>
            <w:vAlign w:val="bottom"/>
            <w:hideMark/>
          </w:tcPr>
          <w:p w14:paraId="55B292B8" w14:textId="1452BF71"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800</w:t>
            </w:r>
          </w:p>
        </w:tc>
        <w:tc>
          <w:tcPr>
            <w:tcW w:w="880" w:type="dxa"/>
            <w:tcBorders>
              <w:top w:val="nil"/>
              <w:left w:val="nil"/>
              <w:bottom w:val="nil"/>
              <w:right w:val="nil"/>
            </w:tcBorders>
            <w:shd w:val="clear" w:color="auto" w:fill="auto"/>
            <w:noWrap/>
            <w:vAlign w:val="bottom"/>
            <w:hideMark/>
          </w:tcPr>
          <w:p w14:paraId="3EB38C90" w14:textId="45870706"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w:t>
            </w:r>
          </w:p>
        </w:tc>
      </w:tr>
      <w:tr w:rsidR="00227136" w:rsidRPr="00227136" w14:paraId="06D92D74" w14:textId="77777777" w:rsidTr="000322C2">
        <w:trPr>
          <w:trHeight w:val="204"/>
        </w:trPr>
        <w:tc>
          <w:tcPr>
            <w:tcW w:w="2900" w:type="dxa"/>
            <w:tcBorders>
              <w:top w:val="nil"/>
              <w:left w:val="nil"/>
              <w:bottom w:val="nil"/>
              <w:right w:val="nil"/>
            </w:tcBorders>
            <w:shd w:val="clear" w:color="auto" w:fill="auto"/>
            <w:vAlign w:val="center"/>
            <w:hideMark/>
          </w:tcPr>
          <w:p w14:paraId="4F3DB759" w14:textId="7FD7B89E" w:rsidR="00227136" w:rsidRPr="00227136" w:rsidRDefault="00227136" w:rsidP="00227136">
            <w:pPr>
              <w:spacing w:after="0" w:line="240" w:lineRule="auto"/>
              <w:jc w:val="left"/>
              <w:rPr>
                <w:rFonts w:ascii="Arial" w:hAnsi="Arial" w:cs="Arial"/>
                <w:sz w:val="16"/>
                <w:szCs w:val="16"/>
              </w:rPr>
            </w:pPr>
            <w:r w:rsidRPr="00227136">
              <w:rPr>
                <w:rFonts w:ascii="Arial" w:hAnsi="Arial" w:cs="Arial"/>
                <w:sz w:val="16"/>
                <w:szCs w:val="16"/>
              </w:rPr>
              <w:t>Expenses not requiring</w:t>
            </w:r>
            <w:r>
              <w:rPr>
                <w:rFonts w:ascii="Arial" w:hAnsi="Arial" w:cs="Arial"/>
                <w:sz w:val="16"/>
                <w:szCs w:val="16"/>
              </w:rPr>
              <w:t xml:space="preserve"> </w:t>
            </w:r>
            <w:r w:rsidRPr="00227136">
              <w:rPr>
                <w:rFonts w:ascii="Arial" w:hAnsi="Arial" w:cs="Arial"/>
                <w:sz w:val="16"/>
                <w:szCs w:val="16"/>
              </w:rPr>
              <w:t>appropriation in the budget year</w:t>
            </w:r>
            <w:r w:rsidR="000322C2">
              <w:rPr>
                <w:rFonts w:ascii="Arial" w:hAnsi="Arial" w:cs="Arial"/>
                <w:sz w:val="16"/>
                <w:szCs w:val="16"/>
              </w:rPr>
              <w:t xml:space="preserve"> </w:t>
            </w:r>
            <w:r w:rsidR="000322C2" w:rsidRPr="000322C2">
              <w:rPr>
                <w:rFonts w:ascii="Arial" w:hAnsi="Arial" w:cs="Arial"/>
                <w:sz w:val="16"/>
                <w:szCs w:val="16"/>
                <w:vertAlign w:val="superscript"/>
              </w:rPr>
              <w:t>(a)</w:t>
            </w:r>
          </w:p>
        </w:tc>
        <w:tc>
          <w:tcPr>
            <w:tcW w:w="880" w:type="dxa"/>
            <w:tcBorders>
              <w:top w:val="nil"/>
              <w:left w:val="nil"/>
              <w:bottom w:val="nil"/>
              <w:right w:val="nil"/>
            </w:tcBorders>
            <w:shd w:val="clear" w:color="auto" w:fill="auto"/>
            <w:noWrap/>
            <w:vAlign w:val="bottom"/>
            <w:hideMark/>
          </w:tcPr>
          <w:p w14:paraId="0DAFC03B" w14:textId="77777777" w:rsidR="00227136" w:rsidRPr="00227136" w:rsidRDefault="00227136" w:rsidP="00B9139E">
            <w:pPr>
              <w:spacing w:after="0" w:line="240" w:lineRule="auto"/>
              <w:jc w:val="right"/>
              <w:rPr>
                <w:rFonts w:ascii="Arial" w:hAnsi="Arial" w:cs="Arial"/>
                <w:color w:val="000000"/>
                <w:sz w:val="16"/>
                <w:szCs w:val="16"/>
              </w:rPr>
            </w:pPr>
            <w:r w:rsidRPr="00227136">
              <w:rPr>
                <w:rFonts w:ascii="Arial" w:hAnsi="Arial" w:cs="Arial"/>
                <w:color w:val="000000"/>
                <w:sz w:val="16"/>
                <w:szCs w:val="16"/>
              </w:rPr>
              <w:t>(2,088)</w:t>
            </w:r>
          </w:p>
        </w:tc>
        <w:tc>
          <w:tcPr>
            <w:tcW w:w="880" w:type="dxa"/>
            <w:tcBorders>
              <w:top w:val="nil"/>
              <w:left w:val="nil"/>
              <w:bottom w:val="nil"/>
              <w:right w:val="nil"/>
            </w:tcBorders>
            <w:shd w:val="clear" w:color="000000" w:fill="E6E6E6"/>
            <w:noWrap/>
            <w:vAlign w:val="bottom"/>
            <w:hideMark/>
          </w:tcPr>
          <w:p w14:paraId="2A6E4451" w14:textId="68255B20"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3,952</w:t>
            </w:r>
          </w:p>
        </w:tc>
        <w:tc>
          <w:tcPr>
            <w:tcW w:w="880" w:type="dxa"/>
            <w:tcBorders>
              <w:top w:val="nil"/>
              <w:left w:val="nil"/>
              <w:bottom w:val="nil"/>
              <w:right w:val="nil"/>
            </w:tcBorders>
            <w:shd w:val="clear" w:color="auto" w:fill="auto"/>
            <w:noWrap/>
            <w:vAlign w:val="bottom"/>
            <w:hideMark/>
          </w:tcPr>
          <w:p w14:paraId="633FA9B2" w14:textId="7C25D4AE"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4,032</w:t>
            </w:r>
          </w:p>
        </w:tc>
        <w:tc>
          <w:tcPr>
            <w:tcW w:w="880" w:type="dxa"/>
            <w:tcBorders>
              <w:top w:val="nil"/>
              <w:left w:val="nil"/>
              <w:bottom w:val="nil"/>
              <w:right w:val="nil"/>
            </w:tcBorders>
            <w:shd w:val="clear" w:color="auto" w:fill="auto"/>
            <w:noWrap/>
            <w:vAlign w:val="bottom"/>
            <w:hideMark/>
          </w:tcPr>
          <w:p w14:paraId="1C5DFC70" w14:textId="525D134B"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4,398</w:t>
            </w:r>
          </w:p>
        </w:tc>
        <w:tc>
          <w:tcPr>
            <w:tcW w:w="880" w:type="dxa"/>
            <w:tcBorders>
              <w:top w:val="nil"/>
              <w:left w:val="nil"/>
              <w:bottom w:val="nil"/>
              <w:right w:val="nil"/>
            </w:tcBorders>
            <w:shd w:val="clear" w:color="auto" w:fill="auto"/>
            <w:noWrap/>
            <w:vAlign w:val="bottom"/>
            <w:hideMark/>
          </w:tcPr>
          <w:p w14:paraId="5CAA284E" w14:textId="57B9F64B"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4,327</w:t>
            </w:r>
          </w:p>
        </w:tc>
      </w:tr>
      <w:tr w:rsidR="00227136" w:rsidRPr="00227136" w14:paraId="6C246E1B" w14:textId="77777777" w:rsidTr="000322C2">
        <w:trPr>
          <w:trHeight w:val="204"/>
        </w:trPr>
        <w:tc>
          <w:tcPr>
            <w:tcW w:w="2900" w:type="dxa"/>
            <w:tcBorders>
              <w:top w:val="nil"/>
              <w:left w:val="nil"/>
              <w:bottom w:val="nil"/>
              <w:right w:val="nil"/>
            </w:tcBorders>
            <w:shd w:val="clear" w:color="auto" w:fill="auto"/>
            <w:vAlign w:val="center"/>
            <w:hideMark/>
          </w:tcPr>
          <w:p w14:paraId="54B16AF2" w14:textId="73D54C73" w:rsidR="00227136" w:rsidRPr="00227136" w:rsidRDefault="00227136" w:rsidP="00227136">
            <w:pPr>
              <w:spacing w:after="0" w:line="240" w:lineRule="auto"/>
              <w:jc w:val="left"/>
              <w:rPr>
                <w:rFonts w:ascii="Arial" w:hAnsi="Arial" w:cs="Arial"/>
                <w:sz w:val="16"/>
                <w:szCs w:val="16"/>
              </w:rPr>
            </w:pPr>
            <w:r w:rsidRPr="00227136">
              <w:rPr>
                <w:rFonts w:ascii="Arial" w:hAnsi="Arial" w:cs="Arial"/>
                <w:sz w:val="16"/>
                <w:szCs w:val="16"/>
              </w:rPr>
              <w:t>Revenues from other independent</w:t>
            </w:r>
            <w:r>
              <w:rPr>
                <w:rFonts w:ascii="Arial" w:hAnsi="Arial" w:cs="Arial"/>
                <w:sz w:val="16"/>
                <w:szCs w:val="16"/>
              </w:rPr>
              <w:t xml:space="preserve"> </w:t>
            </w:r>
            <w:r w:rsidRPr="00227136">
              <w:rPr>
                <w:rFonts w:ascii="Arial" w:hAnsi="Arial" w:cs="Arial"/>
                <w:sz w:val="16"/>
                <w:szCs w:val="16"/>
              </w:rPr>
              <w:t xml:space="preserve">sources </w:t>
            </w:r>
          </w:p>
        </w:tc>
        <w:tc>
          <w:tcPr>
            <w:tcW w:w="880" w:type="dxa"/>
            <w:tcBorders>
              <w:top w:val="nil"/>
              <w:left w:val="nil"/>
              <w:bottom w:val="nil"/>
              <w:right w:val="nil"/>
            </w:tcBorders>
            <w:shd w:val="clear" w:color="auto" w:fill="auto"/>
            <w:noWrap/>
            <w:vAlign w:val="bottom"/>
            <w:hideMark/>
          </w:tcPr>
          <w:p w14:paraId="35609B69" w14:textId="142A711E" w:rsidR="00227136" w:rsidRPr="00227136" w:rsidRDefault="00227136" w:rsidP="00B9139E">
            <w:pPr>
              <w:spacing w:after="0" w:line="240" w:lineRule="auto"/>
              <w:jc w:val="right"/>
              <w:rPr>
                <w:rFonts w:ascii="Arial" w:hAnsi="Arial" w:cs="Arial"/>
                <w:color w:val="000000"/>
                <w:sz w:val="16"/>
                <w:szCs w:val="16"/>
              </w:rPr>
            </w:pPr>
            <w:r w:rsidRPr="00227136">
              <w:rPr>
                <w:rFonts w:ascii="Arial" w:hAnsi="Arial" w:cs="Arial"/>
                <w:color w:val="000000"/>
                <w:sz w:val="16"/>
                <w:szCs w:val="16"/>
              </w:rPr>
              <w:t>1,745</w:t>
            </w:r>
          </w:p>
        </w:tc>
        <w:tc>
          <w:tcPr>
            <w:tcW w:w="880" w:type="dxa"/>
            <w:tcBorders>
              <w:top w:val="nil"/>
              <w:left w:val="nil"/>
              <w:bottom w:val="nil"/>
              <w:right w:val="nil"/>
            </w:tcBorders>
            <w:shd w:val="clear" w:color="000000" w:fill="E6E6E6"/>
            <w:noWrap/>
            <w:vAlign w:val="bottom"/>
            <w:hideMark/>
          </w:tcPr>
          <w:p w14:paraId="5636C849" w14:textId="3B424585"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1,726</w:t>
            </w:r>
          </w:p>
        </w:tc>
        <w:tc>
          <w:tcPr>
            <w:tcW w:w="880" w:type="dxa"/>
            <w:tcBorders>
              <w:top w:val="nil"/>
              <w:left w:val="nil"/>
              <w:bottom w:val="nil"/>
              <w:right w:val="nil"/>
            </w:tcBorders>
            <w:shd w:val="clear" w:color="auto" w:fill="auto"/>
            <w:noWrap/>
            <w:vAlign w:val="bottom"/>
            <w:hideMark/>
          </w:tcPr>
          <w:p w14:paraId="0EAE7AC1" w14:textId="7871CCF0"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1,726</w:t>
            </w:r>
          </w:p>
        </w:tc>
        <w:tc>
          <w:tcPr>
            <w:tcW w:w="880" w:type="dxa"/>
            <w:tcBorders>
              <w:top w:val="nil"/>
              <w:left w:val="nil"/>
              <w:bottom w:val="nil"/>
              <w:right w:val="nil"/>
            </w:tcBorders>
            <w:shd w:val="clear" w:color="auto" w:fill="auto"/>
            <w:noWrap/>
            <w:vAlign w:val="bottom"/>
            <w:hideMark/>
          </w:tcPr>
          <w:p w14:paraId="56A7F69C" w14:textId="40D01A49"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1,726</w:t>
            </w:r>
          </w:p>
        </w:tc>
        <w:tc>
          <w:tcPr>
            <w:tcW w:w="880" w:type="dxa"/>
            <w:tcBorders>
              <w:top w:val="nil"/>
              <w:left w:val="nil"/>
              <w:bottom w:val="nil"/>
              <w:right w:val="nil"/>
            </w:tcBorders>
            <w:shd w:val="clear" w:color="auto" w:fill="auto"/>
            <w:noWrap/>
            <w:vAlign w:val="bottom"/>
            <w:hideMark/>
          </w:tcPr>
          <w:p w14:paraId="04AC96DE" w14:textId="0A8D292E" w:rsidR="00227136" w:rsidRPr="00227136" w:rsidRDefault="00227136" w:rsidP="00B9139E">
            <w:pPr>
              <w:spacing w:after="0" w:line="240" w:lineRule="auto"/>
              <w:jc w:val="right"/>
              <w:rPr>
                <w:rFonts w:ascii="Arial" w:hAnsi="Arial" w:cs="Arial"/>
                <w:sz w:val="16"/>
                <w:szCs w:val="16"/>
              </w:rPr>
            </w:pPr>
            <w:r w:rsidRPr="00227136">
              <w:rPr>
                <w:rFonts w:ascii="Arial" w:hAnsi="Arial" w:cs="Arial"/>
                <w:sz w:val="16"/>
                <w:szCs w:val="16"/>
              </w:rPr>
              <w:t>1,726</w:t>
            </w:r>
          </w:p>
        </w:tc>
      </w:tr>
      <w:tr w:rsidR="00227136" w:rsidRPr="00227136" w14:paraId="123ABA3E" w14:textId="77777777" w:rsidTr="000322C2">
        <w:trPr>
          <w:trHeight w:val="204"/>
        </w:trPr>
        <w:tc>
          <w:tcPr>
            <w:tcW w:w="2900" w:type="dxa"/>
            <w:tcBorders>
              <w:top w:val="nil"/>
              <w:left w:val="nil"/>
              <w:bottom w:val="single" w:sz="4" w:space="0" w:color="auto"/>
              <w:right w:val="nil"/>
            </w:tcBorders>
            <w:shd w:val="clear" w:color="auto" w:fill="auto"/>
            <w:noWrap/>
            <w:vAlign w:val="center"/>
            <w:hideMark/>
          </w:tcPr>
          <w:p w14:paraId="4CA0E922" w14:textId="77777777" w:rsidR="00227136" w:rsidRPr="00227136" w:rsidRDefault="00227136" w:rsidP="00227136">
            <w:pPr>
              <w:spacing w:after="0" w:line="240" w:lineRule="auto"/>
              <w:jc w:val="left"/>
              <w:rPr>
                <w:rFonts w:ascii="Arial" w:hAnsi="Arial" w:cs="Arial"/>
                <w:b/>
                <w:bCs/>
                <w:sz w:val="16"/>
                <w:szCs w:val="16"/>
              </w:rPr>
            </w:pPr>
            <w:r w:rsidRPr="00227136">
              <w:rPr>
                <w:rFonts w:ascii="Arial" w:hAnsi="Arial" w:cs="Arial"/>
                <w:b/>
                <w:bCs/>
                <w:sz w:val="16"/>
                <w:szCs w:val="16"/>
              </w:rPr>
              <w:t>Total expenses for Outcome 1</w:t>
            </w:r>
          </w:p>
        </w:tc>
        <w:tc>
          <w:tcPr>
            <w:tcW w:w="880" w:type="dxa"/>
            <w:tcBorders>
              <w:top w:val="single" w:sz="4" w:space="0" w:color="auto"/>
              <w:left w:val="nil"/>
              <w:bottom w:val="single" w:sz="4" w:space="0" w:color="auto"/>
              <w:right w:val="nil"/>
            </w:tcBorders>
            <w:shd w:val="clear" w:color="auto" w:fill="auto"/>
            <w:noWrap/>
            <w:vAlign w:val="bottom"/>
            <w:hideMark/>
          </w:tcPr>
          <w:p w14:paraId="541CA9C6" w14:textId="64718833" w:rsidR="00227136" w:rsidRPr="00227136" w:rsidRDefault="00227136" w:rsidP="00B9139E">
            <w:pPr>
              <w:spacing w:after="0" w:line="240" w:lineRule="auto"/>
              <w:jc w:val="right"/>
              <w:rPr>
                <w:rFonts w:ascii="Arial" w:hAnsi="Arial" w:cs="Arial"/>
                <w:b/>
                <w:bCs/>
                <w:color w:val="000000"/>
                <w:sz w:val="16"/>
                <w:szCs w:val="16"/>
              </w:rPr>
            </w:pPr>
            <w:r w:rsidRPr="00227136">
              <w:rPr>
                <w:rFonts w:ascii="Arial" w:hAnsi="Arial" w:cs="Arial"/>
                <w:b/>
                <w:bCs/>
                <w:color w:val="000000"/>
                <w:sz w:val="16"/>
                <w:szCs w:val="16"/>
              </w:rPr>
              <w:t>29,217</w:t>
            </w:r>
          </w:p>
        </w:tc>
        <w:tc>
          <w:tcPr>
            <w:tcW w:w="880" w:type="dxa"/>
            <w:tcBorders>
              <w:top w:val="single" w:sz="4" w:space="0" w:color="auto"/>
              <w:left w:val="nil"/>
              <w:bottom w:val="single" w:sz="4" w:space="0" w:color="auto"/>
              <w:right w:val="nil"/>
            </w:tcBorders>
            <w:shd w:val="clear" w:color="000000" w:fill="E6E6E6"/>
            <w:noWrap/>
            <w:vAlign w:val="bottom"/>
            <w:hideMark/>
          </w:tcPr>
          <w:p w14:paraId="6AA9E466" w14:textId="7282F918" w:rsidR="00227136" w:rsidRPr="00227136" w:rsidRDefault="00227136" w:rsidP="00B9139E">
            <w:pPr>
              <w:spacing w:after="0" w:line="240" w:lineRule="auto"/>
              <w:jc w:val="right"/>
              <w:rPr>
                <w:rFonts w:ascii="Arial" w:hAnsi="Arial" w:cs="Arial"/>
                <w:b/>
                <w:bCs/>
                <w:color w:val="000000"/>
                <w:sz w:val="16"/>
                <w:szCs w:val="16"/>
              </w:rPr>
            </w:pPr>
            <w:r w:rsidRPr="00227136">
              <w:rPr>
                <w:rFonts w:ascii="Arial" w:hAnsi="Arial" w:cs="Arial"/>
                <w:b/>
                <w:bCs/>
                <w:color w:val="000000"/>
                <w:sz w:val="16"/>
                <w:szCs w:val="16"/>
              </w:rPr>
              <w:t>34,704</w:t>
            </w:r>
          </w:p>
        </w:tc>
        <w:tc>
          <w:tcPr>
            <w:tcW w:w="880" w:type="dxa"/>
            <w:tcBorders>
              <w:top w:val="single" w:sz="4" w:space="0" w:color="auto"/>
              <w:left w:val="nil"/>
              <w:bottom w:val="single" w:sz="4" w:space="0" w:color="auto"/>
              <w:right w:val="nil"/>
            </w:tcBorders>
            <w:shd w:val="clear" w:color="auto" w:fill="auto"/>
            <w:noWrap/>
            <w:vAlign w:val="bottom"/>
            <w:hideMark/>
          </w:tcPr>
          <w:p w14:paraId="12AC043C" w14:textId="259B157E" w:rsidR="00227136" w:rsidRPr="00227136" w:rsidRDefault="00227136" w:rsidP="00B9139E">
            <w:pPr>
              <w:spacing w:after="0" w:line="240" w:lineRule="auto"/>
              <w:jc w:val="right"/>
              <w:rPr>
                <w:rFonts w:ascii="Arial" w:hAnsi="Arial" w:cs="Arial"/>
                <w:b/>
                <w:bCs/>
                <w:sz w:val="16"/>
                <w:szCs w:val="16"/>
              </w:rPr>
            </w:pPr>
            <w:r w:rsidRPr="00227136">
              <w:rPr>
                <w:rFonts w:ascii="Arial" w:hAnsi="Arial" w:cs="Arial"/>
                <w:b/>
                <w:bCs/>
                <w:sz w:val="16"/>
                <w:szCs w:val="16"/>
              </w:rPr>
              <w:t>36,401</w:t>
            </w:r>
          </w:p>
        </w:tc>
        <w:tc>
          <w:tcPr>
            <w:tcW w:w="880" w:type="dxa"/>
            <w:tcBorders>
              <w:top w:val="single" w:sz="4" w:space="0" w:color="auto"/>
              <w:left w:val="nil"/>
              <w:bottom w:val="single" w:sz="4" w:space="0" w:color="auto"/>
              <w:right w:val="nil"/>
            </w:tcBorders>
            <w:shd w:val="clear" w:color="auto" w:fill="auto"/>
            <w:noWrap/>
            <w:vAlign w:val="bottom"/>
            <w:hideMark/>
          </w:tcPr>
          <w:p w14:paraId="6C2B29D7" w14:textId="49943B58" w:rsidR="00227136" w:rsidRPr="00227136" w:rsidRDefault="00227136" w:rsidP="00B9139E">
            <w:pPr>
              <w:spacing w:after="0" w:line="240" w:lineRule="auto"/>
              <w:jc w:val="right"/>
              <w:rPr>
                <w:rFonts w:ascii="Arial" w:hAnsi="Arial" w:cs="Arial"/>
                <w:b/>
                <w:bCs/>
                <w:sz w:val="16"/>
                <w:szCs w:val="16"/>
              </w:rPr>
            </w:pPr>
            <w:r w:rsidRPr="00227136">
              <w:rPr>
                <w:rFonts w:ascii="Arial" w:hAnsi="Arial" w:cs="Arial"/>
                <w:b/>
                <w:bCs/>
                <w:sz w:val="16"/>
                <w:szCs w:val="16"/>
              </w:rPr>
              <w:t>37,093</w:t>
            </w:r>
          </w:p>
        </w:tc>
        <w:tc>
          <w:tcPr>
            <w:tcW w:w="880" w:type="dxa"/>
            <w:tcBorders>
              <w:top w:val="single" w:sz="4" w:space="0" w:color="auto"/>
              <w:left w:val="nil"/>
              <w:bottom w:val="single" w:sz="4" w:space="0" w:color="auto"/>
              <w:right w:val="nil"/>
            </w:tcBorders>
            <w:shd w:val="clear" w:color="auto" w:fill="auto"/>
            <w:noWrap/>
            <w:vAlign w:val="bottom"/>
            <w:hideMark/>
          </w:tcPr>
          <w:p w14:paraId="4EF11836" w14:textId="56B57E20" w:rsidR="00227136" w:rsidRPr="00227136" w:rsidRDefault="00227136" w:rsidP="00B9139E">
            <w:pPr>
              <w:spacing w:after="0" w:line="240" w:lineRule="auto"/>
              <w:jc w:val="right"/>
              <w:rPr>
                <w:rFonts w:ascii="Arial" w:hAnsi="Arial" w:cs="Arial"/>
                <w:b/>
                <w:bCs/>
                <w:sz w:val="16"/>
                <w:szCs w:val="16"/>
              </w:rPr>
            </w:pPr>
            <w:r w:rsidRPr="00227136">
              <w:rPr>
                <w:rFonts w:ascii="Arial" w:hAnsi="Arial" w:cs="Arial"/>
                <w:b/>
                <w:bCs/>
                <w:sz w:val="16"/>
                <w:szCs w:val="16"/>
              </w:rPr>
              <w:t>36,544</w:t>
            </w:r>
          </w:p>
        </w:tc>
      </w:tr>
    </w:tbl>
    <w:p w14:paraId="2A859A6C" w14:textId="39AB0472" w:rsidR="00B9139E" w:rsidRDefault="00B9139E" w:rsidP="00B9139E">
      <w:pPr>
        <w:spacing w:after="0" w:line="240" w:lineRule="auto"/>
        <w:rPr>
          <w:rFonts w:ascii="Arial" w:hAnsi="Arial" w:cs="Arial"/>
          <w:sz w:val="16"/>
          <w:szCs w:val="16"/>
        </w:rPr>
      </w:pPr>
    </w:p>
    <w:tbl>
      <w:tblPr>
        <w:tblW w:w="7396" w:type="dxa"/>
        <w:tblLook w:val="04A0" w:firstRow="1" w:lastRow="0" w:firstColumn="1" w:lastColumn="0" w:noHBand="0" w:noVBand="1"/>
      </w:tblPr>
      <w:tblGrid>
        <w:gridCol w:w="2916"/>
        <w:gridCol w:w="896"/>
        <w:gridCol w:w="896"/>
        <w:gridCol w:w="896"/>
        <w:gridCol w:w="896"/>
        <w:gridCol w:w="896"/>
      </w:tblGrid>
      <w:tr w:rsidR="001C27BF" w:rsidRPr="001C27BF" w14:paraId="7C7670EC" w14:textId="77777777" w:rsidTr="001C27BF">
        <w:trPr>
          <w:trHeight w:val="229"/>
        </w:trPr>
        <w:tc>
          <w:tcPr>
            <w:tcW w:w="2916" w:type="dxa"/>
            <w:tcBorders>
              <w:top w:val="single" w:sz="4" w:space="0" w:color="auto"/>
              <w:left w:val="nil"/>
              <w:bottom w:val="nil"/>
              <w:right w:val="nil"/>
            </w:tcBorders>
            <w:shd w:val="clear" w:color="auto" w:fill="auto"/>
            <w:noWrap/>
            <w:vAlign w:val="center"/>
            <w:hideMark/>
          </w:tcPr>
          <w:p w14:paraId="78E6BF90" w14:textId="77777777" w:rsidR="001C27BF" w:rsidRPr="001C27BF" w:rsidRDefault="001C27BF" w:rsidP="001C27BF">
            <w:pPr>
              <w:spacing w:after="0" w:line="240" w:lineRule="auto"/>
              <w:jc w:val="left"/>
              <w:rPr>
                <w:rFonts w:ascii="Arial" w:hAnsi="Arial" w:cs="Arial"/>
                <w:sz w:val="16"/>
                <w:szCs w:val="16"/>
              </w:rPr>
            </w:pPr>
            <w:r w:rsidRPr="001C27BF">
              <w:rPr>
                <w:rFonts w:ascii="Arial" w:hAnsi="Arial" w:cs="Arial"/>
                <w:sz w:val="16"/>
                <w:szCs w:val="16"/>
              </w:rPr>
              <w:t> </w:t>
            </w:r>
          </w:p>
        </w:tc>
        <w:tc>
          <w:tcPr>
            <w:tcW w:w="896" w:type="dxa"/>
            <w:tcBorders>
              <w:top w:val="single" w:sz="4" w:space="0" w:color="auto"/>
              <w:left w:val="nil"/>
              <w:bottom w:val="nil"/>
              <w:right w:val="nil"/>
            </w:tcBorders>
            <w:shd w:val="clear" w:color="auto" w:fill="auto"/>
            <w:noWrap/>
            <w:vAlign w:val="center"/>
            <w:hideMark/>
          </w:tcPr>
          <w:p w14:paraId="474FDE1D" w14:textId="77777777" w:rsidR="001C27BF" w:rsidRPr="001C27BF" w:rsidRDefault="001C27BF" w:rsidP="001C27BF">
            <w:pPr>
              <w:spacing w:after="0" w:line="240" w:lineRule="auto"/>
              <w:jc w:val="right"/>
              <w:rPr>
                <w:rFonts w:ascii="Arial" w:hAnsi="Arial" w:cs="Arial"/>
                <w:sz w:val="16"/>
                <w:szCs w:val="16"/>
              </w:rPr>
            </w:pPr>
            <w:r w:rsidRPr="001C27BF">
              <w:rPr>
                <w:rFonts w:ascii="Arial" w:hAnsi="Arial" w:cs="Arial"/>
                <w:sz w:val="16"/>
                <w:szCs w:val="16"/>
              </w:rPr>
              <w:t>2020-21</w:t>
            </w:r>
          </w:p>
        </w:tc>
        <w:tc>
          <w:tcPr>
            <w:tcW w:w="896" w:type="dxa"/>
            <w:tcBorders>
              <w:top w:val="single" w:sz="4" w:space="0" w:color="000000"/>
              <w:left w:val="nil"/>
              <w:bottom w:val="nil"/>
              <w:right w:val="nil"/>
            </w:tcBorders>
            <w:shd w:val="clear" w:color="000000" w:fill="E6E6E6"/>
            <w:noWrap/>
            <w:vAlign w:val="center"/>
            <w:hideMark/>
          </w:tcPr>
          <w:p w14:paraId="5E08E077" w14:textId="77777777" w:rsidR="001C27BF" w:rsidRPr="001C27BF" w:rsidRDefault="001C27BF" w:rsidP="001C27BF">
            <w:pPr>
              <w:spacing w:after="0" w:line="240" w:lineRule="auto"/>
              <w:jc w:val="right"/>
              <w:rPr>
                <w:rFonts w:ascii="Arial" w:hAnsi="Arial" w:cs="Arial"/>
                <w:sz w:val="16"/>
                <w:szCs w:val="16"/>
              </w:rPr>
            </w:pPr>
            <w:r w:rsidRPr="001C27BF">
              <w:rPr>
                <w:rFonts w:ascii="Arial" w:hAnsi="Arial" w:cs="Arial"/>
                <w:sz w:val="16"/>
                <w:szCs w:val="16"/>
              </w:rPr>
              <w:t>2021-22</w:t>
            </w:r>
          </w:p>
        </w:tc>
        <w:tc>
          <w:tcPr>
            <w:tcW w:w="896" w:type="dxa"/>
            <w:tcBorders>
              <w:top w:val="nil"/>
              <w:left w:val="nil"/>
              <w:bottom w:val="nil"/>
              <w:right w:val="nil"/>
            </w:tcBorders>
            <w:shd w:val="clear" w:color="auto" w:fill="auto"/>
            <w:noWrap/>
            <w:vAlign w:val="center"/>
            <w:hideMark/>
          </w:tcPr>
          <w:p w14:paraId="15981E95" w14:textId="77777777" w:rsidR="001C27BF" w:rsidRPr="001C27BF" w:rsidRDefault="001C27BF" w:rsidP="001C27BF">
            <w:pPr>
              <w:spacing w:after="0" w:line="240" w:lineRule="auto"/>
              <w:jc w:val="right"/>
              <w:rPr>
                <w:rFonts w:ascii="Arial" w:hAnsi="Arial" w:cs="Arial"/>
                <w:sz w:val="16"/>
                <w:szCs w:val="16"/>
              </w:rPr>
            </w:pPr>
          </w:p>
        </w:tc>
        <w:tc>
          <w:tcPr>
            <w:tcW w:w="896" w:type="dxa"/>
            <w:tcBorders>
              <w:top w:val="nil"/>
              <w:left w:val="nil"/>
              <w:bottom w:val="nil"/>
              <w:right w:val="nil"/>
            </w:tcBorders>
            <w:shd w:val="clear" w:color="auto" w:fill="auto"/>
            <w:noWrap/>
            <w:vAlign w:val="center"/>
            <w:hideMark/>
          </w:tcPr>
          <w:p w14:paraId="07D9FC72" w14:textId="77777777" w:rsidR="001C27BF" w:rsidRPr="001C27BF" w:rsidRDefault="001C27BF" w:rsidP="001C27BF">
            <w:pPr>
              <w:spacing w:after="0" w:line="240" w:lineRule="auto"/>
              <w:jc w:val="right"/>
              <w:rPr>
                <w:rFonts w:ascii="Times New Roman" w:hAnsi="Times New Roman"/>
              </w:rPr>
            </w:pPr>
          </w:p>
        </w:tc>
        <w:tc>
          <w:tcPr>
            <w:tcW w:w="896" w:type="dxa"/>
            <w:tcBorders>
              <w:top w:val="nil"/>
              <w:left w:val="nil"/>
              <w:bottom w:val="nil"/>
              <w:right w:val="nil"/>
            </w:tcBorders>
            <w:shd w:val="clear" w:color="auto" w:fill="auto"/>
            <w:noWrap/>
            <w:vAlign w:val="center"/>
            <w:hideMark/>
          </w:tcPr>
          <w:p w14:paraId="50B64B60" w14:textId="77777777" w:rsidR="001C27BF" w:rsidRPr="001C27BF" w:rsidRDefault="001C27BF" w:rsidP="001C27BF">
            <w:pPr>
              <w:spacing w:after="0" w:line="240" w:lineRule="auto"/>
              <w:jc w:val="right"/>
              <w:rPr>
                <w:rFonts w:ascii="Times New Roman" w:hAnsi="Times New Roman"/>
              </w:rPr>
            </w:pPr>
          </w:p>
        </w:tc>
      </w:tr>
      <w:tr w:rsidR="001C27BF" w:rsidRPr="001C27BF" w14:paraId="22510D61" w14:textId="77777777" w:rsidTr="001C27BF">
        <w:trPr>
          <w:trHeight w:val="204"/>
        </w:trPr>
        <w:tc>
          <w:tcPr>
            <w:tcW w:w="2916" w:type="dxa"/>
            <w:tcBorders>
              <w:top w:val="nil"/>
              <w:left w:val="nil"/>
              <w:bottom w:val="single" w:sz="4" w:space="0" w:color="auto"/>
              <w:right w:val="nil"/>
            </w:tcBorders>
            <w:shd w:val="clear" w:color="auto" w:fill="auto"/>
            <w:noWrap/>
            <w:vAlign w:val="center"/>
            <w:hideMark/>
          </w:tcPr>
          <w:p w14:paraId="66D6FFC6" w14:textId="77777777" w:rsidR="001C27BF" w:rsidRPr="001C27BF" w:rsidRDefault="001C27BF" w:rsidP="001C27BF">
            <w:pPr>
              <w:spacing w:after="0" w:line="240" w:lineRule="auto"/>
              <w:jc w:val="left"/>
              <w:rPr>
                <w:rFonts w:ascii="Arial" w:hAnsi="Arial" w:cs="Arial"/>
                <w:b/>
                <w:bCs/>
                <w:color w:val="000000"/>
                <w:sz w:val="16"/>
                <w:szCs w:val="16"/>
              </w:rPr>
            </w:pPr>
            <w:r w:rsidRPr="001C27BF">
              <w:rPr>
                <w:rFonts w:ascii="Arial" w:hAnsi="Arial" w:cs="Arial"/>
                <w:b/>
                <w:bCs/>
                <w:color w:val="000000"/>
                <w:sz w:val="16"/>
                <w:szCs w:val="16"/>
              </w:rPr>
              <w:t>Average staffing level (number)</w:t>
            </w:r>
          </w:p>
        </w:tc>
        <w:tc>
          <w:tcPr>
            <w:tcW w:w="896" w:type="dxa"/>
            <w:tcBorders>
              <w:top w:val="single" w:sz="4" w:space="0" w:color="000000"/>
              <w:left w:val="nil"/>
              <w:bottom w:val="single" w:sz="4" w:space="0" w:color="000000"/>
              <w:right w:val="nil"/>
            </w:tcBorders>
            <w:shd w:val="clear" w:color="auto" w:fill="auto"/>
            <w:noWrap/>
            <w:vAlign w:val="bottom"/>
            <w:hideMark/>
          </w:tcPr>
          <w:p w14:paraId="611F3A73" w14:textId="38DDF73A" w:rsidR="001C27BF" w:rsidRPr="001C27BF" w:rsidRDefault="001C27BF" w:rsidP="001C27BF">
            <w:pPr>
              <w:spacing w:after="0" w:line="240" w:lineRule="auto"/>
              <w:jc w:val="right"/>
              <w:rPr>
                <w:rFonts w:ascii="Arial" w:hAnsi="Arial" w:cs="Arial"/>
                <w:color w:val="000000"/>
                <w:sz w:val="16"/>
                <w:szCs w:val="16"/>
              </w:rPr>
            </w:pPr>
            <w:r w:rsidRPr="001C27BF">
              <w:rPr>
                <w:rFonts w:ascii="Arial" w:hAnsi="Arial" w:cs="Arial"/>
                <w:color w:val="000000"/>
                <w:sz w:val="16"/>
                <w:szCs w:val="16"/>
              </w:rPr>
              <w:t>164</w:t>
            </w:r>
          </w:p>
        </w:tc>
        <w:tc>
          <w:tcPr>
            <w:tcW w:w="896" w:type="dxa"/>
            <w:tcBorders>
              <w:top w:val="single" w:sz="4" w:space="0" w:color="000000"/>
              <w:left w:val="nil"/>
              <w:bottom w:val="single" w:sz="4" w:space="0" w:color="000000"/>
              <w:right w:val="nil"/>
            </w:tcBorders>
            <w:shd w:val="clear" w:color="000000" w:fill="E6E6E6"/>
            <w:noWrap/>
            <w:vAlign w:val="bottom"/>
            <w:hideMark/>
          </w:tcPr>
          <w:p w14:paraId="061240B9" w14:textId="36624935" w:rsidR="001C27BF" w:rsidRPr="001C27BF" w:rsidRDefault="001C27BF" w:rsidP="001C27BF">
            <w:pPr>
              <w:spacing w:after="0" w:line="240" w:lineRule="auto"/>
              <w:jc w:val="right"/>
              <w:rPr>
                <w:rFonts w:ascii="Arial" w:hAnsi="Arial" w:cs="Arial"/>
                <w:color w:val="000000"/>
                <w:sz w:val="16"/>
                <w:szCs w:val="16"/>
              </w:rPr>
            </w:pPr>
            <w:r w:rsidRPr="001C27BF">
              <w:rPr>
                <w:rFonts w:ascii="Arial" w:hAnsi="Arial" w:cs="Arial"/>
                <w:color w:val="000000"/>
                <w:sz w:val="16"/>
                <w:szCs w:val="16"/>
              </w:rPr>
              <w:t>174</w:t>
            </w:r>
          </w:p>
        </w:tc>
        <w:tc>
          <w:tcPr>
            <w:tcW w:w="896" w:type="dxa"/>
            <w:tcBorders>
              <w:top w:val="nil"/>
              <w:left w:val="nil"/>
              <w:bottom w:val="nil"/>
              <w:right w:val="nil"/>
            </w:tcBorders>
            <w:shd w:val="clear" w:color="auto" w:fill="auto"/>
            <w:noWrap/>
            <w:vAlign w:val="bottom"/>
            <w:hideMark/>
          </w:tcPr>
          <w:p w14:paraId="05499EC0" w14:textId="77777777" w:rsidR="001C27BF" w:rsidRPr="001C27BF" w:rsidRDefault="001C27BF" w:rsidP="001C27BF">
            <w:pPr>
              <w:spacing w:after="0" w:line="240" w:lineRule="auto"/>
              <w:jc w:val="right"/>
              <w:rPr>
                <w:rFonts w:ascii="Arial" w:hAnsi="Arial" w:cs="Arial"/>
                <w:color w:val="000000"/>
                <w:sz w:val="16"/>
                <w:szCs w:val="16"/>
              </w:rPr>
            </w:pPr>
          </w:p>
        </w:tc>
        <w:tc>
          <w:tcPr>
            <w:tcW w:w="896" w:type="dxa"/>
            <w:tcBorders>
              <w:top w:val="nil"/>
              <w:left w:val="nil"/>
              <w:bottom w:val="nil"/>
              <w:right w:val="nil"/>
            </w:tcBorders>
            <w:shd w:val="clear" w:color="auto" w:fill="auto"/>
            <w:noWrap/>
            <w:vAlign w:val="bottom"/>
            <w:hideMark/>
          </w:tcPr>
          <w:p w14:paraId="745BDF4C" w14:textId="77777777" w:rsidR="001C27BF" w:rsidRPr="001C27BF" w:rsidRDefault="001C27BF" w:rsidP="001C27BF">
            <w:pPr>
              <w:spacing w:after="0" w:line="240" w:lineRule="auto"/>
              <w:jc w:val="right"/>
              <w:rPr>
                <w:rFonts w:ascii="Times New Roman" w:hAnsi="Times New Roman"/>
              </w:rPr>
            </w:pPr>
          </w:p>
        </w:tc>
        <w:tc>
          <w:tcPr>
            <w:tcW w:w="896" w:type="dxa"/>
            <w:tcBorders>
              <w:top w:val="nil"/>
              <w:left w:val="nil"/>
              <w:bottom w:val="nil"/>
              <w:right w:val="nil"/>
            </w:tcBorders>
            <w:shd w:val="clear" w:color="auto" w:fill="auto"/>
            <w:noWrap/>
            <w:vAlign w:val="bottom"/>
            <w:hideMark/>
          </w:tcPr>
          <w:p w14:paraId="0392659E" w14:textId="77777777" w:rsidR="001C27BF" w:rsidRPr="001C27BF" w:rsidRDefault="001C27BF" w:rsidP="001C27BF">
            <w:pPr>
              <w:spacing w:after="0" w:line="240" w:lineRule="auto"/>
              <w:jc w:val="right"/>
              <w:rPr>
                <w:rFonts w:ascii="Times New Roman" w:hAnsi="Times New Roman"/>
              </w:rPr>
            </w:pPr>
          </w:p>
        </w:tc>
      </w:tr>
    </w:tbl>
    <w:p w14:paraId="55FE2AC2" w14:textId="77777777" w:rsidR="00EB3F6D" w:rsidRPr="00B9139E" w:rsidRDefault="00EB3F6D" w:rsidP="0056206E">
      <w:pPr>
        <w:pStyle w:val="ListParagraph"/>
        <w:numPr>
          <w:ilvl w:val="0"/>
          <w:numId w:val="40"/>
        </w:numPr>
        <w:spacing w:before="60" w:after="0" w:line="240" w:lineRule="auto"/>
        <w:ind w:left="284" w:hanging="284"/>
        <w:rPr>
          <w:rFonts w:ascii="Arial" w:hAnsi="Arial" w:cs="Arial"/>
          <w:sz w:val="16"/>
          <w:szCs w:val="16"/>
        </w:rPr>
      </w:pPr>
      <w:r w:rsidRPr="00B9139E">
        <w:rPr>
          <w:rFonts w:ascii="Arial" w:hAnsi="Arial" w:cs="Arial"/>
          <w:sz w:val="16"/>
          <w:szCs w:val="16"/>
        </w:rPr>
        <w:t>Expenses not requiring appropriation in the Budget year reflect depreciation of heritage and cultural assets.</w:t>
      </w:r>
    </w:p>
    <w:p w14:paraId="5EA81D1B" w14:textId="11C3973A" w:rsidR="00FE5ED2" w:rsidRDefault="00FE5ED2" w:rsidP="008176BB">
      <w:pPr>
        <w:pStyle w:val="TableHeading"/>
        <w:spacing w:before="240"/>
        <w:rPr>
          <w:lang w:val="en-AU"/>
        </w:rPr>
      </w:pPr>
      <w:r w:rsidRPr="00B94E5D">
        <w:t xml:space="preserve">Performance criteria for Outcome </w:t>
      </w:r>
      <w:r w:rsidRPr="00B94E5D">
        <w:rPr>
          <w:lang w:val="en-US"/>
        </w:rPr>
        <w:t>1</w:t>
      </w:r>
    </w:p>
    <w:p w14:paraId="4FA274EF" w14:textId="4262D498" w:rsidR="00C211FF" w:rsidRDefault="00FE5ED2" w:rsidP="00BC44A7">
      <w:pPr>
        <w:pStyle w:val="TableGraphic"/>
        <w:jc w:val="left"/>
        <w:rPr>
          <w:i w:val="0"/>
          <w:color w:val="auto"/>
        </w:rPr>
      </w:pPr>
      <w:r w:rsidRPr="00C211FF">
        <w:rPr>
          <w:i w:val="0"/>
          <w:color w:val="auto"/>
        </w:rPr>
        <w:t xml:space="preserve"> </w:t>
      </w:r>
      <w:r w:rsidR="00216824" w:rsidRPr="00C211FF">
        <w:rPr>
          <w:i w:val="0"/>
          <w:color w:val="auto"/>
        </w:rPr>
        <w:t>There has been no change to the performance criteria for Outcome 1 resulting from the decisions made since 2021-22 Budget. The NFSA’s detailed performance criteria can be found in the 2021</w:t>
      </w:r>
      <w:r w:rsidR="00216824" w:rsidRPr="00C211FF">
        <w:rPr>
          <w:i w:val="0"/>
          <w:color w:val="auto"/>
        </w:rPr>
        <w:noBreakHyphen/>
        <w:t>22 Infrastructure, Transport, Regional Development and Communications PB Statements.</w:t>
      </w:r>
    </w:p>
    <w:p w14:paraId="64829505" w14:textId="77777777" w:rsidR="00C211FF" w:rsidRDefault="00C211FF">
      <w:pPr>
        <w:spacing w:after="0" w:line="240" w:lineRule="auto"/>
        <w:jc w:val="left"/>
      </w:pPr>
      <w:r>
        <w:rPr>
          <w:i/>
        </w:rPr>
        <w:br w:type="page"/>
      </w:r>
    </w:p>
    <w:p w14:paraId="42F80056" w14:textId="43902075" w:rsidR="00914885" w:rsidRPr="00E41681" w:rsidRDefault="00914885" w:rsidP="008176BB">
      <w:pPr>
        <w:pStyle w:val="Heading2-TOCNFSA"/>
      </w:pPr>
      <w:bookmarkStart w:id="492" w:name="_Toc92991327"/>
      <w:bookmarkStart w:id="493" w:name="_Toc93405249"/>
      <w:r w:rsidRPr="00E41681">
        <w:lastRenderedPageBreak/>
        <w:t>Section 3: Special account flows and budgeted financial statements</w:t>
      </w:r>
      <w:bookmarkEnd w:id="492"/>
      <w:bookmarkEnd w:id="493"/>
    </w:p>
    <w:p w14:paraId="46C453E7" w14:textId="56ED109E" w:rsidR="00A73688" w:rsidRDefault="00914885" w:rsidP="008176BB">
      <w:pPr>
        <w:pStyle w:val="Heading3NFSA"/>
      </w:pPr>
      <w:bookmarkStart w:id="494" w:name="_Toc92991328"/>
      <w:bookmarkStart w:id="495" w:name="_Toc93405250"/>
      <w:r w:rsidRPr="004D3E2B">
        <w:t>3.1</w:t>
      </w:r>
      <w:r w:rsidRPr="004D3E2B">
        <w:tab/>
      </w:r>
      <w:r w:rsidR="00A73688">
        <w:t>Special Account Flows</w:t>
      </w:r>
      <w:bookmarkEnd w:id="494"/>
      <w:bookmarkEnd w:id="495"/>
    </w:p>
    <w:p w14:paraId="5029C476" w14:textId="4F3C4F25" w:rsidR="00A73688" w:rsidRPr="00A73688" w:rsidRDefault="004E613D" w:rsidP="00A73688">
      <w:pPr>
        <w:rPr>
          <w:lang w:val="en-US"/>
        </w:rPr>
      </w:pPr>
      <w:r>
        <w:rPr>
          <w:lang w:val="en-US"/>
        </w:rPr>
        <w:t xml:space="preserve">The </w:t>
      </w:r>
      <w:r w:rsidR="00A73688">
        <w:rPr>
          <w:lang w:val="en-US"/>
        </w:rPr>
        <w:t>NFSA does not have any special accounts.</w:t>
      </w:r>
    </w:p>
    <w:p w14:paraId="3C9B6F81" w14:textId="686638EC" w:rsidR="00914885" w:rsidRDefault="00A73688" w:rsidP="008176BB">
      <w:pPr>
        <w:pStyle w:val="Heading3NFSA"/>
      </w:pPr>
      <w:bookmarkStart w:id="496" w:name="_Toc92991329"/>
      <w:bookmarkStart w:id="497" w:name="_Toc93405251"/>
      <w:r>
        <w:rPr>
          <w:lang w:val="en-US"/>
        </w:rPr>
        <w:t>3.2</w:t>
      </w:r>
      <w:r>
        <w:rPr>
          <w:lang w:val="en-US"/>
        </w:rPr>
        <w:tab/>
      </w:r>
      <w:r w:rsidR="00914885">
        <w:t>Budgeted financial statements</w:t>
      </w:r>
      <w:bookmarkEnd w:id="496"/>
      <w:bookmarkEnd w:id="497"/>
    </w:p>
    <w:p w14:paraId="321188F9" w14:textId="3DD28A03" w:rsidR="00914885" w:rsidRPr="004928FF" w:rsidRDefault="00914885" w:rsidP="00914885">
      <w:pPr>
        <w:pStyle w:val="Heading4"/>
      </w:pPr>
      <w:r w:rsidRPr="00EC73D1">
        <w:t>3.</w:t>
      </w:r>
      <w:r w:rsidR="00A73688">
        <w:rPr>
          <w:lang w:val="en-US"/>
        </w:rPr>
        <w:t>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5816A902" w14:textId="77777777" w:rsidR="00FE5ED2" w:rsidRPr="00036AF6" w:rsidRDefault="00FE5ED2" w:rsidP="00FE5ED2">
      <w:pPr>
        <w:spacing w:after="120"/>
        <w:jc w:val="left"/>
        <w:rPr>
          <w:b/>
        </w:rPr>
      </w:pPr>
      <w:r w:rsidRPr="00036AF6">
        <w:rPr>
          <w:b/>
        </w:rPr>
        <w:t>Comprehensive income statement</w:t>
      </w:r>
    </w:p>
    <w:p w14:paraId="785E89D7" w14:textId="77777777" w:rsidR="00FE5ED2" w:rsidRPr="00036AF6" w:rsidRDefault="00FE5ED2" w:rsidP="00FE5ED2">
      <w:pPr>
        <w:spacing w:after="120"/>
        <w:jc w:val="left"/>
      </w:pPr>
      <w:r w:rsidRPr="00036AF6">
        <w:t>Total income in 2021–22 is expected to be $3</w:t>
      </w:r>
      <w:r w:rsidRPr="00FA7665">
        <w:t>3.5</w:t>
      </w:r>
      <w:r w:rsidRPr="00036AF6">
        <w:t xml:space="preserve"> million, which includes $2</w:t>
      </w:r>
      <w:r w:rsidRPr="00FA7665">
        <w:t>8.0</w:t>
      </w:r>
      <w:r w:rsidRPr="00036AF6">
        <w:t xml:space="preserve"> million of revenue from Government, $2.7 million of own sourced revenue and $2.8 million of collection gains. </w:t>
      </w:r>
    </w:p>
    <w:p w14:paraId="5DDAEE52" w14:textId="07AEAA67" w:rsidR="00FE5ED2" w:rsidRPr="00036AF6" w:rsidRDefault="00FE5ED2" w:rsidP="00FE5ED2">
      <w:pPr>
        <w:spacing w:after="120"/>
        <w:jc w:val="left"/>
      </w:pPr>
      <w:r w:rsidRPr="00036AF6">
        <w:t>Total expenses for 2021-22 are estimated to be $3</w:t>
      </w:r>
      <w:r w:rsidRPr="00FA7665">
        <w:t>4.7</w:t>
      </w:r>
      <w:r w:rsidRPr="00036AF6">
        <w:t xml:space="preserve"> million, which is $</w:t>
      </w:r>
      <w:r w:rsidRPr="00FA7665">
        <w:t>5.5</w:t>
      </w:r>
      <w:r w:rsidRPr="00036AF6">
        <w:t xml:space="preserve"> million higher than the 2020-21 estimated actual. </w:t>
      </w:r>
      <w:r w:rsidRPr="00FA7665">
        <w:t>E</w:t>
      </w:r>
      <w:r w:rsidRPr="00036AF6">
        <w:t xml:space="preserve">mployee benefits have increased by </w:t>
      </w:r>
      <w:r w:rsidRPr="00FA7665">
        <w:t>$1.9</w:t>
      </w:r>
      <w:r w:rsidR="00782AFD">
        <w:t> </w:t>
      </w:r>
      <w:r w:rsidRPr="00FA7665">
        <w:t>m</w:t>
      </w:r>
      <w:r w:rsidR="00782AFD">
        <w:t>illion</w:t>
      </w:r>
      <w:r w:rsidRPr="00FA7665">
        <w:t xml:space="preserve"> ($0.7</w:t>
      </w:r>
      <w:r w:rsidR="00782AFD">
        <w:t> </w:t>
      </w:r>
      <w:r w:rsidRPr="00FA7665">
        <w:t>m</w:t>
      </w:r>
      <w:r w:rsidR="00782AFD">
        <w:t>illion</w:t>
      </w:r>
      <w:r w:rsidRPr="00FA7665">
        <w:t xml:space="preserve"> funded from the new measure)</w:t>
      </w:r>
      <w:r w:rsidRPr="00036AF6">
        <w:t xml:space="preserve">, supplier expenses have increased by </w:t>
      </w:r>
      <w:r w:rsidRPr="00FA7665">
        <w:t>$3.7</w:t>
      </w:r>
      <w:r w:rsidR="00782AFD">
        <w:t> </w:t>
      </w:r>
      <w:r w:rsidRPr="00FA7665">
        <w:t>m</w:t>
      </w:r>
      <w:r w:rsidR="00782AFD">
        <w:t>illion</w:t>
      </w:r>
      <w:r w:rsidRPr="00FA7665">
        <w:t xml:space="preserve"> ($2.2</w:t>
      </w:r>
      <w:r w:rsidR="00782AFD">
        <w:t> </w:t>
      </w:r>
      <w:r w:rsidRPr="00FA7665">
        <w:t>m</w:t>
      </w:r>
      <w:r w:rsidR="00782AFD">
        <w:t>illion</w:t>
      </w:r>
      <w:r w:rsidRPr="00FA7665">
        <w:t xml:space="preserve"> funded from the new measure)</w:t>
      </w:r>
      <w:r w:rsidRPr="00036AF6">
        <w:t>. Depreciation and amortisation expense is comparable to the 2020-21 estimated actual.</w:t>
      </w:r>
    </w:p>
    <w:p w14:paraId="32F5AB50" w14:textId="11189188" w:rsidR="00FE5ED2" w:rsidRPr="00036AF6" w:rsidRDefault="00FE5ED2" w:rsidP="00FE5ED2">
      <w:pPr>
        <w:spacing w:after="120"/>
        <w:jc w:val="left"/>
        <w:rPr>
          <w:b/>
        </w:rPr>
      </w:pPr>
      <w:r w:rsidRPr="00036AF6">
        <w:rPr>
          <w:b/>
        </w:rPr>
        <w:t xml:space="preserve">Budgeted </w:t>
      </w:r>
      <w:r w:rsidR="008863D9">
        <w:rPr>
          <w:b/>
        </w:rPr>
        <w:t>Department</w:t>
      </w:r>
      <w:r w:rsidRPr="00036AF6">
        <w:rPr>
          <w:b/>
        </w:rPr>
        <w:t>al balance sheet</w:t>
      </w:r>
    </w:p>
    <w:p w14:paraId="15B9E8A4" w14:textId="77777777" w:rsidR="00FE5ED2" w:rsidRPr="00036AF6" w:rsidRDefault="00FE5ED2" w:rsidP="00FE5ED2">
      <w:pPr>
        <w:spacing w:after="120"/>
        <w:jc w:val="left"/>
      </w:pPr>
      <w:r w:rsidRPr="00036AF6">
        <w:t>The NFSA’s net assets are budgeted to be $3</w:t>
      </w:r>
      <w:r w:rsidRPr="00FA7665">
        <w:t>75.9</w:t>
      </w:r>
      <w:r w:rsidRPr="00036AF6">
        <w:t xml:space="preserve"> million at 30 June 2022. This comprises mainly of the NFSA’s heritage and cultural collection. This is independently valued on a regular basis. Depreciation is also incurred on the collection and is determined based on estimated useful lives.</w:t>
      </w:r>
    </w:p>
    <w:p w14:paraId="181EA77C" w14:textId="10C06D77" w:rsidR="00FE5ED2" w:rsidRDefault="00FE5ED2" w:rsidP="00FE5ED2">
      <w:pPr>
        <w:spacing w:after="120"/>
        <w:jc w:val="left"/>
      </w:pPr>
      <w:r w:rsidRPr="00036AF6">
        <w:t>An equity injection of $0.8 million will be received in 2021-22 for investment in the collection</w:t>
      </w:r>
      <w:r w:rsidRPr="00FA7665">
        <w:t xml:space="preserve"> and a further equity injection of $3.5</w:t>
      </w:r>
      <w:r w:rsidR="00782AFD">
        <w:t> </w:t>
      </w:r>
      <w:r w:rsidRPr="00FA7665">
        <w:t>m</w:t>
      </w:r>
      <w:r w:rsidR="00782AFD">
        <w:t>illion</w:t>
      </w:r>
      <w:r w:rsidRPr="00FA7665">
        <w:t xml:space="preserve"> will be received from the new measure for investment in digital equipment and storage.</w:t>
      </w:r>
    </w:p>
    <w:p w14:paraId="15DDDFF7" w14:textId="60BB3DC8" w:rsidR="00E54430" w:rsidRDefault="00E54430">
      <w:pPr>
        <w:spacing w:after="0" w:line="240" w:lineRule="auto"/>
        <w:jc w:val="left"/>
      </w:pPr>
      <w:r>
        <w:br w:type="page"/>
      </w:r>
    </w:p>
    <w:p w14:paraId="244F6699" w14:textId="0A3C6793" w:rsidR="00914885" w:rsidRPr="004928FF" w:rsidRDefault="00FE5ED2" w:rsidP="00914885">
      <w:pPr>
        <w:pStyle w:val="Heading4"/>
      </w:pPr>
      <w:r>
        <w:lastRenderedPageBreak/>
        <w:t>3.</w:t>
      </w:r>
      <w:r w:rsidR="00DA5593">
        <w:rPr>
          <w:lang w:val="en-US"/>
        </w:rPr>
        <w:t>2</w:t>
      </w:r>
      <w:r w:rsidR="00914885" w:rsidRPr="00EC73D1">
        <w:t>.2</w:t>
      </w:r>
      <w:r w:rsidR="00914885">
        <w:tab/>
      </w:r>
      <w:r w:rsidR="00914885" w:rsidRPr="004928FF">
        <w:t xml:space="preserve">Budgeted </w:t>
      </w:r>
      <w:r w:rsidR="00914885">
        <w:t>f</w:t>
      </w:r>
      <w:r w:rsidR="00914885" w:rsidRPr="004928FF">
        <w:t xml:space="preserve">inancial </w:t>
      </w:r>
      <w:r w:rsidR="00914885">
        <w:t>s</w:t>
      </w:r>
      <w:r w:rsidR="00914885" w:rsidRPr="004928FF">
        <w:t>tatements</w:t>
      </w:r>
    </w:p>
    <w:p w14:paraId="62DFCBF3" w14:textId="77777777" w:rsidR="00FE5ED2" w:rsidRDefault="00FE5ED2" w:rsidP="00FE5ED2">
      <w:pPr>
        <w:pStyle w:val="TableHeading"/>
        <w:rPr>
          <w:snapToGrid w:val="0"/>
        </w:rPr>
      </w:pPr>
      <w:r w:rsidRPr="00E855E0">
        <w:t>Table</w:t>
      </w:r>
      <w:r>
        <w:t xml:space="preserve"> 3.2:</w:t>
      </w:r>
      <w:r w:rsidRPr="00E855E0">
        <w:t xml:space="preserve"> Comprehensive income statement (showing net cost of services)</w:t>
      </w:r>
      <w:r>
        <w:t xml:space="preserve"> </w:t>
      </w:r>
      <w:r>
        <w:rPr>
          <w:snapToGrid w:val="0"/>
        </w:rPr>
        <w:t>for the period ended 30 June</w:t>
      </w:r>
    </w:p>
    <w:tbl>
      <w:tblPr>
        <w:tblW w:w="7272" w:type="dxa"/>
        <w:tblLook w:val="04A0" w:firstRow="1" w:lastRow="0" w:firstColumn="1" w:lastColumn="0" w:noHBand="0" w:noVBand="1"/>
      </w:tblPr>
      <w:tblGrid>
        <w:gridCol w:w="3176"/>
        <w:gridCol w:w="816"/>
        <w:gridCol w:w="817"/>
        <w:gridCol w:w="821"/>
        <w:gridCol w:w="821"/>
        <w:gridCol w:w="821"/>
      </w:tblGrid>
      <w:tr w:rsidR="00FE5ED2" w:rsidRPr="00466A28" w14:paraId="3EFF150C" w14:textId="77777777" w:rsidTr="002738A9">
        <w:trPr>
          <w:trHeight w:val="153"/>
        </w:trPr>
        <w:tc>
          <w:tcPr>
            <w:tcW w:w="3176" w:type="dxa"/>
            <w:tcBorders>
              <w:top w:val="single" w:sz="4" w:space="0" w:color="auto"/>
              <w:left w:val="nil"/>
              <w:bottom w:val="nil"/>
              <w:right w:val="nil"/>
            </w:tcBorders>
            <w:shd w:val="clear" w:color="auto" w:fill="auto"/>
            <w:noWrap/>
            <w:hideMark/>
          </w:tcPr>
          <w:p w14:paraId="1B7389C5" w14:textId="164173C6" w:rsidR="00FE5ED2" w:rsidRPr="00466A28" w:rsidRDefault="00FE5ED2" w:rsidP="00FE5ED2">
            <w:pPr>
              <w:spacing w:after="0" w:line="240" w:lineRule="auto"/>
              <w:jc w:val="left"/>
              <w:rPr>
                <w:rFonts w:ascii="Arial" w:hAnsi="Arial" w:cs="Arial"/>
                <w:b/>
                <w:bCs/>
                <w:sz w:val="16"/>
                <w:szCs w:val="16"/>
              </w:rPr>
            </w:pPr>
            <w:r w:rsidRPr="00D52088">
              <w:rPr>
                <w:noProof/>
              </w:rPr>
              <w:t xml:space="preserve"> </w:t>
            </w:r>
            <w:r w:rsidRPr="00466A28">
              <w:rPr>
                <w:rFonts w:ascii="Arial" w:hAnsi="Arial" w:cs="Arial"/>
                <w:b/>
                <w:bCs/>
                <w:sz w:val="16"/>
                <w:szCs w:val="16"/>
              </w:rPr>
              <w:t> </w:t>
            </w:r>
          </w:p>
        </w:tc>
        <w:tc>
          <w:tcPr>
            <w:tcW w:w="816" w:type="dxa"/>
            <w:tcBorders>
              <w:top w:val="single" w:sz="4" w:space="0" w:color="auto"/>
              <w:left w:val="nil"/>
              <w:bottom w:val="single" w:sz="4" w:space="0" w:color="auto"/>
              <w:right w:val="nil"/>
            </w:tcBorders>
            <w:shd w:val="clear" w:color="auto" w:fill="auto"/>
            <w:hideMark/>
          </w:tcPr>
          <w:p w14:paraId="3A791D4A" w14:textId="77777777" w:rsidR="00FE5ED2" w:rsidRPr="00466A28" w:rsidRDefault="00FE5ED2" w:rsidP="00FE5ED2">
            <w:pPr>
              <w:spacing w:after="0" w:line="240" w:lineRule="auto"/>
              <w:jc w:val="right"/>
              <w:rPr>
                <w:rFonts w:ascii="Arial" w:hAnsi="Arial" w:cs="Arial"/>
                <w:sz w:val="16"/>
                <w:szCs w:val="16"/>
              </w:rPr>
            </w:pPr>
            <w:r w:rsidRPr="00466A28">
              <w:rPr>
                <w:rFonts w:ascii="Arial" w:hAnsi="Arial" w:cs="Arial"/>
                <w:sz w:val="16"/>
                <w:szCs w:val="16"/>
              </w:rPr>
              <w:t>2020-21 Actual</w:t>
            </w:r>
            <w:r w:rsidRPr="00466A28">
              <w:rPr>
                <w:rFonts w:ascii="Arial" w:hAnsi="Arial" w:cs="Arial"/>
                <w:sz w:val="16"/>
                <w:szCs w:val="16"/>
              </w:rPr>
              <w:br/>
            </w:r>
            <w:r w:rsidRPr="00466A28">
              <w:rPr>
                <w:rFonts w:ascii="Arial" w:hAnsi="Arial" w:cs="Arial"/>
                <w:sz w:val="16"/>
                <w:szCs w:val="16"/>
              </w:rPr>
              <w:br/>
              <w:t>$'000</w:t>
            </w:r>
          </w:p>
        </w:tc>
        <w:tc>
          <w:tcPr>
            <w:tcW w:w="817" w:type="dxa"/>
            <w:tcBorders>
              <w:top w:val="single" w:sz="4" w:space="0" w:color="auto"/>
              <w:left w:val="nil"/>
              <w:bottom w:val="single" w:sz="4" w:space="0" w:color="auto"/>
              <w:right w:val="nil"/>
            </w:tcBorders>
            <w:shd w:val="clear" w:color="000000" w:fill="E6E6E6"/>
            <w:hideMark/>
          </w:tcPr>
          <w:p w14:paraId="536567BD" w14:textId="77777777" w:rsidR="00FE5ED2" w:rsidRPr="00466A28" w:rsidRDefault="00FE5ED2" w:rsidP="00FE5ED2">
            <w:pPr>
              <w:spacing w:after="0" w:line="240" w:lineRule="auto"/>
              <w:jc w:val="right"/>
              <w:rPr>
                <w:rFonts w:ascii="Arial" w:hAnsi="Arial" w:cs="Arial"/>
                <w:sz w:val="16"/>
                <w:szCs w:val="16"/>
              </w:rPr>
            </w:pPr>
            <w:r w:rsidRPr="00466A28">
              <w:rPr>
                <w:rFonts w:ascii="Arial" w:hAnsi="Arial" w:cs="Arial"/>
                <w:sz w:val="16"/>
                <w:szCs w:val="16"/>
              </w:rPr>
              <w:t>2021-22</w:t>
            </w:r>
            <w:r w:rsidRPr="00466A28">
              <w:rPr>
                <w:rFonts w:ascii="Arial" w:hAnsi="Arial" w:cs="Arial"/>
                <w:sz w:val="16"/>
                <w:szCs w:val="16"/>
              </w:rPr>
              <w:br/>
              <w:t>Revised Budget</w:t>
            </w:r>
            <w:r w:rsidRPr="00466A28">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74499EEA" w14:textId="77777777" w:rsidR="00FE5ED2" w:rsidRPr="00466A28" w:rsidRDefault="00FE5ED2" w:rsidP="00FE5ED2">
            <w:pPr>
              <w:spacing w:after="0" w:line="240" w:lineRule="auto"/>
              <w:jc w:val="right"/>
              <w:rPr>
                <w:rFonts w:ascii="Arial" w:hAnsi="Arial" w:cs="Arial"/>
                <w:sz w:val="16"/>
                <w:szCs w:val="16"/>
              </w:rPr>
            </w:pPr>
            <w:r w:rsidRPr="00466A28">
              <w:rPr>
                <w:rFonts w:ascii="Arial" w:hAnsi="Arial" w:cs="Arial"/>
                <w:sz w:val="16"/>
                <w:szCs w:val="16"/>
              </w:rPr>
              <w:t>2022-23 Forward estimate</w:t>
            </w:r>
            <w:r w:rsidRPr="00466A28">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47626E5E" w14:textId="77777777" w:rsidR="00FE5ED2" w:rsidRPr="00466A28" w:rsidRDefault="00FE5ED2" w:rsidP="00FE5ED2">
            <w:pPr>
              <w:spacing w:after="0" w:line="240" w:lineRule="auto"/>
              <w:jc w:val="right"/>
              <w:rPr>
                <w:rFonts w:ascii="Arial" w:hAnsi="Arial" w:cs="Arial"/>
                <w:sz w:val="16"/>
                <w:szCs w:val="16"/>
              </w:rPr>
            </w:pPr>
            <w:r w:rsidRPr="00466A28">
              <w:rPr>
                <w:rFonts w:ascii="Arial" w:hAnsi="Arial" w:cs="Arial"/>
                <w:sz w:val="16"/>
                <w:szCs w:val="16"/>
              </w:rPr>
              <w:t>2023-24 Forward estimate</w:t>
            </w:r>
            <w:r w:rsidRPr="00466A28">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2630F3A0" w14:textId="77777777" w:rsidR="00FE5ED2" w:rsidRPr="00466A28" w:rsidRDefault="00FE5ED2" w:rsidP="00FE5ED2">
            <w:pPr>
              <w:spacing w:after="0" w:line="240" w:lineRule="auto"/>
              <w:jc w:val="right"/>
              <w:rPr>
                <w:rFonts w:ascii="Arial" w:hAnsi="Arial" w:cs="Arial"/>
                <w:sz w:val="16"/>
                <w:szCs w:val="16"/>
              </w:rPr>
            </w:pPr>
            <w:r w:rsidRPr="00466A28">
              <w:rPr>
                <w:rFonts w:ascii="Arial" w:hAnsi="Arial" w:cs="Arial"/>
                <w:sz w:val="16"/>
                <w:szCs w:val="16"/>
              </w:rPr>
              <w:t>2024-25</w:t>
            </w:r>
            <w:r w:rsidRPr="00466A28">
              <w:rPr>
                <w:rFonts w:ascii="Arial" w:hAnsi="Arial" w:cs="Arial"/>
                <w:sz w:val="16"/>
                <w:szCs w:val="16"/>
              </w:rPr>
              <w:br/>
              <w:t>Forward estimate</w:t>
            </w:r>
            <w:r w:rsidRPr="00466A28">
              <w:rPr>
                <w:rFonts w:ascii="Arial" w:hAnsi="Arial" w:cs="Arial"/>
                <w:sz w:val="16"/>
                <w:szCs w:val="16"/>
              </w:rPr>
              <w:br/>
              <w:t>$'000</w:t>
            </w:r>
          </w:p>
        </w:tc>
      </w:tr>
      <w:tr w:rsidR="00FE5ED2" w:rsidRPr="00466A28" w14:paraId="1ED93FBF" w14:textId="77777777" w:rsidTr="00A62C0C">
        <w:trPr>
          <w:trHeight w:val="204"/>
        </w:trPr>
        <w:tc>
          <w:tcPr>
            <w:tcW w:w="3176" w:type="dxa"/>
            <w:tcBorders>
              <w:top w:val="nil"/>
              <w:left w:val="nil"/>
              <w:bottom w:val="nil"/>
              <w:right w:val="nil"/>
            </w:tcBorders>
            <w:shd w:val="clear" w:color="auto" w:fill="auto"/>
            <w:noWrap/>
            <w:vAlign w:val="bottom"/>
            <w:hideMark/>
          </w:tcPr>
          <w:p w14:paraId="5AD7319E" w14:textId="77777777" w:rsidR="00FE5ED2" w:rsidRPr="007203CA" w:rsidRDefault="00FE5ED2" w:rsidP="00FE5ED2">
            <w:pPr>
              <w:spacing w:after="0" w:line="240" w:lineRule="auto"/>
              <w:jc w:val="left"/>
              <w:rPr>
                <w:rFonts w:ascii="Arial" w:hAnsi="Arial" w:cs="Arial"/>
                <w:b/>
                <w:bCs/>
                <w:sz w:val="16"/>
                <w:szCs w:val="16"/>
              </w:rPr>
            </w:pPr>
            <w:r w:rsidRPr="007203CA">
              <w:rPr>
                <w:rFonts w:ascii="Arial" w:hAnsi="Arial" w:cs="Arial"/>
                <w:b/>
                <w:bCs/>
                <w:sz w:val="16"/>
                <w:szCs w:val="16"/>
              </w:rPr>
              <w:t>EXPENSES</w:t>
            </w:r>
          </w:p>
        </w:tc>
        <w:tc>
          <w:tcPr>
            <w:tcW w:w="816" w:type="dxa"/>
            <w:tcBorders>
              <w:top w:val="nil"/>
              <w:left w:val="nil"/>
              <w:bottom w:val="nil"/>
              <w:right w:val="nil"/>
            </w:tcBorders>
            <w:shd w:val="clear" w:color="auto" w:fill="auto"/>
            <w:noWrap/>
            <w:vAlign w:val="bottom"/>
            <w:hideMark/>
          </w:tcPr>
          <w:p w14:paraId="0C976673" w14:textId="77777777" w:rsidR="00FE5ED2" w:rsidRPr="007203CA" w:rsidRDefault="00FE5ED2" w:rsidP="00FE5ED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2741FA68" w14:textId="33BEB8F9" w:rsidR="00FE5ED2" w:rsidRPr="007203CA" w:rsidRDefault="00FE5ED2" w:rsidP="00FE5ED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29303D34" w14:textId="77777777" w:rsidR="00FE5ED2" w:rsidRPr="007203CA" w:rsidRDefault="00FE5ED2" w:rsidP="00FE5ED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3AA8AA10" w14:textId="77777777" w:rsidR="00FE5ED2" w:rsidRPr="007203CA" w:rsidRDefault="00FE5ED2" w:rsidP="00FE5ED2">
            <w:pPr>
              <w:spacing w:after="0" w:line="240" w:lineRule="auto"/>
              <w:jc w:val="right"/>
              <w:rPr>
                <w:rFonts w:ascii="Times New Roman" w:hAnsi="Times New Roman"/>
                <w:sz w:val="16"/>
                <w:szCs w:val="16"/>
              </w:rPr>
            </w:pPr>
          </w:p>
        </w:tc>
        <w:tc>
          <w:tcPr>
            <w:tcW w:w="821" w:type="dxa"/>
            <w:tcBorders>
              <w:top w:val="nil"/>
              <w:left w:val="nil"/>
              <w:bottom w:val="nil"/>
              <w:right w:val="nil"/>
            </w:tcBorders>
            <w:shd w:val="clear" w:color="auto" w:fill="auto"/>
            <w:noWrap/>
            <w:vAlign w:val="bottom"/>
            <w:hideMark/>
          </w:tcPr>
          <w:p w14:paraId="73910E29" w14:textId="77777777" w:rsidR="00FE5ED2" w:rsidRPr="007203CA" w:rsidRDefault="00FE5ED2" w:rsidP="00FE5ED2">
            <w:pPr>
              <w:spacing w:after="0" w:line="240" w:lineRule="auto"/>
              <w:jc w:val="right"/>
              <w:rPr>
                <w:rFonts w:ascii="Times New Roman" w:hAnsi="Times New Roman"/>
                <w:sz w:val="16"/>
                <w:szCs w:val="16"/>
              </w:rPr>
            </w:pPr>
          </w:p>
        </w:tc>
      </w:tr>
      <w:tr w:rsidR="00FE5ED2" w:rsidRPr="00466A28" w14:paraId="215F5ED8" w14:textId="77777777" w:rsidTr="00A62C0C">
        <w:trPr>
          <w:trHeight w:val="204"/>
        </w:trPr>
        <w:tc>
          <w:tcPr>
            <w:tcW w:w="3176" w:type="dxa"/>
            <w:tcBorders>
              <w:top w:val="nil"/>
              <w:left w:val="nil"/>
              <w:bottom w:val="nil"/>
              <w:right w:val="nil"/>
            </w:tcBorders>
            <w:shd w:val="clear" w:color="auto" w:fill="auto"/>
            <w:noWrap/>
            <w:vAlign w:val="bottom"/>
            <w:hideMark/>
          </w:tcPr>
          <w:p w14:paraId="0F6F37D0"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Employee benefits</w:t>
            </w:r>
          </w:p>
        </w:tc>
        <w:tc>
          <w:tcPr>
            <w:tcW w:w="816" w:type="dxa"/>
            <w:tcBorders>
              <w:top w:val="nil"/>
              <w:left w:val="nil"/>
              <w:bottom w:val="nil"/>
              <w:right w:val="nil"/>
            </w:tcBorders>
            <w:shd w:val="clear" w:color="auto" w:fill="auto"/>
            <w:noWrap/>
            <w:vAlign w:val="bottom"/>
            <w:hideMark/>
          </w:tcPr>
          <w:p w14:paraId="38BCED98" w14:textId="36CAFE7A"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15,816</w:t>
            </w:r>
          </w:p>
        </w:tc>
        <w:tc>
          <w:tcPr>
            <w:tcW w:w="817" w:type="dxa"/>
            <w:tcBorders>
              <w:top w:val="nil"/>
              <w:left w:val="nil"/>
              <w:bottom w:val="nil"/>
              <w:right w:val="nil"/>
            </w:tcBorders>
            <w:shd w:val="clear" w:color="000000" w:fill="E6E6E6"/>
            <w:noWrap/>
            <w:vAlign w:val="bottom"/>
            <w:hideMark/>
          </w:tcPr>
          <w:p w14:paraId="42F3C18D" w14:textId="249155E1" w:rsidR="00FE5ED2" w:rsidRPr="007203CA" w:rsidRDefault="00FE5ED2" w:rsidP="00FE5ED2">
            <w:pPr>
              <w:spacing w:after="0" w:line="240" w:lineRule="auto"/>
              <w:jc w:val="right"/>
              <w:rPr>
                <w:rFonts w:ascii="Arial" w:hAnsi="Arial" w:cs="Arial"/>
                <w:bCs/>
                <w:sz w:val="16"/>
                <w:szCs w:val="16"/>
              </w:rPr>
            </w:pPr>
            <w:r w:rsidRPr="007203CA">
              <w:rPr>
                <w:rFonts w:ascii="Arial" w:hAnsi="Arial" w:cs="Arial"/>
                <w:bCs/>
                <w:sz w:val="16"/>
                <w:szCs w:val="16"/>
              </w:rPr>
              <w:t>17,718</w:t>
            </w:r>
          </w:p>
        </w:tc>
        <w:tc>
          <w:tcPr>
            <w:tcW w:w="821" w:type="dxa"/>
            <w:tcBorders>
              <w:top w:val="nil"/>
              <w:left w:val="nil"/>
              <w:bottom w:val="nil"/>
              <w:right w:val="nil"/>
            </w:tcBorders>
            <w:shd w:val="clear" w:color="auto" w:fill="auto"/>
            <w:noWrap/>
            <w:vAlign w:val="bottom"/>
            <w:hideMark/>
          </w:tcPr>
          <w:p w14:paraId="1C551631" w14:textId="76985E1E"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18,459</w:t>
            </w:r>
          </w:p>
        </w:tc>
        <w:tc>
          <w:tcPr>
            <w:tcW w:w="821" w:type="dxa"/>
            <w:tcBorders>
              <w:top w:val="nil"/>
              <w:left w:val="nil"/>
              <w:bottom w:val="nil"/>
              <w:right w:val="nil"/>
            </w:tcBorders>
            <w:shd w:val="clear" w:color="auto" w:fill="auto"/>
            <w:noWrap/>
            <w:vAlign w:val="bottom"/>
            <w:hideMark/>
          </w:tcPr>
          <w:p w14:paraId="074112B9" w14:textId="4E5FACBE"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18,769</w:t>
            </w:r>
          </w:p>
        </w:tc>
        <w:tc>
          <w:tcPr>
            <w:tcW w:w="821" w:type="dxa"/>
            <w:tcBorders>
              <w:top w:val="nil"/>
              <w:left w:val="nil"/>
              <w:bottom w:val="nil"/>
              <w:right w:val="nil"/>
            </w:tcBorders>
            <w:shd w:val="clear" w:color="auto" w:fill="auto"/>
            <w:noWrap/>
            <w:vAlign w:val="bottom"/>
            <w:hideMark/>
          </w:tcPr>
          <w:p w14:paraId="6677EA2B" w14:textId="4772DB00"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18,392</w:t>
            </w:r>
          </w:p>
        </w:tc>
      </w:tr>
      <w:tr w:rsidR="00FE5ED2" w:rsidRPr="00466A28" w14:paraId="26DDA853" w14:textId="77777777" w:rsidTr="00A62C0C">
        <w:trPr>
          <w:trHeight w:val="204"/>
        </w:trPr>
        <w:tc>
          <w:tcPr>
            <w:tcW w:w="3176" w:type="dxa"/>
            <w:tcBorders>
              <w:top w:val="nil"/>
              <w:left w:val="nil"/>
              <w:bottom w:val="nil"/>
              <w:right w:val="nil"/>
            </w:tcBorders>
            <w:shd w:val="clear" w:color="auto" w:fill="auto"/>
            <w:noWrap/>
            <w:hideMark/>
          </w:tcPr>
          <w:p w14:paraId="62C65B89"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Suppliers</w:t>
            </w:r>
          </w:p>
        </w:tc>
        <w:tc>
          <w:tcPr>
            <w:tcW w:w="816" w:type="dxa"/>
            <w:tcBorders>
              <w:top w:val="nil"/>
              <w:left w:val="nil"/>
              <w:bottom w:val="nil"/>
              <w:right w:val="nil"/>
            </w:tcBorders>
            <w:shd w:val="clear" w:color="auto" w:fill="auto"/>
            <w:noWrap/>
            <w:vAlign w:val="bottom"/>
            <w:hideMark/>
          </w:tcPr>
          <w:p w14:paraId="6EB27327" w14:textId="1C487102"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7,178</w:t>
            </w:r>
          </w:p>
        </w:tc>
        <w:tc>
          <w:tcPr>
            <w:tcW w:w="817" w:type="dxa"/>
            <w:tcBorders>
              <w:top w:val="nil"/>
              <w:left w:val="nil"/>
              <w:bottom w:val="nil"/>
              <w:right w:val="nil"/>
            </w:tcBorders>
            <w:shd w:val="clear" w:color="000000" w:fill="E6E6E6"/>
            <w:noWrap/>
            <w:vAlign w:val="bottom"/>
            <w:hideMark/>
          </w:tcPr>
          <w:p w14:paraId="4EF89DF2" w14:textId="222423AF" w:rsidR="00FE5ED2" w:rsidRPr="007203CA" w:rsidRDefault="00FE5ED2" w:rsidP="00FE5ED2">
            <w:pPr>
              <w:spacing w:after="0" w:line="240" w:lineRule="auto"/>
              <w:jc w:val="right"/>
              <w:rPr>
                <w:rFonts w:ascii="Arial" w:hAnsi="Arial" w:cs="Arial"/>
                <w:bCs/>
                <w:sz w:val="16"/>
                <w:szCs w:val="16"/>
              </w:rPr>
            </w:pPr>
            <w:r w:rsidRPr="007203CA">
              <w:rPr>
                <w:rFonts w:ascii="Arial" w:hAnsi="Arial" w:cs="Arial"/>
                <w:bCs/>
                <w:sz w:val="16"/>
                <w:szCs w:val="16"/>
              </w:rPr>
              <w:t>10,831</w:t>
            </w:r>
          </w:p>
        </w:tc>
        <w:tc>
          <w:tcPr>
            <w:tcW w:w="821" w:type="dxa"/>
            <w:tcBorders>
              <w:top w:val="nil"/>
              <w:left w:val="nil"/>
              <w:bottom w:val="nil"/>
              <w:right w:val="nil"/>
            </w:tcBorders>
            <w:shd w:val="clear" w:color="auto" w:fill="auto"/>
            <w:noWrap/>
            <w:vAlign w:val="bottom"/>
            <w:hideMark/>
          </w:tcPr>
          <w:p w14:paraId="32D033A4" w14:textId="5F79AEC3"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11,887</w:t>
            </w:r>
          </w:p>
        </w:tc>
        <w:tc>
          <w:tcPr>
            <w:tcW w:w="821" w:type="dxa"/>
            <w:tcBorders>
              <w:top w:val="nil"/>
              <w:left w:val="nil"/>
              <w:bottom w:val="nil"/>
              <w:right w:val="nil"/>
            </w:tcBorders>
            <w:shd w:val="clear" w:color="auto" w:fill="auto"/>
            <w:noWrap/>
            <w:vAlign w:val="bottom"/>
            <w:hideMark/>
          </w:tcPr>
          <w:p w14:paraId="7859F58A" w14:textId="5A3265E6"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12,299</w:t>
            </w:r>
          </w:p>
        </w:tc>
        <w:tc>
          <w:tcPr>
            <w:tcW w:w="821" w:type="dxa"/>
            <w:tcBorders>
              <w:top w:val="nil"/>
              <w:left w:val="nil"/>
              <w:bottom w:val="nil"/>
              <w:right w:val="nil"/>
            </w:tcBorders>
            <w:shd w:val="clear" w:color="auto" w:fill="auto"/>
            <w:noWrap/>
            <w:vAlign w:val="bottom"/>
            <w:hideMark/>
          </w:tcPr>
          <w:p w14:paraId="2E2D9C9B" w14:textId="5A7C1A72"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12,127</w:t>
            </w:r>
          </w:p>
        </w:tc>
      </w:tr>
      <w:tr w:rsidR="00FE5ED2" w:rsidRPr="00466A28" w14:paraId="63F3DCFA" w14:textId="77777777" w:rsidTr="00A62C0C">
        <w:trPr>
          <w:trHeight w:val="204"/>
        </w:trPr>
        <w:tc>
          <w:tcPr>
            <w:tcW w:w="3176" w:type="dxa"/>
            <w:tcBorders>
              <w:top w:val="nil"/>
              <w:left w:val="nil"/>
              <w:bottom w:val="nil"/>
              <w:right w:val="nil"/>
            </w:tcBorders>
            <w:shd w:val="clear" w:color="auto" w:fill="auto"/>
            <w:noWrap/>
            <w:vAlign w:val="bottom"/>
            <w:hideMark/>
          </w:tcPr>
          <w:p w14:paraId="208F2C9B"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Depreciation and amortisation</w:t>
            </w:r>
          </w:p>
        </w:tc>
        <w:tc>
          <w:tcPr>
            <w:tcW w:w="816" w:type="dxa"/>
            <w:tcBorders>
              <w:top w:val="nil"/>
              <w:left w:val="nil"/>
              <w:bottom w:val="nil"/>
              <w:right w:val="nil"/>
            </w:tcBorders>
            <w:shd w:val="clear" w:color="auto" w:fill="auto"/>
            <w:noWrap/>
            <w:vAlign w:val="bottom"/>
            <w:hideMark/>
          </w:tcPr>
          <w:p w14:paraId="2FAEEF7B" w14:textId="660F64D9"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6,083</w:t>
            </w:r>
          </w:p>
        </w:tc>
        <w:tc>
          <w:tcPr>
            <w:tcW w:w="817" w:type="dxa"/>
            <w:tcBorders>
              <w:top w:val="nil"/>
              <w:left w:val="nil"/>
              <w:bottom w:val="nil"/>
              <w:right w:val="nil"/>
            </w:tcBorders>
            <w:shd w:val="clear" w:color="000000" w:fill="E6E6E6"/>
            <w:noWrap/>
            <w:vAlign w:val="bottom"/>
            <w:hideMark/>
          </w:tcPr>
          <w:p w14:paraId="65260BDC" w14:textId="779CC613" w:rsidR="00FE5ED2" w:rsidRPr="007203CA" w:rsidRDefault="00FE5ED2" w:rsidP="00FE5ED2">
            <w:pPr>
              <w:spacing w:after="0" w:line="240" w:lineRule="auto"/>
              <w:jc w:val="right"/>
              <w:rPr>
                <w:rFonts w:ascii="Arial" w:hAnsi="Arial" w:cs="Arial"/>
                <w:bCs/>
                <w:sz w:val="16"/>
                <w:szCs w:val="16"/>
              </w:rPr>
            </w:pPr>
            <w:r w:rsidRPr="007203CA">
              <w:rPr>
                <w:rFonts w:ascii="Arial" w:hAnsi="Arial" w:cs="Arial"/>
                <w:bCs/>
                <w:sz w:val="16"/>
                <w:szCs w:val="16"/>
              </w:rPr>
              <w:t>6,115</w:t>
            </w:r>
          </w:p>
        </w:tc>
        <w:tc>
          <w:tcPr>
            <w:tcW w:w="821" w:type="dxa"/>
            <w:tcBorders>
              <w:top w:val="nil"/>
              <w:left w:val="nil"/>
              <w:bottom w:val="nil"/>
              <w:right w:val="nil"/>
            </w:tcBorders>
            <w:shd w:val="clear" w:color="auto" w:fill="auto"/>
            <w:noWrap/>
            <w:vAlign w:val="bottom"/>
            <w:hideMark/>
          </w:tcPr>
          <w:p w14:paraId="7FA1F061" w14:textId="5467C0A9"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6,015</w:t>
            </w:r>
          </w:p>
        </w:tc>
        <w:tc>
          <w:tcPr>
            <w:tcW w:w="821" w:type="dxa"/>
            <w:tcBorders>
              <w:top w:val="nil"/>
              <w:left w:val="nil"/>
              <w:bottom w:val="nil"/>
              <w:right w:val="nil"/>
            </w:tcBorders>
            <w:shd w:val="clear" w:color="auto" w:fill="auto"/>
            <w:noWrap/>
            <w:vAlign w:val="bottom"/>
            <w:hideMark/>
          </w:tcPr>
          <w:p w14:paraId="028FA3F1" w14:textId="2B56F3AE"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5,985</w:t>
            </w:r>
          </w:p>
        </w:tc>
        <w:tc>
          <w:tcPr>
            <w:tcW w:w="821" w:type="dxa"/>
            <w:tcBorders>
              <w:top w:val="nil"/>
              <w:left w:val="nil"/>
              <w:bottom w:val="nil"/>
              <w:right w:val="nil"/>
            </w:tcBorders>
            <w:shd w:val="clear" w:color="auto" w:fill="auto"/>
            <w:noWrap/>
            <w:vAlign w:val="bottom"/>
            <w:hideMark/>
          </w:tcPr>
          <w:p w14:paraId="5B90FAD6" w14:textId="41CF1D59"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5,985</w:t>
            </w:r>
          </w:p>
        </w:tc>
      </w:tr>
      <w:tr w:rsidR="00FE5ED2" w:rsidRPr="00466A28" w14:paraId="607A2BD3" w14:textId="77777777" w:rsidTr="00A62C0C">
        <w:trPr>
          <w:trHeight w:val="204"/>
        </w:trPr>
        <w:tc>
          <w:tcPr>
            <w:tcW w:w="3176" w:type="dxa"/>
            <w:tcBorders>
              <w:top w:val="nil"/>
              <w:left w:val="nil"/>
              <w:bottom w:val="nil"/>
              <w:right w:val="nil"/>
            </w:tcBorders>
            <w:shd w:val="clear" w:color="auto" w:fill="auto"/>
            <w:noWrap/>
            <w:hideMark/>
          </w:tcPr>
          <w:p w14:paraId="1D714F9E"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Finance costs</w:t>
            </w:r>
          </w:p>
        </w:tc>
        <w:tc>
          <w:tcPr>
            <w:tcW w:w="816" w:type="dxa"/>
            <w:tcBorders>
              <w:top w:val="nil"/>
              <w:left w:val="nil"/>
              <w:bottom w:val="nil"/>
              <w:right w:val="nil"/>
            </w:tcBorders>
            <w:shd w:val="clear" w:color="auto" w:fill="auto"/>
            <w:noWrap/>
            <w:vAlign w:val="bottom"/>
            <w:hideMark/>
          </w:tcPr>
          <w:p w14:paraId="1F083059" w14:textId="41A5AF95"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96</w:t>
            </w:r>
          </w:p>
        </w:tc>
        <w:tc>
          <w:tcPr>
            <w:tcW w:w="817" w:type="dxa"/>
            <w:tcBorders>
              <w:top w:val="nil"/>
              <w:left w:val="nil"/>
              <w:bottom w:val="nil"/>
              <w:right w:val="nil"/>
            </w:tcBorders>
            <w:shd w:val="clear" w:color="000000" w:fill="E6E6E6"/>
            <w:noWrap/>
            <w:vAlign w:val="bottom"/>
            <w:hideMark/>
          </w:tcPr>
          <w:p w14:paraId="183398E8" w14:textId="0C4DAF37" w:rsidR="00FE5ED2" w:rsidRPr="007203CA" w:rsidRDefault="00FE5ED2" w:rsidP="00FE5ED2">
            <w:pPr>
              <w:spacing w:after="0" w:line="240" w:lineRule="auto"/>
              <w:jc w:val="right"/>
              <w:rPr>
                <w:rFonts w:ascii="Arial" w:hAnsi="Arial" w:cs="Arial"/>
                <w:bCs/>
                <w:sz w:val="16"/>
                <w:szCs w:val="16"/>
              </w:rPr>
            </w:pPr>
            <w:r w:rsidRPr="007203CA">
              <w:rPr>
                <w:rFonts w:ascii="Arial" w:hAnsi="Arial" w:cs="Arial"/>
                <w:bCs/>
                <w:sz w:val="16"/>
                <w:szCs w:val="16"/>
              </w:rPr>
              <w:t>40</w:t>
            </w:r>
          </w:p>
        </w:tc>
        <w:tc>
          <w:tcPr>
            <w:tcW w:w="821" w:type="dxa"/>
            <w:tcBorders>
              <w:top w:val="nil"/>
              <w:left w:val="nil"/>
              <w:bottom w:val="nil"/>
              <w:right w:val="nil"/>
            </w:tcBorders>
            <w:shd w:val="clear" w:color="auto" w:fill="auto"/>
            <w:noWrap/>
            <w:vAlign w:val="bottom"/>
            <w:hideMark/>
          </w:tcPr>
          <w:p w14:paraId="0E7DB634" w14:textId="1B477A6B"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40</w:t>
            </w:r>
          </w:p>
        </w:tc>
        <w:tc>
          <w:tcPr>
            <w:tcW w:w="821" w:type="dxa"/>
            <w:tcBorders>
              <w:top w:val="nil"/>
              <w:left w:val="nil"/>
              <w:bottom w:val="nil"/>
              <w:right w:val="nil"/>
            </w:tcBorders>
            <w:shd w:val="clear" w:color="auto" w:fill="auto"/>
            <w:noWrap/>
            <w:vAlign w:val="bottom"/>
            <w:hideMark/>
          </w:tcPr>
          <w:p w14:paraId="07C3AC08" w14:textId="20301F82"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40</w:t>
            </w:r>
          </w:p>
        </w:tc>
        <w:tc>
          <w:tcPr>
            <w:tcW w:w="821" w:type="dxa"/>
            <w:tcBorders>
              <w:top w:val="nil"/>
              <w:left w:val="nil"/>
              <w:bottom w:val="nil"/>
              <w:right w:val="nil"/>
            </w:tcBorders>
            <w:shd w:val="clear" w:color="auto" w:fill="auto"/>
            <w:noWrap/>
            <w:vAlign w:val="bottom"/>
            <w:hideMark/>
          </w:tcPr>
          <w:p w14:paraId="78AB58CA" w14:textId="71358063"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40</w:t>
            </w:r>
          </w:p>
        </w:tc>
      </w:tr>
      <w:tr w:rsidR="00FE5ED2" w:rsidRPr="00466A28" w14:paraId="469EEE65" w14:textId="77777777" w:rsidTr="00A62C0C">
        <w:trPr>
          <w:trHeight w:val="204"/>
        </w:trPr>
        <w:tc>
          <w:tcPr>
            <w:tcW w:w="3176" w:type="dxa"/>
            <w:tcBorders>
              <w:top w:val="nil"/>
              <w:left w:val="nil"/>
              <w:bottom w:val="nil"/>
              <w:right w:val="nil"/>
            </w:tcBorders>
            <w:shd w:val="clear" w:color="auto" w:fill="auto"/>
            <w:noWrap/>
            <w:vAlign w:val="bottom"/>
            <w:hideMark/>
          </w:tcPr>
          <w:p w14:paraId="49F033F7"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Other expenses</w:t>
            </w:r>
          </w:p>
        </w:tc>
        <w:tc>
          <w:tcPr>
            <w:tcW w:w="816" w:type="dxa"/>
            <w:tcBorders>
              <w:top w:val="nil"/>
              <w:left w:val="nil"/>
              <w:bottom w:val="nil"/>
              <w:right w:val="nil"/>
            </w:tcBorders>
            <w:shd w:val="clear" w:color="auto" w:fill="auto"/>
            <w:noWrap/>
            <w:vAlign w:val="bottom"/>
            <w:hideMark/>
          </w:tcPr>
          <w:p w14:paraId="1F065D4E" w14:textId="2C8B3EB7"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44</w:t>
            </w:r>
          </w:p>
        </w:tc>
        <w:tc>
          <w:tcPr>
            <w:tcW w:w="817" w:type="dxa"/>
            <w:tcBorders>
              <w:top w:val="nil"/>
              <w:left w:val="nil"/>
              <w:bottom w:val="nil"/>
              <w:right w:val="nil"/>
            </w:tcBorders>
            <w:shd w:val="clear" w:color="000000" w:fill="E6E6E6"/>
            <w:noWrap/>
            <w:vAlign w:val="bottom"/>
            <w:hideMark/>
          </w:tcPr>
          <w:p w14:paraId="52363341" w14:textId="74F1C9EB" w:rsidR="00FE5ED2" w:rsidRPr="007203CA" w:rsidRDefault="00FE5ED2" w:rsidP="00FE5ED2">
            <w:pPr>
              <w:spacing w:after="0" w:line="240" w:lineRule="auto"/>
              <w:jc w:val="right"/>
              <w:rPr>
                <w:rFonts w:ascii="Arial" w:hAnsi="Arial" w:cs="Arial"/>
                <w:bCs/>
                <w:sz w:val="16"/>
                <w:szCs w:val="16"/>
              </w:rPr>
            </w:pPr>
            <w:r w:rsidRPr="007203CA">
              <w:rPr>
                <w:rFonts w:ascii="Arial" w:hAnsi="Arial" w:cs="Arial"/>
                <w:bCs/>
                <w:sz w:val="16"/>
                <w:szCs w:val="16"/>
              </w:rPr>
              <w:t>-</w:t>
            </w:r>
          </w:p>
        </w:tc>
        <w:tc>
          <w:tcPr>
            <w:tcW w:w="821" w:type="dxa"/>
            <w:tcBorders>
              <w:top w:val="nil"/>
              <w:left w:val="nil"/>
              <w:bottom w:val="nil"/>
              <w:right w:val="nil"/>
            </w:tcBorders>
            <w:shd w:val="clear" w:color="auto" w:fill="auto"/>
            <w:noWrap/>
            <w:vAlign w:val="bottom"/>
            <w:hideMark/>
          </w:tcPr>
          <w:p w14:paraId="04592E1E" w14:textId="7ADC3B99" w:rsidR="00FE5ED2" w:rsidRPr="007203CA" w:rsidRDefault="00FE5ED2" w:rsidP="00FE5ED2">
            <w:pPr>
              <w:spacing w:after="0" w:line="240" w:lineRule="auto"/>
              <w:jc w:val="right"/>
              <w:rPr>
                <w:rFonts w:ascii="Arial" w:hAnsi="Arial" w:cs="Arial"/>
                <w:bCs/>
                <w:sz w:val="16"/>
                <w:szCs w:val="16"/>
              </w:rPr>
            </w:pPr>
            <w:r w:rsidRPr="007203CA">
              <w:rPr>
                <w:rFonts w:ascii="Arial" w:hAnsi="Arial" w:cs="Arial"/>
                <w:bCs/>
                <w:sz w:val="16"/>
                <w:szCs w:val="16"/>
              </w:rPr>
              <w:t>-</w:t>
            </w:r>
          </w:p>
        </w:tc>
        <w:tc>
          <w:tcPr>
            <w:tcW w:w="821" w:type="dxa"/>
            <w:tcBorders>
              <w:top w:val="nil"/>
              <w:left w:val="nil"/>
              <w:bottom w:val="nil"/>
              <w:right w:val="nil"/>
            </w:tcBorders>
            <w:shd w:val="clear" w:color="auto" w:fill="auto"/>
            <w:noWrap/>
            <w:vAlign w:val="bottom"/>
            <w:hideMark/>
          </w:tcPr>
          <w:p w14:paraId="6C4ADEC8" w14:textId="6DE746E7" w:rsidR="00FE5ED2" w:rsidRPr="007203CA" w:rsidRDefault="00FE5ED2" w:rsidP="00FE5ED2">
            <w:pPr>
              <w:spacing w:after="0" w:line="240" w:lineRule="auto"/>
              <w:jc w:val="right"/>
              <w:rPr>
                <w:rFonts w:ascii="Arial" w:hAnsi="Arial" w:cs="Arial"/>
                <w:bCs/>
                <w:sz w:val="16"/>
                <w:szCs w:val="16"/>
              </w:rPr>
            </w:pPr>
            <w:r w:rsidRPr="007203CA">
              <w:rPr>
                <w:rFonts w:ascii="Arial" w:hAnsi="Arial" w:cs="Arial"/>
                <w:bCs/>
                <w:sz w:val="16"/>
                <w:szCs w:val="16"/>
              </w:rPr>
              <w:t>-</w:t>
            </w:r>
          </w:p>
        </w:tc>
        <w:tc>
          <w:tcPr>
            <w:tcW w:w="821" w:type="dxa"/>
            <w:tcBorders>
              <w:top w:val="nil"/>
              <w:left w:val="nil"/>
              <w:bottom w:val="nil"/>
              <w:right w:val="nil"/>
            </w:tcBorders>
            <w:shd w:val="clear" w:color="auto" w:fill="auto"/>
            <w:noWrap/>
            <w:vAlign w:val="bottom"/>
            <w:hideMark/>
          </w:tcPr>
          <w:p w14:paraId="0F518D1B" w14:textId="5C980287" w:rsidR="00FE5ED2" w:rsidRPr="007203CA" w:rsidRDefault="00FE5ED2" w:rsidP="00FE5ED2">
            <w:pPr>
              <w:spacing w:after="0" w:line="240" w:lineRule="auto"/>
              <w:jc w:val="right"/>
              <w:rPr>
                <w:rFonts w:ascii="Arial" w:hAnsi="Arial" w:cs="Arial"/>
                <w:bCs/>
                <w:sz w:val="16"/>
                <w:szCs w:val="16"/>
              </w:rPr>
            </w:pPr>
            <w:r w:rsidRPr="007203CA">
              <w:rPr>
                <w:rFonts w:ascii="Arial" w:hAnsi="Arial" w:cs="Arial"/>
                <w:bCs/>
                <w:sz w:val="16"/>
                <w:szCs w:val="16"/>
              </w:rPr>
              <w:t>-</w:t>
            </w:r>
          </w:p>
        </w:tc>
      </w:tr>
      <w:tr w:rsidR="00FE5ED2" w:rsidRPr="00466A28" w14:paraId="5503E89E" w14:textId="77777777" w:rsidTr="00A62C0C">
        <w:trPr>
          <w:trHeight w:val="204"/>
        </w:trPr>
        <w:tc>
          <w:tcPr>
            <w:tcW w:w="3176" w:type="dxa"/>
            <w:tcBorders>
              <w:top w:val="nil"/>
              <w:left w:val="nil"/>
              <w:bottom w:val="nil"/>
              <w:right w:val="nil"/>
            </w:tcBorders>
            <w:shd w:val="clear" w:color="auto" w:fill="auto"/>
            <w:noWrap/>
            <w:hideMark/>
          </w:tcPr>
          <w:p w14:paraId="5A2C6B43" w14:textId="77777777" w:rsidR="00FE5ED2" w:rsidRPr="007203CA" w:rsidRDefault="00FE5ED2" w:rsidP="00FE5ED2">
            <w:pPr>
              <w:spacing w:after="0" w:line="240" w:lineRule="auto"/>
              <w:jc w:val="left"/>
              <w:rPr>
                <w:rFonts w:ascii="Arial" w:hAnsi="Arial" w:cs="Arial"/>
                <w:b/>
                <w:bCs/>
                <w:sz w:val="16"/>
                <w:szCs w:val="16"/>
              </w:rPr>
            </w:pPr>
            <w:r w:rsidRPr="007203CA">
              <w:rPr>
                <w:rFonts w:ascii="Arial" w:hAnsi="Arial" w:cs="Arial"/>
                <w:b/>
                <w:bCs/>
                <w:sz w:val="16"/>
                <w:szCs w:val="16"/>
              </w:rPr>
              <w:t>Total expenses</w:t>
            </w:r>
          </w:p>
        </w:tc>
        <w:tc>
          <w:tcPr>
            <w:tcW w:w="816" w:type="dxa"/>
            <w:tcBorders>
              <w:top w:val="single" w:sz="4" w:space="0" w:color="auto"/>
              <w:left w:val="nil"/>
              <w:bottom w:val="single" w:sz="4" w:space="0" w:color="auto"/>
              <w:right w:val="nil"/>
            </w:tcBorders>
            <w:shd w:val="clear" w:color="auto" w:fill="auto"/>
            <w:noWrap/>
            <w:vAlign w:val="bottom"/>
            <w:hideMark/>
          </w:tcPr>
          <w:p w14:paraId="751BC99F" w14:textId="4EA5E390"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29,217</w:t>
            </w:r>
          </w:p>
        </w:tc>
        <w:tc>
          <w:tcPr>
            <w:tcW w:w="817" w:type="dxa"/>
            <w:tcBorders>
              <w:top w:val="single" w:sz="4" w:space="0" w:color="auto"/>
              <w:left w:val="nil"/>
              <w:bottom w:val="single" w:sz="4" w:space="0" w:color="auto"/>
              <w:right w:val="nil"/>
            </w:tcBorders>
            <w:shd w:val="clear" w:color="000000" w:fill="E6E6E6"/>
            <w:noWrap/>
            <w:vAlign w:val="bottom"/>
            <w:hideMark/>
          </w:tcPr>
          <w:p w14:paraId="4612C243" w14:textId="4D17E214"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34,704</w:t>
            </w:r>
          </w:p>
        </w:tc>
        <w:tc>
          <w:tcPr>
            <w:tcW w:w="821" w:type="dxa"/>
            <w:tcBorders>
              <w:top w:val="single" w:sz="4" w:space="0" w:color="auto"/>
              <w:left w:val="nil"/>
              <w:bottom w:val="single" w:sz="4" w:space="0" w:color="auto"/>
              <w:right w:val="nil"/>
            </w:tcBorders>
            <w:shd w:val="clear" w:color="auto" w:fill="auto"/>
            <w:noWrap/>
            <w:vAlign w:val="bottom"/>
            <w:hideMark/>
          </w:tcPr>
          <w:p w14:paraId="58B35496" w14:textId="28490025"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36,401</w:t>
            </w:r>
          </w:p>
        </w:tc>
        <w:tc>
          <w:tcPr>
            <w:tcW w:w="821" w:type="dxa"/>
            <w:tcBorders>
              <w:top w:val="single" w:sz="4" w:space="0" w:color="auto"/>
              <w:left w:val="nil"/>
              <w:bottom w:val="single" w:sz="4" w:space="0" w:color="auto"/>
              <w:right w:val="nil"/>
            </w:tcBorders>
            <w:shd w:val="clear" w:color="auto" w:fill="auto"/>
            <w:noWrap/>
            <w:vAlign w:val="bottom"/>
            <w:hideMark/>
          </w:tcPr>
          <w:p w14:paraId="72C0ECEF" w14:textId="13974DFB"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37,093</w:t>
            </w:r>
          </w:p>
        </w:tc>
        <w:tc>
          <w:tcPr>
            <w:tcW w:w="821" w:type="dxa"/>
            <w:tcBorders>
              <w:top w:val="single" w:sz="4" w:space="0" w:color="auto"/>
              <w:left w:val="nil"/>
              <w:bottom w:val="single" w:sz="4" w:space="0" w:color="auto"/>
              <w:right w:val="nil"/>
            </w:tcBorders>
            <w:shd w:val="clear" w:color="auto" w:fill="auto"/>
            <w:noWrap/>
            <w:vAlign w:val="bottom"/>
            <w:hideMark/>
          </w:tcPr>
          <w:p w14:paraId="6E4E82FC" w14:textId="2E97550D"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36,544</w:t>
            </w:r>
          </w:p>
        </w:tc>
      </w:tr>
      <w:tr w:rsidR="00FE5ED2" w:rsidRPr="00466A28" w14:paraId="7A6561F0" w14:textId="77777777" w:rsidTr="00A62C0C">
        <w:trPr>
          <w:trHeight w:val="204"/>
        </w:trPr>
        <w:tc>
          <w:tcPr>
            <w:tcW w:w="3176" w:type="dxa"/>
            <w:tcBorders>
              <w:top w:val="nil"/>
              <w:left w:val="nil"/>
              <w:bottom w:val="nil"/>
              <w:right w:val="nil"/>
            </w:tcBorders>
            <w:shd w:val="clear" w:color="auto" w:fill="auto"/>
            <w:noWrap/>
            <w:vAlign w:val="bottom"/>
            <w:hideMark/>
          </w:tcPr>
          <w:p w14:paraId="11FFE4F8" w14:textId="77777777" w:rsidR="00FE5ED2" w:rsidRPr="007203CA" w:rsidRDefault="00FE5ED2" w:rsidP="00FE5ED2">
            <w:pPr>
              <w:spacing w:after="0" w:line="240" w:lineRule="auto"/>
              <w:jc w:val="left"/>
              <w:rPr>
                <w:rFonts w:ascii="Arial" w:hAnsi="Arial" w:cs="Arial"/>
                <w:b/>
                <w:bCs/>
                <w:sz w:val="16"/>
                <w:szCs w:val="16"/>
              </w:rPr>
            </w:pPr>
            <w:r w:rsidRPr="007203CA">
              <w:rPr>
                <w:rFonts w:ascii="Arial" w:hAnsi="Arial" w:cs="Arial"/>
                <w:b/>
                <w:bCs/>
                <w:sz w:val="16"/>
                <w:szCs w:val="16"/>
              </w:rPr>
              <w:t xml:space="preserve">LESS: </w:t>
            </w:r>
          </w:p>
        </w:tc>
        <w:tc>
          <w:tcPr>
            <w:tcW w:w="816" w:type="dxa"/>
            <w:tcBorders>
              <w:top w:val="nil"/>
              <w:left w:val="nil"/>
              <w:bottom w:val="nil"/>
              <w:right w:val="nil"/>
            </w:tcBorders>
            <w:shd w:val="clear" w:color="auto" w:fill="auto"/>
            <w:noWrap/>
            <w:vAlign w:val="bottom"/>
            <w:hideMark/>
          </w:tcPr>
          <w:p w14:paraId="20FFC354" w14:textId="77777777" w:rsidR="00FE5ED2" w:rsidRPr="007203CA" w:rsidRDefault="00FE5ED2" w:rsidP="00FE5ED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0EF54110" w14:textId="7EA69668" w:rsidR="00FE5ED2" w:rsidRPr="007203CA" w:rsidRDefault="00FE5ED2" w:rsidP="00FE5ED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71CDCA97" w14:textId="77777777" w:rsidR="00FE5ED2" w:rsidRPr="007203CA" w:rsidRDefault="00FE5ED2" w:rsidP="00FE5ED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7EE20381" w14:textId="77777777" w:rsidR="00FE5ED2" w:rsidRPr="007203CA" w:rsidRDefault="00FE5ED2" w:rsidP="00FE5ED2">
            <w:pPr>
              <w:spacing w:after="0" w:line="240" w:lineRule="auto"/>
              <w:jc w:val="right"/>
              <w:rPr>
                <w:rFonts w:ascii="Times New Roman" w:hAnsi="Times New Roman"/>
                <w:sz w:val="16"/>
                <w:szCs w:val="16"/>
              </w:rPr>
            </w:pPr>
          </w:p>
        </w:tc>
        <w:tc>
          <w:tcPr>
            <w:tcW w:w="821" w:type="dxa"/>
            <w:tcBorders>
              <w:top w:val="nil"/>
              <w:left w:val="nil"/>
              <w:bottom w:val="nil"/>
              <w:right w:val="nil"/>
            </w:tcBorders>
            <w:shd w:val="clear" w:color="auto" w:fill="auto"/>
            <w:noWrap/>
            <w:vAlign w:val="bottom"/>
            <w:hideMark/>
          </w:tcPr>
          <w:p w14:paraId="3FAD676C" w14:textId="77777777" w:rsidR="00FE5ED2" w:rsidRPr="007203CA" w:rsidRDefault="00FE5ED2" w:rsidP="00FE5ED2">
            <w:pPr>
              <w:spacing w:after="0" w:line="240" w:lineRule="auto"/>
              <w:jc w:val="right"/>
              <w:rPr>
                <w:rFonts w:ascii="Times New Roman" w:hAnsi="Times New Roman"/>
                <w:sz w:val="16"/>
                <w:szCs w:val="16"/>
              </w:rPr>
            </w:pPr>
          </w:p>
        </w:tc>
      </w:tr>
      <w:tr w:rsidR="00FE5ED2" w:rsidRPr="00466A28" w14:paraId="410C6269" w14:textId="77777777" w:rsidTr="00A62C0C">
        <w:trPr>
          <w:trHeight w:val="204"/>
        </w:trPr>
        <w:tc>
          <w:tcPr>
            <w:tcW w:w="3176" w:type="dxa"/>
            <w:tcBorders>
              <w:top w:val="nil"/>
              <w:left w:val="nil"/>
              <w:bottom w:val="nil"/>
              <w:right w:val="nil"/>
            </w:tcBorders>
            <w:shd w:val="clear" w:color="auto" w:fill="auto"/>
            <w:noWrap/>
            <w:vAlign w:val="bottom"/>
            <w:hideMark/>
          </w:tcPr>
          <w:p w14:paraId="1E6B2DE0" w14:textId="77777777" w:rsidR="00FE5ED2" w:rsidRPr="007203CA" w:rsidRDefault="00FE5ED2" w:rsidP="00FE5ED2">
            <w:pPr>
              <w:spacing w:after="0" w:line="240" w:lineRule="auto"/>
              <w:jc w:val="left"/>
              <w:rPr>
                <w:rFonts w:ascii="Arial" w:hAnsi="Arial" w:cs="Arial"/>
                <w:b/>
                <w:bCs/>
                <w:sz w:val="16"/>
                <w:szCs w:val="16"/>
              </w:rPr>
            </w:pPr>
            <w:r w:rsidRPr="007203CA">
              <w:rPr>
                <w:rFonts w:ascii="Arial" w:hAnsi="Arial" w:cs="Arial"/>
                <w:b/>
                <w:bCs/>
                <w:sz w:val="16"/>
                <w:szCs w:val="16"/>
              </w:rPr>
              <w:t>OWN-SOURCE INCOME</w:t>
            </w:r>
          </w:p>
        </w:tc>
        <w:tc>
          <w:tcPr>
            <w:tcW w:w="816" w:type="dxa"/>
            <w:tcBorders>
              <w:top w:val="nil"/>
              <w:left w:val="nil"/>
              <w:bottom w:val="nil"/>
              <w:right w:val="nil"/>
            </w:tcBorders>
            <w:shd w:val="clear" w:color="auto" w:fill="auto"/>
            <w:noWrap/>
            <w:vAlign w:val="bottom"/>
            <w:hideMark/>
          </w:tcPr>
          <w:p w14:paraId="10CB9D41" w14:textId="77777777" w:rsidR="00FE5ED2" w:rsidRPr="007203CA" w:rsidRDefault="00FE5ED2" w:rsidP="00FE5ED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6E5C86E6" w14:textId="57E506F2" w:rsidR="00FE5ED2" w:rsidRPr="007203CA" w:rsidRDefault="00FE5ED2" w:rsidP="00FE5ED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6EB01FE9" w14:textId="77777777" w:rsidR="00FE5ED2" w:rsidRPr="007203CA" w:rsidRDefault="00FE5ED2" w:rsidP="00FE5ED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75C51F4F" w14:textId="77777777" w:rsidR="00FE5ED2" w:rsidRPr="007203CA" w:rsidRDefault="00FE5ED2" w:rsidP="00FE5ED2">
            <w:pPr>
              <w:spacing w:after="0" w:line="240" w:lineRule="auto"/>
              <w:jc w:val="right"/>
              <w:rPr>
                <w:rFonts w:ascii="Times New Roman" w:hAnsi="Times New Roman"/>
                <w:sz w:val="16"/>
                <w:szCs w:val="16"/>
              </w:rPr>
            </w:pPr>
          </w:p>
        </w:tc>
        <w:tc>
          <w:tcPr>
            <w:tcW w:w="821" w:type="dxa"/>
            <w:tcBorders>
              <w:top w:val="nil"/>
              <w:left w:val="nil"/>
              <w:bottom w:val="nil"/>
              <w:right w:val="nil"/>
            </w:tcBorders>
            <w:shd w:val="clear" w:color="auto" w:fill="auto"/>
            <w:noWrap/>
            <w:vAlign w:val="bottom"/>
            <w:hideMark/>
          </w:tcPr>
          <w:p w14:paraId="264F08AB" w14:textId="77777777" w:rsidR="00FE5ED2" w:rsidRPr="007203CA" w:rsidRDefault="00FE5ED2" w:rsidP="00FE5ED2">
            <w:pPr>
              <w:spacing w:after="0" w:line="240" w:lineRule="auto"/>
              <w:jc w:val="right"/>
              <w:rPr>
                <w:rFonts w:ascii="Times New Roman" w:hAnsi="Times New Roman"/>
                <w:sz w:val="16"/>
                <w:szCs w:val="16"/>
              </w:rPr>
            </w:pPr>
          </w:p>
        </w:tc>
      </w:tr>
      <w:tr w:rsidR="00FE5ED2" w:rsidRPr="00466A28" w14:paraId="258D2E33" w14:textId="77777777" w:rsidTr="00A62C0C">
        <w:trPr>
          <w:trHeight w:val="204"/>
        </w:trPr>
        <w:tc>
          <w:tcPr>
            <w:tcW w:w="3176" w:type="dxa"/>
            <w:tcBorders>
              <w:top w:val="nil"/>
              <w:left w:val="nil"/>
              <w:bottom w:val="nil"/>
              <w:right w:val="nil"/>
            </w:tcBorders>
            <w:shd w:val="clear" w:color="auto" w:fill="auto"/>
            <w:noWrap/>
            <w:vAlign w:val="bottom"/>
            <w:hideMark/>
          </w:tcPr>
          <w:p w14:paraId="13282B44" w14:textId="77777777" w:rsidR="00FE5ED2" w:rsidRPr="007203CA" w:rsidRDefault="00FE5ED2" w:rsidP="00FE5ED2">
            <w:pPr>
              <w:spacing w:after="0" w:line="240" w:lineRule="auto"/>
              <w:jc w:val="left"/>
              <w:rPr>
                <w:rFonts w:ascii="Arial" w:hAnsi="Arial" w:cs="Arial"/>
                <w:b/>
                <w:bCs/>
                <w:sz w:val="16"/>
                <w:szCs w:val="16"/>
              </w:rPr>
            </w:pPr>
            <w:r w:rsidRPr="007203CA">
              <w:rPr>
                <w:rFonts w:ascii="Arial" w:hAnsi="Arial" w:cs="Arial"/>
                <w:b/>
                <w:bCs/>
                <w:sz w:val="16"/>
                <w:szCs w:val="16"/>
              </w:rPr>
              <w:t>Own-source revenue</w:t>
            </w:r>
          </w:p>
        </w:tc>
        <w:tc>
          <w:tcPr>
            <w:tcW w:w="816" w:type="dxa"/>
            <w:tcBorders>
              <w:top w:val="nil"/>
              <w:left w:val="nil"/>
              <w:bottom w:val="nil"/>
              <w:right w:val="nil"/>
            </w:tcBorders>
            <w:shd w:val="clear" w:color="auto" w:fill="auto"/>
            <w:noWrap/>
            <w:vAlign w:val="bottom"/>
            <w:hideMark/>
          </w:tcPr>
          <w:p w14:paraId="0710905F" w14:textId="77777777" w:rsidR="00FE5ED2" w:rsidRPr="007203CA" w:rsidRDefault="00FE5ED2" w:rsidP="00FE5ED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217F36A0" w14:textId="084852CD" w:rsidR="00FE5ED2" w:rsidRPr="007203CA" w:rsidRDefault="00FE5ED2" w:rsidP="00FE5ED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285F4EC0" w14:textId="77777777" w:rsidR="00FE5ED2" w:rsidRPr="007203CA" w:rsidRDefault="00FE5ED2" w:rsidP="00FE5ED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6B5CDF2F" w14:textId="77777777" w:rsidR="00FE5ED2" w:rsidRPr="007203CA" w:rsidRDefault="00FE5ED2" w:rsidP="00FE5ED2">
            <w:pPr>
              <w:spacing w:after="0" w:line="240" w:lineRule="auto"/>
              <w:jc w:val="right"/>
              <w:rPr>
                <w:rFonts w:ascii="Times New Roman" w:hAnsi="Times New Roman"/>
                <w:sz w:val="16"/>
                <w:szCs w:val="16"/>
              </w:rPr>
            </w:pPr>
          </w:p>
        </w:tc>
        <w:tc>
          <w:tcPr>
            <w:tcW w:w="821" w:type="dxa"/>
            <w:tcBorders>
              <w:top w:val="nil"/>
              <w:left w:val="nil"/>
              <w:bottom w:val="nil"/>
              <w:right w:val="nil"/>
            </w:tcBorders>
            <w:shd w:val="clear" w:color="auto" w:fill="auto"/>
            <w:noWrap/>
            <w:vAlign w:val="bottom"/>
            <w:hideMark/>
          </w:tcPr>
          <w:p w14:paraId="64EAFA32" w14:textId="77777777" w:rsidR="00FE5ED2" w:rsidRPr="007203CA" w:rsidRDefault="00FE5ED2" w:rsidP="00FE5ED2">
            <w:pPr>
              <w:spacing w:after="0" w:line="240" w:lineRule="auto"/>
              <w:jc w:val="right"/>
              <w:rPr>
                <w:rFonts w:ascii="Times New Roman" w:hAnsi="Times New Roman"/>
                <w:sz w:val="16"/>
                <w:szCs w:val="16"/>
              </w:rPr>
            </w:pPr>
          </w:p>
        </w:tc>
      </w:tr>
      <w:tr w:rsidR="00FE5ED2" w:rsidRPr="00466A28" w14:paraId="1368C242" w14:textId="77777777" w:rsidTr="00A62C0C">
        <w:trPr>
          <w:trHeight w:val="204"/>
        </w:trPr>
        <w:tc>
          <w:tcPr>
            <w:tcW w:w="3176" w:type="dxa"/>
            <w:tcBorders>
              <w:top w:val="nil"/>
              <w:left w:val="nil"/>
              <w:bottom w:val="nil"/>
              <w:right w:val="nil"/>
            </w:tcBorders>
            <w:shd w:val="clear" w:color="auto" w:fill="auto"/>
            <w:vAlign w:val="bottom"/>
            <w:hideMark/>
          </w:tcPr>
          <w:p w14:paraId="343232CB" w14:textId="5ADF215A"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Sale of goods and rendering of</w:t>
            </w:r>
            <w:r w:rsidR="00A62C0C" w:rsidRPr="007203CA">
              <w:rPr>
                <w:rFonts w:ascii="Arial" w:hAnsi="Arial" w:cs="Arial"/>
                <w:sz w:val="16"/>
                <w:szCs w:val="16"/>
              </w:rPr>
              <w:t xml:space="preserve"> </w:t>
            </w:r>
            <w:r w:rsidRPr="007203CA">
              <w:rPr>
                <w:rFonts w:ascii="Arial" w:hAnsi="Arial" w:cs="Arial"/>
                <w:sz w:val="16"/>
                <w:szCs w:val="16"/>
              </w:rPr>
              <w:t>services</w:t>
            </w:r>
          </w:p>
        </w:tc>
        <w:tc>
          <w:tcPr>
            <w:tcW w:w="816" w:type="dxa"/>
            <w:tcBorders>
              <w:top w:val="nil"/>
              <w:left w:val="nil"/>
              <w:bottom w:val="nil"/>
              <w:right w:val="nil"/>
            </w:tcBorders>
            <w:shd w:val="clear" w:color="auto" w:fill="auto"/>
            <w:noWrap/>
            <w:vAlign w:val="bottom"/>
            <w:hideMark/>
          </w:tcPr>
          <w:p w14:paraId="04D36E8A" w14:textId="599D30A1"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760</w:t>
            </w:r>
          </w:p>
        </w:tc>
        <w:tc>
          <w:tcPr>
            <w:tcW w:w="817" w:type="dxa"/>
            <w:tcBorders>
              <w:top w:val="nil"/>
              <w:left w:val="nil"/>
              <w:bottom w:val="nil"/>
              <w:right w:val="nil"/>
            </w:tcBorders>
            <w:shd w:val="clear" w:color="000000" w:fill="E6E6E6"/>
            <w:noWrap/>
            <w:vAlign w:val="bottom"/>
            <w:hideMark/>
          </w:tcPr>
          <w:p w14:paraId="3E4460FA" w14:textId="7E5F6621"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741</w:t>
            </w:r>
          </w:p>
        </w:tc>
        <w:tc>
          <w:tcPr>
            <w:tcW w:w="821" w:type="dxa"/>
            <w:tcBorders>
              <w:top w:val="nil"/>
              <w:left w:val="nil"/>
              <w:bottom w:val="nil"/>
              <w:right w:val="nil"/>
            </w:tcBorders>
            <w:shd w:val="clear" w:color="auto" w:fill="auto"/>
            <w:noWrap/>
            <w:vAlign w:val="bottom"/>
            <w:hideMark/>
          </w:tcPr>
          <w:p w14:paraId="60491D2D" w14:textId="2CDDF16E"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741</w:t>
            </w:r>
          </w:p>
        </w:tc>
        <w:tc>
          <w:tcPr>
            <w:tcW w:w="821" w:type="dxa"/>
            <w:tcBorders>
              <w:top w:val="nil"/>
              <w:left w:val="nil"/>
              <w:bottom w:val="nil"/>
              <w:right w:val="nil"/>
            </w:tcBorders>
            <w:shd w:val="clear" w:color="auto" w:fill="auto"/>
            <w:noWrap/>
            <w:vAlign w:val="bottom"/>
            <w:hideMark/>
          </w:tcPr>
          <w:p w14:paraId="6FF136B0" w14:textId="5983E319"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741</w:t>
            </w:r>
          </w:p>
        </w:tc>
        <w:tc>
          <w:tcPr>
            <w:tcW w:w="821" w:type="dxa"/>
            <w:tcBorders>
              <w:top w:val="nil"/>
              <w:left w:val="nil"/>
              <w:bottom w:val="nil"/>
              <w:right w:val="nil"/>
            </w:tcBorders>
            <w:shd w:val="clear" w:color="auto" w:fill="auto"/>
            <w:noWrap/>
            <w:vAlign w:val="bottom"/>
            <w:hideMark/>
          </w:tcPr>
          <w:p w14:paraId="13CBFAFF" w14:textId="33AC23A1"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741</w:t>
            </w:r>
          </w:p>
        </w:tc>
      </w:tr>
      <w:tr w:rsidR="00FE5ED2" w:rsidRPr="00466A28" w14:paraId="03D300A0" w14:textId="77777777" w:rsidTr="00A62C0C">
        <w:trPr>
          <w:trHeight w:val="204"/>
        </w:trPr>
        <w:tc>
          <w:tcPr>
            <w:tcW w:w="3176" w:type="dxa"/>
            <w:tcBorders>
              <w:top w:val="nil"/>
              <w:left w:val="nil"/>
              <w:bottom w:val="nil"/>
              <w:right w:val="nil"/>
            </w:tcBorders>
            <w:shd w:val="clear" w:color="auto" w:fill="auto"/>
            <w:noWrap/>
            <w:vAlign w:val="bottom"/>
            <w:hideMark/>
          </w:tcPr>
          <w:p w14:paraId="34F12B9A"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Interest</w:t>
            </w:r>
          </w:p>
        </w:tc>
        <w:tc>
          <w:tcPr>
            <w:tcW w:w="816" w:type="dxa"/>
            <w:tcBorders>
              <w:top w:val="nil"/>
              <w:left w:val="nil"/>
              <w:bottom w:val="nil"/>
              <w:right w:val="nil"/>
            </w:tcBorders>
            <w:shd w:val="clear" w:color="auto" w:fill="auto"/>
            <w:noWrap/>
            <w:vAlign w:val="bottom"/>
            <w:hideMark/>
          </w:tcPr>
          <w:p w14:paraId="232293AE" w14:textId="6DDFA064"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71</w:t>
            </w:r>
          </w:p>
        </w:tc>
        <w:tc>
          <w:tcPr>
            <w:tcW w:w="817" w:type="dxa"/>
            <w:tcBorders>
              <w:top w:val="nil"/>
              <w:left w:val="nil"/>
              <w:bottom w:val="nil"/>
              <w:right w:val="nil"/>
            </w:tcBorders>
            <w:shd w:val="clear" w:color="000000" w:fill="E6E6E6"/>
            <w:noWrap/>
            <w:vAlign w:val="bottom"/>
            <w:hideMark/>
          </w:tcPr>
          <w:p w14:paraId="008840CC" w14:textId="3719126A"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200</w:t>
            </w:r>
          </w:p>
        </w:tc>
        <w:tc>
          <w:tcPr>
            <w:tcW w:w="821" w:type="dxa"/>
            <w:tcBorders>
              <w:top w:val="nil"/>
              <w:left w:val="nil"/>
              <w:bottom w:val="nil"/>
              <w:right w:val="nil"/>
            </w:tcBorders>
            <w:shd w:val="clear" w:color="auto" w:fill="auto"/>
            <w:noWrap/>
            <w:vAlign w:val="bottom"/>
            <w:hideMark/>
          </w:tcPr>
          <w:p w14:paraId="062A89A3" w14:textId="57E45089"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200</w:t>
            </w:r>
          </w:p>
        </w:tc>
        <w:tc>
          <w:tcPr>
            <w:tcW w:w="821" w:type="dxa"/>
            <w:tcBorders>
              <w:top w:val="nil"/>
              <w:left w:val="nil"/>
              <w:bottom w:val="nil"/>
              <w:right w:val="nil"/>
            </w:tcBorders>
            <w:shd w:val="clear" w:color="auto" w:fill="auto"/>
            <w:noWrap/>
            <w:vAlign w:val="bottom"/>
            <w:hideMark/>
          </w:tcPr>
          <w:p w14:paraId="28EED62F" w14:textId="6CF2846A"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200</w:t>
            </w:r>
          </w:p>
        </w:tc>
        <w:tc>
          <w:tcPr>
            <w:tcW w:w="821" w:type="dxa"/>
            <w:tcBorders>
              <w:top w:val="nil"/>
              <w:left w:val="nil"/>
              <w:bottom w:val="nil"/>
              <w:right w:val="nil"/>
            </w:tcBorders>
            <w:shd w:val="clear" w:color="auto" w:fill="auto"/>
            <w:noWrap/>
            <w:vAlign w:val="bottom"/>
            <w:hideMark/>
          </w:tcPr>
          <w:p w14:paraId="6D9B8F3D" w14:textId="2ECEBEE2"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200</w:t>
            </w:r>
          </w:p>
        </w:tc>
      </w:tr>
      <w:tr w:rsidR="00FE5ED2" w:rsidRPr="00466A28" w14:paraId="3EF87CBB" w14:textId="77777777" w:rsidTr="00A62C0C">
        <w:trPr>
          <w:trHeight w:val="204"/>
        </w:trPr>
        <w:tc>
          <w:tcPr>
            <w:tcW w:w="3176" w:type="dxa"/>
            <w:tcBorders>
              <w:top w:val="nil"/>
              <w:left w:val="nil"/>
              <w:bottom w:val="nil"/>
              <w:right w:val="nil"/>
            </w:tcBorders>
            <w:shd w:val="clear" w:color="auto" w:fill="auto"/>
            <w:noWrap/>
            <w:vAlign w:val="bottom"/>
            <w:hideMark/>
          </w:tcPr>
          <w:p w14:paraId="50CBB3BF"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Royalties</w:t>
            </w:r>
          </w:p>
        </w:tc>
        <w:tc>
          <w:tcPr>
            <w:tcW w:w="816" w:type="dxa"/>
            <w:tcBorders>
              <w:top w:val="nil"/>
              <w:left w:val="nil"/>
              <w:bottom w:val="nil"/>
              <w:right w:val="nil"/>
            </w:tcBorders>
            <w:shd w:val="clear" w:color="auto" w:fill="auto"/>
            <w:noWrap/>
            <w:vAlign w:val="bottom"/>
            <w:hideMark/>
          </w:tcPr>
          <w:p w14:paraId="31BB7403" w14:textId="4C7DBEFD"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151</w:t>
            </w:r>
          </w:p>
        </w:tc>
        <w:tc>
          <w:tcPr>
            <w:tcW w:w="817" w:type="dxa"/>
            <w:tcBorders>
              <w:top w:val="nil"/>
              <w:left w:val="nil"/>
              <w:bottom w:val="nil"/>
              <w:right w:val="nil"/>
            </w:tcBorders>
            <w:shd w:val="clear" w:color="000000" w:fill="E6E6E6"/>
            <w:noWrap/>
            <w:vAlign w:val="bottom"/>
            <w:hideMark/>
          </w:tcPr>
          <w:p w14:paraId="7F5E77D2" w14:textId="0F14D66A"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195</w:t>
            </w:r>
          </w:p>
        </w:tc>
        <w:tc>
          <w:tcPr>
            <w:tcW w:w="821" w:type="dxa"/>
            <w:tcBorders>
              <w:top w:val="nil"/>
              <w:left w:val="nil"/>
              <w:bottom w:val="nil"/>
              <w:right w:val="nil"/>
            </w:tcBorders>
            <w:shd w:val="clear" w:color="auto" w:fill="auto"/>
            <w:noWrap/>
            <w:vAlign w:val="bottom"/>
            <w:hideMark/>
          </w:tcPr>
          <w:p w14:paraId="6627A03C" w14:textId="2D726691"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195</w:t>
            </w:r>
          </w:p>
        </w:tc>
        <w:tc>
          <w:tcPr>
            <w:tcW w:w="821" w:type="dxa"/>
            <w:tcBorders>
              <w:top w:val="nil"/>
              <w:left w:val="nil"/>
              <w:bottom w:val="nil"/>
              <w:right w:val="nil"/>
            </w:tcBorders>
            <w:shd w:val="clear" w:color="auto" w:fill="auto"/>
            <w:noWrap/>
            <w:vAlign w:val="bottom"/>
            <w:hideMark/>
          </w:tcPr>
          <w:p w14:paraId="193AFBD6" w14:textId="18D59C26"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195</w:t>
            </w:r>
          </w:p>
        </w:tc>
        <w:tc>
          <w:tcPr>
            <w:tcW w:w="821" w:type="dxa"/>
            <w:tcBorders>
              <w:top w:val="nil"/>
              <w:left w:val="nil"/>
              <w:bottom w:val="nil"/>
              <w:right w:val="nil"/>
            </w:tcBorders>
            <w:shd w:val="clear" w:color="auto" w:fill="auto"/>
            <w:noWrap/>
            <w:vAlign w:val="bottom"/>
            <w:hideMark/>
          </w:tcPr>
          <w:p w14:paraId="06DBF2A6" w14:textId="55D41E9E"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195</w:t>
            </w:r>
          </w:p>
        </w:tc>
      </w:tr>
      <w:tr w:rsidR="00FE5ED2" w:rsidRPr="00466A28" w14:paraId="0AE0625F" w14:textId="77777777" w:rsidTr="00A62C0C">
        <w:trPr>
          <w:trHeight w:val="204"/>
        </w:trPr>
        <w:tc>
          <w:tcPr>
            <w:tcW w:w="3176" w:type="dxa"/>
            <w:tcBorders>
              <w:top w:val="nil"/>
              <w:left w:val="nil"/>
              <w:bottom w:val="nil"/>
              <w:right w:val="nil"/>
            </w:tcBorders>
            <w:shd w:val="clear" w:color="auto" w:fill="auto"/>
            <w:noWrap/>
            <w:vAlign w:val="bottom"/>
            <w:hideMark/>
          </w:tcPr>
          <w:p w14:paraId="5DD5F523"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Other</w:t>
            </w:r>
          </w:p>
        </w:tc>
        <w:tc>
          <w:tcPr>
            <w:tcW w:w="816" w:type="dxa"/>
            <w:tcBorders>
              <w:top w:val="nil"/>
              <w:left w:val="nil"/>
              <w:bottom w:val="nil"/>
              <w:right w:val="nil"/>
            </w:tcBorders>
            <w:shd w:val="clear" w:color="auto" w:fill="auto"/>
            <w:noWrap/>
            <w:vAlign w:val="bottom"/>
            <w:hideMark/>
          </w:tcPr>
          <w:p w14:paraId="742A2C6F" w14:textId="45A771CF"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3,788</w:t>
            </w:r>
          </w:p>
        </w:tc>
        <w:tc>
          <w:tcPr>
            <w:tcW w:w="817" w:type="dxa"/>
            <w:tcBorders>
              <w:top w:val="nil"/>
              <w:left w:val="nil"/>
              <w:bottom w:val="nil"/>
              <w:right w:val="nil"/>
            </w:tcBorders>
            <w:shd w:val="clear" w:color="000000" w:fill="E6E6E6"/>
            <w:noWrap/>
            <w:vAlign w:val="bottom"/>
            <w:hideMark/>
          </w:tcPr>
          <w:p w14:paraId="10F78DAC" w14:textId="43C5E6F1"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1,590</w:t>
            </w:r>
          </w:p>
        </w:tc>
        <w:tc>
          <w:tcPr>
            <w:tcW w:w="821" w:type="dxa"/>
            <w:tcBorders>
              <w:top w:val="nil"/>
              <w:left w:val="nil"/>
              <w:bottom w:val="nil"/>
              <w:right w:val="nil"/>
            </w:tcBorders>
            <w:shd w:val="clear" w:color="auto" w:fill="auto"/>
            <w:noWrap/>
            <w:vAlign w:val="bottom"/>
            <w:hideMark/>
          </w:tcPr>
          <w:p w14:paraId="0402AFF8" w14:textId="1A39961A"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1,690</w:t>
            </w:r>
          </w:p>
        </w:tc>
        <w:tc>
          <w:tcPr>
            <w:tcW w:w="821" w:type="dxa"/>
            <w:tcBorders>
              <w:top w:val="nil"/>
              <w:left w:val="nil"/>
              <w:bottom w:val="nil"/>
              <w:right w:val="nil"/>
            </w:tcBorders>
            <w:shd w:val="clear" w:color="auto" w:fill="auto"/>
            <w:noWrap/>
            <w:vAlign w:val="bottom"/>
            <w:hideMark/>
          </w:tcPr>
          <w:p w14:paraId="76255E36" w14:textId="2E402229"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1,390</w:t>
            </w:r>
          </w:p>
        </w:tc>
        <w:tc>
          <w:tcPr>
            <w:tcW w:w="821" w:type="dxa"/>
            <w:tcBorders>
              <w:top w:val="nil"/>
              <w:left w:val="nil"/>
              <w:bottom w:val="nil"/>
              <w:right w:val="nil"/>
            </w:tcBorders>
            <w:shd w:val="clear" w:color="auto" w:fill="auto"/>
            <w:noWrap/>
            <w:vAlign w:val="bottom"/>
            <w:hideMark/>
          </w:tcPr>
          <w:p w14:paraId="129C2266" w14:textId="6D6B5A01"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590</w:t>
            </w:r>
          </w:p>
        </w:tc>
      </w:tr>
      <w:tr w:rsidR="00FE5ED2" w:rsidRPr="00466A28" w14:paraId="58B7F869" w14:textId="77777777" w:rsidTr="00A62C0C">
        <w:trPr>
          <w:trHeight w:val="204"/>
        </w:trPr>
        <w:tc>
          <w:tcPr>
            <w:tcW w:w="3176" w:type="dxa"/>
            <w:tcBorders>
              <w:top w:val="nil"/>
              <w:left w:val="nil"/>
              <w:bottom w:val="nil"/>
              <w:right w:val="nil"/>
            </w:tcBorders>
            <w:shd w:val="clear" w:color="auto" w:fill="auto"/>
            <w:noWrap/>
            <w:vAlign w:val="bottom"/>
            <w:hideMark/>
          </w:tcPr>
          <w:p w14:paraId="5D2A9CA5" w14:textId="77777777" w:rsidR="00FE5ED2" w:rsidRPr="007203CA" w:rsidRDefault="00FE5ED2" w:rsidP="00FE5ED2">
            <w:pPr>
              <w:spacing w:after="0" w:line="240" w:lineRule="auto"/>
              <w:jc w:val="left"/>
              <w:rPr>
                <w:rFonts w:ascii="Arial" w:hAnsi="Arial" w:cs="Arial"/>
                <w:b/>
                <w:bCs/>
                <w:sz w:val="16"/>
                <w:szCs w:val="16"/>
              </w:rPr>
            </w:pPr>
            <w:r w:rsidRPr="007203CA">
              <w:rPr>
                <w:rFonts w:ascii="Arial" w:hAnsi="Arial" w:cs="Arial"/>
                <w:b/>
                <w:bCs/>
                <w:sz w:val="16"/>
                <w:szCs w:val="16"/>
              </w:rPr>
              <w:t>Total own-source revenue</w:t>
            </w:r>
          </w:p>
        </w:tc>
        <w:tc>
          <w:tcPr>
            <w:tcW w:w="816" w:type="dxa"/>
            <w:tcBorders>
              <w:top w:val="single" w:sz="4" w:space="0" w:color="auto"/>
              <w:left w:val="nil"/>
              <w:bottom w:val="single" w:sz="4" w:space="0" w:color="auto"/>
              <w:right w:val="nil"/>
            </w:tcBorders>
            <w:shd w:val="clear" w:color="auto" w:fill="auto"/>
            <w:noWrap/>
            <w:vAlign w:val="bottom"/>
            <w:hideMark/>
          </w:tcPr>
          <w:p w14:paraId="46C84061" w14:textId="4A68D3C5"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4,770</w:t>
            </w:r>
          </w:p>
        </w:tc>
        <w:tc>
          <w:tcPr>
            <w:tcW w:w="817" w:type="dxa"/>
            <w:tcBorders>
              <w:top w:val="single" w:sz="4" w:space="0" w:color="auto"/>
              <w:left w:val="nil"/>
              <w:bottom w:val="single" w:sz="4" w:space="0" w:color="auto"/>
              <w:right w:val="nil"/>
            </w:tcBorders>
            <w:shd w:val="clear" w:color="000000" w:fill="E6E6E6"/>
            <w:noWrap/>
            <w:vAlign w:val="bottom"/>
            <w:hideMark/>
          </w:tcPr>
          <w:p w14:paraId="0B5AAC4C" w14:textId="32910CB3"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2,726</w:t>
            </w:r>
          </w:p>
        </w:tc>
        <w:tc>
          <w:tcPr>
            <w:tcW w:w="821" w:type="dxa"/>
            <w:tcBorders>
              <w:top w:val="single" w:sz="4" w:space="0" w:color="auto"/>
              <w:left w:val="nil"/>
              <w:bottom w:val="single" w:sz="4" w:space="0" w:color="auto"/>
              <w:right w:val="nil"/>
            </w:tcBorders>
            <w:shd w:val="clear" w:color="auto" w:fill="auto"/>
            <w:noWrap/>
            <w:vAlign w:val="bottom"/>
            <w:hideMark/>
          </w:tcPr>
          <w:p w14:paraId="30909808" w14:textId="01A10A98"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2,826</w:t>
            </w:r>
          </w:p>
        </w:tc>
        <w:tc>
          <w:tcPr>
            <w:tcW w:w="821" w:type="dxa"/>
            <w:tcBorders>
              <w:top w:val="single" w:sz="4" w:space="0" w:color="auto"/>
              <w:left w:val="nil"/>
              <w:bottom w:val="single" w:sz="4" w:space="0" w:color="auto"/>
              <w:right w:val="nil"/>
            </w:tcBorders>
            <w:shd w:val="clear" w:color="auto" w:fill="auto"/>
            <w:noWrap/>
            <w:vAlign w:val="bottom"/>
            <w:hideMark/>
          </w:tcPr>
          <w:p w14:paraId="36253C21" w14:textId="1A201B59"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2,526</w:t>
            </w:r>
          </w:p>
        </w:tc>
        <w:tc>
          <w:tcPr>
            <w:tcW w:w="821" w:type="dxa"/>
            <w:tcBorders>
              <w:top w:val="single" w:sz="4" w:space="0" w:color="auto"/>
              <w:left w:val="nil"/>
              <w:bottom w:val="single" w:sz="4" w:space="0" w:color="auto"/>
              <w:right w:val="nil"/>
            </w:tcBorders>
            <w:shd w:val="clear" w:color="auto" w:fill="auto"/>
            <w:noWrap/>
            <w:vAlign w:val="bottom"/>
            <w:hideMark/>
          </w:tcPr>
          <w:p w14:paraId="4D8093EE" w14:textId="5CC5ECAA"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1,726</w:t>
            </w:r>
          </w:p>
        </w:tc>
      </w:tr>
      <w:tr w:rsidR="00FE5ED2" w:rsidRPr="00466A28" w14:paraId="2DDA7344" w14:textId="77777777" w:rsidTr="00A62C0C">
        <w:trPr>
          <w:trHeight w:val="204"/>
        </w:trPr>
        <w:tc>
          <w:tcPr>
            <w:tcW w:w="3176" w:type="dxa"/>
            <w:tcBorders>
              <w:top w:val="nil"/>
              <w:left w:val="nil"/>
              <w:bottom w:val="nil"/>
              <w:right w:val="nil"/>
            </w:tcBorders>
            <w:shd w:val="clear" w:color="auto" w:fill="auto"/>
            <w:noWrap/>
            <w:vAlign w:val="bottom"/>
            <w:hideMark/>
          </w:tcPr>
          <w:p w14:paraId="24C1C404" w14:textId="77777777" w:rsidR="00FE5ED2" w:rsidRPr="007203CA" w:rsidRDefault="00FE5ED2" w:rsidP="00FE5ED2">
            <w:pPr>
              <w:spacing w:after="0" w:line="240" w:lineRule="auto"/>
              <w:jc w:val="left"/>
              <w:rPr>
                <w:rFonts w:ascii="Arial" w:hAnsi="Arial" w:cs="Arial"/>
                <w:b/>
                <w:bCs/>
                <w:sz w:val="16"/>
                <w:szCs w:val="16"/>
              </w:rPr>
            </w:pPr>
            <w:r w:rsidRPr="007203CA">
              <w:rPr>
                <w:rFonts w:ascii="Arial" w:hAnsi="Arial" w:cs="Arial"/>
                <w:b/>
                <w:bCs/>
                <w:sz w:val="16"/>
                <w:szCs w:val="16"/>
              </w:rPr>
              <w:t>Gains</w:t>
            </w:r>
          </w:p>
        </w:tc>
        <w:tc>
          <w:tcPr>
            <w:tcW w:w="816" w:type="dxa"/>
            <w:tcBorders>
              <w:top w:val="nil"/>
              <w:left w:val="nil"/>
              <w:bottom w:val="nil"/>
              <w:right w:val="nil"/>
            </w:tcBorders>
            <w:shd w:val="clear" w:color="auto" w:fill="auto"/>
            <w:noWrap/>
            <w:vAlign w:val="bottom"/>
            <w:hideMark/>
          </w:tcPr>
          <w:p w14:paraId="38898833" w14:textId="77777777" w:rsidR="00FE5ED2" w:rsidRPr="007203CA" w:rsidRDefault="00FE5ED2" w:rsidP="00FE5ED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0F3ACF97" w14:textId="3015181A" w:rsidR="00FE5ED2" w:rsidRPr="007203CA" w:rsidRDefault="00FE5ED2" w:rsidP="00FE5ED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5E3A9D22" w14:textId="77777777" w:rsidR="00FE5ED2" w:rsidRPr="007203CA" w:rsidRDefault="00FE5ED2" w:rsidP="00FE5ED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09AB13EC" w14:textId="77777777" w:rsidR="00FE5ED2" w:rsidRPr="007203CA" w:rsidRDefault="00FE5ED2" w:rsidP="00FE5ED2">
            <w:pPr>
              <w:spacing w:after="0" w:line="240" w:lineRule="auto"/>
              <w:jc w:val="right"/>
              <w:rPr>
                <w:rFonts w:ascii="Times New Roman" w:hAnsi="Times New Roman"/>
                <w:sz w:val="16"/>
                <w:szCs w:val="16"/>
              </w:rPr>
            </w:pPr>
          </w:p>
        </w:tc>
        <w:tc>
          <w:tcPr>
            <w:tcW w:w="821" w:type="dxa"/>
            <w:tcBorders>
              <w:top w:val="nil"/>
              <w:left w:val="nil"/>
              <w:bottom w:val="nil"/>
              <w:right w:val="nil"/>
            </w:tcBorders>
            <w:shd w:val="clear" w:color="auto" w:fill="auto"/>
            <w:noWrap/>
            <w:vAlign w:val="bottom"/>
            <w:hideMark/>
          </w:tcPr>
          <w:p w14:paraId="0327EDCD" w14:textId="77777777" w:rsidR="00FE5ED2" w:rsidRPr="007203CA" w:rsidRDefault="00FE5ED2" w:rsidP="00FE5ED2">
            <w:pPr>
              <w:spacing w:after="0" w:line="240" w:lineRule="auto"/>
              <w:jc w:val="right"/>
              <w:rPr>
                <w:rFonts w:ascii="Times New Roman" w:hAnsi="Times New Roman"/>
                <w:sz w:val="16"/>
                <w:szCs w:val="16"/>
              </w:rPr>
            </w:pPr>
          </w:p>
        </w:tc>
      </w:tr>
      <w:tr w:rsidR="00FE5ED2" w:rsidRPr="00466A28" w14:paraId="13E4F4B6" w14:textId="77777777" w:rsidTr="00A62C0C">
        <w:trPr>
          <w:trHeight w:val="204"/>
        </w:trPr>
        <w:tc>
          <w:tcPr>
            <w:tcW w:w="3176" w:type="dxa"/>
            <w:tcBorders>
              <w:top w:val="nil"/>
              <w:left w:val="nil"/>
              <w:bottom w:val="nil"/>
              <w:right w:val="nil"/>
            </w:tcBorders>
            <w:shd w:val="clear" w:color="auto" w:fill="auto"/>
            <w:noWrap/>
            <w:vAlign w:val="bottom"/>
            <w:hideMark/>
          </w:tcPr>
          <w:p w14:paraId="3084CE79"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Sale of assets</w:t>
            </w:r>
          </w:p>
        </w:tc>
        <w:tc>
          <w:tcPr>
            <w:tcW w:w="816" w:type="dxa"/>
            <w:tcBorders>
              <w:top w:val="nil"/>
              <w:left w:val="nil"/>
              <w:bottom w:val="nil"/>
              <w:right w:val="nil"/>
            </w:tcBorders>
            <w:shd w:val="clear" w:color="auto" w:fill="auto"/>
            <w:noWrap/>
            <w:vAlign w:val="bottom"/>
            <w:hideMark/>
          </w:tcPr>
          <w:p w14:paraId="71F1CF78" w14:textId="344A739D"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17</w:t>
            </w:r>
          </w:p>
        </w:tc>
        <w:tc>
          <w:tcPr>
            <w:tcW w:w="817" w:type="dxa"/>
            <w:tcBorders>
              <w:top w:val="nil"/>
              <w:left w:val="nil"/>
              <w:bottom w:val="nil"/>
              <w:right w:val="nil"/>
            </w:tcBorders>
            <w:shd w:val="clear" w:color="000000" w:fill="E6E6E6"/>
            <w:noWrap/>
            <w:vAlign w:val="bottom"/>
            <w:hideMark/>
          </w:tcPr>
          <w:p w14:paraId="64B134CA" w14:textId="27422388" w:rsidR="00FE5ED2" w:rsidRPr="007203CA" w:rsidRDefault="00FE5ED2" w:rsidP="00FE5ED2">
            <w:pPr>
              <w:spacing w:after="0" w:line="240" w:lineRule="auto"/>
              <w:jc w:val="right"/>
              <w:rPr>
                <w:rFonts w:ascii="Arial" w:hAnsi="Arial" w:cs="Arial"/>
                <w:bCs/>
                <w:sz w:val="16"/>
                <w:szCs w:val="16"/>
              </w:rPr>
            </w:pPr>
            <w:r w:rsidRPr="007203CA">
              <w:rPr>
                <w:rFonts w:ascii="Arial" w:hAnsi="Arial" w:cs="Arial"/>
                <w:bCs/>
                <w:sz w:val="16"/>
                <w:szCs w:val="16"/>
              </w:rPr>
              <w:t>-</w:t>
            </w:r>
          </w:p>
        </w:tc>
        <w:tc>
          <w:tcPr>
            <w:tcW w:w="821" w:type="dxa"/>
            <w:tcBorders>
              <w:top w:val="nil"/>
              <w:left w:val="nil"/>
              <w:bottom w:val="nil"/>
              <w:right w:val="nil"/>
            </w:tcBorders>
            <w:shd w:val="clear" w:color="auto" w:fill="auto"/>
            <w:noWrap/>
            <w:vAlign w:val="bottom"/>
            <w:hideMark/>
          </w:tcPr>
          <w:p w14:paraId="7D430F82" w14:textId="2F59D58D"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w:t>
            </w:r>
          </w:p>
        </w:tc>
        <w:tc>
          <w:tcPr>
            <w:tcW w:w="821" w:type="dxa"/>
            <w:tcBorders>
              <w:top w:val="nil"/>
              <w:left w:val="nil"/>
              <w:bottom w:val="nil"/>
              <w:right w:val="nil"/>
            </w:tcBorders>
            <w:shd w:val="clear" w:color="auto" w:fill="auto"/>
            <w:noWrap/>
            <w:vAlign w:val="bottom"/>
            <w:hideMark/>
          </w:tcPr>
          <w:p w14:paraId="10B6DE2C" w14:textId="24623E18"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w:t>
            </w:r>
          </w:p>
        </w:tc>
        <w:tc>
          <w:tcPr>
            <w:tcW w:w="821" w:type="dxa"/>
            <w:tcBorders>
              <w:top w:val="nil"/>
              <w:left w:val="nil"/>
              <w:bottom w:val="nil"/>
              <w:right w:val="nil"/>
            </w:tcBorders>
            <w:shd w:val="clear" w:color="auto" w:fill="auto"/>
            <w:noWrap/>
            <w:vAlign w:val="bottom"/>
            <w:hideMark/>
          </w:tcPr>
          <w:p w14:paraId="5275FFD8" w14:textId="67F4D736"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w:t>
            </w:r>
          </w:p>
        </w:tc>
      </w:tr>
      <w:tr w:rsidR="00FE5ED2" w:rsidRPr="00466A28" w14:paraId="4FA588D1" w14:textId="77777777" w:rsidTr="00A62C0C">
        <w:trPr>
          <w:trHeight w:val="204"/>
        </w:trPr>
        <w:tc>
          <w:tcPr>
            <w:tcW w:w="3176" w:type="dxa"/>
            <w:tcBorders>
              <w:top w:val="nil"/>
              <w:left w:val="nil"/>
              <w:bottom w:val="nil"/>
              <w:right w:val="nil"/>
            </w:tcBorders>
            <w:shd w:val="clear" w:color="auto" w:fill="auto"/>
            <w:noWrap/>
            <w:vAlign w:val="bottom"/>
            <w:hideMark/>
          </w:tcPr>
          <w:p w14:paraId="518CAB87"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Other</w:t>
            </w:r>
          </w:p>
        </w:tc>
        <w:tc>
          <w:tcPr>
            <w:tcW w:w="816" w:type="dxa"/>
            <w:tcBorders>
              <w:top w:val="nil"/>
              <w:left w:val="nil"/>
              <w:bottom w:val="nil"/>
              <w:right w:val="nil"/>
            </w:tcBorders>
            <w:shd w:val="clear" w:color="auto" w:fill="auto"/>
            <w:noWrap/>
            <w:vAlign w:val="bottom"/>
            <w:hideMark/>
          </w:tcPr>
          <w:p w14:paraId="1C9D49D7" w14:textId="36F1312C"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4,914</w:t>
            </w:r>
          </w:p>
        </w:tc>
        <w:tc>
          <w:tcPr>
            <w:tcW w:w="817" w:type="dxa"/>
            <w:tcBorders>
              <w:top w:val="nil"/>
              <w:left w:val="nil"/>
              <w:bottom w:val="nil"/>
              <w:right w:val="nil"/>
            </w:tcBorders>
            <w:shd w:val="clear" w:color="000000" w:fill="E6E6E6"/>
            <w:noWrap/>
            <w:vAlign w:val="bottom"/>
            <w:hideMark/>
          </w:tcPr>
          <w:p w14:paraId="592670E1" w14:textId="5DF836CE" w:rsidR="00FE5ED2" w:rsidRPr="007203CA" w:rsidRDefault="00FE5ED2" w:rsidP="00FE5ED2">
            <w:pPr>
              <w:spacing w:after="0" w:line="240" w:lineRule="auto"/>
              <w:jc w:val="right"/>
              <w:rPr>
                <w:rFonts w:ascii="Arial" w:hAnsi="Arial" w:cs="Arial"/>
                <w:bCs/>
                <w:sz w:val="16"/>
                <w:szCs w:val="16"/>
              </w:rPr>
            </w:pPr>
            <w:r w:rsidRPr="007203CA">
              <w:rPr>
                <w:rFonts w:ascii="Arial" w:hAnsi="Arial" w:cs="Arial"/>
                <w:bCs/>
                <w:sz w:val="16"/>
                <w:szCs w:val="16"/>
              </w:rPr>
              <w:t>2,770</w:t>
            </w:r>
          </w:p>
        </w:tc>
        <w:tc>
          <w:tcPr>
            <w:tcW w:w="821" w:type="dxa"/>
            <w:tcBorders>
              <w:top w:val="nil"/>
              <w:left w:val="nil"/>
              <w:bottom w:val="nil"/>
              <w:right w:val="nil"/>
            </w:tcBorders>
            <w:shd w:val="clear" w:color="auto" w:fill="auto"/>
            <w:noWrap/>
            <w:vAlign w:val="bottom"/>
            <w:hideMark/>
          </w:tcPr>
          <w:p w14:paraId="32C55549" w14:textId="165B642A"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2,770</w:t>
            </w:r>
          </w:p>
        </w:tc>
        <w:tc>
          <w:tcPr>
            <w:tcW w:w="821" w:type="dxa"/>
            <w:tcBorders>
              <w:top w:val="nil"/>
              <w:left w:val="nil"/>
              <w:bottom w:val="nil"/>
              <w:right w:val="nil"/>
            </w:tcBorders>
            <w:shd w:val="clear" w:color="auto" w:fill="auto"/>
            <w:noWrap/>
            <w:vAlign w:val="bottom"/>
            <w:hideMark/>
          </w:tcPr>
          <w:p w14:paraId="57659A6C" w14:textId="4B1E653E"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2,770</w:t>
            </w:r>
          </w:p>
        </w:tc>
        <w:tc>
          <w:tcPr>
            <w:tcW w:w="821" w:type="dxa"/>
            <w:tcBorders>
              <w:top w:val="nil"/>
              <w:left w:val="nil"/>
              <w:bottom w:val="nil"/>
              <w:right w:val="nil"/>
            </w:tcBorders>
            <w:shd w:val="clear" w:color="auto" w:fill="auto"/>
            <w:noWrap/>
            <w:vAlign w:val="bottom"/>
            <w:hideMark/>
          </w:tcPr>
          <w:p w14:paraId="6FE21752" w14:textId="681EC806"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2,770</w:t>
            </w:r>
          </w:p>
        </w:tc>
      </w:tr>
      <w:tr w:rsidR="00FE5ED2" w:rsidRPr="00466A28" w14:paraId="697FF44F" w14:textId="77777777" w:rsidTr="00A62C0C">
        <w:trPr>
          <w:trHeight w:val="204"/>
        </w:trPr>
        <w:tc>
          <w:tcPr>
            <w:tcW w:w="3176" w:type="dxa"/>
            <w:tcBorders>
              <w:top w:val="nil"/>
              <w:left w:val="nil"/>
              <w:bottom w:val="nil"/>
              <w:right w:val="nil"/>
            </w:tcBorders>
            <w:shd w:val="clear" w:color="auto" w:fill="auto"/>
            <w:noWrap/>
            <w:vAlign w:val="bottom"/>
            <w:hideMark/>
          </w:tcPr>
          <w:p w14:paraId="1C7EA6A6" w14:textId="77777777" w:rsidR="00FE5ED2" w:rsidRPr="007203CA" w:rsidRDefault="00FE5ED2" w:rsidP="00FE5ED2">
            <w:pPr>
              <w:spacing w:after="0" w:line="240" w:lineRule="auto"/>
              <w:jc w:val="left"/>
              <w:rPr>
                <w:rFonts w:ascii="Arial" w:hAnsi="Arial" w:cs="Arial"/>
                <w:b/>
                <w:bCs/>
                <w:sz w:val="16"/>
                <w:szCs w:val="16"/>
              </w:rPr>
            </w:pPr>
            <w:r w:rsidRPr="007203CA">
              <w:rPr>
                <w:rFonts w:ascii="Arial" w:hAnsi="Arial" w:cs="Arial"/>
                <w:b/>
                <w:bCs/>
                <w:sz w:val="16"/>
                <w:szCs w:val="16"/>
              </w:rPr>
              <w:t>Total gains</w:t>
            </w:r>
          </w:p>
        </w:tc>
        <w:tc>
          <w:tcPr>
            <w:tcW w:w="816" w:type="dxa"/>
            <w:tcBorders>
              <w:top w:val="single" w:sz="4" w:space="0" w:color="auto"/>
              <w:left w:val="nil"/>
              <w:bottom w:val="single" w:sz="4" w:space="0" w:color="auto"/>
              <w:right w:val="nil"/>
            </w:tcBorders>
            <w:shd w:val="clear" w:color="auto" w:fill="auto"/>
            <w:noWrap/>
            <w:vAlign w:val="bottom"/>
            <w:hideMark/>
          </w:tcPr>
          <w:p w14:paraId="41CBF749" w14:textId="7FEC7979"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4,931</w:t>
            </w:r>
          </w:p>
        </w:tc>
        <w:tc>
          <w:tcPr>
            <w:tcW w:w="817" w:type="dxa"/>
            <w:tcBorders>
              <w:top w:val="single" w:sz="4" w:space="0" w:color="auto"/>
              <w:left w:val="nil"/>
              <w:bottom w:val="single" w:sz="4" w:space="0" w:color="auto"/>
              <w:right w:val="nil"/>
            </w:tcBorders>
            <w:shd w:val="clear" w:color="000000" w:fill="E6E6E6"/>
            <w:noWrap/>
            <w:vAlign w:val="bottom"/>
            <w:hideMark/>
          </w:tcPr>
          <w:p w14:paraId="48DA8236" w14:textId="2DFD1B5B"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2,770</w:t>
            </w:r>
          </w:p>
        </w:tc>
        <w:tc>
          <w:tcPr>
            <w:tcW w:w="821" w:type="dxa"/>
            <w:tcBorders>
              <w:top w:val="single" w:sz="4" w:space="0" w:color="auto"/>
              <w:left w:val="nil"/>
              <w:bottom w:val="single" w:sz="4" w:space="0" w:color="auto"/>
              <w:right w:val="nil"/>
            </w:tcBorders>
            <w:shd w:val="clear" w:color="auto" w:fill="auto"/>
            <w:noWrap/>
            <w:vAlign w:val="bottom"/>
            <w:hideMark/>
          </w:tcPr>
          <w:p w14:paraId="01C23188" w14:textId="620F4A66"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2,770</w:t>
            </w:r>
          </w:p>
        </w:tc>
        <w:tc>
          <w:tcPr>
            <w:tcW w:w="821" w:type="dxa"/>
            <w:tcBorders>
              <w:top w:val="single" w:sz="4" w:space="0" w:color="auto"/>
              <w:left w:val="nil"/>
              <w:bottom w:val="single" w:sz="4" w:space="0" w:color="auto"/>
              <w:right w:val="nil"/>
            </w:tcBorders>
            <w:shd w:val="clear" w:color="auto" w:fill="auto"/>
            <w:noWrap/>
            <w:vAlign w:val="bottom"/>
            <w:hideMark/>
          </w:tcPr>
          <w:p w14:paraId="11F2CEB4" w14:textId="7FA60ACF"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2,770</w:t>
            </w:r>
          </w:p>
        </w:tc>
        <w:tc>
          <w:tcPr>
            <w:tcW w:w="821" w:type="dxa"/>
            <w:tcBorders>
              <w:top w:val="single" w:sz="4" w:space="0" w:color="auto"/>
              <w:left w:val="nil"/>
              <w:bottom w:val="single" w:sz="4" w:space="0" w:color="auto"/>
              <w:right w:val="nil"/>
            </w:tcBorders>
            <w:shd w:val="clear" w:color="auto" w:fill="auto"/>
            <w:noWrap/>
            <w:vAlign w:val="bottom"/>
            <w:hideMark/>
          </w:tcPr>
          <w:p w14:paraId="2AF08DE3" w14:textId="1FF9ACA6"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2,770</w:t>
            </w:r>
          </w:p>
        </w:tc>
      </w:tr>
      <w:tr w:rsidR="00FE5ED2" w:rsidRPr="00466A28" w14:paraId="5098B4A8" w14:textId="77777777" w:rsidTr="00A62C0C">
        <w:trPr>
          <w:trHeight w:val="204"/>
        </w:trPr>
        <w:tc>
          <w:tcPr>
            <w:tcW w:w="3176" w:type="dxa"/>
            <w:tcBorders>
              <w:top w:val="nil"/>
              <w:left w:val="nil"/>
              <w:bottom w:val="nil"/>
              <w:right w:val="nil"/>
            </w:tcBorders>
            <w:shd w:val="clear" w:color="auto" w:fill="auto"/>
            <w:noWrap/>
            <w:vAlign w:val="bottom"/>
            <w:hideMark/>
          </w:tcPr>
          <w:p w14:paraId="6CCC7967" w14:textId="77777777" w:rsidR="00FE5ED2" w:rsidRPr="007203CA" w:rsidRDefault="00FE5ED2" w:rsidP="00FE5ED2">
            <w:pPr>
              <w:spacing w:after="0" w:line="240" w:lineRule="auto"/>
              <w:jc w:val="left"/>
              <w:rPr>
                <w:rFonts w:ascii="Arial" w:hAnsi="Arial" w:cs="Arial"/>
                <w:b/>
                <w:bCs/>
                <w:sz w:val="16"/>
                <w:szCs w:val="16"/>
              </w:rPr>
            </w:pPr>
            <w:r w:rsidRPr="007203CA">
              <w:rPr>
                <w:rFonts w:ascii="Arial" w:hAnsi="Arial" w:cs="Arial"/>
                <w:b/>
                <w:bCs/>
                <w:sz w:val="16"/>
                <w:szCs w:val="16"/>
              </w:rPr>
              <w:t>Total own-source income</w:t>
            </w:r>
          </w:p>
        </w:tc>
        <w:tc>
          <w:tcPr>
            <w:tcW w:w="816" w:type="dxa"/>
            <w:tcBorders>
              <w:top w:val="single" w:sz="4" w:space="0" w:color="auto"/>
              <w:left w:val="nil"/>
              <w:bottom w:val="single" w:sz="4" w:space="0" w:color="auto"/>
              <w:right w:val="nil"/>
            </w:tcBorders>
            <w:shd w:val="clear" w:color="auto" w:fill="auto"/>
            <w:noWrap/>
            <w:vAlign w:val="bottom"/>
            <w:hideMark/>
          </w:tcPr>
          <w:p w14:paraId="7B5A442C" w14:textId="4861231D"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9,701</w:t>
            </w:r>
          </w:p>
        </w:tc>
        <w:tc>
          <w:tcPr>
            <w:tcW w:w="817" w:type="dxa"/>
            <w:tcBorders>
              <w:top w:val="single" w:sz="4" w:space="0" w:color="auto"/>
              <w:left w:val="nil"/>
              <w:bottom w:val="single" w:sz="4" w:space="0" w:color="auto"/>
              <w:right w:val="nil"/>
            </w:tcBorders>
            <w:shd w:val="clear" w:color="000000" w:fill="E6E6E6"/>
            <w:noWrap/>
            <w:vAlign w:val="bottom"/>
            <w:hideMark/>
          </w:tcPr>
          <w:p w14:paraId="50F65195" w14:textId="518CDBF6"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5,496</w:t>
            </w:r>
          </w:p>
        </w:tc>
        <w:tc>
          <w:tcPr>
            <w:tcW w:w="821" w:type="dxa"/>
            <w:tcBorders>
              <w:top w:val="single" w:sz="4" w:space="0" w:color="auto"/>
              <w:left w:val="nil"/>
              <w:bottom w:val="single" w:sz="4" w:space="0" w:color="auto"/>
              <w:right w:val="nil"/>
            </w:tcBorders>
            <w:shd w:val="clear" w:color="auto" w:fill="auto"/>
            <w:noWrap/>
            <w:vAlign w:val="bottom"/>
            <w:hideMark/>
          </w:tcPr>
          <w:p w14:paraId="14A495E0" w14:textId="23DF50B3"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5,596</w:t>
            </w:r>
          </w:p>
        </w:tc>
        <w:tc>
          <w:tcPr>
            <w:tcW w:w="821" w:type="dxa"/>
            <w:tcBorders>
              <w:top w:val="single" w:sz="4" w:space="0" w:color="auto"/>
              <w:left w:val="nil"/>
              <w:bottom w:val="single" w:sz="4" w:space="0" w:color="auto"/>
              <w:right w:val="nil"/>
            </w:tcBorders>
            <w:shd w:val="clear" w:color="auto" w:fill="auto"/>
            <w:noWrap/>
            <w:vAlign w:val="bottom"/>
            <w:hideMark/>
          </w:tcPr>
          <w:p w14:paraId="09167690" w14:textId="49279ED2"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5,296</w:t>
            </w:r>
          </w:p>
        </w:tc>
        <w:tc>
          <w:tcPr>
            <w:tcW w:w="821" w:type="dxa"/>
            <w:tcBorders>
              <w:top w:val="single" w:sz="4" w:space="0" w:color="auto"/>
              <w:left w:val="nil"/>
              <w:bottom w:val="single" w:sz="4" w:space="0" w:color="auto"/>
              <w:right w:val="nil"/>
            </w:tcBorders>
            <w:shd w:val="clear" w:color="auto" w:fill="auto"/>
            <w:noWrap/>
            <w:vAlign w:val="bottom"/>
            <w:hideMark/>
          </w:tcPr>
          <w:p w14:paraId="3DCF3107" w14:textId="1004B62F"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4,496</w:t>
            </w:r>
          </w:p>
        </w:tc>
      </w:tr>
      <w:tr w:rsidR="00FE5ED2" w:rsidRPr="00466A28" w14:paraId="7828EE56" w14:textId="77777777" w:rsidTr="00A62C0C">
        <w:trPr>
          <w:trHeight w:val="204"/>
        </w:trPr>
        <w:tc>
          <w:tcPr>
            <w:tcW w:w="3176" w:type="dxa"/>
            <w:tcBorders>
              <w:top w:val="nil"/>
              <w:left w:val="nil"/>
              <w:bottom w:val="nil"/>
              <w:right w:val="nil"/>
            </w:tcBorders>
            <w:shd w:val="clear" w:color="auto" w:fill="auto"/>
            <w:vAlign w:val="center"/>
            <w:hideMark/>
          </w:tcPr>
          <w:p w14:paraId="0D576614" w14:textId="2419AAEE" w:rsidR="00FE5ED2" w:rsidRPr="007203CA" w:rsidRDefault="00FE5ED2" w:rsidP="00A62C0C">
            <w:pPr>
              <w:spacing w:after="0" w:line="240" w:lineRule="auto"/>
              <w:jc w:val="left"/>
              <w:rPr>
                <w:rFonts w:ascii="Arial" w:hAnsi="Arial" w:cs="Arial"/>
                <w:b/>
                <w:bCs/>
                <w:color w:val="000000"/>
                <w:sz w:val="16"/>
                <w:szCs w:val="16"/>
              </w:rPr>
            </w:pPr>
            <w:r w:rsidRPr="007203CA">
              <w:rPr>
                <w:rFonts w:ascii="Arial" w:hAnsi="Arial" w:cs="Arial"/>
                <w:b/>
                <w:bCs/>
                <w:color w:val="000000"/>
                <w:sz w:val="16"/>
                <w:szCs w:val="16"/>
              </w:rPr>
              <w:t>Net (cost of)/contribution by</w:t>
            </w:r>
            <w:r w:rsidR="00A62C0C" w:rsidRPr="007203CA">
              <w:rPr>
                <w:rFonts w:ascii="Arial" w:hAnsi="Arial" w:cs="Arial"/>
                <w:b/>
                <w:bCs/>
                <w:color w:val="000000"/>
                <w:sz w:val="16"/>
                <w:szCs w:val="16"/>
              </w:rPr>
              <w:t xml:space="preserve"> </w:t>
            </w:r>
            <w:r w:rsidRPr="007203CA">
              <w:rPr>
                <w:rFonts w:ascii="Arial" w:hAnsi="Arial" w:cs="Arial"/>
                <w:b/>
                <w:bCs/>
                <w:color w:val="000000"/>
                <w:sz w:val="16"/>
                <w:szCs w:val="16"/>
              </w:rPr>
              <w:t>services</w:t>
            </w:r>
          </w:p>
        </w:tc>
        <w:tc>
          <w:tcPr>
            <w:tcW w:w="816" w:type="dxa"/>
            <w:tcBorders>
              <w:top w:val="nil"/>
              <w:left w:val="nil"/>
              <w:bottom w:val="single" w:sz="4" w:space="0" w:color="auto"/>
              <w:right w:val="nil"/>
            </w:tcBorders>
            <w:shd w:val="clear" w:color="auto" w:fill="auto"/>
            <w:noWrap/>
            <w:vAlign w:val="bottom"/>
            <w:hideMark/>
          </w:tcPr>
          <w:p w14:paraId="6CF3C6F5"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(19,516)</w:t>
            </w:r>
          </w:p>
        </w:tc>
        <w:tc>
          <w:tcPr>
            <w:tcW w:w="817" w:type="dxa"/>
            <w:tcBorders>
              <w:top w:val="nil"/>
              <w:left w:val="nil"/>
              <w:bottom w:val="single" w:sz="4" w:space="0" w:color="auto"/>
              <w:right w:val="nil"/>
            </w:tcBorders>
            <w:shd w:val="clear" w:color="000000" w:fill="E6E6E6"/>
            <w:noWrap/>
            <w:vAlign w:val="bottom"/>
            <w:hideMark/>
          </w:tcPr>
          <w:p w14:paraId="5F249FF6"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(29,208)</w:t>
            </w:r>
          </w:p>
        </w:tc>
        <w:tc>
          <w:tcPr>
            <w:tcW w:w="821" w:type="dxa"/>
            <w:tcBorders>
              <w:top w:val="nil"/>
              <w:left w:val="nil"/>
              <w:bottom w:val="single" w:sz="4" w:space="0" w:color="auto"/>
              <w:right w:val="nil"/>
            </w:tcBorders>
            <w:shd w:val="clear" w:color="auto" w:fill="auto"/>
            <w:noWrap/>
            <w:vAlign w:val="bottom"/>
            <w:hideMark/>
          </w:tcPr>
          <w:p w14:paraId="1B197D0E"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(30,805)</w:t>
            </w:r>
          </w:p>
        </w:tc>
        <w:tc>
          <w:tcPr>
            <w:tcW w:w="821" w:type="dxa"/>
            <w:tcBorders>
              <w:top w:val="nil"/>
              <w:left w:val="nil"/>
              <w:bottom w:val="single" w:sz="4" w:space="0" w:color="auto"/>
              <w:right w:val="nil"/>
            </w:tcBorders>
            <w:shd w:val="clear" w:color="auto" w:fill="auto"/>
            <w:noWrap/>
            <w:vAlign w:val="bottom"/>
            <w:hideMark/>
          </w:tcPr>
          <w:p w14:paraId="3BDF5003"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(31,797)</w:t>
            </w:r>
          </w:p>
        </w:tc>
        <w:tc>
          <w:tcPr>
            <w:tcW w:w="821" w:type="dxa"/>
            <w:tcBorders>
              <w:top w:val="nil"/>
              <w:left w:val="nil"/>
              <w:bottom w:val="single" w:sz="4" w:space="0" w:color="auto"/>
              <w:right w:val="nil"/>
            </w:tcBorders>
            <w:shd w:val="clear" w:color="auto" w:fill="auto"/>
            <w:noWrap/>
            <w:vAlign w:val="bottom"/>
            <w:hideMark/>
          </w:tcPr>
          <w:p w14:paraId="010D5956"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(32,048)</w:t>
            </w:r>
          </w:p>
        </w:tc>
      </w:tr>
      <w:tr w:rsidR="00FE5ED2" w:rsidRPr="00466A28" w14:paraId="49B6D287" w14:textId="77777777" w:rsidTr="00A62C0C">
        <w:trPr>
          <w:trHeight w:val="204"/>
        </w:trPr>
        <w:tc>
          <w:tcPr>
            <w:tcW w:w="3176" w:type="dxa"/>
            <w:tcBorders>
              <w:top w:val="nil"/>
              <w:left w:val="nil"/>
              <w:bottom w:val="nil"/>
              <w:right w:val="nil"/>
            </w:tcBorders>
            <w:shd w:val="clear" w:color="auto" w:fill="auto"/>
            <w:noWrap/>
            <w:vAlign w:val="bottom"/>
            <w:hideMark/>
          </w:tcPr>
          <w:p w14:paraId="554C5EFD" w14:textId="77777777" w:rsidR="00FE5ED2" w:rsidRPr="007203CA" w:rsidRDefault="00FE5ED2" w:rsidP="002738A9">
            <w:pPr>
              <w:spacing w:after="0" w:line="240" w:lineRule="auto"/>
              <w:ind w:left="113"/>
              <w:jc w:val="left"/>
              <w:rPr>
                <w:rFonts w:ascii="Arial" w:hAnsi="Arial" w:cs="Arial"/>
                <w:sz w:val="16"/>
                <w:szCs w:val="16"/>
              </w:rPr>
            </w:pPr>
            <w:r w:rsidRPr="007203CA">
              <w:rPr>
                <w:rFonts w:ascii="Arial" w:hAnsi="Arial" w:cs="Arial"/>
                <w:sz w:val="16"/>
                <w:szCs w:val="16"/>
              </w:rPr>
              <w:t>Revenue from Government</w:t>
            </w:r>
          </w:p>
        </w:tc>
        <w:tc>
          <w:tcPr>
            <w:tcW w:w="816" w:type="dxa"/>
            <w:tcBorders>
              <w:top w:val="nil"/>
              <w:left w:val="nil"/>
              <w:bottom w:val="single" w:sz="4" w:space="0" w:color="auto"/>
              <w:right w:val="nil"/>
            </w:tcBorders>
            <w:shd w:val="clear" w:color="auto" w:fill="auto"/>
            <w:noWrap/>
            <w:vAlign w:val="bottom"/>
            <w:hideMark/>
          </w:tcPr>
          <w:p w14:paraId="6DE4FE21" w14:textId="1FCDDF06"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26,535</w:t>
            </w:r>
          </w:p>
        </w:tc>
        <w:tc>
          <w:tcPr>
            <w:tcW w:w="817" w:type="dxa"/>
            <w:tcBorders>
              <w:top w:val="nil"/>
              <w:left w:val="nil"/>
              <w:bottom w:val="single" w:sz="4" w:space="0" w:color="auto"/>
              <w:right w:val="nil"/>
            </w:tcBorders>
            <w:shd w:val="clear" w:color="000000" w:fill="E6E6E6"/>
            <w:noWrap/>
            <w:vAlign w:val="bottom"/>
            <w:hideMark/>
          </w:tcPr>
          <w:p w14:paraId="04F61940" w14:textId="37F1BAA1"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28,026</w:t>
            </w:r>
          </w:p>
        </w:tc>
        <w:tc>
          <w:tcPr>
            <w:tcW w:w="821" w:type="dxa"/>
            <w:tcBorders>
              <w:top w:val="nil"/>
              <w:left w:val="nil"/>
              <w:bottom w:val="single" w:sz="4" w:space="0" w:color="auto"/>
              <w:right w:val="nil"/>
            </w:tcBorders>
            <w:shd w:val="clear" w:color="auto" w:fill="auto"/>
            <w:noWrap/>
            <w:vAlign w:val="bottom"/>
            <w:hideMark/>
          </w:tcPr>
          <w:p w14:paraId="70335708" w14:textId="4F9176F9"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29,543</w:t>
            </w:r>
          </w:p>
        </w:tc>
        <w:tc>
          <w:tcPr>
            <w:tcW w:w="821" w:type="dxa"/>
            <w:tcBorders>
              <w:top w:val="nil"/>
              <w:left w:val="nil"/>
              <w:bottom w:val="single" w:sz="4" w:space="0" w:color="auto"/>
              <w:right w:val="nil"/>
            </w:tcBorders>
            <w:shd w:val="clear" w:color="auto" w:fill="auto"/>
            <w:noWrap/>
            <w:vAlign w:val="bottom"/>
            <w:hideMark/>
          </w:tcPr>
          <w:p w14:paraId="7C9EC33E" w14:textId="1A8E090C"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30,169</w:t>
            </w:r>
          </w:p>
        </w:tc>
        <w:tc>
          <w:tcPr>
            <w:tcW w:w="821" w:type="dxa"/>
            <w:tcBorders>
              <w:top w:val="nil"/>
              <w:left w:val="nil"/>
              <w:bottom w:val="single" w:sz="4" w:space="0" w:color="auto"/>
              <w:right w:val="nil"/>
            </w:tcBorders>
            <w:shd w:val="clear" w:color="auto" w:fill="auto"/>
            <w:noWrap/>
            <w:vAlign w:val="bottom"/>
            <w:hideMark/>
          </w:tcPr>
          <w:p w14:paraId="71B50CBE" w14:textId="55FDDBFD" w:rsidR="00FE5ED2" w:rsidRPr="007203CA" w:rsidRDefault="00FE5ED2" w:rsidP="00FE5ED2">
            <w:pPr>
              <w:spacing w:after="0" w:line="240" w:lineRule="auto"/>
              <w:jc w:val="right"/>
              <w:rPr>
                <w:rFonts w:ascii="Arial" w:hAnsi="Arial" w:cs="Arial"/>
                <w:sz w:val="16"/>
                <w:szCs w:val="16"/>
              </w:rPr>
            </w:pPr>
            <w:r w:rsidRPr="007203CA">
              <w:rPr>
                <w:rFonts w:ascii="Arial" w:hAnsi="Arial" w:cs="Arial"/>
                <w:sz w:val="16"/>
                <w:szCs w:val="16"/>
              </w:rPr>
              <w:t>30,491</w:t>
            </w:r>
          </w:p>
        </w:tc>
      </w:tr>
      <w:tr w:rsidR="00FE5ED2" w:rsidRPr="00466A28" w14:paraId="259D0017" w14:textId="77777777" w:rsidTr="00A62C0C">
        <w:trPr>
          <w:trHeight w:val="204"/>
        </w:trPr>
        <w:tc>
          <w:tcPr>
            <w:tcW w:w="3176" w:type="dxa"/>
            <w:tcBorders>
              <w:top w:val="nil"/>
              <w:left w:val="nil"/>
              <w:bottom w:val="nil"/>
              <w:right w:val="nil"/>
            </w:tcBorders>
            <w:shd w:val="clear" w:color="auto" w:fill="auto"/>
            <w:vAlign w:val="bottom"/>
            <w:hideMark/>
          </w:tcPr>
          <w:p w14:paraId="05B7687A" w14:textId="19059C9D" w:rsidR="00FE5ED2" w:rsidRPr="007203CA" w:rsidRDefault="00FE5ED2" w:rsidP="00A62C0C">
            <w:pPr>
              <w:spacing w:after="0" w:line="240" w:lineRule="auto"/>
              <w:jc w:val="left"/>
              <w:rPr>
                <w:rFonts w:ascii="Arial" w:hAnsi="Arial" w:cs="Arial"/>
                <w:b/>
                <w:bCs/>
                <w:sz w:val="16"/>
                <w:szCs w:val="16"/>
              </w:rPr>
            </w:pPr>
            <w:r w:rsidRPr="007203CA">
              <w:rPr>
                <w:rFonts w:ascii="Arial" w:hAnsi="Arial" w:cs="Arial"/>
                <w:b/>
                <w:bCs/>
                <w:sz w:val="16"/>
                <w:szCs w:val="16"/>
              </w:rPr>
              <w:t>Surplus/(deficit) attributable to the</w:t>
            </w:r>
            <w:r w:rsidR="00A62C0C" w:rsidRPr="007203CA">
              <w:rPr>
                <w:rFonts w:ascii="Arial" w:hAnsi="Arial" w:cs="Arial"/>
                <w:b/>
                <w:bCs/>
                <w:sz w:val="16"/>
                <w:szCs w:val="16"/>
              </w:rPr>
              <w:t xml:space="preserve"> </w:t>
            </w:r>
            <w:r w:rsidRPr="007203CA">
              <w:rPr>
                <w:rFonts w:ascii="Arial" w:hAnsi="Arial" w:cs="Arial"/>
                <w:b/>
                <w:bCs/>
                <w:sz w:val="16"/>
                <w:szCs w:val="16"/>
              </w:rPr>
              <w:t>Australian Government</w:t>
            </w:r>
          </w:p>
        </w:tc>
        <w:tc>
          <w:tcPr>
            <w:tcW w:w="816" w:type="dxa"/>
            <w:tcBorders>
              <w:top w:val="nil"/>
              <w:left w:val="nil"/>
              <w:bottom w:val="single" w:sz="4" w:space="0" w:color="auto"/>
              <w:right w:val="nil"/>
            </w:tcBorders>
            <w:shd w:val="clear" w:color="auto" w:fill="auto"/>
            <w:noWrap/>
            <w:vAlign w:val="bottom"/>
            <w:hideMark/>
          </w:tcPr>
          <w:p w14:paraId="682FC538" w14:textId="06ED4F75"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7,019</w:t>
            </w:r>
          </w:p>
        </w:tc>
        <w:tc>
          <w:tcPr>
            <w:tcW w:w="817" w:type="dxa"/>
            <w:tcBorders>
              <w:top w:val="nil"/>
              <w:left w:val="nil"/>
              <w:bottom w:val="single" w:sz="4" w:space="0" w:color="auto"/>
              <w:right w:val="nil"/>
            </w:tcBorders>
            <w:shd w:val="clear" w:color="000000" w:fill="E6E6E6"/>
            <w:noWrap/>
            <w:vAlign w:val="bottom"/>
            <w:hideMark/>
          </w:tcPr>
          <w:p w14:paraId="0BADD854"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(1,182)</w:t>
            </w:r>
          </w:p>
        </w:tc>
        <w:tc>
          <w:tcPr>
            <w:tcW w:w="821" w:type="dxa"/>
            <w:tcBorders>
              <w:top w:val="nil"/>
              <w:left w:val="nil"/>
              <w:bottom w:val="single" w:sz="4" w:space="0" w:color="auto"/>
              <w:right w:val="nil"/>
            </w:tcBorders>
            <w:shd w:val="clear" w:color="auto" w:fill="auto"/>
            <w:noWrap/>
            <w:vAlign w:val="bottom"/>
            <w:hideMark/>
          </w:tcPr>
          <w:p w14:paraId="2750BFF8"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(1,262)</w:t>
            </w:r>
          </w:p>
        </w:tc>
        <w:tc>
          <w:tcPr>
            <w:tcW w:w="821" w:type="dxa"/>
            <w:tcBorders>
              <w:top w:val="nil"/>
              <w:left w:val="nil"/>
              <w:bottom w:val="single" w:sz="4" w:space="0" w:color="auto"/>
              <w:right w:val="nil"/>
            </w:tcBorders>
            <w:shd w:val="clear" w:color="auto" w:fill="auto"/>
            <w:noWrap/>
            <w:vAlign w:val="bottom"/>
            <w:hideMark/>
          </w:tcPr>
          <w:p w14:paraId="5FE1626F"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(1,628)</w:t>
            </w:r>
          </w:p>
        </w:tc>
        <w:tc>
          <w:tcPr>
            <w:tcW w:w="821" w:type="dxa"/>
            <w:tcBorders>
              <w:top w:val="nil"/>
              <w:left w:val="nil"/>
              <w:bottom w:val="single" w:sz="4" w:space="0" w:color="auto"/>
              <w:right w:val="nil"/>
            </w:tcBorders>
            <w:shd w:val="clear" w:color="auto" w:fill="auto"/>
            <w:noWrap/>
            <w:vAlign w:val="bottom"/>
            <w:hideMark/>
          </w:tcPr>
          <w:p w14:paraId="648A3841"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(1,557)</w:t>
            </w:r>
          </w:p>
        </w:tc>
      </w:tr>
      <w:tr w:rsidR="00FE5ED2" w:rsidRPr="00466A28" w14:paraId="3CC94BFC" w14:textId="77777777" w:rsidTr="00A62C0C">
        <w:trPr>
          <w:trHeight w:val="204"/>
        </w:trPr>
        <w:tc>
          <w:tcPr>
            <w:tcW w:w="3176" w:type="dxa"/>
            <w:tcBorders>
              <w:top w:val="nil"/>
              <w:left w:val="nil"/>
              <w:bottom w:val="single" w:sz="4" w:space="0" w:color="auto"/>
              <w:right w:val="nil"/>
            </w:tcBorders>
            <w:shd w:val="clear" w:color="auto" w:fill="auto"/>
            <w:vAlign w:val="bottom"/>
            <w:hideMark/>
          </w:tcPr>
          <w:p w14:paraId="33CD191F" w14:textId="66FE814D" w:rsidR="00FE5ED2" w:rsidRPr="007203CA" w:rsidRDefault="00FE5ED2" w:rsidP="00A62C0C">
            <w:pPr>
              <w:spacing w:after="0" w:line="240" w:lineRule="auto"/>
              <w:jc w:val="left"/>
              <w:rPr>
                <w:rFonts w:ascii="Arial" w:hAnsi="Arial" w:cs="Arial"/>
                <w:b/>
                <w:bCs/>
                <w:sz w:val="16"/>
                <w:szCs w:val="16"/>
              </w:rPr>
            </w:pPr>
            <w:r w:rsidRPr="007203CA">
              <w:rPr>
                <w:rFonts w:ascii="Arial" w:hAnsi="Arial" w:cs="Arial"/>
                <w:b/>
                <w:bCs/>
                <w:sz w:val="16"/>
                <w:szCs w:val="16"/>
              </w:rPr>
              <w:t>Total comprehensive income/(loss)</w:t>
            </w:r>
            <w:r w:rsidR="00A62C0C" w:rsidRPr="007203CA">
              <w:rPr>
                <w:rFonts w:ascii="Arial" w:hAnsi="Arial" w:cs="Arial"/>
                <w:b/>
                <w:bCs/>
                <w:sz w:val="16"/>
                <w:szCs w:val="16"/>
              </w:rPr>
              <w:t xml:space="preserve"> </w:t>
            </w:r>
            <w:r w:rsidRPr="007203CA">
              <w:rPr>
                <w:rFonts w:ascii="Arial" w:hAnsi="Arial" w:cs="Arial"/>
                <w:b/>
                <w:bCs/>
                <w:sz w:val="16"/>
                <w:szCs w:val="16"/>
              </w:rPr>
              <w:t>attributable to the Australian</w:t>
            </w:r>
            <w:r w:rsidR="00A62C0C" w:rsidRPr="007203CA">
              <w:rPr>
                <w:rFonts w:ascii="Arial" w:hAnsi="Arial" w:cs="Arial"/>
                <w:b/>
                <w:bCs/>
                <w:sz w:val="16"/>
                <w:szCs w:val="16"/>
              </w:rPr>
              <w:t xml:space="preserve"> </w:t>
            </w:r>
            <w:r w:rsidRPr="007203CA">
              <w:rPr>
                <w:rFonts w:ascii="Arial" w:hAnsi="Arial" w:cs="Arial"/>
                <w:b/>
                <w:bCs/>
                <w:sz w:val="16"/>
                <w:szCs w:val="16"/>
              </w:rPr>
              <w:t>Government</w:t>
            </w:r>
          </w:p>
        </w:tc>
        <w:tc>
          <w:tcPr>
            <w:tcW w:w="816" w:type="dxa"/>
            <w:tcBorders>
              <w:top w:val="nil"/>
              <w:left w:val="nil"/>
              <w:bottom w:val="single" w:sz="4" w:space="0" w:color="auto"/>
              <w:right w:val="nil"/>
            </w:tcBorders>
            <w:shd w:val="clear" w:color="auto" w:fill="auto"/>
            <w:noWrap/>
            <w:vAlign w:val="bottom"/>
            <w:hideMark/>
          </w:tcPr>
          <w:p w14:paraId="5E498CC2" w14:textId="58BB1936"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7,019</w:t>
            </w:r>
          </w:p>
        </w:tc>
        <w:tc>
          <w:tcPr>
            <w:tcW w:w="817" w:type="dxa"/>
            <w:tcBorders>
              <w:top w:val="nil"/>
              <w:left w:val="nil"/>
              <w:bottom w:val="single" w:sz="4" w:space="0" w:color="auto"/>
              <w:right w:val="nil"/>
            </w:tcBorders>
            <w:shd w:val="clear" w:color="000000" w:fill="E6E6E6"/>
            <w:noWrap/>
            <w:vAlign w:val="bottom"/>
            <w:hideMark/>
          </w:tcPr>
          <w:p w14:paraId="46A9C7CA"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(1,182)</w:t>
            </w:r>
          </w:p>
        </w:tc>
        <w:tc>
          <w:tcPr>
            <w:tcW w:w="821" w:type="dxa"/>
            <w:tcBorders>
              <w:top w:val="nil"/>
              <w:left w:val="nil"/>
              <w:bottom w:val="single" w:sz="4" w:space="0" w:color="auto"/>
              <w:right w:val="nil"/>
            </w:tcBorders>
            <w:shd w:val="clear" w:color="auto" w:fill="auto"/>
            <w:noWrap/>
            <w:vAlign w:val="bottom"/>
            <w:hideMark/>
          </w:tcPr>
          <w:p w14:paraId="7A627E00"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(1,262)</w:t>
            </w:r>
          </w:p>
        </w:tc>
        <w:tc>
          <w:tcPr>
            <w:tcW w:w="821" w:type="dxa"/>
            <w:tcBorders>
              <w:top w:val="nil"/>
              <w:left w:val="nil"/>
              <w:bottom w:val="single" w:sz="4" w:space="0" w:color="auto"/>
              <w:right w:val="nil"/>
            </w:tcBorders>
            <w:shd w:val="clear" w:color="auto" w:fill="auto"/>
            <w:noWrap/>
            <w:vAlign w:val="bottom"/>
            <w:hideMark/>
          </w:tcPr>
          <w:p w14:paraId="2F88BC3D"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(1,628)</w:t>
            </w:r>
          </w:p>
        </w:tc>
        <w:tc>
          <w:tcPr>
            <w:tcW w:w="821" w:type="dxa"/>
            <w:tcBorders>
              <w:top w:val="nil"/>
              <w:left w:val="nil"/>
              <w:bottom w:val="single" w:sz="4" w:space="0" w:color="auto"/>
              <w:right w:val="nil"/>
            </w:tcBorders>
            <w:shd w:val="clear" w:color="auto" w:fill="auto"/>
            <w:noWrap/>
            <w:vAlign w:val="bottom"/>
            <w:hideMark/>
          </w:tcPr>
          <w:p w14:paraId="2BAA3BEA" w14:textId="77777777" w:rsidR="00FE5ED2" w:rsidRPr="007203CA" w:rsidRDefault="00FE5ED2" w:rsidP="00FE5ED2">
            <w:pPr>
              <w:spacing w:after="0" w:line="240" w:lineRule="auto"/>
              <w:jc w:val="right"/>
              <w:rPr>
                <w:rFonts w:ascii="Arial" w:hAnsi="Arial" w:cs="Arial"/>
                <w:b/>
                <w:bCs/>
                <w:sz w:val="16"/>
                <w:szCs w:val="16"/>
              </w:rPr>
            </w:pPr>
            <w:r w:rsidRPr="007203CA">
              <w:rPr>
                <w:rFonts w:ascii="Arial" w:hAnsi="Arial" w:cs="Arial"/>
                <w:b/>
                <w:bCs/>
                <w:sz w:val="16"/>
                <w:szCs w:val="16"/>
              </w:rPr>
              <w:t>(1,557)</w:t>
            </w:r>
          </w:p>
        </w:tc>
      </w:tr>
    </w:tbl>
    <w:p w14:paraId="7AB03672" w14:textId="77777777" w:rsidR="007203CA" w:rsidRPr="007203CA" w:rsidRDefault="007203CA" w:rsidP="007203CA">
      <w:pPr>
        <w:pStyle w:val="TableHeadingNoTable"/>
        <w:pBdr>
          <w:bottom w:val="single" w:sz="4" w:space="1" w:color="auto"/>
        </w:pBdr>
        <w:spacing w:after="0"/>
        <w:ind w:right="460"/>
        <w:rPr>
          <w:sz w:val="16"/>
          <w:szCs w:val="16"/>
        </w:rPr>
      </w:pPr>
      <w:r w:rsidRPr="007203CA">
        <w:rPr>
          <w:sz w:val="16"/>
          <w:szCs w:val="16"/>
        </w:rPr>
        <w:t>Note: Impact of net cash appropriation arrangements</w:t>
      </w:r>
    </w:p>
    <w:tbl>
      <w:tblPr>
        <w:tblW w:w="7260" w:type="dxa"/>
        <w:tblLook w:val="04A0" w:firstRow="1" w:lastRow="0" w:firstColumn="1" w:lastColumn="0" w:noHBand="0" w:noVBand="1"/>
      </w:tblPr>
      <w:tblGrid>
        <w:gridCol w:w="3160"/>
        <w:gridCol w:w="820"/>
        <w:gridCol w:w="820"/>
        <w:gridCol w:w="820"/>
        <w:gridCol w:w="820"/>
        <w:gridCol w:w="820"/>
      </w:tblGrid>
      <w:tr w:rsidR="007203CA" w:rsidRPr="00092545" w14:paraId="783BDD6B" w14:textId="77777777" w:rsidTr="007203CA">
        <w:trPr>
          <w:trHeight w:val="204"/>
        </w:trPr>
        <w:tc>
          <w:tcPr>
            <w:tcW w:w="3160" w:type="dxa"/>
            <w:tcBorders>
              <w:top w:val="nil"/>
              <w:left w:val="nil"/>
              <w:right w:val="nil"/>
            </w:tcBorders>
            <w:shd w:val="clear" w:color="auto" w:fill="auto"/>
            <w:vAlign w:val="center"/>
            <w:hideMark/>
          </w:tcPr>
          <w:p w14:paraId="1BB8F422" w14:textId="77777777" w:rsidR="007203CA" w:rsidRPr="00092545" w:rsidRDefault="007203CA" w:rsidP="0036693C">
            <w:pPr>
              <w:spacing w:after="0" w:line="240" w:lineRule="auto"/>
              <w:jc w:val="left"/>
              <w:rPr>
                <w:rFonts w:ascii="Arial" w:hAnsi="Arial" w:cs="Arial"/>
                <w:b/>
                <w:bCs/>
                <w:color w:val="000000"/>
                <w:sz w:val="16"/>
                <w:szCs w:val="16"/>
              </w:rPr>
            </w:pPr>
            <w:r w:rsidRPr="00092545">
              <w:rPr>
                <w:rFonts w:ascii="Arial" w:hAnsi="Arial" w:cs="Arial"/>
                <w:b/>
                <w:bCs/>
                <w:color w:val="000000"/>
                <w:sz w:val="16"/>
                <w:szCs w:val="16"/>
              </w:rPr>
              <w:t>Total comprehensive income/(loss)</w:t>
            </w:r>
            <w:r>
              <w:rPr>
                <w:rFonts w:ascii="Arial" w:hAnsi="Arial" w:cs="Arial"/>
                <w:b/>
                <w:bCs/>
                <w:color w:val="000000"/>
                <w:sz w:val="16"/>
                <w:szCs w:val="16"/>
              </w:rPr>
              <w:t xml:space="preserve"> </w:t>
            </w:r>
            <w:r w:rsidRPr="00092545">
              <w:rPr>
                <w:rFonts w:ascii="Arial" w:hAnsi="Arial" w:cs="Arial"/>
                <w:b/>
                <w:bCs/>
                <w:color w:val="000000"/>
                <w:sz w:val="16"/>
                <w:szCs w:val="16"/>
              </w:rPr>
              <w:t>- as per the Statement of</w:t>
            </w:r>
            <w:r>
              <w:rPr>
                <w:rFonts w:ascii="Arial" w:hAnsi="Arial" w:cs="Arial"/>
                <w:b/>
                <w:bCs/>
                <w:color w:val="000000"/>
                <w:sz w:val="16"/>
                <w:szCs w:val="16"/>
              </w:rPr>
              <w:t xml:space="preserve"> </w:t>
            </w:r>
            <w:r w:rsidRPr="00092545">
              <w:rPr>
                <w:rFonts w:ascii="Arial" w:hAnsi="Arial" w:cs="Arial"/>
                <w:b/>
                <w:bCs/>
                <w:color w:val="000000"/>
                <w:sz w:val="16"/>
                <w:szCs w:val="16"/>
              </w:rPr>
              <w:t>comprehensive income</w:t>
            </w:r>
          </w:p>
        </w:tc>
        <w:tc>
          <w:tcPr>
            <w:tcW w:w="820" w:type="dxa"/>
            <w:tcBorders>
              <w:left w:val="nil"/>
              <w:right w:val="nil"/>
            </w:tcBorders>
            <w:shd w:val="clear" w:color="auto" w:fill="auto"/>
            <w:vAlign w:val="bottom"/>
            <w:hideMark/>
          </w:tcPr>
          <w:p w14:paraId="217A7CA4" w14:textId="77777777" w:rsidR="007203CA" w:rsidRPr="00092545" w:rsidRDefault="007203CA" w:rsidP="0036693C">
            <w:pPr>
              <w:spacing w:after="0" w:line="240" w:lineRule="auto"/>
              <w:jc w:val="right"/>
              <w:rPr>
                <w:rFonts w:ascii="Arial" w:hAnsi="Arial" w:cs="Arial"/>
                <w:b/>
                <w:bCs/>
                <w:sz w:val="16"/>
                <w:szCs w:val="16"/>
              </w:rPr>
            </w:pPr>
            <w:r w:rsidRPr="00092545">
              <w:rPr>
                <w:rFonts w:ascii="Arial" w:hAnsi="Arial" w:cs="Arial"/>
                <w:b/>
                <w:bCs/>
                <w:sz w:val="16"/>
                <w:szCs w:val="16"/>
              </w:rPr>
              <w:t>7,019</w:t>
            </w:r>
          </w:p>
        </w:tc>
        <w:tc>
          <w:tcPr>
            <w:tcW w:w="820" w:type="dxa"/>
            <w:tcBorders>
              <w:left w:val="nil"/>
              <w:right w:val="nil"/>
            </w:tcBorders>
            <w:shd w:val="clear" w:color="000000" w:fill="E6E6E6"/>
            <w:vAlign w:val="bottom"/>
            <w:hideMark/>
          </w:tcPr>
          <w:p w14:paraId="730C7392" w14:textId="77777777" w:rsidR="007203CA" w:rsidRPr="00092545" w:rsidRDefault="007203CA" w:rsidP="0036693C">
            <w:pPr>
              <w:spacing w:after="0" w:line="240" w:lineRule="auto"/>
              <w:jc w:val="right"/>
              <w:rPr>
                <w:rFonts w:ascii="Arial" w:hAnsi="Arial" w:cs="Arial"/>
                <w:b/>
                <w:bCs/>
                <w:sz w:val="16"/>
                <w:szCs w:val="16"/>
              </w:rPr>
            </w:pPr>
            <w:r w:rsidRPr="00092545">
              <w:rPr>
                <w:rFonts w:ascii="Arial" w:hAnsi="Arial" w:cs="Arial"/>
                <w:b/>
                <w:bCs/>
                <w:sz w:val="16"/>
                <w:szCs w:val="16"/>
              </w:rPr>
              <w:t>(1,182)</w:t>
            </w:r>
          </w:p>
        </w:tc>
        <w:tc>
          <w:tcPr>
            <w:tcW w:w="820" w:type="dxa"/>
            <w:tcBorders>
              <w:left w:val="nil"/>
              <w:right w:val="nil"/>
            </w:tcBorders>
            <w:shd w:val="clear" w:color="auto" w:fill="auto"/>
            <w:vAlign w:val="bottom"/>
            <w:hideMark/>
          </w:tcPr>
          <w:p w14:paraId="3FBA99A1" w14:textId="77777777" w:rsidR="007203CA" w:rsidRPr="00092545" w:rsidRDefault="007203CA" w:rsidP="0036693C">
            <w:pPr>
              <w:spacing w:after="0" w:line="240" w:lineRule="auto"/>
              <w:jc w:val="right"/>
              <w:rPr>
                <w:rFonts w:ascii="Arial" w:hAnsi="Arial" w:cs="Arial"/>
                <w:b/>
                <w:bCs/>
                <w:sz w:val="16"/>
                <w:szCs w:val="16"/>
              </w:rPr>
            </w:pPr>
            <w:r w:rsidRPr="00092545">
              <w:rPr>
                <w:rFonts w:ascii="Arial" w:hAnsi="Arial" w:cs="Arial"/>
                <w:b/>
                <w:bCs/>
                <w:sz w:val="16"/>
                <w:szCs w:val="16"/>
              </w:rPr>
              <w:t>(1,262)</w:t>
            </w:r>
          </w:p>
        </w:tc>
        <w:tc>
          <w:tcPr>
            <w:tcW w:w="820" w:type="dxa"/>
            <w:tcBorders>
              <w:left w:val="nil"/>
              <w:right w:val="nil"/>
            </w:tcBorders>
            <w:shd w:val="clear" w:color="auto" w:fill="auto"/>
            <w:vAlign w:val="bottom"/>
            <w:hideMark/>
          </w:tcPr>
          <w:p w14:paraId="74A49D69" w14:textId="77777777" w:rsidR="007203CA" w:rsidRPr="00092545" w:rsidRDefault="007203CA" w:rsidP="0036693C">
            <w:pPr>
              <w:spacing w:after="0" w:line="240" w:lineRule="auto"/>
              <w:jc w:val="right"/>
              <w:rPr>
                <w:rFonts w:ascii="Arial" w:hAnsi="Arial" w:cs="Arial"/>
                <w:b/>
                <w:bCs/>
                <w:sz w:val="16"/>
                <w:szCs w:val="16"/>
              </w:rPr>
            </w:pPr>
            <w:r w:rsidRPr="00092545">
              <w:rPr>
                <w:rFonts w:ascii="Arial" w:hAnsi="Arial" w:cs="Arial"/>
                <w:b/>
                <w:bCs/>
                <w:sz w:val="16"/>
                <w:szCs w:val="16"/>
              </w:rPr>
              <w:t>(1,628)</w:t>
            </w:r>
          </w:p>
        </w:tc>
        <w:tc>
          <w:tcPr>
            <w:tcW w:w="820" w:type="dxa"/>
            <w:tcBorders>
              <w:left w:val="nil"/>
              <w:right w:val="nil"/>
            </w:tcBorders>
            <w:shd w:val="clear" w:color="auto" w:fill="auto"/>
            <w:vAlign w:val="bottom"/>
            <w:hideMark/>
          </w:tcPr>
          <w:p w14:paraId="6A37C2DF" w14:textId="77777777" w:rsidR="007203CA" w:rsidRPr="00092545" w:rsidRDefault="007203CA" w:rsidP="0036693C">
            <w:pPr>
              <w:spacing w:after="0" w:line="240" w:lineRule="auto"/>
              <w:jc w:val="right"/>
              <w:rPr>
                <w:rFonts w:ascii="Arial" w:hAnsi="Arial" w:cs="Arial"/>
                <w:b/>
                <w:bCs/>
                <w:sz w:val="16"/>
                <w:szCs w:val="16"/>
              </w:rPr>
            </w:pPr>
            <w:r w:rsidRPr="00092545">
              <w:rPr>
                <w:rFonts w:ascii="Arial" w:hAnsi="Arial" w:cs="Arial"/>
                <w:b/>
                <w:bCs/>
                <w:sz w:val="16"/>
                <w:szCs w:val="16"/>
              </w:rPr>
              <w:t>(1,557)</w:t>
            </w:r>
          </w:p>
        </w:tc>
      </w:tr>
      <w:tr w:rsidR="007203CA" w:rsidRPr="00092545" w14:paraId="2F8439BB" w14:textId="77777777" w:rsidTr="0036693C">
        <w:trPr>
          <w:trHeight w:val="204"/>
        </w:trPr>
        <w:tc>
          <w:tcPr>
            <w:tcW w:w="3160" w:type="dxa"/>
            <w:tcBorders>
              <w:top w:val="nil"/>
              <w:left w:val="nil"/>
              <w:bottom w:val="nil"/>
              <w:right w:val="nil"/>
            </w:tcBorders>
            <w:shd w:val="clear" w:color="auto" w:fill="auto"/>
            <w:vAlign w:val="bottom"/>
            <w:hideMark/>
          </w:tcPr>
          <w:p w14:paraId="2BAA4E1B" w14:textId="77777777" w:rsidR="007203CA" w:rsidRPr="00092545" w:rsidRDefault="007203CA" w:rsidP="0036693C">
            <w:pPr>
              <w:spacing w:after="0" w:line="240" w:lineRule="auto"/>
              <w:ind w:left="113"/>
              <w:jc w:val="left"/>
              <w:rPr>
                <w:rFonts w:ascii="Arial" w:hAnsi="Arial" w:cs="Arial"/>
                <w:color w:val="000000"/>
                <w:sz w:val="16"/>
                <w:szCs w:val="16"/>
              </w:rPr>
            </w:pPr>
            <w:r>
              <w:rPr>
                <w:rFonts w:ascii="Arial" w:hAnsi="Arial" w:cs="Arial"/>
                <w:color w:val="000000"/>
                <w:sz w:val="16"/>
                <w:szCs w:val="16"/>
              </w:rPr>
              <w:t>plu</w:t>
            </w:r>
            <w:r w:rsidRPr="00092545">
              <w:rPr>
                <w:rFonts w:ascii="Arial" w:hAnsi="Arial" w:cs="Arial"/>
                <w:color w:val="000000"/>
                <w:sz w:val="16"/>
                <w:szCs w:val="16"/>
              </w:rPr>
              <w:t>s: Heritage and cultural depreciation/amortisation expenses previously funded through</w:t>
            </w:r>
            <w:r>
              <w:rPr>
                <w:rFonts w:ascii="Arial" w:hAnsi="Arial" w:cs="Arial"/>
                <w:color w:val="000000"/>
                <w:sz w:val="16"/>
                <w:szCs w:val="16"/>
              </w:rPr>
              <w:t xml:space="preserve"> </w:t>
            </w:r>
            <w:r w:rsidRPr="00092545">
              <w:rPr>
                <w:rFonts w:ascii="Arial" w:hAnsi="Arial" w:cs="Arial"/>
                <w:color w:val="000000"/>
                <w:sz w:val="16"/>
                <w:szCs w:val="16"/>
              </w:rPr>
              <w:t xml:space="preserve">revenue appropriations </w:t>
            </w:r>
            <w:r w:rsidRPr="00A62C0C">
              <w:rPr>
                <w:rFonts w:ascii="Arial" w:hAnsi="Arial" w:cs="Arial"/>
                <w:color w:val="000000"/>
                <w:sz w:val="16"/>
                <w:szCs w:val="16"/>
                <w:vertAlign w:val="superscript"/>
              </w:rPr>
              <w:t>(a)</w:t>
            </w:r>
          </w:p>
        </w:tc>
        <w:tc>
          <w:tcPr>
            <w:tcW w:w="820" w:type="dxa"/>
            <w:tcBorders>
              <w:top w:val="nil"/>
              <w:left w:val="nil"/>
              <w:bottom w:val="nil"/>
              <w:right w:val="nil"/>
            </w:tcBorders>
            <w:shd w:val="clear" w:color="auto" w:fill="auto"/>
            <w:noWrap/>
            <w:vAlign w:val="bottom"/>
            <w:hideMark/>
          </w:tcPr>
          <w:p w14:paraId="3F831B94" w14:textId="77777777" w:rsidR="007203CA" w:rsidRPr="00092545" w:rsidRDefault="007203CA" w:rsidP="0036693C">
            <w:pPr>
              <w:spacing w:after="0" w:line="240" w:lineRule="auto"/>
              <w:jc w:val="right"/>
              <w:rPr>
                <w:rFonts w:ascii="Arial" w:hAnsi="Arial" w:cs="Arial"/>
                <w:sz w:val="16"/>
                <w:szCs w:val="16"/>
              </w:rPr>
            </w:pPr>
            <w:r w:rsidRPr="00092545">
              <w:rPr>
                <w:rFonts w:ascii="Arial" w:hAnsi="Arial" w:cs="Arial"/>
                <w:sz w:val="16"/>
                <w:szCs w:val="16"/>
              </w:rPr>
              <w:t>1,947</w:t>
            </w:r>
          </w:p>
        </w:tc>
        <w:tc>
          <w:tcPr>
            <w:tcW w:w="820" w:type="dxa"/>
            <w:tcBorders>
              <w:top w:val="nil"/>
              <w:left w:val="nil"/>
              <w:bottom w:val="nil"/>
              <w:right w:val="nil"/>
            </w:tcBorders>
            <w:shd w:val="clear" w:color="000000" w:fill="E6E6E6"/>
            <w:noWrap/>
            <w:vAlign w:val="bottom"/>
            <w:hideMark/>
          </w:tcPr>
          <w:p w14:paraId="23C5D854" w14:textId="77777777" w:rsidR="007203CA" w:rsidRPr="000E317F" w:rsidRDefault="007203CA" w:rsidP="0036693C">
            <w:pPr>
              <w:spacing w:after="0" w:line="240" w:lineRule="auto"/>
              <w:jc w:val="right"/>
              <w:rPr>
                <w:rFonts w:ascii="Arial" w:hAnsi="Arial" w:cs="Arial"/>
                <w:bCs/>
                <w:sz w:val="16"/>
                <w:szCs w:val="16"/>
              </w:rPr>
            </w:pPr>
            <w:r w:rsidRPr="000E317F">
              <w:rPr>
                <w:rFonts w:ascii="Arial" w:hAnsi="Arial" w:cs="Arial"/>
                <w:bCs/>
                <w:sz w:val="16"/>
                <w:szCs w:val="16"/>
              </w:rPr>
              <w:t>1,936</w:t>
            </w:r>
          </w:p>
        </w:tc>
        <w:tc>
          <w:tcPr>
            <w:tcW w:w="820" w:type="dxa"/>
            <w:tcBorders>
              <w:top w:val="nil"/>
              <w:left w:val="nil"/>
              <w:bottom w:val="nil"/>
              <w:right w:val="nil"/>
            </w:tcBorders>
            <w:shd w:val="clear" w:color="auto" w:fill="auto"/>
            <w:noWrap/>
            <w:vAlign w:val="bottom"/>
            <w:hideMark/>
          </w:tcPr>
          <w:p w14:paraId="7808E701" w14:textId="77777777" w:rsidR="007203CA" w:rsidRPr="00092545" w:rsidRDefault="007203CA" w:rsidP="0036693C">
            <w:pPr>
              <w:spacing w:after="0" w:line="240" w:lineRule="auto"/>
              <w:jc w:val="right"/>
              <w:rPr>
                <w:rFonts w:ascii="Arial" w:hAnsi="Arial" w:cs="Arial"/>
                <w:sz w:val="16"/>
                <w:szCs w:val="16"/>
              </w:rPr>
            </w:pPr>
            <w:r w:rsidRPr="00092545">
              <w:rPr>
                <w:rFonts w:ascii="Arial" w:hAnsi="Arial" w:cs="Arial"/>
                <w:sz w:val="16"/>
                <w:szCs w:val="16"/>
              </w:rPr>
              <w:t>1,936</w:t>
            </w:r>
          </w:p>
        </w:tc>
        <w:tc>
          <w:tcPr>
            <w:tcW w:w="820" w:type="dxa"/>
            <w:tcBorders>
              <w:top w:val="nil"/>
              <w:left w:val="nil"/>
              <w:bottom w:val="nil"/>
              <w:right w:val="nil"/>
            </w:tcBorders>
            <w:shd w:val="clear" w:color="auto" w:fill="auto"/>
            <w:noWrap/>
            <w:vAlign w:val="bottom"/>
            <w:hideMark/>
          </w:tcPr>
          <w:p w14:paraId="0892FF10" w14:textId="77777777" w:rsidR="007203CA" w:rsidRPr="00092545" w:rsidRDefault="007203CA" w:rsidP="0036693C">
            <w:pPr>
              <w:spacing w:after="0" w:line="240" w:lineRule="auto"/>
              <w:jc w:val="right"/>
              <w:rPr>
                <w:rFonts w:ascii="Arial" w:hAnsi="Arial" w:cs="Arial"/>
                <w:sz w:val="16"/>
                <w:szCs w:val="16"/>
              </w:rPr>
            </w:pPr>
            <w:r w:rsidRPr="00092545">
              <w:rPr>
                <w:rFonts w:ascii="Arial" w:hAnsi="Arial" w:cs="Arial"/>
                <w:sz w:val="16"/>
                <w:szCs w:val="16"/>
              </w:rPr>
              <w:t>1,936</w:t>
            </w:r>
          </w:p>
        </w:tc>
        <w:tc>
          <w:tcPr>
            <w:tcW w:w="820" w:type="dxa"/>
            <w:tcBorders>
              <w:top w:val="nil"/>
              <w:left w:val="nil"/>
              <w:bottom w:val="nil"/>
              <w:right w:val="nil"/>
            </w:tcBorders>
            <w:shd w:val="clear" w:color="auto" w:fill="auto"/>
            <w:noWrap/>
            <w:vAlign w:val="bottom"/>
            <w:hideMark/>
          </w:tcPr>
          <w:p w14:paraId="0A4FB94B" w14:textId="77777777" w:rsidR="007203CA" w:rsidRPr="00092545" w:rsidRDefault="007203CA" w:rsidP="0036693C">
            <w:pPr>
              <w:spacing w:after="0" w:line="240" w:lineRule="auto"/>
              <w:jc w:val="right"/>
              <w:rPr>
                <w:rFonts w:ascii="Arial" w:hAnsi="Arial" w:cs="Arial"/>
                <w:sz w:val="16"/>
                <w:szCs w:val="16"/>
              </w:rPr>
            </w:pPr>
            <w:r w:rsidRPr="00092545">
              <w:rPr>
                <w:rFonts w:ascii="Arial" w:hAnsi="Arial" w:cs="Arial"/>
                <w:sz w:val="16"/>
                <w:szCs w:val="16"/>
              </w:rPr>
              <w:t>1,936</w:t>
            </w:r>
          </w:p>
        </w:tc>
      </w:tr>
      <w:tr w:rsidR="007203CA" w:rsidRPr="00092545" w14:paraId="5196C6FE" w14:textId="77777777" w:rsidTr="0036693C">
        <w:trPr>
          <w:trHeight w:val="204"/>
        </w:trPr>
        <w:tc>
          <w:tcPr>
            <w:tcW w:w="3160" w:type="dxa"/>
            <w:tcBorders>
              <w:top w:val="nil"/>
              <w:left w:val="nil"/>
              <w:bottom w:val="nil"/>
              <w:right w:val="nil"/>
            </w:tcBorders>
            <w:shd w:val="clear" w:color="auto" w:fill="auto"/>
            <w:vAlign w:val="bottom"/>
            <w:hideMark/>
          </w:tcPr>
          <w:p w14:paraId="7EA77958" w14:textId="77777777" w:rsidR="007203CA" w:rsidRPr="00092545" w:rsidRDefault="007203CA" w:rsidP="0036693C">
            <w:pPr>
              <w:spacing w:after="0" w:line="240" w:lineRule="auto"/>
              <w:ind w:left="113"/>
              <w:jc w:val="left"/>
              <w:rPr>
                <w:rFonts w:ascii="Arial" w:hAnsi="Arial" w:cs="Arial"/>
                <w:color w:val="000000"/>
                <w:sz w:val="16"/>
                <w:szCs w:val="16"/>
              </w:rPr>
            </w:pPr>
            <w:r>
              <w:rPr>
                <w:rFonts w:ascii="Arial" w:hAnsi="Arial" w:cs="Arial"/>
                <w:color w:val="000000"/>
                <w:sz w:val="16"/>
                <w:szCs w:val="16"/>
              </w:rPr>
              <w:t>plu</w:t>
            </w:r>
            <w:r w:rsidRPr="00092545">
              <w:rPr>
                <w:rFonts w:ascii="Arial" w:hAnsi="Arial" w:cs="Arial"/>
                <w:color w:val="000000"/>
                <w:sz w:val="16"/>
                <w:szCs w:val="16"/>
              </w:rPr>
              <w:t xml:space="preserve">s: Depreciation/amortisation expenses on ROU assets </w:t>
            </w:r>
            <w:r w:rsidRPr="00A62C0C">
              <w:rPr>
                <w:rFonts w:ascii="Arial" w:hAnsi="Arial" w:cs="Arial"/>
                <w:color w:val="000000"/>
                <w:sz w:val="16"/>
                <w:szCs w:val="16"/>
                <w:vertAlign w:val="superscript"/>
              </w:rPr>
              <w:t>(b)</w:t>
            </w:r>
          </w:p>
        </w:tc>
        <w:tc>
          <w:tcPr>
            <w:tcW w:w="820" w:type="dxa"/>
            <w:tcBorders>
              <w:top w:val="nil"/>
              <w:left w:val="nil"/>
              <w:right w:val="nil"/>
            </w:tcBorders>
            <w:shd w:val="clear" w:color="auto" w:fill="auto"/>
            <w:noWrap/>
            <w:vAlign w:val="bottom"/>
            <w:hideMark/>
          </w:tcPr>
          <w:p w14:paraId="79E730EE" w14:textId="77777777" w:rsidR="007203CA" w:rsidRPr="00092545" w:rsidRDefault="007203CA" w:rsidP="0036693C">
            <w:pPr>
              <w:spacing w:after="0" w:line="240" w:lineRule="auto"/>
              <w:jc w:val="right"/>
              <w:rPr>
                <w:rFonts w:ascii="Arial" w:hAnsi="Arial" w:cs="Arial"/>
                <w:sz w:val="16"/>
                <w:szCs w:val="16"/>
              </w:rPr>
            </w:pPr>
            <w:r w:rsidRPr="00092545">
              <w:rPr>
                <w:rFonts w:ascii="Arial" w:hAnsi="Arial" w:cs="Arial"/>
                <w:sz w:val="16"/>
                <w:szCs w:val="16"/>
              </w:rPr>
              <w:t>829</w:t>
            </w:r>
          </w:p>
        </w:tc>
        <w:tc>
          <w:tcPr>
            <w:tcW w:w="820" w:type="dxa"/>
            <w:tcBorders>
              <w:top w:val="nil"/>
              <w:left w:val="nil"/>
              <w:right w:val="nil"/>
            </w:tcBorders>
            <w:shd w:val="clear" w:color="000000" w:fill="E6E6E6"/>
            <w:noWrap/>
            <w:vAlign w:val="bottom"/>
            <w:hideMark/>
          </w:tcPr>
          <w:p w14:paraId="354D265A" w14:textId="77777777" w:rsidR="007203CA" w:rsidRPr="000E317F" w:rsidRDefault="007203CA" w:rsidP="0036693C">
            <w:pPr>
              <w:spacing w:after="0" w:line="240" w:lineRule="auto"/>
              <w:jc w:val="right"/>
              <w:rPr>
                <w:rFonts w:ascii="Arial" w:hAnsi="Arial" w:cs="Arial"/>
                <w:bCs/>
                <w:sz w:val="16"/>
                <w:szCs w:val="16"/>
              </w:rPr>
            </w:pPr>
            <w:r w:rsidRPr="000E317F">
              <w:rPr>
                <w:rFonts w:ascii="Arial" w:hAnsi="Arial" w:cs="Arial"/>
                <w:bCs/>
                <w:sz w:val="16"/>
                <w:szCs w:val="16"/>
              </w:rPr>
              <w:t>598</w:t>
            </w:r>
          </w:p>
        </w:tc>
        <w:tc>
          <w:tcPr>
            <w:tcW w:w="820" w:type="dxa"/>
            <w:tcBorders>
              <w:top w:val="nil"/>
              <w:left w:val="nil"/>
              <w:right w:val="nil"/>
            </w:tcBorders>
            <w:shd w:val="clear" w:color="auto" w:fill="auto"/>
            <w:noWrap/>
            <w:vAlign w:val="bottom"/>
            <w:hideMark/>
          </w:tcPr>
          <w:p w14:paraId="6BC52954" w14:textId="77777777" w:rsidR="007203CA" w:rsidRPr="00092545" w:rsidRDefault="007203CA" w:rsidP="0036693C">
            <w:pPr>
              <w:spacing w:after="0" w:line="240" w:lineRule="auto"/>
              <w:jc w:val="right"/>
              <w:rPr>
                <w:rFonts w:ascii="Arial" w:hAnsi="Arial" w:cs="Arial"/>
                <w:sz w:val="16"/>
                <w:szCs w:val="16"/>
              </w:rPr>
            </w:pPr>
            <w:r w:rsidRPr="00092545">
              <w:rPr>
                <w:rFonts w:ascii="Arial" w:hAnsi="Arial" w:cs="Arial"/>
                <w:sz w:val="16"/>
                <w:szCs w:val="16"/>
              </w:rPr>
              <w:t>620</w:t>
            </w:r>
          </w:p>
        </w:tc>
        <w:tc>
          <w:tcPr>
            <w:tcW w:w="820" w:type="dxa"/>
            <w:tcBorders>
              <w:top w:val="nil"/>
              <w:left w:val="nil"/>
              <w:right w:val="nil"/>
            </w:tcBorders>
            <w:shd w:val="clear" w:color="auto" w:fill="auto"/>
            <w:noWrap/>
            <w:vAlign w:val="bottom"/>
            <w:hideMark/>
          </w:tcPr>
          <w:p w14:paraId="05CF652B" w14:textId="77777777" w:rsidR="007203CA" w:rsidRPr="00092545" w:rsidRDefault="007203CA" w:rsidP="0036693C">
            <w:pPr>
              <w:spacing w:after="0" w:line="240" w:lineRule="auto"/>
              <w:jc w:val="right"/>
              <w:rPr>
                <w:rFonts w:ascii="Arial" w:hAnsi="Arial" w:cs="Arial"/>
                <w:sz w:val="16"/>
                <w:szCs w:val="16"/>
              </w:rPr>
            </w:pPr>
            <w:r w:rsidRPr="00092545">
              <w:rPr>
                <w:rFonts w:ascii="Arial" w:hAnsi="Arial" w:cs="Arial"/>
                <w:sz w:val="16"/>
                <w:szCs w:val="16"/>
              </w:rPr>
              <w:t>620</w:t>
            </w:r>
          </w:p>
        </w:tc>
        <w:tc>
          <w:tcPr>
            <w:tcW w:w="820" w:type="dxa"/>
            <w:tcBorders>
              <w:top w:val="nil"/>
              <w:left w:val="nil"/>
              <w:right w:val="nil"/>
            </w:tcBorders>
            <w:shd w:val="clear" w:color="auto" w:fill="auto"/>
            <w:noWrap/>
            <w:vAlign w:val="bottom"/>
            <w:hideMark/>
          </w:tcPr>
          <w:p w14:paraId="0068DA99" w14:textId="77777777" w:rsidR="007203CA" w:rsidRPr="00092545" w:rsidRDefault="007203CA" w:rsidP="0036693C">
            <w:pPr>
              <w:spacing w:after="0" w:line="240" w:lineRule="auto"/>
              <w:jc w:val="right"/>
              <w:rPr>
                <w:rFonts w:ascii="Arial" w:hAnsi="Arial" w:cs="Arial"/>
                <w:sz w:val="16"/>
                <w:szCs w:val="16"/>
              </w:rPr>
            </w:pPr>
            <w:r w:rsidRPr="00092545">
              <w:rPr>
                <w:rFonts w:ascii="Arial" w:hAnsi="Arial" w:cs="Arial"/>
                <w:sz w:val="16"/>
                <w:szCs w:val="16"/>
              </w:rPr>
              <w:t>620</w:t>
            </w:r>
          </w:p>
        </w:tc>
      </w:tr>
      <w:tr w:rsidR="007203CA" w:rsidRPr="00092545" w14:paraId="1CC78C0E" w14:textId="77777777" w:rsidTr="0036693C">
        <w:trPr>
          <w:trHeight w:val="204"/>
        </w:trPr>
        <w:tc>
          <w:tcPr>
            <w:tcW w:w="3160" w:type="dxa"/>
            <w:tcBorders>
              <w:top w:val="nil"/>
              <w:left w:val="nil"/>
              <w:right w:val="nil"/>
            </w:tcBorders>
            <w:shd w:val="clear" w:color="auto" w:fill="auto"/>
            <w:vAlign w:val="bottom"/>
            <w:hideMark/>
          </w:tcPr>
          <w:p w14:paraId="205CECF2" w14:textId="77777777" w:rsidR="007203CA" w:rsidRPr="00092545" w:rsidRDefault="007203CA" w:rsidP="0036693C">
            <w:pPr>
              <w:spacing w:after="0" w:line="240" w:lineRule="auto"/>
              <w:ind w:left="113"/>
              <w:jc w:val="left"/>
              <w:rPr>
                <w:rFonts w:ascii="Arial" w:hAnsi="Arial" w:cs="Arial"/>
                <w:color w:val="000000"/>
                <w:sz w:val="16"/>
                <w:szCs w:val="16"/>
              </w:rPr>
            </w:pPr>
            <w:r>
              <w:rPr>
                <w:rFonts w:ascii="Arial" w:hAnsi="Arial" w:cs="Arial"/>
                <w:color w:val="000000"/>
                <w:sz w:val="16"/>
                <w:szCs w:val="16"/>
              </w:rPr>
              <w:t>less</w:t>
            </w:r>
            <w:r w:rsidRPr="00092545">
              <w:rPr>
                <w:rFonts w:ascii="Arial" w:hAnsi="Arial" w:cs="Arial"/>
                <w:color w:val="000000"/>
                <w:sz w:val="16"/>
                <w:szCs w:val="16"/>
              </w:rPr>
              <w:t xml:space="preserve">: Principal repayments on leased assets </w:t>
            </w:r>
            <w:r w:rsidRPr="00A62C0C">
              <w:rPr>
                <w:rFonts w:ascii="Arial" w:hAnsi="Arial" w:cs="Arial"/>
                <w:color w:val="000000"/>
                <w:sz w:val="16"/>
                <w:szCs w:val="16"/>
                <w:vertAlign w:val="superscript"/>
              </w:rPr>
              <w:t>(b)</w:t>
            </w:r>
          </w:p>
        </w:tc>
        <w:tc>
          <w:tcPr>
            <w:tcW w:w="820" w:type="dxa"/>
            <w:tcBorders>
              <w:top w:val="nil"/>
              <w:left w:val="nil"/>
              <w:bottom w:val="single" w:sz="4" w:space="0" w:color="auto"/>
              <w:right w:val="nil"/>
            </w:tcBorders>
            <w:shd w:val="clear" w:color="auto" w:fill="auto"/>
            <w:noWrap/>
            <w:vAlign w:val="bottom"/>
            <w:hideMark/>
          </w:tcPr>
          <w:p w14:paraId="27FACCA4" w14:textId="754090B0" w:rsidR="007203CA" w:rsidRPr="00092545" w:rsidRDefault="00510D48" w:rsidP="0036693C">
            <w:pPr>
              <w:spacing w:after="0" w:line="240" w:lineRule="auto"/>
              <w:jc w:val="right"/>
              <w:rPr>
                <w:rFonts w:ascii="Arial" w:hAnsi="Arial" w:cs="Arial"/>
                <w:sz w:val="16"/>
                <w:szCs w:val="16"/>
              </w:rPr>
            </w:pPr>
            <w:r>
              <w:rPr>
                <w:rFonts w:ascii="Arial" w:hAnsi="Arial" w:cs="Arial"/>
                <w:sz w:val="16"/>
                <w:szCs w:val="16"/>
              </w:rPr>
              <w:t>(</w:t>
            </w:r>
            <w:r w:rsidR="007203CA" w:rsidRPr="00092545">
              <w:rPr>
                <w:rFonts w:ascii="Arial" w:hAnsi="Arial" w:cs="Arial"/>
                <w:sz w:val="16"/>
                <w:szCs w:val="16"/>
              </w:rPr>
              <w:t>767</w:t>
            </w:r>
            <w:r>
              <w:rPr>
                <w:rFonts w:ascii="Arial" w:hAnsi="Arial" w:cs="Arial"/>
                <w:sz w:val="16"/>
                <w:szCs w:val="16"/>
              </w:rPr>
              <w:t>)</w:t>
            </w:r>
          </w:p>
        </w:tc>
        <w:tc>
          <w:tcPr>
            <w:tcW w:w="820" w:type="dxa"/>
            <w:tcBorders>
              <w:top w:val="nil"/>
              <w:left w:val="nil"/>
              <w:bottom w:val="single" w:sz="4" w:space="0" w:color="auto"/>
              <w:right w:val="nil"/>
            </w:tcBorders>
            <w:shd w:val="clear" w:color="000000" w:fill="E6E6E6"/>
            <w:noWrap/>
            <w:vAlign w:val="bottom"/>
            <w:hideMark/>
          </w:tcPr>
          <w:p w14:paraId="5B89896A" w14:textId="459B5B6E" w:rsidR="007203CA" w:rsidRPr="000E317F" w:rsidRDefault="00510D48" w:rsidP="0036693C">
            <w:pPr>
              <w:spacing w:after="0" w:line="240" w:lineRule="auto"/>
              <w:jc w:val="right"/>
              <w:rPr>
                <w:rFonts w:ascii="Arial" w:hAnsi="Arial" w:cs="Arial"/>
                <w:bCs/>
                <w:sz w:val="16"/>
                <w:szCs w:val="16"/>
              </w:rPr>
            </w:pPr>
            <w:r>
              <w:rPr>
                <w:rFonts w:ascii="Arial" w:hAnsi="Arial" w:cs="Arial"/>
                <w:bCs/>
                <w:sz w:val="16"/>
                <w:szCs w:val="16"/>
              </w:rPr>
              <w:t>(</w:t>
            </w:r>
            <w:r w:rsidR="007203CA" w:rsidRPr="000E317F">
              <w:rPr>
                <w:rFonts w:ascii="Arial" w:hAnsi="Arial" w:cs="Arial"/>
                <w:bCs/>
                <w:sz w:val="16"/>
                <w:szCs w:val="16"/>
              </w:rPr>
              <w:t>626</w:t>
            </w:r>
            <w:r>
              <w:rPr>
                <w:rFonts w:ascii="Arial" w:hAnsi="Arial" w:cs="Arial"/>
                <w:bCs/>
                <w:sz w:val="16"/>
                <w:szCs w:val="16"/>
              </w:rPr>
              <w:t>)</w:t>
            </w:r>
          </w:p>
        </w:tc>
        <w:tc>
          <w:tcPr>
            <w:tcW w:w="820" w:type="dxa"/>
            <w:tcBorders>
              <w:top w:val="nil"/>
              <w:left w:val="nil"/>
              <w:bottom w:val="single" w:sz="4" w:space="0" w:color="auto"/>
              <w:right w:val="nil"/>
            </w:tcBorders>
            <w:shd w:val="clear" w:color="auto" w:fill="auto"/>
            <w:noWrap/>
            <w:vAlign w:val="bottom"/>
            <w:hideMark/>
          </w:tcPr>
          <w:p w14:paraId="46699F8B" w14:textId="4586C937" w:rsidR="007203CA" w:rsidRPr="00092545" w:rsidRDefault="00510D48" w:rsidP="0036693C">
            <w:pPr>
              <w:spacing w:after="0" w:line="240" w:lineRule="auto"/>
              <w:jc w:val="right"/>
              <w:rPr>
                <w:rFonts w:ascii="Arial" w:hAnsi="Arial" w:cs="Arial"/>
                <w:sz w:val="16"/>
                <w:szCs w:val="16"/>
              </w:rPr>
            </w:pPr>
            <w:r>
              <w:rPr>
                <w:rFonts w:ascii="Arial" w:hAnsi="Arial" w:cs="Arial"/>
                <w:sz w:val="16"/>
                <w:szCs w:val="16"/>
              </w:rPr>
              <w:t>(</w:t>
            </w:r>
            <w:r w:rsidR="007203CA" w:rsidRPr="00092545">
              <w:rPr>
                <w:rFonts w:ascii="Arial" w:hAnsi="Arial" w:cs="Arial"/>
                <w:sz w:val="16"/>
                <w:szCs w:val="16"/>
              </w:rPr>
              <w:t>647</w:t>
            </w:r>
            <w:r>
              <w:rPr>
                <w:rFonts w:ascii="Arial" w:hAnsi="Arial" w:cs="Arial"/>
                <w:sz w:val="16"/>
                <w:szCs w:val="16"/>
              </w:rPr>
              <w:t>)</w:t>
            </w:r>
          </w:p>
        </w:tc>
        <w:tc>
          <w:tcPr>
            <w:tcW w:w="820" w:type="dxa"/>
            <w:tcBorders>
              <w:top w:val="nil"/>
              <w:left w:val="nil"/>
              <w:bottom w:val="single" w:sz="4" w:space="0" w:color="auto"/>
              <w:right w:val="nil"/>
            </w:tcBorders>
            <w:shd w:val="clear" w:color="auto" w:fill="auto"/>
            <w:noWrap/>
            <w:vAlign w:val="bottom"/>
            <w:hideMark/>
          </w:tcPr>
          <w:p w14:paraId="5D1A70E2" w14:textId="5CA939FE" w:rsidR="007203CA" w:rsidRPr="00092545" w:rsidRDefault="00510D48" w:rsidP="0036693C">
            <w:pPr>
              <w:spacing w:after="0" w:line="240" w:lineRule="auto"/>
              <w:jc w:val="right"/>
              <w:rPr>
                <w:rFonts w:ascii="Arial" w:hAnsi="Arial" w:cs="Arial"/>
                <w:sz w:val="16"/>
                <w:szCs w:val="16"/>
              </w:rPr>
            </w:pPr>
            <w:r>
              <w:rPr>
                <w:rFonts w:ascii="Arial" w:hAnsi="Arial" w:cs="Arial"/>
                <w:sz w:val="16"/>
                <w:szCs w:val="16"/>
              </w:rPr>
              <w:t>(</w:t>
            </w:r>
            <w:r w:rsidR="007203CA" w:rsidRPr="00092545">
              <w:rPr>
                <w:rFonts w:ascii="Arial" w:hAnsi="Arial" w:cs="Arial"/>
                <w:sz w:val="16"/>
                <w:szCs w:val="16"/>
              </w:rPr>
              <w:t>647</w:t>
            </w:r>
            <w:r>
              <w:rPr>
                <w:rFonts w:ascii="Arial" w:hAnsi="Arial" w:cs="Arial"/>
                <w:sz w:val="16"/>
                <w:szCs w:val="16"/>
              </w:rPr>
              <w:t>)</w:t>
            </w:r>
          </w:p>
        </w:tc>
        <w:tc>
          <w:tcPr>
            <w:tcW w:w="820" w:type="dxa"/>
            <w:tcBorders>
              <w:top w:val="nil"/>
              <w:left w:val="nil"/>
              <w:bottom w:val="single" w:sz="4" w:space="0" w:color="auto"/>
              <w:right w:val="nil"/>
            </w:tcBorders>
            <w:shd w:val="clear" w:color="auto" w:fill="auto"/>
            <w:noWrap/>
            <w:vAlign w:val="bottom"/>
            <w:hideMark/>
          </w:tcPr>
          <w:p w14:paraId="5A6982B0" w14:textId="2AD61479" w:rsidR="007203CA" w:rsidRPr="00092545" w:rsidRDefault="00510D48" w:rsidP="0036693C">
            <w:pPr>
              <w:spacing w:after="0" w:line="240" w:lineRule="auto"/>
              <w:jc w:val="right"/>
              <w:rPr>
                <w:rFonts w:ascii="Arial" w:hAnsi="Arial" w:cs="Arial"/>
                <w:sz w:val="16"/>
                <w:szCs w:val="16"/>
              </w:rPr>
            </w:pPr>
            <w:r>
              <w:rPr>
                <w:rFonts w:ascii="Arial" w:hAnsi="Arial" w:cs="Arial"/>
                <w:sz w:val="16"/>
                <w:szCs w:val="16"/>
              </w:rPr>
              <w:t>(</w:t>
            </w:r>
            <w:r w:rsidR="007203CA" w:rsidRPr="00092545">
              <w:rPr>
                <w:rFonts w:ascii="Arial" w:hAnsi="Arial" w:cs="Arial"/>
                <w:sz w:val="16"/>
                <w:szCs w:val="16"/>
              </w:rPr>
              <w:t>607</w:t>
            </w:r>
            <w:r>
              <w:rPr>
                <w:rFonts w:ascii="Arial" w:hAnsi="Arial" w:cs="Arial"/>
                <w:sz w:val="16"/>
                <w:szCs w:val="16"/>
              </w:rPr>
              <w:t>)</w:t>
            </w:r>
          </w:p>
        </w:tc>
      </w:tr>
      <w:tr w:rsidR="007203CA" w:rsidRPr="00092545" w14:paraId="055DF0D2" w14:textId="77777777" w:rsidTr="0036693C">
        <w:trPr>
          <w:trHeight w:val="204"/>
        </w:trPr>
        <w:tc>
          <w:tcPr>
            <w:tcW w:w="3160" w:type="dxa"/>
            <w:tcBorders>
              <w:top w:val="nil"/>
              <w:left w:val="nil"/>
              <w:bottom w:val="single" w:sz="4" w:space="0" w:color="auto"/>
              <w:right w:val="nil"/>
            </w:tcBorders>
            <w:shd w:val="clear" w:color="auto" w:fill="auto"/>
            <w:vAlign w:val="bottom"/>
            <w:hideMark/>
          </w:tcPr>
          <w:p w14:paraId="2E54C111" w14:textId="77777777" w:rsidR="007203CA" w:rsidRPr="004F2351" w:rsidRDefault="007203CA" w:rsidP="0036693C">
            <w:pPr>
              <w:spacing w:after="0" w:line="240" w:lineRule="auto"/>
              <w:jc w:val="left"/>
              <w:rPr>
                <w:rFonts w:ascii="Arial" w:hAnsi="Arial" w:cs="Arial"/>
                <w:b/>
                <w:bCs/>
                <w:sz w:val="16"/>
                <w:szCs w:val="16"/>
              </w:rPr>
            </w:pPr>
            <w:r w:rsidRPr="004F2351">
              <w:rPr>
                <w:rFonts w:ascii="Arial" w:hAnsi="Arial" w:cs="Arial"/>
                <w:b/>
                <w:bCs/>
                <w:sz w:val="16"/>
                <w:szCs w:val="16"/>
              </w:rPr>
              <w:t>Net Cash Operating Surplus/ (Deficit)</w:t>
            </w:r>
          </w:p>
        </w:tc>
        <w:tc>
          <w:tcPr>
            <w:tcW w:w="820" w:type="dxa"/>
            <w:tcBorders>
              <w:top w:val="single" w:sz="4" w:space="0" w:color="auto"/>
              <w:left w:val="nil"/>
              <w:bottom w:val="single" w:sz="4" w:space="0" w:color="auto"/>
              <w:right w:val="nil"/>
            </w:tcBorders>
            <w:shd w:val="clear" w:color="auto" w:fill="auto"/>
            <w:noWrap/>
            <w:vAlign w:val="bottom"/>
            <w:hideMark/>
          </w:tcPr>
          <w:p w14:paraId="047F63B3" w14:textId="77777777" w:rsidR="007203CA" w:rsidRPr="00092545" w:rsidRDefault="007203CA" w:rsidP="0036693C">
            <w:pPr>
              <w:spacing w:after="0" w:line="240" w:lineRule="auto"/>
              <w:jc w:val="right"/>
              <w:rPr>
                <w:rFonts w:ascii="Arial" w:hAnsi="Arial" w:cs="Arial"/>
                <w:b/>
                <w:bCs/>
                <w:color w:val="000000"/>
                <w:sz w:val="16"/>
                <w:szCs w:val="16"/>
              </w:rPr>
            </w:pPr>
            <w:r w:rsidRPr="00092545">
              <w:rPr>
                <w:rFonts w:ascii="Arial" w:hAnsi="Arial" w:cs="Arial"/>
                <w:b/>
                <w:bCs/>
                <w:color w:val="000000"/>
                <w:sz w:val="16"/>
                <w:szCs w:val="16"/>
              </w:rPr>
              <w:t>9,028</w:t>
            </w:r>
          </w:p>
        </w:tc>
        <w:tc>
          <w:tcPr>
            <w:tcW w:w="820" w:type="dxa"/>
            <w:tcBorders>
              <w:top w:val="single" w:sz="4" w:space="0" w:color="auto"/>
              <w:left w:val="nil"/>
              <w:bottom w:val="single" w:sz="4" w:space="0" w:color="auto"/>
              <w:right w:val="nil"/>
            </w:tcBorders>
            <w:shd w:val="clear" w:color="000000" w:fill="E6E6E6"/>
            <w:noWrap/>
            <w:vAlign w:val="bottom"/>
            <w:hideMark/>
          </w:tcPr>
          <w:p w14:paraId="2620782F" w14:textId="77777777" w:rsidR="007203CA" w:rsidRPr="00092545" w:rsidRDefault="007203CA" w:rsidP="0036693C">
            <w:pPr>
              <w:spacing w:after="0" w:line="240" w:lineRule="auto"/>
              <w:jc w:val="right"/>
              <w:rPr>
                <w:rFonts w:ascii="Arial" w:hAnsi="Arial" w:cs="Arial"/>
                <w:b/>
                <w:bCs/>
                <w:color w:val="000000"/>
                <w:sz w:val="16"/>
                <w:szCs w:val="16"/>
              </w:rPr>
            </w:pPr>
            <w:r w:rsidRPr="00092545">
              <w:rPr>
                <w:rFonts w:ascii="Arial" w:hAnsi="Arial" w:cs="Arial"/>
                <w:b/>
                <w:bCs/>
                <w:color w:val="000000"/>
                <w:sz w:val="16"/>
                <w:szCs w:val="16"/>
              </w:rPr>
              <w:t>726</w:t>
            </w:r>
          </w:p>
        </w:tc>
        <w:tc>
          <w:tcPr>
            <w:tcW w:w="820" w:type="dxa"/>
            <w:tcBorders>
              <w:top w:val="single" w:sz="4" w:space="0" w:color="auto"/>
              <w:left w:val="nil"/>
              <w:bottom w:val="single" w:sz="4" w:space="0" w:color="auto"/>
              <w:right w:val="nil"/>
            </w:tcBorders>
            <w:shd w:val="clear" w:color="auto" w:fill="auto"/>
            <w:noWrap/>
            <w:vAlign w:val="bottom"/>
            <w:hideMark/>
          </w:tcPr>
          <w:p w14:paraId="46AF78B8" w14:textId="77777777" w:rsidR="007203CA" w:rsidRPr="00092545" w:rsidRDefault="007203CA" w:rsidP="0036693C">
            <w:pPr>
              <w:spacing w:after="0" w:line="240" w:lineRule="auto"/>
              <w:jc w:val="right"/>
              <w:rPr>
                <w:rFonts w:ascii="Arial" w:hAnsi="Arial" w:cs="Arial"/>
                <w:b/>
                <w:bCs/>
                <w:color w:val="000000"/>
                <w:sz w:val="16"/>
                <w:szCs w:val="16"/>
              </w:rPr>
            </w:pPr>
            <w:r w:rsidRPr="00092545">
              <w:rPr>
                <w:rFonts w:ascii="Arial" w:hAnsi="Arial" w:cs="Arial"/>
                <w:b/>
                <w:bCs/>
                <w:color w:val="000000"/>
                <w:sz w:val="16"/>
                <w:szCs w:val="16"/>
              </w:rPr>
              <w:t>647</w:t>
            </w:r>
          </w:p>
        </w:tc>
        <w:tc>
          <w:tcPr>
            <w:tcW w:w="820" w:type="dxa"/>
            <w:tcBorders>
              <w:top w:val="single" w:sz="4" w:space="0" w:color="auto"/>
              <w:left w:val="nil"/>
              <w:bottom w:val="single" w:sz="4" w:space="0" w:color="auto"/>
              <w:right w:val="nil"/>
            </w:tcBorders>
            <w:shd w:val="clear" w:color="auto" w:fill="auto"/>
            <w:noWrap/>
            <w:vAlign w:val="bottom"/>
            <w:hideMark/>
          </w:tcPr>
          <w:p w14:paraId="54B6F5EC" w14:textId="77777777" w:rsidR="007203CA" w:rsidRPr="00092545" w:rsidRDefault="007203CA" w:rsidP="0036693C">
            <w:pPr>
              <w:spacing w:after="0" w:line="240" w:lineRule="auto"/>
              <w:jc w:val="right"/>
              <w:rPr>
                <w:rFonts w:ascii="Arial" w:hAnsi="Arial" w:cs="Arial"/>
                <w:b/>
                <w:bCs/>
                <w:color w:val="000000"/>
                <w:sz w:val="16"/>
                <w:szCs w:val="16"/>
              </w:rPr>
            </w:pPr>
            <w:r w:rsidRPr="00092545">
              <w:rPr>
                <w:rFonts w:ascii="Arial" w:hAnsi="Arial" w:cs="Arial"/>
                <w:b/>
                <w:bCs/>
                <w:color w:val="000000"/>
                <w:sz w:val="16"/>
                <w:szCs w:val="16"/>
              </w:rPr>
              <w:t>281</w:t>
            </w:r>
          </w:p>
        </w:tc>
        <w:tc>
          <w:tcPr>
            <w:tcW w:w="820" w:type="dxa"/>
            <w:tcBorders>
              <w:top w:val="single" w:sz="4" w:space="0" w:color="auto"/>
              <w:left w:val="nil"/>
              <w:bottom w:val="single" w:sz="4" w:space="0" w:color="auto"/>
              <w:right w:val="nil"/>
            </w:tcBorders>
            <w:shd w:val="clear" w:color="auto" w:fill="auto"/>
            <w:noWrap/>
            <w:vAlign w:val="bottom"/>
            <w:hideMark/>
          </w:tcPr>
          <w:p w14:paraId="0A0538BA" w14:textId="77777777" w:rsidR="007203CA" w:rsidRPr="00092545" w:rsidRDefault="007203CA" w:rsidP="0036693C">
            <w:pPr>
              <w:spacing w:after="0" w:line="240" w:lineRule="auto"/>
              <w:jc w:val="right"/>
              <w:rPr>
                <w:rFonts w:ascii="Arial" w:hAnsi="Arial" w:cs="Arial"/>
                <w:b/>
                <w:bCs/>
                <w:color w:val="000000"/>
                <w:sz w:val="16"/>
                <w:szCs w:val="16"/>
              </w:rPr>
            </w:pPr>
            <w:r w:rsidRPr="00092545">
              <w:rPr>
                <w:rFonts w:ascii="Arial" w:hAnsi="Arial" w:cs="Arial"/>
                <w:b/>
                <w:bCs/>
                <w:color w:val="000000"/>
                <w:sz w:val="16"/>
                <w:szCs w:val="16"/>
              </w:rPr>
              <w:t>392</w:t>
            </w:r>
          </w:p>
        </w:tc>
      </w:tr>
    </w:tbl>
    <w:p w14:paraId="7FEC5312" w14:textId="77777777" w:rsidR="007203CA" w:rsidRPr="00AE67D5" w:rsidRDefault="007203CA" w:rsidP="007203CA">
      <w:pPr>
        <w:spacing w:before="60" w:after="0" w:line="240" w:lineRule="auto"/>
        <w:jc w:val="left"/>
        <w:rPr>
          <w:rFonts w:ascii="Arial" w:hAnsi="Arial" w:cs="Arial"/>
          <w:snapToGrid w:val="0"/>
          <w:sz w:val="16"/>
        </w:rPr>
      </w:pPr>
      <w:r w:rsidRPr="00AE67D5">
        <w:rPr>
          <w:rFonts w:ascii="Arial" w:hAnsi="Arial" w:cs="Arial"/>
          <w:snapToGrid w:val="0"/>
          <w:sz w:val="16"/>
        </w:rPr>
        <w:t>Prepared on Australian Accounting Standards basis.</w:t>
      </w:r>
    </w:p>
    <w:p w14:paraId="283BCEE1" w14:textId="77777777" w:rsidR="007203CA" w:rsidRPr="00AE67D5" w:rsidRDefault="007203CA" w:rsidP="00F10ACD">
      <w:pPr>
        <w:pStyle w:val="ListParagraph"/>
        <w:numPr>
          <w:ilvl w:val="0"/>
          <w:numId w:val="57"/>
        </w:numPr>
        <w:spacing w:after="0" w:line="240" w:lineRule="auto"/>
        <w:ind w:left="284" w:hanging="284"/>
        <w:rPr>
          <w:rFonts w:ascii="Arial" w:hAnsi="Arial" w:cs="Arial"/>
          <w:snapToGrid w:val="0"/>
          <w:sz w:val="16"/>
        </w:rPr>
      </w:pPr>
      <w:r w:rsidRPr="00AE67D5">
        <w:rPr>
          <w:rFonts w:ascii="Arial" w:hAnsi="Arial" w:cs="Arial"/>
          <w:snapToGrid w:val="0"/>
          <w:sz w:val="16"/>
        </w:rPr>
        <w:t xml:space="preserve">From 2009-10, the Government replaced Bill 1 revenue appropriations for the heritage and cultural depreciation expenses of designated Collection Institutions, with a separate capital budget (the Collection Development Acquisition Budget, or CDAB) provided through Bill 2 equity appropriations. For information regarding CDABs, please refer to Table 3.5 </w:t>
      </w:r>
      <w:r>
        <w:rPr>
          <w:rFonts w:ascii="Arial" w:hAnsi="Arial" w:cs="Arial"/>
          <w:snapToGrid w:val="0"/>
          <w:sz w:val="16"/>
        </w:rPr>
        <w:t>Department</w:t>
      </w:r>
      <w:r w:rsidRPr="00AE67D5">
        <w:rPr>
          <w:rFonts w:ascii="Arial" w:hAnsi="Arial" w:cs="Arial"/>
          <w:snapToGrid w:val="0"/>
          <w:sz w:val="16"/>
        </w:rPr>
        <w:t>al Capital Budget Statement.</w:t>
      </w:r>
    </w:p>
    <w:p w14:paraId="197C529A" w14:textId="77777777" w:rsidR="007203CA" w:rsidRPr="00AE67D5" w:rsidRDefault="007203CA" w:rsidP="00F10ACD">
      <w:pPr>
        <w:pStyle w:val="ListParagraph"/>
        <w:numPr>
          <w:ilvl w:val="0"/>
          <w:numId w:val="57"/>
        </w:numPr>
        <w:spacing w:after="0" w:line="240" w:lineRule="auto"/>
        <w:ind w:left="284" w:hanging="284"/>
        <w:rPr>
          <w:rFonts w:ascii="Arial" w:hAnsi="Arial" w:cs="Arial"/>
          <w:snapToGrid w:val="0"/>
          <w:sz w:val="16"/>
        </w:rPr>
      </w:pPr>
      <w:r w:rsidRPr="00AE67D5">
        <w:rPr>
          <w:rFonts w:ascii="Arial" w:hAnsi="Arial" w:cs="Arial"/>
          <w:snapToGrid w:val="0"/>
          <w:sz w:val="16"/>
        </w:rPr>
        <w:t>Applies leases under AASB 16 Leases.</w:t>
      </w:r>
    </w:p>
    <w:p w14:paraId="0E67179F" w14:textId="32FD1E44" w:rsidR="00FE5ED2" w:rsidRDefault="00FE5ED2">
      <w:pPr>
        <w:spacing w:after="0" w:line="240" w:lineRule="auto"/>
        <w:jc w:val="left"/>
        <w:rPr>
          <w:rFonts w:ascii="Arial" w:hAnsi="Arial"/>
          <w:snapToGrid w:val="0"/>
          <w:sz w:val="16"/>
        </w:rPr>
      </w:pPr>
      <w:r>
        <w:rPr>
          <w:snapToGrid w:val="0"/>
        </w:rPr>
        <w:br w:type="page"/>
      </w:r>
    </w:p>
    <w:p w14:paraId="1DDA921F" w14:textId="1605DDFA" w:rsidR="00FE5ED2" w:rsidRDefault="00FE5ED2" w:rsidP="00FE5ED2">
      <w:pPr>
        <w:pStyle w:val="TableHeading"/>
      </w:pPr>
      <w:r w:rsidRPr="00E4582E">
        <w:lastRenderedPageBreak/>
        <w:t>Table</w:t>
      </w:r>
      <w:r>
        <w:t xml:space="preserve"> 3.</w:t>
      </w:r>
      <w:r>
        <w:rPr>
          <w:lang w:val="en-US"/>
        </w:rPr>
        <w:t>3</w:t>
      </w:r>
      <w:r w:rsidRPr="00E4582E">
        <w:t>: Budg</w:t>
      </w:r>
      <w:r>
        <w:t xml:space="preserve">eted </w:t>
      </w:r>
      <w:r w:rsidR="008863D9">
        <w:t>Department</w:t>
      </w:r>
      <w:r>
        <w:t xml:space="preserve">al balance sheet </w:t>
      </w:r>
      <w:r w:rsidRPr="00E4582E">
        <w:t>(as at 30 June)</w:t>
      </w:r>
    </w:p>
    <w:tbl>
      <w:tblPr>
        <w:tblW w:w="7266" w:type="dxa"/>
        <w:tblLook w:val="04A0" w:firstRow="1" w:lastRow="0" w:firstColumn="1" w:lastColumn="0" w:noHBand="0" w:noVBand="1"/>
      </w:tblPr>
      <w:tblGrid>
        <w:gridCol w:w="2976"/>
        <w:gridCol w:w="862"/>
        <w:gridCol w:w="857"/>
        <w:gridCol w:w="857"/>
        <w:gridCol w:w="857"/>
        <w:gridCol w:w="857"/>
      </w:tblGrid>
      <w:tr w:rsidR="00FE5ED2" w:rsidRPr="0033073E" w14:paraId="40404AEA" w14:textId="77777777" w:rsidTr="00AE67D5">
        <w:trPr>
          <w:trHeight w:val="740"/>
        </w:trPr>
        <w:tc>
          <w:tcPr>
            <w:tcW w:w="2976" w:type="dxa"/>
            <w:tcBorders>
              <w:top w:val="single" w:sz="4" w:space="0" w:color="auto"/>
              <w:left w:val="nil"/>
              <w:bottom w:val="nil"/>
              <w:right w:val="nil"/>
            </w:tcBorders>
            <w:shd w:val="clear" w:color="auto" w:fill="auto"/>
            <w:noWrap/>
            <w:hideMark/>
          </w:tcPr>
          <w:p w14:paraId="652469A1" w14:textId="77777777" w:rsidR="00FE5ED2" w:rsidRPr="0033073E" w:rsidRDefault="00FE5ED2" w:rsidP="00FE5ED2">
            <w:pPr>
              <w:spacing w:after="0" w:line="240" w:lineRule="auto"/>
              <w:jc w:val="left"/>
              <w:rPr>
                <w:rFonts w:ascii="Arial" w:hAnsi="Arial" w:cs="Arial"/>
                <w:b/>
                <w:bCs/>
                <w:sz w:val="16"/>
                <w:szCs w:val="16"/>
              </w:rPr>
            </w:pPr>
            <w:r w:rsidRPr="0033073E">
              <w:rPr>
                <w:rFonts w:ascii="Arial" w:hAnsi="Arial" w:cs="Arial"/>
                <w:b/>
                <w:bCs/>
                <w:sz w:val="16"/>
                <w:szCs w:val="16"/>
              </w:rPr>
              <w:t> </w:t>
            </w:r>
          </w:p>
        </w:tc>
        <w:tc>
          <w:tcPr>
            <w:tcW w:w="862" w:type="dxa"/>
            <w:tcBorders>
              <w:top w:val="single" w:sz="4" w:space="0" w:color="auto"/>
              <w:left w:val="nil"/>
              <w:bottom w:val="single" w:sz="4" w:space="0" w:color="auto"/>
              <w:right w:val="nil"/>
            </w:tcBorders>
            <w:shd w:val="clear" w:color="auto" w:fill="auto"/>
            <w:hideMark/>
          </w:tcPr>
          <w:p w14:paraId="40F5326F" w14:textId="77777777" w:rsidR="00FE5ED2" w:rsidRPr="0033073E" w:rsidRDefault="00FE5ED2" w:rsidP="00FE5ED2">
            <w:pPr>
              <w:spacing w:after="0" w:line="240" w:lineRule="auto"/>
              <w:jc w:val="right"/>
              <w:rPr>
                <w:rFonts w:ascii="Arial" w:hAnsi="Arial" w:cs="Arial"/>
                <w:sz w:val="16"/>
                <w:szCs w:val="16"/>
              </w:rPr>
            </w:pPr>
            <w:r w:rsidRPr="0033073E">
              <w:rPr>
                <w:rFonts w:ascii="Arial" w:hAnsi="Arial" w:cs="Arial"/>
                <w:sz w:val="16"/>
                <w:szCs w:val="16"/>
              </w:rPr>
              <w:t>2020-21 Actual</w:t>
            </w:r>
            <w:r w:rsidRPr="0033073E">
              <w:rPr>
                <w:rFonts w:ascii="Arial" w:hAnsi="Arial" w:cs="Arial"/>
                <w:sz w:val="16"/>
                <w:szCs w:val="16"/>
              </w:rPr>
              <w:br/>
            </w:r>
            <w:r w:rsidRPr="0033073E">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000000" w:fill="E6E6E6"/>
            <w:hideMark/>
          </w:tcPr>
          <w:p w14:paraId="199CAA36" w14:textId="77777777" w:rsidR="00FE5ED2" w:rsidRPr="0033073E" w:rsidRDefault="00FE5ED2" w:rsidP="00FE5ED2">
            <w:pPr>
              <w:spacing w:after="0" w:line="240" w:lineRule="auto"/>
              <w:jc w:val="right"/>
              <w:rPr>
                <w:rFonts w:ascii="Arial" w:hAnsi="Arial" w:cs="Arial"/>
                <w:sz w:val="16"/>
                <w:szCs w:val="16"/>
              </w:rPr>
            </w:pPr>
            <w:r w:rsidRPr="0033073E">
              <w:rPr>
                <w:rFonts w:ascii="Arial" w:hAnsi="Arial" w:cs="Arial"/>
                <w:sz w:val="16"/>
                <w:szCs w:val="16"/>
              </w:rPr>
              <w:t>2021-22</w:t>
            </w:r>
            <w:r w:rsidRPr="0033073E">
              <w:rPr>
                <w:rFonts w:ascii="Arial" w:hAnsi="Arial" w:cs="Arial"/>
                <w:sz w:val="16"/>
                <w:szCs w:val="16"/>
              </w:rPr>
              <w:br/>
              <w:t>Revised Budget</w:t>
            </w:r>
            <w:r w:rsidRPr="0033073E">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2A3AA3F3" w14:textId="77777777" w:rsidR="00FE5ED2" w:rsidRPr="0033073E" w:rsidRDefault="00FE5ED2" w:rsidP="00FE5ED2">
            <w:pPr>
              <w:spacing w:after="0" w:line="240" w:lineRule="auto"/>
              <w:jc w:val="right"/>
              <w:rPr>
                <w:rFonts w:ascii="Arial" w:hAnsi="Arial" w:cs="Arial"/>
                <w:sz w:val="16"/>
                <w:szCs w:val="16"/>
              </w:rPr>
            </w:pPr>
            <w:r w:rsidRPr="0033073E">
              <w:rPr>
                <w:rFonts w:ascii="Arial" w:hAnsi="Arial" w:cs="Arial"/>
                <w:sz w:val="16"/>
                <w:szCs w:val="16"/>
              </w:rPr>
              <w:t>2022-23 Forward estimate</w:t>
            </w:r>
            <w:r w:rsidRPr="0033073E">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26B05BF3" w14:textId="77777777" w:rsidR="00FE5ED2" w:rsidRPr="0033073E" w:rsidRDefault="00FE5ED2" w:rsidP="00FE5ED2">
            <w:pPr>
              <w:spacing w:after="0" w:line="240" w:lineRule="auto"/>
              <w:jc w:val="right"/>
              <w:rPr>
                <w:rFonts w:ascii="Arial" w:hAnsi="Arial" w:cs="Arial"/>
                <w:sz w:val="16"/>
                <w:szCs w:val="16"/>
              </w:rPr>
            </w:pPr>
            <w:r w:rsidRPr="0033073E">
              <w:rPr>
                <w:rFonts w:ascii="Arial" w:hAnsi="Arial" w:cs="Arial"/>
                <w:sz w:val="16"/>
                <w:szCs w:val="16"/>
              </w:rPr>
              <w:t>2023-24 Forward estimate</w:t>
            </w:r>
            <w:r w:rsidRPr="0033073E">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56C4355E" w14:textId="77777777" w:rsidR="00FE5ED2" w:rsidRPr="0033073E" w:rsidRDefault="00FE5ED2" w:rsidP="00FE5ED2">
            <w:pPr>
              <w:spacing w:after="0" w:line="240" w:lineRule="auto"/>
              <w:jc w:val="right"/>
              <w:rPr>
                <w:rFonts w:ascii="Arial" w:hAnsi="Arial" w:cs="Arial"/>
                <w:sz w:val="16"/>
                <w:szCs w:val="16"/>
              </w:rPr>
            </w:pPr>
            <w:r w:rsidRPr="0033073E">
              <w:rPr>
                <w:rFonts w:ascii="Arial" w:hAnsi="Arial" w:cs="Arial"/>
                <w:sz w:val="16"/>
                <w:szCs w:val="16"/>
              </w:rPr>
              <w:t>2024-25</w:t>
            </w:r>
            <w:r w:rsidRPr="0033073E">
              <w:rPr>
                <w:rFonts w:ascii="Arial" w:hAnsi="Arial" w:cs="Arial"/>
                <w:sz w:val="16"/>
                <w:szCs w:val="16"/>
              </w:rPr>
              <w:br/>
              <w:t>Forward estimate</w:t>
            </w:r>
            <w:r w:rsidRPr="0033073E">
              <w:rPr>
                <w:rFonts w:ascii="Arial" w:hAnsi="Arial" w:cs="Arial"/>
                <w:sz w:val="16"/>
                <w:szCs w:val="16"/>
              </w:rPr>
              <w:br/>
              <w:t>$'000</w:t>
            </w:r>
          </w:p>
        </w:tc>
      </w:tr>
      <w:tr w:rsidR="00FE5ED2" w:rsidRPr="0033073E" w14:paraId="482FA7B4" w14:textId="77777777" w:rsidTr="00AE67D5">
        <w:trPr>
          <w:trHeight w:val="204"/>
        </w:trPr>
        <w:tc>
          <w:tcPr>
            <w:tcW w:w="2976" w:type="dxa"/>
            <w:tcBorders>
              <w:top w:val="nil"/>
              <w:left w:val="nil"/>
              <w:bottom w:val="nil"/>
              <w:right w:val="nil"/>
            </w:tcBorders>
            <w:shd w:val="clear" w:color="auto" w:fill="auto"/>
            <w:noWrap/>
            <w:vAlign w:val="center"/>
            <w:hideMark/>
          </w:tcPr>
          <w:p w14:paraId="7D86BED5" w14:textId="77777777" w:rsidR="00FE5ED2" w:rsidRPr="0033073E" w:rsidRDefault="00FE5ED2" w:rsidP="00FE5ED2">
            <w:pPr>
              <w:spacing w:after="0" w:line="240" w:lineRule="auto"/>
              <w:jc w:val="left"/>
              <w:rPr>
                <w:rFonts w:ascii="Arial" w:hAnsi="Arial" w:cs="Arial"/>
                <w:b/>
                <w:bCs/>
                <w:color w:val="000000"/>
                <w:sz w:val="16"/>
                <w:szCs w:val="16"/>
              </w:rPr>
            </w:pPr>
            <w:r w:rsidRPr="0033073E">
              <w:rPr>
                <w:rFonts w:ascii="Arial" w:hAnsi="Arial" w:cs="Arial"/>
                <w:b/>
                <w:bCs/>
                <w:color w:val="000000"/>
                <w:sz w:val="16"/>
                <w:szCs w:val="16"/>
              </w:rPr>
              <w:t>ASSETS</w:t>
            </w:r>
          </w:p>
        </w:tc>
        <w:tc>
          <w:tcPr>
            <w:tcW w:w="862" w:type="dxa"/>
            <w:tcBorders>
              <w:top w:val="nil"/>
              <w:left w:val="nil"/>
              <w:bottom w:val="nil"/>
              <w:right w:val="nil"/>
            </w:tcBorders>
            <w:shd w:val="clear" w:color="auto" w:fill="auto"/>
            <w:noWrap/>
            <w:vAlign w:val="bottom"/>
            <w:hideMark/>
          </w:tcPr>
          <w:p w14:paraId="3553EAB0" w14:textId="77777777" w:rsidR="00FE5ED2" w:rsidRPr="0033073E" w:rsidRDefault="00FE5ED2" w:rsidP="00FE5ED2">
            <w:pPr>
              <w:spacing w:after="0" w:line="240" w:lineRule="auto"/>
              <w:jc w:val="lef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6F5F3EC5" w14:textId="4B336E44" w:rsidR="00FE5ED2" w:rsidRPr="0033073E" w:rsidRDefault="00FE5ED2" w:rsidP="00FE5ED2">
            <w:pPr>
              <w:spacing w:after="0" w:line="240" w:lineRule="auto"/>
              <w:jc w:val="lef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3F80DCB" w14:textId="77777777" w:rsidR="00FE5ED2" w:rsidRPr="0033073E" w:rsidRDefault="00FE5ED2" w:rsidP="00FE5ED2">
            <w:pPr>
              <w:spacing w:after="0" w:line="240" w:lineRule="auto"/>
              <w:jc w:val="lef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4E35F2E5" w14:textId="77777777" w:rsidR="00FE5ED2" w:rsidRPr="0033073E" w:rsidRDefault="00FE5ED2" w:rsidP="00FE5ED2">
            <w:pPr>
              <w:spacing w:after="0" w:line="240" w:lineRule="auto"/>
              <w:jc w:val="left"/>
              <w:rPr>
                <w:rFonts w:ascii="Times New Roman" w:hAnsi="Times New Roman"/>
              </w:rPr>
            </w:pPr>
          </w:p>
        </w:tc>
        <w:tc>
          <w:tcPr>
            <w:tcW w:w="857" w:type="dxa"/>
            <w:tcBorders>
              <w:top w:val="nil"/>
              <w:left w:val="nil"/>
              <w:bottom w:val="nil"/>
              <w:right w:val="nil"/>
            </w:tcBorders>
            <w:shd w:val="clear" w:color="auto" w:fill="auto"/>
            <w:noWrap/>
            <w:vAlign w:val="bottom"/>
            <w:hideMark/>
          </w:tcPr>
          <w:p w14:paraId="06B42658" w14:textId="77777777" w:rsidR="00FE5ED2" w:rsidRPr="0033073E" w:rsidRDefault="00FE5ED2" w:rsidP="00FE5ED2">
            <w:pPr>
              <w:spacing w:after="0" w:line="240" w:lineRule="auto"/>
              <w:jc w:val="left"/>
              <w:rPr>
                <w:rFonts w:ascii="Times New Roman" w:hAnsi="Times New Roman"/>
              </w:rPr>
            </w:pPr>
          </w:p>
        </w:tc>
      </w:tr>
      <w:tr w:rsidR="00FE5ED2" w:rsidRPr="0033073E" w14:paraId="48EF6384" w14:textId="77777777" w:rsidTr="00AE67D5">
        <w:trPr>
          <w:trHeight w:val="204"/>
        </w:trPr>
        <w:tc>
          <w:tcPr>
            <w:tcW w:w="2976" w:type="dxa"/>
            <w:tcBorders>
              <w:top w:val="nil"/>
              <w:left w:val="nil"/>
              <w:bottom w:val="nil"/>
              <w:right w:val="nil"/>
            </w:tcBorders>
            <w:shd w:val="clear" w:color="auto" w:fill="auto"/>
            <w:noWrap/>
            <w:vAlign w:val="center"/>
            <w:hideMark/>
          </w:tcPr>
          <w:p w14:paraId="674184E5" w14:textId="77777777" w:rsidR="00FE5ED2" w:rsidRPr="0033073E" w:rsidRDefault="00FE5ED2" w:rsidP="00FE5ED2">
            <w:pPr>
              <w:spacing w:after="0" w:line="240" w:lineRule="auto"/>
              <w:jc w:val="left"/>
              <w:rPr>
                <w:rFonts w:ascii="Arial" w:hAnsi="Arial" w:cs="Arial"/>
                <w:b/>
                <w:bCs/>
                <w:color w:val="000000"/>
                <w:sz w:val="16"/>
                <w:szCs w:val="16"/>
              </w:rPr>
            </w:pPr>
            <w:r w:rsidRPr="0033073E">
              <w:rPr>
                <w:rFonts w:ascii="Arial" w:hAnsi="Arial" w:cs="Arial"/>
                <w:b/>
                <w:bCs/>
                <w:color w:val="000000"/>
                <w:sz w:val="16"/>
                <w:szCs w:val="16"/>
              </w:rPr>
              <w:t>Financial assets</w:t>
            </w:r>
          </w:p>
        </w:tc>
        <w:tc>
          <w:tcPr>
            <w:tcW w:w="862" w:type="dxa"/>
            <w:tcBorders>
              <w:top w:val="nil"/>
              <w:left w:val="nil"/>
              <w:bottom w:val="nil"/>
              <w:right w:val="nil"/>
            </w:tcBorders>
            <w:shd w:val="clear" w:color="auto" w:fill="auto"/>
            <w:noWrap/>
            <w:vAlign w:val="bottom"/>
            <w:hideMark/>
          </w:tcPr>
          <w:p w14:paraId="57944398" w14:textId="77777777" w:rsidR="00FE5ED2" w:rsidRPr="0033073E" w:rsidRDefault="00FE5ED2" w:rsidP="00FE5ED2">
            <w:pPr>
              <w:spacing w:after="0" w:line="240" w:lineRule="auto"/>
              <w:jc w:val="lef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6DF20877" w14:textId="0F19F0CF" w:rsidR="00FE5ED2" w:rsidRPr="0033073E" w:rsidRDefault="00FE5ED2" w:rsidP="00FE5ED2">
            <w:pPr>
              <w:spacing w:after="0" w:line="240" w:lineRule="auto"/>
              <w:jc w:val="lef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93BACCC" w14:textId="77777777" w:rsidR="00FE5ED2" w:rsidRPr="0033073E" w:rsidRDefault="00FE5ED2" w:rsidP="00FE5ED2">
            <w:pPr>
              <w:spacing w:after="0" w:line="240" w:lineRule="auto"/>
              <w:jc w:val="lef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160F9C9" w14:textId="77777777" w:rsidR="00FE5ED2" w:rsidRPr="0033073E" w:rsidRDefault="00FE5ED2" w:rsidP="00FE5ED2">
            <w:pPr>
              <w:spacing w:after="0" w:line="240" w:lineRule="auto"/>
              <w:jc w:val="left"/>
              <w:rPr>
                <w:rFonts w:ascii="Times New Roman" w:hAnsi="Times New Roman"/>
              </w:rPr>
            </w:pPr>
          </w:p>
        </w:tc>
        <w:tc>
          <w:tcPr>
            <w:tcW w:w="857" w:type="dxa"/>
            <w:tcBorders>
              <w:top w:val="nil"/>
              <w:left w:val="nil"/>
              <w:bottom w:val="nil"/>
              <w:right w:val="nil"/>
            </w:tcBorders>
            <w:shd w:val="clear" w:color="auto" w:fill="auto"/>
            <w:noWrap/>
            <w:vAlign w:val="bottom"/>
            <w:hideMark/>
          </w:tcPr>
          <w:p w14:paraId="005B4840" w14:textId="77777777" w:rsidR="00FE5ED2" w:rsidRPr="0033073E" w:rsidRDefault="00FE5ED2" w:rsidP="00FE5ED2">
            <w:pPr>
              <w:spacing w:after="0" w:line="240" w:lineRule="auto"/>
              <w:jc w:val="left"/>
              <w:rPr>
                <w:rFonts w:ascii="Times New Roman" w:hAnsi="Times New Roman"/>
              </w:rPr>
            </w:pPr>
          </w:p>
        </w:tc>
      </w:tr>
      <w:tr w:rsidR="00FE5ED2" w:rsidRPr="0033073E" w14:paraId="3943A858" w14:textId="77777777" w:rsidTr="00AE67D5">
        <w:trPr>
          <w:trHeight w:val="204"/>
        </w:trPr>
        <w:tc>
          <w:tcPr>
            <w:tcW w:w="2976" w:type="dxa"/>
            <w:tcBorders>
              <w:top w:val="nil"/>
              <w:left w:val="nil"/>
              <w:bottom w:val="nil"/>
              <w:right w:val="nil"/>
            </w:tcBorders>
            <w:shd w:val="clear" w:color="auto" w:fill="auto"/>
            <w:noWrap/>
            <w:vAlign w:val="center"/>
            <w:hideMark/>
          </w:tcPr>
          <w:p w14:paraId="22C9A0FF"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 xml:space="preserve">Cash </w:t>
            </w:r>
            <w:r w:rsidRPr="0033073E">
              <w:rPr>
                <w:rFonts w:ascii="Arial" w:hAnsi="Arial" w:cs="Arial"/>
                <w:sz w:val="16"/>
                <w:szCs w:val="16"/>
              </w:rPr>
              <w:t>and cash equivalents</w:t>
            </w:r>
          </w:p>
        </w:tc>
        <w:tc>
          <w:tcPr>
            <w:tcW w:w="862" w:type="dxa"/>
            <w:tcBorders>
              <w:top w:val="nil"/>
              <w:left w:val="nil"/>
              <w:bottom w:val="nil"/>
              <w:right w:val="nil"/>
            </w:tcBorders>
            <w:shd w:val="clear" w:color="auto" w:fill="auto"/>
            <w:noWrap/>
            <w:vAlign w:val="bottom"/>
            <w:hideMark/>
          </w:tcPr>
          <w:p w14:paraId="2C322324"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920</w:t>
            </w:r>
          </w:p>
        </w:tc>
        <w:tc>
          <w:tcPr>
            <w:tcW w:w="857" w:type="dxa"/>
            <w:tcBorders>
              <w:top w:val="nil"/>
              <w:left w:val="nil"/>
              <w:bottom w:val="nil"/>
              <w:right w:val="nil"/>
            </w:tcBorders>
            <w:shd w:val="clear" w:color="000000" w:fill="E6E6E6"/>
            <w:noWrap/>
            <w:vAlign w:val="bottom"/>
            <w:hideMark/>
          </w:tcPr>
          <w:p w14:paraId="1A7AE104"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1,293</w:t>
            </w:r>
          </w:p>
        </w:tc>
        <w:tc>
          <w:tcPr>
            <w:tcW w:w="857" w:type="dxa"/>
            <w:tcBorders>
              <w:top w:val="nil"/>
              <w:left w:val="nil"/>
              <w:bottom w:val="nil"/>
              <w:right w:val="nil"/>
            </w:tcBorders>
            <w:shd w:val="clear" w:color="auto" w:fill="auto"/>
            <w:noWrap/>
            <w:vAlign w:val="bottom"/>
            <w:hideMark/>
          </w:tcPr>
          <w:p w14:paraId="77170E1F"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2,619</w:t>
            </w:r>
          </w:p>
        </w:tc>
        <w:tc>
          <w:tcPr>
            <w:tcW w:w="857" w:type="dxa"/>
            <w:tcBorders>
              <w:top w:val="nil"/>
              <w:left w:val="nil"/>
              <w:bottom w:val="nil"/>
              <w:right w:val="nil"/>
            </w:tcBorders>
            <w:shd w:val="clear" w:color="auto" w:fill="auto"/>
            <w:noWrap/>
            <w:vAlign w:val="bottom"/>
            <w:hideMark/>
          </w:tcPr>
          <w:p w14:paraId="4A85B9E4"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3,349</w:t>
            </w:r>
          </w:p>
        </w:tc>
        <w:tc>
          <w:tcPr>
            <w:tcW w:w="857" w:type="dxa"/>
            <w:tcBorders>
              <w:top w:val="nil"/>
              <w:left w:val="nil"/>
              <w:bottom w:val="nil"/>
              <w:right w:val="nil"/>
            </w:tcBorders>
            <w:shd w:val="clear" w:color="auto" w:fill="auto"/>
            <w:noWrap/>
            <w:vAlign w:val="bottom"/>
            <w:hideMark/>
          </w:tcPr>
          <w:p w14:paraId="073938C6"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3,690</w:t>
            </w:r>
          </w:p>
        </w:tc>
      </w:tr>
      <w:tr w:rsidR="00FE5ED2" w:rsidRPr="0033073E" w14:paraId="5EC88B64" w14:textId="77777777" w:rsidTr="00AE67D5">
        <w:trPr>
          <w:trHeight w:val="204"/>
        </w:trPr>
        <w:tc>
          <w:tcPr>
            <w:tcW w:w="2976" w:type="dxa"/>
            <w:tcBorders>
              <w:top w:val="nil"/>
              <w:left w:val="nil"/>
              <w:bottom w:val="nil"/>
              <w:right w:val="nil"/>
            </w:tcBorders>
            <w:shd w:val="clear" w:color="auto" w:fill="auto"/>
            <w:noWrap/>
            <w:vAlign w:val="center"/>
            <w:hideMark/>
          </w:tcPr>
          <w:p w14:paraId="739E1C72" w14:textId="77777777" w:rsidR="00FE5ED2" w:rsidRPr="00B9139E" w:rsidRDefault="00FE5ED2" w:rsidP="00B9139E">
            <w:pPr>
              <w:spacing w:after="0" w:line="240" w:lineRule="auto"/>
              <w:ind w:left="113"/>
              <w:jc w:val="left"/>
              <w:rPr>
                <w:rFonts w:ascii="Arial" w:hAnsi="Arial" w:cs="Arial"/>
                <w:color w:val="000000"/>
                <w:sz w:val="16"/>
                <w:szCs w:val="16"/>
              </w:rPr>
            </w:pPr>
            <w:r w:rsidRPr="00B9139E">
              <w:rPr>
                <w:rFonts w:ascii="Arial" w:hAnsi="Arial" w:cs="Arial"/>
                <w:color w:val="000000"/>
                <w:sz w:val="16"/>
                <w:szCs w:val="16"/>
              </w:rPr>
              <w:t>Trade and other receivables</w:t>
            </w:r>
          </w:p>
        </w:tc>
        <w:tc>
          <w:tcPr>
            <w:tcW w:w="862" w:type="dxa"/>
            <w:tcBorders>
              <w:top w:val="nil"/>
              <w:left w:val="nil"/>
              <w:bottom w:val="nil"/>
              <w:right w:val="nil"/>
            </w:tcBorders>
            <w:shd w:val="clear" w:color="auto" w:fill="auto"/>
            <w:noWrap/>
            <w:vAlign w:val="bottom"/>
            <w:hideMark/>
          </w:tcPr>
          <w:p w14:paraId="13B63183"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91</w:t>
            </w:r>
          </w:p>
        </w:tc>
        <w:tc>
          <w:tcPr>
            <w:tcW w:w="857" w:type="dxa"/>
            <w:tcBorders>
              <w:top w:val="nil"/>
              <w:left w:val="nil"/>
              <w:bottom w:val="nil"/>
              <w:right w:val="nil"/>
            </w:tcBorders>
            <w:shd w:val="clear" w:color="000000" w:fill="E6E6E6"/>
            <w:noWrap/>
            <w:vAlign w:val="bottom"/>
            <w:hideMark/>
          </w:tcPr>
          <w:p w14:paraId="4F9617E0"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91</w:t>
            </w:r>
          </w:p>
        </w:tc>
        <w:tc>
          <w:tcPr>
            <w:tcW w:w="857" w:type="dxa"/>
            <w:tcBorders>
              <w:top w:val="nil"/>
              <w:left w:val="nil"/>
              <w:bottom w:val="nil"/>
              <w:right w:val="nil"/>
            </w:tcBorders>
            <w:shd w:val="clear" w:color="auto" w:fill="auto"/>
            <w:noWrap/>
            <w:vAlign w:val="bottom"/>
            <w:hideMark/>
          </w:tcPr>
          <w:p w14:paraId="4C1EC96F"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91</w:t>
            </w:r>
          </w:p>
        </w:tc>
        <w:tc>
          <w:tcPr>
            <w:tcW w:w="857" w:type="dxa"/>
            <w:tcBorders>
              <w:top w:val="nil"/>
              <w:left w:val="nil"/>
              <w:bottom w:val="nil"/>
              <w:right w:val="nil"/>
            </w:tcBorders>
            <w:shd w:val="clear" w:color="auto" w:fill="auto"/>
            <w:noWrap/>
            <w:vAlign w:val="bottom"/>
            <w:hideMark/>
          </w:tcPr>
          <w:p w14:paraId="54229817"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91</w:t>
            </w:r>
          </w:p>
        </w:tc>
        <w:tc>
          <w:tcPr>
            <w:tcW w:w="857" w:type="dxa"/>
            <w:tcBorders>
              <w:top w:val="nil"/>
              <w:left w:val="nil"/>
              <w:bottom w:val="nil"/>
              <w:right w:val="nil"/>
            </w:tcBorders>
            <w:shd w:val="clear" w:color="auto" w:fill="auto"/>
            <w:noWrap/>
            <w:vAlign w:val="bottom"/>
            <w:hideMark/>
          </w:tcPr>
          <w:p w14:paraId="4E31925B"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91</w:t>
            </w:r>
          </w:p>
        </w:tc>
      </w:tr>
      <w:tr w:rsidR="00FE5ED2" w:rsidRPr="0033073E" w14:paraId="62B0BFBB" w14:textId="77777777" w:rsidTr="00AE67D5">
        <w:trPr>
          <w:trHeight w:val="204"/>
        </w:trPr>
        <w:tc>
          <w:tcPr>
            <w:tcW w:w="2976" w:type="dxa"/>
            <w:tcBorders>
              <w:top w:val="nil"/>
              <w:left w:val="nil"/>
              <w:bottom w:val="nil"/>
              <w:right w:val="nil"/>
            </w:tcBorders>
            <w:shd w:val="clear" w:color="auto" w:fill="auto"/>
            <w:noWrap/>
            <w:vAlign w:val="center"/>
            <w:hideMark/>
          </w:tcPr>
          <w:p w14:paraId="4E986F77"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Other investments</w:t>
            </w:r>
          </w:p>
        </w:tc>
        <w:tc>
          <w:tcPr>
            <w:tcW w:w="862" w:type="dxa"/>
            <w:tcBorders>
              <w:top w:val="nil"/>
              <w:left w:val="nil"/>
              <w:bottom w:val="nil"/>
              <w:right w:val="nil"/>
            </w:tcBorders>
            <w:shd w:val="clear" w:color="auto" w:fill="auto"/>
            <w:noWrap/>
            <w:vAlign w:val="bottom"/>
            <w:hideMark/>
          </w:tcPr>
          <w:p w14:paraId="48F916E6"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9,500</w:t>
            </w:r>
          </w:p>
        </w:tc>
        <w:tc>
          <w:tcPr>
            <w:tcW w:w="857" w:type="dxa"/>
            <w:tcBorders>
              <w:top w:val="nil"/>
              <w:left w:val="nil"/>
              <w:bottom w:val="nil"/>
              <w:right w:val="nil"/>
            </w:tcBorders>
            <w:shd w:val="clear" w:color="000000" w:fill="E6E6E6"/>
            <w:noWrap/>
            <w:vAlign w:val="bottom"/>
            <w:hideMark/>
          </w:tcPr>
          <w:p w14:paraId="16F05A43"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8,500</w:t>
            </w:r>
          </w:p>
        </w:tc>
        <w:tc>
          <w:tcPr>
            <w:tcW w:w="857" w:type="dxa"/>
            <w:tcBorders>
              <w:top w:val="nil"/>
              <w:left w:val="nil"/>
              <w:bottom w:val="nil"/>
              <w:right w:val="nil"/>
            </w:tcBorders>
            <w:shd w:val="clear" w:color="auto" w:fill="auto"/>
            <w:noWrap/>
            <w:vAlign w:val="bottom"/>
            <w:hideMark/>
          </w:tcPr>
          <w:p w14:paraId="1DC3749D"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7,500</w:t>
            </w:r>
          </w:p>
        </w:tc>
        <w:tc>
          <w:tcPr>
            <w:tcW w:w="857" w:type="dxa"/>
            <w:tcBorders>
              <w:top w:val="nil"/>
              <w:left w:val="nil"/>
              <w:bottom w:val="nil"/>
              <w:right w:val="nil"/>
            </w:tcBorders>
            <w:shd w:val="clear" w:color="auto" w:fill="auto"/>
            <w:noWrap/>
            <w:vAlign w:val="bottom"/>
            <w:hideMark/>
          </w:tcPr>
          <w:p w14:paraId="6E5D6E51"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7,000</w:t>
            </w:r>
          </w:p>
        </w:tc>
        <w:tc>
          <w:tcPr>
            <w:tcW w:w="857" w:type="dxa"/>
            <w:tcBorders>
              <w:top w:val="nil"/>
              <w:left w:val="nil"/>
              <w:bottom w:val="nil"/>
              <w:right w:val="nil"/>
            </w:tcBorders>
            <w:shd w:val="clear" w:color="auto" w:fill="auto"/>
            <w:noWrap/>
            <w:vAlign w:val="bottom"/>
            <w:hideMark/>
          </w:tcPr>
          <w:p w14:paraId="115E1DFA"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7,000</w:t>
            </w:r>
          </w:p>
        </w:tc>
      </w:tr>
      <w:tr w:rsidR="00FE5ED2" w:rsidRPr="0033073E" w14:paraId="77ED77DF" w14:textId="77777777" w:rsidTr="00AE67D5">
        <w:trPr>
          <w:trHeight w:val="204"/>
        </w:trPr>
        <w:tc>
          <w:tcPr>
            <w:tcW w:w="2976" w:type="dxa"/>
            <w:tcBorders>
              <w:top w:val="nil"/>
              <w:left w:val="nil"/>
              <w:bottom w:val="nil"/>
              <w:right w:val="nil"/>
            </w:tcBorders>
            <w:shd w:val="clear" w:color="auto" w:fill="auto"/>
            <w:noWrap/>
            <w:vAlign w:val="center"/>
            <w:hideMark/>
          </w:tcPr>
          <w:p w14:paraId="31B866D0"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Other financial assets</w:t>
            </w:r>
          </w:p>
        </w:tc>
        <w:tc>
          <w:tcPr>
            <w:tcW w:w="862" w:type="dxa"/>
            <w:tcBorders>
              <w:top w:val="nil"/>
              <w:left w:val="nil"/>
              <w:bottom w:val="nil"/>
              <w:right w:val="nil"/>
            </w:tcBorders>
            <w:shd w:val="clear" w:color="auto" w:fill="auto"/>
            <w:noWrap/>
            <w:vAlign w:val="bottom"/>
            <w:hideMark/>
          </w:tcPr>
          <w:p w14:paraId="0A4D1966"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w:t>
            </w:r>
          </w:p>
        </w:tc>
        <w:tc>
          <w:tcPr>
            <w:tcW w:w="857" w:type="dxa"/>
            <w:tcBorders>
              <w:top w:val="nil"/>
              <w:left w:val="nil"/>
              <w:bottom w:val="nil"/>
              <w:right w:val="nil"/>
            </w:tcBorders>
            <w:shd w:val="clear" w:color="000000" w:fill="E6E6E6"/>
            <w:noWrap/>
            <w:vAlign w:val="bottom"/>
            <w:hideMark/>
          </w:tcPr>
          <w:p w14:paraId="4AD41DBE"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w:t>
            </w:r>
          </w:p>
        </w:tc>
        <w:tc>
          <w:tcPr>
            <w:tcW w:w="857" w:type="dxa"/>
            <w:tcBorders>
              <w:top w:val="nil"/>
              <w:left w:val="nil"/>
              <w:bottom w:val="nil"/>
              <w:right w:val="nil"/>
            </w:tcBorders>
            <w:shd w:val="clear" w:color="auto" w:fill="auto"/>
            <w:noWrap/>
            <w:vAlign w:val="bottom"/>
            <w:hideMark/>
          </w:tcPr>
          <w:p w14:paraId="4685EAFF"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w:t>
            </w:r>
          </w:p>
        </w:tc>
        <w:tc>
          <w:tcPr>
            <w:tcW w:w="857" w:type="dxa"/>
            <w:tcBorders>
              <w:top w:val="nil"/>
              <w:left w:val="nil"/>
              <w:bottom w:val="nil"/>
              <w:right w:val="nil"/>
            </w:tcBorders>
            <w:shd w:val="clear" w:color="auto" w:fill="auto"/>
            <w:noWrap/>
            <w:vAlign w:val="bottom"/>
            <w:hideMark/>
          </w:tcPr>
          <w:p w14:paraId="1A9524D6"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w:t>
            </w:r>
          </w:p>
        </w:tc>
        <w:tc>
          <w:tcPr>
            <w:tcW w:w="857" w:type="dxa"/>
            <w:tcBorders>
              <w:top w:val="nil"/>
              <w:left w:val="nil"/>
              <w:bottom w:val="nil"/>
              <w:right w:val="nil"/>
            </w:tcBorders>
            <w:shd w:val="clear" w:color="auto" w:fill="auto"/>
            <w:noWrap/>
            <w:vAlign w:val="bottom"/>
            <w:hideMark/>
          </w:tcPr>
          <w:p w14:paraId="66B2E44E"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w:t>
            </w:r>
          </w:p>
        </w:tc>
      </w:tr>
      <w:tr w:rsidR="00FE5ED2" w:rsidRPr="0033073E" w14:paraId="1D0374DF" w14:textId="77777777" w:rsidTr="00AE67D5">
        <w:trPr>
          <w:trHeight w:val="204"/>
        </w:trPr>
        <w:tc>
          <w:tcPr>
            <w:tcW w:w="2976" w:type="dxa"/>
            <w:tcBorders>
              <w:top w:val="nil"/>
              <w:left w:val="nil"/>
              <w:bottom w:val="nil"/>
              <w:right w:val="nil"/>
            </w:tcBorders>
            <w:shd w:val="clear" w:color="auto" w:fill="auto"/>
            <w:noWrap/>
            <w:vAlign w:val="center"/>
            <w:hideMark/>
          </w:tcPr>
          <w:p w14:paraId="6C1CA9A9" w14:textId="77777777" w:rsidR="00FE5ED2" w:rsidRPr="0033073E" w:rsidRDefault="00FE5ED2" w:rsidP="00FE5ED2">
            <w:pPr>
              <w:spacing w:after="0" w:line="240" w:lineRule="auto"/>
              <w:jc w:val="left"/>
              <w:rPr>
                <w:rFonts w:ascii="Arial" w:hAnsi="Arial" w:cs="Arial"/>
                <w:b/>
                <w:bCs/>
                <w:i/>
                <w:iCs/>
                <w:color w:val="000000"/>
                <w:sz w:val="16"/>
                <w:szCs w:val="16"/>
              </w:rPr>
            </w:pPr>
            <w:r w:rsidRPr="0033073E">
              <w:rPr>
                <w:rFonts w:ascii="Arial" w:hAnsi="Arial" w:cs="Arial"/>
                <w:b/>
                <w:bCs/>
                <w:i/>
                <w:iCs/>
                <w:color w:val="000000"/>
                <w:sz w:val="16"/>
                <w:szCs w:val="16"/>
              </w:rPr>
              <w:t>Total financial assets</w:t>
            </w:r>
          </w:p>
        </w:tc>
        <w:tc>
          <w:tcPr>
            <w:tcW w:w="862" w:type="dxa"/>
            <w:tcBorders>
              <w:top w:val="single" w:sz="4" w:space="0" w:color="000000"/>
              <w:left w:val="nil"/>
              <w:bottom w:val="single" w:sz="4" w:space="0" w:color="000000"/>
              <w:right w:val="nil"/>
            </w:tcBorders>
            <w:shd w:val="clear" w:color="auto" w:fill="auto"/>
            <w:noWrap/>
            <w:vAlign w:val="bottom"/>
            <w:hideMark/>
          </w:tcPr>
          <w:p w14:paraId="22A597C8" w14:textId="24B2113A"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10,513</w:t>
            </w:r>
          </w:p>
        </w:tc>
        <w:tc>
          <w:tcPr>
            <w:tcW w:w="857" w:type="dxa"/>
            <w:tcBorders>
              <w:top w:val="single" w:sz="4" w:space="0" w:color="000000"/>
              <w:left w:val="nil"/>
              <w:bottom w:val="single" w:sz="4" w:space="0" w:color="000000"/>
              <w:right w:val="nil"/>
            </w:tcBorders>
            <w:shd w:val="clear" w:color="000000" w:fill="E6E6E6"/>
            <w:noWrap/>
            <w:vAlign w:val="bottom"/>
            <w:hideMark/>
          </w:tcPr>
          <w:p w14:paraId="45BC8FF9" w14:textId="372F0936"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9,886</w:t>
            </w:r>
          </w:p>
        </w:tc>
        <w:tc>
          <w:tcPr>
            <w:tcW w:w="857" w:type="dxa"/>
            <w:tcBorders>
              <w:top w:val="single" w:sz="4" w:space="0" w:color="000000"/>
              <w:left w:val="nil"/>
              <w:bottom w:val="single" w:sz="4" w:space="0" w:color="000000"/>
              <w:right w:val="nil"/>
            </w:tcBorders>
            <w:shd w:val="clear" w:color="auto" w:fill="auto"/>
            <w:noWrap/>
            <w:vAlign w:val="bottom"/>
            <w:hideMark/>
          </w:tcPr>
          <w:p w14:paraId="6DEC25C3" w14:textId="7AC18A30"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10,212</w:t>
            </w:r>
          </w:p>
        </w:tc>
        <w:tc>
          <w:tcPr>
            <w:tcW w:w="857" w:type="dxa"/>
            <w:tcBorders>
              <w:top w:val="single" w:sz="4" w:space="0" w:color="000000"/>
              <w:left w:val="nil"/>
              <w:bottom w:val="single" w:sz="4" w:space="0" w:color="000000"/>
              <w:right w:val="nil"/>
            </w:tcBorders>
            <w:shd w:val="clear" w:color="auto" w:fill="auto"/>
            <w:noWrap/>
            <w:vAlign w:val="bottom"/>
            <w:hideMark/>
          </w:tcPr>
          <w:p w14:paraId="17718FAC" w14:textId="6504B322"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10,442</w:t>
            </w:r>
          </w:p>
        </w:tc>
        <w:tc>
          <w:tcPr>
            <w:tcW w:w="857" w:type="dxa"/>
            <w:tcBorders>
              <w:top w:val="single" w:sz="4" w:space="0" w:color="000000"/>
              <w:left w:val="nil"/>
              <w:bottom w:val="single" w:sz="4" w:space="0" w:color="000000"/>
              <w:right w:val="nil"/>
            </w:tcBorders>
            <w:shd w:val="clear" w:color="auto" w:fill="auto"/>
            <w:noWrap/>
            <w:vAlign w:val="bottom"/>
            <w:hideMark/>
          </w:tcPr>
          <w:p w14:paraId="7AA16743" w14:textId="6742DD7A"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10,783</w:t>
            </w:r>
          </w:p>
        </w:tc>
      </w:tr>
      <w:tr w:rsidR="00FE5ED2" w:rsidRPr="0033073E" w14:paraId="279E02C2" w14:textId="77777777" w:rsidTr="00AE67D5">
        <w:trPr>
          <w:trHeight w:val="204"/>
        </w:trPr>
        <w:tc>
          <w:tcPr>
            <w:tcW w:w="2976" w:type="dxa"/>
            <w:tcBorders>
              <w:top w:val="nil"/>
              <w:left w:val="nil"/>
              <w:bottom w:val="nil"/>
              <w:right w:val="nil"/>
            </w:tcBorders>
            <w:shd w:val="clear" w:color="auto" w:fill="auto"/>
            <w:noWrap/>
            <w:vAlign w:val="center"/>
            <w:hideMark/>
          </w:tcPr>
          <w:p w14:paraId="28A7487C" w14:textId="77777777" w:rsidR="00FE5ED2" w:rsidRPr="0033073E" w:rsidRDefault="00FE5ED2" w:rsidP="00FE5ED2">
            <w:pPr>
              <w:spacing w:after="0" w:line="240" w:lineRule="auto"/>
              <w:jc w:val="left"/>
              <w:rPr>
                <w:rFonts w:ascii="Arial" w:hAnsi="Arial" w:cs="Arial"/>
                <w:b/>
                <w:bCs/>
                <w:color w:val="000000"/>
                <w:sz w:val="16"/>
                <w:szCs w:val="16"/>
              </w:rPr>
            </w:pPr>
            <w:r w:rsidRPr="0033073E">
              <w:rPr>
                <w:rFonts w:ascii="Arial" w:hAnsi="Arial" w:cs="Arial"/>
                <w:b/>
                <w:bCs/>
                <w:color w:val="000000"/>
                <w:sz w:val="16"/>
                <w:szCs w:val="16"/>
              </w:rPr>
              <w:t>Non-financial assets</w:t>
            </w:r>
          </w:p>
        </w:tc>
        <w:tc>
          <w:tcPr>
            <w:tcW w:w="862" w:type="dxa"/>
            <w:tcBorders>
              <w:top w:val="nil"/>
              <w:left w:val="nil"/>
              <w:bottom w:val="nil"/>
              <w:right w:val="nil"/>
            </w:tcBorders>
            <w:shd w:val="clear" w:color="auto" w:fill="auto"/>
            <w:noWrap/>
            <w:vAlign w:val="bottom"/>
            <w:hideMark/>
          </w:tcPr>
          <w:p w14:paraId="34947CBD" w14:textId="77777777" w:rsidR="00FE5ED2" w:rsidRPr="00294FA6" w:rsidRDefault="00FE5ED2" w:rsidP="00294FA6">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3F822146" w14:textId="0B379054" w:rsidR="00FE5ED2" w:rsidRPr="00294FA6" w:rsidRDefault="00FE5ED2" w:rsidP="00294FA6">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E434042" w14:textId="77777777" w:rsidR="00FE5ED2" w:rsidRPr="00294FA6" w:rsidRDefault="00FE5ED2" w:rsidP="00294FA6">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5052F44" w14:textId="77777777" w:rsidR="00FE5ED2" w:rsidRPr="00294FA6" w:rsidRDefault="00FE5ED2" w:rsidP="00294FA6">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62F33751" w14:textId="77777777" w:rsidR="00FE5ED2" w:rsidRPr="00294FA6" w:rsidRDefault="00FE5ED2" w:rsidP="00294FA6">
            <w:pPr>
              <w:spacing w:after="0" w:line="240" w:lineRule="auto"/>
              <w:jc w:val="right"/>
              <w:rPr>
                <w:rFonts w:ascii="Times New Roman" w:hAnsi="Times New Roman"/>
                <w:sz w:val="16"/>
                <w:szCs w:val="16"/>
              </w:rPr>
            </w:pPr>
          </w:p>
        </w:tc>
      </w:tr>
      <w:tr w:rsidR="00FE5ED2" w:rsidRPr="0033073E" w14:paraId="76023FCA" w14:textId="77777777" w:rsidTr="00AE67D5">
        <w:trPr>
          <w:trHeight w:val="204"/>
        </w:trPr>
        <w:tc>
          <w:tcPr>
            <w:tcW w:w="2976" w:type="dxa"/>
            <w:tcBorders>
              <w:top w:val="nil"/>
              <w:left w:val="nil"/>
              <w:bottom w:val="nil"/>
              <w:right w:val="nil"/>
            </w:tcBorders>
            <w:shd w:val="clear" w:color="auto" w:fill="auto"/>
            <w:noWrap/>
            <w:vAlign w:val="center"/>
            <w:hideMark/>
          </w:tcPr>
          <w:p w14:paraId="73DC8844"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Land and buildings</w:t>
            </w:r>
          </w:p>
        </w:tc>
        <w:tc>
          <w:tcPr>
            <w:tcW w:w="862" w:type="dxa"/>
            <w:tcBorders>
              <w:top w:val="nil"/>
              <w:left w:val="nil"/>
              <w:bottom w:val="nil"/>
              <w:right w:val="nil"/>
            </w:tcBorders>
            <w:shd w:val="clear" w:color="auto" w:fill="auto"/>
            <w:noWrap/>
            <w:vAlign w:val="bottom"/>
            <w:hideMark/>
          </w:tcPr>
          <w:p w14:paraId="6E6496F4"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53,956</w:t>
            </w:r>
          </w:p>
        </w:tc>
        <w:tc>
          <w:tcPr>
            <w:tcW w:w="857" w:type="dxa"/>
            <w:tcBorders>
              <w:top w:val="nil"/>
              <w:left w:val="nil"/>
              <w:bottom w:val="nil"/>
              <w:right w:val="nil"/>
            </w:tcBorders>
            <w:shd w:val="clear" w:color="000000" w:fill="E6E6E6"/>
            <w:noWrap/>
            <w:vAlign w:val="bottom"/>
            <w:hideMark/>
          </w:tcPr>
          <w:p w14:paraId="24001164"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52,225</w:t>
            </w:r>
          </w:p>
        </w:tc>
        <w:tc>
          <w:tcPr>
            <w:tcW w:w="857" w:type="dxa"/>
            <w:tcBorders>
              <w:top w:val="nil"/>
              <w:left w:val="nil"/>
              <w:bottom w:val="nil"/>
              <w:right w:val="nil"/>
            </w:tcBorders>
            <w:shd w:val="clear" w:color="auto" w:fill="auto"/>
            <w:noWrap/>
            <w:vAlign w:val="bottom"/>
            <w:hideMark/>
          </w:tcPr>
          <w:p w14:paraId="31A801D2"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50,815</w:t>
            </w:r>
          </w:p>
        </w:tc>
        <w:tc>
          <w:tcPr>
            <w:tcW w:w="857" w:type="dxa"/>
            <w:tcBorders>
              <w:top w:val="nil"/>
              <w:left w:val="nil"/>
              <w:bottom w:val="nil"/>
              <w:right w:val="nil"/>
            </w:tcBorders>
            <w:shd w:val="clear" w:color="auto" w:fill="auto"/>
            <w:noWrap/>
            <w:vAlign w:val="bottom"/>
            <w:hideMark/>
          </w:tcPr>
          <w:p w14:paraId="155A9CA0"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49,095</w:t>
            </w:r>
          </w:p>
        </w:tc>
        <w:tc>
          <w:tcPr>
            <w:tcW w:w="857" w:type="dxa"/>
            <w:tcBorders>
              <w:top w:val="nil"/>
              <w:left w:val="nil"/>
              <w:bottom w:val="nil"/>
              <w:right w:val="nil"/>
            </w:tcBorders>
            <w:shd w:val="clear" w:color="auto" w:fill="auto"/>
            <w:noWrap/>
            <w:vAlign w:val="bottom"/>
            <w:hideMark/>
          </w:tcPr>
          <w:p w14:paraId="5037569A"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47,375</w:t>
            </w:r>
          </w:p>
        </w:tc>
      </w:tr>
      <w:tr w:rsidR="00FE5ED2" w:rsidRPr="0033073E" w14:paraId="5AE06945" w14:textId="77777777" w:rsidTr="00AE67D5">
        <w:trPr>
          <w:trHeight w:val="204"/>
        </w:trPr>
        <w:tc>
          <w:tcPr>
            <w:tcW w:w="2976" w:type="dxa"/>
            <w:tcBorders>
              <w:top w:val="nil"/>
              <w:left w:val="nil"/>
              <w:bottom w:val="nil"/>
              <w:right w:val="nil"/>
            </w:tcBorders>
            <w:shd w:val="clear" w:color="auto" w:fill="auto"/>
            <w:noWrap/>
            <w:vAlign w:val="center"/>
            <w:hideMark/>
          </w:tcPr>
          <w:p w14:paraId="4F560D29"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Property, plant and equipment</w:t>
            </w:r>
          </w:p>
        </w:tc>
        <w:tc>
          <w:tcPr>
            <w:tcW w:w="862" w:type="dxa"/>
            <w:tcBorders>
              <w:top w:val="nil"/>
              <w:left w:val="nil"/>
              <w:bottom w:val="nil"/>
              <w:right w:val="nil"/>
            </w:tcBorders>
            <w:shd w:val="clear" w:color="auto" w:fill="auto"/>
            <w:noWrap/>
            <w:vAlign w:val="bottom"/>
            <w:hideMark/>
          </w:tcPr>
          <w:p w14:paraId="3343C393"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5,608</w:t>
            </w:r>
          </w:p>
        </w:tc>
        <w:tc>
          <w:tcPr>
            <w:tcW w:w="857" w:type="dxa"/>
            <w:tcBorders>
              <w:top w:val="nil"/>
              <w:left w:val="nil"/>
              <w:bottom w:val="nil"/>
              <w:right w:val="nil"/>
            </w:tcBorders>
            <w:shd w:val="clear" w:color="000000" w:fill="E6E6E6"/>
            <w:noWrap/>
            <w:vAlign w:val="bottom"/>
            <w:hideMark/>
          </w:tcPr>
          <w:p w14:paraId="49B2A489"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8,594</w:t>
            </w:r>
          </w:p>
        </w:tc>
        <w:tc>
          <w:tcPr>
            <w:tcW w:w="857" w:type="dxa"/>
            <w:tcBorders>
              <w:top w:val="nil"/>
              <w:left w:val="nil"/>
              <w:bottom w:val="nil"/>
              <w:right w:val="nil"/>
            </w:tcBorders>
            <w:shd w:val="clear" w:color="auto" w:fill="auto"/>
            <w:noWrap/>
            <w:vAlign w:val="bottom"/>
            <w:hideMark/>
          </w:tcPr>
          <w:p w14:paraId="655EF635"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15,193</w:t>
            </w:r>
          </w:p>
        </w:tc>
        <w:tc>
          <w:tcPr>
            <w:tcW w:w="857" w:type="dxa"/>
            <w:tcBorders>
              <w:top w:val="nil"/>
              <w:left w:val="nil"/>
              <w:bottom w:val="nil"/>
              <w:right w:val="nil"/>
            </w:tcBorders>
            <w:shd w:val="clear" w:color="auto" w:fill="auto"/>
            <w:noWrap/>
            <w:vAlign w:val="bottom"/>
            <w:hideMark/>
          </w:tcPr>
          <w:p w14:paraId="07183250"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22,137</w:t>
            </w:r>
          </w:p>
        </w:tc>
        <w:tc>
          <w:tcPr>
            <w:tcW w:w="857" w:type="dxa"/>
            <w:tcBorders>
              <w:top w:val="nil"/>
              <w:left w:val="nil"/>
              <w:bottom w:val="nil"/>
              <w:right w:val="nil"/>
            </w:tcBorders>
            <w:shd w:val="clear" w:color="auto" w:fill="auto"/>
            <w:noWrap/>
            <w:vAlign w:val="bottom"/>
            <w:hideMark/>
          </w:tcPr>
          <w:p w14:paraId="464EDF7C"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25,215</w:t>
            </w:r>
          </w:p>
        </w:tc>
      </w:tr>
      <w:tr w:rsidR="00FE5ED2" w:rsidRPr="0033073E" w14:paraId="0FC26665" w14:textId="77777777" w:rsidTr="00AE67D5">
        <w:trPr>
          <w:trHeight w:val="204"/>
        </w:trPr>
        <w:tc>
          <w:tcPr>
            <w:tcW w:w="2976" w:type="dxa"/>
            <w:tcBorders>
              <w:top w:val="nil"/>
              <w:left w:val="nil"/>
              <w:bottom w:val="nil"/>
              <w:right w:val="nil"/>
            </w:tcBorders>
            <w:shd w:val="clear" w:color="auto" w:fill="auto"/>
            <w:noWrap/>
            <w:vAlign w:val="center"/>
            <w:hideMark/>
          </w:tcPr>
          <w:p w14:paraId="6E335202"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Heritage and Cultural</w:t>
            </w:r>
          </w:p>
        </w:tc>
        <w:tc>
          <w:tcPr>
            <w:tcW w:w="862" w:type="dxa"/>
            <w:tcBorders>
              <w:top w:val="nil"/>
              <w:left w:val="nil"/>
              <w:bottom w:val="nil"/>
              <w:right w:val="nil"/>
            </w:tcBorders>
            <w:shd w:val="clear" w:color="auto" w:fill="auto"/>
            <w:noWrap/>
            <w:vAlign w:val="bottom"/>
            <w:hideMark/>
          </w:tcPr>
          <w:p w14:paraId="41DDFDAE"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309,315</w:t>
            </w:r>
          </w:p>
        </w:tc>
        <w:tc>
          <w:tcPr>
            <w:tcW w:w="857" w:type="dxa"/>
            <w:tcBorders>
              <w:top w:val="nil"/>
              <w:left w:val="nil"/>
              <w:bottom w:val="nil"/>
              <w:right w:val="nil"/>
            </w:tcBorders>
            <w:shd w:val="clear" w:color="000000" w:fill="E6E6E6"/>
            <w:noWrap/>
            <w:vAlign w:val="bottom"/>
            <w:hideMark/>
          </w:tcPr>
          <w:p w14:paraId="7C59C5DD"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311,958</w:t>
            </w:r>
          </w:p>
        </w:tc>
        <w:tc>
          <w:tcPr>
            <w:tcW w:w="857" w:type="dxa"/>
            <w:tcBorders>
              <w:top w:val="nil"/>
              <w:left w:val="nil"/>
              <w:bottom w:val="nil"/>
              <w:right w:val="nil"/>
            </w:tcBorders>
            <w:shd w:val="clear" w:color="auto" w:fill="auto"/>
            <w:noWrap/>
            <w:vAlign w:val="bottom"/>
            <w:hideMark/>
          </w:tcPr>
          <w:p w14:paraId="1B089E55"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313,607</w:t>
            </w:r>
          </w:p>
        </w:tc>
        <w:tc>
          <w:tcPr>
            <w:tcW w:w="857" w:type="dxa"/>
            <w:tcBorders>
              <w:top w:val="nil"/>
              <w:left w:val="nil"/>
              <w:bottom w:val="nil"/>
              <w:right w:val="nil"/>
            </w:tcBorders>
            <w:shd w:val="clear" w:color="auto" w:fill="auto"/>
            <w:noWrap/>
            <w:vAlign w:val="bottom"/>
            <w:hideMark/>
          </w:tcPr>
          <w:p w14:paraId="34AEDDD9"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315,262</w:t>
            </w:r>
          </w:p>
        </w:tc>
        <w:tc>
          <w:tcPr>
            <w:tcW w:w="857" w:type="dxa"/>
            <w:tcBorders>
              <w:top w:val="nil"/>
              <w:left w:val="nil"/>
              <w:bottom w:val="nil"/>
              <w:right w:val="nil"/>
            </w:tcBorders>
            <w:shd w:val="clear" w:color="auto" w:fill="auto"/>
            <w:noWrap/>
            <w:vAlign w:val="bottom"/>
            <w:hideMark/>
          </w:tcPr>
          <w:p w14:paraId="3381A5CD"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316,925</w:t>
            </w:r>
          </w:p>
        </w:tc>
      </w:tr>
      <w:tr w:rsidR="00FE5ED2" w:rsidRPr="0033073E" w14:paraId="75C7E6A6" w14:textId="77777777" w:rsidTr="00AE67D5">
        <w:trPr>
          <w:trHeight w:val="204"/>
        </w:trPr>
        <w:tc>
          <w:tcPr>
            <w:tcW w:w="2976" w:type="dxa"/>
            <w:tcBorders>
              <w:top w:val="nil"/>
              <w:left w:val="nil"/>
              <w:bottom w:val="nil"/>
              <w:right w:val="nil"/>
            </w:tcBorders>
            <w:shd w:val="clear" w:color="auto" w:fill="auto"/>
            <w:noWrap/>
            <w:vAlign w:val="center"/>
            <w:hideMark/>
          </w:tcPr>
          <w:p w14:paraId="2FDED7A8"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Intangibles</w:t>
            </w:r>
          </w:p>
        </w:tc>
        <w:tc>
          <w:tcPr>
            <w:tcW w:w="862" w:type="dxa"/>
            <w:tcBorders>
              <w:top w:val="nil"/>
              <w:left w:val="nil"/>
              <w:bottom w:val="nil"/>
              <w:right w:val="nil"/>
            </w:tcBorders>
            <w:shd w:val="clear" w:color="auto" w:fill="auto"/>
            <w:noWrap/>
            <w:vAlign w:val="bottom"/>
            <w:hideMark/>
          </w:tcPr>
          <w:p w14:paraId="13040CE5"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385</w:t>
            </w:r>
          </w:p>
        </w:tc>
        <w:tc>
          <w:tcPr>
            <w:tcW w:w="857" w:type="dxa"/>
            <w:tcBorders>
              <w:top w:val="nil"/>
              <w:left w:val="nil"/>
              <w:bottom w:val="nil"/>
              <w:right w:val="nil"/>
            </w:tcBorders>
            <w:shd w:val="clear" w:color="000000" w:fill="E6E6E6"/>
            <w:noWrap/>
            <w:vAlign w:val="bottom"/>
            <w:hideMark/>
          </w:tcPr>
          <w:p w14:paraId="1D6F5DE6"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269</w:t>
            </w:r>
          </w:p>
        </w:tc>
        <w:tc>
          <w:tcPr>
            <w:tcW w:w="857" w:type="dxa"/>
            <w:tcBorders>
              <w:top w:val="nil"/>
              <w:left w:val="nil"/>
              <w:bottom w:val="nil"/>
              <w:right w:val="nil"/>
            </w:tcBorders>
            <w:shd w:val="clear" w:color="auto" w:fill="auto"/>
            <w:noWrap/>
            <w:vAlign w:val="bottom"/>
            <w:hideMark/>
          </w:tcPr>
          <w:p w14:paraId="5471F694"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253</w:t>
            </w:r>
          </w:p>
        </w:tc>
        <w:tc>
          <w:tcPr>
            <w:tcW w:w="857" w:type="dxa"/>
            <w:tcBorders>
              <w:top w:val="nil"/>
              <w:left w:val="nil"/>
              <w:bottom w:val="nil"/>
              <w:right w:val="nil"/>
            </w:tcBorders>
            <w:shd w:val="clear" w:color="auto" w:fill="auto"/>
            <w:noWrap/>
            <w:vAlign w:val="bottom"/>
            <w:hideMark/>
          </w:tcPr>
          <w:p w14:paraId="330D642F"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267</w:t>
            </w:r>
          </w:p>
        </w:tc>
        <w:tc>
          <w:tcPr>
            <w:tcW w:w="857" w:type="dxa"/>
            <w:tcBorders>
              <w:top w:val="nil"/>
              <w:left w:val="nil"/>
              <w:bottom w:val="nil"/>
              <w:right w:val="nil"/>
            </w:tcBorders>
            <w:shd w:val="clear" w:color="auto" w:fill="auto"/>
            <w:noWrap/>
            <w:vAlign w:val="bottom"/>
            <w:hideMark/>
          </w:tcPr>
          <w:p w14:paraId="23C91F71"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281</w:t>
            </w:r>
          </w:p>
        </w:tc>
      </w:tr>
      <w:tr w:rsidR="00FE5ED2" w:rsidRPr="0033073E" w14:paraId="476E8788" w14:textId="77777777" w:rsidTr="00AE67D5">
        <w:trPr>
          <w:trHeight w:val="204"/>
        </w:trPr>
        <w:tc>
          <w:tcPr>
            <w:tcW w:w="2976" w:type="dxa"/>
            <w:tcBorders>
              <w:top w:val="nil"/>
              <w:left w:val="nil"/>
              <w:bottom w:val="nil"/>
              <w:right w:val="nil"/>
            </w:tcBorders>
            <w:shd w:val="clear" w:color="auto" w:fill="auto"/>
            <w:noWrap/>
            <w:vAlign w:val="center"/>
            <w:hideMark/>
          </w:tcPr>
          <w:p w14:paraId="10E85BC7"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Inventories</w:t>
            </w:r>
          </w:p>
        </w:tc>
        <w:tc>
          <w:tcPr>
            <w:tcW w:w="862" w:type="dxa"/>
            <w:tcBorders>
              <w:top w:val="nil"/>
              <w:left w:val="nil"/>
              <w:bottom w:val="nil"/>
              <w:right w:val="nil"/>
            </w:tcBorders>
            <w:shd w:val="clear" w:color="auto" w:fill="auto"/>
            <w:noWrap/>
            <w:vAlign w:val="bottom"/>
            <w:hideMark/>
          </w:tcPr>
          <w:p w14:paraId="3D15A34E"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623</w:t>
            </w:r>
          </w:p>
        </w:tc>
        <w:tc>
          <w:tcPr>
            <w:tcW w:w="857" w:type="dxa"/>
            <w:tcBorders>
              <w:top w:val="nil"/>
              <w:left w:val="nil"/>
              <w:bottom w:val="nil"/>
              <w:right w:val="nil"/>
            </w:tcBorders>
            <w:shd w:val="clear" w:color="000000" w:fill="E6E6E6"/>
            <w:noWrap/>
            <w:vAlign w:val="bottom"/>
            <w:hideMark/>
          </w:tcPr>
          <w:p w14:paraId="0226C227"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623</w:t>
            </w:r>
          </w:p>
        </w:tc>
        <w:tc>
          <w:tcPr>
            <w:tcW w:w="857" w:type="dxa"/>
            <w:tcBorders>
              <w:top w:val="nil"/>
              <w:left w:val="nil"/>
              <w:bottom w:val="nil"/>
              <w:right w:val="nil"/>
            </w:tcBorders>
            <w:shd w:val="clear" w:color="auto" w:fill="auto"/>
            <w:noWrap/>
            <w:vAlign w:val="bottom"/>
            <w:hideMark/>
          </w:tcPr>
          <w:p w14:paraId="23F30B57"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623</w:t>
            </w:r>
          </w:p>
        </w:tc>
        <w:tc>
          <w:tcPr>
            <w:tcW w:w="857" w:type="dxa"/>
            <w:tcBorders>
              <w:top w:val="nil"/>
              <w:left w:val="nil"/>
              <w:bottom w:val="nil"/>
              <w:right w:val="nil"/>
            </w:tcBorders>
            <w:shd w:val="clear" w:color="auto" w:fill="auto"/>
            <w:noWrap/>
            <w:vAlign w:val="bottom"/>
            <w:hideMark/>
          </w:tcPr>
          <w:p w14:paraId="3E06D2CA"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623</w:t>
            </w:r>
          </w:p>
        </w:tc>
        <w:tc>
          <w:tcPr>
            <w:tcW w:w="857" w:type="dxa"/>
            <w:tcBorders>
              <w:top w:val="nil"/>
              <w:left w:val="nil"/>
              <w:bottom w:val="nil"/>
              <w:right w:val="nil"/>
            </w:tcBorders>
            <w:shd w:val="clear" w:color="auto" w:fill="auto"/>
            <w:noWrap/>
            <w:vAlign w:val="bottom"/>
            <w:hideMark/>
          </w:tcPr>
          <w:p w14:paraId="26D1531F"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623</w:t>
            </w:r>
          </w:p>
        </w:tc>
      </w:tr>
      <w:tr w:rsidR="00FE5ED2" w:rsidRPr="0033073E" w14:paraId="77EB1247" w14:textId="77777777" w:rsidTr="00AE67D5">
        <w:trPr>
          <w:trHeight w:val="204"/>
        </w:trPr>
        <w:tc>
          <w:tcPr>
            <w:tcW w:w="2976" w:type="dxa"/>
            <w:tcBorders>
              <w:top w:val="nil"/>
              <w:left w:val="nil"/>
              <w:bottom w:val="nil"/>
              <w:right w:val="nil"/>
            </w:tcBorders>
            <w:shd w:val="clear" w:color="auto" w:fill="auto"/>
            <w:noWrap/>
            <w:vAlign w:val="center"/>
            <w:hideMark/>
          </w:tcPr>
          <w:p w14:paraId="765239E1"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Prepayments</w:t>
            </w:r>
          </w:p>
        </w:tc>
        <w:tc>
          <w:tcPr>
            <w:tcW w:w="862" w:type="dxa"/>
            <w:tcBorders>
              <w:top w:val="nil"/>
              <w:left w:val="nil"/>
              <w:bottom w:val="nil"/>
              <w:right w:val="nil"/>
            </w:tcBorders>
            <w:shd w:val="clear" w:color="auto" w:fill="auto"/>
            <w:noWrap/>
            <w:vAlign w:val="bottom"/>
            <w:hideMark/>
          </w:tcPr>
          <w:p w14:paraId="4B8365E6"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1,278</w:t>
            </w:r>
          </w:p>
        </w:tc>
        <w:tc>
          <w:tcPr>
            <w:tcW w:w="857" w:type="dxa"/>
            <w:tcBorders>
              <w:top w:val="nil"/>
              <w:left w:val="nil"/>
              <w:bottom w:val="nil"/>
              <w:right w:val="nil"/>
            </w:tcBorders>
            <w:shd w:val="clear" w:color="000000" w:fill="E6E6E6"/>
            <w:noWrap/>
            <w:vAlign w:val="bottom"/>
            <w:hideMark/>
          </w:tcPr>
          <w:p w14:paraId="0AE8F775"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1,278</w:t>
            </w:r>
          </w:p>
        </w:tc>
        <w:tc>
          <w:tcPr>
            <w:tcW w:w="857" w:type="dxa"/>
            <w:tcBorders>
              <w:top w:val="nil"/>
              <w:left w:val="nil"/>
              <w:bottom w:val="nil"/>
              <w:right w:val="nil"/>
            </w:tcBorders>
            <w:shd w:val="clear" w:color="auto" w:fill="auto"/>
            <w:noWrap/>
            <w:vAlign w:val="bottom"/>
            <w:hideMark/>
          </w:tcPr>
          <w:p w14:paraId="266A013F"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1,278</w:t>
            </w:r>
          </w:p>
        </w:tc>
        <w:tc>
          <w:tcPr>
            <w:tcW w:w="857" w:type="dxa"/>
            <w:tcBorders>
              <w:top w:val="nil"/>
              <w:left w:val="nil"/>
              <w:bottom w:val="nil"/>
              <w:right w:val="nil"/>
            </w:tcBorders>
            <w:shd w:val="clear" w:color="auto" w:fill="auto"/>
            <w:noWrap/>
            <w:vAlign w:val="bottom"/>
            <w:hideMark/>
          </w:tcPr>
          <w:p w14:paraId="4BBE9B23"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1,278</w:t>
            </w:r>
          </w:p>
        </w:tc>
        <w:tc>
          <w:tcPr>
            <w:tcW w:w="857" w:type="dxa"/>
            <w:tcBorders>
              <w:top w:val="nil"/>
              <w:left w:val="nil"/>
              <w:bottom w:val="nil"/>
              <w:right w:val="nil"/>
            </w:tcBorders>
            <w:shd w:val="clear" w:color="auto" w:fill="auto"/>
            <w:noWrap/>
            <w:vAlign w:val="bottom"/>
            <w:hideMark/>
          </w:tcPr>
          <w:p w14:paraId="6A5271F7"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1,278</w:t>
            </w:r>
          </w:p>
        </w:tc>
      </w:tr>
      <w:tr w:rsidR="00FE5ED2" w:rsidRPr="0033073E" w14:paraId="400C7AA1" w14:textId="77777777" w:rsidTr="00AE67D5">
        <w:trPr>
          <w:trHeight w:val="204"/>
        </w:trPr>
        <w:tc>
          <w:tcPr>
            <w:tcW w:w="2976" w:type="dxa"/>
            <w:tcBorders>
              <w:top w:val="nil"/>
              <w:left w:val="nil"/>
              <w:bottom w:val="nil"/>
              <w:right w:val="nil"/>
            </w:tcBorders>
            <w:shd w:val="clear" w:color="auto" w:fill="auto"/>
            <w:noWrap/>
            <w:vAlign w:val="center"/>
            <w:hideMark/>
          </w:tcPr>
          <w:p w14:paraId="1029302C" w14:textId="77777777" w:rsidR="00FE5ED2" w:rsidRPr="0033073E" w:rsidRDefault="00FE5ED2" w:rsidP="00FE5ED2">
            <w:pPr>
              <w:spacing w:after="0" w:line="240" w:lineRule="auto"/>
              <w:jc w:val="left"/>
              <w:rPr>
                <w:rFonts w:ascii="Arial" w:hAnsi="Arial" w:cs="Arial"/>
                <w:b/>
                <w:bCs/>
                <w:i/>
                <w:iCs/>
                <w:color w:val="000000"/>
                <w:sz w:val="16"/>
                <w:szCs w:val="16"/>
              </w:rPr>
            </w:pPr>
            <w:r w:rsidRPr="0033073E">
              <w:rPr>
                <w:rFonts w:ascii="Arial" w:hAnsi="Arial" w:cs="Arial"/>
                <w:b/>
                <w:bCs/>
                <w:i/>
                <w:iCs/>
                <w:color w:val="000000"/>
                <w:sz w:val="16"/>
                <w:szCs w:val="16"/>
              </w:rPr>
              <w:t>Total non-financial assets</w:t>
            </w:r>
          </w:p>
        </w:tc>
        <w:tc>
          <w:tcPr>
            <w:tcW w:w="862" w:type="dxa"/>
            <w:tcBorders>
              <w:top w:val="single" w:sz="4" w:space="0" w:color="000000"/>
              <w:left w:val="nil"/>
              <w:bottom w:val="single" w:sz="4" w:space="0" w:color="000000"/>
              <w:right w:val="nil"/>
            </w:tcBorders>
            <w:shd w:val="clear" w:color="auto" w:fill="auto"/>
            <w:noWrap/>
            <w:vAlign w:val="bottom"/>
            <w:hideMark/>
          </w:tcPr>
          <w:p w14:paraId="1729BD90" w14:textId="7CA0C00B"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371,165</w:t>
            </w:r>
          </w:p>
        </w:tc>
        <w:tc>
          <w:tcPr>
            <w:tcW w:w="857" w:type="dxa"/>
            <w:tcBorders>
              <w:top w:val="single" w:sz="4" w:space="0" w:color="000000"/>
              <w:left w:val="nil"/>
              <w:bottom w:val="single" w:sz="4" w:space="0" w:color="000000"/>
              <w:right w:val="nil"/>
            </w:tcBorders>
            <w:shd w:val="clear" w:color="000000" w:fill="E6E6E6"/>
            <w:noWrap/>
            <w:vAlign w:val="bottom"/>
            <w:hideMark/>
          </w:tcPr>
          <w:p w14:paraId="3759EBEB" w14:textId="0D64B5D4"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374,947</w:t>
            </w:r>
          </w:p>
        </w:tc>
        <w:tc>
          <w:tcPr>
            <w:tcW w:w="857" w:type="dxa"/>
            <w:tcBorders>
              <w:top w:val="single" w:sz="4" w:space="0" w:color="000000"/>
              <w:left w:val="nil"/>
              <w:bottom w:val="single" w:sz="4" w:space="0" w:color="000000"/>
              <w:right w:val="nil"/>
            </w:tcBorders>
            <w:shd w:val="clear" w:color="auto" w:fill="auto"/>
            <w:noWrap/>
            <w:vAlign w:val="bottom"/>
            <w:hideMark/>
          </w:tcPr>
          <w:p w14:paraId="0FBC6F77" w14:textId="6E490614"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381,769</w:t>
            </w:r>
          </w:p>
        </w:tc>
        <w:tc>
          <w:tcPr>
            <w:tcW w:w="857" w:type="dxa"/>
            <w:tcBorders>
              <w:top w:val="single" w:sz="4" w:space="0" w:color="000000"/>
              <w:left w:val="nil"/>
              <w:bottom w:val="single" w:sz="4" w:space="0" w:color="000000"/>
              <w:right w:val="nil"/>
            </w:tcBorders>
            <w:shd w:val="clear" w:color="auto" w:fill="auto"/>
            <w:noWrap/>
            <w:vAlign w:val="bottom"/>
            <w:hideMark/>
          </w:tcPr>
          <w:p w14:paraId="4B0CDA95" w14:textId="74A1B812"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388,662</w:t>
            </w:r>
          </w:p>
        </w:tc>
        <w:tc>
          <w:tcPr>
            <w:tcW w:w="857" w:type="dxa"/>
            <w:tcBorders>
              <w:top w:val="single" w:sz="4" w:space="0" w:color="000000"/>
              <w:left w:val="nil"/>
              <w:bottom w:val="single" w:sz="4" w:space="0" w:color="000000"/>
              <w:right w:val="nil"/>
            </w:tcBorders>
            <w:shd w:val="clear" w:color="auto" w:fill="auto"/>
            <w:noWrap/>
            <w:vAlign w:val="bottom"/>
            <w:hideMark/>
          </w:tcPr>
          <w:p w14:paraId="472A625E" w14:textId="53A80224"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391,697</w:t>
            </w:r>
          </w:p>
        </w:tc>
      </w:tr>
      <w:tr w:rsidR="00FE5ED2" w:rsidRPr="0033073E" w14:paraId="64CB6933" w14:textId="77777777" w:rsidTr="00AE67D5">
        <w:trPr>
          <w:trHeight w:val="204"/>
        </w:trPr>
        <w:tc>
          <w:tcPr>
            <w:tcW w:w="2976" w:type="dxa"/>
            <w:tcBorders>
              <w:top w:val="nil"/>
              <w:left w:val="nil"/>
              <w:bottom w:val="nil"/>
              <w:right w:val="nil"/>
            </w:tcBorders>
            <w:shd w:val="clear" w:color="auto" w:fill="auto"/>
            <w:noWrap/>
            <w:vAlign w:val="center"/>
            <w:hideMark/>
          </w:tcPr>
          <w:p w14:paraId="39C93B18" w14:textId="77777777" w:rsidR="00FE5ED2" w:rsidRPr="0033073E" w:rsidRDefault="00FE5ED2" w:rsidP="00FE5ED2">
            <w:pPr>
              <w:spacing w:after="0" w:line="240" w:lineRule="auto"/>
              <w:jc w:val="left"/>
              <w:rPr>
                <w:rFonts w:ascii="Arial" w:hAnsi="Arial" w:cs="Arial"/>
                <w:b/>
                <w:bCs/>
                <w:color w:val="000000"/>
                <w:sz w:val="16"/>
                <w:szCs w:val="16"/>
              </w:rPr>
            </w:pPr>
            <w:r w:rsidRPr="0033073E">
              <w:rPr>
                <w:rFonts w:ascii="Arial" w:hAnsi="Arial" w:cs="Arial"/>
                <w:b/>
                <w:bCs/>
                <w:color w:val="000000"/>
                <w:sz w:val="16"/>
                <w:szCs w:val="16"/>
              </w:rPr>
              <w:t>Total assets</w:t>
            </w:r>
          </w:p>
        </w:tc>
        <w:tc>
          <w:tcPr>
            <w:tcW w:w="862" w:type="dxa"/>
            <w:tcBorders>
              <w:top w:val="nil"/>
              <w:left w:val="nil"/>
              <w:bottom w:val="single" w:sz="4" w:space="0" w:color="000000"/>
              <w:right w:val="nil"/>
            </w:tcBorders>
            <w:shd w:val="clear" w:color="auto" w:fill="auto"/>
            <w:noWrap/>
            <w:vAlign w:val="bottom"/>
            <w:hideMark/>
          </w:tcPr>
          <w:p w14:paraId="77ECE1EE" w14:textId="6486638B"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381,678</w:t>
            </w:r>
          </w:p>
        </w:tc>
        <w:tc>
          <w:tcPr>
            <w:tcW w:w="857" w:type="dxa"/>
            <w:tcBorders>
              <w:top w:val="nil"/>
              <w:left w:val="nil"/>
              <w:bottom w:val="single" w:sz="4" w:space="0" w:color="000000"/>
              <w:right w:val="nil"/>
            </w:tcBorders>
            <w:shd w:val="clear" w:color="000000" w:fill="E6E6E6"/>
            <w:noWrap/>
            <w:vAlign w:val="bottom"/>
            <w:hideMark/>
          </w:tcPr>
          <w:p w14:paraId="55A45BF9" w14:textId="74D09634"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384,833</w:t>
            </w:r>
          </w:p>
        </w:tc>
        <w:tc>
          <w:tcPr>
            <w:tcW w:w="857" w:type="dxa"/>
            <w:tcBorders>
              <w:top w:val="nil"/>
              <w:left w:val="nil"/>
              <w:bottom w:val="single" w:sz="4" w:space="0" w:color="000000"/>
              <w:right w:val="nil"/>
            </w:tcBorders>
            <w:shd w:val="clear" w:color="auto" w:fill="auto"/>
            <w:noWrap/>
            <w:vAlign w:val="bottom"/>
            <w:hideMark/>
          </w:tcPr>
          <w:p w14:paraId="1D694AAF" w14:textId="1B334E48"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391,981</w:t>
            </w:r>
          </w:p>
        </w:tc>
        <w:tc>
          <w:tcPr>
            <w:tcW w:w="857" w:type="dxa"/>
            <w:tcBorders>
              <w:top w:val="nil"/>
              <w:left w:val="nil"/>
              <w:bottom w:val="single" w:sz="4" w:space="0" w:color="000000"/>
              <w:right w:val="nil"/>
            </w:tcBorders>
            <w:shd w:val="clear" w:color="auto" w:fill="auto"/>
            <w:noWrap/>
            <w:vAlign w:val="bottom"/>
            <w:hideMark/>
          </w:tcPr>
          <w:p w14:paraId="6B62CC46" w14:textId="12024FC7"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399,104</w:t>
            </w:r>
          </w:p>
        </w:tc>
        <w:tc>
          <w:tcPr>
            <w:tcW w:w="857" w:type="dxa"/>
            <w:tcBorders>
              <w:top w:val="nil"/>
              <w:left w:val="nil"/>
              <w:bottom w:val="single" w:sz="4" w:space="0" w:color="000000"/>
              <w:right w:val="nil"/>
            </w:tcBorders>
            <w:shd w:val="clear" w:color="auto" w:fill="auto"/>
            <w:noWrap/>
            <w:vAlign w:val="bottom"/>
            <w:hideMark/>
          </w:tcPr>
          <w:p w14:paraId="48439C2E" w14:textId="5D7FCBDF"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402,480</w:t>
            </w:r>
          </w:p>
        </w:tc>
      </w:tr>
      <w:tr w:rsidR="00FE5ED2" w:rsidRPr="0033073E" w14:paraId="672DAF3F" w14:textId="77777777" w:rsidTr="00AE67D5">
        <w:trPr>
          <w:trHeight w:val="204"/>
        </w:trPr>
        <w:tc>
          <w:tcPr>
            <w:tcW w:w="2976" w:type="dxa"/>
            <w:tcBorders>
              <w:top w:val="nil"/>
              <w:left w:val="nil"/>
              <w:bottom w:val="nil"/>
              <w:right w:val="nil"/>
            </w:tcBorders>
            <w:shd w:val="clear" w:color="auto" w:fill="auto"/>
            <w:noWrap/>
            <w:vAlign w:val="center"/>
            <w:hideMark/>
          </w:tcPr>
          <w:p w14:paraId="6A8FB738" w14:textId="77777777" w:rsidR="00FE5ED2" w:rsidRPr="0033073E" w:rsidRDefault="00FE5ED2" w:rsidP="00FE5ED2">
            <w:pPr>
              <w:spacing w:after="0" w:line="240" w:lineRule="auto"/>
              <w:jc w:val="left"/>
              <w:rPr>
                <w:rFonts w:ascii="Arial" w:hAnsi="Arial" w:cs="Arial"/>
                <w:b/>
                <w:bCs/>
                <w:color w:val="000000"/>
                <w:sz w:val="16"/>
                <w:szCs w:val="16"/>
              </w:rPr>
            </w:pPr>
            <w:r w:rsidRPr="0033073E">
              <w:rPr>
                <w:rFonts w:ascii="Arial" w:hAnsi="Arial" w:cs="Arial"/>
                <w:b/>
                <w:bCs/>
                <w:color w:val="000000"/>
                <w:sz w:val="16"/>
                <w:szCs w:val="16"/>
              </w:rPr>
              <w:t>LIABILITIES</w:t>
            </w:r>
          </w:p>
        </w:tc>
        <w:tc>
          <w:tcPr>
            <w:tcW w:w="862" w:type="dxa"/>
            <w:tcBorders>
              <w:top w:val="nil"/>
              <w:left w:val="nil"/>
              <w:bottom w:val="nil"/>
              <w:right w:val="nil"/>
            </w:tcBorders>
            <w:shd w:val="clear" w:color="auto" w:fill="auto"/>
            <w:noWrap/>
            <w:vAlign w:val="bottom"/>
            <w:hideMark/>
          </w:tcPr>
          <w:p w14:paraId="2674DC8D" w14:textId="77777777" w:rsidR="00FE5ED2" w:rsidRPr="00294FA6" w:rsidRDefault="00FE5ED2" w:rsidP="00294FA6">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6C3DD4B4" w14:textId="0ABD0727" w:rsidR="00FE5ED2" w:rsidRPr="00294FA6" w:rsidRDefault="00FE5ED2" w:rsidP="00294FA6">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B15E22C" w14:textId="77777777" w:rsidR="00FE5ED2" w:rsidRPr="00294FA6" w:rsidRDefault="00FE5ED2" w:rsidP="00294FA6">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192714D" w14:textId="77777777" w:rsidR="00FE5ED2" w:rsidRPr="00294FA6" w:rsidRDefault="00FE5ED2" w:rsidP="00294FA6">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5A115D1B" w14:textId="77777777" w:rsidR="00FE5ED2" w:rsidRPr="00294FA6" w:rsidRDefault="00FE5ED2" w:rsidP="00294FA6">
            <w:pPr>
              <w:spacing w:after="0" w:line="240" w:lineRule="auto"/>
              <w:jc w:val="right"/>
              <w:rPr>
                <w:rFonts w:ascii="Times New Roman" w:hAnsi="Times New Roman"/>
                <w:sz w:val="16"/>
                <w:szCs w:val="16"/>
              </w:rPr>
            </w:pPr>
          </w:p>
        </w:tc>
      </w:tr>
      <w:tr w:rsidR="00FE5ED2" w:rsidRPr="0033073E" w14:paraId="2B122269" w14:textId="77777777" w:rsidTr="00AE67D5">
        <w:trPr>
          <w:trHeight w:val="204"/>
        </w:trPr>
        <w:tc>
          <w:tcPr>
            <w:tcW w:w="2976" w:type="dxa"/>
            <w:tcBorders>
              <w:top w:val="nil"/>
              <w:left w:val="nil"/>
              <w:bottom w:val="nil"/>
              <w:right w:val="nil"/>
            </w:tcBorders>
            <w:shd w:val="clear" w:color="auto" w:fill="auto"/>
            <w:noWrap/>
            <w:vAlign w:val="center"/>
            <w:hideMark/>
          </w:tcPr>
          <w:p w14:paraId="5EA8E6F1" w14:textId="77777777" w:rsidR="00FE5ED2" w:rsidRPr="0033073E" w:rsidRDefault="00FE5ED2" w:rsidP="00FE5ED2">
            <w:pPr>
              <w:spacing w:after="0" w:line="240" w:lineRule="auto"/>
              <w:jc w:val="left"/>
              <w:rPr>
                <w:rFonts w:ascii="Arial" w:hAnsi="Arial" w:cs="Arial"/>
                <w:b/>
                <w:bCs/>
                <w:color w:val="000000"/>
                <w:sz w:val="16"/>
                <w:szCs w:val="16"/>
              </w:rPr>
            </w:pPr>
            <w:r w:rsidRPr="0033073E">
              <w:rPr>
                <w:rFonts w:ascii="Arial" w:hAnsi="Arial" w:cs="Arial"/>
                <w:b/>
                <w:bCs/>
                <w:color w:val="000000"/>
                <w:sz w:val="16"/>
                <w:szCs w:val="16"/>
              </w:rPr>
              <w:t>Payables</w:t>
            </w:r>
          </w:p>
        </w:tc>
        <w:tc>
          <w:tcPr>
            <w:tcW w:w="862" w:type="dxa"/>
            <w:tcBorders>
              <w:top w:val="nil"/>
              <w:left w:val="nil"/>
              <w:bottom w:val="nil"/>
              <w:right w:val="nil"/>
            </w:tcBorders>
            <w:shd w:val="clear" w:color="auto" w:fill="auto"/>
            <w:noWrap/>
            <w:vAlign w:val="bottom"/>
            <w:hideMark/>
          </w:tcPr>
          <w:p w14:paraId="10B08A57" w14:textId="77777777" w:rsidR="00FE5ED2" w:rsidRPr="00294FA6" w:rsidRDefault="00FE5ED2" w:rsidP="00294FA6">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5FB7D676" w14:textId="10C80E2E" w:rsidR="00FE5ED2" w:rsidRPr="00294FA6" w:rsidRDefault="00FE5ED2" w:rsidP="00294FA6">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AAB692D" w14:textId="77777777" w:rsidR="00FE5ED2" w:rsidRPr="00294FA6" w:rsidRDefault="00FE5ED2" w:rsidP="00294FA6">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CEEA3F0" w14:textId="77777777" w:rsidR="00FE5ED2" w:rsidRPr="00294FA6" w:rsidRDefault="00FE5ED2" w:rsidP="00294FA6">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3A13F7B1" w14:textId="77777777" w:rsidR="00FE5ED2" w:rsidRPr="00294FA6" w:rsidRDefault="00FE5ED2" w:rsidP="00294FA6">
            <w:pPr>
              <w:spacing w:after="0" w:line="240" w:lineRule="auto"/>
              <w:jc w:val="right"/>
              <w:rPr>
                <w:rFonts w:ascii="Times New Roman" w:hAnsi="Times New Roman"/>
                <w:sz w:val="16"/>
                <w:szCs w:val="16"/>
              </w:rPr>
            </w:pPr>
          </w:p>
        </w:tc>
      </w:tr>
      <w:tr w:rsidR="00FE5ED2" w:rsidRPr="0033073E" w14:paraId="4D019795" w14:textId="77777777" w:rsidTr="00AE67D5">
        <w:trPr>
          <w:trHeight w:val="204"/>
        </w:trPr>
        <w:tc>
          <w:tcPr>
            <w:tcW w:w="2976" w:type="dxa"/>
            <w:tcBorders>
              <w:top w:val="nil"/>
              <w:left w:val="nil"/>
              <w:bottom w:val="nil"/>
              <w:right w:val="nil"/>
            </w:tcBorders>
            <w:shd w:val="clear" w:color="auto" w:fill="auto"/>
            <w:noWrap/>
            <w:vAlign w:val="center"/>
            <w:hideMark/>
          </w:tcPr>
          <w:p w14:paraId="71BED934"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Suppliers</w:t>
            </w:r>
          </w:p>
        </w:tc>
        <w:tc>
          <w:tcPr>
            <w:tcW w:w="862" w:type="dxa"/>
            <w:tcBorders>
              <w:top w:val="nil"/>
              <w:left w:val="nil"/>
              <w:bottom w:val="nil"/>
              <w:right w:val="nil"/>
            </w:tcBorders>
            <w:shd w:val="clear" w:color="auto" w:fill="auto"/>
            <w:noWrap/>
            <w:vAlign w:val="bottom"/>
            <w:hideMark/>
          </w:tcPr>
          <w:p w14:paraId="419F8F89"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703</w:t>
            </w:r>
          </w:p>
        </w:tc>
        <w:tc>
          <w:tcPr>
            <w:tcW w:w="857" w:type="dxa"/>
            <w:tcBorders>
              <w:top w:val="nil"/>
              <w:left w:val="nil"/>
              <w:bottom w:val="nil"/>
              <w:right w:val="nil"/>
            </w:tcBorders>
            <w:shd w:val="clear" w:color="000000" w:fill="E6E6E6"/>
            <w:noWrap/>
            <w:vAlign w:val="bottom"/>
            <w:hideMark/>
          </w:tcPr>
          <w:p w14:paraId="21524720"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703</w:t>
            </w:r>
          </w:p>
        </w:tc>
        <w:tc>
          <w:tcPr>
            <w:tcW w:w="857" w:type="dxa"/>
            <w:tcBorders>
              <w:top w:val="nil"/>
              <w:left w:val="nil"/>
              <w:bottom w:val="nil"/>
              <w:right w:val="nil"/>
            </w:tcBorders>
            <w:shd w:val="clear" w:color="auto" w:fill="auto"/>
            <w:noWrap/>
            <w:vAlign w:val="bottom"/>
            <w:hideMark/>
          </w:tcPr>
          <w:p w14:paraId="6C7F4D9F"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703</w:t>
            </w:r>
          </w:p>
        </w:tc>
        <w:tc>
          <w:tcPr>
            <w:tcW w:w="857" w:type="dxa"/>
            <w:tcBorders>
              <w:top w:val="nil"/>
              <w:left w:val="nil"/>
              <w:bottom w:val="nil"/>
              <w:right w:val="nil"/>
            </w:tcBorders>
            <w:shd w:val="clear" w:color="auto" w:fill="auto"/>
            <w:noWrap/>
            <w:vAlign w:val="bottom"/>
            <w:hideMark/>
          </w:tcPr>
          <w:p w14:paraId="6AD1B309"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703</w:t>
            </w:r>
          </w:p>
        </w:tc>
        <w:tc>
          <w:tcPr>
            <w:tcW w:w="857" w:type="dxa"/>
            <w:tcBorders>
              <w:top w:val="nil"/>
              <w:left w:val="nil"/>
              <w:bottom w:val="nil"/>
              <w:right w:val="nil"/>
            </w:tcBorders>
            <w:shd w:val="clear" w:color="auto" w:fill="auto"/>
            <w:noWrap/>
            <w:vAlign w:val="bottom"/>
            <w:hideMark/>
          </w:tcPr>
          <w:p w14:paraId="09CE5E3A"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703</w:t>
            </w:r>
          </w:p>
        </w:tc>
      </w:tr>
      <w:tr w:rsidR="00FE5ED2" w:rsidRPr="0033073E" w14:paraId="6211E7EA" w14:textId="77777777" w:rsidTr="00AE67D5">
        <w:trPr>
          <w:trHeight w:val="204"/>
        </w:trPr>
        <w:tc>
          <w:tcPr>
            <w:tcW w:w="2976" w:type="dxa"/>
            <w:tcBorders>
              <w:top w:val="nil"/>
              <w:left w:val="nil"/>
              <w:bottom w:val="nil"/>
              <w:right w:val="nil"/>
            </w:tcBorders>
            <w:shd w:val="clear" w:color="auto" w:fill="auto"/>
            <w:noWrap/>
            <w:vAlign w:val="center"/>
            <w:hideMark/>
          </w:tcPr>
          <w:p w14:paraId="51211807"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Other payables</w:t>
            </w:r>
          </w:p>
        </w:tc>
        <w:tc>
          <w:tcPr>
            <w:tcW w:w="862" w:type="dxa"/>
            <w:tcBorders>
              <w:top w:val="nil"/>
              <w:left w:val="nil"/>
              <w:bottom w:val="nil"/>
              <w:right w:val="nil"/>
            </w:tcBorders>
            <w:shd w:val="clear" w:color="auto" w:fill="auto"/>
            <w:noWrap/>
            <w:vAlign w:val="bottom"/>
            <w:hideMark/>
          </w:tcPr>
          <w:p w14:paraId="7DA3A9C5"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357</w:t>
            </w:r>
          </w:p>
        </w:tc>
        <w:tc>
          <w:tcPr>
            <w:tcW w:w="857" w:type="dxa"/>
            <w:tcBorders>
              <w:top w:val="nil"/>
              <w:left w:val="nil"/>
              <w:bottom w:val="nil"/>
              <w:right w:val="nil"/>
            </w:tcBorders>
            <w:shd w:val="clear" w:color="000000" w:fill="E6E6E6"/>
            <w:noWrap/>
            <w:vAlign w:val="bottom"/>
            <w:hideMark/>
          </w:tcPr>
          <w:p w14:paraId="0AB4D39F"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357</w:t>
            </w:r>
          </w:p>
        </w:tc>
        <w:tc>
          <w:tcPr>
            <w:tcW w:w="857" w:type="dxa"/>
            <w:tcBorders>
              <w:top w:val="nil"/>
              <w:left w:val="nil"/>
              <w:bottom w:val="nil"/>
              <w:right w:val="nil"/>
            </w:tcBorders>
            <w:shd w:val="clear" w:color="auto" w:fill="auto"/>
            <w:noWrap/>
            <w:vAlign w:val="bottom"/>
            <w:hideMark/>
          </w:tcPr>
          <w:p w14:paraId="56272159"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357</w:t>
            </w:r>
          </w:p>
        </w:tc>
        <w:tc>
          <w:tcPr>
            <w:tcW w:w="857" w:type="dxa"/>
            <w:tcBorders>
              <w:top w:val="nil"/>
              <w:left w:val="nil"/>
              <w:bottom w:val="nil"/>
              <w:right w:val="nil"/>
            </w:tcBorders>
            <w:shd w:val="clear" w:color="auto" w:fill="auto"/>
            <w:noWrap/>
            <w:vAlign w:val="bottom"/>
            <w:hideMark/>
          </w:tcPr>
          <w:p w14:paraId="36374214"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357</w:t>
            </w:r>
          </w:p>
        </w:tc>
        <w:tc>
          <w:tcPr>
            <w:tcW w:w="857" w:type="dxa"/>
            <w:tcBorders>
              <w:top w:val="nil"/>
              <w:left w:val="nil"/>
              <w:bottom w:val="nil"/>
              <w:right w:val="nil"/>
            </w:tcBorders>
            <w:shd w:val="clear" w:color="auto" w:fill="auto"/>
            <w:noWrap/>
            <w:vAlign w:val="bottom"/>
            <w:hideMark/>
          </w:tcPr>
          <w:p w14:paraId="00EEBE94"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357</w:t>
            </w:r>
          </w:p>
        </w:tc>
      </w:tr>
      <w:tr w:rsidR="00FE5ED2" w:rsidRPr="0033073E" w14:paraId="616F587C" w14:textId="77777777" w:rsidTr="00AE67D5">
        <w:trPr>
          <w:trHeight w:val="204"/>
        </w:trPr>
        <w:tc>
          <w:tcPr>
            <w:tcW w:w="2976" w:type="dxa"/>
            <w:tcBorders>
              <w:top w:val="nil"/>
              <w:left w:val="nil"/>
              <w:bottom w:val="nil"/>
              <w:right w:val="nil"/>
            </w:tcBorders>
            <w:shd w:val="clear" w:color="auto" w:fill="auto"/>
            <w:noWrap/>
            <w:vAlign w:val="center"/>
            <w:hideMark/>
          </w:tcPr>
          <w:p w14:paraId="63FAE608" w14:textId="77777777" w:rsidR="00FE5ED2" w:rsidRPr="0033073E" w:rsidRDefault="00FE5ED2" w:rsidP="00FE5ED2">
            <w:pPr>
              <w:spacing w:after="0" w:line="240" w:lineRule="auto"/>
              <w:jc w:val="left"/>
              <w:rPr>
                <w:rFonts w:ascii="Arial" w:hAnsi="Arial" w:cs="Arial"/>
                <w:b/>
                <w:bCs/>
                <w:i/>
                <w:iCs/>
                <w:color w:val="000000"/>
                <w:sz w:val="16"/>
                <w:szCs w:val="16"/>
              </w:rPr>
            </w:pPr>
            <w:r w:rsidRPr="0033073E">
              <w:rPr>
                <w:rFonts w:ascii="Arial" w:hAnsi="Arial" w:cs="Arial"/>
                <w:b/>
                <w:bCs/>
                <w:i/>
                <w:iCs/>
                <w:color w:val="000000"/>
                <w:sz w:val="16"/>
                <w:szCs w:val="16"/>
              </w:rPr>
              <w:t>Total payables</w:t>
            </w:r>
          </w:p>
        </w:tc>
        <w:tc>
          <w:tcPr>
            <w:tcW w:w="862" w:type="dxa"/>
            <w:tcBorders>
              <w:top w:val="single" w:sz="4" w:space="0" w:color="000000"/>
              <w:left w:val="nil"/>
              <w:bottom w:val="single" w:sz="4" w:space="0" w:color="000000"/>
              <w:right w:val="nil"/>
            </w:tcBorders>
            <w:shd w:val="clear" w:color="auto" w:fill="auto"/>
            <w:noWrap/>
            <w:vAlign w:val="bottom"/>
            <w:hideMark/>
          </w:tcPr>
          <w:p w14:paraId="2B57A709" w14:textId="73787369"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1,060</w:t>
            </w:r>
          </w:p>
        </w:tc>
        <w:tc>
          <w:tcPr>
            <w:tcW w:w="857" w:type="dxa"/>
            <w:tcBorders>
              <w:top w:val="single" w:sz="4" w:space="0" w:color="000000"/>
              <w:left w:val="nil"/>
              <w:bottom w:val="single" w:sz="4" w:space="0" w:color="000000"/>
              <w:right w:val="nil"/>
            </w:tcBorders>
            <w:shd w:val="clear" w:color="000000" w:fill="E6E6E6"/>
            <w:noWrap/>
            <w:vAlign w:val="bottom"/>
            <w:hideMark/>
          </w:tcPr>
          <w:p w14:paraId="5CAFCDD9" w14:textId="3D0A9209"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1,060</w:t>
            </w:r>
          </w:p>
        </w:tc>
        <w:tc>
          <w:tcPr>
            <w:tcW w:w="857" w:type="dxa"/>
            <w:tcBorders>
              <w:top w:val="single" w:sz="4" w:space="0" w:color="000000"/>
              <w:left w:val="nil"/>
              <w:bottom w:val="single" w:sz="4" w:space="0" w:color="000000"/>
              <w:right w:val="nil"/>
            </w:tcBorders>
            <w:shd w:val="clear" w:color="auto" w:fill="auto"/>
            <w:noWrap/>
            <w:vAlign w:val="bottom"/>
            <w:hideMark/>
          </w:tcPr>
          <w:p w14:paraId="5F78E5E8" w14:textId="0A6CEB71"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1,060</w:t>
            </w:r>
          </w:p>
        </w:tc>
        <w:tc>
          <w:tcPr>
            <w:tcW w:w="857" w:type="dxa"/>
            <w:tcBorders>
              <w:top w:val="single" w:sz="4" w:space="0" w:color="000000"/>
              <w:left w:val="nil"/>
              <w:bottom w:val="single" w:sz="4" w:space="0" w:color="000000"/>
              <w:right w:val="nil"/>
            </w:tcBorders>
            <w:shd w:val="clear" w:color="auto" w:fill="auto"/>
            <w:noWrap/>
            <w:vAlign w:val="bottom"/>
            <w:hideMark/>
          </w:tcPr>
          <w:p w14:paraId="3C18DA96" w14:textId="4D78D704"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1,060</w:t>
            </w:r>
          </w:p>
        </w:tc>
        <w:tc>
          <w:tcPr>
            <w:tcW w:w="857" w:type="dxa"/>
            <w:tcBorders>
              <w:top w:val="single" w:sz="4" w:space="0" w:color="000000"/>
              <w:left w:val="nil"/>
              <w:bottom w:val="single" w:sz="4" w:space="0" w:color="000000"/>
              <w:right w:val="nil"/>
            </w:tcBorders>
            <w:shd w:val="clear" w:color="auto" w:fill="auto"/>
            <w:noWrap/>
            <w:vAlign w:val="bottom"/>
            <w:hideMark/>
          </w:tcPr>
          <w:p w14:paraId="20867626" w14:textId="3D3F658B"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1,060</w:t>
            </w:r>
          </w:p>
        </w:tc>
      </w:tr>
      <w:tr w:rsidR="00FE5ED2" w:rsidRPr="0033073E" w14:paraId="577463C1" w14:textId="77777777" w:rsidTr="00AE67D5">
        <w:trPr>
          <w:trHeight w:val="204"/>
        </w:trPr>
        <w:tc>
          <w:tcPr>
            <w:tcW w:w="2976" w:type="dxa"/>
            <w:tcBorders>
              <w:top w:val="nil"/>
              <w:left w:val="nil"/>
              <w:bottom w:val="nil"/>
              <w:right w:val="nil"/>
            </w:tcBorders>
            <w:shd w:val="clear" w:color="auto" w:fill="auto"/>
            <w:noWrap/>
            <w:vAlign w:val="center"/>
            <w:hideMark/>
          </w:tcPr>
          <w:p w14:paraId="07A26E3C" w14:textId="77777777" w:rsidR="00FE5ED2" w:rsidRPr="0033073E" w:rsidRDefault="00FE5ED2" w:rsidP="00FE5ED2">
            <w:pPr>
              <w:spacing w:after="0" w:line="240" w:lineRule="auto"/>
              <w:jc w:val="left"/>
              <w:rPr>
                <w:rFonts w:ascii="Arial" w:hAnsi="Arial" w:cs="Arial"/>
                <w:b/>
                <w:bCs/>
                <w:color w:val="000000"/>
                <w:sz w:val="16"/>
                <w:szCs w:val="16"/>
              </w:rPr>
            </w:pPr>
            <w:r w:rsidRPr="0033073E">
              <w:rPr>
                <w:rFonts w:ascii="Arial" w:hAnsi="Arial" w:cs="Arial"/>
                <w:b/>
                <w:bCs/>
                <w:color w:val="000000"/>
                <w:sz w:val="16"/>
                <w:szCs w:val="16"/>
              </w:rPr>
              <w:t>Interest bearing liabilities</w:t>
            </w:r>
          </w:p>
        </w:tc>
        <w:tc>
          <w:tcPr>
            <w:tcW w:w="862" w:type="dxa"/>
            <w:tcBorders>
              <w:top w:val="nil"/>
              <w:left w:val="nil"/>
              <w:bottom w:val="nil"/>
              <w:right w:val="nil"/>
            </w:tcBorders>
            <w:shd w:val="clear" w:color="auto" w:fill="auto"/>
            <w:noWrap/>
            <w:vAlign w:val="bottom"/>
            <w:hideMark/>
          </w:tcPr>
          <w:p w14:paraId="7D6B9776" w14:textId="77777777" w:rsidR="00FE5ED2" w:rsidRPr="00294FA6" w:rsidRDefault="00FE5ED2" w:rsidP="00294FA6">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239E7564" w14:textId="44274FD3" w:rsidR="00FE5ED2" w:rsidRPr="00294FA6" w:rsidRDefault="00FE5ED2" w:rsidP="00294FA6">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10A49FC" w14:textId="77777777" w:rsidR="00FE5ED2" w:rsidRPr="00294FA6" w:rsidRDefault="00FE5ED2" w:rsidP="00294FA6">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2C4F50E" w14:textId="77777777" w:rsidR="00FE5ED2" w:rsidRPr="00294FA6" w:rsidRDefault="00FE5ED2" w:rsidP="00294FA6">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68F9EFE0" w14:textId="77777777" w:rsidR="00FE5ED2" w:rsidRPr="00294FA6" w:rsidRDefault="00FE5ED2" w:rsidP="00294FA6">
            <w:pPr>
              <w:spacing w:after="0" w:line="240" w:lineRule="auto"/>
              <w:jc w:val="right"/>
              <w:rPr>
                <w:rFonts w:ascii="Times New Roman" w:hAnsi="Times New Roman"/>
                <w:sz w:val="16"/>
                <w:szCs w:val="16"/>
              </w:rPr>
            </w:pPr>
          </w:p>
        </w:tc>
      </w:tr>
      <w:tr w:rsidR="00FE5ED2" w:rsidRPr="0033073E" w14:paraId="35D9AB65" w14:textId="77777777" w:rsidTr="00AE67D5">
        <w:trPr>
          <w:trHeight w:val="204"/>
        </w:trPr>
        <w:tc>
          <w:tcPr>
            <w:tcW w:w="2976" w:type="dxa"/>
            <w:tcBorders>
              <w:top w:val="nil"/>
              <w:left w:val="nil"/>
              <w:bottom w:val="nil"/>
              <w:right w:val="nil"/>
            </w:tcBorders>
            <w:shd w:val="clear" w:color="auto" w:fill="auto"/>
            <w:noWrap/>
            <w:vAlign w:val="center"/>
            <w:hideMark/>
          </w:tcPr>
          <w:p w14:paraId="2723B4DD"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Leases</w:t>
            </w:r>
          </w:p>
        </w:tc>
        <w:tc>
          <w:tcPr>
            <w:tcW w:w="862" w:type="dxa"/>
            <w:tcBorders>
              <w:top w:val="nil"/>
              <w:left w:val="nil"/>
              <w:bottom w:val="nil"/>
              <w:right w:val="nil"/>
            </w:tcBorders>
            <w:shd w:val="clear" w:color="auto" w:fill="auto"/>
            <w:noWrap/>
            <w:vAlign w:val="bottom"/>
            <w:hideMark/>
          </w:tcPr>
          <w:p w14:paraId="1FDE3C48"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3,085</w:t>
            </w:r>
          </w:p>
        </w:tc>
        <w:tc>
          <w:tcPr>
            <w:tcW w:w="857" w:type="dxa"/>
            <w:tcBorders>
              <w:top w:val="nil"/>
              <w:left w:val="nil"/>
              <w:bottom w:val="nil"/>
              <w:right w:val="nil"/>
            </w:tcBorders>
            <w:shd w:val="clear" w:color="000000" w:fill="E6E6E6"/>
            <w:noWrap/>
            <w:vAlign w:val="bottom"/>
            <w:hideMark/>
          </w:tcPr>
          <w:p w14:paraId="2BBB6043"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3,095</w:t>
            </w:r>
          </w:p>
        </w:tc>
        <w:tc>
          <w:tcPr>
            <w:tcW w:w="857" w:type="dxa"/>
            <w:tcBorders>
              <w:top w:val="nil"/>
              <w:left w:val="nil"/>
              <w:bottom w:val="nil"/>
              <w:right w:val="nil"/>
            </w:tcBorders>
            <w:shd w:val="clear" w:color="auto" w:fill="auto"/>
            <w:noWrap/>
            <w:vAlign w:val="bottom"/>
            <w:hideMark/>
          </w:tcPr>
          <w:p w14:paraId="4E68B677"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3,105</w:t>
            </w:r>
          </w:p>
        </w:tc>
        <w:tc>
          <w:tcPr>
            <w:tcW w:w="857" w:type="dxa"/>
            <w:tcBorders>
              <w:top w:val="nil"/>
              <w:left w:val="nil"/>
              <w:bottom w:val="nil"/>
              <w:right w:val="nil"/>
            </w:tcBorders>
            <w:shd w:val="clear" w:color="auto" w:fill="auto"/>
            <w:noWrap/>
            <w:vAlign w:val="bottom"/>
            <w:hideMark/>
          </w:tcPr>
          <w:p w14:paraId="222CE20D"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3,105</w:t>
            </w:r>
          </w:p>
        </w:tc>
        <w:tc>
          <w:tcPr>
            <w:tcW w:w="857" w:type="dxa"/>
            <w:tcBorders>
              <w:top w:val="nil"/>
              <w:left w:val="nil"/>
              <w:bottom w:val="nil"/>
              <w:right w:val="nil"/>
            </w:tcBorders>
            <w:shd w:val="clear" w:color="auto" w:fill="auto"/>
            <w:noWrap/>
            <w:vAlign w:val="bottom"/>
            <w:hideMark/>
          </w:tcPr>
          <w:p w14:paraId="2EE8D900"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3,145</w:t>
            </w:r>
          </w:p>
        </w:tc>
      </w:tr>
      <w:tr w:rsidR="00FE5ED2" w:rsidRPr="0033073E" w14:paraId="560FA2F3" w14:textId="77777777" w:rsidTr="00AE67D5">
        <w:trPr>
          <w:trHeight w:val="204"/>
        </w:trPr>
        <w:tc>
          <w:tcPr>
            <w:tcW w:w="2976" w:type="dxa"/>
            <w:tcBorders>
              <w:top w:val="nil"/>
              <w:left w:val="nil"/>
              <w:bottom w:val="nil"/>
              <w:right w:val="nil"/>
            </w:tcBorders>
            <w:shd w:val="clear" w:color="auto" w:fill="auto"/>
            <w:noWrap/>
            <w:vAlign w:val="center"/>
            <w:hideMark/>
          </w:tcPr>
          <w:p w14:paraId="7A9105B9" w14:textId="77777777" w:rsidR="00FE5ED2" w:rsidRPr="0033073E" w:rsidRDefault="00FE5ED2" w:rsidP="00FE5ED2">
            <w:pPr>
              <w:spacing w:after="0" w:line="240" w:lineRule="auto"/>
              <w:jc w:val="left"/>
              <w:rPr>
                <w:rFonts w:ascii="Arial" w:hAnsi="Arial" w:cs="Arial"/>
                <w:b/>
                <w:bCs/>
                <w:i/>
                <w:iCs/>
                <w:color w:val="000000"/>
                <w:sz w:val="16"/>
                <w:szCs w:val="16"/>
              </w:rPr>
            </w:pPr>
            <w:r w:rsidRPr="0033073E">
              <w:rPr>
                <w:rFonts w:ascii="Arial" w:hAnsi="Arial" w:cs="Arial"/>
                <w:b/>
                <w:bCs/>
                <w:i/>
                <w:iCs/>
                <w:color w:val="000000"/>
                <w:sz w:val="16"/>
                <w:szCs w:val="16"/>
              </w:rPr>
              <w:t>Total interest bearing liabilities</w:t>
            </w:r>
          </w:p>
        </w:tc>
        <w:tc>
          <w:tcPr>
            <w:tcW w:w="862" w:type="dxa"/>
            <w:tcBorders>
              <w:top w:val="single" w:sz="4" w:space="0" w:color="000000"/>
              <w:left w:val="nil"/>
              <w:bottom w:val="single" w:sz="4" w:space="0" w:color="000000"/>
              <w:right w:val="nil"/>
            </w:tcBorders>
            <w:shd w:val="clear" w:color="auto" w:fill="auto"/>
            <w:noWrap/>
            <w:vAlign w:val="bottom"/>
            <w:hideMark/>
          </w:tcPr>
          <w:p w14:paraId="289587B7" w14:textId="56E9B687"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3,085</w:t>
            </w:r>
          </w:p>
        </w:tc>
        <w:tc>
          <w:tcPr>
            <w:tcW w:w="857" w:type="dxa"/>
            <w:tcBorders>
              <w:top w:val="single" w:sz="4" w:space="0" w:color="000000"/>
              <w:left w:val="nil"/>
              <w:bottom w:val="single" w:sz="4" w:space="0" w:color="000000"/>
              <w:right w:val="nil"/>
            </w:tcBorders>
            <w:shd w:val="clear" w:color="000000" w:fill="E6E6E6"/>
            <w:noWrap/>
            <w:vAlign w:val="bottom"/>
            <w:hideMark/>
          </w:tcPr>
          <w:p w14:paraId="0B84348D" w14:textId="4C7FED23"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3,095</w:t>
            </w:r>
          </w:p>
        </w:tc>
        <w:tc>
          <w:tcPr>
            <w:tcW w:w="857" w:type="dxa"/>
            <w:tcBorders>
              <w:top w:val="single" w:sz="4" w:space="0" w:color="000000"/>
              <w:left w:val="nil"/>
              <w:bottom w:val="single" w:sz="4" w:space="0" w:color="000000"/>
              <w:right w:val="nil"/>
            </w:tcBorders>
            <w:shd w:val="clear" w:color="auto" w:fill="auto"/>
            <w:noWrap/>
            <w:vAlign w:val="bottom"/>
            <w:hideMark/>
          </w:tcPr>
          <w:p w14:paraId="69E0BA1F" w14:textId="00847CC9"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3,105</w:t>
            </w:r>
          </w:p>
        </w:tc>
        <w:tc>
          <w:tcPr>
            <w:tcW w:w="857" w:type="dxa"/>
            <w:tcBorders>
              <w:top w:val="single" w:sz="4" w:space="0" w:color="000000"/>
              <w:left w:val="nil"/>
              <w:bottom w:val="single" w:sz="4" w:space="0" w:color="000000"/>
              <w:right w:val="nil"/>
            </w:tcBorders>
            <w:shd w:val="clear" w:color="auto" w:fill="auto"/>
            <w:noWrap/>
            <w:vAlign w:val="bottom"/>
            <w:hideMark/>
          </w:tcPr>
          <w:p w14:paraId="6D511A3D" w14:textId="0DBE75BD"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3,105</w:t>
            </w:r>
          </w:p>
        </w:tc>
        <w:tc>
          <w:tcPr>
            <w:tcW w:w="857" w:type="dxa"/>
            <w:tcBorders>
              <w:top w:val="single" w:sz="4" w:space="0" w:color="000000"/>
              <w:left w:val="nil"/>
              <w:bottom w:val="single" w:sz="4" w:space="0" w:color="000000"/>
              <w:right w:val="nil"/>
            </w:tcBorders>
            <w:shd w:val="clear" w:color="auto" w:fill="auto"/>
            <w:noWrap/>
            <w:vAlign w:val="bottom"/>
            <w:hideMark/>
          </w:tcPr>
          <w:p w14:paraId="5B689457" w14:textId="58F1ED0E"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3,145</w:t>
            </w:r>
          </w:p>
        </w:tc>
      </w:tr>
      <w:tr w:rsidR="00FE5ED2" w:rsidRPr="0033073E" w14:paraId="213E501D" w14:textId="77777777" w:rsidTr="00AE67D5">
        <w:trPr>
          <w:trHeight w:val="204"/>
        </w:trPr>
        <w:tc>
          <w:tcPr>
            <w:tcW w:w="2976" w:type="dxa"/>
            <w:tcBorders>
              <w:top w:val="nil"/>
              <w:left w:val="nil"/>
              <w:bottom w:val="nil"/>
              <w:right w:val="nil"/>
            </w:tcBorders>
            <w:shd w:val="clear" w:color="auto" w:fill="auto"/>
            <w:noWrap/>
            <w:vAlign w:val="center"/>
            <w:hideMark/>
          </w:tcPr>
          <w:p w14:paraId="30EB19D9" w14:textId="77777777" w:rsidR="00FE5ED2" w:rsidRPr="0033073E" w:rsidRDefault="00FE5ED2" w:rsidP="00FE5ED2">
            <w:pPr>
              <w:spacing w:after="0" w:line="240" w:lineRule="auto"/>
              <w:jc w:val="left"/>
              <w:rPr>
                <w:rFonts w:ascii="Arial" w:hAnsi="Arial" w:cs="Arial"/>
                <w:b/>
                <w:bCs/>
                <w:color w:val="000000"/>
                <w:sz w:val="16"/>
                <w:szCs w:val="16"/>
              </w:rPr>
            </w:pPr>
            <w:r w:rsidRPr="0033073E">
              <w:rPr>
                <w:rFonts w:ascii="Arial" w:hAnsi="Arial" w:cs="Arial"/>
                <w:b/>
                <w:bCs/>
                <w:color w:val="000000"/>
                <w:sz w:val="16"/>
                <w:szCs w:val="16"/>
              </w:rPr>
              <w:t>Provisions</w:t>
            </w:r>
          </w:p>
        </w:tc>
        <w:tc>
          <w:tcPr>
            <w:tcW w:w="862" w:type="dxa"/>
            <w:tcBorders>
              <w:top w:val="nil"/>
              <w:left w:val="nil"/>
              <w:bottom w:val="nil"/>
              <w:right w:val="nil"/>
            </w:tcBorders>
            <w:shd w:val="clear" w:color="auto" w:fill="auto"/>
            <w:noWrap/>
            <w:vAlign w:val="bottom"/>
            <w:hideMark/>
          </w:tcPr>
          <w:p w14:paraId="464B5DF1" w14:textId="77777777" w:rsidR="00FE5ED2" w:rsidRPr="00294FA6" w:rsidRDefault="00FE5ED2" w:rsidP="00294FA6">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545FC4A9" w14:textId="542011FE" w:rsidR="00FE5ED2" w:rsidRPr="00294FA6" w:rsidRDefault="00FE5ED2" w:rsidP="00294FA6">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90866A0" w14:textId="77777777" w:rsidR="00FE5ED2" w:rsidRPr="00294FA6" w:rsidRDefault="00FE5ED2" w:rsidP="00294FA6">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2560328" w14:textId="77777777" w:rsidR="00FE5ED2" w:rsidRPr="00294FA6" w:rsidRDefault="00FE5ED2" w:rsidP="00294FA6">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48C3F943" w14:textId="77777777" w:rsidR="00FE5ED2" w:rsidRPr="00294FA6" w:rsidRDefault="00FE5ED2" w:rsidP="00294FA6">
            <w:pPr>
              <w:spacing w:after="0" w:line="240" w:lineRule="auto"/>
              <w:jc w:val="right"/>
              <w:rPr>
                <w:rFonts w:ascii="Times New Roman" w:hAnsi="Times New Roman"/>
                <w:sz w:val="16"/>
                <w:szCs w:val="16"/>
              </w:rPr>
            </w:pPr>
          </w:p>
        </w:tc>
      </w:tr>
      <w:tr w:rsidR="00FE5ED2" w:rsidRPr="0033073E" w14:paraId="4C29F47C" w14:textId="77777777" w:rsidTr="00AE67D5">
        <w:trPr>
          <w:trHeight w:val="204"/>
        </w:trPr>
        <w:tc>
          <w:tcPr>
            <w:tcW w:w="2976" w:type="dxa"/>
            <w:tcBorders>
              <w:top w:val="nil"/>
              <w:left w:val="nil"/>
              <w:bottom w:val="nil"/>
              <w:right w:val="nil"/>
            </w:tcBorders>
            <w:shd w:val="clear" w:color="auto" w:fill="auto"/>
            <w:noWrap/>
            <w:vAlign w:val="center"/>
            <w:hideMark/>
          </w:tcPr>
          <w:p w14:paraId="6E943B07"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Employee provisions</w:t>
            </w:r>
          </w:p>
        </w:tc>
        <w:tc>
          <w:tcPr>
            <w:tcW w:w="862" w:type="dxa"/>
            <w:tcBorders>
              <w:top w:val="nil"/>
              <w:left w:val="nil"/>
              <w:bottom w:val="nil"/>
              <w:right w:val="nil"/>
            </w:tcBorders>
            <w:shd w:val="clear" w:color="auto" w:fill="auto"/>
            <w:noWrap/>
            <w:vAlign w:val="bottom"/>
            <w:hideMark/>
          </w:tcPr>
          <w:p w14:paraId="47A97B38"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4,229</w:t>
            </w:r>
          </w:p>
        </w:tc>
        <w:tc>
          <w:tcPr>
            <w:tcW w:w="857" w:type="dxa"/>
            <w:tcBorders>
              <w:top w:val="nil"/>
              <w:left w:val="nil"/>
              <w:bottom w:val="nil"/>
              <w:right w:val="nil"/>
            </w:tcBorders>
            <w:shd w:val="clear" w:color="000000" w:fill="E6E6E6"/>
            <w:noWrap/>
            <w:vAlign w:val="bottom"/>
            <w:hideMark/>
          </w:tcPr>
          <w:p w14:paraId="4BE900F7"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4,229</w:t>
            </w:r>
          </w:p>
        </w:tc>
        <w:tc>
          <w:tcPr>
            <w:tcW w:w="857" w:type="dxa"/>
            <w:tcBorders>
              <w:top w:val="nil"/>
              <w:left w:val="nil"/>
              <w:bottom w:val="nil"/>
              <w:right w:val="nil"/>
            </w:tcBorders>
            <w:shd w:val="clear" w:color="auto" w:fill="auto"/>
            <w:noWrap/>
            <w:vAlign w:val="bottom"/>
            <w:hideMark/>
          </w:tcPr>
          <w:p w14:paraId="44D6D39B"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4,229</w:t>
            </w:r>
          </w:p>
        </w:tc>
        <w:tc>
          <w:tcPr>
            <w:tcW w:w="857" w:type="dxa"/>
            <w:tcBorders>
              <w:top w:val="nil"/>
              <w:left w:val="nil"/>
              <w:bottom w:val="nil"/>
              <w:right w:val="nil"/>
            </w:tcBorders>
            <w:shd w:val="clear" w:color="auto" w:fill="auto"/>
            <w:noWrap/>
            <w:vAlign w:val="bottom"/>
            <w:hideMark/>
          </w:tcPr>
          <w:p w14:paraId="0080ACEA"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4,229</w:t>
            </w:r>
          </w:p>
        </w:tc>
        <w:tc>
          <w:tcPr>
            <w:tcW w:w="857" w:type="dxa"/>
            <w:tcBorders>
              <w:top w:val="nil"/>
              <w:left w:val="nil"/>
              <w:bottom w:val="nil"/>
              <w:right w:val="nil"/>
            </w:tcBorders>
            <w:shd w:val="clear" w:color="auto" w:fill="auto"/>
            <w:noWrap/>
            <w:vAlign w:val="bottom"/>
            <w:hideMark/>
          </w:tcPr>
          <w:p w14:paraId="63764B0C"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4,229</w:t>
            </w:r>
          </w:p>
        </w:tc>
      </w:tr>
      <w:tr w:rsidR="00FE5ED2" w:rsidRPr="0033073E" w14:paraId="2AB9AAB5" w14:textId="77777777" w:rsidTr="00AE67D5">
        <w:trPr>
          <w:trHeight w:val="204"/>
        </w:trPr>
        <w:tc>
          <w:tcPr>
            <w:tcW w:w="2976" w:type="dxa"/>
            <w:tcBorders>
              <w:top w:val="nil"/>
              <w:left w:val="nil"/>
              <w:bottom w:val="nil"/>
              <w:right w:val="nil"/>
            </w:tcBorders>
            <w:shd w:val="clear" w:color="auto" w:fill="auto"/>
            <w:noWrap/>
            <w:vAlign w:val="center"/>
            <w:hideMark/>
          </w:tcPr>
          <w:p w14:paraId="00951849" w14:textId="77777777" w:rsidR="00FE5ED2" w:rsidRPr="0033073E" w:rsidRDefault="00FE5ED2" w:rsidP="00B9139E">
            <w:pPr>
              <w:spacing w:after="0" w:line="240" w:lineRule="auto"/>
              <w:ind w:left="113"/>
              <w:jc w:val="left"/>
              <w:rPr>
                <w:rFonts w:ascii="Arial" w:hAnsi="Arial" w:cs="Arial"/>
                <w:color w:val="000000"/>
                <w:sz w:val="16"/>
                <w:szCs w:val="16"/>
              </w:rPr>
            </w:pPr>
            <w:r w:rsidRPr="0033073E">
              <w:rPr>
                <w:rFonts w:ascii="Arial" w:hAnsi="Arial" w:cs="Arial"/>
                <w:color w:val="000000"/>
                <w:sz w:val="16"/>
                <w:szCs w:val="16"/>
              </w:rPr>
              <w:t>Other provisions</w:t>
            </w:r>
          </w:p>
        </w:tc>
        <w:tc>
          <w:tcPr>
            <w:tcW w:w="862" w:type="dxa"/>
            <w:tcBorders>
              <w:top w:val="nil"/>
              <w:left w:val="nil"/>
              <w:bottom w:val="nil"/>
              <w:right w:val="nil"/>
            </w:tcBorders>
            <w:shd w:val="clear" w:color="auto" w:fill="auto"/>
            <w:noWrap/>
            <w:vAlign w:val="bottom"/>
            <w:hideMark/>
          </w:tcPr>
          <w:p w14:paraId="72D156D3"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534</w:t>
            </w:r>
          </w:p>
        </w:tc>
        <w:tc>
          <w:tcPr>
            <w:tcW w:w="857" w:type="dxa"/>
            <w:tcBorders>
              <w:top w:val="nil"/>
              <w:left w:val="nil"/>
              <w:bottom w:val="nil"/>
              <w:right w:val="nil"/>
            </w:tcBorders>
            <w:shd w:val="clear" w:color="000000" w:fill="E6E6E6"/>
            <w:noWrap/>
            <w:vAlign w:val="bottom"/>
            <w:hideMark/>
          </w:tcPr>
          <w:p w14:paraId="63FCC03B"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534</w:t>
            </w:r>
          </w:p>
        </w:tc>
        <w:tc>
          <w:tcPr>
            <w:tcW w:w="857" w:type="dxa"/>
            <w:tcBorders>
              <w:top w:val="nil"/>
              <w:left w:val="nil"/>
              <w:bottom w:val="nil"/>
              <w:right w:val="nil"/>
            </w:tcBorders>
            <w:shd w:val="clear" w:color="auto" w:fill="auto"/>
            <w:noWrap/>
            <w:vAlign w:val="bottom"/>
            <w:hideMark/>
          </w:tcPr>
          <w:p w14:paraId="72678C3E"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534</w:t>
            </w:r>
          </w:p>
        </w:tc>
        <w:tc>
          <w:tcPr>
            <w:tcW w:w="857" w:type="dxa"/>
            <w:tcBorders>
              <w:top w:val="nil"/>
              <w:left w:val="nil"/>
              <w:bottom w:val="nil"/>
              <w:right w:val="nil"/>
            </w:tcBorders>
            <w:shd w:val="clear" w:color="auto" w:fill="auto"/>
            <w:noWrap/>
            <w:vAlign w:val="bottom"/>
            <w:hideMark/>
          </w:tcPr>
          <w:p w14:paraId="097C2D8C"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534</w:t>
            </w:r>
          </w:p>
        </w:tc>
        <w:tc>
          <w:tcPr>
            <w:tcW w:w="857" w:type="dxa"/>
            <w:tcBorders>
              <w:top w:val="nil"/>
              <w:left w:val="nil"/>
              <w:bottom w:val="nil"/>
              <w:right w:val="nil"/>
            </w:tcBorders>
            <w:shd w:val="clear" w:color="auto" w:fill="auto"/>
            <w:noWrap/>
            <w:vAlign w:val="bottom"/>
            <w:hideMark/>
          </w:tcPr>
          <w:p w14:paraId="7BEC139F" w14:textId="77777777" w:rsidR="00FE5ED2" w:rsidRPr="00294FA6" w:rsidRDefault="00FE5ED2" w:rsidP="00294FA6">
            <w:pPr>
              <w:spacing w:after="0" w:line="240" w:lineRule="auto"/>
              <w:jc w:val="right"/>
              <w:rPr>
                <w:rFonts w:ascii="Arial" w:hAnsi="Arial" w:cs="Arial"/>
                <w:color w:val="000000"/>
                <w:sz w:val="16"/>
                <w:szCs w:val="16"/>
              </w:rPr>
            </w:pPr>
            <w:r w:rsidRPr="00294FA6">
              <w:rPr>
                <w:rFonts w:ascii="Arial" w:hAnsi="Arial" w:cs="Arial"/>
                <w:color w:val="000000"/>
                <w:sz w:val="16"/>
                <w:szCs w:val="16"/>
              </w:rPr>
              <w:t>534</w:t>
            </w:r>
          </w:p>
        </w:tc>
      </w:tr>
      <w:tr w:rsidR="00FE5ED2" w:rsidRPr="0033073E" w14:paraId="0C3EA8AB" w14:textId="77777777" w:rsidTr="00AE67D5">
        <w:trPr>
          <w:trHeight w:val="204"/>
        </w:trPr>
        <w:tc>
          <w:tcPr>
            <w:tcW w:w="2976" w:type="dxa"/>
            <w:tcBorders>
              <w:top w:val="nil"/>
              <w:left w:val="nil"/>
              <w:bottom w:val="nil"/>
              <w:right w:val="nil"/>
            </w:tcBorders>
            <w:shd w:val="clear" w:color="auto" w:fill="auto"/>
            <w:noWrap/>
            <w:vAlign w:val="center"/>
            <w:hideMark/>
          </w:tcPr>
          <w:p w14:paraId="2FD6A39E" w14:textId="77777777" w:rsidR="00FE5ED2" w:rsidRPr="0033073E" w:rsidRDefault="00FE5ED2" w:rsidP="00FE5ED2">
            <w:pPr>
              <w:spacing w:after="0" w:line="240" w:lineRule="auto"/>
              <w:jc w:val="left"/>
              <w:rPr>
                <w:rFonts w:ascii="Arial" w:hAnsi="Arial" w:cs="Arial"/>
                <w:b/>
                <w:bCs/>
                <w:i/>
                <w:iCs/>
                <w:color w:val="000000"/>
                <w:sz w:val="16"/>
                <w:szCs w:val="16"/>
              </w:rPr>
            </w:pPr>
            <w:r w:rsidRPr="0033073E">
              <w:rPr>
                <w:rFonts w:ascii="Arial" w:hAnsi="Arial" w:cs="Arial"/>
                <w:b/>
                <w:bCs/>
                <w:i/>
                <w:iCs/>
                <w:color w:val="000000"/>
                <w:sz w:val="16"/>
                <w:szCs w:val="16"/>
              </w:rPr>
              <w:t>Total provisions</w:t>
            </w:r>
          </w:p>
        </w:tc>
        <w:tc>
          <w:tcPr>
            <w:tcW w:w="862" w:type="dxa"/>
            <w:tcBorders>
              <w:top w:val="single" w:sz="4" w:space="0" w:color="000000"/>
              <w:left w:val="nil"/>
              <w:bottom w:val="single" w:sz="4" w:space="0" w:color="000000"/>
              <w:right w:val="nil"/>
            </w:tcBorders>
            <w:shd w:val="clear" w:color="auto" w:fill="auto"/>
            <w:noWrap/>
            <w:vAlign w:val="bottom"/>
            <w:hideMark/>
          </w:tcPr>
          <w:p w14:paraId="584FB146" w14:textId="4E8C4A52"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4,763</w:t>
            </w:r>
          </w:p>
        </w:tc>
        <w:tc>
          <w:tcPr>
            <w:tcW w:w="857" w:type="dxa"/>
            <w:tcBorders>
              <w:top w:val="single" w:sz="4" w:space="0" w:color="000000"/>
              <w:left w:val="nil"/>
              <w:bottom w:val="single" w:sz="4" w:space="0" w:color="000000"/>
              <w:right w:val="nil"/>
            </w:tcBorders>
            <w:shd w:val="clear" w:color="000000" w:fill="E6E6E6"/>
            <w:noWrap/>
            <w:vAlign w:val="bottom"/>
            <w:hideMark/>
          </w:tcPr>
          <w:p w14:paraId="0450B236" w14:textId="5344ECB1"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4,763</w:t>
            </w:r>
          </w:p>
        </w:tc>
        <w:tc>
          <w:tcPr>
            <w:tcW w:w="857" w:type="dxa"/>
            <w:tcBorders>
              <w:top w:val="single" w:sz="4" w:space="0" w:color="000000"/>
              <w:left w:val="nil"/>
              <w:bottom w:val="single" w:sz="4" w:space="0" w:color="000000"/>
              <w:right w:val="nil"/>
            </w:tcBorders>
            <w:shd w:val="clear" w:color="auto" w:fill="auto"/>
            <w:noWrap/>
            <w:vAlign w:val="bottom"/>
            <w:hideMark/>
          </w:tcPr>
          <w:p w14:paraId="26D164AF" w14:textId="6A5240CF"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4,763</w:t>
            </w:r>
          </w:p>
        </w:tc>
        <w:tc>
          <w:tcPr>
            <w:tcW w:w="857" w:type="dxa"/>
            <w:tcBorders>
              <w:top w:val="single" w:sz="4" w:space="0" w:color="000000"/>
              <w:left w:val="nil"/>
              <w:bottom w:val="single" w:sz="4" w:space="0" w:color="000000"/>
              <w:right w:val="nil"/>
            </w:tcBorders>
            <w:shd w:val="clear" w:color="auto" w:fill="auto"/>
            <w:noWrap/>
            <w:vAlign w:val="bottom"/>
            <w:hideMark/>
          </w:tcPr>
          <w:p w14:paraId="4A1067B6" w14:textId="573FC1D4"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4,763</w:t>
            </w:r>
          </w:p>
        </w:tc>
        <w:tc>
          <w:tcPr>
            <w:tcW w:w="857" w:type="dxa"/>
            <w:tcBorders>
              <w:top w:val="single" w:sz="4" w:space="0" w:color="000000"/>
              <w:left w:val="nil"/>
              <w:bottom w:val="single" w:sz="4" w:space="0" w:color="000000"/>
              <w:right w:val="nil"/>
            </w:tcBorders>
            <w:shd w:val="clear" w:color="auto" w:fill="auto"/>
            <w:noWrap/>
            <w:vAlign w:val="bottom"/>
            <w:hideMark/>
          </w:tcPr>
          <w:p w14:paraId="72679EA9" w14:textId="3109DAE6" w:rsidR="00FE5ED2" w:rsidRPr="00294FA6" w:rsidRDefault="00FE5ED2" w:rsidP="00294FA6">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4,763</w:t>
            </w:r>
          </w:p>
        </w:tc>
      </w:tr>
      <w:tr w:rsidR="00FE5ED2" w:rsidRPr="0033073E" w14:paraId="3B19B57E" w14:textId="77777777" w:rsidTr="00AE67D5">
        <w:trPr>
          <w:trHeight w:val="204"/>
        </w:trPr>
        <w:tc>
          <w:tcPr>
            <w:tcW w:w="2976" w:type="dxa"/>
            <w:tcBorders>
              <w:top w:val="nil"/>
              <w:left w:val="nil"/>
              <w:right w:val="nil"/>
            </w:tcBorders>
            <w:shd w:val="clear" w:color="auto" w:fill="auto"/>
            <w:noWrap/>
            <w:vAlign w:val="center"/>
            <w:hideMark/>
          </w:tcPr>
          <w:p w14:paraId="5AD9518E" w14:textId="77777777" w:rsidR="00FE5ED2" w:rsidRPr="0033073E" w:rsidRDefault="00FE5ED2" w:rsidP="00FE5ED2">
            <w:pPr>
              <w:spacing w:after="0" w:line="240" w:lineRule="auto"/>
              <w:jc w:val="left"/>
              <w:rPr>
                <w:rFonts w:ascii="Arial" w:hAnsi="Arial" w:cs="Arial"/>
                <w:b/>
                <w:bCs/>
                <w:color w:val="000000"/>
                <w:sz w:val="16"/>
                <w:szCs w:val="16"/>
              </w:rPr>
            </w:pPr>
            <w:r w:rsidRPr="0033073E">
              <w:rPr>
                <w:rFonts w:ascii="Arial" w:hAnsi="Arial" w:cs="Arial"/>
                <w:b/>
                <w:bCs/>
                <w:color w:val="000000"/>
                <w:sz w:val="16"/>
                <w:szCs w:val="16"/>
              </w:rPr>
              <w:t>Total liabilities</w:t>
            </w:r>
          </w:p>
        </w:tc>
        <w:tc>
          <w:tcPr>
            <w:tcW w:w="862" w:type="dxa"/>
            <w:tcBorders>
              <w:top w:val="nil"/>
              <w:left w:val="nil"/>
              <w:bottom w:val="single" w:sz="4" w:space="0" w:color="auto"/>
              <w:right w:val="nil"/>
            </w:tcBorders>
            <w:shd w:val="clear" w:color="auto" w:fill="auto"/>
            <w:noWrap/>
            <w:vAlign w:val="bottom"/>
            <w:hideMark/>
          </w:tcPr>
          <w:p w14:paraId="5E1A9F95" w14:textId="69B5C223"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8,908</w:t>
            </w:r>
          </w:p>
        </w:tc>
        <w:tc>
          <w:tcPr>
            <w:tcW w:w="857" w:type="dxa"/>
            <w:tcBorders>
              <w:top w:val="nil"/>
              <w:left w:val="nil"/>
              <w:bottom w:val="single" w:sz="4" w:space="0" w:color="auto"/>
              <w:right w:val="nil"/>
            </w:tcBorders>
            <w:shd w:val="clear" w:color="000000" w:fill="E6E6E6"/>
            <w:noWrap/>
            <w:vAlign w:val="bottom"/>
            <w:hideMark/>
          </w:tcPr>
          <w:p w14:paraId="3E68FFA7" w14:textId="77EE50F1"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8,918</w:t>
            </w:r>
          </w:p>
        </w:tc>
        <w:tc>
          <w:tcPr>
            <w:tcW w:w="857" w:type="dxa"/>
            <w:tcBorders>
              <w:top w:val="nil"/>
              <w:left w:val="nil"/>
              <w:bottom w:val="single" w:sz="4" w:space="0" w:color="auto"/>
              <w:right w:val="nil"/>
            </w:tcBorders>
            <w:shd w:val="clear" w:color="auto" w:fill="auto"/>
            <w:noWrap/>
            <w:vAlign w:val="bottom"/>
            <w:hideMark/>
          </w:tcPr>
          <w:p w14:paraId="5D24926B" w14:textId="0249758B"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8,928</w:t>
            </w:r>
          </w:p>
        </w:tc>
        <w:tc>
          <w:tcPr>
            <w:tcW w:w="857" w:type="dxa"/>
            <w:tcBorders>
              <w:top w:val="nil"/>
              <w:left w:val="nil"/>
              <w:bottom w:val="single" w:sz="4" w:space="0" w:color="auto"/>
              <w:right w:val="nil"/>
            </w:tcBorders>
            <w:shd w:val="clear" w:color="auto" w:fill="auto"/>
            <w:noWrap/>
            <w:vAlign w:val="bottom"/>
            <w:hideMark/>
          </w:tcPr>
          <w:p w14:paraId="5F11EA29" w14:textId="7CAE0EB1"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8,928</w:t>
            </w:r>
          </w:p>
        </w:tc>
        <w:tc>
          <w:tcPr>
            <w:tcW w:w="857" w:type="dxa"/>
            <w:tcBorders>
              <w:top w:val="nil"/>
              <w:left w:val="nil"/>
              <w:bottom w:val="single" w:sz="4" w:space="0" w:color="auto"/>
              <w:right w:val="nil"/>
            </w:tcBorders>
            <w:shd w:val="clear" w:color="auto" w:fill="auto"/>
            <w:noWrap/>
            <w:vAlign w:val="bottom"/>
            <w:hideMark/>
          </w:tcPr>
          <w:p w14:paraId="4D511830" w14:textId="54FE00AC"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8,968</w:t>
            </w:r>
          </w:p>
        </w:tc>
      </w:tr>
      <w:tr w:rsidR="00FE5ED2" w:rsidRPr="0033073E" w14:paraId="358BD161" w14:textId="77777777" w:rsidTr="00AE67D5">
        <w:trPr>
          <w:trHeight w:val="204"/>
        </w:trPr>
        <w:tc>
          <w:tcPr>
            <w:tcW w:w="2976" w:type="dxa"/>
            <w:tcBorders>
              <w:top w:val="nil"/>
              <w:left w:val="nil"/>
              <w:right w:val="nil"/>
            </w:tcBorders>
            <w:shd w:val="clear" w:color="auto" w:fill="auto"/>
            <w:noWrap/>
            <w:vAlign w:val="center"/>
            <w:hideMark/>
          </w:tcPr>
          <w:p w14:paraId="64546442" w14:textId="77777777" w:rsidR="00FE5ED2" w:rsidRPr="0033073E" w:rsidRDefault="00FE5ED2" w:rsidP="00FE5ED2">
            <w:pPr>
              <w:spacing w:after="0" w:line="240" w:lineRule="auto"/>
              <w:jc w:val="left"/>
              <w:rPr>
                <w:rFonts w:ascii="Arial" w:hAnsi="Arial" w:cs="Arial"/>
                <w:b/>
                <w:bCs/>
                <w:sz w:val="16"/>
                <w:szCs w:val="16"/>
              </w:rPr>
            </w:pPr>
            <w:r w:rsidRPr="0033073E">
              <w:rPr>
                <w:rFonts w:ascii="Arial" w:hAnsi="Arial" w:cs="Arial"/>
                <w:b/>
                <w:bCs/>
                <w:sz w:val="16"/>
                <w:szCs w:val="16"/>
              </w:rPr>
              <w:t>Net assets</w:t>
            </w:r>
          </w:p>
        </w:tc>
        <w:tc>
          <w:tcPr>
            <w:tcW w:w="862" w:type="dxa"/>
            <w:tcBorders>
              <w:top w:val="nil"/>
              <w:left w:val="nil"/>
              <w:bottom w:val="single" w:sz="4" w:space="0" w:color="auto"/>
              <w:right w:val="nil"/>
            </w:tcBorders>
            <w:shd w:val="clear" w:color="auto" w:fill="auto"/>
            <w:noWrap/>
            <w:vAlign w:val="bottom"/>
            <w:hideMark/>
          </w:tcPr>
          <w:p w14:paraId="14972EBE" w14:textId="5B841F6A"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372,770</w:t>
            </w:r>
          </w:p>
        </w:tc>
        <w:tc>
          <w:tcPr>
            <w:tcW w:w="857" w:type="dxa"/>
            <w:tcBorders>
              <w:top w:val="nil"/>
              <w:left w:val="nil"/>
              <w:bottom w:val="single" w:sz="4" w:space="0" w:color="auto"/>
              <w:right w:val="nil"/>
            </w:tcBorders>
            <w:shd w:val="clear" w:color="000000" w:fill="E6E6E6"/>
            <w:noWrap/>
            <w:vAlign w:val="bottom"/>
            <w:hideMark/>
          </w:tcPr>
          <w:p w14:paraId="06E8DEAF" w14:textId="5E68AE04"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375,915</w:t>
            </w:r>
          </w:p>
        </w:tc>
        <w:tc>
          <w:tcPr>
            <w:tcW w:w="857" w:type="dxa"/>
            <w:tcBorders>
              <w:top w:val="nil"/>
              <w:left w:val="nil"/>
              <w:bottom w:val="single" w:sz="4" w:space="0" w:color="auto"/>
              <w:right w:val="nil"/>
            </w:tcBorders>
            <w:shd w:val="clear" w:color="auto" w:fill="auto"/>
            <w:noWrap/>
            <w:vAlign w:val="bottom"/>
            <w:hideMark/>
          </w:tcPr>
          <w:p w14:paraId="2EB380C5" w14:textId="1096E50E"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383,053</w:t>
            </w:r>
          </w:p>
        </w:tc>
        <w:tc>
          <w:tcPr>
            <w:tcW w:w="857" w:type="dxa"/>
            <w:tcBorders>
              <w:top w:val="nil"/>
              <w:left w:val="nil"/>
              <w:bottom w:val="single" w:sz="4" w:space="0" w:color="auto"/>
              <w:right w:val="nil"/>
            </w:tcBorders>
            <w:shd w:val="clear" w:color="auto" w:fill="auto"/>
            <w:noWrap/>
            <w:vAlign w:val="bottom"/>
            <w:hideMark/>
          </w:tcPr>
          <w:p w14:paraId="375FCAF3" w14:textId="5A242A8C"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390,176</w:t>
            </w:r>
          </w:p>
        </w:tc>
        <w:tc>
          <w:tcPr>
            <w:tcW w:w="857" w:type="dxa"/>
            <w:tcBorders>
              <w:top w:val="nil"/>
              <w:left w:val="nil"/>
              <w:bottom w:val="single" w:sz="4" w:space="0" w:color="auto"/>
              <w:right w:val="nil"/>
            </w:tcBorders>
            <w:shd w:val="clear" w:color="auto" w:fill="auto"/>
            <w:noWrap/>
            <w:vAlign w:val="bottom"/>
            <w:hideMark/>
          </w:tcPr>
          <w:p w14:paraId="70F9ADC2" w14:textId="4EED3410" w:rsidR="00FE5ED2" w:rsidRPr="00294FA6" w:rsidRDefault="00FE5ED2"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393,512</w:t>
            </w:r>
          </w:p>
        </w:tc>
      </w:tr>
      <w:tr w:rsidR="00294FA6" w:rsidRPr="0033073E" w14:paraId="06A8445A" w14:textId="77777777" w:rsidTr="00AE67D5">
        <w:trPr>
          <w:trHeight w:val="204"/>
        </w:trPr>
        <w:tc>
          <w:tcPr>
            <w:tcW w:w="2976" w:type="dxa"/>
            <w:tcBorders>
              <w:top w:val="nil"/>
              <w:left w:val="nil"/>
              <w:right w:val="nil"/>
            </w:tcBorders>
            <w:shd w:val="clear" w:color="auto" w:fill="auto"/>
            <w:noWrap/>
            <w:vAlign w:val="center"/>
          </w:tcPr>
          <w:p w14:paraId="6CD58090" w14:textId="341584AB" w:rsidR="00294FA6" w:rsidRPr="0033073E" w:rsidRDefault="00294FA6" w:rsidP="00294FA6">
            <w:pPr>
              <w:spacing w:after="0" w:line="240" w:lineRule="auto"/>
              <w:jc w:val="left"/>
              <w:rPr>
                <w:rFonts w:ascii="Arial" w:hAnsi="Arial" w:cs="Arial"/>
                <w:b/>
                <w:bCs/>
                <w:sz w:val="16"/>
                <w:szCs w:val="16"/>
              </w:rPr>
            </w:pPr>
            <w:r w:rsidRPr="000E12F8">
              <w:rPr>
                <w:rFonts w:ascii="Arial" w:hAnsi="Arial" w:cs="Arial"/>
                <w:b/>
                <w:bCs/>
                <w:color w:val="000000"/>
                <w:sz w:val="16"/>
                <w:szCs w:val="16"/>
              </w:rPr>
              <w:t>EQUITY</w:t>
            </w:r>
          </w:p>
        </w:tc>
        <w:tc>
          <w:tcPr>
            <w:tcW w:w="862" w:type="dxa"/>
            <w:tcBorders>
              <w:top w:val="single" w:sz="4" w:space="0" w:color="auto"/>
              <w:left w:val="nil"/>
              <w:right w:val="nil"/>
            </w:tcBorders>
            <w:shd w:val="clear" w:color="auto" w:fill="auto"/>
            <w:noWrap/>
            <w:vAlign w:val="bottom"/>
          </w:tcPr>
          <w:p w14:paraId="55B1F9C4" w14:textId="77777777" w:rsidR="00294FA6" w:rsidRPr="00294FA6" w:rsidRDefault="00294FA6" w:rsidP="00294FA6">
            <w:pPr>
              <w:spacing w:after="0" w:line="240" w:lineRule="auto"/>
              <w:jc w:val="right"/>
              <w:rPr>
                <w:rFonts w:ascii="Arial" w:hAnsi="Arial" w:cs="Arial"/>
                <w:b/>
                <w:bCs/>
                <w:color w:val="000000"/>
                <w:sz w:val="16"/>
                <w:szCs w:val="16"/>
              </w:rPr>
            </w:pPr>
          </w:p>
        </w:tc>
        <w:tc>
          <w:tcPr>
            <w:tcW w:w="857" w:type="dxa"/>
            <w:tcBorders>
              <w:top w:val="single" w:sz="4" w:space="0" w:color="auto"/>
              <w:left w:val="nil"/>
              <w:right w:val="nil"/>
            </w:tcBorders>
            <w:shd w:val="clear" w:color="000000" w:fill="E6E6E6"/>
            <w:noWrap/>
            <w:vAlign w:val="bottom"/>
          </w:tcPr>
          <w:p w14:paraId="27C7ABF2" w14:textId="77777777" w:rsidR="00294FA6" w:rsidRPr="00294FA6" w:rsidRDefault="00294FA6" w:rsidP="00294FA6">
            <w:pPr>
              <w:spacing w:after="0" w:line="240" w:lineRule="auto"/>
              <w:jc w:val="right"/>
              <w:rPr>
                <w:rFonts w:ascii="Arial" w:hAnsi="Arial" w:cs="Arial"/>
                <w:b/>
                <w:bCs/>
                <w:color w:val="000000"/>
                <w:sz w:val="16"/>
                <w:szCs w:val="16"/>
              </w:rPr>
            </w:pPr>
          </w:p>
        </w:tc>
        <w:tc>
          <w:tcPr>
            <w:tcW w:w="857" w:type="dxa"/>
            <w:tcBorders>
              <w:top w:val="single" w:sz="4" w:space="0" w:color="auto"/>
              <w:left w:val="nil"/>
              <w:right w:val="nil"/>
            </w:tcBorders>
            <w:shd w:val="clear" w:color="auto" w:fill="auto"/>
            <w:noWrap/>
            <w:vAlign w:val="bottom"/>
          </w:tcPr>
          <w:p w14:paraId="321C314A" w14:textId="77777777" w:rsidR="00294FA6" w:rsidRPr="00294FA6" w:rsidRDefault="00294FA6" w:rsidP="00294FA6">
            <w:pPr>
              <w:spacing w:after="0" w:line="240" w:lineRule="auto"/>
              <w:jc w:val="right"/>
              <w:rPr>
                <w:rFonts w:ascii="Arial" w:hAnsi="Arial" w:cs="Arial"/>
                <w:b/>
                <w:bCs/>
                <w:color w:val="000000"/>
                <w:sz w:val="16"/>
                <w:szCs w:val="16"/>
              </w:rPr>
            </w:pPr>
          </w:p>
        </w:tc>
        <w:tc>
          <w:tcPr>
            <w:tcW w:w="857" w:type="dxa"/>
            <w:tcBorders>
              <w:top w:val="single" w:sz="4" w:space="0" w:color="auto"/>
              <w:left w:val="nil"/>
              <w:right w:val="nil"/>
            </w:tcBorders>
            <w:shd w:val="clear" w:color="auto" w:fill="auto"/>
            <w:noWrap/>
            <w:vAlign w:val="bottom"/>
          </w:tcPr>
          <w:p w14:paraId="7E9BBD92" w14:textId="77777777" w:rsidR="00294FA6" w:rsidRPr="00294FA6" w:rsidRDefault="00294FA6" w:rsidP="00294FA6">
            <w:pPr>
              <w:spacing w:after="0" w:line="240" w:lineRule="auto"/>
              <w:jc w:val="right"/>
              <w:rPr>
                <w:rFonts w:ascii="Arial" w:hAnsi="Arial" w:cs="Arial"/>
                <w:b/>
                <w:bCs/>
                <w:color w:val="000000"/>
                <w:sz w:val="16"/>
                <w:szCs w:val="16"/>
              </w:rPr>
            </w:pPr>
          </w:p>
        </w:tc>
        <w:tc>
          <w:tcPr>
            <w:tcW w:w="857" w:type="dxa"/>
            <w:tcBorders>
              <w:top w:val="single" w:sz="4" w:space="0" w:color="auto"/>
              <w:left w:val="nil"/>
              <w:right w:val="nil"/>
            </w:tcBorders>
            <w:shd w:val="clear" w:color="auto" w:fill="auto"/>
            <w:noWrap/>
            <w:vAlign w:val="bottom"/>
          </w:tcPr>
          <w:p w14:paraId="37C47423" w14:textId="77777777" w:rsidR="00294FA6" w:rsidRPr="00294FA6" w:rsidRDefault="00294FA6" w:rsidP="00294FA6">
            <w:pPr>
              <w:spacing w:after="0" w:line="240" w:lineRule="auto"/>
              <w:jc w:val="right"/>
              <w:rPr>
                <w:rFonts w:ascii="Arial" w:hAnsi="Arial" w:cs="Arial"/>
                <w:b/>
                <w:bCs/>
                <w:color w:val="000000"/>
                <w:sz w:val="16"/>
                <w:szCs w:val="16"/>
              </w:rPr>
            </w:pPr>
          </w:p>
        </w:tc>
      </w:tr>
      <w:tr w:rsidR="00294FA6" w:rsidRPr="0033073E" w14:paraId="7DD6ED88" w14:textId="77777777" w:rsidTr="00AE67D5">
        <w:trPr>
          <w:trHeight w:val="204"/>
        </w:trPr>
        <w:tc>
          <w:tcPr>
            <w:tcW w:w="2976" w:type="dxa"/>
            <w:tcBorders>
              <w:top w:val="nil"/>
              <w:left w:val="nil"/>
              <w:right w:val="nil"/>
            </w:tcBorders>
            <w:shd w:val="clear" w:color="auto" w:fill="auto"/>
            <w:noWrap/>
            <w:vAlign w:val="center"/>
          </w:tcPr>
          <w:p w14:paraId="38E73FEF" w14:textId="388F6FC2" w:rsidR="00294FA6" w:rsidRPr="0033073E" w:rsidRDefault="00294FA6" w:rsidP="00294FA6">
            <w:pPr>
              <w:spacing w:after="0" w:line="240" w:lineRule="auto"/>
              <w:jc w:val="left"/>
              <w:rPr>
                <w:rFonts w:ascii="Arial" w:hAnsi="Arial" w:cs="Arial"/>
                <w:b/>
                <w:bCs/>
                <w:sz w:val="16"/>
                <w:szCs w:val="16"/>
              </w:rPr>
            </w:pPr>
            <w:r w:rsidRPr="000E12F8">
              <w:rPr>
                <w:rFonts w:ascii="Arial" w:hAnsi="Arial" w:cs="Arial"/>
                <w:b/>
                <w:bCs/>
                <w:color w:val="000000"/>
                <w:sz w:val="16"/>
                <w:szCs w:val="16"/>
              </w:rPr>
              <w:t>Parent entity interest</w:t>
            </w:r>
          </w:p>
        </w:tc>
        <w:tc>
          <w:tcPr>
            <w:tcW w:w="862" w:type="dxa"/>
            <w:tcBorders>
              <w:top w:val="nil"/>
              <w:left w:val="nil"/>
              <w:right w:val="nil"/>
            </w:tcBorders>
            <w:shd w:val="clear" w:color="auto" w:fill="auto"/>
            <w:noWrap/>
            <w:vAlign w:val="bottom"/>
          </w:tcPr>
          <w:p w14:paraId="1A8C90D0" w14:textId="77777777" w:rsidR="00294FA6" w:rsidRPr="00294FA6" w:rsidRDefault="00294FA6" w:rsidP="00294FA6">
            <w:pPr>
              <w:spacing w:after="0" w:line="240" w:lineRule="auto"/>
              <w:jc w:val="right"/>
              <w:rPr>
                <w:rFonts w:ascii="Arial" w:hAnsi="Arial" w:cs="Arial"/>
                <w:b/>
                <w:bCs/>
                <w:color w:val="000000"/>
                <w:sz w:val="16"/>
                <w:szCs w:val="16"/>
              </w:rPr>
            </w:pPr>
          </w:p>
        </w:tc>
        <w:tc>
          <w:tcPr>
            <w:tcW w:w="857" w:type="dxa"/>
            <w:tcBorders>
              <w:top w:val="nil"/>
              <w:left w:val="nil"/>
              <w:right w:val="nil"/>
            </w:tcBorders>
            <w:shd w:val="clear" w:color="000000" w:fill="E6E6E6"/>
            <w:noWrap/>
            <w:vAlign w:val="bottom"/>
          </w:tcPr>
          <w:p w14:paraId="1D9C3F00" w14:textId="77777777" w:rsidR="00294FA6" w:rsidRPr="00294FA6" w:rsidRDefault="00294FA6" w:rsidP="00294FA6">
            <w:pPr>
              <w:spacing w:after="0" w:line="240" w:lineRule="auto"/>
              <w:jc w:val="right"/>
              <w:rPr>
                <w:rFonts w:ascii="Arial" w:hAnsi="Arial" w:cs="Arial"/>
                <w:b/>
                <w:bCs/>
                <w:color w:val="000000"/>
                <w:sz w:val="16"/>
                <w:szCs w:val="16"/>
              </w:rPr>
            </w:pPr>
          </w:p>
        </w:tc>
        <w:tc>
          <w:tcPr>
            <w:tcW w:w="857" w:type="dxa"/>
            <w:tcBorders>
              <w:top w:val="nil"/>
              <w:left w:val="nil"/>
              <w:right w:val="nil"/>
            </w:tcBorders>
            <w:shd w:val="clear" w:color="auto" w:fill="auto"/>
            <w:noWrap/>
            <w:vAlign w:val="bottom"/>
          </w:tcPr>
          <w:p w14:paraId="0E29A8C3" w14:textId="77777777" w:rsidR="00294FA6" w:rsidRPr="00294FA6" w:rsidRDefault="00294FA6" w:rsidP="00294FA6">
            <w:pPr>
              <w:spacing w:after="0" w:line="240" w:lineRule="auto"/>
              <w:jc w:val="right"/>
              <w:rPr>
                <w:rFonts w:ascii="Arial" w:hAnsi="Arial" w:cs="Arial"/>
                <w:b/>
                <w:bCs/>
                <w:color w:val="000000"/>
                <w:sz w:val="16"/>
                <w:szCs w:val="16"/>
              </w:rPr>
            </w:pPr>
          </w:p>
        </w:tc>
        <w:tc>
          <w:tcPr>
            <w:tcW w:w="857" w:type="dxa"/>
            <w:tcBorders>
              <w:top w:val="nil"/>
              <w:left w:val="nil"/>
              <w:right w:val="nil"/>
            </w:tcBorders>
            <w:shd w:val="clear" w:color="auto" w:fill="auto"/>
            <w:noWrap/>
            <w:vAlign w:val="bottom"/>
          </w:tcPr>
          <w:p w14:paraId="6F3BF86F" w14:textId="77777777" w:rsidR="00294FA6" w:rsidRPr="00294FA6" w:rsidRDefault="00294FA6" w:rsidP="00294FA6">
            <w:pPr>
              <w:spacing w:after="0" w:line="240" w:lineRule="auto"/>
              <w:jc w:val="right"/>
              <w:rPr>
                <w:rFonts w:ascii="Arial" w:hAnsi="Arial" w:cs="Arial"/>
                <w:b/>
                <w:bCs/>
                <w:color w:val="000000"/>
                <w:sz w:val="16"/>
                <w:szCs w:val="16"/>
              </w:rPr>
            </w:pPr>
          </w:p>
        </w:tc>
        <w:tc>
          <w:tcPr>
            <w:tcW w:w="857" w:type="dxa"/>
            <w:tcBorders>
              <w:top w:val="nil"/>
              <w:left w:val="nil"/>
              <w:right w:val="nil"/>
            </w:tcBorders>
            <w:shd w:val="clear" w:color="auto" w:fill="auto"/>
            <w:noWrap/>
            <w:vAlign w:val="bottom"/>
          </w:tcPr>
          <w:p w14:paraId="6AB6B1FC" w14:textId="77777777" w:rsidR="00294FA6" w:rsidRPr="00294FA6" w:rsidRDefault="00294FA6" w:rsidP="00294FA6">
            <w:pPr>
              <w:spacing w:after="0" w:line="240" w:lineRule="auto"/>
              <w:jc w:val="right"/>
              <w:rPr>
                <w:rFonts w:ascii="Arial" w:hAnsi="Arial" w:cs="Arial"/>
                <w:b/>
                <w:bCs/>
                <w:color w:val="000000"/>
                <w:sz w:val="16"/>
                <w:szCs w:val="16"/>
              </w:rPr>
            </w:pPr>
          </w:p>
        </w:tc>
      </w:tr>
      <w:tr w:rsidR="00294FA6" w:rsidRPr="0033073E" w14:paraId="52EF4348" w14:textId="77777777" w:rsidTr="00AE67D5">
        <w:trPr>
          <w:trHeight w:val="204"/>
        </w:trPr>
        <w:tc>
          <w:tcPr>
            <w:tcW w:w="2976" w:type="dxa"/>
            <w:tcBorders>
              <w:top w:val="nil"/>
              <w:left w:val="nil"/>
              <w:right w:val="nil"/>
            </w:tcBorders>
            <w:shd w:val="clear" w:color="auto" w:fill="auto"/>
            <w:noWrap/>
            <w:vAlign w:val="center"/>
          </w:tcPr>
          <w:p w14:paraId="4573908E" w14:textId="71BF44EF" w:rsidR="00294FA6" w:rsidRPr="0033073E" w:rsidRDefault="00294FA6" w:rsidP="007203CA">
            <w:pPr>
              <w:spacing w:after="0" w:line="240" w:lineRule="auto"/>
              <w:ind w:left="113"/>
              <w:jc w:val="left"/>
              <w:rPr>
                <w:rFonts w:ascii="Arial" w:hAnsi="Arial" w:cs="Arial"/>
                <w:b/>
                <w:bCs/>
                <w:sz w:val="16"/>
                <w:szCs w:val="16"/>
              </w:rPr>
            </w:pPr>
            <w:r w:rsidRPr="000E12F8">
              <w:rPr>
                <w:rFonts w:ascii="Arial" w:hAnsi="Arial" w:cs="Arial"/>
                <w:color w:val="000000"/>
                <w:sz w:val="16"/>
                <w:szCs w:val="16"/>
              </w:rPr>
              <w:t>Contributed equity</w:t>
            </w:r>
          </w:p>
        </w:tc>
        <w:tc>
          <w:tcPr>
            <w:tcW w:w="862" w:type="dxa"/>
            <w:tcBorders>
              <w:top w:val="nil"/>
              <w:left w:val="nil"/>
              <w:right w:val="nil"/>
            </w:tcBorders>
            <w:shd w:val="clear" w:color="auto" w:fill="auto"/>
            <w:noWrap/>
            <w:vAlign w:val="bottom"/>
          </w:tcPr>
          <w:p w14:paraId="7D7D692E" w14:textId="51C46E66"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224,966</w:t>
            </w:r>
          </w:p>
        </w:tc>
        <w:tc>
          <w:tcPr>
            <w:tcW w:w="857" w:type="dxa"/>
            <w:tcBorders>
              <w:top w:val="nil"/>
              <w:left w:val="nil"/>
              <w:right w:val="nil"/>
            </w:tcBorders>
            <w:shd w:val="clear" w:color="000000" w:fill="E6E6E6"/>
            <w:noWrap/>
            <w:vAlign w:val="bottom"/>
          </w:tcPr>
          <w:p w14:paraId="4F39027F" w14:textId="77CC1658"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229,293</w:t>
            </w:r>
          </w:p>
        </w:tc>
        <w:tc>
          <w:tcPr>
            <w:tcW w:w="857" w:type="dxa"/>
            <w:tcBorders>
              <w:top w:val="nil"/>
              <w:left w:val="nil"/>
              <w:right w:val="nil"/>
            </w:tcBorders>
            <w:shd w:val="clear" w:color="auto" w:fill="auto"/>
            <w:noWrap/>
            <w:vAlign w:val="bottom"/>
          </w:tcPr>
          <w:p w14:paraId="5921947B" w14:textId="6B821F42"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237,693</w:t>
            </w:r>
          </w:p>
        </w:tc>
        <w:tc>
          <w:tcPr>
            <w:tcW w:w="857" w:type="dxa"/>
            <w:tcBorders>
              <w:top w:val="nil"/>
              <w:left w:val="nil"/>
              <w:right w:val="nil"/>
            </w:tcBorders>
            <w:shd w:val="clear" w:color="auto" w:fill="auto"/>
            <w:noWrap/>
            <w:vAlign w:val="bottom"/>
          </w:tcPr>
          <w:p w14:paraId="784A246C" w14:textId="79F61964"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246,444</w:t>
            </w:r>
          </w:p>
        </w:tc>
        <w:tc>
          <w:tcPr>
            <w:tcW w:w="857" w:type="dxa"/>
            <w:tcBorders>
              <w:top w:val="nil"/>
              <w:left w:val="nil"/>
              <w:right w:val="nil"/>
            </w:tcBorders>
            <w:shd w:val="clear" w:color="auto" w:fill="auto"/>
            <w:noWrap/>
            <w:vAlign w:val="bottom"/>
          </w:tcPr>
          <w:p w14:paraId="4F643919" w14:textId="7138F940"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251,337</w:t>
            </w:r>
          </w:p>
        </w:tc>
      </w:tr>
      <w:tr w:rsidR="00294FA6" w:rsidRPr="0033073E" w14:paraId="5B3E916E" w14:textId="77777777" w:rsidTr="00AE67D5">
        <w:trPr>
          <w:trHeight w:val="204"/>
        </w:trPr>
        <w:tc>
          <w:tcPr>
            <w:tcW w:w="2976" w:type="dxa"/>
            <w:tcBorders>
              <w:top w:val="nil"/>
              <w:left w:val="nil"/>
              <w:right w:val="nil"/>
            </w:tcBorders>
            <w:shd w:val="clear" w:color="auto" w:fill="auto"/>
            <w:noWrap/>
            <w:vAlign w:val="center"/>
          </w:tcPr>
          <w:p w14:paraId="23999B9F" w14:textId="31BF0A0E" w:rsidR="00294FA6" w:rsidRPr="0033073E" w:rsidRDefault="00294FA6" w:rsidP="007203CA">
            <w:pPr>
              <w:spacing w:after="0" w:line="240" w:lineRule="auto"/>
              <w:ind w:left="113"/>
              <w:jc w:val="left"/>
              <w:rPr>
                <w:rFonts w:ascii="Arial" w:hAnsi="Arial" w:cs="Arial"/>
                <w:b/>
                <w:bCs/>
                <w:sz w:val="16"/>
                <w:szCs w:val="16"/>
              </w:rPr>
            </w:pPr>
            <w:r w:rsidRPr="000E12F8">
              <w:rPr>
                <w:rFonts w:ascii="Arial" w:hAnsi="Arial" w:cs="Arial"/>
                <w:color w:val="000000"/>
                <w:sz w:val="16"/>
                <w:szCs w:val="16"/>
              </w:rPr>
              <w:t>Reserves</w:t>
            </w:r>
          </w:p>
        </w:tc>
        <w:tc>
          <w:tcPr>
            <w:tcW w:w="862" w:type="dxa"/>
            <w:tcBorders>
              <w:top w:val="nil"/>
              <w:left w:val="nil"/>
              <w:right w:val="nil"/>
            </w:tcBorders>
            <w:shd w:val="clear" w:color="auto" w:fill="auto"/>
            <w:noWrap/>
            <w:vAlign w:val="bottom"/>
          </w:tcPr>
          <w:p w14:paraId="56F3DCAE" w14:textId="08F19408"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143,042</w:t>
            </w:r>
          </w:p>
        </w:tc>
        <w:tc>
          <w:tcPr>
            <w:tcW w:w="857" w:type="dxa"/>
            <w:tcBorders>
              <w:top w:val="nil"/>
              <w:left w:val="nil"/>
              <w:right w:val="nil"/>
            </w:tcBorders>
            <w:shd w:val="clear" w:color="000000" w:fill="E6E6E6"/>
            <w:noWrap/>
            <w:vAlign w:val="bottom"/>
          </w:tcPr>
          <w:p w14:paraId="6465E8B5" w14:textId="36C89B53"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143,042</w:t>
            </w:r>
          </w:p>
        </w:tc>
        <w:tc>
          <w:tcPr>
            <w:tcW w:w="857" w:type="dxa"/>
            <w:tcBorders>
              <w:top w:val="nil"/>
              <w:left w:val="nil"/>
              <w:right w:val="nil"/>
            </w:tcBorders>
            <w:shd w:val="clear" w:color="auto" w:fill="auto"/>
            <w:noWrap/>
            <w:vAlign w:val="bottom"/>
          </w:tcPr>
          <w:p w14:paraId="349D5E5E" w14:textId="48FB7D45"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143,042</w:t>
            </w:r>
          </w:p>
        </w:tc>
        <w:tc>
          <w:tcPr>
            <w:tcW w:w="857" w:type="dxa"/>
            <w:tcBorders>
              <w:top w:val="nil"/>
              <w:left w:val="nil"/>
              <w:right w:val="nil"/>
            </w:tcBorders>
            <w:shd w:val="clear" w:color="auto" w:fill="auto"/>
            <w:noWrap/>
            <w:vAlign w:val="bottom"/>
          </w:tcPr>
          <w:p w14:paraId="143A043C" w14:textId="730189CB"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143,042</w:t>
            </w:r>
          </w:p>
        </w:tc>
        <w:tc>
          <w:tcPr>
            <w:tcW w:w="857" w:type="dxa"/>
            <w:tcBorders>
              <w:top w:val="nil"/>
              <w:left w:val="nil"/>
              <w:right w:val="nil"/>
            </w:tcBorders>
            <w:shd w:val="clear" w:color="auto" w:fill="auto"/>
            <w:noWrap/>
            <w:vAlign w:val="bottom"/>
          </w:tcPr>
          <w:p w14:paraId="10C11B3C" w14:textId="1D1026C3"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143,042</w:t>
            </w:r>
          </w:p>
        </w:tc>
      </w:tr>
      <w:tr w:rsidR="00294FA6" w:rsidRPr="0033073E" w14:paraId="30E86B33" w14:textId="77777777" w:rsidTr="00AE67D5">
        <w:trPr>
          <w:trHeight w:val="204"/>
        </w:trPr>
        <w:tc>
          <w:tcPr>
            <w:tcW w:w="2976" w:type="dxa"/>
            <w:tcBorders>
              <w:top w:val="nil"/>
              <w:left w:val="nil"/>
              <w:right w:val="nil"/>
            </w:tcBorders>
            <w:shd w:val="clear" w:color="auto" w:fill="auto"/>
            <w:noWrap/>
            <w:vAlign w:val="center"/>
          </w:tcPr>
          <w:p w14:paraId="24BABE89" w14:textId="0FABBD9E" w:rsidR="00294FA6" w:rsidRPr="0033073E" w:rsidRDefault="00294FA6" w:rsidP="007203CA">
            <w:pPr>
              <w:spacing w:after="0" w:line="240" w:lineRule="auto"/>
              <w:ind w:left="113"/>
              <w:jc w:val="left"/>
              <w:rPr>
                <w:rFonts w:ascii="Arial" w:hAnsi="Arial" w:cs="Arial"/>
                <w:b/>
                <w:bCs/>
                <w:sz w:val="16"/>
                <w:szCs w:val="16"/>
              </w:rPr>
            </w:pPr>
            <w:r w:rsidRPr="000E12F8">
              <w:rPr>
                <w:rFonts w:ascii="Arial" w:hAnsi="Arial" w:cs="Arial"/>
                <w:color w:val="000000"/>
                <w:sz w:val="16"/>
                <w:szCs w:val="16"/>
              </w:rPr>
              <w:t>Retained surplus (accumulated</w:t>
            </w:r>
            <w:r>
              <w:rPr>
                <w:rFonts w:ascii="Arial" w:hAnsi="Arial" w:cs="Arial"/>
                <w:color w:val="000000"/>
                <w:sz w:val="16"/>
                <w:szCs w:val="16"/>
              </w:rPr>
              <w:t xml:space="preserve"> </w:t>
            </w:r>
            <w:r w:rsidRPr="000E12F8">
              <w:rPr>
                <w:rFonts w:ascii="Arial" w:hAnsi="Arial" w:cs="Arial"/>
                <w:color w:val="000000"/>
                <w:sz w:val="16"/>
                <w:szCs w:val="16"/>
              </w:rPr>
              <w:t>deficit)</w:t>
            </w:r>
          </w:p>
        </w:tc>
        <w:tc>
          <w:tcPr>
            <w:tcW w:w="862" w:type="dxa"/>
            <w:tcBorders>
              <w:top w:val="nil"/>
              <w:left w:val="nil"/>
              <w:bottom w:val="single" w:sz="4" w:space="0" w:color="auto"/>
              <w:right w:val="nil"/>
            </w:tcBorders>
            <w:shd w:val="clear" w:color="auto" w:fill="auto"/>
            <w:noWrap/>
            <w:vAlign w:val="bottom"/>
          </w:tcPr>
          <w:p w14:paraId="2B2C56FA" w14:textId="4A960168"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4,762</w:t>
            </w:r>
          </w:p>
        </w:tc>
        <w:tc>
          <w:tcPr>
            <w:tcW w:w="857" w:type="dxa"/>
            <w:tcBorders>
              <w:top w:val="nil"/>
              <w:left w:val="nil"/>
              <w:bottom w:val="single" w:sz="4" w:space="0" w:color="auto"/>
              <w:right w:val="nil"/>
            </w:tcBorders>
            <w:shd w:val="clear" w:color="000000" w:fill="E6E6E6"/>
            <w:noWrap/>
            <w:vAlign w:val="bottom"/>
          </w:tcPr>
          <w:p w14:paraId="5F117A0D" w14:textId="77C0D6A8"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3,580</w:t>
            </w:r>
          </w:p>
        </w:tc>
        <w:tc>
          <w:tcPr>
            <w:tcW w:w="857" w:type="dxa"/>
            <w:tcBorders>
              <w:top w:val="nil"/>
              <w:left w:val="nil"/>
              <w:bottom w:val="single" w:sz="4" w:space="0" w:color="auto"/>
              <w:right w:val="nil"/>
            </w:tcBorders>
            <w:shd w:val="clear" w:color="auto" w:fill="auto"/>
            <w:noWrap/>
            <w:vAlign w:val="bottom"/>
          </w:tcPr>
          <w:p w14:paraId="3C843EA2" w14:textId="3BF7F01B"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2,318</w:t>
            </w:r>
          </w:p>
        </w:tc>
        <w:tc>
          <w:tcPr>
            <w:tcW w:w="857" w:type="dxa"/>
            <w:tcBorders>
              <w:top w:val="nil"/>
              <w:left w:val="nil"/>
              <w:bottom w:val="single" w:sz="4" w:space="0" w:color="auto"/>
              <w:right w:val="nil"/>
            </w:tcBorders>
            <w:shd w:val="clear" w:color="auto" w:fill="auto"/>
            <w:noWrap/>
            <w:vAlign w:val="bottom"/>
          </w:tcPr>
          <w:p w14:paraId="386394A2" w14:textId="31C30610"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690</w:t>
            </w:r>
          </w:p>
        </w:tc>
        <w:tc>
          <w:tcPr>
            <w:tcW w:w="857" w:type="dxa"/>
            <w:tcBorders>
              <w:top w:val="nil"/>
              <w:left w:val="nil"/>
              <w:bottom w:val="single" w:sz="4" w:space="0" w:color="auto"/>
              <w:right w:val="nil"/>
            </w:tcBorders>
            <w:shd w:val="clear" w:color="auto" w:fill="auto"/>
            <w:noWrap/>
            <w:vAlign w:val="bottom"/>
          </w:tcPr>
          <w:p w14:paraId="5F49E523" w14:textId="21CC6DE1"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color w:val="000000"/>
                <w:sz w:val="16"/>
                <w:szCs w:val="16"/>
              </w:rPr>
              <w:t>(867)</w:t>
            </w:r>
          </w:p>
        </w:tc>
      </w:tr>
      <w:tr w:rsidR="00294FA6" w:rsidRPr="0033073E" w14:paraId="06214975" w14:textId="77777777" w:rsidTr="00AE67D5">
        <w:trPr>
          <w:trHeight w:val="204"/>
        </w:trPr>
        <w:tc>
          <w:tcPr>
            <w:tcW w:w="2976" w:type="dxa"/>
            <w:tcBorders>
              <w:top w:val="nil"/>
              <w:left w:val="nil"/>
              <w:bottom w:val="single" w:sz="4" w:space="0" w:color="auto"/>
              <w:right w:val="nil"/>
            </w:tcBorders>
            <w:shd w:val="clear" w:color="auto" w:fill="auto"/>
            <w:noWrap/>
            <w:vAlign w:val="center"/>
          </w:tcPr>
          <w:p w14:paraId="788A3E65" w14:textId="3AA010F4" w:rsidR="00294FA6" w:rsidRPr="0033073E" w:rsidRDefault="00294FA6" w:rsidP="00294FA6">
            <w:pPr>
              <w:spacing w:after="0" w:line="240" w:lineRule="auto"/>
              <w:jc w:val="left"/>
              <w:rPr>
                <w:rFonts w:ascii="Arial" w:hAnsi="Arial" w:cs="Arial"/>
                <w:b/>
                <w:bCs/>
                <w:sz w:val="16"/>
                <w:szCs w:val="16"/>
              </w:rPr>
            </w:pPr>
            <w:r w:rsidRPr="000E12F8">
              <w:rPr>
                <w:rFonts w:ascii="Arial" w:hAnsi="Arial" w:cs="Arial"/>
                <w:b/>
                <w:bCs/>
                <w:color w:val="000000"/>
                <w:sz w:val="16"/>
                <w:szCs w:val="16"/>
              </w:rPr>
              <w:t>Total equity</w:t>
            </w:r>
          </w:p>
        </w:tc>
        <w:tc>
          <w:tcPr>
            <w:tcW w:w="862" w:type="dxa"/>
            <w:tcBorders>
              <w:top w:val="nil"/>
              <w:left w:val="nil"/>
              <w:bottom w:val="single" w:sz="4" w:space="0" w:color="auto"/>
              <w:right w:val="nil"/>
            </w:tcBorders>
            <w:shd w:val="clear" w:color="auto" w:fill="auto"/>
            <w:noWrap/>
            <w:vAlign w:val="bottom"/>
          </w:tcPr>
          <w:p w14:paraId="6A8894D0" w14:textId="29B72DAB"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372,770</w:t>
            </w:r>
          </w:p>
        </w:tc>
        <w:tc>
          <w:tcPr>
            <w:tcW w:w="857" w:type="dxa"/>
            <w:tcBorders>
              <w:top w:val="nil"/>
              <w:left w:val="nil"/>
              <w:bottom w:val="single" w:sz="4" w:space="0" w:color="auto"/>
              <w:right w:val="nil"/>
            </w:tcBorders>
            <w:shd w:val="clear" w:color="000000" w:fill="E6E6E6"/>
            <w:noWrap/>
            <w:vAlign w:val="bottom"/>
          </w:tcPr>
          <w:p w14:paraId="14C1CD9A" w14:textId="735FC878"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375,915</w:t>
            </w:r>
          </w:p>
        </w:tc>
        <w:tc>
          <w:tcPr>
            <w:tcW w:w="857" w:type="dxa"/>
            <w:tcBorders>
              <w:top w:val="nil"/>
              <w:left w:val="nil"/>
              <w:bottom w:val="single" w:sz="4" w:space="0" w:color="auto"/>
              <w:right w:val="nil"/>
            </w:tcBorders>
            <w:shd w:val="clear" w:color="auto" w:fill="auto"/>
            <w:noWrap/>
            <w:vAlign w:val="bottom"/>
          </w:tcPr>
          <w:p w14:paraId="69F93ED8" w14:textId="3C9A8B25"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383,053</w:t>
            </w:r>
          </w:p>
        </w:tc>
        <w:tc>
          <w:tcPr>
            <w:tcW w:w="857" w:type="dxa"/>
            <w:tcBorders>
              <w:top w:val="nil"/>
              <w:left w:val="nil"/>
              <w:bottom w:val="single" w:sz="4" w:space="0" w:color="auto"/>
              <w:right w:val="nil"/>
            </w:tcBorders>
            <w:shd w:val="clear" w:color="auto" w:fill="auto"/>
            <w:noWrap/>
            <w:vAlign w:val="bottom"/>
          </w:tcPr>
          <w:p w14:paraId="19ECE3A0" w14:textId="0FD8E57C"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390,176</w:t>
            </w:r>
          </w:p>
        </w:tc>
        <w:tc>
          <w:tcPr>
            <w:tcW w:w="857" w:type="dxa"/>
            <w:tcBorders>
              <w:top w:val="nil"/>
              <w:left w:val="nil"/>
              <w:bottom w:val="single" w:sz="4" w:space="0" w:color="auto"/>
              <w:right w:val="nil"/>
            </w:tcBorders>
            <w:shd w:val="clear" w:color="auto" w:fill="auto"/>
            <w:noWrap/>
            <w:vAlign w:val="bottom"/>
          </w:tcPr>
          <w:p w14:paraId="2FE52DF8" w14:textId="0EE86DC3" w:rsidR="00294FA6" w:rsidRPr="00294FA6" w:rsidRDefault="00294FA6" w:rsidP="00294FA6">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393,512</w:t>
            </w:r>
          </w:p>
        </w:tc>
      </w:tr>
    </w:tbl>
    <w:p w14:paraId="37E1BA63" w14:textId="7ED595FB" w:rsidR="00914885" w:rsidRPr="009C33E9" w:rsidRDefault="00AE67D5" w:rsidP="00AE67D5">
      <w:pPr>
        <w:pStyle w:val="Source"/>
        <w:spacing w:before="60"/>
      </w:pPr>
      <w:r w:rsidRPr="00AE67D5">
        <w:t>Prepared on Australian Accounting Standards basis.</w:t>
      </w:r>
    </w:p>
    <w:p w14:paraId="52A8C0B7" w14:textId="44CBD63C" w:rsidR="00DA46FD" w:rsidRDefault="00DA46FD">
      <w:pPr>
        <w:spacing w:after="0" w:line="240" w:lineRule="auto"/>
        <w:jc w:val="left"/>
        <w:rPr>
          <w:snapToGrid w:val="0"/>
        </w:rPr>
      </w:pPr>
      <w:r>
        <w:rPr>
          <w:snapToGrid w:val="0"/>
        </w:rPr>
        <w:br w:type="page"/>
      </w:r>
    </w:p>
    <w:p w14:paraId="60976DA2" w14:textId="1E1B7EBC" w:rsidR="00CB59AD" w:rsidRPr="00A00283" w:rsidRDefault="00CB59AD" w:rsidP="00CB59AD">
      <w:pPr>
        <w:pStyle w:val="TableHeading"/>
      </w:pPr>
      <w:r w:rsidRPr="00AD42E2">
        <w:lastRenderedPageBreak/>
        <w:t>Table 3.</w:t>
      </w:r>
      <w:r>
        <w:rPr>
          <w:lang w:val="en-US"/>
        </w:rPr>
        <w:t>4</w:t>
      </w:r>
      <w:r w:rsidRPr="00AD42E2">
        <w:t xml:space="preserve">: </w:t>
      </w:r>
      <w:r w:rsidR="008863D9">
        <w:t>Department</w:t>
      </w:r>
      <w:r w:rsidRPr="00AD42E2">
        <w:t>al statement of changes in equity — summary of</w:t>
      </w:r>
      <w:r>
        <w:t xml:space="preserve"> movement (</w:t>
      </w:r>
      <w:r w:rsidR="00377489">
        <w:t>2021-22 Budget year</w:t>
      </w:r>
      <w:r w:rsidRPr="00D30CBA">
        <w:t>)</w:t>
      </w:r>
    </w:p>
    <w:tbl>
      <w:tblPr>
        <w:tblW w:w="0" w:type="auto"/>
        <w:tblLayout w:type="fixed"/>
        <w:tblLook w:val="04A0" w:firstRow="1" w:lastRow="0" w:firstColumn="1" w:lastColumn="0" w:noHBand="0" w:noVBand="1"/>
      </w:tblPr>
      <w:tblGrid>
        <w:gridCol w:w="3544"/>
        <w:gridCol w:w="993"/>
        <w:gridCol w:w="1134"/>
        <w:gridCol w:w="1134"/>
        <w:gridCol w:w="851"/>
      </w:tblGrid>
      <w:tr w:rsidR="00165ACB" w:rsidRPr="001D47C4" w14:paraId="5EB7A855" w14:textId="77777777" w:rsidTr="00165ACB">
        <w:trPr>
          <w:trHeight w:val="516"/>
        </w:trPr>
        <w:tc>
          <w:tcPr>
            <w:tcW w:w="3544" w:type="dxa"/>
            <w:tcBorders>
              <w:top w:val="single" w:sz="4" w:space="0" w:color="auto"/>
              <w:left w:val="nil"/>
              <w:bottom w:val="nil"/>
              <w:right w:val="nil"/>
            </w:tcBorders>
            <w:shd w:val="clear" w:color="auto" w:fill="auto"/>
            <w:noWrap/>
            <w:vAlign w:val="center"/>
            <w:hideMark/>
          </w:tcPr>
          <w:p w14:paraId="714B5B41" w14:textId="77777777" w:rsidR="00165ACB" w:rsidRPr="001D47C4" w:rsidRDefault="00165ACB" w:rsidP="00CB59AD">
            <w:pPr>
              <w:spacing w:after="0" w:line="240" w:lineRule="auto"/>
              <w:jc w:val="right"/>
              <w:rPr>
                <w:rFonts w:ascii="Arial" w:hAnsi="Arial" w:cs="Arial"/>
                <w:color w:val="000000"/>
                <w:sz w:val="16"/>
                <w:szCs w:val="16"/>
              </w:rPr>
            </w:pPr>
            <w:r w:rsidRPr="001D47C4">
              <w:rPr>
                <w:rFonts w:ascii="Arial" w:hAnsi="Arial" w:cs="Arial"/>
                <w:color w:val="000000"/>
                <w:sz w:val="16"/>
                <w:szCs w:val="16"/>
              </w:rPr>
              <w:t> </w:t>
            </w:r>
          </w:p>
        </w:tc>
        <w:tc>
          <w:tcPr>
            <w:tcW w:w="993" w:type="dxa"/>
            <w:tcBorders>
              <w:top w:val="single" w:sz="4" w:space="0" w:color="auto"/>
              <w:left w:val="nil"/>
              <w:bottom w:val="single" w:sz="4" w:space="0" w:color="000000"/>
              <w:right w:val="nil"/>
            </w:tcBorders>
            <w:shd w:val="clear" w:color="auto" w:fill="auto"/>
            <w:hideMark/>
          </w:tcPr>
          <w:p w14:paraId="72F8B0DD" w14:textId="77777777" w:rsidR="00165ACB" w:rsidRPr="001D47C4" w:rsidRDefault="00165ACB" w:rsidP="00CB59AD">
            <w:pPr>
              <w:spacing w:after="0" w:line="240" w:lineRule="auto"/>
              <w:jc w:val="right"/>
              <w:rPr>
                <w:rFonts w:ascii="Arial" w:hAnsi="Arial" w:cs="Arial"/>
                <w:color w:val="000000"/>
                <w:sz w:val="16"/>
                <w:szCs w:val="16"/>
              </w:rPr>
            </w:pPr>
            <w:r w:rsidRPr="001D47C4">
              <w:rPr>
                <w:rFonts w:ascii="Arial" w:hAnsi="Arial" w:cs="Arial"/>
                <w:color w:val="000000"/>
                <w:sz w:val="16"/>
                <w:szCs w:val="16"/>
              </w:rPr>
              <w:t>Retained</w:t>
            </w:r>
            <w:r w:rsidRPr="001D47C4">
              <w:rPr>
                <w:rFonts w:ascii="Arial" w:hAnsi="Arial" w:cs="Arial"/>
                <w:color w:val="000000"/>
                <w:sz w:val="16"/>
                <w:szCs w:val="16"/>
              </w:rPr>
              <w:br/>
              <w:t>earnings</w:t>
            </w:r>
            <w:r w:rsidRPr="001D47C4">
              <w:rPr>
                <w:rFonts w:ascii="Arial" w:hAnsi="Arial" w:cs="Arial"/>
                <w:color w:val="000000"/>
                <w:sz w:val="16"/>
                <w:szCs w:val="16"/>
              </w:rPr>
              <w:br/>
            </w:r>
            <w:r w:rsidRPr="001D47C4">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auto" w:fill="auto"/>
            <w:hideMark/>
          </w:tcPr>
          <w:p w14:paraId="49A60FFC" w14:textId="77777777" w:rsidR="00165ACB" w:rsidRPr="001D47C4" w:rsidRDefault="00165ACB" w:rsidP="00CB59AD">
            <w:pPr>
              <w:spacing w:after="0" w:line="240" w:lineRule="auto"/>
              <w:jc w:val="right"/>
              <w:rPr>
                <w:rFonts w:ascii="Arial" w:hAnsi="Arial" w:cs="Arial"/>
                <w:color w:val="000000"/>
                <w:sz w:val="16"/>
                <w:szCs w:val="16"/>
              </w:rPr>
            </w:pPr>
            <w:r w:rsidRPr="001D47C4">
              <w:rPr>
                <w:rFonts w:ascii="Arial" w:hAnsi="Arial" w:cs="Arial"/>
                <w:color w:val="000000"/>
                <w:sz w:val="16"/>
                <w:szCs w:val="16"/>
              </w:rPr>
              <w:t>Asset</w:t>
            </w:r>
            <w:r w:rsidRPr="001D47C4">
              <w:rPr>
                <w:rFonts w:ascii="Arial" w:hAnsi="Arial" w:cs="Arial"/>
                <w:color w:val="000000"/>
                <w:sz w:val="16"/>
                <w:szCs w:val="16"/>
              </w:rPr>
              <w:br/>
              <w:t>revaluation</w:t>
            </w:r>
            <w:r w:rsidRPr="001D47C4">
              <w:rPr>
                <w:rFonts w:ascii="Arial" w:hAnsi="Arial" w:cs="Arial"/>
                <w:color w:val="000000"/>
                <w:sz w:val="16"/>
                <w:szCs w:val="16"/>
              </w:rPr>
              <w:br/>
              <w:t>reserve</w:t>
            </w:r>
            <w:r w:rsidRPr="001D47C4">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auto" w:fill="auto"/>
            <w:hideMark/>
          </w:tcPr>
          <w:p w14:paraId="1FAE5BB4" w14:textId="77777777" w:rsidR="00165ACB" w:rsidRPr="001D47C4" w:rsidRDefault="00165ACB" w:rsidP="00CB59AD">
            <w:pPr>
              <w:spacing w:after="0" w:line="240" w:lineRule="auto"/>
              <w:jc w:val="right"/>
              <w:rPr>
                <w:rFonts w:ascii="Arial" w:hAnsi="Arial" w:cs="Arial"/>
                <w:color w:val="000000"/>
                <w:sz w:val="16"/>
                <w:szCs w:val="16"/>
              </w:rPr>
            </w:pPr>
            <w:r w:rsidRPr="001D47C4">
              <w:rPr>
                <w:rFonts w:ascii="Arial" w:hAnsi="Arial" w:cs="Arial"/>
                <w:color w:val="000000"/>
                <w:sz w:val="16"/>
                <w:szCs w:val="16"/>
              </w:rPr>
              <w:t>Contributed</w:t>
            </w:r>
            <w:r w:rsidRPr="001D47C4">
              <w:rPr>
                <w:rFonts w:ascii="Arial" w:hAnsi="Arial" w:cs="Arial"/>
                <w:color w:val="000000"/>
                <w:sz w:val="16"/>
                <w:szCs w:val="16"/>
              </w:rPr>
              <w:br/>
              <w:t>equity/</w:t>
            </w:r>
            <w:r w:rsidRPr="001D47C4">
              <w:rPr>
                <w:rFonts w:ascii="Arial" w:hAnsi="Arial" w:cs="Arial"/>
                <w:color w:val="000000"/>
                <w:sz w:val="16"/>
                <w:szCs w:val="16"/>
              </w:rPr>
              <w:br/>
              <w:t>capital</w:t>
            </w:r>
            <w:r w:rsidRPr="001D47C4">
              <w:rPr>
                <w:rFonts w:ascii="Arial" w:hAnsi="Arial" w:cs="Arial"/>
                <w:color w:val="000000"/>
                <w:sz w:val="16"/>
                <w:szCs w:val="16"/>
              </w:rPr>
              <w:br/>
              <w:t>$'000</w:t>
            </w:r>
          </w:p>
        </w:tc>
        <w:tc>
          <w:tcPr>
            <w:tcW w:w="851" w:type="dxa"/>
            <w:tcBorders>
              <w:top w:val="single" w:sz="4" w:space="0" w:color="auto"/>
              <w:left w:val="nil"/>
              <w:bottom w:val="single" w:sz="4" w:space="0" w:color="000000"/>
              <w:right w:val="nil"/>
            </w:tcBorders>
            <w:shd w:val="clear" w:color="auto" w:fill="auto"/>
            <w:hideMark/>
          </w:tcPr>
          <w:p w14:paraId="7F00D9FD" w14:textId="77777777" w:rsidR="00165ACB" w:rsidRPr="001D47C4" w:rsidRDefault="00165ACB" w:rsidP="00CB59AD">
            <w:pPr>
              <w:spacing w:after="0" w:line="240" w:lineRule="auto"/>
              <w:jc w:val="right"/>
              <w:rPr>
                <w:rFonts w:ascii="Arial" w:hAnsi="Arial" w:cs="Arial"/>
                <w:color w:val="000000"/>
                <w:sz w:val="16"/>
                <w:szCs w:val="16"/>
              </w:rPr>
            </w:pPr>
            <w:r w:rsidRPr="001D47C4">
              <w:rPr>
                <w:rFonts w:ascii="Arial" w:hAnsi="Arial" w:cs="Arial"/>
                <w:color w:val="000000"/>
                <w:sz w:val="16"/>
                <w:szCs w:val="16"/>
              </w:rPr>
              <w:t>Total</w:t>
            </w:r>
            <w:r w:rsidRPr="001D47C4">
              <w:rPr>
                <w:rFonts w:ascii="Arial" w:hAnsi="Arial" w:cs="Arial"/>
                <w:color w:val="000000"/>
                <w:sz w:val="16"/>
                <w:szCs w:val="16"/>
              </w:rPr>
              <w:br/>
              <w:t xml:space="preserve">equity </w:t>
            </w:r>
            <w:r w:rsidRPr="001D47C4">
              <w:rPr>
                <w:rFonts w:ascii="Arial" w:hAnsi="Arial" w:cs="Arial"/>
                <w:color w:val="000000"/>
                <w:sz w:val="16"/>
                <w:szCs w:val="16"/>
              </w:rPr>
              <w:br/>
            </w:r>
            <w:r w:rsidRPr="001D47C4">
              <w:rPr>
                <w:rFonts w:ascii="Arial" w:hAnsi="Arial" w:cs="Arial"/>
                <w:color w:val="000000"/>
                <w:sz w:val="16"/>
                <w:szCs w:val="16"/>
              </w:rPr>
              <w:br/>
              <w:t>$'000</w:t>
            </w:r>
          </w:p>
        </w:tc>
      </w:tr>
      <w:tr w:rsidR="00165ACB" w:rsidRPr="001D47C4" w14:paraId="5EF43550" w14:textId="77777777" w:rsidTr="00165ACB">
        <w:trPr>
          <w:trHeight w:val="204"/>
        </w:trPr>
        <w:tc>
          <w:tcPr>
            <w:tcW w:w="3544" w:type="dxa"/>
            <w:tcBorders>
              <w:top w:val="nil"/>
              <w:left w:val="nil"/>
              <w:bottom w:val="nil"/>
              <w:right w:val="nil"/>
            </w:tcBorders>
            <w:shd w:val="clear" w:color="auto" w:fill="auto"/>
            <w:vAlign w:val="center"/>
            <w:hideMark/>
          </w:tcPr>
          <w:p w14:paraId="46C1B499" w14:textId="77777777" w:rsidR="00165ACB" w:rsidRPr="001D47C4" w:rsidRDefault="00165ACB" w:rsidP="00CB59AD">
            <w:pPr>
              <w:spacing w:after="0" w:line="240" w:lineRule="auto"/>
              <w:jc w:val="left"/>
              <w:rPr>
                <w:rFonts w:ascii="Arial" w:hAnsi="Arial" w:cs="Arial"/>
                <w:b/>
                <w:bCs/>
                <w:color w:val="000000"/>
                <w:sz w:val="16"/>
                <w:szCs w:val="16"/>
              </w:rPr>
            </w:pPr>
            <w:r w:rsidRPr="001D47C4">
              <w:rPr>
                <w:rFonts w:ascii="Arial" w:hAnsi="Arial" w:cs="Arial"/>
                <w:b/>
                <w:bCs/>
                <w:color w:val="000000"/>
                <w:sz w:val="16"/>
                <w:szCs w:val="16"/>
              </w:rPr>
              <w:t>Opening balance as at 1 July 2021</w:t>
            </w:r>
          </w:p>
        </w:tc>
        <w:tc>
          <w:tcPr>
            <w:tcW w:w="993" w:type="dxa"/>
            <w:tcBorders>
              <w:top w:val="nil"/>
              <w:left w:val="nil"/>
              <w:bottom w:val="nil"/>
              <w:right w:val="nil"/>
            </w:tcBorders>
            <w:shd w:val="clear" w:color="auto" w:fill="auto"/>
            <w:noWrap/>
            <w:vAlign w:val="bottom"/>
            <w:hideMark/>
          </w:tcPr>
          <w:p w14:paraId="103A24C1" w14:textId="77777777" w:rsidR="00165ACB" w:rsidRPr="001D47C4" w:rsidRDefault="00165ACB" w:rsidP="00FE19E5">
            <w:pPr>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shd w:val="clear" w:color="auto" w:fill="auto"/>
            <w:noWrap/>
            <w:vAlign w:val="bottom"/>
            <w:hideMark/>
          </w:tcPr>
          <w:p w14:paraId="21A0CB6B" w14:textId="77777777" w:rsidR="00165ACB" w:rsidRPr="001D47C4" w:rsidRDefault="00165ACB" w:rsidP="00FE19E5">
            <w:pPr>
              <w:spacing w:after="0" w:line="240" w:lineRule="auto"/>
              <w:jc w:val="right"/>
              <w:rPr>
                <w:rFonts w:ascii="Times New Roman" w:hAnsi="Times New Roman"/>
              </w:rPr>
            </w:pPr>
          </w:p>
        </w:tc>
        <w:tc>
          <w:tcPr>
            <w:tcW w:w="1134" w:type="dxa"/>
            <w:tcBorders>
              <w:top w:val="nil"/>
              <w:left w:val="nil"/>
              <w:bottom w:val="nil"/>
              <w:right w:val="nil"/>
            </w:tcBorders>
            <w:shd w:val="clear" w:color="auto" w:fill="auto"/>
            <w:noWrap/>
            <w:vAlign w:val="bottom"/>
            <w:hideMark/>
          </w:tcPr>
          <w:p w14:paraId="4DB892AA" w14:textId="77777777" w:rsidR="00165ACB" w:rsidRPr="001D47C4" w:rsidRDefault="00165ACB" w:rsidP="00FE19E5">
            <w:pPr>
              <w:spacing w:after="0" w:line="240" w:lineRule="auto"/>
              <w:jc w:val="right"/>
              <w:rPr>
                <w:rFonts w:ascii="Times New Roman" w:hAnsi="Times New Roman"/>
              </w:rPr>
            </w:pPr>
          </w:p>
        </w:tc>
        <w:tc>
          <w:tcPr>
            <w:tcW w:w="851" w:type="dxa"/>
            <w:tcBorders>
              <w:top w:val="nil"/>
              <w:left w:val="nil"/>
              <w:bottom w:val="nil"/>
              <w:right w:val="nil"/>
            </w:tcBorders>
            <w:shd w:val="clear" w:color="auto" w:fill="auto"/>
            <w:noWrap/>
            <w:vAlign w:val="bottom"/>
            <w:hideMark/>
          </w:tcPr>
          <w:p w14:paraId="3CDF5608" w14:textId="77777777" w:rsidR="00165ACB" w:rsidRPr="001D47C4" w:rsidRDefault="00165ACB" w:rsidP="00FE19E5">
            <w:pPr>
              <w:spacing w:after="0" w:line="240" w:lineRule="auto"/>
              <w:jc w:val="right"/>
              <w:rPr>
                <w:rFonts w:ascii="Times New Roman" w:hAnsi="Times New Roman"/>
              </w:rPr>
            </w:pPr>
          </w:p>
        </w:tc>
      </w:tr>
      <w:tr w:rsidR="00165ACB" w:rsidRPr="001D47C4" w14:paraId="104E79F6" w14:textId="77777777" w:rsidTr="00165ACB">
        <w:trPr>
          <w:trHeight w:val="204"/>
        </w:trPr>
        <w:tc>
          <w:tcPr>
            <w:tcW w:w="3544" w:type="dxa"/>
            <w:tcBorders>
              <w:top w:val="nil"/>
              <w:left w:val="nil"/>
              <w:bottom w:val="nil"/>
              <w:right w:val="nil"/>
            </w:tcBorders>
            <w:shd w:val="clear" w:color="auto" w:fill="auto"/>
            <w:vAlign w:val="center"/>
            <w:hideMark/>
          </w:tcPr>
          <w:p w14:paraId="59AE380B" w14:textId="307B43BB" w:rsidR="00165ACB" w:rsidRPr="001D47C4" w:rsidRDefault="00165ACB" w:rsidP="00C635F7">
            <w:pPr>
              <w:spacing w:after="0" w:line="240" w:lineRule="auto"/>
              <w:ind w:left="113"/>
              <w:jc w:val="left"/>
              <w:rPr>
                <w:rFonts w:ascii="Arial" w:hAnsi="Arial" w:cs="Arial"/>
                <w:color w:val="000000"/>
                <w:sz w:val="16"/>
                <w:szCs w:val="16"/>
              </w:rPr>
            </w:pPr>
            <w:r w:rsidRPr="001D47C4">
              <w:rPr>
                <w:rFonts w:ascii="Arial" w:hAnsi="Arial" w:cs="Arial"/>
                <w:color w:val="000000"/>
                <w:sz w:val="16"/>
                <w:szCs w:val="16"/>
              </w:rPr>
              <w:t>Balance carried forward from</w:t>
            </w:r>
            <w:r>
              <w:rPr>
                <w:rFonts w:ascii="Arial" w:hAnsi="Arial" w:cs="Arial"/>
                <w:color w:val="000000"/>
                <w:sz w:val="16"/>
                <w:szCs w:val="16"/>
              </w:rPr>
              <w:t xml:space="preserve"> </w:t>
            </w:r>
            <w:r w:rsidRPr="001D47C4">
              <w:rPr>
                <w:rFonts w:ascii="Arial" w:hAnsi="Arial" w:cs="Arial"/>
                <w:color w:val="000000"/>
                <w:sz w:val="16"/>
                <w:szCs w:val="16"/>
              </w:rPr>
              <w:t>previous period</w:t>
            </w:r>
          </w:p>
        </w:tc>
        <w:tc>
          <w:tcPr>
            <w:tcW w:w="993" w:type="dxa"/>
            <w:tcBorders>
              <w:top w:val="nil"/>
              <w:left w:val="nil"/>
              <w:bottom w:val="nil"/>
              <w:right w:val="nil"/>
            </w:tcBorders>
            <w:shd w:val="clear" w:color="auto" w:fill="auto"/>
            <w:noWrap/>
            <w:vAlign w:val="bottom"/>
            <w:hideMark/>
          </w:tcPr>
          <w:p w14:paraId="0BA8F31D" w14:textId="6F967D74" w:rsidR="00165ACB" w:rsidRPr="00294FA6" w:rsidRDefault="00165ACB" w:rsidP="00FE19E5">
            <w:pPr>
              <w:spacing w:after="0" w:line="240" w:lineRule="auto"/>
              <w:jc w:val="right"/>
              <w:rPr>
                <w:rFonts w:ascii="Arial" w:hAnsi="Arial" w:cs="Arial"/>
                <w:color w:val="000000"/>
                <w:sz w:val="16"/>
                <w:szCs w:val="16"/>
              </w:rPr>
            </w:pPr>
            <w:r w:rsidRPr="00294FA6">
              <w:rPr>
                <w:rFonts w:ascii="Arial" w:hAnsi="Arial" w:cs="Arial"/>
                <w:color w:val="000000"/>
                <w:sz w:val="16"/>
                <w:szCs w:val="16"/>
              </w:rPr>
              <w:t>4,762</w:t>
            </w:r>
          </w:p>
        </w:tc>
        <w:tc>
          <w:tcPr>
            <w:tcW w:w="1134" w:type="dxa"/>
            <w:tcBorders>
              <w:top w:val="nil"/>
              <w:left w:val="nil"/>
              <w:bottom w:val="nil"/>
              <w:right w:val="nil"/>
            </w:tcBorders>
            <w:shd w:val="clear" w:color="auto" w:fill="auto"/>
            <w:noWrap/>
            <w:vAlign w:val="bottom"/>
            <w:hideMark/>
          </w:tcPr>
          <w:p w14:paraId="6B834F56" w14:textId="7B57CFFC" w:rsidR="00165ACB" w:rsidRPr="00294FA6" w:rsidRDefault="00165ACB" w:rsidP="00FE19E5">
            <w:pPr>
              <w:spacing w:after="0" w:line="240" w:lineRule="auto"/>
              <w:jc w:val="right"/>
              <w:rPr>
                <w:rFonts w:ascii="Arial" w:hAnsi="Arial" w:cs="Arial"/>
                <w:color w:val="000000"/>
                <w:sz w:val="16"/>
                <w:szCs w:val="16"/>
              </w:rPr>
            </w:pPr>
            <w:r w:rsidRPr="00294FA6">
              <w:rPr>
                <w:rFonts w:ascii="Arial" w:hAnsi="Arial" w:cs="Arial"/>
                <w:color w:val="000000"/>
                <w:sz w:val="16"/>
                <w:szCs w:val="16"/>
              </w:rPr>
              <w:t>143,042</w:t>
            </w:r>
          </w:p>
        </w:tc>
        <w:tc>
          <w:tcPr>
            <w:tcW w:w="1134" w:type="dxa"/>
            <w:tcBorders>
              <w:top w:val="nil"/>
              <w:left w:val="nil"/>
              <w:bottom w:val="nil"/>
              <w:right w:val="nil"/>
            </w:tcBorders>
            <w:shd w:val="clear" w:color="auto" w:fill="auto"/>
            <w:noWrap/>
            <w:vAlign w:val="bottom"/>
            <w:hideMark/>
          </w:tcPr>
          <w:p w14:paraId="16FCACAA" w14:textId="72D2F8B2" w:rsidR="00165ACB" w:rsidRPr="00294FA6" w:rsidRDefault="00165ACB" w:rsidP="00FE19E5">
            <w:pPr>
              <w:spacing w:after="0" w:line="240" w:lineRule="auto"/>
              <w:jc w:val="right"/>
              <w:rPr>
                <w:rFonts w:ascii="Arial" w:hAnsi="Arial" w:cs="Arial"/>
                <w:color w:val="000000"/>
                <w:sz w:val="16"/>
                <w:szCs w:val="16"/>
              </w:rPr>
            </w:pPr>
            <w:r w:rsidRPr="00294FA6">
              <w:rPr>
                <w:rFonts w:ascii="Arial" w:hAnsi="Arial" w:cs="Arial"/>
                <w:color w:val="000000"/>
                <w:sz w:val="16"/>
                <w:szCs w:val="16"/>
              </w:rPr>
              <w:t>224,966</w:t>
            </w:r>
          </w:p>
        </w:tc>
        <w:tc>
          <w:tcPr>
            <w:tcW w:w="851" w:type="dxa"/>
            <w:tcBorders>
              <w:top w:val="nil"/>
              <w:left w:val="nil"/>
              <w:bottom w:val="nil"/>
              <w:right w:val="nil"/>
            </w:tcBorders>
            <w:shd w:val="clear" w:color="auto" w:fill="auto"/>
            <w:noWrap/>
            <w:vAlign w:val="bottom"/>
            <w:hideMark/>
          </w:tcPr>
          <w:p w14:paraId="7678B897" w14:textId="229BB223" w:rsidR="00165ACB" w:rsidRPr="00294FA6" w:rsidRDefault="00165ACB" w:rsidP="00FE19E5">
            <w:pPr>
              <w:spacing w:after="0" w:line="240" w:lineRule="auto"/>
              <w:jc w:val="right"/>
              <w:rPr>
                <w:rFonts w:ascii="Arial" w:hAnsi="Arial" w:cs="Arial"/>
                <w:color w:val="000000"/>
                <w:sz w:val="16"/>
                <w:szCs w:val="16"/>
              </w:rPr>
            </w:pPr>
            <w:r w:rsidRPr="00294FA6">
              <w:rPr>
                <w:rFonts w:ascii="Arial" w:hAnsi="Arial" w:cs="Arial"/>
                <w:color w:val="000000"/>
                <w:sz w:val="16"/>
                <w:szCs w:val="16"/>
              </w:rPr>
              <w:t>372,770</w:t>
            </w:r>
          </w:p>
        </w:tc>
      </w:tr>
      <w:tr w:rsidR="00165ACB" w:rsidRPr="001D47C4" w14:paraId="560C97DE" w14:textId="77777777" w:rsidTr="00165ACB">
        <w:trPr>
          <w:trHeight w:val="204"/>
        </w:trPr>
        <w:tc>
          <w:tcPr>
            <w:tcW w:w="3544" w:type="dxa"/>
            <w:tcBorders>
              <w:top w:val="nil"/>
              <w:left w:val="nil"/>
              <w:bottom w:val="nil"/>
              <w:right w:val="nil"/>
            </w:tcBorders>
            <w:shd w:val="clear" w:color="auto" w:fill="auto"/>
            <w:vAlign w:val="center"/>
            <w:hideMark/>
          </w:tcPr>
          <w:p w14:paraId="2DA984A5" w14:textId="77777777" w:rsidR="00165ACB" w:rsidRPr="001D47C4" w:rsidRDefault="00165ACB" w:rsidP="00CB59AD">
            <w:pPr>
              <w:spacing w:after="0" w:line="240" w:lineRule="auto"/>
              <w:jc w:val="left"/>
              <w:rPr>
                <w:rFonts w:ascii="Arial" w:hAnsi="Arial" w:cs="Arial"/>
                <w:b/>
                <w:bCs/>
                <w:i/>
                <w:iCs/>
                <w:color w:val="000000"/>
                <w:sz w:val="16"/>
                <w:szCs w:val="16"/>
              </w:rPr>
            </w:pPr>
            <w:r w:rsidRPr="001D47C4">
              <w:rPr>
                <w:rFonts w:ascii="Arial" w:hAnsi="Arial" w:cs="Arial"/>
                <w:b/>
                <w:bCs/>
                <w:i/>
                <w:iCs/>
                <w:color w:val="000000"/>
                <w:sz w:val="16"/>
                <w:szCs w:val="16"/>
              </w:rPr>
              <w:t>Adjusted opening balance</w:t>
            </w:r>
          </w:p>
        </w:tc>
        <w:tc>
          <w:tcPr>
            <w:tcW w:w="993" w:type="dxa"/>
            <w:tcBorders>
              <w:top w:val="single" w:sz="4" w:space="0" w:color="000000"/>
              <w:left w:val="nil"/>
              <w:bottom w:val="single" w:sz="4" w:space="0" w:color="000000"/>
              <w:right w:val="nil"/>
            </w:tcBorders>
            <w:shd w:val="clear" w:color="auto" w:fill="auto"/>
            <w:noWrap/>
            <w:vAlign w:val="bottom"/>
            <w:hideMark/>
          </w:tcPr>
          <w:p w14:paraId="5B528335" w14:textId="4A0DAABA" w:rsidR="00165ACB" w:rsidRPr="00294FA6" w:rsidRDefault="00165ACB" w:rsidP="00FE19E5">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4,762</w:t>
            </w:r>
          </w:p>
        </w:tc>
        <w:tc>
          <w:tcPr>
            <w:tcW w:w="1134" w:type="dxa"/>
            <w:tcBorders>
              <w:top w:val="single" w:sz="4" w:space="0" w:color="000000"/>
              <w:left w:val="nil"/>
              <w:bottom w:val="single" w:sz="4" w:space="0" w:color="000000"/>
              <w:right w:val="nil"/>
            </w:tcBorders>
            <w:shd w:val="clear" w:color="auto" w:fill="auto"/>
            <w:noWrap/>
            <w:vAlign w:val="bottom"/>
            <w:hideMark/>
          </w:tcPr>
          <w:p w14:paraId="07807D39" w14:textId="095B7C63" w:rsidR="00165ACB" w:rsidRPr="00294FA6" w:rsidRDefault="00165ACB" w:rsidP="00FE19E5">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143,042</w:t>
            </w:r>
          </w:p>
        </w:tc>
        <w:tc>
          <w:tcPr>
            <w:tcW w:w="1134" w:type="dxa"/>
            <w:tcBorders>
              <w:top w:val="single" w:sz="4" w:space="0" w:color="000000"/>
              <w:left w:val="nil"/>
              <w:bottom w:val="single" w:sz="4" w:space="0" w:color="000000"/>
              <w:right w:val="nil"/>
            </w:tcBorders>
            <w:shd w:val="clear" w:color="auto" w:fill="auto"/>
            <w:noWrap/>
            <w:vAlign w:val="bottom"/>
            <w:hideMark/>
          </w:tcPr>
          <w:p w14:paraId="19870624" w14:textId="72AF57E4" w:rsidR="00165ACB" w:rsidRPr="00294FA6" w:rsidRDefault="00165ACB" w:rsidP="00FE19E5">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224,966</w:t>
            </w:r>
          </w:p>
        </w:tc>
        <w:tc>
          <w:tcPr>
            <w:tcW w:w="851" w:type="dxa"/>
            <w:tcBorders>
              <w:top w:val="single" w:sz="4" w:space="0" w:color="000000"/>
              <w:left w:val="nil"/>
              <w:bottom w:val="single" w:sz="4" w:space="0" w:color="000000"/>
              <w:right w:val="nil"/>
            </w:tcBorders>
            <w:shd w:val="clear" w:color="auto" w:fill="auto"/>
            <w:noWrap/>
            <w:vAlign w:val="bottom"/>
            <w:hideMark/>
          </w:tcPr>
          <w:p w14:paraId="6C034F78" w14:textId="4BCBBF49" w:rsidR="00165ACB" w:rsidRPr="00294FA6" w:rsidRDefault="00165ACB" w:rsidP="00FE19E5">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372,770</w:t>
            </w:r>
          </w:p>
        </w:tc>
      </w:tr>
      <w:tr w:rsidR="00165ACB" w:rsidRPr="001D47C4" w14:paraId="274665C6" w14:textId="77777777" w:rsidTr="00165ACB">
        <w:trPr>
          <w:trHeight w:val="204"/>
        </w:trPr>
        <w:tc>
          <w:tcPr>
            <w:tcW w:w="3544" w:type="dxa"/>
            <w:tcBorders>
              <w:top w:val="nil"/>
              <w:left w:val="nil"/>
              <w:bottom w:val="nil"/>
              <w:right w:val="nil"/>
            </w:tcBorders>
            <w:shd w:val="clear" w:color="auto" w:fill="auto"/>
            <w:noWrap/>
            <w:vAlign w:val="center"/>
            <w:hideMark/>
          </w:tcPr>
          <w:p w14:paraId="3C2B016E" w14:textId="77777777" w:rsidR="00165ACB" w:rsidRPr="001D47C4" w:rsidRDefault="00165ACB" w:rsidP="00CB59AD">
            <w:pPr>
              <w:spacing w:after="0" w:line="240" w:lineRule="auto"/>
              <w:jc w:val="left"/>
              <w:rPr>
                <w:rFonts w:ascii="Arial" w:hAnsi="Arial" w:cs="Arial"/>
                <w:b/>
                <w:bCs/>
                <w:color w:val="000000"/>
                <w:sz w:val="16"/>
                <w:szCs w:val="16"/>
              </w:rPr>
            </w:pPr>
            <w:r w:rsidRPr="001D47C4">
              <w:rPr>
                <w:rFonts w:ascii="Arial" w:hAnsi="Arial" w:cs="Arial"/>
                <w:b/>
                <w:bCs/>
                <w:color w:val="000000"/>
                <w:sz w:val="16"/>
                <w:szCs w:val="16"/>
              </w:rPr>
              <w:t>Comprehensive income</w:t>
            </w:r>
          </w:p>
        </w:tc>
        <w:tc>
          <w:tcPr>
            <w:tcW w:w="993" w:type="dxa"/>
            <w:tcBorders>
              <w:top w:val="nil"/>
              <w:left w:val="nil"/>
              <w:bottom w:val="nil"/>
              <w:right w:val="nil"/>
            </w:tcBorders>
            <w:shd w:val="clear" w:color="auto" w:fill="auto"/>
            <w:noWrap/>
            <w:vAlign w:val="bottom"/>
            <w:hideMark/>
          </w:tcPr>
          <w:p w14:paraId="58E2B45F" w14:textId="77777777" w:rsidR="00165ACB" w:rsidRPr="00294FA6" w:rsidRDefault="00165ACB" w:rsidP="00FE19E5">
            <w:pPr>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shd w:val="clear" w:color="auto" w:fill="auto"/>
            <w:noWrap/>
            <w:vAlign w:val="bottom"/>
            <w:hideMark/>
          </w:tcPr>
          <w:p w14:paraId="0C2E916F" w14:textId="77777777" w:rsidR="00165ACB" w:rsidRPr="00294FA6" w:rsidRDefault="00165ACB" w:rsidP="00FE19E5">
            <w:pPr>
              <w:spacing w:after="0" w:line="240" w:lineRule="auto"/>
              <w:jc w:val="right"/>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14:paraId="6E8475DC" w14:textId="77777777" w:rsidR="00165ACB" w:rsidRPr="00294FA6" w:rsidRDefault="00165ACB" w:rsidP="00FE19E5">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6AAA6DE2" w14:textId="77777777" w:rsidR="00165ACB" w:rsidRPr="00294FA6" w:rsidRDefault="00165ACB" w:rsidP="00FE19E5">
            <w:pPr>
              <w:spacing w:after="0" w:line="240" w:lineRule="auto"/>
              <w:jc w:val="right"/>
              <w:rPr>
                <w:rFonts w:ascii="Times New Roman" w:hAnsi="Times New Roman"/>
                <w:sz w:val="16"/>
                <w:szCs w:val="16"/>
              </w:rPr>
            </w:pPr>
          </w:p>
        </w:tc>
      </w:tr>
      <w:tr w:rsidR="00165ACB" w:rsidRPr="001D47C4" w14:paraId="60CD9934" w14:textId="77777777" w:rsidTr="00165ACB">
        <w:trPr>
          <w:trHeight w:val="204"/>
        </w:trPr>
        <w:tc>
          <w:tcPr>
            <w:tcW w:w="3544" w:type="dxa"/>
            <w:tcBorders>
              <w:top w:val="nil"/>
              <w:left w:val="nil"/>
              <w:bottom w:val="nil"/>
              <w:right w:val="nil"/>
            </w:tcBorders>
            <w:shd w:val="clear" w:color="auto" w:fill="auto"/>
            <w:noWrap/>
            <w:vAlign w:val="center"/>
            <w:hideMark/>
          </w:tcPr>
          <w:p w14:paraId="52BB1B45" w14:textId="77777777" w:rsidR="00165ACB" w:rsidRPr="001D47C4" w:rsidRDefault="00165ACB" w:rsidP="00C635F7">
            <w:pPr>
              <w:spacing w:after="0" w:line="240" w:lineRule="auto"/>
              <w:ind w:left="113"/>
              <w:jc w:val="left"/>
              <w:rPr>
                <w:rFonts w:ascii="Arial" w:hAnsi="Arial" w:cs="Arial"/>
                <w:sz w:val="16"/>
                <w:szCs w:val="16"/>
              </w:rPr>
            </w:pPr>
            <w:r w:rsidRPr="00C635F7">
              <w:rPr>
                <w:rFonts w:ascii="Arial" w:hAnsi="Arial" w:cs="Arial"/>
                <w:color w:val="000000"/>
                <w:sz w:val="16"/>
                <w:szCs w:val="16"/>
              </w:rPr>
              <w:t>Surplus/(deficit) for the period</w:t>
            </w:r>
          </w:p>
        </w:tc>
        <w:tc>
          <w:tcPr>
            <w:tcW w:w="993" w:type="dxa"/>
            <w:tcBorders>
              <w:top w:val="nil"/>
              <w:left w:val="nil"/>
              <w:bottom w:val="single" w:sz="4" w:space="0" w:color="000000"/>
              <w:right w:val="nil"/>
            </w:tcBorders>
            <w:shd w:val="clear" w:color="auto" w:fill="auto"/>
            <w:noWrap/>
            <w:vAlign w:val="bottom"/>
            <w:hideMark/>
          </w:tcPr>
          <w:p w14:paraId="6F1204B3" w14:textId="77777777" w:rsidR="00165ACB" w:rsidRPr="00294FA6" w:rsidRDefault="00165ACB" w:rsidP="00FE19E5">
            <w:pPr>
              <w:spacing w:after="0" w:line="240" w:lineRule="auto"/>
              <w:jc w:val="right"/>
              <w:rPr>
                <w:rFonts w:ascii="Arial" w:hAnsi="Arial" w:cs="Arial"/>
                <w:color w:val="000000"/>
                <w:sz w:val="16"/>
                <w:szCs w:val="16"/>
              </w:rPr>
            </w:pPr>
            <w:r w:rsidRPr="00294FA6">
              <w:rPr>
                <w:rFonts w:ascii="Arial" w:hAnsi="Arial" w:cs="Arial"/>
                <w:color w:val="000000"/>
                <w:sz w:val="16"/>
                <w:szCs w:val="16"/>
              </w:rPr>
              <w:t>(1,182)</w:t>
            </w:r>
          </w:p>
        </w:tc>
        <w:tc>
          <w:tcPr>
            <w:tcW w:w="1134" w:type="dxa"/>
            <w:tcBorders>
              <w:top w:val="nil"/>
              <w:left w:val="nil"/>
              <w:bottom w:val="single" w:sz="4" w:space="0" w:color="000000"/>
              <w:right w:val="nil"/>
            </w:tcBorders>
            <w:shd w:val="clear" w:color="auto" w:fill="auto"/>
            <w:noWrap/>
            <w:vAlign w:val="bottom"/>
            <w:hideMark/>
          </w:tcPr>
          <w:p w14:paraId="214B30AE" w14:textId="77777777" w:rsidR="00165ACB" w:rsidRPr="00294FA6" w:rsidRDefault="00165ACB" w:rsidP="00FE19E5">
            <w:pPr>
              <w:spacing w:after="0" w:line="240" w:lineRule="auto"/>
              <w:jc w:val="right"/>
              <w:rPr>
                <w:rFonts w:ascii="Arial" w:hAnsi="Arial" w:cs="Arial"/>
                <w:color w:val="000000"/>
                <w:sz w:val="16"/>
                <w:szCs w:val="16"/>
              </w:rPr>
            </w:pPr>
          </w:p>
        </w:tc>
        <w:tc>
          <w:tcPr>
            <w:tcW w:w="1134" w:type="dxa"/>
            <w:tcBorders>
              <w:top w:val="nil"/>
              <w:left w:val="nil"/>
              <w:bottom w:val="single" w:sz="4" w:space="0" w:color="000000"/>
              <w:right w:val="nil"/>
            </w:tcBorders>
            <w:shd w:val="clear" w:color="auto" w:fill="auto"/>
            <w:noWrap/>
            <w:vAlign w:val="bottom"/>
            <w:hideMark/>
          </w:tcPr>
          <w:p w14:paraId="30C647DA" w14:textId="77777777" w:rsidR="00165ACB" w:rsidRPr="00294FA6" w:rsidRDefault="00165ACB" w:rsidP="00FE19E5">
            <w:pPr>
              <w:spacing w:after="0" w:line="240" w:lineRule="auto"/>
              <w:jc w:val="right"/>
              <w:rPr>
                <w:rFonts w:ascii="Times New Roman" w:hAnsi="Times New Roman"/>
                <w:sz w:val="16"/>
                <w:szCs w:val="16"/>
              </w:rPr>
            </w:pPr>
          </w:p>
        </w:tc>
        <w:tc>
          <w:tcPr>
            <w:tcW w:w="851" w:type="dxa"/>
            <w:tcBorders>
              <w:top w:val="nil"/>
              <w:left w:val="nil"/>
              <w:bottom w:val="single" w:sz="4" w:space="0" w:color="000000"/>
              <w:right w:val="nil"/>
            </w:tcBorders>
            <w:shd w:val="clear" w:color="auto" w:fill="auto"/>
            <w:noWrap/>
            <w:vAlign w:val="bottom"/>
            <w:hideMark/>
          </w:tcPr>
          <w:p w14:paraId="41BF3E80" w14:textId="77777777" w:rsidR="00165ACB" w:rsidRPr="00294FA6" w:rsidRDefault="00165ACB" w:rsidP="00FE19E5">
            <w:pPr>
              <w:spacing w:after="0" w:line="240" w:lineRule="auto"/>
              <w:jc w:val="right"/>
              <w:rPr>
                <w:rFonts w:ascii="Arial" w:hAnsi="Arial" w:cs="Arial"/>
                <w:color w:val="000000"/>
                <w:sz w:val="16"/>
                <w:szCs w:val="16"/>
              </w:rPr>
            </w:pPr>
            <w:r w:rsidRPr="00294FA6">
              <w:rPr>
                <w:rFonts w:ascii="Arial" w:hAnsi="Arial" w:cs="Arial"/>
                <w:color w:val="000000"/>
                <w:sz w:val="16"/>
                <w:szCs w:val="16"/>
              </w:rPr>
              <w:t>(1,182)</w:t>
            </w:r>
          </w:p>
        </w:tc>
      </w:tr>
      <w:tr w:rsidR="00165ACB" w:rsidRPr="001D47C4" w14:paraId="5B66F598" w14:textId="77777777" w:rsidTr="00165ACB">
        <w:trPr>
          <w:trHeight w:val="204"/>
        </w:trPr>
        <w:tc>
          <w:tcPr>
            <w:tcW w:w="3544" w:type="dxa"/>
            <w:tcBorders>
              <w:top w:val="nil"/>
              <w:left w:val="nil"/>
              <w:bottom w:val="nil"/>
              <w:right w:val="nil"/>
            </w:tcBorders>
            <w:shd w:val="clear" w:color="auto" w:fill="auto"/>
            <w:vAlign w:val="center"/>
            <w:hideMark/>
          </w:tcPr>
          <w:p w14:paraId="4A7B3E86" w14:textId="77777777" w:rsidR="00165ACB" w:rsidRPr="001D47C4" w:rsidRDefault="00165ACB" w:rsidP="00CB59AD">
            <w:pPr>
              <w:spacing w:after="0" w:line="240" w:lineRule="auto"/>
              <w:jc w:val="left"/>
              <w:rPr>
                <w:rFonts w:ascii="Arial" w:hAnsi="Arial" w:cs="Arial"/>
                <w:b/>
                <w:bCs/>
                <w:i/>
                <w:iCs/>
                <w:color w:val="000000"/>
                <w:sz w:val="16"/>
                <w:szCs w:val="16"/>
              </w:rPr>
            </w:pPr>
            <w:r w:rsidRPr="001D47C4">
              <w:rPr>
                <w:rFonts w:ascii="Arial" w:hAnsi="Arial" w:cs="Arial"/>
                <w:b/>
                <w:bCs/>
                <w:i/>
                <w:iCs/>
                <w:color w:val="000000"/>
                <w:sz w:val="16"/>
                <w:szCs w:val="16"/>
              </w:rPr>
              <w:t>Total comprehensive income</w:t>
            </w:r>
          </w:p>
        </w:tc>
        <w:tc>
          <w:tcPr>
            <w:tcW w:w="993" w:type="dxa"/>
            <w:tcBorders>
              <w:top w:val="single" w:sz="4" w:space="0" w:color="000000"/>
              <w:left w:val="nil"/>
              <w:bottom w:val="single" w:sz="4" w:space="0" w:color="auto"/>
              <w:right w:val="nil"/>
            </w:tcBorders>
            <w:shd w:val="clear" w:color="auto" w:fill="auto"/>
            <w:noWrap/>
            <w:vAlign w:val="bottom"/>
            <w:hideMark/>
          </w:tcPr>
          <w:p w14:paraId="751A8453" w14:textId="77777777" w:rsidR="00165ACB" w:rsidRPr="00294FA6" w:rsidRDefault="00165ACB" w:rsidP="00FE19E5">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(1,182)</w:t>
            </w:r>
          </w:p>
        </w:tc>
        <w:tc>
          <w:tcPr>
            <w:tcW w:w="1134" w:type="dxa"/>
            <w:tcBorders>
              <w:top w:val="single" w:sz="4" w:space="0" w:color="000000"/>
              <w:left w:val="nil"/>
              <w:bottom w:val="single" w:sz="4" w:space="0" w:color="auto"/>
              <w:right w:val="nil"/>
            </w:tcBorders>
            <w:shd w:val="clear" w:color="auto" w:fill="auto"/>
            <w:noWrap/>
            <w:vAlign w:val="bottom"/>
            <w:hideMark/>
          </w:tcPr>
          <w:p w14:paraId="155368B4" w14:textId="62763E4A" w:rsidR="00165ACB" w:rsidRPr="00294FA6" w:rsidRDefault="00165ACB" w:rsidP="00FE19E5">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w:t>
            </w:r>
          </w:p>
        </w:tc>
        <w:tc>
          <w:tcPr>
            <w:tcW w:w="1134" w:type="dxa"/>
            <w:tcBorders>
              <w:top w:val="single" w:sz="4" w:space="0" w:color="000000"/>
              <w:left w:val="nil"/>
              <w:bottom w:val="single" w:sz="4" w:space="0" w:color="auto"/>
              <w:right w:val="nil"/>
            </w:tcBorders>
            <w:shd w:val="clear" w:color="auto" w:fill="auto"/>
            <w:noWrap/>
            <w:vAlign w:val="bottom"/>
            <w:hideMark/>
          </w:tcPr>
          <w:p w14:paraId="484164DA" w14:textId="61E89165" w:rsidR="00165ACB" w:rsidRPr="00294FA6" w:rsidRDefault="00165ACB" w:rsidP="00FE19E5">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w:t>
            </w:r>
          </w:p>
        </w:tc>
        <w:tc>
          <w:tcPr>
            <w:tcW w:w="851" w:type="dxa"/>
            <w:tcBorders>
              <w:top w:val="single" w:sz="4" w:space="0" w:color="000000"/>
              <w:left w:val="nil"/>
              <w:bottom w:val="single" w:sz="4" w:space="0" w:color="auto"/>
              <w:right w:val="nil"/>
            </w:tcBorders>
            <w:shd w:val="clear" w:color="auto" w:fill="auto"/>
            <w:noWrap/>
            <w:vAlign w:val="bottom"/>
            <w:hideMark/>
          </w:tcPr>
          <w:p w14:paraId="0FC6DF08" w14:textId="77777777" w:rsidR="00165ACB" w:rsidRPr="00294FA6" w:rsidRDefault="00165ACB" w:rsidP="00FE19E5">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(1,182)</w:t>
            </w:r>
          </w:p>
        </w:tc>
      </w:tr>
      <w:tr w:rsidR="00165ACB" w:rsidRPr="001D47C4" w14:paraId="49648AC8" w14:textId="77777777" w:rsidTr="00165ACB">
        <w:trPr>
          <w:trHeight w:val="204"/>
        </w:trPr>
        <w:tc>
          <w:tcPr>
            <w:tcW w:w="3544" w:type="dxa"/>
            <w:tcBorders>
              <w:top w:val="nil"/>
              <w:left w:val="nil"/>
              <w:bottom w:val="nil"/>
              <w:right w:val="nil"/>
            </w:tcBorders>
            <w:shd w:val="clear" w:color="auto" w:fill="auto"/>
            <w:noWrap/>
            <w:vAlign w:val="center"/>
            <w:hideMark/>
          </w:tcPr>
          <w:p w14:paraId="17E8B132" w14:textId="77777777" w:rsidR="00165ACB" w:rsidRPr="001D47C4" w:rsidRDefault="00165ACB" w:rsidP="00CB59AD">
            <w:pPr>
              <w:spacing w:after="0" w:line="240" w:lineRule="auto"/>
              <w:jc w:val="left"/>
              <w:rPr>
                <w:rFonts w:ascii="Arial" w:hAnsi="Arial" w:cs="Arial"/>
                <w:b/>
                <w:bCs/>
                <w:color w:val="000000"/>
                <w:sz w:val="16"/>
                <w:szCs w:val="16"/>
              </w:rPr>
            </w:pPr>
            <w:r w:rsidRPr="001D47C4">
              <w:rPr>
                <w:rFonts w:ascii="Arial" w:hAnsi="Arial" w:cs="Arial"/>
                <w:b/>
                <w:bCs/>
                <w:color w:val="000000"/>
                <w:sz w:val="16"/>
                <w:szCs w:val="16"/>
              </w:rPr>
              <w:t>Transactions with owners</w:t>
            </w:r>
          </w:p>
        </w:tc>
        <w:tc>
          <w:tcPr>
            <w:tcW w:w="993" w:type="dxa"/>
            <w:tcBorders>
              <w:top w:val="single" w:sz="4" w:space="0" w:color="auto"/>
              <w:left w:val="nil"/>
              <w:bottom w:val="nil"/>
              <w:right w:val="nil"/>
            </w:tcBorders>
            <w:shd w:val="clear" w:color="auto" w:fill="auto"/>
            <w:noWrap/>
            <w:vAlign w:val="bottom"/>
            <w:hideMark/>
          </w:tcPr>
          <w:p w14:paraId="54E290FF" w14:textId="77777777" w:rsidR="00165ACB" w:rsidRPr="00294FA6" w:rsidRDefault="00165ACB" w:rsidP="00FE19E5">
            <w:pPr>
              <w:spacing w:after="0" w:line="240" w:lineRule="auto"/>
              <w:jc w:val="right"/>
              <w:rPr>
                <w:rFonts w:ascii="Arial" w:hAnsi="Arial" w:cs="Arial"/>
                <w:b/>
                <w:bCs/>
                <w:color w:val="000000"/>
                <w:sz w:val="16"/>
                <w:szCs w:val="16"/>
              </w:rPr>
            </w:pPr>
          </w:p>
        </w:tc>
        <w:tc>
          <w:tcPr>
            <w:tcW w:w="1134" w:type="dxa"/>
            <w:tcBorders>
              <w:top w:val="single" w:sz="4" w:space="0" w:color="auto"/>
              <w:left w:val="nil"/>
              <w:bottom w:val="nil"/>
              <w:right w:val="nil"/>
            </w:tcBorders>
            <w:shd w:val="clear" w:color="auto" w:fill="auto"/>
            <w:noWrap/>
            <w:vAlign w:val="bottom"/>
            <w:hideMark/>
          </w:tcPr>
          <w:p w14:paraId="12E16B91" w14:textId="77777777" w:rsidR="00165ACB" w:rsidRPr="00294FA6" w:rsidRDefault="00165ACB" w:rsidP="00FE19E5">
            <w:pPr>
              <w:spacing w:after="0" w:line="240" w:lineRule="auto"/>
              <w:jc w:val="right"/>
              <w:rPr>
                <w:rFonts w:ascii="Times New Roman" w:hAnsi="Times New Roman"/>
                <w:sz w:val="16"/>
                <w:szCs w:val="16"/>
              </w:rPr>
            </w:pPr>
          </w:p>
        </w:tc>
        <w:tc>
          <w:tcPr>
            <w:tcW w:w="1134" w:type="dxa"/>
            <w:tcBorders>
              <w:top w:val="single" w:sz="4" w:space="0" w:color="auto"/>
              <w:left w:val="nil"/>
              <w:bottom w:val="nil"/>
              <w:right w:val="nil"/>
            </w:tcBorders>
            <w:shd w:val="clear" w:color="auto" w:fill="auto"/>
            <w:noWrap/>
            <w:vAlign w:val="bottom"/>
            <w:hideMark/>
          </w:tcPr>
          <w:p w14:paraId="2ABE967C" w14:textId="77777777" w:rsidR="00165ACB" w:rsidRPr="00294FA6" w:rsidRDefault="00165ACB" w:rsidP="00FE19E5">
            <w:pPr>
              <w:spacing w:after="0" w:line="240" w:lineRule="auto"/>
              <w:jc w:val="right"/>
              <w:rPr>
                <w:rFonts w:ascii="Times New Roman" w:hAnsi="Times New Roman"/>
                <w:sz w:val="16"/>
                <w:szCs w:val="16"/>
              </w:rPr>
            </w:pPr>
          </w:p>
        </w:tc>
        <w:tc>
          <w:tcPr>
            <w:tcW w:w="851" w:type="dxa"/>
            <w:tcBorders>
              <w:top w:val="single" w:sz="4" w:space="0" w:color="auto"/>
              <w:left w:val="nil"/>
              <w:bottom w:val="nil"/>
              <w:right w:val="nil"/>
            </w:tcBorders>
            <w:shd w:val="clear" w:color="auto" w:fill="auto"/>
            <w:noWrap/>
            <w:vAlign w:val="bottom"/>
            <w:hideMark/>
          </w:tcPr>
          <w:p w14:paraId="6C9FCC11" w14:textId="77777777" w:rsidR="00165ACB" w:rsidRPr="00294FA6" w:rsidRDefault="00165ACB" w:rsidP="00FE19E5">
            <w:pPr>
              <w:spacing w:after="0" w:line="240" w:lineRule="auto"/>
              <w:jc w:val="right"/>
              <w:rPr>
                <w:rFonts w:ascii="Times New Roman" w:hAnsi="Times New Roman"/>
                <w:sz w:val="16"/>
                <w:szCs w:val="16"/>
              </w:rPr>
            </w:pPr>
          </w:p>
        </w:tc>
      </w:tr>
      <w:tr w:rsidR="00165ACB" w:rsidRPr="001D47C4" w14:paraId="57781BBC" w14:textId="77777777" w:rsidTr="00165ACB">
        <w:trPr>
          <w:trHeight w:val="204"/>
        </w:trPr>
        <w:tc>
          <w:tcPr>
            <w:tcW w:w="3544" w:type="dxa"/>
            <w:tcBorders>
              <w:top w:val="nil"/>
              <w:left w:val="nil"/>
              <w:bottom w:val="nil"/>
              <w:right w:val="nil"/>
            </w:tcBorders>
            <w:shd w:val="clear" w:color="auto" w:fill="auto"/>
            <w:noWrap/>
            <w:vAlign w:val="center"/>
            <w:hideMark/>
          </w:tcPr>
          <w:p w14:paraId="312CF5FF" w14:textId="77777777" w:rsidR="00165ACB" w:rsidRPr="001D47C4" w:rsidRDefault="00165ACB" w:rsidP="00CB59AD">
            <w:pPr>
              <w:spacing w:after="0" w:line="240" w:lineRule="auto"/>
              <w:jc w:val="left"/>
              <w:rPr>
                <w:rFonts w:ascii="Arial" w:hAnsi="Arial" w:cs="Arial"/>
                <w:b/>
                <w:bCs/>
                <w:i/>
                <w:iCs/>
                <w:color w:val="000000"/>
                <w:sz w:val="16"/>
                <w:szCs w:val="16"/>
              </w:rPr>
            </w:pPr>
            <w:r w:rsidRPr="001D47C4">
              <w:rPr>
                <w:rFonts w:ascii="Arial" w:hAnsi="Arial" w:cs="Arial"/>
                <w:b/>
                <w:bCs/>
                <w:i/>
                <w:iCs/>
                <w:color w:val="000000"/>
                <w:sz w:val="16"/>
                <w:szCs w:val="16"/>
              </w:rPr>
              <w:t>Contributions by owners</w:t>
            </w:r>
          </w:p>
        </w:tc>
        <w:tc>
          <w:tcPr>
            <w:tcW w:w="993" w:type="dxa"/>
            <w:tcBorders>
              <w:top w:val="nil"/>
              <w:left w:val="nil"/>
              <w:bottom w:val="nil"/>
              <w:right w:val="nil"/>
            </w:tcBorders>
            <w:shd w:val="clear" w:color="auto" w:fill="auto"/>
            <w:noWrap/>
            <w:vAlign w:val="bottom"/>
            <w:hideMark/>
          </w:tcPr>
          <w:p w14:paraId="24E5FB39" w14:textId="77777777" w:rsidR="00165ACB" w:rsidRPr="00294FA6" w:rsidRDefault="00165ACB" w:rsidP="00FE19E5">
            <w:pPr>
              <w:spacing w:after="0" w:line="240" w:lineRule="auto"/>
              <w:jc w:val="right"/>
              <w:rPr>
                <w:rFonts w:ascii="Arial" w:hAnsi="Arial" w:cs="Arial"/>
                <w:b/>
                <w:bCs/>
                <w:i/>
                <w:iCs/>
                <w:color w:val="000000"/>
                <w:sz w:val="16"/>
                <w:szCs w:val="16"/>
              </w:rPr>
            </w:pPr>
          </w:p>
        </w:tc>
        <w:tc>
          <w:tcPr>
            <w:tcW w:w="1134" w:type="dxa"/>
            <w:tcBorders>
              <w:top w:val="nil"/>
              <w:left w:val="nil"/>
              <w:bottom w:val="nil"/>
              <w:right w:val="nil"/>
            </w:tcBorders>
            <w:shd w:val="clear" w:color="auto" w:fill="auto"/>
            <w:noWrap/>
            <w:vAlign w:val="bottom"/>
            <w:hideMark/>
          </w:tcPr>
          <w:p w14:paraId="25E38D67" w14:textId="77777777" w:rsidR="00165ACB" w:rsidRPr="00294FA6" w:rsidRDefault="00165ACB" w:rsidP="00FE19E5">
            <w:pPr>
              <w:spacing w:after="0" w:line="240" w:lineRule="auto"/>
              <w:jc w:val="right"/>
              <w:rPr>
                <w:rFonts w:ascii="Times New Roman" w:hAnsi="Times New Roman"/>
                <w:sz w:val="16"/>
                <w:szCs w:val="16"/>
              </w:rPr>
            </w:pPr>
          </w:p>
        </w:tc>
        <w:tc>
          <w:tcPr>
            <w:tcW w:w="1134" w:type="dxa"/>
            <w:tcBorders>
              <w:top w:val="nil"/>
              <w:left w:val="nil"/>
              <w:bottom w:val="nil"/>
              <w:right w:val="nil"/>
            </w:tcBorders>
            <w:shd w:val="clear" w:color="auto" w:fill="auto"/>
            <w:noWrap/>
            <w:vAlign w:val="bottom"/>
            <w:hideMark/>
          </w:tcPr>
          <w:p w14:paraId="1857D6C4" w14:textId="77777777" w:rsidR="00165ACB" w:rsidRPr="00294FA6" w:rsidRDefault="00165ACB" w:rsidP="00FE19E5">
            <w:pPr>
              <w:spacing w:after="0" w:line="240" w:lineRule="auto"/>
              <w:jc w:val="right"/>
              <w:rPr>
                <w:rFonts w:ascii="Times New Roman" w:hAnsi="Times New Roman"/>
                <w:sz w:val="16"/>
                <w:szCs w:val="16"/>
              </w:rPr>
            </w:pPr>
          </w:p>
        </w:tc>
        <w:tc>
          <w:tcPr>
            <w:tcW w:w="851" w:type="dxa"/>
            <w:tcBorders>
              <w:top w:val="nil"/>
              <w:left w:val="nil"/>
              <w:bottom w:val="nil"/>
              <w:right w:val="nil"/>
            </w:tcBorders>
            <w:shd w:val="clear" w:color="auto" w:fill="auto"/>
            <w:noWrap/>
            <w:vAlign w:val="bottom"/>
            <w:hideMark/>
          </w:tcPr>
          <w:p w14:paraId="7CD6CCB4" w14:textId="77777777" w:rsidR="00165ACB" w:rsidRPr="00294FA6" w:rsidRDefault="00165ACB" w:rsidP="00FE19E5">
            <w:pPr>
              <w:spacing w:after="0" w:line="240" w:lineRule="auto"/>
              <w:jc w:val="right"/>
              <w:rPr>
                <w:rFonts w:ascii="Times New Roman" w:hAnsi="Times New Roman"/>
                <w:sz w:val="16"/>
                <w:szCs w:val="16"/>
              </w:rPr>
            </w:pPr>
          </w:p>
        </w:tc>
      </w:tr>
      <w:tr w:rsidR="00165ACB" w:rsidRPr="001D47C4" w14:paraId="3F8DFEB9" w14:textId="77777777" w:rsidTr="00165ACB">
        <w:trPr>
          <w:trHeight w:val="204"/>
        </w:trPr>
        <w:tc>
          <w:tcPr>
            <w:tcW w:w="3544" w:type="dxa"/>
            <w:tcBorders>
              <w:top w:val="nil"/>
              <w:left w:val="nil"/>
              <w:bottom w:val="nil"/>
              <w:right w:val="nil"/>
            </w:tcBorders>
            <w:shd w:val="clear" w:color="auto" w:fill="auto"/>
            <w:noWrap/>
            <w:vAlign w:val="center"/>
            <w:hideMark/>
          </w:tcPr>
          <w:p w14:paraId="35CCEF5D" w14:textId="77777777" w:rsidR="00165ACB" w:rsidRPr="001D47C4" w:rsidRDefault="00165ACB" w:rsidP="00C635F7">
            <w:pPr>
              <w:spacing w:after="0" w:line="240" w:lineRule="auto"/>
              <w:ind w:left="113"/>
              <w:jc w:val="left"/>
              <w:rPr>
                <w:rFonts w:ascii="Arial" w:hAnsi="Arial" w:cs="Arial"/>
                <w:color w:val="000000"/>
                <w:sz w:val="16"/>
                <w:szCs w:val="16"/>
              </w:rPr>
            </w:pPr>
            <w:r w:rsidRPr="001D47C4">
              <w:rPr>
                <w:rFonts w:ascii="Arial" w:hAnsi="Arial" w:cs="Arial"/>
                <w:color w:val="000000"/>
                <w:sz w:val="16"/>
                <w:szCs w:val="16"/>
              </w:rPr>
              <w:t>Equity injection</w:t>
            </w:r>
          </w:p>
        </w:tc>
        <w:tc>
          <w:tcPr>
            <w:tcW w:w="993" w:type="dxa"/>
            <w:tcBorders>
              <w:top w:val="nil"/>
              <w:left w:val="nil"/>
              <w:bottom w:val="single" w:sz="4" w:space="0" w:color="000000"/>
              <w:right w:val="nil"/>
            </w:tcBorders>
            <w:shd w:val="clear" w:color="auto" w:fill="auto"/>
            <w:noWrap/>
            <w:vAlign w:val="bottom"/>
            <w:hideMark/>
          </w:tcPr>
          <w:p w14:paraId="12078420" w14:textId="4BC2B408" w:rsidR="00165ACB" w:rsidRPr="00294FA6" w:rsidRDefault="00165ACB" w:rsidP="00FE19E5">
            <w:pPr>
              <w:spacing w:after="0" w:line="240" w:lineRule="auto"/>
              <w:jc w:val="right"/>
              <w:rPr>
                <w:rFonts w:ascii="Arial" w:hAnsi="Arial" w:cs="Arial"/>
                <w:bCs/>
                <w:i/>
                <w:iCs/>
                <w:color w:val="000000"/>
                <w:sz w:val="16"/>
                <w:szCs w:val="16"/>
              </w:rPr>
            </w:pPr>
            <w:r w:rsidRPr="00294FA6">
              <w:rPr>
                <w:rFonts w:ascii="Arial" w:hAnsi="Arial" w:cs="Arial"/>
                <w:bCs/>
                <w:i/>
                <w:iCs/>
                <w:color w:val="000000"/>
                <w:sz w:val="16"/>
                <w:szCs w:val="16"/>
              </w:rPr>
              <w:t>-</w:t>
            </w:r>
          </w:p>
        </w:tc>
        <w:tc>
          <w:tcPr>
            <w:tcW w:w="1134" w:type="dxa"/>
            <w:tcBorders>
              <w:top w:val="nil"/>
              <w:left w:val="nil"/>
              <w:bottom w:val="single" w:sz="4" w:space="0" w:color="000000"/>
              <w:right w:val="nil"/>
            </w:tcBorders>
            <w:shd w:val="clear" w:color="auto" w:fill="auto"/>
            <w:noWrap/>
            <w:vAlign w:val="bottom"/>
            <w:hideMark/>
          </w:tcPr>
          <w:p w14:paraId="45648216" w14:textId="4270B778" w:rsidR="00165ACB" w:rsidRPr="00294FA6" w:rsidRDefault="00165ACB" w:rsidP="00FE19E5">
            <w:pPr>
              <w:spacing w:after="0" w:line="240" w:lineRule="auto"/>
              <w:jc w:val="right"/>
              <w:rPr>
                <w:rFonts w:ascii="Arial" w:hAnsi="Arial" w:cs="Arial"/>
                <w:bCs/>
                <w:i/>
                <w:iCs/>
                <w:color w:val="000000"/>
                <w:sz w:val="16"/>
                <w:szCs w:val="16"/>
              </w:rPr>
            </w:pPr>
            <w:r w:rsidRPr="00294FA6">
              <w:rPr>
                <w:rFonts w:ascii="Arial" w:hAnsi="Arial" w:cs="Arial"/>
                <w:bCs/>
                <w:i/>
                <w:iCs/>
                <w:color w:val="000000"/>
                <w:sz w:val="16"/>
                <w:szCs w:val="16"/>
              </w:rPr>
              <w:t>-</w:t>
            </w:r>
          </w:p>
        </w:tc>
        <w:tc>
          <w:tcPr>
            <w:tcW w:w="1134" w:type="dxa"/>
            <w:tcBorders>
              <w:top w:val="nil"/>
              <w:left w:val="nil"/>
              <w:bottom w:val="single" w:sz="4" w:space="0" w:color="000000"/>
              <w:right w:val="nil"/>
            </w:tcBorders>
            <w:shd w:val="clear" w:color="auto" w:fill="auto"/>
            <w:noWrap/>
            <w:vAlign w:val="bottom"/>
            <w:hideMark/>
          </w:tcPr>
          <w:p w14:paraId="0415D86D" w14:textId="5AA22957" w:rsidR="00165ACB" w:rsidRPr="00294FA6" w:rsidRDefault="00165ACB" w:rsidP="00FE19E5">
            <w:pPr>
              <w:spacing w:after="0" w:line="240" w:lineRule="auto"/>
              <w:jc w:val="right"/>
              <w:rPr>
                <w:rFonts w:ascii="Arial" w:hAnsi="Arial" w:cs="Arial"/>
                <w:color w:val="000000"/>
                <w:sz w:val="16"/>
                <w:szCs w:val="16"/>
              </w:rPr>
            </w:pPr>
            <w:r w:rsidRPr="00294FA6">
              <w:rPr>
                <w:rFonts w:ascii="Arial" w:hAnsi="Arial" w:cs="Arial"/>
                <w:color w:val="000000"/>
                <w:sz w:val="16"/>
                <w:szCs w:val="16"/>
              </w:rPr>
              <w:t>4,327</w:t>
            </w:r>
          </w:p>
        </w:tc>
        <w:tc>
          <w:tcPr>
            <w:tcW w:w="851" w:type="dxa"/>
            <w:tcBorders>
              <w:top w:val="nil"/>
              <w:left w:val="nil"/>
              <w:bottom w:val="single" w:sz="4" w:space="0" w:color="000000"/>
              <w:right w:val="nil"/>
            </w:tcBorders>
            <w:shd w:val="clear" w:color="auto" w:fill="auto"/>
            <w:noWrap/>
            <w:vAlign w:val="bottom"/>
            <w:hideMark/>
          </w:tcPr>
          <w:p w14:paraId="551C73A9" w14:textId="1A18C9F2" w:rsidR="00165ACB" w:rsidRPr="00294FA6" w:rsidRDefault="00165ACB" w:rsidP="00FE19E5">
            <w:pPr>
              <w:spacing w:after="0" w:line="240" w:lineRule="auto"/>
              <w:jc w:val="right"/>
              <w:rPr>
                <w:rFonts w:ascii="Arial" w:hAnsi="Arial" w:cs="Arial"/>
                <w:color w:val="000000"/>
                <w:sz w:val="16"/>
                <w:szCs w:val="16"/>
              </w:rPr>
            </w:pPr>
            <w:r w:rsidRPr="00294FA6">
              <w:rPr>
                <w:rFonts w:ascii="Arial" w:hAnsi="Arial" w:cs="Arial"/>
                <w:color w:val="000000"/>
                <w:sz w:val="16"/>
                <w:szCs w:val="16"/>
              </w:rPr>
              <w:t>4,327</w:t>
            </w:r>
          </w:p>
        </w:tc>
      </w:tr>
      <w:tr w:rsidR="00165ACB" w:rsidRPr="001D47C4" w14:paraId="25864B90" w14:textId="77777777" w:rsidTr="00165ACB">
        <w:trPr>
          <w:trHeight w:val="204"/>
        </w:trPr>
        <w:tc>
          <w:tcPr>
            <w:tcW w:w="3544" w:type="dxa"/>
            <w:tcBorders>
              <w:top w:val="nil"/>
              <w:left w:val="nil"/>
              <w:bottom w:val="single" w:sz="4" w:space="0" w:color="000000"/>
              <w:right w:val="nil"/>
            </w:tcBorders>
            <w:shd w:val="clear" w:color="auto" w:fill="auto"/>
            <w:vAlign w:val="center"/>
            <w:hideMark/>
          </w:tcPr>
          <w:p w14:paraId="4571E15D" w14:textId="28074948" w:rsidR="00165ACB" w:rsidRPr="001D47C4" w:rsidRDefault="00165ACB" w:rsidP="00FE19E5">
            <w:pPr>
              <w:spacing w:after="0" w:line="240" w:lineRule="auto"/>
              <w:jc w:val="left"/>
              <w:rPr>
                <w:rFonts w:ascii="Arial" w:hAnsi="Arial" w:cs="Arial"/>
                <w:b/>
                <w:bCs/>
                <w:color w:val="000000"/>
                <w:sz w:val="16"/>
                <w:szCs w:val="16"/>
              </w:rPr>
            </w:pPr>
            <w:r w:rsidRPr="001D47C4">
              <w:rPr>
                <w:rFonts w:ascii="Arial" w:hAnsi="Arial" w:cs="Arial"/>
                <w:b/>
                <w:bCs/>
                <w:color w:val="000000"/>
                <w:sz w:val="16"/>
                <w:szCs w:val="16"/>
              </w:rPr>
              <w:t>Closing balance attributable to</w:t>
            </w:r>
            <w:r>
              <w:rPr>
                <w:rFonts w:ascii="Arial" w:hAnsi="Arial" w:cs="Arial"/>
                <w:b/>
                <w:bCs/>
                <w:color w:val="000000"/>
                <w:sz w:val="16"/>
                <w:szCs w:val="16"/>
              </w:rPr>
              <w:t xml:space="preserve"> </w:t>
            </w:r>
            <w:r w:rsidRPr="001D47C4">
              <w:rPr>
                <w:rFonts w:ascii="Arial" w:hAnsi="Arial" w:cs="Arial"/>
                <w:b/>
                <w:bCs/>
                <w:color w:val="000000"/>
                <w:sz w:val="16"/>
                <w:szCs w:val="16"/>
              </w:rPr>
              <w:t>the Australian Government</w:t>
            </w:r>
          </w:p>
        </w:tc>
        <w:tc>
          <w:tcPr>
            <w:tcW w:w="993" w:type="dxa"/>
            <w:tcBorders>
              <w:top w:val="nil"/>
              <w:left w:val="nil"/>
              <w:bottom w:val="single" w:sz="4" w:space="0" w:color="auto"/>
              <w:right w:val="nil"/>
            </w:tcBorders>
            <w:shd w:val="clear" w:color="auto" w:fill="auto"/>
            <w:noWrap/>
            <w:vAlign w:val="bottom"/>
            <w:hideMark/>
          </w:tcPr>
          <w:p w14:paraId="3CDF84AD" w14:textId="44080C80" w:rsidR="00165ACB" w:rsidRPr="00294FA6" w:rsidRDefault="00165ACB" w:rsidP="00FE19E5">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3,580</w:t>
            </w:r>
          </w:p>
        </w:tc>
        <w:tc>
          <w:tcPr>
            <w:tcW w:w="1134" w:type="dxa"/>
            <w:tcBorders>
              <w:top w:val="nil"/>
              <w:left w:val="nil"/>
              <w:bottom w:val="single" w:sz="4" w:space="0" w:color="auto"/>
              <w:right w:val="nil"/>
            </w:tcBorders>
            <w:shd w:val="clear" w:color="auto" w:fill="auto"/>
            <w:noWrap/>
            <w:vAlign w:val="bottom"/>
            <w:hideMark/>
          </w:tcPr>
          <w:p w14:paraId="65F1BD28" w14:textId="03D45E33" w:rsidR="00165ACB" w:rsidRPr="00294FA6" w:rsidRDefault="00165ACB" w:rsidP="00FE19E5">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143,042</w:t>
            </w:r>
          </w:p>
        </w:tc>
        <w:tc>
          <w:tcPr>
            <w:tcW w:w="1134" w:type="dxa"/>
            <w:tcBorders>
              <w:top w:val="nil"/>
              <w:left w:val="nil"/>
              <w:bottom w:val="single" w:sz="4" w:space="0" w:color="auto"/>
              <w:right w:val="nil"/>
            </w:tcBorders>
            <w:shd w:val="clear" w:color="auto" w:fill="auto"/>
            <w:noWrap/>
            <w:vAlign w:val="bottom"/>
            <w:hideMark/>
          </w:tcPr>
          <w:p w14:paraId="47D7B774" w14:textId="6306A525" w:rsidR="00165ACB" w:rsidRPr="00294FA6" w:rsidRDefault="00165ACB" w:rsidP="00FE19E5">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229,293</w:t>
            </w:r>
          </w:p>
        </w:tc>
        <w:tc>
          <w:tcPr>
            <w:tcW w:w="851" w:type="dxa"/>
            <w:tcBorders>
              <w:top w:val="nil"/>
              <w:left w:val="nil"/>
              <w:bottom w:val="single" w:sz="4" w:space="0" w:color="auto"/>
              <w:right w:val="nil"/>
            </w:tcBorders>
            <w:shd w:val="clear" w:color="auto" w:fill="auto"/>
            <w:noWrap/>
            <w:vAlign w:val="bottom"/>
            <w:hideMark/>
          </w:tcPr>
          <w:p w14:paraId="39A5B7BB" w14:textId="10FA78AD" w:rsidR="00165ACB" w:rsidRPr="00294FA6" w:rsidRDefault="00165ACB" w:rsidP="00FE19E5">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375,915</w:t>
            </w:r>
          </w:p>
        </w:tc>
      </w:tr>
    </w:tbl>
    <w:p w14:paraId="3168368C" w14:textId="527420CE" w:rsidR="00AE67D5" w:rsidRPr="00AE67D5" w:rsidRDefault="00AE67D5" w:rsidP="009F1705">
      <w:pPr>
        <w:spacing w:before="60"/>
        <w:jc w:val="left"/>
        <w:rPr>
          <w:rFonts w:ascii="Arial" w:hAnsi="Arial" w:cs="Arial"/>
          <w:sz w:val="16"/>
        </w:rPr>
      </w:pPr>
      <w:r w:rsidRPr="00AE67D5">
        <w:rPr>
          <w:rFonts w:ascii="Arial" w:hAnsi="Arial" w:cs="Arial"/>
          <w:sz w:val="16"/>
        </w:rPr>
        <w:t>Prepared on Australian Accounting Standards basis.</w:t>
      </w:r>
    </w:p>
    <w:p w14:paraId="2B86ABB7" w14:textId="550EBCA7" w:rsidR="00CB59AD" w:rsidRDefault="00CB59AD">
      <w:r>
        <w:br w:type="page"/>
      </w:r>
    </w:p>
    <w:p w14:paraId="19CB0C27" w14:textId="0A42457E" w:rsidR="00CB59AD" w:rsidRPr="00A00283" w:rsidRDefault="00CB59AD" w:rsidP="00CB59AD">
      <w:pPr>
        <w:pStyle w:val="TableHeading"/>
      </w:pPr>
      <w:r>
        <w:lastRenderedPageBreak/>
        <w:t>Table 3.</w:t>
      </w:r>
      <w:r>
        <w:rPr>
          <w:lang w:val="en-US"/>
        </w:rPr>
        <w:t>5</w:t>
      </w:r>
      <w:r>
        <w:t xml:space="preserve">: </w:t>
      </w:r>
      <w:r w:rsidRPr="00D30CBA">
        <w:t xml:space="preserve">Budgeted </w:t>
      </w:r>
      <w:r w:rsidR="008863D9">
        <w:t>Department</w:t>
      </w:r>
      <w:r>
        <w:t xml:space="preserve">al statement of cash flows </w:t>
      </w:r>
      <w:r w:rsidRPr="00D30CBA">
        <w:t>(</w:t>
      </w:r>
      <w:r>
        <w:t>for the period ended</w:t>
      </w:r>
      <w:r w:rsidRPr="00D30CBA">
        <w:t xml:space="preserve"> 30 June)</w:t>
      </w:r>
    </w:p>
    <w:tbl>
      <w:tblPr>
        <w:tblW w:w="7519" w:type="dxa"/>
        <w:tblLook w:val="04A0" w:firstRow="1" w:lastRow="0" w:firstColumn="1" w:lastColumn="0" w:noHBand="0" w:noVBand="1"/>
      </w:tblPr>
      <w:tblGrid>
        <w:gridCol w:w="3119"/>
        <w:gridCol w:w="880"/>
        <w:gridCol w:w="880"/>
        <w:gridCol w:w="880"/>
        <w:gridCol w:w="880"/>
        <w:gridCol w:w="880"/>
      </w:tblGrid>
      <w:tr w:rsidR="00CB59AD" w:rsidRPr="003C1232" w14:paraId="38436883" w14:textId="77777777" w:rsidTr="00AD5F79">
        <w:trPr>
          <w:trHeight w:val="658"/>
        </w:trPr>
        <w:tc>
          <w:tcPr>
            <w:tcW w:w="3119" w:type="dxa"/>
            <w:tcBorders>
              <w:top w:val="single" w:sz="4" w:space="0" w:color="auto"/>
              <w:left w:val="nil"/>
              <w:bottom w:val="nil"/>
              <w:right w:val="nil"/>
            </w:tcBorders>
            <w:shd w:val="clear" w:color="auto" w:fill="auto"/>
            <w:noWrap/>
            <w:hideMark/>
          </w:tcPr>
          <w:p w14:paraId="1D9DEB2B" w14:textId="77777777" w:rsidR="00CB59AD" w:rsidRPr="003C1232" w:rsidRDefault="00CB59AD" w:rsidP="00CB59AD">
            <w:pPr>
              <w:spacing w:after="0" w:line="240" w:lineRule="auto"/>
              <w:jc w:val="left"/>
              <w:rPr>
                <w:rFonts w:ascii="Arial" w:hAnsi="Arial" w:cs="Arial"/>
                <w:b/>
                <w:bCs/>
                <w:sz w:val="16"/>
                <w:szCs w:val="16"/>
              </w:rPr>
            </w:pPr>
            <w:r w:rsidRPr="003C1232">
              <w:rPr>
                <w:rFonts w:ascii="Arial" w:hAnsi="Arial" w:cs="Arial"/>
                <w:b/>
                <w:bCs/>
                <w:sz w:val="16"/>
                <w:szCs w:val="16"/>
              </w:rPr>
              <w:t> </w:t>
            </w:r>
          </w:p>
        </w:tc>
        <w:tc>
          <w:tcPr>
            <w:tcW w:w="876" w:type="dxa"/>
            <w:tcBorders>
              <w:top w:val="single" w:sz="4" w:space="0" w:color="auto"/>
              <w:left w:val="nil"/>
              <w:bottom w:val="single" w:sz="4" w:space="0" w:color="auto"/>
              <w:right w:val="nil"/>
            </w:tcBorders>
            <w:shd w:val="clear" w:color="auto" w:fill="auto"/>
            <w:hideMark/>
          </w:tcPr>
          <w:p w14:paraId="4E539089" w14:textId="77777777" w:rsidR="00CB59AD" w:rsidRPr="003C1232" w:rsidRDefault="00CB59AD" w:rsidP="00CB59AD">
            <w:pPr>
              <w:spacing w:after="0" w:line="240" w:lineRule="auto"/>
              <w:jc w:val="right"/>
              <w:rPr>
                <w:rFonts w:ascii="Arial" w:hAnsi="Arial" w:cs="Arial"/>
                <w:sz w:val="16"/>
                <w:szCs w:val="16"/>
              </w:rPr>
            </w:pPr>
            <w:r w:rsidRPr="003C1232">
              <w:rPr>
                <w:rFonts w:ascii="Arial" w:hAnsi="Arial" w:cs="Arial"/>
                <w:sz w:val="16"/>
                <w:szCs w:val="16"/>
              </w:rPr>
              <w:t>2020-21 Actual</w:t>
            </w:r>
            <w:r w:rsidRPr="003C1232">
              <w:rPr>
                <w:rFonts w:ascii="Arial" w:hAnsi="Arial" w:cs="Arial"/>
                <w:sz w:val="16"/>
                <w:szCs w:val="16"/>
              </w:rPr>
              <w:br/>
            </w:r>
            <w:r w:rsidRPr="003C1232">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000000" w:fill="E6E6E6"/>
            <w:hideMark/>
          </w:tcPr>
          <w:p w14:paraId="76DCAF48" w14:textId="77777777" w:rsidR="00CB59AD" w:rsidRPr="003C1232" w:rsidRDefault="00CB59AD" w:rsidP="00CB59AD">
            <w:pPr>
              <w:spacing w:after="0" w:line="240" w:lineRule="auto"/>
              <w:jc w:val="right"/>
              <w:rPr>
                <w:rFonts w:ascii="Arial" w:hAnsi="Arial" w:cs="Arial"/>
                <w:sz w:val="16"/>
                <w:szCs w:val="16"/>
              </w:rPr>
            </w:pPr>
            <w:r w:rsidRPr="003C1232">
              <w:rPr>
                <w:rFonts w:ascii="Arial" w:hAnsi="Arial" w:cs="Arial"/>
                <w:sz w:val="16"/>
                <w:szCs w:val="16"/>
              </w:rPr>
              <w:t>2021-22</w:t>
            </w:r>
            <w:r w:rsidRPr="003C1232">
              <w:rPr>
                <w:rFonts w:ascii="Arial" w:hAnsi="Arial" w:cs="Arial"/>
                <w:sz w:val="16"/>
                <w:szCs w:val="16"/>
              </w:rPr>
              <w:br/>
              <w:t>Revised Budget</w:t>
            </w:r>
            <w:r w:rsidRPr="003C1232">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0B3D635B" w14:textId="77777777" w:rsidR="00CB59AD" w:rsidRPr="003C1232" w:rsidRDefault="00CB59AD" w:rsidP="00CB59AD">
            <w:pPr>
              <w:spacing w:after="0" w:line="240" w:lineRule="auto"/>
              <w:jc w:val="right"/>
              <w:rPr>
                <w:rFonts w:ascii="Arial" w:hAnsi="Arial" w:cs="Arial"/>
                <w:sz w:val="16"/>
                <w:szCs w:val="16"/>
              </w:rPr>
            </w:pPr>
            <w:r w:rsidRPr="003C1232">
              <w:rPr>
                <w:rFonts w:ascii="Arial" w:hAnsi="Arial" w:cs="Arial"/>
                <w:sz w:val="16"/>
                <w:szCs w:val="16"/>
              </w:rPr>
              <w:t>2022-23 Forward estimate</w:t>
            </w:r>
            <w:r w:rsidRPr="003C1232">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4D1959D2" w14:textId="77777777" w:rsidR="00CB59AD" w:rsidRPr="003C1232" w:rsidRDefault="00CB59AD" w:rsidP="00CB59AD">
            <w:pPr>
              <w:spacing w:after="0" w:line="240" w:lineRule="auto"/>
              <w:jc w:val="right"/>
              <w:rPr>
                <w:rFonts w:ascii="Arial" w:hAnsi="Arial" w:cs="Arial"/>
                <w:sz w:val="16"/>
                <w:szCs w:val="16"/>
              </w:rPr>
            </w:pPr>
            <w:r w:rsidRPr="003C1232">
              <w:rPr>
                <w:rFonts w:ascii="Arial" w:hAnsi="Arial" w:cs="Arial"/>
                <w:sz w:val="16"/>
                <w:szCs w:val="16"/>
              </w:rPr>
              <w:t>2023-24 Forward estimate</w:t>
            </w:r>
            <w:r w:rsidRPr="003C1232">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6097BD3B" w14:textId="77777777" w:rsidR="00CB59AD" w:rsidRPr="003C1232" w:rsidRDefault="00CB59AD" w:rsidP="00CB59AD">
            <w:pPr>
              <w:spacing w:after="0" w:line="240" w:lineRule="auto"/>
              <w:jc w:val="right"/>
              <w:rPr>
                <w:rFonts w:ascii="Arial" w:hAnsi="Arial" w:cs="Arial"/>
                <w:sz w:val="16"/>
                <w:szCs w:val="16"/>
              </w:rPr>
            </w:pPr>
            <w:r w:rsidRPr="003C1232">
              <w:rPr>
                <w:rFonts w:ascii="Arial" w:hAnsi="Arial" w:cs="Arial"/>
                <w:sz w:val="16"/>
                <w:szCs w:val="16"/>
              </w:rPr>
              <w:t>2024-25</w:t>
            </w:r>
            <w:r w:rsidRPr="003C1232">
              <w:rPr>
                <w:rFonts w:ascii="Arial" w:hAnsi="Arial" w:cs="Arial"/>
                <w:sz w:val="16"/>
                <w:szCs w:val="16"/>
              </w:rPr>
              <w:br/>
              <w:t>Forward estimate</w:t>
            </w:r>
            <w:r w:rsidRPr="003C1232">
              <w:rPr>
                <w:rFonts w:ascii="Arial" w:hAnsi="Arial" w:cs="Arial"/>
                <w:sz w:val="16"/>
                <w:szCs w:val="16"/>
              </w:rPr>
              <w:br/>
              <w:t>$'000</w:t>
            </w:r>
          </w:p>
        </w:tc>
      </w:tr>
      <w:tr w:rsidR="00CB59AD" w:rsidRPr="003C1232" w14:paraId="4EF48689" w14:textId="77777777" w:rsidTr="00AD5F79">
        <w:trPr>
          <w:trHeight w:val="204"/>
        </w:trPr>
        <w:tc>
          <w:tcPr>
            <w:tcW w:w="3119" w:type="dxa"/>
            <w:tcBorders>
              <w:top w:val="nil"/>
              <w:left w:val="nil"/>
              <w:bottom w:val="nil"/>
              <w:right w:val="nil"/>
            </w:tcBorders>
            <w:shd w:val="clear" w:color="auto" w:fill="auto"/>
            <w:noWrap/>
            <w:vAlign w:val="center"/>
            <w:hideMark/>
          </w:tcPr>
          <w:p w14:paraId="0D0D2888" w14:textId="77777777" w:rsidR="00CB59AD" w:rsidRPr="003C1232" w:rsidRDefault="00CB59AD" w:rsidP="00CB59AD">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OPERATING ACTIVITIES</w:t>
            </w:r>
          </w:p>
        </w:tc>
        <w:tc>
          <w:tcPr>
            <w:tcW w:w="876" w:type="dxa"/>
            <w:tcBorders>
              <w:top w:val="nil"/>
              <w:left w:val="nil"/>
              <w:bottom w:val="nil"/>
              <w:right w:val="nil"/>
            </w:tcBorders>
            <w:shd w:val="clear" w:color="auto" w:fill="auto"/>
            <w:noWrap/>
            <w:vAlign w:val="bottom"/>
            <w:hideMark/>
          </w:tcPr>
          <w:p w14:paraId="4CD8B30F" w14:textId="77777777" w:rsidR="00CB59AD" w:rsidRPr="003C1232" w:rsidRDefault="00CB59AD" w:rsidP="00152419">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305A357F" w14:textId="77777777" w:rsidR="00CB59AD" w:rsidRPr="003C1232" w:rsidRDefault="00CB59AD" w:rsidP="00152419">
            <w:pPr>
              <w:spacing w:after="0" w:line="240" w:lineRule="auto"/>
              <w:jc w:val="right"/>
              <w:rPr>
                <w:rFonts w:ascii="Arial" w:hAnsi="Arial" w:cs="Arial"/>
                <w:color w:val="000000"/>
                <w:sz w:val="16"/>
                <w:szCs w:val="16"/>
              </w:rPr>
            </w:pPr>
            <w:r w:rsidRPr="003C1232">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0FC303F5" w14:textId="77777777" w:rsidR="00CB59AD" w:rsidRPr="003C1232" w:rsidRDefault="00CB59AD" w:rsidP="00152419">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77B9808" w14:textId="77777777" w:rsidR="00CB59AD" w:rsidRPr="003C1232" w:rsidRDefault="00CB59AD" w:rsidP="00152419">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6B84566D" w14:textId="77777777" w:rsidR="00CB59AD" w:rsidRPr="003C1232" w:rsidRDefault="00CB59AD" w:rsidP="00152419">
            <w:pPr>
              <w:spacing w:after="0" w:line="240" w:lineRule="auto"/>
              <w:jc w:val="right"/>
              <w:rPr>
                <w:rFonts w:ascii="Times New Roman" w:hAnsi="Times New Roman"/>
              </w:rPr>
            </w:pPr>
          </w:p>
        </w:tc>
      </w:tr>
      <w:tr w:rsidR="00CB59AD" w:rsidRPr="003C1232" w14:paraId="0B023B3D" w14:textId="77777777" w:rsidTr="00AD5F79">
        <w:trPr>
          <w:trHeight w:val="204"/>
        </w:trPr>
        <w:tc>
          <w:tcPr>
            <w:tcW w:w="3119" w:type="dxa"/>
            <w:tcBorders>
              <w:top w:val="nil"/>
              <w:left w:val="nil"/>
              <w:bottom w:val="nil"/>
              <w:right w:val="nil"/>
            </w:tcBorders>
            <w:shd w:val="clear" w:color="auto" w:fill="auto"/>
            <w:noWrap/>
            <w:vAlign w:val="center"/>
            <w:hideMark/>
          </w:tcPr>
          <w:p w14:paraId="15DA2830" w14:textId="77777777" w:rsidR="00CB59AD" w:rsidRPr="003C1232" w:rsidRDefault="00CB59AD" w:rsidP="00CB59AD">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Cash received</w:t>
            </w:r>
          </w:p>
        </w:tc>
        <w:tc>
          <w:tcPr>
            <w:tcW w:w="876" w:type="dxa"/>
            <w:tcBorders>
              <w:top w:val="nil"/>
              <w:left w:val="nil"/>
              <w:bottom w:val="nil"/>
              <w:right w:val="nil"/>
            </w:tcBorders>
            <w:shd w:val="clear" w:color="auto" w:fill="auto"/>
            <w:noWrap/>
            <w:vAlign w:val="bottom"/>
            <w:hideMark/>
          </w:tcPr>
          <w:p w14:paraId="6D447AEC" w14:textId="77777777" w:rsidR="00CB59AD" w:rsidRPr="003C1232" w:rsidRDefault="00CB59AD" w:rsidP="00152419">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772CA67E" w14:textId="77777777" w:rsidR="00CB59AD" w:rsidRPr="003C1232" w:rsidRDefault="00CB59AD" w:rsidP="00152419">
            <w:pPr>
              <w:spacing w:after="0" w:line="240" w:lineRule="auto"/>
              <w:jc w:val="right"/>
              <w:rPr>
                <w:rFonts w:ascii="Arial" w:hAnsi="Arial" w:cs="Arial"/>
                <w:color w:val="000000"/>
                <w:sz w:val="16"/>
                <w:szCs w:val="16"/>
              </w:rPr>
            </w:pPr>
            <w:r w:rsidRPr="003C1232">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06FC2C3C" w14:textId="77777777" w:rsidR="00CB59AD" w:rsidRPr="003C1232" w:rsidRDefault="00CB59AD" w:rsidP="00152419">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1339A209" w14:textId="77777777" w:rsidR="00CB59AD" w:rsidRPr="003C1232" w:rsidRDefault="00CB59AD" w:rsidP="00152419">
            <w:pPr>
              <w:spacing w:after="0" w:line="240" w:lineRule="auto"/>
              <w:jc w:val="right"/>
              <w:rPr>
                <w:rFonts w:ascii="Times New Roman" w:hAnsi="Times New Roman"/>
              </w:rPr>
            </w:pPr>
          </w:p>
        </w:tc>
        <w:tc>
          <w:tcPr>
            <w:tcW w:w="877" w:type="dxa"/>
            <w:tcBorders>
              <w:top w:val="nil"/>
              <w:left w:val="nil"/>
              <w:bottom w:val="nil"/>
              <w:right w:val="nil"/>
            </w:tcBorders>
            <w:shd w:val="clear" w:color="auto" w:fill="auto"/>
            <w:noWrap/>
            <w:vAlign w:val="bottom"/>
            <w:hideMark/>
          </w:tcPr>
          <w:p w14:paraId="2509FB81" w14:textId="77777777" w:rsidR="00CB59AD" w:rsidRPr="003C1232" w:rsidRDefault="00CB59AD" w:rsidP="00152419">
            <w:pPr>
              <w:spacing w:after="0" w:line="240" w:lineRule="auto"/>
              <w:jc w:val="right"/>
              <w:rPr>
                <w:rFonts w:ascii="Times New Roman" w:hAnsi="Times New Roman"/>
              </w:rPr>
            </w:pPr>
          </w:p>
        </w:tc>
      </w:tr>
      <w:tr w:rsidR="00CB59AD" w:rsidRPr="003C1232" w14:paraId="6FBB0621" w14:textId="77777777" w:rsidTr="00AD5F79">
        <w:trPr>
          <w:trHeight w:val="204"/>
        </w:trPr>
        <w:tc>
          <w:tcPr>
            <w:tcW w:w="3119" w:type="dxa"/>
            <w:tcBorders>
              <w:top w:val="nil"/>
              <w:left w:val="nil"/>
              <w:bottom w:val="nil"/>
              <w:right w:val="nil"/>
            </w:tcBorders>
            <w:shd w:val="clear" w:color="auto" w:fill="auto"/>
            <w:noWrap/>
            <w:vAlign w:val="center"/>
            <w:hideMark/>
          </w:tcPr>
          <w:p w14:paraId="6FA74F8D" w14:textId="77777777"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Receipts from Government</w:t>
            </w:r>
          </w:p>
        </w:tc>
        <w:tc>
          <w:tcPr>
            <w:tcW w:w="876" w:type="dxa"/>
            <w:tcBorders>
              <w:top w:val="nil"/>
              <w:left w:val="nil"/>
              <w:bottom w:val="nil"/>
              <w:right w:val="nil"/>
            </w:tcBorders>
            <w:shd w:val="clear" w:color="auto" w:fill="auto"/>
            <w:noWrap/>
            <w:vAlign w:val="bottom"/>
            <w:hideMark/>
          </w:tcPr>
          <w:p w14:paraId="00A3BD80"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29,560 </w:t>
            </w:r>
          </w:p>
        </w:tc>
        <w:tc>
          <w:tcPr>
            <w:tcW w:w="877" w:type="dxa"/>
            <w:tcBorders>
              <w:top w:val="nil"/>
              <w:left w:val="nil"/>
              <w:bottom w:val="nil"/>
              <w:right w:val="nil"/>
            </w:tcBorders>
            <w:shd w:val="clear" w:color="000000" w:fill="E6E6E6"/>
            <w:noWrap/>
            <w:vAlign w:val="bottom"/>
            <w:hideMark/>
          </w:tcPr>
          <w:p w14:paraId="24A992EC"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29,026 </w:t>
            </w:r>
          </w:p>
        </w:tc>
        <w:tc>
          <w:tcPr>
            <w:tcW w:w="877" w:type="dxa"/>
            <w:tcBorders>
              <w:top w:val="nil"/>
              <w:left w:val="nil"/>
              <w:bottom w:val="nil"/>
              <w:right w:val="nil"/>
            </w:tcBorders>
            <w:shd w:val="clear" w:color="auto" w:fill="auto"/>
            <w:noWrap/>
            <w:vAlign w:val="bottom"/>
            <w:hideMark/>
          </w:tcPr>
          <w:p w14:paraId="18761CCA"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30,643 </w:t>
            </w:r>
          </w:p>
        </w:tc>
        <w:tc>
          <w:tcPr>
            <w:tcW w:w="877" w:type="dxa"/>
            <w:tcBorders>
              <w:top w:val="nil"/>
              <w:left w:val="nil"/>
              <w:bottom w:val="nil"/>
              <w:right w:val="nil"/>
            </w:tcBorders>
            <w:shd w:val="clear" w:color="auto" w:fill="auto"/>
            <w:noWrap/>
            <w:vAlign w:val="bottom"/>
            <w:hideMark/>
          </w:tcPr>
          <w:p w14:paraId="063B2114"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30,969 </w:t>
            </w:r>
          </w:p>
        </w:tc>
        <w:tc>
          <w:tcPr>
            <w:tcW w:w="877" w:type="dxa"/>
            <w:tcBorders>
              <w:top w:val="nil"/>
              <w:left w:val="nil"/>
              <w:bottom w:val="nil"/>
              <w:right w:val="nil"/>
            </w:tcBorders>
            <w:shd w:val="clear" w:color="auto" w:fill="auto"/>
            <w:noWrap/>
            <w:vAlign w:val="bottom"/>
            <w:hideMark/>
          </w:tcPr>
          <w:p w14:paraId="2570B420"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30,491 </w:t>
            </w:r>
          </w:p>
        </w:tc>
      </w:tr>
      <w:tr w:rsidR="00CB59AD" w:rsidRPr="003C1232" w14:paraId="654E16E9" w14:textId="77777777" w:rsidTr="00AD5F79">
        <w:trPr>
          <w:trHeight w:val="204"/>
        </w:trPr>
        <w:tc>
          <w:tcPr>
            <w:tcW w:w="3119" w:type="dxa"/>
            <w:tcBorders>
              <w:top w:val="nil"/>
              <w:left w:val="nil"/>
              <w:bottom w:val="nil"/>
              <w:right w:val="nil"/>
            </w:tcBorders>
            <w:shd w:val="clear" w:color="auto" w:fill="auto"/>
            <w:vAlign w:val="center"/>
            <w:hideMark/>
          </w:tcPr>
          <w:p w14:paraId="74E701A8" w14:textId="06EF2369"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Sale of goods and rendering of</w:t>
            </w:r>
            <w:r w:rsidR="0080403E">
              <w:rPr>
                <w:rFonts w:ascii="Arial" w:hAnsi="Arial" w:cs="Arial"/>
                <w:color w:val="000000"/>
                <w:sz w:val="16"/>
                <w:szCs w:val="16"/>
              </w:rPr>
              <w:t xml:space="preserve"> </w:t>
            </w:r>
            <w:r w:rsidRPr="003C1232">
              <w:rPr>
                <w:rFonts w:ascii="Arial" w:hAnsi="Arial" w:cs="Arial"/>
                <w:color w:val="000000"/>
                <w:sz w:val="16"/>
                <w:szCs w:val="16"/>
              </w:rPr>
              <w:t>services</w:t>
            </w:r>
          </w:p>
        </w:tc>
        <w:tc>
          <w:tcPr>
            <w:tcW w:w="876" w:type="dxa"/>
            <w:tcBorders>
              <w:top w:val="nil"/>
              <w:left w:val="nil"/>
              <w:bottom w:val="nil"/>
              <w:right w:val="nil"/>
            </w:tcBorders>
            <w:shd w:val="clear" w:color="auto" w:fill="auto"/>
            <w:noWrap/>
            <w:vAlign w:val="bottom"/>
            <w:hideMark/>
          </w:tcPr>
          <w:p w14:paraId="5D376E35"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814 </w:t>
            </w:r>
          </w:p>
        </w:tc>
        <w:tc>
          <w:tcPr>
            <w:tcW w:w="877" w:type="dxa"/>
            <w:tcBorders>
              <w:top w:val="nil"/>
              <w:left w:val="nil"/>
              <w:bottom w:val="nil"/>
              <w:right w:val="nil"/>
            </w:tcBorders>
            <w:shd w:val="clear" w:color="000000" w:fill="E6E6E6"/>
            <w:noWrap/>
            <w:vAlign w:val="bottom"/>
            <w:hideMark/>
          </w:tcPr>
          <w:p w14:paraId="328BE1EA"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838 </w:t>
            </w:r>
          </w:p>
        </w:tc>
        <w:tc>
          <w:tcPr>
            <w:tcW w:w="877" w:type="dxa"/>
            <w:tcBorders>
              <w:top w:val="nil"/>
              <w:left w:val="nil"/>
              <w:bottom w:val="nil"/>
              <w:right w:val="nil"/>
            </w:tcBorders>
            <w:shd w:val="clear" w:color="auto" w:fill="auto"/>
            <w:noWrap/>
            <w:vAlign w:val="bottom"/>
            <w:hideMark/>
          </w:tcPr>
          <w:p w14:paraId="3B668EBF"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818 </w:t>
            </w:r>
          </w:p>
        </w:tc>
        <w:tc>
          <w:tcPr>
            <w:tcW w:w="877" w:type="dxa"/>
            <w:tcBorders>
              <w:top w:val="nil"/>
              <w:left w:val="nil"/>
              <w:bottom w:val="nil"/>
              <w:right w:val="nil"/>
            </w:tcBorders>
            <w:shd w:val="clear" w:color="auto" w:fill="auto"/>
            <w:noWrap/>
            <w:vAlign w:val="bottom"/>
            <w:hideMark/>
          </w:tcPr>
          <w:p w14:paraId="687F0CD3"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815 </w:t>
            </w:r>
          </w:p>
        </w:tc>
        <w:tc>
          <w:tcPr>
            <w:tcW w:w="877" w:type="dxa"/>
            <w:tcBorders>
              <w:top w:val="nil"/>
              <w:left w:val="nil"/>
              <w:bottom w:val="nil"/>
              <w:right w:val="nil"/>
            </w:tcBorders>
            <w:shd w:val="clear" w:color="auto" w:fill="auto"/>
            <w:noWrap/>
            <w:vAlign w:val="bottom"/>
            <w:hideMark/>
          </w:tcPr>
          <w:p w14:paraId="6D1BF9E1"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815 </w:t>
            </w:r>
          </w:p>
        </w:tc>
      </w:tr>
      <w:tr w:rsidR="00CB59AD" w:rsidRPr="003C1232" w14:paraId="21CC64F1" w14:textId="77777777" w:rsidTr="00AD5F79">
        <w:trPr>
          <w:trHeight w:val="204"/>
        </w:trPr>
        <w:tc>
          <w:tcPr>
            <w:tcW w:w="3119" w:type="dxa"/>
            <w:tcBorders>
              <w:top w:val="nil"/>
              <w:left w:val="nil"/>
              <w:bottom w:val="nil"/>
              <w:right w:val="nil"/>
            </w:tcBorders>
            <w:shd w:val="clear" w:color="auto" w:fill="auto"/>
            <w:noWrap/>
            <w:vAlign w:val="center"/>
            <w:hideMark/>
          </w:tcPr>
          <w:p w14:paraId="7FD1D151" w14:textId="77777777"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Interest</w:t>
            </w:r>
          </w:p>
        </w:tc>
        <w:tc>
          <w:tcPr>
            <w:tcW w:w="876" w:type="dxa"/>
            <w:tcBorders>
              <w:top w:val="nil"/>
              <w:left w:val="nil"/>
              <w:bottom w:val="nil"/>
              <w:right w:val="nil"/>
            </w:tcBorders>
            <w:shd w:val="clear" w:color="auto" w:fill="auto"/>
            <w:noWrap/>
            <w:vAlign w:val="bottom"/>
            <w:hideMark/>
          </w:tcPr>
          <w:p w14:paraId="2F58071D"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74 </w:t>
            </w:r>
          </w:p>
        </w:tc>
        <w:tc>
          <w:tcPr>
            <w:tcW w:w="877" w:type="dxa"/>
            <w:tcBorders>
              <w:top w:val="nil"/>
              <w:left w:val="nil"/>
              <w:bottom w:val="nil"/>
              <w:right w:val="nil"/>
            </w:tcBorders>
            <w:shd w:val="clear" w:color="000000" w:fill="E6E6E6"/>
            <w:noWrap/>
            <w:vAlign w:val="bottom"/>
            <w:hideMark/>
          </w:tcPr>
          <w:p w14:paraId="5F15B295"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200 </w:t>
            </w:r>
          </w:p>
        </w:tc>
        <w:tc>
          <w:tcPr>
            <w:tcW w:w="877" w:type="dxa"/>
            <w:tcBorders>
              <w:top w:val="nil"/>
              <w:left w:val="nil"/>
              <w:bottom w:val="nil"/>
              <w:right w:val="nil"/>
            </w:tcBorders>
            <w:shd w:val="clear" w:color="auto" w:fill="auto"/>
            <w:noWrap/>
            <w:vAlign w:val="bottom"/>
            <w:hideMark/>
          </w:tcPr>
          <w:p w14:paraId="5E70F02B"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200 </w:t>
            </w:r>
          </w:p>
        </w:tc>
        <w:tc>
          <w:tcPr>
            <w:tcW w:w="877" w:type="dxa"/>
            <w:tcBorders>
              <w:top w:val="nil"/>
              <w:left w:val="nil"/>
              <w:bottom w:val="nil"/>
              <w:right w:val="nil"/>
            </w:tcBorders>
            <w:shd w:val="clear" w:color="auto" w:fill="auto"/>
            <w:noWrap/>
            <w:vAlign w:val="bottom"/>
            <w:hideMark/>
          </w:tcPr>
          <w:p w14:paraId="2DBA8CFF"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200 </w:t>
            </w:r>
          </w:p>
        </w:tc>
        <w:tc>
          <w:tcPr>
            <w:tcW w:w="877" w:type="dxa"/>
            <w:tcBorders>
              <w:top w:val="nil"/>
              <w:left w:val="nil"/>
              <w:bottom w:val="nil"/>
              <w:right w:val="nil"/>
            </w:tcBorders>
            <w:shd w:val="clear" w:color="auto" w:fill="auto"/>
            <w:noWrap/>
            <w:vAlign w:val="bottom"/>
            <w:hideMark/>
          </w:tcPr>
          <w:p w14:paraId="68BFD146"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200 </w:t>
            </w:r>
          </w:p>
        </w:tc>
      </w:tr>
      <w:tr w:rsidR="00CB59AD" w:rsidRPr="003C1232" w14:paraId="2EF5948A" w14:textId="77777777" w:rsidTr="00AD5F79">
        <w:trPr>
          <w:trHeight w:val="204"/>
        </w:trPr>
        <w:tc>
          <w:tcPr>
            <w:tcW w:w="3119" w:type="dxa"/>
            <w:tcBorders>
              <w:top w:val="nil"/>
              <w:left w:val="nil"/>
              <w:bottom w:val="nil"/>
              <w:right w:val="nil"/>
            </w:tcBorders>
            <w:shd w:val="clear" w:color="auto" w:fill="auto"/>
            <w:noWrap/>
            <w:vAlign w:val="center"/>
            <w:hideMark/>
          </w:tcPr>
          <w:p w14:paraId="3949245A" w14:textId="77777777"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Net GST received</w:t>
            </w:r>
          </w:p>
        </w:tc>
        <w:tc>
          <w:tcPr>
            <w:tcW w:w="876" w:type="dxa"/>
            <w:tcBorders>
              <w:top w:val="nil"/>
              <w:left w:val="nil"/>
              <w:bottom w:val="nil"/>
              <w:right w:val="nil"/>
            </w:tcBorders>
            <w:shd w:val="clear" w:color="auto" w:fill="auto"/>
            <w:noWrap/>
            <w:vAlign w:val="bottom"/>
            <w:hideMark/>
          </w:tcPr>
          <w:p w14:paraId="46047061"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52 </w:t>
            </w:r>
          </w:p>
        </w:tc>
        <w:tc>
          <w:tcPr>
            <w:tcW w:w="877" w:type="dxa"/>
            <w:tcBorders>
              <w:top w:val="nil"/>
              <w:left w:val="nil"/>
              <w:bottom w:val="nil"/>
              <w:right w:val="nil"/>
            </w:tcBorders>
            <w:shd w:val="clear" w:color="000000" w:fill="E6E6E6"/>
            <w:noWrap/>
            <w:vAlign w:val="bottom"/>
            <w:hideMark/>
          </w:tcPr>
          <w:p w14:paraId="3358115B"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1,831 </w:t>
            </w:r>
          </w:p>
        </w:tc>
        <w:tc>
          <w:tcPr>
            <w:tcW w:w="877" w:type="dxa"/>
            <w:tcBorders>
              <w:top w:val="nil"/>
              <w:left w:val="nil"/>
              <w:bottom w:val="nil"/>
              <w:right w:val="nil"/>
            </w:tcBorders>
            <w:shd w:val="clear" w:color="auto" w:fill="auto"/>
            <w:noWrap/>
            <w:vAlign w:val="bottom"/>
            <w:hideMark/>
          </w:tcPr>
          <w:p w14:paraId="549E9AE9"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2,313 </w:t>
            </w:r>
          </w:p>
        </w:tc>
        <w:tc>
          <w:tcPr>
            <w:tcW w:w="877" w:type="dxa"/>
            <w:tcBorders>
              <w:top w:val="nil"/>
              <w:left w:val="nil"/>
              <w:bottom w:val="nil"/>
              <w:right w:val="nil"/>
            </w:tcBorders>
            <w:shd w:val="clear" w:color="auto" w:fill="auto"/>
            <w:noWrap/>
            <w:vAlign w:val="bottom"/>
            <w:hideMark/>
          </w:tcPr>
          <w:p w14:paraId="63A9C817"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2,256 </w:t>
            </w:r>
          </w:p>
        </w:tc>
        <w:tc>
          <w:tcPr>
            <w:tcW w:w="877" w:type="dxa"/>
            <w:tcBorders>
              <w:top w:val="nil"/>
              <w:left w:val="nil"/>
              <w:bottom w:val="nil"/>
              <w:right w:val="nil"/>
            </w:tcBorders>
            <w:shd w:val="clear" w:color="auto" w:fill="auto"/>
            <w:noWrap/>
            <w:vAlign w:val="bottom"/>
            <w:hideMark/>
          </w:tcPr>
          <w:p w14:paraId="036E0655"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1,750 </w:t>
            </w:r>
          </w:p>
        </w:tc>
      </w:tr>
      <w:tr w:rsidR="00CB59AD" w:rsidRPr="003C1232" w14:paraId="576EC2F1" w14:textId="77777777" w:rsidTr="00AD5F79">
        <w:trPr>
          <w:trHeight w:val="204"/>
        </w:trPr>
        <w:tc>
          <w:tcPr>
            <w:tcW w:w="3119" w:type="dxa"/>
            <w:tcBorders>
              <w:top w:val="nil"/>
              <w:left w:val="nil"/>
              <w:bottom w:val="nil"/>
              <w:right w:val="nil"/>
            </w:tcBorders>
            <w:shd w:val="clear" w:color="auto" w:fill="auto"/>
            <w:noWrap/>
            <w:vAlign w:val="center"/>
            <w:hideMark/>
          </w:tcPr>
          <w:p w14:paraId="1E504BAD" w14:textId="77777777"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 xml:space="preserve">Other </w:t>
            </w:r>
          </w:p>
        </w:tc>
        <w:tc>
          <w:tcPr>
            <w:tcW w:w="876" w:type="dxa"/>
            <w:tcBorders>
              <w:top w:val="nil"/>
              <w:left w:val="nil"/>
              <w:bottom w:val="nil"/>
              <w:right w:val="nil"/>
            </w:tcBorders>
            <w:shd w:val="clear" w:color="auto" w:fill="auto"/>
            <w:noWrap/>
            <w:vAlign w:val="bottom"/>
            <w:hideMark/>
          </w:tcPr>
          <w:p w14:paraId="0973E1A6"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911 </w:t>
            </w:r>
          </w:p>
        </w:tc>
        <w:tc>
          <w:tcPr>
            <w:tcW w:w="877" w:type="dxa"/>
            <w:tcBorders>
              <w:top w:val="nil"/>
              <w:left w:val="nil"/>
              <w:bottom w:val="nil"/>
              <w:right w:val="nil"/>
            </w:tcBorders>
            <w:shd w:val="clear" w:color="000000" w:fill="E6E6E6"/>
            <w:noWrap/>
            <w:vAlign w:val="bottom"/>
            <w:hideMark/>
          </w:tcPr>
          <w:p w14:paraId="3DA460D1"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804 </w:t>
            </w:r>
          </w:p>
        </w:tc>
        <w:tc>
          <w:tcPr>
            <w:tcW w:w="877" w:type="dxa"/>
            <w:tcBorders>
              <w:top w:val="nil"/>
              <w:left w:val="nil"/>
              <w:bottom w:val="nil"/>
              <w:right w:val="nil"/>
            </w:tcBorders>
            <w:shd w:val="clear" w:color="auto" w:fill="auto"/>
            <w:noWrap/>
            <w:vAlign w:val="bottom"/>
            <w:hideMark/>
          </w:tcPr>
          <w:p w14:paraId="6622FEA6"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785 </w:t>
            </w:r>
          </w:p>
        </w:tc>
        <w:tc>
          <w:tcPr>
            <w:tcW w:w="877" w:type="dxa"/>
            <w:tcBorders>
              <w:top w:val="nil"/>
              <w:left w:val="nil"/>
              <w:bottom w:val="nil"/>
              <w:right w:val="nil"/>
            </w:tcBorders>
            <w:shd w:val="clear" w:color="auto" w:fill="auto"/>
            <w:noWrap/>
            <w:vAlign w:val="bottom"/>
            <w:hideMark/>
          </w:tcPr>
          <w:p w14:paraId="67902681"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785 </w:t>
            </w:r>
          </w:p>
        </w:tc>
        <w:tc>
          <w:tcPr>
            <w:tcW w:w="877" w:type="dxa"/>
            <w:tcBorders>
              <w:top w:val="nil"/>
              <w:left w:val="nil"/>
              <w:bottom w:val="nil"/>
              <w:right w:val="nil"/>
            </w:tcBorders>
            <w:shd w:val="clear" w:color="auto" w:fill="auto"/>
            <w:noWrap/>
            <w:vAlign w:val="bottom"/>
            <w:hideMark/>
          </w:tcPr>
          <w:p w14:paraId="20221AE7"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785 </w:t>
            </w:r>
          </w:p>
        </w:tc>
      </w:tr>
      <w:tr w:rsidR="00CB59AD" w:rsidRPr="003C1232" w14:paraId="580D098F" w14:textId="77777777" w:rsidTr="00AD5F79">
        <w:trPr>
          <w:trHeight w:val="204"/>
        </w:trPr>
        <w:tc>
          <w:tcPr>
            <w:tcW w:w="3119" w:type="dxa"/>
            <w:tcBorders>
              <w:top w:val="nil"/>
              <w:left w:val="nil"/>
              <w:bottom w:val="nil"/>
              <w:right w:val="nil"/>
            </w:tcBorders>
            <w:shd w:val="clear" w:color="auto" w:fill="auto"/>
            <w:noWrap/>
            <w:vAlign w:val="center"/>
            <w:hideMark/>
          </w:tcPr>
          <w:p w14:paraId="4F398C23" w14:textId="77777777" w:rsidR="00CB59AD" w:rsidRPr="003C1232" w:rsidRDefault="00CB59AD" w:rsidP="00CB59AD">
            <w:pPr>
              <w:spacing w:after="0" w:line="240" w:lineRule="auto"/>
              <w:jc w:val="left"/>
              <w:rPr>
                <w:rFonts w:ascii="Arial" w:hAnsi="Arial" w:cs="Arial"/>
                <w:b/>
                <w:bCs/>
                <w:i/>
                <w:iCs/>
                <w:color w:val="000000"/>
                <w:sz w:val="16"/>
                <w:szCs w:val="16"/>
              </w:rPr>
            </w:pPr>
            <w:r w:rsidRPr="003C1232">
              <w:rPr>
                <w:rFonts w:ascii="Arial" w:hAnsi="Arial" w:cs="Arial"/>
                <w:b/>
                <w:bCs/>
                <w:i/>
                <w:iCs/>
                <w:color w:val="000000"/>
                <w:sz w:val="16"/>
                <w:szCs w:val="16"/>
              </w:rPr>
              <w:t>Total cash received</w:t>
            </w:r>
          </w:p>
        </w:tc>
        <w:tc>
          <w:tcPr>
            <w:tcW w:w="876" w:type="dxa"/>
            <w:tcBorders>
              <w:top w:val="single" w:sz="4" w:space="0" w:color="000000"/>
              <w:left w:val="nil"/>
              <w:bottom w:val="single" w:sz="4" w:space="0" w:color="000000"/>
              <w:right w:val="nil"/>
            </w:tcBorders>
            <w:shd w:val="clear" w:color="auto" w:fill="auto"/>
            <w:noWrap/>
            <w:vAlign w:val="bottom"/>
            <w:hideMark/>
          </w:tcPr>
          <w:p w14:paraId="6DC20CD4"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31,411 </w:t>
            </w:r>
          </w:p>
        </w:tc>
        <w:tc>
          <w:tcPr>
            <w:tcW w:w="877" w:type="dxa"/>
            <w:tcBorders>
              <w:top w:val="single" w:sz="4" w:space="0" w:color="000000"/>
              <w:left w:val="nil"/>
              <w:bottom w:val="single" w:sz="4" w:space="0" w:color="000000"/>
              <w:right w:val="nil"/>
            </w:tcBorders>
            <w:shd w:val="clear" w:color="000000" w:fill="E6E6E6"/>
            <w:noWrap/>
            <w:vAlign w:val="bottom"/>
            <w:hideMark/>
          </w:tcPr>
          <w:p w14:paraId="4873135B"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32,699 </w:t>
            </w:r>
          </w:p>
        </w:tc>
        <w:tc>
          <w:tcPr>
            <w:tcW w:w="877" w:type="dxa"/>
            <w:tcBorders>
              <w:top w:val="single" w:sz="4" w:space="0" w:color="000000"/>
              <w:left w:val="nil"/>
              <w:bottom w:val="single" w:sz="4" w:space="0" w:color="000000"/>
              <w:right w:val="nil"/>
            </w:tcBorders>
            <w:shd w:val="clear" w:color="auto" w:fill="auto"/>
            <w:noWrap/>
            <w:vAlign w:val="bottom"/>
            <w:hideMark/>
          </w:tcPr>
          <w:p w14:paraId="01BA6B18"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34,759 </w:t>
            </w:r>
          </w:p>
        </w:tc>
        <w:tc>
          <w:tcPr>
            <w:tcW w:w="877" w:type="dxa"/>
            <w:tcBorders>
              <w:top w:val="single" w:sz="4" w:space="0" w:color="000000"/>
              <w:left w:val="nil"/>
              <w:bottom w:val="single" w:sz="4" w:space="0" w:color="000000"/>
              <w:right w:val="nil"/>
            </w:tcBorders>
            <w:shd w:val="clear" w:color="auto" w:fill="auto"/>
            <w:noWrap/>
            <w:vAlign w:val="bottom"/>
            <w:hideMark/>
          </w:tcPr>
          <w:p w14:paraId="67AB33CF"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35,025 </w:t>
            </w:r>
          </w:p>
        </w:tc>
        <w:tc>
          <w:tcPr>
            <w:tcW w:w="877" w:type="dxa"/>
            <w:tcBorders>
              <w:top w:val="single" w:sz="4" w:space="0" w:color="000000"/>
              <w:left w:val="nil"/>
              <w:bottom w:val="single" w:sz="4" w:space="0" w:color="000000"/>
              <w:right w:val="nil"/>
            </w:tcBorders>
            <w:shd w:val="clear" w:color="auto" w:fill="auto"/>
            <w:noWrap/>
            <w:vAlign w:val="bottom"/>
            <w:hideMark/>
          </w:tcPr>
          <w:p w14:paraId="2DEF7FF8"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34,041 </w:t>
            </w:r>
          </w:p>
        </w:tc>
      </w:tr>
      <w:tr w:rsidR="00CB59AD" w:rsidRPr="003C1232" w14:paraId="70875627" w14:textId="77777777" w:rsidTr="00AD5F79">
        <w:trPr>
          <w:trHeight w:val="204"/>
        </w:trPr>
        <w:tc>
          <w:tcPr>
            <w:tcW w:w="3119" w:type="dxa"/>
            <w:tcBorders>
              <w:top w:val="nil"/>
              <w:left w:val="nil"/>
              <w:bottom w:val="nil"/>
              <w:right w:val="nil"/>
            </w:tcBorders>
            <w:shd w:val="clear" w:color="auto" w:fill="auto"/>
            <w:noWrap/>
            <w:vAlign w:val="center"/>
            <w:hideMark/>
          </w:tcPr>
          <w:p w14:paraId="0734A332" w14:textId="77777777" w:rsidR="00CB59AD" w:rsidRPr="003C1232" w:rsidRDefault="00CB59AD" w:rsidP="00CB59AD">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Cash used</w:t>
            </w:r>
          </w:p>
        </w:tc>
        <w:tc>
          <w:tcPr>
            <w:tcW w:w="876" w:type="dxa"/>
            <w:tcBorders>
              <w:top w:val="nil"/>
              <w:left w:val="nil"/>
              <w:bottom w:val="nil"/>
              <w:right w:val="nil"/>
            </w:tcBorders>
            <w:shd w:val="clear" w:color="auto" w:fill="auto"/>
            <w:noWrap/>
            <w:vAlign w:val="bottom"/>
            <w:hideMark/>
          </w:tcPr>
          <w:p w14:paraId="09656C64" w14:textId="77777777" w:rsidR="00CB59AD" w:rsidRPr="00294FA6" w:rsidRDefault="00CB59AD" w:rsidP="00152419">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12FBE6C9"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64D1782C" w14:textId="77777777" w:rsidR="00CB59AD" w:rsidRPr="00294FA6" w:rsidRDefault="00CB59AD" w:rsidP="00152419">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2FC10F1" w14:textId="77777777" w:rsidR="00CB59AD" w:rsidRPr="00294FA6" w:rsidRDefault="00CB59AD" w:rsidP="00152419">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2B22C90A" w14:textId="77777777" w:rsidR="00CB59AD" w:rsidRPr="00294FA6" w:rsidRDefault="00CB59AD" w:rsidP="00152419">
            <w:pPr>
              <w:spacing w:after="0" w:line="240" w:lineRule="auto"/>
              <w:jc w:val="right"/>
              <w:rPr>
                <w:rFonts w:ascii="Times New Roman" w:hAnsi="Times New Roman"/>
                <w:sz w:val="16"/>
                <w:szCs w:val="16"/>
              </w:rPr>
            </w:pPr>
          </w:p>
        </w:tc>
      </w:tr>
      <w:tr w:rsidR="00CB59AD" w:rsidRPr="003C1232" w14:paraId="354C8CC7" w14:textId="77777777" w:rsidTr="00AD5F79">
        <w:trPr>
          <w:trHeight w:val="204"/>
        </w:trPr>
        <w:tc>
          <w:tcPr>
            <w:tcW w:w="3119" w:type="dxa"/>
            <w:tcBorders>
              <w:top w:val="nil"/>
              <w:left w:val="nil"/>
              <w:bottom w:val="nil"/>
              <w:right w:val="nil"/>
            </w:tcBorders>
            <w:shd w:val="clear" w:color="auto" w:fill="auto"/>
            <w:noWrap/>
            <w:vAlign w:val="center"/>
            <w:hideMark/>
          </w:tcPr>
          <w:p w14:paraId="130107FD" w14:textId="77777777"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Employees</w:t>
            </w:r>
          </w:p>
        </w:tc>
        <w:tc>
          <w:tcPr>
            <w:tcW w:w="876" w:type="dxa"/>
            <w:tcBorders>
              <w:top w:val="nil"/>
              <w:left w:val="nil"/>
              <w:bottom w:val="nil"/>
              <w:right w:val="nil"/>
            </w:tcBorders>
            <w:shd w:val="clear" w:color="auto" w:fill="auto"/>
            <w:noWrap/>
            <w:vAlign w:val="bottom"/>
            <w:hideMark/>
          </w:tcPr>
          <w:p w14:paraId="299C2517"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15,578 </w:t>
            </w:r>
          </w:p>
        </w:tc>
        <w:tc>
          <w:tcPr>
            <w:tcW w:w="877" w:type="dxa"/>
            <w:tcBorders>
              <w:top w:val="nil"/>
              <w:left w:val="nil"/>
              <w:bottom w:val="nil"/>
              <w:right w:val="nil"/>
            </w:tcBorders>
            <w:shd w:val="clear" w:color="000000" w:fill="E6E6E6"/>
            <w:noWrap/>
            <w:vAlign w:val="bottom"/>
            <w:hideMark/>
          </w:tcPr>
          <w:p w14:paraId="6647B553"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17,718 </w:t>
            </w:r>
          </w:p>
        </w:tc>
        <w:tc>
          <w:tcPr>
            <w:tcW w:w="877" w:type="dxa"/>
            <w:tcBorders>
              <w:top w:val="nil"/>
              <w:left w:val="nil"/>
              <w:bottom w:val="nil"/>
              <w:right w:val="nil"/>
            </w:tcBorders>
            <w:shd w:val="clear" w:color="auto" w:fill="auto"/>
            <w:noWrap/>
            <w:vAlign w:val="bottom"/>
            <w:hideMark/>
          </w:tcPr>
          <w:p w14:paraId="6804266A"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18,459 </w:t>
            </w:r>
          </w:p>
        </w:tc>
        <w:tc>
          <w:tcPr>
            <w:tcW w:w="877" w:type="dxa"/>
            <w:tcBorders>
              <w:top w:val="nil"/>
              <w:left w:val="nil"/>
              <w:bottom w:val="nil"/>
              <w:right w:val="nil"/>
            </w:tcBorders>
            <w:shd w:val="clear" w:color="auto" w:fill="auto"/>
            <w:noWrap/>
            <w:vAlign w:val="bottom"/>
            <w:hideMark/>
          </w:tcPr>
          <w:p w14:paraId="0242949E"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18,769 </w:t>
            </w:r>
          </w:p>
        </w:tc>
        <w:tc>
          <w:tcPr>
            <w:tcW w:w="877" w:type="dxa"/>
            <w:tcBorders>
              <w:top w:val="nil"/>
              <w:left w:val="nil"/>
              <w:bottom w:val="nil"/>
              <w:right w:val="nil"/>
            </w:tcBorders>
            <w:shd w:val="clear" w:color="auto" w:fill="auto"/>
            <w:noWrap/>
            <w:vAlign w:val="bottom"/>
            <w:hideMark/>
          </w:tcPr>
          <w:p w14:paraId="4F4C1849"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18,392 </w:t>
            </w:r>
          </w:p>
        </w:tc>
      </w:tr>
      <w:tr w:rsidR="00CB59AD" w:rsidRPr="003C1232" w14:paraId="091D0094" w14:textId="77777777" w:rsidTr="00AD5F79">
        <w:trPr>
          <w:trHeight w:val="204"/>
        </w:trPr>
        <w:tc>
          <w:tcPr>
            <w:tcW w:w="3119" w:type="dxa"/>
            <w:tcBorders>
              <w:top w:val="nil"/>
              <w:left w:val="nil"/>
              <w:bottom w:val="nil"/>
              <w:right w:val="nil"/>
            </w:tcBorders>
            <w:shd w:val="clear" w:color="auto" w:fill="auto"/>
            <w:noWrap/>
            <w:vAlign w:val="center"/>
            <w:hideMark/>
          </w:tcPr>
          <w:p w14:paraId="54C17A1F" w14:textId="77777777"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Suppliers</w:t>
            </w:r>
          </w:p>
        </w:tc>
        <w:tc>
          <w:tcPr>
            <w:tcW w:w="876" w:type="dxa"/>
            <w:tcBorders>
              <w:top w:val="nil"/>
              <w:left w:val="nil"/>
              <w:bottom w:val="nil"/>
              <w:right w:val="nil"/>
            </w:tcBorders>
            <w:shd w:val="clear" w:color="auto" w:fill="auto"/>
            <w:noWrap/>
            <w:vAlign w:val="bottom"/>
            <w:hideMark/>
          </w:tcPr>
          <w:p w14:paraId="1D76CA36"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7,204 </w:t>
            </w:r>
          </w:p>
        </w:tc>
        <w:tc>
          <w:tcPr>
            <w:tcW w:w="877" w:type="dxa"/>
            <w:tcBorders>
              <w:top w:val="nil"/>
              <w:left w:val="nil"/>
              <w:bottom w:val="nil"/>
              <w:right w:val="nil"/>
            </w:tcBorders>
            <w:shd w:val="clear" w:color="000000" w:fill="E6E6E6"/>
            <w:noWrap/>
            <w:vAlign w:val="bottom"/>
            <w:hideMark/>
          </w:tcPr>
          <w:p w14:paraId="71383003"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12,662 </w:t>
            </w:r>
          </w:p>
        </w:tc>
        <w:tc>
          <w:tcPr>
            <w:tcW w:w="877" w:type="dxa"/>
            <w:tcBorders>
              <w:top w:val="nil"/>
              <w:left w:val="nil"/>
              <w:bottom w:val="nil"/>
              <w:right w:val="nil"/>
            </w:tcBorders>
            <w:shd w:val="clear" w:color="auto" w:fill="auto"/>
            <w:noWrap/>
            <w:vAlign w:val="bottom"/>
            <w:hideMark/>
          </w:tcPr>
          <w:p w14:paraId="1396DE5A"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14,200 </w:t>
            </w:r>
          </w:p>
        </w:tc>
        <w:tc>
          <w:tcPr>
            <w:tcW w:w="877" w:type="dxa"/>
            <w:tcBorders>
              <w:top w:val="nil"/>
              <w:left w:val="nil"/>
              <w:bottom w:val="nil"/>
              <w:right w:val="nil"/>
            </w:tcBorders>
            <w:shd w:val="clear" w:color="auto" w:fill="auto"/>
            <w:noWrap/>
            <w:vAlign w:val="bottom"/>
            <w:hideMark/>
          </w:tcPr>
          <w:p w14:paraId="1DDCCE88"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14,555 </w:t>
            </w:r>
          </w:p>
        </w:tc>
        <w:tc>
          <w:tcPr>
            <w:tcW w:w="877" w:type="dxa"/>
            <w:tcBorders>
              <w:top w:val="nil"/>
              <w:left w:val="nil"/>
              <w:bottom w:val="nil"/>
              <w:right w:val="nil"/>
            </w:tcBorders>
            <w:shd w:val="clear" w:color="auto" w:fill="auto"/>
            <w:noWrap/>
            <w:vAlign w:val="bottom"/>
            <w:hideMark/>
          </w:tcPr>
          <w:p w14:paraId="3AEBF4D9"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13,877 </w:t>
            </w:r>
          </w:p>
        </w:tc>
      </w:tr>
      <w:tr w:rsidR="00CB59AD" w:rsidRPr="003C1232" w14:paraId="396D8FAB" w14:textId="77777777" w:rsidTr="00AD5F79">
        <w:trPr>
          <w:trHeight w:val="204"/>
        </w:trPr>
        <w:tc>
          <w:tcPr>
            <w:tcW w:w="3119" w:type="dxa"/>
            <w:tcBorders>
              <w:top w:val="nil"/>
              <w:left w:val="nil"/>
              <w:bottom w:val="nil"/>
              <w:right w:val="nil"/>
            </w:tcBorders>
            <w:shd w:val="clear" w:color="auto" w:fill="auto"/>
            <w:noWrap/>
            <w:vAlign w:val="center"/>
            <w:hideMark/>
          </w:tcPr>
          <w:p w14:paraId="38ABD5C7" w14:textId="77777777" w:rsidR="00CB59AD" w:rsidRPr="0080403E" w:rsidRDefault="00CB59AD" w:rsidP="0080403E">
            <w:pPr>
              <w:spacing w:after="0" w:line="240" w:lineRule="auto"/>
              <w:ind w:left="113"/>
              <w:jc w:val="left"/>
              <w:rPr>
                <w:rFonts w:ascii="Arial" w:hAnsi="Arial" w:cs="Arial"/>
                <w:color w:val="000000"/>
                <w:sz w:val="16"/>
                <w:szCs w:val="16"/>
              </w:rPr>
            </w:pPr>
            <w:r w:rsidRPr="0080403E">
              <w:rPr>
                <w:rFonts w:ascii="Arial" w:hAnsi="Arial" w:cs="Arial"/>
                <w:color w:val="000000"/>
                <w:sz w:val="16"/>
                <w:szCs w:val="16"/>
              </w:rPr>
              <w:t>Net GST paid</w:t>
            </w:r>
          </w:p>
        </w:tc>
        <w:tc>
          <w:tcPr>
            <w:tcW w:w="876" w:type="dxa"/>
            <w:tcBorders>
              <w:top w:val="nil"/>
              <w:left w:val="nil"/>
              <w:bottom w:val="nil"/>
              <w:right w:val="nil"/>
            </w:tcBorders>
            <w:shd w:val="clear" w:color="auto" w:fill="auto"/>
            <w:noWrap/>
            <w:vAlign w:val="bottom"/>
            <w:hideMark/>
          </w:tcPr>
          <w:p w14:paraId="33350CFC"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000000" w:fill="E6E6E6"/>
            <w:noWrap/>
            <w:vAlign w:val="bottom"/>
            <w:hideMark/>
          </w:tcPr>
          <w:p w14:paraId="153FE349"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116 </w:t>
            </w:r>
          </w:p>
        </w:tc>
        <w:tc>
          <w:tcPr>
            <w:tcW w:w="877" w:type="dxa"/>
            <w:tcBorders>
              <w:top w:val="nil"/>
              <w:left w:val="nil"/>
              <w:bottom w:val="nil"/>
              <w:right w:val="nil"/>
            </w:tcBorders>
            <w:shd w:val="clear" w:color="auto" w:fill="auto"/>
            <w:noWrap/>
            <w:vAlign w:val="bottom"/>
            <w:hideMark/>
          </w:tcPr>
          <w:p w14:paraId="4EFF22CA"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77 </w:t>
            </w:r>
          </w:p>
        </w:tc>
        <w:tc>
          <w:tcPr>
            <w:tcW w:w="877" w:type="dxa"/>
            <w:tcBorders>
              <w:top w:val="nil"/>
              <w:left w:val="nil"/>
              <w:bottom w:val="nil"/>
              <w:right w:val="nil"/>
            </w:tcBorders>
            <w:shd w:val="clear" w:color="auto" w:fill="auto"/>
            <w:noWrap/>
            <w:vAlign w:val="bottom"/>
            <w:hideMark/>
          </w:tcPr>
          <w:p w14:paraId="2CE66CDC"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74 </w:t>
            </w:r>
          </w:p>
        </w:tc>
        <w:tc>
          <w:tcPr>
            <w:tcW w:w="877" w:type="dxa"/>
            <w:tcBorders>
              <w:top w:val="nil"/>
              <w:left w:val="nil"/>
              <w:bottom w:val="nil"/>
              <w:right w:val="nil"/>
            </w:tcBorders>
            <w:shd w:val="clear" w:color="auto" w:fill="auto"/>
            <w:noWrap/>
            <w:vAlign w:val="bottom"/>
            <w:hideMark/>
          </w:tcPr>
          <w:p w14:paraId="1EEB06B8"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74 </w:t>
            </w:r>
          </w:p>
        </w:tc>
      </w:tr>
      <w:tr w:rsidR="00CB59AD" w:rsidRPr="003C1232" w14:paraId="27299311" w14:textId="77777777" w:rsidTr="00AD5F79">
        <w:trPr>
          <w:trHeight w:val="204"/>
        </w:trPr>
        <w:tc>
          <w:tcPr>
            <w:tcW w:w="3119" w:type="dxa"/>
            <w:tcBorders>
              <w:top w:val="nil"/>
              <w:left w:val="nil"/>
              <w:bottom w:val="nil"/>
              <w:right w:val="nil"/>
            </w:tcBorders>
            <w:shd w:val="clear" w:color="auto" w:fill="auto"/>
            <w:vAlign w:val="center"/>
            <w:hideMark/>
          </w:tcPr>
          <w:p w14:paraId="3B2D7042" w14:textId="77777777" w:rsidR="00CB59AD" w:rsidRPr="0080403E" w:rsidRDefault="00CB59AD" w:rsidP="0080403E">
            <w:pPr>
              <w:spacing w:after="0" w:line="240" w:lineRule="auto"/>
              <w:ind w:left="113"/>
              <w:jc w:val="left"/>
              <w:rPr>
                <w:rFonts w:ascii="Arial" w:hAnsi="Arial" w:cs="Arial"/>
                <w:color w:val="000000"/>
                <w:sz w:val="16"/>
                <w:szCs w:val="16"/>
              </w:rPr>
            </w:pPr>
            <w:r w:rsidRPr="0080403E">
              <w:rPr>
                <w:rFonts w:ascii="Arial" w:hAnsi="Arial" w:cs="Arial"/>
                <w:color w:val="000000"/>
                <w:sz w:val="16"/>
                <w:szCs w:val="16"/>
              </w:rPr>
              <w:t>Interest payments on lease liability</w:t>
            </w:r>
          </w:p>
        </w:tc>
        <w:tc>
          <w:tcPr>
            <w:tcW w:w="876" w:type="dxa"/>
            <w:tcBorders>
              <w:top w:val="nil"/>
              <w:left w:val="nil"/>
              <w:bottom w:val="nil"/>
              <w:right w:val="nil"/>
            </w:tcBorders>
            <w:shd w:val="clear" w:color="auto" w:fill="auto"/>
            <w:noWrap/>
            <w:vAlign w:val="bottom"/>
            <w:hideMark/>
          </w:tcPr>
          <w:p w14:paraId="59386559"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96 </w:t>
            </w:r>
          </w:p>
        </w:tc>
        <w:tc>
          <w:tcPr>
            <w:tcW w:w="877" w:type="dxa"/>
            <w:tcBorders>
              <w:top w:val="nil"/>
              <w:left w:val="nil"/>
              <w:bottom w:val="nil"/>
              <w:right w:val="nil"/>
            </w:tcBorders>
            <w:shd w:val="clear" w:color="000000" w:fill="E6E6E6"/>
            <w:noWrap/>
            <w:vAlign w:val="bottom"/>
            <w:hideMark/>
          </w:tcPr>
          <w:p w14:paraId="6394EB36"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40 </w:t>
            </w:r>
          </w:p>
        </w:tc>
        <w:tc>
          <w:tcPr>
            <w:tcW w:w="877" w:type="dxa"/>
            <w:tcBorders>
              <w:top w:val="nil"/>
              <w:left w:val="nil"/>
              <w:bottom w:val="nil"/>
              <w:right w:val="nil"/>
            </w:tcBorders>
            <w:shd w:val="clear" w:color="auto" w:fill="auto"/>
            <w:noWrap/>
            <w:vAlign w:val="bottom"/>
            <w:hideMark/>
          </w:tcPr>
          <w:p w14:paraId="63105553"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40 </w:t>
            </w:r>
          </w:p>
        </w:tc>
        <w:tc>
          <w:tcPr>
            <w:tcW w:w="877" w:type="dxa"/>
            <w:tcBorders>
              <w:top w:val="nil"/>
              <w:left w:val="nil"/>
              <w:bottom w:val="nil"/>
              <w:right w:val="nil"/>
            </w:tcBorders>
            <w:shd w:val="clear" w:color="auto" w:fill="auto"/>
            <w:noWrap/>
            <w:vAlign w:val="bottom"/>
            <w:hideMark/>
          </w:tcPr>
          <w:p w14:paraId="04A641C6"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40 </w:t>
            </w:r>
          </w:p>
        </w:tc>
        <w:tc>
          <w:tcPr>
            <w:tcW w:w="877" w:type="dxa"/>
            <w:tcBorders>
              <w:top w:val="nil"/>
              <w:left w:val="nil"/>
              <w:bottom w:val="nil"/>
              <w:right w:val="nil"/>
            </w:tcBorders>
            <w:shd w:val="clear" w:color="auto" w:fill="auto"/>
            <w:noWrap/>
            <w:vAlign w:val="bottom"/>
            <w:hideMark/>
          </w:tcPr>
          <w:p w14:paraId="7935FCA1"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40 </w:t>
            </w:r>
          </w:p>
        </w:tc>
      </w:tr>
      <w:tr w:rsidR="00CB59AD" w:rsidRPr="003C1232" w14:paraId="4AE5A267" w14:textId="77777777" w:rsidTr="00AD5F79">
        <w:trPr>
          <w:trHeight w:val="204"/>
        </w:trPr>
        <w:tc>
          <w:tcPr>
            <w:tcW w:w="3119" w:type="dxa"/>
            <w:tcBorders>
              <w:top w:val="nil"/>
              <w:left w:val="nil"/>
              <w:bottom w:val="nil"/>
              <w:right w:val="nil"/>
            </w:tcBorders>
            <w:shd w:val="clear" w:color="auto" w:fill="auto"/>
            <w:noWrap/>
            <w:vAlign w:val="center"/>
            <w:hideMark/>
          </w:tcPr>
          <w:p w14:paraId="00FBC048" w14:textId="77777777"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Other</w:t>
            </w:r>
          </w:p>
        </w:tc>
        <w:tc>
          <w:tcPr>
            <w:tcW w:w="876" w:type="dxa"/>
            <w:tcBorders>
              <w:top w:val="nil"/>
              <w:left w:val="nil"/>
              <w:bottom w:val="nil"/>
              <w:right w:val="nil"/>
            </w:tcBorders>
            <w:shd w:val="clear" w:color="auto" w:fill="auto"/>
            <w:noWrap/>
            <w:vAlign w:val="bottom"/>
            <w:hideMark/>
          </w:tcPr>
          <w:p w14:paraId="550C3A1C"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 </w:t>
            </w:r>
          </w:p>
        </w:tc>
        <w:tc>
          <w:tcPr>
            <w:tcW w:w="877" w:type="dxa"/>
            <w:tcBorders>
              <w:top w:val="nil"/>
              <w:left w:val="nil"/>
              <w:bottom w:val="nil"/>
              <w:right w:val="nil"/>
            </w:tcBorders>
            <w:shd w:val="clear" w:color="000000" w:fill="E6E6E6"/>
            <w:noWrap/>
            <w:vAlign w:val="bottom"/>
            <w:hideMark/>
          </w:tcPr>
          <w:p w14:paraId="511E279A"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0CE225AD"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5ACC1272"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61EC8CE2"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r>
      <w:tr w:rsidR="00CB59AD" w:rsidRPr="003C1232" w14:paraId="7FBE0D55" w14:textId="77777777" w:rsidTr="00AD5F79">
        <w:trPr>
          <w:trHeight w:val="204"/>
        </w:trPr>
        <w:tc>
          <w:tcPr>
            <w:tcW w:w="3119" w:type="dxa"/>
            <w:tcBorders>
              <w:top w:val="nil"/>
              <w:left w:val="nil"/>
              <w:bottom w:val="nil"/>
              <w:right w:val="nil"/>
            </w:tcBorders>
            <w:shd w:val="clear" w:color="auto" w:fill="auto"/>
            <w:noWrap/>
            <w:vAlign w:val="center"/>
            <w:hideMark/>
          </w:tcPr>
          <w:p w14:paraId="66941D43" w14:textId="77777777" w:rsidR="00CB59AD" w:rsidRPr="003C1232" w:rsidRDefault="00CB59AD" w:rsidP="00CB59AD">
            <w:pPr>
              <w:spacing w:after="0" w:line="240" w:lineRule="auto"/>
              <w:jc w:val="left"/>
              <w:rPr>
                <w:rFonts w:ascii="Arial" w:hAnsi="Arial" w:cs="Arial"/>
                <w:b/>
                <w:bCs/>
                <w:i/>
                <w:iCs/>
                <w:color w:val="000000"/>
                <w:sz w:val="16"/>
                <w:szCs w:val="16"/>
              </w:rPr>
            </w:pPr>
            <w:r w:rsidRPr="003C1232">
              <w:rPr>
                <w:rFonts w:ascii="Arial" w:hAnsi="Arial" w:cs="Arial"/>
                <w:b/>
                <w:bCs/>
                <w:i/>
                <w:iCs/>
                <w:color w:val="000000"/>
                <w:sz w:val="16"/>
                <w:szCs w:val="16"/>
              </w:rPr>
              <w:t>Total cash used</w:t>
            </w:r>
          </w:p>
        </w:tc>
        <w:tc>
          <w:tcPr>
            <w:tcW w:w="876" w:type="dxa"/>
            <w:tcBorders>
              <w:top w:val="single" w:sz="4" w:space="0" w:color="000000"/>
              <w:left w:val="nil"/>
              <w:bottom w:val="nil"/>
              <w:right w:val="nil"/>
            </w:tcBorders>
            <w:shd w:val="clear" w:color="auto" w:fill="auto"/>
            <w:noWrap/>
            <w:vAlign w:val="bottom"/>
            <w:hideMark/>
          </w:tcPr>
          <w:p w14:paraId="5B3376FE"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22,879 </w:t>
            </w:r>
          </w:p>
        </w:tc>
        <w:tc>
          <w:tcPr>
            <w:tcW w:w="877" w:type="dxa"/>
            <w:tcBorders>
              <w:top w:val="single" w:sz="4" w:space="0" w:color="000000"/>
              <w:left w:val="nil"/>
              <w:bottom w:val="nil"/>
              <w:right w:val="nil"/>
            </w:tcBorders>
            <w:shd w:val="clear" w:color="000000" w:fill="E6E6E6"/>
            <w:noWrap/>
            <w:vAlign w:val="bottom"/>
            <w:hideMark/>
          </w:tcPr>
          <w:p w14:paraId="6068DE70"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30,536 </w:t>
            </w:r>
          </w:p>
        </w:tc>
        <w:tc>
          <w:tcPr>
            <w:tcW w:w="877" w:type="dxa"/>
            <w:tcBorders>
              <w:top w:val="single" w:sz="4" w:space="0" w:color="000000"/>
              <w:left w:val="nil"/>
              <w:bottom w:val="nil"/>
              <w:right w:val="nil"/>
            </w:tcBorders>
            <w:shd w:val="clear" w:color="auto" w:fill="auto"/>
            <w:noWrap/>
            <w:vAlign w:val="bottom"/>
            <w:hideMark/>
          </w:tcPr>
          <w:p w14:paraId="322A6BAB"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32,776 </w:t>
            </w:r>
          </w:p>
        </w:tc>
        <w:tc>
          <w:tcPr>
            <w:tcW w:w="877" w:type="dxa"/>
            <w:tcBorders>
              <w:top w:val="single" w:sz="4" w:space="0" w:color="000000"/>
              <w:left w:val="nil"/>
              <w:bottom w:val="nil"/>
              <w:right w:val="nil"/>
            </w:tcBorders>
            <w:shd w:val="clear" w:color="auto" w:fill="auto"/>
            <w:noWrap/>
            <w:vAlign w:val="bottom"/>
            <w:hideMark/>
          </w:tcPr>
          <w:p w14:paraId="20715810"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33,438 </w:t>
            </w:r>
          </w:p>
        </w:tc>
        <w:tc>
          <w:tcPr>
            <w:tcW w:w="877" w:type="dxa"/>
            <w:tcBorders>
              <w:top w:val="single" w:sz="4" w:space="0" w:color="000000"/>
              <w:left w:val="nil"/>
              <w:bottom w:val="nil"/>
              <w:right w:val="nil"/>
            </w:tcBorders>
            <w:shd w:val="clear" w:color="auto" w:fill="auto"/>
            <w:noWrap/>
            <w:vAlign w:val="bottom"/>
            <w:hideMark/>
          </w:tcPr>
          <w:p w14:paraId="374C2897"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32,383 </w:t>
            </w:r>
          </w:p>
        </w:tc>
      </w:tr>
      <w:tr w:rsidR="00CB59AD" w:rsidRPr="003C1232" w14:paraId="750D3F16" w14:textId="77777777" w:rsidTr="00AD5F79">
        <w:trPr>
          <w:trHeight w:val="204"/>
        </w:trPr>
        <w:tc>
          <w:tcPr>
            <w:tcW w:w="3119" w:type="dxa"/>
            <w:tcBorders>
              <w:top w:val="nil"/>
              <w:left w:val="nil"/>
              <w:bottom w:val="nil"/>
              <w:right w:val="nil"/>
            </w:tcBorders>
            <w:shd w:val="clear" w:color="auto" w:fill="auto"/>
            <w:vAlign w:val="center"/>
            <w:hideMark/>
          </w:tcPr>
          <w:p w14:paraId="391265F9" w14:textId="6BC0B9AF" w:rsidR="00CB59AD" w:rsidRPr="003C1232" w:rsidRDefault="00CB59AD" w:rsidP="00152419">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Net cash from/(used by)</w:t>
            </w:r>
            <w:r w:rsidR="00152419">
              <w:rPr>
                <w:rFonts w:ascii="Arial" w:hAnsi="Arial" w:cs="Arial"/>
                <w:b/>
                <w:bCs/>
                <w:color w:val="000000"/>
                <w:sz w:val="16"/>
                <w:szCs w:val="16"/>
              </w:rPr>
              <w:t xml:space="preserve"> </w:t>
            </w:r>
            <w:r w:rsidRPr="003C1232">
              <w:rPr>
                <w:rFonts w:ascii="Arial" w:hAnsi="Arial" w:cs="Arial"/>
                <w:b/>
                <w:bCs/>
                <w:color w:val="000000"/>
                <w:sz w:val="16"/>
                <w:szCs w:val="16"/>
              </w:rPr>
              <w:t>operating activities</w:t>
            </w:r>
          </w:p>
        </w:tc>
        <w:tc>
          <w:tcPr>
            <w:tcW w:w="876" w:type="dxa"/>
            <w:tcBorders>
              <w:top w:val="single" w:sz="4" w:space="0" w:color="auto"/>
              <w:left w:val="nil"/>
              <w:bottom w:val="single" w:sz="4" w:space="0" w:color="auto"/>
              <w:right w:val="nil"/>
            </w:tcBorders>
            <w:shd w:val="clear" w:color="auto" w:fill="auto"/>
            <w:noWrap/>
            <w:vAlign w:val="bottom"/>
            <w:hideMark/>
          </w:tcPr>
          <w:p w14:paraId="11DED11C" w14:textId="77777777" w:rsidR="00CB59AD" w:rsidRPr="00294FA6" w:rsidRDefault="00CB59AD" w:rsidP="00152419">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 xml:space="preserve">8,532 </w:t>
            </w:r>
          </w:p>
        </w:tc>
        <w:tc>
          <w:tcPr>
            <w:tcW w:w="877" w:type="dxa"/>
            <w:tcBorders>
              <w:top w:val="single" w:sz="4" w:space="0" w:color="auto"/>
              <w:left w:val="nil"/>
              <w:bottom w:val="single" w:sz="4" w:space="0" w:color="auto"/>
              <w:right w:val="nil"/>
            </w:tcBorders>
            <w:shd w:val="clear" w:color="000000" w:fill="E6E6E6"/>
            <w:noWrap/>
            <w:vAlign w:val="bottom"/>
            <w:hideMark/>
          </w:tcPr>
          <w:p w14:paraId="2C08D5DF" w14:textId="77777777" w:rsidR="00CB59AD" w:rsidRPr="00294FA6" w:rsidRDefault="00CB59AD" w:rsidP="00152419">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 xml:space="preserve">2,163 </w:t>
            </w:r>
          </w:p>
        </w:tc>
        <w:tc>
          <w:tcPr>
            <w:tcW w:w="877" w:type="dxa"/>
            <w:tcBorders>
              <w:top w:val="single" w:sz="4" w:space="0" w:color="auto"/>
              <w:left w:val="nil"/>
              <w:bottom w:val="single" w:sz="4" w:space="0" w:color="auto"/>
              <w:right w:val="nil"/>
            </w:tcBorders>
            <w:shd w:val="clear" w:color="auto" w:fill="auto"/>
            <w:noWrap/>
            <w:vAlign w:val="bottom"/>
            <w:hideMark/>
          </w:tcPr>
          <w:p w14:paraId="6A01966A" w14:textId="77777777" w:rsidR="00CB59AD" w:rsidRPr="00294FA6" w:rsidRDefault="00CB59AD" w:rsidP="00152419">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 xml:space="preserve">1,983 </w:t>
            </w:r>
          </w:p>
        </w:tc>
        <w:tc>
          <w:tcPr>
            <w:tcW w:w="877" w:type="dxa"/>
            <w:tcBorders>
              <w:top w:val="single" w:sz="4" w:space="0" w:color="auto"/>
              <w:left w:val="nil"/>
              <w:bottom w:val="single" w:sz="4" w:space="0" w:color="auto"/>
              <w:right w:val="nil"/>
            </w:tcBorders>
            <w:shd w:val="clear" w:color="auto" w:fill="auto"/>
            <w:noWrap/>
            <w:vAlign w:val="bottom"/>
            <w:hideMark/>
          </w:tcPr>
          <w:p w14:paraId="59F44882" w14:textId="77777777" w:rsidR="00CB59AD" w:rsidRPr="00294FA6" w:rsidRDefault="00CB59AD" w:rsidP="00152419">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 xml:space="preserve">1,587 </w:t>
            </w:r>
          </w:p>
        </w:tc>
        <w:tc>
          <w:tcPr>
            <w:tcW w:w="877" w:type="dxa"/>
            <w:tcBorders>
              <w:top w:val="single" w:sz="4" w:space="0" w:color="auto"/>
              <w:left w:val="nil"/>
              <w:bottom w:val="single" w:sz="4" w:space="0" w:color="auto"/>
              <w:right w:val="nil"/>
            </w:tcBorders>
            <w:shd w:val="clear" w:color="auto" w:fill="auto"/>
            <w:noWrap/>
            <w:vAlign w:val="bottom"/>
            <w:hideMark/>
          </w:tcPr>
          <w:p w14:paraId="0B8E8191" w14:textId="77777777" w:rsidR="00CB59AD" w:rsidRPr="00294FA6" w:rsidRDefault="00CB59AD" w:rsidP="00152419">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 xml:space="preserve">1,658 </w:t>
            </w:r>
          </w:p>
        </w:tc>
      </w:tr>
      <w:tr w:rsidR="00CB59AD" w:rsidRPr="003C1232" w14:paraId="7448A2B5" w14:textId="77777777" w:rsidTr="00AD5F79">
        <w:trPr>
          <w:trHeight w:val="204"/>
        </w:trPr>
        <w:tc>
          <w:tcPr>
            <w:tcW w:w="3119" w:type="dxa"/>
            <w:tcBorders>
              <w:top w:val="nil"/>
              <w:left w:val="nil"/>
              <w:bottom w:val="nil"/>
              <w:right w:val="nil"/>
            </w:tcBorders>
            <w:shd w:val="clear" w:color="auto" w:fill="auto"/>
            <w:noWrap/>
            <w:vAlign w:val="center"/>
            <w:hideMark/>
          </w:tcPr>
          <w:p w14:paraId="183A1DAA" w14:textId="77777777" w:rsidR="00CB59AD" w:rsidRPr="003C1232" w:rsidRDefault="00CB59AD" w:rsidP="00CB59AD">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INVESTING ACTIVITIES</w:t>
            </w:r>
          </w:p>
        </w:tc>
        <w:tc>
          <w:tcPr>
            <w:tcW w:w="876" w:type="dxa"/>
            <w:tcBorders>
              <w:top w:val="nil"/>
              <w:left w:val="nil"/>
              <w:bottom w:val="nil"/>
              <w:right w:val="nil"/>
            </w:tcBorders>
            <w:shd w:val="clear" w:color="auto" w:fill="auto"/>
            <w:noWrap/>
            <w:vAlign w:val="bottom"/>
            <w:hideMark/>
          </w:tcPr>
          <w:p w14:paraId="0890C12D" w14:textId="77777777" w:rsidR="00CB59AD" w:rsidRPr="00294FA6" w:rsidRDefault="00CB59AD" w:rsidP="00152419">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344F9A97"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6CEA5205" w14:textId="77777777" w:rsidR="00CB59AD" w:rsidRPr="00294FA6" w:rsidRDefault="00CB59AD" w:rsidP="00152419">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4596860" w14:textId="77777777" w:rsidR="00CB59AD" w:rsidRPr="00294FA6" w:rsidRDefault="00CB59AD" w:rsidP="00152419">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25060DB5" w14:textId="77777777" w:rsidR="00CB59AD" w:rsidRPr="00294FA6" w:rsidRDefault="00CB59AD" w:rsidP="00152419">
            <w:pPr>
              <w:spacing w:after="0" w:line="240" w:lineRule="auto"/>
              <w:jc w:val="right"/>
              <w:rPr>
                <w:rFonts w:ascii="Times New Roman" w:hAnsi="Times New Roman"/>
                <w:sz w:val="16"/>
                <w:szCs w:val="16"/>
              </w:rPr>
            </w:pPr>
          </w:p>
        </w:tc>
      </w:tr>
      <w:tr w:rsidR="00CB59AD" w:rsidRPr="003C1232" w14:paraId="4D1B77E1" w14:textId="77777777" w:rsidTr="00AD5F79">
        <w:trPr>
          <w:trHeight w:val="204"/>
        </w:trPr>
        <w:tc>
          <w:tcPr>
            <w:tcW w:w="3119" w:type="dxa"/>
            <w:tcBorders>
              <w:top w:val="nil"/>
              <w:left w:val="nil"/>
              <w:bottom w:val="nil"/>
              <w:right w:val="nil"/>
            </w:tcBorders>
            <w:shd w:val="clear" w:color="auto" w:fill="auto"/>
            <w:noWrap/>
            <w:vAlign w:val="center"/>
            <w:hideMark/>
          </w:tcPr>
          <w:p w14:paraId="2196DE4F" w14:textId="77777777" w:rsidR="00CB59AD" w:rsidRPr="003C1232" w:rsidRDefault="00CB59AD" w:rsidP="00CB59AD">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Cash received</w:t>
            </w:r>
          </w:p>
        </w:tc>
        <w:tc>
          <w:tcPr>
            <w:tcW w:w="876" w:type="dxa"/>
            <w:tcBorders>
              <w:top w:val="nil"/>
              <w:left w:val="nil"/>
              <w:bottom w:val="nil"/>
              <w:right w:val="nil"/>
            </w:tcBorders>
            <w:shd w:val="clear" w:color="auto" w:fill="auto"/>
            <w:noWrap/>
            <w:vAlign w:val="bottom"/>
            <w:hideMark/>
          </w:tcPr>
          <w:p w14:paraId="33DB4D8C" w14:textId="77777777" w:rsidR="00CB59AD" w:rsidRPr="00294FA6" w:rsidRDefault="00CB59AD" w:rsidP="00152419">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7F3ACD52"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0DE3BE59" w14:textId="77777777" w:rsidR="00CB59AD" w:rsidRPr="00294FA6" w:rsidRDefault="00CB59AD" w:rsidP="00152419">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50A2409" w14:textId="77777777" w:rsidR="00CB59AD" w:rsidRPr="00294FA6" w:rsidRDefault="00CB59AD" w:rsidP="00152419">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211566F5" w14:textId="77777777" w:rsidR="00CB59AD" w:rsidRPr="00294FA6" w:rsidRDefault="00CB59AD" w:rsidP="00152419">
            <w:pPr>
              <w:spacing w:after="0" w:line="240" w:lineRule="auto"/>
              <w:jc w:val="right"/>
              <w:rPr>
                <w:rFonts w:ascii="Times New Roman" w:hAnsi="Times New Roman"/>
                <w:sz w:val="16"/>
                <w:szCs w:val="16"/>
              </w:rPr>
            </w:pPr>
          </w:p>
        </w:tc>
      </w:tr>
      <w:tr w:rsidR="00CB59AD" w:rsidRPr="003C1232" w14:paraId="2776E662" w14:textId="77777777" w:rsidTr="00AD5F79">
        <w:trPr>
          <w:trHeight w:val="204"/>
        </w:trPr>
        <w:tc>
          <w:tcPr>
            <w:tcW w:w="3119" w:type="dxa"/>
            <w:tcBorders>
              <w:top w:val="nil"/>
              <w:left w:val="nil"/>
              <w:bottom w:val="nil"/>
              <w:right w:val="nil"/>
            </w:tcBorders>
            <w:shd w:val="clear" w:color="auto" w:fill="auto"/>
            <w:vAlign w:val="center"/>
            <w:hideMark/>
          </w:tcPr>
          <w:p w14:paraId="31D2D964" w14:textId="1ADA5F9C"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Proceeds from sales of property,</w:t>
            </w:r>
            <w:r w:rsidR="0080403E">
              <w:rPr>
                <w:rFonts w:ascii="Arial" w:hAnsi="Arial" w:cs="Arial"/>
                <w:color w:val="000000"/>
                <w:sz w:val="16"/>
                <w:szCs w:val="16"/>
              </w:rPr>
              <w:t xml:space="preserve"> </w:t>
            </w:r>
            <w:r w:rsidRPr="003C1232">
              <w:rPr>
                <w:rFonts w:ascii="Arial" w:hAnsi="Arial" w:cs="Arial"/>
                <w:color w:val="000000"/>
                <w:sz w:val="16"/>
                <w:szCs w:val="16"/>
              </w:rPr>
              <w:t>plant and equipment</w:t>
            </w:r>
          </w:p>
        </w:tc>
        <w:tc>
          <w:tcPr>
            <w:tcW w:w="876" w:type="dxa"/>
            <w:tcBorders>
              <w:top w:val="nil"/>
              <w:left w:val="nil"/>
              <w:bottom w:val="nil"/>
              <w:right w:val="nil"/>
            </w:tcBorders>
            <w:shd w:val="clear" w:color="auto" w:fill="auto"/>
            <w:noWrap/>
            <w:vAlign w:val="bottom"/>
            <w:hideMark/>
          </w:tcPr>
          <w:p w14:paraId="00EAA554"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17 </w:t>
            </w:r>
          </w:p>
        </w:tc>
        <w:tc>
          <w:tcPr>
            <w:tcW w:w="877" w:type="dxa"/>
            <w:tcBorders>
              <w:top w:val="nil"/>
              <w:left w:val="nil"/>
              <w:bottom w:val="nil"/>
              <w:right w:val="nil"/>
            </w:tcBorders>
            <w:shd w:val="clear" w:color="000000" w:fill="E6E6E6"/>
            <w:noWrap/>
            <w:vAlign w:val="bottom"/>
            <w:hideMark/>
          </w:tcPr>
          <w:p w14:paraId="44D52C61"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41146D2A"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47ACC717"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4A5E873C"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r>
      <w:tr w:rsidR="00CB59AD" w:rsidRPr="003C1232" w14:paraId="5C30D7EE" w14:textId="77777777" w:rsidTr="00AD5F79">
        <w:trPr>
          <w:trHeight w:val="204"/>
        </w:trPr>
        <w:tc>
          <w:tcPr>
            <w:tcW w:w="3119" w:type="dxa"/>
            <w:tcBorders>
              <w:top w:val="nil"/>
              <w:left w:val="nil"/>
              <w:bottom w:val="nil"/>
              <w:right w:val="nil"/>
            </w:tcBorders>
            <w:shd w:val="clear" w:color="auto" w:fill="auto"/>
            <w:noWrap/>
            <w:vAlign w:val="center"/>
            <w:hideMark/>
          </w:tcPr>
          <w:p w14:paraId="1771126C" w14:textId="77777777"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Investments</w:t>
            </w:r>
          </w:p>
        </w:tc>
        <w:tc>
          <w:tcPr>
            <w:tcW w:w="876" w:type="dxa"/>
            <w:tcBorders>
              <w:top w:val="nil"/>
              <w:left w:val="nil"/>
              <w:bottom w:val="nil"/>
              <w:right w:val="nil"/>
            </w:tcBorders>
            <w:shd w:val="clear" w:color="auto" w:fill="auto"/>
            <w:noWrap/>
            <w:vAlign w:val="bottom"/>
            <w:hideMark/>
          </w:tcPr>
          <w:p w14:paraId="67DC8463"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000000" w:fill="E6E6E6"/>
            <w:noWrap/>
            <w:vAlign w:val="bottom"/>
            <w:hideMark/>
          </w:tcPr>
          <w:p w14:paraId="11CFAAED"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1,000 </w:t>
            </w:r>
          </w:p>
        </w:tc>
        <w:tc>
          <w:tcPr>
            <w:tcW w:w="877" w:type="dxa"/>
            <w:tcBorders>
              <w:top w:val="nil"/>
              <w:left w:val="nil"/>
              <w:bottom w:val="nil"/>
              <w:right w:val="nil"/>
            </w:tcBorders>
            <w:shd w:val="clear" w:color="auto" w:fill="auto"/>
            <w:noWrap/>
            <w:vAlign w:val="bottom"/>
            <w:hideMark/>
          </w:tcPr>
          <w:p w14:paraId="66DCFB38"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1,000 </w:t>
            </w:r>
          </w:p>
        </w:tc>
        <w:tc>
          <w:tcPr>
            <w:tcW w:w="877" w:type="dxa"/>
            <w:tcBorders>
              <w:top w:val="nil"/>
              <w:left w:val="nil"/>
              <w:bottom w:val="nil"/>
              <w:right w:val="nil"/>
            </w:tcBorders>
            <w:shd w:val="clear" w:color="auto" w:fill="auto"/>
            <w:noWrap/>
            <w:vAlign w:val="bottom"/>
            <w:hideMark/>
          </w:tcPr>
          <w:p w14:paraId="469E8B3B"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500 </w:t>
            </w:r>
          </w:p>
        </w:tc>
        <w:tc>
          <w:tcPr>
            <w:tcW w:w="877" w:type="dxa"/>
            <w:tcBorders>
              <w:top w:val="nil"/>
              <w:left w:val="nil"/>
              <w:bottom w:val="nil"/>
              <w:right w:val="nil"/>
            </w:tcBorders>
            <w:shd w:val="clear" w:color="auto" w:fill="auto"/>
            <w:noWrap/>
            <w:vAlign w:val="bottom"/>
            <w:hideMark/>
          </w:tcPr>
          <w:p w14:paraId="4B5021E3"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r>
      <w:tr w:rsidR="00CB59AD" w:rsidRPr="003C1232" w14:paraId="1E6B5418" w14:textId="77777777" w:rsidTr="00AD5F79">
        <w:trPr>
          <w:trHeight w:val="204"/>
        </w:trPr>
        <w:tc>
          <w:tcPr>
            <w:tcW w:w="3119" w:type="dxa"/>
            <w:tcBorders>
              <w:top w:val="nil"/>
              <w:left w:val="nil"/>
              <w:bottom w:val="nil"/>
              <w:right w:val="nil"/>
            </w:tcBorders>
            <w:shd w:val="clear" w:color="auto" w:fill="auto"/>
            <w:noWrap/>
            <w:vAlign w:val="center"/>
            <w:hideMark/>
          </w:tcPr>
          <w:p w14:paraId="09981B95" w14:textId="77777777" w:rsidR="00CB59AD" w:rsidRPr="003C1232" w:rsidRDefault="00CB59AD" w:rsidP="00CB59AD">
            <w:pPr>
              <w:spacing w:after="0" w:line="240" w:lineRule="auto"/>
              <w:jc w:val="left"/>
              <w:rPr>
                <w:rFonts w:ascii="Arial" w:hAnsi="Arial" w:cs="Arial"/>
                <w:b/>
                <w:bCs/>
                <w:i/>
                <w:iCs/>
                <w:color w:val="000000"/>
                <w:sz w:val="16"/>
                <w:szCs w:val="16"/>
              </w:rPr>
            </w:pPr>
            <w:r w:rsidRPr="003C1232">
              <w:rPr>
                <w:rFonts w:ascii="Arial" w:hAnsi="Arial" w:cs="Arial"/>
                <w:b/>
                <w:bCs/>
                <w:i/>
                <w:iCs/>
                <w:color w:val="000000"/>
                <w:sz w:val="16"/>
                <w:szCs w:val="16"/>
              </w:rPr>
              <w:t>Total cash received</w:t>
            </w:r>
          </w:p>
        </w:tc>
        <w:tc>
          <w:tcPr>
            <w:tcW w:w="876" w:type="dxa"/>
            <w:tcBorders>
              <w:top w:val="single" w:sz="4" w:space="0" w:color="000000"/>
              <w:left w:val="nil"/>
              <w:bottom w:val="single" w:sz="4" w:space="0" w:color="000000"/>
              <w:right w:val="nil"/>
            </w:tcBorders>
            <w:shd w:val="clear" w:color="auto" w:fill="auto"/>
            <w:noWrap/>
            <w:vAlign w:val="bottom"/>
            <w:hideMark/>
          </w:tcPr>
          <w:p w14:paraId="2B66C885"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17 </w:t>
            </w:r>
          </w:p>
        </w:tc>
        <w:tc>
          <w:tcPr>
            <w:tcW w:w="877" w:type="dxa"/>
            <w:tcBorders>
              <w:top w:val="single" w:sz="4" w:space="0" w:color="000000"/>
              <w:left w:val="nil"/>
              <w:bottom w:val="single" w:sz="4" w:space="0" w:color="000000"/>
              <w:right w:val="nil"/>
            </w:tcBorders>
            <w:shd w:val="clear" w:color="000000" w:fill="E6E6E6"/>
            <w:noWrap/>
            <w:vAlign w:val="bottom"/>
            <w:hideMark/>
          </w:tcPr>
          <w:p w14:paraId="2127624C"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1,000 </w:t>
            </w:r>
          </w:p>
        </w:tc>
        <w:tc>
          <w:tcPr>
            <w:tcW w:w="877" w:type="dxa"/>
            <w:tcBorders>
              <w:top w:val="single" w:sz="4" w:space="0" w:color="000000"/>
              <w:left w:val="nil"/>
              <w:bottom w:val="single" w:sz="4" w:space="0" w:color="000000"/>
              <w:right w:val="nil"/>
            </w:tcBorders>
            <w:shd w:val="clear" w:color="auto" w:fill="auto"/>
            <w:noWrap/>
            <w:vAlign w:val="bottom"/>
            <w:hideMark/>
          </w:tcPr>
          <w:p w14:paraId="7EF2B820"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1,000 </w:t>
            </w:r>
          </w:p>
        </w:tc>
        <w:tc>
          <w:tcPr>
            <w:tcW w:w="877" w:type="dxa"/>
            <w:tcBorders>
              <w:top w:val="single" w:sz="4" w:space="0" w:color="000000"/>
              <w:left w:val="nil"/>
              <w:bottom w:val="single" w:sz="4" w:space="0" w:color="000000"/>
              <w:right w:val="nil"/>
            </w:tcBorders>
            <w:shd w:val="clear" w:color="auto" w:fill="auto"/>
            <w:noWrap/>
            <w:vAlign w:val="bottom"/>
            <w:hideMark/>
          </w:tcPr>
          <w:p w14:paraId="408E9E82"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500 </w:t>
            </w:r>
          </w:p>
        </w:tc>
        <w:tc>
          <w:tcPr>
            <w:tcW w:w="877" w:type="dxa"/>
            <w:tcBorders>
              <w:top w:val="single" w:sz="4" w:space="0" w:color="000000"/>
              <w:left w:val="nil"/>
              <w:bottom w:val="single" w:sz="4" w:space="0" w:color="000000"/>
              <w:right w:val="nil"/>
            </w:tcBorders>
            <w:shd w:val="clear" w:color="auto" w:fill="auto"/>
            <w:noWrap/>
            <w:vAlign w:val="bottom"/>
            <w:hideMark/>
          </w:tcPr>
          <w:p w14:paraId="3A63B6DF"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 </w:t>
            </w:r>
          </w:p>
        </w:tc>
      </w:tr>
      <w:tr w:rsidR="00CB59AD" w:rsidRPr="003C1232" w14:paraId="6CBD5137" w14:textId="77777777" w:rsidTr="00AD5F79">
        <w:trPr>
          <w:trHeight w:val="204"/>
        </w:trPr>
        <w:tc>
          <w:tcPr>
            <w:tcW w:w="3119" w:type="dxa"/>
            <w:tcBorders>
              <w:top w:val="nil"/>
              <w:left w:val="nil"/>
              <w:bottom w:val="nil"/>
              <w:right w:val="nil"/>
            </w:tcBorders>
            <w:shd w:val="clear" w:color="auto" w:fill="auto"/>
            <w:noWrap/>
            <w:vAlign w:val="center"/>
            <w:hideMark/>
          </w:tcPr>
          <w:p w14:paraId="1685D059" w14:textId="77777777" w:rsidR="00CB59AD" w:rsidRPr="003C1232" w:rsidRDefault="00CB59AD" w:rsidP="00CB59AD">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Cash used</w:t>
            </w:r>
          </w:p>
        </w:tc>
        <w:tc>
          <w:tcPr>
            <w:tcW w:w="876" w:type="dxa"/>
            <w:tcBorders>
              <w:top w:val="nil"/>
              <w:left w:val="nil"/>
              <w:bottom w:val="nil"/>
              <w:right w:val="nil"/>
            </w:tcBorders>
            <w:shd w:val="clear" w:color="auto" w:fill="auto"/>
            <w:noWrap/>
            <w:vAlign w:val="bottom"/>
            <w:hideMark/>
          </w:tcPr>
          <w:p w14:paraId="26969F94" w14:textId="77777777" w:rsidR="00CB59AD" w:rsidRPr="00294FA6" w:rsidRDefault="00CB59AD" w:rsidP="00152419">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7B74C1E9"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493FFCFB" w14:textId="77777777" w:rsidR="00CB59AD" w:rsidRPr="00294FA6" w:rsidRDefault="00CB59AD" w:rsidP="00152419">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6D91468" w14:textId="77777777" w:rsidR="00CB59AD" w:rsidRPr="00294FA6" w:rsidRDefault="00CB59AD" w:rsidP="00152419">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40F0B0D9" w14:textId="77777777" w:rsidR="00CB59AD" w:rsidRPr="00294FA6" w:rsidRDefault="00CB59AD" w:rsidP="00152419">
            <w:pPr>
              <w:spacing w:after="0" w:line="240" w:lineRule="auto"/>
              <w:jc w:val="right"/>
              <w:rPr>
                <w:rFonts w:ascii="Times New Roman" w:hAnsi="Times New Roman"/>
                <w:sz w:val="16"/>
                <w:szCs w:val="16"/>
              </w:rPr>
            </w:pPr>
          </w:p>
        </w:tc>
      </w:tr>
      <w:tr w:rsidR="00CB59AD" w:rsidRPr="003C1232" w14:paraId="0AD3ACE7" w14:textId="77777777" w:rsidTr="00AD5F79">
        <w:trPr>
          <w:trHeight w:val="204"/>
        </w:trPr>
        <w:tc>
          <w:tcPr>
            <w:tcW w:w="3119" w:type="dxa"/>
            <w:tcBorders>
              <w:top w:val="nil"/>
              <w:left w:val="nil"/>
              <w:bottom w:val="nil"/>
              <w:right w:val="nil"/>
            </w:tcBorders>
            <w:shd w:val="clear" w:color="auto" w:fill="auto"/>
            <w:vAlign w:val="center"/>
            <w:hideMark/>
          </w:tcPr>
          <w:p w14:paraId="35E1A9C3" w14:textId="19F58382"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Purchase of property, plant and</w:t>
            </w:r>
            <w:r w:rsidR="0080403E">
              <w:rPr>
                <w:rFonts w:ascii="Arial" w:hAnsi="Arial" w:cs="Arial"/>
                <w:color w:val="000000"/>
                <w:sz w:val="16"/>
                <w:szCs w:val="16"/>
              </w:rPr>
              <w:t xml:space="preserve"> </w:t>
            </w:r>
            <w:r w:rsidRPr="003C1232">
              <w:rPr>
                <w:rFonts w:ascii="Arial" w:hAnsi="Arial" w:cs="Arial"/>
                <w:color w:val="000000"/>
                <w:sz w:val="16"/>
                <w:szCs w:val="16"/>
              </w:rPr>
              <w:t>equipment and intangibles</w:t>
            </w:r>
          </w:p>
        </w:tc>
        <w:tc>
          <w:tcPr>
            <w:tcW w:w="876" w:type="dxa"/>
            <w:tcBorders>
              <w:top w:val="nil"/>
              <w:left w:val="nil"/>
              <w:bottom w:val="nil"/>
              <w:right w:val="nil"/>
            </w:tcBorders>
            <w:shd w:val="clear" w:color="auto" w:fill="auto"/>
            <w:noWrap/>
            <w:vAlign w:val="bottom"/>
            <w:hideMark/>
          </w:tcPr>
          <w:p w14:paraId="2D3A5E34"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4,495 </w:t>
            </w:r>
          </w:p>
        </w:tc>
        <w:tc>
          <w:tcPr>
            <w:tcW w:w="877" w:type="dxa"/>
            <w:tcBorders>
              <w:top w:val="nil"/>
              <w:left w:val="nil"/>
              <w:bottom w:val="nil"/>
              <w:right w:val="nil"/>
            </w:tcBorders>
            <w:shd w:val="clear" w:color="000000" w:fill="E6E6E6"/>
            <w:noWrap/>
            <w:vAlign w:val="bottom"/>
            <w:hideMark/>
          </w:tcPr>
          <w:p w14:paraId="333CCBDB"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6,491 </w:t>
            </w:r>
          </w:p>
        </w:tc>
        <w:tc>
          <w:tcPr>
            <w:tcW w:w="877" w:type="dxa"/>
            <w:tcBorders>
              <w:top w:val="nil"/>
              <w:left w:val="nil"/>
              <w:bottom w:val="nil"/>
              <w:right w:val="nil"/>
            </w:tcBorders>
            <w:shd w:val="clear" w:color="auto" w:fill="auto"/>
            <w:noWrap/>
            <w:vAlign w:val="bottom"/>
            <w:hideMark/>
          </w:tcPr>
          <w:p w14:paraId="3E6557AA"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9,410 </w:t>
            </w:r>
          </w:p>
        </w:tc>
        <w:tc>
          <w:tcPr>
            <w:tcW w:w="877" w:type="dxa"/>
            <w:tcBorders>
              <w:top w:val="nil"/>
              <w:left w:val="nil"/>
              <w:bottom w:val="nil"/>
              <w:right w:val="nil"/>
            </w:tcBorders>
            <w:shd w:val="clear" w:color="auto" w:fill="auto"/>
            <w:noWrap/>
            <w:vAlign w:val="bottom"/>
            <w:hideMark/>
          </w:tcPr>
          <w:p w14:paraId="50E0FD0F"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9,461 </w:t>
            </w:r>
          </w:p>
        </w:tc>
        <w:tc>
          <w:tcPr>
            <w:tcW w:w="877" w:type="dxa"/>
            <w:tcBorders>
              <w:top w:val="nil"/>
              <w:left w:val="nil"/>
              <w:bottom w:val="nil"/>
              <w:right w:val="nil"/>
            </w:tcBorders>
            <w:shd w:val="clear" w:color="auto" w:fill="auto"/>
            <w:noWrap/>
            <w:vAlign w:val="bottom"/>
            <w:hideMark/>
          </w:tcPr>
          <w:p w14:paraId="6258FC4B"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5,603 </w:t>
            </w:r>
          </w:p>
        </w:tc>
      </w:tr>
      <w:tr w:rsidR="00CB59AD" w:rsidRPr="003C1232" w14:paraId="06A8B503" w14:textId="77777777" w:rsidTr="00AD5F79">
        <w:trPr>
          <w:trHeight w:val="204"/>
        </w:trPr>
        <w:tc>
          <w:tcPr>
            <w:tcW w:w="3119" w:type="dxa"/>
            <w:tcBorders>
              <w:top w:val="nil"/>
              <w:left w:val="nil"/>
              <w:bottom w:val="nil"/>
              <w:right w:val="nil"/>
            </w:tcBorders>
            <w:shd w:val="clear" w:color="auto" w:fill="auto"/>
            <w:noWrap/>
            <w:vAlign w:val="center"/>
            <w:hideMark/>
          </w:tcPr>
          <w:p w14:paraId="759CE3B8" w14:textId="77777777" w:rsidR="00CB59AD" w:rsidRPr="003C1232" w:rsidRDefault="00CB59AD" w:rsidP="0080403E">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Investments</w:t>
            </w:r>
          </w:p>
        </w:tc>
        <w:tc>
          <w:tcPr>
            <w:tcW w:w="876" w:type="dxa"/>
            <w:tcBorders>
              <w:top w:val="nil"/>
              <w:left w:val="nil"/>
              <w:bottom w:val="nil"/>
              <w:right w:val="nil"/>
            </w:tcBorders>
            <w:shd w:val="clear" w:color="auto" w:fill="auto"/>
            <w:noWrap/>
            <w:vAlign w:val="bottom"/>
            <w:hideMark/>
          </w:tcPr>
          <w:p w14:paraId="1ED906D4"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4,500 </w:t>
            </w:r>
          </w:p>
        </w:tc>
        <w:tc>
          <w:tcPr>
            <w:tcW w:w="877" w:type="dxa"/>
            <w:tcBorders>
              <w:top w:val="nil"/>
              <w:left w:val="nil"/>
              <w:bottom w:val="nil"/>
              <w:right w:val="nil"/>
            </w:tcBorders>
            <w:shd w:val="clear" w:color="000000" w:fill="E6E6E6"/>
            <w:noWrap/>
            <w:vAlign w:val="bottom"/>
            <w:hideMark/>
          </w:tcPr>
          <w:p w14:paraId="06E7A599"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7FC882FE"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4A56551E"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6D0C29B3" w14:textId="77777777" w:rsidR="00CB59AD" w:rsidRPr="00294FA6" w:rsidRDefault="00CB59AD" w:rsidP="00152419">
            <w:pPr>
              <w:spacing w:after="0" w:line="240" w:lineRule="auto"/>
              <w:jc w:val="right"/>
              <w:rPr>
                <w:rFonts w:ascii="Arial" w:hAnsi="Arial" w:cs="Arial"/>
                <w:color w:val="000000"/>
                <w:sz w:val="16"/>
                <w:szCs w:val="16"/>
              </w:rPr>
            </w:pPr>
            <w:r w:rsidRPr="00294FA6">
              <w:rPr>
                <w:rFonts w:ascii="Arial" w:hAnsi="Arial" w:cs="Arial"/>
                <w:color w:val="000000"/>
                <w:sz w:val="16"/>
                <w:szCs w:val="16"/>
              </w:rPr>
              <w:t xml:space="preserve">- </w:t>
            </w:r>
          </w:p>
        </w:tc>
      </w:tr>
      <w:tr w:rsidR="00CB59AD" w:rsidRPr="003C1232" w14:paraId="340BE861" w14:textId="77777777" w:rsidTr="00AD5F79">
        <w:trPr>
          <w:trHeight w:val="204"/>
        </w:trPr>
        <w:tc>
          <w:tcPr>
            <w:tcW w:w="3119" w:type="dxa"/>
            <w:tcBorders>
              <w:top w:val="nil"/>
              <w:left w:val="nil"/>
              <w:right w:val="nil"/>
            </w:tcBorders>
            <w:shd w:val="clear" w:color="auto" w:fill="auto"/>
            <w:noWrap/>
            <w:vAlign w:val="center"/>
            <w:hideMark/>
          </w:tcPr>
          <w:p w14:paraId="16F62878" w14:textId="77777777" w:rsidR="00CB59AD" w:rsidRPr="003C1232" w:rsidRDefault="00CB59AD" w:rsidP="00CB59AD">
            <w:pPr>
              <w:spacing w:after="0" w:line="240" w:lineRule="auto"/>
              <w:jc w:val="left"/>
              <w:rPr>
                <w:rFonts w:ascii="Arial" w:hAnsi="Arial" w:cs="Arial"/>
                <w:b/>
                <w:bCs/>
                <w:i/>
                <w:iCs/>
                <w:color w:val="000000"/>
                <w:sz w:val="16"/>
                <w:szCs w:val="16"/>
              </w:rPr>
            </w:pPr>
            <w:r w:rsidRPr="003C1232">
              <w:rPr>
                <w:rFonts w:ascii="Arial" w:hAnsi="Arial" w:cs="Arial"/>
                <w:b/>
                <w:bCs/>
                <w:i/>
                <w:iCs/>
                <w:color w:val="000000"/>
                <w:sz w:val="16"/>
                <w:szCs w:val="16"/>
              </w:rPr>
              <w:t>Total cash used</w:t>
            </w:r>
          </w:p>
        </w:tc>
        <w:tc>
          <w:tcPr>
            <w:tcW w:w="876" w:type="dxa"/>
            <w:tcBorders>
              <w:top w:val="single" w:sz="4" w:space="0" w:color="000000"/>
              <w:left w:val="nil"/>
              <w:bottom w:val="single" w:sz="4" w:space="0" w:color="000000"/>
              <w:right w:val="nil"/>
            </w:tcBorders>
            <w:shd w:val="clear" w:color="auto" w:fill="auto"/>
            <w:noWrap/>
            <w:vAlign w:val="bottom"/>
            <w:hideMark/>
          </w:tcPr>
          <w:p w14:paraId="7C7B3F4F"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8,995 </w:t>
            </w:r>
          </w:p>
        </w:tc>
        <w:tc>
          <w:tcPr>
            <w:tcW w:w="877" w:type="dxa"/>
            <w:tcBorders>
              <w:top w:val="single" w:sz="4" w:space="0" w:color="000000"/>
              <w:left w:val="nil"/>
              <w:bottom w:val="single" w:sz="4" w:space="0" w:color="000000"/>
              <w:right w:val="nil"/>
            </w:tcBorders>
            <w:shd w:val="clear" w:color="000000" w:fill="E6E6E6"/>
            <w:noWrap/>
            <w:vAlign w:val="bottom"/>
            <w:hideMark/>
          </w:tcPr>
          <w:p w14:paraId="1F38B0FD"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6,491 </w:t>
            </w:r>
          </w:p>
        </w:tc>
        <w:tc>
          <w:tcPr>
            <w:tcW w:w="877" w:type="dxa"/>
            <w:tcBorders>
              <w:top w:val="single" w:sz="4" w:space="0" w:color="000000"/>
              <w:left w:val="nil"/>
              <w:bottom w:val="single" w:sz="4" w:space="0" w:color="000000"/>
              <w:right w:val="nil"/>
            </w:tcBorders>
            <w:shd w:val="clear" w:color="auto" w:fill="auto"/>
            <w:noWrap/>
            <w:vAlign w:val="bottom"/>
            <w:hideMark/>
          </w:tcPr>
          <w:p w14:paraId="5CEA93FA"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9,410 </w:t>
            </w:r>
          </w:p>
        </w:tc>
        <w:tc>
          <w:tcPr>
            <w:tcW w:w="877" w:type="dxa"/>
            <w:tcBorders>
              <w:top w:val="single" w:sz="4" w:space="0" w:color="000000"/>
              <w:left w:val="nil"/>
              <w:bottom w:val="single" w:sz="4" w:space="0" w:color="000000"/>
              <w:right w:val="nil"/>
            </w:tcBorders>
            <w:shd w:val="clear" w:color="auto" w:fill="auto"/>
            <w:noWrap/>
            <w:vAlign w:val="bottom"/>
            <w:hideMark/>
          </w:tcPr>
          <w:p w14:paraId="2E3BD542"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9,461 </w:t>
            </w:r>
          </w:p>
        </w:tc>
        <w:tc>
          <w:tcPr>
            <w:tcW w:w="877" w:type="dxa"/>
            <w:tcBorders>
              <w:top w:val="single" w:sz="4" w:space="0" w:color="000000"/>
              <w:left w:val="nil"/>
              <w:bottom w:val="single" w:sz="4" w:space="0" w:color="000000"/>
              <w:right w:val="nil"/>
            </w:tcBorders>
            <w:shd w:val="clear" w:color="auto" w:fill="auto"/>
            <w:noWrap/>
            <w:vAlign w:val="bottom"/>
            <w:hideMark/>
          </w:tcPr>
          <w:p w14:paraId="48710CFC" w14:textId="77777777" w:rsidR="00CB59AD" w:rsidRPr="00294FA6" w:rsidRDefault="00CB59AD" w:rsidP="00152419">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 xml:space="preserve">5,603 </w:t>
            </w:r>
          </w:p>
        </w:tc>
      </w:tr>
      <w:tr w:rsidR="00CB59AD" w:rsidRPr="003C1232" w14:paraId="4E7AD9FB" w14:textId="77777777" w:rsidTr="00AD5F79">
        <w:trPr>
          <w:trHeight w:val="204"/>
        </w:trPr>
        <w:tc>
          <w:tcPr>
            <w:tcW w:w="3119" w:type="dxa"/>
            <w:tcBorders>
              <w:top w:val="nil"/>
              <w:left w:val="nil"/>
              <w:right w:val="nil"/>
            </w:tcBorders>
            <w:shd w:val="clear" w:color="auto" w:fill="auto"/>
            <w:vAlign w:val="center"/>
            <w:hideMark/>
          </w:tcPr>
          <w:p w14:paraId="47DE99FE" w14:textId="71F9A7F2" w:rsidR="00CB59AD" w:rsidRPr="003C1232" w:rsidRDefault="00CB59AD" w:rsidP="0080403E">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Net cash from/(used by)</w:t>
            </w:r>
            <w:r w:rsidR="0080403E">
              <w:rPr>
                <w:rFonts w:ascii="Arial" w:hAnsi="Arial" w:cs="Arial"/>
                <w:b/>
                <w:bCs/>
                <w:color w:val="000000"/>
                <w:sz w:val="16"/>
                <w:szCs w:val="16"/>
              </w:rPr>
              <w:t xml:space="preserve"> </w:t>
            </w:r>
            <w:r w:rsidRPr="003C1232">
              <w:rPr>
                <w:rFonts w:ascii="Arial" w:hAnsi="Arial" w:cs="Arial"/>
                <w:b/>
                <w:bCs/>
                <w:color w:val="000000"/>
                <w:sz w:val="16"/>
                <w:szCs w:val="16"/>
              </w:rPr>
              <w:t>investing activities</w:t>
            </w:r>
          </w:p>
        </w:tc>
        <w:tc>
          <w:tcPr>
            <w:tcW w:w="876" w:type="dxa"/>
            <w:tcBorders>
              <w:top w:val="nil"/>
              <w:left w:val="nil"/>
              <w:bottom w:val="single" w:sz="4" w:space="0" w:color="auto"/>
              <w:right w:val="nil"/>
            </w:tcBorders>
            <w:shd w:val="clear" w:color="auto" w:fill="auto"/>
            <w:noWrap/>
            <w:vAlign w:val="bottom"/>
            <w:hideMark/>
          </w:tcPr>
          <w:p w14:paraId="41C68D6D" w14:textId="77777777" w:rsidR="00CB59AD" w:rsidRPr="00294FA6" w:rsidRDefault="00CB59AD" w:rsidP="00152419">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(8,978)</w:t>
            </w:r>
          </w:p>
        </w:tc>
        <w:tc>
          <w:tcPr>
            <w:tcW w:w="877" w:type="dxa"/>
            <w:tcBorders>
              <w:top w:val="nil"/>
              <w:left w:val="nil"/>
              <w:bottom w:val="single" w:sz="4" w:space="0" w:color="auto"/>
              <w:right w:val="nil"/>
            </w:tcBorders>
            <w:shd w:val="clear" w:color="000000" w:fill="E6E6E6"/>
            <w:noWrap/>
            <w:vAlign w:val="bottom"/>
            <w:hideMark/>
          </w:tcPr>
          <w:p w14:paraId="792C5481" w14:textId="77777777" w:rsidR="00CB59AD" w:rsidRPr="00294FA6" w:rsidRDefault="00CB59AD" w:rsidP="00152419">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(5,491)</w:t>
            </w:r>
          </w:p>
        </w:tc>
        <w:tc>
          <w:tcPr>
            <w:tcW w:w="877" w:type="dxa"/>
            <w:tcBorders>
              <w:top w:val="nil"/>
              <w:left w:val="nil"/>
              <w:bottom w:val="single" w:sz="4" w:space="0" w:color="auto"/>
              <w:right w:val="nil"/>
            </w:tcBorders>
            <w:shd w:val="clear" w:color="auto" w:fill="auto"/>
            <w:noWrap/>
            <w:vAlign w:val="bottom"/>
            <w:hideMark/>
          </w:tcPr>
          <w:p w14:paraId="34B2C4C3" w14:textId="77777777" w:rsidR="00CB59AD" w:rsidRPr="00294FA6" w:rsidRDefault="00CB59AD" w:rsidP="00152419">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(8,410)</w:t>
            </w:r>
          </w:p>
        </w:tc>
        <w:tc>
          <w:tcPr>
            <w:tcW w:w="877" w:type="dxa"/>
            <w:tcBorders>
              <w:top w:val="nil"/>
              <w:left w:val="nil"/>
              <w:bottom w:val="single" w:sz="4" w:space="0" w:color="auto"/>
              <w:right w:val="nil"/>
            </w:tcBorders>
            <w:shd w:val="clear" w:color="auto" w:fill="auto"/>
            <w:noWrap/>
            <w:vAlign w:val="bottom"/>
            <w:hideMark/>
          </w:tcPr>
          <w:p w14:paraId="493335E5" w14:textId="77777777" w:rsidR="00CB59AD" w:rsidRPr="00294FA6" w:rsidRDefault="00CB59AD" w:rsidP="00152419">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(8,961)</w:t>
            </w:r>
          </w:p>
        </w:tc>
        <w:tc>
          <w:tcPr>
            <w:tcW w:w="877" w:type="dxa"/>
            <w:tcBorders>
              <w:top w:val="nil"/>
              <w:left w:val="nil"/>
              <w:bottom w:val="single" w:sz="4" w:space="0" w:color="auto"/>
              <w:right w:val="nil"/>
            </w:tcBorders>
            <w:shd w:val="clear" w:color="auto" w:fill="auto"/>
            <w:noWrap/>
            <w:vAlign w:val="bottom"/>
            <w:hideMark/>
          </w:tcPr>
          <w:p w14:paraId="4CA76FDA" w14:textId="77777777" w:rsidR="00CB59AD" w:rsidRPr="00294FA6" w:rsidRDefault="00CB59AD" w:rsidP="00152419">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(5,603)</w:t>
            </w:r>
          </w:p>
        </w:tc>
      </w:tr>
      <w:tr w:rsidR="00CB59AD" w:rsidRPr="003C1232" w14:paraId="725FE8BD" w14:textId="77777777" w:rsidTr="00AD5F79">
        <w:trPr>
          <w:trHeight w:val="204"/>
        </w:trPr>
        <w:tc>
          <w:tcPr>
            <w:tcW w:w="3119" w:type="dxa"/>
            <w:tcBorders>
              <w:top w:val="nil"/>
              <w:left w:val="nil"/>
              <w:bottom w:val="nil"/>
              <w:right w:val="nil"/>
            </w:tcBorders>
            <w:shd w:val="clear" w:color="auto" w:fill="auto"/>
            <w:noWrap/>
            <w:vAlign w:val="center"/>
            <w:hideMark/>
          </w:tcPr>
          <w:p w14:paraId="6F225E4C" w14:textId="77777777" w:rsidR="00CB59AD" w:rsidRPr="003C1232" w:rsidRDefault="00CB59AD" w:rsidP="00CB59AD">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FINANCING ACTIVITIES</w:t>
            </w:r>
          </w:p>
        </w:tc>
        <w:tc>
          <w:tcPr>
            <w:tcW w:w="880" w:type="dxa"/>
            <w:tcBorders>
              <w:top w:val="nil"/>
              <w:left w:val="nil"/>
              <w:bottom w:val="nil"/>
              <w:right w:val="nil"/>
            </w:tcBorders>
            <w:shd w:val="clear" w:color="auto" w:fill="auto"/>
            <w:noWrap/>
            <w:vAlign w:val="bottom"/>
            <w:hideMark/>
          </w:tcPr>
          <w:p w14:paraId="14886DF1" w14:textId="77777777" w:rsidR="00CB59AD" w:rsidRPr="003C1232" w:rsidRDefault="00CB59AD" w:rsidP="000547F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50EE726B" w14:textId="1E7B5AD7" w:rsidR="00CB59AD" w:rsidRPr="003C1232" w:rsidRDefault="00CB59AD" w:rsidP="000547F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66A851BA" w14:textId="77777777" w:rsidR="00CB59AD" w:rsidRPr="003C1232" w:rsidRDefault="00CB59AD" w:rsidP="000547F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62544B1F" w14:textId="77777777" w:rsidR="00CB59AD" w:rsidRPr="003C1232" w:rsidRDefault="00CB59AD" w:rsidP="000547F7">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56D2DC72" w14:textId="77777777" w:rsidR="00CB59AD" w:rsidRPr="003C1232" w:rsidRDefault="00CB59AD" w:rsidP="000547F7">
            <w:pPr>
              <w:spacing w:after="0" w:line="240" w:lineRule="auto"/>
              <w:jc w:val="right"/>
              <w:rPr>
                <w:rFonts w:ascii="Times New Roman" w:hAnsi="Times New Roman"/>
              </w:rPr>
            </w:pPr>
          </w:p>
        </w:tc>
      </w:tr>
      <w:tr w:rsidR="00CB59AD" w:rsidRPr="003C1232" w14:paraId="31C854B6" w14:textId="77777777" w:rsidTr="00AD5F79">
        <w:trPr>
          <w:trHeight w:val="204"/>
        </w:trPr>
        <w:tc>
          <w:tcPr>
            <w:tcW w:w="3119" w:type="dxa"/>
            <w:tcBorders>
              <w:top w:val="nil"/>
              <w:left w:val="nil"/>
              <w:bottom w:val="nil"/>
              <w:right w:val="nil"/>
            </w:tcBorders>
            <w:shd w:val="clear" w:color="auto" w:fill="auto"/>
            <w:noWrap/>
            <w:vAlign w:val="center"/>
            <w:hideMark/>
          </w:tcPr>
          <w:p w14:paraId="64708701" w14:textId="77777777" w:rsidR="00CB59AD" w:rsidRPr="003C1232" w:rsidRDefault="00CB59AD" w:rsidP="00CB59AD">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14:paraId="4BF82461" w14:textId="77777777" w:rsidR="00CB59AD" w:rsidRPr="003C1232" w:rsidRDefault="00CB59AD" w:rsidP="000547F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0998701D" w14:textId="7D58ACF0" w:rsidR="00CB59AD" w:rsidRPr="003C1232" w:rsidRDefault="00CB59AD" w:rsidP="000547F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811B7F7" w14:textId="77777777" w:rsidR="00CB59AD" w:rsidRPr="003C1232" w:rsidRDefault="00CB59AD" w:rsidP="000547F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ACB57BF" w14:textId="77777777" w:rsidR="00CB59AD" w:rsidRPr="003C1232" w:rsidRDefault="00CB59AD" w:rsidP="000547F7">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05F20C23" w14:textId="77777777" w:rsidR="00CB59AD" w:rsidRPr="003C1232" w:rsidRDefault="00CB59AD" w:rsidP="000547F7">
            <w:pPr>
              <w:spacing w:after="0" w:line="240" w:lineRule="auto"/>
              <w:jc w:val="right"/>
              <w:rPr>
                <w:rFonts w:ascii="Times New Roman" w:hAnsi="Times New Roman"/>
              </w:rPr>
            </w:pPr>
          </w:p>
        </w:tc>
      </w:tr>
      <w:tr w:rsidR="00CB59AD" w:rsidRPr="003C1232" w14:paraId="33537ABD" w14:textId="77777777" w:rsidTr="00AD5F79">
        <w:trPr>
          <w:trHeight w:val="204"/>
        </w:trPr>
        <w:tc>
          <w:tcPr>
            <w:tcW w:w="3119" w:type="dxa"/>
            <w:tcBorders>
              <w:top w:val="nil"/>
              <w:left w:val="nil"/>
              <w:bottom w:val="nil"/>
              <w:right w:val="nil"/>
            </w:tcBorders>
            <w:shd w:val="clear" w:color="auto" w:fill="auto"/>
            <w:noWrap/>
            <w:vAlign w:val="center"/>
            <w:hideMark/>
          </w:tcPr>
          <w:p w14:paraId="6D669438" w14:textId="77777777" w:rsidR="00CB59AD" w:rsidRPr="003C1232" w:rsidRDefault="00CB59AD" w:rsidP="00313EAC">
            <w:pPr>
              <w:spacing w:after="0" w:line="240" w:lineRule="auto"/>
              <w:ind w:left="113"/>
              <w:jc w:val="left"/>
              <w:rPr>
                <w:rFonts w:ascii="Arial" w:hAnsi="Arial" w:cs="Arial"/>
                <w:color w:val="000000"/>
                <w:sz w:val="16"/>
                <w:szCs w:val="16"/>
              </w:rPr>
            </w:pPr>
            <w:r w:rsidRPr="003C1232">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bottom"/>
            <w:hideMark/>
          </w:tcPr>
          <w:p w14:paraId="13511AD6" w14:textId="4DEF744A"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809</w:t>
            </w:r>
          </w:p>
        </w:tc>
        <w:tc>
          <w:tcPr>
            <w:tcW w:w="880" w:type="dxa"/>
            <w:tcBorders>
              <w:top w:val="nil"/>
              <w:left w:val="nil"/>
              <w:bottom w:val="nil"/>
              <w:right w:val="nil"/>
            </w:tcBorders>
            <w:shd w:val="clear" w:color="000000" w:fill="E6E6E6"/>
            <w:noWrap/>
            <w:vAlign w:val="bottom"/>
            <w:hideMark/>
          </w:tcPr>
          <w:p w14:paraId="297F4C33" w14:textId="764D1385"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4,327</w:t>
            </w:r>
          </w:p>
        </w:tc>
        <w:tc>
          <w:tcPr>
            <w:tcW w:w="880" w:type="dxa"/>
            <w:tcBorders>
              <w:top w:val="nil"/>
              <w:left w:val="nil"/>
              <w:bottom w:val="nil"/>
              <w:right w:val="nil"/>
            </w:tcBorders>
            <w:shd w:val="clear" w:color="auto" w:fill="auto"/>
            <w:noWrap/>
            <w:vAlign w:val="bottom"/>
            <w:hideMark/>
          </w:tcPr>
          <w:p w14:paraId="139B0CCF" w14:textId="05F2D0F4"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8,400</w:t>
            </w:r>
          </w:p>
        </w:tc>
        <w:tc>
          <w:tcPr>
            <w:tcW w:w="880" w:type="dxa"/>
            <w:tcBorders>
              <w:top w:val="nil"/>
              <w:left w:val="nil"/>
              <w:bottom w:val="nil"/>
              <w:right w:val="nil"/>
            </w:tcBorders>
            <w:shd w:val="clear" w:color="auto" w:fill="auto"/>
            <w:noWrap/>
            <w:vAlign w:val="bottom"/>
            <w:hideMark/>
          </w:tcPr>
          <w:p w14:paraId="3E47113B" w14:textId="4F46C907"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8,751</w:t>
            </w:r>
          </w:p>
        </w:tc>
        <w:tc>
          <w:tcPr>
            <w:tcW w:w="880" w:type="dxa"/>
            <w:tcBorders>
              <w:top w:val="nil"/>
              <w:left w:val="nil"/>
              <w:bottom w:val="nil"/>
              <w:right w:val="nil"/>
            </w:tcBorders>
            <w:shd w:val="clear" w:color="auto" w:fill="auto"/>
            <w:noWrap/>
            <w:vAlign w:val="bottom"/>
            <w:hideMark/>
          </w:tcPr>
          <w:p w14:paraId="476CC878" w14:textId="699AE7B5"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4,893</w:t>
            </w:r>
          </w:p>
        </w:tc>
      </w:tr>
      <w:tr w:rsidR="00CB59AD" w:rsidRPr="003C1232" w14:paraId="43D02719" w14:textId="77777777" w:rsidTr="00AD5F79">
        <w:trPr>
          <w:trHeight w:val="204"/>
        </w:trPr>
        <w:tc>
          <w:tcPr>
            <w:tcW w:w="3119" w:type="dxa"/>
            <w:tcBorders>
              <w:top w:val="nil"/>
              <w:left w:val="nil"/>
              <w:bottom w:val="nil"/>
              <w:right w:val="nil"/>
            </w:tcBorders>
            <w:shd w:val="clear" w:color="auto" w:fill="auto"/>
            <w:noWrap/>
            <w:vAlign w:val="center"/>
            <w:hideMark/>
          </w:tcPr>
          <w:p w14:paraId="249861A7" w14:textId="77777777" w:rsidR="00CB59AD" w:rsidRPr="003C1232" w:rsidRDefault="00CB59AD" w:rsidP="00CB59AD">
            <w:pPr>
              <w:spacing w:after="0" w:line="240" w:lineRule="auto"/>
              <w:jc w:val="left"/>
              <w:rPr>
                <w:rFonts w:ascii="Arial" w:hAnsi="Arial" w:cs="Arial"/>
                <w:b/>
                <w:bCs/>
                <w:i/>
                <w:iCs/>
                <w:color w:val="000000"/>
                <w:sz w:val="16"/>
                <w:szCs w:val="16"/>
              </w:rPr>
            </w:pPr>
            <w:r w:rsidRPr="003C1232">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14:paraId="04E717F7" w14:textId="76B8069B" w:rsidR="00CB59AD" w:rsidRPr="00294FA6" w:rsidRDefault="00CB59AD" w:rsidP="000547F7">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809</w:t>
            </w:r>
          </w:p>
        </w:tc>
        <w:tc>
          <w:tcPr>
            <w:tcW w:w="880" w:type="dxa"/>
            <w:tcBorders>
              <w:top w:val="single" w:sz="4" w:space="0" w:color="000000"/>
              <w:left w:val="nil"/>
              <w:bottom w:val="single" w:sz="4" w:space="0" w:color="000000"/>
              <w:right w:val="nil"/>
            </w:tcBorders>
            <w:shd w:val="clear" w:color="000000" w:fill="E6E6E6"/>
            <w:noWrap/>
            <w:vAlign w:val="bottom"/>
            <w:hideMark/>
          </w:tcPr>
          <w:p w14:paraId="308F1F78" w14:textId="0CE2722E" w:rsidR="00CB59AD" w:rsidRPr="00294FA6" w:rsidRDefault="00CB59AD" w:rsidP="000547F7">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4,327</w:t>
            </w:r>
          </w:p>
        </w:tc>
        <w:tc>
          <w:tcPr>
            <w:tcW w:w="880" w:type="dxa"/>
            <w:tcBorders>
              <w:top w:val="single" w:sz="4" w:space="0" w:color="000000"/>
              <w:left w:val="nil"/>
              <w:bottom w:val="single" w:sz="4" w:space="0" w:color="000000"/>
              <w:right w:val="nil"/>
            </w:tcBorders>
            <w:shd w:val="clear" w:color="auto" w:fill="auto"/>
            <w:noWrap/>
            <w:vAlign w:val="bottom"/>
            <w:hideMark/>
          </w:tcPr>
          <w:p w14:paraId="7DB71608" w14:textId="66430A94" w:rsidR="00CB59AD" w:rsidRPr="00294FA6" w:rsidRDefault="00CB59AD" w:rsidP="000547F7">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8,400</w:t>
            </w:r>
          </w:p>
        </w:tc>
        <w:tc>
          <w:tcPr>
            <w:tcW w:w="880" w:type="dxa"/>
            <w:tcBorders>
              <w:top w:val="single" w:sz="4" w:space="0" w:color="000000"/>
              <w:left w:val="nil"/>
              <w:bottom w:val="single" w:sz="4" w:space="0" w:color="000000"/>
              <w:right w:val="nil"/>
            </w:tcBorders>
            <w:shd w:val="clear" w:color="auto" w:fill="auto"/>
            <w:noWrap/>
            <w:vAlign w:val="bottom"/>
            <w:hideMark/>
          </w:tcPr>
          <w:p w14:paraId="73D53022" w14:textId="34F9AEA0" w:rsidR="00CB59AD" w:rsidRPr="00294FA6" w:rsidRDefault="00CB59AD" w:rsidP="000547F7">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8,751</w:t>
            </w:r>
          </w:p>
        </w:tc>
        <w:tc>
          <w:tcPr>
            <w:tcW w:w="880" w:type="dxa"/>
            <w:tcBorders>
              <w:top w:val="single" w:sz="4" w:space="0" w:color="000000"/>
              <w:left w:val="nil"/>
              <w:bottom w:val="single" w:sz="4" w:space="0" w:color="000000"/>
              <w:right w:val="nil"/>
            </w:tcBorders>
            <w:shd w:val="clear" w:color="auto" w:fill="auto"/>
            <w:noWrap/>
            <w:vAlign w:val="bottom"/>
            <w:hideMark/>
          </w:tcPr>
          <w:p w14:paraId="54A472AD" w14:textId="69AD0850" w:rsidR="00CB59AD" w:rsidRPr="00294FA6" w:rsidRDefault="00CB59AD" w:rsidP="000547F7">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4,893</w:t>
            </w:r>
          </w:p>
        </w:tc>
      </w:tr>
      <w:tr w:rsidR="00CB59AD" w:rsidRPr="003C1232" w14:paraId="293405B0" w14:textId="77777777" w:rsidTr="00AD5F79">
        <w:trPr>
          <w:trHeight w:val="204"/>
        </w:trPr>
        <w:tc>
          <w:tcPr>
            <w:tcW w:w="3119" w:type="dxa"/>
            <w:tcBorders>
              <w:top w:val="nil"/>
              <w:left w:val="nil"/>
              <w:bottom w:val="nil"/>
              <w:right w:val="nil"/>
            </w:tcBorders>
            <w:shd w:val="clear" w:color="auto" w:fill="auto"/>
            <w:noWrap/>
            <w:vAlign w:val="center"/>
            <w:hideMark/>
          </w:tcPr>
          <w:p w14:paraId="2378B22A" w14:textId="77777777" w:rsidR="00CB59AD" w:rsidRPr="003C1232" w:rsidRDefault="00CB59AD" w:rsidP="00CB59AD">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14:paraId="6857C50E" w14:textId="77777777" w:rsidR="00CB59AD" w:rsidRPr="00294FA6" w:rsidRDefault="00CB59AD" w:rsidP="000547F7">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0A2F9516" w14:textId="2E24DD40" w:rsidR="00CB59AD" w:rsidRPr="00294FA6" w:rsidRDefault="00CB59AD" w:rsidP="000547F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E772F27" w14:textId="77777777" w:rsidR="00CB59AD" w:rsidRPr="00294FA6" w:rsidRDefault="00CB59AD" w:rsidP="000547F7">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D58D3EC" w14:textId="77777777" w:rsidR="00CB59AD" w:rsidRPr="00294FA6" w:rsidRDefault="00CB59AD" w:rsidP="000547F7">
            <w:pPr>
              <w:spacing w:after="0" w:line="240" w:lineRule="auto"/>
              <w:jc w:val="right"/>
              <w:rPr>
                <w:rFonts w:ascii="Times New Roman" w:hAnsi="Times New Roman"/>
                <w:sz w:val="16"/>
                <w:szCs w:val="16"/>
              </w:rPr>
            </w:pPr>
          </w:p>
        </w:tc>
        <w:tc>
          <w:tcPr>
            <w:tcW w:w="880" w:type="dxa"/>
            <w:tcBorders>
              <w:top w:val="nil"/>
              <w:left w:val="nil"/>
              <w:bottom w:val="nil"/>
              <w:right w:val="nil"/>
            </w:tcBorders>
            <w:shd w:val="clear" w:color="auto" w:fill="auto"/>
            <w:noWrap/>
            <w:vAlign w:val="bottom"/>
            <w:hideMark/>
          </w:tcPr>
          <w:p w14:paraId="73C6B5A9" w14:textId="77777777" w:rsidR="00CB59AD" w:rsidRPr="00294FA6" w:rsidRDefault="00CB59AD" w:rsidP="000547F7">
            <w:pPr>
              <w:spacing w:after="0" w:line="240" w:lineRule="auto"/>
              <w:jc w:val="right"/>
              <w:rPr>
                <w:rFonts w:ascii="Times New Roman" w:hAnsi="Times New Roman"/>
                <w:sz w:val="16"/>
                <w:szCs w:val="16"/>
              </w:rPr>
            </w:pPr>
          </w:p>
        </w:tc>
      </w:tr>
      <w:tr w:rsidR="00CB59AD" w:rsidRPr="003C1232" w14:paraId="41E1A942" w14:textId="77777777" w:rsidTr="00AD5F79">
        <w:trPr>
          <w:trHeight w:val="204"/>
        </w:trPr>
        <w:tc>
          <w:tcPr>
            <w:tcW w:w="3119" w:type="dxa"/>
            <w:tcBorders>
              <w:top w:val="nil"/>
              <w:left w:val="nil"/>
              <w:bottom w:val="nil"/>
              <w:right w:val="nil"/>
            </w:tcBorders>
            <w:shd w:val="clear" w:color="auto" w:fill="auto"/>
            <w:noWrap/>
            <w:vAlign w:val="center"/>
            <w:hideMark/>
          </w:tcPr>
          <w:p w14:paraId="4BCAFCFD" w14:textId="77777777" w:rsidR="00CB59AD" w:rsidRPr="003C1232" w:rsidRDefault="00CB59AD" w:rsidP="00313EAC">
            <w:pPr>
              <w:spacing w:after="0" w:line="240" w:lineRule="auto"/>
              <w:ind w:left="113"/>
              <w:jc w:val="left"/>
              <w:rPr>
                <w:rFonts w:ascii="Arial" w:hAnsi="Arial" w:cs="Arial"/>
                <w:sz w:val="16"/>
                <w:szCs w:val="16"/>
              </w:rPr>
            </w:pPr>
            <w:r w:rsidRPr="003C1232">
              <w:rPr>
                <w:rFonts w:ascii="Arial" w:hAnsi="Arial" w:cs="Arial"/>
                <w:sz w:val="16"/>
                <w:szCs w:val="16"/>
              </w:rPr>
              <w:t>Principal payments on lease liability</w:t>
            </w:r>
          </w:p>
        </w:tc>
        <w:tc>
          <w:tcPr>
            <w:tcW w:w="880" w:type="dxa"/>
            <w:tcBorders>
              <w:top w:val="nil"/>
              <w:left w:val="nil"/>
              <w:bottom w:val="nil"/>
              <w:right w:val="nil"/>
            </w:tcBorders>
            <w:shd w:val="clear" w:color="auto" w:fill="auto"/>
            <w:noWrap/>
            <w:vAlign w:val="bottom"/>
            <w:hideMark/>
          </w:tcPr>
          <w:p w14:paraId="45585DC3" w14:textId="5748A136"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767</w:t>
            </w:r>
          </w:p>
        </w:tc>
        <w:tc>
          <w:tcPr>
            <w:tcW w:w="880" w:type="dxa"/>
            <w:tcBorders>
              <w:top w:val="nil"/>
              <w:left w:val="nil"/>
              <w:bottom w:val="nil"/>
              <w:right w:val="nil"/>
            </w:tcBorders>
            <w:shd w:val="clear" w:color="000000" w:fill="E6E6E6"/>
            <w:noWrap/>
            <w:vAlign w:val="bottom"/>
            <w:hideMark/>
          </w:tcPr>
          <w:p w14:paraId="6A11D23C" w14:textId="185D80F7"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626</w:t>
            </w:r>
          </w:p>
        </w:tc>
        <w:tc>
          <w:tcPr>
            <w:tcW w:w="880" w:type="dxa"/>
            <w:tcBorders>
              <w:top w:val="nil"/>
              <w:left w:val="nil"/>
              <w:bottom w:val="nil"/>
              <w:right w:val="nil"/>
            </w:tcBorders>
            <w:shd w:val="clear" w:color="auto" w:fill="auto"/>
            <w:noWrap/>
            <w:vAlign w:val="bottom"/>
            <w:hideMark/>
          </w:tcPr>
          <w:p w14:paraId="48BB442D" w14:textId="5629503B"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647</w:t>
            </w:r>
          </w:p>
        </w:tc>
        <w:tc>
          <w:tcPr>
            <w:tcW w:w="880" w:type="dxa"/>
            <w:tcBorders>
              <w:top w:val="nil"/>
              <w:left w:val="nil"/>
              <w:bottom w:val="nil"/>
              <w:right w:val="nil"/>
            </w:tcBorders>
            <w:shd w:val="clear" w:color="auto" w:fill="auto"/>
            <w:noWrap/>
            <w:vAlign w:val="bottom"/>
            <w:hideMark/>
          </w:tcPr>
          <w:p w14:paraId="53336044" w14:textId="09F7D2BC"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647</w:t>
            </w:r>
          </w:p>
        </w:tc>
        <w:tc>
          <w:tcPr>
            <w:tcW w:w="880" w:type="dxa"/>
            <w:tcBorders>
              <w:top w:val="nil"/>
              <w:left w:val="nil"/>
              <w:bottom w:val="nil"/>
              <w:right w:val="nil"/>
            </w:tcBorders>
            <w:shd w:val="clear" w:color="auto" w:fill="auto"/>
            <w:noWrap/>
            <w:vAlign w:val="bottom"/>
            <w:hideMark/>
          </w:tcPr>
          <w:p w14:paraId="7500FC72" w14:textId="035C2DF9"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607</w:t>
            </w:r>
          </w:p>
        </w:tc>
      </w:tr>
      <w:tr w:rsidR="00CB59AD" w:rsidRPr="003C1232" w14:paraId="62A5D7AD" w14:textId="77777777" w:rsidTr="00AD5F79">
        <w:trPr>
          <w:trHeight w:val="204"/>
        </w:trPr>
        <w:tc>
          <w:tcPr>
            <w:tcW w:w="3119" w:type="dxa"/>
            <w:tcBorders>
              <w:top w:val="nil"/>
              <w:left w:val="nil"/>
              <w:bottom w:val="nil"/>
              <w:right w:val="nil"/>
            </w:tcBorders>
            <w:shd w:val="clear" w:color="auto" w:fill="auto"/>
            <w:noWrap/>
            <w:vAlign w:val="center"/>
            <w:hideMark/>
          </w:tcPr>
          <w:p w14:paraId="09272EF5" w14:textId="77777777" w:rsidR="00CB59AD" w:rsidRPr="003C1232" w:rsidRDefault="00CB59AD" w:rsidP="00CB59AD">
            <w:pPr>
              <w:spacing w:after="0" w:line="240" w:lineRule="auto"/>
              <w:jc w:val="left"/>
              <w:rPr>
                <w:rFonts w:ascii="Arial" w:hAnsi="Arial" w:cs="Arial"/>
                <w:b/>
                <w:bCs/>
                <w:i/>
                <w:iCs/>
                <w:color w:val="000000"/>
                <w:sz w:val="16"/>
                <w:szCs w:val="16"/>
              </w:rPr>
            </w:pPr>
            <w:r w:rsidRPr="003C1232">
              <w:rPr>
                <w:rFonts w:ascii="Arial" w:hAnsi="Arial" w:cs="Arial"/>
                <w:b/>
                <w:bCs/>
                <w:i/>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14:paraId="3F4128A6" w14:textId="025C5B5D" w:rsidR="00CB59AD" w:rsidRPr="00294FA6" w:rsidRDefault="00CB59AD" w:rsidP="000547F7">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767</w:t>
            </w:r>
          </w:p>
        </w:tc>
        <w:tc>
          <w:tcPr>
            <w:tcW w:w="880" w:type="dxa"/>
            <w:tcBorders>
              <w:top w:val="single" w:sz="4" w:space="0" w:color="000000"/>
              <w:left w:val="nil"/>
              <w:bottom w:val="single" w:sz="4" w:space="0" w:color="000000"/>
              <w:right w:val="nil"/>
            </w:tcBorders>
            <w:shd w:val="clear" w:color="000000" w:fill="E6E6E6"/>
            <w:noWrap/>
            <w:vAlign w:val="bottom"/>
            <w:hideMark/>
          </w:tcPr>
          <w:p w14:paraId="41C13242" w14:textId="2C29B137" w:rsidR="00CB59AD" w:rsidRPr="00294FA6" w:rsidRDefault="00CB59AD" w:rsidP="000547F7">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626</w:t>
            </w:r>
          </w:p>
        </w:tc>
        <w:tc>
          <w:tcPr>
            <w:tcW w:w="880" w:type="dxa"/>
            <w:tcBorders>
              <w:top w:val="single" w:sz="4" w:space="0" w:color="000000"/>
              <w:left w:val="nil"/>
              <w:bottom w:val="single" w:sz="4" w:space="0" w:color="000000"/>
              <w:right w:val="nil"/>
            </w:tcBorders>
            <w:shd w:val="clear" w:color="auto" w:fill="auto"/>
            <w:noWrap/>
            <w:vAlign w:val="bottom"/>
            <w:hideMark/>
          </w:tcPr>
          <w:p w14:paraId="2BB1F288" w14:textId="568047D3" w:rsidR="00CB59AD" w:rsidRPr="00294FA6" w:rsidRDefault="00CB59AD" w:rsidP="000547F7">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647</w:t>
            </w:r>
          </w:p>
        </w:tc>
        <w:tc>
          <w:tcPr>
            <w:tcW w:w="880" w:type="dxa"/>
            <w:tcBorders>
              <w:top w:val="single" w:sz="4" w:space="0" w:color="000000"/>
              <w:left w:val="nil"/>
              <w:bottom w:val="single" w:sz="4" w:space="0" w:color="000000"/>
              <w:right w:val="nil"/>
            </w:tcBorders>
            <w:shd w:val="clear" w:color="auto" w:fill="auto"/>
            <w:noWrap/>
            <w:vAlign w:val="bottom"/>
            <w:hideMark/>
          </w:tcPr>
          <w:p w14:paraId="64B21C1A" w14:textId="12504704" w:rsidR="00CB59AD" w:rsidRPr="00294FA6" w:rsidRDefault="00CB59AD" w:rsidP="000547F7">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647</w:t>
            </w:r>
          </w:p>
        </w:tc>
        <w:tc>
          <w:tcPr>
            <w:tcW w:w="880" w:type="dxa"/>
            <w:tcBorders>
              <w:top w:val="single" w:sz="4" w:space="0" w:color="000000"/>
              <w:left w:val="nil"/>
              <w:bottom w:val="single" w:sz="4" w:space="0" w:color="000000"/>
              <w:right w:val="nil"/>
            </w:tcBorders>
            <w:shd w:val="clear" w:color="auto" w:fill="auto"/>
            <w:noWrap/>
            <w:vAlign w:val="bottom"/>
            <w:hideMark/>
          </w:tcPr>
          <w:p w14:paraId="1FED0357" w14:textId="2CC1245E" w:rsidR="00CB59AD" w:rsidRPr="00294FA6" w:rsidRDefault="00CB59AD" w:rsidP="000547F7">
            <w:pPr>
              <w:spacing w:after="0" w:line="240" w:lineRule="auto"/>
              <w:jc w:val="right"/>
              <w:rPr>
                <w:rFonts w:ascii="Arial" w:hAnsi="Arial" w:cs="Arial"/>
                <w:b/>
                <w:bCs/>
                <w:i/>
                <w:iCs/>
                <w:color w:val="000000"/>
                <w:sz w:val="16"/>
                <w:szCs w:val="16"/>
              </w:rPr>
            </w:pPr>
            <w:r w:rsidRPr="00294FA6">
              <w:rPr>
                <w:rFonts w:ascii="Arial" w:hAnsi="Arial" w:cs="Arial"/>
                <w:b/>
                <w:bCs/>
                <w:i/>
                <w:iCs/>
                <w:color w:val="000000"/>
                <w:sz w:val="16"/>
                <w:szCs w:val="16"/>
              </w:rPr>
              <w:t>607</w:t>
            </w:r>
          </w:p>
        </w:tc>
      </w:tr>
      <w:tr w:rsidR="00CB59AD" w:rsidRPr="003C1232" w14:paraId="186D7A71" w14:textId="77777777" w:rsidTr="00AD5F79">
        <w:trPr>
          <w:trHeight w:val="204"/>
        </w:trPr>
        <w:tc>
          <w:tcPr>
            <w:tcW w:w="3119" w:type="dxa"/>
            <w:tcBorders>
              <w:top w:val="nil"/>
              <w:left w:val="nil"/>
              <w:bottom w:val="nil"/>
              <w:right w:val="nil"/>
            </w:tcBorders>
            <w:shd w:val="clear" w:color="auto" w:fill="auto"/>
            <w:vAlign w:val="center"/>
            <w:hideMark/>
          </w:tcPr>
          <w:p w14:paraId="0F4FF519" w14:textId="428793A6" w:rsidR="00CB59AD" w:rsidRPr="003C1232" w:rsidRDefault="00CB59AD" w:rsidP="00313EAC">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Net cash from/(used by)</w:t>
            </w:r>
            <w:r w:rsidR="00313EAC">
              <w:rPr>
                <w:rFonts w:ascii="Arial" w:hAnsi="Arial" w:cs="Arial"/>
                <w:b/>
                <w:bCs/>
                <w:color w:val="000000"/>
                <w:sz w:val="16"/>
                <w:szCs w:val="16"/>
              </w:rPr>
              <w:t xml:space="preserve"> </w:t>
            </w:r>
            <w:r w:rsidRPr="003C1232">
              <w:rPr>
                <w:rFonts w:ascii="Arial" w:hAnsi="Arial" w:cs="Arial"/>
                <w:b/>
                <w:bCs/>
                <w:color w:val="000000"/>
                <w:sz w:val="16"/>
                <w:szCs w:val="16"/>
              </w:rPr>
              <w:t>financing activities</w:t>
            </w:r>
          </w:p>
        </w:tc>
        <w:tc>
          <w:tcPr>
            <w:tcW w:w="880" w:type="dxa"/>
            <w:tcBorders>
              <w:top w:val="nil"/>
              <w:left w:val="nil"/>
              <w:bottom w:val="single" w:sz="4" w:space="0" w:color="000000"/>
              <w:right w:val="nil"/>
            </w:tcBorders>
            <w:shd w:val="clear" w:color="auto" w:fill="auto"/>
            <w:noWrap/>
            <w:vAlign w:val="bottom"/>
            <w:hideMark/>
          </w:tcPr>
          <w:p w14:paraId="097A6D1E" w14:textId="089D01AB" w:rsidR="00CB59AD" w:rsidRPr="00294FA6" w:rsidRDefault="00CB59AD" w:rsidP="000547F7">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42</w:t>
            </w:r>
          </w:p>
        </w:tc>
        <w:tc>
          <w:tcPr>
            <w:tcW w:w="880" w:type="dxa"/>
            <w:tcBorders>
              <w:top w:val="nil"/>
              <w:left w:val="nil"/>
              <w:bottom w:val="single" w:sz="4" w:space="0" w:color="000000"/>
              <w:right w:val="nil"/>
            </w:tcBorders>
            <w:shd w:val="clear" w:color="000000" w:fill="E6E6E6"/>
            <w:noWrap/>
            <w:vAlign w:val="bottom"/>
            <w:hideMark/>
          </w:tcPr>
          <w:p w14:paraId="38B8D1BE" w14:textId="0A55B698" w:rsidR="00CB59AD" w:rsidRPr="00294FA6" w:rsidRDefault="00CB59AD" w:rsidP="000547F7">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3,701</w:t>
            </w:r>
          </w:p>
        </w:tc>
        <w:tc>
          <w:tcPr>
            <w:tcW w:w="880" w:type="dxa"/>
            <w:tcBorders>
              <w:top w:val="nil"/>
              <w:left w:val="nil"/>
              <w:bottom w:val="single" w:sz="4" w:space="0" w:color="000000"/>
              <w:right w:val="nil"/>
            </w:tcBorders>
            <w:shd w:val="clear" w:color="auto" w:fill="auto"/>
            <w:noWrap/>
            <w:vAlign w:val="bottom"/>
            <w:hideMark/>
          </w:tcPr>
          <w:p w14:paraId="2553488E" w14:textId="154AA4E9" w:rsidR="00CB59AD" w:rsidRPr="00294FA6" w:rsidRDefault="00CB59AD" w:rsidP="000547F7">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7,753</w:t>
            </w:r>
          </w:p>
        </w:tc>
        <w:tc>
          <w:tcPr>
            <w:tcW w:w="880" w:type="dxa"/>
            <w:tcBorders>
              <w:top w:val="nil"/>
              <w:left w:val="nil"/>
              <w:bottom w:val="single" w:sz="4" w:space="0" w:color="000000"/>
              <w:right w:val="nil"/>
            </w:tcBorders>
            <w:shd w:val="clear" w:color="auto" w:fill="auto"/>
            <w:noWrap/>
            <w:vAlign w:val="bottom"/>
            <w:hideMark/>
          </w:tcPr>
          <w:p w14:paraId="071343F6" w14:textId="6BA54141" w:rsidR="00CB59AD" w:rsidRPr="00294FA6" w:rsidRDefault="00CB59AD" w:rsidP="000547F7">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8,104</w:t>
            </w:r>
          </w:p>
        </w:tc>
        <w:tc>
          <w:tcPr>
            <w:tcW w:w="880" w:type="dxa"/>
            <w:tcBorders>
              <w:top w:val="nil"/>
              <w:left w:val="nil"/>
              <w:bottom w:val="single" w:sz="4" w:space="0" w:color="000000"/>
              <w:right w:val="nil"/>
            </w:tcBorders>
            <w:shd w:val="clear" w:color="auto" w:fill="auto"/>
            <w:noWrap/>
            <w:vAlign w:val="bottom"/>
            <w:hideMark/>
          </w:tcPr>
          <w:p w14:paraId="0922D5B7" w14:textId="3DC546CF" w:rsidR="00CB59AD" w:rsidRPr="00294FA6" w:rsidRDefault="00CB59AD" w:rsidP="000547F7">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4,286</w:t>
            </w:r>
          </w:p>
        </w:tc>
      </w:tr>
      <w:tr w:rsidR="00CB59AD" w:rsidRPr="003C1232" w14:paraId="5AE67810" w14:textId="77777777" w:rsidTr="00AD5F79">
        <w:trPr>
          <w:trHeight w:val="204"/>
        </w:trPr>
        <w:tc>
          <w:tcPr>
            <w:tcW w:w="3119" w:type="dxa"/>
            <w:tcBorders>
              <w:top w:val="nil"/>
              <w:left w:val="nil"/>
              <w:bottom w:val="nil"/>
              <w:right w:val="nil"/>
            </w:tcBorders>
            <w:shd w:val="clear" w:color="auto" w:fill="auto"/>
            <w:vAlign w:val="center"/>
            <w:hideMark/>
          </w:tcPr>
          <w:p w14:paraId="3AFEF3ED" w14:textId="7CB4FCD7" w:rsidR="00CB59AD" w:rsidRPr="003C1232" w:rsidRDefault="00CB59AD" w:rsidP="00313EAC">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Net increase/(decrease) in cash</w:t>
            </w:r>
            <w:r w:rsidR="00313EAC">
              <w:rPr>
                <w:rFonts w:ascii="Arial" w:hAnsi="Arial" w:cs="Arial"/>
                <w:b/>
                <w:bCs/>
                <w:color w:val="000000"/>
                <w:sz w:val="16"/>
                <w:szCs w:val="16"/>
              </w:rPr>
              <w:t xml:space="preserve"> </w:t>
            </w:r>
            <w:r w:rsidRPr="003C1232">
              <w:rPr>
                <w:rFonts w:ascii="Arial" w:hAnsi="Arial" w:cs="Arial"/>
                <w:b/>
                <w:bCs/>
                <w:color w:val="000000"/>
                <w:sz w:val="16"/>
                <w:szCs w:val="16"/>
              </w:rPr>
              <w:t>held</w:t>
            </w:r>
          </w:p>
        </w:tc>
        <w:tc>
          <w:tcPr>
            <w:tcW w:w="880" w:type="dxa"/>
            <w:tcBorders>
              <w:top w:val="nil"/>
              <w:left w:val="nil"/>
              <w:bottom w:val="single" w:sz="4" w:space="0" w:color="000000"/>
              <w:right w:val="nil"/>
            </w:tcBorders>
            <w:shd w:val="clear" w:color="auto" w:fill="auto"/>
            <w:noWrap/>
            <w:vAlign w:val="bottom"/>
            <w:hideMark/>
          </w:tcPr>
          <w:p w14:paraId="61E0B1BF" w14:textId="77777777" w:rsidR="00CB59AD" w:rsidRPr="00294FA6" w:rsidRDefault="00CB59AD" w:rsidP="000547F7">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(404)</w:t>
            </w:r>
          </w:p>
        </w:tc>
        <w:tc>
          <w:tcPr>
            <w:tcW w:w="880" w:type="dxa"/>
            <w:tcBorders>
              <w:top w:val="nil"/>
              <w:left w:val="nil"/>
              <w:bottom w:val="single" w:sz="4" w:space="0" w:color="000000"/>
              <w:right w:val="nil"/>
            </w:tcBorders>
            <w:shd w:val="clear" w:color="000000" w:fill="E6E6E6"/>
            <w:noWrap/>
            <w:vAlign w:val="bottom"/>
            <w:hideMark/>
          </w:tcPr>
          <w:p w14:paraId="040FE6C0" w14:textId="543A5820" w:rsidR="00CB59AD" w:rsidRPr="00294FA6" w:rsidRDefault="00CB59AD" w:rsidP="000547F7">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373</w:t>
            </w:r>
          </w:p>
        </w:tc>
        <w:tc>
          <w:tcPr>
            <w:tcW w:w="880" w:type="dxa"/>
            <w:tcBorders>
              <w:top w:val="nil"/>
              <w:left w:val="nil"/>
              <w:bottom w:val="single" w:sz="4" w:space="0" w:color="000000"/>
              <w:right w:val="nil"/>
            </w:tcBorders>
            <w:shd w:val="clear" w:color="auto" w:fill="auto"/>
            <w:noWrap/>
            <w:vAlign w:val="bottom"/>
            <w:hideMark/>
          </w:tcPr>
          <w:p w14:paraId="7113F89D" w14:textId="5D53B72A" w:rsidR="00CB59AD" w:rsidRPr="00294FA6" w:rsidRDefault="00CB59AD" w:rsidP="000547F7">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1,326</w:t>
            </w:r>
          </w:p>
        </w:tc>
        <w:tc>
          <w:tcPr>
            <w:tcW w:w="880" w:type="dxa"/>
            <w:tcBorders>
              <w:top w:val="nil"/>
              <w:left w:val="nil"/>
              <w:bottom w:val="single" w:sz="4" w:space="0" w:color="000000"/>
              <w:right w:val="nil"/>
            </w:tcBorders>
            <w:shd w:val="clear" w:color="auto" w:fill="auto"/>
            <w:noWrap/>
            <w:vAlign w:val="bottom"/>
            <w:hideMark/>
          </w:tcPr>
          <w:p w14:paraId="263586F6" w14:textId="6FA6A38A" w:rsidR="00CB59AD" w:rsidRPr="00294FA6" w:rsidRDefault="00CB59AD" w:rsidP="000547F7">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730</w:t>
            </w:r>
          </w:p>
        </w:tc>
        <w:tc>
          <w:tcPr>
            <w:tcW w:w="880" w:type="dxa"/>
            <w:tcBorders>
              <w:top w:val="nil"/>
              <w:left w:val="nil"/>
              <w:bottom w:val="single" w:sz="4" w:space="0" w:color="000000"/>
              <w:right w:val="nil"/>
            </w:tcBorders>
            <w:shd w:val="clear" w:color="auto" w:fill="auto"/>
            <w:noWrap/>
            <w:vAlign w:val="bottom"/>
            <w:hideMark/>
          </w:tcPr>
          <w:p w14:paraId="6E8762CE" w14:textId="66DCEACE" w:rsidR="00CB59AD" w:rsidRPr="00294FA6" w:rsidRDefault="00CB59AD" w:rsidP="000547F7">
            <w:pPr>
              <w:spacing w:after="0" w:line="240" w:lineRule="auto"/>
              <w:jc w:val="right"/>
              <w:rPr>
                <w:rFonts w:ascii="Arial" w:hAnsi="Arial" w:cs="Arial"/>
                <w:b/>
                <w:bCs/>
                <w:color w:val="000000"/>
                <w:sz w:val="16"/>
                <w:szCs w:val="16"/>
              </w:rPr>
            </w:pPr>
            <w:r w:rsidRPr="00294FA6">
              <w:rPr>
                <w:rFonts w:ascii="Arial" w:hAnsi="Arial" w:cs="Arial"/>
                <w:b/>
                <w:bCs/>
                <w:color w:val="000000"/>
                <w:sz w:val="16"/>
                <w:szCs w:val="16"/>
              </w:rPr>
              <w:t>341</w:t>
            </w:r>
          </w:p>
        </w:tc>
      </w:tr>
      <w:tr w:rsidR="00CB59AD" w:rsidRPr="003C1232" w14:paraId="338FE9B0" w14:textId="77777777" w:rsidTr="00AD5F79">
        <w:trPr>
          <w:trHeight w:val="204"/>
        </w:trPr>
        <w:tc>
          <w:tcPr>
            <w:tcW w:w="3119" w:type="dxa"/>
            <w:tcBorders>
              <w:top w:val="nil"/>
              <w:left w:val="nil"/>
              <w:bottom w:val="nil"/>
              <w:right w:val="nil"/>
            </w:tcBorders>
            <w:shd w:val="clear" w:color="auto" w:fill="auto"/>
            <w:vAlign w:val="center"/>
            <w:hideMark/>
          </w:tcPr>
          <w:p w14:paraId="5698E822" w14:textId="3CB9B0FA" w:rsidR="00CB59AD" w:rsidRPr="003C1232" w:rsidRDefault="00CB59AD" w:rsidP="007203CA">
            <w:pPr>
              <w:spacing w:before="60" w:after="0" w:line="240" w:lineRule="auto"/>
              <w:jc w:val="left"/>
              <w:rPr>
                <w:rFonts w:ascii="Arial" w:hAnsi="Arial" w:cs="Arial"/>
                <w:color w:val="000000"/>
                <w:sz w:val="16"/>
                <w:szCs w:val="16"/>
              </w:rPr>
            </w:pPr>
            <w:r w:rsidRPr="003C1232">
              <w:rPr>
                <w:rFonts w:ascii="Arial" w:hAnsi="Arial" w:cs="Arial"/>
                <w:color w:val="000000"/>
                <w:sz w:val="16"/>
                <w:szCs w:val="16"/>
              </w:rPr>
              <w:t>Cash and cash equivalents at the</w:t>
            </w:r>
            <w:r w:rsidR="00313EAC">
              <w:rPr>
                <w:rFonts w:ascii="Arial" w:hAnsi="Arial" w:cs="Arial"/>
                <w:color w:val="000000"/>
                <w:sz w:val="16"/>
                <w:szCs w:val="16"/>
              </w:rPr>
              <w:t xml:space="preserve"> </w:t>
            </w:r>
            <w:r w:rsidRPr="003C1232">
              <w:rPr>
                <w:rFonts w:ascii="Arial" w:hAnsi="Arial" w:cs="Arial"/>
                <w:color w:val="000000"/>
                <w:sz w:val="16"/>
                <w:szCs w:val="16"/>
              </w:rPr>
              <w:t>beginning of the reporting period</w:t>
            </w:r>
          </w:p>
        </w:tc>
        <w:tc>
          <w:tcPr>
            <w:tcW w:w="880" w:type="dxa"/>
            <w:tcBorders>
              <w:top w:val="nil"/>
              <w:left w:val="nil"/>
              <w:bottom w:val="nil"/>
              <w:right w:val="nil"/>
            </w:tcBorders>
            <w:shd w:val="clear" w:color="auto" w:fill="auto"/>
            <w:noWrap/>
            <w:vAlign w:val="bottom"/>
            <w:hideMark/>
          </w:tcPr>
          <w:p w14:paraId="430E56E3" w14:textId="4428BC79"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1,324</w:t>
            </w:r>
          </w:p>
        </w:tc>
        <w:tc>
          <w:tcPr>
            <w:tcW w:w="880" w:type="dxa"/>
            <w:tcBorders>
              <w:top w:val="nil"/>
              <w:left w:val="nil"/>
              <w:bottom w:val="nil"/>
              <w:right w:val="nil"/>
            </w:tcBorders>
            <w:shd w:val="clear" w:color="000000" w:fill="E6E6E6"/>
            <w:noWrap/>
            <w:vAlign w:val="bottom"/>
            <w:hideMark/>
          </w:tcPr>
          <w:p w14:paraId="182829F2" w14:textId="69D34D6A"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920</w:t>
            </w:r>
          </w:p>
        </w:tc>
        <w:tc>
          <w:tcPr>
            <w:tcW w:w="880" w:type="dxa"/>
            <w:tcBorders>
              <w:top w:val="nil"/>
              <w:left w:val="nil"/>
              <w:bottom w:val="nil"/>
              <w:right w:val="nil"/>
            </w:tcBorders>
            <w:shd w:val="clear" w:color="auto" w:fill="auto"/>
            <w:noWrap/>
            <w:vAlign w:val="bottom"/>
            <w:hideMark/>
          </w:tcPr>
          <w:p w14:paraId="57DDD678" w14:textId="6A4DC514"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1,293</w:t>
            </w:r>
          </w:p>
        </w:tc>
        <w:tc>
          <w:tcPr>
            <w:tcW w:w="880" w:type="dxa"/>
            <w:tcBorders>
              <w:top w:val="nil"/>
              <w:left w:val="nil"/>
              <w:bottom w:val="nil"/>
              <w:right w:val="nil"/>
            </w:tcBorders>
            <w:shd w:val="clear" w:color="auto" w:fill="auto"/>
            <w:noWrap/>
            <w:vAlign w:val="bottom"/>
            <w:hideMark/>
          </w:tcPr>
          <w:p w14:paraId="7479A437" w14:textId="448E8DD8"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2,619</w:t>
            </w:r>
          </w:p>
        </w:tc>
        <w:tc>
          <w:tcPr>
            <w:tcW w:w="880" w:type="dxa"/>
            <w:tcBorders>
              <w:top w:val="nil"/>
              <w:left w:val="nil"/>
              <w:bottom w:val="nil"/>
              <w:right w:val="nil"/>
            </w:tcBorders>
            <w:shd w:val="clear" w:color="auto" w:fill="auto"/>
            <w:noWrap/>
            <w:vAlign w:val="bottom"/>
            <w:hideMark/>
          </w:tcPr>
          <w:p w14:paraId="799DBE06" w14:textId="2BE481CB" w:rsidR="00CB59AD" w:rsidRPr="00294FA6" w:rsidRDefault="00CB59AD" w:rsidP="000547F7">
            <w:pPr>
              <w:spacing w:after="0" w:line="240" w:lineRule="auto"/>
              <w:jc w:val="right"/>
              <w:rPr>
                <w:rFonts w:ascii="Arial" w:hAnsi="Arial" w:cs="Arial"/>
                <w:color w:val="000000"/>
                <w:sz w:val="16"/>
                <w:szCs w:val="16"/>
              </w:rPr>
            </w:pPr>
            <w:r w:rsidRPr="00294FA6">
              <w:rPr>
                <w:rFonts w:ascii="Arial" w:hAnsi="Arial" w:cs="Arial"/>
                <w:color w:val="000000"/>
                <w:sz w:val="16"/>
                <w:szCs w:val="16"/>
              </w:rPr>
              <w:t>3,349</w:t>
            </w:r>
          </w:p>
        </w:tc>
      </w:tr>
      <w:tr w:rsidR="00CB59AD" w:rsidRPr="003C1232" w14:paraId="4E913E5E" w14:textId="77777777" w:rsidTr="00AD5F79">
        <w:trPr>
          <w:trHeight w:val="204"/>
        </w:trPr>
        <w:tc>
          <w:tcPr>
            <w:tcW w:w="3119" w:type="dxa"/>
            <w:tcBorders>
              <w:top w:val="nil"/>
              <w:left w:val="nil"/>
              <w:bottom w:val="single" w:sz="4" w:space="0" w:color="auto"/>
              <w:right w:val="nil"/>
            </w:tcBorders>
            <w:shd w:val="clear" w:color="auto" w:fill="auto"/>
            <w:vAlign w:val="center"/>
            <w:hideMark/>
          </w:tcPr>
          <w:p w14:paraId="3304C201" w14:textId="081DBBCC" w:rsidR="00CB59AD" w:rsidRPr="003C1232" w:rsidRDefault="00CB59AD" w:rsidP="00313EAC">
            <w:pPr>
              <w:spacing w:after="0" w:line="240" w:lineRule="auto"/>
              <w:jc w:val="left"/>
              <w:rPr>
                <w:rFonts w:ascii="Arial" w:hAnsi="Arial" w:cs="Arial"/>
                <w:b/>
                <w:bCs/>
                <w:color w:val="000000"/>
                <w:sz w:val="16"/>
                <w:szCs w:val="16"/>
              </w:rPr>
            </w:pPr>
            <w:r w:rsidRPr="003C1232">
              <w:rPr>
                <w:rFonts w:ascii="Arial" w:hAnsi="Arial" w:cs="Arial"/>
                <w:b/>
                <w:bCs/>
                <w:color w:val="000000"/>
                <w:sz w:val="16"/>
                <w:szCs w:val="16"/>
              </w:rPr>
              <w:t>Cash and cash equivalents at</w:t>
            </w:r>
            <w:r w:rsidR="00313EAC">
              <w:rPr>
                <w:rFonts w:ascii="Arial" w:hAnsi="Arial" w:cs="Arial"/>
                <w:b/>
                <w:bCs/>
                <w:color w:val="000000"/>
                <w:sz w:val="16"/>
                <w:szCs w:val="16"/>
              </w:rPr>
              <w:t xml:space="preserve"> </w:t>
            </w:r>
            <w:r w:rsidRPr="003C1232">
              <w:rPr>
                <w:rFonts w:ascii="Arial" w:hAnsi="Arial" w:cs="Arial"/>
                <w:b/>
                <w:bCs/>
                <w:color w:val="000000"/>
                <w:sz w:val="16"/>
                <w:szCs w:val="16"/>
              </w:rPr>
              <w:t>the end of the reporting period</w:t>
            </w:r>
          </w:p>
        </w:tc>
        <w:tc>
          <w:tcPr>
            <w:tcW w:w="880" w:type="dxa"/>
            <w:tcBorders>
              <w:top w:val="single" w:sz="4" w:space="0" w:color="000000"/>
              <w:left w:val="nil"/>
              <w:bottom w:val="single" w:sz="4" w:space="0" w:color="auto"/>
              <w:right w:val="nil"/>
            </w:tcBorders>
            <w:shd w:val="clear" w:color="auto" w:fill="auto"/>
            <w:noWrap/>
            <w:vAlign w:val="bottom"/>
            <w:hideMark/>
          </w:tcPr>
          <w:p w14:paraId="58937BA0" w14:textId="785418EB" w:rsidR="00CB59AD" w:rsidRPr="002D08C3" w:rsidRDefault="00CB59AD" w:rsidP="000547F7">
            <w:pPr>
              <w:spacing w:after="0" w:line="240" w:lineRule="auto"/>
              <w:jc w:val="right"/>
              <w:rPr>
                <w:rFonts w:ascii="Arial" w:hAnsi="Arial" w:cs="Arial"/>
                <w:b/>
                <w:color w:val="000000"/>
                <w:sz w:val="16"/>
                <w:szCs w:val="16"/>
              </w:rPr>
            </w:pPr>
            <w:r w:rsidRPr="002D08C3">
              <w:rPr>
                <w:rFonts w:ascii="Arial" w:hAnsi="Arial" w:cs="Arial"/>
                <w:b/>
                <w:color w:val="000000"/>
                <w:sz w:val="16"/>
                <w:szCs w:val="16"/>
              </w:rPr>
              <w:t>920</w:t>
            </w:r>
          </w:p>
        </w:tc>
        <w:tc>
          <w:tcPr>
            <w:tcW w:w="880" w:type="dxa"/>
            <w:tcBorders>
              <w:top w:val="single" w:sz="4" w:space="0" w:color="000000"/>
              <w:left w:val="nil"/>
              <w:bottom w:val="single" w:sz="4" w:space="0" w:color="auto"/>
              <w:right w:val="nil"/>
            </w:tcBorders>
            <w:shd w:val="clear" w:color="000000" w:fill="E6E6E6"/>
            <w:noWrap/>
            <w:vAlign w:val="bottom"/>
            <w:hideMark/>
          </w:tcPr>
          <w:p w14:paraId="2CFA8C1B" w14:textId="4D4CD6D9" w:rsidR="00CB59AD" w:rsidRPr="002D08C3" w:rsidRDefault="00CB59AD" w:rsidP="000547F7">
            <w:pPr>
              <w:spacing w:after="0" w:line="240" w:lineRule="auto"/>
              <w:jc w:val="right"/>
              <w:rPr>
                <w:rFonts w:ascii="Arial" w:hAnsi="Arial" w:cs="Arial"/>
                <w:b/>
                <w:color w:val="000000"/>
                <w:sz w:val="16"/>
                <w:szCs w:val="16"/>
              </w:rPr>
            </w:pPr>
            <w:r w:rsidRPr="002D08C3">
              <w:rPr>
                <w:rFonts w:ascii="Arial" w:hAnsi="Arial" w:cs="Arial"/>
                <w:b/>
                <w:color w:val="000000"/>
                <w:sz w:val="16"/>
                <w:szCs w:val="16"/>
              </w:rPr>
              <w:t>1,293</w:t>
            </w:r>
          </w:p>
        </w:tc>
        <w:tc>
          <w:tcPr>
            <w:tcW w:w="880" w:type="dxa"/>
            <w:tcBorders>
              <w:top w:val="single" w:sz="4" w:space="0" w:color="000000"/>
              <w:left w:val="nil"/>
              <w:bottom w:val="single" w:sz="4" w:space="0" w:color="auto"/>
              <w:right w:val="nil"/>
            </w:tcBorders>
            <w:shd w:val="clear" w:color="auto" w:fill="auto"/>
            <w:noWrap/>
            <w:vAlign w:val="bottom"/>
            <w:hideMark/>
          </w:tcPr>
          <w:p w14:paraId="22DDBFA0" w14:textId="17DB16D4" w:rsidR="00CB59AD" w:rsidRPr="002D08C3" w:rsidRDefault="00CB59AD" w:rsidP="000547F7">
            <w:pPr>
              <w:spacing w:after="0" w:line="240" w:lineRule="auto"/>
              <w:jc w:val="right"/>
              <w:rPr>
                <w:rFonts w:ascii="Arial" w:hAnsi="Arial" w:cs="Arial"/>
                <w:b/>
                <w:color w:val="000000"/>
                <w:sz w:val="16"/>
                <w:szCs w:val="16"/>
              </w:rPr>
            </w:pPr>
            <w:r w:rsidRPr="002D08C3">
              <w:rPr>
                <w:rFonts w:ascii="Arial" w:hAnsi="Arial" w:cs="Arial"/>
                <w:b/>
                <w:color w:val="000000"/>
                <w:sz w:val="16"/>
                <w:szCs w:val="16"/>
              </w:rPr>
              <w:t>2,619</w:t>
            </w:r>
          </w:p>
        </w:tc>
        <w:tc>
          <w:tcPr>
            <w:tcW w:w="880" w:type="dxa"/>
            <w:tcBorders>
              <w:top w:val="single" w:sz="4" w:space="0" w:color="000000"/>
              <w:left w:val="nil"/>
              <w:bottom w:val="single" w:sz="4" w:space="0" w:color="auto"/>
              <w:right w:val="nil"/>
            </w:tcBorders>
            <w:shd w:val="clear" w:color="auto" w:fill="auto"/>
            <w:noWrap/>
            <w:vAlign w:val="bottom"/>
            <w:hideMark/>
          </w:tcPr>
          <w:p w14:paraId="300D3278" w14:textId="4B078E3E" w:rsidR="00CB59AD" w:rsidRPr="002D08C3" w:rsidRDefault="00CB59AD" w:rsidP="000547F7">
            <w:pPr>
              <w:spacing w:after="0" w:line="240" w:lineRule="auto"/>
              <w:jc w:val="right"/>
              <w:rPr>
                <w:rFonts w:ascii="Arial" w:hAnsi="Arial" w:cs="Arial"/>
                <w:b/>
                <w:color w:val="000000"/>
                <w:sz w:val="16"/>
                <w:szCs w:val="16"/>
              </w:rPr>
            </w:pPr>
            <w:r w:rsidRPr="002D08C3">
              <w:rPr>
                <w:rFonts w:ascii="Arial" w:hAnsi="Arial" w:cs="Arial"/>
                <w:b/>
                <w:color w:val="000000"/>
                <w:sz w:val="16"/>
                <w:szCs w:val="16"/>
              </w:rPr>
              <w:t>3,349</w:t>
            </w:r>
          </w:p>
        </w:tc>
        <w:tc>
          <w:tcPr>
            <w:tcW w:w="880" w:type="dxa"/>
            <w:tcBorders>
              <w:top w:val="single" w:sz="4" w:space="0" w:color="000000"/>
              <w:left w:val="nil"/>
              <w:bottom w:val="single" w:sz="4" w:space="0" w:color="auto"/>
              <w:right w:val="nil"/>
            </w:tcBorders>
            <w:shd w:val="clear" w:color="auto" w:fill="auto"/>
            <w:noWrap/>
            <w:vAlign w:val="bottom"/>
            <w:hideMark/>
          </w:tcPr>
          <w:p w14:paraId="0555FB2A" w14:textId="7BE8C872" w:rsidR="00CB59AD" w:rsidRPr="002D08C3" w:rsidRDefault="00CB59AD" w:rsidP="000547F7">
            <w:pPr>
              <w:spacing w:after="0" w:line="240" w:lineRule="auto"/>
              <w:jc w:val="right"/>
              <w:rPr>
                <w:rFonts w:ascii="Arial" w:hAnsi="Arial" w:cs="Arial"/>
                <w:b/>
                <w:color w:val="000000"/>
                <w:sz w:val="16"/>
                <w:szCs w:val="16"/>
              </w:rPr>
            </w:pPr>
            <w:r w:rsidRPr="002D08C3">
              <w:rPr>
                <w:rFonts w:ascii="Arial" w:hAnsi="Arial" w:cs="Arial"/>
                <w:b/>
                <w:color w:val="000000"/>
                <w:sz w:val="16"/>
                <w:szCs w:val="16"/>
              </w:rPr>
              <w:t>3,690</w:t>
            </w:r>
          </w:p>
        </w:tc>
      </w:tr>
    </w:tbl>
    <w:p w14:paraId="19157983" w14:textId="4180D5D8" w:rsidR="00914885" w:rsidRDefault="00914885" w:rsidP="009F1705">
      <w:pPr>
        <w:pStyle w:val="Source"/>
        <w:spacing w:before="60"/>
        <w:jc w:val="left"/>
      </w:pPr>
      <w:r w:rsidRPr="009C33E9">
        <w:t>Prepared on Australian Accounting Standards basis.</w:t>
      </w:r>
    </w:p>
    <w:p w14:paraId="0FCB947F" w14:textId="77777777" w:rsidR="00AD5F79" w:rsidRDefault="00AD5F79" w:rsidP="00AD5F79">
      <w:pPr>
        <w:spacing w:after="0" w:line="240" w:lineRule="auto"/>
        <w:jc w:val="left"/>
        <w:rPr>
          <w:rFonts w:ascii="Arial" w:hAnsi="Arial"/>
          <w:sz w:val="16"/>
        </w:rPr>
      </w:pPr>
      <w:r>
        <w:br w:type="page"/>
      </w:r>
    </w:p>
    <w:p w14:paraId="7257E781" w14:textId="06B5007A" w:rsidR="00CB59AD" w:rsidRPr="00A00283" w:rsidRDefault="00CB59AD" w:rsidP="00CB59AD">
      <w:pPr>
        <w:pStyle w:val="TableHeading"/>
      </w:pPr>
      <w:r w:rsidRPr="00D30CBA">
        <w:lastRenderedPageBreak/>
        <w:t>Table</w:t>
      </w:r>
      <w:r>
        <w:t xml:space="preserve"> 3.</w:t>
      </w:r>
      <w:r>
        <w:rPr>
          <w:lang w:val="en-US"/>
        </w:rPr>
        <w:t>6</w:t>
      </w:r>
      <w:r w:rsidRPr="00D30CBA">
        <w:t xml:space="preserve">: </w:t>
      </w:r>
      <w:r w:rsidR="008863D9">
        <w:t>Department</w:t>
      </w:r>
      <w:r>
        <w:t>al capital budget statement (for the period ended 30 June)</w:t>
      </w:r>
    </w:p>
    <w:tbl>
      <w:tblPr>
        <w:tblW w:w="7685" w:type="dxa"/>
        <w:tblLook w:val="04A0" w:firstRow="1" w:lastRow="0" w:firstColumn="1" w:lastColumn="0" w:noHBand="0" w:noVBand="1"/>
      </w:tblPr>
      <w:tblGrid>
        <w:gridCol w:w="3402"/>
        <w:gridCol w:w="855"/>
        <w:gridCol w:w="857"/>
        <w:gridCol w:w="857"/>
        <w:gridCol w:w="857"/>
        <w:gridCol w:w="857"/>
      </w:tblGrid>
      <w:tr w:rsidR="00CB59AD" w:rsidRPr="00C913D7" w14:paraId="28575075" w14:textId="77777777" w:rsidTr="00AD5F79">
        <w:trPr>
          <w:trHeight w:val="638"/>
        </w:trPr>
        <w:tc>
          <w:tcPr>
            <w:tcW w:w="3402" w:type="dxa"/>
            <w:tcBorders>
              <w:top w:val="single" w:sz="4" w:space="0" w:color="auto"/>
              <w:left w:val="nil"/>
              <w:bottom w:val="nil"/>
              <w:right w:val="nil"/>
            </w:tcBorders>
            <w:shd w:val="clear" w:color="auto" w:fill="auto"/>
            <w:noWrap/>
            <w:hideMark/>
          </w:tcPr>
          <w:p w14:paraId="31593A13" w14:textId="77777777" w:rsidR="00CB59AD" w:rsidRPr="00C913D7" w:rsidRDefault="00CB59AD" w:rsidP="00CB59AD">
            <w:pPr>
              <w:spacing w:after="0" w:line="240" w:lineRule="auto"/>
              <w:jc w:val="left"/>
              <w:rPr>
                <w:rFonts w:ascii="Arial" w:hAnsi="Arial" w:cs="Arial"/>
                <w:b/>
                <w:bCs/>
                <w:sz w:val="16"/>
                <w:szCs w:val="16"/>
              </w:rPr>
            </w:pPr>
            <w:r w:rsidRPr="00C913D7">
              <w:rPr>
                <w:rFonts w:ascii="Arial" w:hAnsi="Arial" w:cs="Arial"/>
                <w:b/>
                <w:bCs/>
                <w:sz w:val="16"/>
                <w:szCs w:val="16"/>
              </w:rPr>
              <w:t> </w:t>
            </w:r>
          </w:p>
        </w:tc>
        <w:tc>
          <w:tcPr>
            <w:tcW w:w="855" w:type="dxa"/>
            <w:tcBorders>
              <w:top w:val="single" w:sz="4" w:space="0" w:color="auto"/>
              <w:left w:val="nil"/>
              <w:bottom w:val="single" w:sz="4" w:space="0" w:color="auto"/>
              <w:right w:val="nil"/>
            </w:tcBorders>
            <w:shd w:val="clear" w:color="auto" w:fill="auto"/>
            <w:hideMark/>
          </w:tcPr>
          <w:p w14:paraId="4715A845" w14:textId="77777777" w:rsidR="00CB59AD" w:rsidRPr="00C913D7" w:rsidRDefault="00CB59AD" w:rsidP="00CB59AD">
            <w:pPr>
              <w:spacing w:after="0" w:line="240" w:lineRule="auto"/>
              <w:jc w:val="right"/>
              <w:rPr>
                <w:rFonts w:ascii="Arial" w:hAnsi="Arial" w:cs="Arial"/>
                <w:sz w:val="16"/>
                <w:szCs w:val="16"/>
              </w:rPr>
            </w:pPr>
            <w:r w:rsidRPr="00C913D7">
              <w:rPr>
                <w:rFonts w:ascii="Arial" w:hAnsi="Arial" w:cs="Arial"/>
                <w:sz w:val="16"/>
                <w:szCs w:val="16"/>
              </w:rPr>
              <w:t>2020-21 Actual</w:t>
            </w:r>
            <w:r w:rsidRPr="00C913D7">
              <w:rPr>
                <w:rFonts w:ascii="Arial" w:hAnsi="Arial" w:cs="Arial"/>
                <w:sz w:val="16"/>
                <w:szCs w:val="16"/>
              </w:rPr>
              <w:br/>
            </w:r>
            <w:r w:rsidRPr="00C913D7">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000000" w:fill="E6E6E6"/>
            <w:hideMark/>
          </w:tcPr>
          <w:p w14:paraId="24E52FD7" w14:textId="77777777" w:rsidR="00CB59AD" w:rsidRPr="00C913D7" w:rsidRDefault="00CB59AD" w:rsidP="00CB59AD">
            <w:pPr>
              <w:spacing w:after="0" w:line="240" w:lineRule="auto"/>
              <w:jc w:val="right"/>
              <w:rPr>
                <w:rFonts w:ascii="Arial" w:hAnsi="Arial" w:cs="Arial"/>
                <w:sz w:val="16"/>
                <w:szCs w:val="16"/>
              </w:rPr>
            </w:pPr>
            <w:r w:rsidRPr="00C913D7">
              <w:rPr>
                <w:rFonts w:ascii="Arial" w:hAnsi="Arial" w:cs="Arial"/>
                <w:sz w:val="16"/>
                <w:szCs w:val="16"/>
              </w:rPr>
              <w:t>2021-22</w:t>
            </w:r>
            <w:r w:rsidRPr="00C913D7">
              <w:rPr>
                <w:rFonts w:ascii="Arial" w:hAnsi="Arial" w:cs="Arial"/>
                <w:sz w:val="16"/>
                <w:szCs w:val="16"/>
              </w:rPr>
              <w:br/>
              <w:t>Revised Budget</w:t>
            </w:r>
            <w:r w:rsidRPr="00C913D7">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07691D9B" w14:textId="77777777" w:rsidR="00CB59AD" w:rsidRPr="00C913D7" w:rsidRDefault="00CB59AD" w:rsidP="00CB59AD">
            <w:pPr>
              <w:spacing w:after="0" w:line="240" w:lineRule="auto"/>
              <w:jc w:val="right"/>
              <w:rPr>
                <w:rFonts w:ascii="Arial" w:hAnsi="Arial" w:cs="Arial"/>
                <w:sz w:val="16"/>
                <w:szCs w:val="16"/>
              </w:rPr>
            </w:pPr>
            <w:r w:rsidRPr="00C913D7">
              <w:rPr>
                <w:rFonts w:ascii="Arial" w:hAnsi="Arial" w:cs="Arial"/>
                <w:sz w:val="16"/>
                <w:szCs w:val="16"/>
              </w:rPr>
              <w:t>2022-23 Forward estimate</w:t>
            </w:r>
            <w:r w:rsidRPr="00C913D7">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66A17642" w14:textId="77777777" w:rsidR="00CB59AD" w:rsidRPr="00C913D7" w:rsidRDefault="00CB59AD" w:rsidP="00CB59AD">
            <w:pPr>
              <w:spacing w:after="0" w:line="240" w:lineRule="auto"/>
              <w:jc w:val="right"/>
              <w:rPr>
                <w:rFonts w:ascii="Arial" w:hAnsi="Arial" w:cs="Arial"/>
                <w:sz w:val="16"/>
                <w:szCs w:val="16"/>
              </w:rPr>
            </w:pPr>
            <w:r w:rsidRPr="00C913D7">
              <w:rPr>
                <w:rFonts w:ascii="Arial" w:hAnsi="Arial" w:cs="Arial"/>
                <w:sz w:val="16"/>
                <w:szCs w:val="16"/>
              </w:rPr>
              <w:t>2023-24 Forward estimate</w:t>
            </w:r>
            <w:r w:rsidRPr="00C913D7">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5B42AF98" w14:textId="77777777" w:rsidR="00CB59AD" w:rsidRPr="00C913D7" w:rsidRDefault="00CB59AD" w:rsidP="00CB59AD">
            <w:pPr>
              <w:spacing w:after="0" w:line="240" w:lineRule="auto"/>
              <w:jc w:val="right"/>
              <w:rPr>
                <w:rFonts w:ascii="Arial" w:hAnsi="Arial" w:cs="Arial"/>
                <w:sz w:val="16"/>
                <w:szCs w:val="16"/>
              </w:rPr>
            </w:pPr>
            <w:r w:rsidRPr="00C913D7">
              <w:rPr>
                <w:rFonts w:ascii="Arial" w:hAnsi="Arial" w:cs="Arial"/>
                <w:sz w:val="16"/>
                <w:szCs w:val="16"/>
              </w:rPr>
              <w:t>2024-25</w:t>
            </w:r>
            <w:r w:rsidRPr="00C913D7">
              <w:rPr>
                <w:rFonts w:ascii="Arial" w:hAnsi="Arial" w:cs="Arial"/>
                <w:sz w:val="16"/>
                <w:szCs w:val="16"/>
              </w:rPr>
              <w:br/>
              <w:t>Forward estimate</w:t>
            </w:r>
            <w:r w:rsidRPr="00C913D7">
              <w:rPr>
                <w:rFonts w:ascii="Arial" w:hAnsi="Arial" w:cs="Arial"/>
                <w:sz w:val="16"/>
                <w:szCs w:val="16"/>
              </w:rPr>
              <w:br/>
              <w:t>$'000</w:t>
            </w:r>
          </w:p>
        </w:tc>
      </w:tr>
      <w:tr w:rsidR="00CB59AD" w:rsidRPr="00C913D7" w14:paraId="20DD157F" w14:textId="77777777" w:rsidTr="00AD5F79">
        <w:trPr>
          <w:trHeight w:val="229"/>
        </w:trPr>
        <w:tc>
          <w:tcPr>
            <w:tcW w:w="3402" w:type="dxa"/>
            <w:tcBorders>
              <w:top w:val="nil"/>
              <w:left w:val="nil"/>
              <w:bottom w:val="nil"/>
              <w:right w:val="nil"/>
            </w:tcBorders>
            <w:shd w:val="clear" w:color="auto" w:fill="auto"/>
            <w:noWrap/>
            <w:vAlign w:val="bottom"/>
            <w:hideMark/>
          </w:tcPr>
          <w:p w14:paraId="38B6641B" w14:textId="77777777" w:rsidR="00CB59AD" w:rsidRPr="00C913D7" w:rsidRDefault="00CB59AD" w:rsidP="00CB59AD">
            <w:pPr>
              <w:spacing w:after="0" w:line="240" w:lineRule="auto"/>
              <w:jc w:val="left"/>
              <w:rPr>
                <w:rFonts w:ascii="Arial" w:hAnsi="Arial" w:cs="Arial"/>
                <w:b/>
                <w:bCs/>
                <w:sz w:val="16"/>
                <w:szCs w:val="16"/>
              </w:rPr>
            </w:pPr>
            <w:r w:rsidRPr="00C913D7">
              <w:rPr>
                <w:rFonts w:ascii="Arial" w:hAnsi="Arial" w:cs="Arial"/>
                <w:b/>
                <w:bCs/>
                <w:sz w:val="16"/>
                <w:szCs w:val="16"/>
              </w:rPr>
              <w:t>NEW CAPITAL APPROPRIATIONS</w:t>
            </w:r>
          </w:p>
        </w:tc>
        <w:tc>
          <w:tcPr>
            <w:tcW w:w="855" w:type="dxa"/>
            <w:tcBorders>
              <w:top w:val="nil"/>
              <w:left w:val="nil"/>
              <w:bottom w:val="nil"/>
              <w:right w:val="nil"/>
            </w:tcBorders>
            <w:shd w:val="clear" w:color="auto" w:fill="auto"/>
            <w:noWrap/>
            <w:vAlign w:val="center"/>
            <w:hideMark/>
          </w:tcPr>
          <w:p w14:paraId="482B4436" w14:textId="77777777" w:rsidR="00CB59AD" w:rsidRPr="00C913D7" w:rsidRDefault="00CB59AD" w:rsidP="00CB59AD">
            <w:pPr>
              <w:spacing w:after="0" w:line="240" w:lineRule="auto"/>
              <w:jc w:val="left"/>
              <w:rPr>
                <w:rFonts w:ascii="Arial" w:hAnsi="Arial" w:cs="Arial"/>
                <w:b/>
                <w:bCs/>
                <w:sz w:val="16"/>
                <w:szCs w:val="16"/>
              </w:rPr>
            </w:pPr>
          </w:p>
        </w:tc>
        <w:tc>
          <w:tcPr>
            <w:tcW w:w="857" w:type="dxa"/>
            <w:tcBorders>
              <w:top w:val="nil"/>
              <w:left w:val="nil"/>
              <w:bottom w:val="nil"/>
              <w:right w:val="nil"/>
            </w:tcBorders>
            <w:shd w:val="clear" w:color="000000" w:fill="E6E6E6"/>
            <w:noWrap/>
            <w:vAlign w:val="center"/>
            <w:hideMark/>
          </w:tcPr>
          <w:p w14:paraId="3EE4B4BE" w14:textId="77777777" w:rsidR="00CB59AD" w:rsidRPr="00C913D7" w:rsidRDefault="00CB59AD" w:rsidP="00CB59AD">
            <w:pPr>
              <w:spacing w:after="0" w:line="240" w:lineRule="auto"/>
              <w:jc w:val="left"/>
              <w:rPr>
                <w:rFonts w:ascii="Arial" w:hAnsi="Arial" w:cs="Arial"/>
                <w:sz w:val="16"/>
                <w:szCs w:val="16"/>
              </w:rPr>
            </w:pPr>
            <w:r w:rsidRPr="00C913D7">
              <w:rPr>
                <w:rFonts w:ascii="Arial" w:hAnsi="Arial" w:cs="Arial"/>
                <w:sz w:val="16"/>
                <w:szCs w:val="16"/>
              </w:rPr>
              <w:t> </w:t>
            </w:r>
          </w:p>
        </w:tc>
        <w:tc>
          <w:tcPr>
            <w:tcW w:w="857" w:type="dxa"/>
            <w:tcBorders>
              <w:top w:val="nil"/>
              <w:left w:val="nil"/>
              <w:bottom w:val="nil"/>
              <w:right w:val="nil"/>
            </w:tcBorders>
            <w:shd w:val="clear" w:color="auto" w:fill="auto"/>
            <w:noWrap/>
            <w:vAlign w:val="center"/>
            <w:hideMark/>
          </w:tcPr>
          <w:p w14:paraId="66F6B0CB" w14:textId="77777777" w:rsidR="00CB59AD" w:rsidRPr="00C913D7" w:rsidRDefault="00CB59AD" w:rsidP="00CB59AD">
            <w:pPr>
              <w:spacing w:after="0" w:line="240" w:lineRule="auto"/>
              <w:jc w:val="left"/>
              <w:rPr>
                <w:rFonts w:ascii="Arial" w:hAnsi="Arial" w:cs="Arial"/>
                <w:sz w:val="16"/>
                <w:szCs w:val="16"/>
              </w:rPr>
            </w:pPr>
          </w:p>
        </w:tc>
        <w:tc>
          <w:tcPr>
            <w:tcW w:w="857" w:type="dxa"/>
            <w:tcBorders>
              <w:top w:val="nil"/>
              <w:left w:val="nil"/>
              <w:bottom w:val="nil"/>
              <w:right w:val="nil"/>
            </w:tcBorders>
            <w:shd w:val="clear" w:color="auto" w:fill="auto"/>
            <w:noWrap/>
            <w:vAlign w:val="center"/>
            <w:hideMark/>
          </w:tcPr>
          <w:p w14:paraId="20E9386F" w14:textId="77777777" w:rsidR="00CB59AD" w:rsidRPr="00C913D7" w:rsidRDefault="00CB59AD" w:rsidP="00CB59AD">
            <w:pPr>
              <w:spacing w:after="0" w:line="240" w:lineRule="auto"/>
              <w:jc w:val="left"/>
              <w:rPr>
                <w:rFonts w:ascii="Times New Roman" w:hAnsi="Times New Roman"/>
              </w:rPr>
            </w:pPr>
          </w:p>
        </w:tc>
        <w:tc>
          <w:tcPr>
            <w:tcW w:w="857" w:type="dxa"/>
            <w:tcBorders>
              <w:top w:val="nil"/>
              <w:left w:val="nil"/>
              <w:bottom w:val="nil"/>
              <w:right w:val="nil"/>
            </w:tcBorders>
            <w:shd w:val="clear" w:color="auto" w:fill="auto"/>
            <w:noWrap/>
            <w:vAlign w:val="center"/>
            <w:hideMark/>
          </w:tcPr>
          <w:p w14:paraId="2E26C840" w14:textId="77777777" w:rsidR="00CB59AD" w:rsidRPr="00C913D7" w:rsidRDefault="00CB59AD" w:rsidP="00CB59AD">
            <w:pPr>
              <w:spacing w:after="0" w:line="240" w:lineRule="auto"/>
              <w:jc w:val="left"/>
              <w:rPr>
                <w:rFonts w:ascii="Times New Roman" w:hAnsi="Times New Roman"/>
              </w:rPr>
            </w:pPr>
          </w:p>
        </w:tc>
      </w:tr>
      <w:tr w:rsidR="00CB59AD" w:rsidRPr="00C913D7" w14:paraId="6E60FFFC" w14:textId="77777777" w:rsidTr="00AD5F79">
        <w:trPr>
          <w:trHeight w:val="204"/>
        </w:trPr>
        <w:tc>
          <w:tcPr>
            <w:tcW w:w="3402" w:type="dxa"/>
            <w:tcBorders>
              <w:top w:val="nil"/>
              <w:left w:val="nil"/>
              <w:bottom w:val="nil"/>
              <w:right w:val="nil"/>
            </w:tcBorders>
            <w:shd w:val="clear" w:color="auto" w:fill="auto"/>
            <w:noWrap/>
            <w:vAlign w:val="center"/>
            <w:hideMark/>
          </w:tcPr>
          <w:p w14:paraId="5C8E5F3C" w14:textId="77777777" w:rsidR="00CB59AD" w:rsidRPr="00C913D7" w:rsidRDefault="00CB59AD" w:rsidP="00313EAC">
            <w:pPr>
              <w:spacing w:after="0" w:line="240" w:lineRule="auto"/>
              <w:ind w:left="113"/>
              <w:jc w:val="left"/>
              <w:rPr>
                <w:rFonts w:ascii="Arial" w:hAnsi="Arial" w:cs="Arial"/>
                <w:sz w:val="16"/>
                <w:szCs w:val="16"/>
              </w:rPr>
            </w:pPr>
            <w:r w:rsidRPr="00C913D7">
              <w:rPr>
                <w:rFonts w:ascii="Arial" w:hAnsi="Arial" w:cs="Arial"/>
                <w:sz w:val="16"/>
                <w:szCs w:val="16"/>
              </w:rPr>
              <w:t>Equity injections - Bill 2</w:t>
            </w:r>
          </w:p>
        </w:tc>
        <w:tc>
          <w:tcPr>
            <w:tcW w:w="855" w:type="dxa"/>
            <w:tcBorders>
              <w:top w:val="nil"/>
              <w:left w:val="nil"/>
              <w:bottom w:val="nil"/>
              <w:right w:val="nil"/>
            </w:tcBorders>
            <w:shd w:val="clear" w:color="auto" w:fill="auto"/>
            <w:noWrap/>
            <w:vAlign w:val="bottom"/>
            <w:hideMark/>
          </w:tcPr>
          <w:p w14:paraId="5CE8602E"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809 </w:t>
            </w:r>
          </w:p>
        </w:tc>
        <w:tc>
          <w:tcPr>
            <w:tcW w:w="857" w:type="dxa"/>
            <w:tcBorders>
              <w:top w:val="nil"/>
              <w:left w:val="nil"/>
              <w:bottom w:val="nil"/>
              <w:right w:val="nil"/>
            </w:tcBorders>
            <w:shd w:val="clear" w:color="000000" w:fill="E6E6E6"/>
            <w:noWrap/>
            <w:vAlign w:val="bottom"/>
            <w:hideMark/>
          </w:tcPr>
          <w:p w14:paraId="59BEA751"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4,327 </w:t>
            </w:r>
          </w:p>
        </w:tc>
        <w:tc>
          <w:tcPr>
            <w:tcW w:w="857" w:type="dxa"/>
            <w:tcBorders>
              <w:top w:val="nil"/>
              <w:left w:val="nil"/>
              <w:bottom w:val="nil"/>
              <w:right w:val="nil"/>
            </w:tcBorders>
            <w:shd w:val="clear" w:color="auto" w:fill="auto"/>
            <w:noWrap/>
            <w:vAlign w:val="bottom"/>
            <w:hideMark/>
          </w:tcPr>
          <w:p w14:paraId="0225A9C4"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8,400 </w:t>
            </w:r>
          </w:p>
        </w:tc>
        <w:tc>
          <w:tcPr>
            <w:tcW w:w="857" w:type="dxa"/>
            <w:tcBorders>
              <w:top w:val="nil"/>
              <w:left w:val="nil"/>
              <w:bottom w:val="nil"/>
              <w:right w:val="nil"/>
            </w:tcBorders>
            <w:shd w:val="clear" w:color="auto" w:fill="auto"/>
            <w:noWrap/>
            <w:vAlign w:val="bottom"/>
            <w:hideMark/>
          </w:tcPr>
          <w:p w14:paraId="79EE87C9"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8,751 </w:t>
            </w:r>
          </w:p>
        </w:tc>
        <w:tc>
          <w:tcPr>
            <w:tcW w:w="857" w:type="dxa"/>
            <w:tcBorders>
              <w:top w:val="nil"/>
              <w:left w:val="nil"/>
              <w:bottom w:val="nil"/>
              <w:right w:val="nil"/>
            </w:tcBorders>
            <w:shd w:val="clear" w:color="auto" w:fill="auto"/>
            <w:noWrap/>
            <w:vAlign w:val="bottom"/>
            <w:hideMark/>
          </w:tcPr>
          <w:p w14:paraId="4EDC2414"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4,893 </w:t>
            </w:r>
          </w:p>
        </w:tc>
      </w:tr>
      <w:tr w:rsidR="00CB59AD" w:rsidRPr="00C913D7" w14:paraId="25C9B40F" w14:textId="77777777" w:rsidTr="00AD5F79">
        <w:trPr>
          <w:trHeight w:val="204"/>
        </w:trPr>
        <w:tc>
          <w:tcPr>
            <w:tcW w:w="3402" w:type="dxa"/>
            <w:tcBorders>
              <w:top w:val="nil"/>
              <w:left w:val="nil"/>
              <w:bottom w:val="nil"/>
              <w:right w:val="nil"/>
            </w:tcBorders>
            <w:shd w:val="clear" w:color="auto" w:fill="auto"/>
            <w:noWrap/>
            <w:vAlign w:val="center"/>
            <w:hideMark/>
          </w:tcPr>
          <w:p w14:paraId="1A4955E5" w14:textId="77777777" w:rsidR="00CB59AD" w:rsidRPr="00C913D7" w:rsidRDefault="00CB59AD" w:rsidP="00CB59AD">
            <w:pPr>
              <w:spacing w:after="0" w:line="240" w:lineRule="auto"/>
              <w:jc w:val="left"/>
              <w:rPr>
                <w:rFonts w:ascii="Arial" w:hAnsi="Arial" w:cs="Arial"/>
                <w:b/>
                <w:bCs/>
                <w:sz w:val="16"/>
                <w:szCs w:val="16"/>
              </w:rPr>
            </w:pPr>
            <w:r w:rsidRPr="00C913D7">
              <w:rPr>
                <w:rFonts w:ascii="Arial" w:hAnsi="Arial" w:cs="Arial"/>
                <w:b/>
                <w:bCs/>
                <w:sz w:val="16"/>
                <w:szCs w:val="16"/>
              </w:rPr>
              <w:t>Total new capital appropriations</w:t>
            </w:r>
          </w:p>
        </w:tc>
        <w:tc>
          <w:tcPr>
            <w:tcW w:w="855" w:type="dxa"/>
            <w:tcBorders>
              <w:top w:val="single" w:sz="4" w:space="0" w:color="auto"/>
              <w:left w:val="nil"/>
              <w:bottom w:val="single" w:sz="4" w:space="0" w:color="auto"/>
              <w:right w:val="nil"/>
            </w:tcBorders>
            <w:shd w:val="clear" w:color="auto" w:fill="auto"/>
            <w:noWrap/>
            <w:vAlign w:val="bottom"/>
            <w:hideMark/>
          </w:tcPr>
          <w:p w14:paraId="0A70E2AC" w14:textId="77777777" w:rsidR="00CB59AD" w:rsidRPr="00294FA6" w:rsidRDefault="00CB59AD" w:rsidP="00CB59AD">
            <w:pPr>
              <w:spacing w:after="0" w:line="240" w:lineRule="auto"/>
              <w:jc w:val="right"/>
              <w:rPr>
                <w:rFonts w:ascii="Arial" w:hAnsi="Arial" w:cs="Arial"/>
                <w:b/>
                <w:bCs/>
                <w:sz w:val="16"/>
                <w:szCs w:val="16"/>
              </w:rPr>
            </w:pPr>
            <w:r w:rsidRPr="00294FA6">
              <w:rPr>
                <w:rFonts w:ascii="Arial" w:hAnsi="Arial" w:cs="Arial"/>
                <w:b/>
                <w:bCs/>
                <w:sz w:val="16"/>
                <w:szCs w:val="16"/>
              </w:rPr>
              <w:t xml:space="preserve">809 </w:t>
            </w:r>
          </w:p>
        </w:tc>
        <w:tc>
          <w:tcPr>
            <w:tcW w:w="857" w:type="dxa"/>
            <w:tcBorders>
              <w:top w:val="single" w:sz="4" w:space="0" w:color="auto"/>
              <w:left w:val="nil"/>
              <w:bottom w:val="single" w:sz="4" w:space="0" w:color="auto"/>
              <w:right w:val="nil"/>
            </w:tcBorders>
            <w:shd w:val="clear" w:color="000000" w:fill="E6E6E6"/>
            <w:noWrap/>
            <w:vAlign w:val="bottom"/>
            <w:hideMark/>
          </w:tcPr>
          <w:p w14:paraId="27B4A7F8" w14:textId="77777777" w:rsidR="00CB59AD" w:rsidRPr="00294FA6" w:rsidRDefault="00CB59AD" w:rsidP="00CB59AD">
            <w:pPr>
              <w:spacing w:after="0" w:line="240" w:lineRule="auto"/>
              <w:jc w:val="right"/>
              <w:rPr>
                <w:rFonts w:ascii="Arial" w:hAnsi="Arial" w:cs="Arial"/>
                <w:b/>
                <w:bCs/>
                <w:sz w:val="16"/>
                <w:szCs w:val="16"/>
              </w:rPr>
            </w:pPr>
            <w:r w:rsidRPr="00294FA6">
              <w:rPr>
                <w:rFonts w:ascii="Arial" w:hAnsi="Arial" w:cs="Arial"/>
                <w:b/>
                <w:bCs/>
                <w:sz w:val="16"/>
                <w:szCs w:val="16"/>
              </w:rPr>
              <w:t xml:space="preserve">4,327 </w:t>
            </w:r>
          </w:p>
        </w:tc>
        <w:tc>
          <w:tcPr>
            <w:tcW w:w="857" w:type="dxa"/>
            <w:tcBorders>
              <w:top w:val="single" w:sz="4" w:space="0" w:color="auto"/>
              <w:left w:val="nil"/>
              <w:bottom w:val="single" w:sz="4" w:space="0" w:color="auto"/>
              <w:right w:val="nil"/>
            </w:tcBorders>
            <w:shd w:val="clear" w:color="auto" w:fill="auto"/>
            <w:noWrap/>
            <w:vAlign w:val="bottom"/>
            <w:hideMark/>
          </w:tcPr>
          <w:p w14:paraId="589C9382" w14:textId="77777777" w:rsidR="00CB59AD" w:rsidRPr="00294FA6" w:rsidRDefault="00CB59AD" w:rsidP="00CB59AD">
            <w:pPr>
              <w:spacing w:after="0" w:line="240" w:lineRule="auto"/>
              <w:jc w:val="right"/>
              <w:rPr>
                <w:rFonts w:ascii="Arial" w:hAnsi="Arial" w:cs="Arial"/>
                <w:b/>
                <w:bCs/>
                <w:sz w:val="16"/>
                <w:szCs w:val="16"/>
              </w:rPr>
            </w:pPr>
            <w:r w:rsidRPr="00294FA6">
              <w:rPr>
                <w:rFonts w:ascii="Arial" w:hAnsi="Arial" w:cs="Arial"/>
                <w:b/>
                <w:bCs/>
                <w:sz w:val="16"/>
                <w:szCs w:val="16"/>
              </w:rPr>
              <w:t xml:space="preserve">8,400 </w:t>
            </w:r>
          </w:p>
        </w:tc>
        <w:tc>
          <w:tcPr>
            <w:tcW w:w="857" w:type="dxa"/>
            <w:tcBorders>
              <w:top w:val="single" w:sz="4" w:space="0" w:color="auto"/>
              <w:left w:val="nil"/>
              <w:bottom w:val="single" w:sz="4" w:space="0" w:color="auto"/>
              <w:right w:val="nil"/>
            </w:tcBorders>
            <w:shd w:val="clear" w:color="auto" w:fill="auto"/>
            <w:noWrap/>
            <w:vAlign w:val="bottom"/>
            <w:hideMark/>
          </w:tcPr>
          <w:p w14:paraId="09D3C7D5" w14:textId="77777777" w:rsidR="00CB59AD" w:rsidRPr="00294FA6" w:rsidRDefault="00CB59AD" w:rsidP="00CB59AD">
            <w:pPr>
              <w:spacing w:after="0" w:line="240" w:lineRule="auto"/>
              <w:jc w:val="right"/>
              <w:rPr>
                <w:rFonts w:ascii="Arial" w:hAnsi="Arial" w:cs="Arial"/>
                <w:b/>
                <w:bCs/>
                <w:sz w:val="16"/>
                <w:szCs w:val="16"/>
              </w:rPr>
            </w:pPr>
            <w:r w:rsidRPr="00294FA6">
              <w:rPr>
                <w:rFonts w:ascii="Arial" w:hAnsi="Arial" w:cs="Arial"/>
                <w:b/>
                <w:bCs/>
                <w:sz w:val="16"/>
                <w:szCs w:val="16"/>
              </w:rPr>
              <w:t xml:space="preserve">8,751 </w:t>
            </w:r>
          </w:p>
        </w:tc>
        <w:tc>
          <w:tcPr>
            <w:tcW w:w="857" w:type="dxa"/>
            <w:tcBorders>
              <w:top w:val="single" w:sz="4" w:space="0" w:color="auto"/>
              <w:left w:val="nil"/>
              <w:bottom w:val="single" w:sz="4" w:space="0" w:color="auto"/>
              <w:right w:val="nil"/>
            </w:tcBorders>
            <w:shd w:val="clear" w:color="auto" w:fill="auto"/>
            <w:noWrap/>
            <w:vAlign w:val="bottom"/>
            <w:hideMark/>
          </w:tcPr>
          <w:p w14:paraId="1CA5F58C" w14:textId="77777777" w:rsidR="00CB59AD" w:rsidRPr="00294FA6" w:rsidRDefault="00CB59AD" w:rsidP="00CB59AD">
            <w:pPr>
              <w:spacing w:after="0" w:line="240" w:lineRule="auto"/>
              <w:jc w:val="right"/>
              <w:rPr>
                <w:rFonts w:ascii="Arial" w:hAnsi="Arial" w:cs="Arial"/>
                <w:b/>
                <w:bCs/>
                <w:sz w:val="16"/>
                <w:szCs w:val="16"/>
              </w:rPr>
            </w:pPr>
            <w:r w:rsidRPr="00294FA6">
              <w:rPr>
                <w:rFonts w:ascii="Arial" w:hAnsi="Arial" w:cs="Arial"/>
                <w:b/>
                <w:bCs/>
                <w:sz w:val="16"/>
                <w:szCs w:val="16"/>
              </w:rPr>
              <w:t xml:space="preserve">4,893 </w:t>
            </w:r>
          </w:p>
        </w:tc>
      </w:tr>
      <w:tr w:rsidR="00CB59AD" w:rsidRPr="00C913D7" w14:paraId="76FF7B65" w14:textId="77777777" w:rsidTr="00AD5F79">
        <w:trPr>
          <w:trHeight w:val="204"/>
        </w:trPr>
        <w:tc>
          <w:tcPr>
            <w:tcW w:w="3402" w:type="dxa"/>
            <w:tcBorders>
              <w:top w:val="nil"/>
              <w:left w:val="nil"/>
              <w:bottom w:val="nil"/>
              <w:right w:val="nil"/>
            </w:tcBorders>
            <w:shd w:val="clear" w:color="auto" w:fill="auto"/>
            <w:noWrap/>
            <w:vAlign w:val="center"/>
            <w:hideMark/>
          </w:tcPr>
          <w:p w14:paraId="460D5FC4" w14:textId="77777777" w:rsidR="00CB59AD" w:rsidRPr="007203CA" w:rsidRDefault="00CB59AD" w:rsidP="00CB59AD">
            <w:pPr>
              <w:spacing w:after="0" w:line="240" w:lineRule="auto"/>
              <w:jc w:val="left"/>
              <w:rPr>
                <w:rFonts w:ascii="Arial" w:hAnsi="Arial" w:cs="Arial"/>
                <w:b/>
                <w:bCs/>
                <w:iCs/>
                <w:sz w:val="16"/>
                <w:szCs w:val="16"/>
              </w:rPr>
            </w:pPr>
            <w:r w:rsidRPr="007203CA">
              <w:rPr>
                <w:rFonts w:ascii="Arial" w:hAnsi="Arial" w:cs="Arial"/>
                <w:b/>
                <w:bCs/>
                <w:iCs/>
                <w:sz w:val="16"/>
                <w:szCs w:val="16"/>
              </w:rPr>
              <w:t>Provided for:</w:t>
            </w:r>
          </w:p>
        </w:tc>
        <w:tc>
          <w:tcPr>
            <w:tcW w:w="855" w:type="dxa"/>
            <w:tcBorders>
              <w:top w:val="nil"/>
              <w:left w:val="nil"/>
              <w:bottom w:val="nil"/>
              <w:right w:val="nil"/>
            </w:tcBorders>
            <w:shd w:val="clear" w:color="auto" w:fill="auto"/>
            <w:noWrap/>
            <w:vAlign w:val="bottom"/>
            <w:hideMark/>
          </w:tcPr>
          <w:p w14:paraId="0A1FC483" w14:textId="77777777" w:rsidR="00CB59AD" w:rsidRPr="007203CA" w:rsidRDefault="00CB59AD" w:rsidP="00CB59AD">
            <w:pPr>
              <w:spacing w:after="0" w:line="240" w:lineRule="auto"/>
              <w:jc w:val="left"/>
              <w:rPr>
                <w:rFonts w:ascii="Arial" w:hAnsi="Arial" w:cs="Arial"/>
                <w:b/>
                <w:bCs/>
                <w:iCs/>
                <w:sz w:val="16"/>
                <w:szCs w:val="16"/>
              </w:rPr>
            </w:pPr>
          </w:p>
        </w:tc>
        <w:tc>
          <w:tcPr>
            <w:tcW w:w="857" w:type="dxa"/>
            <w:tcBorders>
              <w:top w:val="nil"/>
              <w:left w:val="nil"/>
              <w:bottom w:val="nil"/>
              <w:right w:val="nil"/>
            </w:tcBorders>
            <w:shd w:val="clear" w:color="000000" w:fill="E6E6E6"/>
            <w:noWrap/>
            <w:vAlign w:val="bottom"/>
            <w:hideMark/>
          </w:tcPr>
          <w:p w14:paraId="7FC2950D" w14:textId="77777777" w:rsidR="00CB59AD" w:rsidRPr="007203CA" w:rsidRDefault="00CB59AD" w:rsidP="00CB59AD">
            <w:pPr>
              <w:spacing w:after="0" w:line="240" w:lineRule="auto"/>
              <w:jc w:val="left"/>
              <w:rPr>
                <w:rFonts w:ascii="Arial" w:hAnsi="Arial" w:cs="Arial"/>
                <w:iCs/>
                <w:sz w:val="16"/>
                <w:szCs w:val="16"/>
              </w:rPr>
            </w:pPr>
            <w:r w:rsidRPr="007203CA">
              <w:rPr>
                <w:rFonts w:ascii="Arial" w:hAnsi="Arial" w:cs="Arial"/>
                <w:iCs/>
                <w:sz w:val="16"/>
                <w:szCs w:val="16"/>
              </w:rPr>
              <w:t> </w:t>
            </w:r>
          </w:p>
        </w:tc>
        <w:tc>
          <w:tcPr>
            <w:tcW w:w="857" w:type="dxa"/>
            <w:tcBorders>
              <w:top w:val="nil"/>
              <w:left w:val="nil"/>
              <w:bottom w:val="nil"/>
              <w:right w:val="nil"/>
            </w:tcBorders>
            <w:shd w:val="clear" w:color="auto" w:fill="auto"/>
            <w:noWrap/>
            <w:vAlign w:val="bottom"/>
            <w:hideMark/>
          </w:tcPr>
          <w:p w14:paraId="66DD0E27" w14:textId="77777777" w:rsidR="00CB59AD" w:rsidRPr="007203CA" w:rsidRDefault="00CB59AD" w:rsidP="00CB59AD">
            <w:pPr>
              <w:spacing w:after="0" w:line="240" w:lineRule="auto"/>
              <w:jc w:val="left"/>
              <w:rPr>
                <w:rFonts w:ascii="Arial" w:hAnsi="Arial" w:cs="Arial"/>
                <w:iCs/>
                <w:sz w:val="16"/>
                <w:szCs w:val="16"/>
              </w:rPr>
            </w:pPr>
          </w:p>
        </w:tc>
        <w:tc>
          <w:tcPr>
            <w:tcW w:w="857" w:type="dxa"/>
            <w:tcBorders>
              <w:top w:val="nil"/>
              <w:left w:val="nil"/>
              <w:bottom w:val="nil"/>
              <w:right w:val="nil"/>
            </w:tcBorders>
            <w:shd w:val="clear" w:color="auto" w:fill="auto"/>
            <w:noWrap/>
            <w:vAlign w:val="bottom"/>
            <w:hideMark/>
          </w:tcPr>
          <w:p w14:paraId="4974E6E1" w14:textId="77777777" w:rsidR="00CB59AD" w:rsidRPr="007203CA" w:rsidRDefault="00CB59AD" w:rsidP="00CB59AD">
            <w:pPr>
              <w:spacing w:after="0" w:line="240" w:lineRule="auto"/>
              <w:jc w:val="lef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24CA111E" w14:textId="77777777" w:rsidR="00CB59AD" w:rsidRPr="007203CA" w:rsidRDefault="00CB59AD" w:rsidP="00CB59AD">
            <w:pPr>
              <w:spacing w:after="0" w:line="240" w:lineRule="auto"/>
              <w:jc w:val="left"/>
              <w:rPr>
                <w:rFonts w:ascii="Times New Roman" w:hAnsi="Times New Roman"/>
                <w:sz w:val="16"/>
                <w:szCs w:val="16"/>
              </w:rPr>
            </w:pPr>
          </w:p>
        </w:tc>
      </w:tr>
      <w:tr w:rsidR="00CB59AD" w:rsidRPr="00C913D7" w14:paraId="2AD0E1EE" w14:textId="77777777" w:rsidTr="00AD5F79">
        <w:trPr>
          <w:trHeight w:val="204"/>
        </w:trPr>
        <w:tc>
          <w:tcPr>
            <w:tcW w:w="3402" w:type="dxa"/>
            <w:tcBorders>
              <w:top w:val="nil"/>
              <w:left w:val="nil"/>
              <w:bottom w:val="nil"/>
              <w:right w:val="nil"/>
            </w:tcBorders>
            <w:shd w:val="clear" w:color="auto" w:fill="auto"/>
            <w:noWrap/>
            <w:vAlign w:val="center"/>
            <w:hideMark/>
          </w:tcPr>
          <w:p w14:paraId="422DC72E" w14:textId="77777777" w:rsidR="00CB59AD" w:rsidRPr="007203CA" w:rsidRDefault="00CB59AD" w:rsidP="00313EAC">
            <w:pPr>
              <w:spacing w:after="0" w:line="240" w:lineRule="auto"/>
              <w:ind w:left="113"/>
              <w:jc w:val="left"/>
              <w:rPr>
                <w:rFonts w:ascii="Arial" w:hAnsi="Arial" w:cs="Arial"/>
                <w:sz w:val="16"/>
                <w:szCs w:val="16"/>
              </w:rPr>
            </w:pPr>
            <w:r w:rsidRPr="007203CA">
              <w:rPr>
                <w:rFonts w:ascii="Arial" w:hAnsi="Arial" w:cs="Arial"/>
                <w:sz w:val="16"/>
                <w:szCs w:val="16"/>
              </w:rPr>
              <w:t>Purchase of non-financial assets</w:t>
            </w:r>
          </w:p>
        </w:tc>
        <w:tc>
          <w:tcPr>
            <w:tcW w:w="855" w:type="dxa"/>
            <w:tcBorders>
              <w:top w:val="nil"/>
              <w:left w:val="nil"/>
              <w:bottom w:val="nil"/>
              <w:right w:val="nil"/>
            </w:tcBorders>
            <w:shd w:val="clear" w:color="auto" w:fill="auto"/>
            <w:noWrap/>
            <w:vAlign w:val="bottom"/>
            <w:hideMark/>
          </w:tcPr>
          <w:p w14:paraId="713F025B" w14:textId="77777777" w:rsidR="00CB59AD" w:rsidRPr="007203CA" w:rsidRDefault="00CB59AD" w:rsidP="00CB59AD">
            <w:pPr>
              <w:spacing w:after="0" w:line="240" w:lineRule="auto"/>
              <w:jc w:val="right"/>
              <w:rPr>
                <w:rFonts w:ascii="Arial" w:hAnsi="Arial" w:cs="Arial"/>
                <w:iCs/>
                <w:sz w:val="16"/>
                <w:szCs w:val="16"/>
              </w:rPr>
            </w:pPr>
            <w:r w:rsidRPr="007203CA">
              <w:rPr>
                <w:rFonts w:ascii="Arial" w:hAnsi="Arial" w:cs="Arial"/>
                <w:iCs/>
                <w:sz w:val="16"/>
                <w:szCs w:val="16"/>
              </w:rPr>
              <w:t xml:space="preserve">809 </w:t>
            </w:r>
          </w:p>
        </w:tc>
        <w:tc>
          <w:tcPr>
            <w:tcW w:w="857" w:type="dxa"/>
            <w:tcBorders>
              <w:top w:val="nil"/>
              <w:left w:val="nil"/>
              <w:bottom w:val="nil"/>
              <w:right w:val="nil"/>
            </w:tcBorders>
            <w:shd w:val="clear" w:color="000000" w:fill="E6E6E6"/>
            <w:noWrap/>
            <w:vAlign w:val="bottom"/>
            <w:hideMark/>
          </w:tcPr>
          <w:p w14:paraId="194A4450" w14:textId="77777777" w:rsidR="00CB59AD" w:rsidRPr="007203CA" w:rsidRDefault="00CB59AD" w:rsidP="00CB59AD">
            <w:pPr>
              <w:spacing w:after="0" w:line="240" w:lineRule="auto"/>
              <w:jc w:val="right"/>
              <w:rPr>
                <w:rFonts w:ascii="Arial" w:hAnsi="Arial" w:cs="Arial"/>
                <w:iCs/>
                <w:sz w:val="16"/>
                <w:szCs w:val="16"/>
              </w:rPr>
            </w:pPr>
            <w:r w:rsidRPr="007203CA">
              <w:rPr>
                <w:rFonts w:ascii="Arial" w:hAnsi="Arial" w:cs="Arial"/>
                <w:iCs/>
                <w:sz w:val="16"/>
                <w:szCs w:val="16"/>
              </w:rPr>
              <w:t xml:space="preserve">4,327 </w:t>
            </w:r>
          </w:p>
        </w:tc>
        <w:tc>
          <w:tcPr>
            <w:tcW w:w="857" w:type="dxa"/>
            <w:tcBorders>
              <w:top w:val="nil"/>
              <w:left w:val="nil"/>
              <w:bottom w:val="nil"/>
              <w:right w:val="nil"/>
            </w:tcBorders>
            <w:shd w:val="clear" w:color="auto" w:fill="auto"/>
            <w:noWrap/>
            <w:vAlign w:val="bottom"/>
            <w:hideMark/>
          </w:tcPr>
          <w:p w14:paraId="512B703A" w14:textId="77777777" w:rsidR="00CB59AD" w:rsidRPr="007203CA" w:rsidRDefault="00CB59AD" w:rsidP="00CB59AD">
            <w:pPr>
              <w:spacing w:after="0" w:line="240" w:lineRule="auto"/>
              <w:jc w:val="right"/>
              <w:rPr>
                <w:rFonts w:ascii="Arial" w:hAnsi="Arial" w:cs="Arial"/>
                <w:sz w:val="16"/>
                <w:szCs w:val="16"/>
              </w:rPr>
            </w:pPr>
            <w:r w:rsidRPr="007203CA">
              <w:rPr>
                <w:rFonts w:ascii="Arial" w:hAnsi="Arial" w:cs="Arial"/>
                <w:sz w:val="16"/>
                <w:szCs w:val="16"/>
              </w:rPr>
              <w:t xml:space="preserve">8,400 </w:t>
            </w:r>
          </w:p>
        </w:tc>
        <w:tc>
          <w:tcPr>
            <w:tcW w:w="857" w:type="dxa"/>
            <w:tcBorders>
              <w:top w:val="nil"/>
              <w:left w:val="nil"/>
              <w:bottom w:val="nil"/>
              <w:right w:val="nil"/>
            </w:tcBorders>
            <w:shd w:val="clear" w:color="auto" w:fill="auto"/>
            <w:noWrap/>
            <w:vAlign w:val="bottom"/>
            <w:hideMark/>
          </w:tcPr>
          <w:p w14:paraId="0A7D3FA2" w14:textId="77777777" w:rsidR="00CB59AD" w:rsidRPr="007203CA" w:rsidRDefault="00CB59AD" w:rsidP="00CB59AD">
            <w:pPr>
              <w:spacing w:after="0" w:line="240" w:lineRule="auto"/>
              <w:jc w:val="right"/>
              <w:rPr>
                <w:rFonts w:ascii="Arial" w:hAnsi="Arial" w:cs="Arial"/>
                <w:sz w:val="16"/>
                <w:szCs w:val="16"/>
              </w:rPr>
            </w:pPr>
            <w:r w:rsidRPr="007203CA">
              <w:rPr>
                <w:rFonts w:ascii="Arial" w:hAnsi="Arial" w:cs="Arial"/>
                <w:sz w:val="16"/>
                <w:szCs w:val="16"/>
              </w:rPr>
              <w:t xml:space="preserve">8,751 </w:t>
            </w:r>
          </w:p>
        </w:tc>
        <w:tc>
          <w:tcPr>
            <w:tcW w:w="857" w:type="dxa"/>
            <w:tcBorders>
              <w:top w:val="nil"/>
              <w:left w:val="nil"/>
              <w:bottom w:val="nil"/>
              <w:right w:val="nil"/>
            </w:tcBorders>
            <w:shd w:val="clear" w:color="auto" w:fill="auto"/>
            <w:noWrap/>
            <w:vAlign w:val="bottom"/>
            <w:hideMark/>
          </w:tcPr>
          <w:p w14:paraId="01FEE62C" w14:textId="77777777" w:rsidR="00CB59AD" w:rsidRPr="007203CA" w:rsidRDefault="00CB59AD" w:rsidP="00CB59AD">
            <w:pPr>
              <w:spacing w:after="0" w:line="240" w:lineRule="auto"/>
              <w:jc w:val="right"/>
              <w:rPr>
                <w:rFonts w:ascii="Arial" w:hAnsi="Arial" w:cs="Arial"/>
                <w:iCs/>
                <w:sz w:val="16"/>
                <w:szCs w:val="16"/>
              </w:rPr>
            </w:pPr>
            <w:r w:rsidRPr="007203CA">
              <w:rPr>
                <w:rFonts w:ascii="Arial" w:hAnsi="Arial" w:cs="Arial"/>
                <w:iCs/>
                <w:sz w:val="16"/>
                <w:szCs w:val="16"/>
              </w:rPr>
              <w:t xml:space="preserve">4,893 </w:t>
            </w:r>
          </w:p>
        </w:tc>
      </w:tr>
      <w:tr w:rsidR="00CB59AD" w:rsidRPr="00C913D7" w14:paraId="65BAFEAC" w14:textId="77777777" w:rsidTr="00AD5F79">
        <w:trPr>
          <w:trHeight w:val="204"/>
        </w:trPr>
        <w:tc>
          <w:tcPr>
            <w:tcW w:w="3402" w:type="dxa"/>
            <w:tcBorders>
              <w:top w:val="nil"/>
              <w:left w:val="nil"/>
              <w:bottom w:val="nil"/>
              <w:right w:val="nil"/>
            </w:tcBorders>
            <w:shd w:val="clear" w:color="auto" w:fill="auto"/>
            <w:noWrap/>
            <w:vAlign w:val="center"/>
            <w:hideMark/>
          </w:tcPr>
          <w:p w14:paraId="2A7826EE" w14:textId="77777777" w:rsidR="00CB59AD" w:rsidRPr="007203CA" w:rsidRDefault="00CB59AD" w:rsidP="00CB59AD">
            <w:pPr>
              <w:spacing w:after="0" w:line="240" w:lineRule="auto"/>
              <w:jc w:val="left"/>
              <w:rPr>
                <w:rFonts w:ascii="Arial" w:hAnsi="Arial" w:cs="Arial"/>
                <w:b/>
                <w:bCs/>
                <w:iCs/>
                <w:sz w:val="16"/>
                <w:szCs w:val="16"/>
              </w:rPr>
            </w:pPr>
            <w:r w:rsidRPr="007203CA">
              <w:rPr>
                <w:rFonts w:ascii="Arial" w:hAnsi="Arial" w:cs="Arial"/>
                <w:b/>
                <w:bCs/>
                <w:iCs/>
                <w:sz w:val="16"/>
                <w:szCs w:val="16"/>
              </w:rPr>
              <w:t>Total items</w:t>
            </w:r>
          </w:p>
        </w:tc>
        <w:tc>
          <w:tcPr>
            <w:tcW w:w="855" w:type="dxa"/>
            <w:tcBorders>
              <w:top w:val="single" w:sz="4" w:space="0" w:color="auto"/>
              <w:left w:val="nil"/>
              <w:bottom w:val="single" w:sz="4" w:space="0" w:color="auto"/>
              <w:right w:val="nil"/>
            </w:tcBorders>
            <w:shd w:val="clear" w:color="auto" w:fill="auto"/>
            <w:noWrap/>
            <w:vAlign w:val="bottom"/>
            <w:hideMark/>
          </w:tcPr>
          <w:p w14:paraId="5E7A3D2B" w14:textId="77777777" w:rsidR="00CB59AD" w:rsidRPr="007203CA" w:rsidRDefault="00CB59AD" w:rsidP="00CB59AD">
            <w:pPr>
              <w:spacing w:after="0" w:line="240" w:lineRule="auto"/>
              <w:jc w:val="right"/>
              <w:rPr>
                <w:rFonts w:ascii="Arial" w:hAnsi="Arial" w:cs="Arial"/>
                <w:b/>
                <w:bCs/>
                <w:iCs/>
                <w:sz w:val="16"/>
                <w:szCs w:val="16"/>
              </w:rPr>
            </w:pPr>
            <w:r w:rsidRPr="007203CA">
              <w:rPr>
                <w:rFonts w:ascii="Arial" w:hAnsi="Arial" w:cs="Arial"/>
                <w:b/>
                <w:bCs/>
                <w:iCs/>
                <w:sz w:val="16"/>
                <w:szCs w:val="16"/>
              </w:rPr>
              <w:t xml:space="preserve">809 </w:t>
            </w:r>
          </w:p>
        </w:tc>
        <w:tc>
          <w:tcPr>
            <w:tcW w:w="857" w:type="dxa"/>
            <w:tcBorders>
              <w:top w:val="single" w:sz="4" w:space="0" w:color="auto"/>
              <w:left w:val="nil"/>
              <w:bottom w:val="single" w:sz="4" w:space="0" w:color="auto"/>
              <w:right w:val="nil"/>
            </w:tcBorders>
            <w:shd w:val="clear" w:color="000000" w:fill="E6E6E6"/>
            <w:noWrap/>
            <w:vAlign w:val="bottom"/>
            <w:hideMark/>
          </w:tcPr>
          <w:p w14:paraId="12898A1E" w14:textId="77777777" w:rsidR="00CB59AD" w:rsidRPr="007203CA" w:rsidRDefault="00CB59AD" w:rsidP="00CB59AD">
            <w:pPr>
              <w:spacing w:after="0" w:line="240" w:lineRule="auto"/>
              <w:jc w:val="right"/>
              <w:rPr>
                <w:rFonts w:ascii="Arial" w:hAnsi="Arial" w:cs="Arial"/>
                <w:b/>
                <w:bCs/>
                <w:iCs/>
                <w:sz w:val="16"/>
                <w:szCs w:val="16"/>
              </w:rPr>
            </w:pPr>
            <w:r w:rsidRPr="007203CA">
              <w:rPr>
                <w:rFonts w:ascii="Arial" w:hAnsi="Arial" w:cs="Arial"/>
                <w:b/>
                <w:bCs/>
                <w:iCs/>
                <w:sz w:val="16"/>
                <w:szCs w:val="16"/>
              </w:rPr>
              <w:t xml:space="preserve">4,327 </w:t>
            </w:r>
          </w:p>
        </w:tc>
        <w:tc>
          <w:tcPr>
            <w:tcW w:w="857" w:type="dxa"/>
            <w:tcBorders>
              <w:top w:val="single" w:sz="4" w:space="0" w:color="auto"/>
              <w:left w:val="nil"/>
              <w:bottom w:val="single" w:sz="4" w:space="0" w:color="auto"/>
              <w:right w:val="nil"/>
            </w:tcBorders>
            <w:shd w:val="clear" w:color="auto" w:fill="auto"/>
            <w:noWrap/>
            <w:vAlign w:val="bottom"/>
            <w:hideMark/>
          </w:tcPr>
          <w:p w14:paraId="41845F2A" w14:textId="77777777" w:rsidR="00CB59AD" w:rsidRPr="007203CA" w:rsidRDefault="00CB59AD" w:rsidP="00CB59AD">
            <w:pPr>
              <w:spacing w:after="0" w:line="240" w:lineRule="auto"/>
              <w:jc w:val="right"/>
              <w:rPr>
                <w:rFonts w:ascii="Arial" w:hAnsi="Arial" w:cs="Arial"/>
                <w:b/>
                <w:bCs/>
                <w:iCs/>
                <w:sz w:val="16"/>
                <w:szCs w:val="16"/>
              </w:rPr>
            </w:pPr>
            <w:r w:rsidRPr="007203CA">
              <w:rPr>
                <w:rFonts w:ascii="Arial" w:hAnsi="Arial" w:cs="Arial"/>
                <w:b/>
                <w:bCs/>
                <w:iCs/>
                <w:sz w:val="16"/>
                <w:szCs w:val="16"/>
              </w:rPr>
              <w:t xml:space="preserve">8,400 </w:t>
            </w:r>
          </w:p>
        </w:tc>
        <w:tc>
          <w:tcPr>
            <w:tcW w:w="857" w:type="dxa"/>
            <w:tcBorders>
              <w:top w:val="single" w:sz="4" w:space="0" w:color="auto"/>
              <w:left w:val="nil"/>
              <w:bottom w:val="single" w:sz="4" w:space="0" w:color="auto"/>
              <w:right w:val="nil"/>
            </w:tcBorders>
            <w:shd w:val="clear" w:color="auto" w:fill="auto"/>
            <w:noWrap/>
            <w:vAlign w:val="bottom"/>
            <w:hideMark/>
          </w:tcPr>
          <w:p w14:paraId="0E43A5ED" w14:textId="77777777" w:rsidR="00CB59AD" w:rsidRPr="007203CA" w:rsidRDefault="00CB59AD" w:rsidP="00CB59AD">
            <w:pPr>
              <w:spacing w:after="0" w:line="240" w:lineRule="auto"/>
              <w:jc w:val="right"/>
              <w:rPr>
                <w:rFonts w:ascii="Arial" w:hAnsi="Arial" w:cs="Arial"/>
                <w:b/>
                <w:bCs/>
                <w:iCs/>
                <w:sz w:val="16"/>
                <w:szCs w:val="16"/>
              </w:rPr>
            </w:pPr>
            <w:r w:rsidRPr="007203CA">
              <w:rPr>
                <w:rFonts w:ascii="Arial" w:hAnsi="Arial" w:cs="Arial"/>
                <w:b/>
                <w:bCs/>
                <w:iCs/>
                <w:sz w:val="16"/>
                <w:szCs w:val="16"/>
              </w:rPr>
              <w:t xml:space="preserve">8,751 </w:t>
            </w:r>
          </w:p>
        </w:tc>
        <w:tc>
          <w:tcPr>
            <w:tcW w:w="857" w:type="dxa"/>
            <w:tcBorders>
              <w:top w:val="single" w:sz="4" w:space="0" w:color="auto"/>
              <w:left w:val="nil"/>
              <w:bottom w:val="single" w:sz="4" w:space="0" w:color="auto"/>
              <w:right w:val="nil"/>
            </w:tcBorders>
            <w:shd w:val="clear" w:color="auto" w:fill="auto"/>
            <w:noWrap/>
            <w:vAlign w:val="bottom"/>
            <w:hideMark/>
          </w:tcPr>
          <w:p w14:paraId="54413C81" w14:textId="77777777" w:rsidR="00CB59AD" w:rsidRPr="007203CA" w:rsidRDefault="00CB59AD" w:rsidP="00CB59AD">
            <w:pPr>
              <w:spacing w:after="0" w:line="240" w:lineRule="auto"/>
              <w:jc w:val="right"/>
              <w:rPr>
                <w:rFonts w:ascii="Arial" w:hAnsi="Arial" w:cs="Arial"/>
                <w:b/>
                <w:bCs/>
                <w:iCs/>
                <w:sz w:val="16"/>
                <w:szCs w:val="16"/>
              </w:rPr>
            </w:pPr>
            <w:r w:rsidRPr="007203CA">
              <w:rPr>
                <w:rFonts w:ascii="Arial" w:hAnsi="Arial" w:cs="Arial"/>
                <w:b/>
                <w:bCs/>
                <w:iCs/>
                <w:sz w:val="16"/>
                <w:szCs w:val="16"/>
              </w:rPr>
              <w:t xml:space="preserve">4,893 </w:t>
            </w:r>
          </w:p>
        </w:tc>
      </w:tr>
      <w:tr w:rsidR="00CB59AD" w:rsidRPr="00C913D7" w14:paraId="1DE31740" w14:textId="77777777" w:rsidTr="00AD5F79">
        <w:trPr>
          <w:trHeight w:val="204"/>
        </w:trPr>
        <w:tc>
          <w:tcPr>
            <w:tcW w:w="3402" w:type="dxa"/>
            <w:tcBorders>
              <w:top w:val="nil"/>
              <w:left w:val="nil"/>
              <w:bottom w:val="nil"/>
              <w:right w:val="nil"/>
            </w:tcBorders>
            <w:shd w:val="clear" w:color="auto" w:fill="auto"/>
            <w:vAlign w:val="center"/>
            <w:hideMark/>
          </w:tcPr>
          <w:p w14:paraId="51C8F635" w14:textId="7416F5CD" w:rsidR="00CB59AD" w:rsidRPr="00C913D7" w:rsidRDefault="00CB59AD" w:rsidP="00313EAC">
            <w:pPr>
              <w:spacing w:after="0" w:line="240" w:lineRule="auto"/>
              <w:jc w:val="left"/>
              <w:rPr>
                <w:rFonts w:ascii="Arial" w:hAnsi="Arial" w:cs="Arial"/>
                <w:b/>
                <w:bCs/>
                <w:sz w:val="16"/>
                <w:szCs w:val="16"/>
              </w:rPr>
            </w:pPr>
            <w:r w:rsidRPr="00C913D7">
              <w:rPr>
                <w:rFonts w:ascii="Arial" w:hAnsi="Arial" w:cs="Arial"/>
                <w:b/>
                <w:bCs/>
                <w:sz w:val="16"/>
                <w:szCs w:val="16"/>
              </w:rPr>
              <w:t>PURCHASE OF NON-FINANCIAL</w:t>
            </w:r>
            <w:r w:rsidR="00313EAC">
              <w:rPr>
                <w:rFonts w:ascii="Arial" w:hAnsi="Arial" w:cs="Arial"/>
                <w:b/>
                <w:bCs/>
                <w:sz w:val="16"/>
                <w:szCs w:val="16"/>
              </w:rPr>
              <w:t xml:space="preserve"> </w:t>
            </w:r>
            <w:r w:rsidRPr="00C913D7">
              <w:rPr>
                <w:rFonts w:ascii="Arial" w:hAnsi="Arial" w:cs="Arial"/>
                <w:b/>
                <w:bCs/>
                <w:sz w:val="16"/>
                <w:szCs w:val="16"/>
              </w:rPr>
              <w:t>ASSETS</w:t>
            </w:r>
          </w:p>
        </w:tc>
        <w:tc>
          <w:tcPr>
            <w:tcW w:w="855" w:type="dxa"/>
            <w:tcBorders>
              <w:top w:val="nil"/>
              <w:left w:val="nil"/>
              <w:bottom w:val="nil"/>
              <w:right w:val="nil"/>
            </w:tcBorders>
            <w:shd w:val="clear" w:color="auto" w:fill="auto"/>
            <w:vAlign w:val="bottom"/>
            <w:hideMark/>
          </w:tcPr>
          <w:p w14:paraId="259A3469" w14:textId="77777777" w:rsidR="00CB59AD" w:rsidRPr="00294FA6" w:rsidRDefault="00CB59AD" w:rsidP="00CB59AD">
            <w:pPr>
              <w:spacing w:after="0" w:line="240" w:lineRule="auto"/>
              <w:jc w:val="left"/>
              <w:rPr>
                <w:rFonts w:ascii="Arial" w:hAnsi="Arial" w:cs="Arial"/>
                <w:b/>
                <w:bCs/>
                <w:sz w:val="16"/>
                <w:szCs w:val="16"/>
              </w:rPr>
            </w:pPr>
          </w:p>
        </w:tc>
        <w:tc>
          <w:tcPr>
            <w:tcW w:w="857" w:type="dxa"/>
            <w:tcBorders>
              <w:top w:val="nil"/>
              <w:left w:val="nil"/>
              <w:bottom w:val="nil"/>
              <w:right w:val="nil"/>
            </w:tcBorders>
            <w:shd w:val="clear" w:color="000000" w:fill="E6E6E6"/>
            <w:vAlign w:val="bottom"/>
            <w:hideMark/>
          </w:tcPr>
          <w:p w14:paraId="27D95BDD" w14:textId="77777777" w:rsidR="00CB59AD" w:rsidRPr="00294FA6" w:rsidRDefault="00CB59AD" w:rsidP="00CB59AD">
            <w:pPr>
              <w:spacing w:after="0" w:line="240" w:lineRule="auto"/>
              <w:jc w:val="left"/>
              <w:rPr>
                <w:rFonts w:ascii="Arial" w:hAnsi="Arial" w:cs="Arial"/>
                <w:sz w:val="16"/>
                <w:szCs w:val="16"/>
              </w:rPr>
            </w:pPr>
            <w:r w:rsidRPr="00294FA6">
              <w:rPr>
                <w:rFonts w:ascii="Arial" w:hAnsi="Arial" w:cs="Arial"/>
                <w:sz w:val="16"/>
                <w:szCs w:val="16"/>
              </w:rPr>
              <w:t> </w:t>
            </w:r>
          </w:p>
        </w:tc>
        <w:tc>
          <w:tcPr>
            <w:tcW w:w="857" w:type="dxa"/>
            <w:tcBorders>
              <w:top w:val="nil"/>
              <w:left w:val="nil"/>
              <w:bottom w:val="nil"/>
              <w:right w:val="nil"/>
            </w:tcBorders>
            <w:shd w:val="clear" w:color="auto" w:fill="auto"/>
            <w:vAlign w:val="bottom"/>
            <w:hideMark/>
          </w:tcPr>
          <w:p w14:paraId="58A5FE35" w14:textId="77777777" w:rsidR="00CB59AD" w:rsidRPr="00294FA6" w:rsidRDefault="00CB59AD" w:rsidP="00CB59AD">
            <w:pPr>
              <w:spacing w:after="0" w:line="240" w:lineRule="auto"/>
              <w:jc w:val="lef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731617AF" w14:textId="77777777" w:rsidR="00CB59AD" w:rsidRPr="00294FA6" w:rsidRDefault="00CB59AD" w:rsidP="00CB59AD">
            <w:pPr>
              <w:spacing w:after="0" w:line="240" w:lineRule="auto"/>
              <w:jc w:val="left"/>
              <w:rPr>
                <w:rFonts w:ascii="Times New Roman" w:hAnsi="Times New Roman"/>
                <w:sz w:val="16"/>
                <w:szCs w:val="16"/>
              </w:rPr>
            </w:pPr>
          </w:p>
        </w:tc>
        <w:tc>
          <w:tcPr>
            <w:tcW w:w="857" w:type="dxa"/>
            <w:tcBorders>
              <w:top w:val="nil"/>
              <w:left w:val="nil"/>
              <w:bottom w:val="nil"/>
              <w:right w:val="nil"/>
            </w:tcBorders>
            <w:shd w:val="clear" w:color="auto" w:fill="auto"/>
            <w:vAlign w:val="bottom"/>
            <w:hideMark/>
          </w:tcPr>
          <w:p w14:paraId="31978C03" w14:textId="77777777" w:rsidR="00CB59AD" w:rsidRPr="00294FA6" w:rsidRDefault="00CB59AD" w:rsidP="00CB59AD">
            <w:pPr>
              <w:spacing w:after="0" w:line="240" w:lineRule="auto"/>
              <w:jc w:val="left"/>
              <w:rPr>
                <w:rFonts w:ascii="Times New Roman" w:hAnsi="Times New Roman"/>
                <w:sz w:val="16"/>
                <w:szCs w:val="16"/>
              </w:rPr>
            </w:pPr>
          </w:p>
        </w:tc>
      </w:tr>
      <w:tr w:rsidR="00CB59AD" w:rsidRPr="00C913D7" w14:paraId="49C09114" w14:textId="77777777" w:rsidTr="00AD5F79">
        <w:trPr>
          <w:trHeight w:val="204"/>
        </w:trPr>
        <w:tc>
          <w:tcPr>
            <w:tcW w:w="3402" w:type="dxa"/>
            <w:tcBorders>
              <w:top w:val="nil"/>
              <w:left w:val="nil"/>
              <w:bottom w:val="nil"/>
              <w:right w:val="nil"/>
            </w:tcBorders>
            <w:shd w:val="clear" w:color="auto" w:fill="auto"/>
            <w:noWrap/>
            <w:vAlign w:val="center"/>
            <w:hideMark/>
          </w:tcPr>
          <w:p w14:paraId="2BFFA2A8" w14:textId="77777777" w:rsidR="00CB59AD" w:rsidRPr="00C913D7" w:rsidRDefault="00CB59AD" w:rsidP="00313EAC">
            <w:pPr>
              <w:spacing w:after="0" w:line="240" w:lineRule="auto"/>
              <w:ind w:left="113"/>
              <w:jc w:val="left"/>
              <w:rPr>
                <w:rFonts w:ascii="Arial" w:hAnsi="Arial" w:cs="Arial"/>
                <w:sz w:val="16"/>
                <w:szCs w:val="16"/>
              </w:rPr>
            </w:pPr>
            <w:r w:rsidRPr="00C913D7">
              <w:rPr>
                <w:rFonts w:ascii="Arial" w:hAnsi="Arial" w:cs="Arial"/>
                <w:sz w:val="16"/>
                <w:szCs w:val="16"/>
              </w:rPr>
              <w:t xml:space="preserve">Funded by capital appropriations </w:t>
            </w:r>
            <w:r w:rsidRPr="009221CF">
              <w:rPr>
                <w:rFonts w:ascii="Arial" w:hAnsi="Arial" w:cs="Arial"/>
                <w:sz w:val="16"/>
                <w:szCs w:val="16"/>
                <w:vertAlign w:val="superscript"/>
              </w:rPr>
              <w:t>(a)</w:t>
            </w:r>
          </w:p>
        </w:tc>
        <w:tc>
          <w:tcPr>
            <w:tcW w:w="855" w:type="dxa"/>
            <w:tcBorders>
              <w:top w:val="nil"/>
              <w:left w:val="nil"/>
              <w:bottom w:val="nil"/>
              <w:right w:val="nil"/>
            </w:tcBorders>
            <w:shd w:val="clear" w:color="auto" w:fill="auto"/>
            <w:noWrap/>
            <w:vAlign w:val="bottom"/>
            <w:hideMark/>
          </w:tcPr>
          <w:p w14:paraId="090FC78C"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809 </w:t>
            </w:r>
          </w:p>
        </w:tc>
        <w:tc>
          <w:tcPr>
            <w:tcW w:w="857" w:type="dxa"/>
            <w:tcBorders>
              <w:top w:val="nil"/>
              <w:left w:val="nil"/>
              <w:bottom w:val="nil"/>
              <w:right w:val="nil"/>
            </w:tcBorders>
            <w:shd w:val="clear" w:color="000000" w:fill="E6E6E6"/>
            <w:noWrap/>
            <w:vAlign w:val="bottom"/>
            <w:hideMark/>
          </w:tcPr>
          <w:p w14:paraId="3D670865"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4,327 </w:t>
            </w:r>
          </w:p>
        </w:tc>
        <w:tc>
          <w:tcPr>
            <w:tcW w:w="857" w:type="dxa"/>
            <w:tcBorders>
              <w:top w:val="nil"/>
              <w:left w:val="nil"/>
              <w:bottom w:val="nil"/>
              <w:right w:val="nil"/>
            </w:tcBorders>
            <w:shd w:val="clear" w:color="auto" w:fill="auto"/>
            <w:noWrap/>
            <w:vAlign w:val="bottom"/>
            <w:hideMark/>
          </w:tcPr>
          <w:p w14:paraId="34B9EFEC"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8,400 </w:t>
            </w:r>
          </w:p>
        </w:tc>
        <w:tc>
          <w:tcPr>
            <w:tcW w:w="857" w:type="dxa"/>
            <w:tcBorders>
              <w:top w:val="nil"/>
              <w:left w:val="nil"/>
              <w:bottom w:val="nil"/>
              <w:right w:val="nil"/>
            </w:tcBorders>
            <w:shd w:val="clear" w:color="auto" w:fill="auto"/>
            <w:noWrap/>
            <w:vAlign w:val="bottom"/>
            <w:hideMark/>
          </w:tcPr>
          <w:p w14:paraId="5C35F36B"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8,751 </w:t>
            </w:r>
          </w:p>
        </w:tc>
        <w:tc>
          <w:tcPr>
            <w:tcW w:w="857" w:type="dxa"/>
            <w:tcBorders>
              <w:top w:val="nil"/>
              <w:left w:val="nil"/>
              <w:bottom w:val="nil"/>
              <w:right w:val="nil"/>
            </w:tcBorders>
            <w:shd w:val="clear" w:color="auto" w:fill="auto"/>
            <w:noWrap/>
            <w:vAlign w:val="bottom"/>
            <w:hideMark/>
          </w:tcPr>
          <w:p w14:paraId="1CC8430A"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4,893 </w:t>
            </w:r>
          </w:p>
        </w:tc>
      </w:tr>
      <w:tr w:rsidR="00CB59AD" w:rsidRPr="00C913D7" w14:paraId="2D4DA64A" w14:textId="77777777" w:rsidTr="00AD5F79">
        <w:trPr>
          <w:trHeight w:val="204"/>
        </w:trPr>
        <w:tc>
          <w:tcPr>
            <w:tcW w:w="3402" w:type="dxa"/>
            <w:tcBorders>
              <w:top w:val="nil"/>
              <w:left w:val="nil"/>
              <w:bottom w:val="nil"/>
              <w:right w:val="nil"/>
            </w:tcBorders>
            <w:shd w:val="clear" w:color="auto" w:fill="auto"/>
            <w:vAlign w:val="center"/>
            <w:hideMark/>
          </w:tcPr>
          <w:p w14:paraId="7B8A79D0" w14:textId="72C03ECE" w:rsidR="00CB59AD" w:rsidRPr="00C913D7" w:rsidRDefault="00CB59AD" w:rsidP="00313EAC">
            <w:pPr>
              <w:spacing w:after="0" w:line="240" w:lineRule="auto"/>
              <w:ind w:left="113"/>
              <w:jc w:val="left"/>
              <w:rPr>
                <w:rFonts w:ascii="Arial" w:hAnsi="Arial" w:cs="Arial"/>
                <w:sz w:val="16"/>
                <w:szCs w:val="16"/>
              </w:rPr>
            </w:pPr>
            <w:r w:rsidRPr="00C913D7">
              <w:rPr>
                <w:rFonts w:ascii="Arial" w:hAnsi="Arial" w:cs="Arial"/>
                <w:sz w:val="16"/>
                <w:szCs w:val="16"/>
              </w:rPr>
              <w:t xml:space="preserve">Funded internally from </w:t>
            </w:r>
            <w:r w:rsidR="008863D9">
              <w:rPr>
                <w:rFonts w:ascii="Arial" w:hAnsi="Arial" w:cs="Arial"/>
                <w:sz w:val="16"/>
                <w:szCs w:val="16"/>
              </w:rPr>
              <w:t>Department</w:t>
            </w:r>
            <w:r w:rsidRPr="00C913D7">
              <w:rPr>
                <w:rFonts w:ascii="Arial" w:hAnsi="Arial" w:cs="Arial"/>
                <w:sz w:val="16"/>
                <w:szCs w:val="16"/>
              </w:rPr>
              <w:t>al</w:t>
            </w:r>
            <w:r w:rsidR="00313EAC">
              <w:rPr>
                <w:rFonts w:ascii="Arial" w:hAnsi="Arial" w:cs="Arial"/>
                <w:sz w:val="16"/>
                <w:szCs w:val="16"/>
              </w:rPr>
              <w:t xml:space="preserve"> </w:t>
            </w:r>
            <w:r w:rsidRPr="00C913D7">
              <w:rPr>
                <w:rFonts w:ascii="Arial" w:hAnsi="Arial" w:cs="Arial"/>
                <w:sz w:val="16"/>
                <w:szCs w:val="16"/>
              </w:rPr>
              <w:t xml:space="preserve">resources </w:t>
            </w:r>
            <w:r w:rsidRPr="009221CF">
              <w:rPr>
                <w:rFonts w:ascii="Arial" w:hAnsi="Arial" w:cs="Arial"/>
                <w:sz w:val="16"/>
                <w:szCs w:val="16"/>
                <w:vertAlign w:val="superscript"/>
              </w:rPr>
              <w:t>(b)</w:t>
            </w:r>
          </w:p>
        </w:tc>
        <w:tc>
          <w:tcPr>
            <w:tcW w:w="855" w:type="dxa"/>
            <w:tcBorders>
              <w:top w:val="nil"/>
              <w:left w:val="nil"/>
              <w:bottom w:val="nil"/>
              <w:right w:val="nil"/>
            </w:tcBorders>
            <w:shd w:val="clear" w:color="auto" w:fill="auto"/>
            <w:noWrap/>
            <w:vAlign w:val="bottom"/>
            <w:hideMark/>
          </w:tcPr>
          <w:p w14:paraId="0A7020B2"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3,686 </w:t>
            </w:r>
          </w:p>
        </w:tc>
        <w:tc>
          <w:tcPr>
            <w:tcW w:w="857" w:type="dxa"/>
            <w:tcBorders>
              <w:top w:val="nil"/>
              <w:left w:val="nil"/>
              <w:bottom w:val="nil"/>
              <w:right w:val="nil"/>
            </w:tcBorders>
            <w:shd w:val="clear" w:color="000000" w:fill="E6E6E6"/>
            <w:noWrap/>
            <w:vAlign w:val="bottom"/>
            <w:hideMark/>
          </w:tcPr>
          <w:p w14:paraId="0AA2F128"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2,164 </w:t>
            </w:r>
          </w:p>
        </w:tc>
        <w:tc>
          <w:tcPr>
            <w:tcW w:w="857" w:type="dxa"/>
            <w:tcBorders>
              <w:top w:val="nil"/>
              <w:left w:val="nil"/>
              <w:bottom w:val="nil"/>
              <w:right w:val="nil"/>
            </w:tcBorders>
            <w:shd w:val="clear" w:color="auto" w:fill="auto"/>
            <w:noWrap/>
            <w:vAlign w:val="bottom"/>
            <w:hideMark/>
          </w:tcPr>
          <w:p w14:paraId="280A509E"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1,010 </w:t>
            </w:r>
          </w:p>
        </w:tc>
        <w:tc>
          <w:tcPr>
            <w:tcW w:w="857" w:type="dxa"/>
            <w:tcBorders>
              <w:top w:val="nil"/>
              <w:left w:val="nil"/>
              <w:bottom w:val="nil"/>
              <w:right w:val="nil"/>
            </w:tcBorders>
            <w:shd w:val="clear" w:color="auto" w:fill="auto"/>
            <w:noWrap/>
            <w:vAlign w:val="bottom"/>
            <w:hideMark/>
          </w:tcPr>
          <w:p w14:paraId="2EC38302"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710 </w:t>
            </w:r>
          </w:p>
        </w:tc>
        <w:tc>
          <w:tcPr>
            <w:tcW w:w="857" w:type="dxa"/>
            <w:tcBorders>
              <w:top w:val="nil"/>
              <w:left w:val="nil"/>
              <w:bottom w:val="nil"/>
              <w:right w:val="nil"/>
            </w:tcBorders>
            <w:shd w:val="clear" w:color="auto" w:fill="auto"/>
            <w:noWrap/>
            <w:vAlign w:val="bottom"/>
            <w:hideMark/>
          </w:tcPr>
          <w:p w14:paraId="1D85B3C1" w14:textId="77777777" w:rsidR="00CB59AD" w:rsidRPr="00294FA6" w:rsidRDefault="00CB59AD" w:rsidP="00CB59AD">
            <w:pPr>
              <w:spacing w:after="0" w:line="240" w:lineRule="auto"/>
              <w:jc w:val="right"/>
              <w:rPr>
                <w:rFonts w:ascii="Arial" w:hAnsi="Arial" w:cs="Arial"/>
                <w:sz w:val="16"/>
                <w:szCs w:val="16"/>
              </w:rPr>
            </w:pPr>
            <w:r w:rsidRPr="00294FA6">
              <w:rPr>
                <w:rFonts w:ascii="Arial" w:hAnsi="Arial" w:cs="Arial"/>
                <w:sz w:val="16"/>
                <w:szCs w:val="16"/>
              </w:rPr>
              <w:t xml:space="preserve">710 </w:t>
            </w:r>
          </w:p>
        </w:tc>
      </w:tr>
      <w:tr w:rsidR="00CB59AD" w:rsidRPr="00C913D7" w14:paraId="55F8BD19" w14:textId="77777777" w:rsidTr="00AD5F79">
        <w:trPr>
          <w:trHeight w:val="204"/>
        </w:trPr>
        <w:tc>
          <w:tcPr>
            <w:tcW w:w="3402" w:type="dxa"/>
            <w:tcBorders>
              <w:top w:val="nil"/>
              <w:left w:val="nil"/>
              <w:bottom w:val="single" w:sz="4" w:space="0" w:color="auto"/>
              <w:right w:val="nil"/>
            </w:tcBorders>
            <w:shd w:val="clear" w:color="auto" w:fill="auto"/>
            <w:noWrap/>
            <w:vAlign w:val="center"/>
            <w:hideMark/>
          </w:tcPr>
          <w:p w14:paraId="16F1410C" w14:textId="77777777" w:rsidR="00CB59AD" w:rsidRPr="00C913D7" w:rsidRDefault="00CB59AD" w:rsidP="00CB59AD">
            <w:pPr>
              <w:spacing w:after="0" w:line="240" w:lineRule="auto"/>
              <w:jc w:val="left"/>
              <w:rPr>
                <w:rFonts w:ascii="Arial" w:hAnsi="Arial" w:cs="Arial"/>
                <w:b/>
                <w:bCs/>
                <w:sz w:val="16"/>
                <w:szCs w:val="16"/>
              </w:rPr>
            </w:pPr>
            <w:r w:rsidRPr="00C913D7">
              <w:rPr>
                <w:rFonts w:ascii="Arial" w:hAnsi="Arial" w:cs="Arial"/>
                <w:b/>
                <w:bCs/>
                <w:sz w:val="16"/>
                <w:szCs w:val="16"/>
              </w:rPr>
              <w:t>TOTAL</w:t>
            </w:r>
          </w:p>
        </w:tc>
        <w:tc>
          <w:tcPr>
            <w:tcW w:w="855" w:type="dxa"/>
            <w:tcBorders>
              <w:top w:val="single" w:sz="4" w:space="0" w:color="auto"/>
              <w:left w:val="nil"/>
              <w:bottom w:val="single" w:sz="4" w:space="0" w:color="auto"/>
              <w:right w:val="nil"/>
            </w:tcBorders>
            <w:shd w:val="clear" w:color="auto" w:fill="auto"/>
            <w:noWrap/>
            <w:vAlign w:val="bottom"/>
            <w:hideMark/>
          </w:tcPr>
          <w:p w14:paraId="40592CDF" w14:textId="77777777" w:rsidR="00CB59AD" w:rsidRPr="00294FA6" w:rsidRDefault="00CB59AD" w:rsidP="00CB59AD">
            <w:pPr>
              <w:spacing w:after="0" w:line="240" w:lineRule="auto"/>
              <w:jc w:val="right"/>
              <w:rPr>
                <w:rFonts w:ascii="Arial" w:hAnsi="Arial" w:cs="Arial"/>
                <w:b/>
                <w:bCs/>
                <w:sz w:val="16"/>
                <w:szCs w:val="16"/>
              </w:rPr>
            </w:pPr>
            <w:r w:rsidRPr="00294FA6">
              <w:rPr>
                <w:rFonts w:ascii="Arial" w:hAnsi="Arial" w:cs="Arial"/>
                <w:b/>
                <w:bCs/>
                <w:sz w:val="16"/>
                <w:szCs w:val="16"/>
              </w:rPr>
              <w:t xml:space="preserve">4,495 </w:t>
            </w:r>
          </w:p>
        </w:tc>
        <w:tc>
          <w:tcPr>
            <w:tcW w:w="857" w:type="dxa"/>
            <w:tcBorders>
              <w:top w:val="single" w:sz="4" w:space="0" w:color="auto"/>
              <w:left w:val="nil"/>
              <w:bottom w:val="single" w:sz="4" w:space="0" w:color="auto"/>
              <w:right w:val="nil"/>
            </w:tcBorders>
            <w:shd w:val="clear" w:color="000000" w:fill="E6E6E6"/>
            <w:noWrap/>
            <w:vAlign w:val="bottom"/>
            <w:hideMark/>
          </w:tcPr>
          <w:p w14:paraId="381B33BD" w14:textId="77777777" w:rsidR="00CB59AD" w:rsidRPr="00294FA6" w:rsidRDefault="00CB59AD" w:rsidP="00CB59AD">
            <w:pPr>
              <w:spacing w:after="0" w:line="240" w:lineRule="auto"/>
              <w:jc w:val="right"/>
              <w:rPr>
                <w:rFonts w:ascii="Arial" w:hAnsi="Arial" w:cs="Arial"/>
                <w:b/>
                <w:bCs/>
                <w:sz w:val="16"/>
                <w:szCs w:val="16"/>
              </w:rPr>
            </w:pPr>
            <w:r w:rsidRPr="00294FA6">
              <w:rPr>
                <w:rFonts w:ascii="Arial" w:hAnsi="Arial" w:cs="Arial"/>
                <w:b/>
                <w:bCs/>
                <w:sz w:val="16"/>
                <w:szCs w:val="16"/>
              </w:rPr>
              <w:t xml:space="preserve">6,491 </w:t>
            </w:r>
          </w:p>
        </w:tc>
        <w:tc>
          <w:tcPr>
            <w:tcW w:w="857" w:type="dxa"/>
            <w:tcBorders>
              <w:top w:val="single" w:sz="4" w:space="0" w:color="auto"/>
              <w:left w:val="nil"/>
              <w:bottom w:val="single" w:sz="4" w:space="0" w:color="auto"/>
              <w:right w:val="nil"/>
            </w:tcBorders>
            <w:shd w:val="clear" w:color="auto" w:fill="auto"/>
            <w:noWrap/>
            <w:vAlign w:val="bottom"/>
            <w:hideMark/>
          </w:tcPr>
          <w:p w14:paraId="069CB381" w14:textId="77777777" w:rsidR="00CB59AD" w:rsidRPr="00294FA6" w:rsidRDefault="00CB59AD" w:rsidP="00CB59AD">
            <w:pPr>
              <w:spacing w:after="0" w:line="240" w:lineRule="auto"/>
              <w:jc w:val="right"/>
              <w:rPr>
                <w:rFonts w:ascii="Arial" w:hAnsi="Arial" w:cs="Arial"/>
                <w:b/>
                <w:bCs/>
                <w:sz w:val="16"/>
                <w:szCs w:val="16"/>
              </w:rPr>
            </w:pPr>
            <w:r w:rsidRPr="00294FA6">
              <w:rPr>
                <w:rFonts w:ascii="Arial" w:hAnsi="Arial" w:cs="Arial"/>
                <w:b/>
                <w:bCs/>
                <w:sz w:val="16"/>
                <w:szCs w:val="16"/>
              </w:rPr>
              <w:t xml:space="preserve">9,410 </w:t>
            </w:r>
          </w:p>
        </w:tc>
        <w:tc>
          <w:tcPr>
            <w:tcW w:w="857" w:type="dxa"/>
            <w:tcBorders>
              <w:top w:val="single" w:sz="4" w:space="0" w:color="auto"/>
              <w:left w:val="nil"/>
              <w:bottom w:val="single" w:sz="4" w:space="0" w:color="auto"/>
              <w:right w:val="nil"/>
            </w:tcBorders>
            <w:shd w:val="clear" w:color="auto" w:fill="auto"/>
            <w:noWrap/>
            <w:vAlign w:val="bottom"/>
            <w:hideMark/>
          </w:tcPr>
          <w:p w14:paraId="449F072C" w14:textId="77777777" w:rsidR="00CB59AD" w:rsidRPr="00294FA6" w:rsidRDefault="00CB59AD" w:rsidP="00CB59AD">
            <w:pPr>
              <w:spacing w:after="0" w:line="240" w:lineRule="auto"/>
              <w:jc w:val="right"/>
              <w:rPr>
                <w:rFonts w:ascii="Arial" w:hAnsi="Arial" w:cs="Arial"/>
                <w:b/>
                <w:bCs/>
                <w:sz w:val="16"/>
                <w:szCs w:val="16"/>
              </w:rPr>
            </w:pPr>
            <w:r w:rsidRPr="00294FA6">
              <w:rPr>
                <w:rFonts w:ascii="Arial" w:hAnsi="Arial" w:cs="Arial"/>
                <w:b/>
                <w:bCs/>
                <w:sz w:val="16"/>
                <w:szCs w:val="16"/>
              </w:rPr>
              <w:t xml:space="preserve">9,461 </w:t>
            </w:r>
          </w:p>
        </w:tc>
        <w:tc>
          <w:tcPr>
            <w:tcW w:w="857" w:type="dxa"/>
            <w:tcBorders>
              <w:top w:val="single" w:sz="4" w:space="0" w:color="auto"/>
              <w:left w:val="nil"/>
              <w:bottom w:val="single" w:sz="4" w:space="0" w:color="auto"/>
              <w:right w:val="nil"/>
            </w:tcBorders>
            <w:shd w:val="clear" w:color="auto" w:fill="auto"/>
            <w:noWrap/>
            <w:vAlign w:val="bottom"/>
            <w:hideMark/>
          </w:tcPr>
          <w:p w14:paraId="23E2FC60" w14:textId="77777777" w:rsidR="00CB59AD" w:rsidRPr="00294FA6" w:rsidRDefault="00CB59AD" w:rsidP="00CB59AD">
            <w:pPr>
              <w:spacing w:after="0" w:line="240" w:lineRule="auto"/>
              <w:jc w:val="right"/>
              <w:rPr>
                <w:rFonts w:ascii="Arial" w:hAnsi="Arial" w:cs="Arial"/>
                <w:b/>
                <w:bCs/>
                <w:sz w:val="16"/>
                <w:szCs w:val="16"/>
              </w:rPr>
            </w:pPr>
            <w:r w:rsidRPr="00294FA6">
              <w:rPr>
                <w:rFonts w:ascii="Arial" w:hAnsi="Arial" w:cs="Arial"/>
                <w:b/>
                <w:bCs/>
                <w:sz w:val="16"/>
                <w:szCs w:val="16"/>
              </w:rPr>
              <w:t xml:space="preserve">5,603 </w:t>
            </w:r>
          </w:p>
        </w:tc>
      </w:tr>
    </w:tbl>
    <w:p w14:paraId="20122F88" w14:textId="7A044278" w:rsidR="00914885" w:rsidRDefault="00AD5F79" w:rsidP="00AD5F79">
      <w:pPr>
        <w:pStyle w:val="ChartandTableFootnote-Dash"/>
        <w:spacing w:before="60"/>
        <w:ind w:left="284"/>
        <w:jc w:val="left"/>
      </w:pPr>
      <w:r>
        <w:t>(</w:t>
      </w:r>
      <w:proofErr w:type="gramStart"/>
      <w:r>
        <w:t>a</w:t>
      </w:r>
      <w:proofErr w:type="gramEnd"/>
      <w:r>
        <w:t>)</w:t>
      </w:r>
      <w:r>
        <w:tab/>
      </w:r>
      <w:r w:rsidR="009221CF" w:rsidRPr="009221CF">
        <w:t xml:space="preserve">Includes both current Bill </w:t>
      </w:r>
      <w:r w:rsidR="007203CA">
        <w:t>4</w:t>
      </w:r>
      <w:r w:rsidR="009221CF" w:rsidRPr="009221CF">
        <w:t xml:space="preserve"> and prior Act 2/4/6 appropriations and special capital appropriations.</w:t>
      </w:r>
    </w:p>
    <w:p w14:paraId="5F3F3A36" w14:textId="6B67AC6B" w:rsidR="009221CF" w:rsidRDefault="00AD5F79" w:rsidP="00AD5F79">
      <w:pPr>
        <w:pStyle w:val="ChartandTableFootnote-Dash"/>
        <w:ind w:left="284"/>
        <w:jc w:val="left"/>
      </w:pPr>
      <w:r>
        <w:t>(b)</w:t>
      </w:r>
      <w:r>
        <w:tab/>
      </w:r>
      <w:r w:rsidR="009221CF" w:rsidRPr="009221CF">
        <w:t xml:space="preserve">Includes funding from current Bill 1 and prior year Act 1/3/5 appropriations (excluding amounts from the </w:t>
      </w:r>
      <w:r>
        <w:t>Departmental Capital Budget</w:t>
      </w:r>
      <w:r w:rsidR="009221CF" w:rsidRPr="009221CF">
        <w:t>), internally developed assets, s74 External Revenue and proceeds from the sale of assets.</w:t>
      </w:r>
    </w:p>
    <w:p w14:paraId="74B64840" w14:textId="77777777" w:rsidR="00914885" w:rsidRDefault="00914885" w:rsidP="00914885">
      <w:pPr>
        <w:pStyle w:val="TableHeading"/>
        <w:spacing w:before="0" w:after="0"/>
        <w:rPr>
          <w:snapToGrid w:val="0"/>
        </w:rPr>
      </w:pPr>
      <w:r>
        <w:rPr>
          <w:snapToGrid w:val="0"/>
        </w:rPr>
        <w:br w:type="page"/>
      </w:r>
    </w:p>
    <w:p w14:paraId="167A5598" w14:textId="7E824E86" w:rsidR="00280953" w:rsidRDefault="00280953" w:rsidP="00280953">
      <w:pPr>
        <w:pStyle w:val="TableHeading"/>
      </w:pPr>
      <w:r w:rsidRPr="00D30CBA">
        <w:lastRenderedPageBreak/>
        <w:t>Table</w:t>
      </w:r>
      <w:r>
        <w:t xml:space="preserve"> 3.7</w:t>
      </w:r>
      <w:r w:rsidRPr="00D30CBA">
        <w:t xml:space="preserve">: </w:t>
      </w:r>
      <w:r>
        <w:t>Statement of asset movements (</w:t>
      </w:r>
      <w:r w:rsidR="00377489">
        <w:t>2021-22 Budget year</w:t>
      </w:r>
      <w:r>
        <w:t>)</w:t>
      </w:r>
    </w:p>
    <w:tbl>
      <w:tblPr>
        <w:tblW w:w="0" w:type="auto"/>
        <w:tblLayout w:type="fixed"/>
        <w:tblLook w:val="04A0" w:firstRow="1" w:lastRow="0" w:firstColumn="1" w:lastColumn="0" w:noHBand="0" w:noVBand="1"/>
      </w:tblPr>
      <w:tblGrid>
        <w:gridCol w:w="2552"/>
        <w:gridCol w:w="709"/>
        <w:gridCol w:w="866"/>
        <w:gridCol w:w="977"/>
        <w:gridCol w:w="822"/>
        <w:gridCol w:w="985"/>
        <w:gridCol w:w="814"/>
      </w:tblGrid>
      <w:tr w:rsidR="000325FB" w:rsidRPr="000325FB" w14:paraId="5DD15C15" w14:textId="77777777" w:rsidTr="00F82F1F">
        <w:trPr>
          <w:trHeight w:val="159"/>
        </w:trPr>
        <w:tc>
          <w:tcPr>
            <w:tcW w:w="2552" w:type="dxa"/>
            <w:tcBorders>
              <w:top w:val="single" w:sz="4" w:space="0" w:color="auto"/>
              <w:left w:val="nil"/>
              <w:bottom w:val="nil"/>
              <w:right w:val="nil"/>
            </w:tcBorders>
            <w:shd w:val="clear" w:color="auto" w:fill="auto"/>
            <w:noWrap/>
            <w:vAlign w:val="bottom"/>
            <w:hideMark/>
          </w:tcPr>
          <w:p w14:paraId="6AC2B88C" w14:textId="77777777" w:rsidR="000325FB" w:rsidRPr="000325FB" w:rsidRDefault="000325FB" w:rsidP="000325FB">
            <w:pPr>
              <w:spacing w:after="0" w:line="240" w:lineRule="auto"/>
              <w:jc w:val="left"/>
              <w:rPr>
                <w:rFonts w:ascii="Times New Roman" w:hAnsi="Times New Roman"/>
                <w:sz w:val="24"/>
                <w:szCs w:val="24"/>
              </w:rPr>
            </w:pPr>
          </w:p>
        </w:tc>
        <w:tc>
          <w:tcPr>
            <w:tcW w:w="5173" w:type="dxa"/>
            <w:gridSpan w:val="6"/>
            <w:tcBorders>
              <w:top w:val="single" w:sz="4" w:space="0" w:color="auto"/>
              <w:left w:val="nil"/>
              <w:bottom w:val="single" w:sz="4" w:space="0" w:color="auto"/>
              <w:right w:val="nil"/>
            </w:tcBorders>
            <w:shd w:val="clear" w:color="auto" w:fill="auto"/>
            <w:noWrap/>
            <w:vAlign w:val="bottom"/>
            <w:hideMark/>
          </w:tcPr>
          <w:p w14:paraId="4B2ECF3E" w14:textId="522673C2" w:rsidR="000325FB" w:rsidRPr="000325FB" w:rsidRDefault="000325FB" w:rsidP="000325FB">
            <w:pPr>
              <w:spacing w:after="0" w:line="240" w:lineRule="auto"/>
              <w:jc w:val="center"/>
              <w:rPr>
                <w:rFonts w:ascii="Arial" w:hAnsi="Arial" w:cs="Arial"/>
                <w:b/>
                <w:bCs/>
                <w:sz w:val="16"/>
                <w:szCs w:val="16"/>
              </w:rPr>
            </w:pPr>
            <w:r w:rsidRPr="000325FB">
              <w:rPr>
                <w:rFonts w:ascii="Arial" w:hAnsi="Arial" w:cs="Arial"/>
                <w:b/>
                <w:bCs/>
                <w:sz w:val="16"/>
                <w:szCs w:val="16"/>
              </w:rPr>
              <w:t xml:space="preserve">Asset Category </w:t>
            </w:r>
          </w:p>
        </w:tc>
      </w:tr>
      <w:tr w:rsidR="000325FB" w:rsidRPr="000325FB" w14:paraId="319ABB2D" w14:textId="77777777" w:rsidTr="00F82F1F">
        <w:trPr>
          <w:trHeight w:val="204"/>
        </w:trPr>
        <w:tc>
          <w:tcPr>
            <w:tcW w:w="2552" w:type="dxa"/>
            <w:tcBorders>
              <w:left w:val="nil"/>
              <w:bottom w:val="nil"/>
              <w:right w:val="nil"/>
            </w:tcBorders>
            <w:shd w:val="clear" w:color="auto" w:fill="auto"/>
            <w:noWrap/>
            <w:vAlign w:val="center"/>
            <w:hideMark/>
          </w:tcPr>
          <w:p w14:paraId="43C6744F" w14:textId="77777777" w:rsidR="000325FB" w:rsidRPr="000325FB" w:rsidRDefault="000325FB" w:rsidP="000325FB">
            <w:pPr>
              <w:spacing w:after="0" w:line="240" w:lineRule="auto"/>
              <w:jc w:val="left"/>
              <w:rPr>
                <w:rFonts w:ascii="Arial" w:hAnsi="Arial" w:cs="Arial"/>
                <w:sz w:val="16"/>
                <w:szCs w:val="16"/>
              </w:rPr>
            </w:pPr>
            <w:r w:rsidRPr="000325FB">
              <w:rPr>
                <w:rFonts w:ascii="Arial" w:hAnsi="Arial" w:cs="Arial"/>
                <w:sz w:val="16"/>
                <w:szCs w:val="16"/>
              </w:rPr>
              <w:t> </w:t>
            </w:r>
          </w:p>
        </w:tc>
        <w:tc>
          <w:tcPr>
            <w:tcW w:w="709" w:type="dxa"/>
            <w:tcBorders>
              <w:top w:val="nil"/>
              <w:left w:val="nil"/>
              <w:bottom w:val="single" w:sz="4" w:space="0" w:color="auto"/>
              <w:right w:val="nil"/>
            </w:tcBorders>
            <w:shd w:val="clear" w:color="auto" w:fill="auto"/>
            <w:vAlign w:val="center"/>
            <w:hideMark/>
          </w:tcPr>
          <w:p w14:paraId="2F68DD02" w14:textId="77777777" w:rsidR="000325FB" w:rsidRPr="000325FB" w:rsidRDefault="000325FB" w:rsidP="000325FB">
            <w:pPr>
              <w:spacing w:after="0" w:line="240" w:lineRule="auto"/>
              <w:jc w:val="right"/>
              <w:rPr>
                <w:rFonts w:ascii="Arial" w:hAnsi="Arial" w:cs="Arial"/>
                <w:sz w:val="16"/>
                <w:szCs w:val="16"/>
              </w:rPr>
            </w:pPr>
            <w:r w:rsidRPr="000325FB">
              <w:rPr>
                <w:rFonts w:ascii="Arial" w:hAnsi="Arial" w:cs="Arial"/>
                <w:sz w:val="16"/>
                <w:szCs w:val="16"/>
              </w:rPr>
              <w:t>Land</w:t>
            </w:r>
            <w:r w:rsidRPr="000325FB">
              <w:rPr>
                <w:rFonts w:ascii="Arial" w:hAnsi="Arial" w:cs="Arial"/>
                <w:sz w:val="16"/>
                <w:szCs w:val="16"/>
              </w:rPr>
              <w:br/>
            </w:r>
            <w:r w:rsidRPr="000325FB">
              <w:rPr>
                <w:rFonts w:ascii="Arial" w:hAnsi="Arial" w:cs="Arial"/>
                <w:sz w:val="16"/>
                <w:szCs w:val="16"/>
              </w:rPr>
              <w:br/>
            </w:r>
            <w:r w:rsidRPr="000325FB">
              <w:rPr>
                <w:rFonts w:ascii="Arial" w:hAnsi="Arial" w:cs="Arial"/>
                <w:sz w:val="16"/>
                <w:szCs w:val="16"/>
              </w:rPr>
              <w:br/>
            </w:r>
            <w:r w:rsidRPr="000325FB">
              <w:rPr>
                <w:rFonts w:ascii="Arial" w:hAnsi="Arial" w:cs="Arial"/>
                <w:sz w:val="16"/>
                <w:szCs w:val="16"/>
              </w:rPr>
              <w:br/>
              <w:t>$'000</w:t>
            </w:r>
          </w:p>
        </w:tc>
        <w:tc>
          <w:tcPr>
            <w:tcW w:w="866" w:type="dxa"/>
            <w:tcBorders>
              <w:top w:val="nil"/>
              <w:left w:val="nil"/>
              <w:bottom w:val="single" w:sz="4" w:space="0" w:color="auto"/>
              <w:right w:val="nil"/>
            </w:tcBorders>
            <w:shd w:val="clear" w:color="auto" w:fill="auto"/>
            <w:vAlign w:val="center"/>
            <w:hideMark/>
          </w:tcPr>
          <w:p w14:paraId="64F35530" w14:textId="77777777" w:rsidR="000325FB" w:rsidRPr="000325FB" w:rsidRDefault="000325FB" w:rsidP="000325FB">
            <w:pPr>
              <w:spacing w:after="0" w:line="240" w:lineRule="auto"/>
              <w:jc w:val="right"/>
              <w:rPr>
                <w:rFonts w:ascii="Arial" w:hAnsi="Arial" w:cs="Arial"/>
                <w:sz w:val="16"/>
                <w:szCs w:val="16"/>
              </w:rPr>
            </w:pPr>
            <w:r w:rsidRPr="000325FB">
              <w:rPr>
                <w:rFonts w:ascii="Arial" w:hAnsi="Arial" w:cs="Arial"/>
                <w:sz w:val="16"/>
                <w:szCs w:val="16"/>
              </w:rPr>
              <w:t>Buildings</w:t>
            </w:r>
            <w:r w:rsidRPr="000325FB">
              <w:rPr>
                <w:rFonts w:ascii="Arial" w:hAnsi="Arial" w:cs="Arial"/>
                <w:sz w:val="16"/>
                <w:szCs w:val="16"/>
              </w:rPr>
              <w:br/>
            </w:r>
            <w:r w:rsidRPr="000325FB">
              <w:rPr>
                <w:rFonts w:ascii="Arial" w:hAnsi="Arial" w:cs="Arial"/>
                <w:sz w:val="16"/>
                <w:szCs w:val="16"/>
              </w:rPr>
              <w:br/>
            </w:r>
            <w:r w:rsidRPr="000325FB">
              <w:rPr>
                <w:rFonts w:ascii="Arial" w:hAnsi="Arial" w:cs="Arial"/>
                <w:sz w:val="16"/>
                <w:szCs w:val="16"/>
              </w:rPr>
              <w:br/>
            </w:r>
            <w:r w:rsidRPr="000325FB">
              <w:rPr>
                <w:rFonts w:ascii="Arial" w:hAnsi="Arial" w:cs="Arial"/>
                <w:sz w:val="16"/>
                <w:szCs w:val="16"/>
              </w:rPr>
              <w:br/>
              <w:t>$'000</w:t>
            </w:r>
          </w:p>
        </w:tc>
        <w:tc>
          <w:tcPr>
            <w:tcW w:w="977" w:type="dxa"/>
            <w:tcBorders>
              <w:top w:val="nil"/>
              <w:left w:val="nil"/>
              <w:bottom w:val="single" w:sz="4" w:space="0" w:color="auto"/>
              <w:right w:val="nil"/>
            </w:tcBorders>
            <w:shd w:val="clear" w:color="auto" w:fill="auto"/>
            <w:vAlign w:val="center"/>
            <w:hideMark/>
          </w:tcPr>
          <w:p w14:paraId="66180CDE" w14:textId="77777777" w:rsidR="000325FB" w:rsidRPr="000325FB" w:rsidRDefault="000325FB" w:rsidP="000325FB">
            <w:pPr>
              <w:spacing w:after="0" w:line="240" w:lineRule="auto"/>
              <w:jc w:val="right"/>
              <w:rPr>
                <w:rFonts w:ascii="Arial" w:hAnsi="Arial" w:cs="Arial"/>
                <w:sz w:val="16"/>
                <w:szCs w:val="16"/>
              </w:rPr>
            </w:pPr>
            <w:r w:rsidRPr="000325FB">
              <w:rPr>
                <w:rFonts w:ascii="Arial" w:hAnsi="Arial" w:cs="Arial"/>
                <w:sz w:val="16"/>
                <w:szCs w:val="16"/>
              </w:rPr>
              <w:t>Other</w:t>
            </w:r>
            <w:r w:rsidRPr="000325FB">
              <w:rPr>
                <w:rFonts w:ascii="Arial" w:hAnsi="Arial" w:cs="Arial"/>
                <w:sz w:val="16"/>
                <w:szCs w:val="16"/>
              </w:rPr>
              <w:br/>
              <w:t>property,</w:t>
            </w:r>
            <w:r w:rsidRPr="000325FB">
              <w:rPr>
                <w:rFonts w:ascii="Arial" w:hAnsi="Arial" w:cs="Arial"/>
                <w:sz w:val="16"/>
                <w:szCs w:val="16"/>
              </w:rPr>
              <w:br/>
              <w:t>plant and</w:t>
            </w:r>
            <w:r w:rsidRPr="000325FB">
              <w:rPr>
                <w:rFonts w:ascii="Arial" w:hAnsi="Arial" w:cs="Arial"/>
                <w:sz w:val="16"/>
                <w:szCs w:val="16"/>
              </w:rPr>
              <w:br/>
              <w:t>equipment</w:t>
            </w:r>
            <w:r w:rsidRPr="000325FB">
              <w:rPr>
                <w:rFonts w:ascii="Arial" w:hAnsi="Arial" w:cs="Arial"/>
                <w:sz w:val="16"/>
                <w:szCs w:val="16"/>
              </w:rPr>
              <w:br/>
              <w:t>$'000</w:t>
            </w:r>
          </w:p>
        </w:tc>
        <w:tc>
          <w:tcPr>
            <w:tcW w:w="822" w:type="dxa"/>
            <w:tcBorders>
              <w:top w:val="nil"/>
              <w:left w:val="nil"/>
              <w:bottom w:val="single" w:sz="4" w:space="0" w:color="auto"/>
              <w:right w:val="nil"/>
            </w:tcBorders>
            <w:shd w:val="clear" w:color="auto" w:fill="auto"/>
            <w:vAlign w:val="center"/>
            <w:hideMark/>
          </w:tcPr>
          <w:p w14:paraId="43B29935" w14:textId="77777777" w:rsidR="000325FB" w:rsidRPr="000325FB" w:rsidRDefault="000325FB" w:rsidP="000325FB">
            <w:pPr>
              <w:spacing w:after="0" w:line="240" w:lineRule="auto"/>
              <w:jc w:val="right"/>
              <w:rPr>
                <w:rFonts w:ascii="Arial" w:hAnsi="Arial" w:cs="Arial"/>
                <w:sz w:val="16"/>
                <w:szCs w:val="16"/>
              </w:rPr>
            </w:pPr>
            <w:r w:rsidRPr="000325FB">
              <w:rPr>
                <w:rFonts w:ascii="Arial" w:hAnsi="Arial" w:cs="Arial"/>
                <w:sz w:val="16"/>
                <w:szCs w:val="16"/>
              </w:rPr>
              <w:t>Heritage</w:t>
            </w:r>
            <w:r w:rsidRPr="000325FB">
              <w:rPr>
                <w:rFonts w:ascii="Arial" w:hAnsi="Arial" w:cs="Arial"/>
                <w:sz w:val="16"/>
                <w:szCs w:val="16"/>
              </w:rPr>
              <w:br/>
              <w:t>and</w:t>
            </w:r>
            <w:r w:rsidRPr="000325FB">
              <w:rPr>
                <w:rFonts w:ascii="Arial" w:hAnsi="Arial" w:cs="Arial"/>
                <w:sz w:val="16"/>
                <w:szCs w:val="16"/>
              </w:rPr>
              <w:br/>
              <w:t>cultural</w:t>
            </w:r>
            <w:r w:rsidRPr="000325FB">
              <w:rPr>
                <w:rFonts w:ascii="Arial" w:hAnsi="Arial" w:cs="Arial"/>
                <w:sz w:val="16"/>
                <w:szCs w:val="16"/>
              </w:rPr>
              <w:br/>
            </w:r>
            <w:r w:rsidRPr="000325FB">
              <w:rPr>
                <w:rFonts w:ascii="Arial" w:hAnsi="Arial" w:cs="Arial"/>
                <w:sz w:val="16"/>
                <w:szCs w:val="16"/>
              </w:rPr>
              <w:br/>
              <w:t>$'000</w:t>
            </w:r>
          </w:p>
        </w:tc>
        <w:tc>
          <w:tcPr>
            <w:tcW w:w="985" w:type="dxa"/>
            <w:tcBorders>
              <w:top w:val="nil"/>
              <w:left w:val="nil"/>
              <w:bottom w:val="single" w:sz="4" w:space="0" w:color="auto"/>
              <w:right w:val="nil"/>
            </w:tcBorders>
            <w:shd w:val="clear" w:color="auto" w:fill="auto"/>
            <w:vAlign w:val="center"/>
            <w:hideMark/>
          </w:tcPr>
          <w:p w14:paraId="35AC6A0F" w14:textId="77777777" w:rsidR="000325FB" w:rsidRPr="000325FB" w:rsidRDefault="000325FB" w:rsidP="000325FB">
            <w:pPr>
              <w:spacing w:after="0" w:line="240" w:lineRule="auto"/>
              <w:jc w:val="right"/>
              <w:rPr>
                <w:rFonts w:ascii="Arial" w:hAnsi="Arial" w:cs="Arial"/>
                <w:sz w:val="16"/>
                <w:szCs w:val="16"/>
              </w:rPr>
            </w:pPr>
            <w:r w:rsidRPr="000325FB">
              <w:rPr>
                <w:rFonts w:ascii="Arial" w:hAnsi="Arial" w:cs="Arial"/>
                <w:sz w:val="16"/>
                <w:szCs w:val="16"/>
              </w:rPr>
              <w:t>Computer</w:t>
            </w:r>
            <w:r w:rsidRPr="000325FB">
              <w:rPr>
                <w:rFonts w:ascii="Arial" w:hAnsi="Arial" w:cs="Arial"/>
                <w:sz w:val="16"/>
                <w:szCs w:val="16"/>
              </w:rPr>
              <w:br/>
              <w:t>software and</w:t>
            </w:r>
            <w:r w:rsidRPr="000325FB">
              <w:rPr>
                <w:rFonts w:ascii="Arial" w:hAnsi="Arial" w:cs="Arial"/>
                <w:sz w:val="16"/>
                <w:szCs w:val="16"/>
              </w:rPr>
              <w:br/>
              <w:t>intangibles</w:t>
            </w:r>
            <w:r w:rsidRPr="000325FB">
              <w:rPr>
                <w:rFonts w:ascii="Arial" w:hAnsi="Arial" w:cs="Arial"/>
                <w:sz w:val="16"/>
                <w:szCs w:val="16"/>
              </w:rPr>
              <w:br/>
              <w:t>$'000</w:t>
            </w:r>
          </w:p>
        </w:tc>
        <w:tc>
          <w:tcPr>
            <w:tcW w:w="814" w:type="dxa"/>
            <w:tcBorders>
              <w:top w:val="nil"/>
              <w:left w:val="nil"/>
              <w:bottom w:val="single" w:sz="4" w:space="0" w:color="auto"/>
              <w:right w:val="nil"/>
            </w:tcBorders>
            <w:shd w:val="clear" w:color="auto" w:fill="auto"/>
            <w:vAlign w:val="center"/>
            <w:hideMark/>
          </w:tcPr>
          <w:p w14:paraId="326D9931" w14:textId="77777777" w:rsidR="000325FB" w:rsidRPr="000325FB" w:rsidRDefault="000325FB" w:rsidP="000325FB">
            <w:pPr>
              <w:spacing w:after="0" w:line="240" w:lineRule="auto"/>
              <w:jc w:val="right"/>
              <w:rPr>
                <w:rFonts w:ascii="Arial" w:hAnsi="Arial" w:cs="Arial"/>
                <w:sz w:val="16"/>
                <w:szCs w:val="16"/>
              </w:rPr>
            </w:pPr>
            <w:r w:rsidRPr="000325FB">
              <w:rPr>
                <w:rFonts w:ascii="Arial" w:hAnsi="Arial" w:cs="Arial"/>
                <w:sz w:val="16"/>
                <w:szCs w:val="16"/>
              </w:rPr>
              <w:t>Total</w:t>
            </w:r>
            <w:r w:rsidRPr="000325FB">
              <w:rPr>
                <w:rFonts w:ascii="Arial" w:hAnsi="Arial" w:cs="Arial"/>
                <w:sz w:val="16"/>
                <w:szCs w:val="16"/>
              </w:rPr>
              <w:br/>
            </w:r>
            <w:r w:rsidRPr="000325FB">
              <w:rPr>
                <w:rFonts w:ascii="Arial" w:hAnsi="Arial" w:cs="Arial"/>
                <w:sz w:val="16"/>
                <w:szCs w:val="16"/>
              </w:rPr>
              <w:br/>
            </w:r>
            <w:r w:rsidRPr="000325FB">
              <w:rPr>
                <w:rFonts w:ascii="Arial" w:hAnsi="Arial" w:cs="Arial"/>
                <w:sz w:val="16"/>
                <w:szCs w:val="16"/>
              </w:rPr>
              <w:br/>
            </w:r>
            <w:r w:rsidRPr="000325FB">
              <w:rPr>
                <w:rFonts w:ascii="Arial" w:hAnsi="Arial" w:cs="Arial"/>
                <w:sz w:val="16"/>
                <w:szCs w:val="16"/>
              </w:rPr>
              <w:br/>
              <w:t>$'000</w:t>
            </w:r>
          </w:p>
        </w:tc>
      </w:tr>
      <w:tr w:rsidR="000325FB" w:rsidRPr="000325FB" w14:paraId="01C12464" w14:textId="77777777" w:rsidTr="00F82F1F">
        <w:trPr>
          <w:trHeight w:val="204"/>
        </w:trPr>
        <w:tc>
          <w:tcPr>
            <w:tcW w:w="2552" w:type="dxa"/>
            <w:tcBorders>
              <w:top w:val="nil"/>
              <w:left w:val="nil"/>
              <w:bottom w:val="nil"/>
              <w:right w:val="nil"/>
            </w:tcBorders>
            <w:shd w:val="clear" w:color="auto" w:fill="auto"/>
            <w:vAlign w:val="bottom"/>
            <w:hideMark/>
          </w:tcPr>
          <w:p w14:paraId="180B870A" w14:textId="77777777" w:rsidR="000325FB" w:rsidRPr="000325FB" w:rsidRDefault="000325FB" w:rsidP="000325FB">
            <w:pPr>
              <w:spacing w:after="0" w:line="240" w:lineRule="auto"/>
              <w:jc w:val="left"/>
              <w:rPr>
                <w:rFonts w:ascii="Arial" w:hAnsi="Arial" w:cs="Arial"/>
                <w:b/>
                <w:bCs/>
                <w:sz w:val="16"/>
                <w:szCs w:val="16"/>
              </w:rPr>
            </w:pPr>
            <w:r w:rsidRPr="000325FB">
              <w:rPr>
                <w:rFonts w:ascii="Arial" w:hAnsi="Arial" w:cs="Arial"/>
                <w:b/>
                <w:bCs/>
                <w:sz w:val="16"/>
                <w:szCs w:val="16"/>
              </w:rPr>
              <w:t>As at 1 July 2021</w:t>
            </w:r>
          </w:p>
        </w:tc>
        <w:tc>
          <w:tcPr>
            <w:tcW w:w="709" w:type="dxa"/>
            <w:tcBorders>
              <w:top w:val="nil"/>
              <w:left w:val="nil"/>
              <w:bottom w:val="nil"/>
              <w:right w:val="nil"/>
            </w:tcBorders>
            <w:shd w:val="clear" w:color="auto" w:fill="auto"/>
            <w:noWrap/>
            <w:vAlign w:val="bottom"/>
            <w:hideMark/>
          </w:tcPr>
          <w:p w14:paraId="0D484E5F" w14:textId="77777777" w:rsidR="000325FB" w:rsidRPr="000325FB" w:rsidRDefault="000325FB" w:rsidP="00507C35">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29F34DC8" w14:textId="77777777" w:rsidR="000325FB" w:rsidRPr="000325FB" w:rsidRDefault="000325FB" w:rsidP="00507C35">
            <w:pPr>
              <w:spacing w:after="0" w:line="240" w:lineRule="auto"/>
              <w:jc w:val="right"/>
              <w:rPr>
                <w:rFonts w:ascii="Times New Roman" w:hAnsi="Times New Roman"/>
              </w:rPr>
            </w:pPr>
          </w:p>
        </w:tc>
        <w:tc>
          <w:tcPr>
            <w:tcW w:w="977" w:type="dxa"/>
            <w:tcBorders>
              <w:top w:val="nil"/>
              <w:left w:val="nil"/>
              <w:bottom w:val="nil"/>
              <w:right w:val="nil"/>
            </w:tcBorders>
            <w:shd w:val="clear" w:color="auto" w:fill="auto"/>
            <w:noWrap/>
            <w:vAlign w:val="bottom"/>
            <w:hideMark/>
          </w:tcPr>
          <w:p w14:paraId="75FBBF21" w14:textId="77777777" w:rsidR="000325FB" w:rsidRPr="000325FB" w:rsidRDefault="000325FB" w:rsidP="00507C35">
            <w:pPr>
              <w:spacing w:after="0" w:line="240" w:lineRule="auto"/>
              <w:jc w:val="right"/>
              <w:rPr>
                <w:rFonts w:ascii="Times New Roman" w:hAnsi="Times New Roman"/>
              </w:rPr>
            </w:pPr>
          </w:p>
        </w:tc>
        <w:tc>
          <w:tcPr>
            <w:tcW w:w="822" w:type="dxa"/>
            <w:tcBorders>
              <w:top w:val="nil"/>
              <w:left w:val="nil"/>
              <w:bottom w:val="nil"/>
              <w:right w:val="nil"/>
            </w:tcBorders>
            <w:shd w:val="clear" w:color="auto" w:fill="auto"/>
            <w:noWrap/>
            <w:vAlign w:val="bottom"/>
            <w:hideMark/>
          </w:tcPr>
          <w:p w14:paraId="55E04E25" w14:textId="77777777" w:rsidR="000325FB" w:rsidRPr="000325FB" w:rsidRDefault="000325FB" w:rsidP="00507C35">
            <w:pPr>
              <w:spacing w:after="0" w:line="240" w:lineRule="auto"/>
              <w:jc w:val="right"/>
              <w:rPr>
                <w:rFonts w:ascii="Times New Roman" w:hAnsi="Times New Roman"/>
              </w:rPr>
            </w:pPr>
          </w:p>
        </w:tc>
        <w:tc>
          <w:tcPr>
            <w:tcW w:w="985" w:type="dxa"/>
            <w:tcBorders>
              <w:top w:val="nil"/>
              <w:left w:val="nil"/>
              <w:bottom w:val="nil"/>
              <w:right w:val="nil"/>
            </w:tcBorders>
            <w:shd w:val="clear" w:color="auto" w:fill="auto"/>
            <w:noWrap/>
            <w:vAlign w:val="bottom"/>
            <w:hideMark/>
          </w:tcPr>
          <w:p w14:paraId="1922D6B5" w14:textId="77777777" w:rsidR="000325FB" w:rsidRPr="000325FB" w:rsidRDefault="000325FB" w:rsidP="00507C35">
            <w:pPr>
              <w:spacing w:after="0" w:line="240" w:lineRule="auto"/>
              <w:jc w:val="right"/>
              <w:rPr>
                <w:rFonts w:ascii="Times New Roman" w:hAnsi="Times New Roman"/>
              </w:rPr>
            </w:pPr>
          </w:p>
        </w:tc>
        <w:tc>
          <w:tcPr>
            <w:tcW w:w="814" w:type="dxa"/>
            <w:tcBorders>
              <w:top w:val="nil"/>
              <w:left w:val="nil"/>
              <w:bottom w:val="nil"/>
              <w:right w:val="nil"/>
            </w:tcBorders>
            <w:shd w:val="clear" w:color="auto" w:fill="auto"/>
            <w:noWrap/>
            <w:vAlign w:val="bottom"/>
            <w:hideMark/>
          </w:tcPr>
          <w:p w14:paraId="68939B7E" w14:textId="77777777" w:rsidR="000325FB" w:rsidRPr="000325FB" w:rsidRDefault="000325FB" w:rsidP="00507C35">
            <w:pPr>
              <w:spacing w:after="0" w:line="240" w:lineRule="auto"/>
              <w:jc w:val="right"/>
              <w:rPr>
                <w:rFonts w:ascii="Times New Roman" w:hAnsi="Times New Roman"/>
              </w:rPr>
            </w:pPr>
          </w:p>
        </w:tc>
      </w:tr>
      <w:tr w:rsidR="000325FB" w:rsidRPr="000325FB" w14:paraId="1AB959C9" w14:textId="77777777" w:rsidTr="00F82F1F">
        <w:trPr>
          <w:trHeight w:val="204"/>
        </w:trPr>
        <w:tc>
          <w:tcPr>
            <w:tcW w:w="2552" w:type="dxa"/>
            <w:tcBorders>
              <w:top w:val="nil"/>
              <w:left w:val="nil"/>
              <w:bottom w:val="nil"/>
              <w:right w:val="nil"/>
            </w:tcBorders>
            <w:shd w:val="clear" w:color="auto" w:fill="auto"/>
            <w:vAlign w:val="bottom"/>
            <w:hideMark/>
          </w:tcPr>
          <w:p w14:paraId="699DCE37" w14:textId="77777777"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 xml:space="preserve">Gross book value </w:t>
            </w:r>
          </w:p>
        </w:tc>
        <w:tc>
          <w:tcPr>
            <w:tcW w:w="709" w:type="dxa"/>
            <w:tcBorders>
              <w:top w:val="nil"/>
              <w:left w:val="nil"/>
              <w:bottom w:val="nil"/>
              <w:right w:val="nil"/>
            </w:tcBorders>
            <w:shd w:val="clear" w:color="auto" w:fill="auto"/>
            <w:noWrap/>
            <w:vAlign w:val="bottom"/>
            <w:hideMark/>
          </w:tcPr>
          <w:p w14:paraId="65FD1588" w14:textId="083CAAC2"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7,375</w:t>
            </w:r>
          </w:p>
        </w:tc>
        <w:tc>
          <w:tcPr>
            <w:tcW w:w="866" w:type="dxa"/>
            <w:tcBorders>
              <w:top w:val="nil"/>
              <w:left w:val="nil"/>
              <w:bottom w:val="nil"/>
              <w:right w:val="nil"/>
            </w:tcBorders>
            <w:shd w:val="clear" w:color="auto" w:fill="auto"/>
            <w:noWrap/>
            <w:vAlign w:val="bottom"/>
            <w:hideMark/>
          </w:tcPr>
          <w:p w14:paraId="392FF56C" w14:textId="1A6F80B0"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45,789</w:t>
            </w:r>
          </w:p>
        </w:tc>
        <w:tc>
          <w:tcPr>
            <w:tcW w:w="977" w:type="dxa"/>
            <w:tcBorders>
              <w:top w:val="nil"/>
              <w:left w:val="nil"/>
              <w:bottom w:val="nil"/>
              <w:right w:val="nil"/>
            </w:tcBorders>
            <w:shd w:val="clear" w:color="auto" w:fill="auto"/>
            <w:noWrap/>
            <w:vAlign w:val="bottom"/>
            <w:hideMark/>
          </w:tcPr>
          <w:p w14:paraId="7FE7031A" w14:textId="42A899DB"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8,213</w:t>
            </w:r>
          </w:p>
        </w:tc>
        <w:tc>
          <w:tcPr>
            <w:tcW w:w="822" w:type="dxa"/>
            <w:tcBorders>
              <w:top w:val="nil"/>
              <w:left w:val="nil"/>
              <w:bottom w:val="nil"/>
              <w:right w:val="nil"/>
            </w:tcBorders>
            <w:shd w:val="clear" w:color="auto" w:fill="auto"/>
            <w:noWrap/>
            <w:vAlign w:val="bottom"/>
            <w:hideMark/>
          </w:tcPr>
          <w:p w14:paraId="5C6EF89A" w14:textId="5923500E"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313,198</w:t>
            </w:r>
          </w:p>
        </w:tc>
        <w:tc>
          <w:tcPr>
            <w:tcW w:w="985" w:type="dxa"/>
            <w:tcBorders>
              <w:top w:val="nil"/>
              <w:left w:val="nil"/>
              <w:bottom w:val="nil"/>
              <w:right w:val="nil"/>
            </w:tcBorders>
            <w:shd w:val="clear" w:color="auto" w:fill="auto"/>
            <w:noWrap/>
            <w:vAlign w:val="bottom"/>
            <w:hideMark/>
          </w:tcPr>
          <w:p w14:paraId="28440509" w14:textId="3AC31FB3"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5,231</w:t>
            </w:r>
          </w:p>
        </w:tc>
        <w:tc>
          <w:tcPr>
            <w:tcW w:w="814" w:type="dxa"/>
            <w:tcBorders>
              <w:top w:val="nil"/>
              <w:left w:val="nil"/>
              <w:bottom w:val="nil"/>
              <w:right w:val="nil"/>
            </w:tcBorders>
            <w:shd w:val="clear" w:color="auto" w:fill="auto"/>
            <w:noWrap/>
            <w:vAlign w:val="bottom"/>
            <w:hideMark/>
          </w:tcPr>
          <w:p w14:paraId="548202FC" w14:textId="6AA3DE1B"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379,806</w:t>
            </w:r>
          </w:p>
        </w:tc>
      </w:tr>
      <w:tr w:rsidR="000325FB" w:rsidRPr="000325FB" w14:paraId="085DFB38" w14:textId="77777777" w:rsidTr="00F82F1F">
        <w:trPr>
          <w:trHeight w:val="204"/>
        </w:trPr>
        <w:tc>
          <w:tcPr>
            <w:tcW w:w="2552" w:type="dxa"/>
            <w:tcBorders>
              <w:top w:val="nil"/>
              <w:left w:val="nil"/>
              <w:bottom w:val="nil"/>
              <w:right w:val="nil"/>
            </w:tcBorders>
            <w:shd w:val="clear" w:color="auto" w:fill="auto"/>
            <w:noWrap/>
            <w:vAlign w:val="center"/>
            <w:hideMark/>
          </w:tcPr>
          <w:p w14:paraId="53B63E7F" w14:textId="77777777"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Gross book value - ROU assets</w:t>
            </w:r>
          </w:p>
        </w:tc>
        <w:tc>
          <w:tcPr>
            <w:tcW w:w="709" w:type="dxa"/>
            <w:tcBorders>
              <w:top w:val="nil"/>
              <w:left w:val="nil"/>
              <w:bottom w:val="nil"/>
              <w:right w:val="nil"/>
            </w:tcBorders>
            <w:shd w:val="clear" w:color="auto" w:fill="auto"/>
            <w:noWrap/>
            <w:vAlign w:val="bottom"/>
            <w:hideMark/>
          </w:tcPr>
          <w:p w14:paraId="11887D1C" w14:textId="2B8CA7F9"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3C344F06" w14:textId="4E14C01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5,410</w:t>
            </w:r>
          </w:p>
        </w:tc>
        <w:tc>
          <w:tcPr>
            <w:tcW w:w="977" w:type="dxa"/>
            <w:tcBorders>
              <w:top w:val="nil"/>
              <w:left w:val="nil"/>
              <w:bottom w:val="nil"/>
              <w:right w:val="nil"/>
            </w:tcBorders>
            <w:shd w:val="clear" w:color="auto" w:fill="auto"/>
            <w:noWrap/>
            <w:vAlign w:val="bottom"/>
            <w:hideMark/>
          </w:tcPr>
          <w:p w14:paraId="3DC86755" w14:textId="0D1A1AE2"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74</w:t>
            </w:r>
          </w:p>
        </w:tc>
        <w:tc>
          <w:tcPr>
            <w:tcW w:w="822" w:type="dxa"/>
            <w:tcBorders>
              <w:top w:val="nil"/>
              <w:left w:val="nil"/>
              <w:bottom w:val="nil"/>
              <w:right w:val="nil"/>
            </w:tcBorders>
            <w:shd w:val="clear" w:color="auto" w:fill="auto"/>
            <w:noWrap/>
            <w:vAlign w:val="bottom"/>
            <w:hideMark/>
          </w:tcPr>
          <w:p w14:paraId="4C30ECAA" w14:textId="3D86127D"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985" w:type="dxa"/>
            <w:tcBorders>
              <w:top w:val="nil"/>
              <w:left w:val="nil"/>
              <w:bottom w:val="nil"/>
              <w:right w:val="nil"/>
            </w:tcBorders>
            <w:shd w:val="clear" w:color="auto" w:fill="auto"/>
            <w:noWrap/>
            <w:vAlign w:val="bottom"/>
            <w:hideMark/>
          </w:tcPr>
          <w:p w14:paraId="0BF405DC" w14:textId="5B801CB3"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14" w:type="dxa"/>
            <w:tcBorders>
              <w:top w:val="nil"/>
              <w:left w:val="nil"/>
              <w:bottom w:val="nil"/>
              <w:right w:val="nil"/>
            </w:tcBorders>
            <w:shd w:val="clear" w:color="auto" w:fill="auto"/>
            <w:noWrap/>
            <w:vAlign w:val="bottom"/>
            <w:hideMark/>
          </w:tcPr>
          <w:p w14:paraId="2B918311" w14:textId="5CD9F051"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5,484</w:t>
            </w:r>
          </w:p>
        </w:tc>
      </w:tr>
      <w:tr w:rsidR="000325FB" w:rsidRPr="000325FB" w14:paraId="2850B8CB" w14:textId="77777777" w:rsidTr="00F82F1F">
        <w:trPr>
          <w:trHeight w:val="204"/>
        </w:trPr>
        <w:tc>
          <w:tcPr>
            <w:tcW w:w="2552" w:type="dxa"/>
            <w:tcBorders>
              <w:top w:val="nil"/>
              <w:left w:val="nil"/>
              <w:bottom w:val="nil"/>
              <w:right w:val="nil"/>
            </w:tcBorders>
            <w:shd w:val="clear" w:color="auto" w:fill="auto"/>
            <w:vAlign w:val="bottom"/>
            <w:hideMark/>
          </w:tcPr>
          <w:p w14:paraId="187B573B" w14:textId="4D464854"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Accumulated depreciation/</w:t>
            </w:r>
            <w:r w:rsidR="00B27FCF">
              <w:rPr>
                <w:rFonts w:ascii="Arial" w:hAnsi="Arial" w:cs="Arial"/>
                <w:sz w:val="16"/>
                <w:szCs w:val="16"/>
              </w:rPr>
              <w:t xml:space="preserve"> </w:t>
            </w:r>
            <w:r w:rsidRPr="000325FB">
              <w:rPr>
                <w:rFonts w:ascii="Arial" w:hAnsi="Arial" w:cs="Arial"/>
                <w:sz w:val="16"/>
                <w:szCs w:val="16"/>
              </w:rPr>
              <w:t>amortisation and impairment</w:t>
            </w:r>
          </w:p>
        </w:tc>
        <w:tc>
          <w:tcPr>
            <w:tcW w:w="709" w:type="dxa"/>
            <w:tcBorders>
              <w:top w:val="nil"/>
              <w:left w:val="nil"/>
              <w:bottom w:val="nil"/>
              <w:right w:val="nil"/>
            </w:tcBorders>
            <w:shd w:val="clear" w:color="auto" w:fill="auto"/>
            <w:noWrap/>
            <w:vAlign w:val="bottom"/>
            <w:hideMark/>
          </w:tcPr>
          <w:p w14:paraId="4ECE3BA3" w14:textId="2FE545D8"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58D2C7D0"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(3,041)</w:t>
            </w:r>
          </w:p>
        </w:tc>
        <w:tc>
          <w:tcPr>
            <w:tcW w:w="977" w:type="dxa"/>
            <w:tcBorders>
              <w:top w:val="nil"/>
              <w:left w:val="nil"/>
              <w:bottom w:val="nil"/>
              <w:right w:val="nil"/>
            </w:tcBorders>
            <w:shd w:val="clear" w:color="auto" w:fill="auto"/>
            <w:noWrap/>
            <w:vAlign w:val="bottom"/>
            <w:hideMark/>
          </w:tcPr>
          <w:p w14:paraId="29484A1C"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(2,665)</w:t>
            </w:r>
          </w:p>
        </w:tc>
        <w:tc>
          <w:tcPr>
            <w:tcW w:w="822" w:type="dxa"/>
            <w:tcBorders>
              <w:top w:val="nil"/>
              <w:left w:val="nil"/>
              <w:bottom w:val="nil"/>
              <w:right w:val="nil"/>
            </w:tcBorders>
            <w:shd w:val="clear" w:color="auto" w:fill="auto"/>
            <w:noWrap/>
            <w:vAlign w:val="bottom"/>
            <w:hideMark/>
          </w:tcPr>
          <w:p w14:paraId="554FDBF4"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(3,883)</w:t>
            </w:r>
          </w:p>
        </w:tc>
        <w:tc>
          <w:tcPr>
            <w:tcW w:w="985" w:type="dxa"/>
            <w:tcBorders>
              <w:top w:val="nil"/>
              <w:left w:val="nil"/>
              <w:bottom w:val="nil"/>
              <w:right w:val="nil"/>
            </w:tcBorders>
            <w:shd w:val="clear" w:color="auto" w:fill="auto"/>
            <w:noWrap/>
            <w:vAlign w:val="bottom"/>
            <w:hideMark/>
          </w:tcPr>
          <w:p w14:paraId="73B5F9ED"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(4,846)</w:t>
            </w:r>
          </w:p>
        </w:tc>
        <w:tc>
          <w:tcPr>
            <w:tcW w:w="814" w:type="dxa"/>
            <w:tcBorders>
              <w:top w:val="nil"/>
              <w:left w:val="nil"/>
              <w:bottom w:val="nil"/>
              <w:right w:val="nil"/>
            </w:tcBorders>
            <w:shd w:val="clear" w:color="auto" w:fill="auto"/>
            <w:noWrap/>
            <w:vAlign w:val="bottom"/>
            <w:hideMark/>
          </w:tcPr>
          <w:p w14:paraId="2741F495"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(14,435)</w:t>
            </w:r>
          </w:p>
        </w:tc>
      </w:tr>
      <w:tr w:rsidR="000325FB" w:rsidRPr="000325FB" w14:paraId="07527554" w14:textId="77777777" w:rsidTr="00F82F1F">
        <w:trPr>
          <w:trHeight w:val="204"/>
        </w:trPr>
        <w:tc>
          <w:tcPr>
            <w:tcW w:w="2552" w:type="dxa"/>
            <w:tcBorders>
              <w:top w:val="nil"/>
              <w:left w:val="nil"/>
              <w:bottom w:val="nil"/>
              <w:right w:val="nil"/>
            </w:tcBorders>
            <w:shd w:val="clear" w:color="auto" w:fill="auto"/>
            <w:vAlign w:val="center"/>
            <w:hideMark/>
          </w:tcPr>
          <w:p w14:paraId="3BCE1438" w14:textId="6D5B0FA5"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Accumulated depreciation/</w:t>
            </w:r>
            <w:r w:rsidR="00C11261" w:rsidRPr="000325FB">
              <w:rPr>
                <w:rFonts w:ascii="Arial" w:hAnsi="Arial" w:cs="Arial"/>
                <w:sz w:val="16"/>
                <w:szCs w:val="16"/>
              </w:rPr>
              <w:t>amortisation</w:t>
            </w:r>
            <w:r w:rsidRPr="000325FB">
              <w:rPr>
                <w:rFonts w:ascii="Arial" w:hAnsi="Arial" w:cs="Arial"/>
                <w:sz w:val="16"/>
                <w:szCs w:val="16"/>
              </w:rPr>
              <w:t xml:space="preserve"> and impairment - ROU assets</w:t>
            </w:r>
          </w:p>
        </w:tc>
        <w:tc>
          <w:tcPr>
            <w:tcW w:w="709" w:type="dxa"/>
            <w:tcBorders>
              <w:top w:val="nil"/>
              <w:left w:val="nil"/>
              <w:bottom w:val="nil"/>
              <w:right w:val="nil"/>
            </w:tcBorders>
            <w:shd w:val="clear" w:color="auto" w:fill="auto"/>
            <w:noWrap/>
            <w:vAlign w:val="bottom"/>
            <w:hideMark/>
          </w:tcPr>
          <w:p w14:paraId="6BEA8554" w14:textId="09B530F6"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1F09D151"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(1,577)</w:t>
            </w:r>
          </w:p>
        </w:tc>
        <w:tc>
          <w:tcPr>
            <w:tcW w:w="977" w:type="dxa"/>
            <w:tcBorders>
              <w:top w:val="nil"/>
              <w:left w:val="nil"/>
              <w:bottom w:val="nil"/>
              <w:right w:val="nil"/>
            </w:tcBorders>
            <w:shd w:val="clear" w:color="auto" w:fill="auto"/>
            <w:noWrap/>
            <w:vAlign w:val="bottom"/>
            <w:hideMark/>
          </w:tcPr>
          <w:p w14:paraId="56AFD62F"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(14)</w:t>
            </w:r>
          </w:p>
        </w:tc>
        <w:tc>
          <w:tcPr>
            <w:tcW w:w="822" w:type="dxa"/>
            <w:tcBorders>
              <w:top w:val="nil"/>
              <w:left w:val="nil"/>
              <w:bottom w:val="nil"/>
              <w:right w:val="nil"/>
            </w:tcBorders>
            <w:shd w:val="clear" w:color="auto" w:fill="auto"/>
            <w:noWrap/>
            <w:vAlign w:val="bottom"/>
            <w:hideMark/>
          </w:tcPr>
          <w:p w14:paraId="32B8A709" w14:textId="0723F768"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985" w:type="dxa"/>
            <w:tcBorders>
              <w:top w:val="nil"/>
              <w:left w:val="nil"/>
              <w:bottom w:val="nil"/>
              <w:right w:val="nil"/>
            </w:tcBorders>
            <w:shd w:val="clear" w:color="auto" w:fill="auto"/>
            <w:noWrap/>
            <w:vAlign w:val="bottom"/>
            <w:hideMark/>
          </w:tcPr>
          <w:p w14:paraId="70ECD590" w14:textId="09D70070"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14" w:type="dxa"/>
            <w:tcBorders>
              <w:top w:val="nil"/>
              <w:left w:val="nil"/>
              <w:bottom w:val="nil"/>
              <w:right w:val="nil"/>
            </w:tcBorders>
            <w:shd w:val="clear" w:color="auto" w:fill="auto"/>
            <w:noWrap/>
            <w:vAlign w:val="bottom"/>
            <w:hideMark/>
          </w:tcPr>
          <w:p w14:paraId="48C9F896"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(1,591)</w:t>
            </w:r>
          </w:p>
        </w:tc>
      </w:tr>
      <w:tr w:rsidR="000325FB" w:rsidRPr="000325FB" w14:paraId="6DD3E8B2" w14:textId="77777777" w:rsidTr="00F82F1F">
        <w:trPr>
          <w:trHeight w:val="204"/>
        </w:trPr>
        <w:tc>
          <w:tcPr>
            <w:tcW w:w="2552" w:type="dxa"/>
            <w:tcBorders>
              <w:top w:val="nil"/>
              <w:left w:val="nil"/>
              <w:bottom w:val="nil"/>
              <w:right w:val="nil"/>
            </w:tcBorders>
            <w:shd w:val="clear" w:color="auto" w:fill="auto"/>
            <w:vAlign w:val="bottom"/>
            <w:hideMark/>
          </w:tcPr>
          <w:p w14:paraId="016BBB09" w14:textId="77777777" w:rsidR="000325FB" w:rsidRPr="000325FB" w:rsidRDefault="000325FB" w:rsidP="000325FB">
            <w:pPr>
              <w:spacing w:after="0" w:line="240" w:lineRule="auto"/>
              <w:jc w:val="left"/>
              <w:rPr>
                <w:rFonts w:ascii="Arial" w:hAnsi="Arial" w:cs="Arial"/>
                <w:b/>
                <w:bCs/>
                <w:sz w:val="16"/>
                <w:szCs w:val="16"/>
              </w:rPr>
            </w:pPr>
            <w:r w:rsidRPr="000325FB">
              <w:rPr>
                <w:rFonts w:ascii="Arial" w:hAnsi="Arial" w:cs="Arial"/>
                <w:b/>
                <w:bCs/>
                <w:sz w:val="16"/>
                <w:szCs w:val="16"/>
              </w:rPr>
              <w:t>Opening net book balance</w:t>
            </w:r>
          </w:p>
        </w:tc>
        <w:tc>
          <w:tcPr>
            <w:tcW w:w="709" w:type="dxa"/>
            <w:tcBorders>
              <w:top w:val="single" w:sz="4" w:space="0" w:color="auto"/>
              <w:left w:val="nil"/>
              <w:bottom w:val="single" w:sz="4" w:space="0" w:color="auto"/>
              <w:right w:val="nil"/>
            </w:tcBorders>
            <w:shd w:val="clear" w:color="auto" w:fill="auto"/>
            <w:noWrap/>
            <w:vAlign w:val="bottom"/>
            <w:hideMark/>
          </w:tcPr>
          <w:p w14:paraId="1CF2FF7F" w14:textId="1838903F"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7,375</w:t>
            </w:r>
          </w:p>
        </w:tc>
        <w:tc>
          <w:tcPr>
            <w:tcW w:w="866" w:type="dxa"/>
            <w:tcBorders>
              <w:top w:val="single" w:sz="4" w:space="0" w:color="auto"/>
              <w:left w:val="nil"/>
              <w:bottom w:val="single" w:sz="4" w:space="0" w:color="auto"/>
              <w:right w:val="nil"/>
            </w:tcBorders>
            <w:shd w:val="clear" w:color="auto" w:fill="auto"/>
            <w:noWrap/>
            <w:vAlign w:val="bottom"/>
            <w:hideMark/>
          </w:tcPr>
          <w:p w14:paraId="31405998" w14:textId="4D028645"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46,581</w:t>
            </w:r>
          </w:p>
        </w:tc>
        <w:tc>
          <w:tcPr>
            <w:tcW w:w="977" w:type="dxa"/>
            <w:tcBorders>
              <w:top w:val="single" w:sz="4" w:space="0" w:color="auto"/>
              <w:left w:val="nil"/>
              <w:bottom w:val="single" w:sz="4" w:space="0" w:color="auto"/>
              <w:right w:val="nil"/>
            </w:tcBorders>
            <w:shd w:val="clear" w:color="auto" w:fill="auto"/>
            <w:noWrap/>
            <w:vAlign w:val="bottom"/>
            <w:hideMark/>
          </w:tcPr>
          <w:p w14:paraId="0CB9F2E0" w14:textId="74E5E68C"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5,608</w:t>
            </w:r>
          </w:p>
        </w:tc>
        <w:tc>
          <w:tcPr>
            <w:tcW w:w="822" w:type="dxa"/>
            <w:tcBorders>
              <w:top w:val="single" w:sz="4" w:space="0" w:color="auto"/>
              <w:left w:val="nil"/>
              <w:bottom w:val="single" w:sz="4" w:space="0" w:color="auto"/>
              <w:right w:val="nil"/>
            </w:tcBorders>
            <w:shd w:val="clear" w:color="auto" w:fill="auto"/>
            <w:noWrap/>
            <w:vAlign w:val="bottom"/>
            <w:hideMark/>
          </w:tcPr>
          <w:p w14:paraId="54A7449E" w14:textId="32CA6EC3"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309,315</w:t>
            </w:r>
          </w:p>
        </w:tc>
        <w:tc>
          <w:tcPr>
            <w:tcW w:w="985" w:type="dxa"/>
            <w:tcBorders>
              <w:top w:val="single" w:sz="4" w:space="0" w:color="auto"/>
              <w:left w:val="nil"/>
              <w:bottom w:val="single" w:sz="4" w:space="0" w:color="auto"/>
              <w:right w:val="nil"/>
            </w:tcBorders>
            <w:shd w:val="clear" w:color="auto" w:fill="auto"/>
            <w:noWrap/>
            <w:vAlign w:val="bottom"/>
            <w:hideMark/>
          </w:tcPr>
          <w:p w14:paraId="30003D4D" w14:textId="1B0809E1"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385</w:t>
            </w:r>
          </w:p>
        </w:tc>
        <w:tc>
          <w:tcPr>
            <w:tcW w:w="814" w:type="dxa"/>
            <w:tcBorders>
              <w:top w:val="single" w:sz="4" w:space="0" w:color="auto"/>
              <w:left w:val="nil"/>
              <w:bottom w:val="single" w:sz="4" w:space="0" w:color="auto"/>
              <w:right w:val="nil"/>
            </w:tcBorders>
            <w:shd w:val="clear" w:color="auto" w:fill="auto"/>
            <w:noWrap/>
            <w:vAlign w:val="bottom"/>
            <w:hideMark/>
          </w:tcPr>
          <w:p w14:paraId="143C7151" w14:textId="1E6FCAD1"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369,264</w:t>
            </w:r>
          </w:p>
        </w:tc>
      </w:tr>
      <w:tr w:rsidR="000325FB" w:rsidRPr="000325FB" w14:paraId="52B036FA" w14:textId="77777777" w:rsidTr="00F82F1F">
        <w:trPr>
          <w:trHeight w:val="204"/>
        </w:trPr>
        <w:tc>
          <w:tcPr>
            <w:tcW w:w="2552" w:type="dxa"/>
            <w:tcBorders>
              <w:top w:val="nil"/>
              <w:left w:val="nil"/>
              <w:bottom w:val="nil"/>
              <w:right w:val="nil"/>
            </w:tcBorders>
            <w:shd w:val="clear" w:color="auto" w:fill="auto"/>
            <w:vAlign w:val="bottom"/>
            <w:hideMark/>
          </w:tcPr>
          <w:p w14:paraId="7592DE4F" w14:textId="77777777" w:rsidR="000325FB" w:rsidRPr="000325FB" w:rsidRDefault="000325FB" w:rsidP="000325FB">
            <w:pPr>
              <w:spacing w:after="0" w:line="240" w:lineRule="auto"/>
              <w:jc w:val="left"/>
              <w:rPr>
                <w:rFonts w:ascii="Arial" w:hAnsi="Arial" w:cs="Arial"/>
                <w:b/>
                <w:bCs/>
                <w:sz w:val="16"/>
                <w:szCs w:val="16"/>
              </w:rPr>
            </w:pPr>
            <w:r w:rsidRPr="000325FB">
              <w:rPr>
                <w:rFonts w:ascii="Arial" w:hAnsi="Arial" w:cs="Arial"/>
                <w:b/>
                <w:bCs/>
                <w:sz w:val="16"/>
                <w:szCs w:val="16"/>
              </w:rPr>
              <w:t>Capital asset additions</w:t>
            </w:r>
          </w:p>
        </w:tc>
        <w:tc>
          <w:tcPr>
            <w:tcW w:w="709" w:type="dxa"/>
            <w:tcBorders>
              <w:top w:val="nil"/>
              <w:left w:val="nil"/>
              <w:bottom w:val="nil"/>
              <w:right w:val="nil"/>
            </w:tcBorders>
            <w:shd w:val="clear" w:color="auto" w:fill="auto"/>
            <w:noWrap/>
            <w:vAlign w:val="bottom"/>
            <w:hideMark/>
          </w:tcPr>
          <w:p w14:paraId="1E678166" w14:textId="77777777" w:rsidR="000325FB" w:rsidRPr="000325FB" w:rsidRDefault="000325FB" w:rsidP="00507C35">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03DBF3E9" w14:textId="77777777" w:rsidR="000325FB" w:rsidRPr="000325FB" w:rsidRDefault="000325FB" w:rsidP="00507C35">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2828DA8F" w14:textId="77777777" w:rsidR="000325FB" w:rsidRPr="000325FB" w:rsidRDefault="000325FB" w:rsidP="00507C35">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bottom"/>
            <w:hideMark/>
          </w:tcPr>
          <w:p w14:paraId="42555A2B" w14:textId="77777777" w:rsidR="000325FB" w:rsidRPr="000325FB" w:rsidRDefault="000325FB" w:rsidP="00507C35">
            <w:pPr>
              <w:spacing w:after="0" w:line="240" w:lineRule="auto"/>
              <w:jc w:val="right"/>
              <w:rPr>
                <w:rFonts w:ascii="Arial" w:hAnsi="Arial" w:cs="Arial"/>
                <w:sz w:val="16"/>
                <w:szCs w:val="16"/>
              </w:rPr>
            </w:pPr>
          </w:p>
        </w:tc>
        <w:tc>
          <w:tcPr>
            <w:tcW w:w="985" w:type="dxa"/>
            <w:tcBorders>
              <w:top w:val="nil"/>
              <w:left w:val="nil"/>
              <w:bottom w:val="nil"/>
              <w:right w:val="nil"/>
            </w:tcBorders>
            <w:shd w:val="clear" w:color="auto" w:fill="auto"/>
            <w:noWrap/>
            <w:vAlign w:val="bottom"/>
            <w:hideMark/>
          </w:tcPr>
          <w:p w14:paraId="5F7102A1" w14:textId="77777777" w:rsidR="000325FB" w:rsidRPr="000325FB" w:rsidRDefault="000325FB" w:rsidP="00507C35">
            <w:pPr>
              <w:spacing w:after="0" w:line="240" w:lineRule="auto"/>
              <w:jc w:val="right"/>
              <w:rPr>
                <w:rFonts w:ascii="Arial" w:hAnsi="Arial" w:cs="Arial"/>
                <w:sz w:val="16"/>
                <w:szCs w:val="16"/>
              </w:rPr>
            </w:pPr>
          </w:p>
        </w:tc>
        <w:tc>
          <w:tcPr>
            <w:tcW w:w="814" w:type="dxa"/>
            <w:tcBorders>
              <w:top w:val="nil"/>
              <w:left w:val="nil"/>
              <w:bottom w:val="nil"/>
              <w:right w:val="nil"/>
            </w:tcBorders>
            <w:shd w:val="clear" w:color="auto" w:fill="auto"/>
            <w:noWrap/>
            <w:vAlign w:val="bottom"/>
            <w:hideMark/>
          </w:tcPr>
          <w:p w14:paraId="0D7EC09E" w14:textId="77777777" w:rsidR="000325FB" w:rsidRPr="000325FB" w:rsidRDefault="000325FB" w:rsidP="00507C35">
            <w:pPr>
              <w:spacing w:after="0" w:line="240" w:lineRule="auto"/>
              <w:jc w:val="right"/>
              <w:rPr>
                <w:rFonts w:ascii="Arial" w:hAnsi="Arial" w:cs="Arial"/>
                <w:sz w:val="16"/>
                <w:szCs w:val="16"/>
              </w:rPr>
            </w:pPr>
          </w:p>
        </w:tc>
      </w:tr>
      <w:tr w:rsidR="000325FB" w:rsidRPr="000325FB" w14:paraId="3211E011" w14:textId="77777777" w:rsidTr="00F82F1F">
        <w:trPr>
          <w:trHeight w:val="204"/>
        </w:trPr>
        <w:tc>
          <w:tcPr>
            <w:tcW w:w="2552" w:type="dxa"/>
            <w:tcBorders>
              <w:top w:val="nil"/>
              <w:left w:val="nil"/>
              <w:bottom w:val="nil"/>
              <w:right w:val="nil"/>
            </w:tcBorders>
            <w:shd w:val="clear" w:color="auto" w:fill="auto"/>
            <w:vAlign w:val="bottom"/>
            <w:hideMark/>
          </w:tcPr>
          <w:p w14:paraId="4D39FCE5" w14:textId="0A3E07EA" w:rsidR="000325FB" w:rsidRPr="000325FB" w:rsidRDefault="000325FB" w:rsidP="00D5303D">
            <w:pPr>
              <w:spacing w:after="0" w:line="240" w:lineRule="auto"/>
              <w:jc w:val="left"/>
              <w:rPr>
                <w:rFonts w:ascii="Arial" w:hAnsi="Arial" w:cs="Arial"/>
                <w:b/>
                <w:bCs/>
                <w:sz w:val="16"/>
                <w:szCs w:val="16"/>
              </w:rPr>
            </w:pPr>
            <w:r w:rsidRPr="000325FB">
              <w:rPr>
                <w:rFonts w:ascii="Arial" w:hAnsi="Arial" w:cs="Arial"/>
                <w:b/>
                <w:bCs/>
                <w:sz w:val="16"/>
                <w:szCs w:val="16"/>
              </w:rPr>
              <w:t>Estimated expenditure on new</w:t>
            </w:r>
            <w:r w:rsidR="00D5303D">
              <w:rPr>
                <w:rFonts w:ascii="Arial" w:hAnsi="Arial" w:cs="Arial"/>
                <w:b/>
                <w:bCs/>
                <w:sz w:val="16"/>
                <w:szCs w:val="16"/>
              </w:rPr>
              <w:t xml:space="preserve"> </w:t>
            </w:r>
            <w:r w:rsidRPr="000325FB">
              <w:rPr>
                <w:rFonts w:ascii="Arial" w:hAnsi="Arial" w:cs="Arial"/>
                <w:b/>
                <w:bCs/>
                <w:sz w:val="16"/>
                <w:szCs w:val="16"/>
              </w:rPr>
              <w:t>or replacement assets</w:t>
            </w:r>
          </w:p>
        </w:tc>
        <w:tc>
          <w:tcPr>
            <w:tcW w:w="709" w:type="dxa"/>
            <w:tcBorders>
              <w:top w:val="nil"/>
              <w:left w:val="nil"/>
              <w:bottom w:val="nil"/>
              <w:right w:val="nil"/>
            </w:tcBorders>
            <w:shd w:val="clear" w:color="auto" w:fill="auto"/>
            <w:noWrap/>
            <w:vAlign w:val="bottom"/>
            <w:hideMark/>
          </w:tcPr>
          <w:p w14:paraId="44A7C27F" w14:textId="77777777" w:rsidR="000325FB" w:rsidRPr="000325FB" w:rsidRDefault="000325FB" w:rsidP="00507C35">
            <w:pPr>
              <w:spacing w:after="0" w:line="240" w:lineRule="auto"/>
              <w:ind w:firstLineChars="100" w:firstLine="160"/>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72DD4BCA" w14:textId="77777777" w:rsidR="000325FB" w:rsidRPr="000325FB" w:rsidRDefault="000325FB" w:rsidP="00507C35">
            <w:pPr>
              <w:spacing w:after="0" w:line="240" w:lineRule="auto"/>
              <w:jc w:val="right"/>
              <w:rPr>
                <w:rFonts w:ascii="Arial" w:hAnsi="Arial" w:cs="Arial"/>
                <w:sz w:val="16"/>
                <w:szCs w:val="16"/>
              </w:rPr>
            </w:pPr>
          </w:p>
        </w:tc>
        <w:tc>
          <w:tcPr>
            <w:tcW w:w="977" w:type="dxa"/>
            <w:tcBorders>
              <w:top w:val="nil"/>
              <w:left w:val="nil"/>
              <w:bottom w:val="nil"/>
              <w:right w:val="nil"/>
            </w:tcBorders>
            <w:shd w:val="clear" w:color="auto" w:fill="auto"/>
            <w:noWrap/>
            <w:vAlign w:val="bottom"/>
            <w:hideMark/>
          </w:tcPr>
          <w:p w14:paraId="2EB1736E" w14:textId="77777777" w:rsidR="000325FB" w:rsidRPr="000325FB" w:rsidRDefault="000325FB" w:rsidP="00507C35">
            <w:pPr>
              <w:spacing w:after="0" w:line="240" w:lineRule="auto"/>
              <w:jc w:val="right"/>
              <w:rPr>
                <w:rFonts w:ascii="Arial" w:hAnsi="Arial" w:cs="Arial"/>
                <w:sz w:val="16"/>
                <w:szCs w:val="16"/>
              </w:rPr>
            </w:pPr>
          </w:p>
        </w:tc>
        <w:tc>
          <w:tcPr>
            <w:tcW w:w="822" w:type="dxa"/>
            <w:tcBorders>
              <w:top w:val="nil"/>
              <w:left w:val="nil"/>
              <w:bottom w:val="nil"/>
              <w:right w:val="nil"/>
            </w:tcBorders>
            <w:shd w:val="clear" w:color="auto" w:fill="auto"/>
            <w:noWrap/>
            <w:vAlign w:val="bottom"/>
            <w:hideMark/>
          </w:tcPr>
          <w:p w14:paraId="68A5FDED" w14:textId="77777777" w:rsidR="000325FB" w:rsidRPr="000325FB" w:rsidRDefault="000325FB" w:rsidP="00507C35">
            <w:pPr>
              <w:spacing w:after="0" w:line="240" w:lineRule="auto"/>
              <w:jc w:val="right"/>
              <w:rPr>
                <w:rFonts w:ascii="Arial" w:hAnsi="Arial" w:cs="Arial"/>
                <w:sz w:val="16"/>
                <w:szCs w:val="16"/>
              </w:rPr>
            </w:pPr>
          </w:p>
        </w:tc>
        <w:tc>
          <w:tcPr>
            <w:tcW w:w="985" w:type="dxa"/>
            <w:tcBorders>
              <w:top w:val="nil"/>
              <w:left w:val="nil"/>
              <w:bottom w:val="nil"/>
              <w:right w:val="nil"/>
            </w:tcBorders>
            <w:shd w:val="clear" w:color="auto" w:fill="auto"/>
            <w:noWrap/>
            <w:vAlign w:val="bottom"/>
            <w:hideMark/>
          </w:tcPr>
          <w:p w14:paraId="430B6B6D" w14:textId="77777777" w:rsidR="000325FB" w:rsidRPr="000325FB" w:rsidRDefault="000325FB" w:rsidP="00507C35">
            <w:pPr>
              <w:spacing w:after="0" w:line="240" w:lineRule="auto"/>
              <w:jc w:val="right"/>
              <w:rPr>
                <w:rFonts w:ascii="Arial" w:hAnsi="Arial" w:cs="Arial"/>
                <w:sz w:val="16"/>
                <w:szCs w:val="16"/>
              </w:rPr>
            </w:pPr>
          </w:p>
        </w:tc>
        <w:tc>
          <w:tcPr>
            <w:tcW w:w="814" w:type="dxa"/>
            <w:tcBorders>
              <w:top w:val="nil"/>
              <w:left w:val="nil"/>
              <w:bottom w:val="nil"/>
              <w:right w:val="nil"/>
            </w:tcBorders>
            <w:shd w:val="clear" w:color="auto" w:fill="auto"/>
            <w:noWrap/>
            <w:vAlign w:val="bottom"/>
            <w:hideMark/>
          </w:tcPr>
          <w:p w14:paraId="282517E1" w14:textId="77777777" w:rsidR="000325FB" w:rsidRPr="000325FB" w:rsidRDefault="000325FB" w:rsidP="00507C35">
            <w:pPr>
              <w:spacing w:after="0" w:line="240" w:lineRule="auto"/>
              <w:jc w:val="right"/>
              <w:rPr>
                <w:rFonts w:ascii="Arial" w:hAnsi="Arial" w:cs="Arial"/>
                <w:sz w:val="16"/>
                <w:szCs w:val="16"/>
              </w:rPr>
            </w:pPr>
          </w:p>
        </w:tc>
      </w:tr>
      <w:tr w:rsidR="000325FB" w:rsidRPr="000325FB" w14:paraId="62940B13" w14:textId="77777777" w:rsidTr="00F82F1F">
        <w:trPr>
          <w:trHeight w:val="204"/>
        </w:trPr>
        <w:tc>
          <w:tcPr>
            <w:tcW w:w="2552" w:type="dxa"/>
            <w:tcBorders>
              <w:top w:val="nil"/>
              <w:left w:val="nil"/>
              <w:bottom w:val="nil"/>
              <w:right w:val="nil"/>
            </w:tcBorders>
            <w:shd w:val="clear" w:color="auto" w:fill="auto"/>
            <w:vAlign w:val="bottom"/>
            <w:hideMark/>
          </w:tcPr>
          <w:p w14:paraId="72CDB108" w14:textId="44E7D083" w:rsidR="000325FB" w:rsidRPr="000325FB" w:rsidRDefault="000325FB" w:rsidP="002738A9">
            <w:pPr>
              <w:spacing w:after="0" w:line="240" w:lineRule="auto"/>
              <w:ind w:left="113"/>
              <w:jc w:val="left"/>
              <w:rPr>
                <w:rFonts w:ascii="Arial" w:hAnsi="Arial" w:cs="Arial"/>
                <w:sz w:val="16"/>
                <w:szCs w:val="16"/>
              </w:rPr>
            </w:pPr>
            <w:r w:rsidRPr="000325FB">
              <w:rPr>
                <w:rFonts w:ascii="Arial" w:hAnsi="Arial" w:cs="Arial"/>
                <w:sz w:val="16"/>
                <w:szCs w:val="16"/>
              </w:rPr>
              <w:t>By purchase - appropriation equity</w:t>
            </w:r>
            <w:r w:rsidR="002738A9">
              <w:rPr>
                <w:rFonts w:ascii="Arial" w:hAnsi="Arial" w:cs="Arial"/>
                <w:sz w:val="16"/>
                <w:szCs w:val="16"/>
              </w:rPr>
              <w:t> </w:t>
            </w:r>
            <w:r w:rsidRPr="00D5303D">
              <w:rPr>
                <w:rFonts w:ascii="Arial" w:hAnsi="Arial" w:cs="Arial"/>
                <w:sz w:val="16"/>
                <w:szCs w:val="16"/>
                <w:vertAlign w:val="superscript"/>
              </w:rPr>
              <w:t>(a)</w:t>
            </w:r>
          </w:p>
        </w:tc>
        <w:tc>
          <w:tcPr>
            <w:tcW w:w="709" w:type="dxa"/>
            <w:tcBorders>
              <w:top w:val="nil"/>
              <w:left w:val="nil"/>
              <w:bottom w:val="nil"/>
              <w:right w:val="nil"/>
            </w:tcBorders>
            <w:shd w:val="clear" w:color="auto" w:fill="auto"/>
            <w:noWrap/>
            <w:vAlign w:val="bottom"/>
            <w:hideMark/>
          </w:tcPr>
          <w:p w14:paraId="580D7D56" w14:textId="41C471BE"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188E28C8" w14:textId="284C5A3F"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977" w:type="dxa"/>
            <w:tcBorders>
              <w:top w:val="nil"/>
              <w:left w:val="nil"/>
              <w:bottom w:val="nil"/>
              <w:right w:val="nil"/>
            </w:tcBorders>
            <w:shd w:val="clear" w:color="auto" w:fill="auto"/>
            <w:noWrap/>
            <w:vAlign w:val="bottom"/>
            <w:hideMark/>
          </w:tcPr>
          <w:p w14:paraId="20BF40A6" w14:textId="142EDCA9"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3,518</w:t>
            </w:r>
          </w:p>
        </w:tc>
        <w:tc>
          <w:tcPr>
            <w:tcW w:w="822" w:type="dxa"/>
            <w:tcBorders>
              <w:top w:val="nil"/>
              <w:left w:val="nil"/>
              <w:bottom w:val="nil"/>
              <w:right w:val="nil"/>
            </w:tcBorders>
            <w:shd w:val="clear" w:color="auto" w:fill="auto"/>
            <w:noWrap/>
            <w:vAlign w:val="bottom"/>
            <w:hideMark/>
          </w:tcPr>
          <w:p w14:paraId="641FD86D" w14:textId="64D3F49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809</w:t>
            </w:r>
          </w:p>
        </w:tc>
        <w:tc>
          <w:tcPr>
            <w:tcW w:w="985" w:type="dxa"/>
            <w:tcBorders>
              <w:top w:val="nil"/>
              <w:left w:val="nil"/>
              <w:bottom w:val="nil"/>
              <w:right w:val="nil"/>
            </w:tcBorders>
            <w:shd w:val="clear" w:color="auto" w:fill="auto"/>
            <w:noWrap/>
            <w:vAlign w:val="bottom"/>
            <w:hideMark/>
          </w:tcPr>
          <w:p w14:paraId="34BEA950" w14:textId="325B43B6"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14" w:type="dxa"/>
            <w:tcBorders>
              <w:top w:val="nil"/>
              <w:left w:val="nil"/>
              <w:bottom w:val="nil"/>
              <w:right w:val="nil"/>
            </w:tcBorders>
            <w:shd w:val="clear" w:color="auto" w:fill="auto"/>
            <w:noWrap/>
            <w:vAlign w:val="bottom"/>
            <w:hideMark/>
          </w:tcPr>
          <w:p w14:paraId="11722221" w14:textId="72416472"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4,327</w:t>
            </w:r>
          </w:p>
        </w:tc>
      </w:tr>
      <w:tr w:rsidR="000325FB" w:rsidRPr="000325FB" w14:paraId="349242B1" w14:textId="77777777" w:rsidTr="00F82F1F">
        <w:trPr>
          <w:trHeight w:val="204"/>
        </w:trPr>
        <w:tc>
          <w:tcPr>
            <w:tcW w:w="2552" w:type="dxa"/>
            <w:tcBorders>
              <w:top w:val="nil"/>
              <w:left w:val="nil"/>
              <w:bottom w:val="nil"/>
              <w:right w:val="nil"/>
            </w:tcBorders>
            <w:shd w:val="clear" w:color="auto" w:fill="auto"/>
            <w:vAlign w:val="bottom"/>
            <w:hideMark/>
          </w:tcPr>
          <w:p w14:paraId="6479D5DB" w14:textId="372363CC"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 xml:space="preserve">By purchase </w:t>
            </w:r>
            <w:r w:rsidR="00D5303D">
              <w:rPr>
                <w:rFonts w:ascii="Arial" w:hAnsi="Arial" w:cs="Arial"/>
                <w:sz w:val="16"/>
                <w:szCs w:val="16"/>
              </w:rPr>
              <w:t>–</w:t>
            </w:r>
            <w:r w:rsidRPr="000325FB">
              <w:rPr>
                <w:rFonts w:ascii="Arial" w:hAnsi="Arial" w:cs="Arial"/>
                <w:sz w:val="16"/>
                <w:szCs w:val="16"/>
              </w:rPr>
              <w:t xml:space="preserve"> appropriation</w:t>
            </w:r>
            <w:r w:rsidR="00D5303D">
              <w:rPr>
                <w:rFonts w:ascii="Arial" w:hAnsi="Arial" w:cs="Arial"/>
                <w:sz w:val="16"/>
                <w:szCs w:val="16"/>
              </w:rPr>
              <w:t xml:space="preserve"> </w:t>
            </w:r>
            <w:r w:rsidRPr="000325FB">
              <w:rPr>
                <w:rFonts w:ascii="Arial" w:hAnsi="Arial" w:cs="Arial"/>
                <w:sz w:val="16"/>
                <w:szCs w:val="16"/>
              </w:rPr>
              <w:t xml:space="preserve">ordinary annual services </w:t>
            </w:r>
            <w:r w:rsidRPr="00D5303D">
              <w:rPr>
                <w:rFonts w:ascii="Arial" w:hAnsi="Arial" w:cs="Arial"/>
                <w:sz w:val="16"/>
                <w:szCs w:val="16"/>
                <w:vertAlign w:val="superscript"/>
              </w:rPr>
              <w:t>(b)</w:t>
            </w:r>
          </w:p>
        </w:tc>
        <w:tc>
          <w:tcPr>
            <w:tcW w:w="709" w:type="dxa"/>
            <w:tcBorders>
              <w:top w:val="nil"/>
              <w:left w:val="nil"/>
              <w:bottom w:val="nil"/>
              <w:right w:val="nil"/>
            </w:tcBorders>
            <w:shd w:val="clear" w:color="auto" w:fill="auto"/>
            <w:noWrap/>
            <w:vAlign w:val="bottom"/>
            <w:hideMark/>
          </w:tcPr>
          <w:p w14:paraId="310E195D" w14:textId="51B7669E"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04EFC05B" w14:textId="03E8A952"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200</w:t>
            </w:r>
          </w:p>
        </w:tc>
        <w:tc>
          <w:tcPr>
            <w:tcW w:w="977" w:type="dxa"/>
            <w:tcBorders>
              <w:top w:val="nil"/>
              <w:left w:val="nil"/>
              <w:bottom w:val="nil"/>
              <w:right w:val="nil"/>
            </w:tcBorders>
            <w:shd w:val="clear" w:color="auto" w:fill="auto"/>
            <w:noWrap/>
            <w:vAlign w:val="bottom"/>
            <w:hideMark/>
          </w:tcPr>
          <w:p w14:paraId="7CB3260B" w14:textId="0FB4742D"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754</w:t>
            </w:r>
          </w:p>
        </w:tc>
        <w:tc>
          <w:tcPr>
            <w:tcW w:w="822" w:type="dxa"/>
            <w:tcBorders>
              <w:top w:val="nil"/>
              <w:left w:val="nil"/>
              <w:bottom w:val="nil"/>
              <w:right w:val="nil"/>
            </w:tcBorders>
            <w:shd w:val="clear" w:color="auto" w:fill="auto"/>
            <w:noWrap/>
            <w:vAlign w:val="bottom"/>
            <w:hideMark/>
          </w:tcPr>
          <w:p w14:paraId="7FC75CAB" w14:textId="18D99D78"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1,000</w:t>
            </w:r>
          </w:p>
        </w:tc>
        <w:tc>
          <w:tcPr>
            <w:tcW w:w="985" w:type="dxa"/>
            <w:tcBorders>
              <w:top w:val="nil"/>
              <w:left w:val="nil"/>
              <w:bottom w:val="nil"/>
              <w:right w:val="nil"/>
            </w:tcBorders>
            <w:shd w:val="clear" w:color="auto" w:fill="auto"/>
            <w:noWrap/>
            <w:vAlign w:val="bottom"/>
            <w:hideMark/>
          </w:tcPr>
          <w:p w14:paraId="1E3B02E3" w14:textId="6F7AC421"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210</w:t>
            </w:r>
          </w:p>
        </w:tc>
        <w:tc>
          <w:tcPr>
            <w:tcW w:w="814" w:type="dxa"/>
            <w:tcBorders>
              <w:top w:val="nil"/>
              <w:left w:val="nil"/>
              <w:bottom w:val="nil"/>
              <w:right w:val="nil"/>
            </w:tcBorders>
            <w:shd w:val="clear" w:color="auto" w:fill="auto"/>
            <w:noWrap/>
            <w:vAlign w:val="bottom"/>
            <w:hideMark/>
          </w:tcPr>
          <w:p w14:paraId="58EA6E31" w14:textId="53C32763"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2,164</w:t>
            </w:r>
          </w:p>
        </w:tc>
      </w:tr>
      <w:tr w:rsidR="000325FB" w:rsidRPr="000325FB" w14:paraId="4E6C1F95" w14:textId="77777777" w:rsidTr="00F82F1F">
        <w:trPr>
          <w:trHeight w:val="204"/>
        </w:trPr>
        <w:tc>
          <w:tcPr>
            <w:tcW w:w="2552" w:type="dxa"/>
            <w:tcBorders>
              <w:top w:val="nil"/>
              <w:left w:val="nil"/>
              <w:bottom w:val="nil"/>
              <w:right w:val="nil"/>
            </w:tcBorders>
            <w:shd w:val="clear" w:color="auto" w:fill="auto"/>
            <w:vAlign w:val="center"/>
            <w:hideMark/>
          </w:tcPr>
          <w:p w14:paraId="6A154190" w14:textId="4AA61863"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By purchase - appropriation ordinary</w:t>
            </w:r>
            <w:r w:rsidR="00D5303D">
              <w:rPr>
                <w:rFonts w:ascii="Arial" w:hAnsi="Arial" w:cs="Arial"/>
                <w:sz w:val="16"/>
                <w:szCs w:val="16"/>
              </w:rPr>
              <w:t xml:space="preserve"> </w:t>
            </w:r>
            <w:r w:rsidRPr="000325FB">
              <w:rPr>
                <w:rFonts w:ascii="Arial" w:hAnsi="Arial" w:cs="Arial"/>
                <w:sz w:val="16"/>
                <w:szCs w:val="16"/>
              </w:rPr>
              <w:t>annual services - ROU assets</w:t>
            </w:r>
          </w:p>
        </w:tc>
        <w:tc>
          <w:tcPr>
            <w:tcW w:w="709" w:type="dxa"/>
            <w:tcBorders>
              <w:top w:val="nil"/>
              <w:left w:val="nil"/>
              <w:bottom w:val="nil"/>
              <w:right w:val="nil"/>
            </w:tcBorders>
            <w:shd w:val="clear" w:color="auto" w:fill="auto"/>
            <w:noWrap/>
            <w:vAlign w:val="bottom"/>
            <w:hideMark/>
          </w:tcPr>
          <w:p w14:paraId="4C81132B" w14:textId="00CAF57C"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0EC93B01" w14:textId="05383479"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636</w:t>
            </w:r>
          </w:p>
        </w:tc>
        <w:tc>
          <w:tcPr>
            <w:tcW w:w="977" w:type="dxa"/>
            <w:tcBorders>
              <w:top w:val="nil"/>
              <w:left w:val="nil"/>
              <w:bottom w:val="nil"/>
              <w:right w:val="nil"/>
            </w:tcBorders>
            <w:shd w:val="clear" w:color="auto" w:fill="auto"/>
            <w:noWrap/>
            <w:vAlign w:val="bottom"/>
            <w:hideMark/>
          </w:tcPr>
          <w:p w14:paraId="58E95BCB" w14:textId="5841AFB1"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22" w:type="dxa"/>
            <w:tcBorders>
              <w:top w:val="nil"/>
              <w:left w:val="nil"/>
              <w:bottom w:val="nil"/>
              <w:right w:val="nil"/>
            </w:tcBorders>
            <w:shd w:val="clear" w:color="auto" w:fill="auto"/>
            <w:noWrap/>
            <w:vAlign w:val="bottom"/>
            <w:hideMark/>
          </w:tcPr>
          <w:p w14:paraId="0B737110" w14:textId="6AFE054E"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985" w:type="dxa"/>
            <w:tcBorders>
              <w:top w:val="nil"/>
              <w:left w:val="nil"/>
              <w:bottom w:val="nil"/>
              <w:right w:val="nil"/>
            </w:tcBorders>
            <w:shd w:val="clear" w:color="auto" w:fill="auto"/>
            <w:noWrap/>
            <w:vAlign w:val="bottom"/>
            <w:hideMark/>
          </w:tcPr>
          <w:p w14:paraId="66C51F05" w14:textId="2E1E606C"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14" w:type="dxa"/>
            <w:tcBorders>
              <w:top w:val="nil"/>
              <w:left w:val="nil"/>
              <w:bottom w:val="nil"/>
              <w:right w:val="nil"/>
            </w:tcBorders>
            <w:shd w:val="clear" w:color="auto" w:fill="auto"/>
            <w:noWrap/>
            <w:vAlign w:val="bottom"/>
            <w:hideMark/>
          </w:tcPr>
          <w:p w14:paraId="3343E31A" w14:textId="5E65D60A"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636</w:t>
            </w:r>
          </w:p>
        </w:tc>
      </w:tr>
      <w:tr w:rsidR="000325FB" w:rsidRPr="000325FB" w14:paraId="6E5383AA" w14:textId="77777777" w:rsidTr="00F82F1F">
        <w:trPr>
          <w:trHeight w:val="204"/>
        </w:trPr>
        <w:tc>
          <w:tcPr>
            <w:tcW w:w="2552" w:type="dxa"/>
            <w:tcBorders>
              <w:top w:val="nil"/>
              <w:left w:val="nil"/>
              <w:bottom w:val="nil"/>
              <w:right w:val="nil"/>
            </w:tcBorders>
            <w:shd w:val="clear" w:color="auto" w:fill="auto"/>
            <w:vAlign w:val="bottom"/>
            <w:hideMark/>
          </w:tcPr>
          <w:p w14:paraId="25046761" w14:textId="77777777"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Assets received as gifts/donations</w:t>
            </w:r>
          </w:p>
        </w:tc>
        <w:tc>
          <w:tcPr>
            <w:tcW w:w="709" w:type="dxa"/>
            <w:tcBorders>
              <w:top w:val="nil"/>
              <w:left w:val="nil"/>
              <w:bottom w:val="nil"/>
              <w:right w:val="nil"/>
            </w:tcBorders>
            <w:shd w:val="clear" w:color="auto" w:fill="auto"/>
            <w:noWrap/>
            <w:vAlign w:val="bottom"/>
            <w:hideMark/>
          </w:tcPr>
          <w:p w14:paraId="34FEBC52" w14:textId="03D1306D" w:rsidR="000325FB" w:rsidRPr="000325FB" w:rsidRDefault="000325FB" w:rsidP="00507C35">
            <w:pPr>
              <w:spacing w:after="0" w:line="240" w:lineRule="auto"/>
              <w:ind w:firstLineChars="100" w:firstLine="160"/>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2B8B6597" w14:textId="0B3B8391"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977" w:type="dxa"/>
            <w:tcBorders>
              <w:top w:val="nil"/>
              <w:left w:val="nil"/>
              <w:bottom w:val="nil"/>
              <w:right w:val="nil"/>
            </w:tcBorders>
            <w:shd w:val="clear" w:color="auto" w:fill="auto"/>
            <w:noWrap/>
            <w:vAlign w:val="bottom"/>
            <w:hideMark/>
          </w:tcPr>
          <w:p w14:paraId="1DC5167E" w14:textId="05330D79"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22" w:type="dxa"/>
            <w:tcBorders>
              <w:top w:val="nil"/>
              <w:left w:val="nil"/>
              <w:bottom w:val="nil"/>
              <w:right w:val="nil"/>
            </w:tcBorders>
            <w:shd w:val="clear" w:color="auto" w:fill="auto"/>
            <w:noWrap/>
            <w:vAlign w:val="bottom"/>
            <w:hideMark/>
          </w:tcPr>
          <w:p w14:paraId="2CFCA1F0" w14:textId="12988C7D"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2,770</w:t>
            </w:r>
          </w:p>
        </w:tc>
        <w:tc>
          <w:tcPr>
            <w:tcW w:w="985" w:type="dxa"/>
            <w:tcBorders>
              <w:top w:val="nil"/>
              <w:left w:val="nil"/>
              <w:bottom w:val="nil"/>
              <w:right w:val="nil"/>
            </w:tcBorders>
            <w:shd w:val="clear" w:color="auto" w:fill="auto"/>
            <w:noWrap/>
            <w:vAlign w:val="bottom"/>
            <w:hideMark/>
          </w:tcPr>
          <w:p w14:paraId="72DD3692" w14:textId="01524D5D"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14" w:type="dxa"/>
            <w:tcBorders>
              <w:top w:val="nil"/>
              <w:left w:val="nil"/>
              <w:bottom w:val="nil"/>
              <w:right w:val="nil"/>
            </w:tcBorders>
            <w:shd w:val="clear" w:color="auto" w:fill="auto"/>
            <w:noWrap/>
            <w:vAlign w:val="bottom"/>
            <w:hideMark/>
          </w:tcPr>
          <w:p w14:paraId="2B837CB2" w14:textId="4D6E93DE"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2,770</w:t>
            </w:r>
          </w:p>
        </w:tc>
      </w:tr>
      <w:tr w:rsidR="000325FB" w:rsidRPr="000325FB" w14:paraId="0A360396" w14:textId="77777777" w:rsidTr="00F82F1F">
        <w:trPr>
          <w:trHeight w:val="204"/>
        </w:trPr>
        <w:tc>
          <w:tcPr>
            <w:tcW w:w="2552" w:type="dxa"/>
            <w:tcBorders>
              <w:top w:val="nil"/>
              <w:left w:val="nil"/>
              <w:bottom w:val="nil"/>
              <w:right w:val="nil"/>
            </w:tcBorders>
            <w:shd w:val="clear" w:color="auto" w:fill="auto"/>
            <w:vAlign w:val="bottom"/>
            <w:hideMark/>
          </w:tcPr>
          <w:p w14:paraId="14EF0A25" w14:textId="77777777" w:rsidR="000325FB" w:rsidRPr="000325FB" w:rsidRDefault="000325FB" w:rsidP="00D5303D">
            <w:pPr>
              <w:spacing w:after="0" w:line="240" w:lineRule="auto"/>
              <w:jc w:val="left"/>
              <w:rPr>
                <w:rFonts w:ascii="Arial" w:hAnsi="Arial" w:cs="Arial"/>
                <w:b/>
                <w:bCs/>
                <w:sz w:val="16"/>
                <w:szCs w:val="16"/>
              </w:rPr>
            </w:pPr>
            <w:r w:rsidRPr="000325FB">
              <w:rPr>
                <w:rFonts w:ascii="Arial" w:hAnsi="Arial" w:cs="Arial"/>
                <w:b/>
                <w:bCs/>
                <w:sz w:val="16"/>
                <w:szCs w:val="16"/>
              </w:rPr>
              <w:t>Total additions</w:t>
            </w:r>
          </w:p>
        </w:tc>
        <w:tc>
          <w:tcPr>
            <w:tcW w:w="709" w:type="dxa"/>
            <w:tcBorders>
              <w:top w:val="single" w:sz="4" w:space="0" w:color="auto"/>
              <w:left w:val="nil"/>
              <w:bottom w:val="nil"/>
              <w:right w:val="nil"/>
            </w:tcBorders>
            <w:shd w:val="clear" w:color="auto" w:fill="auto"/>
            <w:noWrap/>
            <w:vAlign w:val="bottom"/>
            <w:hideMark/>
          </w:tcPr>
          <w:p w14:paraId="3164EACF" w14:textId="262B9680"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w:t>
            </w:r>
          </w:p>
        </w:tc>
        <w:tc>
          <w:tcPr>
            <w:tcW w:w="866" w:type="dxa"/>
            <w:tcBorders>
              <w:top w:val="single" w:sz="4" w:space="0" w:color="auto"/>
              <w:left w:val="nil"/>
              <w:bottom w:val="nil"/>
              <w:right w:val="nil"/>
            </w:tcBorders>
            <w:shd w:val="clear" w:color="auto" w:fill="auto"/>
            <w:noWrap/>
            <w:vAlign w:val="bottom"/>
            <w:hideMark/>
          </w:tcPr>
          <w:p w14:paraId="0790D7FA" w14:textId="71396C30"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836</w:t>
            </w:r>
          </w:p>
        </w:tc>
        <w:tc>
          <w:tcPr>
            <w:tcW w:w="977" w:type="dxa"/>
            <w:tcBorders>
              <w:top w:val="single" w:sz="4" w:space="0" w:color="auto"/>
              <w:left w:val="nil"/>
              <w:bottom w:val="nil"/>
              <w:right w:val="nil"/>
            </w:tcBorders>
            <w:shd w:val="clear" w:color="auto" w:fill="auto"/>
            <w:noWrap/>
            <w:vAlign w:val="bottom"/>
            <w:hideMark/>
          </w:tcPr>
          <w:p w14:paraId="5ABA3DF4" w14:textId="42F8566A"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4,272</w:t>
            </w:r>
          </w:p>
        </w:tc>
        <w:tc>
          <w:tcPr>
            <w:tcW w:w="822" w:type="dxa"/>
            <w:tcBorders>
              <w:top w:val="single" w:sz="4" w:space="0" w:color="auto"/>
              <w:left w:val="nil"/>
              <w:bottom w:val="nil"/>
              <w:right w:val="nil"/>
            </w:tcBorders>
            <w:shd w:val="clear" w:color="auto" w:fill="auto"/>
            <w:noWrap/>
            <w:vAlign w:val="bottom"/>
            <w:hideMark/>
          </w:tcPr>
          <w:p w14:paraId="35E792F5" w14:textId="4C17E66A"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4,579</w:t>
            </w:r>
          </w:p>
        </w:tc>
        <w:tc>
          <w:tcPr>
            <w:tcW w:w="985" w:type="dxa"/>
            <w:tcBorders>
              <w:top w:val="single" w:sz="4" w:space="0" w:color="auto"/>
              <w:left w:val="nil"/>
              <w:bottom w:val="nil"/>
              <w:right w:val="nil"/>
            </w:tcBorders>
            <w:shd w:val="clear" w:color="auto" w:fill="auto"/>
            <w:noWrap/>
            <w:vAlign w:val="bottom"/>
            <w:hideMark/>
          </w:tcPr>
          <w:p w14:paraId="0FFD8844" w14:textId="4BEF5C67"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210</w:t>
            </w:r>
          </w:p>
        </w:tc>
        <w:tc>
          <w:tcPr>
            <w:tcW w:w="814" w:type="dxa"/>
            <w:tcBorders>
              <w:top w:val="single" w:sz="4" w:space="0" w:color="auto"/>
              <w:left w:val="nil"/>
              <w:bottom w:val="nil"/>
              <w:right w:val="nil"/>
            </w:tcBorders>
            <w:shd w:val="clear" w:color="auto" w:fill="auto"/>
            <w:noWrap/>
            <w:vAlign w:val="bottom"/>
            <w:hideMark/>
          </w:tcPr>
          <w:p w14:paraId="0C614238" w14:textId="38B8CAD6"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9,897</w:t>
            </w:r>
          </w:p>
        </w:tc>
      </w:tr>
      <w:tr w:rsidR="000325FB" w:rsidRPr="000325FB" w14:paraId="04249BE9" w14:textId="77777777" w:rsidTr="00F82F1F">
        <w:trPr>
          <w:trHeight w:val="204"/>
        </w:trPr>
        <w:tc>
          <w:tcPr>
            <w:tcW w:w="2552" w:type="dxa"/>
            <w:tcBorders>
              <w:top w:val="nil"/>
              <w:left w:val="nil"/>
              <w:bottom w:val="nil"/>
              <w:right w:val="nil"/>
            </w:tcBorders>
            <w:shd w:val="clear" w:color="auto" w:fill="auto"/>
            <w:vAlign w:val="bottom"/>
            <w:hideMark/>
          </w:tcPr>
          <w:p w14:paraId="55344F88" w14:textId="77777777" w:rsidR="000325FB" w:rsidRPr="000325FB" w:rsidRDefault="000325FB" w:rsidP="00D5303D">
            <w:pPr>
              <w:spacing w:after="0" w:line="240" w:lineRule="auto"/>
              <w:jc w:val="left"/>
              <w:rPr>
                <w:rFonts w:ascii="Arial" w:hAnsi="Arial" w:cs="Arial"/>
                <w:b/>
                <w:bCs/>
                <w:sz w:val="16"/>
                <w:szCs w:val="16"/>
              </w:rPr>
            </w:pPr>
            <w:r w:rsidRPr="000325FB">
              <w:rPr>
                <w:rFonts w:ascii="Arial" w:hAnsi="Arial" w:cs="Arial"/>
                <w:b/>
                <w:bCs/>
                <w:sz w:val="16"/>
                <w:szCs w:val="16"/>
              </w:rPr>
              <w:t>Other movements</w:t>
            </w:r>
          </w:p>
        </w:tc>
        <w:tc>
          <w:tcPr>
            <w:tcW w:w="709" w:type="dxa"/>
            <w:tcBorders>
              <w:top w:val="single" w:sz="4" w:space="0" w:color="auto"/>
              <w:left w:val="nil"/>
              <w:bottom w:val="nil"/>
              <w:right w:val="nil"/>
            </w:tcBorders>
            <w:shd w:val="clear" w:color="auto" w:fill="auto"/>
            <w:noWrap/>
            <w:vAlign w:val="bottom"/>
            <w:hideMark/>
          </w:tcPr>
          <w:p w14:paraId="52DBFD88" w14:textId="244A5168" w:rsidR="000325FB" w:rsidRPr="000325FB" w:rsidRDefault="000325FB" w:rsidP="00507C35">
            <w:pPr>
              <w:spacing w:after="0" w:line="240" w:lineRule="auto"/>
              <w:jc w:val="right"/>
              <w:rPr>
                <w:rFonts w:ascii="Arial" w:hAnsi="Arial" w:cs="Arial"/>
                <w:b/>
                <w:bCs/>
                <w:sz w:val="16"/>
                <w:szCs w:val="16"/>
              </w:rPr>
            </w:pPr>
          </w:p>
        </w:tc>
        <w:tc>
          <w:tcPr>
            <w:tcW w:w="866" w:type="dxa"/>
            <w:tcBorders>
              <w:top w:val="single" w:sz="4" w:space="0" w:color="auto"/>
              <w:left w:val="nil"/>
              <w:bottom w:val="nil"/>
              <w:right w:val="nil"/>
            </w:tcBorders>
            <w:shd w:val="clear" w:color="auto" w:fill="auto"/>
            <w:noWrap/>
            <w:vAlign w:val="bottom"/>
            <w:hideMark/>
          </w:tcPr>
          <w:p w14:paraId="5C9A1E2D" w14:textId="5221B834" w:rsidR="000325FB" w:rsidRPr="000325FB" w:rsidRDefault="000325FB" w:rsidP="00507C35">
            <w:pPr>
              <w:spacing w:after="0" w:line="240" w:lineRule="auto"/>
              <w:jc w:val="right"/>
              <w:rPr>
                <w:rFonts w:ascii="Arial" w:hAnsi="Arial" w:cs="Arial"/>
                <w:b/>
                <w:bCs/>
                <w:sz w:val="16"/>
                <w:szCs w:val="16"/>
              </w:rPr>
            </w:pPr>
          </w:p>
        </w:tc>
        <w:tc>
          <w:tcPr>
            <w:tcW w:w="977" w:type="dxa"/>
            <w:tcBorders>
              <w:top w:val="single" w:sz="4" w:space="0" w:color="auto"/>
              <w:left w:val="nil"/>
              <w:bottom w:val="nil"/>
              <w:right w:val="nil"/>
            </w:tcBorders>
            <w:shd w:val="clear" w:color="auto" w:fill="auto"/>
            <w:noWrap/>
            <w:vAlign w:val="bottom"/>
            <w:hideMark/>
          </w:tcPr>
          <w:p w14:paraId="1F848109" w14:textId="72A49048" w:rsidR="000325FB" w:rsidRPr="000325FB" w:rsidRDefault="000325FB" w:rsidP="00507C35">
            <w:pPr>
              <w:spacing w:after="0" w:line="240" w:lineRule="auto"/>
              <w:jc w:val="right"/>
              <w:rPr>
                <w:rFonts w:ascii="Arial" w:hAnsi="Arial" w:cs="Arial"/>
                <w:b/>
                <w:bCs/>
                <w:sz w:val="16"/>
                <w:szCs w:val="16"/>
              </w:rPr>
            </w:pPr>
          </w:p>
        </w:tc>
        <w:tc>
          <w:tcPr>
            <w:tcW w:w="822" w:type="dxa"/>
            <w:tcBorders>
              <w:top w:val="single" w:sz="4" w:space="0" w:color="auto"/>
              <w:left w:val="nil"/>
              <w:bottom w:val="nil"/>
              <w:right w:val="nil"/>
            </w:tcBorders>
            <w:shd w:val="clear" w:color="auto" w:fill="auto"/>
            <w:noWrap/>
            <w:vAlign w:val="bottom"/>
            <w:hideMark/>
          </w:tcPr>
          <w:p w14:paraId="39570432" w14:textId="2E4021DA" w:rsidR="000325FB" w:rsidRPr="000325FB" w:rsidRDefault="000325FB" w:rsidP="00507C35">
            <w:pPr>
              <w:spacing w:after="0" w:line="240" w:lineRule="auto"/>
              <w:jc w:val="right"/>
              <w:rPr>
                <w:rFonts w:ascii="Arial" w:hAnsi="Arial" w:cs="Arial"/>
                <w:b/>
                <w:bCs/>
                <w:sz w:val="16"/>
                <w:szCs w:val="16"/>
              </w:rPr>
            </w:pPr>
          </w:p>
        </w:tc>
        <w:tc>
          <w:tcPr>
            <w:tcW w:w="985" w:type="dxa"/>
            <w:tcBorders>
              <w:top w:val="single" w:sz="4" w:space="0" w:color="auto"/>
              <w:left w:val="nil"/>
              <w:bottom w:val="nil"/>
              <w:right w:val="nil"/>
            </w:tcBorders>
            <w:shd w:val="clear" w:color="auto" w:fill="auto"/>
            <w:noWrap/>
            <w:vAlign w:val="bottom"/>
            <w:hideMark/>
          </w:tcPr>
          <w:p w14:paraId="5A48C868" w14:textId="6D5F803C" w:rsidR="000325FB" w:rsidRPr="000325FB" w:rsidRDefault="000325FB" w:rsidP="00507C35">
            <w:pPr>
              <w:spacing w:after="0" w:line="240" w:lineRule="auto"/>
              <w:jc w:val="right"/>
              <w:rPr>
                <w:rFonts w:ascii="Arial" w:hAnsi="Arial" w:cs="Arial"/>
                <w:b/>
                <w:bCs/>
                <w:sz w:val="16"/>
                <w:szCs w:val="16"/>
              </w:rPr>
            </w:pPr>
          </w:p>
        </w:tc>
        <w:tc>
          <w:tcPr>
            <w:tcW w:w="814" w:type="dxa"/>
            <w:tcBorders>
              <w:top w:val="single" w:sz="4" w:space="0" w:color="auto"/>
              <w:left w:val="nil"/>
              <w:bottom w:val="nil"/>
              <w:right w:val="nil"/>
            </w:tcBorders>
            <w:shd w:val="clear" w:color="auto" w:fill="auto"/>
            <w:noWrap/>
            <w:vAlign w:val="bottom"/>
            <w:hideMark/>
          </w:tcPr>
          <w:p w14:paraId="353D1A3E" w14:textId="03C7680D" w:rsidR="000325FB" w:rsidRPr="000325FB" w:rsidRDefault="000325FB" w:rsidP="00507C35">
            <w:pPr>
              <w:spacing w:after="0" w:line="240" w:lineRule="auto"/>
              <w:jc w:val="right"/>
              <w:rPr>
                <w:rFonts w:ascii="Arial" w:hAnsi="Arial" w:cs="Arial"/>
                <w:b/>
                <w:bCs/>
                <w:sz w:val="16"/>
                <w:szCs w:val="16"/>
              </w:rPr>
            </w:pPr>
          </w:p>
        </w:tc>
      </w:tr>
      <w:tr w:rsidR="000325FB" w:rsidRPr="000325FB" w14:paraId="095CE8B2" w14:textId="77777777" w:rsidTr="00F82F1F">
        <w:trPr>
          <w:trHeight w:val="204"/>
        </w:trPr>
        <w:tc>
          <w:tcPr>
            <w:tcW w:w="2552" w:type="dxa"/>
            <w:tcBorders>
              <w:top w:val="nil"/>
              <w:left w:val="nil"/>
              <w:bottom w:val="nil"/>
              <w:right w:val="nil"/>
            </w:tcBorders>
            <w:shd w:val="clear" w:color="auto" w:fill="auto"/>
            <w:vAlign w:val="bottom"/>
            <w:hideMark/>
          </w:tcPr>
          <w:p w14:paraId="0B7DF5E4" w14:textId="77777777"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Depreciation/amortisation expense</w:t>
            </w:r>
          </w:p>
        </w:tc>
        <w:tc>
          <w:tcPr>
            <w:tcW w:w="709" w:type="dxa"/>
            <w:tcBorders>
              <w:top w:val="nil"/>
              <w:left w:val="nil"/>
              <w:bottom w:val="nil"/>
              <w:right w:val="nil"/>
            </w:tcBorders>
            <w:shd w:val="clear" w:color="auto" w:fill="auto"/>
            <w:noWrap/>
            <w:vAlign w:val="bottom"/>
            <w:hideMark/>
          </w:tcPr>
          <w:p w14:paraId="7A4EE0CD" w14:textId="13EF5DB8"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3F13026C"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(1,969)</w:t>
            </w:r>
          </w:p>
        </w:tc>
        <w:tc>
          <w:tcPr>
            <w:tcW w:w="977" w:type="dxa"/>
            <w:tcBorders>
              <w:top w:val="nil"/>
              <w:left w:val="nil"/>
              <w:bottom w:val="nil"/>
              <w:right w:val="nil"/>
            </w:tcBorders>
            <w:shd w:val="clear" w:color="auto" w:fill="auto"/>
            <w:noWrap/>
            <w:vAlign w:val="bottom"/>
            <w:hideMark/>
          </w:tcPr>
          <w:p w14:paraId="5750BD14"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(1,286)</w:t>
            </w:r>
          </w:p>
        </w:tc>
        <w:tc>
          <w:tcPr>
            <w:tcW w:w="822" w:type="dxa"/>
            <w:tcBorders>
              <w:top w:val="nil"/>
              <w:left w:val="nil"/>
              <w:bottom w:val="nil"/>
              <w:right w:val="nil"/>
            </w:tcBorders>
            <w:shd w:val="clear" w:color="auto" w:fill="auto"/>
            <w:noWrap/>
            <w:vAlign w:val="bottom"/>
            <w:hideMark/>
          </w:tcPr>
          <w:p w14:paraId="4F728BEB"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(1,936)</w:t>
            </w:r>
          </w:p>
        </w:tc>
        <w:tc>
          <w:tcPr>
            <w:tcW w:w="985" w:type="dxa"/>
            <w:tcBorders>
              <w:top w:val="nil"/>
              <w:left w:val="nil"/>
              <w:bottom w:val="nil"/>
              <w:right w:val="nil"/>
            </w:tcBorders>
            <w:shd w:val="clear" w:color="auto" w:fill="auto"/>
            <w:noWrap/>
            <w:vAlign w:val="bottom"/>
            <w:hideMark/>
          </w:tcPr>
          <w:p w14:paraId="786EA689"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(326)</w:t>
            </w:r>
          </w:p>
        </w:tc>
        <w:tc>
          <w:tcPr>
            <w:tcW w:w="814" w:type="dxa"/>
            <w:tcBorders>
              <w:top w:val="nil"/>
              <w:left w:val="nil"/>
              <w:bottom w:val="nil"/>
              <w:right w:val="nil"/>
            </w:tcBorders>
            <w:shd w:val="clear" w:color="auto" w:fill="auto"/>
            <w:noWrap/>
            <w:vAlign w:val="bottom"/>
            <w:hideMark/>
          </w:tcPr>
          <w:p w14:paraId="47F7D2C0"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(5,517)</w:t>
            </w:r>
          </w:p>
        </w:tc>
      </w:tr>
      <w:tr w:rsidR="000325FB" w:rsidRPr="000325FB" w14:paraId="6D45028A" w14:textId="77777777" w:rsidTr="00F82F1F">
        <w:trPr>
          <w:trHeight w:val="204"/>
        </w:trPr>
        <w:tc>
          <w:tcPr>
            <w:tcW w:w="2552" w:type="dxa"/>
            <w:tcBorders>
              <w:top w:val="nil"/>
              <w:left w:val="nil"/>
              <w:right w:val="nil"/>
            </w:tcBorders>
            <w:shd w:val="clear" w:color="auto" w:fill="auto"/>
            <w:vAlign w:val="center"/>
            <w:hideMark/>
          </w:tcPr>
          <w:p w14:paraId="4C579914" w14:textId="3B0F476F"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Depreciation/amortisation on ROU assets</w:t>
            </w:r>
          </w:p>
        </w:tc>
        <w:tc>
          <w:tcPr>
            <w:tcW w:w="709" w:type="dxa"/>
            <w:tcBorders>
              <w:top w:val="nil"/>
              <w:left w:val="nil"/>
              <w:bottom w:val="nil"/>
              <w:right w:val="nil"/>
            </w:tcBorders>
            <w:shd w:val="clear" w:color="auto" w:fill="auto"/>
            <w:noWrap/>
            <w:vAlign w:val="bottom"/>
            <w:hideMark/>
          </w:tcPr>
          <w:p w14:paraId="579878BE" w14:textId="60EB08A6"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0F5D011F"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(598)</w:t>
            </w:r>
          </w:p>
        </w:tc>
        <w:tc>
          <w:tcPr>
            <w:tcW w:w="977" w:type="dxa"/>
            <w:tcBorders>
              <w:top w:val="nil"/>
              <w:left w:val="nil"/>
              <w:bottom w:val="nil"/>
              <w:right w:val="nil"/>
            </w:tcBorders>
            <w:shd w:val="clear" w:color="auto" w:fill="auto"/>
            <w:noWrap/>
            <w:vAlign w:val="bottom"/>
            <w:hideMark/>
          </w:tcPr>
          <w:p w14:paraId="7E00AB8B" w14:textId="33B7B9F9"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22" w:type="dxa"/>
            <w:tcBorders>
              <w:top w:val="nil"/>
              <w:left w:val="nil"/>
              <w:bottom w:val="nil"/>
              <w:right w:val="nil"/>
            </w:tcBorders>
            <w:shd w:val="clear" w:color="auto" w:fill="auto"/>
            <w:noWrap/>
            <w:vAlign w:val="bottom"/>
            <w:hideMark/>
          </w:tcPr>
          <w:p w14:paraId="7AC1F6EB" w14:textId="2A664DFD"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985" w:type="dxa"/>
            <w:tcBorders>
              <w:top w:val="nil"/>
              <w:left w:val="nil"/>
              <w:bottom w:val="nil"/>
              <w:right w:val="nil"/>
            </w:tcBorders>
            <w:shd w:val="clear" w:color="auto" w:fill="auto"/>
            <w:noWrap/>
            <w:vAlign w:val="bottom"/>
            <w:hideMark/>
          </w:tcPr>
          <w:p w14:paraId="7E2A8649" w14:textId="31CAB628"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14" w:type="dxa"/>
            <w:tcBorders>
              <w:top w:val="nil"/>
              <w:left w:val="nil"/>
              <w:bottom w:val="nil"/>
              <w:right w:val="nil"/>
            </w:tcBorders>
            <w:shd w:val="clear" w:color="auto" w:fill="auto"/>
            <w:noWrap/>
            <w:vAlign w:val="bottom"/>
            <w:hideMark/>
          </w:tcPr>
          <w:p w14:paraId="406E9488"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(598)</w:t>
            </w:r>
          </w:p>
        </w:tc>
      </w:tr>
      <w:tr w:rsidR="000325FB" w:rsidRPr="000325FB" w14:paraId="61D4729B" w14:textId="77777777" w:rsidTr="00F82F1F">
        <w:trPr>
          <w:trHeight w:val="204"/>
        </w:trPr>
        <w:tc>
          <w:tcPr>
            <w:tcW w:w="2552" w:type="dxa"/>
            <w:tcBorders>
              <w:top w:val="nil"/>
              <w:left w:val="nil"/>
              <w:right w:val="nil"/>
            </w:tcBorders>
            <w:shd w:val="clear" w:color="auto" w:fill="auto"/>
            <w:vAlign w:val="bottom"/>
            <w:hideMark/>
          </w:tcPr>
          <w:p w14:paraId="0B7F5FDF" w14:textId="77777777" w:rsidR="000325FB" w:rsidRPr="000325FB" w:rsidRDefault="000325FB" w:rsidP="00D5303D">
            <w:pPr>
              <w:spacing w:after="0" w:line="240" w:lineRule="auto"/>
              <w:jc w:val="left"/>
              <w:rPr>
                <w:rFonts w:ascii="Arial" w:hAnsi="Arial" w:cs="Arial"/>
                <w:b/>
                <w:bCs/>
                <w:sz w:val="16"/>
                <w:szCs w:val="16"/>
              </w:rPr>
            </w:pPr>
            <w:r w:rsidRPr="000325FB">
              <w:rPr>
                <w:rFonts w:ascii="Arial" w:hAnsi="Arial" w:cs="Arial"/>
                <w:b/>
                <w:bCs/>
                <w:sz w:val="16"/>
                <w:szCs w:val="16"/>
              </w:rPr>
              <w:t>Total other movements</w:t>
            </w:r>
          </w:p>
        </w:tc>
        <w:tc>
          <w:tcPr>
            <w:tcW w:w="709" w:type="dxa"/>
            <w:tcBorders>
              <w:top w:val="single" w:sz="4" w:space="0" w:color="auto"/>
              <w:left w:val="nil"/>
              <w:bottom w:val="single" w:sz="4" w:space="0" w:color="auto"/>
              <w:right w:val="nil"/>
            </w:tcBorders>
            <w:shd w:val="clear" w:color="auto" w:fill="auto"/>
            <w:noWrap/>
            <w:vAlign w:val="bottom"/>
            <w:hideMark/>
          </w:tcPr>
          <w:p w14:paraId="308DABAE" w14:textId="48BAEECD"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w:t>
            </w:r>
          </w:p>
        </w:tc>
        <w:tc>
          <w:tcPr>
            <w:tcW w:w="866" w:type="dxa"/>
            <w:tcBorders>
              <w:top w:val="single" w:sz="4" w:space="0" w:color="auto"/>
              <w:left w:val="nil"/>
              <w:bottom w:val="single" w:sz="4" w:space="0" w:color="auto"/>
              <w:right w:val="nil"/>
            </w:tcBorders>
            <w:shd w:val="clear" w:color="auto" w:fill="auto"/>
            <w:noWrap/>
            <w:vAlign w:val="bottom"/>
            <w:hideMark/>
          </w:tcPr>
          <w:p w14:paraId="45FFF87E" w14:textId="77777777"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(2,567)</w:t>
            </w:r>
          </w:p>
        </w:tc>
        <w:tc>
          <w:tcPr>
            <w:tcW w:w="977" w:type="dxa"/>
            <w:tcBorders>
              <w:top w:val="single" w:sz="4" w:space="0" w:color="auto"/>
              <w:left w:val="nil"/>
              <w:bottom w:val="single" w:sz="4" w:space="0" w:color="auto"/>
              <w:right w:val="nil"/>
            </w:tcBorders>
            <w:shd w:val="clear" w:color="auto" w:fill="auto"/>
            <w:noWrap/>
            <w:vAlign w:val="bottom"/>
            <w:hideMark/>
          </w:tcPr>
          <w:p w14:paraId="07ECE227" w14:textId="77777777"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(1,286)</w:t>
            </w:r>
          </w:p>
        </w:tc>
        <w:tc>
          <w:tcPr>
            <w:tcW w:w="822" w:type="dxa"/>
            <w:tcBorders>
              <w:top w:val="single" w:sz="4" w:space="0" w:color="auto"/>
              <w:left w:val="nil"/>
              <w:bottom w:val="single" w:sz="4" w:space="0" w:color="auto"/>
              <w:right w:val="nil"/>
            </w:tcBorders>
            <w:shd w:val="clear" w:color="auto" w:fill="auto"/>
            <w:noWrap/>
            <w:vAlign w:val="bottom"/>
            <w:hideMark/>
          </w:tcPr>
          <w:p w14:paraId="25ACA69F" w14:textId="77777777"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(1,936)</w:t>
            </w:r>
          </w:p>
        </w:tc>
        <w:tc>
          <w:tcPr>
            <w:tcW w:w="985" w:type="dxa"/>
            <w:tcBorders>
              <w:top w:val="single" w:sz="4" w:space="0" w:color="auto"/>
              <w:left w:val="nil"/>
              <w:bottom w:val="single" w:sz="4" w:space="0" w:color="auto"/>
              <w:right w:val="nil"/>
            </w:tcBorders>
            <w:shd w:val="clear" w:color="auto" w:fill="auto"/>
            <w:noWrap/>
            <w:vAlign w:val="bottom"/>
            <w:hideMark/>
          </w:tcPr>
          <w:p w14:paraId="6B80DAEE" w14:textId="77777777"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(326)</w:t>
            </w:r>
          </w:p>
        </w:tc>
        <w:tc>
          <w:tcPr>
            <w:tcW w:w="814" w:type="dxa"/>
            <w:tcBorders>
              <w:top w:val="single" w:sz="4" w:space="0" w:color="auto"/>
              <w:left w:val="nil"/>
              <w:bottom w:val="single" w:sz="4" w:space="0" w:color="auto"/>
              <w:right w:val="nil"/>
            </w:tcBorders>
            <w:shd w:val="clear" w:color="auto" w:fill="auto"/>
            <w:noWrap/>
            <w:vAlign w:val="bottom"/>
            <w:hideMark/>
          </w:tcPr>
          <w:p w14:paraId="495BCD01" w14:textId="77777777"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(6,115)</w:t>
            </w:r>
          </w:p>
        </w:tc>
      </w:tr>
      <w:tr w:rsidR="000325FB" w:rsidRPr="000325FB" w14:paraId="23B79C70" w14:textId="77777777" w:rsidTr="00F82F1F">
        <w:trPr>
          <w:trHeight w:val="204"/>
        </w:trPr>
        <w:tc>
          <w:tcPr>
            <w:tcW w:w="2552" w:type="dxa"/>
            <w:tcBorders>
              <w:top w:val="nil"/>
              <w:left w:val="nil"/>
              <w:bottom w:val="nil"/>
              <w:right w:val="nil"/>
            </w:tcBorders>
            <w:shd w:val="clear" w:color="auto" w:fill="auto"/>
            <w:vAlign w:val="bottom"/>
            <w:hideMark/>
          </w:tcPr>
          <w:p w14:paraId="064893D1" w14:textId="77777777" w:rsidR="000325FB" w:rsidRPr="000325FB" w:rsidRDefault="000325FB" w:rsidP="000325FB">
            <w:pPr>
              <w:spacing w:after="0" w:line="240" w:lineRule="auto"/>
              <w:jc w:val="left"/>
              <w:rPr>
                <w:rFonts w:ascii="Arial" w:hAnsi="Arial" w:cs="Arial"/>
                <w:b/>
                <w:bCs/>
                <w:sz w:val="16"/>
                <w:szCs w:val="16"/>
              </w:rPr>
            </w:pPr>
            <w:r w:rsidRPr="000325FB">
              <w:rPr>
                <w:rFonts w:ascii="Arial" w:hAnsi="Arial" w:cs="Arial"/>
                <w:b/>
                <w:bCs/>
                <w:sz w:val="16"/>
                <w:szCs w:val="16"/>
              </w:rPr>
              <w:t>As at 30 June 2022</w:t>
            </w:r>
          </w:p>
        </w:tc>
        <w:tc>
          <w:tcPr>
            <w:tcW w:w="709" w:type="dxa"/>
            <w:tcBorders>
              <w:top w:val="nil"/>
              <w:left w:val="nil"/>
              <w:bottom w:val="nil"/>
              <w:right w:val="nil"/>
            </w:tcBorders>
            <w:shd w:val="clear" w:color="auto" w:fill="auto"/>
            <w:noWrap/>
            <w:vAlign w:val="bottom"/>
            <w:hideMark/>
          </w:tcPr>
          <w:p w14:paraId="295B7339" w14:textId="77777777" w:rsidR="000325FB" w:rsidRPr="000325FB" w:rsidRDefault="000325FB" w:rsidP="00507C35">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34601152" w14:textId="77777777" w:rsidR="000325FB" w:rsidRPr="000325FB" w:rsidRDefault="000325FB" w:rsidP="00507C35">
            <w:pPr>
              <w:spacing w:after="0" w:line="240" w:lineRule="auto"/>
              <w:jc w:val="right"/>
              <w:rPr>
                <w:rFonts w:ascii="Times New Roman" w:hAnsi="Times New Roman"/>
              </w:rPr>
            </w:pPr>
          </w:p>
        </w:tc>
        <w:tc>
          <w:tcPr>
            <w:tcW w:w="977" w:type="dxa"/>
            <w:tcBorders>
              <w:top w:val="nil"/>
              <w:left w:val="nil"/>
              <w:bottom w:val="nil"/>
              <w:right w:val="nil"/>
            </w:tcBorders>
            <w:shd w:val="clear" w:color="auto" w:fill="auto"/>
            <w:noWrap/>
            <w:vAlign w:val="bottom"/>
            <w:hideMark/>
          </w:tcPr>
          <w:p w14:paraId="648558CB" w14:textId="77777777" w:rsidR="000325FB" w:rsidRPr="000325FB" w:rsidRDefault="000325FB" w:rsidP="00507C35">
            <w:pPr>
              <w:spacing w:after="0" w:line="240" w:lineRule="auto"/>
              <w:jc w:val="right"/>
              <w:rPr>
                <w:rFonts w:ascii="Times New Roman" w:hAnsi="Times New Roman"/>
              </w:rPr>
            </w:pPr>
          </w:p>
        </w:tc>
        <w:tc>
          <w:tcPr>
            <w:tcW w:w="822" w:type="dxa"/>
            <w:tcBorders>
              <w:top w:val="nil"/>
              <w:left w:val="nil"/>
              <w:bottom w:val="nil"/>
              <w:right w:val="nil"/>
            </w:tcBorders>
            <w:shd w:val="clear" w:color="auto" w:fill="auto"/>
            <w:noWrap/>
            <w:vAlign w:val="bottom"/>
            <w:hideMark/>
          </w:tcPr>
          <w:p w14:paraId="6AAC5410" w14:textId="77777777" w:rsidR="000325FB" w:rsidRPr="000325FB" w:rsidRDefault="000325FB" w:rsidP="00507C35">
            <w:pPr>
              <w:spacing w:after="0" w:line="240" w:lineRule="auto"/>
              <w:jc w:val="right"/>
              <w:rPr>
                <w:rFonts w:ascii="Times New Roman" w:hAnsi="Times New Roman"/>
              </w:rPr>
            </w:pPr>
          </w:p>
        </w:tc>
        <w:tc>
          <w:tcPr>
            <w:tcW w:w="985" w:type="dxa"/>
            <w:tcBorders>
              <w:top w:val="nil"/>
              <w:left w:val="nil"/>
              <w:bottom w:val="nil"/>
              <w:right w:val="nil"/>
            </w:tcBorders>
            <w:shd w:val="clear" w:color="auto" w:fill="auto"/>
            <w:noWrap/>
            <w:vAlign w:val="bottom"/>
            <w:hideMark/>
          </w:tcPr>
          <w:p w14:paraId="7021CE5D" w14:textId="77777777" w:rsidR="000325FB" w:rsidRPr="000325FB" w:rsidRDefault="000325FB" w:rsidP="00507C35">
            <w:pPr>
              <w:spacing w:after="0" w:line="240" w:lineRule="auto"/>
              <w:jc w:val="right"/>
              <w:rPr>
                <w:rFonts w:ascii="Times New Roman" w:hAnsi="Times New Roman"/>
              </w:rPr>
            </w:pPr>
          </w:p>
        </w:tc>
        <w:tc>
          <w:tcPr>
            <w:tcW w:w="814" w:type="dxa"/>
            <w:tcBorders>
              <w:top w:val="nil"/>
              <w:left w:val="nil"/>
              <w:bottom w:val="nil"/>
              <w:right w:val="nil"/>
            </w:tcBorders>
            <w:shd w:val="clear" w:color="auto" w:fill="auto"/>
            <w:noWrap/>
            <w:vAlign w:val="bottom"/>
            <w:hideMark/>
          </w:tcPr>
          <w:p w14:paraId="5BF6BCD8" w14:textId="77777777" w:rsidR="000325FB" w:rsidRPr="000325FB" w:rsidRDefault="000325FB" w:rsidP="00507C35">
            <w:pPr>
              <w:spacing w:after="0" w:line="240" w:lineRule="auto"/>
              <w:jc w:val="right"/>
              <w:rPr>
                <w:rFonts w:ascii="Times New Roman" w:hAnsi="Times New Roman"/>
              </w:rPr>
            </w:pPr>
          </w:p>
        </w:tc>
      </w:tr>
      <w:tr w:rsidR="000325FB" w:rsidRPr="000325FB" w14:paraId="7167AD02" w14:textId="77777777" w:rsidTr="00F82F1F">
        <w:trPr>
          <w:trHeight w:val="204"/>
        </w:trPr>
        <w:tc>
          <w:tcPr>
            <w:tcW w:w="2552" w:type="dxa"/>
            <w:tcBorders>
              <w:top w:val="nil"/>
              <w:left w:val="nil"/>
              <w:bottom w:val="nil"/>
              <w:right w:val="nil"/>
            </w:tcBorders>
            <w:shd w:val="clear" w:color="auto" w:fill="auto"/>
            <w:vAlign w:val="center"/>
            <w:hideMark/>
          </w:tcPr>
          <w:p w14:paraId="55F932BA" w14:textId="77777777"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Gross book value</w:t>
            </w:r>
          </w:p>
        </w:tc>
        <w:tc>
          <w:tcPr>
            <w:tcW w:w="709" w:type="dxa"/>
            <w:tcBorders>
              <w:top w:val="nil"/>
              <w:left w:val="nil"/>
              <w:bottom w:val="nil"/>
              <w:right w:val="nil"/>
            </w:tcBorders>
            <w:shd w:val="clear" w:color="auto" w:fill="auto"/>
            <w:noWrap/>
            <w:vAlign w:val="bottom"/>
            <w:hideMark/>
          </w:tcPr>
          <w:p w14:paraId="541BF2B2" w14:textId="4668193F"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7,375</w:t>
            </w:r>
          </w:p>
        </w:tc>
        <w:tc>
          <w:tcPr>
            <w:tcW w:w="866" w:type="dxa"/>
            <w:tcBorders>
              <w:top w:val="nil"/>
              <w:left w:val="nil"/>
              <w:bottom w:val="nil"/>
              <w:right w:val="nil"/>
            </w:tcBorders>
            <w:shd w:val="clear" w:color="auto" w:fill="auto"/>
            <w:noWrap/>
            <w:vAlign w:val="bottom"/>
            <w:hideMark/>
          </w:tcPr>
          <w:p w14:paraId="4F3A6A6F" w14:textId="229D5982"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45,989</w:t>
            </w:r>
          </w:p>
        </w:tc>
        <w:tc>
          <w:tcPr>
            <w:tcW w:w="977" w:type="dxa"/>
            <w:tcBorders>
              <w:top w:val="nil"/>
              <w:left w:val="nil"/>
              <w:bottom w:val="nil"/>
              <w:right w:val="nil"/>
            </w:tcBorders>
            <w:shd w:val="clear" w:color="auto" w:fill="auto"/>
            <w:noWrap/>
            <w:vAlign w:val="bottom"/>
            <w:hideMark/>
          </w:tcPr>
          <w:p w14:paraId="0F120104" w14:textId="097F9EFB"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12,485</w:t>
            </w:r>
          </w:p>
        </w:tc>
        <w:tc>
          <w:tcPr>
            <w:tcW w:w="822" w:type="dxa"/>
            <w:tcBorders>
              <w:top w:val="nil"/>
              <w:left w:val="nil"/>
              <w:bottom w:val="nil"/>
              <w:right w:val="nil"/>
            </w:tcBorders>
            <w:shd w:val="clear" w:color="auto" w:fill="auto"/>
            <w:noWrap/>
            <w:vAlign w:val="bottom"/>
            <w:hideMark/>
          </w:tcPr>
          <w:p w14:paraId="40BD9E04" w14:textId="0002B2FE"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317,777</w:t>
            </w:r>
          </w:p>
        </w:tc>
        <w:tc>
          <w:tcPr>
            <w:tcW w:w="985" w:type="dxa"/>
            <w:tcBorders>
              <w:top w:val="nil"/>
              <w:left w:val="nil"/>
              <w:bottom w:val="nil"/>
              <w:right w:val="nil"/>
            </w:tcBorders>
            <w:shd w:val="clear" w:color="auto" w:fill="auto"/>
            <w:noWrap/>
            <w:vAlign w:val="bottom"/>
            <w:hideMark/>
          </w:tcPr>
          <w:p w14:paraId="4563D5B2" w14:textId="02996968"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5,441</w:t>
            </w:r>
          </w:p>
        </w:tc>
        <w:tc>
          <w:tcPr>
            <w:tcW w:w="814" w:type="dxa"/>
            <w:tcBorders>
              <w:top w:val="nil"/>
              <w:left w:val="nil"/>
              <w:bottom w:val="nil"/>
              <w:right w:val="nil"/>
            </w:tcBorders>
            <w:shd w:val="clear" w:color="auto" w:fill="auto"/>
            <w:noWrap/>
            <w:vAlign w:val="bottom"/>
            <w:hideMark/>
          </w:tcPr>
          <w:p w14:paraId="2209EA21" w14:textId="526D77EC"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389,067</w:t>
            </w:r>
          </w:p>
        </w:tc>
      </w:tr>
      <w:tr w:rsidR="000325FB" w:rsidRPr="000325FB" w14:paraId="61C3CB2C" w14:textId="77777777" w:rsidTr="00F82F1F">
        <w:trPr>
          <w:trHeight w:val="204"/>
        </w:trPr>
        <w:tc>
          <w:tcPr>
            <w:tcW w:w="2552" w:type="dxa"/>
            <w:tcBorders>
              <w:top w:val="nil"/>
              <w:left w:val="nil"/>
              <w:bottom w:val="nil"/>
              <w:right w:val="nil"/>
            </w:tcBorders>
            <w:shd w:val="clear" w:color="auto" w:fill="auto"/>
            <w:vAlign w:val="center"/>
            <w:hideMark/>
          </w:tcPr>
          <w:p w14:paraId="31650855" w14:textId="77777777"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Gross book value - ROU assets</w:t>
            </w:r>
          </w:p>
        </w:tc>
        <w:tc>
          <w:tcPr>
            <w:tcW w:w="709" w:type="dxa"/>
            <w:tcBorders>
              <w:top w:val="nil"/>
              <w:left w:val="nil"/>
              <w:bottom w:val="nil"/>
              <w:right w:val="nil"/>
            </w:tcBorders>
            <w:shd w:val="clear" w:color="auto" w:fill="auto"/>
            <w:noWrap/>
            <w:vAlign w:val="bottom"/>
            <w:hideMark/>
          </w:tcPr>
          <w:p w14:paraId="0BFD8038" w14:textId="4C9E88CD"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172CA7EF" w14:textId="78F2FFB4"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6,046</w:t>
            </w:r>
          </w:p>
        </w:tc>
        <w:tc>
          <w:tcPr>
            <w:tcW w:w="977" w:type="dxa"/>
            <w:tcBorders>
              <w:top w:val="nil"/>
              <w:left w:val="nil"/>
              <w:bottom w:val="nil"/>
              <w:right w:val="nil"/>
            </w:tcBorders>
            <w:shd w:val="clear" w:color="auto" w:fill="auto"/>
            <w:noWrap/>
            <w:vAlign w:val="bottom"/>
            <w:hideMark/>
          </w:tcPr>
          <w:p w14:paraId="27332928" w14:textId="1D48976D"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74</w:t>
            </w:r>
          </w:p>
        </w:tc>
        <w:tc>
          <w:tcPr>
            <w:tcW w:w="822" w:type="dxa"/>
            <w:tcBorders>
              <w:top w:val="nil"/>
              <w:left w:val="nil"/>
              <w:bottom w:val="nil"/>
              <w:right w:val="nil"/>
            </w:tcBorders>
            <w:shd w:val="clear" w:color="auto" w:fill="auto"/>
            <w:noWrap/>
            <w:vAlign w:val="bottom"/>
            <w:hideMark/>
          </w:tcPr>
          <w:p w14:paraId="70BEB93F" w14:textId="04E5EDF8"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985" w:type="dxa"/>
            <w:tcBorders>
              <w:top w:val="nil"/>
              <w:left w:val="nil"/>
              <w:bottom w:val="nil"/>
              <w:right w:val="nil"/>
            </w:tcBorders>
            <w:shd w:val="clear" w:color="auto" w:fill="auto"/>
            <w:noWrap/>
            <w:vAlign w:val="bottom"/>
            <w:hideMark/>
          </w:tcPr>
          <w:p w14:paraId="5FD59E4B" w14:textId="03E6ED82"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14" w:type="dxa"/>
            <w:tcBorders>
              <w:top w:val="nil"/>
              <w:left w:val="nil"/>
              <w:bottom w:val="nil"/>
              <w:right w:val="nil"/>
            </w:tcBorders>
            <w:shd w:val="clear" w:color="auto" w:fill="auto"/>
            <w:noWrap/>
            <w:vAlign w:val="bottom"/>
            <w:hideMark/>
          </w:tcPr>
          <w:p w14:paraId="21269F8E" w14:textId="4D32405C"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6,120</w:t>
            </w:r>
          </w:p>
        </w:tc>
      </w:tr>
      <w:tr w:rsidR="000325FB" w:rsidRPr="000325FB" w14:paraId="3D93E31B" w14:textId="77777777" w:rsidTr="00F82F1F">
        <w:trPr>
          <w:trHeight w:val="204"/>
        </w:trPr>
        <w:tc>
          <w:tcPr>
            <w:tcW w:w="2552" w:type="dxa"/>
            <w:tcBorders>
              <w:top w:val="nil"/>
              <w:left w:val="nil"/>
              <w:bottom w:val="nil"/>
              <w:right w:val="nil"/>
            </w:tcBorders>
            <w:shd w:val="clear" w:color="auto" w:fill="auto"/>
            <w:vAlign w:val="center"/>
            <w:hideMark/>
          </w:tcPr>
          <w:p w14:paraId="2F5646DB" w14:textId="69E7717A"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Accumulated depreciation/</w:t>
            </w:r>
            <w:r w:rsidR="00D5303D">
              <w:rPr>
                <w:rFonts w:ascii="Arial" w:hAnsi="Arial" w:cs="Arial"/>
                <w:sz w:val="16"/>
                <w:szCs w:val="16"/>
              </w:rPr>
              <w:t xml:space="preserve"> </w:t>
            </w:r>
            <w:r w:rsidRPr="000325FB">
              <w:rPr>
                <w:rFonts w:ascii="Arial" w:hAnsi="Arial" w:cs="Arial"/>
                <w:sz w:val="16"/>
                <w:szCs w:val="16"/>
              </w:rPr>
              <w:t>amortisation and impairment</w:t>
            </w:r>
          </w:p>
        </w:tc>
        <w:tc>
          <w:tcPr>
            <w:tcW w:w="709" w:type="dxa"/>
            <w:tcBorders>
              <w:top w:val="nil"/>
              <w:left w:val="nil"/>
              <w:bottom w:val="nil"/>
              <w:right w:val="nil"/>
            </w:tcBorders>
            <w:shd w:val="clear" w:color="auto" w:fill="auto"/>
            <w:noWrap/>
            <w:vAlign w:val="bottom"/>
            <w:hideMark/>
          </w:tcPr>
          <w:p w14:paraId="1BE8FA4E" w14:textId="1BDBE2BD"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53D74565"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(5,010)</w:t>
            </w:r>
          </w:p>
        </w:tc>
        <w:tc>
          <w:tcPr>
            <w:tcW w:w="977" w:type="dxa"/>
            <w:tcBorders>
              <w:top w:val="nil"/>
              <w:left w:val="nil"/>
              <w:bottom w:val="nil"/>
              <w:right w:val="nil"/>
            </w:tcBorders>
            <w:shd w:val="clear" w:color="auto" w:fill="auto"/>
            <w:noWrap/>
            <w:vAlign w:val="bottom"/>
            <w:hideMark/>
          </w:tcPr>
          <w:p w14:paraId="048E2357"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(3,951)</w:t>
            </w:r>
          </w:p>
        </w:tc>
        <w:tc>
          <w:tcPr>
            <w:tcW w:w="822" w:type="dxa"/>
            <w:tcBorders>
              <w:top w:val="nil"/>
              <w:left w:val="nil"/>
              <w:bottom w:val="nil"/>
              <w:right w:val="nil"/>
            </w:tcBorders>
            <w:shd w:val="clear" w:color="auto" w:fill="auto"/>
            <w:noWrap/>
            <w:vAlign w:val="bottom"/>
            <w:hideMark/>
          </w:tcPr>
          <w:p w14:paraId="5BEE6671"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(5,819)</w:t>
            </w:r>
          </w:p>
        </w:tc>
        <w:tc>
          <w:tcPr>
            <w:tcW w:w="985" w:type="dxa"/>
            <w:tcBorders>
              <w:top w:val="nil"/>
              <w:left w:val="nil"/>
              <w:bottom w:val="nil"/>
              <w:right w:val="nil"/>
            </w:tcBorders>
            <w:shd w:val="clear" w:color="auto" w:fill="auto"/>
            <w:noWrap/>
            <w:vAlign w:val="bottom"/>
            <w:hideMark/>
          </w:tcPr>
          <w:p w14:paraId="63DCF2D6"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(5,172)</w:t>
            </w:r>
          </w:p>
        </w:tc>
        <w:tc>
          <w:tcPr>
            <w:tcW w:w="814" w:type="dxa"/>
            <w:tcBorders>
              <w:top w:val="nil"/>
              <w:left w:val="nil"/>
              <w:bottom w:val="nil"/>
              <w:right w:val="nil"/>
            </w:tcBorders>
            <w:shd w:val="clear" w:color="auto" w:fill="auto"/>
            <w:noWrap/>
            <w:vAlign w:val="bottom"/>
            <w:hideMark/>
          </w:tcPr>
          <w:p w14:paraId="2E5CEA43"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(19,952)</w:t>
            </w:r>
          </w:p>
        </w:tc>
      </w:tr>
      <w:tr w:rsidR="000325FB" w:rsidRPr="000325FB" w14:paraId="29FB2A0D" w14:textId="77777777" w:rsidTr="00F82F1F">
        <w:trPr>
          <w:trHeight w:val="204"/>
        </w:trPr>
        <w:tc>
          <w:tcPr>
            <w:tcW w:w="2552" w:type="dxa"/>
            <w:tcBorders>
              <w:top w:val="nil"/>
              <w:left w:val="nil"/>
              <w:bottom w:val="nil"/>
              <w:right w:val="nil"/>
            </w:tcBorders>
            <w:shd w:val="clear" w:color="auto" w:fill="auto"/>
            <w:vAlign w:val="center"/>
            <w:hideMark/>
          </w:tcPr>
          <w:p w14:paraId="6D7C69AF" w14:textId="3367977A" w:rsidR="000325FB" w:rsidRPr="000325FB" w:rsidRDefault="000325FB" w:rsidP="00D5303D">
            <w:pPr>
              <w:spacing w:after="0" w:line="240" w:lineRule="auto"/>
              <w:ind w:left="113"/>
              <w:jc w:val="left"/>
              <w:rPr>
                <w:rFonts w:ascii="Arial" w:hAnsi="Arial" w:cs="Arial"/>
                <w:sz w:val="16"/>
                <w:szCs w:val="16"/>
              </w:rPr>
            </w:pPr>
            <w:r w:rsidRPr="000325FB">
              <w:rPr>
                <w:rFonts w:ascii="Arial" w:hAnsi="Arial" w:cs="Arial"/>
                <w:sz w:val="16"/>
                <w:szCs w:val="16"/>
              </w:rPr>
              <w:t>Accumulated depreciation/</w:t>
            </w:r>
            <w:r w:rsidR="00D5303D">
              <w:rPr>
                <w:rFonts w:ascii="Arial" w:hAnsi="Arial" w:cs="Arial"/>
                <w:sz w:val="16"/>
                <w:szCs w:val="16"/>
              </w:rPr>
              <w:t xml:space="preserve"> </w:t>
            </w:r>
            <w:r w:rsidRPr="000325FB">
              <w:rPr>
                <w:rFonts w:ascii="Arial" w:hAnsi="Arial" w:cs="Arial"/>
                <w:sz w:val="16"/>
                <w:szCs w:val="16"/>
              </w:rPr>
              <w:t>amortisation and impairment - ROU assets</w:t>
            </w:r>
          </w:p>
        </w:tc>
        <w:tc>
          <w:tcPr>
            <w:tcW w:w="709" w:type="dxa"/>
            <w:tcBorders>
              <w:top w:val="nil"/>
              <w:left w:val="nil"/>
              <w:bottom w:val="nil"/>
              <w:right w:val="nil"/>
            </w:tcBorders>
            <w:shd w:val="clear" w:color="auto" w:fill="auto"/>
            <w:noWrap/>
            <w:vAlign w:val="bottom"/>
            <w:hideMark/>
          </w:tcPr>
          <w:p w14:paraId="58EF4779" w14:textId="5D9633EA"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6E95D22F"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(2,175)</w:t>
            </w:r>
          </w:p>
        </w:tc>
        <w:tc>
          <w:tcPr>
            <w:tcW w:w="977" w:type="dxa"/>
            <w:tcBorders>
              <w:top w:val="nil"/>
              <w:left w:val="nil"/>
              <w:bottom w:val="nil"/>
              <w:right w:val="nil"/>
            </w:tcBorders>
            <w:shd w:val="clear" w:color="auto" w:fill="auto"/>
            <w:noWrap/>
            <w:vAlign w:val="bottom"/>
            <w:hideMark/>
          </w:tcPr>
          <w:p w14:paraId="04AD3E21"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(14)</w:t>
            </w:r>
          </w:p>
        </w:tc>
        <w:tc>
          <w:tcPr>
            <w:tcW w:w="822" w:type="dxa"/>
            <w:tcBorders>
              <w:top w:val="nil"/>
              <w:left w:val="nil"/>
              <w:bottom w:val="nil"/>
              <w:right w:val="nil"/>
            </w:tcBorders>
            <w:shd w:val="clear" w:color="auto" w:fill="auto"/>
            <w:noWrap/>
            <w:vAlign w:val="bottom"/>
            <w:hideMark/>
          </w:tcPr>
          <w:p w14:paraId="05351E95" w14:textId="66528E3E"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985" w:type="dxa"/>
            <w:tcBorders>
              <w:top w:val="nil"/>
              <w:left w:val="nil"/>
              <w:bottom w:val="nil"/>
              <w:right w:val="nil"/>
            </w:tcBorders>
            <w:shd w:val="clear" w:color="auto" w:fill="auto"/>
            <w:noWrap/>
            <w:vAlign w:val="bottom"/>
            <w:hideMark/>
          </w:tcPr>
          <w:p w14:paraId="61E2DC25" w14:textId="0827D27E"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w:t>
            </w:r>
          </w:p>
        </w:tc>
        <w:tc>
          <w:tcPr>
            <w:tcW w:w="814" w:type="dxa"/>
            <w:tcBorders>
              <w:top w:val="nil"/>
              <w:left w:val="nil"/>
              <w:bottom w:val="nil"/>
              <w:right w:val="nil"/>
            </w:tcBorders>
            <w:shd w:val="clear" w:color="auto" w:fill="auto"/>
            <w:noWrap/>
            <w:vAlign w:val="bottom"/>
            <w:hideMark/>
          </w:tcPr>
          <w:p w14:paraId="5724631D" w14:textId="77777777" w:rsidR="000325FB" w:rsidRPr="000325FB" w:rsidRDefault="000325FB" w:rsidP="00507C35">
            <w:pPr>
              <w:spacing w:after="0" w:line="240" w:lineRule="auto"/>
              <w:jc w:val="right"/>
              <w:rPr>
                <w:rFonts w:ascii="Arial" w:hAnsi="Arial" w:cs="Arial"/>
                <w:sz w:val="16"/>
                <w:szCs w:val="16"/>
              </w:rPr>
            </w:pPr>
            <w:r w:rsidRPr="000325FB">
              <w:rPr>
                <w:rFonts w:ascii="Arial" w:hAnsi="Arial" w:cs="Arial"/>
                <w:sz w:val="16"/>
                <w:szCs w:val="16"/>
              </w:rPr>
              <w:t>(2,189)</w:t>
            </w:r>
          </w:p>
        </w:tc>
      </w:tr>
      <w:tr w:rsidR="000325FB" w:rsidRPr="000325FB" w14:paraId="1D8CDDFB" w14:textId="77777777" w:rsidTr="00F82F1F">
        <w:trPr>
          <w:trHeight w:val="204"/>
        </w:trPr>
        <w:tc>
          <w:tcPr>
            <w:tcW w:w="2552" w:type="dxa"/>
            <w:tcBorders>
              <w:top w:val="nil"/>
              <w:left w:val="nil"/>
              <w:bottom w:val="single" w:sz="4" w:space="0" w:color="auto"/>
              <w:right w:val="nil"/>
            </w:tcBorders>
            <w:shd w:val="clear" w:color="auto" w:fill="auto"/>
            <w:noWrap/>
            <w:vAlign w:val="bottom"/>
            <w:hideMark/>
          </w:tcPr>
          <w:p w14:paraId="2388F863" w14:textId="77777777" w:rsidR="000325FB" w:rsidRPr="000325FB" w:rsidRDefault="000325FB" w:rsidP="000325FB">
            <w:pPr>
              <w:spacing w:after="0" w:line="240" w:lineRule="auto"/>
              <w:jc w:val="left"/>
              <w:rPr>
                <w:rFonts w:ascii="Arial" w:hAnsi="Arial" w:cs="Arial"/>
                <w:b/>
                <w:bCs/>
                <w:sz w:val="16"/>
                <w:szCs w:val="16"/>
              </w:rPr>
            </w:pPr>
            <w:r w:rsidRPr="000325FB">
              <w:rPr>
                <w:rFonts w:ascii="Arial" w:hAnsi="Arial" w:cs="Arial"/>
                <w:b/>
                <w:bCs/>
                <w:sz w:val="16"/>
                <w:szCs w:val="16"/>
              </w:rPr>
              <w:t>Closing net book balance</w:t>
            </w:r>
          </w:p>
        </w:tc>
        <w:tc>
          <w:tcPr>
            <w:tcW w:w="709" w:type="dxa"/>
            <w:tcBorders>
              <w:top w:val="single" w:sz="4" w:space="0" w:color="auto"/>
              <w:left w:val="nil"/>
              <w:bottom w:val="single" w:sz="4" w:space="0" w:color="auto"/>
              <w:right w:val="nil"/>
            </w:tcBorders>
            <w:shd w:val="clear" w:color="auto" w:fill="auto"/>
            <w:noWrap/>
            <w:vAlign w:val="bottom"/>
            <w:hideMark/>
          </w:tcPr>
          <w:p w14:paraId="58ADA243" w14:textId="7AC2E9D0"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7,375</w:t>
            </w:r>
          </w:p>
        </w:tc>
        <w:tc>
          <w:tcPr>
            <w:tcW w:w="866" w:type="dxa"/>
            <w:tcBorders>
              <w:top w:val="single" w:sz="4" w:space="0" w:color="auto"/>
              <w:left w:val="nil"/>
              <w:bottom w:val="single" w:sz="4" w:space="0" w:color="auto"/>
              <w:right w:val="nil"/>
            </w:tcBorders>
            <w:shd w:val="clear" w:color="auto" w:fill="auto"/>
            <w:noWrap/>
            <w:vAlign w:val="bottom"/>
            <w:hideMark/>
          </w:tcPr>
          <w:p w14:paraId="1836DC4E" w14:textId="2290B9B0"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44,850</w:t>
            </w:r>
          </w:p>
        </w:tc>
        <w:tc>
          <w:tcPr>
            <w:tcW w:w="977" w:type="dxa"/>
            <w:tcBorders>
              <w:top w:val="single" w:sz="4" w:space="0" w:color="auto"/>
              <w:left w:val="nil"/>
              <w:bottom w:val="single" w:sz="4" w:space="0" w:color="auto"/>
              <w:right w:val="nil"/>
            </w:tcBorders>
            <w:shd w:val="clear" w:color="auto" w:fill="auto"/>
            <w:noWrap/>
            <w:vAlign w:val="bottom"/>
            <w:hideMark/>
          </w:tcPr>
          <w:p w14:paraId="0BAE4866" w14:textId="253068C9"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8,594</w:t>
            </w:r>
          </w:p>
        </w:tc>
        <w:tc>
          <w:tcPr>
            <w:tcW w:w="822" w:type="dxa"/>
            <w:tcBorders>
              <w:top w:val="single" w:sz="4" w:space="0" w:color="auto"/>
              <w:left w:val="nil"/>
              <w:bottom w:val="single" w:sz="4" w:space="0" w:color="auto"/>
              <w:right w:val="nil"/>
            </w:tcBorders>
            <w:shd w:val="clear" w:color="auto" w:fill="auto"/>
            <w:noWrap/>
            <w:vAlign w:val="bottom"/>
            <w:hideMark/>
          </w:tcPr>
          <w:p w14:paraId="381C1D0A" w14:textId="4D30A44F"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311,958</w:t>
            </w:r>
          </w:p>
        </w:tc>
        <w:tc>
          <w:tcPr>
            <w:tcW w:w="985" w:type="dxa"/>
            <w:tcBorders>
              <w:top w:val="single" w:sz="4" w:space="0" w:color="auto"/>
              <w:left w:val="nil"/>
              <w:bottom w:val="single" w:sz="4" w:space="0" w:color="auto"/>
              <w:right w:val="nil"/>
            </w:tcBorders>
            <w:shd w:val="clear" w:color="auto" w:fill="auto"/>
            <w:noWrap/>
            <w:vAlign w:val="bottom"/>
            <w:hideMark/>
          </w:tcPr>
          <w:p w14:paraId="2992D403" w14:textId="5E1C5ADE"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269</w:t>
            </w:r>
          </w:p>
        </w:tc>
        <w:tc>
          <w:tcPr>
            <w:tcW w:w="814" w:type="dxa"/>
            <w:tcBorders>
              <w:top w:val="single" w:sz="4" w:space="0" w:color="auto"/>
              <w:left w:val="nil"/>
              <w:bottom w:val="single" w:sz="4" w:space="0" w:color="auto"/>
              <w:right w:val="nil"/>
            </w:tcBorders>
            <w:shd w:val="clear" w:color="auto" w:fill="auto"/>
            <w:noWrap/>
            <w:vAlign w:val="bottom"/>
            <w:hideMark/>
          </w:tcPr>
          <w:p w14:paraId="00DC4698" w14:textId="00D6CD45" w:rsidR="000325FB" w:rsidRPr="000325FB" w:rsidRDefault="000325FB" w:rsidP="00507C35">
            <w:pPr>
              <w:spacing w:after="0" w:line="240" w:lineRule="auto"/>
              <w:jc w:val="right"/>
              <w:rPr>
                <w:rFonts w:ascii="Arial" w:hAnsi="Arial" w:cs="Arial"/>
                <w:b/>
                <w:bCs/>
                <w:sz w:val="16"/>
                <w:szCs w:val="16"/>
              </w:rPr>
            </w:pPr>
            <w:r w:rsidRPr="000325FB">
              <w:rPr>
                <w:rFonts w:ascii="Arial" w:hAnsi="Arial" w:cs="Arial"/>
                <w:b/>
                <w:bCs/>
                <w:sz w:val="16"/>
                <w:szCs w:val="16"/>
              </w:rPr>
              <w:t>373,046</w:t>
            </w:r>
          </w:p>
        </w:tc>
      </w:tr>
    </w:tbl>
    <w:p w14:paraId="103F6C4A" w14:textId="584FB616" w:rsidR="004806FA" w:rsidRDefault="004806FA" w:rsidP="004806FA">
      <w:pPr>
        <w:spacing w:after="0"/>
        <w:ind w:left="284" w:hanging="284"/>
        <w:rPr>
          <w:rFonts w:ascii="Arial" w:hAnsi="Arial" w:cs="Arial"/>
          <w:sz w:val="16"/>
          <w:szCs w:val="16"/>
        </w:rPr>
      </w:pPr>
    </w:p>
    <w:tbl>
      <w:tblPr>
        <w:tblW w:w="0" w:type="auto"/>
        <w:tblLayout w:type="fixed"/>
        <w:tblLook w:val="04A0" w:firstRow="1" w:lastRow="0" w:firstColumn="1" w:lastColumn="0" w:noHBand="0" w:noVBand="1"/>
      </w:tblPr>
      <w:tblGrid>
        <w:gridCol w:w="5954"/>
        <w:gridCol w:w="236"/>
        <w:gridCol w:w="236"/>
        <w:gridCol w:w="406"/>
        <w:gridCol w:w="917"/>
      </w:tblGrid>
      <w:tr w:rsidR="004806FA" w:rsidRPr="004806FA" w14:paraId="541BB5FE" w14:textId="77777777" w:rsidTr="00F82F1F">
        <w:trPr>
          <w:trHeight w:val="218"/>
        </w:trPr>
        <w:tc>
          <w:tcPr>
            <w:tcW w:w="6804" w:type="dxa"/>
            <w:gridSpan w:val="4"/>
            <w:tcBorders>
              <w:top w:val="single" w:sz="4" w:space="0" w:color="auto"/>
              <w:left w:val="nil"/>
              <w:bottom w:val="nil"/>
              <w:right w:val="nil"/>
            </w:tcBorders>
            <w:shd w:val="clear" w:color="auto" w:fill="auto"/>
            <w:noWrap/>
            <w:vAlign w:val="bottom"/>
            <w:hideMark/>
          </w:tcPr>
          <w:p w14:paraId="1FDC7956" w14:textId="77777777" w:rsidR="004806FA" w:rsidRPr="004806FA" w:rsidRDefault="004806FA" w:rsidP="004806FA">
            <w:pPr>
              <w:spacing w:after="0" w:line="240" w:lineRule="auto"/>
              <w:jc w:val="left"/>
              <w:rPr>
                <w:rFonts w:ascii="Arial" w:hAnsi="Arial" w:cs="Arial"/>
                <w:b/>
                <w:bCs/>
                <w:sz w:val="16"/>
                <w:szCs w:val="16"/>
              </w:rPr>
            </w:pPr>
            <w:r w:rsidRPr="004806FA">
              <w:rPr>
                <w:rFonts w:ascii="Arial" w:hAnsi="Arial" w:cs="Arial"/>
                <w:b/>
                <w:bCs/>
                <w:sz w:val="16"/>
                <w:szCs w:val="16"/>
              </w:rPr>
              <w:t>Estimated operating expenditure in income statement for heritage and cultural assets</w:t>
            </w:r>
          </w:p>
        </w:tc>
        <w:tc>
          <w:tcPr>
            <w:tcW w:w="917" w:type="dxa"/>
            <w:tcBorders>
              <w:top w:val="single" w:sz="4" w:space="0" w:color="auto"/>
              <w:left w:val="nil"/>
              <w:bottom w:val="single" w:sz="4" w:space="0" w:color="auto"/>
              <w:right w:val="nil"/>
            </w:tcBorders>
            <w:shd w:val="clear" w:color="auto" w:fill="auto"/>
            <w:noWrap/>
            <w:vAlign w:val="bottom"/>
            <w:hideMark/>
          </w:tcPr>
          <w:p w14:paraId="6827A617" w14:textId="3A9CB6AE" w:rsidR="004806FA" w:rsidRPr="004806FA" w:rsidRDefault="004806FA" w:rsidP="004806FA">
            <w:pPr>
              <w:spacing w:after="0" w:line="240" w:lineRule="auto"/>
              <w:jc w:val="right"/>
              <w:rPr>
                <w:rFonts w:ascii="Arial" w:hAnsi="Arial" w:cs="Arial"/>
                <w:b/>
                <w:bCs/>
                <w:sz w:val="16"/>
                <w:szCs w:val="16"/>
              </w:rPr>
            </w:pPr>
            <w:r>
              <w:rPr>
                <w:rFonts w:ascii="Arial" w:hAnsi="Arial" w:cs="Arial"/>
                <w:b/>
                <w:bCs/>
                <w:sz w:val="16"/>
                <w:szCs w:val="16"/>
              </w:rPr>
              <w:t>$’000</w:t>
            </w:r>
          </w:p>
        </w:tc>
      </w:tr>
      <w:tr w:rsidR="004806FA" w:rsidRPr="004806FA" w14:paraId="1583F4DE" w14:textId="77777777" w:rsidTr="00F82F1F">
        <w:trPr>
          <w:trHeight w:val="218"/>
        </w:trPr>
        <w:tc>
          <w:tcPr>
            <w:tcW w:w="5954" w:type="dxa"/>
            <w:tcBorders>
              <w:top w:val="nil"/>
              <w:left w:val="nil"/>
              <w:bottom w:val="nil"/>
              <w:right w:val="nil"/>
            </w:tcBorders>
            <w:shd w:val="clear" w:color="auto" w:fill="auto"/>
            <w:noWrap/>
            <w:vAlign w:val="bottom"/>
            <w:hideMark/>
          </w:tcPr>
          <w:p w14:paraId="4621B1DB" w14:textId="77777777" w:rsidR="004806FA" w:rsidRPr="004806FA" w:rsidRDefault="004806FA" w:rsidP="004806FA">
            <w:pPr>
              <w:spacing w:after="0" w:line="240" w:lineRule="auto"/>
              <w:ind w:firstLineChars="100" w:firstLine="160"/>
              <w:jc w:val="left"/>
              <w:rPr>
                <w:rFonts w:ascii="Arial" w:hAnsi="Arial" w:cs="Arial"/>
                <w:sz w:val="16"/>
                <w:szCs w:val="16"/>
              </w:rPr>
            </w:pPr>
            <w:r w:rsidRPr="004806FA">
              <w:rPr>
                <w:rFonts w:ascii="Arial" w:hAnsi="Arial" w:cs="Arial"/>
                <w:sz w:val="16"/>
                <w:szCs w:val="16"/>
              </w:rPr>
              <w:t>Operations and Maintenance</w:t>
            </w:r>
          </w:p>
        </w:tc>
        <w:tc>
          <w:tcPr>
            <w:tcW w:w="222" w:type="dxa"/>
            <w:tcBorders>
              <w:top w:val="nil"/>
              <w:left w:val="nil"/>
              <w:bottom w:val="nil"/>
              <w:right w:val="nil"/>
            </w:tcBorders>
            <w:shd w:val="clear" w:color="auto" w:fill="auto"/>
            <w:noWrap/>
            <w:vAlign w:val="bottom"/>
            <w:hideMark/>
          </w:tcPr>
          <w:p w14:paraId="15B0FD92" w14:textId="77777777" w:rsidR="004806FA" w:rsidRPr="004806FA" w:rsidRDefault="004806FA" w:rsidP="004806FA">
            <w:pPr>
              <w:spacing w:after="0" w:line="240" w:lineRule="auto"/>
              <w:ind w:firstLineChars="100" w:firstLine="160"/>
              <w:jc w:val="left"/>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14:paraId="41FC89CE" w14:textId="77777777" w:rsidR="004806FA" w:rsidRPr="004806FA" w:rsidRDefault="004806FA" w:rsidP="004806FA">
            <w:pPr>
              <w:spacing w:after="0" w:line="240" w:lineRule="auto"/>
              <w:jc w:val="left"/>
              <w:rPr>
                <w:rFonts w:ascii="Times New Roman" w:hAnsi="Times New Roman"/>
              </w:rPr>
            </w:pPr>
          </w:p>
        </w:tc>
        <w:tc>
          <w:tcPr>
            <w:tcW w:w="406" w:type="dxa"/>
            <w:tcBorders>
              <w:top w:val="nil"/>
              <w:left w:val="nil"/>
              <w:bottom w:val="nil"/>
              <w:right w:val="nil"/>
            </w:tcBorders>
            <w:shd w:val="clear" w:color="auto" w:fill="auto"/>
            <w:noWrap/>
            <w:vAlign w:val="bottom"/>
            <w:hideMark/>
          </w:tcPr>
          <w:p w14:paraId="103F6D6B" w14:textId="77777777" w:rsidR="004806FA" w:rsidRPr="004806FA" w:rsidRDefault="004806FA" w:rsidP="004806FA">
            <w:pPr>
              <w:spacing w:after="0" w:line="240" w:lineRule="auto"/>
              <w:jc w:val="left"/>
              <w:rPr>
                <w:rFonts w:ascii="Times New Roman" w:hAnsi="Times New Roman"/>
              </w:rPr>
            </w:pPr>
          </w:p>
        </w:tc>
        <w:tc>
          <w:tcPr>
            <w:tcW w:w="917" w:type="dxa"/>
            <w:tcBorders>
              <w:top w:val="nil"/>
              <w:left w:val="nil"/>
              <w:bottom w:val="nil"/>
              <w:right w:val="nil"/>
            </w:tcBorders>
            <w:shd w:val="clear" w:color="auto" w:fill="auto"/>
            <w:noWrap/>
            <w:vAlign w:val="bottom"/>
            <w:hideMark/>
          </w:tcPr>
          <w:p w14:paraId="6C556395" w14:textId="77777777" w:rsidR="004806FA" w:rsidRPr="004806FA" w:rsidRDefault="004806FA" w:rsidP="004806FA">
            <w:pPr>
              <w:spacing w:after="0" w:line="240" w:lineRule="auto"/>
              <w:jc w:val="right"/>
              <w:rPr>
                <w:rFonts w:ascii="Arial" w:hAnsi="Arial" w:cs="Arial"/>
                <w:sz w:val="16"/>
                <w:szCs w:val="16"/>
              </w:rPr>
            </w:pPr>
            <w:r w:rsidRPr="004806FA">
              <w:rPr>
                <w:rFonts w:ascii="Arial" w:hAnsi="Arial" w:cs="Arial"/>
                <w:sz w:val="16"/>
                <w:szCs w:val="16"/>
              </w:rPr>
              <w:t xml:space="preserve">6,270 </w:t>
            </w:r>
          </w:p>
        </w:tc>
      </w:tr>
      <w:tr w:rsidR="004806FA" w:rsidRPr="004806FA" w14:paraId="550654C7" w14:textId="77777777" w:rsidTr="00F82F1F">
        <w:trPr>
          <w:trHeight w:val="218"/>
        </w:trPr>
        <w:tc>
          <w:tcPr>
            <w:tcW w:w="5954" w:type="dxa"/>
            <w:tcBorders>
              <w:top w:val="nil"/>
              <w:left w:val="nil"/>
              <w:bottom w:val="nil"/>
              <w:right w:val="nil"/>
            </w:tcBorders>
            <w:shd w:val="clear" w:color="auto" w:fill="auto"/>
            <w:noWrap/>
            <w:vAlign w:val="bottom"/>
            <w:hideMark/>
          </w:tcPr>
          <w:p w14:paraId="0255A379" w14:textId="77777777" w:rsidR="004806FA" w:rsidRPr="004806FA" w:rsidRDefault="004806FA" w:rsidP="004806FA">
            <w:pPr>
              <w:spacing w:after="0" w:line="240" w:lineRule="auto"/>
              <w:ind w:firstLineChars="100" w:firstLine="160"/>
              <w:jc w:val="left"/>
              <w:rPr>
                <w:rFonts w:ascii="Arial" w:hAnsi="Arial" w:cs="Arial"/>
                <w:sz w:val="16"/>
                <w:szCs w:val="16"/>
              </w:rPr>
            </w:pPr>
            <w:r w:rsidRPr="004806FA">
              <w:rPr>
                <w:rFonts w:ascii="Arial" w:hAnsi="Arial" w:cs="Arial"/>
                <w:sz w:val="16"/>
                <w:szCs w:val="16"/>
              </w:rPr>
              <w:t>Preservation and Conservation</w:t>
            </w:r>
          </w:p>
        </w:tc>
        <w:tc>
          <w:tcPr>
            <w:tcW w:w="222" w:type="dxa"/>
            <w:tcBorders>
              <w:top w:val="nil"/>
              <w:left w:val="nil"/>
              <w:bottom w:val="nil"/>
              <w:right w:val="nil"/>
            </w:tcBorders>
            <w:shd w:val="clear" w:color="auto" w:fill="auto"/>
            <w:noWrap/>
            <w:vAlign w:val="bottom"/>
            <w:hideMark/>
          </w:tcPr>
          <w:p w14:paraId="2A6CFCA0" w14:textId="77777777" w:rsidR="004806FA" w:rsidRPr="004806FA" w:rsidRDefault="004806FA" w:rsidP="004806FA">
            <w:pPr>
              <w:spacing w:after="0" w:line="240" w:lineRule="auto"/>
              <w:ind w:firstLineChars="100" w:firstLine="160"/>
              <w:jc w:val="left"/>
              <w:rPr>
                <w:rFonts w:ascii="Arial" w:hAnsi="Arial" w:cs="Arial"/>
                <w:sz w:val="16"/>
                <w:szCs w:val="16"/>
              </w:rPr>
            </w:pPr>
          </w:p>
        </w:tc>
        <w:tc>
          <w:tcPr>
            <w:tcW w:w="222" w:type="dxa"/>
            <w:tcBorders>
              <w:top w:val="nil"/>
              <w:left w:val="nil"/>
              <w:bottom w:val="nil"/>
              <w:right w:val="nil"/>
            </w:tcBorders>
            <w:shd w:val="clear" w:color="auto" w:fill="auto"/>
            <w:noWrap/>
            <w:vAlign w:val="bottom"/>
            <w:hideMark/>
          </w:tcPr>
          <w:p w14:paraId="32244B4A" w14:textId="77777777" w:rsidR="004806FA" w:rsidRPr="004806FA" w:rsidRDefault="004806FA" w:rsidP="004806FA">
            <w:pPr>
              <w:spacing w:after="0" w:line="240" w:lineRule="auto"/>
              <w:jc w:val="left"/>
              <w:rPr>
                <w:rFonts w:ascii="Times New Roman" w:hAnsi="Times New Roman"/>
              </w:rPr>
            </w:pPr>
          </w:p>
        </w:tc>
        <w:tc>
          <w:tcPr>
            <w:tcW w:w="406" w:type="dxa"/>
            <w:tcBorders>
              <w:top w:val="nil"/>
              <w:left w:val="nil"/>
              <w:bottom w:val="nil"/>
              <w:right w:val="nil"/>
            </w:tcBorders>
            <w:shd w:val="clear" w:color="auto" w:fill="auto"/>
            <w:noWrap/>
            <w:vAlign w:val="bottom"/>
            <w:hideMark/>
          </w:tcPr>
          <w:p w14:paraId="3569131A" w14:textId="77777777" w:rsidR="004806FA" w:rsidRPr="004806FA" w:rsidRDefault="004806FA" w:rsidP="004806FA">
            <w:pPr>
              <w:spacing w:after="0" w:line="240" w:lineRule="auto"/>
              <w:jc w:val="left"/>
              <w:rPr>
                <w:rFonts w:ascii="Times New Roman" w:hAnsi="Times New Roman"/>
              </w:rPr>
            </w:pPr>
          </w:p>
        </w:tc>
        <w:tc>
          <w:tcPr>
            <w:tcW w:w="917" w:type="dxa"/>
            <w:tcBorders>
              <w:top w:val="nil"/>
              <w:left w:val="nil"/>
              <w:bottom w:val="nil"/>
              <w:right w:val="nil"/>
            </w:tcBorders>
            <w:shd w:val="clear" w:color="auto" w:fill="auto"/>
            <w:noWrap/>
            <w:vAlign w:val="bottom"/>
            <w:hideMark/>
          </w:tcPr>
          <w:p w14:paraId="1B0E8F49" w14:textId="77777777" w:rsidR="004806FA" w:rsidRPr="004806FA" w:rsidRDefault="004806FA" w:rsidP="004806FA">
            <w:pPr>
              <w:spacing w:after="0" w:line="240" w:lineRule="auto"/>
              <w:jc w:val="right"/>
              <w:rPr>
                <w:rFonts w:ascii="Arial" w:hAnsi="Arial" w:cs="Arial"/>
                <w:sz w:val="16"/>
                <w:szCs w:val="16"/>
              </w:rPr>
            </w:pPr>
            <w:r w:rsidRPr="004806FA">
              <w:rPr>
                <w:rFonts w:ascii="Arial" w:hAnsi="Arial" w:cs="Arial"/>
                <w:sz w:val="16"/>
                <w:szCs w:val="16"/>
              </w:rPr>
              <w:t xml:space="preserve">4,750 </w:t>
            </w:r>
          </w:p>
        </w:tc>
      </w:tr>
      <w:tr w:rsidR="004806FA" w:rsidRPr="004806FA" w14:paraId="2BCEC64B" w14:textId="77777777" w:rsidTr="00F82F1F">
        <w:trPr>
          <w:trHeight w:val="218"/>
        </w:trPr>
        <w:tc>
          <w:tcPr>
            <w:tcW w:w="6804" w:type="dxa"/>
            <w:gridSpan w:val="4"/>
            <w:tcBorders>
              <w:top w:val="nil"/>
              <w:left w:val="nil"/>
              <w:bottom w:val="single" w:sz="4" w:space="0" w:color="auto"/>
              <w:right w:val="nil"/>
            </w:tcBorders>
            <w:shd w:val="clear" w:color="auto" w:fill="auto"/>
            <w:noWrap/>
            <w:vAlign w:val="bottom"/>
            <w:hideMark/>
          </w:tcPr>
          <w:p w14:paraId="6EEF2903" w14:textId="77777777" w:rsidR="004806FA" w:rsidRPr="004806FA" w:rsidRDefault="004806FA" w:rsidP="004806FA">
            <w:pPr>
              <w:spacing w:after="20" w:line="240" w:lineRule="auto"/>
              <w:jc w:val="left"/>
              <w:rPr>
                <w:rFonts w:ascii="Arial" w:hAnsi="Arial" w:cs="Arial"/>
                <w:b/>
                <w:bCs/>
                <w:sz w:val="16"/>
                <w:szCs w:val="16"/>
              </w:rPr>
            </w:pPr>
            <w:r w:rsidRPr="004806FA">
              <w:rPr>
                <w:rFonts w:ascii="Arial" w:hAnsi="Arial" w:cs="Arial"/>
                <w:b/>
                <w:bCs/>
                <w:sz w:val="16"/>
                <w:szCs w:val="16"/>
              </w:rPr>
              <w:t>Total operating expenditure on heritage and cultural assets</w:t>
            </w:r>
          </w:p>
        </w:tc>
        <w:tc>
          <w:tcPr>
            <w:tcW w:w="917" w:type="dxa"/>
            <w:tcBorders>
              <w:top w:val="single" w:sz="4" w:space="0" w:color="auto"/>
              <w:left w:val="nil"/>
              <w:bottom w:val="single" w:sz="4" w:space="0" w:color="auto"/>
              <w:right w:val="nil"/>
            </w:tcBorders>
            <w:shd w:val="clear" w:color="auto" w:fill="auto"/>
            <w:noWrap/>
            <w:vAlign w:val="bottom"/>
            <w:hideMark/>
          </w:tcPr>
          <w:p w14:paraId="6805464F" w14:textId="53877E13" w:rsidR="004806FA" w:rsidRPr="004806FA" w:rsidRDefault="004806FA" w:rsidP="004806FA">
            <w:pPr>
              <w:spacing w:after="20" w:line="240" w:lineRule="auto"/>
              <w:jc w:val="right"/>
              <w:rPr>
                <w:rFonts w:ascii="Arial" w:hAnsi="Arial" w:cs="Arial"/>
                <w:b/>
                <w:sz w:val="16"/>
                <w:szCs w:val="16"/>
              </w:rPr>
            </w:pPr>
            <w:r w:rsidRPr="004806FA">
              <w:rPr>
                <w:rFonts w:ascii="Arial" w:hAnsi="Arial" w:cs="Arial"/>
                <w:b/>
                <w:sz w:val="16"/>
                <w:szCs w:val="16"/>
              </w:rPr>
              <w:t>11,020</w:t>
            </w:r>
          </w:p>
        </w:tc>
      </w:tr>
    </w:tbl>
    <w:p w14:paraId="388145C8" w14:textId="14580834" w:rsidR="00AE67D5" w:rsidRPr="00B22A82" w:rsidRDefault="00AE67D5" w:rsidP="009F1705">
      <w:pPr>
        <w:spacing w:before="60" w:after="0"/>
        <w:ind w:left="284" w:hanging="284"/>
        <w:jc w:val="left"/>
        <w:rPr>
          <w:rFonts w:ascii="Arial" w:hAnsi="Arial" w:cs="Arial"/>
          <w:sz w:val="16"/>
          <w:szCs w:val="16"/>
        </w:rPr>
      </w:pPr>
      <w:r w:rsidRPr="00B22A82">
        <w:rPr>
          <w:rFonts w:ascii="Arial" w:hAnsi="Arial" w:cs="Arial"/>
          <w:sz w:val="16"/>
          <w:szCs w:val="16"/>
        </w:rPr>
        <w:t>Prepared on Australian Accounting Standards basis.</w:t>
      </w:r>
    </w:p>
    <w:p w14:paraId="7B01453F" w14:textId="0F982EA9" w:rsidR="00D5303D" w:rsidRPr="00B22A82" w:rsidRDefault="00AE67D5" w:rsidP="009F1705">
      <w:pPr>
        <w:spacing w:after="0" w:line="240" w:lineRule="auto"/>
        <w:ind w:left="284" w:hanging="284"/>
        <w:jc w:val="left"/>
        <w:rPr>
          <w:rFonts w:ascii="Arial" w:hAnsi="Arial" w:cs="Arial"/>
          <w:sz w:val="16"/>
          <w:szCs w:val="16"/>
        </w:rPr>
      </w:pPr>
      <w:r>
        <w:rPr>
          <w:rFonts w:ascii="Arial" w:hAnsi="Arial" w:cs="Arial"/>
          <w:sz w:val="16"/>
          <w:szCs w:val="16"/>
        </w:rPr>
        <w:t>(a)</w:t>
      </w:r>
      <w:r>
        <w:rPr>
          <w:rFonts w:ascii="Arial" w:hAnsi="Arial" w:cs="Arial"/>
          <w:sz w:val="16"/>
          <w:szCs w:val="16"/>
        </w:rPr>
        <w:tab/>
      </w:r>
      <w:r w:rsidR="00D5303D" w:rsidRPr="00B22A82">
        <w:rPr>
          <w:rFonts w:ascii="Arial" w:hAnsi="Arial" w:cs="Arial"/>
          <w:sz w:val="16"/>
          <w:szCs w:val="16"/>
        </w:rPr>
        <w:t xml:space="preserve">'Appropriation equity' refers to equity injections appropriations provided through Appropriation Bill (No. 2 </w:t>
      </w:r>
      <w:r w:rsidR="00C11261" w:rsidRPr="00B22A82">
        <w:rPr>
          <w:rFonts w:ascii="Arial" w:hAnsi="Arial" w:cs="Arial"/>
          <w:sz w:val="16"/>
          <w:szCs w:val="16"/>
        </w:rPr>
        <w:t>and 4</w:t>
      </w:r>
      <w:r w:rsidR="00D5303D" w:rsidRPr="00B22A82">
        <w:rPr>
          <w:rFonts w:ascii="Arial" w:hAnsi="Arial" w:cs="Arial"/>
          <w:sz w:val="16"/>
          <w:szCs w:val="16"/>
        </w:rPr>
        <w:t xml:space="preserve">) 2021-22, including CDABs. </w:t>
      </w:r>
    </w:p>
    <w:p w14:paraId="5B121509" w14:textId="15239291" w:rsidR="0099484B" w:rsidRPr="00B22A82" w:rsidRDefault="00D5303D" w:rsidP="009F1705">
      <w:pPr>
        <w:spacing w:after="0" w:line="240" w:lineRule="auto"/>
        <w:ind w:left="284" w:hanging="284"/>
        <w:jc w:val="left"/>
        <w:rPr>
          <w:rFonts w:ascii="Arial" w:hAnsi="Arial" w:cs="Arial"/>
          <w:sz w:val="16"/>
          <w:szCs w:val="16"/>
        </w:rPr>
      </w:pPr>
      <w:r w:rsidRPr="00B22A82">
        <w:rPr>
          <w:rFonts w:ascii="Arial" w:hAnsi="Arial" w:cs="Arial"/>
          <w:sz w:val="16"/>
          <w:szCs w:val="16"/>
        </w:rPr>
        <w:t xml:space="preserve">(b) 'Appropriation ordinary annual services' refers to funding provided through Appropriation Bill (No.1 </w:t>
      </w:r>
      <w:r w:rsidR="00C11261" w:rsidRPr="00B22A82">
        <w:rPr>
          <w:rFonts w:ascii="Arial" w:hAnsi="Arial" w:cs="Arial"/>
          <w:sz w:val="16"/>
          <w:szCs w:val="16"/>
        </w:rPr>
        <w:t>and 3</w:t>
      </w:r>
      <w:r w:rsidRPr="00B22A82">
        <w:rPr>
          <w:rFonts w:ascii="Arial" w:hAnsi="Arial" w:cs="Arial"/>
          <w:sz w:val="16"/>
          <w:szCs w:val="16"/>
        </w:rPr>
        <w:t xml:space="preserve">) 2021-22 for depreciation/amortisation expenses, </w:t>
      </w:r>
      <w:r w:rsidR="008863D9">
        <w:rPr>
          <w:rFonts w:ascii="Arial" w:hAnsi="Arial" w:cs="Arial"/>
          <w:sz w:val="16"/>
          <w:szCs w:val="16"/>
        </w:rPr>
        <w:t>Department</w:t>
      </w:r>
      <w:r w:rsidR="00B577F1" w:rsidRPr="00B22A82">
        <w:rPr>
          <w:rFonts w:ascii="Arial" w:hAnsi="Arial" w:cs="Arial"/>
          <w:sz w:val="16"/>
          <w:szCs w:val="16"/>
        </w:rPr>
        <w:t>al Capital Budgets (</w:t>
      </w:r>
      <w:r w:rsidRPr="00B22A82">
        <w:rPr>
          <w:rFonts w:ascii="Arial" w:hAnsi="Arial" w:cs="Arial"/>
          <w:sz w:val="16"/>
          <w:szCs w:val="16"/>
        </w:rPr>
        <w:t>DCBs</w:t>
      </w:r>
      <w:r w:rsidR="00B577F1" w:rsidRPr="00B22A82">
        <w:rPr>
          <w:rFonts w:ascii="Arial" w:hAnsi="Arial" w:cs="Arial"/>
          <w:sz w:val="16"/>
          <w:szCs w:val="16"/>
        </w:rPr>
        <w:t>)</w:t>
      </w:r>
      <w:r w:rsidRPr="00B22A82">
        <w:rPr>
          <w:rFonts w:ascii="Arial" w:hAnsi="Arial" w:cs="Arial"/>
          <w:sz w:val="16"/>
          <w:szCs w:val="16"/>
        </w:rPr>
        <w:t xml:space="preserve"> or other operational expenses.</w:t>
      </w:r>
    </w:p>
    <w:p w14:paraId="7E499ADC" w14:textId="77777777" w:rsidR="00D5303D" w:rsidRPr="0099484B" w:rsidRDefault="00D5303D" w:rsidP="0099484B"/>
    <w:p w14:paraId="5E0DF71B" w14:textId="77777777" w:rsidR="0099484B" w:rsidRDefault="0099484B" w:rsidP="00914885">
      <w:pPr>
        <w:pStyle w:val="PartHeading"/>
        <w:sectPr w:rsidR="0099484B" w:rsidSect="00B9139E">
          <w:footerReference w:type="even" r:id="rId104"/>
          <w:footerReference w:type="default" r:id="rId105"/>
          <w:headerReference w:type="first" r:id="rId106"/>
          <w:footerReference w:type="first" r:id="rId107"/>
          <w:type w:val="oddPage"/>
          <w:pgSz w:w="11907" w:h="16840" w:code="9"/>
          <w:pgMar w:top="2466" w:right="2098" w:bottom="2466" w:left="2098" w:header="1814" w:footer="1814" w:gutter="0"/>
          <w:cols w:space="720"/>
          <w:titlePg/>
        </w:sectPr>
      </w:pPr>
    </w:p>
    <w:p w14:paraId="5C4E15F9" w14:textId="36CC31C2" w:rsidR="00482BA5" w:rsidRDefault="0083641A" w:rsidP="00157D6F">
      <w:pPr>
        <w:pStyle w:val="PartHeading-NoTOC"/>
      </w:pPr>
      <w:r>
        <w:lastRenderedPageBreak/>
        <w:t>National Library of Australia</w:t>
      </w:r>
      <w:r w:rsidR="00914885">
        <w:t xml:space="preserve"> </w:t>
      </w:r>
    </w:p>
    <w:p w14:paraId="529DB724" w14:textId="77777777" w:rsidR="00625914" w:rsidRDefault="00625914" w:rsidP="00157D6F">
      <w:pPr>
        <w:pStyle w:val="PartHeading-NoTOC"/>
      </w:pPr>
    </w:p>
    <w:p w14:paraId="223C6517" w14:textId="7A27DF85" w:rsidR="00914885" w:rsidRDefault="00914885" w:rsidP="00D17655">
      <w:pPr>
        <w:pStyle w:val="PartHeading-NoTOC"/>
      </w:pPr>
      <w:r>
        <w:t>Additional Estimates Statements</w:t>
      </w:r>
    </w:p>
    <w:p w14:paraId="01FEF2A2" w14:textId="7330C550" w:rsidR="00914885" w:rsidRDefault="00914885" w:rsidP="00914885"/>
    <w:p w14:paraId="310E80EE" w14:textId="77777777" w:rsidR="001E408F" w:rsidRPr="0035086F" w:rsidRDefault="001E408F" w:rsidP="00914885">
      <w:pPr>
        <w:sectPr w:rsidR="001E408F" w:rsidRPr="0035086F" w:rsidSect="000E317F">
          <w:headerReference w:type="first" r:id="rId108"/>
          <w:footerReference w:type="first" r:id="rId109"/>
          <w:type w:val="oddPage"/>
          <w:pgSz w:w="11907" w:h="16840" w:code="9"/>
          <w:pgMar w:top="2466" w:right="2098" w:bottom="2466" w:left="2098" w:header="1814" w:footer="1814" w:gutter="0"/>
          <w:cols w:space="720"/>
          <w:vAlign w:val="center"/>
          <w:titlePg/>
        </w:sectPr>
      </w:pPr>
    </w:p>
    <w:p w14:paraId="2CAEEB13" w14:textId="6FF04213" w:rsidR="00914885" w:rsidRPr="00610A79" w:rsidRDefault="00610A79" w:rsidP="0030114B">
      <w:pPr>
        <w:pStyle w:val="Heading1-NoTOC"/>
        <w:rPr>
          <w:lang w:val="en-US"/>
        </w:rPr>
      </w:pPr>
      <w:r>
        <w:rPr>
          <w:lang w:val="en-US"/>
        </w:rPr>
        <w:lastRenderedPageBreak/>
        <w:t>National Library of Australia</w:t>
      </w:r>
    </w:p>
    <w:p w14:paraId="356714FE" w14:textId="77777777" w:rsidR="005B5BD0" w:rsidRDefault="0030114B" w:rsidP="005B5BD0">
      <w:pPr>
        <w:pStyle w:val="TOC2"/>
        <w:tabs>
          <w:tab w:val="left" w:pos="660"/>
        </w:tabs>
        <w:rPr>
          <w:noProof/>
        </w:rPr>
      </w:pPr>
      <w:r>
        <w:rPr>
          <w:b/>
        </w:rPr>
        <w:fldChar w:fldCharType="begin"/>
      </w:r>
      <w:r>
        <w:rPr>
          <w:b/>
        </w:rPr>
        <w:instrText xml:space="preserve"> TOC \h \z \t "Heading 2 - TOC NLA,1,Heading 3 NLA,2" </w:instrText>
      </w:r>
      <w:r>
        <w:rPr>
          <w:b/>
        </w:rPr>
        <w:fldChar w:fldCharType="separate"/>
      </w:r>
      <w:r w:rsidR="005B5BD0">
        <w:rPr>
          <w:noProof/>
        </w:rPr>
        <w:fldChar w:fldCharType="begin"/>
      </w:r>
      <w:r w:rsidR="005B5BD0">
        <w:rPr>
          <w:noProof/>
        </w:rPr>
        <w:instrText xml:space="preserve"> TOC \h \z \t "Heading 2 - TOC NLA,1,Heading 3 NLA,2" </w:instrText>
      </w:r>
      <w:r w:rsidR="005B5BD0">
        <w:rPr>
          <w:noProof/>
        </w:rPr>
        <w:fldChar w:fldCharType="separate"/>
      </w:r>
    </w:p>
    <w:p w14:paraId="4E9D1E87" w14:textId="0DFD0D6D" w:rsidR="005B5BD0" w:rsidRDefault="005616C5">
      <w:pPr>
        <w:pStyle w:val="TOC1"/>
        <w:rPr>
          <w:rFonts w:asciiTheme="minorHAnsi" w:eastAsiaTheme="minorEastAsia" w:hAnsiTheme="minorHAnsi" w:cstheme="minorBidi"/>
          <w:b w:val="0"/>
          <w:noProof/>
          <w:sz w:val="22"/>
          <w:szCs w:val="22"/>
        </w:rPr>
      </w:pPr>
      <w:hyperlink w:anchor="_Toc94040066" w:history="1">
        <w:r w:rsidR="005B5BD0" w:rsidRPr="00AD7D3B">
          <w:rPr>
            <w:rStyle w:val="Hyperlink"/>
            <w:noProof/>
          </w:rPr>
          <w:t>Section 1: Entity overview and resources</w:t>
        </w:r>
        <w:r w:rsidR="005B5BD0">
          <w:rPr>
            <w:noProof/>
            <w:webHidden/>
          </w:rPr>
          <w:tab/>
        </w:r>
        <w:r w:rsidR="005B5BD0">
          <w:rPr>
            <w:noProof/>
            <w:webHidden/>
          </w:rPr>
          <w:fldChar w:fldCharType="begin"/>
        </w:r>
        <w:r w:rsidR="005B5BD0">
          <w:rPr>
            <w:noProof/>
            <w:webHidden/>
          </w:rPr>
          <w:instrText xml:space="preserve"> PAGEREF _Toc94040066 \h </w:instrText>
        </w:r>
        <w:r w:rsidR="005B5BD0">
          <w:rPr>
            <w:noProof/>
            <w:webHidden/>
          </w:rPr>
        </w:r>
        <w:r w:rsidR="005B5BD0">
          <w:rPr>
            <w:noProof/>
            <w:webHidden/>
          </w:rPr>
          <w:fldChar w:fldCharType="separate"/>
        </w:r>
        <w:r w:rsidR="003B5862">
          <w:rPr>
            <w:noProof/>
            <w:webHidden/>
          </w:rPr>
          <w:t>161</w:t>
        </w:r>
        <w:r w:rsidR="005B5BD0">
          <w:rPr>
            <w:noProof/>
            <w:webHidden/>
          </w:rPr>
          <w:fldChar w:fldCharType="end"/>
        </w:r>
      </w:hyperlink>
    </w:p>
    <w:p w14:paraId="7CA8FB1A" w14:textId="455F82E5" w:rsidR="005B5BD0" w:rsidRDefault="005616C5">
      <w:pPr>
        <w:pStyle w:val="TOC2"/>
        <w:tabs>
          <w:tab w:val="left" w:pos="660"/>
        </w:tabs>
        <w:rPr>
          <w:rFonts w:asciiTheme="minorHAnsi" w:eastAsiaTheme="minorEastAsia" w:hAnsiTheme="minorHAnsi" w:cstheme="minorBidi"/>
          <w:noProof/>
          <w:sz w:val="22"/>
          <w:szCs w:val="22"/>
        </w:rPr>
      </w:pPr>
      <w:hyperlink w:anchor="_Toc94040067" w:history="1">
        <w:r w:rsidR="005B5BD0" w:rsidRPr="00AD7D3B">
          <w:rPr>
            <w:rStyle w:val="Hyperlink"/>
            <w:noProof/>
          </w:rPr>
          <w:t>1.1</w:t>
        </w:r>
        <w:r w:rsidR="005B5BD0">
          <w:rPr>
            <w:rFonts w:asciiTheme="minorHAnsi" w:eastAsiaTheme="minorEastAsia" w:hAnsiTheme="minorHAnsi" w:cstheme="minorBidi"/>
            <w:noProof/>
            <w:sz w:val="22"/>
            <w:szCs w:val="22"/>
          </w:rPr>
          <w:tab/>
        </w:r>
        <w:r w:rsidR="005B5BD0" w:rsidRPr="00AD7D3B">
          <w:rPr>
            <w:rStyle w:val="Hyperlink"/>
            <w:noProof/>
          </w:rPr>
          <w:t>Strategic direction statement</w:t>
        </w:r>
        <w:r w:rsidR="005B5BD0">
          <w:rPr>
            <w:noProof/>
            <w:webHidden/>
          </w:rPr>
          <w:tab/>
        </w:r>
        <w:r w:rsidR="005B5BD0">
          <w:rPr>
            <w:noProof/>
            <w:webHidden/>
          </w:rPr>
          <w:fldChar w:fldCharType="begin"/>
        </w:r>
        <w:r w:rsidR="005B5BD0">
          <w:rPr>
            <w:noProof/>
            <w:webHidden/>
          </w:rPr>
          <w:instrText xml:space="preserve"> PAGEREF _Toc94040067 \h </w:instrText>
        </w:r>
        <w:r w:rsidR="005B5BD0">
          <w:rPr>
            <w:noProof/>
            <w:webHidden/>
          </w:rPr>
        </w:r>
        <w:r w:rsidR="005B5BD0">
          <w:rPr>
            <w:noProof/>
            <w:webHidden/>
          </w:rPr>
          <w:fldChar w:fldCharType="separate"/>
        </w:r>
        <w:r w:rsidR="003B5862">
          <w:rPr>
            <w:noProof/>
            <w:webHidden/>
          </w:rPr>
          <w:t>161</w:t>
        </w:r>
        <w:r w:rsidR="005B5BD0">
          <w:rPr>
            <w:noProof/>
            <w:webHidden/>
          </w:rPr>
          <w:fldChar w:fldCharType="end"/>
        </w:r>
      </w:hyperlink>
    </w:p>
    <w:p w14:paraId="79B62162" w14:textId="7230F09B" w:rsidR="005B5BD0" w:rsidRDefault="005616C5">
      <w:pPr>
        <w:pStyle w:val="TOC2"/>
        <w:tabs>
          <w:tab w:val="left" w:pos="660"/>
        </w:tabs>
        <w:rPr>
          <w:rFonts w:asciiTheme="minorHAnsi" w:eastAsiaTheme="minorEastAsia" w:hAnsiTheme="minorHAnsi" w:cstheme="minorBidi"/>
          <w:noProof/>
          <w:sz w:val="22"/>
          <w:szCs w:val="22"/>
        </w:rPr>
      </w:pPr>
      <w:hyperlink w:anchor="_Toc94040068" w:history="1">
        <w:r w:rsidR="005B5BD0" w:rsidRPr="00AD7D3B">
          <w:rPr>
            <w:rStyle w:val="Hyperlink"/>
            <w:noProof/>
          </w:rPr>
          <w:t>1.2</w:t>
        </w:r>
        <w:r w:rsidR="005B5BD0">
          <w:rPr>
            <w:rFonts w:asciiTheme="minorHAnsi" w:eastAsiaTheme="minorEastAsia" w:hAnsiTheme="minorHAnsi" w:cstheme="minorBidi"/>
            <w:noProof/>
            <w:sz w:val="22"/>
            <w:szCs w:val="22"/>
          </w:rPr>
          <w:tab/>
        </w:r>
        <w:r w:rsidR="005B5BD0" w:rsidRPr="00AD7D3B">
          <w:rPr>
            <w:rStyle w:val="Hyperlink"/>
            <w:noProof/>
          </w:rPr>
          <w:t>Entity resource statement</w:t>
        </w:r>
        <w:r w:rsidR="005B5BD0">
          <w:rPr>
            <w:noProof/>
            <w:webHidden/>
          </w:rPr>
          <w:tab/>
        </w:r>
        <w:r w:rsidR="005B5BD0">
          <w:rPr>
            <w:noProof/>
            <w:webHidden/>
          </w:rPr>
          <w:fldChar w:fldCharType="begin"/>
        </w:r>
        <w:r w:rsidR="005B5BD0">
          <w:rPr>
            <w:noProof/>
            <w:webHidden/>
          </w:rPr>
          <w:instrText xml:space="preserve"> PAGEREF _Toc94040068 \h </w:instrText>
        </w:r>
        <w:r w:rsidR="005B5BD0">
          <w:rPr>
            <w:noProof/>
            <w:webHidden/>
          </w:rPr>
        </w:r>
        <w:r w:rsidR="005B5BD0">
          <w:rPr>
            <w:noProof/>
            <w:webHidden/>
          </w:rPr>
          <w:fldChar w:fldCharType="separate"/>
        </w:r>
        <w:r w:rsidR="003B5862">
          <w:rPr>
            <w:noProof/>
            <w:webHidden/>
          </w:rPr>
          <w:t>162</w:t>
        </w:r>
        <w:r w:rsidR="005B5BD0">
          <w:rPr>
            <w:noProof/>
            <w:webHidden/>
          </w:rPr>
          <w:fldChar w:fldCharType="end"/>
        </w:r>
      </w:hyperlink>
    </w:p>
    <w:p w14:paraId="5B2BA011" w14:textId="2E4BDA53" w:rsidR="005B5BD0" w:rsidRDefault="005616C5">
      <w:pPr>
        <w:pStyle w:val="TOC2"/>
        <w:tabs>
          <w:tab w:val="left" w:pos="660"/>
        </w:tabs>
        <w:rPr>
          <w:rFonts w:asciiTheme="minorHAnsi" w:eastAsiaTheme="minorEastAsia" w:hAnsiTheme="minorHAnsi" w:cstheme="minorBidi"/>
          <w:noProof/>
          <w:sz w:val="22"/>
          <w:szCs w:val="22"/>
        </w:rPr>
      </w:pPr>
      <w:hyperlink w:anchor="_Toc94040069" w:history="1">
        <w:r w:rsidR="005B5BD0" w:rsidRPr="00AD7D3B">
          <w:rPr>
            <w:rStyle w:val="Hyperlink"/>
            <w:noProof/>
          </w:rPr>
          <w:t>1.3</w:t>
        </w:r>
        <w:r w:rsidR="005B5BD0">
          <w:rPr>
            <w:rFonts w:asciiTheme="minorHAnsi" w:eastAsiaTheme="minorEastAsia" w:hAnsiTheme="minorHAnsi" w:cstheme="minorBidi"/>
            <w:noProof/>
            <w:sz w:val="22"/>
            <w:szCs w:val="22"/>
          </w:rPr>
          <w:tab/>
        </w:r>
        <w:r w:rsidR="005B5BD0" w:rsidRPr="00AD7D3B">
          <w:rPr>
            <w:rStyle w:val="Hyperlink"/>
            <w:noProof/>
          </w:rPr>
          <w:t>Entity measures</w:t>
        </w:r>
        <w:r w:rsidR="005B5BD0">
          <w:rPr>
            <w:noProof/>
            <w:webHidden/>
          </w:rPr>
          <w:tab/>
        </w:r>
        <w:r w:rsidR="005B5BD0">
          <w:rPr>
            <w:noProof/>
            <w:webHidden/>
          </w:rPr>
          <w:fldChar w:fldCharType="begin"/>
        </w:r>
        <w:r w:rsidR="005B5BD0">
          <w:rPr>
            <w:noProof/>
            <w:webHidden/>
          </w:rPr>
          <w:instrText xml:space="preserve"> PAGEREF _Toc94040069 \h </w:instrText>
        </w:r>
        <w:r w:rsidR="005B5BD0">
          <w:rPr>
            <w:noProof/>
            <w:webHidden/>
          </w:rPr>
        </w:r>
        <w:r w:rsidR="005B5BD0">
          <w:rPr>
            <w:noProof/>
            <w:webHidden/>
          </w:rPr>
          <w:fldChar w:fldCharType="separate"/>
        </w:r>
        <w:r w:rsidR="003B5862">
          <w:rPr>
            <w:noProof/>
            <w:webHidden/>
          </w:rPr>
          <w:t>163</w:t>
        </w:r>
        <w:r w:rsidR="005B5BD0">
          <w:rPr>
            <w:noProof/>
            <w:webHidden/>
          </w:rPr>
          <w:fldChar w:fldCharType="end"/>
        </w:r>
      </w:hyperlink>
    </w:p>
    <w:p w14:paraId="33A88292" w14:textId="331A780F" w:rsidR="005B5BD0" w:rsidRDefault="005616C5">
      <w:pPr>
        <w:pStyle w:val="TOC2"/>
        <w:tabs>
          <w:tab w:val="left" w:pos="660"/>
        </w:tabs>
        <w:rPr>
          <w:rFonts w:asciiTheme="minorHAnsi" w:eastAsiaTheme="minorEastAsia" w:hAnsiTheme="minorHAnsi" w:cstheme="minorBidi"/>
          <w:noProof/>
          <w:sz w:val="22"/>
          <w:szCs w:val="22"/>
        </w:rPr>
      </w:pPr>
      <w:hyperlink w:anchor="_Toc94040070" w:history="1">
        <w:r w:rsidR="005B5BD0" w:rsidRPr="00AD7D3B">
          <w:rPr>
            <w:rStyle w:val="Hyperlink"/>
            <w:noProof/>
          </w:rPr>
          <w:t>1.4</w:t>
        </w:r>
        <w:r w:rsidR="005B5BD0">
          <w:rPr>
            <w:rFonts w:asciiTheme="minorHAnsi" w:eastAsiaTheme="minorEastAsia" w:hAnsiTheme="minorHAnsi" w:cstheme="minorBidi"/>
            <w:noProof/>
            <w:sz w:val="22"/>
            <w:szCs w:val="22"/>
          </w:rPr>
          <w:tab/>
        </w:r>
        <w:r w:rsidR="005B5BD0" w:rsidRPr="00AD7D3B">
          <w:rPr>
            <w:rStyle w:val="Hyperlink"/>
            <w:noProof/>
          </w:rPr>
          <w:t>Additional estimates, resourcing and variations to outcomes</w:t>
        </w:r>
        <w:r w:rsidR="005B5BD0">
          <w:rPr>
            <w:noProof/>
            <w:webHidden/>
          </w:rPr>
          <w:tab/>
        </w:r>
        <w:r w:rsidR="005B5BD0">
          <w:rPr>
            <w:noProof/>
            <w:webHidden/>
          </w:rPr>
          <w:fldChar w:fldCharType="begin"/>
        </w:r>
        <w:r w:rsidR="005B5BD0">
          <w:rPr>
            <w:noProof/>
            <w:webHidden/>
          </w:rPr>
          <w:instrText xml:space="preserve"> PAGEREF _Toc94040070 \h </w:instrText>
        </w:r>
        <w:r w:rsidR="005B5BD0">
          <w:rPr>
            <w:noProof/>
            <w:webHidden/>
          </w:rPr>
        </w:r>
        <w:r w:rsidR="005B5BD0">
          <w:rPr>
            <w:noProof/>
            <w:webHidden/>
          </w:rPr>
          <w:fldChar w:fldCharType="separate"/>
        </w:r>
        <w:r w:rsidR="003B5862">
          <w:rPr>
            <w:noProof/>
            <w:webHidden/>
          </w:rPr>
          <w:t>163</w:t>
        </w:r>
        <w:r w:rsidR="005B5BD0">
          <w:rPr>
            <w:noProof/>
            <w:webHidden/>
          </w:rPr>
          <w:fldChar w:fldCharType="end"/>
        </w:r>
      </w:hyperlink>
    </w:p>
    <w:p w14:paraId="62A5DF12" w14:textId="5F11DC68" w:rsidR="005B5BD0" w:rsidRDefault="005616C5">
      <w:pPr>
        <w:pStyle w:val="TOC2"/>
        <w:tabs>
          <w:tab w:val="left" w:pos="660"/>
        </w:tabs>
        <w:rPr>
          <w:rFonts w:asciiTheme="minorHAnsi" w:eastAsiaTheme="minorEastAsia" w:hAnsiTheme="minorHAnsi" w:cstheme="minorBidi"/>
          <w:noProof/>
          <w:sz w:val="22"/>
          <w:szCs w:val="22"/>
        </w:rPr>
      </w:pPr>
      <w:hyperlink w:anchor="_Toc94040071" w:history="1">
        <w:r w:rsidR="005B5BD0" w:rsidRPr="00AD7D3B">
          <w:rPr>
            <w:rStyle w:val="Hyperlink"/>
            <w:noProof/>
          </w:rPr>
          <w:t>1.5</w:t>
        </w:r>
        <w:r w:rsidR="005B5BD0">
          <w:rPr>
            <w:rFonts w:asciiTheme="minorHAnsi" w:eastAsiaTheme="minorEastAsia" w:hAnsiTheme="minorHAnsi" w:cstheme="minorBidi"/>
            <w:noProof/>
            <w:sz w:val="22"/>
            <w:szCs w:val="22"/>
          </w:rPr>
          <w:tab/>
        </w:r>
        <w:r w:rsidR="005B5BD0" w:rsidRPr="00AD7D3B">
          <w:rPr>
            <w:rStyle w:val="Hyperlink"/>
            <w:noProof/>
          </w:rPr>
          <w:t>Breakdown of additional estimates by appropriation bill</w:t>
        </w:r>
        <w:r w:rsidR="005B5BD0">
          <w:rPr>
            <w:noProof/>
            <w:webHidden/>
          </w:rPr>
          <w:tab/>
        </w:r>
        <w:r w:rsidR="005B5BD0">
          <w:rPr>
            <w:noProof/>
            <w:webHidden/>
          </w:rPr>
          <w:fldChar w:fldCharType="begin"/>
        </w:r>
        <w:r w:rsidR="005B5BD0">
          <w:rPr>
            <w:noProof/>
            <w:webHidden/>
          </w:rPr>
          <w:instrText xml:space="preserve"> PAGEREF _Toc94040071 \h </w:instrText>
        </w:r>
        <w:r w:rsidR="005B5BD0">
          <w:rPr>
            <w:noProof/>
            <w:webHidden/>
          </w:rPr>
        </w:r>
        <w:r w:rsidR="005B5BD0">
          <w:rPr>
            <w:noProof/>
            <w:webHidden/>
          </w:rPr>
          <w:fldChar w:fldCharType="separate"/>
        </w:r>
        <w:r w:rsidR="003B5862">
          <w:rPr>
            <w:noProof/>
            <w:webHidden/>
          </w:rPr>
          <w:t>164</w:t>
        </w:r>
        <w:r w:rsidR="005B5BD0">
          <w:rPr>
            <w:noProof/>
            <w:webHidden/>
          </w:rPr>
          <w:fldChar w:fldCharType="end"/>
        </w:r>
      </w:hyperlink>
    </w:p>
    <w:p w14:paraId="106BB30C" w14:textId="294FE74D" w:rsidR="005B5BD0" w:rsidRDefault="005616C5">
      <w:pPr>
        <w:pStyle w:val="TOC1"/>
        <w:rPr>
          <w:rFonts w:asciiTheme="minorHAnsi" w:eastAsiaTheme="minorEastAsia" w:hAnsiTheme="minorHAnsi" w:cstheme="minorBidi"/>
          <w:b w:val="0"/>
          <w:noProof/>
          <w:sz w:val="22"/>
          <w:szCs w:val="22"/>
        </w:rPr>
      </w:pPr>
      <w:hyperlink w:anchor="_Toc94040072" w:history="1">
        <w:r w:rsidR="005B5BD0" w:rsidRPr="00AD7D3B">
          <w:rPr>
            <w:rStyle w:val="Hyperlink"/>
            <w:noProof/>
          </w:rPr>
          <w:t>Section 2: Revisions to outcomes and planned performance</w:t>
        </w:r>
        <w:r w:rsidR="005B5BD0">
          <w:rPr>
            <w:noProof/>
            <w:webHidden/>
          </w:rPr>
          <w:tab/>
        </w:r>
        <w:r w:rsidR="005B5BD0">
          <w:rPr>
            <w:noProof/>
            <w:webHidden/>
          </w:rPr>
          <w:fldChar w:fldCharType="begin"/>
        </w:r>
        <w:r w:rsidR="005B5BD0">
          <w:rPr>
            <w:noProof/>
            <w:webHidden/>
          </w:rPr>
          <w:instrText xml:space="preserve"> PAGEREF _Toc94040072 \h </w:instrText>
        </w:r>
        <w:r w:rsidR="005B5BD0">
          <w:rPr>
            <w:noProof/>
            <w:webHidden/>
          </w:rPr>
        </w:r>
        <w:r w:rsidR="005B5BD0">
          <w:rPr>
            <w:noProof/>
            <w:webHidden/>
          </w:rPr>
          <w:fldChar w:fldCharType="separate"/>
        </w:r>
        <w:r w:rsidR="003B5862">
          <w:rPr>
            <w:noProof/>
            <w:webHidden/>
          </w:rPr>
          <w:t>165</w:t>
        </w:r>
        <w:r w:rsidR="005B5BD0">
          <w:rPr>
            <w:noProof/>
            <w:webHidden/>
          </w:rPr>
          <w:fldChar w:fldCharType="end"/>
        </w:r>
      </w:hyperlink>
    </w:p>
    <w:p w14:paraId="0EC0905B" w14:textId="551E9478" w:rsidR="005B5BD0" w:rsidRDefault="005616C5">
      <w:pPr>
        <w:pStyle w:val="TOC2"/>
        <w:tabs>
          <w:tab w:val="left" w:pos="660"/>
        </w:tabs>
        <w:rPr>
          <w:rFonts w:asciiTheme="minorHAnsi" w:eastAsiaTheme="minorEastAsia" w:hAnsiTheme="minorHAnsi" w:cstheme="minorBidi"/>
          <w:noProof/>
          <w:sz w:val="22"/>
          <w:szCs w:val="22"/>
        </w:rPr>
      </w:pPr>
      <w:hyperlink w:anchor="_Toc94040073" w:history="1">
        <w:r w:rsidR="005B5BD0" w:rsidRPr="00AD7D3B">
          <w:rPr>
            <w:rStyle w:val="Hyperlink"/>
            <w:noProof/>
          </w:rPr>
          <w:t>2.1</w:t>
        </w:r>
        <w:r w:rsidR="005B5BD0">
          <w:rPr>
            <w:rFonts w:asciiTheme="minorHAnsi" w:eastAsiaTheme="minorEastAsia" w:hAnsiTheme="minorHAnsi" w:cstheme="minorBidi"/>
            <w:noProof/>
            <w:sz w:val="22"/>
            <w:szCs w:val="22"/>
          </w:rPr>
          <w:tab/>
        </w:r>
        <w:r w:rsidR="005B5BD0" w:rsidRPr="00AD7D3B">
          <w:rPr>
            <w:rStyle w:val="Hyperlink"/>
            <w:noProof/>
          </w:rPr>
          <w:t>Changes to outcome and program structures</w:t>
        </w:r>
        <w:r w:rsidR="005B5BD0">
          <w:rPr>
            <w:noProof/>
            <w:webHidden/>
          </w:rPr>
          <w:tab/>
        </w:r>
        <w:r w:rsidR="005B5BD0">
          <w:rPr>
            <w:noProof/>
            <w:webHidden/>
          </w:rPr>
          <w:fldChar w:fldCharType="begin"/>
        </w:r>
        <w:r w:rsidR="005B5BD0">
          <w:rPr>
            <w:noProof/>
            <w:webHidden/>
          </w:rPr>
          <w:instrText xml:space="preserve"> PAGEREF _Toc94040073 \h </w:instrText>
        </w:r>
        <w:r w:rsidR="005B5BD0">
          <w:rPr>
            <w:noProof/>
            <w:webHidden/>
          </w:rPr>
        </w:r>
        <w:r w:rsidR="005B5BD0">
          <w:rPr>
            <w:noProof/>
            <w:webHidden/>
          </w:rPr>
          <w:fldChar w:fldCharType="separate"/>
        </w:r>
        <w:r w:rsidR="003B5862">
          <w:rPr>
            <w:noProof/>
            <w:webHidden/>
          </w:rPr>
          <w:t>165</w:t>
        </w:r>
        <w:r w:rsidR="005B5BD0">
          <w:rPr>
            <w:noProof/>
            <w:webHidden/>
          </w:rPr>
          <w:fldChar w:fldCharType="end"/>
        </w:r>
      </w:hyperlink>
    </w:p>
    <w:p w14:paraId="0C6EA0FE" w14:textId="60A4A16C" w:rsidR="005B5BD0" w:rsidRDefault="005616C5">
      <w:pPr>
        <w:pStyle w:val="TOC2"/>
        <w:tabs>
          <w:tab w:val="left" w:pos="660"/>
        </w:tabs>
        <w:rPr>
          <w:rFonts w:asciiTheme="minorHAnsi" w:eastAsiaTheme="minorEastAsia" w:hAnsiTheme="minorHAnsi" w:cstheme="minorBidi"/>
          <w:noProof/>
          <w:sz w:val="22"/>
          <w:szCs w:val="22"/>
        </w:rPr>
      </w:pPr>
      <w:hyperlink w:anchor="_Toc94040074" w:history="1">
        <w:r w:rsidR="005B5BD0" w:rsidRPr="00AD7D3B">
          <w:rPr>
            <w:rStyle w:val="Hyperlink"/>
            <w:noProof/>
          </w:rPr>
          <w:t>2.2</w:t>
        </w:r>
        <w:r w:rsidR="005B5BD0">
          <w:rPr>
            <w:rFonts w:asciiTheme="minorHAnsi" w:eastAsiaTheme="minorEastAsia" w:hAnsiTheme="minorHAnsi" w:cstheme="minorBidi"/>
            <w:noProof/>
            <w:sz w:val="22"/>
            <w:szCs w:val="22"/>
          </w:rPr>
          <w:tab/>
        </w:r>
        <w:r w:rsidR="005B5BD0" w:rsidRPr="00AD7D3B">
          <w:rPr>
            <w:rStyle w:val="Hyperlink"/>
            <w:noProof/>
          </w:rPr>
          <w:t>Budgeted expenses and performance for Outcome 1</w:t>
        </w:r>
        <w:r w:rsidR="005B5BD0">
          <w:rPr>
            <w:noProof/>
            <w:webHidden/>
          </w:rPr>
          <w:tab/>
        </w:r>
        <w:r w:rsidR="005B5BD0">
          <w:rPr>
            <w:noProof/>
            <w:webHidden/>
          </w:rPr>
          <w:fldChar w:fldCharType="begin"/>
        </w:r>
        <w:r w:rsidR="005B5BD0">
          <w:rPr>
            <w:noProof/>
            <w:webHidden/>
          </w:rPr>
          <w:instrText xml:space="preserve"> PAGEREF _Toc94040074 \h </w:instrText>
        </w:r>
        <w:r w:rsidR="005B5BD0">
          <w:rPr>
            <w:noProof/>
            <w:webHidden/>
          </w:rPr>
        </w:r>
        <w:r w:rsidR="005B5BD0">
          <w:rPr>
            <w:noProof/>
            <w:webHidden/>
          </w:rPr>
          <w:fldChar w:fldCharType="separate"/>
        </w:r>
        <w:r w:rsidR="003B5862">
          <w:rPr>
            <w:noProof/>
            <w:webHidden/>
          </w:rPr>
          <w:t>165</w:t>
        </w:r>
        <w:r w:rsidR="005B5BD0">
          <w:rPr>
            <w:noProof/>
            <w:webHidden/>
          </w:rPr>
          <w:fldChar w:fldCharType="end"/>
        </w:r>
      </w:hyperlink>
    </w:p>
    <w:p w14:paraId="0B22F104" w14:textId="4FBDD0D0" w:rsidR="005B5BD0" w:rsidRDefault="005616C5">
      <w:pPr>
        <w:pStyle w:val="TOC1"/>
        <w:rPr>
          <w:rFonts w:asciiTheme="minorHAnsi" w:eastAsiaTheme="minorEastAsia" w:hAnsiTheme="minorHAnsi" w:cstheme="minorBidi"/>
          <w:b w:val="0"/>
          <w:noProof/>
          <w:sz w:val="22"/>
          <w:szCs w:val="22"/>
        </w:rPr>
      </w:pPr>
      <w:hyperlink w:anchor="_Toc94040075" w:history="1">
        <w:r w:rsidR="005B5BD0" w:rsidRPr="00AD7D3B">
          <w:rPr>
            <w:rStyle w:val="Hyperlink"/>
            <w:noProof/>
          </w:rPr>
          <w:t>Section 3: Special account flows and budgeted financial statements</w:t>
        </w:r>
        <w:r w:rsidR="005B5BD0">
          <w:rPr>
            <w:noProof/>
            <w:webHidden/>
          </w:rPr>
          <w:tab/>
        </w:r>
        <w:r w:rsidR="005B5BD0">
          <w:rPr>
            <w:noProof/>
            <w:webHidden/>
          </w:rPr>
          <w:fldChar w:fldCharType="begin"/>
        </w:r>
        <w:r w:rsidR="005B5BD0">
          <w:rPr>
            <w:noProof/>
            <w:webHidden/>
          </w:rPr>
          <w:instrText xml:space="preserve"> PAGEREF _Toc94040075 \h </w:instrText>
        </w:r>
        <w:r w:rsidR="005B5BD0">
          <w:rPr>
            <w:noProof/>
            <w:webHidden/>
          </w:rPr>
        </w:r>
        <w:r w:rsidR="005B5BD0">
          <w:rPr>
            <w:noProof/>
            <w:webHidden/>
          </w:rPr>
          <w:fldChar w:fldCharType="separate"/>
        </w:r>
        <w:r w:rsidR="003B5862">
          <w:rPr>
            <w:noProof/>
            <w:webHidden/>
          </w:rPr>
          <w:t>167</w:t>
        </w:r>
        <w:r w:rsidR="005B5BD0">
          <w:rPr>
            <w:noProof/>
            <w:webHidden/>
          </w:rPr>
          <w:fldChar w:fldCharType="end"/>
        </w:r>
      </w:hyperlink>
    </w:p>
    <w:p w14:paraId="5684D788" w14:textId="748F7E22" w:rsidR="005B5BD0" w:rsidRDefault="005616C5">
      <w:pPr>
        <w:pStyle w:val="TOC2"/>
        <w:tabs>
          <w:tab w:val="left" w:pos="660"/>
        </w:tabs>
        <w:rPr>
          <w:rFonts w:asciiTheme="minorHAnsi" w:eastAsiaTheme="minorEastAsia" w:hAnsiTheme="minorHAnsi" w:cstheme="minorBidi"/>
          <w:noProof/>
          <w:sz w:val="22"/>
          <w:szCs w:val="22"/>
        </w:rPr>
      </w:pPr>
      <w:hyperlink w:anchor="_Toc94040076" w:history="1">
        <w:r w:rsidR="005B5BD0" w:rsidRPr="00AD7D3B">
          <w:rPr>
            <w:rStyle w:val="Hyperlink"/>
            <w:noProof/>
          </w:rPr>
          <w:t>3.1</w:t>
        </w:r>
        <w:r w:rsidR="005B5BD0">
          <w:rPr>
            <w:rFonts w:asciiTheme="minorHAnsi" w:eastAsiaTheme="minorEastAsia" w:hAnsiTheme="minorHAnsi" w:cstheme="minorBidi"/>
            <w:noProof/>
            <w:sz w:val="22"/>
            <w:szCs w:val="22"/>
          </w:rPr>
          <w:tab/>
        </w:r>
        <w:r w:rsidR="005B5BD0" w:rsidRPr="00AD7D3B">
          <w:rPr>
            <w:rStyle w:val="Hyperlink"/>
            <w:noProof/>
          </w:rPr>
          <w:t>Special account flows</w:t>
        </w:r>
        <w:r w:rsidR="005B5BD0">
          <w:rPr>
            <w:noProof/>
            <w:webHidden/>
          </w:rPr>
          <w:tab/>
        </w:r>
        <w:r w:rsidR="005B5BD0">
          <w:rPr>
            <w:noProof/>
            <w:webHidden/>
          </w:rPr>
          <w:fldChar w:fldCharType="begin"/>
        </w:r>
        <w:r w:rsidR="005B5BD0">
          <w:rPr>
            <w:noProof/>
            <w:webHidden/>
          </w:rPr>
          <w:instrText xml:space="preserve"> PAGEREF _Toc94040076 \h </w:instrText>
        </w:r>
        <w:r w:rsidR="005B5BD0">
          <w:rPr>
            <w:noProof/>
            <w:webHidden/>
          </w:rPr>
        </w:r>
        <w:r w:rsidR="005B5BD0">
          <w:rPr>
            <w:noProof/>
            <w:webHidden/>
          </w:rPr>
          <w:fldChar w:fldCharType="separate"/>
        </w:r>
        <w:r w:rsidR="003B5862">
          <w:rPr>
            <w:noProof/>
            <w:webHidden/>
          </w:rPr>
          <w:t>167</w:t>
        </w:r>
        <w:r w:rsidR="005B5BD0">
          <w:rPr>
            <w:noProof/>
            <w:webHidden/>
          </w:rPr>
          <w:fldChar w:fldCharType="end"/>
        </w:r>
      </w:hyperlink>
    </w:p>
    <w:p w14:paraId="414D5545" w14:textId="17ACB70F" w:rsidR="005B5BD0" w:rsidRDefault="005616C5">
      <w:pPr>
        <w:pStyle w:val="TOC2"/>
        <w:tabs>
          <w:tab w:val="left" w:pos="660"/>
        </w:tabs>
        <w:rPr>
          <w:rFonts w:asciiTheme="minorHAnsi" w:eastAsiaTheme="minorEastAsia" w:hAnsiTheme="minorHAnsi" w:cstheme="minorBidi"/>
          <w:noProof/>
          <w:sz w:val="22"/>
          <w:szCs w:val="22"/>
        </w:rPr>
      </w:pPr>
      <w:hyperlink w:anchor="_Toc94040077" w:history="1">
        <w:r w:rsidR="005B5BD0" w:rsidRPr="00AD7D3B">
          <w:rPr>
            <w:rStyle w:val="Hyperlink"/>
            <w:noProof/>
          </w:rPr>
          <w:t>3.2</w:t>
        </w:r>
        <w:r w:rsidR="005B5BD0">
          <w:rPr>
            <w:rFonts w:asciiTheme="minorHAnsi" w:eastAsiaTheme="minorEastAsia" w:hAnsiTheme="minorHAnsi" w:cstheme="minorBidi"/>
            <w:noProof/>
            <w:sz w:val="22"/>
            <w:szCs w:val="22"/>
          </w:rPr>
          <w:tab/>
        </w:r>
        <w:r w:rsidR="005B5BD0" w:rsidRPr="00AD7D3B">
          <w:rPr>
            <w:rStyle w:val="Hyperlink"/>
            <w:noProof/>
          </w:rPr>
          <w:t>Budgeted financial statements</w:t>
        </w:r>
        <w:r w:rsidR="005B5BD0">
          <w:rPr>
            <w:noProof/>
            <w:webHidden/>
          </w:rPr>
          <w:tab/>
        </w:r>
        <w:r w:rsidR="005B5BD0">
          <w:rPr>
            <w:noProof/>
            <w:webHidden/>
          </w:rPr>
          <w:fldChar w:fldCharType="begin"/>
        </w:r>
        <w:r w:rsidR="005B5BD0">
          <w:rPr>
            <w:noProof/>
            <w:webHidden/>
          </w:rPr>
          <w:instrText xml:space="preserve"> PAGEREF _Toc94040077 \h </w:instrText>
        </w:r>
        <w:r w:rsidR="005B5BD0">
          <w:rPr>
            <w:noProof/>
            <w:webHidden/>
          </w:rPr>
        </w:r>
        <w:r w:rsidR="005B5BD0">
          <w:rPr>
            <w:noProof/>
            <w:webHidden/>
          </w:rPr>
          <w:fldChar w:fldCharType="separate"/>
        </w:r>
        <w:r w:rsidR="003B5862">
          <w:rPr>
            <w:noProof/>
            <w:webHidden/>
          </w:rPr>
          <w:t>167</w:t>
        </w:r>
        <w:r w:rsidR="005B5BD0">
          <w:rPr>
            <w:noProof/>
            <w:webHidden/>
          </w:rPr>
          <w:fldChar w:fldCharType="end"/>
        </w:r>
      </w:hyperlink>
    </w:p>
    <w:p w14:paraId="3F0C1387" w14:textId="267A1AE9" w:rsidR="00F37CD1" w:rsidRDefault="005B5BD0" w:rsidP="005B5BD0">
      <w:pPr>
        <w:pStyle w:val="TOC2"/>
        <w:tabs>
          <w:tab w:val="left" w:pos="660"/>
        </w:tabs>
        <w:rPr>
          <w:rFonts w:asciiTheme="minorHAnsi" w:eastAsiaTheme="minorEastAsia" w:hAnsiTheme="minorHAnsi" w:cstheme="minorBidi"/>
          <w:noProof/>
          <w:sz w:val="22"/>
          <w:szCs w:val="22"/>
        </w:rPr>
      </w:pPr>
      <w:r>
        <w:rPr>
          <w:noProof/>
        </w:rPr>
        <w:fldChar w:fldCharType="end"/>
      </w:r>
    </w:p>
    <w:p w14:paraId="1BDC1A5B" w14:textId="733E2A11" w:rsidR="00914885" w:rsidRPr="0035086F" w:rsidRDefault="0030114B" w:rsidP="00914885">
      <w:r>
        <w:rPr>
          <w:rFonts w:ascii="Arial" w:hAnsi="Arial"/>
          <w:b/>
        </w:rPr>
        <w:fldChar w:fldCharType="end"/>
      </w:r>
    </w:p>
    <w:p w14:paraId="65EBD306" w14:textId="77777777" w:rsidR="00914885" w:rsidRPr="0035086F" w:rsidRDefault="00914885" w:rsidP="00914885">
      <w:pPr>
        <w:sectPr w:rsidR="00914885" w:rsidRPr="0035086F" w:rsidSect="005A601A">
          <w:headerReference w:type="even" r:id="rId110"/>
          <w:headerReference w:type="default" r:id="rId111"/>
          <w:footerReference w:type="even" r:id="rId112"/>
          <w:footerReference w:type="default" r:id="rId113"/>
          <w:headerReference w:type="first" r:id="rId114"/>
          <w:footerReference w:type="first" r:id="rId115"/>
          <w:type w:val="oddPage"/>
          <w:pgSz w:w="11907" w:h="16840" w:code="9"/>
          <w:pgMar w:top="2835" w:right="2098" w:bottom="2466" w:left="2098" w:header="1814" w:footer="1814" w:gutter="0"/>
          <w:cols w:space="720"/>
          <w:titlePg/>
        </w:sectPr>
      </w:pPr>
    </w:p>
    <w:p w14:paraId="230B6F56" w14:textId="5D398792" w:rsidR="00914885" w:rsidRPr="008A6240" w:rsidRDefault="00EC28BF" w:rsidP="00F37CD1">
      <w:pPr>
        <w:pStyle w:val="Heading1-LVL2"/>
      </w:pPr>
      <w:bookmarkStart w:id="498" w:name="_Toc94198476"/>
      <w:r w:rsidRPr="008A6240">
        <w:lastRenderedPageBreak/>
        <w:t>National Library of Australia</w:t>
      </w:r>
      <w:bookmarkEnd w:id="498"/>
    </w:p>
    <w:p w14:paraId="08BB0E23" w14:textId="6E96F9EA" w:rsidR="00914885" w:rsidRPr="00F045E6" w:rsidRDefault="00914885" w:rsidP="0030114B">
      <w:pPr>
        <w:pStyle w:val="Heading2-TOCNLA"/>
      </w:pPr>
      <w:bookmarkStart w:id="499" w:name="_Toc93405191"/>
      <w:bookmarkStart w:id="500" w:name="_Toc94040066"/>
      <w:r w:rsidRPr="00F045E6">
        <w:t>Section 1: Entity overview and resources</w:t>
      </w:r>
      <w:bookmarkEnd w:id="499"/>
      <w:bookmarkEnd w:id="500"/>
    </w:p>
    <w:p w14:paraId="0B1A0AAB" w14:textId="3A36C1FD" w:rsidR="00914885" w:rsidRPr="002322E9" w:rsidRDefault="00914885" w:rsidP="005B5BD0">
      <w:pPr>
        <w:pStyle w:val="Heading3NLA"/>
      </w:pPr>
      <w:bookmarkStart w:id="501" w:name="_Toc93405192"/>
      <w:bookmarkStart w:id="502" w:name="_Toc94040067"/>
      <w:r>
        <w:t>1.1</w:t>
      </w:r>
      <w:r>
        <w:tab/>
      </w:r>
      <w:r w:rsidRPr="004928FF">
        <w:t xml:space="preserve">Strategic </w:t>
      </w:r>
      <w:r w:rsidRPr="005B5BD0">
        <w:t>direction</w:t>
      </w:r>
      <w:r>
        <w:t xml:space="preserve"> statement</w:t>
      </w:r>
      <w:bookmarkEnd w:id="501"/>
      <w:bookmarkEnd w:id="502"/>
    </w:p>
    <w:p w14:paraId="1D84470C" w14:textId="77777777" w:rsidR="004B202A" w:rsidRPr="00B94E5D" w:rsidRDefault="004B202A" w:rsidP="004B202A">
      <w:pPr>
        <w:pStyle w:val="Exampletext0"/>
        <w:spacing w:after="120"/>
        <w:jc w:val="left"/>
        <w:rPr>
          <w:i w:val="0"/>
          <w:color w:val="auto"/>
        </w:rPr>
      </w:pPr>
      <w:r w:rsidRPr="00B94E5D">
        <w:rPr>
          <w:i w:val="0"/>
          <w:color w:val="auto"/>
        </w:rPr>
        <w:t xml:space="preserve">The functions of the National Library of Australia (NLA), as defined in the </w:t>
      </w:r>
      <w:r w:rsidRPr="00505D70">
        <w:rPr>
          <w:iCs/>
          <w:color w:val="auto"/>
        </w:rPr>
        <w:t>National Library Act 1960</w:t>
      </w:r>
      <w:r w:rsidRPr="00B94E5D">
        <w:rPr>
          <w:i w:val="0"/>
          <w:color w:val="auto"/>
        </w:rPr>
        <w:t xml:space="preserve">, are to: </w:t>
      </w:r>
    </w:p>
    <w:p w14:paraId="76A64822" w14:textId="77777777" w:rsidR="004B202A" w:rsidRPr="00373CC5" w:rsidRDefault="004B202A" w:rsidP="009B54D8">
      <w:pPr>
        <w:pStyle w:val="paragraph"/>
        <w:numPr>
          <w:ilvl w:val="0"/>
          <w:numId w:val="18"/>
        </w:numPr>
        <w:spacing w:before="120" w:beforeAutospacing="0" w:after="0" w:afterAutospacing="0"/>
        <w:ind w:left="375"/>
        <w:textAlignment w:val="baseline"/>
        <w:rPr>
          <w:rFonts w:cs="Arial"/>
          <w:bCs/>
        </w:rPr>
      </w:pPr>
      <w:r w:rsidRPr="000E317F">
        <w:rPr>
          <w:rFonts w:ascii="Book Antiqua" w:eastAsia="Times New Roman" w:hAnsi="Book Antiqua" w:cs="Arial"/>
          <w:bCs/>
          <w:sz w:val="20"/>
          <w:szCs w:val="20"/>
        </w:rPr>
        <w:t xml:space="preserve">maintain and develop a national collection of library material, including a comprehensive collection of library material relating to Australia and the Australian people </w:t>
      </w:r>
    </w:p>
    <w:p w14:paraId="642A4A11" w14:textId="77777777" w:rsidR="004B202A" w:rsidRPr="00373CC5" w:rsidRDefault="004B202A" w:rsidP="009B54D8">
      <w:pPr>
        <w:pStyle w:val="paragraph"/>
        <w:numPr>
          <w:ilvl w:val="0"/>
          <w:numId w:val="18"/>
        </w:numPr>
        <w:spacing w:before="120" w:beforeAutospacing="0" w:after="0" w:afterAutospacing="0"/>
        <w:ind w:left="375"/>
        <w:textAlignment w:val="baseline"/>
        <w:rPr>
          <w:rFonts w:cs="Arial"/>
          <w:bCs/>
        </w:rPr>
      </w:pPr>
      <w:r w:rsidRPr="000E317F">
        <w:rPr>
          <w:rFonts w:ascii="Book Antiqua" w:eastAsia="Times New Roman" w:hAnsi="Book Antiqua" w:cs="Arial"/>
          <w:bCs/>
          <w:sz w:val="20"/>
          <w:szCs w:val="20"/>
        </w:rPr>
        <w:t xml:space="preserve">make library material in the national collection available </w:t>
      </w:r>
    </w:p>
    <w:p w14:paraId="456868FC" w14:textId="77777777" w:rsidR="004B202A" w:rsidRPr="00373CC5" w:rsidRDefault="004B202A" w:rsidP="009B54D8">
      <w:pPr>
        <w:pStyle w:val="paragraph"/>
        <w:numPr>
          <w:ilvl w:val="0"/>
          <w:numId w:val="18"/>
        </w:numPr>
        <w:spacing w:before="120" w:beforeAutospacing="0" w:after="0" w:afterAutospacing="0"/>
        <w:ind w:left="375"/>
        <w:textAlignment w:val="baseline"/>
        <w:rPr>
          <w:rFonts w:cs="Arial"/>
          <w:bCs/>
        </w:rPr>
      </w:pPr>
      <w:r w:rsidRPr="000E317F">
        <w:rPr>
          <w:rFonts w:ascii="Book Antiqua" w:eastAsia="Times New Roman" w:hAnsi="Book Antiqua" w:cs="Arial"/>
          <w:bCs/>
          <w:sz w:val="20"/>
          <w:szCs w:val="20"/>
        </w:rPr>
        <w:t xml:space="preserve">make available such other services in relation to library matters and library material as determined by the National Library Council </w:t>
      </w:r>
    </w:p>
    <w:p w14:paraId="51905A39" w14:textId="77777777" w:rsidR="004B202A" w:rsidRPr="000E317F" w:rsidRDefault="004B202A" w:rsidP="009B54D8">
      <w:pPr>
        <w:pStyle w:val="paragraph"/>
        <w:numPr>
          <w:ilvl w:val="0"/>
          <w:numId w:val="18"/>
        </w:numPr>
        <w:spacing w:before="120" w:beforeAutospacing="0" w:after="0" w:afterAutospacing="0"/>
        <w:ind w:left="375"/>
        <w:textAlignment w:val="baseline"/>
        <w:rPr>
          <w:rFonts w:cs="Arial"/>
          <w:bCs/>
        </w:rPr>
      </w:pPr>
      <w:proofErr w:type="gramStart"/>
      <w:r w:rsidRPr="000E317F">
        <w:rPr>
          <w:rFonts w:ascii="Book Antiqua" w:eastAsia="Times New Roman" w:hAnsi="Book Antiqua" w:cs="Arial"/>
          <w:bCs/>
          <w:sz w:val="20"/>
          <w:szCs w:val="20"/>
        </w:rPr>
        <w:t>cooperate</w:t>
      </w:r>
      <w:proofErr w:type="gramEnd"/>
      <w:r w:rsidRPr="000E317F">
        <w:rPr>
          <w:rFonts w:ascii="Book Antiqua" w:eastAsia="Times New Roman" w:hAnsi="Book Antiqua" w:cs="Arial"/>
          <w:bCs/>
          <w:sz w:val="20"/>
          <w:szCs w:val="20"/>
        </w:rPr>
        <w:t xml:space="preserve"> in library matters with authorities or persons, whether in Australia or elsewhere, concerned with library matters. </w:t>
      </w:r>
    </w:p>
    <w:p w14:paraId="29E20BE8" w14:textId="77777777" w:rsidR="004B202A" w:rsidRPr="00B94E5D" w:rsidRDefault="004B202A" w:rsidP="004B202A">
      <w:pPr>
        <w:pStyle w:val="Exampletext0"/>
        <w:spacing w:before="240"/>
        <w:jc w:val="left"/>
        <w:rPr>
          <w:i w:val="0"/>
          <w:color w:val="auto"/>
        </w:rPr>
      </w:pPr>
      <w:r w:rsidRPr="00B94E5D">
        <w:rPr>
          <w:i w:val="0"/>
          <w:color w:val="000000" w:themeColor="text1"/>
        </w:rPr>
        <w:t xml:space="preserve">The NLA </w:t>
      </w:r>
      <w:r w:rsidRPr="00B94E5D">
        <w:rPr>
          <w:i w:val="0"/>
          <w:color w:val="auto"/>
        </w:rPr>
        <w:t xml:space="preserve">is </w:t>
      </w:r>
      <w:r w:rsidRPr="00B94E5D">
        <w:rPr>
          <w:i w:val="0"/>
          <w:color w:val="auto"/>
          <w:lang w:val="en-US"/>
        </w:rPr>
        <w:t xml:space="preserve">committed </w:t>
      </w:r>
      <w:r w:rsidRPr="00B94E5D">
        <w:rPr>
          <w:i w:val="0"/>
          <w:color w:val="auto"/>
        </w:rPr>
        <w:t>to collect</w:t>
      </w:r>
      <w:r w:rsidRPr="00B94E5D">
        <w:rPr>
          <w:i w:val="0"/>
          <w:color w:val="auto"/>
          <w:lang w:val="en-US"/>
        </w:rPr>
        <w:t>ing</w:t>
      </w:r>
      <w:r w:rsidRPr="00B94E5D">
        <w:rPr>
          <w:i w:val="0"/>
          <w:color w:val="auto"/>
        </w:rPr>
        <w:t xml:space="preserve"> documentary resources</w:t>
      </w:r>
      <w:r>
        <w:rPr>
          <w:i w:val="0"/>
          <w:color w:val="auto"/>
          <w:lang w:val="en-US"/>
        </w:rPr>
        <w:t>, particularly</w:t>
      </w:r>
      <w:r w:rsidRPr="00B94E5D">
        <w:rPr>
          <w:i w:val="0"/>
          <w:color w:val="auto"/>
        </w:rPr>
        <w:t xml:space="preserve"> relating to Australia and the Australian people</w:t>
      </w:r>
      <w:r>
        <w:rPr>
          <w:i w:val="0"/>
          <w:color w:val="auto"/>
          <w:lang w:val="en-US"/>
        </w:rPr>
        <w:t>,</w:t>
      </w:r>
      <w:r w:rsidRPr="00B94E5D">
        <w:rPr>
          <w:i w:val="0"/>
          <w:color w:val="auto"/>
        </w:rPr>
        <w:t xml:space="preserve"> so that the Australian community — now and in the future — can discover, learn and create new knowledge. </w:t>
      </w:r>
      <w:r w:rsidRPr="00B94E5D">
        <w:rPr>
          <w:i w:val="0"/>
          <w:color w:val="auto"/>
          <w:lang w:val="en-US"/>
        </w:rPr>
        <w:t>Further, t</w:t>
      </w:r>
      <w:r w:rsidRPr="00B94E5D">
        <w:rPr>
          <w:i w:val="0"/>
          <w:color w:val="auto"/>
        </w:rPr>
        <w:t xml:space="preserve">he NLA is committed to providing open access to the national collection and its online services. Australians—whoever they are and wherever they live—should be able to easily discover and obtain the information they are seeking and to engage with rich digital content to support their lifelong learning. </w:t>
      </w:r>
    </w:p>
    <w:p w14:paraId="5FEF9CE5" w14:textId="77777777" w:rsidR="004B202A" w:rsidRPr="00B94E5D" w:rsidRDefault="004B202A" w:rsidP="004B202A">
      <w:pPr>
        <w:pStyle w:val="Exampletext0"/>
        <w:jc w:val="left"/>
        <w:rPr>
          <w:i w:val="0"/>
          <w:color w:val="auto"/>
          <w:lang w:val="en-US"/>
        </w:rPr>
      </w:pPr>
      <w:r w:rsidRPr="00B94E5D">
        <w:rPr>
          <w:i w:val="0"/>
          <w:color w:val="auto"/>
        </w:rPr>
        <w:t>The NLA actively supports creative and intellectual endeavour and the dissemination of knowledge, ideas and information. The NLA has a strong national focus in its outlook, services, products and activities and takes a leadership role in sharing expertise and coordinating key projects across the research, collecting and cultural sectors.</w:t>
      </w:r>
      <w:r w:rsidRPr="00B94E5D">
        <w:rPr>
          <w:i w:val="0"/>
          <w:color w:val="auto"/>
          <w:lang w:val="en-US"/>
        </w:rPr>
        <w:t xml:space="preserve"> </w:t>
      </w:r>
    </w:p>
    <w:p w14:paraId="42C28D61" w14:textId="77777777" w:rsidR="00914885" w:rsidRDefault="00914885" w:rsidP="00914885">
      <w:pPr>
        <w:spacing w:after="0" w:line="240" w:lineRule="auto"/>
        <w:jc w:val="left"/>
        <w:rPr>
          <w:lang w:val="en-US"/>
        </w:rPr>
      </w:pPr>
      <w:r>
        <w:rPr>
          <w:lang w:val="en-US"/>
        </w:rPr>
        <w:br w:type="page"/>
      </w:r>
    </w:p>
    <w:p w14:paraId="44F0388A" w14:textId="3A8C047B" w:rsidR="00914885" w:rsidRPr="004928FF" w:rsidRDefault="00914885" w:rsidP="0030114B">
      <w:pPr>
        <w:pStyle w:val="Heading3NLA"/>
      </w:pPr>
      <w:bookmarkStart w:id="503" w:name="_Toc93405193"/>
      <w:bookmarkStart w:id="504" w:name="_Toc94040068"/>
      <w:r>
        <w:lastRenderedPageBreak/>
        <w:t>1.2</w:t>
      </w:r>
      <w:r>
        <w:tab/>
        <w:t>Entity resource statement</w:t>
      </w:r>
      <w:bookmarkEnd w:id="503"/>
      <w:bookmarkEnd w:id="504"/>
    </w:p>
    <w:p w14:paraId="3BE33E49" w14:textId="298B5FE6" w:rsidR="004B202A" w:rsidRDefault="004B202A" w:rsidP="004B202A">
      <w:pPr>
        <w:pStyle w:val="Exampletext0"/>
        <w:jc w:val="left"/>
        <w:rPr>
          <w:i w:val="0"/>
          <w:color w:val="auto"/>
          <w:lang w:val="en-AU"/>
        </w:rPr>
      </w:pPr>
      <w:r w:rsidRPr="0044717A">
        <w:rPr>
          <w:i w:val="0"/>
          <w:color w:val="auto"/>
          <w:lang w:val="en-AU"/>
        </w:rPr>
        <w:t xml:space="preserve">The </w:t>
      </w:r>
      <w:r w:rsidR="00BD2516">
        <w:rPr>
          <w:i w:val="0"/>
          <w:color w:val="auto"/>
          <w:lang w:val="en-AU"/>
        </w:rPr>
        <w:t>NLA</w:t>
      </w:r>
      <w:r w:rsidRPr="0044717A">
        <w:rPr>
          <w:i w:val="0"/>
          <w:color w:val="auto"/>
          <w:lang w:val="en-AU"/>
        </w:rPr>
        <w:t xml:space="preserve"> resource statement details the resourcing for </w:t>
      </w:r>
      <w:r>
        <w:rPr>
          <w:i w:val="0"/>
          <w:color w:val="auto"/>
          <w:lang w:val="en-AU"/>
        </w:rPr>
        <w:t>the NLA</w:t>
      </w:r>
      <w:r w:rsidRPr="0044717A">
        <w:rPr>
          <w:i w:val="0"/>
          <w:color w:val="auto"/>
          <w:lang w:val="en-AU"/>
        </w:rPr>
        <w:t xml:space="preserve"> at Additional Estimates. Table 1.1 shows the total resourc</w:t>
      </w:r>
      <w:r>
        <w:rPr>
          <w:i w:val="0"/>
          <w:color w:val="auto"/>
          <w:lang w:val="en-AU"/>
        </w:rPr>
        <w:t>es from all sources for the 2021-22</w:t>
      </w:r>
      <w:r w:rsidRPr="0044717A">
        <w:rPr>
          <w:i w:val="0"/>
          <w:color w:val="auto"/>
          <w:lang w:val="en-AU"/>
        </w:rPr>
        <w:t xml:space="preserve"> Budget year, including variations through Appropriation Bills No. 3 and No. 4 and special appropriations.</w:t>
      </w:r>
    </w:p>
    <w:p w14:paraId="17D9517C" w14:textId="129FD437" w:rsidR="004B202A" w:rsidRDefault="004B202A" w:rsidP="004B202A">
      <w:pPr>
        <w:pStyle w:val="TableHeading"/>
        <w:rPr>
          <w:lang w:val="en-GB"/>
        </w:rPr>
      </w:pPr>
      <w:r w:rsidRPr="00D44150">
        <w:t xml:space="preserve">Table 1.1: </w:t>
      </w:r>
      <w:r>
        <w:rPr>
          <w:lang w:val="en-GB"/>
        </w:rPr>
        <w:t>NLA</w:t>
      </w:r>
      <w:r w:rsidRPr="00D44150">
        <w:t xml:space="preserve"> resource statement</w:t>
      </w:r>
      <w:r>
        <w:t xml:space="preserve"> — </w:t>
      </w:r>
      <w:r>
        <w:rPr>
          <w:lang w:val="en-US"/>
        </w:rPr>
        <w:t>Additional</w:t>
      </w:r>
      <w:r>
        <w:t xml:space="preserve"> estimates for 202</w:t>
      </w:r>
      <w:r>
        <w:rPr>
          <w:lang w:val="en-GB"/>
        </w:rPr>
        <w:t>1</w:t>
      </w:r>
      <w:r>
        <w:rPr>
          <w:lang w:val="en-GB"/>
        </w:rPr>
        <w:softHyphen/>
      </w:r>
      <w:r>
        <w:rPr>
          <w:lang w:val="en-GB"/>
        </w:rPr>
        <w:softHyphen/>
        <w:t>-22</w:t>
      </w:r>
      <w:r>
        <w:t xml:space="preserve"> </w:t>
      </w:r>
      <w:r w:rsidRPr="00D44150">
        <w:t xml:space="preserve">as at </w:t>
      </w:r>
      <w:r>
        <w:rPr>
          <w:lang w:val="en-US"/>
        </w:rPr>
        <w:t>Additional Estimates February</w:t>
      </w:r>
      <w:r w:rsidRPr="00D44150">
        <w:t xml:space="preserve"> </w:t>
      </w:r>
      <w:r w:rsidR="002A4EF6">
        <w:rPr>
          <w:lang w:val="en-GB"/>
        </w:rPr>
        <w:t>2022</w:t>
      </w:r>
    </w:p>
    <w:tbl>
      <w:tblPr>
        <w:tblW w:w="7637" w:type="dxa"/>
        <w:tblLook w:val="04A0" w:firstRow="1" w:lastRow="0" w:firstColumn="1" w:lastColumn="0" w:noHBand="0" w:noVBand="1"/>
      </w:tblPr>
      <w:tblGrid>
        <w:gridCol w:w="3402"/>
        <w:gridCol w:w="1150"/>
        <w:gridCol w:w="977"/>
        <w:gridCol w:w="992"/>
        <w:gridCol w:w="1116"/>
      </w:tblGrid>
      <w:tr w:rsidR="00857702" w:rsidRPr="00857702" w14:paraId="4DEB7B69" w14:textId="77777777" w:rsidTr="001D77BC">
        <w:trPr>
          <w:trHeight w:val="973"/>
        </w:trPr>
        <w:tc>
          <w:tcPr>
            <w:tcW w:w="3402" w:type="dxa"/>
            <w:tcBorders>
              <w:top w:val="single" w:sz="4" w:space="0" w:color="auto"/>
              <w:left w:val="nil"/>
              <w:bottom w:val="nil"/>
              <w:right w:val="nil"/>
            </w:tcBorders>
            <w:shd w:val="clear" w:color="000000" w:fill="FFFFFF"/>
            <w:noWrap/>
            <w:vAlign w:val="bottom"/>
            <w:hideMark/>
          </w:tcPr>
          <w:p w14:paraId="55CF8033" w14:textId="77777777" w:rsidR="00857702" w:rsidRPr="00857702" w:rsidRDefault="00857702" w:rsidP="00857702">
            <w:pPr>
              <w:spacing w:after="0" w:line="240" w:lineRule="auto"/>
              <w:jc w:val="left"/>
              <w:rPr>
                <w:rFonts w:ascii="Arial" w:hAnsi="Arial" w:cs="Arial"/>
                <w:color w:val="000000"/>
                <w:sz w:val="16"/>
                <w:szCs w:val="16"/>
              </w:rPr>
            </w:pPr>
            <w:r w:rsidRPr="00857702">
              <w:rPr>
                <w:rFonts w:ascii="Arial" w:hAnsi="Arial" w:cs="Arial"/>
                <w:color w:val="000000"/>
                <w:sz w:val="16"/>
                <w:szCs w:val="16"/>
              </w:rPr>
              <w:t> </w:t>
            </w:r>
          </w:p>
        </w:tc>
        <w:tc>
          <w:tcPr>
            <w:tcW w:w="1150" w:type="dxa"/>
            <w:tcBorders>
              <w:top w:val="single" w:sz="4" w:space="0" w:color="auto"/>
              <w:left w:val="nil"/>
              <w:bottom w:val="single" w:sz="4" w:space="0" w:color="auto"/>
              <w:right w:val="nil"/>
            </w:tcBorders>
            <w:shd w:val="clear" w:color="000000" w:fill="FFFFFF"/>
            <w:hideMark/>
          </w:tcPr>
          <w:p w14:paraId="1476161F" w14:textId="77777777" w:rsidR="00857702" w:rsidRPr="00857702" w:rsidRDefault="00857702" w:rsidP="00857702">
            <w:pPr>
              <w:spacing w:after="0" w:line="240" w:lineRule="auto"/>
              <w:jc w:val="right"/>
              <w:rPr>
                <w:rFonts w:ascii="Arial" w:hAnsi="Arial" w:cs="Arial"/>
                <w:color w:val="000000"/>
                <w:sz w:val="16"/>
                <w:szCs w:val="16"/>
              </w:rPr>
            </w:pPr>
            <w:r w:rsidRPr="00857702">
              <w:rPr>
                <w:rFonts w:ascii="Arial" w:hAnsi="Arial" w:cs="Arial"/>
                <w:color w:val="000000"/>
                <w:sz w:val="16"/>
                <w:szCs w:val="16"/>
              </w:rPr>
              <w:t>Actual</w:t>
            </w:r>
            <w:r w:rsidRPr="00857702">
              <w:rPr>
                <w:rFonts w:ascii="Arial" w:hAnsi="Arial" w:cs="Arial"/>
                <w:color w:val="000000"/>
                <w:sz w:val="16"/>
                <w:szCs w:val="16"/>
              </w:rPr>
              <w:br/>
              <w:t>available</w:t>
            </w:r>
            <w:r w:rsidRPr="00857702">
              <w:rPr>
                <w:rFonts w:ascii="Arial" w:hAnsi="Arial" w:cs="Arial"/>
                <w:color w:val="000000"/>
                <w:sz w:val="16"/>
                <w:szCs w:val="16"/>
              </w:rPr>
              <w:br/>
              <w:t>appropriation</w:t>
            </w:r>
            <w:r w:rsidRPr="00857702">
              <w:rPr>
                <w:rFonts w:ascii="Arial" w:hAnsi="Arial" w:cs="Arial"/>
                <w:color w:val="000000"/>
                <w:sz w:val="16"/>
                <w:szCs w:val="16"/>
              </w:rPr>
              <w:br/>
            </w:r>
            <w:r w:rsidRPr="00857702">
              <w:rPr>
                <w:rFonts w:ascii="Arial" w:hAnsi="Arial" w:cs="Arial"/>
                <w:color w:val="000000"/>
                <w:sz w:val="16"/>
                <w:szCs w:val="16"/>
              </w:rPr>
              <w:br/>
              <w:t>2020-21</w:t>
            </w:r>
            <w:r w:rsidRPr="00857702">
              <w:rPr>
                <w:rFonts w:ascii="Arial" w:hAnsi="Arial" w:cs="Arial"/>
                <w:color w:val="000000"/>
                <w:sz w:val="16"/>
                <w:szCs w:val="16"/>
              </w:rPr>
              <w:br/>
              <w:t>$'000</w:t>
            </w:r>
          </w:p>
        </w:tc>
        <w:tc>
          <w:tcPr>
            <w:tcW w:w="977" w:type="dxa"/>
            <w:tcBorders>
              <w:top w:val="single" w:sz="4" w:space="0" w:color="auto"/>
              <w:left w:val="nil"/>
              <w:bottom w:val="single" w:sz="4" w:space="0" w:color="auto"/>
              <w:right w:val="nil"/>
            </w:tcBorders>
            <w:shd w:val="clear" w:color="000000" w:fill="FFFFFF"/>
            <w:hideMark/>
          </w:tcPr>
          <w:p w14:paraId="113B64D4" w14:textId="77777777" w:rsidR="00857702" w:rsidRPr="00857702" w:rsidRDefault="00857702" w:rsidP="00857702">
            <w:pPr>
              <w:spacing w:after="0" w:line="240" w:lineRule="auto"/>
              <w:jc w:val="right"/>
              <w:rPr>
                <w:rFonts w:ascii="Arial" w:hAnsi="Arial" w:cs="Arial"/>
                <w:color w:val="000000"/>
                <w:sz w:val="16"/>
                <w:szCs w:val="16"/>
              </w:rPr>
            </w:pPr>
            <w:r w:rsidRPr="00857702">
              <w:rPr>
                <w:rFonts w:ascii="Arial" w:hAnsi="Arial" w:cs="Arial"/>
                <w:color w:val="000000"/>
                <w:sz w:val="16"/>
                <w:szCs w:val="16"/>
              </w:rPr>
              <w:t>Estimate</w:t>
            </w:r>
            <w:r w:rsidRPr="00857702">
              <w:rPr>
                <w:rFonts w:ascii="Arial" w:hAnsi="Arial" w:cs="Arial"/>
                <w:color w:val="000000"/>
                <w:sz w:val="16"/>
                <w:szCs w:val="16"/>
              </w:rPr>
              <w:br/>
              <w:t>as at</w:t>
            </w:r>
            <w:r w:rsidRPr="00857702">
              <w:rPr>
                <w:rFonts w:ascii="Arial" w:hAnsi="Arial" w:cs="Arial"/>
                <w:color w:val="000000"/>
                <w:sz w:val="16"/>
                <w:szCs w:val="16"/>
              </w:rPr>
              <w:br/>
              <w:t>Budget</w:t>
            </w:r>
            <w:r w:rsidRPr="00857702">
              <w:rPr>
                <w:rFonts w:ascii="Arial" w:hAnsi="Arial" w:cs="Arial"/>
                <w:color w:val="000000"/>
                <w:sz w:val="16"/>
                <w:szCs w:val="16"/>
              </w:rPr>
              <w:br/>
            </w:r>
            <w:r w:rsidRPr="00857702">
              <w:rPr>
                <w:rFonts w:ascii="Arial" w:hAnsi="Arial" w:cs="Arial"/>
                <w:color w:val="000000"/>
                <w:sz w:val="16"/>
                <w:szCs w:val="16"/>
              </w:rPr>
              <w:br/>
              <w:t>2021-22</w:t>
            </w:r>
            <w:r w:rsidRPr="00857702">
              <w:rPr>
                <w:rFonts w:ascii="Arial" w:hAnsi="Arial" w:cs="Arial"/>
                <w:color w:val="000000"/>
                <w:sz w:val="16"/>
                <w:szCs w:val="16"/>
              </w:rPr>
              <w:br/>
              <w:t>$'000</w:t>
            </w:r>
          </w:p>
        </w:tc>
        <w:tc>
          <w:tcPr>
            <w:tcW w:w="992" w:type="dxa"/>
            <w:tcBorders>
              <w:top w:val="single" w:sz="4" w:space="0" w:color="auto"/>
              <w:left w:val="nil"/>
              <w:bottom w:val="single" w:sz="4" w:space="0" w:color="auto"/>
              <w:right w:val="nil"/>
            </w:tcBorders>
            <w:shd w:val="clear" w:color="000000" w:fill="FFFFFF"/>
            <w:hideMark/>
          </w:tcPr>
          <w:p w14:paraId="2E97CA05" w14:textId="77777777" w:rsidR="00857702" w:rsidRPr="00857702" w:rsidRDefault="00857702" w:rsidP="00857702">
            <w:pPr>
              <w:spacing w:after="0" w:line="240" w:lineRule="auto"/>
              <w:jc w:val="right"/>
              <w:rPr>
                <w:rFonts w:ascii="Arial" w:hAnsi="Arial" w:cs="Arial"/>
                <w:color w:val="000000"/>
                <w:sz w:val="16"/>
                <w:szCs w:val="16"/>
              </w:rPr>
            </w:pPr>
            <w:r w:rsidRPr="00857702">
              <w:rPr>
                <w:rFonts w:ascii="Arial" w:hAnsi="Arial" w:cs="Arial"/>
                <w:color w:val="000000"/>
                <w:sz w:val="16"/>
                <w:szCs w:val="16"/>
              </w:rPr>
              <w:t>Proposed</w:t>
            </w:r>
            <w:r w:rsidRPr="00857702">
              <w:rPr>
                <w:rFonts w:ascii="Arial" w:hAnsi="Arial" w:cs="Arial"/>
                <w:color w:val="000000"/>
                <w:sz w:val="16"/>
                <w:szCs w:val="16"/>
              </w:rPr>
              <w:br/>
              <w:t>Additional</w:t>
            </w:r>
            <w:r w:rsidRPr="00857702">
              <w:rPr>
                <w:rFonts w:ascii="Arial" w:hAnsi="Arial" w:cs="Arial"/>
                <w:color w:val="000000"/>
                <w:sz w:val="16"/>
                <w:szCs w:val="16"/>
              </w:rPr>
              <w:br/>
              <w:t>Estimates</w:t>
            </w:r>
            <w:r w:rsidRPr="00857702">
              <w:rPr>
                <w:rFonts w:ascii="Arial" w:hAnsi="Arial" w:cs="Arial"/>
                <w:color w:val="000000"/>
                <w:sz w:val="16"/>
                <w:szCs w:val="16"/>
              </w:rPr>
              <w:br/>
            </w:r>
            <w:r w:rsidRPr="00857702">
              <w:rPr>
                <w:rFonts w:ascii="Arial" w:hAnsi="Arial" w:cs="Arial"/>
                <w:color w:val="000000"/>
                <w:sz w:val="16"/>
                <w:szCs w:val="16"/>
              </w:rPr>
              <w:br/>
              <w:t>2021-22</w:t>
            </w:r>
            <w:r w:rsidRPr="00857702">
              <w:rPr>
                <w:rFonts w:ascii="Arial" w:hAnsi="Arial" w:cs="Arial"/>
                <w:color w:val="000000"/>
                <w:sz w:val="16"/>
                <w:szCs w:val="16"/>
              </w:rPr>
              <w:br/>
              <w:t>$'000</w:t>
            </w:r>
          </w:p>
        </w:tc>
        <w:tc>
          <w:tcPr>
            <w:tcW w:w="1116" w:type="dxa"/>
            <w:tcBorders>
              <w:top w:val="single" w:sz="4" w:space="0" w:color="auto"/>
              <w:left w:val="nil"/>
              <w:bottom w:val="single" w:sz="4" w:space="0" w:color="auto"/>
              <w:right w:val="nil"/>
            </w:tcBorders>
            <w:shd w:val="clear" w:color="000000" w:fill="E6E6E6"/>
            <w:hideMark/>
          </w:tcPr>
          <w:p w14:paraId="102DF3B7" w14:textId="77777777" w:rsidR="00857702" w:rsidRPr="00857702" w:rsidRDefault="00857702" w:rsidP="00857702">
            <w:pPr>
              <w:spacing w:after="0" w:line="240" w:lineRule="auto"/>
              <w:jc w:val="right"/>
              <w:rPr>
                <w:rFonts w:ascii="Arial" w:hAnsi="Arial" w:cs="Arial"/>
                <w:color w:val="000000"/>
                <w:sz w:val="16"/>
                <w:szCs w:val="16"/>
              </w:rPr>
            </w:pPr>
            <w:r w:rsidRPr="00857702">
              <w:rPr>
                <w:rFonts w:ascii="Arial" w:hAnsi="Arial" w:cs="Arial"/>
                <w:color w:val="000000"/>
                <w:sz w:val="16"/>
                <w:szCs w:val="16"/>
              </w:rPr>
              <w:t>Total</w:t>
            </w:r>
            <w:r w:rsidRPr="00857702">
              <w:rPr>
                <w:rFonts w:ascii="Arial" w:hAnsi="Arial" w:cs="Arial"/>
                <w:color w:val="000000"/>
                <w:sz w:val="16"/>
                <w:szCs w:val="16"/>
              </w:rPr>
              <w:br/>
              <w:t>estimate at</w:t>
            </w:r>
            <w:r w:rsidRPr="00857702">
              <w:rPr>
                <w:rFonts w:ascii="Arial" w:hAnsi="Arial" w:cs="Arial"/>
                <w:color w:val="000000"/>
                <w:sz w:val="16"/>
                <w:szCs w:val="16"/>
              </w:rPr>
              <w:br/>
              <w:t>Additional</w:t>
            </w:r>
            <w:r w:rsidRPr="00857702">
              <w:rPr>
                <w:rFonts w:ascii="Arial" w:hAnsi="Arial" w:cs="Arial"/>
                <w:color w:val="000000"/>
                <w:sz w:val="16"/>
                <w:szCs w:val="16"/>
              </w:rPr>
              <w:br/>
              <w:t>Estimates</w:t>
            </w:r>
            <w:r w:rsidRPr="00857702">
              <w:rPr>
                <w:rFonts w:ascii="Arial" w:hAnsi="Arial" w:cs="Arial"/>
                <w:color w:val="000000"/>
                <w:sz w:val="16"/>
                <w:szCs w:val="16"/>
              </w:rPr>
              <w:br/>
              <w:t>2021-22</w:t>
            </w:r>
            <w:r w:rsidRPr="00857702">
              <w:rPr>
                <w:rFonts w:ascii="Arial" w:hAnsi="Arial" w:cs="Arial"/>
                <w:color w:val="000000"/>
                <w:sz w:val="16"/>
                <w:szCs w:val="16"/>
              </w:rPr>
              <w:br/>
              <w:t>$'000</w:t>
            </w:r>
          </w:p>
        </w:tc>
      </w:tr>
      <w:tr w:rsidR="00857702" w:rsidRPr="00857702" w14:paraId="079A4C87" w14:textId="77777777" w:rsidTr="009E7326">
        <w:trPr>
          <w:trHeight w:val="204"/>
        </w:trPr>
        <w:tc>
          <w:tcPr>
            <w:tcW w:w="3402" w:type="dxa"/>
            <w:tcBorders>
              <w:top w:val="nil"/>
              <w:left w:val="nil"/>
              <w:bottom w:val="nil"/>
              <w:right w:val="nil"/>
            </w:tcBorders>
            <w:shd w:val="clear" w:color="000000" w:fill="FFFFFF"/>
            <w:noWrap/>
            <w:vAlign w:val="bottom"/>
            <w:hideMark/>
          </w:tcPr>
          <w:p w14:paraId="5DEA535E" w14:textId="77777777" w:rsidR="00857702" w:rsidRPr="00857702" w:rsidRDefault="00857702" w:rsidP="00857702">
            <w:pPr>
              <w:spacing w:after="0" w:line="240" w:lineRule="auto"/>
              <w:jc w:val="left"/>
              <w:rPr>
                <w:rFonts w:ascii="Arial" w:hAnsi="Arial" w:cs="Arial"/>
                <w:b/>
                <w:bCs/>
                <w:color w:val="000000"/>
                <w:sz w:val="16"/>
                <w:szCs w:val="16"/>
              </w:rPr>
            </w:pPr>
            <w:r w:rsidRPr="00857702">
              <w:rPr>
                <w:rFonts w:ascii="Arial" w:hAnsi="Arial" w:cs="Arial"/>
                <w:b/>
                <w:bCs/>
                <w:color w:val="000000"/>
                <w:sz w:val="16"/>
                <w:szCs w:val="16"/>
              </w:rPr>
              <w:t>Opening balance/cash reserves at 1 July</w:t>
            </w:r>
          </w:p>
        </w:tc>
        <w:tc>
          <w:tcPr>
            <w:tcW w:w="1150" w:type="dxa"/>
            <w:tcBorders>
              <w:top w:val="single" w:sz="4" w:space="0" w:color="auto"/>
              <w:left w:val="nil"/>
              <w:bottom w:val="single" w:sz="4" w:space="0" w:color="auto"/>
              <w:right w:val="nil"/>
            </w:tcBorders>
            <w:shd w:val="clear" w:color="000000" w:fill="FFFFFF"/>
            <w:noWrap/>
            <w:vAlign w:val="bottom"/>
            <w:hideMark/>
          </w:tcPr>
          <w:p w14:paraId="018D3064" w14:textId="60BBB7E5" w:rsidR="00857702" w:rsidRPr="001D77BC" w:rsidRDefault="00857702" w:rsidP="00857702">
            <w:pPr>
              <w:spacing w:after="0" w:line="240" w:lineRule="auto"/>
              <w:jc w:val="right"/>
              <w:rPr>
                <w:rFonts w:ascii="Arial" w:hAnsi="Arial" w:cs="Arial"/>
                <w:b/>
                <w:iCs/>
                <w:color w:val="000000"/>
                <w:sz w:val="16"/>
                <w:szCs w:val="16"/>
              </w:rPr>
            </w:pPr>
            <w:r w:rsidRPr="001D77BC">
              <w:rPr>
                <w:rFonts w:ascii="Arial" w:hAnsi="Arial" w:cs="Arial"/>
                <w:b/>
                <w:iCs/>
                <w:color w:val="000000"/>
                <w:sz w:val="16"/>
                <w:szCs w:val="16"/>
              </w:rPr>
              <w:t>65,232</w:t>
            </w:r>
          </w:p>
        </w:tc>
        <w:tc>
          <w:tcPr>
            <w:tcW w:w="977" w:type="dxa"/>
            <w:tcBorders>
              <w:top w:val="single" w:sz="4" w:space="0" w:color="auto"/>
              <w:left w:val="nil"/>
              <w:bottom w:val="single" w:sz="4" w:space="0" w:color="auto"/>
              <w:right w:val="nil"/>
            </w:tcBorders>
            <w:shd w:val="clear" w:color="000000" w:fill="FFFFFF"/>
            <w:noWrap/>
            <w:vAlign w:val="bottom"/>
            <w:hideMark/>
          </w:tcPr>
          <w:p w14:paraId="20862DBE" w14:textId="1C8AA728" w:rsidR="00857702" w:rsidRPr="001D77BC" w:rsidRDefault="00857702" w:rsidP="00857702">
            <w:pPr>
              <w:spacing w:after="0" w:line="240" w:lineRule="auto"/>
              <w:jc w:val="right"/>
              <w:rPr>
                <w:rFonts w:ascii="Arial" w:hAnsi="Arial" w:cs="Arial"/>
                <w:b/>
                <w:iCs/>
                <w:color w:val="000000"/>
                <w:sz w:val="16"/>
                <w:szCs w:val="16"/>
              </w:rPr>
            </w:pPr>
            <w:r w:rsidRPr="001D77BC">
              <w:rPr>
                <w:rFonts w:ascii="Arial" w:hAnsi="Arial" w:cs="Arial"/>
                <w:b/>
                <w:iCs/>
                <w:color w:val="000000"/>
                <w:sz w:val="16"/>
                <w:szCs w:val="16"/>
              </w:rPr>
              <w:t>77,806</w:t>
            </w:r>
          </w:p>
        </w:tc>
        <w:tc>
          <w:tcPr>
            <w:tcW w:w="992" w:type="dxa"/>
            <w:tcBorders>
              <w:top w:val="single" w:sz="4" w:space="0" w:color="auto"/>
              <w:left w:val="nil"/>
              <w:bottom w:val="single" w:sz="4" w:space="0" w:color="auto"/>
              <w:right w:val="nil"/>
            </w:tcBorders>
            <w:shd w:val="clear" w:color="000000" w:fill="FFFFFF"/>
            <w:noWrap/>
            <w:vAlign w:val="bottom"/>
            <w:hideMark/>
          </w:tcPr>
          <w:p w14:paraId="56959B74" w14:textId="0E3B70A4" w:rsidR="00857702" w:rsidRPr="001D77BC" w:rsidRDefault="00857702" w:rsidP="00857702">
            <w:pPr>
              <w:spacing w:after="0" w:line="240" w:lineRule="auto"/>
              <w:jc w:val="right"/>
              <w:rPr>
                <w:rFonts w:ascii="Arial" w:hAnsi="Arial" w:cs="Arial"/>
                <w:b/>
                <w:iCs/>
                <w:color w:val="000000"/>
                <w:sz w:val="16"/>
                <w:szCs w:val="16"/>
              </w:rPr>
            </w:pPr>
            <w:r w:rsidRPr="001D77BC">
              <w:rPr>
                <w:rFonts w:ascii="Arial" w:hAnsi="Arial" w:cs="Arial"/>
                <w:b/>
                <w:iCs/>
                <w:color w:val="000000"/>
                <w:sz w:val="16"/>
                <w:szCs w:val="16"/>
              </w:rPr>
              <w:t>-</w:t>
            </w:r>
          </w:p>
        </w:tc>
        <w:tc>
          <w:tcPr>
            <w:tcW w:w="1116" w:type="dxa"/>
            <w:tcBorders>
              <w:top w:val="single" w:sz="4" w:space="0" w:color="auto"/>
              <w:left w:val="nil"/>
              <w:bottom w:val="single" w:sz="4" w:space="0" w:color="auto"/>
              <w:right w:val="nil"/>
            </w:tcBorders>
            <w:shd w:val="clear" w:color="000000" w:fill="E6E6E6"/>
            <w:noWrap/>
            <w:vAlign w:val="bottom"/>
            <w:hideMark/>
          </w:tcPr>
          <w:p w14:paraId="447996C8" w14:textId="195D0585" w:rsidR="00857702" w:rsidRPr="001D77BC" w:rsidRDefault="00857702" w:rsidP="00857702">
            <w:pPr>
              <w:spacing w:after="0" w:line="240" w:lineRule="auto"/>
              <w:jc w:val="right"/>
              <w:rPr>
                <w:rFonts w:ascii="Arial" w:hAnsi="Arial" w:cs="Arial"/>
                <w:b/>
                <w:color w:val="000000"/>
                <w:sz w:val="16"/>
                <w:szCs w:val="16"/>
              </w:rPr>
            </w:pPr>
            <w:r w:rsidRPr="001D77BC">
              <w:rPr>
                <w:rFonts w:ascii="Arial" w:hAnsi="Arial" w:cs="Arial"/>
                <w:b/>
                <w:color w:val="000000"/>
                <w:sz w:val="16"/>
                <w:szCs w:val="16"/>
              </w:rPr>
              <w:t>77,806</w:t>
            </w:r>
          </w:p>
        </w:tc>
      </w:tr>
      <w:tr w:rsidR="00857702" w:rsidRPr="00857702" w14:paraId="4441B65A" w14:textId="77777777" w:rsidTr="009E7326">
        <w:trPr>
          <w:trHeight w:val="204"/>
        </w:trPr>
        <w:tc>
          <w:tcPr>
            <w:tcW w:w="3402" w:type="dxa"/>
            <w:tcBorders>
              <w:top w:val="nil"/>
              <w:left w:val="nil"/>
              <w:bottom w:val="nil"/>
              <w:right w:val="nil"/>
            </w:tcBorders>
            <w:shd w:val="clear" w:color="000000" w:fill="FFFFFF"/>
            <w:vAlign w:val="bottom"/>
            <w:hideMark/>
          </w:tcPr>
          <w:p w14:paraId="457690AA" w14:textId="77777777" w:rsidR="00857702" w:rsidRPr="00857702" w:rsidRDefault="00857702" w:rsidP="00857702">
            <w:pPr>
              <w:spacing w:after="0" w:line="240" w:lineRule="auto"/>
              <w:jc w:val="left"/>
              <w:rPr>
                <w:rFonts w:ascii="Arial" w:hAnsi="Arial" w:cs="Arial"/>
                <w:b/>
                <w:bCs/>
                <w:color w:val="000000"/>
                <w:sz w:val="16"/>
                <w:szCs w:val="16"/>
              </w:rPr>
            </w:pPr>
            <w:r w:rsidRPr="00857702">
              <w:rPr>
                <w:rFonts w:ascii="Arial" w:hAnsi="Arial" w:cs="Arial"/>
                <w:b/>
                <w:bCs/>
                <w:color w:val="000000"/>
                <w:sz w:val="16"/>
                <w:szCs w:val="16"/>
              </w:rPr>
              <w:t>Funds from Government</w:t>
            </w:r>
          </w:p>
        </w:tc>
        <w:tc>
          <w:tcPr>
            <w:tcW w:w="1150" w:type="dxa"/>
            <w:tcBorders>
              <w:top w:val="nil"/>
              <w:left w:val="nil"/>
              <w:bottom w:val="nil"/>
              <w:right w:val="nil"/>
            </w:tcBorders>
            <w:shd w:val="clear" w:color="000000" w:fill="FFFFFF"/>
            <w:noWrap/>
            <w:vAlign w:val="bottom"/>
            <w:hideMark/>
          </w:tcPr>
          <w:p w14:paraId="70989762" w14:textId="20A96CCD" w:rsidR="00857702" w:rsidRPr="001D77BC" w:rsidRDefault="00857702" w:rsidP="00857702">
            <w:pPr>
              <w:spacing w:after="0" w:line="240" w:lineRule="auto"/>
              <w:jc w:val="right"/>
              <w:rPr>
                <w:rFonts w:ascii="Arial" w:hAnsi="Arial" w:cs="Arial"/>
                <w:iCs/>
                <w:color w:val="000000"/>
                <w:sz w:val="16"/>
                <w:szCs w:val="16"/>
              </w:rPr>
            </w:pPr>
          </w:p>
        </w:tc>
        <w:tc>
          <w:tcPr>
            <w:tcW w:w="977" w:type="dxa"/>
            <w:tcBorders>
              <w:top w:val="nil"/>
              <w:left w:val="nil"/>
              <w:bottom w:val="nil"/>
              <w:right w:val="nil"/>
            </w:tcBorders>
            <w:shd w:val="clear" w:color="000000" w:fill="FFFFFF"/>
            <w:noWrap/>
            <w:vAlign w:val="bottom"/>
            <w:hideMark/>
          </w:tcPr>
          <w:p w14:paraId="28F46B56" w14:textId="1EBFB1C4" w:rsidR="00857702" w:rsidRPr="001D77BC" w:rsidRDefault="00857702" w:rsidP="00857702">
            <w:pPr>
              <w:spacing w:after="0" w:line="240" w:lineRule="auto"/>
              <w:jc w:val="right"/>
              <w:rPr>
                <w:rFonts w:ascii="Arial" w:hAnsi="Arial" w:cs="Arial"/>
                <w:iCs/>
                <w:color w:val="000000"/>
                <w:sz w:val="16"/>
                <w:szCs w:val="16"/>
              </w:rPr>
            </w:pPr>
          </w:p>
        </w:tc>
        <w:tc>
          <w:tcPr>
            <w:tcW w:w="992" w:type="dxa"/>
            <w:tcBorders>
              <w:top w:val="nil"/>
              <w:left w:val="nil"/>
              <w:bottom w:val="nil"/>
              <w:right w:val="nil"/>
            </w:tcBorders>
            <w:shd w:val="clear" w:color="000000" w:fill="FFFFFF"/>
            <w:noWrap/>
            <w:vAlign w:val="bottom"/>
            <w:hideMark/>
          </w:tcPr>
          <w:p w14:paraId="43C688E6" w14:textId="3B137602" w:rsidR="00857702" w:rsidRPr="001D77BC" w:rsidRDefault="00857702" w:rsidP="00857702">
            <w:pPr>
              <w:spacing w:after="0" w:line="240" w:lineRule="auto"/>
              <w:jc w:val="right"/>
              <w:rPr>
                <w:rFonts w:ascii="Arial" w:hAnsi="Arial" w:cs="Arial"/>
                <w:iCs/>
                <w:color w:val="000000"/>
                <w:sz w:val="16"/>
                <w:szCs w:val="16"/>
              </w:rPr>
            </w:pPr>
          </w:p>
        </w:tc>
        <w:tc>
          <w:tcPr>
            <w:tcW w:w="1116" w:type="dxa"/>
            <w:tcBorders>
              <w:top w:val="nil"/>
              <w:left w:val="nil"/>
              <w:bottom w:val="nil"/>
              <w:right w:val="nil"/>
            </w:tcBorders>
            <w:shd w:val="clear" w:color="000000" w:fill="E6E6E6"/>
            <w:noWrap/>
            <w:vAlign w:val="bottom"/>
            <w:hideMark/>
          </w:tcPr>
          <w:p w14:paraId="327EC469" w14:textId="74A30157" w:rsidR="00857702" w:rsidRPr="001D77BC" w:rsidRDefault="00857702" w:rsidP="00857702">
            <w:pPr>
              <w:spacing w:after="0" w:line="240" w:lineRule="auto"/>
              <w:jc w:val="right"/>
              <w:rPr>
                <w:rFonts w:ascii="Arial" w:hAnsi="Arial" w:cs="Arial"/>
                <w:color w:val="000000"/>
                <w:sz w:val="16"/>
                <w:szCs w:val="16"/>
              </w:rPr>
            </w:pPr>
          </w:p>
        </w:tc>
      </w:tr>
      <w:tr w:rsidR="00857702" w:rsidRPr="00857702" w14:paraId="130EB943" w14:textId="77777777" w:rsidTr="009E7326">
        <w:trPr>
          <w:trHeight w:val="204"/>
        </w:trPr>
        <w:tc>
          <w:tcPr>
            <w:tcW w:w="3402" w:type="dxa"/>
            <w:tcBorders>
              <w:top w:val="nil"/>
              <w:left w:val="nil"/>
              <w:bottom w:val="nil"/>
              <w:right w:val="nil"/>
            </w:tcBorders>
            <w:shd w:val="clear" w:color="000000" w:fill="FFFFFF"/>
            <w:vAlign w:val="bottom"/>
            <w:hideMark/>
          </w:tcPr>
          <w:p w14:paraId="27FD7C1B" w14:textId="77777777" w:rsidR="00857702" w:rsidRPr="00857702" w:rsidRDefault="00857702" w:rsidP="00857702">
            <w:pPr>
              <w:spacing w:after="0" w:line="240" w:lineRule="auto"/>
              <w:jc w:val="left"/>
              <w:rPr>
                <w:rFonts w:ascii="Arial" w:hAnsi="Arial" w:cs="Arial"/>
                <w:color w:val="000000"/>
                <w:sz w:val="16"/>
                <w:szCs w:val="16"/>
              </w:rPr>
            </w:pPr>
            <w:r w:rsidRPr="00857702">
              <w:rPr>
                <w:rFonts w:ascii="Arial" w:hAnsi="Arial" w:cs="Arial"/>
                <w:color w:val="000000"/>
                <w:sz w:val="16"/>
                <w:szCs w:val="16"/>
              </w:rPr>
              <w:t xml:space="preserve">Annual appropriations - ordinary annual services </w:t>
            </w:r>
            <w:r w:rsidRPr="00857702">
              <w:rPr>
                <w:rFonts w:ascii="Arial" w:hAnsi="Arial" w:cs="Arial"/>
                <w:color w:val="000000"/>
                <w:sz w:val="16"/>
                <w:szCs w:val="16"/>
                <w:vertAlign w:val="superscript"/>
              </w:rPr>
              <w:t>(a)</w:t>
            </w:r>
          </w:p>
        </w:tc>
        <w:tc>
          <w:tcPr>
            <w:tcW w:w="1150" w:type="dxa"/>
            <w:tcBorders>
              <w:top w:val="nil"/>
              <w:left w:val="nil"/>
              <w:bottom w:val="nil"/>
              <w:right w:val="nil"/>
            </w:tcBorders>
            <w:shd w:val="clear" w:color="000000" w:fill="FFFFFF"/>
            <w:noWrap/>
            <w:vAlign w:val="bottom"/>
            <w:hideMark/>
          </w:tcPr>
          <w:p w14:paraId="428ED061" w14:textId="2C7765E9" w:rsidR="00857702" w:rsidRPr="001D77BC" w:rsidRDefault="00857702" w:rsidP="00857702">
            <w:pPr>
              <w:spacing w:after="0" w:line="240" w:lineRule="auto"/>
              <w:jc w:val="right"/>
              <w:rPr>
                <w:rFonts w:ascii="Arial" w:hAnsi="Arial" w:cs="Arial"/>
                <w:iCs/>
                <w:color w:val="000000"/>
                <w:sz w:val="16"/>
                <w:szCs w:val="16"/>
              </w:rPr>
            </w:pPr>
          </w:p>
        </w:tc>
        <w:tc>
          <w:tcPr>
            <w:tcW w:w="977" w:type="dxa"/>
            <w:tcBorders>
              <w:top w:val="nil"/>
              <w:left w:val="nil"/>
              <w:bottom w:val="nil"/>
              <w:right w:val="nil"/>
            </w:tcBorders>
            <w:shd w:val="clear" w:color="000000" w:fill="FFFFFF"/>
            <w:noWrap/>
            <w:vAlign w:val="bottom"/>
            <w:hideMark/>
          </w:tcPr>
          <w:p w14:paraId="7BDCF865" w14:textId="7B8D667F" w:rsidR="00857702" w:rsidRPr="001D77BC" w:rsidRDefault="00857702" w:rsidP="00857702">
            <w:pPr>
              <w:spacing w:after="0" w:line="240" w:lineRule="auto"/>
              <w:jc w:val="right"/>
              <w:rPr>
                <w:rFonts w:ascii="Arial" w:hAnsi="Arial" w:cs="Arial"/>
                <w:iCs/>
                <w:color w:val="000000"/>
                <w:sz w:val="16"/>
                <w:szCs w:val="16"/>
              </w:rPr>
            </w:pPr>
          </w:p>
        </w:tc>
        <w:tc>
          <w:tcPr>
            <w:tcW w:w="992" w:type="dxa"/>
            <w:tcBorders>
              <w:top w:val="nil"/>
              <w:left w:val="nil"/>
              <w:bottom w:val="nil"/>
              <w:right w:val="nil"/>
            </w:tcBorders>
            <w:shd w:val="clear" w:color="000000" w:fill="FFFFFF"/>
            <w:noWrap/>
            <w:vAlign w:val="bottom"/>
            <w:hideMark/>
          </w:tcPr>
          <w:p w14:paraId="67322EC1" w14:textId="7AA20195" w:rsidR="00857702" w:rsidRPr="001D77BC" w:rsidRDefault="00857702" w:rsidP="00857702">
            <w:pPr>
              <w:spacing w:after="0" w:line="240" w:lineRule="auto"/>
              <w:jc w:val="right"/>
              <w:rPr>
                <w:rFonts w:ascii="Arial" w:hAnsi="Arial" w:cs="Arial"/>
                <w:iCs/>
                <w:color w:val="000000"/>
                <w:sz w:val="16"/>
                <w:szCs w:val="16"/>
              </w:rPr>
            </w:pPr>
          </w:p>
        </w:tc>
        <w:tc>
          <w:tcPr>
            <w:tcW w:w="1116" w:type="dxa"/>
            <w:tcBorders>
              <w:top w:val="nil"/>
              <w:left w:val="nil"/>
              <w:bottom w:val="nil"/>
              <w:right w:val="nil"/>
            </w:tcBorders>
            <w:shd w:val="clear" w:color="000000" w:fill="E6E6E6"/>
            <w:noWrap/>
            <w:vAlign w:val="bottom"/>
            <w:hideMark/>
          </w:tcPr>
          <w:p w14:paraId="0B3889E4" w14:textId="34239D40" w:rsidR="00857702" w:rsidRPr="001D77BC" w:rsidRDefault="00857702" w:rsidP="00857702">
            <w:pPr>
              <w:spacing w:after="0" w:line="240" w:lineRule="auto"/>
              <w:jc w:val="right"/>
              <w:rPr>
                <w:rFonts w:ascii="Arial" w:hAnsi="Arial" w:cs="Arial"/>
                <w:color w:val="000000"/>
                <w:sz w:val="16"/>
                <w:szCs w:val="16"/>
              </w:rPr>
            </w:pPr>
          </w:p>
        </w:tc>
      </w:tr>
      <w:tr w:rsidR="00857702" w:rsidRPr="00857702" w14:paraId="4B36481E" w14:textId="77777777" w:rsidTr="009E7326">
        <w:trPr>
          <w:trHeight w:val="204"/>
        </w:trPr>
        <w:tc>
          <w:tcPr>
            <w:tcW w:w="3402" w:type="dxa"/>
            <w:tcBorders>
              <w:top w:val="nil"/>
              <w:left w:val="nil"/>
              <w:bottom w:val="nil"/>
              <w:right w:val="nil"/>
            </w:tcBorders>
            <w:shd w:val="clear" w:color="000000" w:fill="FFFFFF"/>
            <w:vAlign w:val="bottom"/>
            <w:hideMark/>
          </w:tcPr>
          <w:p w14:paraId="36E5F31E" w14:textId="77777777" w:rsidR="00857702" w:rsidRPr="00857702" w:rsidRDefault="00857702" w:rsidP="00857702">
            <w:pPr>
              <w:spacing w:after="0" w:line="240" w:lineRule="auto"/>
              <w:ind w:firstLineChars="100" w:firstLine="160"/>
              <w:jc w:val="left"/>
              <w:rPr>
                <w:rFonts w:ascii="Arial" w:hAnsi="Arial" w:cs="Arial"/>
                <w:color w:val="000000"/>
                <w:sz w:val="16"/>
                <w:szCs w:val="16"/>
              </w:rPr>
            </w:pPr>
            <w:r w:rsidRPr="00857702">
              <w:rPr>
                <w:rFonts w:ascii="Arial" w:hAnsi="Arial" w:cs="Arial"/>
                <w:color w:val="000000"/>
                <w:sz w:val="16"/>
                <w:szCs w:val="16"/>
              </w:rPr>
              <w:t>Outcome 1</w:t>
            </w:r>
          </w:p>
        </w:tc>
        <w:tc>
          <w:tcPr>
            <w:tcW w:w="1150" w:type="dxa"/>
            <w:tcBorders>
              <w:top w:val="nil"/>
              <w:left w:val="nil"/>
              <w:bottom w:val="nil"/>
              <w:right w:val="nil"/>
            </w:tcBorders>
            <w:shd w:val="clear" w:color="000000" w:fill="FFFFFF"/>
            <w:noWrap/>
            <w:vAlign w:val="bottom"/>
            <w:hideMark/>
          </w:tcPr>
          <w:p w14:paraId="2EAC8D15" w14:textId="55547E49"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58,786</w:t>
            </w:r>
          </w:p>
        </w:tc>
        <w:tc>
          <w:tcPr>
            <w:tcW w:w="977" w:type="dxa"/>
            <w:tcBorders>
              <w:top w:val="nil"/>
              <w:left w:val="nil"/>
              <w:bottom w:val="nil"/>
              <w:right w:val="nil"/>
            </w:tcBorders>
            <w:shd w:val="clear" w:color="000000" w:fill="FFFFFF"/>
            <w:noWrap/>
            <w:vAlign w:val="bottom"/>
            <w:hideMark/>
          </w:tcPr>
          <w:p w14:paraId="2CAD2789" w14:textId="257D8EC9"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56,810</w:t>
            </w:r>
          </w:p>
        </w:tc>
        <w:tc>
          <w:tcPr>
            <w:tcW w:w="992" w:type="dxa"/>
            <w:tcBorders>
              <w:top w:val="nil"/>
              <w:left w:val="nil"/>
              <w:bottom w:val="nil"/>
              <w:right w:val="nil"/>
            </w:tcBorders>
            <w:shd w:val="clear" w:color="000000" w:fill="FFFFFF"/>
            <w:noWrap/>
            <w:vAlign w:val="bottom"/>
            <w:hideMark/>
          </w:tcPr>
          <w:p w14:paraId="09D2827F" w14:textId="5CDB8DCF"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683</w:t>
            </w:r>
          </w:p>
        </w:tc>
        <w:tc>
          <w:tcPr>
            <w:tcW w:w="1116" w:type="dxa"/>
            <w:tcBorders>
              <w:top w:val="nil"/>
              <w:left w:val="nil"/>
              <w:bottom w:val="nil"/>
              <w:right w:val="nil"/>
            </w:tcBorders>
            <w:shd w:val="clear" w:color="000000" w:fill="E6E6E6"/>
            <w:noWrap/>
            <w:vAlign w:val="bottom"/>
            <w:hideMark/>
          </w:tcPr>
          <w:p w14:paraId="6BE4FFCD" w14:textId="6DDC2167"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57,493</w:t>
            </w:r>
          </w:p>
        </w:tc>
      </w:tr>
      <w:tr w:rsidR="00857702" w:rsidRPr="00857702" w14:paraId="46C289C9" w14:textId="77777777" w:rsidTr="009E7326">
        <w:trPr>
          <w:trHeight w:val="204"/>
        </w:trPr>
        <w:tc>
          <w:tcPr>
            <w:tcW w:w="3402" w:type="dxa"/>
            <w:tcBorders>
              <w:top w:val="nil"/>
              <w:left w:val="nil"/>
              <w:bottom w:val="nil"/>
              <w:right w:val="nil"/>
            </w:tcBorders>
            <w:shd w:val="clear" w:color="000000" w:fill="FFFFFF"/>
            <w:vAlign w:val="bottom"/>
            <w:hideMark/>
          </w:tcPr>
          <w:p w14:paraId="7C798F6C" w14:textId="77777777" w:rsidR="00857702" w:rsidRPr="00857702" w:rsidRDefault="00857702" w:rsidP="00857702">
            <w:pPr>
              <w:spacing w:after="0" w:line="240" w:lineRule="auto"/>
              <w:jc w:val="left"/>
              <w:rPr>
                <w:rFonts w:ascii="Arial" w:hAnsi="Arial" w:cs="Arial"/>
                <w:color w:val="000000"/>
                <w:sz w:val="16"/>
                <w:szCs w:val="16"/>
              </w:rPr>
            </w:pPr>
            <w:r w:rsidRPr="00857702">
              <w:rPr>
                <w:rFonts w:ascii="Arial" w:hAnsi="Arial" w:cs="Arial"/>
                <w:color w:val="000000"/>
                <w:sz w:val="16"/>
                <w:szCs w:val="16"/>
              </w:rPr>
              <w:t xml:space="preserve">Annual appropriations - other services </w:t>
            </w:r>
            <w:r w:rsidRPr="00857702">
              <w:rPr>
                <w:rFonts w:ascii="Arial" w:hAnsi="Arial" w:cs="Arial"/>
                <w:color w:val="000000"/>
                <w:sz w:val="16"/>
                <w:szCs w:val="16"/>
                <w:vertAlign w:val="superscript"/>
              </w:rPr>
              <w:t>(b)</w:t>
            </w:r>
          </w:p>
        </w:tc>
        <w:tc>
          <w:tcPr>
            <w:tcW w:w="1150" w:type="dxa"/>
            <w:tcBorders>
              <w:top w:val="nil"/>
              <w:left w:val="nil"/>
              <w:bottom w:val="nil"/>
              <w:right w:val="nil"/>
            </w:tcBorders>
            <w:shd w:val="clear" w:color="000000" w:fill="FFFFFF"/>
            <w:noWrap/>
            <w:vAlign w:val="bottom"/>
            <w:hideMark/>
          </w:tcPr>
          <w:p w14:paraId="5E800AFC" w14:textId="30FA5924" w:rsidR="00857702" w:rsidRPr="001D77BC" w:rsidRDefault="00857702" w:rsidP="00857702">
            <w:pPr>
              <w:spacing w:after="0" w:line="240" w:lineRule="auto"/>
              <w:jc w:val="right"/>
              <w:rPr>
                <w:rFonts w:ascii="Arial" w:hAnsi="Arial" w:cs="Arial"/>
                <w:iCs/>
                <w:color w:val="000000"/>
                <w:sz w:val="16"/>
                <w:szCs w:val="16"/>
              </w:rPr>
            </w:pPr>
          </w:p>
        </w:tc>
        <w:tc>
          <w:tcPr>
            <w:tcW w:w="977" w:type="dxa"/>
            <w:tcBorders>
              <w:top w:val="nil"/>
              <w:left w:val="nil"/>
              <w:bottom w:val="nil"/>
              <w:right w:val="nil"/>
            </w:tcBorders>
            <w:shd w:val="clear" w:color="000000" w:fill="FFFFFF"/>
            <w:noWrap/>
            <w:vAlign w:val="bottom"/>
            <w:hideMark/>
          </w:tcPr>
          <w:p w14:paraId="71323CFC" w14:textId="0F3A8323" w:rsidR="00857702" w:rsidRPr="001D77BC" w:rsidRDefault="00857702" w:rsidP="00857702">
            <w:pPr>
              <w:spacing w:after="0" w:line="240" w:lineRule="auto"/>
              <w:jc w:val="right"/>
              <w:rPr>
                <w:rFonts w:ascii="Arial" w:hAnsi="Arial" w:cs="Arial"/>
                <w:color w:val="000000"/>
                <w:sz w:val="16"/>
                <w:szCs w:val="16"/>
              </w:rPr>
            </w:pPr>
          </w:p>
        </w:tc>
        <w:tc>
          <w:tcPr>
            <w:tcW w:w="992" w:type="dxa"/>
            <w:tcBorders>
              <w:top w:val="nil"/>
              <w:left w:val="nil"/>
              <w:bottom w:val="nil"/>
              <w:right w:val="nil"/>
            </w:tcBorders>
            <w:shd w:val="clear" w:color="000000" w:fill="FFFFFF"/>
            <w:noWrap/>
            <w:vAlign w:val="bottom"/>
            <w:hideMark/>
          </w:tcPr>
          <w:p w14:paraId="2F5A8EC7" w14:textId="52C58D03" w:rsidR="00857702" w:rsidRPr="001D77BC" w:rsidRDefault="00857702" w:rsidP="00857702">
            <w:pPr>
              <w:spacing w:after="0" w:line="240" w:lineRule="auto"/>
              <w:jc w:val="right"/>
              <w:rPr>
                <w:rFonts w:ascii="Arial" w:hAnsi="Arial" w:cs="Arial"/>
                <w:iCs/>
                <w:color w:val="000000"/>
                <w:sz w:val="16"/>
                <w:szCs w:val="16"/>
              </w:rPr>
            </w:pPr>
          </w:p>
        </w:tc>
        <w:tc>
          <w:tcPr>
            <w:tcW w:w="1116" w:type="dxa"/>
            <w:tcBorders>
              <w:top w:val="nil"/>
              <w:left w:val="nil"/>
              <w:bottom w:val="nil"/>
              <w:right w:val="nil"/>
            </w:tcBorders>
            <w:shd w:val="clear" w:color="000000" w:fill="E6E6E6"/>
            <w:noWrap/>
            <w:vAlign w:val="bottom"/>
            <w:hideMark/>
          </w:tcPr>
          <w:p w14:paraId="40242C41" w14:textId="7FBF87E0" w:rsidR="00857702" w:rsidRPr="001D77BC" w:rsidRDefault="00857702" w:rsidP="00857702">
            <w:pPr>
              <w:spacing w:after="0" w:line="240" w:lineRule="auto"/>
              <w:jc w:val="right"/>
              <w:rPr>
                <w:rFonts w:ascii="Arial" w:hAnsi="Arial" w:cs="Arial"/>
                <w:color w:val="000000"/>
                <w:sz w:val="16"/>
                <w:szCs w:val="16"/>
              </w:rPr>
            </w:pPr>
          </w:p>
        </w:tc>
      </w:tr>
      <w:tr w:rsidR="00857702" w:rsidRPr="00857702" w14:paraId="3270DAA6" w14:textId="77777777" w:rsidTr="009E7326">
        <w:trPr>
          <w:trHeight w:val="204"/>
        </w:trPr>
        <w:tc>
          <w:tcPr>
            <w:tcW w:w="3402" w:type="dxa"/>
            <w:tcBorders>
              <w:top w:val="nil"/>
              <w:left w:val="nil"/>
              <w:bottom w:val="nil"/>
              <w:right w:val="nil"/>
            </w:tcBorders>
            <w:shd w:val="clear" w:color="000000" w:fill="FFFFFF"/>
            <w:noWrap/>
            <w:vAlign w:val="bottom"/>
            <w:hideMark/>
          </w:tcPr>
          <w:p w14:paraId="302CCB7F" w14:textId="77777777" w:rsidR="00857702" w:rsidRPr="00857702" w:rsidRDefault="00857702" w:rsidP="00857702">
            <w:pPr>
              <w:spacing w:after="0" w:line="240" w:lineRule="auto"/>
              <w:ind w:firstLineChars="100" w:firstLine="160"/>
              <w:jc w:val="left"/>
              <w:rPr>
                <w:rFonts w:ascii="Arial" w:hAnsi="Arial" w:cs="Arial"/>
                <w:color w:val="000000"/>
                <w:sz w:val="16"/>
                <w:szCs w:val="16"/>
              </w:rPr>
            </w:pPr>
            <w:r w:rsidRPr="00857702">
              <w:rPr>
                <w:rFonts w:ascii="Arial" w:hAnsi="Arial" w:cs="Arial"/>
                <w:color w:val="000000"/>
                <w:sz w:val="16"/>
                <w:szCs w:val="16"/>
              </w:rPr>
              <w:t>Equity injection</w:t>
            </w:r>
          </w:p>
        </w:tc>
        <w:tc>
          <w:tcPr>
            <w:tcW w:w="1150" w:type="dxa"/>
            <w:tcBorders>
              <w:top w:val="nil"/>
              <w:left w:val="nil"/>
              <w:bottom w:val="nil"/>
              <w:right w:val="nil"/>
            </w:tcBorders>
            <w:shd w:val="clear" w:color="000000" w:fill="FFFFFF"/>
            <w:noWrap/>
            <w:vAlign w:val="bottom"/>
            <w:hideMark/>
          </w:tcPr>
          <w:p w14:paraId="41879B0E" w14:textId="71CC89C5"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9,558</w:t>
            </w:r>
          </w:p>
        </w:tc>
        <w:tc>
          <w:tcPr>
            <w:tcW w:w="977" w:type="dxa"/>
            <w:tcBorders>
              <w:top w:val="nil"/>
              <w:left w:val="nil"/>
              <w:bottom w:val="nil"/>
              <w:right w:val="nil"/>
            </w:tcBorders>
            <w:shd w:val="clear" w:color="000000" w:fill="FFFFFF"/>
            <w:noWrap/>
            <w:vAlign w:val="bottom"/>
            <w:hideMark/>
          </w:tcPr>
          <w:p w14:paraId="0A5452B6" w14:textId="4ECE2BE6"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9,566</w:t>
            </w:r>
          </w:p>
        </w:tc>
        <w:tc>
          <w:tcPr>
            <w:tcW w:w="992" w:type="dxa"/>
            <w:tcBorders>
              <w:top w:val="nil"/>
              <w:left w:val="nil"/>
              <w:bottom w:val="nil"/>
              <w:right w:val="nil"/>
            </w:tcBorders>
            <w:shd w:val="clear" w:color="000000" w:fill="FFFFFF"/>
            <w:noWrap/>
            <w:vAlign w:val="bottom"/>
            <w:hideMark/>
          </w:tcPr>
          <w:p w14:paraId="5FF5D5CD" w14:textId="5676EE98"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w:t>
            </w:r>
          </w:p>
        </w:tc>
        <w:tc>
          <w:tcPr>
            <w:tcW w:w="1116" w:type="dxa"/>
            <w:tcBorders>
              <w:top w:val="nil"/>
              <w:left w:val="nil"/>
              <w:bottom w:val="nil"/>
              <w:right w:val="nil"/>
            </w:tcBorders>
            <w:shd w:val="clear" w:color="000000" w:fill="E6E6E6"/>
            <w:noWrap/>
            <w:vAlign w:val="bottom"/>
            <w:hideMark/>
          </w:tcPr>
          <w:p w14:paraId="7517F076" w14:textId="2BAC2778"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9,566</w:t>
            </w:r>
          </w:p>
        </w:tc>
      </w:tr>
      <w:tr w:rsidR="00857702" w:rsidRPr="00857702" w14:paraId="2CA927E4" w14:textId="77777777" w:rsidTr="009E7326">
        <w:trPr>
          <w:trHeight w:val="204"/>
        </w:trPr>
        <w:tc>
          <w:tcPr>
            <w:tcW w:w="3402" w:type="dxa"/>
            <w:tcBorders>
              <w:top w:val="nil"/>
              <w:left w:val="nil"/>
              <w:bottom w:val="nil"/>
              <w:right w:val="nil"/>
            </w:tcBorders>
            <w:shd w:val="clear" w:color="000000" w:fill="FFFFFF"/>
            <w:vAlign w:val="bottom"/>
            <w:hideMark/>
          </w:tcPr>
          <w:p w14:paraId="2E80EED8" w14:textId="77777777" w:rsidR="00857702" w:rsidRPr="00857702" w:rsidRDefault="00857702" w:rsidP="00857702">
            <w:pPr>
              <w:spacing w:after="0" w:line="240" w:lineRule="auto"/>
              <w:jc w:val="left"/>
              <w:rPr>
                <w:rFonts w:ascii="Arial" w:hAnsi="Arial" w:cs="Arial"/>
                <w:color w:val="000000"/>
                <w:sz w:val="16"/>
                <w:szCs w:val="16"/>
              </w:rPr>
            </w:pPr>
            <w:r w:rsidRPr="00857702">
              <w:rPr>
                <w:rFonts w:ascii="Arial" w:hAnsi="Arial" w:cs="Arial"/>
                <w:color w:val="000000"/>
                <w:sz w:val="16"/>
                <w:szCs w:val="16"/>
              </w:rPr>
              <w:t>Total annual appropriations</w:t>
            </w:r>
          </w:p>
        </w:tc>
        <w:tc>
          <w:tcPr>
            <w:tcW w:w="1150" w:type="dxa"/>
            <w:tcBorders>
              <w:top w:val="single" w:sz="4" w:space="0" w:color="auto"/>
              <w:left w:val="nil"/>
              <w:bottom w:val="single" w:sz="4" w:space="0" w:color="auto"/>
              <w:right w:val="nil"/>
            </w:tcBorders>
            <w:shd w:val="clear" w:color="000000" w:fill="FFFFFF"/>
            <w:noWrap/>
            <w:vAlign w:val="bottom"/>
            <w:hideMark/>
          </w:tcPr>
          <w:p w14:paraId="23579476" w14:textId="0672EFCD"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68,344</w:t>
            </w:r>
          </w:p>
        </w:tc>
        <w:tc>
          <w:tcPr>
            <w:tcW w:w="977" w:type="dxa"/>
            <w:tcBorders>
              <w:top w:val="single" w:sz="4" w:space="0" w:color="auto"/>
              <w:left w:val="nil"/>
              <w:bottom w:val="single" w:sz="4" w:space="0" w:color="auto"/>
              <w:right w:val="nil"/>
            </w:tcBorders>
            <w:shd w:val="clear" w:color="000000" w:fill="FFFFFF"/>
            <w:noWrap/>
            <w:vAlign w:val="bottom"/>
            <w:hideMark/>
          </w:tcPr>
          <w:p w14:paraId="71E72AFC" w14:textId="026650B6"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66,376</w:t>
            </w:r>
          </w:p>
        </w:tc>
        <w:tc>
          <w:tcPr>
            <w:tcW w:w="992" w:type="dxa"/>
            <w:tcBorders>
              <w:top w:val="single" w:sz="4" w:space="0" w:color="auto"/>
              <w:left w:val="nil"/>
              <w:bottom w:val="single" w:sz="4" w:space="0" w:color="auto"/>
              <w:right w:val="nil"/>
            </w:tcBorders>
            <w:shd w:val="clear" w:color="000000" w:fill="FFFFFF"/>
            <w:noWrap/>
            <w:vAlign w:val="bottom"/>
            <w:hideMark/>
          </w:tcPr>
          <w:p w14:paraId="4C69079F" w14:textId="2A33034D"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683</w:t>
            </w:r>
          </w:p>
        </w:tc>
        <w:tc>
          <w:tcPr>
            <w:tcW w:w="1116" w:type="dxa"/>
            <w:tcBorders>
              <w:top w:val="single" w:sz="4" w:space="0" w:color="auto"/>
              <w:left w:val="nil"/>
              <w:bottom w:val="single" w:sz="4" w:space="0" w:color="auto"/>
              <w:right w:val="nil"/>
            </w:tcBorders>
            <w:shd w:val="clear" w:color="000000" w:fill="E6E6E6"/>
            <w:noWrap/>
            <w:vAlign w:val="bottom"/>
            <w:hideMark/>
          </w:tcPr>
          <w:p w14:paraId="74564530" w14:textId="021268C3"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67,059</w:t>
            </w:r>
          </w:p>
        </w:tc>
      </w:tr>
      <w:tr w:rsidR="00857702" w:rsidRPr="00857702" w14:paraId="52E0C5B3" w14:textId="77777777" w:rsidTr="009E7326">
        <w:trPr>
          <w:trHeight w:val="204"/>
        </w:trPr>
        <w:tc>
          <w:tcPr>
            <w:tcW w:w="3402" w:type="dxa"/>
            <w:tcBorders>
              <w:top w:val="nil"/>
              <w:left w:val="nil"/>
              <w:bottom w:val="nil"/>
              <w:right w:val="nil"/>
            </w:tcBorders>
            <w:shd w:val="clear" w:color="000000" w:fill="FFFFFF"/>
            <w:vAlign w:val="bottom"/>
            <w:hideMark/>
          </w:tcPr>
          <w:p w14:paraId="706C2D91" w14:textId="77777777" w:rsidR="00857702" w:rsidRPr="00857702" w:rsidRDefault="00857702" w:rsidP="00857702">
            <w:pPr>
              <w:spacing w:after="0" w:line="240" w:lineRule="auto"/>
              <w:jc w:val="left"/>
              <w:rPr>
                <w:rFonts w:ascii="Arial" w:hAnsi="Arial" w:cs="Arial"/>
                <w:color w:val="000000"/>
                <w:sz w:val="16"/>
                <w:szCs w:val="16"/>
              </w:rPr>
            </w:pPr>
            <w:r w:rsidRPr="00857702">
              <w:rPr>
                <w:rFonts w:ascii="Arial" w:hAnsi="Arial" w:cs="Arial"/>
                <w:color w:val="000000"/>
                <w:sz w:val="16"/>
                <w:szCs w:val="16"/>
              </w:rPr>
              <w:t>Amounts received from related entities</w:t>
            </w:r>
          </w:p>
        </w:tc>
        <w:tc>
          <w:tcPr>
            <w:tcW w:w="1150" w:type="dxa"/>
            <w:tcBorders>
              <w:top w:val="nil"/>
              <w:left w:val="nil"/>
              <w:bottom w:val="nil"/>
              <w:right w:val="nil"/>
            </w:tcBorders>
            <w:shd w:val="clear" w:color="000000" w:fill="FFFFFF"/>
            <w:noWrap/>
            <w:vAlign w:val="bottom"/>
            <w:hideMark/>
          </w:tcPr>
          <w:p w14:paraId="011D086B" w14:textId="1749A568" w:rsidR="00857702" w:rsidRPr="001D77BC" w:rsidRDefault="00857702" w:rsidP="00857702">
            <w:pPr>
              <w:spacing w:after="0" w:line="240" w:lineRule="auto"/>
              <w:jc w:val="right"/>
              <w:rPr>
                <w:rFonts w:ascii="Arial" w:hAnsi="Arial" w:cs="Arial"/>
                <w:iCs/>
                <w:color w:val="000000"/>
                <w:sz w:val="16"/>
                <w:szCs w:val="16"/>
              </w:rPr>
            </w:pPr>
          </w:p>
        </w:tc>
        <w:tc>
          <w:tcPr>
            <w:tcW w:w="977" w:type="dxa"/>
            <w:tcBorders>
              <w:top w:val="nil"/>
              <w:left w:val="nil"/>
              <w:bottom w:val="nil"/>
              <w:right w:val="nil"/>
            </w:tcBorders>
            <w:shd w:val="clear" w:color="000000" w:fill="FFFFFF"/>
            <w:noWrap/>
            <w:vAlign w:val="bottom"/>
            <w:hideMark/>
          </w:tcPr>
          <w:p w14:paraId="51D8A459" w14:textId="7F5B52D5" w:rsidR="00857702" w:rsidRPr="001D77BC" w:rsidRDefault="00857702" w:rsidP="00857702">
            <w:pPr>
              <w:spacing w:after="0" w:line="240" w:lineRule="auto"/>
              <w:jc w:val="right"/>
              <w:rPr>
                <w:rFonts w:ascii="Arial" w:hAnsi="Arial" w:cs="Arial"/>
                <w:iCs/>
                <w:color w:val="000000"/>
                <w:sz w:val="16"/>
                <w:szCs w:val="16"/>
              </w:rPr>
            </w:pPr>
          </w:p>
        </w:tc>
        <w:tc>
          <w:tcPr>
            <w:tcW w:w="992" w:type="dxa"/>
            <w:tcBorders>
              <w:top w:val="nil"/>
              <w:left w:val="nil"/>
              <w:bottom w:val="nil"/>
              <w:right w:val="nil"/>
            </w:tcBorders>
            <w:shd w:val="clear" w:color="000000" w:fill="FFFFFF"/>
            <w:noWrap/>
            <w:vAlign w:val="bottom"/>
            <w:hideMark/>
          </w:tcPr>
          <w:p w14:paraId="7F25BC00" w14:textId="6D85B43B" w:rsidR="00857702" w:rsidRPr="001D77BC" w:rsidRDefault="00857702" w:rsidP="00857702">
            <w:pPr>
              <w:spacing w:after="0" w:line="240" w:lineRule="auto"/>
              <w:jc w:val="right"/>
              <w:rPr>
                <w:rFonts w:ascii="Arial" w:hAnsi="Arial" w:cs="Arial"/>
                <w:iCs/>
                <w:color w:val="000000"/>
                <w:sz w:val="16"/>
                <w:szCs w:val="16"/>
              </w:rPr>
            </w:pPr>
          </w:p>
        </w:tc>
        <w:tc>
          <w:tcPr>
            <w:tcW w:w="1116" w:type="dxa"/>
            <w:tcBorders>
              <w:top w:val="nil"/>
              <w:left w:val="nil"/>
              <w:bottom w:val="nil"/>
              <w:right w:val="nil"/>
            </w:tcBorders>
            <w:shd w:val="clear" w:color="000000" w:fill="E6E6E6"/>
            <w:noWrap/>
            <w:vAlign w:val="bottom"/>
            <w:hideMark/>
          </w:tcPr>
          <w:p w14:paraId="65AA5737" w14:textId="3D602934" w:rsidR="00857702" w:rsidRPr="001D77BC" w:rsidRDefault="00857702" w:rsidP="00857702">
            <w:pPr>
              <w:spacing w:after="0" w:line="240" w:lineRule="auto"/>
              <w:jc w:val="right"/>
              <w:rPr>
                <w:rFonts w:ascii="Arial" w:hAnsi="Arial" w:cs="Arial"/>
                <w:color w:val="000000"/>
                <w:sz w:val="16"/>
                <w:szCs w:val="16"/>
              </w:rPr>
            </w:pPr>
          </w:p>
        </w:tc>
      </w:tr>
      <w:tr w:rsidR="00857702" w:rsidRPr="00857702" w14:paraId="3C99258C" w14:textId="77777777" w:rsidTr="009E7326">
        <w:trPr>
          <w:trHeight w:val="204"/>
        </w:trPr>
        <w:tc>
          <w:tcPr>
            <w:tcW w:w="3402" w:type="dxa"/>
            <w:tcBorders>
              <w:top w:val="nil"/>
              <w:left w:val="nil"/>
              <w:bottom w:val="nil"/>
              <w:right w:val="nil"/>
            </w:tcBorders>
            <w:shd w:val="clear" w:color="000000" w:fill="FFFFFF"/>
            <w:vAlign w:val="bottom"/>
            <w:hideMark/>
          </w:tcPr>
          <w:p w14:paraId="140D5360" w14:textId="6054D729" w:rsidR="00857702" w:rsidRPr="00857702" w:rsidRDefault="00857702" w:rsidP="00B3743E">
            <w:pPr>
              <w:spacing w:after="0" w:line="240" w:lineRule="auto"/>
              <w:ind w:firstLineChars="100" w:firstLine="160"/>
              <w:jc w:val="left"/>
              <w:rPr>
                <w:rFonts w:ascii="Arial" w:hAnsi="Arial" w:cs="Arial"/>
                <w:color w:val="000000"/>
                <w:sz w:val="16"/>
                <w:szCs w:val="16"/>
              </w:rPr>
            </w:pPr>
            <w:r w:rsidRPr="00857702">
              <w:rPr>
                <w:rFonts w:ascii="Arial" w:hAnsi="Arial" w:cs="Arial"/>
                <w:color w:val="000000"/>
                <w:sz w:val="16"/>
                <w:szCs w:val="16"/>
              </w:rPr>
              <w:t xml:space="preserve">Amounts from portfolio </w:t>
            </w:r>
            <w:r w:rsidR="008863D9">
              <w:rPr>
                <w:rFonts w:ascii="Arial" w:hAnsi="Arial" w:cs="Arial"/>
                <w:color w:val="000000"/>
                <w:sz w:val="16"/>
                <w:szCs w:val="16"/>
              </w:rPr>
              <w:t>Department</w:t>
            </w:r>
            <w:r w:rsidRPr="00857702">
              <w:rPr>
                <w:rFonts w:ascii="Arial" w:hAnsi="Arial" w:cs="Arial"/>
                <w:color w:val="000000"/>
                <w:sz w:val="16"/>
                <w:szCs w:val="16"/>
              </w:rPr>
              <w:t xml:space="preserve"> </w:t>
            </w:r>
            <w:r w:rsidRPr="00857702">
              <w:rPr>
                <w:rFonts w:ascii="Arial" w:hAnsi="Arial" w:cs="Arial"/>
                <w:color w:val="000000"/>
                <w:sz w:val="16"/>
                <w:szCs w:val="16"/>
                <w:vertAlign w:val="superscript"/>
              </w:rPr>
              <w:t>(</w:t>
            </w:r>
            <w:r w:rsidR="00B3743E">
              <w:rPr>
                <w:rFonts w:ascii="Arial" w:hAnsi="Arial" w:cs="Arial"/>
                <w:color w:val="000000"/>
                <w:sz w:val="16"/>
                <w:szCs w:val="16"/>
                <w:vertAlign w:val="superscript"/>
              </w:rPr>
              <w:t>c</w:t>
            </w:r>
            <w:r w:rsidRPr="00857702">
              <w:rPr>
                <w:rFonts w:ascii="Arial" w:hAnsi="Arial" w:cs="Arial"/>
                <w:color w:val="000000"/>
                <w:sz w:val="16"/>
                <w:szCs w:val="16"/>
                <w:vertAlign w:val="superscript"/>
              </w:rPr>
              <w:t>)</w:t>
            </w:r>
          </w:p>
        </w:tc>
        <w:tc>
          <w:tcPr>
            <w:tcW w:w="1150" w:type="dxa"/>
            <w:tcBorders>
              <w:top w:val="nil"/>
              <w:left w:val="nil"/>
              <w:bottom w:val="nil"/>
              <w:right w:val="nil"/>
            </w:tcBorders>
            <w:shd w:val="clear" w:color="000000" w:fill="FFFFFF"/>
            <w:noWrap/>
            <w:vAlign w:val="bottom"/>
            <w:hideMark/>
          </w:tcPr>
          <w:p w14:paraId="5E443A34" w14:textId="2D198DC7"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1,226</w:t>
            </w:r>
          </w:p>
        </w:tc>
        <w:tc>
          <w:tcPr>
            <w:tcW w:w="977" w:type="dxa"/>
            <w:tcBorders>
              <w:top w:val="nil"/>
              <w:left w:val="nil"/>
              <w:bottom w:val="nil"/>
              <w:right w:val="nil"/>
            </w:tcBorders>
            <w:shd w:val="clear" w:color="000000" w:fill="FFFFFF"/>
            <w:noWrap/>
            <w:vAlign w:val="bottom"/>
            <w:hideMark/>
          </w:tcPr>
          <w:p w14:paraId="7A79BCCC" w14:textId="4860D59F"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3,290</w:t>
            </w:r>
          </w:p>
        </w:tc>
        <w:tc>
          <w:tcPr>
            <w:tcW w:w="992" w:type="dxa"/>
            <w:tcBorders>
              <w:top w:val="nil"/>
              <w:left w:val="nil"/>
              <w:bottom w:val="nil"/>
              <w:right w:val="nil"/>
            </w:tcBorders>
            <w:shd w:val="clear" w:color="000000" w:fill="FFFFFF"/>
            <w:noWrap/>
            <w:vAlign w:val="bottom"/>
            <w:hideMark/>
          </w:tcPr>
          <w:p w14:paraId="2B4CCB22" w14:textId="45F015CB"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w:t>
            </w:r>
          </w:p>
        </w:tc>
        <w:tc>
          <w:tcPr>
            <w:tcW w:w="1116" w:type="dxa"/>
            <w:tcBorders>
              <w:top w:val="nil"/>
              <w:left w:val="nil"/>
              <w:bottom w:val="nil"/>
              <w:right w:val="nil"/>
            </w:tcBorders>
            <w:shd w:val="clear" w:color="000000" w:fill="E6E6E6"/>
            <w:noWrap/>
            <w:vAlign w:val="bottom"/>
            <w:hideMark/>
          </w:tcPr>
          <w:p w14:paraId="3C1995EB" w14:textId="2680EF34"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3,290</w:t>
            </w:r>
          </w:p>
        </w:tc>
      </w:tr>
      <w:tr w:rsidR="00857702" w:rsidRPr="00857702" w14:paraId="6CF5B528" w14:textId="77777777" w:rsidTr="009E7326">
        <w:trPr>
          <w:trHeight w:val="204"/>
        </w:trPr>
        <w:tc>
          <w:tcPr>
            <w:tcW w:w="3402" w:type="dxa"/>
            <w:tcBorders>
              <w:top w:val="nil"/>
              <w:left w:val="nil"/>
              <w:bottom w:val="nil"/>
              <w:right w:val="nil"/>
            </w:tcBorders>
            <w:shd w:val="clear" w:color="000000" w:fill="FFFFFF"/>
            <w:vAlign w:val="bottom"/>
            <w:hideMark/>
          </w:tcPr>
          <w:p w14:paraId="5A424925" w14:textId="1445414A" w:rsidR="00857702" w:rsidRPr="00857702" w:rsidRDefault="00857702" w:rsidP="00857702">
            <w:pPr>
              <w:spacing w:after="0" w:line="240" w:lineRule="auto"/>
              <w:ind w:firstLineChars="100" w:firstLine="160"/>
              <w:jc w:val="left"/>
              <w:rPr>
                <w:rFonts w:ascii="Arial" w:hAnsi="Arial" w:cs="Arial"/>
                <w:color w:val="000000"/>
                <w:sz w:val="16"/>
                <w:szCs w:val="16"/>
              </w:rPr>
            </w:pPr>
            <w:r w:rsidRPr="00857702">
              <w:rPr>
                <w:rFonts w:ascii="Arial" w:hAnsi="Arial" w:cs="Arial"/>
                <w:color w:val="000000"/>
                <w:sz w:val="16"/>
                <w:szCs w:val="16"/>
              </w:rPr>
              <w:t xml:space="preserve">Amounts from other entities </w:t>
            </w:r>
            <w:r w:rsidR="00B3743E">
              <w:rPr>
                <w:rFonts w:ascii="Arial" w:hAnsi="Arial" w:cs="Arial"/>
                <w:color w:val="000000"/>
                <w:sz w:val="16"/>
                <w:szCs w:val="16"/>
                <w:vertAlign w:val="superscript"/>
              </w:rPr>
              <w:t>(d</w:t>
            </w:r>
            <w:r w:rsidRPr="00857702">
              <w:rPr>
                <w:rFonts w:ascii="Arial" w:hAnsi="Arial" w:cs="Arial"/>
                <w:color w:val="000000"/>
                <w:sz w:val="16"/>
                <w:szCs w:val="16"/>
                <w:vertAlign w:val="superscript"/>
              </w:rPr>
              <w:t>)</w:t>
            </w:r>
          </w:p>
        </w:tc>
        <w:tc>
          <w:tcPr>
            <w:tcW w:w="1150" w:type="dxa"/>
            <w:tcBorders>
              <w:top w:val="nil"/>
              <w:left w:val="nil"/>
              <w:bottom w:val="nil"/>
              <w:right w:val="nil"/>
            </w:tcBorders>
            <w:shd w:val="clear" w:color="000000" w:fill="FFFFFF"/>
            <w:noWrap/>
            <w:vAlign w:val="bottom"/>
            <w:hideMark/>
          </w:tcPr>
          <w:p w14:paraId="3BFCEFC0" w14:textId="3B656B4B"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60</w:t>
            </w:r>
          </w:p>
        </w:tc>
        <w:tc>
          <w:tcPr>
            <w:tcW w:w="977" w:type="dxa"/>
            <w:tcBorders>
              <w:top w:val="nil"/>
              <w:left w:val="nil"/>
              <w:bottom w:val="nil"/>
              <w:right w:val="nil"/>
            </w:tcBorders>
            <w:shd w:val="clear" w:color="000000" w:fill="FFFFFF"/>
            <w:noWrap/>
            <w:vAlign w:val="bottom"/>
            <w:hideMark/>
          </w:tcPr>
          <w:p w14:paraId="71867462" w14:textId="3CD1E813"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60</w:t>
            </w:r>
          </w:p>
        </w:tc>
        <w:tc>
          <w:tcPr>
            <w:tcW w:w="992" w:type="dxa"/>
            <w:tcBorders>
              <w:top w:val="nil"/>
              <w:left w:val="nil"/>
              <w:bottom w:val="nil"/>
              <w:right w:val="nil"/>
            </w:tcBorders>
            <w:shd w:val="clear" w:color="000000" w:fill="FFFFFF"/>
            <w:noWrap/>
            <w:vAlign w:val="bottom"/>
            <w:hideMark/>
          </w:tcPr>
          <w:p w14:paraId="4E2BD96C" w14:textId="5BC0F3D9"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w:t>
            </w:r>
          </w:p>
        </w:tc>
        <w:tc>
          <w:tcPr>
            <w:tcW w:w="1116" w:type="dxa"/>
            <w:tcBorders>
              <w:top w:val="nil"/>
              <w:left w:val="nil"/>
              <w:bottom w:val="nil"/>
              <w:right w:val="nil"/>
            </w:tcBorders>
            <w:shd w:val="clear" w:color="000000" w:fill="E6E6E6"/>
            <w:noWrap/>
            <w:vAlign w:val="bottom"/>
            <w:hideMark/>
          </w:tcPr>
          <w:p w14:paraId="0340EDF6" w14:textId="1457A899"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60</w:t>
            </w:r>
          </w:p>
        </w:tc>
      </w:tr>
      <w:tr w:rsidR="00857702" w:rsidRPr="00857702" w14:paraId="532A9BE4" w14:textId="77777777" w:rsidTr="009E7326">
        <w:trPr>
          <w:trHeight w:val="204"/>
        </w:trPr>
        <w:tc>
          <w:tcPr>
            <w:tcW w:w="3402" w:type="dxa"/>
            <w:tcBorders>
              <w:top w:val="nil"/>
              <w:left w:val="nil"/>
              <w:bottom w:val="nil"/>
              <w:right w:val="nil"/>
            </w:tcBorders>
            <w:shd w:val="clear" w:color="000000" w:fill="FFFFFF"/>
            <w:vAlign w:val="bottom"/>
            <w:hideMark/>
          </w:tcPr>
          <w:p w14:paraId="2933A19E" w14:textId="77777777" w:rsidR="00857702" w:rsidRPr="00857702" w:rsidRDefault="00857702" w:rsidP="00857702">
            <w:pPr>
              <w:spacing w:after="0" w:line="240" w:lineRule="auto"/>
              <w:jc w:val="left"/>
              <w:rPr>
                <w:rFonts w:ascii="Arial" w:hAnsi="Arial" w:cs="Arial"/>
                <w:color w:val="000000"/>
                <w:sz w:val="16"/>
                <w:szCs w:val="16"/>
              </w:rPr>
            </w:pPr>
            <w:r w:rsidRPr="00857702">
              <w:rPr>
                <w:rFonts w:ascii="Arial" w:hAnsi="Arial" w:cs="Arial"/>
                <w:color w:val="000000"/>
                <w:sz w:val="16"/>
                <w:szCs w:val="16"/>
              </w:rPr>
              <w:t>Total amounts received from related entities</w:t>
            </w:r>
          </w:p>
        </w:tc>
        <w:tc>
          <w:tcPr>
            <w:tcW w:w="1150" w:type="dxa"/>
            <w:tcBorders>
              <w:top w:val="single" w:sz="4" w:space="0" w:color="auto"/>
              <w:left w:val="nil"/>
              <w:bottom w:val="single" w:sz="4" w:space="0" w:color="auto"/>
              <w:right w:val="nil"/>
            </w:tcBorders>
            <w:shd w:val="clear" w:color="000000" w:fill="FFFFFF"/>
            <w:noWrap/>
            <w:vAlign w:val="bottom"/>
            <w:hideMark/>
          </w:tcPr>
          <w:p w14:paraId="3CCBEBF6" w14:textId="01EBA41E"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1,286</w:t>
            </w:r>
          </w:p>
        </w:tc>
        <w:tc>
          <w:tcPr>
            <w:tcW w:w="977" w:type="dxa"/>
            <w:tcBorders>
              <w:top w:val="single" w:sz="4" w:space="0" w:color="auto"/>
              <w:left w:val="nil"/>
              <w:bottom w:val="single" w:sz="4" w:space="0" w:color="auto"/>
              <w:right w:val="nil"/>
            </w:tcBorders>
            <w:shd w:val="clear" w:color="000000" w:fill="FFFFFF"/>
            <w:noWrap/>
            <w:vAlign w:val="bottom"/>
            <w:hideMark/>
          </w:tcPr>
          <w:p w14:paraId="762813BB" w14:textId="4803BEA8"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3,350</w:t>
            </w:r>
          </w:p>
        </w:tc>
        <w:tc>
          <w:tcPr>
            <w:tcW w:w="992" w:type="dxa"/>
            <w:tcBorders>
              <w:top w:val="single" w:sz="4" w:space="0" w:color="auto"/>
              <w:left w:val="nil"/>
              <w:bottom w:val="single" w:sz="4" w:space="0" w:color="auto"/>
              <w:right w:val="nil"/>
            </w:tcBorders>
            <w:shd w:val="clear" w:color="000000" w:fill="FFFFFF"/>
            <w:noWrap/>
            <w:vAlign w:val="bottom"/>
            <w:hideMark/>
          </w:tcPr>
          <w:p w14:paraId="7A89E531" w14:textId="52B60FDE"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w:t>
            </w:r>
          </w:p>
        </w:tc>
        <w:tc>
          <w:tcPr>
            <w:tcW w:w="1116" w:type="dxa"/>
            <w:tcBorders>
              <w:top w:val="single" w:sz="4" w:space="0" w:color="auto"/>
              <w:left w:val="nil"/>
              <w:bottom w:val="single" w:sz="4" w:space="0" w:color="auto"/>
              <w:right w:val="nil"/>
            </w:tcBorders>
            <w:shd w:val="clear" w:color="000000" w:fill="E6E6E6"/>
            <w:noWrap/>
            <w:vAlign w:val="bottom"/>
            <w:hideMark/>
          </w:tcPr>
          <w:p w14:paraId="172A772C" w14:textId="2D8BAA84"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3,350</w:t>
            </w:r>
          </w:p>
        </w:tc>
      </w:tr>
      <w:tr w:rsidR="00857702" w:rsidRPr="00857702" w14:paraId="3CB6B5F2" w14:textId="77777777" w:rsidTr="009E7326">
        <w:trPr>
          <w:trHeight w:val="204"/>
        </w:trPr>
        <w:tc>
          <w:tcPr>
            <w:tcW w:w="3402" w:type="dxa"/>
            <w:tcBorders>
              <w:top w:val="nil"/>
              <w:left w:val="nil"/>
              <w:bottom w:val="nil"/>
              <w:right w:val="nil"/>
            </w:tcBorders>
            <w:shd w:val="clear" w:color="000000" w:fill="FFFFFF"/>
            <w:vAlign w:val="bottom"/>
            <w:hideMark/>
          </w:tcPr>
          <w:p w14:paraId="24AB498E" w14:textId="77777777" w:rsidR="00857702" w:rsidRPr="00857702" w:rsidRDefault="00857702" w:rsidP="00857702">
            <w:pPr>
              <w:spacing w:after="0" w:line="240" w:lineRule="auto"/>
              <w:jc w:val="left"/>
              <w:rPr>
                <w:rFonts w:ascii="Arial" w:hAnsi="Arial" w:cs="Arial"/>
                <w:b/>
                <w:bCs/>
                <w:color w:val="000000"/>
                <w:sz w:val="16"/>
                <w:szCs w:val="16"/>
              </w:rPr>
            </w:pPr>
            <w:r w:rsidRPr="00857702">
              <w:rPr>
                <w:rFonts w:ascii="Arial" w:hAnsi="Arial" w:cs="Arial"/>
                <w:b/>
                <w:bCs/>
                <w:color w:val="000000"/>
                <w:sz w:val="16"/>
                <w:szCs w:val="16"/>
              </w:rPr>
              <w:t>Total funds from Government</w:t>
            </w:r>
          </w:p>
        </w:tc>
        <w:tc>
          <w:tcPr>
            <w:tcW w:w="1150" w:type="dxa"/>
            <w:tcBorders>
              <w:top w:val="single" w:sz="4" w:space="0" w:color="auto"/>
              <w:left w:val="nil"/>
              <w:bottom w:val="single" w:sz="4" w:space="0" w:color="auto"/>
              <w:right w:val="nil"/>
            </w:tcBorders>
            <w:shd w:val="clear" w:color="000000" w:fill="FFFFFF"/>
            <w:noWrap/>
            <w:vAlign w:val="bottom"/>
            <w:hideMark/>
          </w:tcPr>
          <w:p w14:paraId="5A318A40" w14:textId="62194EE3" w:rsidR="00857702" w:rsidRPr="001D77BC" w:rsidRDefault="00857702" w:rsidP="00857702">
            <w:pPr>
              <w:spacing w:after="0" w:line="240" w:lineRule="auto"/>
              <w:jc w:val="right"/>
              <w:rPr>
                <w:rFonts w:ascii="Arial" w:hAnsi="Arial" w:cs="Arial"/>
                <w:b/>
                <w:bCs/>
                <w:iCs/>
                <w:color w:val="000000"/>
                <w:sz w:val="16"/>
                <w:szCs w:val="16"/>
              </w:rPr>
            </w:pPr>
            <w:r w:rsidRPr="001D77BC">
              <w:rPr>
                <w:rFonts w:ascii="Arial" w:hAnsi="Arial" w:cs="Arial"/>
                <w:b/>
                <w:bCs/>
                <w:iCs/>
                <w:color w:val="000000"/>
                <w:sz w:val="16"/>
                <w:szCs w:val="16"/>
              </w:rPr>
              <w:t>69,630</w:t>
            </w:r>
          </w:p>
        </w:tc>
        <w:tc>
          <w:tcPr>
            <w:tcW w:w="977" w:type="dxa"/>
            <w:tcBorders>
              <w:top w:val="single" w:sz="4" w:space="0" w:color="auto"/>
              <w:left w:val="nil"/>
              <w:bottom w:val="single" w:sz="4" w:space="0" w:color="auto"/>
              <w:right w:val="nil"/>
            </w:tcBorders>
            <w:shd w:val="clear" w:color="000000" w:fill="FFFFFF"/>
            <w:noWrap/>
            <w:vAlign w:val="bottom"/>
            <w:hideMark/>
          </w:tcPr>
          <w:p w14:paraId="3991A5E6" w14:textId="7FF4387F" w:rsidR="00857702" w:rsidRPr="001D77BC" w:rsidRDefault="00857702" w:rsidP="00857702">
            <w:pPr>
              <w:spacing w:after="0" w:line="240" w:lineRule="auto"/>
              <w:jc w:val="right"/>
              <w:rPr>
                <w:rFonts w:ascii="Arial" w:hAnsi="Arial" w:cs="Arial"/>
                <w:b/>
                <w:bCs/>
                <w:iCs/>
                <w:color w:val="000000"/>
                <w:sz w:val="16"/>
                <w:szCs w:val="16"/>
              </w:rPr>
            </w:pPr>
            <w:r w:rsidRPr="001D77BC">
              <w:rPr>
                <w:rFonts w:ascii="Arial" w:hAnsi="Arial" w:cs="Arial"/>
                <w:b/>
                <w:bCs/>
                <w:iCs/>
                <w:color w:val="000000"/>
                <w:sz w:val="16"/>
                <w:szCs w:val="16"/>
              </w:rPr>
              <w:t>69,726</w:t>
            </w:r>
          </w:p>
        </w:tc>
        <w:tc>
          <w:tcPr>
            <w:tcW w:w="992" w:type="dxa"/>
            <w:tcBorders>
              <w:top w:val="single" w:sz="4" w:space="0" w:color="auto"/>
              <w:left w:val="nil"/>
              <w:bottom w:val="single" w:sz="4" w:space="0" w:color="auto"/>
              <w:right w:val="nil"/>
            </w:tcBorders>
            <w:shd w:val="clear" w:color="000000" w:fill="FFFFFF"/>
            <w:noWrap/>
            <w:vAlign w:val="bottom"/>
            <w:hideMark/>
          </w:tcPr>
          <w:p w14:paraId="23962A92" w14:textId="57285EC4" w:rsidR="00857702" w:rsidRPr="001D77BC" w:rsidRDefault="00857702" w:rsidP="00857702">
            <w:pPr>
              <w:spacing w:after="0" w:line="240" w:lineRule="auto"/>
              <w:jc w:val="right"/>
              <w:rPr>
                <w:rFonts w:ascii="Arial" w:hAnsi="Arial" w:cs="Arial"/>
                <w:b/>
                <w:bCs/>
                <w:iCs/>
                <w:color w:val="000000"/>
                <w:sz w:val="16"/>
                <w:szCs w:val="16"/>
              </w:rPr>
            </w:pPr>
            <w:r w:rsidRPr="001D77BC">
              <w:rPr>
                <w:rFonts w:ascii="Arial" w:hAnsi="Arial" w:cs="Arial"/>
                <w:b/>
                <w:bCs/>
                <w:iCs/>
                <w:color w:val="000000"/>
                <w:sz w:val="16"/>
                <w:szCs w:val="16"/>
              </w:rPr>
              <w:t>683</w:t>
            </w:r>
          </w:p>
        </w:tc>
        <w:tc>
          <w:tcPr>
            <w:tcW w:w="1116" w:type="dxa"/>
            <w:tcBorders>
              <w:top w:val="single" w:sz="4" w:space="0" w:color="auto"/>
              <w:left w:val="nil"/>
              <w:bottom w:val="single" w:sz="4" w:space="0" w:color="auto"/>
              <w:right w:val="nil"/>
            </w:tcBorders>
            <w:shd w:val="clear" w:color="000000" w:fill="E6E6E6"/>
            <w:noWrap/>
            <w:vAlign w:val="bottom"/>
            <w:hideMark/>
          </w:tcPr>
          <w:p w14:paraId="52EBD77D" w14:textId="42C85E25" w:rsidR="00857702" w:rsidRPr="001D77BC" w:rsidRDefault="00857702" w:rsidP="00857702">
            <w:pPr>
              <w:spacing w:after="0" w:line="240" w:lineRule="auto"/>
              <w:jc w:val="right"/>
              <w:rPr>
                <w:rFonts w:ascii="Arial" w:hAnsi="Arial" w:cs="Arial"/>
                <w:b/>
                <w:bCs/>
                <w:color w:val="000000"/>
                <w:sz w:val="16"/>
                <w:szCs w:val="16"/>
              </w:rPr>
            </w:pPr>
            <w:r w:rsidRPr="001D77BC">
              <w:rPr>
                <w:rFonts w:ascii="Arial" w:hAnsi="Arial" w:cs="Arial"/>
                <w:b/>
                <w:bCs/>
                <w:color w:val="000000"/>
                <w:sz w:val="16"/>
                <w:szCs w:val="16"/>
              </w:rPr>
              <w:t>70,409</w:t>
            </w:r>
          </w:p>
        </w:tc>
      </w:tr>
      <w:tr w:rsidR="00857702" w:rsidRPr="00857702" w14:paraId="244A2A1B" w14:textId="77777777" w:rsidTr="009E7326">
        <w:trPr>
          <w:trHeight w:val="204"/>
        </w:trPr>
        <w:tc>
          <w:tcPr>
            <w:tcW w:w="3402" w:type="dxa"/>
            <w:tcBorders>
              <w:top w:val="nil"/>
              <w:left w:val="nil"/>
              <w:bottom w:val="nil"/>
              <w:right w:val="nil"/>
            </w:tcBorders>
            <w:shd w:val="clear" w:color="000000" w:fill="FFFFFF"/>
            <w:vAlign w:val="bottom"/>
            <w:hideMark/>
          </w:tcPr>
          <w:p w14:paraId="486ECF18" w14:textId="77777777" w:rsidR="00857702" w:rsidRPr="00857702" w:rsidRDefault="00857702" w:rsidP="00857702">
            <w:pPr>
              <w:spacing w:after="0" w:line="240" w:lineRule="auto"/>
              <w:jc w:val="left"/>
              <w:rPr>
                <w:rFonts w:ascii="Arial" w:hAnsi="Arial" w:cs="Arial"/>
                <w:b/>
                <w:bCs/>
                <w:color w:val="000000"/>
                <w:sz w:val="16"/>
                <w:szCs w:val="16"/>
              </w:rPr>
            </w:pPr>
            <w:r w:rsidRPr="00857702">
              <w:rPr>
                <w:rFonts w:ascii="Arial" w:hAnsi="Arial" w:cs="Arial"/>
                <w:b/>
                <w:bCs/>
                <w:color w:val="000000"/>
                <w:sz w:val="16"/>
                <w:szCs w:val="16"/>
              </w:rPr>
              <w:t>Funds from other sources</w:t>
            </w:r>
          </w:p>
        </w:tc>
        <w:tc>
          <w:tcPr>
            <w:tcW w:w="1150" w:type="dxa"/>
            <w:tcBorders>
              <w:top w:val="nil"/>
              <w:left w:val="nil"/>
              <w:bottom w:val="nil"/>
              <w:right w:val="nil"/>
            </w:tcBorders>
            <w:shd w:val="clear" w:color="000000" w:fill="FFFFFF"/>
            <w:noWrap/>
            <w:vAlign w:val="bottom"/>
            <w:hideMark/>
          </w:tcPr>
          <w:p w14:paraId="5E0B9ED0" w14:textId="1BD07C39" w:rsidR="00857702" w:rsidRPr="001D77BC" w:rsidRDefault="00857702" w:rsidP="00857702">
            <w:pPr>
              <w:spacing w:after="0" w:line="240" w:lineRule="auto"/>
              <w:jc w:val="right"/>
              <w:rPr>
                <w:rFonts w:ascii="Arial" w:hAnsi="Arial" w:cs="Arial"/>
                <w:iCs/>
                <w:color w:val="000000"/>
                <w:sz w:val="16"/>
                <w:szCs w:val="16"/>
              </w:rPr>
            </w:pPr>
          </w:p>
        </w:tc>
        <w:tc>
          <w:tcPr>
            <w:tcW w:w="977" w:type="dxa"/>
            <w:tcBorders>
              <w:top w:val="nil"/>
              <w:left w:val="nil"/>
              <w:bottom w:val="nil"/>
              <w:right w:val="nil"/>
            </w:tcBorders>
            <w:shd w:val="clear" w:color="000000" w:fill="FFFFFF"/>
            <w:noWrap/>
            <w:vAlign w:val="bottom"/>
            <w:hideMark/>
          </w:tcPr>
          <w:p w14:paraId="7ED87C42" w14:textId="283A54D3" w:rsidR="00857702" w:rsidRPr="001D77BC" w:rsidRDefault="00857702" w:rsidP="00857702">
            <w:pPr>
              <w:spacing w:after="0" w:line="240" w:lineRule="auto"/>
              <w:jc w:val="right"/>
              <w:rPr>
                <w:rFonts w:ascii="Arial" w:hAnsi="Arial" w:cs="Arial"/>
                <w:iCs/>
                <w:color w:val="000000"/>
                <w:sz w:val="16"/>
                <w:szCs w:val="16"/>
              </w:rPr>
            </w:pPr>
          </w:p>
        </w:tc>
        <w:tc>
          <w:tcPr>
            <w:tcW w:w="992" w:type="dxa"/>
            <w:tcBorders>
              <w:top w:val="nil"/>
              <w:left w:val="nil"/>
              <w:bottom w:val="nil"/>
              <w:right w:val="nil"/>
            </w:tcBorders>
            <w:shd w:val="clear" w:color="000000" w:fill="FFFFFF"/>
            <w:noWrap/>
            <w:vAlign w:val="bottom"/>
            <w:hideMark/>
          </w:tcPr>
          <w:p w14:paraId="5223E2FE" w14:textId="60D4EC61" w:rsidR="00857702" w:rsidRPr="001D77BC" w:rsidRDefault="00857702" w:rsidP="00857702">
            <w:pPr>
              <w:spacing w:after="0" w:line="240" w:lineRule="auto"/>
              <w:jc w:val="right"/>
              <w:rPr>
                <w:rFonts w:ascii="Arial" w:hAnsi="Arial" w:cs="Arial"/>
                <w:iCs/>
                <w:color w:val="000000"/>
                <w:sz w:val="16"/>
                <w:szCs w:val="16"/>
              </w:rPr>
            </w:pPr>
          </w:p>
        </w:tc>
        <w:tc>
          <w:tcPr>
            <w:tcW w:w="1116" w:type="dxa"/>
            <w:tcBorders>
              <w:top w:val="nil"/>
              <w:left w:val="nil"/>
              <w:bottom w:val="nil"/>
              <w:right w:val="nil"/>
            </w:tcBorders>
            <w:shd w:val="clear" w:color="000000" w:fill="E6E6E6"/>
            <w:noWrap/>
            <w:vAlign w:val="bottom"/>
            <w:hideMark/>
          </w:tcPr>
          <w:p w14:paraId="45C7FD38" w14:textId="637D3B40" w:rsidR="00857702" w:rsidRPr="001D77BC" w:rsidRDefault="00857702" w:rsidP="00857702">
            <w:pPr>
              <w:spacing w:after="0" w:line="240" w:lineRule="auto"/>
              <w:jc w:val="right"/>
              <w:rPr>
                <w:rFonts w:ascii="Arial" w:hAnsi="Arial" w:cs="Arial"/>
                <w:color w:val="000000"/>
                <w:sz w:val="16"/>
                <w:szCs w:val="16"/>
              </w:rPr>
            </w:pPr>
          </w:p>
        </w:tc>
      </w:tr>
      <w:tr w:rsidR="00857702" w:rsidRPr="00857702" w14:paraId="068111AE" w14:textId="77777777" w:rsidTr="009E7326">
        <w:trPr>
          <w:trHeight w:val="204"/>
        </w:trPr>
        <w:tc>
          <w:tcPr>
            <w:tcW w:w="3402" w:type="dxa"/>
            <w:tcBorders>
              <w:top w:val="nil"/>
              <w:left w:val="nil"/>
              <w:bottom w:val="nil"/>
              <w:right w:val="nil"/>
            </w:tcBorders>
            <w:shd w:val="clear" w:color="000000" w:fill="FFFFFF"/>
            <w:vAlign w:val="bottom"/>
            <w:hideMark/>
          </w:tcPr>
          <w:p w14:paraId="4C3E22B4" w14:textId="77777777" w:rsidR="00857702" w:rsidRPr="00857702" w:rsidRDefault="00857702" w:rsidP="00857702">
            <w:pPr>
              <w:spacing w:after="0" w:line="240" w:lineRule="auto"/>
              <w:ind w:firstLineChars="100" w:firstLine="160"/>
              <w:jc w:val="left"/>
              <w:rPr>
                <w:rFonts w:ascii="Arial" w:hAnsi="Arial" w:cs="Arial"/>
                <w:color w:val="000000"/>
                <w:sz w:val="16"/>
                <w:szCs w:val="16"/>
              </w:rPr>
            </w:pPr>
            <w:r w:rsidRPr="00857702">
              <w:rPr>
                <w:rFonts w:ascii="Arial" w:hAnsi="Arial" w:cs="Arial"/>
                <w:color w:val="000000"/>
                <w:sz w:val="16"/>
                <w:szCs w:val="16"/>
              </w:rPr>
              <w:t>Interest</w:t>
            </w:r>
          </w:p>
        </w:tc>
        <w:tc>
          <w:tcPr>
            <w:tcW w:w="1150" w:type="dxa"/>
            <w:tcBorders>
              <w:top w:val="nil"/>
              <w:left w:val="nil"/>
              <w:bottom w:val="nil"/>
              <w:right w:val="nil"/>
            </w:tcBorders>
            <w:shd w:val="clear" w:color="000000" w:fill="FFFFFF"/>
            <w:noWrap/>
            <w:vAlign w:val="bottom"/>
            <w:hideMark/>
          </w:tcPr>
          <w:p w14:paraId="06C62584" w14:textId="5656E34F"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379</w:t>
            </w:r>
          </w:p>
        </w:tc>
        <w:tc>
          <w:tcPr>
            <w:tcW w:w="977" w:type="dxa"/>
            <w:tcBorders>
              <w:top w:val="nil"/>
              <w:left w:val="nil"/>
              <w:bottom w:val="nil"/>
              <w:right w:val="nil"/>
            </w:tcBorders>
            <w:shd w:val="clear" w:color="000000" w:fill="FFFFFF"/>
            <w:noWrap/>
            <w:vAlign w:val="bottom"/>
            <w:hideMark/>
          </w:tcPr>
          <w:p w14:paraId="7A99EF6C" w14:textId="5E5B3E77"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446</w:t>
            </w:r>
          </w:p>
        </w:tc>
        <w:tc>
          <w:tcPr>
            <w:tcW w:w="992" w:type="dxa"/>
            <w:tcBorders>
              <w:top w:val="nil"/>
              <w:left w:val="nil"/>
              <w:bottom w:val="nil"/>
              <w:right w:val="nil"/>
            </w:tcBorders>
            <w:shd w:val="clear" w:color="000000" w:fill="FFFFFF"/>
            <w:noWrap/>
            <w:vAlign w:val="bottom"/>
            <w:hideMark/>
          </w:tcPr>
          <w:p w14:paraId="7E830475" w14:textId="6D78433A"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w:t>
            </w:r>
          </w:p>
        </w:tc>
        <w:tc>
          <w:tcPr>
            <w:tcW w:w="1116" w:type="dxa"/>
            <w:tcBorders>
              <w:top w:val="nil"/>
              <w:left w:val="nil"/>
              <w:bottom w:val="nil"/>
              <w:right w:val="nil"/>
            </w:tcBorders>
            <w:shd w:val="clear" w:color="000000" w:fill="E6E6E6"/>
            <w:noWrap/>
            <w:vAlign w:val="bottom"/>
            <w:hideMark/>
          </w:tcPr>
          <w:p w14:paraId="034EF105" w14:textId="39B80CC5"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446</w:t>
            </w:r>
          </w:p>
        </w:tc>
      </w:tr>
      <w:tr w:rsidR="00857702" w:rsidRPr="00857702" w14:paraId="3FC2AF4F" w14:textId="77777777" w:rsidTr="009E7326">
        <w:trPr>
          <w:trHeight w:val="204"/>
        </w:trPr>
        <w:tc>
          <w:tcPr>
            <w:tcW w:w="3402" w:type="dxa"/>
            <w:tcBorders>
              <w:top w:val="nil"/>
              <w:left w:val="nil"/>
              <w:bottom w:val="nil"/>
              <w:right w:val="nil"/>
            </w:tcBorders>
            <w:shd w:val="clear" w:color="000000" w:fill="FFFFFF"/>
            <w:vAlign w:val="bottom"/>
            <w:hideMark/>
          </w:tcPr>
          <w:p w14:paraId="208FF0EB" w14:textId="77777777" w:rsidR="00857702" w:rsidRPr="00857702" w:rsidRDefault="00857702" w:rsidP="00857702">
            <w:pPr>
              <w:spacing w:after="0" w:line="240" w:lineRule="auto"/>
              <w:ind w:firstLineChars="100" w:firstLine="160"/>
              <w:jc w:val="left"/>
              <w:rPr>
                <w:rFonts w:ascii="Arial" w:hAnsi="Arial" w:cs="Arial"/>
                <w:color w:val="000000"/>
                <w:sz w:val="16"/>
                <w:szCs w:val="16"/>
              </w:rPr>
            </w:pPr>
            <w:r w:rsidRPr="00857702">
              <w:rPr>
                <w:rFonts w:ascii="Arial" w:hAnsi="Arial" w:cs="Arial"/>
                <w:color w:val="000000"/>
                <w:sz w:val="16"/>
                <w:szCs w:val="16"/>
              </w:rPr>
              <w:t>Royalties</w:t>
            </w:r>
          </w:p>
        </w:tc>
        <w:tc>
          <w:tcPr>
            <w:tcW w:w="1150" w:type="dxa"/>
            <w:tcBorders>
              <w:top w:val="nil"/>
              <w:left w:val="nil"/>
              <w:bottom w:val="nil"/>
              <w:right w:val="nil"/>
            </w:tcBorders>
            <w:shd w:val="clear" w:color="000000" w:fill="FFFFFF"/>
            <w:noWrap/>
            <w:vAlign w:val="bottom"/>
            <w:hideMark/>
          </w:tcPr>
          <w:p w14:paraId="4D1A3463" w14:textId="64CEAF6A"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89</w:t>
            </w:r>
          </w:p>
        </w:tc>
        <w:tc>
          <w:tcPr>
            <w:tcW w:w="977" w:type="dxa"/>
            <w:tcBorders>
              <w:top w:val="nil"/>
              <w:left w:val="nil"/>
              <w:bottom w:val="nil"/>
              <w:right w:val="nil"/>
            </w:tcBorders>
            <w:shd w:val="clear" w:color="000000" w:fill="FFFFFF"/>
            <w:noWrap/>
            <w:vAlign w:val="bottom"/>
            <w:hideMark/>
          </w:tcPr>
          <w:p w14:paraId="0158A06F" w14:textId="682C6B25"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35</w:t>
            </w:r>
          </w:p>
        </w:tc>
        <w:tc>
          <w:tcPr>
            <w:tcW w:w="992" w:type="dxa"/>
            <w:tcBorders>
              <w:top w:val="nil"/>
              <w:left w:val="nil"/>
              <w:bottom w:val="nil"/>
              <w:right w:val="nil"/>
            </w:tcBorders>
            <w:shd w:val="clear" w:color="000000" w:fill="FFFFFF"/>
            <w:noWrap/>
            <w:vAlign w:val="bottom"/>
            <w:hideMark/>
          </w:tcPr>
          <w:p w14:paraId="400F71AE" w14:textId="0B174B07"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w:t>
            </w:r>
          </w:p>
        </w:tc>
        <w:tc>
          <w:tcPr>
            <w:tcW w:w="1116" w:type="dxa"/>
            <w:tcBorders>
              <w:top w:val="nil"/>
              <w:left w:val="nil"/>
              <w:bottom w:val="nil"/>
              <w:right w:val="nil"/>
            </w:tcBorders>
            <w:shd w:val="clear" w:color="000000" w:fill="E6E6E6"/>
            <w:noWrap/>
            <w:vAlign w:val="bottom"/>
            <w:hideMark/>
          </w:tcPr>
          <w:p w14:paraId="2B88F243" w14:textId="17A60431"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35</w:t>
            </w:r>
          </w:p>
        </w:tc>
      </w:tr>
      <w:tr w:rsidR="00857702" w:rsidRPr="00857702" w14:paraId="5DDF4B1A" w14:textId="77777777" w:rsidTr="009E7326">
        <w:trPr>
          <w:trHeight w:val="204"/>
        </w:trPr>
        <w:tc>
          <w:tcPr>
            <w:tcW w:w="3402" w:type="dxa"/>
            <w:tcBorders>
              <w:top w:val="nil"/>
              <w:left w:val="nil"/>
              <w:bottom w:val="nil"/>
              <w:right w:val="nil"/>
            </w:tcBorders>
            <w:shd w:val="clear" w:color="000000" w:fill="FFFFFF"/>
            <w:vAlign w:val="bottom"/>
            <w:hideMark/>
          </w:tcPr>
          <w:p w14:paraId="2ACC41AB" w14:textId="77777777" w:rsidR="00857702" w:rsidRPr="00857702" w:rsidRDefault="00857702" w:rsidP="00857702">
            <w:pPr>
              <w:spacing w:after="0" w:line="240" w:lineRule="auto"/>
              <w:ind w:firstLineChars="100" w:firstLine="160"/>
              <w:jc w:val="left"/>
              <w:rPr>
                <w:rFonts w:ascii="Arial" w:hAnsi="Arial" w:cs="Arial"/>
                <w:color w:val="000000"/>
                <w:sz w:val="16"/>
                <w:szCs w:val="16"/>
              </w:rPr>
            </w:pPr>
            <w:r w:rsidRPr="00857702">
              <w:rPr>
                <w:rFonts w:ascii="Arial" w:hAnsi="Arial" w:cs="Arial"/>
                <w:color w:val="000000"/>
                <w:sz w:val="16"/>
                <w:szCs w:val="16"/>
              </w:rPr>
              <w:t>Sale of goods and services</w:t>
            </w:r>
          </w:p>
        </w:tc>
        <w:tc>
          <w:tcPr>
            <w:tcW w:w="1150" w:type="dxa"/>
            <w:tcBorders>
              <w:top w:val="nil"/>
              <w:left w:val="nil"/>
              <w:bottom w:val="nil"/>
              <w:right w:val="nil"/>
            </w:tcBorders>
            <w:shd w:val="clear" w:color="000000" w:fill="FFFFFF"/>
            <w:noWrap/>
            <w:vAlign w:val="bottom"/>
            <w:hideMark/>
          </w:tcPr>
          <w:p w14:paraId="78FFFA09" w14:textId="56FB8B90"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6,790</w:t>
            </w:r>
          </w:p>
        </w:tc>
        <w:tc>
          <w:tcPr>
            <w:tcW w:w="977" w:type="dxa"/>
            <w:tcBorders>
              <w:top w:val="nil"/>
              <w:left w:val="nil"/>
              <w:bottom w:val="nil"/>
              <w:right w:val="nil"/>
            </w:tcBorders>
            <w:shd w:val="clear" w:color="000000" w:fill="FFFFFF"/>
            <w:noWrap/>
            <w:vAlign w:val="bottom"/>
            <w:hideMark/>
          </w:tcPr>
          <w:p w14:paraId="0F281EF6" w14:textId="0B260342"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7,460</w:t>
            </w:r>
          </w:p>
        </w:tc>
        <w:tc>
          <w:tcPr>
            <w:tcW w:w="992" w:type="dxa"/>
            <w:tcBorders>
              <w:top w:val="nil"/>
              <w:left w:val="nil"/>
              <w:bottom w:val="nil"/>
              <w:right w:val="nil"/>
            </w:tcBorders>
            <w:shd w:val="clear" w:color="000000" w:fill="FFFFFF"/>
            <w:noWrap/>
            <w:vAlign w:val="bottom"/>
            <w:hideMark/>
          </w:tcPr>
          <w:p w14:paraId="1138883B" w14:textId="4C57BCB0"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w:t>
            </w:r>
          </w:p>
        </w:tc>
        <w:tc>
          <w:tcPr>
            <w:tcW w:w="1116" w:type="dxa"/>
            <w:tcBorders>
              <w:top w:val="nil"/>
              <w:left w:val="nil"/>
              <w:bottom w:val="nil"/>
              <w:right w:val="nil"/>
            </w:tcBorders>
            <w:shd w:val="clear" w:color="000000" w:fill="E6E6E6"/>
            <w:noWrap/>
            <w:vAlign w:val="bottom"/>
            <w:hideMark/>
          </w:tcPr>
          <w:p w14:paraId="40CEF023" w14:textId="5CEE913D"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7,460</w:t>
            </w:r>
          </w:p>
        </w:tc>
      </w:tr>
      <w:tr w:rsidR="00857702" w:rsidRPr="00857702" w14:paraId="50A8E2A5" w14:textId="77777777" w:rsidTr="009E7326">
        <w:trPr>
          <w:trHeight w:val="204"/>
        </w:trPr>
        <w:tc>
          <w:tcPr>
            <w:tcW w:w="3402" w:type="dxa"/>
            <w:tcBorders>
              <w:top w:val="nil"/>
              <w:left w:val="nil"/>
              <w:bottom w:val="nil"/>
              <w:right w:val="nil"/>
            </w:tcBorders>
            <w:shd w:val="clear" w:color="000000" w:fill="FFFFFF"/>
            <w:vAlign w:val="bottom"/>
            <w:hideMark/>
          </w:tcPr>
          <w:p w14:paraId="5A50FCDC" w14:textId="77777777" w:rsidR="00857702" w:rsidRPr="00857702" w:rsidRDefault="00857702" w:rsidP="00857702">
            <w:pPr>
              <w:spacing w:after="0" w:line="240" w:lineRule="auto"/>
              <w:ind w:firstLineChars="100" w:firstLine="160"/>
              <w:jc w:val="left"/>
              <w:rPr>
                <w:rFonts w:ascii="Arial" w:hAnsi="Arial" w:cs="Arial"/>
                <w:color w:val="000000"/>
                <w:sz w:val="16"/>
                <w:szCs w:val="16"/>
              </w:rPr>
            </w:pPr>
            <w:r w:rsidRPr="00857702">
              <w:rPr>
                <w:rFonts w:ascii="Arial" w:hAnsi="Arial" w:cs="Arial"/>
                <w:color w:val="000000"/>
                <w:sz w:val="16"/>
                <w:szCs w:val="16"/>
              </w:rPr>
              <w:t>Other</w:t>
            </w:r>
          </w:p>
        </w:tc>
        <w:tc>
          <w:tcPr>
            <w:tcW w:w="1150" w:type="dxa"/>
            <w:tcBorders>
              <w:top w:val="nil"/>
              <w:left w:val="nil"/>
              <w:bottom w:val="nil"/>
              <w:right w:val="nil"/>
            </w:tcBorders>
            <w:shd w:val="clear" w:color="000000" w:fill="FFFFFF"/>
            <w:noWrap/>
            <w:vAlign w:val="bottom"/>
            <w:hideMark/>
          </w:tcPr>
          <w:p w14:paraId="70016AA5" w14:textId="4746C12E"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2,431</w:t>
            </w:r>
          </w:p>
        </w:tc>
        <w:tc>
          <w:tcPr>
            <w:tcW w:w="977" w:type="dxa"/>
            <w:tcBorders>
              <w:top w:val="nil"/>
              <w:left w:val="nil"/>
              <w:bottom w:val="nil"/>
              <w:right w:val="nil"/>
            </w:tcBorders>
            <w:shd w:val="clear" w:color="000000" w:fill="FFFFFF"/>
            <w:noWrap/>
            <w:vAlign w:val="bottom"/>
            <w:hideMark/>
          </w:tcPr>
          <w:p w14:paraId="01653D46" w14:textId="006DCA65"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2,975</w:t>
            </w:r>
          </w:p>
        </w:tc>
        <w:tc>
          <w:tcPr>
            <w:tcW w:w="992" w:type="dxa"/>
            <w:tcBorders>
              <w:top w:val="nil"/>
              <w:left w:val="nil"/>
              <w:bottom w:val="nil"/>
              <w:right w:val="nil"/>
            </w:tcBorders>
            <w:shd w:val="clear" w:color="000000" w:fill="FFFFFF"/>
            <w:noWrap/>
            <w:vAlign w:val="bottom"/>
            <w:hideMark/>
          </w:tcPr>
          <w:p w14:paraId="23EC4753" w14:textId="0EFA3F83" w:rsidR="00857702" w:rsidRPr="001D77BC" w:rsidRDefault="00857702" w:rsidP="00857702">
            <w:pPr>
              <w:spacing w:after="0" w:line="240" w:lineRule="auto"/>
              <w:jc w:val="right"/>
              <w:rPr>
                <w:rFonts w:ascii="Arial" w:hAnsi="Arial" w:cs="Arial"/>
                <w:iCs/>
                <w:color w:val="000000"/>
                <w:sz w:val="16"/>
                <w:szCs w:val="16"/>
              </w:rPr>
            </w:pPr>
            <w:r w:rsidRPr="001D77BC">
              <w:rPr>
                <w:rFonts w:ascii="Arial" w:hAnsi="Arial" w:cs="Arial"/>
                <w:iCs/>
                <w:color w:val="000000"/>
                <w:sz w:val="16"/>
                <w:szCs w:val="16"/>
              </w:rPr>
              <w:t>-</w:t>
            </w:r>
          </w:p>
        </w:tc>
        <w:tc>
          <w:tcPr>
            <w:tcW w:w="1116" w:type="dxa"/>
            <w:tcBorders>
              <w:top w:val="nil"/>
              <w:left w:val="nil"/>
              <w:bottom w:val="nil"/>
              <w:right w:val="nil"/>
            </w:tcBorders>
            <w:shd w:val="clear" w:color="000000" w:fill="E6E6E6"/>
            <w:noWrap/>
            <w:vAlign w:val="bottom"/>
            <w:hideMark/>
          </w:tcPr>
          <w:p w14:paraId="3A790B07" w14:textId="31634E9F" w:rsidR="00857702" w:rsidRPr="001D77BC" w:rsidRDefault="00857702" w:rsidP="00857702">
            <w:pPr>
              <w:spacing w:after="0" w:line="240" w:lineRule="auto"/>
              <w:jc w:val="right"/>
              <w:rPr>
                <w:rFonts w:ascii="Arial" w:hAnsi="Arial" w:cs="Arial"/>
                <w:color w:val="000000"/>
                <w:sz w:val="16"/>
                <w:szCs w:val="16"/>
              </w:rPr>
            </w:pPr>
            <w:r w:rsidRPr="001D77BC">
              <w:rPr>
                <w:rFonts w:ascii="Arial" w:hAnsi="Arial" w:cs="Arial"/>
                <w:color w:val="000000"/>
                <w:sz w:val="16"/>
                <w:szCs w:val="16"/>
              </w:rPr>
              <w:t>2,975</w:t>
            </w:r>
          </w:p>
        </w:tc>
      </w:tr>
      <w:tr w:rsidR="00857702" w:rsidRPr="00857702" w14:paraId="25A531D7" w14:textId="77777777" w:rsidTr="009E7326">
        <w:trPr>
          <w:trHeight w:val="204"/>
        </w:trPr>
        <w:tc>
          <w:tcPr>
            <w:tcW w:w="3402" w:type="dxa"/>
            <w:tcBorders>
              <w:top w:val="nil"/>
              <w:left w:val="nil"/>
              <w:bottom w:val="nil"/>
              <w:right w:val="nil"/>
            </w:tcBorders>
            <w:shd w:val="clear" w:color="000000" w:fill="FFFFFF"/>
            <w:noWrap/>
            <w:vAlign w:val="bottom"/>
            <w:hideMark/>
          </w:tcPr>
          <w:p w14:paraId="7A0BC707" w14:textId="77777777" w:rsidR="00857702" w:rsidRPr="00857702" w:rsidRDefault="00857702" w:rsidP="00857702">
            <w:pPr>
              <w:spacing w:after="0" w:line="240" w:lineRule="auto"/>
              <w:jc w:val="left"/>
              <w:rPr>
                <w:rFonts w:ascii="Arial" w:hAnsi="Arial" w:cs="Arial"/>
                <w:b/>
                <w:bCs/>
                <w:color w:val="000000"/>
                <w:sz w:val="16"/>
                <w:szCs w:val="16"/>
              </w:rPr>
            </w:pPr>
            <w:r w:rsidRPr="00857702">
              <w:rPr>
                <w:rFonts w:ascii="Arial" w:hAnsi="Arial" w:cs="Arial"/>
                <w:b/>
                <w:bCs/>
                <w:color w:val="000000"/>
                <w:sz w:val="16"/>
                <w:szCs w:val="16"/>
              </w:rPr>
              <w:t>Total funds from other sources</w:t>
            </w:r>
          </w:p>
        </w:tc>
        <w:tc>
          <w:tcPr>
            <w:tcW w:w="1150" w:type="dxa"/>
            <w:tcBorders>
              <w:top w:val="single" w:sz="4" w:space="0" w:color="auto"/>
              <w:left w:val="nil"/>
              <w:bottom w:val="single" w:sz="4" w:space="0" w:color="auto"/>
              <w:right w:val="nil"/>
            </w:tcBorders>
            <w:shd w:val="clear" w:color="000000" w:fill="FFFFFF"/>
            <w:noWrap/>
            <w:vAlign w:val="bottom"/>
            <w:hideMark/>
          </w:tcPr>
          <w:p w14:paraId="30DF57BF" w14:textId="49CBFA6C" w:rsidR="00857702" w:rsidRPr="001D77BC" w:rsidRDefault="00857702" w:rsidP="00857702">
            <w:pPr>
              <w:spacing w:after="0" w:line="240" w:lineRule="auto"/>
              <w:jc w:val="right"/>
              <w:rPr>
                <w:rFonts w:ascii="Arial" w:hAnsi="Arial" w:cs="Arial"/>
                <w:b/>
                <w:bCs/>
                <w:iCs/>
                <w:color w:val="000000"/>
                <w:sz w:val="16"/>
                <w:szCs w:val="16"/>
              </w:rPr>
            </w:pPr>
            <w:r w:rsidRPr="001D77BC">
              <w:rPr>
                <w:rFonts w:ascii="Arial" w:hAnsi="Arial" w:cs="Arial"/>
                <w:b/>
                <w:bCs/>
                <w:iCs/>
                <w:color w:val="000000"/>
                <w:sz w:val="16"/>
                <w:szCs w:val="16"/>
              </w:rPr>
              <w:t>9,689</w:t>
            </w:r>
          </w:p>
        </w:tc>
        <w:tc>
          <w:tcPr>
            <w:tcW w:w="977" w:type="dxa"/>
            <w:tcBorders>
              <w:top w:val="single" w:sz="4" w:space="0" w:color="auto"/>
              <w:left w:val="nil"/>
              <w:bottom w:val="single" w:sz="4" w:space="0" w:color="auto"/>
              <w:right w:val="nil"/>
            </w:tcBorders>
            <w:shd w:val="clear" w:color="000000" w:fill="FFFFFF"/>
            <w:noWrap/>
            <w:vAlign w:val="bottom"/>
            <w:hideMark/>
          </w:tcPr>
          <w:p w14:paraId="03360C23" w14:textId="3152DC76" w:rsidR="00857702" w:rsidRPr="001D77BC" w:rsidRDefault="00857702" w:rsidP="00857702">
            <w:pPr>
              <w:spacing w:after="0" w:line="240" w:lineRule="auto"/>
              <w:jc w:val="right"/>
              <w:rPr>
                <w:rFonts w:ascii="Arial" w:hAnsi="Arial" w:cs="Arial"/>
                <w:b/>
                <w:bCs/>
                <w:iCs/>
                <w:color w:val="000000"/>
                <w:sz w:val="16"/>
                <w:szCs w:val="16"/>
              </w:rPr>
            </w:pPr>
            <w:r w:rsidRPr="001D77BC">
              <w:rPr>
                <w:rFonts w:ascii="Arial" w:hAnsi="Arial" w:cs="Arial"/>
                <w:b/>
                <w:bCs/>
                <w:iCs/>
                <w:color w:val="000000"/>
                <w:sz w:val="16"/>
                <w:szCs w:val="16"/>
              </w:rPr>
              <w:t>10,916</w:t>
            </w:r>
          </w:p>
        </w:tc>
        <w:tc>
          <w:tcPr>
            <w:tcW w:w="992" w:type="dxa"/>
            <w:tcBorders>
              <w:top w:val="single" w:sz="4" w:space="0" w:color="auto"/>
              <w:left w:val="nil"/>
              <w:bottom w:val="single" w:sz="4" w:space="0" w:color="auto"/>
              <w:right w:val="nil"/>
            </w:tcBorders>
            <w:shd w:val="clear" w:color="000000" w:fill="FFFFFF"/>
            <w:noWrap/>
            <w:vAlign w:val="bottom"/>
            <w:hideMark/>
          </w:tcPr>
          <w:p w14:paraId="4B7C54B5" w14:textId="52E06725" w:rsidR="00857702" w:rsidRPr="001D77BC" w:rsidRDefault="00857702" w:rsidP="00857702">
            <w:pPr>
              <w:spacing w:after="0" w:line="240" w:lineRule="auto"/>
              <w:jc w:val="right"/>
              <w:rPr>
                <w:rFonts w:ascii="Arial" w:hAnsi="Arial" w:cs="Arial"/>
                <w:b/>
                <w:bCs/>
                <w:iCs/>
                <w:color w:val="000000"/>
                <w:sz w:val="16"/>
                <w:szCs w:val="16"/>
              </w:rPr>
            </w:pPr>
            <w:r w:rsidRPr="001D77BC">
              <w:rPr>
                <w:rFonts w:ascii="Arial" w:hAnsi="Arial" w:cs="Arial"/>
                <w:b/>
                <w:bCs/>
                <w:iCs/>
                <w:color w:val="000000"/>
                <w:sz w:val="16"/>
                <w:szCs w:val="16"/>
              </w:rPr>
              <w:t>-</w:t>
            </w:r>
          </w:p>
        </w:tc>
        <w:tc>
          <w:tcPr>
            <w:tcW w:w="1116" w:type="dxa"/>
            <w:tcBorders>
              <w:top w:val="single" w:sz="4" w:space="0" w:color="auto"/>
              <w:left w:val="nil"/>
              <w:bottom w:val="single" w:sz="4" w:space="0" w:color="auto"/>
              <w:right w:val="nil"/>
            </w:tcBorders>
            <w:shd w:val="clear" w:color="000000" w:fill="E6E6E6"/>
            <w:noWrap/>
            <w:vAlign w:val="bottom"/>
            <w:hideMark/>
          </w:tcPr>
          <w:p w14:paraId="7BCA9438" w14:textId="05E1CCD6" w:rsidR="00857702" w:rsidRPr="001D77BC" w:rsidRDefault="00857702" w:rsidP="00857702">
            <w:pPr>
              <w:spacing w:after="0" w:line="240" w:lineRule="auto"/>
              <w:jc w:val="right"/>
              <w:rPr>
                <w:rFonts w:ascii="Arial" w:hAnsi="Arial" w:cs="Arial"/>
                <w:b/>
                <w:bCs/>
                <w:color w:val="000000"/>
                <w:sz w:val="16"/>
                <w:szCs w:val="16"/>
              </w:rPr>
            </w:pPr>
            <w:r w:rsidRPr="001D77BC">
              <w:rPr>
                <w:rFonts w:ascii="Arial" w:hAnsi="Arial" w:cs="Arial"/>
                <w:b/>
                <w:bCs/>
                <w:color w:val="000000"/>
                <w:sz w:val="16"/>
                <w:szCs w:val="16"/>
              </w:rPr>
              <w:t>10,916</w:t>
            </w:r>
          </w:p>
        </w:tc>
      </w:tr>
      <w:tr w:rsidR="00857702" w:rsidRPr="00857702" w14:paraId="111513FB" w14:textId="77777777" w:rsidTr="009E7326">
        <w:trPr>
          <w:trHeight w:val="204"/>
        </w:trPr>
        <w:tc>
          <w:tcPr>
            <w:tcW w:w="3402" w:type="dxa"/>
            <w:tcBorders>
              <w:top w:val="nil"/>
              <w:left w:val="nil"/>
              <w:bottom w:val="single" w:sz="4" w:space="0" w:color="auto"/>
              <w:right w:val="nil"/>
            </w:tcBorders>
            <w:shd w:val="clear" w:color="000000" w:fill="FFFFFF"/>
            <w:noWrap/>
            <w:vAlign w:val="bottom"/>
            <w:hideMark/>
          </w:tcPr>
          <w:p w14:paraId="4D75C492" w14:textId="77777777" w:rsidR="00857702" w:rsidRPr="00857702" w:rsidRDefault="00857702" w:rsidP="00857702">
            <w:pPr>
              <w:spacing w:after="0" w:line="240" w:lineRule="auto"/>
              <w:jc w:val="left"/>
              <w:rPr>
                <w:rFonts w:ascii="Arial" w:hAnsi="Arial" w:cs="Arial"/>
                <w:b/>
                <w:bCs/>
                <w:color w:val="000000"/>
                <w:sz w:val="16"/>
                <w:szCs w:val="16"/>
              </w:rPr>
            </w:pPr>
            <w:r w:rsidRPr="00857702">
              <w:rPr>
                <w:rFonts w:ascii="Arial" w:hAnsi="Arial" w:cs="Arial"/>
                <w:b/>
                <w:bCs/>
                <w:color w:val="000000"/>
                <w:sz w:val="16"/>
                <w:szCs w:val="16"/>
              </w:rPr>
              <w:t>Total net resourcing for NLA</w:t>
            </w:r>
          </w:p>
        </w:tc>
        <w:tc>
          <w:tcPr>
            <w:tcW w:w="1150" w:type="dxa"/>
            <w:tcBorders>
              <w:top w:val="single" w:sz="4" w:space="0" w:color="auto"/>
              <w:left w:val="nil"/>
              <w:bottom w:val="single" w:sz="4" w:space="0" w:color="auto"/>
              <w:right w:val="nil"/>
            </w:tcBorders>
            <w:shd w:val="clear" w:color="000000" w:fill="FFFFFF"/>
            <w:noWrap/>
            <w:vAlign w:val="bottom"/>
            <w:hideMark/>
          </w:tcPr>
          <w:p w14:paraId="3A02E91C" w14:textId="427BF1C7" w:rsidR="00857702" w:rsidRPr="001D77BC" w:rsidRDefault="00857702" w:rsidP="00857702">
            <w:pPr>
              <w:spacing w:after="0" w:line="240" w:lineRule="auto"/>
              <w:jc w:val="right"/>
              <w:rPr>
                <w:rFonts w:ascii="Arial" w:hAnsi="Arial" w:cs="Arial"/>
                <w:b/>
                <w:bCs/>
                <w:iCs/>
                <w:color w:val="000000"/>
                <w:sz w:val="16"/>
                <w:szCs w:val="16"/>
              </w:rPr>
            </w:pPr>
            <w:r w:rsidRPr="001D77BC">
              <w:rPr>
                <w:rFonts w:ascii="Arial" w:hAnsi="Arial" w:cs="Arial"/>
                <w:b/>
                <w:bCs/>
                <w:iCs/>
                <w:color w:val="000000"/>
                <w:sz w:val="16"/>
                <w:szCs w:val="16"/>
              </w:rPr>
              <w:t>144,551</w:t>
            </w:r>
          </w:p>
        </w:tc>
        <w:tc>
          <w:tcPr>
            <w:tcW w:w="977" w:type="dxa"/>
            <w:tcBorders>
              <w:top w:val="single" w:sz="4" w:space="0" w:color="auto"/>
              <w:left w:val="nil"/>
              <w:bottom w:val="single" w:sz="4" w:space="0" w:color="auto"/>
              <w:right w:val="nil"/>
            </w:tcBorders>
            <w:shd w:val="clear" w:color="000000" w:fill="FFFFFF"/>
            <w:noWrap/>
            <w:vAlign w:val="bottom"/>
            <w:hideMark/>
          </w:tcPr>
          <w:p w14:paraId="1CB5A95F" w14:textId="27F73670" w:rsidR="00857702" w:rsidRPr="001D77BC" w:rsidRDefault="00857702" w:rsidP="00857702">
            <w:pPr>
              <w:spacing w:after="0" w:line="240" w:lineRule="auto"/>
              <w:jc w:val="right"/>
              <w:rPr>
                <w:rFonts w:ascii="Arial" w:hAnsi="Arial" w:cs="Arial"/>
                <w:b/>
                <w:bCs/>
                <w:iCs/>
                <w:color w:val="000000"/>
                <w:sz w:val="16"/>
                <w:szCs w:val="16"/>
              </w:rPr>
            </w:pPr>
            <w:r w:rsidRPr="001D77BC">
              <w:rPr>
                <w:rFonts w:ascii="Arial" w:hAnsi="Arial" w:cs="Arial"/>
                <w:b/>
                <w:bCs/>
                <w:iCs/>
                <w:color w:val="000000"/>
                <w:sz w:val="16"/>
                <w:szCs w:val="16"/>
              </w:rPr>
              <w:t>158,448</w:t>
            </w:r>
          </w:p>
        </w:tc>
        <w:tc>
          <w:tcPr>
            <w:tcW w:w="992" w:type="dxa"/>
            <w:tcBorders>
              <w:top w:val="single" w:sz="4" w:space="0" w:color="auto"/>
              <w:left w:val="nil"/>
              <w:bottom w:val="single" w:sz="4" w:space="0" w:color="auto"/>
              <w:right w:val="nil"/>
            </w:tcBorders>
            <w:shd w:val="clear" w:color="000000" w:fill="FFFFFF"/>
            <w:noWrap/>
            <w:vAlign w:val="bottom"/>
            <w:hideMark/>
          </w:tcPr>
          <w:p w14:paraId="002F5EF5" w14:textId="51F023AE" w:rsidR="00857702" w:rsidRPr="001D77BC" w:rsidRDefault="00857702" w:rsidP="00857702">
            <w:pPr>
              <w:spacing w:after="0" w:line="240" w:lineRule="auto"/>
              <w:jc w:val="right"/>
              <w:rPr>
                <w:rFonts w:ascii="Arial" w:hAnsi="Arial" w:cs="Arial"/>
                <w:b/>
                <w:bCs/>
                <w:iCs/>
                <w:color w:val="000000"/>
                <w:sz w:val="16"/>
                <w:szCs w:val="16"/>
              </w:rPr>
            </w:pPr>
            <w:r w:rsidRPr="001D77BC">
              <w:rPr>
                <w:rFonts w:ascii="Arial" w:hAnsi="Arial" w:cs="Arial"/>
                <w:b/>
                <w:bCs/>
                <w:iCs/>
                <w:color w:val="000000"/>
                <w:sz w:val="16"/>
                <w:szCs w:val="16"/>
              </w:rPr>
              <w:t>683</w:t>
            </w:r>
          </w:p>
        </w:tc>
        <w:tc>
          <w:tcPr>
            <w:tcW w:w="1116" w:type="dxa"/>
            <w:tcBorders>
              <w:top w:val="single" w:sz="4" w:space="0" w:color="auto"/>
              <w:left w:val="nil"/>
              <w:bottom w:val="single" w:sz="4" w:space="0" w:color="auto"/>
              <w:right w:val="nil"/>
            </w:tcBorders>
            <w:shd w:val="clear" w:color="000000" w:fill="E6E6E6"/>
            <w:noWrap/>
            <w:vAlign w:val="bottom"/>
            <w:hideMark/>
          </w:tcPr>
          <w:p w14:paraId="345A8E62" w14:textId="04959E82" w:rsidR="00857702" w:rsidRPr="001D77BC" w:rsidRDefault="00857702" w:rsidP="00857702">
            <w:pPr>
              <w:spacing w:after="0" w:line="240" w:lineRule="auto"/>
              <w:jc w:val="right"/>
              <w:rPr>
                <w:rFonts w:ascii="Arial" w:hAnsi="Arial" w:cs="Arial"/>
                <w:b/>
                <w:bCs/>
                <w:color w:val="000000"/>
                <w:sz w:val="16"/>
                <w:szCs w:val="16"/>
              </w:rPr>
            </w:pPr>
            <w:r w:rsidRPr="001D77BC">
              <w:rPr>
                <w:rFonts w:ascii="Arial" w:hAnsi="Arial" w:cs="Arial"/>
                <w:b/>
                <w:bCs/>
                <w:color w:val="000000"/>
                <w:sz w:val="16"/>
                <w:szCs w:val="16"/>
              </w:rPr>
              <w:t>159,131</w:t>
            </w:r>
          </w:p>
        </w:tc>
      </w:tr>
    </w:tbl>
    <w:p w14:paraId="1404E619" w14:textId="6937E653" w:rsidR="00B91CB9" w:rsidRDefault="00B91CB9" w:rsidP="00BD72A9">
      <w:pPr>
        <w:spacing w:after="0"/>
        <w:rPr>
          <w:lang w:val="en-GB"/>
        </w:rPr>
      </w:pPr>
    </w:p>
    <w:tbl>
      <w:tblPr>
        <w:tblW w:w="7659" w:type="dxa"/>
        <w:tblLook w:val="04A0" w:firstRow="1" w:lastRow="0" w:firstColumn="1" w:lastColumn="0" w:noHBand="0" w:noVBand="1"/>
      </w:tblPr>
      <w:tblGrid>
        <w:gridCol w:w="5387"/>
        <w:gridCol w:w="1136"/>
        <w:gridCol w:w="1136"/>
      </w:tblGrid>
      <w:tr w:rsidR="001D77BC" w:rsidRPr="00B91CB9" w14:paraId="1C9AD1C5" w14:textId="77777777" w:rsidTr="001D77BC">
        <w:trPr>
          <w:trHeight w:val="225"/>
        </w:trPr>
        <w:tc>
          <w:tcPr>
            <w:tcW w:w="5387" w:type="dxa"/>
            <w:tcBorders>
              <w:top w:val="single" w:sz="4" w:space="0" w:color="auto"/>
              <w:left w:val="nil"/>
              <w:bottom w:val="nil"/>
              <w:right w:val="nil"/>
            </w:tcBorders>
            <w:shd w:val="clear" w:color="000000" w:fill="FFFFFF"/>
            <w:noWrap/>
            <w:vAlign w:val="bottom"/>
            <w:hideMark/>
          </w:tcPr>
          <w:p w14:paraId="49B952E6" w14:textId="77777777" w:rsidR="001D77BC" w:rsidRPr="00B91CB9" w:rsidRDefault="001D77BC" w:rsidP="00B91CB9">
            <w:pPr>
              <w:spacing w:after="0" w:line="240" w:lineRule="auto"/>
              <w:jc w:val="left"/>
              <w:rPr>
                <w:rFonts w:ascii="Arial" w:hAnsi="Arial" w:cs="Arial"/>
                <w:color w:val="000000"/>
                <w:sz w:val="16"/>
                <w:szCs w:val="16"/>
              </w:rPr>
            </w:pPr>
            <w:r w:rsidRPr="00B91CB9">
              <w:rPr>
                <w:rFonts w:ascii="Arial" w:hAnsi="Arial" w:cs="Arial"/>
                <w:color w:val="000000"/>
                <w:sz w:val="16"/>
                <w:szCs w:val="16"/>
              </w:rPr>
              <w:t> </w:t>
            </w:r>
          </w:p>
        </w:tc>
        <w:tc>
          <w:tcPr>
            <w:tcW w:w="1136" w:type="dxa"/>
            <w:tcBorders>
              <w:top w:val="single" w:sz="4" w:space="0" w:color="auto"/>
              <w:left w:val="nil"/>
              <w:bottom w:val="single" w:sz="4" w:space="0" w:color="auto"/>
              <w:right w:val="nil"/>
            </w:tcBorders>
            <w:shd w:val="clear" w:color="000000" w:fill="FFFFFF"/>
            <w:noWrap/>
            <w:vAlign w:val="bottom"/>
            <w:hideMark/>
          </w:tcPr>
          <w:p w14:paraId="7B0DB945" w14:textId="77777777" w:rsidR="00783F9E" w:rsidRDefault="00783F9E" w:rsidP="00B91CB9">
            <w:pPr>
              <w:spacing w:after="0" w:line="240" w:lineRule="auto"/>
              <w:jc w:val="right"/>
              <w:rPr>
                <w:rFonts w:ascii="Arial" w:hAnsi="Arial" w:cs="Arial"/>
                <w:iCs/>
                <w:color w:val="000000"/>
                <w:sz w:val="16"/>
                <w:szCs w:val="16"/>
              </w:rPr>
            </w:pPr>
            <w:r>
              <w:rPr>
                <w:rFonts w:ascii="Arial" w:hAnsi="Arial" w:cs="Arial"/>
                <w:iCs/>
                <w:color w:val="000000"/>
                <w:sz w:val="16"/>
                <w:szCs w:val="16"/>
              </w:rPr>
              <w:t>Actual</w:t>
            </w:r>
          </w:p>
          <w:p w14:paraId="65AE267B" w14:textId="50D0F32C" w:rsidR="001D77BC" w:rsidRPr="00D413BA" w:rsidRDefault="001D77BC" w:rsidP="00B91CB9">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2020-21</w:t>
            </w:r>
          </w:p>
        </w:tc>
        <w:tc>
          <w:tcPr>
            <w:tcW w:w="1136" w:type="dxa"/>
            <w:tcBorders>
              <w:top w:val="single" w:sz="4" w:space="0" w:color="auto"/>
              <w:left w:val="nil"/>
              <w:bottom w:val="single" w:sz="4" w:space="0" w:color="auto"/>
              <w:right w:val="nil"/>
            </w:tcBorders>
            <w:shd w:val="clear" w:color="000000" w:fill="E6E6E6"/>
            <w:noWrap/>
            <w:vAlign w:val="bottom"/>
            <w:hideMark/>
          </w:tcPr>
          <w:p w14:paraId="10580A96" w14:textId="77777777" w:rsidR="001D77BC" w:rsidRPr="00D413BA" w:rsidRDefault="001D77BC" w:rsidP="00B91CB9">
            <w:pPr>
              <w:spacing w:after="0" w:line="240" w:lineRule="auto"/>
              <w:jc w:val="right"/>
              <w:rPr>
                <w:rFonts w:ascii="Arial" w:hAnsi="Arial" w:cs="Arial"/>
                <w:color w:val="000000"/>
                <w:sz w:val="16"/>
                <w:szCs w:val="16"/>
              </w:rPr>
            </w:pPr>
            <w:r w:rsidRPr="00D413BA">
              <w:rPr>
                <w:rFonts w:ascii="Arial" w:hAnsi="Arial" w:cs="Arial"/>
                <w:color w:val="000000"/>
                <w:sz w:val="16"/>
                <w:szCs w:val="16"/>
              </w:rPr>
              <w:t>2021-22</w:t>
            </w:r>
          </w:p>
        </w:tc>
      </w:tr>
      <w:tr w:rsidR="001D77BC" w:rsidRPr="00B91CB9" w14:paraId="67479543" w14:textId="77777777" w:rsidTr="001D77BC">
        <w:trPr>
          <w:trHeight w:val="204"/>
        </w:trPr>
        <w:tc>
          <w:tcPr>
            <w:tcW w:w="5387" w:type="dxa"/>
            <w:tcBorders>
              <w:top w:val="nil"/>
              <w:left w:val="nil"/>
              <w:bottom w:val="single" w:sz="4" w:space="0" w:color="auto"/>
              <w:right w:val="nil"/>
            </w:tcBorders>
            <w:shd w:val="clear" w:color="000000" w:fill="FFFFFF"/>
            <w:noWrap/>
            <w:vAlign w:val="bottom"/>
            <w:hideMark/>
          </w:tcPr>
          <w:p w14:paraId="7A6E2BA9" w14:textId="77777777" w:rsidR="001D77BC" w:rsidRPr="00B91CB9" w:rsidRDefault="001D77BC" w:rsidP="00B91CB9">
            <w:pPr>
              <w:spacing w:after="0" w:line="240" w:lineRule="auto"/>
              <w:jc w:val="left"/>
              <w:rPr>
                <w:rFonts w:ascii="Arial" w:hAnsi="Arial" w:cs="Arial"/>
                <w:b/>
                <w:bCs/>
                <w:color w:val="000000"/>
                <w:sz w:val="16"/>
                <w:szCs w:val="16"/>
              </w:rPr>
            </w:pPr>
            <w:r w:rsidRPr="00B91CB9">
              <w:rPr>
                <w:rFonts w:ascii="Arial" w:hAnsi="Arial" w:cs="Arial"/>
                <w:b/>
                <w:bCs/>
                <w:color w:val="000000"/>
                <w:sz w:val="16"/>
                <w:szCs w:val="16"/>
              </w:rPr>
              <w:t>Average staffing level (number)</w:t>
            </w:r>
          </w:p>
        </w:tc>
        <w:tc>
          <w:tcPr>
            <w:tcW w:w="1136" w:type="dxa"/>
            <w:tcBorders>
              <w:top w:val="nil"/>
              <w:left w:val="nil"/>
              <w:bottom w:val="single" w:sz="4" w:space="0" w:color="auto"/>
              <w:right w:val="nil"/>
            </w:tcBorders>
            <w:shd w:val="clear" w:color="000000" w:fill="FFFFFF"/>
            <w:noWrap/>
            <w:vAlign w:val="bottom"/>
            <w:hideMark/>
          </w:tcPr>
          <w:p w14:paraId="6F8DDBF7" w14:textId="3AB6D308" w:rsidR="001D77BC" w:rsidRPr="00D413BA" w:rsidRDefault="001D77BC" w:rsidP="00B91CB9">
            <w:pPr>
              <w:spacing w:after="0" w:line="240" w:lineRule="auto"/>
              <w:jc w:val="right"/>
              <w:rPr>
                <w:rFonts w:ascii="Arial" w:hAnsi="Arial" w:cs="Arial"/>
                <w:iCs/>
                <w:color w:val="000000"/>
                <w:sz w:val="16"/>
                <w:szCs w:val="16"/>
              </w:rPr>
            </w:pPr>
            <w:r w:rsidRPr="00D413BA">
              <w:rPr>
                <w:rFonts w:ascii="Arial" w:hAnsi="Arial" w:cs="Arial"/>
                <w:iCs/>
                <w:color w:val="000000"/>
                <w:sz w:val="16"/>
                <w:szCs w:val="16"/>
              </w:rPr>
              <w:t>350</w:t>
            </w:r>
          </w:p>
        </w:tc>
        <w:tc>
          <w:tcPr>
            <w:tcW w:w="1136" w:type="dxa"/>
            <w:tcBorders>
              <w:top w:val="nil"/>
              <w:left w:val="nil"/>
              <w:bottom w:val="single" w:sz="4" w:space="0" w:color="auto"/>
              <w:right w:val="nil"/>
            </w:tcBorders>
            <w:shd w:val="clear" w:color="000000" w:fill="E6E6E6"/>
            <w:noWrap/>
            <w:vAlign w:val="bottom"/>
            <w:hideMark/>
          </w:tcPr>
          <w:p w14:paraId="13D82D1E" w14:textId="458FAB0A" w:rsidR="001D77BC" w:rsidRPr="00D413BA" w:rsidRDefault="001D77BC" w:rsidP="00B91CB9">
            <w:pPr>
              <w:spacing w:after="0" w:line="240" w:lineRule="auto"/>
              <w:jc w:val="right"/>
              <w:rPr>
                <w:rFonts w:ascii="Arial" w:hAnsi="Arial" w:cs="Arial"/>
                <w:color w:val="000000"/>
                <w:sz w:val="16"/>
                <w:szCs w:val="16"/>
              </w:rPr>
            </w:pPr>
            <w:r w:rsidRPr="00D413BA">
              <w:rPr>
                <w:rFonts w:ascii="Arial" w:hAnsi="Arial" w:cs="Arial"/>
                <w:color w:val="000000"/>
                <w:sz w:val="16"/>
                <w:szCs w:val="16"/>
              </w:rPr>
              <w:t>371</w:t>
            </w:r>
          </w:p>
        </w:tc>
      </w:tr>
    </w:tbl>
    <w:p w14:paraId="76D3EDDF" w14:textId="77777777" w:rsidR="004B202A" w:rsidRPr="00CB2844" w:rsidRDefault="004B202A" w:rsidP="0069179B">
      <w:pPr>
        <w:pStyle w:val="ChartandTableFootnote"/>
        <w:spacing w:before="60"/>
        <w:jc w:val="left"/>
      </w:pPr>
      <w:r w:rsidRPr="00696AA8">
        <w:t>All figures shown above are GST exclusive - these may not match figures in the cash flow statement.</w:t>
      </w:r>
    </w:p>
    <w:p w14:paraId="74E874B9" w14:textId="77777777" w:rsidR="00F125CB" w:rsidRPr="00F125CB" w:rsidRDefault="00F125CB" w:rsidP="00F10ACD">
      <w:pPr>
        <w:pStyle w:val="ChartandTableFootnote"/>
        <w:numPr>
          <w:ilvl w:val="0"/>
          <w:numId w:val="21"/>
        </w:numPr>
        <w:tabs>
          <w:tab w:val="clear" w:pos="454"/>
          <w:tab w:val="left" w:pos="284"/>
        </w:tabs>
        <w:jc w:val="left"/>
        <w:rPr>
          <w:rFonts w:cs="Arial"/>
          <w:szCs w:val="16"/>
        </w:rPr>
      </w:pPr>
      <w:r w:rsidRPr="00F125CB">
        <w:rPr>
          <w:rFonts w:cs="Arial"/>
          <w:szCs w:val="16"/>
        </w:rPr>
        <w:t>Appropriation Act (No. 1) 2021-22 and Appropriation Bill (No. 3) 2021-22.</w:t>
      </w:r>
    </w:p>
    <w:p w14:paraId="14D2D638" w14:textId="5B2BA613" w:rsidR="00F125CB" w:rsidRPr="00F125CB" w:rsidRDefault="00F125CB" w:rsidP="00F10ACD">
      <w:pPr>
        <w:pStyle w:val="ChartandTableFootnote"/>
        <w:numPr>
          <w:ilvl w:val="0"/>
          <w:numId w:val="21"/>
        </w:numPr>
        <w:tabs>
          <w:tab w:val="clear" w:pos="454"/>
          <w:tab w:val="left" w:pos="284"/>
        </w:tabs>
        <w:jc w:val="left"/>
        <w:rPr>
          <w:rFonts w:cs="Arial"/>
          <w:szCs w:val="16"/>
        </w:rPr>
      </w:pPr>
      <w:r w:rsidRPr="00F125CB">
        <w:rPr>
          <w:rFonts w:cs="Arial"/>
          <w:szCs w:val="16"/>
        </w:rPr>
        <w:t xml:space="preserve">Appropriation Act (No. 2) 2021-22. </w:t>
      </w:r>
    </w:p>
    <w:p w14:paraId="79CD0A46" w14:textId="41E03F64" w:rsidR="004B202A" w:rsidRDefault="004E26DE" w:rsidP="00F10ACD">
      <w:pPr>
        <w:pStyle w:val="ChartandTableFootnote"/>
        <w:numPr>
          <w:ilvl w:val="0"/>
          <w:numId w:val="21"/>
        </w:numPr>
        <w:tabs>
          <w:tab w:val="clear" w:pos="454"/>
        </w:tabs>
        <w:ind w:left="284" w:hanging="284"/>
        <w:jc w:val="left"/>
        <w:rPr>
          <w:rFonts w:cs="Arial"/>
          <w:color w:val="000000"/>
          <w:szCs w:val="16"/>
        </w:rPr>
      </w:pPr>
      <w:r w:rsidRPr="00F125CB">
        <w:rPr>
          <w:rFonts w:cs="Arial"/>
          <w:szCs w:val="16"/>
        </w:rPr>
        <w:t>Funding</w:t>
      </w:r>
      <w:r w:rsidRPr="004E26DE">
        <w:rPr>
          <w:rFonts w:cs="Arial"/>
          <w:color w:val="000000"/>
          <w:szCs w:val="16"/>
        </w:rPr>
        <w:t xml:space="preserve"> provided by the portfolio </w:t>
      </w:r>
      <w:r w:rsidR="008863D9">
        <w:rPr>
          <w:rFonts w:cs="Arial"/>
          <w:color w:val="000000"/>
          <w:szCs w:val="16"/>
        </w:rPr>
        <w:t>Department</w:t>
      </w:r>
      <w:r w:rsidRPr="004E26DE">
        <w:rPr>
          <w:rFonts w:cs="Arial"/>
          <w:color w:val="000000"/>
          <w:szCs w:val="16"/>
        </w:rPr>
        <w:t xml:space="preserve"> that is not specified within the Annual Appropriation Bills </w:t>
      </w:r>
      <w:r w:rsidRPr="00F125CB">
        <w:rPr>
          <w:rFonts w:cs="Arial"/>
          <w:szCs w:val="16"/>
        </w:rPr>
        <w:t>as</w:t>
      </w:r>
      <w:r w:rsidRPr="004E26DE">
        <w:rPr>
          <w:rFonts w:cs="Arial"/>
          <w:color w:val="000000"/>
          <w:szCs w:val="16"/>
        </w:rPr>
        <w:t xml:space="preserve"> a payment to the </w:t>
      </w:r>
      <w:r w:rsidR="00F125CB">
        <w:rPr>
          <w:rFonts w:cs="Arial"/>
          <w:color w:val="000000"/>
          <w:szCs w:val="16"/>
        </w:rPr>
        <w:t>NLA</w:t>
      </w:r>
      <w:r w:rsidRPr="004E26DE">
        <w:rPr>
          <w:rFonts w:cs="Arial"/>
          <w:color w:val="000000"/>
          <w:szCs w:val="16"/>
        </w:rPr>
        <w:t>.</w:t>
      </w:r>
    </w:p>
    <w:p w14:paraId="2B87A217" w14:textId="11E10F7A" w:rsidR="004E26DE" w:rsidRDefault="004E26DE" w:rsidP="00F10ACD">
      <w:pPr>
        <w:pStyle w:val="ChartandTableFootnote"/>
        <w:numPr>
          <w:ilvl w:val="0"/>
          <w:numId w:val="21"/>
        </w:numPr>
        <w:tabs>
          <w:tab w:val="clear" w:pos="454"/>
          <w:tab w:val="left" w:pos="284"/>
        </w:tabs>
        <w:jc w:val="left"/>
        <w:rPr>
          <w:rFonts w:cs="Arial"/>
          <w:color w:val="000000"/>
          <w:szCs w:val="16"/>
        </w:rPr>
      </w:pPr>
      <w:r w:rsidRPr="00F125CB">
        <w:rPr>
          <w:rFonts w:cs="Arial"/>
          <w:szCs w:val="16"/>
        </w:rPr>
        <w:t>Amounts</w:t>
      </w:r>
      <w:r w:rsidRPr="004E26DE">
        <w:rPr>
          <w:rFonts w:cs="Arial"/>
          <w:color w:val="000000"/>
          <w:szCs w:val="16"/>
        </w:rPr>
        <w:t xml:space="preserve"> received from other entities within the portfolio, or from other portfolios.</w:t>
      </w:r>
    </w:p>
    <w:p w14:paraId="72B01AEA" w14:textId="79FD5575" w:rsidR="004A3188" w:rsidRPr="001E2C08" w:rsidRDefault="004A3188" w:rsidP="009F1705">
      <w:pPr>
        <w:spacing w:before="60" w:after="0" w:line="240" w:lineRule="auto"/>
        <w:jc w:val="left"/>
        <w:rPr>
          <w:rFonts w:ascii="Arial" w:hAnsi="Arial" w:cs="Arial"/>
          <w:sz w:val="16"/>
          <w:szCs w:val="16"/>
          <w:lang w:val="en-US"/>
        </w:rPr>
      </w:pPr>
      <w:r w:rsidRPr="001E2C08">
        <w:rPr>
          <w:rFonts w:ascii="Arial" w:hAnsi="Arial" w:cs="Arial"/>
          <w:sz w:val="16"/>
          <w:szCs w:val="16"/>
          <w:lang w:val="x-none"/>
        </w:rPr>
        <w:t>The N</w:t>
      </w:r>
      <w:r>
        <w:rPr>
          <w:rFonts w:ascii="Arial" w:hAnsi="Arial" w:cs="Arial"/>
          <w:sz w:val="16"/>
          <w:szCs w:val="16"/>
        </w:rPr>
        <w:t>LA</w:t>
      </w:r>
      <w:r w:rsidRPr="001E2C08">
        <w:rPr>
          <w:rFonts w:ascii="Arial" w:hAnsi="Arial" w:cs="Arial"/>
          <w:sz w:val="16"/>
          <w:szCs w:val="16"/>
          <w:lang w:val="x-none"/>
        </w:rPr>
        <w:t xml:space="preserve"> is not directly appropriated as it is a Corporate Commonwealth Entity. Appropriations are made to the Department of Infrastructure, Transport, Regional Development and Communications (a Non-Corporate Commonwealth Entity), which are then paid to the </w:t>
      </w:r>
      <w:r>
        <w:rPr>
          <w:rFonts w:ascii="Arial" w:hAnsi="Arial" w:cs="Arial"/>
          <w:sz w:val="16"/>
          <w:szCs w:val="16"/>
        </w:rPr>
        <w:t>NLA</w:t>
      </w:r>
      <w:r w:rsidRPr="001E2C08">
        <w:rPr>
          <w:rFonts w:ascii="Arial" w:hAnsi="Arial" w:cs="Arial"/>
          <w:sz w:val="16"/>
          <w:szCs w:val="16"/>
          <w:lang w:val="x-none"/>
        </w:rPr>
        <w:t xml:space="preserve"> and considered “Departmental” for all purposes</w:t>
      </w:r>
      <w:r w:rsidRPr="001E2C08">
        <w:rPr>
          <w:rFonts w:ascii="Arial" w:hAnsi="Arial" w:cs="Arial"/>
          <w:sz w:val="16"/>
          <w:szCs w:val="16"/>
          <w:lang w:val="en-US"/>
        </w:rPr>
        <w:t>.</w:t>
      </w:r>
    </w:p>
    <w:p w14:paraId="74360656" w14:textId="127A9B00" w:rsidR="00914885" w:rsidRPr="00B4522C" w:rsidRDefault="004B202A" w:rsidP="004B202A">
      <w:pPr>
        <w:pStyle w:val="TableHeading"/>
      </w:pPr>
      <w:r>
        <w:br w:type="page"/>
      </w:r>
    </w:p>
    <w:p w14:paraId="0A530709" w14:textId="69EB8AC3" w:rsidR="00914885" w:rsidRPr="00643B7D" w:rsidRDefault="00914885" w:rsidP="0030114B">
      <w:pPr>
        <w:pStyle w:val="Heading3NLA"/>
      </w:pPr>
      <w:bookmarkStart w:id="505" w:name="_Toc93405194"/>
      <w:bookmarkStart w:id="506" w:name="_Toc94040069"/>
      <w:r>
        <w:lastRenderedPageBreak/>
        <w:t>1.3</w:t>
      </w:r>
      <w:r>
        <w:tab/>
        <w:t>Entity measures</w:t>
      </w:r>
      <w:bookmarkEnd w:id="505"/>
      <w:bookmarkEnd w:id="506"/>
    </w:p>
    <w:p w14:paraId="56EF2AEE" w14:textId="77777777" w:rsidR="004B202A" w:rsidRPr="00486E77" w:rsidRDefault="004B202A" w:rsidP="00856095">
      <w:pPr>
        <w:jc w:val="left"/>
      </w:pPr>
      <w:r>
        <w:t xml:space="preserve">Table 1.2 summarises new Government measures taken since the 2021-22 Budget. The table is split into receipt and payment measures, with the affected program </w:t>
      </w:r>
      <w:r w:rsidRPr="00486E77">
        <w:t>identified.</w:t>
      </w:r>
    </w:p>
    <w:p w14:paraId="5828D482" w14:textId="0B701B8D" w:rsidR="004B202A" w:rsidRDefault="004B202A" w:rsidP="00603A22">
      <w:pPr>
        <w:pStyle w:val="TableHeading"/>
        <w:rPr>
          <w:vertAlign w:val="superscript"/>
          <w:lang w:val="en-US"/>
        </w:rPr>
      </w:pPr>
      <w:r w:rsidRPr="009A40DD">
        <w:t xml:space="preserve">Table 1.2: </w:t>
      </w:r>
      <w:r>
        <w:rPr>
          <w:lang w:val="en-GB"/>
        </w:rPr>
        <w:t>NLA</w:t>
      </w:r>
      <w:r w:rsidRPr="009A40DD">
        <w:t xml:space="preserve"> </w:t>
      </w:r>
      <w:r>
        <w:rPr>
          <w:lang w:val="en-AU"/>
        </w:rPr>
        <w:t xml:space="preserve">2021-22 </w:t>
      </w:r>
      <w:r>
        <w:rPr>
          <w:lang w:val="en-US"/>
        </w:rPr>
        <w:t>measures since Budget</w:t>
      </w:r>
    </w:p>
    <w:tbl>
      <w:tblPr>
        <w:tblW w:w="7300" w:type="dxa"/>
        <w:tblLook w:val="04A0" w:firstRow="1" w:lastRow="0" w:firstColumn="1" w:lastColumn="0" w:noHBand="0" w:noVBand="1"/>
      </w:tblPr>
      <w:tblGrid>
        <w:gridCol w:w="3036"/>
        <w:gridCol w:w="856"/>
        <w:gridCol w:w="856"/>
        <w:gridCol w:w="856"/>
        <w:gridCol w:w="848"/>
        <w:gridCol w:w="848"/>
      </w:tblGrid>
      <w:tr w:rsidR="00E93CB9" w:rsidRPr="00E93CB9" w14:paraId="7AA038AF" w14:textId="77777777" w:rsidTr="009F2459">
        <w:trPr>
          <w:trHeight w:val="56"/>
        </w:trPr>
        <w:tc>
          <w:tcPr>
            <w:tcW w:w="3036" w:type="dxa"/>
            <w:tcBorders>
              <w:top w:val="single" w:sz="4" w:space="0" w:color="auto"/>
              <w:left w:val="nil"/>
              <w:bottom w:val="nil"/>
              <w:right w:val="nil"/>
            </w:tcBorders>
            <w:shd w:val="clear" w:color="auto" w:fill="auto"/>
            <w:noWrap/>
            <w:vAlign w:val="bottom"/>
            <w:hideMark/>
          </w:tcPr>
          <w:p w14:paraId="6142A3C7" w14:textId="77777777" w:rsidR="00E93CB9" w:rsidRPr="00E93CB9" w:rsidRDefault="00E93CB9" w:rsidP="00E93CB9">
            <w:pPr>
              <w:spacing w:after="0" w:line="240" w:lineRule="auto"/>
              <w:jc w:val="left"/>
              <w:rPr>
                <w:rFonts w:ascii="Arial" w:hAnsi="Arial" w:cs="Arial"/>
                <w:sz w:val="16"/>
                <w:szCs w:val="16"/>
              </w:rPr>
            </w:pPr>
            <w:r w:rsidRPr="00E93CB9">
              <w:rPr>
                <w:rFonts w:ascii="Arial" w:hAnsi="Arial" w:cs="Arial"/>
                <w:sz w:val="16"/>
                <w:szCs w:val="16"/>
              </w:rPr>
              <w:t> </w:t>
            </w:r>
          </w:p>
        </w:tc>
        <w:tc>
          <w:tcPr>
            <w:tcW w:w="856" w:type="dxa"/>
            <w:tcBorders>
              <w:top w:val="single" w:sz="4" w:space="0" w:color="auto"/>
              <w:left w:val="nil"/>
              <w:bottom w:val="single" w:sz="4" w:space="0" w:color="auto"/>
              <w:right w:val="nil"/>
            </w:tcBorders>
            <w:shd w:val="clear" w:color="auto" w:fill="auto"/>
            <w:noWrap/>
            <w:vAlign w:val="bottom"/>
            <w:hideMark/>
          </w:tcPr>
          <w:p w14:paraId="5491F2F1" w14:textId="77777777" w:rsidR="00E93CB9" w:rsidRPr="00E93CB9" w:rsidRDefault="00E93CB9" w:rsidP="00E93CB9">
            <w:pPr>
              <w:spacing w:after="0" w:line="240" w:lineRule="auto"/>
              <w:jc w:val="left"/>
              <w:rPr>
                <w:rFonts w:ascii="Arial" w:hAnsi="Arial" w:cs="Arial"/>
                <w:sz w:val="16"/>
                <w:szCs w:val="16"/>
              </w:rPr>
            </w:pPr>
            <w:r w:rsidRPr="00E93CB9">
              <w:rPr>
                <w:rFonts w:ascii="Arial" w:hAnsi="Arial" w:cs="Arial"/>
                <w:sz w:val="16"/>
                <w:szCs w:val="16"/>
              </w:rPr>
              <w:t>Program</w:t>
            </w:r>
          </w:p>
        </w:tc>
        <w:tc>
          <w:tcPr>
            <w:tcW w:w="856" w:type="dxa"/>
            <w:tcBorders>
              <w:top w:val="single" w:sz="4" w:space="0" w:color="auto"/>
              <w:left w:val="nil"/>
              <w:bottom w:val="single" w:sz="4" w:space="0" w:color="auto"/>
              <w:right w:val="nil"/>
            </w:tcBorders>
            <w:shd w:val="clear" w:color="auto" w:fill="auto"/>
            <w:vAlign w:val="bottom"/>
            <w:hideMark/>
          </w:tcPr>
          <w:p w14:paraId="7E21E5BB" w14:textId="77777777" w:rsidR="00E93CB9" w:rsidRPr="00E93CB9" w:rsidRDefault="00E93CB9" w:rsidP="00E93CB9">
            <w:pPr>
              <w:spacing w:after="0" w:line="240" w:lineRule="auto"/>
              <w:jc w:val="right"/>
              <w:rPr>
                <w:rFonts w:ascii="Arial" w:hAnsi="Arial" w:cs="Arial"/>
                <w:sz w:val="16"/>
                <w:szCs w:val="16"/>
              </w:rPr>
            </w:pPr>
            <w:r w:rsidRPr="00E93CB9">
              <w:rPr>
                <w:rFonts w:ascii="Arial" w:hAnsi="Arial" w:cs="Arial"/>
                <w:sz w:val="16"/>
                <w:szCs w:val="16"/>
              </w:rPr>
              <w:t>2021-22</w:t>
            </w:r>
            <w:r w:rsidRPr="00E93CB9">
              <w:rPr>
                <w:rFonts w:ascii="Arial" w:hAnsi="Arial" w:cs="Arial"/>
                <w:sz w:val="16"/>
                <w:szCs w:val="16"/>
              </w:rPr>
              <w:br/>
              <w:t>$'000</w:t>
            </w:r>
          </w:p>
        </w:tc>
        <w:tc>
          <w:tcPr>
            <w:tcW w:w="856" w:type="dxa"/>
            <w:tcBorders>
              <w:top w:val="single" w:sz="4" w:space="0" w:color="auto"/>
              <w:left w:val="nil"/>
              <w:bottom w:val="single" w:sz="4" w:space="0" w:color="auto"/>
              <w:right w:val="nil"/>
            </w:tcBorders>
            <w:shd w:val="clear" w:color="000000" w:fill="E6E6E6"/>
            <w:vAlign w:val="bottom"/>
            <w:hideMark/>
          </w:tcPr>
          <w:p w14:paraId="7577437F" w14:textId="77777777" w:rsidR="00E93CB9" w:rsidRPr="00E93CB9" w:rsidRDefault="00E93CB9" w:rsidP="00E93CB9">
            <w:pPr>
              <w:spacing w:after="0" w:line="240" w:lineRule="auto"/>
              <w:jc w:val="right"/>
              <w:rPr>
                <w:rFonts w:ascii="Arial" w:hAnsi="Arial" w:cs="Arial"/>
                <w:sz w:val="16"/>
                <w:szCs w:val="16"/>
              </w:rPr>
            </w:pPr>
            <w:r w:rsidRPr="00E93CB9">
              <w:rPr>
                <w:rFonts w:ascii="Arial" w:hAnsi="Arial" w:cs="Arial"/>
                <w:sz w:val="16"/>
                <w:szCs w:val="16"/>
              </w:rPr>
              <w:t>2022-23</w:t>
            </w:r>
            <w:r w:rsidRPr="00E93CB9">
              <w:rPr>
                <w:rFonts w:ascii="Arial" w:hAnsi="Arial" w:cs="Arial"/>
                <w:sz w:val="16"/>
                <w:szCs w:val="16"/>
              </w:rPr>
              <w:br/>
              <w:t>$'000</w:t>
            </w:r>
          </w:p>
        </w:tc>
        <w:tc>
          <w:tcPr>
            <w:tcW w:w="848" w:type="dxa"/>
            <w:tcBorders>
              <w:top w:val="single" w:sz="4" w:space="0" w:color="auto"/>
              <w:left w:val="nil"/>
              <w:bottom w:val="single" w:sz="4" w:space="0" w:color="auto"/>
              <w:right w:val="nil"/>
            </w:tcBorders>
            <w:shd w:val="clear" w:color="auto" w:fill="auto"/>
            <w:vAlign w:val="bottom"/>
            <w:hideMark/>
          </w:tcPr>
          <w:p w14:paraId="7B65560B" w14:textId="77777777" w:rsidR="00E93CB9" w:rsidRPr="00E93CB9" w:rsidRDefault="00E93CB9" w:rsidP="00E93CB9">
            <w:pPr>
              <w:spacing w:after="0" w:line="240" w:lineRule="auto"/>
              <w:jc w:val="right"/>
              <w:rPr>
                <w:rFonts w:ascii="Arial" w:hAnsi="Arial" w:cs="Arial"/>
                <w:sz w:val="16"/>
                <w:szCs w:val="16"/>
              </w:rPr>
            </w:pPr>
            <w:r w:rsidRPr="00E93CB9">
              <w:rPr>
                <w:rFonts w:ascii="Arial" w:hAnsi="Arial" w:cs="Arial"/>
                <w:sz w:val="16"/>
                <w:szCs w:val="16"/>
              </w:rPr>
              <w:t>2023-24</w:t>
            </w:r>
            <w:r w:rsidRPr="00E93CB9">
              <w:rPr>
                <w:rFonts w:ascii="Arial" w:hAnsi="Arial" w:cs="Arial"/>
                <w:sz w:val="16"/>
                <w:szCs w:val="16"/>
              </w:rPr>
              <w:br/>
              <w:t>$'000</w:t>
            </w:r>
          </w:p>
        </w:tc>
        <w:tc>
          <w:tcPr>
            <w:tcW w:w="848" w:type="dxa"/>
            <w:tcBorders>
              <w:top w:val="single" w:sz="4" w:space="0" w:color="auto"/>
              <w:left w:val="nil"/>
              <w:bottom w:val="single" w:sz="4" w:space="0" w:color="auto"/>
              <w:right w:val="nil"/>
            </w:tcBorders>
            <w:shd w:val="clear" w:color="000000" w:fill="E6E6E6"/>
            <w:vAlign w:val="bottom"/>
            <w:hideMark/>
          </w:tcPr>
          <w:p w14:paraId="79A2EE63" w14:textId="77777777" w:rsidR="00E93CB9" w:rsidRPr="00E93CB9" w:rsidRDefault="00E93CB9" w:rsidP="00E93CB9">
            <w:pPr>
              <w:spacing w:after="0" w:line="240" w:lineRule="auto"/>
              <w:jc w:val="right"/>
              <w:rPr>
                <w:rFonts w:ascii="Arial" w:hAnsi="Arial" w:cs="Arial"/>
                <w:sz w:val="16"/>
                <w:szCs w:val="16"/>
              </w:rPr>
            </w:pPr>
            <w:r w:rsidRPr="00E93CB9">
              <w:rPr>
                <w:rFonts w:ascii="Arial" w:hAnsi="Arial" w:cs="Arial"/>
                <w:sz w:val="16"/>
                <w:szCs w:val="16"/>
              </w:rPr>
              <w:t>2024-25</w:t>
            </w:r>
            <w:r w:rsidRPr="00E93CB9">
              <w:rPr>
                <w:rFonts w:ascii="Arial" w:hAnsi="Arial" w:cs="Arial"/>
                <w:sz w:val="16"/>
                <w:szCs w:val="16"/>
              </w:rPr>
              <w:br/>
              <w:t>$'000</w:t>
            </w:r>
          </w:p>
        </w:tc>
      </w:tr>
      <w:tr w:rsidR="00E93CB9" w:rsidRPr="00E93CB9" w14:paraId="6747EC5B" w14:textId="77777777" w:rsidTr="00E93CB9">
        <w:trPr>
          <w:trHeight w:val="204"/>
        </w:trPr>
        <w:tc>
          <w:tcPr>
            <w:tcW w:w="3036" w:type="dxa"/>
            <w:tcBorders>
              <w:top w:val="nil"/>
              <w:left w:val="nil"/>
              <w:bottom w:val="nil"/>
              <w:right w:val="nil"/>
            </w:tcBorders>
            <w:shd w:val="clear" w:color="auto" w:fill="auto"/>
            <w:noWrap/>
            <w:vAlign w:val="bottom"/>
            <w:hideMark/>
          </w:tcPr>
          <w:p w14:paraId="6FAB80FD" w14:textId="6FCB2B24" w:rsidR="00E93CB9" w:rsidRPr="00E93CB9" w:rsidRDefault="007B536D" w:rsidP="007B536D">
            <w:pPr>
              <w:spacing w:after="0" w:line="240" w:lineRule="auto"/>
              <w:jc w:val="left"/>
              <w:rPr>
                <w:rFonts w:ascii="Arial" w:hAnsi="Arial" w:cs="Arial"/>
                <w:b/>
                <w:bCs/>
                <w:sz w:val="16"/>
                <w:szCs w:val="16"/>
              </w:rPr>
            </w:pPr>
            <w:r>
              <w:rPr>
                <w:rFonts w:ascii="Arial" w:hAnsi="Arial" w:cs="Arial"/>
                <w:b/>
                <w:bCs/>
                <w:sz w:val="16"/>
                <w:szCs w:val="16"/>
              </w:rPr>
              <w:t>Receipt measures</w:t>
            </w:r>
          </w:p>
        </w:tc>
        <w:tc>
          <w:tcPr>
            <w:tcW w:w="856" w:type="dxa"/>
            <w:tcBorders>
              <w:top w:val="nil"/>
              <w:left w:val="nil"/>
              <w:bottom w:val="nil"/>
              <w:right w:val="nil"/>
            </w:tcBorders>
            <w:shd w:val="clear" w:color="auto" w:fill="auto"/>
            <w:noWrap/>
            <w:vAlign w:val="bottom"/>
            <w:hideMark/>
          </w:tcPr>
          <w:p w14:paraId="21806E03" w14:textId="77777777" w:rsidR="00E93CB9" w:rsidRPr="00E93CB9" w:rsidRDefault="00E93CB9" w:rsidP="00C95230">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auto" w:fill="auto"/>
            <w:noWrap/>
            <w:vAlign w:val="bottom"/>
            <w:hideMark/>
          </w:tcPr>
          <w:p w14:paraId="5709258E" w14:textId="77777777" w:rsidR="00E93CB9" w:rsidRPr="00E93CB9" w:rsidRDefault="00E93CB9" w:rsidP="00C95230">
            <w:pPr>
              <w:spacing w:after="0" w:line="240" w:lineRule="auto"/>
              <w:jc w:val="right"/>
              <w:rPr>
                <w:rFonts w:ascii="Times New Roman" w:hAnsi="Times New Roman"/>
              </w:rPr>
            </w:pPr>
          </w:p>
        </w:tc>
        <w:tc>
          <w:tcPr>
            <w:tcW w:w="856" w:type="dxa"/>
            <w:tcBorders>
              <w:top w:val="nil"/>
              <w:left w:val="nil"/>
              <w:bottom w:val="nil"/>
              <w:right w:val="nil"/>
            </w:tcBorders>
            <w:shd w:val="clear" w:color="000000" w:fill="E6E6E6"/>
            <w:noWrap/>
            <w:vAlign w:val="bottom"/>
            <w:hideMark/>
          </w:tcPr>
          <w:p w14:paraId="14F2A8D5" w14:textId="7B2362F1" w:rsidR="00E93CB9" w:rsidRPr="00E93CB9" w:rsidRDefault="00E93CB9" w:rsidP="00C95230">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14:paraId="3C43AA9A" w14:textId="77777777" w:rsidR="00E93CB9" w:rsidRPr="00E93CB9" w:rsidRDefault="00E93CB9" w:rsidP="00C95230">
            <w:pPr>
              <w:spacing w:after="0" w:line="240" w:lineRule="auto"/>
              <w:jc w:val="right"/>
              <w:rPr>
                <w:rFonts w:ascii="Arial" w:hAnsi="Arial" w:cs="Arial"/>
                <w:sz w:val="16"/>
                <w:szCs w:val="16"/>
              </w:rPr>
            </w:pPr>
          </w:p>
        </w:tc>
        <w:tc>
          <w:tcPr>
            <w:tcW w:w="848" w:type="dxa"/>
            <w:tcBorders>
              <w:top w:val="nil"/>
              <w:left w:val="nil"/>
              <w:bottom w:val="nil"/>
              <w:right w:val="nil"/>
            </w:tcBorders>
            <w:shd w:val="clear" w:color="000000" w:fill="E6E6E6"/>
            <w:noWrap/>
            <w:vAlign w:val="bottom"/>
            <w:hideMark/>
          </w:tcPr>
          <w:p w14:paraId="0AF4AAC5" w14:textId="1797BFEC" w:rsidR="00E93CB9" w:rsidRPr="00E93CB9" w:rsidRDefault="00E93CB9" w:rsidP="00C95230">
            <w:pPr>
              <w:spacing w:after="0" w:line="240" w:lineRule="auto"/>
              <w:jc w:val="right"/>
              <w:rPr>
                <w:rFonts w:ascii="Arial" w:hAnsi="Arial" w:cs="Arial"/>
                <w:sz w:val="16"/>
                <w:szCs w:val="16"/>
              </w:rPr>
            </w:pPr>
          </w:p>
        </w:tc>
      </w:tr>
      <w:tr w:rsidR="00E93CB9" w:rsidRPr="00E93CB9" w14:paraId="48162F45" w14:textId="77777777" w:rsidTr="00E93CB9">
        <w:trPr>
          <w:trHeight w:val="204"/>
        </w:trPr>
        <w:tc>
          <w:tcPr>
            <w:tcW w:w="3036" w:type="dxa"/>
            <w:tcBorders>
              <w:top w:val="nil"/>
              <w:left w:val="nil"/>
              <w:bottom w:val="nil"/>
              <w:right w:val="nil"/>
            </w:tcBorders>
            <w:shd w:val="clear" w:color="000000" w:fill="FFFFFF"/>
            <w:vAlign w:val="bottom"/>
            <w:hideMark/>
          </w:tcPr>
          <w:p w14:paraId="4D434004" w14:textId="77777777" w:rsidR="00E93CB9" w:rsidRPr="00E93CB9" w:rsidRDefault="00E93CB9" w:rsidP="00E93CB9">
            <w:pPr>
              <w:spacing w:after="0" w:line="240" w:lineRule="auto"/>
              <w:jc w:val="left"/>
              <w:rPr>
                <w:rFonts w:ascii="Arial" w:hAnsi="Arial" w:cs="Arial"/>
                <w:sz w:val="16"/>
                <w:szCs w:val="16"/>
              </w:rPr>
            </w:pPr>
            <w:r w:rsidRPr="00E93CB9">
              <w:rPr>
                <w:rFonts w:ascii="Arial" w:hAnsi="Arial" w:cs="Arial"/>
                <w:sz w:val="16"/>
                <w:szCs w:val="16"/>
              </w:rPr>
              <w:t>National Collecting Institutions - Upgrading Digital Capacity</w:t>
            </w:r>
          </w:p>
        </w:tc>
        <w:tc>
          <w:tcPr>
            <w:tcW w:w="856" w:type="dxa"/>
            <w:tcBorders>
              <w:top w:val="nil"/>
              <w:left w:val="nil"/>
              <w:bottom w:val="nil"/>
              <w:right w:val="nil"/>
            </w:tcBorders>
            <w:shd w:val="clear" w:color="auto" w:fill="auto"/>
            <w:noWrap/>
            <w:vAlign w:val="bottom"/>
            <w:hideMark/>
          </w:tcPr>
          <w:p w14:paraId="27FBB4F1" w14:textId="1BAC8C57" w:rsidR="00E93CB9" w:rsidRPr="00E93CB9" w:rsidRDefault="00E93CB9" w:rsidP="00C95230">
            <w:pPr>
              <w:spacing w:after="0" w:line="240" w:lineRule="auto"/>
              <w:jc w:val="center"/>
              <w:rPr>
                <w:rFonts w:ascii="Arial" w:hAnsi="Arial" w:cs="Arial"/>
                <w:sz w:val="16"/>
                <w:szCs w:val="16"/>
              </w:rPr>
            </w:pPr>
            <w:r w:rsidRPr="00E93CB9">
              <w:rPr>
                <w:rFonts w:ascii="Arial" w:hAnsi="Arial" w:cs="Arial"/>
                <w:sz w:val="16"/>
                <w:szCs w:val="16"/>
              </w:rPr>
              <w:t>1.1</w:t>
            </w:r>
          </w:p>
        </w:tc>
        <w:tc>
          <w:tcPr>
            <w:tcW w:w="856" w:type="dxa"/>
            <w:tcBorders>
              <w:top w:val="nil"/>
              <w:left w:val="nil"/>
              <w:bottom w:val="nil"/>
              <w:right w:val="nil"/>
            </w:tcBorders>
            <w:shd w:val="clear" w:color="auto" w:fill="auto"/>
            <w:noWrap/>
            <w:vAlign w:val="bottom"/>
            <w:hideMark/>
          </w:tcPr>
          <w:p w14:paraId="7E595312" w14:textId="77777777" w:rsidR="00E93CB9" w:rsidRPr="00E93CB9" w:rsidRDefault="00E93CB9"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000000" w:fill="E6E6E6"/>
            <w:noWrap/>
            <w:vAlign w:val="bottom"/>
            <w:hideMark/>
          </w:tcPr>
          <w:p w14:paraId="43D4CB5B" w14:textId="4590987B" w:rsidR="00E93CB9" w:rsidRPr="00E93CB9" w:rsidRDefault="00E93CB9" w:rsidP="00C95230">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14:paraId="558A389A" w14:textId="77777777" w:rsidR="00E93CB9" w:rsidRPr="00E93CB9" w:rsidRDefault="00E93CB9" w:rsidP="00C95230">
            <w:pPr>
              <w:spacing w:after="0" w:line="240" w:lineRule="auto"/>
              <w:jc w:val="right"/>
              <w:rPr>
                <w:rFonts w:ascii="Arial" w:hAnsi="Arial" w:cs="Arial"/>
                <w:sz w:val="16"/>
                <w:szCs w:val="16"/>
              </w:rPr>
            </w:pPr>
          </w:p>
        </w:tc>
        <w:tc>
          <w:tcPr>
            <w:tcW w:w="848" w:type="dxa"/>
            <w:tcBorders>
              <w:top w:val="nil"/>
              <w:left w:val="nil"/>
              <w:bottom w:val="nil"/>
              <w:right w:val="nil"/>
            </w:tcBorders>
            <w:shd w:val="clear" w:color="000000" w:fill="E6E6E6"/>
            <w:noWrap/>
            <w:vAlign w:val="bottom"/>
            <w:hideMark/>
          </w:tcPr>
          <w:p w14:paraId="32AA3DEB" w14:textId="57368D56" w:rsidR="00E93CB9" w:rsidRPr="00E93CB9" w:rsidRDefault="00E93CB9" w:rsidP="00C95230">
            <w:pPr>
              <w:spacing w:after="0" w:line="240" w:lineRule="auto"/>
              <w:jc w:val="right"/>
              <w:rPr>
                <w:rFonts w:ascii="Arial" w:hAnsi="Arial" w:cs="Arial"/>
                <w:sz w:val="16"/>
                <w:szCs w:val="16"/>
              </w:rPr>
            </w:pPr>
          </w:p>
        </w:tc>
      </w:tr>
      <w:tr w:rsidR="00E93CB9" w:rsidRPr="00E93CB9" w14:paraId="18619F79" w14:textId="77777777" w:rsidTr="00307BC3">
        <w:trPr>
          <w:trHeight w:val="204"/>
        </w:trPr>
        <w:tc>
          <w:tcPr>
            <w:tcW w:w="3036" w:type="dxa"/>
            <w:tcBorders>
              <w:top w:val="nil"/>
              <w:left w:val="nil"/>
              <w:bottom w:val="nil"/>
              <w:right w:val="nil"/>
            </w:tcBorders>
            <w:shd w:val="clear" w:color="auto" w:fill="auto"/>
            <w:vAlign w:val="bottom"/>
            <w:hideMark/>
          </w:tcPr>
          <w:p w14:paraId="16204E2C" w14:textId="0D7B4F06" w:rsidR="00E93CB9" w:rsidRPr="00E93CB9" w:rsidRDefault="008863D9" w:rsidP="00DB0DF9">
            <w:pPr>
              <w:spacing w:after="0" w:line="240" w:lineRule="auto"/>
              <w:ind w:left="113"/>
              <w:jc w:val="left"/>
              <w:rPr>
                <w:rFonts w:ascii="Arial" w:hAnsi="Arial" w:cs="Arial"/>
                <w:sz w:val="16"/>
                <w:szCs w:val="16"/>
              </w:rPr>
            </w:pPr>
            <w:r>
              <w:rPr>
                <w:rFonts w:ascii="Arial" w:hAnsi="Arial" w:cs="Arial"/>
                <w:sz w:val="16"/>
                <w:szCs w:val="16"/>
              </w:rPr>
              <w:t>Department</w:t>
            </w:r>
            <w:r w:rsidR="00E93CB9" w:rsidRPr="00E93CB9">
              <w:rPr>
                <w:rFonts w:ascii="Arial" w:hAnsi="Arial" w:cs="Arial"/>
                <w:sz w:val="16"/>
                <w:szCs w:val="16"/>
              </w:rPr>
              <w:t xml:space="preserve">al </w:t>
            </w:r>
            <w:r w:rsidR="00DB0DF9">
              <w:rPr>
                <w:rFonts w:ascii="Arial" w:hAnsi="Arial" w:cs="Arial"/>
                <w:sz w:val="16"/>
                <w:szCs w:val="16"/>
              </w:rPr>
              <w:t>receipts</w:t>
            </w:r>
          </w:p>
        </w:tc>
        <w:tc>
          <w:tcPr>
            <w:tcW w:w="856" w:type="dxa"/>
            <w:tcBorders>
              <w:top w:val="nil"/>
              <w:left w:val="nil"/>
              <w:bottom w:val="nil"/>
              <w:right w:val="nil"/>
            </w:tcBorders>
            <w:shd w:val="clear" w:color="auto" w:fill="auto"/>
            <w:noWrap/>
            <w:vAlign w:val="bottom"/>
            <w:hideMark/>
          </w:tcPr>
          <w:p w14:paraId="7063BB3C" w14:textId="77777777" w:rsidR="00E93CB9" w:rsidRPr="00E93CB9" w:rsidRDefault="00E93CB9" w:rsidP="00C95230">
            <w:pPr>
              <w:spacing w:after="0" w:line="240" w:lineRule="auto"/>
              <w:ind w:firstLineChars="100" w:firstLine="160"/>
              <w:jc w:val="right"/>
              <w:rPr>
                <w:rFonts w:ascii="Arial" w:hAnsi="Arial" w:cs="Arial"/>
                <w:sz w:val="16"/>
                <w:szCs w:val="16"/>
              </w:rPr>
            </w:pPr>
          </w:p>
        </w:tc>
        <w:tc>
          <w:tcPr>
            <w:tcW w:w="856" w:type="dxa"/>
            <w:tcBorders>
              <w:top w:val="nil"/>
              <w:left w:val="nil"/>
              <w:right w:val="nil"/>
            </w:tcBorders>
            <w:shd w:val="clear" w:color="auto" w:fill="auto"/>
            <w:noWrap/>
            <w:vAlign w:val="bottom"/>
            <w:hideMark/>
          </w:tcPr>
          <w:p w14:paraId="3D12D10D" w14:textId="62D8F03C"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w:t>
            </w:r>
          </w:p>
        </w:tc>
        <w:tc>
          <w:tcPr>
            <w:tcW w:w="856" w:type="dxa"/>
            <w:tcBorders>
              <w:top w:val="nil"/>
              <w:left w:val="nil"/>
              <w:right w:val="nil"/>
            </w:tcBorders>
            <w:shd w:val="clear" w:color="000000" w:fill="E6E6E6"/>
            <w:noWrap/>
            <w:vAlign w:val="bottom"/>
            <w:hideMark/>
          </w:tcPr>
          <w:p w14:paraId="15EABB10" w14:textId="3D0CCFBF"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(2,800)</w:t>
            </w:r>
          </w:p>
        </w:tc>
        <w:tc>
          <w:tcPr>
            <w:tcW w:w="848" w:type="dxa"/>
            <w:tcBorders>
              <w:top w:val="nil"/>
              <w:left w:val="nil"/>
              <w:right w:val="nil"/>
            </w:tcBorders>
            <w:shd w:val="clear" w:color="auto" w:fill="auto"/>
            <w:noWrap/>
            <w:vAlign w:val="bottom"/>
            <w:hideMark/>
          </w:tcPr>
          <w:p w14:paraId="69171865" w14:textId="2F8A9440"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w:t>
            </w:r>
          </w:p>
        </w:tc>
        <w:tc>
          <w:tcPr>
            <w:tcW w:w="848" w:type="dxa"/>
            <w:tcBorders>
              <w:top w:val="nil"/>
              <w:left w:val="nil"/>
              <w:right w:val="nil"/>
            </w:tcBorders>
            <w:shd w:val="clear" w:color="000000" w:fill="E6E6E6"/>
            <w:noWrap/>
            <w:vAlign w:val="bottom"/>
            <w:hideMark/>
          </w:tcPr>
          <w:p w14:paraId="360FD4C0" w14:textId="72662820" w:rsidR="00E93CB9" w:rsidRPr="00E93CB9" w:rsidRDefault="00E93CB9" w:rsidP="00C95230">
            <w:pPr>
              <w:spacing w:after="0" w:line="240" w:lineRule="auto"/>
              <w:jc w:val="right"/>
              <w:rPr>
                <w:rFonts w:ascii="Arial" w:hAnsi="Arial" w:cs="Arial"/>
                <w:color w:val="000000"/>
                <w:sz w:val="16"/>
                <w:szCs w:val="16"/>
              </w:rPr>
            </w:pPr>
            <w:r w:rsidRPr="00E93CB9">
              <w:rPr>
                <w:rFonts w:ascii="Arial" w:hAnsi="Arial" w:cs="Arial"/>
                <w:color w:val="000000"/>
                <w:sz w:val="16"/>
                <w:szCs w:val="16"/>
              </w:rPr>
              <w:t>-</w:t>
            </w:r>
          </w:p>
        </w:tc>
      </w:tr>
      <w:tr w:rsidR="00E93CB9" w:rsidRPr="00E93CB9" w14:paraId="62D1B9C2" w14:textId="77777777" w:rsidTr="00307BC3">
        <w:trPr>
          <w:trHeight w:val="204"/>
        </w:trPr>
        <w:tc>
          <w:tcPr>
            <w:tcW w:w="3036" w:type="dxa"/>
            <w:tcBorders>
              <w:top w:val="nil"/>
              <w:left w:val="nil"/>
              <w:bottom w:val="nil"/>
              <w:right w:val="nil"/>
            </w:tcBorders>
            <w:shd w:val="clear" w:color="auto" w:fill="auto"/>
            <w:noWrap/>
            <w:vAlign w:val="bottom"/>
            <w:hideMark/>
          </w:tcPr>
          <w:p w14:paraId="742F90A3" w14:textId="77777777" w:rsidR="00E93CB9" w:rsidRPr="00E93CB9" w:rsidRDefault="00E93CB9" w:rsidP="00E93CB9">
            <w:pPr>
              <w:spacing w:after="0" w:line="240" w:lineRule="auto"/>
              <w:jc w:val="left"/>
              <w:rPr>
                <w:rFonts w:ascii="Arial" w:hAnsi="Arial" w:cs="Arial"/>
                <w:b/>
                <w:bCs/>
                <w:sz w:val="16"/>
                <w:szCs w:val="16"/>
              </w:rPr>
            </w:pPr>
            <w:r w:rsidRPr="00E93CB9">
              <w:rPr>
                <w:rFonts w:ascii="Arial" w:hAnsi="Arial" w:cs="Arial"/>
                <w:b/>
                <w:bCs/>
                <w:sz w:val="16"/>
                <w:szCs w:val="16"/>
              </w:rPr>
              <w:t xml:space="preserve">Total </w:t>
            </w:r>
          </w:p>
        </w:tc>
        <w:tc>
          <w:tcPr>
            <w:tcW w:w="856" w:type="dxa"/>
            <w:tcBorders>
              <w:top w:val="nil"/>
              <w:left w:val="nil"/>
              <w:bottom w:val="nil"/>
              <w:right w:val="nil"/>
            </w:tcBorders>
            <w:shd w:val="clear" w:color="auto" w:fill="auto"/>
            <w:noWrap/>
            <w:vAlign w:val="bottom"/>
            <w:hideMark/>
          </w:tcPr>
          <w:p w14:paraId="5FCCB972" w14:textId="77777777" w:rsidR="00E93CB9" w:rsidRPr="00E93CB9" w:rsidRDefault="00E93CB9" w:rsidP="00C95230">
            <w:pPr>
              <w:spacing w:after="0" w:line="240" w:lineRule="auto"/>
              <w:jc w:val="right"/>
              <w:rPr>
                <w:rFonts w:ascii="Arial" w:hAnsi="Arial" w:cs="Arial"/>
                <w:b/>
                <w:bCs/>
                <w:sz w:val="16"/>
                <w:szCs w:val="16"/>
              </w:rPr>
            </w:pPr>
          </w:p>
        </w:tc>
        <w:tc>
          <w:tcPr>
            <w:tcW w:w="856" w:type="dxa"/>
            <w:tcBorders>
              <w:top w:val="nil"/>
              <w:left w:val="nil"/>
              <w:bottom w:val="single" w:sz="4" w:space="0" w:color="auto"/>
              <w:right w:val="nil"/>
            </w:tcBorders>
            <w:shd w:val="clear" w:color="auto" w:fill="auto"/>
            <w:noWrap/>
            <w:vAlign w:val="bottom"/>
            <w:hideMark/>
          </w:tcPr>
          <w:p w14:paraId="4BF32A8C" w14:textId="541E3B66"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w:t>
            </w:r>
          </w:p>
        </w:tc>
        <w:tc>
          <w:tcPr>
            <w:tcW w:w="856" w:type="dxa"/>
            <w:tcBorders>
              <w:top w:val="nil"/>
              <w:left w:val="nil"/>
              <w:bottom w:val="single" w:sz="4" w:space="0" w:color="auto"/>
              <w:right w:val="nil"/>
            </w:tcBorders>
            <w:shd w:val="clear" w:color="000000" w:fill="E6E6E6"/>
            <w:noWrap/>
            <w:vAlign w:val="bottom"/>
            <w:hideMark/>
          </w:tcPr>
          <w:p w14:paraId="4AB4186C" w14:textId="257EE44B"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(2,800)</w:t>
            </w:r>
          </w:p>
        </w:tc>
        <w:tc>
          <w:tcPr>
            <w:tcW w:w="848" w:type="dxa"/>
            <w:tcBorders>
              <w:top w:val="nil"/>
              <w:left w:val="nil"/>
              <w:bottom w:val="single" w:sz="4" w:space="0" w:color="auto"/>
              <w:right w:val="nil"/>
            </w:tcBorders>
            <w:shd w:val="clear" w:color="auto" w:fill="auto"/>
            <w:noWrap/>
            <w:vAlign w:val="bottom"/>
            <w:hideMark/>
          </w:tcPr>
          <w:p w14:paraId="7A19BFB9" w14:textId="1008C83F"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w:t>
            </w:r>
          </w:p>
        </w:tc>
        <w:tc>
          <w:tcPr>
            <w:tcW w:w="848" w:type="dxa"/>
            <w:tcBorders>
              <w:top w:val="nil"/>
              <w:left w:val="nil"/>
              <w:bottom w:val="single" w:sz="4" w:space="0" w:color="auto"/>
              <w:right w:val="nil"/>
            </w:tcBorders>
            <w:shd w:val="clear" w:color="000000" w:fill="E6E6E6"/>
            <w:noWrap/>
            <w:vAlign w:val="bottom"/>
            <w:hideMark/>
          </w:tcPr>
          <w:p w14:paraId="48DD09E7" w14:textId="3BF6D8CD" w:rsidR="00E93CB9" w:rsidRPr="00E93CB9" w:rsidRDefault="00E93CB9" w:rsidP="00C95230">
            <w:pPr>
              <w:spacing w:after="0" w:line="240" w:lineRule="auto"/>
              <w:jc w:val="right"/>
              <w:rPr>
                <w:rFonts w:ascii="Arial" w:hAnsi="Arial" w:cs="Arial"/>
                <w:b/>
                <w:bCs/>
                <w:color w:val="000000"/>
                <w:sz w:val="16"/>
                <w:szCs w:val="16"/>
              </w:rPr>
            </w:pPr>
            <w:r w:rsidRPr="00E93CB9">
              <w:rPr>
                <w:rFonts w:ascii="Arial" w:hAnsi="Arial" w:cs="Arial"/>
                <w:b/>
                <w:bCs/>
                <w:color w:val="000000"/>
                <w:sz w:val="16"/>
                <w:szCs w:val="16"/>
              </w:rPr>
              <w:t>-</w:t>
            </w:r>
          </w:p>
        </w:tc>
      </w:tr>
      <w:tr w:rsidR="00E93CB9" w:rsidRPr="00E93CB9" w14:paraId="66F18265" w14:textId="77777777" w:rsidTr="00307BC3">
        <w:trPr>
          <w:trHeight w:val="204"/>
        </w:trPr>
        <w:tc>
          <w:tcPr>
            <w:tcW w:w="3036" w:type="dxa"/>
            <w:tcBorders>
              <w:top w:val="nil"/>
              <w:left w:val="nil"/>
              <w:bottom w:val="nil"/>
              <w:right w:val="nil"/>
            </w:tcBorders>
            <w:shd w:val="clear" w:color="auto" w:fill="auto"/>
            <w:noWrap/>
            <w:vAlign w:val="bottom"/>
            <w:hideMark/>
          </w:tcPr>
          <w:p w14:paraId="22D03553" w14:textId="47A617A7" w:rsidR="00E93CB9" w:rsidRPr="00E93CB9" w:rsidRDefault="00E93CB9" w:rsidP="007B536D">
            <w:pPr>
              <w:spacing w:after="0" w:line="240" w:lineRule="auto"/>
              <w:jc w:val="left"/>
              <w:rPr>
                <w:rFonts w:ascii="Arial" w:hAnsi="Arial" w:cs="Arial"/>
                <w:b/>
                <w:bCs/>
                <w:sz w:val="16"/>
                <w:szCs w:val="16"/>
              </w:rPr>
            </w:pPr>
            <w:r w:rsidRPr="00E93CB9">
              <w:rPr>
                <w:rFonts w:ascii="Arial" w:hAnsi="Arial" w:cs="Arial"/>
                <w:b/>
                <w:bCs/>
                <w:sz w:val="16"/>
                <w:szCs w:val="16"/>
              </w:rPr>
              <w:t>Total re</w:t>
            </w:r>
            <w:r w:rsidR="007B536D">
              <w:rPr>
                <w:rFonts w:ascii="Arial" w:hAnsi="Arial" w:cs="Arial"/>
                <w:b/>
                <w:bCs/>
                <w:sz w:val="16"/>
                <w:szCs w:val="16"/>
              </w:rPr>
              <w:t>ceipt</w:t>
            </w:r>
            <w:r w:rsidRPr="00E93CB9">
              <w:rPr>
                <w:rFonts w:ascii="Arial" w:hAnsi="Arial" w:cs="Arial"/>
                <w:b/>
                <w:bCs/>
                <w:sz w:val="16"/>
                <w:szCs w:val="16"/>
              </w:rPr>
              <w:t xml:space="preserve"> measures</w:t>
            </w:r>
          </w:p>
        </w:tc>
        <w:tc>
          <w:tcPr>
            <w:tcW w:w="856" w:type="dxa"/>
            <w:tcBorders>
              <w:top w:val="nil"/>
              <w:left w:val="nil"/>
              <w:bottom w:val="nil"/>
              <w:right w:val="nil"/>
            </w:tcBorders>
            <w:shd w:val="clear" w:color="auto" w:fill="auto"/>
            <w:noWrap/>
            <w:vAlign w:val="bottom"/>
            <w:hideMark/>
          </w:tcPr>
          <w:p w14:paraId="289A6F92" w14:textId="77777777" w:rsidR="00E93CB9" w:rsidRPr="00E93CB9" w:rsidRDefault="00E93CB9" w:rsidP="00C95230">
            <w:pPr>
              <w:spacing w:after="0" w:line="240" w:lineRule="auto"/>
              <w:jc w:val="right"/>
              <w:rPr>
                <w:rFonts w:ascii="Arial" w:hAnsi="Arial" w:cs="Arial"/>
                <w:b/>
                <w:bCs/>
                <w:sz w:val="16"/>
                <w:szCs w:val="16"/>
              </w:rPr>
            </w:pPr>
          </w:p>
        </w:tc>
        <w:tc>
          <w:tcPr>
            <w:tcW w:w="856" w:type="dxa"/>
            <w:tcBorders>
              <w:top w:val="single" w:sz="4" w:space="0" w:color="auto"/>
              <w:left w:val="nil"/>
              <w:bottom w:val="nil"/>
              <w:right w:val="nil"/>
            </w:tcBorders>
            <w:shd w:val="clear" w:color="auto" w:fill="auto"/>
            <w:noWrap/>
            <w:vAlign w:val="bottom"/>
            <w:hideMark/>
          </w:tcPr>
          <w:p w14:paraId="47B6F347" w14:textId="77777777" w:rsidR="00E93CB9" w:rsidRPr="00E93CB9" w:rsidRDefault="00E93CB9" w:rsidP="00C95230">
            <w:pPr>
              <w:spacing w:after="0" w:line="240" w:lineRule="auto"/>
              <w:jc w:val="right"/>
              <w:rPr>
                <w:rFonts w:ascii="Times New Roman" w:hAnsi="Times New Roman"/>
              </w:rPr>
            </w:pPr>
          </w:p>
        </w:tc>
        <w:tc>
          <w:tcPr>
            <w:tcW w:w="856" w:type="dxa"/>
            <w:tcBorders>
              <w:top w:val="single" w:sz="4" w:space="0" w:color="auto"/>
              <w:left w:val="nil"/>
              <w:bottom w:val="nil"/>
              <w:right w:val="nil"/>
            </w:tcBorders>
            <w:shd w:val="clear" w:color="000000" w:fill="E6E6E6"/>
            <w:noWrap/>
            <w:vAlign w:val="bottom"/>
            <w:hideMark/>
          </w:tcPr>
          <w:p w14:paraId="509FD052" w14:textId="07E807FE" w:rsidR="00E93CB9" w:rsidRPr="00E93CB9" w:rsidRDefault="00E93CB9" w:rsidP="00C95230">
            <w:pPr>
              <w:spacing w:after="0" w:line="240" w:lineRule="auto"/>
              <w:jc w:val="right"/>
              <w:rPr>
                <w:rFonts w:ascii="Arial" w:hAnsi="Arial" w:cs="Arial"/>
                <w:b/>
                <w:bCs/>
                <w:sz w:val="16"/>
                <w:szCs w:val="16"/>
              </w:rPr>
            </w:pPr>
          </w:p>
        </w:tc>
        <w:tc>
          <w:tcPr>
            <w:tcW w:w="848" w:type="dxa"/>
            <w:tcBorders>
              <w:top w:val="single" w:sz="4" w:space="0" w:color="auto"/>
              <w:left w:val="nil"/>
              <w:bottom w:val="nil"/>
              <w:right w:val="nil"/>
            </w:tcBorders>
            <w:shd w:val="clear" w:color="auto" w:fill="auto"/>
            <w:noWrap/>
            <w:vAlign w:val="bottom"/>
            <w:hideMark/>
          </w:tcPr>
          <w:p w14:paraId="1E07B85A" w14:textId="77777777" w:rsidR="00E93CB9" w:rsidRPr="00E93CB9" w:rsidRDefault="00E93CB9" w:rsidP="00C95230">
            <w:pPr>
              <w:spacing w:after="0" w:line="240" w:lineRule="auto"/>
              <w:jc w:val="right"/>
              <w:rPr>
                <w:rFonts w:ascii="Arial" w:hAnsi="Arial" w:cs="Arial"/>
                <w:b/>
                <w:bCs/>
                <w:sz w:val="16"/>
                <w:szCs w:val="16"/>
              </w:rPr>
            </w:pPr>
          </w:p>
        </w:tc>
        <w:tc>
          <w:tcPr>
            <w:tcW w:w="848" w:type="dxa"/>
            <w:tcBorders>
              <w:top w:val="single" w:sz="4" w:space="0" w:color="auto"/>
              <w:left w:val="nil"/>
              <w:bottom w:val="nil"/>
              <w:right w:val="nil"/>
            </w:tcBorders>
            <w:shd w:val="clear" w:color="000000" w:fill="E6E6E6"/>
            <w:noWrap/>
            <w:vAlign w:val="bottom"/>
            <w:hideMark/>
          </w:tcPr>
          <w:p w14:paraId="29381104" w14:textId="6B8754BE" w:rsidR="00E93CB9" w:rsidRPr="00E93CB9" w:rsidRDefault="00E93CB9" w:rsidP="00C95230">
            <w:pPr>
              <w:spacing w:after="0" w:line="240" w:lineRule="auto"/>
              <w:jc w:val="right"/>
              <w:rPr>
                <w:rFonts w:ascii="Arial" w:hAnsi="Arial" w:cs="Arial"/>
                <w:color w:val="000000"/>
                <w:sz w:val="16"/>
                <w:szCs w:val="16"/>
              </w:rPr>
            </w:pPr>
          </w:p>
        </w:tc>
      </w:tr>
      <w:tr w:rsidR="00E93CB9" w:rsidRPr="00E93CB9" w14:paraId="074AF43E" w14:textId="77777777" w:rsidTr="00E93CB9">
        <w:trPr>
          <w:trHeight w:val="204"/>
        </w:trPr>
        <w:tc>
          <w:tcPr>
            <w:tcW w:w="3036" w:type="dxa"/>
            <w:tcBorders>
              <w:top w:val="nil"/>
              <w:left w:val="nil"/>
              <w:bottom w:val="nil"/>
              <w:right w:val="nil"/>
            </w:tcBorders>
            <w:shd w:val="clear" w:color="auto" w:fill="auto"/>
            <w:noWrap/>
            <w:vAlign w:val="bottom"/>
            <w:hideMark/>
          </w:tcPr>
          <w:p w14:paraId="5A244285" w14:textId="466873D8" w:rsidR="00E93CB9" w:rsidRPr="00E93CB9" w:rsidRDefault="008863D9" w:rsidP="00C95230">
            <w:pPr>
              <w:spacing w:after="0" w:line="240" w:lineRule="auto"/>
              <w:ind w:left="113"/>
              <w:jc w:val="left"/>
              <w:rPr>
                <w:rFonts w:ascii="Arial" w:hAnsi="Arial" w:cs="Arial"/>
                <w:sz w:val="16"/>
                <w:szCs w:val="16"/>
              </w:rPr>
            </w:pPr>
            <w:r>
              <w:rPr>
                <w:rFonts w:ascii="Arial" w:hAnsi="Arial" w:cs="Arial"/>
                <w:sz w:val="16"/>
                <w:szCs w:val="16"/>
              </w:rPr>
              <w:t>Department</w:t>
            </w:r>
            <w:r w:rsidR="00E93CB9" w:rsidRPr="00E93CB9">
              <w:rPr>
                <w:rFonts w:ascii="Arial" w:hAnsi="Arial" w:cs="Arial"/>
                <w:sz w:val="16"/>
                <w:szCs w:val="16"/>
              </w:rPr>
              <w:t>al</w:t>
            </w:r>
          </w:p>
        </w:tc>
        <w:tc>
          <w:tcPr>
            <w:tcW w:w="856" w:type="dxa"/>
            <w:tcBorders>
              <w:top w:val="nil"/>
              <w:left w:val="nil"/>
              <w:bottom w:val="nil"/>
              <w:right w:val="nil"/>
            </w:tcBorders>
            <w:shd w:val="clear" w:color="auto" w:fill="auto"/>
            <w:noWrap/>
            <w:vAlign w:val="bottom"/>
            <w:hideMark/>
          </w:tcPr>
          <w:p w14:paraId="3C18BC63" w14:textId="77777777" w:rsidR="00E93CB9" w:rsidRPr="00E93CB9" w:rsidRDefault="00E93CB9" w:rsidP="00C95230">
            <w:pPr>
              <w:spacing w:after="0" w:line="240" w:lineRule="auto"/>
              <w:ind w:firstLineChars="100" w:firstLine="160"/>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1BFFF42A" w14:textId="41CAE313"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w:t>
            </w:r>
          </w:p>
        </w:tc>
        <w:tc>
          <w:tcPr>
            <w:tcW w:w="856" w:type="dxa"/>
            <w:tcBorders>
              <w:top w:val="nil"/>
              <w:left w:val="nil"/>
              <w:bottom w:val="nil"/>
              <w:right w:val="nil"/>
            </w:tcBorders>
            <w:shd w:val="clear" w:color="000000" w:fill="E6E6E6"/>
            <w:noWrap/>
            <w:vAlign w:val="bottom"/>
            <w:hideMark/>
          </w:tcPr>
          <w:p w14:paraId="4546ACB3" w14:textId="09837418"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(2,800)</w:t>
            </w:r>
          </w:p>
        </w:tc>
        <w:tc>
          <w:tcPr>
            <w:tcW w:w="848" w:type="dxa"/>
            <w:tcBorders>
              <w:top w:val="nil"/>
              <w:left w:val="nil"/>
              <w:bottom w:val="nil"/>
              <w:right w:val="nil"/>
            </w:tcBorders>
            <w:shd w:val="clear" w:color="auto" w:fill="auto"/>
            <w:noWrap/>
            <w:vAlign w:val="bottom"/>
            <w:hideMark/>
          </w:tcPr>
          <w:p w14:paraId="435C26C5" w14:textId="13097E52"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w:t>
            </w:r>
          </w:p>
        </w:tc>
        <w:tc>
          <w:tcPr>
            <w:tcW w:w="848" w:type="dxa"/>
            <w:tcBorders>
              <w:top w:val="nil"/>
              <w:left w:val="nil"/>
              <w:bottom w:val="nil"/>
              <w:right w:val="nil"/>
            </w:tcBorders>
            <w:shd w:val="clear" w:color="000000" w:fill="E6E6E6"/>
            <w:noWrap/>
            <w:vAlign w:val="bottom"/>
            <w:hideMark/>
          </w:tcPr>
          <w:p w14:paraId="414821F1" w14:textId="6E3FD775" w:rsidR="00E93CB9" w:rsidRPr="00E93CB9" w:rsidRDefault="00E93CB9" w:rsidP="00C95230">
            <w:pPr>
              <w:spacing w:after="0" w:line="240" w:lineRule="auto"/>
              <w:jc w:val="right"/>
              <w:rPr>
                <w:rFonts w:ascii="Arial" w:hAnsi="Arial" w:cs="Arial"/>
                <w:color w:val="000000"/>
                <w:sz w:val="16"/>
                <w:szCs w:val="16"/>
              </w:rPr>
            </w:pPr>
            <w:r w:rsidRPr="00E93CB9">
              <w:rPr>
                <w:rFonts w:ascii="Arial" w:hAnsi="Arial" w:cs="Arial"/>
                <w:color w:val="000000"/>
                <w:sz w:val="16"/>
                <w:szCs w:val="16"/>
              </w:rPr>
              <w:t>-</w:t>
            </w:r>
          </w:p>
        </w:tc>
      </w:tr>
      <w:tr w:rsidR="00E93CB9" w:rsidRPr="00E93CB9" w14:paraId="3461BBC4" w14:textId="77777777" w:rsidTr="00E93CB9">
        <w:trPr>
          <w:trHeight w:val="204"/>
        </w:trPr>
        <w:tc>
          <w:tcPr>
            <w:tcW w:w="3036" w:type="dxa"/>
            <w:tcBorders>
              <w:top w:val="nil"/>
              <w:left w:val="nil"/>
              <w:bottom w:val="nil"/>
              <w:right w:val="nil"/>
            </w:tcBorders>
            <w:shd w:val="clear" w:color="auto" w:fill="auto"/>
            <w:noWrap/>
            <w:vAlign w:val="bottom"/>
            <w:hideMark/>
          </w:tcPr>
          <w:p w14:paraId="6188B242" w14:textId="77777777" w:rsidR="00E93CB9" w:rsidRPr="00E93CB9" w:rsidRDefault="00E93CB9" w:rsidP="00E93CB9">
            <w:pPr>
              <w:spacing w:after="0" w:line="240" w:lineRule="auto"/>
              <w:jc w:val="left"/>
              <w:rPr>
                <w:rFonts w:ascii="Arial" w:hAnsi="Arial" w:cs="Arial"/>
                <w:b/>
                <w:bCs/>
                <w:sz w:val="16"/>
                <w:szCs w:val="16"/>
              </w:rPr>
            </w:pPr>
            <w:r w:rsidRPr="00E93CB9">
              <w:rPr>
                <w:rFonts w:ascii="Arial" w:hAnsi="Arial" w:cs="Arial"/>
                <w:b/>
                <w:bCs/>
                <w:sz w:val="16"/>
                <w:szCs w:val="16"/>
              </w:rPr>
              <w:t>Total</w:t>
            </w:r>
          </w:p>
        </w:tc>
        <w:tc>
          <w:tcPr>
            <w:tcW w:w="856" w:type="dxa"/>
            <w:tcBorders>
              <w:top w:val="nil"/>
              <w:left w:val="nil"/>
              <w:bottom w:val="nil"/>
              <w:right w:val="nil"/>
            </w:tcBorders>
            <w:shd w:val="clear" w:color="auto" w:fill="auto"/>
            <w:noWrap/>
            <w:vAlign w:val="bottom"/>
            <w:hideMark/>
          </w:tcPr>
          <w:p w14:paraId="542B6F9B" w14:textId="77777777" w:rsidR="00E93CB9" w:rsidRPr="00E93CB9" w:rsidRDefault="00E93CB9" w:rsidP="00C95230">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auto" w:fill="auto"/>
            <w:noWrap/>
            <w:vAlign w:val="bottom"/>
            <w:hideMark/>
          </w:tcPr>
          <w:p w14:paraId="21658126" w14:textId="22398686"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w:t>
            </w:r>
          </w:p>
        </w:tc>
        <w:tc>
          <w:tcPr>
            <w:tcW w:w="856" w:type="dxa"/>
            <w:tcBorders>
              <w:top w:val="nil"/>
              <w:left w:val="nil"/>
              <w:bottom w:val="nil"/>
              <w:right w:val="nil"/>
            </w:tcBorders>
            <w:shd w:val="clear" w:color="000000" w:fill="E6E6E6"/>
            <w:noWrap/>
            <w:vAlign w:val="bottom"/>
            <w:hideMark/>
          </w:tcPr>
          <w:p w14:paraId="4E18619A" w14:textId="76B10F32"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(2,800)</w:t>
            </w:r>
          </w:p>
        </w:tc>
        <w:tc>
          <w:tcPr>
            <w:tcW w:w="848" w:type="dxa"/>
            <w:tcBorders>
              <w:top w:val="nil"/>
              <w:left w:val="nil"/>
              <w:bottom w:val="nil"/>
              <w:right w:val="nil"/>
            </w:tcBorders>
            <w:shd w:val="clear" w:color="auto" w:fill="auto"/>
            <w:noWrap/>
            <w:vAlign w:val="bottom"/>
            <w:hideMark/>
          </w:tcPr>
          <w:p w14:paraId="18651FC6" w14:textId="01A0DA38"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w:t>
            </w:r>
          </w:p>
        </w:tc>
        <w:tc>
          <w:tcPr>
            <w:tcW w:w="848" w:type="dxa"/>
            <w:tcBorders>
              <w:top w:val="nil"/>
              <w:left w:val="nil"/>
              <w:bottom w:val="nil"/>
              <w:right w:val="nil"/>
            </w:tcBorders>
            <w:shd w:val="clear" w:color="000000" w:fill="E6E6E6"/>
            <w:noWrap/>
            <w:vAlign w:val="bottom"/>
            <w:hideMark/>
          </w:tcPr>
          <w:p w14:paraId="7A80A5B3" w14:textId="12E03CEF" w:rsidR="00E93CB9" w:rsidRPr="00E93CB9" w:rsidRDefault="00E93CB9" w:rsidP="00C95230">
            <w:pPr>
              <w:spacing w:after="0" w:line="240" w:lineRule="auto"/>
              <w:jc w:val="right"/>
              <w:rPr>
                <w:rFonts w:ascii="Arial" w:hAnsi="Arial" w:cs="Arial"/>
                <w:b/>
                <w:bCs/>
                <w:color w:val="000000"/>
                <w:sz w:val="16"/>
                <w:szCs w:val="16"/>
              </w:rPr>
            </w:pPr>
            <w:r w:rsidRPr="00E93CB9">
              <w:rPr>
                <w:rFonts w:ascii="Arial" w:hAnsi="Arial" w:cs="Arial"/>
                <w:b/>
                <w:bCs/>
                <w:color w:val="000000"/>
                <w:sz w:val="16"/>
                <w:szCs w:val="16"/>
              </w:rPr>
              <w:t>-</w:t>
            </w:r>
          </w:p>
        </w:tc>
      </w:tr>
      <w:tr w:rsidR="00E93CB9" w:rsidRPr="00E93CB9" w14:paraId="3641B2BF" w14:textId="77777777" w:rsidTr="00E93CB9">
        <w:trPr>
          <w:trHeight w:val="204"/>
        </w:trPr>
        <w:tc>
          <w:tcPr>
            <w:tcW w:w="3036" w:type="dxa"/>
            <w:tcBorders>
              <w:top w:val="nil"/>
              <w:left w:val="nil"/>
              <w:bottom w:val="nil"/>
              <w:right w:val="nil"/>
            </w:tcBorders>
            <w:shd w:val="clear" w:color="auto" w:fill="auto"/>
            <w:vAlign w:val="bottom"/>
            <w:hideMark/>
          </w:tcPr>
          <w:p w14:paraId="246D0BDF" w14:textId="3F88DCFE" w:rsidR="00E93CB9" w:rsidRPr="00E93CB9" w:rsidRDefault="007B536D" w:rsidP="007B536D">
            <w:pPr>
              <w:spacing w:after="0" w:line="240" w:lineRule="auto"/>
              <w:jc w:val="left"/>
              <w:rPr>
                <w:rFonts w:ascii="Arial" w:hAnsi="Arial" w:cs="Arial"/>
                <w:b/>
                <w:bCs/>
                <w:sz w:val="16"/>
                <w:szCs w:val="16"/>
              </w:rPr>
            </w:pPr>
            <w:r>
              <w:rPr>
                <w:rFonts w:ascii="Arial" w:hAnsi="Arial" w:cs="Arial"/>
                <w:b/>
                <w:bCs/>
                <w:sz w:val="16"/>
                <w:szCs w:val="16"/>
              </w:rPr>
              <w:t>Payment measures</w:t>
            </w:r>
          </w:p>
        </w:tc>
        <w:tc>
          <w:tcPr>
            <w:tcW w:w="856" w:type="dxa"/>
            <w:tcBorders>
              <w:top w:val="nil"/>
              <w:left w:val="nil"/>
              <w:bottom w:val="nil"/>
              <w:right w:val="nil"/>
            </w:tcBorders>
            <w:shd w:val="clear" w:color="auto" w:fill="auto"/>
            <w:noWrap/>
            <w:vAlign w:val="bottom"/>
            <w:hideMark/>
          </w:tcPr>
          <w:p w14:paraId="066D304C" w14:textId="77777777" w:rsidR="00E93CB9" w:rsidRPr="00E93CB9" w:rsidRDefault="00E93CB9" w:rsidP="00C95230">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auto" w:fill="auto"/>
            <w:noWrap/>
            <w:vAlign w:val="bottom"/>
            <w:hideMark/>
          </w:tcPr>
          <w:p w14:paraId="25E295A0" w14:textId="77777777" w:rsidR="00E93CB9" w:rsidRPr="00E93CB9" w:rsidRDefault="00E93CB9" w:rsidP="00C95230">
            <w:pPr>
              <w:spacing w:after="0" w:line="240" w:lineRule="auto"/>
              <w:jc w:val="right"/>
              <w:rPr>
                <w:rFonts w:ascii="Times New Roman" w:hAnsi="Times New Roman"/>
              </w:rPr>
            </w:pPr>
          </w:p>
        </w:tc>
        <w:tc>
          <w:tcPr>
            <w:tcW w:w="856" w:type="dxa"/>
            <w:tcBorders>
              <w:top w:val="nil"/>
              <w:left w:val="nil"/>
              <w:bottom w:val="nil"/>
              <w:right w:val="nil"/>
            </w:tcBorders>
            <w:shd w:val="clear" w:color="000000" w:fill="E6E6E6"/>
            <w:noWrap/>
            <w:vAlign w:val="bottom"/>
            <w:hideMark/>
          </w:tcPr>
          <w:p w14:paraId="0092CF94" w14:textId="3F8E6535" w:rsidR="00E93CB9" w:rsidRPr="00E93CB9" w:rsidRDefault="00E93CB9" w:rsidP="00C95230">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14:paraId="1B3219F0" w14:textId="77777777" w:rsidR="00E93CB9" w:rsidRPr="00E93CB9" w:rsidRDefault="00E93CB9" w:rsidP="00C95230">
            <w:pPr>
              <w:spacing w:after="0" w:line="240" w:lineRule="auto"/>
              <w:jc w:val="right"/>
              <w:rPr>
                <w:rFonts w:ascii="Arial" w:hAnsi="Arial" w:cs="Arial"/>
                <w:sz w:val="16"/>
                <w:szCs w:val="16"/>
              </w:rPr>
            </w:pPr>
          </w:p>
        </w:tc>
        <w:tc>
          <w:tcPr>
            <w:tcW w:w="848" w:type="dxa"/>
            <w:tcBorders>
              <w:top w:val="nil"/>
              <w:left w:val="nil"/>
              <w:bottom w:val="nil"/>
              <w:right w:val="nil"/>
            </w:tcBorders>
            <w:shd w:val="clear" w:color="000000" w:fill="E6E6E6"/>
            <w:noWrap/>
            <w:vAlign w:val="bottom"/>
            <w:hideMark/>
          </w:tcPr>
          <w:p w14:paraId="6C19D65E" w14:textId="54CD7310" w:rsidR="00E93CB9" w:rsidRPr="00E93CB9" w:rsidRDefault="00E93CB9" w:rsidP="00C95230">
            <w:pPr>
              <w:spacing w:after="0" w:line="240" w:lineRule="auto"/>
              <w:jc w:val="right"/>
              <w:rPr>
                <w:rFonts w:ascii="Arial" w:hAnsi="Arial" w:cs="Arial"/>
                <w:color w:val="000000"/>
                <w:sz w:val="16"/>
                <w:szCs w:val="16"/>
              </w:rPr>
            </w:pPr>
          </w:p>
        </w:tc>
      </w:tr>
      <w:tr w:rsidR="00E93CB9" w:rsidRPr="00E93CB9" w14:paraId="2C870B03" w14:textId="77777777" w:rsidTr="00E93CB9">
        <w:trPr>
          <w:trHeight w:val="204"/>
        </w:trPr>
        <w:tc>
          <w:tcPr>
            <w:tcW w:w="3036" w:type="dxa"/>
            <w:tcBorders>
              <w:top w:val="nil"/>
              <w:left w:val="nil"/>
              <w:bottom w:val="nil"/>
              <w:right w:val="nil"/>
            </w:tcBorders>
            <w:shd w:val="clear" w:color="auto" w:fill="auto"/>
            <w:vAlign w:val="bottom"/>
            <w:hideMark/>
          </w:tcPr>
          <w:p w14:paraId="11731C7C" w14:textId="77777777" w:rsidR="00E93CB9" w:rsidRPr="00E93CB9" w:rsidRDefault="00E93CB9" w:rsidP="00E93CB9">
            <w:pPr>
              <w:spacing w:after="0" w:line="240" w:lineRule="auto"/>
              <w:jc w:val="left"/>
              <w:rPr>
                <w:rFonts w:ascii="Arial" w:hAnsi="Arial" w:cs="Arial"/>
                <w:sz w:val="16"/>
                <w:szCs w:val="16"/>
              </w:rPr>
            </w:pPr>
            <w:r w:rsidRPr="00E93CB9">
              <w:rPr>
                <w:rFonts w:ascii="Arial" w:hAnsi="Arial" w:cs="Arial"/>
                <w:sz w:val="16"/>
                <w:szCs w:val="16"/>
              </w:rPr>
              <w:t>National Collecting Institutions - Upgrading Digital Capacity</w:t>
            </w:r>
          </w:p>
        </w:tc>
        <w:tc>
          <w:tcPr>
            <w:tcW w:w="856" w:type="dxa"/>
            <w:tcBorders>
              <w:top w:val="nil"/>
              <w:left w:val="nil"/>
              <w:bottom w:val="nil"/>
              <w:right w:val="nil"/>
            </w:tcBorders>
            <w:shd w:val="clear" w:color="auto" w:fill="auto"/>
            <w:noWrap/>
            <w:vAlign w:val="bottom"/>
            <w:hideMark/>
          </w:tcPr>
          <w:p w14:paraId="08188563" w14:textId="776F1C86" w:rsidR="00E93CB9" w:rsidRPr="00E93CB9" w:rsidRDefault="00E93CB9" w:rsidP="00C95230">
            <w:pPr>
              <w:spacing w:after="0" w:line="240" w:lineRule="auto"/>
              <w:jc w:val="center"/>
              <w:rPr>
                <w:rFonts w:ascii="Arial" w:hAnsi="Arial" w:cs="Arial"/>
                <w:sz w:val="16"/>
                <w:szCs w:val="16"/>
              </w:rPr>
            </w:pPr>
            <w:r w:rsidRPr="00E93CB9">
              <w:rPr>
                <w:rFonts w:ascii="Arial" w:hAnsi="Arial" w:cs="Arial"/>
                <w:sz w:val="16"/>
                <w:szCs w:val="16"/>
              </w:rPr>
              <w:t>1.1</w:t>
            </w:r>
          </w:p>
        </w:tc>
        <w:tc>
          <w:tcPr>
            <w:tcW w:w="856" w:type="dxa"/>
            <w:tcBorders>
              <w:top w:val="nil"/>
              <w:left w:val="nil"/>
              <w:bottom w:val="nil"/>
              <w:right w:val="nil"/>
            </w:tcBorders>
            <w:shd w:val="clear" w:color="auto" w:fill="auto"/>
            <w:noWrap/>
            <w:vAlign w:val="bottom"/>
            <w:hideMark/>
          </w:tcPr>
          <w:p w14:paraId="2FC1CD41" w14:textId="77777777" w:rsidR="00E93CB9" w:rsidRPr="00E93CB9" w:rsidRDefault="00E93CB9"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000000" w:fill="E6E6E6"/>
            <w:noWrap/>
            <w:vAlign w:val="bottom"/>
            <w:hideMark/>
          </w:tcPr>
          <w:p w14:paraId="38EC097C" w14:textId="7CA6418E" w:rsidR="00E93CB9" w:rsidRPr="00E93CB9" w:rsidRDefault="00E93CB9" w:rsidP="00C95230">
            <w:pPr>
              <w:spacing w:after="0" w:line="240" w:lineRule="auto"/>
              <w:jc w:val="right"/>
              <w:rPr>
                <w:rFonts w:ascii="Arial" w:hAnsi="Arial" w:cs="Arial"/>
                <w:sz w:val="16"/>
                <w:szCs w:val="16"/>
              </w:rPr>
            </w:pPr>
          </w:p>
        </w:tc>
        <w:tc>
          <w:tcPr>
            <w:tcW w:w="848" w:type="dxa"/>
            <w:tcBorders>
              <w:top w:val="nil"/>
              <w:left w:val="nil"/>
              <w:bottom w:val="nil"/>
              <w:right w:val="nil"/>
            </w:tcBorders>
            <w:shd w:val="clear" w:color="auto" w:fill="auto"/>
            <w:noWrap/>
            <w:vAlign w:val="bottom"/>
            <w:hideMark/>
          </w:tcPr>
          <w:p w14:paraId="5234AFD7" w14:textId="77777777" w:rsidR="00E93CB9" w:rsidRPr="00E93CB9" w:rsidRDefault="00E93CB9" w:rsidP="00C95230">
            <w:pPr>
              <w:spacing w:after="0" w:line="240" w:lineRule="auto"/>
              <w:jc w:val="right"/>
              <w:rPr>
                <w:rFonts w:ascii="Arial" w:hAnsi="Arial" w:cs="Arial"/>
                <w:sz w:val="16"/>
                <w:szCs w:val="16"/>
              </w:rPr>
            </w:pPr>
          </w:p>
        </w:tc>
        <w:tc>
          <w:tcPr>
            <w:tcW w:w="848" w:type="dxa"/>
            <w:tcBorders>
              <w:top w:val="nil"/>
              <w:left w:val="nil"/>
              <w:bottom w:val="nil"/>
              <w:right w:val="nil"/>
            </w:tcBorders>
            <w:shd w:val="clear" w:color="000000" w:fill="E6E6E6"/>
            <w:noWrap/>
            <w:vAlign w:val="bottom"/>
            <w:hideMark/>
          </w:tcPr>
          <w:p w14:paraId="4A4AA41F" w14:textId="112DCE9D" w:rsidR="00E93CB9" w:rsidRPr="00E93CB9" w:rsidRDefault="00E93CB9" w:rsidP="00C95230">
            <w:pPr>
              <w:spacing w:after="0" w:line="240" w:lineRule="auto"/>
              <w:jc w:val="right"/>
              <w:rPr>
                <w:rFonts w:ascii="Arial" w:hAnsi="Arial" w:cs="Arial"/>
                <w:color w:val="000000"/>
                <w:sz w:val="16"/>
                <w:szCs w:val="16"/>
              </w:rPr>
            </w:pPr>
          </w:p>
        </w:tc>
      </w:tr>
      <w:tr w:rsidR="00E93CB9" w:rsidRPr="00E93CB9" w14:paraId="3C4CD0D8" w14:textId="77777777" w:rsidTr="00307BC3">
        <w:trPr>
          <w:trHeight w:val="204"/>
        </w:trPr>
        <w:tc>
          <w:tcPr>
            <w:tcW w:w="3036" w:type="dxa"/>
            <w:tcBorders>
              <w:top w:val="nil"/>
              <w:left w:val="nil"/>
              <w:bottom w:val="nil"/>
              <w:right w:val="nil"/>
            </w:tcBorders>
            <w:shd w:val="clear" w:color="auto" w:fill="auto"/>
            <w:noWrap/>
            <w:vAlign w:val="bottom"/>
            <w:hideMark/>
          </w:tcPr>
          <w:p w14:paraId="53BE2C15" w14:textId="4DFBB69E" w:rsidR="00E93CB9" w:rsidRPr="00E93CB9" w:rsidRDefault="008863D9" w:rsidP="00DB0DF9">
            <w:pPr>
              <w:spacing w:after="0" w:line="240" w:lineRule="auto"/>
              <w:ind w:left="113"/>
              <w:jc w:val="left"/>
              <w:rPr>
                <w:rFonts w:ascii="Arial" w:hAnsi="Arial" w:cs="Arial"/>
                <w:sz w:val="16"/>
                <w:szCs w:val="16"/>
              </w:rPr>
            </w:pPr>
            <w:r>
              <w:rPr>
                <w:rFonts w:ascii="Arial" w:hAnsi="Arial" w:cs="Arial"/>
                <w:sz w:val="16"/>
                <w:szCs w:val="16"/>
              </w:rPr>
              <w:t>Department</w:t>
            </w:r>
            <w:r w:rsidR="00E93CB9" w:rsidRPr="00E93CB9">
              <w:rPr>
                <w:rFonts w:ascii="Arial" w:hAnsi="Arial" w:cs="Arial"/>
                <w:sz w:val="16"/>
                <w:szCs w:val="16"/>
              </w:rPr>
              <w:t xml:space="preserve">al </w:t>
            </w:r>
            <w:r w:rsidR="00DB0DF9">
              <w:rPr>
                <w:rFonts w:ascii="Arial" w:hAnsi="Arial" w:cs="Arial"/>
                <w:sz w:val="16"/>
                <w:szCs w:val="16"/>
              </w:rPr>
              <w:t>payments</w:t>
            </w:r>
          </w:p>
        </w:tc>
        <w:tc>
          <w:tcPr>
            <w:tcW w:w="856" w:type="dxa"/>
            <w:tcBorders>
              <w:top w:val="nil"/>
              <w:left w:val="nil"/>
              <w:bottom w:val="nil"/>
              <w:right w:val="nil"/>
            </w:tcBorders>
            <w:shd w:val="clear" w:color="auto" w:fill="auto"/>
            <w:noWrap/>
            <w:vAlign w:val="bottom"/>
            <w:hideMark/>
          </w:tcPr>
          <w:p w14:paraId="41AE1219" w14:textId="77777777" w:rsidR="00E93CB9" w:rsidRPr="00E93CB9" w:rsidRDefault="00E93CB9" w:rsidP="00C95230">
            <w:pPr>
              <w:spacing w:after="0" w:line="240" w:lineRule="auto"/>
              <w:ind w:firstLineChars="100" w:firstLine="160"/>
              <w:jc w:val="right"/>
              <w:rPr>
                <w:rFonts w:ascii="Arial" w:hAnsi="Arial" w:cs="Arial"/>
                <w:sz w:val="16"/>
                <w:szCs w:val="16"/>
              </w:rPr>
            </w:pPr>
          </w:p>
        </w:tc>
        <w:tc>
          <w:tcPr>
            <w:tcW w:w="856" w:type="dxa"/>
            <w:tcBorders>
              <w:top w:val="nil"/>
              <w:left w:val="nil"/>
              <w:right w:val="nil"/>
            </w:tcBorders>
            <w:shd w:val="clear" w:color="auto" w:fill="auto"/>
            <w:noWrap/>
            <w:vAlign w:val="bottom"/>
            <w:hideMark/>
          </w:tcPr>
          <w:p w14:paraId="4DF91535" w14:textId="5F8EE5D8"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683</w:t>
            </w:r>
          </w:p>
        </w:tc>
        <w:tc>
          <w:tcPr>
            <w:tcW w:w="856" w:type="dxa"/>
            <w:tcBorders>
              <w:top w:val="nil"/>
              <w:left w:val="nil"/>
              <w:right w:val="nil"/>
            </w:tcBorders>
            <w:shd w:val="clear" w:color="000000" w:fill="E6E6E6"/>
            <w:noWrap/>
            <w:vAlign w:val="bottom"/>
            <w:hideMark/>
          </w:tcPr>
          <w:p w14:paraId="67AF8112" w14:textId="7EAE4A8B"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7,866</w:t>
            </w:r>
          </w:p>
        </w:tc>
        <w:tc>
          <w:tcPr>
            <w:tcW w:w="848" w:type="dxa"/>
            <w:tcBorders>
              <w:top w:val="nil"/>
              <w:left w:val="nil"/>
              <w:right w:val="nil"/>
            </w:tcBorders>
            <w:shd w:val="clear" w:color="auto" w:fill="auto"/>
            <w:noWrap/>
            <w:vAlign w:val="bottom"/>
            <w:hideMark/>
          </w:tcPr>
          <w:p w14:paraId="52F7822E" w14:textId="7F6EA696"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w:t>
            </w:r>
          </w:p>
        </w:tc>
        <w:tc>
          <w:tcPr>
            <w:tcW w:w="848" w:type="dxa"/>
            <w:tcBorders>
              <w:top w:val="nil"/>
              <w:left w:val="nil"/>
              <w:right w:val="nil"/>
            </w:tcBorders>
            <w:shd w:val="clear" w:color="000000" w:fill="E6E6E6"/>
            <w:noWrap/>
            <w:vAlign w:val="bottom"/>
            <w:hideMark/>
          </w:tcPr>
          <w:p w14:paraId="7C49F51A" w14:textId="52F9BE81" w:rsidR="00E93CB9" w:rsidRPr="00E93CB9" w:rsidRDefault="00E93CB9" w:rsidP="00C95230">
            <w:pPr>
              <w:spacing w:after="0" w:line="240" w:lineRule="auto"/>
              <w:jc w:val="right"/>
              <w:rPr>
                <w:rFonts w:ascii="Arial" w:hAnsi="Arial" w:cs="Arial"/>
                <w:color w:val="000000"/>
                <w:sz w:val="16"/>
                <w:szCs w:val="16"/>
              </w:rPr>
            </w:pPr>
            <w:r w:rsidRPr="00E93CB9">
              <w:rPr>
                <w:rFonts w:ascii="Arial" w:hAnsi="Arial" w:cs="Arial"/>
                <w:color w:val="000000"/>
                <w:sz w:val="16"/>
                <w:szCs w:val="16"/>
              </w:rPr>
              <w:t>-</w:t>
            </w:r>
          </w:p>
        </w:tc>
      </w:tr>
      <w:tr w:rsidR="00E93CB9" w:rsidRPr="00E93CB9" w14:paraId="20E7129B" w14:textId="77777777" w:rsidTr="00307BC3">
        <w:trPr>
          <w:trHeight w:val="204"/>
        </w:trPr>
        <w:tc>
          <w:tcPr>
            <w:tcW w:w="3036" w:type="dxa"/>
            <w:tcBorders>
              <w:top w:val="nil"/>
              <w:left w:val="nil"/>
              <w:bottom w:val="nil"/>
              <w:right w:val="nil"/>
            </w:tcBorders>
            <w:shd w:val="clear" w:color="auto" w:fill="auto"/>
            <w:noWrap/>
            <w:vAlign w:val="bottom"/>
            <w:hideMark/>
          </w:tcPr>
          <w:p w14:paraId="69F4C59C" w14:textId="77777777" w:rsidR="00E93CB9" w:rsidRPr="00E93CB9" w:rsidRDefault="00E93CB9" w:rsidP="00E93CB9">
            <w:pPr>
              <w:spacing w:after="0" w:line="240" w:lineRule="auto"/>
              <w:jc w:val="left"/>
              <w:rPr>
                <w:rFonts w:ascii="Arial" w:hAnsi="Arial" w:cs="Arial"/>
                <w:b/>
                <w:bCs/>
                <w:sz w:val="16"/>
                <w:szCs w:val="16"/>
              </w:rPr>
            </w:pPr>
            <w:r w:rsidRPr="00E93CB9">
              <w:rPr>
                <w:rFonts w:ascii="Arial" w:hAnsi="Arial" w:cs="Arial"/>
                <w:b/>
                <w:bCs/>
                <w:sz w:val="16"/>
                <w:szCs w:val="16"/>
              </w:rPr>
              <w:t xml:space="preserve">Total </w:t>
            </w:r>
          </w:p>
        </w:tc>
        <w:tc>
          <w:tcPr>
            <w:tcW w:w="856" w:type="dxa"/>
            <w:tcBorders>
              <w:top w:val="nil"/>
              <w:left w:val="nil"/>
              <w:bottom w:val="nil"/>
              <w:right w:val="nil"/>
            </w:tcBorders>
            <w:shd w:val="clear" w:color="auto" w:fill="auto"/>
            <w:noWrap/>
            <w:vAlign w:val="bottom"/>
            <w:hideMark/>
          </w:tcPr>
          <w:p w14:paraId="6E4DD506" w14:textId="77777777" w:rsidR="00E93CB9" w:rsidRPr="00E93CB9" w:rsidRDefault="00E93CB9" w:rsidP="00C95230">
            <w:pPr>
              <w:spacing w:after="0" w:line="240" w:lineRule="auto"/>
              <w:jc w:val="right"/>
              <w:rPr>
                <w:rFonts w:ascii="Arial" w:hAnsi="Arial" w:cs="Arial"/>
                <w:b/>
                <w:bCs/>
                <w:sz w:val="16"/>
                <w:szCs w:val="16"/>
              </w:rPr>
            </w:pPr>
          </w:p>
        </w:tc>
        <w:tc>
          <w:tcPr>
            <w:tcW w:w="856" w:type="dxa"/>
            <w:tcBorders>
              <w:top w:val="nil"/>
              <w:left w:val="nil"/>
              <w:bottom w:val="single" w:sz="4" w:space="0" w:color="auto"/>
              <w:right w:val="nil"/>
            </w:tcBorders>
            <w:shd w:val="clear" w:color="auto" w:fill="auto"/>
            <w:noWrap/>
            <w:vAlign w:val="bottom"/>
            <w:hideMark/>
          </w:tcPr>
          <w:p w14:paraId="3AF241D7" w14:textId="7C9753D7"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683</w:t>
            </w:r>
          </w:p>
        </w:tc>
        <w:tc>
          <w:tcPr>
            <w:tcW w:w="856" w:type="dxa"/>
            <w:tcBorders>
              <w:top w:val="nil"/>
              <w:left w:val="nil"/>
              <w:bottom w:val="single" w:sz="4" w:space="0" w:color="auto"/>
              <w:right w:val="nil"/>
            </w:tcBorders>
            <w:shd w:val="clear" w:color="000000" w:fill="E6E6E6"/>
            <w:noWrap/>
            <w:vAlign w:val="bottom"/>
            <w:hideMark/>
          </w:tcPr>
          <w:p w14:paraId="7AD495EA" w14:textId="7955527E"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7,866</w:t>
            </w:r>
          </w:p>
        </w:tc>
        <w:tc>
          <w:tcPr>
            <w:tcW w:w="848" w:type="dxa"/>
            <w:tcBorders>
              <w:top w:val="nil"/>
              <w:left w:val="nil"/>
              <w:bottom w:val="single" w:sz="4" w:space="0" w:color="auto"/>
              <w:right w:val="nil"/>
            </w:tcBorders>
            <w:shd w:val="clear" w:color="auto" w:fill="auto"/>
            <w:noWrap/>
            <w:vAlign w:val="bottom"/>
            <w:hideMark/>
          </w:tcPr>
          <w:p w14:paraId="488836C8" w14:textId="594A9652"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w:t>
            </w:r>
          </w:p>
        </w:tc>
        <w:tc>
          <w:tcPr>
            <w:tcW w:w="848" w:type="dxa"/>
            <w:tcBorders>
              <w:top w:val="nil"/>
              <w:left w:val="nil"/>
              <w:bottom w:val="single" w:sz="4" w:space="0" w:color="auto"/>
              <w:right w:val="nil"/>
            </w:tcBorders>
            <w:shd w:val="clear" w:color="000000" w:fill="E6E6E6"/>
            <w:noWrap/>
            <w:vAlign w:val="bottom"/>
            <w:hideMark/>
          </w:tcPr>
          <w:p w14:paraId="2CAA6B67" w14:textId="1D75AD05" w:rsidR="00E93CB9" w:rsidRPr="00E93CB9" w:rsidRDefault="00E93CB9" w:rsidP="00C95230">
            <w:pPr>
              <w:spacing w:after="0" w:line="240" w:lineRule="auto"/>
              <w:jc w:val="right"/>
              <w:rPr>
                <w:rFonts w:ascii="Arial" w:hAnsi="Arial" w:cs="Arial"/>
                <w:b/>
                <w:bCs/>
                <w:color w:val="000000"/>
                <w:sz w:val="16"/>
                <w:szCs w:val="16"/>
              </w:rPr>
            </w:pPr>
            <w:r w:rsidRPr="00E93CB9">
              <w:rPr>
                <w:rFonts w:ascii="Arial" w:hAnsi="Arial" w:cs="Arial"/>
                <w:b/>
                <w:bCs/>
                <w:color w:val="000000"/>
                <w:sz w:val="16"/>
                <w:szCs w:val="16"/>
              </w:rPr>
              <w:t>-</w:t>
            </w:r>
          </w:p>
        </w:tc>
      </w:tr>
      <w:tr w:rsidR="00E93CB9" w:rsidRPr="00E93CB9" w14:paraId="58A0A20B" w14:textId="77777777" w:rsidTr="00307BC3">
        <w:trPr>
          <w:trHeight w:val="204"/>
        </w:trPr>
        <w:tc>
          <w:tcPr>
            <w:tcW w:w="3036" w:type="dxa"/>
            <w:tcBorders>
              <w:top w:val="nil"/>
              <w:left w:val="nil"/>
              <w:bottom w:val="nil"/>
              <w:right w:val="nil"/>
            </w:tcBorders>
            <w:shd w:val="clear" w:color="auto" w:fill="auto"/>
            <w:noWrap/>
            <w:vAlign w:val="bottom"/>
            <w:hideMark/>
          </w:tcPr>
          <w:p w14:paraId="5BC18306" w14:textId="76EE79D0" w:rsidR="00E93CB9" w:rsidRPr="00E93CB9" w:rsidRDefault="00E93CB9" w:rsidP="007B536D">
            <w:pPr>
              <w:spacing w:after="0" w:line="240" w:lineRule="auto"/>
              <w:jc w:val="left"/>
              <w:rPr>
                <w:rFonts w:ascii="Arial" w:hAnsi="Arial" w:cs="Arial"/>
                <w:b/>
                <w:bCs/>
                <w:sz w:val="16"/>
                <w:szCs w:val="16"/>
              </w:rPr>
            </w:pPr>
            <w:r w:rsidRPr="00E93CB9">
              <w:rPr>
                <w:rFonts w:ascii="Arial" w:hAnsi="Arial" w:cs="Arial"/>
                <w:b/>
                <w:bCs/>
                <w:sz w:val="16"/>
                <w:szCs w:val="16"/>
              </w:rPr>
              <w:t xml:space="preserve">Total </w:t>
            </w:r>
            <w:r w:rsidR="007B536D">
              <w:rPr>
                <w:rFonts w:ascii="Arial" w:hAnsi="Arial" w:cs="Arial"/>
                <w:b/>
                <w:bCs/>
                <w:sz w:val="16"/>
                <w:szCs w:val="16"/>
              </w:rPr>
              <w:t>payment</w:t>
            </w:r>
            <w:r w:rsidRPr="00E93CB9">
              <w:rPr>
                <w:rFonts w:ascii="Arial" w:hAnsi="Arial" w:cs="Arial"/>
                <w:b/>
                <w:bCs/>
                <w:sz w:val="16"/>
                <w:szCs w:val="16"/>
              </w:rPr>
              <w:t xml:space="preserve"> measures</w:t>
            </w:r>
          </w:p>
        </w:tc>
        <w:tc>
          <w:tcPr>
            <w:tcW w:w="856" w:type="dxa"/>
            <w:tcBorders>
              <w:top w:val="nil"/>
              <w:left w:val="nil"/>
              <w:bottom w:val="nil"/>
              <w:right w:val="nil"/>
            </w:tcBorders>
            <w:shd w:val="clear" w:color="auto" w:fill="auto"/>
            <w:noWrap/>
            <w:vAlign w:val="bottom"/>
            <w:hideMark/>
          </w:tcPr>
          <w:p w14:paraId="29CC584B" w14:textId="77777777" w:rsidR="00E93CB9" w:rsidRPr="00E93CB9" w:rsidRDefault="00E93CB9" w:rsidP="00C95230">
            <w:pPr>
              <w:spacing w:after="0" w:line="240" w:lineRule="auto"/>
              <w:jc w:val="right"/>
              <w:rPr>
                <w:rFonts w:ascii="Arial" w:hAnsi="Arial" w:cs="Arial"/>
                <w:b/>
                <w:bCs/>
                <w:sz w:val="16"/>
                <w:szCs w:val="16"/>
              </w:rPr>
            </w:pPr>
          </w:p>
        </w:tc>
        <w:tc>
          <w:tcPr>
            <w:tcW w:w="856" w:type="dxa"/>
            <w:tcBorders>
              <w:top w:val="single" w:sz="4" w:space="0" w:color="auto"/>
              <w:left w:val="nil"/>
              <w:bottom w:val="nil"/>
              <w:right w:val="nil"/>
            </w:tcBorders>
            <w:shd w:val="clear" w:color="auto" w:fill="auto"/>
            <w:noWrap/>
            <w:vAlign w:val="bottom"/>
            <w:hideMark/>
          </w:tcPr>
          <w:p w14:paraId="1F640A4B" w14:textId="77777777" w:rsidR="00E93CB9" w:rsidRPr="00E93CB9" w:rsidRDefault="00E93CB9" w:rsidP="00C95230">
            <w:pPr>
              <w:spacing w:after="0" w:line="240" w:lineRule="auto"/>
              <w:jc w:val="right"/>
              <w:rPr>
                <w:rFonts w:ascii="Times New Roman" w:hAnsi="Times New Roman"/>
              </w:rPr>
            </w:pPr>
          </w:p>
        </w:tc>
        <w:tc>
          <w:tcPr>
            <w:tcW w:w="856" w:type="dxa"/>
            <w:tcBorders>
              <w:top w:val="single" w:sz="4" w:space="0" w:color="auto"/>
              <w:left w:val="nil"/>
              <w:bottom w:val="nil"/>
              <w:right w:val="nil"/>
            </w:tcBorders>
            <w:shd w:val="clear" w:color="000000" w:fill="E6E6E6"/>
            <w:noWrap/>
            <w:vAlign w:val="bottom"/>
            <w:hideMark/>
          </w:tcPr>
          <w:p w14:paraId="5BEB98F1" w14:textId="467B5B81" w:rsidR="00E93CB9" w:rsidRPr="00E93CB9" w:rsidRDefault="00E93CB9" w:rsidP="00C95230">
            <w:pPr>
              <w:spacing w:after="0" w:line="240" w:lineRule="auto"/>
              <w:jc w:val="right"/>
              <w:rPr>
                <w:rFonts w:ascii="Arial" w:hAnsi="Arial" w:cs="Arial"/>
                <w:sz w:val="16"/>
                <w:szCs w:val="16"/>
              </w:rPr>
            </w:pPr>
          </w:p>
        </w:tc>
        <w:tc>
          <w:tcPr>
            <w:tcW w:w="848" w:type="dxa"/>
            <w:tcBorders>
              <w:top w:val="single" w:sz="4" w:space="0" w:color="auto"/>
              <w:left w:val="nil"/>
              <w:bottom w:val="nil"/>
              <w:right w:val="nil"/>
            </w:tcBorders>
            <w:shd w:val="clear" w:color="auto" w:fill="auto"/>
            <w:noWrap/>
            <w:vAlign w:val="bottom"/>
            <w:hideMark/>
          </w:tcPr>
          <w:p w14:paraId="78572A24" w14:textId="77777777" w:rsidR="00E93CB9" w:rsidRPr="00E93CB9" w:rsidRDefault="00E93CB9" w:rsidP="00C95230">
            <w:pPr>
              <w:spacing w:after="0" w:line="240" w:lineRule="auto"/>
              <w:jc w:val="right"/>
              <w:rPr>
                <w:rFonts w:ascii="Arial" w:hAnsi="Arial" w:cs="Arial"/>
                <w:sz w:val="16"/>
                <w:szCs w:val="16"/>
              </w:rPr>
            </w:pPr>
          </w:p>
        </w:tc>
        <w:tc>
          <w:tcPr>
            <w:tcW w:w="848" w:type="dxa"/>
            <w:tcBorders>
              <w:top w:val="single" w:sz="4" w:space="0" w:color="auto"/>
              <w:left w:val="nil"/>
              <w:bottom w:val="nil"/>
              <w:right w:val="nil"/>
            </w:tcBorders>
            <w:shd w:val="clear" w:color="000000" w:fill="E6E6E6"/>
            <w:noWrap/>
            <w:vAlign w:val="bottom"/>
            <w:hideMark/>
          </w:tcPr>
          <w:p w14:paraId="42F8AA0E" w14:textId="057230AB" w:rsidR="00E93CB9" w:rsidRPr="00E93CB9" w:rsidRDefault="00E93CB9" w:rsidP="00C95230">
            <w:pPr>
              <w:spacing w:after="0" w:line="240" w:lineRule="auto"/>
              <w:jc w:val="right"/>
              <w:rPr>
                <w:rFonts w:ascii="Arial" w:hAnsi="Arial" w:cs="Arial"/>
                <w:color w:val="000000"/>
                <w:sz w:val="16"/>
                <w:szCs w:val="16"/>
              </w:rPr>
            </w:pPr>
          </w:p>
        </w:tc>
      </w:tr>
      <w:tr w:rsidR="00E93CB9" w:rsidRPr="00E93CB9" w14:paraId="3F05EF3A" w14:textId="77777777" w:rsidTr="00E93CB9">
        <w:trPr>
          <w:trHeight w:val="204"/>
        </w:trPr>
        <w:tc>
          <w:tcPr>
            <w:tcW w:w="3036" w:type="dxa"/>
            <w:tcBorders>
              <w:top w:val="nil"/>
              <w:left w:val="nil"/>
              <w:bottom w:val="nil"/>
              <w:right w:val="nil"/>
            </w:tcBorders>
            <w:shd w:val="clear" w:color="auto" w:fill="auto"/>
            <w:noWrap/>
            <w:vAlign w:val="bottom"/>
            <w:hideMark/>
          </w:tcPr>
          <w:p w14:paraId="25755A5D" w14:textId="6C1293CA" w:rsidR="00E93CB9" w:rsidRPr="00E93CB9" w:rsidRDefault="008863D9" w:rsidP="00C95230">
            <w:pPr>
              <w:spacing w:after="0" w:line="240" w:lineRule="auto"/>
              <w:ind w:left="113"/>
              <w:jc w:val="left"/>
              <w:rPr>
                <w:rFonts w:ascii="Arial" w:hAnsi="Arial" w:cs="Arial"/>
                <w:sz w:val="16"/>
                <w:szCs w:val="16"/>
              </w:rPr>
            </w:pPr>
            <w:r>
              <w:rPr>
                <w:rFonts w:ascii="Arial" w:hAnsi="Arial" w:cs="Arial"/>
                <w:sz w:val="16"/>
                <w:szCs w:val="16"/>
              </w:rPr>
              <w:t>Department</w:t>
            </w:r>
            <w:r w:rsidR="00E93CB9" w:rsidRPr="00E93CB9">
              <w:rPr>
                <w:rFonts w:ascii="Arial" w:hAnsi="Arial" w:cs="Arial"/>
                <w:sz w:val="16"/>
                <w:szCs w:val="16"/>
              </w:rPr>
              <w:t>al</w:t>
            </w:r>
          </w:p>
        </w:tc>
        <w:tc>
          <w:tcPr>
            <w:tcW w:w="856" w:type="dxa"/>
            <w:tcBorders>
              <w:top w:val="nil"/>
              <w:left w:val="nil"/>
              <w:bottom w:val="nil"/>
              <w:right w:val="nil"/>
            </w:tcBorders>
            <w:shd w:val="clear" w:color="auto" w:fill="auto"/>
            <w:noWrap/>
            <w:vAlign w:val="bottom"/>
            <w:hideMark/>
          </w:tcPr>
          <w:p w14:paraId="22185783" w14:textId="77777777" w:rsidR="00E93CB9" w:rsidRPr="00E93CB9" w:rsidRDefault="00E93CB9" w:rsidP="00C95230">
            <w:pPr>
              <w:spacing w:after="0" w:line="240" w:lineRule="auto"/>
              <w:ind w:firstLineChars="100" w:firstLine="160"/>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1AE1F922" w14:textId="2046152A"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683</w:t>
            </w:r>
          </w:p>
        </w:tc>
        <w:tc>
          <w:tcPr>
            <w:tcW w:w="856" w:type="dxa"/>
            <w:tcBorders>
              <w:top w:val="nil"/>
              <w:left w:val="nil"/>
              <w:bottom w:val="nil"/>
              <w:right w:val="nil"/>
            </w:tcBorders>
            <w:shd w:val="clear" w:color="000000" w:fill="E6E6E6"/>
            <w:noWrap/>
            <w:vAlign w:val="bottom"/>
            <w:hideMark/>
          </w:tcPr>
          <w:p w14:paraId="6A1F5E32" w14:textId="70D24BDE" w:rsidR="00E93CB9" w:rsidRPr="00E93CB9" w:rsidRDefault="00CA4DBE" w:rsidP="00C95230">
            <w:pPr>
              <w:spacing w:after="0" w:line="240" w:lineRule="auto"/>
              <w:jc w:val="right"/>
              <w:rPr>
                <w:rFonts w:ascii="Arial" w:hAnsi="Arial" w:cs="Arial"/>
                <w:sz w:val="16"/>
                <w:szCs w:val="16"/>
              </w:rPr>
            </w:pPr>
            <w:r>
              <w:rPr>
                <w:rFonts w:ascii="Arial" w:hAnsi="Arial" w:cs="Arial"/>
                <w:sz w:val="16"/>
                <w:szCs w:val="16"/>
              </w:rPr>
              <w:t>7,8</w:t>
            </w:r>
            <w:r w:rsidR="00E93CB9" w:rsidRPr="00E93CB9">
              <w:rPr>
                <w:rFonts w:ascii="Arial" w:hAnsi="Arial" w:cs="Arial"/>
                <w:sz w:val="16"/>
                <w:szCs w:val="16"/>
              </w:rPr>
              <w:t>66</w:t>
            </w:r>
          </w:p>
        </w:tc>
        <w:tc>
          <w:tcPr>
            <w:tcW w:w="848" w:type="dxa"/>
            <w:tcBorders>
              <w:top w:val="nil"/>
              <w:left w:val="nil"/>
              <w:bottom w:val="nil"/>
              <w:right w:val="nil"/>
            </w:tcBorders>
            <w:shd w:val="clear" w:color="auto" w:fill="auto"/>
            <w:noWrap/>
            <w:vAlign w:val="bottom"/>
            <w:hideMark/>
          </w:tcPr>
          <w:p w14:paraId="506DA3FE" w14:textId="69ED471D" w:rsidR="00E93CB9" w:rsidRPr="00E93CB9" w:rsidRDefault="00E93CB9" w:rsidP="00C95230">
            <w:pPr>
              <w:spacing w:after="0" w:line="240" w:lineRule="auto"/>
              <w:jc w:val="right"/>
              <w:rPr>
                <w:rFonts w:ascii="Arial" w:hAnsi="Arial" w:cs="Arial"/>
                <w:sz w:val="16"/>
                <w:szCs w:val="16"/>
              </w:rPr>
            </w:pPr>
            <w:r w:rsidRPr="00E93CB9">
              <w:rPr>
                <w:rFonts w:ascii="Arial" w:hAnsi="Arial" w:cs="Arial"/>
                <w:sz w:val="16"/>
                <w:szCs w:val="16"/>
              </w:rPr>
              <w:t>-</w:t>
            </w:r>
          </w:p>
        </w:tc>
        <w:tc>
          <w:tcPr>
            <w:tcW w:w="848" w:type="dxa"/>
            <w:tcBorders>
              <w:top w:val="nil"/>
              <w:left w:val="nil"/>
              <w:bottom w:val="nil"/>
              <w:right w:val="nil"/>
            </w:tcBorders>
            <w:shd w:val="clear" w:color="000000" w:fill="E6E6E6"/>
            <w:noWrap/>
            <w:vAlign w:val="bottom"/>
            <w:hideMark/>
          </w:tcPr>
          <w:p w14:paraId="19391C78" w14:textId="4ECE1FB1" w:rsidR="00E93CB9" w:rsidRPr="00E93CB9" w:rsidRDefault="00E93CB9" w:rsidP="00C95230">
            <w:pPr>
              <w:spacing w:after="0" w:line="240" w:lineRule="auto"/>
              <w:jc w:val="right"/>
              <w:rPr>
                <w:rFonts w:ascii="Arial" w:hAnsi="Arial" w:cs="Arial"/>
                <w:color w:val="000000"/>
                <w:sz w:val="16"/>
                <w:szCs w:val="16"/>
              </w:rPr>
            </w:pPr>
            <w:r w:rsidRPr="00E93CB9">
              <w:rPr>
                <w:rFonts w:ascii="Arial" w:hAnsi="Arial" w:cs="Arial"/>
                <w:color w:val="000000"/>
                <w:sz w:val="16"/>
                <w:szCs w:val="16"/>
              </w:rPr>
              <w:t>-</w:t>
            </w:r>
          </w:p>
        </w:tc>
      </w:tr>
      <w:tr w:rsidR="00E93CB9" w:rsidRPr="00E93CB9" w14:paraId="1E7E73B3" w14:textId="77777777" w:rsidTr="00E93CB9">
        <w:trPr>
          <w:trHeight w:val="204"/>
        </w:trPr>
        <w:tc>
          <w:tcPr>
            <w:tcW w:w="3036" w:type="dxa"/>
            <w:tcBorders>
              <w:top w:val="nil"/>
              <w:left w:val="nil"/>
              <w:bottom w:val="single" w:sz="4" w:space="0" w:color="auto"/>
              <w:right w:val="nil"/>
            </w:tcBorders>
            <w:shd w:val="clear" w:color="auto" w:fill="auto"/>
            <w:noWrap/>
            <w:vAlign w:val="bottom"/>
            <w:hideMark/>
          </w:tcPr>
          <w:p w14:paraId="61B7506C" w14:textId="77777777" w:rsidR="00E93CB9" w:rsidRPr="00E93CB9" w:rsidRDefault="00E93CB9" w:rsidP="00E93CB9">
            <w:pPr>
              <w:spacing w:after="0" w:line="240" w:lineRule="auto"/>
              <w:jc w:val="left"/>
              <w:rPr>
                <w:rFonts w:ascii="Arial" w:hAnsi="Arial" w:cs="Arial"/>
                <w:b/>
                <w:bCs/>
                <w:sz w:val="16"/>
                <w:szCs w:val="16"/>
              </w:rPr>
            </w:pPr>
            <w:r w:rsidRPr="00E93CB9">
              <w:rPr>
                <w:rFonts w:ascii="Arial" w:hAnsi="Arial" w:cs="Arial"/>
                <w:b/>
                <w:bCs/>
                <w:sz w:val="16"/>
                <w:szCs w:val="16"/>
              </w:rPr>
              <w:t>Total</w:t>
            </w:r>
          </w:p>
        </w:tc>
        <w:tc>
          <w:tcPr>
            <w:tcW w:w="856" w:type="dxa"/>
            <w:tcBorders>
              <w:top w:val="nil"/>
              <w:left w:val="nil"/>
              <w:bottom w:val="single" w:sz="4" w:space="0" w:color="auto"/>
              <w:right w:val="nil"/>
            </w:tcBorders>
            <w:shd w:val="clear" w:color="auto" w:fill="auto"/>
            <w:noWrap/>
            <w:vAlign w:val="bottom"/>
            <w:hideMark/>
          </w:tcPr>
          <w:p w14:paraId="50951C98" w14:textId="54A2A251" w:rsidR="00E93CB9" w:rsidRPr="00E93CB9" w:rsidRDefault="00E93CB9" w:rsidP="00C95230">
            <w:pPr>
              <w:spacing w:after="0" w:line="240" w:lineRule="auto"/>
              <w:jc w:val="right"/>
              <w:rPr>
                <w:rFonts w:ascii="Arial" w:hAnsi="Arial" w:cs="Arial"/>
                <w:b/>
                <w:bCs/>
                <w:sz w:val="16"/>
                <w:szCs w:val="16"/>
              </w:rPr>
            </w:pPr>
          </w:p>
        </w:tc>
        <w:tc>
          <w:tcPr>
            <w:tcW w:w="856" w:type="dxa"/>
            <w:tcBorders>
              <w:top w:val="nil"/>
              <w:left w:val="nil"/>
              <w:bottom w:val="single" w:sz="4" w:space="0" w:color="auto"/>
              <w:right w:val="nil"/>
            </w:tcBorders>
            <w:shd w:val="clear" w:color="auto" w:fill="auto"/>
            <w:noWrap/>
            <w:vAlign w:val="bottom"/>
            <w:hideMark/>
          </w:tcPr>
          <w:p w14:paraId="0376D980" w14:textId="1D254088"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683</w:t>
            </w:r>
          </w:p>
        </w:tc>
        <w:tc>
          <w:tcPr>
            <w:tcW w:w="856" w:type="dxa"/>
            <w:tcBorders>
              <w:top w:val="nil"/>
              <w:left w:val="nil"/>
              <w:bottom w:val="single" w:sz="4" w:space="0" w:color="auto"/>
              <w:right w:val="nil"/>
            </w:tcBorders>
            <w:shd w:val="clear" w:color="000000" w:fill="E6E6E6"/>
            <w:noWrap/>
            <w:vAlign w:val="bottom"/>
            <w:hideMark/>
          </w:tcPr>
          <w:p w14:paraId="0182B4A8" w14:textId="2EAD87F7" w:rsidR="00E93CB9" w:rsidRPr="00E93CB9" w:rsidRDefault="00CA4DBE" w:rsidP="00CA4DBE">
            <w:pPr>
              <w:spacing w:after="0" w:line="240" w:lineRule="auto"/>
              <w:jc w:val="right"/>
              <w:rPr>
                <w:rFonts w:ascii="Arial" w:hAnsi="Arial" w:cs="Arial"/>
                <w:b/>
                <w:bCs/>
                <w:sz w:val="16"/>
                <w:szCs w:val="16"/>
              </w:rPr>
            </w:pPr>
            <w:r>
              <w:rPr>
                <w:rFonts w:ascii="Arial" w:hAnsi="Arial" w:cs="Arial"/>
                <w:b/>
                <w:bCs/>
                <w:sz w:val="16"/>
                <w:szCs w:val="16"/>
              </w:rPr>
              <w:t>7,8</w:t>
            </w:r>
            <w:r w:rsidR="00E93CB9" w:rsidRPr="00E93CB9">
              <w:rPr>
                <w:rFonts w:ascii="Arial" w:hAnsi="Arial" w:cs="Arial"/>
                <w:b/>
                <w:bCs/>
                <w:sz w:val="16"/>
                <w:szCs w:val="16"/>
              </w:rPr>
              <w:t>66</w:t>
            </w:r>
          </w:p>
        </w:tc>
        <w:tc>
          <w:tcPr>
            <w:tcW w:w="848" w:type="dxa"/>
            <w:tcBorders>
              <w:top w:val="nil"/>
              <w:left w:val="nil"/>
              <w:bottom w:val="single" w:sz="4" w:space="0" w:color="auto"/>
              <w:right w:val="nil"/>
            </w:tcBorders>
            <w:shd w:val="clear" w:color="auto" w:fill="auto"/>
            <w:noWrap/>
            <w:vAlign w:val="bottom"/>
            <w:hideMark/>
          </w:tcPr>
          <w:p w14:paraId="0E594A81" w14:textId="083AA339" w:rsidR="00E93CB9" w:rsidRPr="00E93CB9" w:rsidRDefault="00E93CB9" w:rsidP="00C95230">
            <w:pPr>
              <w:spacing w:after="0" w:line="240" w:lineRule="auto"/>
              <w:jc w:val="right"/>
              <w:rPr>
                <w:rFonts w:ascii="Arial" w:hAnsi="Arial" w:cs="Arial"/>
                <w:b/>
                <w:bCs/>
                <w:sz w:val="16"/>
                <w:szCs w:val="16"/>
              </w:rPr>
            </w:pPr>
            <w:r w:rsidRPr="00E93CB9">
              <w:rPr>
                <w:rFonts w:ascii="Arial" w:hAnsi="Arial" w:cs="Arial"/>
                <w:b/>
                <w:bCs/>
                <w:sz w:val="16"/>
                <w:szCs w:val="16"/>
              </w:rPr>
              <w:t>-</w:t>
            </w:r>
          </w:p>
        </w:tc>
        <w:tc>
          <w:tcPr>
            <w:tcW w:w="848" w:type="dxa"/>
            <w:tcBorders>
              <w:top w:val="nil"/>
              <w:left w:val="nil"/>
              <w:bottom w:val="single" w:sz="4" w:space="0" w:color="auto"/>
              <w:right w:val="nil"/>
            </w:tcBorders>
            <w:shd w:val="clear" w:color="000000" w:fill="E6E6E6"/>
            <w:noWrap/>
            <w:vAlign w:val="bottom"/>
            <w:hideMark/>
          </w:tcPr>
          <w:p w14:paraId="128BF68E" w14:textId="4C9481C5" w:rsidR="00E93CB9" w:rsidRPr="00E93CB9" w:rsidRDefault="00E93CB9" w:rsidP="00C95230">
            <w:pPr>
              <w:spacing w:after="0" w:line="240" w:lineRule="auto"/>
              <w:jc w:val="right"/>
              <w:rPr>
                <w:rFonts w:ascii="Arial" w:hAnsi="Arial" w:cs="Arial"/>
                <w:b/>
                <w:bCs/>
                <w:color w:val="000000"/>
                <w:sz w:val="16"/>
                <w:szCs w:val="16"/>
              </w:rPr>
            </w:pPr>
            <w:r w:rsidRPr="00E93CB9">
              <w:rPr>
                <w:rFonts w:ascii="Arial" w:hAnsi="Arial" w:cs="Arial"/>
                <w:b/>
                <w:bCs/>
                <w:color w:val="000000"/>
                <w:sz w:val="16"/>
                <w:szCs w:val="16"/>
              </w:rPr>
              <w:t>-</w:t>
            </w:r>
          </w:p>
        </w:tc>
      </w:tr>
    </w:tbl>
    <w:p w14:paraId="2261F392" w14:textId="77777777" w:rsidR="004B202A" w:rsidRDefault="004B202A" w:rsidP="00D538B1">
      <w:pPr>
        <w:pStyle w:val="ChartandTableFootnote"/>
        <w:tabs>
          <w:tab w:val="clear" w:pos="454"/>
          <w:tab w:val="left" w:pos="0"/>
        </w:tabs>
        <w:spacing w:before="60"/>
        <w:ind w:left="0" w:firstLine="0"/>
        <w:jc w:val="left"/>
      </w:pPr>
      <w:r>
        <w:t>Figures displayed as a negative (-) represent a decrease in funds and a positive (+) represent an increase in funds.</w:t>
      </w:r>
    </w:p>
    <w:p w14:paraId="055B28B0" w14:textId="283173E3" w:rsidR="00914885" w:rsidRPr="001E1BB6" w:rsidRDefault="00914885" w:rsidP="0030114B">
      <w:pPr>
        <w:pStyle w:val="Heading3NLA"/>
      </w:pPr>
      <w:bookmarkStart w:id="507" w:name="_Toc93405195"/>
      <w:bookmarkStart w:id="508" w:name="_Toc94040070"/>
      <w:r>
        <w:t>1.4</w:t>
      </w:r>
      <w:r>
        <w:tab/>
        <w:t>Additional estimates, resourcing and v</w:t>
      </w:r>
      <w:r w:rsidRPr="00597122">
        <w:t>ariations</w:t>
      </w:r>
      <w:r>
        <w:t xml:space="preserve"> to outcomes</w:t>
      </w:r>
      <w:bookmarkEnd w:id="507"/>
      <w:bookmarkEnd w:id="508"/>
    </w:p>
    <w:p w14:paraId="5BC11E1E" w14:textId="5E282AB6" w:rsidR="004B202A" w:rsidRPr="00312E93" w:rsidRDefault="004B202A" w:rsidP="004B202A">
      <w:pPr>
        <w:jc w:val="left"/>
      </w:pPr>
      <w:r w:rsidRPr="00D81F65">
        <w:t>The following table detail</w:t>
      </w:r>
      <w:r w:rsidR="00DB0DF9">
        <w:t>s</w:t>
      </w:r>
      <w:r w:rsidRPr="00D81F65">
        <w:t xml:space="preserve"> the changes to the resourcing for </w:t>
      </w:r>
      <w:r>
        <w:t>the entity</w:t>
      </w:r>
      <w:r w:rsidRPr="00D81F65">
        <w:t xml:space="preserve"> at Additional Estimates, by outcome. Table 1.3 details the additional estimates resulting from new measures and other variations since the </w:t>
      </w:r>
      <w:r>
        <w:t>2021-22</w:t>
      </w:r>
      <w:r w:rsidRPr="00D81F65">
        <w:t xml:space="preserve"> Budget in Appropriation Bills Nos. 3 and 4. </w:t>
      </w:r>
    </w:p>
    <w:p w14:paraId="07D8D5F5" w14:textId="195666DC" w:rsidR="004B202A" w:rsidRDefault="004B202A" w:rsidP="00D07110">
      <w:pPr>
        <w:pStyle w:val="TableHeading"/>
      </w:pPr>
      <w:r w:rsidRPr="00D81F65">
        <w:t xml:space="preserve">Table 1.3: Additional estimates and other variations to outcomes since </w:t>
      </w:r>
      <w:r>
        <w:t>202</w:t>
      </w:r>
      <w:r>
        <w:rPr>
          <w:lang w:val="en-GB"/>
        </w:rPr>
        <w:t>1</w:t>
      </w:r>
      <w:r w:rsidRPr="00D81F65">
        <w:rPr>
          <w:rFonts w:hint="eastAsia"/>
        </w:rPr>
        <w:t>–</w:t>
      </w:r>
      <w:r>
        <w:t>2</w:t>
      </w:r>
      <w:r>
        <w:rPr>
          <w:lang w:val="en-GB"/>
        </w:rPr>
        <w:t>2</w:t>
      </w:r>
      <w:r w:rsidRPr="00D81F65">
        <w:t xml:space="preserve"> Budget</w:t>
      </w:r>
    </w:p>
    <w:tbl>
      <w:tblPr>
        <w:tblW w:w="7255" w:type="dxa"/>
        <w:tblLook w:val="04A0" w:firstRow="1" w:lastRow="0" w:firstColumn="1" w:lastColumn="0" w:noHBand="0" w:noVBand="1"/>
      </w:tblPr>
      <w:tblGrid>
        <w:gridCol w:w="2835"/>
        <w:gridCol w:w="993"/>
        <w:gridCol w:w="859"/>
        <w:gridCol w:w="856"/>
        <w:gridCol w:w="856"/>
        <w:gridCol w:w="856"/>
      </w:tblGrid>
      <w:tr w:rsidR="00C95230" w:rsidRPr="00C95230" w14:paraId="1348D535" w14:textId="77777777" w:rsidTr="00BD2516">
        <w:trPr>
          <w:trHeight w:val="56"/>
        </w:trPr>
        <w:tc>
          <w:tcPr>
            <w:tcW w:w="2835" w:type="dxa"/>
            <w:tcBorders>
              <w:top w:val="single" w:sz="4" w:space="0" w:color="auto"/>
              <w:left w:val="nil"/>
              <w:bottom w:val="nil"/>
              <w:right w:val="nil"/>
            </w:tcBorders>
            <w:shd w:val="clear" w:color="auto" w:fill="auto"/>
            <w:noWrap/>
            <w:hideMark/>
          </w:tcPr>
          <w:p w14:paraId="6FB02096" w14:textId="77777777" w:rsidR="00C95230" w:rsidRPr="00C95230" w:rsidRDefault="00C95230" w:rsidP="00C95230">
            <w:pPr>
              <w:spacing w:after="0" w:line="240" w:lineRule="auto"/>
              <w:jc w:val="left"/>
              <w:rPr>
                <w:rFonts w:ascii="Arial" w:hAnsi="Arial" w:cs="Arial"/>
                <w:color w:val="000000"/>
                <w:sz w:val="16"/>
                <w:szCs w:val="16"/>
              </w:rPr>
            </w:pPr>
            <w:r w:rsidRPr="00C95230">
              <w:rPr>
                <w:rFonts w:ascii="Arial" w:hAnsi="Arial" w:cs="Arial"/>
                <w:color w:val="000000"/>
                <w:sz w:val="16"/>
                <w:szCs w:val="16"/>
              </w:rPr>
              <w:t> </w:t>
            </w:r>
          </w:p>
        </w:tc>
        <w:tc>
          <w:tcPr>
            <w:tcW w:w="993" w:type="dxa"/>
            <w:tcBorders>
              <w:top w:val="single" w:sz="4" w:space="0" w:color="auto"/>
              <w:left w:val="nil"/>
              <w:bottom w:val="single" w:sz="4" w:space="0" w:color="auto"/>
              <w:right w:val="nil"/>
            </w:tcBorders>
            <w:shd w:val="clear" w:color="auto" w:fill="auto"/>
            <w:hideMark/>
          </w:tcPr>
          <w:p w14:paraId="52DF1BF8" w14:textId="77777777" w:rsidR="00C95230" w:rsidRPr="00C95230" w:rsidRDefault="00C95230" w:rsidP="00C95230">
            <w:pPr>
              <w:spacing w:after="0" w:line="240" w:lineRule="auto"/>
              <w:jc w:val="center"/>
              <w:rPr>
                <w:rFonts w:ascii="Arial" w:hAnsi="Arial" w:cs="Arial"/>
                <w:color w:val="000000"/>
                <w:sz w:val="16"/>
                <w:szCs w:val="16"/>
              </w:rPr>
            </w:pPr>
            <w:r w:rsidRPr="00C95230">
              <w:rPr>
                <w:rFonts w:ascii="Arial" w:hAnsi="Arial" w:cs="Arial"/>
                <w:color w:val="000000"/>
                <w:sz w:val="16"/>
                <w:szCs w:val="16"/>
              </w:rPr>
              <w:t>Program impacted</w:t>
            </w:r>
          </w:p>
        </w:tc>
        <w:tc>
          <w:tcPr>
            <w:tcW w:w="859" w:type="dxa"/>
            <w:tcBorders>
              <w:top w:val="single" w:sz="4" w:space="0" w:color="auto"/>
              <w:left w:val="nil"/>
              <w:bottom w:val="single" w:sz="4" w:space="0" w:color="auto"/>
              <w:right w:val="nil"/>
            </w:tcBorders>
            <w:shd w:val="clear" w:color="000000" w:fill="E6E6E6"/>
            <w:hideMark/>
          </w:tcPr>
          <w:p w14:paraId="5440CE23" w14:textId="77777777" w:rsidR="00C95230" w:rsidRPr="00C95230" w:rsidRDefault="00C95230" w:rsidP="00C95230">
            <w:pPr>
              <w:spacing w:after="0" w:line="240" w:lineRule="auto"/>
              <w:jc w:val="right"/>
              <w:rPr>
                <w:rFonts w:ascii="Arial" w:hAnsi="Arial" w:cs="Arial"/>
                <w:sz w:val="16"/>
                <w:szCs w:val="16"/>
              </w:rPr>
            </w:pPr>
            <w:r w:rsidRPr="00C95230">
              <w:rPr>
                <w:rFonts w:ascii="Arial" w:hAnsi="Arial" w:cs="Arial"/>
                <w:sz w:val="16"/>
                <w:szCs w:val="16"/>
              </w:rPr>
              <w:t>2021-22</w:t>
            </w:r>
            <w:r w:rsidRPr="00C95230">
              <w:rPr>
                <w:rFonts w:ascii="Arial" w:hAnsi="Arial" w:cs="Arial"/>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5530F4C6" w14:textId="77777777"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2022-23</w:t>
            </w:r>
            <w:r w:rsidRPr="00C95230">
              <w:rPr>
                <w:rFonts w:ascii="Arial" w:hAnsi="Arial" w:cs="Arial"/>
                <w:color w:val="000000"/>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522B2486" w14:textId="77777777"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2023-24</w:t>
            </w:r>
            <w:r w:rsidRPr="00C95230">
              <w:rPr>
                <w:rFonts w:ascii="Arial" w:hAnsi="Arial" w:cs="Arial"/>
                <w:color w:val="000000"/>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5C25054A" w14:textId="77777777"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2024-25</w:t>
            </w:r>
            <w:r w:rsidRPr="00C95230">
              <w:rPr>
                <w:rFonts w:ascii="Arial" w:hAnsi="Arial" w:cs="Arial"/>
                <w:color w:val="000000"/>
                <w:sz w:val="16"/>
                <w:szCs w:val="16"/>
              </w:rPr>
              <w:br/>
              <w:t>$'000</w:t>
            </w:r>
          </w:p>
        </w:tc>
      </w:tr>
      <w:tr w:rsidR="00C95230" w:rsidRPr="00C95230" w14:paraId="22BC9FF6" w14:textId="77777777" w:rsidTr="00BD2516">
        <w:trPr>
          <w:trHeight w:val="204"/>
        </w:trPr>
        <w:tc>
          <w:tcPr>
            <w:tcW w:w="2835" w:type="dxa"/>
            <w:tcBorders>
              <w:top w:val="nil"/>
              <w:left w:val="nil"/>
              <w:bottom w:val="nil"/>
              <w:right w:val="nil"/>
            </w:tcBorders>
            <w:shd w:val="clear" w:color="auto" w:fill="auto"/>
            <w:noWrap/>
            <w:hideMark/>
          </w:tcPr>
          <w:p w14:paraId="6C280640" w14:textId="77777777" w:rsidR="00C95230" w:rsidRPr="00C95230" w:rsidRDefault="00C95230" w:rsidP="00C95230">
            <w:pPr>
              <w:spacing w:after="0" w:line="240" w:lineRule="auto"/>
              <w:jc w:val="left"/>
              <w:rPr>
                <w:rFonts w:ascii="Arial" w:hAnsi="Arial" w:cs="Arial"/>
                <w:b/>
                <w:bCs/>
                <w:color w:val="000000"/>
                <w:sz w:val="16"/>
                <w:szCs w:val="16"/>
              </w:rPr>
            </w:pPr>
            <w:r w:rsidRPr="00C95230">
              <w:rPr>
                <w:rFonts w:ascii="Arial" w:hAnsi="Arial" w:cs="Arial"/>
                <w:b/>
                <w:bCs/>
                <w:color w:val="000000"/>
                <w:sz w:val="16"/>
                <w:szCs w:val="16"/>
              </w:rPr>
              <w:t>Outcome 1</w:t>
            </w:r>
          </w:p>
        </w:tc>
        <w:tc>
          <w:tcPr>
            <w:tcW w:w="993" w:type="dxa"/>
            <w:tcBorders>
              <w:top w:val="nil"/>
              <w:left w:val="nil"/>
              <w:bottom w:val="nil"/>
              <w:right w:val="nil"/>
            </w:tcBorders>
            <w:shd w:val="clear" w:color="auto" w:fill="auto"/>
            <w:noWrap/>
            <w:vAlign w:val="bottom"/>
            <w:hideMark/>
          </w:tcPr>
          <w:p w14:paraId="5684C7B3" w14:textId="77777777" w:rsidR="00C95230" w:rsidRPr="00C95230" w:rsidRDefault="00C95230" w:rsidP="00C95230">
            <w:pPr>
              <w:spacing w:after="0" w:line="240" w:lineRule="auto"/>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hideMark/>
          </w:tcPr>
          <w:p w14:paraId="3EEE0102" w14:textId="7719F18B"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4BA9818B" w14:textId="77777777"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40DB86D7" w14:textId="77777777"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40D0BBAD" w14:textId="77777777" w:rsidR="00C95230" w:rsidRPr="00C95230" w:rsidRDefault="00C95230" w:rsidP="00C95230">
            <w:pPr>
              <w:spacing w:after="0" w:line="240" w:lineRule="auto"/>
              <w:jc w:val="right"/>
              <w:rPr>
                <w:rFonts w:ascii="Arial" w:hAnsi="Arial" w:cs="Arial"/>
                <w:sz w:val="16"/>
                <w:szCs w:val="16"/>
              </w:rPr>
            </w:pPr>
          </w:p>
        </w:tc>
      </w:tr>
      <w:tr w:rsidR="00C95230" w:rsidRPr="00C95230" w14:paraId="57D2AA49" w14:textId="77777777" w:rsidTr="00BD2516">
        <w:trPr>
          <w:trHeight w:val="204"/>
        </w:trPr>
        <w:tc>
          <w:tcPr>
            <w:tcW w:w="2835" w:type="dxa"/>
            <w:tcBorders>
              <w:top w:val="nil"/>
              <w:left w:val="nil"/>
              <w:bottom w:val="nil"/>
              <w:right w:val="nil"/>
            </w:tcBorders>
            <w:shd w:val="clear" w:color="auto" w:fill="auto"/>
            <w:hideMark/>
          </w:tcPr>
          <w:p w14:paraId="3951581D" w14:textId="24190989" w:rsidR="00C95230" w:rsidRPr="00C95230" w:rsidRDefault="008863D9" w:rsidP="00C95230">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C95230" w:rsidRPr="00C95230">
              <w:rPr>
                <w:rFonts w:ascii="Arial" w:hAnsi="Arial" w:cs="Arial"/>
                <w:b/>
                <w:bCs/>
                <w:color w:val="000000"/>
                <w:sz w:val="16"/>
                <w:szCs w:val="16"/>
              </w:rPr>
              <w:t xml:space="preserve">al </w:t>
            </w:r>
          </w:p>
        </w:tc>
        <w:tc>
          <w:tcPr>
            <w:tcW w:w="993" w:type="dxa"/>
            <w:tcBorders>
              <w:top w:val="nil"/>
              <w:left w:val="nil"/>
              <w:bottom w:val="nil"/>
              <w:right w:val="nil"/>
            </w:tcBorders>
            <w:shd w:val="clear" w:color="auto" w:fill="auto"/>
            <w:noWrap/>
            <w:vAlign w:val="bottom"/>
            <w:hideMark/>
          </w:tcPr>
          <w:p w14:paraId="00AE2FC6" w14:textId="77777777" w:rsidR="00C95230" w:rsidRPr="00C95230" w:rsidRDefault="00C95230" w:rsidP="00C95230">
            <w:pPr>
              <w:spacing w:after="0" w:line="240" w:lineRule="auto"/>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hideMark/>
          </w:tcPr>
          <w:p w14:paraId="356B6D3D" w14:textId="39545962"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754A7A60" w14:textId="77777777"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4545A98A" w14:textId="77777777"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1C85E5EE" w14:textId="77777777" w:rsidR="00C95230" w:rsidRPr="00C95230" w:rsidRDefault="00C95230" w:rsidP="00C95230">
            <w:pPr>
              <w:spacing w:after="0" w:line="240" w:lineRule="auto"/>
              <w:jc w:val="right"/>
              <w:rPr>
                <w:rFonts w:ascii="Arial" w:hAnsi="Arial" w:cs="Arial"/>
                <w:sz w:val="16"/>
                <w:szCs w:val="16"/>
              </w:rPr>
            </w:pPr>
          </w:p>
        </w:tc>
      </w:tr>
      <w:tr w:rsidR="00C95230" w:rsidRPr="00C95230" w14:paraId="75AB8406" w14:textId="77777777" w:rsidTr="00BD2516">
        <w:trPr>
          <w:trHeight w:val="204"/>
        </w:trPr>
        <w:tc>
          <w:tcPr>
            <w:tcW w:w="2835" w:type="dxa"/>
            <w:tcBorders>
              <w:top w:val="nil"/>
              <w:left w:val="nil"/>
              <w:bottom w:val="nil"/>
              <w:right w:val="nil"/>
            </w:tcBorders>
            <w:shd w:val="clear" w:color="auto" w:fill="auto"/>
            <w:noWrap/>
            <w:hideMark/>
          </w:tcPr>
          <w:p w14:paraId="47DB8FA8" w14:textId="77777777" w:rsidR="00C95230" w:rsidRPr="00C95230" w:rsidRDefault="00C95230" w:rsidP="00C95230">
            <w:pPr>
              <w:spacing w:after="0" w:line="240" w:lineRule="auto"/>
              <w:ind w:left="113"/>
              <w:jc w:val="left"/>
              <w:rPr>
                <w:rFonts w:ascii="Arial" w:hAnsi="Arial" w:cs="Arial"/>
                <w:b/>
                <w:bCs/>
                <w:color w:val="000000"/>
                <w:sz w:val="16"/>
                <w:szCs w:val="16"/>
              </w:rPr>
            </w:pPr>
            <w:r w:rsidRPr="00C95230">
              <w:rPr>
                <w:rFonts w:ascii="Arial" w:hAnsi="Arial" w:cs="Arial"/>
                <w:b/>
                <w:bCs/>
                <w:color w:val="000000"/>
                <w:sz w:val="16"/>
                <w:szCs w:val="16"/>
              </w:rPr>
              <w:t>Annual appropriations</w:t>
            </w:r>
          </w:p>
        </w:tc>
        <w:tc>
          <w:tcPr>
            <w:tcW w:w="993" w:type="dxa"/>
            <w:tcBorders>
              <w:top w:val="nil"/>
              <w:left w:val="nil"/>
              <w:bottom w:val="nil"/>
              <w:right w:val="nil"/>
            </w:tcBorders>
            <w:shd w:val="clear" w:color="auto" w:fill="auto"/>
            <w:noWrap/>
            <w:vAlign w:val="bottom"/>
            <w:hideMark/>
          </w:tcPr>
          <w:p w14:paraId="4D22F167" w14:textId="77777777" w:rsidR="00C95230" w:rsidRPr="00C95230" w:rsidRDefault="00C95230" w:rsidP="00C95230">
            <w:pPr>
              <w:spacing w:after="0" w:line="240" w:lineRule="auto"/>
              <w:ind w:firstLineChars="100" w:firstLine="160"/>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hideMark/>
          </w:tcPr>
          <w:p w14:paraId="5093E04C" w14:textId="73F5D00D"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5410A251" w14:textId="77777777"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1D2FEE0C" w14:textId="77777777"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52CBF60F" w14:textId="77777777" w:rsidR="00C95230" w:rsidRPr="00C95230" w:rsidRDefault="00C95230" w:rsidP="00C95230">
            <w:pPr>
              <w:spacing w:after="0" w:line="240" w:lineRule="auto"/>
              <w:jc w:val="right"/>
              <w:rPr>
                <w:rFonts w:ascii="Arial" w:hAnsi="Arial" w:cs="Arial"/>
                <w:sz w:val="16"/>
                <w:szCs w:val="16"/>
              </w:rPr>
            </w:pPr>
          </w:p>
        </w:tc>
      </w:tr>
      <w:tr w:rsidR="00DB0DF9" w:rsidRPr="00C95230" w14:paraId="17F9C0D3" w14:textId="77777777" w:rsidTr="00BD2516">
        <w:trPr>
          <w:trHeight w:val="204"/>
        </w:trPr>
        <w:tc>
          <w:tcPr>
            <w:tcW w:w="2835" w:type="dxa"/>
            <w:tcBorders>
              <w:top w:val="nil"/>
              <w:left w:val="nil"/>
              <w:bottom w:val="nil"/>
              <w:right w:val="nil"/>
            </w:tcBorders>
            <w:shd w:val="clear" w:color="auto" w:fill="auto"/>
            <w:noWrap/>
          </w:tcPr>
          <w:p w14:paraId="30FA1741" w14:textId="3BE548CD" w:rsidR="00DB0DF9" w:rsidRPr="00C95230" w:rsidRDefault="00DB0DF9" w:rsidP="00DB0DF9">
            <w:pPr>
              <w:spacing w:after="0" w:line="240" w:lineRule="auto"/>
              <w:ind w:left="227"/>
              <w:jc w:val="left"/>
              <w:rPr>
                <w:rFonts w:ascii="Arial" w:hAnsi="Arial" w:cs="Arial"/>
                <w:b/>
                <w:bCs/>
                <w:color w:val="000000"/>
                <w:sz w:val="16"/>
                <w:szCs w:val="16"/>
              </w:rPr>
            </w:pPr>
            <w:r>
              <w:rPr>
                <w:rFonts w:ascii="Arial" w:hAnsi="Arial" w:cs="Arial"/>
                <w:b/>
                <w:bCs/>
                <w:color w:val="000000"/>
                <w:sz w:val="16"/>
                <w:szCs w:val="16"/>
              </w:rPr>
              <w:t>Measures</w:t>
            </w:r>
          </w:p>
        </w:tc>
        <w:tc>
          <w:tcPr>
            <w:tcW w:w="993" w:type="dxa"/>
            <w:tcBorders>
              <w:top w:val="nil"/>
              <w:left w:val="nil"/>
              <w:bottom w:val="nil"/>
              <w:right w:val="nil"/>
            </w:tcBorders>
            <w:shd w:val="clear" w:color="auto" w:fill="auto"/>
            <w:noWrap/>
            <w:vAlign w:val="bottom"/>
          </w:tcPr>
          <w:p w14:paraId="055AE14C" w14:textId="77777777" w:rsidR="00DB0DF9" w:rsidRPr="00C95230" w:rsidRDefault="00DB0DF9" w:rsidP="00C95230">
            <w:pPr>
              <w:spacing w:after="0" w:line="240" w:lineRule="auto"/>
              <w:ind w:firstLineChars="100" w:firstLine="160"/>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tcPr>
          <w:p w14:paraId="0A81DB6F" w14:textId="77777777" w:rsidR="00DB0DF9" w:rsidRPr="00C95230" w:rsidRDefault="00DB0DF9"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tcPr>
          <w:p w14:paraId="32CBD4FE" w14:textId="77777777" w:rsidR="00DB0DF9" w:rsidRPr="00C95230" w:rsidRDefault="00DB0DF9"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tcPr>
          <w:p w14:paraId="50B6D96E" w14:textId="77777777" w:rsidR="00DB0DF9" w:rsidRPr="00C95230" w:rsidRDefault="00DB0DF9"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tcPr>
          <w:p w14:paraId="11C043E7" w14:textId="77777777" w:rsidR="00DB0DF9" w:rsidRPr="00C95230" w:rsidRDefault="00DB0DF9" w:rsidP="00C95230">
            <w:pPr>
              <w:spacing w:after="0" w:line="240" w:lineRule="auto"/>
              <w:jc w:val="right"/>
              <w:rPr>
                <w:rFonts w:ascii="Arial" w:hAnsi="Arial" w:cs="Arial"/>
                <w:sz w:val="16"/>
                <w:szCs w:val="16"/>
              </w:rPr>
            </w:pPr>
          </w:p>
        </w:tc>
      </w:tr>
      <w:tr w:rsidR="00C95230" w:rsidRPr="00C95230" w14:paraId="48D241CF" w14:textId="77777777" w:rsidTr="00BD2516">
        <w:trPr>
          <w:trHeight w:val="204"/>
        </w:trPr>
        <w:tc>
          <w:tcPr>
            <w:tcW w:w="2835" w:type="dxa"/>
            <w:tcBorders>
              <w:top w:val="nil"/>
              <w:left w:val="nil"/>
              <w:bottom w:val="nil"/>
              <w:right w:val="nil"/>
            </w:tcBorders>
            <w:shd w:val="clear" w:color="auto" w:fill="auto"/>
            <w:hideMark/>
          </w:tcPr>
          <w:p w14:paraId="4FF4CD92" w14:textId="77777777" w:rsidR="00C95230" w:rsidRPr="00C95230" w:rsidRDefault="00C95230" w:rsidP="00DB0DF9">
            <w:pPr>
              <w:spacing w:after="0" w:line="240" w:lineRule="auto"/>
              <w:ind w:left="340"/>
              <w:jc w:val="left"/>
              <w:rPr>
                <w:rFonts w:ascii="Arial" w:hAnsi="Arial" w:cs="Arial"/>
                <w:color w:val="000000"/>
                <w:sz w:val="16"/>
                <w:szCs w:val="16"/>
              </w:rPr>
            </w:pPr>
            <w:r w:rsidRPr="00C95230">
              <w:rPr>
                <w:rFonts w:ascii="Arial" w:hAnsi="Arial" w:cs="Arial"/>
                <w:color w:val="000000"/>
                <w:sz w:val="16"/>
                <w:szCs w:val="16"/>
              </w:rPr>
              <w:t>National Collecting Institutions - Upgrading Digital Capacity</w:t>
            </w:r>
          </w:p>
        </w:tc>
        <w:tc>
          <w:tcPr>
            <w:tcW w:w="993" w:type="dxa"/>
            <w:tcBorders>
              <w:top w:val="nil"/>
              <w:left w:val="nil"/>
              <w:bottom w:val="nil"/>
              <w:right w:val="nil"/>
            </w:tcBorders>
            <w:shd w:val="clear" w:color="auto" w:fill="auto"/>
            <w:noWrap/>
            <w:vAlign w:val="bottom"/>
            <w:hideMark/>
          </w:tcPr>
          <w:p w14:paraId="7D7F2962" w14:textId="77777777" w:rsidR="00C95230" w:rsidRPr="00C95230" w:rsidRDefault="00C95230" w:rsidP="00C95230">
            <w:pPr>
              <w:spacing w:after="0" w:line="240" w:lineRule="auto"/>
              <w:jc w:val="center"/>
              <w:rPr>
                <w:rFonts w:ascii="Arial" w:hAnsi="Arial" w:cs="Arial"/>
                <w:color w:val="000000"/>
                <w:sz w:val="16"/>
                <w:szCs w:val="16"/>
              </w:rPr>
            </w:pPr>
            <w:r w:rsidRPr="00C95230">
              <w:rPr>
                <w:rFonts w:ascii="Arial" w:hAnsi="Arial" w:cs="Arial"/>
                <w:color w:val="000000"/>
                <w:sz w:val="16"/>
                <w:szCs w:val="16"/>
              </w:rPr>
              <w:t>1.1</w:t>
            </w:r>
          </w:p>
        </w:tc>
        <w:tc>
          <w:tcPr>
            <w:tcW w:w="859" w:type="dxa"/>
            <w:tcBorders>
              <w:top w:val="nil"/>
              <w:left w:val="nil"/>
              <w:bottom w:val="nil"/>
              <w:right w:val="nil"/>
            </w:tcBorders>
            <w:shd w:val="clear" w:color="000000" w:fill="E6E6E6"/>
            <w:noWrap/>
            <w:vAlign w:val="bottom"/>
            <w:hideMark/>
          </w:tcPr>
          <w:p w14:paraId="1263A285" w14:textId="75BBE8B7" w:rsidR="00C95230" w:rsidRPr="00C95230" w:rsidRDefault="00C95230" w:rsidP="00C95230">
            <w:pPr>
              <w:spacing w:after="0" w:line="240" w:lineRule="auto"/>
              <w:jc w:val="right"/>
              <w:rPr>
                <w:rFonts w:ascii="Arial" w:hAnsi="Arial" w:cs="Arial"/>
                <w:sz w:val="16"/>
                <w:szCs w:val="16"/>
              </w:rPr>
            </w:pPr>
            <w:r w:rsidRPr="00C95230">
              <w:rPr>
                <w:rFonts w:ascii="Arial" w:hAnsi="Arial" w:cs="Arial"/>
                <w:sz w:val="16"/>
                <w:szCs w:val="16"/>
              </w:rPr>
              <w:t>683</w:t>
            </w:r>
          </w:p>
        </w:tc>
        <w:tc>
          <w:tcPr>
            <w:tcW w:w="856" w:type="dxa"/>
            <w:tcBorders>
              <w:top w:val="nil"/>
              <w:left w:val="nil"/>
              <w:bottom w:val="nil"/>
              <w:right w:val="nil"/>
            </w:tcBorders>
            <w:shd w:val="clear" w:color="auto" w:fill="auto"/>
            <w:noWrap/>
            <w:vAlign w:val="bottom"/>
            <w:hideMark/>
          </w:tcPr>
          <w:p w14:paraId="135E7CFE" w14:textId="44DBAD7D"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5,066</w:t>
            </w:r>
          </w:p>
        </w:tc>
        <w:tc>
          <w:tcPr>
            <w:tcW w:w="856" w:type="dxa"/>
            <w:tcBorders>
              <w:top w:val="nil"/>
              <w:left w:val="nil"/>
              <w:bottom w:val="nil"/>
              <w:right w:val="nil"/>
            </w:tcBorders>
            <w:shd w:val="clear" w:color="auto" w:fill="auto"/>
            <w:noWrap/>
            <w:vAlign w:val="bottom"/>
            <w:hideMark/>
          </w:tcPr>
          <w:p w14:paraId="2AEDEA5A" w14:textId="3A9B7BBD"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w:t>
            </w:r>
          </w:p>
        </w:tc>
        <w:tc>
          <w:tcPr>
            <w:tcW w:w="856" w:type="dxa"/>
            <w:tcBorders>
              <w:top w:val="nil"/>
              <w:left w:val="nil"/>
              <w:bottom w:val="nil"/>
              <w:right w:val="nil"/>
            </w:tcBorders>
            <w:shd w:val="clear" w:color="auto" w:fill="auto"/>
            <w:noWrap/>
            <w:vAlign w:val="bottom"/>
            <w:hideMark/>
          </w:tcPr>
          <w:p w14:paraId="04443C84" w14:textId="79E6C7A4"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w:t>
            </w:r>
          </w:p>
        </w:tc>
      </w:tr>
      <w:tr w:rsidR="00C95230" w:rsidRPr="00C95230" w14:paraId="0EA3525A" w14:textId="77777777" w:rsidTr="00BD2516">
        <w:trPr>
          <w:trHeight w:val="204"/>
        </w:trPr>
        <w:tc>
          <w:tcPr>
            <w:tcW w:w="2835" w:type="dxa"/>
            <w:tcBorders>
              <w:top w:val="nil"/>
              <w:left w:val="nil"/>
              <w:bottom w:val="nil"/>
              <w:right w:val="nil"/>
            </w:tcBorders>
            <w:shd w:val="clear" w:color="auto" w:fill="auto"/>
            <w:noWrap/>
            <w:hideMark/>
          </w:tcPr>
          <w:p w14:paraId="45338255" w14:textId="3177AF1E" w:rsidR="00C95230" w:rsidRPr="00C95230" w:rsidRDefault="00DB0DF9" w:rsidP="00DB0DF9">
            <w:pPr>
              <w:spacing w:after="0" w:line="240" w:lineRule="auto"/>
              <w:ind w:left="227"/>
              <w:jc w:val="left"/>
              <w:rPr>
                <w:rFonts w:ascii="Arial" w:hAnsi="Arial" w:cs="Arial"/>
                <w:b/>
                <w:bCs/>
                <w:color w:val="000000"/>
                <w:sz w:val="16"/>
                <w:szCs w:val="16"/>
              </w:rPr>
            </w:pPr>
            <w:r>
              <w:rPr>
                <w:rFonts w:ascii="Arial" w:hAnsi="Arial" w:cs="Arial"/>
                <w:b/>
                <w:bCs/>
                <w:color w:val="000000"/>
                <w:sz w:val="16"/>
                <w:szCs w:val="16"/>
              </w:rPr>
              <w:t>Other variations</w:t>
            </w:r>
          </w:p>
        </w:tc>
        <w:tc>
          <w:tcPr>
            <w:tcW w:w="993" w:type="dxa"/>
            <w:tcBorders>
              <w:top w:val="nil"/>
              <w:left w:val="nil"/>
              <w:bottom w:val="nil"/>
              <w:right w:val="nil"/>
            </w:tcBorders>
            <w:shd w:val="clear" w:color="auto" w:fill="auto"/>
            <w:noWrap/>
            <w:vAlign w:val="bottom"/>
            <w:hideMark/>
          </w:tcPr>
          <w:p w14:paraId="641BD270" w14:textId="77777777" w:rsidR="00C95230" w:rsidRPr="00C95230" w:rsidRDefault="00C95230" w:rsidP="00C95230">
            <w:pPr>
              <w:spacing w:after="0" w:line="240" w:lineRule="auto"/>
              <w:ind w:firstLineChars="200" w:firstLine="320"/>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hideMark/>
          </w:tcPr>
          <w:p w14:paraId="1A65118B" w14:textId="2585D172"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325EC8D4" w14:textId="77777777"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794B43DB" w14:textId="77777777" w:rsidR="00C95230" w:rsidRPr="00C95230" w:rsidRDefault="00C95230" w:rsidP="00C95230">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57771667" w14:textId="77777777" w:rsidR="00C95230" w:rsidRPr="00C95230" w:rsidRDefault="00C95230" w:rsidP="00C95230">
            <w:pPr>
              <w:spacing w:after="0" w:line="240" w:lineRule="auto"/>
              <w:jc w:val="right"/>
              <w:rPr>
                <w:rFonts w:ascii="Arial" w:hAnsi="Arial" w:cs="Arial"/>
                <w:sz w:val="16"/>
                <w:szCs w:val="16"/>
              </w:rPr>
            </w:pPr>
          </w:p>
        </w:tc>
      </w:tr>
      <w:tr w:rsidR="00C95230" w:rsidRPr="00C95230" w14:paraId="08625C71" w14:textId="77777777" w:rsidTr="00BD2516">
        <w:trPr>
          <w:trHeight w:val="204"/>
        </w:trPr>
        <w:tc>
          <w:tcPr>
            <w:tcW w:w="2835" w:type="dxa"/>
            <w:tcBorders>
              <w:top w:val="nil"/>
              <w:left w:val="nil"/>
              <w:bottom w:val="nil"/>
              <w:right w:val="nil"/>
            </w:tcBorders>
            <w:shd w:val="clear" w:color="auto" w:fill="auto"/>
            <w:noWrap/>
            <w:hideMark/>
          </w:tcPr>
          <w:p w14:paraId="2A9AED83" w14:textId="0F4E21C9" w:rsidR="00C95230" w:rsidRPr="00C95230" w:rsidRDefault="00DB0DF9" w:rsidP="00DB0DF9">
            <w:pPr>
              <w:spacing w:after="0" w:line="240" w:lineRule="auto"/>
              <w:ind w:left="340"/>
              <w:jc w:val="left"/>
              <w:rPr>
                <w:rFonts w:ascii="Arial" w:hAnsi="Arial" w:cs="Arial"/>
                <w:color w:val="000000"/>
                <w:sz w:val="16"/>
                <w:szCs w:val="16"/>
              </w:rPr>
            </w:pPr>
            <w:r>
              <w:rPr>
                <w:rFonts w:ascii="Arial" w:hAnsi="Arial" w:cs="Arial"/>
                <w:color w:val="000000"/>
                <w:sz w:val="16"/>
                <w:szCs w:val="16"/>
              </w:rPr>
              <w:t>Parameter adjustments</w:t>
            </w:r>
          </w:p>
        </w:tc>
        <w:tc>
          <w:tcPr>
            <w:tcW w:w="993" w:type="dxa"/>
            <w:tcBorders>
              <w:top w:val="nil"/>
              <w:left w:val="nil"/>
              <w:bottom w:val="nil"/>
              <w:right w:val="nil"/>
            </w:tcBorders>
            <w:shd w:val="clear" w:color="auto" w:fill="auto"/>
            <w:noWrap/>
            <w:vAlign w:val="bottom"/>
            <w:hideMark/>
          </w:tcPr>
          <w:p w14:paraId="14967184" w14:textId="77777777" w:rsidR="00C95230" w:rsidRPr="00C95230" w:rsidRDefault="00C95230" w:rsidP="00C95230">
            <w:pPr>
              <w:spacing w:after="0" w:line="240" w:lineRule="auto"/>
              <w:ind w:firstLineChars="200" w:firstLine="320"/>
              <w:jc w:val="right"/>
              <w:rPr>
                <w:rFonts w:ascii="Arial" w:hAnsi="Arial" w:cs="Arial"/>
                <w:color w:val="000000"/>
                <w:sz w:val="16"/>
                <w:szCs w:val="16"/>
              </w:rPr>
            </w:pPr>
          </w:p>
        </w:tc>
        <w:tc>
          <w:tcPr>
            <w:tcW w:w="859" w:type="dxa"/>
            <w:tcBorders>
              <w:top w:val="nil"/>
              <w:left w:val="nil"/>
              <w:bottom w:val="nil"/>
              <w:right w:val="nil"/>
            </w:tcBorders>
            <w:shd w:val="clear" w:color="000000" w:fill="E6E6E6"/>
            <w:noWrap/>
            <w:vAlign w:val="bottom"/>
            <w:hideMark/>
          </w:tcPr>
          <w:p w14:paraId="6A8D8DE5" w14:textId="19C0C76D"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w:t>
            </w:r>
          </w:p>
        </w:tc>
        <w:tc>
          <w:tcPr>
            <w:tcW w:w="856" w:type="dxa"/>
            <w:tcBorders>
              <w:top w:val="nil"/>
              <w:left w:val="nil"/>
              <w:bottom w:val="nil"/>
              <w:right w:val="nil"/>
            </w:tcBorders>
            <w:shd w:val="clear" w:color="auto" w:fill="auto"/>
            <w:noWrap/>
            <w:vAlign w:val="bottom"/>
            <w:hideMark/>
          </w:tcPr>
          <w:p w14:paraId="53898C31" w14:textId="13AF5F3E"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36</w:t>
            </w:r>
          </w:p>
        </w:tc>
        <w:tc>
          <w:tcPr>
            <w:tcW w:w="856" w:type="dxa"/>
            <w:tcBorders>
              <w:top w:val="nil"/>
              <w:left w:val="nil"/>
              <w:bottom w:val="nil"/>
              <w:right w:val="nil"/>
            </w:tcBorders>
            <w:shd w:val="clear" w:color="auto" w:fill="auto"/>
            <w:noWrap/>
            <w:vAlign w:val="bottom"/>
            <w:hideMark/>
          </w:tcPr>
          <w:p w14:paraId="5ED41342" w14:textId="49E57B4E"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109</w:t>
            </w:r>
          </w:p>
        </w:tc>
        <w:tc>
          <w:tcPr>
            <w:tcW w:w="856" w:type="dxa"/>
            <w:tcBorders>
              <w:top w:val="nil"/>
              <w:left w:val="nil"/>
              <w:bottom w:val="nil"/>
              <w:right w:val="nil"/>
            </w:tcBorders>
            <w:shd w:val="clear" w:color="auto" w:fill="auto"/>
            <w:noWrap/>
            <w:vAlign w:val="bottom"/>
            <w:hideMark/>
          </w:tcPr>
          <w:p w14:paraId="08F3B48E" w14:textId="03B83881"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254</w:t>
            </w:r>
          </w:p>
        </w:tc>
      </w:tr>
      <w:tr w:rsidR="00C95230" w:rsidRPr="00C95230" w14:paraId="3BEC818F" w14:textId="77777777" w:rsidTr="00BD2516">
        <w:trPr>
          <w:trHeight w:val="204"/>
        </w:trPr>
        <w:tc>
          <w:tcPr>
            <w:tcW w:w="2835" w:type="dxa"/>
            <w:tcBorders>
              <w:top w:val="nil"/>
              <w:left w:val="nil"/>
              <w:bottom w:val="nil"/>
              <w:right w:val="nil"/>
            </w:tcBorders>
            <w:shd w:val="clear" w:color="auto" w:fill="auto"/>
            <w:hideMark/>
          </w:tcPr>
          <w:p w14:paraId="40811F03" w14:textId="709F1264" w:rsidR="00C95230" w:rsidRPr="00C95230" w:rsidRDefault="00C95230" w:rsidP="00C95230">
            <w:pPr>
              <w:spacing w:after="0" w:line="240" w:lineRule="auto"/>
              <w:jc w:val="left"/>
              <w:rPr>
                <w:rFonts w:ascii="Arial" w:hAnsi="Arial" w:cs="Arial"/>
                <w:b/>
                <w:bCs/>
                <w:color w:val="000000"/>
                <w:sz w:val="16"/>
                <w:szCs w:val="16"/>
              </w:rPr>
            </w:pPr>
            <w:r w:rsidRPr="00C95230">
              <w:rPr>
                <w:rFonts w:ascii="Arial" w:hAnsi="Arial" w:cs="Arial"/>
                <w:b/>
                <w:bCs/>
                <w:color w:val="000000"/>
                <w:sz w:val="16"/>
                <w:szCs w:val="16"/>
              </w:rPr>
              <w:t>Net impact on appropriations for Outcome 1 (</w:t>
            </w:r>
            <w:r w:rsidR="008863D9">
              <w:rPr>
                <w:rFonts w:ascii="Arial" w:hAnsi="Arial" w:cs="Arial"/>
                <w:b/>
                <w:bCs/>
                <w:color w:val="000000"/>
                <w:sz w:val="16"/>
                <w:szCs w:val="16"/>
              </w:rPr>
              <w:t>Department</w:t>
            </w:r>
            <w:r w:rsidRPr="00C95230">
              <w:rPr>
                <w:rFonts w:ascii="Arial" w:hAnsi="Arial" w:cs="Arial"/>
                <w:b/>
                <w:bCs/>
                <w:color w:val="000000"/>
                <w:sz w:val="16"/>
                <w:szCs w:val="16"/>
              </w:rPr>
              <w:t>al)</w:t>
            </w:r>
          </w:p>
        </w:tc>
        <w:tc>
          <w:tcPr>
            <w:tcW w:w="993" w:type="dxa"/>
            <w:tcBorders>
              <w:top w:val="nil"/>
              <w:left w:val="nil"/>
              <w:bottom w:val="nil"/>
              <w:right w:val="nil"/>
            </w:tcBorders>
            <w:shd w:val="clear" w:color="auto" w:fill="auto"/>
            <w:noWrap/>
            <w:vAlign w:val="bottom"/>
            <w:hideMark/>
          </w:tcPr>
          <w:p w14:paraId="348F8644" w14:textId="77777777" w:rsidR="00C95230" w:rsidRPr="00C95230" w:rsidRDefault="00C95230" w:rsidP="00C95230">
            <w:pPr>
              <w:spacing w:after="0" w:line="240" w:lineRule="auto"/>
              <w:jc w:val="right"/>
              <w:rPr>
                <w:rFonts w:ascii="Arial" w:hAnsi="Arial" w:cs="Arial"/>
                <w:b/>
                <w:bCs/>
                <w:color w:val="000000"/>
                <w:sz w:val="16"/>
                <w:szCs w:val="16"/>
              </w:rPr>
            </w:pPr>
          </w:p>
        </w:tc>
        <w:tc>
          <w:tcPr>
            <w:tcW w:w="859" w:type="dxa"/>
            <w:tcBorders>
              <w:top w:val="single" w:sz="4" w:space="0" w:color="auto"/>
              <w:left w:val="nil"/>
              <w:bottom w:val="single" w:sz="4" w:space="0" w:color="auto"/>
              <w:right w:val="nil"/>
            </w:tcBorders>
            <w:shd w:val="clear" w:color="000000" w:fill="E6E6E6"/>
            <w:noWrap/>
            <w:vAlign w:val="bottom"/>
            <w:hideMark/>
          </w:tcPr>
          <w:p w14:paraId="011E9FD2" w14:textId="4D5C662F" w:rsidR="00C95230" w:rsidRPr="00C95230" w:rsidRDefault="00C95230" w:rsidP="00C95230">
            <w:pPr>
              <w:spacing w:after="0" w:line="240" w:lineRule="auto"/>
              <w:jc w:val="right"/>
              <w:rPr>
                <w:rFonts w:ascii="Arial" w:hAnsi="Arial" w:cs="Arial"/>
                <w:b/>
                <w:bCs/>
                <w:sz w:val="16"/>
                <w:szCs w:val="16"/>
              </w:rPr>
            </w:pPr>
            <w:r w:rsidRPr="00C95230">
              <w:rPr>
                <w:rFonts w:ascii="Arial" w:hAnsi="Arial" w:cs="Arial"/>
                <w:b/>
                <w:bCs/>
                <w:sz w:val="16"/>
                <w:szCs w:val="16"/>
              </w:rPr>
              <w:t>683</w:t>
            </w:r>
          </w:p>
        </w:tc>
        <w:tc>
          <w:tcPr>
            <w:tcW w:w="856" w:type="dxa"/>
            <w:tcBorders>
              <w:top w:val="single" w:sz="4" w:space="0" w:color="auto"/>
              <w:left w:val="nil"/>
              <w:bottom w:val="single" w:sz="4" w:space="0" w:color="auto"/>
              <w:right w:val="nil"/>
            </w:tcBorders>
            <w:shd w:val="clear" w:color="auto" w:fill="auto"/>
            <w:noWrap/>
            <w:vAlign w:val="bottom"/>
            <w:hideMark/>
          </w:tcPr>
          <w:p w14:paraId="0EE5E8D9" w14:textId="6CC8F130" w:rsidR="00C95230" w:rsidRPr="00C95230" w:rsidRDefault="00C95230" w:rsidP="00C95230">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5,102</w:t>
            </w:r>
          </w:p>
        </w:tc>
        <w:tc>
          <w:tcPr>
            <w:tcW w:w="856" w:type="dxa"/>
            <w:tcBorders>
              <w:top w:val="single" w:sz="4" w:space="0" w:color="auto"/>
              <w:left w:val="nil"/>
              <w:bottom w:val="single" w:sz="4" w:space="0" w:color="auto"/>
              <w:right w:val="nil"/>
            </w:tcBorders>
            <w:shd w:val="clear" w:color="auto" w:fill="auto"/>
            <w:noWrap/>
            <w:vAlign w:val="bottom"/>
            <w:hideMark/>
          </w:tcPr>
          <w:p w14:paraId="25229118" w14:textId="73D9AFA7" w:rsidR="00C95230" w:rsidRPr="00C95230" w:rsidRDefault="00C95230" w:rsidP="00C95230">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109</w:t>
            </w:r>
          </w:p>
        </w:tc>
        <w:tc>
          <w:tcPr>
            <w:tcW w:w="856" w:type="dxa"/>
            <w:tcBorders>
              <w:top w:val="single" w:sz="4" w:space="0" w:color="auto"/>
              <w:left w:val="nil"/>
              <w:bottom w:val="single" w:sz="4" w:space="0" w:color="auto"/>
              <w:right w:val="nil"/>
            </w:tcBorders>
            <w:shd w:val="clear" w:color="auto" w:fill="auto"/>
            <w:noWrap/>
            <w:vAlign w:val="bottom"/>
            <w:hideMark/>
          </w:tcPr>
          <w:p w14:paraId="3A2516E7" w14:textId="01348532" w:rsidR="00C95230" w:rsidRPr="00C95230" w:rsidRDefault="00C95230" w:rsidP="00C95230">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254</w:t>
            </w:r>
          </w:p>
        </w:tc>
      </w:tr>
      <w:tr w:rsidR="00C95230" w:rsidRPr="00C95230" w14:paraId="65491F5B" w14:textId="77777777" w:rsidTr="00BD2516">
        <w:trPr>
          <w:trHeight w:val="204"/>
        </w:trPr>
        <w:tc>
          <w:tcPr>
            <w:tcW w:w="2835" w:type="dxa"/>
            <w:tcBorders>
              <w:top w:val="nil"/>
              <w:left w:val="nil"/>
              <w:bottom w:val="single" w:sz="4" w:space="0" w:color="auto"/>
              <w:right w:val="nil"/>
            </w:tcBorders>
            <w:shd w:val="clear" w:color="auto" w:fill="auto"/>
            <w:hideMark/>
          </w:tcPr>
          <w:p w14:paraId="7B3320D0" w14:textId="644B7788" w:rsidR="00C95230" w:rsidRPr="00C95230" w:rsidRDefault="00C95230" w:rsidP="00C95230">
            <w:pPr>
              <w:spacing w:after="0" w:line="240" w:lineRule="auto"/>
              <w:jc w:val="left"/>
              <w:rPr>
                <w:rFonts w:ascii="Arial" w:hAnsi="Arial" w:cs="Arial"/>
                <w:b/>
                <w:bCs/>
                <w:color w:val="000000"/>
                <w:sz w:val="16"/>
                <w:szCs w:val="16"/>
              </w:rPr>
            </w:pPr>
            <w:r w:rsidRPr="00C95230">
              <w:rPr>
                <w:rFonts w:ascii="Arial" w:hAnsi="Arial" w:cs="Arial"/>
                <w:b/>
                <w:bCs/>
                <w:color w:val="000000"/>
                <w:sz w:val="16"/>
                <w:szCs w:val="16"/>
              </w:rPr>
              <w:t>Total net impact on appropriations for Outcome 1</w:t>
            </w:r>
          </w:p>
        </w:tc>
        <w:tc>
          <w:tcPr>
            <w:tcW w:w="993" w:type="dxa"/>
            <w:tcBorders>
              <w:top w:val="nil"/>
              <w:left w:val="nil"/>
              <w:bottom w:val="single" w:sz="4" w:space="0" w:color="auto"/>
              <w:right w:val="nil"/>
            </w:tcBorders>
            <w:shd w:val="clear" w:color="auto" w:fill="auto"/>
            <w:noWrap/>
            <w:vAlign w:val="bottom"/>
            <w:hideMark/>
          </w:tcPr>
          <w:p w14:paraId="737ED1E8" w14:textId="56E67574" w:rsidR="00C95230" w:rsidRPr="00C95230" w:rsidRDefault="00C95230" w:rsidP="00C95230">
            <w:pPr>
              <w:spacing w:after="0" w:line="240" w:lineRule="auto"/>
              <w:jc w:val="right"/>
              <w:rPr>
                <w:rFonts w:ascii="Arial" w:hAnsi="Arial" w:cs="Arial"/>
                <w:color w:val="000000"/>
                <w:sz w:val="16"/>
                <w:szCs w:val="16"/>
              </w:rPr>
            </w:pPr>
          </w:p>
        </w:tc>
        <w:tc>
          <w:tcPr>
            <w:tcW w:w="859" w:type="dxa"/>
            <w:tcBorders>
              <w:top w:val="nil"/>
              <w:left w:val="nil"/>
              <w:bottom w:val="single" w:sz="4" w:space="0" w:color="auto"/>
              <w:right w:val="nil"/>
            </w:tcBorders>
            <w:shd w:val="clear" w:color="000000" w:fill="E6E6E6"/>
            <w:noWrap/>
            <w:vAlign w:val="bottom"/>
            <w:hideMark/>
          </w:tcPr>
          <w:p w14:paraId="6347A558" w14:textId="6234B603" w:rsidR="00C95230" w:rsidRPr="00C95230" w:rsidRDefault="00C95230" w:rsidP="00C95230">
            <w:pPr>
              <w:spacing w:after="0" w:line="240" w:lineRule="auto"/>
              <w:jc w:val="right"/>
              <w:rPr>
                <w:rFonts w:ascii="Arial" w:hAnsi="Arial" w:cs="Arial"/>
                <w:b/>
                <w:bCs/>
                <w:sz w:val="16"/>
                <w:szCs w:val="16"/>
              </w:rPr>
            </w:pPr>
            <w:r w:rsidRPr="00C95230">
              <w:rPr>
                <w:rFonts w:ascii="Arial" w:hAnsi="Arial" w:cs="Arial"/>
                <w:b/>
                <w:bCs/>
                <w:sz w:val="16"/>
                <w:szCs w:val="16"/>
              </w:rPr>
              <w:t>683</w:t>
            </w:r>
          </w:p>
        </w:tc>
        <w:tc>
          <w:tcPr>
            <w:tcW w:w="856" w:type="dxa"/>
            <w:tcBorders>
              <w:top w:val="nil"/>
              <w:left w:val="nil"/>
              <w:bottom w:val="single" w:sz="4" w:space="0" w:color="auto"/>
              <w:right w:val="nil"/>
            </w:tcBorders>
            <w:shd w:val="clear" w:color="auto" w:fill="auto"/>
            <w:noWrap/>
            <w:vAlign w:val="bottom"/>
            <w:hideMark/>
          </w:tcPr>
          <w:p w14:paraId="4E9F08BE" w14:textId="1B377259" w:rsidR="00C95230" w:rsidRPr="00C95230" w:rsidRDefault="00C95230" w:rsidP="00C95230">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5,102</w:t>
            </w:r>
          </w:p>
        </w:tc>
        <w:tc>
          <w:tcPr>
            <w:tcW w:w="856" w:type="dxa"/>
            <w:tcBorders>
              <w:top w:val="nil"/>
              <w:left w:val="nil"/>
              <w:bottom w:val="single" w:sz="4" w:space="0" w:color="auto"/>
              <w:right w:val="nil"/>
            </w:tcBorders>
            <w:shd w:val="clear" w:color="auto" w:fill="auto"/>
            <w:noWrap/>
            <w:vAlign w:val="bottom"/>
            <w:hideMark/>
          </w:tcPr>
          <w:p w14:paraId="461F50D1" w14:textId="392A9155" w:rsidR="00C95230" w:rsidRPr="00C95230" w:rsidRDefault="00C95230" w:rsidP="00C95230">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109</w:t>
            </w:r>
          </w:p>
        </w:tc>
        <w:tc>
          <w:tcPr>
            <w:tcW w:w="856" w:type="dxa"/>
            <w:tcBorders>
              <w:top w:val="nil"/>
              <w:left w:val="nil"/>
              <w:bottom w:val="single" w:sz="4" w:space="0" w:color="auto"/>
              <w:right w:val="nil"/>
            </w:tcBorders>
            <w:shd w:val="clear" w:color="auto" w:fill="auto"/>
            <w:noWrap/>
            <w:vAlign w:val="bottom"/>
            <w:hideMark/>
          </w:tcPr>
          <w:p w14:paraId="3A6C3C11" w14:textId="31162AEB" w:rsidR="00C95230" w:rsidRPr="00C95230" w:rsidRDefault="00C95230" w:rsidP="00C95230">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254</w:t>
            </w:r>
          </w:p>
        </w:tc>
      </w:tr>
    </w:tbl>
    <w:p w14:paraId="6359EEC5" w14:textId="1832C4E8" w:rsidR="000B3475" w:rsidRPr="00F20F94" w:rsidRDefault="00F20F94" w:rsidP="00D538B1">
      <w:pPr>
        <w:pStyle w:val="TableGraphic"/>
        <w:spacing w:before="60"/>
        <w:rPr>
          <w:rFonts w:ascii="Arial" w:hAnsi="Arial" w:cs="Arial"/>
          <w:i w:val="0"/>
          <w:color w:val="auto"/>
          <w:sz w:val="16"/>
          <w:szCs w:val="16"/>
          <w:lang w:val="x-none"/>
        </w:rPr>
      </w:pPr>
      <w:r w:rsidRPr="00F20F94">
        <w:rPr>
          <w:rFonts w:ascii="Arial" w:hAnsi="Arial" w:cs="Arial"/>
          <w:i w:val="0"/>
          <w:color w:val="auto"/>
          <w:sz w:val="16"/>
          <w:szCs w:val="16"/>
          <w:lang w:val="x-none"/>
        </w:rPr>
        <w:t>Prepared on a resourcing (i.e. appropriations available) basis.</w:t>
      </w:r>
    </w:p>
    <w:p w14:paraId="0CD6CDD7" w14:textId="77777777" w:rsidR="004B202A" w:rsidRPr="002D235E" w:rsidRDefault="004B202A" w:rsidP="004B202A">
      <w:pPr>
        <w:pStyle w:val="TableGraphic"/>
        <w:rPr>
          <w:color w:val="auto"/>
          <w:lang w:val="x-none" w:eastAsia="x-none"/>
        </w:rPr>
      </w:pPr>
    </w:p>
    <w:p w14:paraId="6C99DD84" w14:textId="47A16AEC" w:rsidR="00914885" w:rsidRPr="00564C0F" w:rsidRDefault="00914885" w:rsidP="0030114B">
      <w:pPr>
        <w:pStyle w:val="Heading3NLA"/>
      </w:pPr>
      <w:bookmarkStart w:id="509" w:name="_Toc93405196"/>
      <w:bookmarkStart w:id="510" w:name="_Toc94040071"/>
      <w:r>
        <w:lastRenderedPageBreak/>
        <w:t>1.5</w:t>
      </w:r>
      <w:r>
        <w:tab/>
      </w:r>
      <w:r w:rsidRPr="00564C0F">
        <w:t>Breakdown of additional estimates by appropriation bill</w:t>
      </w:r>
      <w:bookmarkEnd w:id="509"/>
      <w:bookmarkEnd w:id="510"/>
    </w:p>
    <w:p w14:paraId="5D0BEB27" w14:textId="4BC0546F" w:rsidR="00E91CFA" w:rsidRDefault="00DB0DF9" w:rsidP="00DB0DF9">
      <w:pPr>
        <w:jc w:val="left"/>
      </w:pPr>
      <w:r>
        <w:t>The following table</w:t>
      </w:r>
      <w:r w:rsidR="004B202A" w:rsidRPr="000968CC">
        <w:t xml:space="preserve"> detail</w:t>
      </w:r>
      <w:r>
        <w:t>s</w:t>
      </w:r>
      <w:r w:rsidR="004B202A" w:rsidRPr="000968CC">
        <w:t xml:space="preserve"> the additional estimates sought for the entity through Appropriation Bills No. 3 and 4.</w:t>
      </w:r>
    </w:p>
    <w:p w14:paraId="28EB61E7" w14:textId="65714E0B" w:rsidR="00E91CFA" w:rsidRDefault="00E91CFA" w:rsidP="00E91CFA">
      <w:pPr>
        <w:pStyle w:val="TableHeading"/>
      </w:pPr>
      <w:r w:rsidRPr="00D81F65">
        <w:t>Table 1.4: Appropriation Bill (No. 3) 20</w:t>
      </w:r>
      <w:r>
        <w:t>2</w:t>
      </w:r>
      <w:r>
        <w:rPr>
          <w:lang w:val="en-GB"/>
        </w:rPr>
        <w:t>1</w:t>
      </w:r>
      <w:r w:rsidRPr="00D81F65">
        <w:rPr>
          <w:rFonts w:hint="eastAsia"/>
        </w:rPr>
        <w:t>–</w:t>
      </w:r>
      <w:r>
        <w:t>2</w:t>
      </w:r>
      <w:r>
        <w:rPr>
          <w:lang w:val="en-GB"/>
        </w:rPr>
        <w:t>2</w:t>
      </w:r>
    </w:p>
    <w:tbl>
      <w:tblPr>
        <w:tblW w:w="7700" w:type="dxa"/>
        <w:tblLook w:val="04A0" w:firstRow="1" w:lastRow="0" w:firstColumn="1" w:lastColumn="0" w:noHBand="0" w:noVBand="1"/>
      </w:tblPr>
      <w:tblGrid>
        <w:gridCol w:w="2817"/>
        <w:gridCol w:w="977"/>
        <w:gridCol w:w="976"/>
        <w:gridCol w:w="976"/>
        <w:gridCol w:w="977"/>
        <w:gridCol w:w="977"/>
      </w:tblGrid>
      <w:tr w:rsidR="00C95230" w:rsidRPr="00C95230" w14:paraId="719B40C5" w14:textId="77777777" w:rsidTr="009F2459">
        <w:trPr>
          <w:trHeight w:val="200"/>
        </w:trPr>
        <w:tc>
          <w:tcPr>
            <w:tcW w:w="2817" w:type="dxa"/>
            <w:tcBorders>
              <w:top w:val="single" w:sz="4" w:space="0" w:color="auto"/>
              <w:left w:val="nil"/>
              <w:bottom w:val="nil"/>
              <w:right w:val="nil"/>
            </w:tcBorders>
            <w:shd w:val="clear" w:color="auto" w:fill="auto"/>
            <w:noWrap/>
            <w:vAlign w:val="center"/>
            <w:hideMark/>
          </w:tcPr>
          <w:p w14:paraId="3377105E" w14:textId="77777777" w:rsidR="00C95230" w:rsidRPr="00C95230" w:rsidRDefault="00C95230" w:rsidP="00C95230">
            <w:pPr>
              <w:spacing w:after="0" w:line="240" w:lineRule="auto"/>
              <w:jc w:val="left"/>
              <w:rPr>
                <w:rFonts w:ascii="Arial" w:hAnsi="Arial" w:cs="Arial"/>
                <w:color w:val="000000"/>
                <w:sz w:val="16"/>
                <w:szCs w:val="16"/>
              </w:rPr>
            </w:pPr>
            <w:r w:rsidRPr="00C95230">
              <w:rPr>
                <w:rFonts w:ascii="Arial" w:hAnsi="Arial" w:cs="Arial"/>
                <w:color w:val="000000"/>
                <w:sz w:val="16"/>
                <w:szCs w:val="16"/>
              </w:rPr>
              <w:t> </w:t>
            </w:r>
          </w:p>
        </w:tc>
        <w:tc>
          <w:tcPr>
            <w:tcW w:w="977" w:type="dxa"/>
            <w:tcBorders>
              <w:top w:val="single" w:sz="4" w:space="0" w:color="auto"/>
              <w:left w:val="nil"/>
              <w:bottom w:val="single" w:sz="4" w:space="0" w:color="000000"/>
              <w:right w:val="nil"/>
            </w:tcBorders>
            <w:shd w:val="clear" w:color="auto" w:fill="auto"/>
            <w:vAlign w:val="center"/>
            <w:hideMark/>
          </w:tcPr>
          <w:p w14:paraId="79BBA6E2" w14:textId="77777777"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2020-21</w:t>
            </w:r>
            <w:r w:rsidRPr="00C95230">
              <w:rPr>
                <w:rFonts w:ascii="Arial" w:hAnsi="Arial" w:cs="Arial"/>
                <w:color w:val="000000"/>
                <w:sz w:val="16"/>
                <w:szCs w:val="16"/>
              </w:rPr>
              <w:br/>
              <w:t>Available</w:t>
            </w:r>
            <w:r w:rsidRPr="00C95230">
              <w:rPr>
                <w:rFonts w:ascii="Arial" w:hAnsi="Arial" w:cs="Arial"/>
                <w:color w:val="000000"/>
                <w:sz w:val="16"/>
                <w:szCs w:val="16"/>
              </w:rPr>
              <w:br/>
              <w:t>$'000</w:t>
            </w:r>
          </w:p>
        </w:tc>
        <w:tc>
          <w:tcPr>
            <w:tcW w:w="976" w:type="dxa"/>
            <w:tcBorders>
              <w:top w:val="single" w:sz="4" w:space="0" w:color="auto"/>
              <w:left w:val="nil"/>
              <w:bottom w:val="single" w:sz="4" w:space="0" w:color="000000"/>
              <w:right w:val="nil"/>
            </w:tcBorders>
            <w:shd w:val="clear" w:color="auto" w:fill="auto"/>
            <w:vAlign w:val="center"/>
            <w:hideMark/>
          </w:tcPr>
          <w:p w14:paraId="2EFE29E8" w14:textId="77777777"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2021-22</w:t>
            </w:r>
            <w:r w:rsidRPr="00C95230">
              <w:rPr>
                <w:rFonts w:ascii="Arial" w:hAnsi="Arial" w:cs="Arial"/>
                <w:color w:val="000000"/>
                <w:sz w:val="16"/>
                <w:szCs w:val="16"/>
              </w:rPr>
              <w:br/>
              <w:t>Budget</w:t>
            </w:r>
            <w:r w:rsidRPr="00C95230">
              <w:rPr>
                <w:rFonts w:ascii="Arial" w:hAnsi="Arial" w:cs="Arial"/>
                <w:color w:val="000000"/>
                <w:sz w:val="16"/>
                <w:szCs w:val="16"/>
              </w:rPr>
              <w:br/>
              <w:t>$'000</w:t>
            </w:r>
          </w:p>
        </w:tc>
        <w:tc>
          <w:tcPr>
            <w:tcW w:w="976" w:type="dxa"/>
            <w:tcBorders>
              <w:top w:val="single" w:sz="4" w:space="0" w:color="auto"/>
              <w:left w:val="nil"/>
              <w:bottom w:val="single" w:sz="4" w:space="0" w:color="000000"/>
              <w:right w:val="nil"/>
            </w:tcBorders>
            <w:shd w:val="clear" w:color="auto" w:fill="auto"/>
            <w:vAlign w:val="center"/>
            <w:hideMark/>
          </w:tcPr>
          <w:p w14:paraId="679A8238" w14:textId="77777777"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2021-22</w:t>
            </w:r>
            <w:r w:rsidRPr="00C95230">
              <w:rPr>
                <w:rFonts w:ascii="Arial" w:hAnsi="Arial" w:cs="Arial"/>
                <w:color w:val="000000"/>
                <w:sz w:val="16"/>
                <w:szCs w:val="16"/>
              </w:rPr>
              <w:br/>
              <w:t>Revised</w:t>
            </w:r>
            <w:r w:rsidRPr="00C95230">
              <w:rPr>
                <w:rFonts w:ascii="Arial" w:hAnsi="Arial" w:cs="Arial"/>
                <w:color w:val="000000"/>
                <w:sz w:val="16"/>
                <w:szCs w:val="16"/>
              </w:rPr>
              <w:br/>
              <w:t>$'000</w:t>
            </w:r>
          </w:p>
        </w:tc>
        <w:tc>
          <w:tcPr>
            <w:tcW w:w="977" w:type="dxa"/>
            <w:tcBorders>
              <w:top w:val="single" w:sz="4" w:space="0" w:color="auto"/>
              <w:left w:val="nil"/>
              <w:bottom w:val="single" w:sz="4" w:space="0" w:color="000000"/>
              <w:right w:val="nil"/>
            </w:tcBorders>
            <w:shd w:val="clear" w:color="000000" w:fill="E6E6E6"/>
            <w:vAlign w:val="center"/>
            <w:hideMark/>
          </w:tcPr>
          <w:p w14:paraId="2D828F7D" w14:textId="77777777"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Additional Estimates</w:t>
            </w:r>
            <w:r w:rsidRPr="00C95230">
              <w:rPr>
                <w:rFonts w:ascii="Arial" w:hAnsi="Arial" w:cs="Arial"/>
                <w:color w:val="000000"/>
                <w:sz w:val="16"/>
                <w:szCs w:val="16"/>
              </w:rPr>
              <w:br/>
              <w:t>$'000</w:t>
            </w:r>
          </w:p>
        </w:tc>
        <w:tc>
          <w:tcPr>
            <w:tcW w:w="977" w:type="dxa"/>
            <w:tcBorders>
              <w:top w:val="single" w:sz="4" w:space="0" w:color="auto"/>
              <w:left w:val="nil"/>
              <w:bottom w:val="single" w:sz="4" w:space="0" w:color="000000"/>
              <w:right w:val="nil"/>
            </w:tcBorders>
            <w:shd w:val="clear" w:color="000000" w:fill="E6E6E6"/>
            <w:vAlign w:val="center"/>
            <w:hideMark/>
          </w:tcPr>
          <w:p w14:paraId="04C76C88" w14:textId="77777777" w:rsidR="00C95230" w:rsidRPr="00C95230" w:rsidRDefault="00C95230" w:rsidP="00C95230">
            <w:pPr>
              <w:spacing w:after="0" w:line="240" w:lineRule="auto"/>
              <w:jc w:val="right"/>
              <w:rPr>
                <w:rFonts w:ascii="Arial" w:hAnsi="Arial" w:cs="Arial"/>
                <w:color w:val="000000"/>
                <w:sz w:val="16"/>
                <w:szCs w:val="16"/>
              </w:rPr>
            </w:pPr>
            <w:r w:rsidRPr="00C95230">
              <w:rPr>
                <w:rFonts w:ascii="Arial" w:hAnsi="Arial" w:cs="Arial"/>
                <w:color w:val="000000"/>
                <w:sz w:val="16"/>
                <w:szCs w:val="16"/>
              </w:rPr>
              <w:t>Reduced Estimates</w:t>
            </w:r>
            <w:r w:rsidRPr="00C95230">
              <w:rPr>
                <w:rFonts w:ascii="Arial" w:hAnsi="Arial" w:cs="Arial"/>
                <w:color w:val="000000"/>
                <w:sz w:val="16"/>
                <w:szCs w:val="16"/>
              </w:rPr>
              <w:br/>
              <w:t>$'000</w:t>
            </w:r>
          </w:p>
        </w:tc>
      </w:tr>
      <w:tr w:rsidR="00C95230" w:rsidRPr="00C95230" w14:paraId="01834DA1" w14:textId="77777777" w:rsidTr="00553851">
        <w:trPr>
          <w:trHeight w:val="204"/>
        </w:trPr>
        <w:tc>
          <w:tcPr>
            <w:tcW w:w="2817" w:type="dxa"/>
            <w:tcBorders>
              <w:top w:val="nil"/>
              <w:left w:val="nil"/>
              <w:bottom w:val="nil"/>
              <w:right w:val="nil"/>
            </w:tcBorders>
            <w:shd w:val="clear" w:color="auto" w:fill="auto"/>
            <w:noWrap/>
            <w:vAlign w:val="center"/>
            <w:hideMark/>
          </w:tcPr>
          <w:p w14:paraId="6C10BB93" w14:textId="645EFE1F" w:rsidR="00C95230" w:rsidRPr="00C95230" w:rsidRDefault="008863D9" w:rsidP="00C95230">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C95230" w:rsidRPr="00C95230">
              <w:rPr>
                <w:rFonts w:ascii="Arial" w:hAnsi="Arial" w:cs="Arial"/>
                <w:b/>
                <w:bCs/>
                <w:color w:val="000000"/>
                <w:sz w:val="16"/>
                <w:szCs w:val="16"/>
              </w:rPr>
              <w:t>al programs</w:t>
            </w:r>
          </w:p>
        </w:tc>
        <w:tc>
          <w:tcPr>
            <w:tcW w:w="977" w:type="dxa"/>
            <w:tcBorders>
              <w:top w:val="nil"/>
              <w:left w:val="nil"/>
              <w:right w:val="nil"/>
            </w:tcBorders>
            <w:shd w:val="clear" w:color="auto" w:fill="auto"/>
            <w:noWrap/>
            <w:vAlign w:val="bottom"/>
            <w:hideMark/>
          </w:tcPr>
          <w:p w14:paraId="58F8F9E6" w14:textId="77777777" w:rsidR="00C95230" w:rsidRPr="00C95230" w:rsidRDefault="00C95230" w:rsidP="00E91CFA">
            <w:pPr>
              <w:spacing w:after="0" w:line="240" w:lineRule="auto"/>
              <w:jc w:val="right"/>
              <w:rPr>
                <w:rFonts w:ascii="Arial" w:hAnsi="Arial" w:cs="Arial"/>
                <w:b/>
                <w:bCs/>
                <w:color w:val="000000"/>
                <w:sz w:val="16"/>
                <w:szCs w:val="16"/>
              </w:rPr>
            </w:pPr>
          </w:p>
        </w:tc>
        <w:tc>
          <w:tcPr>
            <w:tcW w:w="976" w:type="dxa"/>
            <w:tcBorders>
              <w:top w:val="nil"/>
              <w:left w:val="nil"/>
              <w:right w:val="nil"/>
            </w:tcBorders>
            <w:shd w:val="clear" w:color="auto" w:fill="auto"/>
            <w:noWrap/>
            <w:vAlign w:val="bottom"/>
            <w:hideMark/>
          </w:tcPr>
          <w:p w14:paraId="6297E45D" w14:textId="77777777" w:rsidR="00C95230" w:rsidRPr="00C95230" w:rsidRDefault="00C95230" w:rsidP="00E91CFA">
            <w:pPr>
              <w:spacing w:after="0" w:line="240" w:lineRule="auto"/>
              <w:jc w:val="right"/>
              <w:rPr>
                <w:rFonts w:ascii="Times New Roman" w:hAnsi="Times New Roman"/>
              </w:rPr>
            </w:pPr>
          </w:p>
        </w:tc>
        <w:tc>
          <w:tcPr>
            <w:tcW w:w="976" w:type="dxa"/>
            <w:tcBorders>
              <w:top w:val="nil"/>
              <w:left w:val="nil"/>
              <w:right w:val="nil"/>
            </w:tcBorders>
            <w:shd w:val="clear" w:color="auto" w:fill="auto"/>
            <w:noWrap/>
            <w:vAlign w:val="bottom"/>
            <w:hideMark/>
          </w:tcPr>
          <w:p w14:paraId="7820AEA1" w14:textId="77777777" w:rsidR="00C95230" w:rsidRPr="00C95230" w:rsidRDefault="00C95230" w:rsidP="00E91CFA">
            <w:pPr>
              <w:spacing w:after="0" w:line="240" w:lineRule="auto"/>
              <w:jc w:val="right"/>
              <w:rPr>
                <w:rFonts w:ascii="Times New Roman" w:hAnsi="Times New Roman"/>
              </w:rPr>
            </w:pPr>
          </w:p>
        </w:tc>
        <w:tc>
          <w:tcPr>
            <w:tcW w:w="977" w:type="dxa"/>
            <w:tcBorders>
              <w:top w:val="nil"/>
              <w:left w:val="nil"/>
              <w:right w:val="nil"/>
            </w:tcBorders>
            <w:shd w:val="clear" w:color="000000" w:fill="E6E6E6"/>
            <w:noWrap/>
            <w:vAlign w:val="bottom"/>
            <w:hideMark/>
          </w:tcPr>
          <w:p w14:paraId="18D85771" w14:textId="18BF2675" w:rsidR="00C95230" w:rsidRPr="00C95230" w:rsidRDefault="00C95230" w:rsidP="00E91CFA">
            <w:pPr>
              <w:spacing w:after="0" w:line="240" w:lineRule="auto"/>
              <w:jc w:val="right"/>
              <w:rPr>
                <w:rFonts w:ascii="Arial" w:hAnsi="Arial" w:cs="Arial"/>
                <w:color w:val="000000"/>
                <w:sz w:val="16"/>
                <w:szCs w:val="16"/>
              </w:rPr>
            </w:pPr>
          </w:p>
        </w:tc>
        <w:tc>
          <w:tcPr>
            <w:tcW w:w="977" w:type="dxa"/>
            <w:tcBorders>
              <w:top w:val="nil"/>
              <w:left w:val="nil"/>
              <w:right w:val="nil"/>
            </w:tcBorders>
            <w:shd w:val="clear" w:color="000000" w:fill="E6E6E6"/>
            <w:noWrap/>
            <w:vAlign w:val="bottom"/>
            <w:hideMark/>
          </w:tcPr>
          <w:p w14:paraId="3E9F54C1" w14:textId="783314C4" w:rsidR="00C95230" w:rsidRPr="00C95230" w:rsidRDefault="00C95230" w:rsidP="00E91CFA">
            <w:pPr>
              <w:spacing w:after="0" w:line="240" w:lineRule="auto"/>
              <w:jc w:val="right"/>
              <w:rPr>
                <w:rFonts w:ascii="Arial" w:hAnsi="Arial" w:cs="Arial"/>
                <w:color w:val="000000"/>
                <w:sz w:val="16"/>
                <w:szCs w:val="16"/>
              </w:rPr>
            </w:pPr>
          </w:p>
        </w:tc>
      </w:tr>
      <w:tr w:rsidR="00C95230" w:rsidRPr="00C95230" w14:paraId="002B43D8" w14:textId="77777777" w:rsidTr="00553851">
        <w:trPr>
          <w:trHeight w:val="204"/>
        </w:trPr>
        <w:tc>
          <w:tcPr>
            <w:tcW w:w="2817" w:type="dxa"/>
            <w:tcBorders>
              <w:top w:val="nil"/>
              <w:left w:val="nil"/>
              <w:bottom w:val="nil"/>
              <w:right w:val="nil"/>
            </w:tcBorders>
            <w:shd w:val="clear" w:color="auto" w:fill="auto"/>
            <w:vAlign w:val="center"/>
            <w:hideMark/>
          </w:tcPr>
          <w:p w14:paraId="0CFCEABC" w14:textId="77777777" w:rsidR="00E91CFA" w:rsidRDefault="00C95230" w:rsidP="00E91CFA">
            <w:pPr>
              <w:spacing w:after="0" w:line="240" w:lineRule="auto"/>
              <w:ind w:left="113"/>
              <w:jc w:val="left"/>
              <w:rPr>
                <w:rFonts w:ascii="Arial" w:hAnsi="Arial" w:cs="Arial"/>
                <w:b/>
                <w:bCs/>
                <w:color w:val="000000"/>
                <w:sz w:val="16"/>
                <w:szCs w:val="16"/>
              </w:rPr>
            </w:pPr>
            <w:r w:rsidRPr="00C95230">
              <w:rPr>
                <w:rFonts w:ascii="Arial" w:hAnsi="Arial" w:cs="Arial"/>
                <w:b/>
                <w:bCs/>
                <w:color w:val="000000"/>
                <w:sz w:val="16"/>
                <w:szCs w:val="16"/>
              </w:rPr>
              <w:t>Outcome 1</w:t>
            </w:r>
            <w:r w:rsidR="00E91CFA">
              <w:rPr>
                <w:rFonts w:ascii="Arial" w:hAnsi="Arial" w:cs="Arial"/>
                <w:b/>
                <w:bCs/>
                <w:color w:val="000000"/>
                <w:sz w:val="16"/>
                <w:szCs w:val="16"/>
              </w:rPr>
              <w:t xml:space="preserve"> </w:t>
            </w:r>
          </w:p>
          <w:p w14:paraId="2545C0FA" w14:textId="416CFB99" w:rsidR="00C95230" w:rsidRPr="00C95230" w:rsidRDefault="00C95230" w:rsidP="00E91CFA">
            <w:pPr>
              <w:spacing w:after="0" w:line="240" w:lineRule="auto"/>
              <w:ind w:left="113"/>
              <w:jc w:val="left"/>
              <w:rPr>
                <w:rFonts w:ascii="Arial" w:hAnsi="Arial" w:cs="Arial"/>
                <w:b/>
                <w:bCs/>
                <w:color w:val="000000"/>
                <w:sz w:val="16"/>
                <w:szCs w:val="16"/>
              </w:rPr>
            </w:pPr>
            <w:r w:rsidRPr="00C95230">
              <w:rPr>
                <w:rFonts w:ascii="Arial" w:hAnsi="Arial" w:cs="Arial"/>
                <w:color w:val="000000"/>
                <w:sz w:val="16"/>
                <w:szCs w:val="16"/>
              </w:rPr>
              <w:t>Enhanced learning, knowledge creation, enjoyment and understanding of Australian life and society by providing access to a national collection of library material</w:t>
            </w:r>
          </w:p>
        </w:tc>
        <w:tc>
          <w:tcPr>
            <w:tcW w:w="977" w:type="dxa"/>
            <w:tcBorders>
              <w:top w:val="nil"/>
              <w:left w:val="nil"/>
              <w:bottom w:val="single" w:sz="4" w:space="0" w:color="auto"/>
              <w:right w:val="nil"/>
            </w:tcBorders>
            <w:shd w:val="clear" w:color="auto" w:fill="auto"/>
            <w:noWrap/>
            <w:vAlign w:val="bottom"/>
            <w:hideMark/>
          </w:tcPr>
          <w:p w14:paraId="0009061A" w14:textId="5AB0A13B" w:rsidR="00C95230" w:rsidRPr="00C95230" w:rsidRDefault="00C95230" w:rsidP="00E91CFA">
            <w:pPr>
              <w:spacing w:after="0" w:line="240" w:lineRule="auto"/>
              <w:jc w:val="right"/>
              <w:rPr>
                <w:rFonts w:ascii="Arial" w:hAnsi="Arial" w:cs="Arial"/>
                <w:color w:val="000000"/>
                <w:sz w:val="16"/>
                <w:szCs w:val="16"/>
              </w:rPr>
            </w:pPr>
            <w:r w:rsidRPr="00C95230">
              <w:rPr>
                <w:rFonts w:ascii="Arial" w:hAnsi="Arial" w:cs="Arial"/>
                <w:color w:val="000000"/>
                <w:sz w:val="16"/>
                <w:szCs w:val="16"/>
              </w:rPr>
              <w:t>58,786</w:t>
            </w:r>
          </w:p>
        </w:tc>
        <w:tc>
          <w:tcPr>
            <w:tcW w:w="976" w:type="dxa"/>
            <w:tcBorders>
              <w:top w:val="nil"/>
              <w:left w:val="nil"/>
              <w:bottom w:val="single" w:sz="4" w:space="0" w:color="auto"/>
              <w:right w:val="nil"/>
            </w:tcBorders>
            <w:shd w:val="clear" w:color="auto" w:fill="auto"/>
            <w:noWrap/>
            <w:vAlign w:val="bottom"/>
            <w:hideMark/>
          </w:tcPr>
          <w:p w14:paraId="753BB2CD" w14:textId="4526425A" w:rsidR="00C95230" w:rsidRPr="00C95230" w:rsidRDefault="00C95230" w:rsidP="00E91CFA">
            <w:pPr>
              <w:spacing w:after="0" w:line="240" w:lineRule="auto"/>
              <w:jc w:val="right"/>
              <w:rPr>
                <w:rFonts w:ascii="Arial" w:hAnsi="Arial" w:cs="Arial"/>
                <w:color w:val="000000"/>
                <w:sz w:val="16"/>
                <w:szCs w:val="16"/>
              </w:rPr>
            </w:pPr>
            <w:r w:rsidRPr="00C95230">
              <w:rPr>
                <w:rFonts w:ascii="Arial" w:hAnsi="Arial" w:cs="Arial"/>
                <w:color w:val="000000"/>
                <w:sz w:val="16"/>
                <w:szCs w:val="16"/>
              </w:rPr>
              <w:t>56,810</w:t>
            </w:r>
          </w:p>
        </w:tc>
        <w:tc>
          <w:tcPr>
            <w:tcW w:w="976" w:type="dxa"/>
            <w:tcBorders>
              <w:top w:val="nil"/>
              <w:left w:val="nil"/>
              <w:bottom w:val="single" w:sz="4" w:space="0" w:color="auto"/>
              <w:right w:val="nil"/>
            </w:tcBorders>
            <w:shd w:val="clear" w:color="auto" w:fill="auto"/>
            <w:noWrap/>
            <w:vAlign w:val="bottom"/>
            <w:hideMark/>
          </w:tcPr>
          <w:p w14:paraId="0E475023" w14:textId="67CC6271" w:rsidR="00C95230" w:rsidRPr="00C95230" w:rsidRDefault="00C95230" w:rsidP="00E91CFA">
            <w:pPr>
              <w:spacing w:after="0" w:line="240" w:lineRule="auto"/>
              <w:jc w:val="right"/>
              <w:rPr>
                <w:rFonts w:ascii="Arial" w:hAnsi="Arial" w:cs="Arial"/>
                <w:color w:val="000000"/>
                <w:sz w:val="16"/>
                <w:szCs w:val="16"/>
              </w:rPr>
            </w:pPr>
            <w:r w:rsidRPr="00C95230">
              <w:rPr>
                <w:rFonts w:ascii="Arial" w:hAnsi="Arial" w:cs="Arial"/>
                <w:color w:val="000000"/>
                <w:sz w:val="16"/>
                <w:szCs w:val="16"/>
              </w:rPr>
              <w:t>57,493</w:t>
            </w:r>
          </w:p>
        </w:tc>
        <w:tc>
          <w:tcPr>
            <w:tcW w:w="977" w:type="dxa"/>
            <w:tcBorders>
              <w:top w:val="nil"/>
              <w:left w:val="nil"/>
              <w:bottom w:val="single" w:sz="4" w:space="0" w:color="auto"/>
              <w:right w:val="nil"/>
            </w:tcBorders>
            <w:shd w:val="clear" w:color="000000" w:fill="E6E6E6"/>
            <w:noWrap/>
            <w:vAlign w:val="bottom"/>
            <w:hideMark/>
          </w:tcPr>
          <w:p w14:paraId="60D9F633" w14:textId="26E96A89" w:rsidR="00C95230" w:rsidRPr="00C95230" w:rsidRDefault="00C95230" w:rsidP="00E91CFA">
            <w:pPr>
              <w:spacing w:after="0" w:line="240" w:lineRule="auto"/>
              <w:jc w:val="right"/>
              <w:rPr>
                <w:rFonts w:ascii="Arial" w:hAnsi="Arial" w:cs="Arial"/>
                <w:color w:val="000000"/>
                <w:sz w:val="16"/>
                <w:szCs w:val="16"/>
              </w:rPr>
            </w:pPr>
            <w:r w:rsidRPr="00C95230">
              <w:rPr>
                <w:rFonts w:ascii="Arial" w:hAnsi="Arial" w:cs="Arial"/>
                <w:color w:val="000000"/>
                <w:sz w:val="16"/>
                <w:szCs w:val="16"/>
              </w:rPr>
              <w:t>683</w:t>
            </w:r>
          </w:p>
        </w:tc>
        <w:tc>
          <w:tcPr>
            <w:tcW w:w="977" w:type="dxa"/>
            <w:tcBorders>
              <w:top w:val="nil"/>
              <w:left w:val="nil"/>
              <w:bottom w:val="single" w:sz="4" w:space="0" w:color="auto"/>
              <w:right w:val="nil"/>
            </w:tcBorders>
            <w:shd w:val="clear" w:color="000000" w:fill="E6E6E6"/>
            <w:noWrap/>
            <w:vAlign w:val="bottom"/>
            <w:hideMark/>
          </w:tcPr>
          <w:p w14:paraId="24C6F82B" w14:textId="63A8C94F" w:rsidR="00C95230" w:rsidRPr="00C95230" w:rsidRDefault="00C95230" w:rsidP="00E91CFA">
            <w:pPr>
              <w:spacing w:after="0" w:line="240" w:lineRule="auto"/>
              <w:jc w:val="right"/>
              <w:rPr>
                <w:rFonts w:ascii="Arial" w:hAnsi="Arial" w:cs="Arial"/>
                <w:color w:val="000000"/>
                <w:sz w:val="16"/>
                <w:szCs w:val="16"/>
              </w:rPr>
            </w:pPr>
            <w:r w:rsidRPr="00C95230">
              <w:rPr>
                <w:rFonts w:ascii="Arial" w:hAnsi="Arial" w:cs="Arial"/>
                <w:color w:val="000000"/>
                <w:sz w:val="16"/>
                <w:szCs w:val="16"/>
              </w:rPr>
              <w:t>-</w:t>
            </w:r>
          </w:p>
        </w:tc>
      </w:tr>
      <w:tr w:rsidR="00C95230" w:rsidRPr="00C95230" w14:paraId="323A6E45" w14:textId="77777777" w:rsidTr="00553851">
        <w:trPr>
          <w:trHeight w:val="204"/>
        </w:trPr>
        <w:tc>
          <w:tcPr>
            <w:tcW w:w="2817" w:type="dxa"/>
            <w:tcBorders>
              <w:top w:val="nil"/>
              <w:left w:val="nil"/>
              <w:bottom w:val="single" w:sz="4" w:space="0" w:color="000000"/>
              <w:right w:val="nil"/>
            </w:tcBorders>
            <w:shd w:val="clear" w:color="auto" w:fill="auto"/>
            <w:vAlign w:val="center"/>
            <w:hideMark/>
          </w:tcPr>
          <w:p w14:paraId="1663E61B" w14:textId="2E7AFD41" w:rsidR="00C95230" w:rsidRPr="00C95230" w:rsidRDefault="00C95230" w:rsidP="00553851">
            <w:pPr>
              <w:spacing w:after="0" w:line="240" w:lineRule="auto"/>
              <w:jc w:val="left"/>
              <w:rPr>
                <w:rFonts w:ascii="Arial" w:hAnsi="Arial" w:cs="Arial"/>
                <w:b/>
                <w:bCs/>
                <w:color w:val="000000"/>
                <w:sz w:val="16"/>
                <w:szCs w:val="16"/>
              </w:rPr>
            </w:pPr>
            <w:r w:rsidRPr="00C95230">
              <w:rPr>
                <w:rFonts w:ascii="Arial" w:hAnsi="Arial" w:cs="Arial"/>
                <w:b/>
                <w:bCs/>
                <w:color w:val="000000"/>
                <w:sz w:val="16"/>
                <w:szCs w:val="16"/>
              </w:rPr>
              <w:t xml:space="preserve">Total </w:t>
            </w:r>
            <w:r w:rsidR="00D94F71">
              <w:rPr>
                <w:rFonts w:ascii="Arial" w:hAnsi="Arial" w:cs="Arial"/>
                <w:b/>
                <w:bCs/>
                <w:color w:val="000000"/>
                <w:sz w:val="16"/>
                <w:szCs w:val="16"/>
              </w:rPr>
              <w:t>D</w:t>
            </w:r>
            <w:r w:rsidR="008863D9">
              <w:rPr>
                <w:rFonts w:ascii="Arial" w:hAnsi="Arial" w:cs="Arial"/>
                <w:b/>
                <w:bCs/>
                <w:color w:val="000000"/>
                <w:sz w:val="16"/>
                <w:szCs w:val="16"/>
              </w:rPr>
              <w:t>epartment</w:t>
            </w:r>
            <w:r w:rsidRPr="00C95230">
              <w:rPr>
                <w:rFonts w:ascii="Arial" w:hAnsi="Arial" w:cs="Arial"/>
                <w:b/>
                <w:bCs/>
                <w:color w:val="000000"/>
                <w:sz w:val="16"/>
                <w:szCs w:val="16"/>
              </w:rPr>
              <w:t>al</w:t>
            </w:r>
          </w:p>
        </w:tc>
        <w:tc>
          <w:tcPr>
            <w:tcW w:w="977" w:type="dxa"/>
            <w:tcBorders>
              <w:top w:val="single" w:sz="4" w:space="0" w:color="auto"/>
              <w:left w:val="nil"/>
              <w:bottom w:val="single" w:sz="4" w:space="0" w:color="000000"/>
              <w:right w:val="nil"/>
            </w:tcBorders>
            <w:shd w:val="clear" w:color="auto" w:fill="auto"/>
            <w:noWrap/>
            <w:vAlign w:val="bottom"/>
            <w:hideMark/>
          </w:tcPr>
          <w:p w14:paraId="117F632B" w14:textId="5D1EF628" w:rsidR="00C95230" w:rsidRPr="00C95230" w:rsidRDefault="00C95230" w:rsidP="00E91CFA">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58,786</w:t>
            </w:r>
          </w:p>
        </w:tc>
        <w:tc>
          <w:tcPr>
            <w:tcW w:w="976" w:type="dxa"/>
            <w:tcBorders>
              <w:top w:val="single" w:sz="4" w:space="0" w:color="auto"/>
              <w:left w:val="nil"/>
              <w:bottom w:val="single" w:sz="4" w:space="0" w:color="000000"/>
              <w:right w:val="nil"/>
            </w:tcBorders>
            <w:shd w:val="clear" w:color="auto" w:fill="auto"/>
            <w:noWrap/>
            <w:vAlign w:val="bottom"/>
            <w:hideMark/>
          </w:tcPr>
          <w:p w14:paraId="5F0C156D" w14:textId="07D63566" w:rsidR="00C95230" w:rsidRPr="00C95230" w:rsidRDefault="00C95230" w:rsidP="00E91CFA">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56,810</w:t>
            </w:r>
          </w:p>
        </w:tc>
        <w:tc>
          <w:tcPr>
            <w:tcW w:w="976" w:type="dxa"/>
            <w:tcBorders>
              <w:top w:val="single" w:sz="4" w:space="0" w:color="auto"/>
              <w:left w:val="nil"/>
              <w:bottom w:val="single" w:sz="4" w:space="0" w:color="000000"/>
              <w:right w:val="nil"/>
            </w:tcBorders>
            <w:shd w:val="clear" w:color="auto" w:fill="auto"/>
            <w:noWrap/>
            <w:vAlign w:val="bottom"/>
            <w:hideMark/>
          </w:tcPr>
          <w:p w14:paraId="6D9EE843" w14:textId="3FCB4DDD" w:rsidR="00C95230" w:rsidRPr="00C95230" w:rsidRDefault="00C95230" w:rsidP="00E91CFA">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57,493</w:t>
            </w:r>
          </w:p>
        </w:tc>
        <w:tc>
          <w:tcPr>
            <w:tcW w:w="977" w:type="dxa"/>
            <w:tcBorders>
              <w:top w:val="single" w:sz="4" w:space="0" w:color="auto"/>
              <w:left w:val="nil"/>
              <w:bottom w:val="single" w:sz="4" w:space="0" w:color="000000"/>
              <w:right w:val="nil"/>
            </w:tcBorders>
            <w:shd w:val="clear" w:color="000000" w:fill="E6E6E6"/>
            <w:noWrap/>
            <w:vAlign w:val="bottom"/>
            <w:hideMark/>
          </w:tcPr>
          <w:p w14:paraId="0441413D" w14:textId="7576FFE2" w:rsidR="00C95230" w:rsidRPr="00C95230" w:rsidRDefault="00C95230" w:rsidP="00E91CFA">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683</w:t>
            </w:r>
          </w:p>
        </w:tc>
        <w:tc>
          <w:tcPr>
            <w:tcW w:w="977" w:type="dxa"/>
            <w:tcBorders>
              <w:top w:val="single" w:sz="4" w:space="0" w:color="auto"/>
              <w:left w:val="nil"/>
              <w:bottom w:val="single" w:sz="4" w:space="0" w:color="000000"/>
              <w:right w:val="nil"/>
            </w:tcBorders>
            <w:shd w:val="clear" w:color="000000" w:fill="E6E6E6"/>
            <w:noWrap/>
            <w:vAlign w:val="bottom"/>
            <w:hideMark/>
          </w:tcPr>
          <w:p w14:paraId="56706E0B" w14:textId="714370D1" w:rsidR="00C95230" w:rsidRPr="00C95230" w:rsidRDefault="00C95230" w:rsidP="00E91CFA">
            <w:pPr>
              <w:spacing w:after="0" w:line="240" w:lineRule="auto"/>
              <w:jc w:val="right"/>
              <w:rPr>
                <w:rFonts w:ascii="Arial" w:hAnsi="Arial" w:cs="Arial"/>
                <w:b/>
                <w:bCs/>
                <w:color w:val="000000"/>
                <w:sz w:val="16"/>
                <w:szCs w:val="16"/>
              </w:rPr>
            </w:pPr>
            <w:r w:rsidRPr="00C95230">
              <w:rPr>
                <w:rFonts w:ascii="Arial" w:hAnsi="Arial" w:cs="Arial"/>
                <w:b/>
                <w:bCs/>
                <w:color w:val="000000"/>
                <w:sz w:val="16"/>
                <w:szCs w:val="16"/>
              </w:rPr>
              <w:t>-</w:t>
            </w:r>
          </w:p>
        </w:tc>
      </w:tr>
    </w:tbl>
    <w:p w14:paraId="1084EEFE" w14:textId="77777777" w:rsidR="00DB1E4C" w:rsidRPr="000968CC" w:rsidRDefault="00DB1E4C" w:rsidP="004B202A">
      <w:pPr>
        <w:jc w:val="left"/>
      </w:pPr>
    </w:p>
    <w:p w14:paraId="0032F6DF" w14:textId="77777777" w:rsidR="00603A22" w:rsidRDefault="00603A22" w:rsidP="00603A22">
      <w:pPr>
        <w:pStyle w:val="TableHeading"/>
        <w:rPr>
          <w:lang w:val="en-GB"/>
        </w:rPr>
      </w:pPr>
      <w:r>
        <w:t>Table 1.5:</w:t>
      </w:r>
      <w:r w:rsidRPr="00D81F65">
        <w:t xml:space="preserve"> Appropriation Bill (No. 4) 20</w:t>
      </w:r>
      <w:r>
        <w:t>2</w:t>
      </w:r>
      <w:r>
        <w:rPr>
          <w:lang w:val="en-GB"/>
        </w:rPr>
        <w:t>1</w:t>
      </w:r>
      <w:r w:rsidRPr="00D81F65">
        <w:rPr>
          <w:rFonts w:hint="eastAsia"/>
        </w:rPr>
        <w:t>–</w:t>
      </w:r>
      <w:r>
        <w:t>2</w:t>
      </w:r>
      <w:r>
        <w:rPr>
          <w:lang w:val="en-GB"/>
        </w:rPr>
        <w:t>2</w:t>
      </w:r>
    </w:p>
    <w:p w14:paraId="0B9BA246" w14:textId="1D9DAD8B" w:rsidR="00603A22" w:rsidRPr="00603A22" w:rsidRDefault="00603A22" w:rsidP="00D36722">
      <w:pPr>
        <w:jc w:val="left"/>
      </w:pPr>
      <w:r w:rsidRPr="00603A22">
        <w:t xml:space="preserve">NLA </w:t>
      </w:r>
      <w:r w:rsidR="00E3426B">
        <w:t xml:space="preserve">is </w:t>
      </w:r>
      <w:r w:rsidRPr="00603A22">
        <w:t xml:space="preserve">not seeking additional </w:t>
      </w:r>
      <w:r w:rsidR="00E3426B">
        <w:t xml:space="preserve">funding through </w:t>
      </w:r>
      <w:r w:rsidRPr="00603A22">
        <w:t>Appropriation Bill (No. 4)</w:t>
      </w:r>
      <w:r w:rsidR="00043ABD">
        <w:t>.</w:t>
      </w:r>
    </w:p>
    <w:p w14:paraId="3985B370" w14:textId="77777777" w:rsidR="009F2459" w:rsidRDefault="009F2459">
      <w:pPr>
        <w:spacing w:after="0" w:line="240" w:lineRule="auto"/>
        <w:jc w:val="left"/>
        <w:rPr>
          <w:rFonts w:ascii="Arial" w:hAnsi="Arial"/>
          <w:b/>
          <w:sz w:val="30"/>
        </w:rPr>
      </w:pPr>
      <w:bookmarkStart w:id="511" w:name="_Toc93405197"/>
      <w:bookmarkStart w:id="512" w:name="_Toc94040072"/>
      <w:r>
        <w:br w:type="page"/>
      </w:r>
    </w:p>
    <w:p w14:paraId="55870296" w14:textId="5104A047" w:rsidR="00914885" w:rsidRPr="00E41681" w:rsidRDefault="00914885" w:rsidP="0030114B">
      <w:pPr>
        <w:pStyle w:val="Heading2-TOCNLA"/>
      </w:pPr>
      <w:r w:rsidRPr="00E41681">
        <w:lastRenderedPageBreak/>
        <w:t>Section 2: Revisions to outcomes and planned performance</w:t>
      </w:r>
      <w:bookmarkEnd w:id="511"/>
      <w:bookmarkEnd w:id="512"/>
    </w:p>
    <w:p w14:paraId="377B17EC" w14:textId="7ED6E687" w:rsidR="00914885" w:rsidRDefault="00914885" w:rsidP="0030114B">
      <w:pPr>
        <w:pStyle w:val="Heading3NLA"/>
      </w:pPr>
      <w:bookmarkStart w:id="513" w:name="_Toc93405198"/>
      <w:bookmarkStart w:id="514" w:name="_Toc94040073"/>
      <w:r>
        <w:t>2.</w:t>
      </w:r>
      <w:r w:rsidR="003C0999">
        <w:t>1</w:t>
      </w:r>
      <w:r>
        <w:tab/>
        <w:t>Changes to outcome and program structures</w:t>
      </w:r>
      <w:bookmarkEnd w:id="513"/>
      <w:bookmarkEnd w:id="514"/>
      <w:r>
        <w:t xml:space="preserve"> </w:t>
      </w:r>
    </w:p>
    <w:p w14:paraId="782DB515" w14:textId="3E8EE2ED" w:rsidR="00955579" w:rsidRDefault="003C0999" w:rsidP="00784E50">
      <w:pPr>
        <w:jc w:val="left"/>
      </w:pPr>
      <w:r w:rsidRPr="009E4120">
        <w:t>There has been no</w:t>
      </w:r>
      <w:r>
        <w:t xml:space="preserve"> revision to the outcome or program structure of the NLA as a result of the additional estimates since the publication of the</w:t>
      </w:r>
      <w:r w:rsidRPr="009E4120">
        <w:t xml:space="preserve"> </w:t>
      </w:r>
      <w:r w:rsidR="00360023" w:rsidRPr="009E4120">
        <w:t xml:space="preserve">2021-22 </w:t>
      </w:r>
      <w:r w:rsidRPr="009E4120">
        <w:t xml:space="preserve">Infrastructure, Transport, Regional Development and Communications PB Statements. </w:t>
      </w:r>
    </w:p>
    <w:p w14:paraId="26A9A56C" w14:textId="2B902D2A" w:rsidR="003C0999" w:rsidRPr="00F37CD1" w:rsidRDefault="00DF1494" w:rsidP="00F37CD1">
      <w:pPr>
        <w:pStyle w:val="Heading3NLA"/>
      </w:pPr>
      <w:bookmarkStart w:id="515" w:name="_Toc93405199"/>
      <w:bookmarkStart w:id="516" w:name="_Toc94040074"/>
      <w:r w:rsidRPr="00F37CD1">
        <w:t>2.2</w:t>
      </w:r>
      <w:r w:rsidRPr="00F37CD1">
        <w:tab/>
      </w:r>
      <w:r w:rsidR="003C0999" w:rsidRPr="00F37CD1">
        <w:t xml:space="preserve">Budgeted expenses </w:t>
      </w:r>
      <w:r w:rsidRPr="00F37CD1">
        <w:t>and p</w:t>
      </w:r>
      <w:r w:rsidR="00955579" w:rsidRPr="00F37CD1">
        <w:t>erformance</w:t>
      </w:r>
      <w:r w:rsidRPr="00F37CD1">
        <w:t xml:space="preserve"> </w:t>
      </w:r>
      <w:r w:rsidR="003C0999" w:rsidRPr="00F37CD1">
        <w:t>for Outcome 1</w:t>
      </w:r>
      <w:bookmarkEnd w:id="515"/>
      <w:bookmarkEnd w:id="5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4A0" w:firstRow="1" w:lastRow="0" w:firstColumn="1" w:lastColumn="0" w:noHBand="0" w:noVBand="1"/>
      </w:tblPr>
      <w:tblGrid>
        <w:gridCol w:w="7542"/>
      </w:tblGrid>
      <w:tr w:rsidR="001D77BC" w:rsidRPr="00373AEC" w14:paraId="77B985C6" w14:textId="77777777" w:rsidTr="00BD2516">
        <w:tc>
          <w:tcPr>
            <w:tcW w:w="7542" w:type="dxa"/>
            <w:shd w:val="clear" w:color="auto" w:fill="E6E6E6"/>
          </w:tcPr>
          <w:p w14:paraId="28C06398" w14:textId="4FA772DC" w:rsidR="001D77BC" w:rsidRPr="0043244B" w:rsidRDefault="001D77BC" w:rsidP="00DB0DF9">
            <w:pPr>
              <w:spacing w:before="120" w:after="120"/>
              <w:jc w:val="left"/>
              <w:rPr>
                <w:rFonts w:ascii="Arial" w:hAnsi="Arial" w:cs="Arial"/>
                <w:b/>
              </w:rPr>
            </w:pPr>
            <w:r>
              <w:br w:type="page"/>
            </w:r>
            <w:r w:rsidRPr="0043244B">
              <w:rPr>
                <w:rFonts w:ascii="Arial" w:hAnsi="Arial"/>
                <w:b/>
              </w:rPr>
              <w:t xml:space="preserve">Outcome 1: </w:t>
            </w:r>
            <w:r w:rsidRPr="001D77BC">
              <w:rPr>
                <w:rFonts w:ascii="Arial" w:hAnsi="Arial"/>
                <w:b/>
              </w:rPr>
              <w:t>Enhanced learning, knowledge creation, enjoyment and understanding of Australian life and society by providing access to a national collection of library material</w:t>
            </w:r>
          </w:p>
        </w:tc>
      </w:tr>
    </w:tbl>
    <w:p w14:paraId="47547FDA" w14:textId="1DD77C36" w:rsidR="00DF1494" w:rsidRPr="00DF1494" w:rsidRDefault="00DF1494" w:rsidP="00A20718">
      <w:pPr>
        <w:spacing w:before="240" w:after="0"/>
        <w:rPr>
          <w:rFonts w:ascii="Arial" w:hAnsi="Arial" w:cs="Arial"/>
          <w:b/>
          <w:lang w:val="x-none"/>
        </w:rPr>
      </w:pPr>
      <w:r w:rsidRPr="00DF1494">
        <w:rPr>
          <w:rFonts w:ascii="Arial" w:hAnsi="Arial" w:cs="Arial"/>
          <w:b/>
        </w:rPr>
        <w:t>Budgeted expenses for Outcome</w:t>
      </w:r>
      <w:r>
        <w:rPr>
          <w:rFonts w:ascii="Arial" w:hAnsi="Arial" w:cs="Arial"/>
          <w:b/>
        </w:rPr>
        <w:t xml:space="preserve"> 1</w:t>
      </w:r>
    </w:p>
    <w:p w14:paraId="553BF7AD" w14:textId="4050D804" w:rsidR="003C0999" w:rsidRDefault="003C0999" w:rsidP="003C0999">
      <w:pPr>
        <w:jc w:val="left"/>
      </w:pPr>
      <w:r w:rsidRPr="00950281">
        <w:t>This table shows how much the</w:t>
      </w:r>
      <w:r>
        <w:t xml:space="preserve"> NLA</w:t>
      </w:r>
      <w:r w:rsidRPr="00950281">
        <w:t xml:space="preserve"> intends to spend (on an accrual basis) on achieving the outcome, broken down by program</w:t>
      </w:r>
      <w:r>
        <w:t>.</w:t>
      </w:r>
    </w:p>
    <w:p w14:paraId="145478BC" w14:textId="432C697F" w:rsidR="003C0999" w:rsidRDefault="003C0999" w:rsidP="003C0999">
      <w:pPr>
        <w:pStyle w:val="TableHeading"/>
        <w:rPr>
          <w:lang w:val="en-GB"/>
        </w:rPr>
      </w:pPr>
      <w:r>
        <w:t>Table 2.</w:t>
      </w:r>
      <w:r w:rsidR="00DF1494">
        <w:rPr>
          <w:lang w:val="en-US"/>
        </w:rPr>
        <w:t>2</w:t>
      </w:r>
      <w:r>
        <w:t xml:space="preserve">.1: Budgeted expenses for Outcome </w:t>
      </w:r>
      <w:r>
        <w:rPr>
          <w:lang w:val="en-GB"/>
        </w:rPr>
        <w:t>1</w:t>
      </w:r>
    </w:p>
    <w:tbl>
      <w:tblPr>
        <w:tblW w:w="7331" w:type="dxa"/>
        <w:tblLook w:val="04A0" w:firstRow="1" w:lastRow="0" w:firstColumn="1" w:lastColumn="0" w:noHBand="0" w:noVBand="1"/>
      </w:tblPr>
      <w:tblGrid>
        <w:gridCol w:w="2977"/>
        <w:gridCol w:w="880"/>
        <w:gridCol w:w="880"/>
        <w:gridCol w:w="821"/>
        <w:gridCol w:w="880"/>
        <w:gridCol w:w="885"/>
        <w:gridCol w:w="8"/>
      </w:tblGrid>
      <w:tr w:rsidR="003C0999" w:rsidRPr="00AA6563" w14:paraId="1C531A2B" w14:textId="77777777" w:rsidTr="00546B48">
        <w:trPr>
          <w:gridAfter w:val="1"/>
          <w:wAfter w:w="8" w:type="dxa"/>
          <w:trHeight w:val="439"/>
        </w:trPr>
        <w:tc>
          <w:tcPr>
            <w:tcW w:w="2977" w:type="dxa"/>
            <w:tcBorders>
              <w:top w:val="single" w:sz="4" w:space="0" w:color="auto"/>
              <w:left w:val="nil"/>
              <w:bottom w:val="nil"/>
              <w:right w:val="nil"/>
            </w:tcBorders>
            <w:shd w:val="clear" w:color="auto" w:fill="auto"/>
            <w:vAlign w:val="center"/>
            <w:hideMark/>
          </w:tcPr>
          <w:p w14:paraId="6FD86BAC" w14:textId="77777777" w:rsidR="003C0999" w:rsidRPr="00AA6563" w:rsidRDefault="003C0999" w:rsidP="00984C33">
            <w:pPr>
              <w:spacing w:after="0" w:line="240" w:lineRule="auto"/>
              <w:jc w:val="left"/>
              <w:rPr>
                <w:rFonts w:ascii="Arial" w:hAnsi="Arial" w:cs="Arial"/>
                <w:b/>
                <w:bCs/>
                <w:color w:val="000000"/>
                <w:sz w:val="16"/>
                <w:szCs w:val="16"/>
              </w:rPr>
            </w:pPr>
            <w:r w:rsidRPr="00AA6563">
              <w:rPr>
                <w:rFonts w:ascii="Arial" w:hAnsi="Arial" w:cs="Arial"/>
                <w:b/>
                <w:bCs/>
                <w:color w:val="000000"/>
                <w:sz w:val="16"/>
                <w:szCs w:val="16"/>
              </w:rPr>
              <w:t> </w:t>
            </w:r>
          </w:p>
        </w:tc>
        <w:tc>
          <w:tcPr>
            <w:tcW w:w="880" w:type="dxa"/>
            <w:tcBorders>
              <w:top w:val="single" w:sz="4" w:space="0" w:color="auto"/>
              <w:left w:val="nil"/>
              <w:bottom w:val="single" w:sz="4" w:space="0" w:color="auto"/>
              <w:right w:val="nil"/>
            </w:tcBorders>
            <w:shd w:val="clear" w:color="auto" w:fill="auto"/>
            <w:hideMark/>
          </w:tcPr>
          <w:p w14:paraId="5CA785C4" w14:textId="77777777" w:rsidR="003C0999" w:rsidRPr="00AA6563" w:rsidRDefault="003C0999" w:rsidP="00984C33">
            <w:pPr>
              <w:spacing w:after="0" w:line="240" w:lineRule="auto"/>
              <w:jc w:val="right"/>
              <w:rPr>
                <w:rFonts w:ascii="Arial" w:hAnsi="Arial" w:cs="Arial"/>
                <w:sz w:val="16"/>
                <w:szCs w:val="16"/>
              </w:rPr>
            </w:pPr>
            <w:r w:rsidRPr="00AA6563">
              <w:rPr>
                <w:rFonts w:ascii="Arial" w:hAnsi="Arial" w:cs="Arial"/>
                <w:sz w:val="16"/>
                <w:szCs w:val="16"/>
              </w:rPr>
              <w:t>2020-21 Actual</w:t>
            </w:r>
            <w:r w:rsidRPr="00AA6563">
              <w:rPr>
                <w:rFonts w:ascii="Arial" w:hAnsi="Arial" w:cs="Arial"/>
                <w:sz w:val="16"/>
                <w:szCs w:val="16"/>
              </w:rPr>
              <w:br/>
            </w:r>
            <w:r w:rsidRPr="00AA656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21C399C7" w14:textId="77777777" w:rsidR="003C0999" w:rsidRPr="00AA6563" w:rsidRDefault="003C0999" w:rsidP="00984C33">
            <w:pPr>
              <w:spacing w:after="0" w:line="240" w:lineRule="auto"/>
              <w:jc w:val="right"/>
              <w:rPr>
                <w:rFonts w:ascii="Arial" w:hAnsi="Arial" w:cs="Arial"/>
                <w:sz w:val="16"/>
                <w:szCs w:val="16"/>
              </w:rPr>
            </w:pPr>
            <w:r w:rsidRPr="00AA6563">
              <w:rPr>
                <w:rFonts w:ascii="Arial" w:hAnsi="Arial" w:cs="Arial"/>
                <w:sz w:val="16"/>
                <w:szCs w:val="16"/>
              </w:rPr>
              <w:t>2021-22</w:t>
            </w:r>
            <w:r w:rsidRPr="00AA6563">
              <w:rPr>
                <w:rFonts w:ascii="Arial" w:hAnsi="Arial" w:cs="Arial"/>
                <w:sz w:val="16"/>
                <w:szCs w:val="16"/>
              </w:rPr>
              <w:br/>
              <w:t>Revised Budget</w:t>
            </w:r>
            <w:r w:rsidRPr="00AA6563">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67EF3E82" w14:textId="77777777" w:rsidR="003C0999" w:rsidRPr="00AA6563" w:rsidRDefault="003C0999" w:rsidP="00984C33">
            <w:pPr>
              <w:spacing w:after="0" w:line="240" w:lineRule="auto"/>
              <w:jc w:val="right"/>
              <w:rPr>
                <w:rFonts w:ascii="Arial" w:hAnsi="Arial" w:cs="Arial"/>
                <w:sz w:val="16"/>
                <w:szCs w:val="16"/>
              </w:rPr>
            </w:pPr>
            <w:r w:rsidRPr="00AA6563">
              <w:rPr>
                <w:rFonts w:ascii="Arial" w:hAnsi="Arial" w:cs="Arial"/>
                <w:sz w:val="16"/>
                <w:szCs w:val="16"/>
              </w:rPr>
              <w:t>2022-23 Forward estimate</w:t>
            </w:r>
            <w:r w:rsidRPr="00AA656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603DEB8C" w14:textId="77777777" w:rsidR="003C0999" w:rsidRPr="00AA6563" w:rsidRDefault="003C0999" w:rsidP="00984C33">
            <w:pPr>
              <w:spacing w:after="0" w:line="240" w:lineRule="auto"/>
              <w:jc w:val="right"/>
              <w:rPr>
                <w:rFonts w:ascii="Arial" w:hAnsi="Arial" w:cs="Arial"/>
                <w:sz w:val="16"/>
                <w:szCs w:val="16"/>
              </w:rPr>
            </w:pPr>
            <w:r w:rsidRPr="00AA6563">
              <w:rPr>
                <w:rFonts w:ascii="Arial" w:hAnsi="Arial" w:cs="Arial"/>
                <w:sz w:val="16"/>
                <w:szCs w:val="16"/>
              </w:rPr>
              <w:t>2023-24 Forward estimate</w:t>
            </w:r>
            <w:r w:rsidRPr="00AA6563">
              <w:rPr>
                <w:rFonts w:ascii="Arial" w:hAnsi="Arial" w:cs="Arial"/>
                <w:sz w:val="16"/>
                <w:szCs w:val="16"/>
              </w:rPr>
              <w:br/>
              <w:t>$'000</w:t>
            </w:r>
          </w:p>
        </w:tc>
        <w:tc>
          <w:tcPr>
            <w:tcW w:w="885" w:type="dxa"/>
            <w:tcBorders>
              <w:top w:val="single" w:sz="4" w:space="0" w:color="auto"/>
              <w:left w:val="nil"/>
              <w:bottom w:val="single" w:sz="4" w:space="0" w:color="auto"/>
              <w:right w:val="nil"/>
            </w:tcBorders>
            <w:shd w:val="clear" w:color="auto" w:fill="auto"/>
            <w:hideMark/>
          </w:tcPr>
          <w:p w14:paraId="42825065" w14:textId="77777777" w:rsidR="003C0999" w:rsidRPr="00AA6563" w:rsidRDefault="003C0999" w:rsidP="00984C33">
            <w:pPr>
              <w:spacing w:after="0" w:line="240" w:lineRule="auto"/>
              <w:jc w:val="right"/>
              <w:rPr>
                <w:rFonts w:ascii="Arial" w:hAnsi="Arial" w:cs="Arial"/>
                <w:sz w:val="16"/>
                <w:szCs w:val="16"/>
              </w:rPr>
            </w:pPr>
            <w:r w:rsidRPr="00AA6563">
              <w:rPr>
                <w:rFonts w:ascii="Arial" w:hAnsi="Arial" w:cs="Arial"/>
                <w:sz w:val="16"/>
                <w:szCs w:val="16"/>
              </w:rPr>
              <w:t>2024-25</w:t>
            </w:r>
            <w:r w:rsidRPr="00AA6563">
              <w:rPr>
                <w:rFonts w:ascii="Arial" w:hAnsi="Arial" w:cs="Arial"/>
                <w:sz w:val="16"/>
                <w:szCs w:val="16"/>
              </w:rPr>
              <w:br/>
              <w:t>Forward estimate</w:t>
            </w:r>
            <w:r w:rsidRPr="00AA6563">
              <w:rPr>
                <w:rFonts w:ascii="Arial" w:hAnsi="Arial" w:cs="Arial"/>
                <w:sz w:val="16"/>
                <w:szCs w:val="16"/>
              </w:rPr>
              <w:br/>
              <w:t>$'000</w:t>
            </w:r>
          </w:p>
        </w:tc>
      </w:tr>
      <w:tr w:rsidR="003C0999" w:rsidRPr="00AA6563" w14:paraId="4AD113C1" w14:textId="77777777" w:rsidTr="00784E50">
        <w:trPr>
          <w:trHeight w:val="229"/>
        </w:trPr>
        <w:tc>
          <w:tcPr>
            <w:tcW w:w="7331" w:type="dxa"/>
            <w:gridSpan w:val="7"/>
            <w:tcBorders>
              <w:top w:val="single" w:sz="4" w:space="0" w:color="auto"/>
              <w:left w:val="nil"/>
              <w:bottom w:val="single" w:sz="4" w:space="0" w:color="auto"/>
              <w:right w:val="nil"/>
            </w:tcBorders>
            <w:shd w:val="clear" w:color="000000" w:fill="E6E6E6"/>
            <w:vAlign w:val="center"/>
            <w:hideMark/>
          </w:tcPr>
          <w:p w14:paraId="3B1FB78B" w14:textId="77777777" w:rsidR="003C0999" w:rsidRPr="00AA6563" w:rsidRDefault="003C0999" w:rsidP="00984C33">
            <w:pPr>
              <w:spacing w:after="0" w:line="240" w:lineRule="auto"/>
              <w:jc w:val="left"/>
              <w:rPr>
                <w:rFonts w:ascii="Arial" w:hAnsi="Arial" w:cs="Arial"/>
                <w:b/>
                <w:bCs/>
                <w:sz w:val="16"/>
                <w:szCs w:val="16"/>
              </w:rPr>
            </w:pPr>
            <w:r w:rsidRPr="00AA6563">
              <w:rPr>
                <w:rFonts w:ascii="Arial" w:hAnsi="Arial" w:cs="Arial"/>
                <w:b/>
                <w:bCs/>
                <w:sz w:val="16"/>
                <w:szCs w:val="16"/>
              </w:rPr>
              <w:t>Program 1.1: National Library of Australia</w:t>
            </w:r>
          </w:p>
        </w:tc>
      </w:tr>
      <w:tr w:rsidR="003C0999" w:rsidRPr="00AA6563" w14:paraId="0837919C" w14:textId="77777777" w:rsidTr="00784E50">
        <w:trPr>
          <w:gridAfter w:val="1"/>
          <w:wAfter w:w="8" w:type="dxa"/>
          <w:trHeight w:val="204"/>
        </w:trPr>
        <w:tc>
          <w:tcPr>
            <w:tcW w:w="2977" w:type="dxa"/>
            <w:tcBorders>
              <w:top w:val="nil"/>
              <w:left w:val="nil"/>
              <w:bottom w:val="nil"/>
              <w:right w:val="nil"/>
            </w:tcBorders>
            <w:shd w:val="clear" w:color="auto" w:fill="auto"/>
            <w:noWrap/>
            <w:vAlign w:val="center"/>
            <w:hideMark/>
          </w:tcPr>
          <w:p w14:paraId="51EFBF29" w14:textId="77777777" w:rsidR="003C0999" w:rsidRPr="00AA6563" w:rsidRDefault="003C0999" w:rsidP="00984C33">
            <w:pPr>
              <w:spacing w:after="0" w:line="240" w:lineRule="auto"/>
              <w:jc w:val="left"/>
              <w:rPr>
                <w:rFonts w:ascii="Arial" w:hAnsi="Arial" w:cs="Arial"/>
                <w:sz w:val="16"/>
                <w:szCs w:val="16"/>
              </w:rPr>
            </w:pPr>
            <w:r w:rsidRPr="00AA6563">
              <w:rPr>
                <w:rFonts w:ascii="Arial" w:hAnsi="Arial" w:cs="Arial"/>
                <w:sz w:val="16"/>
                <w:szCs w:val="16"/>
              </w:rPr>
              <w:t>Revenue from Government</w:t>
            </w:r>
          </w:p>
        </w:tc>
        <w:tc>
          <w:tcPr>
            <w:tcW w:w="880" w:type="dxa"/>
            <w:tcBorders>
              <w:top w:val="nil"/>
              <w:left w:val="nil"/>
              <w:bottom w:val="nil"/>
              <w:right w:val="nil"/>
            </w:tcBorders>
            <w:shd w:val="clear" w:color="auto" w:fill="auto"/>
            <w:noWrap/>
            <w:vAlign w:val="bottom"/>
            <w:hideMark/>
          </w:tcPr>
          <w:p w14:paraId="75855EE2" w14:textId="77777777" w:rsidR="003C0999" w:rsidRPr="00AA6563" w:rsidRDefault="003C0999" w:rsidP="00984C33">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895FFE3" w14:textId="1579D545" w:rsidR="003C0999" w:rsidRPr="00AA6563" w:rsidRDefault="003C0999" w:rsidP="00984C33">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4D865DA3" w14:textId="77777777" w:rsidR="003C0999" w:rsidRPr="00AA6563" w:rsidRDefault="003C0999" w:rsidP="00984C33">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6C31C91" w14:textId="77777777" w:rsidR="003C0999" w:rsidRPr="00AA6563" w:rsidRDefault="003C0999" w:rsidP="00984C33">
            <w:pPr>
              <w:spacing w:after="0" w:line="240" w:lineRule="auto"/>
              <w:jc w:val="left"/>
              <w:rPr>
                <w:rFonts w:ascii="Times New Roman" w:hAnsi="Times New Roman"/>
              </w:rPr>
            </w:pPr>
          </w:p>
        </w:tc>
        <w:tc>
          <w:tcPr>
            <w:tcW w:w="885" w:type="dxa"/>
            <w:tcBorders>
              <w:top w:val="nil"/>
              <w:left w:val="nil"/>
              <w:bottom w:val="nil"/>
              <w:right w:val="nil"/>
            </w:tcBorders>
            <w:shd w:val="clear" w:color="auto" w:fill="auto"/>
            <w:noWrap/>
            <w:vAlign w:val="bottom"/>
            <w:hideMark/>
          </w:tcPr>
          <w:p w14:paraId="762BC528" w14:textId="77777777" w:rsidR="003C0999" w:rsidRPr="00AA6563" w:rsidRDefault="003C0999" w:rsidP="00984C33">
            <w:pPr>
              <w:spacing w:after="0" w:line="240" w:lineRule="auto"/>
              <w:jc w:val="left"/>
              <w:rPr>
                <w:rFonts w:ascii="Times New Roman" w:hAnsi="Times New Roman"/>
              </w:rPr>
            </w:pPr>
          </w:p>
        </w:tc>
      </w:tr>
      <w:tr w:rsidR="00720F4E" w:rsidRPr="00AA6563" w14:paraId="0120A769" w14:textId="77777777" w:rsidTr="00784E50">
        <w:trPr>
          <w:gridAfter w:val="1"/>
          <w:wAfter w:w="8" w:type="dxa"/>
          <w:trHeight w:val="204"/>
        </w:trPr>
        <w:tc>
          <w:tcPr>
            <w:tcW w:w="2977" w:type="dxa"/>
            <w:tcBorders>
              <w:top w:val="nil"/>
              <w:left w:val="nil"/>
              <w:bottom w:val="nil"/>
              <w:right w:val="nil"/>
            </w:tcBorders>
            <w:shd w:val="clear" w:color="auto" w:fill="auto"/>
            <w:vAlign w:val="center"/>
            <w:hideMark/>
          </w:tcPr>
          <w:p w14:paraId="56D9CDBC" w14:textId="08896831" w:rsidR="00720F4E" w:rsidRPr="00AA6563" w:rsidRDefault="00720F4E" w:rsidP="00720F4E">
            <w:pPr>
              <w:spacing w:after="0" w:line="240" w:lineRule="auto"/>
              <w:ind w:left="113"/>
              <w:jc w:val="left"/>
              <w:rPr>
                <w:rFonts w:ascii="Arial" w:hAnsi="Arial" w:cs="Arial"/>
                <w:sz w:val="16"/>
                <w:szCs w:val="16"/>
              </w:rPr>
            </w:pPr>
            <w:r w:rsidRPr="00AA6563">
              <w:rPr>
                <w:rFonts w:ascii="Arial" w:hAnsi="Arial" w:cs="Arial"/>
                <w:sz w:val="16"/>
                <w:szCs w:val="16"/>
              </w:rPr>
              <w:t>Ordinary annual services</w:t>
            </w:r>
            <w:r>
              <w:rPr>
                <w:rFonts w:ascii="Arial" w:hAnsi="Arial" w:cs="Arial"/>
                <w:sz w:val="16"/>
                <w:szCs w:val="16"/>
              </w:rPr>
              <w:t xml:space="preserve"> </w:t>
            </w:r>
            <w:r w:rsidRPr="00AA6563">
              <w:rPr>
                <w:rFonts w:ascii="Arial" w:hAnsi="Arial" w:cs="Arial"/>
                <w:sz w:val="16"/>
                <w:szCs w:val="16"/>
              </w:rPr>
              <w:t>(Appropriation Bill No. 1)</w:t>
            </w:r>
          </w:p>
        </w:tc>
        <w:tc>
          <w:tcPr>
            <w:tcW w:w="880" w:type="dxa"/>
            <w:tcBorders>
              <w:top w:val="nil"/>
              <w:left w:val="nil"/>
              <w:bottom w:val="nil"/>
              <w:right w:val="nil"/>
            </w:tcBorders>
            <w:shd w:val="clear" w:color="auto" w:fill="auto"/>
            <w:noWrap/>
            <w:vAlign w:val="bottom"/>
            <w:hideMark/>
          </w:tcPr>
          <w:p w14:paraId="7CB68ABF" w14:textId="7DF781A4" w:rsidR="00720F4E" w:rsidRPr="00AA6563" w:rsidRDefault="00720F4E" w:rsidP="00720F4E">
            <w:pPr>
              <w:spacing w:after="0" w:line="240" w:lineRule="auto"/>
              <w:jc w:val="right"/>
              <w:rPr>
                <w:rFonts w:ascii="Arial" w:hAnsi="Arial" w:cs="Arial"/>
                <w:color w:val="000000"/>
                <w:sz w:val="16"/>
                <w:szCs w:val="16"/>
              </w:rPr>
            </w:pPr>
            <w:r>
              <w:rPr>
                <w:rFonts w:ascii="Arial" w:hAnsi="Arial" w:cs="Arial"/>
                <w:color w:val="000000"/>
                <w:sz w:val="16"/>
                <w:szCs w:val="16"/>
              </w:rPr>
              <w:t>58,786</w:t>
            </w:r>
          </w:p>
        </w:tc>
        <w:tc>
          <w:tcPr>
            <w:tcW w:w="880" w:type="dxa"/>
            <w:tcBorders>
              <w:top w:val="nil"/>
              <w:left w:val="nil"/>
              <w:bottom w:val="nil"/>
              <w:right w:val="nil"/>
            </w:tcBorders>
            <w:shd w:val="clear" w:color="000000" w:fill="E6E6E6"/>
            <w:noWrap/>
            <w:vAlign w:val="bottom"/>
            <w:hideMark/>
          </w:tcPr>
          <w:p w14:paraId="01F5BF58" w14:textId="1B357F05"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57,493</w:t>
            </w:r>
          </w:p>
        </w:tc>
        <w:tc>
          <w:tcPr>
            <w:tcW w:w="821" w:type="dxa"/>
            <w:tcBorders>
              <w:top w:val="nil"/>
              <w:left w:val="nil"/>
              <w:bottom w:val="nil"/>
              <w:right w:val="nil"/>
            </w:tcBorders>
            <w:shd w:val="clear" w:color="auto" w:fill="auto"/>
            <w:noWrap/>
            <w:vAlign w:val="bottom"/>
            <w:hideMark/>
          </w:tcPr>
          <w:p w14:paraId="4BBA537B" w14:textId="6E56A1D4"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60,880</w:t>
            </w:r>
          </w:p>
        </w:tc>
        <w:tc>
          <w:tcPr>
            <w:tcW w:w="880" w:type="dxa"/>
            <w:tcBorders>
              <w:top w:val="nil"/>
              <w:left w:val="nil"/>
              <w:bottom w:val="nil"/>
              <w:right w:val="nil"/>
            </w:tcBorders>
            <w:shd w:val="clear" w:color="auto" w:fill="auto"/>
            <w:noWrap/>
            <w:vAlign w:val="bottom"/>
            <w:hideMark/>
          </w:tcPr>
          <w:p w14:paraId="46217E96" w14:textId="0C8B3901"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47,014</w:t>
            </w:r>
          </w:p>
        </w:tc>
        <w:tc>
          <w:tcPr>
            <w:tcW w:w="885" w:type="dxa"/>
            <w:tcBorders>
              <w:top w:val="nil"/>
              <w:left w:val="nil"/>
              <w:bottom w:val="nil"/>
              <w:right w:val="nil"/>
            </w:tcBorders>
            <w:shd w:val="clear" w:color="auto" w:fill="auto"/>
            <w:noWrap/>
            <w:vAlign w:val="bottom"/>
            <w:hideMark/>
          </w:tcPr>
          <w:p w14:paraId="0E02165D" w14:textId="54169FEC"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47,197</w:t>
            </w:r>
          </w:p>
        </w:tc>
      </w:tr>
      <w:tr w:rsidR="00720F4E" w:rsidRPr="00AA6563" w14:paraId="3D9403D6" w14:textId="77777777" w:rsidTr="00784E50">
        <w:trPr>
          <w:gridAfter w:val="1"/>
          <w:wAfter w:w="8" w:type="dxa"/>
          <w:trHeight w:val="204"/>
        </w:trPr>
        <w:tc>
          <w:tcPr>
            <w:tcW w:w="2977" w:type="dxa"/>
            <w:tcBorders>
              <w:top w:val="nil"/>
              <w:left w:val="nil"/>
              <w:bottom w:val="nil"/>
              <w:right w:val="nil"/>
            </w:tcBorders>
            <w:shd w:val="clear" w:color="auto" w:fill="auto"/>
            <w:noWrap/>
            <w:vAlign w:val="center"/>
            <w:hideMark/>
          </w:tcPr>
          <w:p w14:paraId="5CC30E68" w14:textId="77777777" w:rsidR="00720F4E" w:rsidRPr="00AA6563" w:rsidRDefault="00720F4E" w:rsidP="00720F4E">
            <w:pPr>
              <w:spacing w:after="0" w:line="240" w:lineRule="auto"/>
              <w:ind w:left="113"/>
              <w:jc w:val="left"/>
              <w:rPr>
                <w:rFonts w:ascii="Arial" w:hAnsi="Arial" w:cs="Arial"/>
                <w:sz w:val="16"/>
                <w:szCs w:val="16"/>
              </w:rPr>
            </w:pPr>
            <w:r w:rsidRPr="00AA6563">
              <w:rPr>
                <w:rFonts w:ascii="Arial" w:hAnsi="Arial" w:cs="Arial"/>
                <w:sz w:val="16"/>
                <w:szCs w:val="16"/>
              </w:rPr>
              <w:t>Payment from related entities</w:t>
            </w:r>
          </w:p>
        </w:tc>
        <w:tc>
          <w:tcPr>
            <w:tcW w:w="880" w:type="dxa"/>
            <w:tcBorders>
              <w:top w:val="nil"/>
              <w:left w:val="nil"/>
              <w:bottom w:val="nil"/>
              <w:right w:val="nil"/>
            </w:tcBorders>
            <w:shd w:val="clear" w:color="auto" w:fill="auto"/>
            <w:noWrap/>
            <w:vAlign w:val="bottom"/>
            <w:hideMark/>
          </w:tcPr>
          <w:p w14:paraId="420C8C84" w14:textId="0302024C" w:rsidR="00720F4E" w:rsidRPr="00AA6563" w:rsidRDefault="00720F4E" w:rsidP="00720F4E">
            <w:pPr>
              <w:spacing w:after="0" w:line="240" w:lineRule="auto"/>
              <w:jc w:val="right"/>
              <w:rPr>
                <w:rFonts w:ascii="Arial" w:hAnsi="Arial" w:cs="Arial"/>
                <w:color w:val="000000"/>
                <w:sz w:val="16"/>
                <w:szCs w:val="16"/>
              </w:rPr>
            </w:pPr>
            <w:r>
              <w:rPr>
                <w:rFonts w:ascii="Arial" w:hAnsi="Arial" w:cs="Arial"/>
                <w:color w:val="000000"/>
                <w:sz w:val="16"/>
                <w:szCs w:val="16"/>
              </w:rPr>
              <w:t>1,286</w:t>
            </w:r>
          </w:p>
        </w:tc>
        <w:tc>
          <w:tcPr>
            <w:tcW w:w="880" w:type="dxa"/>
            <w:tcBorders>
              <w:top w:val="nil"/>
              <w:left w:val="nil"/>
              <w:bottom w:val="nil"/>
              <w:right w:val="nil"/>
            </w:tcBorders>
            <w:shd w:val="clear" w:color="000000" w:fill="E6E6E6"/>
            <w:noWrap/>
            <w:vAlign w:val="bottom"/>
            <w:hideMark/>
          </w:tcPr>
          <w:p w14:paraId="767775FF" w14:textId="7F1EBDC0"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3,350</w:t>
            </w:r>
          </w:p>
        </w:tc>
        <w:tc>
          <w:tcPr>
            <w:tcW w:w="821" w:type="dxa"/>
            <w:tcBorders>
              <w:top w:val="nil"/>
              <w:left w:val="nil"/>
              <w:bottom w:val="nil"/>
              <w:right w:val="nil"/>
            </w:tcBorders>
            <w:shd w:val="clear" w:color="auto" w:fill="auto"/>
            <w:noWrap/>
            <w:vAlign w:val="bottom"/>
            <w:hideMark/>
          </w:tcPr>
          <w:p w14:paraId="5FF6B3DE" w14:textId="59626C08"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1,850</w:t>
            </w:r>
          </w:p>
        </w:tc>
        <w:tc>
          <w:tcPr>
            <w:tcW w:w="880" w:type="dxa"/>
            <w:tcBorders>
              <w:top w:val="nil"/>
              <w:left w:val="nil"/>
              <w:bottom w:val="nil"/>
              <w:right w:val="nil"/>
            </w:tcBorders>
            <w:shd w:val="clear" w:color="auto" w:fill="auto"/>
            <w:noWrap/>
            <w:vAlign w:val="bottom"/>
            <w:hideMark/>
          </w:tcPr>
          <w:p w14:paraId="165F2BC9" w14:textId="2FD7546F"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1,950</w:t>
            </w:r>
          </w:p>
        </w:tc>
        <w:tc>
          <w:tcPr>
            <w:tcW w:w="885" w:type="dxa"/>
            <w:tcBorders>
              <w:top w:val="nil"/>
              <w:left w:val="nil"/>
              <w:bottom w:val="nil"/>
              <w:right w:val="nil"/>
            </w:tcBorders>
            <w:shd w:val="clear" w:color="auto" w:fill="auto"/>
            <w:noWrap/>
            <w:vAlign w:val="bottom"/>
            <w:hideMark/>
          </w:tcPr>
          <w:p w14:paraId="5C1F7338" w14:textId="72CF04E2"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550</w:t>
            </w:r>
          </w:p>
        </w:tc>
      </w:tr>
      <w:tr w:rsidR="00720F4E" w:rsidRPr="00AA6563" w14:paraId="6447841B" w14:textId="77777777" w:rsidTr="00784E50">
        <w:trPr>
          <w:gridAfter w:val="1"/>
          <w:wAfter w:w="8" w:type="dxa"/>
          <w:trHeight w:val="204"/>
        </w:trPr>
        <w:tc>
          <w:tcPr>
            <w:tcW w:w="2977" w:type="dxa"/>
            <w:tcBorders>
              <w:top w:val="nil"/>
              <w:left w:val="nil"/>
              <w:bottom w:val="nil"/>
              <w:right w:val="nil"/>
            </w:tcBorders>
            <w:shd w:val="clear" w:color="auto" w:fill="auto"/>
            <w:vAlign w:val="center"/>
            <w:hideMark/>
          </w:tcPr>
          <w:p w14:paraId="7263F012" w14:textId="543D504D" w:rsidR="00720F4E" w:rsidRPr="00AA6563" w:rsidRDefault="00720F4E" w:rsidP="00720F4E">
            <w:pPr>
              <w:spacing w:after="0" w:line="240" w:lineRule="auto"/>
              <w:ind w:left="113"/>
              <w:jc w:val="left"/>
              <w:rPr>
                <w:rFonts w:ascii="Arial" w:hAnsi="Arial" w:cs="Arial"/>
                <w:sz w:val="16"/>
                <w:szCs w:val="16"/>
              </w:rPr>
            </w:pPr>
            <w:r w:rsidRPr="00AA6563">
              <w:rPr>
                <w:rFonts w:ascii="Arial" w:hAnsi="Arial" w:cs="Arial"/>
                <w:sz w:val="16"/>
                <w:szCs w:val="16"/>
              </w:rPr>
              <w:t xml:space="preserve">Expenses not requiring appropriation in the budget year </w:t>
            </w:r>
            <w:r w:rsidRPr="00EE1B63">
              <w:rPr>
                <w:rFonts w:ascii="Arial" w:hAnsi="Arial" w:cs="Arial"/>
                <w:sz w:val="16"/>
                <w:szCs w:val="16"/>
                <w:vertAlign w:val="superscript"/>
              </w:rPr>
              <w:t>(a)</w:t>
            </w:r>
          </w:p>
        </w:tc>
        <w:tc>
          <w:tcPr>
            <w:tcW w:w="880" w:type="dxa"/>
            <w:tcBorders>
              <w:top w:val="nil"/>
              <w:left w:val="nil"/>
              <w:bottom w:val="nil"/>
              <w:right w:val="nil"/>
            </w:tcBorders>
            <w:shd w:val="clear" w:color="auto" w:fill="auto"/>
            <w:noWrap/>
            <w:vAlign w:val="bottom"/>
            <w:hideMark/>
          </w:tcPr>
          <w:p w14:paraId="7EFDDFBE" w14:textId="0AFB34C9" w:rsidR="00720F4E" w:rsidRPr="00AA6563" w:rsidRDefault="00720F4E" w:rsidP="00720F4E">
            <w:pPr>
              <w:spacing w:after="0" w:line="240" w:lineRule="auto"/>
              <w:jc w:val="right"/>
              <w:rPr>
                <w:rFonts w:ascii="Arial" w:hAnsi="Arial" w:cs="Arial"/>
                <w:color w:val="000000"/>
                <w:sz w:val="16"/>
                <w:szCs w:val="16"/>
              </w:rPr>
            </w:pPr>
            <w:r>
              <w:rPr>
                <w:rFonts w:ascii="Arial" w:hAnsi="Arial" w:cs="Arial"/>
                <w:color w:val="000000"/>
                <w:sz w:val="16"/>
                <w:szCs w:val="16"/>
              </w:rPr>
              <w:t>173,479</w:t>
            </w:r>
          </w:p>
        </w:tc>
        <w:tc>
          <w:tcPr>
            <w:tcW w:w="880" w:type="dxa"/>
            <w:tcBorders>
              <w:top w:val="nil"/>
              <w:left w:val="nil"/>
              <w:bottom w:val="nil"/>
              <w:right w:val="nil"/>
            </w:tcBorders>
            <w:shd w:val="clear" w:color="000000" w:fill="E6E6E6"/>
            <w:noWrap/>
            <w:vAlign w:val="bottom"/>
            <w:hideMark/>
          </w:tcPr>
          <w:p w14:paraId="6C7D69F1" w14:textId="6224BF09"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8,690</w:t>
            </w:r>
          </w:p>
        </w:tc>
        <w:tc>
          <w:tcPr>
            <w:tcW w:w="821" w:type="dxa"/>
            <w:tcBorders>
              <w:top w:val="nil"/>
              <w:left w:val="nil"/>
              <w:bottom w:val="nil"/>
              <w:right w:val="nil"/>
            </w:tcBorders>
            <w:shd w:val="clear" w:color="auto" w:fill="auto"/>
            <w:noWrap/>
            <w:vAlign w:val="bottom"/>
            <w:hideMark/>
          </w:tcPr>
          <w:p w14:paraId="22562E60" w14:textId="36C1A911"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10,190</w:t>
            </w:r>
          </w:p>
        </w:tc>
        <w:tc>
          <w:tcPr>
            <w:tcW w:w="880" w:type="dxa"/>
            <w:tcBorders>
              <w:top w:val="nil"/>
              <w:left w:val="nil"/>
              <w:bottom w:val="nil"/>
              <w:right w:val="nil"/>
            </w:tcBorders>
            <w:shd w:val="clear" w:color="auto" w:fill="auto"/>
            <w:noWrap/>
            <w:vAlign w:val="bottom"/>
            <w:hideMark/>
          </w:tcPr>
          <w:p w14:paraId="5F3DDB09" w14:textId="3E7FC120"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10,064</w:t>
            </w:r>
          </w:p>
        </w:tc>
        <w:tc>
          <w:tcPr>
            <w:tcW w:w="885" w:type="dxa"/>
            <w:tcBorders>
              <w:top w:val="nil"/>
              <w:left w:val="nil"/>
              <w:bottom w:val="nil"/>
              <w:right w:val="nil"/>
            </w:tcBorders>
            <w:shd w:val="clear" w:color="auto" w:fill="auto"/>
            <w:noWrap/>
            <w:vAlign w:val="bottom"/>
            <w:hideMark/>
          </w:tcPr>
          <w:p w14:paraId="6308D104" w14:textId="4620BB32"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11,498</w:t>
            </w:r>
          </w:p>
        </w:tc>
      </w:tr>
      <w:tr w:rsidR="00720F4E" w:rsidRPr="00AA6563" w14:paraId="70DFBA34" w14:textId="77777777" w:rsidTr="00784E50">
        <w:trPr>
          <w:gridAfter w:val="1"/>
          <w:wAfter w:w="8" w:type="dxa"/>
          <w:trHeight w:val="204"/>
        </w:trPr>
        <w:tc>
          <w:tcPr>
            <w:tcW w:w="2977" w:type="dxa"/>
            <w:tcBorders>
              <w:top w:val="nil"/>
              <w:left w:val="nil"/>
              <w:bottom w:val="nil"/>
              <w:right w:val="nil"/>
            </w:tcBorders>
            <w:shd w:val="clear" w:color="auto" w:fill="auto"/>
            <w:vAlign w:val="center"/>
            <w:hideMark/>
          </w:tcPr>
          <w:p w14:paraId="26A3F11A" w14:textId="23A9F247" w:rsidR="00720F4E" w:rsidRPr="00AA6563" w:rsidRDefault="00720F4E" w:rsidP="00784E50">
            <w:pPr>
              <w:spacing w:after="0" w:line="240" w:lineRule="auto"/>
              <w:jc w:val="left"/>
              <w:rPr>
                <w:rFonts w:ascii="Arial" w:hAnsi="Arial" w:cs="Arial"/>
                <w:sz w:val="16"/>
                <w:szCs w:val="16"/>
              </w:rPr>
            </w:pPr>
            <w:r w:rsidRPr="00AA6563">
              <w:rPr>
                <w:rFonts w:ascii="Arial" w:hAnsi="Arial" w:cs="Arial"/>
                <w:sz w:val="16"/>
                <w:szCs w:val="16"/>
              </w:rPr>
              <w:t>Revenues from other independent</w:t>
            </w:r>
            <w:r w:rsidR="00784E50">
              <w:rPr>
                <w:rFonts w:ascii="Arial" w:hAnsi="Arial" w:cs="Arial"/>
                <w:sz w:val="16"/>
                <w:szCs w:val="16"/>
              </w:rPr>
              <w:t xml:space="preserve"> </w:t>
            </w:r>
            <w:r w:rsidRPr="00AA6563">
              <w:rPr>
                <w:rFonts w:ascii="Arial" w:hAnsi="Arial" w:cs="Arial"/>
                <w:sz w:val="16"/>
                <w:szCs w:val="16"/>
              </w:rPr>
              <w:t xml:space="preserve">sources </w:t>
            </w:r>
          </w:p>
        </w:tc>
        <w:tc>
          <w:tcPr>
            <w:tcW w:w="880" w:type="dxa"/>
            <w:tcBorders>
              <w:top w:val="nil"/>
              <w:left w:val="nil"/>
              <w:bottom w:val="nil"/>
              <w:right w:val="nil"/>
            </w:tcBorders>
            <w:shd w:val="clear" w:color="auto" w:fill="auto"/>
            <w:noWrap/>
            <w:vAlign w:val="bottom"/>
            <w:hideMark/>
          </w:tcPr>
          <w:p w14:paraId="7A653E7F" w14:textId="70BA4D72" w:rsidR="00720F4E" w:rsidRPr="00AA6563" w:rsidRDefault="00720F4E" w:rsidP="00720F4E">
            <w:pPr>
              <w:spacing w:after="0" w:line="240" w:lineRule="auto"/>
              <w:jc w:val="right"/>
              <w:rPr>
                <w:rFonts w:ascii="Arial" w:hAnsi="Arial" w:cs="Arial"/>
                <w:color w:val="000000"/>
                <w:sz w:val="16"/>
                <w:szCs w:val="16"/>
              </w:rPr>
            </w:pPr>
            <w:r>
              <w:rPr>
                <w:rFonts w:ascii="Arial" w:hAnsi="Arial" w:cs="Arial"/>
                <w:color w:val="000000"/>
                <w:sz w:val="16"/>
                <w:szCs w:val="16"/>
              </w:rPr>
              <w:t>10,975</w:t>
            </w:r>
          </w:p>
        </w:tc>
        <w:tc>
          <w:tcPr>
            <w:tcW w:w="880" w:type="dxa"/>
            <w:tcBorders>
              <w:top w:val="nil"/>
              <w:left w:val="nil"/>
              <w:bottom w:val="nil"/>
              <w:right w:val="nil"/>
            </w:tcBorders>
            <w:shd w:val="clear" w:color="000000" w:fill="E6E6E6"/>
            <w:noWrap/>
            <w:vAlign w:val="bottom"/>
            <w:hideMark/>
          </w:tcPr>
          <w:p w14:paraId="191B75FD" w14:textId="3639F7EA"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14,266</w:t>
            </w:r>
          </w:p>
        </w:tc>
        <w:tc>
          <w:tcPr>
            <w:tcW w:w="821" w:type="dxa"/>
            <w:tcBorders>
              <w:top w:val="nil"/>
              <w:left w:val="nil"/>
              <w:bottom w:val="nil"/>
              <w:right w:val="nil"/>
            </w:tcBorders>
            <w:shd w:val="clear" w:color="auto" w:fill="auto"/>
            <w:noWrap/>
            <w:vAlign w:val="bottom"/>
            <w:hideMark/>
          </w:tcPr>
          <w:p w14:paraId="4D8A3B75" w14:textId="68E89C41"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15,966</w:t>
            </w:r>
          </w:p>
        </w:tc>
        <w:tc>
          <w:tcPr>
            <w:tcW w:w="880" w:type="dxa"/>
            <w:tcBorders>
              <w:top w:val="nil"/>
              <w:left w:val="nil"/>
              <w:bottom w:val="nil"/>
              <w:right w:val="nil"/>
            </w:tcBorders>
            <w:shd w:val="clear" w:color="auto" w:fill="auto"/>
            <w:noWrap/>
            <w:vAlign w:val="bottom"/>
            <w:hideMark/>
          </w:tcPr>
          <w:p w14:paraId="4B17DB75" w14:textId="3EBF580F"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13,366</w:t>
            </w:r>
          </w:p>
        </w:tc>
        <w:tc>
          <w:tcPr>
            <w:tcW w:w="885" w:type="dxa"/>
            <w:tcBorders>
              <w:top w:val="nil"/>
              <w:left w:val="nil"/>
              <w:bottom w:val="nil"/>
              <w:right w:val="nil"/>
            </w:tcBorders>
            <w:shd w:val="clear" w:color="auto" w:fill="auto"/>
            <w:noWrap/>
            <w:vAlign w:val="bottom"/>
            <w:hideMark/>
          </w:tcPr>
          <w:p w14:paraId="6D4AFD2E" w14:textId="4DA2073F"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11,966</w:t>
            </w:r>
          </w:p>
        </w:tc>
      </w:tr>
      <w:tr w:rsidR="00720F4E" w:rsidRPr="00AA6563" w14:paraId="4722E3BB" w14:textId="77777777" w:rsidTr="00784E50">
        <w:trPr>
          <w:gridAfter w:val="1"/>
          <w:wAfter w:w="8" w:type="dxa"/>
          <w:trHeight w:val="204"/>
        </w:trPr>
        <w:tc>
          <w:tcPr>
            <w:tcW w:w="2977" w:type="dxa"/>
            <w:tcBorders>
              <w:top w:val="nil"/>
              <w:left w:val="nil"/>
              <w:bottom w:val="nil"/>
              <w:right w:val="nil"/>
            </w:tcBorders>
            <w:shd w:val="clear" w:color="auto" w:fill="auto"/>
            <w:noWrap/>
            <w:vAlign w:val="center"/>
            <w:hideMark/>
          </w:tcPr>
          <w:p w14:paraId="51F75DB1" w14:textId="77777777" w:rsidR="00720F4E" w:rsidRPr="00AA6563" w:rsidRDefault="00720F4E" w:rsidP="00720F4E">
            <w:pPr>
              <w:spacing w:after="0" w:line="240" w:lineRule="auto"/>
              <w:jc w:val="left"/>
              <w:rPr>
                <w:rFonts w:ascii="Arial" w:hAnsi="Arial" w:cs="Arial"/>
                <w:b/>
                <w:bCs/>
                <w:sz w:val="16"/>
                <w:szCs w:val="16"/>
              </w:rPr>
            </w:pPr>
            <w:r w:rsidRPr="00AA6563">
              <w:rPr>
                <w:rFonts w:ascii="Arial" w:hAnsi="Arial" w:cs="Arial"/>
                <w:b/>
                <w:bCs/>
                <w:sz w:val="16"/>
                <w:szCs w:val="16"/>
              </w:rPr>
              <w:t>Total expenses for Program 1.1</w:t>
            </w:r>
          </w:p>
        </w:tc>
        <w:tc>
          <w:tcPr>
            <w:tcW w:w="880" w:type="dxa"/>
            <w:tcBorders>
              <w:top w:val="single" w:sz="4" w:space="0" w:color="auto"/>
              <w:left w:val="nil"/>
              <w:bottom w:val="single" w:sz="4" w:space="0" w:color="auto"/>
              <w:right w:val="nil"/>
            </w:tcBorders>
            <w:shd w:val="clear" w:color="auto" w:fill="auto"/>
            <w:noWrap/>
            <w:vAlign w:val="bottom"/>
            <w:hideMark/>
          </w:tcPr>
          <w:p w14:paraId="19D2326F" w14:textId="5BFCE6E2" w:rsidR="00720F4E" w:rsidRPr="00AA6563" w:rsidRDefault="00720F4E" w:rsidP="00720F4E">
            <w:pPr>
              <w:spacing w:after="0" w:line="240" w:lineRule="auto"/>
              <w:jc w:val="right"/>
              <w:rPr>
                <w:rFonts w:ascii="Arial" w:hAnsi="Arial" w:cs="Arial"/>
                <w:b/>
                <w:bCs/>
                <w:color w:val="000000"/>
                <w:sz w:val="16"/>
                <w:szCs w:val="16"/>
              </w:rPr>
            </w:pPr>
            <w:r>
              <w:rPr>
                <w:rFonts w:ascii="Arial" w:hAnsi="Arial" w:cs="Arial"/>
                <w:b/>
                <w:bCs/>
                <w:color w:val="000000"/>
                <w:sz w:val="16"/>
                <w:szCs w:val="16"/>
              </w:rPr>
              <w:t>244,526</w:t>
            </w:r>
          </w:p>
        </w:tc>
        <w:tc>
          <w:tcPr>
            <w:tcW w:w="880" w:type="dxa"/>
            <w:tcBorders>
              <w:top w:val="single" w:sz="4" w:space="0" w:color="auto"/>
              <w:left w:val="nil"/>
              <w:bottom w:val="single" w:sz="4" w:space="0" w:color="auto"/>
              <w:right w:val="nil"/>
            </w:tcBorders>
            <w:shd w:val="clear" w:color="000000" w:fill="E6E6E6"/>
            <w:noWrap/>
            <w:vAlign w:val="bottom"/>
            <w:hideMark/>
          </w:tcPr>
          <w:p w14:paraId="2FE58BB7" w14:textId="103254A1" w:rsidR="00720F4E" w:rsidRPr="00AA6563" w:rsidRDefault="00720F4E" w:rsidP="00720F4E">
            <w:pPr>
              <w:spacing w:after="0" w:line="240" w:lineRule="auto"/>
              <w:jc w:val="right"/>
              <w:rPr>
                <w:rFonts w:ascii="Arial" w:hAnsi="Arial" w:cs="Arial"/>
                <w:b/>
                <w:bCs/>
                <w:color w:val="000000"/>
                <w:sz w:val="16"/>
                <w:szCs w:val="16"/>
              </w:rPr>
            </w:pPr>
            <w:r>
              <w:rPr>
                <w:rFonts w:ascii="Arial" w:hAnsi="Arial" w:cs="Arial"/>
                <w:b/>
                <w:bCs/>
                <w:color w:val="000000"/>
                <w:sz w:val="16"/>
                <w:szCs w:val="16"/>
              </w:rPr>
              <w:t>83,799</w:t>
            </w:r>
          </w:p>
        </w:tc>
        <w:tc>
          <w:tcPr>
            <w:tcW w:w="821" w:type="dxa"/>
            <w:tcBorders>
              <w:top w:val="single" w:sz="4" w:space="0" w:color="auto"/>
              <w:left w:val="nil"/>
              <w:bottom w:val="single" w:sz="4" w:space="0" w:color="auto"/>
              <w:right w:val="nil"/>
            </w:tcBorders>
            <w:shd w:val="clear" w:color="auto" w:fill="auto"/>
            <w:noWrap/>
            <w:vAlign w:val="bottom"/>
            <w:hideMark/>
          </w:tcPr>
          <w:p w14:paraId="142DB896" w14:textId="75E566DF" w:rsidR="00720F4E" w:rsidRPr="00AA6563" w:rsidRDefault="00720F4E" w:rsidP="00720F4E">
            <w:pPr>
              <w:spacing w:after="0" w:line="240" w:lineRule="auto"/>
              <w:jc w:val="right"/>
              <w:rPr>
                <w:rFonts w:ascii="Arial" w:hAnsi="Arial" w:cs="Arial"/>
                <w:b/>
                <w:bCs/>
                <w:sz w:val="16"/>
                <w:szCs w:val="16"/>
              </w:rPr>
            </w:pPr>
            <w:r>
              <w:rPr>
                <w:rFonts w:ascii="Arial" w:hAnsi="Arial" w:cs="Arial"/>
                <w:b/>
                <w:bCs/>
                <w:sz w:val="16"/>
                <w:szCs w:val="16"/>
              </w:rPr>
              <w:t>88,886</w:t>
            </w:r>
          </w:p>
        </w:tc>
        <w:tc>
          <w:tcPr>
            <w:tcW w:w="880" w:type="dxa"/>
            <w:tcBorders>
              <w:top w:val="single" w:sz="4" w:space="0" w:color="auto"/>
              <w:left w:val="nil"/>
              <w:bottom w:val="single" w:sz="4" w:space="0" w:color="auto"/>
              <w:right w:val="nil"/>
            </w:tcBorders>
            <w:shd w:val="clear" w:color="auto" w:fill="auto"/>
            <w:noWrap/>
            <w:vAlign w:val="bottom"/>
            <w:hideMark/>
          </w:tcPr>
          <w:p w14:paraId="390F0272" w14:textId="7CA876AA" w:rsidR="00720F4E" w:rsidRPr="00AA6563" w:rsidRDefault="00720F4E" w:rsidP="00720F4E">
            <w:pPr>
              <w:spacing w:after="0" w:line="240" w:lineRule="auto"/>
              <w:jc w:val="right"/>
              <w:rPr>
                <w:rFonts w:ascii="Arial" w:hAnsi="Arial" w:cs="Arial"/>
                <w:b/>
                <w:bCs/>
                <w:sz w:val="16"/>
                <w:szCs w:val="16"/>
              </w:rPr>
            </w:pPr>
            <w:r>
              <w:rPr>
                <w:rFonts w:ascii="Arial" w:hAnsi="Arial" w:cs="Arial"/>
                <w:b/>
                <w:bCs/>
                <w:sz w:val="16"/>
                <w:szCs w:val="16"/>
              </w:rPr>
              <w:t>72,394</w:t>
            </w:r>
          </w:p>
        </w:tc>
        <w:tc>
          <w:tcPr>
            <w:tcW w:w="885" w:type="dxa"/>
            <w:tcBorders>
              <w:top w:val="single" w:sz="4" w:space="0" w:color="auto"/>
              <w:left w:val="nil"/>
              <w:bottom w:val="single" w:sz="4" w:space="0" w:color="auto"/>
              <w:right w:val="nil"/>
            </w:tcBorders>
            <w:shd w:val="clear" w:color="auto" w:fill="auto"/>
            <w:noWrap/>
            <w:vAlign w:val="bottom"/>
            <w:hideMark/>
          </w:tcPr>
          <w:p w14:paraId="0FDDB2D9" w14:textId="65DD491F" w:rsidR="00720F4E" w:rsidRPr="00AA6563" w:rsidRDefault="00720F4E" w:rsidP="00720F4E">
            <w:pPr>
              <w:spacing w:after="0" w:line="240" w:lineRule="auto"/>
              <w:jc w:val="right"/>
              <w:rPr>
                <w:rFonts w:ascii="Arial" w:hAnsi="Arial" w:cs="Arial"/>
                <w:b/>
                <w:bCs/>
                <w:sz w:val="16"/>
                <w:szCs w:val="16"/>
              </w:rPr>
            </w:pPr>
            <w:r>
              <w:rPr>
                <w:rFonts w:ascii="Arial" w:hAnsi="Arial" w:cs="Arial"/>
                <w:b/>
                <w:bCs/>
                <w:sz w:val="16"/>
                <w:szCs w:val="16"/>
              </w:rPr>
              <w:t>71,211</w:t>
            </w:r>
          </w:p>
        </w:tc>
      </w:tr>
      <w:tr w:rsidR="003C0999" w:rsidRPr="00AA6563" w14:paraId="04776BD4" w14:textId="77777777" w:rsidTr="00784E50">
        <w:trPr>
          <w:trHeight w:val="204"/>
        </w:trPr>
        <w:tc>
          <w:tcPr>
            <w:tcW w:w="7331" w:type="dxa"/>
            <w:gridSpan w:val="7"/>
            <w:tcBorders>
              <w:top w:val="single" w:sz="4" w:space="0" w:color="auto"/>
              <w:left w:val="nil"/>
              <w:bottom w:val="single" w:sz="4" w:space="0" w:color="auto"/>
              <w:right w:val="nil"/>
            </w:tcBorders>
            <w:shd w:val="clear" w:color="000000" w:fill="E6E6E6"/>
            <w:vAlign w:val="bottom"/>
            <w:hideMark/>
          </w:tcPr>
          <w:p w14:paraId="20875FEB" w14:textId="77777777" w:rsidR="003C0999" w:rsidRPr="00AA6563" w:rsidRDefault="003C0999" w:rsidP="00984C33">
            <w:pPr>
              <w:spacing w:after="0" w:line="240" w:lineRule="auto"/>
              <w:jc w:val="left"/>
              <w:rPr>
                <w:rFonts w:ascii="Arial" w:hAnsi="Arial" w:cs="Arial"/>
                <w:b/>
                <w:bCs/>
                <w:sz w:val="16"/>
                <w:szCs w:val="16"/>
              </w:rPr>
            </w:pPr>
            <w:r w:rsidRPr="00AA6563">
              <w:rPr>
                <w:rFonts w:ascii="Arial" w:hAnsi="Arial" w:cs="Arial"/>
                <w:b/>
                <w:bCs/>
                <w:sz w:val="16"/>
                <w:szCs w:val="16"/>
              </w:rPr>
              <w:t>Outcome 1 totals by resource type</w:t>
            </w:r>
          </w:p>
        </w:tc>
      </w:tr>
      <w:tr w:rsidR="003C0999" w:rsidRPr="00AA6563" w14:paraId="62BC9905" w14:textId="77777777" w:rsidTr="00784E50">
        <w:trPr>
          <w:gridAfter w:val="1"/>
          <w:wAfter w:w="8" w:type="dxa"/>
          <w:trHeight w:val="204"/>
        </w:trPr>
        <w:tc>
          <w:tcPr>
            <w:tcW w:w="2977" w:type="dxa"/>
            <w:tcBorders>
              <w:top w:val="nil"/>
              <w:left w:val="nil"/>
              <w:bottom w:val="nil"/>
              <w:right w:val="nil"/>
            </w:tcBorders>
            <w:shd w:val="clear" w:color="auto" w:fill="auto"/>
            <w:noWrap/>
            <w:vAlign w:val="center"/>
            <w:hideMark/>
          </w:tcPr>
          <w:p w14:paraId="747052FE" w14:textId="77777777" w:rsidR="003C0999" w:rsidRPr="00AA6563" w:rsidRDefault="003C0999" w:rsidP="00984C33">
            <w:pPr>
              <w:spacing w:after="0" w:line="240" w:lineRule="auto"/>
              <w:jc w:val="left"/>
              <w:rPr>
                <w:rFonts w:ascii="Arial" w:hAnsi="Arial" w:cs="Arial"/>
                <w:sz w:val="16"/>
                <w:szCs w:val="16"/>
              </w:rPr>
            </w:pPr>
            <w:r w:rsidRPr="00AA6563">
              <w:rPr>
                <w:rFonts w:ascii="Arial" w:hAnsi="Arial" w:cs="Arial"/>
                <w:sz w:val="16"/>
                <w:szCs w:val="16"/>
              </w:rPr>
              <w:t>Revenue from Government</w:t>
            </w:r>
          </w:p>
        </w:tc>
        <w:tc>
          <w:tcPr>
            <w:tcW w:w="880" w:type="dxa"/>
            <w:tcBorders>
              <w:top w:val="nil"/>
              <w:left w:val="nil"/>
              <w:bottom w:val="nil"/>
              <w:right w:val="nil"/>
            </w:tcBorders>
            <w:shd w:val="clear" w:color="auto" w:fill="auto"/>
            <w:noWrap/>
            <w:vAlign w:val="bottom"/>
            <w:hideMark/>
          </w:tcPr>
          <w:p w14:paraId="142CD635" w14:textId="77777777" w:rsidR="003C0999" w:rsidRPr="00AA6563" w:rsidRDefault="003C0999" w:rsidP="00984C33">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7227384" w14:textId="754B23B8" w:rsidR="003C0999" w:rsidRPr="00AA6563" w:rsidRDefault="003C0999" w:rsidP="00984C33">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1FB654A4" w14:textId="77777777" w:rsidR="003C0999" w:rsidRPr="00AA6563" w:rsidRDefault="003C0999" w:rsidP="00984C33">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0D9C835" w14:textId="77777777" w:rsidR="003C0999" w:rsidRPr="00AA6563" w:rsidRDefault="003C0999" w:rsidP="00984C33">
            <w:pPr>
              <w:spacing w:after="0" w:line="240" w:lineRule="auto"/>
              <w:jc w:val="left"/>
              <w:rPr>
                <w:rFonts w:ascii="Times New Roman" w:hAnsi="Times New Roman"/>
              </w:rPr>
            </w:pPr>
          </w:p>
        </w:tc>
        <w:tc>
          <w:tcPr>
            <w:tcW w:w="885" w:type="dxa"/>
            <w:tcBorders>
              <w:top w:val="nil"/>
              <w:left w:val="nil"/>
              <w:bottom w:val="nil"/>
              <w:right w:val="nil"/>
            </w:tcBorders>
            <w:shd w:val="clear" w:color="auto" w:fill="auto"/>
            <w:noWrap/>
            <w:vAlign w:val="bottom"/>
            <w:hideMark/>
          </w:tcPr>
          <w:p w14:paraId="2DE26EAC" w14:textId="77777777" w:rsidR="003C0999" w:rsidRPr="00AA6563" w:rsidRDefault="003C0999" w:rsidP="00984C33">
            <w:pPr>
              <w:spacing w:after="0" w:line="240" w:lineRule="auto"/>
              <w:jc w:val="left"/>
              <w:rPr>
                <w:rFonts w:ascii="Times New Roman" w:hAnsi="Times New Roman"/>
              </w:rPr>
            </w:pPr>
          </w:p>
        </w:tc>
      </w:tr>
      <w:tr w:rsidR="00720F4E" w:rsidRPr="00AA6563" w14:paraId="2F2147D1" w14:textId="77777777" w:rsidTr="00784E50">
        <w:trPr>
          <w:gridAfter w:val="1"/>
          <w:wAfter w:w="8" w:type="dxa"/>
          <w:trHeight w:val="204"/>
        </w:trPr>
        <w:tc>
          <w:tcPr>
            <w:tcW w:w="2977" w:type="dxa"/>
            <w:tcBorders>
              <w:top w:val="nil"/>
              <w:left w:val="nil"/>
              <w:bottom w:val="nil"/>
              <w:right w:val="nil"/>
            </w:tcBorders>
            <w:shd w:val="clear" w:color="auto" w:fill="auto"/>
            <w:vAlign w:val="center"/>
            <w:hideMark/>
          </w:tcPr>
          <w:p w14:paraId="78473B2A" w14:textId="60403A49" w:rsidR="00720F4E" w:rsidRPr="00AA6563" w:rsidRDefault="00720F4E" w:rsidP="00720F4E">
            <w:pPr>
              <w:spacing w:after="0" w:line="240" w:lineRule="auto"/>
              <w:ind w:left="113"/>
              <w:jc w:val="left"/>
              <w:rPr>
                <w:rFonts w:ascii="Arial" w:hAnsi="Arial" w:cs="Arial"/>
                <w:sz w:val="16"/>
                <w:szCs w:val="16"/>
              </w:rPr>
            </w:pPr>
            <w:r w:rsidRPr="00AA6563">
              <w:rPr>
                <w:rFonts w:ascii="Arial" w:hAnsi="Arial" w:cs="Arial"/>
                <w:sz w:val="16"/>
                <w:szCs w:val="16"/>
              </w:rPr>
              <w:t>Ordinary annual services (Appropriation Bill No. 1)</w:t>
            </w:r>
          </w:p>
        </w:tc>
        <w:tc>
          <w:tcPr>
            <w:tcW w:w="880" w:type="dxa"/>
            <w:tcBorders>
              <w:top w:val="nil"/>
              <w:left w:val="nil"/>
              <w:bottom w:val="nil"/>
              <w:right w:val="nil"/>
            </w:tcBorders>
            <w:shd w:val="clear" w:color="auto" w:fill="auto"/>
            <w:noWrap/>
            <w:vAlign w:val="bottom"/>
            <w:hideMark/>
          </w:tcPr>
          <w:p w14:paraId="5FB5BF1B" w14:textId="5EA6348A" w:rsidR="00720F4E" w:rsidRPr="00AA6563" w:rsidRDefault="00720F4E" w:rsidP="00720F4E">
            <w:pPr>
              <w:spacing w:after="0" w:line="240" w:lineRule="auto"/>
              <w:jc w:val="right"/>
              <w:rPr>
                <w:rFonts w:ascii="Arial" w:hAnsi="Arial" w:cs="Arial"/>
                <w:color w:val="000000"/>
                <w:sz w:val="16"/>
                <w:szCs w:val="16"/>
              </w:rPr>
            </w:pPr>
            <w:r>
              <w:rPr>
                <w:rFonts w:ascii="Arial" w:hAnsi="Arial" w:cs="Arial"/>
                <w:color w:val="000000"/>
                <w:sz w:val="16"/>
                <w:szCs w:val="16"/>
              </w:rPr>
              <w:t>58,786</w:t>
            </w:r>
          </w:p>
        </w:tc>
        <w:tc>
          <w:tcPr>
            <w:tcW w:w="880" w:type="dxa"/>
            <w:tcBorders>
              <w:top w:val="nil"/>
              <w:left w:val="nil"/>
              <w:bottom w:val="nil"/>
              <w:right w:val="nil"/>
            </w:tcBorders>
            <w:shd w:val="clear" w:color="000000" w:fill="E6E6E6"/>
            <w:noWrap/>
            <w:vAlign w:val="bottom"/>
            <w:hideMark/>
          </w:tcPr>
          <w:p w14:paraId="5A714A98" w14:textId="293A8526"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57,493</w:t>
            </w:r>
          </w:p>
        </w:tc>
        <w:tc>
          <w:tcPr>
            <w:tcW w:w="821" w:type="dxa"/>
            <w:tcBorders>
              <w:top w:val="nil"/>
              <w:left w:val="nil"/>
              <w:bottom w:val="nil"/>
              <w:right w:val="nil"/>
            </w:tcBorders>
            <w:shd w:val="clear" w:color="auto" w:fill="auto"/>
            <w:noWrap/>
            <w:vAlign w:val="bottom"/>
            <w:hideMark/>
          </w:tcPr>
          <w:p w14:paraId="4747969D" w14:textId="4512D5AD"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60,880</w:t>
            </w:r>
          </w:p>
        </w:tc>
        <w:tc>
          <w:tcPr>
            <w:tcW w:w="880" w:type="dxa"/>
            <w:tcBorders>
              <w:top w:val="nil"/>
              <w:left w:val="nil"/>
              <w:bottom w:val="nil"/>
              <w:right w:val="nil"/>
            </w:tcBorders>
            <w:shd w:val="clear" w:color="auto" w:fill="auto"/>
            <w:noWrap/>
            <w:vAlign w:val="bottom"/>
            <w:hideMark/>
          </w:tcPr>
          <w:p w14:paraId="2069E65F" w14:textId="7E9C23A3"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47,014</w:t>
            </w:r>
          </w:p>
        </w:tc>
        <w:tc>
          <w:tcPr>
            <w:tcW w:w="885" w:type="dxa"/>
            <w:tcBorders>
              <w:top w:val="nil"/>
              <w:left w:val="nil"/>
              <w:bottom w:val="nil"/>
              <w:right w:val="nil"/>
            </w:tcBorders>
            <w:shd w:val="clear" w:color="auto" w:fill="auto"/>
            <w:noWrap/>
            <w:vAlign w:val="bottom"/>
            <w:hideMark/>
          </w:tcPr>
          <w:p w14:paraId="19B77C1E" w14:textId="47102398"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47,197</w:t>
            </w:r>
          </w:p>
        </w:tc>
      </w:tr>
      <w:tr w:rsidR="00720F4E" w:rsidRPr="00AA6563" w14:paraId="7BA10797" w14:textId="77777777" w:rsidTr="00784E50">
        <w:trPr>
          <w:gridAfter w:val="1"/>
          <w:wAfter w:w="8" w:type="dxa"/>
          <w:trHeight w:val="204"/>
        </w:trPr>
        <w:tc>
          <w:tcPr>
            <w:tcW w:w="2977" w:type="dxa"/>
            <w:tcBorders>
              <w:top w:val="nil"/>
              <w:left w:val="nil"/>
              <w:bottom w:val="nil"/>
              <w:right w:val="nil"/>
            </w:tcBorders>
            <w:shd w:val="clear" w:color="auto" w:fill="auto"/>
            <w:noWrap/>
            <w:vAlign w:val="center"/>
            <w:hideMark/>
          </w:tcPr>
          <w:p w14:paraId="2ACCEA41" w14:textId="77777777" w:rsidR="00720F4E" w:rsidRPr="00AA6563" w:rsidRDefault="00720F4E" w:rsidP="00784E50">
            <w:pPr>
              <w:spacing w:after="0" w:line="240" w:lineRule="auto"/>
              <w:ind w:left="113"/>
              <w:jc w:val="left"/>
              <w:rPr>
                <w:rFonts w:ascii="Arial" w:hAnsi="Arial" w:cs="Arial"/>
                <w:sz w:val="16"/>
                <w:szCs w:val="16"/>
              </w:rPr>
            </w:pPr>
            <w:r w:rsidRPr="00AA6563">
              <w:rPr>
                <w:rFonts w:ascii="Arial" w:hAnsi="Arial" w:cs="Arial"/>
                <w:sz w:val="16"/>
                <w:szCs w:val="16"/>
              </w:rPr>
              <w:t>Payment from related entities</w:t>
            </w:r>
          </w:p>
        </w:tc>
        <w:tc>
          <w:tcPr>
            <w:tcW w:w="880" w:type="dxa"/>
            <w:tcBorders>
              <w:top w:val="nil"/>
              <w:left w:val="nil"/>
              <w:bottom w:val="nil"/>
              <w:right w:val="nil"/>
            </w:tcBorders>
            <w:shd w:val="clear" w:color="auto" w:fill="auto"/>
            <w:noWrap/>
            <w:vAlign w:val="bottom"/>
            <w:hideMark/>
          </w:tcPr>
          <w:p w14:paraId="1243847A" w14:textId="51324FF7" w:rsidR="00720F4E" w:rsidRPr="00AA6563" w:rsidRDefault="00720F4E" w:rsidP="00720F4E">
            <w:pPr>
              <w:spacing w:after="0" w:line="240" w:lineRule="auto"/>
              <w:jc w:val="right"/>
              <w:rPr>
                <w:rFonts w:ascii="Arial" w:hAnsi="Arial" w:cs="Arial"/>
                <w:color w:val="000000"/>
                <w:sz w:val="16"/>
                <w:szCs w:val="16"/>
              </w:rPr>
            </w:pPr>
            <w:r>
              <w:rPr>
                <w:rFonts w:ascii="Arial" w:hAnsi="Arial" w:cs="Arial"/>
                <w:color w:val="000000"/>
                <w:sz w:val="16"/>
                <w:szCs w:val="16"/>
              </w:rPr>
              <w:t>1,286</w:t>
            </w:r>
          </w:p>
        </w:tc>
        <w:tc>
          <w:tcPr>
            <w:tcW w:w="880" w:type="dxa"/>
            <w:tcBorders>
              <w:top w:val="nil"/>
              <w:left w:val="nil"/>
              <w:bottom w:val="nil"/>
              <w:right w:val="nil"/>
            </w:tcBorders>
            <w:shd w:val="clear" w:color="000000" w:fill="E6E6E6"/>
            <w:noWrap/>
            <w:vAlign w:val="bottom"/>
            <w:hideMark/>
          </w:tcPr>
          <w:p w14:paraId="433DED06" w14:textId="12329717"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3,350</w:t>
            </w:r>
          </w:p>
        </w:tc>
        <w:tc>
          <w:tcPr>
            <w:tcW w:w="821" w:type="dxa"/>
            <w:tcBorders>
              <w:top w:val="nil"/>
              <w:left w:val="nil"/>
              <w:bottom w:val="nil"/>
              <w:right w:val="nil"/>
            </w:tcBorders>
            <w:shd w:val="clear" w:color="auto" w:fill="auto"/>
            <w:noWrap/>
            <w:vAlign w:val="bottom"/>
            <w:hideMark/>
          </w:tcPr>
          <w:p w14:paraId="39BADB91" w14:textId="39DB1776"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1,850</w:t>
            </w:r>
          </w:p>
        </w:tc>
        <w:tc>
          <w:tcPr>
            <w:tcW w:w="880" w:type="dxa"/>
            <w:tcBorders>
              <w:top w:val="nil"/>
              <w:left w:val="nil"/>
              <w:bottom w:val="nil"/>
              <w:right w:val="nil"/>
            </w:tcBorders>
            <w:shd w:val="clear" w:color="auto" w:fill="auto"/>
            <w:noWrap/>
            <w:vAlign w:val="bottom"/>
            <w:hideMark/>
          </w:tcPr>
          <w:p w14:paraId="50862217" w14:textId="251FD5FF"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1,950</w:t>
            </w:r>
          </w:p>
        </w:tc>
        <w:tc>
          <w:tcPr>
            <w:tcW w:w="885" w:type="dxa"/>
            <w:tcBorders>
              <w:top w:val="nil"/>
              <w:left w:val="nil"/>
              <w:bottom w:val="nil"/>
              <w:right w:val="nil"/>
            </w:tcBorders>
            <w:shd w:val="clear" w:color="auto" w:fill="auto"/>
            <w:noWrap/>
            <w:vAlign w:val="bottom"/>
            <w:hideMark/>
          </w:tcPr>
          <w:p w14:paraId="44D6B315" w14:textId="51616017"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550</w:t>
            </w:r>
          </w:p>
        </w:tc>
      </w:tr>
      <w:tr w:rsidR="00720F4E" w:rsidRPr="00AA6563" w14:paraId="5819D93E" w14:textId="77777777" w:rsidTr="00784E50">
        <w:trPr>
          <w:gridAfter w:val="1"/>
          <w:wAfter w:w="8" w:type="dxa"/>
          <w:trHeight w:val="204"/>
        </w:trPr>
        <w:tc>
          <w:tcPr>
            <w:tcW w:w="2977" w:type="dxa"/>
            <w:tcBorders>
              <w:top w:val="nil"/>
              <w:left w:val="nil"/>
              <w:bottom w:val="nil"/>
              <w:right w:val="nil"/>
            </w:tcBorders>
            <w:shd w:val="clear" w:color="auto" w:fill="auto"/>
            <w:vAlign w:val="center"/>
            <w:hideMark/>
          </w:tcPr>
          <w:p w14:paraId="6BAD1953" w14:textId="16AB77DF" w:rsidR="00720F4E" w:rsidRPr="00AA6563" w:rsidRDefault="00720F4E" w:rsidP="00720F4E">
            <w:pPr>
              <w:spacing w:after="0" w:line="240" w:lineRule="auto"/>
              <w:ind w:left="113"/>
              <w:jc w:val="left"/>
              <w:rPr>
                <w:rFonts w:ascii="Arial" w:hAnsi="Arial" w:cs="Arial"/>
                <w:sz w:val="16"/>
                <w:szCs w:val="16"/>
              </w:rPr>
            </w:pPr>
            <w:r w:rsidRPr="00AA6563">
              <w:rPr>
                <w:rFonts w:ascii="Arial" w:hAnsi="Arial" w:cs="Arial"/>
                <w:sz w:val="16"/>
                <w:szCs w:val="16"/>
              </w:rPr>
              <w:t xml:space="preserve">Expenses not requiring appropriation in the budget year </w:t>
            </w:r>
            <w:r w:rsidRPr="00EE1B63">
              <w:rPr>
                <w:rFonts w:ascii="Arial" w:hAnsi="Arial" w:cs="Arial"/>
                <w:sz w:val="16"/>
                <w:szCs w:val="16"/>
                <w:vertAlign w:val="superscript"/>
              </w:rPr>
              <w:t>(a)</w:t>
            </w:r>
          </w:p>
        </w:tc>
        <w:tc>
          <w:tcPr>
            <w:tcW w:w="880" w:type="dxa"/>
            <w:tcBorders>
              <w:top w:val="nil"/>
              <w:left w:val="nil"/>
              <w:bottom w:val="nil"/>
              <w:right w:val="nil"/>
            </w:tcBorders>
            <w:shd w:val="clear" w:color="auto" w:fill="auto"/>
            <w:noWrap/>
            <w:vAlign w:val="bottom"/>
            <w:hideMark/>
          </w:tcPr>
          <w:p w14:paraId="6AB16D86" w14:textId="1FB04500" w:rsidR="00720F4E" w:rsidRPr="00AA6563" w:rsidRDefault="00720F4E" w:rsidP="00720F4E">
            <w:pPr>
              <w:spacing w:after="0" w:line="240" w:lineRule="auto"/>
              <w:jc w:val="right"/>
              <w:rPr>
                <w:rFonts w:ascii="Arial" w:hAnsi="Arial" w:cs="Arial"/>
                <w:color w:val="000000"/>
                <w:sz w:val="16"/>
                <w:szCs w:val="16"/>
              </w:rPr>
            </w:pPr>
            <w:r>
              <w:rPr>
                <w:rFonts w:ascii="Arial" w:hAnsi="Arial" w:cs="Arial"/>
                <w:color w:val="000000"/>
                <w:sz w:val="16"/>
                <w:szCs w:val="16"/>
              </w:rPr>
              <w:t>173,479</w:t>
            </w:r>
          </w:p>
        </w:tc>
        <w:tc>
          <w:tcPr>
            <w:tcW w:w="880" w:type="dxa"/>
            <w:tcBorders>
              <w:top w:val="nil"/>
              <w:left w:val="nil"/>
              <w:bottom w:val="nil"/>
              <w:right w:val="nil"/>
            </w:tcBorders>
            <w:shd w:val="clear" w:color="000000" w:fill="E6E6E6"/>
            <w:noWrap/>
            <w:vAlign w:val="bottom"/>
            <w:hideMark/>
          </w:tcPr>
          <w:p w14:paraId="33C3AEEF" w14:textId="4853C107"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8,690</w:t>
            </w:r>
          </w:p>
        </w:tc>
        <w:tc>
          <w:tcPr>
            <w:tcW w:w="821" w:type="dxa"/>
            <w:tcBorders>
              <w:top w:val="nil"/>
              <w:left w:val="nil"/>
              <w:bottom w:val="nil"/>
              <w:right w:val="nil"/>
            </w:tcBorders>
            <w:shd w:val="clear" w:color="auto" w:fill="auto"/>
            <w:noWrap/>
            <w:vAlign w:val="bottom"/>
            <w:hideMark/>
          </w:tcPr>
          <w:p w14:paraId="751AC6F6" w14:textId="502113F1"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10,190</w:t>
            </w:r>
          </w:p>
        </w:tc>
        <w:tc>
          <w:tcPr>
            <w:tcW w:w="880" w:type="dxa"/>
            <w:tcBorders>
              <w:top w:val="nil"/>
              <w:left w:val="nil"/>
              <w:bottom w:val="nil"/>
              <w:right w:val="nil"/>
            </w:tcBorders>
            <w:shd w:val="clear" w:color="auto" w:fill="auto"/>
            <w:noWrap/>
            <w:vAlign w:val="bottom"/>
            <w:hideMark/>
          </w:tcPr>
          <w:p w14:paraId="1F4FB7CA" w14:textId="2006DBB2"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10,064</w:t>
            </w:r>
          </w:p>
        </w:tc>
        <w:tc>
          <w:tcPr>
            <w:tcW w:w="885" w:type="dxa"/>
            <w:tcBorders>
              <w:top w:val="nil"/>
              <w:left w:val="nil"/>
              <w:bottom w:val="nil"/>
              <w:right w:val="nil"/>
            </w:tcBorders>
            <w:shd w:val="clear" w:color="auto" w:fill="auto"/>
            <w:noWrap/>
            <w:vAlign w:val="bottom"/>
            <w:hideMark/>
          </w:tcPr>
          <w:p w14:paraId="504A93ED" w14:textId="4226F8A8"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11,498</w:t>
            </w:r>
          </w:p>
        </w:tc>
      </w:tr>
      <w:tr w:rsidR="00720F4E" w:rsidRPr="00AA6563" w14:paraId="656B7341" w14:textId="77777777" w:rsidTr="00784E50">
        <w:trPr>
          <w:gridAfter w:val="1"/>
          <w:wAfter w:w="8" w:type="dxa"/>
          <w:trHeight w:val="204"/>
        </w:trPr>
        <w:tc>
          <w:tcPr>
            <w:tcW w:w="2977" w:type="dxa"/>
            <w:tcBorders>
              <w:top w:val="nil"/>
              <w:left w:val="nil"/>
              <w:right w:val="nil"/>
            </w:tcBorders>
            <w:shd w:val="clear" w:color="auto" w:fill="auto"/>
            <w:vAlign w:val="center"/>
            <w:hideMark/>
          </w:tcPr>
          <w:p w14:paraId="72AFF9CF" w14:textId="4E5E71CD" w:rsidR="00720F4E" w:rsidRPr="00AA6563" w:rsidRDefault="00720F4E" w:rsidP="00784E50">
            <w:pPr>
              <w:spacing w:after="0" w:line="240" w:lineRule="auto"/>
              <w:jc w:val="left"/>
              <w:rPr>
                <w:rFonts w:ascii="Arial" w:hAnsi="Arial" w:cs="Arial"/>
                <w:sz w:val="16"/>
                <w:szCs w:val="16"/>
              </w:rPr>
            </w:pPr>
            <w:r w:rsidRPr="00AA6563">
              <w:rPr>
                <w:rFonts w:ascii="Arial" w:hAnsi="Arial" w:cs="Arial"/>
                <w:sz w:val="16"/>
                <w:szCs w:val="16"/>
              </w:rPr>
              <w:t>Revenues from other independent</w:t>
            </w:r>
            <w:r w:rsidR="00784E50">
              <w:rPr>
                <w:rFonts w:ascii="Arial" w:hAnsi="Arial" w:cs="Arial"/>
                <w:sz w:val="16"/>
                <w:szCs w:val="16"/>
              </w:rPr>
              <w:t xml:space="preserve"> </w:t>
            </w:r>
            <w:r w:rsidRPr="00AA6563">
              <w:rPr>
                <w:rFonts w:ascii="Arial" w:hAnsi="Arial" w:cs="Arial"/>
                <w:sz w:val="16"/>
                <w:szCs w:val="16"/>
              </w:rPr>
              <w:t xml:space="preserve">sources </w:t>
            </w:r>
          </w:p>
        </w:tc>
        <w:tc>
          <w:tcPr>
            <w:tcW w:w="880" w:type="dxa"/>
            <w:tcBorders>
              <w:top w:val="nil"/>
              <w:left w:val="nil"/>
              <w:bottom w:val="nil"/>
              <w:right w:val="nil"/>
            </w:tcBorders>
            <w:shd w:val="clear" w:color="auto" w:fill="auto"/>
            <w:noWrap/>
            <w:vAlign w:val="bottom"/>
            <w:hideMark/>
          </w:tcPr>
          <w:p w14:paraId="640F75AE" w14:textId="6C1E1953" w:rsidR="00720F4E" w:rsidRPr="00AA6563" w:rsidRDefault="00720F4E" w:rsidP="00720F4E">
            <w:pPr>
              <w:spacing w:after="0" w:line="240" w:lineRule="auto"/>
              <w:jc w:val="right"/>
              <w:rPr>
                <w:rFonts w:ascii="Arial" w:hAnsi="Arial" w:cs="Arial"/>
                <w:color w:val="000000"/>
                <w:sz w:val="16"/>
                <w:szCs w:val="16"/>
              </w:rPr>
            </w:pPr>
            <w:r>
              <w:rPr>
                <w:rFonts w:ascii="Arial" w:hAnsi="Arial" w:cs="Arial"/>
                <w:color w:val="000000"/>
                <w:sz w:val="16"/>
                <w:szCs w:val="16"/>
              </w:rPr>
              <w:t>10,975</w:t>
            </w:r>
          </w:p>
        </w:tc>
        <w:tc>
          <w:tcPr>
            <w:tcW w:w="880" w:type="dxa"/>
            <w:tcBorders>
              <w:top w:val="nil"/>
              <w:left w:val="nil"/>
              <w:bottom w:val="nil"/>
              <w:right w:val="nil"/>
            </w:tcBorders>
            <w:shd w:val="clear" w:color="000000" w:fill="E6E6E6"/>
            <w:noWrap/>
            <w:vAlign w:val="bottom"/>
            <w:hideMark/>
          </w:tcPr>
          <w:p w14:paraId="40227B3D" w14:textId="59BE6C41"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14,266</w:t>
            </w:r>
          </w:p>
        </w:tc>
        <w:tc>
          <w:tcPr>
            <w:tcW w:w="821" w:type="dxa"/>
            <w:tcBorders>
              <w:top w:val="nil"/>
              <w:left w:val="nil"/>
              <w:bottom w:val="nil"/>
              <w:right w:val="nil"/>
            </w:tcBorders>
            <w:shd w:val="clear" w:color="auto" w:fill="auto"/>
            <w:noWrap/>
            <w:vAlign w:val="bottom"/>
            <w:hideMark/>
          </w:tcPr>
          <w:p w14:paraId="05DEA3A3" w14:textId="794BD10D"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15,966</w:t>
            </w:r>
          </w:p>
        </w:tc>
        <w:tc>
          <w:tcPr>
            <w:tcW w:w="880" w:type="dxa"/>
            <w:tcBorders>
              <w:top w:val="nil"/>
              <w:left w:val="nil"/>
              <w:bottom w:val="nil"/>
              <w:right w:val="nil"/>
            </w:tcBorders>
            <w:shd w:val="clear" w:color="auto" w:fill="auto"/>
            <w:noWrap/>
            <w:vAlign w:val="bottom"/>
            <w:hideMark/>
          </w:tcPr>
          <w:p w14:paraId="49385AD6" w14:textId="6C9FDEF3"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13,366</w:t>
            </w:r>
          </w:p>
        </w:tc>
        <w:tc>
          <w:tcPr>
            <w:tcW w:w="885" w:type="dxa"/>
            <w:tcBorders>
              <w:top w:val="nil"/>
              <w:left w:val="nil"/>
              <w:bottom w:val="nil"/>
              <w:right w:val="nil"/>
            </w:tcBorders>
            <w:shd w:val="clear" w:color="auto" w:fill="auto"/>
            <w:noWrap/>
            <w:vAlign w:val="bottom"/>
            <w:hideMark/>
          </w:tcPr>
          <w:p w14:paraId="1201AD8B" w14:textId="4C38FA9A" w:rsidR="00720F4E" w:rsidRPr="00AA6563" w:rsidRDefault="00720F4E" w:rsidP="00720F4E">
            <w:pPr>
              <w:spacing w:after="0" w:line="240" w:lineRule="auto"/>
              <w:jc w:val="right"/>
              <w:rPr>
                <w:rFonts w:ascii="Arial" w:hAnsi="Arial" w:cs="Arial"/>
                <w:sz w:val="16"/>
                <w:szCs w:val="16"/>
              </w:rPr>
            </w:pPr>
            <w:r>
              <w:rPr>
                <w:rFonts w:ascii="Arial" w:hAnsi="Arial" w:cs="Arial"/>
                <w:sz w:val="16"/>
                <w:szCs w:val="16"/>
              </w:rPr>
              <w:t>11,966</w:t>
            </w:r>
          </w:p>
        </w:tc>
      </w:tr>
      <w:tr w:rsidR="00720F4E" w:rsidRPr="00AA6563" w14:paraId="256333F6" w14:textId="77777777" w:rsidTr="00784E50">
        <w:trPr>
          <w:gridAfter w:val="1"/>
          <w:wAfter w:w="8" w:type="dxa"/>
          <w:trHeight w:val="204"/>
        </w:trPr>
        <w:tc>
          <w:tcPr>
            <w:tcW w:w="2977" w:type="dxa"/>
            <w:tcBorders>
              <w:top w:val="nil"/>
              <w:left w:val="nil"/>
              <w:bottom w:val="single" w:sz="4" w:space="0" w:color="auto"/>
              <w:right w:val="nil"/>
            </w:tcBorders>
            <w:shd w:val="clear" w:color="auto" w:fill="auto"/>
            <w:noWrap/>
            <w:vAlign w:val="center"/>
            <w:hideMark/>
          </w:tcPr>
          <w:p w14:paraId="66316292" w14:textId="77777777" w:rsidR="00720F4E" w:rsidRPr="00AA6563" w:rsidRDefault="00720F4E" w:rsidP="00720F4E">
            <w:pPr>
              <w:spacing w:after="0" w:line="240" w:lineRule="auto"/>
              <w:jc w:val="left"/>
              <w:rPr>
                <w:rFonts w:ascii="Arial" w:hAnsi="Arial" w:cs="Arial"/>
                <w:b/>
                <w:bCs/>
                <w:sz w:val="16"/>
                <w:szCs w:val="16"/>
              </w:rPr>
            </w:pPr>
            <w:r w:rsidRPr="00AA6563">
              <w:rPr>
                <w:rFonts w:ascii="Arial" w:hAnsi="Arial" w:cs="Arial"/>
                <w:b/>
                <w:bCs/>
                <w:sz w:val="16"/>
                <w:szCs w:val="16"/>
              </w:rPr>
              <w:t>Total expenses for Outcome 1</w:t>
            </w:r>
          </w:p>
        </w:tc>
        <w:tc>
          <w:tcPr>
            <w:tcW w:w="880" w:type="dxa"/>
            <w:tcBorders>
              <w:top w:val="single" w:sz="4" w:space="0" w:color="auto"/>
              <w:left w:val="nil"/>
              <w:bottom w:val="single" w:sz="4" w:space="0" w:color="auto"/>
              <w:right w:val="nil"/>
            </w:tcBorders>
            <w:shd w:val="clear" w:color="auto" w:fill="auto"/>
            <w:noWrap/>
            <w:vAlign w:val="bottom"/>
            <w:hideMark/>
          </w:tcPr>
          <w:p w14:paraId="0F9F72B4" w14:textId="40F2B632" w:rsidR="00720F4E" w:rsidRPr="00AA6563" w:rsidRDefault="00720F4E" w:rsidP="00720F4E">
            <w:pPr>
              <w:spacing w:after="0" w:line="240" w:lineRule="auto"/>
              <w:jc w:val="right"/>
              <w:rPr>
                <w:rFonts w:ascii="Arial" w:hAnsi="Arial" w:cs="Arial"/>
                <w:b/>
                <w:bCs/>
                <w:color w:val="000000"/>
                <w:sz w:val="16"/>
                <w:szCs w:val="16"/>
              </w:rPr>
            </w:pPr>
            <w:r>
              <w:rPr>
                <w:rFonts w:ascii="Arial" w:hAnsi="Arial" w:cs="Arial"/>
                <w:b/>
                <w:bCs/>
                <w:color w:val="000000"/>
                <w:sz w:val="16"/>
                <w:szCs w:val="16"/>
              </w:rPr>
              <w:t>244,526</w:t>
            </w:r>
          </w:p>
        </w:tc>
        <w:tc>
          <w:tcPr>
            <w:tcW w:w="880" w:type="dxa"/>
            <w:tcBorders>
              <w:top w:val="single" w:sz="4" w:space="0" w:color="auto"/>
              <w:left w:val="nil"/>
              <w:bottom w:val="single" w:sz="4" w:space="0" w:color="auto"/>
              <w:right w:val="nil"/>
            </w:tcBorders>
            <w:shd w:val="clear" w:color="000000" w:fill="E6E6E6"/>
            <w:noWrap/>
            <w:vAlign w:val="bottom"/>
            <w:hideMark/>
          </w:tcPr>
          <w:p w14:paraId="730019F0" w14:textId="3A44643F" w:rsidR="00720F4E" w:rsidRPr="00AA6563" w:rsidRDefault="00720F4E" w:rsidP="00720F4E">
            <w:pPr>
              <w:spacing w:after="0" w:line="240" w:lineRule="auto"/>
              <w:jc w:val="right"/>
              <w:rPr>
                <w:rFonts w:ascii="Arial" w:hAnsi="Arial" w:cs="Arial"/>
                <w:b/>
                <w:bCs/>
                <w:color w:val="000000"/>
                <w:sz w:val="16"/>
                <w:szCs w:val="16"/>
              </w:rPr>
            </w:pPr>
            <w:r>
              <w:rPr>
                <w:rFonts w:ascii="Arial" w:hAnsi="Arial" w:cs="Arial"/>
                <w:b/>
                <w:bCs/>
                <w:color w:val="000000"/>
                <w:sz w:val="16"/>
                <w:szCs w:val="16"/>
              </w:rPr>
              <w:t>83,799</w:t>
            </w:r>
          </w:p>
        </w:tc>
        <w:tc>
          <w:tcPr>
            <w:tcW w:w="821" w:type="dxa"/>
            <w:tcBorders>
              <w:top w:val="single" w:sz="4" w:space="0" w:color="auto"/>
              <w:left w:val="nil"/>
              <w:bottom w:val="single" w:sz="4" w:space="0" w:color="auto"/>
              <w:right w:val="nil"/>
            </w:tcBorders>
            <w:shd w:val="clear" w:color="auto" w:fill="auto"/>
            <w:noWrap/>
            <w:vAlign w:val="bottom"/>
            <w:hideMark/>
          </w:tcPr>
          <w:p w14:paraId="65EFEF04" w14:textId="6CC694AF" w:rsidR="00720F4E" w:rsidRPr="00AA6563" w:rsidRDefault="00720F4E" w:rsidP="00720F4E">
            <w:pPr>
              <w:spacing w:after="0" w:line="240" w:lineRule="auto"/>
              <w:jc w:val="right"/>
              <w:rPr>
                <w:rFonts w:ascii="Arial" w:hAnsi="Arial" w:cs="Arial"/>
                <w:b/>
                <w:bCs/>
                <w:sz w:val="16"/>
                <w:szCs w:val="16"/>
              </w:rPr>
            </w:pPr>
            <w:r>
              <w:rPr>
                <w:rFonts w:ascii="Arial" w:hAnsi="Arial" w:cs="Arial"/>
                <w:b/>
                <w:bCs/>
                <w:sz w:val="16"/>
                <w:szCs w:val="16"/>
              </w:rPr>
              <w:t>88,886</w:t>
            </w:r>
          </w:p>
        </w:tc>
        <w:tc>
          <w:tcPr>
            <w:tcW w:w="880" w:type="dxa"/>
            <w:tcBorders>
              <w:top w:val="single" w:sz="4" w:space="0" w:color="auto"/>
              <w:left w:val="nil"/>
              <w:bottom w:val="single" w:sz="4" w:space="0" w:color="auto"/>
              <w:right w:val="nil"/>
            </w:tcBorders>
            <w:shd w:val="clear" w:color="auto" w:fill="auto"/>
            <w:noWrap/>
            <w:vAlign w:val="bottom"/>
            <w:hideMark/>
          </w:tcPr>
          <w:p w14:paraId="40B15CC5" w14:textId="1942E893" w:rsidR="00720F4E" w:rsidRPr="00AA6563" w:rsidRDefault="00720F4E" w:rsidP="00720F4E">
            <w:pPr>
              <w:spacing w:after="0" w:line="240" w:lineRule="auto"/>
              <w:jc w:val="right"/>
              <w:rPr>
                <w:rFonts w:ascii="Arial" w:hAnsi="Arial" w:cs="Arial"/>
                <w:b/>
                <w:bCs/>
                <w:sz w:val="16"/>
                <w:szCs w:val="16"/>
              </w:rPr>
            </w:pPr>
            <w:r>
              <w:rPr>
                <w:rFonts w:ascii="Arial" w:hAnsi="Arial" w:cs="Arial"/>
                <w:b/>
                <w:bCs/>
                <w:sz w:val="16"/>
                <w:szCs w:val="16"/>
              </w:rPr>
              <w:t>72,394</w:t>
            </w:r>
          </w:p>
        </w:tc>
        <w:tc>
          <w:tcPr>
            <w:tcW w:w="885" w:type="dxa"/>
            <w:tcBorders>
              <w:top w:val="single" w:sz="4" w:space="0" w:color="auto"/>
              <w:left w:val="nil"/>
              <w:bottom w:val="single" w:sz="4" w:space="0" w:color="auto"/>
              <w:right w:val="nil"/>
            </w:tcBorders>
            <w:shd w:val="clear" w:color="auto" w:fill="auto"/>
            <w:noWrap/>
            <w:vAlign w:val="bottom"/>
            <w:hideMark/>
          </w:tcPr>
          <w:p w14:paraId="6F40D61E" w14:textId="36E11191" w:rsidR="00720F4E" w:rsidRPr="00AA6563" w:rsidRDefault="00720F4E" w:rsidP="00720F4E">
            <w:pPr>
              <w:spacing w:after="0" w:line="240" w:lineRule="auto"/>
              <w:jc w:val="right"/>
              <w:rPr>
                <w:rFonts w:ascii="Arial" w:hAnsi="Arial" w:cs="Arial"/>
                <w:b/>
                <w:bCs/>
                <w:sz w:val="16"/>
                <w:szCs w:val="16"/>
              </w:rPr>
            </w:pPr>
            <w:r>
              <w:rPr>
                <w:rFonts w:ascii="Arial" w:hAnsi="Arial" w:cs="Arial"/>
                <w:b/>
                <w:bCs/>
                <w:sz w:val="16"/>
                <w:szCs w:val="16"/>
              </w:rPr>
              <w:t>71,211</w:t>
            </w:r>
          </w:p>
        </w:tc>
      </w:tr>
    </w:tbl>
    <w:p w14:paraId="62C4AAAE" w14:textId="6B0F5303" w:rsidR="00720F4E" w:rsidRDefault="00720F4E" w:rsidP="00720F4E">
      <w:pPr>
        <w:spacing w:after="0"/>
      </w:pPr>
    </w:p>
    <w:tbl>
      <w:tblPr>
        <w:tblW w:w="4737" w:type="dxa"/>
        <w:tblLook w:val="04A0" w:firstRow="1" w:lastRow="0" w:firstColumn="1" w:lastColumn="0" w:noHBand="0" w:noVBand="1"/>
      </w:tblPr>
      <w:tblGrid>
        <w:gridCol w:w="2977"/>
        <w:gridCol w:w="880"/>
        <w:gridCol w:w="880"/>
      </w:tblGrid>
      <w:tr w:rsidR="00720F4E" w:rsidRPr="00AA6563" w14:paraId="509BFDC4" w14:textId="77777777" w:rsidTr="00553851">
        <w:trPr>
          <w:trHeight w:val="229"/>
        </w:trPr>
        <w:tc>
          <w:tcPr>
            <w:tcW w:w="2977" w:type="dxa"/>
            <w:tcBorders>
              <w:top w:val="single" w:sz="4" w:space="0" w:color="auto"/>
              <w:left w:val="nil"/>
              <w:bottom w:val="nil"/>
              <w:right w:val="nil"/>
            </w:tcBorders>
            <w:shd w:val="clear" w:color="auto" w:fill="auto"/>
            <w:noWrap/>
            <w:vAlign w:val="center"/>
            <w:hideMark/>
          </w:tcPr>
          <w:p w14:paraId="4CF23527" w14:textId="77777777" w:rsidR="00720F4E" w:rsidRPr="00AA6563" w:rsidRDefault="00720F4E" w:rsidP="00634BCB">
            <w:pPr>
              <w:spacing w:after="0" w:line="240" w:lineRule="auto"/>
              <w:jc w:val="left"/>
              <w:rPr>
                <w:rFonts w:ascii="Arial" w:hAnsi="Arial" w:cs="Arial"/>
                <w:sz w:val="16"/>
                <w:szCs w:val="16"/>
              </w:rPr>
            </w:pPr>
            <w:r w:rsidRPr="00AA6563">
              <w:rPr>
                <w:rFonts w:ascii="Arial" w:hAnsi="Arial" w:cs="Arial"/>
                <w:sz w:val="16"/>
                <w:szCs w:val="16"/>
              </w:rPr>
              <w:t> </w:t>
            </w:r>
          </w:p>
        </w:tc>
        <w:tc>
          <w:tcPr>
            <w:tcW w:w="880" w:type="dxa"/>
            <w:tcBorders>
              <w:top w:val="single" w:sz="4" w:space="0" w:color="auto"/>
              <w:left w:val="nil"/>
              <w:bottom w:val="nil"/>
              <w:right w:val="nil"/>
            </w:tcBorders>
            <w:shd w:val="clear" w:color="auto" w:fill="auto"/>
            <w:noWrap/>
            <w:vAlign w:val="bottom"/>
            <w:hideMark/>
          </w:tcPr>
          <w:p w14:paraId="02EDEF57" w14:textId="39FC683C" w:rsidR="00720F4E" w:rsidRPr="00AA6563" w:rsidRDefault="00720F4E" w:rsidP="00634BCB">
            <w:pPr>
              <w:spacing w:after="0" w:line="240" w:lineRule="auto"/>
              <w:jc w:val="right"/>
              <w:rPr>
                <w:rFonts w:ascii="Arial" w:hAnsi="Arial" w:cs="Arial"/>
                <w:sz w:val="16"/>
                <w:szCs w:val="16"/>
              </w:rPr>
            </w:pPr>
            <w:r>
              <w:rPr>
                <w:rFonts w:ascii="Arial" w:hAnsi="Arial" w:cs="Arial"/>
                <w:sz w:val="16"/>
                <w:szCs w:val="16"/>
              </w:rPr>
              <w:t xml:space="preserve">Actual </w:t>
            </w:r>
            <w:r w:rsidRPr="00AA6563">
              <w:rPr>
                <w:rFonts w:ascii="Arial" w:hAnsi="Arial" w:cs="Arial"/>
                <w:sz w:val="16"/>
                <w:szCs w:val="16"/>
              </w:rPr>
              <w:t>2020-21</w:t>
            </w:r>
          </w:p>
        </w:tc>
        <w:tc>
          <w:tcPr>
            <w:tcW w:w="880" w:type="dxa"/>
            <w:tcBorders>
              <w:top w:val="single" w:sz="4" w:space="0" w:color="000000"/>
              <w:left w:val="nil"/>
              <w:bottom w:val="nil"/>
              <w:right w:val="nil"/>
            </w:tcBorders>
            <w:shd w:val="clear" w:color="000000" w:fill="E6E6E6"/>
            <w:noWrap/>
            <w:vAlign w:val="bottom"/>
            <w:hideMark/>
          </w:tcPr>
          <w:p w14:paraId="7D038BBB" w14:textId="77777777" w:rsidR="00720F4E" w:rsidRPr="00AA6563" w:rsidRDefault="00720F4E" w:rsidP="00634BCB">
            <w:pPr>
              <w:spacing w:after="0" w:line="240" w:lineRule="auto"/>
              <w:jc w:val="right"/>
              <w:rPr>
                <w:rFonts w:ascii="Arial" w:hAnsi="Arial" w:cs="Arial"/>
                <w:sz w:val="16"/>
                <w:szCs w:val="16"/>
              </w:rPr>
            </w:pPr>
            <w:r w:rsidRPr="00AA6563">
              <w:rPr>
                <w:rFonts w:ascii="Arial" w:hAnsi="Arial" w:cs="Arial"/>
                <w:sz w:val="16"/>
                <w:szCs w:val="16"/>
              </w:rPr>
              <w:t>2021-22</w:t>
            </w:r>
          </w:p>
        </w:tc>
      </w:tr>
      <w:tr w:rsidR="00720F4E" w:rsidRPr="00AA6563" w14:paraId="49209BE4" w14:textId="77777777" w:rsidTr="00553851">
        <w:trPr>
          <w:trHeight w:val="204"/>
        </w:trPr>
        <w:tc>
          <w:tcPr>
            <w:tcW w:w="2977" w:type="dxa"/>
            <w:tcBorders>
              <w:top w:val="nil"/>
              <w:left w:val="nil"/>
              <w:bottom w:val="single" w:sz="4" w:space="0" w:color="auto"/>
              <w:right w:val="nil"/>
            </w:tcBorders>
            <w:shd w:val="clear" w:color="auto" w:fill="auto"/>
            <w:noWrap/>
            <w:vAlign w:val="center"/>
            <w:hideMark/>
          </w:tcPr>
          <w:p w14:paraId="0B631A54" w14:textId="77777777" w:rsidR="00720F4E" w:rsidRPr="00AA6563" w:rsidRDefault="00720F4E" w:rsidP="00634BCB">
            <w:pPr>
              <w:spacing w:after="0" w:line="240" w:lineRule="auto"/>
              <w:jc w:val="left"/>
              <w:rPr>
                <w:rFonts w:ascii="Arial" w:hAnsi="Arial" w:cs="Arial"/>
                <w:b/>
                <w:bCs/>
                <w:color w:val="000000"/>
                <w:sz w:val="16"/>
                <w:szCs w:val="16"/>
              </w:rPr>
            </w:pPr>
            <w:r w:rsidRPr="00AA6563">
              <w:rPr>
                <w:rFonts w:ascii="Arial" w:hAnsi="Arial" w:cs="Arial"/>
                <w:b/>
                <w:bCs/>
                <w:color w:val="000000"/>
                <w:sz w:val="16"/>
                <w:szCs w:val="16"/>
              </w:rPr>
              <w:t>Average staffing level (number)</w:t>
            </w:r>
          </w:p>
        </w:tc>
        <w:tc>
          <w:tcPr>
            <w:tcW w:w="880" w:type="dxa"/>
            <w:tcBorders>
              <w:top w:val="single" w:sz="4" w:space="0" w:color="000000"/>
              <w:left w:val="nil"/>
              <w:bottom w:val="single" w:sz="4" w:space="0" w:color="000000"/>
              <w:right w:val="nil"/>
            </w:tcBorders>
            <w:shd w:val="clear" w:color="auto" w:fill="auto"/>
            <w:noWrap/>
            <w:vAlign w:val="bottom"/>
            <w:hideMark/>
          </w:tcPr>
          <w:p w14:paraId="73F5BEFC" w14:textId="617F3AE3" w:rsidR="00720F4E" w:rsidRPr="00AA6563" w:rsidRDefault="00720F4E" w:rsidP="00634BCB">
            <w:pPr>
              <w:spacing w:after="0" w:line="240" w:lineRule="auto"/>
              <w:jc w:val="right"/>
              <w:rPr>
                <w:rFonts w:ascii="Arial" w:hAnsi="Arial" w:cs="Arial"/>
                <w:color w:val="000000"/>
                <w:sz w:val="16"/>
                <w:szCs w:val="16"/>
              </w:rPr>
            </w:pPr>
            <w:r w:rsidRPr="00AA6563">
              <w:rPr>
                <w:rFonts w:ascii="Arial" w:hAnsi="Arial" w:cs="Arial"/>
                <w:color w:val="000000"/>
                <w:sz w:val="16"/>
                <w:szCs w:val="16"/>
              </w:rPr>
              <w:t>350</w:t>
            </w:r>
          </w:p>
        </w:tc>
        <w:tc>
          <w:tcPr>
            <w:tcW w:w="880" w:type="dxa"/>
            <w:tcBorders>
              <w:top w:val="single" w:sz="4" w:space="0" w:color="000000"/>
              <w:left w:val="nil"/>
              <w:bottom w:val="single" w:sz="4" w:space="0" w:color="000000"/>
              <w:right w:val="nil"/>
            </w:tcBorders>
            <w:shd w:val="clear" w:color="000000" w:fill="E6E6E6"/>
            <w:noWrap/>
            <w:vAlign w:val="bottom"/>
            <w:hideMark/>
          </w:tcPr>
          <w:p w14:paraId="35ACCBC6" w14:textId="690306A1" w:rsidR="00720F4E" w:rsidRPr="00AA6563" w:rsidRDefault="00720F4E" w:rsidP="00634BCB">
            <w:pPr>
              <w:spacing w:after="0" w:line="240" w:lineRule="auto"/>
              <w:jc w:val="right"/>
              <w:rPr>
                <w:rFonts w:ascii="Arial" w:hAnsi="Arial" w:cs="Arial"/>
                <w:color w:val="000000"/>
                <w:sz w:val="16"/>
                <w:szCs w:val="16"/>
              </w:rPr>
            </w:pPr>
            <w:r>
              <w:rPr>
                <w:rFonts w:ascii="Arial" w:hAnsi="Arial" w:cs="Arial"/>
                <w:color w:val="000000"/>
                <w:sz w:val="16"/>
                <w:szCs w:val="16"/>
              </w:rPr>
              <w:t>371</w:t>
            </w:r>
          </w:p>
        </w:tc>
      </w:tr>
    </w:tbl>
    <w:p w14:paraId="78292F5B" w14:textId="380CD4EA" w:rsidR="003C0999" w:rsidRDefault="003C0999" w:rsidP="00B11134">
      <w:pPr>
        <w:pStyle w:val="ChartandTableFootnote"/>
        <w:numPr>
          <w:ilvl w:val="0"/>
          <w:numId w:val="14"/>
        </w:numPr>
        <w:tabs>
          <w:tab w:val="clear" w:pos="454"/>
          <w:tab w:val="left" w:pos="284"/>
        </w:tabs>
        <w:spacing w:before="60"/>
        <w:ind w:left="284" w:hanging="284"/>
        <w:jc w:val="left"/>
      </w:pPr>
      <w:r w:rsidRPr="00950281">
        <w:t>Expenses not requiring appropriation in the Budget year are made up of depreciation expenses</w:t>
      </w:r>
      <w:r w:rsidRPr="008040EC">
        <w:t xml:space="preserve"> related to collection assets which are funded through an equity injection, and resources received free of charge.</w:t>
      </w:r>
    </w:p>
    <w:p w14:paraId="3966756E" w14:textId="77777777" w:rsidR="003C0999" w:rsidRPr="009E4120" w:rsidRDefault="003C0999" w:rsidP="003C0999">
      <w:pPr>
        <w:pStyle w:val="TableHeading"/>
        <w:rPr>
          <w:lang w:val="en-GB"/>
        </w:rPr>
      </w:pPr>
      <w:r w:rsidRPr="00F71634">
        <w:lastRenderedPageBreak/>
        <w:t xml:space="preserve">Performance criteria for Outcome </w:t>
      </w:r>
      <w:r>
        <w:rPr>
          <w:lang w:val="en-GB"/>
        </w:rPr>
        <w:t>1</w:t>
      </w:r>
    </w:p>
    <w:p w14:paraId="2AB3E26A" w14:textId="40FDD3C5" w:rsidR="003C0999" w:rsidRPr="009E4120" w:rsidRDefault="003C0999" w:rsidP="003C0999">
      <w:pPr>
        <w:jc w:val="left"/>
      </w:pPr>
      <w:r w:rsidRPr="009E4120">
        <w:t xml:space="preserve">There has been no change to the performance criteria for Outcome 1 resulting from decisions made since the 2021-22 Budget. The NLA’s detailed performance criteria can be found in the </w:t>
      </w:r>
      <w:r w:rsidR="00360023" w:rsidRPr="009E4120">
        <w:t xml:space="preserve">2021-22 </w:t>
      </w:r>
      <w:r w:rsidRPr="009E4120">
        <w:t xml:space="preserve">Infrastructure, Transport, Regional Development and Communications PB Statements. </w:t>
      </w:r>
    </w:p>
    <w:p w14:paraId="3D53E67B" w14:textId="3F22029E" w:rsidR="003C0999" w:rsidRPr="00D93D96" w:rsidRDefault="003C0999" w:rsidP="003C0999">
      <w:pPr>
        <w:pStyle w:val="TableHeading"/>
      </w:pPr>
      <w:r w:rsidRPr="00C3303C">
        <w:rPr>
          <w:rFonts w:ascii="Book Antiqua" w:hAnsi="Book Antiqua"/>
          <w:i/>
          <w:color w:val="FF0000"/>
        </w:rPr>
        <w:br w:type="page"/>
      </w:r>
    </w:p>
    <w:p w14:paraId="1BB6BD3D" w14:textId="3F06785B" w:rsidR="00914885" w:rsidRPr="00E41681" w:rsidRDefault="00914885" w:rsidP="0030114B">
      <w:pPr>
        <w:pStyle w:val="Heading2-TOCNLA"/>
      </w:pPr>
      <w:bookmarkStart w:id="517" w:name="_Toc93405200"/>
      <w:bookmarkStart w:id="518" w:name="_Toc94040075"/>
      <w:r w:rsidRPr="00E41681">
        <w:lastRenderedPageBreak/>
        <w:t>Section 3: Special account flows and budgeted financial statements</w:t>
      </w:r>
      <w:bookmarkEnd w:id="517"/>
      <w:bookmarkEnd w:id="518"/>
    </w:p>
    <w:p w14:paraId="4C867E8A" w14:textId="5F6B4BCE" w:rsidR="00914885" w:rsidRPr="004D3E2B" w:rsidRDefault="00914885" w:rsidP="0030114B">
      <w:pPr>
        <w:pStyle w:val="Heading3NLA"/>
      </w:pPr>
      <w:bookmarkStart w:id="519" w:name="_Toc93405201"/>
      <w:bookmarkStart w:id="520" w:name="_Toc94040076"/>
      <w:r w:rsidRPr="004D3E2B">
        <w:t>3.1</w:t>
      </w:r>
      <w:r w:rsidRPr="004D3E2B">
        <w:tab/>
        <w:t>Special account flows</w:t>
      </w:r>
      <w:bookmarkEnd w:id="519"/>
      <w:bookmarkEnd w:id="520"/>
    </w:p>
    <w:p w14:paraId="5EB14282" w14:textId="77777777" w:rsidR="00914885" w:rsidRDefault="00914885" w:rsidP="00914885">
      <w:pPr>
        <w:pStyle w:val="Heading4"/>
      </w:pPr>
      <w:r w:rsidRPr="004928FF">
        <w:t xml:space="preserve">Estimates of </w:t>
      </w:r>
      <w:r>
        <w:t>s</w:t>
      </w:r>
      <w:r w:rsidRPr="004928FF">
        <w:t xml:space="preserve">pecial </w:t>
      </w:r>
      <w:r>
        <w:t>a</w:t>
      </w:r>
      <w:r w:rsidRPr="004928FF">
        <w:t xml:space="preserve">ccount </w:t>
      </w:r>
      <w:r>
        <w:t>f</w:t>
      </w:r>
      <w:r w:rsidRPr="004928FF">
        <w:t>lows</w:t>
      </w:r>
    </w:p>
    <w:p w14:paraId="51514EEA" w14:textId="07595406" w:rsidR="00914885" w:rsidRDefault="00984C33" w:rsidP="00856095">
      <w:pPr>
        <w:jc w:val="left"/>
      </w:pPr>
      <w:r>
        <w:t>The NLA does not have any s</w:t>
      </w:r>
      <w:r w:rsidR="00914885">
        <w:t xml:space="preserve">pecial </w:t>
      </w:r>
      <w:r>
        <w:t>a</w:t>
      </w:r>
      <w:r w:rsidR="00914885">
        <w:t>ccounts.</w:t>
      </w:r>
    </w:p>
    <w:p w14:paraId="2A19EB90" w14:textId="15DF6F49" w:rsidR="00914885" w:rsidRDefault="00914885" w:rsidP="0030114B">
      <w:pPr>
        <w:pStyle w:val="Heading3NLA"/>
      </w:pPr>
      <w:bookmarkStart w:id="521" w:name="_Toc93405202"/>
      <w:bookmarkStart w:id="522" w:name="_Toc94040077"/>
      <w:r w:rsidRPr="005554F9">
        <w:t>3.2</w:t>
      </w:r>
      <w:r>
        <w:tab/>
        <w:t>Budgeted financial statements</w:t>
      </w:r>
      <w:bookmarkEnd w:id="521"/>
      <w:bookmarkEnd w:id="522"/>
    </w:p>
    <w:p w14:paraId="3F6EC057" w14:textId="77777777" w:rsidR="00914885" w:rsidRPr="004928FF" w:rsidRDefault="00914885" w:rsidP="00914885">
      <w:pPr>
        <w:pStyle w:val="Heading4"/>
      </w:pPr>
      <w:r w:rsidRPr="00EC73D1">
        <w:t>3.2</w:t>
      </w:r>
      <w:r w:rsidRPr="00EC73D1">
        <w:rPr>
          <w:lang w:val="en-AU"/>
        </w:rPr>
        <w:t>.1</w:t>
      </w:r>
      <w:r>
        <w:tab/>
      </w:r>
      <w:r w:rsidRPr="004928FF">
        <w:t xml:space="preserve">Analysis of </w:t>
      </w:r>
      <w:r>
        <w:t>b</w:t>
      </w:r>
      <w:r w:rsidRPr="004928FF">
        <w:t xml:space="preserve">udgeted </w:t>
      </w:r>
      <w:r>
        <w:t>f</w:t>
      </w:r>
      <w:r w:rsidRPr="004928FF">
        <w:t xml:space="preserve">inancial </w:t>
      </w:r>
      <w:r>
        <w:t>s</w:t>
      </w:r>
      <w:r w:rsidRPr="004928FF">
        <w:t>tatements</w:t>
      </w:r>
    </w:p>
    <w:p w14:paraId="78CC5885" w14:textId="5CC1A017" w:rsidR="00720F4E" w:rsidRDefault="008863D9" w:rsidP="00720F4E">
      <w:pPr>
        <w:spacing w:after="0" w:line="240" w:lineRule="auto"/>
        <w:jc w:val="left"/>
        <w:rPr>
          <w:rStyle w:val="TableHeadingChar"/>
          <w:bCs/>
        </w:rPr>
      </w:pPr>
      <w:r>
        <w:rPr>
          <w:rStyle w:val="TableHeadingChar"/>
          <w:bCs/>
        </w:rPr>
        <w:t>Department</w:t>
      </w:r>
      <w:r w:rsidR="00720F4E">
        <w:rPr>
          <w:rStyle w:val="TableHeadingChar"/>
          <w:bCs/>
        </w:rPr>
        <w:t>al comprehensive income statement</w:t>
      </w:r>
    </w:p>
    <w:p w14:paraId="3863DC2A" w14:textId="6D263053" w:rsidR="00720F4E" w:rsidRPr="00720F4E" w:rsidRDefault="008E5218" w:rsidP="00856095">
      <w:pPr>
        <w:jc w:val="left"/>
      </w:pPr>
      <w:r w:rsidRPr="008E5218">
        <w:t>The NLA is budgeting for a break-even operating result in 2021-22 and the forward years. Since the 2021-22 Budget</w:t>
      </w:r>
      <w:r w:rsidR="00DB0DF9">
        <w:t>,</w:t>
      </w:r>
      <w:r w:rsidRPr="008E5218">
        <w:t xml:space="preserve"> additional funding will be provided to the NLA through </w:t>
      </w:r>
      <w:r w:rsidR="00DB0DF9">
        <w:t>the</w:t>
      </w:r>
      <w:r w:rsidRPr="008E5218">
        <w:t xml:space="preserve"> measure to suppor</w:t>
      </w:r>
      <w:r w:rsidR="00BD2516">
        <w:t xml:space="preserve">t ongoing Trove operations, $0.7 million in 2021-22 and </w:t>
      </w:r>
      <w:r w:rsidR="00DB0DF9">
        <w:t xml:space="preserve">net funding of </w:t>
      </w:r>
      <w:r w:rsidR="00BD2516">
        <w:t>$5.1</w:t>
      </w:r>
      <w:r w:rsidRPr="008E5218">
        <w:t xml:space="preserve"> million in 2022-23.</w:t>
      </w:r>
      <w:r w:rsidR="00DB0DF9">
        <w:t xml:space="preserve"> </w:t>
      </w:r>
      <w:r w:rsidRPr="008E5218">
        <w:t>This increases the total operating funding for the NLA to $57.</w:t>
      </w:r>
      <w:r w:rsidR="00BD2516">
        <w:t>5</w:t>
      </w:r>
      <w:r w:rsidRPr="008E5218">
        <w:t xml:space="preserve"> million in 2021-22 and $60.</w:t>
      </w:r>
      <w:r w:rsidR="00416D7A">
        <w:t>9</w:t>
      </w:r>
      <w:r w:rsidRPr="008E5218">
        <w:t xml:space="preserve"> million in 2022-23.</w:t>
      </w:r>
      <w:r w:rsidR="00720F4E" w:rsidRPr="00720F4E">
        <w:t xml:space="preserve"> </w:t>
      </w:r>
    </w:p>
    <w:p w14:paraId="69010429" w14:textId="77777777" w:rsidR="00720F4E" w:rsidRPr="00720F4E" w:rsidRDefault="00720F4E" w:rsidP="00856095">
      <w:pPr>
        <w:jc w:val="left"/>
      </w:pPr>
      <w:r w:rsidRPr="00720F4E">
        <w:t xml:space="preserve">In addition, forward estimates have been adjusted to take into account the effect of indexation adjustments and efficiency dividend. </w:t>
      </w:r>
    </w:p>
    <w:p w14:paraId="57EB7684" w14:textId="047C942C" w:rsidR="00720F4E" w:rsidRDefault="00720F4E" w:rsidP="00720F4E">
      <w:pPr>
        <w:spacing w:after="0" w:line="240" w:lineRule="auto"/>
        <w:jc w:val="left"/>
        <w:rPr>
          <w:rStyle w:val="TableHeadingChar"/>
          <w:bCs/>
          <w:lang w:val="x-none"/>
        </w:rPr>
      </w:pPr>
      <w:r>
        <w:rPr>
          <w:rStyle w:val="TableHeadingChar"/>
          <w:bCs/>
        </w:rPr>
        <w:t xml:space="preserve">Budgeted </w:t>
      </w:r>
      <w:r w:rsidR="008863D9">
        <w:rPr>
          <w:rStyle w:val="TableHeadingChar"/>
          <w:bCs/>
        </w:rPr>
        <w:t>Department</w:t>
      </w:r>
      <w:r>
        <w:rPr>
          <w:rStyle w:val="TableHeadingChar"/>
          <w:bCs/>
        </w:rPr>
        <w:t>al balance sheet</w:t>
      </w:r>
    </w:p>
    <w:p w14:paraId="36DAD58E" w14:textId="1237F4F7" w:rsidR="00720F4E" w:rsidRPr="00720F4E" w:rsidRDefault="008E5218" w:rsidP="00856095">
      <w:pPr>
        <w:jc w:val="left"/>
      </w:pPr>
      <w:r w:rsidRPr="008E5218">
        <w:t xml:space="preserve">The NLA’s </w:t>
      </w:r>
      <w:r w:rsidR="008863D9">
        <w:t>Department</w:t>
      </w:r>
      <w:r w:rsidRPr="008E5218">
        <w:t>al net asset position decreases from 2020-21 and in the forward years. In 2020-21 the fair value of the National Heritage and Cultural Collection assets has been decreased from $1.</w:t>
      </w:r>
      <w:r w:rsidR="00416D7A">
        <w:t>3 billion in 2019-20 to $1.1</w:t>
      </w:r>
      <w:r w:rsidRPr="008E5218">
        <w:t xml:space="preserve"> billion in 2020-21 due to the downward revaluation of NLA’s tangible colle</w:t>
      </w:r>
      <w:r>
        <w:t>ction assets as at 30 June 2021</w:t>
      </w:r>
      <w:r w:rsidR="00720F4E" w:rsidRPr="00720F4E">
        <w:t>.</w:t>
      </w:r>
    </w:p>
    <w:p w14:paraId="458B74F1" w14:textId="3BCBA275" w:rsidR="00984C33" w:rsidRDefault="00984C33">
      <w:pPr>
        <w:spacing w:after="0" w:line="240" w:lineRule="auto"/>
        <w:jc w:val="left"/>
        <w:rPr>
          <w:i/>
          <w:color w:val="FF0000"/>
          <w:highlight w:val="yellow"/>
        </w:rPr>
      </w:pPr>
      <w:r>
        <w:rPr>
          <w:highlight w:val="yellow"/>
        </w:rPr>
        <w:br w:type="page"/>
      </w:r>
    </w:p>
    <w:p w14:paraId="1B59B032" w14:textId="77777777" w:rsidR="00914885" w:rsidRPr="004928FF" w:rsidRDefault="00914885" w:rsidP="00914885">
      <w:pPr>
        <w:pStyle w:val="Heading4"/>
      </w:pPr>
      <w:r w:rsidRPr="00EC73D1">
        <w:lastRenderedPageBreak/>
        <w:t>3.2.2</w:t>
      </w:r>
      <w:r>
        <w:tab/>
      </w:r>
      <w:r w:rsidRPr="004928FF">
        <w:t xml:space="preserve">Budgeted </w:t>
      </w:r>
      <w:r>
        <w:t>f</w:t>
      </w:r>
      <w:r w:rsidRPr="004928FF">
        <w:t xml:space="preserve">inancial </w:t>
      </w:r>
      <w:r>
        <w:t>s</w:t>
      </w:r>
      <w:r w:rsidRPr="004928FF">
        <w:t>tatements</w:t>
      </w:r>
    </w:p>
    <w:p w14:paraId="048D66C4" w14:textId="77777777" w:rsidR="003E6345" w:rsidRDefault="00914885" w:rsidP="00416D7A">
      <w:pPr>
        <w:pStyle w:val="TableHeading"/>
        <w:spacing w:before="0" w:after="0"/>
        <w:rPr>
          <w:snapToGrid w:val="0"/>
          <w:lang w:val="en-AU"/>
        </w:rPr>
      </w:pPr>
      <w:r>
        <w:rPr>
          <w:snapToGrid w:val="0"/>
        </w:rPr>
        <w:t>Table 3.2:</w:t>
      </w:r>
      <w:r w:rsidRPr="00014438">
        <w:rPr>
          <w:snapToGrid w:val="0"/>
        </w:rPr>
        <w:t xml:space="preserve"> </w:t>
      </w:r>
      <w:r>
        <w:rPr>
          <w:snapToGrid w:val="0"/>
        </w:rPr>
        <w:t>C</w:t>
      </w:r>
      <w:r w:rsidRPr="00014438">
        <w:rPr>
          <w:snapToGrid w:val="0"/>
        </w:rPr>
        <w:t>omprehensive income statement (showing net cost of services)</w:t>
      </w:r>
      <w:r w:rsidR="004E613D">
        <w:rPr>
          <w:snapToGrid w:val="0"/>
          <w:lang w:val="en-AU"/>
        </w:rPr>
        <w:t xml:space="preserve"> for the period ended 30 June</w:t>
      </w:r>
    </w:p>
    <w:tbl>
      <w:tblPr>
        <w:tblW w:w="7356" w:type="dxa"/>
        <w:tblLook w:val="04A0" w:firstRow="1" w:lastRow="0" w:firstColumn="1" w:lastColumn="0" w:noHBand="0" w:noVBand="1"/>
      </w:tblPr>
      <w:tblGrid>
        <w:gridCol w:w="3176"/>
        <w:gridCol w:w="901"/>
        <w:gridCol w:w="816"/>
        <w:gridCol w:w="821"/>
        <w:gridCol w:w="821"/>
        <w:gridCol w:w="821"/>
      </w:tblGrid>
      <w:tr w:rsidR="003E6345" w:rsidRPr="003E6345" w14:paraId="3C74A9A0" w14:textId="77777777" w:rsidTr="007E1EA3">
        <w:trPr>
          <w:trHeight w:val="56"/>
        </w:trPr>
        <w:tc>
          <w:tcPr>
            <w:tcW w:w="3176" w:type="dxa"/>
            <w:tcBorders>
              <w:top w:val="single" w:sz="4" w:space="0" w:color="auto"/>
              <w:left w:val="nil"/>
              <w:bottom w:val="nil"/>
              <w:right w:val="nil"/>
            </w:tcBorders>
            <w:shd w:val="clear" w:color="auto" w:fill="auto"/>
            <w:noWrap/>
            <w:hideMark/>
          </w:tcPr>
          <w:p w14:paraId="241356A5" w14:textId="77777777" w:rsidR="003E6345" w:rsidRPr="003E6345" w:rsidRDefault="003E6345" w:rsidP="003E6345">
            <w:pPr>
              <w:spacing w:after="0" w:line="240" w:lineRule="auto"/>
              <w:jc w:val="left"/>
              <w:rPr>
                <w:rFonts w:ascii="Arial" w:hAnsi="Arial" w:cs="Arial"/>
                <w:b/>
                <w:bCs/>
                <w:sz w:val="16"/>
                <w:szCs w:val="16"/>
              </w:rPr>
            </w:pPr>
            <w:r w:rsidRPr="003E6345">
              <w:rPr>
                <w:rFonts w:ascii="Arial" w:hAnsi="Arial" w:cs="Arial"/>
                <w:b/>
                <w:bCs/>
                <w:sz w:val="16"/>
                <w:szCs w:val="16"/>
              </w:rPr>
              <w:t> </w:t>
            </w:r>
          </w:p>
        </w:tc>
        <w:tc>
          <w:tcPr>
            <w:tcW w:w="901" w:type="dxa"/>
            <w:tcBorders>
              <w:top w:val="single" w:sz="4" w:space="0" w:color="auto"/>
              <w:left w:val="nil"/>
              <w:bottom w:val="single" w:sz="4" w:space="0" w:color="auto"/>
              <w:right w:val="nil"/>
            </w:tcBorders>
            <w:shd w:val="clear" w:color="auto" w:fill="auto"/>
            <w:hideMark/>
          </w:tcPr>
          <w:p w14:paraId="14EFAAF8" w14:textId="7777777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2020-21 Actual</w:t>
            </w:r>
            <w:r w:rsidRPr="003E6345">
              <w:rPr>
                <w:rFonts w:ascii="Arial" w:hAnsi="Arial" w:cs="Arial"/>
                <w:sz w:val="16"/>
                <w:szCs w:val="16"/>
              </w:rPr>
              <w:br/>
            </w:r>
            <w:r w:rsidRPr="003E6345">
              <w:rPr>
                <w:rFonts w:ascii="Arial" w:hAnsi="Arial" w:cs="Arial"/>
                <w:sz w:val="16"/>
                <w:szCs w:val="16"/>
              </w:rPr>
              <w:br/>
              <w:t>$'000</w:t>
            </w:r>
          </w:p>
        </w:tc>
        <w:tc>
          <w:tcPr>
            <w:tcW w:w="816" w:type="dxa"/>
            <w:tcBorders>
              <w:top w:val="single" w:sz="4" w:space="0" w:color="auto"/>
              <w:left w:val="nil"/>
              <w:bottom w:val="single" w:sz="4" w:space="0" w:color="auto"/>
              <w:right w:val="nil"/>
            </w:tcBorders>
            <w:shd w:val="clear" w:color="000000" w:fill="E6E6E6"/>
            <w:hideMark/>
          </w:tcPr>
          <w:p w14:paraId="497EBA52" w14:textId="7777777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2021-22</w:t>
            </w:r>
            <w:r w:rsidRPr="003E6345">
              <w:rPr>
                <w:rFonts w:ascii="Arial" w:hAnsi="Arial" w:cs="Arial"/>
                <w:sz w:val="16"/>
                <w:szCs w:val="16"/>
              </w:rPr>
              <w:br/>
              <w:t>Revised Budget</w:t>
            </w:r>
            <w:r w:rsidRPr="003E6345">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1DBEA78B" w14:textId="7777777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2022-23 Forward estimate</w:t>
            </w:r>
            <w:r w:rsidRPr="003E6345">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362E4B79" w14:textId="7777777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2023-24 Forward estimate</w:t>
            </w:r>
            <w:r w:rsidRPr="003E6345">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291241D7" w14:textId="7777777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2024-25</w:t>
            </w:r>
            <w:r w:rsidRPr="003E6345">
              <w:rPr>
                <w:rFonts w:ascii="Arial" w:hAnsi="Arial" w:cs="Arial"/>
                <w:sz w:val="16"/>
                <w:szCs w:val="16"/>
              </w:rPr>
              <w:br/>
              <w:t>Forward estimate</w:t>
            </w:r>
            <w:r w:rsidRPr="003E6345">
              <w:rPr>
                <w:rFonts w:ascii="Arial" w:hAnsi="Arial" w:cs="Arial"/>
                <w:sz w:val="16"/>
                <w:szCs w:val="16"/>
              </w:rPr>
              <w:br/>
              <w:t>$'000</w:t>
            </w:r>
          </w:p>
        </w:tc>
      </w:tr>
      <w:tr w:rsidR="003E6345" w:rsidRPr="003E6345" w14:paraId="3B263FB8" w14:textId="77777777" w:rsidTr="00FA0DB1">
        <w:trPr>
          <w:trHeight w:val="204"/>
        </w:trPr>
        <w:tc>
          <w:tcPr>
            <w:tcW w:w="3176" w:type="dxa"/>
            <w:tcBorders>
              <w:top w:val="nil"/>
              <w:left w:val="nil"/>
              <w:bottom w:val="nil"/>
              <w:right w:val="nil"/>
            </w:tcBorders>
            <w:shd w:val="clear" w:color="auto" w:fill="auto"/>
            <w:noWrap/>
            <w:vAlign w:val="bottom"/>
            <w:hideMark/>
          </w:tcPr>
          <w:p w14:paraId="629C34C4" w14:textId="77777777" w:rsidR="003E6345" w:rsidRPr="003E6345" w:rsidRDefault="003E6345" w:rsidP="003E6345">
            <w:pPr>
              <w:spacing w:after="0" w:line="240" w:lineRule="auto"/>
              <w:jc w:val="left"/>
              <w:rPr>
                <w:rFonts w:ascii="Arial" w:hAnsi="Arial" w:cs="Arial"/>
                <w:b/>
                <w:bCs/>
                <w:sz w:val="16"/>
                <w:szCs w:val="16"/>
              </w:rPr>
            </w:pPr>
            <w:r w:rsidRPr="003E6345">
              <w:rPr>
                <w:rFonts w:ascii="Arial" w:hAnsi="Arial" w:cs="Arial"/>
                <w:b/>
                <w:bCs/>
                <w:sz w:val="16"/>
                <w:szCs w:val="16"/>
              </w:rPr>
              <w:t>EXPENSES</w:t>
            </w:r>
          </w:p>
        </w:tc>
        <w:tc>
          <w:tcPr>
            <w:tcW w:w="901" w:type="dxa"/>
            <w:tcBorders>
              <w:top w:val="nil"/>
              <w:left w:val="nil"/>
              <w:bottom w:val="nil"/>
              <w:right w:val="nil"/>
            </w:tcBorders>
            <w:shd w:val="clear" w:color="auto" w:fill="auto"/>
            <w:noWrap/>
            <w:vAlign w:val="bottom"/>
            <w:hideMark/>
          </w:tcPr>
          <w:p w14:paraId="1DA134A6" w14:textId="77777777" w:rsidR="003E6345" w:rsidRPr="003E6345" w:rsidRDefault="003E6345" w:rsidP="003E6345">
            <w:pPr>
              <w:spacing w:after="0" w:line="240" w:lineRule="auto"/>
              <w:jc w:val="left"/>
              <w:rPr>
                <w:rFonts w:ascii="Arial" w:hAnsi="Arial" w:cs="Arial"/>
                <w:b/>
                <w:bCs/>
                <w:sz w:val="16"/>
                <w:szCs w:val="16"/>
              </w:rPr>
            </w:pPr>
          </w:p>
        </w:tc>
        <w:tc>
          <w:tcPr>
            <w:tcW w:w="816" w:type="dxa"/>
            <w:tcBorders>
              <w:top w:val="nil"/>
              <w:left w:val="nil"/>
              <w:bottom w:val="nil"/>
              <w:right w:val="nil"/>
            </w:tcBorders>
            <w:shd w:val="clear" w:color="000000" w:fill="E6E6E6"/>
            <w:noWrap/>
            <w:vAlign w:val="bottom"/>
            <w:hideMark/>
          </w:tcPr>
          <w:p w14:paraId="4C6D77EE" w14:textId="77F71280" w:rsidR="003E6345" w:rsidRPr="003E6345" w:rsidRDefault="003E6345" w:rsidP="003E634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1E9EC512" w14:textId="77777777" w:rsidR="003E6345" w:rsidRPr="003E6345" w:rsidRDefault="003E6345" w:rsidP="003E634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4BFB14B0" w14:textId="77777777" w:rsidR="003E6345" w:rsidRPr="003E6345" w:rsidRDefault="003E6345" w:rsidP="003E6345">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bottom"/>
            <w:hideMark/>
          </w:tcPr>
          <w:p w14:paraId="7A5572E9" w14:textId="77777777" w:rsidR="003E6345" w:rsidRPr="003E6345" w:rsidRDefault="003E6345" w:rsidP="003E6345">
            <w:pPr>
              <w:spacing w:after="0" w:line="240" w:lineRule="auto"/>
              <w:jc w:val="right"/>
              <w:rPr>
                <w:rFonts w:ascii="Times New Roman" w:hAnsi="Times New Roman"/>
              </w:rPr>
            </w:pPr>
          </w:p>
        </w:tc>
      </w:tr>
      <w:tr w:rsidR="003E6345" w:rsidRPr="003E6345" w14:paraId="01973DEC" w14:textId="77777777" w:rsidTr="00FA0DB1">
        <w:trPr>
          <w:trHeight w:val="204"/>
        </w:trPr>
        <w:tc>
          <w:tcPr>
            <w:tcW w:w="3176" w:type="dxa"/>
            <w:tcBorders>
              <w:top w:val="nil"/>
              <w:left w:val="nil"/>
              <w:bottom w:val="nil"/>
              <w:right w:val="nil"/>
            </w:tcBorders>
            <w:shd w:val="clear" w:color="auto" w:fill="auto"/>
            <w:noWrap/>
            <w:vAlign w:val="bottom"/>
            <w:hideMark/>
          </w:tcPr>
          <w:p w14:paraId="45673F0C"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Employee benefits</w:t>
            </w:r>
          </w:p>
        </w:tc>
        <w:tc>
          <w:tcPr>
            <w:tcW w:w="901" w:type="dxa"/>
            <w:tcBorders>
              <w:top w:val="nil"/>
              <w:left w:val="nil"/>
              <w:bottom w:val="nil"/>
              <w:right w:val="nil"/>
            </w:tcBorders>
            <w:shd w:val="clear" w:color="auto" w:fill="auto"/>
            <w:noWrap/>
            <w:vAlign w:val="bottom"/>
            <w:hideMark/>
          </w:tcPr>
          <w:p w14:paraId="24EA9AF5" w14:textId="3419D442"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37,409</w:t>
            </w:r>
          </w:p>
        </w:tc>
        <w:tc>
          <w:tcPr>
            <w:tcW w:w="816" w:type="dxa"/>
            <w:tcBorders>
              <w:top w:val="nil"/>
              <w:left w:val="nil"/>
              <w:bottom w:val="nil"/>
              <w:right w:val="nil"/>
            </w:tcBorders>
            <w:shd w:val="clear" w:color="000000" w:fill="E6E6E6"/>
            <w:noWrap/>
            <w:vAlign w:val="bottom"/>
            <w:hideMark/>
          </w:tcPr>
          <w:p w14:paraId="57477C8C" w14:textId="5DF0B7A0"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38,360</w:t>
            </w:r>
          </w:p>
        </w:tc>
        <w:tc>
          <w:tcPr>
            <w:tcW w:w="821" w:type="dxa"/>
            <w:tcBorders>
              <w:top w:val="nil"/>
              <w:left w:val="nil"/>
              <w:bottom w:val="nil"/>
              <w:right w:val="nil"/>
            </w:tcBorders>
            <w:shd w:val="clear" w:color="auto" w:fill="auto"/>
            <w:noWrap/>
            <w:vAlign w:val="bottom"/>
            <w:hideMark/>
          </w:tcPr>
          <w:p w14:paraId="6C81F500" w14:textId="76C1522F"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44,376</w:t>
            </w:r>
          </w:p>
        </w:tc>
        <w:tc>
          <w:tcPr>
            <w:tcW w:w="821" w:type="dxa"/>
            <w:tcBorders>
              <w:top w:val="nil"/>
              <w:left w:val="nil"/>
              <w:bottom w:val="nil"/>
              <w:right w:val="nil"/>
            </w:tcBorders>
            <w:shd w:val="clear" w:color="auto" w:fill="auto"/>
            <w:noWrap/>
            <w:vAlign w:val="bottom"/>
            <w:hideMark/>
          </w:tcPr>
          <w:p w14:paraId="50A101A7" w14:textId="717AC5D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39,060</w:t>
            </w:r>
          </w:p>
        </w:tc>
        <w:tc>
          <w:tcPr>
            <w:tcW w:w="821" w:type="dxa"/>
            <w:tcBorders>
              <w:top w:val="nil"/>
              <w:left w:val="nil"/>
              <w:bottom w:val="nil"/>
              <w:right w:val="nil"/>
            </w:tcBorders>
            <w:shd w:val="clear" w:color="auto" w:fill="auto"/>
            <w:noWrap/>
            <w:vAlign w:val="bottom"/>
            <w:hideMark/>
          </w:tcPr>
          <w:p w14:paraId="4BC938DC" w14:textId="0E04B12F"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39,455</w:t>
            </w:r>
          </w:p>
        </w:tc>
      </w:tr>
      <w:tr w:rsidR="003E6345" w:rsidRPr="003E6345" w14:paraId="4DC6D3CD" w14:textId="77777777" w:rsidTr="00FA0DB1">
        <w:trPr>
          <w:trHeight w:val="204"/>
        </w:trPr>
        <w:tc>
          <w:tcPr>
            <w:tcW w:w="3176" w:type="dxa"/>
            <w:tcBorders>
              <w:top w:val="nil"/>
              <w:left w:val="nil"/>
              <w:bottom w:val="nil"/>
              <w:right w:val="nil"/>
            </w:tcBorders>
            <w:shd w:val="clear" w:color="auto" w:fill="auto"/>
            <w:noWrap/>
            <w:hideMark/>
          </w:tcPr>
          <w:p w14:paraId="222F2CBA"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Suppliers</w:t>
            </w:r>
          </w:p>
        </w:tc>
        <w:tc>
          <w:tcPr>
            <w:tcW w:w="901" w:type="dxa"/>
            <w:tcBorders>
              <w:top w:val="nil"/>
              <w:left w:val="nil"/>
              <w:bottom w:val="nil"/>
              <w:right w:val="nil"/>
            </w:tcBorders>
            <w:shd w:val="clear" w:color="auto" w:fill="auto"/>
            <w:noWrap/>
            <w:vAlign w:val="bottom"/>
            <w:hideMark/>
          </w:tcPr>
          <w:p w14:paraId="06D39293" w14:textId="650E1716"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20,044</w:t>
            </w:r>
          </w:p>
        </w:tc>
        <w:tc>
          <w:tcPr>
            <w:tcW w:w="816" w:type="dxa"/>
            <w:tcBorders>
              <w:top w:val="nil"/>
              <w:left w:val="nil"/>
              <w:bottom w:val="nil"/>
              <w:right w:val="nil"/>
            </w:tcBorders>
            <w:shd w:val="clear" w:color="000000" w:fill="E6E6E6"/>
            <w:noWrap/>
            <w:vAlign w:val="bottom"/>
            <w:hideMark/>
          </w:tcPr>
          <w:p w14:paraId="7DAAB673" w14:textId="68989DFA"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23,583</w:t>
            </w:r>
          </w:p>
        </w:tc>
        <w:tc>
          <w:tcPr>
            <w:tcW w:w="821" w:type="dxa"/>
            <w:tcBorders>
              <w:top w:val="nil"/>
              <w:left w:val="nil"/>
              <w:bottom w:val="nil"/>
              <w:right w:val="nil"/>
            </w:tcBorders>
            <w:shd w:val="clear" w:color="auto" w:fill="auto"/>
            <w:noWrap/>
            <w:vAlign w:val="bottom"/>
            <w:hideMark/>
          </w:tcPr>
          <w:p w14:paraId="1926664F" w14:textId="41F16ABE"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22,427</w:t>
            </w:r>
          </w:p>
        </w:tc>
        <w:tc>
          <w:tcPr>
            <w:tcW w:w="821" w:type="dxa"/>
            <w:tcBorders>
              <w:top w:val="nil"/>
              <w:left w:val="nil"/>
              <w:bottom w:val="nil"/>
              <w:right w:val="nil"/>
            </w:tcBorders>
            <w:shd w:val="clear" w:color="000000" w:fill="FFFFFF"/>
            <w:noWrap/>
            <w:vAlign w:val="bottom"/>
            <w:hideMark/>
          </w:tcPr>
          <w:p w14:paraId="712F9E9E" w14:textId="6598DC94"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11,049</w:t>
            </w:r>
          </w:p>
        </w:tc>
        <w:tc>
          <w:tcPr>
            <w:tcW w:w="821" w:type="dxa"/>
            <w:tcBorders>
              <w:top w:val="nil"/>
              <w:left w:val="nil"/>
              <w:bottom w:val="nil"/>
              <w:right w:val="nil"/>
            </w:tcBorders>
            <w:shd w:val="clear" w:color="000000" w:fill="FFFFFF"/>
            <w:noWrap/>
            <w:vAlign w:val="bottom"/>
            <w:hideMark/>
          </w:tcPr>
          <w:p w14:paraId="4AE4FCE6" w14:textId="345306A3"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9,336</w:t>
            </w:r>
          </w:p>
        </w:tc>
      </w:tr>
      <w:tr w:rsidR="003E6345" w:rsidRPr="003E6345" w14:paraId="713C0B88" w14:textId="77777777" w:rsidTr="00FA0DB1">
        <w:trPr>
          <w:trHeight w:val="204"/>
        </w:trPr>
        <w:tc>
          <w:tcPr>
            <w:tcW w:w="3176" w:type="dxa"/>
            <w:tcBorders>
              <w:top w:val="nil"/>
              <w:left w:val="nil"/>
              <w:bottom w:val="nil"/>
              <w:right w:val="nil"/>
            </w:tcBorders>
            <w:shd w:val="clear" w:color="auto" w:fill="auto"/>
            <w:noWrap/>
            <w:vAlign w:val="bottom"/>
            <w:hideMark/>
          </w:tcPr>
          <w:p w14:paraId="5FB84DEA"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 xml:space="preserve">Grants </w:t>
            </w:r>
          </w:p>
        </w:tc>
        <w:tc>
          <w:tcPr>
            <w:tcW w:w="901" w:type="dxa"/>
            <w:tcBorders>
              <w:top w:val="nil"/>
              <w:left w:val="nil"/>
              <w:bottom w:val="nil"/>
              <w:right w:val="nil"/>
            </w:tcBorders>
            <w:shd w:val="clear" w:color="auto" w:fill="auto"/>
            <w:noWrap/>
            <w:vAlign w:val="bottom"/>
            <w:hideMark/>
          </w:tcPr>
          <w:p w14:paraId="3C92002C" w14:textId="70327221"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612</w:t>
            </w:r>
          </w:p>
        </w:tc>
        <w:tc>
          <w:tcPr>
            <w:tcW w:w="816" w:type="dxa"/>
            <w:tcBorders>
              <w:top w:val="nil"/>
              <w:left w:val="nil"/>
              <w:bottom w:val="nil"/>
              <w:right w:val="nil"/>
            </w:tcBorders>
            <w:shd w:val="clear" w:color="000000" w:fill="E6E6E6"/>
            <w:noWrap/>
            <w:vAlign w:val="bottom"/>
            <w:hideMark/>
          </w:tcPr>
          <w:p w14:paraId="481D5C9E" w14:textId="5A5150CD"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731</w:t>
            </w:r>
          </w:p>
        </w:tc>
        <w:tc>
          <w:tcPr>
            <w:tcW w:w="821" w:type="dxa"/>
            <w:tcBorders>
              <w:top w:val="nil"/>
              <w:left w:val="nil"/>
              <w:bottom w:val="nil"/>
              <w:right w:val="nil"/>
            </w:tcBorders>
            <w:shd w:val="clear" w:color="auto" w:fill="auto"/>
            <w:noWrap/>
            <w:vAlign w:val="bottom"/>
            <w:hideMark/>
          </w:tcPr>
          <w:p w14:paraId="297701ED" w14:textId="7C95A934"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731</w:t>
            </w:r>
          </w:p>
        </w:tc>
        <w:tc>
          <w:tcPr>
            <w:tcW w:w="821" w:type="dxa"/>
            <w:tcBorders>
              <w:top w:val="nil"/>
              <w:left w:val="nil"/>
              <w:bottom w:val="nil"/>
              <w:right w:val="nil"/>
            </w:tcBorders>
            <w:shd w:val="clear" w:color="000000" w:fill="FFFFFF"/>
            <w:noWrap/>
            <w:vAlign w:val="bottom"/>
            <w:hideMark/>
          </w:tcPr>
          <w:p w14:paraId="5591A37C" w14:textId="14891CD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731</w:t>
            </w:r>
          </w:p>
        </w:tc>
        <w:tc>
          <w:tcPr>
            <w:tcW w:w="821" w:type="dxa"/>
            <w:tcBorders>
              <w:top w:val="nil"/>
              <w:left w:val="nil"/>
              <w:bottom w:val="nil"/>
              <w:right w:val="nil"/>
            </w:tcBorders>
            <w:shd w:val="clear" w:color="000000" w:fill="FFFFFF"/>
            <w:noWrap/>
            <w:vAlign w:val="bottom"/>
            <w:hideMark/>
          </w:tcPr>
          <w:p w14:paraId="4F39A356" w14:textId="6B241BC6"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731</w:t>
            </w:r>
          </w:p>
        </w:tc>
      </w:tr>
      <w:tr w:rsidR="003E6345" w:rsidRPr="003E6345" w14:paraId="1A3E5E0B" w14:textId="77777777" w:rsidTr="00FA0DB1">
        <w:trPr>
          <w:trHeight w:val="204"/>
        </w:trPr>
        <w:tc>
          <w:tcPr>
            <w:tcW w:w="3176" w:type="dxa"/>
            <w:tcBorders>
              <w:top w:val="nil"/>
              <w:left w:val="nil"/>
              <w:bottom w:val="nil"/>
              <w:right w:val="nil"/>
            </w:tcBorders>
            <w:shd w:val="clear" w:color="auto" w:fill="auto"/>
            <w:noWrap/>
            <w:vAlign w:val="bottom"/>
            <w:hideMark/>
          </w:tcPr>
          <w:p w14:paraId="279352D3"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Depreciation and amortisation</w:t>
            </w:r>
          </w:p>
        </w:tc>
        <w:tc>
          <w:tcPr>
            <w:tcW w:w="901" w:type="dxa"/>
            <w:tcBorders>
              <w:top w:val="nil"/>
              <w:left w:val="nil"/>
              <w:bottom w:val="nil"/>
              <w:right w:val="nil"/>
            </w:tcBorders>
            <w:shd w:val="clear" w:color="auto" w:fill="auto"/>
            <w:noWrap/>
            <w:vAlign w:val="bottom"/>
            <w:hideMark/>
          </w:tcPr>
          <w:p w14:paraId="59DD2A37" w14:textId="634A798F"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20,246</w:t>
            </w:r>
          </w:p>
        </w:tc>
        <w:tc>
          <w:tcPr>
            <w:tcW w:w="816" w:type="dxa"/>
            <w:tcBorders>
              <w:top w:val="nil"/>
              <w:left w:val="nil"/>
              <w:bottom w:val="nil"/>
              <w:right w:val="nil"/>
            </w:tcBorders>
            <w:shd w:val="clear" w:color="000000" w:fill="E6E6E6"/>
            <w:noWrap/>
            <w:vAlign w:val="bottom"/>
            <w:hideMark/>
          </w:tcPr>
          <w:p w14:paraId="14A9575A" w14:textId="3B263BE4"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20,934</w:t>
            </w:r>
          </w:p>
        </w:tc>
        <w:tc>
          <w:tcPr>
            <w:tcW w:w="821" w:type="dxa"/>
            <w:tcBorders>
              <w:top w:val="nil"/>
              <w:left w:val="nil"/>
              <w:bottom w:val="nil"/>
              <w:right w:val="nil"/>
            </w:tcBorders>
            <w:shd w:val="clear" w:color="auto" w:fill="auto"/>
            <w:noWrap/>
            <w:vAlign w:val="bottom"/>
            <w:hideMark/>
          </w:tcPr>
          <w:p w14:paraId="3F88C33B" w14:textId="44D4649B"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21,159</w:t>
            </w:r>
          </w:p>
        </w:tc>
        <w:tc>
          <w:tcPr>
            <w:tcW w:w="821" w:type="dxa"/>
            <w:tcBorders>
              <w:top w:val="nil"/>
              <w:left w:val="nil"/>
              <w:bottom w:val="nil"/>
              <w:right w:val="nil"/>
            </w:tcBorders>
            <w:shd w:val="clear" w:color="000000" w:fill="FFFFFF"/>
            <w:noWrap/>
            <w:vAlign w:val="bottom"/>
            <w:hideMark/>
          </w:tcPr>
          <w:p w14:paraId="7CB6765D" w14:textId="232472CA"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21,359</w:t>
            </w:r>
          </w:p>
        </w:tc>
        <w:tc>
          <w:tcPr>
            <w:tcW w:w="821" w:type="dxa"/>
            <w:tcBorders>
              <w:top w:val="nil"/>
              <w:left w:val="nil"/>
              <w:bottom w:val="nil"/>
              <w:right w:val="nil"/>
            </w:tcBorders>
            <w:shd w:val="clear" w:color="000000" w:fill="FFFFFF"/>
            <w:noWrap/>
            <w:vAlign w:val="bottom"/>
            <w:hideMark/>
          </w:tcPr>
          <w:p w14:paraId="7EE7B602" w14:textId="4854791D"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21,494</w:t>
            </w:r>
          </w:p>
        </w:tc>
      </w:tr>
      <w:tr w:rsidR="003E6345" w:rsidRPr="003E6345" w14:paraId="659AF675" w14:textId="77777777" w:rsidTr="00FA0DB1">
        <w:trPr>
          <w:trHeight w:val="204"/>
        </w:trPr>
        <w:tc>
          <w:tcPr>
            <w:tcW w:w="3176" w:type="dxa"/>
            <w:tcBorders>
              <w:top w:val="nil"/>
              <w:left w:val="nil"/>
              <w:bottom w:val="nil"/>
              <w:right w:val="nil"/>
            </w:tcBorders>
            <w:shd w:val="clear" w:color="auto" w:fill="auto"/>
            <w:noWrap/>
            <w:hideMark/>
          </w:tcPr>
          <w:p w14:paraId="65AA9473"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Finance costs</w:t>
            </w:r>
          </w:p>
        </w:tc>
        <w:tc>
          <w:tcPr>
            <w:tcW w:w="901" w:type="dxa"/>
            <w:tcBorders>
              <w:top w:val="nil"/>
              <w:left w:val="nil"/>
              <w:bottom w:val="nil"/>
              <w:right w:val="nil"/>
            </w:tcBorders>
            <w:shd w:val="clear" w:color="auto" w:fill="auto"/>
            <w:noWrap/>
            <w:vAlign w:val="bottom"/>
            <w:hideMark/>
          </w:tcPr>
          <w:p w14:paraId="5C0DF26B" w14:textId="6BB71D2E"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22</w:t>
            </w:r>
          </w:p>
        </w:tc>
        <w:tc>
          <w:tcPr>
            <w:tcW w:w="816" w:type="dxa"/>
            <w:tcBorders>
              <w:top w:val="nil"/>
              <w:left w:val="nil"/>
              <w:bottom w:val="nil"/>
              <w:right w:val="nil"/>
            </w:tcBorders>
            <w:shd w:val="clear" w:color="000000" w:fill="E6E6E6"/>
            <w:noWrap/>
            <w:vAlign w:val="bottom"/>
            <w:hideMark/>
          </w:tcPr>
          <w:p w14:paraId="1E19C944" w14:textId="6AE77122"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81</w:t>
            </w:r>
          </w:p>
        </w:tc>
        <w:tc>
          <w:tcPr>
            <w:tcW w:w="821" w:type="dxa"/>
            <w:tcBorders>
              <w:top w:val="nil"/>
              <w:left w:val="nil"/>
              <w:bottom w:val="nil"/>
              <w:right w:val="nil"/>
            </w:tcBorders>
            <w:shd w:val="clear" w:color="auto" w:fill="auto"/>
            <w:noWrap/>
            <w:vAlign w:val="bottom"/>
            <w:hideMark/>
          </w:tcPr>
          <w:p w14:paraId="5E4AF9BD" w14:textId="4BEC1645"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83</w:t>
            </w:r>
          </w:p>
        </w:tc>
        <w:tc>
          <w:tcPr>
            <w:tcW w:w="821" w:type="dxa"/>
            <w:tcBorders>
              <w:top w:val="nil"/>
              <w:left w:val="nil"/>
              <w:bottom w:val="nil"/>
              <w:right w:val="nil"/>
            </w:tcBorders>
            <w:shd w:val="clear" w:color="000000" w:fill="FFFFFF"/>
            <w:noWrap/>
            <w:vAlign w:val="bottom"/>
            <w:hideMark/>
          </w:tcPr>
          <w:p w14:paraId="7D5B9ECC" w14:textId="3B1F24B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85</w:t>
            </w:r>
          </w:p>
        </w:tc>
        <w:tc>
          <w:tcPr>
            <w:tcW w:w="821" w:type="dxa"/>
            <w:tcBorders>
              <w:top w:val="nil"/>
              <w:left w:val="nil"/>
              <w:bottom w:val="nil"/>
              <w:right w:val="nil"/>
            </w:tcBorders>
            <w:shd w:val="clear" w:color="000000" w:fill="FFFFFF"/>
            <w:noWrap/>
            <w:vAlign w:val="bottom"/>
            <w:hideMark/>
          </w:tcPr>
          <w:p w14:paraId="3EE801D4" w14:textId="34D05D8B"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85</w:t>
            </w:r>
          </w:p>
        </w:tc>
      </w:tr>
      <w:tr w:rsidR="003E6345" w:rsidRPr="003E6345" w14:paraId="6776DFE8" w14:textId="77777777" w:rsidTr="00FA0DB1">
        <w:trPr>
          <w:trHeight w:val="204"/>
        </w:trPr>
        <w:tc>
          <w:tcPr>
            <w:tcW w:w="3176" w:type="dxa"/>
            <w:tcBorders>
              <w:top w:val="nil"/>
              <w:left w:val="nil"/>
              <w:bottom w:val="nil"/>
              <w:right w:val="nil"/>
            </w:tcBorders>
            <w:shd w:val="clear" w:color="auto" w:fill="auto"/>
            <w:noWrap/>
            <w:vAlign w:val="bottom"/>
            <w:hideMark/>
          </w:tcPr>
          <w:p w14:paraId="04EDDB8C"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Write-down and impairment of assets</w:t>
            </w:r>
          </w:p>
        </w:tc>
        <w:tc>
          <w:tcPr>
            <w:tcW w:w="901" w:type="dxa"/>
            <w:tcBorders>
              <w:top w:val="nil"/>
              <w:left w:val="nil"/>
              <w:bottom w:val="nil"/>
              <w:right w:val="nil"/>
            </w:tcBorders>
            <w:shd w:val="clear" w:color="auto" w:fill="auto"/>
            <w:noWrap/>
            <w:vAlign w:val="bottom"/>
            <w:hideMark/>
          </w:tcPr>
          <w:p w14:paraId="340C32B2" w14:textId="38A167E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166,126</w:t>
            </w:r>
          </w:p>
        </w:tc>
        <w:tc>
          <w:tcPr>
            <w:tcW w:w="816" w:type="dxa"/>
            <w:tcBorders>
              <w:top w:val="nil"/>
              <w:left w:val="nil"/>
              <w:bottom w:val="nil"/>
              <w:right w:val="nil"/>
            </w:tcBorders>
            <w:shd w:val="clear" w:color="000000" w:fill="E6E6E6"/>
            <w:noWrap/>
            <w:vAlign w:val="bottom"/>
            <w:hideMark/>
          </w:tcPr>
          <w:p w14:paraId="5301B047" w14:textId="231BCA8F"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110</w:t>
            </w:r>
          </w:p>
        </w:tc>
        <w:tc>
          <w:tcPr>
            <w:tcW w:w="821" w:type="dxa"/>
            <w:tcBorders>
              <w:top w:val="nil"/>
              <w:left w:val="nil"/>
              <w:bottom w:val="nil"/>
              <w:right w:val="nil"/>
            </w:tcBorders>
            <w:shd w:val="clear" w:color="auto" w:fill="auto"/>
            <w:noWrap/>
            <w:vAlign w:val="bottom"/>
            <w:hideMark/>
          </w:tcPr>
          <w:p w14:paraId="02D476ED" w14:textId="7C3687EB"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110</w:t>
            </w:r>
          </w:p>
        </w:tc>
        <w:tc>
          <w:tcPr>
            <w:tcW w:w="821" w:type="dxa"/>
            <w:tcBorders>
              <w:top w:val="nil"/>
              <w:left w:val="nil"/>
              <w:bottom w:val="nil"/>
              <w:right w:val="nil"/>
            </w:tcBorders>
            <w:shd w:val="clear" w:color="000000" w:fill="FFFFFF"/>
            <w:noWrap/>
            <w:vAlign w:val="bottom"/>
            <w:hideMark/>
          </w:tcPr>
          <w:p w14:paraId="2BE3217D" w14:textId="53093682"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110</w:t>
            </w:r>
          </w:p>
        </w:tc>
        <w:tc>
          <w:tcPr>
            <w:tcW w:w="821" w:type="dxa"/>
            <w:tcBorders>
              <w:top w:val="nil"/>
              <w:left w:val="nil"/>
              <w:bottom w:val="nil"/>
              <w:right w:val="nil"/>
            </w:tcBorders>
            <w:shd w:val="clear" w:color="000000" w:fill="FFFFFF"/>
            <w:noWrap/>
            <w:vAlign w:val="bottom"/>
            <w:hideMark/>
          </w:tcPr>
          <w:p w14:paraId="43888584" w14:textId="237D080C"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110</w:t>
            </w:r>
          </w:p>
        </w:tc>
      </w:tr>
      <w:tr w:rsidR="003E6345" w:rsidRPr="003E6345" w14:paraId="10B08470" w14:textId="77777777" w:rsidTr="00FA0DB1">
        <w:trPr>
          <w:trHeight w:val="204"/>
        </w:trPr>
        <w:tc>
          <w:tcPr>
            <w:tcW w:w="3176" w:type="dxa"/>
            <w:tcBorders>
              <w:top w:val="nil"/>
              <w:left w:val="nil"/>
              <w:bottom w:val="nil"/>
              <w:right w:val="nil"/>
            </w:tcBorders>
            <w:shd w:val="clear" w:color="auto" w:fill="auto"/>
            <w:noWrap/>
            <w:hideMark/>
          </w:tcPr>
          <w:p w14:paraId="5678C802"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Losses from asset sales</w:t>
            </w:r>
          </w:p>
        </w:tc>
        <w:tc>
          <w:tcPr>
            <w:tcW w:w="901" w:type="dxa"/>
            <w:tcBorders>
              <w:top w:val="nil"/>
              <w:left w:val="nil"/>
              <w:bottom w:val="nil"/>
              <w:right w:val="nil"/>
            </w:tcBorders>
            <w:shd w:val="clear" w:color="auto" w:fill="auto"/>
            <w:noWrap/>
            <w:vAlign w:val="bottom"/>
            <w:hideMark/>
          </w:tcPr>
          <w:p w14:paraId="729DD0D0" w14:textId="0EAA80A4"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67</w:t>
            </w:r>
          </w:p>
        </w:tc>
        <w:tc>
          <w:tcPr>
            <w:tcW w:w="816" w:type="dxa"/>
            <w:tcBorders>
              <w:top w:val="nil"/>
              <w:left w:val="nil"/>
              <w:bottom w:val="nil"/>
              <w:right w:val="nil"/>
            </w:tcBorders>
            <w:shd w:val="clear" w:color="000000" w:fill="E6E6E6"/>
            <w:noWrap/>
            <w:vAlign w:val="bottom"/>
            <w:hideMark/>
          </w:tcPr>
          <w:p w14:paraId="2B609E78" w14:textId="3E15C39C"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w:t>
            </w:r>
          </w:p>
        </w:tc>
        <w:tc>
          <w:tcPr>
            <w:tcW w:w="821" w:type="dxa"/>
            <w:tcBorders>
              <w:top w:val="nil"/>
              <w:left w:val="nil"/>
              <w:bottom w:val="nil"/>
              <w:right w:val="nil"/>
            </w:tcBorders>
            <w:shd w:val="clear" w:color="auto" w:fill="auto"/>
            <w:noWrap/>
            <w:vAlign w:val="bottom"/>
            <w:hideMark/>
          </w:tcPr>
          <w:p w14:paraId="34AC3271" w14:textId="63FDFBB4" w:rsidR="003E6345" w:rsidRPr="001D77BC" w:rsidRDefault="003E6345" w:rsidP="003E6345">
            <w:pPr>
              <w:spacing w:after="0" w:line="240" w:lineRule="auto"/>
              <w:jc w:val="right"/>
              <w:rPr>
                <w:rFonts w:ascii="Arial" w:hAnsi="Arial" w:cs="Arial"/>
                <w:bCs/>
                <w:sz w:val="16"/>
                <w:szCs w:val="16"/>
              </w:rPr>
            </w:pPr>
            <w:r w:rsidRPr="001D77BC">
              <w:rPr>
                <w:rFonts w:ascii="Arial" w:hAnsi="Arial" w:cs="Arial"/>
                <w:bCs/>
                <w:sz w:val="16"/>
                <w:szCs w:val="16"/>
              </w:rPr>
              <w:t>-</w:t>
            </w:r>
          </w:p>
        </w:tc>
        <w:tc>
          <w:tcPr>
            <w:tcW w:w="821" w:type="dxa"/>
            <w:tcBorders>
              <w:top w:val="nil"/>
              <w:left w:val="nil"/>
              <w:bottom w:val="nil"/>
              <w:right w:val="nil"/>
            </w:tcBorders>
            <w:shd w:val="clear" w:color="000000" w:fill="FFFFFF"/>
            <w:noWrap/>
            <w:vAlign w:val="bottom"/>
            <w:hideMark/>
          </w:tcPr>
          <w:p w14:paraId="4D17F284" w14:textId="21AE25E6" w:rsidR="003E6345" w:rsidRPr="001D77BC" w:rsidRDefault="003E6345" w:rsidP="003E6345">
            <w:pPr>
              <w:spacing w:after="0" w:line="240" w:lineRule="auto"/>
              <w:jc w:val="right"/>
              <w:rPr>
                <w:rFonts w:ascii="Arial" w:hAnsi="Arial" w:cs="Arial"/>
                <w:bCs/>
                <w:sz w:val="16"/>
                <w:szCs w:val="16"/>
              </w:rPr>
            </w:pPr>
            <w:r w:rsidRPr="001D77BC">
              <w:rPr>
                <w:rFonts w:ascii="Arial" w:hAnsi="Arial" w:cs="Arial"/>
                <w:bCs/>
                <w:sz w:val="16"/>
                <w:szCs w:val="16"/>
              </w:rPr>
              <w:t>-</w:t>
            </w:r>
          </w:p>
        </w:tc>
        <w:tc>
          <w:tcPr>
            <w:tcW w:w="821" w:type="dxa"/>
            <w:tcBorders>
              <w:top w:val="nil"/>
              <w:left w:val="nil"/>
              <w:bottom w:val="nil"/>
              <w:right w:val="nil"/>
            </w:tcBorders>
            <w:shd w:val="clear" w:color="000000" w:fill="FFFFFF"/>
            <w:noWrap/>
            <w:vAlign w:val="bottom"/>
            <w:hideMark/>
          </w:tcPr>
          <w:p w14:paraId="2ABF8726" w14:textId="30F0A58C" w:rsidR="003E6345" w:rsidRPr="001D77BC" w:rsidRDefault="003E6345" w:rsidP="003E6345">
            <w:pPr>
              <w:spacing w:after="0" w:line="240" w:lineRule="auto"/>
              <w:jc w:val="right"/>
              <w:rPr>
                <w:rFonts w:ascii="Arial" w:hAnsi="Arial" w:cs="Arial"/>
                <w:bCs/>
                <w:sz w:val="16"/>
                <w:szCs w:val="16"/>
              </w:rPr>
            </w:pPr>
            <w:r w:rsidRPr="001D77BC">
              <w:rPr>
                <w:rFonts w:ascii="Arial" w:hAnsi="Arial" w:cs="Arial"/>
                <w:bCs/>
                <w:sz w:val="16"/>
                <w:szCs w:val="16"/>
              </w:rPr>
              <w:t>-</w:t>
            </w:r>
          </w:p>
        </w:tc>
      </w:tr>
      <w:tr w:rsidR="003E6345" w:rsidRPr="003E6345" w14:paraId="36884FA1" w14:textId="77777777" w:rsidTr="00FA0DB1">
        <w:trPr>
          <w:trHeight w:val="204"/>
        </w:trPr>
        <w:tc>
          <w:tcPr>
            <w:tcW w:w="3176" w:type="dxa"/>
            <w:tcBorders>
              <w:top w:val="nil"/>
              <w:left w:val="nil"/>
              <w:bottom w:val="nil"/>
              <w:right w:val="nil"/>
            </w:tcBorders>
            <w:shd w:val="clear" w:color="auto" w:fill="auto"/>
            <w:noWrap/>
            <w:hideMark/>
          </w:tcPr>
          <w:p w14:paraId="5ED5890A" w14:textId="77777777" w:rsidR="003E6345" w:rsidRPr="003E6345" w:rsidRDefault="003E6345" w:rsidP="003E6345">
            <w:pPr>
              <w:spacing w:after="0" w:line="240" w:lineRule="auto"/>
              <w:jc w:val="left"/>
              <w:rPr>
                <w:rFonts w:ascii="Arial" w:hAnsi="Arial" w:cs="Arial"/>
                <w:b/>
                <w:bCs/>
                <w:sz w:val="16"/>
                <w:szCs w:val="16"/>
              </w:rPr>
            </w:pPr>
            <w:r w:rsidRPr="003E6345">
              <w:rPr>
                <w:rFonts w:ascii="Arial" w:hAnsi="Arial" w:cs="Arial"/>
                <w:b/>
                <w:bCs/>
                <w:sz w:val="16"/>
                <w:szCs w:val="16"/>
              </w:rPr>
              <w:t>Total expenses</w:t>
            </w:r>
          </w:p>
        </w:tc>
        <w:tc>
          <w:tcPr>
            <w:tcW w:w="901" w:type="dxa"/>
            <w:tcBorders>
              <w:top w:val="single" w:sz="4" w:space="0" w:color="auto"/>
              <w:left w:val="nil"/>
              <w:bottom w:val="single" w:sz="4" w:space="0" w:color="auto"/>
              <w:right w:val="nil"/>
            </w:tcBorders>
            <w:shd w:val="clear" w:color="auto" w:fill="auto"/>
            <w:noWrap/>
            <w:vAlign w:val="bottom"/>
            <w:hideMark/>
          </w:tcPr>
          <w:p w14:paraId="40F721FE" w14:textId="1B0BC028"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244,526</w:t>
            </w:r>
          </w:p>
        </w:tc>
        <w:tc>
          <w:tcPr>
            <w:tcW w:w="816" w:type="dxa"/>
            <w:tcBorders>
              <w:top w:val="single" w:sz="4" w:space="0" w:color="auto"/>
              <w:left w:val="nil"/>
              <w:bottom w:val="single" w:sz="4" w:space="0" w:color="auto"/>
              <w:right w:val="nil"/>
            </w:tcBorders>
            <w:shd w:val="clear" w:color="000000" w:fill="E6E6E6"/>
            <w:noWrap/>
            <w:vAlign w:val="bottom"/>
            <w:hideMark/>
          </w:tcPr>
          <w:p w14:paraId="63DFF38C" w14:textId="2CD77F45"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83,799</w:t>
            </w:r>
          </w:p>
        </w:tc>
        <w:tc>
          <w:tcPr>
            <w:tcW w:w="821" w:type="dxa"/>
            <w:tcBorders>
              <w:top w:val="single" w:sz="4" w:space="0" w:color="auto"/>
              <w:left w:val="nil"/>
              <w:bottom w:val="single" w:sz="4" w:space="0" w:color="auto"/>
              <w:right w:val="nil"/>
            </w:tcBorders>
            <w:shd w:val="clear" w:color="auto" w:fill="auto"/>
            <w:noWrap/>
            <w:vAlign w:val="bottom"/>
            <w:hideMark/>
          </w:tcPr>
          <w:p w14:paraId="218F3FBE" w14:textId="623A5182"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88,886</w:t>
            </w:r>
          </w:p>
        </w:tc>
        <w:tc>
          <w:tcPr>
            <w:tcW w:w="821" w:type="dxa"/>
            <w:tcBorders>
              <w:top w:val="single" w:sz="4" w:space="0" w:color="auto"/>
              <w:left w:val="nil"/>
              <w:bottom w:val="single" w:sz="4" w:space="0" w:color="auto"/>
              <w:right w:val="nil"/>
            </w:tcBorders>
            <w:shd w:val="clear" w:color="000000" w:fill="FFFFFF"/>
            <w:noWrap/>
            <w:vAlign w:val="bottom"/>
            <w:hideMark/>
          </w:tcPr>
          <w:p w14:paraId="0F8D157F" w14:textId="7255C11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72,394</w:t>
            </w:r>
          </w:p>
        </w:tc>
        <w:tc>
          <w:tcPr>
            <w:tcW w:w="821" w:type="dxa"/>
            <w:tcBorders>
              <w:top w:val="single" w:sz="4" w:space="0" w:color="auto"/>
              <w:left w:val="nil"/>
              <w:bottom w:val="single" w:sz="4" w:space="0" w:color="auto"/>
              <w:right w:val="nil"/>
            </w:tcBorders>
            <w:shd w:val="clear" w:color="000000" w:fill="FFFFFF"/>
            <w:noWrap/>
            <w:vAlign w:val="bottom"/>
            <w:hideMark/>
          </w:tcPr>
          <w:p w14:paraId="327E68D4" w14:textId="5EDD798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71,211</w:t>
            </w:r>
          </w:p>
        </w:tc>
      </w:tr>
      <w:tr w:rsidR="003E6345" w:rsidRPr="003E6345" w14:paraId="09D54482" w14:textId="77777777" w:rsidTr="00FA0DB1">
        <w:trPr>
          <w:trHeight w:val="204"/>
        </w:trPr>
        <w:tc>
          <w:tcPr>
            <w:tcW w:w="3176" w:type="dxa"/>
            <w:tcBorders>
              <w:top w:val="nil"/>
              <w:left w:val="nil"/>
              <w:bottom w:val="nil"/>
              <w:right w:val="nil"/>
            </w:tcBorders>
            <w:shd w:val="clear" w:color="auto" w:fill="auto"/>
            <w:noWrap/>
            <w:vAlign w:val="bottom"/>
            <w:hideMark/>
          </w:tcPr>
          <w:p w14:paraId="26639953" w14:textId="77777777" w:rsidR="003E6345" w:rsidRPr="003E6345" w:rsidRDefault="003E6345" w:rsidP="003E6345">
            <w:pPr>
              <w:spacing w:after="0" w:line="240" w:lineRule="auto"/>
              <w:jc w:val="left"/>
              <w:rPr>
                <w:rFonts w:ascii="Arial" w:hAnsi="Arial" w:cs="Arial"/>
                <w:b/>
                <w:bCs/>
                <w:sz w:val="16"/>
                <w:szCs w:val="16"/>
              </w:rPr>
            </w:pPr>
            <w:r w:rsidRPr="003E6345">
              <w:rPr>
                <w:rFonts w:ascii="Arial" w:hAnsi="Arial" w:cs="Arial"/>
                <w:b/>
                <w:bCs/>
                <w:sz w:val="16"/>
                <w:szCs w:val="16"/>
              </w:rPr>
              <w:t xml:space="preserve">LESS: </w:t>
            </w:r>
          </w:p>
        </w:tc>
        <w:tc>
          <w:tcPr>
            <w:tcW w:w="901" w:type="dxa"/>
            <w:tcBorders>
              <w:top w:val="nil"/>
              <w:left w:val="nil"/>
              <w:bottom w:val="nil"/>
              <w:right w:val="nil"/>
            </w:tcBorders>
            <w:shd w:val="clear" w:color="auto" w:fill="auto"/>
            <w:noWrap/>
            <w:vAlign w:val="bottom"/>
            <w:hideMark/>
          </w:tcPr>
          <w:p w14:paraId="55FDC3B7" w14:textId="77777777" w:rsidR="003E6345" w:rsidRPr="003E6345" w:rsidRDefault="003E6345" w:rsidP="003E6345">
            <w:pPr>
              <w:spacing w:after="0" w:line="240" w:lineRule="auto"/>
              <w:jc w:val="left"/>
              <w:rPr>
                <w:rFonts w:ascii="Arial" w:hAnsi="Arial" w:cs="Arial"/>
                <w:b/>
                <w:bCs/>
                <w:sz w:val="16"/>
                <w:szCs w:val="16"/>
              </w:rPr>
            </w:pPr>
          </w:p>
        </w:tc>
        <w:tc>
          <w:tcPr>
            <w:tcW w:w="816" w:type="dxa"/>
            <w:tcBorders>
              <w:top w:val="nil"/>
              <w:left w:val="nil"/>
              <w:bottom w:val="nil"/>
              <w:right w:val="nil"/>
            </w:tcBorders>
            <w:shd w:val="clear" w:color="000000" w:fill="E6E6E6"/>
            <w:noWrap/>
            <w:vAlign w:val="bottom"/>
            <w:hideMark/>
          </w:tcPr>
          <w:p w14:paraId="034A3706" w14:textId="718C18B7" w:rsidR="003E6345" w:rsidRPr="003E6345" w:rsidRDefault="003E6345" w:rsidP="003E634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512D981A" w14:textId="77777777" w:rsidR="003E6345" w:rsidRPr="003E6345" w:rsidRDefault="003E6345" w:rsidP="003E634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000000" w:fill="FFFFFF"/>
            <w:noWrap/>
            <w:vAlign w:val="bottom"/>
            <w:hideMark/>
          </w:tcPr>
          <w:p w14:paraId="5D30FCC1" w14:textId="269D1B2B" w:rsidR="003E6345" w:rsidRPr="003E6345" w:rsidRDefault="003E6345" w:rsidP="003E6345">
            <w:pPr>
              <w:spacing w:after="0" w:line="240" w:lineRule="auto"/>
              <w:jc w:val="right"/>
              <w:rPr>
                <w:rFonts w:ascii="Arial" w:hAnsi="Arial" w:cs="Arial"/>
                <w:sz w:val="16"/>
                <w:szCs w:val="16"/>
              </w:rPr>
            </w:pPr>
          </w:p>
        </w:tc>
        <w:tc>
          <w:tcPr>
            <w:tcW w:w="821" w:type="dxa"/>
            <w:tcBorders>
              <w:top w:val="nil"/>
              <w:left w:val="nil"/>
              <w:bottom w:val="nil"/>
              <w:right w:val="nil"/>
            </w:tcBorders>
            <w:shd w:val="clear" w:color="000000" w:fill="FFFFFF"/>
            <w:noWrap/>
            <w:vAlign w:val="bottom"/>
            <w:hideMark/>
          </w:tcPr>
          <w:p w14:paraId="3B5D6AC1" w14:textId="74280FAB" w:rsidR="003E6345" w:rsidRPr="003E6345" w:rsidRDefault="003E6345" w:rsidP="003E6345">
            <w:pPr>
              <w:spacing w:after="0" w:line="240" w:lineRule="auto"/>
              <w:jc w:val="right"/>
              <w:rPr>
                <w:rFonts w:ascii="Arial" w:hAnsi="Arial" w:cs="Arial"/>
                <w:sz w:val="16"/>
                <w:szCs w:val="16"/>
              </w:rPr>
            </w:pPr>
          </w:p>
        </w:tc>
      </w:tr>
      <w:tr w:rsidR="003E6345" w:rsidRPr="003E6345" w14:paraId="0AD24E0A" w14:textId="77777777" w:rsidTr="00FA0DB1">
        <w:trPr>
          <w:trHeight w:val="204"/>
        </w:trPr>
        <w:tc>
          <w:tcPr>
            <w:tcW w:w="3176" w:type="dxa"/>
            <w:tcBorders>
              <w:top w:val="nil"/>
              <w:left w:val="nil"/>
              <w:bottom w:val="nil"/>
              <w:right w:val="nil"/>
            </w:tcBorders>
            <w:shd w:val="clear" w:color="auto" w:fill="auto"/>
            <w:noWrap/>
            <w:vAlign w:val="bottom"/>
            <w:hideMark/>
          </w:tcPr>
          <w:p w14:paraId="55B1F343" w14:textId="77777777" w:rsidR="003E6345" w:rsidRPr="003E6345" w:rsidRDefault="003E6345" w:rsidP="003E6345">
            <w:pPr>
              <w:spacing w:after="0" w:line="240" w:lineRule="auto"/>
              <w:jc w:val="left"/>
              <w:rPr>
                <w:rFonts w:ascii="Arial" w:hAnsi="Arial" w:cs="Arial"/>
                <w:b/>
                <w:bCs/>
                <w:sz w:val="16"/>
                <w:szCs w:val="16"/>
              </w:rPr>
            </w:pPr>
            <w:r w:rsidRPr="003E6345">
              <w:rPr>
                <w:rFonts w:ascii="Arial" w:hAnsi="Arial" w:cs="Arial"/>
                <w:b/>
                <w:bCs/>
                <w:sz w:val="16"/>
                <w:szCs w:val="16"/>
              </w:rPr>
              <w:t>OWN-SOURCE INCOME</w:t>
            </w:r>
          </w:p>
        </w:tc>
        <w:tc>
          <w:tcPr>
            <w:tcW w:w="901" w:type="dxa"/>
            <w:tcBorders>
              <w:top w:val="nil"/>
              <w:left w:val="nil"/>
              <w:bottom w:val="nil"/>
              <w:right w:val="nil"/>
            </w:tcBorders>
            <w:shd w:val="clear" w:color="auto" w:fill="auto"/>
            <w:noWrap/>
            <w:vAlign w:val="bottom"/>
            <w:hideMark/>
          </w:tcPr>
          <w:p w14:paraId="26CE287C" w14:textId="77777777" w:rsidR="003E6345" w:rsidRPr="003E6345" w:rsidRDefault="003E6345" w:rsidP="003E6345">
            <w:pPr>
              <w:spacing w:after="0" w:line="240" w:lineRule="auto"/>
              <w:jc w:val="left"/>
              <w:rPr>
                <w:rFonts w:ascii="Arial" w:hAnsi="Arial" w:cs="Arial"/>
                <w:b/>
                <w:bCs/>
                <w:sz w:val="16"/>
                <w:szCs w:val="16"/>
              </w:rPr>
            </w:pPr>
          </w:p>
        </w:tc>
        <w:tc>
          <w:tcPr>
            <w:tcW w:w="816" w:type="dxa"/>
            <w:tcBorders>
              <w:top w:val="nil"/>
              <w:left w:val="nil"/>
              <w:bottom w:val="nil"/>
              <w:right w:val="nil"/>
            </w:tcBorders>
            <w:shd w:val="clear" w:color="000000" w:fill="E6E6E6"/>
            <w:noWrap/>
            <w:vAlign w:val="bottom"/>
            <w:hideMark/>
          </w:tcPr>
          <w:p w14:paraId="4DF3DA0A" w14:textId="3FEE052A" w:rsidR="003E6345" w:rsidRPr="003E6345" w:rsidRDefault="003E6345" w:rsidP="003E634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1F0085EE" w14:textId="77777777" w:rsidR="003E6345" w:rsidRPr="003E6345" w:rsidRDefault="003E6345" w:rsidP="003E634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000000" w:fill="FFFFFF"/>
            <w:noWrap/>
            <w:vAlign w:val="bottom"/>
            <w:hideMark/>
          </w:tcPr>
          <w:p w14:paraId="721EBC32" w14:textId="2948E16B" w:rsidR="003E6345" w:rsidRPr="003E6345" w:rsidRDefault="003E6345" w:rsidP="003E6345">
            <w:pPr>
              <w:spacing w:after="0" w:line="240" w:lineRule="auto"/>
              <w:jc w:val="right"/>
              <w:rPr>
                <w:rFonts w:ascii="Arial" w:hAnsi="Arial" w:cs="Arial"/>
                <w:sz w:val="16"/>
                <w:szCs w:val="16"/>
              </w:rPr>
            </w:pPr>
          </w:p>
        </w:tc>
        <w:tc>
          <w:tcPr>
            <w:tcW w:w="821" w:type="dxa"/>
            <w:tcBorders>
              <w:top w:val="nil"/>
              <w:left w:val="nil"/>
              <w:bottom w:val="nil"/>
              <w:right w:val="nil"/>
            </w:tcBorders>
            <w:shd w:val="clear" w:color="000000" w:fill="FFFFFF"/>
            <w:noWrap/>
            <w:vAlign w:val="bottom"/>
            <w:hideMark/>
          </w:tcPr>
          <w:p w14:paraId="2026C7F9" w14:textId="6BFC9272" w:rsidR="003E6345" w:rsidRPr="003E6345" w:rsidRDefault="003E6345" w:rsidP="003E6345">
            <w:pPr>
              <w:spacing w:after="0" w:line="240" w:lineRule="auto"/>
              <w:jc w:val="right"/>
              <w:rPr>
                <w:rFonts w:ascii="Arial" w:hAnsi="Arial" w:cs="Arial"/>
                <w:sz w:val="16"/>
                <w:szCs w:val="16"/>
              </w:rPr>
            </w:pPr>
          </w:p>
        </w:tc>
      </w:tr>
      <w:tr w:rsidR="003E6345" w:rsidRPr="003E6345" w14:paraId="4B96C24A" w14:textId="77777777" w:rsidTr="00FA0DB1">
        <w:trPr>
          <w:trHeight w:val="204"/>
        </w:trPr>
        <w:tc>
          <w:tcPr>
            <w:tcW w:w="3176" w:type="dxa"/>
            <w:tcBorders>
              <w:top w:val="nil"/>
              <w:left w:val="nil"/>
              <w:bottom w:val="nil"/>
              <w:right w:val="nil"/>
            </w:tcBorders>
            <w:shd w:val="clear" w:color="auto" w:fill="auto"/>
            <w:noWrap/>
            <w:vAlign w:val="bottom"/>
            <w:hideMark/>
          </w:tcPr>
          <w:p w14:paraId="41087A0C" w14:textId="77777777" w:rsidR="003E6345" w:rsidRPr="003E6345" w:rsidRDefault="003E6345" w:rsidP="003E6345">
            <w:pPr>
              <w:spacing w:after="0" w:line="240" w:lineRule="auto"/>
              <w:jc w:val="left"/>
              <w:rPr>
                <w:rFonts w:ascii="Arial" w:hAnsi="Arial" w:cs="Arial"/>
                <w:b/>
                <w:bCs/>
                <w:sz w:val="16"/>
                <w:szCs w:val="16"/>
              </w:rPr>
            </w:pPr>
            <w:r w:rsidRPr="003E6345">
              <w:rPr>
                <w:rFonts w:ascii="Arial" w:hAnsi="Arial" w:cs="Arial"/>
                <w:b/>
                <w:bCs/>
                <w:sz w:val="16"/>
                <w:szCs w:val="16"/>
              </w:rPr>
              <w:t>Own-source revenue</w:t>
            </w:r>
          </w:p>
        </w:tc>
        <w:tc>
          <w:tcPr>
            <w:tcW w:w="901" w:type="dxa"/>
            <w:tcBorders>
              <w:top w:val="nil"/>
              <w:left w:val="nil"/>
              <w:bottom w:val="nil"/>
              <w:right w:val="nil"/>
            </w:tcBorders>
            <w:shd w:val="clear" w:color="auto" w:fill="auto"/>
            <w:noWrap/>
            <w:vAlign w:val="bottom"/>
            <w:hideMark/>
          </w:tcPr>
          <w:p w14:paraId="7D3F02D6" w14:textId="77777777" w:rsidR="003E6345" w:rsidRPr="003E6345" w:rsidRDefault="003E6345" w:rsidP="003E6345">
            <w:pPr>
              <w:spacing w:after="0" w:line="240" w:lineRule="auto"/>
              <w:jc w:val="left"/>
              <w:rPr>
                <w:rFonts w:ascii="Arial" w:hAnsi="Arial" w:cs="Arial"/>
                <w:b/>
                <w:bCs/>
                <w:sz w:val="16"/>
                <w:szCs w:val="16"/>
              </w:rPr>
            </w:pPr>
          </w:p>
        </w:tc>
        <w:tc>
          <w:tcPr>
            <w:tcW w:w="816" w:type="dxa"/>
            <w:tcBorders>
              <w:top w:val="nil"/>
              <w:left w:val="nil"/>
              <w:bottom w:val="nil"/>
              <w:right w:val="nil"/>
            </w:tcBorders>
            <w:shd w:val="clear" w:color="000000" w:fill="E6E6E6"/>
            <w:noWrap/>
            <w:vAlign w:val="bottom"/>
            <w:hideMark/>
          </w:tcPr>
          <w:p w14:paraId="755CBBD5" w14:textId="538B11AE" w:rsidR="003E6345" w:rsidRPr="003E6345" w:rsidRDefault="003E6345" w:rsidP="003E634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019ED065" w14:textId="77777777" w:rsidR="003E6345" w:rsidRPr="003E6345" w:rsidRDefault="003E6345" w:rsidP="003E634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000000" w:fill="FFFFFF"/>
            <w:noWrap/>
            <w:vAlign w:val="bottom"/>
            <w:hideMark/>
          </w:tcPr>
          <w:p w14:paraId="44AD6977" w14:textId="19321A34" w:rsidR="003E6345" w:rsidRPr="003E6345" w:rsidRDefault="003E6345" w:rsidP="003E6345">
            <w:pPr>
              <w:spacing w:after="0" w:line="240" w:lineRule="auto"/>
              <w:jc w:val="right"/>
              <w:rPr>
                <w:rFonts w:ascii="Arial" w:hAnsi="Arial" w:cs="Arial"/>
                <w:sz w:val="16"/>
                <w:szCs w:val="16"/>
              </w:rPr>
            </w:pPr>
          </w:p>
        </w:tc>
        <w:tc>
          <w:tcPr>
            <w:tcW w:w="821" w:type="dxa"/>
            <w:tcBorders>
              <w:top w:val="nil"/>
              <w:left w:val="nil"/>
              <w:bottom w:val="nil"/>
              <w:right w:val="nil"/>
            </w:tcBorders>
            <w:shd w:val="clear" w:color="000000" w:fill="FFFFFF"/>
            <w:noWrap/>
            <w:vAlign w:val="bottom"/>
            <w:hideMark/>
          </w:tcPr>
          <w:p w14:paraId="4BB3CB9A" w14:textId="3223F623" w:rsidR="003E6345" w:rsidRPr="003E6345" w:rsidRDefault="003E6345" w:rsidP="003E6345">
            <w:pPr>
              <w:spacing w:after="0" w:line="240" w:lineRule="auto"/>
              <w:jc w:val="right"/>
              <w:rPr>
                <w:rFonts w:ascii="Arial" w:hAnsi="Arial" w:cs="Arial"/>
                <w:sz w:val="16"/>
                <w:szCs w:val="16"/>
              </w:rPr>
            </w:pPr>
          </w:p>
        </w:tc>
      </w:tr>
      <w:tr w:rsidR="003E6345" w:rsidRPr="003E6345" w14:paraId="48B13DD3" w14:textId="77777777" w:rsidTr="00FA0DB1">
        <w:trPr>
          <w:trHeight w:val="204"/>
        </w:trPr>
        <w:tc>
          <w:tcPr>
            <w:tcW w:w="3176" w:type="dxa"/>
            <w:tcBorders>
              <w:top w:val="nil"/>
              <w:left w:val="nil"/>
              <w:bottom w:val="nil"/>
              <w:right w:val="nil"/>
            </w:tcBorders>
            <w:shd w:val="clear" w:color="auto" w:fill="auto"/>
            <w:vAlign w:val="bottom"/>
            <w:hideMark/>
          </w:tcPr>
          <w:p w14:paraId="71A86792" w14:textId="21B4301C"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Sale of goods and rendering of</w:t>
            </w:r>
            <w:r w:rsidR="00FA0DB1">
              <w:rPr>
                <w:rFonts w:ascii="Arial" w:hAnsi="Arial" w:cs="Arial"/>
                <w:sz w:val="16"/>
                <w:szCs w:val="16"/>
              </w:rPr>
              <w:t xml:space="preserve"> </w:t>
            </w:r>
            <w:r w:rsidRPr="003E6345">
              <w:rPr>
                <w:rFonts w:ascii="Arial" w:hAnsi="Arial" w:cs="Arial"/>
                <w:sz w:val="16"/>
                <w:szCs w:val="16"/>
              </w:rPr>
              <w:t>services</w:t>
            </w:r>
          </w:p>
        </w:tc>
        <w:tc>
          <w:tcPr>
            <w:tcW w:w="901" w:type="dxa"/>
            <w:tcBorders>
              <w:top w:val="nil"/>
              <w:left w:val="nil"/>
              <w:bottom w:val="nil"/>
              <w:right w:val="nil"/>
            </w:tcBorders>
            <w:shd w:val="clear" w:color="auto" w:fill="auto"/>
            <w:noWrap/>
            <w:vAlign w:val="bottom"/>
            <w:hideMark/>
          </w:tcPr>
          <w:p w14:paraId="649A524F" w14:textId="28A66DDD"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6,790</w:t>
            </w:r>
          </w:p>
        </w:tc>
        <w:tc>
          <w:tcPr>
            <w:tcW w:w="816" w:type="dxa"/>
            <w:tcBorders>
              <w:top w:val="nil"/>
              <w:left w:val="nil"/>
              <w:bottom w:val="nil"/>
              <w:right w:val="nil"/>
            </w:tcBorders>
            <w:shd w:val="clear" w:color="000000" w:fill="E6E6E6"/>
            <w:noWrap/>
            <w:vAlign w:val="bottom"/>
            <w:hideMark/>
          </w:tcPr>
          <w:p w14:paraId="0F548DB9" w14:textId="13D18643"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7,460</w:t>
            </w:r>
          </w:p>
        </w:tc>
        <w:tc>
          <w:tcPr>
            <w:tcW w:w="821" w:type="dxa"/>
            <w:tcBorders>
              <w:top w:val="nil"/>
              <w:left w:val="nil"/>
              <w:bottom w:val="nil"/>
              <w:right w:val="nil"/>
            </w:tcBorders>
            <w:shd w:val="clear" w:color="auto" w:fill="auto"/>
            <w:noWrap/>
            <w:vAlign w:val="bottom"/>
            <w:hideMark/>
          </w:tcPr>
          <w:p w14:paraId="39CDB0B3" w14:textId="68187D0C"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10,360</w:t>
            </w:r>
          </w:p>
        </w:tc>
        <w:tc>
          <w:tcPr>
            <w:tcW w:w="821" w:type="dxa"/>
            <w:tcBorders>
              <w:top w:val="nil"/>
              <w:left w:val="nil"/>
              <w:bottom w:val="nil"/>
              <w:right w:val="nil"/>
            </w:tcBorders>
            <w:shd w:val="clear" w:color="000000" w:fill="FFFFFF"/>
            <w:noWrap/>
            <w:vAlign w:val="bottom"/>
            <w:hideMark/>
          </w:tcPr>
          <w:p w14:paraId="2300893D" w14:textId="0E8224DB"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7,660</w:t>
            </w:r>
          </w:p>
        </w:tc>
        <w:tc>
          <w:tcPr>
            <w:tcW w:w="821" w:type="dxa"/>
            <w:tcBorders>
              <w:top w:val="nil"/>
              <w:left w:val="nil"/>
              <w:bottom w:val="nil"/>
              <w:right w:val="nil"/>
            </w:tcBorders>
            <w:shd w:val="clear" w:color="000000" w:fill="FFFFFF"/>
            <w:noWrap/>
            <w:vAlign w:val="bottom"/>
            <w:hideMark/>
          </w:tcPr>
          <w:p w14:paraId="669DA434" w14:textId="31CCA3D3"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7,660</w:t>
            </w:r>
          </w:p>
        </w:tc>
      </w:tr>
      <w:tr w:rsidR="003E6345" w:rsidRPr="003E6345" w14:paraId="41A57884" w14:textId="77777777" w:rsidTr="00FA0DB1">
        <w:trPr>
          <w:trHeight w:val="204"/>
        </w:trPr>
        <w:tc>
          <w:tcPr>
            <w:tcW w:w="3176" w:type="dxa"/>
            <w:tcBorders>
              <w:top w:val="nil"/>
              <w:left w:val="nil"/>
              <w:bottom w:val="nil"/>
              <w:right w:val="nil"/>
            </w:tcBorders>
            <w:shd w:val="clear" w:color="auto" w:fill="auto"/>
            <w:noWrap/>
            <w:vAlign w:val="bottom"/>
            <w:hideMark/>
          </w:tcPr>
          <w:p w14:paraId="529DA6CF"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Interest</w:t>
            </w:r>
          </w:p>
        </w:tc>
        <w:tc>
          <w:tcPr>
            <w:tcW w:w="901" w:type="dxa"/>
            <w:tcBorders>
              <w:top w:val="nil"/>
              <w:left w:val="nil"/>
              <w:bottom w:val="nil"/>
              <w:right w:val="nil"/>
            </w:tcBorders>
            <w:shd w:val="clear" w:color="auto" w:fill="auto"/>
            <w:noWrap/>
            <w:vAlign w:val="bottom"/>
            <w:hideMark/>
          </w:tcPr>
          <w:p w14:paraId="05154744" w14:textId="12B5AD52"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379</w:t>
            </w:r>
          </w:p>
        </w:tc>
        <w:tc>
          <w:tcPr>
            <w:tcW w:w="816" w:type="dxa"/>
            <w:tcBorders>
              <w:top w:val="nil"/>
              <w:left w:val="nil"/>
              <w:bottom w:val="nil"/>
              <w:right w:val="nil"/>
            </w:tcBorders>
            <w:shd w:val="clear" w:color="000000" w:fill="E6E6E6"/>
            <w:noWrap/>
            <w:vAlign w:val="bottom"/>
            <w:hideMark/>
          </w:tcPr>
          <w:p w14:paraId="1C5BBD0B" w14:textId="5EC6EA32"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446</w:t>
            </w:r>
          </w:p>
        </w:tc>
        <w:tc>
          <w:tcPr>
            <w:tcW w:w="821" w:type="dxa"/>
            <w:tcBorders>
              <w:top w:val="nil"/>
              <w:left w:val="nil"/>
              <w:bottom w:val="nil"/>
              <w:right w:val="nil"/>
            </w:tcBorders>
            <w:shd w:val="clear" w:color="auto" w:fill="auto"/>
            <w:noWrap/>
            <w:vAlign w:val="bottom"/>
            <w:hideMark/>
          </w:tcPr>
          <w:p w14:paraId="06701176" w14:textId="10135DFA"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746</w:t>
            </w:r>
          </w:p>
        </w:tc>
        <w:tc>
          <w:tcPr>
            <w:tcW w:w="821" w:type="dxa"/>
            <w:tcBorders>
              <w:top w:val="nil"/>
              <w:left w:val="nil"/>
              <w:bottom w:val="nil"/>
              <w:right w:val="nil"/>
            </w:tcBorders>
            <w:shd w:val="clear" w:color="000000" w:fill="FFFFFF"/>
            <w:noWrap/>
            <w:vAlign w:val="bottom"/>
            <w:hideMark/>
          </w:tcPr>
          <w:p w14:paraId="145A93C4" w14:textId="5209032E"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746</w:t>
            </w:r>
          </w:p>
        </w:tc>
        <w:tc>
          <w:tcPr>
            <w:tcW w:w="821" w:type="dxa"/>
            <w:tcBorders>
              <w:top w:val="nil"/>
              <w:left w:val="nil"/>
              <w:bottom w:val="nil"/>
              <w:right w:val="nil"/>
            </w:tcBorders>
            <w:shd w:val="clear" w:color="000000" w:fill="FFFFFF"/>
            <w:noWrap/>
            <w:vAlign w:val="bottom"/>
            <w:hideMark/>
          </w:tcPr>
          <w:p w14:paraId="71E38D02" w14:textId="3ECBE0DD"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746</w:t>
            </w:r>
          </w:p>
        </w:tc>
      </w:tr>
      <w:tr w:rsidR="003E6345" w:rsidRPr="003E6345" w14:paraId="69E2B2B1" w14:textId="77777777" w:rsidTr="00FA0DB1">
        <w:trPr>
          <w:trHeight w:val="204"/>
        </w:trPr>
        <w:tc>
          <w:tcPr>
            <w:tcW w:w="3176" w:type="dxa"/>
            <w:tcBorders>
              <w:top w:val="nil"/>
              <w:left w:val="nil"/>
              <w:bottom w:val="nil"/>
              <w:right w:val="nil"/>
            </w:tcBorders>
            <w:shd w:val="clear" w:color="auto" w:fill="auto"/>
            <w:noWrap/>
            <w:vAlign w:val="bottom"/>
            <w:hideMark/>
          </w:tcPr>
          <w:p w14:paraId="040D4449"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Royalties</w:t>
            </w:r>
          </w:p>
        </w:tc>
        <w:tc>
          <w:tcPr>
            <w:tcW w:w="901" w:type="dxa"/>
            <w:tcBorders>
              <w:top w:val="nil"/>
              <w:left w:val="nil"/>
              <w:bottom w:val="nil"/>
              <w:right w:val="nil"/>
            </w:tcBorders>
            <w:shd w:val="clear" w:color="auto" w:fill="auto"/>
            <w:noWrap/>
            <w:vAlign w:val="bottom"/>
            <w:hideMark/>
          </w:tcPr>
          <w:p w14:paraId="0C016051" w14:textId="2E7E605E"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89</w:t>
            </w:r>
          </w:p>
        </w:tc>
        <w:tc>
          <w:tcPr>
            <w:tcW w:w="816" w:type="dxa"/>
            <w:tcBorders>
              <w:top w:val="nil"/>
              <w:left w:val="nil"/>
              <w:bottom w:val="nil"/>
              <w:right w:val="nil"/>
            </w:tcBorders>
            <w:shd w:val="clear" w:color="000000" w:fill="E6E6E6"/>
            <w:noWrap/>
            <w:vAlign w:val="bottom"/>
            <w:hideMark/>
          </w:tcPr>
          <w:p w14:paraId="2BD8B4F4" w14:textId="4143C712"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35</w:t>
            </w:r>
          </w:p>
        </w:tc>
        <w:tc>
          <w:tcPr>
            <w:tcW w:w="821" w:type="dxa"/>
            <w:tcBorders>
              <w:top w:val="nil"/>
              <w:left w:val="nil"/>
              <w:bottom w:val="nil"/>
              <w:right w:val="nil"/>
            </w:tcBorders>
            <w:shd w:val="clear" w:color="auto" w:fill="auto"/>
            <w:noWrap/>
            <w:vAlign w:val="bottom"/>
            <w:hideMark/>
          </w:tcPr>
          <w:p w14:paraId="33A2D0F4" w14:textId="6038DDF8"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35</w:t>
            </w:r>
          </w:p>
        </w:tc>
        <w:tc>
          <w:tcPr>
            <w:tcW w:w="821" w:type="dxa"/>
            <w:tcBorders>
              <w:top w:val="nil"/>
              <w:left w:val="nil"/>
              <w:bottom w:val="nil"/>
              <w:right w:val="nil"/>
            </w:tcBorders>
            <w:shd w:val="clear" w:color="000000" w:fill="FFFFFF"/>
            <w:noWrap/>
            <w:vAlign w:val="bottom"/>
            <w:hideMark/>
          </w:tcPr>
          <w:p w14:paraId="0836F217" w14:textId="00A86A89"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35</w:t>
            </w:r>
          </w:p>
        </w:tc>
        <w:tc>
          <w:tcPr>
            <w:tcW w:w="821" w:type="dxa"/>
            <w:tcBorders>
              <w:top w:val="nil"/>
              <w:left w:val="nil"/>
              <w:bottom w:val="nil"/>
              <w:right w:val="nil"/>
            </w:tcBorders>
            <w:shd w:val="clear" w:color="000000" w:fill="FFFFFF"/>
            <w:noWrap/>
            <w:vAlign w:val="bottom"/>
            <w:hideMark/>
          </w:tcPr>
          <w:p w14:paraId="3EF220D7" w14:textId="580BAB69"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35</w:t>
            </w:r>
          </w:p>
        </w:tc>
      </w:tr>
      <w:tr w:rsidR="003E6345" w:rsidRPr="003E6345" w14:paraId="280F357D" w14:textId="77777777" w:rsidTr="00FA0DB1">
        <w:trPr>
          <w:trHeight w:val="204"/>
        </w:trPr>
        <w:tc>
          <w:tcPr>
            <w:tcW w:w="3176" w:type="dxa"/>
            <w:tcBorders>
              <w:top w:val="nil"/>
              <w:left w:val="nil"/>
              <w:bottom w:val="nil"/>
              <w:right w:val="nil"/>
            </w:tcBorders>
            <w:shd w:val="clear" w:color="auto" w:fill="auto"/>
            <w:noWrap/>
            <w:vAlign w:val="bottom"/>
            <w:hideMark/>
          </w:tcPr>
          <w:p w14:paraId="38EE214B"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Other</w:t>
            </w:r>
          </w:p>
        </w:tc>
        <w:tc>
          <w:tcPr>
            <w:tcW w:w="901" w:type="dxa"/>
            <w:tcBorders>
              <w:top w:val="nil"/>
              <w:left w:val="nil"/>
              <w:bottom w:val="nil"/>
              <w:right w:val="nil"/>
            </w:tcBorders>
            <w:shd w:val="clear" w:color="auto" w:fill="auto"/>
            <w:noWrap/>
            <w:vAlign w:val="bottom"/>
            <w:hideMark/>
          </w:tcPr>
          <w:p w14:paraId="228010CA" w14:textId="52BBCA5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3,717</w:t>
            </w:r>
          </w:p>
        </w:tc>
        <w:tc>
          <w:tcPr>
            <w:tcW w:w="816" w:type="dxa"/>
            <w:tcBorders>
              <w:top w:val="nil"/>
              <w:left w:val="nil"/>
              <w:bottom w:val="nil"/>
              <w:right w:val="nil"/>
            </w:tcBorders>
            <w:shd w:val="clear" w:color="000000" w:fill="E6E6E6"/>
            <w:noWrap/>
            <w:vAlign w:val="bottom"/>
            <w:hideMark/>
          </w:tcPr>
          <w:p w14:paraId="2610E75B" w14:textId="094E3FD4"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6,325</w:t>
            </w:r>
          </w:p>
        </w:tc>
        <w:tc>
          <w:tcPr>
            <w:tcW w:w="821" w:type="dxa"/>
            <w:tcBorders>
              <w:top w:val="nil"/>
              <w:left w:val="nil"/>
              <w:bottom w:val="nil"/>
              <w:right w:val="nil"/>
            </w:tcBorders>
            <w:shd w:val="clear" w:color="auto" w:fill="auto"/>
            <w:noWrap/>
            <w:vAlign w:val="bottom"/>
            <w:hideMark/>
          </w:tcPr>
          <w:p w14:paraId="71885CF5" w14:textId="19F361CA"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4,825</w:t>
            </w:r>
          </w:p>
        </w:tc>
        <w:tc>
          <w:tcPr>
            <w:tcW w:w="821" w:type="dxa"/>
            <w:tcBorders>
              <w:top w:val="nil"/>
              <w:left w:val="nil"/>
              <w:bottom w:val="nil"/>
              <w:right w:val="nil"/>
            </w:tcBorders>
            <w:shd w:val="clear" w:color="000000" w:fill="FFFFFF"/>
            <w:noWrap/>
            <w:vAlign w:val="bottom"/>
            <w:hideMark/>
          </w:tcPr>
          <w:p w14:paraId="1763071C" w14:textId="28FB3795"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4,925</w:t>
            </w:r>
          </w:p>
        </w:tc>
        <w:tc>
          <w:tcPr>
            <w:tcW w:w="821" w:type="dxa"/>
            <w:tcBorders>
              <w:top w:val="nil"/>
              <w:left w:val="nil"/>
              <w:bottom w:val="nil"/>
              <w:right w:val="nil"/>
            </w:tcBorders>
            <w:shd w:val="clear" w:color="000000" w:fill="FFFFFF"/>
            <w:noWrap/>
            <w:vAlign w:val="bottom"/>
            <w:hideMark/>
          </w:tcPr>
          <w:p w14:paraId="4D148A6C" w14:textId="4890279E"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3,525</w:t>
            </w:r>
          </w:p>
        </w:tc>
      </w:tr>
      <w:tr w:rsidR="003E6345" w:rsidRPr="003E6345" w14:paraId="277C7747" w14:textId="77777777" w:rsidTr="00FA0DB1">
        <w:trPr>
          <w:trHeight w:val="204"/>
        </w:trPr>
        <w:tc>
          <w:tcPr>
            <w:tcW w:w="3176" w:type="dxa"/>
            <w:tcBorders>
              <w:top w:val="nil"/>
              <w:left w:val="nil"/>
              <w:bottom w:val="nil"/>
              <w:right w:val="nil"/>
            </w:tcBorders>
            <w:shd w:val="clear" w:color="auto" w:fill="auto"/>
            <w:noWrap/>
            <w:vAlign w:val="bottom"/>
            <w:hideMark/>
          </w:tcPr>
          <w:p w14:paraId="6A83D798" w14:textId="77777777" w:rsidR="003E6345" w:rsidRPr="003E6345" w:rsidRDefault="003E6345" w:rsidP="003E6345">
            <w:pPr>
              <w:spacing w:after="0" w:line="240" w:lineRule="auto"/>
              <w:jc w:val="left"/>
              <w:rPr>
                <w:rFonts w:ascii="Arial" w:hAnsi="Arial" w:cs="Arial"/>
                <w:b/>
                <w:bCs/>
                <w:sz w:val="16"/>
                <w:szCs w:val="16"/>
              </w:rPr>
            </w:pPr>
            <w:r w:rsidRPr="003E6345">
              <w:rPr>
                <w:rFonts w:ascii="Arial" w:hAnsi="Arial" w:cs="Arial"/>
                <w:b/>
                <w:bCs/>
                <w:sz w:val="16"/>
                <w:szCs w:val="16"/>
              </w:rPr>
              <w:t>Total own-source revenue</w:t>
            </w:r>
          </w:p>
        </w:tc>
        <w:tc>
          <w:tcPr>
            <w:tcW w:w="901" w:type="dxa"/>
            <w:tcBorders>
              <w:top w:val="single" w:sz="4" w:space="0" w:color="auto"/>
              <w:left w:val="nil"/>
              <w:bottom w:val="single" w:sz="4" w:space="0" w:color="auto"/>
              <w:right w:val="nil"/>
            </w:tcBorders>
            <w:shd w:val="clear" w:color="auto" w:fill="auto"/>
            <w:noWrap/>
            <w:vAlign w:val="bottom"/>
            <w:hideMark/>
          </w:tcPr>
          <w:p w14:paraId="5EF2E498" w14:textId="5D4CC618"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10,975</w:t>
            </w:r>
          </w:p>
        </w:tc>
        <w:tc>
          <w:tcPr>
            <w:tcW w:w="816" w:type="dxa"/>
            <w:tcBorders>
              <w:top w:val="single" w:sz="4" w:space="0" w:color="auto"/>
              <w:left w:val="nil"/>
              <w:bottom w:val="single" w:sz="4" w:space="0" w:color="auto"/>
              <w:right w:val="nil"/>
            </w:tcBorders>
            <w:shd w:val="clear" w:color="000000" w:fill="E6E6E6"/>
            <w:noWrap/>
            <w:vAlign w:val="bottom"/>
            <w:hideMark/>
          </w:tcPr>
          <w:p w14:paraId="27387728" w14:textId="65585D8F"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14,266</w:t>
            </w:r>
          </w:p>
        </w:tc>
        <w:tc>
          <w:tcPr>
            <w:tcW w:w="821" w:type="dxa"/>
            <w:tcBorders>
              <w:top w:val="single" w:sz="4" w:space="0" w:color="auto"/>
              <w:left w:val="nil"/>
              <w:bottom w:val="single" w:sz="4" w:space="0" w:color="auto"/>
              <w:right w:val="nil"/>
            </w:tcBorders>
            <w:shd w:val="clear" w:color="auto" w:fill="auto"/>
            <w:noWrap/>
            <w:vAlign w:val="bottom"/>
            <w:hideMark/>
          </w:tcPr>
          <w:p w14:paraId="3C400E80" w14:textId="0A0A24CC"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15,966</w:t>
            </w:r>
          </w:p>
        </w:tc>
        <w:tc>
          <w:tcPr>
            <w:tcW w:w="821" w:type="dxa"/>
            <w:tcBorders>
              <w:top w:val="single" w:sz="4" w:space="0" w:color="auto"/>
              <w:left w:val="nil"/>
              <w:bottom w:val="single" w:sz="4" w:space="0" w:color="auto"/>
              <w:right w:val="nil"/>
            </w:tcBorders>
            <w:shd w:val="clear" w:color="000000" w:fill="FFFFFF"/>
            <w:noWrap/>
            <w:vAlign w:val="bottom"/>
            <w:hideMark/>
          </w:tcPr>
          <w:p w14:paraId="00791D98" w14:textId="42326486"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13,366</w:t>
            </w:r>
          </w:p>
        </w:tc>
        <w:tc>
          <w:tcPr>
            <w:tcW w:w="821" w:type="dxa"/>
            <w:tcBorders>
              <w:top w:val="single" w:sz="4" w:space="0" w:color="auto"/>
              <w:left w:val="nil"/>
              <w:bottom w:val="single" w:sz="4" w:space="0" w:color="auto"/>
              <w:right w:val="nil"/>
            </w:tcBorders>
            <w:shd w:val="clear" w:color="000000" w:fill="FFFFFF"/>
            <w:noWrap/>
            <w:vAlign w:val="bottom"/>
            <w:hideMark/>
          </w:tcPr>
          <w:p w14:paraId="41710292" w14:textId="22474E49"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11,966</w:t>
            </w:r>
          </w:p>
        </w:tc>
      </w:tr>
      <w:tr w:rsidR="003E6345" w:rsidRPr="003E6345" w14:paraId="775556C5" w14:textId="77777777" w:rsidTr="00FA0DB1">
        <w:trPr>
          <w:trHeight w:val="204"/>
        </w:trPr>
        <w:tc>
          <w:tcPr>
            <w:tcW w:w="3176" w:type="dxa"/>
            <w:tcBorders>
              <w:top w:val="nil"/>
              <w:left w:val="nil"/>
              <w:bottom w:val="nil"/>
              <w:right w:val="nil"/>
            </w:tcBorders>
            <w:shd w:val="clear" w:color="auto" w:fill="auto"/>
            <w:noWrap/>
            <w:vAlign w:val="bottom"/>
            <w:hideMark/>
          </w:tcPr>
          <w:p w14:paraId="6CF8B4BC" w14:textId="77777777" w:rsidR="003E6345" w:rsidRPr="003E6345" w:rsidRDefault="003E6345" w:rsidP="003E6345">
            <w:pPr>
              <w:spacing w:after="0" w:line="240" w:lineRule="auto"/>
              <w:jc w:val="left"/>
              <w:rPr>
                <w:rFonts w:ascii="Arial" w:hAnsi="Arial" w:cs="Arial"/>
                <w:b/>
                <w:bCs/>
                <w:sz w:val="16"/>
                <w:szCs w:val="16"/>
              </w:rPr>
            </w:pPr>
            <w:r w:rsidRPr="003E6345">
              <w:rPr>
                <w:rFonts w:ascii="Arial" w:hAnsi="Arial" w:cs="Arial"/>
                <w:b/>
                <w:bCs/>
                <w:sz w:val="16"/>
                <w:szCs w:val="16"/>
              </w:rPr>
              <w:t>Gains</w:t>
            </w:r>
          </w:p>
        </w:tc>
        <w:tc>
          <w:tcPr>
            <w:tcW w:w="901" w:type="dxa"/>
            <w:tcBorders>
              <w:top w:val="nil"/>
              <w:left w:val="nil"/>
              <w:bottom w:val="nil"/>
              <w:right w:val="nil"/>
            </w:tcBorders>
            <w:shd w:val="clear" w:color="auto" w:fill="auto"/>
            <w:noWrap/>
            <w:vAlign w:val="bottom"/>
            <w:hideMark/>
          </w:tcPr>
          <w:p w14:paraId="1C3A7740" w14:textId="77777777" w:rsidR="003E6345" w:rsidRPr="003E6345" w:rsidRDefault="003E6345" w:rsidP="003E6345">
            <w:pPr>
              <w:spacing w:after="0" w:line="240" w:lineRule="auto"/>
              <w:jc w:val="left"/>
              <w:rPr>
                <w:rFonts w:ascii="Arial" w:hAnsi="Arial" w:cs="Arial"/>
                <w:b/>
                <w:bCs/>
                <w:sz w:val="16"/>
                <w:szCs w:val="16"/>
              </w:rPr>
            </w:pPr>
          </w:p>
        </w:tc>
        <w:tc>
          <w:tcPr>
            <w:tcW w:w="816" w:type="dxa"/>
            <w:tcBorders>
              <w:top w:val="nil"/>
              <w:left w:val="nil"/>
              <w:bottom w:val="nil"/>
              <w:right w:val="nil"/>
            </w:tcBorders>
            <w:shd w:val="clear" w:color="000000" w:fill="E6E6E6"/>
            <w:noWrap/>
            <w:vAlign w:val="bottom"/>
            <w:hideMark/>
          </w:tcPr>
          <w:p w14:paraId="09FD9BE8" w14:textId="249305B0" w:rsidR="003E6345" w:rsidRPr="003E6345" w:rsidRDefault="003E6345" w:rsidP="003E6345">
            <w:pPr>
              <w:spacing w:after="0" w:line="240" w:lineRule="auto"/>
              <w:jc w:val="right"/>
              <w:rPr>
                <w:rFonts w:ascii="Arial" w:hAnsi="Arial" w:cs="Arial"/>
                <w:bCs/>
                <w:sz w:val="16"/>
                <w:szCs w:val="16"/>
              </w:rPr>
            </w:pPr>
          </w:p>
        </w:tc>
        <w:tc>
          <w:tcPr>
            <w:tcW w:w="821" w:type="dxa"/>
            <w:tcBorders>
              <w:top w:val="nil"/>
              <w:left w:val="nil"/>
              <w:bottom w:val="nil"/>
              <w:right w:val="nil"/>
            </w:tcBorders>
            <w:shd w:val="clear" w:color="auto" w:fill="auto"/>
            <w:noWrap/>
            <w:vAlign w:val="bottom"/>
            <w:hideMark/>
          </w:tcPr>
          <w:p w14:paraId="6152DBF6" w14:textId="77777777" w:rsidR="003E6345" w:rsidRPr="003E6345" w:rsidRDefault="003E6345" w:rsidP="003E634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000000" w:fill="FFFFFF"/>
            <w:noWrap/>
            <w:vAlign w:val="bottom"/>
            <w:hideMark/>
          </w:tcPr>
          <w:p w14:paraId="42CD4D8D" w14:textId="374DE922" w:rsidR="003E6345" w:rsidRPr="003E6345" w:rsidRDefault="003E6345" w:rsidP="003E6345">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000000" w:fill="FFFFFF"/>
            <w:noWrap/>
            <w:vAlign w:val="bottom"/>
            <w:hideMark/>
          </w:tcPr>
          <w:p w14:paraId="5924E440" w14:textId="42F5A008" w:rsidR="003E6345" w:rsidRPr="003E6345" w:rsidRDefault="003E6345" w:rsidP="003E6345">
            <w:pPr>
              <w:spacing w:after="0" w:line="240" w:lineRule="auto"/>
              <w:jc w:val="right"/>
              <w:rPr>
                <w:rFonts w:ascii="Arial" w:hAnsi="Arial" w:cs="Arial"/>
                <w:b/>
                <w:bCs/>
                <w:sz w:val="16"/>
                <w:szCs w:val="16"/>
              </w:rPr>
            </w:pPr>
          </w:p>
        </w:tc>
      </w:tr>
      <w:tr w:rsidR="003E6345" w:rsidRPr="003E6345" w14:paraId="7200E0F5" w14:textId="77777777" w:rsidTr="00FA0DB1">
        <w:trPr>
          <w:trHeight w:val="204"/>
        </w:trPr>
        <w:tc>
          <w:tcPr>
            <w:tcW w:w="3176" w:type="dxa"/>
            <w:tcBorders>
              <w:top w:val="nil"/>
              <w:left w:val="nil"/>
              <w:bottom w:val="nil"/>
              <w:right w:val="nil"/>
            </w:tcBorders>
            <w:shd w:val="clear" w:color="auto" w:fill="auto"/>
            <w:noWrap/>
            <w:vAlign w:val="bottom"/>
            <w:hideMark/>
          </w:tcPr>
          <w:p w14:paraId="1FEEB682"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Sale of assets</w:t>
            </w:r>
          </w:p>
        </w:tc>
        <w:tc>
          <w:tcPr>
            <w:tcW w:w="901" w:type="dxa"/>
            <w:tcBorders>
              <w:top w:val="nil"/>
              <w:left w:val="nil"/>
              <w:bottom w:val="nil"/>
              <w:right w:val="nil"/>
            </w:tcBorders>
            <w:shd w:val="clear" w:color="auto" w:fill="auto"/>
            <w:noWrap/>
            <w:vAlign w:val="bottom"/>
            <w:hideMark/>
          </w:tcPr>
          <w:p w14:paraId="23DC6548" w14:textId="64093536"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16</w:t>
            </w:r>
          </w:p>
        </w:tc>
        <w:tc>
          <w:tcPr>
            <w:tcW w:w="816" w:type="dxa"/>
            <w:tcBorders>
              <w:top w:val="nil"/>
              <w:left w:val="nil"/>
              <w:bottom w:val="nil"/>
              <w:right w:val="nil"/>
            </w:tcBorders>
            <w:shd w:val="clear" w:color="000000" w:fill="E6E6E6"/>
            <w:noWrap/>
            <w:vAlign w:val="bottom"/>
            <w:hideMark/>
          </w:tcPr>
          <w:p w14:paraId="59263CA4" w14:textId="504B3E72"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w:t>
            </w:r>
          </w:p>
        </w:tc>
        <w:tc>
          <w:tcPr>
            <w:tcW w:w="821" w:type="dxa"/>
            <w:tcBorders>
              <w:top w:val="nil"/>
              <w:left w:val="nil"/>
              <w:bottom w:val="nil"/>
              <w:right w:val="nil"/>
            </w:tcBorders>
            <w:shd w:val="clear" w:color="auto" w:fill="auto"/>
            <w:noWrap/>
            <w:vAlign w:val="bottom"/>
            <w:hideMark/>
          </w:tcPr>
          <w:p w14:paraId="2AF15657" w14:textId="71A76F7B"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w:t>
            </w:r>
          </w:p>
        </w:tc>
        <w:tc>
          <w:tcPr>
            <w:tcW w:w="821" w:type="dxa"/>
            <w:tcBorders>
              <w:top w:val="nil"/>
              <w:left w:val="nil"/>
              <w:bottom w:val="nil"/>
              <w:right w:val="nil"/>
            </w:tcBorders>
            <w:shd w:val="clear" w:color="000000" w:fill="FFFFFF"/>
            <w:noWrap/>
            <w:vAlign w:val="bottom"/>
            <w:hideMark/>
          </w:tcPr>
          <w:p w14:paraId="078A1DA0" w14:textId="3F6CBA3E"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w:t>
            </w:r>
          </w:p>
        </w:tc>
        <w:tc>
          <w:tcPr>
            <w:tcW w:w="821" w:type="dxa"/>
            <w:tcBorders>
              <w:top w:val="nil"/>
              <w:left w:val="nil"/>
              <w:bottom w:val="nil"/>
              <w:right w:val="nil"/>
            </w:tcBorders>
            <w:shd w:val="clear" w:color="000000" w:fill="FFFFFF"/>
            <w:noWrap/>
            <w:vAlign w:val="bottom"/>
            <w:hideMark/>
          </w:tcPr>
          <w:p w14:paraId="589F4AAE" w14:textId="4931C06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w:t>
            </w:r>
          </w:p>
        </w:tc>
      </w:tr>
      <w:tr w:rsidR="003E6345" w:rsidRPr="003E6345" w14:paraId="6B6EE000" w14:textId="77777777" w:rsidTr="00FA0DB1">
        <w:trPr>
          <w:trHeight w:val="204"/>
        </w:trPr>
        <w:tc>
          <w:tcPr>
            <w:tcW w:w="3176" w:type="dxa"/>
            <w:tcBorders>
              <w:top w:val="nil"/>
              <w:left w:val="nil"/>
              <w:bottom w:val="nil"/>
              <w:right w:val="nil"/>
            </w:tcBorders>
            <w:shd w:val="clear" w:color="auto" w:fill="auto"/>
            <w:noWrap/>
            <w:vAlign w:val="bottom"/>
            <w:hideMark/>
          </w:tcPr>
          <w:p w14:paraId="26C2F87D"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Other</w:t>
            </w:r>
          </w:p>
        </w:tc>
        <w:tc>
          <w:tcPr>
            <w:tcW w:w="901" w:type="dxa"/>
            <w:tcBorders>
              <w:top w:val="nil"/>
              <w:left w:val="nil"/>
              <w:bottom w:val="nil"/>
              <w:right w:val="nil"/>
            </w:tcBorders>
            <w:shd w:val="clear" w:color="auto" w:fill="auto"/>
            <w:noWrap/>
            <w:vAlign w:val="bottom"/>
            <w:hideMark/>
          </w:tcPr>
          <w:p w14:paraId="20C39307" w14:textId="14AF0E21"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2,572</w:t>
            </w:r>
          </w:p>
        </w:tc>
        <w:tc>
          <w:tcPr>
            <w:tcW w:w="816" w:type="dxa"/>
            <w:tcBorders>
              <w:top w:val="nil"/>
              <w:left w:val="nil"/>
              <w:bottom w:val="nil"/>
              <w:right w:val="nil"/>
            </w:tcBorders>
            <w:shd w:val="clear" w:color="000000" w:fill="E6E6E6"/>
            <w:noWrap/>
            <w:vAlign w:val="bottom"/>
            <w:hideMark/>
          </w:tcPr>
          <w:p w14:paraId="09EC2F31" w14:textId="1ABDD23F"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1,625</w:t>
            </w:r>
          </w:p>
        </w:tc>
        <w:tc>
          <w:tcPr>
            <w:tcW w:w="821" w:type="dxa"/>
            <w:tcBorders>
              <w:top w:val="nil"/>
              <w:left w:val="nil"/>
              <w:bottom w:val="nil"/>
              <w:right w:val="nil"/>
            </w:tcBorders>
            <w:shd w:val="clear" w:color="auto" w:fill="auto"/>
            <w:noWrap/>
            <w:vAlign w:val="bottom"/>
            <w:hideMark/>
          </w:tcPr>
          <w:p w14:paraId="44DB0E64" w14:textId="7F376E95"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1,625</w:t>
            </w:r>
          </w:p>
        </w:tc>
        <w:tc>
          <w:tcPr>
            <w:tcW w:w="821" w:type="dxa"/>
            <w:tcBorders>
              <w:top w:val="nil"/>
              <w:left w:val="nil"/>
              <w:bottom w:val="nil"/>
              <w:right w:val="nil"/>
            </w:tcBorders>
            <w:shd w:val="clear" w:color="000000" w:fill="FFFFFF"/>
            <w:noWrap/>
            <w:vAlign w:val="bottom"/>
            <w:hideMark/>
          </w:tcPr>
          <w:p w14:paraId="22C3F6E2" w14:textId="0C9A5713"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1,625</w:t>
            </w:r>
          </w:p>
        </w:tc>
        <w:tc>
          <w:tcPr>
            <w:tcW w:w="821" w:type="dxa"/>
            <w:tcBorders>
              <w:top w:val="nil"/>
              <w:left w:val="nil"/>
              <w:bottom w:val="nil"/>
              <w:right w:val="nil"/>
            </w:tcBorders>
            <w:shd w:val="clear" w:color="000000" w:fill="FFFFFF"/>
            <w:noWrap/>
            <w:vAlign w:val="bottom"/>
            <w:hideMark/>
          </w:tcPr>
          <w:p w14:paraId="52E30CCC" w14:textId="180B1AA5"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1,625</w:t>
            </w:r>
          </w:p>
        </w:tc>
      </w:tr>
      <w:tr w:rsidR="003E6345" w:rsidRPr="003E6345" w14:paraId="2548A890" w14:textId="77777777" w:rsidTr="00FA0DB1">
        <w:trPr>
          <w:trHeight w:val="204"/>
        </w:trPr>
        <w:tc>
          <w:tcPr>
            <w:tcW w:w="3176" w:type="dxa"/>
            <w:tcBorders>
              <w:top w:val="nil"/>
              <w:left w:val="nil"/>
              <w:bottom w:val="nil"/>
              <w:right w:val="nil"/>
            </w:tcBorders>
            <w:shd w:val="clear" w:color="auto" w:fill="auto"/>
            <w:noWrap/>
            <w:vAlign w:val="bottom"/>
            <w:hideMark/>
          </w:tcPr>
          <w:p w14:paraId="17943D70" w14:textId="77777777" w:rsidR="003E6345" w:rsidRPr="003E6345" w:rsidRDefault="003E6345" w:rsidP="003E6345">
            <w:pPr>
              <w:spacing w:after="0" w:line="240" w:lineRule="auto"/>
              <w:jc w:val="left"/>
              <w:rPr>
                <w:rFonts w:ascii="Arial" w:hAnsi="Arial" w:cs="Arial"/>
                <w:b/>
                <w:bCs/>
                <w:sz w:val="16"/>
                <w:szCs w:val="16"/>
              </w:rPr>
            </w:pPr>
            <w:r w:rsidRPr="003E6345">
              <w:rPr>
                <w:rFonts w:ascii="Arial" w:hAnsi="Arial" w:cs="Arial"/>
                <w:b/>
                <w:bCs/>
                <w:sz w:val="16"/>
                <w:szCs w:val="16"/>
              </w:rPr>
              <w:t>Total gains</w:t>
            </w:r>
          </w:p>
        </w:tc>
        <w:tc>
          <w:tcPr>
            <w:tcW w:w="901" w:type="dxa"/>
            <w:tcBorders>
              <w:top w:val="single" w:sz="4" w:space="0" w:color="auto"/>
              <w:left w:val="nil"/>
              <w:bottom w:val="single" w:sz="4" w:space="0" w:color="auto"/>
              <w:right w:val="nil"/>
            </w:tcBorders>
            <w:shd w:val="clear" w:color="auto" w:fill="auto"/>
            <w:noWrap/>
            <w:vAlign w:val="bottom"/>
            <w:hideMark/>
          </w:tcPr>
          <w:p w14:paraId="2D05B8A5" w14:textId="7D09DBE4"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2,588</w:t>
            </w:r>
          </w:p>
        </w:tc>
        <w:tc>
          <w:tcPr>
            <w:tcW w:w="816" w:type="dxa"/>
            <w:tcBorders>
              <w:top w:val="single" w:sz="4" w:space="0" w:color="auto"/>
              <w:left w:val="nil"/>
              <w:bottom w:val="single" w:sz="4" w:space="0" w:color="auto"/>
              <w:right w:val="nil"/>
            </w:tcBorders>
            <w:shd w:val="clear" w:color="000000" w:fill="E6E6E6"/>
            <w:noWrap/>
            <w:vAlign w:val="bottom"/>
            <w:hideMark/>
          </w:tcPr>
          <w:p w14:paraId="4F896C4E" w14:textId="7E45C39E"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1,625</w:t>
            </w:r>
          </w:p>
        </w:tc>
        <w:tc>
          <w:tcPr>
            <w:tcW w:w="821" w:type="dxa"/>
            <w:tcBorders>
              <w:top w:val="single" w:sz="4" w:space="0" w:color="auto"/>
              <w:left w:val="nil"/>
              <w:bottom w:val="single" w:sz="4" w:space="0" w:color="auto"/>
              <w:right w:val="nil"/>
            </w:tcBorders>
            <w:shd w:val="clear" w:color="auto" w:fill="auto"/>
            <w:noWrap/>
            <w:vAlign w:val="bottom"/>
            <w:hideMark/>
          </w:tcPr>
          <w:p w14:paraId="660CC86C" w14:textId="556E8619"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1,625</w:t>
            </w:r>
          </w:p>
        </w:tc>
        <w:tc>
          <w:tcPr>
            <w:tcW w:w="821" w:type="dxa"/>
            <w:tcBorders>
              <w:top w:val="single" w:sz="4" w:space="0" w:color="auto"/>
              <w:left w:val="nil"/>
              <w:bottom w:val="single" w:sz="4" w:space="0" w:color="auto"/>
              <w:right w:val="nil"/>
            </w:tcBorders>
            <w:shd w:val="clear" w:color="000000" w:fill="FFFFFF"/>
            <w:noWrap/>
            <w:vAlign w:val="bottom"/>
            <w:hideMark/>
          </w:tcPr>
          <w:p w14:paraId="1371BA25" w14:textId="0C1B571C"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1,625</w:t>
            </w:r>
          </w:p>
        </w:tc>
        <w:tc>
          <w:tcPr>
            <w:tcW w:w="821" w:type="dxa"/>
            <w:tcBorders>
              <w:top w:val="single" w:sz="4" w:space="0" w:color="auto"/>
              <w:left w:val="nil"/>
              <w:bottom w:val="single" w:sz="4" w:space="0" w:color="auto"/>
              <w:right w:val="nil"/>
            </w:tcBorders>
            <w:shd w:val="clear" w:color="000000" w:fill="FFFFFF"/>
            <w:noWrap/>
            <w:vAlign w:val="bottom"/>
            <w:hideMark/>
          </w:tcPr>
          <w:p w14:paraId="0CFEC7EE" w14:textId="0FE9817A"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1,625</w:t>
            </w:r>
          </w:p>
        </w:tc>
      </w:tr>
      <w:tr w:rsidR="003E6345" w:rsidRPr="003E6345" w14:paraId="45B9B87A" w14:textId="77777777" w:rsidTr="00FA0DB1">
        <w:trPr>
          <w:trHeight w:val="204"/>
        </w:trPr>
        <w:tc>
          <w:tcPr>
            <w:tcW w:w="3176" w:type="dxa"/>
            <w:tcBorders>
              <w:top w:val="nil"/>
              <w:left w:val="nil"/>
              <w:bottom w:val="nil"/>
              <w:right w:val="nil"/>
            </w:tcBorders>
            <w:shd w:val="clear" w:color="auto" w:fill="auto"/>
            <w:noWrap/>
            <w:vAlign w:val="bottom"/>
            <w:hideMark/>
          </w:tcPr>
          <w:p w14:paraId="6F777181" w14:textId="77777777" w:rsidR="003E6345" w:rsidRPr="003E6345" w:rsidRDefault="003E6345" w:rsidP="003E6345">
            <w:pPr>
              <w:spacing w:after="0" w:line="240" w:lineRule="auto"/>
              <w:jc w:val="left"/>
              <w:rPr>
                <w:rFonts w:ascii="Arial" w:hAnsi="Arial" w:cs="Arial"/>
                <w:b/>
                <w:bCs/>
                <w:sz w:val="16"/>
                <w:szCs w:val="16"/>
              </w:rPr>
            </w:pPr>
            <w:r w:rsidRPr="003E6345">
              <w:rPr>
                <w:rFonts w:ascii="Arial" w:hAnsi="Arial" w:cs="Arial"/>
                <w:b/>
                <w:bCs/>
                <w:sz w:val="16"/>
                <w:szCs w:val="16"/>
              </w:rPr>
              <w:t>Total own-source income</w:t>
            </w:r>
          </w:p>
        </w:tc>
        <w:tc>
          <w:tcPr>
            <w:tcW w:w="901" w:type="dxa"/>
            <w:tcBorders>
              <w:top w:val="single" w:sz="4" w:space="0" w:color="auto"/>
              <w:left w:val="nil"/>
              <w:bottom w:val="single" w:sz="4" w:space="0" w:color="auto"/>
              <w:right w:val="nil"/>
            </w:tcBorders>
            <w:shd w:val="clear" w:color="auto" w:fill="auto"/>
            <w:noWrap/>
            <w:vAlign w:val="bottom"/>
            <w:hideMark/>
          </w:tcPr>
          <w:p w14:paraId="544A4FDB" w14:textId="0C18D08F"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13,563</w:t>
            </w:r>
          </w:p>
        </w:tc>
        <w:tc>
          <w:tcPr>
            <w:tcW w:w="816" w:type="dxa"/>
            <w:tcBorders>
              <w:top w:val="single" w:sz="4" w:space="0" w:color="auto"/>
              <w:left w:val="nil"/>
              <w:bottom w:val="single" w:sz="4" w:space="0" w:color="auto"/>
              <w:right w:val="nil"/>
            </w:tcBorders>
            <w:shd w:val="clear" w:color="000000" w:fill="E6E6E6"/>
            <w:noWrap/>
            <w:vAlign w:val="bottom"/>
            <w:hideMark/>
          </w:tcPr>
          <w:p w14:paraId="41E67746" w14:textId="2F05AA02"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15,891</w:t>
            </w:r>
          </w:p>
        </w:tc>
        <w:tc>
          <w:tcPr>
            <w:tcW w:w="821" w:type="dxa"/>
            <w:tcBorders>
              <w:top w:val="single" w:sz="4" w:space="0" w:color="auto"/>
              <w:left w:val="nil"/>
              <w:bottom w:val="single" w:sz="4" w:space="0" w:color="auto"/>
              <w:right w:val="nil"/>
            </w:tcBorders>
            <w:shd w:val="clear" w:color="auto" w:fill="auto"/>
            <w:noWrap/>
            <w:vAlign w:val="bottom"/>
            <w:hideMark/>
          </w:tcPr>
          <w:p w14:paraId="417A95CA" w14:textId="0757E114"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17,591</w:t>
            </w:r>
          </w:p>
        </w:tc>
        <w:tc>
          <w:tcPr>
            <w:tcW w:w="821" w:type="dxa"/>
            <w:tcBorders>
              <w:top w:val="single" w:sz="4" w:space="0" w:color="auto"/>
              <w:left w:val="nil"/>
              <w:bottom w:val="single" w:sz="4" w:space="0" w:color="auto"/>
              <w:right w:val="nil"/>
            </w:tcBorders>
            <w:shd w:val="clear" w:color="000000" w:fill="FFFFFF"/>
            <w:noWrap/>
            <w:vAlign w:val="bottom"/>
            <w:hideMark/>
          </w:tcPr>
          <w:p w14:paraId="16D14CAA" w14:textId="51626148"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14,991</w:t>
            </w:r>
          </w:p>
        </w:tc>
        <w:tc>
          <w:tcPr>
            <w:tcW w:w="821" w:type="dxa"/>
            <w:tcBorders>
              <w:top w:val="single" w:sz="4" w:space="0" w:color="auto"/>
              <w:left w:val="nil"/>
              <w:bottom w:val="single" w:sz="4" w:space="0" w:color="auto"/>
              <w:right w:val="nil"/>
            </w:tcBorders>
            <w:shd w:val="clear" w:color="000000" w:fill="FFFFFF"/>
            <w:noWrap/>
            <w:vAlign w:val="bottom"/>
            <w:hideMark/>
          </w:tcPr>
          <w:p w14:paraId="7676C6E8" w14:textId="463AD6A8"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13,591</w:t>
            </w:r>
          </w:p>
        </w:tc>
      </w:tr>
      <w:tr w:rsidR="003E6345" w:rsidRPr="003E6345" w14:paraId="62D6CE9A" w14:textId="77777777" w:rsidTr="00FA0DB1">
        <w:trPr>
          <w:trHeight w:val="204"/>
        </w:trPr>
        <w:tc>
          <w:tcPr>
            <w:tcW w:w="3176" w:type="dxa"/>
            <w:tcBorders>
              <w:top w:val="nil"/>
              <w:left w:val="nil"/>
              <w:bottom w:val="nil"/>
              <w:right w:val="nil"/>
            </w:tcBorders>
            <w:shd w:val="clear" w:color="auto" w:fill="auto"/>
            <w:vAlign w:val="center"/>
            <w:hideMark/>
          </w:tcPr>
          <w:p w14:paraId="00E70674" w14:textId="6D3CF734" w:rsidR="003E6345" w:rsidRPr="003E6345" w:rsidRDefault="003E6345" w:rsidP="00FA0DB1">
            <w:pPr>
              <w:spacing w:after="0" w:line="240" w:lineRule="auto"/>
              <w:jc w:val="left"/>
              <w:rPr>
                <w:rFonts w:ascii="Arial" w:hAnsi="Arial" w:cs="Arial"/>
                <w:b/>
                <w:bCs/>
                <w:color w:val="000000"/>
                <w:sz w:val="16"/>
                <w:szCs w:val="16"/>
              </w:rPr>
            </w:pPr>
            <w:r w:rsidRPr="003E6345">
              <w:rPr>
                <w:rFonts w:ascii="Arial" w:hAnsi="Arial" w:cs="Arial"/>
                <w:b/>
                <w:bCs/>
                <w:color w:val="000000"/>
                <w:sz w:val="16"/>
                <w:szCs w:val="16"/>
              </w:rPr>
              <w:t>Net (cost of)/contribution by</w:t>
            </w:r>
            <w:r w:rsidR="00FA0DB1">
              <w:rPr>
                <w:rFonts w:ascii="Arial" w:hAnsi="Arial" w:cs="Arial"/>
                <w:b/>
                <w:bCs/>
                <w:color w:val="000000"/>
                <w:sz w:val="16"/>
                <w:szCs w:val="16"/>
              </w:rPr>
              <w:t xml:space="preserve"> </w:t>
            </w:r>
            <w:r w:rsidRPr="003E6345">
              <w:rPr>
                <w:rFonts w:ascii="Arial" w:hAnsi="Arial" w:cs="Arial"/>
                <w:b/>
                <w:bCs/>
                <w:color w:val="000000"/>
                <w:sz w:val="16"/>
                <w:szCs w:val="16"/>
              </w:rPr>
              <w:t>services</w:t>
            </w:r>
          </w:p>
        </w:tc>
        <w:tc>
          <w:tcPr>
            <w:tcW w:w="901" w:type="dxa"/>
            <w:tcBorders>
              <w:top w:val="nil"/>
              <w:left w:val="nil"/>
              <w:bottom w:val="single" w:sz="4" w:space="0" w:color="auto"/>
              <w:right w:val="nil"/>
            </w:tcBorders>
            <w:shd w:val="clear" w:color="auto" w:fill="auto"/>
            <w:noWrap/>
            <w:vAlign w:val="bottom"/>
            <w:hideMark/>
          </w:tcPr>
          <w:p w14:paraId="39EF335C"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(230,963)</w:t>
            </w:r>
          </w:p>
        </w:tc>
        <w:tc>
          <w:tcPr>
            <w:tcW w:w="816" w:type="dxa"/>
            <w:tcBorders>
              <w:top w:val="nil"/>
              <w:left w:val="nil"/>
              <w:bottom w:val="single" w:sz="4" w:space="0" w:color="auto"/>
              <w:right w:val="nil"/>
            </w:tcBorders>
            <w:shd w:val="clear" w:color="000000" w:fill="E6E6E6"/>
            <w:noWrap/>
            <w:vAlign w:val="bottom"/>
            <w:hideMark/>
          </w:tcPr>
          <w:p w14:paraId="28921223"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(67,908)</w:t>
            </w:r>
          </w:p>
        </w:tc>
        <w:tc>
          <w:tcPr>
            <w:tcW w:w="821" w:type="dxa"/>
            <w:tcBorders>
              <w:top w:val="nil"/>
              <w:left w:val="nil"/>
              <w:bottom w:val="single" w:sz="4" w:space="0" w:color="auto"/>
              <w:right w:val="nil"/>
            </w:tcBorders>
            <w:shd w:val="clear" w:color="auto" w:fill="auto"/>
            <w:noWrap/>
            <w:vAlign w:val="bottom"/>
            <w:hideMark/>
          </w:tcPr>
          <w:p w14:paraId="06CE931F"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(71,295)</w:t>
            </w:r>
          </w:p>
        </w:tc>
        <w:tc>
          <w:tcPr>
            <w:tcW w:w="821" w:type="dxa"/>
            <w:tcBorders>
              <w:top w:val="nil"/>
              <w:left w:val="nil"/>
              <w:bottom w:val="single" w:sz="4" w:space="0" w:color="auto"/>
              <w:right w:val="nil"/>
            </w:tcBorders>
            <w:shd w:val="clear" w:color="000000" w:fill="FFFFFF"/>
            <w:noWrap/>
            <w:vAlign w:val="bottom"/>
            <w:hideMark/>
          </w:tcPr>
          <w:p w14:paraId="3DEECDE6"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(57,403)</w:t>
            </w:r>
          </w:p>
        </w:tc>
        <w:tc>
          <w:tcPr>
            <w:tcW w:w="821" w:type="dxa"/>
            <w:tcBorders>
              <w:top w:val="nil"/>
              <w:left w:val="nil"/>
              <w:bottom w:val="single" w:sz="4" w:space="0" w:color="auto"/>
              <w:right w:val="nil"/>
            </w:tcBorders>
            <w:shd w:val="clear" w:color="000000" w:fill="FFFFFF"/>
            <w:noWrap/>
            <w:vAlign w:val="bottom"/>
            <w:hideMark/>
          </w:tcPr>
          <w:p w14:paraId="0D5DCEE5"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(57,620)</w:t>
            </w:r>
          </w:p>
        </w:tc>
      </w:tr>
      <w:tr w:rsidR="003E6345" w:rsidRPr="003E6345" w14:paraId="46AF21D0" w14:textId="77777777" w:rsidTr="00FA0DB1">
        <w:trPr>
          <w:trHeight w:val="204"/>
        </w:trPr>
        <w:tc>
          <w:tcPr>
            <w:tcW w:w="3176" w:type="dxa"/>
            <w:tcBorders>
              <w:top w:val="nil"/>
              <w:left w:val="nil"/>
              <w:bottom w:val="nil"/>
              <w:right w:val="nil"/>
            </w:tcBorders>
            <w:shd w:val="clear" w:color="auto" w:fill="auto"/>
            <w:noWrap/>
            <w:vAlign w:val="bottom"/>
            <w:hideMark/>
          </w:tcPr>
          <w:p w14:paraId="65C0D89D" w14:textId="77777777" w:rsidR="003E6345" w:rsidRPr="003E6345" w:rsidRDefault="003E6345" w:rsidP="00FA0DB1">
            <w:pPr>
              <w:spacing w:after="0" w:line="240" w:lineRule="auto"/>
              <w:ind w:left="113"/>
              <w:jc w:val="left"/>
              <w:rPr>
                <w:rFonts w:ascii="Arial" w:hAnsi="Arial" w:cs="Arial"/>
                <w:sz w:val="16"/>
                <w:szCs w:val="16"/>
              </w:rPr>
            </w:pPr>
            <w:r w:rsidRPr="003E6345">
              <w:rPr>
                <w:rFonts w:ascii="Arial" w:hAnsi="Arial" w:cs="Arial"/>
                <w:sz w:val="16"/>
                <w:szCs w:val="16"/>
              </w:rPr>
              <w:t>Revenue from Government</w:t>
            </w:r>
          </w:p>
        </w:tc>
        <w:tc>
          <w:tcPr>
            <w:tcW w:w="901" w:type="dxa"/>
            <w:tcBorders>
              <w:top w:val="nil"/>
              <w:left w:val="nil"/>
              <w:bottom w:val="single" w:sz="4" w:space="0" w:color="auto"/>
              <w:right w:val="nil"/>
            </w:tcBorders>
            <w:shd w:val="clear" w:color="auto" w:fill="auto"/>
            <w:noWrap/>
            <w:vAlign w:val="bottom"/>
            <w:hideMark/>
          </w:tcPr>
          <w:p w14:paraId="3242E3BD" w14:textId="5A49BA27"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58,786</w:t>
            </w:r>
          </w:p>
        </w:tc>
        <w:tc>
          <w:tcPr>
            <w:tcW w:w="816" w:type="dxa"/>
            <w:tcBorders>
              <w:top w:val="nil"/>
              <w:left w:val="nil"/>
              <w:bottom w:val="single" w:sz="4" w:space="0" w:color="auto"/>
              <w:right w:val="nil"/>
            </w:tcBorders>
            <w:shd w:val="clear" w:color="000000" w:fill="E6E6E6"/>
            <w:noWrap/>
            <w:vAlign w:val="bottom"/>
            <w:hideMark/>
          </w:tcPr>
          <w:p w14:paraId="4B27A84B" w14:textId="5977632D" w:rsidR="003E6345" w:rsidRPr="003E6345" w:rsidRDefault="003E6345" w:rsidP="003E6345">
            <w:pPr>
              <w:spacing w:after="0" w:line="240" w:lineRule="auto"/>
              <w:jc w:val="right"/>
              <w:rPr>
                <w:rFonts w:ascii="Arial" w:hAnsi="Arial" w:cs="Arial"/>
                <w:bCs/>
                <w:sz w:val="16"/>
                <w:szCs w:val="16"/>
              </w:rPr>
            </w:pPr>
            <w:r w:rsidRPr="003E6345">
              <w:rPr>
                <w:rFonts w:ascii="Arial" w:hAnsi="Arial" w:cs="Arial"/>
                <w:bCs/>
                <w:sz w:val="16"/>
                <w:szCs w:val="16"/>
              </w:rPr>
              <w:t>57,493</w:t>
            </w:r>
          </w:p>
        </w:tc>
        <w:tc>
          <w:tcPr>
            <w:tcW w:w="821" w:type="dxa"/>
            <w:tcBorders>
              <w:top w:val="nil"/>
              <w:left w:val="nil"/>
              <w:bottom w:val="single" w:sz="4" w:space="0" w:color="auto"/>
              <w:right w:val="nil"/>
            </w:tcBorders>
            <w:shd w:val="clear" w:color="auto" w:fill="auto"/>
            <w:noWrap/>
            <w:vAlign w:val="bottom"/>
            <w:hideMark/>
          </w:tcPr>
          <w:p w14:paraId="4B702EE5" w14:textId="54249C99"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60,880</w:t>
            </w:r>
          </w:p>
        </w:tc>
        <w:tc>
          <w:tcPr>
            <w:tcW w:w="821" w:type="dxa"/>
            <w:tcBorders>
              <w:top w:val="nil"/>
              <w:left w:val="nil"/>
              <w:bottom w:val="single" w:sz="4" w:space="0" w:color="auto"/>
              <w:right w:val="nil"/>
            </w:tcBorders>
            <w:shd w:val="clear" w:color="000000" w:fill="FFFFFF"/>
            <w:noWrap/>
            <w:vAlign w:val="bottom"/>
            <w:hideMark/>
          </w:tcPr>
          <w:p w14:paraId="29C3E561" w14:textId="1B987EF6"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47,014</w:t>
            </w:r>
          </w:p>
        </w:tc>
        <w:tc>
          <w:tcPr>
            <w:tcW w:w="821" w:type="dxa"/>
            <w:tcBorders>
              <w:top w:val="nil"/>
              <w:left w:val="nil"/>
              <w:bottom w:val="single" w:sz="4" w:space="0" w:color="auto"/>
              <w:right w:val="nil"/>
            </w:tcBorders>
            <w:shd w:val="clear" w:color="000000" w:fill="FFFFFF"/>
            <w:noWrap/>
            <w:vAlign w:val="bottom"/>
            <w:hideMark/>
          </w:tcPr>
          <w:p w14:paraId="5B437A13" w14:textId="444B73FD" w:rsidR="003E6345" w:rsidRPr="003E6345" w:rsidRDefault="003E6345" w:rsidP="003E6345">
            <w:pPr>
              <w:spacing w:after="0" w:line="240" w:lineRule="auto"/>
              <w:jc w:val="right"/>
              <w:rPr>
                <w:rFonts w:ascii="Arial" w:hAnsi="Arial" w:cs="Arial"/>
                <w:sz w:val="16"/>
                <w:szCs w:val="16"/>
              </w:rPr>
            </w:pPr>
            <w:r w:rsidRPr="003E6345">
              <w:rPr>
                <w:rFonts w:ascii="Arial" w:hAnsi="Arial" w:cs="Arial"/>
                <w:sz w:val="16"/>
                <w:szCs w:val="16"/>
              </w:rPr>
              <w:t>47,197</w:t>
            </w:r>
          </w:p>
        </w:tc>
      </w:tr>
      <w:tr w:rsidR="003E6345" w:rsidRPr="003E6345" w14:paraId="39844928" w14:textId="77777777" w:rsidTr="00FA0DB1">
        <w:trPr>
          <w:trHeight w:val="204"/>
        </w:trPr>
        <w:tc>
          <w:tcPr>
            <w:tcW w:w="3176" w:type="dxa"/>
            <w:tcBorders>
              <w:top w:val="nil"/>
              <w:left w:val="nil"/>
              <w:bottom w:val="nil"/>
              <w:right w:val="nil"/>
            </w:tcBorders>
            <w:shd w:val="clear" w:color="auto" w:fill="auto"/>
            <w:vAlign w:val="bottom"/>
            <w:hideMark/>
          </w:tcPr>
          <w:p w14:paraId="47B10C84" w14:textId="5C27F43A" w:rsidR="003E6345" w:rsidRPr="003E6345" w:rsidRDefault="003E6345" w:rsidP="00FA0DB1">
            <w:pPr>
              <w:spacing w:after="0" w:line="240" w:lineRule="auto"/>
              <w:jc w:val="left"/>
              <w:rPr>
                <w:rFonts w:ascii="Arial" w:hAnsi="Arial" w:cs="Arial"/>
                <w:b/>
                <w:bCs/>
                <w:sz w:val="16"/>
                <w:szCs w:val="16"/>
              </w:rPr>
            </w:pPr>
            <w:r w:rsidRPr="003E6345">
              <w:rPr>
                <w:rFonts w:ascii="Arial" w:hAnsi="Arial" w:cs="Arial"/>
                <w:b/>
                <w:bCs/>
                <w:sz w:val="16"/>
                <w:szCs w:val="16"/>
              </w:rPr>
              <w:t>Surplus/(deficit) attributable to the</w:t>
            </w:r>
            <w:r w:rsidR="00FA0DB1">
              <w:rPr>
                <w:rFonts w:ascii="Arial" w:hAnsi="Arial" w:cs="Arial"/>
                <w:b/>
                <w:bCs/>
                <w:sz w:val="16"/>
                <w:szCs w:val="16"/>
              </w:rPr>
              <w:t xml:space="preserve"> </w:t>
            </w:r>
            <w:r w:rsidRPr="003E6345">
              <w:rPr>
                <w:rFonts w:ascii="Arial" w:hAnsi="Arial" w:cs="Arial"/>
                <w:b/>
                <w:bCs/>
                <w:sz w:val="16"/>
                <w:szCs w:val="16"/>
              </w:rPr>
              <w:t>Australian Government</w:t>
            </w:r>
          </w:p>
        </w:tc>
        <w:tc>
          <w:tcPr>
            <w:tcW w:w="901" w:type="dxa"/>
            <w:tcBorders>
              <w:top w:val="nil"/>
              <w:left w:val="nil"/>
              <w:bottom w:val="single" w:sz="4" w:space="0" w:color="auto"/>
              <w:right w:val="nil"/>
            </w:tcBorders>
            <w:shd w:val="clear" w:color="auto" w:fill="auto"/>
            <w:noWrap/>
            <w:vAlign w:val="bottom"/>
            <w:hideMark/>
          </w:tcPr>
          <w:p w14:paraId="6E3A09A1"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(172,177)</w:t>
            </w:r>
          </w:p>
        </w:tc>
        <w:tc>
          <w:tcPr>
            <w:tcW w:w="816" w:type="dxa"/>
            <w:tcBorders>
              <w:top w:val="nil"/>
              <w:left w:val="nil"/>
              <w:bottom w:val="single" w:sz="4" w:space="0" w:color="auto"/>
              <w:right w:val="nil"/>
            </w:tcBorders>
            <w:shd w:val="clear" w:color="000000" w:fill="E6E6E6"/>
            <w:noWrap/>
            <w:vAlign w:val="bottom"/>
            <w:hideMark/>
          </w:tcPr>
          <w:p w14:paraId="439051FC"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(10,415)</w:t>
            </w:r>
          </w:p>
        </w:tc>
        <w:tc>
          <w:tcPr>
            <w:tcW w:w="821" w:type="dxa"/>
            <w:tcBorders>
              <w:top w:val="nil"/>
              <w:left w:val="nil"/>
              <w:bottom w:val="single" w:sz="4" w:space="0" w:color="auto"/>
              <w:right w:val="nil"/>
            </w:tcBorders>
            <w:shd w:val="clear" w:color="auto" w:fill="auto"/>
            <w:noWrap/>
            <w:vAlign w:val="bottom"/>
            <w:hideMark/>
          </w:tcPr>
          <w:p w14:paraId="12A60AFD"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(10,415)</w:t>
            </w:r>
          </w:p>
        </w:tc>
        <w:tc>
          <w:tcPr>
            <w:tcW w:w="821" w:type="dxa"/>
            <w:tcBorders>
              <w:top w:val="nil"/>
              <w:left w:val="nil"/>
              <w:bottom w:val="single" w:sz="4" w:space="0" w:color="auto"/>
              <w:right w:val="nil"/>
            </w:tcBorders>
            <w:shd w:val="clear" w:color="000000" w:fill="FFFFFF"/>
            <w:noWrap/>
            <w:vAlign w:val="bottom"/>
            <w:hideMark/>
          </w:tcPr>
          <w:p w14:paraId="0700489B"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(10,389)</w:t>
            </w:r>
          </w:p>
        </w:tc>
        <w:tc>
          <w:tcPr>
            <w:tcW w:w="821" w:type="dxa"/>
            <w:tcBorders>
              <w:top w:val="nil"/>
              <w:left w:val="nil"/>
              <w:bottom w:val="single" w:sz="4" w:space="0" w:color="auto"/>
              <w:right w:val="nil"/>
            </w:tcBorders>
            <w:shd w:val="clear" w:color="000000" w:fill="FFFFFF"/>
            <w:noWrap/>
            <w:vAlign w:val="bottom"/>
            <w:hideMark/>
          </w:tcPr>
          <w:p w14:paraId="30EE1ABB"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(10,423)</w:t>
            </w:r>
          </w:p>
        </w:tc>
      </w:tr>
      <w:tr w:rsidR="003E6345" w:rsidRPr="003E6345" w14:paraId="2120D417" w14:textId="77777777" w:rsidTr="00FA0DB1">
        <w:trPr>
          <w:trHeight w:val="204"/>
        </w:trPr>
        <w:tc>
          <w:tcPr>
            <w:tcW w:w="3176" w:type="dxa"/>
            <w:tcBorders>
              <w:top w:val="nil"/>
              <w:left w:val="nil"/>
              <w:bottom w:val="single" w:sz="4" w:space="0" w:color="auto"/>
              <w:right w:val="nil"/>
            </w:tcBorders>
            <w:shd w:val="clear" w:color="auto" w:fill="auto"/>
            <w:vAlign w:val="bottom"/>
            <w:hideMark/>
          </w:tcPr>
          <w:p w14:paraId="4D697594" w14:textId="13FA8070" w:rsidR="003E6345" w:rsidRPr="003E6345" w:rsidRDefault="003E6345" w:rsidP="00FA0DB1">
            <w:pPr>
              <w:spacing w:after="0" w:line="240" w:lineRule="auto"/>
              <w:jc w:val="left"/>
              <w:rPr>
                <w:rFonts w:ascii="Arial" w:hAnsi="Arial" w:cs="Arial"/>
                <w:b/>
                <w:bCs/>
                <w:sz w:val="16"/>
                <w:szCs w:val="16"/>
              </w:rPr>
            </w:pPr>
            <w:r w:rsidRPr="003E6345">
              <w:rPr>
                <w:rFonts w:ascii="Arial" w:hAnsi="Arial" w:cs="Arial"/>
                <w:b/>
                <w:bCs/>
                <w:sz w:val="16"/>
                <w:szCs w:val="16"/>
              </w:rPr>
              <w:t>Total comprehensive income/(loss)</w:t>
            </w:r>
            <w:r w:rsidR="00FA0DB1">
              <w:rPr>
                <w:rFonts w:ascii="Arial" w:hAnsi="Arial" w:cs="Arial"/>
                <w:b/>
                <w:bCs/>
                <w:sz w:val="16"/>
                <w:szCs w:val="16"/>
              </w:rPr>
              <w:t xml:space="preserve"> </w:t>
            </w:r>
            <w:r w:rsidRPr="003E6345">
              <w:rPr>
                <w:rFonts w:ascii="Arial" w:hAnsi="Arial" w:cs="Arial"/>
                <w:b/>
                <w:bCs/>
                <w:sz w:val="16"/>
                <w:szCs w:val="16"/>
              </w:rPr>
              <w:t>attributable to the Australian</w:t>
            </w:r>
            <w:r w:rsidR="00FA0DB1">
              <w:rPr>
                <w:rFonts w:ascii="Arial" w:hAnsi="Arial" w:cs="Arial"/>
                <w:b/>
                <w:bCs/>
                <w:sz w:val="16"/>
                <w:szCs w:val="16"/>
              </w:rPr>
              <w:t xml:space="preserve"> </w:t>
            </w:r>
            <w:r w:rsidRPr="003E6345">
              <w:rPr>
                <w:rFonts w:ascii="Arial" w:hAnsi="Arial" w:cs="Arial"/>
                <w:b/>
                <w:bCs/>
                <w:sz w:val="16"/>
                <w:szCs w:val="16"/>
              </w:rPr>
              <w:t>Government</w:t>
            </w:r>
          </w:p>
        </w:tc>
        <w:tc>
          <w:tcPr>
            <w:tcW w:w="901" w:type="dxa"/>
            <w:tcBorders>
              <w:top w:val="nil"/>
              <w:left w:val="nil"/>
              <w:bottom w:val="single" w:sz="4" w:space="0" w:color="auto"/>
              <w:right w:val="nil"/>
            </w:tcBorders>
            <w:shd w:val="clear" w:color="auto" w:fill="auto"/>
            <w:noWrap/>
            <w:vAlign w:val="bottom"/>
            <w:hideMark/>
          </w:tcPr>
          <w:p w14:paraId="61D09E8F"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(172,177)</w:t>
            </w:r>
          </w:p>
        </w:tc>
        <w:tc>
          <w:tcPr>
            <w:tcW w:w="816" w:type="dxa"/>
            <w:tcBorders>
              <w:top w:val="nil"/>
              <w:left w:val="nil"/>
              <w:bottom w:val="single" w:sz="4" w:space="0" w:color="auto"/>
              <w:right w:val="nil"/>
            </w:tcBorders>
            <w:shd w:val="clear" w:color="000000" w:fill="E6E6E6"/>
            <w:noWrap/>
            <w:vAlign w:val="bottom"/>
            <w:hideMark/>
          </w:tcPr>
          <w:p w14:paraId="1B5FAE17"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(10,415)</w:t>
            </w:r>
          </w:p>
        </w:tc>
        <w:tc>
          <w:tcPr>
            <w:tcW w:w="821" w:type="dxa"/>
            <w:tcBorders>
              <w:top w:val="nil"/>
              <w:left w:val="nil"/>
              <w:bottom w:val="single" w:sz="4" w:space="0" w:color="auto"/>
              <w:right w:val="nil"/>
            </w:tcBorders>
            <w:shd w:val="clear" w:color="auto" w:fill="auto"/>
            <w:noWrap/>
            <w:vAlign w:val="bottom"/>
            <w:hideMark/>
          </w:tcPr>
          <w:p w14:paraId="40A66F8A"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(10,415)</w:t>
            </w:r>
          </w:p>
        </w:tc>
        <w:tc>
          <w:tcPr>
            <w:tcW w:w="821" w:type="dxa"/>
            <w:tcBorders>
              <w:top w:val="nil"/>
              <w:left w:val="nil"/>
              <w:bottom w:val="single" w:sz="4" w:space="0" w:color="auto"/>
              <w:right w:val="nil"/>
            </w:tcBorders>
            <w:shd w:val="clear" w:color="000000" w:fill="FFFFFF"/>
            <w:noWrap/>
            <w:vAlign w:val="bottom"/>
            <w:hideMark/>
          </w:tcPr>
          <w:p w14:paraId="4C11CA0A"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(10,389)</w:t>
            </w:r>
          </w:p>
        </w:tc>
        <w:tc>
          <w:tcPr>
            <w:tcW w:w="821" w:type="dxa"/>
            <w:tcBorders>
              <w:top w:val="nil"/>
              <w:left w:val="nil"/>
              <w:bottom w:val="single" w:sz="4" w:space="0" w:color="auto"/>
              <w:right w:val="nil"/>
            </w:tcBorders>
            <w:shd w:val="clear" w:color="000000" w:fill="FFFFFF"/>
            <w:noWrap/>
            <w:vAlign w:val="bottom"/>
            <w:hideMark/>
          </w:tcPr>
          <w:p w14:paraId="6180B15B" w14:textId="77777777" w:rsidR="003E6345" w:rsidRPr="003E6345" w:rsidRDefault="003E6345" w:rsidP="003E6345">
            <w:pPr>
              <w:spacing w:after="0" w:line="240" w:lineRule="auto"/>
              <w:jc w:val="right"/>
              <w:rPr>
                <w:rFonts w:ascii="Arial" w:hAnsi="Arial" w:cs="Arial"/>
                <w:b/>
                <w:bCs/>
                <w:sz w:val="16"/>
                <w:szCs w:val="16"/>
              </w:rPr>
            </w:pPr>
            <w:r w:rsidRPr="003E6345">
              <w:rPr>
                <w:rFonts w:ascii="Arial" w:hAnsi="Arial" w:cs="Arial"/>
                <w:b/>
                <w:bCs/>
                <w:sz w:val="16"/>
                <w:szCs w:val="16"/>
              </w:rPr>
              <w:t>(10,423)</w:t>
            </w:r>
          </w:p>
        </w:tc>
      </w:tr>
    </w:tbl>
    <w:p w14:paraId="7055E66D" w14:textId="77777777" w:rsidR="00DB0DF9" w:rsidRPr="00DB0DF9" w:rsidRDefault="00DB0DF9" w:rsidP="00DB0DF9">
      <w:pPr>
        <w:pStyle w:val="TableHeadingNoTable"/>
        <w:pBdr>
          <w:bottom w:val="single" w:sz="4" w:space="1" w:color="auto"/>
        </w:pBdr>
        <w:spacing w:after="0"/>
        <w:ind w:right="362"/>
        <w:rPr>
          <w:sz w:val="16"/>
          <w:szCs w:val="16"/>
        </w:rPr>
      </w:pPr>
      <w:r w:rsidRPr="00DB0DF9">
        <w:rPr>
          <w:sz w:val="16"/>
          <w:szCs w:val="16"/>
        </w:rPr>
        <w:t>Note: Impact of net cash appropriation arrangements</w:t>
      </w:r>
    </w:p>
    <w:tbl>
      <w:tblPr>
        <w:tblW w:w="7359" w:type="dxa"/>
        <w:tblLook w:val="04A0" w:firstRow="1" w:lastRow="0" w:firstColumn="1" w:lastColumn="0" w:noHBand="0" w:noVBand="1"/>
      </w:tblPr>
      <w:tblGrid>
        <w:gridCol w:w="3178"/>
        <w:gridCol w:w="901"/>
        <w:gridCol w:w="820"/>
        <w:gridCol w:w="820"/>
        <w:gridCol w:w="820"/>
        <w:gridCol w:w="820"/>
      </w:tblGrid>
      <w:tr w:rsidR="00DB0DF9" w:rsidRPr="003E6345" w14:paraId="7732ABD4" w14:textId="77777777" w:rsidTr="00DB0DF9">
        <w:trPr>
          <w:trHeight w:val="204"/>
        </w:trPr>
        <w:tc>
          <w:tcPr>
            <w:tcW w:w="3178" w:type="dxa"/>
            <w:tcBorders>
              <w:left w:val="nil"/>
            </w:tcBorders>
            <w:shd w:val="clear" w:color="auto" w:fill="auto"/>
            <w:vAlign w:val="center"/>
            <w:hideMark/>
          </w:tcPr>
          <w:p w14:paraId="45FA47E9" w14:textId="77777777" w:rsidR="00DB0DF9" w:rsidRPr="003E6345" w:rsidRDefault="00DB0DF9" w:rsidP="0036693C">
            <w:pPr>
              <w:spacing w:after="0" w:line="240" w:lineRule="auto"/>
              <w:jc w:val="left"/>
              <w:rPr>
                <w:rFonts w:ascii="Arial" w:hAnsi="Arial" w:cs="Arial"/>
                <w:b/>
                <w:bCs/>
                <w:color w:val="000000"/>
                <w:sz w:val="16"/>
                <w:szCs w:val="16"/>
              </w:rPr>
            </w:pPr>
            <w:r w:rsidRPr="003E6345">
              <w:rPr>
                <w:rFonts w:ascii="Arial" w:hAnsi="Arial" w:cs="Arial"/>
                <w:b/>
                <w:bCs/>
                <w:color w:val="000000"/>
                <w:sz w:val="16"/>
                <w:szCs w:val="16"/>
              </w:rPr>
              <w:t>Total comprehensive income/(loss)</w:t>
            </w:r>
            <w:r>
              <w:rPr>
                <w:rFonts w:ascii="Arial" w:hAnsi="Arial" w:cs="Arial"/>
                <w:b/>
                <w:bCs/>
                <w:color w:val="000000"/>
                <w:sz w:val="16"/>
                <w:szCs w:val="16"/>
              </w:rPr>
              <w:t xml:space="preserve"> </w:t>
            </w:r>
            <w:r w:rsidRPr="003E6345">
              <w:rPr>
                <w:rFonts w:ascii="Arial" w:hAnsi="Arial" w:cs="Arial"/>
                <w:b/>
                <w:bCs/>
                <w:color w:val="000000"/>
                <w:sz w:val="16"/>
                <w:szCs w:val="16"/>
              </w:rPr>
              <w:t>- as per the Statement of</w:t>
            </w:r>
            <w:r>
              <w:rPr>
                <w:rFonts w:ascii="Arial" w:hAnsi="Arial" w:cs="Arial"/>
                <w:b/>
                <w:bCs/>
                <w:color w:val="000000"/>
                <w:sz w:val="16"/>
                <w:szCs w:val="16"/>
              </w:rPr>
              <w:t xml:space="preserve"> </w:t>
            </w:r>
            <w:r w:rsidRPr="003E6345">
              <w:rPr>
                <w:rFonts w:ascii="Arial" w:hAnsi="Arial" w:cs="Arial"/>
                <w:b/>
                <w:bCs/>
                <w:color w:val="000000"/>
                <w:sz w:val="16"/>
                <w:szCs w:val="16"/>
              </w:rPr>
              <w:t>comprehensive income</w:t>
            </w:r>
          </w:p>
        </w:tc>
        <w:tc>
          <w:tcPr>
            <w:tcW w:w="901" w:type="dxa"/>
            <w:shd w:val="clear" w:color="auto" w:fill="auto"/>
            <w:vAlign w:val="bottom"/>
            <w:hideMark/>
          </w:tcPr>
          <w:p w14:paraId="2DA59B79" w14:textId="77777777" w:rsidR="00DB0DF9" w:rsidRPr="003E6345" w:rsidRDefault="00DB0DF9" w:rsidP="0036693C">
            <w:pPr>
              <w:spacing w:after="0" w:line="240" w:lineRule="auto"/>
              <w:jc w:val="right"/>
              <w:rPr>
                <w:rFonts w:ascii="Arial" w:hAnsi="Arial" w:cs="Arial"/>
                <w:b/>
                <w:bCs/>
                <w:sz w:val="16"/>
                <w:szCs w:val="16"/>
              </w:rPr>
            </w:pPr>
            <w:r w:rsidRPr="003E6345">
              <w:rPr>
                <w:rFonts w:ascii="Arial" w:hAnsi="Arial" w:cs="Arial"/>
                <w:b/>
                <w:bCs/>
                <w:sz w:val="16"/>
                <w:szCs w:val="16"/>
              </w:rPr>
              <w:t>(172,177)</w:t>
            </w:r>
          </w:p>
        </w:tc>
        <w:tc>
          <w:tcPr>
            <w:tcW w:w="820" w:type="dxa"/>
            <w:shd w:val="clear" w:color="000000" w:fill="E6E6E6"/>
            <w:vAlign w:val="bottom"/>
            <w:hideMark/>
          </w:tcPr>
          <w:p w14:paraId="454A4507" w14:textId="77777777" w:rsidR="00DB0DF9" w:rsidRPr="003E6345" w:rsidRDefault="00DB0DF9" w:rsidP="0036693C">
            <w:pPr>
              <w:spacing w:after="0" w:line="240" w:lineRule="auto"/>
              <w:jc w:val="right"/>
              <w:rPr>
                <w:rFonts w:ascii="Arial" w:hAnsi="Arial" w:cs="Arial"/>
                <w:b/>
                <w:bCs/>
                <w:sz w:val="16"/>
                <w:szCs w:val="16"/>
              </w:rPr>
            </w:pPr>
            <w:r w:rsidRPr="003E6345">
              <w:rPr>
                <w:rFonts w:ascii="Arial" w:hAnsi="Arial" w:cs="Arial"/>
                <w:b/>
                <w:bCs/>
                <w:sz w:val="16"/>
                <w:szCs w:val="16"/>
              </w:rPr>
              <w:t>(10,415)</w:t>
            </w:r>
          </w:p>
        </w:tc>
        <w:tc>
          <w:tcPr>
            <w:tcW w:w="820" w:type="dxa"/>
            <w:shd w:val="clear" w:color="auto" w:fill="auto"/>
            <w:vAlign w:val="bottom"/>
            <w:hideMark/>
          </w:tcPr>
          <w:p w14:paraId="4D46EFBD" w14:textId="77777777" w:rsidR="00DB0DF9" w:rsidRPr="003E6345" w:rsidRDefault="00DB0DF9" w:rsidP="0036693C">
            <w:pPr>
              <w:spacing w:after="0" w:line="240" w:lineRule="auto"/>
              <w:jc w:val="right"/>
              <w:rPr>
                <w:rFonts w:ascii="Arial" w:hAnsi="Arial" w:cs="Arial"/>
                <w:b/>
                <w:bCs/>
                <w:sz w:val="16"/>
                <w:szCs w:val="16"/>
              </w:rPr>
            </w:pPr>
            <w:r w:rsidRPr="003E6345">
              <w:rPr>
                <w:rFonts w:ascii="Arial" w:hAnsi="Arial" w:cs="Arial"/>
                <w:b/>
                <w:bCs/>
                <w:sz w:val="16"/>
                <w:szCs w:val="16"/>
              </w:rPr>
              <w:t>(10,415)</w:t>
            </w:r>
          </w:p>
        </w:tc>
        <w:tc>
          <w:tcPr>
            <w:tcW w:w="820" w:type="dxa"/>
            <w:shd w:val="clear" w:color="000000" w:fill="FFFFFF"/>
            <w:vAlign w:val="bottom"/>
            <w:hideMark/>
          </w:tcPr>
          <w:p w14:paraId="35680977" w14:textId="77777777" w:rsidR="00DB0DF9" w:rsidRPr="003E6345" w:rsidRDefault="00DB0DF9" w:rsidP="0036693C">
            <w:pPr>
              <w:spacing w:after="0" w:line="240" w:lineRule="auto"/>
              <w:jc w:val="right"/>
              <w:rPr>
                <w:rFonts w:ascii="Arial" w:hAnsi="Arial" w:cs="Arial"/>
                <w:b/>
                <w:bCs/>
                <w:sz w:val="16"/>
                <w:szCs w:val="16"/>
              </w:rPr>
            </w:pPr>
            <w:r w:rsidRPr="003E6345">
              <w:rPr>
                <w:rFonts w:ascii="Arial" w:hAnsi="Arial" w:cs="Arial"/>
                <w:b/>
                <w:bCs/>
                <w:sz w:val="16"/>
                <w:szCs w:val="16"/>
              </w:rPr>
              <w:t>(10,389)</w:t>
            </w:r>
          </w:p>
        </w:tc>
        <w:tc>
          <w:tcPr>
            <w:tcW w:w="820" w:type="dxa"/>
            <w:shd w:val="clear" w:color="000000" w:fill="FFFFFF"/>
            <w:vAlign w:val="bottom"/>
            <w:hideMark/>
          </w:tcPr>
          <w:p w14:paraId="733FF1F8" w14:textId="77777777" w:rsidR="00DB0DF9" w:rsidRPr="003E6345" w:rsidRDefault="00DB0DF9" w:rsidP="0036693C">
            <w:pPr>
              <w:spacing w:after="0" w:line="240" w:lineRule="auto"/>
              <w:jc w:val="right"/>
              <w:rPr>
                <w:rFonts w:ascii="Arial" w:hAnsi="Arial" w:cs="Arial"/>
                <w:b/>
                <w:bCs/>
                <w:sz w:val="16"/>
                <w:szCs w:val="16"/>
              </w:rPr>
            </w:pPr>
            <w:r w:rsidRPr="003E6345">
              <w:rPr>
                <w:rFonts w:ascii="Arial" w:hAnsi="Arial" w:cs="Arial"/>
                <w:b/>
                <w:bCs/>
                <w:sz w:val="16"/>
                <w:szCs w:val="16"/>
              </w:rPr>
              <w:t>(10,423)</w:t>
            </w:r>
          </w:p>
        </w:tc>
      </w:tr>
      <w:tr w:rsidR="00DB0DF9" w:rsidRPr="003E6345" w14:paraId="027BEBFE" w14:textId="77777777" w:rsidTr="00DB0DF9">
        <w:trPr>
          <w:trHeight w:val="204"/>
        </w:trPr>
        <w:tc>
          <w:tcPr>
            <w:tcW w:w="3178" w:type="dxa"/>
            <w:tcBorders>
              <w:top w:val="nil"/>
              <w:left w:val="nil"/>
              <w:bottom w:val="nil"/>
              <w:right w:val="nil"/>
            </w:tcBorders>
            <w:shd w:val="clear" w:color="auto" w:fill="auto"/>
            <w:hideMark/>
          </w:tcPr>
          <w:p w14:paraId="6DF6E437" w14:textId="23B26E4B" w:rsidR="00DB0DF9" w:rsidRPr="003E6345" w:rsidRDefault="00DB0DF9" w:rsidP="0036693C">
            <w:pPr>
              <w:spacing w:after="0" w:line="240" w:lineRule="auto"/>
              <w:ind w:left="113"/>
              <w:jc w:val="left"/>
              <w:rPr>
                <w:rFonts w:ascii="Arial" w:hAnsi="Arial" w:cs="Arial"/>
                <w:color w:val="000000"/>
                <w:sz w:val="16"/>
                <w:szCs w:val="16"/>
              </w:rPr>
            </w:pPr>
            <w:r>
              <w:rPr>
                <w:rFonts w:ascii="Arial" w:hAnsi="Arial" w:cs="Arial"/>
                <w:color w:val="000000"/>
                <w:sz w:val="16"/>
                <w:szCs w:val="16"/>
              </w:rPr>
              <w:t>plus</w:t>
            </w:r>
            <w:r w:rsidRPr="003E6345">
              <w:rPr>
                <w:rFonts w:ascii="Arial" w:hAnsi="Arial" w:cs="Arial"/>
                <w:color w:val="000000"/>
                <w:sz w:val="16"/>
                <w:szCs w:val="16"/>
              </w:rPr>
              <w:t>: Heritage and cultural depreciation/amortisation</w:t>
            </w:r>
            <w:r>
              <w:rPr>
                <w:rFonts w:ascii="Arial" w:hAnsi="Arial" w:cs="Arial"/>
                <w:color w:val="000000"/>
                <w:sz w:val="16"/>
                <w:szCs w:val="16"/>
              </w:rPr>
              <w:t xml:space="preserve"> </w:t>
            </w:r>
            <w:r w:rsidRPr="003E6345">
              <w:rPr>
                <w:rFonts w:ascii="Arial" w:hAnsi="Arial" w:cs="Arial"/>
                <w:color w:val="000000"/>
                <w:sz w:val="16"/>
                <w:szCs w:val="16"/>
              </w:rPr>
              <w:t>expenses previously funded through</w:t>
            </w:r>
            <w:r>
              <w:rPr>
                <w:rFonts w:ascii="Arial" w:hAnsi="Arial" w:cs="Arial"/>
                <w:color w:val="000000"/>
                <w:sz w:val="16"/>
                <w:szCs w:val="16"/>
              </w:rPr>
              <w:t xml:space="preserve"> </w:t>
            </w:r>
            <w:r w:rsidRPr="003E6345">
              <w:rPr>
                <w:rFonts w:ascii="Arial" w:hAnsi="Arial" w:cs="Arial"/>
                <w:color w:val="000000"/>
                <w:sz w:val="16"/>
                <w:szCs w:val="16"/>
              </w:rPr>
              <w:t xml:space="preserve">revenue appropriations </w:t>
            </w:r>
            <w:r w:rsidRPr="00857FA3">
              <w:rPr>
                <w:rFonts w:ascii="Arial" w:hAnsi="Arial" w:cs="Arial"/>
                <w:color w:val="000000"/>
                <w:sz w:val="16"/>
                <w:szCs w:val="16"/>
                <w:vertAlign w:val="superscript"/>
              </w:rPr>
              <w:t>(a)</w:t>
            </w:r>
          </w:p>
        </w:tc>
        <w:tc>
          <w:tcPr>
            <w:tcW w:w="901" w:type="dxa"/>
            <w:tcBorders>
              <w:left w:val="nil"/>
              <w:bottom w:val="nil"/>
              <w:right w:val="nil"/>
            </w:tcBorders>
            <w:shd w:val="clear" w:color="auto" w:fill="auto"/>
            <w:noWrap/>
            <w:vAlign w:val="bottom"/>
            <w:hideMark/>
          </w:tcPr>
          <w:p w14:paraId="339E0A17" w14:textId="77777777" w:rsidR="00DB0DF9" w:rsidRPr="003E6345" w:rsidRDefault="00DB0DF9" w:rsidP="0036693C">
            <w:pPr>
              <w:spacing w:after="0" w:line="240" w:lineRule="auto"/>
              <w:jc w:val="right"/>
              <w:rPr>
                <w:rFonts w:ascii="Arial" w:hAnsi="Arial" w:cs="Arial"/>
                <w:sz w:val="16"/>
                <w:szCs w:val="16"/>
              </w:rPr>
            </w:pPr>
            <w:r w:rsidRPr="003E6345">
              <w:rPr>
                <w:rFonts w:ascii="Arial" w:hAnsi="Arial" w:cs="Arial"/>
                <w:sz w:val="16"/>
                <w:szCs w:val="16"/>
              </w:rPr>
              <w:t>9,090</w:t>
            </w:r>
          </w:p>
        </w:tc>
        <w:tc>
          <w:tcPr>
            <w:tcW w:w="820" w:type="dxa"/>
            <w:tcBorders>
              <w:left w:val="nil"/>
              <w:bottom w:val="nil"/>
              <w:right w:val="nil"/>
            </w:tcBorders>
            <w:shd w:val="clear" w:color="000000" w:fill="E6E6E6"/>
            <w:noWrap/>
            <w:vAlign w:val="bottom"/>
            <w:hideMark/>
          </w:tcPr>
          <w:p w14:paraId="50F5F4CA" w14:textId="77777777" w:rsidR="00DB0DF9" w:rsidRPr="003E6345" w:rsidRDefault="00DB0DF9" w:rsidP="0036693C">
            <w:pPr>
              <w:spacing w:after="0" w:line="240" w:lineRule="auto"/>
              <w:jc w:val="right"/>
              <w:rPr>
                <w:rFonts w:ascii="Arial" w:hAnsi="Arial" w:cs="Arial"/>
                <w:bCs/>
                <w:sz w:val="16"/>
                <w:szCs w:val="16"/>
              </w:rPr>
            </w:pPr>
            <w:r w:rsidRPr="003E6345">
              <w:rPr>
                <w:rFonts w:ascii="Arial" w:hAnsi="Arial" w:cs="Arial"/>
                <w:bCs/>
                <w:sz w:val="16"/>
                <w:szCs w:val="16"/>
              </w:rPr>
              <w:t>10,400</w:t>
            </w:r>
          </w:p>
        </w:tc>
        <w:tc>
          <w:tcPr>
            <w:tcW w:w="820" w:type="dxa"/>
            <w:tcBorders>
              <w:left w:val="nil"/>
              <w:bottom w:val="nil"/>
              <w:right w:val="nil"/>
            </w:tcBorders>
            <w:shd w:val="clear" w:color="auto" w:fill="auto"/>
            <w:noWrap/>
            <w:vAlign w:val="bottom"/>
            <w:hideMark/>
          </w:tcPr>
          <w:p w14:paraId="06BCBA76" w14:textId="77777777" w:rsidR="00DB0DF9" w:rsidRPr="003E6345" w:rsidRDefault="00DB0DF9" w:rsidP="0036693C">
            <w:pPr>
              <w:spacing w:after="0" w:line="240" w:lineRule="auto"/>
              <w:jc w:val="right"/>
              <w:rPr>
                <w:rFonts w:ascii="Arial" w:hAnsi="Arial" w:cs="Arial"/>
                <w:sz w:val="16"/>
                <w:szCs w:val="16"/>
              </w:rPr>
            </w:pPr>
            <w:r w:rsidRPr="003E6345">
              <w:rPr>
                <w:rFonts w:ascii="Arial" w:hAnsi="Arial" w:cs="Arial"/>
                <w:sz w:val="16"/>
                <w:szCs w:val="16"/>
              </w:rPr>
              <w:t>10,400</w:t>
            </w:r>
          </w:p>
        </w:tc>
        <w:tc>
          <w:tcPr>
            <w:tcW w:w="820" w:type="dxa"/>
            <w:tcBorders>
              <w:left w:val="nil"/>
              <w:bottom w:val="nil"/>
              <w:right w:val="nil"/>
            </w:tcBorders>
            <w:shd w:val="clear" w:color="auto" w:fill="auto"/>
            <w:noWrap/>
            <w:vAlign w:val="bottom"/>
            <w:hideMark/>
          </w:tcPr>
          <w:p w14:paraId="1149E283" w14:textId="77777777" w:rsidR="00DB0DF9" w:rsidRPr="003E6345" w:rsidRDefault="00DB0DF9" w:rsidP="0036693C">
            <w:pPr>
              <w:spacing w:after="0" w:line="240" w:lineRule="auto"/>
              <w:jc w:val="right"/>
              <w:rPr>
                <w:rFonts w:ascii="Arial" w:hAnsi="Arial" w:cs="Arial"/>
                <w:sz w:val="16"/>
                <w:szCs w:val="16"/>
              </w:rPr>
            </w:pPr>
            <w:r w:rsidRPr="003E6345">
              <w:rPr>
                <w:rFonts w:ascii="Arial" w:hAnsi="Arial" w:cs="Arial"/>
                <w:sz w:val="16"/>
                <w:szCs w:val="16"/>
              </w:rPr>
              <w:t>10,400</w:t>
            </w:r>
          </w:p>
        </w:tc>
        <w:tc>
          <w:tcPr>
            <w:tcW w:w="820" w:type="dxa"/>
            <w:tcBorders>
              <w:left w:val="nil"/>
              <w:bottom w:val="nil"/>
              <w:right w:val="nil"/>
            </w:tcBorders>
            <w:shd w:val="clear" w:color="auto" w:fill="auto"/>
            <w:noWrap/>
            <w:vAlign w:val="bottom"/>
            <w:hideMark/>
          </w:tcPr>
          <w:p w14:paraId="5A83846B" w14:textId="77777777" w:rsidR="00DB0DF9" w:rsidRPr="003E6345" w:rsidRDefault="00DB0DF9" w:rsidP="0036693C">
            <w:pPr>
              <w:spacing w:after="0" w:line="240" w:lineRule="auto"/>
              <w:jc w:val="right"/>
              <w:rPr>
                <w:rFonts w:ascii="Arial" w:hAnsi="Arial" w:cs="Arial"/>
                <w:sz w:val="16"/>
                <w:szCs w:val="16"/>
              </w:rPr>
            </w:pPr>
            <w:r w:rsidRPr="003E6345">
              <w:rPr>
                <w:rFonts w:ascii="Arial" w:hAnsi="Arial" w:cs="Arial"/>
                <w:sz w:val="16"/>
                <w:szCs w:val="16"/>
              </w:rPr>
              <w:t>10,400</w:t>
            </w:r>
          </w:p>
        </w:tc>
      </w:tr>
      <w:tr w:rsidR="00DB0DF9" w:rsidRPr="003E6345" w14:paraId="7EA110C6" w14:textId="77777777" w:rsidTr="00DB0DF9">
        <w:trPr>
          <w:trHeight w:val="204"/>
        </w:trPr>
        <w:tc>
          <w:tcPr>
            <w:tcW w:w="3178" w:type="dxa"/>
            <w:tcBorders>
              <w:top w:val="nil"/>
              <w:left w:val="nil"/>
              <w:bottom w:val="nil"/>
              <w:right w:val="nil"/>
            </w:tcBorders>
            <w:shd w:val="clear" w:color="auto" w:fill="auto"/>
            <w:hideMark/>
          </w:tcPr>
          <w:p w14:paraId="6719310F" w14:textId="12552F9A" w:rsidR="00DB0DF9" w:rsidRPr="003E6345" w:rsidRDefault="00DB0DF9" w:rsidP="0036693C">
            <w:pPr>
              <w:spacing w:after="0" w:line="240" w:lineRule="auto"/>
              <w:ind w:left="113"/>
              <w:jc w:val="left"/>
              <w:rPr>
                <w:rFonts w:ascii="Arial" w:hAnsi="Arial" w:cs="Arial"/>
                <w:color w:val="000000"/>
                <w:sz w:val="16"/>
                <w:szCs w:val="16"/>
              </w:rPr>
            </w:pPr>
            <w:r>
              <w:rPr>
                <w:rFonts w:ascii="Arial" w:hAnsi="Arial" w:cs="Arial"/>
                <w:color w:val="000000"/>
                <w:sz w:val="16"/>
                <w:szCs w:val="16"/>
              </w:rPr>
              <w:t>plus</w:t>
            </w:r>
            <w:r w:rsidRPr="003E6345">
              <w:rPr>
                <w:rFonts w:ascii="Arial" w:hAnsi="Arial" w:cs="Arial"/>
                <w:color w:val="000000"/>
                <w:sz w:val="16"/>
                <w:szCs w:val="16"/>
              </w:rPr>
              <w:t xml:space="preserve">: Depreciation/amortisation expenses on ROU assets </w:t>
            </w:r>
            <w:r w:rsidRPr="00857FA3">
              <w:rPr>
                <w:rFonts w:ascii="Arial" w:hAnsi="Arial" w:cs="Arial"/>
                <w:color w:val="000000"/>
                <w:sz w:val="16"/>
                <w:szCs w:val="16"/>
                <w:vertAlign w:val="superscript"/>
              </w:rPr>
              <w:t>(b)</w:t>
            </w:r>
          </w:p>
        </w:tc>
        <w:tc>
          <w:tcPr>
            <w:tcW w:w="901" w:type="dxa"/>
            <w:tcBorders>
              <w:top w:val="nil"/>
              <w:left w:val="nil"/>
              <w:right w:val="nil"/>
            </w:tcBorders>
            <w:shd w:val="clear" w:color="auto" w:fill="auto"/>
            <w:noWrap/>
            <w:vAlign w:val="bottom"/>
            <w:hideMark/>
          </w:tcPr>
          <w:p w14:paraId="4C7BF8B9" w14:textId="77777777" w:rsidR="00DB0DF9" w:rsidRPr="003E6345" w:rsidRDefault="00DB0DF9" w:rsidP="0036693C">
            <w:pPr>
              <w:spacing w:after="0" w:line="240" w:lineRule="auto"/>
              <w:jc w:val="right"/>
              <w:rPr>
                <w:rFonts w:ascii="Arial" w:hAnsi="Arial" w:cs="Arial"/>
                <w:sz w:val="16"/>
                <w:szCs w:val="16"/>
              </w:rPr>
            </w:pPr>
            <w:r w:rsidRPr="003E6345">
              <w:rPr>
                <w:rFonts w:ascii="Arial" w:hAnsi="Arial" w:cs="Arial"/>
                <w:sz w:val="16"/>
                <w:szCs w:val="16"/>
              </w:rPr>
              <w:t>-</w:t>
            </w:r>
          </w:p>
        </w:tc>
        <w:tc>
          <w:tcPr>
            <w:tcW w:w="820" w:type="dxa"/>
            <w:tcBorders>
              <w:top w:val="nil"/>
              <w:left w:val="nil"/>
              <w:right w:val="nil"/>
            </w:tcBorders>
            <w:shd w:val="clear" w:color="000000" w:fill="E6E6E6"/>
            <w:noWrap/>
            <w:vAlign w:val="bottom"/>
            <w:hideMark/>
          </w:tcPr>
          <w:p w14:paraId="4B01ADBE" w14:textId="77777777" w:rsidR="00DB0DF9" w:rsidRPr="003E6345" w:rsidRDefault="00DB0DF9" w:rsidP="0036693C">
            <w:pPr>
              <w:spacing w:after="0" w:line="240" w:lineRule="auto"/>
              <w:jc w:val="right"/>
              <w:rPr>
                <w:rFonts w:ascii="Arial" w:hAnsi="Arial" w:cs="Arial"/>
                <w:bCs/>
                <w:sz w:val="16"/>
                <w:szCs w:val="16"/>
              </w:rPr>
            </w:pPr>
            <w:r w:rsidRPr="003E6345">
              <w:rPr>
                <w:rFonts w:ascii="Arial" w:hAnsi="Arial" w:cs="Arial"/>
                <w:bCs/>
                <w:sz w:val="16"/>
                <w:szCs w:val="16"/>
              </w:rPr>
              <w:t>879</w:t>
            </w:r>
          </w:p>
        </w:tc>
        <w:tc>
          <w:tcPr>
            <w:tcW w:w="820" w:type="dxa"/>
            <w:tcBorders>
              <w:top w:val="nil"/>
              <w:left w:val="nil"/>
              <w:right w:val="nil"/>
            </w:tcBorders>
            <w:shd w:val="clear" w:color="auto" w:fill="auto"/>
            <w:noWrap/>
            <w:vAlign w:val="bottom"/>
            <w:hideMark/>
          </w:tcPr>
          <w:p w14:paraId="1A733861" w14:textId="77777777" w:rsidR="00DB0DF9" w:rsidRPr="003E6345" w:rsidRDefault="00DB0DF9" w:rsidP="0036693C">
            <w:pPr>
              <w:spacing w:after="0" w:line="240" w:lineRule="auto"/>
              <w:jc w:val="right"/>
              <w:rPr>
                <w:rFonts w:ascii="Arial" w:hAnsi="Arial" w:cs="Arial"/>
                <w:sz w:val="16"/>
                <w:szCs w:val="16"/>
              </w:rPr>
            </w:pPr>
            <w:r w:rsidRPr="003E6345">
              <w:rPr>
                <w:rFonts w:ascii="Arial" w:hAnsi="Arial" w:cs="Arial"/>
                <w:sz w:val="16"/>
                <w:szCs w:val="16"/>
              </w:rPr>
              <w:t>904</w:t>
            </w:r>
          </w:p>
        </w:tc>
        <w:tc>
          <w:tcPr>
            <w:tcW w:w="820" w:type="dxa"/>
            <w:tcBorders>
              <w:top w:val="nil"/>
              <w:left w:val="nil"/>
              <w:right w:val="nil"/>
            </w:tcBorders>
            <w:shd w:val="clear" w:color="auto" w:fill="auto"/>
            <w:noWrap/>
            <w:vAlign w:val="bottom"/>
            <w:hideMark/>
          </w:tcPr>
          <w:p w14:paraId="5146995C" w14:textId="77777777" w:rsidR="00DB0DF9" w:rsidRPr="003E6345" w:rsidRDefault="00DB0DF9" w:rsidP="0036693C">
            <w:pPr>
              <w:spacing w:after="0" w:line="240" w:lineRule="auto"/>
              <w:jc w:val="right"/>
              <w:rPr>
                <w:rFonts w:ascii="Arial" w:hAnsi="Arial" w:cs="Arial"/>
                <w:sz w:val="16"/>
                <w:szCs w:val="16"/>
              </w:rPr>
            </w:pPr>
            <w:r w:rsidRPr="003E6345">
              <w:rPr>
                <w:rFonts w:ascii="Arial" w:hAnsi="Arial" w:cs="Arial"/>
                <w:sz w:val="16"/>
                <w:szCs w:val="16"/>
              </w:rPr>
              <w:t>904</w:t>
            </w:r>
          </w:p>
        </w:tc>
        <w:tc>
          <w:tcPr>
            <w:tcW w:w="820" w:type="dxa"/>
            <w:tcBorders>
              <w:top w:val="nil"/>
              <w:left w:val="nil"/>
              <w:right w:val="nil"/>
            </w:tcBorders>
            <w:shd w:val="clear" w:color="auto" w:fill="auto"/>
            <w:noWrap/>
            <w:vAlign w:val="bottom"/>
            <w:hideMark/>
          </w:tcPr>
          <w:p w14:paraId="1C763A23" w14:textId="77777777" w:rsidR="00DB0DF9" w:rsidRPr="003E6345" w:rsidRDefault="00DB0DF9" w:rsidP="0036693C">
            <w:pPr>
              <w:spacing w:after="0" w:line="240" w:lineRule="auto"/>
              <w:jc w:val="right"/>
              <w:rPr>
                <w:rFonts w:ascii="Arial" w:hAnsi="Arial" w:cs="Arial"/>
                <w:sz w:val="16"/>
                <w:szCs w:val="16"/>
              </w:rPr>
            </w:pPr>
            <w:r w:rsidRPr="003E6345">
              <w:rPr>
                <w:rFonts w:ascii="Arial" w:hAnsi="Arial" w:cs="Arial"/>
                <w:sz w:val="16"/>
                <w:szCs w:val="16"/>
              </w:rPr>
              <w:t>1,039</w:t>
            </w:r>
          </w:p>
        </w:tc>
      </w:tr>
      <w:tr w:rsidR="00DB0DF9" w:rsidRPr="003E6345" w14:paraId="3206A552" w14:textId="77777777" w:rsidTr="00DB0DF9">
        <w:trPr>
          <w:trHeight w:val="204"/>
        </w:trPr>
        <w:tc>
          <w:tcPr>
            <w:tcW w:w="3178" w:type="dxa"/>
            <w:tcBorders>
              <w:top w:val="nil"/>
              <w:left w:val="nil"/>
              <w:right w:val="nil"/>
            </w:tcBorders>
            <w:shd w:val="clear" w:color="auto" w:fill="auto"/>
            <w:hideMark/>
          </w:tcPr>
          <w:p w14:paraId="040D87C0" w14:textId="3EE86E6A" w:rsidR="00DB0DF9" w:rsidRPr="003E6345" w:rsidRDefault="00DB0DF9" w:rsidP="0036693C">
            <w:pPr>
              <w:spacing w:after="0" w:line="240" w:lineRule="auto"/>
              <w:ind w:left="113"/>
              <w:jc w:val="left"/>
              <w:rPr>
                <w:rFonts w:ascii="Arial" w:hAnsi="Arial" w:cs="Arial"/>
                <w:color w:val="000000"/>
                <w:sz w:val="16"/>
                <w:szCs w:val="16"/>
              </w:rPr>
            </w:pPr>
            <w:r>
              <w:rPr>
                <w:rFonts w:ascii="Arial" w:hAnsi="Arial" w:cs="Arial"/>
                <w:color w:val="000000"/>
                <w:sz w:val="16"/>
                <w:szCs w:val="16"/>
              </w:rPr>
              <w:t>less</w:t>
            </w:r>
            <w:r w:rsidRPr="003E6345">
              <w:rPr>
                <w:rFonts w:ascii="Arial" w:hAnsi="Arial" w:cs="Arial"/>
                <w:color w:val="000000"/>
                <w:sz w:val="16"/>
                <w:szCs w:val="16"/>
              </w:rPr>
              <w:t xml:space="preserve">: Principal repayments on leased assets </w:t>
            </w:r>
            <w:r w:rsidRPr="00857FA3">
              <w:rPr>
                <w:rFonts w:ascii="Arial" w:hAnsi="Arial" w:cs="Arial"/>
                <w:color w:val="000000"/>
                <w:sz w:val="16"/>
                <w:szCs w:val="16"/>
                <w:vertAlign w:val="superscript"/>
              </w:rPr>
              <w:t>(b)</w:t>
            </w:r>
          </w:p>
        </w:tc>
        <w:tc>
          <w:tcPr>
            <w:tcW w:w="901" w:type="dxa"/>
            <w:tcBorders>
              <w:top w:val="nil"/>
              <w:left w:val="nil"/>
              <w:bottom w:val="single" w:sz="4" w:space="0" w:color="auto"/>
              <w:right w:val="nil"/>
            </w:tcBorders>
            <w:shd w:val="clear" w:color="auto" w:fill="auto"/>
            <w:noWrap/>
            <w:vAlign w:val="bottom"/>
            <w:hideMark/>
          </w:tcPr>
          <w:p w14:paraId="161D8221" w14:textId="1A36345E" w:rsidR="00DB0DF9" w:rsidRPr="003E6345" w:rsidRDefault="00510D48" w:rsidP="0036693C">
            <w:pPr>
              <w:spacing w:after="0" w:line="240" w:lineRule="auto"/>
              <w:jc w:val="right"/>
              <w:rPr>
                <w:rFonts w:ascii="Arial" w:hAnsi="Arial" w:cs="Arial"/>
                <w:sz w:val="16"/>
                <w:szCs w:val="16"/>
              </w:rPr>
            </w:pPr>
            <w:r>
              <w:rPr>
                <w:rFonts w:ascii="Arial" w:hAnsi="Arial" w:cs="Arial"/>
                <w:sz w:val="16"/>
                <w:szCs w:val="16"/>
              </w:rPr>
              <w:t>(</w:t>
            </w:r>
            <w:r w:rsidR="00DB0DF9" w:rsidRPr="003E6345">
              <w:rPr>
                <w:rFonts w:ascii="Arial" w:hAnsi="Arial" w:cs="Arial"/>
                <w:sz w:val="16"/>
                <w:szCs w:val="16"/>
              </w:rPr>
              <w:t>907</w:t>
            </w:r>
            <w:r>
              <w:rPr>
                <w:rFonts w:ascii="Arial" w:hAnsi="Arial" w:cs="Arial"/>
                <w:sz w:val="16"/>
                <w:szCs w:val="16"/>
              </w:rPr>
              <w:t>)</w:t>
            </w:r>
          </w:p>
        </w:tc>
        <w:tc>
          <w:tcPr>
            <w:tcW w:w="820" w:type="dxa"/>
            <w:tcBorders>
              <w:top w:val="nil"/>
              <w:left w:val="nil"/>
              <w:bottom w:val="single" w:sz="4" w:space="0" w:color="auto"/>
              <w:right w:val="nil"/>
            </w:tcBorders>
            <w:shd w:val="clear" w:color="000000" w:fill="E6E6E6"/>
            <w:noWrap/>
            <w:vAlign w:val="bottom"/>
            <w:hideMark/>
          </w:tcPr>
          <w:p w14:paraId="0515FA5E" w14:textId="1EB5F999" w:rsidR="00DB0DF9" w:rsidRPr="003E6345" w:rsidRDefault="00510D48" w:rsidP="00510D48">
            <w:pPr>
              <w:spacing w:after="0" w:line="240" w:lineRule="auto"/>
              <w:jc w:val="right"/>
              <w:rPr>
                <w:rFonts w:ascii="Arial" w:hAnsi="Arial" w:cs="Arial"/>
                <w:bCs/>
                <w:sz w:val="16"/>
                <w:szCs w:val="16"/>
              </w:rPr>
            </w:pPr>
            <w:r>
              <w:rPr>
                <w:rFonts w:ascii="Arial" w:hAnsi="Arial" w:cs="Arial"/>
                <w:bCs/>
                <w:sz w:val="16"/>
                <w:szCs w:val="16"/>
              </w:rPr>
              <w:t>(</w:t>
            </w:r>
            <w:r w:rsidR="00DB0DF9" w:rsidRPr="003E6345">
              <w:rPr>
                <w:rFonts w:ascii="Arial" w:hAnsi="Arial" w:cs="Arial"/>
                <w:bCs/>
                <w:sz w:val="16"/>
                <w:szCs w:val="16"/>
              </w:rPr>
              <w:t>864</w:t>
            </w:r>
            <w:r>
              <w:rPr>
                <w:rFonts w:ascii="Arial" w:hAnsi="Arial" w:cs="Arial"/>
                <w:bCs/>
                <w:sz w:val="16"/>
                <w:szCs w:val="16"/>
              </w:rPr>
              <w:t>)</w:t>
            </w:r>
          </w:p>
        </w:tc>
        <w:tc>
          <w:tcPr>
            <w:tcW w:w="820" w:type="dxa"/>
            <w:tcBorders>
              <w:top w:val="nil"/>
              <w:left w:val="nil"/>
              <w:bottom w:val="single" w:sz="4" w:space="0" w:color="auto"/>
              <w:right w:val="nil"/>
            </w:tcBorders>
            <w:shd w:val="clear" w:color="auto" w:fill="auto"/>
            <w:noWrap/>
            <w:vAlign w:val="bottom"/>
            <w:hideMark/>
          </w:tcPr>
          <w:p w14:paraId="37329B7A" w14:textId="787BAC8E" w:rsidR="00DB0DF9" w:rsidRPr="003E6345" w:rsidRDefault="00510D48" w:rsidP="0036693C">
            <w:pPr>
              <w:spacing w:after="0" w:line="240" w:lineRule="auto"/>
              <w:jc w:val="right"/>
              <w:rPr>
                <w:rFonts w:ascii="Arial" w:hAnsi="Arial" w:cs="Arial"/>
                <w:sz w:val="16"/>
                <w:szCs w:val="16"/>
              </w:rPr>
            </w:pPr>
            <w:r>
              <w:rPr>
                <w:rFonts w:ascii="Arial" w:hAnsi="Arial" w:cs="Arial"/>
                <w:sz w:val="16"/>
                <w:szCs w:val="16"/>
              </w:rPr>
              <w:t>(</w:t>
            </w:r>
            <w:r w:rsidR="00DB0DF9" w:rsidRPr="003E6345">
              <w:rPr>
                <w:rFonts w:ascii="Arial" w:hAnsi="Arial" w:cs="Arial"/>
                <w:sz w:val="16"/>
                <w:szCs w:val="16"/>
              </w:rPr>
              <w:t>889</w:t>
            </w:r>
            <w:r>
              <w:rPr>
                <w:rFonts w:ascii="Arial" w:hAnsi="Arial" w:cs="Arial"/>
                <w:sz w:val="16"/>
                <w:szCs w:val="16"/>
              </w:rPr>
              <w:t>)</w:t>
            </w:r>
          </w:p>
        </w:tc>
        <w:tc>
          <w:tcPr>
            <w:tcW w:w="820" w:type="dxa"/>
            <w:tcBorders>
              <w:top w:val="nil"/>
              <w:left w:val="nil"/>
              <w:bottom w:val="single" w:sz="4" w:space="0" w:color="auto"/>
              <w:right w:val="nil"/>
            </w:tcBorders>
            <w:shd w:val="clear" w:color="000000" w:fill="FFFFFF"/>
            <w:noWrap/>
            <w:vAlign w:val="bottom"/>
            <w:hideMark/>
          </w:tcPr>
          <w:p w14:paraId="2B835B0F" w14:textId="48CFC32A" w:rsidR="00DB0DF9" w:rsidRPr="003E6345" w:rsidRDefault="00510D48" w:rsidP="0036693C">
            <w:pPr>
              <w:spacing w:after="0" w:line="240" w:lineRule="auto"/>
              <w:jc w:val="right"/>
              <w:rPr>
                <w:rFonts w:ascii="Arial" w:hAnsi="Arial" w:cs="Arial"/>
                <w:sz w:val="16"/>
                <w:szCs w:val="16"/>
              </w:rPr>
            </w:pPr>
            <w:r>
              <w:rPr>
                <w:rFonts w:ascii="Arial" w:hAnsi="Arial" w:cs="Arial"/>
                <w:sz w:val="16"/>
                <w:szCs w:val="16"/>
              </w:rPr>
              <w:t>(</w:t>
            </w:r>
            <w:r w:rsidR="00DB0DF9" w:rsidRPr="003E6345">
              <w:rPr>
                <w:rFonts w:ascii="Arial" w:hAnsi="Arial" w:cs="Arial"/>
                <w:sz w:val="16"/>
                <w:szCs w:val="16"/>
              </w:rPr>
              <w:t>915</w:t>
            </w:r>
            <w:r>
              <w:rPr>
                <w:rFonts w:ascii="Arial" w:hAnsi="Arial" w:cs="Arial"/>
                <w:sz w:val="16"/>
                <w:szCs w:val="16"/>
              </w:rPr>
              <w:t>)</w:t>
            </w:r>
          </w:p>
        </w:tc>
        <w:tc>
          <w:tcPr>
            <w:tcW w:w="820" w:type="dxa"/>
            <w:tcBorders>
              <w:top w:val="nil"/>
              <w:left w:val="nil"/>
              <w:bottom w:val="single" w:sz="4" w:space="0" w:color="auto"/>
              <w:right w:val="nil"/>
            </w:tcBorders>
            <w:shd w:val="clear" w:color="000000" w:fill="FFFFFF"/>
            <w:noWrap/>
            <w:vAlign w:val="bottom"/>
            <w:hideMark/>
          </w:tcPr>
          <w:p w14:paraId="694909B7" w14:textId="00FC3958" w:rsidR="00DB0DF9" w:rsidRPr="003E6345" w:rsidRDefault="00510D48" w:rsidP="0036693C">
            <w:pPr>
              <w:spacing w:after="0" w:line="240" w:lineRule="auto"/>
              <w:jc w:val="right"/>
              <w:rPr>
                <w:rFonts w:ascii="Arial" w:hAnsi="Arial" w:cs="Arial"/>
                <w:sz w:val="16"/>
                <w:szCs w:val="16"/>
              </w:rPr>
            </w:pPr>
            <w:r>
              <w:rPr>
                <w:rFonts w:ascii="Arial" w:hAnsi="Arial" w:cs="Arial"/>
                <w:sz w:val="16"/>
                <w:szCs w:val="16"/>
              </w:rPr>
              <w:t>(</w:t>
            </w:r>
            <w:r w:rsidR="00DB0DF9" w:rsidRPr="003E6345">
              <w:rPr>
                <w:rFonts w:ascii="Arial" w:hAnsi="Arial" w:cs="Arial"/>
                <w:sz w:val="16"/>
                <w:szCs w:val="16"/>
              </w:rPr>
              <w:t>1,016</w:t>
            </w:r>
            <w:r>
              <w:rPr>
                <w:rFonts w:ascii="Arial" w:hAnsi="Arial" w:cs="Arial"/>
                <w:sz w:val="16"/>
                <w:szCs w:val="16"/>
              </w:rPr>
              <w:t>)</w:t>
            </w:r>
          </w:p>
        </w:tc>
      </w:tr>
      <w:tr w:rsidR="00DB0DF9" w:rsidRPr="00377489" w14:paraId="06039DA8" w14:textId="77777777" w:rsidTr="00DB0DF9">
        <w:trPr>
          <w:trHeight w:val="204"/>
        </w:trPr>
        <w:tc>
          <w:tcPr>
            <w:tcW w:w="3178" w:type="dxa"/>
            <w:tcBorders>
              <w:top w:val="nil"/>
              <w:left w:val="nil"/>
              <w:bottom w:val="single" w:sz="4" w:space="0" w:color="auto"/>
              <w:right w:val="nil"/>
            </w:tcBorders>
            <w:shd w:val="clear" w:color="auto" w:fill="auto"/>
            <w:vAlign w:val="bottom"/>
            <w:hideMark/>
          </w:tcPr>
          <w:p w14:paraId="44010D96" w14:textId="77777777" w:rsidR="00DB0DF9" w:rsidRPr="00377489" w:rsidRDefault="00DB0DF9" w:rsidP="0036693C">
            <w:pPr>
              <w:spacing w:after="0"/>
              <w:jc w:val="left"/>
              <w:rPr>
                <w:rFonts w:ascii="Arial" w:hAnsi="Arial" w:cs="Arial"/>
                <w:b/>
                <w:bCs/>
                <w:sz w:val="16"/>
                <w:szCs w:val="16"/>
              </w:rPr>
            </w:pPr>
            <w:r w:rsidRPr="00377489">
              <w:rPr>
                <w:rFonts w:ascii="Arial" w:hAnsi="Arial" w:cs="Arial"/>
                <w:b/>
                <w:bCs/>
                <w:sz w:val="16"/>
                <w:szCs w:val="16"/>
              </w:rPr>
              <w:t>Net Cash Operating Surplus/ (Deficit)</w:t>
            </w:r>
          </w:p>
        </w:tc>
        <w:tc>
          <w:tcPr>
            <w:tcW w:w="901" w:type="dxa"/>
            <w:tcBorders>
              <w:top w:val="single" w:sz="4" w:space="0" w:color="auto"/>
              <w:left w:val="nil"/>
              <w:bottom w:val="single" w:sz="4" w:space="0" w:color="auto"/>
              <w:right w:val="nil"/>
            </w:tcBorders>
            <w:shd w:val="clear" w:color="auto" w:fill="auto"/>
            <w:noWrap/>
            <w:vAlign w:val="bottom"/>
            <w:hideMark/>
          </w:tcPr>
          <w:p w14:paraId="77730250" w14:textId="77777777" w:rsidR="00DB0DF9" w:rsidRPr="00377489" w:rsidRDefault="00DB0DF9" w:rsidP="0036693C">
            <w:pPr>
              <w:spacing w:after="0" w:line="240" w:lineRule="auto"/>
              <w:rPr>
                <w:rFonts w:ascii="Arial" w:hAnsi="Arial" w:cs="Arial"/>
                <w:b/>
                <w:bCs/>
                <w:sz w:val="16"/>
                <w:szCs w:val="16"/>
              </w:rPr>
            </w:pPr>
            <w:r w:rsidRPr="00377489">
              <w:rPr>
                <w:rFonts w:ascii="Arial" w:hAnsi="Arial" w:cs="Arial"/>
                <w:b/>
                <w:bCs/>
                <w:sz w:val="16"/>
                <w:szCs w:val="16"/>
              </w:rPr>
              <w:t>(163,994)</w:t>
            </w:r>
          </w:p>
        </w:tc>
        <w:tc>
          <w:tcPr>
            <w:tcW w:w="820" w:type="dxa"/>
            <w:tcBorders>
              <w:top w:val="single" w:sz="4" w:space="0" w:color="auto"/>
              <w:left w:val="nil"/>
              <w:bottom w:val="single" w:sz="4" w:space="0" w:color="auto"/>
              <w:right w:val="nil"/>
            </w:tcBorders>
            <w:shd w:val="clear" w:color="000000" w:fill="E6E6E6"/>
            <w:noWrap/>
            <w:vAlign w:val="bottom"/>
            <w:hideMark/>
          </w:tcPr>
          <w:p w14:paraId="122CBA91" w14:textId="77777777" w:rsidR="00DB0DF9" w:rsidRPr="00377489" w:rsidRDefault="00DB0DF9" w:rsidP="0036693C">
            <w:pPr>
              <w:spacing w:after="0" w:line="240" w:lineRule="auto"/>
              <w:jc w:val="right"/>
              <w:rPr>
                <w:rFonts w:ascii="Arial" w:hAnsi="Arial" w:cs="Arial"/>
                <w:b/>
                <w:bCs/>
                <w:sz w:val="16"/>
                <w:szCs w:val="16"/>
              </w:rPr>
            </w:pPr>
            <w:r w:rsidRPr="0037748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auto" w:fill="auto"/>
            <w:noWrap/>
            <w:vAlign w:val="bottom"/>
            <w:hideMark/>
          </w:tcPr>
          <w:p w14:paraId="58FDF7C2" w14:textId="77777777" w:rsidR="00DB0DF9" w:rsidRPr="00377489" w:rsidRDefault="00DB0DF9" w:rsidP="0036693C">
            <w:pPr>
              <w:spacing w:after="0" w:line="240" w:lineRule="auto"/>
              <w:jc w:val="right"/>
              <w:rPr>
                <w:rFonts w:ascii="Arial" w:hAnsi="Arial" w:cs="Arial"/>
                <w:b/>
                <w:bCs/>
                <w:sz w:val="16"/>
                <w:szCs w:val="16"/>
              </w:rPr>
            </w:pPr>
            <w:r w:rsidRPr="0037748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000000" w:fill="FFFFFF"/>
            <w:noWrap/>
            <w:vAlign w:val="bottom"/>
            <w:hideMark/>
          </w:tcPr>
          <w:p w14:paraId="2216B854" w14:textId="77777777" w:rsidR="00DB0DF9" w:rsidRPr="00377489" w:rsidRDefault="00DB0DF9" w:rsidP="0036693C">
            <w:pPr>
              <w:spacing w:after="0" w:line="240" w:lineRule="auto"/>
              <w:jc w:val="right"/>
              <w:rPr>
                <w:rFonts w:ascii="Arial" w:hAnsi="Arial" w:cs="Arial"/>
                <w:b/>
                <w:bCs/>
                <w:sz w:val="16"/>
                <w:szCs w:val="16"/>
              </w:rPr>
            </w:pPr>
            <w:r w:rsidRPr="00377489">
              <w:rPr>
                <w:rFonts w:ascii="Arial" w:hAnsi="Arial" w:cs="Arial"/>
                <w:b/>
                <w:bCs/>
                <w:sz w:val="16"/>
                <w:szCs w:val="16"/>
              </w:rPr>
              <w:t>-</w:t>
            </w:r>
          </w:p>
        </w:tc>
        <w:tc>
          <w:tcPr>
            <w:tcW w:w="820" w:type="dxa"/>
            <w:tcBorders>
              <w:top w:val="single" w:sz="4" w:space="0" w:color="auto"/>
              <w:left w:val="nil"/>
              <w:bottom w:val="single" w:sz="4" w:space="0" w:color="auto"/>
              <w:right w:val="nil"/>
            </w:tcBorders>
            <w:shd w:val="clear" w:color="000000" w:fill="FFFFFF"/>
            <w:noWrap/>
            <w:vAlign w:val="bottom"/>
            <w:hideMark/>
          </w:tcPr>
          <w:p w14:paraId="5CAA22BD" w14:textId="77777777" w:rsidR="00DB0DF9" w:rsidRPr="00377489" w:rsidRDefault="00DB0DF9" w:rsidP="0036693C">
            <w:pPr>
              <w:spacing w:after="0" w:line="240" w:lineRule="auto"/>
              <w:jc w:val="right"/>
              <w:rPr>
                <w:rFonts w:ascii="Arial" w:hAnsi="Arial" w:cs="Arial"/>
                <w:b/>
                <w:bCs/>
                <w:sz w:val="16"/>
                <w:szCs w:val="16"/>
              </w:rPr>
            </w:pPr>
            <w:r w:rsidRPr="00377489">
              <w:rPr>
                <w:rFonts w:ascii="Arial" w:hAnsi="Arial" w:cs="Arial"/>
                <w:b/>
                <w:bCs/>
                <w:sz w:val="16"/>
                <w:szCs w:val="16"/>
              </w:rPr>
              <w:t>-</w:t>
            </w:r>
          </w:p>
        </w:tc>
      </w:tr>
    </w:tbl>
    <w:p w14:paraId="53C3E636" w14:textId="77777777" w:rsidR="00DB0DF9" w:rsidRDefault="00DB0DF9" w:rsidP="00DB0DF9">
      <w:pPr>
        <w:pStyle w:val="Source"/>
        <w:spacing w:before="60"/>
        <w:jc w:val="left"/>
        <w:rPr>
          <w:rFonts w:cs="Arial"/>
        </w:rPr>
      </w:pPr>
      <w:r w:rsidRPr="009D54F3">
        <w:rPr>
          <w:rFonts w:cs="Arial"/>
        </w:rPr>
        <w:t>Prepared on Australian Accounting Standards basis.</w:t>
      </w:r>
    </w:p>
    <w:p w14:paraId="1D637797" w14:textId="77777777" w:rsidR="00DB0DF9" w:rsidRPr="001E420F" w:rsidRDefault="00DB0DF9" w:rsidP="00DB0DF9">
      <w:pPr>
        <w:pStyle w:val="ChartandTableFootnoteAlpha"/>
        <w:numPr>
          <w:ilvl w:val="0"/>
          <w:numId w:val="15"/>
        </w:numPr>
        <w:spacing w:after="0"/>
        <w:ind w:left="284" w:hanging="284"/>
        <w:jc w:val="left"/>
      </w:pPr>
      <w:r w:rsidRPr="00101880">
        <w:t>From 2009-10, the Government replaced Bill 1 revenue appropriations for the heritage and cultural depreciation expenses of designated Collection Institutions, with a separate capital budget (the Collection Development Acquisition Budget, or CDAB) provided through Bill 2 equity appropriations. For information regarding CDABs, please refer to Table 3.</w:t>
      </w:r>
      <w:r>
        <w:t>6</w:t>
      </w:r>
      <w:r w:rsidRPr="00101880">
        <w:t xml:space="preserve"> </w:t>
      </w:r>
      <w:r>
        <w:t>Department</w:t>
      </w:r>
      <w:r w:rsidRPr="00101880">
        <w:t>al Capital Budget Statement.</w:t>
      </w:r>
    </w:p>
    <w:p w14:paraId="0BEFAAC2" w14:textId="77777777" w:rsidR="00DB0DF9" w:rsidRPr="002A0F2E" w:rsidRDefault="00DB0DF9" w:rsidP="00DB0DF9">
      <w:pPr>
        <w:pStyle w:val="ChartandTableFootnoteAlpha"/>
        <w:numPr>
          <w:ilvl w:val="0"/>
          <w:numId w:val="15"/>
        </w:numPr>
        <w:tabs>
          <w:tab w:val="num" w:pos="284"/>
        </w:tabs>
        <w:spacing w:after="0"/>
        <w:ind w:left="284" w:hanging="284"/>
        <w:jc w:val="left"/>
      </w:pPr>
      <w:r w:rsidRPr="00D52088">
        <w:t>Applies leases under AASB 16 Leases.</w:t>
      </w:r>
    </w:p>
    <w:p w14:paraId="16C3FAC0" w14:textId="77777777" w:rsidR="00984C33" w:rsidRDefault="00984C33" w:rsidP="00984C33">
      <w:pPr>
        <w:pStyle w:val="Source"/>
        <w:rPr>
          <w:rFonts w:cs="Arial"/>
        </w:rPr>
      </w:pPr>
    </w:p>
    <w:p w14:paraId="16003295" w14:textId="31C41870" w:rsidR="00984C33" w:rsidRDefault="00984C33" w:rsidP="002D235E">
      <w:pPr>
        <w:pStyle w:val="TableHeading"/>
        <w:rPr>
          <w:color w:val="FF0000"/>
        </w:rPr>
      </w:pPr>
      <w:r>
        <w:br w:type="page"/>
      </w:r>
      <w:r w:rsidRPr="00E4582E">
        <w:lastRenderedPageBreak/>
        <w:t>Table</w:t>
      </w:r>
      <w:r>
        <w:t xml:space="preserve"> 3.</w:t>
      </w:r>
      <w:r>
        <w:rPr>
          <w:lang w:val="en-US"/>
        </w:rPr>
        <w:t>3</w:t>
      </w:r>
      <w:r w:rsidRPr="00E4582E">
        <w:t>: Budg</w:t>
      </w:r>
      <w:r>
        <w:t xml:space="preserve">eted </w:t>
      </w:r>
      <w:r w:rsidR="008863D9">
        <w:t>Department</w:t>
      </w:r>
      <w:r>
        <w:t xml:space="preserve">al balance sheet </w:t>
      </w:r>
      <w:r w:rsidRPr="00E4582E">
        <w:t>(as at 30 June)</w:t>
      </w:r>
      <w:r>
        <w:rPr>
          <w:sz w:val="16"/>
        </w:rPr>
        <w:t xml:space="preserve"> </w:t>
      </w:r>
    </w:p>
    <w:tbl>
      <w:tblPr>
        <w:tblW w:w="0" w:type="auto"/>
        <w:tblLayout w:type="fixed"/>
        <w:tblLook w:val="04A0" w:firstRow="1" w:lastRow="0" w:firstColumn="1" w:lastColumn="0" w:noHBand="0" w:noVBand="1"/>
      </w:tblPr>
      <w:tblGrid>
        <w:gridCol w:w="2694"/>
        <w:gridCol w:w="1000"/>
        <w:gridCol w:w="1000"/>
        <w:gridCol w:w="1000"/>
        <w:gridCol w:w="1000"/>
        <w:gridCol w:w="1000"/>
      </w:tblGrid>
      <w:tr w:rsidR="00984C33" w:rsidRPr="00AA6563" w14:paraId="40D1F330" w14:textId="77777777" w:rsidTr="007E1EA3">
        <w:trPr>
          <w:trHeight w:val="167"/>
        </w:trPr>
        <w:tc>
          <w:tcPr>
            <w:tcW w:w="2694" w:type="dxa"/>
            <w:tcBorders>
              <w:top w:val="single" w:sz="4" w:space="0" w:color="auto"/>
              <w:left w:val="nil"/>
              <w:bottom w:val="nil"/>
              <w:right w:val="nil"/>
            </w:tcBorders>
            <w:shd w:val="clear" w:color="auto" w:fill="auto"/>
            <w:noWrap/>
            <w:hideMark/>
          </w:tcPr>
          <w:p w14:paraId="20A1429E" w14:textId="77777777" w:rsidR="00984C33" w:rsidRPr="00AA6563" w:rsidRDefault="00984C33" w:rsidP="00984C33">
            <w:pPr>
              <w:spacing w:after="0" w:line="240" w:lineRule="auto"/>
              <w:jc w:val="left"/>
              <w:rPr>
                <w:rFonts w:ascii="Arial" w:hAnsi="Arial" w:cs="Arial"/>
                <w:b/>
                <w:bCs/>
                <w:sz w:val="16"/>
                <w:szCs w:val="16"/>
              </w:rPr>
            </w:pPr>
            <w:r w:rsidRPr="00AA6563">
              <w:rPr>
                <w:rFonts w:ascii="Arial" w:hAnsi="Arial" w:cs="Arial"/>
                <w:b/>
                <w:bCs/>
                <w:sz w:val="16"/>
                <w:szCs w:val="16"/>
              </w:rPr>
              <w:t> </w:t>
            </w:r>
          </w:p>
        </w:tc>
        <w:tc>
          <w:tcPr>
            <w:tcW w:w="1000" w:type="dxa"/>
            <w:tcBorders>
              <w:top w:val="single" w:sz="4" w:space="0" w:color="auto"/>
              <w:left w:val="nil"/>
              <w:bottom w:val="single" w:sz="4" w:space="0" w:color="auto"/>
              <w:right w:val="nil"/>
            </w:tcBorders>
            <w:shd w:val="clear" w:color="auto" w:fill="auto"/>
            <w:hideMark/>
          </w:tcPr>
          <w:p w14:paraId="65855B9F" w14:textId="77777777" w:rsidR="00984C33" w:rsidRPr="00AA6563" w:rsidRDefault="00984C33" w:rsidP="00984C33">
            <w:pPr>
              <w:spacing w:after="0" w:line="240" w:lineRule="auto"/>
              <w:jc w:val="right"/>
              <w:rPr>
                <w:rFonts w:ascii="Arial" w:hAnsi="Arial" w:cs="Arial"/>
                <w:sz w:val="16"/>
                <w:szCs w:val="16"/>
              </w:rPr>
            </w:pPr>
            <w:r w:rsidRPr="00AA6563">
              <w:rPr>
                <w:rFonts w:ascii="Arial" w:hAnsi="Arial" w:cs="Arial"/>
                <w:sz w:val="16"/>
                <w:szCs w:val="16"/>
              </w:rPr>
              <w:t>2020-21 Actual</w:t>
            </w:r>
            <w:r w:rsidRPr="00AA6563">
              <w:rPr>
                <w:rFonts w:ascii="Arial" w:hAnsi="Arial" w:cs="Arial"/>
                <w:sz w:val="16"/>
                <w:szCs w:val="16"/>
              </w:rPr>
              <w:br/>
            </w:r>
            <w:r w:rsidRPr="00AA6563">
              <w:rPr>
                <w:rFonts w:ascii="Arial" w:hAnsi="Arial" w:cs="Arial"/>
                <w:sz w:val="16"/>
                <w:szCs w:val="16"/>
              </w:rPr>
              <w:br/>
              <w:t>$'000</w:t>
            </w:r>
          </w:p>
        </w:tc>
        <w:tc>
          <w:tcPr>
            <w:tcW w:w="1000" w:type="dxa"/>
            <w:tcBorders>
              <w:top w:val="single" w:sz="4" w:space="0" w:color="auto"/>
              <w:left w:val="nil"/>
              <w:bottom w:val="single" w:sz="4" w:space="0" w:color="auto"/>
              <w:right w:val="nil"/>
            </w:tcBorders>
            <w:shd w:val="clear" w:color="000000" w:fill="E6E6E6"/>
            <w:hideMark/>
          </w:tcPr>
          <w:p w14:paraId="4818D3C1" w14:textId="77777777" w:rsidR="00984C33" w:rsidRPr="00AA6563" w:rsidRDefault="00984C33" w:rsidP="00984C33">
            <w:pPr>
              <w:spacing w:after="0" w:line="240" w:lineRule="auto"/>
              <w:jc w:val="right"/>
              <w:rPr>
                <w:rFonts w:ascii="Arial" w:hAnsi="Arial" w:cs="Arial"/>
                <w:sz w:val="16"/>
                <w:szCs w:val="16"/>
              </w:rPr>
            </w:pPr>
            <w:r w:rsidRPr="00AA6563">
              <w:rPr>
                <w:rFonts w:ascii="Arial" w:hAnsi="Arial" w:cs="Arial"/>
                <w:sz w:val="16"/>
                <w:szCs w:val="16"/>
              </w:rPr>
              <w:t>2021-22</w:t>
            </w:r>
            <w:r w:rsidRPr="00AA6563">
              <w:rPr>
                <w:rFonts w:ascii="Arial" w:hAnsi="Arial" w:cs="Arial"/>
                <w:sz w:val="16"/>
                <w:szCs w:val="16"/>
              </w:rPr>
              <w:br/>
              <w:t>Revised Budget</w:t>
            </w:r>
            <w:r w:rsidRPr="00AA6563">
              <w:rPr>
                <w:rFonts w:ascii="Arial" w:hAnsi="Arial" w:cs="Arial"/>
                <w:sz w:val="16"/>
                <w:szCs w:val="16"/>
              </w:rPr>
              <w:br/>
              <w:t>$'000</w:t>
            </w:r>
          </w:p>
        </w:tc>
        <w:tc>
          <w:tcPr>
            <w:tcW w:w="1000" w:type="dxa"/>
            <w:tcBorders>
              <w:top w:val="single" w:sz="4" w:space="0" w:color="auto"/>
              <w:left w:val="nil"/>
              <w:bottom w:val="single" w:sz="4" w:space="0" w:color="auto"/>
              <w:right w:val="nil"/>
            </w:tcBorders>
            <w:shd w:val="clear" w:color="auto" w:fill="auto"/>
            <w:hideMark/>
          </w:tcPr>
          <w:p w14:paraId="7B8069A7" w14:textId="77777777" w:rsidR="00984C33" w:rsidRPr="00AA6563" w:rsidRDefault="00984C33" w:rsidP="00984C33">
            <w:pPr>
              <w:spacing w:after="0" w:line="240" w:lineRule="auto"/>
              <w:jc w:val="right"/>
              <w:rPr>
                <w:rFonts w:ascii="Arial" w:hAnsi="Arial" w:cs="Arial"/>
                <w:sz w:val="16"/>
                <w:szCs w:val="16"/>
              </w:rPr>
            </w:pPr>
            <w:r w:rsidRPr="00AA6563">
              <w:rPr>
                <w:rFonts w:ascii="Arial" w:hAnsi="Arial" w:cs="Arial"/>
                <w:sz w:val="16"/>
                <w:szCs w:val="16"/>
              </w:rPr>
              <w:t>2022-23 Forward estimate</w:t>
            </w:r>
            <w:r w:rsidRPr="00AA6563">
              <w:rPr>
                <w:rFonts w:ascii="Arial" w:hAnsi="Arial" w:cs="Arial"/>
                <w:sz w:val="16"/>
                <w:szCs w:val="16"/>
              </w:rPr>
              <w:br/>
              <w:t>$'000</w:t>
            </w:r>
          </w:p>
        </w:tc>
        <w:tc>
          <w:tcPr>
            <w:tcW w:w="1000" w:type="dxa"/>
            <w:tcBorders>
              <w:top w:val="single" w:sz="4" w:space="0" w:color="auto"/>
              <w:left w:val="nil"/>
              <w:bottom w:val="single" w:sz="4" w:space="0" w:color="auto"/>
              <w:right w:val="nil"/>
            </w:tcBorders>
            <w:shd w:val="clear" w:color="auto" w:fill="auto"/>
            <w:hideMark/>
          </w:tcPr>
          <w:p w14:paraId="08622402" w14:textId="77777777" w:rsidR="00984C33" w:rsidRPr="00AA6563" w:rsidRDefault="00984C33" w:rsidP="00984C33">
            <w:pPr>
              <w:spacing w:after="0" w:line="240" w:lineRule="auto"/>
              <w:jc w:val="right"/>
              <w:rPr>
                <w:rFonts w:ascii="Arial" w:hAnsi="Arial" w:cs="Arial"/>
                <w:sz w:val="16"/>
                <w:szCs w:val="16"/>
              </w:rPr>
            </w:pPr>
            <w:r w:rsidRPr="00AA6563">
              <w:rPr>
                <w:rFonts w:ascii="Arial" w:hAnsi="Arial" w:cs="Arial"/>
                <w:sz w:val="16"/>
                <w:szCs w:val="16"/>
              </w:rPr>
              <w:t>2023-24 Forward estimate</w:t>
            </w:r>
            <w:r w:rsidRPr="00AA6563">
              <w:rPr>
                <w:rFonts w:ascii="Arial" w:hAnsi="Arial" w:cs="Arial"/>
                <w:sz w:val="16"/>
                <w:szCs w:val="16"/>
              </w:rPr>
              <w:br/>
              <w:t>$'000</w:t>
            </w:r>
          </w:p>
        </w:tc>
        <w:tc>
          <w:tcPr>
            <w:tcW w:w="1000" w:type="dxa"/>
            <w:tcBorders>
              <w:top w:val="single" w:sz="4" w:space="0" w:color="auto"/>
              <w:left w:val="nil"/>
              <w:bottom w:val="single" w:sz="4" w:space="0" w:color="auto"/>
              <w:right w:val="nil"/>
            </w:tcBorders>
            <w:shd w:val="clear" w:color="auto" w:fill="auto"/>
            <w:hideMark/>
          </w:tcPr>
          <w:p w14:paraId="380C096A" w14:textId="77777777" w:rsidR="00984C33" w:rsidRPr="00AA6563" w:rsidRDefault="00984C33" w:rsidP="00984C33">
            <w:pPr>
              <w:spacing w:after="0" w:line="240" w:lineRule="auto"/>
              <w:jc w:val="right"/>
              <w:rPr>
                <w:rFonts w:ascii="Arial" w:hAnsi="Arial" w:cs="Arial"/>
                <w:sz w:val="16"/>
                <w:szCs w:val="16"/>
              </w:rPr>
            </w:pPr>
            <w:r w:rsidRPr="00AA6563">
              <w:rPr>
                <w:rFonts w:ascii="Arial" w:hAnsi="Arial" w:cs="Arial"/>
                <w:sz w:val="16"/>
                <w:szCs w:val="16"/>
              </w:rPr>
              <w:t>2024-25</w:t>
            </w:r>
            <w:r w:rsidRPr="00AA6563">
              <w:rPr>
                <w:rFonts w:ascii="Arial" w:hAnsi="Arial" w:cs="Arial"/>
                <w:sz w:val="16"/>
                <w:szCs w:val="16"/>
              </w:rPr>
              <w:br/>
              <w:t>Forward estimate</w:t>
            </w:r>
            <w:r w:rsidRPr="00AA6563">
              <w:rPr>
                <w:rFonts w:ascii="Arial" w:hAnsi="Arial" w:cs="Arial"/>
                <w:sz w:val="16"/>
                <w:szCs w:val="16"/>
              </w:rPr>
              <w:br/>
              <w:t>$'000</w:t>
            </w:r>
          </w:p>
        </w:tc>
      </w:tr>
      <w:tr w:rsidR="003E6345" w:rsidRPr="00AA6563" w14:paraId="7C82163D" w14:textId="77777777" w:rsidTr="00F02A01">
        <w:trPr>
          <w:trHeight w:val="204"/>
        </w:trPr>
        <w:tc>
          <w:tcPr>
            <w:tcW w:w="2694" w:type="dxa"/>
            <w:tcBorders>
              <w:top w:val="nil"/>
              <w:left w:val="nil"/>
              <w:bottom w:val="nil"/>
              <w:right w:val="nil"/>
            </w:tcBorders>
            <w:shd w:val="clear" w:color="auto" w:fill="auto"/>
            <w:noWrap/>
            <w:vAlign w:val="center"/>
            <w:hideMark/>
          </w:tcPr>
          <w:p w14:paraId="516B3D72" w14:textId="6576342D" w:rsidR="003E6345" w:rsidRPr="00AA6563" w:rsidRDefault="003E6345" w:rsidP="003E6345">
            <w:pPr>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1000" w:type="dxa"/>
            <w:tcBorders>
              <w:top w:val="nil"/>
              <w:left w:val="nil"/>
              <w:bottom w:val="nil"/>
              <w:right w:val="nil"/>
            </w:tcBorders>
            <w:shd w:val="clear" w:color="auto" w:fill="auto"/>
            <w:noWrap/>
            <w:vAlign w:val="bottom"/>
            <w:hideMark/>
          </w:tcPr>
          <w:p w14:paraId="1A21236C" w14:textId="77777777" w:rsidR="003E6345" w:rsidRPr="00AA6563" w:rsidRDefault="003E6345" w:rsidP="00F058F8">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bottom"/>
            <w:hideMark/>
          </w:tcPr>
          <w:p w14:paraId="04589405" w14:textId="382C7D8C" w:rsidR="003E6345" w:rsidRPr="00AA6563"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5533369E" w14:textId="77777777" w:rsidR="003E6345" w:rsidRPr="00AA6563"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28C32B15" w14:textId="77777777" w:rsidR="003E6345" w:rsidRPr="00AA6563" w:rsidRDefault="003E6345" w:rsidP="00F058F8">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bottom"/>
            <w:hideMark/>
          </w:tcPr>
          <w:p w14:paraId="62589CBE" w14:textId="77777777" w:rsidR="003E6345" w:rsidRPr="00AA6563" w:rsidRDefault="003E6345" w:rsidP="00F058F8">
            <w:pPr>
              <w:spacing w:after="0" w:line="240" w:lineRule="auto"/>
              <w:jc w:val="right"/>
              <w:rPr>
                <w:rFonts w:ascii="Times New Roman" w:hAnsi="Times New Roman"/>
              </w:rPr>
            </w:pPr>
          </w:p>
        </w:tc>
      </w:tr>
      <w:tr w:rsidR="003E6345" w:rsidRPr="00AA6563" w14:paraId="14402EC4" w14:textId="77777777" w:rsidTr="00F02A01">
        <w:trPr>
          <w:trHeight w:val="204"/>
        </w:trPr>
        <w:tc>
          <w:tcPr>
            <w:tcW w:w="2694" w:type="dxa"/>
            <w:tcBorders>
              <w:top w:val="nil"/>
              <w:left w:val="nil"/>
              <w:bottom w:val="nil"/>
              <w:right w:val="nil"/>
            </w:tcBorders>
            <w:shd w:val="clear" w:color="auto" w:fill="auto"/>
            <w:noWrap/>
            <w:vAlign w:val="center"/>
            <w:hideMark/>
          </w:tcPr>
          <w:p w14:paraId="259C0D9C" w14:textId="76E29D1B" w:rsidR="003E6345" w:rsidRPr="00AA6563" w:rsidRDefault="003E6345" w:rsidP="003E6345">
            <w:pPr>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1000" w:type="dxa"/>
            <w:tcBorders>
              <w:top w:val="nil"/>
              <w:left w:val="nil"/>
              <w:bottom w:val="nil"/>
              <w:right w:val="nil"/>
            </w:tcBorders>
            <w:shd w:val="clear" w:color="auto" w:fill="auto"/>
            <w:noWrap/>
            <w:vAlign w:val="bottom"/>
            <w:hideMark/>
          </w:tcPr>
          <w:p w14:paraId="6EC2DF6D" w14:textId="77777777" w:rsidR="003E6345" w:rsidRPr="00AA6563" w:rsidRDefault="003E6345" w:rsidP="00F058F8">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bottom"/>
            <w:hideMark/>
          </w:tcPr>
          <w:p w14:paraId="45025CEC" w14:textId="1DD92A39" w:rsidR="003E6345" w:rsidRPr="00AA6563"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06B39B2F" w14:textId="77777777" w:rsidR="003E6345" w:rsidRPr="00AA6563"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33551E8F" w14:textId="77777777" w:rsidR="003E6345" w:rsidRPr="00AA6563" w:rsidRDefault="003E6345" w:rsidP="00F058F8">
            <w:pPr>
              <w:spacing w:after="0" w:line="240" w:lineRule="auto"/>
              <w:jc w:val="right"/>
              <w:rPr>
                <w:rFonts w:ascii="Times New Roman" w:hAnsi="Times New Roman"/>
              </w:rPr>
            </w:pPr>
          </w:p>
        </w:tc>
        <w:tc>
          <w:tcPr>
            <w:tcW w:w="1000" w:type="dxa"/>
            <w:tcBorders>
              <w:top w:val="nil"/>
              <w:left w:val="nil"/>
              <w:bottom w:val="nil"/>
              <w:right w:val="nil"/>
            </w:tcBorders>
            <w:shd w:val="clear" w:color="auto" w:fill="auto"/>
            <w:noWrap/>
            <w:vAlign w:val="bottom"/>
            <w:hideMark/>
          </w:tcPr>
          <w:p w14:paraId="63822E89" w14:textId="77777777" w:rsidR="003E6345" w:rsidRPr="00AA6563" w:rsidRDefault="003E6345" w:rsidP="00F058F8">
            <w:pPr>
              <w:spacing w:after="0" w:line="240" w:lineRule="auto"/>
              <w:jc w:val="right"/>
              <w:rPr>
                <w:rFonts w:ascii="Times New Roman" w:hAnsi="Times New Roman"/>
              </w:rPr>
            </w:pPr>
          </w:p>
        </w:tc>
      </w:tr>
      <w:tr w:rsidR="003E6345" w:rsidRPr="00AA6563" w14:paraId="3BA8A92E" w14:textId="77777777" w:rsidTr="00F02A01">
        <w:trPr>
          <w:trHeight w:val="204"/>
        </w:trPr>
        <w:tc>
          <w:tcPr>
            <w:tcW w:w="2694" w:type="dxa"/>
            <w:tcBorders>
              <w:top w:val="nil"/>
              <w:left w:val="nil"/>
              <w:bottom w:val="nil"/>
              <w:right w:val="nil"/>
            </w:tcBorders>
            <w:shd w:val="clear" w:color="auto" w:fill="auto"/>
            <w:noWrap/>
            <w:vAlign w:val="center"/>
            <w:hideMark/>
          </w:tcPr>
          <w:p w14:paraId="7D4EC561" w14:textId="6087E825" w:rsidR="003E6345" w:rsidRPr="00AA6563" w:rsidRDefault="003E6345" w:rsidP="003E6345">
            <w:pPr>
              <w:spacing w:after="0" w:line="240" w:lineRule="auto"/>
              <w:ind w:left="113"/>
              <w:jc w:val="left"/>
              <w:rPr>
                <w:rFonts w:ascii="Arial" w:hAnsi="Arial" w:cs="Arial"/>
                <w:color w:val="000000"/>
                <w:sz w:val="16"/>
                <w:szCs w:val="16"/>
              </w:rPr>
            </w:pPr>
            <w:r>
              <w:rPr>
                <w:rFonts w:ascii="Arial" w:hAnsi="Arial" w:cs="Arial"/>
                <w:color w:val="000000"/>
                <w:sz w:val="16"/>
                <w:szCs w:val="16"/>
              </w:rPr>
              <w:t xml:space="preserve">Cash </w:t>
            </w:r>
            <w:r>
              <w:rPr>
                <w:rFonts w:ascii="Arial" w:hAnsi="Arial" w:cs="Arial"/>
                <w:sz w:val="16"/>
                <w:szCs w:val="16"/>
              </w:rPr>
              <w:t>and cash equivalents</w:t>
            </w:r>
          </w:p>
        </w:tc>
        <w:tc>
          <w:tcPr>
            <w:tcW w:w="1000" w:type="dxa"/>
            <w:tcBorders>
              <w:top w:val="nil"/>
              <w:left w:val="nil"/>
              <w:bottom w:val="nil"/>
              <w:right w:val="nil"/>
            </w:tcBorders>
            <w:shd w:val="clear" w:color="auto" w:fill="auto"/>
            <w:noWrap/>
            <w:vAlign w:val="bottom"/>
            <w:hideMark/>
          </w:tcPr>
          <w:p w14:paraId="51F71293" w14:textId="649936A3"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8,605</w:t>
            </w:r>
          </w:p>
        </w:tc>
        <w:tc>
          <w:tcPr>
            <w:tcW w:w="1000" w:type="dxa"/>
            <w:tcBorders>
              <w:top w:val="nil"/>
              <w:left w:val="nil"/>
              <w:bottom w:val="nil"/>
              <w:right w:val="nil"/>
            </w:tcBorders>
            <w:shd w:val="clear" w:color="000000" w:fill="E6E6E6"/>
            <w:noWrap/>
            <w:vAlign w:val="bottom"/>
            <w:hideMark/>
          </w:tcPr>
          <w:p w14:paraId="0E906074" w14:textId="66217B2A"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8,541</w:t>
            </w:r>
          </w:p>
        </w:tc>
        <w:tc>
          <w:tcPr>
            <w:tcW w:w="1000" w:type="dxa"/>
            <w:tcBorders>
              <w:top w:val="nil"/>
              <w:left w:val="nil"/>
              <w:bottom w:val="nil"/>
              <w:right w:val="nil"/>
            </w:tcBorders>
            <w:shd w:val="clear" w:color="auto" w:fill="auto"/>
            <w:noWrap/>
            <w:vAlign w:val="bottom"/>
            <w:hideMark/>
          </w:tcPr>
          <w:p w14:paraId="53D10DD1" w14:textId="7AE297F8"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8,541</w:t>
            </w:r>
          </w:p>
        </w:tc>
        <w:tc>
          <w:tcPr>
            <w:tcW w:w="1000" w:type="dxa"/>
            <w:tcBorders>
              <w:top w:val="nil"/>
              <w:left w:val="nil"/>
              <w:bottom w:val="nil"/>
              <w:right w:val="nil"/>
            </w:tcBorders>
            <w:shd w:val="clear" w:color="auto" w:fill="auto"/>
            <w:noWrap/>
            <w:vAlign w:val="bottom"/>
            <w:hideMark/>
          </w:tcPr>
          <w:p w14:paraId="160BF64D" w14:textId="5A112776"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8,541</w:t>
            </w:r>
          </w:p>
        </w:tc>
        <w:tc>
          <w:tcPr>
            <w:tcW w:w="1000" w:type="dxa"/>
            <w:tcBorders>
              <w:top w:val="nil"/>
              <w:left w:val="nil"/>
              <w:bottom w:val="nil"/>
              <w:right w:val="nil"/>
            </w:tcBorders>
            <w:shd w:val="clear" w:color="auto" w:fill="auto"/>
            <w:noWrap/>
            <w:vAlign w:val="bottom"/>
            <w:hideMark/>
          </w:tcPr>
          <w:p w14:paraId="63F4A69C" w14:textId="7B8BEC10"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8,541</w:t>
            </w:r>
          </w:p>
        </w:tc>
      </w:tr>
      <w:tr w:rsidR="003E6345" w:rsidRPr="00AA6563" w14:paraId="425CB984" w14:textId="77777777" w:rsidTr="00F02A01">
        <w:trPr>
          <w:trHeight w:val="204"/>
        </w:trPr>
        <w:tc>
          <w:tcPr>
            <w:tcW w:w="2694" w:type="dxa"/>
            <w:tcBorders>
              <w:top w:val="nil"/>
              <w:left w:val="nil"/>
              <w:bottom w:val="nil"/>
              <w:right w:val="nil"/>
            </w:tcBorders>
            <w:shd w:val="clear" w:color="auto" w:fill="auto"/>
            <w:noWrap/>
            <w:vAlign w:val="center"/>
            <w:hideMark/>
          </w:tcPr>
          <w:p w14:paraId="506F22E0" w14:textId="1BB39BB0" w:rsidR="003E6345" w:rsidRPr="004C7540" w:rsidRDefault="003E6345" w:rsidP="003E6345">
            <w:pPr>
              <w:spacing w:after="0" w:line="240" w:lineRule="auto"/>
              <w:ind w:left="113"/>
              <w:jc w:val="left"/>
              <w:rPr>
                <w:rFonts w:ascii="Arial" w:hAnsi="Arial" w:cs="Arial"/>
                <w:color w:val="000000"/>
                <w:sz w:val="16"/>
                <w:szCs w:val="16"/>
              </w:rPr>
            </w:pPr>
            <w:r>
              <w:rPr>
                <w:rFonts w:ascii="Arial" w:hAnsi="Arial" w:cs="Arial"/>
                <w:sz w:val="16"/>
                <w:szCs w:val="16"/>
              </w:rPr>
              <w:t>Trade and other receivables</w:t>
            </w:r>
          </w:p>
        </w:tc>
        <w:tc>
          <w:tcPr>
            <w:tcW w:w="1000" w:type="dxa"/>
            <w:tcBorders>
              <w:top w:val="nil"/>
              <w:left w:val="nil"/>
              <w:bottom w:val="nil"/>
              <w:right w:val="nil"/>
            </w:tcBorders>
            <w:shd w:val="clear" w:color="auto" w:fill="auto"/>
            <w:noWrap/>
            <w:vAlign w:val="bottom"/>
            <w:hideMark/>
          </w:tcPr>
          <w:p w14:paraId="5299CB0F" w14:textId="446BE47B"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1,703</w:t>
            </w:r>
          </w:p>
        </w:tc>
        <w:tc>
          <w:tcPr>
            <w:tcW w:w="1000" w:type="dxa"/>
            <w:tcBorders>
              <w:top w:val="nil"/>
              <w:left w:val="nil"/>
              <w:bottom w:val="nil"/>
              <w:right w:val="nil"/>
            </w:tcBorders>
            <w:shd w:val="clear" w:color="000000" w:fill="E6E6E6"/>
            <w:noWrap/>
            <w:vAlign w:val="bottom"/>
            <w:hideMark/>
          </w:tcPr>
          <w:p w14:paraId="710FD690" w14:textId="15D376E1"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1,703</w:t>
            </w:r>
          </w:p>
        </w:tc>
        <w:tc>
          <w:tcPr>
            <w:tcW w:w="1000" w:type="dxa"/>
            <w:tcBorders>
              <w:top w:val="nil"/>
              <w:left w:val="nil"/>
              <w:bottom w:val="nil"/>
              <w:right w:val="nil"/>
            </w:tcBorders>
            <w:shd w:val="clear" w:color="auto" w:fill="auto"/>
            <w:noWrap/>
            <w:vAlign w:val="bottom"/>
            <w:hideMark/>
          </w:tcPr>
          <w:p w14:paraId="07A74388" w14:textId="2E4962FE"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1,703</w:t>
            </w:r>
          </w:p>
        </w:tc>
        <w:tc>
          <w:tcPr>
            <w:tcW w:w="1000" w:type="dxa"/>
            <w:tcBorders>
              <w:top w:val="nil"/>
              <w:left w:val="nil"/>
              <w:bottom w:val="nil"/>
              <w:right w:val="nil"/>
            </w:tcBorders>
            <w:shd w:val="clear" w:color="auto" w:fill="auto"/>
            <w:noWrap/>
            <w:vAlign w:val="bottom"/>
            <w:hideMark/>
          </w:tcPr>
          <w:p w14:paraId="36D67D91" w14:textId="2CC8AF48"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1,703</w:t>
            </w:r>
          </w:p>
        </w:tc>
        <w:tc>
          <w:tcPr>
            <w:tcW w:w="1000" w:type="dxa"/>
            <w:tcBorders>
              <w:top w:val="nil"/>
              <w:left w:val="nil"/>
              <w:bottom w:val="nil"/>
              <w:right w:val="nil"/>
            </w:tcBorders>
            <w:shd w:val="clear" w:color="auto" w:fill="auto"/>
            <w:noWrap/>
            <w:vAlign w:val="bottom"/>
            <w:hideMark/>
          </w:tcPr>
          <w:p w14:paraId="5D9BF040" w14:textId="53F71D67"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1,703</w:t>
            </w:r>
          </w:p>
        </w:tc>
      </w:tr>
      <w:tr w:rsidR="003E6345" w:rsidRPr="00AA6563" w14:paraId="38568998" w14:textId="77777777" w:rsidTr="00F02A01">
        <w:trPr>
          <w:trHeight w:val="204"/>
        </w:trPr>
        <w:tc>
          <w:tcPr>
            <w:tcW w:w="2694" w:type="dxa"/>
            <w:tcBorders>
              <w:top w:val="nil"/>
              <w:left w:val="nil"/>
              <w:bottom w:val="nil"/>
              <w:right w:val="nil"/>
            </w:tcBorders>
            <w:shd w:val="clear" w:color="auto" w:fill="auto"/>
            <w:noWrap/>
            <w:vAlign w:val="center"/>
            <w:hideMark/>
          </w:tcPr>
          <w:p w14:paraId="7A45D6DD" w14:textId="26321034" w:rsidR="003E6345" w:rsidRPr="00AA6563" w:rsidRDefault="003E6345" w:rsidP="003E6345">
            <w:pPr>
              <w:spacing w:after="0" w:line="240" w:lineRule="auto"/>
              <w:ind w:left="113"/>
              <w:jc w:val="left"/>
              <w:rPr>
                <w:rFonts w:ascii="Arial" w:hAnsi="Arial" w:cs="Arial"/>
                <w:color w:val="000000"/>
                <w:sz w:val="16"/>
                <w:szCs w:val="16"/>
              </w:rPr>
            </w:pPr>
            <w:r>
              <w:rPr>
                <w:rFonts w:ascii="Arial" w:hAnsi="Arial" w:cs="Arial"/>
                <w:color w:val="000000"/>
                <w:sz w:val="16"/>
                <w:szCs w:val="16"/>
              </w:rPr>
              <w:t>Other investments</w:t>
            </w:r>
          </w:p>
        </w:tc>
        <w:tc>
          <w:tcPr>
            <w:tcW w:w="1000" w:type="dxa"/>
            <w:tcBorders>
              <w:top w:val="nil"/>
              <w:left w:val="nil"/>
              <w:bottom w:val="nil"/>
              <w:right w:val="nil"/>
            </w:tcBorders>
            <w:shd w:val="clear" w:color="auto" w:fill="auto"/>
            <w:noWrap/>
            <w:vAlign w:val="bottom"/>
            <w:hideMark/>
          </w:tcPr>
          <w:p w14:paraId="6450DB49" w14:textId="639DCCEF"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69,201</w:t>
            </w:r>
          </w:p>
        </w:tc>
        <w:tc>
          <w:tcPr>
            <w:tcW w:w="1000" w:type="dxa"/>
            <w:tcBorders>
              <w:top w:val="nil"/>
              <w:left w:val="nil"/>
              <w:bottom w:val="nil"/>
              <w:right w:val="nil"/>
            </w:tcBorders>
            <w:shd w:val="clear" w:color="000000" w:fill="E6E6E6"/>
            <w:noWrap/>
            <w:vAlign w:val="bottom"/>
            <w:hideMark/>
          </w:tcPr>
          <w:p w14:paraId="0CF97B3B" w14:textId="21C4A015"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67,813</w:t>
            </w:r>
          </w:p>
        </w:tc>
        <w:tc>
          <w:tcPr>
            <w:tcW w:w="1000" w:type="dxa"/>
            <w:tcBorders>
              <w:top w:val="nil"/>
              <w:left w:val="nil"/>
              <w:bottom w:val="nil"/>
              <w:right w:val="nil"/>
            </w:tcBorders>
            <w:shd w:val="clear" w:color="auto" w:fill="auto"/>
            <w:noWrap/>
            <w:vAlign w:val="bottom"/>
            <w:hideMark/>
          </w:tcPr>
          <w:p w14:paraId="59F935A3" w14:textId="5CE854A9"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66,598</w:t>
            </w:r>
          </w:p>
        </w:tc>
        <w:tc>
          <w:tcPr>
            <w:tcW w:w="1000" w:type="dxa"/>
            <w:tcBorders>
              <w:top w:val="nil"/>
              <w:left w:val="nil"/>
              <w:bottom w:val="nil"/>
              <w:right w:val="nil"/>
            </w:tcBorders>
            <w:shd w:val="clear" w:color="auto" w:fill="auto"/>
            <w:noWrap/>
            <w:vAlign w:val="bottom"/>
            <w:hideMark/>
          </w:tcPr>
          <w:p w14:paraId="488B98B0" w14:textId="4ABEF20D"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65,640</w:t>
            </w:r>
          </w:p>
        </w:tc>
        <w:tc>
          <w:tcPr>
            <w:tcW w:w="1000" w:type="dxa"/>
            <w:tcBorders>
              <w:top w:val="nil"/>
              <w:left w:val="nil"/>
              <w:bottom w:val="nil"/>
              <w:right w:val="nil"/>
            </w:tcBorders>
            <w:shd w:val="clear" w:color="auto" w:fill="auto"/>
            <w:noWrap/>
            <w:vAlign w:val="bottom"/>
            <w:hideMark/>
          </w:tcPr>
          <w:p w14:paraId="2E6D760D" w14:textId="56F65447"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64,739</w:t>
            </w:r>
          </w:p>
        </w:tc>
      </w:tr>
      <w:tr w:rsidR="003E6345" w:rsidRPr="00AA6563" w14:paraId="135E3C6D" w14:textId="77777777" w:rsidTr="00F02A01">
        <w:trPr>
          <w:trHeight w:val="204"/>
        </w:trPr>
        <w:tc>
          <w:tcPr>
            <w:tcW w:w="2694" w:type="dxa"/>
            <w:tcBorders>
              <w:top w:val="nil"/>
              <w:left w:val="nil"/>
              <w:bottom w:val="nil"/>
              <w:right w:val="nil"/>
            </w:tcBorders>
            <w:shd w:val="clear" w:color="auto" w:fill="auto"/>
            <w:noWrap/>
            <w:vAlign w:val="center"/>
            <w:hideMark/>
          </w:tcPr>
          <w:p w14:paraId="6AE960E3" w14:textId="41A9D2DD" w:rsidR="003E6345" w:rsidRPr="00AA6563" w:rsidRDefault="003E6345" w:rsidP="003E6345">
            <w:pPr>
              <w:spacing w:after="0" w:line="240" w:lineRule="auto"/>
              <w:ind w:left="113"/>
              <w:jc w:val="left"/>
              <w:rPr>
                <w:rFonts w:ascii="Arial" w:hAnsi="Arial" w:cs="Arial"/>
                <w:color w:val="000000"/>
                <w:sz w:val="16"/>
                <w:szCs w:val="16"/>
              </w:rPr>
            </w:pPr>
            <w:r>
              <w:rPr>
                <w:rFonts w:ascii="Arial" w:hAnsi="Arial" w:cs="Arial"/>
                <w:color w:val="000000"/>
                <w:sz w:val="16"/>
                <w:szCs w:val="16"/>
              </w:rPr>
              <w:t>Other financial assets</w:t>
            </w:r>
          </w:p>
        </w:tc>
        <w:tc>
          <w:tcPr>
            <w:tcW w:w="1000" w:type="dxa"/>
            <w:tcBorders>
              <w:top w:val="nil"/>
              <w:left w:val="nil"/>
              <w:bottom w:val="nil"/>
              <w:right w:val="nil"/>
            </w:tcBorders>
            <w:shd w:val="clear" w:color="auto" w:fill="auto"/>
            <w:noWrap/>
            <w:vAlign w:val="bottom"/>
            <w:hideMark/>
          </w:tcPr>
          <w:p w14:paraId="1636C80C" w14:textId="6B19CA1A"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535</w:t>
            </w:r>
          </w:p>
        </w:tc>
        <w:tc>
          <w:tcPr>
            <w:tcW w:w="1000" w:type="dxa"/>
            <w:tcBorders>
              <w:top w:val="nil"/>
              <w:left w:val="nil"/>
              <w:bottom w:val="nil"/>
              <w:right w:val="nil"/>
            </w:tcBorders>
            <w:shd w:val="clear" w:color="000000" w:fill="E6E6E6"/>
            <w:noWrap/>
            <w:vAlign w:val="bottom"/>
            <w:hideMark/>
          </w:tcPr>
          <w:p w14:paraId="4EA53745" w14:textId="49D67AFB"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535</w:t>
            </w:r>
          </w:p>
        </w:tc>
        <w:tc>
          <w:tcPr>
            <w:tcW w:w="1000" w:type="dxa"/>
            <w:tcBorders>
              <w:top w:val="nil"/>
              <w:left w:val="nil"/>
              <w:bottom w:val="nil"/>
              <w:right w:val="nil"/>
            </w:tcBorders>
            <w:shd w:val="clear" w:color="auto" w:fill="auto"/>
            <w:noWrap/>
            <w:vAlign w:val="bottom"/>
            <w:hideMark/>
          </w:tcPr>
          <w:p w14:paraId="334633C6" w14:textId="541CBEFA"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535</w:t>
            </w:r>
          </w:p>
        </w:tc>
        <w:tc>
          <w:tcPr>
            <w:tcW w:w="1000" w:type="dxa"/>
            <w:tcBorders>
              <w:top w:val="nil"/>
              <w:left w:val="nil"/>
              <w:bottom w:val="nil"/>
              <w:right w:val="nil"/>
            </w:tcBorders>
            <w:shd w:val="clear" w:color="auto" w:fill="auto"/>
            <w:noWrap/>
            <w:vAlign w:val="bottom"/>
            <w:hideMark/>
          </w:tcPr>
          <w:p w14:paraId="273D0760" w14:textId="7A24378E"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535</w:t>
            </w:r>
          </w:p>
        </w:tc>
        <w:tc>
          <w:tcPr>
            <w:tcW w:w="1000" w:type="dxa"/>
            <w:tcBorders>
              <w:top w:val="nil"/>
              <w:left w:val="nil"/>
              <w:bottom w:val="nil"/>
              <w:right w:val="nil"/>
            </w:tcBorders>
            <w:shd w:val="clear" w:color="auto" w:fill="auto"/>
            <w:noWrap/>
            <w:vAlign w:val="bottom"/>
            <w:hideMark/>
          </w:tcPr>
          <w:p w14:paraId="6B50BC8C" w14:textId="35EBB6E5"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535</w:t>
            </w:r>
          </w:p>
        </w:tc>
      </w:tr>
      <w:tr w:rsidR="003E6345" w:rsidRPr="00AA6563" w14:paraId="78FCC6CA" w14:textId="77777777" w:rsidTr="00F02A01">
        <w:trPr>
          <w:trHeight w:val="204"/>
        </w:trPr>
        <w:tc>
          <w:tcPr>
            <w:tcW w:w="2694" w:type="dxa"/>
            <w:tcBorders>
              <w:top w:val="nil"/>
              <w:left w:val="nil"/>
              <w:bottom w:val="nil"/>
              <w:right w:val="nil"/>
            </w:tcBorders>
            <w:shd w:val="clear" w:color="auto" w:fill="auto"/>
            <w:noWrap/>
            <w:vAlign w:val="center"/>
            <w:hideMark/>
          </w:tcPr>
          <w:p w14:paraId="2140D4ED" w14:textId="1E59483B" w:rsidR="003E6345" w:rsidRPr="00AA6563" w:rsidRDefault="003E6345" w:rsidP="003E6345">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financial assets</w:t>
            </w:r>
          </w:p>
        </w:tc>
        <w:tc>
          <w:tcPr>
            <w:tcW w:w="1000" w:type="dxa"/>
            <w:tcBorders>
              <w:top w:val="single" w:sz="4" w:space="0" w:color="000000"/>
              <w:left w:val="nil"/>
              <w:bottom w:val="single" w:sz="4" w:space="0" w:color="000000"/>
              <w:right w:val="nil"/>
            </w:tcBorders>
            <w:shd w:val="clear" w:color="auto" w:fill="auto"/>
            <w:noWrap/>
            <w:vAlign w:val="bottom"/>
            <w:hideMark/>
          </w:tcPr>
          <w:p w14:paraId="4F354BD5" w14:textId="5643BB1C"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80,044</w:t>
            </w:r>
          </w:p>
        </w:tc>
        <w:tc>
          <w:tcPr>
            <w:tcW w:w="1000" w:type="dxa"/>
            <w:tcBorders>
              <w:top w:val="single" w:sz="4" w:space="0" w:color="000000"/>
              <w:left w:val="nil"/>
              <w:bottom w:val="single" w:sz="4" w:space="0" w:color="000000"/>
              <w:right w:val="nil"/>
            </w:tcBorders>
            <w:shd w:val="clear" w:color="000000" w:fill="E6E6E6"/>
            <w:noWrap/>
            <w:vAlign w:val="bottom"/>
            <w:hideMark/>
          </w:tcPr>
          <w:p w14:paraId="4AAB0C03" w14:textId="5EBBDB2B"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78,592</w:t>
            </w:r>
          </w:p>
        </w:tc>
        <w:tc>
          <w:tcPr>
            <w:tcW w:w="1000" w:type="dxa"/>
            <w:tcBorders>
              <w:top w:val="single" w:sz="4" w:space="0" w:color="000000"/>
              <w:left w:val="nil"/>
              <w:bottom w:val="single" w:sz="4" w:space="0" w:color="000000"/>
              <w:right w:val="nil"/>
            </w:tcBorders>
            <w:shd w:val="clear" w:color="auto" w:fill="auto"/>
            <w:noWrap/>
            <w:vAlign w:val="bottom"/>
            <w:hideMark/>
          </w:tcPr>
          <w:p w14:paraId="1EF89C91" w14:textId="79206D1D"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77,377</w:t>
            </w:r>
          </w:p>
        </w:tc>
        <w:tc>
          <w:tcPr>
            <w:tcW w:w="1000" w:type="dxa"/>
            <w:tcBorders>
              <w:top w:val="single" w:sz="4" w:space="0" w:color="000000"/>
              <w:left w:val="nil"/>
              <w:bottom w:val="single" w:sz="4" w:space="0" w:color="000000"/>
              <w:right w:val="nil"/>
            </w:tcBorders>
            <w:shd w:val="clear" w:color="auto" w:fill="auto"/>
            <w:noWrap/>
            <w:vAlign w:val="bottom"/>
            <w:hideMark/>
          </w:tcPr>
          <w:p w14:paraId="429B3979" w14:textId="692DA117"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76,419</w:t>
            </w:r>
          </w:p>
        </w:tc>
        <w:tc>
          <w:tcPr>
            <w:tcW w:w="1000" w:type="dxa"/>
            <w:tcBorders>
              <w:top w:val="single" w:sz="4" w:space="0" w:color="000000"/>
              <w:left w:val="nil"/>
              <w:bottom w:val="single" w:sz="4" w:space="0" w:color="000000"/>
              <w:right w:val="nil"/>
            </w:tcBorders>
            <w:shd w:val="clear" w:color="auto" w:fill="auto"/>
            <w:noWrap/>
            <w:vAlign w:val="bottom"/>
            <w:hideMark/>
          </w:tcPr>
          <w:p w14:paraId="57F8A5C8" w14:textId="7E8936B9"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75,518</w:t>
            </w:r>
          </w:p>
        </w:tc>
      </w:tr>
      <w:tr w:rsidR="003E6345" w:rsidRPr="00AA6563" w14:paraId="54FEA641" w14:textId="77777777" w:rsidTr="00F02A01">
        <w:trPr>
          <w:trHeight w:val="204"/>
        </w:trPr>
        <w:tc>
          <w:tcPr>
            <w:tcW w:w="2694" w:type="dxa"/>
            <w:tcBorders>
              <w:top w:val="nil"/>
              <w:left w:val="nil"/>
              <w:bottom w:val="nil"/>
              <w:right w:val="nil"/>
            </w:tcBorders>
            <w:shd w:val="clear" w:color="auto" w:fill="auto"/>
            <w:noWrap/>
            <w:vAlign w:val="center"/>
            <w:hideMark/>
          </w:tcPr>
          <w:p w14:paraId="14632B1F" w14:textId="11EA95EF" w:rsidR="003E6345" w:rsidRPr="00AA6563" w:rsidRDefault="003E6345" w:rsidP="003E6345">
            <w:pPr>
              <w:spacing w:after="0" w:line="240" w:lineRule="auto"/>
              <w:jc w:val="left"/>
              <w:rPr>
                <w:rFonts w:ascii="Arial" w:hAnsi="Arial" w:cs="Arial"/>
                <w:b/>
                <w:bCs/>
                <w:color w:val="000000"/>
                <w:sz w:val="16"/>
                <w:szCs w:val="16"/>
              </w:rPr>
            </w:pPr>
            <w:r>
              <w:rPr>
                <w:rFonts w:ascii="Arial" w:hAnsi="Arial" w:cs="Arial"/>
                <w:b/>
                <w:bCs/>
                <w:color w:val="000000"/>
                <w:sz w:val="16"/>
                <w:szCs w:val="16"/>
              </w:rPr>
              <w:t>Non-financial assets</w:t>
            </w:r>
          </w:p>
        </w:tc>
        <w:tc>
          <w:tcPr>
            <w:tcW w:w="1000" w:type="dxa"/>
            <w:tcBorders>
              <w:top w:val="nil"/>
              <w:left w:val="nil"/>
              <w:bottom w:val="nil"/>
              <w:right w:val="nil"/>
            </w:tcBorders>
            <w:shd w:val="clear" w:color="auto" w:fill="auto"/>
            <w:noWrap/>
            <w:vAlign w:val="bottom"/>
            <w:hideMark/>
          </w:tcPr>
          <w:p w14:paraId="3B7A01EE" w14:textId="77777777" w:rsidR="003E6345" w:rsidRPr="00E17940" w:rsidRDefault="003E6345" w:rsidP="00F058F8">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bottom"/>
            <w:hideMark/>
          </w:tcPr>
          <w:p w14:paraId="52A8CDBE" w14:textId="710541D4" w:rsidR="003E6345" w:rsidRPr="00E17940"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30E9DA66" w14:textId="77777777" w:rsidR="003E6345" w:rsidRPr="00E17940"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166C55DF" w14:textId="77777777" w:rsidR="003E6345" w:rsidRPr="00E17940" w:rsidRDefault="003E6345" w:rsidP="00F058F8">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5527052E" w14:textId="77777777" w:rsidR="003E6345" w:rsidRPr="00E17940" w:rsidRDefault="003E6345" w:rsidP="00F058F8">
            <w:pPr>
              <w:spacing w:after="0" w:line="240" w:lineRule="auto"/>
              <w:jc w:val="right"/>
              <w:rPr>
                <w:rFonts w:ascii="Arial" w:hAnsi="Arial" w:cs="Arial"/>
                <w:sz w:val="16"/>
                <w:szCs w:val="16"/>
              </w:rPr>
            </w:pPr>
          </w:p>
        </w:tc>
      </w:tr>
      <w:tr w:rsidR="003E6345" w:rsidRPr="00AA6563" w14:paraId="142C22AD" w14:textId="77777777" w:rsidTr="00F02A01">
        <w:trPr>
          <w:trHeight w:val="204"/>
        </w:trPr>
        <w:tc>
          <w:tcPr>
            <w:tcW w:w="2694" w:type="dxa"/>
            <w:tcBorders>
              <w:top w:val="nil"/>
              <w:left w:val="nil"/>
              <w:bottom w:val="nil"/>
              <w:right w:val="nil"/>
            </w:tcBorders>
            <w:shd w:val="clear" w:color="auto" w:fill="auto"/>
            <w:noWrap/>
            <w:vAlign w:val="center"/>
            <w:hideMark/>
          </w:tcPr>
          <w:p w14:paraId="483CDEB5" w14:textId="6FB4ABA2" w:rsidR="003E6345" w:rsidRPr="00AA6563" w:rsidRDefault="003E6345" w:rsidP="003E6345">
            <w:pPr>
              <w:spacing w:after="0" w:line="240" w:lineRule="auto"/>
              <w:ind w:firstLineChars="100" w:firstLine="160"/>
              <w:jc w:val="left"/>
              <w:rPr>
                <w:rFonts w:ascii="Arial" w:hAnsi="Arial" w:cs="Arial"/>
                <w:color w:val="000000"/>
                <w:sz w:val="16"/>
                <w:szCs w:val="16"/>
              </w:rPr>
            </w:pPr>
            <w:r>
              <w:rPr>
                <w:rFonts w:ascii="Arial" w:hAnsi="Arial" w:cs="Arial"/>
                <w:color w:val="000000"/>
                <w:sz w:val="16"/>
                <w:szCs w:val="16"/>
              </w:rPr>
              <w:t>Land and buildings</w:t>
            </w:r>
          </w:p>
        </w:tc>
        <w:tc>
          <w:tcPr>
            <w:tcW w:w="1000" w:type="dxa"/>
            <w:tcBorders>
              <w:top w:val="nil"/>
              <w:left w:val="nil"/>
              <w:bottom w:val="nil"/>
              <w:right w:val="nil"/>
            </w:tcBorders>
            <w:shd w:val="clear" w:color="auto" w:fill="auto"/>
            <w:noWrap/>
            <w:vAlign w:val="bottom"/>
            <w:hideMark/>
          </w:tcPr>
          <w:p w14:paraId="6238B073" w14:textId="2785AF27"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248,259</w:t>
            </w:r>
          </w:p>
        </w:tc>
        <w:tc>
          <w:tcPr>
            <w:tcW w:w="1000" w:type="dxa"/>
            <w:tcBorders>
              <w:top w:val="nil"/>
              <w:left w:val="nil"/>
              <w:bottom w:val="nil"/>
              <w:right w:val="nil"/>
            </w:tcBorders>
            <w:shd w:val="clear" w:color="000000" w:fill="E6E6E6"/>
            <w:noWrap/>
            <w:vAlign w:val="bottom"/>
            <w:hideMark/>
          </w:tcPr>
          <w:p w14:paraId="33D61ECB" w14:textId="7E540A1A"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248,918</w:t>
            </w:r>
          </w:p>
        </w:tc>
        <w:tc>
          <w:tcPr>
            <w:tcW w:w="1000" w:type="dxa"/>
            <w:tcBorders>
              <w:top w:val="nil"/>
              <w:left w:val="nil"/>
              <w:bottom w:val="nil"/>
              <w:right w:val="nil"/>
            </w:tcBorders>
            <w:shd w:val="clear" w:color="auto" w:fill="auto"/>
            <w:noWrap/>
            <w:vAlign w:val="bottom"/>
            <w:hideMark/>
          </w:tcPr>
          <w:p w14:paraId="3868249E" w14:textId="213AB8C9"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249,565</w:t>
            </w:r>
          </w:p>
        </w:tc>
        <w:tc>
          <w:tcPr>
            <w:tcW w:w="1000" w:type="dxa"/>
            <w:tcBorders>
              <w:top w:val="nil"/>
              <w:left w:val="nil"/>
              <w:bottom w:val="nil"/>
              <w:right w:val="nil"/>
            </w:tcBorders>
            <w:shd w:val="clear" w:color="auto" w:fill="auto"/>
            <w:noWrap/>
            <w:vAlign w:val="bottom"/>
            <w:hideMark/>
          </w:tcPr>
          <w:p w14:paraId="0E519732" w14:textId="0E4B161F"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250,102</w:t>
            </w:r>
          </w:p>
        </w:tc>
        <w:tc>
          <w:tcPr>
            <w:tcW w:w="1000" w:type="dxa"/>
            <w:tcBorders>
              <w:top w:val="nil"/>
              <w:left w:val="nil"/>
              <w:bottom w:val="nil"/>
              <w:right w:val="nil"/>
            </w:tcBorders>
            <w:shd w:val="clear" w:color="auto" w:fill="auto"/>
            <w:noWrap/>
            <w:vAlign w:val="bottom"/>
            <w:hideMark/>
          </w:tcPr>
          <w:p w14:paraId="6B220BD0" w14:textId="17399101"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250,457</w:t>
            </w:r>
          </w:p>
        </w:tc>
      </w:tr>
      <w:tr w:rsidR="003E6345" w:rsidRPr="00AA6563" w14:paraId="49C7F6E2" w14:textId="77777777" w:rsidTr="00F02A01">
        <w:trPr>
          <w:trHeight w:val="204"/>
        </w:trPr>
        <w:tc>
          <w:tcPr>
            <w:tcW w:w="2694" w:type="dxa"/>
            <w:tcBorders>
              <w:top w:val="nil"/>
              <w:left w:val="nil"/>
              <w:bottom w:val="nil"/>
              <w:right w:val="nil"/>
            </w:tcBorders>
            <w:shd w:val="clear" w:color="auto" w:fill="auto"/>
            <w:noWrap/>
            <w:vAlign w:val="center"/>
            <w:hideMark/>
          </w:tcPr>
          <w:p w14:paraId="7C3B00EA" w14:textId="45B79076" w:rsidR="003E6345" w:rsidRPr="00AA6563" w:rsidRDefault="003E6345" w:rsidP="003E6345">
            <w:pPr>
              <w:spacing w:after="0" w:line="240" w:lineRule="auto"/>
              <w:ind w:firstLineChars="100" w:firstLine="160"/>
              <w:jc w:val="left"/>
              <w:rPr>
                <w:rFonts w:ascii="Arial" w:hAnsi="Arial" w:cs="Arial"/>
                <w:color w:val="000000"/>
                <w:sz w:val="16"/>
                <w:szCs w:val="16"/>
              </w:rPr>
            </w:pPr>
            <w:r>
              <w:rPr>
                <w:rFonts w:ascii="Arial" w:hAnsi="Arial" w:cs="Arial"/>
                <w:color w:val="000000"/>
                <w:sz w:val="16"/>
                <w:szCs w:val="16"/>
              </w:rPr>
              <w:t>Property, plant and equipment</w:t>
            </w:r>
          </w:p>
        </w:tc>
        <w:tc>
          <w:tcPr>
            <w:tcW w:w="1000" w:type="dxa"/>
            <w:tcBorders>
              <w:top w:val="nil"/>
              <w:left w:val="nil"/>
              <w:bottom w:val="nil"/>
              <w:right w:val="nil"/>
            </w:tcBorders>
            <w:shd w:val="clear" w:color="auto" w:fill="auto"/>
            <w:noWrap/>
            <w:vAlign w:val="bottom"/>
            <w:hideMark/>
          </w:tcPr>
          <w:p w14:paraId="7E9F0871" w14:textId="31C81371"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13,703</w:t>
            </w:r>
          </w:p>
        </w:tc>
        <w:tc>
          <w:tcPr>
            <w:tcW w:w="1000" w:type="dxa"/>
            <w:tcBorders>
              <w:top w:val="nil"/>
              <w:left w:val="nil"/>
              <w:bottom w:val="nil"/>
              <w:right w:val="nil"/>
            </w:tcBorders>
            <w:shd w:val="clear" w:color="000000" w:fill="E6E6E6"/>
            <w:noWrap/>
            <w:vAlign w:val="bottom"/>
            <w:hideMark/>
          </w:tcPr>
          <w:p w14:paraId="3613C592" w14:textId="583C219B"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13,785</w:t>
            </w:r>
          </w:p>
        </w:tc>
        <w:tc>
          <w:tcPr>
            <w:tcW w:w="1000" w:type="dxa"/>
            <w:tcBorders>
              <w:top w:val="nil"/>
              <w:left w:val="nil"/>
              <w:bottom w:val="nil"/>
              <w:right w:val="nil"/>
            </w:tcBorders>
            <w:shd w:val="clear" w:color="auto" w:fill="auto"/>
            <w:noWrap/>
            <w:vAlign w:val="bottom"/>
            <w:hideMark/>
          </w:tcPr>
          <w:p w14:paraId="2F8F48E2" w14:textId="1CE0EEAB"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13,873</w:t>
            </w:r>
          </w:p>
        </w:tc>
        <w:tc>
          <w:tcPr>
            <w:tcW w:w="1000" w:type="dxa"/>
            <w:tcBorders>
              <w:top w:val="nil"/>
              <w:left w:val="nil"/>
              <w:bottom w:val="nil"/>
              <w:right w:val="nil"/>
            </w:tcBorders>
            <w:shd w:val="clear" w:color="auto" w:fill="auto"/>
            <w:noWrap/>
            <w:vAlign w:val="bottom"/>
            <w:hideMark/>
          </w:tcPr>
          <w:p w14:paraId="26EBCD96" w14:textId="797BA42E"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13,953</w:t>
            </w:r>
          </w:p>
        </w:tc>
        <w:tc>
          <w:tcPr>
            <w:tcW w:w="1000" w:type="dxa"/>
            <w:tcBorders>
              <w:top w:val="nil"/>
              <w:left w:val="nil"/>
              <w:bottom w:val="nil"/>
              <w:right w:val="nil"/>
            </w:tcBorders>
            <w:shd w:val="clear" w:color="auto" w:fill="auto"/>
            <w:noWrap/>
            <w:vAlign w:val="bottom"/>
            <w:hideMark/>
          </w:tcPr>
          <w:p w14:paraId="3F3AB1E8" w14:textId="67AF25B0"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14,033</w:t>
            </w:r>
          </w:p>
        </w:tc>
      </w:tr>
      <w:tr w:rsidR="003E6345" w:rsidRPr="00AA6563" w14:paraId="280214E1" w14:textId="77777777" w:rsidTr="00F02A01">
        <w:trPr>
          <w:trHeight w:val="204"/>
        </w:trPr>
        <w:tc>
          <w:tcPr>
            <w:tcW w:w="2694" w:type="dxa"/>
            <w:tcBorders>
              <w:top w:val="nil"/>
              <w:left w:val="nil"/>
              <w:bottom w:val="nil"/>
              <w:right w:val="nil"/>
            </w:tcBorders>
            <w:shd w:val="clear" w:color="auto" w:fill="auto"/>
            <w:noWrap/>
            <w:vAlign w:val="center"/>
            <w:hideMark/>
          </w:tcPr>
          <w:p w14:paraId="175721A2" w14:textId="2180CEBF" w:rsidR="003E6345" w:rsidRPr="00AA6563" w:rsidRDefault="003E6345" w:rsidP="003E6345">
            <w:pPr>
              <w:spacing w:after="0" w:line="240" w:lineRule="auto"/>
              <w:ind w:firstLineChars="100" w:firstLine="160"/>
              <w:jc w:val="left"/>
              <w:rPr>
                <w:rFonts w:ascii="Arial" w:hAnsi="Arial" w:cs="Arial"/>
                <w:color w:val="000000"/>
                <w:sz w:val="16"/>
                <w:szCs w:val="16"/>
              </w:rPr>
            </w:pPr>
            <w:r>
              <w:rPr>
                <w:rFonts w:ascii="Arial" w:hAnsi="Arial" w:cs="Arial"/>
                <w:color w:val="000000"/>
                <w:sz w:val="16"/>
                <w:szCs w:val="16"/>
              </w:rPr>
              <w:t>Heritage and Cultural</w:t>
            </w:r>
          </w:p>
        </w:tc>
        <w:tc>
          <w:tcPr>
            <w:tcW w:w="1000" w:type="dxa"/>
            <w:tcBorders>
              <w:top w:val="nil"/>
              <w:left w:val="nil"/>
              <w:bottom w:val="nil"/>
              <w:right w:val="nil"/>
            </w:tcBorders>
            <w:shd w:val="clear" w:color="auto" w:fill="auto"/>
            <w:noWrap/>
            <w:vAlign w:val="bottom"/>
            <w:hideMark/>
          </w:tcPr>
          <w:p w14:paraId="04B1FC0D" w14:textId="3443D012"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1,108,029</w:t>
            </w:r>
          </w:p>
        </w:tc>
        <w:tc>
          <w:tcPr>
            <w:tcW w:w="1000" w:type="dxa"/>
            <w:tcBorders>
              <w:top w:val="nil"/>
              <w:left w:val="nil"/>
              <w:bottom w:val="nil"/>
              <w:right w:val="nil"/>
            </w:tcBorders>
            <w:shd w:val="clear" w:color="000000" w:fill="E6E6E6"/>
            <w:noWrap/>
            <w:vAlign w:val="bottom"/>
            <w:hideMark/>
          </w:tcPr>
          <w:p w14:paraId="3B1F3B0A" w14:textId="0518CC4A"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1,102,945</w:t>
            </w:r>
          </w:p>
        </w:tc>
        <w:tc>
          <w:tcPr>
            <w:tcW w:w="1000" w:type="dxa"/>
            <w:tcBorders>
              <w:top w:val="nil"/>
              <w:left w:val="nil"/>
              <w:bottom w:val="nil"/>
              <w:right w:val="nil"/>
            </w:tcBorders>
            <w:shd w:val="clear" w:color="auto" w:fill="auto"/>
            <w:noWrap/>
            <w:vAlign w:val="bottom"/>
            <w:hideMark/>
          </w:tcPr>
          <w:p w14:paraId="3828D0F1" w14:textId="7E0006E4"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1,097,850</w:t>
            </w:r>
          </w:p>
        </w:tc>
        <w:tc>
          <w:tcPr>
            <w:tcW w:w="1000" w:type="dxa"/>
            <w:tcBorders>
              <w:top w:val="nil"/>
              <w:left w:val="nil"/>
              <w:bottom w:val="nil"/>
              <w:right w:val="nil"/>
            </w:tcBorders>
            <w:shd w:val="clear" w:color="auto" w:fill="auto"/>
            <w:noWrap/>
            <w:vAlign w:val="bottom"/>
            <w:hideMark/>
          </w:tcPr>
          <w:p w14:paraId="10E46D05" w14:textId="68F3EEFE"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1,092,756</w:t>
            </w:r>
          </w:p>
        </w:tc>
        <w:tc>
          <w:tcPr>
            <w:tcW w:w="1000" w:type="dxa"/>
            <w:tcBorders>
              <w:top w:val="nil"/>
              <w:left w:val="nil"/>
              <w:bottom w:val="nil"/>
              <w:right w:val="nil"/>
            </w:tcBorders>
            <w:shd w:val="clear" w:color="auto" w:fill="auto"/>
            <w:noWrap/>
            <w:vAlign w:val="bottom"/>
            <w:hideMark/>
          </w:tcPr>
          <w:p w14:paraId="26370686" w14:textId="1E090D5F"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1,087,680</w:t>
            </w:r>
          </w:p>
        </w:tc>
      </w:tr>
      <w:tr w:rsidR="003E6345" w:rsidRPr="00AA6563" w14:paraId="76CB8087" w14:textId="77777777" w:rsidTr="00F02A01">
        <w:trPr>
          <w:trHeight w:val="204"/>
        </w:trPr>
        <w:tc>
          <w:tcPr>
            <w:tcW w:w="2694" w:type="dxa"/>
            <w:tcBorders>
              <w:top w:val="nil"/>
              <w:left w:val="nil"/>
              <w:bottom w:val="nil"/>
              <w:right w:val="nil"/>
            </w:tcBorders>
            <w:shd w:val="clear" w:color="auto" w:fill="auto"/>
            <w:noWrap/>
            <w:vAlign w:val="center"/>
            <w:hideMark/>
          </w:tcPr>
          <w:p w14:paraId="72E7B92D" w14:textId="6A5D8140" w:rsidR="003E6345" w:rsidRPr="00AA6563" w:rsidRDefault="003E6345" w:rsidP="003E6345">
            <w:pPr>
              <w:spacing w:after="0" w:line="240" w:lineRule="auto"/>
              <w:ind w:firstLineChars="100" w:firstLine="160"/>
              <w:jc w:val="left"/>
              <w:rPr>
                <w:rFonts w:ascii="Arial" w:hAnsi="Arial" w:cs="Arial"/>
                <w:color w:val="000000"/>
                <w:sz w:val="16"/>
                <w:szCs w:val="16"/>
              </w:rPr>
            </w:pPr>
            <w:r>
              <w:rPr>
                <w:rFonts w:ascii="Arial" w:hAnsi="Arial" w:cs="Arial"/>
                <w:color w:val="000000"/>
                <w:sz w:val="16"/>
                <w:szCs w:val="16"/>
              </w:rPr>
              <w:t>Intangibles</w:t>
            </w:r>
          </w:p>
        </w:tc>
        <w:tc>
          <w:tcPr>
            <w:tcW w:w="1000" w:type="dxa"/>
            <w:tcBorders>
              <w:top w:val="nil"/>
              <w:left w:val="nil"/>
              <w:bottom w:val="nil"/>
              <w:right w:val="nil"/>
            </w:tcBorders>
            <w:shd w:val="clear" w:color="auto" w:fill="auto"/>
            <w:noWrap/>
            <w:vAlign w:val="bottom"/>
            <w:hideMark/>
          </w:tcPr>
          <w:p w14:paraId="3EB7F174" w14:textId="17B4D432"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84,811</w:t>
            </w:r>
          </w:p>
        </w:tc>
        <w:tc>
          <w:tcPr>
            <w:tcW w:w="1000" w:type="dxa"/>
            <w:tcBorders>
              <w:top w:val="nil"/>
              <w:left w:val="nil"/>
              <w:bottom w:val="nil"/>
              <w:right w:val="nil"/>
            </w:tcBorders>
            <w:shd w:val="clear" w:color="000000" w:fill="E6E6E6"/>
            <w:noWrap/>
            <w:vAlign w:val="bottom"/>
            <w:hideMark/>
          </w:tcPr>
          <w:p w14:paraId="31B6BD97" w14:textId="3A22E78B"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89,157</w:t>
            </w:r>
          </w:p>
        </w:tc>
        <w:tc>
          <w:tcPr>
            <w:tcW w:w="1000" w:type="dxa"/>
            <w:tcBorders>
              <w:top w:val="nil"/>
              <w:left w:val="nil"/>
              <w:bottom w:val="nil"/>
              <w:right w:val="nil"/>
            </w:tcBorders>
            <w:shd w:val="clear" w:color="auto" w:fill="auto"/>
            <w:noWrap/>
            <w:vAlign w:val="bottom"/>
            <w:hideMark/>
          </w:tcPr>
          <w:p w14:paraId="4A942A83" w14:textId="397845C7"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93,345</w:t>
            </w:r>
          </w:p>
        </w:tc>
        <w:tc>
          <w:tcPr>
            <w:tcW w:w="1000" w:type="dxa"/>
            <w:tcBorders>
              <w:top w:val="nil"/>
              <w:left w:val="nil"/>
              <w:bottom w:val="nil"/>
              <w:right w:val="nil"/>
            </w:tcBorders>
            <w:shd w:val="clear" w:color="auto" w:fill="auto"/>
            <w:noWrap/>
            <w:vAlign w:val="bottom"/>
            <w:hideMark/>
          </w:tcPr>
          <w:p w14:paraId="312FC992" w14:textId="31E470C5"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97,390</w:t>
            </w:r>
          </w:p>
        </w:tc>
        <w:tc>
          <w:tcPr>
            <w:tcW w:w="1000" w:type="dxa"/>
            <w:tcBorders>
              <w:top w:val="nil"/>
              <w:left w:val="nil"/>
              <w:bottom w:val="nil"/>
              <w:right w:val="nil"/>
            </w:tcBorders>
            <w:shd w:val="clear" w:color="auto" w:fill="auto"/>
            <w:noWrap/>
            <w:vAlign w:val="bottom"/>
            <w:hideMark/>
          </w:tcPr>
          <w:p w14:paraId="1154A1AF" w14:textId="24E66EA1"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101,492</w:t>
            </w:r>
          </w:p>
        </w:tc>
      </w:tr>
      <w:tr w:rsidR="003E6345" w:rsidRPr="00AA6563" w14:paraId="6432B95D" w14:textId="77777777" w:rsidTr="00F02A01">
        <w:trPr>
          <w:trHeight w:val="204"/>
        </w:trPr>
        <w:tc>
          <w:tcPr>
            <w:tcW w:w="2694" w:type="dxa"/>
            <w:tcBorders>
              <w:top w:val="nil"/>
              <w:left w:val="nil"/>
              <w:bottom w:val="nil"/>
              <w:right w:val="nil"/>
            </w:tcBorders>
            <w:shd w:val="clear" w:color="auto" w:fill="auto"/>
            <w:noWrap/>
            <w:vAlign w:val="center"/>
            <w:hideMark/>
          </w:tcPr>
          <w:p w14:paraId="780E9F98" w14:textId="1D50E901" w:rsidR="003E6345" w:rsidRPr="00AA6563" w:rsidRDefault="003E6345" w:rsidP="003E6345">
            <w:pPr>
              <w:spacing w:after="0" w:line="240" w:lineRule="auto"/>
              <w:ind w:firstLineChars="100" w:firstLine="160"/>
              <w:jc w:val="left"/>
              <w:rPr>
                <w:rFonts w:ascii="Arial" w:hAnsi="Arial" w:cs="Arial"/>
                <w:color w:val="000000"/>
                <w:sz w:val="16"/>
                <w:szCs w:val="16"/>
              </w:rPr>
            </w:pPr>
            <w:r>
              <w:rPr>
                <w:rFonts w:ascii="Arial" w:hAnsi="Arial" w:cs="Arial"/>
                <w:color w:val="000000"/>
                <w:sz w:val="16"/>
                <w:szCs w:val="16"/>
              </w:rPr>
              <w:t>Inventories</w:t>
            </w:r>
          </w:p>
        </w:tc>
        <w:tc>
          <w:tcPr>
            <w:tcW w:w="1000" w:type="dxa"/>
            <w:tcBorders>
              <w:top w:val="nil"/>
              <w:left w:val="nil"/>
              <w:bottom w:val="nil"/>
              <w:right w:val="nil"/>
            </w:tcBorders>
            <w:shd w:val="clear" w:color="auto" w:fill="auto"/>
            <w:noWrap/>
            <w:vAlign w:val="bottom"/>
            <w:hideMark/>
          </w:tcPr>
          <w:p w14:paraId="640D816E" w14:textId="6E54D2E1"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670</w:t>
            </w:r>
          </w:p>
        </w:tc>
        <w:tc>
          <w:tcPr>
            <w:tcW w:w="1000" w:type="dxa"/>
            <w:tcBorders>
              <w:top w:val="nil"/>
              <w:left w:val="nil"/>
              <w:bottom w:val="nil"/>
              <w:right w:val="nil"/>
            </w:tcBorders>
            <w:shd w:val="clear" w:color="000000" w:fill="E6E6E6"/>
            <w:noWrap/>
            <w:vAlign w:val="bottom"/>
            <w:hideMark/>
          </w:tcPr>
          <w:p w14:paraId="752B327F" w14:textId="55782902"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780</w:t>
            </w:r>
          </w:p>
        </w:tc>
        <w:tc>
          <w:tcPr>
            <w:tcW w:w="1000" w:type="dxa"/>
            <w:tcBorders>
              <w:top w:val="nil"/>
              <w:left w:val="nil"/>
              <w:bottom w:val="nil"/>
              <w:right w:val="nil"/>
            </w:tcBorders>
            <w:shd w:val="clear" w:color="auto" w:fill="auto"/>
            <w:noWrap/>
            <w:vAlign w:val="bottom"/>
            <w:hideMark/>
          </w:tcPr>
          <w:p w14:paraId="153D34AA" w14:textId="4B446A2F"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780</w:t>
            </w:r>
          </w:p>
        </w:tc>
        <w:tc>
          <w:tcPr>
            <w:tcW w:w="1000" w:type="dxa"/>
            <w:tcBorders>
              <w:top w:val="nil"/>
              <w:left w:val="nil"/>
              <w:bottom w:val="nil"/>
              <w:right w:val="nil"/>
            </w:tcBorders>
            <w:shd w:val="clear" w:color="auto" w:fill="auto"/>
            <w:noWrap/>
            <w:vAlign w:val="bottom"/>
            <w:hideMark/>
          </w:tcPr>
          <w:p w14:paraId="681A216A" w14:textId="165D6F21"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780</w:t>
            </w:r>
          </w:p>
        </w:tc>
        <w:tc>
          <w:tcPr>
            <w:tcW w:w="1000" w:type="dxa"/>
            <w:tcBorders>
              <w:top w:val="nil"/>
              <w:left w:val="nil"/>
              <w:bottom w:val="nil"/>
              <w:right w:val="nil"/>
            </w:tcBorders>
            <w:shd w:val="clear" w:color="auto" w:fill="auto"/>
            <w:noWrap/>
            <w:vAlign w:val="bottom"/>
            <w:hideMark/>
          </w:tcPr>
          <w:p w14:paraId="4D80E089" w14:textId="6E59D09A"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780</w:t>
            </w:r>
          </w:p>
        </w:tc>
      </w:tr>
      <w:tr w:rsidR="003E6345" w:rsidRPr="00AA6563" w14:paraId="33634F8E" w14:textId="77777777" w:rsidTr="00F02A01">
        <w:trPr>
          <w:trHeight w:val="204"/>
        </w:trPr>
        <w:tc>
          <w:tcPr>
            <w:tcW w:w="2694" w:type="dxa"/>
            <w:tcBorders>
              <w:top w:val="nil"/>
              <w:left w:val="nil"/>
              <w:bottom w:val="nil"/>
              <w:right w:val="nil"/>
            </w:tcBorders>
            <w:shd w:val="clear" w:color="auto" w:fill="auto"/>
            <w:noWrap/>
            <w:vAlign w:val="center"/>
            <w:hideMark/>
          </w:tcPr>
          <w:p w14:paraId="08FE1D93" w14:textId="72883696" w:rsidR="003E6345" w:rsidRPr="00AA6563" w:rsidRDefault="003E6345" w:rsidP="003E6345">
            <w:pPr>
              <w:spacing w:after="0" w:line="240" w:lineRule="auto"/>
              <w:ind w:firstLineChars="100" w:firstLine="160"/>
              <w:jc w:val="left"/>
              <w:rPr>
                <w:rFonts w:ascii="Arial" w:hAnsi="Arial" w:cs="Arial"/>
                <w:color w:val="000000"/>
                <w:sz w:val="16"/>
                <w:szCs w:val="16"/>
              </w:rPr>
            </w:pPr>
            <w:r>
              <w:rPr>
                <w:rFonts w:ascii="Arial" w:hAnsi="Arial" w:cs="Arial"/>
                <w:color w:val="000000"/>
                <w:sz w:val="16"/>
                <w:szCs w:val="16"/>
              </w:rPr>
              <w:t>Prepayments</w:t>
            </w:r>
          </w:p>
        </w:tc>
        <w:tc>
          <w:tcPr>
            <w:tcW w:w="1000" w:type="dxa"/>
            <w:tcBorders>
              <w:top w:val="nil"/>
              <w:left w:val="nil"/>
              <w:bottom w:val="nil"/>
              <w:right w:val="nil"/>
            </w:tcBorders>
            <w:shd w:val="clear" w:color="auto" w:fill="auto"/>
            <w:noWrap/>
            <w:vAlign w:val="bottom"/>
            <w:hideMark/>
          </w:tcPr>
          <w:p w14:paraId="17C13C63" w14:textId="01AF59B9"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1,680</w:t>
            </w:r>
          </w:p>
        </w:tc>
        <w:tc>
          <w:tcPr>
            <w:tcW w:w="1000" w:type="dxa"/>
            <w:tcBorders>
              <w:top w:val="nil"/>
              <w:left w:val="nil"/>
              <w:bottom w:val="nil"/>
              <w:right w:val="nil"/>
            </w:tcBorders>
            <w:shd w:val="clear" w:color="000000" w:fill="E6E6E6"/>
            <w:noWrap/>
            <w:vAlign w:val="bottom"/>
            <w:hideMark/>
          </w:tcPr>
          <w:p w14:paraId="6B366D57" w14:textId="2779A5AA"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1,680</w:t>
            </w:r>
          </w:p>
        </w:tc>
        <w:tc>
          <w:tcPr>
            <w:tcW w:w="1000" w:type="dxa"/>
            <w:tcBorders>
              <w:top w:val="nil"/>
              <w:left w:val="nil"/>
              <w:bottom w:val="nil"/>
              <w:right w:val="nil"/>
            </w:tcBorders>
            <w:shd w:val="clear" w:color="auto" w:fill="auto"/>
            <w:noWrap/>
            <w:vAlign w:val="bottom"/>
            <w:hideMark/>
          </w:tcPr>
          <w:p w14:paraId="220D9878" w14:textId="0D7C7860"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1,680</w:t>
            </w:r>
          </w:p>
        </w:tc>
        <w:tc>
          <w:tcPr>
            <w:tcW w:w="1000" w:type="dxa"/>
            <w:tcBorders>
              <w:top w:val="nil"/>
              <w:left w:val="nil"/>
              <w:bottom w:val="nil"/>
              <w:right w:val="nil"/>
            </w:tcBorders>
            <w:shd w:val="clear" w:color="auto" w:fill="auto"/>
            <w:noWrap/>
            <w:vAlign w:val="bottom"/>
            <w:hideMark/>
          </w:tcPr>
          <w:p w14:paraId="7E9F02CA" w14:textId="7B7C3BE5"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1,680</w:t>
            </w:r>
          </w:p>
        </w:tc>
        <w:tc>
          <w:tcPr>
            <w:tcW w:w="1000" w:type="dxa"/>
            <w:tcBorders>
              <w:top w:val="nil"/>
              <w:left w:val="nil"/>
              <w:bottom w:val="nil"/>
              <w:right w:val="nil"/>
            </w:tcBorders>
            <w:shd w:val="clear" w:color="auto" w:fill="auto"/>
            <w:noWrap/>
            <w:vAlign w:val="bottom"/>
            <w:hideMark/>
          </w:tcPr>
          <w:p w14:paraId="353AFF5C" w14:textId="2EC29E9A"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1,680</w:t>
            </w:r>
          </w:p>
        </w:tc>
      </w:tr>
      <w:tr w:rsidR="003E6345" w:rsidRPr="00AA6563" w14:paraId="6BE1201B" w14:textId="77777777" w:rsidTr="00F02A01">
        <w:trPr>
          <w:trHeight w:val="204"/>
        </w:trPr>
        <w:tc>
          <w:tcPr>
            <w:tcW w:w="2694" w:type="dxa"/>
            <w:tcBorders>
              <w:top w:val="nil"/>
              <w:left w:val="nil"/>
              <w:bottom w:val="nil"/>
              <w:right w:val="nil"/>
            </w:tcBorders>
            <w:shd w:val="clear" w:color="auto" w:fill="auto"/>
            <w:noWrap/>
            <w:vAlign w:val="center"/>
            <w:hideMark/>
          </w:tcPr>
          <w:p w14:paraId="03EFB9FB" w14:textId="0F312D5D" w:rsidR="003E6345" w:rsidRPr="00AA6563" w:rsidRDefault="003E6345" w:rsidP="003E6345">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non-financial assets</w:t>
            </w:r>
          </w:p>
        </w:tc>
        <w:tc>
          <w:tcPr>
            <w:tcW w:w="1000" w:type="dxa"/>
            <w:tcBorders>
              <w:top w:val="single" w:sz="4" w:space="0" w:color="000000"/>
              <w:left w:val="nil"/>
              <w:bottom w:val="single" w:sz="4" w:space="0" w:color="000000"/>
              <w:right w:val="nil"/>
            </w:tcBorders>
            <w:shd w:val="clear" w:color="auto" w:fill="auto"/>
            <w:noWrap/>
            <w:vAlign w:val="bottom"/>
            <w:hideMark/>
          </w:tcPr>
          <w:p w14:paraId="1EBE78ED" w14:textId="021F3A1E"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1,457,152</w:t>
            </w:r>
          </w:p>
        </w:tc>
        <w:tc>
          <w:tcPr>
            <w:tcW w:w="1000" w:type="dxa"/>
            <w:tcBorders>
              <w:top w:val="single" w:sz="4" w:space="0" w:color="000000"/>
              <w:left w:val="nil"/>
              <w:bottom w:val="single" w:sz="4" w:space="0" w:color="000000"/>
              <w:right w:val="nil"/>
            </w:tcBorders>
            <w:shd w:val="clear" w:color="000000" w:fill="E6E6E6"/>
            <w:noWrap/>
            <w:vAlign w:val="bottom"/>
            <w:hideMark/>
          </w:tcPr>
          <w:p w14:paraId="0C31CC0E" w14:textId="4822CA1C"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1,457,265</w:t>
            </w:r>
          </w:p>
        </w:tc>
        <w:tc>
          <w:tcPr>
            <w:tcW w:w="1000" w:type="dxa"/>
            <w:tcBorders>
              <w:top w:val="single" w:sz="4" w:space="0" w:color="000000"/>
              <w:left w:val="nil"/>
              <w:bottom w:val="single" w:sz="4" w:space="0" w:color="000000"/>
              <w:right w:val="nil"/>
            </w:tcBorders>
            <w:shd w:val="clear" w:color="auto" w:fill="auto"/>
            <w:noWrap/>
            <w:vAlign w:val="bottom"/>
            <w:hideMark/>
          </w:tcPr>
          <w:p w14:paraId="6D6DF226" w14:textId="49E3F039"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1,457,093</w:t>
            </w:r>
          </w:p>
        </w:tc>
        <w:tc>
          <w:tcPr>
            <w:tcW w:w="1000" w:type="dxa"/>
            <w:tcBorders>
              <w:top w:val="single" w:sz="4" w:space="0" w:color="000000"/>
              <w:left w:val="nil"/>
              <w:bottom w:val="single" w:sz="4" w:space="0" w:color="000000"/>
              <w:right w:val="nil"/>
            </w:tcBorders>
            <w:shd w:val="clear" w:color="auto" w:fill="auto"/>
            <w:noWrap/>
            <w:vAlign w:val="bottom"/>
            <w:hideMark/>
          </w:tcPr>
          <w:p w14:paraId="2DEF9D6F" w14:textId="352FED53"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1,456,661</w:t>
            </w:r>
          </w:p>
        </w:tc>
        <w:tc>
          <w:tcPr>
            <w:tcW w:w="1000" w:type="dxa"/>
            <w:tcBorders>
              <w:top w:val="single" w:sz="4" w:space="0" w:color="000000"/>
              <w:left w:val="nil"/>
              <w:bottom w:val="single" w:sz="4" w:space="0" w:color="000000"/>
              <w:right w:val="nil"/>
            </w:tcBorders>
            <w:shd w:val="clear" w:color="auto" w:fill="auto"/>
            <w:noWrap/>
            <w:vAlign w:val="bottom"/>
            <w:hideMark/>
          </w:tcPr>
          <w:p w14:paraId="5C776817" w14:textId="21D52842"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1,456,122</w:t>
            </w:r>
          </w:p>
        </w:tc>
      </w:tr>
      <w:tr w:rsidR="003E6345" w:rsidRPr="00AA6563" w14:paraId="2AC4ED44" w14:textId="77777777" w:rsidTr="00F02A01">
        <w:trPr>
          <w:trHeight w:val="204"/>
        </w:trPr>
        <w:tc>
          <w:tcPr>
            <w:tcW w:w="2694" w:type="dxa"/>
            <w:tcBorders>
              <w:top w:val="nil"/>
              <w:left w:val="nil"/>
              <w:bottom w:val="nil"/>
              <w:right w:val="nil"/>
            </w:tcBorders>
            <w:shd w:val="clear" w:color="auto" w:fill="auto"/>
            <w:noWrap/>
            <w:vAlign w:val="center"/>
            <w:hideMark/>
          </w:tcPr>
          <w:p w14:paraId="36999F46" w14:textId="2F3C73B0" w:rsidR="003E6345" w:rsidRPr="00AA6563" w:rsidRDefault="003E6345" w:rsidP="003E6345">
            <w:pPr>
              <w:spacing w:after="0" w:line="240" w:lineRule="auto"/>
              <w:jc w:val="left"/>
              <w:rPr>
                <w:rFonts w:ascii="Arial" w:hAnsi="Arial" w:cs="Arial"/>
                <w:b/>
                <w:bCs/>
                <w:color w:val="000000"/>
                <w:sz w:val="16"/>
                <w:szCs w:val="16"/>
              </w:rPr>
            </w:pPr>
            <w:r>
              <w:rPr>
                <w:rFonts w:ascii="Arial" w:hAnsi="Arial" w:cs="Arial"/>
                <w:b/>
                <w:bCs/>
                <w:color w:val="000000"/>
                <w:sz w:val="16"/>
                <w:szCs w:val="16"/>
              </w:rPr>
              <w:t>Total assets</w:t>
            </w:r>
          </w:p>
        </w:tc>
        <w:tc>
          <w:tcPr>
            <w:tcW w:w="1000" w:type="dxa"/>
            <w:tcBorders>
              <w:top w:val="nil"/>
              <w:left w:val="nil"/>
              <w:bottom w:val="single" w:sz="4" w:space="0" w:color="000000"/>
              <w:right w:val="nil"/>
            </w:tcBorders>
            <w:shd w:val="clear" w:color="auto" w:fill="auto"/>
            <w:noWrap/>
            <w:vAlign w:val="bottom"/>
            <w:hideMark/>
          </w:tcPr>
          <w:p w14:paraId="3E8016D3" w14:textId="74EECC62"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1,537,196</w:t>
            </w:r>
          </w:p>
        </w:tc>
        <w:tc>
          <w:tcPr>
            <w:tcW w:w="1000" w:type="dxa"/>
            <w:tcBorders>
              <w:top w:val="nil"/>
              <w:left w:val="nil"/>
              <w:bottom w:val="single" w:sz="4" w:space="0" w:color="000000"/>
              <w:right w:val="nil"/>
            </w:tcBorders>
            <w:shd w:val="clear" w:color="000000" w:fill="E6E6E6"/>
            <w:noWrap/>
            <w:vAlign w:val="bottom"/>
            <w:hideMark/>
          </w:tcPr>
          <w:p w14:paraId="52F860B0" w14:textId="05B97D52"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1,535,857</w:t>
            </w:r>
          </w:p>
        </w:tc>
        <w:tc>
          <w:tcPr>
            <w:tcW w:w="1000" w:type="dxa"/>
            <w:tcBorders>
              <w:top w:val="nil"/>
              <w:left w:val="nil"/>
              <w:bottom w:val="single" w:sz="4" w:space="0" w:color="000000"/>
              <w:right w:val="nil"/>
            </w:tcBorders>
            <w:shd w:val="clear" w:color="auto" w:fill="auto"/>
            <w:noWrap/>
            <w:vAlign w:val="bottom"/>
            <w:hideMark/>
          </w:tcPr>
          <w:p w14:paraId="1DA21715" w14:textId="261611F9"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1,534,470</w:t>
            </w:r>
          </w:p>
        </w:tc>
        <w:tc>
          <w:tcPr>
            <w:tcW w:w="1000" w:type="dxa"/>
            <w:tcBorders>
              <w:top w:val="nil"/>
              <w:left w:val="nil"/>
              <w:bottom w:val="single" w:sz="4" w:space="0" w:color="000000"/>
              <w:right w:val="nil"/>
            </w:tcBorders>
            <w:shd w:val="clear" w:color="auto" w:fill="auto"/>
            <w:noWrap/>
            <w:vAlign w:val="bottom"/>
            <w:hideMark/>
          </w:tcPr>
          <w:p w14:paraId="6E5C3D9E" w14:textId="24E61A85"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1,533,080</w:t>
            </w:r>
          </w:p>
        </w:tc>
        <w:tc>
          <w:tcPr>
            <w:tcW w:w="1000" w:type="dxa"/>
            <w:tcBorders>
              <w:top w:val="nil"/>
              <w:left w:val="nil"/>
              <w:bottom w:val="single" w:sz="4" w:space="0" w:color="000000"/>
              <w:right w:val="nil"/>
            </w:tcBorders>
            <w:shd w:val="clear" w:color="auto" w:fill="auto"/>
            <w:noWrap/>
            <w:vAlign w:val="bottom"/>
            <w:hideMark/>
          </w:tcPr>
          <w:p w14:paraId="63B4D10E" w14:textId="28155D7F"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1,531,640</w:t>
            </w:r>
          </w:p>
        </w:tc>
      </w:tr>
      <w:tr w:rsidR="003E6345" w:rsidRPr="00AA6563" w14:paraId="27DD550D" w14:textId="77777777" w:rsidTr="00F02A01">
        <w:trPr>
          <w:trHeight w:val="204"/>
        </w:trPr>
        <w:tc>
          <w:tcPr>
            <w:tcW w:w="2694" w:type="dxa"/>
            <w:tcBorders>
              <w:top w:val="nil"/>
              <w:left w:val="nil"/>
              <w:bottom w:val="nil"/>
              <w:right w:val="nil"/>
            </w:tcBorders>
            <w:shd w:val="clear" w:color="auto" w:fill="auto"/>
            <w:noWrap/>
            <w:vAlign w:val="center"/>
            <w:hideMark/>
          </w:tcPr>
          <w:p w14:paraId="5FCF01BF" w14:textId="4BC8914A" w:rsidR="003E6345" w:rsidRPr="00AA6563" w:rsidRDefault="003E6345" w:rsidP="003E6345">
            <w:pPr>
              <w:spacing w:after="0" w:line="240" w:lineRule="auto"/>
              <w:jc w:val="left"/>
              <w:rPr>
                <w:rFonts w:ascii="Arial" w:hAnsi="Arial" w:cs="Arial"/>
                <w:b/>
                <w:bCs/>
                <w:color w:val="000000"/>
                <w:sz w:val="16"/>
                <w:szCs w:val="16"/>
              </w:rPr>
            </w:pPr>
            <w:r>
              <w:rPr>
                <w:rFonts w:ascii="Arial" w:hAnsi="Arial" w:cs="Arial"/>
                <w:b/>
                <w:bCs/>
                <w:color w:val="000000"/>
                <w:sz w:val="16"/>
                <w:szCs w:val="16"/>
              </w:rPr>
              <w:t>LIABILITIES</w:t>
            </w:r>
          </w:p>
        </w:tc>
        <w:tc>
          <w:tcPr>
            <w:tcW w:w="1000" w:type="dxa"/>
            <w:tcBorders>
              <w:top w:val="nil"/>
              <w:left w:val="nil"/>
              <w:bottom w:val="nil"/>
              <w:right w:val="nil"/>
            </w:tcBorders>
            <w:shd w:val="clear" w:color="auto" w:fill="auto"/>
            <w:noWrap/>
            <w:vAlign w:val="bottom"/>
            <w:hideMark/>
          </w:tcPr>
          <w:p w14:paraId="2382F77F" w14:textId="77777777" w:rsidR="003E6345" w:rsidRPr="00E17940" w:rsidRDefault="003E6345" w:rsidP="00F058F8">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bottom"/>
            <w:hideMark/>
          </w:tcPr>
          <w:p w14:paraId="725D8752" w14:textId="56B0AB46" w:rsidR="003E6345" w:rsidRPr="00E17940"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091D39DF" w14:textId="77777777" w:rsidR="003E6345" w:rsidRPr="00E17940"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4141D4D6" w14:textId="77777777" w:rsidR="003E6345" w:rsidRPr="00E17940" w:rsidRDefault="003E6345" w:rsidP="00F058F8">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158EF1C2" w14:textId="77777777" w:rsidR="003E6345" w:rsidRPr="00E17940" w:rsidRDefault="003E6345" w:rsidP="00F058F8">
            <w:pPr>
              <w:spacing w:after="0" w:line="240" w:lineRule="auto"/>
              <w:jc w:val="right"/>
              <w:rPr>
                <w:rFonts w:ascii="Arial" w:hAnsi="Arial" w:cs="Arial"/>
                <w:sz w:val="16"/>
                <w:szCs w:val="16"/>
              </w:rPr>
            </w:pPr>
          </w:p>
        </w:tc>
      </w:tr>
      <w:tr w:rsidR="003E6345" w:rsidRPr="00AA6563" w14:paraId="360908CA" w14:textId="77777777" w:rsidTr="00F02A01">
        <w:trPr>
          <w:trHeight w:val="204"/>
        </w:trPr>
        <w:tc>
          <w:tcPr>
            <w:tcW w:w="2694" w:type="dxa"/>
            <w:tcBorders>
              <w:top w:val="nil"/>
              <w:left w:val="nil"/>
              <w:bottom w:val="nil"/>
              <w:right w:val="nil"/>
            </w:tcBorders>
            <w:shd w:val="clear" w:color="auto" w:fill="auto"/>
            <w:noWrap/>
            <w:vAlign w:val="center"/>
            <w:hideMark/>
          </w:tcPr>
          <w:p w14:paraId="7114A8B0" w14:textId="514D6FB7" w:rsidR="003E6345" w:rsidRPr="00AA6563" w:rsidRDefault="003E6345" w:rsidP="003E6345">
            <w:pPr>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1000" w:type="dxa"/>
            <w:tcBorders>
              <w:top w:val="nil"/>
              <w:left w:val="nil"/>
              <w:bottom w:val="nil"/>
              <w:right w:val="nil"/>
            </w:tcBorders>
            <w:shd w:val="clear" w:color="auto" w:fill="auto"/>
            <w:noWrap/>
            <w:vAlign w:val="bottom"/>
            <w:hideMark/>
          </w:tcPr>
          <w:p w14:paraId="40986764" w14:textId="77777777" w:rsidR="003E6345" w:rsidRPr="00E17940" w:rsidRDefault="003E6345" w:rsidP="00F058F8">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bottom"/>
            <w:hideMark/>
          </w:tcPr>
          <w:p w14:paraId="31C3401F" w14:textId="52A789F9" w:rsidR="003E6345" w:rsidRPr="00E17940"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2A7FA21B" w14:textId="77777777" w:rsidR="003E6345" w:rsidRPr="00E17940"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7D7AAC2A" w14:textId="77777777" w:rsidR="003E6345" w:rsidRPr="00E17940" w:rsidRDefault="003E6345" w:rsidP="00F058F8">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662BB699" w14:textId="77777777" w:rsidR="003E6345" w:rsidRPr="00E17940" w:rsidRDefault="003E6345" w:rsidP="00F058F8">
            <w:pPr>
              <w:spacing w:after="0" w:line="240" w:lineRule="auto"/>
              <w:jc w:val="right"/>
              <w:rPr>
                <w:rFonts w:ascii="Arial" w:hAnsi="Arial" w:cs="Arial"/>
                <w:sz w:val="16"/>
                <w:szCs w:val="16"/>
              </w:rPr>
            </w:pPr>
          </w:p>
        </w:tc>
      </w:tr>
      <w:tr w:rsidR="003E6345" w:rsidRPr="00AA6563" w14:paraId="6E5E26F8" w14:textId="77777777" w:rsidTr="00F02A01">
        <w:trPr>
          <w:trHeight w:val="204"/>
        </w:trPr>
        <w:tc>
          <w:tcPr>
            <w:tcW w:w="2694" w:type="dxa"/>
            <w:tcBorders>
              <w:top w:val="nil"/>
              <w:left w:val="nil"/>
              <w:bottom w:val="nil"/>
              <w:right w:val="nil"/>
            </w:tcBorders>
            <w:shd w:val="clear" w:color="auto" w:fill="auto"/>
            <w:noWrap/>
            <w:vAlign w:val="center"/>
            <w:hideMark/>
          </w:tcPr>
          <w:p w14:paraId="13A2F4DE" w14:textId="196F32BD" w:rsidR="003E6345" w:rsidRPr="00AA6563" w:rsidRDefault="003E6345" w:rsidP="000F1857">
            <w:pPr>
              <w:spacing w:after="0" w:line="240" w:lineRule="auto"/>
              <w:ind w:left="113"/>
              <w:jc w:val="left"/>
              <w:rPr>
                <w:rFonts w:ascii="Arial" w:hAnsi="Arial" w:cs="Arial"/>
                <w:color w:val="000000"/>
                <w:sz w:val="16"/>
                <w:szCs w:val="16"/>
              </w:rPr>
            </w:pPr>
            <w:r>
              <w:rPr>
                <w:rFonts w:ascii="Arial" w:hAnsi="Arial" w:cs="Arial"/>
                <w:color w:val="000000"/>
                <w:sz w:val="16"/>
                <w:szCs w:val="16"/>
              </w:rPr>
              <w:t>Suppliers</w:t>
            </w:r>
          </w:p>
        </w:tc>
        <w:tc>
          <w:tcPr>
            <w:tcW w:w="1000" w:type="dxa"/>
            <w:tcBorders>
              <w:top w:val="nil"/>
              <w:left w:val="nil"/>
              <w:bottom w:val="nil"/>
              <w:right w:val="nil"/>
            </w:tcBorders>
            <w:shd w:val="clear" w:color="auto" w:fill="auto"/>
            <w:noWrap/>
            <w:vAlign w:val="bottom"/>
            <w:hideMark/>
          </w:tcPr>
          <w:p w14:paraId="6D98A710" w14:textId="711ABD98"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3,816</w:t>
            </w:r>
          </w:p>
        </w:tc>
        <w:tc>
          <w:tcPr>
            <w:tcW w:w="1000" w:type="dxa"/>
            <w:tcBorders>
              <w:top w:val="nil"/>
              <w:left w:val="nil"/>
              <w:bottom w:val="nil"/>
              <w:right w:val="nil"/>
            </w:tcBorders>
            <w:shd w:val="clear" w:color="000000" w:fill="E6E6E6"/>
            <w:noWrap/>
            <w:vAlign w:val="bottom"/>
            <w:hideMark/>
          </w:tcPr>
          <w:p w14:paraId="144DF66B" w14:textId="55B4CAFA"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3,951</w:t>
            </w:r>
          </w:p>
        </w:tc>
        <w:tc>
          <w:tcPr>
            <w:tcW w:w="1000" w:type="dxa"/>
            <w:tcBorders>
              <w:top w:val="nil"/>
              <w:left w:val="nil"/>
              <w:bottom w:val="nil"/>
              <w:right w:val="nil"/>
            </w:tcBorders>
            <w:shd w:val="clear" w:color="auto" w:fill="auto"/>
            <w:noWrap/>
            <w:vAlign w:val="bottom"/>
            <w:hideMark/>
          </w:tcPr>
          <w:p w14:paraId="0DF3260A" w14:textId="701F5B05"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3,951</w:t>
            </w:r>
          </w:p>
        </w:tc>
        <w:tc>
          <w:tcPr>
            <w:tcW w:w="1000" w:type="dxa"/>
            <w:tcBorders>
              <w:top w:val="nil"/>
              <w:left w:val="nil"/>
              <w:bottom w:val="nil"/>
              <w:right w:val="nil"/>
            </w:tcBorders>
            <w:shd w:val="clear" w:color="auto" w:fill="auto"/>
            <w:noWrap/>
            <w:vAlign w:val="bottom"/>
            <w:hideMark/>
          </w:tcPr>
          <w:p w14:paraId="440705D4" w14:textId="098B5055"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3,951</w:t>
            </w:r>
          </w:p>
        </w:tc>
        <w:tc>
          <w:tcPr>
            <w:tcW w:w="1000" w:type="dxa"/>
            <w:tcBorders>
              <w:top w:val="nil"/>
              <w:left w:val="nil"/>
              <w:bottom w:val="nil"/>
              <w:right w:val="nil"/>
            </w:tcBorders>
            <w:shd w:val="clear" w:color="auto" w:fill="auto"/>
            <w:noWrap/>
            <w:vAlign w:val="bottom"/>
            <w:hideMark/>
          </w:tcPr>
          <w:p w14:paraId="5C7778B2" w14:textId="44BFD9D5"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3,961</w:t>
            </w:r>
          </w:p>
        </w:tc>
      </w:tr>
      <w:tr w:rsidR="003E6345" w:rsidRPr="00AA6563" w14:paraId="4D7CB49C" w14:textId="77777777" w:rsidTr="00F02A01">
        <w:trPr>
          <w:trHeight w:val="204"/>
        </w:trPr>
        <w:tc>
          <w:tcPr>
            <w:tcW w:w="2694" w:type="dxa"/>
            <w:tcBorders>
              <w:top w:val="nil"/>
              <w:left w:val="nil"/>
              <w:bottom w:val="nil"/>
              <w:right w:val="nil"/>
            </w:tcBorders>
            <w:shd w:val="clear" w:color="auto" w:fill="auto"/>
            <w:noWrap/>
            <w:vAlign w:val="center"/>
            <w:hideMark/>
          </w:tcPr>
          <w:p w14:paraId="2D09DDEC" w14:textId="2261FF8E" w:rsidR="003E6345" w:rsidRPr="00AA6563" w:rsidRDefault="003E6345" w:rsidP="000F1857">
            <w:pPr>
              <w:spacing w:after="0" w:line="240" w:lineRule="auto"/>
              <w:ind w:left="113"/>
              <w:jc w:val="left"/>
              <w:rPr>
                <w:rFonts w:ascii="Arial" w:hAnsi="Arial" w:cs="Arial"/>
                <w:color w:val="000000"/>
                <w:sz w:val="16"/>
                <w:szCs w:val="16"/>
              </w:rPr>
            </w:pPr>
            <w:r>
              <w:rPr>
                <w:rFonts w:ascii="Arial" w:hAnsi="Arial" w:cs="Arial"/>
                <w:color w:val="000000"/>
                <w:sz w:val="16"/>
                <w:szCs w:val="16"/>
              </w:rPr>
              <w:t>Other payables</w:t>
            </w:r>
          </w:p>
        </w:tc>
        <w:tc>
          <w:tcPr>
            <w:tcW w:w="1000" w:type="dxa"/>
            <w:tcBorders>
              <w:top w:val="nil"/>
              <w:left w:val="nil"/>
              <w:bottom w:val="nil"/>
              <w:right w:val="nil"/>
            </w:tcBorders>
            <w:shd w:val="clear" w:color="auto" w:fill="auto"/>
            <w:noWrap/>
            <w:vAlign w:val="bottom"/>
            <w:hideMark/>
          </w:tcPr>
          <w:p w14:paraId="6E937AE0" w14:textId="1DF6F9CB"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5,088</w:t>
            </w:r>
          </w:p>
        </w:tc>
        <w:tc>
          <w:tcPr>
            <w:tcW w:w="1000" w:type="dxa"/>
            <w:tcBorders>
              <w:top w:val="nil"/>
              <w:left w:val="nil"/>
              <w:bottom w:val="nil"/>
              <w:right w:val="nil"/>
            </w:tcBorders>
            <w:shd w:val="clear" w:color="000000" w:fill="E6E6E6"/>
            <w:noWrap/>
            <w:vAlign w:val="bottom"/>
            <w:hideMark/>
          </w:tcPr>
          <w:p w14:paraId="2ADDE2E8" w14:textId="060C49E1"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5,088</w:t>
            </w:r>
          </w:p>
        </w:tc>
        <w:tc>
          <w:tcPr>
            <w:tcW w:w="1000" w:type="dxa"/>
            <w:tcBorders>
              <w:top w:val="nil"/>
              <w:left w:val="nil"/>
              <w:bottom w:val="nil"/>
              <w:right w:val="nil"/>
            </w:tcBorders>
            <w:shd w:val="clear" w:color="auto" w:fill="auto"/>
            <w:noWrap/>
            <w:vAlign w:val="bottom"/>
            <w:hideMark/>
          </w:tcPr>
          <w:p w14:paraId="1D5697C1" w14:textId="29132BFF"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5,088</w:t>
            </w:r>
          </w:p>
        </w:tc>
        <w:tc>
          <w:tcPr>
            <w:tcW w:w="1000" w:type="dxa"/>
            <w:tcBorders>
              <w:top w:val="nil"/>
              <w:left w:val="nil"/>
              <w:bottom w:val="nil"/>
              <w:right w:val="nil"/>
            </w:tcBorders>
            <w:shd w:val="clear" w:color="auto" w:fill="auto"/>
            <w:noWrap/>
            <w:vAlign w:val="bottom"/>
            <w:hideMark/>
          </w:tcPr>
          <w:p w14:paraId="1E0886CE" w14:textId="0AE38380"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5,088</w:t>
            </w:r>
          </w:p>
        </w:tc>
        <w:tc>
          <w:tcPr>
            <w:tcW w:w="1000" w:type="dxa"/>
            <w:tcBorders>
              <w:top w:val="nil"/>
              <w:left w:val="nil"/>
              <w:bottom w:val="nil"/>
              <w:right w:val="nil"/>
            </w:tcBorders>
            <w:shd w:val="clear" w:color="auto" w:fill="auto"/>
            <w:noWrap/>
            <w:vAlign w:val="bottom"/>
            <w:hideMark/>
          </w:tcPr>
          <w:p w14:paraId="48284F72" w14:textId="70AE75B3"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5,088</w:t>
            </w:r>
          </w:p>
        </w:tc>
      </w:tr>
      <w:tr w:rsidR="003E6345" w:rsidRPr="00AA6563" w14:paraId="0ABC09E7" w14:textId="77777777" w:rsidTr="00F02A01">
        <w:trPr>
          <w:trHeight w:val="204"/>
        </w:trPr>
        <w:tc>
          <w:tcPr>
            <w:tcW w:w="2694" w:type="dxa"/>
            <w:tcBorders>
              <w:top w:val="nil"/>
              <w:left w:val="nil"/>
              <w:bottom w:val="nil"/>
              <w:right w:val="nil"/>
            </w:tcBorders>
            <w:shd w:val="clear" w:color="auto" w:fill="auto"/>
            <w:noWrap/>
            <w:vAlign w:val="center"/>
            <w:hideMark/>
          </w:tcPr>
          <w:p w14:paraId="4429A99A" w14:textId="6FF5874D" w:rsidR="003E6345" w:rsidRPr="00AA6563" w:rsidRDefault="003E6345" w:rsidP="003E6345">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payables</w:t>
            </w:r>
          </w:p>
        </w:tc>
        <w:tc>
          <w:tcPr>
            <w:tcW w:w="1000" w:type="dxa"/>
            <w:tcBorders>
              <w:top w:val="single" w:sz="4" w:space="0" w:color="000000"/>
              <w:left w:val="nil"/>
              <w:bottom w:val="single" w:sz="4" w:space="0" w:color="000000"/>
              <w:right w:val="nil"/>
            </w:tcBorders>
            <w:shd w:val="clear" w:color="auto" w:fill="auto"/>
            <w:noWrap/>
            <w:vAlign w:val="bottom"/>
            <w:hideMark/>
          </w:tcPr>
          <w:p w14:paraId="0D5C4620" w14:textId="556DB600"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8,904</w:t>
            </w:r>
          </w:p>
        </w:tc>
        <w:tc>
          <w:tcPr>
            <w:tcW w:w="1000" w:type="dxa"/>
            <w:tcBorders>
              <w:top w:val="single" w:sz="4" w:space="0" w:color="000000"/>
              <w:left w:val="nil"/>
              <w:bottom w:val="single" w:sz="4" w:space="0" w:color="000000"/>
              <w:right w:val="nil"/>
            </w:tcBorders>
            <w:shd w:val="clear" w:color="000000" w:fill="E6E6E6"/>
            <w:noWrap/>
            <w:vAlign w:val="bottom"/>
            <w:hideMark/>
          </w:tcPr>
          <w:p w14:paraId="27FAF08D" w14:textId="67F39B55"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9,039</w:t>
            </w:r>
          </w:p>
        </w:tc>
        <w:tc>
          <w:tcPr>
            <w:tcW w:w="1000" w:type="dxa"/>
            <w:tcBorders>
              <w:top w:val="single" w:sz="4" w:space="0" w:color="000000"/>
              <w:left w:val="nil"/>
              <w:bottom w:val="single" w:sz="4" w:space="0" w:color="000000"/>
              <w:right w:val="nil"/>
            </w:tcBorders>
            <w:shd w:val="clear" w:color="auto" w:fill="auto"/>
            <w:noWrap/>
            <w:vAlign w:val="bottom"/>
            <w:hideMark/>
          </w:tcPr>
          <w:p w14:paraId="60EB0A2B" w14:textId="18808D9D"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9,039</w:t>
            </w:r>
          </w:p>
        </w:tc>
        <w:tc>
          <w:tcPr>
            <w:tcW w:w="1000" w:type="dxa"/>
            <w:tcBorders>
              <w:top w:val="single" w:sz="4" w:space="0" w:color="000000"/>
              <w:left w:val="nil"/>
              <w:bottom w:val="single" w:sz="4" w:space="0" w:color="000000"/>
              <w:right w:val="nil"/>
            </w:tcBorders>
            <w:shd w:val="clear" w:color="auto" w:fill="auto"/>
            <w:noWrap/>
            <w:vAlign w:val="bottom"/>
            <w:hideMark/>
          </w:tcPr>
          <w:p w14:paraId="33F1EF42" w14:textId="2A1391E2"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9,039</w:t>
            </w:r>
          </w:p>
        </w:tc>
        <w:tc>
          <w:tcPr>
            <w:tcW w:w="1000" w:type="dxa"/>
            <w:tcBorders>
              <w:top w:val="single" w:sz="4" w:space="0" w:color="000000"/>
              <w:left w:val="nil"/>
              <w:bottom w:val="single" w:sz="4" w:space="0" w:color="000000"/>
              <w:right w:val="nil"/>
            </w:tcBorders>
            <w:shd w:val="clear" w:color="auto" w:fill="auto"/>
            <w:noWrap/>
            <w:vAlign w:val="bottom"/>
            <w:hideMark/>
          </w:tcPr>
          <w:p w14:paraId="6374966F" w14:textId="5F5E295E"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9,049</w:t>
            </w:r>
          </w:p>
        </w:tc>
      </w:tr>
      <w:tr w:rsidR="003E6345" w:rsidRPr="00AA6563" w14:paraId="2957AA47" w14:textId="77777777" w:rsidTr="00F02A01">
        <w:trPr>
          <w:trHeight w:val="204"/>
        </w:trPr>
        <w:tc>
          <w:tcPr>
            <w:tcW w:w="2694" w:type="dxa"/>
            <w:tcBorders>
              <w:top w:val="nil"/>
              <w:left w:val="nil"/>
              <w:bottom w:val="nil"/>
              <w:right w:val="nil"/>
            </w:tcBorders>
            <w:shd w:val="clear" w:color="auto" w:fill="auto"/>
            <w:noWrap/>
            <w:vAlign w:val="center"/>
            <w:hideMark/>
          </w:tcPr>
          <w:p w14:paraId="6AD493C5" w14:textId="23D1CBEC" w:rsidR="003E6345" w:rsidRPr="00AA6563" w:rsidRDefault="003E6345" w:rsidP="003E6345">
            <w:pPr>
              <w:spacing w:after="0" w:line="240" w:lineRule="auto"/>
              <w:jc w:val="left"/>
              <w:rPr>
                <w:rFonts w:ascii="Arial" w:hAnsi="Arial" w:cs="Arial"/>
                <w:b/>
                <w:bCs/>
                <w:color w:val="000000"/>
                <w:sz w:val="16"/>
                <w:szCs w:val="16"/>
              </w:rPr>
            </w:pPr>
            <w:r>
              <w:rPr>
                <w:rFonts w:ascii="Arial" w:hAnsi="Arial" w:cs="Arial"/>
                <w:b/>
                <w:bCs/>
                <w:color w:val="000000"/>
                <w:sz w:val="16"/>
                <w:szCs w:val="16"/>
              </w:rPr>
              <w:t>Interest bearing liabilities</w:t>
            </w:r>
          </w:p>
        </w:tc>
        <w:tc>
          <w:tcPr>
            <w:tcW w:w="1000" w:type="dxa"/>
            <w:tcBorders>
              <w:top w:val="nil"/>
              <w:left w:val="nil"/>
              <w:bottom w:val="nil"/>
              <w:right w:val="nil"/>
            </w:tcBorders>
            <w:shd w:val="clear" w:color="auto" w:fill="auto"/>
            <w:noWrap/>
            <w:vAlign w:val="bottom"/>
            <w:hideMark/>
          </w:tcPr>
          <w:p w14:paraId="7835D6E3" w14:textId="77777777" w:rsidR="003E6345" w:rsidRPr="00E17940" w:rsidRDefault="003E6345" w:rsidP="00F058F8">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bottom"/>
            <w:hideMark/>
          </w:tcPr>
          <w:p w14:paraId="4481B914" w14:textId="3A65E3AD" w:rsidR="003E6345" w:rsidRPr="00E17940"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3FA5FC6C" w14:textId="77777777" w:rsidR="003E6345" w:rsidRPr="00E17940"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5DD19200" w14:textId="77777777" w:rsidR="003E6345" w:rsidRPr="00E17940" w:rsidRDefault="003E6345" w:rsidP="00F058F8">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4BDAF0E0" w14:textId="77777777" w:rsidR="003E6345" w:rsidRPr="00E17940" w:rsidRDefault="003E6345" w:rsidP="00F058F8">
            <w:pPr>
              <w:spacing w:after="0" w:line="240" w:lineRule="auto"/>
              <w:jc w:val="right"/>
              <w:rPr>
                <w:rFonts w:ascii="Arial" w:hAnsi="Arial" w:cs="Arial"/>
                <w:sz w:val="16"/>
                <w:szCs w:val="16"/>
              </w:rPr>
            </w:pPr>
          </w:p>
        </w:tc>
      </w:tr>
      <w:tr w:rsidR="003E6345" w:rsidRPr="00AA6563" w14:paraId="2420F7AB" w14:textId="77777777" w:rsidTr="00F02A01">
        <w:trPr>
          <w:trHeight w:val="204"/>
        </w:trPr>
        <w:tc>
          <w:tcPr>
            <w:tcW w:w="2694" w:type="dxa"/>
            <w:tcBorders>
              <w:top w:val="nil"/>
              <w:left w:val="nil"/>
              <w:bottom w:val="nil"/>
              <w:right w:val="nil"/>
            </w:tcBorders>
            <w:shd w:val="clear" w:color="auto" w:fill="auto"/>
            <w:noWrap/>
            <w:vAlign w:val="center"/>
            <w:hideMark/>
          </w:tcPr>
          <w:p w14:paraId="232C24A9" w14:textId="5142CDC3" w:rsidR="003E6345" w:rsidRPr="00AA6563" w:rsidRDefault="003E6345" w:rsidP="000F1857">
            <w:pPr>
              <w:spacing w:after="0" w:line="240" w:lineRule="auto"/>
              <w:ind w:left="113"/>
              <w:jc w:val="left"/>
              <w:rPr>
                <w:rFonts w:ascii="Arial" w:hAnsi="Arial" w:cs="Arial"/>
                <w:color w:val="000000"/>
                <w:sz w:val="16"/>
                <w:szCs w:val="16"/>
              </w:rPr>
            </w:pPr>
            <w:r>
              <w:rPr>
                <w:rFonts w:ascii="Arial" w:hAnsi="Arial" w:cs="Arial"/>
                <w:color w:val="000000"/>
                <w:sz w:val="16"/>
                <w:szCs w:val="16"/>
              </w:rPr>
              <w:t>Leases</w:t>
            </w:r>
          </w:p>
        </w:tc>
        <w:tc>
          <w:tcPr>
            <w:tcW w:w="1000" w:type="dxa"/>
            <w:tcBorders>
              <w:top w:val="nil"/>
              <w:left w:val="nil"/>
              <w:bottom w:val="nil"/>
              <w:right w:val="nil"/>
            </w:tcBorders>
            <w:shd w:val="clear" w:color="auto" w:fill="auto"/>
            <w:noWrap/>
            <w:vAlign w:val="bottom"/>
            <w:hideMark/>
          </w:tcPr>
          <w:p w14:paraId="6F872A14" w14:textId="4968E993"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3,727</w:t>
            </w:r>
          </w:p>
        </w:tc>
        <w:tc>
          <w:tcPr>
            <w:tcW w:w="1000" w:type="dxa"/>
            <w:tcBorders>
              <w:top w:val="nil"/>
              <w:left w:val="nil"/>
              <w:bottom w:val="nil"/>
              <w:right w:val="nil"/>
            </w:tcBorders>
            <w:shd w:val="clear" w:color="000000" w:fill="E6E6E6"/>
            <w:noWrap/>
            <w:vAlign w:val="bottom"/>
            <w:hideMark/>
          </w:tcPr>
          <w:p w14:paraId="2F66346F" w14:textId="10E81D14"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2,868</w:t>
            </w:r>
          </w:p>
        </w:tc>
        <w:tc>
          <w:tcPr>
            <w:tcW w:w="1000" w:type="dxa"/>
            <w:tcBorders>
              <w:top w:val="nil"/>
              <w:left w:val="nil"/>
              <w:bottom w:val="nil"/>
              <w:right w:val="nil"/>
            </w:tcBorders>
            <w:shd w:val="clear" w:color="auto" w:fill="auto"/>
            <w:noWrap/>
            <w:vAlign w:val="bottom"/>
            <w:hideMark/>
          </w:tcPr>
          <w:p w14:paraId="7EF640D7" w14:textId="0ECD8D36"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2,040</w:t>
            </w:r>
          </w:p>
        </w:tc>
        <w:tc>
          <w:tcPr>
            <w:tcW w:w="1000" w:type="dxa"/>
            <w:tcBorders>
              <w:top w:val="nil"/>
              <w:left w:val="nil"/>
              <w:bottom w:val="nil"/>
              <w:right w:val="nil"/>
            </w:tcBorders>
            <w:shd w:val="clear" w:color="auto" w:fill="auto"/>
            <w:noWrap/>
            <w:vAlign w:val="bottom"/>
            <w:hideMark/>
          </w:tcPr>
          <w:p w14:paraId="482272FD" w14:textId="1B709C11"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1,125</w:t>
            </w:r>
          </w:p>
        </w:tc>
        <w:tc>
          <w:tcPr>
            <w:tcW w:w="1000" w:type="dxa"/>
            <w:tcBorders>
              <w:top w:val="nil"/>
              <w:left w:val="nil"/>
              <w:bottom w:val="nil"/>
              <w:right w:val="nil"/>
            </w:tcBorders>
            <w:shd w:val="clear" w:color="auto" w:fill="auto"/>
            <w:noWrap/>
            <w:vAlign w:val="bottom"/>
            <w:hideMark/>
          </w:tcPr>
          <w:p w14:paraId="6CA2298D" w14:textId="45F0B3B8"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109</w:t>
            </w:r>
          </w:p>
        </w:tc>
      </w:tr>
      <w:tr w:rsidR="003E6345" w:rsidRPr="00AA6563" w14:paraId="603AC5F4" w14:textId="77777777" w:rsidTr="00F02A01">
        <w:trPr>
          <w:trHeight w:val="204"/>
        </w:trPr>
        <w:tc>
          <w:tcPr>
            <w:tcW w:w="2694" w:type="dxa"/>
            <w:tcBorders>
              <w:top w:val="nil"/>
              <w:left w:val="nil"/>
              <w:bottom w:val="nil"/>
              <w:right w:val="nil"/>
            </w:tcBorders>
            <w:shd w:val="clear" w:color="auto" w:fill="auto"/>
            <w:noWrap/>
            <w:vAlign w:val="center"/>
            <w:hideMark/>
          </w:tcPr>
          <w:p w14:paraId="1FCA0EE6" w14:textId="23E5138B" w:rsidR="003E6345" w:rsidRPr="00AA6563" w:rsidRDefault="003E6345" w:rsidP="003E6345">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interest bearing liabilities</w:t>
            </w:r>
          </w:p>
        </w:tc>
        <w:tc>
          <w:tcPr>
            <w:tcW w:w="1000" w:type="dxa"/>
            <w:tcBorders>
              <w:top w:val="single" w:sz="4" w:space="0" w:color="000000"/>
              <w:left w:val="nil"/>
              <w:bottom w:val="single" w:sz="4" w:space="0" w:color="000000"/>
              <w:right w:val="nil"/>
            </w:tcBorders>
            <w:shd w:val="clear" w:color="auto" w:fill="auto"/>
            <w:noWrap/>
            <w:vAlign w:val="bottom"/>
            <w:hideMark/>
          </w:tcPr>
          <w:p w14:paraId="25AA54BD" w14:textId="399BBAE6"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3,727</w:t>
            </w:r>
          </w:p>
        </w:tc>
        <w:tc>
          <w:tcPr>
            <w:tcW w:w="1000" w:type="dxa"/>
            <w:tcBorders>
              <w:top w:val="single" w:sz="4" w:space="0" w:color="000000"/>
              <w:left w:val="nil"/>
              <w:bottom w:val="single" w:sz="4" w:space="0" w:color="000000"/>
              <w:right w:val="nil"/>
            </w:tcBorders>
            <w:shd w:val="clear" w:color="000000" w:fill="E6E6E6"/>
            <w:noWrap/>
            <w:vAlign w:val="bottom"/>
            <w:hideMark/>
          </w:tcPr>
          <w:p w14:paraId="12819F92" w14:textId="22FEA57F"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2,868</w:t>
            </w:r>
          </w:p>
        </w:tc>
        <w:tc>
          <w:tcPr>
            <w:tcW w:w="1000" w:type="dxa"/>
            <w:tcBorders>
              <w:top w:val="single" w:sz="4" w:space="0" w:color="000000"/>
              <w:left w:val="nil"/>
              <w:bottom w:val="single" w:sz="4" w:space="0" w:color="000000"/>
              <w:right w:val="nil"/>
            </w:tcBorders>
            <w:shd w:val="clear" w:color="auto" w:fill="auto"/>
            <w:noWrap/>
            <w:vAlign w:val="bottom"/>
            <w:hideMark/>
          </w:tcPr>
          <w:p w14:paraId="11D34D67" w14:textId="269C75AE"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2,040</w:t>
            </w:r>
          </w:p>
        </w:tc>
        <w:tc>
          <w:tcPr>
            <w:tcW w:w="1000" w:type="dxa"/>
            <w:tcBorders>
              <w:top w:val="single" w:sz="4" w:space="0" w:color="000000"/>
              <w:left w:val="nil"/>
              <w:bottom w:val="single" w:sz="4" w:space="0" w:color="000000"/>
              <w:right w:val="nil"/>
            </w:tcBorders>
            <w:shd w:val="clear" w:color="auto" w:fill="auto"/>
            <w:noWrap/>
            <w:vAlign w:val="bottom"/>
            <w:hideMark/>
          </w:tcPr>
          <w:p w14:paraId="724D2615" w14:textId="41D05C23"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1,125</w:t>
            </w:r>
          </w:p>
        </w:tc>
        <w:tc>
          <w:tcPr>
            <w:tcW w:w="1000" w:type="dxa"/>
            <w:tcBorders>
              <w:top w:val="single" w:sz="4" w:space="0" w:color="000000"/>
              <w:left w:val="nil"/>
              <w:bottom w:val="single" w:sz="4" w:space="0" w:color="000000"/>
              <w:right w:val="nil"/>
            </w:tcBorders>
            <w:shd w:val="clear" w:color="auto" w:fill="auto"/>
            <w:noWrap/>
            <w:vAlign w:val="bottom"/>
            <w:hideMark/>
          </w:tcPr>
          <w:p w14:paraId="14BAE047" w14:textId="31C1D79C"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109</w:t>
            </w:r>
          </w:p>
        </w:tc>
      </w:tr>
      <w:tr w:rsidR="003E6345" w:rsidRPr="00AA6563" w14:paraId="04CFE600" w14:textId="77777777" w:rsidTr="00F02A01">
        <w:trPr>
          <w:trHeight w:val="204"/>
        </w:trPr>
        <w:tc>
          <w:tcPr>
            <w:tcW w:w="2694" w:type="dxa"/>
            <w:tcBorders>
              <w:top w:val="nil"/>
              <w:left w:val="nil"/>
              <w:bottom w:val="nil"/>
              <w:right w:val="nil"/>
            </w:tcBorders>
            <w:shd w:val="clear" w:color="auto" w:fill="auto"/>
            <w:noWrap/>
            <w:vAlign w:val="center"/>
            <w:hideMark/>
          </w:tcPr>
          <w:p w14:paraId="49C90A64" w14:textId="193FD84B" w:rsidR="003E6345" w:rsidRPr="00AA6563" w:rsidRDefault="003E6345" w:rsidP="003E6345">
            <w:pPr>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1000" w:type="dxa"/>
            <w:tcBorders>
              <w:top w:val="nil"/>
              <w:left w:val="nil"/>
              <w:bottom w:val="nil"/>
              <w:right w:val="nil"/>
            </w:tcBorders>
            <w:shd w:val="clear" w:color="auto" w:fill="auto"/>
            <w:noWrap/>
            <w:vAlign w:val="bottom"/>
            <w:hideMark/>
          </w:tcPr>
          <w:p w14:paraId="40A0759F" w14:textId="77777777" w:rsidR="003E6345" w:rsidRPr="00E17940" w:rsidRDefault="003E6345" w:rsidP="00F058F8">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bottom"/>
            <w:hideMark/>
          </w:tcPr>
          <w:p w14:paraId="66CD1FB0" w14:textId="74794639" w:rsidR="003E6345" w:rsidRPr="00E17940"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6645955A" w14:textId="77777777" w:rsidR="003E6345" w:rsidRPr="00E17940" w:rsidRDefault="003E6345"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167F858C" w14:textId="77777777" w:rsidR="003E6345" w:rsidRPr="00E17940" w:rsidRDefault="003E6345" w:rsidP="00F058F8">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35331C42" w14:textId="77777777" w:rsidR="003E6345" w:rsidRPr="00E17940" w:rsidRDefault="003E6345" w:rsidP="00F058F8">
            <w:pPr>
              <w:spacing w:after="0" w:line="240" w:lineRule="auto"/>
              <w:jc w:val="right"/>
              <w:rPr>
                <w:rFonts w:ascii="Arial" w:hAnsi="Arial" w:cs="Arial"/>
                <w:sz w:val="16"/>
                <w:szCs w:val="16"/>
              </w:rPr>
            </w:pPr>
          </w:p>
        </w:tc>
      </w:tr>
      <w:tr w:rsidR="003E6345" w:rsidRPr="00AA6563" w14:paraId="55866779" w14:textId="77777777" w:rsidTr="00F02A01">
        <w:trPr>
          <w:trHeight w:val="204"/>
        </w:trPr>
        <w:tc>
          <w:tcPr>
            <w:tcW w:w="2694" w:type="dxa"/>
            <w:tcBorders>
              <w:top w:val="nil"/>
              <w:left w:val="nil"/>
              <w:bottom w:val="nil"/>
              <w:right w:val="nil"/>
            </w:tcBorders>
            <w:shd w:val="clear" w:color="auto" w:fill="auto"/>
            <w:noWrap/>
            <w:vAlign w:val="center"/>
            <w:hideMark/>
          </w:tcPr>
          <w:p w14:paraId="36B72F32" w14:textId="6EF4D5C6" w:rsidR="003E6345" w:rsidRPr="00AA6563" w:rsidRDefault="003E6345" w:rsidP="000F1857">
            <w:pPr>
              <w:spacing w:after="0" w:line="240" w:lineRule="auto"/>
              <w:ind w:left="113"/>
              <w:jc w:val="left"/>
              <w:rPr>
                <w:rFonts w:ascii="Arial" w:hAnsi="Arial" w:cs="Arial"/>
                <w:color w:val="000000"/>
                <w:sz w:val="16"/>
                <w:szCs w:val="16"/>
              </w:rPr>
            </w:pPr>
            <w:r>
              <w:rPr>
                <w:rFonts w:ascii="Arial" w:hAnsi="Arial" w:cs="Arial"/>
                <w:color w:val="000000"/>
                <w:sz w:val="16"/>
                <w:szCs w:val="16"/>
              </w:rPr>
              <w:t>Employee provisions</w:t>
            </w:r>
          </w:p>
        </w:tc>
        <w:tc>
          <w:tcPr>
            <w:tcW w:w="1000" w:type="dxa"/>
            <w:tcBorders>
              <w:top w:val="nil"/>
              <w:left w:val="nil"/>
              <w:bottom w:val="nil"/>
              <w:right w:val="nil"/>
            </w:tcBorders>
            <w:shd w:val="clear" w:color="auto" w:fill="auto"/>
            <w:noWrap/>
            <w:vAlign w:val="bottom"/>
            <w:hideMark/>
          </w:tcPr>
          <w:p w14:paraId="2C9A568D" w14:textId="17CAB7CB"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11,996</w:t>
            </w:r>
          </w:p>
        </w:tc>
        <w:tc>
          <w:tcPr>
            <w:tcW w:w="1000" w:type="dxa"/>
            <w:tcBorders>
              <w:top w:val="nil"/>
              <w:left w:val="nil"/>
              <w:bottom w:val="nil"/>
              <w:right w:val="nil"/>
            </w:tcBorders>
            <w:shd w:val="clear" w:color="000000" w:fill="E6E6E6"/>
            <w:noWrap/>
            <w:vAlign w:val="bottom"/>
            <w:hideMark/>
          </w:tcPr>
          <w:p w14:paraId="37F71A58" w14:textId="42AC56B6"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12,230</w:t>
            </w:r>
          </w:p>
        </w:tc>
        <w:tc>
          <w:tcPr>
            <w:tcW w:w="1000" w:type="dxa"/>
            <w:tcBorders>
              <w:top w:val="nil"/>
              <w:left w:val="nil"/>
              <w:bottom w:val="nil"/>
              <w:right w:val="nil"/>
            </w:tcBorders>
            <w:shd w:val="clear" w:color="auto" w:fill="auto"/>
            <w:noWrap/>
            <w:vAlign w:val="bottom"/>
            <w:hideMark/>
          </w:tcPr>
          <w:p w14:paraId="1DBA6183" w14:textId="2E121BD2"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12,464</w:t>
            </w:r>
          </w:p>
        </w:tc>
        <w:tc>
          <w:tcPr>
            <w:tcW w:w="1000" w:type="dxa"/>
            <w:tcBorders>
              <w:top w:val="nil"/>
              <w:left w:val="nil"/>
              <w:bottom w:val="nil"/>
              <w:right w:val="nil"/>
            </w:tcBorders>
            <w:shd w:val="clear" w:color="auto" w:fill="auto"/>
            <w:noWrap/>
            <w:vAlign w:val="bottom"/>
            <w:hideMark/>
          </w:tcPr>
          <w:p w14:paraId="123B9344" w14:textId="3C896BA7"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12,698</w:t>
            </w:r>
          </w:p>
        </w:tc>
        <w:tc>
          <w:tcPr>
            <w:tcW w:w="1000" w:type="dxa"/>
            <w:tcBorders>
              <w:top w:val="nil"/>
              <w:left w:val="nil"/>
              <w:bottom w:val="nil"/>
              <w:right w:val="nil"/>
            </w:tcBorders>
            <w:shd w:val="clear" w:color="auto" w:fill="auto"/>
            <w:noWrap/>
            <w:vAlign w:val="bottom"/>
            <w:hideMark/>
          </w:tcPr>
          <w:p w14:paraId="128D65C8" w14:textId="68B60802"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12,932</w:t>
            </w:r>
          </w:p>
        </w:tc>
      </w:tr>
      <w:tr w:rsidR="003E6345" w:rsidRPr="00AA6563" w14:paraId="4E268695" w14:textId="77777777" w:rsidTr="00F02A01">
        <w:trPr>
          <w:trHeight w:val="204"/>
        </w:trPr>
        <w:tc>
          <w:tcPr>
            <w:tcW w:w="2694" w:type="dxa"/>
            <w:tcBorders>
              <w:top w:val="nil"/>
              <w:left w:val="nil"/>
              <w:bottom w:val="nil"/>
              <w:right w:val="nil"/>
            </w:tcBorders>
            <w:shd w:val="clear" w:color="auto" w:fill="auto"/>
            <w:noWrap/>
            <w:vAlign w:val="center"/>
            <w:hideMark/>
          </w:tcPr>
          <w:p w14:paraId="203C612E" w14:textId="77E58560" w:rsidR="003E6345" w:rsidRPr="00AA6563" w:rsidRDefault="003E6345" w:rsidP="000F1857">
            <w:pPr>
              <w:spacing w:after="0" w:line="240" w:lineRule="auto"/>
              <w:ind w:left="113"/>
              <w:jc w:val="left"/>
              <w:rPr>
                <w:rFonts w:ascii="Arial" w:hAnsi="Arial" w:cs="Arial"/>
                <w:color w:val="000000"/>
                <w:sz w:val="16"/>
                <w:szCs w:val="16"/>
              </w:rPr>
            </w:pPr>
            <w:r>
              <w:rPr>
                <w:rFonts w:ascii="Arial" w:hAnsi="Arial" w:cs="Arial"/>
                <w:color w:val="000000"/>
                <w:sz w:val="16"/>
                <w:szCs w:val="16"/>
              </w:rPr>
              <w:t>Other provisions</w:t>
            </w:r>
          </w:p>
        </w:tc>
        <w:tc>
          <w:tcPr>
            <w:tcW w:w="1000" w:type="dxa"/>
            <w:tcBorders>
              <w:top w:val="nil"/>
              <w:left w:val="nil"/>
              <w:bottom w:val="nil"/>
              <w:right w:val="nil"/>
            </w:tcBorders>
            <w:shd w:val="clear" w:color="auto" w:fill="auto"/>
            <w:noWrap/>
            <w:vAlign w:val="bottom"/>
            <w:hideMark/>
          </w:tcPr>
          <w:p w14:paraId="4768DB7B" w14:textId="55ADF9ED"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73</w:t>
            </w:r>
          </w:p>
        </w:tc>
        <w:tc>
          <w:tcPr>
            <w:tcW w:w="1000" w:type="dxa"/>
            <w:tcBorders>
              <w:top w:val="nil"/>
              <w:left w:val="nil"/>
              <w:bottom w:val="nil"/>
              <w:right w:val="nil"/>
            </w:tcBorders>
            <w:shd w:val="clear" w:color="000000" w:fill="E6E6E6"/>
            <w:noWrap/>
            <w:vAlign w:val="bottom"/>
            <w:hideMark/>
          </w:tcPr>
          <w:p w14:paraId="1CB8D940" w14:textId="2870E22E"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73</w:t>
            </w:r>
          </w:p>
        </w:tc>
        <w:tc>
          <w:tcPr>
            <w:tcW w:w="1000" w:type="dxa"/>
            <w:tcBorders>
              <w:top w:val="nil"/>
              <w:left w:val="nil"/>
              <w:bottom w:val="nil"/>
              <w:right w:val="nil"/>
            </w:tcBorders>
            <w:shd w:val="clear" w:color="auto" w:fill="auto"/>
            <w:noWrap/>
            <w:vAlign w:val="bottom"/>
            <w:hideMark/>
          </w:tcPr>
          <w:p w14:paraId="7A731E60" w14:textId="0FFE4473"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73</w:t>
            </w:r>
          </w:p>
        </w:tc>
        <w:tc>
          <w:tcPr>
            <w:tcW w:w="1000" w:type="dxa"/>
            <w:tcBorders>
              <w:top w:val="nil"/>
              <w:left w:val="nil"/>
              <w:bottom w:val="nil"/>
              <w:right w:val="nil"/>
            </w:tcBorders>
            <w:shd w:val="clear" w:color="auto" w:fill="auto"/>
            <w:noWrap/>
            <w:vAlign w:val="bottom"/>
            <w:hideMark/>
          </w:tcPr>
          <w:p w14:paraId="2D613692" w14:textId="6814341F"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73</w:t>
            </w:r>
          </w:p>
        </w:tc>
        <w:tc>
          <w:tcPr>
            <w:tcW w:w="1000" w:type="dxa"/>
            <w:tcBorders>
              <w:top w:val="nil"/>
              <w:left w:val="nil"/>
              <w:bottom w:val="nil"/>
              <w:right w:val="nil"/>
            </w:tcBorders>
            <w:shd w:val="clear" w:color="auto" w:fill="auto"/>
            <w:noWrap/>
            <w:vAlign w:val="bottom"/>
            <w:hideMark/>
          </w:tcPr>
          <w:p w14:paraId="057755E3" w14:textId="7A4CAE2C" w:rsidR="003E6345" w:rsidRPr="00E17940" w:rsidRDefault="003E6345"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73</w:t>
            </w:r>
          </w:p>
        </w:tc>
      </w:tr>
      <w:tr w:rsidR="003E6345" w:rsidRPr="00AA6563" w14:paraId="6B18EA37" w14:textId="77777777" w:rsidTr="00F02A01">
        <w:trPr>
          <w:trHeight w:val="204"/>
        </w:trPr>
        <w:tc>
          <w:tcPr>
            <w:tcW w:w="2694" w:type="dxa"/>
            <w:tcBorders>
              <w:top w:val="nil"/>
              <w:left w:val="nil"/>
              <w:bottom w:val="nil"/>
              <w:right w:val="nil"/>
            </w:tcBorders>
            <w:shd w:val="clear" w:color="auto" w:fill="auto"/>
            <w:noWrap/>
            <w:vAlign w:val="center"/>
            <w:hideMark/>
          </w:tcPr>
          <w:p w14:paraId="3705E6E9" w14:textId="4B4ADD31" w:rsidR="003E6345" w:rsidRPr="00AA6563" w:rsidRDefault="003E6345" w:rsidP="003E6345">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provisions</w:t>
            </w:r>
          </w:p>
        </w:tc>
        <w:tc>
          <w:tcPr>
            <w:tcW w:w="1000" w:type="dxa"/>
            <w:tcBorders>
              <w:top w:val="single" w:sz="4" w:space="0" w:color="000000"/>
              <w:left w:val="nil"/>
              <w:bottom w:val="single" w:sz="4" w:space="0" w:color="000000"/>
              <w:right w:val="nil"/>
            </w:tcBorders>
            <w:shd w:val="clear" w:color="auto" w:fill="auto"/>
            <w:noWrap/>
            <w:vAlign w:val="bottom"/>
            <w:hideMark/>
          </w:tcPr>
          <w:p w14:paraId="787837E2" w14:textId="1013E688"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12,069</w:t>
            </w:r>
          </w:p>
        </w:tc>
        <w:tc>
          <w:tcPr>
            <w:tcW w:w="1000" w:type="dxa"/>
            <w:tcBorders>
              <w:top w:val="single" w:sz="4" w:space="0" w:color="000000"/>
              <w:left w:val="nil"/>
              <w:bottom w:val="single" w:sz="4" w:space="0" w:color="000000"/>
              <w:right w:val="nil"/>
            </w:tcBorders>
            <w:shd w:val="clear" w:color="000000" w:fill="E6E6E6"/>
            <w:noWrap/>
            <w:vAlign w:val="bottom"/>
            <w:hideMark/>
          </w:tcPr>
          <w:p w14:paraId="3704BEA1" w14:textId="304D2C8C"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color w:val="000000"/>
                <w:sz w:val="16"/>
                <w:szCs w:val="16"/>
              </w:rPr>
              <w:t>12,303</w:t>
            </w:r>
          </w:p>
        </w:tc>
        <w:tc>
          <w:tcPr>
            <w:tcW w:w="1000" w:type="dxa"/>
            <w:tcBorders>
              <w:top w:val="single" w:sz="4" w:space="0" w:color="000000"/>
              <w:left w:val="nil"/>
              <w:bottom w:val="single" w:sz="4" w:space="0" w:color="000000"/>
              <w:right w:val="nil"/>
            </w:tcBorders>
            <w:shd w:val="clear" w:color="auto" w:fill="auto"/>
            <w:noWrap/>
            <w:vAlign w:val="bottom"/>
            <w:hideMark/>
          </w:tcPr>
          <w:p w14:paraId="4C12051F" w14:textId="0328EC81"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12,537</w:t>
            </w:r>
          </w:p>
        </w:tc>
        <w:tc>
          <w:tcPr>
            <w:tcW w:w="1000" w:type="dxa"/>
            <w:tcBorders>
              <w:top w:val="single" w:sz="4" w:space="0" w:color="000000"/>
              <w:left w:val="nil"/>
              <w:bottom w:val="single" w:sz="4" w:space="0" w:color="000000"/>
              <w:right w:val="nil"/>
            </w:tcBorders>
            <w:shd w:val="clear" w:color="auto" w:fill="auto"/>
            <w:noWrap/>
            <w:vAlign w:val="bottom"/>
            <w:hideMark/>
          </w:tcPr>
          <w:p w14:paraId="6A5B5FE9" w14:textId="47138128"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12,771</w:t>
            </w:r>
          </w:p>
        </w:tc>
        <w:tc>
          <w:tcPr>
            <w:tcW w:w="1000" w:type="dxa"/>
            <w:tcBorders>
              <w:top w:val="single" w:sz="4" w:space="0" w:color="000000"/>
              <w:left w:val="nil"/>
              <w:bottom w:val="single" w:sz="4" w:space="0" w:color="000000"/>
              <w:right w:val="nil"/>
            </w:tcBorders>
            <w:shd w:val="clear" w:color="auto" w:fill="auto"/>
            <w:noWrap/>
            <w:vAlign w:val="bottom"/>
            <w:hideMark/>
          </w:tcPr>
          <w:p w14:paraId="4E7B4BD4" w14:textId="580FC329" w:rsidR="003E6345" w:rsidRPr="00E17940" w:rsidRDefault="003E6345"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13,005</w:t>
            </w:r>
          </w:p>
        </w:tc>
      </w:tr>
      <w:tr w:rsidR="003E6345" w:rsidRPr="00AA6563" w14:paraId="7971AC96" w14:textId="77777777" w:rsidTr="00F02A01">
        <w:trPr>
          <w:trHeight w:val="204"/>
        </w:trPr>
        <w:tc>
          <w:tcPr>
            <w:tcW w:w="2694" w:type="dxa"/>
            <w:tcBorders>
              <w:top w:val="nil"/>
              <w:left w:val="nil"/>
              <w:right w:val="nil"/>
            </w:tcBorders>
            <w:shd w:val="clear" w:color="auto" w:fill="auto"/>
            <w:noWrap/>
            <w:vAlign w:val="center"/>
            <w:hideMark/>
          </w:tcPr>
          <w:p w14:paraId="35DE36E5" w14:textId="59BB8D64" w:rsidR="003E6345" w:rsidRPr="00AA6563" w:rsidRDefault="003E6345" w:rsidP="003E6345">
            <w:pPr>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w:t>
            </w:r>
          </w:p>
        </w:tc>
        <w:tc>
          <w:tcPr>
            <w:tcW w:w="1000" w:type="dxa"/>
            <w:tcBorders>
              <w:top w:val="single" w:sz="4" w:space="0" w:color="auto"/>
              <w:left w:val="nil"/>
              <w:bottom w:val="single" w:sz="4" w:space="0" w:color="auto"/>
              <w:right w:val="nil"/>
            </w:tcBorders>
            <w:shd w:val="clear" w:color="auto" w:fill="auto"/>
            <w:noWrap/>
            <w:vAlign w:val="bottom"/>
            <w:hideMark/>
          </w:tcPr>
          <w:p w14:paraId="28ECACDC" w14:textId="2EB79987"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24,700</w:t>
            </w:r>
          </w:p>
        </w:tc>
        <w:tc>
          <w:tcPr>
            <w:tcW w:w="1000" w:type="dxa"/>
            <w:tcBorders>
              <w:top w:val="single" w:sz="4" w:space="0" w:color="auto"/>
              <w:left w:val="nil"/>
              <w:bottom w:val="single" w:sz="4" w:space="0" w:color="auto"/>
              <w:right w:val="nil"/>
            </w:tcBorders>
            <w:shd w:val="clear" w:color="000000" w:fill="E6E6E6"/>
            <w:noWrap/>
            <w:vAlign w:val="bottom"/>
            <w:hideMark/>
          </w:tcPr>
          <w:p w14:paraId="1AB03A35" w14:textId="211B5492"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24,210</w:t>
            </w:r>
          </w:p>
        </w:tc>
        <w:tc>
          <w:tcPr>
            <w:tcW w:w="1000" w:type="dxa"/>
            <w:tcBorders>
              <w:top w:val="single" w:sz="4" w:space="0" w:color="auto"/>
              <w:left w:val="nil"/>
              <w:bottom w:val="single" w:sz="4" w:space="0" w:color="auto"/>
              <w:right w:val="nil"/>
            </w:tcBorders>
            <w:shd w:val="clear" w:color="auto" w:fill="auto"/>
            <w:noWrap/>
            <w:vAlign w:val="bottom"/>
            <w:hideMark/>
          </w:tcPr>
          <w:p w14:paraId="75B5C543" w14:textId="5BC52A2C"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23,616</w:t>
            </w:r>
          </w:p>
        </w:tc>
        <w:tc>
          <w:tcPr>
            <w:tcW w:w="1000" w:type="dxa"/>
            <w:tcBorders>
              <w:top w:val="single" w:sz="4" w:space="0" w:color="auto"/>
              <w:left w:val="nil"/>
              <w:bottom w:val="single" w:sz="4" w:space="0" w:color="auto"/>
              <w:right w:val="nil"/>
            </w:tcBorders>
            <w:shd w:val="clear" w:color="auto" w:fill="auto"/>
            <w:noWrap/>
            <w:vAlign w:val="bottom"/>
            <w:hideMark/>
          </w:tcPr>
          <w:p w14:paraId="595D9C84" w14:textId="07072C94"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22,935</w:t>
            </w:r>
          </w:p>
        </w:tc>
        <w:tc>
          <w:tcPr>
            <w:tcW w:w="1000" w:type="dxa"/>
            <w:tcBorders>
              <w:top w:val="single" w:sz="4" w:space="0" w:color="auto"/>
              <w:left w:val="nil"/>
              <w:bottom w:val="single" w:sz="4" w:space="0" w:color="auto"/>
              <w:right w:val="nil"/>
            </w:tcBorders>
            <w:shd w:val="clear" w:color="auto" w:fill="auto"/>
            <w:noWrap/>
            <w:vAlign w:val="bottom"/>
            <w:hideMark/>
          </w:tcPr>
          <w:p w14:paraId="774A537C" w14:textId="14092254"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22,163</w:t>
            </w:r>
          </w:p>
        </w:tc>
      </w:tr>
      <w:tr w:rsidR="003E6345" w:rsidRPr="00AA6563" w14:paraId="401FF505" w14:textId="77777777" w:rsidTr="00F02A01">
        <w:trPr>
          <w:trHeight w:val="204"/>
        </w:trPr>
        <w:tc>
          <w:tcPr>
            <w:tcW w:w="2694" w:type="dxa"/>
            <w:tcBorders>
              <w:top w:val="nil"/>
              <w:left w:val="nil"/>
              <w:right w:val="nil"/>
            </w:tcBorders>
            <w:shd w:val="clear" w:color="auto" w:fill="auto"/>
            <w:noWrap/>
            <w:vAlign w:val="center"/>
            <w:hideMark/>
          </w:tcPr>
          <w:p w14:paraId="18F6F01B" w14:textId="105FD318" w:rsidR="003E6345" w:rsidRPr="00AA6563" w:rsidRDefault="003E6345" w:rsidP="003E6345">
            <w:pPr>
              <w:spacing w:after="0" w:line="240" w:lineRule="auto"/>
              <w:jc w:val="left"/>
              <w:rPr>
                <w:rFonts w:ascii="Arial" w:hAnsi="Arial" w:cs="Arial"/>
                <w:b/>
                <w:bCs/>
                <w:sz w:val="16"/>
                <w:szCs w:val="16"/>
              </w:rPr>
            </w:pPr>
            <w:r>
              <w:rPr>
                <w:rFonts w:ascii="Arial" w:hAnsi="Arial" w:cs="Arial"/>
                <w:b/>
                <w:bCs/>
                <w:sz w:val="16"/>
                <w:szCs w:val="16"/>
              </w:rPr>
              <w:t>Net assets</w:t>
            </w:r>
          </w:p>
        </w:tc>
        <w:tc>
          <w:tcPr>
            <w:tcW w:w="1000" w:type="dxa"/>
            <w:tcBorders>
              <w:top w:val="nil"/>
              <w:left w:val="nil"/>
              <w:bottom w:val="single" w:sz="4" w:space="0" w:color="auto"/>
              <w:right w:val="nil"/>
            </w:tcBorders>
            <w:shd w:val="clear" w:color="auto" w:fill="auto"/>
            <w:noWrap/>
            <w:vAlign w:val="bottom"/>
            <w:hideMark/>
          </w:tcPr>
          <w:p w14:paraId="5465E7CA" w14:textId="1BBE9C57"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1,512,496</w:t>
            </w:r>
          </w:p>
        </w:tc>
        <w:tc>
          <w:tcPr>
            <w:tcW w:w="1000" w:type="dxa"/>
            <w:tcBorders>
              <w:top w:val="nil"/>
              <w:left w:val="nil"/>
              <w:bottom w:val="single" w:sz="4" w:space="0" w:color="auto"/>
              <w:right w:val="nil"/>
            </w:tcBorders>
            <w:shd w:val="clear" w:color="000000" w:fill="E6E6E6"/>
            <w:noWrap/>
            <w:vAlign w:val="bottom"/>
            <w:hideMark/>
          </w:tcPr>
          <w:p w14:paraId="647A221F" w14:textId="27257145"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1,511,647</w:t>
            </w:r>
          </w:p>
        </w:tc>
        <w:tc>
          <w:tcPr>
            <w:tcW w:w="1000" w:type="dxa"/>
            <w:tcBorders>
              <w:top w:val="nil"/>
              <w:left w:val="nil"/>
              <w:bottom w:val="single" w:sz="4" w:space="0" w:color="auto"/>
              <w:right w:val="nil"/>
            </w:tcBorders>
            <w:shd w:val="clear" w:color="auto" w:fill="auto"/>
            <w:noWrap/>
            <w:vAlign w:val="bottom"/>
            <w:hideMark/>
          </w:tcPr>
          <w:p w14:paraId="3C7BF520" w14:textId="231586F5"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1,510,854</w:t>
            </w:r>
          </w:p>
        </w:tc>
        <w:tc>
          <w:tcPr>
            <w:tcW w:w="1000" w:type="dxa"/>
            <w:tcBorders>
              <w:top w:val="nil"/>
              <w:left w:val="nil"/>
              <w:bottom w:val="single" w:sz="4" w:space="0" w:color="auto"/>
              <w:right w:val="nil"/>
            </w:tcBorders>
            <w:shd w:val="clear" w:color="auto" w:fill="auto"/>
            <w:noWrap/>
            <w:vAlign w:val="bottom"/>
            <w:hideMark/>
          </w:tcPr>
          <w:p w14:paraId="7A779BBF" w14:textId="5916596E"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1,510,145</w:t>
            </w:r>
          </w:p>
        </w:tc>
        <w:tc>
          <w:tcPr>
            <w:tcW w:w="1000" w:type="dxa"/>
            <w:tcBorders>
              <w:top w:val="nil"/>
              <w:left w:val="nil"/>
              <w:bottom w:val="single" w:sz="4" w:space="0" w:color="auto"/>
              <w:right w:val="nil"/>
            </w:tcBorders>
            <w:shd w:val="clear" w:color="auto" w:fill="auto"/>
            <w:noWrap/>
            <w:vAlign w:val="bottom"/>
            <w:hideMark/>
          </w:tcPr>
          <w:p w14:paraId="599EE765" w14:textId="27BA6BE4" w:rsidR="003E6345" w:rsidRPr="00E17940" w:rsidRDefault="003E6345"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1,509,477</w:t>
            </w:r>
          </w:p>
        </w:tc>
      </w:tr>
      <w:tr w:rsidR="00E17940" w:rsidRPr="00AA6563" w14:paraId="480C7989" w14:textId="77777777" w:rsidTr="00F02A01">
        <w:trPr>
          <w:trHeight w:val="204"/>
        </w:trPr>
        <w:tc>
          <w:tcPr>
            <w:tcW w:w="2694" w:type="dxa"/>
            <w:tcBorders>
              <w:left w:val="nil"/>
              <w:bottom w:val="nil"/>
              <w:right w:val="nil"/>
            </w:tcBorders>
            <w:shd w:val="clear" w:color="auto" w:fill="auto"/>
            <w:noWrap/>
            <w:vAlign w:val="center"/>
            <w:hideMark/>
          </w:tcPr>
          <w:p w14:paraId="250786CD" w14:textId="7A4C7AFA" w:rsidR="00E17940" w:rsidRPr="00AA6563" w:rsidRDefault="00E17940" w:rsidP="00E17940">
            <w:pPr>
              <w:spacing w:after="0" w:line="240" w:lineRule="auto"/>
              <w:jc w:val="left"/>
              <w:rPr>
                <w:rFonts w:ascii="Arial" w:hAnsi="Arial" w:cs="Arial"/>
                <w:b/>
                <w:bCs/>
                <w:color w:val="000000"/>
                <w:sz w:val="16"/>
                <w:szCs w:val="16"/>
              </w:rPr>
            </w:pPr>
            <w:r>
              <w:rPr>
                <w:rFonts w:ascii="Arial" w:hAnsi="Arial" w:cs="Arial"/>
                <w:b/>
                <w:bCs/>
                <w:color w:val="000000"/>
                <w:sz w:val="16"/>
                <w:szCs w:val="16"/>
              </w:rPr>
              <w:t>EQUITY</w:t>
            </w:r>
          </w:p>
        </w:tc>
        <w:tc>
          <w:tcPr>
            <w:tcW w:w="1000" w:type="dxa"/>
            <w:tcBorders>
              <w:top w:val="nil"/>
              <w:left w:val="nil"/>
              <w:bottom w:val="nil"/>
              <w:right w:val="nil"/>
            </w:tcBorders>
            <w:shd w:val="clear" w:color="auto" w:fill="auto"/>
            <w:noWrap/>
            <w:vAlign w:val="bottom"/>
            <w:hideMark/>
          </w:tcPr>
          <w:p w14:paraId="2CCB32FA" w14:textId="77777777" w:rsidR="00E17940" w:rsidRPr="00E17940" w:rsidRDefault="00E17940" w:rsidP="00F058F8">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bottom"/>
            <w:hideMark/>
          </w:tcPr>
          <w:p w14:paraId="0A6F65C2" w14:textId="35C9DE93" w:rsidR="00E17940" w:rsidRPr="00E17940" w:rsidRDefault="00E17940"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6E9F7B25" w14:textId="77777777" w:rsidR="00E17940" w:rsidRPr="00E17940" w:rsidRDefault="00E17940"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77443911" w14:textId="77777777" w:rsidR="00E17940" w:rsidRPr="00E17940" w:rsidRDefault="00E17940" w:rsidP="00F058F8">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0F4E407B" w14:textId="77777777" w:rsidR="00E17940" w:rsidRPr="00E17940" w:rsidRDefault="00E17940" w:rsidP="00F058F8">
            <w:pPr>
              <w:spacing w:after="0" w:line="240" w:lineRule="auto"/>
              <w:jc w:val="right"/>
              <w:rPr>
                <w:rFonts w:ascii="Arial" w:hAnsi="Arial" w:cs="Arial"/>
                <w:sz w:val="16"/>
                <w:szCs w:val="16"/>
              </w:rPr>
            </w:pPr>
          </w:p>
        </w:tc>
      </w:tr>
      <w:tr w:rsidR="00E17940" w:rsidRPr="00AA6563" w14:paraId="35D9A1C7" w14:textId="77777777" w:rsidTr="00F02A01">
        <w:trPr>
          <w:trHeight w:val="204"/>
        </w:trPr>
        <w:tc>
          <w:tcPr>
            <w:tcW w:w="2694" w:type="dxa"/>
            <w:tcBorders>
              <w:top w:val="nil"/>
              <w:left w:val="nil"/>
              <w:bottom w:val="nil"/>
              <w:right w:val="nil"/>
            </w:tcBorders>
            <w:shd w:val="clear" w:color="auto" w:fill="auto"/>
            <w:noWrap/>
            <w:vAlign w:val="center"/>
            <w:hideMark/>
          </w:tcPr>
          <w:p w14:paraId="219F6838" w14:textId="66586AA0" w:rsidR="00E17940" w:rsidRPr="00AA6563" w:rsidRDefault="00E17940" w:rsidP="00E17940">
            <w:pPr>
              <w:spacing w:after="0" w:line="240" w:lineRule="auto"/>
              <w:jc w:val="left"/>
              <w:rPr>
                <w:rFonts w:ascii="Arial" w:hAnsi="Arial" w:cs="Arial"/>
                <w:b/>
                <w:bCs/>
                <w:color w:val="000000"/>
                <w:sz w:val="16"/>
                <w:szCs w:val="16"/>
              </w:rPr>
            </w:pPr>
            <w:r>
              <w:rPr>
                <w:rFonts w:ascii="Arial" w:hAnsi="Arial" w:cs="Arial"/>
                <w:b/>
                <w:bCs/>
                <w:color w:val="000000"/>
                <w:sz w:val="16"/>
                <w:szCs w:val="16"/>
              </w:rPr>
              <w:t>Parent entity interest</w:t>
            </w:r>
          </w:p>
        </w:tc>
        <w:tc>
          <w:tcPr>
            <w:tcW w:w="1000" w:type="dxa"/>
            <w:tcBorders>
              <w:top w:val="nil"/>
              <w:left w:val="nil"/>
              <w:bottom w:val="nil"/>
              <w:right w:val="nil"/>
            </w:tcBorders>
            <w:shd w:val="clear" w:color="auto" w:fill="auto"/>
            <w:noWrap/>
            <w:vAlign w:val="bottom"/>
            <w:hideMark/>
          </w:tcPr>
          <w:p w14:paraId="7B6DF1F3" w14:textId="77777777" w:rsidR="00E17940" w:rsidRPr="00E17940" w:rsidRDefault="00E17940" w:rsidP="00F058F8">
            <w:pPr>
              <w:spacing w:after="0" w:line="240" w:lineRule="auto"/>
              <w:jc w:val="right"/>
              <w:rPr>
                <w:rFonts w:ascii="Arial" w:hAnsi="Arial" w:cs="Arial"/>
                <w:b/>
                <w:bCs/>
                <w:color w:val="000000"/>
                <w:sz w:val="16"/>
                <w:szCs w:val="16"/>
              </w:rPr>
            </w:pPr>
          </w:p>
        </w:tc>
        <w:tc>
          <w:tcPr>
            <w:tcW w:w="1000" w:type="dxa"/>
            <w:tcBorders>
              <w:top w:val="nil"/>
              <w:left w:val="nil"/>
              <w:bottom w:val="nil"/>
              <w:right w:val="nil"/>
            </w:tcBorders>
            <w:shd w:val="clear" w:color="000000" w:fill="E6E6E6"/>
            <w:noWrap/>
            <w:vAlign w:val="bottom"/>
            <w:hideMark/>
          </w:tcPr>
          <w:p w14:paraId="43E7EDAA" w14:textId="1C6C7197" w:rsidR="00E17940" w:rsidRPr="00E17940" w:rsidRDefault="00E17940"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33956C4C" w14:textId="77777777" w:rsidR="00E17940" w:rsidRPr="00E17940" w:rsidRDefault="00E17940" w:rsidP="00F058F8">
            <w:pPr>
              <w:spacing w:after="0" w:line="240" w:lineRule="auto"/>
              <w:jc w:val="right"/>
              <w:rPr>
                <w:rFonts w:ascii="Arial" w:hAnsi="Arial" w:cs="Arial"/>
                <w:color w:val="000000"/>
                <w:sz w:val="16"/>
                <w:szCs w:val="16"/>
              </w:rPr>
            </w:pPr>
          </w:p>
        </w:tc>
        <w:tc>
          <w:tcPr>
            <w:tcW w:w="1000" w:type="dxa"/>
            <w:tcBorders>
              <w:top w:val="nil"/>
              <w:left w:val="nil"/>
              <w:bottom w:val="nil"/>
              <w:right w:val="nil"/>
            </w:tcBorders>
            <w:shd w:val="clear" w:color="auto" w:fill="auto"/>
            <w:noWrap/>
            <w:vAlign w:val="bottom"/>
            <w:hideMark/>
          </w:tcPr>
          <w:p w14:paraId="06687BC6" w14:textId="77777777" w:rsidR="00E17940" w:rsidRPr="00E17940" w:rsidRDefault="00E17940" w:rsidP="00F058F8">
            <w:pPr>
              <w:spacing w:after="0" w:line="240" w:lineRule="auto"/>
              <w:jc w:val="right"/>
              <w:rPr>
                <w:rFonts w:ascii="Arial" w:hAnsi="Arial" w:cs="Arial"/>
                <w:sz w:val="16"/>
                <w:szCs w:val="16"/>
              </w:rPr>
            </w:pPr>
          </w:p>
        </w:tc>
        <w:tc>
          <w:tcPr>
            <w:tcW w:w="1000" w:type="dxa"/>
            <w:tcBorders>
              <w:top w:val="nil"/>
              <w:left w:val="nil"/>
              <w:bottom w:val="nil"/>
              <w:right w:val="nil"/>
            </w:tcBorders>
            <w:shd w:val="clear" w:color="auto" w:fill="auto"/>
            <w:noWrap/>
            <w:vAlign w:val="bottom"/>
            <w:hideMark/>
          </w:tcPr>
          <w:p w14:paraId="71611E70" w14:textId="77777777" w:rsidR="00E17940" w:rsidRPr="00E17940" w:rsidRDefault="00E17940" w:rsidP="00F058F8">
            <w:pPr>
              <w:spacing w:after="0" w:line="240" w:lineRule="auto"/>
              <w:jc w:val="right"/>
              <w:rPr>
                <w:rFonts w:ascii="Arial" w:hAnsi="Arial" w:cs="Arial"/>
                <w:sz w:val="16"/>
                <w:szCs w:val="16"/>
              </w:rPr>
            </w:pPr>
          </w:p>
        </w:tc>
      </w:tr>
      <w:tr w:rsidR="00E17940" w:rsidRPr="00AA6563" w14:paraId="254E5B4E" w14:textId="77777777" w:rsidTr="00F02A01">
        <w:trPr>
          <w:trHeight w:val="204"/>
        </w:trPr>
        <w:tc>
          <w:tcPr>
            <w:tcW w:w="2694" w:type="dxa"/>
            <w:tcBorders>
              <w:top w:val="nil"/>
              <w:left w:val="nil"/>
              <w:bottom w:val="nil"/>
              <w:right w:val="nil"/>
            </w:tcBorders>
            <w:shd w:val="clear" w:color="auto" w:fill="auto"/>
            <w:noWrap/>
            <w:vAlign w:val="center"/>
            <w:hideMark/>
          </w:tcPr>
          <w:p w14:paraId="79202921" w14:textId="05996CC8" w:rsidR="00E17940" w:rsidRPr="00AA6563" w:rsidRDefault="00E17940" w:rsidP="000F1857">
            <w:pPr>
              <w:spacing w:after="0" w:line="240" w:lineRule="auto"/>
              <w:ind w:left="113"/>
              <w:jc w:val="left"/>
              <w:rPr>
                <w:rFonts w:ascii="Arial" w:hAnsi="Arial" w:cs="Arial"/>
                <w:color w:val="000000"/>
                <w:sz w:val="16"/>
                <w:szCs w:val="16"/>
              </w:rPr>
            </w:pPr>
            <w:r>
              <w:rPr>
                <w:rFonts w:ascii="Arial" w:hAnsi="Arial" w:cs="Arial"/>
                <w:color w:val="000000"/>
                <w:sz w:val="16"/>
                <w:szCs w:val="16"/>
              </w:rPr>
              <w:t>Contributed equity</w:t>
            </w:r>
          </w:p>
        </w:tc>
        <w:tc>
          <w:tcPr>
            <w:tcW w:w="1000" w:type="dxa"/>
            <w:tcBorders>
              <w:top w:val="nil"/>
              <w:left w:val="nil"/>
              <w:bottom w:val="nil"/>
              <w:right w:val="nil"/>
            </w:tcBorders>
            <w:shd w:val="clear" w:color="auto" w:fill="auto"/>
            <w:noWrap/>
            <w:vAlign w:val="bottom"/>
            <w:hideMark/>
          </w:tcPr>
          <w:p w14:paraId="61D6CF06" w14:textId="074E6C93"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137,236</w:t>
            </w:r>
          </w:p>
        </w:tc>
        <w:tc>
          <w:tcPr>
            <w:tcW w:w="1000" w:type="dxa"/>
            <w:tcBorders>
              <w:top w:val="nil"/>
              <w:left w:val="nil"/>
              <w:bottom w:val="nil"/>
              <w:right w:val="nil"/>
            </w:tcBorders>
            <w:shd w:val="clear" w:color="000000" w:fill="E6E6E6"/>
            <w:noWrap/>
            <w:vAlign w:val="bottom"/>
            <w:hideMark/>
          </w:tcPr>
          <w:p w14:paraId="08D0F2B9" w14:textId="66A7F826"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146,802</w:t>
            </w:r>
          </w:p>
        </w:tc>
        <w:tc>
          <w:tcPr>
            <w:tcW w:w="1000" w:type="dxa"/>
            <w:tcBorders>
              <w:top w:val="nil"/>
              <w:left w:val="nil"/>
              <w:bottom w:val="nil"/>
              <w:right w:val="nil"/>
            </w:tcBorders>
            <w:shd w:val="clear" w:color="auto" w:fill="auto"/>
            <w:noWrap/>
            <w:vAlign w:val="bottom"/>
            <w:hideMark/>
          </w:tcPr>
          <w:p w14:paraId="52FC5901" w14:textId="54E7C536"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156,424</w:t>
            </w:r>
          </w:p>
        </w:tc>
        <w:tc>
          <w:tcPr>
            <w:tcW w:w="1000" w:type="dxa"/>
            <w:tcBorders>
              <w:top w:val="nil"/>
              <w:left w:val="nil"/>
              <w:bottom w:val="nil"/>
              <w:right w:val="nil"/>
            </w:tcBorders>
            <w:shd w:val="clear" w:color="auto" w:fill="auto"/>
            <w:noWrap/>
            <w:vAlign w:val="bottom"/>
            <w:hideMark/>
          </w:tcPr>
          <w:p w14:paraId="35EF653D" w14:textId="5A8588AD"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166,104</w:t>
            </w:r>
          </w:p>
        </w:tc>
        <w:tc>
          <w:tcPr>
            <w:tcW w:w="1000" w:type="dxa"/>
            <w:tcBorders>
              <w:top w:val="nil"/>
              <w:left w:val="nil"/>
              <w:bottom w:val="nil"/>
              <w:right w:val="nil"/>
            </w:tcBorders>
            <w:shd w:val="clear" w:color="auto" w:fill="auto"/>
            <w:noWrap/>
            <w:vAlign w:val="bottom"/>
            <w:hideMark/>
          </w:tcPr>
          <w:p w14:paraId="3C0BA1E3" w14:textId="4FD92971"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175,859</w:t>
            </w:r>
          </w:p>
        </w:tc>
      </w:tr>
      <w:tr w:rsidR="00E17940" w:rsidRPr="00AA6563" w14:paraId="3C907C8C" w14:textId="77777777" w:rsidTr="00F02A01">
        <w:trPr>
          <w:trHeight w:val="204"/>
        </w:trPr>
        <w:tc>
          <w:tcPr>
            <w:tcW w:w="2694" w:type="dxa"/>
            <w:tcBorders>
              <w:top w:val="nil"/>
              <w:left w:val="nil"/>
              <w:bottom w:val="nil"/>
              <w:right w:val="nil"/>
            </w:tcBorders>
            <w:shd w:val="clear" w:color="auto" w:fill="auto"/>
            <w:noWrap/>
            <w:vAlign w:val="center"/>
            <w:hideMark/>
          </w:tcPr>
          <w:p w14:paraId="4A119102" w14:textId="797F91F4" w:rsidR="00E17940" w:rsidRPr="00AA6563" w:rsidRDefault="00E17940" w:rsidP="000F1857">
            <w:pPr>
              <w:spacing w:after="0" w:line="240" w:lineRule="auto"/>
              <w:ind w:left="113"/>
              <w:jc w:val="left"/>
              <w:rPr>
                <w:rFonts w:ascii="Arial" w:hAnsi="Arial" w:cs="Arial"/>
                <w:color w:val="000000"/>
                <w:sz w:val="16"/>
                <w:szCs w:val="16"/>
              </w:rPr>
            </w:pPr>
            <w:r>
              <w:rPr>
                <w:rFonts w:ascii="Arial" w:hAnsi="Arial" w:cs="Arial"/>
                <w:color w:val="000000"/>
                <w:sz w:val="16"/>
                <w:szCs w:val="16"/>
              </w:rPr>
              <w:t>Reserves</w:t>
            </w:r>
          </w:p>
        </w:tc>
        <w:tc>
          <w:tcPr>
            <w:tcW w:w="1000" w:type="dxa"/>
            <w:tcBorders>
              <w:top w:val="nil"/>
              <w:left w:val="nil"/>
              <w:bottom w:val="nil"/>
              <w:right w:val="nil"/>
            </w:tcBorders>
            <w:shd w:val="clear" w:color="auto" w:fill="auto"/>
            <w:noWrap/>
            <w:vAlign w:val="bottom"/>
            <w:hideMark/>
          </w:tcPr>
          <w:p w14:paraId="1EF4D31E" w14:textId="5917B0A9"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201,269</w:t>
            </w:r>
          </w:p>
        </w:tc>
        <w:tc>
          <w:tcPr>
            <w:tcW w:w="1000" w:type="dxa"/>
            <w:tcBorders>
              <w:top w:val="nil"/>
              <w:left w:val="nil"/>
              <w:bottom w:val="nil"/>
              <w:right w:val="nil"/>
            </w:tcBorders>
            <w:shd w:val="clear" w:color="000000" w:fill="E6E6E6"/>
            <w:noWrap/>
            <w:vAlign w:val="bottom"/>
            <w:hideMark/>
          </w:tcPr>
          <w:p w14:paraId="3153F420" w14:textId="7CE130B6"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201,269</w:t>
            </w:r>
          </w:p>
        </w:tc>
        <w:tc>
          <w:tcPr>
            <w:tcW w:w="1000" w:type="dxa"/>
            <w:tcBorders>
              <w:top w:val="nil"/>
              <w:left w:val="nil"/>
              <w:bottom w:val="nil"/>
              <w:right w:val="nil"/>
            </w:tcBorders>
            <w:shd w:val="clear" w:color="auto" w:fill="auto"/>
            <w:noWrap/>
            <w:vAlign w:val="bottom"/>
            <w:hideMark/>
          </w:tcPr>
          <w:p w14:paraId="7CC93B60" w14:textId="6616B6D8"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201,269</w:t>
            </w:r>
          </w:p>
        </w:tc>
        <w:tc>
          <w:tcPr>
            <w:tcW w:w="1000" w:type="dxa"/>
            <w:tcBorders>
              <w:top w:val="nil"/>
              <w:left w:val="nil"/>
              <w:bottom w:val="nil"/>
              <w:right w:val="nil"/>
            </w:tcBorders>
            <w:shd w:val="clear" w:color="auto" w:fill="auto"/>
            <w:noWrap/>
            <w:vAlign w:val="bottom"/>
            <w:hideMark/>
          </w:tcPr>
          <w:p w14:paraId="4EF7C437" w14:textId="107158B5"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201,269</w:t>
            </w:r>
          </w:p>
        </w:tc>
        <w:tc>
          <w:tcPr>
            <w:tcW w:w="1000" w:type="dxa"/>
            <w:tcBorders>
              <w:top w:val="nil"/>
              <w:left w:val="nil"/>
              <w:bottom w:val="nil"/>
              <w:right w:val="nil"/>
            </w:tcBorders>
            <w:shd w:val="clear" w:color="auto" w:fill="auto"/>
            <w:noWrap/>
            <w:vAlign w:val="bottom"/>
            <w:hideMark/>
          </w:tcPr>
          <w:p w14:paraId="122F5304" w14:textId="6764E23B"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201,269</w:t>
            </w:r>
          </w:p>
        </w:tc>
      </w:tr>
      <w:tr w:rsidR="00E17940" w:rsidRPr="00AA6563" w14:paraId="329DAFF5" w14:textId="77777777" w:rsidTr="00F02A01">
        <w:trPr>
          <w:trHeight w:val="204"/>
        </w:trPr>
        <w:tc>
          <w:tcPr>
            <w:tcW w:w="2694" w:type="dxa"/>
            <w:tcBorders>
              <w:top w:val="nil"/>
              <w:left w:val="nil"/>
              <w:bottom w:val="nil"/>
              <w:right w:val="nil"/>
            </w:tcBorders>
            <w:shd w:val="clear" w:color="auto" w:fill="auto"/>
            <w:vAlign w:val="center"/>
            <w:hideMark/>
          </w:tcPr>
          <w:p w14:paraId="0E06D444" w14:textId="63C8A8E5" w:rsidR="00E17940" w:rsidRPr="00AA6563" w:rsidRDefault="00E17940" w:rsidP="000F1857">
            <w:pPr>
              <w:spacing w:after="0" w:line="240" w:lineRule="auto"/>
              <w:ind w:left="113"/>
              <w:jc w:val="left"/>
              <w:rPr>
                <w:rFonts w:ascii="Arial" w:hAnsi="Arial" w:cs="Arial"/>
                <w:color w:val="000000"/>
                <w:sz w:val="16"/>
                <w:szCs w:val="16"/>
              </w:rPr>
            </w:pPr>
            <w:r>
              <w:rPr>
                <w:rFonts w:ascii="Arial" w:hAnsi="Arial" w:cs="Arial"/>
                <w:color w:val="000000"/>
                <w:sz w:val="16"/>
                <w:szCs w:val="16"/>
              </w:rPr>
              <w:t>Retained surplus (accumulated</w:t>
            </w:r>
            <w:r w:rsidR="000F1857">
              <w:rPr>
                <w:rFonts w:ascii="Arial" w:hAnsi="Arial" w:cs="Arial"/>
                <w:color w:val="000000"/>
                <w:sz w:val="16"/>
                <w:szCs w:val="16"/>
              </w:rPr>
              <w:t xml:space="preserve"> </w:t>
            </w:r>
            <w:r>
              <w:rPr>
                <w:rFonts w:ascii="Arial" w:hAnsi="Arial" w:cs="Arial"/>
                <w:color w:val="000000"/>
                <w:sz w:val="16"/>
                <w:szCs w:val="16"/>
              </w:rPr>
              <w:t>deficit)</w:t>
            </w:r>
          </w:p>
        </w:tc>
        <w:tc>
          <w:tcPr>
            <w:tcW w:w="1000" w:type="dxa"/>
            <w:tcBorders>
              <w:top w:val="nil"/>
              <w:left w:val="nil"/>
              <w:bottom w:val="nil"/>
              <w:right w:val="nil"/>
            </w:tcBorders>
            <w:shd w:val="clear" w:color="auto" w:fill="auto"/>
            <w:noWrap/>
            <w:vAlign w:val="bottom"/>
            <w:hideMark/>
          </w:tcPr>
          <w:p w14:paraId="3709DA2B" w14:textId="2447E068"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1,173,991</w:t>
            </w:r>
          </w:p>
        </w:tc>
        <w:tc>
          <w:tcPr>
            <w:tcW w:w="1000" w:type="dxa"/>
            <w:tcBorders>
              <w:top w:val="nil"/>
              <w:left w:val="nil"/>
              <w:bottom w:val="nil"/>
              <w:right w:val="nil"/>
            </w:tcBorders>
            <w:shd w:val="clear" w:color="000000" w:fill="E6E6E6"/>
            <w:noWrap/>
            <w:vAlign w:val="bottom"/>
            <w:hideMark/>
          </w:tcPr>
          <w:p w14:paraId="10037692" w14:textId="7478A9A1"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1,163,576</w:t>
            </w:r>
          </w:p>
        </w:tc>
        <w:tc>
          <w:tcPr>
            <w:tcW w:w="1000" w:type="dxa"/>
            <w:tcBorders>
              <w:top w:val="nil"/>
              <w:left w:val="nil"/>
              <w:bottom w:val="nil"/>
              <w:right w:val="nil"/>
            </w:tcBorders>
            <w:shd w:val="clear" w:color="auto" w:fill="auto"/>
            <w:noWrap/>
            <w:vAlign w:val="bottom"/>
            <w:hideMark/>
          </w:tcPr>
          <w:p w14:paraId="6FE8756F" w14:textId="54107A00"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1,153,161</w:t>
            </w:r>
          </w:p>
        </w:tc>
        <w:tc>
          <w:tcPr>
            <w:tcW w:w="1000" w:type="dxa"/>
            <w:tcBorders>
              <w:top w:val="nil"/>
              <w:left w:val="nil"/>
              <w:bottom w:val="nil"/>
              <w:right w:val="nil"/>
            </w:tcBorders>
            <w:shd w:val="clear" w:color="auto" w:fill="auto"/>
            <w:noWrap/>
            <w:vAlign w:val="bottom"/>
            <w:hideMark/>
          </w:tcPr>
          <w:p w14:paraId="43EE1E95" w14:textId="17253D3A"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1,142,772</w:t>
            </w:r>
          </w:p>
        </w:tc>
        <w:tc>
          <w:tcPr>
            <w:tcW w:w="1000" w:type="dxa"/>
            <w:tcBorders>
              <w:top w:val="nil"/>
              <w:left w:val="nil"/>
              <w:bottom w:val="nil"/>
              <w:right w:val="nil"/>
            </w:tcBorders>
            <w:shd w:val="clear" w:color="auto" w:fill="auto"/>
            <w:noWrap/>
            <w:vAlign w:val="bottom"/>
            <w:hideMark/>
          </w:tcPr>
          <w:p w14:paraId="21180C54" w14:textId="0AAA8AC7"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1,132,349</w:t>
            </w:r>
          </w:p>
        </w:tc>
      </w:tr>
      <w:tr w:rsidR="00E17940" w:rsidRPr="00AA6563" w14:paraId="533D042A" w14:textId="77777777" w:rsidTr="00F02A01">
        <w:trPr>
          <w:trHeight w:val="204"/>
        </w:trPr>
        <w:tc>
          <w:tcPr>
            <w:tcW w:w="2694" w:type="dxa"/>
            <w:tcBorders>
              <w:top w:val="nil"/>
              <w:left w:val="nil"/>
              <w:bottom w:val="nil"/>
              <w:right w:val="nil"/>
            </w:tcBorders>
            <w:shd w:val="clear" w:color="auto" w:fill="auto"/>
            <w:noWrap/>
            <w:vAlign w:val="center"/>
            <w:hideMark/>
          </w:tcPr>
          <w:p w14:paraId="667421BE" w14:textId="22F68D40" w:rsidR="00E17940" w:rsidRPr="00AA6563" w:rsidRDefault="00E17940" w:rsidP="00E17940">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parent entity interest</w:t>
            </w:r>
          </w:p>
        </w:tc>
        <w:tc>
          <w:tcPr>
            <w:tcW w:w="1000" w:type="dxa"/>
            <w:tcBorders>
              <w:top w:val="single" w:sz="4" w:space="0" w:color="000000"/>
              <w:left w:val="nil"/>
              <w:bottom w:val="single" w:sz="4" w:space="0" w:color="000000"/>
              <w:right w:val="nil"/>
            </w:tcBorders>
            <w:shd w:val="clear" w:color="auto" w:fill="auto"/>
            <w:noWrap/>
            <w:vAlign w:val="bottom"/>
            <w:hideMark/>
          </w:tcPr>
          <w:p w14:paraId="103F6AC4" w14:textId="4B9AAA51"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1,512,496</w:t>
            </w:r>
          </w:p>
        </w:tc>
        <w:tc>
          <w:tcPr>
            <w:tcW w:w="1000" w:type="dxa"/>
            <w:tcBorders>
              <w:top w:val="single" w:sz="4" w:space="0" w:color="000000"/>
              <w:left w:val="nil"/>
              <w:bottom w:val="single" w:sz="4" w:space="0" w:color="000000"/>
              <w:right w:val="nil"/>
            </w:tcBorders>
            <w:shd w:val="clear" w:color="000000" w:fill="E6E6E6"/>
            <w:noWrap/>
            <w:vAlign w:val="bottom"/>
            <w:hideMark/>
          </w:tcPr>
          <w:p w14:paraId="6BEF9487" w14:textId="0784BDD8"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1,511,647</w:t>
            </w:r>
          </w:p>
        </w:tc>
        <w:tc>
          <w:tcPr>
            <w:tcW w:w="1000" w:type="dxa"/>
            <w:tcBorders>
              <w:top w:val="single" w:sz="4" w:space="0" w:color="000000"/>
              <w:left w:val="nil"/>
              <w:bottom w:val="single" w:sz="4" w:space="0" w:color="000000"/>
              <w:right w:val="nil"/>
            </w:tcBorders>
            <w:shd w:val="clear" w:color="auto" w:fill="auto"/>
            <w:noWrap/>
            <w:vAlign w:val="bottom"/>
            <w:hideMark/>
          </w:tcPr>
          <w:p w14:paraId="6121E924" w14:textId="0A73C7D6"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1,510,854</w:t>
            </w:r>
          </w:p>
        </w:tc>
        <w:tc>
          <w:tcPr>
            <w:tcW w:w="1000" w:type="dxa"/>
            <w:tcBorders>
              <w:top w:val="single" w:sz="4" w:space="0" w:color="000000"/>
              <w:left w:val="nil"/>
              <w:bottom w:val="single" w:sz="4" w:space="0" w:color="000000"/>
              <w:right w:val="nil"/>
            </w:tcBorders>
            <w:shd w:val="clear" w:color="auto" w:fill="auto"/>
            <w:noWrap/>
            <w:vAlign w:val="bottom"/>
            <w:hideMark/>
          </w:tcPr>
          <w:p w14:paraId="6CF9EBB5" w14:textId="16C61158"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1,510,145</w:t>
            </w:r>
          </w:p>
        </w:tc>
        <w:tc>
          <w:tcPr>
            <w:tcW w:w="1000" w:type="dxa"/>
            <w:tcBorders>
              <w:top w:val="single" w:sz="4" w:space="0" w:color="000000"/>
              <w:left w:val="nil"/>
              <w:bottom w:val="single" w:sz="4" w:space="0" w:color="000000"/>
              <w:right w:val="nil"/>
            </w:tcBorders>
            <w:shd w:val="clear" w:color="auto" w:fill="auto"/>
            <w:noWrap/>
            <w:vAlign w:val="bottom"/>
            <w:hideMark/>
          </w:tcPr>
          <w:p w14:paraId="4AD47298" w14:textId="47942413"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1,509,477</w:t>
            </w:r>
          </w:p>
        </w:tc>
      </w:tr>
      <w:tr w:rsidR="00E17940" w:rsidRPr="00AA6563" w14:paraId="793991B5" w14:textId="77777777" w:rsidTr="00F02A01">
        <w:trPr>
          <w:trHeight w:val="204"/>
        </w:trPr>
        <w:tc>
          <w:tcPr>
            <w:tcW w:w="2694" w:type="dxa"/>
            <w:tcBorders>
              <w:top w:val="nil"/>
              <w:left w:val="nil"/>
              <w:bottom w:val="single" w:sz="4" w:space="0" w:color="000000"/>
              <w:right w:val="nil"/>
            </w:tcBorders>
            <w:shd w:val="clear" w:color="auto" w:fill="auto"/>
            <w:noWrap/>
            <w:vAlign w:val="center"/>
            <w:hideMark/>
          </w:tcPr>
          <w:p w14:paraId="66D59C04" w14:textId="0945A44B" w:rsidR="00E17940" w:rsidRPr="00AA6563" w:rsidRDefault="00E17940" w:rsidP="00E17940">
            <w:pPr>
              <w:spacing w:after="0" w:line="240" w:lineRule="auto"/>
              <w:jc w:val="left"/>
              <w:rPr>
                <w:rFonts w:ascii="Arial" w:hAnsi="Arial" w:cs="Arial"/>
                <w:b/>
                <w:bCs/>
                <w:color w:val="000000"/>
                <w:sz w:val="16"/>
                <w:szCs w:val="16"/>
              </w:rPr>
            </w:pPr>
            <w:r>
              <w:rPr>
                <w:rFonts w:ascii="Arial" w:hAnsi="Arial" w:cs="Arial"/>
                <w:b/>
                <w:bCs/>
                <w:color w:val="000000"/>
                <w:sz w:val="16"/>
                <w:szCs w:val="16"/>
              </w:rPr>
              <w:t>Total equity</w:t>
            </w:r>
          </w:p>
        </w:tc>
        <w:tc>
          <w:tcPr>
            <w:tcW w:w="1000" w:type="dxa"/>
            <w:tcBorders>
              <w:top w:val="nil"/>
              <w:left w:val="nil"/>
              <w:bottom w:val="single" w:sz="4" w:space="0" w:color="000000"/>
              <w:right w:val="nil"/>
            </w:tcBorders>
            <w:shd w:val="clear" w:color="auto" w:fill="auto"/>
            <w:noWrap/>
            <w:vAlign w:val="bottom"/>
            <w:hideMark/>
          </w:tcPr>
          <w:p w14:paraId="2BCF40B6" w14:textId="1938D535"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1,512,496</w:t>
            </w:r>
          </w:p>
        </w:tc>
        <w:tc>
          <w:tcPr>
            <w:tcW w:w="1000" w:type="dxa"/>
            <w:tcBorders>
              <w:top w:val="nil"/>
              <w:left w:val="nil"/>
              <w:bottom w:val="single" w:sz="4" w:space="0" w:color="000000"/>
              <w:right w:val="nil"/>
            </w:tcBorders>
            <w:shd w:val="clear" w:color="000000" w:fill="E6E6E6"/>
            <w:noWrap/>
            <w:vAlign w:val="bottom"/>
            <w:hideMark/>
          </w:tcPr>
          <w:p w14:paraId="48F2583D" w14:textId="3457FFBD"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1,511,647</w:t>
            </w:r>
          </w:p>
        </w:tc>
        <w:tc>
          <w:tcPr>
            <w:tcW w:w="1000" w:type="dxa"/>
            <w:tcBorders>
              <w:top w:val="nil"/>
              <w:left w:val="nil"/>
              <w:bottom w:val="single" w:sz="4" w:space="0" w:color="000000"/>
              <w:right w:val="nil"/>
            </w:tcBorders>
            <w:shd w:val="clear" w:color="auto" w:fill="auto"/>
            <w:noWrap/>
            <w:vAlign w:val="bottom"/>
            <w:hideMark/>
          </w:tcPr>
          <w:p w14:paraId="142FF900" w14:textId="2EFAB2F4"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1,510,854</w:t>
            </w:r>
          </w:p>
        </w:tc>
        <w:tc>
          <w:tcPr>
            <w:tcW w:w="1000" w:type="dxa"/>
            <w:tcBorders>
              <w:top w:val="nil"/>
              <w:left w:val="nil"/>
              <w:bottom w:val="single" w:sz="4" w:space="0" w:color="000000"/>
              <w:right w:val="nil"/>
            </w:tcBorders>
            <w:shd w:val="clear" w:color="auto" w:fill="auto"/>
            <w:noWrap/>
            <w:vAlign w:val="bottom"/>
            <w:hideMark/>
          </w:tcPr>
          <w:p w14:paraId="0F702A81" w14:textId="62B00471"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1,510,145</w:t>
            </w:r>
          </w:p>
        </w:tc>
        <w:tc>
          <w:tcPr>
            <w:tcW w:w="1000" w:type="dxa"/>
            <w:tcBorders>
              <w:top w:val="nil"/>
              <w:left w:val="nil"/>
              <w:bottom w:val="single" w:sz="4" w:space="0" w:color="000000"/>
              <w:right w:val="nil"/>
            </w:tcBorders>
            <w:shd w:val="clear" w:color="auto" w:fill="auto"/>
            <w:noWrap/>
            <w:vAlign w:val="bottom"/>
            <w:hideMark/>
          </w:tcPr>
          <w:p w14:paraId="5D1B3E80" w14:textId="15A76009"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1,509,477</w:t>
            </w:r>
          </w:p>
        </w:tc>
      </w:tr>
    </w:tbl>
    <w:p w14:paraId="682B70DD" w14:textId="2D9CAAB1" w:rsidR="00E17940" w:rsidRDefault="00984C33" w:rsidP="00574131">
      <w:pPr>
        <w:spacing w:before="60" w:after="0" w:line="240" w:lineRule="auto"/>
        <w:jc w:val="left"/>
        <w:rPr>
          <w:rFonts w:ascii="Arial" w:hAnsi="Arial"/>
          <w:b/>
          <w:lang w:val="x-none"/>
        </w:rPr>
      </w:pPr>
      <w:r w:rsidRPr="009F4BA5">
        <w:rPr>
          <w:rFonts w:ascii="Arial" w:hAnsi="Arial" w:cs="Arial"/>
          <w:sz w:val="16"/>
        </w:rPr>
        <w:t>Prepared on Australian Accounting Standards basis.</w:t>
      </w:r>
      <w:r w:rsidR="00E17940">
        <w:br w:type="page"/>
      </w:r>
    </w:p>
    <w:p w14:paraId="42598943" w14:textId="1B0FDAD5" w:rsidR="00E17940" w:rsidRDefault="00984C33" w:rsidP="00984C33">
      <w:pPr>
        <w:pStyle w:val="TableHeading"/>
      </w:pPr>
      <w:r w:rsidRPr="00AD42E2">
        <w:lastRenderedPageBreak/>
        <w:t>Table 3.</w:t>
      </w:r>
      <w:r>
        <w:rPr>
          <w:lang w:val="en-US"/>
        </w:rPr>
        <w:t>4</w:t>
      </w:r>
      <w:r w:rsidRPr="00AD42E2">
        <w:t xml:space="preserve">: </w:t>
      </w:r>
      <w:r w:rsidR="008863D9">
        <w:t>Department</w:t>
      </w:r>
      <w:r w:rsidRPr="00AD42E2">
        <w:t>al statement of changes in equity — summary of</w:t>
      </w:r>
      <w:r>
        <w:t xml:space="preserve"> movement (</w:t>
      </w:r>
      <w:r w:rsidR="00377489">
        <w:t>2021-22 Budget year</w:t>
      </w:r>
      <w:r w:rsidRPr="00D30CBA">
        <w:t>)</w:t>
      </w:r>
    </w:p>
    <w:tbl>
      <w:tblPr>
        <w:tblW w:w="7700" w:type="dxa"/>
        <w:tblLook w:val="04A0" w:firstRow="1" w:lastRow="0" w:firstColumn="1" w:lastColumn="0" w:noHBand="0" w:noVBand="1"/>
      </w:tblPr>
      <w:tblGrid>
        <w:gridCol w:w="2976"/>
        <w:gridCol w:w="1235"/>
        <w:gridCol w:w="1117"/>
        <w:gridCol w:w="1117"/>
        <w:gridCol w:w="1255"/>
      </w:tblGrid>
      <w:tr w:rsidR="00E17940" w:rsidRPr="00E17940" w14:paraId="0934C8A9" w14:textId="77777777" w:rsidTr="007E1EA3">
        <w:trPr>
          <w:trHeight w:val="71"/>
        </w:trPr>
        <w:tc>
          <w:tcPr>
            <w:tcW w:w="2976" w:type="dxa"/>
            <w:tcBorders>
              <w:top w:val="single" w:sz="4" w:space="0" w:color="auto"/>
              <w:left w:val="nil"/>
              <w:bottom w:val="nil"/>
              <w:right w:val="nil"/>
            </w:tcBorders>
            <w:shd w:val="clear" w:color="auto" w:fill="auto"/>
            <w:noWrap/>
            <w:vAlign w:val="center"/>
            <w:hideMark/>
          </w:tcPr>
          <w:p w14:paraId="68DDB446" w14:textId="77777777" w:rsidR="00E17940" w:rsidRPr="00E17940" w:rsidRDefault="00E17940" w:rsidP="00E17940">
            <w:pPr>
              <w:spacing w:after="0" w:line="240" w:lineRule="auto"/>
              <w:jc w:val="right"/>
              <w:rPr>
                <w:rFonts w:ascii="Arial" w:hAnsi="Arial" w:cs="Arial"/>
                <w:color w:val="000000"/>
                <w:sz w:val="16"/>
                <w:szCs w:val="16"/>
              </w:rPr>
            </w:pPr>
            <w:r w:rsidRPr="00E17940">
              <w:rPr>
                <w:rFonts w:ascii="Arial" w:hAnsi="Arial" w:cs="Arial"/>
                <w:color w:val="000000"/>
                <w:sz w:val="16"/>
                <w:szCs w:val="16"/>
              </w:rPr>
              <w:t> </w:t>
            </w:r>
          </w:p>
        </w:tc>
        <w:tc>
          <w:tcPr>
            <w:tcW w:w="1235" w:type="dxa"/>
            <w:tcBorders>
              <w:top w:val="single" w:sz="4" w:space="0" w:color="auto"/>
              <w:left w:val="nil"/>
              <w:bottom w:val="single" w:sz="4" w:space="0" w:color="000000"/>
              <w:right w:val="nil"/>
            </w:tcBorders>
            <w:shd w:val="clear" w:color="auto" w:fill="auto"/>
            <w:hideMark/>
          </w:tcPr>
          <w:p w14:paraId="1C59C17E" w14:textId="77777777" w:rsidR="00E17940" w:rsidRPr="00E17940" w:rsidRDefault="00E17940" w:rsidP="00E17940">
            <w:pPr>
              <w:spacing w:after="0" w:line="240" w:lineRule="auto"/>
              <w:jc w:val="right"/>
              <w:rPr>
                <w:rFonts w:ascii="Arial" w:hAnsi="Arial" w:cs="Arial"/>
                <w:color w:val="000000"/>
                <w:sz w:val="16"/>
                <w:szCs w:val="16"/>
              </w:rPr>
            </w:pPr>
            <w:r w:rsidRPr="00E17940">
              <w:rPr>
                <w:rFonts w:ascii="Arial" w:hAnsi="Arial" w:cs="Arial"/>
                <w:color w:val="000000"/>
                <w:sz w:val="16"/>
                <w:szCs w:val="16"/>
              </w:rPr>
              <w:t>Retained</w:t>
            </w:r>
            <w:r w:rsidRPr="00E17940">
              <w:rPr>
                <w:rFonts w:ascii="Arial" w:hAnsi="Arial" w:cs="Arial"/>
                <w:color w:val="000000"/>
                <w:sz w:val="16"/>
                <w:szCs w:val="16"/>
              </w:rPr>
              <w:br/>
              <w:t>earnings</w:t>
            </w:r>
            <w:r w:rsidRPr="00E17940">
              <w:rPr>
                <w:rFonts w:ascii="Arial" w:hAnsi="Arial" w:cs="Arial"/>
                <w:color w:val="000000"/>
                <w:sz w:val="16"/>
                <w:szCs w:val="16"/>
              </w:rPr>
              <w:br/>
            </w:r>
            <w:r w:rsidRPr="00E17940">
              <w:rPr>
                <w:rFonts w:ascii="Arial" w:hAnsi="Arial" w:cs="Arial"/>
                <w:color w:val="000000"/>
                <w:sz w:val="16"/>
                <w:szCs w:val="16"/>
              </w:rPr>
              <w:br/>
              <w:t>$'000</w:t>
            </w:r>
          </w:p>
        </w:tc>
        <w:tc>
          <w:tcPr>
            <w:tcW w:w="1117" w:type="dxa"/>
            <w:tcBorders>
              <w:top w:val="single" w:sz="4" w:space="0" w:color="auto"/>
              <w:left w:val="nil"/>
              <w:bottom w:val="single" w:sz="4" w:space="0" w:color="000000"/>
              <w:right w:val="nil"/>
            </w:tcBorders>
            <w:shd w:val="clear" w:color="auto" w:fill="auto"/>
            <w:hideMark/>
          </w:tcPr>
          <w:p w14:paraId="3A60AD01" w14:textId="77777777" w:rsidR="00E17940" w:rsidRPr="00E17940" w:rsidRDefault="00E17940" w:rsidP="00E17940">
            <w:pPr>
              <w:spacing w:after="0" w:line="240" w:lineRule="auto"/>
              <w:jc w:val="right"/>
              <w:rPr>
                <w:rFonts w:ascii="Arial" w:hAnsi="Arial" w:cs="Arial"/>
                <w:color w:val="000000"/>
                <w:sz w:val="16"/>
                <w:szCs w:val="16"/>
              </w:rPr>
            </w:pPr>
            <w:r w:rsidRPr="00E17940">
              <w:rPr>
                <w:rFonts w:ascii="Arial" w:hAnsi="Arial" w:cs="Arial"/>
                <w:color w:val="000000"/>
                <w:sz w:val="16"/>
                <w:szCs w:val="16"/>
              </w:rPr>
              <w:t>Asset</w:t>
            </w:r>
            <w:r w:rsidRPr="00E17940">
              <w:rPr>
                <w:rFonts w:ascii="Arial" w:hAnsi="Arial" w:cs="Arial"/>
                <w:color w:val="000000"/>
                <w:sz w:val="16"/>
                <w:szCs w:val="16"/>
              </w:rPr>
              <w:br/>
              <w:t>revaluation</w:t>
            </w:r>
            <w:r w:rsidRPr="00E17940">
              <w:rPr>
                <w:rFonts w:ascii="Arial" w:hAnsi="Arial" w:cs="Arial"/>
                <w:color w:val="000000"/>
                <w:sz w:val="16"/>
                <w:szCs w:val="16"/>
              </w:rPr>
              <w:br/>
              <w:t>reserve</w:t>
            </w:r>
            <w:r w:rsidRPr="00E17940">
              <w:rPr>
                <w:rFonts w:ascii="Arial" w:hAnsi="Arial" w:cs="Arial"/>
                <w:color w:val="000000"/>
                <w:sz w:val="16"/>
                <w:szCs w:val="16"/>
              </w:rPr>
              <w:br/>
              <w:t>$'000</w:t>
            </w:r>
          </w:p>
        </w:tc>
        <w:tc>
          <w:tcPr>
            <w:tcW w:w="1117" w:type="dxa"/>
            <w:tcBorders>
              <w:top w:val="single" w:sz="4" w:space="0" w:color="auto"/>
              <w:left w:val="nil"/>
              <w:bottom w:val="single" w:sz="4" w:space="0" w:color="000000"/>
              <w:right w:val="nil"/>
            </w:tcBorders>
            <w:shd w:val="clear" w:color="auto" w:fill="auto"/>
            <w:hideMark/>
          </w:tcPr>
          <w:p w14:paraId="29D9DBFA" w14:textId="77777777" w:rsidR="00E17940" w:rsidRPr="00E17940" w:rsidRDefault="00E17940" w:rsidP="00E17940">
            <w:pPr>
              <w:spacing w:after="0" w:line="240" w:lineRule="auto"/>
              <w:jc w:val="right"/>
              <w:rPr>
                <w:rFonts w:ascii="Arial" w:hAnsi="Arial" w:cs="Arial"/>
                <w:color w:val="000000"/>
                <w:sz w:val="16"/>
                <w:szCs w:val="16"/>
              </w:rPr>
            </w:pPr>
            <w:r w:rsidRPr="00E17940">
              <w:rPr>
                <w:rFonts w:ascii="Arial" w:hAnsi="Arial" w:cs="Arial"/>
                <w:color w:val="000000"/>
                <w:sz w:val="16"/>
                <w:szCs w:val="16"/>
              </w:rPr>
              <w:t>Contributed</w:t>
            </w:r>
            <w:r w:rsidRPr="00E17940">
              <w:rPr>
                <w:rFonts w:ascii="Arial" w:hAnsi="Arial" w:cs="Arial"/>
                <w:color w:val="000000"/>
                <w:sz w:val="16"/>
                <w:szCs w:val="16"/>
              </w:rPr>
              <w:br/>
              <w:t>equity/</w:t>
            </w:r>
            <w:r w:rsidRPr="00E17940">
              <w:rPr>
                <w:rFonts w:ascii="Arial" w:hAnsi="Arial" w:cs="Arial"/>
                <w:color w:val="000000"/>
                <w:sz w:val="16"/>
                <w:szCs w:val="16"/>
              </w:rPr>
              <w:br/>
              <w:t>capital</w:t>
            </w:r>
            <w:r w:rsidRPr="00E17940">
              <w:rPr>
                <w:rFonts w:ascii="Arial" w:hAnsi="Arial" w:cs="Arial"/>
                <w:color w:val="000000"/>
                <w:sz w:val="16"/>
                <w:szCs w:val="16"/>
              </w:rPr>
              <w:br/>
              <w:t>$'000</w:t>
            </w:r>
          </w:p>
        </w:tc>
        <w:tc>
          <w:tcPr>
            <w:tcW w:w="1255" w:type="dxa"/>
            <w:tcBorders>
              <w:top w:val="single" w:sz="4" w:space="0" w:color="auto"/>
              <w:left w:val="nil"/>
              <w:bottom w:val="single" w:sz="4" w:space="0" w:color="000000"/>
              <w:right w:val="nil"/>
            </w:tcBorders>
            <w:shd w:val="clear" w:color="auto" w:fill="auto"/>
            <w:hideMark/>
          </w:tcPr>
          <w:p w14:paraId="25D8CCC8" w14:textId="77777777" w:rsidR="00E17940" w:rsidRPr="00E17940" w:rsidRDefault="00E17940" w:rsidP="00E17940">
            <w:pPr>
              <w:spacing w:after="0" w:line="240" w:lineRule="auto"/>
              <w:jc w:val="right"/>
              <w:rPr>
                <w:rFonts w:ascii="Arial" w:hAnsi="Arial" w:cs="Arial"/>
                <w:color w:val="000000"/>
                <w:sz w:val="16"/>
                <w:szCs w:val="16"/>
              </w:rPr>
            </w:pPr>
            <w:r w:rsidRPr="00E17940">
              <w:rPr>
                <w:rFonts w:ascii="Arial" w:hAnsi="Arial" w:cs="Arial"/>
                <w:color w:val="000000"/>
                <w:sz w:val="16"/>
                <w:szCs w:val="16"/>
              </w:rPr>
              <w:t>Total</w:t>
            </w:r>
            <w:r w:rsidRPr="00E17940">
              <w:rPr>
                <w:rFonts w:ascii="Arial" w:hAnsi="Arial" w:cs="Arial"/>
                <w:color w:val="000000"/>
                <w:sz w:val="16"/>
                <w:szCs w:val="16"/>
              </w:rPr>
              <w:br/>
              <w:t xml:space="preserve">equity </w:t>
            </w:r>
            <w:r w:rsidRPr="00E17940">
              <w:rPr>
                <w:rFonts w:ascii="Arial" w:hAnsi="Arial" w:cs="Arial"/>
                <w:color w:val="000000"/>
                <w:sz w:val="16"/>
                <w:szCs w:val="16"/>
              </w:rPr>
              <w:br/>
            </w:r>
            <w:r w:rsidRPr="00E17940">
              <w:rPr>
                <w:rFonts w:ascii="Arial" w:hAnsi="Arial" w:cs="Arial"/>
                <w:color w:val="000000"/>
                <w:sz w:val="16"/>
                <w:szCs w:val="16"/>
              </w:rPr>
              <w:br/>
              <w:t>$'000</w:t>
            </w:r>
          </w:p>
        </w:tc>
      </w:tr>
      <w:tr w:rsidR="00E17940" w:rsidRPr="00E17940" w14:paraId="63D174A5" w14:textId="77777777" w:rsidTr="00F058F8">
        <w:trPr>
          <w:trHeight w:val="204"/>
        </w:trPr>
        <w:tc>
          <w:tcPr>
            <w:tcW w:w="2976" w:type="dxa"/>
            <w:tcBorders>
              <w:top w:val="nil"/>
              <w:left w:val="nil"/>
              <w:bottom w:val="nil"/>
              <w:right w:val="nil"/>
            </w:tcBorders>
            <w:shd w:val="clear" w:color="auto" w:fill="auto"/>
            <w:vAlign w:val="center"/>
            <w:hideMark/>
          </w:tcPr>
          <w:p w14:paraId="4902B11E" w14:textId="77777777" w:rsidR="00E17940" w:rsidRPr="00E17940" w:rsidRDefault="00E17940" w:rsidP="00E17940">
            <w:pPr>
              <w:spacing w:after="0" w:line="240" w:lineRule="auto"/>
              <w:jc w:val="left"/>
              <w:rPr>
                <w:rFonts w:ascii="Arial" w:hAnsi="Arial" w:cs="Arial"/>
                <w:b/>
                <w:bCs/>
                <w:color w:val="000000"/>
                <w:sz w:val="16"/>
                <w:szCs w:val="16"/>
              </w:rPr>
            </w:pPr>
            <w:r w:rsidRPr="00E17940">
              <w:rPr>
                <w:rFonts w:ascii="Arial" w:hAnsi="Arial" w:cs="Arial"/>
                <w:b/>
                <w:bCs/>
                <w:color w:val="000000"/>
                <w:sz w:val="16"/>
                <w:szCs w:val="16"/>
              </w:rPr>
              <w:t>Opening balance as at 1 July 2021</w:t>
            </w:r>
          </w:p>
        </w:tc>
        <w:tc>
          <w:tcPr>
            <w:tcW w:w="1235" w:type="dxa"/>
            <w:tcBorders>
              <w:top w:val="nil"/>
              <w:left w:val="nil"/>
              <w:bottom w:val="nil"/>
              <w:right w:val="nil"/>
            </w:tcBorders>
            <w:shd w:val="clear" w:color="auto" w:fill="auto"/>
            <w:noWrap/>
            <w:vAlign w:val="bottom"/>
            <w:hideMark/>
          </w:tcPr>
          <w:p w14:paraId="0751AECF" w14:textId="77777777" w:rsidR="00E17940" w:rsidRPr="00E17940" w:rsidRDefault="00E17940" w:rsidP="00F058F8">
            <w:pPr>
              <w:spacing w:after="0" w:line="240" w:lineRule="auto"/>
              <w:jc w:val="right"/>
              <w:rPr>
                <w:rFonts w:ascii="Arial" w:hAnsi="Arial" w:cs="Arial"/>
                <w:b/>
                <w:bCs/>
                <w:color w:val="000000"/>
                <w:sz w:val="16"/>
                <w:szCs w:val="16"/>
              </w:rPr>
            </w:pPr>
          </w:p>
        </w:tc>
        <w:tc>
          <w:tcPr>
            <w:tcW w:w="1117" w:type="dxa"/>
            <w:tcBorders>
              <w:top w:val="nil"/>
              <w:left w:val="nil"/>
              <w:bottom w:val="nil"/>
              <w:right w:val="nil"/>
            </w:tcBorders>
            <w:shd w:val="clear" w:color="auto" w:fill="auto"/>
            <w:noWrap/>
            <w:vAlign w:val="bottom"/>
            <w:hideMark/>
          </w:tcPr>
          <w:p w14:paraId="63ABE5AF" w14:textId="77777777" w:rsidR="00E17940" w:rsidRPr="00E17940" w:rsidRDefault="00E17940" w:rsidP="00F058F8">
            <w:pPr>
              <w:spacing w:after="0" w:line="240" w:lineRule="auto"/>
              <w:jc w:val="right"/>
              <w:rPr>
                <w:rFonts w:ascii="Times New Roman" w:hAnsi="Times New Roman"/>
              </w:rPr>
            </w:pPr>
          </w:p>
        </w:tc>
        <w:tc>
          <w:tcPr>
            <w:tcW w:w="1117" w:type="dxa"/>
            <w:tcBorders>
              <w:top w:val="nil"/>
              <w:left w:val="nil"/>
              <w:bottom w:val="nil"/>
              <w:right w:val="nil"/>
            </w:tcBorders>
            <w:shd w:val="clear" w:color="auto" w:fill="auto"/>
            <w:noWrap/>
            <w:vAlign w:val="bottom"/>
            <w:hideMark/>
          </w:tcPr>
          <w:p w14:paraId="5497440A" w14:textId="77777777" w:rsidR="00E17940" w:rsidRPr="00E17940" w:rsidRDefault="00E17940" w:rsidP="00F058F8">
            <w:pPr>
              <w:spacing w:after="0" w:line="240" w:lineRule="auto"/>
              <w:jc w:val="right"/>
              <w:rPr>
                <w:rFonts w:ascii="Times New Roman" w:hAnsi="Times New Roman"/>
              </w:rPr>
            </w:pPr>
          </w:p>
        </w:tc>
        <w:tc>
          <w:tcPr>
            <w:tcW w:w="1255" w:type="dxa"/>
            <w:tcBorders>
              <w:top w:val="nil"/>
              <w:left w:val="nil"/>
              <w:bottom w:val="nil"/>
              <w:right w:val="nil"/>
            </w:tcBorders>
            <w:shd w:val="clear" w:color="auto" w:fill="auto"/>
            <w:noWrap/>
            <w:vAlign w:val="bottom"/>
            <w:hideMark/>
          </w:tcPr>
          <w:p w14:paraId="4A1A08D3" w14:textId="77777777" w:rsidR="00E17940" w:rsidRPr="00E17940" w:rsidRDefault="00E17940" w:rsidP="00F058F8">
            <w:pPr>
              <w:spacing w:after="0" w:line="240" w:lineRule="auto"/>
              <w:jc w:val="right"/>
              <w:rPr>
                <w:rFonts w:ascii="Times New Roman" w:hAnsi="Times New Roman"/>
              </w:rPr>
            </w:pPr>
          </w:p>
        </w:tc>
      </w:tr>
      <w:tr w:rsidR="00E17940" w:rsidRPr="00E17940" w14:paraId="6E885E94" w14:textId="77777777" w:rsidTr="00F058F8">
        <w:trPr>
          <w:trHeight w:val="204"/>
        </w:trPr>
        <w:tc>
          <w:tcPr>
            <w:tcW w:w="2976" w:type="dxa"/>
            <w:tcBorders>
              <w:top w:val="nil"/>
              <w:left w:val="nil"/>
              <w:bottom w:val="nil"/>
              <w:right w:val="nil"/>
            </w:tcBorders>
            <w:shd w:val="clear" w:color="auto" w:fill="auto"/>
            <w:vAlign w:val="center"/>
            <w:hideMark/>
          </w:tcPr>
          <w:p w14:paraId="7574D0A7" w14:textId="1A7687C7" w:rsidR="00E17940" w:rsidRPr="00E17940" w:rsidRDefault="00E17940" w:rsidP="00F058F8">
            <w:pPr>
              <w:spacing w:after="0" w:line="240" w:lineRule="auto"/>
              <w:ind w:left="113"/>
              <w:jc w:val="left"/>
              <w:rPr>
                <w:rFonts w:ascii="Arial" w:hAnsi="Arial" w:cs="Arial"/>
                <w:color w:val="000000"/>
                <w:sz w:val="16"/>
                <w:szCs w:val="16"/>
              </w:rPr>
            </w:pPr>
            <w:r w:rsidRPr="00E17940">
              <w:rPr>
                <w:rFonts w:ascii="Arial" w:hAnsi="Arial" w:cs="Arial"/>
                <w:color w:val="000000"/>
                <w:sz w:val="16"/>
                <w:szCs w:val="16"/>
              </w:rPr>
              <w:t>Balance carried forward from</w:t>
            </w:r>
            <w:r w:rsidR="00F058F8">
              <w:rPr>
                <w:rFonts w:ascii="Arial" w:hAnsi="Arial" w:cs="Arial"/>
                <w:color w:val="000000"/>
                <w:sz w:val="16"/>
                <w:szCs w:val="16"/>
              </w:rPr>
              <w:t xml:space="preserve"> </w:t>
            </w:r>
            <w:r w:rsidRPr="00E17940">
              <w:rPr>
                <w:rFonts w:ascii="Arial" w:hAnsi="Arial" w:cs="Arial"/>
                <w:color w:val="000000"/>
                <w:sz w:val="16"/>
                <w:szCs w:val="16"/>
              </w:rPr>
              <w:t>previous period</w:t>
            </w:r>
          </w:p>
        </w:tc>
        <w:tc>
          <w:tcPr>
            <w:tcW w:w="1235" w:type="dxa"/>
            <w:tcBorders>
              <w:top w:val="nil"/>
              <w:left w:val="nil"/>
              <w:bottom w:val="nil"/>
              <w:right w:val="nil"/>
            </w:tcBorders>
            <w:shd w:val="clear" w:color="auto" w:fill="auto"/>
            <w:noWrap/>
            <w:vAlign w:val="bottom"/>
            <w:hideMark/>
          </w:tcPr>
          <w:p w14:paraId="1D759A65" w14:textId="259731B7"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1,173,991</w:t>
            </w:r>
          </w:p>
        </w:tc>
        <w:tc>
          <w:tcPr>
            <w:tcW w:w="1117" w:type="dxa"/>
            <w:tcBorders>
              <w:top w:val="nil"/>
              <w:left w:val="nil"/>
              <w:bottom w:val="nil"/>
              <w:right w:val="nil"/>
            </w:tcBorders>
            <w:shd w:val="clear" w:color="auto" w:fill="auto"/>
            <w:noWrap/>
            <w:vAlign w:val="bottom"/>
            <w:hideMark/>
          </w:tcPr>
          <w:p w14:paraId="43B0D4C1" w14:textId="345B0443"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201,269</w:t>
            </w:r>
          </w:p>
        </w:tc>
        <w:tc>
          <w:tcPr>
            <w:tcW w:w="1117" w:type="dxa"/>
            <w:tcBorders>
              <w:top w:val="nil"/>
              <w:left w:val="nil"/>
              <w:bottom w:val="nil"/>
              <w:right w:val="nil"/>
            </w:tcBorders>
            <w:shd w:val="clear" w:color="auto" w:fill="auto"/>
            <w:noWrap/>
            <w:vAlign w:val="bottom"/>
            <w:hideMark/>
          </w:tcPr>
          <w:p w14:paraId="71DED590" w14:textId="22BF3C75"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137,236</w:t>
            </w:r>
          </w:p>
        </w:tc>
        <w:tc>
          <w:tcPr>
            <w:tcW w:w="1255" w:type="dxa"/>
            <w:tcBorders>
              <w:top w:val="nil"/>
              <w:left w:val="nil"/>
              <w:bottom w:val="nil"/>
              <w:right w:val="nil"/>
            </w:tcBorders>
            <w:shd w:val="clear" w:color="auto" w:fill="auto"/>
            <w:noWrap/>
            <w:vAlign w:val="bottom"/>
            <w:hideMark/>
          </w:tcPr>
          <w:p w14:paraId="0CB3F345" w14:textId="1D7F1E3C"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1,512,496</w:t>
            </w:r>
          </w:p>
        </w:tc>
      </w:tr>
      <w:tr w:rsidR="00E17940" w:rsidRPr="00E17940" w14:paraId="6AD092B5" w14:textId="77777777" w:rsidTr="00F058F8">
        <w:trPr>
          <w:trHeight w:val="204"/>
        </w:trPr>
        <w:tc>
          <w:tcPr>
            <w:tcW w:w="2976" w:type="dxa"/>
            <w:tcBorders>
              <w:top w:val="nil"/>
              <w:left w:val="nil"/>
              <w:bottom w:val="nil"/>
              <w:right w:val="nil"/>
            </w:tcBorders>
            <w:shd w:val="clear" w:color="auto" w:fill="auto"/>
            <w:vAlign w:val="center"/>
            <w:hideMark/>
          </w:tcPr>
          <w:p w14:paraId="00A13CAB" w14:textId="77777777" w:rsidR="00E17940" w:rsidRPr="00E17940" w:rsidRDefault="00E17940" w:rsidP="00E17940">
            <w:pPr>
              <w:spacing w:after="0" w:line="240" w:lineRule="auto"/>
              <w:jc w:val="left"/>
              <w:rPr>
                <w:rFonts w:ascii="Arial" w:hAnsi="Arial" w:cs="Arial"/>
                <w:b/>
                <w:bCs/>
                <w:i/>
                <w:iCs/>
                <w:color w:val="000000"/>
                <w:sz w:val="16"/>
                <w:szCs w:val="16"/>
              </w:rPr>
            </w:pPr>
            <w:r w:rsidRPr="00E17940">
              <w:rPr>
                <w:rFonts w:ascii="Arial" w:hAnsi="Arial" w:cs="Arial"/>
                <w:b/>
                <w:bCs/>
                <w:i/>
                <w:iCs/>
                <w:color w:val="000000"/>
                <w:sz w:val="16"/>
                <w:szCs w:val="16"/>
              </w:rPr>
              <w:t>Adjusted opening balance</w:t>
            </w:r>
          </w:p>
        </w:tc>
        <w:tc>
          <w:tcPr>
            <w:tcW w:w="1235" w:type="dxa"/>
            <w:tcBorders>
              <w:top w:val="single" w:sz="4" w:space="0" w:color="000000"/>
              <w:left w:val="nil"/>
              <w:bottom w:val="single" w:sz="4" w:space="0" w:color="000000"/>
              <w:right w:val="nil"/>
            </w:tcBorders>
            <w:shd w:val="clear" w:color="auto" w:fill="auto"/>
            <w:noWrap/>
            <w:vAlign w:val="bottom"/>
            <w:hideMark/>
          </w:tcPr>
          <w:p w14:paraId="44A12AFC" w14:textId="30B7B372"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1,173,991</w:t>
            </w:r>
          </w:p>
        </w:tc>
        <w:tc>
          <w:tcPr>
            <w:tcW w:w="1117" w:type="dxa"/>
            <w:tcBorders>
              <w:top w:val="single" w:sz="4" w:space="0" w:color="000000"/>
              <w:left w:val="nil"/>
              <w:bottom w:val="single" w:sz="4" w:space="0" w:color="000000"/>
              <w:right w:val="nil"/>
            </w:tcBorders>
            <w:shd w:val="clear" w:color="auto" w:fill="auto"/>
            <w:noWrap/>
            <w:vAlign w:val="bottom"/>
            <w:hideMark/>
          </w:tcPr>
          <w:p w14:paraId="75FAEE98" w14:textId="126BF97A"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201,269</w:t>
            </w:r>
          </w:p>
        </w:tc>
        <w:tc>
          <w:tcPr>
            <w:tcW w:w="1117" w:type="dxa"/>
            <w:tcBorders>
              <w:top w:val="single" w:sz="4" w:space="0" w:color="000000"/>
              <w:left w:val="nil"/>
              <w:bottom w:val="single" w:sz="4" w:space="0" w:color="000000"/>
              <w:right w:val="nil"/>
            </w:tcBorders>
            <w:shd w:val="clear" w:color="auto" w:fill="auto"/>
            <w:noWrap/>
            <w:vAlign w:val="bottom"/>
            <w:hideMark/>
          </w:tcPr>
          <w:p w14:paraId="36A03BD9" w14:textId="534E87B9"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137,236</w:t>
            </w:r>
          </w:p>
        </w:tc>
        <w:tc>
          <w:tcPr>
            <w:tcW w:w="1255" w:type="dxa"/>
            <w:tcBorders>
              <w:top w:val="single" w:sz="4" w:space="0" w:color="000000"/>
              <w:left w:val="nil"/>
              <w:bottom w:val="single" w:sz="4" w:space="0" w:color="000000"/>
              <w:right w:val="nil"/>
            </w:tcBorders>
            <w:shd w:val="clear" w:color="auto" w:fill="auto"/>
            <w:noWrap/>
            <w:vAlign w:val="bottom"/>
            <w:hideMark/>
          </w:tcPr>
          <w:p w14:paraId="3C24CCC6" w14:textId="06B9AC36"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1,512,496</w:t>
            </w:r>
          </w:p>
        </w:tc>
      </w:tr>
      <w:tr w:rsidR="00E17940" w:rsidRPr="00E17940" w14:paraId="0851DCD0" w14:textId="77777777" w:rsidTr="00F058F8">
        <w:trPr>
          <w:trHeight w:val="204"/>
        </w:trPr>
        <w:tc>
          <w:tcPr>
            <w:tcW w:w="2976" w:type="dxa"/>
            <w:tcBorders>
              <w:top w:val="nil"/>
              <w:left w:val="nil"/>
              <w:bottom w:val="nil"/>
              <w:right w:val="nil"/>
            </w:tcBorders>
            <w:shd w:val="clear" w:color="auto" w:fill="auto"/>
            <w:noWrap/>
            <w:vAlign w:val="center"/>
            <w:hideMark/>
          </w:tcPr>
          <w:p w14:paraId="5E990E3B" w14:textId="77777777" w:rsidR="00E17940" w:rsidRPr="00E17940" w:rsidRDefault="00E17940" w:rsidP="00E17940">
            <w:pPr>
              <w:spacing w:after="0" w:line="240" w:lineRule="auto"/>
              <w:jc w:val="left"/>
              <w:rPr>
                <w:rFonts w:ascii="Arial" w:hAnsi="Arial" w:cs="Arial"/>
                <w:b/>
                <w:bCs/>
                <w:color w:val="000000"/>
                <w:sz w:val="16"/>
                <w:szCs w:val="16"/>
              </w:rPr>
            </w:pPr>
            <w:r w:rsidRPr="00E17940">
              <w:rPr>
                <w:rFonts w:ascii="Arial" w:hAnsi="Arial" w:cs="Arial"/>
                <w:b/>
                <w:bCs/>
                <w:color w:val="000000"/>
                <w:sz w:val="16"/>
                <w:szCs w:val="16"/>
              </w:rPr>
              <w:t>Comprehensive income</w:t>
            </w:r>
          </w:p>
        </w:tc>
        <w:tc>
          <w:tcPr>
            <w:tcW w:w="1235" w:type="dxa"/>
            <w:tcBorders>
              <w:top w:val="nil"/>
              <w:left w:val="nil"/>
              <w:bottom w:val="nil"/>
              <w:right w:val="nil"/>
            </w:tcBorders>
            <w:shd w:val="clear" w:color="auto" w:fill="auto"/>
            <w:noWrap/>
            <w:vAlign w:val="bottom"/>
            <w:hideMark/>
          </w:tcPr>
          <w:p w14:paraId="30C3DD9A" w14:textId="77777777" w:rsidR="00E17940" w:rsidRPr="00E17940" w:rsidRDefault="00E17940" w:rsidP="00F058F8">
            <w:pPr>
              <w:spacing w:after="0" w:line="240" w:lineRule="auto"/>
              <w:jc w:val="right"/>
              <w:rPr>
                <w:rFonts w:ascii="Arial" w:hAnsi="Arial" w:cs="Arial"/>
                <w:b/>
                <w:bCs/>
                <w:color w:val="000000"/>
                <w:sz w:val="16"/>
                <w:szCs w:val="16"/>
              </w:rPr>
            </w:pPr>
          </w:p>
        </w:tc>
        <w:tc>
          <w:tcPr>
            <w:tcW w:w="1117" w:type="dxa"/>
            <w:tcBorders>
              <w:top w:val="nil"/>
              <w:left w:val="nil"/>
              <w:bottom w:val="nil"/>
              <w:right w:val="nil"/>
            </w:tcBorders>
            <w:shd w:val="clear" w:color="auto" w:fill="auto"/>
            <w:noWrap/>
            <w:vAlign w:val="bottom"/>
            <w:hideMark/>
          </w:tcPr>
          <w:p w14:paraId="6519338F" w14:textId="77777777" w:rsidR="00E17940" w:rsidRPr="00E17940" w:rsidRDefault="00E17940" w:rsidP="00F058F8">
            <w:pPr>
              <w:spacing w:after="0" w:line="240" w:lineRule="auto"/>
              <w:jc w:val="right"/>
              <w:rPr>
                <w:rFonts w:ascii="Times New Roman" w:hAnsi="Times New Roman"/>
                <w:sz w:val="16"/>
                <w:szCs w:val="16"/>
              </w:rPr>
            </w:pPr>
          </w:p>
        </w:tc>
        <w:tc>
          <w:tcPr>
            <w:tcW w:w="1117" w:type="dxa"/>
            <w:tcBorders>
              <w:top w:val="nil"/>
              <w:left w:val="nil"/>
              <w:bottom w:val="nil"/>
              <w:right w:val="nil"/>
            </w:tcBorders>
            <w:shd w:val="clear" w:color="auto" w:fill="auto"/>
            <w:noWrap/>
            <w:vAlign w:val="bottom"/>
            <w:hideMark/>
          </w:tcPr>
          <w:p w14:paraId="12DBF441" w14:textId="77777777" w:rsidR="00E17940" w:rsidRPr="00E17940" w:rsidRDefault="00E17940" w:rsidP="00F058F8">
            <w:pPr>
              <w:spacing w:after="0" w:line="240" w:lineRule="auto"/>
              <w:jc w:val="right"/>
              <w:rPr>
                <w:rFonts w:ascii="Times New Roman" w:hAnsi="Times New Roman"/>
                <w:sz w:val="16"/>
                <w:szCs w:val="16"/>
              </w:rPr>
            </w:pPr>
          </w:p>
        </w:tc>
        <w:tc>
          <w:tcPr>
            <w:tcW w:w="1255" w:type="dxa"/>
            <w:tcBorders>
              <w:top w:val="nil"/>
              <w:left w:val="nil"/>
              <w:bottom w:val="nil"/>
              <w:right w:val="nil"/>
            </w:tcBorders>
            <w:shd w:val="clear" w:color="auto" w:fill="auto"/>
            <w:noWrap/>
            <w:vAlign w:val="bottom"/>
            <w:hideMark/>
          </w:tcPr>
          <w:p w14:paraId="1B362C65" w14:textId="77777777" w:rsidR="00E17940" w:rsidRPr="00E17940" w:rsidRDefault="00E17940" w:rsidP="00F058F8">
            <w:pPr>
              <w:spacing w:after="0" w:line="240" w:lineRule="auto"/>
              <w:jc w:val="right"/>
              <w:rPr>
                <w:rFonts w:ascii="Times New Roman" w:hAnsi="Times New Roman"/>
                <w:sz w:val="16"/>
                <w:szCs w:val="16"/>
              </w:rPr>
            </w:pPr>
          </w:p>
        </w:tc>
      </w:tr>
      <w:tr w:rsidR="00E17940" w:rsidRPr="00E17940" w14:paraId="306FF440" w14:textId="77777777" w:rsidTr="00F058F8">
        <w:trPr>
          <w:trHeight w:val="204"/>
        </w:trPr>
        <w:tc>
          <w:tcPr>
            <w:tcW w:w="2976" w:type="dxa"/>
            <w:tcBorders>
              <w:top w:val="nil"/>
              <w:left w:val="nil"/>
              <w:bottom w:val="nil"/>
              <w:right w:val="nil"/>
            </w:tcBorders>
            <w:shd w:val="clear" w:color="auto" w:fill="auto"/>
            <w:noWrap/>
            <w:vAlign w:val="center"/>
            <w:hideMark/>
          </w:tcPr>
          <w:p w14:paraId="4790BAEE" w14:textId="77777777" w:rsidR="00E17940" w:rsidRPr="00E17940" w:rsidRDefault="00E17940" w:rsidP="00F058F8">
            <w:pPr>
              <w:spacing w:after="0" w:line="240" w:lineRule="auto"/>
              <w:ind w:left="113"/>
              <w:jc w:val="left"/>
              <w:rPr>
                <w:rFonts w:ascii="Arial" w:hAnsi="Arial" w:cs="Arial"/>
                <w:sz w:val="16"/>
                <w:szCs w:val="16"/>
              </w:rPr>
            </w:pPr>
            <w:r w:rsidRPr="00E17940">
              <w:rPr>
                <w:rFonts w:ascii="Arial" w:hAnsi="Arial" w:cs="Arial"/>
                <w:sz w:val="16"/>
                <w:szCs w:val="16"/>
              </w:rPr>
              <w:t>Surplus/(deficit) for the period</w:t>
            </w:r>
          </w:p>
        </w:tc>
        <w:tc>
          <w:tcPr>
            <w:tcW w:w="1235" w:type="dxa"/>
            <w:tcBorders>
              <w:top w:val="nil"/>
              <w:left w:val="nil"/>
              <w:bottom w:val="single" w:sz="4" w:space="0" w:color="000000"/>
              <w:right w:val="nil"/>
            </w:tcBorders>
            <w:shd w:val="clear" w:color="auto" w:fill="auto"/>
            <w:noWrap/>
            <w:vAlign w:val="bottom"/>
            <w:hideMark/>
          </w:tcPr>
          <w:p w14:paraId="16600C1D" w14:textId="77777777"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(10,415)</w:t>
            </w:r>
          </w:p>
        </w:tc>
        <w:tc>
          <w:tcPr>
            <w:tcW w:w="1117" w:type="dxa"/>
            <w:tcBorders>
              <w:top w:val="nil"/>
              <w:left w:val="nil"/>
              <w:bottom w:val="single" w:sz="4" w:space="0" w:color="000000"/>
              <w:right w:val="nil"/>
            </w:tcBorders>
            <w:shd w:val="clear" w:color="auto" w:fill="auto"/>
            <w:noWrap/>
            <w:vAlign w:val="bottom"/>
            <w:hideMark/>
          </w:tcPr>
          <w:p w14:paraId="7DBD6B3B" w14:textId="27A2B115" w:rsidR="00E17940" w:rsidRPr="00E17940" w:rsidRDefault="001D77BC" w:rsidP="00F058F8">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17" w:type="dxa"/>
            <w:tcBorders>
              <w:top w:val="nil"/>
              <w:left w:val="nil"/>
              <w:bottom w:val="single" w:sz="4" w:space="0" w:color="000000"/>
              <w:right w:val="nil"/>
            </w:tcBorders>
            <w:shd w:val="clear" w:color="auto" w:fill="auto"/>
            <w:noWrap/>
            <w:vAlign w:val="bottom"/>
            <w:hideMark/>
          </w:tcPr>
          <w:p w14:paraId="66C7A733" w14:textId="4D9DE1A9" w:rsidR="00E17940" w:rsidRPr="00E17940" w:rsidRDefault="001D77BC" w:rsidP="00F058F8">
            <w:pPr>
              <w:spacing w:after="0" w:line="240" w:lineRule="auto"/>
              <w:jc w:val="right"/>
              <w:rPr>
                <w:rFonts w:ascii="Times New Roman" w:hAnsi="Times New Roman"/>
                <w:sz w:val="16"/>
                <w:szCs w:val="16"/>
              </w:rPr>
            </w:pPr>
            <w:r>
              <w:rPr>
                <w:rFonts w:ascii="Times New Roman" w:hAnsi="Times New Roman"/>
                <w:sz w:val="16"/>
                <w:szCs w:val="16"/>
              </w:rPr>
              <w:t>-</w:t>
            </w:r>
          </w:p>
        </w:tc>
        <w:tc>
          <w:tcPr>
            <w:tcW w:w="1255" w:type="dxa"/>
            <w:tcBorders>
              <w:top w:val="nil"/>
              <w:left w:val="nil"/>
              <w:bottom w:val="single" w:sz="4" w:space="0" w:color="000000"/>
              <w:right w:val="nil"/>
            </w:tcBorders>
            <w:shd w:val="clear" w:color="auto" w:fill="auto"/>
            <w:noWrap/>
            <w:vAlign w:val="bottom"/>
            <w:hideMark/>
          </w:tcPr>
          <w:p w14:paraId="1466379B" w14:textId="77777777"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(10,415)</w:t>
            </w:r>
          </w:p>
        </w:tc>
      </w:tr>
      <w:tr w:rsidR="00E17940" w:rsidRPr="00E17940" w14:paraId="6E013557" w14:textId="77777777" w:rsidTr="00F058F8">
        <w:trPr>
          <w:trHeight w:val="204"/>
        </w:trPr>
        <w:tc>
          <w:tcPr>
            <w:tcW w:w="2976" w:type="dxa"/>
            <w:tcBorders>
              <w:top w:val="nil"/>
              <w:left w:val="nil"/>
              <w:bottom w:val="nil"/>
              <w:right w:val="nil"/>
            </w:tcBorders>
            <w:shd w:val="clear" w:color="auto" w:fill="auto"/>
            <w:vAlign w:val="center"/>
            <w:hideMark/>
          </w:tcPr>
          <w:p w14:paraId="51FA04E7" w14:textId="77777777" w:rsidR="00E17940" w:rsidRPr="00E17940" w:rsidRDefault="00E17940" w:rsidP="00E17940">
            <w:pPr>
              <w:spacing w:after="0" w:line="240" w:lineRule="auto"/>
              <w:jc w:val="left"/>
              <w:rPr>
                <w:rFonts w:ascii="Arial" w:hAnsi="Arial" w:cs="Arial"/>
                <w:b/>
                <w:bCs/>
                <w:i/>
                <w:iCs/>
                <w:color w:val="000000"/>
                <w:sz w:val="16"/>
                <w:szCs w:val="16"/>
              </w:rPr>
            </w:pPr>
            <w:r w:rsidRPr="00E17940">
              <w:rPr>
                <w:rFonts w:ascii="Arial" w:hAnsi="Arial" w:cs="Arial"/>
                <w:b/>
                <w:bCs/>
                <w:i/>
                <w:iCs/>
                <w:color w:val="000000"/>
                <w:sz w:val="16"/>
                <w:szCs w:val="16"/>
              </w:rPr>
              <w:t>Total comprehensive income</w:t>
            </w:r>
          </w:p>
        </w:tc>
        <w:tc>
          <w:tcPr>
            <w:tcW w:w="1235" w:type="dxa"/>
            <w:tcBorders>
              <w:top w:val="single" w:sz="4" w:space="0" w:color="000000"/>
              <w:left w:val="nil"/>
              <w:bottom w:val="single" w:sz="4" w:space="0" w:color="auto"/>
              <w:right w:val="nil"/>
            </w:tcBorders>
            <w:shd w:val="clear" w:color="auto" w:fill="auto"/>
            <w:noWrap/>
            <w:vAlign w:val="bottom"/>
            <w:hideMark/>
          </w:tcPr>
          <w:p w14:paraId="7F9B00F5" w14:textId="77777777"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(10,415)</w:t>
            </w:r>
          </w:p>
        </w:tc>
        <w:tc>
          <w:tcPr>
            <w:tcW w:w="1117" w:type="dxa"/>
            <w:tcBorders>
              <w:top w:val="single" w:sz="4" w:space="0" w:color="000000"/>
              <w:left w:val="nil"/>
              <w:bottom w:val="single" w:sz="4" w:space="0" w:color="auto"/>
              <w:right w:val="nil"/>
            </w:tcBorders>
            <w:shd w:val="clear" w:color="auto" w:fill="auto"/>
            <w:noWrap/>
            <w:vAlign w:val="bottom"/>
            <w:hideMark/>
          </w:tcPr>
          <w:p w14:paraId="7880BE8C" w14:textId="1C104B97"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w:t>
            </w:r>
          </w:p>
        </w:tc>
        <w:tc>
          <w:tcPr>
            <w:tcW w:w="1117" w:type="dxa"/>
            <w:tcBorders>
              <w:top w:val="single" w:sz="4" w:space="0" w:color="000000"/>
              <w:left w:val="nil"/>
              <w:bottom w:val="single" w:sz="4" w:space="0" w:color="auto"/>
              <w:right w:val="nil"/>
            </w:tcBorders>
            <w:shd w:val="clear" w:color="auto" w:fill="auto"/>
            <w:noWrap/>
            <w:vAlign w:val="bottom"/>
            <w:hideMark/>
          </w:tcPr>
          <w:p w14:paraId="7E1AF153" w14:textId="3830ADA2"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w:t>
            </w:r>
          </w:p>
        </w:tc>
        <w:tc>
          <w:tcPr>
            <w:tcW w:w="1255" w:type="dxa"/>
            <w:tcBorders>
              <w:top w:val="single" w:sz="4" w:space="0" w:color="000000"/>
              <w:left w:val="nil"/>
              <w:bottom w:val="single" w:sz="4" w:space="0" w:color="auto"/>
              <w:right w:val="nil"/>
            </w:tcBorders>
            <w:shd w:val="clear" w:color="auto" w:fill="auto"/>
            <w:noWrap/>
            <w:vAlign w:val="bottom"/>
            <w:hideMark/>
          </w:tcPr>
          <w:p w14:paraId="6AA8EFB7" w14:textId="77777777"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(10,415)</w:t>
            </w:r>
          </w:p>
        </w:tc>
      </w:tr>
      <w:tr w:rsidR="00E17940" w:rsidRPr="00E17940" w14:paraId="682B92A4" w14:textId="77777777" w:rsidTr="00F058F8">
        <w:trPr>
          <w:trHeight w:val="204"/>
        </w:trPr>
        <w:tc>
          <w:tcPr>
            <w:tcW w:w="2976" w:type="dxa"/>
            <w:tcBorders>
              <w:top w:val="nil"/>
              <w:left w:val="nil"/>
              <w:bottom w:val="nil"/>
              <w:right w:val="nil"/>
            </w:tcBorders>
            <w:shd w:val="clear" w:color="auto" w:fill="auto"/>
            <w:noWrap/>
            <w:vAlign w:val="center"/>
            <w:hideMark/>
          </w:tcPr>
          <w:p w14:paraId="5E14904D" w14:textId="77777777" w:rsidR="00E17940" w:rsidRPr="00E17940" w:rsidRDefault="00E17940" w:rsidP="00E17940">
            <w:pPr>
              <w:spacing w:after="0" w:line="240" w:lineRule="auto"/>
              <w:jc w:val="left"/>
              <w:rPr>
                <w:rFonts w:ascii="Arial" w:hAnsi="Arial" w:cs="Arial"/>
                <w:b/>
                <w:bCs/>
                <w:color w:val="000000"/>
                <w:sz w:val="16"/>
                <w:szCs w:val="16"/>
              </w:rPr>
            </w:pPr>
            <w:r w:rsidRPr="00E17940">
              <w:rPr>
                <w:rFonts w:ascii="Arial" w:hAnsi="Arial" w:cs="Arial"/>
                <w:b/>
                <w:bCs/>
                <w:color w:val="000000"/>
                <w:sz w:val="16"/>
                <w:szCs w:val="16"/>
              </w:rPr>
              <w:t>Transactions with owners</w:t>
            </w:r>
          </w:p>
        </w:tc>
        <w:tc>
          <w:tcPr>
            <w:tcW w:w="1235" w:type="dxa"/>
            <w:tcBorders>
              <w:top w:val="single" w:sz="4" w:space="0" w:color="auto"/>
              <w:left w:val="nil"/>
              <w:bottom w:val="nil"/>
              <w:right w:val="nil"/>
            </w:tcBorders>
            <w:shd w:val="clear" w:color="auto" w:fill="auto"/>
            <w:noWrap/>
            <w:vAlign w:val="bottom"/>
            <w:hideMark/>
          </w:tcPr>
          <w:p w14:paraId="55F0C20C" w14:textId="77777777" w:rsidR="00E17940" w:rsidRPr="00E17940" w:rsidRDefault="00E17940" w:rsidP="00F058F8">
            <w:pPr>
              <w:spacing w:after="0" w:line="240" w:lineRule="auto"/>
              <w:jc w:val="right"/>
              <w:rPr>
                <w:rFonts w:ascii="Arial" w:hAnsi="Arial" w:cs="Arial"/>
                <w:b/>
                <w:bCs/>
                <w:color w:val="000000"/>
                <w:sz w:val="16"/>
                <w:szCs w:val="16"/>
              </w:rPr>
            </w:pPr>
          </w:p>
        </w:tc>
        <w:tc>
          <w:tcPr>
            <w:tcW w:w="1117" w:type="dxa"/>
            <w:tcBorders>
              <w:top w:val="single" w:sz="4" w:space="0" w:color="auto"/>
              <w:left w:val="nil"/>
              <w:bottom w:val="nil"/>
              <w:right w:val="nil"/>
            </w:tcBorders>
            <w:shd w:val="clear" w:color="auto" w:fill="auto"/>
            <w:noWrap/>
            <w:vAlign w:val="bottom"/>
            <w:hideMark/>
          </w:tcPr>
          <w:p w14:paraId="10513721" w14:textId="77777777" w:rsidR="00E17940" w:rsidRPr="00E17940" w:rsidRDefault="00E17940" w:rsidP="00F058F8">
            <w:pPr>
              <w:spacing w:after="0" w:line="240" w:lineRule="auto"/>
              <w:jc w:val="right"/>
              <w:rPr>
                <w:rFonts w:ascii="Times New Roman" w:hAnsi="Times New Roman"/>
                <w:sz w:val="16"/>
                <w:szCs w:val="16"/>
              </w:rPr>
            </w:pPr>
          </w:p>
        </w:tc>
        <w:tc>
          <w:tcPr>
            <w:tcW w:w="1117" w:type="dxa"/>
            <w:tcBorders>
              <w:top w:val="single" w:sz="4" w:space="0" w:color="auto"/>
              <w:left w:val="nil"/>
              <w:bottom w:val="nil"/>
              <w:right w:val="nil"/>
            </w:tcBorders>
            <w:shd w:val="clear" w:color="auto" w:fill="auto"/>
            <w:noWrap/>
            <w:vAlign w:val="bottom"/>
            <w:hideMark/>
          </w:tcPr>
          <w:p w14:paraId="16BCAEA1" w14:textId="77777777" w:rsidR="00E17940" w:rsidRPr="00E17940" w:rsidRDefault="00E17940" w:rsidP="00F058F8">
            <w:pPr>
              <w:spacing w:after="0" w:line="240" w:lineRule="auto"/>
              <w:jc w:val="right"/>
              <w:rPr>
                <w:rFonts w:ascii="Times New Roman" w:hAnsi="Times New Roman"/>
                <w:sz w:val="16"/>
                <w:szCs w:val="16"/>
              </w:rPr>
            </w:pPr>
          </w:p>
        </w:tc>
        <w:tc>
          <w:tcPr>
            <w:tcW w:w="1255" w:type="dxa"/>
            <w:tcBorders>
              <w:top w:val="single" w:sz="4" w:space="0" w:color="auto"/>
              <w:left w:val="nil"/>
              <w:bottom w:val="nil"/>
              <w:right w:val="nil"/>
            </w:tcBorders>
            <w:shd w:val="clear" w:color="auto" w:fill="auto"/>
            <w:noWrap/>
            <w:vAlign w:val="bottom"/>
            <w:hideMark/>
          </w:tcPr>
          <w:p w14:paraId="5F840E75" w14:textId="77777777" w:rsidR="00E17940" w:rsidRPr="00E17940" w:rsidRDefault="00E17940" w:rsidP="00F058F8">
            <w:pPr>
              <w:spacing w:after="0" w:line="240" w:lineRule="auto"/>
              <w:jc w:val="right"/>
              <w:rPr>
                <w:rFonts w:ascii="Times New Roman" w:hAnsi="Times New Roman"/>
                <w:sz w:val="16"/>
                <w:szCs w:val="16"/>
              </w:rPr>
            </w:pPr>
          </w:p>
        </w:tc>
      </w:tr>
      <w:tr w:rsidR="00E17940" w:rsidRPr="00E17940" w14:paraId="7F4B28F1" w14:textId="77777777" w:rsidTr="00F058F8">
        <w:trPr>
          <w:trHeight w:val="204"/>
        </w:trPr>
        <w:tc>
          <w:tcPr>
            <w:tcW w:w="2976" w:type="dxa"/>
            <w:tcBorders>
              <w:top w:val="nil"/>
              <w:left w:val="nil"/>
              <w:bottom w:val="nil"/>
              <w:right w:val="nil"/>
            </w:tcBorders>
            <w:shd w:val="clear" w:color="auto" w:fill="auto"/>
            <w:noWrap/>
            <w:vAlign w:val="center"/>
            <w:hideMark/>
          </w:tcPr>
          <w:p w14:paraId="6AA58C3F" w14:textId="77777777" w:rsidR="00E17940" w:rsidRPr="00E17940" w:rsidRDefault="00E17940" w:rsidP="00E17940">
            <w:pPr>
              <w:spacing w:after="0" w:line="240" w:lineRule="auto"/>
              <w:jc w:val="left"/>
              <w:rPr>
                <w:rFonts w:ascii="Arial" w:hAnsi="Arial" w:cs="Arial"/>
                <w:b/>
                <w:bCs/>
                <w:i/>
                <w:iCs/>
                <w:color w:val="000000"/>
                <w:sz w:val="16"/>
                <w:szCs w:val="16"/>
              </w:rPr>
            </w:pPr>
            <w:r w:rsidRPr="00E17940">
              <w:rPr>
                <w:rFonts w:ascii="Arial" w:hAnsi="Arial" w:cs="Arial"/>
                <w:b/>
                <w:bCs/>
                <w:i/>
                <w:iCs/>
                <w:color w:val="000000"/>
                <w:sz w:val="16"/>
                <w:szCs w:val="16"/>
              </w:rPr>
              <w:t>Contributions by owners</w:t>
            </w:r>
          </w:p>
        </w:tc>
        <w:tc>
          <w:tcPr>
            <w:tcW w:w="1235" w:type="dxa"/>
            <w:tcBorders>
              <w:top w:val="nil"/>
              <w:left w:val="nil"/>
              <w:bottom w:val="nil"/>
              <w:right w:val="nil"/>
            </w:tcBorders>
            <w:shd w:val="clear" w:color="auto" w:fill="auto"/>
            <w:noWrap/>
            <w:vAlign w:val="bottom"/>
            <w:hideMark/>
          </w:tcPr>
          <w:p w14:paraId="6C023197" w14:textId="77777777" w:rsidR="00E17940" w:rsidRPr="00E17940" w:rsidRDefault="00E17940" w:rsidP="00F058F8">
            <w:pPr>
              <w:spacing w:after="0" w:line="240" w:lineRule="auto"/>
              <w:jc w:val="right"/>
              <w:rPr>
                <w:rFonts w:ascii="Arial" w:hAnsi="Arial" w:cs="Arial"/>
                <w:b/>
                <w:bCs/>
                <w:i/>
                <w:iCs/>
                <w:color w:val="000000"/>
                <w:sz w:val="16"/>
                <w:szCs w:val="16"/>
              </w:rPr>
            </w:pPr>
          </w:p>
        </w:tc>
        <w:tc>
          <w:tcPr>
            <w:tcW w:w="1117" w:type="dxa"/>
            <w:tcBorders>
              <w:top w:val="nil"/>
              <w:left w:val="nil"/>
              <w:bottom w:val="nil"/>
              <w:right w:val="nil"/>
            </w:tcBorders>
            <w:shd w:val="clear" w:color="auto" w:fill="auto"/>
            <w:noWrap/>
            <w:vAlign w:val="bottom"/>
            <w:hideMark/>
          </w:tcPr>
          <w:p w14:paraId="2B354C7E" w14:textId="77777777" w:rsidR="00E17940" w:rsidRPr="00E17940" w:rsidRDefault="00E17940" w:rsidP="00F058F8">
            <w:pPr>
              <w:spacing w:after="0" w:line="240" w:lineRule="auto"/>
              <w:jc w:val="right"/>
              <w:rPr>
                <w:rFonts w:ascii="Times New Roman" w:hAnsi="Times New Roman"/>
                <w:sz w:val="16"/>
                <w:szCs w:val="16"/>
              </w:rPr>
            </w:pPr>
          </w:p>
        </w:tc>
        <w:tc>
          <w:tcPr>
            <w:tcW w:w="1117" w:type="dxa"/>
            <w:tcBorders>
              <w:top w:val="nil"/>
              <w:left w:val="nil"/>
              <w:bottom w:val="nil"/>
              <w:right w:val="nil"/>
            </w:tcBorders>
            <w:shd w:val="clear" w:color="auto" w:fill="auto"/>
            <w:noWrap/>
            <w:vAlign w:val="bottom"/>
            <w:hideMark/>
          </w:tcPr>
          <w:p w14:paraId="36C44123" w14:textId="77777777" w:rsidR="00E17940" w:rsidRPr="00E17940" w:rsidRDefault="00E17940" w:rsidP="00F058F8">
            <w:pPr>
              <w:spacing w:after="0" w:line="240" w:lineRule="auto"/>
              <w:jc w:val="right"/>
              <w:rPr>
                <w:rFonts w:ascii="Times New Roman" w:hAnsi="Times New Roman"/>
                <w:sz w:val="16"/>
                <w:szCs w:val="16"/>
              </w:rPr>
            </w:pPr>
          </w:p>
        </w:tc>
        <w:tc>
          <w:tcPr>
            <w:tcW w:w="1255" w:type="dxa"/>
            <w:tcBorders>
              <w:top w:val="nil"/>
              <w:left w:val="nil"/>
              <w:bottom w:val="nil"/>
              <w:right w:val="nil"/>
            </w:tcBorders>
            <w:shd w:val="clear" w:color="auto" w:fill="auto"/>
            <w:noWrap/>
            <w:vAlign w:val="bottom"/>
            <w:hideMark/>
          </w:tcPr>
          <w:p w14:paraId="22039A82" w14:textId="77777777" w:rsidR="00E17940" w:rsidRPr="00E17940" w:rsidRDefault="00E17940" w:rsidP="00F058F8">
            <w:pPr>
              <w:spacing w:after="0" w:line="240" w:lineRule="auto"/>
              <w:jc w:val="right"/>
              <w:rPr>
                <w:rFonts w:ascii="Times New Roman" w:hAnsi="Times New Roman"/>
                <w:sz w:val="16"/>
                <w:szCs w:val="16"/>
              </w:rPr>
            </w:pPr>
          </w:p>
        </w:tc>
      </w:tr>
      <w:tr w:rsidR="00E17940" w:rsidRPr="00E17940" w14:paraId="1463F8F8" w14:textId="77777777" w:rsidTr="00F058F8">
        <w:trPr>
          <w:trHeight w:val="204"/>
        </w:trPr>
        <w:tc>
          <w:tcPr>
            <w:tcW w:w="2976" w:type="dxa"/>
            <w:tcBorders>
              <w:top w:val="nil"/>
              <w:left w:val="nil"/>
              <w:bottom w:val="nil"/>
              <w:right w:val="nil"/>
            </w:tcBorders>
            <w:shd w:val="clear" w:color="auto" w:fill="auto"/>
            <w:noWrap/>
            <w:vAlign w:val="center"/>
            <w:hideMark/>
          </w:tcPr>
          <w:p w14:paraId="016E9CD7" w14:textId="77777777" w:rsidR="00E17940" w:rsidRPr="00E17940" w:rsidRDefault="00E17940" w:rsidP="00F058F8">
            <w:pPr>
              <w:spacing w:after="0" w:line="240" w:lineRule="auto"/>
              <w:ind w:left="113"/>
              <w:jc w:val="left"/>
              <w:rPr>
                <w:rFonts w:ascii="Arial" w:hAnsi="Arial" w:cs="Arial"/>
                <w:color w:val="000000"/>
                <w:sz w:val="16"/>
                <w:szCs w:val="16"/>
              </w:rPr>
            </w:pPr>
            <w:r w:rsidRPr="00F058F8">
              <w:rPr>
                <w:rFonts w:ascii="Arial" w:hAnsi="Arial" w:cs="Arial"/>
                <w:sz w:val="16"/>
                <w:szCs w:val="16"/>
              </w:rPr>
              <w:t>Equity injection - Appropriation</w:t>
            </w:r>
          </w:p>
        </w:tc>
        <w:tc>
          <w:tcPr>
            <w:tcW w:w="1235" w:type="dxa"/>
            <w:tcBorders>
              <w:top w:val="nil"/>
              <w:left w:val="nil"/>
              <w:bottom w:val="nil"/>
              <w:right w:val="nil"/>
            </w:tcBorders>
            <w:shd w:val="clear" w:color="auto" w:fill="auto"/>
            <w:noWrap/>
            <w:vAlign w:val="bottom"/>
            <w:hideMark/>
          </w:tcPr>
          <w:p w14:paraId="0B839E2E" w14:textId="3F5B1767" w:rsidR="00E17940" w:rsidRPr="00E17940" w:rsidRDefault="001D77BC" w:rsidP="00F058F8">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1117" w:type="dxa"/>
            <w:tcBorders>
              <w:top w:val="nil"/>
              <w:left w:val="nil"/>
              <w:bottom w:val="nil"/>
              <w:right w:val="nil"/>
            </w:tcBorders>
            <w:shd w:val="clear" w:color="auto" w:fill="auto"/>
            <w:noWrap/>
            <w:vAlign w:val="bottom"/>
            <w:hideMark/>
          </w:tcPr>
          <w:p w14:paraId="5357F56C" w14:textId="30FE61CB" w:rsidR="00E17940" w:rsidRPr="00E17940" w:rsidRDefault="001D77BC" w:rsidP="00F058F8">
            <w:pPr>
              <w:spacing w:after="0" w:line="240" w:lineRule="auto"/>
              <w:jc w:val="right"/>
              <w:rPr>
                <w:rFonts w:ascii="Times New Roman" w:hAnsi="Times New Roman"/>
                <w:sz w:val="16"/>
                <w:szCs w:val="16"/>
              </w:rPr>
            </w:pPr>
            <w:r>
              <w:rPr>
                <w:rFonts w:ascii="Times New Roman" w:hAnsi="Times New Roman"/>
                <w:sz w:val="16"/>
                <w:szCs w:val="16"/>
              </w:rPr>
              <w:t>-</w:t>
            </w:r>
          </w:p>
        </w:tc>
        <w:tc>
          <w:tcPr>
            <w:tcW w:w="1117" w:type="dxa"/>
            <w:tcBorders>
              <w:top w:val="nil"/>
              <w:left w:val="nil"/>
              <w:bottom w:val="nil"/>
              <w:right w:val="nil"/>
            </w:tcBorders>
            <w:shd w:val="clear" w:color="auto" w:fill="auto"/>
            <w:noWrap/>
            <w:vAlign w:val="bottom"/>
            <w:hideMark/>
          </w:tcPr>
          <w:p w14:paraId="706F03BD" w14:textId="28E2F1C3"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9,566</w:t>
            </w:r>
          </w:p>
        </w:tc>
        <w:tc>
          <w:tcPr>
            <w:tcW w:w="1255" w:type="dxa"/>
            <w:tcBorders>
              <w:top w:val="nil"/>
              <w:left w:val="nil"/>
              <w:bottom w:val="nil"/>
              <w:right w:val="nil"/>
            </w:tcBorders>
            <w:shd w:val="clear" w:color="auto" w:fill="auto"/>
            <w:noWrap/>
            <w:vAlign w:val="bottom"/>
            <w:hideMark/>
          </w:tcPr>
          <w:p w14:paraId="6DEF678A" w14:textId="25619664" w:rsidR="00E17940" w:rsidRPr="00E17940" w:rsidRDefault="00E17940" w:rsidP="00F058F8">
            <w:pPr>
              <w:spacing w:after="0" w:line="240" w:lineRule="auto"/>
              <w:jc w:val="right"/>
              <w:rPr>
                <w:rFonts w:ascii="Arial" w:hAnsi="Arial" w:cs="Arial"/>
                <w:color w:val="000000"/>
                <w:sz w:val="16"/>
                <w:szCs w:val="16"/>
              </w:rPr>
            </w:pPr>
            <w:r w:rsidRPr="00E17940">
              <w:rPr>
                <w:rFonts w:ascii="Arial" w:hAnsi="Arial" w:cs="Arial"/>
                <w:color w:val="000000"/>
                <w:sz w:val="16"/>
                <w:szCs w:val="16"/>
              </w:rPr>
              <w:t>9,566</w:t>
            </w:r>
          </w:p>
        </w:tc>
      </w:tr>
      <w:tr w:rsidR="00E17940" w:rsidRPr="00E17940" w14:paraId="453F61D3" w14:textId="77777777" w:rsidTr="00F058F8">
        <w:trPr>
          <w:trHeight w:val="204"/>
        </w:trPr>
        <w:tc>
          <w:tcPr>
            <w:tcW w:w="2976" w:type="dxa"/>
            <w:tcBorders>
              <w:top w:val="nil"/>
              <w:left w:val="nil"/>
              <w:bottom w:val="nil"/>
              <w:right w:val="nil"/>
            </w:tcBorders>
            <w:shd w:val="clear" w:color="auto" w:fill="auto"/>
            <w:vAlign w:val="center"/>
            <w:hideMark/>
          </w:tcPr>
          <w:p w14:paraId="5A5301DB" w14:textId="78DFE02B" w:rsidR="00E17940" w:rsidRPr="00E17940" w:rsidRDefault="00E17940" w:rsidP="00F058F8">
            <w:pPr>
              <w:spacing w:after="0" w:line="240" w:lineRule="auto"/>
              <w:jc w:val="left"/>
              <w:rPr>
                <w:rFonts w:ascii="Arial" w:hAnsi="Arial" w:cs="Arial"/>
                <w:b/>
                <w:bCs/>
                <w:i/>
                <w:iCs/>
                <w:color w:val="000000"/>
                <w:sz w:val="16"/>
                <w:szCs w:val="16"/>
              </w:rPr>
            </w:pPr>
            <w:r w:rsidRPr="00E17940">
              <w:rPr>
                <w:rFonts w:ascii="Arial" w:hAnsi="Arial" w:cs="Arial"/>
                <w:b/>
                <w:bCs/>
                <w:i/>
                <w:iCs/>
                <w:color w:val="000000"/>
                <w:sz w:val="16"/>
                <w:szCs w:val="16"/>
              </w:rPr>
              <w:t>Sub-total transactions with</w:t>
            </w:r>
            <w:r w:rsidR="00F058F8">
              <w:rPr>
                <w:rFonts w:ascii="Arial" w:hAnsi="Arial" w:cs="Arial"/>
                <w:b/>
                <w:bCs/>
                <w:i/>
                <w:iCs/>
                <w:color w:val="000000"/>
                <w:sz w:val="16"/>
                <w:szCs w:val="16"/>
              </w:rPr>
              <w:t xml:space="preserve"> </w:t>
            </w:r>
            <w:r w:rsidRPr="00E17940">
              <w:rPr>
                <w:rFonts w:ascii="Arial" w:hAnsi="Arial" w:cs="Arial"/>
                <w:b/>
                <w:bCs/>
                <w:i/>
                <w:iCs/>
                <w:color w:val="000000"/>
                <w:sz w:val="16"/>
                <w:szCs w:val="16"/>
              </w:rPr>
              <w:t>owners</w:t>
            </w:r>
          </w:p>
        </w:tc>
        <w:tc>
          <w:tcPr>
            <w:tcW w:w="1235" w:type="dxa"/>
            <w:tcBorders>
              <w:top w:val="single" w:sz="4" w:space="0" w:color="000000"/>
              <w:left w:val="nil"/>
              <w:bottom w:val="single" w:sz="4" w:space="0" w:color="000000"/>
              <w:right w:val="nil"/>
            </w:tcBorders>
            <w:shd w:val="clear" w:color="auto" w:fill="auto"/>
            <w:noWrap/>
            <w:vAlign w:val="bottom"/>
            <w:hideMark/>
          </w:tcPr>
          <w:p w14:paraId="3D7B1E80" w14:textId="2BD337EC"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w:t>
            </w:r>
          </w:p>
        </w:tc>
        <w:tc>
          <w:tcPr>
            <w:tcW w:w="1117" w:type="dxa"/>
            <w:tcBorders>
              <w:top w:val="single" w:sz="4" w:space="0" w:color="000000"/>
              <w:left w:val="nil"/>
              <w:bottom w:val="single" w:sz="4" w:space="0" w:color="000000"/>
              <w:right w:val="nil"/>
            </w:tcBorders>
            <w:shd w:val="clear" w:color="auto" w:fill="auto"/>
            <w:noWrap/>
            <w:vAlign w:val="bottom"/>
            <w:hideMark/>
          </w:tcPr>
          <w:p w14:paraId="374DFC94" w14:textId="6115180C"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w:t>
            </w:r>
          </w:p>
        </w:tc>
        <w:tc>
          <w:tcPr>
            <w:tcW w:w="1117" w:type="dxa"/>
            <w:tcBorders>
              <w:top w:val="single" w:sz="4" w:space="0" w:color="000000"/>
              <w:left w:val="nil"/>
              <w:bottom w:val="single" w:sz="4" w:space="0" w:color="000000"/>
              <w:right w:val="nil"/>
            </w:tcBorders>
            <w:shd w:val="clear" w:color="auto" w:fill="auto"/>
            <w:noWrap/>
            <w:vAlign w:val="bottom"/>
            <w:hideMark/>
          </w:tcPr>
          <w:p w14:paraId="45DF78B5" w14:textId="014870DC"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9,566</w:t>
            </w:r>
          </w:p>
        </w:tc>
        <w:tc>
          <w:tcPr>
            <w:tcW w:w="1255" w:type="dxa"/>
            <w:tcBorders>
              <w:top w:val="single" w:sz="4" w:space="0" w:color="000000"/>
              <w:left w:val="nil"/>
              <w:bottom w:val="single" w:sz="4" w:space="0" w:color="000000"/>
              <w:right w:val="nil"/>
            </w:tcBorders>
            <w:shd w:val="clear" w:color="auto" w:fill="auto"/>
            <w:noWrap/>
            <w:vAlign w:val="bottom"/>
            <w:hideMark/>
          </w:tcPr>
          <w:p w14:paraId="29268169" w14:textId="531E5BFF" w:rsidR="00E17940" w:rsidRPr="00E17940" w:rsidRDefault="00E17940" w:rsidP="00F058F8">
            <w:pPr>
              <w:spacing w:after="0" w:line="240" w:lineRule="auto"/>
              <w:jc w:val="right"/>
              <w:rPr>
                <w:rFonts w:ascii="Arial" w:hAnsi="Arial" w:cs="Arial"/>
                <w:b/>
                <w:bCs/>
                <w:i/>
                <w:iCs/>
                <w:color w:val="000000"/>
                <w:sz w:val="16"/>
                <w:szCs w:val="16"/>
              </w:rPr>
            </w:pPr>
            <w:r w:rsidRPr="00E17940">
              <w:rPr>
                <w:rFonts w:ascii="Arial" w:hAnsi="Arial" w:cs="Arial"/>
                <w:b/>
                <w:bCs/>
                <w:i/>
                <w:iCs/>
                <w:color w:val="000000"/>
                <w:sz w:val="16"/>
                <w:szCs w:val="16"/>
              </w:rPr>
              <w:t>9,566</w:t>
            </w:r>
          </w:p>
        </w:tc>
      </w:tr>
      <w:tr w:rsidR="00E17940" w:rsidRPr="00E17940" w14:paraId="6FCE1F7B" w14:textId="77777777" w:rsidTr="00F058F8">
        <w:trPr>
          <w:trHeight w:val="204"/>
        </w:trPr>
        <w:tc>
          <w:tcPr>
            <w:tcW w:w="2976" w:type="dxa"/>
            <w:tcBorders>
              <w:top w:val="nil"/>
              <w:left w:val="nil"/>
              <w:bottom w:val="nil"/>
              <w:right w:val="nil"/>
            </w:tcBorders>
            <w:shd w:val="clear" w:color="auto" w:fill="auto"/>
            <w:vAlign w:val="center"/>
            <w:hideMark/>
          </w:tcPr>
          <w:p w14:paraId="2B98BCD6" w14:textId="20B7FA59" w:rsidR="00E17940" w:rsidRPr="00E17940" w:rsidRDefault="00E17940" w:rsidP="001D77BC">
            <w:pPr>
              <w:spacing w:after="0" w:line="240" w:lineRule="auto"/>
              <w:jc w:val="left"/>
              <w:rPr>
                <w:rFonts w:ascii="Arial" w:hAnsi="Arial" w:cs="Arial"/>
                <w:b/>
                <w:bCs/>
                <w:color w:val="000000"/>
                <w:sz w:val="16"/>
                <w:szCs w:val="16"/>
              </w:rPr>
            </w:pPr>
            <w:r w:rsidRPr="00E17940">
              <w:rPr>
                <w:rFonts w:ascii="Arial" w:hAnsi="Arial" w:cs="Arial"/>
                <w:b/>
                <w:bCs/>
                <w:color w:val="000000"/>
                <w:sz w:val="16"/>
                <w:szCs w:val="16"/>
              </w:rPr>
              <w:t>Estimated closing balance as at</w:t>
            </w:r>
            <w:r w:rsidR="00F058F8">
              <w:rPr>
                <w:rFonts w:ascii="Arial" w:hAnsi="Arial" w:cs="Arial"/>
                <w:b/>
                <w:bCs/>
                <w:color w:val="000000"/>
                <w:sz w:val="16"/>
                <w:szCs w:val="16"/>
              </w:rPr>
              <w:t xml:space="preserve"> </w:t>
            </w:r>
            <w:r w:rsidRPr="00E17940">
              <w:rPr>
                <w:rFonts w:ascii="Arial" w:hAnsi="Arial" w:cs="Arial"/>
                <w:b/>
                <w:bCs/>
                <w:color w:val="000000"/>
                <w:sz w:val="16"/>
                <w:szCs w:val="16"/>
              </w:rPr>
              <w:t>30</w:t>
            </w:r>
            <w:r w:rsidR="00F058F8">
              <w:rPr>
                <w:rFonts w:ascii="Arial" w:hAnsi="Arial" w:cs="Arial"/>
                <w:b/>
                <w:bCs/>
                <w:color w:val="000000"/>
                <w:sz w:val="16"/>
                <w:szCs w:val="16"/>
              </w:rPr>
              <w:t> </w:t>
            </w:r>
            <w:r w:rsidRPr="00E17940">
              <w:rPr>
                <w:rFonts w:ascii="Arial" w:hAnsi="Arial" w:cs="Arial"/>
                <w:b/>
                <w:bCs/>
                <w:color w:val="000000"/>
                <w:sz w:val="16"/>
                <w:szCs w:val="16"/>
              </w:rPr>
              <w:t>June 2022</w:t>
            </w:r>
          </w:p>
        </w:tc>
        <w:tc>
          <w:tcPr>
            <w:tcW w:w="1235" w:type="dxa"/>
            <w:tcBorders>
              <w:top w:val="single" w:sz="4" w:space="0" w:color="auto"/>
              <w:left w:val="nil"/>
              <w:bottom w:val="single" w:sz="4" w:space="0" w:color="auto"/>
              <w:right w:val="nil"/>
            </w:tcBorders>
            <w:shd w:val="clear" w:color="auto" w:fill="auto"/>
            <w:noWrap/>
            <w:vAlign w:val="bottom"/>
            <w:hideMark/>
          </w:tcPr>
          <w:p w14:paraId="1D9127C6" w14:textId="4EBC28B1"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1,163,576</w:t>
            </w:r>
          </w:p>
        </w:tc>
        <w:tc>
          <w:tcPr>
            <w:tcW w:w="1117" w:type="dxa"/>
            <w:tcBorders>
              <w:top w:val="single" w:sz="4" w:space="0" w:color="auto"/>
              <w:left w:val="nil"/>
              <w:bottom w:val="single" w:sz="4" w:space="0" w:color="auto"/>
              <w:right w:val="nil"/>
            </w:tcBorders>
            <w:shd w:val="clear" w:color="auto" w:fill="auto"/>
            <w:noWrap/>
            <w:vAlign w:val="bottom"/>
            <w:hideMark/>
          </w:tcPr>
          <w:p w14:paraId="64AF9C16" w14:textId="2371F88D"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201,269</w:t>
            </w:r>
          </w:p>
        </w:tc>
        <w:tc>
          <w:tcPr>
            <w:tcW w:w="1117" w:type="dxa"/>
            <w:tcBorders>
              <w:top w:val="single" w:sz="4" w:space="0" w:color="auto"/>
              <w:left w:val="nil"/>
              <w:bottom w:val="single" w:sz="4" w:space="0" w:color="auto"/>
              <w:right w:val="nil"/>
            </w:tcBorders>
            <w:shd w:val="clear" w:color="auto" w:fill="auto"/>
            <w:noWrap/>
            <w:vAlign w:val="bottom"/>
            <w:hideMark/>
          </w:tcPr>
          <w:p w14:paraId="4003EAEF" w14:textId="6659026D"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146,802</w:t>
            </w:r>
          </w:p>
        </w:tc>
        <w:tc>
          <w:tcPr>
            <w:tcW w:w="1255" w:type="dxa"/>
            <w:tcBorders>
              <w:top w:val="single" w:sz="4" w:space="0" w:color="auto"/>
              <w:left w:val="nil"/>
              <w:bottom w:val="single" w:sz="4" w:space="0" w:color="auto"/>
              <w:right w:val="nil"/>
            </w:tcBorders>
            <w:shd w:val="clear" w:color="auto" w:fill="auto"/>
            <w:noWrap/>
            <w:vAlign w:val="bottom"/>
            <w:hideMark/>
          </w:tcPr>
          <w:p w14:paraId="71589EB9" w14:textId="7FBEFB31"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1,511,647</w:t>
            </w:r>
          </w:p>
        </w:tc>
      </w:tr>
      <w:tr w:rsidR="00E17940" w:rsidRPr="00E17940" w14:paraId="0FBC0107" w14:textId="77777777" w:rsidTr="00F058F8">
        <w:trPr>
          <w:trHeight w:val="204"/>
        </w:trPr>
        <w:tc>
          <w:tcPr>
            <w:tcW w:w="2976" w:type="dxa"/>
            <w:tcBorders>
              <w:top w:val="nil"/>
              <w:left w:val="nil"/>
              <w:bottom w:val="single" w:sz="4" w:space="0" w:color="000000"/>
              <w:right w:val="nil"/>
            </w:tcBorders>
            <w:shd w:val="clear" w:color="auto" w:fill="auto"/>
            <w:vAlign w:val="center"/>
            <w:hideMark/>
          </w:tcPr>
          <w:p w14:paraId="519AB0B0" w14:textId="29C7E7CB" w:rsidR="00E17940" w:rsidRPr="00E17940" w:rsidRDefault="00E17940" w:rsidP="00F058F8">
            <w:pPr>
              <w:spacing w:after="0" w:line="240" w:lineRule="auto"/>
              <w:jc w:val="left"/>
              <w:rPr>
                <w:rFonts w:ascii="Arial" w:hAnsi="Arial" w:cs="Arial"/>
                <w:b/>
                <w:bCs/>
                <w:color w:val="000000"/>
                <w:sz w:val="16"/>
                <w:szCs w:val="16"/>
              </w:rPr>
            </w:pPr>
            <w:r w:rsidRPr="00E17940">
              <w:rPr>
                <w:rFonts w:ascii="Arial" w:hAnsi="Arial" w:cs="Arial"/>
                <w:b/>
                <w:bCs/>
                <w:color w:val="000000"/>
                <w:sz w:val="16"/>
                <w:szCs w:val="16"/>
              </w:rPr>
              <w:t>Closing balance attributable to</w:t>
            </w:r>
            <w:r w:rsidR="00F058F8">
              <w:rPr>
                <w:rFonts w:ascii="Arial" w:hAnsi="Arial" w:cs="Arial"/>
                <w:b/>
                <w:bCs/>
                <w:color w:val="000000"/>
                <w:sz w:val="16"/>
                <w:szCs w:val="16"/>
              </w:rPr>
              <w:t xml:space="preserve"> </w:t>
            </w:r>
            <w:r w:rsidRPr="00E17940">
              <w:rPr>
                <w:rFonts w:ascii="Arial" w:hAnsi="Arial" w:cs="Arial"/>
                <w:b/>
                <w:bCs/>
                <w:color w:val="000000"/>
                <w:sz w:val="16"/>
                <w:szCs w:val="16"/>
              </w:rPr>
              <w:t>the Australian Government</w:t>
            </w:r>
          </w:p>
        </w:tc>
        <w:tc>
          <w:tcPr>
            <w:tcW w:w="1235" w:type="dxa"/>
            <w:tcBorders>
              <w:top w:val="nil"/>
              <w:left w:val="nil"/>
              <w:bottom w:val="single" w:sz="4" w:space="0" w:color="auto"/>
              <w:right w:val="nil"/>
            </w:tcBorders>
            <w:shd w:val="clear" w:color="auto" w:fill="auto"/>
            <w:noWrap/>
            <w:vAlign w:val="bottom"/>
            <w:hideMark/>
          </w:tcPr>
          <w:p w14:paraId="36792548" w14:textId="5CB780B5"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1,163,576</w:t>
            </w:r>
          </w:p>
        </w:tc>
        <w:tc>
          <w:tcPr>
            <w:tcW w:w="1117" w:type="dxa"/>
            <w:tcBorders>
              <w:top w:val="nil"/>
              <w:left w:val="nil"/>
              <w:bottom w:val="single" w:sz="4" w:space="0" w:color="auto"/>
              <w:right w:val="nil"/>
            </w:tcBorders>
            <w:shd w:val="clear" w:color="auto" w:fill="auto"/>
            <w:noWrap/>
            <w:vAlign w:val="bottom"/>
            <w:hideMark/>
          </w:tcPr>
          <w:p w14:paraId="609810B9" w14:textId="06D18DFA"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201,269</w:t>
            </w:r>
          </w:p>
        </w:tc>
        <w:tc>
          <w:tcPr>
            <w:tcW w:w="1117" w:type="dxa"/>
            <w:tcBorders>
              <w:top w:val="nil"/>
              <w:left w:val="nil"/>
              <w:bottom w:val="single" w:sz="4" w:space="0" w:color="auto"/>
              <w:right w:val="nil"/>
            </w:tcBorders>
            <w:shd w:val="clear" w:color="auto" w:fill="auto"/>
            <w:noWrap/>
            <w:vAlign w:val="bottom"/>
            <w:hideMark/>
          </w:tcPr>
          <w:p w14:paraId="44C673AE" w14:textId="30406AB7"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146,802</w:t>
            </w:r>
          </w:p>
        </w:tc>
        <w:tc>
          <w:tcPr>
            <w:tcW w:w="1255" w:type="dxa"/>
            <w:tcBorders>
              <w:top w:val="nil"/>
              <w:left w:val="nil"/>
              <w:bottom w:val="single" w:sz="4" w:space="0" w:color="auto"/>
              <w:right w:val="nil"/>
            </w:tcBorders>
            <w:shd w:val="clear" w:color="auto" w:fill="auto"/>
            <w:noWrap/>
            <w:vAlign w:val="bottom"/>
            <w:hideMark/>
          </w:tcPr>
          <w:p w14:paraId="0C50B853" w14:textId="324ABF7B" w:rsidR="00E17940" w:rsidRPr="00E17940" w:rsidRDefault="00E17940" w:rsidP="00F058F8">
            <w:pPr>
              <w:spacing w:after="0" w:line="240" w:lineRule="auto"/>
              <w:jc w:val="right"/>
              <w:rPr>
                <w:rFonts w:ascii="Arial" w:hAnsi="Arial" w:cs="Arial"/>
                <w:b/>
                <w:bCs/>
                <w:color w:val="000000"/>
                <w:sz w:val="16"/>
                <w:szCs w:val="16"/>
              </w:rPr>
            </w:pPr>
            <w:r w:rsidRPr="00E17940">
              <w:rPr>
                <w:rFonts w:ascii="Arial" w:hAnsi="Arial" w:cs="Arial"/>
                <w:b/>
                <w:bCs/>
                <w:color w:val="000000"/>
                <w:sz w:val="16"/>
                <w:szCs w:val="16"/>
              </w:rPr>
              <w:t>1,511,647</w:t>
            </w:r>
          </w:p>
        </w:tc>
      </w:tr>
    </w:tbl>
    <w:p w14:paraId="32097210" w14:textId="5CC7DCB1" w:rsidR="00984C33" w:rsidRPr="00132F9E" w:rsidRDefault="00984C33" w:rsidP="00574131">
      <w:pPr>
        <w:spacing w:before="60" w:after="0" w:line="240" w:lineRule="auto"/>
        <w:jc w:val="left"/>
        <w:rPr>
          <w:rFonts w:ascii="Arial" w:hAnsi="Arial" w:cs="Arial"/>
          <w:sz w:val="16"/>
          <w:szCs w:val="16"/>
        </w:rPr>
      </w:pPr>
      <w:r w:rsidRPr="00D606C2">
        <w:rPr>
          <w:rFonts w:ascii="Arial" w:hAnsi="Arial" w:cs="Arial"/>
          <w:sz w:val="16"/>
        </w:rPr>
        <w:t>Prepared on Australian Accounting Standards basis</w:t>
      </w:r>
    </w:p>
    <w:p w14:paraId="1AAFC8C9" w14:textId="1B98EDA4" w:rsidR="00984C33" w:rsidRDefault="00984C33" w:rsidP="00984C33">
      <w:pPr>
        <w:pStyle w:val="TableHeading"/>
        <w:rPr>
          <w:rFonts w:cs="Arial"/>
          <w:sz w:val="16"/>
          <w:szCs w:val="16"/>
        </w:rPr>
      </w:pPr>
      <w:r>
        <w:br w:type="page"/>
      </w:r>
      <w:r w:rsidR="00914885">
        <w:rPr>
          <w:snapToGrid w:val="0"/>
        </w:rPr>
        <w:lastRenderedPageBreak/>
        <w:t>Table 3</w:t>
      </w:r>
      <w:r w:rsidR="00914885" w:rsidRPr="00014438">
        <w:rPr>
          <w:snapToGrid w:val="0"/>
        </w:rPr>
        <w:t>.</w:t>
      </w:r>
      <w:r w:rsidR="00914885">
        <w:rPr>
          <w:snapToGrid w:val="0"/>
        </w:rPr>
        <w:t>5</w:t>
      </w:r>
      <w:r w:rsidR="00914885" w:rsidRPr="00014438">
        <w:rPr>
          <w:snapToGrid w:val="0"/>
        </w:rPr>
        <w:t xml:space="preserve">: Budgeted </w:t>
      </w:r>
      <w:r w:rsidR="008863D9">
        <w:rPr>
          <w:snapToGrid w:val="0"/>
        </w:rPr>
        <w:t>Department</w:t>
      </w:r>
      <w:r w:rsidR="00914885" w:rsidRPr="00014438">
        <w:rPr>
          <w:snapToGrid w:val="0"/>
        </w:rPr>
        <w:t xml:space="preserve">al </w:t>
      </w:r>
      <w:r w:rsidR="00914885">
        <w:rPr>
          <w:snapToGrid w:val="0"/>
        </w:rPr>
        <w:t>s</w:t>
      </w:r>
      <w:r w:rsidR="00914885" w:rsidRPr="00014438">
        <w:rPr>
          <w:snapToGrid w:val="0"/>
        </w:rPr>
        <w:t xml:space="preserve">tatement of </w:t>
      </w:r>
      <w:r w:rsidR="00914885">
        <w:rPr>
          <w:snapToGrid w:val="0"/>
        </w:rPr>
        <w:t>c</w:t>
      </w:r>
      <w:r w:rsidR="00914885" w:rsidRPr="00014438">
        <w:rPr>
          <w:snapToGrid w:val="0"/>
        </w:rPr>
        <w:t xml:space="preserve">ash </w:t>
      </w:r>
      <w:r w:rsidR="00914885">
        <w:rPr>
          <w:snapToGrid w:val="0"/>
        </w:rPr>
        <w:t>f</w:t>
      </w:r>
      <w:r w:rsidR="00914885" w:rsidRPr="00014438">
        <w:rPr>
          <w:snapToGrid w:val="0"/>
        </w:rPr>
        <w:t>lows (</w:t>
      </w:r>
      <w:r w:rsidR="00914885">
        <w:rPr>
          <w:snapToGrid w:val="0"/>
          <w:lang w:val="en-AU"/>
        </w:rPr>
        <w:t>for the period ended</w:t>
      </w:r>
      <w:r w:rsidR="00914885" w:rsidRPr="00014438">
        <w:rPr>
          <w:snapToGrid w:val="0"/>
        </w:rPr>
        <w:t xml:space="preserve"> </w:t>
      </w:r>
      <w:r w:rsidRPr="00D30CBA">
        <w:t>30 June)</w:t>
      </w:r>
    </w:p>
    <w:tbl>
      <w:tblPr>
        <w:tblW w:w="7240" w:type="dxa"/>
        <w:tblLook w:val="04A0" w:firstRow="1" w:lastRow="0" w:firstColumn="1" w:lastColumn="0" w:noHBand="0" w:noVBand="1"/>
      </w:tblPr>
      <w:tblGrid>
        <w:gridCol w:w="2840"/>
        <w:gridCol w:w="880"/>
        <w:gridCol w:w="880"/>
        <w:gridCol w:w="880"/>
        <w:gridCol w:w="880"/>
        <w:gridCol w:w="880"/>
      </w:tblGrid>
      <w:tr w:rsidR="00984C33" w:rsidRPr="00AA6563" w14:paraId="3B86CDD9" w14:textId="77777777" w:rsidTr="007E1EA3">
        <w:trPr>
          <w:trHeight w:val="354"/>
        </w:trPr>
        <w:tc>
          <w:tcPr>
            <w:tcW w:w="2840" w:type="dxa"/>
            <w:tcBorders>
              <w:top w:val="single" w:sz="4" w:space="0" w:color="auto"/>
              <w:left w:val="nil"/>
              <w:bottom w:val="nil"/>
              <w:right w:val="nil"/>
            </w:tcBorders>
            <w:shd w:val="clear" w:color="auto" w:fill="auto"/>
            <w:noWrap/>
            <w:hideMark/>
          </w:tcPr>
          <w:p w14:paraId="64B689A1" w14:textId="77777777" w:rsidR="00984C33" w:rsidRPr="00AA6563" w:rsidRDefault="00984C33" w:rsidP="00984C33">
            <w:pPr>
              <w:spacing w:after="0" w:line="240" w:lineRule="auto"/>
              <w:jc w:val="left"/>
              <w:rPr>
                <w:rFonts w:ascii="Arial" w:hAnsi="Arial" w:cs="Arial"/>
                <w:b/>
                <w:bCs/>
                <w:sz w:val="16"/>
                <w:szCs w:val="16"/>
              </w:rPr>
            </w:pPr>
            <w:r w:rsidRPr="00AA6563">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hideMark/>
          </w:tcPr>
          <w:p w14:paraId="49CAD1AF" w14:textId="77777777" w:rsidR="00984C33" w:rsidRPr="00AA6563" w:rsidRDefault="00984C33" w:rsidP="00984C33">
            <w:pPr>
              <w:spacing w:after="0" w:line="240" w:lineRule="auto"/>
              <w:jc w:val="right"/>
              <w:rPr>
                <w:rFonts w:ascii="Arial" w:hAnsi="Arial" w:cs="Arial"/>
                <w:sz w:val="16"/>
                <w:szCs w:val="16"/>
              </w:rPr>
            </w:pPr>
            <w:r w:rsidRPr="00AA6563">
              <w:rPr>
                <w:rFonts w:ascii="Arial" w:hAnsi="Arial" w:cs="Arial"/>
                <w:sz w:val="16"/>
                <w:szCs w:val="16"/>
              </w:rPr>
              <w:t>2020-21 Actual</w:t>
            </w:r>
            <w:r w:rsidRPr="00AA6563">
              <w:rPr>
                <w:rFonts w:ascii="Arial" w:hAnsi="Arial" w:cs="Arial"/>
                <w:sz w:val="16"/>
                <w:szCs w:val="16"/>
              </w:rPr>
              <w:br/>
            </w:r>
            <w:r w:rsidRPr="00AA656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04DB0B82" w14:textId="77777777" w:rsidR="00984C33" w:rsidRPr="00AA6563" w:rsidRDefault="00984C33" w:rsidP="00984C33">
            <w:pPr>
              <w:spacing w:after="0" w:line="240" w:lineRule="auto"/>
              <w:jc w:val="right"/>
              <w:rPr>
                <w:rFonts w:ascii="Arial" w:hAnsi="Arial" w:cs="Arial"/>
                <w:sz w:val="16"/>
                <w:szCs w:val="16"/>
              </w:rPr>
            </w:pPr>
            <w:r w:rsidRPr="00AA6563">
              <w:rPr>
                <w:rFonts w:ascii="Arial" w:hAnsi="Arial" w:cs="Arial"/>
                <w:sz w:val="16"/>
                <w:szCs w:val="16"/>
              </w:rPr>
              <w:t>2021-22</w:t>
            </w:r>
            <w:r w:rsidRPr="00AA6563">
              <w:rPr>
                <w:rFonts w:ascii="Arial" w:hAnsi="Arial" w:cs="Arial"/>
                <w:sz w:val="16"/>
                <w:szCs w:val="16"/>
              </w:rPr>
              <w:br/>
              <w:t>Revised Budget</w:t>
            </w:r>
            <w:r w:rsidRPr="00AA656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6255210A" w14:textId="77777777" w:rsidR="00984C33" w:rsidRPr="00AA6563" w:rsidRDefault="00984C33" w:rsidP="00984C33">
            <w:pPr>
              <w:spacing w:after="0" w:line="240" w:lineRule="auto"/>
              <w:jc w:val="right"/>
              <w:rPr>
                <w:rFonts w:ascii="Arial" w:hAnsi="Arial" w:cs="Arial"/>
                <w:sz w:val="16"/>
                <w:szCs w:val="16"/>
              </w:rPr>
            </w:pPr>
            <w:r w:rsidRPr="00AA6563">
              <w:rPr>
                <w:rFonts w:ascii="Arial" w:hAnsi="Arial" w:cs="Arial"/>
                <w:sz w:val="16"/>
                <w:szCs w:val="16"/>
              </w:rPr>
              <w:t>2022-23 Forward estimate</w:t>
            </w:r>
            <w:r w:rsidRPr="00AA656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E159EA" w14:textId="77777777" w:rsidR="00984C33" w:rsidRPr="00AA6563" w:rsidRDefault="00984C33" w:rsidP="00984C33">
            <w:pPr>
              <w:spacing w:after="0" w:line="240" w:lineRule="auto"/>
              <w:jc w:val="right"/>
              <w:rPr>
                <w:rFonts w:ascii="Arial" w:hAnsi="Arial" w:cs="Arial"/>
                <w:sz w:val="16"/>
                <w:szCs w:val="16"/>
              </w:rPr>
            </w:pPr>
            <w:r w:rsidRPr="00AA6563">
              <w:rPr>
                <w:rFonts w:ascii="Arial" w:hAnsi="Arial" w:cs="Arial"/>
                <w:sz w:val="16"/>
                <w:szCs w:val="16"/>
              </w:rPr>
              <w:t>2023-24 Forward estimate</w:t>
            </w:r>
            <w:r w:rsidRPr="00AA6563">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3E436BAE" w14:textId="77777777" w:rsidR="00984C33" w:rsidRPr="00AA6563" w:rsidRDefault="00984C33" w:rsidP="00984C33">
            <w:pPr>
              <w:spacing w:after="0" w:line="240" w:lineRule="auto"/>
              <w:jc w:val="right"/>
              <w:rPr>
                <w:rFonts w:ascii="Arial" w:hAnsi="Arial" w:cs="Arial"/>
                <w:sz w:val="16"/>
                <w:szCs w:val="16"/>
              </w:rPr>
            </w:pPr>
            <w:r w:rsidRPr="00AA6563">
              <w:rPr>
                <w:rFonts w:ascii="Arial" w:hAnsi="Arial" w:cs="Arial"/>
                <w:sz w:val="16"/>
                <w:szCs w:val="16"/>
              </w:rPr>
              <w:t>2024-25</w:t>
            </w:r>
            <w:r w:rsidRPr="00AA6563">
              <w:rPr>
                <w:rFonts w:ascii="Arial" w:hAnsi="Arial" w:cs="Arial"/>
                <w:sz w:val="16"/>
                <w:szCs w:val="16"/>
              </w:rPr>
              <w:br/>
              <w:t>Forward estimate</w:t>
            </w:r>
            <w:r w:rsidRPr="00AA6563">
              <w:rPr>
                <w:rFonts w:ascii="Arial" w:hAnsi="Arial" w:cs="Arial"/>
                <w:sz w:val="16"/>
                <w:szCs w:val="16"/>
              </w:rPr>
              <w:br/>
              <w:t>$'000</w:t>
            </w:r>
          </w:p>
        </w:tc>
      </w:tr>
      <w:tr w:rsidR="00AE25B4" w:rsidRPr="00AA6563" w14:paraId="79EF23A0" w14:textId="77777777" w:rsidTr="00AE25B4">
        <w:trPr>
          <w:trHeight w:val="204"/>
        </w:trPr>
        <w:tc>
          <w:tcPr>
            <w:tcW w:w="2840" w:type="dxa"/>
            <w:tcBorders>
              <w:top w:val="nil"/>
              <w:left w:val="nil"/>
              <w:bottom w:val="nil"/>
              <w:right w:val="nil"/>
            </w:tcBorders>
            <w:shd w:val="clear" w:color="auto" w:fill="auto"/>
            <w:noWrap/>
            <w:vAlign w:val="center"/>
            <w:hideMark/>
          </w:tcPr>
          <w:p w14:paraId="3D93DD4B" w14:textId="3528AFA1" w:rsidR="00AE25B4" w:rsidRPr="00AA6563" w:rsidRDefault="00AE25B4" w:rsidP="00AE25B4">
            <w:pPr>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880" w:type="dxa"/>
            <w:tcBorders>
              <w:top w:val="nil"/>
              <w:left w:val="nil"/>
              <w:bottom w:val="nil"/>
              <w:right w:val="nil"/>
            </w:tcBorders>
            <w:shd w:val="clear" w:color="auto" w:fill="auto"/>
            <w:noWrap/>
            <w:vAlign w:val="bottom"/>
            <w:hideMark/>
          </w:tcPr>
          <w:p w14:paraId="6C9D4974" w14:textId="77777777" w:rsidR="00AE25B4" w:rsidRPr="00AE25B4" w:rsidRDefault="00AE25B4" w:rsidP="00141F0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6917E4B8" w14:textId="53913039"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4AE512B" w14:textId="77777777"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E6CAECB" w14:textId="77777777" w:rsidR="00AE25B4" w:rsidRPr="00AE25B4" w:rsidRDefault="00AE25B4" w:rsidP="00141F0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A7A8938" w14:textId="77777777" w:rsidR="00AE25B4" w:rsidRPr="00AE25B4" w:rsidRDefault="00AE25B4" w:rsidP="00141F01">
            <w:pPr>
              <w:spacing w:after="0" w:line="240" w:lineRule="auto"/>
              <w:jc w:val="right"/>
              <w:rPr>
                <w:rFonts w:ascii="Arial" w:hAnsi="Arial" w:cs="Arial"/>
                <w:sz w:val="16"/>
                <w:szCs w:val="16"/>
              </w:rPr>
            </w:pPr>
          </w:p>
        </w:tc>
      </w:tr>
      <w:tr w:rsidR="00AE25B4" w:rsidRPr="00AA6563" w14:paraId="78F0AFDE" w14:textId="77777777" w:rsidTr="00AE25B4">
        <w:trPr>
          <w:trHeight w:val="204"/>
        </w:trPr>
        <w:tc>
          <w:tcPr>
            <w:tcW w:w="2840" w:type="dxa"/>
            <w:tcBorders>
              <w:top w:val="nil"/>
              <w:left w:val="nil"/>
              <w:bottom w:val="nil"/>
              <w:right w:val="nil"/>
            </w:tcBorders>
            <w:shd w:val="clear" w:color="auto" w:fill="auto"/>
            <w:noWrap/>
            <w:vAlign w:val="center"/>
            <w:hideMark/>
          </w:tcPr>
          <w:p w14:paraId="66369BBF" w14:textId="4E6C40C8" w:rsidR="00AE25B4" w:rsidRPr="00AA6563" w:rsidRDefault="00AE25B4" w:rsidP="0097005A">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14:paraId="5801DA82" w14:textId="77777777" w:rsidR="00AE25B4" w:rsidRPr="00AE25B4" w:rsidRDefault="00AE25B4" w:rsidP="00141F0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5A288B2F" w14:textId="03F3E542"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607081BC" w14:textId="77777777"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72DE635" w14:textId="77777777" w:rsidR="00AE25B4" w:rsidRPr="00AE25B4" w:rsidRDefault="00AE25B4" w:rsidP="00141F0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16E56216" w14:textId="77777777" w:rsidR="00AE25B4" w:rsidRPr="00AE25B4" w:rsidRDefault="00AE25B4" w:rsidP="00141F01">
            <w:pPr>
              <w:spacing w:after="0" w:line="240" w:lineRule="auto"/>
              <w:jc w:val="right"/>
              <w:rPr>
                <w:rFonts w:ascii="Arial" w:hAnsi="Arial" w:cs="Arial"/>
                <w:sz w:val="16"/>
                <w:szCs w:val="16"/>
              </w:rPr>
            </w:pPr>
          </w:p>
        </w:tc>
      </w:tr>
      <w:tr w:rsidR="00AE25B4" w:rsidRPr="00AA6563" w14:paraId="6CBE12A0" w14:textId="77777777" w:rsidTr="00AE25B4">
        <w:trPr>
          <w:trHeight w:val="204"/>
        </w:trPr>
        <w:tc>
          <w:tcPr>
            <w:tcW w:w="2840" w:type="dxa"/>
            <w:tcBorders>
              <w:top w:val="nil"/>
              <w:left w:val="nil"/>
              <w:bottom w:val="nil"/>
              <w:right w:val="nil"/>
            </w:tcBorders>
            <w:shd w:val="clear" w:color="auto" w:fill="auto"/>
            <w:noWrap/>
            <w:vAlign w:val="center"/>
            <w:hideMark/>
          </w:tcPr>
          <w:p w14:paraId="4497DB99" w14:textId="0C71F230"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Receipts from Government</w:t>
            </w:r>
          </w:p>
        </w:tc>
        <w:tc>
          <w:tcPr>
            <w:tcW w:w="880" w:type="dxa"/>
            <w:tcBorders>
              <w:top w:val="nil"/>
              <w:left w:val="nil"/>
              <w:bottom w:val="nil"/>
              <w:right w:val="nil"/>
            </w:tcBorders>
            <w:shd w:val="clear" w:color="auto" w:fill="auto"/>
            <w:noWrap/>
            <w:vAlign w:val="bottom"/>
            <w:hideMark/>
          </w:tcPr>
          <w:p w14:paraId="10D0517B" w14:textId="3EAED3B1"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58,786</w:t>
            </w:r>
          </w:p>
        </w:tc>
        <w:tc>
          <w:tcPr>
            <w:tcW w:w="880" w:type="dxa"/>
            <w:tcBorders>
              <w:top w:val="nil"/>
              <w:left w:val="nil"/>
              <w:bottom w:val="nil"/>
              <w:right w:val="nil"/>
            </w:tcBorders>
            <w:shd w:val="clear" w:color="000000" w:fill="E6E6E6"/>
            <w:noWrap/>
            <w:vAlign w:val="bottom"/>
            <w:hideMark/>
          </w:tcPr>
          <w:p w14:paraId="22D28772" w14:textId="53FC086A"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60,843</w:t>
            </w:r>
          </w:p>
        </w:tc>
        <w:tc>
          <w:tcPr>
            <w:tcW w:w="880" w:type="dxa"/>
            <w:tcBorders>
              <w:top w:val="nil"/>
              <w:left w:val="nil"/>
              <w:bottom w:val="nil"/>
              <w:right w:val="nil"/>
            </w:tcBorders>
            <w:shd w:val="clear" w:color="auto" w:fill="auto"/>
            <w:noWrap/>
            <w:vAlign w:val="bottom"/>
            <w:hideMark/>
          </w:tcPr>
          <w:p w14:paraId="01A2D6E4" w14:textId="06DB9F8E"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62,730</w:t>
            </w:r>
          </w:p>
        </w:tc>
        <w:tc>
          <w:tcPr>
            <w:tcW w:w="880" w:type="dxa"/>
            <w:tcBorders>
              <w:top w:val="nil"/>
              <w:left w:val="nil"/>
              <w:bottom w:val="nil"/>
              <w:right w:val="nil"/>
            </w:tcBorders>
            <w:shd w:val="clear" w:color="auto" w:fill="auto"/>
            <w:noWrap/>
            <w:vAlign w:val="bottom"/>
            <w:hideMark/>
          </w:tcPr>
          <w:p w14:paraId="5F1A9E53" w14:textId="3284C448"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48,964</w:t>
            </w:r>
          </w:p>
        </w:tc>
        <w:tc>
          <w:tcPr>
            <w:tcW w:w="880" w:type="dxa"/>
            <w:tcBorders>
              <w:top w:val="nil"/>
              <w:left w:val="nil"/>
              <w:bottom w:val="nil"/>
              <w:right w:val="nil"/>
            </w:tcBorders>
            <w:shd w:val="clear" w:color="auto" w:fill="auto"/>
            <w:noWrap/>
            <w:vAlign w:val="bottom"/>
            <w:hideMark/>
          </w:tcPr>
          <w:p w14:paraId="1B38CA85" w14:textId="2A6AD2C0"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47,747</w:t>
            </w:r>
          </w:p>
        </w:tc>
      </w:tr>
      <w:tr w:rsidR="00AE25B4" w:rsidRPr="00AA6563" w14:paraId="5F51E0D5" w14:textId="77777777" w:rsidTr="00AE25B4">
        <w:trPr>
          <w:trHeight w:val="204"/>
        </w:trPr>
        <w:tc>
          <w:tcPr>
            <w:tcW w:w="2840" w:type="dxa"/>
            <w:tcBorders>
              <w:top w:val="nil"/>
              <w:left w:val="nil"/>
              <w:bottom w:val="nil"/>
              <w:right w:val="nil"/>
            </w:tcBorders>
            <w:shd w:val="clear" w:color="auto" w:fill="auto"/>
            <w:vAlign w:val="center"/>
            <w:hideMark/>
          </w:tcPr>
          <w:p w14:paraId="52DD7AD0" w14:textId="03C727C1"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Sale of goods and rendering of</w:t>
            </w:r>
            <w:r w:rsidR="0097005A">
              <w:rPr>
                <w:rFonts w:ascii="Arial" w:hAnsi="Arial" w:cs="Arial"/>
                <w:color w:val="000000"/>
                <w:sz w:val="16"/>
                <w:szCs w:val="16"/>
              </w:rPr>
              <w:t xml:space="preserve"> </w:t>
            </w:r>
            <w:r>
              <w:rPr>
                <w:rFonts w:ascii="Arial" w:hAnsi="Arial" w:cs="Arial"/>
                <w:color w:val="000000"/>
                <w:sz w:val="16"/>
                <w:szCs w:val="16"/>
              </w:rPr>
              <w:t>services</w:t>
            </w:r>
          </w:p>
        </w:tc>
        <w:tc>
          <w:tcPr>
            <w:tcW w:w="880" w:type="dxa"/>
            <w:tcBorders>
              <w:top w:val="nil"/>
              <w:left w:val="nil"/>
              <w:bottom w:val="nil"/>
              <w:right w:val="nil"/>
            </w:tcBorders>
            <w:shd w:val="clear" w:color="auto" w:fill="auto"/>
            <w:noWrap/>
            <w:vAlign w:val="bottom"/>
            <w:hideMark/>
          </w:tcPr>
          <w:p w14:paraId="15BD4C9D" w14:textId="5F23EC5C"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7,357</w:t>
            </w:r>
          </w:p>
        </w:tc>
        <w:tc>
          <w:tcPr>
            <w:tcW w:w="880" w:type="dxa"/>
            <w:tcBorders>
              <w:top w:val="nil"/>
              <w:left w:val="nil"/>
              <w:bottom w:val="nil"/>
              <w:right w:val="nil"/>
            </w:tcBorders>
            <w:shd w:val="clear" w:color="000000" w:fill="E6E6E6"/>
            <w:noWrap/>
            <w:vAlign w:val="bottom"/>
            <w:hideMark/>
          </w:tcPr>
          <w:p w14:paraId="1A30EEB7" w14:textId="002F72BF"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7,460</w:t>
            </w:r>
          </w:p>
        </w:tc>
        <w:tc>
          <w:tcPr>
            <w:tcW w:w="880" w:type="dxa"/>
            <w:tcBorders>
              <w:top w:val="nil"/>
              <w:left w:val="nil"/>
              <w:bottom w:val="nil"/>
              <w:right w:val="nil"/>
            </w:tcBorders>
            <w:shd w:val="clear" w:color="auto" w:fill="auto"/>
            <w:noWrap/>
            <w:vAlign w:val="bottom"/>
            <w:hideMark/>
          </w:tcPr>
          <w:p w14:paraId="6242A77D" w14:textId="3751BD63"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10,360</w:t>
            </w:r>
          </w:p>
        </w:tc>
        <w:tc>
          <w:tcPr>
            <w:tcW w:w="880" w:type="dxa"/>
            <w:tcBorders>
              <w:top w:val="nil"/>
              <w:left w:val="nil"/>
              <w:bottom w:val="nil"/>
              <w:right w:val="nil"/>
            </w:tcBorders>
            <w:shd w:val="clear" w:color="auto" w:fill="auto"/>
            <w:noWrap/>
            <w:vAlign w:val="bottom"/>
            <w:hideMark/>
          </w:tcPr>
          <w:p w14:paraId="32204B6A" w14:textId="55DB5B0D"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7,660</w:t>
            </w:r>
          </w:p>
        </w:tc>
        <w:tc>
          <w:tcPr>
            <w:tcW w:w="880" w:type="dxa"/>
            <w:tcBorders>
              <w:top w:val="nil"/>
              <w:left w:val="nil"/>
              <w:bottom w:val="nil"/>
              <w:right w:val="nil"/>
            </w:tcBorders>
            <w:shd w:val="clear" w:color="auto" w:fill="auto"/>
            <w:noWrap/>
            <w:vAlign w:val="bottom"/>
            <w:hideMark/>
          </w:tcPr>
          <w:p w14:paraId="1BF9F5A8" w14:textId="5B40F303"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7,660</w:t>
            </w:r>
          </w:p>
        </w:tc>
      </w:tr>
      <w:tr w:rsidR="00AE25B4" w:rsidRPr="00AA6563" w14:paraId="5FB1B6C3" w14:textId="77777777" w:rsidTr="00AE25B4">
        <w:trPr>
          <w:trHeight w:val="204"/>
        </w:trPr>
        <w:tc>
          <w:tcPr>
            <w:tcW w:w="2840" w:type="dxa"/>
            <w:tcBorders>
              <w:top w:val="nil"/>
              <w:left w:val="nil"/>
              <w:bottom w:val="nil"/>
              <w:right w:val="nil"/>
            </w:tcBorders>
            <w:shd w:val="clear" w:color="auto" w:fill="auto"/>
            <w:noWrap/>
            <w:vAlign w:val="center"/>
            <w:hideMark/>
          </w:tcPr>
          <w:p w14:paraId="632B2B0F" w14:textId="6121C557"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Interest</w:t>
            </w:r>
          </w:p>
        </w:tc>
        <w:tc>
          <w:tcPr>
            <w:tcW w:w="880" w:type="dxa"/>
            <w:tcBorders>
              <w:top w:val="nil"/>
              <w:left w:val="nil"/>
              <w:bottom w:val="nil"/>
              <w:right w:val="nil"/>
            </w:tcBorders>
            <w:shd w:val="clear" w:color="auto" w:fill="auto"/>
            <w:noWrap/>
            <w:vAlign w:val="bottom"/>
            <w:hideMark/>
          </w:tcPr>
          <w:p w14:paraId="0A1FDCEF" w14:textId="65B7AC81"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379</w:t>
            </w:r>
          </w:p>
        </w:tc>
        <w:tc>
          <w:tcPr>
            <w:tcW w:w="880" w:type="dxa"/>
            <w:tcBorders>
              <w:top w:val="nil"/>
              <w:left w:val="nil"/>
              <w:bottom w:val="nil"/>
              <w:right w:val="nil"/>
            </w:tcBorders>
            <w:shd w:val="clear" w:color="000000" w:fill="E6E6E6"/>
            <w:noWrap/>
            <w:vAlign w:val="bottom"/>
            <w:hideMark/>
          </w:tcPr>
          <w:p w14:paraId="036B6151" w14:textId="5261B8B7"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446</w:t>
            </w:r>
          </w:p>
        </w:tc>
        <w:tc>
          <w:tcPr>
            <w:tcW w:w="880" w:type="dxa"/>
            <w:tcBorders>
              <w:top w:val="nil"/>
              <w:left w:val="nil"/>
              <w:bottom w:val="nil"/>
              <w:right w:val="nil"/>
            </w:tcBorders>
            <w:shd w:val="clear" w:color="auto" w:fill="auto"/>
            <w:noWrap/>
            <w:vAlign w:val="bottom"/>
            <w:hideMark/>
          </w:tcPr>
          <w:p w14:paraId="49812582" w14:textId="09F814E2"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746</w:t>
            </w:r>
          </w:p>
        </w:tc>
        <w:tc>
          <w:tcPr>
            <w:tcW w:w="880" w:type="dxa"/>
            <w:tcBorders>
              <w:top w:val="nil"/>
              <w:left w:val="nil"/>
              <w:bottom w:val="nil"/>
              <w:right w:val="nil"/>
            </w:tcBorders>
            <w:shd w:val="clear" w:color="auto" w:fill="auto"/>
            <w:noWrap/>
            <w:vAlign w:val="bottom"/>
            <w:hideMark/>
          </w:tcPr>
          <w:p w14:paraId="7A88D832" w14:textId="0D45D1C2"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746</w:t>
            </w:r>
          </w:p>
        </w:tc>
        <w:tc>
          <w:tcPr>
            <w:tcW w:w="880" w:type="dxa"/>
            <w:tcBorders>
              <w:top w:val="nil"/>
              <w:left w:val="nil"/>
              <w:bottom w:val="nil"/>
              <w:right w:val="nil"/>
            </w:tcBorders>
            <w:shd w:val="clear" w:color="auto" w:fill="auto"/>
            <w:noWrap/>
            <w:vAlign w:val="bottom"/>
            <w:hideMark/>
          </w:tcPr>
          <w:p w14:paraId="6EDAEC8C" w14:textId="4A8CC708"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746</w:t>
            </w:r>
          </w:p>
        </w:tc>
      </w:tr>
      <w:tr w:rsidR="00AE25B4" w:rsidRPr="00AA6563" w14:paraId="71D82E2D" w14:textId="77777777" w:rsidTr="00AE25B4">
        <w:trPr>
          <w:trHeight w:val="204"/>
        </w:trPr>
        <w:tc>
          <w:tcPr>
            <w:tcW w:w="2840" w:type="dxa"/>
            <w:tcBorders>
              <w:top w:val="nil"/>
              <w:left w:val="nil"/>
              <w:bottom w:val="nil"/>
              <w:right w:val="nil"/>
            </w:tcBorders>
            <w:shd w:val="clear" w:color="auto" w:fill="auto"/>
            <w:noWrap/>
            <w:vAlign w:val="center"/>
            <w:hideMark/>
          </w:tcPr>
          <w:p w14:paraId="3FBD3314" w14:textId="1B1D7A1E"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Net GST received</w:t>
            </w:r>
          </w:p>
        </w:tc>
        <w:tc>
          <w:tcPr>
            <w:tcW w:w="880" w:type="dxa"/>
            <w:tcBorders>
              <w:top w:val="nil"/>
              <w:left w:val="nil"/>
              <w:bottom w:val="nil"/>
              <w:right w:val="nil"/>
            </w:tcBorders>
            <w:shd w:val="clear" w:color="auto" w:fill="auto"/>
            <w:noWrap/>
            <w:vAlign w:val="bottom"/>
            <w:hideMark/>
          </w:tcPr>
          <w:p w14:paraId="585D50BE" w14:textId="15BC69A8"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2,770</w:t>
            </w:r>
          </w:p>
        </w:tc>
        <w:tc>
          <w:tcPr>
            <w:tcW w:w="880" w:type="dxa"/>
            <w:tcBorders>
              <w:top w:val="nil"/>
              <w:left w:val="nil"/>
              <w:bottom w:val="nil"/>
              <w:right w:val="nil"/>
            </w:tcBorders>
            <w:shd w:val="clear" w:color="000000" w:fill="E6E6E6"/>
            <w:noWrap/>
            <w:vAlign w:val="bottom"/>
            <w:hideMark/>
          </w:tcPr>
          <w:p w14:paraId="0EEF77FF" w14:textId="782E0D26"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13DB257D" w14:textId="19BB50B6"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5939FA8F" w14:textId="42140ACB"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204E2B19" w14:textId="15EEDBD3"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w:t>
            </w:r>
          </w:p>
        </w:tc>
      </w:tr>
      <w:tr w:rsidR="00AE25B4" w:rsidRPr="00AA6563" w14:paraId="7C3F31A6" w14:textId="77777777" w:rsidTr="00AE25B4">
        <w:trPr>
          <w:trHeight w:val="204"/>
        </w:trPr>
        <w:tc>
          <w:tcPr>
            <w:tcW w:w="2840" w:type="dxa"/>
            <w:tcBorders>
              <w:top w:val="nil"/>
              <w:left w:val="nil"/>
              <w:bottom w:val="nil"/>
              <w:right w:val="nil"/>
            </w:tcBorders>
            <w:shd w:val="clear" w:color="auto" w:fill="auto"/>
            <w:noWrap/>
            <w:vAlign w:val="center"/>
            <w:hideMark/>
          </w:tcPr>
          <w:p w14:paraId="0D707B39" w14:textId="13F27345"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 xml:space="preserve">Other </w:t>
            </w:r>
          </w:p>
        </w:tc>
        <w:tc>
          <w:tcPr>
            <w:tcW w:w="880" w:type="dxa"/>
            <w:tcBorders>
              <w:top w:val="nil"/>
              <w:left w:val="nil"/>
              <w:bottom w:val="nil"/>
              <w:right w:val="nil"/>
            </w:tcBorders>
            <w:shd w:val="clear" w:color="auto" w:fill="auto"/>
            <w:noWrap/>
            <w:vAlign w:val="bottom"/>
            <w:hideMark/>
          </w:tcPr>
          <w:p w14:paraId="2F33EB63" w14:textId="0773EB79"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8,167</w:t>
            </w:r>
          </w:p>
        </w:tc>
        <w:tc>
          <w:tcPr>
            <w:tcW w:w="880" w:type="dxa"/>
            <w:tcBorders>
              <w:top w:val="nil"/>
              <w:left w:val="nil"/>
              <w:bottom w:val="nil"/>
              <w:right w:val="nil"/>
            </w:tcBorders>
            <w:shd w:val="clear" w:color="000000" w:fill="E6E6E6"/>
            <w:noWrap/>
            <w:vAlign w:val="bottom"/>
            <w:hideMark/>
          </w:tcPr>
          <w:p w14:paraId="75D9F8D9" w14:textId="051D2ED1"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3,010</w:t>
            </w:r>
          </w:p>
        </w:tc>
        <w:tc>
          <w:tcPr>
            <w:tcW w:w="880" w:type="dxa"/>
            <w:tcBorders>
              <w:top w:val="nil"/>
              <w:left w:val="nil"/>
              <w:bottom w:val="nil"/>
              <w:right w:val="nil"/>
            </w:tcBorders>
            <w:shd w:val="clear" w:color="auto" w:fill="auto"/>
            <w:noWrap/>
            <w:vAlign w:val="bottom"/>
            <w:hideMark/>
          </w:tcPr>
          <w:p w14:paraId="462C8C66" w14:textId="4B99C1B2"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3,010</w:t>
            </w:r>
          </w:p>
        </w:tc>
        <w:tc>
          <w:tcPr>
            <w:tcW w:w="880" w:type="dxa"/>
            <w:tcBorders>
              <w:top w:val="nil"/>
              <w:left w:val="nil"/>
              <w:bottom w:val="nil"/>
              <w:right w:val="nil"/>
            </w:tcBorders>
            <w:shd w:val="clear" w:color="auto" w:fill="auto"/>
            <w:noWrap/>
            <w:vAlign w:val="bottom"/>
            <w:hideMark/>
          </w:tcPr>
          <w:p w14:paraId="361310BA" w14:textId="64A8A539"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3,010</w:t>
            </w:r>
          </w:p>
        </w:tc>
        <w:tc>
          <w:tcPr>
            <w:tcW w:w="880" w:type="dxa"/>
            <w:tcBorders>
              <w:top w:val="nil"/>
              <w:left w:val="nil"/>
              <w:bottom w:val="nil"/>
              <w:right w:val="nil"/>
            </w:tcBorders>
            <w:shd w:val="clear" w:color="auto" w:fill="auto"/>
            <w:noWrap/>
            <w:vAlign w:val="bottom"/>
            <w:hideMark/>
          </w:tcPr>
          <w:p w14:paraId="14758A16" w14:textId="34D77A90"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3,010</w:t>
            </w:r>
          </w:p>
        </w:tc>
      </w:tr>
      <w:tr w:rsidR="00AE25B4" w:rsidRPr="00AA6563" w14:paraId="60786173" w14:textId="77777777" w:rsidTr="00AE25B4">
        <w:trPr>
          <w:trHeight w:val="204"/>
        </w:trPr>
        <w:tc>
          <w:tcPr>
            <w:tcW w:w="2840" w:type="dxa"/>
            <w:tcBorders>
              <w:top w:val="nil"/>
              <w:left w:val="nil"/>
              <w:bottom w:val="nil"/>
              <w:right w:val="nil"/>
            </w:tcBorders>
            <w:shd w:val="clear" w:color="auto" w:fill="auto"/>
            <w:noWrap/>
            <w:vAlign w:val="center"/>
            <w:hideMark/>
          </w:tcPr>
          <w:p w14:paraId="1F60AE55" w14:textId="2A29D94C" w:rsidR="00AE25B4" w:rsidRPr="00AA6563" w:rsidRDefault="00AE25B4" w:rsidP="00AE25B4">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14:paraId="5B0CC4A0" w14:textId="4985ADA5"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77,459</w:t>
            </w:r>
          </w:p>
        </w:tc>
        <w:tc>
          <w:tcPr>
            <w:tcW w:w="880" w:type="dxa"/>
            <w:tcBorders>
              <w:top w:val="single" w:sz="4" w:space="0" w:color="000000"/>
              <w:left w:val="nil"/>
              <w:bottom w:val="single" w:sz="4" w:space="0" w:color="000000"/>
              <w:right w:val="nil"/>
            </w:tcBorders>
            <w:shd w:val="clear" w:color="000000" w:fill="E6E6E6"/>
            <w:noWrap/>
            <w:vAlign w:val="bottom"/>
            <w:hideMark/>
          </w:tcPr>
          <w:p w14:paraId="13E00E7C" w14:textId="286369C9"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71,759</w:t>
            </w:r>
          </w:p>
        </w:tc>
        <w:tc>
          <w:tcPr>
            <w:tcW w:w="880" w:type="dxa"/>
            <w:tcBorders>
              <w:top w:val="single" w:sz="4" w:space="0" w:color="000000"/>
              <w:left w:val="nil"/>
              <w:bottom w:val="single" w:sz="4" w:space="0" w:color="000000"/>
              <w:right w:val="nil"/>
            </w:tcBorders>
            <w:shd w:val="clear" w:color="auto" w:fill="auto"/>
            <w:noWrap/>
            <w:vAlign w:val="bottom"/>
            <w:hideMark/>
          </w:tcPr>
          <w:p w14:paraId="15987527" w14:textId="08DE0B81"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76,846</w:t>
            </w:r>
          </w:p>
        </w:tc>
        <w:tc>
          <w:tcPr>
            <w:tcW w:w="880" w:type="dxa"/>
            <w:tcBorders>
              <w:top w:val="single" w:sz="4" w:space="0" w:color="000000"/>
              <w:left w:val="nil"/>
              <w:bottom w:val="single" w:sz="4" w:space="0" w:color="000000"/>
              <w:right w:val="nil"/>
            </w:tcBorders>
            <w:shd w:val="clear" w:color="auto" w:fill="auto"/>
            <w:noWrap/>
            <w:vAlign w:val="bottom"/>
            <w:hideMark/>
          </w:tcPr>
          <w:p w14:paraId="14D3254C" w14:textId="496C1247"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60,380</w:t>
            </w:r>
          </w:p>
        </w:tc>
        <w:tc>
          <w:tcPr>
            <w:tcW w:w="880" w:type="dxa"/>
            <w:tcBorders>
              <w:top w:val="single" w:sz="4" w:space="0" w:color="000000"/>
              <w:left w:val="nil"/>
              <w:bottom w:val="single" w:sz="4" w:space="0" w:color="000000"/>
              <w:right w:val="nil"/>
            </w:tcBorders>
            <w:shd w:val="clear" w:color="auto" w:fill="auto"/>
            <w:noWrap/>
            <w:vAlign w:val="bottom"/>
            <w:hideMark/>
          </w:tcPr>
          <w:p w14:paraId="034A9D12" w14:textId="52061365"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59,163</w:t>
            </w:r>
          </w:p>
        </w:tc>
      </w:tr>
      <w:tr w:rsidR="00AE25B4" w:rsidRPr="00AA6563" w14:paraId="5B391E55" w14:textId="77777777" w:rsidTr="00AE25B4">
        <w:trPr>
          <w:trHeight w:val="204"/>
        </w:trPr>
        <w:tc>
          <w:tcPr>
            <w:tcW w:w="2840" w:type="dxa"/>
            <w:tcBorders>
              <w:top w:val="nil"/>
              <w:left w:val="nil"/>
              <w:bottom w:val="nil"/>
              <w:right w:val="nil"/>
            </w:tcBorders>
            <w:shd w:val="clear" w:color="auto" w:fill="auto"/>
            <w:noWrap/>
            <w:vAlign w:val="center"/>
            <w:hideMark/>
          </w:tcPr>
          <w:p w14:paraId="053F758A" w14:textId="740FE75B" w:rsidR="00AE25B4" w:rsidRPr="00AA6563" w:rsidRDefault="00AE25B4" w:rsidP="0097005A">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14:paraId="6E8CE3CE" w14:textId="77777777" w:rsidR="00AE25B4" w:rsidRPr="00AE25B4" w:rsidRDefault="00AE25B4" w:rsidP="00141F0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2E0C4A47" w14:textId="4E22EF38"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88A43C3" w14:textId="77777777"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B564BA2" w14:textId="77777777" w:rsidR="00AE25B4" w:rsidRPr="00AE25B4" w:rsidRDefault="00AE25B4" w:rsidP="00141F0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18A05DBF" w14:textId="77777777" w:rsidR="00AE25B4" w:rsidRPr="00AE25B4" w:rsidRDefault="00AE25B4" w:rsidP="00141F01">
            <w:pPr>
              <w:spacing w:after="0" w:line="240" w:lineRule="auto"/>
              <w:jc w:val="right"/>
              <w:rPr>
                <w:rFonts w:ascii="Arial" w:hAnsi="Arial" w:cs="Arial"/>
                <w:sz w:val="16"/>
                <w:szCs w:val="16"/>
              </w:rPr>
            </w:pPr>
          </w:p>
        </w:tc>
      </w:tr>
      <w:tr w:rsidR="00AE25B4" w:rsidRPr="00AA6563" w14:paraId="6750AE17" w14:textId="77777777" w:rsidTr="00AE25B4">
        <w:trPr>
          <w:trHeight w:val="204"/>
        </w:trPr>
        <w:tc>
          <w:tcPr>
            <w:tcW w:w="2840" w:type="dxa"/>
            <w:tcBorders>
              <w:top w:val="nil"/>
              <w:left w:val="nil"/>
              <w:bottom w:val="nil"/>
              <w:right w:val="nil"/>
            </w:tcBorders>
            <w:shd w:val="clear" w:color="auto" w:fill="auto"/>
            <w:noWrap/>
            <w:vAlign w:val="center"/>
            <w:hideMark/>
          </w:tcPr>
          <w:p w14:paraId="394D9AB1" w14:textId="18A108DC"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bottom"/>
            <w:hideMark/>
          </w:tcPr>
          <w:p w14:paraId="71343CC8" w14:textId="2D4015E8"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37,942</w:t>
            </w:r>
          </w:p>
        </w:tc>
        <w:tc>
          <w:tcPr>
            <w:tcW w:w="880" w:type="dxa"/>
            <w:tcBorders>
              <w:top w:val="nil"/>
              <w:left w:val="nil"/>
              <w:bottom w:val="nil"/>
              <w:right w:val="nil"/>
            </w:tcBorders>
            <w:shd w:val="clear" w:color="000000" w:fill="E6E6E6"/>
            <w:noWrap/>
            <w:vAlign w:val="bottom"/>
            <w:hideMark/>
          </w:tcPr>
          <w:p w14:paraId="7C0CC59B" w14:textId="0E95219A"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38,126</w:t>
            </w:r>
          </w:p>
        </w:tc>
        <w:tc>
          <w:tcPr>
            <w:tcW w:w="880" w:type="dxa"/>
            <w:tcBorders>
              <w:top w:val="nil"/>
              <w:left w:val="nil"/>
              <w:bottom w:val="nil"/>
              <w:right w:val="nil"/>
            </w:tcBorders>
            <w:shd w:val="clear" w:color="auto" w:fill="auto"/>
            <w:noWrap/>
            <w:vAlign w:val="bottom"/>
            <w:hideMark/>
          </w:tcPr>
          <w:p w14:paraId="1105BC61" w14:textId="0A36CCE4"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44,142</w:t>
            </w:r>
          </w:p>
        </w:tc>
        <w:tc>
          <w:tcPr>
            <w:tcW w:w="880" w:type="dxa"/>
            <w:tcBorders>
              <w:top w:val="nil"/>
              <w:left w:val="nil"/>
              <w:bottom w:val="nil"/>
              <w:right w:val="nil"/>
            </w:tcBorders>
            <w:shd w:val="clear" w:color="auto" w:fill="auto"/>
            <w:noWrap/>
            <w:vAlign w:val="bottom"/>
            <w:hideMark/>
          </w:tcPr>
          <w:p w14:paraId="24188C76" w14:textId="735F064A"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38,826</w:t>
            </w:r>
          </w:p>
        </w:tc>
        <w:tc>
          <w:tcPr>
            <w:tcW w:w="880" w:type="dxa"/>
            <w:tcBorders>
              <w:top w:val="nil"/>
              <w:left w:val="nil"/>
              <w:bottom w:val="nil"/>
              <w:right w:val="nil"/>
            </w:tcBorders>
            <w:shd w:val="clear" w:color="auto" w:fill="auto"/>
            <w:noWrap/>
            <w:vAlign w:val="bottom"/>
            <w:hideMark/>
          </w:tcPr>
          <w:p w14:paraId="5CD15FAF" w14:textId="1F813F51"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39,221</w:t>
            </w:r>
          </w:p>
        </w:tc>
      </w:tr>
      <w:tr w:rsidR="00AE25B4" w:rsidRPr="00AA6563" w14:paraId="0850ADCE" w14:textId="77777777" w:rsidTr="00AE25B4">
        <w:trPr>
          <w:trHeight w:val="204"/>
        </w:trPr>
        <w:tc>
          <w:tcPr>
            <w:tcW w:w="2840" w:type="dxa"/>
            <w:tcBorders>
              <w:top w:val="nil"/>
              <w:left w:val="nil"/>
              <w:bottom w:val="nil"/>
              <w:right w:val="nil"/>
            </w:tcBorders>
            <w:shd w:val="clear" w:color="auto" w:fill="auto"/>
            <w:noWrap/>
            <w:vAlign w:val="center"/>
            <w:hideMark/>
          </w:tcPr>
          <w:p w14:paraId="1D338951" w14:textId="3AC07FE1"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bottom"/>
            <w:hideMark/>
          </w:tcPr>
          <w:p w14:paraId="5D279D8C" w14:textId="3C66D8C6"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21,633</w:t>
            </w:r>
          </w:p>
        </w:tc>
        <w:tc>
          <w:tcPr>
            <w:tcW w:w="880" w:type="dxa"/>
            <w:tcBorders>
              <w:top w:val="nil"/>
              <w:left w:val="nil"/>
              <w:bottom w:val="nil"/>
              <w:right w:val="nil"/>
            </w:tcBorders>
            <w:shd w:val="clear" w:color="000000" w:fill="E6E6E6"/>
            <w:noWrap/>
            <w:vAlign w:val="bottom"/>
            <w:hideMark/>
          </w:tcPr>
          <w:p w14:paraId="53D3FBBE" w14:textId="5096EF4F"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22,038</w:t>
            </w:r>
          </w:p>
        </w:tc>
        <w:tc>
          <w:tcPr>
            <w:tcW w:w="880" w:type="dxa"/>
            <w:tcBorders>
              <w:top w:val="nil"/>
              <w:left w:val="nil"/>
              <w:bottom w:val="nil"/>
              <w:right w:val="nil"/>
            </w:tcBorders>
            <w:shd w:val="clear" w:color="auto" w:fill="auto"/>
            <w:noWrap/>
            <w:vAlign w:val="bottom"/>
            <w:hideMark/>
          </w:tcPr>
          <w:p w14:paraId="066D99D8" w14:textId="49677933"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20,912</w:t>
            </w:r>
          </w:p>
        </w:tc>
        <w:tc>
          <w:tcPr>
            <w:tcW w:w="880" w:type="dxa"/>
            <w:tcBorders>
              <w:top w:val="nil"/>
              <w:left w:val="nil"/>
              <w:bottom w:val="nil"/>
              <w:right w:val="nil"/>
            </w:tcBorders>
            <w:shd w:val="clear" w:color="000000" w:fill="FFFFFF"/>
            <w:noWrap/>
            <w:vAlign w:val="bottom"/>
            <w:hideMark/>
          </w:tcPr>
          <w:p w14:paraId="35B3A393" w14:textId="21A168A7"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9,534</w:t>
            </w:r>
          </w:p>
        </w:tc>
        <w:tc>
          <w:tcPr>
            <w:tcW w:w="880" w:type="dxa"/>
            <w:tcBorders>
              <w:top w:val="nil"/>
              <w:left w:val="nil"/>
              <w:bottom w:val="nil"/>
              <w:right w:val="nil"/>
            </w:tcBorders>
            <w:shd w:val="clear" w:color="auto" w:fill="auto"/>
            <w:noWrap/>
            <w:vAlign w:val="bottom"/>
            <w:hideMark/>
          </w:tcPr>
          <w:p w14:paraId="47970968" w14:textId="4838A150"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7,811</w:t>
            </w:r>
          </w:p>
        </w:tc>
      </w:tr>
      <w:tr w:rsidR="00AE25B4" w:rsidRPr="00AA6563" w14:paraId="08399773" w14:textId="77777777" w:rsidTr="00AE25B4">
        <w:trPr>
          <w:trHeight w:val="204"/>
        </w:trPr>
        <w:tc>
          <w:tcPr>
            <w:tcW w:w="2840" w:type="dxa"/>
            <w:tcBorders>
              <w:top w:val="nil"/>
              <w:left w:val="nil"/>
              <w:bottom w:val="nil"/>
              <w:right w:val="nil"/>
            </w:tcBorders>
            <w:shd w:val="clear" w:color="auto" w:fill="auto"/>
            <w:vAlign w:val="center"/>
            <w:hideMark/>
          </w:tcPr>
          <w:p w14:paraId="1A287534" w14:textId="2B0BAD03" w:rsidR="00AE25B4" w:rsidRPr="0097005A" w:rsidRDefault="00AE25B4" w:rsidP="0097005A">
            <w:pPr>
              <w:spacing w:after="0" w:line="240" w:lineRule="auto"/>
              <w:ind w:left="227"/>
              <w:jc w:val="left"/>
              <w:rPr>
                <w:rFonts w:ascii="Arial" w:hAnsi="Arial" w:cs="Arial"/>
                <w:color w:val="000000"/>
                <w:sz w:val="16"/>
                <w:szCs w:val="16"/>
              </w:rPr>
            </w:pPr>
            <w:r w:rsidRPr="0097005A">
              <w:rPr>
                <w:rFonts w:ascii="Arial" w:hAnsi="Arial" w:cs="Arial"/>
                <w:color w:val="000000"/>
                <w:sz w:val="16"/>
                <w:szCs w:val="16"/>
              </w:rPr>
              <w:t>Interest payments on lease liability</w:t>
            </w:r>
          </w:p>
        </w:tc>
        <w:tc>
          <w:tcPr>
            <w:tcW w:w="880" w:type="dxa"/>
            <w:tcBorders>
              <w:top w:val="nil"/>
              <w:left w:val="nil"/>
              <w:bottom w:val="nil"/>
              <w:right w:val="nil"/>
            </w:tcBorders>
            <w:shd w:val="clear" w:color="auto" w:fill="auto"/>
            <w:noWrap/>
            <w:vAlign w:val="bottom"/>
            <w:hideMark/>
          </w:tcPr>
          <w:p w14:paraId="1D251CAA" w14:textId="3F916150"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22</w:t>
            </w:r>
          </w:p>
        </w:tc>
        <w:tc>
          <w:tcPr>
            <w:tcW w:w="880" w:type="dxa"/>
            <w:tcBorders>
              <w:top w:val="nil"/>
              <w:left w:val="nil"/>
              <w:bottom w:val="nil"/>
              <w:right w:val="nil"/>
            </w:tcBorders>
            <w:shd w:val="clear" w:color="000000" w:fill="E6E6E6"/>
            <w:noWrap/>
            <w:vAlign w:val="bottom"/>
            <w:hideMark/>
          </w:tcPr>
          <w:p w14:paraId="33C97841" w14:textId="474F1F71"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81</w:t>
            </w:r>
          </w:p>
        </w:tc>
        <w:tc>
          <w:tcPr>
            <w:tcW w:w="880" w:type="dxa"/>
            <w:tcBorders>
              <w:top w:val="nil"/>
              <w:left w:val="nil"/>
              <w:bottom w:val="nil"/>
              <w:right w:val="nil"/>
            </w:tcBorders>
            <w:shd w:val="clear" w:color="auto" w:fill="auto"/>
            <w:noWrap/>
            <w:vAlign w:val="bottom"/>
            <w:hideMark/>
          </w:tcPr>
          <w:p w14:paraId="53172EED" w14:textId="417602AD"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83</w:t>
            </w:r>
          </w:p>
        </w:tc>
        <w:tc>
          <w:tcPr>
            <w:tcW w:w="880" w:type="dxa"/>
            <w:tcBorders>
              <w:top w:val="nil"/>
              <w:left w:val="nil"/>
              <w:bottom w:val="nil"/>
              <w:right w:val="nil"/>
            </w:tcBorders>
            <w:shd w:val="clear" w:color="auto" w:fill="auto"/>
            <w:noWrap/>
            <w:vAlign w:val="bottom"/>
            <w:hideMark/>
          </w:tcPr>
          <w:p w14:paraId="3B7027B8" w14:textId="67516B68"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85</w:t>
            </w:r>
          </w:p>
        </w:tc>
        <w:tc>
          <w:tcPr>
            <w:tcW w:w="880" w:type="dxa"/>
            <w:tcBorders>
              <w:top w:val="nil"/>
              <w:left w:val="nil"/>
              <w:bottom w:val="nil"/>
              <w:right w:val="nil"/>
            </w:tcBorders>
            <w:shd w:val="clear" w:color="auto" w:fill="auto"/>
            <w:noWrap/>
            <w:vAlign w:val="bottom"/>
            <w:hideMark/>
          </w:tcPr>
          <w:p w14:paraId="58B08DB7" w14:textId="39925657"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85</w:t>
            </w:r>
          </w:p>
        </w:tc>
      </w:tr>
      <w:tr w:rsidR="00AE25B4" w:rsidRPr="00AA6563" w14:paraId="79A96E5E" w14:textId="77777777" w:rsidTr="00AE25B4">
        <w:trPr>
          <w:trHeight w:val="204"/>
        </w:trPr>
        <w:tc>
          <w:tcPr>
            <w:tcW w:w="2840" w:type="dxa"/>
            <w:tcBorders>
              <w:top w:val="nil"/>
              <w:left w:val="nil"/>
              <w:bottom w:val="nil"/>
              <w:right w:val="nil"/>
            </w:tcBorders>
            <w:shd w:val="clear" w:color="auto" w:fill="auto"/>
            <w:noWrap/>
            <w:vAlign w:val="center"/>
            <w:hideMark/>
          </w:tcPr>
          <w:p w14:paraId="2473D4D2" w14:textId="2802F7A3"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bottom"/>
            <w:hideMark/>
          </w:tcPr>
          <w:p w14:paraId="0AB83F0E" w14:textId="3E070E1D"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612</w:t>
            </w:r>
          </w:p>
        </w:tc>
        <w:tc>
          <w:tcPr>
            <w:tcW w:w="880" w:type="dxa"/>
            <w:tcBorders>
              <w:top w:val="nil"/>
              <w:left w:val="nil"/>
              <w:bottom w:val="nil"/>
              <w:right w:val="nil"/>
            </w:tcBorders>
            <w:shd w:val="clear" w:color="000000" w:fill="E6E6E6"/>
            <w:noWrap/>
            <w:vAlign w:val="bottom"/>
            <w:hideMark/>
          </w:tcPr>
          <w:p w14:paraId="5957A97E" w14:textId="2FB54574"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731</w:t>
            </w:r>
          </w:p>
        </w:tc>
        <w:tc>
          <w:tcPr>
            <w:tcW w:w="880" w:type="dxa"/>
            <w:tcBorders>
              <w:top w:val="nil"/>
              <w:left w:val="nil"/>
              <w:bottom w:val="nil"/>
              <w:right w:val="nil"/>
            </w:tcBorders>
            <w:shd w:val="clear" w:color="auto" w:fill="auto"/>
            <w:noWrap/>
            <w:vAlign w:val="bottom"/>
            <w:hideMark/>
          </w:tcPr>
          <w:p w14:paraId="130E2376" w14:textId="58364197"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731</w:t>
            </w:r>
          </w:p>
        </w:tc>
        <w:tc>
          <w:tcPr>
            <w:tcW w:w="880" w:type="dxa"/>
            <w:tcBorders>
              <w:top w:val="nil"/>
              <w:left w:val="nil"/>
              <w:bottom w:val="nil"/>
              <w:right w:val="nil"/>
            </w:tcBorders>
            <w:shd w:val="clear" w:color="auto" w:fill="auto"/>
            <w:noWrap/>
            <w:vAlign w:val="bottom"/>
            <w:hideMark/>
          </w:tcPr>
          <w:p w14:paraId="207333CB" w14:textId="347F1E84"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731</w:t>
            </w:r>
          </w:p>
        </w:tc>
        <w:tc>
          <w:tcPr>
            <w:tcW w:w="880" w:type="dxa"/>
            <w:tcBorders>
              <w:top w:val="nil"/>
              <w:left w:val="nil"/>
              <w:bottom w:val="nil"/>
              <w:right w:val="nil"/>
            </w:tcBorders>
            <w:shd w:val="clear" w:color="auto" w:fill="auto"/>
            <w:noWrap/>
            <w:vAlign w:val="bottom"/>
            <w:hideMark/>
          </w:tcPr>
          <w:p w14:paraId="7E96C8FC" w14:textId="0BC26D92"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731</w:t>
            </w:r>
          </w:p>
        </w:tc>
      </w:tr>
      <w:tr w:rsidR="00AE25B4" w:rsidRPr="00AA6563" w14:paraId="456B830C" w14:textId="77777777" w:rsidTr="00AE25B4">
        <w:trPr>
          <w:trHeight w:val="204"/>
        </w:trPr>
        <w:tc>
          <w:tcPr>
            <w:tcW w:w="2840" w:type="dxa"/>
            <w:tcBorders>
              <w:top w:val="nil"/>
              <w:left w:val="nil"/>
              <w:bottom w:val="nil"/>
              <w:right w:val="nil"/>
            </w:tcBorders>
            <w:shd w:val="clear" w:color="auto" w:fill="auto"/>
            <w:noWrap/>
            <w:vAlign w:val="center"/>
            <w:hideMark/>
          </w:tcPr>
          <w:p w14:paraId="73FC120B" w14:textId="67451FA9" w:rsidR="00AE25B4" w:rsidRPr="00AA6563" w:rsidRDefault="00AE25B4" w:rsidP="00AE25B4">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880" w:type="dxa"/>
            <w:tcBorders>
              <w:top w:val="single" w:sz="4" w:space="0" w:color="000000"/>
              <w:left w:val="nil"/>
              <w:bottom w:val="nil"/>
              <w:right w:val="nil"/>
            </w:tcBorders>
            <w:shd w:val="clear" w:color="auto" w:fill="auto"/>
            <w:noWrap/>
            <w:vAlign w:val="bottom"/>
            <w:hideMark/>
          </w:tcPr>
          <w:p w14:paraId="284D209D" w14:textId="3CF235AF"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60,209</w:t>
            </w:r>
          </w:p>
        </w:tc>
        <w:tc>
          <w:tcPr>
            <w:tcW w:w="880" w:type="dxa"/>
            <w:tcBorders>
              <w:top w:val="single" w:sz="4" w:space="0" w:color="000000"/>
              <w:left w:val="nil"/>
              <w:bottom w:val="nil"/>
              <w:right w:val="nil"/>
            </w:tcBorders>
            <w:shd w:val="clear" w:color="000000" w:fill="E6E6E6"/>
            <w:noWrap/>
            <w:vAlign w:val="bottom"/>
            <w:hideMark/>
          </w:tcPr>
          <w:p w14:paraId="31E9012D" w14:textId="33024488"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60,976</w:t>
            </w:r>
          </w:p>
        </w:tc>
        <w:tc>
          <w:tcPr>
            <w:tcW w:w="880" w:type="dxa"/>
            <w:tcBorders>
              <w:top w:val="single" w:sz="4" w:space="0" w:color="000000"/>
              <w:left w:val="nil"/>
              <w:bottom w:val="nil"/>
              <w:right w:val="nil"/>
            </w:tcBorders>
            <w:shd w:val="clear" w:color="auto" w:fill="auto"/>
            <w:noWrap/>
            <w:vAlign w:val="bottom"/>
            <w:hideMark/>
          </w:tcPr>
          <w:p w14:paraId="52DEE287" w14:textId="790BD398"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65,868</w:t>
            </w:r>
          </w:p>
        </w:tc>
        <w:tc>
          <w:tcPr>
            <w:tcW w:w="880" w:type="dxa"/>
            <w:tcBorders>
              <w:top w:val="single" w:sz="4" w:space="0" w:color="000000"/>
              <w:left w:val="nil"/>
              <w:bottom w:val="nil"/>
              <w:right w:val="nil"/>
            </w:tcBorders>
            <w:shd w:val="clear" w:color="auto" w:fill="auto"/>
            <w:noWrap/>
            <w:vAlign w:val="bottom"/>
            <w:hideMark/>
          </w:tcPr>
          <w:p w14:paraId="4BA54450" w14:textId="55C16547"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49,176</w:t>
            </w:r>
          </w:p>
        </w:tc>
        <w:tc>
          <w:tcPr>
            <w:tcW w:w="880" w:type="dxa"/>
            <w:tcBorders>
              <w:top w:val="single" w:sz="4" w:space="0" w:color="000000"/>
              <w:left w:val="nil"/>
              <w:bottom w:val="nil"/>
              <w:right w:val="nil"/>
            </w:tcBorders>
            <w:shd w:val="clear" w:color="auto" w:fill="auto"/>
            <w:noWrap/>
            <w:vAlign w:val="bottom"/>
            <w:hideMark/>
          </w:tcPr>
          <w:p w14:paraId="1E3A80CA" w14:textId="775746C1"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47,848</w:t>
            </w:r>
          </w:p>
        </w:tc>
      </w:tr>
      <w:tr w:rsidR="00AE25B4" w:rsidRPr="00AA6563" w14:paraId="4060D8FF" w14:textId="77777777" w:rsidTr="00AE25B4">
        <w:trPr>
          <w:trHeight w:val="204"/>
        </w:trPr>
        <w:tc>
          <w:tcPr>
            <w:tcW w:w="2840" w:type="dxa"/>
            <w:tcBorders>
              <w:top w:val="nil"/>
              <w:left w:val="nil"/>
              <w:bottom w:val="nil"/>
              <w:right w:val="nil"/>
            </w:tcBorders>
            <w:shd w:val="clear" w:color="auto" w:fill="auto"/>
            <w:vAlign w:val="center"/>
            <w:hideMark/>
          </w:tcPr>
          <w:p w14:paraId="488F5001" w14:textId="60839B1C" w:rsidR="00AE25B4" w:rsidRPr="00AA6563" w:rsidRDefault="00AE25B4" w:rsidP="0097005A">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sidR="0097005A">
              <w:rPr>
                <w:rFonts w:ascii="Arial" w:hAnsi="Arial" w:cs="Arial"/>
                <w:b/>
                <w:bCs/>
                <w:color w:val="000000"/>
                <w:sz w:val="16"/>
                <w:szCs w:val="16"/>
              </w:rPr>
              <w:t xml:space="preserve"> </w:t>
            </w:r>
            <w:r>
              <w:rPr>
                <w:rFonts w:ascii="Arial" w:hAnsi="Arial" w:cs="Arial"/>
                <w:b/>
                <w:bCs/>
                <w:color w:val="000000"/>
                <w:sz w:val="16"/>
                <w:szCs w:val="16"/>
              </w:rPr>
              <w:t>operating activities</w:t>
            </w:r>
          </w:p>
        </w:tc>
        <w:tc>
          <w:tcPr>
            <w:tcW w:w="880" w:type="dxa"/>
            <w:tcBorders>
              <w:top w:val="single" w:sz="4" w:space="0" w:color="auto"/>
              <w:left w:val="nil"/>
              <w:bottom w:val="single" w:sz="4" w:space="0" w:color="auto"/>
              <w:right w:val="nil"/>
            </w:tcBorders>
            <w:shd w:val="clear" w:color="auto" w:fill="auto"/>
            <w:noWrap/>
            <w:vAlign w:val="bottom"/>
            <w:hideMark/>
          </w:tcPr>
          <w:p w14:paraId="3CFD1EBD" w14:textId="6A4264E1"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17,250</w:t>
            </w:r>
          </w:p>
        </w:tc>
        <w:tc>
          <w:tcPr>
            <w:tcW w:w="880" w:type="dxa"/>
            <w:tcBorders>
              <w:top w:val="single" w:sz="4" w:space="0" w:color="auto"/>
              <w:left w:val="nil"/>
              <w:bottom w:val="single" w:sz="4" w:space="0" w:color="auto"/>
              <w:right w:val="nil"/>
            </w:tcBorders>
            <w:shd w:val="clear" w:color="000000" w:fill="E6E6E6"/>
            <w:noWrap/>
            <w:vAlign w:val="bottom"/>
            <w:hideMark/>
          </w:tcPr>
          <w:p w14:paraId="55911379" w14:textId="1024F4DE"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10,783</w:t>
            </w:r>
          </w:p>
        </w:tc>
        <w:tc>
          <w:tcPr>
            <w:tcW w:w="880" w:type="dxa"/>
            <w:tcBorders>
              <w:top w:val="single" w:sz="4" w:space="0" w:color="auto"/>
              <w:left w:val="nil"/>
              <w:bottom w:val="single" w:sz="4" w:space="0" w:color="auto"/>
              <w:right w:val="nil"/>
            </w:tcBorders>
            <w:shd w:val="clear" w:color="auto" w:fill="auto"/>
            <w:noWrap/>
            <w:vAlign w:val="bottom"/>
            <w:hideMark/>
          </w:tcPr>
          <w:p w14:paraId="39A4E87E" w14:textId="74D2960D"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10,978</w:t>
            </w:r>
          </w:p>
        </w:tc>
        <w:tc>
          <w:tcPr>
            <w:tcW w:w="880" w:type="dxa"/>
            <w:tcBorders>
              <w:top w:val="single" w:sz="4" w:space="0" w:color="auto"/>
              <w:left w:val="nil"/>
              <w:bottom w:val="single" w:sz="4" w:space="0" w:color="auto"/>
              <w:right w:val="nil"/>
            </w:tcBorders>
            <w:shd w:val="clear" w:color="auto" w:fill="auto"/>
            <w:noWrap/>
            <w:vAlign w:val="bottom"/>
            <w:hideMark/>
          </w:tcPr>
          <w:p w14:paraId="0677F3F5" w14:textId="4DD373C6"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11,204</w:t>
            </w:r>
          </w:p>
        </w:tc>
        <w:tc>
          <w:tcPr>
            <w:tcW w:w="880" w:type="dxa"/>
            <w:tcBorders>
              <w:top w:val="single" w:sz="4" w:space="0" w:color="auto"/>
              <w:left w:val="nil"/>
              <w:bottom w:val="single" w:sz="4" w:space="0" w:color="auto"/>
              <w:right w:val="nil"/>
            </w:tcBorders>
            <w:shd w:val="clear" w:color="auto" w:fill="auto"/>
            <w:noWrap/>
            <w:vAlign w:val="bottom"/>
            <w:hideMark/>
          </w:tcPr>
          <w:p w14:paraId="42D6AABC" w14:textId="440D40EE"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11,315</w:t>
            </w:r>
          </w:p>
        </w:tc>
      </w:tr>
      <w:tr w:rsidR="00AE25B4" w:rsidRPr="00AA6563" w14:paraId="24EA60FA" w14:textId="77777777" w:rsidTr="00AE25B4">
        <w:trPr>
          <w:trHeight w:val="204"/>
        </w:trPr>
        <w:tc>
          <w:tcPr>
            <w:tcW w:w="2840" w:type="dxa"/>
            <w:tcBorders>
              <w:top w:val="nil"/>
              <w:left w:val="nil"/>
              <w:bottom w:val="nil"/>
              <w:right w:val="nil"/>
            </w:tcBorders>
            <w:shd w:val="clear" w:color="auto" w:fill="auto"/>
            <w:noWrap/>
            <w:vAlign w:val="center"/>
            <w:hideMark/>
          </w:tcPr>
          <w:p w14:paraId="5E717B49" w14:textId="542C2FAF" w:rsidR="00AE25B4" w:rsidRPr="00AA6563" w:rsidRDefault="00AE25B4" w:rsidP="00AE25B4">
            <w:pPr>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880" w:type="dxa"/>
            <w:tcBorders>
              <w:top w:val="nil"/>
              <w:left w:val="nil"/>
              <w:bottom w:val="nil"/>
              <w:right w:val="nil"/>
            </w:tcBorders>
            <w:shd w:val="clear" w:color="auto" w:fill="auto"/>
            <w:noWrap/>
            <w:vAlign w:val="bottom"/>
            <w:hideMark/>
          </w:tcPr>
          <w:p w14:paraId="429398C1" w14:textId="77777777" w:rsidR="00AE25B4" w:rsidRPr="00AE25B4" w:rsidRDefault="00AE25B4" w:rsidP="00141F0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3357F9E8" w14:textId="4B80C7AC"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511B124C" w14:textId="77777777"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699BF5C" w14:textId="77777777" w:rsidR="00AE25B4" w:rsidRPr="00AE25B4" w:rsidRDefault="00AE25B4" w:rsidP="00141F0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234EE66B" w14:textId="77777777" w:rsidR="00AE25B4" w:rsidRPr="00AE25B4" w:rsidRDefault="00AE25B4" w:rsidP="00141F01">
            <w:pPr>
              <w:spacing w:after="0" w:line="240" w:lineRule="auto"/>
              <w:jc w:val="right"/>
              <w:rPr>
                <w:rFonts w:ascii="Arial" w:hAnsi="Arial" w:cs="Arial"/>
                <w:sz w:val="16"/>
                <w:szCs w:val="16"/>
              </w:rPr>
            </w:pPr>
          </w:p>
        </w:tc>
      </w:tr>
      <w:tr w:rsidR="00AE25B4" w:rsidRPr="00AA6563" w14:paraId="165E2661" w14:textId="77777777" w:rsidTr="00AE25B4">
        <w:trPr>
          <w:trHeight w:val="204"/>
        </w:trPr>
        <w:tc>
          <w:tcPr>
            <w:tcW w:w="2840" w:type="dxa"/>
            <w:tcBorders>
              <w:top w:val="nil"/>
              <w:left w:val="nil"/>
              <w:bottom w:val="nil"/>
              <w:right w:val="nil"/>
            </w:tcBorders>
            <w:shd w:val="clear" w:color="auto" w:fill="auto"/>
            <w:noWrap/>
            <w:vAlign w:val="center"/>
            <w:hideMark/>
          </w:tcPr>
          <w:p w14:paraId="4E9722F2" w14:textId="647D8D59" w:rsidR="00AE25B4" w:rsidRPr="00AA6563" w:rsidRDefault="00AE25B4" w:rsidP="0097005A">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14:paraId="17248CBC" w14:textId="77777777" w:rsidR="00AE25B4" w:rsidRPr="00AE25B4" w:rsidRDefault="00AE25B4" w:rsidP="00141F0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7037D492" w14:textId="2678E9D4"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8E2E1CC" w14:textId="77777777"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2FD1339" w14:textId="77777777" w:rsidR="00AE25B4" w:rsidRPr="00AE25B4" w:rsidRDefault="00AE25B4" w:rsidP="00141F0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1D72974" w14:textId="77777777" w:rsidR="00AE25B4" w:rsidRPr="00AE25B4" w:rsidRDefault="00AE25B4" w:rsidP="00141F01">
            <w:pPr>
              <w:spacing w:after="0" w:line="240" w:lineRule="auto"/>
              <w:jc w:val="right"/>
              <w:rPr>
                <w:rFonts w:ascii="Arial" w:hAnsi="Arial" w:cs="Arial"/>
                <w:sz w:val="16"/>
                <w:szCs w:val="16"/>
              </w:rPr>
            </w:pPr>
          </w:p>
        </w:tc>
      </w:tr>
      <w:tr w:rsidR="00AE25B4" w:rsidRPr="00AA6563" w14:paraId="08BEF976" w14:textId="77777777" w:rsidTr="00AE25B4">
        <w:trPr>
          <w:trHeight w:val="204"/>
        </w:trPr>
        <w:tc>
          <w:tcPr>
            <w:tcW w:w="2840" w:type="dxa"/>
            <w:tcBorders>
              <w:top w:val="nil"/>
              <w:left w:val="nil"/>
              <w:bottom w:val="nil"/>
              <w:right w:val="nil"/>
            </w:tcBorders>
            <w:shd w:val="clear" w:color="auto" w:fill="auto"/>
            <w:vAlign w:val="center"/>
            <w:hideMark/>
          </w:tcPr>
          <w:p w14:paraId="34F3058C" w14:textId="54FA3886"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Proceeds from sales of property,</w:t>
            </w:r>
            <w:r w:rsidR="0097005A">
              <w:rPr>
                <w:rFonts w:ascii="Arial" w:hAnsi="Arial" w:cs="Arial"/>
                <w:color w:val="000000"/>
                <w:sz w:val="16"/>
                <w:szCs w:val="16"/>
              </w:rPr>
              <w:t xml:space="preserve"> </w:t>
            </w:r>
            <w:r>
              <w:rPr>
                <w:rFonts w:ascii="Arial" w:hAnsi="Arial" w:cs="Arial"/>
                <w:color w:val="000000"/>
                <w:sz w:val="16"/>
                <w:szCs w:val="16"/>
              </w:rPr>
              <w:t>plant and equipment</w:t>
            </w:r>
          </w:p>
        </w:tc>
        <w:tc>
          <w:tcPr>
            <w:tcW w:w="880" w:type="dxa"/>
            <w:tcBorders>
              <w:top w:val="nil"/>
              <w:left w:val="nil"/>
              <w:bottom w:val="nil"/>
              <w:right w:val="nil"/>
            </w:tcBorders>
            <w:shd w:val="clear" w:color="auto" w:fill="auto"/>
            <w:noWrap/>
            <w:vAlign w:val="bottom"/>
            <w:hideMark/>
          </w:tcPr>
          <w:p w14:paraId="6A288913" w14:textId="07AF236A"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34</w:t>
            </w:r>
          </w:p>
        </w:tc>
        <w:tc>
          <w:tcPr>
            <w:tcW w:w="880" w:type="dxa"/>
            <w:tcBorders>
              <w:top w:val="nil"/>
              <w:left w:val="nil"/>
              <w:bottom w:val="nil"/>
              <w:right w:val="nil"/>
            </w:tcBorders>
            <w:shd w:val="clear" w:color="000000" w:fill="E6E6E6"/>
            <w:noWrap/>
            <w:vAlign w:val="bottom"/>
            <w:hideMark/>
          </w:tcPr>
          <w:p w14:paraId="301F871A" w14:textId="64EE523A"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448ECB2F" w14:textId="25D5682B"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3515A2A4" w14:textId="0709FF15"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w:t>
            </w:r>
          </w:p>
        </w:tc>
        <w:tc>
          <w:tcPr>
            <w:tcW w:w="880" w:type="dxa"/>
            <w:tcBorders>
              <w:top w:val="nil"/>
              <w:left w:val="nil"/>
              <w:bottom w:val="nil"/>
              <w:right w:val="nil"/>
            </w:tcBorders>
            <w:shd w:val="clear" w:color="auto" w:fill="auto"/>
            <w:noWrap/>
            <w:vAlign w:val="bottom"/>
            <w:hideMark/>
          </w:tcPr>
          <w:p w14:paraId="1A0D3BE1" w14:textId="258B8AB8"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w:t>
            </w:r>
          </w:p>
        </w:tc>
      </w:tr>
      <w:tr w:rsidR="00AE25B4" w:rsidRPr="00AA6563" w14:paraId="25F7B9DB" w14:textId="77777777" w:rsidTr="00AE25B4">
        <w:trPr>
          <w:trHeight w:val="204"/>
        </w:trPr>
        <w:tc>
          <w:tcPr>
            <w:tcW w:w="2840" w:type="dxa"/>
            <w:tcBorders>
              <w:top w:val="nil"/>
              <w:left w:val="nil"/>
              <w:bottom w:val="nil"/>
              <w:right w:val="nil"/>
            </w:tcBorders>
            <w:shd w:val="clear" w:color="auto" w:fill="auto"/>
            <w:noWrap/>
            <w:vAlign w:val="center"/>
            <w:hideMark/>
          </w:tcPr>
          <w:p w14:paraId="2174EBBA" w14:textId="2ADC96BE"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Investments</w:t>
            </w:r>
          </w:p>
        </w:tc>
        <w:tc>
          <w:tcPr>
            <w:tcW w:w="880" w:type="dxa"/>
            <w:tcBorders>
              <w:top w:val="nil"/>
              <w:left w:val="nil"/>
              <w:bottom w:val="nil"/>
              <w:right w:val="nil"/>
            </w:tcBorders>
            <w:shd w:val="clear" w:color="auto" w:fill="auto"/>
            <w:noWrap/>
            <w:vAlign w:val="bottom"/>
            <w:hideMark/>
          </w:tcPr>
          <w:p w14:paraId="1D83F977" w14:textId="75557042"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248,006</w:t>
            </w:r>
          </w:p>
        </w:tc>
        <w:tc>
          <w:tcPr>
            <w:tcW w:w="880" w:type="dxa"/>
            <w:tcBorders>
              <w:top w:val="nil"/>
              <w:left w:val="nil"/>
              <w:bottom w:val="nil"/>
              <w:right w:val="nil"/>
            </w:tcBorders>
            <w:shd w:val="clear" w:color="000000" w:fill="E6E6E6"/>
            <w:noWrap/>
            <w:vAlign w:val="bottom"/>
            <w:hideMark/>
          </w:tcPr>
          <w:p w14:paraId="6B061B3A" w14:textId="69C095C0"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171,388</w:t>
            </w:r>
          </w:p>
        </w:tc>
        <w:tc>
          <w:tcPr>
            <w:tcW w:w="880" w:type="dxa"/>
            <w:tcBorders>
              <w:top w:val="nil"/>
              <w:left w:val="nil"/>
              <w:bottom w:val="nil"/>
              <w:right w:val="nil"/>
            </w:tcBorders>
            <w:shd w:val="clear" w:color="auto" w:fill="auto"/>
            <w:noWrap/>
            <w:vAlign w:val="bottom"/>
            <w:hideMark/>
          </w:tcPr>
          <w:p w14:paraId="644F6778" w14:textId="1C3DD7AB"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171,215</w:t>
            </w:r>
          </w:p>
        </w:tc>
        <w:tc>
          <w:tcPr>
            <w:tcW w:w="880" w:type="dxa"/>
            <w:tcBorders>
              <w:top w:val="nil"/>
              <w:left w:val="nil"/>
              <w:bottom w:val="nil"/>
              <w:right w:val="nil"/>
            </w:tcBorders>
            <w:shd w:val="clear" w:color="auto" w:fill="auto"/>
            <w:noWrap/>
            <w:vAlign w:val="bottom"/>
            <w:hideMark/>
          </w:tcPr>
          <w:p w14:paraId="554159E8" w14:textId="0B878AB3"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170,958</w:t>
            </w:r>
          </w:p>
        </w:tc>
        <w:tc>
          <w:tcPr>
            <w:tcW w:w="880" w:type="dxa"/>
            <w:tcBorders>
              <w:top w:val="nil"/>
              <w:left w:val="nil"/>
              <w:bottom w:val="nil"/>
              <w:right w:val="nil"/>
            </w:tcBorders>
            <w:shd w:val="clear" w:color="auto" w:fill="auto"/>
            <w:noWrap/>
            <w:vAlign w:val="bottom"/>
            <w:hideMark/>
          </w:tcPr>
          <w:p w14:paraId="47230806" w14:textId="69E0A4C1"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170,000</w:t>
            </w:r>
          </w:p>
        </w:tc>
      </w:tr>
      <w:tr w:rsidR="00AE25B4" w:rsidRPr="00AA6563" w14:paraId="02C5E4ED" w14:textId="77777777" w:rsidTr="00AE25B4">
        <w:trPr>
          <w:trHeight w:val="204"/>
        </w:trPr>
        <w:tc>
          <w:tcPr>
            <w:tcW w:w="2840" w:type="dxa"/>
            <w:tcBorders>
              <w:top w:val="nil"/>
              <w:left w:val="nil"/>
              <w:bottom w:val="nil"/>
              <w:right w:val="nil"/>
            </w:tcBorders>
            <w:shd w:val="clear" w:color="auto" w:fill="auto"/>
            <w:noWrap/>
            <w:vAlign w:val="center"/>
            <w:hideMark/>
          </w:tcPr>
          <w:p w14:paraId="2BA1BAB6" w14:textId="063F7EB0" w:rsidR="00AE25B4" w:rsidRPr="00AA6563" w:rsidRDefault="00AE25B4" w:rsidP="00AE25B4">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14:paraId="76849BC6" w14:textId="6A1D7500"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248,040</w:t>
            </w:r>
          </w:p>
        </w:tc>
        <w:tc>
          <w:tcPr>
            <w:tcW w:w="880" w:type="dxa"/>
            <w:tcBorders>
              <w:top w:val="single" w:sz="4" w:space="0" w:color="000000"/>
              <w:left w:val="nil"/>
              <w:bottom w:val="single" w:sz="4" w:space="0" w:color="000000"/>
              <w:right w:val="nil"/>
            </w:tcBorders>
            <w:shd w:val="clear" w:color="000000" w:fill="E6E6E6"/>
            <w:noWrap/>
            <w:vAlign w:val="bottom"/>
            <w:hideMark/>
          </w:tcPr>
          <w:p w14:paraId="5858FBF4" w14:textId="071E68A1"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171,388</w:t>
            </w:r>
          </w:p>
        </w:tc>
        <w:tc>
          <w:tcPr>
            <w:tcW w:w="880" w:type="dxa"/>
            <w:tcBorders>
              <w:top w:val="single" w:sz="4" w:space="0" w:color="000000"/>
              <w:left w:val="nil"/>
              <w:bottom w:val="single" w:sz="4" w:space="0" w:color="000000"/>
              <w:right w:val="nil"/>
            </w:tcBorders>
            <w:shd w:val="clear" w:color="auto" w:fill="auto"/>
            <w:noWrap/>
            <w:vAlign w:val="bottom"/>
            <w:hideMark/>
          </w:tcPr>
          <w:p w14:paraId="68C6B7C0" w14:textId="34A0A3FB"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171,215</w:t>
            </w:r>
          </w:p>
        </w:tc>
        <w:tc>
          <w:tcPr>
            <w:tcW w:w="880" w:type="dxa"/>
            <w:tcBorders>
              <w:top w:val="single" w:sz="4" w:space="0" w:color="000000"/>
              <w:left w:val="nil"/>
              <w:bottom w:val="single" w:sz="4" w:space="0" w:color="000000"/>
              <w:right w:val="nil"/>
            </w:tcBorders>
            <w:shd w:val="clear" w:color="auto" w:fill="auto"/>
            <w:noWrap/>
            <w:vAlign w:val="bottom"/>
            <w:hideMark/>
          </w:tcPr>
          <w:p w14:paraId="2A84211C" w14:textId="11BFB691"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170,958</w:t>
            </w:r>
          </w:p>
        </w:tc>
        <w:tc>
          <w:tcPr>
            <w:tcW w:w="880" w:type="dxa"/>
            <w:tcBorders>
              <w:top w:val="single" w:sz="4" w:space="0" w:color="000000"/>
              <w:left w:val="nil"/>
              <w:bottom w:val="single" w:sz="4" w:space="0" w:color="000000"/>
              <w:right w:val="nil"/>
            </w:tcBorders>
            <w:shd w:val="clear" w:color="auto" w:fill="auto"/>
            <w:noWrap/>
            <w:vAlign w:val="bottom"/>
            <w:hideMark/>
          </w:tcPr>
          <w:p w14:paraId="29F6F947" w14:textId="02CB9F1D"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170,000</w:t>
            </w:r>
          </w:p>
        </w:tc>
      </w:tr>
      <w:tr w:rsidR="00AE25B4" w:rsidRPr="00AA6563" w14:paraId="3E5B936B" w14:textId="77777777" w:rsidTr="00AE25B4">
        <w:trPr>
          <w:trHeight w:val="204"/>
        </w:trPr>
        <w:tc>
          <w:tcPr>
            <w:tcW w:w="2840" w:type="dxa"/>
            <w:tcBorders>
              <w:top w:val="nil"/>
              <w:left w:val="nil"/>
              <w:bottom w:val="nil"/>
              <w:right w:val="nil"/>
            </w:tcBorders>
            <w:shd w:val="clear" w:color="auto" w:fill="auto"/>
            <w:noWrap/>
            <w:vAlign w:val="center"/>
            <w:hideMark/>
          </w:tcPr>
          <w:p w14:paraId="7CEBFA30" w14:textId="18B97AB8" w:rsidR="00AE25B4" w:rsidRPr="00AA6563" w:rsidRDefault="00AE25B4" w:rsidP="0097005A">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14:paraId="03E9F616" w14:textId="77777777" w:rsidR="00AE25B4" w:rsidRPr="00AE25B4" w:rsidRDefault="00AE25B4" w:rsidP="00141F0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41924ABC" w14:textId="58A3C51F"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2449F699" w14:textId="77777777"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44861F6D" w14:textId="77777777" w:rsidR="00AE25B4" w:rsidRPr="00AE25B4" w:rsidRDefault="00AE25B4" w:rsidP="00141F0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8707C40" w14:textId="77777777" w:rsidR="00AE25B4" w:rsidRPr="00AE25B4" w:rsidRDefault="00AE25B4" w:rsidP="00141F01">
            <w:pPr>
              <w:spacing w:after="0" w:line="240" w:lineRule="auto"/>
              <w:jc w:val="right"/>
              <w:rPr>
                <w:rFonts w:ascii="Arial" w:hAnsi="Arial" w:cs="Arial"/>
                <w:sz w:val="16"/>
                <w:szCs w:val="16"/>
              </w:rPr>
            </w:pPr>
          </w:p>
        </w:tc>
      </w:tr>
      <w:tr w:rsidR="00AE25B4" w:rsidRPr="00AA6563" w14:paraId="546374DB" w14:textId="77777777" w:rsidTr="00AE25B4">
        <w:trPr>
          <w:trHeight w:val="204"/>
        </w:trPr>
        <w:tc>
          <w:tcPr>
            <w:tcW w:w="2840" w:type="dxa"/>
            <w:tcBorders>
              <w:top w:val="nil"/>
              <w:left w:val="nil"/>
              <w:bottom w:val="nil"/>
              <w:right w:val="nil"/>
            </w:tcBorders>
            <w:shd w:val="clear" w:color="auto" w:fill="auto"/>
            <w:vAlign w:val="center"/>
            <w:hideMark/>
          </w:tcPr>
          <w:p w14:paraId="5A33467D" w14:textId="6251005F"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Purchase of property, plant and</w:t>
            </w:r>
            <w:r w:rsidR="0097005A">
              <w:rPr>
                <w:rFonts w:ascii="Arial" w:hAnsi="Arial" w:cs="Arial"/>
                <w:color w:val="000000"/>
                <w:sz w:val="16"/>
                <w:szCs w:val="16"/>
              </w:rPr>
              <w:t xml:space="preserve"> </w:t>
            </w:r>
            <w:r>
              <w:rPr>
                <w:rFonts w:ascii="Arial" w:hAnsi="Arial" w:cs="Arial"/>
                <w:color w:val="000000"/>
                <w:sz w:val="16"/>
                <w:szCs w:val="16"/>
              </w:rPr>
              <w:t>equipment and intangibles</w:t>
            </w:r>
          </w:p>
        </w:tc>
        <w:tc>
          <w:tcPr>
            <w:tcW w:w="880" w:type="dxa"/>
            <w:tcBorders>
              <w:top w:val="nil"/>
              <w:left w:val="nil"/>
              <w:bottom w:val="nil"/>
              <w:right w:val="nil"/>
            </w:tcBorders>
            <w:shd w:val="clear" w:color="auto" w:fill="auto"/>
            <w:noWrap/>
            <w:vAlign w:val="bottom"/>
            <w:hideMark/>
          </w:tcPr>
          <w:p w14:paraId="7C240259" w14:textId="1DCE08D6"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13,334</w:t>
            </w:r>
          </w:p>
        </w:tc>
        <w:tc>
          <w:tcPr>
            <w:tcW w:w="880" w:type="dxa"/>
            <w:tcBorders>
              <w:top w:val="nil"/>
              <w:left w:val="nil"/>
              <w:bottom w:val="nil"/>
              <w:right w:val="nil"/>
            </w:tcBorders>
            <w:shd w:val="clear" w:color="000000" w:fill="E6E6E6"/>
            <w:noWrap/>
            <w:vAlign w:val="bottom"/>
            <w:hideMark/>
          </w:tcPr>
          <w:p w14:paraId="0C7B017A" w14:textId="0435CAAB"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20,937</w:t>
            </w:r>
          </w:p>
        </w:tc>
        <w:tc>
          <w:tcPr>
            <w:tcW w:w="880" w:type="dxa"/>
            <w:tcBorders>
              <w:top w:val="nil"/>
              <w:left w:val="nil"/>
              <w:bottom w:val="nil"/>
              <w:right w:val="nil"/>
            </w:tcBorders>
            <w:shd w:val="clear" w:color="auto" w:fill="auto"/>
            <w:noWrap/>
            <w:vAlign w:val="bottom"/>
            <w:hideMark/>
          </w:tcPr>
          <w:p w14:paraId="65F46395" w14:textId="1EACBC31"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20,926</w:t>
            </w:r>
          </w:p>
        </w:tc>
        <w:tc>
          <w:tcPr>
            <w:tcW w:w="880" w:type="dxa"/>
            <w:tcBorders>
              <w:top w:val="nil"/>
              <w:left w:val="nil"/>
              <w:bottom w:val="nil"/>
              <w:right w:val="nil"/>
            </w:tcBorders>
            <w:shd w:val="clear" w:color="auto" w:fill="auto"/>
            <w:noWrap/>
            <w:vAlign w:val="bottom"/>
            <w:hideMark/>
          </w:tcPr>
          <w:p w14:paraId="6B9D4928" w14:textId="63BC74DF"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20,927</w:t>
            </w:r>
          </w:p>
        </w:tc>
        <w:tc>
          <w:tcPr>
            <w:tcW w:w="880" w:type="dxa"/>
            <w:tcBorders>
              <w:top w:val="nil"/>
              <w:left w:val="nil"/>
              <w:bottom w:val="nil"/>
              <w:right w:val="nil"/>
            </w:tcBorders>
            <w:shd w:val="clear" w:color="auto" w:fill="auto"/>
            <w:noWrap/>
            <w:vAlign w:val="bottom"/>
            <w:hideMark/>
          </w:tcPr>
          <w:p w14:paraId="0C0C714E" w14:textId="4FDC7D61"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20,955</w:t>
            </w:r>
          </w:p>
        </w:tc>
      </w:tr>
      <w:tr w:rsidR="00AE25B4" w:rsidRPr="00AA6563" w14:paraId="1C7880B1" w14:textId="77777777" w:rsidTr="00AE25B4">
        <w:trPr>
          <w:trHeight w:val="204"/>
        </w:trPr>
        <w:tc>
          <w:tcPr>
            <w:tcW w:w="2840" w:type="dxa"/>
            <w:tcBorders>
              <w:top w:val="nil"/>
              <w:left w:val="nil"/>
              <w:bottom w:val="nil"/>
              <w:right w:val="nil"/>
            </w:tcBorders>
            <w:shd w:val="clear" w:color="auto" w:fill="auto"/>
            <w:noWrap/>
            <w:vAlign w:val="center"/>
            <w:hideMark/>
          </w:tcPr>
          <w:p w14:paraId="0686E641" w14:textId="035ECB0F"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Investments</w:t>
            </w:r>
          </w:p>
        </w:tc>
        <w:tc>
          <w:tcPr>
            <w:tcW w:w="880" w:type="dxa"/>
            <w:tcBorders>
              <w:top w:val="nil"/>
              <w:left w:val="nil"/>
              <w:bottom w:val="nil"/>
              <w:right w:val="nil"/>
            </w:tcBorders>
            <w:shd w:val="clear" w:color="auto" w:fill="auto"/>
            <w:noWrap/>
            <w:vAlign w:val="bottom"/>
            <w:hideMark/>
          </w:tcPr>
          <w:p w14:paraId="003C0649" w14:textId="58C2E16E"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265,261</w:t>
            </w:r>
          </w:p>
        </w:tc>
        <w:tc>
          <w:tcPr>
            <w:tcW w:w="880" w:type="dxa"/>
            <w:tcBorders>
              <w:top w:val="nil"/>
              <w:left w:val="nil"/>
              <w:bottom w:val="nil"/>
              <w:right w:val="nil"/>
            </w:tcBorders>
            <w:shd w:val="clear" w:color="000000" w:fill="E6E6E6"/>
            <w:noWrap/>
            <w:vAlign w:val="bottom"/>
            <w:hideMark/>
          </w:tcPr>
          <w:p w14:paraId="19C9DA9D" w14:textId="474F2814"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170,000</w:t>
            </w:r>
          </w:p>
        </w:tc>
        <w:tc>
          <w:tcPr>
            <w:tcW w:w="880" w:type="dxa"/>
            <w:tcBorders>
              <w:top w:val="nil"/>
              <w:left w:val="nil"/>
              <w:bottom w:val="nil"/>
              <w:right w:val="nil"/>
            </w:tcBorders>
            <w:shd w:val="clear" w:color="auto" w:fill="auto"/>
            <w:noWrap/>
            <w:vAlign w:val="bottom"/>
            <w:hideMark/>
          </w:tcPr>
          <w:p w14:paraId="6FD4866F" w14:textId="42C16F6B"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170,000</w:t>
            </w:r>
          </w:p>
        </w:tc>
        <w:tc>
          <w:tcPr>
            <w:tcW w:w="880" w:type="dxa"/>
            <w:tcBorders>
              <w:top w:val="nil"/>
              <w:left w:val="nil"/>
              <w:bottom w:val="nil"/>
              <w:right w:val="nil"/>
            </w:tcBorders>
            <w:shd w:val="clear" w:color="auto" w:fill="auto"/>
            <w:noWrap/>
            <w:vAlign w:val="bottom"/>
            <w:hideMark/>
          </w:tcPr>
          <w:p w14:paraId="473650E2" w14:textId="11DC21C8"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170,000</w:t>
            </w:r>
          </w:p>
        </w:tc>
        <w:tc>
          <w:tcPr>
            <w:tcW w:w="880" w:type="dxa"/>
            <w:tcBorders>
              <w:top w:val="nil"/>
              <w:left w:val="nil"/>
              <w:bottom w:val="nil"/>
              <w:right w:val="nil"/>
            </w:tcBorders>
            <w:shd w:val="clear" w:color="auto" w:fill="auto"/>
            <w:noWrap/>
            <w:vAlign w:val="bottom"/>
            <w:hideMark/>
          </w:tcPr>
          <w:p w14:paraId="09C9C433" w14:textId="4508BB31"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169,099</w:t>
            </w:r>
          </w:p>
        </w:tc>
      </w:tr>
      <w:tr w:rsidR="00AE25B4" w:rsidRPr="00AA6563" w14:paraId="4648F940" w14:textId="77777777" w:rsidTr="00AE25B4">
        <w:trPr>
          <w:trHeight w:val="204"/>
        </w:trPr>
        <w:tc>
          <w:tcPr>
            <w:tcW w:w="2840" w:type="dxa"/>
            <w:tcBorders>
              <w:top w:val="nil"/>
              <w:left w:val="nil"/>
              <w:right w:val="nil"/>
            </w:tcBorders>
            <w:shd w:val="clear" w:color="auto" w:fill="auto"/>
            <w:noWrap/>
            <w:vAlign w:val="center"/>
            <w:hideMark/>
          </w:tcPr>
          <w:p w14:paraId="55EDC790" w14:textId="56F442F3" w:rsidR="00AE25B4" w:rsidRPr="00AA6563" w:rsidRDefault="00AE25B4" w:rsidP="00AE25B4">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14:paraId="1E0DC12C" w14:textId="7B020FDA"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278,595</w:t>
            </w:r>
          </w:p>
        </w:tc>
        <w:tc>
          <w:tcPr>
            <w:tcW w:w="880" w:type="dxa"/>
            <w:tcBorders>
              <w:top w:val="single" w:sz="4" w:space="0" w:color="000000"/>
              <w:left w:val="nil"/>
              <w:bottom w:val="single" w:sz="4" w:space="0" w:color="000000"/>
              <w:right w:val="nil"/>
            </w:tcBorders>
            <w:shd w:val="clear" w:color="000000" w:fill="E6E6E6"/>
            <w:noWrap/>
            <w:vAlign w:val="bottom"/>
            <w:hideMark/>
          </w:tcPr>
          <w:p w14:paraId="10B87101" w14:textId="19272239"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190,937</w:t>
            </w:r>
          </w:p>
        </w:tc>
        <w:tc>
          <w:tcPr>
            <w:tcW w:w="880" w:type="dxa"/>
            <w:tcBorders>
              <w:top w:val="single" w:sz="4" w:space="0" w:color="000000"/>
              <w:left w:val="nil"/>
              <w:bottom w:val="single" w:sz="4" w:space="0" w:color="000000"/>
              <w:right w:val="nil"/>
            </w:tcBorders>
            <w:shd w:val="clear" w:color="auto" w:fill="auto"/>
            <w:noWrap/>
            <w:vAlign w:val="bottom"/>
            <w:hideMark/>
          </w:tcPr>
          <w:p w14:paraId="0ED3F9CD" w14:textId="0D589A49"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190,926</w:t>
            </w:r>
          </w:p>
        </w:tc>
        <w:tc>
          <w:tcPr>
            <w:tcW w:w="880" w:type="dxa"/>
            <w:tcBorders>
              <w:top w:val="single" w:sz="4" w:space="0" w:color="000000"/>
              <w:left w:val="nil"/>
              <w:bottom w:val="single" w:sz="4" w:space="0" w:color="000000"/>
              <w:right w:val="nil"/>
            </w:tcBorders>
            <w:shd w:val="clear" w:color="auto" w:fill="auto"/>
            <w:noWrap/>
            <w:vAlign w:val="bottom"/>
            <w:hideMark/>
          </w:tcPr>
          <w:p w14:paraId="7522D70E" w14:textId="1B239121"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190,927</w:t>
            </w:r>
          </w:p>
        </w:tc>
        <w:tc>
          <w:tcPr>
            <w:tcW w:w="880" w:type="dxa"/>
            <w:tcBorders>
              <w:top w:val="single" w:sz="4" w:space="0" w:color="000000"/>
              <w:left w:val="nil"/>
              <w:bottom w:val="single" w:sz="4" w:space="0" w:color="000000"/>
              <w:right w:val="nil"/>
            </w:tcBorders>
            <w:shd w:val="clear" w:color="auto" w:fill="auto"/>
            <w:noWrap/>
            <w:vAlign w:val="bottom"/>
            <w:hideMark/>
          </w:tcPr>
          <w:p w14:paraId="54A12D05" w14:textId="3E8351B7"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190,054</w:t>
            </w:r>
          </w:p>
        </w:tc>
      </w:tr>
      <w:tr w:rsidR="00AE25B4" w:rsidRPr="00AA6563" w14:paraId="30D235CA" w14:textId="77777777" w:rsidTr="00AE25B4">
        <w:trPr>
          <w:trHeight w:val="204"/>
        </w:trPr>
        <w:tc>
          <w:tcPr>
            <w:tcW w:w="2840" w:type="dxa"/>
            <w:tcBorders>
              <w:top w:val="nil"/>
              <w:left w:val="nil"/>
              <w:right w:val="nil"/>
            </w:tcBorders>
            <w:shd w:val="clear" w:color="auto" w:fill="auto"/>
            <w:vAlign w:val="center"/>
            <w:hideMark/>
          </w:tcPr>
          <w:p w14:paraId="788EDD52" w14:textId="77180E3C" w:rsidR="00AE25B4" w:rsidRPr="00AA6563" w:rsidRDefault="00AE25B4" w:rsidP="0097005A">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sidR="0097005A">
              <w:rPr>
                <w:rFonts w:ascii="Arial" w:hAnsi="Arial" w:cs="Arial"/>
                <w:b/>
                <w:bCs/>
                <w:color w:val="000000"/>
                <w:sz w:val="16"/>
                <w:szCs w:val="16"/>
              </w:rPr>
              <w:t xml:space="preserve"> </w:t>
            </w:r>
            <w:r>
              <w:rPr>
                <w:rFonts w:ascii="Arial" w:hAnsi="Arial" w:cs="Arial"/>
                <w:b/>
                <w:bCs/>
                <w:color w:val="000000"/>
                <w:sz w:val="16"/>
                <w:szCs w:val="16"/>
              </w:rPr>
              <w:t>investing activities</w:t>
            </w:r>
          </w:p>
        </w:tc>
        <w:tc>
          <w:tcPr>
            <w:tcW w:w="880" w:type="dxa"/>
            <w:tcBorders>
              <w:top w:val="nil"/>
              <w:left w:val="nil"/>
              <w:bottom w:val="single" w:sz="4" w:space="0" w:color="auto"/>
              <w:right w:val="nil"/>
            </w:tcBorders>
            <w:shd w:val="clear" w:color="auto" w:fill="auto"/>
            <w:noWrap/>
            <w:vAlign w:val="bottom"/>
            <w:hideMark/>
          </w:tcPr>
          <w:p w14:paraId="1BCD8129" w14:textId="2211CA83"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(30,555)</w:t>
            </w:r>
          </w:p>
        </w:tc>
        <w:tc>
          <w:tcPr>
            <w:tcW w:w="880" w:type="dxa"/>
            <w:tcBorders>
              <w:top w:val="nil"/>
              <w:left w:val="nil"/>
              <w:bottom w:val="single" w:sz="4" w:space="0" w:color="auto"/>
              <w:right w:val="nil"/>
            </w:tcBorders>
            <w:shd w:val="clear" w:color="000000" w:fill="E6E6E6"/>
            <w:noWrap/>
            <w:vAlign w:val="bottom"/>
            <w:hideMark/>
          </w:tcPr>
          <w:p w14:paraId="35E0CACD" w14:textId="5CB65FA1"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(19,549)</w:t>
            </w:r>
          </w:p>
        </w:tc>
        <w:tc>
          <w:tcPr>
            <w:tcW w:w="880" w:type="dxa"/>
            <w:tcBorders>
              <w:top w:val="nil"/>
              <w:left w:val="nil"/>
              <w:bottom w:val="single" w:sz="4" w:space="0" w:color="auto"/>
              <w:right w:val="nil"/>
            </w:tcBorders>
            <w:shd w:val="clear" w:color="auto" w:fill="auto"/>
            <w:noWrap/>
            <w:vAlign w:val="bottom"/>
            <w:hideMark/>
          </w:tcPr>
          <w:p w14:paraId="0BD0EA33" w14:textId="45342E79"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(19,711)</w:t>
            </w:r>
          </w:p>
        </w:tc>
        <w:tc>
          <w:tcPr>
            <w:tcW w:w="880" w:type="dxa"/>
            <w:tcBorders>
              <w:top w:val="nil"/>
              <w:left w:val="nil"/>
              <w:bottom w:val="single" w:sz="4" w:space="0" w:color="auto"/>
              <w:right w:val="nil"/>
            </w:tcBorders>
            <w:shd w:val="clear" w:color="auto" w:fill="auto"/>
            <w:noWrap/>
            <w:vAlign w:val="bottom"/>
            <w:hideMark/>
          </w:tcPr>
          <w:p w14:paraId="68B56431" w14:textId="3B12E280"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(19,969)</w:t>
            </w:r>
          </w:p>
        </w:tc>
        <w:tc>
          <w:tcPr>
            <w:tcW w:w="880" w:type="dxa"/>
            <w:tcBorders>
              <w:top w:val="nil"/>
              <w:left w:val="nil"/>
              <w:bottom w:val="single" w:sz="4" w:space="0" w:color="auto"/>
              <w:right w:val="nil"/>
            </w:tcBorders>
            <w:shd w:val="clear" w:color="auto" w:fill="auto"/>
            <w:noWrap/>
            <w:vAlign w:val="bottom"/>
            <w:hideMark/>
          </w:tcPr>
          <w:p w14:paraId="11D19873" w14:textId="25EB08AE"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(20,054)</w:t>
            </w:r>
          </w:p>
        </w:tc>
      </w:tr>
      <w:tr w:rsidR="00AE25B4" w:rsidRPr="00AA6563" w14:paraId="2744204D" w14:textId="77777777" w:rsidTr="00AE25B4">
        <w:trPr>
          <w:trHeight w:val="204"/>
        </w:trPr>
        <w:tc>
          <w:tcPr>
            <w:tcW w:w="2840" w:type="dxa"/>
            <w:tcBorders>
              <w:top w:val="nil"/>
              <w:left w:val="nil"/>
              <w:bottom w:val="nil"/>
              <w:right w:val="nil"/>
            </w:tcBorders>
            <w:shd w:val="clear" w:color="auto" w:fill="auto"/>
            <w:noWrap/>
            <w:vAlign w:val="center"/>
            <w:hideMark/>
          </w:tcPr>
          <w:p w14:paraId="0B666133" w14:textId="11E1FCC2" w:rsidR="00AE25B4" w:rsidRPr="00AA6563" w:rsidRDefault="00AE25B4" w:rsidP="00AE25B4">
            <w:pPr>
              <w:spacing w:after="0" w:line="240" w:lineRule="auto"/>
              <w:jc w:val="left"/>
              <w:rPr>
                <w:rFonts w:ascii="Arial" w:hAnsi="Arial" w:cs="Arial"/>
                <w:b/>
                <w:bCs/>
                <w:color w:val="000000"/>
                <w:sz w:val="16"/>
                <w:szCs w:val="16"/>
              </w:rPr>
            </w:pPr>
            <w:r>
              <w:rPr>
                <w:rFonts w:ascii="Arial" w:hAnsi="Arial" w:cs="Arial"/>
                <w:b/>
                <w:bCs/>
                <w:color w:val="000000"/>
                <w:sz w:val="16"/>
                <w:szCs w:val="16"/>
              </w:rPr>
              <w:t>FINANCING ACTIVITIES</w:t>
            </w:r>
          </w:p>
        </w:tc>
        <w:tc>
          <w:tcPr>
            <w:tcW w:w="880" w:type="dxa"/>
            <w:tcBorders>
              <w:top w:val="nil"/>
              <w:left w:val="nil"/>
              <w:bottom w:val="nil"/>
              <w:right w:val="nil"/>
            </w:tcBorders>
            <w:shd w:val="clear" w:color="auto" w:fill="auto"/>
            <w:noWrap/>
            <w:vAlign w:val="bottom"/>
            <w:hideMark/>
          </w:tcPr>
          <w:p w14:paraId="71AB9AB2" w14:textId="77777777" w:rsidR="00AE25B4" w:rsidRPr="00AE25B4" w:rsidRDefault="00AE25B4" w:rsidP="00141F0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5F5A8F34" w14:textId="4EE2B232"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3034B780" w14:textId="77777777"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1707BC5" w14:textId="77777777" w:rsidR="00AE25B4" w:rsidRPr="00AE25B4" w:rsidRDefault="00AE25B4" w:rsidP="00141F0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3491F58" w14:textId="77777777" w:rsidR="00AE25B4" w:rsidRPr="00AE25B4" w:rsidRDefault="00AE25B4" w:rsidP="00141F01">
            <w:pPr>
              <w:spacing w:after="0" w:line="240" w:lineRule="auto"/>
              <w:jc w:val="right"/>
              <w:rPr>
                <w:rFonts w:ascii="Arial" w:hAnsi="Arial" w:cs="Arial"/>
                <w:sz w:val="16"/>
                <w:szCs w:val="16"/>
              </w:rPr>
            </w:pPr>
          </w:p>
        </w:tc>
      </w:tr>
      <w:tr w:rsidR="00AE25B4" w:rsidRPr="00AA6563" w14:paraId="6A45EA06" w14:textId="77777777" w:rsidTr="00AE25B4">
        <w:trPr>
          <w:trHeight w:val="204"/>
        </w:trPr>
        <w:tc>
          <w:tcPr>
            <w:tcW w:w="2840" w:type="dxa"/>
            <w:tcBorders>
              <w:top w:val="nil"/>
              <w:left w:val="nil"/>
              <w:bottom w:val="nil"/>
              <w:right w:val="nil"/>
            </w:tcBorders>
            <w:shd w:val="clear" w:color="auto" w:fill="auto"/>
            <w:noWrap/>
            <w:vAlign w:val="center"/>
            <w:hideMark/>
          </w:tcPr>
          <w:p w14:paraId="7B97FFB1" w14:textId="522808CB" w:rsidR="00AE25B4" w:rsidRPr="00AA6563" w:rsidRDefault="00AE25B4" w:rsidP="0097005A">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Cash received</w:t>
            </w:r>
          </w:p>
        </w:tc>
        <w:tc>
          <w:tcPr>
            <w:tcW w:w="880" w:type="dxa"/>
            <w:tcBorders>
              <w:top w:val="nil"/>
              <w:left w:val="nil"/>
              <w:bottom w:val="nil"/>
              <w:right w:val="nil"/>
            </w:tcBorders>
            <w:shd w:val="clear" w:color="auto" w:fill="auto"/>
            <w:noWrap/>
            <w:vAlign w:val="bottom"/>
            <w:hideMark/>
          </w:tcPr>
          <w:p w14:paraId="1139125A" w14:textId="77777777" w:rsidR="00AE25B4" w:rsidRPr="00AE25B4" w:rsidRDefault="00AE25B4" w:rsidP="00141F0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5581D3A5" w14:textId="69DB0466"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0A14FAF" w14:textId="77777777"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77AD83E" w14:textId="77777777" w:rsidR="00AE25B4" w:rsidRPr="00AE25B4" w:rsidRDefault="00AE25B4" w:rsidP="00141F0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EC6C37A" w14:textId="77777777" w:rsidR="00AE25B4" w:rsidRPr="00AE25B4" w:rsidRDefault="00AE25B4" w:rsidP="00141F01">
            <w:pPr>
              <w:spacing w:after="0" w:line="240" w:lineRule="auto"/>
              <w:jc w:val="right"/>
              <w:rPr>
                <w:rFonts w:ascii="Arial" w:hAnsi="Arial" w:cs="Arial"/>
                <w:sz w:val="16"/>
                <w:szCs w:val="16"/>
              </w:rPr>
            </w:pPr>
          </w:p>
        </w:tc>
      </w:tr>
      <w:tr w:rsidR="00AE25B4" w:rsidRPr="00AA6563" w14:paraId="14B2D24E" w14:textId="77777777" w:rsidTr="00AE25B4">
        <w:trPr>
          <w:trHeight w:val="204"/>
        </w:trPr>
        <w:tc>
          <w:tcPr>
            <w:tcW w:w="2840" w:type="dxa"/>
            <w:tcBorders>
              <w:top w:val="nil"/>
              <w:left w:val="nil"/>
              <w:bottom w:val="nil"/>
              <w:right w:val="nil"/>
            </w:tcBorders>
            <w:shd w:val="clear" w:color="auto" w:fill="auto"/>
            <w:noWrap/>
            <w:vAlign w:val="center"/>
            <w:hideMark/>
          </w:tcPr>
          <w:p w14:paraId="172FC5B1" w14:textId="60675143" w:rsidR="00AE25B4" w:rsidRPr="00AA6563" w:rsidRDefault="00AE25B4" w:rsidP="0097005A">
            <w:pPr>
              <w:spacing w:after="0" w:line="240" w:lineRule="auto"/>
              <w:ind w:left="227"/>
              <w:jc w:val="left"/>
              <w:rPr>
                <w:rFonts w:ascii="Arial" w:hAnsi="Arial" w:cs="Arial"/>
                <w:color w:val="000000"/>
                <w:sz w:val="16"/>
                <w:szCs w:val="16"/>
              </w:rPr>
            </w:pPr>
            <w:r>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bottom"/>
            <w:hideMark/>
          </w:tcPr>
          <w:p w14:paraId="1EBFE527" w14:textId="1244ADE6"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9,558</w:t>
            </w:r>
          </w:p>
        </w:tc>
        <w:tc>
          <w:tcPr>
            <w:tcW w:w="880" w:type="dxa"/>
            <w:tcBorders>
              <w:top w:val="nil"/>
              <w:left w:val="nil"/>
              <w:bottom w:val="nil"/>
              <w:right w:val="nil"/>
            </w:tcBorders>
            <w:shd w:val="clear" w:color="000000" w:fill="E6E6E6"/>
            <w:noWrap/>
            <w:vAlign w:val="bottom"/>
            <w:hideMark/>
          </w:tcPr>
          <w:p w14:paraId="42C6D871" w14:textId="6FD01928"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9,566</w:t>
            </w:r>
          </w:p>
        </w:tc>
        <w:tc>
          <w:tcPr>
            <w:tcW w:w="880" w:type="dxa"/>
            <w:tcBorders>
              <w:top w:val="nil"/>
              <w:left w:val="nil"/>
              <w:bottom w:val="nil"/>
              <w:right w:val="nil"/>
            </w:tcBorders>
            <w:shd w:val="clear" w:color="auto" w:fill="auto"/>
            <w:noWrap/>
            <w:vAlign w:val="bottom"/>
            <w:hideMark/>
          </w:tcPr>
          <w:p w14:paraId="616A47A2" w14:textId="1D62141C"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9,622</w:t>
            </w:r>
          </w:p>
        </w:tc>
        <w:tc>
          <w:tcPr>
            <w:tcW w:w="880" w:type="dxa"/>
            <w:tcBorders>
              <w:top w:val="nil"/>
              <w:left w:val="nil"/>
              <w:bottom w:val="nil"/>
              <w:right w:val="nil"/>
            </w:tcBorders>
            <w:shd w:val="clear" w:color="auto" w:fill="auto"/>
            <w:noWrap/>
            <w:vAlign w:val="bottom"/>
            <w:hideMark/>
          </w:tcPr>
          <w:p w14:paraId="454AF0DC" w14:textId="56AA4452"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9,680</w:t>
            </w:r>
          </w:p>
        </w:tc>
        <w:tc>
          <w:tcPr>
            <w:tcW w:w="880" w:type="dxa"/>
            <w:tcBorders>
              <w:top w:val="nil"/>
              <w:left w:val="nil"/>
              <w:bottom w:val="nil"/>
              <w:right w:val="nil"/>
            </w:tcBorders>
            <w:shd w:val="clear" w:color="auto" w:fill="auto"/>
            <w:noWrap/>
            <w:vAlign w:val="bottom"/>
            <w:hideMark/>
          </w:tcPr>
          <w:p w14:paraId="67070E0C" w14:textId="5D0BE8EF"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9,755</w:t>
            </w:r>
          </w:p>
        </w:tc>
      </w:tr>
      <w:tr w:rsidR="00AE25B4" w:rsidRPr="00AA6563" w14:paraId="78407EC6" w14:textId="77777777" w:rsidTr="00AE25B4">
        <w:trPr>
          <w:trHeight w:val="204"/>
        </w:trPr>
        <w:tc>
          <w:tcPr>
            <w:tcW w:w="2840" w:type="dxa"/>
            <w:tcBorders>
              <w:top w:val="nil"/>
              <w:left w:val="nil"/>
              <w:bottom w:val="nil"/>
              <w:right w:val="nil"/>
            </w:tcBorders>
            <w:shd w:val="clear" w:color="auto" w:fill="auto"/>
            <w:noWrap/>
            <w:vAlign w:val="center"/>
            <w:hideMark/>
          </w:tcPr>
          <w:p w14:paraId="2B3ABC0D" w14:textId="1D192748" w:rsidR="00AE25B4" w:rsidRPr="00AA6563" w:rsidRDefault="00AE25B4" w:rsidP="00AE25B4">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14:paraId="074CFDAB" w14:textId="2CF40F4A"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9,558</w:t>
            </w:r>
          </w:p>
        </w:tc>
        <w:tc>
          <w:tcPr>
            <w:tcW w:w="880" w:type="dxa"/>
            <w:tcBorders>
              <w:top w:val="single" w:sz="4" w:space="0" w:color="000000"/>
              <w:left w:val="nil"/>
              <w:bottom w:val="single" w:sz="4" w:space="0" w:color="000000"/>
              <w:right w:val="nil"/>
            </w:tcBorders>
            <w:shd w:val="clear" w:color="000000" w:fill="E6E6E6"/>
            <w:noWrap/>
            <w:vAlign w:val="bottom"/>
            <w:hideMark/>
          </w:tcPr>
          <w:p w14:paraId="2FAC2C6A" w14:textId="29FB4407"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9,566</w:t>
            </w:r>
          </w:p>
        </w:tc>
        <w:tc>
          <w:tcPr>
            <w:tcW w:w="880" w:type="dxa"/>
            <w:tcBorders>
              <w:top w:val="single" w:sz="4" w:space="0" w:color="000000"/>
              <w:left w:val="nil"/>
              <w:bottom w:val="single" w:sz="4" w:space="0" w:color="000000"/>
              <w:right w:val="nil"/>
            </w:tcBorders>
            <w:shd w:val="clear" w:color="auto" w:fill="auto"/>
            <w:noWrap/>
            <w:vAlign w:val="bottom"/>
            <w:hideMark/>
          </w:tcPr>
          <w:p w14:paraId="7B30A72F" w14:textId="276D9896"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9,622</w:t>
            </w:r>
          </w:p>
        </w:tc>
        <w:tc>
          <w:tcPr>
            <w:tcW w:w="880" w:type="dxa"/>
            <w:tcBorders>
              <w:top w:val="single" w:sz="4" w:space="0" w:color="000000"/>
              <w:left w:val="nil"/>
              <w:bottom w:val="single" w:sz="4" w:space="0" w:color="000000"/>
              <w:right w:val="nil"/>
            </w:tcBorders>
            <w:shd w:val="clear" w:color="auto" w:fill="auto"/>
            <w:noWrap/>
            <w:vAlign w:val="bottom"/>
            <w:hideMark/>
          </w:tcPr>
          <w:p w14:paraId="148ABD9F" w14:textId="32837661"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9,680</w:t>
            </w:r>
          </w:p>
        </w:tc>
        <w:tc>
          <w:tcPr>
            <w:tcW w:w="880" w:type="dxa"/>
            <w:tcBorders>
              <w:top w:val="single" w:sz="4" w:space="0" w:color="000000"/>
              <w:left w:val="nil"/>
              <w:bottom w:val="single" w:sz="4" w:space="0" w:color="000000"/>
              <w:right w:val="nil"/>
            </w:tcBorders>
            <w:shd w:val="clear" w:color="auto" w:fill="auto"/>
            <w:noWrap/>
            <w:vAlign w:val="bottom"/>
            <w:hideMark/>
          </w:tcPr>
          <w:p w14:paraId="299946DE" w14:textId="78613071"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9,755</w:t>
            </w:r>
          </w:p>
        </w:tc>
      </w:tr>
      <w:tr w:rsidR="00AE25B4" w:rsidRPr="00AA6563" w14:paraId="0647ECA4" w14:textId="77777777" w:rsidTr="00AE25B4">
        <w:trPr>
          <w:trHeight w:val="204"/>
        </w:trPr>
        <w:tc>
          <w:tcPr>
            <w:tcW w:w="2840" w:type="dxa"/>
            <w:tcBorders>
              <w:top w:val="nil"/>
              <w:left w:val="nil"/>
              <w:bottom w:val="nil"/>
              <w:right w:val="nil"/>
            </w:tcBorders>
            <w:shd w:val="clear" w:color="auto" w:fill="auto"/>
            <w:noWrap/>
            <w:vAlign w:val="center"/>
            <w:hideMark/>
          </w:tcPr>
          <w:p w14:paraId="5D4C60BF" w14:textId="5F7C3781" w:rsidR="00AE25B4" w:rsidRPr="00AA6563" w:rsidRDefault="00AE25B4" w:rsidP="0097005A">
            <w:pPr>
              <w:spacing w:after="0" w:line="240" w:lineRule="auto"/>
              <w:ind w:left="113"/>
              <w:jc w:val="left"/>
              <w:rPr>
                <w:rFonts w:ascii="Arial" w:hAnsi="Arial" w:cs="Arial"/>
                <w:b/>
                <w:bCs/>
                <w:color w:val="000000"/>
                <w:sz w:val="16"/>
                <w:szCs w:val="16"/>
              </w:rPr>
            </w:pPr>
            <w:r>
              <w:rPr>
                <w:rFonts w:ascii="Arial" w:hAnsi="Arial" w:cs="Arial"/>
                <w:b/>
                <w:bCs/>
                <w:color w:val="000000"/>
                <w:sz w:val="16"/>
                <w:szCs w:val="16"/>
              </w:rPr>
              <w:t>Cash used</w:t>
            </w:r>
          </w:p>
        </w:tc>
        <w:tc>
          <w:tcPr>
            <w:tcW w:w="880" w:type="dxa"/>
            <w:tcBorders>
              <w:top w:val="nil"/>
              <w:left w:val="nil"/>
              <w:bottom w:val="nil"/>
              <w:right w:val="nil"/>
            </w:tcBorders>
            <w:shd w:val="clear" w:color="auto" w:fill="auto"/>
            <w:noWrap/>
            <w:vAlign w:val="bottom"/>
            <w:hideMark/>
          </w:tcPr>
          <w:p w14:paraId="5628721A" w14:textId="77777777" w:rsidR="00AE25B4" w:rsidRPr="00AE25B4" w:rsidRDefault="00AE25B4" w:rsidP="00141F01">
            <w:pPr>
              <w:spacing w:after="0" w:line="240" w:lineRule="auto"/>
              <w:jc w:val="righ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bottom"/>
            <w:hideMark/>
          </w:tcPr>
          <w:p w14:paraId="68AE2CCE" w14:textId="438C4AA6"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7CF9C11C" w14:textId="77777777" w:rsidR="00AE25B4" w:rsidRPr="00AE25B4" w:rsidRDefault="00AE25B4" w:rsidP="00141F01">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bottom"/>
            <w:hideMark/>
          </w:tcPr>
          <w:p w14:paraId="14724D0E" w14:textId="77777777" w:rsidR="00AE25B4" w:rsidRPr="00AE25B4" w:rsidRDefault="00AE25B4" w:rsidP="00141F01">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0002CB8F" w14:textId="77777777" w:rsidR="00AE25B4" w:rsidRPr="00AE25B4" w:rsidRDefault="00AE25B4" w:rsidP="00141F01">
            <w:pPr>
              <w:spacing w:after="0" w:line="240" w:lineRule="auto"/>
              <w:jc w:val="right"/>
              <w:rPr>
                <w:rFonts w:ascii="Arial" w:hAnsi="Arial" w:cs="Arial"/>
                <w:sz w:val="16"/>
                <w:szCs w:val="16"/>
              </w:rPr>
            </w:pPr>
          </w:p>
        </w:tc>
      </w:tr>
      <w:tr w:rsidR="00AE25B4" w:rsidRPr="00AA6563" w14:paraId="787E397E" w14:textId="77777777" w:rsidTr="00AE25B4">
        <w:trPr>
          <w:trHeight w:val="204"/>
        </w:trPr>
        <w:tc>
          <w:tcPr>
            <w:tcW w:w="2840" w:type="dxa"/>
            <w:tcBorders>
              <w:top w:val="nil"/>
              <w:left w:val="nil"/>
              <w:bottom w:val="nil"/>
              <w:right w:val="nil"/>
            </w:tcBorders>
            <w:shd w:val="clear" w:color="auto" w:fill="auto"/>
            <w:noWrap/>
            <w:vAlign w:val="center"/>
            <w:hideMark/>
          </w:tcPr>
          <w:p w14:paraId="104E1232" w14:textId="7052EDD4" w:rsidR="00AE25B4" w:rsidRPr="00AA6563" w:rsidRDefault="00AE25B4" w:rsidP="0097005A">
            <w:pPr>
              <w:spacing w:after="0" w:line="240" w:lineRule="auto"/>
              <w:ind w:left="227"/>
              <w:jc w:val="left"/>
              <w:rPr>
                <w:rFonts w:ascii="Arial" w:hAnsi="Arial" w:cs="Arial"/>
                <w:sz w:val="16"/>
                <w:szCs w:val="16"/>
              </w:rPr>
            </w:pPr>
            <w:r>
              <w:rPr>
                <w:rFonts w:ascii="Arial" w:hAnsi="Arial" w:cs="Arial"/>
                <w:sz w:val="16"/>
                <w:szCs w:val="16"/>
              </w:rPr>
              <w:t>Principal payments on lease liability</w:t>
            </w:r>
          </w:p>
        </w:tc>
        <w:tc>
          <w:tcPr>
            <w:tcW w:w="880" w:type="dxa"/>
            <w:tcBorders>
              <w:top w:val="nil"/>
              <w:left w:val="nil"/>
              <w:bottom w:val="nil"/>
              <w:right w:val="nil"/>
            </w:tcBorders>
            <w:shd w:val="clear" w:color="auto" w:fill="auto"/>
            <w:noWrap/>
            <w:vAlign w:val="bottom"/>
            <w:hideMark/>
          </w:tcPr>
          <w:p w14:paraId="1E1CB578" w14:textId="781895D9"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935</w:t>
            </w:r>
          </w:p>
        </w:tc>
        <w:tc>
          <w:tcPr>
            <w:tcW w:w="880" w:type="dxa"/>
            <w:tcBorders>
              <w:top w:val="nil"/>
              <w:left w:val="nil"/>
              <w:bottom w:val="nil"/>
              <w:right w:val="nil"/>
            </w:tcBorders>
            <w:shd w:val="clear" w:color="000000" w:fill="E6E6E6"/>
            <w:noWrap/>
            <w:vAlign w:val="bottom"/>
            <w:hideMark/>
          </w:tcPr>
          <w:p w14:paraId="4E6A8AE5" w14:textId="623993FA"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864</w:t>
            </w:r>
          </w:p>
        </w:tc>
        <w:tc>
          <w:tcPr>
            <w:tcW w:w="880" w:type="dxa"/>
            <w:tcBorders>
              <w:top w:val="nil"/>
              <w:left w:val="nil"/>
              <w:bottom w:val="nil"/>
              <w:right w:val="nil"/>
            </w:tcBorders>
            <w:shd w:val="clear" w:color="auto" w:fill="auto"/>
            <w:noWrap/>
            <w:vAlign w:val="bottom"/>
            <w:hideMark/>
          </w:tcPr>
          <w:p w14:paraId="685F45E9" w14:textId="55EEB842"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889</w:t>
            </w:r>
          </w:p>
        </w:tc>
        <w:tc>
          <w:tcPr>
            <w:tcW w:w="880" w:type="dxa"/>
            <w:tcBorders>
              <w:top w:val="nil"/>
              <w:left w:val="nil"/>
              <w:bottom w:val="nil"/>
              <w:right w:val="nil"/>
            </w:tcBorders>
            <w:shd w:val="clear" w:color="auto" w:fill="auto"/>
            <w:noWrap/>
            <w:vAlign w:val="bottom"/>
            <w:hideMark/>
          </w:tcPr>
          <w:p w14:paraId="2A09E9DE" w14:textId="421F9F08"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915</w:t>
            </w:r>
          </w:p>
        </w:tc>
        <w:tc>
          <w:tcPr>
            <w:tcW w:w="880" w:type="dxa"/>
            <w:tcBorders>
              <w:top w:val="nil"/>
              <w:left w:val="nil"/>
              <w:bottom w:val="nil"/>
              <w:right w:val="nil"/>
            </w:tcBorders>
            <w:shd w:val="clear" w:color="auto" w:fill="auto"/>
            <w:noWrap/>
            <w:vAlign w:val="bottom"/>
            <w:hideMark/>
          </w:tcPr>
          <w:p w14:paraId="595DA48A" w14:textId="5224D4B1"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1,016</w:t>
            </w:r>
          </w:p>
        </w:tc>
      </w:tr>
      <w:tr w:rsidR="00AE25B4" w:rsidRPr="00AA6563" w14:paraId="112313F1" w14:textId="77777777" w:rsidTr="00AE25B4">
        <w:trPr>
          <w:trHeight w:val="204"/>
        </w:trPr>
        <w:tc>
          <w:tcPr>
            <w:tcW w:w="2840" w:type="dxa"/>
            <w:tcBorders>
              <w:top w:val="nil"/>
              <w:left w:val="nil"/>
              <w:bottom w:val="nil"/>
              <w:right w:val="nil"/>
            </w:tcBorders>
            <w:shd w:val="clear" w:color="auto" w:fill="auto"/>
            <w:noWrap/>
            <w:vAlign w:val="center"/>
            <w:hideMark/>
          </w:tcPr>
          <w:p w14:paraId="1D707E2D" w14:textId="1F1047C4" w:rsidR="00AE25B4" w:rsidRPr="00AA6563" w:rsidRDefault="00AE25B4" w:rsidP="00AE25B4">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14:paraId="7FA5514C" w14:textId="6A005B85"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935</w:t>
            </w:r>
          </w:p>
        </w:tc>
        <w:tc>
          <w:tcPr>
            <w:tcW w:w="880" w:type="dxa"/>
            <w:tcBorders>
              <w:top w:val="single" w:sz="4" w:space="0" w:color="000000"/>
              <w:left w:val="nil"/>
              <w:bottom w:val="single" w:sz="4" w:space="0" w:color="000000"/>
              <w:right w:val="nil"/>
            </w:tcBorders>
            <w:shd w:val="clear" w:color="000000" w:fill="E6E6E6"/>
            <w:noWrap/>
            <w:vAlign w:val="bottom"/>
            <w:hideMark/>
          </w:tcPr>
          <w:p w14:paraId="042CBF5B" w14:textId="2AC3F9A0"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864</w:t>
            </w:r>
          </w:p>
        </w:tc>
        <w:tc>
          <w:tcPr>
            <w:tcW w:w="880" w:type="dxa"/>
            <w:tcBorders>
              <w:top w:val="single" w:sz="4" w:space="0" w:color="000000"/>
              <w:left w:val="nil"/>
              <w:bottom w:val="single" w:sz="4" w:space="0" w:color="000000"/>
              <w:right w:val="nil"/>
            </w:tcBorders>
            <w:shd w:val="clear" w:color="auto" w:fill="auto"/>
            <w:noWrap/>
            <w:vAlign w:val="bottom"/>
            <w:hideMark/>
          </w:tcPr>
          <w:p w14:paraId="43B5CB84" w14:textId="3B4C2FB7"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889</w:t>
            </w:r>
          </w:p>
        </w:tc>
        <w:tc>
          <w:tcPr>
            <w:tcW w:w="880" w:type="dxa"/>
            <w:tcBorders>
              <w:top w:val="single" w:sz="4" w:space="0" w:color="000000"/>
              <w:left w:val="nil"/>
              <w:bottom w:val="single" w:sz="4" w:space="0" w:color="000000"/>
              <w:right w:val="nil"/>
            </w:tcBorders>
            <w:shd w:val="clear" w:color="auto" w:fill="auto"/>
            <w:noWrap/>
            <w:vAlign w:val="bottom"/>
            <w:hideMark/>
          </w:tcPr>
          <w:p w14:paraId="304D6F68" w14:textId="74CF48FB"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915</w:t>
            </w:r>
          </w:p>
        </w:tc>
        <w:tc>
          <w:tcPr>
            <w:tcW w:w="880" w:type="dxa"/>
            <w:tcBorders>
              <w:top w:val="single" w:sz="4" w:space="0" w:color="000000"/>
              <w:left w:val="nil"/>
              <w:bottom w:val="single" w:sz="4" w:space="0" w:color="000000"/>
              <w:right w:val="nil"/>
            </w:tcBorders>
            <w:shd w:val="clear" w:color="auto" w:fill="auto"/>
            <w:noWrap/>
            <w:vAlign w:val="bottom"/>
            <w:hideMark/>
          </w:tcPr>
          <w:p w14:paraId="25B7A434" w14:textId="4F2FCCA7" w:rsidR="00AE25B4" w:rsidRPr="00AE25B4" w:rsidRDefault="00AE25B4" w:rsidP="00141F01">
            <w:pPr>
              <w:spacing w:after="0" w:line="240" w:lineRule="auto"/>
              <w:jc w:val="right"/>
              <w:rPr>
                <w:rFonts w:ascii="Arial" w:hAnsi="Arial" w:cs="Arial"/>
                <w:b/>
                <w:bCs/>
                <w:i/>
                <w:iCs/>
                <w:color w:val="000000"/>
                <w:sz w:val="16"/>
                <w:szCs w:val="16"/>
              </w:rPr>
            </w:pPr>
            <w:r w:rsidRPr="00AE25B4">
              <w:rPr>
                <w:rFonts w:ascii="Arial" w:hAnsi="Arial" w:cs="Arial"/>
                <w:b/>
                <w:bCs/>
                <w:i/>
                <w:iCs/>
                <w:color w:val="000000"/>
                <w:sz w:val="16"/>
                <w:szCs w:val="16"/>
              </w:rPr>
              <w:t>1,016</w:t>
            </w:r>
          </w:p>
        </w:tc>
      </w:tr>
      <w:tr w:rsidR="00AE25B4" w:rsidRPr="00AA6563" w14:paraId="79C4E080" w14:textId="77777777" w:rsidTr="00AE25B4">
        <w:trPr>
          <w:trHeight w:val="204"/>
        </w:trPr>
        <w:tc>
          <w:tcPr>
            <w:tcW w:w="2840" w:type="dxa"/>
            <w:tcBorders>
              <w:top w:val="nil"/>
              <w:left w:val="nil"/>
              <w:bottom w:val="nil"/>
              <w:right w:val="nil"/>
            </w:tcBorders>
            <w:shd w:val="clear" w:color="auto" w:fill="auto"/>
            <w:vAlign w:val="center"/>
            <w:hideMark/>
          </w:tcPr>
          <w:p w14:paraId="09C0CF1C" w14:textId="611368A3" w:rsidR="00AE25B4" w:rsidRPr="00AA6563" w:rsidRDefault="00AE25B4" w:rsidP="0097005A">
            <w:pPr>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w:t>
            </w:r>
            <w:r w:rsidR="0097005A">
              <w:rPr>
                <w:rFonts w:ascii="Arial" w:hAnsi="Arial" w:cs="Arial"/>
                <w:b/>
                <w:bCs/>
                <w:color w:val="000000"/>
                <w:sz w:val="16"/>
                <w:szCs w:val="16"/>
              </w:rPr>
              <w:t xml:space="preserve"> </w:t>
            </w:r>
            <w:r>
              <w:rPr>
                <w:rFonts w:ascii="Arial" w:hAnsi="Arial" w:cs="Arial"/>
                <w:b/>
                <w:bCs/>
                <w:color w:val="000000"/>
                <w:sz w:val="16"/>
                <w:szCs w:val="16"/>
              </w:rPr>
              <w:t>financing activities</w:t>
            </w:r>
          </w:p>
        </w:tc>
        <w:tc>
          <w:tcPr>
            <w:tcW w:w="880" w:type="dxa"/>
            <w:tcBorders>
              <w:top w:val="nil"/>
              <w:left w:val="nil"/>
              <w:bottom w:val="single" w:sz="4" w:space="0" w:color="000000"/>
              <w:right w:val="nil"/>
            </w:tcBorders>
            <w:shd w:val="clear" w:color="auto" w:fill="auto"/>
            <w:noWrap/>
            <w:vAlign w:val="bottom"/>
            <w:hideMark/>
          </w:tcPr>
          <w:p w14:paraId="44D60E62" w14:textId="77CB0C17"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8,623</w:t>
            </w:r>
          </w:p>
        </w:tc>
        <w:tc>
          <w:tcPr>
            <w:tcW w:w="880" w:type="dxa"/>
            <w:tcBorders>
              <w:top w:val="nil"/>
              <w:left w:val="nil"/>
              <w:bottom w:val="single" w:sz="4" w:space="0" w:color="000000"/>
              <w:right w:val="nil"/>
            </w:tcBorders>
            <w:shd w:val="clear" w:color="000000" w:fill="E6E6E6"/>
            <w:noWrap/>
            <w:vAlign w:val="bottom"/>
            <w:hideMark/>
          </w:tcPr>
          <w:p w14:paraId="62F29BB1" w14:textId="439BBE00"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8,702</w:t>
            </w:r>
          </w:p>
        </w:tc>
        <w:tc>
          <w:tcPr>
            <w:tcW w:w="880" w:type="dxa"/>
            <w:tcBorders>
              <w:top w:val="nil"/>
              <w:left w:val="nil"/>
              <w:bottom w:val="single" w:sz="4" w:space="0" w:color="000000"/>
              <w:right w:val="nil"/>
            </w:tcBorders>
            <w:shd w:val="clear" w:color="auto" w:fill="auto"/>
            <w:noWrap/>
            <w:vAlign w:val="bottom"/>
            <w:hideMark/>
          </w:tcPr>
          <w:p w14:paraId="104BCA31" w14:textId="48D4D25A"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8,733</w:t>
            </w:r>
          </w:p>
        </w:tc>
        <w:tc>
          <w:tcPr>
            <w:tcW w:w="880" w:type="dxa"/>
            <w:tcBorders>
              <w:top w:val="nil"/>
              <w:left w:val="nil"/>
              <w:bottom w:val="single" w:sz="4" w:space="0" w:color="000000"/>
              <w:right w:val="nil"/>
            </w:tcBorders>
            <w:shd w:val="clear" w:color="auto" w:fill="auto"/>
            <w:noWrap/>
            <w:vAlign w:val="bottom"/>
            <w:hideMark/>
          </w:tcPr>
          <w:p w14:paraId="46987B10" w14:textId="2796A40F"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8,765</w:t>
            </w:r>
          </w:p>
        </w:tc>
        <w:tc>
          <w:tcPr>
            <w:tcW w:w="880" w:type="dxa"/>
            <w:tcBorders>
              <w:top w:val="nil"/>
              <w:left w:val="nil"/>
              <w:bottom w:val="single" w:sz="4" w:space="0" w:color="000000"/>
              <w:right w:val="nil"/>
            </w:tcBorders>
            <w:shd w:val="clear" w:color="auto" w:fill="auto"/>
            <w:noWrap/>
            <w:vAlign w:val="bottom"/>
            <w:hideMark/>
          </w:tcPr>
          <w:p w14:paraId="62B5F6AB" w14:textId="5920935D"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8,739</w:t>
            </w:r>
          </w:p>
        </w:tc>
      </w:tr>
      <w:tr w:rsidR="00AE25B4" w:rsidRPr="00AA6563" w14:paraId="51FC39B6" w14:textId="77777777" w:rsidTr="00AE25B4">
        <w:trPr>
          <w:trHeight w:val="204"/>
        </w:trPr>
        <w:tc>
          <w:tcPr>
            <w:tcW w:w="2840" w:type="dxa"/>
            <w:tcBorders>
              <w:top w:val="nil"/>
              <w:left w:val="nil"/>
              <w:bottom w:val="nil"/>
              <w:right w:val="nil"/>
            </w:tcBorders>
            <w:shd w:val="clear" w:color="auto" w:fill="auto"/>
            <w:vAlign w:val="center"/>
            <w:hideMark/>
          </w:tcPr>
          <w:p w14:paraId="10E57B4D" w14:textId="5F538167" w:rsidR="00AE25B4" w:rsidRPr="00AA6563" w:rsidRDefault="00AE25B4" w:rsidP="0097005A">
            <w:pPr>
              <w:spacing w:after="0" w:line="240" w:lineRule="auto"/>
              <w:jc w:val="left"/>
              <w:rPr>
                <w:rFonts w:ascii="Arial" w:hAnsi="Arial" w:cs="Arial"/>
                <w:b/>
                <w:bCs/>
                <w:color w:val="000000"/>
                <w:sz w:val="16"/>
                <w:szCs w:val="16"/>
              </w:rPr>
            </w:pPr>
            <w:r>
              <w:rPr>
                <w:rFonts w:ascii="Arial" w:hAnsi="Arial" w:cs="Arial"/>
                <w:b/>
                <w:bCs/>
                <w:color w:val="000000"/>
                <w:sz w:val="16"/>
                <w:szCs w:val="16"/>
              </w:rPr>
              <w:t>Net increase/(decrease) in cash</w:t>
            </w:r>
            <w:r w:rsidR="0097005A">
              <w:rPr>
                <w:rFonts w:ascii="Arial" w:hAnsi="Arial" w:cs="Arial"/>
                <w:b/>
                <w:bCs/>
                <w:color w:val="000000"/>
                <w:sz w:val="16"/>
                <w:szCs w:val="16"/>
              </w:rPr>
              <w:t xml:space="preserve"> </w:t>
            </w:r>
            <w:r>
              <w:rPr>
                <w:rFonts w:ascii="Arial" w:hAnsi="Arial" w:cs="Arial"/>
                <w:b/>
                <w:bCs/>
                <w:color w:val="000000"/>
                <w:sz w:val="16"/>
                <w:szCs w:val="16"/>
              </w:rPr>
              <w:t>held</w:t>
            </w:r>
          </w:p>
        </w:tc>
        <w:tc>
          <w:tcPr>
            <w:tcW w:w="880" w:type="dxa"/>
            <w:tcBorders>
              <w:top w:val="nil"/>
              <w:left w:val="nil"/>
              <w:bottom w:val="single" w:sz="4" w:space="0" w:color="000000"/>
              <w:right w:val="nil"/>
            </w:tcBorders>
            <w:shd w:val="clear" w:color="auto" w:fill="auto"/>
            <w:noWrap/>
            <w:vAlign w:val="bottom"/>
            <w:hideMark/>
          </w:tcPr>
          <w:p w14:paraId="4EB7E28F" w14:textId="344E455C"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(4,682)</w:t>
            </w:r>
          </w:p>
        </w:tc>
        <w:tc>
          <w:tcPr>
            <w:tcW w:w="880" w:type="dxa"/>
            <w:tcBorders>
              <w:top w:val="nil"/>
              <w:left w:val="nil"/>
              <w:bottom w:val="single" w:sz="4" w:space="0" w:color="000000"/>
              <w:right w:val="nil"/>
            </w:tcBorders>
            <w:shd w:val="clear" w:color="000000" w:fill="E6E6E6"/>
            <w:noWrap/>
            <w:vAlign w:val="bottom"/>
            <w:hideMark/>
          </w:tcPr>
          <w:p w14:paraId="7F7B5A84" w14:textId="3C94E8F0"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(64)</w:t>
            </w:r>
          </w:p>
        </w:tc>
        <w:tc>
          <w:tcPr>
            <w:tcW w:w="880" w:type="dxa"/>
            <w:tcBorders>
              <w:top w:val="nil"/>
              <w:left w:val="nil"/>
              <w:bottom w:val="single" w:sz="4" w:space="0" w:color="000000"/>
              <w:right w:val="nil"/>
            </w:tcBorders>
            <w:shd w:val="clear" w:color="auto" w:fill="auto"/>
            <w:noWrap/>
            <w:vAlign w:val="bottom"/>
            <w:hideMark/>
          </w:tcPr>
          <w:p w14:paraId="3A4C809A" w14:textId="51C22E4D"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w:t>
            </w:r>
          </w:p>
        </w:tc>
        <w:tc>
          <w:tcPr>
            <w:tcW w:w="880" w:type="dxa"/>
            <w:tcBorders>
              <w:top w:val="nil"/>
              <w:left w:val="nil"/>
              <w:bottom w:val="single" w:sz="4" w:space="0" w:color="000000"/>
              <w:right w:val="nil"/>
            </w:tcBorders>
            <w:shd w:val="clear" w:color="000000" w:fill="FFFFFF"/>
            <w:noWrap/>
            <w:vAlign w:val="bottom"/>
            <w:hideMark/>
          </w:tcPr>
          <w:p w14:paraId="23EE5728" w14:textId="21771FCF"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w:t>
            </w:r>
          </w:p>
        </w:tc>
        <w:tc>
          <w:tcPr>
            <w:tcW w:w="880" w:type="dxa"/>
            <w:tcBorders>
              <w:top w:val="nil"/>
              <w:left w:val="nil"/>
              <w:bottom w:val="single" w:sz="4" w:space="0" w:color="000000"/>
              <w:right w:val="nil"/>
            </w:tcBorders>
            <w:shd w:val="clear" w:color="000000" w:fill="FFFFFF"/>
            <w:noWrap/>
            <w:vAlign w:val="bottom"/>
            <w:hideMark/>
          </w:tcPr>
          <w:p w14:paraId="099270C0" w14:textId="720C07E3" w:rsidR="00AE25B4" w:rsidRPr="00AE25B4" w:rsidRDefault="00AE25B4" w:rsidP="00141F01">
            <w:pPr>
              <w:spacing w:after="0" w:line="240" w:lineRule="auto"/>
              <w:jc w:val="right"/>
              <w:rPr>
                <w:rFonts w:ascii="Arial" w:hAnsi="Arial" w:cs="Arial"/>
                <w:b/>
                <w:bCs/>
                <w:color w:val="000000"/>
                <w:sz w:val="16"/>
                <w:szCs w:val="16"/>
              </w:rPr>
            </w:pPr>
            <w:r w:rsidRPr="00AE25B4">
              <w:rPr>
                <w:rFonts w:ascii="Arial" w:hAnsi="Arial" w:cs="Arial"/>
                <w:b/>
                <w:bCs/>
                <w:color w:val="000000"/>
                <w:sz w:val="16"/>
                <w:szCs w:val="16"/>
              </w:rPr>
              <w:t>-</w:t>
            </w:r>
          </w:p>
        </w:tc>
      </w:tr>
      <w:tr w:rsidR="00AE25B4" w:rsidRPr="00AA6563" w14:paraId="3B177A23" w14:textId="77777777" w:rsidTr="00AE25B4">
        <w:trPr>
          <w:trHeight w:val="204"/>
        </w:trPr>
        <w:tc>
          <w:tcPr>
            <w:tcW w:w="2840" w:type="dxa"/>
            <w:tcBorders>
              <w:top w:val="nil"/>
              <w:left w:val="nil"/>
              <w:bottom w:val="nil"/>
              <w:right w:val="nil"/>
            </w:tcBorders>
            <w:shd w:val="clear" w:color="auto" w:fill="auto"/>
            <w:vAlign w:val="center"/>
            <w:hideMark/>
          </w:tcPr>
          <w:p w14:paraId="543ECB4A" w14:textId="0D554CA5" w:rsidR="00AE25B4" w:rsidRPr="00AA6563" w:rsidRDefault="00AE25B4" w:rsidP="007E1EA3">
            <w:pPr>
              <w:spacing w:before="60" w:after="0" w:line="240" w:lineRule="auto"/>
              <w:jc w:val="left"/>
              <w:rPr>
                <w:rFonts w:ascii="Arial" w:hAnsi="Arial" w:cs="Arial"/>
                <w:color w:val="000000"/>
                <w:sz w:val="16"/>
                <w:szCs w:val="16"/>
              </w:rPr>
            </w:pPr>
            <w:r>
              <w:rPr>
                <w:rFonts w:ascii="Arial" w:hAnsi="Arial" w:cs="Arial"/>
                <w:color w:val="000000"/>
                <w:sz w:val="16"/>
                <w:szCs w:val="16"/>
              </w:rPr>
              <w:t>Cash and cash equivalents at the</w:t>
            </w:r>
            <w:r w:rsidR="0097005A">
              <w:rPr>
                <w:rFonts w:ascii="Arial" w:hAnsi="Arial" w:cs="Arial"/>
                <w:color w:val="000000"/>
                <w:sz w:val="16"/>
                <w:szCs w:val="16"/>
              </w:rPr>
              <w:t xml:space="preserve"> </w:t>
            </w:r>
            <w:r>
              <w:rPr>
                <w:rFonts w:ascii="Arial" w:hAnsi="Arial" w:cs="Arial"/>
                <w:color w:val="000000"/>
                <w:sz w:val="16"/>
                <w:szCs w:val="16"/>
              </w:rPr>
              <w:t>beginning of the reporting period</w:t>
            </w:r>
          </w:p>
        </w:tc>
        <w:tc>
          <w:tcPr>
            <w:tcW w:w="880" w:type="dxa"/>
            <w:tcBorders>
              <w:top w:val="nil"/>
              <w:left w:val="nil"/>
              <w:bottom w:val="nil"/>
              <w:right w:val="nil"/>
            </w:tcBorders>
            <w:shd w:val="clear" w:color="auto" w:fill="auto"/>
            <w:noWrap/>
            <w:vAlign w:val="bottom"/>
            <w:hideMark/>
          </w:tcPr>
          <w:p w14:paraId="0809BD5D" w14:textId="52977870"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13,287</w:t>
            </w:r>
          </w:p>
        </w:tc>
        <w:tc>
          <w:tcPr>
            <w:tcW w:w="880" w:type="dxa"/>
            <w:tcBorders>
              <w:top w:val="nil"/>
              <w:left w:val="nil"/>
              <w:bottom w:val="nil"/>
              <w:right w:val="nil"/>
            </w:tcBorders>
            <w:shd w:val="clear" w:color="000000" w:fill="E6E6E6"/>
            <w:noWrap/>
            <w:vAlign w:val="bottom"/>
            <w:hideMark/>
          </w:tcPr>
          <w:p w14:paraId="78B24657" w14:textId="17F44CF6"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8,605</w:t>
            </w:r>
          </w:p>
        </w:tc>
        <w:tc>
          <w:tcPr>
            <w:tcW w:w="880" w:type="dxa"/>
            <w:tcBorders>
              <w:top w:val="nil"/>
              <w:left w:val="nil"/>
              <w:bottom w:val="nil"/>
              <w:right w:val="nil"/>
            </w:tcBorders>
            <w:shd w:val="clear" w:color="auto" w:fill="auto"/>
            <w:noWrap/>
            <w:vAlign w:val="bottom"/>
            <w:hideMark/>
          </w:tcPr>
          <w:p w14:paraId="6A41623A" w14:textId="12393EE7"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8,541</w:t>
            </w:r>
          </w:p>
        </w:tc>
        <w:tc>
          <w:tcPr>
            <w:tcW w:w="880" w:type="dxa"/>
            <w:tcBorders>
              <w:top w:val="nil"/>
              <w:left w:val="nil"/>
              <w:bottom w:val="nil"/>
              <w:right w:val="nil"/>
            </w:tcBorders>
            <w:shd w:val="clear" w:color="auto" w:fill="auto"/>
            <w:noWrap/>
            <w:vAlign w:val="bottom"/>
            <w:hideMark/>
          </w:tcPr>
          <w:p w14:paraId="69623731" w14:textId="392EECF9"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8,541</w:t>
            </w:r>
          </w:p>
        </w:tc>
        <w:tc>
          <w:tcPr>
            <w:tcW w:w="880" w:type="dxa"/>
            <w:tcBorders>
              <w:top w:val="nil"/>
              <w:left w:val="nil"/>
              <w:bottom w:val="nil"/>
              <w:right w:val="nil"/>
            </w:tcBorders>
            <w:shd w:val="clear" w:color="auto" w:fill="auto"/>
            <w:noWrap/>
            <w:vAlign w:val="bottom"/>
            <w:hideMark/>
          </w:tcPr>
          <w:p w14:paraId="77EC30C2" w14:textId="5845EA1E" w:rsidR="00AE25B4" w:rsidRPr="00AE25B4" w:rsidRDefault="00AE25B4" w:rsidP="00141F01">
            <w:pPr>
              <w:spacing w:after="0" w:line="240" w:lineRule="auto"/>
              <w:jc w:val="right"/>
              <w:rPr>
                <w:rFonts w:ascii="Arial" w:hAnsi="Arial" w:cs="Arial"/>
                <w:color w:val="000000"/>
                <w:sz w:val="16"/>
                <w:szCs w:val="16"/>
              </w:rPr>
            </w:pPr>
            <w:r w:rsidRPr="00AE25B4">
              <w:rPr>
                <w:rFonts w:ascii="Arial" w:hAnsi="Arial" w:cs="Arial"/>
                <w:color w:val="000000"/>
                <w:sz w:val="16"/>
                <w:szCs w:val="16"/>
              </w:rPr>
              <w:t>8,541</w:t>
            </w:r>
          </w:p>
        </w:tc>
      </w:tr>
      <w:tr w:rsidR="00AE25B4" w:rsidRPr="00AA6563" w14:paraId="374B569A" w14:textId="77777777" w:rsidTr="00AE25B4">
        <w:trPr>
          <w:trHeight w:val="204"/>
        </w:trPr>
        <w:tc>
          <w:tcPr>
            <w:tcW w:w="2840" w:type="dxa"/>
            <w:tcBorders>
              <w:top w:val="nil"/>
              <w:left w:val="nil"/>
              <w:bottom w:val="single" w:sz="4" w:space="0" w:color="auto"/>
              <w:right w:val="nil"/>
            </w:tcBorders>
            <w:shd w:val="clear" w:color="auto" w:fill="auto"/>
            <w:vAlign w:val="center"/>
            <w:hideMark/>
          </w:tcPr>
          <w:p w14:paraId="0EB56DB4" w14:textId="2845468B" w:rsidR="00AE25B4" w:rsidRPr="00AA6563" w:rsidRDefault="00AE25B4" w:rsidP="0097005A">
            <w:pPr>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w:t>
            </w:r>
            <w:r w:rsidR="0097005A">
              <w:rPr>
                <w:rFonts w:ascii="Arial" w:hAnsi="Arial" w:cs="Arial"/>
                <w:b/>
                <w:bCs/>
                <w:color w:val="000000"/>
                <w:sz w:val="16"/>
                <w:szCs w:val="16"/>
              </w:rPr>
              <w:t xml:space="preserve"> </w:t>
            </w:r>
            <w:r>
              <w:rPr>
                <w:rFonts w:ascii="Arial" w:hAnsi="Arial" w:cs="Arial"/>
                <w:b/>
                <w:bCs/>
                <w:color w:val="000000"/>
                <w:sz w:val="16"/>
                <w:szCs w:val="16"/>
              </w:rPr>
              <w:t>the end of the reporting period</w:t>
            </w:r>
          </w:p>
        </w:tc>
        <w:tc>
          <w:tcPr>
            <w:tcW w:w="880" w:type="dxa"/>
            <w:tcBorders>
              <w:top w:val="single" w:sz="4" w:space="0" w:color="000000"/>
              <w:left w:val="nil"/>
              <w:bottom w:val="single" w:sz="4" w:space="0" w:color="auto"/>
              <w:right w:val="nil"/>
            </w:tcBorders>
            <w:shd w:val="clear" w:color="auto" w:fill="auto"/>
            <w:noWrap/>
            <w:vAlign w:val="bottom"/>
            <w:hideMark/>
          </w:tcPr>
          <w:p w14:paraId="613E55D3" w14:textId="0D335CB0" w:rsidR="00AE25B4" w:rsidRPr="00AE25B4" w:rsidRDefault="00AE25B4" w:rsidP="00141F01">
            <w:pPr>
              <w:spacing w:after="0" w:line="240" w:lineRule="auto"/>
              <w:jc w:val="right"/>
              <w:rPr>
                <w:rFonts w:ascii="Arial" w:hAnsi="Arial" w:cs="Arial"/>
                <w:b/>
                <w:color w:val="000000"/>
                <w:sz w:val="16"/>
                <w:szCs w:val="16"/>
              </w:rPr>
            </w:pPr>
            <w:r w:rsidRPr="00AE25B4">
              <w:rPr>
                <w:rFonts w:ascii="Arial" w:hAnsi="Arial" w:cs="Arial"/>
                <w:b/>
                <w:color w:val="000000"/>
                <w:sz w:val="16"/>
                <w:szCs w:val="16"/>
              </w:rPr>
              <w:t>8,605</w:t>
            </w:r>
          </w:p>
        </w:tc>
        <w:tc>
          <w:tcPr>
            <w:tcW w:w="880" w:type="dxa"/>
            <w:tcBorders>
              <w:top w:val="single" w:sz="4" w:space="0" w:color="000000"/>
              <w:left w:val="nil"/>
              <w:bottom w:val="single" w:sz="4" w:space="0" w:color="auto"/>
              <w:right w:val="nil"/>
            </w:tcBorders>
            <w:shd w:val="clear" w:color="000000" w:fill="E6E6E6"/>
            <w:noWrap/>
            <w:vAlign w:val="bottom"/>
            <w:hideMark/>
          </w:tcPr>
          <w:p w14:paraId="2F6F6BC6" w14:textId="067792F9" w:rsidR="00AE25B4" w:rsidRPr="00AE25B4" w:rsidRDefault="00AE25B4" w:rsidP="00141F01">
            <w:pPr>
              <w:spacing w:after="0" w:line="240" w:lineRule="auto"/>
              <w:jc w:val="right"/>
              <w:rPr>
                <w:rFonts w:ascii="Arial" w:hAnsi="Arial" w:cs="Arial"/>
                <w:b/>
                <w:color w:val="000000"/>
                <w:sz w:val="16"/>
                <w:szCs w:val="16"/>
              </w:rPr>
            </w:pPr>
            <w:r w:rsidRPr="00AE25B4">
              <w:rPr>
                <w:rFonts w:ascii="Arial" w:hAnsi="Arial" w:cs="Arial"/>
                <w:b/>
                <w:color w:val="000000"/>
                <w:sz w:val="16"/>
                <w:szCs w:val="16"/>
              </w:rPr>
              <w:t>8,541</w:t>
            </w:r>
          </w:p>
        </w:tc>
        <w:tc>
          <w:tcPr>
            <w:tcW w:w="880" w:type="dxa"/>
            <w:tcBorders>
              <w:top w:val="single" w:sz="4" w:space="0" w:color="000000"/>
              <w:left w:val="nil"/>
              <w:bottom w:val="single" w:sz="4" w:space="0" w:color="auto"/>
              <w:right w:val="nil"/>
            </w:tcBorders>
            <w:shd w:val="clear" w:color="auto" w:fill="auto"/>
            <w:noWrap/>
            <w:vAlign w:val="bottom"/>
            <w:hideMark/>
          </w:tcPr>
          <w:p w14:paraId="608668E3" w14:textId="344E156D" w:rsidR="00AE25B4" w:rsidRPr="00AE25B4" w:rsidRDefault="00AE25B4" w:rsidP="00141F01">
            <w:pPr>
              <w:spacing w:after="0" w:line="240" w:lineRule="auto"/>
              <w:jc w:val="right"/>
              <w:rPr>
                <w:rFonts w:ascii="Arial" w:hAnsi="Arial" w:cs="Arial"/>
                <w:b/>
                <w:color w:val="000000"/>
                <w:sz w:val="16"/>
                <w:szCs w:val="16"/>
              </w:rPr>
            </w:pPr>
            <w:r w:rsidRPr="00AE25B4">
              <w:rPr>
                <w:rFonts w:ascii="Arial" w:hAnsi="Arial" w:cs="Arial"/>
                <w:b/>
                <w:color w:val="000000"/>
                <w:sz w:val="16"/>
                <w:szCs w:val="16"/>
              </w:rPr>
              <w:t>8,541</w:t>
            </w:r>
          </w:p>
        </w:tc>
        <w:tc>
          <w:tcPr>
            <w:tcW w:w="880" w:type="dxa"/>
            <w:tcBorders>
              <w:top w:val="single" w:sz="4" w:space="0" w:color="000000"/>
              <w:left w:val="nil"/>
              <w:bottom w:val="single" w:sz="4" w:space="0" w:color="auto"/>
              <w:right w:val="nil"/>
            </w:tcBorders>
            <w:shd w:val="clear" w:color="auto" w:fill="auto"/>
            <w:noWrap/>
            <w:vAlign w:val="bottom"/>
            <w:hideMark/>
          </w:tcPr>
          <w:p w14:paraId="1F72C421" w14:textId="3298CE91" w:rsidR="00AE25B4" w:rsidRPr="00AE25B4" w:rsidRDefault="00AE25B4" w:rsidP="00141F01">
            <w:pPr>
              <w:spacing w:after="0" w:line="240" w:lineRule="auto"/>
              <w:jc w:val="right"/>
              <w:rPr>
                <w:rFonts w:ascii="Arial" w:hAnsi="Arial" w:cs="Arial"/>
                <w:b/>
                <w:color w:val="000000"/>
                <w:sz w:val="16"/>
                <w:szCs w:val="16"/>
              </w:rPr>
            </w:pPr>
            <w:r w:rsidRPr="00AE25B4">
              <w:rPr>
                <w:rFonts w:ascii="Arial" w:hAnsi="Arial" w:cs="Arial"/>
                <w:b/>
                <w:color w:val="000000"/>
                <w:sz w:val="16"/>
                <w:szCs w:val="16"/>
              </w:rPr>
              <w:t>8,541</w:t>
            </w:r>
          </w:p>
        </w:tc>
        <w:tc>
          <w:tcPr>
            <w:tcW w:w="880" w:type="dxa"/>
            <w:tcBorders>
              <w:top w:val="single" w:sz="4" w:space="0" w:color="000000"/>
              <w:left w:val="nil"/>
              <w:bottom w:val="single" w:sz="4" w:space="0" w:color="auto"/>
              <w:right w:val="nil"/>
            </w:tcBorders>
            <w:shd w:val="clear" w:color="auto" w:fill="auto"/>
            <w:noWrap/>
            <w:vAlign w:val="bottom"/>
            <w:hideMark/>
          </w:tcPr>
          <w:p w14:paraId="10DADC8A" w14:textId="2B394D98" w:rsidR="00AE25B4" w:rsidRPr="00AE25B4" w:rsidRDefault="00AE25B4" w:rsidP="00141F01">
            <w:pPr>
              <w:spacing w:after="0" w:line="240" w:lineRule="auto"/>
              <w:jc w:val="right"/>
              <w:rPr>
                <w:rFonts w:ascii="Arial" w:hAnsi="Arial" w:cs="Arial"/>
                <w:b/>
                <w:color w:val="000000"/>
                <w:sz w:val="16"/>
                <w:szCs w:val="16"/>
              </w:rPr>
            </w:pPr>
            <w:r w:rsidRPr="00AE25B4">
              <w:rPr>
                <w:rFonts w:ascii="Arial" w:hAnsi="Arial" w:cs="Arial"/>
                <w:b/>
                <w:color w:val="000000"/>
                <w:sz w:val="16"/>
                <w:szCs w:val="16"/>
              </w:rPr>
              <w:t>8,541</w:t>
            </w:r>
          </w:p>
        </w:tc>
      </w:tr>
    </w:tbl>
    <w:p w14:paraId="4A97D9A1" w14:textId="77777777" w:rsidR="00AE25B4" w:rsidRDefault="00AE25B4">
      <w:pPr>
        <w:spacing w:after="0" w:line="240" w:lineRule="auto"/>
        <w:jc w:val="left"/>
        <w:rPr>
          <w:rFonts w:ascii="Arial" w:hAnsi="Arial"/>
          <w:b/>
          <w:snapToGrid w:val="0"/>
          <w:lang w:val="x-none"/>
        </w:rPr>
      </w:pPr>
      <w:r>
        <w:rPr>
          <w:snapToGrid w:val="0"/>
        </w:rPr>
        <w:br w:type="page"/>
      </w:r>
    </w:p>
    <w:p w14:paraId="4F00E965" w14:textId="661D6006" w:rsidR="00914885" w:rsidRDefault="00914885" w:rsidP="00914885">
      <w:pPr>
        <w:pStyle w:val="TableHeading"/>
        <w:spacing w:before="0"/>
        <w:rPr>
          <w:lang w:val="en-AU"/>
        </w:rPr>
      </w:pPr>
      <w:r>
        <w:rPr>
          <w:snapToGrid w:val="0"/>
        </w:rPr>
        <w:lastRenderedPageBreak/>
        <w:t>Table 3.6:</w:t>
      </w:r>
      <w:r w:rsidRPr="00014438">
        <w:rPr>
          <w:snapToGrid w:val="0"/>
        </w:rPr>
        <w:t xml:space="preserve"> </w:t>
      </w:r>
      <w:r w:rsidR="008863D9">
        <w:rPr>
          <w:snapToGrid w:val="0"/>
          <w:lang w:val="en-AU"/>
        </w:rPr>
        <w:t>Department</w:t>
      </w:r>
      <w:r>
        <w:rPr>
          <w:snapToGrid w:val="0"/>
          <w:lang w:val="en-AU"/>
        </w:rPr>
        <w:t xml:space="preserve">al </w:t>
      </w:r>
      <w:r w:rsidRPr="00014438">
        <w:rPr>
          <w:snapToGrid w:val="0"/>
        </w:rPr>
        <w:t>capital budget statement</w:t>
      </w:r>
      <w:r>
        <w:rPr>
          <w:snapToGrid w:val="0"/>
          <w:lang w:val="en-AU"/>
        </w:rPr>
        <w:t xml:space="preserve"> (for the period ended 30 June)</w:t>
      </w:r>
      <w:r w:rsidRPr="008D4221">
        <w:rPr>
          <w:b w:val="0"/>
          <w:snapToGrid w:val="0"/>
        </w:rPr>
        <w:t xml:space="preserve"> </w:t>
      </w:r>
    </w:p>
    <w:tbl>
      <w:tblPr>
        <w:tblW w:w="7708" w:type="dxa"/>
        <w:tblLook w:val="04A0" w:firstRow="1" w:lastRow="0" w:firstColumn="1" w:lastColumn="0" w:noHBand="0" w:noVBand="1"/>
      </w:tblPr>
      <w:tblGrid>
        <w:gridCol w:w="3319"/>
        <w:gridCol w:w="934"/>
        <w:gridCol w:w="992"/>
        <w:gridCol w:w="821"/>
        <w:gridCol w:w="821"/>
        <w:gridCol w:w="821"/>
      </w:tblGrid>
      <w:tr w:rsidR="00AE25B4" w:rsidRPr="00AE25B4" w14:paraId="1C986BAC" w14:textId="77777777" w:rsidTr="007E1EA3">
        <w:trPr>
          <w:trHeight w:val="167"/>
        </w:trPr>
        <w:tc>
          <w:tcPr>
            <w:tcW w:w="3319" w:type="dxa"/>
            <w:tcBorders>
              <w:top w:val="single" w:sz="4" w:space="0" w:color="auto"/>
              <w:left w:val="nil"/>
              <w:bottom w:val="nil"/>
              <w:right w:val="nil"/>
            </w:tcBorders>
            <w:shd w:val="clear" w:color="auto" w:fill="auto"/>
            <w:noWrap/>
            <w:hideMark/>
          </w:tcPr>
          <w:p w14:paraId="3B41CF9A" w14:textId="77777777" w:rsidR="00AE25B4" w:rsidRPr="00AE25B4" w:rsidRDefault="00AE25B4" w:rsidP="00AE25B4">
            <w:pPr>
              <w:spacing w:after="0" w:line="240" w:lineRule="auto"/>
              <w:jc w:val="left"/>
              <w:rPr>
                <w:rFonts w:ascii="Arial" w:hAnsi="Arial" w:cs="Arial"/>
                <w:b/>
                <w:bCs/>
                <w:sz w:val="16"/>
                <w:szCs w:val="16"/>
              </w:rPr>
            </w:pPr>
            <w:r w:rsidRPr="00AE25B4">
              <w:rPr>
                <w:rFonts w:ascii="Arial" w:hAnsi="Arial" w:cs="Arial"/>
                <w:b/>
                <w:bCs/>
                <w:sz w:val="16"/>
                <w:szCs w:val="16"/>
              </w:rPr>
              <w:t> </w:t>
            </w:r>
          </w:p>
        </w:tc>
        <w:tc>
          <w:tcPr>
            <w:tcW w:w="934" w:type="dxa"/>
            <w:tcBorders>
              <w:top w:val="single" w:sz="4" w:space="0" w:color="auto"/>
              <w:left w:val="nil"/>
              <w:bottom w:val="single" w:sz="4" w:space="0" w:color="auto"/>
              <w:right w:val="nil"/>
            </w:tcBorders>
            <w:shd w:val="clear" w:color="auto" w:fill="auto"/>
            <w:hideMark/>
          </w:tcPr>
          <w:p w14:paraId="66C6104C" w14:textId="77777777" w:rsidR="00AE25B4" w:rsidRPr="00AE25B4" w:rsidRDefault="00AE25B4" w:rsidP="00AE25B4">
            <w:pPr>
              <w:spacing w:after="0" w:line="240" w:lineRule="auto"/>
              <w:jc w:val="right"/>
              <w:rPr>
                <w:rFonts w:ascii="Arial" w:hAnsi="Arial" w:cs="Arial"/>
                <w:sz w:val="16"/>
                <w:szCs w:val="16"/>
              </w:rPr>
            </w:pPr>
            <w:r w:rsidRPr="00AE25B4">
              <w:rPr>
                <w:rFonts w:ascii="Arial" w:hAnsi="Arial" w:cs="Arial"/>
                <w:sz w:val="16"/>
                <w:szCs w:val="16"/>
              </w:rPr>
              <w:t>2020-21 Actual</w:t>
            </w:r>
            <w:r w:rsidRPr="00AE25B4">
              <w:rPr>
                <w:rFonts w:ascii="Arial" w:hAnsi="Arial" w:cs="Arial"/>
                <w:sz w:val="16"/>
                <w:szCs w:val="16"/>
              </w:rPr>
              <w:br/>
            </w:r>
            <w:r w:rsidRPr="00AE25B4">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000000" w:fill="E6E6E6"/>
            <w:hideMark/>
          </w:tcPr>
          <w:p w14:paraId="576C2D24" w14:textId="77777777" w:rsidR="00AE25B4" w:rsidRPr="00AE25B4" w:rsidRDefault="00AE25B4" w:rsidP="00AE25B4">
            <w:pPr>
              <w:spacing w:after="0" w:line="240" w:lineRule="auto"/>
              <w:jc w:val="right"/>
              <w:rPr>
                <w:rFonts w:ascii="Arial" w:hAnsi="Arial" w:cs="Arial"/>
                <w:sz w:val="16"/>
                <w:szCs w:val="16"/>
              </w:rPr>
            </w:pPr>
            <w:r w:rsidRPr="00AE25B4">
              <w:rPr>
                <w:rFonts w:ascii="Arial" w:hAnsi="Arial" w:cs="Arial"/>
                <w:sz w:val="16"/>
                <w:szCs w:val="16"/>
              </w:rPr>
              <w:t>2021-22</w:t>
            </w:r>
            <w:r w:rsidRPr="00AE25B4">
              <w:rPr>
                <w:rFonts w:ascii="Arial" w:hAnsi="Arial" w:cs="Arial"/>
                <w:sz w:val="16"/>
                <w:szCs w:val="16"/>
              </w:rPr>
              <w:br/>
              <w:t>Revised Budget</w:t>
            </w:r>
            <w:r w:rsidRPr="00AE25B4">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6C0CAFBE" w14:textId="77777777" w:rsidR="00AE25B4" w:rsidRPr="00AE25B4" w:rsidRDefault="00AE25B4" w:rsidP="00AE25B4">
            <w:pPr>
              <w:spacing w:after="0" w:line="240" w:lineRule="auto"/>
              <w:jc w:val="right"/>
              <w:rPr>
                <w:rFonts w:ascii="Arial" w:hAnsi="Arial" w:cs="Arial"/>
                <w:sz w:val="16"/>
                <w:szCs w:val="16"/>
              </w:rPr>
            </w:pPr>
            <w:r w:rsidRPr="00AE25B4">
              <w:rPr>
                <w:rFonts w:ascii="Arial" w:hAnsi="Arial" w:cs="Arial"/>
                <w:sz w:val="16"/>
                <w:szCs w:val="16"/>
              </w:rPr>
              <w:t>2022-23 Forward estimate</w:t>
            </w:r>
            <w:r w:rsidRPr="00AE25B4">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3DBEFAEB" w14:textId="77777777" w:rsidR="00AE25B4" w:rsidRPr="00AE25B4" w:rsidRDefault="00AE25B4" w:rsidP="00AE25B4">
            <w:pPr>
              <w:spacing w:after="0" w:line="240" w:lineRule="auto"/>
              <w:jc w:val="right"/>
              <w:rPr>
                <w:rFonts w:ascii="Arial" w:hAnsi="Arial" w:cs="Arial"/>
                <w:sz w:val="16"/>
                <w:szCs w:val="16"/>
              </w:rPr>
            </w:pPr>
            <w:r w:rsidRPr="00AE25B4">
              <w:rPr>
                <w:rFonts w:ascii="Arial" w:hAnsi="Arial" w:cs="Arial"/>
                <w:sz w:val="16"/>
                <w:szCs w:val="16"/>
              </w:rPr>
              <w:t>2023-24 Forward estimate</w:t>
            </w:r>
            <w:r w:rsidRPr="00AE25B4">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62ACDC9D" w14:textId="77777777" w:rsidR="00AE25B4" w:rsidRPr="00AE25B4" w:rsidRDefault="00AE25B4" w:rsidP="00AE25B4">
            <w:pPr>
              <w:spacing w:after="0" w:line="240" w:lineRule="auto"/>
              <w:jc w:val="right"/>
              <w:rPr>
                <w:rFonts w:ascii="Arial" w:hAnsi="Arial" w:cs="Arial"/>
                <w:sz w:val="16"/>
                <w:szCs w:val="16"/>
              </w:rPr>
            </w:pPr>
            <w:r w:rsidRPr="00AE25B4">
              <w:rPr>
                <w:rFonts w:ascii="Arial" w:hAnsi="Arial" w:cs="Arial"/>
                <w:sz w:val="16"/>
                <w:szCs w:val="16"/>
              </w:rPr>
              <w:t>2024-25</w:t>
            </w:r>
            <w:r w:rsidRPr="00AE25B4">
              <w:rPr>
                <w:rFonts w:ascii="Arial" w:hAnsi="Arial" w:cs="Arial"/>
                <w:sz w:val="16"/>
                <w:szCs w:val="16"/>
              </w:rPr>
              <w:br/>
              <w:t>Forward estimate</w:t>
            </w:r>
            <w:r w:rsidRPr="00AE25B4">
              <w:rPr>
                <w:rFonts w:ascii="Arial" w:hAnsi="Arial" w:cs="Arial"/>
                <w:sz w:val="16"/>
                <w:szCs w:val="16"/>
              </w:rPr>
              <w:br/>
              <w:t>$'000</w:t>
            </w:r>
          </w:p>
        </w:tc>
      </w:tr>
      <w:tr w:rsidR="00AE25B4" w:rsidRPr="00AE25B4" w14:paraId="2B5AA4DE" w14:textId="77777777" w:rsidTr="00AE25B4">
        <w:trPr>
          <w:trHeight w:val="229"/>
        </w:trPr>
        <w:tc>
          <w:tcPr>
            <w:tcW w:w="3319" w:type="dxa"/>
            <w:tcBorders>
              <w:top w:val="nil"/>
              <w:left w:val="nil"/>
              <w:bottom w:val="nil"/>
              <w:right w:val="nil"/>
            </w:tcBorders>
            <w:shd w:val="clear" w:color="auto" w:fill="auto"/>
            <w:noWrap/>
            <w:vAlign w:val="bottom"/>
            <w:hideMark/>
          </w:tcPr>
          <w:p w14:paraId="1E6769E5" w14:textId="77777777" w:rsidR="00AE25B4" w:rsidRPr="00AE25B4" w:rsidRDefault="00AE25B4" w:rsidP="00AE25B4">
            <w:pPr>
              <w:spacing w:after="0" w:line="240" w:lineRule="auto"/>
              <w:jc w:val="left"/>
              <w:rPr>
                <w:rFonts w:ascii="Arial" w:hAnsi="Arial" w:cs="Arial"/>
                <w:b/>
                <w:bCs/>
                <w:sz w:val="16"/>
                <w:szCs w:val="16"/>
              </w:rPr>
            </w:pPr>
            <w:r w:rsidRPr="00AE25B4">
              <w:rPr>
                <w:rFonts w:ascii="Arial" w:hAnsi="Arial" w:cs="Arial"/>
                <w:b/>
                <w:bCs/>
                <w:sz w:val="16"/>
                <w:szCs w:val="16"/>
              </w:rPr>
              <w:t>NEW CAPITAL APPROPRIATIONS</w:t>
            </w:r>
          </w:p>
        </w:tc>
        <w:tc>
          <w:tcPr>
            <w:tcW w:w="934" w:type="dxa"/>
            <w:tcBorders>
              <w:top w:val="nil"/>
              <w:left w:val="nil"/>
              <w:bottom w:val="nil"/>
              <w:right w:val="nil"/>
            </w:tcBorders>
            <w:shd w:val="clear" w:color="auto" w:fill="auto"/>
            <w:noWrap/>
            <w:vAlign w:val="center"/>
            <w:hideMark/>
          </w:tcPr>
          <w:p w14:paraId="005649D1" w14:textId="77777777" w:rsidR="00AE25B4" w:rsidRPr="00AE25B4" w:rsidRDefault="00AE25B4" w:rsidP="00141F01">
            <w:pPr>
              <w:spacing w:after="0" w:line="240" w:lineRule="auto"/>
              <w:jc w:val="right"/>
              <w:rPr>
                <w:rFonts w:ascii="Arial" w:hAnsi="Arial" w:cs="Arial"/>
                <w:b/>
                <w:bCs/>
                <w:sz w:val="16"/>
                <w:szCs w:val="16"/>
              </w:rPr>
            </w:pPr>
          </w:p>
        </w:tc>
        <w:tc>
          <w:tcPr>
            <w:tcW w:w="992" w:type="dxa"/>
            <w:tcBorders>
              <w:top w:val="nil"/>
              <w:left w:val="nil"/>
              <w:bottom w:val="nil"/>
              <w:right w:val="nil"/>
            </w:tcBorders>
            <w:shd w:val="clear" w:color="000000" w:fill="E6E6E6"/>
            <w:noWrap/>
            <w:vAlign w:val="center"/>
            <w:hideMark/>
          </w:tcPr>
          <w:p w14:paraId="095A7F51" w14:textId="241CFB5D" w:rsidR="00AE25B4" w:rsidRPr="00AE25B4" w:rsidRDefault="00AE25B4" w:rsidP="00141F0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6FD2F63B" w14:textId="77777777" w:rsidR="00AE25B4" w:rsidRPr="00AE25B4" w:rsidRDefault="00AE25B4" w:rsidP="00141F0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center"/>
            <w:hideMark/>
          </w:tcPr>
          <w:p w14:paraId="0B3D194F" w14:textId="77777777" w:rsidR="00AE25B4" w:rsidRPr="00AE25B4" w:rsidRDefault="00AE25B4" w:rsidP="00141F01">
            <w:pPr>
              <w:spacing w:after="0" w:line="240" w:lineRule="auto"/>
              <w:jc w:val="right"/>
              <w:rPr>
                <w:rFonts w:ascii="Times New Roman" w:hAnsi="Times New Roman"/>
              </w:rPr>
            </w:pPr>
          </w:p>
        </w:tc>
        <w:tc>
          <w:tcPr>
            <w:tcW w:w="821" w:type="dxa"/>
            <w:tcBorders>
              <w:top w:val="nil"/>
              <w:left w:val="nil"/>
              <w:bottom w:val="nil"/>
              <w:right w:val="nil"/>
            </w:tcBorders>
            <w:shd w:val="clear" w:color="auto" w:fill="auto"/>
            <w:noWrap/>
            <w:vAlign w:val="center"/>
            <w:hideMark/>
          </w:tcPr>
          <w:p w14:paraId="420094D6" w14:textId="77777777" w:rsidR="00AE25B4" w:rsidRPr="00AE25B4" w:rsidRDefault="00AE25B4" w:rsidP="00141F01">
            <w:pPr>
              <w:spacing w:after="0" w:line="240" w:lineRule="auto"/>
              <w:jc w:val="right"/>
              <w:rPr>
                <w:rFonts w:ascii="Times New Roman" w:hAnsi="Times New Roman"/>
              </w:rPr>
            </w:pPr>
          </w:p>
        </w:tc>
      </w:tr>
      <w:tr w:rsidR="00AE25B4" w:rsidRPr="00AE25B4" w14:paraId="0138C7BD" w14:textId="77777777" w:rsidTr="00AE25B4">
        <w:trPr>
          <w:trHeight w:val="204"/>
        </w:trPr>
        <w:tc>
          <w:tcPr>
            <w:tcW w:w="3319" w:type="dxa"/>
            <w:tcBorders>
              <w:top w:val="nil"/>
              <w:left w:val="nil"/>
              <w:bottom w:val="nil"/>
              <w:right w:val="nil"/>
            </w:tcBorders>
            <w:shd w:val="clear" w:color="auto" w:fill="auto"/>
            <w:noWrap/>
            <w:vAlign w:val="center"/>
            <w:hideMark/>
          </w:tcPr>
          <w:p w14:paraId="33940457" w14:textId="7F9C8311" w:rsidR="00AE25B4" w:rsidRPr="00AE25B4" w:rsidRDefault="00AE25B4" w:rsidP="007E1EA3">
            <w:pPr>
              <w:spacing w:after="0" w:line="240" w:lineRule="auto"/>
              <w:ind w:left="113"/>
              <w:jc w:val="left"/>
              <w:rPr>
                <w:rFonts w:ascii="Arial" w:hAnsi="Arial" w:cs="Arial"/>
                <w:sz w:val="16"/>
                <w:szCs w:val="16"/>
              </w:rPr>
            </w:pPr>
            <w:r w:rsidRPr="00AE25B4">
              <w:rPr>
                <w:rFonts w:ascii="Arial" w:hAnsi="Arial" w:cs="Arial"/>
                <w:sz w:val="16"/>
                <w:szCs w:val="16"/>
              </w:rPr>
              <w:t xml:space="preserve">Equity injections - </w:t>
            </w:r>
            <w:r w:rsidR="007E1EA3">
              <w:rPr>
                <w:rFonts w:ascii="Arial" w:hAnsi="Arial" w:cs="Arial"/>
                <w:sz w:val="16"/>
                <w:szCs w:val="16"/>
              </w:rPr>
              <w:t>Bill</w:t>
            </w:r>
            <w:r w:rsidRPr="00AE25B4">
              <w:rPr>
                <w:rFonts w:ascii="Arial" w:hAnsi="Arial" w:cs="Arial"/>
                <w:sz w:val="16"/>
                <w:szCs w:val="16"/>
              </w:rPr>
              <w:t xml:space="preserve"> No</w:t>
            </w:r>
            <w:r>
              <w:rPr>
                <w:rFonts w:ascii="Arial" w:hAnsi="Arial" w:cs="Arial"/>
                <w:sz w:val="16"/>
                <w:szCs w:val="16"/>
              </w:rPr>
              <w:t xml:space="preserve">. </w:t>
            </w:r>
            <w:r w:rsidRPr="00AE25B4">
              <w:rPr>
                <w:rFonts w:ascii="Arial" w:hAnsi="Arial" w:cs="Arial"/>
                <w:sz w:val="16"/>
                <w:szCs w:val="16"/>
              </w:rPr>
              <w:t xml:space="preserve">2 </w:t>
            </w:r>
          </w:p>
        </w:tc>
        <w:tc>
          <w:tcPr>
            <w:tcW w:w="934" w:type="dxa"/>
            <w:tcBorders>
              <w:top w:val="nil"/>
              <w:left w:val="nil"/>
              <w:bottom w:val="nil"/>
              <w:right w:val="nil"/>
            </w:tcBorders>
            <w:shd w:val="clear" w:color="auto" w:fill="auto"/>
            <w:noWrap/>
            <w:vAlign w:val="bottom"/>
            <w:hideMark/>
          </w:tcPr>
          <w:p w14:paraId="50774CE1" w14:textId="3CD65DFC"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9,558</w:t>
            </w:r>
          </w:p>
        </w:tc>
        <w:tc>
          <w:tcPr>
            <w:tcW w:w="992" w:type="dxa"/>
            <w:tcBorders>
              <w:top w:val="nil"/>
              <w:left w:val="nil"/>
              <w:bottom w:val="nil"/>
              <w:right w:val="nil"/>
            </w:tcBorders>
            <w:shd w:val="clear" w:color="000000" w:fill="E6E6E6"/>
            <w:noWrap/>
            <w:vAlign w:val="bottom"/>
            <w:hideMark/>
          </w:tcPr>
          <w:p w14:paraId="0BCD3453" w14:textId="06E05981"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9,566</w:t>
            </w:r>
          </w:p>
        </w:tc>
        <w:tc>
          <w:tcPr>
            <w:tcW w:w="821" w:type="dxa"/>
            <w:tcBorders>
              <w:top w:val="nil"/>
              <w:left w:val="nil"/>
              <w:bottom w:val="nil"/>
              <w:right w:val="nil"/>
            </w:tcBorders>
            <w:shd w:val="clear" w:color="auto" w:fill="auto"/>
            <w:noWrap/>
            <w:vAlign w:val="bottom"/>
            <w:hideMark/>
          </w:tcPr>
          <w:p w14:paraId="5A5D0CCC" w14:textId="67D64BE1"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9,622</w:t>
            </w:r>
          </w:p>
        </w:tc>
        <w:tc>
          <w:tcPr>
            <w:tcW w:w="821" w:type="dxa"/>
            <w:tcBorders>
              <w:top w:val="nil"/>
              <w:left w:val="nil"/>
              <w:bottom w:val="nil"/>
              <w:right w:val="nil"/>
            </w:tcBorders>
            <w:shd w:val="clear" w:color="auto" w:fill="auto"/>
            <w:noWrap/>
            <w:vAlign w:val="bottom"/>
            <w:hideMark/>
          </w:tcPr>
          <w:p w14:paraId="3EC0D43D" w14:textId="2329E26A"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9,680</w:t>
            </w:r>
          </w:p>
        </w:tc>
        <w:tc>
          <w:tcPr>
            <w:tcW w:w="821" w:type="dxa"/>
            <w:tcBorders>
              <w:top w:val="nil"/>
              <w:left w:val="nil"/>
              <w:bottom w:val="nil"/>
              <w:right w:val="nil"/>
            </w:tcBorders>
            <w:shd w:val="clear" w:color="auto" w:fill="auto"/>
            <w:noWrap/>
            <w:vAlign w:val="bottom"/>
            <w:hideMark/>
          </w:tcPr>
          <w:p w14:paraId="069AF1BE" w14:textId="18DFB0A9"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9,755</w:t>
            </w:r>
          </w:p>
        </w:tc>
      </w:tr>
      <w:tr w:rsidR="00AE25B4" w:rsidRPr="00AE25B4" w14:paraId="30D88769" w14:textId="77777777" w:rsidTr="00AE25B4">
        <w:trPr>
          <w:trHeight w:val="204"/>
        </w:trPr>
        <w:tc>
          <w:tcPr>
            <w:tcW w:w="3319" w:type="dxa"/>
            <w:tcBorders>
              <w:top w:val="nil"/>
              <w:left w:val="nil"/>
              <w:bottom w:val="nil"/>
              <w:right w:val="nil"/>
            </w:tcBorders>
            <w:shd w:val="clear" w:color="auto" w:fill="auto"/>
            <w:noWrap/>
            <w:vAlign w:val="center"/>
            <w:hideMark/>
          </w:tcPr>
          <w:p w14:paraId="7E395560" w14:textId="77777777" w:rsidR="00AE25B4" w:rsidRPr="00AE25B4" w:rsidRDefault="00AE25B4" w:rsidP="00AE25B4">
            <w:pPr>
              <w:spacing w:after="0" w:line="240" w:lineRule="auto"/>
              <w:jc w:val="left"/>
              <w:rPr>
                <w:rFonts w:ascii="Arial" w:hAnsi="Arial" w:cs="Arial"/>
                <w:b/>
                <w:bCs/>
                <w:sz w:val="16"/>
                <w:szCs w:val="16"/>
              </w:rPr>
            </w:pPr>
            <w:r w:rsidRPr="00AE25B4">
              <w:rPr>
                <w:rFonts w:ascii="Arial" w:hAnsi="Arial" w:cs="Arial"/>
                <w:b/>
                <w:bCs/>
                <w:sz w:val="16"/>
                <w:szCs w:val="16"/>
              </w:rPr>
              <w:t>Total new capital appropriations</w:t>
            </w:r>
          </w:p>
        </w:tc>
        <w:tc>
          <w:tcPr>
            <w:tcW w:w="934" w:type="dxa"/>
            <w:tcBorders>
              <w:top w:val="single" w:sz="4" w:space="0" w:color="auto"/>
              <w:left w:val="nil"/>
              <w:bottom w:val="single" w:sz="4" w:space="0" w:color="auto"/>
              <w:right w:val="nil"/>
            </w:tcBorders>
            <w:shd w:val="clear" w:color="auto" w:fill="auto"/>
            <w:noWrap/>
            <w:vAlign w:val="bottom"/>
            <w:hideMark/>
          </w:tcPr>
          <w:p w14:paraId="788D456C" w14:textId="5889070E"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9,558</w:t>
            </w:r>
          </w:p>
        </w:tc>
        <w:tc>
          <w:tcPr>
            <w:tcW w:w="992" w:type="dxa"/>
            <w:tcBorders>
              <w:top w:val="single" w:sz="4" w:space="0" w:color="auto"/>
              <w:left w:val="nil"/>
              <w:bottom w:val="single" w:sz="4" w:space="0" w:color="auto"/>
              <w:right w:val="nil"/>
            </w:tcBorders>
            <w:shd w:val="clear" w:color="000000" w:fill="E6E6E6"/>
            <w:noWrap/>
            <w:vAlign w:val="bottom"/>
            <w:hideMark/>
          </w:tcPr>
          <w:p w14:paraId="5EAD42AF" w14:textId="1BE07EC0"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9,566</w:t>
            </w:r>
          </w:p>
        </w:tc>
        <w:tc>
          <w:tcPr>
            <w:tcW w:w="821" w:type="dxa"/>
            <w:tcBorders>
              <w:top w:val="single" w:sz="4" w:space="0" w:color="auto"/>
              <w:left w:val="nil"/>
              <w:bottom w:val="single" w:sz="4" w:space="0" w:color="auto"/>
              <w:right w:val="nil"/>
            </w:tcBorders>
            <w:shd w:val="clear" w:color="auto" w:fill="auto"/>
            <w:noWrap/>
            <w:vAlign w:val="bottom"/>
            <w:hideMark/>
          </w:tcPr>
          <w:p w14:paraId="37E4168E" w14:textId="0E6B5D5A"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9,622</w:t>
            </w:r>
          </w:p>
        </w:tc>
        <w:tc>
          <w:tcPr>
            <w:tcW w:w="821" w:type="dxa"/>
            <w:tcBorders>
              <w:top w:val="single" w:sz="4" w:space="0" w:color="auto"/>
              <w:left w:val="nil"/>
              <w:bottom w:val="single" w:sz="4" w:space="0" w:color="auto"/>
              <w:right w:val="nil"/>
            </w:tcBorders>
            <w:shd w:val="clear" w:color="auto" w:fill="auto"/>
            <w:noWrap/>
            <w:vAlign w:val="bottom"/>
            <w:hideMark/>
          </w:tcPr>
          <w:p w14:paraId="44421D67" w14:textId="47E8F1C1"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9,680</w:t>
            </w:r>
          </w:p>
        </w:tc>
        <w:tc>
          <w:tcPr>
            <w:tcW w:w="821" w:type="dxa"/>
            <w:tcBorders>
              <w:top w:val="single" w:sz="4" w:space="0" w:color="auto"/>
              <w:left w:val="nil"/>
              <w:bottom w:val="single" w:sz="4" w:space="0" w:color="auto"/>
              <w:right w:val="nil"/>
            </w:tcBorders>
            <w:shd w:val="clear" w:color="auto" w:fill="auto"/>
            <w:noWrap/>
            <w:vAlign w:val="bottom"/>
            <w:hideMark/>
          </w:tcPr>
          <w:p w14:paraId="376ECDC3" w14:textId="4E8F4B75"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9,755</w:t>
            </w:r>
          </w:p>
        </w:tc>
      </w:tr>
      <w:tr w:rsidR="00AE25B4" w:rsidRPr="00AE25B4" w14:paraId="2D50D410" w14:textId="77777777" w:rsidTr="00AE25B4">
        <w:trPr>
          <w:trHeight w:val="204"/>
        </w:trPr>
        <w:tc>
          <w:tcPr>
            <w:tcW w:w="3319" w:type="dxa"/>
            <w:tcBorders>
              <w:top w:val="nil"/>
              <w:left w:val="nil"/>
              <w:bottom w:val="nil"/>
              <w:right w:val="nil"/>
            </w:tcBorders>
            <w:shd w:val="clear" w:color="auto" w:fill="auto"/>
            <w:noWrap/>
            <w:vAlign w:val="center"/>
            <w:hideMark/>
          </w:tcPr>
          <w:p w14:paraId="7DCF8B40" w14:textId="77777777" w:rsidR="00AE25B4" w:rsidRPr="007E1EA3" w:rsidRDefault="00AE25B4" w:rsidP="00141F01">
            <w:pPr>
              <w:spacing w:after="0" w:line="240" w:lineRule="auto"/>
              <w:ind w:left="113"/>
              <w:jc w:val="left"/>
              <w:rPr>
                <w:rFonts w:ascii="Arial" w:hAnsi="Arial" w:cs="Arial"/>
                <w:b/>
                <w:bCs/>
                <w:iCs/>
                <w:sz w:val="16"/>
                <w:szCs w:val="16"/>
              </w:rPr>
            </w:pPr>
            <w:r w:rsidRPr="007E1EA3">
              <w:rPr>
                <w:rFonts w:ascii="Arial" w:hAnsi="Arial" w:cs="Arial"/>
                <w:b/>
                <w:bCs/>
                <w:iCs/>
                <w:sz w:val="16"/>
                <w:szCs w:val="16"/>
              </w:rPr>
              <w:t>Provided for:</w:t>
            </w:r>
          </w:p>
        </w:tc>
        <w:tc>
          <w:tcPr>
            <w:tcW w:w="934" w:type="dxa"/>
            <w:tcBorders>
              <w:top w:val="nil"/>
              <w:left w:val="nil"/>
              <w:bottom w:val="nil"/>
              <w:right w:val="nil"/>
            </w:tcBorders>
            <w:shd w:val="clear" w:color="auto" w:fill="auto"/>
            <w:noWrap/>
            <w:vAlign w:val="bottom"/>
            <w:hideMark/>
          </w:tcPr>
          <w:p w14:paraId="1E1E1ABA" w14:textId="77777777" w:rsidR="00AE25B4" w:rsidRPr="007E1EA3" w:rsidRDefault="00AE25B4" w:rsidP="00141F01">
            <w:pPr>
              <w:spacing w:after="0" w:line="240" w:lineRule="auto"/>
              <w:jc w:val="right"/>
              <w:rPr>
                <w:rFonts w:ascii="Arial" w:hAnsi="Arial" w:cs="Arial"/>
                <w:b/>
                <w:bCs/>
                <w:iCs/>
                <w:sz w:val="16"/>
                <w:szCs w:val="16"/>
              </w:rPr>
            </w:pPr>
          </w:p>
        </w:tc>
        <w:tc>
          <w:tcPr>
            <w:tcW w:w="992" w:type="dxa"/>
            <w:tcBorders>
              <w:top w:val="nil"/>
              <w:left w:val="nil"/>
              <w:bottom w:val="nil"/>
              <w:right w:val="nil"/>
            </w:tcBorders>
            <w:shd w:val="clear" w:color="000000" w:fill="E6E6E6"/>
            <w:noWrap/>
            <w:vAlign w:val="bottom"/>
            <w:hideMark/>
          </w:tcPr>
          <w:p w14:paraId="03F40A72" w14:textId="6A4EB93E" w:rsidR="00AE25B4" w:rsidRPr="007E1EA3" w:rsidRDefault="00AE25B4" w:rsidP="00141F01">
            <w:pPr>
              <w:spacing w:after="0" w:line="240" w:lineRule="auto"/>
              <w:jc w:val="right"/>
              <w:rPr>
                <w:rFonts w:ascii="Arial" w:hAnsi="Arial" w:cs="Arial"/>
                <w:iCs/>
                <w:sz w:val="16"/>
                <w:szCs w:val="16"/>
              </w:rPr>
            </w:pPr>
          </w:p>
        </w:tc>
        <w:tc>
          <w:tcPr>
            <w:tcW w:w="821" w:type="dxa"/>
            <w:tcBorders>
              <w:top w:val="nil"/>
              <w:left w:val="nil"/>
              <w:bottom w:val="nil"/>
              <w:right w:val="nil"/>
            </w:tcBorders>
            <w:shd w:val="clear" w:color="auto" w:fill="auto"/>
            <w:noWrap/>
            <w:vAlign w:val="bottom"/>
            <w:hideMark/>
          </w:tcPr>
          <w:p w14:paraId="444165B8" w14:textId="77777777" w:rsidR="00AE25B4" w:rsidRPr="007E1EA3" w:rsidRDefault="00AE25B4" w:rsidP="00141F01">
            <w:pPr>
              <w:spacing w:after="0" w:line="240" w:lineRule="auto"/>
              <w:jc w:val="right"/>
              <w:rPr>
                <w:rFonts w:ascii="Arial" w:hAnsi="Arial" w:cs="Arial"/>
                <w:iCs/>
                <w:sz w:val="16"/>
                <w:szCs w:val="16"/>
              </w:rPr>
            </w:pPr>
          </w:p>
        </w:tc>
        <w:tc>
          <w:tcPr>
            <w:tcW w:w="821" w:type="dxa"/>
            <w:tcBorders>
              <w:top w:val="nil"/>
              <w:left w:val="nil"/>
              <w:bottom w:val="nil"/>
              <w:right w:val="nil"/>
            </w:tcBorders>
            <w:shd w:val="clear" w:color="auto" w:fill="auto"/>
            <w:noWrap/>
            <w:vAlign w:val="bottom"/>
            <w:hideMark/>
          </w:tcPr>
          <w:p w14:paraId="1BE8276D" w14:textId="77777777" w:rsidR="00AE25B4" w:rsidRPr="007E1EA3" w:rsidRDefault="00AE25B4" w:rsidP="00141F0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343D436F" w14:textId="77777777" w:rsidR="00AE25B4" w:rsidRPr="007E1EA3" w:rsidRDefault="00AE25B4" w:rsidP="00141F01">
            <w:pPr>
              <w:spacing w:after="0" w:line="240" w:lineRule="auto"/>
              <w:jc w:val="right"/>
              <w:rPr>
                <w:rFonts w:ascii="Arial" w:hAnsi="Arial" w:cs="Arial"/>
                <w:sz w:val="16"/>
                <w:szCs w:val="16"/>
              </w:rPr>
            </w:pPr>
          </w:p>
        </w:tc>
      </w:tr>
      <w:tr w:rsidR="00AE25B4" w:rsidRPr="00AE25B4" w14:paraId="567790ED" w14:textId="77777777" w:rsidTr="00AE25B4">
        <w:trPr>
          <w:trHeight w:val="204"/>
        </w:trPr>
        <w:tc>
          <w:tcPr>
            <w:tcW w:w="3319" w:type="dxa"/>
            <w:tcBorders>
              <w:top w:val="nil"/>
              <w:left w:val="nil"/>
              <w:bottom w:val="nil"/>
              <w:right w:val="nil"/>
            </w:tcBorders>
            <w:shd w:val="clear" w:color="auto" w:fill="auto"/>
            <w:noWrap/>
            <w:vAlign w:val="center"/>
            <w:hideMark/>
          </w:tcPr>
          <w:p w14:paraId="10E44262" w14:textId="77777777" w:rsidR="00AE25B4" w:rsidRPr="007E1EA3" w:rsidRDefault="00AE25B4" w:rsidP="00141F01">
            <w:pPr>
              <w:spacing w:after="0" w:line="240" w:lineRule="auto"/>
              <w:ind w:left="227"/>
              <w:jc w:val="left"/>
              <w:rPr>
                <w:rFonts w:ascii="Arial" w:hAnsi="Arial" w:cs="Arial"/>
                <w:iCs/>
                <w:sz w:val="16"/>
                <w:szCs w:val="16"/>
              </w:rPr>
            </w:pPr>
            <w:r w:rsidRPr="007E1EA3">
              <w:rPr>
                <w:rFonts w:ascii="Arial" w:hAnsi="Arial" w:cs="Arial"/>
                <w:sz w:val="16"/>
                <w:szCs w:val="16"/>
              </w:rPr>
              <w:t>Purchase of non-financial assets</w:t>
            </w:r>
          </w:p>
        </w:tc>
        <w:tc>
          <w:tcPr>
            <w:tcW w:w="934" w:type="dxa"/>
            <w:tcBorders>
              <w:top w:val="nil"/>
              <w:left w:val="nil"/>
              <w:bottom w:val="nil"/>
              <w:right w:val="nil"/>
            </w:tcBorders>
            <w:shd w:val="clear" w:color="auto" w:fill="auto"/>
            <w:noWrap/>
            <w:vAlign w:val="bottom"/>
            <w:hideMark/>
          </w:tcPr>
          <w:p w14:paraId="1FD3518A" w14:textId="69257562" w:rsidR="00AE25B4" w:rsidRPr="007E1EA3" w:rsidRDefault="00AE25B4" w:rsidP="00141F01">
            <w:pPr>
              <w:spacing w:after="0" w:line="240" w:lineRule="auto"/>
              <w:jc w:val="right"/>
              <w:rPr>
                <w:rFonts w:ascii="Arial" w:hAnsi="Arial" w:cs="Arial"/>
                <w:iCs/>
                <w:sz w:val="16"/>
                <w:szCs w:val="16"/>
              </w:rPr>
            </w:pPr>
            <w:r w:rsidRPr="007E1EA3">
              <w:rPr>
                <w:rFonts w:ascii="Arial" w:hAnsi="Arial" w:cs="Arial"/>
                <w:iCs/>
                <w:sz w:val="16"/>
                <w:szCs w:val="16"/>
              </w:rPr>
              <w:t>13,334</w:t>
            </w:r>
          </w:p>
        </w:tc>
        <w:tc>
          <w:tcPr>
            <w:tcW w:w="992" w:type="dxa"/>
            <w:tcBorders>
              <w:top w:val="nil"/>
              <w:left w:val="nil"/>
              <w:bottom w:val="nil"/>
              <w:right w:val="nil"/>
            </w:tcBorders>
            <w:shd w:val="clear" w:color="000000" w:fill="E6E6E6"/>
            <w:noWrap/>
            <w:vAlign w:val="bottom"/>
            <w:hideMark/>
          </w:tcPr>
          <w:p w14:paraId="08EBEDDB" w14:textId="5D152616" w:rsidR="00AE25B4" w:rsidRPr="007E1EA3" w:rsidRDefault="00AE25B4" w:rsidP="00141F01">
            <w:pPr>
              <w:spacing w:after="0" w:line="240" w:lineRule="auto"/>
              <w:jc w:val="right"/>
              <w:rPr>
                <w:rFonts w:ascii="Arial" w:hAnsi="Arial" w:cs="Arial"/>
                <w:iCs/>
                <w:sz w:val="16"/>
                <w:szCs w:val="16"/>
              </w:rPr>
            </w:pPr>
            <w:r w:rsidRPr="007E1EA3">
              <w:rPr>
                <w:rFonts w:ascii="Arial" w:hAnsi="Arial" w:cs="Arial"/>
                <w:iCs/>
                <w:sz w:val="16"/>
                <w:szCs w:val="16"/>
              </w:rPr>
              <w:t>9,566</w:t>
            </w:r>
          </w:p>
        </w:tc>
        <w:tc>
          <w:tcPr>
            <w:tcW w:w="821" w:type="dxa"/>
            <w:tcBorders>
              <w:top w:val="nil"/>
              <w:left w:val="nil"/>
              <w:bottom w:val="nil"/>
              <w:right w:val="nil"/>
            </w:tcBorders>
            <w:shd w:val="clear" w:color="auto" w:fill="auto"/>
            <w:noWrap/>
            <w:vAlign w:val="bottom"/>
            <w:hideMark/>
          </w:tcPr>
          <w:p w14:paraId="5E10B26A" w14:textId="0F631301" w:rsidR="00AE25B4" w:rsidRPr="007E1EA3" w:rsidRDefault="00AE25B4" w:rsidP="00141F01">
            <w:pPr>
              <w:spacing w:after="0" w:line="240" w:lineRule="auto"/>
              <w:jc w:val="right"/>
              <w:rPr>
                <w:rFonts w:ascii="Arial" w:hAnsi="Arial" w:cs="Arial"/>
                <w:iCs/>
                <w:sz w:val="16"/>
                <w:szCs w:val="16"/>
              </w:rPr>
            </w:pPr>
            <w:r w:rsidRPr="007E1EA3">
              <w:rPr>
                <w:rFonts w:ascii="Arial" w:hAnsi="Arial" w:cs="Arial"/>
                <w:iCs/>
                <w:sz w:val="16"/>
                <w:szCs w:val="16"/>
              </w:rPr>
              <w:t>9,622</w:t>
            </w:r>
          </w:p>
        </w:tc>
        <w:tc>
          <w:tcPr>
            <w:tcW w:w="821" w:type="dxa"/>
            <w:tcBorders>
              <w:top w:val="nil"/>
              <w:left w:val="nil"/>
              <w:bottom w:val="nil"/>
              <w:right w:val="nil"/>
            </w:tcBorders>
            <w:shd w:val="clear" w:color="auto" w:fill="auto"/>
            <w:noWrap/>
            <w:vAlign w:val="bottom"/>
            <w:hideMark/>
          </w:tcPr>
          <w:p w14:paraId="41996DC4" w14:textId="66DCCE40" w:rsidR="00AE25B4" w:rsidRPr="007E1EA3" w:rsidRDefault="00AE25B4" w:rsidP="00141F01">
            <w:pPr>
              <w:spacing w:after="0" w:line="240" w:lineRule="auto"/>
              <w:jc w:val="right"/>
              <w:rPr>
                <w:rFonts w:ascii="Arial" w:hAnsi="Arial" w:cs="Arial"/>
                <w:iCs/>
                <w:sz w:val="16"/>
                <w:szCs w:val="16"/>
              </w:rPr>
            </w:pPr>
            <w:r w:rsidRPr="007E1EA3">
              <w:rPr>
                <w:rFonts w:ascii="Arial" w:hAnsi="Arial" w:cs="Arial"/>
                <w:iCs/>
                <w:sz w:val="16"/>
                <w:szCs w:val="16"/>
              </w:rPr>
              <w:t>9,680</w:t>
            </w:r>
          </w:p>
        </w:tc>
        <w:tc>
          <w:tcPr>
            <w:tcW w:w="821" w:type="dxa"/>
            <w:tcBorders>
              <w:top w:val="nil"/>
              <w:left w:val="nil"/>
              <w:bottom w:val="nil"/>
              <w:right w:val="nil"/>
            </w:tcBorders>
            <w:shd w:val="clear" w:color="auto" w:fill="auto"/>
            <w:noWrap/>
            <w:vAlign w:val="bottom"/>
            <w:hideMark/>
          </w:tcPr>
          <w:p w14:paraId="3614C934" w14:textId="3FE152A1" w:rsidR="00AE25B4" w:rsidRPr="007E1EA3" w:rsidRDefault="00AE25B4" w:rsidP="00141F01">
            <w:pPr>
              <w:spacing w:after="0" w:line="240" w:lineRule="auto"/>
              <w:jc w:val="right"/>
              <w:rPr>
                <w:rFonts w:ascii="Arial" w:hAnsi="Arial" w:cs="Arial"/>
                <w:iCs/>
                <w:sz w:val="16"/>
                <w:szCs w:val="16"/>
              </w:rPr>
            </w:pPr>
            <w:r w:rsidRPr="007E1EA3">
              <w:rPr>
                <w:rFonts w:ascii="Arial" w:hAnsi="Arial" w:cs="Arial"/>
                <w:iCs/>
                <w:sz w:val="16"/>
                <w:szCs w:val="16"/>
              </w:rPr>
              <w:t>9,755</w:t>
            </w:r>
          </w:p>
        </w:tc>
      </w:tr>
      <w:tr w:rsidR="00AE25B4" w:rsidRPr="00AE25B4" w14:paraId="225D3933" w14:textId="77777777" w:rsidTr="00AE25B4">
        <w:trPr>
          <w:trHeight w:val="204"/>
        </w:trPr>
        <w:tc>
          <w:tcPr>
            <w:tcW w:w="3319" w:type="dxa"/>
            <w:tcBorders>
              <w:top w:val="nil"/>
              <w:left w:val="nil"/>
              <w:bottom w:val="nil"/>
              <w:right w:val="nil"/>
            </w:tcBorders>
            <w:shd w:val="clear" w:color="auto" w:fill="auto"/>
            <w:noWrap/>
            <w:vAlign w:val="center"/>
            <w:hideMark/>
          </w:tcPr>
          <w:p w14:paraId="43FFC76A" w14:textId="77777777" w:rsidR="00AE25B4" w:rsidRPr="007E1EA3" w:rsidRDefault="00AE25B4" w:rsidP="00AE25B4">
            <w:pPr>
              <w:spacing w:after="0" w:line="240" w:lineRule="auto"/>
              <w:jc w:val="left"/>
              <w:rPr>
                <w:rFonts w:ascii="Arial" w:hAnsi="Arial" w:cs="Arial"/>
                <w:b/>
                <w:bCs/>
                <w:iCs/>
                <w:sz w:val="16"/>
                <w:szCs w:val="16"/>
              </w:rPr>
            </w:pPr>
            <w:r w:rsidRPr="007E1EA3">
              <w:rPr>
                <w:rFonts w:ascii="Arial" w:hAnsi="Arial" w:cs="Arial"/>
                <w:b/>
                <w:bCs/>
                <w:iCs/>
                <w:sz w:val="16"/>
                <w:szCs w:val="16"/>
              </w:rPr>
              <w:t>Total items</w:t>
            </w:r>
          </w:p>
        </w:tc>
        <w:tc>
          <w:tcPr>
            <w:tcW w:w="934" w:type="dxa"/>
            <w:tcBorders>
              <w:top w:val="single" w:sz="4" w:space="0" w:color="auto"/>
              <w:left w:val="nil"/>
              <w:bottom w:val="single" w:sz="4" w:space="0" w:color="auto"/>
              <w:right w:val="nil"/>
            </w:tcBorders>
            <w:shd w:val="clear" w:color="auto" w:fill="auto"/>
            <w:noWrap/>
            <w:vAlign w:val="bottom"/>
            <w:hideMark/>
          </w:tcPr>
          <w:p w14:paraId="4691F5E3" w14:textId="422BBB1C" w:rsidR="00AE25B4" w:rsidRPr="007E1EA3" w:rsidRDefault="00AE25B4" w:rsidP="00141F01">
            <w:pPr>
              <w:spacing w:after="0" w:line="240" w:lineRule="auto"/>
              <w:jc w:val="right"/>
              <w:rPr>
                <w:rFonts w:ascii="Arial" w:hAnsi="Arial" w:cs="Arial"/>
                <w:b/>
                <w:bCs/>
                <w:iCs/>
                <w:sz w:val="16"/>
                <w:szCs w:val="16"/>
              </w:rPr>
            </w:pPr>
            <w:r w:rsidRPr="007E1EA3">
              <w:rPr>
                <w:rFonts w:ascii="Arial" w:hAnsi="Arial" w:cs="Arial"/>
                <w:b/>
                <w:bCs/>
                <w:iCs/>
                <w:sz w:val="16"/>
                <w:szCs w:val="16"/>
              </w:rPr>
              <w:t>13,334</w:t>
            </w:r>
          </w:p>
        </w:tc>
        <w:tc>
          <w:tcPr>
            <w:tcW w:w="992" w:type="dxa"/>
            <w:tcBorders>
              <w:top w:val="single" w:sz="4" w:space="0" w:color="auto"/>
              <w:left w:val="nil"/>
              <w:bottom w:val="single" w:sz="4" w:space="0" w:color="auto"/>
              <w:right w:val="nil"/>
            </w:tcBorders>
            <w:shd w:val="clear" w:color="000000" w:fill="E6E6E6"/>
            <w:noWrap/>
            <w:vAlign w:val="bottom"/>
            <w:hideMark/>
          </w:tcPr>
          <w:p w14:paraId="6892F122" w14:textId="22B60C19" w:rsidR="00AE25B4" w:rsidRPr="007E1EA3" w:rsidRDefault="00AE25B4" w:rsidP="00141F01">
            <w:pPr>
              <w:spacing w:after="0" w:line="240" w:lineRule="auto"/>
              <w:jc w:val="right"/>
              <w:rPr>
                <w:rFonts w:ascii="Arial" w:hAnsi="Arial" w:cs="Arial"/>
                <w:b/>
                <w:bCs/>
                <w:iCs/>
                <w:sz w:val="16"/>
                <w:szCs w:val="16"/>
              </w:rPr>
            </w:pPr>
            <w:r w:rsidRPr="007E1EA3">
              <w:rPr>
                <w:rFonts w:ascii="Arial" w:hAnsi="Arial" w:cs="Arial"/>
                <w:b/>
                <w:bCs/>
                <w:iCs/>
                <w:sz w:val="16"/>
                <w:szCs w:val="16"/>
              </w:rPr>
              <w:t>9,566</w:t>
            </w:r>
          </w:p>
        </w:tc>
        <w:tc>
          <w:tcPr>
            <w:tcW w:w="821" w:type="dxa"/>
            <w:tcBorders>
              <w:top w:val="single" w:sz="4" w:space="0" w:color="auto"/>
              <w:left w:val="nil"/>
              <w:bottom w:val="single" w:sz="4" w:space="0" w:color="auto"/>
              <w:right w:val="nil"/>
            </w:tcBorders>
            <w:shd w:val="clear" w:color="auto" w:fill="auto"/>
            <w:noWrap/>
            <w:vAlign w:val="bottom"/>
            <w:hideMark/>
          </w:tcPr>
          <w:p w14:paraId="6839A63A" w14:textId="3CFAD647" w:rsidR="00AE25B4" w:rsidRPr="007E1EA3" w:rsidRDefault="00AE25B4" w:rsidP="00141F01">
            <w:pPr>
              <w:spacing w:after="0" w:line="240" w:lineRule="auto"/>
              <w:jc w:val="right"/>
              <w:rPr>
                <w:rFonts w:ascii="Arial" w:hAnsi="Arial" w:cs="Arial"/>
                <w:b/>
                <w:bCs/>
                <w:iCs/>
                <w:sz w:val="16"/>
                <w:szCs w:val="16"/>
              </w:rPr>
            </w:pPr>
            <w:r w:rsidRPr="007E1EA3">
              <w:rPr>
                <w:rFonts w:ascii="Arial" w:hAnsi="Arial" w:cs="Arial"/>
                <w:b/>
                <w:bCs/>
                <w:iCs/>
                <w:sz w:val="16"/>
                <w:szCs w:val="16"/>
              </w:rPr>
              <w:t>9,622</w:t>
            </w:r>
          </w:p>
        </w:tc>
        <w:tc>
          <w:tcPr>
            <w:tcW w:w="821" w:type="dxa"/>
            <w:tcBorders>
              <w:top w:val="single" w:sz="4" w:space="0" w:color="auto"/>
              <w:left w:val="nil"/>
              <w:bottom w:val="single" w:sz="4" w:space="0" w:color="auto"/>
              <w:right w:val="nil"/>
            </w:tcBorders>
            <w:shd w:val="clear" w:color="auto" w:fill="auto"/>
            <w:noWrap/>
            <w:vAlign w:val="bottom"/>
            <w:hideMark/>
          </w:tcPr>
          <w:p w14:paraId="06AAE919" w14:textId="7DFB284C" w:rsidR="00AE25B4" w:rsidRPr="007E1EA3" w:rsidRDefault="00AE25B4" w:rsidP="00141F01">
            <w:pPr>
              <w:spacing w:after="0" w:line="240" w:lineRule="auto"/>
              <w:jc w:val="right"/>
              <w:rPr>
                <w:rFonts w:ascii="Arial" w:hAnsi="Arial" w:cs="Arial"/>
                <w:b/>
                <w:bCs/>
                <w:iCs/>
                <w:sz w:val="16"/>
                <w:szCs w:val="16"/>
              </w:rPr>
            </w:pPr>
            <w:r w:rsidRPr="007E1EA3">
              <w:rPr>
                <w:rFonts w:ascii="Arial" w:hAnsi="Arial" w:cs="Arial"/>
                <w:b/>
                <w:bCs/>
                <w:iCs/>
                <w:sz w:val="16"/>
                <w:szCs w:val="16"/>
              </w:rPr>
              <w:t>9,680</w:t>
            </w:r>
          </w:p>
        </w:tc>
        <w:tc>
          <w:tcPr>
            <w:tcW w:w="821" w:type="dxa"/>
            <w:tcBorders>
              <w:top w:val="single" w:sz="4" w:space="0" w:color="auto"/>
              <w:left w:val="nil"/>
              <w:bottom w:val="single" w:sz="4" w:space="0" w:color="auto"/>
              <w:right w:val="nil"/>
            </w:tcBorders>
            <w:shd w:val="clear" w:color="auto" w:fill="auto"/>
            <w:noWrap/>
            <w:vAlign w:val="bottom"/>
            <w:hideMark/>
          </w:tcPr>
          <w:p w14:paraId="65BD1861" w14:textId="2745E8E4" w:rsidR="00AE25B4" w:rsidRPr="007E1EA3" w:rsidRDefault="00AE25B4" w:rsidP="00141F01">
            <w:pPr>
              <w:spacing w:after="0" w:line="240" w:lineRule="auto"/>
              <w:jc w:val="right"/>
              <w:rPr>
                <w:rFonts w:ascii="Arial" w:hAnsi="Arial" w:cs="Arial"/>
                <w:b/>
                <w:bCs/>
                <w:iCs/>
                <w:sz w:val="16"/>
                <w:szCs w:val="16"/>
              </w:rPr>
            </w:pPr>
            <w:r w:rsidRPr="007E1EA3">
              <w:rPr>
                <w:rFonts w:ascii="Arial" w:hAnsi="Arial" w:cs="Arial"/>
                <w:b/>
                <w:bCs/>
                <w:iCs/>
                <w:sz w:val="16"/>
                <w:szCs w:val="16"/>
              </w:rPr>
              <w:t>9,755</w:t>
            </w:r>
          </w:p>
        </w:tc>
      </w:tr>
      <w:tr w:rsidR="00AE25B4" w:rsidRPr="00AE25B4" w14:paraId="0A2CF482" w14:textId="77777777" w:rsidTr="00AE25B4">
        <w:trPr>
          <w:trHeight w:val="204"/>
        </w:trPr>
        <w:tc>
          <w:tcPr>
            <w:tcW w:w="3319" w:type="dxa"/>
            <w:tcBorders>
              <w:top w:val="nil"/>
              <w:left w:val="nil"/>
              <w:bottom w:val="nil"/>
              <w:right w:val="nil"/>
            </w:tcBorders>
            <w:shd w:val="clear" w:color="auto" w:fill="auto"/>
            <w:vAlign w:val="center"/>
            <w:hideMark/>
          </w:tcPr>
          <w:p w14:paraId="6D682BF2" w14:textId="72BF403E" w:rsidR="00AE25B4" w:rsidRPr="00AE25B4" w:rsidRDefault="00AE25B4" w:rsidP="00141F01">
            <w:pPr>
              <w:spacing w:after="0" w:line="240" w:lineRule="auto"/>
              <w:jc w:val="left"/>
              <w:rPr>
                <w:rFonts w:ascii="Arial" w:hAnsi="Arial" w:cs="Arial"/>
                <w:b/>
                <w:bCs/>
                <w:sz w:val="16"/>
                <w:szCs w:val="16"/>
              </w:rPr>
            </w:pPr>
            <w:r w:rsidRPr="00AE25B4">
              <w:rPr>
                <w:rFonts w:ascii="Arial" w:hAnsi="Arial" w:cs="Arial"/>
                <w:b/>
                <w:bCs/>
                <w:sz w:val="16"/>
                <w:szCs w:val="16"/>
              </w:rPr>
              <w:t>PURCHASE OF NON-FINANCIAL</w:t>
            </w:r>
            <w:r w:rsidR="00141F01">
              <w:rPr>
                <w:rFonts w:ascii="Arial" w:hAnsi="Arial" w:cs="Arial"/>
                <w:b/>
                <w:bCs/>
                <w:sz w:val="16"/>
                <w:szCs w:val="16"/>
              </w:rPr>
              <w:t xml:space="preserve"> </w:t>
            </w:r>
            <w:r w:rsidRPr="00AE25B4">
              <w:rPr>
                <w:rFonts w:ascii="Arial" w:hAnsi="Arial" w:cs="Arial"/>
                <w:b/>
                <w:bCs/>
                <w:sz w:val="16"/>
                <w:szCs w:val="16"/>
              </w:rPr>
              <w:t>ASSETS</w:t>
            </w:r>
          </w:p>
        </w:tc>
        <w:tc>
          <w:tcPr>
            <w:tcW w:w="934" w:type="dxa"/>
            <w:tcBorders>
              <w:top w:val="nil"/>
              <w:left w:val="nil"/>
              <w:bottom w:val="nil"/>
              <w:right w:val="nil"/>
            </w:tcBorders>
            <w:shd w:val="clear" w:color="auto" w:fill="auto"/>
            <w:vAlign w:val="bottom"/>
            <w:hideMark/>
          </w:tcPr>
          <w:p w14:paraId="506ADB9F" w14:textId="77777777" w:rsidR="00AE25B4" w:rsidRPr="00AE25B4" w:rsidRDefault="00AE25B4" w:rsidP="00141F01">
            <w:pPr>
              <w:spacing w:after="0" w:line="240" w:lineRule="auto"/>
              <w:jc w:val="right"/>
              <w:rPr>
                <w:rFonts w:ascii="Arial" w:hAnsi="Arial" w:cs="Arial"/>
                <w:b/>
                <w:bCs/>
                <w:sz w:val="16"/>
                <w:szCs w:val="16"/>
              </w:rPr>
            </w:pPr>
          </w:p>
        </w:tc>
        <w:tc>
          <w:tcPr>
            <w:tcW w:w="992" w:type="dxa"/>
            <w:tcBorders>
              <w:top w:val="nil"/>
              <w:left w:val="nil"/>
              <w:bottom w:val="nil"/>
              <w:right w:val="nil"/>
            </w:tcBorders>
            <w:shd w:val="clear" w:color="000000" w:fill="E6E6E6"/>
            <w:vAlign w:val="bottom"/>
            <w:hideMark/>
          </w:tcPr>
          <w:p w14:paraId="2E785494" w14:textId="40044147" w:rsidR="00AE25B4" w:rsidRPr="00AE25B4" w:rsidRDefault="00AE25B4" w:rsidP="00141F0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vAlign w:val="bottom"/>
            <w:hideMark/>
          </w:tcPr>
          <w:p w14:paraId="5951883B" w14:textId="77777777" w:rsidR="00AE25B4" w:rsidRPr="00AE25B4" w:rsidRDefault="00AE25B4" w:rsidP="00141F0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vAlign w:val="bottom"/>
            <w:hideMark/>
          </w:tcPr>
          <w:p w14:paraId="27E430CD" w14:textId="77777777" w:rsidR="00AE25B4" w:rsidRPr="00AE25B4" w:rsidRDefault="00AE25B4" w:rsidP="00141F0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vAlign w:val="bottom"/>
            <w:hideMark/>
          </w:tcPr>
          <w:p w14:paraId="7830FB7D" w14:textId="77777777" w:rsidR="00AE25B4" w:rsidRPr="00AE25B4" w:rsidRDefault="00AE25B4" w:rsidP="00141F01">
            <w:pPr>
              <w:spacing w:after="0" w:line="240" w:lineRule="auto"/>
              <w:jc w:val="right"/>
              <w:rPr>
                <w:rFonts w:ascii="Arial" w:hAnsi="Arial" w:cs="Arial"/>
                <w:sz w:val="16"/>
                <w:szCs w:val="16"/>
              </w:rPr>
            </w:pPr>
          </w:p>
        </w:tc>
      </w:tr>
      <w:tr w:rsidR="00AE25B4" w:rsidRPr="00AE25B4" w14:paraId="2D84321F" w14:textId="77777777" w:rsidTr="00AE25B4">
        <w:trPr>
          <w:trHeight w:val="204"/>
        </w:trPr>
        <w:tc>
          <w:tcPr>
            <w:tcW w:w="3319" w:type="dxa"/>
            <w:tcBorders>
              <w:top w:val="nil"/>
              <w:left w:val="nil"/>
              <w:bottom w:val="nil"/>
              <w:right w:val="nil"/>
            </w:tcBorders>
            <w:shd w:val="clear" w:color="auto" w:fill="auto"/>
            <w:noWrap/>
            <w:vAlign w:val="center"/>
            <w:hideMark/>
          </w:tcPr>
          <w:p w14:paraId="79ACC9B5" w14:textId="77777777" w:rsidR="00AE25B4" w:rsidRPr="00AE25B4" w:rsidRDefault="00AE25B4" w:rsidP="00141F01">
            <w:pPr>
              <w:spacing w:after="0" w:line="240" w:lineRule="auto"/>
              <w:ind w:left="113"/>
              <w:jc w:val="left"/>
              <w:rPr>
                <w:rFonts w:ascii="Arial" w:hAnsi="Arial" w:cs="Arial"/>
                <w:sz w:val="16"/>
                <w:szCs w:val="16"/>
              </w:rPr>
            </w:pPr>
            <w:r w:rsidRPr="00AE25B4">
              <w:rPr>
                <w:rFonts w:ascii="Arial" w:hAnsi="Arial" w:cs="Arial"/>
                <w:sz w:val="16"/>
                <w:szCs w:val="16"/>
              </w:rPr>
              <w:t xml:space="preserve">Funded by capital appropriations </w:t>
            </w:r>
            <w:r w:rsidRPr="00141F01">
              <w:rPr>
                <w:rFonts w:ascii="Arial" w:hAnsi="Arial" w:cs="Arial"/>
                <w:sz w:val="16"/>
                <w:szCs w:val="16"/>
                <w:vertAlign w:val="superscript"/>
              </w:rPr>
              <w:t>(a)</w:t>
            </w:r>
          </w:p>
        </w:tc>
        <w:tc>
          <w:tcPr>
            <w:tcW w:w="934" w:type="dxa"/>
            <w:tcBorders>
              <w:top w:val="nil"/>
              <w:left w:val="nil"/>
              <w:bottom w:val="nil"/>
              <w:right w:val="nil"/>
            </w:tcBorders>
            <w:shd w:val="clear" w:color="000000" w:fill="FFFFFF"/>
            <w:noWrap/>
            <w:vAlign w:val="bottom"/>
            <w:hideMark/>
          </w:tcPr>
          <w:p w14:paraId="74C32494" w14:textId="7E492172" w:rsidR="00AE25B4" w:rsidRPr="00AE25B4" w:rsidRDefault="00AE25B4" w:rsidP="00141F01">
            <w:pPr>
              <w:spacing w:after="0" w:line="240" w:lineRule="auto"/>
              <w:jc w:val="right"/>
              <w:rPr>
                <w:rFonts w:ascii="Arial" w:hAnsi="Arial" w:cs="Arial"/>
                <w:iCs/>
                <w:sz w:val="16"/>
                <w:szCs w:val="16"/>
              </w:rPr>
            </w:pPr>
            <w:r w:rsidRPr="00AE25B4">
              <w:rPr>
                <w:rFonts w:ascii="Arial" w:hAnsi="Arial" w:cs="Arial"/>
                <w:iCs/>
                <w:sz w:val="16"/>
                <w:szCs w:val="16"/>
              </w:rPr>
              <w:t>3,758</w:t>
            </w:r>
          </w:p>
        </w:tc>
        <w:tc>
          <w:tcPr>
            <w:tcW w:w="992" w:type="dxa"/>
            <w:tcBorders>
              <w:top w:val="nil"/>
              <w:left w:val="nil"/>
              <w:bottom w:val="nil"/>
              <w:right w:val="nil"/>
            </w:tcBorders>
            <w:shd w:val="clear" w:color="000000" w:fill="E6E6E6"/>
            <w:noWrap/>
            <w:vAlign w:val="bottom"/>
            <w:hideMark/>
          </w:tcPr>
          <w:p w14:paraId="7D5F3D78" w14:textId="56951EC1" w:rsidR="00AE25B4" w:rsidRPr="00AE25B4" w:rsidRDefault="00AE25B4" w:rsidP="00141F01">
            <w:pPr>
              <w:spacing w:after="0" w:line="240" w:lineRule="auto"/>
              <w:jc w:val="right"/>
              <w:rPr>
                <w:rFonts w:ascii="Arial" w:hAnsi="Arial" w:cs="Arial"/>
                <w:iCs/>
                <w:sz w:val="16"/>
                <w:szCs w:val="16"/>
              </w:rPr>
            </w:pPr>
            <w:r w:rsidRPr="00AE25B4">
              <w:rPr>
                <w:rFonts w:ascii="Arial" w:hAnsi="Arial" w:cs="Arial"/>
                <w:iCs/>
                <w:sz w:val="16"/>
                <w:szCs w:val="16"/>
              </w:rPr>
              <w:t>9,566</w:t>
            </w:r>
          </w:p>
        </w:tc>
        <w:tc>
          <w:tcPr>
            <w:tcW w:w="821" w:type="dxa"/>
            <w:tcBorders>
              <w:top w:val="nil"/>
              <w:left w:val="nil"/>
              <w:bottom w:val="nil"/>
              <w:right w:val="nil"/>
            </w:tcBorders>
            <w:shd w:val="clear" w:color="auto" w:fill="auto"/>
            <w:noWrap/>
            <w:vAlign w:val="bottom"/>
            <w:hideMark/>
          </w:tcPr>
          <w:p w14:paraId="49C6209A" w14:textId="31C9B432" w:rsidR="00AE25B4" w:rsidRPr="00AE25B4" w:rsidRDefault="00AE25B4" w:rsidP="00141F01">
            <w:pPr>
              <w:spacing w:after="0" w:line="240" w:lineRule="auto"/>
              <w:jc w:val="right"/>
              <w:rPr>
                <w:rFonts w:ascii="Arial" w:hAnsi="Arial" w:cs="Arial"/>
                <w:iCs/>
                <w:sz w:val="16"/>
                <w:szCs w:val="16"/>
              </w:rPr>
            </w:pPr>
            <w:r w:rsidRPr="00AE25B4">
              <w:rPr>
                <w:rFonts w:ascii="Arial" w:hAnsi="Arial" w:cs="Arial"/>
                <w:iCs/>
                <w:sz w:val="16"/>
                <w:szCs w:val="16"/>
              </w:rPr>
              <w:t>9,622</w:t>
            </w:r>
          </w:p>
        </w:tc>
        <w:tc>
          <w:tcPr>
            <w:tcW w:w="821" w:type="dxa"/>
            <w:tcBorders>
              <w:top w:val="nil"/>
              <w:left w:val="nil"/>
              <w:bottom w:val="nil"/>
              <w:right w:val="nil"/>
            </w:tcBorders>
            <w:shd w:val="clear" w:color="auto" w:fill="auto"/>
            <w:noWrap/>
            <w:vAlign w:val="bottom"/>
            <w:hideMark/>
          </w:tcPr>
          <w:p w14:paraId="50DD7F19" w14:textId="2212B317" w:rsidR="00AE25B4" w:rsidRPr="00AE25B4" w:rsidRDefault="00AE25B4" w:rsidP="00141F01">
            <w:pPr>
              <w:spacing w:after="0" w:line="240" w:lineRule="auto"/>
              <w:jc w:val="right"/>
              <w:rPr>
                <w:rFonts w:ascii="Arial" w:hAnsi="Arial" w:cs="Arial"/>
                <w:iCs/>
                <w:sz w:val="16"/>
                <w:szCs w:val="16"/>
              </w:rPr>
            </w:pPr>
            <w:r w:rsidRPr="00AE25B4">
              <w:rPr>
                <w:rFonts w:ascii="Arial" w:hAnsi="Arial" w:cs="Arial"/>
                <w:iCs/>
                <w:sz w:val="16"/>
                <w:szCs w:val="16"/>
              </w:rPr>
              <w:t>9,680</w:t>
            </w:r>
          </w:p>
        </w:tc>
        <w:tc>
          <w:tcPr>
            <w:tcW w:w="821" w:type="dxa"/>
            <w:tcBorders>
              <w:top w:val="nil"/>
              <w:left w:val="nil"/>
              <w:bottom w:val="nil"/>
              <w:right w:val="nil"/>
            </w:tcBorders>
            <w:shd w:val="clear" w:color="auto" w:fill="auto"/>
            <w:noWrap/>
            <w:vAlign w:val="bottom"/>
            <w:hideMark/>
          </w:tcPr>
          <w:p w14:paraId="5C61C30A" w14:textId="426D336D" w:rsidR="00AE25B4" w:rsidRPr="00AE25B4" w:rsidRDefault="00AE25B4" w:rsidP="00141F01">
            <w:pPr>
              <w:spacing w:after="0" w:line="240" w:lineRule="auto"/>
              <w:jc w:val="right"/>
              <w:rPr>
                <w:rFonts w:ascii="Arial" w:hAnsi="Arial" w:cs="Arial"/>
                <w:iCs/>
                <w:sz w:val="16"/>
                <w:szCs w:val="16"/>
              </w:rPr>
            </w:pPr>
            <w:r w:rsidRPr="00AE25B4">
              <w:rPr>
                <w:rFonts w:ascii="Arial" w:hAnsi="Arial" w:cs="Arial"/>
                <w:iCs/>
                <w:sz w:val="16"/>
                <w:szCs w:val="16"/>
              </w:rPr>
              <w:t>9,755</w:t>
            </w:r>
          </w:p>
        </w:tc>
      </w:tr>
      <w:tr w:rsidR="00AE25B4" w:rsidRPr="00AE25B4" w14:paraId="71965AB6" w14:textId="77777777" w:rsidTr="00AE25B4">
        <w:trPr>
          <w:trHeight w:val="204"/>
        </w:trPr>
        <w:tc>
          <w:tcPr>
            <w:tcW w:w="3319" w:type="dxa"/>
            <w:tcBorders>
              <w:top w:val="nil"/>
              <w:left w:val="nil"/>
              <w:bottom w:val="nil"/>
              <w:right w:val="nil"/>
            </w:tcBorders>
            <w:shd w:val="clear" w:color="auto" w:fill="auto"/>
            <w:vAlign w:val="center"/>
            <w:hideMark/>
          </w:tcPr>
          <w:p w14:paraId="4383A0C9" w14:textId="76E70CB3" w:rsidR="00AE25B4" w:rsidRPr="00AE25B4" w:rsidRDefault="00AE25B4" w:rsidP="00141F01">
            <w:pPr>
              <w:spacing w:after="0" w:line="240" w:lineRule="auto"/>
              <w:ind w:left="113"/>
              <w:jc w:val="left"/>
              <w:rPr>
                <w:rFonts w:ascii="Arial" w:hAnsi="Arial" w:cs="Arial"/>
                <w:sz w:val="16"/>
                <w:szCs w:val="16"/>
              </w:rPr>
            </w:pPr>
            <w:r w:rsidRPr="00AE25B4">
              <w:rPr>
                <w:rFonts w:ascii="Arial" w:hAnsi="Arial" w:cs="Arial"/>
                <w:sz w:val="16"/>
                <w:szCs w:val="16"/>
              </w:rPr>
              <w:t xml:space="preserve">Funded internally from </w:t>
            </w:r>
            <w:r w:rsidR="008863D9">
              <w:rPr>
                <w:rFonts w:ascii="Arial" w:hAnsi="Arial" w:cs="Arial"/>
                <w:sz w:val="16"/>
                <w:szCs w:val="16"/>
              </w:rPr>
              <w:t>Department</w:t>
            </w:r>
            <w:r w:rsidRPr="00AE25B4">
              <w:rPr>
                <w:rFonts w:ascii="Arial" w:hAnsi="Arial" w:cs="Arial"/>
                <w:sz w:val="16"/>
                <w:szCs w:val="16"/>
              </w:rPr>
              <w:t>al</w:t>
            </w:r>
            <w:r w:rsidR="00141F01">
              <w:rPr>
                <w:rFonts w:ascii="Arial" w:hAnsi="Arial" w:cs="Arial"/>
                <w:sz w:val="16"/>
                <w:szCs w:val="16"/>
              </w:rPr>
              <w:t xml:space="preserve"> </w:t>
            </w:r>
            <w:r w:rsidRPr="00AE25B4">
              <w:rPr>
                <w:rFonts w:ascii="Arial" w:hAnsi="Arial" w:cs="Arial"/>
                <w:sz w:val="16"/>
                <w:szCs w:val="16"/>
              </w:rPr>
              <w:t xml:space="preserve">resources </w:t>
            </w:r>
            <w:r w:rsidRPr="00141F01">
              <w:rPr>
                <w:rFonts w:ascii="Arial" w:hAnsi="Arial" w:cs="Arial"/>
                <w:sz w:val="16"/>
                <w:szCs w:val="16"/>
                <w:vertAlign w:val="superscript"/>
              </w:rPr>
              <w:t>(b)</w:t>
            </w:r>
          </w:p>
        </w:tc>
        <w:tc>
          <w:tcPr>
            <w:tcW w:w="934" w:type="dxa"/>
            <w:tcBorders>
              <w:top w:val="nil"/>
              <w:left w:val="nil"/>
              <w:bottom w:val="nil"/>
              <w:right w:val="nil"/>
            </w:tcBorders>
            <w:shd w:val="clear" w:color="auto" w:fill="auto"/>
            <w:noWrap/>
            <w:vAlign w:val="bottom"/>
            <w:hideMark/>
          </w:tcPr>
          <w:p w14:paraId="2BBC0A79" w14:textId="725AADAB"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9,576</w:t>
            </w:r>
          </w:p>
        </w:tc>
        <w:tc>
          <w:tcPr>
            <w:tcW w:w="992" w:type="dxa"/>
            <w:tcBorders>
              <w:top w:val="nil"/>
              <w:left w:val="nil"/>
              <w:bottom w:val="nil"/>
              <w:right w:val="nil"/>
            </w:tcBorders>
            <w:shd w:val="clear" w:color="000000" w:fill="E6E6E6"/>
            <w:noWrap/>
            <w:vAlign w:val="bottom"/>
            <w:hideMark/>
          </w:tcPr>
          <w:p w14:paraId="67EA9A6C" w14:textId="1BC5677E"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11,371</w:t>
            </w:r>
          </w:p>
        </w:tc>
        <w:tc>
          <w:tcPr>
            <w:tcW w:w="821" w:type="dxa"/>
            <w:tcBorders>
              <w:top w:val="nil"/>
              <w:left w:val="nil"/>
              <w:bottom w:val="nil"/>
              <w:right w:val="nil"/>
            </w:tcBorders>
            <w:shd w:val="clear" w:color="auto" w:fill="auto"/>
            <w:noWrap/>
            <w:vAlign w:val="bottom"/>
            <w:hideMark/>
          </w:tcPr>
          <w:p w14:paraId="2E33129A" w14:textId="7F2015AD"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11,304</w:t>
            </w:r>
          </w:p>
        </w:tc>
        <w:tc>
          <w:tcPr>
            <w:tcW w:w="821" w:type="dxa"/>
            <w:tcBorders>
              <w:top w:val="nil"/>
              <w:left w:val="nil"/>
              <w:bottom w:val="nil"/>
              <w:right w:val="nil"/>
            </w:tcBorders>
            <w:shd w:val="clear" w:color="auto" w:fill="auto"/>
            <w:noWrap/>
            <w:vAlign w:val="bottom"/>
            <w:hideMark/>
          </w:tcPr>
          <w:p w14:paraId="785D70F6" w14:textId="0CEC83F0"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11,247</w:t>
            </w:r>
          </w:p>
        </w:tc>
        <w:tc>
          <w:tcPr>
            <w:tcW w:w="821" w:type="dxa"/>
            <w:tcBorders>
              <w:top w:val="nil"/>
              <w:left w:val="nil"/>
              <w:bottom w:val="nil"/>
              <w:right w:val="nil"/>
            </w:tcBorders>
            <w:shd w:val="clear" w:color="auto" w:fill="auto"/>
            <w:noWrap/>
            <w:vAlign w:val="bottom"/>
            <w:hideMark/>
          </w:tcPr>
          <w:p w14:paraId="33C39776" w14:textId="688E4BDA"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11,200</w:t>
            </w:r>
          </w:p>
        </w:tc>
      </w:tr>
      <w:tr w:rsidR="00AE25B4" w:rsidRPr="00AE25B4" w14:paraId="4CFEAD4B" w14:textId="77777777" w:rsidTr="00AE25B4">
        <w:trPr>
          <w:trHeight w:val="204"/>
        </w:trPr>
        <w:tc>
          <w:tcPr>
            <w:tcW w:w="3319" w:type="dxa"/>
            <w:tcBorders>
              <w:top w:val="nil"/>
              <w:left w:val="nil"/>
              <w:bottom w:val="nil"/>
              <w:right w:val="nil"/>
            </w:tcBorders>
            <w:shd w:val="clear" w:color="auto" w:fill="auto"/>
            <w:noWrap/>
            <w:vAlign w:val="center"/>
            <w:hideMark/>
          </w:tcPr>
          <w:p w14:paraId="3022F7F2" w14:textId="77777777" w:rsidR="00AE25B4" w:rsidRPr="00AE25B4" w:rsidRDefault="00AE25B4" w:rsidP="00AE25B4">
            <w:pPr>
              <w:spacing w:after="0" w:line="240" w:lineRule="auto"/>
              <w:jc w:val="left"/>
              <w:rPr>
                <w:rFonts w:ascii="Arial" w:hAnsi="Arial" w:cs="Arial"/>
                <w:b/>
                <w:bCs/>
                <w:sz w:val="16"/>
                <w:szCs w:val="16"/>
              </w:rPr>
            </w:pPr>
            <w:r w:rsidRPr="00AE25B4">
              <w:rPr>
                <w:rFonts w:ascii="Arial" w:hAnsi="Arial" w:cs="Arial"/>
                <w:b/>
                <w:bCs/>
                <w:sz w:val="16"/>
                <w:szCs w:val="16"/>
              </w:rPr>
              <w:t>TOTAL</w:t>
            </w:r>
          </w:p>
        </w:tc>
        <w:tc>
          <w:tcPr>
            <w:tcW w:w="934" w:type="dxa"/>
            <w:tcBorders>
              <w:top w:val="single" w:sz="4" w:space="0" w:color="auto"/>
              <w:left w:val="nil"/>
              <w:bottom w:val="single" w:sz="4" w:space="0" w:color="auto"/>
              <w:right w:val="nil"/>
            </w:tcBorders>
            <w:shd w:val="clear" w:color="auto" w:fill="auto"/>
            <w:noWrap/>
            <w:vAlign w:val="bottom"/>
            <w:hideMark/>
          </w:tcPr>
          <w:p w14:paraId="488ED442" w14:textId="3600D6D8"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13,334</w:t>
            </w:r>
          </w:p>
        </w:tc>
        <w:tc>
          <w:tcPr>
            <w:tcW w:w="992" w:type="dxa"/>
            <w:tcBorders>
              <w:top w:val="single" w:sz="4" w:space="0" w:color="auto"/>
              <w:left w:val="nil"/>
              <w:bottom w:val="single" w:sz="4" w:space="0" w:color="auto"/>
              <w:right w:val="nil"/>
            </w:tcBorders>
            <w:shd w:val="clear" w:color="000000" w:fill="E6E6E6"/>
            <w:noWrap/>
            <w:vAlign w:val="bottom"/>
            <w:hideMark/>
          </w:tcPr>
          <w:p w14:paraId="2A71BD8C" w14:textId="593EDE7B"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20,937</w:t>
            </w:r>
          </w:p>
        </w:tc>
        <w:tc>
          <w:tcPr>
            <w:tcW w:w="821" w:type="dxa"/>
            <w:tcBorders>
              <w:top w:val="single" w:sz="4" w:space="0" w:color="auto"/>
              <w:left w:val="nil"/>
              <w:bottom w:val="single" w:sz="4" w:space="0" w:color="auto"/>
              <w:right w:val="nil"/>
            </w:tcBorders>
            <w:shd w:val="clear" w:color="auto" w:fill="auto"/>
            <w:noWrap/>
            <w:vAlign w:val="bottom"/>
            <w:hideMark/>
          </w:tcPr>
          <w:p w14:paraId="688167F8" w14:textId="5BE9EF7F"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20,926</w:t>
            </w:r>
          </w:p>
        </w:tc>
        <w:tc>
          <w:tcPr>
            <w:tcW w:w="821" w:type="dxa"/>
            <w:tcBorders>
              <w:top w:val="single" w:sz="4" w:space="0" w:color="auto"/>
              <w:left w:val="nil"/>
              <w:bottom w:val="single" w:sz="4" w:space="0" w:color="auto"/>
              <w:right w:val="nil"/>
            </w:tcBorders>
            <w:shd w:val="clear" w:color="auto" w:fill="auto"/>
            <w:noWrap/>
            <w:vAlign w:val="bottom"/>
            <w:hideMark/>
          </w:tcPr>
          <w:p w14:paraId="477E7334" w14:textId="3895BAAC"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20,927</w:t>
            </w:r>
          </w:p>
        </w:tc>
        <w:tc>
          <w:tcPr>
            <w:tcW w:w="821" w:type="dxa"/>
            <w:tcBorders>
              <w:top w:val="single" w:sz="4" w:space="0" w:color="auto"/>
              <w:left w:val="nil"/>
              <w:bottom w:val="single" w:sz="4" w:space="0" w:color="auto"/>
              <w:right w:val="nil"/>
            </w:tcBorders>
            <w:shd w:val="clear" w:color="auto" w:fill="auto"/>
            <w:noWrap/>
            <w:vAlign w:val="bottom"/>
            <w:hideMark/>
          </w:tcPr>
          <w:p w14:paraId="59167120" w14:textId="632722A9"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20,955</w:t>
            </w:r>
          </w:p>
        </w:tc>
      </w:tr>
      <w:tr w:rsidR="00AE25B4" w:rsidRPr="00AE25B4" w14:paraId="532DEE79" w14:textId="77777777" w:rsidTr="00AE25B4">
        <w:trPr>
          <w:trHeight w:val="204"/>
        </w:trPr>
        <w:tc>
          <w:tcPr>
            <w:tcW w:w="3319" w:type="dxa"/>
            <w:tcBorders>
              <w:top w:val="nil"/>
              <w:left w:val="nil"/>
              <w:bottom w:val="nil"/>
              <w:right w:val="nil"/>
            </w:tcBorders>
            <w:shd w:val="clear" w:color="auto" w:fill="auto"/>
            <w:vAlign w:val="center"/>
            <w:hideMark/>
          </w:tcPr>
          <w:p w14:paraId="614AF9D3" w14:textId="40B7AAF2" w:rsidR="00AE25B4" w:rsidRPr="00AE25B4" w:rsidRDefault="00AE25B4" w:rsidP="00887AE8">
            <w:pPr>
              <w:spacing w:after="0" w:line="240" w:lineRule="auto"/>
              <w:jc w:val="left"/>
              <w:rPr>
                <w:rFonts w:ascii="Arial" w:hAnsi="Arial" w:cs="Arial"/>
                <w:b/>
                <w:bCs/>
                <w:sz w:val="16"/>
                <w:szCs w:val="16"/>
              </w:rPr>
            </w:pPr>
            <w:r w:rsidRPr="00AE25B4">
              <w:rPr>
                <w:rFonts w:ascii="Arial" w:hAnsi="Arial" w:cs="Arial"/>
                <w:b/>
                <w:bCs/>
                <w:sz w:val="16"/>
                <w:szCs w:val="16"/>
              </w:rPr>
              <w:t>RECONCILIATION OF CASH USED</w:t>
            </w:r>
            <w:r w:rsidR="00887AE8">
              <w:rPr>
                <w:rFonts w:ascii="Arial" w:hAnsi="Arial" w:cs="Arial"/>
                <w:b/>
                <w:bCs/>
                <w:sz w:val="16"/>
                <w:szCs w:val="16"/>
              </w:rPr>
              <w:t xml:space="preserve"> </w:t>
            </w:r>
            <w:r w:rsidRPr="00AE25B4">
              <w:rPr>
                <w:rFonts w:ascii="Arial" w:hAnsi="Arial" w:cs="Arial"/>
                <w:b/>
                <w:bCs/>
                <w:sz w:val="16"/>
                <w:szCs w:val="16"/>
              </w:rPr>
              <w:t>TO ACQUIRE ASSETS TO ASSET</w:t>
            </w:r>
            <w:r w:rsidR="00887AE8">
              <w:rPr>
                <w:rFonts w:ascii="Arial" w:hAnsi="Arial" w:cs="Arial"/>
                <w:b/>
                <w:bCs/>
                <w:sz w:val="16"/>
                <w:szCs w:val="16"/>
              </w:rPr>
              <w:t xml:space="preserve"> </w:t>
            </w:r>
            <w:r w:rsidRPr="00AE25B4">
              <w:rPr>
                <w:rFonts w:ascii="Arial" w:hAnsi="Arial" w:cs="Arial"/>
                <w:b/>
                <w:bCs/>
                <w:sz w:val="16"/>
                <w:szCs w:val="16"/>
              </w:rPr>
              <w:t>MOVEMENT TABLE</w:t>
            </w:r>
          </w:p>
        </w:tc>
        <w:tc>
          <w:tcPr>
            <w:tcW w:w="934" w:type="dxa"/>
            <w:tcBorders>
              <w:top w:val="nil"/>
              <w:left w:val="nil"/>
              <w:bottom w:val="nil"/>
              <w:right w:val="nil"/>
            </w:tcBorders>
            <w:shd w:val="clear" w:color="auto" w:fill="auto"/>
            <w:noWrap/>
            <w:vAlign w:val="bottom"/>
            <w:hideMark/>
          </w:tcPr>
          <w:p w14:paraId="145EFCDB" w14:textId="77777777" w:rsidR="00AE25B4" w:rsidRPr="00AE25B4" w:rsidRDefault="00AE25B4" w:rsidP="00141F01">
            <w:pPr>
              <w:spacing w:after="0" w:line="240" w:lineRule="auto"/>
              <w:jc w:val="right"/>
              <w:rPr>
                <w:rFonts w:ascii="Arial" w:hAnsi="Arial" w:cs="Arial"/>
                <w:b/>
                <w:bCs/>
                <w:sz w:val="16"/>
                <w:szCs w:val="16"/>
              </w:rPr>
            </w:pPr>
          </w:p>
        </w:tc>
        <w:tc>
          <w:tcPr>
            <w:tcW w:w="992" w:type="dxa"/>
            <w:tcBorders>
              <w:top w:val="nil"/>
              <w:left w:val="nil"/>
              <w:bottom w:val="nil"/>
              <w:right w:val="nil"/>
            </w:tcBorders>
            <w:shd w:val="clear" w:color="000000" w:fill="E6E6E6"/>
            <w:noWrap/>
            <w:vAlign w:val="bottom"/>
            <w:hideMark/>
          </w:tcPr>
          <w:p w14:paraId="1B1711F0" w14:textId="6F69A6DA" w:rsidR="00AE25B4" w:rsidRPr="00AE25B4" w:rsidRDefault="00AE25B4" w:rsidP="00141F0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F17D663" w14:textId="77777777" w:rsidR="00AE25B4" w:rsidRPr="00AE25B4" w:rsidRDefault="00AE25B4" w:rsidP="00141F0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308888A1" w14:textId="77777777" w:rsidR="00AE25B4" w:rsidRPr="00AE25B4" w:rsidRDefault="00AE25B4" w:rsidP="00141F01">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00EE5B37" w14:textId="77777777" w:rsidR="00AE25B4" w:rsidRPr="00AE25B4" w:rsidRDefault="00AE25B4" w:rsidP="00141F01">
            <w:pPr>
              <w:spacing w:after="0" w:line="240" w:lineRule="auto"/>
              <w:jc w:val="right"/>
              <w:rPr>
                <w:rFonts w:ascii="Arial" w:hAnsi="Arial" w:cs="Arial"/>
                <w:sz w:val="16"/>
                <w:szCs w:val="16"/>
              </w:rPr>
            </w:pPr>
          </w:p>
        </w:tc>
      </w:tr>
      <w:tr w:rsidR="00AE25B4" w:rsidRPr="00AE25B4" w14:paraId="3CC91104" w14:textId="77777777" w:rsidTr="00AE25B4">
        <w:trPr>
          <w:trHeight w:val="204"/>
        </w:trPr>
        <w:tc>
          <w:tcPr>
            <w:tcW w:w="3319" w:type="dxa"/>
            <w:tcBorders>
              <w:top w:val="nil"/>
              <w:left w:val="nil"/>
              <w:bottom w:val="nil"/>
              <w:right w:val="nil"/>
            </w:tcBorders>
            <w:shd w:val="clear" w:color="auto" w:fill="auto"/>
            <w:noWrap/>
            <w:vAlign w:val="center"/>
            <w:hideMark/>
          </w:tcPr>
          <w:p w14:paraId="24227938" w14:textId="77777777" w:rsidR="00AE25B4" w:rsidRPr="00AE25B4" w:rsidRDefault="00AE25B4" w:rsidP="00887AE8">
            <w:pPr>
              <w:spacing w:after="0" w:line="240" w:lineRule="auto"/>
              <w:ind w:left="113"/>
              <w:jc w:val="left"/>
              <w:rPr>
                <w:rFonts w:ascii="Arial" w:hAnsi="Arial" w:cs="Arial"/>
                <w:sz w:val="16"/>
                <w:szCs w:val="16"/>
              </w:rPr>
            </w:pPr>
            <w:r w:rsidRPr="00AE25B4">
              <w:rPr>
                <w:rFonts w:ascii="Arial" w:hAnsi="Arial" w:cs="Arial"/>
                <w:sz w:val="16"/>
                <w:szCs w:val="16"/>
              </w:rPr>
              <w:t>Total purchases</w:t>
            </w:r>
          </w:p>
        </w:tc>
        <w:tc>
          <w:tcPr>
            <w:tcW w:w="934" w:type="dxa"/>
            <w:tcBorders>
              <w:top w:val="nil"/>
              <w:left w:val="nil"/>
              <w:bottom w:val="nil"/>
              <w:right w:val="nil"/>
            </w:tcBorders>
            <w:shd w:val="clear" w:color="auto" w:fill="auto"/>
            <w:noWrap/>
            <w:vAlign w:val="bottom"/>
            <w:hideMark/>
          </w:tcPr>
          <w:p w14:paraId="59910F71" w14:textId="4332E3E5"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13,334</w:t>
            </w:r>
          </w:p>
        </w:tc>
        <w:tc>
          <w:tcPr>
            <w:tcW w:w="992" w:type="dxa"/>
            <w:tcBorders>
              <w:top w:val="nil"/>
              <w:left w:val="nil"/>
              <w:bottom w:val="nil"/>
              <w:right w:val="nil"/>
            </w:tcBorders>
            <w:shd w:val="clear" w:color="000000" w:fill="E6E6E6"/>
            <w:noWrap/>
            <w:vAlign w:val="bottom"/>
            <w:hideMark/>
          </w:tcPr>
          <w:p w14:paraId="2D0A4170" w14:textId="125D94D9"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20,937</w:t>
            </w:r>
          </w:p>
        </w:tc>
        <w:tc>
          <w:tcPr>
            <w:tcW w:w="821" w:type="dxa"/>
            <w:tcBorders>
              <w:top w:val="nil"/>
              <w:left w:val="nil"/>
              <w:bottom w:val="nil"/>
              <w:right w:val="nil"/>
            </w:tcBorders>
            <w:shd w:val="clear" w:color="auto" w:fill="auto"/>
            <w:noWrap/>
            <w:vAlign w:val="bottom"/>
            <w:hideMark/>
          </w:tcPr>
          <w:p w14:paraId="7D7D21ED" w14:textId="2B23F557"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20,926</w:t>
            </w:r>
          </w:p>
        </w:tc>
        <w:tc>
          <w:tcPr>
            <w:tcW w:w="821" w:type="dxa"/>
            <w:tcBorders>
              <w:top w:val="nil"/>
              <w:left w:val="nil"/>
              <w:bottom w:val="nil"/>
              <w:right w:val="nil"/>
            </w:tcBorders>
            <w:shd w:val="clear" w:color="auto" w:fill="auto"/>
            <w:noWrap/>
            <w:vAlign w:val="bottom"/>
            <w:hideMark/>
          </w:tcPr>
          <w:p w14:paraId="448B82CC" w14:textId="1D87E067"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20,927</w:t>
            </w:r>
          </w:p>
        </w:tc>
        <w:tc>
          <w:tcPr>
            <w:tcW w:w="821" w:type="dxa"/>
            <w:tcBorders>
              <w:top w:val="nil"/>
              <w:left w:val="nil"/>
              <w:bottom w:val="nil"/>
              <w:right w:val="nil"/>
            </w:tcBorders>
            <w:shd w:val="clear" w:color="auto" w:fill="auto"/>
            <w:noWrap/>
            <w:vAlign w:val="bottom"/>
            <w:hideMark/>
          </w:tcPr>
          <w:p w14:paraId="3725B622" w14:textId="00B88213" w:rsidR="00AE25B4" w:rsidRPr="00AE25B4" w:rsidRDefault="00AE25B4" w:rsidP="00141F01">
            <w:pPr>
              <w:spacing w:after="0" w:line="240" w:lineRule="auto"/>
              <w:jc w:val="right"/>
              <w:rPr>
                <w:rFonts w:ascii="Arial" w:hAnsi="Arial" w:cs="Arial"/>
                <w:sz w:val="16"/>
                <w:szCs w:val="16"/>
              </w:rPr>
            </w:pPr>
            <w:r w:rsidRPr="00AE25B4">
              <w:rPr>
                <w:rFonts w:ascii="Arial" w:hAnsi="Arial" w:cs="Arial"/>
                <w:sz w:val="16"/>
                <w:szCs w:val="16"/>
              </w:rPr>
              <w:t>20,955</w:t>
            </w:r>
          </w:p>
        </w:tc>
      </w:tr>
      <w:tr w:rsidR="00AE25B4" w:rsidRPr="00AE25B4" w14:paraId="0D9A0E95" w14:textId="77777777" w:rsidTr="00AE25B4">
        <w:trPr>
          <w:trHeight w:val="204"/>
        </w:trPr>
        <w:tc>
          <w:tcPr>
            <w:tcW w:w="3319" w:type="dxa"/>
            <w:tcBorders>
              <w:top w:val="nil"/>
              <w:left w:val="nil"/>
              <w:bottom w:val="single" w:sz="4" w:space="0" w:color="auto"/>
              <w:right w:val="nil"/>
            </w:tcBorders>
            <w:shd w:val="clear" w:color="auto" w:fill="auto"/>
            <w:vAlign w:val="center"/>
            <w:hideMark/>
          </w:tcPr>
          <w:p w14:paraId="089E980E" w14:textId="77777777" w:rsidR="00AE25B4" w:rsidRPr="00AE25B4" w:rsidRDefault="00AE25B4" w:rsidP="00AE25B4">
            <w:pPr>
              <w:spacing w:after="0" w:line="240" w:lineRule="auto"/>
              <w:jc w:val="left"/>
              <w:rPr>
                <w:rFonts w:ascii="Arial" w:hAnsi="Arial" w:cs="Arial"/>
                <w:b/>
                <w:bCs/>
                <w:sz w:val="16"/>
                <w:szCs w:val="16"/>
              </w:rPr>
            </w:pPr>
            <w:r w:rsidRPr="00AE25B4">
              <w:rPr>
                <w:rFonts w:ascii="Arial" w:hAnsi="Arial" w:cs="Arial"/>
                <w:b/>
                <w:bCs/>
                <w:sz w:val="16"/>
                <w:szCs w:val="16"/>
              </w:rPr>
              <w:t>Total cash used to acquire assets</w:t>
            </w:r>
          </w:p>
        </w:tc>
        <w:tc>
          <w:tcPr>
            <w:tcW w:w="934" w:type="dxa"/>
            <w:tcBorders>
              <w:top w:val="single" w:sz="4" w:space="0" w:color="auto"/>
              <w:left w:val="nil"/>
              <w:bottom w:val="single" w:sz="4" w:space="0" w:color="auto"/>
              <w:right w:val="nil"/>
            </w:tcBorders>
            <w:shd w:val="clear" w:color="auto" w:fill="auto"/>
            <w:noWrap/>
            <w:vAlign w:val="bottom"/>
            <w:hideMark/>
          </w:tcPr>
          <w:p w14:paraId="473BFD25" w14:textId="4162BE49"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13,334</w:t>
            </w:r>
          </w:p>
        </w:tc>
        <w:tc>
          <w:tcPr>
            <w:tcW w:w="992" w:type="dxa"/>
            <w:tcBorders>
              <w:top w:val="single" w:sz="4" w:space="0" w:color="auto"/>
              <w:left w:val="nil"/>
              <w:bottom w:val="single" w:sz="4" w:space="0" w:color="auto"/>
              <w:right w:val="nil"/>
            </w:tcBorders>
            <w:shd w:val="clear" w:color="000000" w:fill="E6E6E6"/>
            <w:noWrap/>
            <w:vAlign w:val="bottom"/>
            <w:hideMark/>
          </w:tcPr>
          <w:p w14:paraId="636B46C9" w14:textId="042AD6E2"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20,937</w:t>
            </w:r>
          </w:p>
        </w:tc>
        <w:tc>
          <w:tcPr>
            <w:tcW w:w="821" w:type="dxa"/>
            <w:tcBorders>
              <w:top w:val="single" w:sz="4" w:space="0" w:color="auto"/>
              <w:left w:val="nil"/>
              <w:bottom w:val="single" w:sz="4" w:space="0" w:color="auto"/>
              <w:right w:val="nil"/>
            </w:tcBorders>
            <w:shd w:val="clear" w:color="auto" w:fill="auto"/>
            <w:noWrap/>
            <w:vAlign w:val="bottom"/>
            <w:hideMark/>
          </w:tcPr>
          <w:p w14:paraId="25877EC3" w14:textId="7A824B4E"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20,926</w:t>
            </w:r>
          </w:p>
        </w:tc>
        <w:tc>
          <w:tcPr>
            <w:tcW w:w="821" w:type="dxa"/>
            <w:tcBorders>
              <w:top w:val="single" w:sz="4" w:space="0" w:color="auto"/>
              <w:left w:val="nil"/>
              <w:bottom w:val="single" w:sz="4" w:space="0" w:color="auto"/>
              <w:right w:val="nil"/>
            </w:tcBorders>
            <w:shd w:val="clear" w:color="auto" w:fill="auto"/>
            <w:noWrap/>
            <w:vAlign w:val="bottom"/>
            <w:hideMark/>
          </w:tcPr>
          <w:p w14:paraId="5A16CE56" w14:textId="738FD9CE"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20,927</w:t>
            </w:r>
          </w:p>
        </w:tc>
        <w:tc>
          <w:tcPr>
            <w:tcW w:w="821" w:type="dxa"/>
            <w:tcBorders>
              <w:top w:val="single" w:sz="4" w:space="0" w:color="auto"/>
              <w:left w:val="nil"/>
              <w:bottom w:val="single" w:sz="4" w:space="0" w:color="auto"/>
              <w:right w:val="nil"/>
            </w:tcBorders>
            <w:shd w:val="clear" w:color="auto" w:fill="auto"/>
            <w:noWrap/>
            <w:vAlign w:val="bottom"/>
            <w:hideMark/>
          </w:tcPr>
          <w:p w14:paraId="37F6AEBB" w14:textId="70A3B862" w:rsidR="00AE25B4" w:rsidRPr="00AE25B4" w:rsidRDefault="00AE25B4" w:rsidP="00141F01">
            <w:pPr>
              <w:spacing w:after="0" w:line="240" w:lineRule="auto"/>
              <w:jc w:val="right"/>
              <w:rPr>
                <w:rFonts w:ascii="Arial" w:hAnsi="Arial" w:cs="Arial"/>
                <w:b/>
                <w:bCs/>
                <w:sz w:val="16"/>
                <w:szCs w:val="16"/>
              </w:rPr>
            </w:pPr>
            <w:r w:rsidRPr="00AE25B4">
              <w:rPr>
                <w:rFonts w:ascii="Arial" w:hAnsi="Arial" w:cs="Arial"/>
                <w:b/>
                <w:bCs/>
                <w:sz w:val="16"/>
                <w:szCs w:val="16"/>
              </w:rPr>
              <w:t>20,955</w:t>
            </w:r>
          </w:p>
        </w:tc>
      </w:tr>
    </w:tbl>
    <w:p w14:paraId="478226AC" w14:textId="77777777" w:rsidR="00B11134" w:rsidRPr="009563E3" w:rsidRDefault="00B11134" w:rsidP="00574131">
      <w:pPr>
        <w:spacing w:before="60" w:after="0" w:line="240" w:lineRule="auto"/>
        <w:jc w:val="left"/>
      </w:pPr>
      <w:r w:rsidRPr="00B11134">
        <w:rPr>
          <w:rFonts w:ascii="Arial" w:hAnsi="Arial" w:cs="Arial"/>
          <w:sz w:val="16"/>
          <w:szCs w:val="16"/>
        </w:rPr>
        <w:t>Prepared on Australian Accounting Standards basis</w:t>
      </w:r>
    </w:p>
    <w:p w14:paraId="3D927136" w14:textId="2FA764EE" w:rsidR="00984C33" w:rsidRPr="009563E3" w:rsidRDefault="00984C33" w:rsidP="00F10ACD">
      <w:pPr>
        <w:pStyle w:val="TableGraphic"/>
        <w:numPr>
          <w:ilvl w:val="0"/>
          <w:numId w:val="22"/>
        </w:numPr>
        <w:ind w:left="284" w:hanging="284"/>
        <w:jc w:val="left"/>
        <w:rPr>
          <w:rFonts w:ascii="Arial" w:hAnsi="Arial" w:cs="Arial"/>
          <w:i w:val="0"/>
          <w:color w:val="auto"/>
          <w:sz w:val="16"/>
          <w:szCs w:val="16"/>
        </w:rPr>
      </w:pPr>
      <w:r w:rsidRPr="009563E3">
        <w:rPr>
          <w:rFonts w:ascii="Arial" w:hAnsi="Arial" w:cs="Arial"/>
          <w:i w:val="0"/>
          <w:color w:val="auto"/>
          <w:sz w:val="16"/>
          <w:szCs w:val="16"/>
        </w:rPr>
        <w:t xml:space="preserve">Includes both current Bill </w:t>
      </w:r>
      <w:r w:rsidR="007E1EA3">
        <w:rPr>
          <w:rFonts w:ascii="Arial" w:hAnsi="Arial" w:cs="Arial"/>
          <w:i w:val="0"/>
          <w:color w:val="auto"/>
          <w:sz w:val="16"/>
          <w:szCs w:val="16"/>
        </w:rPr>
        <w:t>4</w:t>
      </w:r>
      <w:r w:rsidRPr="009563E3">
        <w:rPr>
          <w:rFonts w:ascii="Arial" w:hAnsi="Arial" w:cs="Arial"/>
          <w:i w:val="0"/>
          <w:color w:val="auto"/>
          <w:sz w:val="16"/>
          <w:szCs w:val="16"/>
        </w:rPr>
        <w:t xml:space="preserve"> and prior Act 2 appropriations and special capital appropriations.</w:t>
      </w:r>
    </w:p>
    <w:p w14:paraId="25150784" w14:textId="6155E97E" w:rsidR="00984C33" w:rsidRPr="00553D12" w:rsidRDefault="00984C33" w:rsidP="00F10ACD">
      <w:pPr>
        <w:pStyle w:val="TableGraphic"/>
        <w:numPr>
          <w:ilvl w:val="0"/>
          <w:numId w:val="22"/>
        </w:numPr>
        <w:ind w:left="284" w:hanging="284"/>
        <w:jc w:val="left"/>
        <w:rPr>
          <w:rFonts w:ascii="Arial" w:hAnsi="Arial" w:cs="Arial"/>
          <w:i w:val="0"/>
          <w:color w:val="auto"/>
          <w:sz w:val="16"/>
          <w:szCs w:val="16"/>
        </w:rPr>
      </w:pPr>
      <w:r w:rsidRPr="00553D12">
        <w:rPr>
          <w:rFonts w:ascii="Arial" w:hAnsi="Arial" w:cs="Arial"/>
          <w:i w:val="0"/>
          <w:color w:val="auto"/>
          <w:sz w:val="16"/>
          <w:szCs w:val="16"/>
        </w:rPr>
        <w:t>Includes sources of funding</w:t>
      </w:r>
      <w:r w:rsidR="00AE25B4" w:rsidRPr="00553D12">
        <w:rPr>
          <w:rFonts w:ascii="Arial" w:hAnsi="Arial" w:cs="Arial"/>
          <w:i w:val="0"/>
          <w:color w:val="auto"/>
          <w:sz w:val="16"/>
          <w:szCs w:val="16"/>
        </w:rPr>
        <w:t xml:space="preserve"> from </w:t>
      </w:r>
      <w:r w:rsidRPr="00553D12">
        <w:rPr>
          <w:rFonts w:ascii="Arial" w:hAnsi="Arial" w:cs="Arial"/>
          <w:i w:val="0"/>
          <w:color w:val="auto"/>
          <w:sz w:val="16"/>
          <w:szCs w:val="16"/>
        </w:rPr>
        <w:t xml:space="preserve">current </w:t>
      </w:r>
      <w:r w:rsidR="00AE25B4" w:rsidRPr="00553D12">
        <w:rPr>
          <w:rFonts w:ascii="Arial" w:hAnsi="Arial" w:cs="Arial"/>
          <w:i w:val="0"/>
          <w:color w:val="auto"/>
          <w:sz w:val="16"/>
          <w:szCs w:val="16"/>
        </w:rPr>
        <w:t>Act</w:t>
      </w:r>
      <w:r w:rsidRPr="00553D12">
        <w:rPr>
          <w:rFonts w:ascii="Arial" w:hAnsi="Arial" w:cs="Arial"/>
          <w:i w:val="0"/>
          <w:color w:val="auto"/>
          <w:sz w:val="16"/>
          <w:szCs w:val="16"/>
        </w:rPr>
        <w:t xml:space="preserve"> </w:t>
      </w:r>
      <w:r w:rsidR="00AE25B4" w:rsidRPr="00553D12">
        <w:rPr>
          <w:rFonts w:ascii="Arial" w:hAnsi="Arial" w:cs="Arial"/>
          <w:i w:val="0"/>
          <w:color w:val="auto"/>
          <w:sz w:val="16"/>
          <w:szCs w:val="16"/>
        </w:rPr>
        <w:t xml:space="preserve">No. </w:t>
      </w:r>
      <w:r w:rsidRPr="00553D12">
        <w:rPr>
          <w:rFonts w:ascii="Arial" w:hAnsi="Arial" w:cs="Arial"/>
          <w:i w:val="0"/>
          <w:color w:val="auto"/>
          <w:sz w:val="16"/>
          <w:szCs w:val="16"/>
        </w:rPr>
        <w:t>1</w:t>
      </w:r>
      <w:r w:rsidR="00AE25B4" w:rsidRPr="00553D12">
        <w:rPr>
          <w:rFonts w:ascii="Arial" w:hAnsi="Arial" w:cs="Arial"/>
          <w:i w:val="0"/>
          <w:color w:val="auto"/>
          <w:sz w:val="16"/>
          <w:szCs w:val="16"/>
        </w:rPr>
        <w:t>,</w:t>
      </w:r>
      <w:r w:rsidRPr="00553D12">
        <w:rPr>
          <w:rFonts w:ascii="Arial" w:hAnsi="Arial" w:cs="Arial"/>
          <w:i w:val="0"/>
          <w:color w:val="auto"/>
          <w:sz w:val="16"/>
          <w:szCs w:val="16"/>
        </w:rPr>
        <w:t xml:space="preserve"> </w:t>
      </w:r>
      <w:r w:rsidR="00AE25B4" w:rsidRPr="00553D12">
        <w:rPr>
          <w:rFonts w:ascii="Arial" w:hAnsi="Arial" w:cs="Arial"/>
          <w:i w:val="0"/>
          <w:color w:val="auto"/>
          <w:sz w:val="16"/>
          <w:szCs w:val="16"/>
        </w:rPr>
        <w:t xml:space="preserve">Bill No. 3 </w:t>
      </w:r>
      <w:r w:rsidRPr="00553D12">
        <w:rPr>
          <w:rFonts w:ascii="Arial" w:hAnsi="Arial" w:cs="Arial"/>
          <w:i w:val="0"/>
          <w:color w:val="auto"/>
          <w:sz w:val="16"/>
          <w:szCs w:val="16"/>
        </w:rPr>
        <w:t>and prior year Act 1 appropriations</w:t>
      </w:r>
      <w:r w:rsidR="00AE25B4" w:rsidRPr="00553D12">
        <w:rPr>
          <w:rFonts w:ascii="Arial" w:hAnsi="Arial" w:cs="Arial"/>
          <w:i w:val="0"/>
          <w:color w:val="auto"/>
          <w:sz w:val="16"/>
          <w:szCs w:val="16"/>
        </w:rPr>
        <w:t xml:space="preserve">, </w:t>
      </w:r>
      <w:r w:rsidR="00553D12" w:rsidRPr="00553D12">
        <w:rPr>
          <w:rFonts w:ascii="Arial" w:hAnsi="Arial" w:cs="Arial"/>
          <w:i w:val="0"/>
          <w:color w:val="auto"/>
          <w:sz w:val="16"/>
          <w:szCs w:val="16"/>
        </w:rPr>
        <w:t xml:space="preserve">donations and contributions, gifts, internally developed assets, and </w:t>
      </w:r>
      <w:r w:rsidRPr="00553D12">
        <w:rPr>
          <w:rFonts w:ascii="Arial" w:hAnsi="Arial" w:cs="Arial"/>
          <w:i w:val="0"/>
          <w:color w:val="auto"/>
          <w:sz w:val="16"/>
          <w:szCs w:val="16"/>
        </w:rPr>
        <w:t>proceeds from the sale of assets.</w:t>
      </w:r>
    </w:p>
    <w:p w14:paraId="292949F9" w14:textId="77777777" w:rsidR="00984C33" w:rsidRDefault="00984C33" w:rsidP="00984C33">
      <w:pPr>
        <w:spacing w:after="0" w:line="240" w:lineRule="auto"/>
        <w:jc w:val="left"/>
      </w:pPr>
      <w:r>
        <w:br w:type="page"/>
      </w:r>
    </w:p>
    <w:p w14:paraId="479C5A1E" w14:textId="63732E47" w:rsidR="00137E95" w:rsidRDefault="00914885" w:rsidP="00984C33">
      <w:pPr>
        <w:pStyle w:val="TableHeading"/>
        <w:spacing w:before="0" w:after="0"/>
        <w:rPr>
          <w:snapToGrid w:val="0"/>
        </w:rPr>
      </w:pPr>
      <w:r>
        <w:rPr>
          <w:snapToGrid w:val="0"/>
        </w:rPr>
        <w:lastRenderedPageBreak/>
        <w:t>Table 3.</w:t>
      </w:r>
      <w:r>
        <w:rPr>
          <w:snapToGrid w:val="0"/>
          <w:lang w:val="en-AU"/>
        </w:rPr>
        <w:t>7</w:t>
      </w:r>
      <w:r>
        <w:rPr>
          <w:snapToGrid w:val="0"/>
        </w:rPr>
        <w:t xml:space="preserve">: </w:t>
      </w:r>
      <w:r w:rsidRPr="00014438">
        <w:rPr>
          <w:snapToGrid w:val="0"/>
        </w:rPr>
        <w:t>Statement of asset movements (</w:t>
      </w:r>
      <w:r w:rsidR="00377489">
        <w:rPr>
          <w:snapToGrid w:val="0"/>
          <w:lang w:val="en-AU"/>
        </w:rPr>
        <w:t>2021-22 Budget year</w:t>
      </w:r>
      <w:r w:rsidRPr="00014438">
        <w:rPr>
          <w:snapToGrid w:val="0"/>
        </w:rPr>
        <w:t>)</w:t>
      </w:r>
    </w:p>
    <w:tbl>
      <w:tblPr>
        <w:tblW w:w="7654" w:type="dxa"/>
        <w:tblLayout w:type="fixed"/>
        <w:tblLook w:val="04A0" w:firstRow="1" w:lastRow="0" w:firstColumn="1" w:lastColumn="0" w:noHBand="0" w:noVBand="1"/>
      </w:tblPr>
      <w:tblGrid>
        <w:gridCol w:w="2268"/>
        <w:gridCol w:w="706"/>
        <w:gridCol w:w="866"/>
        <w:gridCol w:w="964"/>
        <w:gridCol w:w="928"/>
        <w:gridCol w:w="981"/>
        <w:gridCol w:w="941"/>
      </w:tblGrid>
      <w:tr w:rsidR="00137E95" w:rsidRPr="00137E95" w14:paraId="64755574" w14:textId="77777777" w:rsidTr="00094B08">
        <w:trPr>
          <w:trHeight w:val="195"/>
        </w:trPr>
        <w:tc>
          <w:tcPr>
            <w:tcW w:w="2268" w:type="dxa"/>
            <w:tcBorders>
              <w:top w:val="single" w:sz="4" w:space="0" w:color="auto"/>
              <w:left w:val="nil"/>
              <w:bottom w:val="nil"/>
              <w:right w:val="nil"/>
            </w:tcBorders>
            <w:shd w:val="clear" w:color="auto" w:fill="auto"/>
            <w:noWrap/>
            <w:vAlign w:val="center"/>
          </w:tcPr>
          <w:p w14:paraId="2EC6FDEC" w14:textId="77777777" w:rsidR="00137E95" w:rsidRPr="00137E95" w:rsidRDefault="00137E95" w:rsidP="00137E95">
            <w:pPr>
              <w:spacing w:after="0" w:line="240" w:lineRule="auto"/>
              <w:jc w:val="left"/>
              <w:rPr>
                <w:rFonts w:ascii="Arial" w:hAnsi="Arial" w:cs="Arial"/>
                <w:sz w:val="16"/>
                <w:szCs w:val="16"/>
              </w:rPr>
            </w:pPr>
          </w:p>
        </w:tc>
        <w:tc>
          <w:tcPr>
            <w:tcW w:w="5386" w:type="dxa"/>
            <w:gridSpan w:val="6"/>
            <w:tcBorders>
              <w:top w:val="single" w:sz="4" w:space="0" w:color="auto"/>
              <w:left w:val="nil"/>
              <w:bottom w:val="single" w:sz="4" w:space="0" w:color="auto"/>
              <w:right w:val="nil"/>
            </w:tcBorders>
            <w:shd w:val="clear" w:color="auto" w:fill="auto"/>
            <w:vAlign w:val="center"/>
          </w:tcPr>
          <w:p w14:paraId="56610E7A" w14:textId="2033AA1D" w:rsidR="00137E95" w:rsidRPr="00137E95" w:rsidRDefault="00137E95" w:rsidP="00137E95">
            <w:pPr>
              <w:spacing w:after="0" w:line="240" w:lineRule="auto"/>
              <w:jc w:val="center"/>
              <w:rPr>
                <w:rFonts w:ascii="Arial" w:hAnsi="Arial" w:cs="Arial"/>
                <w:b/>
                <w:sz w:val="16"/>
                <w:szCs w:val="16"/>
              </w:rPr>
            </w:pPr>
            <w:r w:rsidRPr="00137E95">
              <w:rPr>
                <w:rFonts w:ascii="Arial" w:hAnsi="Arial" w:cs="Arial"/>
                <w:b/>
                <w:sz w:val="16"/>
                <w:szCs w:val="16"/>
              </w:rPr>
              <w:t>Asset Category</w:t>
            </w:r>
          </w:p>
        </w:tc>
      </w:tr>
      <w:tr w:rsidR="00137E95" w:rsidRPr="00137E95" w14:paraId="25CBF7F3" w14:textId="77777777" w:rsidTr="00094B08">
        <w:trPr>
          <w:trHeight w:val="903"/>
        </w:trPr>
        <w:tc>
          <w:tcPr>
            <w:tcW w:w="2268" w:type="dxa"/>
            <w:tcBorders>
              <w:left w:val="nil"/>
              <w:bottom w:val="nil"/>
              <w:right w:val="nil"/>
            </w:tcBorders>
            <w:shd w:val="clear" w:color="auto" w:fill="auto"/>
            <w:noWrap/>
            <w:vAlign w:val="center"/>
            <w:hideMark/>
          </w:tcPr>
          <w:p w14:paraId="2B39B275" w14:textId="77777777" w:rsidR="00137E95" w:rsidRPr="00137E95" w:rsidRDefault="00137E95" w:rsidP="00137E95">
            <w:pPr>
              <w:spacing w:after="0" w:line="240" w:lineRule="auto"/>
              <w:jc w:val="left"/>
              <w:rPr>
                <w:rFonts w:ascii="Arial" w:hAnsi="Arial" w:cs="Arial"/>
                <w:sz w:val="16"/>
                <w:szCs w:val="16"/>
              </w:rPr>
            </w:pPr>
            <w:r w:rsidRPr="00137E95">
              <w:rPr>
                <w:rFonts w:ascii="Arial" w:hAnsi="Arial" w:cs="Arial"/>
                <w:sz w:val="16"/>
                <w:szCs w:val="16"/>
              </w:rPr>
              <w:t> </w:t>
            </w:r>
          </w:p>
        </w:tc>
        <w:tc>
          <w:tcPr>
            <w:tcW w:w="706" w:type="dxa"/>
            <w:tcBorders>
              <w:top w:val="single" w:sz="4" w:space="0" w:color="auto"/>
              <w:left w:val="nil"/>
              <w:bottom w:val="single" w:sz="4" w:space="0" w:color="auto"/>
              <w:right w:val="nil"/>
            </w:tcBorders>
            <w:shd w:val="clear" w:color="auto" w:fill="auto"/>
            <w:vAlign w:val="center"/>
            <w:hideMark/>
          </w:tcPr>
          <w:p w14:paraId="5F7FFA82" w14:textId="77777777" w:rsidR="00137E95" w:rsidRPr="00137E95" w:rsidRDefault="00137E95" w:rsidP="00137E95">
            <w:pPr>
              <w:spacing w:after="0" w:line="240" w:lineRule="auto"/>
              <w:jc w:val="right"/>
              <w:rPr>
                <w:rFonts w:ascii="Arial" w:hAnsi="Arial" w:cs="Arial"/>
                <w:sz w:val="16"/>
                <w:szCs w:val="16"/>
              </w:rPr>
            </w:pPr>
            <w:r w:rsidRPr="00137E95">
              <w:rPr>
                <w:rFonts w:ascii="Arial" w:hAnsi="Arial" w:cs="Arial"/>
                <w:sz w:val="16"/>
                <w:szCs w:val="16"/>
              </w:rPr>
              <w:t>Land</w:t>
            </w:r>
            <w:r w:rsidRPr="00137E95">
              <w:rPr>
                <w:rFonts w:ascii="Arial" w:hAnsi="Arial" w:cs="Arial"/>
                <w:sz w:val="16"/>
                <w:szCs w:val="16"/>
              </w:rPr>
              <w:br/>
            </w:r>
            <w:r w:rsidRPr="00137E95">
              <w:rPr>
                <w:rFonts w:ascii="Arial" w:hAnsi="Arial" w:cs="Arial"/>
                <w:sz w:val="16"/>
                <w:szCs w:val="16"/>
              </w:rPr>
              <w:br/>
            </w:r>
            <w:r w:rsidRPr="00137E95">
              <w:rPr>
                <w:rFonts w:ascii="Arial" w:hAnsi="Arial" w:cs="Arial"/>
                <w:sz w:val="16"/>
                <w:szCs w:val="16"/>
              </w:rPr>
              <w:br/>
            </w:r>
            <w:r w:rsidRPr="00137E95">
              <w:rPr>
                <w:rFonts w:ascii="Arial" w:hAnsi="Arial" w:cs="Arial"/>
                <w:sz w:val="16"/>
                <w:szCs w:val="16"/>
              </w:rPr>
              <w:br/>
              <w:t>$'000</w:t>
            </w:r>
          </w:p>
        </w:tc>
        <w:tc>
          <w:tcPr>
            <w:tcW w:w="866" w:type="dxa"/>
            <w:tcBorders>
              <w:top w:val="single" w:sz="4" w:space="0" w:color="auto"/>
              <w:left w:val="nil"/>
              <w:bottom w:val="single" w:sz="4" w:space="0" w:color="auto"/>
              <w:right w:val="nil"/>
            </w:tcBorders>
            <w:shd w:val="clear" w:color="auto" w:fill="auto"/>
            <w:vAlign w:val="center"/>
            <w:hideMark/>
          </w:tcPr>
          <w:p w14:paraId="4BBA3C6B" w14:textId="77777777" w:rsidR="00137E95" w:rsidRPr="00137E95" w:rsidRDefault="00137E95" w:rsidP="00137E95">
            <w:pPr>
              <w:spacing w:after="0" w:line="240" w:lineRule="auto"/>
              <w:jc w:val="right"/>
              <w:rPr>
                <w:rFonts w:ascii="Arial" w:hAnsi="Arial" w:cs="Arial"/>
                <w:sz w:val="16"/>
                <w:szCs w:val="16"/>
              </w:rPr>
            </w:pPr>
            <w:r w:rsidRPr="00137E95">
              <w:rPr>
                <w:rFonts w:ascii="Arial" w:hAnsi="Arial" w:cs="Arial"/>
                <w:sz w:val="16"/>
                <w:szCs w:val="16"/>
              </w:rPr>
              <w:t>Buildings</w:t>
            </w:r>
            <w:r w:rsidRPr="00137E95">
              <w:rPr>
                <w:rFonts w:ascii="Arial" w:hAnsi="Arial" w:cs="Arial"/>
                <w:sz w:val="16"/>
                <w:szCs w:val="16"/>
              </w:rPr>
              <w:br/>
            </w:r>
            <w:r w:rsidRPr="00137E95">
              <w:rPr>
                <w:rFonts w:ascii="Arial" w:hAnsi="Arial" w:cs="Arial"/>
                <w:sz w:val="16"/>
                <w:szCs w:val="16"/>
              </w:rPr>
              <w:br/>
            </w:r>
            <w:r w:rsidRPr="00137E95">
              <w:rPr>
                <w:rFonts w:ascii="Arial" w:hAnsi="Arial" w:cs="Arial"/>
                <w:sz w:val="16"/>
                <w:szCs w:val="16"/>
              </w:rPr>
              <w:br/>
            </w:r>
            <w:r w:rsidRPr="00137E95">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center"/>
            <w:hideMark/>
          </w:tcPr>
          <w:p w14:paraId="42ACC3FD" w14:textId="77777777" w:rsidR="00137E95" w:rsidRPr="00137E95" w:rsidRDefault="00137E95" w:rsidP="00137E95">
            <w:pPr>
              <w:spacing w:after="0" w:line="240" w:lineRule="auto"/>
              <w:jc w:val="right"/>
              <w:rPr>
                <w:rFonts w:ascii="Arial" w:hAnsi="Arial" w:cs="Arial"/>
                <w:sz w:val="16"/>
                <w:szCs w:val="16"/>
              </w:rPr>
            </w:pPr>
            <w:r w:rsidRPr="00137E95">
              <w:rPr>
                <w:rFonts w:ascii="Arial" w:hAnsi="Arial" w:cs="Arial"/>
                <w:sz w:val="16"/>
                <w:szCs w:val="16"/>
              </w:rPr>
              <w:t>Other</w:t>
            </w:r>
            <w:r w:rsidRPr="00137E95">
              <w:rPr>
                <w:rFonts w:ascii="Arial" w:hAnsi="Arial" w:cs="Arial"/>
                <w:sz w:val="16"/>
                <w:szCs w:val="16"/>
              </w:rPr>
              <w:br/>
              <w:t>property,</w:t>
            </w:r>
            <w:r w:rsidRPr="00137E95">
              <w:rPr>
                <w:rFonts w:ascii="Arial" w:hAnsi="Arial" w:cs="Arial"/>
                <w:sz w:val="16"/>
                <w:szCs w:val="16"/>
              </w:rPr>
              <w:br/>
              <w:t>plant and</w:t>
            </w:r>
            <w:r w:rsidRPr="00137E95">
              <w:rPr>
                <w:rFonts w:ascii="Arial" w:hAnsi="Arial" w:cs="Arial"/>
                <w:sz w:val="16"/>
                <w:szCs w:val="16"/>
              </w:rPr>
              <w:br/>
              <w:t>equipment</w:t>
            </w:r>
            <w:r w:rsidRPr="00137E95">
              <w:rPr>
                <w:rFonts w:ascii="Arial" w:hAnsi="Arial" w:cs="Arial"/>
                <w:sz w:val="16"/>
                <w:szCs w:val="16"/>
              </w:rPr>
              <w:br/>
              <w:t>$'000</w:t>
            </w:r>
          </w:p>
        </w:tc>
        <w:tc>
          <w:tcPr>
            <w:tcW w:w="928" w:type="dxa"/>
            <w:tcBorders>
              <w:top w:val="single" w:sz="4" w:space="0" w:color="auto"/>
              <w:left w:val="nil"/>
              <w:bottom w:val="single" w:sz="4" w:space="0" w:color="auto"/>
              <w:right w:val="nil"/>
            </w:tcBorders>
            <w:shd w:val="clear" w:color="auto" w:fill="auto"/>
            <w:vAlign w:val="center"/>
            <w:hideMark/>
          </w:tcPr>
          <w:p w14:paraId="78E7A90F" w14:textId="77777777" w:rsidR="00137E95" w:rsidRPr="00137E95" w:rsidRDefault="00137E95" w:rsidP="00137E95">
            <w:pPr>
              <w:spacing w:after="0" w:line="240" w:lineRule="auto"/>
              <w:jc w:val="right"/>
              <w:rPr>
                <w:rFonts w:ascii="Arial" w:hAnsi="Arial" w:cs="Arial"/>
                <w:sz w:val="16"/>
                <w:szCs w:val="16"/>
              </w:rPr>
            </w:pPr>
            <w:r w:rsidRPr="00137E95">
              <w:rPr>
                <w:rFonts w:ascii="Arial" w:hAnsi="Arial" w:cs="Arial"/>
                <w:sz w:val="16"/>
                <w:szCs w:val="16"/>
              </w:rPr>
              <w:t>Heritage</w:t>
            </w:r>
            <w:r w:rsidRPr="00137E95">
              <w:rPr>
                <w:rFonts w:ascii="Arial" w:hAnsi="Arial" w:cs="Arial"/>
                <w:sz w:val="16"/>
                <w:szCs w:val="16"/>
              </w:rPr>
              <w:br/>
              <w:t>and</w:t>
            </w:r>
            <w:r w:rsidRPr="00137E95">
              <w:rPr>
                <w:rFonts w:ascii="Arial" w:hAnsi="Arial" w:cs="Arial"/>
                <w:sz w:val="16"/>
                <w:szCs w:val="16"/>
              </w:rPr>
              <w:br/>
              <w:t>cultural</w:t>
            </w:r>
            <w:r w:rsidRPr="00137E95">
              <w:rPr>
                <w:rFonts w:ascii="Arial" w:hAnsi="Arial" w:cs="Arial"/>
                <w:sz w:val="16"/>
                <w:szCs w:val="16"/>
              </w:rPr>
              <w:br/>
            </w:r>
            <w:r w:rsidRPr="00137E95">
              <w:rPr>
                <w:rFonts w:ascii="Arial" w:hAnsi="Arial" w:cs="Arial"/>
                <w:sz w:val="16"/>
                <w:szCs w:val="16"/>
              </w:rPr>
              <w:br/>
              <w:t>$'000</w:t>
            </w:r>
          </w:p>
        </w:tc>
        <w:tc>
          <w:tcPr>
            <w:tcW w:w="981" w:type="dxa"/>
            <w:tcBorders>
              <w:top w:val="single" w:sz="4" w:space="0" w:color="auto"/>
              <w:left w:val="nil"/>
              <w:bottom w:val="single" w:sz="4" w:space="0" w:color="auto"/>
              <w:right w:val="nil"/>
            </w:tcBorders>
            <w:shd w:val="clear" w:color="auto" w:fill="auto"/>
            <w:vAlign w:val="center"/>
            <w:hideMark/>
          </w:tcPr>
          <w:p w14:paraId="6A4D90B8" w14:textId="77777777" w:rsidR="00137E95" w:rsidRPr="00137E95" w:rsidRDefault="00137E95" w:rsidP="00137E95">
            <w:pPr>
              <w:spacing w:after="0" w:line="240" w:lineRule="auto"/>
              <w:jc w:val="right"/>
              <w:rPr>
                <w:rFonts w:ascii="Arial" w:hAnsi="Arial" w:cs="Arial"/>
                <w:sz w:val="16"/>
                <w:szCs w:val="16"/>
              </w:rPr>
            </w:pPr>
            <w:r w:rsidRPr="00137E95">
              <w:rPr>
                <w:rFonts w:ascii="Arial" w:hAnsi="Arial" w:cs="Arial"/>
                <w:sz w:val="16"/>
                <w:szCs w:val="16"/>
              </w:rPr>
              <w:t>Computer</w:t>
            </w:r>
            <w:r w:rsidRPr="00137E95">
              <w:rPr>
                <w:rFonts w:ascii="Arial" w:hAnsi="Arial" w:cs="Arial"/>
                <w:sz w:val="16"/>
                <w:szCs w:val="16"/>
              </w:rPr>
              <w:br/>
              <w:t>software and</w:t>
            </w:r>
            <w:r w:rsidRPr="00137E95">
              <w:rPr>
                <w:rFonts w:ascii="Arial" w:hAnsi="Arial" w:cs="Arial"/>
                <w:sz w:val="16"/>
                <w:szCs w:val="16"/>
              </w:rPr>
              <w:br/>
              <w:t>intangibles</w:t>
            </w:r>
            <w:r w:rsidRPr="00137E95">
              <w:rPr>
                <w:rFonts w:ascii="Arial" w:hAnsi="Arial" w:cs="Arial"/>
                <w:sz w:val="16"/>
                <w:szCs w:val="16"/>
              </w:rPr>
              <w:br/>
              <w:t>$'000</w:t>
            </w:r>
          </w:p>
        </w:tc>
        <w:tc>
          <w:tcPr>
            <w:tcW w:w="941" w:type="dxa"/>
            <w:tcBorders>
              <w:top w:val="single" w:sz="4" w:space="0" w:color="auto"/>
              <w:left w:val="nil"/>
              <w:bottom w:val="single" w:sz="4" w:space="0" w:color="auto"/>
              <w:right w:val="nil"/>
            </w:tcBorders>
            <w:shd w:val="clear" w:color="auto" w:fill="auto"/>
            <w:vAlign w:val="center"/>
            <w:hideMark/>
          </w:tcPr>
          <w:p w14:paraId="3CB5CED1" w14:textId="77777777" w:rsidR="00137E95" w:rsidRPr="00137E95" w:rsidRDefault="00137E95" w:rsidP="00137E95">
            <w:pPr>
              <w:spacing w:after="0" w:line="240" w:lineRule="auto"/>
              <w:jc w:val="right"/>
              <w:rPr>
                <w:rFonts w:ascii="Arial" w:hAnsi="Arial" w:cs="Arial"/>
                <w:sz w:val="16"/>
                <w:szCs w:val="16"/>
              </w:rPr>
            </w:pPr>
            <w:r w:rsidRPr="00137E95">
              <w:rPr>
                <w:rFonts w:ascii="Arial" w:hAnsi="Arial" w:cs="Arial"/>
                <w:sz w:val="16"/>
                <w:szCs w:val="16"/>
              </w:rPr>
              <w:t>Total</w:t>
            </w:r>
            <w:r w:rsidRPr="00137E95">
              <w:rPr>
                <w:rFonts w:ascii="Arial" w:hAnsi="Arial" w:cs="Arial"/>
                <w:sz w:val="16"/>
                <w:szCs w:val="16"/>
              </w:rPr>
              <w:br/>
            </w:r>
            <w:r w:rsidRPr="00137E95">
              <w:rPr>
                <w:rFonts w:ascii="Arial" w:hAnsi="Arial" w:cs="Arial"/>
                <w:sz w:val="16"/>
                <w:szCs w:val="16"/>
              </w:rPr>
              <w:br/>
            </w:r>
            <w:r w:rsidRPr="00137E95">
              <w:rPr>
                <w:rFonts w:ascii="Arial" w:hAnsi="Arial" w:cs="Arial"/>
                <w:sz w:val="16"/>
                <w:szCs w:val="16"/>
              </w:rPr>
              <w:br/>
            </w:r>
            <w:r w:rsidRPr="00137E95">
              <w:rPr>
                <w:rFonts w:ascii="Arial" w:hAnsi="Arial" w:cs="Arial"/>
                <w:sz w:val="16"/>
                <w:szCs w:val="16"/>
              </w:rPr>
              <w:br/>
              <w:t>$'000</w:t>
            </w:r>
          </w:p>
        </w:tc>
      </w:tr>
      <w:tr w:rsidR="00137E95" w:rsidRPr="00137E95" w14:paraId="366FA92D" w14:textId="77777777" w:rsidTr="00094B08">
        <w:trPr>
          <w:trHeight w:val="204"/>
        </w:trPr>
        <w:tc>
          <w:tcPr>
            <w:tcW w:w="2268" w:type="dxa"/>
            <w:tcBorders>
              <w:top w:val="nil"/>
              <w:left w:val="nil"/>
              <w:bottom w:val="nil"/>
              <w:right w:val="nil"/>
            </w:tcBorders>
            <w:shd w:val="clear" w:color="auto" w:fill="auto"/>
            <w:vAlign w:val="bottom"/>
            <w:hideMark/>
          </w:tcPr>
          <w:p w14:paraId="1CF3FED2" w14:textId="77777777" w:rsidR="00137E95" w:rsidRPr="00137E95" w:rsidRDefault="00137E95" w:rsidP="00137E95">
            <w:pPr>
              <w:spacing w:after="0" w:line="240" w:lineRule="auto"/>
              <w:jc w:val="left"/>
              <w:rPr>
                <w:rFonts w:ascii="Arial" w:hAnsi="Arial" w:cs="Arial"/>
                <w:b/>
                <w:bCs/>
                <w:sz w:val="16"/>
                <w:szCs w:val="16"/>
              </w:rPr>
            </w:pPr>
            <w:r w:rsidRPr="00137E95">
              <w:rPr>
                <w:rFonts w:ascii="Arial" w:hAnsi="Arial" w:cs="Arial"/>
                <w:b/>
                <w:bCs/>
                <w:sz w:val="16"/>
                <w:szCs w:val="16"/>
              </w:rPr>
              <w:t>As at 1 July 2021</w:t>
            </w:r>
          </w:p>
        </w:tc>
        <w:tc>
          <w:tcPr>
            <w:tcW w:w="706" w:type="dxa"/>
            <w:tcBorders>
              <w:top w:val="nil"/>
              <w:left w:val="nil"/>
              <w:bottom w:val="nil"/>
              <w:right w:val="nil"/>
            </w:tcBorders>
            <w:shd w:val="clear" w:color="auto" w:fill="auto"/>
            <w:noWrap/>
            <w:vAlign w:val="bottom"/>
            <w:hideMark/>
          </w:tcPr>
          <w:p w14:paraId="57837416" w14:textId="77777777" w:rsidR="00137E95" w:rsidRPr="00137E95" w:rsidRDefault="00137E95" w:rsidP="00173DF0">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690959DD" w14:textId="77777777" w:rsidR="00137E95" w:rsidRPr="00137E95" w:rsidRDefault="00137E95" w:rsidP="00173DF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26C96660" w14:textId="77777777" w:rsidR="00137E95" w:rsidRPr="00137E95" w:rsidRDefault="00137E95" w:rsidP="00173DF0">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17694AB8" w14:textId="77777777" w:rsidR="00137E95" w:rsidRPr="00137E95" w:rsidRDefault="00137E95" w:rsidP="00173DF0">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3D642027" w14:textId="77777777" w:rsidR="00137E95" w:rsidRPr="00137E95" w:rsidRDefault="00137E95" w:rsidP="00173DF0">
            <w:pPr>
              <w:spacing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hideMark/>
          </w:tcPr>
          <w:p w14:paraId="4532518F" w14:textId="77777777" w:rsidR="00137E95" w:rsidRPr="00137E95" w:rsidRDefault="00137E95" w:rsidP="00173DF0">
            <w:pPr>
              <w:spacing w:after="0" w:line="240" w:lineRule="auto"/>
              <w:jc w:val="right"/>
              <w:rPr>
                <w:rFonts w:ascii="Arial" w:hAnsi="Arial" w:cs="Arial"/>
                <w:sz w:val="16"/>
                <w:szCs w:val="16"/>
              </w:rPr>
            </w:pPr>
          </w:p>
        </w:tc>
      </w:tr>
      <w:tr w:rsidR="00137E95" w:rsidRPr="00137E95" w14:paraId="79E6945F" w14:textId="77777777" w:rsidTr="00094B08">
        <w:trPr>
          <w:trHeight w:val="204"/>
        </w:trPr>
        <w:tc>
          <w:tcPr>
            <w:tcW w:w="2268" w:type="dxa"/>
            <w:tcBorders>
              <w:top w:val="nil"/>
              <w:left w:val="nil"/>
              <w:bottom w:val="nil"/>
              <w:right w:val="nil"/>
            </w:tcBorders>
            <w:shd w:val="clear" w:color="auto" w:fill="auto"/>
            <w:vAlign w:val="bottom"/>
            <w:hideMark/>
          </w:tcPr>
          <w:p w14:paraId="74B9EF19" w14:textId="77777777" w:rsidR="00137E95" w:rsidRPr="00137E95" w:rsidRDefault="00137E95" w:rsidP="00173DF0">
            <w:pPr>
              <w:spacing w:after="0" w:line="240" w:lineRule="auto"/>
              <w:ind w:left="113"/>
              <w:jc w:val="left"/>
              <w:rPr>
                <w:rFonts w:ascii="Arial" w:hAnsi="Arial" w:cs="Arial"/>
                <w:sz w:val="16"/>
                <w:szCs w:val="16"/>
              </w:rPr>
            </w:pPr>
            <w:r w:rsidRPr="00137E95">
              <w:rPr>
                <w:rFonts w:ascii="Arial" w:hAnsi="Arial" w:cs="Arial"/>
                <w:sz w:val="16"/>
                <w:szCs w:val="16"/>
              </w:rPr>
              <w:t xml:space="preserve">Gross book value </w:t>
            </w:r>
          </w:p>
        </w:tc>
        <w:tc>
          <w:tcPr>
            <w:tcW w:w="706" w:type="dxa"/>
            <w:tcBorders>
              <w:top w:val="nil"/>
              <w:left w:val="nil"/>
              <w:bottom w:val="nil"/>
              <w:right w:val="nil"/>
            </w:tcBorders>
            <w:shd w:val="clear" w:color="auto" w:fill="auto"/>
            <w:noWrap/>
            <w:vAlign w:val="bottom"/>
            <w:hideMark/>
          </w:tcPr>
          <w:p w14:paraId="1C16846D" w14:textId="0D30387F"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17,000</w:t>
            </w:r>
          </w:p>
        </w:tc>
        <w:tc>
          <w:tcPr>
            <w:tcW w:w="866" w:type="dxa"/>
            <w:tcBorders>
              <w:top w:val="nil"/>
              <w:left w:val="nil"/>
              <w:bottom w:val="nil"/>
              <w:right w:val="nil"/>
            </w:tcBorders>
            <w:shd w:val="clear" w:color="auto" w:fill="auto"/>
            <w:noWrap/>
            <w:vAlign w:val="bottom"/>
            <w:hideMark/>
          </w:tcPr>
          <w:p w14:paraId="26E30445" w14:textId="0DF40CF2"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227,582</w:t>
            </w:r>
          </w:p>
        </w:tc>
        <w:tc>
          <w:tcPr>
            <w:tcW w:w="964" w:type="dxa"/>
            <w:tcBorders>
              <w:top w:val="nil"/>
              <w:left w:val="nil"/>
              <w:bottom w:val="nil"/>
              <w:right w:val="nil"/>
            </w:tcBorders>
            <w:shd w:val="clear" w:color="auto" w:fill="auto"/>
            <w:noWrap/>
            <w:vAlign w:val="bottom"/>
            <w:hideMark/>
          </w:tcPr>
          <w:p w14:paraId="6E278728" w14:textId="66A16B3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16,556</w:t>
            </w:r>
          </w:p>
        </w:tc>
        <w:tc>
          <w:tcPr>
            <w:tcW w:w="928" w:type="dxa"/>
            <w:tcBorders>
              <w:top w:val="nil"/>
              <w:left w:val="nil"/>
              <w:bottom w:val="nil"/>
              <w:right w:val="nil"/>
            </w:tcBorders>
            <w:shd w:val="clear" w:color="auto" w:fill="auto"/>
            <w:noWrap/>
            <w:vAlign w:val="bottom"/>
            <w:hideMark/>
          </w:tcPr>
          <w:p w14:paraId="7D78FD4B" w14:textId="599B0BE0"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1,117,119</w:t>
            </w:r>
          </w:p>
        </w:tc>
        <w:tc>
          <w:tcPr>
            <w:tcW w:w="981" w:type="dxa"/>
            <w:tcBorders>
              <w:top w:val="nil"/>
              <w:left w:val="nil"/>
              <w:bottom w:val="nil"/>
              <w:right w:val="nil"/>
            </w:tcBorders>
            <w:shd w:val="clear" w:color="auto" w:fill="auto"/>
            <w:noWrap/>
            <w:vAlign w:val="bottom"/>
            <w:hideMark/>
          </w:tcPr>
          <w:p w14:paraId="259A1884" w14:textId="2C23639F"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104,762</w:t>
            </w:r>
          </w:p>
        </w:tc>
        <w:tc>
          <w:tcPr>
            <w:tcW w:w="941" w:type="dxa"/>
            <w:tcBorders>
              <w:top w:val="nil"/>
              <w:left w:val="nil"/>
              <w:bottom w:val="nil"/>
              <w:right w:val="nil"/>
            </w:tcBorders>
            <w:shd w:val="clear" w:color="auto" w:fill="auto"/>
            <w:noWrap/>
            <w:vAlign w:val="bottom"/>
            <w:hideMark/>
          </w:tcPr>
          <w:p w14:paraId="23AB3395" w14:textId="64B19D08"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1,483,019</w:t>
            </w:r>
          </w:p>
        </w:tc>
      </w:tr>
      <w:tr w:rsidR="00137E95" w:rsidRPr="00137E95" w14:paraId="48461A7E" w14:textId="77777777" w:rsidTr="00094B08">
        <w:trPr>
          <w:trHeight w:val="204"/>
        </w:trPr>
        <w:tc>
          <w:tcPr>
            <w:tcW w:w="2268" w:type="dxa"/>
            <w:tcBorders>
              <w:top w:val="nil"/>
              <w:left w:val="nil"/>
              <w:bottom w:val="nil"/>
              <w:right w:val="nil"/>
            </w:tcBorders>
            <w:shd w:val="clear" w:color="auto" w:fill="auto"/>
            <w:noWrap/>
            <w:vAlign w:val="center"/>
            <w:hideMark/>
          </w:tcPr>
          <w:p w14:paraId="1DD6F806" w14:textId="77777777" w:rsidR="00137E95" w:rsidRPr="00137E95" w:rsidRDefault="00137E95" w:rsidP="00173DF0">
            <w:pPr>
              <w:spacing w:after="0" w:line="240" w:lineRule="auto"/>
              <w:ind w:left="113"/>
              <w:jc w:val="left"/>
              <w:rPr>
                <w:rFonts w:ascii="Arial" w:hAnsi="Arial" w:cs="Arial"/>
                <w:sz w:val="16"/>
                <w:szCs w:val="16"/>
              </w:rPr>
            </w:pPr>
            <w:r w:rsidRPr="00137E95">
              <w:rPr>
                <w:rFonts w:ascii="Arial" w:hAnsi="Arial" w:cs="Arial"/>
                <w:sz w:val="16"/>
                <w:szCs w:val="16"/>
              </w:rPr>
              <w:t>Gross book value - ROU assets</w:t>
            </w:r>
          </w:p>
        </w:tc>
        <w:tc>
          <w:tcPr>
            <w:tcW w:w="706" w:type="dxa"/>
            <w:tcBorders>
              <w:top w:val="nil"/>
              <w:left w:val="nil"/>
              <w:bottom w:val="nil"/>
              <w:right w:val="nil"/>
            </w:tcBorders>
            <w:shd w:val="clear" w:color="auto" w:fill="auto"/>
            <w:noWrap/>
            <w:vAlign w:val="bottom"/>
            <w:hideMark/>
          </w:tcPr>
          <w:p w14:paraId="5AF5CD3A" w14:textId="0CE226AF"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22CF1C1D" w14:textId="5AF2B4D4"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4,739</w:t>
            </w:r>
          </w:p>
        </w:tc>
        <w:tc>
          <w:tcPr>
            <w:tcW w:w="964" w:type="dxa"/>
            <w:tcBorders>
              <w:top w:val="nil"/>
              <w:left w:val="nil"/>
              <w:bottom w:val="nil"/>
              <w:right w:val="nil"/>
            </w:tcBorders>
            <w:shd w:val="clear" w:color="auto" w:fill="auto"/>
            <w:noWrap/>
            <w:vAlign w:val="bottom"/>
            <w:hideMark/>
          </w:tcPr>
          <w:p w14:paraId="7E76498A" w14:textId="2C101E21"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26</w:t>
            </w:r>
          </w:p>
        </w:tc>
        <w:tc>
          <w:tcPr>
            <w:tcW w:w="928" w:type="dxa"/>
            <w:tcBorders>
              <w:top w:val="nil"/>
              <w:left w:val="nil"/>
              <w:bottom w:val="nil"/>
              <w:right w:val="nil"/>
            </w:tcBorders>
            <w:shd w:val="clear" w:color="auto" w:fill="auto"/>
            <w:noWrap/>
            <w:vAlign w:val="bottom"/>
            <w:hideMark/>
          </w:tcPr>
          <w:p w14:paraId="1AF03E81" w14:textId="0160AE29"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0D9A88A6" w14:textId="75060A06"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41" w:type="dxa"/>
            <w:tcBorders>
              <w:top w:val="nil"/>
              <w:left w:val="nil"/>
              <w:bottom w:val="nil"/>
              <w:right w:val="nil"/>
            </w:tcBorders>
            <w:shd w:val="clear" w:color="auto" w:fill="auto"/>
            <w:noWrap/>
            <w:vAlign w:val="bottom"/>
            <w:hideMark/>
          </w:tcPr>
          <w:p w14:paraId="7C78FB1A" w14:textId="03BB6BB1"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4,765</w:t>
            </w:r>
          </w:p>
        </w:tc>
      </w:tr>
      <w:tr w:rsidR="00137E95" w:rsidRPr="00137E95" w14:paraId="029D98FC" w14:textId="77777777" w:rsidTr="00094B08">
        <w:trPr>
          <w:trHeight w:val="204"/>
        </w:trPr>
        <w:tc>
          <w:tcPr>
            <w:tcW w:w="2268" w:type="dxa"/>
            <w:tcBorders>
              <w:top w:val="nil"/>
              <w:left w:val="nil"/>
              <w:bottom w:val="nil"/>
              <w:right w:val="nil"/>
            </w:tcBorders>
            <w:shd w:val="clear" w:color="auto" w:fill="auto"/>
            <w:vAlign w:val="bottom"/>
            <w:hideMark/>
          </w:tcPr>
          <w:p w14:paraId="44732BF7" w14:textId="181C474F" w:rsidR="00137E95" w:rsidRPr="00137E95" w:rsidRDefault="00137E95" w:rsidP="00173DF0">
            <w:pPr>
              <w:spacing w:after="0" w:line="240" w:lineRule="auto"/>
              <w:ind w:left="113"/>
              <w:jc w:val="left"/>
              <w:rPr>
                <w:rFonts w:ascii="Arial" w:hAnsi="Arial" w:cs="Arial"/>
                <w:sz w:val="16"/>
                <w:szCs w:val="16"/>
              </w:rPr>
            </w:pPr>
            <w:r w:rsidRPr="00137E95">
              <w:rPr>
                <w:rFonts w:ascii="Arial" w:hAnsi="Arial" w:cs="Arial"/>
                <w:sz w:val="16"/>
                <w:szCs w:val="16"/>
              </w:rPr>
              <w:t>Accumulated depreciation/</w:t>
            </w:r>
            <w:r w:rsidR="00173DF0">
              <w:rPr>
                <w:rFonts w:ascii="Arial" w:hAnsi="Arial" w:cs="Arial"/>
                <w:sz w:val="16"/>
                <w:szCs w:val="16"/>
              </w:rPr>
              <w:t xml:space="preserve"> </w:t>
            </w:r>
            <w:r w:rsidRPr="00137E95">
              <w:rPr>
                <w:rFonts w:ascii="Arial" w:hAnsi="Arial" w:cs="Arial"/>
                <w:sz w:val="16"/>
                <w:szCs w:val="16"/>
              </w:rPr>
              <w:t>amortisation and impairment</w:t>
            </w:r>
          </w:p>
        </w:tc>
        <w:tc>
          <w:tcPr>
            <w:tcW w:w="706" w:type="dxa"/>
            <w:tcBorders>
              <w:top w:val="nil"/>
              <w:left w:val="nil"/>
              <w:bottom w:val="nil"/>
              <w:right w:val="nil"/>
            </w:tcBorders>
            <w:shd w:val="clear" w:color="auto" w:fill="auto"/>
            <w:noWrap/>
            <w:vAlign w:val="bottom"/>
            <w:hideMark/>
          </w:tcPr>
          <w:p w14:paraId="116A748E" w14:textId="481F0658"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3C062C8D"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(141)</w:t>
            </w:r>
          </w:p>
        </w:tc>
        <w:tc>
          <w:tcPr>
            <w:tcW w:w="964" w:type="dxa"/>
            <w:tcBorders>
              <w:top w:val="nil"/>
              <w:left w:val="nil"/>
              <w:bottom w:val="nil"/>
              <w:right w:val="nil"/>
            </w:tcBorders>
            <w:shd w:val="clear" w:color="auto" w:fill="auto"/>
            <w:noWrap/>
            <w:vAlign w:val="bottom"/>
            <w:hideMark/>
          </w:tcPr>
          <w:p w14:paraId="53E7E334"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(2,871)</w:t>
            </w:r>
          </w:p>
        </w:tc>
        <w:tc>
          <w:tcPr>
            <w:tcW w:w="928" w:type="dxa"/>
            <w:tcBorders>
              <w:top w:val="nil"/>
              <w:left w:val="nil"/>
              <w:bottom w:val="nil"/>
              <w:right w:val="nil"/>
            </w:tcBorders>
            <w:shd w:val="clear" w:color="auto" w:fill="auto"/>
            <w:noWrap/>
            <w:vAlign w:val="bottom"/>
            <w:hideMark/>
          </w:tcPr>
          <w:p w14:paraId="020434C3"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(9,090)</w:t>
            </w:r>
          </w:p>
        </w:tc>
        <w:tc>
          <w:tcPr>
            <w:tcW w:w="981" w:type="dxa"/>
            <w:tcBorders>
              <w:top w:val="nil"/>
              <w:left w:val="nil"/>
              <w:bottom w:val="nil"/>
              <w:right w:val="nil"/>
            </w:tcBorders>
            <w:shd w:val="clear" w:color="auto" w:fill="auto"/>
            <w:noWrap/>
            <w:vAlign w:val="bottom"/>
            <w:hideMark/>
          </w:tcPr>
          <w:p w14:paraId="7668BB68"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(19,951)</w:t>
            </w:r>
          </w:p>
        </w:tc>
        <w:tc>
          <w:tcPr>
            <w:tcW w:w="941" w:type="dxa"/>
            <w:tcBorders>
              <w:top w:val="nil"/>
              <w:left w:val="nil"/>
              <w:bottom w:val="nil"/>
              <w:right w:val="nil"/>
            </w:tcBorders>
            <w:shd w:val="clear" w:color="auto" w:fill="auto"/>
            <w:noWrap/>
            <w:vAlign w:val="bottom"/>
            <w:hideMark/>
          </w:tcPr>
          <w:p w14:paraId="2AEA892F"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(32,053)</w:t>
            </w:r>
          </w:p>
        </w:tc>
      </w:tr>
      <w:tr w:rsidR="00137E95" w:rsidRPr="00137E95" w14:paraId="41CFD872" w14:textId="77777777" w:rsidTr="00094B08">
        <w:trPr>
          <w:trHeight w:val="204"/>
        </w:trPr>
        <w:tc>
          <w:tcPr>
            <w:tcW w:w="2268" w:type="dxa"/>
            <w:tcBorders>
              <w:top w:val="nil"/>
              <w:left w:val="nil"/>
              <w:bottom w:val="nil"/>
              <w:right w:val="nil"/>
            </w:tcBorders>
            <w:shd w:val="clear" w:color="auto" w:fill="auto"/>
            <w:vAlign w:val="center"/>
            <w:hideMark/>
          </w:tcPr>
          <w:p w14:paraId="7302A4E8" w14:textId="7A5932DE" w:rsidR="00137E95" w:rsidRPr="00137E95" w:rsidRDefault="00137E95" w:rsidP="00173DF0">
            <w:pPr>
              <w:spacing w:after="0" w:line="240" w:lineRule="auto"/>
              <w:ind w:left="113"/>
              <w:jc w:val="left"/>
              <w:rPr>
                <w:rFonts w:ascii="Arial" w:hAnsi="Arial" w:cs="Arial"/>
                <w:sz w:val="16"/>
                <w:szCs w:val="16"/>
              </w:rPr>
            </w:pPr>
            <w:r w:rsidRPr="00137E95">
              <w:rPr>
                <w:rFonts w:ascii="Arial" w:hAnsi="Arial" w:cs="Arial"/>
                <w:sz w:val="16"/>
                <w:szCs w:val="16"/>
              </w:rPr>
              <w:t>Accumulated depreciation/</w:t>
            </w:r>
            <w:r w:rsidR="00173DF0">
              <w:rPr>
                <w:rFonts w:ascii="Arial" w:hAnsi="Arial" w:cs="Arial"/>
                <w:sz w:val="16"/>
                <w:szCs w:val="16"/>
              </w:rPr>
              <w:t xml:space="preserve"> </w:t>
            </w:r>
            <w:r w:rsidR="00C11261" w:rsidRPr="00137E95">
              <w:rPr>
                <w:rFonts w:ascii="Arial" w:hAnsi="Arial" w:cs="Arial"/>
                <w:sz w:val="16"/>
                <w:szCs w:val="16"/>
              </w:rPr>
              <w:t>amortisation</w:t>
            </w:r>
            <w:r w:rsidRPr="00137E95">
              <w:rPr>
                <w:rFonts w:ascii="Arial" w:hAnsi="Arial" w:cs="Arial"/>
                <w:sz w:val="16"/>
                <w:szCs w:val="16"/>
              </w:rPr>
              <w:t xml:space="preserve"> and impairment - ROU assets</w:t>
            </w:r>
          </w:p>
        </w:tc>
        <w:tc>
          <w:tcPr>
            <w:tcW w:w="706" w:type="dxa"/>
            <w:tcBorders>
              <w:top w:val="nil"/>
              <w:left w:val="nil"/>
              <w:bottom w:val="nil"/>
              <w:right w:val="nil"/>
            </w:tcBorders>
            <w:shd w:val="clear" w:color="auto" w:fill="auto"/>
            <w:noWrap/>
            <w:vAlign w:val="bottom"/>
            <w:hideMark/>
          </w:tcPr>
          <w:p w14:paraId="477D3C50" w14:textId="69433BC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2A7FA65A"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(921)</w:t>
            </w:r>
          </w:p>
        </w:tc>
        <w:tc>
          <w:tcPr>
            <w:tcW w:w="964" w:type="dxa"/>
            <w:tcBorders>
              <w:top w:val="nil"/>
              <w:left w:val="nil"/>
              <w:bottom w:val="nil"/>
              <w:right w:val="nil"/>
            </w:tcBorders>
            <w:shd w:val="clear" w:color="auto" w:fill="auto"/>
            <w:noWrap/>
            <w:vAlign w:val="bottom"/>
            <w:hideMark/>
          </w:tcPr>
          <w:p w14:paraId="7E1D83A3"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(8)</w:t>
            </w:r>
          </w:p>
        </w:tc>
        <w:tc>
          <w:tcPr>
            <w:tcW w:w="928" w:type="dxa"/>
            <w:tcBorders>
              <w:top w:val="nil"/>
              <w:left w:val="nil"/>
              <w:bottom w:val="nil"/>
              <w:right w:val="nil"/>
            </w:tcBorders>
            <w:shd w:val="clear" w:color="auto" w:fill="auto"/>
            <w:noWrap/>
            <w:vAlign w:val="bottom"/>
            <w:hideMark/>
          </w:tcPr>
          <w:p w14:paraId="4D500637" w14:textId="53592B04"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120B4B84" w14:textId="1ED41D9C"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41" w:type="dxa"/>
            <w:tcBorders>
              <w:top w:val="nil"/>
              <w:left w:val="nil"/>
              <w:bottom w:val="nil"/>
              <w:right w:val="nil"/>
            </w:tcBorders>
            <w:shd w:val="clear" w:color="auto" w:fill="auto"/>
            <w:noWrap/>
            <w:vAlign w:val="bottom"/>
            <w:hideMark/>
          </w:tcPr>
          <w:p w14:paraId="565CD122"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(929)</w:t>
            </w:r>
          </w:p>
        </w:tc>
      </w:tr>
      <w:tr w:rsidR="00137E95" w:rsidRPr="00137E95" w14:paraId="2C77B070" w14:textId="77777777" w:rsidTr="00094B08">
        <w:trPr>
          <w:trHeight w:val="204"/>
        </w:trPr>
        <w:tc>
          <w:tcPr>
            <w:tcW w:w="2268" w:type="dxa"/>
            <w:tcBorders>
              <w:top w:val="nil"/>
              <w:left w:val="nil"/>
              <w:bottom w:val="nil"/>
              <w:right w:val="nil"/>
            </w:tcBorders>
            <w:shd w:val="clear" w:color="auto" w:fill="auto"/>
            <w:vAlign w:val="bottom"/>
            <w:hideMark/>
          </w:tcPr>
          <w:p w14:paraId="5DAF781C" w14:textId="77777777" w:rsidR="00137E95" w:rsidRPr="00137E95" w:rsidRDefault="00137E95" w:rsidP="00137E95">
            <w:pPr>
              <w:spacing w:after="0" w:line="240" w:lineRule="auto"/>
              <w:jc w:val="left"/>
              <w:rPr>
                <w:rFonts w:ascii="Arial" w:hAnsi="Arial" w:cs="Arial"/>
                <w:b/>
                <w:bCs/>
                <w:sz w:val="16"/>
                <w:szCs w:val="16"/>
              </w:rPr>
            </w:pPr>
            <w:r w:rsidRPr="00137E95">
              <w:rPr>
                <w:rFonts w:ascii="Arial" w:hAnsi="Arial" w:cs="Arial"/>
                <w:b/>
                <w:bCs/>
                <w:sz w:val="16"/>
                <w:szCs w:val="16"/>
              </w:rPr>
              <w:t>Opening net book balance</w:t>
            </w:r>
          </w:p>
        </w:tc>
        <w:tc>
          <w:tcPr>
            <w:tcW w:w="706" w:type="dxa"/>
            <w:tcBorders>
              <w:top w:val="single" w:sz="4" w:space="0" w:color="auto"/>
              <w:left w:val="nil"/>
              <w:bottom w:val="single" w:sz="4" w:space="0" w:color="auto"/>
              <w:right w:val="nil"/>
            </w:tcBorders>
            <w:shd w:val="clear" w:color="auto" w:fill="auto"/>
            <w:noWrap/>
            <w:vAlign w:val="bottom"/>
            <w:hideMark/>
          </w:tcPr>
          <w:p w14:paraId="2F9FBD30" w14:textId="4A80A564"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17,000</w:t>
            </w:r>
          </w:p>
        </w:tc>
        <w:tc>
          <w:tcPr>
            <w:tcW w:w="866" w:type="dxa"/>
            <w:tcBorders>
              <w:top w:val="single" w:sz="4" w:space="0" w:color="auto"/>
              <w:left w:val="nil"/>
              <w:bottom w:val="single" w:sz="4" w:space="0" w:color="auto"/>
              <w:right w:val="nil"/>
            </w:tcBorders>
            <w:shd w:val="clear" w:color="auto" w:fill="auto"/>
            <w:noWrap/>
            <w:vAlign w:val="bottom"/>
            <w:hideMark/>
          </w:tcPr>
          <w:p w14:paraId="1E29AD50" w14:textId="4455BE40"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231,259</w:t>
            </w:r>
          </w:p>
        </w:tc>
        <w:tc>
          <w:tcPr>
            <w:tcW w:w="964" w:type="dxa"/>
            <w:tcBorders>
              <w:top w:val="single" w:sz="4" w:space="0" w:color="auto"/>
              <w:left w:val="nil"/>
              <w:bottom w:val="single" w:sz="4" w:space="0" w:color="auto"/>
              <w:right w:val="nil"/>
            </w:tcBorders>
            <w:shd w:val="clear" w:color="auto" w:fill="auto"/>
            <w:noWrap/>
            <w:vAlign w:val="bottom"/>
            <w:hideMark/>
          </w:tcPr>
          <w:p w14:paraId="3FEA857E" w14:textId="28707DAF"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13,703</w:t>
            </w:r>
          </w:p>
        </w:tc>
        <w:tc>
          <w:tcPr>
            <w:tcW w:w="928" w:type="dxa"/>
            <w:tcBorders>
              <w:top w:val="single" w:sz="4" w:space="0" w:color="auto"/>
              <w:left w:val="nil"/>
              <w:bottom w:val="single" w:sz="4" w:space="0" w:color="auto"/>
              <w:right w:val="nil"/>
            </w:tcBorders>
            <w:shd w:val="clear" w:color="auto" w:fill="auto"/>
            <w:noWrap/>
            <w:vAlign w:val="bottom"/>
            <w:hideMark/>
          </w:tcPr>
          <w:p w14:paraId="23100BCA" w14:textId="7E9273A5"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1,108,029</w:t>
            </w:r>
          </w:p>
        </w:tc>
        <w:tc>
          <w:tcPr>
            <w:tcW w:w="981" w:type="dxa"/>
            <w:tcBorders>
              <w:top w:val="single" w:sz="4" w:space="0" w:color="auto"/>
              <w:left w:val="nil"/>
              <w:bottom w:val="single" w:sz="4" w:space="0" w:color="auto"/>
              <w:right w:val="nil"/>
            </w:tcBorders>
            <w:shd w:val="clear" w:color="auto" w:fill="auto"/>
            <w:noWrap/>
            <w:vAlign w:val="bottom"/>
            <w:hideMark/>
          </w:tcPr>
          <w:p w14:paraId="39A11621" w14:textId="536B6F4F"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84,811</w:t>
            </w:r>
          </w:p>
        </w:tc>
        <w:tc>
          <w:tcPr>
            <w:tcW w:w="941" w:type="dxa"/>
            <w:tcBorders>
              <w:top w:val="single" w:sz="4" w:space="0" w:color="auto"/>
              <w:left w:val="nil"/>
              <w:bottom w:val="single" w:sz="4" w:space="0" w:color="auto"/>
              <w:right w:val="nil"/>
            </w:tcBorders>
            <w:shd w:val="clear" w:color="auto" w:fill="auto"/>
            <w:noWrap/>
            <w:vAlign w:val="bottom"/>
            <w:hideMark/>
          </w:tcPr>
          <w:p w14:paraId="73DAD058" w14:textId="5B9A18F7"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1,454,802</w:t>
            </w:r>
          </w:p>
        </w:tc>
      </w:tr>
      <w:tr w:rsidR="00137E95" w:rsidRPr="00137E95" w14:paraId="59DA7D16" w14:textId="77777777" w:rsidTr="00094B08">
        <w:trPr>
          <w:trHeight w:val="204"/>
        </w:trPr>
        <w:tc>
          <w:tcPr>
            <w:tcW w:w="2268" w:type="dxa"/>
            <w:tcBorders>
              <w:top w:val="nil"/>
              <w:left w:val="nil"/>
              <w:bottom w:val="nil"/>
              <w:right w:val="nil"/>
            </w:tcBorders>
            <w:shd w:val="clear" w:color="auto" w:fill="auto"/>
            <w:vAlign w:val="bottom"/>
            <w:hideMark/>
          </w:tcPr>
          <w:p w14:paraId="06B884E5" w14:textId="77777777" w:rsidR="00137E95" w:rsidRPr="00137E95" w:rsidRDefault="00137E95" w:rsidP="00137E95">
            <w:pPr>
              <w:spacing w:after="0" w:line="240" w:lineRule="auto"/>
              <w:jc w:val="left"/>
              <w:rPr>
                <w:rFonts w:ascii="Arial" w:hAnsi="Arial" w:cs="Arial"/>
                <w:b/>
                <w:bCs/>
                <w:sz w:val="16"/>
                <w:szCs w:val="16"/>
              </w:rPr>
            </w:pPr>
            <w:r w:rsidRPr="00137E95">
              <w:rPr>
                <w:rFonts w:ascii="Arial" w:hAnsi="Arial" w:cs="Arial"/>
                <w:b/>
                <w:bCs/>
                <w:sz w:val="16"/>
                <w:szCs w:val="16"/>
              </w:rPr>
              <w:t>Capital asset additions</w:t>
            </w:r>
          </w:p>
        </w:tc>
        <w:tc>
          <w:tcPr>
            <w:tcW w:w="706" w:type="dxa"/>
            <w:tcBorders>
              <w:top w:val="nil"/>
              <w:left w:val="nil"/>
              <w:bottom w:val="nil"/>
              <w:right w:val="nil"/>
            </w:tcBorders>
            <w:shd w:val="clear" w:color="auto" w:fill="auto"/>
            <w:noWrap/>
            <w:vAlign w:val="bottom"/>
            <w:hideMark/>
          </w:tcPr>
          <w:p w14:paraId="6FCEEE40" w14:textId="77777777" w:rsidR="00137E95" w:rsidRPr="00137E95" w:rsidRDefault="00137E95" w:rsidP="00173DF0">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7096FBC4" w14:textId="77777777" w:rsidR="00137E95" w:rsidRPr="00137E95" w:rsidRDefault="00137E95" w:rsidP="00173DF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6B458B68" w14:textId="77777777" w:rsidR="00137E95" w:rsidRPr="00137E95" w:rsidRDefault="00137E95" w:rsidP="00173DF0">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660202B3" w14:textId="77777777" w:rsidR="00137E95" w:rsidRPr="00137E95" w:rsidRDefault="00137E95" w:rsidP="00173DF0">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762E78D9" w14:textId="77777777" w:rsidR="00137E95" w:rsidRPr="00137E95" w:rsidRDefault="00137E95" w:rsidP="00173DF0">
            <w:pPr>
              <w:spacing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hideMark/>
          </w:tcPr>
          <w:p w14:paraId="6FDF0548" w14:textId="77777777" w:rsidR="00137E95" w:rsidRPr="00137E95" w:rsidRDefault="00137E95" w:rsidP="00173DF0">
            <w:pPr>
              <w:spacing w:after="0" w:line="240" w:lineRule="auto"/>
              <w:jc w:val="right"/>
              <w:rPr>
                <w:rFonts w:ascii="Arial" w:hAnsi="Arial" w:cs="Arial"/>
                <w:sz w:val="16"/>
                <w:szCs w:val="16"/>
              </w:rPr>
            </w:pPr>
          </w:p>
        </w:tc>
      </w:tr>
      <w:tr w:rsidR="00137E95" w:rsidRPr="00137E95" w14:paraId="6CFA4774" w14:textId="77777777" w:rsidTr="00094B08">
        <w:trPr>
          <w:trHeight w:val="204"/>
        </w:trPr>
        <w:tc>
          <w:tcPr>
            <w:tcW w:w="2268" w:type="dxa"/>
            <w:tcBorders>
              <w:top w:val="nil"/>
              <w:left w:val="nil"/>
              <w:bottom w:val="nil"/>
              <w:right w:val="nil"/>
            </w:tcBorders>
            <w:shd w:val="clear" w:color="auto" w:fill="auto"/>
            <w:vAlign w:val="bottom"/>
            <w:hideMark/>
          </w:tcPr>
          <w:p w14:paraId="2DFD9E6B" w14:textId="353E762A" w:rsidR="00137E95" w:rsidRPr="00137E95" w:rsidRDefault="00137E95" w:rsidP="00173DF0">
            <w:pPr>
              <w:spacing w:after="0" w:line="240" w:lineRule="auto"/>
              <w:ind w:left="113"/>
              <w:jc w:val="left"/>
              <w:rPr>
                <w:rFonts w:ascii="Arial" w:hAnsi="Arial" w:cs="Arial"/>
                <w:b/>
                <w:bCs/>
                <w:sz w:val="16"/>
                <w:szCs w:val="16"/>
              </w:rPr>
            </w:pPr>
            <w:r w:rsidRPr="00137E95">
              <w:rPr>
                <w:rFonts w:ascii="Arial" w:hAnsi="Arial" w:cs="Arial"/>
                <w:b/>
                <w:bCs/>
                <w:sz w:val="16"/>
                <w:szCs w:val="16"/>
              </w:rPr>
              <w:t>Estimated expenditure on new</w:t>
            </w:r>
            <w:r w:rsidR="00173DF0">
              <w:rPr>
                <w:rFonts w:ascii="Arial" w:hAnsi="Arial" w:cs="Arial"/>
                <w:b/>
                <w:bCs/>
                <w:sz w:val="16"/>
                <w:szCs w:val="16"/>
              </w:rPr>
              <w:t xml:space="preserve"> </w:t>
            </w:r>
            <w:r w:rsidRPr="00137E95">
              <w:rPr>
                <w:rFonts w:ascii="Arial" w:hAnsi="Arial" w:cs="Arial"/>
                <w:b/>
                <w:bCs/>
                <w:sz w:val="16"/>
                <w:szCs w:val="16"/>
              </w:rPr>
              <w:t>or replacement assets</w:t>
            </w:r>
          </w:p>
        </w:tc>
        <w:tc>
          <w:tcPr>
            <w:tcW w:w="706" w:type="dxa"/>
            <w:tcBorders>
              <w:top w:val="nil"/>
              <w:left w:val="nil"/>
              <w:bottom w:val="nil"/>
              <w:right w:val="nil"/>
            </w:tcBorders>
            <w:shd w:val="clear" w:color="auto" w:fill="auto"/>
            <w:noWrap/>
            <w:vAlign w:val="bottom"/>
            <w:hideMark/>
          </w:tcPr>
          <w:p w14:paraId="75B33826" w14:textId="77777777" w:rsidR="00137E95" w:rsidRPr="00137E95" w:rsidRDefault="00137E95" w:rsidP="00173DF0">
            <w:pPr>
              <w:spacing w:after="0" w:line="240" w:lineRule="auto"/>
              <w:ind w:firstLineChars="100" w:firstLine="160"/>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777DFC5E" w14:textId="77777777" w:rsidR="00137E95" w:rsidRPr="00137E95" w:rsidRDefault="00137E95" w:rsidP="00173DF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37479803" w14:textId="77777777" w:rsidR="00137E95" w:rsidRPr="00137E95" w:rsidRDefault="00137E95" w:rsidP="00173DF0">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09F7A4A" w14:textId="77777777" w:rsidR="00137E95" w:rsidRPr="00137E95" w:rsidRDefault="00137E95" w:rsidP="00173DF0">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11234280" w14:textId="77777777" w:rsidR="00137E95" w:rsidRPr="00137E95" w:rsidRDefault="00137E95" w:rsidP="00173DF0">
            <w:pPr>
              <w:spacing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hideMark/>
          </w:tcPr>
          <w:p w14:paraId="10BAE545" w14:textId="77777777" w:rsidR="00137E95" w:rsidRPr="00137E95" w:rsidRDefault="00137E95" w:rsidP="00173DF0">
            <w:pPr>
              <w:spacing w:after="0" w:line="240" w:lineRule="auto"/>
              <w:jc w:val="right"/>
              <w:rPr>
                <w:rFonts w:ascii="Arial" w:hAnsi="Arial" w:cs="Arial"/>
                <w:sz w:val="16"/>
                <w:szCs w:val="16"/>
              </w:rPr>
            </w:pPr>
          </w:p>
        </w:tc>
      </w:tr>
      <w:tr w:rsidR="00137E95" w:rsidRPr="00137E95" w14:paraId="3EC1F8DA" w14:textId="77777777" w:rsidTr="00094B08">
        <w:trPr>
          <w:trHeight w:val="204"/>
        </w:trPr>
        <w:tc>
          <w:tcPr>
            <w:tcW w:w="2268" w:type="dxa"/>
            <w:tcBorders>
              <w:top w:val="nil"/>
              <w:left w:val="nil"/>
              <w:bottom w:val="nil"/>
              <w:right w:val="nil"/>
            </w:tcBorders>
            <w:shd w:val="clear" w:color="auto" w:fill="auto"/>
            <w:vAlign w:val="bottom"/>
            <w:hideMark/>
          </w:tcPr>
          <w:p w14:paraId="5894209B" w14:textId="77777777" w:rsidR="00137E95" w:rsidRPr="00137E95" w:rsidRDefault="00137E95" w:rsidP="00A20718">
            <w:pPr>
              <w:spacing w:after="0" w:line="240" w:lineRule="auto"/>
              <w:ind w:left="227"/>
              <w:jc w:val="left"/>
              <w:rPr>
                <w:rFonts w:ascii="Arial" w:hAnsi="Arial" w:cs="Arial"/>
                <w:sz w:val="16"/>
                <w:szCs w:val="16"/>
              </w:rPr>
            </w:pPr>
            <w:r w:rsidRPr="00137E95">
              <w:rPr>
                <w:rFonts w:ascii="Arial" w:hAnsi="Arial" w:cs="Arial"/>
                <w:sz w:val="16"/>
                <w:szCs w:val="16"/>
              </w:rPr>
              <w:t xml:space="preserve">By purchase - appropriation equity </w:t>
            </w:r>
            <w:r w:rsidRPr="00173DF0">
              <w:rPr>
                <w:rFonts w:ascii="Arial" w:hAnsi="Arial" w:cs="Arial"/>
                <w:sz w:val="16"/>
                <w:szCs w:val="16"/>
                <w:vertAlign w:val="superscript"/>
              </w:rPr>
              <w:t>(a)</w:t>
            </w:r>
          </w:p>
        </w:tc>
        <w:tc>
          <w:tcPr>
            <w:tcW w:w="706" w:type="dxa"/>
            <w:tcBorders>
              <w:top w:val="nil"/>
              <w:left w:val="nil"/>
              <w:bottom w:val="nil"/>
              <w:right w:val="nil"/>
            </w:tcBorders>
            <w:shd w:val="clear" w:color="auto" w:fill="auto"/>
            <w:noWrap/>
            <w:vAlign w:val="bottom"/>
            <w:hideMark/>
          </w:tcPr>
          <w:p w14:paraId="45B3B0B3" w14:textId="33BBBC74" w:rsidR="00137E95" w:rsidRPr="00137E95" w:rsidRDefault="00137E95" w:rsidP="00173DF0">
            <w:pPr>
              <w:spacing w:after="0" w:line="240" w:lineRule="auto"/>
              <w:ind w:firstLineChars="100" w:firstLine="160"/>
              <w:jc w:val="right"/>
              <w:rPr>
                <w:rFonts w:ascii="Arial" w:hAnsi="Arial" w:cs="Arial"/>
                <w:sz w:val="16"/>
                <w:szCs w:val="16"/>
              </w:rPr>
            </w:pPr>
            <w:r w:rsidRPr="00137E95">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198EAD6E" w14:textId="44398296"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11A005BE" w14:textId="6D53832A"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28" w:type="dxa"/>
            <w:tcBorders>
              <w:top w:val="nil"/>
              <w:left w:val="nil"/>
              <w:bottom w:val="nil"/>
              <w:right w:val="nil"/>
            </w:tcBorders>
            <w:shd w:val="clear" w:color="auto" w:fill="auto"/>
            <w:noWrap/>
            <w:vAlign w:val="bottom"/>
            <w:hideMark/>
          </w:tcPr>
          <w:p w14:paraId="43090704" w14:textId="41BCB1D1"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5,316</w:t>
            </w:r>
          </w:p>
        </w:tc>
        <w:tc>
          <w:tcPr>
            <w:tcW w:w="981" w:type="dxa"/>
            <w:tcBorders>
              <w:top w:val="nil"/>
              <w:left w:val="nil"/>
              <w:bottom w:val="nil"/>
              <w:right w:val="nil"/>
            </w:tcBorders>
            <w:shd w:val="clear" w:color="auto" w:fill="auto"/>
            <w:noWrap/>
            <w:vAlign w:val="bottom"/>
            <w:hideMark/>
          </w:tcPr>
          <w:p w14:paraId="4C5EF8BF" w14:textId="7EFE82F4"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4,250</w:t>
            </w:r>
          </w:p>
        </w:tc>
        <w:tc>
          <w:tcPr>
            <w:tcW w:w="941" w:type="dxa"/>
            <w:tcBorders>
              <w:top w:val="nil"/>
              <w:left w:val="nil"/>
              <w:bottom w:val="nil"/>
              <w:right w:val="nil"/>
            </w:tcBorders>
            <w:shd w:val="clear" w:color="auto" w:fill="auto"/>
            <w:noWrap/>
            <w:vAlign w:val="bottom"/>
            <w:hideMark/>
          </w:tcPr>
          <w:p w14:paraId="72799E7C" w14:textId="04F2B74A"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9,566</w:t>
            </w:r>
          </w:p>
        </w:tc>
      </w:tr>
      <w:tr w:rsidR="00137E95" w:rsidRPr="00137E95" w14:paraId="0EEB5A71" w14:textId="77777777" w:rsidTr="00094B08">
        <w:trPr>
          <w:trHeight w:val="204"/>
        </w:trPr>
        <w:tc>
          <w:tcPr>
            <w:tcW w:w="2268" w:type="dxa"/>
            <w:tcBorders>
              <w:top w:val="nil"/>
              <w:left w:val="nil"/>
              <w:bottom w:val="nil"/>
              <w:right w:val="nil"/>
            </w:tcBorders>
            <w:shd w:val="clear" w:color="auto" w:fill="auto"/>
            <w:vAlign w:val="bottom"/>
            <w:hideMark/>
          </w:tcPr>
          <w:p w14:paraId="75342D4A" w14:textId="238EBA67" w:rsidR="00137E95" w:rsidRPr="00137E95" w:rsidRDefault="00137E95" w:rsidP="00A20718">
            <w:pPr>
              <w:spacing w:after="0" w:line="240" w:lineRule="auto"/>
              <w:ind w:left="227"/>
              <w:jc w:val="left"/>
              <w:rPr>
                <w:rFonts w:ascii="Arial" w:hAnsi="Arial" w:cs="Arial"/>
                <w:sz w:val="16"/>
                <w:szCs w:val="16"/>
              </w:rPr>
            </w:pPr>
            <w:r w:rsidRPr="00137E95">
              <w:rPr>
                <w:rFonts w:ascii="Arial" w:hAnsi="Arial" w:cs="Arial"/>
                <w:sz w:val="16"/>
                <w:szCs w:val="16"/>
              </w:rPr>
              <w:t xml:space="preserve">By purchase </w:t>
            </w:r>
            <w:r w:rsidR="00173DF0">
              <w:rPr>
                <w:rFonts w:ascii="Arial" w:hAnsi="Arial" w:cs="Arial"/>
                <w:sz w:val="16"/>
                <w:szCs w:val="16"/>
              </w:rPr>
              <w:t>–</w:t>
            </w:r>
            <w:r w:rsidRPr="00137E95">
              <w:rPr>
                <w:rFonts w:ascii="Arial" w:hAnsi="Arial" w:cs="Arial"/>
                <w:sz w:val="16"/>
                <w:szCs w:val="16"/>
              </w:rPr>
              <w:t xml:space="preserve"> appropriation</w:t>
            </w:r>
            <w:r w:rsidR="00173DF0">
              <w:rPr>
                <w:rFonts w:ascii="Arial" w:hAnsi="Arial" w:cs="Arial"/>
                <w:sz w:val="16"/>
                <w:szCs w:val="16"/>
              </w:rPr>
              <w:t xml:space="preserve"> </w:t>
            </w:r>
            <w:r w:rsidRPr="00137E95">
              <w:rPr>
                <w:rFonts w:ascii="Arial" w:hAnsi="Arial" w:cs="Arial"/>
                <w:sz w:val="16"/>
                <w:szCs w:val="16"/>
              </w:rPr>
              <w:t xml:space="preserve">ordinary annual services </w:t>
            </w:r>
            <w:r w:rsidRPr="00173DF0">
              <w:rPr>
                <w:rFonts w:ascii="Arial" w:hAnsi="Arial" w:cs="Arial"/>
                <w:sz w:val="16"/>
                <w:szCs w:val="16"/>
                <w:vertAlign w:val="superscript"/>
              </w:rPr>
              <w:t>(b)</w:t>
            </w:r>
          </w:p>
        </w:tc>
        <w:tc>
          <w:tcPr>
            <w:tcW w:w="706" w:type="dxa"/>
            <w:tcBorders>
              <w:top w:val="nil"/>
              <w:left w:val="nil"/>
              <w:bottom w:val="nil"/>
              <w:right w:val="nil"/>
            </w:tcBorders>
            <w:shd w:val="clear" w:color="auto" w:fill="auto"/>
            <w:noWrap/>
            <w:vAlign w:val="bottom"/>
            <w:hideMark/>
          </w:tcPr>
          <w:p w14:paraId="6DBA64C5" w14:textId="0B702F0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866" w:type="dxa"/>
            <w:tcBorders>
              <w:top w:val="nil"/>
              <w:left w:val="nil"/>
              <w:bottom w:val="nil"/>
              <w:right w:val="nil"/>
            </w:tcBorders>
            <w:shd w:val="clear" w:color="000000" w:fill="FFFFFF"/>
            <w:noWrap/>
            <w:vAlign w:val="bottom"/>
            <w:hideMark/>
          </w:tcPr>
          <w:p w14:paraId="22B8C132" w14:textId="69C8CD19"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6,154</w:t>
            </w:r>
          </w:p>
        </w:tc>
        <w:tc>
          <w:tcPr>
            <w:tcW w:w="964" w:type="dxa"/>
            <w:tcBorders>
              <w:top w:val="nil"/>
              <w:left w:val="nil"/>
              <w:bottom w:val="nil"/>
              <w:right w:val="nil"/>
            </w:tcBorders>
            <w:shd w:val="clear" w:color="000000" w:fill="FFFFFF"/>
            <w:noWrap/>
            <w:vAlign w:val="bottom"/>
            <w:hideMark/>
          </w:tcPr>
          <w:p w14:paraId="24D856BC" w14:textId="577122B4"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3,032</w:t>
            </w:r>
          </w:p>
        </w:tc>
        <w:tc>
          <w:tcPr>
            <w:tcW w:w="928" w:type="dxa"/>
            <w:tcBorders>
              <w:top w:val="nil"/>
              <w:left w:val="nil"/>
              <w:bottom w:val="nil"/>
              <w:right w:val="nil"/>
            </w:tcBorders>
            <w:shd w:val="clear" w:color="auto" w:fill="auto"/>
            <w:noWrap/>
            <w:vAlign w:val="bottom"/>
            <w:hideMark/>
          </w:tcPr>
          <w:p w14:paraId="1A842D49" w14:textId="2A4D3F70"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5BCA0BD4" w14:textId="708782AD"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2,185</w:t>
            </w:r>
          </w:p>
        </w:tc>
        <w:tc>
          <w:tcPr>
            <w:tcW w:w="941" w:type="dxa"/>
            <w:tcBorders>
              <w:top w:val="nil"/>
              <w:left w:val="nil"/>
              <w:bottom w:val="nil"/>
              <w:right w:val="nil"/>
            </w:tcBorders>
            <w:shd w:val="clear" w:color="auto" w:fill="auto"/>
            <w:noWrap/>
            <w:vAlign w:val="bottom"/>
            <w:hideMark/>
          </w:tcPr>
          <w:p w14:paraId="7134BAB3" w14:textId="19AD22A2"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11,371</w:t>
            </w:r>
          </w:p>
        </w:tc>
      </w:tr>
      <w:tr w:rsidR="00137E95" w:rsidRPr="00137E95" w14:paraId="7240DD9E" w14:textId="77777777" w:rsidTr="00094B08">
        <w:trPr>
          <w:trHeight w:val="204"/>
        </w:trPr>
        <w:tc>
          <w:tcPr>
            <w:tcW w:w="2268" w:type="dxa"/>
            <w:tcBorders>
              <w:top w:val="nil"/>
              <w:left w:val="nil"/>
              <w:bottom w:val="nil"/>
              <w:right w:val="nil"/>
            </w:tcBorders>
            <w:shd w:val="clear" w:color="auto" w:fill="auto"/>
            <w:vAlign w:val="bottom"/>
            <w:hideMark/>
          </w:tcPr>
          <w:p w14:paraId="75F96CCD" w14:textId="77777777" w:rsidR="00137E95" w:rsidRPr="00137E95" w:rsidRDefault="00137E95" w:rsidP="00173DF0">
            <w:pPr>
              <w:spacing w:after="0" w:line="240" w:lineRule="auto"/>
              <w:ind w:left="113"/>
              <w:jc w:val="left"/>
              <w:rPr>
                <w:rFonts w:ascii="Arial" w:hAnsi="Arial" w:cs="Arial"/>
                <w:b/>
                <w:bCs/>
                <w:sz w:val="16"/>
                <w:szCs w:val="16"/>
              </w:rPr>
            </w:pPr>
            <w:r w:rsidRPr="00137E95">
              <w:rPr>
                <w:rFonts w:ascii="Arial" w:hAnsi="Arial" w:cs="Arial"/>
                <w:b/>
                <w:bCs/>
                <w:sz w:val="16"/>
                <w:szCs w:val="16"/>
              </w:rPr>
              <w:t>Total additions</w:t>
            </w:r>
          </w:p>
        </w:tc>
        <w:tc>
          <w:tcPr>
            <w:tcW w:w="706" w:type="dxa"/>
            <w:tcBorders>
              <w:top w:val="single" w:sz="4" w:space="0" w:color="auto"/>
              <w:left w:val="nil"/>
              <w:bottom w:val="nil"/>
              <w:right w:val="nil"/>
            </w:tcBorders>
            <w:shd w:val="clear" w:color="auto" w:fill="auto"/>
            <w:noWrap/>
            <w:vAlign w:val="bottom"/>
            <w:hideMark/>
          </w:tcPr>
          <w:p w14:paraId="7CCFE6CF" w14:textId="22165707"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w:t>
            </w:r>
          </w:p>
        </w:tc>
        <w:tc>
          <w:tcPr>
            <w:tcW w:w="866" w:type="dxa"/>
            <w:tcBorders>
              <w:top w:val="single" w:sz="4" w:space="0" w:color="auto"/>
              <w:left w:val="nil"/>
              <w:bottom w:val="nil"/>
              <w:right w:val="nil"/>
            </w:tcBorders>
            <w:shd w:val="clear" w:color="auto" w:fill="auto"/>
            <w:noWrap/>
            <w:vAlign w:val="bottom"/>
            <w:hideMark/>
          </w:tcPr>
          <w:p w14:paraId="4ED69A98" w14:textId="4E156788"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6,154</w:t>
            </w:r>
          </w:p>
        </w:tc>
        <w:tc>
          <w:tcPr>
            <w:tcW w:w="964" w:type="dxa"/>
            <w:tcBorders>
              <w:top w:val="single" w:sz="4" w:space="0" w:color="auto"/>
              <w:left w:val="nil"/>
              <w:bottom w:val="nil"/>
              <w:right w:val="nil"/>
            </w:tcBorders>
            <w:shd w:val="clear" w:color="auto" w:fill="auto"/>
            <w:noWrap/>
            <w:vAlign w:val="bottom"/>
            <w:hideMark/>
          </w:tcPr>
          <w:p w14:paraId="19F59BC1" w14:textId="2631AAE5"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3,032</w:t>
            </w:r>
          </w:p>
        </w:tc>
        <w:tc>
          <w:tcPr>
            <w:tcW w:w="928" w:type="dxa"/>
            <w:tcBorders>
              <w:top w:val="single" w:sz="4" w:space="0" w:color="auto"/>
              <w:left w:val="nil"/>
              <w:bottom w:val="nil"/>
              <w:right w:val="nil"/>
            </w:tcBorders>
            <w:shd w:val="clear" w:color="auto" w:fill="auto"/>
            <w:noWrap/>
            <w:vAlign w:val="bottom"/>
            <w:hideMark/>
          </w:tcPr>
          <w:p w14:paraId="7E64E91E" w14:textId="5A75C88A"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5,316</w:t>
            </w:r>
          </w:p>
        </w:tc>
        <w:tc>
          <w:tcPr>
            <w:tcW w:w="981" w:type="dxa"/>
            <w:tcBorders>
              <w:top w:val="single" w:sz="4" w:space="0" w:color="auto"/>
              <w:left w:val="nil"/>
              <w:bottom w:val="nil"/>
              <w:right w:val="nil"/>
            </w:tcBorders>
            <w:shd w:val="clear" w:color="auto" w:fill="auto"/>
            <w:noWrap/>
            <w:vAlign w:val="bottom"/>
            <w:hideMark/>
          </w:tcPr>
          <w:p w14:paraId="005011F9" w14:textId="739B3C8F"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2,185</w:t>
            </w:r>
          </w:p>
        </w:tc>
        <w:tc>
          <w:tcPr>
            <w:tcW w:w="941" w:type="dxa"/>
            <w:tcBorders>
              <w:top w:val="single" w:sz="4" w:space="0" w:color="auto"/>
              <w:left w:val="nil"/>
              <w:bottom w:val="nil"/>
              <w:right w:val="nil"/>
            </w:tcBorders>
            <w:shd w:val="clear" w:color="auto" w:fill="auto"/>
            <w:noWrap/>
            <w:vAlign w:val="bottom"/>
            <w:hideMark/>
          </w:tcPr>
          <w:p w14:paraId="1ACE2A7E" w14:textId="256F1F67"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20,937</w:t>
            </w:r>
          </w:p>
        </w:tc>
      </w:tr>
      <w:tr w:rsidR="00137E95" w:rsidRPr="00137E95" w14:paraId="74AB3214" w14:textId="77777777" w:rsidTr="00094B08">
        <w:trPr>
          <w:trHeight w:val="204"/>
        </w:trPr>
        <w:tc>
          <w:tcPr>
            <w:tcW w:w="2268" w:type="dxa"/>
            <w:tcBorders>
              <w:top w:val="nil"/>
              <w:left w:val="nil"/>
              <w:bottom w:val="nil"/>
              <w:right w:val="nil"/>
            </w:tcBorders>
            <w:shd w:val="clear" w:color="auto" w:fill="auto"/>
            <w:vAlign w:val="bottom"/>
            <w:hideMark/>
          </w:tcPr>
          <w:p w14:paraId="3D82E751" w14:textId="77777777" w:rsidR="00137E95" w:rsidRPr="00137E95" w:rsidRDefault="00137E95" w:rsidP="00173DF0">
            <w:pPr>
              <w:spacing w:after="0" w:line="240" w:lineRule="auto"/>
              <w:ind w:left="113"/>
              <w:jc w:val="left"/>
              <w:rPr>
                <w:rFonts w:ascii="Arial" w:hAnsi="Arial" w:cs="Arial"/>
                <w:b/>
                <w:bCs/>
                <w:sz w:val="16"/>
                <w:szCs w:val="16"/>
              </w:rPr>
            </w:pPr>
            <w:r w:rsidRPr="00137E95">
              <w:rPr>
                <w:rFonts w:ascii="Arial" w:hAnsi="Arial" w:cs="Arial"/>
                <w:b/>
                <w:bCs/>
                <w:sz w:val="16"/>
                <w:szCs w:val="16"/>
              </w:rPr>
              <w:t>Other movements</w:t>
            </w:r>
          </w:p>
        </w:tc>
        <w:tc>
          <w:tcPr>
            <w:tcW w:w="706" w:type="dxa"/>
            <w:tcBorders>
              <w:top w:val="single" w:sz="4" w:space="0" w:color="auto"/>
              <w:left w:val="nil"/>
              <w:bottom w:val="nil"/>
              <w:right w:val="nil"/>
            </w:tcBorders>
            <w:shd w:val="clear" w:color="auto" w:fill="auto"/>
            <w:noWrap/>
            <w:vAlign w:val="bottom"/>
            <w:hideMark/>
          </w:tcPr>
          <w:p w14:paraId="61F0DE13" w14:textId="33148A29" w:rsidR="00137E95" w:rsidRPr="00137E95" w:rsidRDefault="00137E95" w:rsidP="00173DF0">
            <w:pPr>
              <w:spacing w:after="0" w:line="240" w:lineRule="auto"/>
              <w:jc w:val="right"/>
              <w:rPr>
                <w:rFonts w:ascii="Arial" w:hAnsi="Arial" w:cs="Arial"/>
                <w:b/>
                <w:bCs/>
                <w:sz w:val="16"/>
                <w:szCs w:val="16"/>
              </w:rPr>
            </w:pPr>
          </w:p>
        </w:tc>
        <w:tc>
          <w:tcPr>
            <w:tcW w:w="866" w:type="dxa"/>
            <w:tcBorders>
              <w:top w:val="single" w:sz="4" w:space="0" w:color="auto"/>
              <w:left w:val="nil"/>
              <w:bottom w:val="nil"/>
              <w:right w:val="nil"/>
            </w:tcBorders>
            <w:shd w:val="clear" w:color="auto" w:fill="auto"/>
            <w:noWrap/>
            <w:vAlign w:val="bottom"/>
            <w:hideMark/>
          </w:tcPr>
          <w:p w14:paraId="70845BF6" w14:textId="36051545" w:rsidR="00137E95" w:rsidRPr="00137E95" w:rsidRDefault="00137E95" w:rsidP="00173DF0">
            <w:pPr>
              <w:spacing w:after="0" w:line="240" w:lineRule="auto"/>
              <w:jc w:val="right"/>
              <w:rPr>
                <w:rFonts w:ascii="Arial" w:hAnsi="Arial" w:cs="Arial"/>
                <w:b/>
                <w:bCs/>
                <w:sz w:val="16"/>
                <w:szCs w:val="16"/>
              </w:rPr>
            </w:pPr>
          </w:p>
        </w:tc>
        <w:tc>
          <w:tcPr>
            <w:tcW w:w="964" w:type="dxa"/>
            <w:tcBorders>
              <w:top w:val="single" w:sz="4" w:space="0" w:color="auto"/>
              <w:left w:val="nil"/>
              <w:bottom w:val="nil"/>
              <w:right w:val="nil"/>
            </w:tcBorders>
            <w:shd w:val="clear" w:color="auto" w:fill="auto"/>
            <w:noWrap/>
            <w:vAlign w:val="bottom"/>
            <w:hideMark/>
          </w:tcPr>
          <w:p w14:paraId="20C8DD23" w14:textId="7C0DD1C1" w:rsidR="00137E95" w:rsidRPr="00137E95" w:rsidRDefault="00137E95" w:rsidP="00173DF0">
            <w:pPr>
              <w:spacing w:after="0" w:line="240" w:lineRule="auto"/>
              <w:jc w:val="right"/>
              <w:rPr>
                <w:rFonts w:ascii="Arial" w:hAnsi="Arial" w:cs="Arial"/>
                <w:b/>
                <w:bCs/>
                <w:sz w:val="16"/>
                <w:szCs w:val="16"/>
              </w:rPr>
            </w:pPr>
          </w:p>
        </w:tc>
        <w:tc>
          <w:tcPr>
            <w:tcW w:w="928" w:type="dxa"/>
            <w:tcBorders>
              <w:top w:val="single" w:sz="4" w:space="0" w:color="auto"/>
              <w:left w:val="nil"/>
              <w:bottom w:val="nil"/>
              <w:right w:val="nil"/>
            </w:tcBorders>
            <w:shd w:val="clear" w:color="auto" w:fill="auto"/>
            <w:noWrap/>
            <w:vAlign w:val="bottom"/>
            <w:hideMark/>
          </w:tcPr>
          <w:p w14:paraId="54D8496D" w14:textId="3934C336" w:rsidR="00137E95" w:rsidRPr="00137E95" w:rsidRDefault="00137E95" w:rsidP="00173DF0">
            <w:pPr>
              <w:spacing w:after="0" w:line="240" w:lineRule="auto"/>
              <w:jc w:val="right"/>
              <w:rPr>
                <w:rFonts w:ascii="Arial" w:hAnsi="Arial" w:cs="Arial"/>
                <w:b/>
                <w:bCs/>
                <w:sz w:val="16"/>
                <w:szCs w:val="16"/>
              </w:rPr>
            </w:pPr>
          </w:p>
        </w:tc>
        <w:tc>
          <w:tcPr>
            <w:tcW w:w="981" w:type="dxa"/>
            <w:tcBorders>
              <w:top w:val="single" w:sz="4" w:space="0" w:color="auto"/>
              <w:left w:val="nil"/>
              <w:bottom w:val="nil"/>
              <w:right w:val="nil"/>
            </w:tcBorders>
            <w:shd w:val="clear" w:color="auto" w:fill="auto"/>
            <w:noWrap/>
            <w:vAlign w:val="bottom"/>
            <w:hideMark/>
          </w:tcPr>
          <w:p w14:paraId="0885BFE8" w14:textId="3831D040" w:rsidR="00137E95" w:rsidRPr="00137E95" w:rsidRDefault="00137E95" w:rsidP="00173DF0">
            <w:pPr>
              <w:spacing w:after="0" w:line="240" w:lineRule="auto"/>
              <w:jc w:val="right"/>
              <w:rPr>
                <w:rFonts w:ascii="Arial" w:hAnsi="Arial" w:cs="Arial"/>
                <w:b/>
                <w:bCs/>
                <w:sz w:val="16"/>
                <w:szCs w:val="16"/>
              </w:rPr>
            </w:pPr>
          </w:p>
        </w:tc>
        <w:tc>
          <w:tcPr>
            <w:tcW w:w="941" w:type="dxa"/>
            <w:tcBorders>
              <w:top w:val="single" w:sz="4" w:space="0" w:color="auto"/>
              <w:left w:val="nil"/>
              <w:bottom w:val="nil"/>
              <w:right w:val="nil"/>
            </w:tcBorders>
            <w:shd w:val="clear" w:color="auto" w:fill="auto"/>
            <w:noWrap/>
            <w:vAlign w:val="bottom"/>
            <w:hideMark/>
          </w:tcPr>
          <w:p w14:paraId="0E1FCA93" w14:textId="6A0EF4B9" w:rsidR="00137E95" w:rsidRPr="00137E95" w:rsidRDefault="00137E95" w:rsidP="00173DF0">
            <w:pPr>
              <w:spacing w:after="0" w:line="240" w:lineRule="auto"/>
              <w:jc w:val="right"/>
              <w:rPr>
                <w:rFonts w:ascii="Arial" w:hAnsi="Arial" w:cs="Arial"/>
                <w:b/>
                <w:bCs/>
                <w:sz w:val="16"/>
                <w:szCs w:val="16"/>
              </w:rPr>
            </w:pPr>
          </w:p>
        </w:tc>
      </w:tr>
      <w:tr w:rsidR="00137E95" w:rsidRPr="00137E95" w14:paraId="61058EDE" w14:textId="77777777" w:rsidTr="00094B08">
        <w:trPr>
          <w:trHeight w:val="204"/>
        </w:trPr>
        <w:tc>
          <w:tcPr>
            <w:tcW w:w="2268" w:type="dxa"/>
            <w:tcBorders>
              <w:top w:val="nil"/>
              <w:left w:val="nil"/>
              <w:bottom w:val="nil"/>
              <w:right w:val="nil"/>
            </w:tcBorders>
            <w:shd w:val="clear" w:color="auto" w:fill="auto"/>
            <w:vAlign w:val="bottom"/>
            <w:hideMark/>
          </w:tcPr>
          <w:p w14:paraId="66AD30CF" w14:textId="77777777" w:rsidR="00137E95" w:rsidRPr="00137E95" w:rsidRDefault="00137E95" w:rsidP="00173DF0">
            <w:pPr>
              <w:spacing w:after="0" w:line="240" w:lineRule="auto"/>
              <w:ind w:left="227"/>
              <w:jc w:val="left"/>
              <w:rPr>
                <w:rFonts w:ascii="Arial" w:hAnsi="Arial" w:cs="Arial"/>
                <w:sz w:val="16"/>
                <w:szCs w:val="16"/>
              </w:rPr>
            </w:pPr>
            <w:r w:rsidRPr="00137E95">
              <w:rPr>
                <w:rFonts w:ascii="Arial" w:hAnsi="Arial" w:cs="Arial"/>
                <w:sz w:val="16"/>
                <w:szCs w:val="16"/>
              </w:rPr>
              <w:t>Depreciation/amortisation expense</w:t>
            </w:r>
          </w:p>
        </w:tc>
        <w:tc>
          <w:tcPr>
            <w:tcW w:w="706" w:type="dxa"/>
            <w:tcBorders>
              <w:top w:val="nil"/>
              <w:left w:val="nil"/>
              <w:bottom w:val="nil"/>
              <w:right w:val="nil"/>
            </w:tcBorders>
            <w:shd w:val="clear" w:color="auto" w:fill="auto"/>
            <w:noWrap/>
            <w:vAlign w:val="bottom"/>
            <w:hideMark/>
          </w:tcPr>
          <w:p w14:paraId="1D3665AB" w14:textId="5ACF565D"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4AE71D3F"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(4,624)</w:t>
            </w:r>
          </w:p>
        </w:tc>
        <w:tc>
          <w:tcPr>
            <w:tcW w:w="964" w:type="dxa"/>
            <w:tcBorders>
              <w:top w:val="nil"/>
              <w:left w:val="nil"/>
              <w:bottom w:val="nil"/>
              <w:right w:val="nil"/>
            </w:tcBorders>
            <w:shd w:val="clear" w:color="auto" w:fill="auto"/>
            <w:noWrap/>
            <w:vAlign w:val="bottom"/>
            <w:hideMark/>
          </w:tcPr>
          <w:p w14:paraId="1F59E8B5"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(2,942)</w:t>
            </w:r>
          </w:p>
        </w:tc>
        <w:tc>
          <w:tcPr>
            <w:tcW w:w="928" w:type="dxa"/>
            <w:tcBorders>
              <w:top w:val="nil"/>
              <w:left w:val="nil"/>
              <w:bottom w:val="nil"/>
              <w:right w:val="nil"/>
            </w:tcBorders>
            <w:shd w:val="clear" w:color="auto" w:fill="auto"/>
            <w:noWrap/>
            <w:vAlign w:val="bottom"/>
            <w:hideMark/>
          </w:tcPr>
          <w:p w14:paraId="57413408"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(10,400)</w:t>
            </w:r>
          </w:p>
        </w:tc>
        <w:tc>
          <w:tcPr>
            <w:tcW w:w="981" w:type="dxa"/>
            <w:tcBorders>
              <w:top w:val="nil"/>
              <w:left w:val="nil"/>
              <w:bottom w:val="nil"/>
              <w:right w:val="nil"/>
            </w:tcBorders>
            <w:shd w:val="clear" w:color="auto" w:fill="auto"/>
            <w:noWrap/>
            <w:vAlign w:val="bottom"/>
            <w:hideMark/>
          </w:tcPr>
          <w:p w14:paraId="7B75ED4C"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(2,089)</w:t>
            </w:r>
          </w:p>
        </w:tc>
        <w:tc>
          <w:tcPr>
            <w:tcW w:w="941" w:type="dxa"/>
            <w:tcBorders>
              <w:top w:val="nil"/>
              <w:left w:val="nil"/>
              <w:bottom w:val="nil"/>
              <w:right w:val="nil"/>
            </w:tcBorders>
            <w:shd w:val="clear" w:color="auto" w:fill="auto"/>
            <w:noWrap/>
            <w:vAlign w:val="bottom"/>
            <w:hideMark/>
          </w:tcPr>
          <w:p w14:paraId="761D6701"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(20,055)</w:t>
            </w:r>
          </w:p>
        </w:tc>
      </w:tr>
      <w:tr w:rsidR="00137E95" w:rsidRPr="00137E95" w14:paraId="2DC604D2" w14:textId="77777777" w:rsidTr="00094B08">
        <w:trPr>
          <w:trHeight w:val="204"/>
        </w:trPr>
        <w:tc>
          <w:tcPr>
            <w:tcW w:w="2268" w:type="dxa"/>
            <w:tcBorders>
              <w:top w:val="nil"/>
              <w:left w:val="nil"/>
              <w:right w:val="nil"/>
            </w:tcBorders>
            <w:shd w:val="clear" w:color="auto" w:fill="auto"/>
            <w:vAlign w:val="center"/>
            <w:hideMark/>
          </w:tcPr>
          <w:p w14:paraId="2D46BE14" w14:textId="579CFD91" w:rsidR="00137E95" w:rsidRPr="00137E95" w:rsidRDefault="00137E95" w:rsidP="00173DF0">
            <w:pPr>
              <w:spacing w:after="0" w:line="240" w:lineRule="auto"/>
              <w:ind w:left="227"/>
              <w:jc w:val="left"/>
              <w:rPr>
                <w:rFonts w:ascii="Arial" w:hAnsi="Arial" w:cs="Arial"/>
                <w:sz w:val="16"/>
                <w:szCs w:val="16"/>
              </w:rPr>
            </w:pPr>
            <w:r w:rsidRPr="00137E95">
              <w:rPr>
                <w:rFonts w:ascii="Arial" w:hAnsi="Arial" w:cs="Arial"/>
                <w:sz w:val="16"/>
                <w:szCs w:val="16"/>
              </w:rPr>
              <w:t>Depreciation/amortisation on ROU assets</w:t>
            </w:r>
          </w:p>
        </w:tc>
        <w:tc>
          <w:tcPr>
            <w:tcW w:w="706" w:type="dxa"/>
            <w:tcBorders>
              <w:top w:val="nil"/>
              <w:left w:val="nil"/>
              <w:bottom w:val="nil"/>
              <w:right w:val="nil"/>
            </w:tcBorders>
            <w:shd w:val="clear" w:color="auto" w:fill="auto"/>
            <w:noWrap/>
            <w:vAlign w:val="bottom"/>
            <w:hideMark/>
          </w:tcPr>
          <w:p w14:paraId="0DF6E088" w14:textId="5F3122F9"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53107E06"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(871)</w:t>
            </w:r>
          </w:p>
        </w:tc>
        <w:tc>
          <w:tcPr>
            <w:tcW w:w="964" w:type="dxa"/>
            <w:tcBorders>
              <w:top w:val="nil"/>
              <w:left w:val="nil"/>
              <w:bottom w:val="nil"/>
              <w:right w:val="nil"/>
            </w:tcBorders>
            <w:shd w:val="clear" w:color="auto" w:fill="auto"/>
            <w:noWrap/>
            <w:vAlign w:val="bottom"/>
            <w:hideMark/>
          </w:tcPr>
          <w:p w14:paraId="3ABF83FF"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(8)</w:t>
            </w:r>
          </w:p>
        </w:tc>
        <w:tc>
          <w:tcPr>
            <w:tcW w:w="928" w:type="dxa"/>
            <w:tcBorders>
              <w:top w:val="nil"/>
              <w:left w:val="nil"/>
              <w:bottom w:val="nil"/>
              <w:right w:val="nil"/>
            </w:tcBorders>
            <w:shd w:val="clear" w:color="auto" w:fill="auto"/>
            <w:noWrap/>
            <w:vAlign w:val="bottom"/>
            <w:hideMark/>
          </w:tcPr>
          <w:p w14:paraId="6037A2FA" w14:textId="7B17879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51744CC0" w14:textId="50B9A39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41" w:type="dxa"/>
            <w:tcBorders>
              <w:top w:val="nil"/>
              <w:left w:val="nil"/>
              <w:bottom w:val="nil"/>
              <w:right w:val="nil"/>
            </w:tcBorders>
            <w:shd w:val="clear" w:color="auto" w:fill="auto"/>
            <w:noWrap/>
            <w:vAlign w:val="bottom"/>
            <w:hideMark/>
          </w:tcPr>
          <w:p w14:paraId="75B14C38"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(879)</w:t>
            </w:r>
          </w:p>
        </w:tc>
      </w:tr>
      <w:tr w:rsidR="00137E95" w:rsidRPr="00137E95" w14:paraId="596266F2" w14:textId="77777777" w:rsidTr="00094B08">
        <w:trPr>
          <w:trHeight w:val="204"/>
        </w:trPr>
        <w:tc>
          <w:tcPr>
            <w:tcW w:w="2268" w:type="dxa"/>
            <w:tcBorders>
              <w:top w:val="nil"/>
              <w:left w:val="nil"/>
              <w:right w:val="nil"/>
            </w:tcBorders>
            <w:shd w:val="clear" w:color="auto" w:fill="auto"/>
            <w:vAlign w:val="bottom"/>
            <w:hideMark/>
          </w:tcPr>
          <w:p w14:paraId="20B3A529" w14:textId="77777777" w:rsidR="00137E95" w:rsidRPr="00137E95" w:rsidRDefault="00137E95" w:rsidP="00173DF0">
            <w:pPr>
              <w:spacing w:after="0" w:line="240" w:lineRule="auto"/>
              <w:ind w:left="113"/>
              <w:jc w:val="left"/>
              <w:rPr>
                <w:rFonts w:ascii="Arial" w:hAnsi="Arial" w:cs="Arial"/>
                <w:b/>
                <w:bCs/>
                <w:sz w:val="16"/>
                <w:szCs w:val="16"/>
              </w:rPr>
            </w:pPr>
            <w:r w:rsidRPr="00137E95">
              <w:rPr>
                <w:rFonts w:ascii="Arial" w:hAnsi="Arial" w:cs="Arial"/>
                <w:b/>
                <w:bCs/>
                <w:sz w:val="16"/>
                <w:szCs w:val="16"/>
              </w:rPr>
              <w:t>Total other movements</w:t>
            </w:r>
          </w:p>
        </w:tc>
        <w:tc>
          <w:tcPr>
            <w:tcW w:w="706" w:type="dxa"/>
            <w:tcBorders>
              <w:top w:val="single" w:sz="4" w:space="0" w:color="auto"/>
              <w:left w:val="nil"/>
              <w:bottom w:val="single" w:sz="4" w:space="0" w:color="auto"/>
              <w:right w:val="nil"/>
            </w:tcBorders>
            <w:shd w:val="clear" w:color="auto" w:fill="auto"/>
            <w:noWrap/>
            <w:vAlign w:val="bottom"/>
            <w:hideMark/>
          </w:tcPr>
          <w:p w14:paraId="26D3EA91" w14:textId="7CC5BBE2"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w:t>
            </w:r>
          </w:p>
        </w:tc>
        <w:tc>
          <w:tcPr>
            <w:tcW w:w="866" w:type="dxa"/>
            <w:tcBorders>
              <w:top w:val="single" w:sz="4" w:space="0" w:color="auto"/>
              <w:left w:val="nil"/>
              <w:bottom w:val="single" w:sz="4" w:space="0" w:color="auto"/>
              <w:right w:val="nil"/>
            </w:tcBorders>
            <w:shd w:val="clear" w:color="auto" w:fill="auto"/>
            <w:noWrap/>
            <w:vAlign w:val="bottom"/>
            <w:hideMark/>
          </w:tcPr>
          <w:p w14:paraId="2ADA79E5" w14:textId="77777777"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(5,495)</w:t>
            </w:r>
          </w:p>
        </w:tc>
        <w:tc>
          <w:tcPr>
            <w:tcW w:w="964" w:type="dxa"/>
            <w:tcBorders>
              <w:top w:val="single" w:sz="4" w:space="0" w:color="auto"/>
              <w:left w:val="nil"/>
              <w:bottom w:val="single" w:sz="4" w:space="0" w:color="auto"/>
              <w:right w:val="nil"/>
            </w:tcBorders>
            <w:shd w:val="clear" w:color="auto" w:fill="auto"/>
            <w:noWrap/>
            <w:vAlign w:val="bottom"/>
            <w:hideMark/>
          </w:tcPr>
          <w:p w14:paraId="1A830908" w14:textId="77777777"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(2,950)</w:t>
            </w:r>
          </w:p>
        </w:tc>
        <w:tc>
          <w:tcPr>
            <w:tcW w:w="928" w:type="dxa"/>
            <w:tcBorders>
              <w:top w:val="single" w:sz="4" w:space="0" w:color="auto"/>
              <w:left w:val="nil"/>
              <w:bottom w:val="single" w:sz="4" w:space="0" w:color="auto"/>
              <w:right w:val="nil"/>
            </w:tcBorders>
            <w:shd w:val="clear" w:color="auto" w:fill="auto"/>
            <w:noWrap/>
            <w:vAlign w:val="bottom"/>
            <w:hideMark/>
          </w:tcPr>
          <w:p w14:paraId="2FFE2C48" w14:textId="77777777"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(10,400)</w:t>
            </w:r>
          </w:p>
        </w:tc>
        <w:tc>
          <w:tcPr>
            <w:tcW w:w="981" w:type="dxa"/>
            <w:tcBorders>
              <w:top w:val="single" w:sz="4" w:space="0" w:color="auto"/>
              <w:left w:val="nil"/>
              <w:bottom w:val="single" w:sz="4" w:space="0" w:color="auto"/>
              <w:right w:val="nil"/>
            </w:tcBorders>
            <w:shd w:val="clear" w:color="auto" w:fill="auto"/>
            <w:noWrap/>
            <w:vAlign w:val="bottom"/>
            <w:hideMark/>
          </w:tcPr>
          <w:p w14:paraId="44F59EB9" w14:textId="77777777"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(2,089)</w:t>
            </w:r>
          </w:p>
        </w:tc>
        <w:tc>
          <w:tcPr>
            <w:tcW w:w="941" w:type="dxa"/>
            <w:tcBorders>
              <w:top w:val="single" w:sz="4" w:space="0" w:color="auto"/>
              <w:left w:val="nil"/>
              <w:bottom w:val="single" w:sz="4" w:space="0" w:color="auto"/>
              <w:right w:val="nil"/>
            </w:tcBorders>
            <w:shd w:val="clear" w:color="auto" w:fill="auto"/>
            <w:noWrap/>
            <w:vAlign w:val="bottom"/>
            <w:hideMark/>
          </w:tcPr>
          <w:p w14:paraId="1DD6ED82" w14:textId="77777777"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(20,934)</w:t>
            </w:r>
          </w:p>
        </w:tc>
      </w:tr>
      <w:tr w:rsidR="00137E95" w:rsidRPr="00137E95" w14:paraId="4ADFA4A9" w14:textId="77777777" w:rsidTr="00094B08">
        <w:trPr>
          <w:trHeight w:val="204"/>
        </w:trPr>
        <w:tc>
          <w:tcPr>
            <w:tcW w:w="2268" w:type="dxa"/>
            <w:tcBorders>
              <w:top w:val="nil"/>
              <w:left w:val="nil"/>
              <w:bottom w:val="nil"/>
              <w:right w:val="nil"/>
            </w:tcBorders>
            <w:shd w:val="clear" w:color="auto" w:fill="auto"/>
            <w:vAlign w:val="bottom"/>
            <w:hideMark/>
          </w:tcPr>
          <w:p w14:paraId="067529C3" w14:textId="77777777" w:rsidR="00137E95" w:rsidRPr="00137E95" w:rsidRDefault="00137E95" w:rsidP="00137E95">
            <w:pPr>
              <w:spacing w:after="0" w:line="240" w:lineRule="auto"/>
              <w:jc w:val="left"/>
              <w:rPr>
                <w:rFonts w:ascii="Arial" w:hAnsi="Arial" w:cs="Arial"/>
                <w:b/>
                <w:bCs/>
                <w:sz w:val="16"/>
                <w:szCs w:val="16"/>
              </w:rPr>
            </w:pPr>
            <w:r w:rsidRPr="00137E95">
              <w:rPr>
                <w:rFonts w:ascii="Arial" w:hAnsi="Arial" w:cs="Arial"/>
                <w:b/>
                <w:bCs/>
                <w:sz w:val="16"/>
                <w:szCs w:val="16"/>
              </w:rPr>
              <w:t>As at 30 June 2022</w:t>
            </w:r>
          </w:p>
        </w:tc>
        <w:tc>
          <w:tcPr>
            <w:tcW w:w="706" w:type="dxa"/>
            <w:tcBorders>
              <w:top w:val="nil"/>
              <w:left w:val="nil"/>
              <w:bottom w:val="nil"/>
              <w:right w:val="nil"/>
            </w:tcBorders>
            <w:shd w:val="clear" w:color="auto" w:fill="auto"/>
            <w:noWrap/>
            <w:vAlign w:val="bottom"/>
            <w:hideMark/>
          </w:tcPr>
          <w:p w14:paraId="57CFD510" w14:textId="77777777" w:rsidR="00137E95" w:rsidRPr="00137E95" w:rsidRDefault="00137E95" w:rsidP="00173DF0">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5B2D9BA1" w14:textId="77777777" w:rsidR="00137E95" w:rsidRPr="00137E95" w:rsidRDefault="00137E95" w:rsidP="00173DF0">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7FB86100" w14:textId="77777777" w:rsidR="00137E95" w:rsidRPr="00137E95" w:rsidRDefault="00137E95" w:rsidP="00173DF0">
            <w:pPr>
              <w:spacing w:after="0" w:line="240" w:lineRule="auto"/>
              <w:jc w:val="right"/>
              <w:rPr>
                <w:rFonts w:ascii="Arial" w:hAnsi="Arial" w:cs="Arial"/>
                <w:sz w:val="16"/>
                <w:szCs w:val="16"/>
              </w:rPr>
            </w:pPr>
          </w:p>
        </w:tc>
        <w:tc>
          <w:tcPr>
            <w:tcW w:w="928" w:type="dxa"/>
            <w:tcBorders>
              <w:top w:val="nil"/>
              <w:left w:val="nil"/>
              <w:bottom w:val="nil"/>
              <w:right w:val="nil"/>
            </w:tcBorders>
            <w:shd w:val="clear" w:color="auto" w:fill="auto"/>
            <w:noWrap/>
            <w:vAlign w:val="bottom"/>
            <w:hideMark/>
          </w:tcPr>
          <w:p w14:paraId="5F6E4452" w14:textId="77777777" w:rsidR="00137E95" w:rsidRPr="00137E95" w:rsidRDefault="00137E95" w:rsidP="00173DF0">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243FD96E" w14:textId="77777777" w:rsidR="00137E95" w:rsidRPr="00137E95" w:rsidRDefault="00137E95" w:rsidP="00173DF0">
            <w:pPr>
              <w:spacing w:after="0" w:line="240" w:lineRule="auto"/>
              <w:jc w:val="right"/>
              <w:rPr>
                <w:rFonts w:ascii="Arial" w:hAnsi="Arial" w:cs="Arial"/>
                <w:sz w:val="16"/>
                <w:szCs w:val="16"/>
              </w:rPr>
            </w:pPr>
          </w:p>
        </w:tc>
        <w:tc>
          <w:tcPr>
            <w:tcW w:w="941" w:type="dxa"/>
            <w:tcBorders>
              <w:top w:val="nil"/>
              <w:left w:val="nil"/>
              <w:bottom w:val="nil"/>
              <w:right w:val="nil"/>
            </w:tcBorders>
            <w:shd w:val="clear" w:color="auto" w:fill="auto"/>
            <w:noWrap/>
            <w:vAlign w:val="bottom"/>
            <w:hideMark/>
          </w:tcPr>
          <w:p w14:paraId="40850A0E" w14:textId="77777777" w:rsidR="00137E95" w:rsidRPr="00137E95" w:rsidRDefault="00137E95" w:rsidP="00173DF0">
            <w:pPr>
              <w:spacing w:after="0" w:line="240" w:lineRule="auto"/>
              <w:jc w:val="right"/>
              <w:rPr>
                <w:rFonts w:ascii="Arial" w:hAnsi="Arial" w:cs="Arial"/>
                <w:sz w:val="16"/>
                <w:szCs w:val="16"/>
              </w:rPr>
            </w:pPr>
          </w:p>
        </w:tc>
      </w:tr>
      <w:tr w:rsidR="00137E95" w:rsidRPr="00137E95" w14:paraId="0450085F" w14:textId="77777777" w:rsidTr="00094B08">
        <w:trPr>
          <w:trHeight w:val="204"/>
        </w:trPr>
        <w:tc>
          <w:tcPr>
            <w:tcW w:w="2268" w:type="dxa"/>
            <w:tcBorders>
              <w:top w:val="nil"/>
              <w:left w:val="nil"/>
              <w:bottom w:val="nil"/>
              <w:right w:val="nil"/>
            </w:tcBorders>
            <w:shd w:val="clear" w:color="auto" w:fill="auto"/>
            <w:vAlign w:val="center"/>
            <w:hideMark/>
          </w:tcPr>
          <w:p w14:paraId="00BCBE9E" w14:textId="77777777" w:rsidR="00137E95" w:rsidRPr="00137E95" w:rsidRDefault="00137E95" w:rsidP="00173DF0">
            <w:pPr>
              <w:spacing w:after="0" w:line="240" w:lineRule="auto"/>
              <w:ind w:left="113"/>
              <w:jc w:val="left"/>
              <w:rPr>
                <w:rFonts w:ascii="Arial" w:hAnsi="Arial" w:cs="Arial"/>
                <w:sz w:val="16"/>
                <w:szCs w:val="16"/>
              </w:rPr>
            </w:pPr>
            <w:r w:rsidRPr="00137E95">
              <w:rPr>
                <w:rFonts w:ascii="Arial" w:hAnsi="Arial" w:cs="Arial"/>
                <w:sz w:val="16"/>
                <w:szCs w:val="16"/>
              </w:rPr>
              <w:t>Gross book value</w:t>
            </w:r>
          </w:p>
        </w:tc>
        <w:tc>
          <w:tcPr>
            <w:tcW w:w="706" w:type="dxa"/>
            <w:tcBorders>
              <w:top w:val="nil"/>
              <w:left w:val="nil"/>
              <w:bottom w:val="nil"/>
              <w:right w:val="nil"/>
            </w:tcBorders>
            <w:shd w:val="clear" w:color="auto" w:fill="auto"/>
            <w:noWrap/>
            <w:vAlign w:val="bottom"/>
            <w:hideMark/>
          </w:tcPr>
          <w:p w14:paraId="63E950FE" w14:textId="641E125C"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17,000</w:t>
            </w:r>
          </w:p>
        </w:tc>
        <w:tc>
          <w:tcPr>
            <w:tcW w:w="866" w:type="dxa"/>
            <w:tcBorders>
              <w:top w:val="nil"/>
              <w:left w:val="nil"/>
              <w:bottom w:val="nil"/>
              <w:right w:val="nil"/>
            </w:tcBorders>
            <w:shd w:val="clear" w:color="auto" w:fill="auto"/>
            <w:noWrap/>
            <w:vAlign w:val="bottom"/>
            <w:hideMark/>
          </w:tcPr>
          <w:p w14:paraId="08D516D1" w14:textId="70B34A2E"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233,736</w:t>
            </w:r>
          </w:p>
        </w:tc>
        <w:tc>
          <w:tcPr>
            <w:tcW w:w="964" w:type="dxa"/>
            <w:tcBorders>
              <w:top w:val="nil"/>
              <w:left w:val="nil"/>
              <w:bottom w:val="nil"/>
              <w:right w:val="nil"/>
            </w:tcBorders>
            <w:shd w:val="clear" w:color="auto" w:fill="auto"/>
            <w:noWrap/>
            <w:vAlign w:val="bottom"/>
            <w:hideMark/>
          </w:tcPr>
          <w:p w14:paraId="71D8F623" w14:textId="2931C318"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19,588</w:t>
            </w:r>
          </w:p>
        </w:tc>
        <w:tc>
          <w:tcPr>
            <w:tcW w:w="928" w:type="dxa"/>
            <w:tcBorders>
              <w:top w:val="nil"/>
              <w:left w:val="nil"/>
              <w:bottom w:val="nil"/>
              <w:right w:val="nil"/>
            </w:tcBorders>
            <w:shd w:val="clear" w:color="auto" w:fill="auto"/>
            <w:noWrap/>
            <w:vAlign w:val="bottom"/>
            <w:hideMark/>
          </w:tcPr>
          <w:p w14:paraId="2B678EFB" w14:textId="75163746"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1,122,435</w:t>
            </w:r>
          </w:p>
        </w:tc>
        <w:tc>
          <w:tcPr>
            <w:tcW w:w="981" w:type="dxa"/>
            <w:tcBorders>
              <w:top w:val="nil"/>
              <w:left w:val="nil"/>
              <w:bottom w:val="nil"/>
              <w:right w:val="nil"/>
            </w:tcBorders>
            <w:shd w:val="clear" w:color="auto" w:fill="auto"/>
            <w:noWrap/>
            <w:vAlign w:val="bottom"/>
            <w:hideMark/>
          </w:tcPr>
          <w:p w14:paraId="3EE50D2C" w14:textId="7053642D"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111,197</w:t>
            </w:r>
          </w:p>
        </w:tc>
        <w:tc>
          <w:tcPr>
            <w:tcW w:w="941" w:type="dxa"/>
            <w:tcBorders>
              <w:top w:val="nil"/>
              <w:left w:val="nil"/>
              <w:bottom w:val="nil"/>
              <w:right w:val="nil"/>
            </w:tcBorders>
            <w:shd w:val="clear" w:color="auto" w:fill="auto"/>
            <w:noWrap/>
            <w:vAlign w:val="bottom"/>
            <w:hideMark/>
          </w:tcPr>
          <w:p w14:paraId="74373097" w14:textId="4A36F3FB"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1,503,956</w:t>
            </w:r>
          </w:p>
        </w:tc>
      </w:tr>
      <w:tr w:rsidR="00137E95" w:rsidRPr="00137E95" w14:paraId="213F1D47" w14:textId="77777777" w:rsidTr="00094B08">
        <w:trPr>
          <w:trHeight w:val="204"/>
        </w:trPr>
        <w:tc>
          <w:tcPr>
            <w:tcW w:w="2268" w:type="dxa"/>
            <w:tcBorders>
              <w:top w:val="nil"/>
              <w:left w:val="nil"/>
              <w:bottom w:val="nil"/>
              <w:right w:val="nil"/>
            </w:tcBorders>
            <w:shd w:val="clear" w:color="auto" w:fill="auto"/>
            <w:vAlign w:val="center"/>
            <w:hideMark/>
          </w:tcPr>
          <w:p w14:paraId="0D5DCD34" w14:textId="77777777" w:rsidR="00137E95" w:rsidRPr="00137E95" w:rsidRDefault="00137E95" w:rsidP="00D55B53">
            <w:pPr>
              <w:spacing w:after="0" w:line="240" w:lineRule="auto"/>
              <w:ind w:left="113"/>
              <w:jc w:val="left"/>
              <w:rPr>
                <w:rFonts w:ascii="Arial" w:hAnsi="Arial" w:cs="Arial"/>
                <w:sz w:val="16"/>
                <w:szCs w:val="16"/>
              </w:rPr>
            </w:pPr>
            <w:r w:rsidRPr="00137E95">
              <w:rPr>
                <w:rFonts w:ascii="Arial" w:hAnsi="Arial" w:cs="Arial"/>
                <w:sz w:val="16"/>
                <w:szCs w:val="16"/>
              </w:rPr>
              <w:t>Gross book value - ROU assets</w:t>
            </w:r>
          </w:p>
        </w:tc>
        <w:tc>
          <w:tcPr>
            <w:tcW w:w="706" w:type="dxa"/>
            <w:tcBorders>
              <w:top w:val="nil"/>
              <w:left w:val="nil"/>
              <w:bottom w:val="nil"/>
              <w:right w:val="nil"/>
            </w:tcBorders>
            <w:shd w:val="clear" w:color="auto" w:fill="auto"/>
            <w:noWrap/>
            <w:vAlign w:val="bottom"/>
            <w:hideMark/>
          </w:tcPr>
          <w:p w14:paraId="6295E934" w14:textId="393AB1BC"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2C205B44" w14:textId="1BC15310"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4,739</w:t>
            </w:r>
          </w:p>
        </w:tc>
        <w:tc>
          <w:tcPr>
            <w:tcW w:w="964" w:type="dxa"/>
            <w:tcBorders>
              <w:top w:val="nil"/>
              <w:left w:val="nil"/>
              <w:bottom w:val="nil"/>
              <w:right w:val="nil"/>
            </w:tcBorders>
            <w:shd w:val="clear" w:color="auto" w:fill="auto"/>
            <w:noWrap/>
            <w:vAlign w:val="bottom"/>
            <w:hideMark/>
          </w:tcPr>
          <w:p w14:paraId="7059FE57" w14:textId="629C5784"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26</w:t>
            </w:r>
          </w:p>
        </w:tc>
        <w:tc>
          <w:tcPr>
            <w:tcW w:w="928" w:type="dxa"/>
            <w:tcBorders>
              <w:top w:val="nil"/>
              <w:left w:val="nil"/>
              <w:bottom w:val="nil"/>
              <w:right w:val="nil"/>
            </w:tcBorders>
            <w:shd w:val="clear" w:color="auto" w:fill="auto"/>
            <w:noWrap/>
            <w:vAlign w:val="bottom"/>
            <w:hideMark/>
          </w:tcPr>
          <w:p w14:paraId="477F4A1D" w14:textId="22D640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794B13C6" w14:textId="1073E316"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41" w:type="dxa"/>
            <w:tcBorders>
              <w:top w:val="nil"/>
              <w:left w:val="nil"/>
              <w:bottom w:val="nil"/>
              <w:right w:val="nil"/>
            </w:tcBorders>
            <w:shd w:val="clear" w:color="auto" w:fill="auto"/>
            <w:noWrap/>
            <w:vAlign w:val="bottom"/>
            <w:hideMark/>
          </w:tcPr>
          <w:p w14:paraId="50427995" w14:textId="48DB6BE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4,765</w:t>
            </w:r>
          </w:p>
        </w:tc>
      </w:tr>
      <w:tr w:rsidR="00137E95" w:rsidRPr="00137E95" w14:paraId="10E4C9C3" w14:textId="77777777" w:rsidTr="00094B08">
        <w:trPr>
          <w:trHeight w:val="204"/>
        </w:trPr>
        <w:tc>
          <w:tcPr>
            <w:tcW w:w="2268" w:type="dxa"/>
            <w:tcBorders>
              <w:top w:val="nil"/>
              <w:left w:val="nil"/>
              <w:bottom w:val="nil"/>
              <w:right w:val="nil"/>
            </w:tcBorders>
            <w:shd w:val="clear" w:color="auto" w:fill="auto"/>
            <w:vAlign w:val="center"/>
            <w:hideMark/>
          </w:tcPr>
          <w:p w14:paraId="0D52DF99" w14:textId="1E218B95" w:rsidR="00137E95" w:rsidRPr="00137E95" w:rsidRDefault="00137E95" w:rsidP="00D55B53">
            <w:pPr>
              <w:spacing w:after="0" w:line="240" w:lineRule="auto"/>
              <w:ind w:left="113"/>
              <w:jc w:val="left"/>
              <w:rPr>
                <w:rFonts w:ascii="Arial" w:hAnsi="Arial" w:cs="Arial"/>
                <w:sz w:val="16"/>
                <w:szCs w:val="16"/>
              </w:rPr>
            </w:pPr>
            <w:r w:rsidRPr="00137E95">
              <w:rPr>
                <w:rFonts w:ascii="Arial" w:hAnsi="Arial" w:cs="Arial"/>
                <w:sz w:val="16"/>
                <w:szCs w:val="16"/>
              </w:rPr>
              <w:t>Accumulated depreciation/</w:t>
            </w:r>
            <w:r w:rsidR="00D55B53">
              <w:rPr>
                <w:rFonts w:ascii="Arial" w:hAnsi="Arial" w:cs="Arial"/>
                <w:sz w:val="16"/>
                <w:szCs w:val="16"/>
              </w:rPr>
              <w:t xml:space="preserve"> </w:t>
            </w:r>
            <w:r w:rsidRPr="00137E95">
              <w:rPr>
                <w:rFonts w:ascii="Arial" w:hAnsi="Arial" w:cs="Arial"/>
                <w:sz w:val="16"/>
                <w:szCs w:val="16"/>
              </w:rPr>
              <w:t>amortisation and impairment</w:t>
            </w:r>
          </w:p>
        </w:tc>
        <w:tc>
          <w:tcPr>
            <w:tcW w:w="706" w:type="dxa"/>
            <w:tcBorders>
              <w:top w:val="nil"/>
              <w:left w:val="nil"/>
              <w:bottom w:val="nil"/>
              <w:right w:val="nil"/>
            </w:tcBorders>
            <w:shd w:val="clear" w:color="auto" w:fill="auto"/>
            <w:noWrap/>
            <w:vAlign w:val="bottom"/>
            <w:hideMark/>
          </w:tcPr>
          <w:p w14:paraId="3F58A9E7" w14:textId="24C75D81"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477ADB09"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(4,765)</w:t>
            </w:r>
          </w:p>
        </w:tc>
        <w:tc>
          <w:tcPr>
            <w:tcW w:w="964" w:type="dxa"/>
            <w:tcBorders>
              <w:top w:val="nil"/>
              <w:left w:val="nil"/>
              <w:bottom w:val="nil"/>
              <w:right w:val="nil"/>
            </w:tcBorders>
            <w:shd w:val="clear" w:color="auto" w:fill="auto"/>
            <w:noWrap/>
            <w:vAlign w:val="bottom"/>
            <w:hideMark/>
          </w:tcPr>
          <w:p w14:paraId="4F31B31F"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(5,813)</w:t>
            </w:r>
          </w:p>
        </w:tc>
        <w:tc>
          <w:tcPr>
            <w:tcW w:w="928" w:type="dxa"/>
            <w:tcBorders>
              <w:top w:val="nil"/>
              <w:left w:val="nil"/>
              <w:bottom w:val="nil"/>
              <w:right w:val="nil"/>
            </w:tcBorders>
            <w:shd w:val="clear" w:color="auto" w:fill="auto"/>
            <w:noWrap/>
            <w:vAlign w:val="bottom"/>
            <w:hideMark/>
          </w:tcPr>
          <w:p w14:paraId="40B197B6"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(19,490)</w:t>
            </w:r>
          </w:p>
        </w:tc>
        <w:tc>
          <w:tcPr>
            <w:tcW w:w="981" w:type="dxa"/>
            <w:tcBorders>
              <w:top w:val="nil"/>
              <w:left w:val="nil"/>
              <w:bottom w:val="nil"/>
              <w:right w:val="nil"/>
            </w:tcBorders>
            <w:shd w:val="clear" w:color="auto" w:fill="auto"/>
            <w:noWrap/>
            <w:vAlign w:val="bottom"/>
            <w:hideMark/>
          </w:tcPr>
          <w:p w14:paraId="7815E6B9"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(22,040)</w:t>
            </w:r>
          </w:p>
        </w:tc>
        <w:tc>
          <w:tcPr>
            <w:tcW w:w="941" w:type="dxa"/>
            <w:tcBorders>
              <w:top w:val="nil"/>
              <w:left w:val="nil"/>
              <w:bottom w:val="nil"/>
              <w:right w:val="nil"/>
            </w:tcBorders>
            <w:shd w:val="clear" w:color="auto" w:fill="auto"/>
            <w:noWrap/>
            <w:vAlign w:val="bottom"/>
            <w:hideMark/>
          </w:tcPr>
          <w:p w14:paraId="7B413D97"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(52,108)</w:t>
            </w:r>
          </w:p>
        </w:tc>
      </w:tr>
      <w:tr w:rsidR="00137E95" w:rsidRPr="00137E95" w14:paraId="123D9598" w14:textId="77777777" w:rsidTr="00094B08">
        <w:trPr>
          <w:trHeight w:val="204"/>
        </w:trPr>
        <w:tc>
          <w:tcPr>
            <w:tcW w:w="2268" w:type="dxa"/>
            <w:tcBorders>
              <w:top w:val="nil"/>
              <w:left w:val="nil"/>
              <w:bottom w:val="nil"/>
              <w:right w:val="nil"/>
            </w:tcBorders>
            <w:shd w:val="clear" w:color="auto" w:fill="auto"/>
            <w:vAlign w:val="center"/>
            <w:hideMark/>
          </w:tcPr>
          <w:p w14:paraId="341CF3B7" w14:textId="2B66690C" w:rsidR="00137E95" w:rsidRPr="00137E95" w:rsidRDefault="00137E95" w:rsidP="00D55B53">
            <w:pPr>
              <w:spacing w:after="0" w:line="240" w:lineRule="auto"/>
              <w:ind w:left="113"/>
              <w:jc w:val="left"/>
              <w:rPr>
                <w:rFonts w:ascii="Arial" w:hAnsi="Arial" w:cs="Arial"/>
                <w:sz w:val="16"/>
                <w:szCs w:val="16"/>
              </w:rPr>
            </w:pPr>
            <w:r w:rsidRPr="00137E95">
              <w:rPr>
                <w:rFonts w:ascii="Arial" w:hAnsi="Arial" w:cs="Arial"/>
                <w:sz w:val="16"/>
                <w:szCs w:val="16"/>
              </w:rPr>
              <w:t>Accumulated depreciation/</w:t>
            </w:r>
            <w:r w:rsidR="00D55B53">
              <w:rPr>
                <w:rFonts w:ascii="Arial" w:hAnsi="Arial" w:cs="Arial"/>
                <w:sz w:val="16"/>
                <w:szCs w:val="16"/>
              </w:rPr>
              <w:t xml:space="preserve"> </w:t>
            </w:r>
            <w:r w:rsidRPr="00137E95">
              <w:rPr>
                <w:rFonts w:ascii="Arial" w:hAnsi="Arial" w:cs="Arial"/>
                <w:sz w:val="16"/>
                <w:szCs w:val="16"/>
              </w:rPr>
              <w:t>amortisation and impairment - ROU assets</w:t>
            </w:r>
          </w:p>
        </w:tc>
        <w:tc>
          <w:tcPr>
            <w:tcW w:w="706" w:type="dxa"/>
            <w:tcBorders>
              <w:top w:val="nil"/>
              <w:left w:val="nil"/>
              <w:bottom w:val="nil"/>
              <w:right w:val="nil"/>
            </w:tcBorders>
            <w:shd w:val="clear" w:color="auto" w:fill="auto"/>
            <w:noWrap/>
            <w:vAlign w:val="bottom"/>
            <w:hideMark/>
          </w:tcPr>
          <w:p w14:paraId="55BE7DF5" w14:textId="0F5AD683"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07F30EFA"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(1,792)</w:t>
            </w:r>
          </w:p>
        </w:tc>
        <w:tc>
          <w:tcPr>
            <w:tcW w:w="964" w:type="dxa"/>
            <w:tcBorders>
              <w:top w:val="nil"/>
              <w:left w:val="nil"/>
              <w:bottom w:val="nil"/>
              <w:right w:val="nil"/>
            </w:tcBorders>
            <w:shd w:val="clear" w:color="auto" w:fill="auto"/>
            <w:noWrap/>
            <w:vAlign w:val="bottom"/>
            <w:hideMark/>
          </w:tcPr>
          <w:p w14:paraId="129240AC"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(16)</w:t>
            </w:r>
          </w:p>
        </w:tc>
        <w:tc>
          <w:tcPr>
            <w:tcW w:w="928" w:type="dxa"/>
            <w:tcBorders>
              <w:top w:val="nil"/>
              <w:left w:val="nil"/>
              <w:bottom w:val="nil"/>
              <w:right w:val="nil"/>
            </w:tcBorders>
            <w:shd w:val="clear" w:color="auto" w:fill="auto"/>
            <w:noWrap/>
            <w:vAlign w:val="bottom"/>
            <w:hideMark/>
          </w:tcPr>
          <w:p w14:paraId="0FC7D4A3" w14:textId="2AE41F5B"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00353601" w14:textId="0C93AFA4"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w:t>
            </w:r>
          </w:p>
        </w:tc>
        <w:tc>
          <w:tcPr>
            <w:tcW w:w="941" w:type="dxa"/>
            <w:tcBorders>
              <w:top w:val="nil"/>
              <w:left w:val="nil"/>
              <w:bottom w:val="nil"/>
              <w:right w:val="nil"/>
            </w:tcBorders>
            <w:shd w:val="clear" w:color="auto" w:fill="auto"/>
            <w:noWrap/>
            <w:vAlign w:val="bottom"/>
            <w:hideMark/>
          </w:tcPr>
          <w:p w14:paraId="14656E1A" w14:textId="77777777" w:rsidR="00137E95" w:rsidRPr="00137E95" w:rsidRDefault="00137E95" w:rsidP="00173DF0">
            <w:pPr>
              <w:spacing w:after="0" w:line="240" w:lineRule="auto"/>
              <w:jc w:val="right"/>
              <w:rPr>
                <w:rFonts w:ascii="Arial" w:hAnsi="Arial" w:cs="Arial"/>
                <w:sz w:val="16"/>
                <w:szCs w:val="16"/>
              </w:rPr>
            </w:pPr>
            <w:r w:rsidRPr="00137E95">
              <w:rPr>
                <w:rFonts w:ascii="Arial" w:hAnsi="Arial" w:cs="Arial"/>
                <w:sz w:val="16"/>
                <w:szCs w:val="16"/>
              </w:rPr>
              <w:t>(1,808)</w:t>
            </w:r>
          </w:p>
        </w:tc>
      </w:tr>
      <w:tr w:rsidR="00137E95" w:rsidRPr="00137E95" w14:paraId="3EC80196" w14:textId="77777777" w:rsidTr="00094B08">
        <w:trPr>
          <w:trHeight w:val="204"/>
        </w:trPr>
        <w:tc>
          <w:tcPr>
            <w:tcW w:w="2268" w:type="dxa"/>
            <w:tcBorders>
              <w:top w:val="nil"/>
              <w:left w:val="nil"/>
              <w:bottom w:val="single" w:sz="4" w:space="0" w:color="auto"/>
              <w:right w:val="nil"/>
            </w:tcBorders>
            <w:shd w:val="clear" w:color="auto" w:fill="auto"/>
            <w:noWrap/>
            <w:vAlign w:val="bottom"/>
            <w:hideMark/>
          </w:tcPr>
          <w:p w14:paraId="5FA0A843" w14:textId="77777777" w:rsidR="00137E95" w:rsidRPr="00137E95" w:rsidRDefault="00137E95" w:rsidP="00137E95">
            <w:pPr>
              <w:spacing w:after="0" w:line="240" w:lineRule="auto"/>
              <w:jc w:val="left"/>
              <w:rPr>
                <w:rFonts w:ascii="Arial" w:hAnsi="Arial" w:cs="Arial"/>
                <w:b/>
                <w:bCs/>
                <w:sz w:val="16"/>
                <w:szCs w:val="16"/>
              </w:rPr>
            </w:pPr>
            <w:r w:rsidRPr="00137E95">
              <w:rPr>
                <w:rFonts w:ascii="Arial" w:hAnsi="Arial" w:cs="Arial"/>
                <w:b/>
                <w:bCs/>
                <w:sz w:val="16"/>
                <w:szCs w:val="16"/>
              </w:rPr>
              <w:t>Closing net book balance</w:t>
            </w:r>
          </w:p>
        </w:tc>
        <w:tc>
          <w:tcPr>
            <w:tcW w:w="706" w:type="dxa"/>
            <w:tcBorders>
              <w:top w:val="single" w:sz="4" w:space="0" w:color="auto"/>
              <w:left w:val="nil"/>
              <w:bottom w:val="single" w:sz="4" w:space="0" w:color="auto"/>
              <w:right w:val="nil"/>
            </w:tcBorders>
            <w:shd w:val="clear" w:color="auto" w:fill="auto"/>
            <w:noWrap/>
            <w:vAlign w:val="bottom"/>
            <w:hideMark/>
          </w:tcPr>
          <w:p w14:paraId="3163FFA5" w14:textId="18C5E84B"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17,000</w:t>
            </w:r>
          </w:p>
        </w:tc>
        <w:tc>
          <w:tcPr>
            <w:tcW w:w="866" w:type="dxa"/>
            <w:tcBorders>
              <w:top w:val="single" w:sz="4" w:space="0" w:color="auto"/>
              <w:left w:val="nil"/>
              <w:bottom w:val="single" w:sz="4" w:space="0" w:color="auto"/>
              <w:right w:val="nil"/>
            </w:tcBorders>
            <w:shd w:val="clear" w:color="auto" w:fill="auto"/>
            <w:noWrap/>
            <w:vAlign w:val="bottom"/>
            <w:hideMark/>
          </w:tcPr>
          <w:p w14:paraId="645318CF" w14:textId="7B6D442F"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231,918</w:t>
            </w:r>
          </w:p>
        </w:tc>
        <w:tc>
          <w:tcPr>
            <w:tcW w:w="964" w:type="dxa"/>
            <w:tcBorders>
              <w:top w:val="single" w:sz="4" w:space="0" w:color="auto"/>
              <w:left w:val="nil"/>
              <w:bottom w:val="single" w:sz="4" w:space="0" w:color="auto"/>
              <w:right w:val="nil"/>
            </w:tcBorders>
            <w:shd w:val="clear" w:color="auto" w:fill="auto"/>
            <w:noWrap/>
            <w:vAlign w:val="bottom"/>
            <w:hideMark/>
          </w:tcPr>
          <w:p w14:paraId="62EB9C0E" w14:textId="29DDAF18"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13,785</w:t>
            </w:r>
          </w:p>
        </w:tc>
        <w:tc>
          <w:tcPr>
            <w:tcW w:w="928" w:type="dxa"/>
            <w:tcBorders>
              <w:top w:val="single" w:sz="4" w:space="0" w:color="auto"/>
              <w:left w:val="nil"/>
              <w:bottom w:val="single" w:sz="4" w:space="0" w:color="auto"/>
              <w:right w:val="nil"/>
            </w:tcBorders>
            <w:shd w:val="clear" w:color="auto" w:fill="auto"/>
            <w:noWrap/>
            <w:vAlign w:val="bottom"/>
            <w:hideMark/>
          </w:tcPr>
          <w:p w14:paraId="03CEC3A5" w14:textId="3892F47A"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1,102,945</w:t>
            </w:r>
          </w:p>
        </w:tc>
        <w:tc>
          <w:tcPr>
            <w:tcW w:w="981" w:type="dxa"/>
            <w:tcBorders>
              <w:top w:val="single" w:sz="4" w:space="0" w:color="auto"/>
              <w:left w:val="nil"/>
              <w:bottom w:val="single" w:sz="4" w:space="0" w:color="auto"/>
              <w:right w:val="nil"/>
            </w:tcBorders>
            <w:shd w:val="clear" w:color="auto" w:fill="auto"/>
            <w:noWrap/>
            <w:vAlign w:val="bottom"/>
            <w:hideMark/>
          </w:tcPr>
          <w:p w14:paraId="2E343C67" w14:textId="78B9AE1B"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89,157</w:t>
            </w:r>
          </w:p>
        </w:tc>
        <w:tc>
          <w:tcPr>
            <w:tcW w:w="941" w:type="dxa"/>
            <w:tcBorders>
              <w:top w:val="single" w:sz="4" w:space="0" w:color="auto"/>
              <w:left w:val="nil"/>
              <w:bottom w:val="single" w:sz="4" w:space="0" w:color="auto"/>
              <w:right w:val="nil"/>
            </w:tcBorders>
            <w:shd w:val="clear" w:color="auto" w:fill="auto"/>
            <w:noWrap/>
            <w:vAlign w:val="bottom"/>
            <w:hideMark/>
          </w:tcPr>
          <w:p w14:paraId="24FDFC62" w14:textId="06592E15" w:rsidR="00137E95" w:rsidRPr="00137E95" w:rsidRDefault="00137E95" w:rsidP="00173DF0">
            <w:pPr>
              <w:spacing w:after="0" w:line="240" w:lineRule="auto"/>
              <w:jc w:val="right"/>
              <w:rPr>
                <w:rFonts w:ascii="Arial" w:hAnsi="Arial" w:cs="Arial"/>
                <w:b/>
                <w:bCs/>
                <w:sz w:val="16"/>
                <w:szCs w:val="16"/>
              </w:rPr>
            </w:pPr>
            <w:r w:rsidRPr="00137E95">
              <w:rPr>
                <w:rFonts w:ascii="Arial" w:hAnsi="Arial" w:cs="Arial"/>
                <w:b/>
                <w:bCs/>
                <w:sz w:val="16"/>
                <w:szCs w:val="16"/>
              </w:rPr>
              <w:t>1,454,805</w:t>
            </w:r>
          </w:p>
        </w:tc>
      </w:tr>
    </w:tbl>
    <w:p w14:paraId="191B7D61" w14:textId="77777777" w:rsidR="00B11134" w:rsidRPr="009563E3" w:rsidRDefault="00B11134" w:rsidP="00B11134">
      <w:pPr>
        <w:pStyle w:val="ChartandTableFootnoteAlpha"/>
        <w:numPr>
          <w:ilvl w:val="0"/>
          <w:numId w:val="0"/>
        </w:numPr>
        <w:spacing w:before="60" w:after="0"/>
        <w:ind w:left="397" w:hanging="397"/>
        <w:jc w:val="left"/>
        <w:rPr>
          <w:rFonts w:cs="Arial"/>
          <w:szCs w:val="16"/>
        </w:rPr>
      </w:pPr>
      <w:r w:rsidRPr="009563E3">
        <w:rPr>
          <w:rFonts w:cs="Arial"/>
          <w:szCs w:val="16"/>
        </w:rPr>
        <w:t>Prepared on Australian Accounting Standards basis.</w:t>
      </w:r>
    </w:p>
    <w:p w14:paraId="00FDA6AE" w14:textId="4F408947" w:rsidR="00984C33" w:rsidRPr="009563E3" w:rsidRDefault="00137E95" w:rsidP="00F10ACD">
      <w:pPr>
        <w:pStyle w:val="TableGraphic"/>
        <w:numPr>
          <w:ilvl w:val="0"/>
          <w:numId w:val="23"/>
        </w:numPr>
        <w:ind w:left="284" w:hanging="284"/>
        <w:jc w:val="left"/>
        <w:rPr>
          <w:rFonts w:ascii="Arial" w:hAnsi="Arial" w:cs="Arial"/>
          <w:i w:val="0"/>
          <w:color w:val="auto"/>
          <w:sz w:val="16"/>
          <w:szCs w:val="16"/>
        </w:rPr>
      </w:pPr>
      <w:r w:rsidRPr="009563E3">
        <w:rPr>
          <w:rFonts w:ascii="Arial" w:hAnsi="Arial" w:cs="Arial"/>
          <w:i w:val="0"/>
          <w:color w:val="auto"/>
          <w:sz w:val="16"/>
          <w:szCs w:val="16"/>
        </w:rPr>
        <w:t xml:space="preserve"> </w:t>
      </w:r>
      <w:r w:rsidR="00984C33" w:rsidRPr="009563E3">
        <w:rPr>
          <w:rFonts w:ascii="Arial" w:hAnsi="Arial" w:cs="Arial"/>
          <w:i w:val="0"/>
          <w:color w:val="auto"/>
          <w:sz w:val="16"/>
          <w:szCs w:val="16"/>
        </w:rPr>
        <w:t xml:space="preserve">‘Appropriation equity’ refers to equity injections appropriations provided through Appropriation </w:t>
      </w:r>
      <w:r w:rsidR="007E1EA3">
        <w:rPr>
          <w:rFonts w:ascii="Arial" w:hAnsi="Arial" w:cs="Arial"/>
          <w:i w:val="0"/>
          <w:color w:val="auto"/>
          <w:sz w:val="16"/>
          <w:szCs w:val="16"/>
        </w:rPr>
        <w:t>Act</w:t>
      </w:r>
      <w:r w:rsidR="00984C33" w:rsidRPr="009563E3">
        <w:rPr>
          <w:rFonts w:ascii="Arial" w:hAnsi="Arial" w:cs="Arial"/>
          <w:i w:val="0"/>
          <w:color w:val="auto"/>
          <w:sz w:val="16"/>
          <w:szCs w:val="16"/>
        </w:rPr>
        <w:t xml:space="preserve"> (No. 2) 2021-22, including CDABs.</w:t>
      </w:r>
    </w:p>
    <w:p w14:paraId="16546301" w14:textId="49679584" w:rsidR="009563E3" w:rsidRPr="009563E3" w:rsidRDefault="00984C33" w:rsidP="00F10ACD">
      <w:pPr>
        <w:pStyle w:val="ChartandTableFootnoteAlpha"/>
        <w:numPr>
          <w:ilvl w:val="0"/>
          <w:numId w:val="23"/>
        </w:numPr>
        <w:spacing w:after="0"/>
        <w:ind w:left="284" w:hanging="284"/>
        <w:jc w:val="left"/>
        <w:rPr>
          <w:rFonts w:cs="Arial"/>
          <w:szCs w:val="16"/>
        </w:rPr>
      </w:pPr>
      <w:r w:rsidRPr="00132F9E">
        <w:rPr>
          <w:rFonts w:cs="Arial"/>
          <w:szCs w:val="16"/>
        </w:rPr>
        <w:t xml:space="preserve">‘Appropriation ordinary annual services’ refers to funding provided through Appropriation </w:t>
      </w:r>
      <w:r w:rsidR="007E1EA3">
        <w:rPr>
          <w:rFonts w:cs="Arial"/>
          <w:szCs w:val="16"/>
        </w:rPr>
        <w:t>Act</w:t>
      </w:r>
      <w:r w:rsidRPr="00132F9E">
        <w:rPr>
          <w:rFonts w:cs="Arial"/>
          <w:szCs w:val="16"/>
        </w:rPr>
        <w:t xml:space="preserve"> (No. 1) </w:t>
      </w:r>
      <w:r>
        <w:rPr>
          <w:rFonts w:cs="Arial"/>
          <w:szCs w:val="16"/>
        </w:rPr>
        <w:t>2021-22</w:t>
      </w:r>
      <w:r w:rsidRPr="00132F9E">
        <w:rPr>
          <w:rFonts w:cs="Arial"/>
          <w:szCs w:val="16"/>
        </w:rPr>
        <w:t xml:space="preserve"> </w:t>
      </w:r>
      <w:r w:rsidR="007E1EA3">
        <w:rPr>
          <w:rFonts w:cs="Arial"/>
          <w:szCs w:val="16"/>
        </w:rPr>
        <w:t xml:space="preserve">and </w:t>
      </w:r>
      <w:r w:rsidR="007E1EA3" w:rsidRPr="00132F9E">
        <w:rPr>
          <w:rFonts w:cs="Arial"/>
          <w:szCs w:val="16"/>
        </w:rPr>
        <w:t xml:space="preserve">Appropriation Bill (No. </w:t>
      </w:r>
      <w:r w:rsidR="007E1EA3">
        <w:rPr>
          <w:rFonts w:cs="Arial"/>
          <w:szCs w:val="16"/>
        </w:rPr>
        <w:t>3</w:t>
      </w:r>
      <w:r w:rsidR="007E1EA3" w:rsidRPr="00132F9E">
        <w:rPr>
          <w:rFonts w:cs="Arial"/>
          <w:szCs w:val="16"/>
        </w:rPr>
        <w:t xml:space="preserve">) </w:t>
      </w:r>
      <w:r w:rsidR="007E1EA3">
        <w:rPr>
          <w:rFonts w:cs="Arial"/>
          <w:szCs w:val="16"/>
        </w:rPr>
        <w:t>2021-22</w:t>
      </w:r>
      <w:r w:rsidR="007E1EA3" w:rsidRPr="00132F9E">
        <w:rPr>
          <w:rFonts w:cs="Arial"/>
          <w:szCs w:val="16"/>
        </w:rPr>
        <w:t xml:space="preserve"> </w:t>
      </w:r>
      <w:r w:rsidRPr="00132F9E">
        <w:rPr>
          <w:rFonts w:cs="Arial"/>
          <w:szCs w:val="16"/>
        </w:rPr>
        <w:t>for depreciation/amortisation expenses, DCBs or other operational expenses.</w:t>
      </w:r>
      <w:r w:rsidR="009563E3" w:rsidRPr="009563E3">
        <w:rPr>
          <w:rFonts w:cs="Arial"/>
          <w:i/>
          <w:szCs w:val="16"/>
        </w:rPr>
        <w:t xml:space="preserve"> </w:t>
      </w:r>
    </w:p>
    <w:p w14:paraId="61E78E56" w14:textId="77777777" w:rsidR="00914885" w:rsidRDefault="00914885" w:rsidP="00914885">
      <w:pPr>
        <w:rPr>
          <w:lang w:val="x-none"/>
        </w:rPr>
      </w:pPr>
    </w:p>
    <w:p w14:paraId="0B4C7447" w14:textId="77777777" w:rsidR="00914885" w:rsidRPr="00BA015C" w:rsidRDefault="00914885" w:rsidP="00914885">
      <w:pPr>
        <w:rPr>
          <w:lang w:val="x-none"/>
        </w:rPr>
        <w:sectPr w:rsidR="00914885" w:rsidRPr="00BA015C" w:rsidSect="005A601A">
          <w:headerReference w:type="even" r:id="rId116"/>
          <w:headerReference w:type="default" r:id="rId117"/>
          <w:footerReference w:type="even" r:id="rId118"/>
          <w:footerReference w:type="default" r:id="rId119"/>
          <w:headerReference w:type="first" r:id="rId120"/>
          <w:footerReference w:type="first" r:id="rId121"/>
          <w:type w:val="oddPage"/>
          <w:pgSz w:w="11907" w:h="16840" w:code="9"/>
          <w:pgMar w:top="2835" w:right="2098" w:bottom="2269" w:left="2098" w:header="1814" w:footer="1814" w:gutter="0"/>
          <w:cols w:space="708"/>
          <w:titlePg/>
          <w:docGrid w:linePitch="360"/>
        </w:sectPr>
      </w:pPr>
    </w:p>
    <w:p w14:paraId="4322214E" w14:textId="0921C6B0" w:rsidR="009A49F9" w:rsidRDefault="009A49F9" w:rsidP="00157D6F">
      <w:pPr>
        <w:pStyle w:val="PartHeading-NoTOC"/>
      </w:pPr>
      <w:r w:rsidRPr="009A49F9">
        <w:lastRenderedPageBreak/>
        <w:t>National Transport Commission</w:t>
      </w:r>
    </w:p>
    <w:p w14:paraId="6FCFF44C" w14:textId="77777777" w:rsidR="00625914" w:rsidRDefault="00625914" w:rsidP="00157D6F">
      <w:pPr>
        <w:pStyle w:val="PartHeading-NoTOC"/>
      </w:pPr>
    </w:p>
    <w:p w14:paraId="276358F2" w14:textId="4F22FFA9" w:rsidR="00914885" w:rsidRDefault="00914885" w:rsidP="00D17655">
      <w:pPr>
        <w:pStyle w:val="PartHeading-NoTOC"/>
      </w:pPr>
      <w:r>
        <w:t xml:space="preserve"> Additional Estimates Statements</w:t>
      </w:r>
    </w:p>
    <w:p w14:paraId="2957F2EA" w14:textId="77777777" w:rsidR="00914885" w:rsidRPr="0035086F" w:rsidRDefault="00914885" w:rsidP="00914885">
      <w:pPr>
        <w:sectPr w:rsidR="00914885" w:rsidRPr="0035086F" w:rsidSect="005A601A">
          <w:headerReference w:type="first" r:id="rId122"/>
          <w:footerReference w:type="first" r:id="rId123"/>
          <w:type w:val="oddPage"/>
          <w:pgSz w:w="11907" w:h="16840" w:code="9"/>
          <w:pgMar w:top="2835" w:right="2098" w:bottom="2466" w:left="2098" w:header="1814" w:footer="1814" w:gutter="0"/>
          <w:cols w:space="720"/>
          <w:vAlign w:val="center"/>
          <w:titlePg/>
        </w:sectPr>
      </w:pPr>
    </w:p>
    <w:p w14:paraId="772E8196" w14:textId="3183C5FF" w:rsidR="00FA13E0" w:rsidRPr="002077ED" w:rsidRDefault="00FA13E0" w:rsidP="00252B31">
      <w:pPr>
        <w:pStyle w:val="Heading1-NoTOC"/>
      </w:pPr>
      <w:r>
        <w:lastRenderedPageBreak/>
        <w:t>National Transport Commission</w:t>
      </w:r>
    </w:p>
    <w:p w14:paraId="21397175" w14:textId="1DE7543D" w:rsidR="00F37CD1" w:rsidRDefault="0030114B">
      <w:pPr>
        <w:pStyle w:val="TOC1"/>
        <w:rPr>
          <w:rFonts w:asciiTheme="minorHAnsi" w:eastAsiaTheme="minorEastAsia" w:hAnsiTheme="minorHAnsi" w:cstheme="minorBidi"/>
          <w:b w:val="0"/>
          <w:noProof/>
          <w:sz w:val="22"/>
          <w:szCs w:val="22"/>
        </w:rPr>
      </w:pPr>
      <w:r>
        <w:rPr>
          <w:b w:val="0"/>
        </w:rPr>
        <w:fldChar w:fldCharType="begin"/>
      </w:r>
      <w:r>
        <w:rPr>
          <w:b w:val="0"/>
        </w:rPr>
        <w:instrText xml:space="preserve"> TOC \h \z \t "Heading 2 - TOC NTC,1,Heading 3 NTC,2" </w:instrText>
      </w:r>
      <w:r>
        <w:rPr>
          <w:b w:val="0"/>
        </w:rPr>
        <w:fldChar w:fldCharType="separate"/>
      </w:r>
      <w:hyperlink w:anchor="_Toc93405361" w:history="1">
        <w:r w:rsidR="00F37CD1" w:rsidRPr="005B6ACF">
          <w:rPr>
            <w:rStyle w:val="Hyperlink"/>
            <w:noProof/>
          </w:rPr>
          <w:t>Section 1: Entity overview and resources</w:t>
        </w:r>
        <w:r w:rsidR="00F37CD1">
          <w:rPr>
            <w:noProof/>
            <w:webHidden/>
          </w:rPr>
          <w:tab/>
        </w:r>
        <w:r w:rsidR="00F37CD1">
          <w:rPr>
            <w:noProof/>
            <w:webHidden/>
          </w:rPr>
          <w:fldChar w:fldCharType="begin"/>
        </w:r>
        <w:r w:rsidR="00F37CD1">
          <w:rPr>
            <w:noProof/>
            <w:webHidden/>
          </w:rPr>
          <w:instrText xml:space="preserve"> PAGEREF _Toc93405361 \h </w:instrText>
        </w:r>
        <w:r w:rsidR="00F37CD1">
          <w:rPr>
            <w:noProof/>
            <w:webHidden/>
          </w:rPr>
        </w:r>
        <w:r w:rsidR="00F37CD1">
          <w:rPr>
            <w:noProof/>
            <w:webHidden/>
          </w:rPr>
          <w:fldChar w:fldCharType="separate"/>
        </w:r>
        <w:r w:rsidR="003B5862">
          <w:rPr>
            <w:noProof/>
            <w:webHidden/>
          </w:rPr>
          <w:t>179</w:t>
        </w:r>
        <w:r w:rsidR="00F37CD1">
          <w:rPr>
            <w:noProof/>
            <w:webHidden/>
          </w:rPr>
          <w:fldChar w:fldCharType="end"/>
        </w:r>
      </w:hyperlink>
    </w:p>
    <w:p w14:paraId="33C269F3" w14:textId="21C85530" w:rsidR="00F37CD1" w:rsidRDefault="005616C5">
      <w:pPr>
        <w:pStyle w:val="TOC2"/>
        <w:tabs>
          <w:tab w:val="left" w:pos="660"/>
        </w:tabs>
        <w:rPr>
          <w:rFonts w:asciiTheme="minorHAnsi" w:eastAsiaTheme="minorEastAsia" w:hAnsiTheme="minorHAnsi" w:cstheme="minorBidi"/>
          <w:noProof/>
          <w:sz w:val="22"/>
          <w:szCs w:val="22"/>
        </w:rPr>
      </w:pPr>
      <w:hyperlink w:anchor="_Toc93405362" w:history="1">
        <w:r w:rsidR="00F37CD1" w:rsidRPr="005B6ACF">
          <w:rPr>
            <w:rStyle w:val="Hyperlink"/>
            <w:noProof/>
          </w:rPr>
          <w:t>1.1</w:t>
        </w:r>
        <w:r w:rsidR="00F37CD1">
          <w:rPr>
            <w:rFonts w:asciiTheme="minorHAnsi" w:eastAsiaTheme="minorEastAsia" w:hAnsiTheme="minorHAnsi" w:cstheme="minorBidi"/>
            <w:noProof/>
            <w:sz w:val="22"/>
            <w:szCs w:val="22"/>
          </w:rPr>
          <w:tab/>
        </w:r>
        <w:r w:rsidR="00F37CD1" w:rsidRPr="005B6ACF">
          <w:rPr>
            <w:rStyle w:val="Hyperlink"/>
            <w:noProof/>
          </w:rPr>
          <w:t>Strategic direction statement</w:t>
        </w:r>
        <w:r w:rsidR="00F37CD1">
          <w:rPr>
            <w:noProof/>
            <w:webHidden/>
          </w:rPr>
          <w:tab/>
        </w:r>
        <w:r w:rsidR="00F37CD1">
          <w:rPr>
            <w:noProof/>
            <w:webHidden/>
          </w:rPr>
          <w:fldChar w:fldCharType="begin"/>
        </w:r>
        <w:r w:rsidR="00F37CD1">
          <w:rPr>
            <w:noProof/>
            <w:webHidden/>
          </w:rPr>
          <w:instrText xml:space="preserve"> PAGEREF _Toc93405362 \h </w:instrText>
        </w:r>
        <w:r w:rsidR="00F37CD1">
          <w:rPr>
            <w:noProof/>
            <w:webHidden/>
          </w:rPr>
        </w:r>
        <w:r w:rsidR="00F37CD1">
          <w:rPr>
            <w:noProof/>
            <w:webHidden/>
          </w:rPr>
          <w:fldChar w:fldCharType="separate"/>
        </w:r>
        <w:r w:rsidR="003B5862">
          <w:rPr>
            <w:noProof/>
            <w:webHidden/>
          </w:rPr>
          <w:t>179</w:t>
        </w:r>
        <w:r w:rsidR="00F37CD1">
          <w:rPr>
            <w:noProof/>
            <w:webHidden/>
          </w:rPr>
          <w:fldChar w:fldCharType="end"/>
        </w:r>
      </w:hyperlink>
    </w:p>
    <w:p w14:paraId="44675DF4" w14:textId="40023483" w:rsidR="00F37CD1" w:rsidRDefault="005616C5">
      <w:pPr>
        <w:pStyle w:val="TOC2"/>
        <w:tabs>
          <w:tab w:val="left" w:pos="660"/>
        </w:tabs>
        <w:rPr>
          <w:rFonts w:asciiTheme="minorHAnsi" w:eastAsiaTheme="minorEastAsia" w:hAnsiTheme="minorHAnsi" w:cstheme="minorBidi"/>
          <w:noProof/>
          <w:sz w:val="22"/>
          <w:szCs w:val="22"/>
        </w:rPr>
      </w:pPr>
      <w:hyperlink w:anchor="_Toc93405363" w:history="1">
        <w:r w:rsidR="00F37CD1" w:rsidRPr="005B6ACF">
          <w:rPr>
            <w:rStyle w:val="Hyperlink"/>
            <w:noProof/>
          </w:rPr>
          <w:t>1.2</w:t>
        </w:r>
        <w:r w:rsidR="00F37CD1">
          <w:rPr>
            <w:rFonts w:asciiTheme="minorHAnsi" w:eastAsiaTheme="minorEastAsia" w:hAnsiTheme="minorHAnsi" w:cstheme="minorBidi"/>
            <w:noProof/>
            <w:sz w:val="22"/>
            <w:szCs w:val="22"/>
          </w:rPr>
          <w:tab/>
        </w:r>
        <w:r w:rsidR="00F37CD1" w:rsidRPr="005B6ACF">
          <w:rPr>
            <w:rStyle w:val="Hyperlink"/>
            <w:noProof/>
          </w:rPr>
          <w:t>Entity resource statement</w:t>
        </w:r>
        <w:r w:rsidR="00F37CD1">
          <w:rPr>
            <w:noProof/>
            <w:webHidden/>
          </w:rPr>
          <w:tab/>
        </w:r>
        <w:r w:rsidR="00F37CD1">
          <w:rPr>
            <w:noProof/>
            <w:webHidden/>
          </w:rPr>
          <w:fldChar w:fldCharType="begin"/>
        </w:r>
        <w:r w:rsidR="00F37CD1">
          <w:rPr>
            <w:noProof/>
            <w:webHidden/>
          </w:rPr>
          <w:instrText xml:space="preserve"> PAGEREF _Toc93405363 \h </w:instrText>
        </w:r>
        <w:r w:rsidR="00F37CD1">
          <w:rPr>
            <w:noProof/>
            <w:webHidden/>
          </w:rPr>
        </w:r>
        <w:r w:rsidR="00F37CD1">
          <w:rPr>
            <w:noProof/>
            <w:webHidden/>
          </w:rPr>
          <w:fldChar w:fldCharType="separate"/>
        </w:r>
        <w:r w:rsidR="003B5862">
          <w:rPr>
            <w:noProof/>
            <w:webHidden/>
          </w:rPr>
          <w:t>181</w:t>
        </w:r>
        <w:r w:rsidR="00F37CD1">
          <w:rPr>
            <w:noProof/>
            <w:webHidden/>
          </w:rPr>
          <w:fldChar w:fldCharType="end"/>
        </w:r>
      </w:hyperlink>
    </w:p>
    <w:p w14:paraId="4C8C28D7" w14:textId="76DD6A09" w:rsidR="00F37CD1" w:rsidRDefault="005616C5">
      <w:pPr>
        <w:pStyle w:val="TOC2"/>
        <w:tabs>
          <w:tab w:val="left" w:pos="660"/>
        </w:tabs>
        <w:rPr>
          <w:rFonts w:asciiTheme="minorHAnsi" w:eastAsiaTheme="minorEastAsia" w:hAnsiTheme="minorHAnsi" w:cstheme="minorBidi"/>
          <w:noProof/>
          <w:sz w:val="22"/>
          <w:szCs w:val="22"/>
        </w:rPr>
      </w:pPr>
      <w:hyperlink w:anchor="_Toc93405364" w:history="1">
        <w:r w:rsidR="00F37CD1" w:rsidRPr="005B6ACF">
          <w:rPr>
            <w:rStyle w:val="Hyperlink"/>
            <w:noProof/>
          </w:rPr>
          <w:t>1.3</w:t>
        </w:r>
        <w:r w:rsidR="00F37CD1">
          <w:rPr>
            <w:rFonts w:asciiTheme="minorHAnsi" w:eastAsiaTheme="minorEastAsia" w:hAnsiTheme="minorHAnsi" w:cstheme="minorBidi"/>
            <w:noProof/>
            <w:sz w:val="22"/>
            <w:szCs w:val="22"/>
          </w:rPr>
          <w:tab/>
        </w:r>
        <w:r w:rsidR="00F37CD1" w:rsidRPr="005B6ACF">
          <w:rPr>
            <w:rStyle w:val="Hyperlink"/>
            <w:noProof/>
          </w:rPr>
          <w:t>Entity measures</w:t>
        </w:r>
        <w:r w:rsidR="00F37CD1">
          <w:rPr>
            <w:noProof/>
            <w:webHidden/>
          </w:rPr>
          <w:tab/>
        </w:r>
        <w:r w:rsidR="00F37CD1">
          <w:rPr>
            <w:noProof/>
            <w:webHidden/>
          </w:rPr>
          <w:fldChar w:fldCharType="begin"/>
        </w:r>
        <w:r w:rsidR="00F37CD1">
          <w:rPr>
            <w:noProof/>
            <w:webHidden/>
          </w:rPr>
          <w:instrText xml:space="preserve"> PAGEREF _Toc93405364 \h </w:instrText>
        </w:r>
        <w:r w:rsidR="00F37CD1">
          <w:rPr>
            <w:noProof/>
            <w:webHidden/>
          </w:rPr>
        </w:r>
        <w:r w:rsidR="00F37CD1">
          <w:rPr>
            <w:noProof/>
            <w:webHidden/>
          </w:rPr>
          <w:fldChar w:fldCharType="separate"/>
        </w:r>
        <w:r w:rsidR="003B5862">
          <w:rPr>
            <w:noProof/>
            <w:webHidden/>
          </w:rPr>
          <w:t>181</w:t>
        </w:r>
        <w:r w:rsidR="00F37CD1">
          <w:rPr>
            <w:noProof/>
            <w:webHidden/>
          </w:rPr>
          <w:fldChar w:fldCharType="end"/>
        </w:r>
      </w:hyperlink>
    </w:p>
    <w:p w14:paraId="380799B8" w14:textId="6ED40316" w:rsidR="00F37CD1" w:rsidRDefault="005616C5">
      <w:pPr>
        <w:pStyle w:val="TOC2"/>
        <w:tabs>
          <w:tab w:val="left" w:pos="660"/>
        </w:tabs>
        <w:rPr>
          <w:rFonts w:asciiTheme="minorHAnsi" w:eastAsiaTheme="minorEastAsia" w:hAnsiTheme="minorHAnsi" w:cstheme="minorBidi"/>
          <w:noProof/>
          <w:sz w:val="22"/>
          <w:szCs w:val="22"/>
        </w:rPr>
      </w:pPr>
      <w:hyperlink w:anchor="_Toc93405365" w:history="1">
        <w:r w:rsidR="00F37CD1" w:rsidRPr="005B6ACF">
          <w:rPr>
            <w:rStyle w:val="Hyperlink"/>
            <w:noProof/>
          </w:rPr>
          <w:t>1.4</w:t>
        </w:r>
        <w:r w:rsidR="00F37CD1">
          <w:rPr>
            <w:rFonts w:asciiTheme="minorHAnsi" w:eastAsiaTheme="minorEastAsia" w:hAnsiTheme="minorHAnsi" w:cstheme="minorBidi"/>
            <w:noProof/>
            <w:sz w:val="22"/>
            <w:szCs w:val="22"/>
          </w:rPr>
          <w:tab/>
        </w:r>
        <w:r w:rsidR="00F37CD1" w:rsidRPr="005B6ACF">
          <w:rPr>
            <w:rStyle w:val="Hyperlink"/>
            <w:noProof/>
          </w:rPr>
          <w:t>Additional estimates, resourcing and variations to outcomes</w:t>
        </w:r>
        <w:r w:rsidR="00F37CD1">
          <w:rPr>
            <w:noProof/>
            <w:webHidden/>
          </w:rPr>
          <w:tab/>
        </w:r>
        <w:r w:rsidR="00F37CD1">
          <w:rPr>
            <w:noProof/>
            <w:webHidden/>
          </w:rPr>
          <w:fldChar w:fldCharType="begin"/>
        </w:r>
        <w:r w:rsidR="00F37CD1">
          <w:rPr>
            <w:noProof/>
            <w:webHidden/>
          </w:rPr>
          <w:instrText xml:space="preserve"> PAGEREF _Toc93405365 \h </w:instrText>
        </w:r>
        <w:r w:rsidR="00F37CD1">
          <w:rPr>
            <w:noProof/>
            <w:webHidden/>
          </w:rPr>
        </w:r>
        <w:r w:rsidR="00F37CD1">
          <w:rPr>
            <w:noProof/>
            <w:webHidden/>
          </w:rPr>
          <w:fldChar w:fldCharType="separate"/>
        </w:r>
        <w:r w:rsidR="003B5862">
          <w:rPr>
            <w:noProof/>
            <w:webHidden/>
          </w:rPr>
          <w:t>182</w:t>
        </w:r>
        <w:r w:rsidR="00F37CD1">
          <w:rPr>
            <w:noProof/>
            <w:webHidden/>
          </w:rPr>
          <w:fldChar w:fldCharType="end"/>
        </w:r>
      </w:hyperlink>
    </w:p>
    <w:p w14:paraId="16A10AFA" w14:textId="22AD6A39" w:rsidR="00F37CD1" w:rsidRDefault="005616C5">
      <w:pPr>
        <w:pStyle w:val="TOC2"/>
        <w:tabs>
          <w:tab w:val="left" w:pos="660"/>
        </w:tabs>
        <w:rPr>
          <w:rFonts w:asciiTheme="minorHAnsi" w:eastAsiaTheme="minorEastAsia" w:hAnsiTheme="minorHAnsi" w:cstheme="minorBidi"/>
          <w:noProof/>
          <w:sz w:val="22"/>
          <w:szCs w:val="22"/>
        </w:rPr>
      </w:pPr>
      <w:hyperlink w:anchor="_Toc93405366" w:history="1">
        <w:r w:rsidR="00F37CD1" w:rsidRPr="005B6ACF">
          <w:rPr>
            <w:rStyle w:val="Hyperlink"/>
            <w:noProof/>
          </w:rPr>
          <w:t>1.5</w:t>
        </w:r>
        <w:r w:rsidR="00F37CD1">
          <w:rPr>
            <w:rFonts w:asciiTheme="minorHAnsi" w:eastAsiaTheme="minorEastAsia" w:hAnsiTheme="minorHAnsi" w:cstheme="minorBidi"/>
            <w:noProof/>
            <w:sz w:val="22"/>
            <w:szCs w:val="22"/>
          </w:rPr>
          <w:tab/>
        </w:r>
        <w:r w:rsidR="00F37CD1" w:rsidRPr="005B6ACF">
          <w:rPr>
            <w:rStyle w:val="Hyperlink"/>
            <w:noProof/>
          </w:rPr>
          <w:t>Breakdown of additional estimates by appropriation bill</w:t>
        </w:r>
        <w:r w:rsidR="00F37CD1">
          <w:rPr>
            <w:noProof/>
            <w:webHidden/>
          </w:rPr>
          <w:tab/>
        </w:r>
        <w:r w:rsidR="00F37CD1">
          <w:rPr>
            <w:noProof/>
            <w:webHidden/>
          </w:rPr>
          <w:fldChar w:fldCharType="begin"/>
        </w:r>
        <w:r w:rsidR="00F37CD1">
          <w:rPr>
            <w:noProof/>
            <w:webHidden/>
          </w:rPr>
          <w:instrText xml:space="preserve"> PAGEREF _Toc93405366 \h </w:instrText>
        </w:r>
        <w:r w:rsidR="00F37CD1">
          <w:rPr>
            <w:noProof/>
            <w:webHidden/>
          </w:rPr>
        </w:r>
        <w:r w:rsidR="00F37CD1">
          <w:rPr>
            <w:noProof/>
            <w:webHidden/>
          </w:rPr>
          <w:fldChar w:fldCharType="separate"/>
        </w:r>
        <w:r w:rsidR="003B5862">
          <w:rPr>
            <w:noProof/>
            <w:webHidden/>
          </w:rPr>
          <w:t>182</w:t>
        </w:r>
        <w:r w:rsidR="00F37CD1">
          <w:rPr>
            <w:noProof/>
            <w:webHidden/>
          </w:rPr>
          <w:fldChar w:fldCharType="end"/>
        </w:r>
      </w:hyperlink>
    </w:p>
    <w:p w14:paraId="3B2ED836" w14:textId="70A03A49" w:rsidR="00F37CD1" w:rsidRDefault="005616C5">
      <w:pPr>
        <w:pStyle w:val="TOC1"/>
        <w:rPr>
          <w:rFonts w:asciiTheme="minorHAnsi" w:eastAsiaTheme="minorEastAsia" w:hAnsiTheme="minorHAnsi" w:cstheme="minorBidi"/>
          <w:b w:val="0"/>
          <w:noProof/>
          <w:sz w:val="22"/>
          <w:szCs w:val="22"/>
        </w:rPr>
      </w:pPr>
      <w:hyperlink w:anchor="_Toc93405367" w:history="1">
        <w:r w:rsidR="00F37CD1" w:rsidRPr="005B6ACF">
          <w:rPr>
            <w:rStyle w:val="Hyperlink"/>
            <w:noProof/>
          </w:rPr>
          <w:t>Section 2: Revisions to outcomes and planned performance</w:t>
        </w:r>
        <w:r w:rsidR="00F37CD1">
          <w:rPr>
            <w:noProof/>
            <w:webHidden/>
          </w:rPr>
          <w:tab/>
        </w:r>
        <w:r w:rsidR="00F37CD1">
          <w:rPr>
            <w:noProof/>
            <w:webHidden/>
          </w:rPr>
          <w:fldChar w:fldCharType="begin"/>
        </w:r>
        <w:r w:rsidR="00F37CD1">
          <w:rPr>
            <w:noProof/>
            <w:webHidden/>
          </w:rPr>
          <w:instrText xml:space="preserve"> PAGEREF _Toc93405367 \h </w:instrText>
        </w:r>
        <w:r w:rsidR="00F37CD1">
          <w:rPr>
            <w:noProof/>
            <w:webHidden/>
          </w:rPr>
        </w:r>
        <w:r w:rsidR="00F37CD1">
          <w:rPr>
            <w:noProof/>
            <w:webHidden/>
          </w:rPr>
          <w:fldChar w:fldCharType="separate"/>
        </w:r>
        <w:r w:rsidR="003B5862">
          <w:rPr>
            <w:noProof/>
            <w:webHidden/>
          </w:rPr>
          <w:t>183</w:t>
        </w:r>
        <w:r w:rsidR="00F37CD1">
          <w:rPr>
            <w:noProof/>
            <w:webHidden/>
          </w:rPr>
          <w:fldChar w:fldCharType="end"/>
        </w:r>
      </w:hyperlink>
    </w:p>
    <w:p w14:paraId="0F295CB9" w14:textId="7ECF8850" w:rsidR="00F37CD1" w:rsidRDefault="005616C5">
      <w:pPr>
        <w:pStyle w:val="TOC2"/>
        <w:tabs>
          <w:tab w:val="left" w:pos="660"/>
        </w:tabs>
        <w:rPr>
          <w:rFonts w:asciiTheme="minorHAnsi" w:eastAsiaTheme="minorEastAsia" w:hAnsiTheme="minorHAnsi" w:cstheme="minorBidi"/>
          <w:noProof/>
          <w:sz w:val="22"/>
          <w:szCs w:val="22"/>
        </w:rPr>
      </w:pPr>
      <w:hyperlink w:anchor="_Toc93405368" w:history="1">
        <w:r w:rsidR="00F37CD1" w:rsidRPr="005B6ACF">
          <w:rPr>
            <w:rStyle w:val="Hyperlink"/>
            <w:noProof/>
          </w:rPr>
          <w:t>2.1</w:t>
        </w:r>
        <w:r w:rsidR="00F37CD1">
          <w:rPr>
            <w:rFonts w:asciiTheme="minorHAnsi" w:eastAsiaTheme="minorEastAsia" w:hAnsiTheme="minorHAnsi" w:cstheme="minorBidi"/>
            <w:noProof/>
            <w:sz w:val="22"/>
            <w:szCs w:val="22"/>
          </w:rPr>
          <w:tab/>
        </w:r>
        <w:r w:rsidR="00F37CD1" w:rsidRPr="005B6ACF">
          <w:rPr>
            <w:rStyle w:val="Hyperlink"/>
            <w:noProof/>
          </w:rPr>
          <w:t>Changes to outcome and program structures</w:t>
        </w:r>
        <w:r w:rsidR="00F37CD1">
          <w:rPr>
            <w:noProof/>
            <w:webHidden/>
          </w:rPr>
          <w:tab/>
        </w:r>
        <w:r w:rsidR="00F37CD1">
          <w:rPr>
            <w:noProof/>
            <w:webHidden/>
          </w:rPr>
          <w:fldChar w:fldCharType="begin"/>
        </w:r>
        <w:r w:rsidR="00F37CD1">
          <w:rPr>
            <w:noProof/>
            <w:webHidden/>
          </w:rPr>
          <w:instrText xml:space="preserve"> PAGEREF _Toc93405368 \h </w:instrText>
        </w:r>
        <w:r w:rsidR="00F37CD1">
          <w:rPr>
            <w:noProof/>
            <w:webHidden/>
          </w:rPr>
        </w:r>
        <w:r w:rsidR="00F37CD1">
          <w:rPr>
            <w:noProof/>
            <w:webHidden/>
          </w:rPr>
          <w:fldChar w:fldCharType="separate"/>
        </w:r>
        <w:r w:rsidR="003B5862">
          <w:rPr>
            <w:noProof/>
            <w:webHidden/>
          </w:rPr>
          <w:t>183</w:t>
        </w:r>
        <w:r w:rsidR="00F37CD1">
          <w:rPr>
            <w:noProof/>
            <w:webHidden/>
          </w:rPr>
          <w:fldChar w:fldCharType="end"/>
        </w:r>
      </w:hyperlink>
    </w:p>
    <w:p w14:paraId="40D6D529" w14:textId="68DC15D4" w:rsidR="00F37CD1" w:rsidRDefault="005616C5">
      <w:pPr>
        <w:pStyle w:val="TOC2"/>
        <w:tabs>
          <w:tab w:val="left" w:pos="660"/>
        </w:tabs>
        <w:rPr>
          <w:rFonts w:asciiTheme="minorHAnsi" w:eastAsiaTheme="minorEastAsia" w:hAnsiTheme="minorHAnsi" w:cstheme="minorBidi"/>
          <w:noProof/>
          <w:sz w:val="22"/>
          <w:szCs w:val="22"/>
        </w:rPr>
      </w:pPr>
      <w:hyperlink w:anchor="_Toc93405369" w:history="1">
        <w:r w:rsidR="00F37CD1" w:rsidRPr="005B6ACF">
          <w:rPr>
            <w:rStyle w:val="Hyperlink"/>
            <w:noProof/>
          </w:rPr>
          <w:t>2.2</w:t>
        </w:r>
        <w:r w:rsidR="00F37CD1">
          <w:rPr>
            <w:rFonts w:asciiTheme="minorHAnsi" w:eastAsiaTheme="minorEastAsia" w:hAnsiTheme="minorHAnsi" w:cstheme="minorBidi"/>
            <w:noProof/>
            <w:sz w:val="22"/>
            <w:szCs w:val="22"/>
          </w:rPr>
          <w:tab/>
        </w:r>
        <w:r w:rsidR="00F37CD1" w:rsidRPr="005B6ACF">
          <w:rPr>
            <w:rStyle w:val="Hyperlink"/>
            <w:noProof/>
          </w:rPr>
          <w:t>Budgeted expenses and performance for Outcome 1</w:t>
        </w:r>
        <w:r w:rsidR="00F37CD1">
          <w:rPr>
            <w:noProof/>
            <w:webHidden/>
          </w:rPr>
          <w:tab/>
        </w:r>
        <w:r w:rsidR="00F37CD1">
          <w:rPr>
            <w:noProof/>
            <w:webHidden/>
          </w:rPr>
          <w:fldChar w:fldCharType="begin"/>
        </w:r>
        <w:r w:rsidR="00F37CD1">
          <w:rPr>
            <w:noProof/>
            <w:webHidden/>
          </w:rPr>
          <w:instrText xml:space="preserve"> PAGEREF _Toc93405369 \h </w:instrText>
        </w:r>
        <w:r w:rsidR="00F37CD1">
          <w:rPr>
            <w:noProof/>
            <w:webHidden/>
          </w:rPr>
        </w:r>
        <w:r w:rsidR="00F37CD1">
          <w:rPr>
            <w:noProof/>
            <w:webHidden/>
          </w:rPr>
          <w:fldChar w:fldCharType="separate"/>
        </w:r>
        <w:r w:rsidR="003B5862">
          <w:rPr>
            <w:noProof/>
            <w:webHidden/>
          </w:rPr>
          <w:t>184</w:t>
        </w:r>
        <w:r w:rsidR="00F37CD1">
          <w:rPr>
            <w:noProof/>
            <w:webHidden/>
          </w:rPr>
          <w:fldChar w:fldCharType="end"/>
        </w:r>
      </w:hyperlink>
    </w:p>
    <w:p w14:paraId="0CBC6954" w14:textId="1B1241F3" w:rsidR="00F37CD1" w:rsidRDefault="005616C5">
      <w:pPr>
        <w:pStyle w:val="TOC1"/>
        <w:rPr>
          <w:rFonts w:asciiTheme="minorHAnsi" w:eastAsiaTheme="minorEastAsia" w:hAnsiTheme="minorHAnsi" w:cstheme="minorBidi"/>
          <w:b w:val="0"/>
          <w:noProof/>
          <w:sz w:val="22"/>
          <w:szCs w:val="22"/>
        </w:rPr>
      </w:pPr>
      <w:hyperlink w:anchor="_Toc93405370" w:history="1">
        <w:r w:rsidR="00F37CD1" w:rsidRPr="005B6ACF">
          <w:rPr>
            <w:rStyle w:val="Hyperlink"/>
            <w:noProof/>
          </w:rPr>
          <w:t>Section 3: Special account flows and budgeted financial statements</w:t>
        </w:r>
        <w:r w:rsidR="00F37CD1">
          <w:rPr>
            <w:noProof/>
            <w:webHidden/>
          </w:rPr>
          <w:tab/>
        </w:r>
        <w:r w:rsidR="00F37CD1">
          <w:rPr>
            <w:noProof/>
            <w:webHidden/>
          </w:rPr>
          <w:fldChar w:fldCharType="begin"/>
        </w:r>
        <w:r w:rsidR="00F37CD1">
          <w:rPr>
            <w:noProof/>
            <w:webHidden/>
          </w:rPr>
          <w:instrText xml:space="preserve"> PAGEREF _Toc93405370 \h </w:instrText>
        </w:r>
        <w:r w:rsidR="00F37CD1">
          <w:rPr>
            <w:noProof/>
            <w:webHidden/>
          </w:rPr>
        </w:r>
        <w:r w:rsidR="00F37CD1">
          <w:rPr>
            <w:noProof/>
            <w:webHidden/>
          </w:rPr>
          <w:fldChar w:fldCharType="separate"/>
        </w:r>
        <w:r w:rsidR="003B5862">
          <w:rPr>
            <w:noProof/>
            <w:webHidden/>
          </w:rPr>
          <w:t>185</w:t>
        </w:r>
        <w:r w:rsidR="00F37CD1">
          <w:rPr>
            <w:noProof/>
            <w:webHidden/>
          </w:rPr>
          <w:fldChar w:fldCharType="end"/>
        </w:r>
      </w:hyperlink>
    </w:p>
    <w:p w14:paraId="3321706B" w14:textId="022DFDF1" w:rsidR="00F37CD1" w:rsidRDefault="005616C5">
      <w:pPr>
        <w:pStyle w:val="TOC2"/>
        <w:tabs>
          <w:tab w:val="left" w:pos="660"/>
        </w:tabs>
        <w:rPr>
          <w:rFonts w:asciiTheme="minorHAnsi" w:eastAsiaTheme="minorEastAsia" w:hAnsiTheme="minorHAnsi" w:cstheme="minorBidi"/>
          <w:noProof/>
          <w:sz w:val="22"/>
          <w:szCs w:val="22"/>
        </w:rPr>
      </w:pPr>
      <w:hyperlink w:anchor="_Toc93405371" w:history="1">
        <w:r w:rsidR="00F37CD1" w:rsidRPr="005B6ACF">
          <w:rPr>
            <w:rStyle w:val="Hyperlink"/>
            <w:noProof/>
          </w:rPr>
          <w:t>3.1</w:t>
        </w:r>
        <w:r w:rsidR="00F37CD1">
          <w:rPr>
            <w:rFonts w:asciiTheme="minorHAnsi" w:eastAsiaTheme="minorEastAsia" w:hAnsiTheme="minorHAnsi" w:cstheme="minorBidi"/>
            <w:noProof/>
            <w:sz w:val="22"/>
            <w:szCs w:val="22"/>
          </w:rPr>
          <w:tab/>
        </w:r>
        <w:r w:rsidR="00F37CD1" w:rsidRPr="005B6ACF">
          <w:rPr>
            <w:rStyle w:val="Hyperlink"/>
            <w:noProof/>
          </w:rPr>
          <w:t>Special account flows</w:t>
        </w:r>
        <w:r w:rsidR="00F37CD1">
          <w:rPr>
            <w:noProof/>
            <w:webHidden/>
          </w:rPr>
          <w:tab/>
        </w:r>
        <w:r w:rsidR="00F37CD1">
          <w:rPr>
            <w:noProof/>
            <w:webHidden/>
          </w:rPr>
          <w:fldChar w:fldCharType="begin"/>
        </w:r>
        <w:r w:rsidR="00F37CD1">
          <w:rPr>
            <w:noProof/>
            <w:webHidden/>
          </w:rPr>
          <w:instrText xml:space="preserve"> PAGEREF _Toc93405371 \h </w:instrText>
        </w:r>
        <w:r w:rsidR="00F37CD1">
          <w:rPr>
            <w:noProof/>
            <w:webHidden/>
          </w:rPr>
        </w:r>
        <w:r w:rsidR="00F37CD1">
          <w:rPr>
            <w:noProof/>
            <w:webHidden/>
          </w:rPr>
          <w:fldChar w:fldCharType="separate"/>
        </w:r>
        <w:r w:rsidR="003B5862">
          <w:rPr>
            <w:noProof/>
            <w:webHidden/>
          </w:rPr>
          <w:t>185</w:t>
        </w:r>
        <w:r w:rsidR="00F37CD1">
          <w:rPr>
            <w:noProof/>
            <w:webHidden/>
          </w:rPr>
          <w:fldChar w:fldCharType="end"/>
        </w:r>
      </w:hyperlink>
    </w:p>
    <w:p w14:paraId="24E2757D" w14:textId="28A5E55B" w:rsidR="00F37CD1" w:rsidRDefault="005616C5">
      <w:pPr>
        <w:pStyle w:val="TOC2"/>
        <w:tabs>
          <w:tab w:val="left" w:pos="660"/>
        </w:tabs>
        <w:rPr>
          <w:rFonts w:asciiTheme="minorHAnsi" w:eastAsiaTheme="minorEastAsia" w:hAnsiTheme="minorHAnsi" w:cstheme="minorBidi"/>
          <w:noProof/>
          <w:sz w:val="22"/>
          <w:szCs w:val="22"/>
        </w:rPr>
      </w:pPr>
      <w:hyperlink w:anchor="_Toc93405372" w:history="1">
        <w:r w:rsidR="00F37CD1" w:rsidRPr="005B6ACF">
          <w:rPr>
            <w:rStyle w:val="Hyperlink"/>
            <w:noProof/>
          </w:rPr>
          <w:t>3.2</w:t>
        </w:r>
        <w:r w:rsidR="00F37CD1">
          <w:rPr>
            <w:rFonts w:asciiTheme="minorHAnsi" w:eastAsiaTheme="minorEastAsia" w:hAnsiTheme="minorHAnsi" w:cstheme="minorBidi"/>
            <w:noProof/>
            <w:sz w:val="22"/>
            <w:szCs w:val="22"/>
          </w:rPr>
          <w:tab/>
        </w:r>
        <w:r w:rsidR="00F37CD1" w:rsidRPr="005B6ACF">
          <w:rPr>
            <w:rStyle w:val="Hyperlink"/>
            <w:noProof/>
          </w:rPr>
          <w:t>Budgeted financial statements</w:t>
        </w:r>
        <w:r w:rsidR="00F37CD1">
          <w:rPr>
            <w:noProof/>
            <w:webHidden/>
          </w:rPr>
          <w:tab/>
        </w:r>
        <w:r w:rsidR="00F37CD1">
          <w:rPr>
            <w:noProof/>
            <w:webHidden/>
          </w:rPr>
          <w:fldChar w:fldCharType="begin"/>
        </w:r>
        <w:r w:rsidR="00F37CD1">
          <w:rPr>
            <w:noProof/>
            <w:webHidden/>
          </w:rPr>
          <w:instrText xml:space="preserve"> PAGEREF _Toc93405372 \h </w:instrText>
        </w:r>
        <w:r w:rsidR="00F37CD1">
          <w:rPr>
            <w:noProof/>
            <w:webHidden/>
          </w:rPr>
        </w:r>
        <w:r w:rsidR="00F37CD1">
          <w:rPr>
            <w:noProof/>
            <w:webHidden/>
          </w:rPr>
          <w:fldChar w:fldCharType="separate"/>
        </w:r>
        <w:r w:rsidR="003B5862">
          <w:rPr>
            <w:noProof/>
            <w:webHidden/>
          </w:rPr>
          <w:t>185</w:t>
        </w:r>
        <w:r w:rsidR="00F37CD1">
          <w:rPr>
            <w:noProof/>
            <w:webHidden/>
          </w:rPr>
          <w:fldChar w:fldCharType="end"/>
        </w:r>
      </w:hyperlink>
    </w:p>
    <w:p w14:paraId="029B181D" w14:textId="787E52BF" w:rsidR="00914885" w:rsidRDefault="0030114B" w:rsidP="00914885">
      <w:r>
        <w:rPr>
          <w:rFonts w:ascii="Arial" w:hAnsi="Arial"/>
          <w:b/>
        </w:rPr>
        <w:fldChar w:fldCharType="end"/>
      </w:r>
    </w:p>
    <w:p w14:paraId="12F8B9C0" w14:textId="77777777" w:rsidR="00914885" w:rsidRPr="0035086F" w:rsidRDefault="00914885" w:rsidP="00914885"/>
    <w:p w14:paraId="6AFAAA7B" w14:textId="77777777" w:rsidR="00914885" w:rsidRPr="0035086F" w:rsidRDefault="00914885" w:rsidP="00914885"/>
    <w:p w14:paraId="2D6B1637" w14:textId="77777777" w:rsidR="00914885" w:rsidRPr="0035086F" w:rsidRDefault="00914885" w:rsidP="00914885">
      <w:pPr>
        <w:sectPr w:rsidR="00914885" w:rsidRPr="0035086F" w:rsidSect="005A601A">
          <w:headerReference w:type="even" r:id="rId124"/>
          <w:headerReference w:type="default" r:id="rId125"/>
          <w:headerReference w:type="first" r:id="rId126"/>
          <w:footerReference w:type="first" r:id="rId127"/>
          <w:type w:val="oddPage"/>
          <w:pgSz w:w="11907" w:h="16840" w:code="9"/>
          <w:pgMar w:top="2835" w:right="2098" w:bottom="2466" w:left="2098" w:header="1814" w:footer="1814" w:gutter="0"/>
          <w:cols w:space="720"/>
          <w:titlePg/>
        </w:sectPr>
      </w:pPr>
    </w:p>
    <w:p w14:paraId="003FF441" w14:textId="0DD2CF15" w:rsidR="00914885" w:rsidRPr="00EC28BF" w:rsidRDefault="00EC28BF" w:rsidP="00F37CD1">
      <w:pPr>
        <w:pStyle w:val="Heading1-LVL2"/>
      </w:pPr>
      <w:bookmarkStart w:id="523" w:name="_Toc94198477"/>
      <w:r>
        <w:lastRenderedPageBreak/>
        <w:t xml:space="preserve">National Transport </w:t>
      </w:r>
      <w:r w:rsidR="00FA13E0">
        <w:t>Commission</w:t>
      </w:r>
      <w:bookmarkEnd w:id="523"/>
    </w:p>
    <w:p w14:paraId="308A24E6" w14:textId="6DC04424" w:rsidR="00914885" w:rsidRPr="00F045E6" w:rsidRDefault="00914885" w:rsidP="00252B31">
      <w:pPr>
        <w:pStyle w:val="Heading2-TOCNTC"/>
      </w:pPr>
      <w:bookmarkStart w:id="524" w:name="_Toc93405361"/>
      <w:r w:rsidRPr="00F045E6">
        <w:t>Section 1: Entity overview and resources</w:t>
      </w:r>
      <w:bookmarkEnd w:id="524"/>
    </w:p>
    <w:p w14:paraId="3EB669BE" w14:textId="56D1CE7C" w:rsidR="00914885" w:rsidRPr="002322E9" w:rsidRDefault="00914885" w:rsidP="00252B31">
      <w:pPr>
        <w:pStyle w:val="Heading3NTC"/>
      </w:pPr>
      <w:bookmarkStart w:id="525" w:name="_Toc93405362"/>
      <w:r>
        <w:t>1.1</w:t>
      </w:r>
      <w:r>
        <w:tab/>
      </w:r>
      <w:r w:rsidRPr="004928FF">
        <w:t>Strategic direction</w:t>
      </w:r>
      <w:r>
        <w:t xml:space="preserve"> statement</w:t>
      </w:r>
      <w:bookmarkEnd w:id="525"/>
    </w:p>
    <w:p w14:paraId="32EF5F78" w14:textId="319553A7" w:rsidR="00FA13E0" w:rsidRPr="00C602FB" w:rsidRDefault="00FA13E0" w:rsidP="00FA13E0">
      <w:pPr>
        <w:jc w:val="left"/>
        <w:rPr>
          <w:rFonts w:cs="Arial"/>
        </w:rPr>
      </w:pPr>
      <w:r w:rsidRPr="00C602FB">
        <w:rPr>
          <w:rFonts w:cs="Arial"/>
        </w:rPr>
        <w:t>The</w:t>
      </w:r>
      <w:r w:rsidRPr="00C602FB">
        <w:rPr>
          <w:rStyle w:val="normaltextrun"/>
          <w:rFonts w:cs="Arial"/>
          <w:sz w:val="22"/>
          <w:szCs w:val="22"/>
          <w:shd w:val="clear" w:color="auto" w:fill="FFFFFF"/>
          <w:lang w:val="en-US"/>
        </w:rPr>
        <w:t xml:space="preserve"> </w:t>
      </w:r>
      <w:r w:rsidRPr="00C602FB">
        <w:rPr>
          <w:rFonts w:cs="Arial"/>
        </w:rPr>
        <w:t>NTC is a national land transport reform agency that</w:t>
      </w:r>
      <w:r w:rsidR="008D0FEF">
        <w:rPr>
          <w:rFonts w:cs="Arial"/>
        </w:rPr>
        <w:t xml:space="preserve"> </w:t>
      </w:r>
      <w:r w:rsidRPr="00C602FB">
        <w:rPr>
          <w:rFonts w:cs="Arial"/>
        </w:rPr>
        <w:t>supports Australian governments to improve safety,</w:t>
      </w:r>
      <w:r w:rsidR="008D0FEF">
        <w:rPr>
          <w:rFonts w:cs="Arial"/>
        </w:rPr>
        <w:t xml:space="preserve"> </w:t>
      </w:r>
      <w:r w:rsidRPr="00C602FB">
        <w:rPr>
          <w:rFonts w:cs="Arial"/>
        </w:rPr>
        <w:t>productivity and environmental outcomes, provide for future</w:t>
      </w:r>
      <w:r w:rsidR="008D0FEF">
        <w:rPr>
          <w:rFonts w:cs="Arial"/>
        </w:rPr>
        <w:t xml:space="preserve"> </w:t>
      </w:r>
      <w:r w:rsidRPr="00C602FB">
        <w:rPr>
          <w:rFonts w:cs="Arial"/>
        </w:rPr>
        <w:t>technologies and improve</w:t>
      </w:r>
      <w:r w:rsidR="008D0FEF">
        <w:rPr>
          <w:rFonts w:cs="Arial"/>
        </w:rPr>
        <w:t xml:space="preserve"> </w:t>
      </w:r>
      <w:r w:rsidRPr="00C602FB">
        <w:rPr>
          <w:rFonts w:cs="Arial"/>
        </w:rPr>
        <w:t>regulatory efficiency.</w:t>
      </w:r>
      <w:r w:rsidR="008D0FEF">
        <w:rPr>
          <w:rFonts w:cs="Arial"/>
        </w:rPr>
        <w:t xml:space="preserve"> The NTC’s</w:t>
      </w:r>
      <w:r w:rsidR="008D0FEF" w:rsidRPr="00C602FB">
        <w:rPr>
          <w:rFonts w:cs="Arial"/>
        </w:rPr>
        <w:t xml:space="preserve"> </w:t>
      </w:r>
      <w:r w:rsidRPr="00C602FB">
        <w:rPr>
          <w:rFonts w:cs="Arial"/>
        </w:rPr>
        <w:t>vision is to advance social and economic outcomes for all Australians through an efficient, integrated and national land transport system.</w:t>
      </w:r>
    </w:p>
    <w:p w14:paraId="242E5D28" w14:textId="18BD4595" w:rsidR="00FA13E0" w:rsidRPr="00C602FB" w:rsidRDefault="00FA13E0" w:rsidP="00FA13E0">
      <w:pPr>
        <w:autoSpaceDE w:val="0"/>
        <w:autoSpaceDN w:val="0"/>
        <w:adjustRightInd w:val="0"/>
        <w:spacing w:after="0" w:line="240" w:lineRule="auto"/>
        <w:jc w:val="left"/>
        <w:rPr>
          <w:rFonts w:cs="Arial"/>
        </w:rPr>
      </w:pPr>
      <w:r w:rsidRPr="00C602FB">
        <w:rPr>
          <w:rFonts w:cs="Arial"/>
        </w:rPr>
        <w:t xml:space="preserve">The </w:t>
      </w:r>
      <w:r w:rsidRPr="009137DB">
        <w:rPr>
          <w:rFonts w:cs="Arial"/>
          <w:i/>
          <w:iCs/>
        </w:rPr>
        <w:t>National Transport Commission Act 2003</w:t>
      </w:r>
      <w:r w:rsidRPr="00C602FB">
        <w:rPr>
          <w:rFonts w:cs="Arial"/>
        </w:rPr>
        <w:t xml:space="preserve"> (the NTC Act) and the Inter-Governmental Agreement for Regulatory and Operational Reform in Road, Rail and Intermodal Transport (IGA) establish the NTC and define </w:t>
      </w:r>
      <w:r w:rsidR="008D0FEF">
        <w:rPr>
          <w:rFonts w:cs="Arial"/>
        </w:rPr>
        <w:t>its</w:t>
      </w:r>
      <w:r w:rsidR="008D0FEF" w:rsidRPr="00C602FB">
        <w:rPr>
          <w:rFonts w:cs="Arial"/>
        </w:rPr>
        <w:t xml:space="preserve"> </w:t>
      </w:r>
      <w:r w:rsidRPr="00C602FB">
        <w:rPr>
          <w:rFonts w:cs="Arial"/>
        </w:rPr>
        <w:t>role as to:</w:t>
      </w:r>
    </w:p>
    <w:p w14:paraId="21B883DA" w14:textId="4DE5F249" w:rsidR="00FA13E0" w:rsidRPr="00C602FB" w:rsidRDefault="00FA13E0" w:rsidP="009B54D8">
      <w:pPr>
        <w:pStyle w:val="paragraph"/>
        <w:numPr>
          <w:ilvl w:val="0"/>
          <w:numId w:val="18"/>
        </w:numPr>
        <w:spacing w:before="120" w:beforeAutospacing="0" w:after="0" w:afterAutospacing="0"/>
        <w:ind w:left="375"/>
        <w:textAlignment w:val="baseline"/>
        <w:rPr>
          <w:rFonts w:ascii="Book Antiqua" w:eastAsia="Times New Roman" w:hAnsi="Book Antiqua" w:cs="Arial"/>
          <w:sz w:val="20"/>
          <w:szCs w:val="20"/>
        </w:rPr>
      </w:pPr>
      <w:bookmarkStart w:id="526" w:name="_Hlk49261244"/>
      <w:r w:rsidRPr="00C602FB">
        <w:rPr>
          <w:rFonts w:ascii="Book Antiqua" w:eastAsia="Times New Roman" w:hAnsi="Book Antiqua" w:cs="Arial"/>
          <w:bCs/>
          <w:sz w:val="20"/>
          <w:szCs w:val="20"/>
        </w:rPr>
        <w:t>develop</w:t>
      </w:r>
      <w:r w:rsidR="008D0FEF">
        <w:rPr>
          <w:rFonts w:ascii="Book Antiqua" w:eastAsia="Times New Roman" w:hAnsi="Book Antiqua" w:cs="Arial"/>
          <w:bCs/>
          <w:sz w:val="20"/>
          <w:szCs w:val="20"/>
        </w:rPr>
        <w:t xml:space="preserve"> </w:t>
      </w:r>
      <w:r w:rsidRPr="00C602FB">
        <w:rPr>
          <w:rFonts w:ascii="Book Antiqua" w:eastAsia="Times New Roman" w:hAnsi="Book Antiqua" w:cs="Arial"/>
          <w:bCs/>
          <w:sz w:val="20"/>
          <w:szCs w:val="20"/>
        </w:rPr>
        <w:t>and propose reform</w:t>
      </w:r>
      <w:r w:rsidR="008D0FEF">
        <w:rPr>
          <w:rFonts w:ascii="Book Antiqua" w:eastAsia="Times New Roman" w:hAnsi="Book Antiqua" w:cs="Arial"/>
          <w:bCs/>
          <w:sz w:val="20"/>
          <w:szCs w:val="20"/>
        </w:rPr>
        <w:t xml:space="preserve"> </w:t>
      </w:r>
      <w:r w:rsidRPr="00C602FB">
        <w:rPr>
          <w:rFonts w:ascii="Book Antiqua" w:eastAsia="Times New Roman" w:hAnsi="Book Antiqua" w:cs="Arial"/>
          <w:sz w:val="20"/>
          <w:szCs w:val="20"/>
        </w:rPr>
        <w:t>by</w:t>
      </w:r>
      <w:r w:rsidR="008D0FEF">
        <w:rPr>
          <w:rFonts w:ascii="Book Antiqua" w:eastAsia="Times New Roman" w:hAnsi="Book Antiqua" w:cs="Arial"/>
          <w:sz w:val="20"/>
          <w:szCs w:val="20"/>
        </w:rPr>
        <w:t xml:space="preserve"> </w:t>
      </w:r>
      <w:r w:rsidRPr="00C602FB">
        <w:rPr>
          <w:rFonts w:ascii="Book Antiqua" w:eastAsia="Times New Roman" w:hAnsi="Book Antiqua" w:cs="Arial"/>
          <w:sz w:val="20"/>
          <w:szCs w:val="20"/>
        </w:rPr>
        <w:t>identifying, designing and recommending regu</w:t>
      </w:r>
      <w:r>
        <w:rPr>
          <w:rFonts w:ascii="Book Antiqua" w:eastAsia="Times New Roman" w:hAnsi="Book Antiqua" w:cs="Arial"/>
          <w:sz w:val="20"/>
          <w:szCs w:val="20"/>
        </w:rPr>
        <w:t>latory and operational reforms</w:t>
      </w:r>
    </w:p>
    <w:p w14:paraId="3EA6FE23" w14:textId="11B4A0C9" w:rsidR="00FA13E0" w:rsidRPr="00C602FB" w:rsidRDefault="00FA13E0" w:rsidP="009B54D8">
      <w:pPr>
        <w:pStyle w:val="paragraph"/>
        <w:numPr>
          <w:ilvl w:val="0"/>
          <w:numId w:val="18"/>
        </w:numPr>
        <w:spacing w:before="120" w:beforeAutospacing="0" w:after="0" w:afterAutospacing="0"/>
        <w:ind w:left="375"/>
        <w:textAlignment w:val="baseline"/>
        <w:rPr>
          <w:rFonts w:ascii="Book Antiqua" w:eastAsia="Times New Roman" w:hAnsi="Book Antiqua" w:cs="Arial"/>
          <w:sz w:val="20"/>
          <w:szCs w:val="20"/>
        </w:rPr>
      </w:pPr>
      <w:r w:rsidRPr="00C602FB">
        <w:rPr>
          <w:rFonts w:ascii="Book Antiqua" w:eastAsia="Times New Roman" w:hAnsi="Book Antiqua" w:cs="Arial"/>
          <w:bCs/>
          <w:sz w:val="20"/>
          <w:szCs w:val="20"/>
        </w:rPr>
        <w:t>maintain, monitor and review laws and instruments</w:t>
      </w:r>
      <w:r w:rsidR="008D0FEF">
        <w:rPr>
          <w:rFonts w:ascii="Book Antiqua" w:eastAsia="Times New Roman" w:hAnsi="Book Antiqua" w:cs="Arial"/>
          <w:bCs/>
          <w:sz w:val="20"/>
          <w:szCs w:val="20"/>
        </w:rPr>
        <w:t xml:space="preserve"> </w:t>
      </w:r>
      <w:r w:rsidRPr="00C602FB">
        <w:rPr>
          <w:rFonts w:ascii="Book Antiqua" w:eastAsia="Times New Roman" w:hAnsi="Book Antiqua" w:cs="Arial"/>
          <w:sz w:val="20"/>
          <w:szCs w:val="20"/>
        </w:rPr>
        <w:t>to ensure they remain contemporary and consi</w:t>
      </w:r>
      <w:r>
        <w:rPr>
          <w:rFonts w:ascii="Book Antiqua" w:eastAsia="Times New Roman" w:hAnsi="Book Antiqua" w:cs="Arial"/>
          <w:sz w:val="20"/>
          <w:szCs w:val="20"/>
        </w:rPr>
        <w:t>stent with their policy intent</w:t>
      </w:r>
    </w:p>
    <w:p w14:paraId="27706A8B" w14:textId="1A90BD49" w:rsidR="00FA13E0" w:rsidRPr="00C602FB" w:rsidRDefault="00FA13E0" w:rsidP="009B54D8">
      <w:pPr>
        <w:pStyle w:val="paragraph"/>
        <w:numPr>
          <w:ilvl w:val="0"/>
          <w:numId w:val="18"/>
        </w:numPr>
        <w:spacing w:before="120" w:beforeAutospacing="0" w:after="0" w:afterAutospacing="0"/>
        <w:ind w:left="375"/>
        <w:textAlignment w:val="baseline"/>
        <w:rPr>
          <w:rFonts w:ascii="Book Antiqua" w:eastAsia="Times New Roman" w:hAnsi="Book Antiqua" w:cs="Arial"/>
          <w:sz w:val="20"/>
          <w:szCs w:val="20"/>
        </w:rPr>
      </w:pPr>
      <w:r w:rsidRPr="00C602FB">
        <w:rPr>
          <w:rFonts w:ascii="Book Antiqua" w:eastAsia="Times New Roman" w:hAnsi="Book Antiqua" w:cs="Arial"/>
          <w:bCs/>
          <w:sz w:val="20"/>
          <w:szCs w:val="20"/>
        </w:rPr>
        <w:t>advise on heavy vehicle charges</w:t>
      </w:r>
      <w:r w:rsidR="008D0FEF">
        <w:rPr>
          <w:rFonts w:ascii="Book Antiqua" w:eastAsia="Times New Roman" w:hAnsi="Book Antiqua" w:cs="Arial"/>
          <w:bCs/>
          <w:sz w:val="20"/>
          <w:szCs w:val="20"/>
        </w:rPr>
        <w:t xml:space="preserve"> </w:t>
      </w:r>
      <w:r w:rsidRPr="00C602FB">
        <w:rPr>
          <w:rFonts w:ascii="Book Antiqua" w:eastAsia="Times New Roman" w:hAnsi="Book Antiqua" w:cs="Arial"/>
          <w:sz w:val="20"/>
          <w:szCs w:val="20"/>
        </w:rPr>
        <w:t>to recover road con</w:t>
      </w:r>
      <w:r>
        <w:rPr>
          <w:rFonts w:ascii="Book Antiqua" w:eastAsia="Times New Roman" w:hAnsi="Book Antiqua" w:cs="Arial"/>
          <w:sz w:val="20"/>
          <w:szCs w:val="20"/>
        </w:rPr>
        <w:t>struction and maintenance costs</w:t>
      </w:r>
    </w:p>
    <w:p w14:paraId="1EB42A91" w14:textId="2F336355" w:rsidR="00FA13E0" w:rsidRPr="00C602FB" w:rsidRDefault="00FA13E0" w:rsidP="009B54D8">
      <w:pPr>
        <w:pStyle w:val="paragraph"/>
        <w:numPr>
          <w:ilvl w:val="0"/>
          <w:numId w:val="18"/>
        </w:numPr>
        <w:spacing w:before="120" w:beforeAutospacing="0" w:after="240" w:afterAutospacing="0"/>
        <w:ind w:left="375"/>
        <w:textAlignment w:val="baseline"/>
        <w:rPr>
          <w:rFonts w:ascii="Book Antiqua" w:eastAsia="Times New Roman" w:hAnsi="Book Antiqua" w:cs="Arial"/>
          <w:sz w:val="20"/>
          <w:szCs w:val="20"/>
        </w:rPr>
      </w:pPr>
      <w:proofErr w:type="gramStart"/>
      <w:r w:rsidRPr="00C602FB">
        <w:rPr>
          <w:rFonts w:ascii="Book Antiqua" w:eastAsia="Times New Roman" w:hAnsi="Book Antiqua" w:cs="Arial"/>
          <w:bCs/>
          <w:sz w:val="20"/>
          <w:szCs w:val="20"/>
        </w:rPr>
        <w:t>monitor</w:t>
      </w:r>
      <w:proofErr w:type="gramEnd"/>
      <w:r w:rsidRPr="00C602FB">
        <w:rPr>
          <w:rFonts w:ascii="Book Antiqua" w:eastAsia="Times New Roman" w:hAnsi="Book Antiqua" w:cs="Arial"/>
          <w:bCs/>
          <w:sz w:val="20"/>
          <w:szCs w:val="20"/>
        </w:rPr>
        <w:t xml:space="preserve"> and evaluate reforms</w:t>
      </w:r>
      <w:r w:rsidR="008D0FEF">
        <w:rPr>
          <w:rFonts w:ascii="Book Antiqua" w:eastAsia="Times New Roman" w:hAnsi="Book Antiqua" w:cs="Arial"/>
          <w:bCs/>
          <w:sz w:val="20"/>
          <w:szCs w:val="20"/>
        </w:rPr>
        <w:t xml:space="preserve"> </w:t>
      </w:r>
      <w:r w:rsidRPr="00C602FB">
        <w:rPr>
          <w:rFonts w:ascii="Book Antiqua" w:eastAsia="Times New Roman" w:hAnsi="Book Antiqua" w:cs="Arial"/>
          <w:sz w:val="20"/>
          <w:szCs w:val="20"/>
        </w:rPr>
        <w:t>to assess whether they have been implemented successfully and their impact.</w:t>
      </w:r>
    </w:p>
    <w:bookmarkEnd w:id="526"/>
    <w:p w14:paraId="00D1CEE0" w14:textId="71835110" w:rsidR="00FA13E0" w:rsidRPr="00C602FB" w:rsidRDefault="00FA13E0" w:rsidP="00FA13E0">
      <w:pPr>
        <w:pStyle w:val="Exampletext0"/>
        <w:spacing w:before="120"/>
        <w:jc w:val="left"/>
        <w:rPr>
          <w:rFonts w:cs="Arial"/>
          <w:i w:val="0"/>
          <w:color w:val="auto"/>
          <w:lang w:val="en-AU"/>
        </w:rPr>
      </w:pPr>
      <w:r w:rsidRPr="00C602FB">
        <w:rPr>
          <w:rFonts w:cs="Arial"/>
          <w:i w:val="0"/>
          <w:color w:val="auto"/>
          <w:lang w:val="en-AU"/>
        </w:rPr>
        <w:t xml:space="preserve">As a key contributor to the national reform agenda, the NTC is accountable to the Infrastructure and Transport Ministers’ Meeting (ITMM) (formerly the Transport and Infrastructure Council), and works closely with the ITMM’s advisory body, the Infrastructure and Transport Senior Officials' Committee (ITSOC). ITMM approves the NTC’s four-yearly program of work (through </w:t>
      </w:r>
      <w:r w:rsidR="008D0FEF">
        <w:rPr>
          <w:rFonts w:cs="Arial"/>
          <w:i w:val="0"/>
          <w:color w:val="auto"/>
          <w:lang w:val="en-AU"/>
        </w:rPr>
        <w:t>its</w:t>
      </w:r>
      <w:r w:rsidR="008D0FEF" w:rsidRPr="00C602FB">
        <w:rPr>
          <w:rFonts w:cs="Arial"/>
          <w:i w:val="0"/>
          <w:color w:val="auto"/>
          <w:lang w:val="en-AU"/>
        </w:rPr>
        <w:t xml:space="preserve"> </w:t>
      </w:r>
      <w:r w:rsidRPr="00C602FB">
        <w:rPr>
          <w:rFonts w:cs="Arial"/>
          <w:i w:val="0"/>
          <w:color w:val="auto"/>
          <w:lang w:val="en-AU"/>
        </w:rPr>
        <w:t>Corporate Plan) and reform proposals.</w:t>
      </w:r>
    </w:p>
    <w:p w14:paraId="0BFA24D2" w14:textId="4D45143D" w:rsidR="00FA13E0" w:rsidRPr="00C602FB" w:rsidRDefault="00FA13E0" w:rsidP="00FA13E0">
      <w:pPr>
        <w:spacing w:after="120"/>
        <w:jc w:val="left"/>
        <w:rPr>
          <w:rFonts w:cs="Arial"/>
        </w:rPr>
      </w:pPr>
      <w:r w:rsidRPr="00C602FB">
        <w:rPr>
          <w:rFonts w:cs="Arial"/>
        </w:rPr>
        <w:t xml:space="preserve">The NTC operates in a complex and changing national environment that faces rapid transformation through technology and innovation. To meet the challenges that this environment poses and deliver on </w:t>
      </w:r>
      <w:r w:rsidR="008D0FEF">
        <w:rPr>
          <w:rFonts w:cs="Arial"/>
        </w:rPr>
        <w:t>its</w:t>
      </w:r>
      <w:r w:rsidR="008D0FEF" w:rsidRPr="00C602FB">
        <w:rPr>
          <w:rFonts w:cs="Arial"/>
        </w:rPr>
        <w:t xml:space="preserve"> </w:t>
      </w:r>
      <w:r w:rsidRPr="00C602FB">
        <w:rPr>
          <w:rFonts w:cs="Arial"/>
        </w:rPr>
        <w:t>intended outcomes, the NTC’s focus for 202</w:t>
      </w:r>
      <w:r>
        <w:rPr>
          <w:rFonts w:cs="Arial"/>
        </w:rPr>
        <w:t>1</w:t>
      </w:r>
      <w:r w:rsidRPr="00C602FB">
        <w:rPr>
          <w:rFonts w:cs="Arial"/>
        </w:rPr>
        <w:t>-2</w:t>
      </w:r>
      <w:r>
        <w:rPr>
          <w:rFonts w:cs="Arial"/>
        </w:rPr>
        <w:t>2</w:t>
      </w:r>
      <w:r w:rsidRPr="00C602FB">
        <w:rPr>
          <w:rFonts w:cs="Arial"/>
        </w:rPr>
        <w:t xml:space="preserve"> is: </w:t>
      </w:r>
    </w:p>
    <w:p w14:paraId="16633DAC" w14:textId="77777777" w:rsidR="00FA13E0" w:rsidRPr="00C602FB" w:rsidRDefault="00FA13E0" w:rsidP="009B54D8">
      <w:pPr>
        <w:pStyle w:val="ListParagraph"/>
        <w:numPr>
          <w:ilvl w:val="0"/>
          <w:numId w:val="17"/>
        </w:numPr>
        <w:ind w:left="360"/>
        <w:rPr>
          <w:rFonts w:ascii="Book Antiqua" w:eastAsia="Times New Roman" w:hAnsi="Book Antiqua" w:cs="Arial"/>
          <w:sz w:val="20"/>
          <w:szCs w:val="20"/>
          <w:lang w:val="en-AU" w:eastAsia="en-AU"/>
        </w:rPr>
      </w:pPr>
      <w:r w:rsidRPr="00C602FB">
        <w:rPr>
          <w:rFonts w:ascii="Book Antiqua" w:eastAsia="Times New Roman" w:hAnsi="Book Antiqua" w:cs="Arial"/>
          <w:sz w:val="20"/>
          <w:szCs w:val="20"/>
          <w:lang w:val="en-AU" w:eastAsia="en-AU"/>
        </w:rPr>
        <w:t xml:space="preserve">delivering work across </w:t>
      </w:r>
      <w:r>
        <w:rPr>
          <w:rFonts w:ascii="Book Antiqua" w:eastAsia="Times New Roman" w:hAnsi="Book Antiqua" w:cs="Arial"/>
          <w:sz w:val="20"/>
          <w:szCs w:val="20"/>
          <w:lang w:val="en-AU" w:eastAsia="en-AU"/>
        </w:rPr>
        <w:t>five</w:t>
      </w:r>
      <w:r w:rsidRPr="00C602FB">
        <w:rPr>
          <w:rFonts w:ascii="Book Antiqua" w:eastAsia="Times New Roman" w:hAnsi="Book Antiqua" w:cs="Arial"/>
          <w:sz w:val="20"/>
          <w:szCs w:val="20"/>
          <w:lang w:val="en-AU" w:eastAsia="en-AU"/>
        </w:rPr>
        <w:t xml:space="preserve"> focus areas that clearly support the delivery of ITMM’s reform priorities and reforms that offer the highest value for Australia: </w:t>
      </w:r>
    </w:p>
    <w:p w14:paraId="7841A2FF" w14:textId="77777777" w:rsidR="00FA13E0" w:rsidRPr="00762681" w:rsidRDefault="00FA13E0" w:rsidP="009B54D8">
      <w:pPr>
        <w:pStyle w:val="ListParagraph"/>
        <w:numPr>
          <w:ilvl w:val="1"/>
          <w:numId w:val="19"/>
        </w:numPr>
        <w:ind w:left="927"/>
        <w:rPr>
          <w:rFonts w:ascii="Book Antiqua" w:eastAsia="Times New Roman" w:hAnsi="Book Antiqua" w:cs="Arial"/>
          <w:sz w:val="20"/>
          <w:szCs w:val="20"/>
          <w:lang w:val="en-AU" w:eastAsia="en-AU"/>
        </w:rPr>
      </w:pPr>
      <w:r w:rsidRPr="00762681">
        <w:rPr>
          <w:rFonts w:ascii="Book Antiqua" w:eastAsia="Times New Roman" w:hAnsi="Book Antiqua" w:cs="Arial"/>
          <w:sz w:val="20"/>
          <w:szCs w:val="20"/>
          <w:lang w:val="en-AU" w:eastAsia="en-AU"/>
        </w:rPr>
        <w:t>Future technologies</w:t>
      </w:r>
    </w:p>
    <w:p w14:paraId="0916F8FA" w14:textId="77777777" w:rsidR="00FA13E0" w:rsidRPr="00762681" w:rsidRDefault="00FA13E0" w:rsidP="009B54D8">
      <w:pPr>
        <w:pStyle w:val="ListParagraph"/>
        <w:numPr>
          <w:ilvl w:val="1"/>
          <w:numId w:val="19"/>
        </w:numPr>
        <w:ind w:left="927"/>
        <w:rPr>
          <w:rFonts w:ascii="Book Antiqua" w:eastAsia="Times New Roman" w:hAnsi="Book Antiqua" w:cs="Arial"/>
          <w:sz w:val="20"/>
          <w:szCs w:val="20"/>
          <w:lang w:val="en-AU" w:eastAsia="en-AU"/>
        </w:rPr>
      </w:pPr>
      <w:r w:rsidRPr="00762681">
        <w:rPr>
          <w:rFonts w:ascii="Book Antiqua" w:eastAsia="Times New Roman" w:hAnsi="Book Antiqua" w:cs="Arial"/>
          <w:sz w:val="20"/>
          <w:szCs w:val="20"/>
          <w:lang w:val="en-AU" w:eastAsia="en-AU"/>
        </w:rPr>
        <w:t>Safety</w:t>
      </w:r>
    </w:p>
    <w:p w14:paraId="515A5314" w14:textId="77777777" w:rsidR="00FA13E0" w:rsidRPr="00762681" w:rsidRDefault="00FA13E0" w:rsidP="009B54D8">
      <w:pPr>
        <w:pStyle w:val="ListParagraph"/>
        <w:numPr>
          <w:ilvl w:val="1"/>
          <w:numId w:val="19"/>
        </w:numPr>
        <w:ind w:left="927"/>
        <w:rPr>
          <w:rFonts w:ascii="Book Antiqua" w:eastAsia="Times New Roman" w:hAnsi="Book Antiqua" w:cs="Arial"/>
          <w:sz w:val="20"/>
          <w:szCs w:val="20"/>
          <w:lang w:val="en-AU" w:eastAsia="en-AU"/>
        </w:rPr>
      </w:pPr>
      <w:r w:rsidRPr="00762681">
        <w:rPr>
          <w:rFonts w:ascii="Book Antiqua" w:eastAsia="Times New Roman" w:hAnsi="Book Antiqua" w:cs="Arial"/>
          <w:sz w:val="20"/>
          <w:szCs w:val="20"/>
          <w:lang w:val="en-AU" w:eastAsia="en-AU"/>
        </w:rPr>
        <w:t>Productivity</w:t>
      </w:r>
    </w:p>
    <w:p w14:paraId="11321251" w14:textId="77777777" w:rsidR="00FA13E0" w:rsidRDefault="00FA13E0" w:rsidP="009B54D8">
      <w:pPr>
        <w:pStyle w:val="ListParagraph"/>
        <w:numPr>
          <w:ilvl w:val="1"/>
          <w:numId w:val="19"/>
        </w:numPr>
        <w:ind w:left="927"/>
        <w:rPr>
          <w:rFonts w:ascii="Book Antiqua" w:eastAsia="Times New Roman" w:hAnsi="Book Antiqua" w:cs="Arial"/>
          <w:sz w:val="20"/>
          <w:szCs w:val="20"/>
          <w:lang w:val="en-AU" w:eastAsia="en-AU"/>
        </w:rPr>
      </w:pPr>
      <w:r w:rsidRPr="00762681">
        <w:rPr>
          <w:rFonts w:ascii="Book Antiqua" w:eastAsia="Times New Roman" w:hAnsi="Book Antiqua" w:cs="Arial"/>
          <w:sz w:val="20"/>
          <w:szCs w:val="20"/>
          <w:lang w:val="en-AU" w:eastAsia="en-AU"/>
        </w:rPr>
        <w:t>Sustainability</w:t>
      </w:r>
    </w:p>
    <w:p w14:paraId="48F55E0E" w14:textId="77777777" w:rsidR="00FA13E0" w:rsidRPr="00762681" w:rsidRDefault="00FA13E0" w:rsidP="009B54D8">
      <w:pPr>
        <w:pStyle w:val="ListParagraph"/>
        <w:numPr>
          <w:ilvl w:val="1"/>
          <w:numId w:val="19"/>
        </w:numPr>
        <w:ind w:left="927"/>
        <w:rPr>
          <w:rFonts w:ascii="Book Antiqua" w:eastAsia="Times New Roman" w:hAnsi="Book Antiqua" w:cs="Arial"/>
          <w:sz w:val="20"/>
          <w:szCs w:val="20"/>
          <w:lang w:val="en-AU" w:eastAsia="en-AU"/>
        </w:rPr>
      </w:pPr>
      <w:r>
        <w:rPr>
          <w:rFonts w:ascii="Book Antiqua" w:eastAsia="Times New Roman" w:hAnsi="Book Antiqua" w:cs="Arial"/>
          <w:sz w:val="20"/>
          <w:szCs w:val="20"/>
          <w:lang w:val="en-AU" w:eastAsia="en-AU"/>
        </w:rPr>
        <w:t>Advisory</w:t>
      </w:r>
      <w:r w:rsidRPr="00762681">
        <w:rPr>
          <w:rFonts w:ascii="Book Antiqua" w:eastAsia="Times New Roman" w:hAnsi="Book Antiqua" w:cs="Arial"/>
          <w:sz w:val="20"/>
          <w:szCs w:val="20"/>
          <w:lang w:val="en-AU" w:eastAsia="en-AU"/>
        </w:rPr>
        <w:t>.</w:t>
      </w:r>
    </w:p>
    <w:p w14:paraId="08261482" w14:textId="73391D18" w:rsidR="00FA13E0" w:rsidRPr="00C602FB" w:rsidRDefault="00FA13E0" w:rsidP="009B54D8">
      <w:pPr>
        <w:pStyle w:val="ListParagraph"/>
        <w:numPr>
          <w:ilvl w:val="0"/>
          <w:numId w:val="17"/>
        </w:numPr>
        <w:spacing w:after="120"/>
        <w:ind w:left="360"/>
        <w:rPr>
          <w:rFonts w:ascii="Book Antiqua" w:eastAsia="Times New Roman" w:hAnsi="Book Antiqua" w:cs="Arial"/>
          <w:sz w:val="20"/>
          <w:szCs w:val="20"/>
          <w:lang w:val="en-AU" w:eastAsia="en-AU"/>
        </w:rPr>
      </w:pPr>
      <w:r>
        <w:rPr>
          <w:rFonts w:ascii="Book Antiqua" w:eastAsia="Times New Roman" w:hAnsi="Book Antiqua" w:cs="Arial"/>
          <w:sz w:val="20"/>
          <w:szCs w:val="20"/>
          <w:lang w:val="en-AU" w:eastAsia="en-AU"/>
        </w:rPr>
        <w:lastRenderedPageBreak/>
        <w:t xml:space="preserve">effective engagement, collaboration and partnerships </w:t>
      </w:r>
      <w:r w:rsidRPr="00C602FB">
        <w:rPr>
          <w:rFonts w:ascii="Book Antiqua" w:eastAsia="Times New Roman" w:hAnsi="Book Antiqua" w:cs="Arial"/>
          <w:sz w:val="20"/>
          <w:szCs w:val="20"/>
          <w:lang w:val="en-AU" w:eastAsia="en-AU"/>
        </w:rPr>
        <w:t>to deliver reform</w:t>
      </w:r>
      <w:r>
        <w:rPr>
          <w:rFonts w:ascii="Book Antiqua" w:eastAsia="Times New Roman" w:hAnsi="Book Antiqua" w:cs="Arial"/>
          <w:sz w:val="20"/>
          <w:szCs w:val="20"/>
          <w:lang w:val="en-AU" w:eastAsia="en-AU"/>
        </w:rPr>
        <w:t>, while taking a more active role as a facilitator and coordinator to support reform across the wider transport system</w:t>
      </w:r>
    </w:p>
    <w:p w14:paraId="37ED7567" w14:textId="626FBC0B" w:rsidR="00FA13E0" w:rsidRDefault="00FA13E0" w:rsidP="009B54D8">
      <w:pPr>
        <w:pStyle w:val="ListParagraph"/>
        <w:numPr>
          <w:ilvl w:val="0"/>
          <w:numId w:val="17"/>
        </w:numPr>
        <w:spacing w:after="240"/>
        <w:ind w:left="360"/>
        <w:rPr>
          <w:rFonts w:ascii="Book Antiqua" w:eastAsia="Times New Roman" w:hAnsi="Book Antiqua" w:cs="Arial"/>
          <w:sz w:val="20"/>
          <w:szCs w:val="20"/>
          <w:lang w:val="en-AU" w:eastAsia="en-AU"/>
        </w:rPr>
      </w:pPr>
      <w:r w:rsidRPr="00C602FB">
        <w:rPr>
          <w:rFonts w:ascii="Book Antiqua" w:eastAsia="Times New Roman" w:hAnsi="Book Antiqua" w:cs="Arial"/>
          <w:sz w:val="20"/>
          <w:szCs w:val="20"/>
          <w:lang w:val="en-AU" w:eastAsia="en-AU"/>
        </w:rPr>
        <w:t>developing our policy capabilities to ensure we have the expertise to deliver high</w:t>
      </w:r>
      <w:r w:rsidR="00A20718">
        <w:rPr>
          <w:rFonts w:ascii="Book Antiqua" w:eastAsia="Times New Roman" w:hAnsi="Book Antiqua" w:cs="Arial"/>
          <w:sz w:val="20"/>
          <w:szCs w:val="20"/>
          <w:lang w:val="en-AU" w:eastAsia="en-AU"/>
        </w:rPr>
        <w:noBreakHyphen/>
      </w:r>
      <w:r w:rsidRPr="00C602FB">
        <w:rPr>
          <w:rFonts w:ascii="Book Antiqua" w:eastAsia="Times New Roman" w:hAnsi="Book Antiqua" w:cs="Arial"/>
          <w:sz w:val="20"/>
          <w:szCs w:val="20"/>
          <w:lang w:val="en-AU" w:eastAsia="en-AU"/>
        </w:rPr>
        <w:t>quality work that is ready to be implemented</w:t>
      </w:r>
    </w:p>
    <w:p w14:paraId="2BBDB069" w14:textId="77777777" w:rsidR="00FA13E0" w:rsidRPr="00C602FB" w:rsidRDefault="00FA13E0" w:rsidP="009B54D8">
      <w:pPr>
        <w:pStyle w:val="ListParagraph"/>
        <w:numPr>
          <w:ilvl w:val="0"/>
          <w:numId w:val="17"/>
        </w:numPr>
        <w:spacing w:after="240"/>
        <w:ind w:left="360"/>
        <w:rPr>
          <w:rFonts w:ascii="Book Antiqua" w:eastAsia="Times New Roman" w:hAnsi="Book Antiqua" w:cs="Arial"/>
          <w:sz w:val="20"/>
          <w:szCs w:val="20"/>
          <w:lang w:val="en-AU" w:eastAsia="en-AU"/>
        </w:rPr>
      </w:pPr>
      <w:proofErr w:type="gramStart"/>
      <w:r>
        <w:rPr>
          <w:rFonts w:ascii="Book Antiqua" w:eastAsia="Times New Roman" w:hAnsi="Book Antiqua" w:cs="Arial"/>
          <w:sz w:val="20"/>
          <w:szCs w:val="20"/>
          <w:lang w:val="en-AU" w:eastAsia="en-AU"/>
        </w:rPr>
        <w:t>embedding</w:t>
      </w:r>
      <w:proofErr w:type="gramEnd"/>
      <w:r>
        <w:rPr>
          <w:rFonts w:ascii="Book Antiqua" w:eastAsia="Times New Roman" w:hAnsi="Book Antiqua" w:cs="Arial"/>
          <w:sz w:val="20"/>
          <w:szCs w:val="20"/>
          <w:lang w:val="en-AU" w:eastAsia="en-AU"/>
        </w:rPr>
        <w:t xml:space="preserve"> a more agile and flexible operating model that enables the NTC to be resilient and responsive to change</w:t>
      </w:r>
      <w:r w:rsidRPr="00C602FB">
        <w:rPr>
          <w:rFonts w:ascii="Book Antiqua" w:eastAsia="Times New Roman" w:hAnsi="Book Antiqua" w:cs="Arial"/>
          <w:sz w:val="20"/>
          <w:szCs w:val="20"/>
          <w:lang w:val="en-AU" w:eastAsia="en-AU"/>
        </w:rPr>
        <w:t>.</w:t>
      </w:r>
    </w:p>
    <w:p w14:paraId="27256445" w14:textId="59E8A373" w:rsidR="00FA13E0" w:rsidRPr="00C602FB" w:rsidRDefault="00FA13E0" w:rsidP="00FA13E0">
      <w:pPr>
        <w:pStyle w:val="Exampletext0"/>
        <w:jc w:val="left"/>
        <w:rPr>
          <w:rFonts w:cs="Arial"/>
          <w:i w:val="0"/>
          <w:color w:val="auto"/>
          <w:lang w:val="en-AU"/>
        </w:rPr>
      </w:pPr>
      <w:r w:rsidRPr="00C602FB">
        <w:rPr>
          <w:rFonts w:cs="Arial"/>
          <w:i w:val="0"/>
          <w:color w:val="auto"/>
          <w:lang w:val="en-AU"/>
        </w:rPr>
        <w:t>The NTC’s Corporate Plan 202</w:t>
      </w:r>
      <w:r>
        <w:rPr>
          <w:rFonts w:cs="Arial"/>
          <w:i w:val="0"/>
          <w:color w:val="auto"/>
          <w:lang w:val="en-AU"/>
        </w:rPr>
        <w:t>1</w:t>
      </w:r>
      <w:r w:rsidRPr="00C602FB">
        <w:rPr>
          <w:rFonts w:cs="Arial"/>
          <w:i w:val="0"/>
          <w:color w:val="auto"/>
          <w:lang w:val="en-AU"/>
        </w:rPr>
        <w:t>-2</w:t>
      </w:r>
      <w:r>
        <w:rPr>
          <w:rFonts w:cs="Arial"/>
          <w:i w:val="0"/>
          <w:color w:val="auto"/>
          <w:lang w:val="en-AU"/>
        </w:rPr>
        <w:t>5</w:t>
      </w:r>
      <w:r w:rsidRPr="00C602FB">
        <w:rPr>
          <w:rFonts w:cs="Arial"/>
          <w:i w:val="0"/>
          <w:color w:val="auto"/>
          <w:lang w:val="en-AU"/>
        </w:rPr>
        <w:t xml:space="preserve"> provides more detail on </w:t>
      </w:r>
      <w:r w:rsidR="002A4EF6">
        <w:rPr>
          <w:rFonts w:cs="Arial"/>
          <w:i w:val="0"/>
          <w:color w:val="auto"/>
          <w:lang w:val="en-AU"/>
        </w:rPr>
        <w:t>its</w:t>
      </w:r>
      <w:r w:rsidR="002A4EF6" w:rsidRPr="00C602FB">
        <w:rPr>
          <w:rFonts w:cs="Arial"/>
          <w:i w:val="0"/>
          <w:color w:val="auto"/>
          <w:lang w:val="en-AU"/>
        </w:rPr>
        <w:t xml:space="preserve"> </w:t>
      </w:r>
      <w:r w:rsidRPr="00C602FB">
        <w:rPr>
          <w:rFonts w:cs="Arial"/>
          <w:i w:val="0"/>
          <w:color w:val="auto"/>
          <w:lang w:val="en-AU"/>
        </w:rPr>
        <w:t xml:space="preserve">program of work and how </w:t>
      </w:r>
      <w:r w:rsidR="002A4EF6">
        <w:rPr>
          <w:rFonts w:cs="Arial"/>
          <w:i w:val="0"/>
          <w:color w:val="auto"/>
          <w:lang w:val="en-AU"/>
        </w:rPr>
        <w:t>NTC</w:t>
      </w:r>
      <w:r w:rsidR="002A4EF6" w:rsidRPr="00C602FB">
        <w:rPr>
          <w:rFonts w:cs="Arial"/>
          <w:i w:val="0"/>
          <w:color w:val="auto"/>
          <w:lang w:val="en-AU"/>
        </w:rPr>
        <w:t xml:space="preserve"> </w:t>
      </w:r>
      <w:r w:rsidRPr="00C602FB">
        <w:rPr>
          <w:rFonts w:cs="Arial"/>
          <w:i w:val="0"/>
          <w:color w:val="auto"/>
          <w:lang w:val="en-AU"/>
        </w:rPr>
        <w:t xml:space="preserve">will deliver on </w:t>
      </w:r>
      <w:r w:rsidR="002A4EF6">
        <w:rPr>
          <w:rFonts w:cs="Arial"/>
          <w:i w:val="0"/>
          <w:color w:val="auto"/>
          <w:lang w:val="en-AU"/>
        </w:rPr>
        <w:t>its</w:t>
      </w:r>
      <w:r w:rsidRPr="00C602FB">
        <w:rPr>
          <w:rFonts w:cs="Arial"/>
          <w:i w:val="0"/>
          <w:color w:val="auto"/>
          <w:lang w:val="en-AU"/>
        </w:rPr>
        <w:t xml:space="preserve"> outcomes.</w:t>
      </w:r>
    </w:p>
    <w:p w14:paraId="6084606A" w14:textId="77777777" w:rsidR="00FA13E0" w:rsidRPr="0079797F" w:rsidRDefault="00FA13E0" w:rsidP="00FA13E0"/>
    <w:p w14:paraId="05A36CC7" w14:textId="5173A8EF" w:rsidR="00914885" w:rsidRPr="00FE1F21" w:rsidRDefault="00FA13E0" w:rsidP="00FA13E0">
      <w:pPr>
        <w:rPr>
          <w:lang w:val="en-US"/>
        </w:rPr>
      </w:pPr>
      <w:r w:rsidRPr="0079797F">
        <w:br w:type="page"/>
      </w:r>
    </w:p>
    <w:p w14:paraId="6C27607B" w14:textId="77777777" w:rsidR="00E576E2" w:rsidRPr="004928FF" w:rsidRDefault="00E576E2" w:rsidP="00E576E2">
      <w:pPr>
        <w:pStyle w:val="Heading3NTC"/>
      </w:pPr>
      <w:bookmarkStart w:id="527" w:name="_Toc93405363"/>
      <w:bookmarkStart w:id="528" w:name="_Toc93405364"/>
      <w:r>
        <w:lastRenderedPageBreak/>
        <w:t>1.2</w:t>
      </w:r>
      <w:r>
        <w:tab/>
        <w:t>Entity resource statement</w:t>
      </w:r>
      <w:bookmarkEnd w:id="527"/>
    </w:p>
    <w:p w14:paraId="3DAD4D63" w14:textId="7951B46A" w:rsidR="00E576E2" w:rsidRDefault="00E576E2" w:rsidP="00E576E2">
      <w:pPr>
        <w:pStyle w:val="Exampletext0"/>
        <w:jc w:val="left"/>
        <w:rPr>
          <w:i w:val="0"/>
          <w:color w:val="auto"/>
          <w:lang w:val="en-AU"/>
        </w:rPr>
      </w:pPr>
      <w:r w:rsidRPr="0044717A">
        <w:rPr>
          <w:i w:val="0"/>
          <w:color w:val="auto"/>
          <w:lang w:val="en-AU"/>
        </w:rPr>
        <w:t xml:space="preserve">The </w:t>
      </w:r>
      <w:r w:rsidR="00237B70">
        <w:rPr>
          <w:i w:val="0"/>
          <w:color w:val="auto"/>
          <w:lang w:val="en-AU"/>
        </w:rPr>
        <w:t>NTC</w:t>
      </w:r>
      <w:r w:rsidRPr="0044717A">
        <w:rPr>
          <w:i w:val="0"/>
          <w:color w:val="auto"/>
          <w:lang w:val="en-AU"/>
        </w:rPr>
        <w:t xml:space="preserve"> resource statement details the resourcing for </w:t>
      </w:r>
      <w:r>
        <w:rPr>
          <w:i w:val="0"/>
          <w:color w:val="auto"/>
          <w:lang w:val="en-AU"/>
        </w:rPr>
        <w:t xml:space="preserve">the </w:t>
      </w:r>
      <w:r w:rsidR="00886877">
        <w:rPr>
          <w:i w:val="0"/>
          <w:color w:val="auto"/>
          <w:lang w:val="en-AU"/>
        </w:rPr>
        <w:t>NTC</w:t>
      </w:r>
      <w:r w:rsidRPr="0044717A">
        <w:rPr>
          <w:i w:val="0"/>
          <w:color w:val="auto"/>
          <w:lang w:val="en-AU"/>
        </w:rPr>
        <w:t xml:space="preserve"> at Additional Estimates. Table 1.1 shows the total resourc</w:t>
      </w:r>
      <w:r>
        <w:rPr>
          <w:i w:val="0"/>
          <w:color w:val="auto"/>
          <w:lang w:val="en-AU"/>
        </w:rPr>
        <w:t>es from all sources for the 2021-22</w:t>
      </w:r>
      <w:r w:rsidRPr="0044717A">
        <w:rPr>
          <w:i w:val="0"/>
          <w:color w:val="auto"/>
          <w:lang w:val="en-AU"/>
        </w:rPr>
        <w:t xml:space="preserve"> Budget year, including variations through Appropriation Bills No. 3 and No. 4 and special appropriations.</w:t>
      </w:r>
    </w:p>
    <w:p w14:paraId="3C7EAECC" w14:textId="77777777" w:rsidR="00E576E2" w:rsidRPr="001948C4" w:rsidRDefault="00E576E2" w:rsidP="00E576E2">
      <w:pPr>
        <w:pStyle w:val="TableHeading"/>
        <w:rPr>
          <w:b w:val="0"/>
          <w:lang w:val="en-GB"/>
        </w:rPr>
      </w:pPr>
      <w:r w:rsidRPr="00D44150">
        <w:t xml:space="preserve">Table 1.1: </w:t>
      </w:r>
      <w:r>
        <w:rPr>
          <w:lang w:val="en-AU"/>
        </w:rPr>
        <w:t>National Transport Commission</w:t>
      </w:r>
      <w:r w:rsidRPr="00D44150">
        <w:t xml:space="preserve"> resource statement</w:t>
      </w:r>
      <w:r>
        <w:t xml:space="preserve"> — </w:t>
      </w:r>
      <w:r>
        <w:rPr>
          <w:lang w:val="en-US"/>
        </w:rPr>
        <w:t>Additional</w:t>
      </w:r>
      <w:r>
        <w:t xml:space="preserve"> estimates for 202</w:t>
      </w:r>
      <w:r>
        <w:rPr>
          <w:lang w:val="en-GB"/>
        </w:rPr>
        <w:t>1</w:t>
      </w:r>
      <w:r>
        <w:rPr>
          <w:lang w:val="en-GB"/>
        </w:rPr>
        <w:softHyphen/>
      </w:r>
      <w:r>
        <w:rPr>
          <w:lang w:val="en-GB"/>
        </w:rPr>
        <w:softHyphen/>
        <w:t>-22</w:t>
      </w:r>
      <w:r>
        <w:t xml:space="preserve"> </w:t>
      </w:r>
      <w:r w:rsidRPr="00D44150">
        <w:t xml:space="preserve">as at </w:t>
      </w:r>
      <w:r>
        <w:rPr>
          <w:lang w:val="en-US"/>
        </w:rPr>
        <w:t>Additional Estimates February</w:t>
      </w:r>
      <w:r w:rsidRPr="00D44150">
        <w:t xml:space="preserve"> </w:t>
      </w:r>
      <w:r>
        <w:rPr>
          <w:lang w:val="en-GB"/>
        </w:rPr>
        <w:t>2022</w:t>
      </w:r>
    </w:p>
    <w:tbl>
      <w:tblPr>
        <w:tblW w:w="7536" w:type="dxa"/>
        <w:tblLook w:val="04A0" w:firstRow="1" w:lastRow="0" w:firstColumn="1" w:lastColumn="0" w:noHBand="0" w:noVBand="1"/>
      </w:tblPr>
      <w:tblGrid>
        <w:gridCol w:w="3402"/>
        <w:gridCol w:w="1150"/>
        <w:gridCol w:w="976"/>
        <w:gridCol w:w="995"/>
        <w:gridCol w:w="1013"/>
      </w:tblGrid>
      <w:tr w:rsidR="00E576E2" w:rsidRPr="005F6DCA" w14:paraId="4EDAF0B8" w14:textId="77777777" w:rsidTr="00C95230">
        <w:trPr>
          <w:trHeight w:val="204"/>
        </w:trPr>
        <w:tc>
          <w:tcPr>
            <w:tcW w:w="3402" w:type="dxa"/>
            <w:tcBorders>
              <w:top w:val="single" w:sz="4" w:space="0" w:color="auto"/>
              <w:left w:val="nil"/>
              <w:bottom w:val="nil"/>
              <w:right w:val="nil"/>
            </w:tcBorders>
            <w:shd w:val="clear" w:color="000000" w:fill="FFFFFF"/>
            <w:noWrap/>
            <w:vAlign w:val="bottom"/>
            <w:hideMark/>
          </w:tcPr>
          <w:p w14:paraId="6304AE29" w14:textId="77777777" w:rsidR="00E576E2" w:rsidRPr="00B91273" w:rsidRDefault="00E576E2" w:rsidP="00C95230">
            <w:pPr>
              <w:spacing w:after="0" w:line="240" w:lineRule="auto"/>
              <w:jc w:val="left"/>
              <w:rPr>
                <w:rFonts w:ascii="Arial" w:hAnsi="Arial" w:cs="Arial"/>
                <w:color w:val="000000"/>
                <w:sz w:val="16"/>
                <w:szCs w:val="16"/>
              </w:rPr>
            </w:pPr>
            <w:r w:rsidRPr="00B91273">
              <w:rPr>
                <w:rFonts w:ascii="Arial" w:hAnsi="Arial" w:cs="Arial"/>
                <w:color w:val="000000"/>
                <w:sz w:val="16"/>
                <w:szCs w:val="16"/>
              </w:rPr>
              <w:t> </w:t>
            </w:r>
          </w:p>
        </w:tc>
        <w:tc>
          <w:tcPr>
            <w:tcW w:w="1150" w:type="dxa"/>
            <w:tcBorders>
              <w:top w:val="single" w:sz="4" w:space="0" w:color="auto"/>
              <w:left w:val="nil"/>
              <w:bottom w:val="single" w:sz="4" w:space="0" w:color="auto"/>
              <w:right w:val="nil"/>
            </w:tcBorders>
            <w:shd w:val="clear" w:color="000000" w:fill="FFFFFF"/>
            <w:vAlign w:val="bottom"/>
            <w:hideMark/>
          </w:tcPr>
          <w:p w14:paraId="459A43DE"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Actual</w:t>
            </w:r>
            <w:r w:rsidRPr="00B91273">
              <w:rPr>
                <w:rFonts w:ascii="Arial" w:hAnsi="Arial" w:cs="Arial"/>
                <w:color w:val="000000"/>
                <w:sz w:val="16"/>
                <w:szCs w:val="16"/>
              </w:rPr>
              <w:br/>
              <w:t>available</w:t>
            </w:r>
            <w:r w:rsidRPr="00B91273">
              <w:rPr>
                <w:rFonts w:ascii="Arial" w:hAnsi="Arial" w:cs="Arial"/>
                <w:color w:val="000000"/>
                <w:sz w:val="16"/>
                <w:szCs w:val="16"/>
              </w:rPr>
              <w:br/>
              <w:t>appropriation</w:t>
            </w:r>
            <w:r w:rsidRPr="00B91273">
              <w:rPr>
                <w:rFonts w:ascii="Arial" w:hAnsi="Arial" w:cs="Arial"/>
                <w:color w:val="000000"/>
                <w:sz w:val="16"/>
                <w:szCs w:val="16"/>
              </w:rPr>
              <w:br/>
            </w:r>
            <w:r w:rsidRPr="00B91273">
              <w:rPr>
                <w:rFonts w:ascii="Arial" w:hAnsi="Arial" w:cs="Arial"/>
                <w:color w:val="000000"/>
                <w:sz w:val="16"/>
                <w:szCs w:val="16"/>
              </w:rPr>
              <w:br/>
              <w:t>2020-21</w:t>
            </w:r>
            <w:r w:rsidRPr="00B91273">
              <w:rPr>
                <w:rFonts w:ascii="Arial" w:hAnsi="Arial" w:cs="Arial"/>
                <w:color w:val="000000"/>
                <w:sz w:val="16"/>
                <w:szCs w:val="16"/>
              </w:rPr>
              <w:br/>
              <w:t>$'000</w:t>
            </w:r>
          </w:p>
        </w:tc>
        <w:tc>
          <w:tcPr>
            <w:tcW w:w="976" w:type="dxa"/>
            <w:tcBorders>
              <w:top w:val="single" w:sz="4" w:space="0" w:color="auto"/>
              <w:left w:val="nil"/>
              <w:bottom w:val="single" w:sz="4" w:space="0" w:color="auto"/>
              <w:right w:val="nil"/>
            </w:tcBorders>
            <w:shd w:val="clear" w:color="000000" w:fill="FFFFFF"/>
            <w:vAlign w:val="bottom"/>
            <w:hideMark/>
          </w:tcPr>
          <w:p w14:paraId="4A2A87D8"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Estimate</w:t>
            </w:r>
            <w:r w:rsidRPr="00B91273">
              <w:rPr>
                <w:rFonts w:ascii="Arial" w:hAnsi="Arial" w:cs="Arial"/>
                <w:color w:val="000000"/>
                <w:sz w:val="16"/>
                <w:szCs w:val="16"/>
              </w:rPr>
              <w:br/>
              <w:t>as at</w:t>
            </w:r>
            <w:r w:rsidRPr="00B91273">
              <w:rPr>
                <w:rFonts w:ascii="Arial" w:hAnsi="Arial" w:cs="Arial"/>
                <w:color w:val="000000"/>
                <w:sz w:val="16"/>
                <w:szCs w:val="16"/>
              </w:rPr>
              <w:br/>
              <w:t>Budget</w:t>
            </w:r>
            <w:r w:rsidRPr="00B91273">
              <w:rPr>
                <w:rFonts w:ascii="Arial" w:hAnsi="Arial" w:cs="Arial"/>
                <w:color w:val="000000"/>
                <w:sz w:val="16"/>
                <w:szCs w:val="16"/>
              </w:rPr>
              <w:br/>
            </w:r>
            <w:r w:rsidRPr="00B91273">
              <w:rPr>
                <w:rFonts w:ascii="Arial" w:hAnsi="Arial" w:cs="Arial"/>
                <w:color w:val="000000"/>
                <w:sz w:val="16"/>
                <w:szCs w:val="16"/>
              </w:rPr>
              <w:br/>
              <w:t>2021-22</w:t>
            </w:r>
            <w:r w:rsidRPr="00B91273">
              <w:rPr>
                <w:rFonts w:ascii="Arial" w:hAnsi="Arial" w:cs="Arial"/>
                <w:color w:val="000000"/>
                <w:sz w:val="16"/>
                <w:szCs w:val="16"/>
              </w:rPr>
              <w:br/>
              <w:t>$'000</w:t>
            </w:r>
          </w:p>
        </w:tc>
        <w:tc>
          <w:tcPr>
            <w:tcW w:w="995" w:type="dxa"/>
            <w:tcBorders>
              <w:top w:val="single" w:sz="4" w:space="0" w:color="auto"/>
              <w:left w:val="nil"/>
              <w:bottom w:val="single" w:sz="4" w:space="0" w:color="auto"/>
              <w:right w:val="nil"/>
            </w:tcBorders>
            <w:shd w:val="clear" w:color="000000" w:fill="FFFFFF"/>
            <w:vAlign w:val="bottom"/>
            <w:hideMark/>
          </w:tcPr>
          <w:p w14:paraId="5CAA4E65"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Proposed</w:t>
            </w:r>
            <w:r w:rsidRPr="00B91273">
              <w:rPr>
                <w:rFonts w:ascii="Arial" w:hAnsi="Arial" w:cs="Arial"/>
                <w:color w:val="000000"/>
                <w:sz w:val="16"/>
                <w:szCs w:val="16"/>
              </w:rPr>
              <w:br/>
              <w:t>Additional</w:t>
            </w:r>
            <w:r w:rsidRPr="00B91273">
              <w:rPr>
                <w:rFonts w:ascii="Arial" w:hAnsi="Arial" w:cs="Arial"/>
                <w:color w:val="000000"/>
                <w:sz w:val="16"/>
                <w:szCs w:val="16"/>
              </w:rPr>
              <w:br/>
              <w:t>Estimates</w:t>
            </w:r>
            <w:r w:rsidRPr="00B91273">
              <w:rPr>
                <w:rFonts w:ascii="Arial" w:hAnsi="Arial" w:cs="Arial"/>
                <w:color w:val="000000"/>
                <w:sz w:val="16"/>
                <w:szCs w:val="16"/>
              </w:rPr>
              <w:br/>
            </w:r>
            <w:r w:rsidRPr="00B91273">
              <w:rPr>
                <w:rFonts w:ascii="Arial" w:hAnsi="Arial" w:cs="Arial"/>
                <w:color w:val="000000"/>
                <w:sz w:val="16"/>
                <w:szCs w:val="16"/>
              </w:rPr>
              <w:br/>
              <w:t>2021-22</w:t>
            </w:r>
            <w:r w:rsidRPr="00B91273">
              <w:rPr>
                <w:rFonts w:ascii="Arial" w:hAnsi="Arial" w:cs="Arial"/>
                <w:color w:val="000000"/>
                <w:sz w:val="16"/>
                <w:szCs w:val="16"/>
              </w:rPr>
              <w:br/>
              <w:t>$'000</w:t>
            </w:r>
          </w:p>
        </w:tc>
        <w:tc>
          <w:tcPr>
            <w:tcW w:w="1013" w:type="dxa"/>
            <w:tcBorders>
              <w:top w:val="single" w:sz="4" w:space="0" w:color="auto"/>
              <w:left w:val="nil"/>
              <w:bottom w:val="single" w:sz="4" w:space="0" w:color="auto"/>
              <w:right w:val="nil"/>
            </w:tcBorders>
            <w:shd w:val="clear" w:color="000000" w:fill="E6E6E6"/>
            <w:vAlign w:val="bottom"/>
            <w:hideMark/>
          </w:tcPr>
          <w:p w14:paraId="0C8E6C3C"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Total</w:t>
            </w:r>
            <w:r w:rsidRPr="00B91273">
              <w:rPr>
                <w:rFonts w:ascii="Arial" w:hAnsi="Arial" w:cs="Arial"/>
                <w:color w:val="000000"/>
                <w:sz w:val="16"/>
                <w:szCs w:val="16"/>
              </w:rPr>
              <w:br/>
              <w:t>estimate at</w:t>
            </w:r>
            <w:r w:rsidRPr="00B91273">
              <w:rPr>
                <w:rFonts w:ascii="Arial" w:hAnsi="Arial" w:cs="Arial"/>
                <w:color w:val="000000"/>
                <w:sz w:val="16"/>
                <w:szCs w:val="16"/>
              </w:rPr>
              <w:br/>
              <w:t>Additional</w:t>
            </w:r>
            <w:r w:rsidRPr="00B91273">
              <w:rPr>
                <w:rFonts w:ascii="Arial" w:hAnsi="Arial" w:cs="Arial"/>
                <w:color w:val="000000"/>
                <w:sz w:val="16"/>
                <w:szCs w:val="16"/>
              </w:rPr>
              <w:br/>
              <w:t>Estimates</w:t>
            </w:r>
            <w:r w:rsidRPr="00B91273">
              <w:rPr>
                <w:rFonts w:ascii="Arial" w:hAnsi="Arial" w:cs="Arial"/>
                <w:color w:val="000000"/>
                <w:sz w:val="16"/>
                <w:szCs w:val="16"/>
              </w:rPr>
              <w:br/>
              <w:t>2021-22</w:t>
            </w:r>
            <w:r w:rsidRPr="00B91273">
              <w:rPr>
                <w:rFonts w:ascii="Arial" w:hAnsi="Arial" w:cs="Arial"/>
                <w:color w:val="000000"/>
                <w:sz w:val="16"/>
                <w:szCs w:val="16"/>
              </w:rPr>
              <w:br/>
              <w:t>$'000</w:t>
            </w:r>
          </w:p>
        </w:tc>
      </w:tr>
      <w:tr w:rsidR="00E576E2" w:rsidRPr="005F6DCA" w14:paraId="6B159B2F" w14:textId="77777777" w:rsidTr="00C95230">
        <w:trPr>
          <w:trHeight w:val="204"/>
        </w:trPr>
        <w:tc>
          <w:tcPr>
            <w:tcW w:w="3402" w:type="dxa"/>
            <w:tcBorders>
              <w:top w:val="nil"/>
              <w:left w:val="nil"/>
              <w:bottom w:val="nil"/>
              <w:right w:val="nil"/>
            </w:tcBorders>
            <w:shd w:val="clear" w:color="000000" w:fill="FFFFFF"/>
            <w:noWrap/>
            <w:vAlign w:val="bottom"/>
            <w:hideMark/>
          </w:tcPr>
          <w:p w14:paraId="4051A227" w14:textId="77777777" w:rsidR="00E576E2" w:rsidRPr="00B91273" w:rsidRDefault="00E576E2" w:rsidP="00C95230">
            <w:pPr>
              <w:spacing w:after="0" w:line="240" w:lineRule="auto"/>
              <w:jc w:val="left"/>
              <w:rPr>
                <w:rFonts w:ascii="Arial" w:hAnsi="Arial" w:cs="Arial"/>
                <w:b/>
                <w:bCs/>
                <w:color w:val="000000"/>
                <w:sz w:val="16"/>
                <w:szCs w:val="16"/>
              </w:rPr>
            </w:pPr>
            <w:r w:rsidRPr="00B91273">
              <w:rPr>
                <w:rFonts w:ascii="Arial" w:hAnsi="Arial" w:cs="Arial"/>
                <w:b/>
                <w:bCs/>
                <w:color w:val="000000"/>
                <w:sz w:val="16"/>
                <w:szCs w:val="16"/>
              </w:rPr>
              <w:t>Opening balance/cash reserves at 1 July</w:t>
            </w:r>
          </w:p>
        </w:tc>
        <w:tc>
          <w:tcPr>
            <w:tcW w:w="1150" w:type="dxa"/>
            <w:tcBorders>
              <w:top w:val="single" w:sz="4" w:space="0" w:color="auto"/>
              <w:left w:val="nil"/>
              <w:bottom w:val="single" w:sz="4" w:space="0" w:color="auto"/>
              <w:right w:val="nil"/>
            </w:tcBorders>
            <w:shd w:val="clear" w:color="000000" w:fill="FFFFFF"/>
            <w:noWrap/>
            <w:vAlign w:val="bottom"/>
            <w:hideMark/>
          </w:tcPr>
          <w:p w14:paraId="16C68DCF" w14:textId="77777777" w:rsidR="00E576E2" w:rsidRPr="001D77BC" w:rsidRDefault="00E576E2" w:rsidP="00C95230">
            <w:pPr>
              <w:spacing w:after="0" w:line="240" w:lineRule="auto"/>
              <w:jc w:val="right"/>
              <w:rPr>
                <w:rFonts w:ascii="Arial" w:hAnsi="Arial" w:cs="Arial"/>
                <w:b/>
                <w:iCs/>
                <w:color w:val="000000"/>
                <w:sz w:val="16"/>
                <w:szCs w:val="16"/>
              </w:rPr>
            </w:pPr>
            <w:r w:rsidRPr="001D77BC">
              <w:rPr>
                <w:rFonts w:ascii="Arial" w:hAnsi="Arial" w:cs="Arial"/>
                <w:b/>
                <w:iCs/>
                <w:color w:val="000000"/>
                <w:sz w:val="16"/>
                <w:szCs w:val="16"/>
              </w:rPr>
              <w:t>2,506</w:t>
            </w:r>
          </w:p>
        </w:tc>
        <w:tc>
          <w:tcPr>
            <w:tcW w:w="976" w:type="dxa"/>
            <w:tcBorders>
              <w:top w:val="single" w:sz="4" w:space="0" w:color="auto"/>
              <w:left w:val="nil"/>
              <w:bottom w:val="single" w:sz="4" w:space="0" w:color="auto"/>
              <w:right w:val="nil"/>
            </w:tcBorders>
            <w:shd w:val="clear" w:color="000000" w:fill="FFFFFF"/>
            <w:noWrap/>
            <w:vAlign w:val="bottom"/>
            <w:hideMark/>
          </w:tcPr>
          <w:p w14:paraId="5A3AF74B" w14:textId="77777777" w:rsidR="00E576E2" w:rsidRPr="001D77BC" w:rsidRDefault="00E576E2" w:rsidP="00C95230">
            <w:pPr>
              <w:spacing w:after="0" w:line="240" w:lineRule="auto"/>
              <w:jc w:val="right"/>
              <w:rPr>
                <w:rFonts w:ascii="Arial" w:hAnsi="Arial" w:cs="Arial"/>
                <w:b/>
                <w:iCs/>
                <w:color w:val="000000"/>
                <w:sz w:val="16"/>
                <w:szCs w:val="16"/>
              </w:rPr>
            </w:pPr>
            <w:r w:rsidRPr="001D77BC">
              <w:rPr>
                <w:rFonts w:ascii="Arial" w:hAnsi="Arial" w:cs="Arial"/>
                <w:b/>
                <w:iCs/>
                <w:color w:val="000000"/>
                <w:sz w:val="16"/>
                <w:szCs w:val="16"/>
              </w:rPr>
              <w:t>3,318</w:t>
            </w:r>
          </w:p>
        </w:tc>
        <w:tc>
          <w:tcPr>
            <w:tcW w:w="995" w:type="dxa"/>
            <w:tcBorders>
              <w:top w:val="single" w:sz="4" w:space="0" w:color="auto"/>
              <w:left w:val="nil"/>
              <w:bottom w:val="single" w:sz="4" w:space="0" w:color="auto"/>
              <w:right w:val="nil"/>
            </w:tcBorders>
            <w:shd w:val="clear" w:color="000000" w:fill="FFFFFF"/>
            <w:noWrap/>
            <w:vAlign w:val="bottom"/>
            <w:hideMark/>
          </w:tcPr>
          <w:p w14:paraId="232DE1D2" w14:textId="77777777" w:rsidR="00E576E2" w:rsidRPr="001D77BC" w:rsidRDefault="00E576E2" w:rsidP="00C95230">
            <w:pPr>
              <w:spacing w:after="0" w:line="240" w:lineRule="auto"/>
              <w:jc w:val="right"/>
              <w:rPr>
                <w:rFonts w:ascii="Arial" w:hAnsi="Arial" w:cs="Arial"/>
                <w:b/>
                <w:i/>
                <w:iCs/>
                <w:color w:val="000000"/>
                <w:sz w:val="16"/>
                <w:szCs w:val="16"/>
              </w:rPr>
            </w:pPr>
            <w:r w:rsidRPr="001D77BC">
              <w:rPr>
                <w:rFonts w:ascii="Arial" w:hAnsi="Arial" w:cs="Arial"/>
                <w:b/>
                <w:i/>
                <w:iCs/>
                <w:color w:val="000000"/>
                <w:sz w:val="16"/>
                <w:szCs w:val="16"/>
              </w:rPr>
              <w:t>-</w:t>
            </w:r>
          </w:p>
        </w:tc>
        <w:tc>
          <w:tcPr>
            <w:tcW w:w="1013" w:type="dxa"/>
            <w:tcBorders>
              <w:top w:val="single" w:sz="4" w:space="0" w:color="auto"/>
              <w:left w:val="nil"/>
              <w:bottom w:val="single" w:sz="4" w:space="0" w:color="auto"/>
              <w:right w:val="nil"/>
            </w:tcBorders>
            <w:shd w:val="clear" w:color="000000" w:fill="E6E6E6"/>
            <w:noWrap/>
            <w:vAlign w:val="bottom"/>
            <w:hideMark/>
          </w:tcPr>
          <w:p w14:paraId="323D0C82" w14:textId="77777777" w:rsidR="00E576E2" w:rsidRPr="001D77BC" w:rsidRDefault="00E576E2" w:rsidP="00C95230">
            <w:pPr>
              <w:spacing w:after="0" w:line="240" w:lineRule="auto"/>
              <w:jc w:val="right"/>
              <w:rPr>
                <w:rFonts w:ascii="Arial" w:hAnsi="Arial" w:cs="Arial"/>
                <w:b/>
                <w:color w:val="000000"/>
                <w:sz w:val="16"/>
                <w:szCs w:val="16"/>
              </w:rPr>
            </w:pPr>
            <w:r w:rsidRPr="001D77BC">
              <w:rPr>
                <w:rFonts w:ascii="Arial" w:hAnsi="Arial" w:cs="Arial"/>
                <w:b/>
                <w:color w:val="000000"/>
                <w:sz w:val="16"/>
                <w:szCs w:val="16"/>
              </w:rPr>
              <w:t>3,318</w:t>
            </w:r>
          </w:p>
        </w:tc>
      </w:tr>
      <w:tr w:rsidR="00E576E2" w:rsidRPr="005F6DCA" w14:paraId="743AA48A" w14:textId="77777777" w:rsidTr="00C95230">
        <w:trPr>
          <w:trHeight w:val="204"/>
        </w:trPr>
        <w:tc>
          <w:tcPr>
            <w:tcW w:w="3402" w:type="dxa"/>
            <w:tcBorders>
              <w:top w:val="nil"/>
              <w:left w:val="nil"/>
              <w:bottom w:val="nil"/>
              <w:right w:val="nil"/>
            </w:tcBorders>
            <w:shd w:val="clear" w:color="000000" w:fill="FFFFFF"/>
            <w:vAlign w:val="bottom"/>
            <w:hideMark/>
          </w:tcPr>
          <w:p w14:paraId="36EF509D" w14:textId="77777777" w:rsidR="00E576E2" w:rsidRPr="00B91273" w:rsidRDefault="00E576E2" w:rsidP="00C95230">
            <w:pPr>
              <w:spacing w:after="0" w:line="240" w:lineRule="auto"/>
              <w:jc w:val="left"/>
              <w:rPr>
                <w:rFonts w:ascii="Arial" w:hAnsi="Arial" w:cs="Arial"/>
                <w:b/>
                <w:bCs/>
                <w:color w:val="000000"/>
                <w:sz w:val="16"/>
                <w:szCs w:val="16"/>
              </w:rPr>
            </w:pPr>
            <w:r w:rsidRPr="00B91273">
              <w:rPr>
                <w:rFonts w:ascii="Arial" w:hAnsi="Arial" w:cs="Arial"/>
                <w:b/>
                <w:bCs/>
                <w:color w:val="000000"/>
                <w:sz w:val="16"/>
                <w:szCs w:val="16"/>
              </w:rPr>
              <w:t>Funds from Government</w:t>
            </w:r>
          </w:p>
        </w:tc>
        <w:tc>
          <w:tcPr>
            <w:tcW w:w="1150" w:type="dxa"/>
            <w:tcBorders>
              <w:top w:val="nil"/>
              <w:left w:val="nil"/>
              <w:bottom w:val="nil"/>
              <w:right w:val="nil"/>
            </w:tcBorders>
            <w:shd w:val="clear" w:color="000000" w:fill="FFFFFF"/>
            <w:noWrap/>
            <w:vAlign w:val="bottom"/>
            <w:hideMark/>
          </w:tcPr>
          <w:p w14:paraId="15F4584D" w14:textId="77777777" w:rsidR="00E576E2" w:rsidRPr="00022CF4" w:rsidRDefault="00E576E2" w:rsidP="00C95230">
            <w:pPr>
              <w:spacing w:after="0" w:line="240" w:lineRule="auto"/>
              <w:jc w:val="right"/>
              <w:rPr>
                <w:rFonts w:ascii="Arial" w:hAnsi="Arial" w:cs="Arial"/>
                <w:iCs/>
                <w:color w:val="000000"/>
                <w:sz w:val="16"/>
                <w:szCs w:val="16"/>
              </w:rPr>
            </w:pPr>
          </w:p>
        </w:tc>
        <w:tc>
          <w:tcPr>
            <w:tcW w:w="976" w:type="dxa"/>
            <w:tcBorders>
              <w:top w:val="nil"/>
              <w:left w:val="nil"/>
              <w:bottom w:val="nil"/>
              <w:right w:val="nil"/>
            </w:tcBorders>
            <w:shd w:val="clear" w:color="000000" w:fill="FFFFFF"/>
            <w:noWrap/>
            <w:vAlign w:val="bottom"/>
            <w:hideMark/>
          </w:tcPr>
          <w:p w14:paraId="59EC3D77" w14:textId="77777777" w:rsidR="00E576E2" w:rsidRPr="00022CF4" w:rsidRDefault="00E576E2" w:rsidP="00C95230">
            <w:pPr>
              <w:spacing w:after="0" w:line="240" w:lineRule="auto"/>
              <w:jc w:val="right"/>
              <w:rPr>
                <w:rFonts w:ascii="Arial" w:hAnsi="Arial" w:cs="Arial"/>
                <w:iCs/>
                <w:color w:val="000000"/>
                <w:sz w:val="16"/>
                <w:szCs w:val="16"/>
              </w:rPr>
            </w:pPr>
          </w:p>
        </w:tc>
        <w:tc>
          <w:tcPr>
            <w:tcW w:w="995" w:type="dxa"/>
            <w:tcBorders>
              <w:top w:val="nil"/>
              <w:left w:val="nil"/>
              <w:bottom w:val="nil"/>
              <w:right w:val="nil"/>
            </w:tcBorders>
            <w:shd w:val="clear" w:color="000000" w:fill="FFFFFF"/>
            <w:noWrap/>
            <w:vAlign w:val="bottom"/>
            <w:hideMark/>
          </w:tcPr>
          <w:p w14:paraId="56FEE09C" w14:textId="77777777" w:rsidR="00E576E2" w:rsidRPr="00B91273" w:rsidRDefault="00E576E2" w:rsidP="00C95230">
            <w:pPr>
              <w:spacing w:after="0" w:line="240" w:lineRule="auto"/>
              <w:jc w:val="right"/>
              <w:rPr>
                <w:rFonts w:ascii="Arial" w:hAnsi="Arial" w:cs="Arial"/>
                <w:i/>
                <w:iCs/>
                <w:color w:val="000000"/>
                <w:sz w:val="16"/>
                <w:szCs w:val="16"/>
              </w:rPr>
            </w:pPr>
          </w:p>
        </w:tc>
        <w:tc>
          <w:tcPr>
            <w:tcW w:w="1013" w:type="dxa"/>
            <w:tcBorders>
              <w:top w:val="nil"/>
              <w:left w:val="nil"/>
              <w:bottom w:val="nil"/>
              <w:right w:val="nil"/>
            </w:tcBorders>
            <w:shd w:val="clear" w:color="000000" w:fill="E6E6E6"/>
            <w:noWrap/>
            <w:vAlign w:val="bottom"/>
            <w:hideMark/>
          </w:tcPr>
          <w:p w14:paraId="0AFBAD79" w14:textId="77777777" w:rsidR="00E576E2" w:rsidRPr="00B91273" w:rsidRDefault="00E576E2" w:rsidP="00C95230">
            <w:pPr>
              <w:spacing w:after="0" w:line="240" w:lineRule="auto"/>
              <w:jc w:val="right"/>
              <w:rPr>
                <w:rFonts w:ascii="Arial" w:hAnsi="Arial" w:cs="Arial"/>
                <w:color w:val="000000"/>
                <w:sz w:val="16"/>
                <w:szCs w:val="16"/>
              </w:rPr>
            </w:pPr>
          </w:p>
        </w:tc>
      </w:tr>
      <w:tr w:rsidR="00E576E2" w:rsidRPr="005F6DCA" w14:paraId="5D81DB6F" w14:textId="77777777" w:rsidTr="00C95230">
        <w:trPr>
          <w:trHeight w:val="204"/>
        </w:trPr>
        <w:tc>
          <w:tcPr>
            <w:tcW w:w="3402" w:type="dxa"/>
            <w:tcBorders>
              <w:top w:val="nil"/>
              <w:left w:val="nil"/>
              <w:bottom w:val="nil"/>
              <w:right w:val="nil"/>
            </w:tcBorders>
            <w:shd w:val="clear" w:color="000000" w:fill="FFFFFF"/>
            <w:vAlign w:val="bottom"/>
            <w:hideMark/>
          </w:tcPr>
          <w:p w14:paraId="08C73B12" w14:textId="77777777" w:rsidR="00E576E2" w:rsidRPr="00B91273" w:rsidRDefault="00E576E2" w:rsidP="00C95230">
            <w:pPr>
              <w:spacing w:after="0" w:line="240" w:lineRule="auto"/>
              <w:jc w:val="left"/>
              <w:rPr>
                <w:rFonts w:ascii="Arial" w:hAnsi="Arial" w:cs="Arial"/>
                <w:color w:val="000000"/>
                <w:sz w:val="16"/>
                <w:szCs w:val="16"/>
              </w:rPr>
            </w:pPr>
            <w:r w:rsidRPr="00B91273">
              <w:rPr>
                <w:rFonts w:ascii="Arial" w:hAnsi="Arial" w:cs="Arial"/>
                <w:color w:val="000000"/>
                <w:sz w:val="16"/>
                <w:szCs w:val="16"/>
              </w:rPr>
              <w:t xml:space="preserve">Annual appropriations - ordinary annual services </w:t>
            </w:r>
            <w:r w:rsidRPr="0012003F">
              <w:rPr>
                <w:rFonts w:ascii="Arial" w:hAnsi="Arial" w:cs="Arial"/>
                <w:color w:val="000000"/>
                <w:sz w:val="16"/>
                <w:szCs w:val="16"/>
                <w:vertAlign w:val="superscript"/>
              </w:rPr>
              <w:t>(a)</w:t>
            </w:r>
          </w:p>
        </w:tc>
        <w:tc>
          <w:tcPr>
            <w:tcW w:w="1150" w:type="dxa"/>
            <w:tcBorders>
              <w:top w:val="nil"/>
              <w:left w:val="nil"/>
              <w:bottom w:val="nil"/>
              <w:right w:val="nil"/>
            </w:tcBorders>
            <w:shd w:val="clear" w:color="000000" w:fill="FFFFFF"/>
            <w:noWrap/>
            <w:vAlign w:val="bottom"/>
            <w:hideMark/>
          </w:tcPr>
          <w:p w14:paraId="5E31DB9B" w14:textId="77777777" w:rsidR="00E576E2" w:rsidRPr="00022CF4" w:rsidRDefault="00E576E2" w:rsidP="00C95230">
            <w:pPr>
              <w:spacing w:after="0" w:line="240" w:lineRule="auto"/>
              <w:jc w:val="right"/>
              <w:rPr>
                <w:rFonts w:ascii="Arial" w:hAnsi="Arial" w:cs="Arial"/>
                <w:iCs/>
                <w:color w:val="000000"/>
                <w:sz w:val="16"/>
                <w:szCs w:val="16"/>
              </w:rPr>
            </w:pPr>
          </w:p>
        </w:tc>
        <w:tc>
          <w:tcPr>
            <w:tcW w:w="976" w:type="dxa"/>
            <w:tcBorders>
              <w:top w:val="nil"/>
              <w:left w:val="nil"/>
              <w:bottom w:val="nil"/>
              <w:right w:val="nil"/>
            </w:tcBorders>
            <w:shd w:val="clear" w:color="000000" w:fill="FFFFFF"/>
            <w:noWrap/>
            <w:vAlign w:val="bottom"/>
            <w:hideMark/>
          </w:tcPr>
          <w:p w14:paraId="39C2C0BF" w14:textId="77777777" w:rsidR="00E576E2" w:rsidRPr="00B91273" w:rsidRDefault="00E576E2" w:rsidP="00C95230">
            <w:pPr>
              <w:spacing w:after="0" w:line="240" w:lineRule="auto"/>
              <w:jc w:val="right"/>
              <w:rPr>
                <w:rFonts w:ascii="Arial" w:hAnsi="Arial" w:cs="Arial"/>
                <w:color w:val="000000"/>
                <w:sz w:val="16"/>
                <w:szCs w:val="16"/>
              </w:rPr>
            </w:pPr>
          </w:p>
        </w:tc>
        <w:tc>
          <w:tcPr>
            <w:tcW w:w="995" w:type="dxa"/>
            <w:tcBorders>
              <w:top w:val="nil"/>
              <w:left w:val="nil"/>
              <w:bottom w:val="nil"/>
              <w:right w:val="nil"/>
            </w:tcBorders>
            <w:shd w:val="clear" w:color="000000" w:fill="FFFFFF"/>
            <w:noWrap/>
            <w:vAlign w:val="bottom"/>
            <w:hideMark/>
          </w:tcPr>
          <w:p w14:paraId="7F692764" w14:textId="77777777" w:rsidR="00E576E2" w:rsidRPr="00B91273" w:rsidRDefault="00E576E2" w:rsidP="00C95230">
            <w:pPr>
              <w:spacing w:after="0" w:line="240" w:lineRule="auto"/>
              <w:jc w:val="right"/>
              <w:rPr>
                <w:rFonts w:ascii="Arial" w:hAnsi="Arial" w:cs="Arial"/>
                <w:color w:val="000000"/>
                <w:sz w:val="16"/>
                <w:szCs w:val="16"/>
              </w:rPr>
            </w:pPr>
          </w:p>
        </w:tc>
        <w:tc>
          <w:tcPr>
            <w:tcW w:w="1013" w:type="dxa"/>
            <w:tcBorders>
              <w:top w:val="nil"/>
              <w:left w:val="nil"/>
              <w:bottom w:val="nil"/>
              <w:right w:val="nil"/>
            </w:tcBorders>
            <w:shd w:val="clear" w:color="000000" w:fill="E6E6E6"/>
            <w:noWrap/>
            <w:vAlign w:val="bottom"/>
            <w:hideMark/>
          </w:tcPr>
          <w:p w14:paraId="00191687" w14:textId="77777777" w:rsidR="00E576E2" w:rsidRPr="00B91273" w:rsidRDefault="00E576E2" w:rsidP="00C95230">
            <w:pPr>
              <w:spacing w:after="0" w:line="240" w:lineRule="auto"/>
              <w:jc w:val="right"/>
              <w:rPr>
                <w:rFonts w:ascii="Arial" w:hAnsi="Arial" w:cs="Arial"/>
                <w:color w:val="000000"/>
                <w:sz w:val="16"/>
                <w:szCs w:val="16"/>
              </w:rPr>
            </w:pPr>
          </w:p>
        </w:tc>
      </w:tr>
      <w:tr w:rsidR="00E576E2" w:rsidRPr="005F6DCA" w14:paraId="52A62B2D" w14:textId="77777777" w:rsidTr="00C95230">
        <w:trPr>
          <w:trHeight w:val="204"/>
        </w:trPr>
        <w:tc>
          <w:tcPr>
            <w:tcW w:w="3402" w:type="dxa"/>
            <w:tcBorders>
              <w:top w:val="nil"/>
              <w:left w:val="nil"/>
              <w:bottom w:val="nil"/>
              <w:right w:val="nil"/>
            </w:tcBorders>
            <w:shd w:val="clear" w:color="000000" w:fill="FFFFFF"/>
            <w:vAlign w:val="bottom"/>
            <w:hideMark/>
          </w:tcPr>
          <w:p w14:paraId="59CC197A" w14:textId="77777777" w:rsidR="00E576E2" w:rsidRPr="00B91273" w:rsidRDefault="00E576E2" w:rsidP="00C95230">
            <w:pPr>
              <w:spacing w:after="0" w:line="240" w:lineRule="auto"/>
              <w:ind w:left="113"/>
              <w:jc w:val="left"/>
              <w:rPr>
                <w:rFonts w:ascii="Arial" w:hAnsi="Arial" w:cs="Arial"/>
                <w:color w:val="000000"/>
                <w:sz w:val="16"/>
                <w:szCs w:val="16"/>
              </w:rPr>
            </w:pPr>
            <w:r w:rsidRPr="00B91273">
              <w:rPr>
                <w:rFonts w:ascii="Arial" w:hAnsi="Arial" w:cs="Arial"/>
                <w:color w:val="000000"/>
                <w:sz w:val="16"/>
                <w:szCs w:val="16"/>
              </w:rPr>
              <w:t>Outcome 1</w:t>
            </w:r>
          </w:p>
        </w:tc>
        <w:tc>
          <w:tcPr>
            <w:tcW w:w="1150" w:type="dxa"/>
            <w:tcBorders>
              <w:top w:val="nil"/>
              <w:left w:val="nil"/>
              <w:bottom w:val="nil"/>
              <w:right w:val="nil"/>
            </w:tcBorders>
            <w:shd w:val="clear" w:color="000000" w:fill="FFFFFF"/>
            <w:noWrap/>
            <w:vAlign w:val="bottom"/>
            <w:hideMark/>
          </w:tcPr>
          <w:p w14:paraId="05FA30DF" w14:textId="77777777" w:rsidR="00E576E2" w:rsidRPr="00022CF4" w:rsidRDefault="00E576E2" w:rsidP="00C95230">
            <w:pPr>
              <w:spacing w:after="0" w:line="240" w:lineRule="auto"/>
              <w:jc w:val="right"/>
              <w:rPr>
                <w:rFonts w:ascii="Arial" w:hAnsi="Arial" w:cs="Arial"/>
                <w:iCs/>
                <w:color w:val="000000"/>
                <w:sz w:val="16"/>
                <w:szCs w:val="16"/>
              </w:rPr>
            </w:pPr>
            <w:r w:rsidRPr="00022CF4">
              <w:rPr>
                <w:rFonts w:ascii="Arial" w:hAnsi="Arial" w:cs="Arial"/>
                <w:iCs/>
                <w:color w:val="000000"/>
                <w:sz w:val="16"/>
                <w:szCs w:val="16"/>
              </w:rPr>
              <w:t>3,629</w:t>
            </w:r>
          </w:p>
        </w:tc>
        <w:tc>
          <w:tcPr>
            <w:tcW w:w="976" w:type="dxa"/>
            <w:tcBorders>
              <w:top w:val="nil"/>
              <w:left w:val="nil"/>
              <w:bottom w:val="nil"/>
              <w:right w:val="nil"/>
            </w:tcBorders>
            <w:shd w:val="clear" w:color="000000" w:fill="FFFFFF"/>
            <w:noWrap/>
            <w:vAlign w:val="bottom"/>
            <w:hideMark/>
          </w:tcPr>
          <w:p w14:paraId="6A317C6D"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3,603</w:t>
            </w:r>
          </w:p>
        </w:tc>
        <w:tc>
          <w:tcPr>
            <w:tcW w:w="995" w:type="dxa"/>
            <w:tcBorders>
              <w:top w:val="nil"/>
              <w:left w:val="nil"/>
              <w:bottom w:val="nil"/>
              <w:right w:val="nil"/>
            </w:tcBorders>
            <w:shd w:val="clear" w:color="000000" w:fill="FFFFFF"/>
            <w:noWrap/>
            <w:vAlign w:val="bottom"/>
            <w:hideMark/>
          </w:tcPr>
          <w:p w14:paraId="077F6241"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861</w:t>
            </w:r>
          </w:p>
        </w:tc>
        <w:tc>
          <w:tcPr>
            <w:tcW w:w="1013" w:type="dxa"/>
            <w:tcBorders>
              <w:top w:val="nil"/>
              <w:left w:val="nil"/>
              <w:bottom w:val="nil"/>
              <w:right w:val="nil"/>
            </w:tcBorders>
            <w:shd w:val="clear" w:color="000000" w:fill="E6E6E6"/>
            <w:noWrap/>
            <w:vAlign w:val="bottom"/>
            <w:hideMark/>
          </w:tcPr>
          <w:p w14:paraId="3CE9065E"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4,464</w:t>
            </w:r>
          </w:p>
        </w:tc>
      </w:tr>
      <w:tr w:rsidR="00E576E2" w:rsidRPr="005F6DCA" w14:paraId="051EA14A" w14:textId="77777777" w:rsidTr="00C95230">
        <w:trPr>
          <w:trHeight w:val="204"/>
        </w:trPr>
        <w:tc>
          <w:tcPr>
            <w:tcW w:w="3402" w:type="dxa"/>
            <w:tcBorders>
              <w:top w:val="nil"/>
              <w:left w:val="nil"/>
              <w:bottom w:val="nil"/>
              <w:right w:val="nil"/>
            </w:tcBorders>
            <w:shd w:val="clear" w:color="000000" w:fill="FFFFFF"/>
            <w:vAlign w:val="bottom"/>
            <w:hideMark/>
          </w:tcPr>
          <w:p w14:paraId="4BD32DD2" w14:textId="77777777" w:rsidR="00E576E2" w:rsidRPr="00B91273" w:rsidRDefault="00E576E2" w:rsidP="00C95230">
            <w:pPr>
              <w:spacing w:after="0" w:line="240" w:lineRule="auto"/>
              <w:jc w:val="left"/>
              <w:rPr>
                <w:rFonts w:ascii="Arial" w:hAnsi="Arial" w:cs="Arial"/>
                <w:color w:val="000000"/>
                <w:sz w:val="16"/>
                <w:szCs w:val="16"/>
              </w:rPr>
            </w:pPr>
            <w:r w:rsidRPr="00B91273">
              <w:rPr>
                <w:rFonts w:ascii="Arial" w:hAnsi="Arial" w:cs="Arial"/>
                <w:color w:val="000000"/>
                <w:sz w:val="16"/>
                <w:szCs w:val="16"/>
              </w:rPr>
              <w:t>Total annual appropriations</w:t>
            </w:r>
          </w:p>
        </w:tc>
        <w:tc>
          <w:tcPr>
            <w:tcW w:w="1150" w:type="dxa"/>
            <w:tcBorders>
              <w:top w:val="single" w:sz="4" w:space="0" w:color="auto"/>
              <w:left w:val="nil"/>
              <w:bottom w:val="single" w:sz="4" w:space="0" w:color="auto"/>
              <w:right w:val="nil"/>
            </w:tcBorders>
            <w:shd w:val="clear" w:color="000000" w:fill="FFFFFF"/>
            <w:noWrap/>
            <w:vAlign w:val="bottom"/>
            <w:hideMark/>
          </w:tcPr>
          <w:p w14:paraId="7F91AE46" w14:textId="77777777" w:rsidR="00E576E2" w:rsidRPr="00022CF4" w:rsidRDefault="00E576E2" w:rsidP="00C95230">
            <w:pPr>
              <w:spacing w:after="0" w:line="240" w:lineRule="auto"/>
              <w:jc w:val="right"/>
              <w:rPr>
                <w:rFonts w:ascii="Arial" w:hAnsi="Arial" w:cs="Arial"/>
                <w:iCs/>
                <w:color w:val="000000"/>
                <w:sz w:val="16"/>
                <w:szCs w:val="16"/>
              </w:rPr>
            </w:pPr>
            <w:r w:rsidRPr="00022CF4">
              <w:rPr>
                <w:rFonts w:ascii="Arial" w:hAnsi="Arial" w:cs="Arial"/>
                <w:iCs/>
                <w:color w:val="000000"/>
                <w:sz w:val="16"/>
                <w:szCs w:val="16"/>
              </w:rPr>
              <w:t>3,629</w:t>
            </w:r>
          </w:p>
        </w:tc>
        <w:tc>
          <w:tcPr>
            <w:tcW w:w="976" w:type="dxa"/>
            <w:tcBorders>
              <w:top w:val="single" w:sz="4" w:space="0" w:color="auto"/>
              <w:left w:val="nil"/>
              <w:bottom w:val="single" w:sz="4" w:space="0" w:color="auto"/>
              <w:right w:val="nil"/>
            </w:tcBorders>
            <w:shd w:val="clear" w:color="000000" w:fill="FFFFFF"/>
            <w:noWrap/>
            <w:vAlign w:val="bottom"/>
            <w:hideMark/>
          </w:tcPr>
          <w:p w14:paraId="12D79D3B"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3,603</w:t>
            </w:r>
          </w:p>
        </w:tc>
        <w:tc>
          <w:tcPr>
            <w:tcW w:w="995" w:type="dxa"/>
            <w:tcBorders>
              <w:top w:val="single" w:sz="4" w:space="0" w:color="auto"/>
              <w:left w:val="nil"/>
              <w:bottom w:val="single" w:sz="4" w:space="0" w:color="auto"/>
              <w:right w:val="nil"/>
            </w:tcBorders>
            <w:shd w:val="clear" w:color="000000" w:fill="FFFFFF"/>
            <w:noWrap/>
            <w:vAlign w:val="bottom"/>
            <w:hideMark/>
          </w:tcPr>
          <w:p w14:paraId="74B7A630"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861</w:t>
            </w:r>
          </w:p>
        </w:tc>
        <w:tc>
          <w:tcPr>
            <w:tcW w:w="1013" w:type="dxa"/>
            <w:tcBorders>
              <w:top w:val="single" w:sz="4" w:space="0" w:color="auto"/>
              <w:left w:val="nil"/>
              <w:bottom w:val="single" w:sz="4" w:space="0" w:color="auto"/>
              <w:right w:val="nil"/>
            </w:tcBorders>
            <w:shd w:val="clear" w:color="000000" w:fill="E6E6E6"/>
            <w:noWrap/>
            <w:vAlign w:val="bottom"/>
            <w:hideMark/>
          </w:tcPr>
          <w:p w14:paraId="446F83C3" w14:textId="77777777" w:rsidR="00E576E2" w:rsidRPr="00B91273" w:rsidRDefault="00E576E2" w:rsidP="00C95230">
            <w:pPr>
              <w:spacing w:after="0" w:line="240" w:lineRule="auto"/>
              <w:jc w:val="right"/>
              <w:rPr>
                <w:rFonts w:ascii="Arial" w:hAnsi="Arial" w:cs="Arial"/>
                <w:i/>
                <w:iCs/>
                <w:color w:val="000000"/>
                <w:sz w:val="16"/>
                <w:szCs w:val="16"/>
              </w:rPr>
            </w:pPr>
            <w:r w:rsidRPr="00B91273">
              <w:rPr>
                <w:rFonts w:ascii="Arial" w:hAnsi="Arial" w:cs="Arial"/>
                <w:i/>
                <w:iCs/>
                <w:color w:val="000000"/>
                <w:sz w:val="16"/>
                <w:szCs w:val="16"/>
              </w:rPr>
              <w:t>4,464</w:t>
            </w:r>
          </w:p>
        </w:tc>
      </w:tr>
      <w:tr w:rsidR="00E576E2" w:rsidRPr="005F6DCA" w14:paraId="4A77A51D" w14:textId="77777777" w:rsidTr="00C95230">
        <w:trPr>
          <w:trHeight w:val="204"/>
        </w:trPr>
        <w:tc>
          <w:tcPr>
            <w:tcW w:w="3402" w:type="dxa"/>
            <w:tcBorders>
              <w:top w:val="nil"/>
              <w:left w:val="nil"/>
              <w:bottom w:val="nil"/>
              <w:right w:val="nil"/>
            </w:tcBorders>
            <w:shd w:val="clear" w:color="000000" w:fill="FFFFFF"/>
            <w:vAlign w:val="bottom"/>
            <w:hideMark/>
          </w:tcPr>
          <w:p w14:paraId="031E585F" w14:textId="77777777" w:rsidR="00E576E2" w:rsidRPr="00B91273" w:rsidRDefault="00E576E2" w:rsidP="00C95230">
            <w:pPr>
              <w:spacing w:after="0" w:line="240" w:lineRule="auto"/>
              <w:jc w:val="left"/>
              <w:rPr>
                <w:rFonts w:ascii="Arial" w:hAnsi="Arial" w:cs="Arial"/>
                <w:b/>
                <w:bCs/>
                <w:color w:val="000000"/>
                <w:sz w:val="16"/>
                <w:szCs w:val="16"/>
              </w:rPr>
            </w:pPr>
            <w:r w:rsidRPr="00B91273">
              <w:rPr>
                <w:rFonts w:ascii="Arial" w:hAnsi="Arial" w:cs="Arial"/>
                <w:b/>
                <w:bCs/>
                <w:color w:val="000000"/>
                <w:sz w:val="16"/>
                <w:szCs w:val="16"/>
              </w:rPr>
              <w:t>Total funds from Government</w:t>
            </w:r>
          </w:p>
        </w:tc>
        <w:tc>
          <w:tcPr>
            <w:tcW w:w="1150" w:type="dxa"/>
            <w:tcBorders>
              <w:top w:val="single" w:sz="4" w:space="0" w:color="auto"/>
              <w:left w:val="nil"/>
              <w:bottom w:val="single" w:sz="4" w:space="0" w:color="auto"/>
              <w:right w:val="nil"/>
            </w:tcBorders>
            <w:shd w:val="clear" w:color="000000" w:fill="FFFFFF"/>
            <w:noWrap/>
            <w:vAlign w:val="bottom"/>
            <w:hideMark/>
          </w:tcPr>
          <w:p w14:paraId="3E30E8BD" w14:textId="77777777" w:rsidR="00E576E2" w:rsidRPr="00022CF4" w:rsidRDefault="00E576E2" w:rsidP="00C95230">
            <w:pPr>
              <w:spacing w:after="0" w:line="240" w:lineRule="auto"/>
              <w:jc w:val="right"/>
              <w:rPr>
                <w:rFonts w:ascii="Arial" w:hAnsi="Arial" w:cs="Arial"/>
                <w:b/>
                <w:bCs/>
                <w:iCs/>
                <w:color w:val="000000"/>
                <w:sz w:val="16"/>
                <w:szCs w:val="16"/>
              </w:rPr>
            </w:pPr>
            <w:r w:rsidRPr="00022CF4">
              <w:rPr>
                <w:rFonts w:ascii="Arial" w:hAnsi="Arial" w:cs="Arial"/>
                <w:b/>
                <w:bCs/>
                <w:iCs/>
                <w:color w:val="000000"/>
                <w:sz w:val="16"/>
                <w:szCs w:val="16"/>
              </w:rPr>
              <w:t>3,629</w:t>
            </w:r>
          </w:p>
        </w:tc>
        <w:tc>
          <w:tcPr>
            <w:tcW w:w="976" w:type="dxa"/>
            <w:tcBorders>
              <w:top w:val="single" w:sz="4" w:space="0" w:color="auto"/>
              <w:left w:val="nil"/>
              <w:bottom w:val="single" w:sz="4" w:space="0" w:color="auto"/>
              <w:right w:val="nil"/>
            </w:tcBorders>
            <w:shd w:val="clear" w:color="000000" w:fill="FFFFFF"/>
            <w:noWrap/>
            <w:vAlign w:val="bottom"/>
            <w:hideMark/>
          </w:tcPr>
          <w:p w14:paraId="755D654A" w14:textId="77777777" w:rsidR="00E576E2" w:rsidRPr="00B91273" w:rsidRDefault="00E576E2" w:rsidP="00C95230">
            <w:pPr>
              <w:spacing w:after="0" w:line="240" w:lineRule="auto"/>
              <w:jc w:val="right"/>
              <w:rPr>
                <w:rFonts w:ascii="Arial" w:hAnsi="Arial" w:cs="Arial"/>
                <w:b/>
                <w:bCs/>
                <w:color w:val="000000"/>
                <w:sz w:val="16"/>
                <w:szCs w:val="16"/>
              </w:rPr>
            </w:pPr>
            <w:r w:rsidRPr="00B91273">
              <w:rPr>
                <w:rFonts w:ascii="Arial" w:hAnsi="Arial" w:cs="Arial"/>
                <w:b/>
                <w:bCs/>
                <w:color w:val="000000"/>
                <w:sz w:val="16"/>
                <w:szCs w:val="16"/>
              </w:rPr>
              <w:t>3,603</w:t>
            </w:r>
          </w:p>
        </w:tc>
        <w:tc>
          <w:tcPr>
            <w:tcW w:w="995" w:type="dxa"/>
            <w:tcBorders>
              <w:top w:val="single" w:sz="4" w:space="0" w:color="auto"/>
              <w:left w:val="nil"/>
              <w:bottom w:val="single" w:sz="4" w:space="0" w:color="auto"/>
              <w:right w:val="nil"/>
            </w:tcBorders>
            <w:shd w:val="clear" w:color="000000" w:fill="FFFFFF"/>
            <w:noWrap/>
            <w:vAlign w:val="bottom"/>
            <w:hideMark/>
          </w:tcPr>
          <w:p w14:paraId="1B03B56E" w14:textId="77777777" w:rsidR="00E576E2" w:rsidRPr="00B91273" w:rsidRDefault="00E576E2" w:rsidP="00C95230">
            <w:pPr>
              <w:spacing w:after="0" w:line="240" w:lineRule="auto"/>
              <w:jc w:val="right"/>
              <w:rPr>
                <w:rFonts w:ascii="Arial" w:hAnsi="Arial" w:cs="Arial"/>
                <w:b/>
                <w:bCs/>
                <w:color w:val="000000"/>
                <w:sz w:val="16"/>
                <w:szCs w:val="16"/>
              </w:rPr>
            </w:pPr>
            <w:r w:rsidRPr="00B91273">
              <w:rPr>
                <w:rFonts w:ascii="Arial" w:hAnsi="Arial" w:cs="Arial"/>
                <w:b/>
                <w:bCs/>
                <w:color w:val="000000"/>
                <w:sz w:val="16"/>
                <w:szCs w:val="16"/>
              </w:rPr>
              <w:t>861</w:t>
            </w:r>
          </w:p>
        </w:tc>
        <w:tc>
          <w:tcPr>
            <w:tcW w:w="1013" w:type="dxa"/>
            <w:tcBorders>
              <w:top w:val="single" w:sz="4" w:space="0" w:color="auto"/>
              <w:left w:val="nil"/>
              <w:bottom w:val="single" w:sz="4" w:space="0" w:color="auto"/>
              <w:right w:val="nil"/>
            </w:tcBorders>
            <w:shd w:val="clear" w:color="000000" w:fill="E6E6E6"/>
            <w:noWrap/>
            <w:vAlign w:val="bottom"/>
            <w:hideMark/>
          </w:tcPr>
          <w:p w14:paraId="78540603" w14:textId="77777777" w:rsidR="00E576E2" w:rsidRPr="00B91273" w:rsidRDefault="00E576E2" w:rsidP="00C95230">
            <w:pPr>
              <w:spacing w:after="0" w:line="240" w:lineRule="auto"/>
              <w:jc w:val="right"/>
              <w:rPr>
                <w:rFonts w:ascii="Arial" w:hAnsi="Arial" w:cs="Arial"/>
                <w:b/>
                <w:bCs/>
                <w:color w:val="000000"/>
                <w:sz w:val="16"/>
                <w:szCs w:val="16"/>
              </w:rPr>
            </w:pPr>
            <w:r w:rsidRPr="00B91273">
              <w:rPr>
                <w:rFonts w:ascii="Arial" w:hAnsi="Arial" w:cs="Arial"/>
                <w:b/>
                <w:bCs/>
                <w:color w:val="000000"/>
                <w:sz w:val="16"/>
                <w:szCs w:val="16"/>
              </w:rPr>
              <w:t>4,464</w:t>
            </w:r>
          </w:p>
        </w:tc>
      </w:tr>
      <w:tr w:rsidR="00E576E2" w:rsidRPr="005F6DCA" w14:paraId="510D26AA" w14:textId="77777777" w:rsidTr="00C95230">
        <w:trPr>
          <w:trHeight w:val="204"/>
        </w:trPr>
        <w:tc>
          <w:tcPr>
            <w:tcW w:w="3402" w:type="dxa"/>
            <w:tcBorders>
              <w:top w:val="nil"/>
              <w:left w:val="nil"/>
              <w:bottom w:val="nil"/>
              <w:right w:val="nil"/>
            </w:tcBorders>
            <w:shd w:val="clear" w:color="000000" w:fill="FFFFFF"/>
            <w:vAlign w:val="bottom"/>
            <w:hideMark/>
          </w:tcPr>
          <w:p w14:paraId="6B062578" w14:textId="77777777" w:rsidR="00E576E2" w:rsidRPr="00B91273" w:rsidRDefault="00E576E2" w:rsidP="00C95230">
            <w:pPr>
              <w:spacing w:after="0" w:line="240" w:lineRule="auto"/>
              <w:jc w:val="left"/>
              <w:rPr>
                <w:rFonts w:ascii="Arial" w:hAnsi="Arial" w:cs="Arial"/>
                <w:b/>
                <w:bCs/>
                <w:color w:val="000000"/>
                <w:sz w:val="16"/>
                <w:szCs w:val="16"/>
              </w:rPr>
            </w:pPr>
            <w:r w:rsidRPr="00B91273">
              <w:rPr>
                <w:rFonts w:ascii="Arial" w:hAnsi="Arial" w:cs="Arial"/>
                <w:b/>
                <w:bCs/>
                <w:color w:val="000000"/>
                <w:sz w:val="16"/>
                <w:szCs w:val="16"/>
              </w:rPr>
              <w:t>Funds from other sources</w:t>
            </w:r>
          </w:p>
        </w:tc>
        <w:tc>
          <w:tcPr>
            <w:tcW w:w="1150" w:type="dxa"/>
            <w:tcBorders>
              <w:top w:val="nil"/>
              <w:left w:val="nil"/>
              <w:bottom w:val="nil"/>
              <w:right w:val="nil"/>
            </w:tcBorders>
            <w:shd w:val="clear" w:color="000000" w:fill="FFFFFF"/>
            <w:noWrap/>
            <w:vAlign w:val="bottom"/>
            <w:hideMark/>
          </w:tcPr>
          <w:p w14:paraId="65D867EC" w14:textId="77777777" w:rsidR="00E576E2" w:rsidRPr="00022CF4" w:rsidRDefault="00E576E2" w:rsidP="00C95230">
            <w:pPr>
              <w:spacing w:after="0" w:line="240" w:lineRule="auto"/>
              <w:jc w:val="right"/>
              <w:rPr>
                <w:rFonts w:ascii="Arial" w:hAnsi="Arial" w:cs="Arial"/>
                <w:iCs/>
                <w:color w:val="000000"/>
                <w:sz w:val="16"/>
                <w:szCs w:val="16"/>
              </w:rPr>
            </w:pPr>
          </w:p>
        </w:tc>
        <w:tc>
          <w:tcPr>
            <w:tcW w:w="976" w:type="dxa"/>
            <w:tcBorders>
              <w:top w:val="nil"/>
              <w:left w:val="nil"/>
              <w:bottom w:val="nil"/>
              <w:right w:val="nil"/>
            </w:tcBorders>
            <w:shd w:val="clear" w:color="000000" w:fill="FFFFFF"/>
            <w:noWrap/>
            <w:vAlign w:val="bottom"/>
            <w:hideMark/>
          </w:tcPr>
          <w:p w14:paraId="3A17C857" w14:textId="77777777" w:rsidR="00E576E2" w:rsidRPr="00B91273" w:rsidRDefault="00E576E2" w:rsidP="00C95230">
            <w:pPr>
              <w:spacing w:after="0" w:line="240" w:lineRule="auto"/>
              <w:jc w:val="right"/>
              <w:rPr>
                <w:rFonts w:ascii="Arial" w:hAnsi="Arial" w:cs="Arial"/>
                <w:color w:val="000000"/>
                <w:sz w:val="16"/>
                <w:szCs w:val="16"/>
              </w:rPr>
            </w:pPr>
          </w:p>
        </w:tc>
        <w:tc>
          <w:tcPr>
            <w:tcW w:w="995" w:type="dxa"/>
            <w:tcBorders>
              <w:top w:val="nil"/>
              <w:left w:val="nil"/>
              <w:bottom w:val="nil"/>
              <w:right w:val="nil"/>
            </w:tcBorders>
            <w:shd w:val="clear" w:color="000000" w:fill="FFFFFF"/>
            <w:noWrap/>
            <w:vAlign w:val="bottom"/>
            <w:hideMark/>
          </w:tcPr>
          <w:p w14:paraId="3D6D71E5" w14:textId="77777777" w:rsidR="00E576E2" w:rsidRPr="00B91273" w:rsidRDefault="00E576E2" w:rsidP="00C95230">
            <w:pPr>
              <w:spacing w:after="0" w:line="240" w:lineRule="auto"/>
              <w:jc w:val="right"/>
              <w:rPr>
                <w:rFonts w:ascii="Arial" w:hAnsi="Arial" w:cs="Arial"/>
                <w:color w:val="000000"/>
                <w:sz w:val="16"/>
                <w:szCs w:val="16"/>
              </w:rPr>
            </w:pPr>
          </w:p>
        </w:tc>
        <w:tc>
          <w:tcPr>
            <w:tcW w:w="1013" w:type="dxa"/>
            <w:tcBorders>
              <w:top w:val="nil"/>
              <w:left w:val="nil"/>
              <w:bottom w:val="nil"/>
              <w:right w:val="nil"/>
            </w:tcBorders>
            <w:shd w:val="clear" w:color="000000" w:fill="E6E6E6"/>
            <w:noWrap/>
            <w:vAlign w:val="bottom"/>
            <w:hideMark/>
          </w:tcPr>
          <w:p w14:paraId="2AB73230" w14:textId="77777777" w:rsidR="00E576E2" w:rsidRPr="00B91273" w:rsidRDefault="00E576E2" w:rsidP="00C95230">
            <w:pPr>
              <w:spacing w:after="0" w:line="240" w:lineRule="auto"/>
              <w:jc w:val="right"/>
              <w:rPr>
                <w:rFonts w:ascii="Arial" w:hAnsi="Arial" w:cs="Arial"/>
                <w:color w:val="000000"/>
                <w:sz w:val="16"/>
                <w:szCs w:val="16"/>
              </w:rPr>
            </w:pPr>
          </w:p>
        </w:tc>
      </w:tr>
      <w:tr w:rsidR="00E576E2" w:rsidRPr="005F6DCA" w14:paraId="3A93B734" w14:textId="77777777" w:rsidTr="00C95230">
        <w:trPr>
          <w:trHeight w:val="204"/>
        </w:trPr>
        <w:tc>
          <w:tcPr>
            <w:tcW w:w="3402" w:type="dxa"/>
            <w:tcBorders>
              <w:top w:val="nil"/>
              <w:left w:val="nil"/>
              <w:bottom w:val="nil"/>
              <w:right w:val="nil"/>
            </w:tcBorders>
            <w:shd w:val="clear" w:color="000000" w:fill="FFFFFF"/>
            <w:vAlign w:val="bottom"/>
            <w:hideMark/>
          </w:tcPr>
          <w:p w14:paraId="00912FB0" w14:textId="77777777" w:rsidR="00E576E2" w:rsidRPr="00B91273" w:rsidRDefault="00E576E2" w:rsidP="00C95230">
            <w:pPr>
              <w:spacing w:after="0" w:line="240" w:lineRule="auto"/>
              <w:ind w:left="113"/>
              <w:jc w:val="left"/>
              <w:rPr>
                <w:rFonts w:ascii="Arial" w:hAnsi="Arial" w:cs="Arial"/>
                <w:color w:val="000000"/>
                <w:sz w:val="16"/>
                <w:szCs w:val="16"/>
              </w:rPr>
            </w:pPr>
            <w:r w:rsidRPr="00B91273">
              <w:rPr>
                <w:rFonts w:ascii="Arial" w:hAnsi="Arial" w:cs="Arial"/>
                <w:color w:val="000000"/>
                <w:sz w:val="16"/>
                <w:szCs w:val="16"/>
              </w:rPr>
              <w:t>Interest</w:t>
            </w:r>
          </w:p>
        </w:tc>
        <w:tc>
          <w:tcPr>
            <w:tcW w:w="1150" w:type="dxa"/>
            <w:tcBorders>
              <w:top w:val="nil"/>
              <w:left w:val="nil"/>
              <w:bottom w:val="nil"/>
              <w:right w:val="nil"/>
            </w:tcBorders>
            <w:shd w:val="clear" w:color="000000" w:fill="FFFFFF"/>
            <w:noWrap/>
            <w:vAlign w:val="bottom"/>
            <w:hideMark/>
          </w:tcPr>
          <w:p w14:paraId="5CDF23F0" w14:textId="77777777" w:rsidR="00E576E2" w:rsidRPr="00022CF4" w:rsidRDefault="00E576E2" w:rsidP="00C95230">
            <w:pPr>
              <w:spacing w:after="0" w:line="240" w:lineRule="auto"/>
              <w:jc w:val="right"/>
              <w:rPr>
                <w:rFonts w:ascii="Arial" w:hAnsi="Arial" w:cs="Arial"/>
                <w:iCs/>
                <w:color w:val="000000"/>
                <w:sz w:val="16"/>
                <w:szCs w:val="16"/>
              </w:rPr>
            </w:pPr>
            <w:r w:rsidRPr="00022CF4">
              <w:rPr>
                <w:rFonts w:ascii="Arial" w:hAnsi="Arial" w:cs="Arial"/>
                <w:iCs/>
                <w:color w:val="000000"/>
                <w:sz w:val="16"/>
                <w:szCs w:val="16"/>
              </w:rPr>
              <w:t>1</w:t>
            </w:r>
          </w:p>
        </w:tc>
        <w:tc>
          <w:tcPr>
            <w:tcW w:w="976" w:type="dxa"/>
            <w:tcBorders>
              <w:top w:val="nil"/>
              <w:left w:val="nil"/>
              <w:bottom w:val="nil"/>
              <w:right w:val="nil"/>
            </w:tcBorders>
            <w:shd w:val="clear" w:color="000000" w:fill="FFFFFF"/>
            <w:noWrap/>
            <w:vAlign w:val="bottom"/>
            <w:hideMark/>
          </w:tcPr>
          <w:p w14:paraId="7772A672"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w:t>
            </w:r>
          </w:p>
        </w:tc>
        <w:tc>
          <w:tcPr>
            <w:tcW w:w="995" w:type="dxa"/>
            <w:tcBorders>
              <w:top w:val="nil"/>
              <w:left w:val="nil"/>
              <w:bottom w:val="nil"/>
              <w:right w:val="nil"/>
            </w:tcBorders>
            <w:shd w:val="clear" w:color="000000" w:fill="FFFFFF"/>
            <w:noWrap/>
            <w:vAlign w:val="bottom"/>
            <w:hideMark/>
          </w:tcPr>
          <w:p w14:paraId="04685D2D"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w:t>
            </w:r>
          </w:p>
        </w:tc>
        <w:tc>
          <w:tcPr>
            <w:tcW w:w="1013" w:type="dxa"/>
            <w:tcBorders>
              <w:top w:val="nil"/>
              <w:left w:val="nil"/>
              <w:bottom w:val="nil"/>
              <w:right w:val="nil"/>
            </w:tcBorders>
            <w:shd w:val="clear" w:color="000000" w:fill="E6E6E6"/>
            <w:noWrap/>
            <w:vAlign w:val="bottom"/>
            <w:hideMark/>
          </w:tcPr>
          <w:p w14:paraId="32CB4145"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w:t>
            </w:r>
          </w:p>
        </w:tc>
      </w:tr>
      <w:tr w:rsidR="00E576E2" w:rsidRPr="005F6DCA" w14:paraId="2787351A" w14:textId="77777777" w:rsidTr="00C95230">
        <w:trPr>
          <w:trHeight w:val="204"/>
        </w:trPr>
        <w:tc>
          <w:tcPr>
            <w:tcW w:w="3402" w:type="dxa"/>
            <w:tcBorders>
              <w:top w:val="nil"/>
              <w:left w:val="nil"/>
              <w:bottom w:val="nil"/>
              <w:right w:val="nil"/>
            </w:tcBorders>
            <w:shd w:val="clear" w:color="000000" w:fill="FFFFFF"/>
            <w:vAlign w:val="bottom"/>
            <w:hideMark/>
          </w:tcPr>
          <w:p w14:paraId="4FE81623" w14:textId="77777777" w:rsidR="00E576E2" w:rsidRPr="00B91273" w:rsidRDefault="00E576E2" w:rsidP="00C95230">
            <w:pPr>
              <w:spacing w:after="0" w:line="240" w:lineRule="auto"/>
              <w:ind w:left="113"/>
              <w:jc w:val="left"/>
              <w:rPr>
                <w:rFonts w:ascii="Arial" w:hAnsi="Arial" w:cs="Arial"/>
                <w:color w:val="000000"/>
                <w:sz w:val="16"/>
                <w:szCs w:val="16"/>
              </w:rPr>
            </w:pPr>
            <w:r w:rsidRPr="00B91273">
              <w:rPr>
                <w:rFonts w:ascii="Arial" w:hAnsi="Arial" w:cs="Arial"/>
                <w:color w:val="000000"/>
                <w:sz w:val="16"/>
                <w:szCs w:val="16"/>
              </w:rPr>
              <w:t>Sale of goods and services</w:t>
            </w:r>
          </w:p>
        </w:tc>
        <w:tc>
          <w:tcPr>
            <w:tcW w:w="1150" w:type="dxa"/>
            <w:tcBorders>
              <w:top w:val="nil"/>
              <w:left w:val="nil"/>
              <w:bottom w:val="nil"/>
              <w:right w:val="nil"/>
            </w:tcBorders>
            <w:shd w:val="clear" w:color="000000" w:fill="FFFFFF"/>
            <w:noWrap/>
            <w:vAlign w:val="bottom"/>
            <w:hideMark/>
          </w:tcPr>
          <w:p w14:paraId="15A62B29" w14:textId="77777777" w:rsidR="00E576E2" w:rsidRPr="00022CF4" w:rsidRDefault="00E576E2" w:rsidP="00C95230">
            <w:pPr>
              <w:spacing w:after="0" w:line="240" w:lineRule="auto"/>
              <w:jc w:val="right"/>
              <w:rPr>
                <w:rFonts w:ascii="Arial" w:hAnsi="Arial" w:cs="Arial"/>
                <w:iCs/>
                <w:color w:val="000000"/>
                <w:sz w:val="16"/>
                <w:szCs w:val="16"/>
              </w:rPr>
            </w:pPr>
            <w:r w:rsidRPr="00022CF4">
              <w:rPr>
                <w:rFonts w:ascii="Arial" w:hAnsi="Arial" w:cs="Arial"/>
                <w:iCs/>
                <w:color w:val="000000"/>
                <w:sz w:val="16"/>
                <w:szCs w:val="16"/>
              </w:rPr>
              <w:t>6,930</w:t>
            </w:r>
          </w:p>
        </w:tc>
        <w:tc>
          <w:tcPr>
            <w:tcW w:w="976" w:type="dxa"/>
            <w:tcBorders>
              <w:top w:val="nil"/>
              <w:left w:val="nil"/>
              <w:bottom w:val="nil"/>
              <w:right w:val="nil"/>
            </w:tcBorders>
            <w:shd w:val="clear" w:color="000000" w:fill="FFFFFF"/>
            <w:noWrap/>
            <w:vAlign w:val="bottom"/>
            <w:hideMark/>
          </w:tcPr>
          <w:p w14:paraId="22D293B2"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8,255</w:t>
            </w:r>
          </w:p>
        </w:tc>
        <w:tc>
          <w:tcPr>
            <w:tcW w:w="995" w:type="dxa"/>
            <w:tcBorders>
              <w:top w:val="nil"/>
              <w:left w:val="nil"/>
              <w:bottom w:val="nil"/>
              <w:right w:val="nil"/>
            </w:tcBorders>
            <w:shd w:val="clear" w:color="000000" w:fill="FFFFFF"/>
            <w:noWrap/>
            <w:vAlign w:val="bottom"/>
            <w:hideMark/>
          </w:tcPr>
          <w:p w14:paraId="0378D84D"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w:t>
            </w:r>
          </w:p>
        </w:tc>
        <w:tc>
          <w:tcPr>
            <w:tcW w:w="1013" w:type="dxa"/>
            <w:tcBorders>
              <w:top w:val="nil"/>
              <w:left w:val="nil"/>
              <w:bottom w:val="nil"/>
              <w:right w:val="nil"/>
            </w:tcBorders>
            <w:shd w:val="clear" w:color="000000" w:fill="E6E6E6"/>
            <w:noWrap/>
            <w:vAlign w:val="bottom"/>
            <w:hideMark/>
          </w:tcPr>
          <w:p w14:paraId="4E0EC422" w14:textId="77777777" w:rsidR="00E576E2" w:rsidRPr="00B91273" w:rsidRDefault="00E576E2" w:rsidP="00C95230">
            <w:pPr>
              <w:spacing w:after="0" w:line="240" w:lineRule="auto"/>
              <w:jc w:val="right"/>
              <w:rPr>
                <w:rFonts w:ascii="Arial" w:hAnsi="Arial" w:cs="Arial"/>
                <w:color w:val="000000"/>
                <w:sz w:val="16"/>
                <w:szCs w:val="16"/>
              </w:rPr>
            </w:pPr>
            <w:r w:rsidRPr="00B91273">
              <w:rPr>
                <w:rFonts w:ascii="Arial" w:hAnsi="Arial" w:cs="Arial"/>
                <w:color w:val="000000"/>
                <w:sz w:val="16"/>
                <w:szCs w:val="16"/>
              </w:rPr>
              <w:t>8,255</w:t>
            </w:r>
          </w:p>
        </w:tc>
      </w:tr>
      <w:tr w:rsidR="00E576E2" w:rsidRPr="005F6DCA" w14:paraId="67A3F1C4" w14:textId="77777777" w:rsidTr="00C95230">
        <w:trPr>
          <w:trHeight w:val="204"/>
        </w:trPr>
        <w:tc>
          <w:tcPr>
            <w:tcW w:w="3402" w:type="dxa"/>
            <w:tcBorders>
              <w:top w:val="nil"/>
              <w:left w:val="nil"/>
              <w:bottom w:val="nil"/>
              <w:right w:val="nil"/>
            </w:tcBorders>
            <w:shd w:val="clear" w:color="000000" w:fill="FFFFFF"/>
            <w:noWrap/>
            <w:vAlign w:val="bottom"/>
            <w:hideMark/>
          </w:tcPr>
          <w:p w14:paraId="090CFDBE" w14:textId="77777777" w:rsidR="00E576E2" w:rsidRPr="00B91273" w:rsidRDefault="00E576E2" w:rsidP="00C95230">
            <w:pPr>
              <w:spacing w:after="0" w:line="240" w:lineRule="auto"/>
              <w:jc w:val="left"/>
              <w:rPr>
                <w:rFonts w:ascii="Arial" w:hAnsi="Arial" w:cs="Arial"/>
                <w:b/>
                <w:bCs/>
                <w:color w:val="000000"/>
                <w:sz w:val="16"/>
                <w:szCs w:val="16"/>
              </w:rPr>
            </w:pPr>
            <w:r w:rsidRPr="00B91273">
              <w:rPr>
                <w:rFonts w:ascii="Arial" w:hAnsi="Arial" w:cs="Arial"/>
                <w:b/>
                <w:bCs/>
                <w:color w:val="000000"/>
                <w:sz w:val="16"/>
                <w:szCs w:val="16"/>
              </w:rPr>
              <w:t>Total funds from other sources</w:t>
            </w:r>
          </w:p>
        </w:tc>
        <w:tc>
          <w:tcPr>
            <w:tcW w:w="1150" w:type="dxa"/>
            <w:tcBorders>
              <w:top w:val="single" w:sz="4" w:space="0" w:color="auto"/>
              <w:left w:val="nil"/>
              <w:bottom w:val="single" w:sz="4" w:space="0" w:color="auto"/>
              <w:right w:val="nil"/>
            </w:tcBorders>
            <w:shd w:val="clear" w:color="000000" w:fill="FFFFFF"/>
            <w:noWrap/>
            <w:vAlign w:val="bottom"/>
            <w:hideMark/>
          </w:tcPr>
          <w:p w14:paraId="526F0696" w14:textId="77777777" w:rsidR="00E576E2" w:rsidRPr="00022CF4" w:rsidRDefault="00E576E2" w:rsidP="00C95230">
            <w:pPr>
              <w:spacing w:after="0" w:line="240" w:lineRule="auto"/>
              <w:jc w:val="right"/>
              <w:rPr>
                <w:rFonts w:ascii="Arial" w:hAnsi="Arial" w:cs="Arial"/>
                <w:b/>
                <w:bCs/>
                <w:iCs/>
                <w:color w:val="000000"/>
                <w:sz w:val="16"/>
                <w:szCs w:val="16"/>
              </w:rPr>
            </w:pPr>
            <w:r w:rsidRPr="00022CF4">
              <w:rPr>
                <w:rFonts w:ascii="Arial" w:hAnsi="Arial" w:cs="Arial"/>
                <w:b/>
                <w:bCs/>
                <w:iCs/>
                <w:color w:val="000000"/>
                <w:sz w:val="16"/>
                <w:szCs w:val="16"/>
              </w:rPr>
              <w:t>6,931</w:t>
            </w:r>
          </w:p>
        </w:tc>
        <w:tc>
          <w:tcPr>
            <w:tcW w:w="976" w:type="dxa"/>
            <w:tcBorders>
              <w:top w:val="single" w:sz="4" w:space="0" w:color="auto"/>
              <w:left w:val="nil"/>
              <w:bottom w:val="single" w:sz="4" w:space="0" w:color="auto"/>
              <w:right w:val="nil"/>
            </w:tcBorders>
            <w:shd w:val="clear" w:color="000000" w:fill="FFFFFF"/>
            <w:noWrap/>
            <w:vAlign w:val="bottom"/>
            <w:hideMark/>
          </w:tcPr>
          <w:p w14:paraId="085C9AE9" w14:textId="77777777" w:rsidR="00E576E2" w:rsidRPr="00B91273" w:rsidRDefault="00E576E2" w:rsidP="00C95230">
            <w:pPr>
              <w:spacing w:after="0" w:line="240" w:lineRule="auto"/>
              <w:jc w:val="right"/>
              <w:rPr>
                <w:rFonts w:ascii="Arial" w:hAnsi="Arial" w:cs="Arial"/>
                <w:b/>
                <w:bCs/>
                <w:color w:val="000000"/>
                <w:sz w:val="16"/>
                <w:szCs w:val="16"/>
              </w:rPr>
            </w:pPr>
            <w:r w:rsidRPr="00B91273">
              <w:rPr>
                <w:rFonts w:ascii="Arial" w:hAnsi="Arial" w:cs="Arial"/>
                <w:b/>
                <w:bCs/>
                <w:color w:val="000000"/>
                <w:sz w:val="16"/>
                <w:szCs w:val="16"/>
              </w:rPr>
              <w:t>8,255</w:t>
            </w:r>
          </w:p>
        </w:tc>
        <w:tc>
          <w:tcPr>
            <w:tcW w:w="995" w:type="dxa"/>
            <w:tcBorders>
              <w:top w:val="single" w:sz="4" w:space="0" w:color="auto"/>
              <w:left w:val="nil"/>
              <w:bottom w:val="single" w:sz="4" w:space="0" w:color="auto"/>
              <w:right w:val="nil"/>
            </w:tcBorders>
            <w:shd w:val="clear" w:color="000000" w:fill="FFFFFF"/>
            <w:noWrap/>
            <w:vAlign w:val="bottom"/>
            <w:hideMark/>
          </w:tcPr>
          <w:p w14:paraId="63AF9E21" w14:textId="77777777" w:rsidR="00E576E2" w:rsidRPr="00B91273" w:rsidRDefault="00E576E2" w:rsidP="00C95230">
            <w:pPr>
              <w:spacing w:after="0" w:line="240" w:lineRule="auto"/>
              <w:jc w:val="right"/>
              <w:rPr>
                <w:rFonts w:ascii="Arial" w:hAnsi="Arial" w:cs="Arial"/>
                <w:b/>
                <w:bCs/>
                <w:color w:val="000000"/>
                <w:sz w:val="16"/>
                <w:szCs w:val="16"/>
              </w:rPr>
            </w:pPr>
            <w:r w:rsidRPr="00B91273">
              <w:rPr>
                <w:rFonts w:ascii="Arial" w:hAnsi="Arial" w:cs="Arial"/>
                <w:b/>
                <w:bCs/>
                <w:color w:val="000000"/>
                <w:sz w:val="16"/>
                <w:szCs w:val="16"/>
              </w:rPr>
              <w:t>-</w:t>
            </w:r>
          </w:p>
        </w:tc>
        <w:tc>
          <w:tcPr>
            <w:tcW w:w="1013" w:type="dxa"/>
            <w:tcBorders>
              <w:top w:val="single" w:sz="4" w:space="0" w:color="auto"/>
              <w:left w:val="nil"/>
              <w:bottom w:val="single" w:sz="4" w:space="0" w:color="auto"/>
              <w:right w:val="nil"/>
            </w:tcBorders>
            <w:shd w:val="clear" w:color="000000" w:fill="E6E6E6"/>
            <w:noWrap/>
            <w:vAlign w:val="bottom"/>
            <w:hideMark/>
          </w:tcPr>
          <w:p w14:paraId="63524EBF" w14:textId="77777777" w:rsidR="00E576E2" w:rsidRPr="00B91273" w:rsidRDefault="00E576E2" w:rsidP="00C95230">
            <w:pPr>
              <w:spacing w:after="0" w:line="240" w:lineRule="auto"/>
              <w:jc w:val="right"/>
              <w:rPr>
                <w:rFonts w:ascii="Arial" w:hAnsi="Arial" w:cs="Arial"/>
                <w:b/>
                <w:bCs/>
                <w:color w:val="000000"/>
                <w:sz w:val="16"/>
                <w:szCs w:val="16"/>
              </w:rPr>
            </w:pPr>
            <w:r w:rsidRPr="00B91273">
              <w:rPr>
                <w:rFonts w:ascii="Arial" w:hAnsi="Arial" w:cs="Arial"/>
                <w:b/>
                <w:bCs/>
                <w:color w:val="000000"/>
                <w:sz w:val="16"/>
                <w:szCs w:val="16"/>
              </w:rPr>
              <w:t>8,255</w:t>
            </w:r>
          </w:p>
        </w:tc>
      </w:tr>
      <w:tr w:rsidR="00E576E2" w:rsidRPr="005F6DCA" w14:paraId="56F7D601" w14:textId="77777777" w:rsidTr="00C95230">
        <w:trPr>
          <w:trHeight w:val="204"/>
        </w:trPr>
        <w:tc>
          <w:tcPr>
            <w:tcW w:w="3402" w:type="dxa"/>
            <w:tcBorders>
              <w:top w:val="nil"/>
              <w:left w:val="nil"/>
              <w:bottom w:val="single" w:sz="4" w:space="0" w:color="auto"/>
              <w:right w:val="nil"/>
            </w:tcBorders>
            <w:shd w:val="clear" w:color="000000" w:fill="FFFFFF"/>
            <w:noWrap/>
            <w:vAlign w:val="bottom"/>
            <w:hideMark/>
          </w:tcPr>
          <w:p w14:paraId="177EDA20" w14:textId="77777777" w:rsidR="00E576E2" w:rsidRPr="00B91273" w:rsidRDefault="00E576E2" w:rsidP="00C95230">
            <w:pPr>
              <w:spacing w:after="0" w:line="240" w:lineRule="auto"/>
              <w:jc w:val="left"/>
              <w:rPr>
                <w:rFonts w:ascii="Arial" w:hAnsi="Arial" w:cs="Arial"/>
                <w:b/>
                <w:bCs/>
                <w:color w:val="000000"/>
                <w:sz w:val="16"/>
                <w:szCs w:val="16"/>
              </w:rPr>
            </w:pPr>
            <w:r w:rsidRPr="00B91273">
              <w:rPr>
                <w:rFonts w:ascii="Arial" w:hAnsi="Arial" w:cs="Arial"/>
                <w:b/>
                <w:bCs/>
                <w:color w:val="000000"/>
                <w:sz w:val="16"/>
                <w:szCs w:val="16"/>
              </w:rPr>
              <w:t>Total net resourcing for the NTC</w:t>
            </w:r>
          </w:p>
        </w:tc>
        <w:tc>
          <w:tcPr>
            <w:tcW w:w="1150" w:type="dxa"/>
            <w:tcBorders>
              <w:top w:val="single" w:sz="4" w:space="0" w:color="auto"/>
              <w:left w:val="nil"/>
              <w:bottom w:val="single" w:sz="4" w:space="0" w:color="auto"/>
              <w:right w:val="nil"/>
            </w:tcBorders>
            <w:shd w:val="clear" w:color="000000" w:fill="FFFFFF"/>
            <w:noWrap/>
            <w:vAlign w:val="bottom"/>
            <w:hideMark/>
          </w:tcPr>
          <w:p w14:paraId="7882C301" w14:textId="77777777" w:rsidR="00E576E2" w:rsidRPr="00022CF4" w:rsidRDefault="00E576E2" w:rsidP="00C95230">
            <w:pPr>
              <w:spacing w:after="0" w:line="240" w:lineRule="auto"/>
              <w:jc w:val="right"/>
              <w:rPr>
                <w:rFonts w:ascii="Arial" w:hAnsi="Arial" w:cs="Arial"/>
                <w:b/>
                <w:bCs/>
                <w:iCs/>
                <w:color w:val="000000"/>
                <w:sz w:val="16"/>
                <w:szCs w:val="16"/>
              </w:rPr>
            </w:pPr>
            <w:r w:rsidRPr="00022CF4">
              <w:rPr>
                <w:rFonts w:ascii="Arial" w:hAnsi="Arial" w:cs="Arial"/>
                <w:b/>
                <w:bCs/>
                <w:iCs/>
                <w:color w:val="000000"/>
                <w:sz w:val="16"/>
                <w:szCs w:val="16"/>
              </w:rPr>
              <w:t>13,066</w:t>
            </w:r>
          </w:p>
        </w:tc>
        <w:tc>
          <w:tcPr>
            <w:tcW w:w="976" w:type="dxa"/>
            <w:tcBorders>
              <w:top w:val="single" w:sz="4" w:space="0" w:color="auto"/>
              <w:left w:val="nil"/>
              <w:bottom w:val="single" w:sz="4" w:space="0" w:color="auto"/>
              <w:right w:val="nil"/>
            </w:tcBorders>
            <w:shd w:val="clear" w:color="000000" w:fill="FFFFFF"/>
            <w:noWrap/>
            <w:vAlign w:val="bottom"/>
            <w:hideMark/>
          </w:tcPr>
          <w:p w14:paraId="4B800535" w14:textId="77777777" w:rsidR="00E576E2" w:rsidRPr="00B91273" w:rsidRDefault="00E576E2" w:rsidP="00C95230">
            <w:pPr>
              <w:spacing w:after="0" w:line="240" w:lineRule="auto"/>
              <w:jc w:val="right"/>
              <w:rPr>
                <w:rFonts w:ascii="Arial" w:hAnsi="Arial" w:cs="Arial"/>
                <w:b/>
                <w:bCs/>
                <w:color w:val="000000"/>
                <w:sz w:val="16"/>
                <w:szCs w:val="16"/>
              </w:rPr>
            </w:pPr>
            <w:r w:rsidRPr="00B91273">
              <w:rPr>
                <w:rFonts w:ascii="Arial" w:hAnsi="Arial" w:cs="Arial"/>
                <w:b/>
                <w:bCs/>
                <w:color w:val="000000"/>
                <w:sz w:val="16"/>
                <w:szCs w:val="16"/>
              </w:rPr>
              <w:t>15,176</w:t>
            </w:r>
          </w:p>
        </w:tc>
        <w:tc>
          <w:tcPr>
            <w:tcW w:w="995" w:type="dxa"/>
            <w:tcBorders>
              <w:top w:val="single" w:sz="4" w:space="0" w:color="auto"/>
              <w:left w:val="nil"/>
              <w:bottom w:val="single" w:sz="4" w:space="0" w:color="auto"/>
              <w:right w:val="nil"/>
            </w:tcBorders>
            <w:shd w:val="clear" w:color="000000" w:fill="FFFFFF"/>
            <w:noWrap/>
            <w:vAlign w:val="bottom"/>
            <w:hideMark/>
          </w:tcPr>
          <w:p w14:paraId="0954A83C" w14:textId="77777777" w:rsidR="00E576E2" w:rsidRPr="00B91273" w:rsidRDefault="00E576E2" w:rsidP="00C95230">
            <w:pPr>
              <w:spacing w:after="0" w:line="240" w:lineRule="auto"/>
              <w:jc w:val="right"/>
              <w:rPr>
                <w:rFonts w:ascii="Arial" w:hAnsi="Arial" w:cs="Arial"/>
                <w:b/>
                <w:bCs/>
                <w:color w:val="000000"/>
                <w:sz w:val="16"/>
                <w:szCs w:val="16"/>
              </w:rPr>
            </w:pPr>
            <w:r w:rsidRPr="00B91273">
              <w:rPr>
                <w:rFonts w:ascii="Arial" w:hAnsi="Arial" w:cs="Arial"/>
                <w:b/>
                <w:bCs/>
                <w:color w:val="000000"/>
                <w:sz w:val="16"/>
                <w:szCs w:val="16"/>
              </w:rPr>
              <w:t>861</w:t>
            </w:r>
          </w:p>
        </w:tc>
        <w:tc>
          <w:tcPr>
            <w:tcW w:w="1013" w:type="dxa"/>
            <w:tcBorders>
              <w:top w:val="single" w:sz="4" w:space="0" w:color="auto"/>
              <w:left w:val="nil"/>
              <w:bottom w:val="single" w:sz="4" w:space="0" w:color="auto"/>
              <w:right w:val="nil"/>
            </w:tcBorders>
            <w:shd w:val="clear" w:color="000000" w:fill="E6E6E6"/>
            <w:noWrap/>
            <w:vAlign w:val="bottom"/>
            <w:hideMark/>
          </w:tcPr>
          <w:p w14:paraId="0FC6C171" w14:textId="77777777" w:rsidR="00E576E2" w:rsidRPr="00B91273" w:rsidRDefault="00E576E2" w:rsidP="00C95230">
            <w:pPr>
              <w:spacing w:after="0" w:line="240" w:lineRule="auto"/>
              <w:jc w:val="right"/>
              <w:rPr>
                <w:rFonts w:ascii="Arial" w:hAnsi="Arial" w:cs="Arial"/>
                <w:b/>
                <w:bCs/>
                <w:color w:val="000000"/>
                <w:sz w:val="16"/>
                <w:szCs w:val="16"/>
              </w:rPr>
            </w:pPr>
            <w:r w:rsidRPr="00B91273">
              <w:rPr>
                <w:rFonts w:ascii="Arial" w:hAnsi="Arial" w:cs="Arial"/>
                <w:b/>
                <w:bCs/>
                <w:color w:val="000000"/>
                <w:sz w:val="16"/>
                <w:szCs w:val="16"/>
              </w:rPr>
              <w:t>16,037</w:t>
            </w:r>
          </w:p>
        </w:tc>
      </w:tr>
    </w:tbl>
    <w:p w14:paraId="7CD9C8EA" w14:textId="77777777" w:rsidR="00E576E2" w:rsidRDefault="00E576E2" w:rsidP="00E576E2">
      <w:pPr>
        <w:spacing w:after="0" w:line="240" w:lineRule="auto"/>
        <w:jc w:val="left"/>
        <w:rPr>
          <w:rFonts w:ascii="Arial" w:hAnsi="Arial"/>
          <w:b/>
          <w:color w:val="000000"/>
          <w:lang w:val="x-none" w:eastAsia="x-none"/>
        </w:rPr>
      </w:pPr>
    </w:p>
    <w:tbl>
      <w:tblPr>
        <w:tblW w:w="7536" w:type="dxa"/>
        <w:tblLook w:val="04A0" w:firstRow="1" w:lastRow="0" w:firstColumn="1" w:lastColumn="0" w:noHBand="0" w:noVBand="1"/>
      </w:tblPr>
      <w:tblGrid>
        <w:gridCol w:w="3402"/>
        <w:gridCol w:w="1150"/>
        <w:gridCol w:w="976"/>
        <w:gridCol w:w="995"/>
        <w:gridCol w:w="1013"/>
      </w:tblGrid>
      <w:tr w:rsidR="00E576E2" w:rsidRPr="005F6DCA" w14:paraId="4FDFE8A6" w14:textId="77777777" w:rsidTr="00C95230">
        <w:trPr>
          <w:trHeight w:val="225"/>
        </w:trPr>
        <w:tc>
          <w:tcPr>
            <w:tcW w:w="3402" w:type="dxa"/>
            <w:tcBorders>
              <w:top w:val="single" w:sz="4" w:space="0" w:color="auto"/>
              <w:left w:val="nil"/>
              <w:bottom w:val="nil"/>
              <w:right w:val="nil"/>
            </w:tcBorders>
            <w:shd w:val="clear" w:color="000000" w:fill="FFFFFF"/>
            <w:noWrap/>
            <w:vAlign w:val="bottom"/>
            <w:hideMark/>
          </w:tcPr>
          <w:p w14:paraId="49FDB012" w14:textId="77777777" w:rsidR="00E576E2" w:rsidRPr="005F6DCA" w:rsidRDefault="00E576E2" w:rsidP="00C95230">
            <w:pPr>
              <w:spacing w:after="0" w:line="240" w:lineRule="auto"/>
              <w:jc w:val="left"/>
              <w:rPr>
                <w:rFonts w:ascii="Arial" w:hAnsi="Arial" w:cs="Arial"/>
                <w:color w:val="000000"/>
                <w:sz w:val="16"/>
                <w:szCs w:val="16"/>
              </w:rPr>
            </w:pPr>
            <w:r w:rsidRPr="005F6DCA">
              <w:rPr>
                <w:rFonts w:ascii="Arial" w:hAnsi="Arial" w:cs="Arial"/>
                <w:color w:val="000000"/>
                <w:sz w:val="16"/>
                <w:szCs w:val="16"/>
              </w:rPr>
              <w:t> </w:t>
            </w:r>
          </w:p>
        </w:tc>
        <w:tc>
          <w:tcPr>
            <w:tcW w:w="1150" w:type="dxa"/>
            <w:tcBorders>
              <w:top w:val="single" w:sz="4" w:space="0" w:color="auto"/>
              <w:left w:val="nil"/>
              <w:right w:val="nil"/>
            </w:tcBorders>
            <w:shd w:val="clear" w:color="000000" w:fill="FFFFFF"/>
            <w:noWrap/>
            <w:vAlign w:val="bottom"/>
          </w:tcPr>
          <w:p w14:paraId="24586E25" w14:textId="77777777" w:rsidR="00E576E2" w:rsidRPr="005F6DCA" w:rsidRDefault="00E576E2" w:rsidP="00C95230">
            <w:pPr>
              <w:spacing w:after="0" w:line="240" w:lineRule="auto"/>
              <w:jc w:val="right"/>
              <w:rPr>
                <w:rFonts w:ascii="Arial" w:hAnsi="Arial" w:cs="Arial"/>
                <w:i/>
                <w:iCs/>
                <w:color w:val="000000"/>
                <w:sz w:val="16"/>
                <w:szCs w:val="16"/>
              </w:rPr>
            </w:pPr>
          </w:p>
        </w:tc>
        <w:tc>
          <w:tcPr>
            <w:tcW w:w="976" w:type="dxa"/>
            <w:tcBorders>
              <w:top w:val="single" w:sz="4" w:space="0" w:color="auto"/>
              <w:left w:val="nil"/>
              <w:right w:val="nil"/>
            </w:tcBorders>
            <w:shd w:val="clear" w:color="000000" w:fill="FFFFFF"/>
            <w:noWrap/>
            <w:vAlign w:val="bottom"/>
            <w:hideMark/>
          </w:tcPr>
          <w:p w14:paraId="6F863F7B" w14:textId="77777777" w:rsidR="00E576E2" w:rsidRPr="005F6DCA" w:rsidRDefault="00E576E2" w:rsidP="00C95230">
            <w:pPr>
              <w:spacing w:after="0" w:line="240" w:lineRule="auto"/>
              <w:jc w:val="right"/>
              <w:rPr>
                <w:rFonts w:ascii="Arial" w:hAnsi="Arial" w:cs="Arial"/>
                <w:i/>
                <w:iCs/>
                <w:color w:val="000000"/>
                <w:sz w:val="16"/>
                <w:szCs w:val="16"/>
              </w:rPr>
            </w:pPr>
            <w:r w:rsidRPr="005F6DCA">
              <w:rPr>
                <w:rFonts w:ascii="Arial" w:hAnsi="Arial" w:cs="Arial"/>
                <w:i/>
                <w:iCs/>
                <w:color w:val="000000"/>
                <w:sz w:val="16"/>
                <w:szCs w:val="16"/>
              </w:rPr>
              <w:t> </w:t>
            </w:r>
          </w:p>
        </w:tc>
        <w:tc>
          <w:tcPr>
            <w:tcW w:w="995" w:type="dxa"/>
            <w:tcBorders>
              <w:top w:val="single" w:sz="4" w:space="0" w:color="auto"/>
              <w:left w:val="nil"/>
              <w:bottom w:val="single" w:sz="4" w:space="0" w:color="auto"/>
              <w:right w:val="nil"/>
            </w:tcBorders>
            <w:shd w:val="clear" w:color="000000" w:fill="FFFFFF"/>
            <w:noWrap/>
            <w:vAlign w:val="bottom"/>
            <w:hideMark/>
          </w:tcPr>
          <w:p w14:paraId="0C3E3AD0" w14:textId="77777777" w:rsidR="00E576E2" w:rsidRPr="00022CF4" w:rsidRDefault="00E576E2" w:rsidP="00C95230">
            <w:pPr>
              <w:spacing w:after="0" w:line="240" w:lineRule="auto"/>
              <w:jc w:val="right"/>
              <w:rPr>
                <w:rFonts w:ascii="Arial" w:hAnsi="Arial" w:cs="Arial"/>
                <w:iCs/>
                <w:color w:val="000000"/>
                <w:sz w:val="16"/>
                <w:szCs w:val="16"/>
              </w:rPr>
            </w:pPr>
            <w:r w:rsidRPr="00022CF4">
              <w:rPr>
                <w:rFonts w:ascii="Arial" w:hAnsi="Arial" w:cs="Arial"/>
                <w:iCs/>
                <w:color w:val="000000"/>
                <w:sz w:val="16"/>
                <w:szCs w:val="16"/>
              </w:rPr>
              <w:t>Actual 2020-21</w:t>
            </w:r>
          </w:p>
        </w:tc>
        <w:tc>
          <w:tcPr>
            <w:tcW w:w="1013" w:type="dxa"/>
            <w:tcBorders>
              <w:top w:val="single" w:sz="4" w:space="0" w:color="auto"/>
              <w:left w:val="nil"/>
              <w:bottom w:val="single" w:sz="4" w:space="0" w:color="auto"/>
              <w:right w:val="nil"/>
            </w:tcBorders>
            <w:shd w:val="clear" w:color="000000" w:fill="E6E6E6"/>
            <w:noWrap/>
            <w:vAlign w:val="bottom"/>
            <w:hideMark/>
          </w:tcPr>
          <w:p w14:paraId="4A62EB0B" w14:textId="77777777" w:rsidR="00E576E2" w:rsidRPr="005F6DCA" w:rsidRDefault="00E576E2" w:rsidP="00C95230">
            <w:pPr>
              <w:spacing w:after="0" w:line="240" w:lineRule="auto"/>
              <w:jc w:val="right"/>
              <w:rPr>
                <w:rFonts w:ascii="Arial" w:hAnsi="Arial" w:cs="Arial"/>
                <w:color w:val="000000"/>
                <w:sz w:val="16"/>
                <w:szCs w:val="16"/>
              </w:rPr>
            </w:pPr>
            <w:r w:rsidRPr="005F6DCA">
              <w:rPr>
                <w:rFonts w:ascii="Arial" w:hAnsi="Arial" w:cs="Arial"/>
                <w:color w:val="000000"/>
                <w:sz w:val="16"/>
                <w:szCs w:val="16"/>
              </w:rPr>
              <w:t>2021-22</w:t>
            </w:r>
          </w:p>
        </w:tc>
      </w:tr>
      <w:tr w:rsidR="00E576E2" w:rsidRPr="005F6DCA" w14:paraId="2689FF61" w14:textId="77777777" w:rsidTr="00C95230">
        <w:trPr>
          <w:trHeight w:val="225"/>
        </w:trPr>
        <w:tc>
          <w:tcPr>
            <w:tcW w:w="3402" w:type="dxa"/>
            <w:tcBorders>
              <w:top w:val="nil"/>
              <w:left w:val="nil"/>
              <w:bottom w:val="single" w:sz="4" w:space="0" w:color="auto"/>
              <w:right w:val="nil"/>
            </w:tcBorders>
            <w:shd w:val="clear" w:color="000000" w:fill="FFFFFF"/>
            <w:noWrap/>
            <w:vAlign w:val="bottom"/>
            <w:hideMark/>
          </w:tcPr>
          <w:p w14:paraId="5BED1879" w14:textId="77777777" w:rsidR="00E576E2" w:rsidRPr="005F6DCA" w:rsidRDefault="00E576E2" w:rsidP="00C95230">
            <w:pPr>
              <w:spacing w:after="0" w:line="240" w:lineRule="auto"/>
              <w:jc w:val="left"/>
              <w:rPr>
                <w:rFonts w:ascii="Arial" w:hAnsi="Arial" w:cs="Arial"/>
                <w:b/>
                <w:bCs/>
                <w:color w:val="000000"/>
                <w:sz w:val="16"/>
                <w:szCs w:val="16"/>
              </w:rPr>
            </w:pPr>
            <w:r w:rsidRPr="005F6DCA">
              <w:rPr>
                <w:rFonts w:ascii="Arial" w:hAnsi="Arial" w:cs="Arial"/>
                <w:b/>
                <w:bCs/>
                <w:color w:val="000000"/>
                <w:sz w:val="16"/>
                <w:szCs w:val="16"/>
              </w:rPr>
              <w:t>Average staffing level (number)</w:t>
            </w:r>
          </w:p>
        </w:tc>
        <w:tc>
          <w:tcPr>
            <w:tcW w:w="1150" w:type="dxa"/>
            <w:tcBorders>
              <w:top w:val="nil"/>
              <w:left w:val="nil"/>
              <w:bottom w:val="single" w:sz="4" w:space="0" w:color="auto"/>
              <w:right w:val="nil"/>
            </w:tcBorders>
            <w:shd w:val="clear" w:color="000000" w:fill="FFFFFF"/>
            <w:noWrap/>
            <w:vAlign w:val="bottom"/>
          </w:tcPr>
          <w:p w14:paraId="31D0B093" w14:textId="77777777" w:rsidR="00E576E2" w:rsidRPr="005F6DCA" w:rsidRDefault="00E576E2" w:rsidP="00C95230">
            <w:pPr>
              <w:spacing w:after="0" w:line="240" w:lineRule="auto"/>
              <w:jc w:val="right"/>
              <w:rPr>
                <w:rFonts w:ascii="Arial" w:hAnsi="Arial" w:cs="Arial"/>
                <w:i/>
                <w:iCs/>
                <w:color w:val="000000"/>
                <w:sz w:val="16"/>
                <w:szCs w:val="16"/>
              </w:rPr>
            </w:pPr>
          </w:p>
        </w:tc>
        <w:tc>
          <w:tcPr>
            <w:tcW w:w="976" w:type="dxa"/>
            <w:tcBorders>
              <w:top w:val="nil"/>
              <w:left w:val="nil"/>
              <w:bottom w:val="single" w:sz="4" w:space="0" w:color="auto"/>
              <w:right w:val="nil"/>
            </w:tcBorders>
            <w:shd w:val="clear" w:color="000000" w:fill="FFFFFF"/>
            <w:noWrap/>
            <w:vAlign w:val="bottom"/>
            <w:hideMark/>
          </w:tcPr>
          <w:p w14:paraId="2E12D058" w14:textId="77777777" w:rsidR="00E576E2" w:rsidRPr="005F6DCA" w:rsidRDefault="00E576E2" w:rsidP="00C95230">
            <w:pPr>
              <w:spacing w:after="0" w:line="240" w:lineRule="auto"/>
              <w:jc w:val="right"/>
              <w:rPr>
                <w:rFonts w:ascii="Arial" w:hAnsi="Arial" w:cs="Arial"/>
                <w:i/>
                <w:iCs/>
                <w:color w:val="000000"/>
                <w:sz w:val="16"/>
                <w:szCs w:val="16"/>
              </w:rPr>
            </w:pPr>
            <w:r w:rsidRPr="005F6DCA">
              <w:rPr>
                <w:rFonts w:ascii="Arial" w:hAnsi="Arial" w:cs="Arial"/>
                <w:i/>
                <w:iCs/>
                <w:color w:val="000000"/>
                <w:sz w:val="16"/>
                <w:szCs w:val="16"/>
              </w:rPr>
              <w:t> </w:t>
            </w:r>
          </w:p>
        </w:tc>
        <w:tc>
          <w:tcPr>
            <w:tcW w:w="995" w:type="dxa"/>
            <w:tcBorders>
              <w:top w:val="nil"/>
              <w:left w:val="nil"/>
              <w:bottom w:val="single" w:sz="4" w:space="0" w:color="auto"/>
              <w:right w:val="nil"/>
            </w:tcBorders>
            <w:shd w:val="clear" w:color="000000" w:fill="FFFFFF"/>
            <w:noWrap/>
            <w:vAlign w:val="bottom"/>
            <w:hideMark/>
          </w:tcPr>
          <w:p w14:paraId="22CF8AC0" w14:textId="77777777" w:rsidR="00E576E2" w:rsidRPr="00022CF4" w:rsidRDefault="00E576E2" w:rsidP="00C95230">
            <w:pPr>
              <w:spacing w:after="0" w:line="240" w:lineRule="auto"/>
              <w:jc w:val="right"/>
              <w:rPr>
                <w:rFonts w:ascii="Arial" w:hAnsi="Arial" w:cs="Arial"/>
                <w:iCs/>
                <w:color w:val="000000"/>
                <w:sz w:val="16"/>
                <w:szCs w:val="16"/>
              </w:rPr>
            </w:pPr>
            <w:r w:rsidRPr="00022CF4">
              <w:rPr>
                <w:rFonts w:ascii="Arial" w:hAnsi="Arial" w:cs="Arial"/>
                <w:iCs/>
                <w:color w:val="000000"/>
                <w:sz w:val="16"/>
                <w:szCs w:val="16"/>
              </w:rPr>
              <w:t xml:space="preserve">41 </w:t>
            </w:r>
          </w:p>
        </w:tc>
        <w:tc>
          <w:tcPr>
            <w:tcW w:w="1013" w:type="dxa"/>
            <w:tcBorders>
              <w:top w:val="nil"/>
              <w:left w:val="nil"/>
              <w:bottom w:val="single" w:sz="4" w:space="0" w:color="auto"/>
              <w:right w:val="nil"/>
            </w:tcBorders>
            <w:shd w:val="clear" w:color="000000" w:fill="E6E6E6"/>
            <w:noWrap/>
            <w:vAlign w:val="bottom"/>
            <w:hideMark/>
          </w:tcPr>
          <w:p w14:paraId="0F0AA5DE" w14:textId="77777777" w:rsidR="00E576E2" w:rsidRPr="005F6DCA" w:rsidRDefault="00E576E2" w:rsidP="00C95230">
            <w:pPr>
              <w:spacing w:after="0" w:line="240" w:lineRule="auto"/>
              <w:jc w:val="right"/>
              <w:rPr>
                <w:rFonts w:ascii="Arial" w:hAnsi="Arial" w:cs="Arial"/>
                <w:color w:val="000000"/>
                <w:sz w:val="16"/>
                <w:szCs w:val="16"/>
              </w:rPr>
            </w:pPr>
            <w:r w:rsidRPr="005F6DCA">
              <w:rPr>
                <w:rFonts w:ascii="Arial" w:hAnsi="Arial" w:cs="Arial"/>
                <w:color w:val="000000"/>
                <w:sz w:val="16"/>
                <w:szCs w:val="16"/>
              </w:rPr>
              <w:t xml:space="preserve">44 </w:t>
            </w:r>
          </w:p>
        </w:tc>
      </w:tr>
    </w:tbl>
    <w:p w14:paraId="51FC951C" w14:textId="77777777" w:rsidR="00B46EF9" w:rsidRDefault="00B46EF9" w:rsidP="00B46EF9">
      <w:pPr>
        <w:pStyle w:val="ChartandTableFootnote"/>
        <w:spacing w:before="60"/>
        <w:jc w:val="left"/>
      </w:pPr>
      <w:r>
        <w:t>Prepared on a resourcing (that is, appropriations available) basis.</w:t>
      </w:r>
    </w:p>
    <w:p w14:paraId="1716FBE4" w14:textId="77777777" w:rsidR="00E576E2" w:rsidRPr="002003A1" w:rsidRDefault="00E576E2" w:rsidP="00F10ACD">
      <w:pPr>
        <w:pStyle w:val="ChartandTableFootnote"/>
        <w:numPr>
          <w:ilvl w:val="0"/>
          <w:numId w:val="46"/>
        </w:numPr>
        <w:tabs>
          <w:tab w:val="clear" w:pos="454"/>
          <w:tab w:val="left" w:pos="284"/>
        </w:tabs>
        <w:jc w:val="left"/>
      </w:pPr>
      <w:r w:rsidRPr="001071C7">
        <w:rPr>
          <w:rFonts w:cs="Arial"/>
          <w:szCs w:val="16"/>
        </w:rPr>
        <w:t>Appr</w:t>
      </w:r>
      <w:r>
        <w:rPr>
          <w:rFonts w:cs="Arial"/>
          <w:szCs w:val="16"/>
        </w:rPr>
        <w:t xml:space="preserve">opriation Act (No. </w:t>
      </w:r>
      <w:r>
        <w:rPr>
          <w:rFonts w:cs="Arial"/>
          <w:szCs w:val="16"/>
          <w:lang w:val="en-GB"/>
        </w:rPr>
        <w:t>1</w:t>
      </w:r>
      <w:r>
        <w:rPr>
          <w:rFonts w:cs="Arial"/>
          <w:szCs w:val="16"/>
        </w:rPr>
        <w:t xml:space="preserve">) 2021-22 and </w:t>
      </w:r>
      <w:r w:rsidRPr="001071C7">
        <w:rPr>
          <w:rFonts w:cs="Arial"/>
          <w:szCs w:val="16"/>
        </w:rPr>
        <w:t>Appr</w:t>
      </w:r>
      <w:r>
        <w:rPr>
          <w:rFonts w:cs="Arial"/>
          <w:szCs w:val="16"/>
        </w:rPr>
        <w:t>opriation Bill (No. 3) 2021-22.</w:t>
      </w:r>
    </w:p>
    <w:p w14:paraId="4DE8D572" w14:textId="77777777" w:rsidR="00E576E2" w:rsidRDefault="00E576E2" w:rsidP="00E576E2">
      <w:pPr>
        <w:pStyle w:val="TableHeading"/>
        <w:rPr>
          <w:highlight w:val="yellow"/>
          <w:lang w:val="en-AU"/>
        </w:rPr>
      </w:pPr>
    </w:p>
    <w:p w14:paraId="41747C7C" w14:textId="73A23A82" w:rsidR="00914885" w:rsidRPr="00643B7D" w:rsidRDefault="00914885" w:rsidP="00252B31">
      <w:pPr>
        <w:pStyle w:val="Heading3NTC"/>
      </w:pPr>
      <w:r>
        <w:t>1.3</w:t>
      </w:r>
      <w:r>
        <w:tab/>
        <w:t>Entity measures</w:t>
      </w:r>
      <w:bookmarkEnd w:id="528"/>
    </w:p>
    <w:p w14:paraId="320C1B15" w14:textId="77777777" w:rsidR="00FA13E0" w:rsidRPr="00486E77" w:rsidRDefault="00FA13E0" w:rsidP="00FA13E0">
      <w:pPr>
        <w:jc w:val="left"/>
      </w:pPr>
      <w:r>
        <w:t xml:space="preserve">Table 1.2 summarises new Government measures taken since the 2021-22 Budget. The table is split into receipt and payment measures, with the affected program </w:t>
      </w:r>
      <w:r w:rsidRPr="00486E77">
        <w:t>identified.</w:t>
      </w:r>
    </w:p>
    <w:p w14:paraId="1577CC00" w14:textId="32520BCC" w:rsidR="00FA13E0" w:rsidRPr="00F45E0E" w:rsidRDefault="00FA13E0" w:rsidP="00FA13E0">
      <w:pPr>
        <w:pStyle w:val="TableHeading"/>
        <w:rPr>
          <w:lang w:val="en-US"/>
        </w:rPr>
      </w:pPr>
      <w:r w:rsidRPr="009A40DD">
        <w:t xml:space="preserve">Table 1.2: </w:t>
      </w:r>
      <w:r w:rsidR="002A4EF6">
        <w:rPr>
          <w:lang w:val="en-AU"/>
        </w:rPr>
        <w:t>NTC</w:t>
      </w:r>
      <w:r w:rsidR="002A4EF6" w:rsidRPr="009A40DD">
        <w:t xml:space="preserve"> </w:t>
      </w:r>
      <w:r>
        <w:rPr>
          <w:lang w:val="en-AU"/>
        </w:rPr>
        <w:t xml:space="preserve">2021-22 </w:t>
      </w:r>
      <w:r>
        <w:rPr>
          <w:lang w:val="en-US"/>
        </w:rPr>
        <w:t>measures since Budget</w:t>
      </w:r>
    </w:p>
    <w:tbl>
      <w:tblPr>
        <w:tblW w:w="7513" w:type="dxa"/>
        <w:tblLook w:val="04A0" w:firstRow="1" w:lastRow="0" w:firstColumn="1" w:lastColumn="0" w:noHBand="0" w:noVBand="1"/>
      </w:tblPr>
      <w:tblGrid>
        <w:gridCol w:w="2835"/>
        <w:gridCol w:w="830"/>
        <w:gridCol w:w="849"/>
        <w:gridCol w:w="1015"/>
        <w:gridCol w:w="992"/>
        <w:gridCol w:w="992"/>
      </w:tblGrid>
      <w:tr w:rsidR="00FA13E0" w:rsidRPr="005F6DCA" w14:paraId="5C75DAC9" w14:textId="77777777" w:rsidTr="00237B70">
        <w:trPr>
          <w:trHeight w:val="450"/>
        </w:trPr>
        <w:tc>
          <w:tcPr>
            <w:tcW w:w="2835" w:type="dxa"/>
            <w:tcBorders>
              <w:top w:val="single" w:sz="4" w:space="0" w:color="auto"/>
              <w:left w:val="nil"/>
              <w:bottom w:val="nil"/>
              <w:right w:val="nil"/>
            </w:tcBorders>
            <w:shd w:val="clear" w:color="auto" w:fill="auto"/>
            <w:noWrap/>
            <w:vAlign w:val="bottom"/>
            <w:hideMark/>
          </w:tcPr>
          <w:p w14:paraId="2FD9C789" w14:textId="77777777" w:rsidR="00FA13E0" w:rsidRPr="005F6DCA" w:rsidRDefault="00FA13E0" w:rsidP="00C63902">
            <w:pPr>
              <w:spacing w:after="0" w:line="240" w:lineRule="auto"/>
              <w:jc w:val="left"/>
              <w:rPr>
                <w:rFonts w:ascii="Arial" w:hAnsi="Arial" w:cs="Arial"/>
                <w:sz w:val="16"/>
                <w:szCs w:val="16"/>
              </w:rPr>
            </w:pPr>
            <w:r w:rsidRPr="005F6DCA">
              <w:rPr>
                <w:rFonts w:ascii="Arial" w:hAnsi="Arial" w:cs="Arial"/>
                <w:sz w:val="16"/>
                <w:szCs w:val="16"/>
              </w:rPr>
              <w:t> </w:t>
            </w:r>
          </w:p>
        </w:tc>
        <w:tc>
          <w:tcPr>
            <w:tcW w:w="830" w:type="dxa"/>
            <w:tcBorders>
              <w:top w:val="single" w:sz="4" w:space="0" w:color="auto"/>
              <w:left w:val="nil"/>
              <w:bottom w:val="single" w:sz="4" w:space="0" w:color="auto"/>
              <w:right w:val="nil"/>
            </w:tcBorders>
            <w:shd w:val="clear" w:color="auto" w:fill="auto"/>
            <w:noWrap/>
            <w:vAlign w:val="bottom"/>
            <w:hideMark/>
          </w:tcPr>
          <w:p w14:paraId="50C89AB3" w14:textId="77777777" w:rsidR="00FA13E0" w:rsidRPr="005F6DCA" w:rsidRDefault="00FA13E0" w:rsidP="00C63902">
            <w:pPr>
              <w:spacing w:after="0" w:line="240" w:lineRule="auto"/>
              <w:jc w:val="left"/>
              <w:rPr>
                <w:rFonts w:ascii="Arial" w:hAnsi="Arial" w:cs="Arial"/>
                <w:sz w:val="16"/>
                <w:szCs w:val="16"/>
              </w:rPr>
            </w:pPr>
            <w:r w:rsidRPr="005F6DCA">
              <w:rPr>
                <w:rFonts w:ascii="Arial" w:hAnsi="Arial" w:cs="Arial"/>
                <w:sz w:val="16"/>
                <w:szCs w:val="16"/>
              </w:rPr>
              <w:t>Program</w:t>
            </w:r>
          </w:p>
        </w:tc>
        <w:tc>
          <w:tcPr>
            <w:tcW w:w="849" w:type="dxa"/>
            <w:tcBorders>
              <w:top w:val="single" w:sz="4" w:space="0" w:color="auto"/>
              <w:left w:val="nil"/>
              <w:bottom w:val="single" w:sz="4" w:space="0" w:color="auto"/>
              <w:right w:val="nil"/>
            </w:tcBorders>
            <w:shd w:val="clear" w:color="auto" w:fill="auto"/>
            <w:vAlign w:val="bottom"/>
            <w:hideMark/>
          </w:tcPr>
          <w:p w14:paraId="3AE3AD41" w14:textId="77777777" w:rsidR="00FA13E0" w:rsidRPr="005F6DCA" w:rsidRDefault="00FA13E0" w:rsidP="00C63902">
            <w:pPr>
              <w:spacing w:after="0" w:line="240" w:lineRule="auto"/>
              <w:jc w:val="right"/>
              <w:rPr>
                <w:rFonts w:ascii="Arial" w:hAnsi="Arial" w:cs="Arial"/>
                <w:sz w:val="16"/>
                <w:szCs w:val="16"/>
              </w:rPr>
            </w:pPr>
            <w:r w:rsidRPr="005F6DCA">
              <w:rPr>
                <w:rFonts w:ascii="Arial" w:hAnsi="Arial" w:cs="Arial"/>
                <w:sz w:val="16"/>
                <w:szCs w:val="16"/>
              </w:rPr>
              <w:t>2021-22</w:t>
            </w:r>
            <w:r w:rsidRPr="005F6DCA">
              <w:rPr>
                <w:rFonts w:ascii="Arial" w:hAnsi="Arial" w:cs="Arial"/>
                <w:sz w:val="16"/>
                <w:szCs w:val="16"/>
              </w:rPr>
              <w:br/>
              <w:t>$'000</w:t>
            </w:r>
          </w:p>
        </w:tc>
        <w:tc>
          <w:tcPr>
            <w:tcW w:w="1015" w:type="dxa"/>
            <w:tcBorders>
              <w:top w:val="single" w:sz="4" w:space="0" w:color="auto"/>
              <w:left w:val="nil"/>
              <w:bottom w:val="single" w:sz="4" w:space="0" w:color="auto"/>
              <w:right w:val="nil"/>
            </w:tcBorders>
            <w:shd w:val="clear" w:color="000000" w:fill="E6E6E6"/>
            <w:vAlign w:val="bottom"/>
            <w:hideMark/>
          </w:tcPr>
          <w:p w14:paraId="4B7A637D" w14:textId="77777777" w:rsidR="00FA13E0" w:rsidRPr="005F6DCA" w:rsidRDefault="00FA13E0" w:rsidP="00C63902">
            <w:pPr>
              <w:spacing w:after="0" w:line="240" w:lineRule="auto"/>
              <w:jc w:val="right"/>
              <w:rPr>
                <w:rFonts w:ascii="Arial" w:hAnsi="Arial" w:cs="Arial"/>
                <w:sz w:val="16"/>
                <w:szCs w:val="16"/>
              </w:rPr>
            </w:pPr>
            <w:r w:rsidRPr="005F6DCA">
              <w:rPr>
                <w:rFonts w:ascii="Arial" w:hAnsi="Arial" w:cs="Arial"/>
                <w:sz w:val="16"/>
                <w:szCs w:val="16"/>
              </w:rPr>
              <w:t>2022-23</w:t>
            </w:r>
            <w:r w:rsidRPr="005F6DCA">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bottom"/>
            <w:hideMark/>
          </w:tcPr>
          <w:p w14:paraId="31479A30" w14:textId="77777777" w:rsidR="00FA13E0" w:rsidRPr="005F6DCA" w:rsidRDefault="00FA13E0" w:rsidP="00C63902">
            <w:pPr>
              <w:spacing w:after="0" w:line="240" w:lineRule="auto"/>
              <w:jc w:val="right"/>
              <w:rPr>
                <w:rFonts w:ascii="Arial" w:hAnsi="Arial" w:cs="Arial"/>
                <w:sz w:val="16"/>
                <w:szCs w:val="16"/>
              </w:rPr>
            </w:pPr>
            <w:r w:rsidRPr="005F6DCA">
              <w:rPr>
                <w:rFonts w:ascii="Arial" w:hAnsi="Arial" w:cs="Arial"/>
                <w:sz w:val="16"/>
                <w:szCs w:val="16"/>
              </w:rPr>
              <w:t>2023-24</w:t>
            </w:r>
            <w:r w:rsidRPr="005F6DCA">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000000" w:fill="E6E6E6"/>
            <w:vAlign w:val="bottom"/>
            <w:hideMark/>
          </w:tcPr>
          <w:p w14:paraId="22F2ECDF" w14:textId="77777777" w:rsidR="00FA13E0" w:rsidRPr="005F6DCA" w:rsidRDefault="00FA13E0" w:rsidP="00C63902">
            <w:pPr>
              <w:spacing w:after="0" w:line="240" w:lineRule="auto"/>
              <w:jc w:val="right"/>
              <w:rPr>
                <w:rFonts w:ascii="Arial" w:hAnsi="Arial" w:cs="Arial"/>
                <w:sz w:val="16"/>
                <w:szCs w:val="16"/>
              </w:rPr>
            </w:pPr>
            <w:r w:rsidRPr="005F6DCA">
              <w:rPr>
                <w:rFonts w:ascii="Arial" w:hAnsi="Arial" w:cs="Arial"/>
                <w:sz w:val="16"/>
                <w:szCs w:val="16"/>
              </w:rPr>
              <w:t>2024-25</w:t>
            </w:r>
            <w:r w:rsidRPr="005F6DCA">
              <w:rPr>
                <w:rFonts w:ascii="Arial" w:hAnsi="Arial" w:cs="Arial"/>
                <w:sz w:val="16"/>
                <w:szCs w:val="16"/>
              </w:rPr>
              <w:br/>
              <w:t>$'000</w:t>
            </w:r>
          </w:p>
        </w:tc>
      </w:tr>
      <w:tr w:rsidR="00FA13E0" w:rsidRPr="005F6DCA" w14:paraId="3DC6605A" w14:textId="77777777" w:rsidTr="00237B70">
        <w:trPr>
          <w:trHeight w:val="204"/>
        </w:trPr>
        <w:tc>
          <w:tcPr>
            <w:tcW w:w="2835" w:type="dxa"/>
            <w:tcBorders>
              <w:top w:val="nil"/>
              <w:left w:val="nil"/>
              <w:bottom w:val="nil"/>
              <w:right w:val="nil"/>
            </w:tcBorders>
            <w:shd w:val="clear" w:color="auto" w:fill="auto"/>
            <w:vAlign w:val="bottom"/>
            <w:hideMark/>
          </w:tcPr>
          <w:p w14:paraId="30573E91" w14:textId="7889ADAA" w:rsidR="00FA13E0" w:rsidRPr="005F6DCA" w:rsidRDefault="002A4EF6" w:rsidP="00C63902">
            <w:pPr>
              <w:spacing w:after="0" w:line="240" w:lineRule="auto"/>
              <w:jc w:val="left"/>
              <w:rPr>
                <w:rFonts w:ascii="Arial" w:hAnsi="Arial" w:cs="Arial"/>
                <w:b/>
                <w:bCs/>
                <w:sz w:val="16"/>
                <w:szCs w:val="16"/>
              </w:rPr>
            </w:pPr>
            <w:r>
              <w:rPr>
                <w:rFonts w:ascii="Arial" w:hAnsi="Arial" w:cs="Arial"/>
                <w:b/>
                <w:bCs/>
                <w:sz w:val="16"/>
                <w:szCs w:val="16"/>
              </w:rPr>
              <w:t>Payment</w:t>
            </w:r>
            <w:r w:rsidRPr="005F6DCA">
              <w:rPr>
                <w:rFonts w:ascii="Arial" w:hAnsi="Arial" w:cs="Arial"/>
                <w:b/>
                <w:bCs/>
                <w:sz w:val="16"/>
                <w:szCs w:val="16"/>
              </w:rPr>
              <w:t xml:space="preserve"> </w:t>
            </w:r>
            <w:r w:rsidR="00FA13E0" w:rsidRPr="005F6DCA">
              <w:rPr>
                <w:rFonts w:ascii="Arial" w:hAnsi="Arial" w:cs="Arial"/>
                <w:b/>
                <w:bCs/>
                <w:sz w:val="16"/>
                <w:szCs w:val="16"/>
              </w:rPr>
              <w:t>measures</w:t>
            </w:r>
          </w:p>
        </w:tc>
        <w:tc>
          <w:tcPr>
            <w:tcW w:w="830" w:type="dxa"/>
            <w:tcBorders>
              <w:top w:val="nil"/>
              <w:left w:val="nil"/>
              <w:bottom w:val="nil"/>
              <w:right w:val="nil"/>
            </w:tcBorders>
            <w:shd w:val="clear" w:color="auto" w:fill="auto"/>
            <w:noWrap/>
            <w:vAlign w:val="bottom"/>
            <w:hideMark/>
          </w:tcPr>
          <w:p w14:paraId="1E080995" w14:textId="77777777" w:rsidR="00FA13E0" w:rsidRPr="005F6DCA" w:rsidRDefault="00FA13E0" w:rsidP="00EE771B">
            <w:pPr>
              <w:spacing w:after="0" w:line="240" w:lineRule="auto"/>
              <w:jc w:val="right"/>
              <w:rPr>
                <w:rFonts w:ascii="Arial" w:hAnsi="Arial" w:cs="Arial"/>
                <w:b/>
                <w:bCs/>
                <w:sz w:val="16"/>
                <w:szCs w:val="16"/>
              </w:rPr>
            </w:pPr>
          </w:p>
        </w:tc>
        <w:tc>
          <w:tcPr>
            <w:tcW w:w="849" w:type="dxa"/>
            <w:tcBorders>
              <w:top w:val="nil"/>
              <w:left w:val="nil"/>
              <w:bottom w:val="nil"/>
              <w:right w:val="nil"/>
            </w:tcBorders>
            <w:shd w:val="clear" w:color="auto" w:fill="auto"/>
            <w:noWrap/>
            <w:vAlign w:val="bottom"/>
            <w:hideMark/>
          </w:tcPr>
          <w:p w14:paraId="356468DB" w14:textId="77777777" w:rsidR="00FA13E0" w:rsidRPr="005F6DCA" w:rsidRDefault="00FA13E0" w:rsidP="00EE771B">
            <w:pPr>
              <w:spacing w:after="0" w:line="240" w:lineRule="auto"/>
              <w:jc w:val="right"/>
              <w:rPr>
                <w:rFonts w:ascii="Times New Roman" w:hAnsi="Times New Roman"/>
              </w:rPr>
            </w:pPr>
          </w:p>
        </w:tc>
        <w:tc>
          <w:tcPr>
            <w:tcW w:w="1015" w:type="dxa"/>
            <w:tcBorders>
              <w:top w:val="nil"/>
              <w:left w:val="nil"/>
              <w:bottom w:val="nil"/>
              <w:right w:val="nil"/>
            </w:tcBorders>
            <w:shd w:val="clear" w:color="000000" w:fill="E6E6E6"/>
            <w:noWrap/>
            <w:vAlign w:val="bottom"/>
            <w:hideMark/>
          </w:tcPr>
          <w:p w14:paraId="68175739" w14:textId="18E72B1E" w:rsidR="00FA13E0" w:rsidRPr="005F6DCA" w:rsidRDefault="00FA13E0" w:rsidP="00EE771B">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627A125A" w14:textId="77777777" w:rsidR="00FA13E0" w:rsidRPr="005F6DCA" w:rsidRDefault="00FA13E0" w:rsidP="00EE771B">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14:paraId="001EEF13" w14:textId="776DE24E" w:rsidR="00FA13E0" w:rsidRPr="005F6DCA" w:rsidRDefault="00FA13E0" w:rsidP="00EE771B">
            <w:pPr>
              <w:spacing w:after="0" w:line="240" w:lineRule="auto"/>
              <w:jc w:val="right"/>
              <w:rPr>
                <w:rFonts w:ascii="Arial" w:hAnsi="Arial" w:cs="Arial"/>
                <w:sz w:val="16"/>
                <w:szCs w:val="16"/>
              </w:rPr>
            </w:pPr>
          </w:p>
        </w:tc>
      </w:tr>
      <w:tr w:rsidR="00FA13E0" w:rsidRPr="005F6DCA" w14:paraId="0930E458" w14:textId="77777777" w:rsidTr="00237B70">
        <w:trPr>
          <w:trHeight w:val="204"/>
        </w:trPr>
        <w:tc>
          <w:tcPr>
            <w:tcW w:w="2835" w:type="dxa"/>
            <w:tcBorders>
              <w:top w:val="nil"/>
              <w:left w:val="nil"/>
              <w:bottom w:val="nil"/>
              <w:right w:val="nil"/>
            </w:tcBorders>
            <w:shd w:val="clear" w:color="auto" w:fill="auto"/>
            <w:vAlign w:val="bottom"/>
            <w:hideMark/>
          </w:tcPr>
          <w:p w14:paraId="7E6B3C3A" w14:textId="77777777" w:rsidR="00FA13E0" w:rsidRPr="005F6DCA" w:rsidRDefault="00FA13E0" w:rsidP="00C63902">
            <w:pPr>
              <w:spacing w:after="0" w:line="240" w:lineRule="auto"/>
              <w:jc w:val="left"/>
              <w:rPr>
                <w:rFonts w:ascii="Arial" w:hAnsi="Arial" w:cs="Arial"/>
                <w:sz w:val="16"/>
                <w:szCs w:val="16"/>
              </w:rPr>
            </w:pPr>
            <w:r w:rsidRPr="005F6DCA">
              <w:rPr>
                <w:rFonts w:ascii="Arial" w:hAnsi="Arial" w:cs="Arial"/>
                <w:sz w:val="16"/>
                <w:szCs w:val="16"/>
              </w:rPr>
              <w:t>National Rail Action Plan - stage 2</w:t>
            </w:r>
          </w:p>
        </w:tc>
        <w:tc>
          <w:tcPr>
            <w:tcW w:w="830" w:type="dxa"/>
            <w:tcBorders>
              <w:top w:val="nil"/>
              <w:left w:val="nil"/>
              <w:bottom w:val="nil"/>
              <w:right w:val="nil"/>
            </w:tcBorders>
            <w:shd w:val="clear" w:color="auto" w:fill="auto"/>
            <w:noWrap/>
            <w:vAlign w:val="bottom"/>
            <w:hideMark/>
          </w:tcPr>
          <w:p w14:paraId="72F27BFF" w14:textId="2273A063" w:rsidR="00FA13E0" w:rsidRPr="005F6DCA" w:rsidRDefault="00FA13E0" w:rsidP="00EE771B">
            <w:pPr>
              <w:spacing w:after="0" w:line="240" w:lineRule="auto"/>
              <w:jc w:val="center"/>
              <w:rPr>
                <w:rFonts w:ascii="Arial" w:hAnsi="Arial" w:cs="Arial"/>
                <w:sz w:val="16"/>
                <w:szCs w:val="16"/>
              </w:rPr>
            </w:pPr>
            <w:r w:rsidRPr="005F6DCA">
              <w:rPr>
                <w:rFonts w:ascii="Arial" w:hAnsi="Arial" w:cs="Arial"/>
                <w:sz w:val="16"/>
                <w:szCs w:val="16"/>
              </w:rPr>
              <w:t>1.1</w:t>
            </w:r>
          </w:p>
        </w:tc>
        <w:tc>
          <w:tcPr>
            <w:tcW w:w="849" w:type="dxa"/>
            <w:tcBorders>
              <w:top w:val="nil"/>
              <w:left w:val="nil"/>
              <w:bottom w:val="nil"/>
              <w:right w:val="nil"/>
            </w:tcBorders>
            <w:shd w:val="clear" w:color="auto" w:fill="auto"/>
            <w:noWrap/>
            <w:vAlign w:val="bottom"/>
            <w:hideMark/>
          </w:tcPr>
          <w:p w14:paraId="5B8BDA73" w14:textId="77777777" w:rsidR="00FA13E0" w:rsidRPr="005F6DCA" w:rsidRDefault="00FA13E0" w:rsidP="00EE771B">
            <w:pPr>
              <w:spacing w:after="0" w:line="240" w:lineRule="auto"/>
              <w:jc w:val="right"/>
              <w:rPr>
                <w:rFonts w:ascii="Arial" w:hAnsi="Arial" w:cs="Arial"/>
                <w:sz w:val="16"/>
                <w:szCs w:val="16"/>
              </w:rPr>
            </w:pPr>
          </w:p>
        </w:tc>
        <w:tc>
          <w:tcPr>
            <w:tcW w:w="1015" w:type="dxa"/>
            <w:tcBorders>
              <w:top w:val="nil"/>
              <w:left w:val="nil"/>
              <w:bottom w:val="nil"/>
              <w:right w:val="nil"/>
            </w:tcBorders>
            <w:shd w:val="clear" w:color="000000" w:fill="E6E6E6"/>
            <w:noWrap/>
            <w:vAlign w:val="bottom"/>
            <w:hideMark/>
          </w:tcPr>
          <w:p w14:paraId="1F484E83" w14:textId="48DCCB3C" w:rsidR="00FA13E0" w:rsidRPr="005F6DCA" w:rsidRDefault="00FA13E0" w:rsidP="00EE771B">
            <w:pPr>
              <w:spacing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33F8BE2C" w14:textId="77777777" w:rsidR="00FA13E0" w:rsidRPr="005F6DCA" w:rsidRDefault="00FA13E0" w:rsidP="00EE771B">
            <w:pPr>
              <w:spacing w:after="0" w:line="240" w:lineRule="auto"/>
              <w:jc w:val="right"/>
              <w:rPr>
                <w:rFonts w:ascii="Arial" w:hAnsi="Arial" w:cs="Arial"/>
                <w:sz w:val="16"/>
                <w:szCs w:val="16"/>
              </w:rPr>
            </w:pPr>
          </w:p>
        </w:tc>
        <w:tc>
          <w:tcPr>
            <w:tcW w:w="992" w:type="dxa"/>
            <w:tcBorders>
              <w:top w:val="nil"/>
              <w:left w:val="nil"/>
              <w:bottom w:val="nil"/>
              <w:right w:val="nil"/>
            </w:tcBorders>
            <w:shd w:val="clear" w:color="000000" w:fill="E6E6E6"/>
            <w:noWrap/>
            <w:vAlign w:val="bottom"/>
            <w:hideMark/>
          </w:tcPr>
          <w:p w14:paraId="68A47BDE" w14:textId="596D8B65" w:rsidR="00FA13E0" w:rsidRPr="005F6DCA" w:rsidRDefault="00FA13E0" w:rsidP="00EE771B">
            <w:pPr>
              <w:spacing w:after="0" w:line="240" w:lineRule="auto"/>
              <w:jc w:val="right"/>
              <w:rPr>
                <w:rFonts w:ascii="Arial" w:hAnsi="Arial" w:cs="Arial"/>
                <w:sz w:val="16"/>
                <w:szCs w:val="16"/>
              </w:rPr>
            </w:pPr>
          </w:p>
        </w:tc>
      </w:tr>
      <w:tr w:rsidR="00FA13E0" w:rsidRPr="005F6DCA" w14:paraId="5B87A134" w14:textId="77777777" w:rsidTr="00237B70">
        <w:trPr>
          <w:trHeight w:val="204"/>
        </w:trPr>
        <w:tc>
          <w:tcPr>
            <w:tcW w:w="2835" w:type="dxa"/>
            <w:tcBorders>
              <w:top w:val="nil"/>
              <w:left w:val="nil"/>
              <w:bottom w:val="nil"/>
              <w:right w:val="nil"/>
            </w:tcBorders>
            <w:shd w:val="clear" w:color="auto" w:fill="auto"/>
            <w:noWrap/>
            <w:vAlign w:val="bottom"/>
            <w:hideMark/>
          </w:tcPr>
          <w:p w14:paraId="33B4BEA4" w14:textId="4537DB5A" w:rsidR="00FA13E0" w:rsidRPr="005F6DCA" w:rsidRDefault="008863D9" w:rsidP="00EE771B">
            <w:pPr>
              <w:spacing w:after="0" w:line="240" w:lineRule="auto"/>
              <w:ind w:left="113"/>
              <w:jc w:val="left"/>
              <w:rPr>
                <w:rFonts w:ascii="Arial" w:hAnsi="Arial" w:cs="Arial"/>
                <w:sz w:val="16"/>
                <w:szCs w:val="16"/>
              </w:rPr>
            </w:pPr>
            <w:r>
              <w:rPr>
                <w:rFonts w:ascii="Arial" w:hAnsi="Arial" w:cs="Arial"/>
                <w:sz w:val="16"/>
                <w:szCs w:val="16"/>
              </w:rPr>
              <w:t>Department</w:t>
            </w:r>
            <w:r w:rsidR="00FA13E0" w:rsidRPr="005F6DCA">
              <w:rPr>
                <w:rFonts w:ascii="Arial" w:hAnsi="Arial" w:cs="Arial"/>
                <w:sz w:val="16"/>
                <w:szCs w:val="16"/>
              </w:rPr>
              <w:t xml:space="preserve">al </w:t>
            </w:r>
            <w:r w:rsidR="001346D5">
              <w:rPr>
                <w:rFonts w:ascii="Arial" w:hAnsi="Arial" w:cs="Arial"/>
                <w:sz w:val="16"/>
                <w:szCs w:val="16"/>
              </w:rPr>
              <w:t>payments</w:t>
            </w:r>
          </w:p>
        </w:tc>
        <w:tc>
          <w:tcPr>
            <w:tcW w:w="830" w:type="dxa"/>
            <w:tcBorders>
              <w:top w:val="nil"/>
              <w:left w:val="nil"/>
              <w:bottom w:val="nil"/>
              <w:right w:val="nil"/>
            </w:tcBorders>
            <w:shd w:val="clear" w:color="auto" w:fill="auto"/>
            <w:noWrap/>
            <w:vAlign w:val="bottom"/>
            <w:hideMark/>
          </w:tcPr>
          <w:p w14:paraId="380255AC" w14:textId="77777777" w:rsidR="00FA13E0" w:rsidRPr="005F6DCA" w:rsidRDefault="00FA13E0" w:rsidP="00237B70">
            <w:pPr>
              <w:spacing w:after="0" w:line="240" w:lineRule="auto"/>
              <w:jc w:val="right"/>
              <w:rPr>
                <w:rFonts w:ascii="Arial" w:hAnsi="Arial" w:cs="Arial"/>
                <w:sz w:val="16"/>
                <w:szCs w:val="16"/>
              </w:rPr>
            </w:pPr>
          </w:p>
        </w:tc>
        <w:tc>
          <w:tcPr>
            <w:tcW w:w="849" w:type="dxa"/>
            <w:tcBorders>
              <w:top w:val="nil"/>
              <w:left w:val="nil"/>
              <w:right w:val="nil"/>
            </w:tcBorders>
            <w:shd w:val="clear" w:color="auto" w:fill="auto"/>
            <w:noWrap/>
            <w:vAlign w:val="bottom"/>
            <w:hideMark/>
          </w:tcPr>
          <w:p w14:paraId="4C9D74E3" w14:textId="13D224CB" w:rsidR="00FA13E0" w:rsidRPr="005F6DCA" w:rsidRDefault="00FA13E0" w:rsidP="00EE771B">
            <w:pPr>
              <w:spacing w:after="0" w:line="240" w:lineRule="auto"/>
              <w:jc w:val="right"/>
              <w:rPr>
                <w:rFonts w:ascii="Arial" w:hAnsi="Arial" w:cs="Arial"/>
                <w:sz w:val="16"/>
                <w:szCs w:val="16"/>
              </w:rPr>
            </w:pPr>
            <w:r w:rsidRPr="005F6DCA">
              <w:rPr>
                <w:rFonts w:ascii="Arial" w:hAnsi="Arial" w:cs="Arial"/>
                <w:sz w:val="16"/>
                <w:szCs w:val="16"/>
              </w:rPr>
              <w:t>861</w:t>
            </w:r>
          </w:p>
        </w:tc>
        <w:tc>
          <w:tcPr>
            <w:tcW w:w="1015" w:type="dxa"/>
            <w:tcBorders>
              <w:top w:val="nil"/>
              <w:left w:val="nil"/>
              <w:right w:val="nil"/>
            </w:tcBorders>
            <w:shd w:val="clear" w:color="000000" w:fill="E6E6E6"/>
            <w:noWrap/>
            <w:vAlign w:val="bottom"/>
            <w:hideMark/>
          </w:tcPr>
          <w:p w14:paraId="4F99F44B" w14:textId="5758D2C5" w:rsidR="00FA13E0" w:rsidRPr="005F6DCA" w:rsidRDefault="00FA13E0" w:rsidP="00EE771B">
            <w:pPr>
              <w:spacing w:after="0" w:line="240" w:lineRule="auto"/>
              <w:jc w:val="right"/>
              <w:rPr>
                <w:rFonts w:ascii="Arial" w:hAnsi="Arial" w:cs="Arial"/>
                <w:sz w:val="16"/>
                <w:szCs w:val="16"/>
              </w:rPr>
            </w:pPr>
            <w:r w:rsidRPr="005F6DCA">
              <w:rPr>
                <w:rFonts w:ascii="Arial" w:hAnsi="Arial" w:cs="Arial"/>
                <w:sz w:val="16"/>
                <w:szCs w:val="16"/>
              </w:rPr>
              <w:t>688</w:t>
            </w:r>
          </w:p>
        </w:tc>
        <w:tc>
          <w:tcPr>
            <w:tcW w:w="992" w:type="dxa"/>
            <w:tcBorders>
              <w:top w:val="nil"/>
              <w:left w:val="nil"/>
              <w:right w:val="nil"/>
            </w:tcBorders>
            <w:shd w:val="clear" w:color="auto" w:fill="auto"/>
            <w:noWrap/>
            <w:vAlign w:val="bottom"/>
            <w:hideMark/>
          </w:tcPr>
          <w:p w14:paraId="603DB431" w14:textId="37FA082E" w:rsidR="00FA13E0" w:rsidRPr="005F6DCA" w:rsidRDefault="00FA13E0" w:rsidP="00EE771B">
            <w:pPr>
              <w:spacing w:after="0" w:line="240" w:lineRule="auto"/>
              <w:jc w:val="right"/>
              <w:rPr>
                <w:rFonts w:ascii="Arial" w:hAnsi="Arial" w:cs="Arial"/>
                <w:sz w:val="16"/>
                <w:szCs w:val="16"/>
              </w:rPr>
            </w:pPr>
            <w:r w:rsidRPr="005F6DCA">
              <w:rPr>
                <w:rFonts w:ascii="Arial" w:hAnsi="Arial" w:cs="Arial"/>
                <w:sz w:val="16"/>
                <w:szCs w:val="16"/>
              </w:rPr>
              <w:t>510</w:t>
            </w:r>
          </w:p>
        </w:tc>
        <w:tc>
          <w:tcPr>
            <w:tcW w:w="992" w:type="dxa"/>
            <w:tcBorders>
              <w:top w:val="nil"/>
              <w:left w:val="nil"/>
              <w:right w:val="nil"/>
            </w:tcBorders>
            <w:shd w:val="clear" w:color="000000" w:fill="E6E6E6"/>
            <w:noWrap/>
            <w:vAlign w:val="bottom"/>
            <w:hideMark/>
          </w:tcPr>
          <w:p w14:paraId="3A369890" w14:textId="6E513146" w:rsidR="00FA13E0" w:rsidRPr="005F6DCA" w:rsidRDefault="00FA13E0" w:rsidP="00EE771B">
            <w:pPr>
              <w:spacing w:after="0" w:line="240" w:lineRule="auto"/>
              <w:jc w:val="right"/>
              <w:rPr>
                <w:rFonts w:ascii="Arial" w:hAnsi="Arial" w:cs="Arial"/>
                <w:sz w:val="16"/>
                <w:szCs w:val="16"/>
              </w:rPr>
            </w:pPr>
            <w:r>
              <w:rPr>
                <w:rFonts w:ascii="Arial" w:hAnsi="Arial" w:cs="Arial"/>
                <w:sz w:val="16"/>
                <w:szCs w:val="16"/>
              </w:rPr>
              <w:t>-</w:t>
            </w:r>
          </w:p>
        </w:tc>
      </w:tr>
      <w:tr w:rsidR="00FA13E0" w:rsidRPr="005F6DCA" w14:paraId="376D1A0D" w14:textId="77777777" w:rsidTr="00237B70">
        <w:trPr>
          <w:trHeight w:val="204"/>
        </w:trPr>
        <w:tc>
          <w:tcPr>
            <w:tcW w:w="2835" w:type="dxa"/>
            <w:tcBorders>
              <w:top w:val="nil"/>
              <w:left w:val="nil"/>
              <w:bottom w:val="nil"/>
              <w:right w:val="nil"/>
            </w:tcBorders>
            <w:shd w:val="clear" w:color="auto" w:fill="auto"/>
            <w:noWrap/>
            <w:vAlign w:val="bottom"/>
            <w:hideMark/>
          </w:tcPr>
          <w:p w14:paraId="7D40405F" w14:textId="77777777" w:rsidR="00FA13E0" w:rsidRPr="005F6DCA" w:rsidRDefault="00FA13E0" w:rsidP="00C63902">
            <w:pPr>
              <w:spacing w:after="0" w:line="240" w:lineRule="auto"/>
              <w:jc w:val="left"/>
              <w:rPr>
                <w:rFonts w:ascii="Arial" w:hAnsi="Arial" w:cs="Arial"/>
                <w:b/>
                <w:bCs/>
                <w:sz w:val="16"/>
                <w:szCs w:val="16"/>
              </w:rPr>
            </w:pPr>
            <w:r w:rsidRPr="005F6DCA">
              <w:rPr>
                <w:rFonts w:ascii="Arial" w:hAnsi="Arial" w:cs="Arial"/>
                <w:b/>
                <w:bCs/>
                <w:sz w:val="16"/>
                <w:szCs w:val="16"/>
              </w:rPr>
              <w:t xml:space="preserve">Total </w:t>
            </w:r>
          </w:p>
        </w:tc>
        <w:tc>
          <w:tcPr>
            <w:tcW w:w="830" w:type="dxa"/>
            <w:tcBorders>
              <w:top w:val="nil"/>
              <w:left w:val="nil"/>
              <w:bottom w:val="nil"/>
              <w:right w:val="nil"/>
            </w:tcBorders>
            <w:shd w:val="clear" w:color="auto" w:fill="auto"/>
            <w:noWrap/>
            <w:vAlign w:val="bottom"/>
            <w:hideMark/>
          </w:tcPr>
          <w:p w14:paraId="24F27FB7" w14:textId="77777777" w:rsidR="00FA13E0" w:rsidRPr="005F6DCA" w:rsidRDefault="00FA13E0" w:rsidP="00EE771B">
            <w:pPr>
              <w:spacing w:after="0" w:line="240" w:lineRule="auto"/>
              <w:jc w:val="right"/>
              <w:rPr>
                <w:rFonts w:ascii="Arial" w:hAnsi="Arial" w:cs="Arial"/>
                <w:b/>
                <w:bCs/>
                <w:sz w:val="16"/>
                <w:szCs w:val="16"/>
              </w:rPr>
            </w:pPr>
          </w:p>
        </w:tc>
        <w:tc>
          <w:tcPr>
            <w:tcW w:w="849" w:type="dxa"/>
            <w:tcBorders>
              <w:top w:val="nil"/>
              <w:left w:val="nil"/>
              <w:bottom w:val="single" w:sz="4" w:space="0" w:color="auto"/>
              <w:right w:val="nil"/>
            </w:tcBorders>
            <w:shd w:val="clear" w:color="auto" w:fill="auto"/>
            <w:noWrap/>
            <w:vAlign w:val="bottom"/>
            <w:hideMark/>
          </w:tcPr>
          <w:p w14:paraId="061A450F" w14:textId="4638E70C" w:rsidR="00FA13E0" w:rsidRPr="005F6DCA" w:rsidRDefault="00FA13E0" w:rsidP="00EE771B">
            <w:pPr>
              <w:spacing w:after="0" w:line="240" w:lineRule="auto"/>
              <w:jc w:val="right"/>
              <w:rPr>
                <w:rFonts w:ascii="Arial" w:hAnsi="Arial" w:cs="Arial"/>
                <w:b/>
                <w:bCs/>
                <w:sz w:val="16"/>
                <w:szCs w:val="16"/>
              </w:rPr>
            </w:pPr>
            <w:r w:rsidRPr="005F6DCA">
              <w:rPr>
                <w:rFonts w:ascii="Arial" w:hAnsi="Arial" w:cs="Arial"/>
                <w:b/>
                <w:bCs/>
                <w:sz w:val="16"/>
                <w:szCs w:val="16"/>
              </w:rPr>
              <w:t>861</w:t>
            </w:r>
          </w:p>
        </w:tc>
        <w:tc>
          <w:tcPr>
            <w:tcW w:w="1015" w:type="dxa"/>
            <w:tcBorders>
              <w:top w:val="nil"/>
              <w:left w:val="nil"/>
              <w:bottom w:val="single" w:sz="4" w:space="0" w:color="auto"/>
              <w:right w:val="nil"/>
            </w:tcBorders>
            <w:shd w:val="clear" w:color="000000" w:fill="E6E6E6"/>
            <w:noWrap/>
            <w:vAlign w:val="bottom"/>
            <w:hideMark/>
          </w:tcPr>
          <w:p w14:paraId="38D7FF0E" w14:textId="49F7E96B" w:rsidR="00FA13E0" w:rsidRPr="005F6DCA" w:rsidRDefault="00FA13E0" w:rsidP="00EE771B">
            <w:pPr>
              <w:spacing w:after="0" w:line="240" w:lineRule="auto"/>
              <w:jc w:val="right"/>
              <w:rPr>
                <w:rFonts w:ascii="Arial" w:hAnsi="Arial" w:cs="Arial"/>
                <w:b/>
                <w:bCs/>
                <w:sz w:val="16"/>
                <w:szCs w:val="16"/>
              </w:rPr>
            </w:pPr>
            <w:r w:rsidRPr="005F6DCA">
              <w:rPr>
                <w:rFonts w:ascii="Arial" w:hAnsi="Arial" w:cs="Arial"/>
                <w:b/>
                <w:bCs/>
                <w:sz w:val="16"/>
                <w:szCs w:val="16"/>
              </w:rPr>
              <w:t>688</w:t>
            </w:r>
          </w:p>
        </w:tc>
        <w:tc>
          <w:tcPr>
            <w:tcW w:w="992" w:type="dxa"/>
            <w:tcBorders>
              <w:top w:val="nil"/>
              <w:left w:val="nil"/>
              <w:bottom w:val="single" w:sz="4" w:space="0" w:color="auto"/>
              <w:right w:val="nil"/>
            </w:tcBorders>
            <w:shd w:val="clear" w:color="auto" w:fill="auto"/>
            <w:noWrap/>
            <w:vAlign w:val="bottom"/>
            <w:hideMark/>
          </w:tcPr>
          <w:p w14:paraId="5160952D" w14:textId="7A08C657" w:rsidR="00FA13E0" w:rsidRPr="005F6DCA" w:rsidRDefault="00FA13E0" w:rsidP="00EE771B">
            <w:pPr>
              <w:spacing w:after="0" w:line="240" w:lineRule="auto"/>
              <w:jc w:val="right"/>
              <w:rPr>
                <w:rFonts w:ascii="Arial" w:hAnsi="Arial" w:cs="Arial"/>
                <w:b/>
                <w:bCs/>
                <w:sz w:val="16"/>
                <w:szCs w:val="16"/>
              </w:rPr>
            </w:pPr>
            <w:r w:rsidRPr="005F6DCA">
              <w:rPr>
                <w:rFonts w:ascii="Arial" w:hAnsi="Arial" w:cs="Arial"/>
                <w:b/>
                <w:bCs/>
                <w:sz w:val="16"/>
                <w:szCs w:val="16"/>
              </w:rPr>
              <w:t>510</w:t>
            </w:r>
          </w:p>
        </w:tc>
        <w:tc>
          <w:tcPr>
            <w:tcW w:w="992" w:type="dxa"/>
            <w:tcBorders>
              <w:top w:val="nil"/>
              <w:left w:val="nil"/>
              <w:bottom w:val="single" w:sz="4" w:space="0" w:color="auto"/>
              <w:right w:val="nil"/>
            </w:tcBorders>
            <w:shd w:val="clear" w:color="000000" w:fill="E6E6E6"/>
            <w:noWrap/>
            <w:vAlign w:val="bottom"/>
            <w:hideMark/>
          </w:tcPr>
          <w:p w14:paraId="0147B811" w14:textId="2D24A364" w:rsidR="00FA13E0" w:rsidRPr="005F6DCA" w:rsidRDefault="00FA13E0" w:rsidP="00EE771B">
            <w:pPr>
              <w:spacing w:after="0" w:line="240" w:lineRule="auto"/>
              <w:jc w:val="right"/>
              <w:rPr>
                <w:rFonts w:ascii="Arial" w:hAnsi="Arial" w:cs="Arial"/>
                <w:b/>
                <w:bCs/>
                <w:sz w:val="16"/>
                <w:szCs w:val="16"/>
              </w:rPr>
            </w:pPr>
            <w:r>
              <w:rPr>
                <w:rFonts w:ascii="Arial" w:hAnsi="Arial" w:cs="Arial"/>
                <w:b/>
                <w:bCs/>
                <w:sz w:val="16"/>
                <w:szCs w:val="16"/>
              </w:rPr>
              <w:t>-</w:t>
            </w:r>
          </w:p>
        </w:tc>
      </w:tr>
      <w:tr w:rsidR="00FA13E0" w:rsidRPr="005F6DCA" w14:paraId="5707CFF0" w14:textId="77777777" w:rsidTr="00237B70">
        <w:trPr>
          <w:trHeight w:val="204"/>
        </w:trPr>
        <w:tc>
          <w:tcPr>
            <w:tcW w:w="2835" w:type="dxa"/>
            <w:tcBorders>
              <w:top w:val="nil"/>
              <w:left w:val="nil"/>
              <w:bottom w:val="nil"/>
              <w:right w:val="nil"/>
            </w:tcBorders>
            <w:shd w:val="clear" w:color="auto" w:fill="auto"/>
            <w:noWrap/>
            <w:vAlign w:val="bottom"/>
            <w:hideMark/>
          </w:tcPr>
          <w:p w14:paraId="6F8D2F33" w14:textId="27FFB26A" w:rsidR="00FA13E0" w:rsidRPr="005F6DCA" w:rsidRDefault="00FA13E0" w:rsidP="002A4EF6">
            <w:pPr>
              <w:spacing w:after="0" w:line="240" w:lineRule="auto"/>
              <w:jc w:val="left"/>
              <w:rPr>
                <w:rFonts w:ascii="Arial" w:hAnsi="Arial" w:cs="Arial"/>
                <w:b/>
                <w:bCs/>
                <w:sz w:val="16"/>
                <w:szCs w:val="16"/>
              </w:rPr>
            </w:pPr>
            <w:r w:rsidRPr="005F6DCA">
              <w:rPr>
                <w:rFonts w:ascii="Arial" w:hAnsi="Arial" w:cs="Arial"/>
                <w:b/>
                <w:bCs/>
                <w:sz w:val="16"/>
                <w:szCs w:val="16"/>
              </w:rPr>
              <w:t xml:space="preserve">Total </w:t>
            </w:r>
            <w:r w:rsidR="002A4EF6">
              <w:rPr>
                <w:rFonts w:ascii="Arial" w:hAnsi="Arial" w:cs="Arial"/>
                <w:b/>
                <w:bCs/>
                <w:sz w:val="16"/>
                <w:szCs w:val="16"/>
              </w:rPr>
              <w:t>payment</w:t>
            </w:r>
            <w:r w:rsidR="002A4EF6" w:rsidRPr="005F6DCA">
              <w:rPr>
                <w:rFonts w:ascii="Arial" w:hAnsi="Arial" w:cs="Arial"/>
                <w:b/>
                <w:bCs/>
                <w:sz w:val="16"/>
                <w:szCs w:val="16"/>
              </w:rPr>
              <w:t xml:space="preserve"> </w:t>
            </w:r>
            <w:r w:rsidRPr="005F6DCA">
              <w:rPr>
                <w:rFonts w:ascii="Arial" w:hAnsi="Arial" w:cs="Arial"/>
                <w:b/>
                <w:bCs/>
                <w:sz w:val="16"/>
                <w:szCs w:val="16"/>
              </w:rPr>
              <w:t>measures</w:t>
            </w:r>
          </w:p>
        </w:tc>
        <w:tc>
          <w:tcPr>
            <w:tcW w:w="830" w:type="dxa"/>
            <w:tcBorders>
              <w:top w:val="nil"/>
              <w:left w:val="nil"/>
              <w:bottom w:val="nil"/>
              <w:right w:val="nil"/>
            </w:tcBorders>
            <w:shd w:val="clear" w:color="auto" w:fill="auto"/>
            <w:noWrap/>
            <w:vAlign w:val="bottom"/>
            <w:hideMark/>
          </w:tcPr>
          <w:p w14:paraId="1658B1F7" w14:textId="77777777" w:rsidR="00FA13E0" w:rsidRPr="005F6DCA" w:rsidRDefault="00FA13E0" w:rsidP="00EE771B">
            <w:pPr>
              <w:spacing w:after="0" w:line="240" w:lineRule="auto"/>
              <w:jc w:val="right"/>
              <w:rPr>
                <w:rFonts w:ascii="Arial" w:hAnsi="Arial" w:cs="Arial"/>
                <w:b/>
                <w:bCs/>
                <w:sz w:val="16"/>
                <w:szCs w:val="16"/>
              </w:rPr>
            </w:pPr>
          </w:p>
        </w:tc>
        <w:tc>
          <w:tcPr>
            <w:tcW w:w="849" w:type="dxa"/>
            <w:tcBorders>
              <w:top w:val="single" w:sz="4" w:space="0" w:color="auto"/>
              <w:left w:val="nil"/>
              <w:bottom w:val="nil"/>
              <w:right w:val="nil"/>
            </w:tcBorders>
            <w:shd w:val="clear" w:color="auto" w:fill="auto"/>
            <w:noWrap/>
            <w:vAlign w:val="bottom"/>
            <w:hideMark/>
          </w:tcPr>
          <w:p w14:paraId="63AFFCB6" w14:textId="77777777" w:rsidR="00FA13E0" w:rsidRPr="005F6DCA" w:rsidRDefault="00FA13E0" w:rsidP="00EE771B">
            <w:pPr>
              <w:spacing w:after="0" w:line="240" w:lineRule="auto"/>
              <w:jc w:val="right"/>
              <w:rPr>
                <w:rFonts w:ascii="Times New Roman" w:hAnsi="Times New Roman"/>
              </w:rPr>
            </w:pPr>
          </w:p>
        </w:tc>
        <w:tc>
          <w:tcPr>
            <w:tcW w:w="1015" w:type="dxa"/>
            <w:tcBorders>
              <w:top w:val="single" w:sz="4" w:space="0" w:color="auto"/>
              <w:left w:val="nil"/>
              <w:bottom w:val="nil"/>
              <w:right w:val="nil"/>
            </w:tcBorders>
            <w:shd w:val="clear" w:color="000000" w:fill="E6E6E6"/>
            <w:noWrap/>
            <w:vAlign w:val="bottom"/>
            <w:hideMark/>
          </w:tcPr>
          <w:p w14:paraId="717EC3DB" w14:textId="719D01B3" w:rsidR="00FA13E0" w:rsidRPr="005F6DCA" w:rsidRDefault="00FA13E0" w:rsidP="00EE771B">
            <w:pPr>
              <w:spacing w:after="0" w:line="240" w:lineRule="auto"/>
              <w:jc w:val="right"/>
              <w:rPr>
                <w:rFonts w:ascii="Arial" w:hAnsi="Arial" w:cs="Arial"/>
                <w:sz w:val="16"/>
                <w:szCs w:val="16"/>
              </w:rPr>
            </w:pPr>
          </w:p>
        </w:tc>
        <w:tc>
          <w:tcPr>
            <w:tcW w:w="992" w:type="dxa"/>
            <w:tcBorders>
              <w:top w:val="single" w:sz="4" w:space="0" w:color="auto"/>
              <w:left w:val="nil"/>
              <w:bottom w:val="nil"/>
              <w:right w:val="nil"/>
            </w:tcBorders>
            <w:shd w:val="clear" w:color="auto" w:fill="auto"/>
            <w:noWrap/>
            <w:vAlign w:val="bottom"/>
            <w:hideMark/>
          </w:tcPr>
          <w:p w14:paraId="272C9E6C" w14:textId="77777777" w:rsidR="00FA13E0" w:rsidRPr="005F6DCA" w:rsidRDefault="00FA13E0" w:rsidP="00EE771B">
            <w:pPr>
              <w:spacing w:after="0" w:line="240" w:lineRule="auto"/>
              <w:jc w:val="right"/>
              <w:rPr>
                <w:rFonts w:ascii="Arial" w:hAnsi="Arial" w:cs="Arial"/>
                <w:sz w:val="16"/>
                <w:szCs w:val="16"/>
              </w:rPr>
            </w:pPr>
          </w:p>
        </w:tc>
        <w:tc>
          <w:tcPr>
            <w:tcW w:w="992" w:type="dxa"/>
            <w:tcBorders>
              <w:top w:val="single" w:sz="4" w:space="0" w:color="auto"/>
              <w:left w:val="nil"/>
              <w:bottom w:val="nil"/>
              <w:right w:val="nil"/>
            </w:tcBorders>
            <w:shd w:val="clear" w:color="000000" w:fill="E6E6E6"/>
            <w:noWrap/>
            <w:vAlign w:val="bottom"/>
            <w:hideMark/>
          </w:tcPr>
          <w:p w14:paraId="75C6646E" w14:textId="2F573015" w:rsidR="00FA13E0" w:rsidRPr="005F6DCA" w:rsidRDefault="00FA13E0" w:rsidP="00EE771B">
            <w:pPr>
              <w:spacing w:after="0" w:line="240" w:lineRule="auto"/>
              <w:jc w:val="right"/>
              <w:rPr>
                <w:rFonts w:ascii="Arial" w:hAnsi="Arial" w:cs="Arial"/>
                <w:sz w:val="16"/>
                <w:szCs w:val="16"/>
              </w:rPr>
            </w:pPr>
          </w:p>
        </w:tc>
      </w:tr>
      <w:tr w:rsidR="00FA13E0" w:rsidRPr="005F6DCA" w14:paraId="54A2303B" w14:textId="77777777" w:rsidTr="00237B70">
        <w:trPr>
          <w:trHeight w:val="204"/>
        </w:trPr>
        <w:tc>
          <w:tcPr>
            <w:tcW w:w="2835" w:type="dxa"/>
            <w:tcBorders>
              <w:top w:val="nil"/>
              <w:left w:val="nil"/>
              <w:right w:val="nil"/>
            </w:tcBorders>
            <w:shd w:val="clear" w:color="auto" w:fill="auto"/>
            <w:noWrap/>
            <w:vAlign w:val="bottom"/>
            <w:hideMark/>
          </w:tcPr>
          <w:p w14:paraId="61C10D51" w14:textId="54B344F4" w:rsidR="00FA13E0" w:rsidRPr="005F6DCA" w:rsidRDefault="008863D9" w:rsidP="000E317F">
            <w:pPr>
              <w:spacing w:after="0" w:line="240" w:lineRule="auto"/>
              <w:ind w:left="113"/>
              <w:jc w:val="left"/>
              <w:rPr>
                <w:rFonts w:ascii="Arial" w:hAnsi="Arial" w:cs="Arial"/>
                <w:sz w:val="16"/>
                <w:szCs w:val="16"/>
              </w:rPr>
            </w:pPr>
            <w:r>
              <w:rPr>
                <w:rFonts w:ascii="Arial" w:hAnsi="Arial" w:cs="Arial"/>
                <w:sz w:val="16"/>
                <w:szCs w:val="16"/>
              </w:rPr>
              <w:t>Department</w:t>
            </w:r>
            <w:r w:rsidR="00FA13E0" w:rsidRPr="005F6DCA">
              <w:rPr>
                <w:rFonts w:ascii="Arial" w:hAnsi="Arial" w:cs="Arial"/>
                <w:sz w:val="16"/>
                <w:szCs w:val="16"/>
              </w:rPr>
              <w:t>al</w:t>
            </w:r>
          </w:p>
        </w:tc>
        <w:tc>
          <w:tcPr>
            <w:tcW w:w="830" w:type="dxa"/>
            <w:tcBorders>
              <w:top w:val="nil"/>
              <w:left w:val="nil"/>
              <w:right w:val="nil"/>
            </w:tcBorders>
            <w:shd w:val="clear" w:color="auto" w:fill="auto"/>
            <w:noWrap/>
            <w:vAlign w:val="bottom"/>
            <w:hideMark/>
          </w:tcPr>
          <w:p w14:paraId="4628C22E" w14:textId="77777777" w:rsidR="00FA13E0" w:rsidRPr="005F6DCA" w:rsidRDefault="00FA13E0" w:rsidP="00EE771B">
            <w:pPr>
              <w:spacing w:after="0" w:line="240" w:lineRule="auto"/>
              <w:ind w:firstLineChars="100" w:firstLine="160"/>
              <w:jc w:val="right"/>
              <w:rPr>
                <w:rFonts w:ascii="Arial" w:hAnsi="Arial" w:cs="Arial"/>
                <w:sz w:val="16"/>
                <w:szCs w:val="16"/>
              </w:rPr>
            </w:pPr>
          </w:p>
        </w:tc>
        <w:tc>
          <w:tcPr>
            <w:tcW w:w="849" w:type="dxa"/>
            <w:tcBorders>
              <w:top w:val="nil"/>
              <w:left w:val="nil"/>
              <w:right w:val="nil"/>
            </w:tcBorders>
            <w:shd w:val="clear" w:color="auto" w:fill="auto"/>
            <w:noWrap/>
            <w:vAlign w:val="bottom"/>
            <w:hideMark/>
          </w:tcPr>
          <w:p w14:paraId="24AE2BD0" w14:textId="3454F06D" w:rsidR="00FA13E0" w:rsidRPr="005F6DCA" w:rsidRDefault="00FA13E0" w:rsidP="00EE771B">
            <w:pPr>
              <w:spacing w:after="0" w:line="240" w:lineRule="auto"/>
              <w:jc w:val="right"/>
              <w:rPr>
                <w:rFonts w:ascii="Arial" w:hAnsi="Arial" w:cs="Arial"/>
                <w:sz w:val="16"/>
                <w:szCs w:val="16"/>
              </w:rPr>
            </w:pPr>
            <w:r w:rsidRPr="005F6DCA">
              <w:rPr>
                <w:rFonts w:ascii="Arial" w:hAnsi="Arial" w:cs="Arial"/>
                <w:sz w:val="16"/>
                <w:szCs w:val="16"/>
              </w:rPr>
              <w:t>861</w:t>
            </w:r>
          </w:p>
        </w:tc>
        <w:tc>
          <w:tcPr>
            <w:tcW w:w="1015" w:type="dxa"/>
            <w:tcBorders>
              <w:top w:val="nil"/>
              <w:left w:val="nil"/>
              <w:right w:val="nil"/>
            </w:tcBorders>
            <w:shd w:val="clear" w:color="000000" w:fill="E6E6E6"/>
            <w:noWrap/>
            <w:vAlign w:val="bottom"/>
            <w:hideMark/>
          </w:tcPr>
          <w:p w14:paraId="48D3A0E1" w14:textId="0FF91523" w:rsidR="00FA13E0" w:rsidRPr="005F6DCA" w:rsidRDefault="00FA13E0" w:rsidP="00EE771B">
            <w:pPr>
              <w:spacing w:after="0" w:line="240" w:lineRule="auto"/>
              <w:jc w:val="right"/>
              <w:rPr>
                <w:rFonts w:ascii="Arial" w:hAnsi="Arial" w:cs="Arial"/>
                <w:sz w:val="16"/>
                <w:szCs w:val="16"/>
              </w:rPr>
            </w:pPr>
            <w:r w:rsidRPr="005F6DCA">
              <w:rPr>
                <w:rFonts w:ascii="Arial" w:hAnsi="Arial" w:cs="Arial"/>
                <w:sz w:val="16"/>
                <w:szCs w:val="16"/>
              </w:rPr>
              <w:t>688</w:t>
            </w:r>
          </w:p>
        </w:tc>
        <w:tc>
          <w:tcPr>
            <w:tcW w:w="992" w:type="dxa"/>
            <w:tcBorders>
              <w:top w:val="nil"/>
              <w:left w:val="nil"/>
              <w:right w:val="nil"/>
            </w:tcBorders>
            <w:shd w:val="clear" w:color="auto" w:fill="auto"/>
            <w:noWrap/>
            <w:vAlign w:val="bottom"/>
            <w:hideMark/>
          </w:tcPr>
          <w:p w14:paraId="79CFBB2A" w14:textId="54F29048" w:rsidR="00FA13E0" w:rsidRPr="005F6DCA" w:rsidRDefault="00FA13E0" w:rsidP="00EE771B">
            <w:pPr>
              <w:spacing w:after="0" w:line="240" w:lineRule="auto"/>
              <w:jc w:val="right"/>
              <w:rPr>
                <w:rFonts w:ascii="Arial" w:hAnsi="Arial" w:cs="Arial"/>
                <w:sz w:val="16"/>
                <w:szCs w:val="16"/>
              </w:rPr>
            </w:pPr>
            <w:r w:rsidRPr="005F6DCA">
              <w:rPr>
                <w:rFonts w:ascii="Arial" w:hAnsi="Arial" w:cs="Arial"/>
                <w:sz w:val="16"/>
                <w:szCs w:val="16"/>
              </w:rPr>
              <w:t>510</w:t>
            </w:r>
          </w:p>
        </w:tc>
        <w:tc>
          <w:tcPr>
            <w:tcW w:w="992" w:type="dxa"/>
            <w:tcBorders>
              <w:top w:val="nil"/>
              <w:left w:val="nil"/>
              <w:right w:val="nil"/>
            </w:tcBorders>
            <w:shd w:val="clear" w:color="000000" w:fill="E6E6E6"/>
            <w:noWrap/>
            <w:vAlign w:val="bottom"/>
            <w:hideMark/>
          </w:tcPr>
          <w:p w14:paraId="314C3BE3" w14:textId="740B6E59" w:rsidR="00FA13E0" w:rsidRPr="005F6DCA" w:rsidRDefault="00FA13E0" w:rsidP="00EE771B">
            <w:pPr>
              <w:spacing w:after="0" w:line="240" w:lineRule="auto"/>
              <w:jc w:val="right"/>
              <w:rPr>
                <w:rFonts w:ascii="Arial" w:hAnsi="Arial" w:cs="Arial"/>
                <w:sz w:val="16"/>
                <w:szCs w:val="16"/>
              </w:rPr>
            </w:pPr>
            <w:r>
              <w:rPr>
                <w:rFonts w:ascii="Arial" w:hAnsi="Arial" w:cs="Arial"/>
                <w:sz w:val="16"/>
                <w:szCs w:val="16"/>
              </w:rPr>
              <w:t>-</w:t>
            </w:r>
          </w:p>
        </w:tc>
      </w:tr>
      <w:tr w:rsidR="00FA13E0" w:rsidRPr="005F6DCA" w14:paraId="48FA5829" w14:textId="77777777" w:rsidTr="00237B70">
        <w:trPr>
          <w:trHeight w:val="204"/>
        </w:trPr>
        <w:tc>
          <w:tcPr>
            <w:tcW w:w="2835" w:type="dxa"/>
            <w:tcBorders>
              <w:top w:val="nil"/>
              <w:left w:val="nil"/>
              <w:bottom w:val="single" w:sz="4" w:space="0" w:color="auto"/>
              <w:right w:val="nil"/>
            </w:tcBorders>
            <w:shd w:val="clear" w:color="auto" w:fill="auto"/>
            <w:noWrap/>
            <w:vAlign w:val="bottom"/>
            <w:hideMark/>
          </w:tcPr>
          <w:p w14:paraId="6D212D2F" w14:textId="77777777" w:rsidR="00FA13E0" w:rsidRPr="005F6DCA" w:rsidRDefault="00FA13E0" w:rsidP="00C63902">
            <w:pPr>
              <w:spacing w:after="0" w:line="240" w:lineRule="auto"/>
              <w:jc w:val="left"/>
              <w:rPr>
                <w:rFonts w:ascii="Arial" w:hAnsi="Arial" w:cs="Arial"/>
                <w:b/>
                <w:bCs/>
                <w:sz w:val="16"/>
                <w:szCs w:val="16"/>
              </w:rPr>
            </w:pPr>
            <w:r w:rsidRPr="005F6DCA">
              <w:rPr>
                <w:rFonts w:ascii="Arial" w:hAnsi="Arial" w:cs="Arial"/>
                <w:b/>
                <w:bCs/>
                <w:sz w:val="16"/>
                <w:szCs w:val="16"/>
              </w:rPr>
              <w:t>Total</w:t>
            </w:r>
          </w:p>
        </w:tc>
        <w:tc>
          <w:tcPr>
            <w:tcW w:w="830" w:type="dxa"/>
            <w:tcBorders>
              <w:top w:val="nil"/>
              <w:left w:val="nil"/>
              <w:bottom w:val="single" w:sz="4" w:space="0" w:color="auto"/>
              <w:right w:val="nil"/>
            </w:tcBorders>
            <w:shd w:val="clear" w:color="auto" w:fill="auto"/>
            <w:noWrap/>
            <w:vAlign w:val="bottom"/>
            <w:hideMark/>
          </w:tcPr>
          <w:p w14:paraId="2CCF578A" w14:textId="77777777" w:rsidR="00FA13E0" w:rsidRPr="005F6DCA" w:rsidRDefault="00FA13E0" w:rsidP="00EE771B">
            <w:pPr>
              <w:spacing w:after="0" w:line="240" w:lineRule="auto"/>
              <w:jc w:val="right"/>
              <w:rPr>
                <w:rFonts w:ascii="Arial" w:hAnsi="Arial" w:cs="Arial"/>
                <w:b/>
                <w:bCs/>
                <w:sz w:val="16"/>
                <w:szCs w:val="16"/>
              </w:rPr>
            </w:pPr>
          </w:p>
        </w:tc>
        <w:tc>
          <w:tcPr>
            <w:tcW w:w="849" w:type="dxa"/>
            <w:tcBorders>
              <w:top w:val="nil"/>
              <w:left w:val="nil"/>
              <w:bottom w:val="single" w:sz="4" w:space="0" w:color="auto"/>
              <w:right w:val="nil"/>
            </w:tcBorders>
            <w:shd w:val="clear" w:color="auto" w:fill="auto"/>
            <w:noWrap/>
            <w:vAlign w:val="bottom"/>
            <w:hideMark/>
          </w:tcPr>
          <w:p w14:paraId="295E1F87" w14:textId="22192952" w:rsidR="00FA13E0" w:rsidRPr="005F6DCA" w:rsidRDefault="00FA13E0" w:rsidP="00EE771B">
            <w:pPr>
              <w:spacing w:after="0" w:line="240" w:lineRule="auto"/>
              <w:jc w:val="right"/>
              <w:rPr>
                <w:rFonts w:ascii="Arial" w:hAnsi="Arial" w:cs="Arial"/>
                <w:b/>
                <w:bCs/>
                <w:sz w:val="16"/>
                <w:szCs w:val="16"/>
              </w:rPr>
            </w:pPr>
            <w:r w:rsidRPr="005F6DCA">
              <w:rPr>
                <w:rFonts w:ascii="Arial" w:hAnsi="Arial" w:cs="Arial"/>
                <w:b/>
                <w:bCs/>
                <w:sz w:val="16"/>
                <w:szCs w:val="16"/>
              </w:rPr>
              <w:t>861</w:t>
            </w:r>
          </w:p>
        </w:tc>
        <w:tc>
          <w:tcPr>
            <w:tcW w:w="1015" w:type="dxa"/>
            <w:tcBorders>
              <w:top w:val="nil"/>
              <w:left w:val="nil"/>
              <w:bottom w:val="single" w:sz="4" w:space="0" w:color="auto"/>
              <w:right w:val="nil"/>
            </w:tcBorders>
            <w:shd w:val="clear" w:color="000000" w:fill="E6E6E6"/>
            <w:noWrap/>
            <w:vAlign w:val="bottom"/>
            <w:hideMark/>
          </w:tcPr>
          <w:p w14:paraId="1AEC4215" w14:textId="405FCBD7" w:rsidR="00FA13E0" w:rsidRPr="005F6DCA" w:rsidRDefault="00FA13E0" w:rsidP="00EE771B">
            <w:pPr>
              <w:spacing w:after="0" w:line="240" w:lineRule="auto"/>
              <w:jc w:val="right"/>
              <w:rPr>
                <w:rFonts w:ascii="Arial" w:hAnsi="Arial" w:cs="Arial"/>
                <w:b/>
                <w:bCs/>
                <w:sz w:val="16"/>
                <w:szCs w:val="16"/>
              </w:rPr>
            </w:pPr>
            <w:r w:rsidRPr="005F6DCA">
              <w:rPr>
                <w:rFonts w:ascii="Arial" w:hAnsi="Arial" w:cs="Arial"/>
                <w:b/>
                <w:bCs/>
                <w:sz w:val="16"/>
                <w:szCs w:val="16"/>
              </w:rPr>
              <w:t>688</w:t>
            </w:r>
          </w:p>
        </w:tc>
        <w:tc>
          <w:tcPr>
            <w:tcW w:w="992" w:type="dxa"/>
            <w:tcBorders>
              <w:top w:val="nil"/>
              <w:left w:val="nil"/>
              <w:bottom w:val="single" w:sz="4" w:space="0" w:color="auto"/>
              <w:right w:val="nil"/>
            </w:tcBorders>
            <w:shd w:val="clear" w:color="auto" w:fill="auto"/>
            <w:noWrap/>
            <w:vAlign w:val="bottom"/>
            <w:hideMark/>
          </w:tcPr>
          <w:p w14:paraId="74AFD068" w14:textId="5FF75C9E" w:rsidR="00FA13E0" w:rsidRPr="005F6DCA" w:rsidRDefault="00FA13E0" w:rsidP="00EE771B">
            <w:pPr>
              <w:spacing w:after="0" w:line="240" w:lineRule="auto"/>
              <w:jc w:val="right"/>
              <w:rPr>
                <w:rFonts w:ascii="Arial" w:hAnsi="Arial" w:cs="Arial"/>
                <w:b/>
                <w:bCs/>
                <w:sz w:val="16"/>
                <w:szCs w:val="16"/>
              </w:rPr>
            </w:pPr>
            <w:r w:rsidRPr="005F6DCA">
              <w:rPr>
                <w:rFonts w:ascii="Arial" w:hAnsi="Arial" w:cs="Arial"/>
                <w:b/>
                <w:bCs/>
                <w:sz w:val="16"/>
                <w:szCs w:val="16"/>
              </w:rPr>
              <w:t>510</w:t>
            </w:r>
          </w:p>
        </w:tc>
        <w:tc>
          <w:tcPr>
            <w:tcW w:w="992" w:type="dxa"/>
            <w:tcBorders>
              <w:top w:val="nil"/>
              <w:left w:val="nil"/>
              <w:bottom w:val="single" w:sz="4" w:space="0" w:color="auto"/>
              <w:right w:val="nil"/>
            </w:tcBorders>
            <w:shd w:val="clear" w:color="000000" w:fill="E6E6E6"/>
            <w:noWrap/>
            <w:vAlign w:val="bottom"/>
            <w:hideMark/>
          </w:tcPr>
          <w:p w14:paraId="17DB0924" w14:textId="1AC59163" w:rsidR="00FA13E0" w:rsidRPr="005F6DCA" w:rsidRDefault="00FA13E0" w:rsidP="00EE771B">
            <w:pPr>
              <w:spacing w:after="0" w:line="240" w:lineRule="auto"/>
              <w:jc w:val="right"/>
              <w:rPr>
                <w:rFonts w:ascii="Arial" w:hAnsi="Arial" w:cs="Arial"/>
                <w:b/>
                <w:bCs/>
                <w:sz w:val="16"/>
                <w:szCs w:val="16"/>
              </w:rPr>
            </w:pPr>
            <w:r>
              <w:rPr>
                <w:rFonts w:ascii="Arial" w:hAnsi="Arial" w:cs="Arial"/>
                <w:b/>
                <w:bCs/>
                <w:sz w:val="16"/>
                <w:szCs w:val="16"/>
              </w:rPr>
              <w:t>-</w:t>
            </w:r>
          </w:p>
        </w:tc>
      </w:tr>
    </w:tbl>
    <w:p w14:paraId="4714EB92" w14:textId="17C9AAF1" w:rsidR="00FA13E0" w:rsidRPr="00EE771B" w:rsidRDefault="00FA13E0" w:rsidP="00574131">
      <w:pPr>
        <w:spacing w:before="60" w:after="0" w:line="240" w:lineRule="auto"/>
        <w:jc w:val="left"/>
        <w:rPr>
          <w:rFonts w:ascii="Arial" w:hAnsi="Arial" w:cs="Arial"/>
          <w:sz w:val="16"/>
          <w:szCs w:val="16"/>
        </w:rPr>
      </w:pPr>
      <w:r w:rsidRPr="00EE771B">
        <w:rPr>
          <w:rFonts w:ascii="Arial" w:hAnsi="Arial" w:cs="Arial"/>
          <w:sz w:val="16"/>
          <w:szCs w:val="16"/>
        </w:rPr>
        <w:t>Figures displayed as a negative (-) represent a decrease in funds and a positive (+) represent an increase in funds.</w:t>
      </w:r>
    </w:p>
    <w:p w14:paraId="4C02313A" w14:textId="30E37090" w:rsidR="00914885" w:rsidRPr="001E1BB6" w:rsidRDefault="00914885" w:rsidP="00252B31">
      <w:pPr>
        <w:pStyle w:val="Heading3NTC"/>
      </w:pPr>
      <w:bookmarkStart w:id="529" w:name="_Toc93405365"/>
      <w:r>
        <w:lastRenderedPageBreak/>
        <w:t>1.4</w:t>
      </w:r>
      <w:r>
        <w:tab/>
        <w:t>Additional estimates, resourcing and v</w:t>
      </w:r>
      <w:r w:rsidRPr="00597122">
        <w:t>ariations</w:t>
      </w:r>
      <w:r>
        <w:t xml:space="preserve"> to outcomes</w:t>
      </w:r>
      <w:bookmarkEnd w:id="529"/>
    </w:p>
    <w:p w14:paraId="58B2CE75" w14:textId="2CEEE817" w:rsidR="00FA13E0" w:rsidRPr="00312E93" w:rsidRDefault="00FA13E0" w:rsidP="00FA13E0">
      <w:pPr>
        <w:jc w:val="left"/>
      </w:pPr>
      <w:r w:rsidRPr="00D81F65">
        <w:t>The following table detail</w:t>
      </w:r>
      <w:r w:rsidR="00C37FFB">
        <w:t>s</w:t>
      </w:r>
      <w:r w:rsidRPr="00D81F65">
        <w:t xml:space="preserve"> the changes to the resourcing for </w:t>
      </w:r>
      <w:r>
        <w:t>the entity</w:t>
      </w:r>
      <w:r w:rsidRPr="00D81F65">
        <w:t xml:space="preserve"> at Additional Estimates, by outcome. Table 1.3 details the additional estimates resulting from new measures and other variations since the </w:t>
      </w:r>
      <w:r>
        <w:t>2021-22</w:t>
      </w:r>
      <w:r w:rsidRPr="00D81F65">
        <w:t xml:space="preserve"> Budget in Appropriation Bills Nos. 3 and 4. </w:t>
      </w:r>
    </w:p>
    <w:p w14:paraId="5EA7399D" w14:textId="77777777" w:rsidR="00FA13E0" w:rsidRDefault="00FA13E0" w:rsidP="00FA13E0">
      <w:pPr>
        <w:pStyle w:val="TableHeading"/>
      </w:pPr>
      <w:r w:rsidRPr="00D81F65">
        <w:t xml:space="preserve">Table 1.3: Additional estimates and other variations to outcomes since </w:t>
      </w:r>
      <w:r>
        <w:t>202</w:t>
      </w:r>
      <w:r>
        <w:rPr>
          <w:lang w:val="en-GB"/>
        </w:rPr>
        <w:t>1</w:t>
      </w:r>
      <w:r w:rsidRPr="00D81F65">
        <w:rPr>
          <w:rFonts w:hint="eastAsia"/>
        </w:rPr>
        <w:t>–</w:t>
      </w:r>
      <w:r>
        <w:t>2</w:t>
      </w:r>
      <w:r>
        <w:rPr>
          <w:lang w:val="en-GB"/>
        </w:rPr>
        <w:t>2</w:t>
      </w:r>
      <w:r w:rsidRPr="00D81F65">
        <w:t xml:space="preserve"> Budget</w:t>
      </w:r>
    </w:p>
    <w:tbl>
      <w:tblPr>
        <w:tblW w:w="7300" w:type="dxa"/>
        <w:tblLook w:val="04A0" w:firstRow="1" w:lastRow="0" w:firstColumn="1" w:lastColumn="0" w:noHBand="0" w:noVBand="1"/>
      </w:tblPr>
      <w:tblGrid>
        <w:gridCol w:w="3036"/>
        <w:gridCol w:w="866"/>
        <w:gridCol w:w="859"/>
        <w:gridCol w:w="856"/>
        <w:gridCol w:w="856"/>
        <w:gridCol w:w="856"/>
      </w:tblGrid>
      <w:tr w:rsidR="00FA13E0" w:rsidRPr="005F6DCA" w14:paraId="78157050" w14:textId="77777777" w:rsidTr="00C63902">
        <w:trPr>
          <w:trHeight w:val="450"/>
        </w:trPr>
        <w:tc>
          <w:tcPr>
            <w:tcW w:w="3036" w:type="dxa"/>
            <w:tcBorders>
              <w:top w:val="single" w:sz="4" w:space="0" w:color="auto"/>
              <w:left w:val="nil"/>
              <w:bottom w:val="nil"/>
              <w:right w:val="nil"/>
            </w:tcBorders>
            <w:shd w:val="clear" w:color="auto" w:fill="auto"/>
            <w:noWrap/>
            <w:hideMark/>
          </w:tcPr>
          <w:p w14:paraId="505A3771" w14:textId="77777777" w:rsidR="00FA13E0" w:rsidRPr="005F6DCA" w:rsidRDefault="00FA13E0" w:rsidP="00C63902">
            <w:pPr>
              <w:spacing w:after="0" w:line="240" w:lineRule="auto"/>
              <w:jc w:val="left"/>
              <w:rPr>
                <w:rFonts w:ascii="Arial" w:hAnsi="Arial" w:cs="Arial"/>
                <w:color w:val="000000"/>
                <w:sz w:val="16"/>
                <w:szCs w:val="16"/>
              </w:rPr>
            </w:pPr>
            <w:r w:rsidRPr="005F6DCA">
              <w:rPr>
                <w:rFonts w:ascii="Arial" w:hAnsi="Arial" w:cs="Arial"/>
                <w:color w:val="000000"/>
                <w:sz w:val="16"/>
                <w:szCs w:val="16"/>
              </w:rPr>
              <w:t> </w:t>
            </w:r>
          </w:p>
        </w:tc>
        <w:tc>
          <w:tcPr>
            <w:tcW w:w="837" w:type="dxa"/>
            <w:tcBorders>
              <w:top w:val="single" w:sz="4" w:space="0" w:color="auto"/>
              <w:left w:val="nil"/>
              <w:bottom w:val="single" w:sz="4" w:space="0" w:color="auto"/>
              <w:right w:val="nil"/>
            </w:tcBorders>
            <w:shd w:val="clear" w:color="auto" w:fill="auto"/>
            <w:hideMark/>
          </w:tcPr>
          <w:p w14:paraId="300DCA1C" w14:textId="77777777" w:rsidR="00FA13E0" w:rsidRPr="005F6DCA" w:rsidRDefault="00FA13E0" w:rsidP="00C63902">
            <w:pPr>
              <w:spacing w:after="0" w:line="240" w:lineRule="auto"/>
              <w:jc w:val="center"/>
              <w:rPr>
                <w:rFonts w:ascii="Arial" w:hAnsi="Arial" w:cs="Arial"/>
                <w:color w:val="000000"/>
                <w:sz w:val="16"/>
                <w:szCs w:val="16"/>
              </w:rPr>
            </w:pPr>
            <w:r w:rsidRPr="005F6DCA">
              <w:rPr>
                <w:rFonts w:ascii="Arial" w:hAnsi="Arial" w:cs="Arial"/>
                <w:color w:val="000000"/>
                <w:sz w:val="16"/>
                <w:szCs w:val="16"/>
              </w:rPr>
              <w:t>Program impacted</w:t>
            </w:r>
          </w:p>
        </w:tc>
        <w:tc>
          <w:tcPr>
            <w:tcW w:w="859" w:type="dxa"/>
            <w:tcBorders>
              <w:top w:val="single" w:sz="4" w:space="0" w:color="auto"/>
              <w:left w:val="nil"/>
              <w:bottom w:val="single" w:sz="4" w:space="0" w:color="auto"/>
              <w:right w:val="nil"/>
            </w:tcBorders>
            <w:shd w:val="clear" w:color="000000" w:fill="E6E6E6"/>
            <w:hideMark/>
          </w:tcPr>
          <w:p w14:paraId="1C0F68C5" w14:textId="77777777" w:rsidR="00FA13E0" w:rsidRPr="005F6DCA" w:rsidRDefault="00FA13E0" w:rsidP="00C63902">
            <w:pPr>
              <w:spacing w:after="0" w:line="240" w:lineRule="auto"/>
              <w:jc w:val="right"/>
              <w:rPr>
                <w:rFonts w:ascii="Arial" w:hAnsi="Arial" w:cs="Arial"/>
                <w:sz w:val="16"/>
                <w:szCs w:val="16"/>
              </w:rPr>
            </w:pPr>
            <w:r w:rsidRPr="005F6DCA">
              <w:rPr>
                <w:rFonts w:ascii="Arial" w:hAnsi="Arial" w:cs="Arial"/>
                <w:sz w:val="16"/>
                <w:szCs w:val="16"/>
              </w:rPr>
              <w:t>2021-22</w:t>
            </w:r>
            <w:r w:rsidRPr="005F6DCA">
              <w:rPr>
                <w:rFonts w:ascii="Arial" w:hAnsi="Arial" w:cs="Arial"/>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163303D1" w14:textId="77777777" w:rsidR="00FA13E0" w:rsidRPr="005F6DCA" w:rsidRDefault="00FA13E0" w:rsidP="00C63902">
            <w:pPr>
              <w:spacing w:after="0" w:line="240" w:lineRule="auto"/>
              <w:jc w:val="right"/>
              <w:rPr>
                <w:rFonts w:ascii="Arial" w:hAnsi="Arial" w:cs="Arial"/>
                <w:color w:val="000000"/>
                <w:sz w:val="16"/>
                <w:szCs w:val="16"/>
              </w:rPr>
            </w:pPr>
            <w:r w:rsidRPr="005F6DCA">
              <w:rPr>
                <w:rFonts w:ascii="Arial" w:hAnsi="Arial" w:cs="Arial"/>
                <w:color w:val="000000"/>
                <w:sz w:val="16"/>
                <w:szCs w:val="16"/>
              </w:rPr>
              <w:t>2022-23</w:t>
            </w:r>
            <w:r w:rsidRPr="005F6DCA">
              <w:rPr>
                <w:rFonts w:ascii="Arial" w:hAnsi="Arial" w:cs="Arial"/>
                <w:color w:val="000000"/>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3E262FE2" w14:textId="77777777" w:rsidR="00FA13E0" w:rsidRPr="005F6DCA" w:rsidRDefault="00FA13E0" w:rsidP="00C63902">
            <w:pPr>
              <w:spacing w:after="0" w:line="240" w:lineRule="auto"/>
              <w:jc w:val="right"/>
              <w:rPr>
                <w:rFonts w:ascii="Arial" w:hAnsi="Arial" w:cs="Arial"/>
                <w:color w:val="000000"/>
                <w:sz w:val="16"/>
                <w:szCs w:val="16"/>
              </w:rPr>
            </w:pPr>
            <w:r w:rsidRPr="005F6DCA">
              <w:rPr>
                <w:rFonts w:ascii="Arial" w:hAnsi="Arial" w:cs="Arial"/>
                <w:color w:val="000000"/>
                <w:sz w:val="16"/>
                <w:szCs w:val="16"/>
              </w:rPr>
              <w:t>2023-24</w:t>
            </w:r>
            <w:r w:rsidRPr="005F6DCA">
              <w:rPr>
                <w:rFonts w:ascii="Arial" w:hAnsi="Arial" w:cs="Arial"/>
                <w:color w:val="000000"/>
                <w:sz w:val="16"/>
                <w:szCs w:val="16"/>
              </w:rPr>
              <w:br/>
              <w:t>$'000</w:t>
            </w:r>
          </w:p>
        </w:tc>
        <w:tc>
          <w:tcPr>
            <w:tcW w:w="856" w:type="dxa"/>
            <w:tcBorders>
              <w:top w:val="single" w:sz="4" w:space="0" w:color="auto"/>
              <w:left w:val="nil"/>
              <w:bottom w:val="single" w:sz="4" w:space="0" w:color="000000"/>
              <w:right w:val="nil"/>
            </w:tcBorders>
            <w:shd w:val="clear" w:color="auto" w:fill="auto"/>
            <w:hideMark/>
          </w:tcPr>
          <w:p w14:paraId="5A07CB77" w14:textId="77777777" w:rsidR="00FA13E0" w:rsidRPr="005F6DCA" w:rsidRDefault="00FA13E0" w:rsidP="00C63902">
            <w:pPr>
              <w:spacing w:after="0" w:line="240" w:lineRule="auto"/>
              <w:jc w:val="right"/>
              <w:rPr>
                <w:rFonts w:ascii="Arial" w:hAnsi="Arial" w:cs="Arial"/>
                <w:color w:val="000000"/>
                <w:sz w:val="16"/>
                <w:szCs w:val="16"/>
              </w:rPr>
            </w:pPr>
            <w:r w:rsidRPr="005F6DCA">
              <w:rPr>
                <w:rFonts w:ascii="Arial" w:hAnsi="Arial" w:cs="Arial"/>
                <w:color w:val="000000"/>
                <w:sz w:val="16"/>
                <w:szCs w:val="16"/>
              </w:rPr>
              <w:t>2024-25</w:t>
            </w:r>
            <w:r w:rsidRPr="005F6DCA">
              <w:rPr>
                <w:rFonts w:ascii="Arial" w:hAnsi="Arial" w:cs="Arial"/>
                <w:color w:val="000000"/>
                <w:sz w:val="16"/>
                <w:szCs w:val="16"/>
              </w:rPr>
              <w:br/>
              <w:t>$'000</w:t>
            </w:r>
          </w:p>
        </w:tc>
      </w:tr>
      <w:tr w:rsidR="00FA13E0" w:rsidRPr="005F6DCA" w14:paraId="07800694" w14:textId="77777777" w:rsidTr="000E317F">
        <w:trPr>
          <w:trHeight w:val="204"/>
        </w:trPr>
        <w:tc>
          <w:tcPr>
            <w:tcW w:w="3036" w:type="dxa"/>
            <w:tcBorders>
              <w:top w:val="nil"/>
              <w:left w:val="nil"/>
              <w:bottom w:val="nil"/>
              <w:right w:val="nil"/>
            </w:tcBorders>
            <w:shd w:val="clear" w:color="auto" w:fill="auto"/>
            <w:noWrap/>
            <w:vAlign w:val="bottom"/>
            <w:hideMark/>
          </w:tcPr>
          <w:p w14:paraId="6982B654" w14:textId="77777777" w:rsidR="00FA13E0" w:rsidRPr="005F6DCA" w:rsidRDefault="00FA13E0" w:rsidP="00C63902">
            <w:pPr>
              <w:spacing w:after="0" w:line="240" w:lineRule="auto"/>
              <w:jc w:val="left"/>
              <w:rPr>
                <w:rFonts w:ascii="Arial" w:hAnsi="Arial" w:cs="Arial"/>
                <w:b/>
                <w:bCs/>
                <w:color w:val="000000"/>
                <w:sz w:val="16"/>
                <w:szCs w:val="16"/>
              </w:rPr>
            </w:pPr>
            <w:r w:rsidRPr="005F6DCA">
              <w:rPr>
                <w:rFonts w:ascii="Arial" w:hAnsi="Arial" w:cs="Arial"/>
                <w:b/>
                <w:bCs/>
                <w:color w:val="000000"/>
                <w:sz w:val="16"/>
                <w:szCs w:val="16"/>
              </w:rPr>
              <w:t>Outcome 1</w:t>
            </w:r>
          </w:p>
        </w:tc>
        <w:tc>
          <w:tcPr>
            <w:tcW w:w="837" w:type="dxa"/>
            <w:tcBorders>
              <w:top w:val="nil"/>
              <w:left w:val="nil"/>
              <w:bottom w:val="nil"/>
              <w:right w:val="nil"/>
            </w:tcBorders>
            <w:shd w:val="clear" w:color="auto" w:fill="auto"/>
            <w:noWrap/>
            <w:vAlign w:val="bottom"/>
            <w:hideMark/>
          </w:tcPr>
          <w:p w14:paraId="5699ABBA" w14:textId="77777777" w:rsidR="00FA13E0" w:rsidRPr="005F6DCA" w:rsidRDefault="00FA13E0" w:rsidP="002B21EA">
            <w:pPr>
              <w:spacing w:after="0" w:line="240" w:lineRule="auto"/>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hideMark/>
          </w:tcPr>
          <w:p w14:paraId="605DD808" w14:textId="7213AAC2" w:rsidR="00FA13E0" w:rsidRPr="005F6DCA" w:rsidRDefault="00FA13E0" w:rsidP="002B21EA">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0B35A677" w14:textId="77777777" w:rsidR="00FA13E0" w:rsidRPr="005F6DCA" w:rsidRDefault="00FA13E0" w:rsidP="002B21EA">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243FEADD" w14:textId="77777777" w:rsidR="00FA13E0" w:rsidRPr="005F6DCA" w:rsidRDefault="00FA13E0" w:rsidP="002B21EA">
            <w:pPr>
              <w:spacing w:after="0" w:line="240" w:lineRule="auto"/>
              <w:jc w:val="right"/>
              <w:rPr>
                <w:rFonts w:ascii="Times New Roman" w:hAnsi="Times New Roman"/>
              </w:rPr>
            </w:pPr>
          </w:p>
        </w:tc>
        <w:tc>
          <w:tcPr>
            <w:tcW w:w="856" w:type="dxa"/>
            <w:tcBorders>
              <w:top w:val="nil"/>
              <w:left w:val="nil"/>
              <w:bottom w:val="nil"/>
              <w:right w:val="nil"/>
            </w:tcBorders>
            <w:shd w:val="clear" w:color="auto" w:fill="auto"/>
            <w:noWrap/>
            <w:vAlign w:val="bottom"/>
            <w:hideMark/>
          </w:tcPr>
          <w:p w14:paraId="4321ECA3" w14:textId="77777777" w:rsidR="00FA13E0" w:rsidRPr="005F6DCA" w:rsidRDefault="00FA13E0" w:rsidP="002B21EA">
            <w:pPr>
              <w:spacing w:after="0" w:line="240" w:lineRule="auto"/>
              <w:jc w:val="right"/>
              <w:rPr>
                <w:rFonts w:ascii="Times New Roman" w:hAnsi="Times New Roman"/>
              </w:rPr>
            </w:pPr>
          </w:p>
        </w:tc>
      </w:tr>
      <w:tr w:rsidR="00FA13E0" w:rsidRPr="005F6DCA" w14:paraId="05427EF2" w14:textId="77777777" w:rsidTr="000E317F">
        <w:trPr>
          <w:trHeight w:val="204"/>
        </w:trPr>
        <w:tc>
          <w:tcPr>
            <w:tcW w:w="3036" w:type="dxa"/>
            <w:tcBorders>
              <w:top w:val="nil"/>
              <w:left w:val="nil"/>
              <w:bottom w:val="nil"/>
              <w:right w:val="nil"/>
            </w:tcBorders>
            <w:shd w:val="clear" w:color="auto" w:fill="auto"/>
            <w:vAlign w:val="bottom"/>
            <w:hideMark/>
          </w:tcPr>
          <w:p w14:paraId="55891BAE" w14:textId="67D185B5" w:rsidR="00FA13E0" w:rsidRPr="005F6DCA" w:rsidRDefault="008863D9" w:rsidP="00C63902">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FA13E0" w:rsidRPr="005F6DCA">
              <w:rPr>
                <w:rFonts w:ascii="Arial" w:hAnsi="Arial" w:cs="Arial"/>
                <w:b/>
                <w:bCs/>
                <w:color w:val="000000"/>
                <w:sz w:val="16"/>
                <w:szCs w:val="16"/>
              </w:rPr>
              <w:t xml:space="preserve">al </w:t>
            </w:r>
          </w:p>
        </w:tc>
        <w:tc>
          <w:tcPr>
            <w:tcW w:w="837" w:type="dxa"/>
            <w:tcBorders>
              <w:top w:val="nil"/>
              <w:left w:val="nil"/>
              <w:bottom w:val="nil"/>
              <w:right w:val="nil"/>
            </w:tcBorders>
            <w:shd w:val="clear" w:color="auto" w:fill="auto"/>
            <w:noWrap/>
            <w:vAlign w:val="bottom"/>
            <w:hideMark/>
          </w:tcPr>
          <w:p w14:paraId="07F7B9BB" w14:textId="77777777" w:rsidR="00FA13E0" w:rsidRPr="005F6DCA" w:rsidRDefault="00FA13E0" w:rsidP="002B21EA">
            <w:pPr>
              <w:spacing w:after="0" w:line="240" w:lineRule="auto"/>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hideMark/>
          </w:tcPr>
          <w:p w14:paraId="459CF467" w14:textId="778AC790" w:rsidR="00FA13E0" w:rsidRPr="005F6DCA" w:rsidRDefault="00FA13E0" w:rsidP="002B21EA">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3158F979" w14:textId="77777777" w:rsidR="00FA13E0" w:rsidRPr="005F6DCA" w:rsidRDefault="00FA13E0" w:rsidP="002B21EA">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3D675992" w14:textId="77777777" w:rsidR="00FA13E0" w:rsidRPr="005F6DCA" w:rsidRDefault="00FA13E0" w:rsidP="002B21EA">
            <w:pPr>
              <w:spacing w:after="0" w:line="240" w:lineRule="auto"/>
              <w:jc w:val="right"/>
              <w:rPr>
                <w:rFonts w:ascii="Times New Roman" w:hAnsi="Times New Roman"/>
              </w:rPr>
            </w:pPr>
          </w:p>
        </w:tc>
        <w:tc>
          <w:tcPr>
            <w:tcW w:w="856" w:type="dxa"/>
            <w:tcBorders>
              <w:top w:val="nil"/>
              <w:left w:val="nil"/>
              <w:bottom w:val="nil"/>
              <w:right w:val="nil"/>
            </w:tcBorders>
            <w:shd w:val="clear" w:color="auto" w:fill="auto"/>
            <w:noWrap/>
            <w:vAlign w:val="bottom"/>
            <w:hideMark/>
          </w:tcPr>
          <w:p w14:paraId="40E3FBDF" w14:textId="77777777" w:rsidR="00FA13E0" w:rsidRPr="005F6DCA" w:rsidRDefault="00FA13E0" w:rsidP="002B21EA">
            <w:pPr>
              <w:spacing w:after="0" w:line="240" w:lineRule="auto"/>
              <w:jc w:val="right"/>
              <w:rPr>
                <w:rFonts w:ascii="Times New Roman" w:hAnsi="Times New Roman"/>
              </w:rPr>
            </w:pPr>
          </w:p>
        </w:tc>
      </w:tr>
      <w:tr w:rsidR="00FA13E0" w:rsidRPr="005F6DCA" w14:paraId="747A56F2" w14:textId="77777777" w:rsidTr="000E317F">
        <w:trPr>
          <w:trHeight w:val="204"/>
        </w:trPr>
        <w:tc>
          <w:tcPr>
            <w:tcW w:w="3036" w:type="dxa"/>
            <w:tcBorders>
              <w:top w:val="nil"/>
              <w:left w:val="nil"/>
              <w:bottom w:val="nil"/>
              <w:right w:val="nil"/>
            </w:tcBorders>
            <w:shd w:val="clear" w:color="auto" w:fill="auto"/>
            <w:noWrap/>
            <w:vAlign w:val="bottom"/>
            <w:hideMark/>
          </w:tcPr>
          <w:p w14:paraId="630CB0BA" w14:textId="77777777" w:rsidR="00FA13E0" w:rsidRPr="005F6DCA" w:rsidRDefault="00FA13E0" w:rsidP="002B21EA">
            <w:pPr>
              <w:spacing w:after="0" w:line="240" w:lineRule="auto"/>
              <w:ind w:left="113"/>
              <w:jc w:val="left"/>
              <w:rPr>
                <w:rFonts w:ascii="Arial" w:hAnsi="Arial" w:cs="Arial"/>
                <w:b/>
                <w:bCs/>
                <w:color w:val="000000"/>
                <w:sz w:val="16"/>
                <w:szCs w:val="16"/>
              </w:rPr>
            </w:pPr>
            <w:r w:rsidRPr="005F6DCA">
              <w:rPr>
                <w:rFonts w:ascii="Arial" w:hAnsi="Arial" w:cs="Arial"/>
                <w:b/>
                <w:bCs/>
                <w:color w:val="000000"/>
                <w:sz w:val="16"/>
                <w:szCs w:val="16"/>
              </w:rPr>
              <w:t>Annual appropriations</w:t>
            </w:r>
          </w:p>
        </w:tc>
        <w:tc>
          <w:tcPr>
            <w:tcW w:w="837" w:type="dxa"/>
            <w:tcBorders>
              <w:top w:val="nil"/>
              <w:left w:val="nil"/>
              <w:bottom w:val="nil"/>
              <w:right w:val="nil"/>
            </w:tcBorders>
            <w:shd w:val="clear" w:color="auto" w:fill="auto"/>
            <w:noWrap/>
            <w:vAlign w:val="bottom"/>
            <w:hideMark/>
          </w:tcPr>
          <w:p w14:paraId="78E4ACDA" w14:textId="77777777" w:rsidR="00FA13E0" w:rsidRPr="005F6DCA" w:rsidRDefault="00FA13E0" w:rsidP="002B21EA">
            <w:pPr>
              <w:spacing w:after="0" w:line="240" w:lineRule="auto"/>
              <w:ind w:firstLineChars="100" w:firstLine="160"/>
              <w:jc w:val="right"/>
              <w:rPr>
                <w:rFonts w:ascii="Arial" w:hAnsi="Arial" w:cs="Arial"/>
                <w:b/>
                <w:bCs/>
                <w:color w:val="000000"/>
                <w:sz w:val="16"/>
                <w:szCs w:val="16"/>
              </w:rPr>
            </w:pPr>
          </w:p>
        </w:tc>
        <w:tc>
          <w:tcPr>
            <w:tcW w:w="859" w:type="dxa"/>
            <w:tcBorders>
              <w:top w:val="nil"/>
              <w:left w:val="nil"/>
              <w:bottom w:val="nil"/>
              <w:right w:val="nil"/>
            </w:tcBorders>
            <w:shd w:val="clear" w:color="000000" w:fill="E6E6E6"/>
            <w:noWrap/>
            <w:vAlign w:val="bottom"/>
            <w:hideMark/>
          </w:tcPr>
          <w:p w14:paraId="77C82CDD" w14:textId="2216DF84" w:rsidR="00FA13E0" w:rsidRPr="005F6DCA" w:rsidRDefault="00FA13E0" w:rsidP="002B21EA">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556E1C49" w14:textId="77777777" w:rsidR="00FA13E0" w:rsidRPr="005F6DCA" w:rsidRDefault="00FA13E0" w:rsidP="002B21EA">
            <w:pPr>
              <w:spacing w:after="0" w:line="240" w:lineRule="auto"/>
              <w:jc w:val="right"/>
              <w:rPr>
                <w:rFonts w:ascii="Arial" w:hAnsi="Arial" w:cs="Arial"/>
                <w:sz w:val="16"/>
                <w:szCs w:val="16"/>
              </w:rPr>
            </w:pPr>
          </w:p>
        </w:tc>
        <w:tc>
          <w:tcPr>
            <w:tcW w:w="856" w:type="dxa"/>
            <w:tcBorders>
              <w:top w:val="nil"/>
              <w:left w:val="nil"/>
              <w:bottom w:val="nil"/>
              <w:right w:val="nil"/>
            </w:tcBorders>
            <w:shd w:val="clear" w:color="auto" w:fill="auto"/>
            <w:noWrap/>
            <w:vAlign w:val="bottom"/>
            <w:hideMark/>
          </w:tcPr>
          <w:p w14:paraId="7C3FFC0D" w14:textId="77777777" w:rsidR="00FA13E0" w:rsidRPr="005F6DCA" w:rsidRDefault="00FA13E0" w:rsidP="002B21EA">
            <w:pPr>
              <w:spacing w:after="0" w:line="240" w:lineRule="auto"/>
              <w:jc w:val="right"/>
              <w:rPr>
                <w:rFonts w:ascii="Times New Roman" w:hAnsi="Times New Roman"/>
              </w:rPr>
            </w:pPr>
          </w:p>
        </w:tc>
        <w:tc>
          <w:tcPr>
            <w:tcW w:w="856" w:type="dxa"/>
            <w:tcBorders>
              <w:top w:val="nil"/>
              <w:left w:val="nil"/>
              <w:bottom w:val="nil"/>
              <w:right w:val="nil"/>
            </w:tcBorders>
            <w:shd w:val="clear" w:color="auto" w:fill="auto"/>
            <w:noWrap/>
            <w:vAlign w:val="bottom"/>
            <w:hideMark/>
          </w:tcPr>
          <w:p w14:paraId="3DB56F44" w14:textId="77777777" w:rsidR="00FA13E0" w:rsidRPr="005F6DCA" w:rsidRDefault="00FA13E0" w:rsidP="002B21EA">
            <w:pPr>
              <w:spacing w:after="0" w:line="240" w:lineRule="auto"/>
              <w:jc w:val="right"/>
              <w:rPr>
                <w:rFonts w:ascii="Times New Roman" w:hAnsi="Times New Roman"/>
              </w:rPr>
            </w:pPr>
          </w:p>
        </w:tc>
      </w:tr>
      <w:tr w:rsidR="00FA13E0" w:rsidRPr="005F6DCA" w14:paraId="76C0D363" w14:textId="77777777" w:rsidTr="000E317F">
        <w:trPr>
          <w:trHeight w:val="204"/>
        </w:trPr>
        <w:tc>
          <w:tcPr>
            <w:tcW w:w="3036" w:type="dxa"/>
            <w:tcBorders>
              <w:top w:val="nil"/>
              <w:left w:val="nil"/>
              <w:bottom w:val="nil"/>
              <w:right w:val="nil"/>
            </w:tcBorders>
            <w:shd w:val="clear" w:color="auto" w:fill="auto"/>
            <w:vAlign w:val="bottom"/>
            <w:hideMark/>
          </w:tcPr>
          <w:p w14:paraId="14667A8D" w14:textId="77777777" w:rsidR="00FA13E0" w:rsidRPr="005F6DCA" w:rsidRDefault="00FA13E0" w:rsidP="002B21EA">
            <w:pPr>
              <w:spacing w:after="0" w:line="240" w:lineRule="auto"/>
              <w:ind w:left="227"/>
              <w:jc w:val="left"/>
              <w:rPr>
                <w:rFonts w:ascii="Arial" w:hAnsi="Arial" w:cs="Arial"/>
                <w:sz w:val="16"/>
                <w:szCs w:val="16"/>
              </w:rPr>
            </w:pPr>
            <w:r w:rsidRPr="005F6DCA">
              <w:rPr>
                <w:rFonts w:ascii="Arial" w:hAnsi="Arial" w:cs="Arial"/>
                <w:sz w:val="16"/>
                <w:szCs w:val="16"/>
              </w:rPr>
              <w:t>Measure - National Rail Action Plan - stage 2</w:t>
            </w:r>
          </w:p>
        </w:tc>
        <w:tc>
          <w:tcPr>
            <w:tcW w:w="837" w:type="dxa"/>
            <w:tcBorders>
              <w:top w:val="nil"/>
              <w:left w:val="nil"/>
              <w:bottom w:val="nil"/>
              <w:right w:val="nil"/>
            </w:tcBorders>
            <w:shd w:val="clear" w:color="auto" w:fill="auto"/>
            <w:noWrap/>
            <w:vAlign w:val="bottom"/>
            <w:hideMark/>
          </w:tcPr>
          <w:p w14:paraId="3A7837C8" w14:textId="77777777" w:rsidR="00FA13E0" w:rsidRPr="005F6DCA" w:rsidRDefault="00FA13E0" w:rsidP="002B21EA">
            <w:pPr>
              <w:spacing w:after="0" w:line="240" w:lineRule="auto"/>
              <w:jc w:val="center"/>
              <w:rPr>
                <w:rFonts w:ascii="Arial" w:hAnsi="Arial" w:cs="Arial"/>
                <w:sz w:val="16"/>
                <w:szCs w:val="16"/>
              </w:rPr>
            </w:pPr>
            <w:r w:rsidRPr="005F6DCA">
              <w:rPr>
                <w:rFonts w:ascii="Arial" w:hAnsi="Arial" w:cs="Arial"/>
                <w:sz w:val="16"/>
                <w:szCs w:val="16"/>
              </w:rPr>
              <w:t>1.1</w:t>
            </w:r>
          </w:p>
        </w:tc>
        <w:tc>
          <w:tcPr>
            <w:tcW w:w="859" w:type="dxa"/>
            <w:tcBorders>
              <w:top w:val="nil"/>
              <w:left w:val="nil"/>
              <w:bottom w:val="nil"/>
              <w:right w:val="nil"/>
            </w:tcBorders>
            <w:shd w:val="clear" w:color="000000" w:fill="E6E6E6"/>
            <w:noWrap/>
            <w:vAlign w:val="bottom"/>
            <w:hideMark/>
          </w:tcPr>
          <w:p w14:paraId="3100D537" w14:textId="26F8635D" w:rsidR="00FA13E0" w:rsidRPr="005F6DCA" w:rsidRDefault="00FA13E0" w:rsidP="002B21EA">
            <w:pPr>
              <w:spacing w:after="0" w:line="240" w:lineRule="auto"/>
              <w:jc w:val="right"/>
              <w:rPr>
                <w:rFonts w:ascii="Arial" w:hAnsi="Arial" w:cs="Arial"/>
                <w:bCs/>
                <w:sz w:val="16"/>
                <w:szCs w:val="16"/>
              </w:rPr>
            </w:pPr>
            <w:r w:rsidRPr="005F6DCA">
              <w:rPr>
                <w:rFonts w:ascii="Arial" w:hAnsi="Arial" w:cs="Arial"/>
                <w:bCs/>
                <w:sz w:val="16"/>
                <w:szCs w:val="16"/>
              </w:rPr>
              <w:t>861</w:t>
            </w:r>
          </w:p>
        </w:tc>
        <w:tc>
          <w:tcPr>
            <w:tcW w:w="856" w:type="dxa"/>
            <w:tcBorders>
              <w:top w:val="nil"/>
              <w:left w:val="nil"/>
              <w:bottom w:val="nil"/>
              <w:right w:val="nil"/>
            </w:tcBorders>
            <w:shd w:val="clear" w:color="auto" w:fill="auto"/>
            <w:noWrap/>
            <w:vAlign w:val="bottom"/>
            <w:hideMark/>
          </w:tcPr>
          <w:p w14:paraId="0800657E" w14:textId="2208BDEE" w:rsidR="00FA13E0" w:rsidRPr="005F6DCA" w:rsidRDefault="00FA13E0" w:rsidP="002B21EA">
            <w:pPr>
              <w:spacing w:after="0" w:line="240" w:lineRule="auto"/>
              <w:jc w:val="right"/>
              <w:rPr>
                <w:rFonts w:ascii="Arial" w:hAnsi="Arial" w:cs="Arial"/>
                <w:bCs/>
                <w:color w:val="000000"/>
                <w:sz w:val="16"/>
                <w:szCs w:val="16"/>
              </w:rPr>
            </w:pPr>
            <w:r w:rsidRPr="005F6DCA">
              <w:rPr>
                <w:rFonts w:ascii="Arial" w:hAnsi="Arial" w:cs="Arial"/>
                <w:bCs/>
                <w:color w:val="000000"/>
                <w:sz w:val="16"/>
                <w:szCs w:val="16"/>
              </w:rPr>
              <w:t>688</w:t>
            </w:r>
          </w:p>
        </w:tc>
        <w:tc>
          <w:tcPr>
            <w:tcW w:w="856" w:type="dxa"/>
            <w:tcBorders>
              <w:top w:val="nil"/>
              <w:left w:val="nil"/>
              <w:bottom w:val="nil"/>
              <w:right w:val="nil"/>
            </w:tcBorders>
            <w:shd w:val="clear" w:color="auto" w:fill="auto"/>
            <w:noWrap/>
            <w:vAlign w:val="bottom"/>
            <w:hideMark/>
          </w:tcPr>
          <w:p w14:paraId="12424355" w14:textId="446B1074" w:rsidR="00FA13E0" w:rsidRPr="005F6DCA" w:rsidRDefault="00FA13E0" w:rsidP="002B21EA">
            <w:pPr>
              <w:spacing w:after="0" w:line="240" w:lineRule="auto"/>
              <w:jc w:val="right"/>
              <w:rPr>
                <w:rFonts w:ascii="Arial" w:hAnsi="Arial" w:cs="Arial"/>
                <w:bCs/>
                <w:color w:val="000000"/>
                <w:sz w:val="16"/>
                <w:szCs w:val="16"/>
              </w:rPr>
            </w:pPr>
            <w:r w:rsidRPr="005F6DCA">
              <w:rPr>
                <w:rFonts w:ascii="Arial" w:hAnsi="Arial" w:cs="Arial"/>
                <w:bCs/>
                <w:color w:val="000000"/>
                <w:sz w:val="16"/>
                <w:szCs w:val="16"/>
              </w:rPr>
              <w:t>510</w:t>
            </w:r>
          </w:p>
        </w:tc>
        <w:tc>
          <w:tcPr>
            <w:tcW w:w="856" w:type="dxa"/>
            <w:tcBorders>
              <w:top w:val="nil"/>
              <w:left w:val="nil"/>
              <w:bottom w:val="nil"/>
              <w:right w:val="nil"/>
            </w:tcBorders>
            <w:shd w:val="clear" w:color="auto" w:fill="auto"/>
            <w:noWrap/>
            <w:vAlign w:val="bottom"/>
            <w:hideMark/>
          </w:tcPr>
          <w:p w14:paraId="131DBBF8" w14:textId="26A72D9F" w:rsidR="00FA13E0" w:rsidRPr="005F6DCA" w:rsidRDefault="00EF379E" w:rsidP="002B21EA">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FA13E0" w:rsidRPr="005F6DCA" w14:paraId="38E07E09" w14:textId="77777777" w:rsidTr="000E317F">
        <w:trPr>
          <w:trHeight w:val="204"/>
        </w:trPr>
        <w:tc>
          <w:tcPr>
            <w:tcW w:w="3036" w:type="dxa"/>
            <w:tcBorders>
              <w:top w:val="nil"/>
              <w:left w:val="nil"/>
              <w:bottom w:val="nil"/>
              <w:right w:val="nil"/>
            </w:tcBorders>
            <w:shd w:val="clear" w:color="auto" w:fill="auto"/>
            <w:vAlign w:val="bottom"/>
            <w:hideMark/>
          </w:tcPr>
          <w:p w14:paraId="5E7A62F1" w14:textId="57EC5CE3" w:rsidR="00FA13E0" w:rsidRPr="005F6DCA" w:rsidRDefault="00FA13E0" w:rsidP="002B21EA">
            <w:pPr>
              <w:spacing w:after="0" w:line="240" w:lineRule="auto"/>
              <w:jc w:val="left"/>
              <w:rPr>
                <w:rFonts w:ascii="Arial" w:hAnsi="Arial" w:cs="Arial"/>
                <w:b/>
                <w:bCs/>
                <w:color w:val="000000"/>
                <w:sz w:val="16"/>
                <w:szCs w:val="16"/>
              </w:rPr>
            </w:pPr>
            <w:r w:rsidRPr="005F6DCA">
              <w:rPr>
                <w:rFonts w:ascii="Arial" w:hAnsi="Arial" w:cs="Arial"/>
                <w:b/>
                <w:bCs/>
                <w:color w:val="000000"/>
                <w:sz w:val="16"/>
                <w:szCs w:val="16"/>
              </w:rPr>
              <w:t>Net impact on appropriations for</w:t>
            </w:r>
            <w:r w:rsidR="002B21EA">
              <w:rPr>
                <w:rFonts w:ascii="Arial" w:hAnsi="Arial" w:cs="Arial"/>
                <w:b/>
                <w:bCs/>
                <w:color w:val="000000"/>
                <w:sz w:val="16"/>
                <w:szCs w:val="16"/>
              </w:rPr>
              <w:t xml:space="preserve"> </w:t>
            </w:r>
            <w:r w:rsidRPr="005F6DCA">
              <w:rPr>
                <w:rFonts w:ascii="Arial" w:hAnsi="Arial" w:cs="Arial"/>
                <w:b/>
                <w:bCs/>
                <w:color w:val="000000"/>
                <w:sz w:val="16"/>
                <w:szCs w:val="16"/>
              </w:rPr>
              <w:t>Outcome 1 (</w:t>
            </w:r>
            <w:r w:rsidR="008863D9">
              <w:rPr>
                <w:rFonts w:ascii="Arial" w:hAnsi="Arial" w:cs="Arial"/>
                <w:b/>
                <w:bCs/>
                <w:color w:val="000000"/>
                <w:sz w:val="16"/>
                <w:szCs w:val="16"/>
              </w:rPr>
              <w:t>Department</w:t>
            </w:r>
            <w:r w:rsidRPr="005F6DCA">
              <w:rPr>
                <w:rFonts w:ascii="Arial" w:hAnsi="Arial" w:cs="Arial"/>
                <w:b/>
                <w:bCs/>
                <w:color w:val="000000"/>
                <w:sz w:val="16"/>
                <w:szCs w:val="16"/>
              </w:rPr>
              <w:t>al)</w:t>
            </w:r>
          </w:p>
        </w:tc>
        <w:tc>
          <w:tcPr>
            <w:tcW w:w="837" w:type="dxa"/>
            <w:tcBorders>
              <w:top w:val="nil"/>
              <w:left w:val="nil"/>
              <w:bottom w:val="nil"/>
              <w:right w:val="nil"/>
            </w:tcBorders>
            <w:shd w:val="clear" w:color="auto" w:fill="auto"/>
            <w:noWrap/>
            <w:vAlign w:val="bottom"/>
            <w:hideMark/>
          </w:tcPr>
          <w:p w14:paraId="183299A2" w14:textId="77777777" w:rsidR="00FA13E0" w:rsidRPr="005F6DCA" w:rsidRDefault="00FA13E0" w:rsidP="002B21EA">
            <w:pPr>
              <w:spacing w:after="0" w:line="240" w:lineRule="auto"/>
              <w:jc w:val="right"/>
              <w:rPr>
                <w:rFonts w:ascii="Arial" w:hAnsi="Arial" w:cs="Arial"/>
                <w:b/>
                <w:bCs/>
                <w:color w:val="000000"/>
                <w:sz w:val="16"/>
                <w:szCs w:val="16"/>
              </w:rPr>
            </w:pPr>
          </w:p>
        </w:tc>
        <w:tc>
          <w:tcPr>
            <w:tcW w:w="859" w:type="dxa"/>
            <w:tcBorders>
              <w:top w:val="single" w:sz="4" w:space="0" w:color="auto"/>
              <w:left w:val="nil"/>
              <w:bottom w:val="single" w:sz="4" w:space="0" w:color="auto"/>
              <w:right w:val="nil"/>
            </w:tcBorders>
            <w:shd w:val="clear" w:color="000000" w:fill="E6E6E6"/>
            <w:noWrap/>
            <w:vAlign w:val="bottom"/>
            <w:hideMark/>
          </w:tcPr>
          <w:p w14:paraId="683CACC6" w14:textId="5A63066F" w:rsidR="00FA13E0" w:rsidRPr="000E317F" w:rsidRDefault="00FA13E0" w:rsidP="002B21EA">
            <w:pPr>
              <w:spacing w:after="0" w:line="240" w:lineRule="auto"/>
              <w:jc w:val="right"/>
              <w:rPr>
                <w:rFonts w:ascii="Arial" w:hAnsi="Arial" w:cs="Arial"/>
                <w:b/>
                <w:bCs/>
                <w:sz w:val="16"/>
                <w:szCs w:val="16"/>
              </w:rPr>
            </w:pPr>
            <w:r w:rsidRPr="000E317F">
              <w:rPr>
                <w:rFonts w:ascii="Arial" w:hAnsi="Arial" w:cs="Arial"/>
                <w:b/>
                <w:bCs/>
                <w:sz w:val="16"/>
                <w:szCs w:val="16"/>
              </w:rPr>
              <w:t>861</w:t>
            </w:r>
          </w:p>
        </w:tc>
        <w:tc>
          <w:tcPr>
            <w:tcW w:w="856" w:type="dxa"/>
            <w:tcBorders>
              <w:top w:val="single" w:sz="4" w:space="0" w:color="auto"/>
              <w:left w:val="nil"/>
              <w:bottom w:val="single" w:sz="4" w:space="0" w:color="auto"/>
              <w:right w:val="nil"/>
            </w:tcBorders>
            <w:shd w:val="clear" w:color="auto" w:fill="auto"/>
            <w:noWrap/>
            <w:vAlign w:val="bottom"/>
            <w:hideMark/>
          </w:tcPr>
          <w:p w14:paraId="7ABD085C" w14:textId="23FAB76D" w:rsidR="00FA13E0" w:rsidRPr="005F6DCA" w:rsidRDefault="00FA13E0" w:rsidP="002B21EA">
            <w:pPr>
              <w:spacing w:after="0" w:line="240" w:lineRule="auto"/>
              <w:jc w:val="right"/>
              <w:rPr>
                <w:rFonts w:ascii="Arial" w:hAnsi="Arial" w:cs="Arial"/>
                <w:b/>
                <w:bCs/>
                <w:color w:val="000000"/>
                <w:sz w:val="16"/>
                <w:szCs w:val="16"/>
              </w:rPr>
            </w:pPr>
            <w:r w:rsidRPr="005F6DCA">
              <w:rPr>
                <w:rFonts w:ascii="Arial" w:hAnsi="Arial" w:cs="Arial"/>
                <w:b/>
                <w:bCs/>
                <w:color w:val="000000"/>
                <w:sz w:val="16"/>
                <w:szCs w:val="16"/>
              </w:rPr>
              <w:t>688</w:t>
            </w:r>
          </w:p>
        </w:tc>
        <w:tc>
          <w:tcPr>
            <w:tcW w:w="856" w:type="dxa"/>
            <w:tcBorders>
              <w:top w:val="single" w:sz="4" w:space="0" w:color="auto"/>
              <w:left w:val="nil"/>
              <w:bottom w:val="single" w:sz="4" w:space="0" w:color="auto"/>
              <w:right w:val="nil"/>
            </w:tcBorders>
            <w:shd w:val="clear" w:color="auto" w:fill="auto"/>
            <w:noWrap/>
            <w:vAlign w:val="bottom"/>
            <w:hideMark/>
          </w:tcPr>
          <w:p w14:paraId="40F6A8DC" w14:textId="645BA809" w:rsidR="00FA13E0" w:rsidRPr="005F6DCA" w:rsidRDefault="00FA13E0" w:rsidP="002B21EA">
            <w:pPr>
              <w:spacing w:after="0" w:line="240" w:lineRule="auto"/>
              <w:jc w:val="right"/>
              <w:rPr>
                <w:rFonts w:ascii="Arial" w:hAnsi="Arial" w:cs="Arial"/>
                <w:b/>
                <w:bCs/>
                <w:color w:val="000000"/>
                <w:sz w:val="16"/>
                <w:szCs w:val="16"/>
              </w:rPr>
            </w:pPr>
            <w:r w:rsidRPr="005F6DCA">
              <w:rPr>
                <w:rFonts w:ascii="Arial" w:hAnsi="Arial" w:cs="Arial"/>
                <w:b/>
                <w:bCs/>
                <w:color w:val="000000"/>
                <w:sz w:val="16"/>
                <w:szCs w:val="16"/>
              </w:rPr>
              <w:t>510</w:t>
            </w:r>
          </w:p>
        </w:tc>
        <w:tc>
          <w:tcPr>
            <w:tcW w:w="856" w:type="dxa"/>
            <w:tcBorders>
              <w:top w:val="single" w:sz="4" w:space="0" w:color="auto"/>
              <w:left w:val="nil"/>
              <w:bottom w:val="single" w:sz="4" w:space="0" w:color="auto"/>
              <w:right w:val="nil"/>
            </w:tcBorders>
            <w:shd w:val="clear" w:color="auto" w:fill="auto"/>
            <w:noWrap/>
            <w:vAlign w:val="bottom"/>
            <w:hideMark/>
          </w:tcPr>
          <w:p w14:paraId="51B8C814" w14:textId="2B4A6080" w:rsidR="00FA13E0" w:rsidRPr="005F6DCA" w:rsidRDefault="00FA13E0" w:rsidP="002B21EA">
            <w:pPr>
              <w:spacing w:after="0" w:line="240" w:lineRule="auto"/>
              <w:jc w:val="right"/>
              <w:rPr>
                <w:rFonts w:ascii="Arial" w:hAnsi="Arial" w:cs="Arial"/>
                <w:b/>
                <w:bCs/>
                <w:color w:val="000000"/>
                <w:sz w:val="16"/>
                <w:szCs w:val="16"/>
              </w:rPr>
            </w:pPr>
            <w:r w:rsidRPr="005F6DCA">
              <w:rPr>
                <w:rFonts w:ascii="Arial" w:hAnsi="Arial" w:cs="Arial"/>
                <w:b/>
                <w:bCs/>
                <w:color w:val="000000"/>
                <w:sz w:val="16"/>
                <w:szCs w:val="16"/>
              </w:rPr>
              <w:t>-</w:t>
            </w:r>
          </w:p>
        </w:tc>
      </w:tr>
      <w:tr w:rsidR="00FA13E0" w:rsidRPr="005F6DCA" w14:paraId="18C221DF" w14:textId="77777777" w:rsidTr="000E317F">
        <w:trPr>
          <w:trHeight w:val="204"/>
        </w:trPr>
        <w:tc>
          <w:tcPr>
            <w:tcW w:w="3036" w:type="dxa"/>
            <w:tcBorders>
              <w:top w:val="nil"/>
              <w:left w:val="nil"/>
              <w:bottom w:val="single" w:sz="4" w:space="0" w:color="auto"/>
              <w:right w:val="nil"/>
            </w:tcBorders>
            <w:shd w:val="clear" w:color="auto" w:fill="auto"/>
            <w:vAlign w:val="bottom"/>
            <w:hideMark/>
          </w:tcPr>
          <w:p w14:paraId="174FDFC9" w14:textId="7338B75D" w:rsidR="00FA13E0" w:rsidRPr="005F6DCA" w:rsidRDefault="00FA13E0" w:rsidP="00C63902">
            <w:pPr>
              <w:spacing w:after="0" w:line="240" w:lineRule="auto"/>
              <w:jc w:val="left"/>
              <w:rPr>
                <w:rFonts w:ascii="Arial" w:hAnsi="Arial" w:cs="Arial"/>
                <w:b/>
                <w:bCs/>
                <w:color w:val="000000"/>
                <w:sz w:val="16"/>
                <w:szCs w:val="16"/>
              </w:rPr>
            </w:pPr>
            <w:r w:rsidRPr="005F6DCA">
              <w:rPr>
                <w:rFonts w:ascii="Arial" w:hAnsi="Arial" w:cs="Arial"/>
                <w:b/>
                <w:bCs/>
                <w:color w:val="000000"/>
                <w:sz w:val="16"/>
                <w:szCs w:val="16"/>
              </w:rPr>
              <w:t>Total net impact on appropriations</w:t>
            </w:r>
            <w:r w:rsidR="00F42A61">
              <w:rPr>
                <w:rFonts w:ascii="Arial" w:hAnsi="Arial" w:cs="Arial"/>
                <w:b/>
                <w:bCs/>
                <w:color w:val="000000"/>
                <w:sz w:val="16"/>
                <w:szCs w:val="16"/>
              </w:rPr>
              <w:t xml:space="preserve"> </w:t>
            </w:r>
            <w:r w:rsidRPr="005F6DCA">
              <w:rPr>
                <w:rFonts w:ascii="Arial" w:hAnsi="Arial" w:cs="Arial"/>
                <w:b/>
                <w:bCs/>
                <w:color w:val="000000"/>
                <w:sz w:val="16"/>
                <w:szCs w:val="16"/>
              </w:rPr>
              <w:t>for Outcome 1</w:t>
            </w:r>
          </w:p>
        </w:tc>
        <w:tc>
          <w:tcPr>
            <w:tcW w:w="837" w:type="dxa"/>
            <w:tcBorders>
              <w:top w:val="nil"/>
              <w:left w:val="nil"/>
              <w:bottom w:val="single" w:sz="4" w:space="0" w:color="auto"/>
              <w:right w:val="nil"/>
            </w:tcBorders>
            <w:shd w:val="clear" w:color="auto" w:fill="auto"/>
            <w:noWrap/>
            <w:vAlign w:val="bottom"/>
            <w:hideMark/>
          </w:tcPr>
          <w:p w14:paraId="6E48E48E" w14:textId="58A1535F" w:rsidR="00FA13E0" w:rsidRPr="005F6DCA" w:rsidRDefault="00FA13E0" w:rsidP="002B21EA">
            <w:pPr>
              <w:spacing w:after="0" w:line="240" w:lineRule="auto"/>
              <w:jc w:val="right"/>
              <w:rPr>
                <w:rFonts w:ascii="Arial" w:hAnsi="Arial" w:cs="Arial"/>
                <w:color w:val="000000"/>
                <w:sz w:val="16"/>
                <w:szCs w:val="16"/>
              </w:rPr>
            </w:pPr>
          </w:p>
        </w:tc>
        <w:tc>
          <w:tcPr>
            <w:tcW w:w="859" w:type="dxa"/>
            <w:tcBorders>
              <w:top w:val="nil"/>
              <w:left w:val="nil"/>
              <w:bottom w:val="single" w:sz="4" w:space="0" w:color="auto"/>
              <w:right w:val="nil"/>
            </w:tcBorders>
            <w:shd w:val="clear" w:color="000000" w:fill="E6E6E6"/>
            <w:noWrap/>
            <w:vAlign w:val="bottom"/>
            <w:hideMark/>
          </w:tcPr>
          <w:p w14:paraId="7D7500D0" w14:textId="5F64D24F" w:rsidR="00FA13E0" w:rsidRPr="000E317F" w:rsidRDefault="00FA13E0" w:rsidP="002B21EA">
            <w:pPr>
              <w:spacing w:after="0" w:line="240" w:lineRule="auto"/>
              <w:jc w:val="right"/>
              <w:rPr>
                <w:rFonts w:ascii="Arial" w:hAnsi="Arial" w:cs="Arial"/>
                <w:b/>
                <w:bCs/>
                <w:sz w:val="16"/>
                <w:szCs w:val="16"/>
              </w:rPr>
            </w:pPr>
            <w:r w:rsidRPr="000E317F">
              <w:rPr>
                <w:rFonts w:ascii="Arial" w:hAnsi="Arial" w:cs="Arial"/>
                <w:b/>
                <w:bCs/>
                <w:sz w:val="16"/>
                <w:szCs w:val="16"/>
              </w:rPr>
              <w:t>861</w:t>
            </w:r>
          </w:p>
        </w:tc>
        <w:tc>
          <w:tcPr>
            <w:tcW w:w="856" w:type="dxa"/>
            <w:tcBorders>
              <w:top w:val="nil"/>
              <w:left w:val="nil"/>
              <w:bottom w:val="single" w:sz="4" w:space="0" w:color="auto"/>
              <w:right w:val="nil"/>
            </w:tcBorders>
            <w:shd w:val="clear" w:color="auto" w:fill="auto"/>
            <w:noWrap/>
            <w:vAlign w:val="bottom"/>
            <w:hideMark/>
          </w:tcPr>
          <w:p w14:paraId="0CAD14B1" w14:textId="39E5094D" w:rsidR="00FA13E0" w:rsidRPr="005F6DCA" w:rsidRDefault="00FA13E0" w:rsidP="002B21EA">
            <w:pPr>
              <w:spacing w:after="0" w:line="240" w:lineRule="auto"/>
              <w:jc w:val="right"/>
              <w:rPr>
                <w:rFonts w:ascii="Arial" w:hAnsi="Arial" w:cs="Arial"/>
                <w:b/>
                <w:bCs/>
                <w:color w:val="000000"/>
                <w:sz w:val="16"/>
                <w:szCs w:val="16"/>
              </w:rPr>
            </w:pPr>
            <w:r w:rsidRPr="005F6DCA">
              <w:rPr>
                <w:rFonts w:ascii="Arial" w:hAnsi="Arial" w:cs="Arial"/>
                <w:b/>
                <w:bCs/>
                <w:color w:val="000000"/>
                <w:sz w:val="16"/>
                <w:szCs w:val="16"/>
              </w:rPr>
              <w:t>688</w:t>
            </w:r>
          </w:p>
        </w:tc>
        <w:tc>
          <w:tcPr>
            <w:tcW w:w="856" w:type="dxa"/>
            <w:tcBorders>
              <w:top w:val="nil"/>
              <w:left w:val="nil"/>
              <w:bottom w:val="single" w:sz="4" w:space="0" w:color="auto"/>
              <w:right w:val="nil"/>
            </w:tcBorders>
            <w:shd w:val="clear" w:color="auto" w:fill="auto"/>
            <w:noWrap/>
            <w:vAlign w:val="bottom"/>
            <w:hideMark/>
          </w:tcPr>
          <w:p w14:paraId="66FF77C8" w14:textId="22A29854" w:rsidR="00FA13E0" w:rsidRPr="005F6DCA" w:rsidRDefault="00FA13E0" w:rsidP="002B21EA">
            <w:pPr>
              <w:spacing w:after="0" w:line="240" w:lineRule="auto"/>
              <w:jc w:val="right"/>
              <w:rPr>
                <w:rFonts w:ascii="Arial" w:hAnsi="Arial" w:cs="Arial"/>
                <w:b/>
                <w:bCs/>
                <w:color w:val="000000"/>
                <w:sz w:val="16"/>
                <w:szCs w:val="16"/>
              </w:rPr>
            </w:pPr>
            <w:r w:rsidRPr="005F6DCA">
              <w:rPr>
                <w:rFonts w:ascii="Arial" w:hAnsi="Arial" w:cs="Arial"/>
                <w:b/>
                <w:bCs/>
                <w:color w:val="000000"/>
                <w:sz w:val="16"/>
                <w:szCs w:val="16"/>
              </w:rPr>
              <w:t>510</w:t>
            </w:r>
          </w:p>
        </w:tc>
        <w:tc>
          <w:tcPr>
            <w:tcW w:w="856" w:type="dxa"/>
            <w:tcBorders>
              <w:top w:val="nil"/>
              <w:left w:val="nil"/>
              <w:bottom w:val="single" w:sz="4" w:space="0" w:color="auto"/>
              <w:right w:val="nil"/>
            </w:tcBorders>
            <w:shd w:val="clear" w:color="auto" w:fill="auto"/>
            <w:noWrap/>
            <w:vAlign w:val="bottom"/>
            <w:hideMark/>
          </w:tcPr>
          <w:p w14:paraId="71A3174F" w14:textId="52BAA1AF" w:rsidR="00FA13E0" w:rsidRPr="005F6DCA" w:rsidRDefault="00FA13E0" w:rsidP="002B21EA">
            <w:pPr>
              <w:spacing w:after="0" w:line="240" w:lineRule="auto"/>
              <w:jc w:val="right"/>
              <w:rPr>
                <w:rFonts w:ascii="Arial" w:hAnsi="Arial" w:cs="Arial"/>
                <w:b/>
                <w:bCs/>
                <w:color w:val="000000"/>
                <w:sz w:val="16"/>
                <w:szCs w:val="16"/>
              </w:rPr>
            </w:pPr>
            <w:r w:rsidRPr="005F6DCA">
              <w:rPr>
                <w:rFonts w:ascii="Arial" w:hAnsi="Arial" w:cs="Arial"/>
                <w:b/>
                <w:bCs/>
                <w:color w:val="000000"/>
                <w:sz w:val="16"/>
                <w:szCs w:val="16"/>
              </w:rPr>
              <w:t>-</w:t>
            </w:r>
          </w:p>
        </w:tc>
      </w:tr>
    </w:tbl>
    <w:p w14:paraId="4585BF88" w14:textId="77777777" w:rsidR="0084653B" w:rsidRDefault="0084653B">
      <w:pPr>
        <w:spacing w:after="0" w:line="240" w:lineRule="auto"/>
        <w:jc w:val="left"/>
      </w:pPr>
      <w:bookmarkStart w:id="530" w:name="_Toc57393051"/>
    </w:p>
    <w:p w14:paraId="6A9A1857" w14:textId="4C5C6FC1" w:rsidR="00FA13E0" w:rsidRPr="00D81F65" w:rsidRDefault="00FA13E0" w:rsidP="00252B31">
      <w:pPr>
        <w:pStyle w:val="Heading3NTC"/>
      </w:pPr>
      <w:bookmarkStart w:id="531" w:name="_Toc93405366"/>
      <w:r w:rsidRPr="00D81F65">
        <w:t>1.5</w:t>
      </w:r>
      <w:r w:rsidRPr="000968CC">
        <w:tab/>
      </w:r>
      <w:r w:rsidRPr="00D81F65">
        <w:t>Breakdown of additional estimates by appropriation bill</w:t>
      </w:r>
      <w:bookmarkEnd w:id="530"/>
      <w:bookmarkEnd w:id="531"/>
    </w:p>
    <w:p w14:paraId="34A4A184" w14:textId="45D68C5E" w:rsidR="00FA13E0" w:rsidRPr="000968CC" w:rsidRDefault="00FA13E0" w:rsidP="00FA13E0">
      <w:pPr>
        <w:jc w:val="left"/>
      </w:pPr>
      <w:r w:rsidRPr="000968CC">
        <w:t>The following table detail</w:t>
      </w:r>
      <w:r w:rsidR="00C37FFB">
        <w:t>s</w:t>
      </w:r>
      <w:r w:rsidRPr="000968CC">
        <w:t xml:space="preserve"> the additional estimates sought for the entity through Appropriation Bills No. 3 and 4.</w:t>
      </w:r>
    </w:p>
    <w:p w14:paraId="269BA26D" w14:textId="4F20AEAA" w:rsidR="000E317F" w:rsidRPr="000E317F" w:rsidRDefault="00FA13E0" w:rsidP="000E317F">
      <w:pPr>
        <w:pStyle w:val="TableHeading"/>
        <w:rPr>
          <w:lang w:val="en-GB"/>
        </w:rPr>
      </w:pPr>
      <w:r w:rsidRPr="00D81F65">
        <w:t>Table 1.4: Appropriation Bill (No. 3) 20</w:t>
      </w:r>
      <w:r>
        <w:t>2</w:t>
      </w:r>
      <w:r>
        <w:rPr>
          <w:lang w:val="en-GB"/>
        </w:rPr>
        <w:t>1</w:t>
      </w:r>
      <w:r w:rsidRPr="00D81F65">
        <w:rPr>
          <w:rFonts w:hint="eastAsia"/>
        </w:rPr>
        <w:t>–</w:t>
      </w:r>
      <w:r>
        <w:t>2</w:t>
      </w:r>
      <w:r>
        <w:rPr>
          <w:lang w:val="en-GB"/>
        </w:rPr>
        <w:t>2</w:t>
      </w:r>
    </w:p>
    <w:tbl>
      <w:tblPr>
        <w:tblW w:w="7282" w:type="dxa"/>
        <w:tblLook w:val="04A0" w:firstRow="1" w:lastRow="0" w:firstColumn="1" w:lastColumn="0" w:noHBand="0" w:noVBand="1"/>
      </w:tblPr>
      <w:tblGrid>
        <w:gridCol w:w="2756"/>
        <w:gridCol w:w="936"/>
        <w:gridCol w:w="876"/>
        <w:gridCol w:w="876"/>
        <w:gridCol w:w="919"/>
        <w:gridCol w:w="919"/>
      </w:tblGrid>
      <w:tr w:rsidR="00FA13E0" w:rsidRPr="00356F0E" w14:paraId="794871A0" w14:textId="77777777" w:rsidTr="000E317F">
        <w:trPr>
          <w:trHeight w:val="452"/>
        </w:trPr>
        <w:tc>
          <w:tcPr>
            <w:tcW w:w="2756" w:type="dxa"/>
            <w:tcBorders>
              <w:top w:val="single" w:sz="4" w:space="0" w:color="auto"/>
              <w:left w:val="nil"/>
              <w:bottom w:val="nil"/>
              <w:right w:val="nil"/>
            </w:tcBorders>
            <w:shd w:val="clear" w:color="auto" w:fill="auto"/>
            <w:noWrap/>
            <w:vAlign w:val="center"/>
            <w:hideMark/>
          </w:tcPr>
          <w:p w14:paraId="78F0B53F" w14:textId="77777777" w:rsidR="00FA13E0" w:rsidRPr="00356F0E" w:rsidRDefault="00FA13E0" w:rsidP="00C63902">
            <w:pPr>
              <w:spacing w:after="0" w:line="240" w:lineRule="auto"/>
              <w:jc w:val="left"/>
              <w:rPr>
                <w:rFonts w:ascii="Arial" w:hAnsi="Arial" w:cs="Arial"/>
                <w:color w:val="000000"/>
                <w:sz w:val="16"/>
                <w:szCs w:val="16"/>
              </w:rPr>
            </w:pPr>
            <w:r w:rsidRPr="00356F0E">
              <w:rPr>
                <w:rFonts w:ascii="Arial" w:hAnsi="Arial" w:cs="Arial"/>
                <w:color w:val="000000"/>
                <w:sz w:val="16"/>
                <w:szCs w:val="16"/>
              </w:rPr>
              <w:t> </w:t>
            </w:r>
          </w:p>
        </w:tc>
        <w:tc>
          <w:tcPr>
            <w:tcW w:w="936" w:type="dxa"/>
            <w:tcBorders>
              <w:top w:val="single" w:sz="4" w:space="0" w:color="auto"/>
              <w:left w:val="nil"/>
              <w:bottom w:val="single" w:sz="4" w:space="0" w:color="000000"/>
              <w:right w:val="nil"/>
            </w:tcBorders>
            <w:shd w:val="clear" w:color="auto" w:fill="auto"/>
            <w:vAlign w:val="center"/>
            <w:hideMark/>
          </w:tcPr>
          <w:p w14:paraId="456639A8" w14:textId="77777777" w:rsidR="00FA13E0" w:rsidRPr="00356F0E" w:rsidRDefault="00FA13E0" w:rsidP="00C63902">
            <w:pPr>
              <w:spacing w:after="0" w:line="240" w:lineRule="auto"/>
              <w:jc w:val="right"/>
              <w:rPr>
                <w:rFonts w:ascii="Arial" w:hAnsi="Arial" w:cs="Arial"/>
                <w:color w:val="000000"/>
                <w:sz w:val="16"/>
                <w:szCs w:val="16"/>
              </w:rPr>
            </w:pPr>
            <w:r w:rsidRPr="00356F0E">
              <w:rPr>
                <w:rFonts w:ascii="Arial" w:hAnsi="Arial" w:cs="Arial"/>
                <w:color w:val="000000"/>
                <w:sz w:val="16"/>
                <w:szCs w:val="16"/>
              </w:rPr>
              <w:t>2020-21</w:t>
            </w:r>
            <w:r w:rsidRPr="00356F0E">
              <w:rPr>
                <w:rFonts w:ascii="Arial" w:hAnsi="Arial" w:cs="Arial"/>
                <w:color w:val="000000"/>
                <w:sz w:val="16"/>
                <w:szCs w:val="16"/>
              </w:rPr>
              <w:br/>
              <w:t>Available</w:t>
            </w:r>
            <w:r w:rsidRPr="00356F0E">
              <w:rPr>
                <w:rFonts w:ascii="Arial" w:hAnsi="Arial" w:cs="Arial"/>
                <w:color w:val="000000"/>
                <w:sz w:val="16"/>
                <w:szCs w:val="16"/>
              </w:rPr>
              <w:br/>
              <w:t>$'000</w:t>
            </w:r>
          </w:p>
        </w:tc>
        <w:tc>
          <w:tcPr>
            <w:tcW w:w="876" w:type="dxa"/>
            <w:tcBorders>
              <w:top w:val="single" w:sz="4" w:space="0" w:color="auto"/>
              <w:left w:val="nil"/>
              <w:bottom w:val="single" w:sz="4" w:space="0" w:color="000000"/>
              <w:right w:val="nil"/>
            </w:tcBorders>
            <w:shd w:val="clear" w:color="auto" w:fill="auto"/>
            <w:vAlign w:val="center"/>
            <w:hideMark/>
          </w:tcPr>
          <w:p w14:paraId="7DBEC0F6" w14:textId="77777777" w:rsidR="00FA13E0" w:rsidRPr="00356F0E" w:rsidRDefault="00FA13E0" w:rsidP="00C63902">
            <w:pPr>
              <w:spacing w:after="0" w:line="240" w:lineRule="auto"/>
              <w:jc w:val="right"/>
              <w:rPr>
                <w:rFonts w:ascii="Arial" w:hAnsi="Arial" w:cs="Arial"/>
                <w:color w:val="000000"/>
                <w:sz w:val="16"/>
                <w:szCs w:val="16"/>
              </w:rPr>
            </w:pPr>
            <w:r w:rsidRPr="00356F0E">
              <w:rPr>
                <w:rFonts w:ascii="Arial" w:hAnsi="Arial" w:cs="Arial"/>
                <w:color w:val="000000"/>
                <w:sz w:val="16"/>
                <w:szCs w:val="16"/>
              </w:rPr>
              <w:t>2021-22</w:t>
            </w:r>
            <w:r w:rsidRPr="00356F0E">
              <w:rPr>
                <w:rFonts w:ascii="Arial" w:hAnsi="Arial" w:cs="Arial"/>
                <w:color w:val="000000"/>
                <w:sz w:val="16"/>
                <w:szCs w:val="16"/>
              </w:rPr>
              <w:br/>
              <w:t>Budget</w:t>
            </w:r>
            <w:r w:rsidRPr="00356F0E">
              <w:rPr>
                <w:rFonts w:ascii="Arial" w:hAnsi="Arial" w:cs="Arial"/>
                <w:color w:val="000000"/>
                <w:sz w:val="16"/>
                <w:szCs w:val="16"/>
              </w:rPr>
              <w:br/>
              <w:t>$'000</w:t>
            </w:r>
          </w:p>
        </w:tc>
        <w:tc>
          <w:tcPr>
            <w:tcW w:w="876" w:type="dxa"/>
            <w:tcBorders>
              <w:top w:val="single" w:sz="4" w:space="0" w:color="auto"/>
              <w:left w:val="nil"/>
              <w:bottom w:val="single" w:sz="4" w:space="0" w:color="000000"/>
              <w:right w:val="nil"/>
            </w:tcBorders>
            <w:shd w:val="clear" w:color="auto" w:fill="auto"/>
            <w:vAlign w:val="center"/>
            <w:hideMark/>
          </w:tcPr>
          <w:p w14:paraId="19FDA2E4" w14:textId="77777777" w:rsidR="00FA13E0" w:rsidRPr="00356F0E" w:rsidRDefault="00FA13E0" w:rsidP="00C63902">
            <w:pPr>
              <w:spacing w:after="0" w:line="240" w:lineRule="auto"/>
              <w:jc w:val="right"/>
              <w:rPr>
                <w:rFonts w:ascii="Arial" w:hAnsi="Arial" w:cs="Arial"/>
                <w:color w:val="000000"/>
                <w:sz w:val="16"/>
                <w:szCs w:val="16"/>
              </w:rPr>
            </w:pPr>
            <w:r w:rsidRPr="00356F0E">
              <w:rPr>
                <w:rFonts w:ascii="Arial" w:hAnsi="Arial" w:cs="Arial"/>
                <w:color w:val="000000"/>
                <w:sz w:val="16"/>
                <w:szCs w:val="16"/>
              </w:rPr>
              <w:t>2021-22</w:t>
            </w:r>
            <w:r w:rsidRPr="00356F0E">
              <w:rPr>
                <w:rFonts w:ascii="Arial" w:hAnsi="Arial" w:cs="Arial"/>
                <w:color w:val="000000"/>
                <w:sz w:val="16"/>
                <w:szCs w:val="16"/>
              </w:rPr>
              <w:br/>
              <w:t>Revised</w:t>
            </w:r>
            <w:r w:rsidRPr="00356F0E">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325ED2AE" w14:textId="77777777" w:rsidR="00FA13E0" w:rsidRPr="00356F0E" w:rsidRDefault="00FA13E0" w:rsidP="00C63902">
            <w:pPr>
              <w:spacing w:after="0" w:line="240" w:lineRule="auto"/>
              <w:jc w:val="right"/>
              <w:rPr>
                <w:rFonts w:ascii="Arial" w:hAnsi="Arial" w:cs="Arial"/>
                <w:color w:val="000000"/>
                <w:sz w:val="16"/>
                <w:szCs w:val="16"/>
              </w:rPr>
            </w:pPr>
            <w:r w:rsidRPr="00356F0E">
              <w:rPr>
                <w:rFonts w:ascii="Arial" w:hAnsi="Arial" w:cs="Arial"/>
                <w:color w:val="000000"/>
                <w:sz w:val="16"/>
                <w:szCs w:val="16"/>
              </w:rPr>
              <w:t>Additional Estimates</w:t>
            </w:r>
            <w:r w:rsidRPr="00356F0E">
              <w:rPr>
                <w:rFonts w:ascii="Arial" w:hAnsi="Arial" w:cs="Arial"/>
                <w:color w:val="000000"/>
                <w:sz w:val="16"/>
                <w:szCs w:val="16"/>
              </w:rPr>
              <w:br/>
              <w:t>$'000</w:t>
            </w:r>
          </w:p>
        </w:tc>
        <w:tc>
          <w:tcPr>
            <w:tcW w:w="919" w:type="dxa"/>
            <w:tcBorders>
              <w:top w:val="single" w:sz="4" w:space="0" w:color="auto"/>
              <w:left w:val="nil"/>
              <w:bottom w:val="single" w:sz="4" w:space="0" w:color="000000"/>
              <w:right w:val="nil"/>
            </w:tcBorders>
            <w:shd w:val="clear" w:color="000000" w:fill="E6E6E6"/>
            <w:vAlign w:val="center"/>
            <w:hideMark/>
          </w:tcPr>
          <w:p w14:paraId="7AC52C7B" w14:textId="77777777" w:rsidR="00FA13E0" w:rsidRPr="00356F0E" w:rsidRDefault="00FA13E0" w:rsidP="00C63902">
            <w:pPr>
              <w:spacing w:after="0" w:line="240" w:lineRule="auto"/>
              <w:jc w:val="right"/>
              <w:rPr>
                <w:rFonts w:ascii="Arial" w:hAnsi="Arial" w:cs="Arial"/>
                <w:color w:val="000000"/>
                <w:sz w:val="16"/>
                <w:szCs w:val="16"/>
              </w:rPr>
            </w:pPr>
            <w:r w:rsidRPr="00356F0E">
              <w:rPr>
                <w:rFonts w:ascii="Arial" w:hAnsi="Arial" w:cs="Arial"/>
                <w:color w:val="000000"/>
                <w:sz w:val="16"/>
                <w:szCs w:val="16"/>
              </w:rPr>
              <w:t>Reduced Estimates</w:t>
            </w:r>
            <w:r w:rsidRPr="00356F0E">
              <w:rPr>
                <w:rFonts w:ascii="Arial" w:hAnsi="Arial" w:cs="Arial"/>
                <w:color w:val="000000"/>
                <w:sz w:val="16"/>
                <w:szCs w:val="16"/>
              </w:rPr>
              <w:br/>
              <w:t>$'000</w:t>
            </w:r>
          </w:p>
        </w:tc>
      </w:tr>
      <w:tr w:rsidR="00FA13E0" w:rsidRPr="00356F0E" w14:paraId="2347F4BE" w14:textId="77777777" w:rsidTr="00553851">
        <w:trPr>
          <w:trHeight w:val="204"/>
        </w:trPr>
        <w:tc>
          <w:tcPr>
            <w:tcW w:w="2756" w:type="dxa"/>
            <w:tcBorders>
              <w:top w:val="nil"/>
              <w:left w:val="nil"/>
              <w:bottom w:val="nil"/>
              <w:right w:val="nil"/>
            </w:tcBorders>
            <w:shd w:val="clear" w:color="auto" w:fill="auto"/>
            <w:noWrap/>
            <w:vAlign w:val="bottom"/>
            <w:hideMark/>
          </w:tcPr>
          <w:p w14:paraId="6B3C0C92" w14:textId="1CFADF5B" w:rsidR="00FA13E0" w:rsidRPr="00356F0E" w:rsidRDefault="008863D9" w:rsidP="00C63902">
            <w:pPr>
              <w:spacing w:after="0" w:line="240" w:lineRule="auto"/>
              <w:jc w:val="left"/>
              <w:rPr>
                <w:rFonts w:ascii="Arial" w:hAnsi="Arial" w:cs="Arial"/>
                <w:b/>
                <w:bCs/>
                <w:color w:val="000000"/>
                <w:sz w:val="16"/>
                <w:szCs w:val="16"/>
              </w:rPr>
            </w:pPr>
            <w:r>
              <w:rPr>
                <w:rFonts w:ascii="Arial" w:hAnsi="Arial" w:cs="Arial"/>
                <w:b/>
                <w:bCs/>
                <w:color w:val="000000"/>
                <w:sz w:val="16"/>
                <w:szCs w:val="16"/>
              </w:rPr>
              <w:t>Department</w:t>
            </w:r>
            <w:r w:rsidR="00FA13E0" w:rsidRPr="00356F0E">
              <w:rPr>
                <w:rFonts w:ascii="Arial" w:hAnsi="Arial" w:cs="Arial"/>
                <w:b/>
                <w:bCs/>
                <w:color w:val="000000"/>
                <w:sz w:val="16"/>
                <w:szCs w:val="16"/>
              </w:rPr>
              <w:t>al programs</w:t>
            </w:r>
          </w:p>
        </w:tc>
        <w:tc>
          <w:tcPr>
            <w:tcW w:w="936" w:type="dxa"/>
            <w:tcBorders>
              <w:top w:val="nil"/>
              <w:left w:val="nil"/>
              <w:right w:val="nil"/>
            </w:tcBorders>
            <w:shd w:val="clear" w:color="auto" w:fill="auto"/>
            <w:noWrap/>
            <w:vAlign w:val="bottom"/>
            <w:hideMark/>
          </w:tcPr>
          <w:p w14:paraId="79BB2A35" w14:textId="77777777" w:rsidR="00FA13E0" w:rsidRPr="00376473" w:rsidRDefault="00FA13E0" w:rsidP="000E317F">
            <w:pPr>
              <w:spacing w:after="0" w:line="240" w:lineRule="auto"/>
              <w:jc w:val="right"/>
              <w:rPr>
                <w:rFonts w:ascii="Arial" w:hAnsi="Arial" w:cs="Arial"/>
                <w:b/>
                <w:bCs/>
                <w:color w:val="000000"/>
                <w:sz w:val="16"/>
                <w:szCs w:val="16"/>
              </w:rPr>
            </w:pPr>
          </w:p>
        </w:tc>
        <w:tc>
          <w:tcPr>
            <w:tcW w:w="876" w:type="dxa"/>
            <w:tcBorders>
              <w:top w:val="nil"/>
              <w:left w:val="nil"/>
              <w:right w:val="nil"/>
            </w:tcBorders>
            <w:shd w:val="clear" w:color="auto" w:fill="auto"/>
            <w:noWrap/>
            <w:vAlign w:val="bottom"/>
            <w:hideMark/>
          </w:tcPr>
          <w:p w14:paraId="1C4F261F" w14:textId="77777777" w:rsidR="00FA13E0" w:rsidRPr="000E317F" w:rsidRDefault="00FA13E0" w:rsidP="000E317F">
            <w:pPr>
              <w:spacing w:after="0" w:line="240" w:lineRule="auto"/>
              <w:jc w:val="right"/>
              <w:rPr>
                <w:rFonts w:ascii="Times New Roman" w:hAnsi="Times New Roman"/>
                <w:sz w:val="16"/>
                <w:szCs w:val="16"/>
              </w:rPr>
            </w:pPr>
          </w:p>
        </w:tc>
        <w:tc>
          <w:tcPr>
            <w:tcW w:w="876" w:type="dxa"/>
            <w:tcBorders>
              <w:top w:val="nil"/>
              <w:left w:val="nil"/>
              <w:right w:val="nil"/>
            </w:tcBorders>
            <w:shd w:val="clear" w:color="auto" w:fill="auto"/>
            <w:noWrap/>
            <w:vAlign w:val="bottom"/>
            <w:hideMark/>
          </w:tcPr>
          <w:p w14:paraId="23763846" w14:textId="77777777" w:rsidR="00FA13E0" w:rsidRPr="000E317F" w:rsidRDefault="00FA13E0" w:rsidP="000E317F">
            <w:pPr>
              <w:spacing w:after="0" w:line="240" w:lineRule="auto"/>
              <w:jc w:val="right"/>
              <w:rPr>
                <w:rFonts w:ascii="Times New Roman" w:hAnsi="Times New Roman"/>
                <w:sz w:val="16"/>
                <w:szCs w:val="16"/>
              </w:rPr>
            </w:pPr>
          </w:p>
        </w:tc>
        <w:tc>
          <w:tcPr>
            <w:tcW w:w="919" w:type="dxa"/>
            <w:tcBorders>
              <w:top w:val="nil"/>
              <w:left w:val="nil"/>
              <w:right w:val="nil"/>
            </w:tcBorders>
            <w:shd w:val="clear" w:color="000000" w:fill="E6E6E6"/>
            <w:noWrap/>
            <w:vAlign w:val="bottom"/>
            <w:hideMark/>
          </w:tcPr>
          <w:p w14:paraId="09599413" w14:textId="7D013657" w:rsidR="00FA13E0" w:rsidRPr="00376473" w:rsidRDefault="00FA13E0" w:rsidP="000E317F">
            <w:pPr>
              <w:spacing w:after="0" w:line="240" w:lineRule="auto"/>
              <w:jc w:val="right"/>
              <w:rPr>
                <w:rFonts w:ascii="Arial" w:hAnsi="Arial" w:cs="Arial"/>
                <w:color w:val="000000"/>
                <w:sz w:val="16"/>
                <w:szCs w:val="16"/>
              </w:rPr>
            </w:pPr>
          </w:p>
        </w:tc>
        <w:tc>
          <w:tcPr>
            <w:tcW w:w="919" w:type="dxa"/>
            <w:tcBorders>
              <w:top w:val="nil"/>
              <w:left w:val="nil"/>
              <w:right w:val="nil"/>
            </w:tcBorders>
            <w:shd w:val="clear" w:color="000000" w:fill="E6E6E6"/>
            <w:noWrap/>
            <w:vAlign w:val="bottom"/>
            <w:hideMark/>
          </w:tcPr>
          <w:p w14:paraId="4C924AAF" w14:textId="328EA350" w:rsidR="00FA13E0" w:rsidRPr="00376473" w:rsidRDefault="00FA13E0" w:rsidP="000E317F">
            <w:pPr>
              <w:spacing w:after="0" w:line="240" w:lineRule="auto"/>
              <w:jc w:val="right"/>
              <w:rPr>
                <w:rFonts w:ascii="Arial" w:hAnsi="Arial" w:cs="Arial"/>
                <w:color w:val="000000"/>
                <w:sz w:val="16"/>
                <w:szCs w:val="16"/>
              </w:rPr>
            </w:pPr>
          </w:p>
        </w:tc>
      </w:tr>
      <w:tr w:rsidR="00FA13E0" w:rsidRPr="00356F0E" w14:paraId="025800BE" w14:textId="77777777" w:rsidTr="00553851">
        <w:trPr>
          <w:trHeight w:val="204"/>
        </w:trPr>
        <w:tc>
          <w:tcPr>
            <w:tcW w:w="2756" w:type="dxa"/>
            <w:tcBorders>
              <w:top w:val="nil"/>
              <w:left w:val="nil"/>
              <w:bottom w:val="nil"/>
              <w:right w:val="nil"/>
            </w:tcBorders>
            <w:shd w:val="clear" w:color="auto" w:fill="auto"/>
            <w:vAlign w:val="bottom"/>
            <w:hideMark/>
          </w:tcPr>
          <w:p w14:paraId="4A21E22D" w14:textId="3BAAADB5" w:rsidR="00376473" w:rsidRDefault="00FA13E0" w:rsidP="000E317F">
            <w:pPr>
              <w:spacing w:after="0" w:line="240" w:lineRule="auto"/>
              <w:ind w:left="113"/>
              <w:jc w:val="left"/>
              <w:rPr>
                <w:rFonts w:ascii="Arial" w:hAnsi="Arial" w:cs="Arial"/>
                <w:color w:val="000000"/>
                <w:sz w:val="16"/>
                <w:szCs w:val="16"/>
              </w:rPr>
            </w:pPr>
            <w:r w:rsidRPr="00356F0E">
              <w:rPr>
                <w:rFonts w:ascii="Arial" w:hAnsi="Arial" w:cs="Arial"/>
                <w:b/>
                <w:bCs/>
                <w:color w:val="000000"/>
                <w:sz w:val="16"/>
                <w:szCs w:val="16"/>
              </w:rPr>
              <w:t xml:space="preserve">Outcome 1 </w:t>
            </w:r>
          </w:p>
          <w:p w14:paraId="1A84D659" w14:textId="209D35B3" w:rsidR="00FA13E0" w:rsidRPr="00356F0E" w:rsidRDefault="00FA13E0" w:rsidP="000E317F">
            <w:pPr>
              <w:spacing w:after="0" w:line="240" w:lineRule="auto"/>
              <w:ind w:left="113"/>
              <w:jc w:val="left"/>
              <w:rPr>
                <w:rFonts w:ascii="Arial" w:hAnsi="Arial" w:cs="Arial"/>
                <w:b/>
                <w:bCs/>
                <w:color w:val="000000"/>
                <w:sz w:val="16"/>
                <w:szCs w:val="16"/>
              </w:rPr>
            </w:pPr>
            <w:r w:rsidRPr="00356F0E">
              <w:rPr>
                <w:rFonts w:ascii="Arial" w:hAnsi="Arial" w:cs="Arial"/>
                <w:color w:val="000000"/>
                <w:sz w:val="16"/>
                <w:szCs w:val="16"/>
              </w:rPr>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c>
          <w:tcPr>
            <w:tcW w:w="936" w:type="dxa"/>
            <w:tcBorders>
              <w:top w:val="nil"/>
              <w:left w:val="nil"/>
              <w:bottom w:val="single" w:sz="4" w:space="0" w:color="auto"/>
              <w:right w:val="nil"/>
            </w:tcBorders>
            <w:shd w:val="clear" w:color="auto" w:fill="auto"/>
            <w:noWrap/>
            <w:vAlign w:val="bottom"/>
            <w:hideMark/>
          </w:tcPr>
          <w:p w14:paraId="751FC615" w14:textId="251C09B5" w:rsidR="00FA13E0" w:rsidRPr="00376473" w:rsidRDefault="00FA13E0" w:rsidP="00C63902">
            <w:pPr>
              <w:spacing w:after="0" w:line="240" w:lineRule="auto"/>
              <w:jc w:val="right"/>
              <w:rPr>
                <w:rFonts w:ascii="Arial" w:hAnsi="Arial" w:cs="Arial"/>
                <w:color w:val="000000"/>
                <w:sz w:val="16"/>
                <w:szCs w:val="16"/>
              </w:rPr>
            </w:pPr>
            <w:r w:rsidRPr="00376473">
              <w:rPr>
                <w:rFonts w:ascii="Arial" w:hAnsi="Arial" w:cs="Arial"/>
                <w:color w:val="000000"/>
                <w:sz w:val="16"/>
                <w:szCs w:val="16"/>
              </w:rPr>
              <w:t>3,629</w:t>
            </w:r>
          </w:p>
        </w:tc>
        <w:tc>
          <w:tcPr>
            <w:tcW w:w="876" w:type="dxa"/>
            <w:tcBorders>
              <w:top w:val="nil"/>
              <w:left w:val="nil"/>
              <w:bottom w:val="single" w:sz="4" w:space="0" w:color="auto"/>
              <w:right w:val="nil"/>
            </w:tcBorders>
            <w:shd w:val="clear" w:color="auto" w:fill="auto"/>
            <w:noWrap/>
            <w:vAlign w:val="bottom"/>
            <w:hideMark/>
          </w:tcPr>
          <w:p w14:paraId="5EFF04D8" w14:textId="3FAD2FD5" w:rsidR="00FA13E0" w:rsidRPr="00376473" w:rsidRDefault="00FA13E0" w:rsidP="00C63902">
            <w:pPr>
              <w:spacing w:after="0" w:line="240" w:lineRule="auto"/>
              <w:jc w:val="right"/>
              <w:rPr>
                <w:rFonts w:ascii="Arial" w:hAnsi="Arial" w:cs="Arial"/>
                <w:color w:val="000000"/>
                <w:sz w:val="16"/>
                <w:szCs w:val="16"/>
              </w:rPr>
            </w:pPr>
            <w:r w:rsidRPr="00376473">
              <w:rPr>
                <w:rFonts w:ascii="Arial" w:hAnsi="Arial" w:cs="Arial"/>
                <w:color w:val="000000"/>
                <w:sz w:val="16"/>
                <w:szCs w:val="16"/>
              </w:rPr>
              <w:t>3,603</w:t>
            </w:r>
          </w:p>
        </w:tc>
        <w:tc>
          <w:tcPr>
            <w:tcW w:w="876" w:type="dxa"/>
            <w:tcBorders>
              <w:top w:val="nil"/>
              <w:left w:val="nil"/>
              <w:bottom w:val="single" w:sz="4" w:space="0" w:color="auto"/>
              <w:right w:val="nil"/>
            </w:tcBorders>
            <w:shd w:val="clear" w:color="auto" w:fill="auto"/>
            <w:noWrap/>
            <w:vAlign w:val="bottom"/>
            <w:hideMark/>
          </w:tcPr>
          <w:p w14:paraId="7869BDFD" w14:textId="7210D85D" w:rsidR="00FA13E0" w:rsidRPr="00376473" w:rsidRDefault="00FA13E0" w:rsidP="00C63902">
            <w:pPr>
              <w:spacing w:after="0" w:line="240" w:lineRule="auto"/>
              <w:jc w:val="right"/>
              <w:rPr>
                <w:rFonts w:ascii="Arial" w:hAnsi="Arial" w:cs="Arial"/>
                <w:color w:val="000000"/>
                <w:sz w:val="16"/>
                <w:szCs w:val="16"/>
              </w:rPr>
            </w:pPr>
            <w:r w:rsidRPr="00376473">
              <w:rPr>
                <w:rFonts w:ascii="Arial" w:hAnsi="Arial" w:cs="Arial"/>
                <w:color w:val="000000"/>
                <w:sz w:val="16"/>
                <w:szCs w:val="16"/>
              </w:rPr>
              <w:t>4,464</w:t>
            </w:r>
          </w:p>
        </w:tc>
        <w:tc>
          <w:tcPr>
            <w:tcW w:w="919" w:type="dxa"/>
            <w:tcBorders>
              <w:top w:val="nil"/>
              <w:left w:val="nil"/>
              <w:bottom w:val="single" w:sz="4" w:space="0" w:color="auto"/>
              <w:right w:val="nil"/>
            </w:tcBorders>
            <w:shd w:val="clear" w:color="000000" w:fill="E6E6E6"/>
            <w:noWrap/>
            <w:vAlign w:val="bottom"/>
            <w:hideMark/>
          </w:tcPr>
          <w:p w14:paraId="0BAA85DB" w14:textId="0B496DC3" w:rsidR="00FA13E0" w:rsidRPr="00376473" w:rsidRDefault="00FA13E0" w:rsidP="00C63902">
            <w:pPr>
              <w:spacing w:after="0" w:line="240" w:lineRule="auto"/>
              <w:jc w:val="right"/>
              <w:rPr>
                <w:rFonts w:ascii="Arial" w:hAnsi="Arial" w:cs="Arial"/>
                <w:color w:val="000000"/>
                <w:sz w:val="16"/>
                <w:szCs w:val="16"/>
              </w:rPr>
            </w:pPr>
            <w:r w:rsidRPr="00376473">
              <w:rPr>
                <w:rFonts w:ascii="Arial" w:hAnsi="Arial" w:cs="Arial"/>
                <w:color w:val="000000"/>
                <w:sz w:val="16"/>
                <w:szCs w:val="16"/>
              </w:rPr>
              <w:t>861</w:t>
            </w:r>
          </w:p>
        </w:tc>
        <w:tc>
          <w:tcPr>
            <w:tcW w:w="919" w:type="dxa"/>
            <w:tcBorders>
              <w:top w:val="nil"/>
              <w:left w:val="nil"/>
              <w:bottom w:val="single" w:sz="4" w:space="0" w:color="auto"/>
              <w:right w:val="nil"/>
            </w:tcBorders>
            <w:shd w:val="clear" w:color="000000" w:fill="E6E6E6"/>
            <w:noWrap/>
            <w:vAlign w:val="bottom"/>
            <w:hideMark/>
          </w:tcPr>
          <w:p w14:paraId="27DDC840" w14:textId="50FB33F4" w:rsidR="00FA13E0" w:rsidRPr="00376473" w:rsidRDefault="00EF379E" w:rsidP="000E317F">
            <w:pPr>
              <w:spacing w:after="0" w:line="240" w:lineRule="auto"/>
              <w:jc w:val="right"/>
              <w:rPr>
                <w:rFonts w:ascii="Arial" w:hAnsi="Arial" w:cs="Arial"/>
                <w:color w:val="000000"/>
                <w:sz w:val="16"/>
                <w:szCs w:val="16"/>
              </w:rPr>
            </w:pPr>
            <w:r w:rsidRPr="00376473">
              <w:rPr>
                <w:rFonts w:ascii="Arial" w:hAnsi="Arial" w:cs="Arial"/>
                <w:color w:val="000000"/>
                <w:sz w:val="16"/>
                <w:szCs w:val="16"/>
              </w:rPr>
              <w:t>-</w:t>
            </w:r>
          </w:p>
        </w:tc>
      </w:tr>
      <w:tr w:rsidR="00FA13E0" w:rsidRPr="00356F0E" w14:paraId="7D3E251D" w14:textId="77777777" w:rsidTr="00553851">
        <w:trPr>
          <w:trHeight w:val="204"/>
        </w:trPr>
        <w:tc>
          <w:tcPr>
            <w:tcW w:w="2756" w:type="dxa"/>
            <w:tcBorders>
              <w:top w:val="nil"/>
              <w:left w:val="nil"/>
              <w:bottom w:val="single" w:sz="4" w:space="0" w:color="000000"/>
              <w:right w:val="nil"/>
            </w:tcBorders>
            <w:shd w:val="clear" w:color="auto" w:fill="auto"/>
            <w:vAlign w:val="bottom"/>
            <w:hideMark/>
          </w:tcPr>
          <w:p w14:paraId="57C65ABF" w14:textId="5EC1393C" w:rsidR="00FA13E0" w:rsidRPr="00356F0E" w:rsidRDefault="00FA13E0" w:rsidP="00EF379E">
            <w:pPr>
              <w:spacing w:after="0" w:line="240" w:lineRule="auto"/>
              <w:jc w:val="left"/>
              <w:rPr>
                <w:rFonts w:ascii="Arial" w:hAnsi="Arial" w:cs="Arial"/>
                <w:b/>
                <w:bCs/>
                <w:color w:val="000000"/>
                <w:sz w:val="16"/>
                <w:szCs w:val="16"/>
              </w:rPr>
            </w:pPr>
            <w:r w:rsidRPr="00356F0E">
              <w:rPr>
                <w:rFonts w:ascii="Arial" w:hAnsi="Arial" w:cs="Arial"/>
                <w:b/>
                <w:bCs/>
                <w:color w:val="000000"/>
                <w:sz w:val="16"/>
                <w:szCs w:val="16"/>
              </w:rPr>
              <w:t xml:space="preserve">Total </w:t>
            </w:r>
            <w:r w:rsidR="00D94F71">
              <w:rPr>
                <w:rFonts w:ascii="Arial" w:hAnsi="Arial" w:cs="Arial"/>
                <w:b/>
                <w:bCs/>
                <w:color w:val="000000"/>
                <w:sz w:val="16"/>
                <w:szCs w:val="16"/>
              </w:rPr>
              <w:t>D</w:t>
            </w:r>
            <w:r w:rsidR="008863D9">
              <w:rPr>
                <w:rFonts w:ascii="Arial" w:hAnsi="Arial" w:cs="Arial"/>
                <w:b/>
                <w:bCs/>
                <w:color w:val="000000"/>
                <w:sz w:val="16"/>
                <w:szCs w:val="16"/>
              </w:rPr>
              <w:t>epartment</w:t>
            </w:r>
            <w:r w:rsidRPr="00356F0E">
              <w:rPr>
                <w:rFonts w:ascii="Arial" w:hAnsi="Arial" w:cs="Arial"/>
                <w:b/>
                <w:bCs/>
                <w:color w:val="000000"/>
                <w:sz w:val="16"/>
                <w:szCs w:val="16"/>
              </w:rPr>
              <w:t>al</w:t>
            </w:r>
          </w:p>
        </w:tc>
        <w:tc>
          <w:tcPr>
            <w:tcW w:w="936" w:type="dxa"/>
            <w:tcBorders>
              <w:top w:val="single" w:sz="4" w:space="0" w:color="auto"/>
              <w:left w:val="nil"/>
              <w:bottom w:val="single" w:sz="4" w:space="0" w:color="000000"/>
              <w:right w:val="nil"/>
            </w:tcBorders>
            <w:shd w:val="clear" w:color="auto" w:fill="auto"/>
            <w:noWrap/>
            <w:vAlign w:val="bottom"/>
            <w:hideMark/>
          </w:tcPr>
          <w:p w14:paraId="6F9424B4" w14:textId="1B047CA0" w:rsidR="00FA13E0" w:rsidRPr="00376473" w:rsidRDefault="00FA13E0" w:rsidP="00C63902">
            <w:pPr>
              <w:spacing w:after="0" w:line="240" w:lineRule="auto"/>
              <w:jc w:val="right"/>
              <w:rPr>
                <w:rFonts w:ascii="Arial" w:hAnsi="Arial" w:cs="Arial"/>
                <w:b/>
                <w:bCs/>
                <w:color w:val="000000"/>
                <w:sz w:val="16"/>
                <w:szCs w:val="16"/>
              </w:rPr>
            </w:pPr>
            <w:r w:rsidRPr="00376473">
              <w:rPr>
                <w:rFonts w:ascii="Arial" w:hAnsi="Arial" w:cs="Arial"/>
                <w:b/>
                <w:bCs/>
                <w:color w:val="000000"/>
                <w:sz w:val="16"/>
                <w:szCs w:val="16"/>
              </w:rPr>
              <w:t>3,629</w:t>
            </w:r>
          </w:p>
        </w:tc>
        <w:tc>
          <w:tcPr>
            <w:tcW w:w="876" w:type="dxa"/>
            <w:tcBorders>
              <w:top w:val="single" w:sz="4" w:space="0" w:color="auto"/>
              <w:left w:val="nil"/>
              <w:bottom w:val="single" w:sz="4" w:space="0" w:color="000000"/>
              <w:right w:val="nil"/>
            </w:tcBorders>
            <w:shd w:val="clear" w:color="auto" w:fill="auto"/>
            <w:noWrap/>
            <w:vAlign w:val="bottom"/>
            <w:hideMark/>
          </w:tcPr>
          <w:p w14:paraId="21510CFF" w14:textId="162DD51A" w:rsidR="00FA13E0" w:rsidRPr="00376473" w:rsidRDefault="00FA13E0" w:rsidP="00C63902">
            <w:pPr>
              <w:spacing w:after="0" w:line="240" w:lineRule="auto"/>
              <w:jc w:val="right"/>
              <w:rPr>
                <w:rFonts w:ascii="Arial" w:hAnsi="Arial" w:cs="Arial"/>
                <w:b/>
                <w:bCs/>
                <w:color w:val="000000"/>
                <w:sz w:val="16"/>
                <w:szCs w:val="16"/>
              </w:rPr>
            </w:pPr>
            <w:r w:rsidRPr="00376473">
              <w:rPr>
                <w:rFonts w:ascii="Arial" w:hAnsi="Arial" w:cs="Arial"/>
                <w:b/>
                <w:bCs/>
                <w:color w:val="000000"/>
                <w:sz w:val="16"/>
                <w:szCs w:val="16"/>
              </w:rPr>
              <w:t>3,603</w:t>
            </w:r>
          </w:p>
        </w:tc>
        <w:tc>
          <w:tcPr>
            <w:tcW w:w="876" w:type="dxa"/>
            <w:tcBorders>
              <w:top w:val="single" w:sz="4" w:space="0" w:color="auto"/>
              <w:left w:val="nil"/>
              <w:bottom w:val="single" w:sz="4" w:space="0" w:color="000000"/>
              <w:right w:val="nil"/>
            </w:tcBorders>
            <w:shd w:val="clear" w:color="auto" w:fill="auto"/>
            <w:noWrap/>
            <w:vAlign w:val="bottom"/>
            <w:hideMark/>
          </w:tcPr>
          <w:p w14:paraId="3D6C5300" w14:textId="77550B27" w:rsidR="00FA13E0" w:rsidRPr="00376473" w:rsidRDefault="00FA13E0" w:rsidP="00C63902">
            <w:pPr>
              <w:spacing w:after="0" w:line="240" w:lineRule="auto"/>
              <w:jc w:val="right"/>
              <w:rPr>
                <w:rFonts w:ascii="Arial" w:hAnsi="Arial" w:cs="Arial"/>
                <w:b/>
                <w:bCs/>
                <w:color w:val="000000"/>
                <w:sz w:val="16"/>
                <w:szCs w:val="16"/>
              </w:rPr>
            </w:pPr>
            <w:r w:rsidRPr="00376473">
              <w:rPr>
                <w:rFonts w:ascii="Arial" w:hAnsi="Arial" w:cs="Arial"/>
                <w:b/>
                <w:bCs/>
                <w:color w:val="000000"/>
                <w:sz w:val="16"/>
                <w:szCs w:val="16"/>
              </w:rPr>
              <w:t>4,464</w:t>
            </w:r>
          </w:p>
        </w:tc>
        <w:tc>
          <w:tcPr>
            <w:tcW w:w="919" w:type="dxa"/>
            <w:tcBorders>
              <w:top w:val="single" w:sz="4" w:space="0" w:color="auto"/>
              <w:left w:val="nil"/>
              <w:bottom w:val="single" w:sz="4" w:space="0" w:color="000000"/>
              <w:right w:val="nil"/>
            </w:tcBorders>
            <w:shd w:val="clear" w:color="000000" w:fill="E6E6E6"/>
            <w:noWrap/>
            <w:vAlign w:val="bottom"/>
            <w:hideMark/>
          </w:tcPr>
          <w:p w14:paraId="7FB901F6" w14:textId="1499C6AA" w:rsidR="00FA13E0" w:rsidRPr="00376473" w:rsidRDefault="00FA13E0" w:rsidP="00C63902">
            <w:pPr>
              <w:spacing w:after="0" w:line="240" w:lineRule="auto"/>
              <w:jc w:val="right"/>
              <w:rPr>
                <w:rFonts w:ascii="Arial" w:hAnsi="Arial" w:cs="Arial"/>
                <w:b/>
                <w:bCs/>
                <w:color w:val="000000"/>
                <w:sz w:val="16"/>
                <w:szCs w:val="16"/>
              </w:rPr>
            </w:pPr>
            <w:r w:rsidRPr="00376473">
              <w:rPr>
                <w:rFonts w:ascii="Arial" w:hAnsi="Arial" w:cs="Arial"/>
                <w:b/>
                <w:bCs/>
                <w:color w:val="000000"/>
                <w:sz w:val="16"/>
                <w:szCs w:val="16"/>
              </w:rPr>
              <w:t>861</w:t>
            </w:r>
          </w:p>
        </w:tc>
        <w:tc>
          <w:tcPr>
            <w:tcW w:w="919" w:type="dxa"/>
            <w:tcBorders>
              <w:top w:val="single" w:sz="4" w:space="0" w:color="auto"/>
              <w:left w:val="nil"/>
              <w:bottom w:val="single" w:sz="4" w:space="0" w:color="000000"/>
              <w:right w:val="nil"/>
            </w:tcBorders>
            <w:shd w:val="clear" w:color="000000" w:fill="E6E6E6"/>
            <w:noWrap/>
            <w:vAlign w:val="bottom"/>
            <w:hideMark/>
          </w:tcPr>
          <w:p w14:paraId="778D27D6" w14:textId="2DC15741" w:rsidR="00FA13E0" w:rsidRPr="00376473" w:rsidRDefault="00FA13E0">
            <w:pPr>
              <w:spacing w:after="0" w:line="240" w:lineRule="auto"/>
              <w:jc w:val="right"/>
              <w:rPr>
                <w:rFonts w:ascii="Arial" w:hAnsi="Arial" w:cs="Arial"/>
                <w:b/>
                <w:bCs/>
                <w:color w:val="000000"/>
                <w:sz w:val="16"/>
                <w:szCs w:val="16"/>
              </w:rPr>
            </w:pPr>
            <w:r w:rsidRPr="00376473">
              <w:rPr>
                <w:rFonts w:ascii="Arial" w:hAnsi="Arial" w:cs="Arial"/>
                <w:b/>
                <w:bCs/>
                <w:color w:val="000000"/>
                <w:sz w:val="16"/>
                <w:szCs w:val="16"/>
              </w:rPr>
              <w:t>-</w:t>
            </w:r>
          </w:p>
        </w:tc>
      </w:tr>
    </w:tbl>
    <w:p w14:paraId="1A40B257" w14:textId="1F4906A4" w:rsidR="009A49F9" w:rsidRDefault="009A49F9" w:rsidP="00FA13E0">
      <w:pPr>
        <w:pStyle w:val="TableHeading"/>
        <w:rPr>
          <w:sz w:val="16"/>
        </w:rPr>
      </w:pPr>
    </w:p>
    <w:p w14:paraId="097A2DE0" w14:textId="77777777" w:rsidR="009A49F9" w:rsidRDefault="009A49F9" w:rsidP="009A49F9">
      <w:pPr>
        <w:pStyle w:val="TableHeading"/>
        <w:rPr>
          <w:lang w:val="en-GB"/>
        </w:rPr>
      </w:pPr>
      <w:r>
        <w:t>Table 1.5:</w:t>
      </w:r>
      <w:r w:rsidRPr="00D81F65">
        <w:t xml:space="preserve"> Appropriation Bill (No. 4) 20</w:t>
      </w:r>
      <w:r>
        <w:t>2</w:t>
      </w:r>
      <w:r>
        <w:rPr>
          <w:lang w:val="en-GB"/>
        </w:rPr>
        <w:t>1</w:t>
      </w:r>
      <w:r w:rsidRPr="00D81F65">
        <w:rPr>
          <w:rFonts w:hint="eastAsia"/>
        </w:rPr>
        <w:t>–</w:t>
      </w:r>
      <w:r>
        <w:t>2</w:t>
      </w:r>
      <w:r>
        <w:rPr>
          <w:lang w:val="en-GB"/>
        </w:rPr>
        <w:t>2</w:t>
      </w:r>
    </w:p>
    <w:p w14:paraId="10C47FAA" w14:textId="6D0C431B" w:rsidR="009A49F9" w:rsidRPr="00603A22" w:rsidRDefault="00EF379E" w:rsidP="00856095">
      <w:pPr>
        <w:jc w:val="left"/>
      </w:pPr>
      <w:r>
        <w:t xml:space="preserve">The </w:t>
      </w:r>
      <w:r w:rsidR="009A49F9">
        <w:t>NTC</w:t>
      </w:r>
      <w:r w:rsidR="009A49F9" w:rsidRPr="00603A22">
        <w:t xml:space="preserve"> </w:t>
      </w:r>
      <w:r>
        <w:t xml:space="preserve">is </w:t>
      </w:r>
      <w:r w:rsidR="009A49F9" w:rsidRPr="00603A22">
        <w:t xml:space="preserve">not seeking additional </w:t>
      </w:r>
      <w:r>
        <w:t xml:space="preserve">funding through </w:t>
      </w:r>
      <w:r w:rsidR="009A49F9" w:rsidRPr="00603A22">
        <w:t>Appropriation Bill (No. 4)</w:t>
      </w:r>
      <w:r>
        <w:t>.</w:t>
      </w:r>
    </w:p>
    <w:p w14:paraId="5555D093" w14:textId="37ED00B3" w:rsidR="00914885" w:rsidRDefault="00FA13E0" w:rsidP="00FA13E0">
      <w:pPr>
        <w:pStyle w:val="TableHeading"/>
      </w:pPr>
      <w:r>
        <w:rPr>
          <w:sz w:val="30"/>
        </w:rPr>
        <w:br w:type="page"/>
      </w:r>
    </w:p>
    <w:p w14:paraId="0935B3D3" w14:textId="69645725" w:rsidR="00914885" w:rsidRPr="00E41681" w:rsidRDefault="00914885" w:rsidP="00252B31">
      <w:pPr>
        <w:pStyle w:val="Heading2-TOCNTC"/>
      </w:pPr>
      <w:bookmarkStart w:id="532" w:name="_Toc93405367"/>
      <w:r w:rsidRPr="00E41681">
        <w:lastRenderedPageBreak/>
        <w:t>Section 2: Revisions to outcomes and planned performance</w:t>
      </w:r>
      <w:bookmarkEnd w:id="532"/>
    </w:p>
    <w:p w14:paraId="69A1AFF7" w14:textId="77777777" w:rsidR="007731E2" w:rsidRDefault="007731E2" w:rsidP="00F37CD1">
      <w:pPr>
        <w:pStyle w:val="Heading3NTC"/>
      </w:pPr>
      <w:bookmarkStart w:id="533" w:name="_Toc93405203"/>
      <w:bookmarkStart w:id="534" w:name="_Toc93405368"/>
      <w:r>
        <w:t>2.1</w:t>
      </w:r>
      <w:r>
        <w:tab/>
        <w:t>Changes to outcome and program structures</w:t>
      </w:r>
      <w:bookmarkEnd w:id="533"/>
      <w:bookmarkEnd w:id="534"/>
      <w:r>
        <w:t xml:space="preserve"> </w:t>
      </w:r>
    </w:p>
    <w:p w14:paraId="6286F4F0" w14:textId="5D2E95C8" w:rsidR="00EF379E" w:rsidRPr="001D1BCB" w:rsidRDefault="00EF379E" w:rsidP="007731E2">
      <w:pPr>
        <w:jc w:val="left"/>
        <w:rPr>
          <w:rFonts w:cs="Arial"/>
        </w:rPr>
      </w:pPr>
      <w:r w:rsidRPr="00EF379E">
        <w:rPr>
          <w:rFonts w:cs="Arial"/>
        </w:rPr>
        <w:t xml:space="preserve">There has been no revision to the NTC’s outcome and program structure since the </w:t>
      </w:r>
      <w:r w:rsidR="00360023" w:rsidRPr="001D1BCB">
        <w:rPr>
          <w:rFonts w:cs="Arial"/>
        </w:rPr>
        <w:t xml:space="preserve">2021-22 </w:t>
      </w:r>
      <w:r w:rsidRPr="001D1BCB">
        <w:rPr>
          <w:rFonts w:cs="Arial"/>
        </w:rPr>
        <w:t>Infrastructure, Transport, Regional Development and Communications PB</w:t>
      </w:r>
      <w:r w:rsidR="001D1BCB">
        <w:rPr>
          <w:rFonts w:cs="Arial"/>
        </w:rPr>
        <w:t> </w:t>
      </w:r>
      <w:r w:rsidRPr="001D1BCB">
        <w:rPr>
          <w:rFonts w:cs="Arial"/>
        </w:rPr>
        <w:t xml:space="preserve">Statements. </w:t>
      </w:r>
    </w:p>
    <w:p w14:paraId="16462B24" w14:textId="48BD39DE" w:rsidR="00C63902" w:rsidRPr="00C602FB" w:rsidRDefault="00C63902" w:rsidP="00A9622F">
      <w:pPr>
        <w:pBdr>
          <w:top w:val="single" w:sz="4" w:space="1" w:color="auto"/>
          <w:left w:val="single" w:sz="4" w:space="4" w:color="auto"/>
          <w:bottom w:val="single" w:sz="4" w:space="1" w:color="auto"/>
          <w:right w:val="single" w:sz="4" w:space="4" w:color="auto"/>
        </w:pBdr>
        <w:jc w:val="left"/>
        <w:rPr>
          <w:rFonts w:cs="Arial"/>
        </w:rPr>
      </w:pPr>
      <w:r w:rsidRPr="00C602FB">
        <w:rPr>
          <w:rFonts w:cs="Arial"/>
        </w:rPr>
        <w:t xml:space="preserve">The most recent </w:t>
      </w:r>
      <w:r w:rsidRPr="00FD5468">
        <w:rPr>
          <w:rFonts w:cs="Arial"/>
        </w:rPr>
        <w:t xml:space="preserve">Corporate Plan </w:t>
      </w:r>
      <w:r w:rsidRPr="00C602FB">
        <w:rPr>
          <w:rFonts w:cs="Arial"/>
        </w:rPr>
        <w:t xml:space="preserve">for the NTC can be found at: </w:t>
      </w:r>
      <w:r w:rsidRPr="00A9622F">
        <w:rPr>
          <w:rFonts w:cs="Arial"/>
          <w:u w:val="single"/>
        </w:rPr>
        <w:t>https://www.transparency.gov.au/sites/default/files/reports/2021-22_corporate_plan_national_transport_commission.pdf</w:t>
      </w:r>
    </w:p>
    <w:p w14:paraId="1CF1B7EE" w14:textId="4DBFF514" w:rsidR="00C63902" w:rsidRDefault="00C63902" w:rsidP="00A9622F">
      <w:pPr>
        <w:pBdr>
          <w:top w:val="single" w:sz="4" w:space="1" w:color="auto"/>
          <w:left w:val="single" w:sz="4" w:space="4" w:color="auto"/>
          <w:bottom w:val="single" w:sz="4" w:space="1" w:color="auto"/>
          <w:right w:val="single" w:sz="4" w:space="4" w:color="auto"/>
        </w:pBdr>
        <w:spacing w:after="0"/>
        <w:jc w:val="left"/>
        <w:rPr>
          <w:rFonts w:cs="Arial"/>
          <w:u w:val="single"/>
        </w:rPr>
      </w:pPr>
      <w:r w:rsidRPr="00C602FB">
        <w:rPr>
          <w:rFonts w:cs="Arial"/>
        </w:rPr>
        <w:t xml:space="preserve">The most recent annual performance statement can be found at: </w:t>
      </w:r>
      <w:r w:rsidRPr="00A9622F">
        <w:rPr>
          <w:rFonts w:cs="Arial"/>
          <w:u w:val="single"/>
        </w:rPr>
        <w:t>https://www.transparency.gov.au/annual-reports/national-transport-commission/reporting-year/2020-21</w:t>
      </w:r>
    </w:p>
    <w:p w14:paraId="5829D71B" w14:textId="77777777" w:rsidR="00A9622F" w:rsidRPr="00C602FB" w:rsidRDefault="00A9622F" w:rsidP="00A9622F">
      <w:pPr>
        <w:pBdr>
          <w:top w:val="single" w:sz="4" w:space="1" w:color="auto"/>
          <w:left w:val="single" w:sz="4" w:space="4" w:color="auto"/>
          <w:bottom w:val="single" w:sz="4" w:space="1" w:color="auto"/>
          <w:right w:val="single" w:sz="4" w:space="4" w:color="auto"/>
        </w:pBdr>
        <w:spacing w:after="0"/>
        <w:jc w:val="left"/>
        <w:rPr>
          <w:rFonts w:cs="Arial"/>
          <w:highlight w:val="yellow"/>
        </w:rPr>
      </w:pPr>
    </w:p>
    <w:p w14:paraId="0029F39E" w14:textId="77777777" w:rsidR="00C63902" w:rsidRDefault="00C63902" w:rsidP="00C63902">
      <w:pPr>
        <w:spacing w:after="0" w:line="240" w:lineRule="auto"/>
        <w:jc w:val="left"/>
      </w:pPr>
      <w:r>
        <w:br w:type="page"/>
      </w:r>
    </w:p>
    <w:p w14:paraId="741B8701" w14:textId="7956B1A6" w:rsidR="00914885" w:rsidRDefault="00914885" w:rsidP="00252B31">
      <w:pPr>
        <w:pStyle w:val="Heading3NTC"/>
      </w:pPr>
      <w:bookmarkStart w:id="535" w:name="_Toc93405369"/>
      <w:r>
        <w:lastRenderedPageBreak/>
        <w:t>2.</w:t>
      </w:r>
      <w:r w:rsidR="007731E2">
        <w:t>2</w:t>
      </w:r>
      <w:r>
        <w:tab/>
        <w:t>Budgeted expense</w:t>
      </w:r>
      <w:r w:rsidR="009A49F9">
        <w:t xml:space="preserve">s and performance for </w:t>
      </w:r>
      <w:r w:rsidR="009B4B2B">
        <w:t>O</w:t>
      </w:r>
      <w:r w:rsidR="009A49F9">
        <w:t>utcome 1</w:t>
      </w:r>
      <w:bookmarkEnd w:id="535"/>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544"/>
      </w:tblGrid>
      <w:tr w:rsidR="00C63902" w:rsidRPr="005E6F2B" w14:paraId="50B87C2A" w14:textId="77777777" w:rsidTr="00C17389">
        <w:trPr>
          <w:trHeight w:val="1154"/>
        </w:trPr>
        <w:tc>
          <w:tcPr>
            <w:tcW w:w="7544" w:type="dxa"/>
            <w:shd w:val="clear" w:color="auto" w:fill="E6E6E6"/>
          </w:tcPr>
          <w:p w14:paraId="0022C3A7" w14:textId="33FBE3C5" w:rsidR="00C63902" w:rsidRPr="001D77BC" w:rsidRDefault="00C63902" w:rsidP="00C17389">
            <w:pPr>
              <w:pStyle w:val="TableColumnHeadingLeft"/>
              <w:jc w:val="left"/>
              <w:rPr>
                <w:rFonts w:cs="Arial"/>
                <w:sz w:val="20"/>
              </w:rPr>
            </w:pPr>
            <w:r w:rsidRPr="001D77BC">
              <w:rPr>
                <w:rFonts w:cs="Arial"/>
                <w:sz w:val="20"/>
              </w:rPr>
              <w:t>Outcome</w:t>
            </w:r>
            <w:r w:rsidR="009A49F9" w:rsidRPr="001D77BC">
              <w:rPr>
                <w:rFonts w:cs="Arial"/>
                <w:sz w:val="20"/>
              </w:rPr>
              <w:t xml:space="preserve"> </w:t>
            </w:r>
            <w:r w:rsidRPr="001D77BC">
              <w:rPr>
                <w:rFonts w:cs="Arial"/>
                <w:sz w:val="20"/>
              </w:rPr>
              <w:t>1: 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r>
    </w:tbl>
    <w:p w14:paraId="607E10EC" w14:textId="20BDE193" w:rsidR="00C63902" w:rsidRDefault="00C63902" w:rsidP="00C63902">
      <w:pPr>
        <w:pStyle w:val="ChartandTableFootnoteAlpha"/>
        <w:numPr>
          <w:ilvl w:val="0"/>
          <w:numId w:val="0"/>
        </w:numPr>
      </w:pPr>
    </w:p>
    <w:p w14:paraId="5F5C27B7" w14:textId="77777777" w:rsidR="00C63902" w:rsidRPr="00446612" w:rsidRDefault="00C63902" w:rsidP="00C63902">
      <w:pPr>
        <w:pStyle w:val="Heading5"/>
      </w:pPr>
      <w:r w:rsidRPr="00446612">
        <w:t xml:space="preserve">Budgeted expenses for Outcome </w:t>
      </w:r>
      <w:r>
        <w:t>1</w:t>
      </w:r>
    </w:p>
    <w:p w14:paraId="6D6C8C97" w14:textId="27A69244" w:rsidR="00C63902" w:rsidRDefault="00C63902" w:rsidP="00C63902">
      <w:pPr>
        <w:jc w:val="left"/>
      </w:pPr>
      <w:r w:rsidRPr="00950281">
        <w:t xml:space="preserve">This table shows how much the </w:t>
      </w:r>
      <w:r w:rsidR="00C37FFB">
        <w:t>NTC</w:t>
      </w:r>
      <w:r w:rsidRPr="00950281">
        <w:t xml:space="preserve"> intends to spend (on an accrual basis) on achieving the outcome, broken down by program</w:t>
      </w:r>
      <w:r>
        <w:t>.</w:t>
      </w:r>
    </w:p>
    <w:p w14:paraId="41EFA09C" w14:textId="0B96448F" w:rsidR="00C63902" w:rsidRPr="00D52088" w:rsidRDefault="00C63902" w:rsidP="003E0081">
      <w:pPr>
        <w:pStyle w:val="TableHeading"/>
        <w:rPr>
          <w:noProof/>
        </w:rPr>
      </w:pPr>
      <w:r>
        <w:t>Table 2.</w:t>
      </w:r>
      <w:r w:rsidR="007731E2">
        <w:rPr>
          <w:lang w:val="en-AU"/>
        </w:rPr>
        <w:t>2</w:t>
      </w:r>
      <w:r>
        <w:t xml:space="preserve">.1: Budgeted expenses for Outcome </w:t>
      </w:r>
      <w:r>
        <w:rPr>
          <w:lang w:val="en-AU"/>
        </w:rPr>
        <w:t>1</w:t>
      </w:r>
    </w:p>
    <w:tbl>
      <w:tblPr>
        <w:tblW w:w="0" w:type="auto"/>
        <w:tblLayout w:type="fixed"/>
        <w:tblLook w:val="04A0" w:firstRow="1" w:lastRow="0" w:firstColumn="1" w:lastColumn="0" w:noHBand="0" w:noVBand="1"/>
      </w:tblPr>
      <w:tblGrid>
        <w:gridCol w:w="3261"/>
        <w:gridCol w:w="880"/>
        <w:gridCol w:w="880"/>
        <w:gridCol w:w="880"/>
        <w:gridCol w:w="880"/>
        <w:gridCol w:w="885"/>
      </w:tblGrid>
      <w:tr w:rsidR="00C63902" w:rsidRPr="003341AF" w14:paraId="77A1284E" w14:textId="77777777" w:rsidTr="00C17389">
        <w:trPr>
          <w:trHeight w:val="204"/>
        </w:trPr>
        <w:tc>
          <w:tcPr>
            <w:tcW w:w="3261" w:type="dxa"/>
            <w:tcBorders>
              <w:top w:val="single" w:sz="4" w:space="0" w:color="auto"/>
              <w:left w:val="nil"/>
              <w:bottom w:val="nil"/>
              <w:right w:val="nil"/>
            </w:tcBorders>
            <w:shd w:val="clear" w:color="auto" w:fill="auto"/>
            <w:vAlign w:val="center"/>
            <w:hideMark/>
          </w:tcPr>
          <w:p w14:paraId="0BFB422A"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 </w:t>
            </w:r>
          </w:p>
        </w:tc>
        <w:tc>
          <w:tcPr>
            <w:tcW w:w="880" w:type="dxa"/>
            <w:tcBorders>
              <w:top w:val="single" w:sz="4" w:space="0" w:color="auto"/>
              <w:left w:val="nil"/>
              <w:bottom w:val="single" w:sz="4" w:space="0" w:color="auto"/>
              <w:right w:val="nil"/>
            </w:tcBorders>
            <w:shd w:val="clear" w:color="auto" w:fill="auto"/>
            <w:hideMark/>
          </w:tcPr>
          <w:p w14:paraId="4125F06B"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2020-21 Actual</w:t>
            </w:r>
            <w:r w:rsidRPr="003341AF">
              <w:rPr>
                <w:rFonts w:ascii="Arial" w:hAnsi="Arial" w:cs="Arial"/>
                <w:sz w:val="16"/>
                <w:szCs w:val="16"/>
              </w:rPr>
              <w:br/>
            </w:r>
            <w:r w:rsidRPr="003341AF">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67850452"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2021-22</w:t>
            </w:r>
            <w:r w:rsidRPr="003341AF">
              <w:rPr>
                <w:rFonts w:ascii="Arial" w:hAnsi="Arial" w:cs="Arial"/>
                <w:sz w:val="16"/>
                <w:szCs w:val="16"/>
              </w:rPr>
              <w:br/>
              <w:t>Revised Budget</w:t>
            </w:r>
            <w:r w:rsidRPr="003341AF">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503BA9E"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2022-23 Forward estimate</w:t>
            </w:r>
            <w:r w:rsidRPr="003341AF">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2B1B30C4"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2023-24 Forward estimate</w:t>
            </w:r>
            <w:r w:rsidRPr="003341AF">
              <w:rPr>
                <w:rFonts w:ascii="Arial" w:hAnsi="Arial" w:cs="Arial"/>
                <w:sz w:val="16"/>
                <w:szCs w:val="16"/>
              </w:rPr>
              <w:br/>
              <w:t>$'000</w:t>
            </w:r>
          </w:p>
        </w:tc>
        <w:tc>
          <w:tcPr>
            <w:tcW w:w="885" w:type="dxa"/>
            <w:tcBorders>
              <w:top w:val="single" w:sz="4" w:space="0" w:color="auto"/>
              <w:left w:val="nil"/>
              <w:bottom w:val="single" w:sz="4" w:space="0" w:color="auto"/>
              <w:right w:val="nil"/>
            </w:tcBorders>
            <w:shd w:val="clear" w:color="auto" w:fill="auto"/>
            <w:hideMark/>
          </w:tcPr>
          <w:p w14:paraId="4D2AA24C"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2024-25</w:t>
            </w:r>
            <w:r w:rsidRPr="003341AF">
              <w:rPr>
                <w:rFonts w:ascii="Arial" w:hAnsi="Arial" w:cs="Arial"/>
                <w:sz w:val="16"/>
                <w:szCs w:val="16"/>
              </w:rPr>
              <w:br/>
              <w:t>Forward estimate</w:t>
            </w:r>
            <w:r w:rsidRPr="003341AF">
              <w:rPr>
                <w:rFonts w:ascii="Arial" w:hAnsi="Arial" w:cs="Arial"/>
                <w:sz w:val="16"/>
                <w:szCs w:val="16"/>
              </w:rPr>
              <w:br/>
              <w:t>$'000</w:t>
            </w:r>
          </w:p>
        </w:tc>
      </w:tr>
      <w:tr w:rsidR="00C63902" w:rsidRPr="003341AF" w14:paraId="5B4FEEA4" w14:textId="77777777" w:rsidTr="00C17389">
        <w:trPr>
          <w:trHeight w:val="229"/>
        </w:trPr>
        <w:tc>
          <w:tcPr>
            <w:tcW w:w="7666" w:type="dxa"/>
            <w:gridSpan w:val="6"/>
            <w:tcBorders>
              <w:top w:val="single" w:sz="4" w:space="0" w:color="auto"/>
              <w:left w:val="nil"/>
              <w:bottom w:val="single" w:sz="4" w:space="0" w:color="auto"/>
              <w:right w:val="nil"/>
            </w:tcBorders>
            <w:shd w:val="clear" w:color="000000" w:fill="E6E6E6"/>
            <w:vAlign w:val="center"/>
            <w:hideMark/>
          </w:tcPr>
          <w:p w14:paraId="7C942B59"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 xml:space="preserve">Program 1.1: National Transport Commission </w:t>
            </w:r>
          </w:p>
        </w:tc>
      </w:tr>
      <w:tr w:rsidR="00C63902" w:rsidRPr="003341AF" w14:paraId="3B3733E0" w14:textId="77777777" w:rsidTr="00C17389">
        <w:trPr>
          <w:trHeight w:val="204"/>
        </w:trPr>
        <w:tc>
          <w:tcPr>
            <w:tcW w:w="3261" w:type="dxa"/>
            <w:tcBorders>
              <w:top w:val="nil"/>
              <w:left w:val="nil"/>
              <w:bottom w:val="nil"/>
              <w:right w:val="nil"/>
            </w:tcBorders>
            <w:shd w:val="clear" w:color="auto" w:fill="auto"/>
            <w:noWrap/>
            <w:vAlign w:val="bottom"/>
            <w:hideMark/>
          </w:tcPr>
          <w:p w14:paraId="2482E66B" w14:textId="77777777" w:rsidR="00C63902" w:rsidRPr="003341AF" w:rsidRDefault="00C63902" w:rsidP="00C63902">
            <w:pPr>
              <w:spacing w:after="0" w:line="240" w:lineRule="auto"/>
              <w:jc w:val="left"/>
              <w:rPr>
                <w:rFonts w:ascii="Arial" w:hAnsi="Arial" w:cs="Arial"/>
                <w:sz w:val="16"/>
                <w:szCs w:val="16"/>
              </w:rPr>
            </w:pPr>
            <w:r w:rsidRPr="003341AF">
              <w:rPr>
                <w:rFonts w:ascii="Arial" w:hAnsi="Arial" w:cs="Arial"/>
                <w:sz w:val="16"/>
                <w:szCs w:val="16"/>
              </w:rPr>
              <w:t>Revenue from Government</w:t>
            </w:r>
          </w:p>
        </w:tc>
        <w:tc>
          <w:tcPr>
            <w:tcW w:w="880" w:type="dxa"/>
            <w:tcBorders>
              <w:top w:val="nil"/>
              <w:left w:val="nil"/>
              <w:bottom w:val="nil"/>
              <w:right w:val="nil"/>
            </w:tcBorders>
            <w:shd w:val="clear" w:color="auto" w:fill="auto"/>
            <w:noWrap/>
            <w:vAlign w:val="bottom"/>
            <w:hideMark/>
          </w:tcPr>
          <w:p w14:paraId="4CCE4C5F" w14:textId="77777777" w:rsidR="00C63902" w:rsidRPr="003341AF" w:rsidRDefault="00C63902" w:rsidP="00C63902">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154A684" w14:textId="67F028A2" w:rsidR="00C63902" w:rsidRPr="003341AF" w:rsidRDefault="00C63902" w:rsidP="00C63902">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784CCCD" w14:textId="77777777" w:rsidR="00C63902" w:rsidRPr="003341AF" w:rsidRDefault="00C63902" w:rsidP="00C63902">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CB1ACD0" w14:textId="77777777" w:rsidR="00C63902" w:rsidRPr="003341AF" w:rsidRDefault="00C63902" w:rsidP="00C63902">
            <w:pPr>
              <w:spacing w:after="0" w:line="240" w:lineRule="auto"/>
              <w:jc w:val="left"/>
              <w:rPr>
                <w:rFonts w:ascii="Times New Roman" w:hAnsi="Times New Roman"/>
              </w:rPr>
            </w:pPr>
          </w:p>
        </w:tc>
        <w:tc>
          <w:tcPr>
            <w:tcW w:w="885" w:type="dxa"/>
            <w:tcBorders>
              <w:top w:val="nil"/>
              <w:left w:val="nil"/>
              <w:bottom w:val="nil"/>
              <w:right w:val="nil"/>
            </w:tcBorders>
            <w:shd w:val="clear" w:color="auto" w:fill="auto"/>
            <w:noWrap/>
            <w:vAlign w:val="bottom"/>
            <w:hideMark/>
          </w:tcPr>
          <w:p w14:paraId="573F8752" w14:textId="77777777" w:rsidR="00C63902" w:rsidRPr="003341AF" w:rsidRDefault="00C63902" w:rsidP="00C63902">
            <w:pPr>
              <w:spacing w:after="0" w:line="240" w:lineRule="auto"/>
              <w:jc w:val="left"/>
              <w:rPr>
                <w:rFonts w:ascii="Times New Roman" w:hAnsi="Times New Roman"/>
              </w:rPr>
            </w:pPr>
          </w:p>
        </w:tc>
      </w:tr>
      <w:tr w:rsidR="00C63902" w:rsidRPr="003341AF" w14:paraId="4AEA621F" w14:textId="77777777" w:rsidTr="00C17389">
        <w:trPr>
          <w:trHeight w:val="204"/>
        </w:trPr>
        <w:tc>
          <w:tcPr>
            <w:tcW w:w="3261" w:type="dxa"/>
            <w:tcBorders>
              <w:top w:val="nil"/>
              <w:left w:val="nil"/>
              <w:bottom w:val="nil"/>
              <w:right w:val="nil"/>
            </w:tcBorders>
            <w:shd w:val="clear" w:color="auto" w:fill="auto"/>
            <w:vAlign w:val="bottom"/>
            <w:hideMark/>
          </w:tcPr>
          <w:p w14:paraId="4FCDDF1B" w14:textId="2C92195C" w:rsidR="00C63902" w:rsidRPr="003341AF" w:rsidRDefault="00C63902" w:rsidP="003E0081">
            <w:pPr>
              <w:spacing w:after="0" w:line="240" w:lineRule="auto"/>
              <w:ind w:left="113"/>
              <w:jc w:val="left"/>
              <w:rPr>
                <w:rFonts w:ascii="Arial" w:hAnsi="Arial" w:cs="Arial"/>
                <w:sz w:val="16"/>
                <w:szCs w:val="16"/>
              </w:rPr>
            </w:pPr>
            <w:r w:rsidRPr="003341AF">
              <w:rPr>
                <w:rFonts w:ascii="Arial" w:hAnsi="Arial" w:cs="Arial"/>
                <w:sz w:val="16"/>
                <w:szCs w:val="16"/>
              </w:rPr>
              <w:t>Ordinary annual services</w:t>
            </w:r>
            <w:r w:rsidR="00480722">
              <w:rPr>
                <w:rFonts w:ascii="Arial" w:hAnsi="Arial" w:cs="Arial"/>
                <w:sz w:val="16"/>
                <w:szCs w:val="16"/>
              </w:rPr>
              <w:t xml:space="preserve"> </w:t>
            </w:r>
            <w:r w:rsidRPr="003341AF">
              <w:rPr>
                <w:rFonts w:ascii="Arial" w:hAnsi="Arial" w:cs="Arial"/>
                <w:sz w:val="16"/>
                <w:szCs w:val="16"/>
              </w:rPr>
              <w:t>(Appropriation Bill No. 1)</w:t>
            </w:r>
          </w:p>
        </w:tc>
        <w:tc>
          <w:tcPr>
            <w:tcW w:w="880" w:type="dxa"/>
            <w:tcBorders>
              <w:top w:val="nil"/>
              <w:left w:val="nil"/>
              <w:bottom w:val="nil"/>
              <w:right w:val="nil"/>
            </w:tcBorders>
            <w:shd w:val="clear" w:color="auto" w:fill="auto"/>
            <w:noWrap/>
            <w:vAlign w:val="bottom"/>
            <w:hideMark/>
          </w:tcPr>
          <w:p w14:paraId="27F4FAA2" w14:textId="0353BDE6"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3,629</w:t>
            </w:r>
          </w:p>
        </w:tc>
        <w:tc>
          <w:tcPr>
            <w:tcW w:w="880" w:type="dxa"/>
            <w:tcBorders>
              <w:top w:val="nil"/>
              <w:left w:val="nil"/>
              <w:bottom w:val="nil"/>
              <w:right w:val="nil"/>
            </w:tcBorders>
            <w:shd w:val="clear" w:color="000000" w:fill="E6E6E6"/>
            <w:noWrap/>
            <w:vAlign w:val="bottom"/>
            <w:hideMark/>
          </w:tcPr>
          <w:p w14:paraId="7C3FDAEF" w14:textId="3EA8DB60"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4,464</w:t>
            </w:r>
          </w:p>
        </w:tc>
        <w:tc>
          <w:tcPr>
            <w:tcW w:w="880" w:type="dxa"/>
            <w:tcBorders>
              <w:top w:val="nil"/>
              <w:left w:val="nil"/>
              <w:bottom w:val="nil"/>
              <w:right w:val="nil"/>
            </w:tcBorders>
            <w:shd w:val="clear" w:color="auto" w:fill="auto"/>
            <w:noWrap/>
            <w:vAlign w:val="bottom"/>
            <w:hideMark/>
          </w:tcPr>
          <w:p w14:paraId="38BF0AF8" w14:textId="6EF4BBE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4,384</w:t>
            </w:r>
          </w:p>
        </w:tc>
        <w:tc>
          <w:tcPr>
            <w:tcW w:w="880" w:type="dxa"/>
            <w:tcBorders>
              <w:top w:val="nil"/>
              <w:left w:val="nil"/>
              <w:bottom w:val="nil"/>
              <w:right w:val="nil"/>
            </w:tcBorders>
            <w:shd w:val="clear" w:color="auto" w:fill="auto"/>
            <w:noWrap/>
            <w:vAlign w:val="bottom"/>
            <w:hideMark/>
          </w:tcPr>
          <w:p w14:paraId="1414A796" w14:textId="3DD98F72"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4,302</w:t>
            </w:r>
          </w:p>
        </w:tc>
        <w:tc>
          <w:tcPr>
            <w:tcW w:w="885" w:type="dxa"/>
            <w:tcBorders>
              <w:top w:val="nil"/>
              <w:left w:val="nil"/>
              <w:bottom w:val="nil"/>
              <w:right w:val="nil"/>
            </w:tcBorders>
            <w:shd w:val="clear" w:color="auto" w:fill="auto"/>
            <w:noWrap/>
            <w:vAlign w:val="bottom"/>
            <w:hideMark/>
          </w:tcPr>
          <w:p w14:paraId="776DD0A6" w14:textId="5E60CC13"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3,887</w:t>
            </w:r>
          </w:p>
        </w:tc>
      </w:tr>
      <w:tr w:rsidR="00C63902" w:rsidRPr="003341AF" w14:paraId="58A7916C" w14:textId="77777777" w:rsidTr="00C17389">
        <w:trPr>
          <w:trHeight w:val="204"/>
        </w:trPr>
        <w:tc>
          <w:tcPr>
            <w:tcW w:w="3261" w:type="dxa"/>
            <w:tcBorders>
              <w:top w:val="nil"/>
              <w:left w:val="nil"/>
              <w:bottom w:val="nil"/>
              <w:right w:val="nil"/>
            </w:tcBorders>
            <w:shd w:val="clear" w:color="auto" w:fill="auto"/>
            <w:vAlign w:val="bottom"/>
            <w:hideMark/>
          </w:tcPr>
          <w:p w14:paraId="1CC315CE" w14:textId="4BD73617" w:rsidR="00C63902" w:rsidRPr="003341AF" w:rsidRDefault="00C63902" w:rsidP="00480722">
            <w:pPr>
              <w:spacing w:after="0" w:line="240" w:lineRule="auto"/>
              <w:jc w:val="left"/>
              <w:rPr>
                <w:rFonts w:ascii="Arial" w:hAnsi="Arial" w:cs="Arial"/>
                <w:sz w:val="16"/>
                <w:szCs w:val="16"/>
              </w:rPr>
            </w:pPr>
            <w:r w:rsidRPr="003341AF">
              <w:rPr>
                <w:rFonts w:ascii="Arial" w:hAnsi="Arial" w:cs="Arial"/>
                <w:sz w:val="16"/>
                <w:szCs w:val="16"/>
              </w:rPr>
              <w:t>Revenues from other independent</w:t>
            </w:r>
            <w:r w:rsidR="00480722">
              <w:rPr>
                <w:rFonts w:ascii="Arial" w:hAnsi="Arial" w:cs="Arial"/>
                <w:sz w:val="16"/>
                <w:szCs w:val="16"/>
              </w:rPr>
              <w:t xml:space="preserve"> </w:t>
            </w:r>
            <w:r w:rsidRPr="003341AF">
              <w:rPr>
                <w:rFonts w:ascii="Arial" w:hAnsi="Arial" w:cs="Arial"/>
                <w:sz w:val="16"/>
                <w:szCs w:val="16"/>
              </w:rPr>
              <w:t xml:space="preserve">sources </w:t>
            </w:r>
          </w:p>
        </w:tc>
        <w:tc>
          <w:tcPr>
            <w:tcW w:w="880" w:type="dxa"/>
            <w:tcBorders>
              <w:top w:val="nil"/>
              <w:left w:val="nil"/>
              <w:bottom w:val="nil"/>
              <w:right w:val="nil"/>
            </w:tcBorders>
            <w:shd w:val="clear" w:color="auto" w:fill="auto"/>
            <w:noWrap/>
            <w:vAlign w:val="bottom"/>
            <w:hideMark/>
          </w:tcPr>
          <w:p w14:paraId="032851D0" w14:textId="4281CF91"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6,930</w:t>
            </w:r>
          </w:p>
        </w:tc>
        <w:tc>
          <w:tcPr>
            <w:tcW w:w="880" w:type="dxa"/>
            <w:tcBorders>
              <w:top w:val="nil"/>
              <w:left w:val="nil"/>
              <w:bottom w:val="nil"/>
              <w:right w:val="nil"/>
            </w:tcBorders>
            <w:shd w:val="clear" w:color="000000" w:fill="E6E6E6"/>
            <w:noWrap/>
            <w:vAlign w:val="bottom"/>
            <w:hideMark/>
          </w:tcPr>
          <w:p w14:paraId="3CD74119" w14:textId="0904BF4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8,255</w:t>
            </w:r>
          </w:p>
        </w:tc>
        <w:tc>
          <w:tcPr>
            <w:tcW w:w="880" w:type="dxa"/>
            <w:tcBorders>
              <w:top w:val="nil"/>
              <w:left w:val="nil"/>
              <w:bottom w:val="nil"/>
              <w:right w:val="nil"/>
            </w:tcBorders>
            <w:shd w:val="clear" w:color="auto" w:fill="auto"/>
            <w:noWrap/>
            <w:vAlign w:val="bottom"/>
            <w:hideMark/>
          </w:tcPr>
          <w:p w14:paraId="28E94031" w14:textId="162AB2DB"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7,983</w:t>
            </w:r>
          </w:p>
        </w:tc>
        <w:tc>
          <w:tcPr>
            <w:tcW w:w="880" w:type="dxa"/>
            <w:tcBorders>
              <w:top w:val="nil"/>
              <w:left w:val="nil"/>
              <w:bottom w:val="nil"/>
              <w:right w:val="nil"/>
            </w:tcBorders>
            <w:shd w:val="clear" w:color="auto" w:fill="auto"/>
            <w:noWrap/>
            <w:vAlign w:val="bottom"/>
            <w:hideMark/>
          </w:tcPr>
          <w:p w14:paraId="175055B2" w14:textId="7F1C278A"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8,096</w:t>
            </w:r>
          </w:p>
        </w:tc>
        <w:tc>
          <w:tcPr>
            <w:tcW w:w="885" w:type="dxa"/>
            <w:tcBorders>
              <w:top w:val="nil"/>
              <w:left w:val="nil"/>
              <w:bottom w:val="nil"/>
              <w:right w:val="nil"/>
            </w:tcBorders>
            <w:shd w:val="clear" w:color="auto" w:fill="auto"/>
            <w:noWrap/>
            <w:vAlign w:val="bottom"/>
            <w:hideMark/>
          </w:tcPr>
          <w:p w14:paraId="7FF4427C" w14:textId="7625CADF"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7,199</w:t>
            </w:r>
          </w:p>
        </w:tc>
      </w:tr>
      <w:tr w:rsidR="00C63902" w:rsidRPr="003341AF" w14:paraId="35AA446D" w14:textId="77777777" w:rsidTr="00C17389">
        <w:trPr>
          <w:trHeight w:val="204"/>
        </w:trPr>
        <w:tc>
          <w:tcPr>
            <w:tcW w:w="3261" w:type="dxa"/>
            <w:tcBorders>
              <w:top w:val="nil"/>
              <w:left w:val="nil"/>
              <w:bottom w:val="nil"/>
              <w:right w:val="nil"/>
            </w:tcBorders>
            <w:shd w:val="clear" w:color="auto" w:fill="auto"/>
            <w:noWrap/>
            <w:vAlign w:val="bottom"/>
            <w:hideMark/>
          </w:tcPr>
          <w:p w14:paraId="2F82B82C"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Total expenses for Program 1.1</w:t>
            </w:r>
          </w:p>
        </w:tc>
        <w:tc>
          <w:tcPr>
            <w:tcW w:w="880" w:type="dxa"/>
            <w:tcBorders>
              <w:top w:val="single" w:sz="4" w:space="0" w:color="auto"/>
              <w:left w:val="nil"/>
              <w:bottom w:val="single" w:sz="4" w:space="0" w:color="auto"/>
              <w:right w:val="nil"/>
            </w:tcBorders>
            <w:shd w:val="clear" w:color="auto" w:fill="auto"/>
            <w:noWrap/>
            <w:vAlign w:val="bottom"/>
            <w:hideMark/>
          </w:tcPr>
          <w:p w14:paraId="44E044F4" w14:textId="22E4C307" w:rsidR="00C63902" w:rsidRPr="003341AF" w:rsidRDefault="00C63902" w:rsidP="00C63902">
            <w:pPr>
              <w:spacing w:after="0" w:line="240" w:lineRule="auto"/>
              <w:jc w:val="right"/>
              <w:rPr>
                <w:rFonts w:ascii="Arial" w:hAnsi="Arial" w:cs="Arial"/>
                <w:b/>
                <w:bCs/>
                <w:sz w:val="16"/>
                <w:szCs w:val="16"/>
              </w:rPr>
            </w:pPr>
            <w:r w:rsidRPr="003341AF">
              <w:rPr>
                <w:rFonts w:ascii="Arial" w:hAnsi="Arial" w:cs="Arial"/>
                <w:b/>
                <w:bCs/>
                <w:sz w:val="16"/>
                <w:szCs w:val="16"/>
              </w:rPr>
              <w:t>10,559</w:t>
            </w:r>
          </w:p>
        </w:tc>
        <w:tc>
          <w:tcPr>
            <w:tcW w:w="880" w:type="dxa"/>
            <w:tcBorders>
              <w:top w:val="single" w:sz="4" w:space="0" w:color="auto"/>
              <w:left w:val="nil"/>
              <w:bottom w:val="single" w:sz="4" w:space="0" w:color="auto"/>
              <w:right w:val="nil"/>
            </w:tcBorders>
            <w:shd w:val="clear" w:color="000000" w:fill="E6E6E6"/>
            <w:noWrap/>
            <w:vAlign w:val="bottom"/>
            <w:hideMark/>
          </w:tcPr>
          <w:p w14:paraId="6AC21DBA" w14:textId="3D1A9A51" w:rsidR="00C63902" w:rsidRPr="003341AF" w:rsidRDefault="00C63902" w:rsidP="00C63902">
            <w:pPr>
              <w:spacing w:after="0" w:line="240" w:lineRule="auto"/>
              <w:jc w:val="right"/>
              <w:rPr>
                <w:rFonts w:ascii="Arial" w:hAnsi="Arial" w:cs="Arial"/>
                <w:b/>
                <w:bCs/>
                <w:sz w:val="16"/>
                <w:szCs w:val="16"/>
              </w:rPr>
            </w:pPr>
            <w:r w:rsidRPr="003341AF">
              <w:rPr>
                <w:rFonts w:ascii="Arial" w:hAnsi="Arial" w:cs="Arial"/>
                <w:b/>
                <w:bCs/>
                <w:sz w:val="16"/>
                <w:szCs w:val="16"/>
              </w:rPr>
              <w:t>12,719</w:t>
            </w:r>
          </w:p>
        </w:tc>
        <w:tc>
          <w:tcPr>
            <w:tcW w:w="880" w:type="dxa"/>
            <w:tcBorders>
              <w:top w:val="single" w:sz="4" w:space="0" w:color="auto"/>
              <w:left w:val="nil"/>
              <w:bottom w:val="single" w:sz="4" w:space="0" w:color="auto"/>
              <w:right w:val="nil"/>
            </w:tcBorders>
            <w:shd w:val="clear" w:color="auto" w:fill="auto"/>
            <w:noWrap/>
            <w:vAlign w:val="bottom"/>
            <w:hideMark/>
          </w:tcPr>
          <w:p w14:paraId="33FB67A6" w14:textId="409EE6CC" w:rsidR="00C63902" w:rsidRPr="003341AF" w:rsidRDefault="00C63902" w:rsidP="00C63902">
            <w:pPr>
              <w:spacing w:after="0" w:line="240" w:lineRule="auto"/>
              <w:jc w:val="right"/>
              <w:rPr>
                <w:rFonts w:ascii="Arial" w:hAnsi="Arial" w:cs="Arial"/>
                <w:b/>
                <w:bCs/>
                <w:sz w:val="16"/>
                <w:szCs w:val="16"/>
              </w:rPr>
            </w:pPr>
            <w:r w:rsidRPr="003341AF">
              <w:rPr>
                <w:rFonts w:ascii="Arial" w:hAnsi="Arial" w:cs="Arial"/>
                <w:b/>
                <w:bCs/>
                <w:sz w:val="16"/>
                <w:szCs w:val="16"/>
              </w:rPr>
              <w:t>12,367</w:t>
            </w:r>
          </w:p>
        </w:tc>
        <w:tc>
          <w:tcPr>
            <w:tcW w:w="880" w:type="dxa"/>
            <w:tcBorders>
              <w:top w:val="single" w:sz="4" w:space="0" w:color="auto"/>
              <w:left w:val="nil"/>
              <w:bottom w:val="single" w:sz="4" w:space="0" w:color="auto"/>
              <w:right w:val="nil"/>
            </w:tcBorders>
            <w:shd w:val="clear" w:color="auto" w:fill="auto"/>
            <w:noWrap/>
            <w:vAlign w:val="bottom"/>
            <w:hideMark/>
          </w:tcPr>
          <w:p w14:paraId="4EC4278A" w14:textId="2B0903FE" w:rsidR="00C63902" w:rsidRPr="003341AF" w:rsidRDefault="00C63902" w:rsidP="00C63902">
            <w:pPr>
              <w:spacing w:after="0" w:line="240" w:lineRule="auto"/>
              <w:jc w:val="right"/>
              <w:rPr>
                <w:rFonts w:ascii="Arial" w:hAnsi="Arial" w:cs="Arial"/>
                <w:b/>
                <w:bCs/>
                <w:sz w:val="16"/>
                <w:szCs w:val="16"/>
              </w:rPr>
            </w:pPr>
            <w:r w:rsidRPr="003341AF">
              <w:rPr>
                <w:rFonts w:ascii="Arial" w:hAnsi="Arial" w:cs="Arial"/>
                <w:b/>
                <w:bCs/>
                <w:sz w:val="16"/>
                <w:szCs w:val="16"/>
              </w:rPr>
              <w:t>12,398</w:t>
            </w:r>
          </w:p>
        </w:tc>
        <w:tc>
          <w:tcPr>
            <w:tcW w:w="885" w:type="dxa"/>
            <w:tcBorders>
              <w:top w:val="single" w:sz="4" w:space="0" w:color="auto"/>
              <w:left w:val="nil"/>
              <w:bottom w:val="single" w:sz="4" w:space="0" w:color="auto"/>
              <w:right w:val="nil"/>
            </w:tcBorders>
            <w:shd w:val="clear" w:color="auto" w:fill="auto"/>
            <w:noWrap/>
            <w:vAlign w:val="bottom"/>
            <w:hideMark/>
          </w:tcPr>
          <w:p w14:paraId="562DC9F9" w14:textId="13EADF9F" w:rsidR="00C63902" w:rsidRPr="003341AF" w:rsidRDefault="00C63902" w:rsidP="00C63902">
            <w:pPr>
              <w:spacing w:after="0" w:line="240" w:lineRule="auto"/>
              <w:jc w:val="right"/>
              <w:rPr>
                <w:rFonts w:ascii="Arial" w:hAnsi="Arial" w:cs="Arial"/>
                <w:b/>
                <w:bCs/>
                <w:sz w:val="16"/>
                <w:szCs w:val="16"/>
              </w:rPr>
            </w:pPr>
            <w:r w:rsidRPr="003341AF">
              <w:rPr>
                <w:rFonts w:ascii="Arial" w:hAnsi="Arial" w:cs="Arial"/>
                <w:b/>
                <w:bCs/>
                <w:sz w:val="16"/>
                <w:szCs w:val="16"/>
              </w:rPr>
              <w:t>11,086</w:t>
            </w:r>
          </w:p>
        </w:tc>
      </w:tr>
      <w:tr w:rsidR="00C63902" w:rsidRPr="003341AF" w14:paraId="5CA370B6" w14:textId="77777777" w:rsidTr="00C17389">
        <w:trPr>
          <w:trHeight w:val="204"/>
        </w:trPr>
        <w:tc>
          <w:tcPr>
            <w:tcW w:w="7666" w:type="dxa"/>
            <w:gridSpan w:val="6"/>
            <w:tcBorders>
              <w:top w:val="single" w:sz="4" w:space="0" w:color="auto"/>
              <w:left w:val="nil"/>
              <w:bottom w:val="single" w:sz="4" w:space="0" w:color="auto"/>
              <w:right w:val="nil"/>
            </w:tcBorders>
            <w:shd w:val="clear" w:color="000000" w:fill="E6E6E6"/>
            <w:vAlign w:val="bottom"/>
            <w:hideMark/>
          </w:tcPr>
          <w:p w14:paraId="600FE3CF"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Outcome 1 totals by resource type</w:t>
            </w:r>
          </w:p>
        </w:tc>
      </w:tr>
      <w:tr w:rsidR="00480722" w:rsidRPr="003341AF" w14:paraId="5BAFCAD9" w14:textId="77777777" w:rsidTr="00C17389">
        <w:trPr>
          <w:trHeight w:val="204"/>
        </w:trPr>
        <w:tc>
          <w:tcPr>
            <w:tcW w:w="3261" w:type="dxa"/>
            <w:tcBorders>
              <w:top w:val="nil"/>
              <w:left w:val="nil"/>
              <w:bottom w:val="nil"/>
              <w:right w:val="nil"/>
            </w:tcBorders>
            <w:shd w:val="clear" w:color="auto" w:fill="auto"/>
            <w:noWrap/>
            <w:vAlign w:val="bottom"/>
            <w:hideMark/>
          </w:tcPr>
          <w:p w14:paraId="0527E145" w14:textId="5E68C367" w:rsidR="00480722" w:rsidRPr="003341AF" w:rsidRDefault="00480722" w:rsidP="00480722">
            <w:pPr>
              <w:spacing w:after="0" w:line="240" w:lineRule="auto"/>
              <w:jc w:val="left"/>
              <w:rPr>
                <w:rFonts w:ascii="Arial" w:hAnsi="Arial" w:cs="Arial"/>
                <w:sz w:val="16"/>
                <w:szCs w:val="16"/>
              </w:rPr>
            </w:pPr>
            <w:r w:rsidRPr="003341AF">
              <w:rPr>
                <w:rFonts w:ascii="Arial" w:hAnsi="Arial" w:cs="Arial"/>
                <w:sz w:val="16"/>
                <w:szCs w:val="16"/>
              </w:rPr>
              <w:t>Revenue from Government</w:t>
            </w:r>
          </w:p>
        </w:tc>
        <w:tc>
          <w:tcPr>
            <w:tcW w:w="880" w:type="dxa"/>
            <w:tcBorders>
              <w:top w:val="nil"/>
              <w:left w:val="nil"/>
              <w:bottom w:val="nil"/>
              <w:right w:val="nil"/>
            </w:tcBorders>
            <w:shd w:val="clear" w:color="auto" w:fill="auto"/>
            <w:noWrap/>
            <w:vAlign w:val="bottom"/>
            <w:hideMark/>
          </w:tcPr>
          <w:p w14:paraId="65F9BDCD" w14:textId="77777777" w:rsidR="00480722" w:rsidRPr="003341AF" w:rsidRDefault="00480722" w:rsidP="00480722">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38F341FB" w14:textId="3491A104" w:rsidR="00480722" w:rsidRPr="003341AF" w:rsidRDefault="00480722" w:rsidP="00480722">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7371239" w14:textId="77777777" w:rsidR="00480722" w:rsidRPr="003341AF" w:rsidRDefault="00480722" w:rsidP="00480722">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46C2FEF5" w14:textId="77777777" w:rsidR="00480722" w:rsidRPr="003341AF" w:rsidRDefault="00480722" w:rsidP="00480722">
            <w:pPr>
              <w:spacing w:after="0" w:line="240" w:lineRule="auto"/>
              <w:jc w:val="left"/>
              <w:rPr>
                <w:rFonts w:ascii="Times New Roman" w:hAnsi="Times New Roman"/>
              </w:rPr>
            </w:pPr>
          </w:p>
        </w:tc>
        <w:tc>
          <w:tcPr>
            <w:tcW w:w="885" w:type="dxa"/>
            <w:tcBorders>
              <w:top w:val="nil"/>
              <w:left w:val="nil"/>
              <w:bottom w:val="nil"/>
              <w:right w:val="nil"/>
            </w:tcBorders>
            <w:shd w:val="clear" w:color="auto" w:fill="auto"/>
            <w:noWrap/>
            <w:vAlign w:val="bottom"/>
            <w:hideMark/>
          </w:tcPr>
          <w:p w14:paraId="41BBC636" w14:textId="77777777" w:rsidR="00480722" w:rsidRPr="003341AF" w:rsidRDefault="00480722" w:rsidP="00480722">
            <w:pPr>
              <w:spacing w:after="0" w:line="240" w:lineRule="auto"/>
              <w:jc w:val="left"/>
              <w:rPr>
                <w:rFonts w:ascii="Times New Roman" w:hAnsi="Times New Roman"/>
              </w:rPr>
            </w:pPr>
          </w:p>
        </w:tc>
      </w:tr>
      <w:tr w:rsidR="00480722" w:rsidRPr="003341AF" w14:paraId="6F800966" w14:textId="77777777" w:rsidTr="00C17389">
        <w:trPr>
          <w:trHeight w:val="204"/>
        </w:trPr>
        <w:tc>
          <w:tcPr>
            <w:tcW w:w="3261" w:type="dxa"/>
            <w:tcBorders>
              <w:top w:val="nil"/>
              <w:left w:val="nil"/>
              <w:bottom w:val="nil"/>
              <w:right w:val="nil"/>
            </w:tcBorders>
            <w:shd w:val="clear" w:color="auto" w:fill="auto"/>
            <w:vAlign w:val="bottom"/>
            <w:hideMark/>
          </w:tcPr>
          <w:p w14:paraId="0205E0BF" w14:textId="01C878E5" w:rsidR="00480722" w:rsidRPr="003341AF" w:rsidRDefault="00480722" w:rsidP="003E0081">
            <w:pPr>
              <w:spacing w:after="0" w:line="240" w:lineRule="auto"/>
              <w:ind w:left="113"/>
              <w:jc w:val="left"/>
              <w:rPr>
                <w:rFonts w:ascii="Arial" w:hAnsi="Arial" w:cs="Arial"/>
                <w:sz w:val="16"/>
                <w:szCs w:val="16"/>
              </w:rPr>
            </w:pPr>
            <w:r w:rsidRPr="003341AF">
              <w:rPr>
                <w:rFonts w:ascii="Arial" w:hAnsi="Arial" w:cs="Arial"/>
                <w:sz w:val="16"/>
                <w:szCs w:val="16"/>
              </w:rPr>
              <w:t>Ordinary annual services</w:t>
            </w:r>
            <w:r>
              <w:rPr>
                <w:rFonts w:ascii="Arial" w:hAnsi="Arial" w:cs="Arial"/>
                <w:sz w:val="16"/>
                <w:szCs w:val="16"/>
              </w:rPr>
              <w:t xml:space="preserve"> </w:t>
            </w:r>
            <w:r w:rsidRPr="003341AF">
              <w:rPr>
                <w:rFonts w:ascii="Arial" w:hAnsi="Arial" w:cs="Arial"/>
                <w:sz w:val="16"/>
                <w:szCs w:val="16"/>
              </w:rPr>
              <w:t>(Appropriation Bill No. 1)</w:t>
            </w:r>
          </w:p>
        </w:tc>
        <w:tc>
          <w:tcPr>
            <w:tcW w:w="880" w:type="dxa"/>
            <w:tcBorders>
              <w:top w:val="nil"/>
              <w:left w:val="nil"/>
              <w:bottom w:val="nil"/>
              <w:right w:val="nil"/>
            </w:tcBorders>
            <w:shd w:val="clear" w:color="auto" w:fill="auto"/>
            <w:noWrap/>
            <w:vAlign w:val="bottom"/>
            <w:hideMark/>
          </w:tcPr>
          <w:p w14:paraId="368BA0CE" w14:textId="51DAF084" w:rsidR="00480722" w:rsidRPr="003341AF" w:rsidRDefault="00480722" w:rsidP="00480722">
            <w:pPr>
              <w:spacing w:after="0" w:line="240" w:lineRule="auto"/>
              <w:jc w:val="right"/>
              <w:rPr>
                <w:rFonts w:ascii="Arial" w:hAnsi="Arial" w:cs="Arial"/>
                <w:sz w:val="16"/>
                <w:szCs w:val="16"/>
              </w:rPr>
            </w:pPr>
            <w:r w:rsidRPr="003341AF">
              <w:rPr>
                <w:rFonts w:ascii="Arial" w:hAnsi="Arial" w:cs="Arial"/>
                <w:sz w:val="16"/>
                <w:szCs w:val="16"/>
              </w:rPr>
              <w:t>3,629</w:t>
            </w:r>
          </w:p>
        </w:tc>
        <w:tc>
          <w:tcPr>
            <w:tcW w:w="880" w:type="dxa"/>
            <w:tcBorders>
              <w:top w:val="nil"/>
              <w:left w:val="nil"/>
              <w:bottom w:val="nil"/>
              <w:right w:val="nil"/>
            </w:tcBorders>
            <w:shd w:val="clear" w:color="000000" w:fill="E6E6E6"/>
            <w:noWrap/>
            <w:vAlign w:val="bottom"/>
            <w:hideMark/>
          </w:tcPr>
          <w:p w14:paraId="25A4D921" w14:textId="5749DE87" w:rsidR="00480722" w:rsidRPr="003341AF" w:rsidRDefault="00480722" w:rsidP="00480722">
            <w:pPr>
              <w:spacing w:after="0" w:line="240" w:lineRule="auto"/>
              <w:jc w:val="right"/>
              <w:rPr>
                <w:rFonts w:ascii="Arial" w:hAnsi="Arial" w:cs="Arial"/>
                <w:sz w:val="16"/>
                <w:szCs w:val="16"/>
              </w:rPr>
            </w:pPr>
            <w:r w:rsidRPr="003341AF">
              <w:rPr>
                <w:rFonts w:ascii="Arial" w:hAnsi="Arial" w:cs="Arial"/>
                <w:sz w:val="16"/>
                <w:szCs w:val="16"/>
              </w:rPr>
              <w:t>4,464</w:t>
            </w:r>
          </w:p>
        </w:tc>
        <w:tc>
          <w:tcPr>
            <w:tcW w:w="880" w:type="dxa"/>
            <w:tcBorders>
              <w:top w:val="nil"/>
              <w:left w:val="nil"/>
              <w:bottom w:val="nil"/>
              <w:right w:val="nil"/>
            </w:tcBorders>
            <w:shd w:val="clear" w:color="auto" w:fill="auto"/>
            <w:noWrap/>
            <w:vAlign w:val="bottom"/>
            <w:hideMark/>
          </w:tcPr>
          <w:p w14:paraId="402A8CBF" w14:textId="47EAD46F" w:rsidR="00480722" w:rsidRPr="003341AF" w:rsidRDefault="00480722" w:rsidP="00480722">
            <w:pPr>
              <w:spacing w:after="0" w:line="240" w:lineRule="auto"/>
              <w:jc w:val="right"/>
              <w:rPr>
                <w:rFonts w:ascii="Arial" w:hAnsi="Arial" w:cs="Arial"/>
                <w:sz w:val="16"/>
                <w:szCs w:val="16"/>
              </w:rPr>
            </w:pPr>
            <w:r w:rsidRPr="003341AF">
              <w:rPr>
                <w:rFonts w:ascii="Arial" w:hAnsi="Arial" w:cs="Arial"/>
                <w:sz w:val="16"/>
                <w:szCs w:val="16"/>
              </w:rPr>
              <w:t>4,384</w:t>
            </w:r>
          </w:p>
        </w:tc>
        <w:tc>
          <w:tcPr>
            <w:tcW w:w="880" w:type="dxa"/>
            <w:tcBorders>
              <w:top w:val="nil"/>
              <w:left w:val="nil"/>
              <w:bottom w:val="nil"/>
              <w:right w:val="nil"/>
            </w:tcBorders>
            <w:shd w:val="clear" w:color="auto" w:fill="auto"/>
            <w:noWrap/>
            <w:vAlign w:val="bottom"/>
            <w:hideMark/>
          </w:tcPr>
          <w:p w14:paraId="3B665959" w14:textId="16E475AD" w:rsidR="00480722" w:rsidRPr="003341AF" w:rsidRDefault="00480722" w:rsidP="00480722">
            <w:pPr>
              <w:spacing w:after="0" w:line="240" w:lineRule="auto"/>
              <w:jc w:val="right"/>
              <w:rPr>
                <w:rFonts w:ascii="Arial" w:hAnsi="Arial" w:cs="Arial"/>
                <w:sz w:val="16"/>
                <w:szCs w:val="16"/>
              </w:rPr>
            </w:pPr>
            <w:r w:rsidRPr="003341AF">
              <w:rPr>
                <w:rFonts w:ascii="Arial" w:hAnsi="Arial" w:cs="Arial"/>
                <w:sz w:val="16"/>
                <w:szCs w:val="16"/>
              </w:rPr>
              <w:t>4,302</w:t>
            </w:r>
          </w:p>
        </w:tc>
        <w:tc>
          <w:tcPr>
            <w:tcW w:w="885" w:type="dxa"/>
            <w:tcBorders>
              <w:top w:val="nil"/>
              <w:left w:val="nil"/>
              <w:bottom w:val="nil"/>
              <w:right w:val="nil"/>
            </w:tcBorders>
            <w:shd w:val="clear" w:color="auto" w:fill="auto"/>
            <w:noWrap/>
            <w:vAlign w:val="bottom"/>
            <w:hideMark/>
          </w:tcPr>
          <w:p w14:paraId="607E7CA1" w14:textId="55832F09" w:rsidR="00480722" w:rsidRPr="003341AF" w:rsidRDefault="00480722" w:rsidP="00480722">
            <w:pPr>
              <w:spacing w:after="0" w:line="240" w:lineRule="auto"/>
              <w:jc w:val="right"/>
              <w:rPr>
                <w:rFonts w:ascii="Arial" w:hAnsi="Arial" w:cs="Arial"/>
                <w:sz w:val="16"/>
                <w:szCs w:val="16"/>
              </w:rPr>
            </w:pPr>
            <w:r w:rsidRPr="003341AF">
              <w:rPr>
                <w:rFonts w:ascii="Arial" w:hAnsi="Arial" w:cs="Arial"/>
                <w:sz w:val="16"/>
                <w:szCs w:val="16"/>
              </w:rPr>
              <w:t>3,887</w:t>
            </w:r>
          </w:p>
        </w:tc>
      </w:tr>
      <w:tr w:rsidR="00480722" w:rsidRPr="003341AF" w14:paraId="73EBF332" w14:textId="77777777" w:rsidTr="00C17389">
        <w:trPr>
          <w:trHeight w:val="204"/>
        </w:trPr>
        <w:tc>
          <w:tcPr>
            <w:tcW w:w="3261" w:type="dxa"/>
            <w:tcBorders>
              <w:top w:val="nil"/>
              <w:left w:val="nil"/>
              <w:bottom w:val="nil"/>
              <w:right w:val="nil"/>
            </w:tcBorders>
            <w:shd w:val="clear" w:color="auto" w:fill="auto"/>
            <w:vAlign w:val="bottom"/>
            <w:hideMark/>
          </w:tcPr>
          <w:p w14:paraId="1DF570E3" w14:textId="79C5E91F" w:rsidR="00480722" w:rsidRPr="003341AF" w:rsidRDefault="00480722" w:rsidP="00480722">
            <w:pPr>
              <w:spacing w:after="0" w:line="240" w:lineRule="auto"/>
              <w:jc w:val="left"/>
              <w:rPr>
                <w:rFonts w:ascii="Arial" w:hAnsi="Arial" w:cs="Arial"/>
                <w:sz w:val="16"/>
                <w:szCs w:val="16"/>
              </w:rPr>
            </w:pPr>
            <w:r w:rsidRPr="003341AF">
              <w:rPr>
                <w:rFonts w:ascii="Arial" w:hAnsi="Arial" w:cs="Arial"/>
                <w:sz w:val="16"/>
                <w:szCs w:val="16"/>
              </w:rPr>
              <w:t>Revenues from other independent</w:t>
            </w:r>
            <w:r>
              <w:rPr>
                <w:rFonts w:ascii="Arial" w:hAnsi="Arial" w:cs="Arial"/>
                <w:sz w:val="16"/>
                <w:szCs w:val="16"/>
              </w:rPr>
              <w:t xml:space="preserve"> </w:t>
            </w:r>
            <w:r w:rsidRPr="003341AF">
              <w:rPr>
                <w:rFonts w:ascii="Arial" w:hAnsi="Arial" w:cs="Arial"/>
                <w:sz w:val="16"/>
                <w:szCs w:val="16"/>
              </w:rPr>
              <w:t xml:space="preserve">sources </w:t>
            </w:r>
          </w:p>
        </w:tc>
        <w:tc>
          <w:tcPr>
            <w:tcW w:w="880" w:type="dxa"/>
            <w:tcBorders>
              <w:top w:val="nil"/>
              <w:left w:val="nil"/>
              <w:bottom w:val="nil"/>
              <w:right w:val="nil"/>
            </w:tcBorders>
            <w:shd w:val="clear" w:color="auto" w:fill="auto"/>
            <w:noWrap/>
            <w:vAlign w:val="bottom"/>
            <w:hideMark/>
          </w:tcPr>
          <w:p w14:paraId="6BF87E6B" w14:textId="24B04729" w:rsidR="00480722" w:rsidRPr="003341AF" w:rsidRDefault="00480722" w:rsidP="00480722">
            <w:pPr>
              <w:spacing w:after="0" w:line="240" w:lineRule="auto"/>
              <w:jc w:val="right"/>
              <w:rPr>
                <w:rFonts w:ascii="Arial" w:hAnsi="Arial" w:cs="Arial"/>
                <w:sz w:val="16"/>
                <w:szCs w:val="16"/>
              </w:rPr>
            </w:pPr>
            <w:r w:rsidRPr="003341AF">
              <w:rPr>
                <w:rFonts w:ascii="Arial" w:hAnsi="Arial" w:cs="Arial"/>
                <w:sz w:val="16"/>
                <w:szCs w:val="16"/>
              </w:rPr>
              <w:t>6,930</w:t>
            </w:r>
          </w:p>
        </w:tc>
        <w:tc>
          <w:tcPr>
            <w:tcW w:w="880" w:type="dxa"/>
            <w:tcBorders>
              <w:top w:val="nil"/>
              <w:left w:val="nil"/>
              <w:bottom w:val="nil"/>
              <w:right w:val="nil"/>
            </w:tcBorders>
            <w:shd w:val="clear" w:color="000000" w:fill="E6E6E6"/>
            <w:noWrap/>
            <w:vAlign w:val="bottom"/>
            <w:hideMark/>
          </w:tcPr>
          <w:p w14:paraId="3716B36D" w14:textId="19A6B009" w:rsidR="00480722" w:rsidRPr="003341AF" w:rsidRDefault="00480722" w:rsidP="00480722">
            <w:pPr>
              <w:spacing w:after="0" w:line="240" w:lineRule="auto"/>
              <w:jc w:val="right"/>
              <w:rPr>
                <w:rFonts w:ascii="Arial" w:hAnsi="Arial" w:cs="Arial"/>
                <w:sz w:val="16"/>
                <w:szCs w:val="16"/>
              </w:rPr>
            </w:pPr>
            <w:r w:rsidRPr="003341AF">
              <w:rPr>
                <w:rFonts w:ascii="Arial" w:hAnsi="Arial" w:cs="Arial"/>
                <w:sz w:val="16"/>
                <w:szCs w:val="16"/>
              </w:rPr>
              <w:t>8,255</w:t>
            </w:r>
          </w:p>
        </w:tc>
        <w:tc>
          <w:tcPr>
            <w:tcW w:w="880" w:type="dxa"/>
            <w:tcBorders>
              <w:top w:val="nil"/>
              <w:left w:val="nil"/>
              <w:bottom w:val="nil"/>
              <w:right w:val="nil"/>
            </w:tcBorders>
            <w:shd w:val="clear" w:color="auto" w:fill="auto"/>
            <w:noWrap/>
            <w:vAlign w:val="bottom"/>
            <w:hideMark/>
          </w:tcPr>
          <w:p w14:paraId="7CEE2D71" w14:textId="2ABC0F54" w:rsidR="00480722" w:rsidRPr="003341AF" w:rsidRDefault="00480722" w:rsidP="00480722">
            <w:pPr>
              <w:spacing w:after="0" w:line="240" w:lineRule="auto"/>
              <w:jc w:val="right"/>
              <w:rPr>
                <w:rFonts w:ascii="Arial" w:hAnsi="Arial" w:cs="Arial"/>
                <w:sz w:val="16"/>
                <w:szCs w:val="16"/>
              </w:rPr>
            </w:pPr>
            <w:r w:rsidRPr="003341AF">
              <w:rPr>
                <w:rFonts w:ascii="Arial" w:hAnsi="Arial" w:cs="Arial"/>
                <w:sz w:val="16"/>
                <w:szCs w:val="16"/>
              </w:rPr>
              <w:t>7,983</w:t>
            </w:r>
          </w:p>
        </w:tc>
        <w:tc>
          <w:tcPr>
            <w:tcW w:w="880" w:type="dxa"/>
            <w:tcBorders>
              <w:top w:val="nil"/>
              <w:left w:val="nil"/>
              <w:bottom w:val="nil"/>
              <w:right w:val="nil"/>
            </w:tcBorders>
            <w:shd w:val="clear" w:color="auto" w:fill="auto"/>
            <w:noWrap/>
            <w:vAlign w:val="bottom"/>
            <w:hideMark/>
          </w:tcPr>
          <w:p w14:paraId="585247E1" w14:textId="0BA4DCFD" w:rsidR="00480722" w:rsidRPr="003341AF" w:rsidRDefault="00480722" w:rsidP="00480722">
            <w:pPr>
              <w:spacing w:after="0" w:line="240" w:lineRule="auto"/>
              <w:jc w:val="right"/>
              <w:rPr>
                <w:rFonts w:ascii="Arial" w:hAnsi="Arial" w:cs="Arial"/>
                <w:sz w:val="16"/>
                <w:szCs w:val="16"/>
              </w:rPr>
            </w:pPr>
            <w:r w:rsidRPr="003341AF">
              <w:rPr>
                <w:rFonts w:ascii="Arial" w:hAnsi="Arial" w:cs="Arial"/>
                <w:sz w:val="16"/>
                <w:szCs w:val="16"/>
              </w:rPr>
              <w:t>8,096</w:t>
            </w:r>
          </w:p>
        </w:tc>
        <w:tc>
          <w:tcPr>
            <w:tcW w:w="885" w:type="dxa"/>
            <w:tcBorders>
              <w:top w:val="nil"/>
              <w:left w:val="nil"/>
              <w:bottom w:val="nil"/>
              <w:right w:val="nil"/>
            </w:tcBorders>
            <w:shd w:val="clear" w:color="auto" w:fill="auto"/>
            <w:noWrap/>
            <w:vAlign w:val="bottom"/>
            <w:hideMark/>
          </w:tcPr>
          <w:p w14:paraId="679C5814" w14:textId="4EBE96B9" w:rsidR="00480722" w:rsidRPr="003341AF" w:rsidRDefault="00480722" w:rsidP="00480722">
            <w:pPr>
              <w:spacing w:after="0" w:line="240" w:lineRule="auto"/>
              <w:jc w:val="right"/>
              <w:rPr>
                <w:rFonts w:ascii="Arial" w:hAnsi="Arial" w:cs="Arial"/>
                <w:sz w:val="16"/>
                <w:szCs w:val="16"/>
              </w:rPr>
            </w:pPr>
            <w:r w:rsidRPr="003341AF">
              <w:rPr>
                <w:rFonts w:ascii="Arial" w:hAnsi="Arial" w:cs="Arial"/>
                <w:sz w:val="16"/>
                <w:szCs w:val="16"/>
              </w:rPr>
              <w:t>7,199</w:t>
            </w:r>
          </w:p>
        </w:tc>
      </w:tr>
      <w:tr w:rsidR="00480722" w:rsidRPr="003341AF" w14:paraId="3392448A" w14:textId="77777777" w:rsidTr="00C17389">
        <w:trPr>
          <w:trHeight w:val="204"/>
        </w:trPr>
        <w:tc>
          <w:tcPr>
            <w:tcW w:w="3261" w:type="dxa"/>
            <w:tcBorders>
              <w:top w:val="nil"/>
              <w:left w:val="nil"/>
              <w:bottom w:val="single" w:sz="4" w:space="0" w:color="auto"/>
              <w:right w:val="nil"/>
            </w:tcBorders>
            <w:shd w:val="clear" w:color="auto" w:fill="auto"/>
            <w:noWrap/>
            <w:vAlign w:val="bottom"/>
            <w:hideMark/>
          </w:tcPr>
          <w:p w14:paraId="3DDDAFA3" w14:textId="77777777" w:rsidR="00480722" w:rsidRPr="003341AF" w:rsidRDefault="00480722" w:rsidP="00480722">
            <w:pPr>
              <w:spacing w:after="0" w:line="240" w:lineRule="auto"/>
              <w:jc w:val="left"/>
              <w:rPr>
                <w:rFonts w:ascii="Arial" w:hAnsi="Arial" w:cs="Arial"/>
                <w:b/>
                <w:bCs/>
                <w:sz w:val="16"/>
                <w:szCs w:val="16"/>
              </w:rPr>
            </w:pPr>
            <w:r w:rsidRPr="003341AF">
              <w:rPr>
                <w:rFonts w:ascii="Arial" w:hAnsi="Arial" w:cs="Arial"/>
                <w:b/>
                <w:bCs/>
                <w:sz w:val="16"/>
                <w:szCs w:val="16"/>
              </w:rPr>
              <w:t>Total expenses for Outcome 1</w:t>
            </w:r>
          </w:p>
        </w:tc>
        <w:tc>
          <w:tcPr>
            <w:tcW w:w="880" w:type="dxa"/>
            <w:tcBorders>
              <w:top w:val="single" w:sz="4" w:space="0" w:color="auto"/>
              <w:left w:val="nil"/>
              <w:bottom w:val="single" w:sz="4" w:space="0" w:color="auto"/>
              <w:right w:val="nil"/>
            </w:tcBorders>
            <w:shd w:val="clear" w:color="auto" w:fill="auto"/>
            <w:noWrap/>
            <w:vAlign w:val="bottom"/>
            <w:hideMark/>
          </w:tcPr>
          <w:p w14:paraId="7CA7DE65" w14:textId="00A9159F" w:rsidR="00480722" w:rsidRPr="003341AF" w:rsidRDefault="00480722" w:rsidP="00480722">
            <w:pPr>
              <w:spacing w:after="0" w:line="240" w:lineRule="auto"/>
              <w:jc w:val="right"/>
              <w:rPr>
                <w:rFonts w:ascii="Arial" w:hAnsi="Arial" w:cs="Arial"/>
                <w:b/>
                <w:bCs/>
                <w:color w:val="000000"/>
                <w:sz w:val="16"/>
                <w:szCs w:val="16"/>
              </w:rPr>
            </w:pPr>
            <w:r w:rsidRPr="003341AF">
              <w:rPr>
                <w:rFonts w:ascii="Arial" w:hAnsi="Arial" w:cs="Arial"/>
                <w:b/>
                <w:bCs/>
                <w:color w:val="000000"/>
                <w:sz w:val="16"/>
                <w:szCs w:val="16"/>
              </w:rPr>
              <w:t>10,559</w:t>
            </w:r>
          </w:p>
        </w:tc>
        <w:tc>
          <w:tcPr>
            <w:tcW w:w="880" w:type="dxa"/>
            <w:tcBorders>
              <w:top w:val="single" w:sz="4" w:space="0" w:color="auto"/>
              <w:left w:val="nil"/>
              <w:bottom w:val="single" w:sz="4" w:space="0" w:color="auto"/>
              <w:right w:val="nil"/>
            </w:tcBorders>
            <w:shd w:val="clear" w:color="000000" w:fill="E6E6E6"/>
            <w:noWrap/>
            <w:vAlign w:val="bottom"/>
            <w:hideMark/>
          </w:tcPr>
          <w:p w14:paraId="4F0BD542" w14:textId="71AF2324" w:rsidR="00480722" w:rsidRPr="003341AF" w:rsidRDefault="00480722" w:rsidP="00480722">
            <w:pPr>
              <w:spacing w:after="0" w:line="240" w:lineRule="auto"/>
              <w:jc w:val="right"/>
              <w:rPr>
                <w:rFonts w:ascii="Arial" w:hAnsi="Arial" w:cs="Arial"/>
                <w:b/>
                <w:bCs/>
                <w:color w:val="000000"/>
                <w:sz w:val="16"/>
                <w:szCs w:val="16"/>
              </w:rPr>
            </w:pPr>
            <w:r w:rsidRPr="003341AF">
              <w:rPr>
                <w:rFonts w:ascii="Arial" w:hAnsi="Arial" w:cs="Arial"/>
                <w:b/>
                <w:bCs/>
                <w:color w:val="000000"/>
                <w:sz w:val="16"/>
                <w:szCs w:val="16"/>
              </w:rPr>
              <w:t>12,719</w:t>
            </w:r>
          </w:p>
        </w:tc>
        <w:tc>
          <w:tcPr>
            <w:tcW w:w="880" w:type="dxa"/>
            <w:tcBorders>
              <w:top w:val="single" w:sz="4" w:space="0" w:color="auto"/>
              <w:left w:val="nil"/>
              <w:bottom w:val="single" w:sz="4" w:space="0" w:color="auto"/>
              <w:right w:val="nil"/>
            </w:tcBorders>
            <w:shd w:val="clear" w:color="auto" w:fill="auto"/>
            <w:noWrap/>
            <w:vAlign w:val="bottom"/>
            <w:hideMark/>
          </w:tcPr>
          <w:p w14:paraId="14011587" w14:textId="66E406A0" w:rsidR="00480722" w:rsidRPr="003341AF" w:rsidRDefault="00480722" w:rsidP="00480722">
            <w:pPr>
              <w:spacing w:after="0" w:line="240" w:lineRule="auto"/>
              <w:jc w:val="right"/>
              <w:rPr>
                <w:rFonts w:ascii="Arial" w:hAnsi="Arial" w:cs="Arial"/>
                <w:b/>
                <w:bCs/>
                <w:sz w:val="16"/>
                <w:szCs w:val="16"/>
              </w:rPr>
            </w:pPr>
            <w:r w:rsidRPr="003341AF">
              <w:rPr>
                <w:rFonts w:ascii="Arial" w:hAnsi="Arial" w:cs="Arial"/>
                <w:b/>
                <w:bCs/>
                <w:sz w:val="16"/>
                <w:szCs w:val="16"/>
              </w:rPr>
              <w:t>12,367</w:t>
            </w:r>
          </w:p>
        </w:tc>
        <w:tc>
          <w:tcPr>
            <w:tcW w:w="880" w:type="dxa"/>
            <w:tcBorders>
              <w:top w:val="single" w:sz="4" w:space="0" w:color="auto"/>
              <w:left w:val="nil"/>
              <w:bottom w:val="single" w:sz="4" w:space="0" w:color="auto"/>
              <w:right w:val="nil"/>
            </w:tcBorders>
            <w:shd w:val="clear" w:color="auto" w:fill="auto"/>
            <w:noWrap/>
            <w:vAlign w:val="bottom"/>
            <w:hideMark/>
          </w:tcPr>
          <w:p w14:paraId="08A399A3" w14:textId="54DF18BE" w:rsidR="00480722" w:rsidRPr="003341AF" w:rsidRDefault="00480722" w:rsidP="00480722">
            <w:pPr>
              <w:spacing w:after="0" w:line="240" w:lineRule="auto"/>
              <w:jc w:val="right"/>
              <w:rPr>
                <w:rFonts w:ascii="Arial" w:hAnsi="Arial" w:cs="Arial"/>
                <w:b/>
                <w:bCs/>
                <w:sz w:val="16"/>
                <w:szCs w:val="16"/>
              </w:rPr>
            </w:pPr>
            <w:r w:rsidRPr="003341AF">
              <w:rPr>
                <w:rFonts w:ascii="Arial" w:hAnsi="Arial" w:cs="Arial"/>
                <w:b/>
                <w:bCs/>
                <w:sz w:val="16"/>
                <w:szCs w:val="16"/>
              </w:rPr>
              <w:t>12,398</w:t>
            </w:r>
          </w:p>
        </w:tc>
        <w:tc>
          <w:tcPr>
            <w:tcW w:w="885" w:type="dxa"/>
            <w:tcBorders>
              <w:top w:val="single" w:sz="4" w:space="0" w:color="auto"/>
              <w:left w:val="nil"/>
              <w:bottom w:val="single" w:sz="4" w:space="0" w:color="auto"/>
              <w:right w:val="nil"/>
            </w:tcBorders>
            <w:shd w:val="clear" w:color="auto" w:fill="auto"/>
            <w:noWrap/>
            <w:vAlign w:val="bottom"/>
            <w:hideMark/>
          </w:tcPr>
          <w:p w14:paraId="0749C188" w14:textId="0DC50B17" w:rsidR="00480722" w:rsidRPr="003341AF" w:rsidRDefault="00480722" w:rsidP="00480722">
            <w:pPr>
              <w:spacing w:after="0" w:line="240" w:lineRule="auto"/>
              <w:jc w:val="right"/>
              <w:rPr>
                <w:rFonts w:ascii="Arial" w:hAnsi="Arial" w:cs="Arial"/>
                <w:b/>
                <w:bCs/>
                <w:sz w:val="16"/>
                <w:szCs w:val="16"/>
              </w:rPr>
            </w:pPr>
            <w:r w:rsidRPr="003341AF">
              <w:rPr>
                <w:rFonts w:ascii="Arial" w:hAnsi="Arial" w:cs="Arial"/>
                <w:b/>
                <w:bCs/>
                <w:sz w:val="16"/>
                <w:szCs w:val="16"/>
              </w:rPr>
              <w:t>11,086</w:t>
            </w:r>
          </w:p>
        </w:tc>
      </w:tr>
    </w:tbl>
    <w:p w14:paraId="478E0145" w14:textId="446FD0E7" w:rsidR="00C63902" w:rsidRPr="000B1A75" w:rsidRDefault="00C63902" w:rsidP="00C63902">
      <w:pPr>
        <w:pStyle w:val="TableGraphic"/>
        <w:rPr>
          <w:rFonts w:ascii="Arial" w:hAnsi="Arial" w:cs="Arial"/>
          <w:noProof/>
          <w:color w:val="auto"/>
          <w:sz w:val="16"/>
        </w:rPr>
      </w:pPr>
    </w:p>
    <w:tbl>
      <w:tblPr>
        <w:tblW w:w="0" w:type="auto"/>
        <w:tblLayout w:type="fixed"/>
        <w:tblLook w:val="04A0" w:firstRow="1" w:lastRow="0" w:firstColumn="1" w:lastColumn="0" w:noHBand="0" w:noVBand="1"/>
      </w:tblPr>
      <w:tblGrid>
        <w:gridCol w:w="3261"/>
        <w:gridCol w:w="882"/>
        <w:gridCol w:w="882"/>
      </w:tblGrid>
      <w:tr w:rsidR="00480722" w:rsidRPr="003341AF" w14:paraId="50182D2A" w14:textId="77777777" w:rsidTr="00C17389">
        <w:trPr>
          <w:trHeight w:val="257"/>
        </w:trPr>
        <w:tc>
          <w:tcPr>
            <w:tcW w:w="3261" w:type="dxa"/>
            <w:tcBorders>
              <w:top w:val="single" w:sz="4" w:space="0" w:color="auto"/>
              <w:left w:val="nil"/>
              <w:bottom w:val="nil"/>
              <w:right w:val="nil"/>
            </w:tcBorders>
            <w:shd w:val="clear" w:color="auto" w:fill="auto"/>
            <w:noWrap/>
            <w:vAlign w:val="center"/>
            <w:hideMark/>
          </w:tcPr>
          <w:p w14:paraId="4197AEA7" w14:textId="34DD89FF" w:rsidR="00480722" w:rsidRPr="003341AF" w:rsidRDefault="00480722" w:rsidP="00D54858">
            <w:pPr>
              <w:spacing w:after="0" w:line="240" w:lineRule="auto"/>
              <w:jc w:val="left"/>
              <w:rPr>
                <w:rFonts w:ascii="Arial" w:hAnsi="Arial" w:cs="Arial"/>
                <w:sz w:val="16"/>
                <w:szCs w:val="16"/>
              </w:rPr>
            </w:pPr>
          </w:p>
        </w:tc>
        <w:tc>
          <w:tcPr>
            <w:tcW w:w="882" w:type="dxa"/>
            <w:tcBorders>
              <w:top w:val="single" w:sz="4" w:space="0" w:color="auto"/>
              <w:left w:val="nil"/>
              <w:bottom w:val="nil"/>
              <w:right w:val="nil"/>
            </w:tcBorders>
            <w:shd w:val="clear" w:color="auto" w:fill="auto"/>
            <w:noWrap/>
            <w:vAlign w:val="center"/>
            <w:hideMark/>
          </w:tcPr>
          <w:p w14:paraId="7314215E" w14:textId="77777777" w:rsidR="00480722" w:rsidRPr="003341AF" w:rsidRDefault="00480722" w:rsidP="00D54858">
            <w:pPr>
              <w:spacing w:after="0" w:line="240" w:lineRule="auto"/>
              <w:jc w:val="right"/>
              <w:rPr>
                <w:rFonts w:ascii="Arial" w:hAnsi="Arial" w:cs="Arial"/>
                <w:sz w:val="16"/>
                <w:szCs w:val="16"/>
              </w:rPr>
            </w:pPr>
            <w:r w:rsidRPr="003341AF">
              <w:rPr>
                <w:rFonts w:ascii="Arial" w:hAnsi="Arial" w:cs="Arial"/>
                <w:sz w:val="16"/>
                <w:szCs w:val="16"/>
              </w:rPr>
              <w:t>2020-21</w:t>
            </w:r>
          </w:p>
        </w:tc>
        <w:tc>
          <w:tcPr>
            <w:tcW w:w="882" w:type="dxa"/>
            <w:tcBorders>
              <w:top w:val="single" w:sz="4" w:space="0" w:color="000000"/>
              <w:left w:val="nil"/>
              <w:bottom w:val="nil"/>
              <w:right w:val="nil"/>
            </w:tcBorders>
            <w:shd w:val="clear" w:color="000000" w:fill="E6E6E6"/>
            <w:noWrap/>
            <w:vAlign w:val="center"/>
            <w:hideMark/>
          </w:tcPr>
          <w:p w14:paraId="66511825" w14:textId="77777777" w:rsidR="00480722" w:rsidRPr="003341AF" w:rsidRDefault="00480722" w:rsidP="00D54858">
            <w:pPr>
              <w:spacing w:after="0" w:line="240" w:lineRule="auto"/>
              <w:jc w:val="right"/>
              <w:rPr>
                <w:rFonts w:ascii="Arial" w:hAnsi="Arial" w:cs="Arial"/>
                <w:sz w:val="16"/>
                <w:szCs w:val="16"/>
              </w:rPr>
            </w:pPr>
            <w:r w:rsidRPr="003341AF">
              <w:rPr>
                <w:rFonts w:ascii="Arial" w:hAnsi="Arial" w:cs="Arial"/>
                <w:sz w:val="16"/>
                <w:szCs w:val="16"/>
              </w:rPr>
              <w:t>2021-22</w:t>
            </w:r>
          </w:p>
        </w:tc>
      </w:tr>
      <w:tr w:rsidR="00480722" w:rsidRPr="003341AF" w14:paraId="41FE88B5" w14:textId="77777777" w:rsidTr="00C17389">
        <w:trPr>
          <w:trHeight w:val="204"/>
        </w:trPr>
        <w:tc>
          <w:tcPr>
            <w:tcW w:w="3261" w:type="dxa"/>
            <w:tcBorders>
              <w:top w:val="nil"/>
              <w:left w:val="nil"/>
              <w:bottom w:val="single" w:sz="4" w:space="0" w:color="auto"/>
              <w:right w:val="nil"/>
            </w:tcBorders>
            <w:shd w:val="clear" w:color="auto" w:fill="auto"/>
            <w:noWrap/>
            <w:vAlign w:val="center"/>
            <w:hideMark/>
          </w:tcPr>
          <w:p w14:paraId="4A898969" w14:textId="77777777" w:rsidR="00480722" w:rsidRPr="003341AF" w:rsidRDefault="00480722" w:rsidP="00D54858">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Average staffing level (number)</w:t>
            </w:r>
          </w:p>
        </w:tc>
        <w:tc>
          <w:tcPr>
            <w:tcW w:w="882" w:type="dxa"/>
            <w:tcBorders>
              <w:top w:val="single" w:sz="4" w:space="0" w:color="000000"/>
              <w:left w:val="nil"/>
              <w:bottom w:val="single" w:sz="4" w:space="0" w:color="000000"/>
              <w:right w:val="nil"/>
            </w:tcBorders>
            <w:shd w:val="clear" w:color="auto" w:fill="auto"/>
            <w:noWrap/>
            <w:vAlign w:val="bottom"/>
            <w:hideMark/>
          </w:tcPr>
          <w:p w14:paraId="1969633A" w14:textId="78EC3985" w:rsidR="00480722" w:rsidRPr="003341AF" w:rsidRDefault="00480722" w:rsidP="00D54858">
            <w:pPr>
              <w:spacing w:after="0" w:line="240" w:lineRule="auto"/>
              <w:jc w:val="right"/>
              <w:rPr>
                <w:rFonts w:ascii="Arial" w:hAnsi="Arial" w:cs="Arial"/>
                <w:sz w:val="16"/>
                <w:szCs w:val="16"/>
              </w:rPr>
            </w:pPr>
            <w:r w:rsidRPr="003341AF">
              <w:rPr>
                <w:rFonts w:ascii="Arial" w:hAnsi="Arial" w:cs="Arial"/>
                <w:sz w:val="16"/>
                <w:szCs w:val="16"/>
              </w:rPr>
              <w:t>41</w:t>
            </w:r>
          </w:p>
        </w:tc>
        <w:tc>
          <w:tcPr>
            <w:tcW w:w="882" w:type="dxa"/>
            <w:tcBorders>
              <w:top w:val="single" w:sz="4" w:space="0" w:color="000000"/>
              <w:left w:val="nil"/>
              <w:bottom w:val="single" w:sz="4" w:space="0" w:color="000000"/>
              <w:right w:val="nil"/>
            </w:tcBorders>
            <w:shd w:val="clear" w:color="000000" w:fill="E6E6E6"/>
            <w:noWrap/>
            <w:vAlign w:val="bottom"/>
            <w:hideMark/>
          </w:tcPr>
          <w:p w14:paraId="7B1078FD" w14:textId="1967967C" w:rsidR="00480722" w:rsidRPr="003341AF" w:rsidRDefault="00480722" w:rsidP="00D54858">
            <w:pPr>
              <w:spacing w:after="0" w:line="240" w:lineRule="auto"/>
              <w:jc w:val="right"/>
              <w:rPr>
                <w:rFonts w:ascii="Arial" w:hAnsi="Arial" w:cs="Arial"/>
                <w:sz w:val="16"/>
                <w:szCs w:val="16"/>
              </w:rPr>
            </w:pPr>
            <w:r w:rsidRPr="003341AF">
              <w:rPr>
                <w:rFonts w:ascii="Arial" w:hAnsi="Arial" w:cs="Arial"/>
                <w:sz w:val="16"/>
                <w:szCs w:val="16"/>
              </w:rPr>
              <w:t>44</w:t>
            </w:r>
          </w:p>
        </w:tc>
      </w:tr>
    </w:tbl>
    <w:p w14:paraId="10ADFB9F" w14:textId="77777777" w:rsidR="00480722" w:rsidRPr="003E0081" w:rsidRDefault="00480722" w:rsidP="003E0081"/>
    <w:p w14:paraId="59331B32" w14:textId="650C4100" w:rsidR="00C63902" w:rsidRPr="00ED7989" w:rsidRDefault="00C63902" w:rsidP="00C63902">
      <w:pPr>
        <w:pStyle w:val="TableHeading"/>
        <w:rPr>
          <w:lang w:val="en-AU"/>
        </w:rPr>
      </w:pPr>
      <w:r w:rsidRPr="00F71634">
        <w:t xml:space="preserve">Performance criteria for Outcome </w:t>
      </w:r>
      <w:r>
        <w:rPr>
          <w:lang w:val="en-AU"/>
        </w:rPr>
        <w:t>1</w:t>
      </w:r>
    </w:p>
    <w:p w14:paraId="63FCB014" w14:textId="0AB3B54B" w:rsidR="00C63902" w:rsidRPr="00ED7989" w:rsidRDefault="00C63902" w:rsidP="00C63902">
      <w:pPr>
        <w:tabs>
          <w:tab w:val="left" w:pos="709"/>
        </w:tabs>
        <w:jc w:val="left"/>
      </w:pPr>
      <w:r w:rsidRPr="00ED7989">
        <w:t xml:space="preserve">There has been no change to the performance criteria for Outcome 1 resulting from decisions made since the 2021-22 Budget. The </w:t>
      </w:r>
      <w:r w:rsidR="001D1BCB">
        <w:t>NTC’s</w:t>
      </w:r>
      <w:r w:rsidRPr="00ED7989">
        <w:t xml:space="preserve"> detailed performance criteria can be found in the </w:t>
      </w:r>
      <w:r w:rsidR="00360023" w:rsidRPr="00ED7989">
        <w:t xml:space="preserve">2021-22 </w:t>
      </w:r>
      <w:r w:rsidRPr="00ED7989">
        <w:t xml:space="preserve">Infrastructure, Transport, Regional Development and Communications PB Statements. </w:t>
      </w:r>
    </w:p>
    <w:p w14:paraId="3D375F5C" w14:textId="3407ED5A" w:rsidR="00914885" w:rsidRPr="00E41681" w:rsidRDefault="00914885" w:rsidP="00252B31">
      <w:pPr>
        <w:pStyle w:val="Heading2-TOCNTC"/>
      </w:pPr>
      <w:r>
        <w:rPr>
          <w:lang w:val="en-GB"/>
        </w:rPr>
        <w:br w:type="page"/>
      </w:r>
      <w:bookmarkStart w:id="536" w:name="_Toc93405370"/>
      <w:r w:rsidRPr="00E41681">
        <w:lastRenderedPageBreak/>
        <w:t>Section 3: Special account flows and budgeted financial statements</w:t>
      </w:r>
      <w:bookmarkEnd w:id="536"/>
    </w:p>
    <w:p w14:paraId="10521AF3" w14:textId="00F01ED1" w:rsidR="00914885" w:rsidRPr="004D3E2B" w:rsidRDefault="00914885" w:rsidP="00252B31">
      <w:pPr>
        <w:pStyle w:val="Heading3NTC"/>
      </w:pPr>
      <w:bookmarkStart w:id="537" w:name="_Toc93405371"/>
      <w:r w:rsidRPr="004D3E2B">
        <w:t>3.1</w:t>
      </w:r>
      <w:r w:rsidRPr="004D3E2B">
        <w:tab/>
        <w:t>Special account flows</w:t>
      </w:r>
      <w:bookmarkEnd w:id="537"/>
    </w:p>
    <w:p w14:paraId="38E09D8A" w14:textId="540A5037" w:rsidR="00914885" w:rsidRDefault="00AC4FDE" w:rsidP="00914885">
      <w:pPr>
        <w:pStyle w:val="Heading4"/>
      </w:pPr>
      <w:r>
        <w:rPr>
          <w:lang w:val="en-US"/>
        </w:rPr>
        <w:t>3.1.1</w:t>
      </w:r>
      <w:r>
        <w:rPr>
          <w:lang w:val="en-US"/>
        </w:rPr>
        <w:tab/>
      </w:r>
      <w:r w:rsidR="00914885" w:rsidRPr="004928FF">
        <w:t xml:space="preserve">Estimates of </w:t>
      </w:r>
      <w:r w:rsidR="00914885">
        <w:t>s</w:t>
      </w:r>
      <w:r w:rsidR="00914885" w:rsidRPr="004928FF">
        <w:t xml:space="preserve">pecial </w:t>
      </w:r>
      <w:r w:rsidR="00914885">
        <w:t>a</w:t>
      </w:r>
      <w:r w:rsidR="00914885" w:rsidRPr="004928FF">
        <w:t xml:space="preserve">ccount </w:t>
      </w:r>
      <w:r w:rsidR="00914885">
        <w:t>f</w:t>
      </w:r>
      <w:r w:rsidR="00914885" w:rsidRPr="004928FF">
        <w:t>lows</w:t>
      </w:r>
    </w:p>
    <w:p w14:paraId="1C0898FE" w14:textId="52A56974" w:rsidR="00914885" w:rsidRDefault="00C63902" w:rsidP="00A85C71">
      <w:pPr>
        <w:jc w:val="left"/>
      </w:pPr>
      <w:r>
        <w:t>The NTC does not have any s</w:t>
      </w:r>
      <w:r w:rsidR="00914885">
        <w:t xml:space="preserve">pecial </w:t>
      </w:r>
      <w:r>
        <w:t>a</w:t>
      </w:r>
      <w:r w:rsidR="00914885">
        <w:t>ccounts.</w:t>
      </w:r>
    </w:p>
    <w:p w14:paraId="7C422C57" w14:textId="33C949E4" w:rsidR="00914885" w:rsidRDefault="00914885" w:rsidP="00B46EF9">
      <w:pPr>
        <w:pStyle w:val="Heading3NTC"/>
        <w:spacing w:after="240"/>
      </w:pPr>
      <w:bookmarkStart w:id="538" w:name="_Toc93405372"/>
      <w:r w:rsidRPr="005554F9">
        <w:t>3.2</w:t>
      </w:r>
      <w:r>
        <w:tab/>
        <w:t>Budgeted financial statements</w:t>
      </w:r>
      <w:bookmarkEnd w:id="538"/>
    </w:p>
    <w:p w14:paraId="11AC0A4E" w14:textId="77777777" w:rsidR="00914885" w:rsidRPr="004928FF" w:rsidRDefault="00914885" w:rsidP="00F37CD1">
      <w:pPr>
        <w:pStyle w:val="Heading4"/>
      </w:pPr>
      <w:r w:rsidRPr="00EC73D1">
        <w:t>3.2</w:t>
      </w:r>
      <w:r w:rsidRPr="00EC73D1">
        <w:rPr>
          <w:lang w:val="en-AU"/>
        </w:rPr>
        <w:t>.1</w:t>
      </w:r>
      <w:r>
        <w:tab/>
      </w:r>
      <w:r w:rsidRPr="00F37CD1">
        <w:t>Analysis</w:t>
      </w:r>
      <w:r w:rsidRPr="004928FF">
        <w:t xml:space="preserve"> of </w:t>
      </w:r>
      <w:r>
        <w:t>b</w:t>
      </w:r>
      <w:r w:rsidRPr="004928FF">
        <w:t xml:space="preserve">udgeted </w:t>
      </w:r>
      <w:r>
        <w:t>f</w:t>
      </w:r>
      <w:r w:rsidRPr="004928FF">
        <w:t xml:space="preserve">inancial </w:t>
      </w:r>
      <w:r>
        <w:t>s</w:t>
      </w:r>
      <w:r w:rsidRPr="004928FF">
        <w:t>tatements</w:t>
      </w:r>
    </w:p>
    <w:p w14:paraId="7F75A616" w14:textId="73DCA91C" w:rsidR="00282413" w:rsidRDefault="00C87B38" w:rsidP="00A85C71">
      <w:pPr>
        <w:jc w:val="left"/>
        <w:rPr>
          <w:rFonts w:ascii="Calibri" w:hAnsi="Calibri"/>
        </w:rPr>
      </w:pPr>
      <w:r>
        <w:t xml:space="preserve">The NTC is budgeting for a break-even position in 2021-22. The NTC will be appropriated an additional $0.9 million in </w:t>
      </w:r>
      <w:r w:rsidR="008863D9">
        <w:t>Department</w:t>
      </w:r>
      <w:r>
        <w:t xml:space="preserve">al funding in 2021-22 through the Additional Estimates Appropriation Bills. </w:t>
      </w:r>
      <w:r w:rsidR="00282413" w:rsidRPr="00282413">
        <w:t>The funds appropriated in the additional estimates is planned to be expensed in the same year. The additional estimates doesn’t alter the overall budget outcome</w:t>
      </w:r>
      <w:r w:rsidR="00282413">
        <w:t>.</w:t>
      </w:r>
    </w:p>
    <w:p w14:paraId="1F708DD5" w14:textId="6917A118" w:rsidR="00B46EF9" w:rsidRDefault="00C87B38" w:rsidP="00A85C71">
      <w:pPr>
        <w:jc w:val="left"/>
      </w:pPr>
      <w:r>
        <w:t xml:space="preserve">For further detail on the NTC’s financial position, please see the </w:t>
      </w:r>
      <w:r w:rsidR="00C37FFB" w:rsidRPr="00ED7989">
        <w:t>2021-22 Infrastructure, Transport, Regional Development and Communications PB Statements</w:t>
      </w:r>
      <w:r>
        <w:t>.</w:t>
      </w:r>
    </w:p>
    <w:p w14:paraId="49364567" w14:textId="50FAAB38" w:rsidR="00C87B38" w:rsidRDefault="00B46EF9" w:rsidP="00B46EF9">
      <w:pPr>
        <w:spacing w:after="0" w:line="240" w:lineRule="auto"/>
        <w:jc w:val="left"/>
      </w:pPr>
      <w:r>
        <w:br w:type="page"/>
      </w:r>
    </w:p>
    <w:p w14:paraId="6F23A0B6" w14:textId="763ABB17" w:rsidR="00914885" w:rsidRPr="004928FF" w:rsidRDefault="00914885" w:rsidP="00F37CD1">
      <w:pPr>
        <w:pStyle w:val="Heading4"/>
      </w:pPr>
      <w:r w:rsidRPr="00EC73D1">
        <w:lastRenderedPageBreak/>
        <w:t>3.2.2</w:t>
      </w:r>
      <w:r>
        <w:tab/>
      </w:r>
      <w:r w:rsidRPr="004928FF">
        <w:t xml:space="preserve">Budgeted </w:t>
      </w:r>
      <w:r>
        <w:t>f</w:t>
      </w:r>
      <w:r w:rsidRPr="004928FF">
        <w:t xml:space="preserve">inancial </w:t>
      </w:r>
      <w:r>
        <w:t>s</w:t>
      </w:r>
      <w:r w:rsidRPr="004928FF">
        <w:t>tatements</w:t>
      </w:r>
    </w:p>
    <w:p w14:paraId="5B797E52" w14:textId="77777777" w:rsidR="00C63902" w:rsidRPr="00763732" w:rsidRDefault="00C63902" w:rsidP="00C63902">
      <w:pPr>
        <w:pStyle w:val="TableHeading"/>
        <w:rPr>
          <w:snapToGrid w:val="0"/>
        </w:rPr>
      </w:pPr>
      <w:r w:rsidRPr="00E855E0">
        <w:t>Table</w:t>
      </w:r>
      <w:r>
        <w:t xml:space="preserve"> 3.2:</w:t>
      </w:r>
      <w:r w:rsidRPr="00E855E0">
        <w:t xml:space="preserve"> Comprehensive income statement (showing net cost of services)</w:t>
      </w:r>
      <w:r>
        <w:t xml:space="preserve"> </w:t>
      </w:r>
      <w:r>
        <w:rPr>
          <w:snapToGrid w:val="0"/>
        </w:rPr>
        <w:t>for the period ended 30 June</w:t>
      </w:r>
    </w:p>
    <w:tbl>
      <w:tblPr>
        <w:tblW w:w="7498" w:type="dxa"/>
        <w:tblLook w:val="04A0" w:firstRow="1" w:lastRow="0" w:firstColumn="1" w:lastColumn="0" w:noHBand="0" w:noVBand="1"/>
      </w:tblPr>
      <w:tblGrid>
        <w:gridCol w:w="3402"/>
        <w:gridCol w:w="816"/>
        <w:gridCol w:w="817"/>
        <w:gridCol w:w="821"/>
        <w:gridCol w:w="821"/>
        <w:gridCol w:w="821"/>
      </w:tblGrid>
      <w:tr w:rsidR="00C63902" w:rsidRPr="003341AF" w14:paraId="01C98523" w14:textId="77777777" w:rsidTr="00A85C71">
        <w:trPr>
          <w:trHeight w:val="444"/>
        </w:trPr>
        <w:tc>
          <w:tcPr>
            <w:tcW w:w="3402" w:type="dxa"/>
            <w:tcBorders>
              <w:top w:val="single" w:sz="4" w:space="0" w:color="auto"/>
              <w:left w:val="nil"/>
              <w:bottom w:val="nil"/>
              <w:right w:val="nil"/>
            </w:tcBorders>
            <w:shd w:val="clear" w:color="auto" w:fill="auto"/>
            <w:noWrap/>
            <w:hideMark/>
          </w:tcPr>
          <w:p w14:paraId="5EEFE7D4"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 </w:t>
            </w:r>
          </w:p>
        </w:tc>
        <w:tc>
          <w:tcPr>
            <w:tcW w:w="816" w:type="dxa"/>
            <w:tcBorders>
              <w:top w:val="single" w:sz="4" w:space="0" w:color="auto"/>
              <w:left w:val="nil"/>
              <w:bottom w:val="single" w:sz="4" w:space="0" w:color="auto"/>
              <w:right w:val="nil"/>
            </w:tcBorders>
            <w:shd w:val="clear" w:color="auto" w:fill="auto"/>
            <w:hideMark/>
          </w:tcPr>
          <w:p w14:paraId="349D9A44"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2020-21 Actual</w:t>
            </w:r>
            <w:r w:rsidRPr="003341AF">
              <w:rPr>
                <w:rFonts w:ascii="Arial" w:hAnsi="Arial" w:cs="Arial"/>
                <w:sz w:val="16"/>
                <w:szCs w:val="16"/>
              </w:rPr>
              <w:br/>
            </w:r>
            <w:r w:rsidRPr="003341AF">
              <w:rPr>
                <w:rFonts w:ascii="Arial" w:hAnsi="Arial" w:cs="Arial"/>
                <w:sz w:val="16"/>
                <w:szCs w:val="16"/>
              </w:rPr>
              <w:br/>
              <w:t>$'000</w:t>
            </w:r>
          </w:p>
        </w:tc>
        <w:tc>
          <w:tcPr>
            <w:tcW w:w="817" w:type="dxa"/>
            <w:tcBorders>
              <w:top w:val="single" w:sz="4" w:space="0" w:color="auto"/>
              <w:left w:val="nil"/>
              <w:bottom w:val="single" w:sz="4" w:space="0" w:color="auto"/>
              <w:right w:val="nil"/>
            </w:tcBorders>
            <w:shd w:val="clear" w:color="000000" w:fill="E6E6E6"/>
            <w:hideMark/>
          </w:tcPr>
          <w:p w14:paraId="1D33EBE9"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2021-22</w:t>
            </w:r>
            <w:r w:rsidRPr="003341AF">
              <w:rPr>
                <w:rFonts w:ascii="Arial" w:hAnsi="Arial" w:cs="Arial"/>
                <w:sz w:val="16"/>
                <w:szCs w:val="16"/>
              </w:rPr>
              <w:br/>
              <w:t>Revised Budget</w:t>
            </w:r>
            <w:r w:rsidRPr="003341AF">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6BEE0EE0"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2022-23 Forward estimate</w:t>
            </w:r>
            <w:r w:rsidRPr="003341AF">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26BDA149"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2023-24 Forward estimate</w:t>
            </w:r>
            <w:r w:rsidRPr="003341AF">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hideMark/>
          </w:tcPr>
          <w:p w14:paraId="53E13560"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2024-25</w:t>
            </w:r>
            <w:r w:rsidRPr="003341AF">
              <w:rPr>
                <w:rFonts w:ascii="Arial" w:hAnsi="Arial" w:cs="Arial"/>
                <w:sz w:val="16"/>
                <w:szCs w:val="16"/>
              </w:rPr>
              <w:br/>
              <w:t>Forward estimate</w:t>
            </w:r>
            <w:r w:rsidRPr="003341AF">
              <w:rPr>
                <w:rFonts w:ascii="Arial" w:hAnsi="Arial" w:cs="Arial"/>
                <w:sz w:val="16"/>
                <w:szCs w:val="16"/>
              </w:rPr>
              <w:br/>
              <w:t>$'000</w:t>
            </w:r>
          </w:p>
        </w:tc>
      </w:tr>
      <w:tr w:rsidR="00C63902" w:rsidRPr="003341AF" w14:paraId="1028F865" w14:textId="77777777" w:rsidTr="00A85C71">
        <w:trPr>
          <w:trHeight w:val="204"/>
        </w:trPr>
        <w:tc>
          <w:tcPr>
            <w:tcW w:w="3402" w:type="dxa"/>
            <w:tcBorders>
              <w:top w:val="nil"/>
              <w:left w:val="nil"/>
              <w:bottom w:val="nil"/>
              <w:right w:val="nil"/>
            </w:tcBorders>
            <w:shd w:val="clear" w:color="auto" w:fill="auto"/>
            <w:noWrap/>
            <w:vAlign w:val="bottom"/>
            <w:hideMark/>
          </w:tcPr>
          <w:p w14:paraId="2B053A5A"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EXPENSES</w:t>
            </w:r>
          </w:p>
        </w:tc>
        <w:tc>
          <w:tcPr>
            <w:tcW w:w="816" w:type="dxa"/>
            <w:tcBorders>
              <w:top w:val="nil"/>
              <w:left w:val="nil"/>
              <w:bottom w:val="nil"/>
              <w:right w:val="nil"/>
            </w:tcBorders>
            <w:shd w:val="clear" w:color="auto" w:fill="auto"/>
            <w:noWrap/>
            <w:vAlign w:val="bottom"/>
            <w:hideMark/>
          </w:tcPr>
          <w:p w14:paraId="029C4FBD" w14:textId="77777777" w:rsidR="00C63902" w:rsidRPr="00480722" w:rsidRDefault="00C63902" w:rsidP="00C6390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41ABC340" w14:textId="56CFAD9E"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756E53ED" w14:textId="77777777"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2496AE99" w14:textId="77777777" w:rsidR="00C63902" w:rsidRPr="002B26FC" w:rsidRDefault="00C63902" w:rsidP="00C63902">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43B4F507" w14:textId="77777777" w:rsidR="00C63902" w:rsidRPr="002B26FC" w:rsidRDefault="00C63902" w:rsidP="00C63902">
            <w:pPr>
              <w:spacing w:after="0" w:line="240" w:lineRule="auto"/>
              <w:jc w:val="right"/>
              <w:rPr>
                <w:rFonts w:ascii="Arial" w:hAnsi="Arial" w:cs="Arial"/>
                <w:sz w:val="16"/>
                <w:szCs w:val="16"/>
              </w:rPr>
            </w:pPr>
          </w:p>
        </w:tc>
      </w:tr>
      <w:tr w:rsidR="00C63902" w:rsidRPr="003341AF" w14:paraId="3E9B9BDC" w14:textId="77777777" w:rsidTr="00A85C71">
        <w:trPr>
          <w:trHeight w:val="204"/>
        </w:trPr>
        <w:tc>
          <w:tcPr>
            <w:tcW w:w="3402" w:type="dxa"/>
            <w:tcBorders>
              <w:top w:val="nil"/>
              <w:left w:val="nil"/>
              <w:bottom w:val="nil"/>
              <w:right w:val="nil"/>
            </w:tcBorders>
            <w:shd w:val="clear" w:color="auto" w:fill="auto"/>
            <w:noWrap/>
            <w:vAlign w:val="bottom"/>
            <w:hideMark/>
          </w:tcPr>
          <w:p w14:paraId="0ECDEEEB" w14:textId="77777777" w:rsidR="00C63902" w:rsidRPr="003341AF" w:rsidRDefault="00C63902" w:rsidP="002B26FC">
            <w:pPr>
              <w:spacing w:after="0" w:line="240" w:lineRule="auto"/>
              <w:ind w:left="113"/>
              <w:jc w:val="left"/>
              <w:rPr>
                <w:rFonts w:ascii="Arial" w:hAnsi="Arial" w:cs="Arial"/>
                <w:sz w:val="16"/>
                <w:szCs w:val="16"/>
              </w:rPr>
            </w:pPr>
            <w:r w:rsidRPr="003341AF">
              <w:rPr>
                <w:rFonts w:ascii="Arial" w:hAnsi="Arial" w:cs="Arial"/>
                <w:sz w:val="16"/>
                <w:szCs w:val="16"/>
              </w:rPr>
              <w:t>Employee benefits</w:t>
            </w:r>
          </w:p>
        </w:tc>
        <w:tc>
          <w:tcPr>
            <w:tcW w:w="816" w:type="dxa"/>
            <w:tcBorders>
              <w:top w:val="nil"/>
              <w:left w:val="nil"/>
              <w:bottom w:val="nil"/>
              <w:right w:val="nil"/>
            </w:tcBorders>
            <w:shd w:val="clear" w:color="auto" w:fill="auto"/>
            <w:noWrap/>
            <w:vAlign w:val="bottom"/>
            <w:hideMark/>
          </w:tcPr>
          <w:p w14:paraId="0D537801" w14:textId="78446D7F"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7,129</w:t>
            </w:r>
          </w:p>
        </w:tc>
        <w:tc>
          <w:tcPr>
            <w:tcW w:w="817" w:type="dxa"/>
            <w:tcBorders>
              <w:top w:val="nil"/>
              <w:left w:val="nil"/>
              <w:bottom w:val="nil"/>
              <w:right w:val="nil"/>
            </w:tcBorders>
            <w:shd w:val="clear" w:color="000000" w:fill="E6E6E6"/>
            <w:noWrap/>
            <w:vAlign w:val="bottom"/>
            <w:hideMark/>
          </w:tcPr>
          <w:p w14:paraId="562F6E8B" w14:textId="74299EF0"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7,765</w:t>
            </w:r>
          </w:p>
        </w:tc>
        <w:tc>
          <w:tcPr>
            <w:tcW w:w="821" w:type="dxa"/>
            <w:tcBorders>
              <w:top w:val="nil"/>
              <w:left w:val="nil"/>
              <w:bottom w:val="nil"/>
              <w:right w:val="nil"/>
            </w:tcBorders>
            <w:shd w:val="clear" w:color="auto" w:fill="auto"/>
            <w:noWrap/>
            <w:vAlign w:val="bottom"/>
            <w:hideMark/>
          </w:tcPr>
          <w:p w14:paraId="74B09C77" w14:textId="7BC35C7D"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7,900</w:t>
            </w:r>
          </w:p>
        </w:tc>
        <w:tc>
          <w:tcPr>
            <w:tcW w:w="821" w:type="dxa"/>
            <w:tcBorders>
              <w:top w:val="nil"/>
              <w:left w:val="nil"/>
              <w:bottom w:val="nil"/>
              <w:right w:val="nil"/>
            </w:tcBorders>
            <w:shd w:val="clear" w:color="auto" w:fill="auto"/>
            <w:noWrap/>
            <w:vAlign w:val="bottom"/>
            <w:hideMark/>
          </w:tcPr>
          <w:p w14:paraId="366F767F" w14:textId="10C018A1"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7,899</w:t>
            </w:r>
          </w:p>
        </w:tc>
        <w:tc>
          <w:tcPr>
            <w:tcW w:w="821" w:type="dxa"/>
            <w:tcBorders>
              <w:top w:val="nil"/>
              <w:left w:val="nil"/>
              <w:bottom w:val="nil"/>
              <w:right w:val="nil"/>
            </w:tcBorders>
            <w:shd w:val="clear" w:color="auto" w:fill="auto"/>
            <w:noWrap/>
            <w:vAlign w:val="bottom"/>
            <w:hideMark/>
          </w:tcPr>
          <w:p w14:paraId="6D21A3F3" w14:textId="347D9DA6"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7,728</w:t>
            </w:r>
          </w:p>
        </w:tc>
      </w:tr>
      <w:tr w:rsidR="00C63902" w:rsidRPr="003341AF" w14:paraId="06FFB735" w14:textId="77777777" w:rsidTr="00A85C71">
        <w:trPr>
          <w:trHeight w:val="204"/>
        </w:trPr>
        <w:tc>
          <w:tcPr>
            <w:tcW w:w="3402" w:type="dxa"/>
            <w:tcBorders>
              <w:top w:val="nil"/>
              <w:left w:val="nil"/>
              <w:bottom w:val="nil"/>
              <w:right w:val="nil"/>
            </w:tcBorders>
            <w:shd w:val="clear" w:color="auto" w:fill="auto"/>
            <w:noWrap/>
            <w:vAlign w:val="bottom"/>
            <w:hideMark/>
          </w:tcPr>
          <w:p w14:paraId="72B7270D" w14:textId="77777777" w:rsidR="00C63902" w:rsidRPr="003341AF" w:rsidRDefault="00C63902" w:rsidP="002B26FC">
            <w:pPr>
              <w:spacing w:after="0" w:line="240" w:lineRule="auto"/>
              <w:ind w:left="113"/>
              <w:jc w:val="left"/>
              <w:rPr>
                <w:rFonts w:ascii="Arial" w:hAnsi="Arial" w:cs="Arial"/>
                <w:sz w:val="16"/>
                <w:szCs w:val="16"/>
              </w:rPr>
            </w:pPr>
            <w:r w:rsidRPr="003341AF">
              <w:rPr>
                <w:rFonts w:ascii="Arial" w:hAnsi="Arial" w:cs="Arial"/>
                <w:sz w:val="16"/>
                <w:szCs w:val="16"/>
              </w:rPr>
              <w:t>Suppliers</w:t>
            </w:r>
          </w:p>
        </w:tc>
        <w:tc>
          <w:tcPr>
            <w:tcW w:w="816" w:type="dxa"/>
            <w:tcBorders>
              <w:top w:val="nil"/>
              <w:left w:val="nil"/>
              <w:bottom w:val="nil"/>
              <w:right w:val="nil"/>
            </w:tcBorders>
            <w:shd w:val="clear" w:color="auto" w:fill="auto"/>
            <w:noWrap/>
            <w:vAlign w:val="bottom"/>
            <w:hideMark/>
          </w:tcPr>
          <w:p w14:paraId="77621FA5" w14:textId="5215B5E1"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2,278</w:t>
            </w:r>
          </w:p>
        </w:tc>
        <w:tc>
          <w:tcPr>
            <w:tcW w:w="817" w:type="dxa"/>
            <w:tcBorders>
              <w:top w:val="nil"/>
              <w:left w:val="nil"/>
              <w:bottom w:val="nil"/>
              <w:right w:val="nil"/>
            </w:tcBorders>
            <w:shd w:val="clear" w:color="000000" w:fill="E6E6E6"/>
            <w:noWrap/>
            <w:vAlign w:val="bottom"/>
            <w:hideMark/>
          </w:tcPr>
          <w:p w14:paraId="0A64FBF3" w14:textId="25EF6B01"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4,083</w:t>
            </w:r>
          </w:p>
        </w:tc>
        <w:tc>
          <w:tcPr>
            <w:tcW w:w="821" w:type="dxa"/>
            <w:tcBorders>
              <w:top w:val="nil"/>
              <w:left w:val="nil"/>
              <w:bottom w:val="nil"/>
              <w:right w:val="nil"/>
            </w:tcBorders>
            <w:shd w:val="clear" w:color="auto" w:fill="auto"/>
            <w:noWrap/>
            <w:vAlign w:val="bottom"/>
            <w:hideMark/>
          </w:tcPr>
          <w:p w14:paraId="5F224841" w14:textId="6CE8DF46"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3,604</w:t>
            </w:r>
          </w:p>
        </w:tc>
        <w:tc>
          <w:tcPr>
            <w:tcW w:w="821" w:type="dxa"/>
            <w:tcBorders>
              <w:top w:val="nil"/>
              <w:left w:val="nil"/>
              <w:bottom w:val="nil"/>
              <w:right w:val="nil"/>
            </w:tcBorders>
            <w:shd w:val="clear" w:color="auto" w:fill="auto"/>
            <w:noWrap/>
            <w:vAlign w:val="bottom"/>
            <w:hideMark/>
          </w:tcPr>
          <w:p w14:paraId="413AE18C" w14:textId="3CCA7F6F"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3,645</w:t>
            </w:r>
          </w:p>
        </w:tc>
        <w:tc>
          <w:tcPr>
            <w:tcW w:w="821" w:type="dxa"/>
            <w:tcBorders>
              <w:top w:val="nil"/>
              <w:left w:val="nil"/>
              <w:bottom w:val="nil"/>
              <w:right w:val="nil"/>
            </w:tcBorders>
            <w:shd w:val="clear" w:color="auto" w:fill="auto"/>
            <w:noWrap/>
            <w:vAlign w:val="bottom"/>
            <w:hideMark/>
          </w:tcPr>
          <w:p w14:paraId="0AEB7BF9" w14:textId="3F879AAB"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2,513</w:t>
            </w:r>
          </w:p>
        </w:tc>
      </w:tr>
      <w:tr w:rsidR="00C63902" w:rsidRPr="003341AF" w14:paraId="4A21FC80" w14:textId="77777777" w:rsidTr="00A85C71">
        <w:trPr>
          <w:trHeight w:val="204"/>
        </w:trPr>
        <w:tc>
          <w:tcPr>
            <w:tcW w:w="3402" w:type="dxa"/>
            <w:tcBorders>
              <w:top w:val="nil"/>
              <w:left w:val="nil"/>
              <w:bottom w:val="nil"/>
              <w:right w:val="nil"/>
            </w:tcBorders>
            <w:shd w:val="clear" w:color="auto" w:fill="auto"/>
            <w:noWrap/>
            <w:vAlign w:val="bottom"/>
            <w:hideMark/>
          </w:tcPr>
          <w:p w14:paraId="1B242521" w14:textId="77777777" w:rsidR="00C63902" w:rsidRPr="003341AF" w:rsidRDefault="00C63902" w:rsidP="002B26FC">
            <w:pPr>
              <w:spacing w:after="0" w:line="240" w:lineRule="auto"/>
              <w:ind w:left="113"/>
              <w:jc w:val="left"/>
              <w:rPr>
                <w:rFonts w:ascii="Arial" w:hAnsi="Arial" w:cs="Arial"/>
                <w:sz w:val="16"/>
                <w:szCs w:val="16"/>
              </w:rPr>
            </w:pPr>
            <w:r w:rsidRPr="003341AF">
              <w:rPr>
                <w:rFonts w:ascii="Arial" w:hAnsi="Arial" w:cs="Arial"/>
                <w:sz w:val="16"/>
                <w:szCs w:val="16"/>
              </w:rPr>
              <w:t>Depreciation and amortisation</w:t>
            </w:r>
          </w:p>
        </w:tc>
        <w:tc>
          <w:tcPr>
            <w:tcW w:w="816" w:type="dxa"/>
            <w:tcBorders>
              <w:top w:val="nil"/>
              <w:left w:val="nil"/>
              <w:bottom w:val="nil"/>
              <w:right w:val="nil"/>
            </w:tcBorders>
            <w:shd w:val="clear" w:color="auto" w:fill="auto"/>
            <w:noWrap/>
            <w:vAlign w:val="bottom"/>
            <w:hideMark/>
          </w:tcPr>
          <w:p w14:paraId="54B1114B" w14:textId="504567B0"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807</w:t>
            </w:r>
          </w:p>
        </w:tc>
        <w:tc>
          <w:tcPr>
            <w:tcW w:w="817" w:type="dxa"/>
            <w:tcBorders>
              <w:top w:val="nil"/>
              <w:left w:val="nil"/>
              <w:bottom w:val="nil"/>
              <w:right w:val="nil"/>
            </w:tcBorders>
            <w:shd w:val="clear" w:color="000000" w:fill="E6E6E6"/>
            <w:noWrap/>
            <w:vAlign w:val="bottom"/>
            <w:hideMark/>
          </w:tcPr>
          <w:p w14:paraId="27F14DD4" w14:textId="11A7B56A" w:rsidR="00C63902" w:rsidRPr="004B043E" w:rsidRDefault="00C63902" w:rsidP="00C63902">
            <w:pPr>
              <w:spacing w:after="0" w:line="240" w:lineRule="auto"/>
              <w:jc w:val="right"/>
              <w:rPr>
                <w:rFonts w:ascii="Arial" w:hAnsi="Arial" w:cs="Arial"/>
                <w:bCs/>
                <w:sz w:val="16"/>
                <w:szCs w:val="16"/>
              </w:rPr>
            </w:pPr>
            <w:r w:rsidRPr="004B043E">
              <w:rPr>
                <w:rFonts w:ascii="Arial" w:hAnsi="Arial" w:cs="Arial"/>
                <w:bCs/>
                <w:sz w:val="16"/>
                <w:szCs w:val="16"/>
              </w:rPr>
              <w:t>816</w:t>
            </w:r>
          </w:p>
        </w:tc>
        <w:tc>
          <w:tcPr>
            <w:tcW w:w="821" w:type="dxa"/>
            <w:tcBorders>
              <w:top w:val="nil"/>
              <w:left w:val="nil"/>
              <w:bottom w:val="nil"/>
              <w:right w:val="nil"/>
            </w:tcBorders>
            <w:shd w:val="clear" w:color="auto" w:fill="auto"/>
            <w:noWrap/>
            <w:vAlign w:val="bottom"/>
            <w:hideMark/>
          </w:tcPr>
          <w:p w14:paraId="6F4380D9" w14:textId="69E75B41"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816</w:t>
            </w:r>
          </w:p>
        </w:tc>
        <w:tc>
          <w:tcPr>
            <w:tcW w:w="821" w:type="dxa"/>
            <w:tcBorders>
              <w:top w:val="nil"/>
              <w:left w:val="nil"/>
              <w:bottom w:val="nil"/>
              <w:right w:val="nil"/>
            </w:tcBorders>
            <w:shd w:val="clear" w:color="auto" w:fill="auto"/>
            <w:noWrap/>
            <w:vAlign w:val="bottom"/>
            <w:hideMark/>
          </w:tcPr>
          <w:p w14:paraId="0BB305F0" w14:textId="6BA4ABD8"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816</w:t>
            </w:r>
          </w:p>
        </w:tc>
        <w:tc>
          <w:tcPr>
            <w:tcW w:w="821" w:type="dxa"/>
            <w:tcBorders>
              <w:top w:val="nil"/>
              <w:left w:val="nil"/>
              <w:bottom w:val="nil"/>
              <w:right w:val="nil"/>
            </w:tcBorders>
            <w:shd w:val="clear" w:color="auto" w:fill="auto"/>
            <w:noWrap/>
            <w:vAlign w:val="bottom"/>
            <w:hideMark/>
          </w:tcPr>
          <w:p w14:paraId="6DF77A76" w14:textId="27617881"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816</w:t>
            </w:r>
          </w:p>
        </w:tc>
      </w:tr>
      <w:tr w:rsidR="00C63902" w:rsidRPr="003341AF" w14:paraId="6B7C1DE1" w14:textId="77777777" w:rsidTr="00A85C71">
        <w:trPr>
          <w:trHeight w:val="204"/>
        </w:trPr>
        <w:tc>
          <w:tcPr>
            <w:tcW w:w="3402" w:type="dxa"/>
            <w:tcBorders>
              <w:top w:val="nil"/>
              <w:left w:val="nil"/>
              <w:bottom w:val="nil"/>
              <w:right w:val="nil"/>
            </w:tcBorders>
            <w:shd w:val="clear" w:color="auto" w:fill="auto"/>
            <w:noWrap/>
            <w:vAlign w:val="bottom"/>
            <w:hideMark/>
          </w:tcPr>
          <w:p w14:paraId="14E08941" w14:textId="77777777" w:rsidR="00C63902" w:rsidRPr="003341AF" w:rsidRDefault="00C63902" w:rsidP="002B26FC">
            <w:pPr>
              <w:spacing w:after="0" w:line="240" w:lineRule="auto"/>
              <w:ind w:left="113"/>
              <w:jc w:val="left"/>
              <w:rPr>
                <w:rFonts w:ascii="Arial" w:hAnsi="Arial" w:cs="Arial"/>
                <w:sz w:val="16"/>
                <w:szCs w:val="16"/>
              </w:rPr>
            </w:pPr>
            <w:r w:rsidRPr="003341AF">
              <w:rPr>
                <w:rFonts w:ascii="Arial" w:hAnsi="Arial" w:cs="Arial"/>
                <w:sz w:val="16"/>
                <w:szCs w:val="16"/>
              </w:rPr>
              <w:t>Finance costs</w:t>
            </w:r>
          </w:p>
        </w:tc>
        <w:tc>
          <w:tcPr>
            <w:tcW w:w="816" w:type="dxa"/>
            <w:tcBorders>
              <w:top w:val="nil"/>
              <w:left w:val="nil"/>
              <w:bottom w:val="nil"/>
              <w:right w:val="nil"/>
            </w:tcBorders>
            <w:shd w:val="clear" w:color="auto" w:fill="auto"/>
            <w:noWrap/>
            <w:vAlign w:val="bottom"/>
            <w:hideMark/>
          </w:tcPr>
          <w:p w14:paraId="04FE326C" w14:textId="6158AA3A"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62</w:t>
            </w:r>
          </w:p>
        </w:tc>
        <w:tc>
          <w:tcPr>
            <w:tcW w:w="817" w:type="dxa"/>
            <w:tcBorders>
              <w:top w:val="nil"/>
              <w:left w:val="nil"/>
              <w:bottom w:val="nil"/>
              <w:right w:val="nil"/>
            </w:tcBorders>
            <w:shd w:val="clear" w:color="000000" w:fill="E6E6E6"/>
            <w:noWrap/>
            <w:vAlign w:val="bottom"/>
            <w:hideMark/>
          </w:tcPr>
          <w:p w14:paraId="26E1085E" w14:textId="21876A35" w:rsidR="00C63902" w:rsidRPr="004B043E" w:rsidRDefault="00C63902" w:rsidP="00C63902">
            <w:pPr>
              <w:spacing w:after="0" w:line="240" w:lineRule="auto"/>
              <w:jc w:val="right"/>
              <w:rPr>
                <w:rFonts w:ascii="Arial" w:hAnsi="Arial" w:cs="Arial"/>
                <w:bCs/>
                <w:sz w:val="16"/>
                <w:szCs w:val="16"/>
              </w:rPr>
            </w:pPr>
            <w:r w:rsidRPr="004B043E">
              <w:rPr>
                <w:rFonts w:ascii="Arial" w:hAnsi="Arial" w:cs="Arial"/>
                <w:bCs/>
                <w:sz w:val="16"/>
                <w:szCs w:val="16"/>
              </w:rPr>
              <w:t>55</w:t>
            </w:r>
          </w:p>
        </w:tc>
        <w:tc>
          <w:tcPr>
            <w:tcW w:w="821" w:type="dxa"/>
            <w:tcBorders>
              <w:top w:val="nil"/>
              <w:left w:val="nil"/>
              <w:bottom w:val="nil"/>
              <w:right w:val="nil"/>
            </w:tcBorders>
            <w:shd w:val="clear" w:color="auto" w:fill="auto"/>
            <w:noWrap/>
            <w:vAlign w:val="bottom"/>
            <w:hideMark/>
          </w:tcPr>
          <w:p w14:paraId="220ABB4B" w14:textId="630245C0"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47</w:t>
            </w:r>
          </w:p>
        </w:tc>
        <w:tc>
          <w:tcPr>
            <w:tcW w:w="821" w:type="dxa"/>
            <w:tcBorders>
              <w:top w:val="nil"/>
              <w:left w:val="nil"/>
              <w:bottom w:val="nil"/>
              <w:right w:val="nil"/>
            </w:tcBorders>
            <w:shd w:val="clear" w:color="auto" w:fill="auto"/>
            <w:noWrap/>
            <w:vAlign w:val="bottom"/>
            <w:hideMark/>
          </w:tcPr>
          <w:p w14:paraId="10BFE81E" w14:textId="693AB010"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38</w:t>
            </w:r>
          </w:p>
        </w:tc>
        <w:tc>
          <w:tcPr>
            <w:tcW w:w="821" w:type="dxa"/>
            <w:tcBorders>
              <w:top w:val="nil"/>
              <w:left w:val="nil"/>
              <w:bottom w:val="nil"/>
              <w:right w:val="nil"/>
            </w:tcBorders>
            <w:shd w:val="clear" w:color="auto" w:fill="auto"/>
            <w:noWrap/>
            <w:vAlign w:val="bottom"/>
            <w:hideMark/>
          </w:tcPr>
          <w:p w14:paraId="2D387F65" w14:textId="0B814370"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29</w:t>
            </w:r>
          </w:p>
        </w:tc>
      </w:tr>
      <w:tr w:rsidR="00C63902" w:rsidRPr="003341AF" w14:paraId="7FC74924" w14:textId="77777777" w:rsidTr="00A85C71">
        <w:trPr>
          <w:trHeight w:val="204"/>
        </w:trPr>
        <w:tc>
          <w:tcPr>
            <w:tcW w:w="3402" w:type="dxa"/>
            <w:tcBorders>
              <w:top w:val="nil"/>
              <w:left w:val="nil"/>
              <w:bottom w:val="nil"/>
              <w:right w:val="nil"/>
            </w:tcBorders>
            <w:shd w:val="clear" w:color="auto" w:fill="auto"/>
            <w:noWrap/>
            <w:vAlign w:val="bottom"/>
            <w:hideMark/>
          </w:tcPr>
          <w:p w14:paraId="139338ED"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Total expenses</w:t>
            </w:r>
          </w:p>
        </w:tc>
        <w:tc>
          <w:tcPr>
            <w:tcW w:w="816" w:type="dxa"/>
            <w:tcBorders>
              <w:top w:val="single" w:sz="4" w:space="0" w:color="auto"/>
              <w:left w:val="nil"/>
              <w:bottom w:val="single" w:sz="4" w:space="0" w:color="auto"/>
              <w:right w:val="nil"/>
            </w:tcBorders>
            <w:shd w:val="clear" w:color="auto" w:fill="auto"/>
            <w:noWrap/>
            <w:vAlign w:val="bottom"/>
            <w:hideMark/>
          </w:tcPr>
          <w:p w14:paraId="11FB9D10" w14:textId="7904C932"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10,276</w:t>
            </w:r>
          </w:p>
        </w:tc>
        <w:tc>
          <w:tcPr>
            <w:tcW w:w="817" w:type="dxa"/>
            <w:tcBorders>
              <w:top w:val="single" w:sz="4" w:space="0" w:color="auto"/>
              <w:left w:val="nil"/>
              <w:bottom w:val="single" w:sz="4" w:space="0" w:color="auto"/>
              <w:right w:val="nil"/>
            </w:tcBorders>
            <w:shd w:val="clear" w:color="000000" w:fill="E6E6E6"/>
            <w:noWrap/>
            <w:vAlign w:val="bottom"/>
            <w:hideMark/>
          </w:tcPr>
          <w:p w14:paraId="7CC534CB" w14:textId="47A77521"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12,719</w:t>
            </w:r>
          </w:p>
        </w:tc>
        <w:tc>
          <w:tcPr>
            <w:tcW w:w="821" w:type="dxa"/>
            <w:tcBorders>
              <w:top w:val="single" w:sz="4" w:space="0" w:color="auto"/>
              <w:left w:val="nil"/>
              <w:bottom w:val="single" w:sz="4" w:space="0" w:color="auto"/>
              <w:right w:val="nil"/>
            </w:tcBorders>
            <w:shd w:val="clear" w:color="auto" w:fill="auto"/>
            <w:noWrap/>
            <w:vAlign w:val="bottom"/>
            <w:hideMark/>
          </w:tcPr>
          <w:p w14:paraId="3487429D" w14:textId="7E455777"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12,367</w:t>
            </w:r>
          </w:p>
        </w:tc>
        <w:tc>
          <w:tcPr>
            <w:tcW w:w="821" w:type="dxa"/>
            <w:tcBorders>
              <w:top w:val="single" w:sz="4" w:space="0" w:color="auto"/>
              <w:left w:val="nil"/>
              <w:bottom w:val="single" w:sz="4" w:space="0" w:color="auto"/>
              <w:right w:val="nil"/>
            </w:tcBorders>
            <w:shd w:val="clear" w:color="auto" w:fill="auto"/>
            <w:noWrap/>
            <w:vAlign w:val="bottom"/>
            <w:hideMark/>
          </w:tcPr>
          <w:p w14:paraId="4413460B" w14:textId="45396053"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12,398</w:t>
            </w:r>
          </w:p>
        </w:tc>
        <w:tc>
          <w:tcPr>
            <w:tcW w:w="821" w:type="dxa"/>
            <w:tcBorders>
              <w:top w:val="single" w:sz="4" w:space="0" w:color="auto"/>
              <w:left w:val="nil"/>
              <w:bottom w:val="single" w:sz="4" w:space="0" w:color="auto"/>
              <w:right w:val="nil"/>
            </w:tcBorders>
            <w:shd w:val="clear" w:color="auto" w:fill="auto"/>
            <w:noWrap/>
            <w:vAlign w:val="bottom"/>
            <w:hideMark/>
          </w:tcPr>
          <w:p w14:paraId="3272F900" w14:textId="45311FCD"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11,086</w:t>
            </w:r>
          </w:p>
        </w:tc>
      </w:tr>
      <w:tr w:rsidR="00C63902" w:rsidRPr="003341AF" w14:paraId="79432DB2" w14:textId="77777777" w:rsidTr="00A85C71">
        <w:trPr>
          <w:trHeight w:val="204"/>
        </w:trPr>
        <w:tc>
          <w:tcPr>
            <w:tcW w:w="3402" w:type="dxa"/>
            <w:tcBorders>
              <w:top w:val="nil"/>
              <w:left w:val="nil"/>
              <w:bottom w:val="nil"/>
              <w:right w:val="nil"/>
            </w:tcBorders>
            <w:shd w:val="clear" w:color="auto" w:fill="auto"/>
            <w:noWrap/>
            <w:vAlign w:val="bottom"/>
            <w:hideMark/>
          </w:tcPr>
          <w:p w14:paraId="1B4DE99C"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 xml:space="preserve">LESS: </w:t>
            </w:r>
          </w:p>
        </w:tc>
        <w:tc>
          <w:tcPr>
            <w:tcW w:w="816" w:type="dxa"/>
            <w:tcBorders>
              <w:top w:val="nil"/>
              <w:left w:val="nil"/>
              <w:bottom w:val="nil"/>
              <w:right w:val="nil"/>
            </w:tcBorders>
            <w:shd w:val="clear" w:color="auto" w:fill="auto"/>
            <w:noWrap/>
            <w:vAlign w:val="bottom"/>
            <w:hideMark/>
          </w:tcPr>
          <w:p w14:paraId="1707BF25" w14:textId="77777777" w:rsidR="00C63902" w:rsidRPr="00480722" w:rsidRDefault="00C63902" w:rsidP="00C6390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1F3CAE22" w14:textId="089DD88A"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75F110F6" w14:textId="77777777"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3C249990" w14:textId="77777777" w:rsidR="00C63902" w:rsidRPr="002B26FC" w:rsidRDefault="00C63902" w:rsidP="00C63902">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63240E3D" w14:textId="77777777" w:rsidR="00C63902" w:rsidRPr="002B26FC" w:rsidRDefault="00C63902" w:rsidP="00C63902">
            <w:pPr>
              <w:spacing w:after="0" w:line="240" w:lineRule="auto"/>
              <w:jc w:val="right"/>
              <w:rPr>
                <w:rFonts w:ascii="Arial" w:hAnsi="Arial" w:cs="Arial"/>
                <w:sz w:val="16"/>
                <w:szCs w:val="16"/>
              </w:rPr>
            </w:pPr>
          </w:p>
        </w:tc>
      </w:tr>
      <w:tr w:rsidR="00C63902" w:rsidRPr="003341AF" w14:paraId="5A0984C0" w14:textId="77777777" w:rsidTr="00A85C71">
        <w:trPr>
          <w:trHeight w:val="204"/>
        </w:trPr>
        <w:tc>
          <w:tcPr>
            <w:tcW w:w="3402" w:type="dxa"/>
            <w:tcBorders>
              <w:top w:val="nil"/>
              <w:left w:val="nil"/>
              <w:bottom w:val="nil"/>
              <w:right w:val="nil"/>
            </w:tcBorders>
            <w:shd w:val="clear" w:color="auto" w:fill="auto"/>
            <w:noWrap/>
            <w:vAlign w:val="bottom"/>
            <w:hideMark/>
          </w:tcPr>
          <w:p w14:paraId="213D0951"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OWN-SOURCE INCOME</w:t>
            </w:r>
          </w:p>
        </w:tc>
        <w:tc>
          <w:tcPr>
            <w:tcW w:w="816" w:type="dxa"/>
            <w:tcBorders>
              <w:top w:val="nil"/>
              <w:left w:val="nil"/>
              <w:bottom w:val="nil"/>
              <w:right w:val="nil"/>
            </w:tcBorders>
            <w:shd w:val="clear" w:color="auto" w:fill="auto"/>
            <w:noWrap/>
            <w:vAlign w:val="bottom"/>
            <w:hideMark/>
          </w:tcPr>
          <w:p w14:paraId="3D9B2172" w14:textId="77777777" w:rsidR="00C63902" w:rsidRPr="00480722" w:rsidRDefault="00C63902" w:rsidP="00C6390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035EF506" w14:textId="2A88CA2D"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6CEA9C27" w14:textId="77777777"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7F756E1D" w14:textId="77777777" w:rsidR="00C63902" w:rsidRPr="002B26FC" w:rsidRDefault="00C63902" w:rsidP="00C63902">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70E48BE" w14:textId="77777777" w:rsidR="00C63902" w:rsidRPr="002B26FC" w:rsidRDefault="00C63902" w:rsidP="00C63902">
            <w:pPr>
              <w:spacing w:after="0" w:line="240" w:lineRule="auto"/>
              <w:jc w:val="right"/>
              <w:rPr>
                <w:rFonts w:ascii="Arial" w:hAnsi="Arial" w:cs="Arial"/>
                <w:sz w:val="16"/>
                <w:szCs w:val="16"/>
              </w:rPr>
            </w:pPr>
          </w:p>
        </w:tc>
      </w:tr>
      <w:tr w:rsidR="00C63902" w:rsidRPr="003341AF" w14:paraId="31369E63" w14:textId="77777777" w:rsidTr="00A85C71">
        <w:trPr>
          <w:trHeight w:val="204"/>
        </w:trPr>
        <w:tc>
          <w:tcPr>
            <w:tcW w:w="3402" w:type="dxa"/>
            <w:tcBorders>
              <w:top w:val="nil"/>
              <w:left w:val="nil"/>
              <w:bottom w:val="nil"/>
              <w:right w:val="nil"/>
            </w:tcBorders>
            <w:shd w:val="clear" w:color="auto" w:fill="auto"/>
            <w:noWrap/>
            <w:vAlign w:val="bottom"/>
            <w:hideMark/>
          </w:tcPr>
          <w:p w14:paraId="3A36B0E3"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Own-source revenue</w:t>
            </w:r>
          </w:p>
        </w:tc>
        <w:tc>
          <w:tcPr>
            <w:tcW w:w="816" w:type="dxa"/>
            <w:tcBorders>
              <w:top w:val="nil"/>
              <w:left w:val="nil"/>
              <w:bottom w:val="nil"/>
              <w:right w:val="nil"/>
            </w:tcBorders>
            <w:shd w:val="clear" w:color="auto" w:fill="auto"/>
            <w:noWrap/>
            <w:vAlign w:val="bottom"/>
            <w:hideMark/>
          </w:tcPr>
          <w:p w14:paraId="5F2CC6F6" w14:textId="77777777" w:rsidR="00C63902" w:rsidRPr="00480722" w:rsidRDefault="00C63902" w:rsidP="00C6390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53D9A4AE" w14:textId="5CC0E1FC"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5F8F94D4" w14:textId="77777777"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224D7F41" w14:textId="77777777" w:rsidR="00C63902" w:rsidRPr="002B26FC" w:rsidRDefault="00C63902" w:rsidP="00C63902">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1217AC38" w14:textId="77777777" w:rsidR="00C63902" w:rsidRPr="002B26FC" w:rsidRDefault="00C63902" w:rsidP="00C63902">
            <w:pPr>
              <w:spacing w:after="0" w:line="240" w:lineRule="auto"/>
              <w:jc w:val="right"/>
              <w:rPr>
                <w:rFonts w:ascii="Arial" w:hAnsi="Arial" w:cs="Arial"/>
                <w:sz w:val="16"/>
                <w:szCs w:val="16"/>
              </w:rPr>
            </w:pPr>
          </w:p>
        </w:tc>
      </w:tr>
      <w:tr w:rsidR="00C63902" w:rsidRPr="003341AF" w14:paraId="1DAD39AA" w14:textId="77777777" w:rsidTr="00A85C71">
        <w:trPr>
          <w:trHeight w:val="204"/>
        </w:trPr>
        <w:tc>
          <w:tcPr>
            <w:tcW w:w="3402" w:type="dxa"/>
            <w:tcBorders>
              <w:top w:val="nil"/>
              <w:left w:val="nil"/>
              <w:bottom w:val="nil"/>
              <w:right w:val="nil"/>
            </w:tcBorders>
            <w:shd w:val="clear" w:color="auto" w:fill="auto"/>
            <w:noWrap/>
            <w:vAlign w:val="bottom"/>
            <w:hideMark/>
          </w:tcPr>
          <w:p w14:paraId="1766FEBB" w14:textId="77777777" w:rsidR="00C63902" w:rsidRPr="003341AF" w:rsidRDefault="00C63902" w:rsidP="002B26FC">
            <w:pPr>
              <w:spacing w:after="0" w:line="240" w:lineRule="auto"/>
              <w:ind w:left="113"/>
              <w:jc w:val="left"/>
              <w:rPr>
                <w:rFonts w:ascii="Arial" w:hAnsi="Arial" w:cs="Arial"/>
                <w:sz w:val="16"/>
                <w:szCs w:val="16"/>
              </w:rPr>
            </w:pPr>
            <w:r w:rsidRPr="003341AF">
              <w:rPr>
                <w:rFonts w:ascii="Arial" w:hAnsi="Arial" w:cs="Arial"/>
                <w:sz w:val="16"/>
                <w:szCs w:val="16"/>
              </w:rPr>
              <w:t>Interest</w:t>
            </w:r>
          </w:p>
        </w:tc>
        <w:tc>
          <w:tcPr>
            <w:tcW w:w="816" w:type="dxa"/>
            <w:tcBorders>
              <w:top w:val="nil"/>
              <w:left w:val="nil"/>
              <w:bottom w:val="nil"/>
              <w:right w:val="nil"/>
            </w:tcBorders>
            <w:shd w:val="clear" w:color="auto" w:fill="auto"/>
            <w:noWrap/>
            <w:vAlign w:val="bottom"/>
            <w:hideMark/>
          </w:tcPr>
          <w:p w14:paraId="6546F957" w14:textId="6EAA5EE1"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1</w:t>
            </w:r>
          </w:p>
        </w:tc>
        <w:tc>
          <w:tcPr>
            <w:tcW w:w="817" w:type="dxa"/>
            <w:tcBorders>
              <w:top w:val="nil"/>
              <w:left w:val="nil"/>
              <w:bottom w:val="nil"/>
              <w:right w:val="nil"/>
            </w:tcBorders>
            <w:shd w:val="clear" w:color="000000" w:fill="E6E6E6"/>
            <w:noWrap/>
            <w:vAlign w:val="bottom"/>
            <w:hideMark/>
          </w:tcPr>
          <w:p w14:paraId="6ED85B4A" w14:textId="1906D1E1" w:rsidR="00C63902" w:rsidRPr="004B043E" w:rsidRDefault="00C63902" w:rsidP="00C63902">
            <w:pPr>
              <w:spacing w:after="0" w:line="240" w:lineRule="auto"/>
              <w:jc w:val="right"/>
              <w:rPr>
                <w:rFonts w:ascii="Arial" w:hAnsi="Arial" w:cs="Arial"/>
                <w:bCs/>
                <w:sz w:val="16"/>
                <w:szCs w:val="16"/>
              </w:rPr>
            </w:pPr>
            <w:r w:rsidRPr="004B043E">
              <w:rPr>
                <w:rFonts w:ascii="Arial" w:hAnsi="Arial" w:cs="Arial"/>
                <w:bCs/>
                <w:sz w:val="16"/>
                <w:szCs w:val="16"/>
              </w:rPr>
              <w:t>-</w:t>
            </w:r>
          </w:p>
        </w:tc>
        <w:tc>
          <w:tcPr>
            <w:tcW w:w="821" w:type="dxa"/>
            <w:tcBorders>
              <w:top w:val="nil"/>
              <w:left w:val="nil"/>
              <w:bottom w:val="nil"/>
              <w:right w:val="nil"/>
            </w:tcBorders>
            <w:shd w:val="clear" w:color="auto" w:fill="auto"/>
            <w:noWrap/>
            <w:vAlign w:val="bottom"/>
            <w:hideMark/>
          </w:tcPr>
          <w:p w14:paraId="7D331A2B" w14:textId="35AE6D32" w:rsidR="00C63902" w:rsidRPr="004B043E" w:rsidRDefault="00C63902" w:rsidP="00C63902">
            <w:pPr>
              <w:spacing w:after="0" w:line="240" w:lineRule="auto"/>
              <w:jc w:val="right"/>
              <w:rPr>
                <w:rFonts w:ascii="Arial" w:hAnsi="Arial" w:cs="Arial"/>
                <w:bCs/>
                <w:sz w:val="16"/>
                <w:szCs w:val="16"/>
              </w:rPr>
            </w:pPr>
            <w:r w:rsidRPr="004B043E">
              <w:rPr>
                <w:rFonts w:ascii="Arial" w:hAnsi="Arial" w:cs="Arial"/>
                <w:bCs/>
                <w:sz w:val="16"/>
                <w:szCs w:val="16"/>
              </w:rPr>
              <w:t>-</w:t>
            </w:r>
          </w:p>
        </w:tc>
        <w:tc>
          <w:tcPr>
            <w:tcW w:w="821" w:type="dxa"/>
            <w:tcBorders>
              <w:top w:val="nil"/>
              <w:left w:val="nil"/>
              <w:bottom w:val="nil"/>
              <w:right w:val="nil"/>
            </w:tcBorders>
            <w:shd w:val="clear" w:color="auto" w:fill="auto"/>
            <w:noWrap/>
            <w:vAlign w:val="bottom"/>
            <w:hideMark/>
          </w:tcPr>
          <w:p w14:paraId="2C7FE03A" w14:textId="7F9FE370" w:rsidR="00C63902" w:rsidRPr="004B043E" w:rsidRDefault="00C63902" w:rsidP="00C63902">
            <w:pPr>
              <w:spacing w:after="0" w:line="240" w:lineRule="auto"/>
              <w:jc w:val="right"/>
              <w:rPr>
                <w:rFonts w:ascii="Arial" w:hAnsi="Arial" w:cs="Arial"/>
                <w:bCs/>
                <w:sz w:val="16"/>
                <w:szCs w:val="16"/>
              </w:rPr>
            </w:pPr>
            <w:r w:rsidRPr="004B043E">
              <w:rPr>
                <w:rFonts w:ascii="Arial" w:hAnsi="Arial" w:cs="Arial"/>
                <w:bCs/>
                <w:sz w:val="16"/>
                <w:szCs w:val="16"/>
              </w:rPr>
              <w:t>-</w:t>
            </w:r>
          </w:p>
        </w:tc>
        <w:tc>
          <w:tcPr>
            <w:tcW w:w="821" w:type="dxa"/>
            <w:tcBorders>
              <w:top w:val="nil"/>
              <w:left w:val="nil"/>
              <w:bottom w:val="nil"/>
              <w:right w:val="nil"/>
            </w:tcBorders>
            <w:shd w:val="clear" w:color="auto" w:fill="auto"/>
            <w:noWrap/>
            <w:vAlign w:val="bottom"/>
            <w:hideMark/>
          </w:tcPr>
          <w:p w14:paraId="40C9ED9B" w14:textId="33E53C72" w:rsidR="00C63902" w:rsidRPr="004B043E" w:rsidRDefault="00C63902" w:rsidP="00C63902">
            <w:pPr>
              <w:spacing w:after="0" w:line="240" w:lineRule="auto"/>
              <w:jc w:val="right"/>
              <w:rPr>
                <w:rFonts w:ascii="Arial" w:hAnsi="Arial" w:cs="Arial"/>
                <w:bCs/>
                <w:sz w:val="16"/>
                <w:szCs w:val="16"/>
              </w:rPr>
            </w:pPr>
            <w:r w:rsidRPr="004B043E">
              <w:rPr>
                <w:rFonts w:ascii="Arial" w:hAnsi="Arial" w:cs="Arial"/>
                <w:bCs/>
                <w:sz w:val="16"/>
                <w:szCs w:val="16"/>
              </w:rPr>
              <w:t>-</w:t>
            </w:r>
          </w:p>
        </w:tc>
      </w:tr>
      <w:tr w:rsidR="00C63902" w:rsidRPr="003341AF" w14:paraId="5A4D69AE" w14:textId="77777777" w:rsidTr="00A85C71">
        <w:trPr>
          <w:trHeight w:val="204"/>
        </w:trPr>
        <w:tc>
          <w:tcPr>
            <w:tcW w:w="3402" w:type="dxa"/>
            <w:tcBorders>
              <w:top w:val="nil"/>
              <w:left w:val="nil"/>
              <w:bottom w:val="nil"/>
              <w:right w:val="nil"/>
            </w:tcBorders>
            <w:shd w:val="clear" w:color="auto" w:fill="auto"/>
            <w:noWrap/>
            <w:vAlign w:val="bottom"/>
            <w:hideMark/>
          </w:tcPr>
          <w:p w14:paraId="1989E6E2" w14:textId="28EEAEAD" w:rsidR="00C63902" w:rsidRPr="003341AF" w:rsidRDefault="00C63902" w:rsidP="002B26FC">
            <w:pPr>
              <w:spacing w:after="0" w:line="240" w:lineRule="auto"/>
              <w:ind w:left="113"/>
              <w:jc w:val="left"/>
              <w:rPr>
                <w:rFonts w:ascii="Arial" w:hAnsi="Arial" w:cs="Arial"/>
                <w:sz w:val="16"/>
                <w:szCs w:val="16"/>
              </w:rPr>
            </w:pPr>
            <w:r w:rsidRPr="003341AF">
              <w:rPr>
                <w:rFonts w:ascii="Arial" w:hAnsi="Arial" w:cs="Arial"/>
                <w:sz w:val="16"/>
                <w:szCs w:val="16"/>
              </w:rPr>
              <w:t>Other</w:t>
            </w:r>
            <w:r w:rsidR="001D1BCB">
              <w:rPr>
                <w:rFonts w:ascii="Arial" w:hAnsi="Arial" w:cs="Arial"/>
                <w:sz w:val="16"/>
                <w:szCs w:val="16"/>
              </w:rPr>
              <w:t xml:space="preserve"> </w:t>
            </w:r>
            <w:r w:rsidR="001D1BCB" w:rsidRPr="002B26FC">
              <w:rPr>
                <w:rFonts w:ascii="Arial" w:hAnsi="Arial" w:cs="Arial"/>
                <w:sz w:val="16"/>
                <w:szCs w:val="16"/>
                <w:vertAlign w:val="superscript"/>
              </w:rPr>
              <w:t>(a)</w:t>
            </w:r>
          </w:p>
        </w:tc>
        <w:tc>
          <w:tcPr>
            <w:tcW w:w="816" w:type="dxa"/>
            <w:tcBorders>
              <w:top w:val="nil"/>
              <w:left w:val="nil"/>
              <w:bottom w:val="nil"/>
              <w:right w:val="nil"/>
            </w:tcBorders>
            <w:shd w:val="clear" w:color="auto" w:fill="auto"/>
            <w:noWrap/>
            <w:vAlign w:val="bottom"/>
            <w:hideMark/>
          </w:tcPr>
          <w:p w14:paraId="5A6B2173" w14:textId="7C4CA585"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6,930</w:t>
            </w:r>
          </w:p>
        </w:tc>
        <w:tc>
          <w:tcPr>
            <w:tcW w:w="817" w:type="dxa"/>
            <w:tcBorders>
              <w:top w:val="nil"/>
              <w:left w:val="nil"/>
              <w:bottom w:val="nil"/>
              <w:right w:val="nil"/>
            </w:tcBorders>
            <w:shd w:val="clear" w:color="000000" w:fill="E6E6E6"/>
            <w:noWrap/>
            <w:vAlign w:val="bottom"/>
            <w:hideMark/>
          </w:tcPr>
          <w:p w14:paraId="5AEF1F34" w14:textId="2376E3CB"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8,255</w:t>
            </w:r>
          </w:p>
        </w:tc>
        <w:tc>
          <w:tcPr>
            <w:tcW w:w="821" w:type="dxa"/>
            <w:tcBorders>
              <w:top w:val="nil"/>
              <w:left w:val="nil"/>
              <w:bottom w:val="nil"/>
              <w:right w:val="nil"/>
            </w:tcBorders>
            <w:shd w:val="clear" w:color="auto" w:fill="auto"/>
            <w:noWrap/>
            <w:vAlign w:val="bottom"/>
            <w:hideMark/>
          </w:tcPr>
          <w:p w14:paraId="228CF358" w14:textId="230D9B9E"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7,983</w:t>
            </w:r>
          </w:p>
        </w:tc>
        <w:tc>
          <w:tcPr>
            <w:tcW w:w="821" w:type="dxa"/>
            <w:tcBorders>
              <w:top w:val="nil"/>
              <w:left w:val="nil"/>
              <w:bottom w:val="nil"/>
              <w:right w:val="nil"/>
            </w:tcBorders>
            <w:shd w:val="clear" w:color="auto" w:fill="auto"/>
            <w:noWrap/>
            <w:vAlign w:val="bottom"/>
            <w:hideMark/>
          </w:tcPr>
          <w:p w14:paraId="14604E90" w14:textId="5C17D111"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8,096</w:t>
            </w:r>
          </w:p>
        </w:tc>
        <w:tc>
          <w:tcPr>
            <w:tcW w:w="821" w:type="dxa"/>
            <w:tcBorders>
              <w:top w:val="nil"/>
              <w:left w:val="nil"/>
              <w:bottom w:val="nil"/>
              <w:right w:val="nil"/>
            </w:tcBorders>
            <w:shd w:val="clear" w:color="auto" w:fill="auto"/>
            <w:noWrap/>
            <w:vAlign w:val="bottom"/>
            <w:hideMark/>
          </w:tcPr>
          <w:p w14:paraId="4DB2AAC0" w14:textId="18BC5CC2"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7,199</w:t>
            </w:r>
          </w:p>
        </w:tc>
      </w:tr>
      <w:tr w:rsidR="00C63902" w:rsidRPr="003341AF" w14:paraId="36CD0540" w14:textId="77777777" w:rsidTr="00A85C71">
        <w:trPr>
          <w:trHeight w:val="204"/>
        </w:trPr>
        <w:tc>
          <w:tcPr>
            <w:tcW w:w="3402" w:type="dxa"/>
            <w:tcBorders>
              <w:top w:val="nil"/>
              <w:left w:val="nil"/>
              <w:bottom w:val="nil"/>
              <w:right w:val="nil"/>
            </w:tcBorders>
            <w:shd w:val="clear" w:color="auto" w:fill="auto"/>
            <w:noWrap/>
            <w:vAlign w:val="bottom"/>
            <w:hideMark/>
          </w:tcPr>
          <w:p w14:paraId="66DC218F"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Total own-source revenue</w:t>
            </w:r>
          </w:p>
        </w:tc>
        <w:tc>
          <w:tcPr>
            <w:tcW w:w="816" w:type="dxa"/>
            <w:tcBorders>
              <w:top w:val="single" w:sz="4" w:space="0" w:color="auto"/>
              <w:left w:val="nil"/>
              <w:bottom w:val="single" w:sz="4" w:space="0" w:color="auto"/>
              <w:right w:val="nil"/>
            </w:tcBorders>
            <w:shd w:val="clear" w:color="auto" w:fill="auto"/>
            <w:noWrap/>
            <w:vAlign w:val="bottom"/>
            <w:hideMark/>
          </w:tcPr>
          <w:p w14:paraId="260053A0" w14:textId="0D3F4151"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6,931</w:t>
            </w:r>
          </w:p>
        </w:tc>
        <w:tc>
          <w:tcPr>
            <w:tcW w:w="817" w:type="dxa"/>
            <w:tcBorders>
              <w:top w:val="single" w:sz="4" w:space="0" w:color="auto"/>
              <w:left w:val="nil"/>
              <w:bottom w:val="single" w:sz="4" w:space="0" w:color="auto"/>
              <w:right w:val="nil"/>
            </w:tcBorders>
            <w:shd w:val="clear" w:color="000000" w:fill="E6E6E6"/>
            <w:noWrap/>
            <w:vAlign w:val="bottom"/>
            <w:hideMark/>
          </w:tcPr>
          <w:p w14:paraId="7594F172" w14:textId="4EB974CD"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8,255</w:t>
            </w:r>
          </w:p>
        </w:tc>
        <w:tc>
          <w:tcPr>
            <w:tcW w:w="821" w:type="dxa"/>
            <w:tcBorders>
              <w:top w:val="single" w:sz="4" w:space="0" w:color="auto"/>
              <w:left w:val="nil"/>
              <w:bottom w:val="single" w:sz="4" w:space="0" w:color="auto"/>
              <w:right w:val="nil"/>
            </w:tcBorders>
            <w:shd w:val="clear" w:color="auto" w:fill="auto"/>
            <w:noWrap/>
            <w:vAlign w:val="bottom"/>
            <w:hideMark/>
          </w:tcPr>
          <w:p w14:paraId="6DFF97D3" w14:textId="3BC2B50A"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7,983</w:t>
            </w:r>
          </w:p>
        </w:tc>
        <w:tc>
          <w:tcPr>
            <w:tcW w:w="821" w:type="dxa"/>
            <w:tcBorders>
              <w:top w:val="single" w:sz="4" w:space="0" w:color="auto"/>
              <w:left w:val="nil"/>
              <w:bottom w:val="single" w:sz="4" w:space="0" w:color="auto"/>
              <w:right w:val="nil"/>
            </w:tcBorders>
            <w:shd w:val="clear" w:color="auto" w:fill="auto"/>
            <w:noWrap/>
            <w:vAlign w:val="bottom"/>
            <w:hideMark/>
          </w:tcPr>
          <w:p w14:paraId="01706BC6" w14:textId="37A80EEF"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8,096</w:t>
            </w:r>
          </w:p>
        </w:tc>
        <w:tc>
          <w:tcPr>
            <w:tcW w:w="821" w:type="dxa"/>
            <w:tcBorders>
              <w:top w:val="single" w:sz="4" w:space="0" w:color="auto"/>
              <w:left w:val="nil"/>
              <w:bottom w:val="single" w:sz="4" w:space="0" w:color="auto"/>
              <w:right w:val="nil"/>
            </w:tcBorders>
            <w:shd w:val="clear" w:color="auto" w:fill="auto"/>
            <w:noWrap/>
            <w:vAlign w:val="bottom"/>
            <w:hideMark/>
          </w:tcPr>
          <w:p w14:paraId="50E3309E" w14:textId="4551B98C"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7,199</w:t>
            </w:r>
          </w:p>
        </w:tc>
      </w:tr>
      <w:tr w:rsidR="00C63902" w:rsidRPr="003341AF" w14:paraId="6707482E" w14:textId="77777777" w:rsidTr="00A85C71">
        <w:trPr>
          <w:trHeight w:val="204"/>
        </w:trPr>
        <w:tc>
          <w:tcPr>
            <w:tcW w:w="3402" w:type="dxa"/>
            <w:tcBorders>
              <w:top w:val="nil"/>
              <w:left w:val="nil"/>
              <w:bottom w:val="nil"/>
              <w:right w:val="nil"/>
            </w:tcBorders>
            <w:shd w:val="clear" w:color="auto" w:fill="auto"/>
            <w:noWrap/>
            <w:vAlign w:val="bottom"/>
            <w:hideMark/>
          </w:tcPr>
          <w:p w14:paraId="724F441C"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Gains</w:t>
            </w:r>
          </w:p>
        </w:tc>
        <w:tc>
          <w:tcPr>
            <w:tcW w:w="816" w:type="dxa"/>
            <w:tcBorders>
              <w:top w:val="nil"/>
              <w:left w:val="nil"/>
              <w:bottom w:val="nil"/>
              <w:right w:val="nil"/>
            </w:tcBorders>
            <w:shd w:val="clear" w:color="auto" w:fill="auto"/>
            <w:noWrap/>
            <w:vAlign w:val="bottom"/>
            <w:hideMark/>
          </w:tcPr>
          <w:p w14:paraId="65F4DA89" w14:textId="77777777" w:rsidR="00C63902" w:rsidRPr="00480722" w:rsidRDefault="00C63902" w:rsidP="00C6390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7D70970D" w14:textId="6B47F7B7"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635FD365" w14:textId="77777777"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6E3DA554" w14:textId="77777777" w:rsidR="00C63902" w:rsidRPr="002B26FC" w:rsidRDefault="00C63902" w:rsidP="00C63902">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4DFC66F9" w14:textId="77777777" w:rsidR="00C63902" w:rsidRPr="002B26FC" w:rsidRDefault="00C63902" w:rsidP="00C63902">
            <w:pPr>
              <w:spacing w:after="0" w:line="240" w:lineRule="auto"/>
              <w:jc w:val="right"/>
              <w:rPr>
                <w:rFonts w:ascii="Arial" w:hAnsi="Arial" w:cs="Arial"/>
                <w:sz w:val="16"/>
                <w:szCs w:val="16"/>
              </w:rPr>
            </w:pPr>
          </w:p>
        </w:tc>
      </w:tr>
      <w:tr w:rsidR="00C63902" w:rsidRPr="003341AF" w14:paraId="02E83315" w14:textId="77777777" w:rsidTr="00A85C71">
        <w:trPr>
          <w:trHeight w:val="204"/>
        </w:trPr>
        <w:tc>
          <w:tcPr>
            <w:tcW w:w="3402" w:type="dxa"/>
            <w:tcBorders>
              <w:top w:val="nil"/>
              <w:left w:val="nil"/>
              <w:bottom w:val="nil"/>
              <w:right w:val="nil"/>
            </w:tcBorders>
            <w:shd w:val="clear" w:color="auto" w:fill="auto"/>
            <w:noWrap/>
            <w:vAlign w:val="bottom"/>
            <w:hideMark/>
          </w:tcPr>
          <w:p w14:paraId="1D68F1DE"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Total gains</w:t>
            </w:r>
          </w:p>
        </w:tc>
        <w:tc>
          <w:tcPr>
            <w:tcW w:w="816" w:type="dxa"/>
            <w:tcBorders>
              <w:top w:val="single" w:sz="4" w:space="0" w:color="auto"/>
              <w:left w:val="nil"/>
              <w:bottom w:val="single" w:sz="4" w:space="0" w:color="auto"/>
              <w:right w:val="nil"/>
            </w:tcBorders>
            <w:shd w:val="clear" w:color="auto" w:fill="auto"/>
            <w:noWrap/>
            <w:vAlign w:val="bottom"/>
            <w:hideMark/>
          </w:tcPr>
          <w:p w14:paraId="5E138D5D" w14:textId="42F708BD"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17" w:type="dxa"/>
            <w:tcBorders>
              <w:top w:val="single" w:sz="4" w:space="0" w:color="auto"/>
              <w:left w:val="nil"/>
              <w:bottom w:val="single" w:sz="4" w:space="0" w:color="auto"/>
              <w:right w:val="nil"/>
            </w:tcBorders>
            <w:shd w:val="clear" w:color="000000" w:fill="E6E6E6"/>
            <w:noWrap/>
            <w:vAlign w:val="bottom"/>
            <w:hideMark/>
          </w:tcPr>
          <w:p w14:paraId="2F232013" w14:textId="1A170BCF"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single" w:sz="4" w:space="0" w:color="auto"/>
              <w:left w:val="nil"/>
              <w:bottom w:val="single" w:sz="4" w:space="0" w:color="auto"/>
              <w:right w:val="nil"/>
            </w:tcBorders>
            <w:shd w:val="clear" w:color="auto" w:fill="auto"/>
            <w:noWrap/>
            <w:vAlign w:val="bottom"/>
            <w:hideMark/>
          </w:tcPr>
          <w:p w14:paraId="719232F8" w14:textId="012CD32E"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single" w:sz="4" w:space="0" w:color="auto"/>
              <w:left w:val="nil"/>
              <w:bottom w:val="single" w:sz="4" w:space="0" w:color="auto"/>
              <w:right w:val="nil"/>
            </w:tcBorders>
            <w:shd w:val="clear" w:color="auto" w:fill="auto"/>
            <w:noWrap/>
            <w:vAlign w:val="bottom"/>
            <w:hideMark/>
          </w:tcPr>
          <w:p w14:paraId="10BA4B88" w14:textId="2FAE2A0F"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single" w:sz="4" w:space="0" w:color="auto"/>
              <w:left w:val="nil"/>
              <w:bottom w:val="single" w:sz="4" w:space="0" w:color="auto"/>
              <w:right w:val="nil"/>
            </w:tcBorders>
            <w:shd w:val="clear" w:color="auto" w:fill="auto"/>
            <w:noWrap/>
            <w:vAlign w:val="bottom"/>
            <w:hideMark/>
          </w:tcPr>
          <w:p w14:paraId="55F06890" w14:textId="47904A95"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r>
      <w:tr w:rsidR="00C63902" w:rsidRPr="003341AF" w14:paraId="7F923C1C" w14:textId="77777777" w:rsidTr="00A85C71">
        <w:trPr>
          <w:trHeight w:val="204"/>
        </w:trPr>
        <w:tc>
          <w:tcPr>
            <w:tcW w:w="3402" w:type="dxa"/>
            <w:tcBorders>
              <w:top w:val="nil"/>
              <w:left w:val="nil"/>
              <w:bottom w:val="nil"/>
              <w:right w:val="nil"/>
            </w:tcBorders>
            <w:shd w:val="clear" w:color="auto" w:fill="auto"/>
            <w:noWrap/>
            <w:vAlign w:val="bottom"/>
            <w:hideMark/>
          </w:tcPr>
          <w:p w14:paraId="20FC6D25"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Total own-source income</w:t>
            </w:r>
          </w:p>
        </w:tc>
        <w:tc>
          <w:tcPr>
            <w:tcW w:w="816" w:type="dxa"/>
            <w:tcBorders>
              <w:top w:val="single" w:sz="4" w:space="0" w:color="auto"/>
              <w:left w:val="nil"/>
              <w:bottom w:val="single" w:sz="4" w:space="0" w:color="auto"/>
              <w:right w:val="nil"/>
            </w:tcBorders>
            <w:shd w:val="clear" w:color="auto" w:fill="auto"/>
            <w:noWrap/>
            <w:vAlign w:val="bottom"/>
            <w:hideMark/>
          </w:tcPr>
          <w:p w14:paraId="0EF3E6FC" w14:textId="0589FFE6"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6,931</w:t>
            </w:r>
          </w:p>
        </w:tc>
        <w:tc>
          <w:tcPr>
            <w:tcW w:w="817" w:type="dxa"/>
            <w:tcBorders>
              <w:top w:val="single" w:sz="4" w:space="0" w:color="auto"/>
              <w:left w:val="nil"/>
              <w:bottom w:val="single" w:sz="4" w:space="0" w:color="auto"/>
              <w:right w:val="nil"/>
            </w:tcBorders>
            <w:shd w:val="clear" w:color="000000" w:fill="E6E6E6"/>
            <w:noWrap/>
            <w:vAlign w:val="bottom"/>
            <w:hideMark/>
          </w:tcPr>
          <w:p w14:paraId="3DF1010D" w14:textId="1A2ADA8C"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8,255</w:t>
            </w:r>
          </w:p>
        </w:tc>
        <w:tc>
          <w:tcPr>
            <w:tcW w:w="821" w:type="dxa"/>
            <w:tcBorders>
              <w:top w:val="single" w:sz="4" w:space="0" w:color="auto"/>
              <w:left w:val="nil"/>
              <w:bottom w:val="single" w:sz="4" w:space="0" w:color="auto"/>
              <w:right w:val="nil"/>
            </w:tcBorders>
            <w:shd w:val="clear" w:color="auto" w:fill="auto"/>
            <w:noWrap/>
            <w:vAlign w:val="bottom"/>
            <w:hideMark/>
          </w:tcPr>
          <w:p w14:paraId="61C22FB4" w14:textId="790EE4FA"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7,983</w:t>
            </w:r>
          </w:p>
        </w:tc>
        <w:tc>
          <w:tcPr>
            <w:tcW w:w="821" w:type="dxa"/>
            <w:tcBorders>
              <w:top w:val="single" w:sz="4" w:space="0" w:color="auto"/>
              <w:left w:val="nil"/>
              <w:bottom w:val="single" w:sz="4" w:space="0" w:color="auto"/>
              <w:right w:val="nil"/>
            </w:tcBorders>
            <w:shd w:val="clear" w:color="auto" w:fill="auto"/>
            <w:noWrap/>
            <w:vAlign w:val="bottom"/>
            <w:hideMark/>
          </w:tcPr>
          <w:p w14:paraId="71AD0060" w14:textId="4B734CE5"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8,096</w:t>
            </w:r>
          </w:p>
        </w:tc>
        <w:tc>
          <w:tcPr>
            <w:tcW w:w="821" w:type="dxa"/>
            <w:tcBorders>
              <w:top w:val="single" w:sz="4" w:space="0" w:color="auto"/>
              <w:left w:val="nil"/>
              <w:bottom w:val="single" w:sz="4" w:space="0" w:color="auto"/>
              <w:right w:val="nil"/>
            </w:tcBorders>
            <w:shd w:val="clear" w:color="auto" w:fill="auto"/>
            <w:noWrap/>
            <w:vAlign w:val="bottom"/>
            <w:hideMark/>
          </w:tcPr>
          <w:p w14:paraId="14F469F9" w14:textId="2159D39F"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7,199</w:t>
            </w:r>
          </w:p>
        </w:tc>
      </w:tr>
      <w:tr w:rsidR="00C63902" w:rsidRPr="003341AF" w14:paraId="4A88BC23" w14:textId="77777777" w:rsidTr="00A85C71">
        <w:trPr>
          <w:trHeight w:val="204"/>
        </w:trPr>
        <w:tc>
          <w:tcPr>
            <w:tcW w:w="3402" w:type="dxa"/>
            <w:tcBorders>
              <w:top w:val="nil"/>
              <w:left w:val="nil"/>
              <w:bottom w:val="nil"/>
              <w:right w:val="nil"/>
            </w:tcBorders>
            <w:shd w:val="clear" w:color="auto" w:fill="auto"/>
            <w:vAlign w:val="bottom"/>
            <w:hideMark/>
          </w:tcPr>
          <w:p w14:paraId="28190964" w14:textId="5128C7B6" w:rsidR="00C63902" w:rsidRPr="003341AF" w:rsidRDefault="00C63902" w:rsidP="0048072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Net (cost of)/contribution by</w:t>
            </w:r>
            <w:r w:rsidR="00480722">
              <w:rPr>
                <w:rFonts w:ascii="Arial" w:hAnsi="Arial" w:cs="Arial"/>
                <w:b/>
                <w:bCs/>
                <w:color w:val="000000"/>
                <w:sz w:val="16"/>
                <w:szCs w:val="16"/>
              </w:rPr>
              <w:t xml:space="preserve"> </w:t>
            </w:r>
            <w:r w:rsidRPr="003341AF">
              <w:rPr>
                <w:rFonts w:ascii="Arial" w:hAnsi="Arial" w:cs="Arial"/>
                <w:b/>
                <w:bCs/>
                <w:color w:val="000000"/>
                <w:sz w:val="16"/>
                <w:szCs w:val="16"/>
              </w:rPr>
              <w:t>services</w:t>
            </w:r>
          </w:p>
        </w:tc>
        <w:tc>
          <w:tcPr>
            <w:tcW w:w="816" w:type="dxa"/>
            <w:tcBorders>
              <w:top w:val="nil"/>
              <w:left w:val="nil"/>
              <w:bottom w:val="single" w:sz="4" w:space="0" w:color="auto"/>
              <w:right w:val="nil"/>
            </w:tcBorders>
            <w:shd w:val="clear" w:color="auto" w:fill="auto"/>
            <w:noWrap/>
            <w:vAlign w:val="bottom"/>
            <w:hideMark/>
          </w:tcPr>
          <w:p w14:paraId="638A07AF" w14:textId="77777777"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(3,345)</w:t>
            </w:r>
          </w:p>
        </w:tc>
        <w:tc>
          <w:tcPr>
            <w:tcW w:w="817" w:type="dxa"/>
            <w:tcBorders>
              <w:top w:val="nil"/>
              <w:left w:val="nil"/>
              <w:bottom w:val="single" w:sz="4" w:space="0" w:color="auto"/>
              <w:right w:val="nil"/>
            </w:tcBorders>
            <w:shd w:val="clear" w:color="000000" w:fill="E6E6E6"/>
            <w:noWrap/>
            <w:vAlign w:val="bottom"/>
            <w:hideMark/>
          </w:tcPr>
          <w:p w14:paraId="4155B3EB" w14:textId="77777777"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(4,464)</w:t>
            </w:r>
          </w:p>
        </w:tc>
        <w:tc>
          <w:tcPr>
            <w:tcW w:w="821" w:type="dxa"/>
            <w:tcBorders>
              <w:top w:val="nil"/>
              <w:left w:val="nil"/>
              <w:bottom w:val="single" w:sz="4" w:space="0" w:color="auto"/>
              <w:right w:val="nil"/>
            </w:tcBorders>
            <w:shd w:val="clear" w:color="auto" w:fill="auto"/>
            <w:noWrap/>
            <w:vAlign w:val="bottom"/>
            <w:hideMark/>
          </w:tcPr>
          <w:p w14:paraId="0FE41511" w14:textId="77777777"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(4,384)</w:t>
            </w:r>
          </w:p>
        </w:tc>
        <w:tc>
          <w:tcPr>
            <w:tcW w:w="821" w:type="dxa"/>
            <w:tcBorders>
              <w:top w:val="nil"/>
              <w:left w:val="nil"/>
              <w:bottom w:val="single" w:sz="4" w:space="0" w:color="auto"/>
              <w:right w:val="nil"/>
            </w:tcBorders>
            <w:shd w:val="clear" w:color="auto" w:fill="auto"/>
            <w:noWrap/>
            <w:vAlign w:val="bottom"/>
            <w:hideMark/>
          </w:tcPr>
          <w:p w14:paraId="3C08E6B9" w14:textId="77777777"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(4,302)</w:t>
            </w:r>
          </w:p>
        </w:tc>
        <w:tc>
          <w:tcPr>
            <w:tcW w:w="821" w:type="dxa"/>
            <w:tcBorders>
              <w:top w:val="nil"/>
              <w:left w:val="nil"/>
              <w:bottom w:val="single" w:sz="4" w:space="0" w:color="auto"/>
              <w:right w:val="nil"/>
            </w:tcBorders>
            <w:shd w:val="clear" w:color="auto" w:fill="auto"/>
            <w:noWrap/>
            <w:vAlign w:val="bottom"/>
            <w:hideMark/>
          </w:tcPr>
          <w:p w14:paraId="3C880DDD" w14:textId="77777777"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(3,887)</w:t>
            </w:r>
          </w:p>
        </w:tc>
      </w:tr>
      <w:tr w:rsidR="00C63902" w:rsidRPr="003341AF" w14:paraId="4C5F9461" w14:textId="77777777" w:rsidTr="00A85C71">
        <w:trPr>
          <w:trHeight w:val="204"/>
        </w:trPr>
        <w:tc>
          <w:tcPr>
            <w:tcW w:w="3402" w:type="dxa"/>
            <w:tcBorders>
              <w:top w:val="nil"/>
              <w:left w:val="nil"/>
              <w:bottom w:val="nil"/>
              <w:right w:val="nil"/>
            </w:tcBorders>
            <w:shd w:val="clear" w:color="auto" w:fill="auto"/>
            <w:noWrap/>
            <w:vAlign w:val="bottom"/>
            <w:hideMark/>
          </w:tcPr>
          <w:p w14:paraId="7AA67748" w14:textId="77777777" w:rsidR="00C63902" w:rsidRPr="003341AF" w:rsidRDefault="00C63902" w:rsidP="002B26FC">
            <w:pPr>
              <w:spacing w:after="0" w:line="240" w:lineRule="auto"/>
              <w:ind w:left="113"/>
              <w:jc w:val="left"/>
              <w:rPr>
                <w:rFonts w:ascii="Arial" w:hAnsi="Arial" w:cs="Arial"/>
                <w:sz w:val="16"/>
                <w:szCs w:val="16"/>
              </w:rPr>
            </w:pPr>
            <w:r w:rsidRPr="003341AF">
              <w:rPr>
                <w:rFonts w:ascii="Arial" w:hAnsi="Arial" w:cs="Arial"/>
                <w:sz w:val="16"/>
                <w:szCs w:val="16"/>
              </w:rPr>
              <w:t>Revenue from Government</w:t>
            </w:r>
          </w:p>
        </w:tc>
        <w:tc>
          <w:tcPr>
            <w:tcW w:w="816" w:type="dxa"/>
            <w:tcBorders>
              <w:top w:val="nil"/>
              <w:left w:val="nil"/>
              <w:bottom w:val="single" w:sz="4" w:space="0" w:color="auto"/>
              <w:right w:val="nil"/>
            </w:tcBorders>
            <w:shd w:val="clear" w:color="auto" w:fill="auto"/>
            <w:noWrap/>
            <w:vAlign w:val="bottom"/>
            <w:hideMark/>
          </w:tcPr>
          <w:p w14:paraId="5F3B0CED" w14:textId="0E1839DB"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3,629</w:t>
            </w:r>
          </w:p>
        </w:tc>
        <w:tc>
          <w:tcPr>
            <w:tcW w:w="817" w:type="dxa"/>
            <w:tcBorders>
              <w:top w:val="nil"/>
              <w:left w:val="nil"/>
              <w:bottom w:val="single" w:sz="4" w:space="0" w:color="auto"/>
              <w:right w:val="nil"/>
            </w:tcBorders>
            <w:shd w:val="clear" w:color="000000" w:fill="E6E6E6"/>
            <w:noWrap/>
            <w:vAlign w:val="bottom"/>
            <w:hideMark/>
          </w:tcPr>
          <w:p w14:paraId="776BBF07" w14:textId="527037C9"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4,464</w:t>
            </w:r>
          </w:p>
        </w:tc>
        <w:tc>
          <w:tcPr>
            <w:tcW w:w="821" w:type="dxa"/>
            <w:tcBorders>
              <w:top w:val="nil"/>
              <w:left w:val="nil"/>
              <w:bottom w:val="single" w:sz="4" w:space="0" w:color="auto"/>
              <w:right w:val="nil"/>
            </w:tcBorders>
            <w:shd w:val="clear" w:color="auto" w:fill="auto"/>
            <w:noWrap/>
            <w:vAlign w:val="bottom"/>
            <w:hideMark/>
          </w:tcPr>
          <w:p w14:paraId="7B8C7510" w14:textId="361900D2"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4,384</w:t>
            </w:r>
          </w:p>
        </w:tc>
        <w:tc>
          <w:tcPr>
            <w:tcW w:w="821" w:type="dxa"/>
            <w:tcBorders>
              <w:top w:val="nil"/>
              <w:left w:val="nil"/>
              <w:bottom w:val="single" w:sz="4" w:space="0" w:color="auto"/>
              <w:right w:val="nil"/>
            </w:tcBorders>
            <w:shd w:val="clear" w:color="auto" w:fill="auto"/>
            <w:noWrap/>
            <w:vAlign w:val="bottom"/>
            <w:hideMark/>
          </w:tcPr>
          <w:p w14:paraId="5673DB06" w14:textId="78415A38"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4,302</w:t>
            </w:r>
          </w:p>
        </w:tc>
        <w:tc>
          <w:tcPr>
            <w:tcW w:w="821" w:type="dxa"/>
            <w:tcBorders>
              <w:top w:val="nil"/>
              <w:left w:val="nil"/>
              <w:bottom w:val="single" w:sz="4" w:space="0" w:color="auto"/>
              <w:right w:val="nil"/>
            </w:tcBorders>
            <w:shd w:val="clear" w:color="auto" w:fill="auto"/>
            <w:noWrap/>
            <w:vAlign w:val="bottom"/>
            <w:hideMark/>
          </w:tcPr>
          <w:p w14:paraId="35A66AE5" w14:textId="7E2EFFB1" w:rsidR="00C63902" w:rsidRPr="00480722" w:rsidRDefault="00C63902" w:rsidP="00C63902">
            <w:pPr>
              <w:spacing w:after="0" w:line="240" w:lineRule="auto"/>
              <w:jc w:val="right"/>
              <w:rPr>
                <w:rFonts w:ascii="Arial" w:hAnsi="Arial" w:cs="Arial"/>
                <w:sz w:val="16"/>
                <w:szCs w:val="16"/>
              </w:rPr>
            </w:pPr>
            <w:r w:rsidRPr="00480722">
              <w:rPr>
                <w:rFonts w:ascii="Arial" w:hAnsi="Arial" w:cs="Arial"/>
                <w:sz w:val="16"/>
                <w:szCs w:val="16"/>
              </w:rPr>
              <w:t>3,887</w:t>
            </w:r>
          </w:p>
        </w:tc>
      </w:tr>
      <w:tr w:rsidR="00C63902" w:rsidRPr="003341AF" w14:paraId="7C55EBA3" w14:textId="77777777" w:rsidTr="00A85C71">
        <w:trPr>
          <w:trHeight w:val="204"/>
        </w:trPr>
        <w:tc>
          <w:tcPr>
            <w:tcW w:w="3402" w:type="dxa"/>
            <w:tcBorders>
              <w:top w:val="nil"/>
              <w:left w:val="nil"/>
              <w:bottom w:val="nil"/>
              <w:right w:val="nil"/>
            </w:tcBorders>
            <w:shd w:val="clear" w:color="auto" w:fill="auto"/>
            <w:vAlign w:val="bottom"/>
            <w:hideMark/>
          </w:tcPr>
          <w:p w14:paraId="09CC2821" w14:textId="595842B3" w:rsidR="00C63902" w:rsidRPr="003341AF" w:rsidRDefault="00C63902" w:rsidP="00D9443E">
            <w:pPr>
              <w:spacing w:after="0" w:line="240" w:lineRule="auto"/>
              <w:jc w:val="left"/>
              <w:rPr>
                <w:rFonts w:ascii="Arial" w:hAnsi="Arial" w:cs="Arial"/>
                <w:b/>
                <w:bCs/>
                <w:sz w:val="16"/>
                <w:szCs w:val="16"/>
              </w:rPr>
            </w:pPr>
            <w:r w:rsidRPr="003341AF">
              <w:rPr>
                <w:rFonts w:ascii="Arial" w:hAnsi="Arial" w:cs="Arial"/>
                <w:b/>
                <w:bCs/>
                <w:sz w:val="16"/>
                <w:szCs w:val="16"/>
              </w:rPr>
              <w:t>Surplus/(deficit) attributable to the Australian Government</w:t>
            </w:r>
          </w:p>
        </w:tc>
        <w:tc>
          <w:tcPr>
            <w:tcW w:w="816" w:type="dxa"/>
            <w:tcBorders>
              <w:top w:val="nil"/>
              <w:left w:val="nil"/>
              <w:bottom w:val="single" w:sz="4" w:space="0" w:color="auto"/>
              <w:right w:val="nil"/>
            </w:tcBorders>
            <w:shd w:val="clear" w:color="auto" w:fill="auto"/>
            <w:noWrap/>
            <w:vAlign w:val="bottom"/>
            <w:hideMark/>
          </w:tcPr>
          <w:p w14:paraId="782C3A20" w14:textId="6C141220"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284</w:t>
            </w:r>
          </w:p>
        </w:tc>
        <w:tc>
          <w:tcPr>
            <w:tcW w:w="817" w:type="dxa"/>
            <w:tcBorders>
              <w:top w:val="nil"/>
              <w:left w:val="nil"/>
              <w:bottom w:val="single" w:sz="4" w:space="0" w:color="auto"/>
              <w:right w:val="nil"/>
            </w:tcBorders>
            <w:shd w:val="clear" w:color="000000" w:fill="E6E6E6"/>
            <w:noWrap/>
            <w:vAlign w:val="bottom"/>
            <w:hideMark/>
          </w:tcPr>
          <w:p w14:paraId="53BECA0C" w14:textId="590833F5"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nil"/>
              <w:left w:val="nil"/>
              <w:bottom w:val="single" w:sz="4" w:space="0" w:color="auto"/>
              <w:right w:val="nil"/>
            </w:tcBorders>
            <w:shd w:val="clear" w:color="auto" w:fill="auto"/>
            <w:noWrap/>
            <w:vAlign w:val="bottom"/>
            <w:hideMark/>
          </w:tcPr>
          <w:p w14:paraId="595A01E7" w14:textId="2ABE3238"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nil"/>
              <w:left w:val="nil"/>
              <w:bottom w:val="single" w:sz="4" w:space="0" w:color="auto"/>
              <w:right w:val="nil"/>
            </w:tcBorders>
            <w:shd w:val="clear" w:color="auto" w:fill="auto"/>
            <w:noWrap/>
            <w:vAlign w:val="bottom"/>
            <w:hideMark/>
          </w:tcPr>
          <w:p w14:paraId="6D07E90F" w14:textId="5D995D9E"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nil"/>
              <w:left w:val="nil"/>
              <w:bottom w:val="single" w:sz="4" w:space="0" w:color="auto"/>
              <w:right w:val="nil"/>
            </w:tcBorders>
            <w:shd w:val="clear" w:color="auto" w:fill="auto"/>
            <w:noWrap/>
            <w:vAlign w:val="bottom"/>
            <w:hideMark/>
          </w:tcPr>
          <w:p w14:paraId="6384E519" w14:textId="5FA956FB"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r>
      <w:tr w:rsidR="00C63902" w:rsidRPr="003341AF" w14:paraId="39D7892A" w14:textId="77777777" w:rsidTr="00A85C71">
        <w:trPr>
          <w:trHeight w:val="204"/>
        </w:trPr>
        <w:tc>
          <w:tcPr>
            <w:tcW w:w="3402" w:type="dxa"/>
            <w:tcBorders>
              <w:top w:val="nil"/>
              <w:left w:val="nil"/>
              <w:bottom w:val="nil"/>
              <w:right w:val="nil"/>
            </w:tcBorders>
            <w:shd w:val="clear" w:color="auto" w:fill="auto"/>
            <w:noWrap/>
            <w:vAlign w:val="bottom"/>
            <w:hideMark/>
          </w:tcPr>
          <w:p w14:paraId="073DBA37"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OTHER COMPREHENSIVE INCOME</w:t>
            </w:r>
          </w:p>
        </w:tc>
        <w:tc>
          <w:tcPr>
            <w:tcW w:w="816" w:type="dxa"/>
            <w:tcBorders>
              <w:top w:val="nil"/>
              <w:left w:val="nil"/>
              <w:bottom w:val="nil"/>
              <w:right w:val="nil"/>
            </w:tcBorders>
            <w:shd w:val="clear" w:color="auto" w:fill="auto"/>
            <w:noWrap/>
            <w:vAlign w:val="bottom"/>
            <w:hideMark/>
          </w:tcPr>
          <w:p w14:paraId="661D75F8" w14:textId="77777777" w:rsidR="00C63902" w:rsidRPr="00480722" w:rsidRDefault="00C63902" w:rsidP="00C63902">
            <w:pPr>
              <w:spacing w:after="0" w:line="240" w:lineRule="auto"/>
              <w:jc w:val="left"/>
              <w:rPr>
                <w:rFonts w:ascii="Arial" w:hAnsi="Arial" w:cs="Arial"/>
                <w:b/>
                <w:bCs/>
                <w:sz w:val="16"/>
                <w:szCs w:val="16"/>
              </w:rPr>
            </w:pPr>
          </w:p>
        </w:tc>
        <w:tc>
          <w:tcPr>
            <w:tcW w:w="817" w:type="dxa"/>
            <w:tcBorders>
              <w:top w:val="nil"/>
              <w:left w:val="nil"/>
              <w:bottom w:val="nil"/>
              <w:right w:val="nil"/>
            </w:tcBorders>
            <w:shd w:val="clear" w:color="000000" w:fill="E6E6E6"/>
            <w:noWrap/>
            <w:vAlign w:val="bottom"/>
            <w:hideMark/>
          </w:tcPr>
          <w:p w14:paraId="13438875" w14:textId="7E7ABA30"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20D6B06C" w14:textId="77777777" w:rsidR="00C63902" w:rsidRPr="00480722" w:rsidRDefault="00C63902" w:rsidP="00C63902">
            <w:pPr>
              <w:spacing w:after="0" w:line="240" w:lineRule="auto"/>
              <w:jc w:val="right"/>
              <w:rPr>
                <w:rFonts w:ascii="Arial" w:hAnsi="Arial" w:cs="Arial"/>
                <w:b/>
                <w:bCs/>
                <w:sz w:val="16"/>
                <w:szCs w:val="16"/>
              </w:rPr>
            </w:pPr>
          </w:p>
        </w:tc>
        <w:tc>
          <w:tcPr>
            <w:tcW w:w="821" w:type="dxa"/>
            <w:tcBorders>
              <w:top w:val="nil"/>
              <w:left w:val="nil"/>
              <w:bottom w:val="nil"/>
              <w:right w:val="nil"/>
            </w:tcBorders>
            <w:shd w:val="clear" w:color="auto" w:fill="auto"/>
            <w:noWrap/>
            <w:vAlign w:val="bottom"/>
            <w:hideMark/>
          </w:tcPr>
          <w:p w14:paraId="673AD063" w14:textId="77777777" w:rsidR="00C63902" w:rsidRPr="002B26FC" w:rsidRDefault="00C63902" w:rsidP="00C63902">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65945CC" w14:textId="77777777" w:rsidR="00C63902" w:rsidRPr="002B26FC" w:rsidRDefault="00C63902" w:rsidP="00C63902">
            <w:pPr>
              <w:spacing w:after="0" w:line="240" w:lineRule="auto"/>
              <w:jc w:val="right"/>
              <w:rPr>
                <w:rFonts w:ascii="Arial" w:hAnsi="Arial" w:cs="Arial"/>
                <w:sz w:val="16"/>
                <w:szCs w:val="16"/>
              </w:rPr>
            </w:pPr>
          </w:p>
        </w:tc>
      </w:tr>
      <w:tr w:rsidR="00C63902" w:rsidRPr="003341AF" w14:paraId="6BB638F4" w14:textId="77777777" w:rsidTr="00A85C71">
        <w:trPr>
          <w:trHeight w:val="204"/>
        </w:trPr>
        <w:tc>
          <w:tcPr>
            <w:tcW w:w="3402" w:type="dxa"/>
            <w:tcBorders>
              <w:top w:val="nil"/>
              <w:left w:val="nil"/>
              <w:bottom w:val="nil"/>
              <w:right w:val="nil"/>
            </w:tcBorders>
            <w:shd w:val="clear" w:color="auto" w:fill="auto"/>
            <w:noWrap/>
            <w:vAlign w:val="bottom"/>
            <w:hideMark/>
          </w:tcPr>
          <w:p w14:paraId="5D761B49"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Total comprehensive income/(loss)</w:t>
            </w:r>
          </w:p>
        </w:tc>
        <w:tc>
          <w:tcPr>
            <w:tcW w:w="816" w:type="dxa"/>
            <w:tcBorders>
              <w:top w:val="single" w:sz="4" w:space="0" w:color="auto"/>
              <w:left w:val="nil"/>
              <w:bottom w:val="single" w:sz="4" w:space="0" w:color="auto"/>
              <w:right w:val="nil"/>
            </w:tcBorders>
            <w:shd w:val="clear" w:color="auto" w:fill="auto"/>
            <w:noWrap/>
            <w:vAlign w:val="bottom"/>
            <w:hideMark/>
          </w:tcPr>
          <w:p w14:paraId="1701A4C0" w14:textId="4545CFEE"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284</w:t>
            </w:r>
          </w:p>
        </w:tc>
        <w:tc>
          <w:tcPr>
            <w:tcW w:w="817" w:type="dxa"/>
            <w:tcBorders>
              <w:top w:val="single" w:sz="4" w:space="0" w:color="auto"/>
              <w:left w:val="nil"/>
              <w:bottom w:val="single" w:sz="4" w:space="0" w:color="auto"/>
              <w:right w:val="nil"/>
            </w:tcBorders>
            <w:shd w:val="clear" w:color="000000" w:fill="E6E6E6"/>
            <w:noWrap/>
            <w:vAlign w:val="bottom"/>
            <w:hideMark/>
          </w:tcPr>
          <w:p w14:paraId="351A1C70" w14:textId="2246A71E"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single" w:sz="4" w:space="0" w:color="auto"/>
              <w:left w:val="nil"/>
              <w:bottom w:val="single" w:sz="4" w:space="0" w:color="auto"/>
              <w:right w:val="nil"/>
            </w:tcBorders>
            <w:shd w:val="clear" w:color="auto" w:fill="auto"/>
            <w:noWrap/>
            <w:vAlign w:val="bottom"/>
            <w:hideMark/>
          </w:tcPr>
          <w:p w14:paraId="45C1C17D" w14:textId="0B85F295"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single" w:sz="4" w:space="0" w:color="auto"/>
              <w:left w:val="nil"/>
              <w:bottom w:val="single" w:sz="4" w:space="0" w:color="auto"/>
              <w:right w:val="nil"/>
            </w:tcBorders>
            <w:shd w:val="clear" w:color="auto" w:fill="auto"/>
            <w:noWrap/>
            <w:vAlign w:val="bottom"/>
            <w:hideMark/>
          </w:tcPr>
          <w:p w14:paraId="3528B938" w14:textId="2CB7F8F3"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single" w:sz="4" w:space="0" w:color="auto"/>
              <w:left w:val="nil"/>
              <w:bottom w:val="single" w:sz="4" w:space="0" w:color="auto"/>
              <w:right w:val="nil"/>
            </w:tcBorders>
            <w:shd w:val="clear" w:color="auto" w:fill="auto"/>
            <w:noWrap/>
            <w:vAlign w:val="bottom"/>
            <w:hideMark/>
          </w:tcPr>
          <w:p w14:paraId="765666E4" w14:textId="28D64C4F"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r>
      <w:tr w:rsidR="00C63902" w:rsidRPr="003341AF" w14:paraId="2AFC696E" w14:textId="77777777" w:rsidTr="00A85C71">
        <w:trPr>
          <w:trHeight w:val="204"/>
        </w:trPr>
        <w:tc>
          <w:tcPr>
            <w:tcW w:w="3402" w:type="dxa"/>
            <w:tcBorders>
              <w:top w:val="nil"/>
              <w:left w:val="nil"/>
              <w:bottom w:val="single" w:sz="4" w:space="0" w:color="auto"/>
              <w:right w:val="nil"/>
            </w:tcBorders>
            <w:shd w:val="clear" w:color="auto" w:fill="auto"/>
            <w:vAlign w:val="bottom"/>
            <w:hideMark/>
          </w:tcPr>
          <w:p w14:paraId="48B3D9DB" w14:textId="2E68D8CD" w:rsidR="00C63902" w:rsidRPr="003341AF" w:rsidRDefault="00C63902" w:rsidP="00480722">
            <w:pPr>
              <w:spacing w:after="0" w:line="240" w:lineRule="auto"/>
              <w:jc w:val="left"/>
              <w:rPr>
                <w:rFonts w:ascii="Arial" w:hAnsi="Arial" w:cs="Arial"/>
                <w:b/>
                <w:bCs/>
                <w:sz w:val="16"/>
                <w:szCs w:val="16"/>
              </w:rPr>
            </w:pPr>
            <w:r w:rsidRPr="003341AF">
              <w:rPr>
                <w:rFonts w:ascii="Arial" w:hAnsi="Arial" w:cs="Arial"/>
                <w:b/>
                <w:bCs/>
                <w:sz w:val="16"/>
                <w:szCs w:val="16"/>
              </w:rPr>
              <w:t>Total comprehensive income/(loss)</w:t>
            </w:r>
            <w:r w:rsidR="00480722">
              <w:rPr>
                <w:rFonts w:ascii="Arial" w:hAnsi="Arial" w:cs="Arial"/>
                <w:b/>
                <w:bCs/>
                <w:sz w:val="16"/>
                <w:szCs w:val="16"/>
              </w:rPr>
              <w:t xml:space="preserve"> </w:t>
            </w:r>
            <w:r w:rsidRPr="003341AF">
              <w:rPr>
                <w:rFonts w:ascii="Arial" w:hAnsi="Arial" w:cs="Arial"/>
                <w:b/>
                <w:bCs/>
                <w:sz w:val="16"/>
                <w:szCs w:val="16"/>
              </w:rPr>
              <w:t xml:space="preserve"> attributable to the Australian</w:t>
            </w:r>
            <w:r w:rsidR="00480722">
              <w:rPr>
                <w:rFonts w:ascii="Arial" w:hAnsi="Arial" w:cs="Arial"/>
                <w:b/>
                <w:bCs/>
                <w:sz w:val="16"/>
                <w:szCs w:val="16"/>
              </w:rPr>
              <w:t xml:space="preserve"> </w:t>
            </w:r>
            <w:r w:rsidRPr="003341AF">
              <w:rPr>
                <w:rFonts w:ascii="Arial" w:hAnsi="Arial" w:cs="Arial"/>
                <w:b/>
                <w:bCs/>
                <w:sz w:val="16"/>
                <w:szCs w:val="16"/>
              </w:rPr>
              <w:t>Government</w:t>
            </w:r>
          </w:p>
        </w:tc>
        <w:tc>
          <w:tcPr>
            <w:tcW w:w="816" w:type="dxa"/>
            <w:tcBorders>
              <w:top w:val="nil"/>
              <w:left w:val="nil"/>
              <w:bottom w:val="single" w:sz="4" w:space="0" w:color="auto"/>
              <w:right w:val="nil"/>
            </w:tcBorders>
            <w:shd w:val="clear" w:color="auto" w:fill="auto"/>
            <w:noWrap/>
            <w:vAlign w:val="bottom"/>
            <w:hideMark/>
          </w:tcPr>
          <w:p w14:paraId="36B99215" w14:textId="403A37DC"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284</w:t>
            </w:r>
          </w:p>
        </w:tc>
        <w:tc>
          <w:tcPr>
            <w:tcW w:w="817" w:type="dxa"/>
            <w:tcBorders>
              <w:top w:val="nil"/>
              <w:left w:val="nil"/>
              <w:bottom w:val="single" w:sz="4" w:space="0" w:color="auto"/>
              <w:right w:val="nil"/>
            </w:tcBorders>
            <w:shd w:val="clear" w:color="000000" w:fill="E6E6E6"/>
            <w:noWrap/>
            <w:vAlign w:val="bottom"/>
            <w:hideMark/>
          </w:tcPr>
          <w:p w14:paraId="0825FC36" w14:textId="147DBF80"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nil"/>
              <w:left w:val="nil"/>
              <w:bottom w:val="single" w:sz="4" w:space="0" w:color="auto"/>
              <w:right w:val="nil"/>
            </w:tcBorders>
            <w:shd w:val="clear" w:color="auto" w:fill="auto"/>
            <w:noWrap/>
            <w:vAlign w:val="bottom"/>
            <w:hideMark/>
          </w:tcPr>
          <w:p w14:paraId="34494928" w14:textId="37285D67"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nil"/>
              <w:left w:val="nil"/>
              <w:bottom w:val="single" w:sz="4" w:space="0" w:color="auto"/>
              <w:right w:val="nil"/>
            </w:tcBorders>
            <w:shd w:val="clear" w:color="auto" w:fill="auto"/>
            <w:noWrap/>
            <w:vAlign w:val="bottom"/>
            <w:hideMark/>
          </w:tcPr>
          <w:p w14:paraId="7A885D71" w14:textId="22941256"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c>
          <w:tcPr>
            <w:tcW w:w="821" w:type="dxa"/>
            <w:tcBorders>
              <w:top w:val="nil"/>
              <w:left w:val="nil"/>
              <w:bottom w:val="single" w:sz="4" w:space="0" w:color="auto"/>
              <w:right w:val="nil"/>
            </w:tcBorders>
            <w:shd w:val="clear" w:color="auto" w:fill="auto"/>
            <w:noWrap/>
            <w:vAlign w:val="bottom"/>
            <w:hideMark/>
          </w:tcPr>
          <w:p w14:paraId="5C75B70E" w14:textId="25901F85" w:rsidR="00C63902" w:rsidRPr="00480722" w:rsidRDefault="00C63902" w:rsidP="00C63902">
            <w:pPr>
              <w:spacing w:after="0" w:line="240" w:lineRule="auto"/>
              <w:jc w:val="right"/>
              <w:rPr>
                <w:rFonts w:ascii="Arial" w:hAnsi="Arial" w:cs="Arial"/>
                <w:b/>
                <w:bCs/>
                <w:sz w:val="16"/>
                <w:szCs w:val="16"/>
              </w:rPr>
            </w:pPr>
            <w:r w:rsidRPr="00480722">
              <w:rPr>
                <w:rFonts w:ascii="Arial" w:hAnsi="Arial" w:cs="Arial"/>
                <w:b/>
                <w:bCs/>
                <w:sz w:val="16"/>
                <w:szCs w:val="16"/>
              </w:rPr>
              <w:t>-</w:t>
            </w:r>
          </w:p>
        </w:tc>
      </w:tr>
    </w:tbl>
    <w:p w14:paraId="010CE94F" w14:textId="77777777" w:rsidR="00B46EF9" w:rsidRDefault="00B46EF9" w:rsidP="00B46EF9">
      <w:pPr>
        <w:pStyle w:val="Source"/>
        <w:spacing w:before="60"/>
        <w:jc w:val="left"/>
        <w:rPr>
          <w:rFonts w:cs="Arial"/>
        </w:rPr>
      </w:pPr>
      <w:r w:rsidRPr="009D54F3">
        <w:rPr>
          <w:rFonts w:cs="Arial"/>
        </w:rPr>
        <w:t>Prepared on Australian Accounting Standards basis.</w:t>
      </w:r>
    </w:p>
    <w:p w14:paraId="55D284E2" w14:textId="1E8B418B" w:rsidR="001D1BCB" w:rsidRDefault="001D1BCB" w:rsidP="00F10ACD">
      <w:pPr>
        <w:pStyle w:val="ChartandTableFootnoteAlpha"/>
        <w:numPr>
          <w:ilvl w:val="0"/>
          <w:numId w:val="24"/>
        </w:numPr>
        <w:spacing w:after="0"/>
        <w:ind w:left="284" w:hanging="284"/>
        <w:jc w:val="left"/>
        <w:rPr>
          <w:rFonts w:cs="Arial"/>
        </w:rPr>
      </w:pPr>
      <w:r>
        <w:rPr>
          <w:rFonts w:cs="Arial"/>
        </w:rPr>
        <w:t>Relates to funding provided by states and territories.</w:t>
      </w:r>
    </w:p>
    <w:p w14:paraId="57342365" w14:textId="724E17C4" w:rsidR="00C63902" w:rsidRPr="00763732" w:rsidRDefault="00914885" w:rsidP="00C63902">
      <w:pPr>
        <w:pStyle w:val="TableHeading"/>
      </w:pPr>
      <w:r>
        <w:br w:type="page"/>
      </w:r>
      <w:r w:rsidR="00C63902" w:rsidRPr="00E4582E">
        <w:lastRenderedPageBreak/>
        <w:t>Table</w:t>
      </w:r>
      <w:r w:rsidR="00C63902">
        <w:t xml:space="preserve"> 3.</w:t>
      </w:r>
      <w:r w:rsidR="00C63902">
        <w:rPr>
          <w:lang w:val="en-US"/>
        </w:rPr>
        <w:t>3</w:t>
      </w:r>
      <w:r w:rsidR="00C63902" w:rsidRPr="00E4582E">
        <w:t>: Budg</w:t>
      </w:r>
      <w:r w:rsidR="00C63902">
        <w:t xml:space="preserve">eted </w:t>
      </w:r>
      <w:r w:rsidR="008863D9">
        <w:t>Department</w:t>
      </w:r>
      <w:r w:rsidR="00C63902">
        <w:t xml:space="preserve">al balance sheet </w:t>
      </w:r>
      <w:r w:rsidR="00C63902" w:rsidRPr="00E4582E">
        <w:t>(as at 30 June)</w:t>
      </w:r>
    </w:p>
    <w:tbl>
      <w:tblPr>
        <w:tblW w:w="7539" w:type="dxa"/>
        <w:tblLook w:val="04A0" w:firstRow="1" w:lastRow="0" w:firstColumn="1" w:lastColumn="0" w:noHBand="0" w:noVBand="1"/>
      </w:tblPr>
      <w:tblGrid>
        <w:gridCol w:w="3261"/>
        <w:gridCol w:w="850"/>
        <w:gridCol w:w="857"/>
        <w:gridCol w:w="857"/>
        <w:gridCol w:w="857"/>
        <w:gridCol w:w="857"/>
      </w:tblGrid>
      <w:tr w:rsidR="00C63902" w:rsidRPr="003341AF" w14:paraId="422C997C" w14:textId="77777777" w:rsidTr="009A11F4">
        <w:trPr>
          <w:trHeight w:val="204"/>
        </w:trPr>
        <w:tc>
          <w:tcPr>
            <w:tcW w:w="3261" w:type="dxa"/>
            <w:tcBorders>
              <w:top w:val="single" w:sz="4" w:space="0" w:color="auto"/>
              <w:left w:val="nil"/>
              <w:bottom w:val="nil"/>
              <w:right w:val="nil"/>
            </w:tcBorders>
            <w:shd w:val="clear" w:color="auto" w:fill="auto"/>
            <w:noWrap/>
            <w:hideMark/>
          </w:tcPr>
          <w:p w14:paraId="063EB7E1"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 </w:t>
            </w:r>
          </w:p>
        </w:tc>
        <w:tc>
          <w:tcPr>
            <w:tcW w:w="850" w:type="dxa"/>
            <w:tcBorders>
              <w:top w:val="single" w:sz="4" w:space="0" w:color="auto"/>
              <w:left w:val="nil"/>
              <w:bottom w:val="single" w:sz="4" w:space="0" w:color="auto"/>
              <w:right w:val="nil"/>
            </w:tcBorders>
            <w:shd w:val="clear" w:color="auto" w:fill="auto"/>
            <w:hideMark/>
          </w:tcPr>
          <w:p w14:paraId="2F20F294"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2020-21 Actual</w:t>
            </w:r>
            <w:r w:rsidRPr="003341AF">
              <w:rPr>
                <w:rFonts w:ascii="Arial" w:hAnsi="Arial" w:cs="Arial"/>
                <w:sz w:val="16"/>
                <w:szCs w:val="16"/>
              </w:rPr>
              <w:br/>
            </w:r>
            <w:r w:rsidRPr="003341A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000000" w:fill="E6E6E6"/>
            <w:hideMark/>
          </w:tcPr>
          <w:p w14:paraId="1E06E851"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2021-22</w:t>
            </w:r>
            <w:r w:rsidRPr="003341AF">
              <w:rPr>
                <w:rFonts w:ascii="Arial" w:hAnsi="Arial" w:cs="Arial"/>
                <w:sz w:val="16"/>
                <w:szCs w:val="16"/>
              </w:rPr>
              <w:br/>
              <w:t>Revised Budget</w:t>
            </w:r>
            <w:r w:rsidRPr="003341A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0A0B2905"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2022-23 Forward estimate</w:t>
            </w:r>
            <w:r w:rsidRPr="003341A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69316421"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2023-24 Forward estimate</w:t>
            </w:r>
            <w:r w:rsidRPr="003341A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26DB327C"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2024-25</w:t>
            </w:r>
            <w:r w:rsidRPr="003341AF">
              <w:rPr>
                <w:rFonts w:ascii="Arial" w:hAnsi="Arial" w:cs="Arial"/>
                <w:sz w:val="16"/>
                <w:szCs w:val="16"/>
              </w:rPr>
              <w:br/>
              <w:t>Forward estimate</w:t>
            </w:r>
            <w:r w:rsidRPr="003341AF">
              <w:rPr>
                <w:rFonts w:ascii="Arial" w:hAnsi="Arial" w:cs="Arial"/>
                <w:sz w:val="16"/>
                <w:szCs w:val="16"/>
              </w:rPr>
              <w:br/>
              <w:t>$'000</w:t>
            </w:r>
          </w:p>
        </w:tc>
      </w:tr>
      <w:tr w:rsidR="00C63902" w:rsidRPr="003341AF" w14:paraId="2FC42C6A" w14:textId="77777777" w:rsidTr="009A11F4">
        <w:trPr>
          <w:trHeight w:val="204"/>
        </w:trPr>
        <w:tc>
          <w:tcPr>
            <w:tcW w:w="3261" w:type="dxa"/>
            <w:tcBorders>
              <w:top w:val="nil"/>
              <w:left w:val="nil"/>
              <w:bottom w:val="nil"/>
              <w:right w:val="nil"/>
            </w:tcBorders>
            <w:shd w:val="clear" w:color="auto" w:fill="auto"/>
            <w:noWrap/>
            <w:vAlign w:val="center"/>
            <w:hideMark/>
          </w:tcPr>
          <w:p w14:paraId="44090D1A"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ASSETS</w:t>
            </w:r>
          </w:p>
        </w:tc>
        <w:tc>
          <w:tcPr>
            <w:tcW w:w="850" w:type="dxa"/>
            <w:tcBorders>
              <w:top w:val="nil"/>
              <w:left w:val="nil"/>
              <w:bottom w:val="nil"/>
              <w:right w:val="nil"/>
            </w:tcBorders>
            <w:shd w:val="clear" w:color="auto" w:fill="auto"/>
            <w:noWrap/>
            <w:vAlign w:val="bottom"/>
            <w:hideMark/>
          </w:tcPr>
          <w:p w14:paraId="2A487D3B" w14:textId="77777777" w:rsidR="00C63902" w:rsidRPr="003341AF" w:rsidRDefault="00C63902" w:rsidP="00C63902">
            <w:pPr>
              <w:spacing w:after="0" w:line="240" w:lineRule="auto"/>
              <w:jc w:val="lef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39F911A8" w14:textId="196222D7" w:rsidR="00C63902" w:rsidRPr="003341AF" w:rsidRDefault="00C63902" w:rsidP="00C63902">
            <w:pPr>
              <w:spacing w:after="0" w:line="240" w:lineRule="auto"/>
              <w:jc w:val="lef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3272FFA" w14:textId="77777777" w:rsidR="00C63902" w:rsidRPr="003341AF" w:rsidRDefault="00C63902" w:rsidP="00C63902">
            <w:pPr>
              <w:spacing w:after="0" w:line="240" w:lineRule="auto"/>
              <w:jc w:val="lef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1684A69" w14:textId="77777777" w:rsidR="00C63902" w:rsidRPr="003341AF" w:rsidRDefault="00C63902" w:rsidP="00C63902">
            <w:pPr>
              <w:spacing w:after="0" w:line="240" w:lineRule="auto"/>
              <w:jc w:val="left"/>
              <w:rPr>
                <w:rFonts w:ascii="Times New Roman" w:hAnsi="Times New Roman"/>
              </w:rPr>
            </w:pPr>
          </w:p>
        </w:tc>
        <w:tc>
          <w:tcPr>
            <w:tcW w:w="857" w:type="dxa"/>
            <w:tcBorders>
              <w:top w:val="nil"/>
              <w:left w:val="nil"/>
              <w:bottom w:val="nil"/>
              <w:right w:val="nil"/>
            </w:tcBorders>
            <w:shd w:val="clear" w:color="auto" w:fill="auto"/>
            <w:noWrap/>
            <w:vAlign w:val="bottom"/>
            <w:hideMark/>
          </w:tcPr>
          <w:p w14:paraId="08FB67A7" w14:textId="77777777" w:rsidR="00C63902" w:rsidRPr="003341AF" w:rsidRDefault="00C63902" w:rsidP="00C63902">
            <w:pPr>
              <w:spacing w:after="0" w:line="240" w:lineRule="auto"/>
              <w:jc w:val="left"/>
              <w:rPr>
                <w:rFonts w:ascii="Times New Roman" w:hAnsi="Times New Roman"/>
              </w:rPr>
            </w:pPr>
          </w:p>
        </w:tc>
      </w:tr>
      <w:tr w:rsidR="00C63902" w:rsidRPr="003341AF" w14:paraId="3CEE29FC" w14:textId="77777777" w:rsidTr="009A11F4">
        <w:trPr>
          <w:trHeight w:val="204"/>
        </w:trPr>
        <w:tc>
          <w:tcPr>
            <w:tcW w:w="3261" w:type="dxa"/>
            <w:tcBorders>
              <w:top w:val="nil"/>
              <w:left w:val="nil"/>
              <w:bottom w:val="nil"/>
              <w:right w:val="nil"/>
            </w:tcBorders>
            <w:shd w:val="clear" w:color="auto" w:fill="auto"/>
            <w:noWrap/>
            <w:vAlign w:val="center"/>
            <w:hideMark/>
          </w:tcPr>
          <w:p w14:paraId="13E8A192"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Financial assets</w:t>
            </w:r>
          </w:p>
        </w:tc>
        <w:tc>
          <w:tcPr>
            <w:tcW w:w="850" w:type="dxa"/>
            <w:tcBorders>
              <w:top w:val="nil"/>
              <w:left w:val="nil"/>
              <w:bottom w:val="nil"/>
              <w:right w:val="nil"/>
            </w:tcBorders>
            <w:shd w:val="clear" w:color="auto" w:fill="auto"/>
            <w:noWrap/>
            <w:vAlign w:val="bottom"/>
            <w:hideMark/>
          </w:tcPr>
          <w:p w14:paraId="5E8B2751" w14:textId="77777777" w:rsidR="00C63902" w:rsidRPr="00BD2F69" w:rsidRDefault="00C63902" w:rsidP="00C63902">
            <w:pPr>
              <w:spacing w:after="0" w:line="240" w:lineRule="auto"/>
              <w:jc w:val="lef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1B7040FE" w14:textId="32324ABC" w:rsidR="00C63902" w:rsidRPr="00BD2F69" w:rsidRDefault="00C63902" w:rsidP="00C63902">
            <w:pPr>
              <w:spacing w:after="0" w:line="240" w:lineRule="auto"/>
              <w:jc w:val="lef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C7A1FB3" w14:textId="77777777" w:rsidR="00C63902" w:rsidRPr="00BD2F69" w:rsidRDefault="00C63902" w:rsidP="00C63902">
            <w:pPr>
              <w:spacing w:after="0" w:line="240" w:lineRule="auto"/>
              <w:jc w:val="lef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41EDE2F" w14:textId="77777777" w:rsidR="00C63902" w:rsidRPr="00064764" w:rsidRDefault="00C63902" w:rsidP="00C63902">
            <w:pPr>
              <w:spacing w:after="0" w:line="240" w:lineRule="auto"/>
              <w:jc w:val="lef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1F3E87D8" w14:textId="77777777" w:rsidR="00C63902" w:rsidRPr="00064764" w:rsidRDefault="00C63902" w:rsidP="00C63902">
            <w:pPr>
              <w:spacing w:after="0" w:line="240" w:lineRule="auto"/>
              <w:jc w:val="left"/>
              <w:rPr>
                <w:rFonts w:ascii="Arial" w:hAnsi="Arial" w:cs="Arial"/>
                <w:sz w:val="16"/>
                <w:szCs w:val="16"/>
              </w:rPr>
            </w:pPr>
          </w:p>
        </w:tc>
      </w:tr>
      <w:tr w:rsidR="00C63902" w:rsidRPr="003341AF" w14:paraId="02580DB8" w14:textId="77777777" w:rsidTr="009A11F4">
        <w:trPr>
          <w:trHeight w:val="204"/>
        </w:trPr>
        <w:tc>
          <w:tcPr>
            <w:tcW w:w="3261" w:type="dxa"/>
            <w:tcBorders>
              <w:top w:val="nil"/>
              <w:left w:val="nil"/>
              <w:bottom w:val="nil"/>
              <w:right w:val="nil"/>
            </w:tcBorders>
            <w:shd w:val="clear" w:color="auto" w:fill="auto"/>
            <w:noWrap/>
            <w:vAlign w:val="center"/>
            <w:hideMark/>
          </w:tcPr>
          <w:p w14:paraId="17CD6B16"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 xml:space="preserve">Cash </w:t>
            </w:r>
            <w:r w:rsidRPr="003341AF">
              <w:rPr>
                <w:rFonts w:ascii="Arial" w:hAnsi="Arial" w:cs="Arial"/>
                <w:sz w:val="16"/>
                <w:szCs w:val="16"/>
              </w:rPr>
              <w:t>and cash equivalents</w:t>
            </w:r>
          </w:p>
        </w:tc>
        <w:tc>
          <w:tcPr>
            <w:tcW w:w="850" w:type="dxa"/>
            <w:tcBorders>
              <w:top w:val="nil"/>
              <w:left w:val="nil"/>
              <w:bottom w:val="nil"/>
              <w:right w:val="nil"/>
            </w:tcBorders>
            <w:shd w:val="clear" w:color="auto" w:fill="auto"/>
            <w:noWrap/>
            <w:vAlign w:val="bottom"/>
            <w:hideMark/>
          </w:tcPr>
          <w:p w14:paraId="3E91E9DC"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3,318</w:t>
            </w:r>
          </w:p>
        </w:tc>
        <w:tc>
          <w:tcPr>
            <w:tcW w:w="857" w:type="dxa"/>
            <w:tcBorders>
              <w:top w:val="nil"/>
              <w:left w:val="nil"/>
              <w:bottom w:val="nil"/>
              <w:right w:val="nil"/>
            </w:tcBorders>
            <w:shd w:val="clear" w:color="000000" w:fill="E6E6E6"/>
            <w:noWrap/>
            <w:vAlign w:val="bottom"/>
            <w:hideMark/>
          </w:tcPr>
          <w:p w14:paraId="7EC55F9B"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3,621</w:t>
            </w:r>
          </w:p>
        </w:tc>
        <w:tc>
          <w:tcPr>
            <w:tcW w:w="857" w:type="dxa"/>
            <w:tcBorders>
              <w:top w:val="nil"/>
              <w:left w:val="nil"/>
              <w:bottom w:val="nil"/>
              <w:right w:val="nil"/>
            </w:tcBorders>
            <w:shd w:val="clear" w:color="auto" w:fill="auto"/>
            <w:noWrap/>
            <w:vAlign w:val="bottom"/>
            <w:hideMark/>
          </w:tcPr>
          <w:p w14:paraId="74F1B078"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3,739</w:t>
            </w:r>
          </w:p>
        </w:tc>
        <w:tc>
          <w:tcPr>
            <w:tcW w:w="857" w:type="dxa"/>
            <w:tcBorders>
              <w:top w:val="nil"/>
              <w:left w:val="nil"/>
              <w:bottom w:val="nil"/>
              <w:right w:val="nil"/>
            </w:tcBorders>
            <w:shd w:val="clear" w:color="auto" w:fill="auto"/>
            <w:noWrap/>
            <w:vAlign w:val="bottom"/>
            <w:hideMark/>
          </w:tcPr>
          <w:p w14:paraId="770BF2D6" w14:textId="77777777" w:rsidR="00C63902" w:rsidRPr="00BD2F69" w:rsidRDefault="00C63902" w:rsidP="00790E04">
            <w:pPr>
              <w:spacing w:after="0" w:line="240" w:lineRule="auto"/>
              <w:jc w:val="right"/>
              <w:rPr>
                <w:rFonts w:ascii="Arial" w:hAnsi="Arial" w:cs="Arial"/>
                <w:sz w:val="16"/>
                <w:szCs w:val="16"/>
              </w:rPr>
            </w:pPr>
            <w:r w:rsidRPr="00BD2F69">
              <w:rPr>
                <w:rFonts w:ascii="Arial" w:hAnsi="Arial" w:cs="Arial"/>
                <w:sz w:val="16"/>
                <w:szCs w:val="16"/>
              </w:rPr>
              <w:t>3,830</w:t>
            </w:r>
          </w:p>
        </w:tc>
        <w:tc>
          <w:tcPr>
            <w:tcW w:w="857" w:type="dxa"/>
            <w:tcBorders>
              <w:top w:val="nil"/>
              <w:left w:val="nil"/>
              <w:bottom w:val="nil"/>
              <w:right w:val="nil"/>
            </w:tcBorders>
            <w:shd w:val="clear" w:color="auto" w:fill="auto"/>
            <w:noWrap/>
            <w:vAlign w:val="bottom"/>
            <w:hideMark/>
          </w:tcPr>
          <w:p w14:paraId="206FF6B4" w14:textId="77777777" w:rsidR="00C63902" w:rsidRPr="00BD2F69" w:rsidRDefault="00C63902" w:rsidP="00BD2F69">
            <w:pPr>
              <w:spacing w:after="0" w:line="240" w:lineRule="auto"/>
              <w:jc w:val="right"/>
              <w:rPr>
                <w:rFonts w:ascii="Arial" w:hAnsi="Arial" w:cs="Arial"/>
                <w:sz w:val="16"/>
                <w:szCs w:val="16"/>
              </w:rPr>
            </w:pPr>
            <w:r w:rsidRPr="00BD2F69">
              <w:rPr>
                <w:rFonts w:ascii="Arial" w:hAnsi="Arial" w:cs="Arial"/>
                <w:sz w:val="16"/>
                <w:szCs w:val="16"/>
              </w:rPr>
              <w:t>3,893</w:t>
            </w:r>
          </w:p>
        </w:tc>
      </w:tr>
      <w:tr w:rsidR="00C63902" w:rsidRPr="003341AF" w14:paraId="7BF51C2E" w14:textId="77777777" w:rsidTr="009A11F4">
        <w:trPr>
          <w:trHeight w:val="204"/>
        </w:trPr>
        <w:tc>
          <w:tcPr>
            <w:tcW w:w="3261" w:type="dxa"/>
            <w:tcBorders>
              <w:top w:val="nil"/>
              <w:left w:val="nil"/>
              <w:bottom w:val="nil"/>
              <w:right w:val="nil"/>
            </w:tcBorders>
            <w:shd w:val="clear" w:color="auto" w:fill="auto"/>
            <w:noWrap/>
            <w:vAlign w:val="center"/>
            <w:hideMark/>
          </w:tcPr>
          <w:p w14:paraId="0712F369" w14:textId="77777777" w:rsidR="00C63902" w:rsidRPr="003341AF" w:rsidRDefault="00C63902" w:rsidP="00064764">
            <w:pPr>
              <w:spacing w:after="0" w:line="240" w:lineRule="auto"/>
              <w:ind w:left="113"/>
              <w:jc w:val="left"/>
              <w:rPr>
                <w:rFonts w:ascii="Arial" w:hAnsi="Arial" w:cs="Arial"/>
                <w:sz w:val="16"/>
                <w:szCs w:val="16"/>
              </w:rPr>
            </w:pPr>
            <w:r w:rsidRPr="003341AF">
              <w:rPr>
                <w:rFonts w:ascii="Arial" w:hAnsi="Arial" w:cs="Arial"/>
                <w:sz w:val="16"/>
                <w:szCs w:val="16"/>
              </w:rPr>
              <w:t>Trade and other receivables</w:t>
            </w:r>
          </w:p>
        </w:tc>
        <w:tc>
          <w:tcPr>
            <w:tcW w:w="850" w:type="dxa"/>
            <w:tcBorders>
              <w:top w:val="nil"/>
              <w:left w:val="nil"/>
              <w:bottom w:val="nil"/>
              <w:right w:val="nil"/>
            </w:tcBorders>
            <w:shd w:val="clear" w:color="auto" w:fill="auto"/>
            <w:noWrap/>
            <w:vAlign w:val="bottom"/>
            <w:hideMark/>
          </w:tcPr>
          <w:p w14:paraId="7D10B306"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117</w:t>
            </w:r>
          </w:p>
        </w:tc>
        <w:tc>
          <w:tcPr>
            <w:tcW w:w="857" w:type="dxa"/>
            <w:tcBorders>
              <w:top w:val="nil"/>
              <w:left w:val="nil"/>
              <w:bottom w:val="nil"/>
              <w:right w:val="nil"/>
            </w:tcBorders>
            <w:shd w:val="clear" w:color="000000" w:fill="E6E6E6"/>
            <w:noWrap/>
            <w:vAlign w:val="bottom"/>
            <w:hideMark/>
          </w:tcPr>
          <w:p w14:paraId="04B0E0A4"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50</w:t>
            </w:r>
          </w:p>
        </w:tc>
        <w:tc>
          <w:tcPr>
            <w:tcW w:w="857" w:type="dxa"/>
            <w:tcBorders>
              <w:top w:val="nil"/>
              <w:left w:val="nil"/>
              <w:bottom w:val="nil"/>
              <w:right w:val="nil"/>
            </w:tcBorders>
            <w:shd w:val="clear" w:color="auto" w:fill="auto"/>
            <w:noWrap/>
            <w:vAlign w:val="bottom"/>
            <w:hideMark/>
          </w:tcPr>
          <w:p w14:paraId="10A69453"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50</w:t>
            </w:r>
          </w:p>
        </w:tc>
        <w:tc>
          <w:tcPr>
            <w:tcW w:w="857" w:type="dxa"/>
            <w:tcBorders>
              <w:top w:val="nil"/>
              <w:left w:val="nil"/>
              <w:bottom w:val="nil"/>
              <w:right w:val="nil"/>
            </w:tcBorders>
            <w:shd w:val="clear" w:color="auto" w:fill="auto"/>
            <w:noWrap/>
            <w:vAlign w:val="bottom"/>
            <w:hideMark/>
          </w:tcPr>
          <w:p w14:paraId="6194F616" w14:textId="77777777" w:rsidR="00C63902" w:rsidRPr="00BD2F69" w:rsidRDefault="00C63902" w:rsidP="00790E04">
            <w:pPr>
              <w:spacing w:after="0" w:line="240" w:lineRule="auto"/>
              <w:jc w:val="right"/>
              <w:rPr>
                <w:rFonts w:ascii="Arial" w:hAnsi="Arial" w:cs="Arial"/>
                <w:sz w:val="16"/>
                <w:szCs w:val="16"/>
              </w:rPr>
            </w:pPr>
            <w:r w:rsidRPr="00BD2F69">
              <w:rPr>
                <w:rFonts w:ascii="Arial" w:hAnsi="Arial" w:cs="Arial"/>
                <w:sz w:val="16"/>
                <w:szCs w:val="16"/>
              </w:rPr>
              <w:t>50</w:t>
            </w:r>
          </w:p>
        </w:tc>
        <w:tc>
          <w:tcPr>
            <w:tcW w:w="857" w:type="dxa"/>
            <w:tcBorders>
              <w:top w:val="nil"/>
              <w:left w:val="nil"/>
              <w:bottom w:val="nil"/>
              <w:right w:val="nil"/>
            </w:tcBorders>
            <w:shd w:val="clear" w:color="auto" w:fill="auto"/>
            <w:noWrap/>
            <w:vAlign w:val="bottom"/>
            <w:hideMark/>
          </w:tcPr>
          <w:p w14:paraId="2AB1A434" w14:textId="77777777" w:rsidR="00C63902" w:rsidRPr="00BD2F69" w:rsidRDefault="00C63902" w:rsidP="00BD2F69">
            <w:pPr>
              <w:spacing w:after="0" w:line="240" w:lineRule="auto"/>
              <w:jc w:val="right"/>
              <w:rPr>
                <w:rFonts w:ascii="Arial" w:hAnsi="Arial" w:cs="Arial"/>
                <w:sz w:val="16"/>
                <w:szCs w:val="16"/>
              </w:rPr>
            </w:pPr>
            <w:r w:rsidRPr="00BD2F69">
              <w:rPr>
                <w:rFonts w:ascii="Arial" w:hAnsi="Arial" w:cs="Arial"/>
                <w:sz w:val="16"/>
                <w:szCs w:val="16"/>
              </w:rPr>
              <w:t>50</w:t>
            </w:r>
          </w:p>
        </w:tc>
      </w:tr>
      <w:tr w:rsidR="00C63902" w:rsidRPr="003341AF" w14:paraId="0267DAD9" w14:textId="77777777" w:rsidTr="009A11F4">
        <w:trPr>
          <w:trHeight w:val="204"/>
        </w:trPr>
        <w:tc>
          <w:tcPr>
            <w:tcW w:w="3261" w:type="dxa"/>
            <w:tcBorders>
              <w:top w:val="nil"/>
              <w:left w:val="nil"/>
              <w:bottom w:val="nil"/>
              <w:right w:val="nil"/>
            </w:tcBorders>
            <w:shd w:val="clear" w:color="auto" w:fill="auto"/>
            <w:noWrap/>
            <w:vAlign w:val="center"/>
            <w:hideMark/>
          </w:tcPr>
          <w:p w14:paraId="054700E2" w14:textId="77777777" w:rsidR="00C63902" w:rsidRPr="003341AF" w:rsidRDefault="00C63902"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financial assets</w:t>
            </w:r>
          </w:p>
        </w:tc>
        <w:tc>
          <w:tcPr>
            <w:tcW w:w="850" w:type="dxa"/>
            <w:tcBorders>
              <w:top w:val="single" w:sz="4" w:space="0" w:color="000000"/>
              <w:left w:val="nil"/>
              <w:bottom w:val="single" w:sz="4" w:space="0" w:color="000000"/>
              <w:right w:val="nil"/>
            </w:tcBorders>
            <w:shd w:val="clear" w:color="auto" w:fill="auto"/>
            <w:noWrap/>
            <w:vAlign w:val="bottom"/>
            <w:hideMark/>
          </w:tcPr>
          <w:p w14:paraId="0FF98E6F" w14:textId="08BC5B3A" w:rsidR="00C63902" w:rsidRPr="00BD2F69"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3,435</w:t>
            </w:r>
          </w:p>
        </w:tc>
        <w:tc>
          <w:tcPr>
            <w:tcW w:w="857" w:type="dxa"/>
            <w:tcBorders>
              <w:top w:val="single" w:sz="4" w:space="0" w:color="000000"/>
              <w:left w:val="nil"/>
              <w:bottom w:val="single" w:sz="4" w:space="0" w:color="000000"/>
              <w:right w:val="nil"/>
            </w:tcBorders>
            <w:shd w:val="clear" w:color="000000" w:fill="E6E6E6"/>
            <w:noWrap/>
            <w:vAlign w:val="bottom"/>
            <w:hideMark/>
          </w:tcPr>
          <w:p w14:paraId="73D9F1DE" w14:textId="7489EEA5" w:rsidR="00C63902" w:rsidRPr="003D71F2"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3,671</w:t>
            </w:r>
          </w:p>
        </w:tc>
        <w:tc>
          <w:tcPr>
            <w:tcW w:w="857" w:type="dxa"/>
            <w:tcBorders>
              <w:top w:val="single" w:sz="4" w:space="0" w:color="000000"/>
              <w:left w:val="nil"/>
              <w:bottom w:val="single" w:sz="4" w:space="0" w:color="000000"/>
              <w:right w:val="nil"/>
            </w:tcBorders>
            <w:shd w:val="clear" w:color="auto" w:fill="auto"/>
            <w:noWrap/>
            <w:vAlign w:val="bottom"/>
            <w:hideMark/>
          </w:tcPr>
          <w:p w14:paraId="0B20BEAC" w14:textId="342C37D7" w:rsidR="00C63902" w:rsidRPr="00BD2F69" w:rsidRDefault="00C63902" w:rsidP="00064764">
            <w:pPr>
              <w:spacing w:after="0" w:line="240" w:lineRule="auto"/>
              <w:jc w:val="right"/>
              <w:rPr>
                <w:rFonts w:ascii="Arial" w:hAnsi="Arial" w:cs="Arial"/>
                <w:b/>
                <w:bCs/>
                <w:i/>
                <w:iCs/>
                <w:sz w:val="16"/>
                <w:szCs w:val="16"/>
              </w:rPr>
            </w:pPr>
            <w:r w:rsidRPr="00480722">
              <w:rPr>
                <w:rFonts w:ascii="Arial" w:hAnsi="Arial" w:cs="Arial"/>
                <w:b/>
                <w:bCs/>
                <w:i/>
                <w:iCs/>
                <w:sz w:val="16"/>
                <w:szCs w:val="16"/>
              </w:rPr>
              <w:t>3,789</w:t>
            </w:r>
          </w:p>
        </w:tc>
        <w:tc>
          <w:tcPr>
            <w:tcW w:w="857" w:type="dxa"/>
            <w:tcBorders>
              <w:top w:val="single" w:sz="4" w:space="0" w:color="000000"/>
              <w:left w:val="nil"/>
              <w:bottom w:val="single" w:sz="4" w:space="0" w:color="000000"/>
              <w:right w:val="nil"/>
            </w:tcBorders>
            <w:shd w:val="clear" w:color="auto" w:fill="auto"/>
            <w:noWrap/>
            <w:vAlign w:val="bottom"/>
            <w:hideMark/>
          </w:tcPr>
          <w:p w14:paraId="023F8B0E" w14:textId="4DEEA601" w:rsidR="00C63902" w:rsidRPr="00BD2F69"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3,880</w:t>
            </w:r>
          </w:p>
        </w:tc>
        <w:tc>
          <w:tcPr>
            <w:tcW w:w="857" w:type="dxa"/>
            <w:tcBorders>
              <w:top w:val="single" w:sz="4" w:space="0" w:color="000000"/>
              <w:left w:val="nil"/>
              <w:bottom w:val="single" w:sz="4" w:space="0" w:color="000000"/>
              <w:right w:val="nil"/>
            </w:tcBorders>
            <w:shd w:val="clear" w:color="auto" w:fill="auto"/>
            <w:noWrap/>
            <w:vAlign w:val="bottom"/>
            <w:hideMark/>
          </w:tcPr>
          <w:p w14:paraId="5AC63EE6" w14:textId="20567D85" w:rsidR="00C63902" w:rsidRPr="00BD2F69"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3,943</w:t>
            </w:r>
          </w:p>
        </w:tc>
      </w:tr>
      <w:tr w:rsidR="00C63902" w:rsidRPr="003341AF" w14:paraId="0102CBDC" w14:textId="77777777" w:rsidTr="009A11F4">
        <w:trPr>
          <w:trHeight w:val="204"/>
        </w:trPr>
        <w:tc>
          <w:tcPr>
            <w:tcW w:w="3261" w:type="dxa"/>
            <w:tcBorders>
              <w:top w:val="nil"/>
              <w:left w:val="nil"/>
              <w:bottom w:val="nil"/>
              <w:right w:val="nil"/>
            </w:tcBorders>
            <w:shd w:val="clear" w:color="auto" w:fill="auto"/>
            <w:noWrap/>
            <w:vAlign w:val="center"/>
            <w:hideMark/>
          </w:tcPr>
          <w:p w14:paraId="6543606A"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Non-financial assets</w:t>
            </w:r>
          </w:p>
        </w:tc>
        <w:tc>
          <w:tcPr>
            <w:tcW w:w="850" w:type="dxa"/>
            <w:tcBorders>
              <w:top w:val="nil"/>
              <w:left w:val="nil"/>
              <w:bottom w:val="nil"/>
              <w:right w:val="nil"/>
            </w:tcBorders>
            <w:shd w:val="clear" w:color="auto" w:fill="auto"/>
            <w:noWrap/>
            <w:vAlign w:val="bottom"/>
            <w:hideMark/>
          </w:tcPr>
          <w:p w14:paraId="64D6BB71" w14:textId="77777777" w:rsidR="00C63902" w:rsidRPr="00BD2F69" w:rsidRDefault="00C63902" w:rsidP="0006476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1CE1D557" w14:textId="07050BBB" w:rsidR="00C63902" w:rsidRPr="00BD2F69"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1EC224AD" w14:textId="77777777" w:rsidR="00C63902" w:rsidRPr="00BD2F69"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1905D1EC" w14:textId="77777777" w:rsidR="00C63902" w:rsidRPr="00064764"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0F5312BE" w14:textId="77777777" w:rsidR="00C63902" w:rsidRPr="00064764" w:rsidRDefault="00C63902" w:rsidP="00064764">
            <w:pPr>
              <w:spacing w:after="0" w:line="240" w:lineRule="auto"/>
              <w:jc w:val="right"/>
              <w:rPr>
                <w:rFonts w:ascii="Arial" w:hAnsi="Arial" w:cs="Arial"/>
                <w:sz w:val="16"/>
                <w:szCs w:val="16"/>
              </w:rPr>
            </w:pPr>
          </w:p>
        </w:tc>
      </w:tr>
      <w:tr w:rsidR="00C63902" w:rsidRPr="003341AF" w14:paraId="0C0EE073" w14:textId="77777777" w:rsidTr="009A11F4">
        <w:trPr>
          <w:trHeight w:val="204"/>
        </w:trPr>
        <w:tc>
          <w:tcPr>
            <w:tcW w:w="3261" w:type="dxa"/>
            <w:tcBorders>
              <w:top w:val="nil"/>
              <w:left w:val="nil"/>
              <w:bottom w:val="nil"/>
              <w:right w:val="nil"/>
            </w:tcBorders>
            <w:shd w:val="clear" w:color="auto" w:fill="auto"/>
            <w:noWrap/>
            <w:vAlign w:val="center"/>
            <w:hideMark/>
          </w:tcPr>
          <w:p w14:paraId="63535950"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Land and buildings</w:t>
            </w:r>
          </w:p>
        </w:tc>
        <w:tc>
          <w:tcPr>
            <w:tcW w:w="850" w:type="dxa"/>
            <w:tcBorders>
              <w:top w:val="nil"/>
              <w:left w:val="nil"/>
              <w:bottom w:val="nil"/>
              <w:right w:val="nil"/>
            </w:tcBorders>
            <w:shd w:val="clear" w:color="auto" w:fill="auto"/>
            <w:noWrap/>
            <w:vAlign w:val="bottom"/>
            <w:hideMark/>
          </w:tcPr>
          <w:p w14:paraId="0F963A38"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2,911</w:t>
            </w:r>
          </w:p>
        </w:tc>
        <w:tc>
          <w:tcPr>
            <w:tcW w:w="857" w:type="dxa"/>
            <w:tcBorders>
              <w:top w:val="nil"/>
              <w:left w:val="nil"/>
              <w:bottom w:val="nil"/>
              <w:right w:val="nil"/>
            </w:tcBorders>
            <w:shd w:val="clear" w:color="000000" w:fill="E6E6E6"/>
            <w:noWrap/>
            <w:vAlign w:val="bottom"/>
            <w:hideMark/>
          </w:tcPr>
          <w:p w14:paraId="1144215B"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2,485</w:t>
            </w:r>
          </w:p>
        </w:tc>
        <w:tc>
          <w:tcPr>
            <w:tcW w:w="857" w:type="dxa"/>
            <w:tcBorders>
              <w:top w:val="nil"/>
              <w:left w:val="nil"/>
              <w:bottom w:val="nil"/>
              <w:right w:val="nil"/>
            </w:tcBorders>
            <w:shd w:val="clear" w:color="auto" w:fill="auto"/>
            <w:noWrap/>
            <w:vAlign w:val="bottom"/>
            <w:hideMark/>
          </w:tcPr>
          <w:p w14:paraId="7DC05D92"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2,059</w:t>
            </w:r>
          </w:p>
        </w:tc>
        <w:tc>
          <w:tcPr>
            <w:tcW w:w="857" w:type="dxa"/>
            <w:tcBorders>
              <w:top w:val="nil"/>
              <w:left w:val="nil"/>
              <w:bottom w:val="nil"/>
              <w:right w:val="nil"/>
            </w:tcBorders>
            <w:shd w:val="clear" w:color="auto" w:fill="auto"/>
            <w:noWrap/>
            <w:vAlign w:val="bottom"/>
            <w:hideMark/>
          </w:tcPr>
          <w:p w14:paraId="57D2AF1C"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1,633</w:t>
            </w:r>
          </w:p>
        </w:tc>
        <w:tc>
          <w:tcPr>
            <w:tcW w:w="857" w:type="dxa"/>
            <w:tcBorders>
              <w:top w:val="nil"/>
              <w:left w:val="nil"/>
              <w:bottom w:val="nil"/>
              <w:right w:val="nil"/>
            </w:tcBorders>
            <w:shd w:val="clear" w:color="auto" w:fill="auto"/>
            <w:noWrap/>
            <w:vAlign w:val="bottom"/>
            <w:hideMark/>
          </w:tcPr>
          <w:p w14:paraId="4894B5CA" w14:textId="77777777" w:rsidR="00C63902" w:rsidRPr="00BD2F69" w:rsidRDefault="00C63902" w:rsidP="00790E04">
            <w:pPr>
              <w:spacing w:after="0" w:line="240" w:lineRule="auto"/>
              <w:jc w:val="right"/>
              <w:rPr>
                <w:rFonts w:ascii="Arial" w:hAnsi="Arial" w:cs="Arial"/>
                <w:sz w:val="16"/>
                <w:szCs w:val="16"/>
              </w:rPr>
            </w:pPr>
            <w:r w:rsidRPr="00BD2F69">
              <w:rPr>
                <w:rFonts w:ascii="Arial" w:hAnsi="Arial" w:cs="Arial"/>
                <w:sz w:val="16"/>
                <w:szCs w:val="16"/>
              </w:rPr>
              <w:t>1,207</w:t>
            </w:r>
          </w:p>
        </w:tc>
      </w:tr>
      <w:tr w:rsidR="00C63902" w:rsidRPr="003341AF" w14:paraId="1055800F" w14:textId="77777777" w:rsidTr="009A11F4">
        <w:trPr>
          <w:trHeight w:val="204"/>
        </w:trPr>
        <w:tc>
          <w:tcPr>
            <w:tcW w:w="3261" w:type="dxa"/>
            <w:tcBorders>
              <w:top w:val="nil"/>
              <w:left w:val="nil"/>
              <w:bottom w:val="nil"/>
              <w:right w:val="nil"/>
            </w:tcBorders>
            <w:shd w:val="clear" w:color="auto" w:fill="auto"/>
            <w:noWrap/>
            <w:vAlign w:val="center"/>
            <w:hideMark/>
          </w:tcPr>
          <w:p w14:paraId="31C55BFE"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Property, plant and equipment</w:t>
            </w:r>
          </w:p>
        </w:tc>
        <w:tc>
          <w:tcPr>
            <w:tcW w:w="850" w:type="dxa"/>
            <w:tcBorders>
              <w:top w:val="nil"/>
              <w:left w:val="nil"/>
              <w:bottom w:val="nil"/>
              <w:right w:val="nil"/>
            </w:tcBorders>
            <w:shd w:val="clear" w:color="auto" w:fill="auto"/>
            <w:noWrap/>
            <w:vAlign w:val="bottom"/>
            <w:hideMark/>
          </w:tcPr>
          <w:p w14:paraId="7B66EC4C"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1,145</w:t>
            </w:r>
          </w:p>
        </w:tc>
        <w:tc>
          <w:tcPr>
            <w:tcW w:w="857" w:type="dxa"/>
            <w:tcBorders>
              <w:top w:val="nil"/>
              <w:left w:val="nil"/>
              <w:bottom w:val="nil"/>
              <w:right w:val="nil"/>
            </w:tcBorders>
            <w:shd w:val="clear" w:color="000000" w:fill="E6E6E6"/>
            <w:noWrap/>
            <w:vAlign w:val="bottom"/>
            <w:hideMark/>
          </w:tcPr>
          <w:p w14:paraId="36841553"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955</w:t>
            </w:r>
          </w:p>
        </w:tc>
        <w:tc>
          <w:tcPr>
            <w:tcW w:w="857" w:type="dxa"/>
            <w:tcBorders>
              <w:top w:val="nil"/>
              <w:left w:val="nil"/>
              <w:bottom w:val="nil"/>
              <w:right w:val="nil"/>
            </w:tcBorders>
            <w:shd w:val="clear" w:color="auto" w:fill="auto"/>
            <w:noWrap/>
            <w:vAlign w:val="bottom"/>
            <w:hideMark/>
          </w:tcPr>
          <w:p w14:paraId="0432D26B"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865</w:t>
            </w:r>
          </w:p>
        </w:tc>
        <w:tc>
          <w:tcPr>
            <w:tcW w:w="857" w:type="dxa"/>
            <w:tcBorders>
              <w:top w:val="nil"/>
              <w:left w:val="nil"/>
              <w:bottom w:val="nil"/>
              <w:right w:val="nil"/>
            </w:tcBorders>
            <w:shd w:val="clear" w:color="auto" w:fill="auto"/>
            <w:noWrap/>
            <w:vAlign w:val="bottom"/>
            <w:hideMark/>
          </w:tcPr>
          <w:p w14:paraId="2CBF0E5E"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775</w:t>
            </w:r>
          </w:p>
        </w:tc>
        <w:tc>
          <w:tcPr>
            <w:tcW w:w="857" w:type="dxa"/>
            <w:tcBorders>
              <w:top w:val="nil"/>
              <w:left w:val="nil"/>
              <w:bottom w:val="nil"/>
              <w:right w:val="nil"/>
            </w:tcBorders>
            <w:shd w:val="clear" w:color="auto" w:fill="auto"/>
            <w:noWrap/>
            <w:vAlign w:val="bottom"/>
            <w:hideMark/>
          </w:tcPr>
          <w:p w14:paraId="3896E82B" w14:textId="77777777" w:rsidR="00C63902" w:rsidRPr="00BD2F69" w:rsidRDefault="00C63902" w:rsidP="00790E04">
            <w:pPr>
              <w:spacing w:after="0" w:line="240" w:lineRule="auto"/>
              <w:jc w:val="right"/>
              <w:rPr>
                <w:rFonts w:ascii="Arial" w:hAnsi="Arial" w:cs="Arial"/>
                <w:sz w:val="16"/>
                <w:szCs w:val="16"/>
              </w:rPr>
            </w:pPr>
            <w:r w:rsidRPr="00BD2F69">
              <w:rPr>
                <w:rFonts w:ascii="Arial" w:hAnsi="Arial" w:cs="Arial"/>
                <w:sz w:val="16"/>
                <w:szCs w:val="16"/>
              </w:rPr>
              <w:t>685</w:t>
            </w:r>
          </w:p>
        </w:tc>
      </w:tr>
      <w:tr w:rsidR="00C63902" w:rsidRPr="003341AF" w14:paraId="499ABD00" w14:textId="77777777" w:rsidTr="009A11F4">
        <w:trPr>
          <w:trHeight w:val="204"/>
        </w:trPr>
        <w:tc>
          <w:tcPr>
            <w:tcW w:w="3261" w:type="dxa"/>
            <w:tcBorders>
              <w:top w:val="nil"/>
              <w:left w:val="nil"/>
              <w:bottom w:val="nil"/>
              <w:right w:val="nil"/>
            </w:tcBorders>
            <w:shd w:val="clear" w:color="auto" w:fill="auto"/>
            <w:noWrap/>
            <w:vAlign w:val="center"/>
            <w:hideMark/>
          </w:tcPr>
          <w:p w14:paraId="3B1E6909"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Prepayments</w:t>
            </w:r>
          </w:p>
        </w:tc>
        <w:tc>
          <w:tcPr>
            <w:tcW w:w="850" w:type="dxa"/>
            <w:tcBorders>
              <w:top w:val="nil"/>
              <w:left w:val="nil"/>
              <w:bottom w:val="nil"/>
              <w:right w:val="nil"/>
            </w:tcBorders>
            <w:shd w:val="clear" w:color="auto" w:fill="auto"/>
            <w:noWrap/>
            <w:vAlign w:val="bottom"/>
            <w:hideMark/>
          </w:tcPr>
          <w:p w14:paraId="18B050D8"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66</w:t>
            </w:r>
          </w:p>
        </w:tc>
        <w:tc>
          <w:tcPr>
            <w:tcW w:w="857" w:type="dxa"/>
            <w:tcBorders>
              <w:top w:val="nil"/>
              <w:left w:val="nil"/>
              <w:bottom w:val="nil"/>
              <w:right w:val="nil"/>
            </w:tcBorders>
            <w:shd w:val="clear" w:color="000000" w:fill="E6E6E6"/>
            <w:noWrap/>
            <w:vAlign w:val="bottom"/>
            <w:hideMark/>
          </w:tcPr>
          <w:p w14:paraId="3F1A2864"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60</w:t>
            </w:r>
          </w:p>
        </w:tc>
        <w:tc>
          <w:tcPr>
            <w:tcW w:w="857" w:type="dxa"/>
            <w:tcBorders>
              <w:top w:val="nil"/>
              <w:left w:val="nil"/>
              <w:bottom w:val="nil"/>
              <w:right w:val="nil"/>
            </w:tcBorders>
            <w:shd w:val="clear" w:color="auto" w:fill="auto"/>
            <w:noWrap/>
            <w:vAlign w:val="bottom"/>
            <w:hideMark/>
          </w:tcPr>
          <w:p w14:paraId="698C4776"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60</w:t>
            </w:r>
          </w:p>
        </w:tc>
        <w:tc>
          <w:tcPr>
            <w:tcW w:w="857" w:type="dxa"/>
            <w:tcBorders>
              <w:top w:val="nil"/>
              <w:left w:val="nil"/>
              <w:bottom w:val="nil"/>
              <w:right w:val="nil"/>
            </w:tcBorders>
            <w:shd w:val="clear" w:color="auto" w:fill="auto"/>
            <w:noWrap/>
            <w:vAlign w:val="bottom"/>
            <w:hideMark/>
          </w:tcPr>
          <w:p w14:paraId="459E707B"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60</w:t>
            </w:r>
          </w:p>
        </w:tc>
        <w:tc>
          <w:tcPr>
            <w:tcW w:w="857" w:type="dxa"/>
            <w:tcBorders>
              <w:top w:val="nil"/>
              <w:left w:val="nil"/>
              <w:bottom w:val="nil"/>
              <w:right w:val="nil"/>
            </w:tcBorders>
            <w:shd w:val="clear" w:color="auto" w:fill="auto"/>
            <w:noWrap/>
            <w:vAlign w:val="bottom"/>
            <w:hideMark/>
          </w:tcPr>
          <w:p w14:paraId="6A4DE6C3" w14:textId="77777777" w:rsidR="00C63902" w:rsidRPr="00BD2F69" w:rsidRDefault="00C63902" w:rsidP="00790E04">
            <w:pPr>
              <w:spacing w:after="0" w:line="240" w:lineRule="auto"/>
              <w:jc w:val="right"/>
              <w:rPr>
                <w:rFonts w:ascii="Arial" w:hAnsi="Arial" w:cs="Arial"/>
                <w:sz w:val="16"/>
                <w:szCs w:val="16"/>
              </w:rPr>
            </w:pPr>
            <w:r w:rsidRPr="00BD2F69">
              <w:rPr>
                <w:rFonts w:ascii="Arial" w:hAnsi="Arial" w:cs="Arial"/>
                <w:sz w:val="16"/>
                <w:szCs w:val="16"/>
              </w:rPr>
              <w:t>60</w:t>
            </w:r>
          </w:p>
        </w:tc>
      </w:tr>
      <w:tr w:rsidR="00C63902" w:rsidRPr="003341AF" w14:paraId="255A629D" w14:textId="77777777" w:rsidTr="009A11F4">
        <w:trPr>
          <w:trHeight w:val="204"/>
        </w:trPr>
        <w:tc>
          <w:tcPr>
            <w:tcW w:w="3261" w:type="dxa"/>
            <w:tcBorders>
              <w:top w:val="nil"/>
              <w:left w:val="nil"/>
              <w:bottom w:val="nil"/>
              <w:right w:val="nil"/>
            </w:tcBorders>
            <w:shd w:val="clear" w:color="auto" w:fill="auto"/>
            <w:noWrap/>
            <w:vAlign w:val="center"/>
            <w:hideMark/>
          </w:tcPr>
          <w:p w14:paraId="505193FF" w14:textId="77777777" w:rsidR="00C63902" w:rsidRPr="003341AF" w:rsidRDefault="00C63902"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non-financial assets</w:t>
            </w:r>
          </w:p>
        </w:tc>
        <w:tc>
          <w:tcPr>
            <w:tcW w:w="850" w:type="dxa"/>
            <w:tcBorders>
              <w:top w:val="single" w:sz="4" w:space="0" w:color="000000"/>
              <w:left w:val="nil"/>
              <w:bottom w:val="single" w:sz="4" w:space="0" w:color="000000"/>
              <w:right w:val="nil"/>
            </w:tcBorders>
            <w:shd w:val="clear" w:color="auto" w:fill="auto"/>
            <w:noWrap/>
            <w:vAlign w:val="bottom"/>
            <w:hideMark/>
          </w:tcPr>
          <w:p w14:paraId="64A78629" w14:textId="214C5C39" w:rsidR="00C63902" w:rsidRPr="00BD2F69" w:rsidRDefault="00C63902" w:rsidP="0006476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4,122</w:t>
            </w:r>
          </w:p>
        </w:tc>
        <w:tc>
          <w:tcPr>
            <w:tcW w:w="857" w:type="dxa"/>
            <w:tcBorders>
              <w:top w:val="single" w:sz="4" w:space="0" w:color="000000"/>
              <w:left w:val="nil"/>
              <w:bottom w:val="single" w:sz="4" w:space="0" w:color="000000"/>
              <w:right w:val="nil"/>
            </w:tcBorders>
            <w:shd w:val="clear" w:color="000000" w:fill="E6E6E6"/>
            <w:noWrap/>
            <w:vAlign w:val="bottom"/>
            <w:hideMark/>
          </w:tcPr>
          <w:p w14:paraId="09D2BBA6" w14:textId="7ED3E96D" w:rsidR="00C63902" w:rsidRPr="003D71F2" w:rsidRDefault="00C63902" w:rsidP="0006476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3,500</w:t>
            </w:r>
          </w:p>
        </w:tc>
        <w:tc>
          <w:tcPr>
            <w:tcW w:w="857" w:type="dxa"/>
            <w:tcBorders>
              <w:top w:val="single" w:sz="4" w:space="0" w:color="000000"/>
              <w:left w:val="nil"/>
              <w:bottom w:val="single" w:sz="4" w:space="0" w:color="000000"/>
              <w:right w:val="nil"/>
            </w:tcBorders>
            <w:shd w:val="clear" w:color="auto" w:fill="auto"/>
            <w:noWrap/>
            <w:vAlign w:val="bottom"/>
            <w:hideMark/>
          </w:tcPr>
          <w:p w14:paraId="7475803B" w14:textId="4FF8A47F" w:rsidR="00C63902" w:rsidRPr="00BD2F69" w:rsidRDefault="00C63902" w:rsidP="00064764">
            <w:pPr>
              <w:spacing w:after="0" w:line="240" w:lineRule="auto"/>
              <w:jc w:val="right"/>
              <w:rPr>
                <w:rFonts w:ascii="Arial" w:hAnsi="Arial" w:cs="Arial"/>
                <w:b/>
                <w:bCs/>
                <w:i/>
                <w:iCs/>
                <w:color w:val="000000"/>
                <w:sz w:val="16"/>
                <w:szCs w:val="16"/>
              </w:rPr>
            </w:pPr>
            <w:r w:rsidRPr="00480722">
              <w:rPr>
                <w:rFonts w:ascii="Arial" w:hAnsi="Arial" w:cs="Arial"/>
                <w:b/>
                <w:bCs/>
                <w:i/>
                <w:iCs/>
                <w:color w:val="000000"/>
                <w:sz w:val="16"/>
                <w:szCs w:val="16"/>
              </w:rPr>
              <w:t>2,984</w:t>
            </w:r>
          </w:p>
        </w:tc>
        <w:tc>
          <w:tcPr>
            <w:tcW w:w="857" w:type="dxa"/>
            <w:tcBorders>
              <w:top w:val="single" w:sz="4" w:space="0" w:color="000000"/>
              <w:left w:val="nil"/>
              <w:bottom w:val="single" w:sz="4" w:space="0" w:color="000000"/>
              <w:right w:val="nil"/>
            </w:tcBorders>
            <w:shd w:val="clear" w:color="auto" w:fill="auto"/>
            <w:noWrap/>
            <w:vAlign w:val="bottom"/>
            <w:hideMark/>
          </w:tcPr>
          <w:p w14:paraId="5AC548B9" w14:textId="295A10F6" w:rsidR="00C63902" w:rsidRPr="00BD2F69" w:rsidRDefault="00C63902" w:rsidP="0006476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2,468</w:t>
            </w:r>
          </w:p>
        </w:tc>
        <w:tc>
          <w:tcPr>
            <w:tcW w:w="857" w:type="dxa"/>
            <w:tcBorders>
              <w:top w:val="single" w:sz="4" w:space="0" w:color="000000"/>
              <w:left w:val="nil"/>
              <w:bottom w:val="single" w:sz="4" w:space="0" w:color="000000"/>
              <w:right w:val="nil"/>
            </w:tcBorders>
            <w:shd w:val="clear" w:color="auto" w:fill="auto"/>
            <w:noWrap/>
            <w:vAlign w:val="bottom"/>
            <w:hideMark/>
          </w:tcPr>
          <w:p w14:paraId="5D83D39F" w14:textId="6F894A74" w:rsidR="00C63902" w:rsidRPr="00BD2F69" w:rsidRDefault="00C63902" w:rsidP="0006476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1,952</w:t>
            </w:r>
          </w:p>
        </w:tc>
      </w:tr>
      <w:tr w:rsidR="00C63902" w:rsidRPr="003341AF" w14:paraId="7274C870" w14:textId="77777777" w:rsidTr="009A11F4">
        <w:trPr>
          <w:trHeight w:val="204"/>
        </w:trPr>
        <w:tc>
          <w:tcPr>
            <w:tcW w:w="3261" w:type="dxa"/>
            <w:tcBorders>
              <w:top w:val="nil"/>
              <w:left w:val="nil"/>
              <w:bottom w:val="nil"/>
              <w:right w:val="nil"/>
            </w:tcBorders>
            <w:shd w:val="clear" w:color="auto" w:fill="auto"/>
            <w:noWrap/>
            <w:vAlign w:val="center"/>
            <w:hideMark/>
          </w:tcPr>
          <w:p w14:paraId="1785F170"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Total assets</w:t>
            </w:r>
          </w:p>
        </w:tc>
        <w:tc>
          <w:tcPr>
            <w:tcW w:w="850" w:type="dxa"/>
            <w:tcBorders>
              <w:top w:val="nil"/>
              <w:left w:val="nil"/>
              <w:bottom w:val="single" w:sz="4" w:space="0" w:color="000000"/>
              <w:right w:val="nil"/>
            </w:tcBorders>
            <w:shd w:val="clear" w:color="auto" w:fill="auto"/>
            <w:noWrap/>
            <w:vAlign w:val="bottom"/>
            <w:hideMark/>
          </w:tcPr>
          <w:p w14:paraId="088C0558" w14:textId="285DF08F" w:rsidR="00C63902" w:rsidRPr="00BD2F69"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7,557</w:t>
            </w:r>
          </w:p>
        </w:tc>
        <w:tc>
          <w:tcPr>
            <w:tcW w:w="857" w:type="dxa"/>
            <w:tcBorders>
              <w:top w:val="nil"/>
              <w:left w:val="nil"/>
              <w:bottom w:val="single" w:sz="4" w:space="0" w:color="000000"/>
              <w:right w:val="nil"/>
            </w:tcBorders>
            <w:shd w:val="clear" w:color="000000" w:fill="E6E6E6"/>
            <w:noWrap/>
            <w:vAlign w:val="bottom"/>
            <w:hideMark/>
          </w:tcPr>
          <w:p w14:paraId="7EB5C886" w14:textId="0D0AB70E" w:rsidR="00C63902" w:rsidRPr="003D71F2"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7,171</w:t>
            </w:r>
          </w:p>
        </w:tc>
        <w:tc>
          <w:tcPr>
            <w:tcW w:w="857" w:type="dxa"/>
            <w:tcBorders>
              <w:top w:val="nil"/>
              <w:left w:val="nil"/>
              <w:bottom w:val="single" w:sz="4" w:space="0" w:color="000000"/>
              <w:right w:val="nil"/>
            </w:tcBorders>
            <w:shd w:val="clear" w:color="auto" w:fill="auto"/>
            <w:noWrap/>
            <w:vAlign w:val="bottom"/>
            <w:hideMark/>
          </w:tcPr>
          <w:p w14:paraId="1EDAA86E" w14:textId="116636EC" w:rsidR="00C63902" w:rsidRPr="00BD2F69" w:rsidRDefault="00C63902" w:rsidP="00064764">
            <w:pPr>
              <w:spacing w:after="0" w:line="240" w:lineRule="auto"/>
              <w:jc w:val="right"/>
              <w:rPr>
                <w:rFonts w:ascii="Arial" w:hAnsi="Arial" w:cs="Arial"/>
                <w:b/>
                <w:bCs/>
                <w:color w:val="000000"/>
                <w:sz w:val="16"/>
                <w:szCs w:val="16"/>
              </w:rPr>
            </w:pPr>
            <w:r w:rsidRPr="00480722">
              <w:rPr>
                <w:rFonts w:ascii="Arial" w:hAnsi="Arial" w:cs="Arial"/>
                <w:b/>
                <w:bCs/>
                <w:color w:val="000000"/>
                <w:sz w:val="16"/>
                <w:szCs w:val="16"/>
              </w:rPr>
              <w:t>6,773</w:t>
            </w:r>
          </w:p>
        </w:tc>
        <w:tc>
          <w:tcPr>
            <w:tcW w:w="857" w:type="dxa"/>
            <w:tcBorders>
              <w:top w:val="nil"/>
              <w:left w:val="nil"/>
              <w:bottom w:val="single" w:sz="4" w:space="0" w:color="000000"/>
              <w:right w:val="nil"/>
            </w:tcBorders>
            <w:shd w:val="clear" w:color="auto" w:fill="auto"/>
            <w:noWrap/>
            <w:vAlign w:val="bottom"/>
            <w:hideMark/>
          </w:tcPr>
          <w:p w14:paraId="457C3F3B" w14:textId="308145F9" w:rsidR="00C63902" w:rsidRPr="00BD2F69"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6,348</w:t>
            </w:r>
          </w:p>
        </w:tc>
        <w:tc>
          <w:tcPr>
            <w:tcW w:w="857" w:type="dxa"/>
            <w:tcBorders>
              <w:top w:val="nil"/>
              <w:left w:val="nil"/>
              <w:bottom w:val="single" w:sz="4" w:space="0" w:color="000000"/>
              <w:right w:val="nil"/>
            </w:tcBorders>
            <w:shd w:val="clear" w:color="auto" w:fill="auto"/>
            <w:noWrap/>
            <w:vAlign w:val="bottom"/>
            <w:hideMark/>
          </w:tcPr>
          <w:p w14:paraId="4A9287E9" w14:textId="56975D69" w:rsidR="00C63902" w:rsidRPr="00BD2F69"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5,895</w:t>
            </w:r>
          </w:p>
        </w:tc>
      </w:tr>
      <w:tr w:rsidR="00C63902" w:rsidRPr="003341AF" w14:paraId="42144191" w14:textId="77777777" w:rsidTr="009A11F4">
        <w:trPr>
          <w:trHeight w:val="204"/>
        </w:trPr>
        <w:tc>
          <w:tcPr>
            <w:tcW w:w="3261" w:type="dxa"/>
            <w:tcBorders>
              <w:top w:val="nil"/>
              <w:left w:val="nil"/>
              <w:bottom w:val="nil"/>
              <w:right w:val="nil"/>
            </w:tcBorders>
            <w:shd w:val="clear" w:color="auto" w:fill="auto"/>
            <w:noWrap/>
            <w:vAlign w:val="center"/>
            <w:hideMark/>
          </w:tcPr>
          <w:p w14:paraId="053A65E1" w14:textId="77777777" w:rsidR="00C63902" w:rsidRPr="003341AF" w:rsidRDefault="00C63902" w:rsidP="00064764">
            <w:pPr>
              <w:spacing w:before="60" w:after="0" w:line="240" w:lineRule="auto"/>
              <w:jc w:val="left"/>
              <w:rPr>
                <w:rFonts w:ascii="Arial" w:hAnsi="Arial" w:cs="Arial"/>
                <w:b/>
                <w:bCs/>
                <w:color w:val="000000"/>
                <w:sz w:val="16"/>
                <w:szCs w:val="16"/>
              </w:rPr>
            </w:pPr>
            <w:r w:rsidRPr="003341AF">
              <w:rPr>
                <w:rFonts w:ascii="Arial" w:hAnsi="Arial" w:cs="Arial"/>
                <w:b/>
                <w:bCs/>
                <w:color w:val="000000"/>
                <w:sz w:val="16"/>
                <w:szCs w:val="16"/>
              </w:rPr>
              <w:t>LIABILITIES</w:t>
            </w:r>
          </w:p>
        </w:tc>
        <w:tc>
          <w:tcPr>
            <w:tcW w:w="850" w:type="dxa"/>
            <w:tcBorders>
              <w:top w:val="nil"/>
              <w:left w:val="nil"/>
              <w:bottom w:val="nil"/>
              <w:right w:val="nil"/>
            </w:tcBorders>
            <w:shd w:val="clear" w:color="auto" w:fill="auto"/>
            <w:noWrap/>
            <w:vAlign w:val="bottom"/>
            <w:hideMark/>
          </w:tcPr>
          <w:p w14:paraId="2C631F83" w14:textId="77777777" w:rsidR="00C63902" w:rsidRPr="00BD2F69" w:rsidRDefault="00C63902" w:rsidP="0006476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tcPr>
          <w:p w14:paraId="71BCB5F6" w14:textId="2DC629BE" w:rsidR="00C63902" w:rsidRPr="00BD2F69" w:rsidRDefault="00C63902" w:rsidP="0006476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F9D823E" w14:textId="77777777" w:rsidR="00C63902" w:rsidRPr="00BD2F69" w:rsidRDefault="00C63902" w:rsidP="0006476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89A89AD" w14:textId="77777777" w:rsidR="00C63902" w:rsidRPr="00064764"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2BA05CC8" w14:textId="77777777" w:rsidR="00C63902" w:rsidRPr="00064764" w:rsidRDefault="00C63902" w:rsidP="00064764">
            <w:pPr>
              <w:spacing w:after="0" w:line="240" w:lineRule="auto"/>
              <w:jc w:val="right"/>
              <w:rPr>
                <w:rFonts w:ascii="Arial" w:hAnsi="Arial" w:cs="Arial"/>
                <w:sz w:val="16"/>
                <w:szCs w:val="16"/>
              </w:rPr>
            </w:pPr>
          </w:p>
        </w:tc>
      </w:tr>
      <w:tr w:rsidR="00C63902" w:rsidRPr="003341AF" w14:paraId="1277EAC4" w14:textId="77777777" w:rsidTr="009A11F4">
        <w:trPr>
          <w:trHeight w:val="204"/>
        </w:trPr>
        <w:tc>
          <w:tcPr>
            <w:tcW w:w="3261" w:type="dxa"/>
            <w:tcBorders>
              <w:top w:val="nil"/>
              <w:left w:val="nil"/>
              <w:bottom w:val="nil"/>
              <w:right w:val="nil"/>
            </w:tcBorders>
            <w:shd w:val="clear" w:color="auto" w:fill="auto"/>
            <w:noWrap/>
            <w:vAlign w:val="center"/>
            <w:hideMark/>
          </w:tcPr>
          <w:p w14:paraId="1E243A82"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Payables</w:t>
            </w:r>
          </w:p>
        </w:tc>
        <w:tc>
          <w:tcPr>
            <w:tcW w:w="850" w:type="dxa"/>
            <w:tcBorders>
              <w:top w:val="nil"/>
              <w:left w:val="nil"/>
              <w:bottom w:val="nil"/>
              <w:right w:val="nil"/>
            </w:tcBorders>
            <w:shd w:val="clear" w:color="auto" w:fill="auto"/>
            <w:noWrap/>
            <w:vAlign w:val="bottom"/>
            <w:hideMark/>
          </w:tcPr>
          <w:p w14:paraId="6EE5571A" w14:textId="77777777" w:rsidR="00C63902" w:rsidRPr="00BD2F69" w:rsidRDefault="00C63902" w:rsidP="0006476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tcPr>
          <w:p w14:paraId="6F4B8464" w14:textId="167885B5" w:rsidR="00C63902" w:rsidRPr="00BD2F69" w:rsidRDefault="00C63902" w:rsidP="0006476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F22EB96" w14:textId="77777777" w:rsidR="00C63902" w:rsidRPr="00BD2F69" w:rsidRDefault="00C63902" w:rsidP="0006476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9B4ABB0" w14:textId="77777777" w:rsidR="00C63902" w:rsidRPr="00064764"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632B62BD" w14:textId="77777777" w:rsidR="00C63902" w:rsidRPr="00064764" w:rsidRDefault="00C63902" w:rsidP="00064764">
            <w:pPr>
              <w:spacing w:after="0" w:line="240" w:lineRule="auto"/>
              <w:jc w:val="right"/>
              <w:rPr>
                <w:rFonts w:ascii="Arial" w:hAnsi="Arial" w:cs="Arial"/>
                <w:sz w:val="16"/>
                <w:szCs w:val="16"/>
              </w:rPr>
            </w:pPr>
          </w:p>
        </w:tc>
      </w:tr>
      <w:tr w:rsidR="00C63902" w:rsidRPr="003341AF" w14:paraId="7DADA46D" w14:textId="77777777" w:rsidTr="009A11F4">
        <w:trPr>
          <w:trHeight w:val="204"/>
        </w:trPr>
        <w:tc>
          <w:tcPr>
            <w:tcW w:w="3261" w:type="dxa"/>
            <w:tcBorders>
              <w:top w:val="nil"/>
              <w:left w:val="nil"/>
              <w:bottom w:val="nil"/>
              <w:right w:val="nil"/>
            </w:tcBorders>
            <w:shd w:val="clear" w:color="auto" w:fill="auto"/>
            <w:noWrap/>
            <w:vAlign w:val="center"/>
            <w:hideMark/>
          </w:tcPr>
          <w:p w14:paraId="1D762F95"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Suppliers</w:t>
            </w:r>
          </w:p>
        </w:tc>
        <w:tc>
          <w:tcPr>
            <w:tcW w:w="850" w:type="dxa"/>
            <w:tcBorders>
              <w:top w:val="nil"/>
              <w:left w:val="nil"/>
              <w:bottom w:val="nil"/>
              <w:right w:val="nil"/>
            </w:tcBorders>
            <w:shd w:val="clear" w:color="auto" w:fill="auto"/>
            <w:noWrap/>
            <w:vAlign w:val="bottom"/>
            <w:hideMark/>
          </w:tcPr>
          <w:p w14:paraId="5A0C1A74"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515</w:t>
            </w:r>
          </w:p>
        </w:tc>
        <w:tc>
          <w:tcPr>
            <w:tcW w:w="857" w:type="dxa"/>
            <w:tcBorders>
              <w:top w:val="nil"/>
              <w:left w:val="nil"/>
              <w:bottom w:val="nil"/>
              <w:right w:val="nil"/>
            </w:tcBorders>
            <w:shd w:val="clear" w:color="000000" w:fill="E6E6E6"/>
            <w:noWrap/>
            <w:vAlign w:val="bottom"/>
            <w:hideMark/>
          </w:tcPr>
          <w:p w14:paraId="1D5FBE3E"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450</w:t>
            </w:r>
          </w:p>
        </w:tc>
        <w:tc>
          <w:tcPr>
            <w:tcW w:w="857" w:type="dxa"/>
            <w:tcBorders>
              <w:top w:val="nil"/>
              <w:left w:val="nil"/>
              <w:bottom w:val="nil"/>
              <w:right w:val="nil"/>
            </w:tcBorders>
            <w:shd w:val="clear" w:color="auto" w:fill="auto"/>
            <w:noWrap/>
            <w:vAlign w:val="bottom"/>
            <w:hideMark/>
          </w:tcPr>
          <w:p w14:paraId="7D120BCA"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450</w:t>
            </w:r>
          </w:p>
        </w:tc>
        <w:tc>
          <w:tcPr>
            <w:tcW w:w="857" w:type="dxa"/>
            <w:tcBorders>
              <w:top w:val="nil"/>
              <w:left w:val="nil"/>
              <w:bottom w:val="nil"/>
              <w:right w:val="nil"/>
            </w:tcBorders>
            <w:shd w:val="clear" w:color="auto" w:fill="auto"/>
            <w:noWrap/>
            <w:vAlign w:val="bottom"/>
            <w:hideMark/>
          </w:tcPr>
          <w:p w14:paraId="385B3839"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450</w:t>
            </w:r>
          </w:p>
        </w:tc>
        <w:tc>
          <w:tcPr>
            <w:tcW w:w="857" w:type="dxa"/>
            <w:tcBorders>
              <w:top w:val="nil"/>
              <w:left w:val="nil"/>
              <w:bottom w:val="nil"/>
              <w:right w:val="nil"/>
            </w:tcBorders>
            <w:shd w:val="clear" w:color="auto" w:fill="auto"/>
            <w:noWrap/>
            <w:vAlign w:val="bottom"/>
            <w:hideMark/>
          </w:tcPr>
          <w:p w14:paraId="1E88B5A8" w14:textId="77777777" w:rsidR="00C63902" w:rsidRPr="00BF6F80" w:rsidRDefault="00C63902" w:rsidP="00790E04">
            <w:pPr>
              <w:spacing w:after="0" w:line="240" w:lineRule="auto"/>
              <w:jc w:val="right"/>
              <w:rPr>
                <w:rFonts w:ascii="Arial" w:hAnsi="Arial" w:cs="Arial"/>
                <w:sz w:val="16"/>
                <w:szCs w:val="16"/>
              </w:rPr>
            </w:pPr>
            <w:r w:rsidRPr="00BF6F80">
              <w:rPr>
                <w:rFonts w:ascii="Arial" w:hAnsi="Arial" w:cs="Arial"/>
                <w:sz w:val="16"/>
                <w:szCs w:val="16"/>
              </w:rPr>
              <w:t>450</w:t>
            </w:r>
          </w:p>
        </w:tc>
      </w:tr>
      <w:tr w:rsidR="00C63902" w:rsidRPr="003341AF" w14:paraId="08CF25FB" w14:textId="77777777" w:rsidTr="009A11F4">
        <w:trPr>
          <w:trHeight w:val="204"/>
        </w:trPr>
        <w:tc>
          <w:tcPr>
            <w:tcW w:w="3261" w:type="dxa"/>
            <w:tcBorders>
              <w:top w:val="nil"/>
              <w:left w:val="nil"/>
              <w:bottom w:val="nil"/>
              <w:right w:val="nil"/>
            </w:tcBorders>
            <w:shd w:val="clear" w:color="auto" w:fill="auto"/>
            <w:noWrap/>
            <w:vAlign w:val="center"/>
            <w:hideMark/>
          </w:tcPr>
          <w:p w14:paraId="0989E4DC"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Other payables</w:t>
            </w:r>
          </w:p>
        </w:tc>
        <w:tc>
          <w:tcPr>
            <w:tcW w:w="850" w:type="dxa"/>
            <w:tcBorders>
              <w:top w:val="nil"/>
              <w:left w:val="nil"/>
              <w:bottom w:val="nil"/>
              <w:right w:val="nil"/>
            </w:tcBorders>
            <w:shd w:val="clear" w:color="auto" w:fill="auto"/>
            <w:noWrap/>
            <w:vAlign w:val="bottom"/>
            <w:hideMark/>
          </w:tcPr>
          <w:p w14:paraId="0A1D77C2"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22</w:t>
            </w:r>
          </w:p>
        </w:tc>
        <w:tc>
          <w:tcPr>
            <w:tcW w:w="857" w:type="dxa"/>
            <w:tcBorders>
              <w:top w:val="nil"/>
              <w:left w:val="nil"/>
              <w:bottom w:val="nil"/>
              <w:right w:val="nil"/>
            </w:tcBorders>
            <w:shd w:val="clear" w:color="000000" w:fill="E6E6E6"/>
            <w:noWrap/>
            <w:vAlign w:val="bottom"/>
            <w:hideMark/>
          </w:tcPr>
          <w:p w14:paraId="27880AEB"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22</w:t>
            </w:r>
          </w:p>
        </w:tc>
        <w:tc>
          <w:tcPr>
            <w:tcW w:w="857" w:type="dxa"/>
            <w:tcBorders>
              <w:top w:val="nil"/>
              <w:left w:val="nil"/>
              <w:bottom w:val="nil"/>
              <w:right w:val="nil"/>
            </w:tcBorders>
            <w:shd w:val="clear" w:color="auto" w:fill="auto"/>
            <w:noWrap/>
            <w:vAlign w:val="bottom"/>
            <w:hideMark/>
          </w:tcPr>
          <w:p w14:paraId="2917B11D"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22</w:t>
            </w:r>
          </w:p>
        </w:tc>
        <w:tc>
          <w:tcPr>
            <w:tcW w:w="857" w:type="dxa"/>
            <w:tcBorders>
              <w:top w:val="nil"/>
              <w:left w:val="nil"/>
              <w:bottom w:val="nil"/>
              <w:right w:val="nil"/>
            </w:tcBorders>
            <w:shd w:val="clear" w:color="auto" w:fill="auto"/>
            <w:noWrap/>
            <w:vAlign w:val="bottom"/>
            <w:hideMark/>
          </w:tcPr>
          <w:p w14:paraId="0CF273EA"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22</w:t>
            </w:r>
          </w:p>
        </w:tc>
        <w:tc>
          <w:tcPr>
            <w:tcW w:w="857" w:type="dxa"/>
            <w:tcBorders>
              <w:top w:val="nil"/>
              <w:left w:val="nil"/>
              <w:bottom w:val="nil"/>
              <w:right w:val="nil"/>
            </w:tcBorders>
            <w:shd w:val="clear" w:color="auto" w:fill="auto"/>
            <w:noWrap/>
            <w:vAlign w:val="bottom"/>
            <w:hideMark/>
          </w:tcPr>
          <w:p w14:paraId="4C558B55" w14:textId="77777777" w:rsidR="00C63902" w:rsidRPr="00BD2F69" w:rsidRDefault="00C63902" w:rsidP="00790E04">
            <w:pPr>
              <w:spacing w:after="0" w:line="240" w:lineRule="auto"/>
              <w:jc w:val="right"/>
              <w:rPr>
                <w:rFonts w:ascii="Arial" w:hAnsi="Arial" w:cs="Arial"/>
                <w:sz w:val="16"/>
                <w:szCs w:val="16"/>
              </w:rPr>
            </w:pPr>
            <w:r w:rsidRPr="00BD2F69">
              <w:rPr>
                <w:rFonts w:ascii="Arial" w:hAnsi="Arial" w:cs="Arial"/>
                <w:sz w:val="16"/>
                <w:szCs w:val="16"/>
              </w:rPr>
              <w:t>22</w:t>
            </w:r>
          </w:p>
        </w:tc>
      </w:tr>
      <w:tr w:rsidR="00C63902" w:rsidRPr="003341AF" w14:paraId="6EEA51F6" w14:textId="77777777" w:rsidTr="009A11F4">
        <w:trPr>
          <w:trHeight w:val="204"/>
        </w:trPr>
        <w:tc>
          <w:tcPr>
            <w:tcW w:w="3261" w:type="dxa"/>
            <w:tcBorders>
              <w:top w:val="nil"/>
              <w:left w:val="nil"/>
              <w:bottom w:val="nil"/>
              <w:right w:val="nil"/>
            </w:tcBorders>
            <w:shd w:val="clear" w:color="auto" w:fill="auto"/>
            <w:noWrap/>
            <w:vAlign w:val="center"/>
            <w:hideMark/>
          </w:tcPr>
          <w:p w14:paraId="0DF0C975" w14:textId="77777777" w:rsidR="00C63902" w:rsidRPr="003341AF" w:rsidRDefault="00C63902"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payables</w:t>
            </w:r>
          </w:p>
        </w:tc>
        <w:tc>
          <w:tcPr>
            <w:tcW w:w="850" w:type="dxa"/>
            <w:tcBorders>
              <w:top w:val="single" w:sz="4" w:space="0" w:color="000000"/>
              <w:left w:val="nil"/>
              <w:bottom w:val="single" w:sz="4" w:space="0" w:color="000000"/>
              <w:right w:val="nil"/>
            </w:tcBorders>
            <w:shd w:val="clear" w:color="auto" w:fill="auto"/>
            <w:noWrap/>
            <w:vAlign w:val="bottom"/>
            <w:hideMark/>
          </w:tcPr>
          <w:p w14:paraId="696D349D" w14:textId="63058C03" w:rsidR="00C63902" w:rsidRPr="00BD2F69"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537</w:t>
            </w:r>
          </w:p>
        </w:tc>
        <w:tc>
          <w:tcPr>
            <w:tcW w:w="857" w:type="dxa"/>
            <w:tcBorders>
              <w:top w:val="single" w:sz="4" w:space="0" w:color="000000"/>
              <w:left w:val="nil"/>
              <w:bottom w:val="single" w:sz="4" w:space="0" w:color="000000"/>
              <w:right w:val="nil"/>
            </w:tcBorders>
            <w:shd w:val="clear" w:color="000000" w:fill="E6E6E6"/>
            <w:noWrap/>
            <w:vAlign w:val="bottom"/>
            <w:hideMark/>
          </w:tcPr>
          <w:p w14:paraId="1D886432" w14:textId="6967053B" w:rsidR="00C63902" w:rsidRPr="003D71F2"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472</w:t>
            </w:r>
          </w:p>
        </w:tc>
        <w:tc>
          <w:tcPr>
            <w:tcW w:w="857" w:type="dxa"/>
            <w:tcBorders>
              <w:top w:val="single" w:sz="4" w:space="0" w:color="000000"/>
              <w:left w:val="nil"/>
              <w:bottom w:val="single" w:sz="4" w:space="0" w:color="000000"/>
              <w:right w:val="nil"/>
            </w:tcBorders>
            <w:shd w:val="clear" w:color="auto" w:fill="auto"/>
            <w:noWrap/>
            <w:vAlign w:val="bottom"/>
            <w:hideMark/>
          </w:tcPr>
          <w:p w14:paraId="1478A0FE" w14:textId="0CA1CC9A" w:rsidR="00C63902" w:rsidRPr="00BD2F69" w:rsidRDefault="00C63902" w:rsidP="00064764">
            <w:pPr>
              <w:spacing w:after="0" w:line="240" w:lineRule="auto"/>
              <w:jc w:val="right"/>
              <w:rPr>
                <w:rFonts w:ascii="Arial" w:hAnsi="Arial" w:cs="Arial"/>
                <w:b/>
                <w:bCs/>
                <w:i/>
                <w:iCs/>
                <w:sz w:val="16"/>
                <w:szCs w:val="16"/>
              </w:rPr>
            </w:pPr>
            <w:r w:rsidRPr="00480722">
              <w:rPr>
                <w:rFonts w:ascii="Arial" w:hAnsi="Arial" w:cs="Arial"/>
                <w:b/>
                <w:bCs/>
                <w:i/>
                <w:iCs/>
                <w:sz w:val="16"/>
                <w:szCs w:val="16"/>
              </w:rPr>
              <w:t>472</w:t>
            </w:r>
          </w:p>
        </w:tc>
        <w:tc>
          <w:tcPr>
            <w:tcW w:w="857" w:type="dxa"/>
            <w:tcBorders>
              <w:top w:val="single" w:sz="4" w:space="0" w:color="000000"/>
              <w:left w:val="nil"/>
              <w:bottom w:val="single" w:sz="4" w:space="0" w:color="000000"/>
              <w:right w:val="nil"/>
            </w:tcBorders>
            <w:shd w:val="clear" w:color="auto" w:fill="auto"/>
            <w:noWrap/>
            <w:vAlign w:val="bottom"/>
            <w:hideMark/>
          </w:tcPr>
          <w:p w14:paraId="72C4E70B" w14:textId="532B8A85" w:rsidR="00C63902" w:rsidRPr="00BD2F69"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472</w:t>
            </w:r>
          </w:p>
        </w:tc>
        <w:tc>
          <w:tcPr>
            <w:tcW w:w="857" w:type="dxa"/>
            <w:tcBorders>
              <w:top w:val="single" w:sz="4" w:space="0" w:color="000000"/>
              <w:left w:val="nil"/>
              <w:bottom w:val="single" w:sz="4" w:space="0" w:color="000000"/>
              <w:right w:val="nil"/>
            </w:tcBorders>
            <w:shd w:val="clear" w:color="auto" w:fill="auto"/>
            <w:noWrap/>
            <w:vAlign w:val="bottom"/>
            <w:hideMark/>
          </w:tcPr>
          <w:p w14:paraId="06E088BC" w14:textId="0F9C9268" w:rsidR="00C63902" w:rsidRPr="00BD2F69"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472</w:t>
            </w:r>
          </w:p>
        </w:tc>
      </w:tr>
      <w:tr w:rsidR="00C63902" w:rsidRPr="003341AF" w14:paraId="496E8E01" w14:textId="77777777" w:rsidTr="009A11F4">
        <w:trPr>
          <w:trHeight w:val="204"/>
        </w:trPr>
        <w:tc>
          <w:tcPr>
            <w:tcW w:w="3261" w:type="dxa"/>
            <w:tcBorders>
              <w:top w:val="nil"/>
              <w:left w:val="nil"/>
              <w:bottom w:val="nil"/>
              <w:right w:val="nil"/>
            </w:tcBorders>
            <w:shd w:val="clear" w:color="auto" w:fill="auto"/>
            <w:noWrap/>
            <w:vAlign w:val="center"/>
            <w:hideMark/>
          </w:tcPr>
          <w:p w14:paraId="2E573704"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Interest bearing liabilities</w:t>
            </w:r>
          </w:p>
        </w:tc>
        <w:tc>
          <w:tcPr>
            <w:tcW w:w="850" w:type="dxa"/>
            <w:tcBorders>
              <w:top w:val="nil"/>
              <w:left w:val="nil"/>
              <w:bottom w:val="nil"/>
              <w:right w:val="nil"/>
            </w:tcBorders>
            <w:shd w:val="clear" w:color="auto" w:fill="auto"/>
            <w:noWrap/>
            <w:vAlign w:val="bottom"/>
            <w:hideMark/>
          </w:tcPr>
          <w:p w14:paraId="62E6569D" w14:textId="77777777" w:rsidR="00C63902" w:rsidRPr="00BD2F69" w:rsidRDefault="00C63902" w:rsidP="0006476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tcPr>
          <w:p w14:paraId="3995ADC9" w14:textId="6A2E3F14" w:rsidR="00C63902" w:rsidRPr="00BD2F69"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3E38CF50" w14:textId="77777777" w:rsidR="00C63902" w:rsidRPr="00BD2F69"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2475FAFE" w14:textId="77777777" w:rsidR="00C63902" w:rsidRPr="00064764"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5D2AAE53" w14:textId="77777777" w:rsidR="00C63902" w:rsidRPr="00064764" w:rsidRDefault="00C63902" w:rsidP="00064764">
            <w:pPr>
              <w:spacing w:after="0" w:line="240" w:lineRule="auto"/>
              <w:jc w:val="right"/>
              <w:rPr>
                <w:rFonts w:ascii="Arial" w:hAnsi="Arial" w:cs="Arial"/>
                <w:sz w:val="16"/>
                <w:szCs w:val="16"/>
              </w:rPr>
            </w:pPr>
          </w:p>
        </w:tc>
      </w:tr>
      <w:tr w:rsidR="00C63902" w:rsidRPr="003341AF" w14:paraId="7AF35FDC" w14:textId="77777777" w:rsidTr="009A11F4">
        <w:trPr>
          <w:trHeight w:val="204"/>
        </w:trPr>
        <w:tc>
          <w:tcPr>
            <w:tcW w:w="3261" w:type="dxa"/>
            <w:tcBorders>
              <w:top w:val="nil"/>
              <w:left w:val="nil"/>
              <w:bottom w:val="nil"/>
              <w:right w:val="nil"/>
            </w:tcBorders>
            <w:shd w:val="clear" w:color="auto" w:fill="auto"/>
            <w:noWrap/>
            <w:vAlign w:val="center"/>
            <w:hideMark/>
          </w:tcPr>
          <w:p w14:paraId="314A8CC3"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Leases</w:t>
            </w:r>
          </w:p>
        </w:tc>
        <w:tc>
          <w:tcPr>
            <w:tcW w:w="850" w:type="dxa"/>
            <w:tcBorders>
              <w:top w:val="nil"/>
              <w:left w:val="nil"/>
              <w:bottom w:val="nil"/>
              <w:right w:val="nil"/>
            </w:tcBorders>
            <w:shd w:val="clear" w:color="auto" w:fill="auto"/>
            <w:noWrap/>
            <w:vAlign w:val="bottom"/>
            <w:hideMark/>
          </w:tcPr>
          <w:p w14:paraId="1406EADC"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3,091</w:t>
            </w:r>
          </w:p>
        </w:tc>
        <w:tc>
          <w:tcPr>
            <w:tcW w:w="857" w:type="dxa"/>
            <w:tcBorders>
              <w:top w:val="nil"/>
              <w:left w:val="nil"/>
              <w:bottom w:val="nil"/>
              <w:right w:val="nil"/>
            </w:tcBorders>
            <w:shd w:val="clear" w:color="000000" w:fill="E6E6E6"/>
            <w:noWrap/>
            <w:vAlign w:val="bottom"/>
            <w:hideMark/>
          </w:tcPr>
          <w:p w14:paraId="686CC17A"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2,719</w:t>
            </w:r>
          </w:p>
        </w:tc>
        <w:tc>
          <w:tcPr>
            <w:tcW w:w="857" w:type="dxa"/>
            <w:tcBorders>
              <w:top w:val="nil"/>
              <w:left w:val="nil"/>
              <w:bottom w:val="nil"/>
              <w:right w:val="nil"/>
            </w:tcBorders>
            <w:shd w:val="clear" w:color="auto" w:fill="auto"/>
            <w:noWrap/>
            <w:vAlign w:val="bottom"/>
            <w:hideMark/>
          </w:tcPr>
          <w:p w14:paraId="2F475112"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2,321</w:t>
            </w:r>
          </w:p>
        </w:tc>
        <w:tc>
          <w:tcPr>
            <w:tcW w:w="857" w:type="dxa"/>
            <w:tcBorders>
              <w:top w:val="nil"/>
              <w:left w:val="nil"/>
              <w:bottom w:val="nil"/>
              <w:right w:val="nil"/>
            </w:tcBorders>
            <w:shd w:val="clear" w:color="auto" w:fill="auto"/>
            <w:noWrap/>
            <w:vAlign w:val="bottom"/>
            <w:hideMark/>
          </w:tcPr>
          <w:p w14:paraId="5DFDDAA8"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1,896</w:t>
            </w:r>
          </w:p>
        </w:tc>
        <w:tc>
          <w:tcPr>
            <w:tcW w:w="857" w:type="dxa"/>
            <w:tcBorders>
              <w:top w:val="nil"/>
              <w:left w:val="nil"/>
              <w:bottom w:val="nil"/>
              <w:right w:val="nil"/>
            </w:tcBorders>
            <w:shd w:val="clear" w:color="auto" w:fill="auto"/>
            <w:noWrap/>
            <w:vAlign w:val="bottom"/>
            <w:hideMark/>
          </w:tcPr>
          <w:p w14:paraId="6EBA44EE" w14:textId="77777777" w:rsidR="00C63902" w:rsidRPr="00BD2F69" w:rsidRDefault="00C63902" w:rsidP="00790E04">
            <w:pPr>
              <w:spacing w:after="0" w:line="240" w:lineRule="auto"/>
              <w:jc w:val="right"/>
              <w:rPr>
                <w:rFonts w:ascii="Arial" w:hAnsi="Arial" w:cs="Arial"/>
                <w:sz w:val="16"/>
                <w:szCs w:val="16"/>
              </w:rPr>
            </w:pPr>
            <w:r w:rsidRPr="00BD2F69">
              <w:rPr>
                <w:rFonts w:ascii="Arial" w:hAnsi="Arial" w:cs="Arial"/>
                <w:sz w:val="16"/>
                <w:szCs w:val="16"/>
              </w:rPr>
              <w:t>1,443</w:t>
            </w:r>
          </w:p>
        </w:tc>
      </w:tr>
      <w:tr w:rsidR="00C63902" w:rsidRPr="003341AF" w14:paraId="0F9E61B9" w14:textId="77777777" w:rsidTr="009A11F4">
        <w:trPr>
          <w:trHeight w:val="204"/>
        </w:trPr>
        <w:tc>
          <w:tcPr>
            <w:tcW w:w="3261" w:type="dxa"/>
            <w:tcBorders>
              <w:top w:val="nil"/>
              <w:left w:val="nil"/>
              <w:bottom w:val="nil"/>
              <w:right w:val="nil"/>
            </w:tcBorders>
            <w:shd w:val="clear" w:color="auto" w:fill="auto"/>
            <w:noWrap/>
            <w:vAlign w:val="center"/>
            <w:hideMark/>
          </w:tcPr>
          <w:p w14:paraId="65B16F6F" w14:textId="77777777" w:rsidR="00C63902" w:rsidRPr="003341AF" w:rsidRDefault="00C63902"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interest bearing liabilities</w:t>
            </w:r>
          </w:p>
        </w:tc>
        <w:tc>
          <w:tcPr>
            <w:tcW w:w="850" w:type="dxa"/>
            <w:tcBorders>
              <w:top w:val="single" w:sz="4" w:space="0" w:color="000000"/>
              <w:left w:val="nil"/>
              <w:bottom w:val="single" w:sz="4" w:space="0" w:color="000000"/>
              <w:right w:val="nil"/>
            </w:tcBorders>
            <w:shd w:val="clear" w:color="auto" w:fill="auto"/>
            <w:noWrap/>
            <w:vAlign w:val="bottom"/>
            <w:hideMark/>
          </w:tcPr>
          <w:p w14:paraId="630CE08B" w14:textId="2A3E6A50" w:rsidR="00C63902" w:rsidRPr="00BD2F69"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3,091</w:t>
            </w:r>
          </w:p>
        </w:tc>
        <w:tc>
          <w:tcPr>
            <w:tcW w:w="857" w:type="dxa"/>
            <w:tcBorders>
              <w:top w:val="single" w:sz="4" w:space="0" w:color="000000"/>
              <w:left w:val="nil"/>
              <w:bottom w:val="single" w:sz="4" w:space="0" w:color="000000"/>
              <w:right w:val="nil"/>
            </w:tcBorders>
            <w:shd w:val="clear" w:color="000000" w:fill="E6E6E6"/>
            <w:noWrap/>
            <w:vAlign w:val="bottom"/>
            <w:hideMark/>
          </w:tcPr>
          <w:p w14:paraId="000F31EE" w14:textId="1259E968" w:rsidR="00C63902" w:rsidRPr="003D71F2"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2,719</w:t>
            </w:r>
          </w:p>
        </w:tc>
        <w:tc>
          <w:tcPr>
            <w:tcW w:w="857" w:type="dxa"/>
            <w:tcBorders>
              <w:top w:val="single" w:sz="4" w:space="0" w:color="000000"/>
              <w:left w:val="nil"/>
              <w:bottom w:val="single" w:sz="4" w:space="0" w:color="000000"/>
              <w:right w:val="nil"/>
            </w:tcBorders>
            <w:shd w:val="clear" w:color="auto" w:fill="auto"/>
            <w:noWrap/>
            <w:vAlign w:val="bottom"/>
            <w:hideMark/>
          </w:tcPr>
          <w:p w14:paraId="61FB2D7C" w14:textId="6E00BC87" w:rsidR="00C63902" w:rsidRPr="00BD2F69" w:rsidRDefault="00C63902" w:rsidP="00064764">
            <w:pPr>
              <w:spacing w:after="0" w:line="240" w:lineRule="auto"/>
              <w:jc w:val="right"/>
              <w:rPr>
                <w:rFonts w:ascii="Arial" w:hAnsi="Arial" w:cs="Arial"/>
                <w:b/>
                <w:bCs/>
                <w:i/>
                <w:iCs/>
                <w:sz w:val="16"/>
                <w:szCs w:val="16"/>
              </w:rPr>
            </w:pPr>
            <w:r w:rsidRPr="00480722">
              <w:rPr>
                <w:rFonts w:ascii="Arial" w:hAnsi="Arial" w:cs="Arial"/>
                <w:b/>
                <w:bCs/>
                <w:i/>
                <w:iCs/>
                <w:sz w:val="16"/>
                <w:szCs w:val="16"/>
              </w:rPr>
              <w:t>2,321</w:t>
            </w:r>
          </w:p>
        </w:tc>
        <w:tc>
          <w:tcPr>
            <w:tcW w:w="857" w:type="dxa"/>
            <w:tcBorders>
              <w:top w:val="single" w:sz="4" w:space="0" w:color="000000"/>
              <w:left w:val="nil"/>
              <w:bottom w:val="single" w:sz="4" w:space="0" w:color="000000"/>
              <w:right w:val="nil"/>
            </w:tcBorders>
            <w:shd w:val="clear" w:color="auto" w:fill="auto"/>
            <w:noWrap/>
            <w:vAlign w:val="bottom"/>
            <w:hideMark/>
          </w:tcPr>
          <w:p w14:paraId="7C0CC676" w14:textId="6980421C" w:rsidR="00C63902" w:rsidRPr="00BD2F69"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1,896</w:t>
            </w:r>
          </w:p>
        </w:tc>
        <w:tc>
          <w:tcPr>
            <w:tcW w:w="857" w:type="dxa"/>
            <w:tcBorders>
              <w:top w:val="single" w:sz="4" w:space="0" w:color="000000"/>
              <w:left w:val="nil"/>
              <w:bottom w:val="single" w:sz="4" w:space="0" w:color="000000"/>
              <w:right w:val="nil"/>
            </w:tcBorders>
            <w:shd w:val="clear" w:color="auto" w:fill="auto"/>
            <w:noWrap/>
            <w:vAlign w:val="bottom"/>
            <w:hideMark/>
          </w:tcPr>
          <w:p w14:paraId="1126913C" w14:textId="22458993" w:rsidR="00C63902" w:rsidRPr="00BD2F69" w:rsidRDefault="00C63902" w:rsidP="00064764">
            <w:pPr>
              <w:spacing w:after="0" w:line="240" w:lineRule="auto"/>
              <w:jc w:val="right"/>
              <w:rPr>
                <w:rFonts w:ascii="Arial" w:hAnsi="Arial" w:cs="Arial"/>
                <w:b/>
                <w:bCs/>
                <w:i/>
                <w:iCs/>
                <w:sz w:val="16"/>
                <w:szCs w:val="16"/>
              </w:rPr>
            </w:pPr>
            <w:r w:rsidRPr="00BD2F69">
              <w:rPr>
                <w:rFonts w:ascii="Arial" w:hAnsi="Arial" w:cs="Arial"/>
                <w:b/>
                <w:bCs/>
                <w:i/>
                <w:iCs/>
                <w:sz w:val="16"/>
                <w:szCs w:val="16"/>
              </w:rPr>
              <w:t>1,443</w:t>
            </w:r>
          </w:p>
        </w:tc>
      </w:tr>
      <w:tr w:rsidR="00C63902" w:rsidRPr="003341AF" w14:paraId="451CFF80" w14:textId="77777777" w:rsidTr="009A11F4">
        <w:trPr>
          <w:trHeight w:val="204"/>
        </w:trPr>
        <w:tc>
          <w:tcPr>
            <w:tcW w:w="3261" w:type="dxa"/>
            <w:tcBorders>
              <w:top w:val="nil"/>
              <w:left w:val="nil"/>
              <w:bottom w:val="nil"/>
              <w:right w:val="nil"/>
            </w:tcBorders>
            <w:shd w:val="clear" w:color="auto" w:fill="auto"/>
            <w:noWrap/>
            <w:vAlign w:val="center"/>
            <w:hideMark/>
          </w:tcPr>
          <w:p w14:paraId="4A17AF27"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Provisions</w:t>
            </w:r>
          </w:p>
        </w:tc>
        <w:tc>
          <w:tcPr>
            <w:tcW w:w="850" w:type="dxa"/>
            <w:tcBorders>
              <w:top w:val="nil"/>
              <w:left w:val="nil"/>
              <w:bottom w:val="nil"/>
              <w:right w:val="nil"/>
            </w:tcBorders>
            <w:shd w:val="clear" w:color="auto" w:fill="auto"/>
            <w:noWrap/>
            <w:vAlign w:val="bottom"/>
            <w:hideMark/>
          </w:tcPr>
          <w:p w14:paraId="09A746CF" w14:textId="77777777" w:rsidR="00C63902" w:rsidRPr="00BD2F69" w:rsidRDefault="00C63902" w:rsidP="0006476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tcPr>
          <w:p w14:paraId="71542C4B" w14:textId="236BB581" w:rsidR="00C63902" w:rsidRPr="00BD2F69"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453422D2" w14:textId="77777777" w:rsidR="00C63902" w:rsidRPr="00BD2F69"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7C28A994" w14:textId="77777777" w:rsidR="00C63902" w:rsidRPr="00064764"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3EFE840F" w14:textId="77777777" w:rsidR="00C63902" w:rsidRPr="00064764" w:rsidRDefault="00C63902" w:rsidP="00064764">
            <w:pPr>
              <w:spacing w:after="0" w:line="240" w:lineRule="auto"/>
              <w:jc w:val="right"/>
              <w:rPr>
                <w:rFonts w:ascii="Arial" w:hAnsi="Arial" w:cs="Arial"/>
                <w:sz w:val="16"/>
                <w:szCs w:val="16"/>
              </w:rPr>
            </w:pPr>
          </w:p>
        </w:tc>
      </w:tr>
      <w:tr w:rsidR="00C63902" w:rsidRPr="003341AF" w14:paraId="766E3AAA" w14:textId="77777777" w:rsidTr="009A11F4">
        <w:trPr>
          <w:trHeight w:val="204"/>
        </w:trPr>
        <w:tc>
          <w:tcPr>
            <w:tcW w:w="3261" w:type="dxa"/>
            <w:tcBorders>
              <w:top w:val="nil"/>
              <w:left w:val="nil"/>
              <w:bottom w:val="nil"/>
              <w:right w:val="nil"/>
            </w:tcBorders>
            <w:shd w:val="clear" w:color="auto" w:fill="auto"/>
            <w:noWrap/>
            <w:vAlign w:val="center"/>
            <w:hideMark/>
          </w:tcPr>
          <w:p w14:paraId="0482B95B"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Employee provisions</w:t>
            </w:r>
          </w:p>
        </w:tc>
        <w:tc>
          <w:tcPr>
            <w:tcW w:w="850" w:type="dxa"/>
            <w:tcBorders>
              <w:top w:val="nil"/>
              <w:left w:val="nil"/>
              <w:bottom w:val="nil"/>
              <w:right w:val="nil"/>
            </w:tcBorders>
            <w:shd w:val="clear" w:color="auto" w:fill="auto"/>
            <w:noWrap/>
            <w:vAlign w:val="bottom"/>
            <w:hideMark/>
          </w:tcPr>
          <w:p w14:paraId="260D8218"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1,249</w:t>
            </w:r>
          </w:p>
        </w:tc>
        <w:tc>
          <w:tcPr>
            <w:tcW w:w="857" w:type="dxa"/>
            <w:tcBorders>
              <w:top w:val="nil"/>
              <w:left w:val="nil"/>
              <w:bottom w:val="nil"/>
              <w:right w:val="nil"/>
            </w:tcBorders>
            <w:shd w:val="clear" w:color="000000" w:fill="E6E6E6"/>
            <w:noWrap/>
            <w:vAlign w:val="bottom"/>
            <w:hideMark/>
          </w:tcPr>
          <w:p w14:paraId="6F44A8BC" w14:textId="77777777"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1,300</w:t>
            </w:r>
          </w:p>
        </w:tc>
        <w:tc>
          <w:tcPr>
            <w:tcW w:w="857" w:type="dxa"/>
            <w:tcBorders>
              <w:top w:val="nil"/>
              <w:left w:val="nil"/>
              <w:bottom w:val="nil"/>
              <w:right w:val="nil"/>
            </w:tcBorders>
            <w:shd w:val="clear" w:color="auto" w:fill="auto"/>
            <w:noWrap/>
            <w:vAlign w:val="bottom"/>
            <w:hideMark/>
          </w:tcPr>
          <w:p w14:paraId="380A2238"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1,300</w:t>
            </w:r>
          </w:p>
        </w:tc>
        <w:tc>
          <w:tcPr>
            <w:tcW w:w="857" w:type="dxa"/>
            <w:tcBorders>
              <w:top w:val="nil"/>
              <w:left w:val="nil"/>
              <w:bottom w:val="nil"/>
              <w:right w:val="nil"/>
            </w:tcBorders>
            <w:shd w:val="clear" w:color="auto" w:fill="auto"/>
            <w:noWrap/>
            <w:vAlign w:val="bottom"/>
            <w:hideMark/>
          </w:tcPr>
          <w:p w14:paraId="77CF83CD" w14:textId="77777777"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1,300</w:t>
            </w:r>
          </w:p>
        </w:tc>
        <w:tc>
          <w:tcPr>
            <w:tcW w:w="857" w:type="dxa"/>
            <w:tcBorders>
              <w:top w:val="nil"/>
              <w:left w:val="nil"/>
              <w:bottom w:val="nil"/>
              <w:right w:val="nil"/>
            </w:tcBorders>
            <w:shd w:val="clear" w:color="auto" w:fill="auto"/>
            <w:noWrap/>
            <w:vAlign w:val="bottom"/>
            <w:hideMark/>
          </w:tcPr>
          <w:p w14:paraId="6F0037EC" w14:textId="77777777" w:rsidR="00C63902" w:rsidRPr="00BD2F69" w:rsidRDefault="00C63902" w:rsidP="00790E04">
            <w:pPr>
              <w:spacing w:after="0" w:line="240" w:lineRule="auto"/>
              <w:jc w:val="right"/>
              <w:rPr>
                <w:rFonts w:ascii="Arial" w:hAnsi="Arial" w:cs="Arial"/>
                <w:sz w:val="16"/>
                <w:szCs w:val="16"/>
              </w:rPr>
            </w:pPr>
            <w:r w:rsidRPr="00BD2F69">
              <w:rPr>
                <w:rFonts w:ascii="Arial" w:hAnsi="Arial" w:cs="Arial"/>
                <w:sz w:val="16"/>
                <w:szCs w:val="16"/>
              </w:rPr>
              <w:t>1,300</w:t>
            </w:r>
          </w:p>
        </w:tc>
      </w:tr>
      <w:tr w:rsidR="00C63902" w:rsidRPr="003341AF" w14:paraId="6962F25D" w14:textId="77777777" w:rsidTr="009A11F4">
        <w:trPr>
          <w:trHeight w:val="204"/>
        </w:trPr>
        <w:tc>
          <w:tcPr>
            <w:tcW w:w="3261" w:type="dxa"/>
            <w:tcBorders>
              <w:top w:val="nil"/>
              <w:left w:val="nil"/>
              <w:bottom w:val="nil"/>
              <w:right w:val="nil"/>
            </w:tcBorders>
            <w:shd w:val="clear" w:color="auto" w:fill="auto"/>
            <w:noWrap/>
            <w:vAlign w:val="center"/>
            <w:hideMark/>
          </w:tcPr>
          <w:p w14:paraId="1BDB3D1A" w14:textId="77777777" w:rsidR="00C63902" w:rsidRPr="003341AF" w:rsidRDefault="00C63902"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provisions</w:t>
            </w:r>
          </w:p>
        </w:tc>
        <w:tc>
          <w:tcPr>
            <w:tcW w:w="850" w:type="dxa"/>
            <w:tcBorders>
              <w:top w:val="single" w:sz="4" w:space="0" w:color="000000"/>
              <w:left w:val="nil"/>
              <w:bottom w:val="single" w:sz="4" w:space="0" w:color="000000"/>
              <w:right w:val="nil"/>
            </w:tcBorders>
            <w:shd w:val="clear" w:color="auto" w:fill="auto"/>
            <w:noWrap/>
            <w:vAlign w:val="bottom"/>
            <w:hideMark/>
          </w:tcPr>
          <w:p w14:paraId="44C3C48B" w14:textId="71ADFDE6" w:rsidR="00C63902" w:rsidRPr="00BD2F69" w:rsidRDefault="00C63902" w:rsidP="0006476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1,249</w:t>
            </w:r>
          </w:p>
        </w:tc>
        <w:tc>
          <w:tcPr>
            <w:tcW w:w="857" w:type="dxa"/>
            <w:tcBorders>
              <w:top w:val="single" w:sz="4" w:space="0" w:color="000000"/>
              <w:left w:val="nil"/>
              <w:bottom w:val="single" w:sz="4" w:space="0" w:color="000000"/>
              <w:right w:val="nil"/>
            </w:tcBorders>
            <w:shd w:val="clear" w:color="000000" w:fill="E6E6E6"/>
            <w:noWrap/>
            <w:vAlign w:val="bottom"/>
            <w:hideMark/>
          </w:tcPr>
          <w:p w14:paraId="2557E7E2" w14:textId="0376C53B" w:rsidR="00C63902" w:rsidRPr="003D71F2" w:rsidRDefault="00C63902" w:rsidP="0006476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1,300</w:t>
            </w:r>
          </w:p>
        </w:tc>
        <w:tc>
          <w:tcPr>
            <w:tcW w:w="857" w:type="dxa"/>
            <w:tcBorders>
              <w:top w:val="single" w:sz="4" w:space="0" w:color="000000"/>
              <w:left w:val="nil"/>
              <w:bottom w:val="single" w:sz="4" w:space="0" w:color="000000"/>
              <w:right w:val="nil"/>
            </w:tcBorders>
            <w:shd w:val="clear" w:color="auto" w:fill="auto"/>
            <w:noWrap/>
            <w:vAlign w:val="bottom"/>
            <w:hideMark/>
          </w:tcPr>
          <w:p w14:paraId="38678558" w14:textId="3E96A30C" w:rsidR="00C63902" w:rsidRPr="00BD2F69" w:rsidRDefault="00C63902" w:rsidP="00064764">
            <w:pPr>
              <w:spacing w:after="0" w:line="240" w:lineRule="auto"/>
              <w:jc w:val="right"/>
              <w:rPr>
                <w:rFonts w:ascii="Arial" w:hAnsi="Arial" w:cs="Arial"/>
                <w:b/>
                <w:bCs/>
                <w:i/>
                <w:iCs/>
                <w:color w:val="000000"/>
                <w:sz w:val="16"/>
                <w:szCs w:val="16"/>
              </w:rPr>
            </w:pPr>
            <w:r w:rsidRPr="00480722">
              <w:rPr>
                <w:rFonts w:ascii="Arial" w:hAnsi="Arial" w:cs="Arial"/>
                <w:b/>
                <w:bCs/>
                <w:i/>
                <w:iCs/>
                <w:color w:val="000000"/>
                <w:sz w:val="16"/>
                <w:szCs w:val="16"/>
              </w:rPr>
              <w:t>1,300</w:t>
            </w:r>
          </w:p>
        </w:tc>
        <w:tc>
          <w:tcPr>
            <w:tcW w:w="857" w:type="dxa"/>
            <w:tcBorders>
              <w:top w:val="single" w:sz="4" w:space="0" w:color="000000"/>
              <w:left w:val="nil"/>
              <w:bottom w:val="single" w:sz="4" w:space="0" w:color="000000"/>
              <w:right w:val="nil"/>
            </w:tcBorders>
            <w:shd w:val="clear" w:color="auto" w:fill="auto"/>
            <w:noWrap/>
            <w:vAlign w:val="bottom"/>
            <w:hideMark/>
          </w:tcPr>
          <w:p w14:paraId="76735C4E" w14:textId="2F987CB0" w:rsidR="00C63902" w:rsidRPr="00BD2F69" w:rsidRDefault="00C63902" w:rsidP="0006476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1,300</w:t>
            </w:r>
          </w:p>
        </w:tc>
        <w:tc>
          <w:tcPr>
            <w:tcW w:w="857" w:type="dxa"/>
            <w:tcBorders>
              <w:top w:val="single" w:sz="4" w:space="0" w:color="000000"/>
              <w:left w:val="nil"/>
              <w:bottom w:val="single" w:sz="4" w:space="0" w:color="000000"/>
              <w:right w:val="nil"/>
            </w:tcBorders>
            <w:shd w:val="clear" w:color="auto" w:fill="auto"/>
            <w:noWrap/>
            <w:vAlign w:val="bottom"/>
            <w:hideMark/>
          </w:tcPr>
          <w:p w14:paraId="42A90649" w14:textId="5E805A22" w:rsidR="00C63902" w:rsidRPr="00BD2F69" w:rsidRDefault="00C63902" w:rsidP="0006476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1,300</w:t>
            </w:r>
          </w:p>
        </w:tc>
      </w:tr>
      <w:tr w:rsidR="00C63902" w:rsidRPr="003341AF" w14:paraId="2D38EECE" w14:textId="77777777" w:rsidTr="009A11F4">
        <w:trPr>
          <w:trHeight w:val="204"/>
        </w:trPr>
        <w:tc>
          <w:tcPr>
            <w:tcW w:w="3261" w:type="dxa"/>
            <w:tcBorders>
              <w:top w:val="nil"/>
              <w:left w:val="nil"/>
              <w:right w:val="nil"/>
            </w:tcBorders>
            <w:shd w:val="clear" w:color="auto" w:fill="auto"/>
            <w:noWrap/>
            <w:vAlign w:val="center"/>
            <w:hideMark/>
          </w:tcPr>
          <w:p w14:paraId="15CAC676"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Total liabilities</w:t>
            </w:r>
          </w:p>
        </w:tc>
        <w:tc>
          <w:tcPr>
            <w:tcW w:w="850" w:type="dxa"/>
            <w:tcBorders>
              <w:top w:val="single" w:sz="4" w:space="0" w:color="auto"/>
              <w:left w:val="nil"/>
              <w:bottom w:val="single" w:sz="4" w:space="0" w:color="auto"/>
              <w:right w:val="nil"/>
            </w:tcBorders>
            <w:shd w:val="clear" w:color="auto" w:fill="auto"/>
            <w:noWrap/>
            <w:vAlign w:val="bottom"/>
            <w:hideMark/>
          </w:tcPr>
          <w:p w14:paraId="1F2C53A4" w14:textId="053FC808" w:rsidR="00C63902" w:rsidRPr="00BD2F69"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4,877</w:t>
            </w:r>
          </w:p>
        </w:tc>
        <w:tc>
          <w:tcPr>
            <w:tcW w:w="857" w:type="dxa"/>
            <w:tcBorders>
              <w:top w:val="single" w:sz="4" w:space="0" w:color="auto"/>
              <w:left w:val="nil"/>
              <w:bottom w:val="single" w:sz="4" w:space="0" w:color="auto"/>
              <w:right w:val="nil"/>
            </w:tcBorders>
            <w:shd w:val="clear" w:color="000000" w:fill="E6E6E6"/>
            <w:noWrap/>
            <w:vAlign w:val="bottom"/>
            <w:hideMark/>
          </w:tcPr>
          <w:p w14:paraId="02918BF4" w14:textId="5589E941" w:rsidR="00C63902" w:rsidRPr="003D71F2"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4,491</w:t>
            </w:r>
          </w:p>
        </w:tc>
        <w:tc>
          <w:tcPr>
            <w:tcW w:w="857" w:type="dxa"/>
            <w:tcBorders>
              <w:top w:val="single" w:sz="4" w:space="0" w:color="auto"/>
              <w:left w:val="nil"/>
              <w:bottom w:val="single" w:sz="4" w:space="0" w:color="auto"/>
              <w:right w:val="nil"/>
            </w:tcBorders>
            <w:shd w:val="clear" w:color="auto" w:fill="auto"/>
            <w:noWrap/>
            <w:vAlign w:val="bottom"/>
            <w:hideMark/>
          </w:tcPr>
          <w:p w14:paraId="24B2CD29" w14:textId="4828AEF7" w:rsidR="00C63902" w:rsidRPr="00BD2F69" w:rsidRDefault="00C63902" w:rsidP="00064764">
            <w:pPr>
              <w:spacing w:after="0" w:line="240" w:lineRule="auto"/>
              <w:jc w:val="right"/>
              <w:rPr>
                <w:rFonts w:ascii="Arial" w:hAnsi="Arial" w:cs="Arial"/>
                <w:b/>
                <w:bCs/>
                <w:color w:val="000000"/>
                <w:sz w:val="16"/>
                <w:szCs w:val="16"/>
              </w:rPr>
            </w:pPr>
            <w:r w:rsidRPr="00480722">
              <w:rPr>
                <w:rFonts w:ascii="Arial" w:hAnsi="Arial" w:cs="Arial"/>
                <w:b/>
                <w:bCs/>
                <w:color w:val="000000"/>
                <w:sz w:val="16"/>
                <w:szCs w:val="16"/>
              </w:rPr>
              <w:t>4,093</w:t>
            </w:r>
          </w:p>
        </w:tc>
        <w:tc>
          <w:tcPr>
            <w:tcW w:w="857" w:type="dxa"/>
            <w:tcBorders>
              <w:top w:val="single" w:sz="4" w:space="0" w:color="auto"/>
              <w:left w:val="nil"/>
              <w:bottom w:val="single" w:sz="4" w:space="0" w:color="auto"/>
              <w:right w:val="nil"/>
            </w:tcBorders>
            <w:shd w:val="clear" w:color="auto" w:fill="auto"/>
            <w:noWrap/>
            <w:vAlign w:val="bottom"/>
            <w:hideMark/>
          </w:tcPr>
          <w:p w14:paraId="7A75563D" w14:textId="5FB27F14" w:rsidR="00C63902" w:rsidRPr="00BD2F69"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3,668</w:t>
            </w:r>
          </w:p>
        </w:tc>
        <w:tc>
          <w:tcPr>
            <w:tcW w:w="857" w:type="dxa"/>
            <w:tcBorders>
              <w:top w:val="single" w:sz="4" w:space="0" w:color="auto"/>
              <w:left w:val="nil"/>
              <w:bottom w:val="single" w:sz="4" w:space="0" w:color="auto"/>
              <w:right w:val="nil"/>
            </w:tcBorders>
            <w:shd w:val="clear" w:color="auto" w:fill="auto"/>
            <w:noWrap/>
            <w:vAlign w:val="bottom"/>
            <w:hideMark/>
          </w:tcPr>
          <w:p w14:paraId="027A69C9" w14:textId="298CF5E9" w:rsidR="00C63902" w:rsidRPr="00BD2F69"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3,215</w:t>
            </w:r>
          </w:p>
        </w:tc>
      </w:tr>
      <w:tr w:rsidR="00C63902" w:rsidRPr="003341AF" w14:paraId="0A048D06" w14:textId="77777777" w:rsidTr="009A11F4">
        <w:trPr>
          <w:trHeight w:val="204"/>
        </w:trPr>
        <w:tc>
          <w:tcPr>
            <w:tcW w:w="3261" w:type="dxa"/>
            <w:tcBorders>
              <w:top w:val="nil"/>
              <w:left w:val="nil"/>
              <w:right w:val="nil"/>
            </w:tcBorders>
            <w:shd w:val="clear" w:color="auto" w:fill="auto"/>
            <w:noWrap/>
            <w:vAlign w:val="center"/>
            <w:hideMark/>
          </w:tcPr>
          <w:p w14:paraId="7C2E23CF"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Net assets</w:t>
            </w:r>
          </w:p>
        </w:tc>
        <w:tc>
          <w:tcPr>
            <w:tcW w:w="850" w:type="dxa"/>
            <w:tcBorders>
              <w:top w:val="nil"/>
              <w:left w:val="nil"/>
              <w:bottom w:val="single" w:sz="4" w:space="0" w:color="auto"/>
              <w:right w:val="nil"/>
            </w:tcBorders>
            <w:shd w:val="clear" w:color="auto" w:fill="auto"/>
            <w:noWrap/>
            <w:vAlign w:val="bottom"/>
            <w:hideMark/>
          </w:tcPr>
          <w:p w14:paraId="1120BE47" w14:textId="7E43658E" w:rsidR="00C63902" w:rsidRPr="00BD2F69"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2,680</w:t>
            </w:r>
          </w:p>
        </w:tc>
        <w:tc>
          <w:tcPr>
            <w:tcW w:w="857" w:type="dxa"/>
            <w:tcBorders>
              <w:top w:val="nil"/>
              <w:left w:val="nil"/>
              <w:bottom w:val="single" w:sz="4" w:space="0" w:color="auto"/>
              <w:right w:val="nil"/>
            </w:tcBorders>
            <w:shd w:val="clear" w:color="000000" w:fill="E6E6E6"/>
            <w:noWrap/>
            <w:vAlign w:val="bottom"/>
            <w:hideMark/>
          </w:tcPr>
          <w:p w14:paraId="303069DC" w14:textId="0F19E78F" w:rsidR="00C63902" w:rsidRPr="003D71F2"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2,680</w:t>
            </w:r>
          </w:p>
        </w:tc>
        <w:tc>
          <w:tcPr>
            <w:tcW w:w="857" w:type="dxa"/>
            <w:tcBorders>
              <w:top w:val="nil"/>
              <w:left w:val="nil"/>
              <w:bottom w:val="single" w:sz="4" w:space="0" w:color="auto"/>
              <w:right w:val="nil"/>
            </w:tcBorders>
            <w:shd w:val="clear" w:color="auto" w:fill="auto"/>
            <w:noWrap/>
            <w:vAlign w:val="bottom"/>
            <w:hideMark/>
          </w:tcPr>
          <w:p w14:paraId="4C59DC03" w14:textId="3B01AD6F" w:rsidR="00C63902" w:rsidRPr="00BD2F69" w:rsidRDefault="00C63902" w:rsidP="00064764">
            <w:pPr>
              <w:spacing w:after="0" w:line="240" w:lineRule="auto"/>
              <w:jc w:val="right"/>
              <w:rPr>
                <w:rFonts w:ascii="Arial" w:hAnsi="Arial" w:cs="Arial"/>
                <w:b/>
                <w:bCs/>
                <w:color w:val="000000"/>
                <w:sz w:val="16"/>
                <w:szCs w:val="16"/>
              </w:rPr>
            </w:pPr>
            <w:r w:rsidRPr="00480722">
              <w:rPr>
                <w:rFonts w:ascii="Arial" w:hAnsi="Arial" w:cs="Arial"/>
                <w:b/>
                <w:bCs/>
                <w:color w:val="000000"/>
                <w:sz w:val="16"/>
                <w:szCs w:val="16"/>
              </w:rPr>
              <w:t>2,680</w:t>
            </w:r>
          </w:p>
        </w:tc>
        <w:tc>
          <w:tcPr>
            <w:tcW w:w="857" w:type="dxa"/>
            <w:tcBorders>
              <w:top w:val="nil"/>
              <w:left w:val="nil"/>
              <w:bottom w:val="single" w:sz="4" w:space="0" w:color="auto"/>
              <w:right w:val="nil"/>
            </w:tcBorders>
            <w:shd w:val="clear" w:color="auto" w:fill="auto"/>
            <w:noWrap/>
            <w:vAlign w:val="bottom"/>
            <w:hideMark/>
          </w:tcPr>
          <w:p w14:paraId="2E5A36AF" w14:textId="1696F638" w:rsidR="00C63902" w:rsidRPr="00BD2F69"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2,680</w:t>
            </w:r>
          </w:p>
        </w:tc>
        <w:tc>
          <w:tcPr>
            <w:tcW w:w="857" w:type="dxa"/>
            <w:tcBorders>
              <w:top w:val="nil"/>
              <w:left w:val="nil"/>
              <w:bottom w:val="single" w:sz="4" w:space="0" w:color="auto"/>
              <w:right w:val="nil"/>
            </w:tcBorders>
            <w:shd w:val="clear" w:color="auto" w:fill="auto"/>
            <w:noWrap/>
            <w:vAlign w:val="bottom"/>
            <w:hideMark/>
          </w:tcPr>
          <w:p w14:paraId="55F09803" w14:textId="1AD3EDA6" w:rsidR="00C63902" w:rsidRPr="00BD2F69" w:rsidRDefault="00C63902" w:rsidP="0006476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2,680</w:t>
            </w:r>
          </w:p>
        </w:tc>
      </w:tr>
      <w:tr w:rsidR="00C63902" w:rsidRPr="003341AF" w14:paraId="579251FE" w14:textId="77777777" w:rsidTr="009A11F4">
        <w:trPr>
          <w:trHeight w:val="204"/>
        </w:trPr>
        <w:tc>
          <w:tcPr>
            <w:tcW w:w="3261" w:type="dxa"/>
            <w:tcBorders>
              <w:top w:val="nil"/>
              <w:left w:val="nil"/>
              <w:bottom w:val="nil"/>
              <w:right w:val="nil"/>
            </w:tcBorders>
            <w:shd w:val="clear" w:color="auto" w:fill="auto"/>
            <w:noWrap/>
            <w:vAlign w:val="center"/>
            <w:hideMark/>
          </w:tcPr>
          <w:p w14:paraId="6BA2E22A" w14:textId="46C197D4" w:rsidR="00C63902" w:rsidRPr="003341AF" w:rsidRDefault="00C63902" w:rsidP="00064764">
            <w:pPr>
              <w:spacing w:before="60" w:after="0" w:line="240" w:lineRule="auto"/>
              <w:jc w:val="left"/>
              <w:rPr>
                <w:rFonts w:ascii="Arial" w:hAnsi="Arial" w:cs="Arial"/>
                <w:b/>
                <w:bCs/>
                <w:color w:val="000000"/>
                <w:sz w:val="16"/>
                <w:szCs w:val="16"/>
              </w:rPr>
            </w:pPr>
            <w:r w:rsidRPr="003341AF">
              <w:rPr>
                <w:rFonts w:ascii="Arial" w:hAnsi="Arial" w:cs="Arial"/>
                <w:b/>
                <w:bCs/>
                <w:color w:val="000000"/>
                <w:sz w:val="16"/>
                <w:szCs w:val="16"/>
              </w:rPr>
              <w:t>EQUITY</w:t>
            </w:r>
          </w:p>
        </w:tc>
        <w:tc>
          <w:tcPr>
            <w:tcW w:w="850" w:type="dxa"/>
            <w:tcBorders>
              <w:top w:val="nil"/>
              <w:left w:val="nil"/>
              <w:bottom w:val="nil"/>
              <w:right w:val="nil"/>
            </w:tcBorders>
            <w:shd w:val="clear" w:color="auto" w:fill="auto"/>
            <w:noWrap/>
            <w:vAlign w:val="bottom"/>
            <w:hideMark/>
          </w:tcPr>
          <w:p w14:paraId="62CB4DEE" w14:textId="77777777" w:rsidR="00C63902" w:rsidRPr="00BD2F69" w:rsidRDefault="00C63902" w:rsidP="0006476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2C799A39" w14:textId="48994D40" w:rsidR="00C63902" w:rsidRPr="00BD2F69" w:rsidRDefault="00C63902" w:rsidP="0006476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01E52B9" w14:textId="77777777" w:rsidR="00C63902" w:rsidRPr="00BD2F69" w:rsidRDefault="00C63902" w:rsidP="0006476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36587121" w14:textId="77777777" w:rsidR="00C63902" w:rsidRPr="00064764"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79F8C45E" w14:textId="77777777" w:rsidR="00C63902" w:rsidRPr="00064764" w:rsidRDefault="00C63902" w:rsidP="00064764">
            <w:pPr>
              <w:spacing w:after="0" w:line="240" w:lineRule="auto"/>
              <w:jc w:val="right"/>
              <w:rPr>
                <w:rFonts w:ascii="Arial" w:hAnsi="Arial" w:cs="Arial"/>
                <w:sz w:val="16"/>
                <w:szCs w:val="16"/>
              </w:rPr>
            </w:pPr>
          </w:p>
        </w:tc>
      </w:tr>
      <w:tr w:rsidR="00C63902" w:rsidRPr="003341AF" w14:paraId="2835B31A" w14:textId="77777777" w:rsidTr="009A11F4">
        <w:trPr>
          <w:trHeight w:val="204"/>
        </w:trPr>
        <w:tc>
          <w:tcPr>
            <w:tcW w:w="3261" w:type="dxa"/>
            <w:tcBorders>
              <w:top w:val="nil"/>
              <w:left w:val="nil"/>
              <w:bottom w:val="nil"/>
              <w:right w:val="nil"/>
            </w:tcBorders>
            <w:shd w:val="clear" w:color="auto" w:fill="auto"/>
            <w:noWrap/>
            <w:vAlign w:val="center"/>
            <w:hideMark/>
          </w:tcPr>
          <w:p w14:paraId="23606341"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Parent entity interest</w:t>
            </w:r>
          </w:p>
        </w:tc>
        <w:tc>
          <w:tcPr>
            <w:tcW w:w="850" w:type="dxa"/>
            <w:tcBorders>
              <w:top w:val="nil"/>
              <w:left w:val="nil"/>
              <w:bottom w:val="nil"/>
              <w:right w:val="nil"/>
            </w:tcBorders>
            <w:shd w:val="clear" w:color="auto" w:fill="auto"/>
            <w:noWrap/>
            <w:vAlign w:val="bottom"/>
            <w:hideMark/>
          </w:tcPr>
          <w:p w14:paraId="43CC7042" w14:textId="77777777" w:rsidR="00C63902" w:rsidRPr="00BD2F69" w:rsidRDefault="00C63902" w:rsidP="0006476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14FB5DEF" w14:textId="28181AC5" w:rsidR="00C63902" w:rsidRPr="00BD2F69" w:rsidRDefault="00C63902" w:rsidP="0006476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A4F5805" w14:textId="77777777" w:rsidR="00C63902" w:rsidRPr="00BD2F69" w:rsidRDefault="00C63902" w:rsidP="0006476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0F06227" w14:textId="77777777" w:rsidR="00C63902" w:rsidRPr="00064764" w:rsidRDefault="00C63902" w:rsidP="0006476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40F23DB2" w14:textId="77777777" w:rsidR="00C63902" w:rsidRPr="00064764" w:rsidRDefault="00C63902" w:rsidP="00064764">
            <w:pPr>
              <w:spacing w:after="0" w:line="240" w:lineRule="auto"/>
              <w:jc w:val="right"/>
              <w:rPr>
                <w:rFonts w:ascii="Arial" w:hAnsi="Arial" w:cs="Arial"/>
                <w:sz w:val="16"/>
                <w:szCs w:val="16"/>
              </w:rPr>
            </w:pPr>
          </w:p>
        </w:tc>
      </w:tr>
      <w:tr w:rsidR="00C63902" w:rsidRPr="003341AF" w14:paraId="33F0CE4C" w14:textId="77777777" w:rsidTr="009A11F4">
        <w:trPr>
          <w:trHeight w:val="204"/>
        </w:trPr>
        <w:tc>
          <w:tcPr>
            <w:tcW w:w="3261" w:type="dxa"/>
            <w:tcBorders>
              <w:top w:val="nil"/>
              <w:left w:val="nil"/>
              <w:right w:val="nil"/>
            </w:tcBorders>
            <w:shd w:val="clear" w:color="auto" w:fill="auto"/>
            <w:vAlign w:val="center"/>
            <w:hideMark/>
          </w:tcPr>
          <w:p w14:paraId="2F24B354" w14:textId="45ADB52B"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Retained surplus (accumulated</w:t>
            </w:r>
            <w:r w:rsidR="00DD1D6A">
              <w:rPr>
                <w:rFonts w:ascii="Arial" w:hAnsi="Arial" w:cs="Arial"/>
                <w:color w:val="000000"/>
                <w:sz w:val="16"/>
                <w:szCs w:val="16"/>
              </w:rPr>
              <w:t xml:space="preserve"> </w:t>
            </w:r>
            <w:r w:rsidRPr="003341AF">
              <w:rPr>
                <w:rFonts w:ascii="Arial" w:hAnsi="Arial" w:cs="Arial"/>
                <w:color w:val="000000"/>
                <w:sz w:val="16"/>
                <w:szCs w:val="16"/>
              </w:rPr>
              <w:t>deficit)</w:t>
            </w:r>
          </w:p>
        </w:tc>
        <w:tc>
          <w:tcPr>
            <w:tcW w:w="850" w:type="dxa"/>
            <w:tcBorders>
              <w:top w:val="nil"/>
              <w:left w:val="nil"/>
              <w:bottom w:val="nil"/>
              <w:right w:val="nil"/>
            </w:tcBorders>
            <w:shd w:val="clear" w:color="auto" w:fill="auto"/>
            <w:noWrap/>
            <w:vAlign w:val="bottom"/>
            <w:hideMark/>
          </w:tcPr>
          <w:p w14:paraId="2E0070EA" w14:textId="6C13A10E"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2,680</w:t>
            </w:r>
          </w:p>
        </w:tc>
        <w:tc>
          <w:tcPr>
            <w:tcW w:w="857" w:type="dxa"/>
            <w:tcBorders>
              <w:top w:val="nil"/>
              <w:left w:val="nil"/>
              <w:bottom w:val="nil"/>
              <w:right w:val="nil"/>
            </w:tcBorders>
            <w:shd w:val="clear" w:color="000000" w:fill="E6E6E6"/>
            <w:noWrap/>
            <w:vAlign w:val="bottom"/>
            <w:hideMark/>
          </w:tcPr>
          <w:p w14:paraId="61F87ADA" w14:textId="022A3244" w:rsidR="00C63902" w:rsidRPr="00BD2F69" w:rsidRDefault="00C63902" w:rsidP="001D1BCB">
            <w:pPr>
              <w:spacing w:after="0" w:line="240" w:lineRule="auto"/>
              <w:jc w:val="right"/>
              <w:rPr>
                <w:rFonts w:ascii="Arial" w:hAnsi="Arial" w:cs="Arial"/>
                <w:sz w:val="16"/>
                <w:szCs w:val="16"/>
              </w:rPr>
            </w:pPr>
            <w:r w:rsidRPr="00BD2F69">
              <w:rPr>
                <w:rFonts w:ascii="Arial" w:hAnsi="Arial" w:cs="Arial"/>
                <w:sz w:val="16"/>
                <w:szCs w:val="16"/>
              </w:rPr>
              <w:t>2,680</w:t>
            </w:r>
          </w:p>
        </w:tc>
        <w:tc>
          <w:tcPr>
            <w:tcW w:w="857" w:type="dxa"/>
            <w:tcBorders>
              <w:top w:val="nil"/>
              <w:left w:val="nil"/>
              <w:bottom w:val="nil"/>
              <w:right w:val="nil"/>
            </w:tcBorders>
            <w:shd w:val="clear" w:color="auto" w:fill="auto"/>
            <w:noWrap/>
            <w:vAlign w:val="bottom"/>
            <w:hideMark/>
          </w:tcPr>
          <w:p w14:paraId="148DDFBB" w14:textId="048394A0" w:rsidR="00C63902" w:rsidRPr="00BD2F69" w:rsidRDefault="00C63902" w:rsidP="008D398F">
            <w:pPr>
              <w:spacing w:after="0" w:line="240" w:lineRule="auto"/>
              <w:jc w:val="right"/>
              <w:rPr>
                <w:rFonts w:ascii="Arial" w:hAnsi="Arial" w:cs="Arial"/>
                <w:sz w:val="16"/>
                <w:szCs w:val="16"/>
              </w:rPr>
            </w:pPr>
            <w:r w:rsidRPr="00BD2F69">
              <w:rPr>
                <w:rFonts w:ascii="Arial" w:hAnsi="Arial" w:cs="Arial"/>
                <w:sz w:val="16"/>
                <w:szCs w:val="16"/>
              </w:rPr>
              <w:t>2,680</w:t>
            </w:r>
          </w:p>
        </w:tc>
        <w:tc>
          <w:tcPr>
            <w:tcW w:w="857" w:type="dxa"/>
            <w:tcBorders>
              <w:top w:val="nil"/>
              <w:left w:val="nil"/>
              <w:bottom w:val="nil"/>
              <w:right w:val="nil"/>
            </w:tcBorders>
            <w:shd w:val="clear" w:color="auto" w:fill="auto"/>
            <w:noWrap/>
            <w:vAlign w:val="bottom"/>
            <w:hideMark/>
          </w:tcPr>
          <w:p w14:paraId="21CCB6F1" w14:textId="48106E34" w:rsidR="00C63902" w:rsidRPr="003D71F2" w:rsidRDefault="00C63902" w:rsidP="008D398F">
            <w:pPr>
              <w:spacing w:after="0" w:line="240" w:lineRule="auto"/>
              <w:jc w:val="right"/>
              <w:rPr>
                <w:rFonts w:ascii="Arial" w:hAnsi="Arial" w:cs="Arial"/>
                <w:sz w:val="16"/>
                <w:szCs w:val="16"/>
              </w:rPr>
            </w:pPr>
            <w:r w:rsidRPr="00BD2F69">
              <w:rPr>
                <w:rFonts w:ascii="Arial" w:hAnsi="Arial" w:cs="Arial"/>
                <w:sz w:val="16"/>
                <w:szCs w:val="16"/>
              </w:rPr>
              <w:t>2,680</w:t>
            </w:r>
          </w:p>
        </w:tc>
        <w:tc>
          <w:tcPr>
            <w:tcW w:w="857" w:type="dxa"/>
            <w:tcBorders>
              <w:top w:val="nil"/>
              <w:left w:val="nil"/>
              <w:bottom w:val="nil"/>
              <w:right w:val="nil"/>
            </w:tcBorders>
            <w:shd w:val="clear" w:color="auto" w:fill="auto"/>
            <w:noWrap/>
            <w:vAlign w:val="bottom"/>
            <w:hideMark/>
          </w:tcPr>
          <w:p w14:paraId="45930342" w14:textId="4F5936DB" w:rsidR="00C63902" w:rsidRPr="00BD2F69" w:rsidRDefault="00C63902" w:rsidP="00790E04">
            <w:pPr>
              <w:spacing w:after="0" w:line="240" w:lineRule="auto"/>
              <w:jc w:val="right"/>
              <w:rPr>
                <w:rFonts w:ascii="Arial" w:hAnsi="Arial" w:cs="Arial"/>
                <w:sz w:val="16"/>
                <w:szCs w:val="16"/>
              </w:rPr>
            </w:pPr>
            <w:r w:rsidRPr="00480722">
              <w:rPr>
                <w:rFonts w:ascii="Arial" w:hAnsi="Arial" w:cs="Arial"/>
                <w:sz w:val="16"/>
                <w:szCs w:val="16"/>
              </w:rPr>
              <w:t>2,680</w:t>
            </w:r>
          </w:p>
        </w:tc>
      </w:tr>
      <w:tr w:rsidR="00C63902" w:rsidRPr="003341AF" w14:paraId="4D8A5D64" w14:textId="77777777" w:rsidTr="00326B26">
        <w:trPr>
          <w:trHeight w:val="204"/>
        </w:trPr>
        <w:tc>
          <w:tcPr>
            <w:tcW w:w="3261" w:type="dxa"/>
            <w:tcBorders>
              <w:top w:val="nil"/>
              <w:left w:val="nil"/>
              <w:bottom w:val="nil"/>
              <w:right w:val="nil"/>
            </w:tcBorders>
            <w:shd w:val="clear" w:color="auto" w:fill="auto"/>
            <w:noWrap/>
            <w:vAlign w:val="center"/>
            <w:hideMark/>
          </w:tcPr>
          <w:p w14:paraId="382712DA" w14:textId="77777777" w:rsidR="00C63902" w:rsidRPr="003341AF" w:rsidRDefault="00C63902"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parent entity interest</w:t>
            </w:r>
          </w:p>
        </w:tc>
        <w:tc>
          <w:tcPr>
            <w:tcW w:w="850" w:type="dxa"/>
            <w:tcBorders>
              <w:top w:val="single" w:sz="4" w:space="0" w:color="000000"/>
              <w:left w:val="nil"/>
              <w:bottom w:val="single" w:sz="4" w:space="0" w:color="000000"/>
              <w:right w:val="nil"/>
            </w:tcBorders>
            <w:shd w:val="clear" w:color="auto" w:fill="auto"/>
            <w:noWrap/>
            <w:vAlign w:val="bottom"/>
            <w:hideMark/>
          </w:tcPr>
          <w:p w14:paraId="4E0AF57C" w14:textId="118DDE84" w:rsidR="00C63902" w:rsidRPr="00BD2F69" w:rsidRDefault="00C63902" w:rsidP="001D1BCB">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2,680</w:t>
            </w:r>
          </w:p>
        </w:tc>
        <w:tc>
          <w:tcPr>
            <w:tcW w:w="857" w:type="dxa"/>
            <w:tcBorders>
              <w:top w:val="single" w:sz="4" w:space="0" w:color="000000"/>
              <w:left w:val="nil"/>
              <w:bottom w:val="single" w:sz="4" w:space="0" w:color="000000"/>
              <w:right w:val="nil"/>
            </w:tcBorders>
            <w:shd w:val="clear" w:color="000000" w:fill="E6E6E6"/>
            <w:noWrap/>
            <w:vAlign w:val="bottom"/>
            <w:hideMark/>
          </w:tcPr>
          <w:p w14:paraId="15786A0B" w14:textId="4D2153E4" w:rsidR="00C63902" w:rsidRPr="00BD2F69" w:rsidRDefault="00C63902" w:rsidP="001D1BCB">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2,680</w:t>
            </w:r>
          </w:p>
        </w:tc>
        <w:tc>
          <w:tcPr>
            <w:tcW w:w="857" w:type="dxa"/>
            <w:tcBorders>
              <w:top w:val="single" w:sz="4" w:space="0" w:color="000000"/>
              <w:left w:val="nil"/>
              <w:bottom w:val="single" w:sz="4" w:space="0" w:color="000000"/>
              <w:right w:val="nil"/>
            </w:tcBorders>
            <w:shd w:val="clear" w:color="auto" w:fill="auto"/>
            <w:noWrap/>
            <w:vAlign w:val="bottom"/>
            <w:hideMark/>
          </w:tcPr>
          <w:p w14:paraId="4788F339" w14:textId="3DC97EC5" w:rsidR="00C63902" w:rsidRPr="00BD2F69" w:rsidRDefault="00C63902" w:rsidP="008D398F">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2,680</w:t>
            </w:r>
          </w:p>
        </w:tc>
        <w:tc>
          <w:tcPr>
            <w:tcW w:w="857" w:type="dxa"/>
            <w:tcBorders>
              <w:top w:val="single" w:sz="4" w:space="0" w:color="000000"/>
              <w:left w:val="nil"/>
              <w:bottom w:val="single" w:sz="4" w:space="0" w:color="000000"/>
              <w:right w:val="nil"/>
            </w:tcBorders>
            <w:shd w:val="clear" w:color="auto" w:fill="auto"/>
            <w:noWrap/>
            <w:vAlign w:val="bottom"/>
            <w:hideMark/>
          </w:tcPr>
          <w:p w14:paraId="6BE7B9A1" w14:textId="49C72392" w:rsidR="00C63902" w:rsidRPr="003D71F2" w:rsidRDefault="00C63902" w:rsidP="00790E0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2,680</w:t>
            </w:r>
          </w:p>
        </w:tc>
        <w:tc>
          <w:tcPr>
            <w:tcW w:w="857" w:type="dxa"/>
            <w:tcBorders>
              <w:top w:val="single" w:sz="4" w:space="0" w:color="000000"/>
              <w:left w:val="nil"/>
              <w:bottom w:val="single" w:sz="4" w:space="0" w:color="000000"/>
              <w:right w:val="nil"/>
            </w:tcBorders>
            <w:shd w:val="clear" w:color="auto" w:fill="auto"/>
            <w:noWrap/>
            <w:vAlign w:val="bottom"/>
            <w:hideMark/>
          </w:tcPr>
          <w:p w14:paraId="33C95338" w14:textId="1AA1C29F" w:rsidR="00C63902" w:rsidRPr="00BD2F69" w:rsidRDefault="00C63902" w:rsidP="00BD2F69">
            <w:pPr>
              <w:spacing w:after="0" w:line="240" w:lineRule="auto"/>
              <w:jc w:val="right"/>
              <w:rPr>
                <w:rFonts w:ascii="Arial" w:hAnsi="Arial" w:cs="Arial"/>
                <w:b/>
                <w:bCs/>
                <w:i/>
                <w:iCs/>
                <w:color w:val="000000"/>
                <w:sz w:val="16"/>
                <w:szCs w:val="16"/>
              </w:rPr>
            </w:pPr>
            <w:r w:rsidRPr="00480722">
              <w:rPr>
                <w:rFonts w:ascii="Arial" w:hAnsi="Arial" w:cs="Arial"/>
                <w:b/>
                <w:bCs/>
                <w:i/>
                <w:iCs/>
                <w:color w:val="000000"/>
                <w:sz w:val="16"/>
                <w:szCs w:val="16"/>
              </w:rPr>
              <w:t>2,680</w:t>
            </w:r>
          </w:p>
        </w:tc>
      </w:tr>
      <w:tr w:rsidR="00326B26" w:rsidRPr="003341AF" w14:paraId="527B6F4C" w14:textId="77777777" w:rsidTr="009A11F4">
        <w:trPr>
          <w:trHeight w:val="204"/>
        </w:trPr>
        <w:tc>
          <w:tcPr>
            <w:tcW w:w="3261" w:type="dxa"/>
            <w:tcBorders>
              <w:top w:val="nil"/>
              <w:left w:val="nil"/>
              <w:bottom w:val="single" w:sz="4" w:space="0" w:color="auto"/>
              <w:right w:val="nil"/>
            </w:tcBorders>
            <w:shd w:val="clear" w:color="auto" w:fill="auto"/>
            <w:noWrap/>
            <w:vAlign w:val="center"/>
          </w:tcPr>
          <w:p w14:paraId="0BBDA3FA" w14:textId="6BDA02DE" w:rsidR="00326B26" w:rsidRPr="003341AF" w:rsidRDefault="00326B26" w:rsidP="00326B26">
            <w:pPr>
              <w:spacing w:after="0" w:line="240" w:lineRule="auto"/>
              <w:jc w:val="left"/>
              <w:rPr>
                <w:rFonts w:ascii="Arial" w:hAnsi="Arial" w:cs="Arial"/>
                <w:b/>
                <w:bCs/>
                <w:i/>
                <w:iCs/>
                <w:color w:val="000000"/>
                <w:sz w:val="16"/>
                <w:szCs w:val="16"/>
              </w:rPr>
            </w:pPr>
            <w:r>
              <w:rPr>
                <w:rFonts w:ascii="Arial" w:hAnsi="Arial" w:cs="Arial"/>
                <w:b/>
                <w:bCs/>
                <w:color w:val="000000"/>
                <w:sz w:val="16"/>
                <w:szCs w:val="16"/>
              </w:rPr>
              <w:t>Total equity</w:t>
            </w:r>
          </w:p>
        </w:tc>
        <w:tc>
          <w:tcPr>
            <w:tcW w:w="850" w:type="dxa"/>
            <w:tcBorders>
              <w:top w:val="single" w:sz="4" w:space="0" w:color="000000"/>
              <w:left w:val="nil"/>
              <w:bottom w:val="single" w:sz="4" w:space="0" w:color="000000"/>
              <w:right w:val="nil"/>
            </w:tcBorders>
            <w:shd w:val="clear" w:color="auto" w:fill="auto"/>
            <w:noWrap/>
            <w:vAlign w:val="bottom"/>
          </w:tcPr>
          <w:p w14:paraId="0548638C" w14:textId="57377B31" w:rsidR="00326B26" w:rsidRPr="00326B26" w:rsidRDefault="00326B26" w:rsidP="00326B26">
            <w:pPr>
              <w:spacing w:after="0" w:line="240" w:lineRule="auto"/>
              <w:jc w:val="right"/>
              <w:rPr>
                <w:rFonts w:ascii="Arial" w:hAnsi="Arial" w:cs="Arial"/>
                <w:b/>
                <w:bCs/>
                <w:iCs/>
                <w:color w:val="000000"/>
                <w:sz w:val="16"/>
                <w:szCs w:val="16"/>
              </w:rPr>
            </w:pPr>
            <w:r w:rsidRPr="00326B26">
              <w:rPr>
                <w:rFonts w:ascii="Arial" w:hAnsi="Arial" w:cs="Arial"/>
                <w:b/>
                <w:bCs/>
                <w:iCs/>
                <w:color w:val="000000"/>
                <w:sz w:val="16"/>
                <w:szCs w:val="16"/>
              </w:rPr>
              <w:t>2,680</w:t>
            </w:r>
          </w:p>
        </w:tc>
        <w:tc>
          <w:tcPr>
            <w:tcW w:w="857" w:type="dxa"/>
            <w:tcBorders>
              <w:top w:val="single" w:sz="4" w:space="0" w:color="000000"/>
              <w:left w:val="nil"/>
              <w:bottom w:val="single" w:sz="4" w:space="0" w:color="000000"/>
              <w:right w:val="nil"/>
            </w:tcBorders>
            <w:shd w:val="clear" w:color="000000" w:fill="E6E6E6"/>
            <w:noWrap/>
            <w:vAlign w:val="bottom"/>
          </w:tcPr>
          <w:p w14:paraId="451FAE67" w14:textId="067DE0CB" w:rsidR="00326B26" w:rsidRPr="00326B26" w:rsidRDefault="00326B26" w:rsidP="00326B26">
            <w:pPr>
              <w:spacing w:after="0" w:line="240" w:lineRule="auto"/>
              <w:jc w:val="right"/>
              <w:rPr>
                <w:rFonts w:ascii="Arial" w:hAnsi="Arial" w:cs="Arial"/>
                <w:b/>
                <w:bCs/>
                <w:iCs/>
                <w:color w:val="000000"/>
                <w:sz w:val="16"/>
                <w:szCs w:val="16"/>
              </w:rPr>
            </w:pPr>
            <w:r w:rsidRPr="00326B26">
              <w:rPr>
                <w:rFonts w:ascii="Arial" w:hAnsi="Arial" w:cs="Arial"/>
                <w:b/>
                <w:bCs/>
                <w:iCs/>
                <w:color w:val="000000"/>
                <w:sz w:val="16"/>
                <w:szCs w:val="16"/>
              </w:rPr>
              <w:t>2,680</w:t>
            </w:r>
          </w:p>
        </w:tc>
        <w:tc>
          <w:tcPr>
            <w:tcW w:w="857" w:type="dxa"/>
            <w:tcBorders>
              <w:top w:val="single" w:sz="4" w:space="0" w:color="000000"/>
              <w:left w:val="nil"/>
              <w:bottom w:val="single" w:sz="4" w:space="0" w:color="000000"/>
              <w:right w:val="nil"/>
            </w:tcBorders>
            <w:shd w:val="clear" w:color="auto" w:fill="auto"/>
            <w:noWrap/>
            <w:vAlign w:val="bottom"/>
          </w:tcPr>
          <w:p w14:paraId="6B727643" w14:textId="262584FE" w:rsidR="00326B26" w:rsidRPr="00326B26" w:rsidRDefault="00326B26" w:rsidP="00326B26">
            <w:pPr>
              <w:spacing w:after="0" w:line="240" w:lineRule="auto"/>
              <w:jc w:val="right"/>
              <w:rPr>
                <w:rFonts w:ascii="Arial" w:hAnsi="Arial" w:cs="Arial"/>
                <w:b/>
                <w:bCs/>
                <w:iCs/>
                <w:color w:val="000000"/>
                <w:sz w:val="16"/>
                <w:szCs w:val="16"/>
              </w:rPr>
            </w:pPr>
            <w:r w:rsidRPr="00326B26">
              <w:rPr>
                <w:rFonts w:ascii="Arial" w:hAnsi="Arial" w:cs="Arial"/>
                <w:b/>
                <w:bCs/>
                <w:iCs/>
                <w:color w:val="000000"/>
                <w:sz w:val="16"/>
                <w:szCs w:val="16"/>
              </w:rPr>
              <w:t>2,680</w:t>
            </w:r>
          </w:p>
        </w:tc>
        <w:tc>
          <w:tcPr>
            <w:tcW w:w="857" w:type="dxa"/>
            <w:tcBorders>
              <w:top w:val="single" w:sz="4" w:space="0" w:color="000000"/>
              <w:left w:val="nil"/>
              <w:bottom w:val="single" w:sz="4" w:space="0" w:color="000000"/>
              <w:right w:val="nil"/>
            </w:tcBorders>
            <w:shd w:val="clear" w:color="auto" w:fill="auto"/>
            <w:noWrap/>
            <w:vAlign w:val="bottom"/>
          </w:tcPr>
          <w:p w14:paraId="212FE82B" w14:textId="086BD56D" w:rsidR="00326B26" w:rsidRPr="00326B26" w:rsidRDefault="00326B26" w:rsidP="00326B26">
            <w:pPr>
              <w:spacing w:after="0" w:line="240" w:lineRule="auto"/>
              <w:jc w:val="right"/>
              <w:rPr>
                <w:rFonts w:ascii="Arial" w:hAnsi="Arial" w:cs="Arial"/>
                <w:b/>
                <w:bCs/>
                <w:iCs/>
                <w:color w:val="000000"/>
                <w:sz w:val="16"/>
                <w:szCs w:val="16"/>
              </w:rPr>
            </w:pPr>
            <w:r w:rsidRPr="00326B26">
              <w:rPr>
                <w:rFonts w:ascii="Arial" w:hAnsi="Arial" w:cs="Arial"/>
                <w:b/>
                <w:bCs/>
                <w:iCs/>
                <w:color w:val="000000"/>
                <w:sz w:val="16"/>
                <w:szCs w:val="16"/>
              </w:rPr>
              <w:t>2,680</w:t>
            </w:r>
          </w:p>
        </w:tc>
        <w:tc>
          <w:tcPr>
            <w:tcW w:w="857" w:type="dxa"/>
            <w:tcBorders>
              <w:top w:val="single" w:sz="4" w:space="0" w:color="000000"/>
              <w:left w:val="nil"/>
              <w:bottom w:val="single" w:sz="4" w:space="0" w:color="000000"/>
              <w:right w:val="nil"/>
            </w:tcBorders>
            <w:shd w:val="clear" w:color="auto" w:fill="auto"/>
            <w:noWrap/>
            <w:vAlign w:val="bottom"/>
          </w:tcPr>
          <w:p w14:paraId="45EA8EF7" w14:textId="2BE75F36" w:rsidR="00326B26" w:rsidRPr="00326B26" w:rsidRDefault="00326B26" w:rsidP="00326B26">
            <w:pPr>
              <w:spacing w:after="0" w:line="240" w:lineRule="auto"/>
              <w:jc w:val="right"/>
              <w:rPr>
                <w:rFonts w:ascii="Arial" w:hAnsi="Arial" w:cs="Arial"/>
                <w:b/>
                <w:bCs/>
                <w:iCs/>
                <w:color w:val="000000"/>
                <w:sz w:val="16"/>
                <w:szCs w:val="16"/>
              </w:rPr>
            </w:pPr>
            <w:r w:rsidRPr="00326B26">
              <w:rPr>
                <w:rFonts w:ascii="Arial" w:hAnsi="Arial" w:cs="Arial"/>
                <w:b/>
                <w:bCs/>
                <w:iCs/>
                <w:color w:val="000000"/>
                <w:sz w:val="16"/>
                <w:szCs w:val="16"/>
              </w:rPr>
              <w:t>2,680</w:t>
            </w:r>
          </w:p>
        </w:tc>
      </w:tr>
    </w:tbl>
    <w:p w14:paraId="502D9B32" w14:textId="77777777" w:rsidR="00C63902" w:rsidRPr="00597BD1" w:rsidRDefault="00C63902" w:rsidP="00D36722">
      <w:pPr>
        <w:pStyle w:val="ChartandTableFootnoteAlpha"/>
        <w:numPr>
          <w:ilvl w:val="0"/>
          <w:numId w:val="0"/>
        </w:numPr>
        <w:spacing w:before="60"/>
        <w:jc w:val="left"/>
        <w:rPr>
          <w:rFonts w:cs="Arial"/>
        </w:rPr>
      </w:pPr>
      <w:r w:rsidRPr="00597BD1">
        <w:rPr>
          <w:rFonts w:cs="Arial"/>
        </w:rPr>
        <w:t>Prepared on Australian Accounting Standards basis.</w:t>
      </w:r>
    </w:p>
    <w:p w14:paraId="1A2B4193" w14:textId="77777777" w:rsidR="00326B26" w:rsidRDefault="00326B26" w:rsidP="00C63902">
      <w:pPr>
        <w:pStyle w:val="TableHeading"/>
      </w:pPr>
    </w:p>
    <w:p w14:paraId="3DC4B391" w14:textId="7CAD29D8" w:rsidR="00C63902" w:rsidRPr="00A00283" w:rsidRDefault="00C63902" w:rsidP="00C63902">
      <w:pPr>
        <w:pStyle w:val="TableHeading"/>
      </w:pPr>
      <w:r w:rsidRPr="00AD42E2">
        <w:t>Table 3.</w:t>
      </w:r>
      <w:r>
        <w:rPr>
          <w:lang w:val="en-US"/>
        </w:rPr>
        <w:t>4</w:t>
      </w:r>
      <w:r w:rsidRPr="00AD42E2">
        <w:t xml:space="preserve">: </w:t>
      </w:r>
      <w:r w:rsidR="008863D9">
        <w:t>Department</w:t>
      </w:r>
      <w:r w:rsidRPr="00AD42E2">
        <w:t>al statement of changes in equity — summary of</w:t>
      </w:r>
      <w:r>
        <w:t xml:space="preserve"> movement (</w:t>
      </w:r>
      <w:r w:rsidR="00377489">
        <w:t>2021-22 Budget year</w:t>
      </w:r>
      <w:r w:rsidRPr="00D30CBA">
        <w:t>)</w:t>
      </w:r>
    </w:p>
    <w:tbl>
      <w:tblPr>
        <w:tblW w:w="7513" w:type="dxa"/>
        <w:tblLook w:val="04A0" w:firstRow="1" w:lastRow="0" w:firstColumn="1" w:lastColumn="0" w:noHBand="0" w:noVBand="1"/>
      </w:tblPr>
      <w:tblGrid>
        <w:gridCol w:w="5387"/>
        <w:gridCol w:w="992"/>
        <w:gridCol w:w="1134"/>
      </w:tblGrid>
      <w:tr w:rsidR="0031264E" w:rsidRPr="003341AF" w14:paraId="5096C885" w14:textId="77777777" w:rsidTr="00574131">
        <w:trPr>
          <w:trHeight w:val="651"/>
        </w:trPr>
        <w:tc>
          <w:tcPr>
            <w:tcW w:w="5387" w:type="dxa"/>
            <w:tcBorders>
              <w:top w:val="single" w:sz="4" w:space="0" w:color="auto"/>
              <w:left w:val="nil"/>
              <w:bottom w:val="nil"/>
              <w:right w:val="nil"/>
            </w:tcBorders>
            <w:shd w:val="clear" w:color="auto" w:fill="auto"/>
            <w:noWrap/>
            <w:vAlign w:val="center"/>
            <w:hideMark/>
          </w:tcPr>
          <w:p w14:paraId="3E2999DE" w14:textId="77777777" w:rsidR="0031264E" w:rsidRPr="003341AF" w:rsidRDefault="0031264E" w:rsidP="00C63902">
            <w:pPr>
              <w:spacing w:after="0" w:line="240" w:lineRule="auto"/>
              <w:jc w:val="right"/>
              <w:rPr>
                <w:rFonts w:ascii="Arial" w:hAnsi="Arial" w:cs="Arial"/>
                <w:color w:val="000000"/>
                <w:sz w:val="16"/>
                <w:szCs w:val="16"/>
              </w:rPr>
            </w:pPr>
            <w:r w:rsidRPr="003341AF">
              <w:rPr>
                <w:rFonts w:ascii="Arial" w:hAnsi="Arial" w:cs="Arial"/>
                <w:color w:val="000000"/>
                <w:sz w:val="16"/>
                <w:szCs w:val="16"/>
              </w:rPr>
              <w:t> </w:t>
            </w:r>
          </w:p>
        </w:tc>
        <w:tc>
          <w:tcPr>
            <w:tcW w:w="992" w:type="dxa"/>
            <w:tcBorders>
              <w:top w:val="single" w:sz="4" w:space="0" w:color="auto"/>
              <w:left w:val="nil"/>
              <w:bottom w:val="single" w:sz="4" w:space="0" w:color="000000"/>
              <w:right w:val="nil"/>
            </w:tcBorders>
            <w:shd w:val="clear" w:color="auto" w:fill="auto"/>
            <w:hideMark/>
          </w:tcPr>
          <w:p w14:paraId="5D00AB78" w14:textId="77777777" w:rsidR="0031264E" w:rsidRPr="003341AF" w:rsidRDefault="0031264E" w:rsidP="00C63902">
            <w:pPr>
              <w:spacing w:after="0" w:line="240" w:lineRule="auto"/>
              <w:jc w:val="right"/>
              <w:rPr>
                <w:rFonts w:ascii="Arial" w:hAnsi="Arial" w:cs="Arial"/>
                <w:color w:val="000000"/>
                <w:sz w:val="16"/>
                <w:szCs w:val="16"/>
              </w:rPr>
            </w:pPr>
            <w:r w:rsidRPr="003341AF">
              <w:rPr>
                <w:rFonts w:ascii="Arial" w:hAnsi="Arial" w:cs="Arial"/>
                <w:color w:val="000000"/>
                <w:sz w:val="16"/>
                <w:szCs w:val="16"/>
              </w:rPr>
              <w:t>Retained</w:t>
            </w:r>
            <w:r w:rsidRPr="003341AF">
              <w:rPr>
                <w:rFonts w:ascii="Arial" w:hAnsi="Arial" w:cs="Arial"/>
                <w:color w:val="000000"/>
                <w:sz w:val="16"/>
                <w:szCs w:val="16"/>
              </w:rPr>
              <w:br/>
              <w:t>earnings</w:t>
            </w:r>
            <w:r w:rsidRPr="003341AF">
              <w:rPr>
                <w:rFonts w:ascii="Arial" w:hAnsi="Arial" w:cs="Arial"/>
                <w:color w:val="000000"/>
                <w:sz w:val="16"/>
                <w:szCs w:val="16"/>
              </w:rPr>
              <w:br/>
            </w:r>
            <w:r w:rsidRPr="003341AF">
              <w:rPr>
                <w:rFonts w:ascii="Arial" w:hAnsi="Arial" w:cs="Arial"/>
                <w:color w:val="000000"/>
                <w:sz w:val="16"/>
                <w:szCs w:val="16"/>
              </w:rPr>
              <w:br/>
              <w:t>$'000</w:t>
            </w:r>
          </w:p>
        </w:tc>
        <w:tc>
          <w:tcPr>
            <w:tcW w:w="1134" w:type="dxa"/>
            <w:tcBorders>
              <w:top w:val="single" w:sz="4" w:space="0" w:color="auto"/>
              <w:left w:val="nil"/>
              <w:bottom w:val="single" w:sz="4" w:space="0" w:color="000000"/>
              <w:right w:val="nil"/>
            </w:tcBorders>
            <w:shd w:val="clear" w:color="auto" w:fill="auto"/>
            <w:hideMark/>
          </w:tcPr>
          <w:p w14:paraId="7709DE01" w14:textId="77777777" w:rsidR="0031264E" w:rsidRPr="003341AF" w:rsidRDefault="0031264E" w:rsidP="00C63902">
            <w:pPr>
              <w:spacing w:after="0" w:line="240" w:lineRule="auto"/>
              <w:jc w:val="right"/>
              <w:rPr>
                <w:rFonts w:ascii="Arial" w:hAnsi="Arial" w:cs="Arial"/>
                <w:color w:val="000000"/>
                <w:sz w:val="16"/>
                <w:szCs w:val="16"/>
              </w:rPr>
            </w:pPr>
            <w:r w:rsidRPr="003341AF">
              <w:rPr>
                <w:rFonts w:ascii="Arial" w:hAnsi="Arial" w:cs="Arial"/>
                <w:color w:val="000000"/>
                <w:sz w:val="16"/>
                <w:szCs w:val="16"/>
              </w:rPr>
              <w:t>Total</w:t>
            </w:r>
            <w:r w:rsidRPr="003341AF">
              <w:rPr>
                <w:rFonts w:ascii="Arial" w:hAnsi="Arial" w:cs="Arial"/>
                <w:color w:val="000000"/>
                <w:sz w:val="16"/>
                <w:szCs w:val="16"/>
              </w:rPr>
              <w:br/>
              <w:t xml:space="preserve">equity </w:t>
            </w:r>
            <w:r w:rsidRPr="003341AF">
              <w:rPr>
                <w:rFonts w:ascii="Arial" w:hAnsi="Arial" w:cs="Arial"/>
                <w:color w:val="000000"/>
                <w:sz w:val="16"/>
                <w:szCs w:val="16"/>
              </w:rPr>
              <w:br/>
            </w:r>
            <w:r w:rsidRPr="003341AF">
              <w:rPr>
                <w:rFonts w:ascii="Arial" w:hAnsi="Arial" w:cs="Arial"/>
                <w:color w:val="000000"/>
                <w:sz w:val="16"/>
                <w:szCs w:val="16"/>
              </w:rPr>
              <w:br/>
              <w:t>$'000</w:t>
            </w:r>
          </w:p>
        </w:tc>
      </w:tr>
      <w:tr w:rsidR="0031264E" w:rsidRPr="003341AF" w14:paraId="26B5FA9C" w14:textId="77777777" w:rsidTr="00574131">
        <w:trPr>
          <w:trHeight w:val="204"/>
        </w:trPr>
        <w:tc>
          <w:tcPr>
            <w:tcW w:w="5387" w:type="dxa"/>
            <w:tcBorders>
              <w:top w:val="nil"/>
              <w:left w:val="nil"/>
              <w:bottom w:val="nil"/>
              <w:right w:val="nil"/>
            </w:tcBorders>
            <w:shd w:val="clear" w:color="auto" w:fill="auto"/>
            <w:vAlign w:val="center"/>
            <w:hideMark/>
          </w:tcPr>
          <w:p w14:paraId="43976F68" w14:textId="77777777" w:rsidR="0031264E" w:rsidRPr="003341AF" w:rsidRDefault="0031264E"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Opening balance as at 1 July 2021</w:t>
            </w:r>
          </w:p>
        </w:tc>
        <w:tc>
          <w:tcPr>
            <w:tcW w:w="992" w:type="dxa"/>
            <w:tcBorders>
              <w:top w:val="nil"/>
              <w:left w:val="nil"/>
              <w:bottom w:val="nil"/>
              <w:right w:val="nil"/>
            </w:tcBorders>
            <w:shd w:val="clear" w:color="auto" w:fill="auto"/>
            <w:noWrap/>
            <w:vAlign w:val="bottom"/>
            <w:hideMark/>
          </w:tcPr>
          <w:p w14:paraId="2399C180" w14:textId="77777777" w:rsidR="0031264E" w:rsidRPr="003341AF" w:rsidRDefault="0031264E" w:rsidP="009A11F4">
            <w:pPr>
              <w:spacing w:after="0" w:line="240" w:lineRule="auto"/>
              <w:jc w:val="right"/>
              <w:rPr>
                <w:rFonts w:ascii="Arial" w:hAnsi="Arial" w:cs="Arial"/>
                <w:b/>
                <w:bCs/>
                <w:color w:val="000000"/>
                <w:sz w:val="16"/>
                <w:szCs w:val="16"/>
              </w:rPr>
            </w:pPr>
          </w:p>
        </w:tc>
        <w:tc>
          <w:tcPr>
            <w:tcW w:w="1134" w:type="dxa"/>
            <w:tcBorders>
              <w:top w:val="nil"/>
              <w:left w:val="nil"/>
              <w:bottom w:val="nil"/>
              <w:right w:val="nil"/>
            </w:tcBorders>
            <w:shd w:val="clear" w:color="auto" w:fill="auto"/>
            <w:noWrap/>
            <w:vAlign w:val="bottom"/>
            <w:hideMark/>
          </w:tcPr>
          <w:p w14:paraId="361D8CF9" w14:textId="77777777" w:rsidR="0031264E" w:rsidRPr="003341AF" w:rsidRDefault="0031264E" w:rsidP="009A11F4">
            <w:pPr>
              <w:spacing w:after="0" w:line="240" w:lineRule="auto"/>
              <w:jc w:val="right"/>
              <w:rPr>
                <w:rFonts w:ascii="Times New Roman" w:hAnsi="Times New Roman"/>
              </w:rPr>
            </w:pPr>
          </w:p>
        </w:tc>
      </w:tr>
      <w:tr w:rsidR="0031264E" w:rsidRPr="003341AF" w14:paraId="47488561" w14:textId="77777777" w:rsidTr="00574131">
        <w:trPr>
          <w:trHeight w:val="204"/>
        </w:trPr>
        <w:tc>
          <w:tcPr>
            <w:tcW w:w="5387" w:type="dxa"/>
            <w:tcBorders>
              <w:top w:val="nil"/>
              <w:left w:val="nil"/>
              <w:bottom w:val="nil"/>
              <w:right w:val="nil"/>
            </w:tcBorders>
            <w:shd w:val="clear" w:color="auto" w:fill="auto"/>
            <w:vAlign w:val="center"/>
            <w:hideMark/>
          </w:tcPr>
          <w:p w14:paraId="2E5BF775" w14:textId="0CB206FA" w:rsidR="0031264E" w:rsidRPr="003341AF" w:rsidRDefault="0031264E"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Balance carried forward from</w:t>
            </w:r>
            <w:r>
              <w:rPr>
                <w:rFonts w:ascii="Arial" w:hAnsi="Arial" w:cs="Arial"/>
                <w:color w:val="000000"/>
                <w:sz w:val="16"/>
                <w:szCs w:val="16"/>
              </w:rPr>
              <w:t xml:space="preserve"> </w:t>
            </w:r>
            <w:r w:rsidRPr="003341AF">
              <w:rPr>
                <w:rFonts w:ascii="Arial" w:hAnsi="Arial" w:cs="Arial"/>
                <w:color w:val="000000"/>
                <w:sz w:val="16"/>
                <w:szCs w:val="16"/>
              </w:rPr>
              <w:t>previous period</w:t>
            </w:r>
          </w:p>
        </w:tc>
        <w:tc>
          <w:tcPr>
            <w:tcW w:w="992" w:type="dxa"/>
            <w:tcBorders>
              <w:top w:val="nil"/>
              <w:left w:val="nil"/>
              <w:bottom w:val="nil"/>
              <w:right w:val="nil"/>
            </w:tcBorders>
            <w:shd w:val="clear" w:color="auto" w:fill="auto"/>
            <w:noWrap/>
            <w:vAlign w:val="bottom"/>
            <w:hideMark/>
          </w:tcPr>
          <w:p w14:paraId="1931139B" w14:textId="0EA4FFE8" w:rsidR="0031264E" w:rsidRPr="00BD2F69" w:rsidRDefault="0031264E" w:rsidP="009A11F4">
            <w:pPr>
              <w:spacing w:after="0" w:line="240" w:lineRule="auto"/>
              <w:jc w:val="right"/>
              <w:rPr>
                <w:rFonts w:ascii="Arial" w:hAnsi="Arial" w:cs="Arial"/>
                <w:color w:val="000000"/>
                <w:sz w:val="16"/>
                <w:szCs w:val="16"/>
              </w:rPr>
            </w:pPr>
            <w:r w:rsidRPr="00BD2F69">
              <w:rPr>
                <w:rFonts w:ascii="Arial" w:hAnsi="Arial" w:cs="Arial"/>
                <w:color w:val="000000"/>
                <w:sz w:val="16"/>
                <w:szCs w:val="16"/>
              </w:rPr>
              <w:t>2,680</w:t>
            </w:r>
          </w:p>
        </w:tc>
        <w:tc>
          <w:tcPr>
            <w:tcW w:w="1134" w:type="dxa"/>
            <w:tcBorders>
              <w:top w:val="nil"/>
              <w:left w:val="nil"/>
              <w:bottom w:val="nil"/>
              <w:right w:val="nil"/>
            </w:tcBorders>
            <w:shd w:val="clear" w:color="auto" w:fill="auto"/>
            <w:noWrap/>
            <w:vAlign w:val="bottom"/>
            <w:hideMark/>
          </w:tcPr>
          <w:p w14:paraId="2D8E4DB9" w14:textId="34B1565B" w:rsidR="0031264E" w:rsidRPr="00BD2F69" w:rsidRDefault="0031264E" w:rsidP="009A11F4">
            <w:pPr>
              <w:spacing w:after="0" w:line="240" w:lineRule="auto"/>
              <w:jc w:val="right"/>
              <w:rPr>
                <w:rFonts w:ascii="Arial" w:hAnsi="Arial" w:cs="Arial"/>
                <w:color w:val="000000"/>
                <w:sz w:val="16"/>
                <w:szCs w:val="16"/>
              </w:rPr>
            </w:pPr>
            <w:r w:rsidRPr="00BD2F69">
              <w:rPr>
                <w:rFonts w:ascii="Arial" w:hAnsi="Arial" w:cs="Arial"/>
                <w:color w:val="000000"/>
                <w:sz w:val="16"/>
                <w:szCs w:val="16"/>
              </w:rPr>
              <w:t>2,680</w:t>
            </w:r>
          </w:p>
        </w:tc>
      </w:tr>
      <w:tr w:rsidR="0031264E" w:rsidRPr="003341AF" w14:paraId="12398569" w14:textId="77777777" w:rsidTr="00574131">
        <w:trPr>
          <w:trHeight w:val="204"/>
        </w:trPr>
        <w:tc>
          <w:tcPr>
            <w:tcW w:w="5387" w:type="dxa"/>
            <w:tcBorders>
              <w:top w:val="nil"/>
              <w:left w:val="nil"/>
              <w:bottom w:val="nil"/>
              <w:right w:val="nil"/>
            </w:tcBorders>
            <w:shd w:val="clear" w:color="auto" w:fill="auto"/>
            <w:vAlign w:val="center"/>
            <w:hideMark/>
          </w:tcPr>
          <w:p w14:paraId="24B513F7" w14:textId="77777777" w:rsidR="0031264E" w:rsidRPr="003341AF" w:rsidRDefault="0031264E"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Adjusted opening balance</w:t>
            </w:r>
          </w:p>
        </w:tc>
        <w:tc>
          <w:tcPr>
            <w:tcW w:w="992" w:type="dxa"/>
            <w:tcBorders>
              <w:top w:val="single" w:sz="4" w:space="0" w:color="000000"/>
              <w:left w:val="nil"/>
              <w:bottom w:val="single" w:sz="4" w:space="0" w:color="000000"/>
              <w:right w:val="nil"/>
            </w:tcBorders>
            <w:shd w:val="clear" w:color="auto" w:fill="auto"/>
            <w:noWrap/>
            <w:vAlign w:val="bottom"/>
            <w:hideMark/>
          </w:tcPr>
          <w:p w14:paraId="51CBC05F" w14:textId="722F1732" w:rsidR="0031264E" w:rsidRPr="00BD2F69" w:rsidRDefault="0031264E" w:rsidP="009A11F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2,680</w:t>
            </w:r>
          </w:p>
        </w:tc>
        <w:tc>
          <w:tcPr>
            <w:tcW w:w="1134" w:type="dxa"/>
            <w:tcBorders>
              <w:top w:val="single" w:sz="4" w:space="0" w:color="000000"/>
              <w:left w:val="nil"/>
              <w:bottom w:val="single" w:sz="4" w:space="0" w:color="000000"/>
              <w:right w:val="nil"/>
            </w:tcBorders>
            <w:shd w:val="clear" w:color="auto" w:fill="auto"/>
            <w:noWrap/>
            <w:vAlign w:val="bottom"/>
            <w:hideMark/>
          </w:tcPr>
          <w:p w14:paraId="7BD76B3A" w14:textId="4517A708" w:rsidR="0031264E" w:rsidRPr="00480722" w:rsidRDefault="0031264E" w:rsidP="009A11F4">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2,680</w:t>
            </w:r>
          </w:p>
        </w:tc>
      </w:tr>
      <w:tr w:rsidR="0031264E" w:rsidRPr="003341AF" w14:paraId="67772B9B" w14:textId="77777777" w:rsidTr="00574131">
        <w:trPr>
          <w:trHeight w:val="204"/>
        </w:trPr>
        <w:tc>
          <w:tcPr>
            <w:tcW w:w="5387" w:type="dxa"/>
            <w:tcBorders>
              <w:top w:val="nil"/>
              <w:left w:val="nil"/>
              <w:bottom w:val="nil"/>
              <w:right w:val="nil"/>
            </w:tcBorders>
            <w:shd w:val="clear" w:color="auto" w:fill="auto"/>
            <w:noWrap/>
            <w:vAlign w:val="center"/>
            <w:hideMark/>
          </w:tcPr>
          <w:p w14:paraId="43BFD201" w14:textId="77777777" w:rsidR="0031264E" w:rsidRPr="003341AF" w:rsidRDefault="0031264E"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Comprehensive income</w:t>
            </w:r>
          </w:p>
        </w:tc>
        <w:tc>
          <w:tcPr>
            <w:tcW w:w="992" w:type="dxa"/>
            <w:tcBorders>
              <w:top w:val="nil"/>
              <w:left w:val="nil"/>
              <w:bottom w:val="nil"/>
              <w:right w:val="nil"/>
            </w:tcBorders>
            <w:shd w:val="clear" w:color="auto" w:fill="auto"/>
            <w:noWrap/>
            <w:vAlign w:val="bottom"/>
            <w:hideMark/>
          </w:tcPr>
          <w:p w14:paraId="30E8476E" w14:textId="3018B8EE" w:rsidR="0031264E" w:rsidRPr="00BD2F69" w:rsidRDefault="009A11F4" w:rsidP="009A11F4">
            <w:pPr>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34" w:type="dxa"/>
            <w:tcBorders>
              <w:top w:val="nil"/>
              <w:left w:val="nil"/>
              <w:bottom w:val="nil"/>
              <w:right w:val="nil"/>
            </w:tcBorders>
            <w:shd w:val="clear" w:color="auto" w:fill="auto"/>
            <w:noWrap/>
            <w:vAlign w:val="bottom"/>
            <w:hideMark/>
          </w:tcPr>
          <w:p w14:paraId="4F14AE7F" w14:textId="3AE3FE17" w:rsidR="0031264E" w:rsidRPr="00A20718" w:rsidRDefault="00A20718" w:rsidP="009A11F4">
            <w:pPr>
              <w:spacing w:after="0" w:line="240" w:lineRule="auto"/>
              <w:jc w:val="right"/>
              <w:rPr>
                <w:rFonts w:ascii="Times New Roman" w:hAnsi="Times New Roman"/>
                <w:b/>
                <w:sz w:val="16"/>
                <w:szCs w:val="16"/>
              </w:rPr>
            </w:pPr>
            <w:r>
              <w:rPr>
                <w:rFonts w:ascii="Arial" w:hAnsi="Arial" w:cs="Arial"/>
                <w:b/>
                <w:bCs/>
                <w:color w:val="000000"/>
                <w:sz w:val="16"/>
                <w:szCs w:val="16"/>
              </w:rPr>
              <w:t>-</w:t>
            </w:r>
          </w:p>
        </w:tc>
      </w:tr>
      <w:tr w:rsidR="0031264E" w:rsidRPr="003341AF" w14:paraId="4C0A5845" w14:textId="77777777" w:rsidTr="00574131">
        <w:trPr>
          <w:trHeight w:val="204"/>
        </w:trPr>
        <w:tc>
          <w:tcPr>
            <w:tcW w:w="5387" w:type="dxa"/>
            <w:tcBorders>
              <w:top w:val="nil"/>
              <w:left w:val="nil"/>
              <w:bottom w:val="nil"/>
              <w:right w:val="nil"/>
            </w:tcBorders>
            <w:shd w:val="clear" w:color="auto" w:fill="auto"/>
            <w:vAlign w:val="center"/>
            <w:hideMark/>
          </w:tcPr>
          <w:p w14:paraId="0E76A5B4" w14:textId="77777777" w:rsidR="0031264E" w:rsidRPr="003341AF" w:rsidRDefault="0031264E"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comprehensive income</w:t>
            </w:r>
          </w:p>
        </w:tc>
        <w:tc>
          <w:tcPr>
            <w:tcW w:w="992" w:type="dxa"/>
            <w:tcBorders>
              <w:top w:val="single" w:sz="4" w:space="0" w:color="000000"/>
              <w:left w:val="nil"/>
              <w:bottom w:val="nil"/>
              <w:right w:val="nil"/>
            </w:tcBorders>
            <w:shd w:val="clear" w:color="auto" w:fill="auto"/>
            <w:noWrap/>
            <w:vAlign w:val="bottom"/>
            <w:hideMark/>
          </w:tcPr>
          <w:p w14:paraId="78BF9552" w14:textId="0FF6E237" w:rsidR="0031264E" w:rsidRPr="00BD2F69" w:rsidRDefault="0031264E" w:rsidP="009A11F4">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w:t>
            </w:r>
          </w:p>
        </w:tc>
        <w:tc>
          <w:tcPr>
            <w:tcW w:w="1134" w:type="dxa"/>
            <w:tcBorders>
              <w:top w:val="single" w:sz="4" w:space="0" w:color="000000"/>
              <w:left w:val="nil"/>
              <w:bottom w:val="nil"/>
              <w:right w:val="nil"/>
            </w:tcBorders>
            <w:shd w:val="clear" w:color="auto" w:fill="auto"/>
            <w:noWrap/>
            <w:vAlign w:val="bottom"/>
            <w:hideMark/>
          </w:tcPr>
          <w:p w14:paraId="54689AE0" w14:textId="7F533388" w:rsidR="0031264E" w:rsidRPr="00480722" w:rsidRDefault="0031264E" w:rsidP="009A11F4">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w:t>
            </w:r>
          </w:p>
        </w:tc>
      </w:tr>
      <w:tr w:rsidR="0031264E" w:rsidRPr="003341AF" w14:paraId="4849A0E2" w14:textId="77777777" w:rsidTr="00574131">
        <w:trPr>
          <w:trHeight w:val="204"/>
        </w:trPr>
        <w:tc>
          <w:tcPr>
            <w:tcW w:w="5387" w:type="dxa"/>
            <w:tcBorders>
              <w:top w:val="nil"/>
              <w:left w:val="nil"/>
              <w:bottom w:val="nil"/>
              <w:right w:val="nil"/>
            </w:tcBorders>
            <w:shd w:val="clear" w:color="auto" w:fill="auto"/>
            <w:vAlign w:val="center"/>
            <w:hideMark/>
          </w:tcPr>
          <w:p w14:paraId="43E92130" w14:textId="3E9642BF" w:rsidR="0031264E" w:rsidRPr="003341AF" w:rsidRDefault="0031264E" w:rsidP="0048072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Estimated closing balance as at</w:t>
            </w:r>
            <w:r>
              <w:rPr>
                <w:rFonts w:ascii="Arial" w:hAnsi="Arial" w:cs="Arial"/>
                <w:b/>
                <w:bCs/>
                <w:color w:val="000000"/>
                <w:sz w:val="16"/>
                <w:szCs w:val="16"/>
              </w:rPr>
              <w:t xml:space="preserve"> </w:t>
            </w:r>
            <w:r w:rsidRPr="003341AF">
              <w:rPr>
                <w:rFonts w:ascii="Arial" w:hAnsi="Arial" w:cs="Arial"/>
                <w:b/>
                <w:bCs/>
                <w:color w:val="000000"/>
                <w:sz w:val="16"/>
                <w:szCs w:val="16"/>
              </w:rPr>
              <w:t>30</w:t>
            </w:r>
            <w:r>
              <w:rPr>
                <w:rFonts w:ascii="Arial" w:hAnsi="Arial" w:cs="Arial"/>
                <w:b/>
                <w:bCs/>
                <w:color w:val="000000"/>
                <w:sz w:val="16"/>
                <w:szCs w:val="16"/>
              </w:rPr>
              <w:t> </w:t>
            </w:r>
            <w:r w:rsidRPr="003341AF">
              <w:rPr>
                <w:rFonts w:ascii="Arial" w:hAnsi="Arial" w:cs="Arial"/>
                <w:b/>
                <w:bCs/>
                <w:color w:val="000000"/>
                <w:sz w:val="16"/>
                <w:szCs w:val="16"/>
              </w:rPr>
              <w:t>June 2022</w:t>
            </w:r>
          </w:p>
        </w:tc>
        <w:tc>
          <w:tcPr>
            <w:tcW w:w="992" w:type="dxa"/>
            <w:tcBorders>
              <w:top w:val="single" w:sz="4" w:space="0" w:color="auto"/>
              <w:left w:val="nil"/>
              <w:bottom w:val="single" w:sz="4" w:space="0" w:color="auto"/>
              <w:right w:val="nil"/>
            </w:tcBorders>
            <w:shd w:val="clear" w:color="auto" w:fill="auto"/>
            <w:noWrap/>
            <w:vAlign w:val="bottom"/>
            <w:hideMark/>
          </w:tcPr>
          <w:p w14:paraId="61AB0B46" w14:textId="2154628F" w:rsidR="0031264E" w:rsidRPr="00BD2F69" w:rsidRDefault="0031264E" w:rsidP="009A11F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2,680</w:t>
            </w:r>
          </w:p>
        </w:tc>
        <w:tc>
          <w:tcPr>
            <w:tcW w:w="1134" w:type="dxa"/>
            <w:tcBorders>
              <w:top w:val="single" w:sz="4" w:space="0" w:color="auto"/>
              <w:left w:val="nil"/>
              <w:bottom w:val="single" w:sz="4" w:space="0" w:color="auto"/>
              <w:right w:val="nil"/>
            </w:tcBorders>
            <w:shd w:val="clear" w:color="auto" w:fill="auto"/>
            <w:noWrap/>
            <w:vAlign w:val="bottom"/>
            <w:hideMark/>
          </w:tcPr>
          <w:p w14:paraId="0ACF284C" w14:textId="2518401F" w:rsidR="0031264E" w:rsidRPr="00480722" w:rsidRDefault="0031264E" w:rsidP="009A11F4">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2,680</w:t>
            </w:r>
          </w:p>
        </w:tc>
      </w:tr>
      <w:tr w:rsidR="0031264E" w:rsidRPr="003341AF" w14:paraId="5CC79D78" w14:textId="77777777" w:rsidTr="00574131">
        <w:trPr>
          <w:trHeight w:val="204"/>
        </w:trPr>
        <w:tc>
          <w:tcPr>
            <w:tcW w:w="5387" w:type="dxa"/>
            <w:tcBorders>
              <w:top w:val="nil"/>
              <w:left w:val="nil"/>
              <w:bottom w:val="single" w:sz="4" w:space="0" w:color="000000"/>
              <w:right w:val="nil"/>
            </w:tcBorders>
            <w:shd w:val="clear" w:color="auto" w:fill="auto"/>
            <w:vAlign w:val="center"/>
            <w:hideMark/>
          </w:tcPr>
          <w:p w14:paraId="43EDEC68" w14:textId="175FB764" w:rsidR="0031264E" w:rsidRPr="003341AF" w:rsidRDefault="0031264E"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Closing balance attributable to</w:t>
            </w:r>
            <w:r>
              <w:rPr>
                <w:rFonts w:ascii="Arial" w:hAnsi="Arial" w:cs="Arial"/>
                <w:b/>
                <w:bCs/>
                <w:color w:val="000000"/>
                <w:sz w:val="16"/>
                <w:szCs w:val="16"/>
              </w:rPr>
              <w:t xml:space="preserve"> </w:t>
            </w:r>
            <w:r w:rsidRPr="003341AF">
              <w:rPr>
                <w:rFonts w:ascii="Arial" w:hAnsi="Arial" w:cs="Arial"/>
                <w:b/>
                <w:bCs/>
                <w:color w:val="000000"/>
                <w:sz w:val="16"/>
                <w:szCs w:val="16"/>
              </w:rPr>
              <w:t>the Australian Government</w:t>
            </w:r>
          </w:p>
        </w:tc>
        <w:tc>
          <w:tcPr>
            <w:tcW w:w="992" w:type="dxa"/>
            <w:tcBorders>
              <w:top w:val="nil"/>
              <w:left w:val="nil"/>
              <w:bottom w:val="single" w:sz="4" w:space="0" w:color="auto"/>
              <w:right w:val="nil"/>
            </w:tcBorders>
            <w:shd w:val="clear" w:color="auto" w:fill="auto"/>
            <w:noWrap/>
            <w:vAlign w:val="bottom"/>
            <w:hideMark/>
          </w:tcPr>
          <w:p w14:paraId="19933DD5" w14:textId="6397BF15" w:rsidR="0031264E" w:rsidRPr="00BD2F69" w:rsidRDefault="0031264E" w:rsidP="009A11F4">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2,680</w:t>
            </w:r>
          </w:p>
        </w:tc>
        <w:tc>
          <w:tcPr>
            <w:tcW w:w="1134" w:type="dxa"/>
            <w:tcBorders>
              <w:top w:val="nil"/>
              <w:left w:val="nil"/>
              <w:bottom w:val="single" w:sz="4" w:space="0" w:color="auto"/>
              <w:right w:val="nil"/>
            </w:tcBorders>
            <w:shd w:val="clear" w:color="auto" w:fill="auto"/>
            <w:noWrap/>
            <w:vAlign w:val="bottom"/>
            <w:hideMark/>
          </w:tcPr>
          <w:p w14:paraId="2E14532C" w14:textId="1D7A1CCD" w:rsidR="0031264E" w:rsidRPr="00480722" w:rsidRDefault="0031264E" w:rsidP="009A11F4">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2,680</w:t>
            </w:r>
          </w:p>
        </w:tc>
      </w:tr>
    </w:tbl>
    <w:p w14:paraId="70F0E04E" w14:textId="77777777" w:rsidR="00C63902" w:rsidRPr="003341AF" w:rsidRDefault="00C63902" w:rsidP="00B46EF9">
      <w:pPr>
        <w:pStyle w:val="TableHeading"/>
        <w:spacing w:before="60"/>
        <w:rPr>
          <w:rFonts w:cs="Arial"/>
          <w:b w:val="0"/>
          <w:sz w:val="16"/>
          <w:szCs w:val="16"/>
          <w:lang w:val="en-AU"/>
        </w:rPr>
      </w:pPr>
      <w:r w:rsidRPr="003341AF">
        <w:rPr>
          <w:rFonts w:cs="Arial"/>
          <w:b w:val="0"/>
          <w:sz w:val="16"/>
          <w:szCs w:val="16"/>
          <w:lang w:val="en-AU"/>
        </w:rPr>
        <w:t>Prepared on Australian Accounting Standards basis.</w:t>
      </w:r>
    </w:p>
    <w:p w14:paraId="3BDC7C5E" w14:textId="77777777" w:rsidR="00C63902" w:rsidRPr="003341AF" w:rsidRDefault="00C63902" w:rsidP="00C63902">
      <w:pPr>
        <w:spacing w:after="0" w:line="240" w:lineRule="auto"/>
        <w:jc w:val="left"/>
        <w:rPr>
          <w:rFonts w:ascii="Arial" w:hAnsi="Arial"/>
          <w:b/>
          <w:color w:val="000000"/>
          <w:lang w:val="en-US" w:eastAsia="x-none"/>
        </w:rPr>
      </w:pPr>
      <w:r>
        <w:rPr>
          <w:lang w:val="en-US"/>
        </w:rPr>
        <w:br w:type="page"/>
      </w:r>
    </w:p>
    <w:p w14:paraId="60E5A9C2" w14:textId="0D2808C8" w:rsidR="00C63902" w:rsidRPr="00A00283" w:rsidRDefault="00C63902" w:rsidP="00C63902">
      <w:pPr>
        <w:pStyle w:val="TableHeading"/>
      </w:pPr>
      <w:r>
        <w:lastRenderedPageBreak/>
        <w:t>Table 3.</w:t>
      </w:r>
      <w:r>
        <w:rPr>
          <w:lang w:val="en-US"/>
        </w:rPr>
        <w:t>5</w:t>
      </w:r>
      <w:r>
        <w:t xml:space="preserve">: </w:t>
      </w:r>
      <w:r w:rsidRPr="00D30CBA">
        <w:t xml:space="preserve">Budgeted </w:t>
      </w:r>
      <w:r w:rsidR="008863D9">
        <w:t>Department</w:t>
      </w:r>
      <w:r>
        <w:t xml:space="preserve">al statement of cash flows </w:t>
      </w:r>
      <w:r w:rsidRPr="00D30CBA">
        <w:t>(</w:t>
      </w:r>
      <w:r>
        <w:t>for the period ended</w:t>
      </w:r>
      <w:r w:rsidRPr="00D30CBA">
        <w:t xml:space="preserve"> </w:t>
      </w:r>
      <w:r w:rsidR="009A11F4">
        <w:rPr>
          <w:lang w:val="en-US"/>
        </w:rPr>
        <w:t> </w:t>
      </w:r>
      <w:r w:rsidRPr="00D30CBA">
        <w:t>30 June)</w:t>
      </w:r>
    </w:p>
    <w:tbl>
      <w:tblPr>
        <w:tblW w:w="7635" w:type="dxa"/>
        <w:tblLook w:val="04A0" w:firstRow="1" w:lastRow="0" w:firstColumn="1" w:lastColumn="0" w:noHBand="0" w:noVBand="1"/>
      </w:tblPr>
      <w:tblGrid>
        <w:gridCol w:w="3261"/>
        <w:gridCol w:w="876"/>
        <w:gridCol w:w="877"/>
        <w:gridCol w:w="877"/>
        <w:gridCol w:w="877"/>
        <w:gridCol w:w="867"/>
      </w:tblGrid>
      <w:tr w:rsidR="00C63902" w:rsidRPr="003341AF" w14:paraId="7537325D" w14:textId="77777777" w:rsidTr="009A11F4">
        <w:trPr>
          <w:trHeight w:val="651"/>
        </w:trPr>
        <w:tc>
          <w:tcPr>
            <w:tcW w:w="3261" w:type="dxa"/>
            <w:tcBorders>
              <w:top w:val="single" w:sz="4" w:space="0" w:color="auto"/>
              <w:left w:val="nil"/>
              <w:bottom w:val="nil"/>
              <w:right w:val="nil"/>
            </w:tcBorders>
            <w:shd w:val="clear" w:color="auto" w:fill="auto"/>
            <w:noWrap/>
            <w:hideMark/>
          </w:tcPr>
          <w:p w14:paraId="65AE5596"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 </w:t>
            </w:r>
          </w:p>
        </w:tc>
        <w:tc>
          <w:tcPr>
            <w:tcW w:w="876" w:type="dxa"/>
            <w:tcBorders>
              <w:top w:val="single" w:sz="4" w:space="0" w:color="auto"/>
              <w:left w:val="nil"/>
              <w:bottom w:val="single" w:sz="4" w:space="0" w:color="auto"/>
              <w:right w:val="nil"/>
            </w:tcBorders>
            <w:shd w:val="clear" w:color="auto" w:fill="auto"/>
            <w:hideMark/>
          </w:tcPr>
          <w:p w14:paraId="6C163AB9"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2020-21 Actual</w:t>
            </w:r>
            <w:r w:rsidRPr="003341AF">
              <w:rPr>
                <w:rFonts w:ascii="Arial" w:hAnsi="Arial" w:cs="Arial"/>
                <w:sz w:val="16"/>
                <w:szCs w:val="16"/>
              </w:rPr>
              <w:br/>
            </w:r>
            <w:r w:rsidRPr="003341AF">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000000" w:fill="E6E6E6"/>
            <w:hideMark/>
          </w:tcPr>
          <w:p w14:paraId="2BD7C63E"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2021-22</w:t>
            </w:r>
            <w:r w:rsidRPr="003341AF">
              <w:rPr>
                <w:rFonts w:ascii="Arial" w:hAnsi="Arial" w:cs="Arial"/>
                <w:sz w:val="16"/>
                <w:szCs w:val="16"/>
              </w:rPr>
              <w:br/>
              <w:t>Revised Budget</w:t>
            </w:r>
            <w:r w:rsidRPr="003341AF">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0FDCF5E5"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2022-23 Forward estimate</w:t>
            </w:r>
            <w:r w:rsidRPr="003341AF">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2AD1FC9A"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2023-24 Forward estimate</w:t>
            </w:r>
            <w:r w:rsidRPr="003341AF">
              <w:rPr>
                <w:rFonts w:ascii="Arial" w:hAnsi="Arial" w:cs="Arial"/>
                <w:sz w:val="16"/>
                <w:szCs w:val="16"/>
              </w:rPr>
              <w:br/>
              <w:t>$'000</w:t>
            </w:r>
          </w:p>
        </w:tc>
        <w:tc>
          <w:tcPr>
            <w:tcW w:w="867" w:type="dxa"/>
            <w:tcBorders>
              <w:top w:val="single" w:sz="4" w:space="0" w:color="auto"/>
              <w:left w:val="nil"/>
              <w:bottom w:val="single" w:sz="4" w:space="0" w:color="auto"/>
              <w:right w:val="nil"/>
            </w:tcBorders>
            <w:shd w:val="clear" w:color="auto" w:fill="auto"/>
            <w:hideMark/>
          </w:tcPr>
          <w:p w14:paraId="54D47271"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2024-25</w:t>
            </w:r>
            <w:r w:rsidRPr="003341AF">
              <w:rPr>
                <w:rFonts w:ascii="Arial" w:hAnsi="Arial" w:cs="Arial"/>
                <w:sz w:val="16"/>
                <w:szCs w:val="16"/>
              </w:rPr>
              <w:br/>
              <w:t>Forward estimate</w:t>
            </w:r>
            <w:r w:rsidRPr="003341AF">
              <w:rPr>
                <w:rFonts w:ascii="Arial" w:hAnsi="Arial" w:cs="Arial"/>
                <w:sz w:val="16"/>
                <w:szCs w:val="16"/>
              </w:rPr>
              <w:br/>
              <w:t>$'000</w:t>
            </w:r>
          </w:p>
        </w:tc>
      </w:tr>
      <w:tr w:rsidR="00C63902" w:rsidRPr="003341AF" w14:paraId="31243EA1" w14:textId="77777777" w:rsidTr="009A11F4">
        <w:trPr>
          <w:trHeight w:val="204"/>
        </w:trPr>
        <w:tc>
          <w:tcPr>
            <w:tcW w:w="3261" w:type="dxa"/>
            <w:tcBorders>
              <w:top w:val="nil"/>
              <w:left w:val="nil"/>
              <w:bottom w:val="nil"/>
              <w:right w:val="nil"/>
            </w:tcBorders>
            <w:shd w:val="clear" w:color="auto" w:fill="auto"/>
            <w:noWrap/>
            <w:vAlign w:val="center"/>
            <w:hideMark/>
          </w:tcPr>
          <w:p w14:paraId="61940767"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OPERATING ACTIVITIES</w:t>
            </w:r>
          </w:p>
        </w:tc>
        <w:tc>
          <w:tcPr>
            <w:tcW w:w="876" w:type="dxa"/>
            <w:tcBorders>
              <w:top w:val="nil"/>
              <w:left w:val="nil"/>
              <w:bottom w:val="nil"/>
              <w:right w:val="nil"/>
            </w:tcBorders>
            <w:shd w:val="clear" w:color="auto" w:fill="auto"/>
            <w:noWrap/>
            <w:vAlign w:val="bottom"/>
            <w:hideMark/>
          </w:tcPr>
          <w:p w14:paraId="06ECF0BC" w14:textId="77777777" w:rsidR="00C63902" w:rsidRPr="003341AF" w:rsidRDefault="00C63902" w:rsidP="006E3451">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4ADC0881" w14:textId="509B13A1" w:rsidR="00C63902" w:rsidRPr="003341AF"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63F1D25" w14:textId="77777777" w:rsidR="00C63902" w:rsidRPr="003341AF"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E4DFDF0" w14:textId="77777777" w:rsidR="00C63902" w:rsidRPr="003341AF" w:rsidRDefault="00C63902" w:rsidP="006E3451">
            <w:pPr>
              <w:spacing w:after="0" w:line="240" w:lineRule="auto"/>
              <w:jc w:val="right"/>
              <w:rPr>
                <w:rFonts w:ascii="Times New Roman" w:hAnsi="Times New Roman"/>
              </w:rPr>
            </w:pPr>
          </w:p>
        </w:tc>
        <w:tc>
          <w:tcPr>
            <w:tcW w:w="867" w:type="dxa"/>
            <w:tcBorders>
              <w:top w:val="nil"/>
              <w:left w:val="nil"/>
              <w:bottom w:val="nil"/>
              <w:right w:val="nil"/>
            </w:tcBorders>
            <w:shd w:val="clear" w:color="auto" w:fill="auto"/>
            <w:noWrap/>
            <w:vAlign w:val="bottom"/>
            <w:hideMark/>
          </w:tcPr>
          <w:p w14:paraId="4113D6CD" w14:textId="77777777" w:rsidR="00C63902" w:rsidRPr="003341AF" w:rsidRDefault="00C63902" w:rsidP="006E3451">
            <w:pPr>
              <w:spacing w:after="0" w:line="240" w:lineRule="auto"/>
              <w:jc w:val="right"/>
              <w:rPr>
                <w:rFonts w:ascii="Times New Roman" w:hAnsi="Times New Roman"/>
              </w:rPr>
            </w:pPr>
          </w:p>
        </w:tc>
      </w:tr>
      <w:tr w:rsidR="00C63902" w:rsidRPr="003341AF" w14:paraId="5C45C9DB" w14:textId="77777777" w:rsidTr="009A11F4">
        <w:trPr>
          <w:trHeight w:val="204"/>
        </w:trPr>
        <w:tc>
          <w:tcPr>
            <w:tcW w:w="3261" w:type="dxa"/>
            <w:tcBorders>
              <w:top w:val="nil"/>
              <w:left w:val="nil"/>
              <w:bottom w:val="nil"/>
              <w:right w:val="nil"/>
            </w:tcBorders>
            <w:shd w:val="clear" w:color="auto" w:fill="auto"/>
            <w:noWrap/>
            <w:vAlign w:val="center"/>
            <w:hideMark/>
          </w:tcPr>
          <w:p w14:paraId="56837D41"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Cash received</w:t>
            </w:r>
          </w:p>
        </w:tc>
        <w:tc>
          <w:tcPr>
            <w:tcW w:w="876" w:type="dxa"/>
            <w:tcBorders>
              <w:top w:val="nil"/>
              <w:left w:val="nil"/>
              <w:bottom w:val="nil"/>
              <w:right w:val="nil"/>
            </w:tcBorders>
            <w:shd w:val="clear" w:color="auto" w:fill="auto"/>
            <w:noWrap/>
            <w:vAlign w:val="bottom"/>
            <w:hideMark/>
          </w:tcPr>
          <w:p w14:paraId="0D690D7E" w14:textId="77777777" w:rsidR="00C63902" w:rsidRPr="00BD2F69" w:rsidRDefault="00C63902" w:rsidP="006E3451">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12375D50" w14:textId="66E3FA22" w:rsidR="00C63902" w:rsidRPr="00BD2F69"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10384ED" w14:textId="77777777" w:rsidR="00C63902" w:rsidRPr="00BF6F80"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F0F6126" w14:textId="77777777" w:rsidR="00C63902" w:rsidRPr="00064764" w:rsidRDefault="00C63902" w:rsidP="006E3451">
            <w:pPr>
              <w:spacing w:after="0" w:line="240" w:lineRule="auto"/>
              <w:jc w:val="right"/>
              <w:rPr>
                <w:rFonts w:ascii="Arial" w:hAnsi="Arial" w:cs="Arial"/>
                <w:sz w:val="16"/>
                <w:szCs w:val="16"/>
              </w:rPr>
            </w:pPr>
          </w:p>
        </w:tc>
        <w:tc>
          <w:tcPr>
            <w:tcW w:w="867" w:type="dxa"/>
            <w:tcBorders>
              <w:top w:val="nil"/>
              <w:left w:val="nil"/>
              <w:bottom w:val="nil"/>
              <w:right w:val="nil"/>
            </w:tcBorders>
            <w:shd w:val="clear" w:color="auto" w:fill="auto"/>
            <w:noWrap/>
            <w:vAlign w:val="bottom"/>
            <w:hideMark/>
          </w:tcPr>
          <w:p w14:paraId="7C0EBBC1" w14:textId="77777777" w:rsidR="00C63902" w:rsidRPr="00064764" w:rsidRDefault="00C63902" w:rsidP="006E3451">
            <w:pPr>
              <w:spacing w:after="0" w:line="240" w:lineRule="auto"/>
              <w:jc w:val="right"/>
              <w:rPr>
                <w:rFonts w:ascii="Arial" w:hAnsi="Arial" w:cs="Arial"/>
                <w:sz w:val="16"/>
                <w:szCs w:val="16"/>
              </w:rPr>
            </w:pPr>
          </w:p>
        </w:tc>
      </w:tr>
      <w:tr w:rsidR="00C63902" w:rsidRPr="003341AF" w14:paraId="74B4FA44" w14:textId="77777777" w:rsidTr="009A11F4">
        <w:trPr>
          <w:trHeight w:val="204"/>
        </w:trPr>
        <w:tc>
          <w:tcPr>
            <w:tcW w:w="3261" w:type="dxa"/>
            <w:tcBorders>
              <w:top w:val="nil"/>
              <w:left w:val="nil"/>
              <w:bottom w:val="nil"/>
              <w:right w:val="nil"/>
            </w:tcBorders>
            <w:shd w:val="clear" w:color="auto" w:fill="auto"/>
            <w:noWrap/>
            <w:vAlign w:val="center"/>
            <w:hideMark/>
          </w:tcPr>
          <w:p w14:paraId="6F8DC334"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Receipts from Government</w:t>
            </w:r>
          </w:p>
        </w:tc>
        <w:tc>
          <w:tcPr>
            <w:tcW w:w="876" w:type="dxa"/>
            <w:tcBorders>
              <w:top w:val="nil"/>
              <w:left w:val="nil"/>
              <w:bottom w:val="nil"/>
              <w:right w:val="nil"/>
            </w:tcBorders>
            <w:shd w:val="clear" w:color="auto" w:fill="auto"/>
            <w:noWrap/>
            <w:vAlign w:val="bottom"/>
            <w:hideMark/>
          </w:tcPr>
          <w:p w14:paraId="2C86943C" w14:textId="74E8A1C4" w:rsidR="00C63902" w:rsidRPr="000228E7" w:rsidRDefault="00C63902" w:rsidP="006E3451">
            <w:pPr>
              <w:spacing w:after="0" w:line="240" w:lineRule="auto"/>
              <w:jc w:val="right"/>
              <w:rPr>
                <w:rFonts w:ascii="Arial" w:hAnsi="Arial" w:cs="Arial"/>
                <w:sz w:val="16"/>
                <w:szCs w:val="16"/>
              </w:rPr>
            </w:pPr>
            <w:r w:rsidRPr="000228E7">
              <w:rPr>
                <w:rFonts w:ascii="Arial" w:hAnsi="Arial" w:cs="Arial"/>
                <w:sz w:val="16"/>
                <w:szCs w:val="16"/>
              </w:rPr>
              <w:t>10,559</w:t>
            </w:r>
          </w:p>
        </w:tc>
        <w:tc>
          <w:tcPr>
            <w:tcW w:w="877" w:type="dxa"/>
            <w:tcBorders>
              <w:top w:val="nil"/>
              <w:left w:val="nil"/>
              <w:bottom w:val="nil"/>
              <w:right w:val="nil"/>
            </w:tcBorders>
            <w:shd w:val="clear" w:color="000000" w:fill="E6E6E6"/>
            <w:noWrap/>
            <w:vAlign w:val="bottom"/>
            <w:hideMark/>
          </w:tcPr>
          <w:p w14:paraId="41F17C77" w14:textId="22FA13B7" w:rsidR="00C63902" w:rsidRPr="000228E7" w:rsidRDefault="00C63902" w:rsidP="006E3451">
            <w:pPr>
              <w:spacing w:after="0" w:line="240" w:lineRule="auto"/>
              <w:jc w:val="right"/>
              <w:rPr>
                <w:rFonts w:ascii="Arial" w:hAnsi="Arial" w:cs="Arial"/>
                <w:sz w:val="16"/>
                <w:szCs w:val="16"/>
              </w:rPr>
            </w:pPr>
            <w:r w:rsidRPr="000228E7">
              <w:rPr>
                <w:rFonts w:ascii="Arial" w:hAnsi="Arial" w:cs="Arial"/>
                <w:sz w:val="16"/>
                <w:szCs w:val="16"/>
              </w:rPr>
              <w:t>12,719</w:t>
            </w:r>
          </w:p>
        </w:tc>
        <w:tc>
          <w:tcPr>
            <w:tcW w:w="877" w:type="dxa"/>
            <w:tcBorders>
              <w:top w:val="nil"/>
              <w:left w:val="nil"/>
              <w:bottom w:val="nil"/>
              <w:right w:val="nil"/>
            </w:tcBorders>
            <w:shd w:val="clear" w:color="auto" w:fill="auto"/>
            <w:noWrap/>
            <w:vAlign w:val="bottom"/>
            <w:hideMark/>
          </w:tcPr>
          <w:p w14:paraId="6840C3AF" w14:textId="51E51EF5" w:rsidR="00C63902" w:rsidRPr="000228E7" w:rsidRDefault="00C63902" w:rsidP="006E3451">
            <w:pPr>
              <w:spacing w:after="0" w:line="240" w:lineRule="auto"/>
              <w:jc w:val="right"/>
              <w:rPr>
                <w:rFonts w:ascii="Arial" w:hAnsi="Arial" w:cs="Arial"/>
                <w:sz w:val="16"/>
                <w:szCs w:val="16"/>
              </w:rPr>
            </w:pPr>
            <w:r w:rsidRPr="000228E7">
              <w:rPr>
                <w:rFonts w:ascii="Arial" w:hAnsi="Arial" w:cs="Arial"/>
                <w:sz w:val="16"/>
                <w:szCs w:val="16"/>
              </w:rPr>
              <w:t>12,367</w:t>
            </w:r>
          </w:p>
        </w:tc>
        <w:tc>
          <w:tcPr>
            <w:tcW w:w="877" w:type="dxa"/>
            <w:tcBorders>
              <w:top w:val="nil"/>
              <w:left w:val="nil"/>
              <w:bottom w:val="nil"/>
              <w:right w:val="nil"/>
            </w:tcBorders>
            <w:shd w:val="clear" w:color="auto" w:fill="auto"/>
            <w:noWrap/>
            <w:vAlign w:val="bottom"/>
            <w:hideMark/>
          </w:tcPr>
          <w:p w14:paraId="17A00457" w14:textId="523AAC91" w:rsidR="00C63902" w:rsidRPr="000228E7" w:rsidRDefault="00C63902" w:rsidP="006E3451">
            <w:pPr>
              <w:spacing w:after="0" w:line="240" w:lineRule="auto"/>
              <w:jc w:val="right"/>
              <w:rPr>
                <w:rFonts w:ascii="Arial" w:hAnsi="Arial" w:cs="Arial"/>
                <w:sz w:val="16"/>
                <w:szCs w:val="16"/>
              </w:rPr>
            </w:pPr>
            <w:r w:rsidRPr="000228E7">
              <w:rPr>
                <w:rFonts w:ascii="Arial" w:hAnsi="Arial" w:cs="Arial"/>
                <w:sz w:val="16"/>
                <w:szCs w:val="16"/>
              </w:rPr>
              <w:t>12,398</w:t>
            </w:r>
          </w:p>
        </w:tc>
        <w:tc>
          <w:tcPr>
            <w:tcW w:w="867" w:type="dxa"/>
            <w:tcBorders>
              <w:top w:val="nil"/>
              <w:left w:val="nil"/>
              <w:bottom w:val="nil"/>
              <w:right w:val="nil"/>
            </w:tcBorders>
            <w:shd w:val="clear" w:color="auto" w:fill="auto"/>
            <w:noWrap/>
            <w:vAlign w:val="bottom"/>
            <w:hideMark/>
          </w:tcPr>
          <w:p w14:paraId="70D3496E" w14:textId="41D62B86" w:rsidR="00C63902" w:rsidRPr="000228E7" w:rsidRDefault="00C63902" w:rsidP="006E3451">
            <w:pPr>
              <w:spacing w:after="0" w:line="240" w:lineRule="auto"/>
              <w:jc w:val="right"/>
              <w:rPr>
                <w:rFonts w:ascii="Arial" w:hAnsi="Arial" w:cs="Arial"/>
                <w:sz w:val="16"/>
                <w:szCs w:val="16"/>
              </w:rPr>
            </w:pPr>
            <w:r w:rsidRPr="000228E7">
              <w:rPr>
                <w:rFonts w:ascii="Arial" w:hAnsi="Arial" w:cs="Arial"/>
                <w:sz w:val="16"/>
                <w:szCs w:val="16"/>
              </w:rPr>
              <w:t>11,086</w:t>
            </w:r>
          </w:p>
        </w:tc>
      </w:tr>
      <w:tr w:rsidR="00C63902" w:rsidRPr="003341AF" w14:paraId="60FE19FC" w14:textId="77777777" w:rsidTr="009A11F4">
        <w:trPr>
          <w:trHeight w:val="204"/>
        </w:trPr>
        <w:tc>
          <w:tcPr>
            <w:tcW w:w="3261" w:type="dxa"/>
            <w:tcBorders>
              <w:top w:val="nil"/>
              <w:left w:val="nil"/>
              <w:bottom w:val="nil"/>
              <w:right w:val="nil"/>
            </w:tcBorders>
            <w:shd w:val="clear" w:color="auto" w:fill="auto"/>
            <w:vAlign w:val="center"/>
            <w:hideMark/>
          </w:tcPr>
          <w:p w14:paraId="5DF205E7" w14:textId="096A53F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Sale of goods and rendering of</w:t>
            </w:r>
            <w:r w:rsidR="00DD1D6A">
              <w:rPr>
                <w:rFonts w:ascii="Arial" w:hAnsi="Arial" w:cs="Arial"/>
                <w:color w:val="000000"/>
                <w:sz w:val="16"/>
                <w:szCs w:val="16"/>
              </w:rPr>
              <w:t xml:space="preserve"> </w:t>
            </w:r>
            <w:r w:rsidRPr="003341AF">
              <w:rPr>
                <w:rFonts w:ascii="Arial" w:hAnsi="Arial" w:cs="Arial"/>
                <w:color w:val="000000"/>
                <w:sz w:val="16"/>
                <w:szCs w:val="16"/>
              </w:rPr>
              <w:t>services</w:t>
            </w:r>
          </w:p>
        </w:tc>
        <w:tc>
          <w:tcPr>
            <w:tcW w:w="876" w:type="dxa"/>
            <w:tcBorders>
              <w:top w:val="nil"/>
              <w:left w:val="nil"/>
              <w:bottom w:val="nil"/>
              <w:right w:val="nil"/>
            </w:tcBorders>
            <w:shd w:val="clear" w:color="auto" w:fill="auto"/>
            <w:noWrap/>
            <w:vAlign w:val="bottom"/>
            <w:hideMark/>
          </w:tcPr>
          <w:p w14:paraId="28D94ADB" w14:textId="77777777"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(40)</w:t>
            </w:r>
          </w:p>
        </w:tc>
        <w:tc>
          <w:tcPr>
            <w:tcW w:w="877" w:type="dxa"/>
            <w:tcBorders>
              <w:top w:val="nil"/>
              <w:left w:val="nil"/>
              <w:bottom w:val="nil"/>
              <w:right w:val="nil"/>
            </w:tcBorders>
            <w:shd w:val="clear" w:color="000000" w:fill="E6E6E6"/>
            <w:noWrap/>
            <w:vAlign w:val="bottom"/>
            <w:hideMark/>
          </w:tcPr>
          <w:p w14:paraId="33198887" w14:textId="5DF0A451" w:rsidR="00C63902" w:rsidRPr="00BF6F80"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40</w:t>
            </w:r>
          </w:p>
        </w:tc>
        <w:tc>
          <w:tcPr>
            <w:tcW w:w="877" w:type="dxa"/>
            <w:tcBorders>
              <w:top w:val="nil"/>
              <w:left w:val="nil"/>
              <w:bottom w:val="nil"/>
              <w:right w:val="nil"/>
            </w:tcBorders>
            <w:shd w:val="clear" w:color="auto" w:fill="auto"/>
            <w:noWrap/>
            <w:vAlign w:val="bottom"/>
            <w:hideMark/>
          </w:tcPr>
          <w:p w14:paraId="75977C21" w14:textId="50BA971A" w:rsidR="00C63902" w:rsidRPr="00BF6F80"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4F81FD11" w14:textId="2EC33C78" w:rsidR="00C63902" w:rsidRPr="00480722"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w:t>
            </w:r>
          </w:p>
        </w:tc>
        <w:tc>
          <w:tcPr>
            <w:tcW w:w="867" w:type="dxa"/>
            <w:tcBorders>
              <w:top w:val="nil"/>
              <w:left w:val="nil"/>
              <w:bottom w:val="nil"/>
              <w:right w:val="nil"/>
            </w:tcBorders>
            <w:shd w:val="clear" w:color="auto" w:fill="auto"/>
            <w:noWrap/>
            <w:vAlign w:val="bottom"/>
            <w:hideMark/>
          </w:tcPr>
          <w:p w14:paraId="48D6516A" w14:textId="5855C542"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w:t>
            </w:r>
          </w:p>
        </w:tc>
      </w:tr>
      <w:tr w:rsidR="00C63902" w:rsidRPr="003341AF" w14:paraId="0F816F58" w14:textId="77777777" w:rsidTr="009A11F4">
        <w:trPr>
          <w:trHeight w:val="204"/>
        </w:trPr>
        <w:tc>
          <w:tcPr>
            <w:tcW w:w="3261" w:type="dxa"/>
            <w:tcBorders>
              <w:top w:val="nil"/>
              <w:left w:val="nil"/>
              <w:bottom w:val="nil"/>
              <w:right w:val="nil"/>
            </w:tcBorders>
            <w:shd w:val="clear" w:color="auto" w:fill="auto"/>
            <w:noWrap/>
            <w:vAlign w:val="center"/>
            <w:hideMark/>
          </w:tcPr>
          <w:p w14:paraId="0F37C785"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Interest</w:t>
            </w:r>
          </w:p>
        </w:tc>
        <w:tc>
          <w:tcPr>
            <w:tcW w:w="876" w:type="dxa"/>
            <w:tcBorders>
              <w:top w:val="nil"/>
              <w:left w:val="nil"/>
              <w:bottom w:val="nil"/>
              <w:right w:val="nil"/>
            </w:tcBorders>
            <w:shd w:val="clear" w:color="auto" w:fill="auto"/>
            <w:noWrap/>
            <w:vAlign w:val="bottom"/>
            <w:hideMark/>
          </w:tcPr>
          <w:p w14:paraId="69EDED2A" w14:textId="1C4736CA"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1</w:t>
            </w:r>
          </w:p>
        </w:tc>
        <w:tc>
          <w:tcPr>
            <w:tcW w:w="877" w:type="dxa"/>
            <w:tcBorders>
              <w:top w:val="nil"/>
              <w:left w:val="nil"/>
              <w:bottom w:val="nil"/>
              <w:right w:val="nil"/>
            </w:tcBorders>
            <w:shd w:val="clear" w:color="000000" w:fill="E6E6E6"/>
            <w:noWrap/>
            <w:vAlign w:val="bottom"/>
            <w:hideMark/>
          </w:tcPr>
          <w:p w14:paraId="67B058C5" w14:textId="26BC975E" w:rsidR="00C63902" w:rsidRPr="00BF6F80"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734A68B6" w14:textId="2C9D88EF" w:rsidR="00C63902" w:rsidRPr="00480722"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08A00495" w14:textId="06D5251B"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w:t>
            </w:r>
          </w:p>
        </w:tc>
        <w:tc>
          <w:tcPr>
            <w:tcW w:w="867" w:type="dxa"/>
            <w:tcBorders>
              <w:top w:val="nil"/>
              <w:left w:val="nil"/>
              <w:bottom w:val="nil"/>
              <w:right w:val="nil"/>
            </w:tcBorders>
            <w:shd w:val="clear" w:color="auto" w:fill="auto"/>
            <w:noWrap/>
            <w:vAlign w:val="bottom"/>
            <w:hideMark/>
          </w:tcPr>
          <w:p w14:paraId="7DDC8258" w14:textId="46B35E92"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w:t>
            </w:r>
          </w:p>
        </w:tc>
      </w:tr>
      <w:tr w:rsidR="00C63902" w:rsidRPr="003341AF" w14:paraId="79CCC172" w14:textId="77777777" w:rsidTr="009A11F4">
        <w:trPr>
          <w:trHeight w:val="204"/>
        </w:trPr>
        <w:tc>
          <w:tcPr>
            <w:tcW w:w="3261" w:type="dxa"/>
            <w:tcBorders>
              <w:top w:val="nil"/>
              <w:left w:val="nil"/>
              <w:bottom w:val="nil"/>
              <w:right w:val="nil"/>
            </w:tcBorders>
            <w:shd w:val="clear" w:color="auto" w:fill="auto"/>
            <w:noWrap/>
            <w:vAlign w:val="center"/>
            <w:hideMark/>
          </w:tcPr>
          <w:p w14:paraId="739942BB"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Net GST received</w:t>
            </w:r>
          </w:p>
        </w:tc>
        <w:tc>
          <w:tcPr>
            <w:tcW w:w="876" w:type="dxa"/>
            <w:tcBorders>
              <w:top w:val="nil"/>
              <w:left w:val="nil"/>
              <w:bottom w:val="nil"/>
              <w:right w:val="nil"/>
            </w:tcBorders>
            <w:shd w:val="clear" w:color="auto" w:fill="auto"/>
            <w:noWrap/>
            <w:vAlign w:val="bottom"/>
            <w:hideMark/>
          </w:tcPr>
          <w:p w14:paraId="59A1EFE0" w14:textId="77777777"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(43)</w:t>
            </w:r>
          </w:p>
        </w:tc>
        <w:tc>
          <w:tcPr>
            <w:tcW w:w="877" w:type="dxa"/>
            <w:tcBorders>
              <w:top w:val="nil"/>
              <w:left w:val="nil"/>
              <w:bottom w:val="nil"/>
              <w:right w:val="nil"/>
            </w:tcBorders>
            <w:shd w:val="clear" w:color="000000" w:fill="E6E6E6"/>
            <w:noWrap/>
            <w:vAlign w:val="bottom"/>
            <w:hideMark/>
          </w:tcPr>
          <w:p w14:paraId="347C4C9A" w14:textId="27A4F70B" w:rsidR="00C63902" w:rsidRPr="00BF6F80"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27</w:t>
            </w:r>
          </w:p>
        </w:tc>
        <w:tc>
          <w:tcPr>
            <w:tcW w:w="877" w:type="dxa"/>
            <w:tcBorders>
              <w:top w:val="nil"/>
              <w:left w:val="nil"/>
              <w:bottom w:val="nil"/>
              <w:right w:val="nil"/>
            </w:tcBorders>
            <w:shd w:val="clear" w:color="auto" w:fill="auto"/>
            <w:noWrap/>
            <w:vAlign w:val="bottom"/>
            <w:hideMark/>
          </w:tcPr>
          <w:p w14:paraId="1F937CD3" w14:textId="26AF8FE5" w:rsidR="00C63902" w:rsidRPr="00BF6F80"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78286C10" w14:textId="3C8C26E7" w:rsidR="00C63902" w:rsidRPr="00480722"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w:t>
            </w:r>
          </w:p>
        </w:tc>
        <w:tc>
          <w:tcPr>
            <w:tcW w:w="867" w:type="dxa"/>
            <w:tcBorders>
              <w:top w:val="nil"/>
              <w:left w:val="nil"/>
              <w:bottom w:val="nil"/>
              <w:right w:val="nil"/>
            </w:tcBorders>
            <w:shd w:val="clear" w:color="auto" w:fill="auto"/>
            <w:noWrap/>
            <w:vAlign w:val="bottom"/>
            <w:hideMark/>
          </w:tcPr>
          <w:p w14:paraId="41C6919B" w14:textId="04688D0D"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w:t>
            </w:r>
          </w:p>
        </w:tc>
      </w:tr>
      <w:tr w:rsidR="00C63902" w:rsidRPr="003341AF" w14:paraId="6D61F907" w14:textId="77777777" w:rsidTr="009A11F4">
        <w:trPr>
          <w:trHeight w:val="204"/>
        </w:trPr>
        <w:tc>
          <w:tcPr>
            <w:tcW w:w="3261" w:type="dxa"/>
            <w:tcBorders>
              <w:top w:val="nil"/>
              <w:left w:val="nil"/>
              <w:bottom w:val="nil"/>
              <w:right w:val="nil"/>
            </w:tcBorders>
            <w:shd w:val="clear" w:color="auto" w:fill="auto"/>
            <w:noWrap/>
            <w:vAlign w:val="center"/>
            <w:hideMark/>
          </w:tcPr>
          <w:p w14:paraId="3F261FF6" w14:textId="77777777" w:rsidR="00C63902" w:rsidRPr="003341AF" w:rsidRDefault="00C63902"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cash received</w:t>
            </w:r>
          </w:p>
        </w:tc>
        <w:tc>
          <w:tcPr>
            <w:tcW w:w="876" w:type="dxa"/>
            <w:tcBorders>
              <w:top w:val="single" w:sz="4" w:space="0" w:color="000000"/>
              <w:left w:val="nil"/>
              <w:bottom w:val="single" w:sz="4" w:space="0" w:color="000000"/>
              <w:right w:val="nil"/>
            </w:tcBorders>
            <w:shd w:val="clear" w:color="auto" w:fill="auto"/>
            <w:noWrap/>
            <w:vAlign w:val="bottom"/>
            <w:hideMark/>
          </w:tcPr>
          <w:p w14:paraId="34A4E96C" w14:textId="74EEE0E4"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10,477</w:t>
            </w:r>
          </w:p>
        </w:tc>
        <w:tc>
          <w:tcPr>
            <w:tcW w:w="877" w:type="dxa"/>
            <w:tcBorders>
              <w:top w:val="single" w:sz="4" w:space="0" w:color="000000"/>
              <w:left w:val="nil"/>
              <w:bottom w:val="single" w:sz="4" w:space="0" w:color="000000"/>
              <w:right w:val="nil"/>
            </w:tcBorders>
            <w:shd w:val="clear" w:color="000000" w:fill="E6E6E6"/>
            <w:noWrap/>
            <w:vAlign w:val="bottom"/>
            <w:hideMark/>
          </w:tcPr>
          <w:p w14:paraId="359BB1E5" w14:textId="452E9589" w:rsidR="00C63902" w:rsidRPr="00BF6F80" w:rsidRDefault="00C63902" w:rsidP="006E3451">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12,786</w:t>
            </w:r>
          </w:p>
        </w:tc>
        <w:tc>
          <w:tcPr>
            <w:tcW w:w="877" w:type="dxa"/>
            <w:tcBorders>
              <w:top w:val="single" w:sz="4" w:space="0" w:color="000000"/>
              <w:left w:val="nil"/>
              <w:bottom w:val="single" w:sz="4" w:space="0" w:color="000000"/>
              <w:right w:val="nil"/>
            </w:tcBorders>
            <w:shd w:val="clear" w:color="auto" w:fill="auto"/>
            <w:noWrap/>
            <w:vAlign w:val="bottom"/>
            <w:hideMark/>
          </w:tcPr>
          <w:p w14:paraId="310479FB" w14:textId="533F245C" w:rsidR="00C63902" w:rsidRPr="00480722" w:rsidRDefault="00C63902" w:rsidP="006E3451">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12,367</w:t>
            </w:r>
          </w:p>
        </w:tc>
        <w:tc>
          <w:tcPr>
            <w:tcW w:w="877" w:type="dxa"/>
            <w:tcBorders>
              <w:top w:val="single" w:sz="4" w:space="0" w:color="000000"/>
              <w:left w:val="nil"/>
              <w:bottom w:val="single" w:sz="4" w:space="0" w:color="000000"/>
              <w:right w:val="nil"/>
            </w:tcBorders>
            <w:shd w:val="clear" w:color="auto" w:fill="auto"/>
            <w:noWrap/>
            <w:vAlign w:val="bottom"/>
            <w:hideMark/>
          </w:tcPr>
          <w:p w14:paraId="13C85938" w14:textId="7322538E"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12,398</w:t>
            </w:r>
          </w:p>
        </w:tc>
        <w:tc>
          <w:tcPr>
            <w:tcW w:w="867" w:type="dxa"/>
            <w:tcBorders>
              <w:top w:val="single" w:sz="4" w:space="0" w:color="000000"/>
              <w:left w:val="nil"/>
              <w:bottom w:val="single" w:sz="4" w:space="0" w:color="000000"/>
              <w:right w:val="nil"/>
            </w:tcBorders>
            <w:shd w:val="clear" w:color="auto" w:fill="auto"/>
            <w:noWrap/>
            <w:vAlign w:val="bottom"/>
            <w:hideMark/>
          </w:tcPr>
          <w:p w14:paraId="08137451" w14:textId="01389DE5"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11,086</w:t>
            </w:r>
          </w:p>
        </w:tc>
      </w:tr>
      <w:tr w:rsidR="00C63902" w:rsidRPr="003341AF" w14:paraId="75C56B2E" w14:textId="77777777" w:rsidTr="009A11F4">
        <w:trPr>
          <w:trHeight w:val="204"/>
        </w:trPr>
        <w:tc>
          <w:tcPr>
            <w:tcW w:w="3261" w:type="dxa"/>
            <w:tcBorders>
              <w:top w:val="nil"/>
              <w:left w:val="nil"/>
              <w:bottom w:val="nil"/>
              <w:right w:val="nil"/>
            </w:tcBorders>
            <w:shd w:val="clear" w:color="auto" w:fill="auto"/>
            <w:noWrap/>
            <w:vAlign w:val="center"/>
            <w:hideMark/>
          </w:tcPr>
          <w:p w14:paraId="629B64D2"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Cash used</w:t>
            </w:r>
          </w:p>
        </w:tc>
        <w:tc>
          <w:tcPr>
            <w:tcW w:w="876" w:type="dxa"/>
            <w:tcBorders>
              <w:top w:val="nil"/>
              <w:left w:val="nil"/>
              <w:bottom w:val="nil"/>
              <w:right w:val="nil"/>
            </w:tcBorders>
            <w:shd w:val="clear" w:color="auto" w:fill="auto"/>
            <w:noWrap/>
            <w:vAlign w:val="bottom"/>
            <w:hideMark/>
          </w:tcPr>
          <w:p w14:paraId="7E77C00D" w14:textId="77777777" w:rsidR="00C63902" w:rsidRPr="00BD2F69" w:rsidRDefault="00C63902" w:rsidP="006E3451">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tcPr>
          <w:p w14:paraId="530FA4EA" w14:textId="6625AB8B" w:rsidR="00C63902" w:rsidRPr="00BD2F69"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1A3677F5" w14:textId="77777777" w:rsidR="00C63902" w:rsidRPr="00BF6F80"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6A4A867" w14:textId="77777777" w:rsidR="00C63902" w:rsidRPr="00064764" w:rsidRDefault="00C63902" w:rsidP="006E3451">
            <w:pPr>
              <w:spacing w:after="0" w:line="240" w:lineRule="auto"/>
              <w:jc w:val="right"/>
              <w:rPr>
                <w:rFonts w:ascii="Arial" w:hAnsi="Arial" w:cs="Arial"/>
                <w:sz w:val="16"/>
                <w:szCs w:val="16"/>
              </w:rPr>
            </w:pPr>
          </w:p>
        </w:tc>
        <w:tc>
          <w:tcPr>
            <w:tcW w:w="867" w:type="dxa"/>
            <w:tcBorders>
              <w:top w:val="nil"/>
              <w:left w:val="nil"/>
              <w:bottom w:val="nil"/>
              <w:right w:val="nil"/>
            </w:tcBorders>
            <w:shd w:val="clear" w:color="auto" w:fill="auto"/>
            <w:noWrap/>
            <w:vAlign w:val="bottom"/>
            <w:hideMark/>
          </w:tcPr>
          <w:p w14:paraId="65DD4C4F" w14:textId="77777777" w:rsidR="00C63902" w:rsidRPr="00064764" w:rsidRDefault="00C63902" w:rsidP="006E3451">
            <w:pPr>
              <w:spacing w:after="0" w:line="240" w:lineRule="auto"/>
              <w:jc w:val="right"/>
              <w:rPr>
                <w:rFonts w:ascii="Arial" w:hAnsi="Arial" w:cs="Arial"/>
                <w:sz w:val="16"/>
                <w:szCs w:val="16"/>
              </w:rPr>
            </w:pPr>
          </w:p>
        </w:tc>
      </w:tr>
      <w:tr w:rsidR="00C63902" w:rsidRPr="003341AF" w14:paraId="7FCDF353" w14:textId="77777777" w:rsidTr="009A11F4">
        <w:trPr>
          <w:trHeight w:val="204"/>
        </w:trPr>
        <w:tc>
          <w:tcPr>
            <w:tcW w:w="3261" w:type="dxa"/>
            <w:tcBorders>
              <w:top w:val="nil"/>
              <w:left w:val="nil"/>
              <w:bottom w:val="nil"/>
              <w:right w:val="nil"/>
            </w:tcBorders>
            <w:shd w:val="clear" w:color="auto" w:fill="auto"/>
            <w:noWrap/>
            <w:vAlign w:val="center"/>
            <w:hideMark/>
          </w:tcPr>
          <w:p w14:paraId="31ADC6E9"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Employees</w:t>
            </w:r>
          </w:p>
        </w:tc>
        <w:tc>
          <w:tcPr>
            <w:tcW w:w="876" w:type="dxa"/>
            <w:tcBorders>
              <w:top w:val="nil"/>
              <w:left w:val="nil"/>
              <w:bottom w:val="nil"/>
              <w:right w:val="nil"/>
            </w:tcBorders>
            <w:shd w:val="clear" w:color="auto" w:fill="auto"/>
            <w:noWrap/>
            <w:vAlign w:val="bottom"/>
            <w:hideMark/>
          </w:tcPr>
          <w:p w14:paraId="72B4B494" w14:textId="0679EB92"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7,008</w:t>
            </w:r>
          </w:p>
        </w:tc>
        <w:tc>
          <w:tcPr>
            <w:tcW w:w="877" w:type="dxa"/>
            <w:tcBorders>
              <w:top w:val="nil"/>
              <w:left w:val="nil"/>
              <w:bottom w:val="nil"/>
              <w:right w:val="nil"/>
            </w:tcBorders>
            <w:shd w:val="clear" w:color="000000" w:fill="E6E6E6"/>
            <w:noWrap/>
            <w:vAlign w:val="bottom"/>
            <w:hideMark/>
          </w:tcPr>
          <w:p w14:paraId="19808D1A" w14:textId="4ADCA6B1" w:rsidR="00C63902" w:rsidRPr="00BF6F80"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7,714</w:t>
            </w:r>
          </w:p>
        </w:tc>
        <w:tc>
          <w:tcPr>
            <w:tcW w:w="877" w:type="dxa"/>
            <w:tcBorders>
              <w:top w:val="nil"/>
              <w:left w:val="nil"/>
              <w:bottom w:val="nil"/>
              <w:right w:val="nil"/>
            </w:tcBorders>
            <w:shd w:val="clear" w:color="auto" w:fill="auto"/>
            <w:noWrap/>
            <w:vAlign w:val="bottom"/>
            <w:hideMark/>
          </w:tcPr>
          <w:p w14:paraId="73B1D152" w14:textId="09032926" w:rsidR="00C63902" w:rsidRPr="00480722"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7,900</w:t>
            </w:r>
          </w:p>
        </w:tc>
        <w:tc>
          <w:tcPr>
            <w:tcW w:w="877" w:type="dxa"/>
            <w:tcBorders>
              <w:top w:val="nil"/>
              <w:left w:val="nil"/>
              <w:bottom w:val="nil"/>
              <w:right w:val="nil"/>
            </w:tcBorders>
            <w:shd w:val="clear" w:color="auto" w:fill="auto"/>
            <w:noWrap/>
            <w:vAlign w:val="bottom"/>
            <w:hideMark/>
          </w:tcPr>
          <w:p w14:paraId="07B81D72" w14:textId="098449E4"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7,899</w:t>
            </w:r>
          </w:p>
        </w:tc>
        <w:tc>
          <w:tcPr>
            <w:tcW w:w="867" w:type="dxa"/>
            <w:tcBorders>
              <w:top w:val="nil"/>
              <w:left w:val="nil"/>
              <w:bottom w:val="nil"/>
              <w:right w:val="nil"/>
            </w:tcBorders>
            <w:shd w:val="clear" w:color="auto" w:fill="auto"/>
            <w:noWrap/>
            <w:vAlign w:val="bottom"/>
            <w:hideMark/>
          </w:tcPr>
          <w:p w14:paraId="3D4E4C32" w14:textId="61FB80EF"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7,728</w:t>
            </w:r>
          </w:p>
        </w:tc>
      </w:tr>
      <w:tr w:rsidR="00C63902" w:rsidRPr="003341AF" w14:paraId="327AAF2A" w14:textId="77777777" w:rsidTr="009A11F4">
        <w:trPr>
          <w:trHeight w:val="204"/>
        </w:trPr>
        <w:tc>
          <w:tcPr>
            <w:tcW w:w="3261" w:type="dxa"/>
            <w:tcBorders>
              <w:top w:val="nil"/>
              <w:left w:val="nil"/>
              <w:bottom w:val="nil"/>
              <w:right w:val="nil"/>
            </w:tcBorders>
            <w:shd w:val="clear" w:color="auto" w:fill="auto"/>
            <w:noWrap/>
            <w:vAlign w:val="center"/>
            <w:hideMark/>
          </w:tcPr>
          <w:p w14:paraId="1AFCBD34" w14:textId="77777777"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Suppliers</w:t>
            </w:r>
          </w:p>
        </w:tc>
        <w:tc>
          <w:tcPr>
            <w:tcW w:w="876" w:type="dxa"/>
            <w:tcBorders>
              <w:top w:val="nil"/>
              <w:left w:val="nil"/>
              <w:bottom w:val="nil"/>
              <w:right w:val="nil"/>
            </w:tcBorders>
            <w:shd w:val="clear" w:color="auto" w:fill="auto"/>
            <w:noWrap/>
            <w:vAlign w:val="bottom"/>
            <w:hideMark/>
          </w:tcPr>
          <w:p w14:paraId="6CF325B7" w14:textId="229CFAB2"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1,951</w:t>
            </w:r>
          </w:p>
        </w:tc>
        <w:tc>
          <w:tcPr>
            <w:tcW w:w="877" w:type="dxa"/>
            <w:tcBorders>
              <w:top w:val="nil"/>
              <w:left w:val="nil"/>
              <w:bottom w:val="nil"/>
              <w:right w:val="nil"/>
            </w:tcBorders>
            <w:shd w:val="clear" w:color="000000" w:fill="E6E6E6"/>
            <w:noWrap/>
            <w:vAlign w:val="bottom"/>
            <w:hideMark/>
          </w:tcPr>
          <w:p w14:paraId="46FAD5AA" w14:textId="163AF771" w:rsidR="00C63902" w:rsidRPr="00BF6F80"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4,142</w:t>
            </w:r>
          </w:p>
        </w:tc>
        <w:tc>
          <w:tcPr>
            <w:tcW w:w="877" w:type="dxa"/>
            <w:tcBorders>
              <w:top w:val="nil"/>
              <w:left w:val="nil"/>
              <w:bottom w:val="nil"/>
              <w:right w:val="nil"/>
            </w:tcBorders>
            <w:shd w:val="clear" w:color="auto" w:fill="auto"/>
            <w:noWrap/>
            <w:vAlign w:val="bottom"/>
            <w:hideMark/>
          </w:tcPr>
          <w:p w14:paraId="1FE3C216" w14:textId="209ED69F" w:rsidR="00C63902" w:rsidRPr="00480722"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3,604</w:t>
            </w:r>
          </w:p>
        </w:tc>
        <w:tc>
          <w:tcPr>
            <w:tcW w:w="877" w:type="dxa"/>
            <w:tcBorders>
              <w:top w:val="nil"/>
              <w:left w:val="nil"/>
              <w:bottom w:val="nil"/>
              <w:right w:val="nil"/>
            </w:tcBorders>
            <w:shd w:val="clear" w:color="auto" w:fill="auto"/>
            <w:noWrap/>
            <w:vAlign w:val="bottom"/>
            <w:hideMark/>
          </w:tcPr>
          <w:p w14:paraId="7F998BF9" w14:textId="5E964ADF"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3,645</w:t>
            </w:r>
          </w:p>
        </w:tc>
        <w:tc>
          <w:tcPr>
            <w:tcW w:w="867" w:type="dxa"/>
            <w:tcBorders>
              <w:top w:val="nil"/>
              <w:left w:val="nil"/>
              <w:bottom w:val="nil"/>
              <w:right w:val="nil"/>
            </w:tcBorders>
            <w:shd w:val="clear" w:color="auto" w:fill="auto"/>
            <w:noWrap/>
            <w:vAlign w:val="bottom"/>
            <w:hideMark/>
          </w:tcPr>
          <w:p w14:paraId="409BC253" w14:textId="17087FD9"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2,513</w:t>
            </w:r>
          </w:p>
        </w:tc>
      </w:tr>
      <w:tr w:rsidR="00C63902" w:rsidRPr="003341AF" w14:paraId="0A77DA9F" w14:textId="77777777" w:rsidTr="009A11F4">
        <w:trPr>
          <w:trHeight w:val="204"/>
        </w:trPr>
        <w:tc>
          <w:tcPr>
            <w:tcW w:w="3261" w:type="dxa"/>
            <w:tcBorders>
              <w:top w:val="nil"/>
              <w:left w:val="nil"/>
              <w:bottom w:val="nil"/>
              <w:right w:val="nil"/>
            </w:tcBorders>
            <w:shd w:val="clear" w:color="auto" w:fill="auto"/>
            <w:vAlign w:val="center"/>
            <w:hideMark/>
          </w:tcPr>
          <w:p w14:paraId="279E9CE6" w14:textId="77777777" w:rsidR="00C63902" w:rsidRPr="003341AF" w:rsidRDefault="00C63902" w:rsidP="00064764">
            <w:pPr>
              <w:spacing w:after="0" w:line="240" w:lineRule="auto"/>
              <w:ind w:left="113"/>
              <w:jc w:val="left"/>
              <w:rPr>
                <w:rFonts w:ascii="Arial" w:hAnsi="Arial" w:cs="Arial"/>
                <w:sz w:val="16"/>
                <w:szCs w:val="16"/>
              </w:rPr>
            </w:pPr>
            <w:r w:rsidRPr="003341AF">
              <w:rPr>
                <w:rFonts w:ascii="Arial" w:hAnsi="Arial" w:cs="Arial"/>
                <w:sz w:val="16"/>
                <w:szCs w:val="16"/>
              </w:rPr>
              <w:t>Interest payments on lease liability</w:t>
            </w:r>
          </w:p>
        </w:tc>
        <w:tc>
          <w:tcPr>
            <w:tcW w:w="876" w:type="dxa"/>
            <w:tcBorders>
              <w:top w:val="nil"/>
              <w:left w:val="nil"/>
              <w:bottom w:val="nil"/>
              <w:right w:val="nil"/>
            </w:tcBorders>
            <w:shd w:val="clear" w:color="auto" w:fill="auto"/>
            <w:noWrap/>
            <w:vAlign w:val="bottom"/>
            <w:hideMark/>
          </w:tcPr>
          <w:p w14:paraId="0AF5F7B4" w14:textId="29914845"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62</w:t>
            </w:r>
          </w:p>
        </w:tc>
        <w:tc>
          <w:tcPr>
            <w:tcW w:w="877" w:type="dxa"/>
            <w:tcBorders>
              <w:top w:val="nil"/>
              <w:left w:val="nil"/>
              <w:bottom w:val="nil"/>
              <w:right w:val="nil"/>
            </w:tcBorders>
            <w:shd w:val="clear" w:color="000000" w:fill="E6E6E6"/>
            <w:noWrap/>
            <w:vAlign w:val="bottom"/>
            <w:hideMark/>
          </w:tcPr>
          <w:p w14:paraId="192C6732" w14:textId="2482917F" w:rsidR="00C63902" w:rsidRPr="00BF6F80"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55</w:t>
            </w:r>
          </w:p>
        </w:tc>
        <w:tc>
          <w:tcPr>
            <w:tcW w:w="877" w:type="dxa"/>
            <w:tcBorders>
              <w:top w:val="nil"/>
              <w:left w:val="nil"/>
              <w:bottom w:val="nil"/>
              <w:right w:val="nil"/>
            </w:tcBorders>
            <w:shd w:val="clear" w:color="auto" w:fill="auto"/>
            <w:noWrap/>
            <w:vAlign w:val="bottom"/>
            <w:hideMark/>
          </w:tcPr>
          <w:p w14:paraId="577FA27C" w14:textId="1B61B6FD" w:rsidR="00C63902" w:rsidRPr="00480722"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47</w:t>
            </w:r>
          </w:p>
        </w:tc>
        <w:tc>
          <w:tcPr>
            <w:tcW w:w="877" w:type="dxa"/>
            <w:tcBorders>
              <w:top w:val="nil"/>
              <w:left w:val="nil"/>
              <w:bottom w:val="nil"/>
              <w:right w:val="nil"/>
            </w:tcBorders>
            <w:shd w:val="clear" w:color="auto" w:fill="auto"/>
            <w:noWrap/>
            <w:vAlign w:val="bottom"/>
            <w:hideMark/>
          </w:tcPr>
          <w:p w14:paraId="56894729" w14:textId="6F1C2FCA"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38</w:t>
            </w:r>
          </w:p>
        </w:tc>
        <w:tc>
          <w:tcPr>
            <w:tcW w:w="867" w:type="dxa"/>
            <w:tcBorders>
              <w:top w:val="nil"/>
              <w:left w:val="nil"/>
              <w:bottom w:val="nil"/>
              <w:right w:val="nil"/>
            </w:tcBorders>
            <w:shd w:val="clear" w:color="auto" w:fill="auto"/>
            <w:noWrap/>
            <w:vAlign w:val="bottom"/>
            <w:hideMark/>
          </w:tcPr>
          <w:p w14:paraId="6B7BE11C" w14:textId="4CF6993A"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29</w:t>
            </w:r>
          </w:p>
        </w:tc>
      </w:tr>
      <w:tr w:rsidR="00C63902" w:rsidRPr="003341AF" w14:paraId="06D8D50B" w14:textId="77777777" w:rsidTr="009A11F4">
        <w:trPr>
          <w:trHeight w:val="204"/>
        </w:trPr>
        <w:tc>
          <w:tcPr>
            <w:tcW w:w="3261" w:type="dxa"/>
            <w:tcBorders>
              <w:top w:val="nil"/>
              <w:left w:val="nil"/>
              <w:bottom w:val="nil"/>
              <w:right w:val="nil"/>
            </w:tcBorders>
            <w:shd w:val="clear" w:color="auto" w:fill="auto"/>
            <w:noWrap/>
            <w:vAlign w:val="center"/>
            <w:hideMark/>
          </w:tcPr>
          <w:p w14:paraId="330ACB85" w14:textId="77777777" w:rsidR="00C63902" w:rsidRPr="003341AF" w:rsidRDefault="00C63902"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cash used</w:t>
            </w:r>
          </w:p>
        </w:tc>
        <w:tc>
          <w:tcPr>
            <w:tcW w:w="876" w:type="dxa"/>
            <w:tcBorders>
              <w:top w:val="single" w:sz="4" w:space="0" w:color="000000"/>
              <w:left w:val="nil"/>
              <w:bottom w:val="nil"/>
              <w:right w:val="nil"/>
            </w:tcBorders>
            <w:shd w:val="clear" w:color="auto" w:fill="auto"/>
            <w:noWrap/>
            <w:vAlign w:val="bottom"/>
            <w:hideMark/>
          </w:tcPr>
          <w:p w14:paraId="402E8B47" w14:textId="0D66D275"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9,021</w:t>
            </w:r>
          </w:p>
        </w:tc>
        <w:tc>
          <w:tcPr>
            <w:tcW w:w="877" w:type="dxa"/>
            <w:tcBorders>
              <w:top w:val="single" w:sz="4" w:space="0" w:color="000000"/>
              <w:left w:val="nil"/>
              <w:bottom w:val="nil"/>
              <w:right w:val="nil"/>
            </w:tcBorders>
            <w:shd w:val="clear" w:color="000000" w:fill="E6E6E6"/>
            <w:noWrap/>
            <w:vAlign w:val="bottom"/>
            <w:hideMark/>
          </w:tcPr>
          <w:p w14:paraId="54A1F417" w14:textId="5F7AF9F5" w:rsidR="00C63902" w:rsidRPr="00BF6F80" w:rsidRDefault="00C63902" w:rsidP="006E3451">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11,911</w:t>
            </w:r>
          </w:p>
        </w:tc>
        <w:tc>
          <w:tcPr>
            <w:tcW w:w="877" w:type="dxa"/>
            <w:tcBorders>
              <w:top w:val="single" w:sz="4" w:space="0" w:color="000000"/>
              <w:left w:val="nil"/>
              <w:bottom w:val="nil"/>
              <w:right w:val="nil"/>
            </w:tcBorders>
            <w:shd w:val="clear" w:color="auto" w:fill="auto"/>
            <w:noWrap/>
            <w:vAlign w:val="bottom"/>
            <w:hideMark/>
          </w:tcPr>
          <w:p w14:paraId="641DF344" w14:textId="6694BE03" w:rsidR="00C63902" w:rsidRPr="00BD2F69" w:rsidRDefault="00C63902" w:rsidP="006E3451">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11,55</w:t>
            </w:r>
            <w:r w:rsidRPr="00480722">
              <w:rPr>
                <w:rFonts w:ascii="Arial" w:hAnsi="Arial" w:cs="Arial"/>
                <w:b/>
                <w:bCs/>
                <w:i/>
                <w:iCs/>
                <w:color w:val="000000"/>
                <w:sz w:val="16"/>
                <w:szCs w:val="16"/>
              </w:rPr>
              <w:t>1</w:t>
            </w:r>
          </w:p>
        </w:tc>
        <w:tc>
          <w:tcPr>
            <w:tcW w:w="877" w:type="dxa"/>
            <w:tcBorders>
              <w:top w:val="single" w:sz="4" w:space="0" w:color="000000"/>
              <w:left w:val="nil"/>
              <w:bottom w:val="nil"/>
              <w:right w:val="nil"/>
            </w:tcBorders>
            <w:shd w:val="clear" w:color="auto" w:fill="auto"/>
            <w:noWrap/>
            <w:vAlign w:val="bottom"/>
            <w:hideMark/>
          </w:tcPr>
          <w:p w14:paraId="6C0A5A88" w14:textId="4A4D8D9A"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11,582</w:t>
            </w:r>
          </w:p>
        </w:tc>
        <w:tc>
          <w:tcPr>
            <w:tcW w:w="867" w:type="dxa"/>
            <w:tcBorders>
              <w:top w:val="single" w:sz="4" w:space="0" w:color="000000"/>
              <w:left w:val="nil"/>
              <w:bottom w:val="nil"/>
              <w:right w:val="nil"/>
            </w:tcBorders>
            <w:shd w:val="clear" w:color="auto" w:fill="auto"/>
            <w:noWrap/>
            <w:vAlign w:val="bottom"/>
            <w:hideMark/>
          </w:tcPr>
          <w:p w14:paraId="644003A6" w14:textId="2D873536"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10,270</w:t>
            </w:r>
          </w:p>
        </w:tc>
      </w:tr>
      <w:tr w:rsidR="00C63902" w:rsidRPr="003341AF" w14:paraId="10F8A030" w14:textId="77777777" w:rsidTr="009A11F4">
        <w:trPr>
          <w:trHeight w:val="204"/>
        </w:trPr>
        <w:tc>
          <w:tcPr>
            <w:tcW w:w="3261" w:type="dxa"/>
            <w:tcBorders>
              <w:top w:val="nil"/>
              <w:left w:val="nil"/>
              <w:bottom w:val="nil"/>
              <w:right w:val="nil"/>
            </w:tcBorders>
            <w:shd w:val="clear" w:color="auto" w:fill="auto"/>
            <w:vAlign w:val="center"/>
            <w:hideMark/>
          </w:tcPr>
          <w:p w14:paraId="4771C363" w14:textId="7E4428F4" w:rsidR="00C63902" w:rsidRPr="003341AF" w:rsidRDefault="00C63902" w:rsidP="0048072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Net cash from/(used by) operating activities</w:t>
            </w:r>
          </w:p>
        </w:tc>
        <w:tc>
          <w:tcPr>
            <w:tcW w:w="876" w:type="dxa"/>
            <w:tcBorders>
              <w:top w:val="single" w:sz="4" w:space="0" w:color="auto"/>
              <w:left w:val="nil"/>
              <w:bottom w:val="single" w:sz="4" w:space="0" w:color="auto"/>
              <w:right w:val="nil"/>
            </w:tcBorders>
            <w:shd w:val="clear" w:color="auto" w:fill="auto"/>
            <w:noWrap/>
            <w:vAlign w:val="bottom"/>
            <w:hideMark/>
          </w:tcPr>
          <w:p w14:paraId="7261963D" w14:textId="3C32BF5E" w:rsidR="00C63902" w:rsidRPr="00BD2F69" w:rsidRDefault="00C63902" w:rsidP="006E3451">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1,456</w:t>
            </w:r>
          </w:p>
        </w:tc>
        <w:tc>
          <w:tcPr>
            <w:tcW w:w="877" w:type="dxa"/>
            <w:tcBorders>
              <w:top w:val="single" w:sz="4" w:space="0" w:color="auto"/>
              <w:left w:val="nil"/>
              <w:bottom w:val="single" w:sz="4" w:space="0" w:color="auto"/>
              <w:right w:val="nil"/>
            </w:tcBorders>
            <w:shd w:val="clear" w:color="000000" w:fill="E6E6E6"/>
            <w:noWrap/>
            <w:vAlign w:val="bottom"/>
            <w:hideMark/>
          </w:tcPr>
          <w:p w14:paraId="24CD83DE" w14:textId="779E4995" w:rsidR="00C63902" w:rsidRPr="00BF6F80" w:rsidRDefault="00C63902" w:rsidP="006E3451">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875</w:t>
            </w:r>
          </w:p>
        </w:tc>
        <w:tc>
          <w:tcPr>
            <w:tcW w:w="877" w:type="dxa"/>
            <w:tcBorders>
              <w:top w:val="single" w:sz="4" w:space="0" w:color="auto"/>
              <w:left w:val="nil"/>
              <w:bottom w:val="single" w:sz="4" w:space="0" w:color="auto"/>
              <w:right w:val="nil"/>
            </w:tcBorders>
            <w:shd w:val="clear" w:color="auto" w:fill="auto"/>
            <w:noWrap/>
            <w:vAlign w:val="bottom"/>
            <w:hideMark/>
          </w:tcPr>
          <w:p w14:paraId="7B48B017" w14:textId="2B40BB02" w:rsidR="00C63902" w:rsidRPr="00480722" w:rsidRDefault="00C63902" w:rsidP="006E3451">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816</w:t>
            </w:r>
          </w:p>
        </w:tc>
        <w:tc>
          <w:tcPr>
            <w:tcW w:w="877" w:type="dxa"/>
            <w:tcBorders>
              <w:top w:val="single" w:sz="4" w:space="0" w:color="auto"/>
              <w:left w:val="nil"/>
              <w:bottom w:val="single" w:sz="4" w:space="0" w:color="auto"/>
              <w:right w:val="nil"/>
            </w:tcBorders>
            <w:shd w:val="clear" w:color="auto" w:fill="auto"/>
            <w:noWrap/>
            <w:vAlign w:val="bottom"/>
            <w:hideMark/>
          </w:tcPr>
          <w:p w14:paraId="2E985765" w14:textId="34C491AC" w:rsidR="00C63902" w:rsidRPr="00BD2F69" w:rsidRDefault="00C63902" w:rsidP="006E3451">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816</w:t>
            </w:r>
          </w:p>
        </w:tc>
        <w:tc>
          <w:tcPr>
            <w:tcW w:w="867" w:type="dxa"/>
            <w:tcBorders>
              <w:top w:val="single" w:sz="4" w:space="0" w:color="auto"/>
              <w:left w:val="nil"/>
              <w:bottom w:val="single" w:sz="4" w:space="0" w:color="auto"/>
              <w:right w:val="nil"/>
            </w:tcBorders>
            <w:shd w:val="clear" w:color="auto" w:fill="auto"/>
            <w:noWrap/>
            <w:vAlign w:val="bottom"/>
            <w:hideMark/>
          </w:tcPr>
          <w:p w14:paraId="255D8D0B" w14:textId="1DFC6372" w:rsidR="00C63902" w:rsidRPr="00BD2F69" w:rsidRDefault="00C63902" w:rsidP="006E3451">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816</w:t>
            </w:r>
          </w:p>
        </w:tc>
      </w:tr>
      <w:tr w:rsidR="00C63902" w:rsidRPr="003341AF" w14:paraId="393C2543" w14:textId="77777777" w:rsidTr="009A11F4">
        <w:trPr>
          <w:trHeight w:val="204"/>
        </w:trPr>
        <w:tc>
          <w:tcPr>
            <w:tcW w:w="3261" w:type="dxa"/>
            <w:tcBorders>
              <w:top w:val="nil"/>
              <w:left w:val="nil"/>
              <w:bottom w:val="nil"/>
              <w:right w:val="nil"/>
            </w:tcBorders>
            <w:shd w:val="clear" w:color="auto" w:fill="auto"/>
            <w:noWrap/>
            <w:vAlign w:val="center"/>
            <w:hideMark/>
          </w:tcPr>
          <w:p w14:paraId="2D2605F7" w14:textId="77777777" w:rsidR="00C63902" w:rsidRPr="003341AF" w:rsidRDefault="00C63902" w:rsidP="00064764">
            <w:pPr>
              <w:spacing w:before="60" w:after="0" w:line="240" w:lineRule="auto"/>
              <w:jc w:val="left"/>
              <w:rPr>
                <w:rFonts w:ascii="Arial" w:hAnsi="Arial" w:cs="Arial"/>
                <w:b/>
                <w:bCs/>
                <w:color w:val="000000"/>
                <w:sz w:val="16"/>
                <w:szCs w:val="16"/>
              </w:rPr>
            </w:pPr>
            <w:r w:rsidRPr="003341AF">
              <w:rPr>
                <w:rFonts w:ascii="Arial" w:hAnsi="Arial" w:cs="Arial"/>
                <w:b/>
                <w:bCs/>
                <w:color w:val="000000"/>
                <w:sz w:val="16"/>
                <w:szCs w:val="16"/>
              </w:rPr>
              <w:t>INVESTING ACTIVITIES</w:t>
            </w:r>
          </w:p>
        </w:tc>
        <w:tc>
          <w:tcPr>
            <w:tcW w:w="876" w:type="dxa"/>
            <w:tcBorders>
              <w:top w:val="nil"/>
              <w:left w:val="nil"/>
              <w:bottom w:val="nil"/>
              <w:right w:val="nil"/>
            </w:tcBorders>
            <w:shd w:val="clear" w:color="auto" w:fill="auto"/>
            <w:noWrap/>
            <w:vAlign w:val="bottom"/>
            <w:hideMark/>
          </w:tcPr>
          <w:p w14:paraId="26BF94DF" w14:textId="77777777" w:rsidR="00C63902" w:rsidRPr="00BD2F69" w:rsidRDefault="00C63902" w:rsidP="006E3451">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1EBEF512" w14:textId="313E3B4B" w:rsidR="00C63902" w:rsidRPr="00BD2F69"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1ECC8703" w14:textId="77777777" w:rsidR="00C63902" w:rsidRPr="00BF6F80"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7643EE8" w14:textId="77777777" w:rsidR="00C63902" w:rsidRPr="00064764" w:rsidRDefault="00C63902" w:rsidP="006E3451">
            <w:pPr>
              <w:spacing w:after="0" w:line="240" w:lineRule="auto"/>
              <w:jc w:val="right"/>
              <w:rPr>
                <w:rFonts w:ascii="Arial" w:hAnsi="Arial" w:cs="Arial"/>
                <w:sz w:val="16"/>
                <w:szCs w:val="16"/>
              </w:rPr>
            </w:pPr>
          </w:p>
        </w:tc>
        <w:tc>
          <w:tcPr>
            <w:tcW w:w="867" w:type="dxa"/>
            <w:tcBorders>
              <w:top w:val="nil"/>
              <w:left w:val="nil"/>
              <w:bottom w:val="nil"/>
              <w:right w:val="nil"/>
            </w:tcBorders>
            <w:shd w:val="clear" w:color="auto" w:fill="auto"/>
            <w:noWrap/>
            <w:vAlign w:val="bottom"/>
            <w:hideMark/>
          </w:tcPr>
          <w:p w14:paraId="4BCE0254" w14:textId="77777777" w:rsidR="00C63902" w:rsidRPr="00064764" w:rsidRDefault="00C63902" w:rsidP="006E3451">
            <w:pPr>
              <w:spacing w:after="0" w:line="240" w:lineRule="auto"/>
              <w:jc w:val="right"/>
              <w:rPr>
                <w:rFonts w:ascii="Arial" w:hAnsi="Arial" w:cs="Arial"/>
                <w:sz w:val="16"/>
                <w:szCs w:val="16"/>
              </w:rPr>
            </w:pPr>
          </w:p>
        </w:tc>
      </w:tr>
      <w:tr w:rsidR="00C63902" w:rsidRPr="003341AF" w14:paraId="6D47CD19" w14:textId="77777777" w:rsidTr="009A11F4">
        <w:trPr>
          <w:trHeight w:val="204"/>
        </w:trPr>
        <w:tc>
          <w:tcPr>
            <w:tcW w:w="3261" w:type="dxa"/>
            <w:tcBorders>
              <w:top w:val="nil"/>
              <w:left w:val="nil"/>
              <w:bottom w:val="nil"/>
              <w:right w:val="nil"/>
            </w:tcBorders>
            <w:shd w:val="clear" w:color="auto" w:fill="auto"/>
            <w:noWrap/>
            <w:vAlign w:val="center"/>
            <w:hideMark/>
          </w:tcPr>
          <w:p w14:paraId="536E3F86"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Cash used</w:t>
            </w:r>
          </w:p>
        </w:tc>
        <w:tc>
          <w:tcPr>
            <w:tcW w:w="876" w:type="dxa"/>
            <w:tcBorders>
              <w:top w:val="nil"/>
              <w:left w:val="nil"/>
              <w:bottom w:val="nil"/>
              <w:right w:val="nil"/>
            </w:tcBorders>
            <w:shd w:val="clear" w:color="auto" w:fill="auto"/>
            <w:noWrap/>
            <w:vAlign w:val="bottom"/>
            <w:hideMark/>
          </w:tcPr>
          <w:p w14:paraId="4787DCC2" w14:textId="77777777" w:rsidR="00C63902" w:rsidRPr="00BD2F69" w:rsidRDefault="00C63902" w:rsidP="006E3451">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422CD997" w14:textId="079DA09D" w:rsidR="00C63902" w:rsidRPr="00BD2F69"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DA44AE6" w14:textId="77777777" w:rsidR="00C63902" w:rsidRPr="00BF6F80"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2DA399D" w14:textId="77777777" w:rsidR="00C63902" w:rsidRPr="00064764" w:rsidRDefault="00C63902" w:rsidP="006E3451">
            <w:pPr>
              <w:spacing w:after="0" w:line="240" w:lineRule="auto"/>
              <w:jc w:val="right"/>
              <w:rPr>
                <w:rFonts w:ascii="Arial" w:hAnsi="Arial" w:cs="Arial"/>
                <w:sz w:val="16"/>
                <w:szCs w:val="16"/>
              </w:rPr>
            </w:pPr>
          </w:p>
        </w:tc>
        <w:tc>
          <w:tcPr>
            <w:tcW w:w="867" w:type="dxa"/>
            <w:tcBorders>
              <w:top w:val="nil"/>
              <w:left w:val="nil"/>
              <w:bottom w:val="nil"/>
              <w:right w:val="nil"/>
            </w:tcBorders>
            <w:shd w:val="clear" w:color="auto" w:fill="auto"/>
            <w:noWrap/>
            <w:vAlign w:val="bottom"/>
            <w:hideMark/>
          </w:tcPr>
          <w:p w14:paraId="78E110A0" w14:textId="77777777" w:rsidR="00C63902" w:rsidRPr="00064764" w:rsidRDefault="00C63902" w:rsidP="006E3451">
            <w:pPr>
              <w:spacing w:after="0" w:line="240" w:lineRule="auto"/>
              <w:jc w:val="right"/>
              <w:rPr>
                <w:rFonts w:ascii="Arial" w:hAnsi="Arial" w:cs="Arial"/>
                <w:sz w:val="16"/>
                <w:szCs w:val="16"/>
              </w:rPr>
            </w:pPr>
          </w:p>
        </w:tc>
      </w:tr>
      <w:tr w:rsidR="00C63902" w:rsidRPr="003341AF" w14:paraId="3E91AA9A" w14:textId="77777777" w:rsidTr="009A11F4">
        <w:trPr>
          <w:trHeight w:val="204"/>
        </w:trPr>
        <w:tc>
          <w:tcPr>
            <w:tcW w:w="3261" w:type="dxa"/>
            <w:tcBorders>
              <w:top w:val="nil"/>
              <w:left w:val="nil"/>
              <w:bottom w:val="nil"/>
              <w:right w:val="nil"/>
            </w:tcBorders>
            <w:shd w:val="clear" w:color="auto" w:fill="auto"/>
            <w:vAlign w:val="center"/>
            <w:hideMark/>
          </w:tcPr>
          <w:p w14:paraId="76942566" w14:textId="1EA79002" w:rsidR="00C63902" w:rsidRPr="003341AF" w:rsidRDefault="00C63902" w:rsidP="00064764">
            <w:pPr>
              <w:spacing w:after="0" w:line="240" w:lineRule="auto"/>
              <w:ind w:left="113"/>
              <w:jc w:val="left"/>
              <w:rPr>
                <w:rFonts w:ascii="Arial" w:hAnsi="Arial" w:cs="Arial"/>
                <w:color w:val="000000"/>
                <w:sz w:val="16"/>
                <w:szCs w:val="16"/>
              </w:rPr>
            </w:pPr>
            <w:r w:rsidRPr="003341AF">
              <w:rPr>
                <w:rFonts w:ascii="Arial" w:hAnsi="Arial" w:cs="Arial"/>
                <w:color w:val="000000"/>
                <w:sz w:val="16"/>
                <w:szCs w:val="16"/>
              </w:rPr>
              <w:t>Purchase of property, plant and</w:t>
            </w:r>
            <w:r w:rsidR="00DD1D6A">
              <w:rPr>
                <w:rFonts w:ascii="Arial" w:hAnsi="Arial" w:cs="Arial"/>
                <w:color w:val="000000"/>
                <w:sz w:val="16"/>
                <w:szCs w:val="16"/>
              </w:rPr>
              <w:t xml:space="preserve"> </w:t>
            </w:r>
            <w:r w:rsidRPr="003341AF">
              <w:rPr>
                <w:rFonts w:ascii="Arial" w:hAnsi="Arial" w:cs="Arial"/>
                <w:color w:val="000000"/>
                <w:sz w:val="16"/>
                <w:szCs w:val="16"/>
              </w:rPr>
              <w:t>equipment and intangibles</w:t>
            </w:r>
          </w:p>
        </w:tc>
        <w:tc>
          <w:tcPr>
            <w:tcW w:w="876" w:type="dxa"/>
            <w:tcBorders>
              <w:top w:val="nil"/>
              <w:left w:val="nil"/>
              <w:bottom w:val="single" w:sz="4" w:space="0" w:color="000000"/>
              <w:right w:val="nil"/>
            </w:tcBorders>
            <w:shd w:val="clear" w:color="auto" w:fill="auto"/>
            <w:noWrap/>
            <w:vAlign w:val="bottom"/>
            <w:hideMark/>
          </w:tcPr>
          <w:p w14:paraId="2C6BBADC" w14:textId="326A599D"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296</w:t>
            </w:r>
          </w:p>
        </w:tc>
        <w:tc>
          <w:tcPr>
            <w:tcW w:w="877" w:type="dxa"/>
            <w:tcBorders>
              <w:top w:val="nil"/>
              <w:left w:val="nil"/>
              <w:bottom w:val="single" w:sz="4" w:space="0" w:color="000000"/>
              <w:right w:val="nil"/>
            </w:tcBorders>
            <w:shd w:val="clear" w:color="000000" w:fill="E6E6E6"/>
            <w:noWrap/>
            <w:vAlign w:val="bottom"/>
            <w:hideMark/>
          </w:tcPr>
          <w:p w14:paraId="3BEC46B0" w14:textId="31FDB1AC" w:rsidR="00C63902" w:rsidRPr="00BF6F80"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200</w:t>
            </w:r>
          </w:p>
        </w:tc>
        <w:tc>
          <w:tcPr>
            <w:tcW w:w="877" w:type="dxa"/>
            <w:tcBorders>
              <w:top w:val="nil"/>
              <w:left w:val="nil"/>
              <w:bottom w:val="single" w:sz="4" w:space="0" w:color="000000"/>
              <w:right w:val="nil"/>
            </w:tcBorders>
            <w:shd w:val="clear" w:color="auto" w:fill="auto"/>
            <w:noWrap/>
            <w:vAlign w:val="bottom"/>
            <w:hideMark/>
          </w:tcPr>
          <w:p w14:paraId="7260B3B0" w14:textId="370BD349" w:rsidR="00C63902" w:rsidRPr="00BF6F80"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300</w:t>
            </w:r>
          </w:p>
        </w:tc>
        <w:tc>
          <w:tcPr>
            <w:tcW w:w="877" w:type="dxa"/>
            <w:tcBorders>
              <w:top w:val="nil"/>
              <w:left w:val="nil"/>
              <w:bottom w:val="single" w:sz="4" w:space="0" w:color="000000"/>
              <w:right w:val="nil"/>
            </w:tcBorders>
            <w:shd w:val="clear" w:color="auto" w:fill="auto"/>
            <w:noWrap/>
            <w:vAlign w:val="bottom"/>
            <w:hideMark/>
          </w:tcPr>
          <w:p w14:paraId="02DA5A68" w14:textId="5401167B" w:rsidR="00C63902" w:rsidRPr="00480722"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300</w:t>
            </w:r>
          </w:p>
        </w:tc>
        <w:tc>
          <w:tcPr>
            <w:tcW w:w="867" w:type="dxa"/>
            <w:tcBorders>
              <w:top w:val="nil"/>
              <w:left w:val="nil"/>
              <w:bottom w:val="single" w:sz="4" w:space="0" w:color="000000"/>
              <w:right w:val="nil"/>
            </w:tcBorders>
            <w:shd w:val="clear" w:color="auto" w:fill="auto"/>
            <w:noWrap/>
            <w:vAlign w:val="bottom"/>
            <w:hideMark/>
          </w:tcPr>
          <w:p w14:paraId="0DCAF7D0" w14:textId="1C66D173"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300</w:t>
            </w:r>
          </w:p>
        </w:tc>
      </w:tr>
      <w:tr w:rsidR="00C63902" w:rsidRPr="003341AF" w14:paraId="76767504" w14:textId="77777777" w:rsidTr="009A11F4">
        <w:trPr>
          <w:trHeight w:val="204"/>
        </w:trPr>
        <w:tc>
          <w:tcPr>
            <w:tcW w:w="3261" w:type="dxa"/>
            <w:tcBorders>
              <w:top w:val="nil"/>
              <w:left w:val="nil"/>
              <w:bottom w:val="nil"/>
              <w:right w:val="nil"/>
            </w:tcBorders>
            <w:shd w:val="clear" w:color="auto" w:fill="auto"/>
            <w:noWrap/>
            <w:vAlign w:val="center"/>
            <w:hideMark/>
          </w:tcPr>
          <w:p w14:paraId="754A9DB9" w14:textId="77777777" w:rsidR="00C63902" w:rsidRPr="003341AF" w:rsidRDefault="00C63902"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cash used</w:t>
            </w:r>
          </w:p>
        </w:tc>
        <w:tc>
          <w:tcPr>
            <w:tcW w:w="876" w:type="dxa"/>
            <w:tcBorders>
              <w:top w:val="single" w:sz="4" w:space="0" w:color="000000"/>
              <w:left w:val="nil"/>
              <w:bottom w:val="single" w:sz="4" w:space="0" w:color="auto"/>
              <w:right w:val="nil"/>
            </w:tcBorders>
            <w:shd w:val="clear" w:color="auto" w:fill="auto"/>
            <w:noWrap/>
            <w:vAlign w:val="bottom"/>
            <w:hideMark/>
          </w:tcPr>
          <w:p w14:paraId="4A91C2DC" w14:textId="59B31279"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296</w:t>
            </w:r>
          </w:p>
        </w:tc>
        <w:tc>
          <w:tcPr>
            <w:tcW w:w="877" w:type="dxa"/>
            <w:tcBorders>
              <w:top w:val="single" w:sz="4" w:space="0" w:color="000000"/>
              <w:left w:val="nil"/>
              <w:bottom w:val="single" w:sz="4" w:space="0" w:color="auto"/>
              <w:right w:val="nil"/>
            </w:tcBorders>
            <w:shd w:val="clear" w:color="000000" w:fill="E6E6E6"/>
            <w:noWrap/>
            <w:vAlign w:val="bottom"/>
            <w:hideMark/>
          </w:tcPr>
          <w:p w14:paraId="54ED471D" w14:textId="1D901723" w:rsidR="00C63902" w:rsidRPr="00BF6F80" w:rsidRDefault="00C63902" w:rsidP="006E3451">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200</w:t>
            </w:r>
          </w:p>
        </w:tc>
        <w:tc>
          <w:tcPr>
            <w:tcW w:w="877" w:type="dxa"/>
            <w:tcBorders>
              <w:top w:val="single" w:sz="4" w:space="0" w:color="000000"/>
              <w:left w:val="nil"/>
              <w:bottom w:val="single" w:sz="4" w:space="0" w:color="auto"/>
              <w:right w:val="nil"/>
            </w:tcBorders>
            <w:shd w:val="clear" w:color="auto" w:fill="auto"/>
            <w:noWrap/>
            <w:vAlign w:val="bottom"/>
            <w:hideMark/>
          </w:tcPr>
          <w:p w14:paraId="2DCE1188" w14:textId="7E136132" w:rsidR="00C63902" w:rsidRPr="00BF6F80" w:rsidRDefault="00C63902" w:rsidP="006E3451">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300</w:t>
            </w:r>
          </w:p>
        </w:tc>
        <w:tc>
          <w:tcPr>
            <w:tcW w:w="877" w:type="dxa"/>
            <w:tcBorders>
              <w:top w:val="single" w:sz="4" w:space="0" w:color="000000"/>
              <w:left w:val="nil"/>
              <w:bottom w:val="single" w:sz="4" w:space="0" w:color="auto"/>
              <w:right w:val="nil"/>
            </w:tcBorders>
            <w:shd w:val="clear" w:color="auto" w:fill="auto"/>
            <w:noWrap/>
            <w:vAlign w:val="bottom"/>
            <w:hideMark/>
          </w:tcPr>
          <w:p w14:paraId="55835AC2" w14:textId="33F90E97" w:rsidR="00C63902" w:rsidRPr="00480722" w:rsidRDefault="00C63902" w:rsidP="006E3451">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300</w:t>
            </w:r>
          </w:p>
        </w:tc>
        <w:tc>
          <w:tcPr>
            <w:tcW w:w="867" w:type="dxa"/>
            <w:tcBorders>
              <w:top w:val="single" w:sz="4" w:space="0" w:color="000000"/>
              <w:left w:val="nil"/>
              <w:bottom w:val="single" w:sz="4" w:space="0" w:color="auto"/>
              <w:right w:val="nil"/>
            </w:tcBorders>
            <w:shd w:val="clear" w:color="auto" w:fill="auto"/>
            <w:noWrap/>
            <w:vAlign w:val="bottom"/>
            <w:hideMark/>
          </w:tcPr>
          <w:p w14:paraId="2B3DA1D7" w14:textId="166F4426"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300</w:t>
            </w:r>
          </w:p>
        </w:tc>
      </w:tr>
      <w:tr w:rsidR="00C63902" w:rsidRPr="003341AF" w14:paraId="5DDD47C1" w14:textId="77777777" w:rsidTr="009A11F4">
        <w:trPr>
          <w:trHeight w:val="204"/>
        </w:trPr>
        <w:tc>
          <w:tcPr>
            <w:tcW w:w="3261" w:type="dxa"/>
            <w:tcBorders>
              <w:top w:val="nil"/>
              <w:left w:val="nil"/>
              <w:bottom w:val="nil"/>
              <w:right w:val="nil"/>
            </w:tcBorders>
            <w:shd w:val="clear" w:color="auto" w:fill="auto"/>
            <w:vAlign w:val="center"/>
            <w:hideMark/>
          </w:tcPr>
          <w:p w14:paraId="39741855" w14:textId="78FC73D3" w:rsidR="00C63902" w:rsidRPr="003341AF" w:rsidRDefault="00C63902" w:rsidP="0048072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Net cash from/(used by)</w:t>
            </w:r>
            <w:r w:rsidR="00DD1D6A">
              <w:rPr>
                <w:rFonts w:ascii="Arial" w:hAnsi="Arial" w:cs="Arial"/>
                <w:b/>
                <w:bCs/>
                <w:color w:val="000000"/>
                <w:sz w:val="16"/>
                <w:szCs w:val="16"/>
              </w:rPr>
              <w:t xml:space="preserve"> </w:t>
            </w:r>
            <w:r w:rsidRPr="003341AF">
              <w:rPr>
                <w:rFonts w:ascii="Arial" w:hAnsi="Arial" w:cs="Arial"/>
                <w:b/>
                <w:bCs/>
                <w:color w:val="000000"/>
                <w:sz w:val="16"/>
                <w:szCs w:val="16"/>
              </w:rPr>
              <w:t>investing activities</w:t>
            </w:r>
          </w:p>
        </w:tc>
        <w:tc>
          <w:tcPr>
            <w:tcW w:w="876" w:type="dxa"/>
            <w:tcBorders>
              <w:top w:val="single" w:sz="4" w:space="0" w:color="auto"/>
              <w:left w:val="nil"/>
              <w:bottom w:val="single" w:sz="4" w:space="0" w:color="auto"/>
              <w:right w:val="nil"/>
            </w:tcBorders>
            <w:shd w:val="clear" w:color="auto" w:fill="auto"/>
            <w:noWrap/>
            <w:vAlign w:val="bottom"/>
            <w:hideMark/>
          </w:tcPr>
          <w:p w14:paraId="35D654B7" w14:textId="77777777" w:rsidR="00C63902" w:rsidRPr="00BD2F69" w:rsidRDefault="00C63902" w:rsidP="006E3451">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(296)</w:t>
            </w:r>
          </w:p>
        </w:tc>
        <w:tc>
          <w:tcPr>
            <w:tcW w:w="877" w:type="dxa"/>
            <w:tcBorders>
              <w:top w:val="single" w:sz="4" w:space="0" w:color="auto"/>
              <w:left w:val="nil"/>
              <w:bottom w:val="single" w:sz="4" w:space="0" w:color="auto"/>
              <w:right w:val="nil"/>
            </w:tcBorders>
            <w:shd w:val="clear" w:color="000000" w:fill="E6E6E6"/>
            <w:noWrap/>
            <w:vAlign w:val="bottom"/>
            <w:hideMark/>
          </w:tcPr>
          <w:p w14:paraId="7A7CB02B" w14:textId="77777777" w:rsidR="00C63902" w:rsidRPr="00BD2F69" w:rsidRDefault="00C63902" w:rsidP="006E3451">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(200)</w:t>
            </w:r>
          </w:p>
        </w:tc>
        <w:tc>
          <w:tcPr>
            <w:tcW w:w="877" w:type="dxa"/>
            <w:tcBorders>
              <w:top w:val="single" w:sz="4" w:space="0" w:color="auto"/>
              <w:left w:val="nil"/>
              <w:bottom w:val="single" w:sz="4" w:space="0" w:color="auto"/>
              <w:right w:val="nil"/>
            </w:tcBorders>
            <w:shd w:val="clear" w:color="auto" w:fill="auto"/>
            <w:noWrap/>
            <w:vAlign w:val="bottom"/>
            <w:hideMark/>
          </w:tcPr>
          <w:p w14:paraId="1C7F4A99" w14:textId="77777777" w:rsidR="00C63902" w:rsidRPr="00BF6F80" w:rsidRDefault="00C63902" w:rsidP="006E3451">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(300)</w:t>
            </w:r>
          </w:p>
        </w:tc>
        <w:tc>
          <w:tcPr>
            <w:tcW w:w="877" w:type="dxa"/>
            <w:tcBorders>
              <w:top w:val="single" w:sz="4" w:space="0" w:color="auto"/>
              <w:left w:val="nil"/>
              <w:bottom w:val="single" w:sz="4" w:space="0" w:color="auto"/>
              <w:right w:val="nil"/>
            </w:tcBorders>
            <w:shd w:val="clear" w:color="auto" w:fill="auto"/>
            <w:noWrap/>
            <w:vAlign w:val="bottom"/>
            <w:hideMark/>
          </w:tcPr>
          <w:p w14:paraId="5A5D957D" w14:textId="77777777" w:rsidR="00C63902" w:rsidRPr="00BF6F80" w:rsidRDefault="00C63902" w:rsidP="006E3451">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(300)</w:t>
            </w:r>
          </w:p>
        </w:tc>
        <w:tc>
          <w:tcPr>
            <w:tcW w:w="867" w:type="dxa"/>
            <w:tcBorders>
              <w:top w:val="single" w:sz="4" w:space="0" w:color="auto"/>
              <w:left w:val="nil"/>
              <w:bottom w:val="single" w:sz="4" w:space="0" w:color="auto"/>
              <w:right w:val="nil"/>
            </w:tcBorders>
            <w:shd w:val="clear" w:color="auto" w:fill="auto"/>
            <w:noWrap/>
            <w:vAlign w:val="bottom"/>
            <w:hideMark/>
          </w:tcPr>
          <w:p w14:paraId="533CC84E" w14:textId="77777777" w:rsidR="00C63902" w:rsidRPr="00BF6F80" w:rsidRDefault="00C63902" w:rsidP="006E3451">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(300)</w:t>
            </w:r>
          </w:p>
        </w:tc>
      </w:tr>
      <w:tr w:rsidR="00C63902" w:rsidRPr="003341AF" w14:paraId="0CB3B7F4" w14:textId="77777777" w:rsidTr="009A11F4">
        <w:trPr>
          <w:trHeight w:val="204"/>
        </w:trPr>
        <w:tc>
          <w:tcPr>
            <w:tcW w:w="3261" w:type="dxa"/>
            <w:tcBorders>
              <w:top w:val="nil"/>
              <w:left w:val="nil"/>
              <w:bottom w:val="nil"/>
              <w:right w:val="nil"/>
            </w:tcBorders>
            <w:shd w:val="clear" w:color="auto" w:fill="auto"/>
            <w:noWrap/>
            <w:vAlign w:val="center"/>
            <w:hideMark/>
          </w:tcPr>
          <w:p w14:paraId="0D1694C7" w14:textId="77777777" w:rsidR="00C63902" w:rsidRPr="003341AF" w:rsidRDefault="00C63902" w:rsidP="00064764">
            <w:pPr>
              <w:spacing w:before="60" w:after="0" w:line="240" w:lineRule="auto"/>
              <w:jc w:val="left"/>
              <w:rPr>
                <w:rFonts w:ascii="Arial" w:hAnsi="Arial" w:cs="Arial"/>
                <w:b/>
                <w:bCs/>
                <w:color w:val="000000"/>
                <w:sz w:val="16"/>
                <w:szCs w:val="16"/>
              </w:rPr>
            </w:pPr>
            <w:r w:rsidRPr="003341AF">
              <w:rPr>
                <w:rFonts w:ascii="Arial" w:hAnsi="Arial" w:cs="Arial"/>
                <w:b/>
                <w:bCs/>
                <w:color w:val="000000"/>
                <w:sz w:val="16"/>
                <w:szCs w:val="16"/>
              </w:rPr>
              <w:t>FINANCING ACTIVITIES</w:t>
            </w:r>
          </w:p>
        </w:tc>
        <w:tc>
          <w:tcPr>
            <w:tcW w:w="876" w:type="dxa"/>
            <w:tcBorders>
              <w:top w:val="single" w:sz="4" w:space="0" w:color="auto"/>
              <w:left w:val="nil"/>
              <w:bottom w:val="nil"/>
              <w:right w:val="nil"/>
            </w:tcBorders>
            <w:shd w:val="clear" w:color="auto" w:fill="auto"/>
            <w:noWrap/>
            <w:vAlign w:val="bottom"/>
            <w:hideMark/>
          </w:tcPr>
          <w:p w14:paraId="36564BB8" w14:textId="77777777" w:rsidR="00C63902" w:rsidRPr="00BD2F69" w:rsidRDefault="00C63902" w:rsidP="006E3451">
            <w:pPr>
              <w:spacing w:after="0" w:line="240" w:lineRule="auto"/>
              <w:jc w:val="right"/>
              <w:rPr>
                <w:rFonts w:ascii="Arial" w:hAnsi="Arial" w:cs="Arial"/>
                <w:b/>
                <w:bCs/>
                <w:color w:val="000000"/>
                <w:sz w:val="16"/>
                <w:szCs w:val="16"/>
              </w:rPr>
            </w:pPr>
          </w:p>
        </w:tc>
        <w:tc>
          <w:tcPr>
            <w:tcW w:w="877" w:type="dxa"/>
            <w:tcBorders>
              <w:top w:val="single" w:sz="4" w:space="0" w:color="auto"/>
              <w:left w:val="nil"/>
              <w:bottom w:val="nil"/>
              <w:right w:val="nil"/>
            </w:tcBorders>
            <w:shd w:val="clear" w:color="000000" w:fill="E6E6E6"/>
            <w:noWrap/>
            <w:vAlign w:val="bottom"/>
            <w:hideMark/>
          </w:tcPr>
          <w:p w14:paraId="27A398E1" w14:textId="4E2D92C7" w:rsidR="00C63902" w:rsidRPr="00BD2F69" w:rsidRDefault="00C63902" w:rsidP="006E3451">
            <w:pPr>
              <w:spacing w:after="0" w:line="240" w:lineRule="auto"/>
              <w:jc w:val="right"/>
              <w:rPr>
                <w:rFonts w:ascii="Arial" w:hAnsi="Arial" w:cs="Arial"/>
                <w:color w:val="000000"/>
                <w:sz w:val="16"/>
                <w:szCs w:val="16"/>
              </w:rPr>
            </w:pPr>
          </w:p>
        </w:tc>
        <w:tc>
          <w:tcPr>
            <w:tcW w:w="877" w:type="dxa"/>
            <w:tcBorders>
              <w:top w:val="single" w:sz="4" w:space="0" w:color="auto"/>
              <w:left w:val="nil"/>
              <w:bottom w:val="nil"/>
              <w:right w:val="nil"/>
            </w:tcBorders>
            <w:shd w:val="clear" w:color="auto" w:fill="auto"/>
            <w:noWrap/>
            <w:vAlign w:val="bottom"/>
            <w:hideMark/>
          </w:tcPr>
          <w:p w14:paraId="4A2CAAB5" w14:textId="77777777" w:rsidR="00C63902" w:rsidRPr="00BF6F80" w:rsidRDefault="00C63902" w:rsidP="006E3451">
            <w:pPr>
              <w:spacing w:after="0" w:line="240" w:lineRule="auto"/>
              <w:jc w:val="right"/>
              <w:rPr>
                <w:rFonts w:ascii="Arial" w:hAnsi="Arial" w:cs="Arial"/>
                <w:color w:val="000000"/>
                <w:sz w:val="16"/>
                <w:szCs w:val="16"/>
              </w:rPr>
            </w:pPr>
          </w:p>
        </w:tc>
        <w:tc>
          <w:tcPr>
            <w:tcW w:w="877" w:type="dxa"/>
            <w:tcBorders>
              <w:top w:val="single" w:sz="4" w:space="0" w:color="auto"/>
              <w:left w:val="nil"/>
              <w:bottom w:val="nil"/>
              <w:right w:val="nil"/>
            </w:tcBorders>
            <w:shd w:val="clear" w:color="auto" w:fill="auto"/>
            <w:noWrap/>
            <w:vAlign w:val="bottom"/>
            <w:hideMark/>
          </w:tcPr>
          <w:p w14:paraId="2E9DB9B9" w14:textId="77777777" w:rsidR="00C63902" w:rsidRPr="00064764" w:rsidRDefault="00C63902" w:rsidP="006E3451">
            <w:pPr>
              <w:spacing w:after="0" w:line="240" w:lineRule="auto"/>
              <w:jc w:val="right"/>
              <w:rPr>
                <w:rFonts w:ascii="Arial" w:hAnsi="Arial" w:cs="Arial"/>
                <w:sz w:val="16"/>
                <w:szCs w:val="16"/>
              </w:rPr>
            </w:pPr>
          </w:p>
        </w:tc>
        <w:tc>
          <w:tcPr>
            <w:tcW w:w="867" w:type="dxa"/>
            <w:tcBorders>
              <w:top w:val="single" w:sz="4" w:space="0" w:color="auto"/>
              <w:left w:val="nil"/>
              <w:bottom w:val="nil"/>
              <w:right w:val="nil"/>
            </w:tcBorders>
            <w:shd w:val="clear" w:color="auto" w:fill="auto"/>
            <w:noWrap/>
            <w:vAlign w:val="bottom"/>
            <w:hideMark/>
          </w:tcPr>
          <w:p w14:paraId="73EAAB1F" w14:textId="77777777" w:rsidR="00C63902" w:rsidRPr="00064764" w:rsidRDefault="00C63902" w:rsidP="006E3451">
            <w:pPr>
              <w:spacing w:after="0" w:line="240" w:lineRule="auto"/>
              <w:jc w:val="right"/>
              <w:rPr>
                <w:rFonts w:ascii="Arial" w:hAnsi="Arial" w:cs="Arial"/>
                <w:sz w:val="16"/>
                <w:szCs w:val="16"/>
              </w:rPr>
            </w:pPr>
          </w:p>
        </w:tc>
      </w:tr>
      <w:tr w:rsidR="00C63902" w:rsidRPr="003341AF" w14:paraId="34E28637" w14:textId="77777777" w:rsidTr="009A11F4">
        <w:trPr>
          <w:trHeight w:val="204"/>
        </w:trPr>
        <w:tc>
          <w:tcPr>
            <w:tcW w:w="3261" w:type="dxa"/>
            <w:tcBorders>
              <w:top w:val="nil"/>
              <w:left w:val="nil"/>
              <w:bottom w:val="nil"/>
              <w:right w:val="nil"/>
            </w:tcBorders>
            <w:shd w:val="clear" w:color="auto" w:fill="auto"/>
            <w:noWrap/>
            <w:vAlign w:val="center"/>
            <w:hideMark/>
          </w:tcPr>
          <w:p w14:paraId="65A4D07F" w14:textId="77777777" w:rsidR="00C63902" w:rsidRPr="003341AF" w:rsidRDefault="00C63902" w:rsidP="00C6390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Cash used</w:t>
            </w:r>
          </w:p>
        </w:tc>
        <w:tc>
          <w:tcPr>
            <w:tcW w:w="876" w:type="dxa"/>
            <w:tcBorders>
              <w:top w:val="nil"/>
              <w:left w:val="nil"/>
              <w:bottom w:val="nil"/>
              <w:right w:val="nil"/>
            </w:tcBorders>
            <w:shd w:val="clear" w:color="auto" w:fill="auto"/>
            <w:noWrap/>
            <w:vAlign w:val="bottom"/>
            <w:hideMark/>
          </w:tcPr>
          <w:p w14:paraId="7EDF9590" w14:textId="77777777" w:rsidR="00C63902" w:rsidRPr="00BD2F69" w:rsidRDefault="00C63902" w:rsidP="006E3451">
            <w:pPr>
              <w:spacing w:after="0" w:line="240" w:lineRule="auto"/>
              <w:jc w:val="right"/>
              <w:rPr>
                <w:rFonts w:ascii="Arial" w:hAnsi="Arial" w:cs="Arial"/>
                <w:b/>
                <w:bCs/>
                <w:color w:val="000000"/>
                <w:sz w:val="16"/>
                <w:szCs w:val="16"/>
              </w:rPr>
            </w:pPr>
          </w:p>
        </w:tc>
        <w:tc>
          <w:tcPr>
            <w:tcW w:w="877" w:type="dxa"/>
            <w:tcBorders>
              <w:top w:val="nil"/>
              <w:left w:val="nil"/>
              <w:bottom w:val="nil"/>
              <w:right w:val="nil"/>
            </w:tcBorders>
            <w:shd w:val="clear" w:color="000000" w:fill="E6E6E6"/>
            <w:noWrap/>
            <w:vAlign w:val="bottom"/>
            <w:hideMark/>
          </w:tcPr>
          <w:p w14:paraId="6279B810" w14:textId="123D3986" w:rsidR="00C63902" w:rsidRPr="00BD2F69"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297164D" w14:textId="77777777" w:rsidR="00C63902" w:rsidRPr="00BF6F80" w:rsidRDefault="00C63902" w:rsidP="006E3451">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93F75AB" w14:textId="77777777" w:rsidR="00C63902" w:rsidRPr="00064764" w:rsidRDefault="00C63902" w:rsidP="006E3451">
            <w:pPr>
              <w:spacing w:after="0" w:line="240" w:lineRule="auto"/>
              <w:jc w:val="right"/>
              <w:rPr>
                <w:rFonts w:ascii="Arial" w:hAnsi="Arial" w:cs="Arial"/>
                <w:sz w:val="16"/>
                <w:szCs w:val="16"/>
              </w:rPr>
            </w:pPr>
          </w:p>
        </w:tc>
        <w:tc>
          <w:tcPr>
            <w:tcW w:w="867" w:type="dxa"/>
            <w:tcBorders>
              <w:top w:val="nil"/>
              <w:left w:val="nil"/>
              <w:bottom w:val="nil"/>
              <w:right w:val="nil"/>
            </w:tcBorders>
            <w:shd w:val="clear" w:color="auto" w:fill="auto"/>
            <w:noWrap/>
            <w:vAlign w:val="bottom"/>
            <w:hideMark/>
          </w:tcPr>
          <w:p w14:paraId="0291F7F8" w14:textId="77777777" w:rsidR="00C63902" w:rsidRPr="00064764" w:rsidRDefault="00C63902" w:rsidP="006E3451">
            <w:pPr>
              <w:spacing w:after="0" w:line="240" w:lineRule="auto"/>
              <w:jc w:val="right"/>
              <w:rPr>
                <w:rFonts w:ascii="Arial" w:hAnsi="Arial" w:cs="Arial"/>
                <w:sz w:val="16"/>
                <w:szCs w:val="16"/>
              </w:rPr>
            </w:pPr>
          </w:p>
        </w:tc>
      </w:tr>
      <w:tr w:rsidR="00C63902" w:rsidRPr="003341AF" w14:paraId="4BDE54DE" w14:textId="77777777" w:rsidTr="009A11F4">
        <w:trPr>
          <w:trHeight w:val="204"/>
        </w:trPr>
        <w:tc>
          <w:tcPr>
            <w:tcW w:w="3261" w:type="dxa"/>
            <w:tcBorders>
              <w:top w:val="nil"/>
              <w:left w:val="nil"/>
              <w:bottom w:val="nil"/>
              <w:right w:val="nil"/>
            </w:tcBorders>
            <w:shd w:val="clear" w:color="auto" w:fill="auto"/>
            <w:noWrap/>
            <w:vAlign w:val="center"/>
            <w:hideMark/>
          </w:tcPr>
          <w:p w14:paraId="7143AA65" w14:textId="77777777" w:rsidR="00C63902" w:rsidRPr="003341AF" w:rsidRDefault="00C63902" w:rsidP="00064764">
            <w:pPr>
              <w:spacing w:after="0" w:line="240" w:lineRule="auto"/>
              <w:ind w:left="113"/>
              <w:jc w:val="left"/>
              <w:rPr>
                <w:rFonts w:ascii="Arial" w:hAnsi="Arial" w:cs="Arial"/>
                <w:sz w:val="16"/>
                <w:szCs w:val="16"/>
              </w:rPr>
            </w:pPr>
            <w:r w:rsidRPr="003341AF">
              <w:rPr>
                <w:rFonts w:ascii="Arial" w:hAnsi="Arial" w:cs="Arial"/>
                <w:sz w:val="16"/>
                <w:szCs w:val="16"/>
              </w:rPr>
              <w:t>Principal payments on lease liability</w:t>
            </w:r>
          </w:p>
        </w:tc>
        <w:tc>
          <w:tcPr>
            <w:tcW w:w="876" w:type="dxa"/>
            <w:tcBorders>
              <w:top w:val="nil"/>
              <w:left w:val="nil"/>
              <w:bottom w:val="nil"/>
              <w:right w:val="nil"/>
            </w:tcBorders>
            <w:shd w:val="clear" w:color="auto" w:fill="auto"/>
            <w:noWrap/>
            <w:vAlign w:val="bottom"/>
            <w:hideMark/>
          </w:tcPr>
          <w:p w14:paraId="4BECE14C" w14:textId="7A6D308E"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348</w:t>
            </w:r>
          </w:p>
        </w:tc>
        <w:tc>
          <w:tcPr>
            <w:tcW w:w="877" w:type="dxa"/>
            <w:tcBorders>
              <w:top w:val="nil"/>
              <w:left w:val="nil"/>
              <w:bottom w:val="nil"/>
              <w:right w:val="nil"/>
            </w:tcBorders>
            <w:shd w:val="clear" w:color="000000" w:fill="E6E6E6"/>
            <w:noWrap/>
            <w:vAlign w:val="bottom"/>
            <w:hideMark/>
          </w:tcPr>
          <w:p w14:paraId="598BFD25" w14:textId="0AB758B7" w:rsidR="00C63902" w:rsidRPr="00BF6F80"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372</w:t>
            </w:r>
          </w:p>
        </w:tc>
        <w:tc>
          <w:tcPr>
            <w:tcW w:w="877" w:type="dxa"/>
            <w:tcBorders>
              <w:top w:val="nil"/>
              <w:left w:val="nil"/>
              <w:bottom w:val="nil"/>
              <w:right w:val="nil"/>
            </w:tcBorders>
            <w:shd w:val="clear" w:color="auto" w:fill="auto"/>
            <w:noWrap/>
            <w:vAlign w:val="bottom"/>
            <w:hideMark/>
          </w:tcPr>
          <w:p w14:paraId="6A7B5ACB" w14:textId="22005A0E" w:rsidR="00C63902" w:rsidRPr="00480722"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398</w:t>
            </w:r>
          </w:p>
        </w:tc>
        <w:tc>
          <w:tcPr>
            <w:tcW w:w="877" w:type="dxa"/>
            <w:tcBorders>
              <w:top w:val="nil"/>
              <w:left w:val="nil"/>
              <w:bottom w:val="nil"/>
              <w:right w:val="nil"/>
            </w:tcBorders>
            <w:shd w:val="clear" w:color="auto" w:fill="auto"/>
            <w:noWrap/>
            <w:vAlign w:val="bottom"/>
            <w:hideMark/>
          </w:tcPr>
          <w:p w14:paraId="1956FC3C" w14:textId="4AC0AF9A"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425</w:t>
            </w:r>
          </w:p>
        </w:tc>
        <w:tc>
          <w:tcPr>
            <w:tcW w:w="867" w:type="dxa"/>
            <w:tcBorders>
              <w:top w:val="nil"/>
              <w:left w:val="nil"/>
              <w:bottom w:val="nil"/>
              <w:right w:val="nil"/>
            </w:tcBorders>
            <w:shd w:val="clear" w:color="auto" w:fill="auto"/>
            <w:noWrap/>
            <w:vAlign w:val="bottom"/>
            <w:hideMark/>
          </w:tcPr>
          <w:p w14:paraId="39173F26" w14:textId="6D11C9D5"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453</w:t>
            </w:r>
          </w:p>
        </w:tc>
      </w:tr>
      <w:tr w:rsidR="00C63902" w:rsidRPr="003341AF" w14:paraId="19C3CE65" w14:textId="77777777" w:rsidTr="009A11F4">
        <w:trPr>
          <w:trHeight w:val="204"/>
        </w:trPr>
        <w:tc>
          <w:tcPr>
            <w:tcW w:w="3261" w:type="dxa"/>
            <w:tcBorders>
              <w:top w:val="nil"/>
              <w:left w:val="nil"/>
              <w:bottom w:val="nil"/>
              <w:right w:val="nil"/>
            </w:tcBorders>
            <w:shd w:val="clear" w:color="auto" w:fill="auto"/>
            <w:noWrap/>
            <w:vAlign w:val="center"/>
            <w:hideMark/>
          </w:tcPr>
          <w:p w14:paraId="2B6AAE1A" w14:textId="77777777" w:rsidR="00C63902" w:rsidRPr="003341AF" w:rsidRDefault="00C63902" w:rsidP="00C63902">
            <w:pPr>
              <w:spacing w:after="0" w:line="240" w:lineRule="auto"/>
              <w:jc w:val="left"/>
              <w:rPr>
                <w:rFonts w:ascii="Arial" w:hAnsi="Arial" w:cs="Arial"/>
                <w:b/>
                <w:bCs/>
                <w:i/>
                <w:iCs/>
                <w:color w:val="000000"/>
                <w:sz w:val="16"/>
                <w:szCs w:val="16"/>
              </w:rPr>
            </w:pPr>
            <w:r w:rsidRPr="003341AF">
              <w:rPr>
                <w:rFonts w:ascii="Arial" w:hAnsi="Arial" w:cs="Arial"/>
                <w:b/>
                <w:bCs/>
                <w:i/>
                <w:iCs/>
                <w:color w:val="000000"/>
                <w:sz w:val="16"/>
                <w:szCs w:val="16"/>
              </w:rPr>
              <w:t>Total cash used</w:t>
            </w:r>
          </w:p>
        </w:tc>
        <w:tc>
          <w:tcPr>
            <w:tcW w:w="876" w:type="dxa"/>
            <w:tcBorders>
              <w:top w:val="single" w:sz="4" w:space="0" w:color="000000"/>
              <w:left w:val="nil"/>
              <w:bottom w:val="single" w:sz="4" w:space="0" w:color="000000"/>
              <w:right w:val="nil"/>
            </w:tcBorders>
            <w:shd w:val="clear" w:color="auto" w:fill="auto"/>
            <w:noWrap/>
            <w:vAlign w:val="bottom"/>
            <w:hideMark/>
          </w:tcPr>
          <w:p w14:paraId="36A5F30A" w14:textId="240D4EBB"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348</w:t>
            </w:r>
          </w:p>
        </w:tc>
        <w:tc>
          <w:tcPr>
            <w:tcW w:w="877" w:type="dxa"/>
            <w:tcBorders>
              <w:top w:val="single" w:sz="4" w:space="0" w:color="000000"/>
              <w:left w:val="nil"/>
              <w:bottom w:val="single" w:sz="4" w:space="0" w:color="000000"/>
              <w:right w:val="nil"/>
            </w:tcBorders>
            <w:shd w:val="clear" w:color="000000" w:fill="E6E6E6"/>
            <w:noWrap/>
            <w:vAlign w:val="bottom"/>
            <w:hideMark/>
          </w:tcPr>
          <w:p w14:paraId="17698713" w14:textId="454AF905" w:rsidR="00C63902" w:rsidRPr="00BF6F80" w:rsidRDefault="00C63902" w:rsidP="006E3451">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372</w:t>
            </w:r>
          </w:p>
        </w:tc>
        <w:tc>
          <w:tcPr>
            <w:tcW w:w="877" w:type="dxa"/>
            <w:tcBorders>
              <w:top w:val="single" w:sz="4" w:space="0" w:color="000000"/>
              <w:left w:val="nil"/>
              <w:bottom w:val="single" w:sz="4" w:space="0" w:color="000000"/>
              <w:right w:val="nil"/>
            </w:tcBorders>
            <w:shd w:val="clear" w:color="auto" w:fill="auto"/>
            <w:noWrap/>
            <w:vAlign w:val="bottom"/>
            <w:hideMark/>
          </w:tcPr>
          <w:p w14:paraId="466F9F78" w14:textId="0775A8F2" w:rsidR="00C63902" w:rsidRPr="00480722" w:rsidRDefault="00C63902" w:rsidP="006E3451">
            <w:pPr>
              <w:spacing w:after="0" w:line="240" w:lineRule="auto"/>
              <w:jc w:val="right"/>
              <w:rPr>
                <w:rFonts w:ascii="Arial" w:hAnsi="Arial" w:cs="Arial"/>
                <w:b/>
                <w:bCs/>
                <w:i/>
                <w:iCs/>
                <w:color w:val="000000"/>
                <w:sz w:val="16"/>
                <w:szCs w:val="16"/>
              </w:rPr>
            </w:pPr>
            <w:r w:rsidRPr="00BF6F80">
              <w:rPr>
                <w:rFonts w:ascii="Arial" w:hAnsi="Arial" w:cs="Arial"/>
                <w:b/>
                <w:bCs/>
                <w:i/>
                <w:iCs/>
                <w:color w:val="000000"/>
                <w:sz w:val="16"/>
                <w:szCs w:val="16"/>
              </w:rPr>
              <w:t>398</w:t>
            </w:r>
          </w:p>
        </w:tc>
        <w:tc>
          <w:tcPr>
            <w:tcW w:w="877" w:type="dxa"/>
            <w:tcBorders>
              <w:top w:val="single" w:sz="4" w:space="0" w:color="000000"/>
              <w:left w:val="nil"/>
              <w:bottom w:val="single" w:sz="4" w:space="0" w:color="000000"/>
              <w:right w:val="nil"/>
            </w:tcBorders>
            <w:shd w:val="clear" w:color="auto" w:fill="auto"/>
            <w:noWrap/>
            <w:vAlign w:val="bottom"/>
            <w:hideMark/>
          </w:tcPr>
          <w:p w14:paraId="4345A7F1" w14:textId="4B5F1CEA"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425</w:t>
            </w:r>
          </w:p>
        </w:tc>
        <w:tc>
          <w:tcPr>
            <w:tcW w:w="867" w:type="dxa"/>
            <w:tcBorders>
              <w:top w:val="single" w:sz="4" w:space="0" w:color="000000"/>
              <w:left w:val="nil"/>
              <w:bottom w:val="single" w:sz="4" w:space="0" w:color="000000"/>
              <w:right w:val="nil"/>
            </w:tcBorders>
            <w:shd w:val="clear" w:color="auto" w:fill="auto"/>
            <w:noWrap/>
            <w:vAlign w:val="bottom"/>
            <w:hideMark/>
          </w:tcPr>
          <w:p w14:paraId="6248B139" w14:textId="2866129A" w:rsidR="00C63902" w:rsidRPr="00BD2F69" w:rsidRDefault="00C63902" w:rsidP="006E3451">
            <w:pPr>
              <w:spacing w:after="0" w:line="240" w:lineRule="auto"/>
              <w:jc w:val="right"/>
              <w:rPr>
                <w:rFonts w:ascii="Arial" w:hAnsi="Arial" w:cs="Arial"/>
                <w:b/>
                <w:bCs/>
                <w:i/>
                <w:iCs/>
                <w:color w:val="000000"/>
                <w:sz w:val="16"/>
                <w:szCs w:val="16"/>
              </w:rPr>
            </w:pPr>
            <w:r w:rsidRPr="00BD2F69">
              <w:rPr>
                <w:rFonts w:ascii="Arial" w:hAnsi="Arial" w:cs="Arial"/>
                <w:b/>
                <w:bCs/>
                <w:i/>
                <w:iCs/>
                <w:color w:val="000000"/>
                <w:sz w:val="16"/>
                <w:szCs w:val="16"/>
              </w:rPr>
              <w:t>453</w:t>
            </w:r>
          </w:p>
        </w:tc>
      </w:tr>
      <w:tr w:rsidR="00C63902" w:rsidRPr="003341AF" w14:paraId="6F5DE127" w14:textId="77777777" w:rsidTr="009A11F4">
        <w:trPr>
          <w:trHeight w:val="204"/>
        </w:trPr>
        <w:tc>
          <w:tcPr>
            <w:tcW w:w="3261" w:type="dxa"/>
            <w:tcBorders>
              <w:top w:val="nil"/>
              <w:left w:val="nil"/>
              <w:bottom w:val="nil"/>
              <w:right w:val="nil"/>
            </w:tcBorders>
            <w:shd w:val="clear" w:color="auto" w:fill="auto"/>
            <w:vAlign w:val="center"/>
            <w:hideMark/>
          </w:tcPr>
          <w:p w14:paraId="07D1C7BF" w14:textId="5FAC1757" w:rsidR="00C63902" w:rsidRPr="003341AF" w:rsidRDefault="00C63902" w:rsidP="0048072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Net cash from/(used by)</w:t>
            </w:r>
            <w:r w:rsidR="00DD1D6A">
              <w:rPr>
                <w:rFonts w:ascii="Arial" w:hAnsi="Arial" w:cs="Arial"/>
                <w:b/>
                <w:bCs/>
                <w:color w:val="000000"/>
                <w:sz w:val="16"/>
                <w:szCs w:val="16"/>
              </w:rPr>
              <w:t xml:space="preserve"> </w:t>
            </w:r>
            <w:r w:rsidRPr="003341AF">
              <w:rPr>
                <w:rFonts w:ascii="Arial" w:hAnsi="Arial" w:cs="Arial"/>
                <w:b/>
                <w:bCs/>
                <w:color w:val="000000"/>
                <w:sz w:val="16"/>
                <w:szCs w:val="16"/>
              </w:rPr>
              <w:t>financing activities</w:t>
            </w:r>
          </w:p>
        </w:tc>
        <w:tc>
          <w:tcPr>
            <w:tcW w:w="876" w:type="dxa"/>
            <w:tcBorders>
              <w:top w:val="nil"/>
              <w:left w:val="nil"/>
              <w:bottom w:val="single" w:sz="4" w:space="0" w:color="000000"/>
              <w:right w:val="nil"/>
            </w:tcBorders>
            <w:shd w:val="clear" w:color="auto" w:fill="auto"/>
            <w:noWrap/>
            <w:vAlign w:val="bottom"/>
            <w:hideMark/>
          </w:tcPr>
          <w:p w14:paraId="15E88FB4" w14:textId="77777777" w:rsidR="00C63902" w:rsidRPr="00BD2F69" w:rsidRDefault="00C63902" w:rsidP="006E3451">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(348)</w:t>
            </w:r>
          </w:p>
        </w:tc>
        <w:tc>
          <w:tcPr>
            <w:tcW w:w="877" w:type="dxa"/>
            <w:tcBorders>
              <w:top w:val="nil"/>
              <w:left w:val="nil"/>
              <w:bottom w:val="single" w:sz="4" w:space="0" w:color="000000"/>
              <w:right w:val="nil"/>
            </w:tcBorders>
            <w:shd w:val="clear" w:color="000000" w:fill="E6E6E6"/>
            <w:noWrap/>
            <w:vAlign w:val="bottom"/>
            <w:hideMark/>
          </w:tcPr>
          <w:p w14:paraId="15DDB167" w14:textId="77777777" w:rsidR="00C63902" w:rsidRPr="00BD2F69" w:rsidRDefault="00C63902" w:rsidP="006E3451">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(372)</w:t>
            </w:r>
          </w:p>
        </w:tc>
        <w:tc>
          <w:tcPr>
            <w:tcW w:w="877" w:type="dxa"/>
            <w:tcBorders>
              <w:top w:val="nil"/>
              <w:left w:val="nil"/>
              <w:bottom w:val="single" w:sz="4" w:space="0" w:color="000000"/>
              <w:right w:val="nil"/>
            </w:tcBorders>
            <w:shd w:val="clear" w:color="auto" w:fill="auto"/>
            <w:noWrap/>
            <w:vAlign w:val="bottom"/>
            <w:hideMark/>
          </w:tcPr>
          <w:p w14:paraId="74EB7B0E" w14:textId="77777777" w:rsidR="00C63902" w:rsidRPr="00BF6F80" w:rsidRDefault="00C63902" w:rsidP="006E3451">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(398)</w:t>
            </w:r>
          </w:p>
        </w:tc>
        <w:tc>
          <w:tcPr>
            <w:tcW w:w="877" w:type="dxa"/>
            <w:tcBorders>
              <w:top w:val="nil"/>
              <w:left w:val="nil"/>
              <w:bottom w:val="single" w:sz="4" w:space="0" w:color="000000"/>
              <w:right w:val="nil"/>
            </w:tcBorders>
            <w:shd w:val="clear" w:color="auto" w:fill="auto"/>
            <w:noWrap/>
            <w:vAlign w:val="bottom"/>
            <w:hideMark/>
          </w:tcPr>
          <w:p w14:paraId="08DCC299" w14:textId="77777777" w:rsidR="00C63902" w:rsidRPr="00BF6F80" w:rsidRDefault="00C63902" w:rsidP="006E3451">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(425)</w:t>
            </w:r>
          </w:p>
        </w:tc>
        <w:tc>
          <w:tcPr>
            <w:tcW w:w="867" w:type="dxa"/>
            <w:tcBorders>
              <w:top w:val="nil"/>
              <w:left w:val="nil"/>
              <w:bottom w:val="single" w:sz="4" w:space="0" w:color="000000"/>
              <w:right w:val="nil"/>
            </w:tcBorders>
            <w:shd w:val="clear" w:color="auto" w:fill="auto"/>
            <w:noWrap/>
            <w:vAlign w:val="bottom"/>
            <w:hideMark/>
          </w:tcPr>
          <w:p w14:paraId="18221A76" w14:textId="77777777" w:rsidR="00C63902" w:rsidRPr="00480722" w:rsidRDefault="00C63902" w:rsidP="006E3451">
            <w:pPr>
              <w:spacing w:after="0" w:line="240" w:lineRule="auto"/>
              <w:jc w:val="right"/>
              <w:rPr>
                <w:rFonts w:ascii="Arial" w:hAnsi="Arial" w:cs="Arial"/>
                <w:b/>
                <w:bCs/>
                <w:color w:val="000000"/>
                <w:sz w:val="16"/>
                <w:szCs w:val="16"/>
              </w:rPr>
            </w:pPr>
            <w:r w:rsidRPr="00480722">
              <w:rPr>
                <w:rFonts w:ascii="Arial" w:hAnsi="Arial" w:cs="Arial"/>
                <w:b/>
                <w:bCs/>
                <w:color w:val="000000"/>
                <w:sz w:val="16"/>
                <w:szCs w:val="16"/>
              </w:rPr>
              <w:t>(453)</w:t>
            </w:r>
          </w:p>
        </w:tc>
      </w:tr>
      <w:tr w:rsidR="00C63902" w:rsidRPr="003341AF" w14:paraId="27A95CC1" w14:textId="77777777" w:rsidTr="009A11F4">
        <w:trPr>
          <w:trHeight w:val="204"/>
        </w:trPr>
        <w:tc>
          <w:tcPr>
            <w:tcW w:w="3261" w:type="dxa"/>
            <w:tcBorders>
              <w:top w:val="nil"/>
              <w:left w:val="nil"/>
              <w:bottom w:val="nil"/>
              <w:right w:val="nil"/>
            </w:tcBorders>
            <w:shd w:val="clear" w:color="auto" w:fill="auto"/>
            <w:vAlign w:val="center"/>
            <w:hideMark/>
          </w:tcPr>
          <w:p w14:paraId="7F938F86" w14:textId="42443892" w:rsidR="00C63902" w:rsidRPr="003341AF" w:rsidRDefault="00C63902" w:rsidP="0048072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Net increase/(decrease) in cash held</w:t>
            </w:r>
          </w:p>
        </w:tc>
        <w:tc>
          <w:tcPr>
            <w:tcW w:w="876" w:type="dxa"/>
            <w:tcBorders>
              <w:top w:val="nil"/>
              <w:left w:val="nil"/>
              <w:bottom w:val="single" w:sz="4" w:space="0" w:color="000000"/>
              <w:right w:val="nil"/>
            </w:tcBorders>
            <w:shd w:val="clear" w:color="auto" w:fill="auto"/>
            <w:noWrap/>
            <w:vAlign w:val="bottom"/>
            <w:hideMark/>
          </w:tcPr>
          <w:p w14:paraId="5AF5F958" w14:textId="39CCCA77" w:rsidR="00C63902" w:rsidRPr="00BD2F69" w:rsidRDefault="00C63902" w:rsidP="006E3451">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812</w:t>
            </w:r>
          </w:p>
        </w:tc>
        <w:tc>
          <w:tcPr>
            <w:tcW w:w="877" w:type="dxa"/>
            <w:tcBorders>
              <w:top w:val="nil"/>
              <w:left w:val="nil"/>
              <w:bottom w:val="single" w:sz="4" w:space="0" w:color="000000"/>
              <w:right w:val="nil"/>
            </w:tcBorders>
            <w:shd w:val="clear" w:color="000000" w:fill="E6E6E6"/>
            <w:noWrap/>
            <w:vAlign w:val="bottom"/>
            <w:hideMark/>
          </w:tcPr>
          <w:p w14:paraId="296B93F0" w14:textId="4E5BED82" w:rsidR="00C63902" w:rsidRPr="00BF6F80" w:rsidRDefault="00C63902" w:rsidP="006E3451">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303</w:t>
            </w:r>
          </w:p>
        </w:tc>
        <w:tc>
          <w:tcPr>
            <w:tcW w:w="877" w:type="dxa"/>
            <w:tcBorders>
              <w:top w:val="nil"/>
              <w:left w:val="nil"/>
              <w:bottom w:val="single" w:sz="4" w:space="0" w:color="000000"/>
              <w:right w:val="nil"/>
            </w:tcBorders>
            <w:shd w:val="clear" w:color="auto" w:fill="auto"/>
            <w:noWrap/>
            <w:vAlign w:val="bottom"/>
            <w:hideMark/>
          </w:tcPr>
          <w:p w14:paraId="1F173867" w14:textId="3EE69260" w:rsidR="00C63902" w:rsidRPr="00480722" w:rsidRDefault="00C63902" w:rsidP="006E3451">
            <w:pPr>
              <w:spacing w:after="0" w:line="240" w:lineRule="auto"/>
              <w:jc w:val="right"/>
              <w:rPr>
                <w:rFonts w:ascii="Arial" w:hAnsi="Arial" w:cs="Arial"/>
                <w:b/>
                <w:bCs/>
                <w:color w:val="000000"/>
                <w:sz w:val="16"/>
                <w:szCs w:val="16"/>
              </w:rPr>
            </w:pPr>
            <w:r w:rsidRPr="00BF6F80">
              <w:rPr>
                <w:rFonts w:ascii="Arial" w:hAnsi="Arial" w:cs="Arial"/>
                <w:b/>
                <w:bCs/>
                <w:color w:val="000000"/>
                <w:sz w:val="16"/>
                <w:szCs w:val="16"/>
              </w:rPr>
              <w:t>118</w:t>
            </w:r>
          </w:p>
        </w:tc>
        <w:tc>
          <w:tcPr>
            <w:tcW w:w="877" w:type="dxa"/>
            <w:tcBorders>
              <w:top w:val="nil"/>
              <w:left w:val="nil"/>
              <w:bottom w:val="single" w:sz="4" w:space="0" w:color="000000"/>
              <w:right w:val="nil"/>
            </w:tcBorders>
            <w:shd w:val="clear" w:color="auto" w:fill="auto"/>
            <w:noWrap/>
            <w:vAlign w:val="bottom"/>
            <w:hideMark/>
          </w:tcPr>
          <w:p w14:paraId="58DB9591" w14:textId="727CAC3C" w:rsidR="00C63902" w:rsidRPr="00BD2F69" w:rsidRDefault="00C63902" w:rsidP="006E3451">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91</w:t>
            </w:r>
          </w:p>
        </w:tc>
        <w:tc>
          <w:tcPr>
            <w:tcW w:w="867" w:type="dxa"/>
            <w:tcBorders>
              <w:top w:val="nil"/>
              <w:left w:val="nil"/>
              <w:bottom w:val="single" w:sz="4" w:space="0" w:color="000000"/>
              <w:right w:val="nil"/>
            </w:tcBorders>
            <w:shd w:val="clear" w:color="auto" w:fill="auto"/>
            <w:noWrap/>
            <w:vAlign w:val="bottom"/>
            <w:hideMark/>
          </w:tcPr>
          <w:p w14:paraId="7B05C6D2" w14:textId="71E0868B" w:rsidR="00C63902" w:rsidRPr="00BD2F69" w:rsidRDefault="00C63902" w:rsidP="006E3451">
            <w:pPr>
              <w:spacing w:after="0" w:line="240" w:lineRule="auto"/>
              <w:jc w:val="right"/>
              <w:rPr>
                <w:rFonts w:ascii="Arial" w:hAnsi="Arial" w:cs="Arial"/>
                <w:b/>
                <w:bCs/>
                <w:color w:val="000000"/>
                <w:sz w:val="16"/>
                <w:szCs w:val="16"/>
              </w:rPr>
            </w:pPr>
            <w:r w:rsidRPr="00BD2F69">
              <w:rPr>
                <w:rFonts w:ascii="Arial" w:hAnsi="Arial" w:cs="Arial"/>
                <w:b/>
                <w:bCs/>
                <w:color w:val="000000"/>
                <w:sz w:val="16"/>
                <w:szCs w:val="16"/>
              </w:rPr>
              <w:t>63</w:t>
            </w:r>
          </w:p>
        </w:tc>
      </w:tr>
      <w:tr w:rsidR="00C63902" w:rsidRPr="003341AF" w14:paraId="2EE1B819" w14:textId="77777777" w:rsidTr="009A11F4">
        <w:trPr>
          <w:trHeight w:val="204"/>
        </w:trPr>
        <w:tc>
          <w:tcPr>
            <w:tcW w:w="3261" w:type="dxa"/>
            <w:tcBorders>
              <w:top w:val="nil"/>
              <w:left w:val="nil"/>
              <w:bottom w:val="nil"/>
              <w:right w:val="nil"/>
            </w:tcBorders>
            <w:shd w:val="clear" w:color="auto" w:fill="auto"/>
            <w:vAlign w:val="center"/>
            <w:hideMark/>
          </w:tcPr>
          <w:p w14:paraId="27581256" w14:textId="6248246C" w:rsidR="00C63902" w:rsidRPr="003341AF" w:rsidRDefault="00C63902" w:rsidP="00064764">
            <w:pPr>
              <w:spacing w:before="60" w:after="0" w:line="240" w:lineRule="auto"/>
              <w:jc w:val="left"/>
              <w:rPr>
                <w:rFonts w:ascii="Arial" w:hAnsi="Arial" w:cs="Arial"/>
                <w:color w:val="000000"/>
                <w:sz w:val="16"/>
                <w:szCs w:val="16"/>
              </w:rPr>
            </w:pPr>
            <w:r w:rsidRPr="003341AF">
              <w:rPr>
                <w:rFonts w:ascii="Arial" w:hAnsi="Arial" w:cs="Arial"/>
                <w:color w:val="000000"/>
                <w:sz w:val="16"/>
                <w:szCs w:val="16"/>
              </w:rPr>
              <w:t>Cash and cash equivalents at the</w:t>
            </w:r>
            <w:r w:rsidR="00DD1D6A">
              <w:rPr>
                <w:rFonts w:ascii="Arial" w:hAnsi="Arial" w:cs="Arial"/>
                <w:color w:val="000000"/>
                <w:sz w:val="16"/>
                <w:szCs w:val="16"/>
              </w:rPr>
              <w:t xml:space="preserve"> </w:t>
            </w:r>
            <w:r w:rsidRPr="003341AF">
              <w:rPr>
                <w:rFonts w:ascii="Arial" w:hAnsi="Arial" w:cs="Arial"/>
                <w:color w:val="000000"/>
                <w:sz w:val="16"/>
                <w:szCs w:val="16"/>
              </w:rPr>
              <w:t>beginning of the reporting period</w:t>
            </w:r>
          </w:p>
        </w:tc>
        <w:tc>
          <w:tcPr>
            <w:tcW w:w="876" w:type="dxa"/>
            <w:tcBorders>
              <w:top w:val="nil"/>
              <w:left w:val="nil"/>
              <w:bottom w:val="nil"/>
              <w:right w:val="nil"/>
            </w:tcBorders>
            <w:shd w:val="clear" w:color="auto" w:fill="auto"/>
            <w:noWrap/>
            <w:vAlign w:val="bottom"/>
            <w:hideMark/>
          </w:tcPr>
          <w:p w14:paraId="78C425E3" w14:textId="30545FE1"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2,506</w:t>
            </w:r>
          </w:p>
        </w:tc>
        <w:tc>
          <w:tcPr>
            <w:tcW w:w="877" w:type="dxa"/>
            <w:tcBorders>
              <w:top w:val="nil"/>
              <w:left w:val="nil"/>
              <w:bottom w:val="nil"/>
              <w:right w:val="nil"/>
            </w:tcBorders>
            <w:shd w:val="clear" w:color="000000" w:fill="E6E6E6"/>
            <w:noWrap/>
            <w:vAlign w:val="bottom"/>
            <w:hideMark/>
          </w:tcPr>
          <w:p w14:paraId="17EE5B98" w14:textId="118BDD92" w:rsidR="00C63902" w:rsidRPr="00BF6F80"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3,318</w:t>
            </w:r>
          </w:p>
        </w:tc>
        <w:tc>
          <w:tcPr>
            <w:tcW w:w="877" w:type="dxa"/>
            <w:tcBorders>
              <w:top w:val="nil"/>
              <w:left w:val="nil"/>
              <w:bottom w:val="nil"/>
              <w:right w:val="nil"/>
            </w:tcBorders>
            <w:shd w:val="clear" w:color="auto" w:fill="auto"/>
            <w:noWrap/>
            <w:vAlign w:val="bottom"/>
            <w:hideMark/>
          </w:tcPr>
          <w:p w14:paraId="2E3C9FE0" w14:textId="4FF1454E" w:rsidR="00C63902" w:rsidRPr="00480722" w:rsidRDefault="00C63902" w:rsidP="006E3451">
            <w:pPr>
              <w:spacing w:after="0" w:line="240" w:lineRule="auto"/>
              <w:jc w:val="right"/>
              <w:rPr>
                <w:rFonts w:ascii="Arial" w:hAnsi="Arial" w:cs="Arial"/>
                <w:color w:val="000000"/>
                <w:sz w:val="16"/>
                <w:szCs w:val="16"/>
              </w:rPr>
            </w:pPr>
            <w:r w:rsidRPr="00BF6F80">
              <w:rPr>
                <w:rFonts w:ascii="Arial" w:hAnsi="Arial" w:cs="Arial"/>
                <w:color w:val="000000"/>
                <w:sz w:val="16"/>
                <w:szCs w:val="16"/>
              </w:rPr>
              <w:t>3,621</w:t>
            </w:r>
          </w:p>
        </w:tc>
        <w:tc>
          <w:tcPr>
            <w:tcW w:w="877" w:type="dxa"/>
            <w:tcBorders>
              <w:top w:val="nil"/>
              <w:left w:val="nil"/>
              <w:bottom w:val="nil"/>
              <w:right w:val="nil"/>
            </w:tcBorders>
            <w:shd w:val="clear" w:color="auto" w:fill="auto"/>
            <w:noWrap/>
            <w:vAlign w:val="bottom"/>
            <w:hideMark/>
          </w:tcPr>
          <w:p w14:paraId="66CE1D0E" w14:textId="7070961C"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3,739</w:t>
            </w:r>
          </w:p>
        </w:tc>
        <w:tc>
          <w:tcPr>
            <w:tcW w:w="867" w:type="dxa"/>
            <w:tcBorders>
              <w:top w:val="nil"/>
              <w:left w:val="nil"/>
              <w:bottom w:val="nil"/>
              <w:right w:val="nil"/>
            </w:tcBorders>
            <w:shd w:val="clear" w:color="auto" w:fill="auto"/>
            <w:noWrap/>
            <w:vAlign w:val="bottom"/>
            <w:hideMark/>
          </w:tcPr>
          <w:p w14:paraId="0C3D8345" w14:textId="33292F59" w:rsidR="00C63902" w:rsidRPr="00BD2F69" w:rsidRDefault="00C63902" w:rsidP="006E3451">
            <w:pPr>
              <w:spacing w:after="0" w:line="240" w:lineRule="auto"/>
              <w:jc w:val="right"/>
              <w:rPr>
                <w:rFonts w:ascii="Arial" w:hAnsi="Arial" w:cs="Arial"/>
                <w:color w:val="000000"/>
                <w:sz w:val="16"/>
                <w:szCs w:val="16"/>
              </w:rPr>
            </w:pPr>
            <w:r w:rsidRPr="00BD2F69">
              <w:rPr>
                <w:rFonts w:ascii="Arial" w:hAnsi="Arial" w:cs="Arial"/>
                <w:color w:val="000000"/>
                <w:sz w:val="16"/>
                <w:szCs w:val="16"/>
              </w:rPr>
              <w:t>3,830</w:t>
            </w:r>
          </w:p>
        </w:tc>
      </w:tr>
      <w:tr w:rsidR="00C63902" w:rsidRPr="003341AF" w14:paraId="1D3D8489" w14:textId="77777777" w:rsidTr="009A11F4">
        <w:trPr>
          <w:trHeight w:val="204"/>
        </w:trPr>
        <w:tc>
          <w:tcPr>
            <w:tcW w:w="3261" w:type="dxa"/>
            <w:tcBorders>
              <w:top w:val="nil"/>
              <w:left w:val="nil"/>
              <w:bottom w:val="single" w:sz="4" w:space="0" w:color="auto"/>
              <w:right w:val="nil"/>
            </w:tcBorders>
            <w:shd w:val="clear" w:color="auto" w:fill="auto"/>
            <w:vAlign w:val="center"/>
            <w:hideMark/>
          </w:tcPr>
          <w:p w14:paraId="24605C3E" w14:textId="12AA353F" w:rsidR="00C63902" w:rsidRPr="003341AF" w:rsidRDefault="00C63902" w:rsidP="00480722">
            <w:pPr>
              <w:spacing w:after="0" w:line="240" w:lineRule="auto"/>
              <w:jc w:val="left"/>
              <w:rPr>
                <w:rFonts w:ascii="Arial" w:hAnsi="Arial" w:cs="Arial"/>
                <w:b/>
                <w:bCs/>
                <w:color w:val="000000"/>
                <w:sz w:val="16"/>
                <w:szCs w:val="16"/>
              </w:rPr>
            </w:pPr>
            <w:r w:rsidRPr="003341AF">
              <w:rPr>
                <w:rFonts w:ascii="Arial" w:hAnsi="Arial" w:cs="Arial"/>
                <w:b/>
                <w:bCs/>
                <w:color w:val="000000"/>
                <w:sz w:val="16"/>
                <w:szCs w:val="16"/>
              </w:rPr>
              <w:t>Cash and cash equivalents at the end of the reporting period</w:t>
            </w:r>
          </w:p>
        </w:tc>
        <w:tc>
          <w:tcPr>
            <w:tcW w:w="876" w:type="dxa"/>
            <w:tcBorders>
              <w:top w:val="single" w:sz="4" w:space="0" w:color="000000"/>
              <w:left w:val="nil"/>
              <w:bottom w:val="single" w:sz="4" w:space="0" w:color="auto"/>
              <w:right w:val="nil"/>
            </w:tcBorders>
            <w:shd w:val="clear" w:color="auto" w:fill="auto"/>
            <w:noWrap/>
            <w:vAlign w:val="bottom"/>
            <w:hideMark/>
          </w:tcPr>
          <w:p w14:paraId="1FBF831A" w14:textId="5965A4A4" w:rsidR="00C63902" w:rsidRPr="00064764" w:rsidRDefault="00C63902" w:rsidP="006E3451">
            <w:pPr>
              <w:spacing w:after="0" w:line="240" w:lineRule="auto"/>
              <w:jc w:val="right"/>
              <w:rPr>
                <w:rFonts w:ascii="Arial" w:hAnsi="Arial" w:cs="Arial"/>
                <w:b/>
                <w:color w:val="000000"/>
                <w:sz w:val="16"/>
                <w:szCs w:val="16"/>
              </w:rPr>
            </w:pPr>
            <w:r w:rsidRPr="00064764">
              <w:rPr>
                <w:rFonts w:ascii="Arial" w:hAnsi="Arial" w:cs="Arial"/>
                <w:b/>
                <w:color w:val="000000"/>
                <w:sz w:val="16"/>
                <w:szCs w:val="16"/>
              </w:rPr>
              <w:t>3,318</w:t>
            </w:r>
          </w:p>
        </w:tc>
        <w:tc>
          <w:tcPr>
            <w:tcW w:w="877" w:type="dxa"/>
            <w:tcBorders>
              <w:top w:val="single" w:sz="4" w:space="0" w:color="000000"/>
              <w:left w:val="nil"/>
              <w:bottom w:val="single" w:sz="4" w:space="0" w:color="auto"/>
              <w:right w:val="nil"/>
            </w:tcBorders>
            <w:shd w:val="clear" w:color="000000" w:fill="E6E6E6"/>
            <w:noWrap/>
            <w:vAlign w:val="bottom"/>
            <w:hideMark/>
          </w:tcPr>
          <w:p w14:paraId="1115485A" w14:textId="43EAB647" w:rsidR="00C63902" w:rsidRPr="00064764" w:rsidRDefault="00C63902" w:rsidP="006E3451">
            <w:pPr>
              <w:spacing w:after="0" w:line="240" w:lineRule="auto"/>
              <w:jc w:val="right"/>
              <w:rPr>
                <w:rFonts w:ascii="Arial" w:hAnsi="Arial" w:cs="Arial"/>
                <w:b/>
                <w:color w:val="000000"/>
                <w:sz w:val="16"/>
                <w:szCs w:val="16"/>
              </w:rPr>
            </w:pPr>
            <w:r w:rsidRPr="00064764">
              <w:rPr>
                <w:rFonts w:ascii="Arial" w:hAnsi="Arial" w:cs="Arial"/>
                <w:b/>
                <w:color w:val="000000"/>
                <w:sz w:val="16"/>
                <w:szCs w:val="16"/>
              </w:rPr>
              <w:t>3,621</w:t>
            </w:r>
          </w:p>
        </w:tc>
        <w:tc>
          <w:tcPr>
            <w:tcW w:w="877" w:type="dxa"/>
            <w:tcBorders>
              <w:top w:val="single" w:sz="4" w:space="0" w:color="000000"/>
              <w:left w:val="nil"/>
              <w:bottom w:val="single" w:sz="4" w:space="0" w:color="auto"/>
              <w:right w:val="nil"/>
            </w:tcBorders>
            <w:shd w:val="clear" w:color="auto" w:fill="auto"/>
            <w:noWrap/>
            <w:vAlign w:val="bottom"/>
            <w:hideMark/>
          </w:tcPr>
          <w:p w14:paraId="7885583E" w14:textId="0852B917" w:rsidR="00C63902" w:rsidRPr="00064764" w:rsidRDefault="00C63902" w:rsidP="006E3451">
            <w:pPr>
              <w:spacing w:after="0" w:line="240" w:lineRule="auto"/>
              <w:jc w:val="right"/>
              <w:rPr>
                <w:rFonts w:ascii="Arial" w:hAnsi="Arial" w:cs="Arial"/>
                <w:b/>
                <w:color w:val="000000"/>
                <w:sz w:val="16"/>
                <w:szCs w:val="16"/>
              </w:rPr>
            </w:pPr>
            <w:r w:rsidRPr="00064764">
              <w:rPr>
                <w:rFonts w:ascii="Arial" w:hAnsi="Arial" w:cs="Arial"/>
                <w:b/>
                <w:color w:val="000000"/>
                <w:sz w:val="16"/>
                <w:szCs w:val="16"/>
              </w:rPr>
              <w:t>3,739</w:t>
            </w:r>
          </w:p>
        </w:tc>
        <w:tc>
          <w:tcPr>
            <w:tcW w:w="877" w:type="dxa"/>
            <w:tcBorders>
              <w:top w:val="single" w:sz="4" w:space="0" w:color="000000"/>
              <w:left w:val="nil"/>
              <w:bottom w:val="single" w:sz="4" w:space="0" w:color="auto"/>
              <w:right w:val="nil"/>
            </w:tcBorders>
            <w:shd w:val="clear" w:color="auto" w:fill="auto"/>
            <w:noWrap/>
            <w:vAlign w:val="bottom"/>
            <w:hideMark/>
          </w:tcPr>
          <w:p w14:paraId="2E974187" w14:textId="4166856D" w:rsidR="00C63902" w:rsidRPr="00064764" w:rsidRDefault="00C63902" w:rsidP="006E3451">
            <w:pPr>
              <w:spacing w:after="0" w:line="240" w:lineRule="auto"/>
              <w:jc w:val="right"/>
              <w:rPr>
                <w:rFonts w:ascii="Arial" w:hAnsi="Arial" w:cs="Arial"/>
                <w:b/>
                <w:color w:val="000000"/>
                <w:sz w:val="16"/>
                <w:szCs w:val="16"/>
              </w:rPr>
            </w:pPr>
            <w:r w:rsidRPr="00064764">
              <w:rPr>
                <w:rFonts w:ascii="Arial" w:hAnsi="Arial" w:cs="Arial"/>
                <w:b/>
                <w:color w:val="000000"/>
                <w:sz w:val="16"/>
                <w:szCs w:val="16"/>
              </w:rPr>
              <w:t>3,830</w:t>
            </w:r>
          </w:p>
        </w:tc>
        <w:tc>
          <w:tcPr>
            <w:tcW w:w="867" w:type="dxa"/>
            <w:tcBorders>
              <w:top w:val="single" w:sz="4" w:space="0" w:color="000000"/>
              <w:left w:val="nil"/>
              <w:bottom w:val="single" w:sz="4" w:space="0" w:color="auto"/>
              <w:right w:val="nil"/>
            </w:tcBorders>
            <w:shd w:val="clear" w:color="auto" w:fill="auto"/>
            <w:noWrap/>
            <w:vAlign w:val="bottom"/>
            <w:hideMark/>
          </w:tcPr>
          <w:p w14:paraId="7BB9AD62" w14:textId="35329061" w:rsidR="00C63902" w:rsidRPr="00064764" w:rsidRDefault="00C63902" w:rsidP="006E3451">
            <w:pPr>
              <w:spacing w:after="0" w:line="240" w:lineRule="auto"/>
              <w:jc w:val="right"/>
              <w:rPr>
                <w:rFonts w:ascii="Arial" w:hAnsi="Arial" w:cs="Arial"/>
                <w:b/>
                <w:color w:val="000000"/>
                <w:sz w:val="16"/>
                <w:szCs w:val="16"/>
              </w:rPr>
            </w:pPr>
            <w:r w:rsidRPr="00064764">
              <w:rPr>
                <w:rFonts w:ascii="Arial" w:hAnsi="Arial" w:cs="Arial"/>
                <w:b/>
                <w:color w:val="000000"/>
                <w:sz w:val="16"/>
                <w:szCs w:val="16"/>
              </w:rPr>
              <w:t>3,893</w:t>
            </w:r>
          </w:p>
        </w:tc>
      </w:tr>
    </w:tbl>
    <w:p w14:paraId="5C124007" w14:textId="77777777" w:rsidR="00C63902" w:rsidRPr="008B743D" w:rsidRDefault="00C63902" w:rsidP="00B46EF9">
      <w:pPr>
        <w:pStyle w:val="TableGraphic"/>
        <w:spacing w:before="60"/>
        <w:rPr>
          <w:rFonts w:ascii="Arial" w:hAnsi="Arial" w:cs="Arial"/>
          <w:i w:val="0"/>
          <w:color w:val="auto"/>
          <w:sz w:val="16"/>
          <w:szCs w:val="16"/>
        </w:rPr>
      </w:pPr>
      <w:r w:rsidRPr="008B743D">
        <w:rPr>
          <w:rFonts w:ascii="Arial" w:hAnsi="Arial" w:cs="Arial"/>
          <w:i w:val="0"/>
          <w:color w:val="auto"/>
          <w:sz w:val="16"/>
          <w:szCs w:val="16"/>
        </w:rPr>
        <w:t>Prepared on Australian Accounting Standards basis.</w:t>
      </w:r>
    </w:p>
    <w:p w14:paraId="059ACFDA" w14:textId="77777777" w:rsidR="00C63902" w:rsidRDefault="00C63902" w:rsidP="00C63902">
      <w:pPr>
        <w:pStyle w:val="NoSpacing"/>
        <w:rPr>
          <w:rFonts w:ascii="Arial" w:hAnsi="Arial" w:cs="Arial"/>
          <w:sz w:val="16"/>
          <w:szCs w:val="16"/>
        </w:rPr>
      </w:pPr>
    </w:p>
    <w:p w14:paraId="7E6DD1EA" w14:textId="77777777" w:rsidR="009A11F4" w:rsidRDefault="009A11F4">
      <w:pPr>
        <w:spacing w:after="0" w:line="240" w:lineRule="auto"/>
        <w:jc w:val="left"/>
        <w:rPr>
          <w:rFonts w:ascii="Arial" w:hAnsi="Arial"/>
          <w:b/>
          <w:lang w:val="en-US"/>
        </w:rPr>
      </w:pPr>
      <w:r>
        <w:rPr>
          <w:lang w:val="en-US"/>
        </w:rPr>
        <w:br w:type="page"/>
      </w:r>
    </w:p>
    <w:p w14:paraId="183F7ABF" w14:textId="071652A9" w:rsidR="00C63902" w:rsidRPr="00A00283" w:rsidRDefault="00C63902" w:rsidP="00C63902">
      <w:pPr>
        <w:pStyle w:val="TableHeading"/>
      </w:pPr>
      <w:r>
        <w:rPr>
          <w:lang w:val="en-US"/>
        </w:rPr>
        <w:lastRenderedPageBreak/>
        <w:t>T</w:t>
      </w:r>
      <w:r w:rsidRPr="00D30CBA">
        <w:t>able</w:t>
      </w:r>
      <w:r>
        <w:t xml:space="preserve"> 3.</w:t>
      </w:r>
      <w:r>
        <w:rPr>
          <w:lang w:val="en-US"/>
        </w:rPr>
        <w:t>6</w:t>
      </w:r>
      <w:r w:rsidRPr="00D30CBA">
        <w:t xml:space="preserve">: </w:t>
      </w:r>
      <w:r w:rsidR="008863D9">
        <w:t>Department</w:t>
      </w:r>
      <w:r>
        <w:t>al capital budget statement (for the period ended 30 June)</w:t>
      </w:r>
    </w:p>
    <w:tbl>
      <w:tblPr>
        <w:tblW w:w="7685" w:type="dxa"/>
        <w:tblLook w:val="04A0" w:firstRow="1" w:lastRow="0" w:firstColumn="1" w:lastColumn="0" w:noHBand="0" w:noVBand="1"/>
      </w:tblPr>
      <w:tblGrid>
        <w:gridCol w:w="3402"/>
        <w:gridCol w:w="855"/>
        <w:gridCol w:w="857"/>
        <w:gridCol w:w="857"/>
        <w:gridCol w:w="857"/>
        <w:gridCol w:w="857"/>
      </w:tblGrid>
      <w:tr w:rsidR="00C63902" w:rsidRPr="003341AF" w14:paraId="0C896813" w14:textId="77777777" w:rsidTr="00A20718">
        <w:trPr>
          <w:trHeight w:val="709"/>
        </w:trPr>
        <w:tc>
          <w:tcPr>
            <w:tcW w:w="3402" w:type="dxa"/>
            <w:tcBorders>
              <w:top w:val="single" w:sz="4" w:space="0" w:color="auto"/>
              <w:left w:val="nil"/>
              <w:bottom w:val="nil"/>
              <w:right w:val="nil"/>
            </w:tcBorders>
            <w:shd w:val="clear" w:color="auto" w:fill="auto"/>
            <w:noWrap/>
            <w:hideMark/>
          </w:tcPr>
          <w:p w14:paraId="5654AAC8"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 </w:t>
            </w:r>
          </w:p>
        </w:tc>
        <w:tc>
          <w:tcPr>
            <w:tcW w:w="855" w:type="dxa"/>
            <w:tcBorders>
              <w:top w:val="single" w:sz="4" w:space="0" w:color="auto"/>
              <w:left w:val="nil"/>
              <w:bottom w:val="single" w:sz="4" w:space="0" w:color="auto"/>
              <w:right w:val="nil"/>
            </w:tcBorders>
            <w:shd w:val="clear" w:color="auto" w:fill="auto"/>
            <w:hideMark/>
          </w:tcPr>
          <w:p w14:paraId="092899BE"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2020-21 Actual</w:t>
            </w:r>
            <w:r w:rsidRPr="003341AF">
              <w:rPr>
                <w:rFonts w:ascii="Arial" w:hAnsi="Arial" w:cs="Arial"/>
                <w:sz w:val="16"/>
                <w:szCs w:val="16"/>
              </w:rPr>
              <w:br/>
            </w:r>
            <w:r w:rsidRPr="003341A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000000" w:fill="E6E6E6"/>
            <w:hideMark/>
          </w:tcPr>
          <w:p w14:paraId="759ED4C1"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2021-22</w:t>
            </w:r>
            <w:r w:rsidRPr="003341AF">
              <w:rPr>
                <w:rFonts w:ascii="Arial" w:hAnsi="Arial" w:cs="Arial"/>
                <w:sz w:val="16"/>
                <w:szCs w:val="16"/>
              </w:rPr>
              <w:br/>
              <w:t>Revised Budget</w:t>
            </w:r>
            <w:r w:rsidRPr="003341A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6954DBEF"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2022-23 Forward estimate</w:t>
            </w:r>
            <w:r w:rsidRPr="003341A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77864859"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2023-24 Forward estimate</w:t>
            </w:r>
            <w:r w:rsidRPr="003341A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hideMark/>
          </w:tcPr>
          <w:p w14:paraId="75926714" w14:textId="77777777" w:rsidR="00C63902" w:rsidRPr="003341AF" w:rsidRDefault="00C63902" w:rsidP="00C63902">
            <w:pPr>
              <w:spacing w:after="0" w:line="240" w:lineRule="auto"/>
              <w:jc w:val="right"/>
              <w:rPr>
                <w:rFonts w:ascii="Arial" w:hAnsi="Arial" w:cs="Arial"/>
                <w:sz w:val="16"/>
                <w:szCs w:val="16"/>
              </w:rPr>
            </w:pPr>
            <w:r w:rsidRPr="003341AF">
              <w:rPr>
                <w:rFonts w:ascii="Arial" w:hAnsi="Arial" w:cs="Arial"/>
                <w:sz w:val="16"/>
                <w:szCs w:val="16"/>
              </w:rPr>
              <w:t>2024-25</w:t>
            </w:r>
            <w:r w:rsidRPr="003341AF">
              <w:rPr>
                <w:rFonts w:ascii="Arial" w:hAnsi="Arial" w:cs="Arial"/>
                <w:sz w:val="16"/>
                <w:szCs w:val="16"/>
              </w:rPr>
              <w:br/>
              <w:t>Forward estimate</w:t>
            </w:r>
            <w:r w:rsidRPr="003341AF">
              <w:rPr>
                <w:rFonts w:ascii="Arial" w:hAnsi="Arial" w:cs="Arial"/>
                <w:sz w:val="16"/>
                <w:szCs w:val="16"/>
              </w:rPr>
              <w:br/>
              <w:t>$'000</w:t>
            </w:r>
          </w:p>
        </w:tc>
      </w:tr>
      <w:tr w:rsidR="00C63902" w:rsidRPr="003341AF" w14:paraId="563013DD" w14:textId="77777777" w:rsidTr="00A20718">
        <w:trPr>
          <w:trHeight w:val="204"/>
        </w:trPr>
        <w:tc>
          <w:tcPr>
            <w:tcW w:w="3402" w:type="dxa"/>
            <w:tcBorders>
              <w:top w:val="nil"/>
              <w:left w:val="nil"/>
              <w:bottom w:val="nil"/>
              <w:right w:val="nil"/>
            </w:tcBorders>
            <w:shd w:val="clear" w:color="auto" w:fill="auto"/>
            <w:vAlign w:val="center"/>
            <w:hideMark/>
          </w:tcPr>
          <w:p w14:paraId="0E6A537B" w14:textId="797B72BC" w:rsidR="00C63902" w:rsidRPr="003341AF" w:rsidRDefault="00C63902" w:rsidP="000E53DA">
            <w:pPr>
              <w:spacing w:after="0" w:line="240" w:lineRule="auto"/>
              <w:jc w:val="left"/>
              <w:rPr>
                <w:rFonts w:ascii="Arial" w:hAnsi="Arial" w:cs="Arial"/>
                <w:b/>
                <w:bCs/>
                <w:sz w:val="16"/>
                <w:szCs w:val="16"/>
              </w:rPr>
            </w:pPr>
            <w:r w:rsidRPr="003341AF">
              <w:rPr>
                <w:rFonts w:ascii="Arial" w:hAnsi="Arial" w:cs="Arial"/>
                <w:b/>
                <w:bCs/>
                <w:sz w:val="16"/>
                <w:szCs w:val="16"/>
              </w:rPr>
              <w:t>PURCHASE OF NON-FINANCIAL</w:t>
            </w:r>
            <w:r w:rsidR="000E53DA">
              <w:rPr>
                <w:rFonts w:ascii="Arial" w:hAnsi="Arial" w:cs="Arial"/>
                <w:b/>
                <w:bCs/>
                <w:sz w:val="16"/>
                <w:szCs w:val="16"/>
              </w:rPr>
              <w:t xml:space="preserve"> </w:t>
            </w:r>
            <w:r w:rsidRPr="003341AF">
              <w:rPr>
                <w:rFonts w:ascii="Arial" w:hAnsi="Arial" w:cs="Arial"/>
                <w:b/>
                <w:bCs/>
                <w:sz w:val="16"/>
                <w:szCs w:val="16"/>
              </w:rPr>
              <w:t>ASSETS</w:t>
            </w:r>
          </w:p>
        </w:tc>
        <w:tc>
          <w:tcPr>
            <w:tcW w:w="855" w:type="dxa"/>
            <w:tcBorders>
              <w:top w:val="nil"/>
              <w:left w:val="nil"/>
              <w:bottom w:val="nil"/>
              <w:right w:val="nil"/>
            </w:tcBorders>
            <w:shd w:val="clear" w:color="auto" w:fill="auto"/>
            <w:vAlign w:val="bottom"/>
            <w:hideMark/>
          </w:tcPr>
          <w:p w14:paraId="20116077" w14:textId="77777777" w:rsidR="00C63902" w:rsidRPr="003341AF" w:rsidRDefault="00C63902" w:rsidP="000727B7">
            <w:pPr>
              <w:spacing w:after="0" w:line="240" w:lineRule="auto"/>
              <w:jc w:val="right"/>
              <w:rPr>
                <w:rFonts w:ascii="Arial" w:hAnsi="Arial" w:cs="Arial"/>
                <w:b/>
                <w:bCs/>
                <w:sz w:val="16"/>
                <w:szCs w:val="16"/>
              </w:rPr>
            </w:pPr>
          </w:p>
        </w:tc>
        <w:tc>
          <w:tcPr>
            <w:tcW w:w="857" w:type="dxa"/>
            <w:tcBorders>
              <w:top w:val="nil"/>
              <w:left w:val="nil"/>
              <w:bottom w:val="nil"/>
              <w:right w:val="nil"/>
            </w:tcBorders>
            <w:shd w:val="clear" w:color="000000" w:fill="E6E6E6"/>
            <w:vAlign w:val="bottom"/>
            <w:hideMark/>
          </w:tcPr>
          <w:p w14:paraId="55AE7358" w14:textId="6C28A03E" w:rsidR="00C63902" w:rsidRPr="003341AF" w:rsidRDefault="00C63902" w:rsidP="000727B7">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208BE710" w14:textId="77777777" w:rsidR="00C63902" w:rsidRPr="003341AF" w:rsidRDefault="00C63902" w:rsidP="000727B7">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322C2076" w14:textId="77777777" w:rsidR="00C63902" w:rsidRPr="003341AF" w:rsidRDefault="00C63902" w:rsidP="000727B7">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vAlign w:val="bottom"/>
            <w:hideMark/>
          </w:tcPr>
          <w:p w14:paraId="61E62BED" w14:textId="77777777" w:rsidR="00C63902" w:rsidRPr="003341AF" w:rsidRDefault="00C63902" w:rsidP="000727B7">
            <w:pPr>
              <w:spacing w:after="0" w:line="240" w:lineRule="auto"/>
              <w:jc w:val="right"/>
              <w:rPr>
                <w:rFonts w:ascii="Times New Roman" w:hAnsi="Times New Roman"/>
              </w:rPr>
            </w:pPr>
          </w:p>
        </w:tc>
      </w:tr>
      <w:tr w:rsidR="00C63902" w:rsidRPr="003341AF" w14:paraId="5BAAAF90" w14:textId="77777777" w:rsidTr="00A20718">
        <w:trPr>
          <w:trHeight w:val="204"/>
        </w:trPr>
        <w:tc>
          <w:tcPr>
            <w:tcW w:w="3402" w:type="dxa"/>
            <w:tcBorders>
              <w:top w:val="nil"/>
              <w:left w:val="nil"/>
              <w:bottom w:val="nil"/>
              <w:right w:val="nil"/>
            </w:tcBorders>
            <w:shd w:val="clear" w:color="auto" w:fill="auto"/>
            <w:vAlign w:val="center"/>
            <w:hideMark/>
          </w:tcPr>
          <w:p w14:paraId="0D76ED4A" w14:textId="759843C6" w:rsidR="00C63902" w:rsidRPr="003341AF" w:rsidRDefault="00C63902" w:rsidP="000E53DA">
            <w:pPr>
              <w:spacing w:after="0" w:line="240" w:lineRule="auto"/>
              <w:ind w:left="113"/>
              <w:jc w:val="left"/>
              <w:rPr>
                <w:rFonts w:ascii="Arial" w:hAnsi="Arial" w:cs="Arial"/>
                <w:sz w:val="16"/>
                <w:szCs w:val="16"/>
              </w:rPr>
            </w:pPr>
            <w:r w:rsidRPr="003341AF">
              <w:rPr>
                <w:rFonts w:ascii="Arial" w:hAnsi="Arial" w:cs="Arial"/>
                <w:sz w:val="16"/>
                <w:szCs w:val="16"/>
              </w:rPr>
              <w:t xml:space="preserve">Funded internally </w:t>
            </w:r>
            <w:r w:rsidR="008B743D">
              <w:rPr>
                <w:rFonts w:ascii="Arial" w:hAnsi="Arial" w:cs="Arial"/>
                <w:sz w:val="16"/>
                <w:szCs w:val="16"/>
              </w:rPr>
              <w:t xml:space="preserve">from </w:t>
            </w:r>
            <w:r w:rsidR="008863D9">
              <w:rPr>
                <w:rFonts w:ascii="Arial" w:hAnsi="Arial" w:cs="Arial"/>
                <w:sz w:val="16"/>
                <w:szCs w:val="16"/>
              </w:rPr>
              <w:t>Department</w:t>
            </w:r>
            <w:r w:rsidR="008B743D">
              <w:rPr>
                <w:rFonts w:ascii="Arial" w:hAnsi="Arial" w:cs="Arial"/>
                <w:sz w:val="16"/>
                <w:szCs w:val="16"/>
              </w:rPr>
              <w:t>al</w:t>
            </w:r>
            <w:r w:rsidR="000E53DA">
              <w:rPr>
                <w:rFonts w:ascii="Arial" w:hAnsi="Arial" w:cs="Arial"/>
                <w:sz w:val="16"/>
                <w:szCs w:val="16"/>
              </w:rPr>
              <w:t xml:space="preserve"> </w:t>
            </w:r>
            <w:r w:rsidR="008B743D">
              <w:rPr>
                <w:rFonts w:ascii="Arial" w:hAnsi="Arial" w:cs="Arial"/>
                <w:sz w:val="16"/>
                <w:szCs w:val="16"/>
              </w:rPr>
              <w:t xml:space="preserve">resources </w:t>
            </w:r>
            <w:r w:rsidR="008B743D" w:rsidRPr="000E317F">
              <w:rPr>
                <w:rFonts w:ascii="Arial" w:hAnsi="Arial" w:cs="Arial"/>
                <w:sz w:val="16"/>
                <w:szCs w:val="16"/>
                <w:vertAlign w:val="superscript"/>
              </w:rPr>
              <w:t>(a</w:t>
            </w:r>
            <w:r w:rsidRPr="000E317F">
              <w:rPr>
                <w:rFonts w:ascii="Arial" w:hAnsi="Arial" w:cs="Arial"/>
                <w:sz w:val="16"/>
                <w:szCs w:val="16"/>
                <w:vertAlign w:val="superscript"/>
              </w:rPr>
              <w:t>)</w:t>
            </w:r>
          </w:p>
        </w:tc>
        <w:tc>
          <w:tcPr>
            <w:tcW w:w="855" w:type="dxa"/>
            <w:tcBorders>
              <w:top w:val="nil"/>
              <w:left w:val="nil"/>
              <w:bottom w:val="nil"/>
              <w:right w:val="nil"/>
            </w:tcBorders>
            <w:shd w:val="clear" w:color="auto" w:fill="auto"/>
            <w:noWrap/>
            <w:vAlign w:val="bottom"/>
            <w:hideMark/>
          </w:tcPr>
          <w:p w14:paraId="2679E7DB" w14:textId="6D9864BB" w:rsidR="00C63902" w:rsidRPr="00BF6F80" w:rsidRDefault="00C63902" w:rsidP="000727B7">
            <w:pPr>
              <w:spacing w:after="0" w:line="240" w:lineRule="auto"/>
              <w:jc w:val="right"/>
              <w:rPr>
                <w:rFonts w:ascii="Arial" w:hAnsi="Arial" w:cs="Arial"/>
                <w:sz w:val="16"/>
                <w:szCs w:val="16"/>
              </w:rPr>
            </w:pPr>
            <w:r w:rsidRPr="00BF6F80">
              <w:rPr>
                <w:rFonts w:ascii="Arial" w:hAnsi="Arial" w:cs="Arial"/>
                <w:sz w:val="16"/>
                <w:szCs w:val="16"/>
              </w:rPr>
              <w:t>296</w:t>
            </w:r>
          </w:p>
        </w:tc>
        <w:tc>
          <w:tcPr>
            <w:tcW w:w="857" w:type="dxa"/>
            <w:tcBorders>
              <w:top w:val="nil"/>
              <w:left w:val="nil"/>
              <w:bottom w:val="nil"/>
              <w:right w:val="nil"/>
            </w:tcBorders>
            <w:shd w:val="clear" w:color="000000" w:fill="E6E6E6"/>
            <w:noWrap/>
            <w:vAlign w:val="bottom"/>
            <w:hideMark/>
          </w:tcPr>
          <w:p w14:paraId="2DC08A56" w14:textId="0A5D3DAB" w:rsidR="00C63902" w:rsidRPr="00BF6F80" w:rsidRDefault="00C63902" w:rsidP="000727B7">
            <w:pPr>
              <w:spacing w:after="0" w:line="240" w:lineRule="auto"/>
              <w:jc w:val="right"/>
              <w:rPr>
                <w:rFonts w:ascii="Arial" w:hAnsi="Arial" w:cs="Arial"/>
                <w:sz w:val="16"/>
                <w:szCs w:val="16"/>
              </w:rPr>
            </w:pPr>
            <w:r w:rsidRPr="00BF6F80">
              <w:rPr>
                <w:rFonts w:ascii="Arial" w:hAnsi="Arial" w:cs="Arial"/>
                <w:sz w:val="16"/>
                <w:szCs w:val="16"/>
              </w:rPr>
              <w:t>200</w:t>
            </w:r>
          </w:p>
        </w:tc>
        <w:tc>
          <w:tcPr>
            <w:tcW w:w="857" w:type="dxa"/>
            <w:tcBorders>
              <w:top w:val="nil"/>
              <w:left w:val="nil"/>
              <w:bottom w:val="nil"/>
              <w:right w:val="nil"/>
            </w:tcBorders>
            <w:shd w:val="clear" w:color="auto" w:fill="auto"/>
            <w:noWrap/>
            <w:vAlign w:val="bottom"/>
            <w:hideMark/>
          </w:tcPr>
          <w:p w14:paraId="4E87CD8C" w14:textId="3613739B" w:rsidR="00C63902" w:rsidRPr="00BF6F80" w:rsidRDefault="00C63902" w:rsidP="000727B7">
            <w:pPr>
              <w:spacing w:after="0" w:line="240" w:lineRule="auto"/>
              <w:jc w:val="right"/>
              <w:rPr>
                <w:rFonts w:ascii="Arial" w:hAnsi="Arial" w:cs="Arial"/>
                <w:sz w:val="16"/>
                <w:szCs w:val="16"/>
              </w:rPr>
            </w:pPr>
            <w:r w:rsidRPr="00BF6F80">
              <w:rPr>
                <w:rFonts w:ascii="Arial" w:hAnsi="Arial" w:cs="Arial"/>
                <w:sz w:val="16"/>
                <w:szCs w:val="16"/>
              </w:rPr>
              <w:t>300</w:t>
            </w:r>
          </w:p>
        </w:tc>
        <w:tc>
          <w:tcPr>
            <w:tcW w:w="857" w:type="dxa"/>
            <w:tcBorders>
              <w:top w:val="nil"/>
              <w:left w:val="nil"/>
              <w:bottom w:val="nil"/>
              <w:right w:val="nil"/>
            </w:tcBorders>
            <w:shd w:val="clear" w:color="auto" w:fill="auto"/>
            <w:noWrap/>
            <w:vAlign w:val="bottom"/>
            <w:hideMark/>
          </w:tcPr>
          <w:p w14:paraId="4AE55890" w14:textId="2346DAC6" w:rsidR="00C63902" w:rsidRPr="00480722" w:rsidRDefault="00C63902" w:rsidP="000727B7">
            <w:pPr>
              <w:spacing w:after="0" w:line="240" w:lineRule="auto"/>
              <w:jc w:val="right"/>
              <w:rPr>
                <w:rFonts w:ascii="Arial" w:hAnsi="Arial" w:cs="Arial"/>
                <w:sz w:val="16"/>
                <w:szCs w:val="16"/>
              </w:rPr>
            </w:pPr>
            <w:r w:rsidRPr="00480722">
              <w:rPr>
                <w:rFonts w:ascii="Arial" w:hAnsi="Arial" w:cs="Arial"/>
                <w:sz w:val="16"/>
                <w:szCs w:val="16"/>
              </w:rPr>
              <w:t>300</w:t>
            </w:r>
          </w:p>
        </w:tc>
        <w:tc>
          <w:tcPr>
            <w:tcW w:w="857" w:type="dxa"/>
            <w:tcBorders>
              <w:top w:val="nil"/>
              <w:left w:val="nil"/>
              <w:bottom w:val="nil"/>
              <w:right w:val="nil"/>
            </w:tcBorders>
            <w:shd w:val="clear" w:color="auto" w:fill="auto"/>
            <w:noWrap/>
            <w:vAlign w:val="bottom"/>
            <w:hideMark/>
          </w:tcPr>
          <w:p w14:paraId="5B836AF2" w14:textId="7043B31F" w:rsidR="00C63902" w:rsidRPr="00480722" w:rsidRDefault="00C63902" w:rsidP="000727B7">
            <w:pPr>
              <w:spacing w:after="0" w:line="240" w:lineRule="auto"/>
              <w:jc w:val="right"/>
              <w:rPr>
                <w:rFonts w:ascii="Arial" w:hAnsi="Arial" w:cs="Arial"/>
                <w:sz w:val="16"/>
                <w:szCs w:val="16"/>
              </w:rPr>
            </w:pPr>
            <w:r w:rsidRPr="00480722">
              <w:rPr>
                <w:rFonts w:ascii="Arial" w:hAnsi="Arial" w:cs="Arial"/>
                <w:sz w:val="16"/>
                <w:szCs w:val="16"/>
              </w:rPr>
              <w:t>300</w:t>
            </w:r>
          </w:p>
        </w:tc>
      </w:tr>
      <w:tr w:rsidR="00C63902" w:rsidRPr="003341AF" w14:paraId="2DA75E04" w14:textId="77777777" w:rsidTr="00A20718">
        <w:trPr>
          <w:trHeight w:val="204"/>
        </w:trPr>
        <w:tc>
          <w:tcPr>
            <w:tcW w:w="3402" w:type="dxa"/>
            <w:tcBorders>
              <w:top w:val="nil"/>
              <w:left w:val="nil"/>
              <w:bottom w:val="nil"/>
              <w:right w:val="nil"/>
            </w:tcBorders>
            <w:shd w:val="clear" w:color="auto" w:fill="auto"/>
            <w:noWrap/>
            <w:vAlign w:val="center"/>
            <w:hideMark/>
          </w:tcPr>
          <w:p w14:paraId="3E1E057F"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TOTAL</w:t>
            </w:r>
          </w:p>
        </w:tc>
        <w:tc>
          <w:tcPr>
            <w:tcW w:w="855" w:type="dxa"/>
            <w:tcBorders>
              <w:top w:val="single" w:sz="4" w:space="0" w:color="auto"/>
              <w:left w:val="nil"/>
              <w:bottom w:val="single" w:sz="4" w:space="0" w:color="auto"/>
              <w:right w:val="nil"/>
            </w:tcBorders>
            <w:shd w:val="clear" w:color="auto" w:fill="auto"/>
            <w:noWrap/>
            <w:vAlign w:val="bottom"/>
            <w:hideMark/>
          </w:tcPr>
          <w:p w14:paraId="20C5BF57" w14:textId="703B9A41" w:rsidR="00C63902" w:rsidRPr="00BF6F80" w:rsidRDefault="00C63902" w:rsidP="000727B7">
            <w:pPr>
              <w:spacing w:after="0" w:line="240" w:lineRule="auto"/>
              <w:jc w:val="right"/>
              <w:rPr>
                <w:rFonts w:ascii="Arial" w:hAnsi="Arial" w:cs="Arial"/>
                <w:b/>
                <w:bCs/>
                <w:sz w:val="16"/>
                <w:szCs w:val="16"/>
              </w:rPr>
            </w:pPr>
            <w:r w:rsidRPr="00BF6F80">
              <w:rPr>
                <w:rFonts w:ascii="Arial" w:hAnsi="Arial" w:cs="Arial"/>
                <w:b/>
                <w:bCs/>
                <w:sz w:val="16"/>
                <w:szCs w:val="16"/>
              </w:rPr>
              <w:t>296</w:t>
            </w:r>
          </w:p>
        </w:tc>
        <w:tc>
          <w:tcPr>
            <w:tcW w:w="857" w:type="dxa"/>
            <w:tcBorders>
              <w:top w:val="single" w:sz="4" w:space="0" w:color="auto"/>
              <w:left w:val="nil"/>
              <w:bottom w:val="single" w:sz="4" w:space="0" w:color="auto"/>
              <w:right w:val="nil"/>
            </w:tcBorders>
            <w:shd w:val="clear" w:color="000000" w:fill="E6E6E6"/>
            <w:noWrap/>
            <w:vAlign w:val="bottom"/>
            <w:hideMark/>
          </w:tcPr>
          <w:p w14:paraId="5D4A3D27" w14:textId="3999A254" w:rsidR="00C63902" w:rsidRPr="00BF6F80" w:rsidRDefault="00C63902" w:rsidP="000727B7">
            <w:pPr>
              <w:spacing w:after="0" w:line="240" w:lineRule="auto"/>
              <w:jc w:val="right"/>
              <w:rPr>
                <w:rFonts w:ascii="Arial" w:hAnsi="Arial" w:cs="Arial"/>
                <w:b/>
                <w:bCs/>
                <w:sz w:val="16"/>
                <w:szCs w:val="16"/>
              </w:rPr>
            </w:pPr>
            <w:r w:rsidRPr="00BF6F80">
              <w:rPr>
                <w:rFonts w:ascii="Arial" w:hAnsi="Arial" w:cs="Arial"/>
                <w:b/>
                <w:bCs/>
                <w:sz w:val="16"/>
                <w:szCs w:val="16"/>
              </w:rPr>
              <w:t>200</w:t>
            </w:r>
          </w:p>
        </w:tc>
        <w:tc>
          <w:tcPr>
            <w:tcW w:w="857" w:type="dxa"/>
            <w:tcBorders>
              <w:top w:val="single" w:sz="4" w:space="0" w:color="auto"/>
              <w:left w:val="nil"/>
              <w:bottom w:val="single" w:sz="4" w:space="0" w:color="auto"/>
              <w:right w:val="nil"/>
            </w:tcBorders>
            <w:shd w:val="clear" w:color="auto" w:fill="auto"/>
            <w:noWrap/>
            <w:vAlign w:val="bottom"/>
            <w:hideMark/>
          </w:tcPr>
          <w:p w14:paraId="0418E520" w14:textId="55F54DF3" w:rsidR="00C63902" w:rsidRPr="00BF6F80" w:rsidRDefault="00C63902" w:rsidP="000727B7">
            <w:pPr>
              <w:spacing w:after="0" w:line="240" w:lineRule="auto"/>
              <w:jc w:val="right"/>
              <w:rPr>
                <w:rFonts w:ascii="Arial" w:hAnsi="Arial" w:cs="Arial"/>
                <w:b/>
                <w:bCs/>
                <w:sz w:val="16"/>
                <w:szCs w:val="16"/>
              </w:rPr>
            </w:pPr>
            <w:r w:rsidRPr="00BF6F80">
              <w:rPr>
                <w:rFonts w:ascii="Arial" w:hAnsi="Arial" w:cs="Arial"/>
                <w:b/>
                <w:bCs/>
                <w:sz w:val="16"/>
                <w:szCs w:val="16"/>
              </w:rPr>
              <w:t>300</w:t>
            </w:r>
          </w:p>
        </w:tc>
        <w:tc>
          <w:tcPr>
            <w:tcW w:w="857" w:type="dxa"/>
            <w:tcBorders>
              <w:top w:val="single" w:sz="4" w:space="0" w:color="auto"/>
              <w:left w:val="nil"/>
              <w:bottom w:val="single" w:sz="4" w:space="0" w:color="auto"/>
              <w:right w:val="nil"/>
            </w:tcBorders>
            <w:shd w:val="clear" w:color="auto" w:fill="auto"/>
            <w:noWrap/>
            <w:vAlign w:val="bottom"/>
            <w:hideMark/>
          </w:tcPr>
          <w:p w14:paraId="4A1ABBF0" w14:textId="3EBC5086" w:rsidR="00C63902" w:rsidRPr="00480722" w:rsidRDefault="00C63902" w:rsidP="000727B7">
            <w:pPr>
              <w:spacing w:after="0" w:line="240" w:lineRule="auto"/>
              <w:jc w:val="right"/>
              <w:rPr>
                <w:rFonts w:ascii="Arial" w:hAnsi="Arial" w:cs="Arial"/>
                <w:b/>
                <w:bCs/>
                <w:sz w:val="16"/>
                <w:szCs w:val="16"/>
              </w:rPr>
            </w:pPr>
            <w:r w:rsidRPr="00480722">
              <w:rPr>
                <w:rFonts w:ascii="Arial" w:hAnsi="Arial" w:cs="Arial"/>
                <w:b/>
                <w:bCs/>
                <w:sz w:val="16"/>
                <w:szCs w:val="16"/>
              </w:rPr>
              <w:t>300</w:t>
            </w:r>
          </w:p>
        </w:tc>
        <w:tc>
          <w:tcPr>
            <w:tcW w:w="857" w:type="dxa"/>
            <w:tcBorders>
              <w:top w:val="single" w:sz="4" w:space="0" w:color="auto"/>
              <w:left w:val="nil"/>
              <w:bottom w:val="single" w:sz="4" w:space="0" w:color="auto"/>
              <w:right w:val="nil"/>
            </w:tcBorders>
            <w:shd w:val="clear" w:color="auto" w:fill="auto"/>
            <w:noWrap/>
            <w:vAlign w:val="bottom"/>
            <w:hideMark/>
          </w:tcPr>
          <w:p w14:paraId="7EA8D2AE" w14:textId="5969F813" w:rsidR="00C63902" w:rsidRPr="00480722" w:rsidRDefault="00C63902" w:rsidP="000727B7">
            <w:pPr>
              <w:spacing w:after="0" w:line="240" w:lineRule="auto"/>
              <w:jc w:val="right"/>
              <w:rPr>
                <w:rFonts w:ascii="Arial" w:hAnsi="Arial" w:cs="Arial"/>
                <w:b/>
                <w:bCs/>
                <w:sz w:val="16"/>
                <w:szCs w:val="16"/>
              </w:rPr>
            </w:pPr>
            <w:r w:rsidRPr="00480722">
              <w:rPr>
                <w:rFonts w:ascii="Arial" w:hAnsi="Arial" w:cs="Arial"/>
                <w:b/>
                <w:bCs/>
                <w:sz w:val="16"/>
                <w:szCs w:val="16"/>
              </w:rPr>
              <w:t>300</w:t>
            </w:r>
          </w:p>
        </w:tc>
      </w:tr>
      <w:tr w:rsidR="00C63902" w:rsidRPr="003341AF" w14:paraId="32A36EBC" w14:textId="77777777" w:rsidTr="00A20718">
        <w:trPr>
          <w:trHeight w:val="204"/>
        </w:trPr>
        <w:tc>
          <w:tcPr>
            <w:tcW w:w="3402" w:type="dxa"/>
            <w:tcBorders>
              <w:top w:val="nil"/>
              <w:left w:val="nil"/>
              <w:bottom w:val="nil"/>
              <w:right w:val="nil"/>
            </w:tcBorders>
            <w:shd w:val="clear" w:color="auto" w:fill="auto"/>
            <w:vAlign w:val="center"/>
            <w:hideMark/>
          </w:tcPr>
          <w:p w14:paraId="08CE7C39" w14:textId="23B0EC13" w:rsidR="00C63902" w:rsidRPr="003341AF" w:rsidRDefault="00C63902" w:rsidP="000E53DA">
            <w:pPr>
              <w:spacing w:after="0" w:line="240" w:lineRule="auto"/>
              <w:jc w:val="left"/>
              <w:rPr>
                <w:rFonts w:ascii="Arial" w:hAnsi="Arial" w:cs="Arial"/>
                <w:b/>
                <w:bCs/>
                <w:sz w:val="16"/>
                <w:szCs w:val="16"/>
              </w:rPr>
            </w:pPr>
            <w:r w:rsidRPr="003341AF">
              <w:rPr>
                <w:rFonts w:ascii="Arial" w:hAnsi="Arial" w:cs="Arial"/>
                <w:b/>
                <w:bCs/>
                <w:sz w:val="16"/>
                <w:szCs w:val="16"/>
              </w:rPr>
              <w:t>RECONCILIATION OF CASH USED</w:t>
            </w:r>
            <w:r w:rsidR="00DD1D6A">
              <w:rPr>
                <w:rFonts w:ascii="Arial" w:hAnsi="Arial" w:cs="Arial"/>
                <w:b/>
                <w:bCs/>
                <w:sz w:val="16"/>
                <w:szCs w:val="16"/>
              </w:rPr>
              <w:t xml:space="preserve"> </w:t>
            </w:r>
            <w:r w:rsidRPr="003341AF">
              <w:rPr>
                <w:rFonts w:ascii="Arial" w:hAnsi="Arial" w:cs="Arial"/>
                <w:b/>
                <w:bCs/>
                <w:sz w:val="16"/>
                <w:szCs w:val="16"/>
              </w:rPr>
              <w:t>TO ACQUIRE ASSETS TO ASSET</w:t>
            </w:r>
            <w:r w:rsidR="000E53DA">
              <w:rPr>
                <w:rFonts w:ascii="Arial" w:hAnsi="Arial" w:cs="Arial"/>
                <w:b/>
                <w:bCs/>
                <w:sz w:val="16"/>
                <w:szCs w:val="16"/>
              </w:rPr>
              <w:t xml:space="preserve"> </w:t>
            </w:r>
            <w:r w:rsidRPr="003341AF">
              <w:rPr>
                <w:rFonts w:ascii="Arial" w:hAnsi="Arial" w:cs="Arial"/>
                <w:b/>
                <w:bCs/>
                <w:sz w:val="16"/>
                <w:szCs w:val="16"/>
              </w:rPr>
              <w:t>MOVEMENT TABLE</w:t>
            </w:r>
          </w:p>
        </w:tc>
        <w:tc>
          <w:tcPr>
            <w:tcW w:w="855" w:type="dxa"/>
            <w:tcBorders>
              <w:top w:val="nil"/>
              <w:left w:val="nil"/>
              <w:bottom w:val="nil"/>
              <w:right w:val="nil"/>
            </w:tcBorders>
            <w:shd w:val="clear" w:color="auto" w:fill="auto"/>
            <w:noWrap/>
            <w:vAlign w:val="bottom"/>
            <w:hideMark/>
          </w:tcPr>
          <w:p w14:paraId="74805618" w14:textId="77777777" w:rsidR="00C63902" w:rsidRPr="00BF6F80" w:rsidRDefault="00C63902" w:rsidP="000727B7">
            <w:pPr>
              <w:spacing w:after="0" w:line="240" w:lineRule="auto"/>
              <w:jc w:val="right"/>
              <w:rPr>
                <w:rFonts w:ascii="Arial" w:hAnsi="Arial" w:cs="Arial"/>
                <w:b/>
                <w:bCs/>
                <w:sz w:val="16"/>
                <w:szCs w:val="16"/>
              </w:rPr>
            </w:pPr>
          </w:p>
        </w:tc>
        <w:tc>
          <w:tcPr>
            <w:tcW w:w="857" w:type="dxa"/>
            <w:tcBorders>
              <w:top w:val="nil"/>
              <w:left w:val="nil"/>
              <w:bottom w:val="nil"/>
              <w:right w:val="nil"/>
            </w:tcBorders>
            <w:shd w:val="clear" w:color="000000" w:fill="E6E6E6"/>
            <w:noWrap/>
            <w:vAlign w:val="bottom"/>
            <w:hideMark/>
          </w:tcPr>
          <w:p w14:paraId="7A73CA2E" w14:textId="515ED11C" w:rsidR="00C63902" w:rsidRPr="00BF6F80" w:rsidRDefault="00C63902" w:rsidP="000727B7">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47204377" w14:textId="77777777" w:rsidR="00C63902" w:rsidRPr="00BF6F80" w:rsidRDefault="00C63902" w:rsidP="000727B7">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3BC916B4" w14:textId="77777777" w:rsidR="00C63902" w:rsidRPr="000E317F" w:rsidRDefault="00C63902" w:rsidP="000727B7">
            <w:pPr>
              <w:spacing w:after="0" w:line="240" w:lineRule="auto"/>
              <w:jc w:val="right"/>
              <w:rPr>
                <w:rFonts w:ascii="Times New Roman" w:hAnsi="Times New Roman"/>
                <w:sz w:val="16"/>
                <w:szCs w:val="16"/>
              </w:rPr>
            </w:pPr>
          </w:p>
        </w:tc>
        <w:tc>
          <w:tcPr>
            <w:tcW w:w="857" w:type="dxa"/>
            <w:tcBorders>
              <w:top w:val="nil"/>
              <w:left w:val="nil"/>
              <w:bottom w:val="nil"/>
              <w:right w:val="nil"/>
            </w:tcBorders>
            <w:shd w:val="clear" w:color="auto" w:fill="auto"/>
            <w:noWrap/>
            <w:vAlign w:val="bottom"/>
            <w:hideMark/>
          </w:tcPr>
          <w:p w14:paraId="2C78D581" w14:textId="77777777" w:rsidR="00C63902" w:rsidRPr="000E317F" w:rsidRDefault="00C63902" w:rsidP="000727B7">
            <w:pPr>
              <w:spacing w:after="0" w:line="240" w:lineRule="auto"/>
              <w:jc w:val="right"/>
              <w:rPr>
                <w:rFonts w:ascii="Times New Roman" w:hAnsi="Times New Roman"/>
                <w:sz w:val="16"/>
                <w:szCs w:val="16"/>
              </w:rPr>
            </w:pPr>
          </w:p>
        </w:tc>
      </w:tr>
      <w:tr w:rsidR="00C63902" w:rsidRPr="003341AF" w14:paraId="25C24D02" w14:textId="77777777" w:rsidTr="00A20718">
        <w:trPr>
          <w:trHeight w:val="204"/>
        </w:trPr>
        <w:tc>
          <w:tcPr>
            <w:tcW w:w="3402" w:type="dxa"/>
            <w:tcBorders>
              <w:top w:val="nil"/>
              <w:left w:val="nil"/>
              <w:bottom w:val="nil"/>
              <w:right w:val="nil"/>
            </w:tcBorders>
            <w:shd w:val="clear" w:color="auto" w:fill="auto"/>
            <w:noWrap/>
            <w:vAlign w:val="center"/>
            <w:hideMark/>
          </w:tcPr>
          <w:p w14:paraId="42DBF6F7" w14:textId="77777777" w:rsidR="00C63902" w:rsidRPr="003341AF" w:rsidRDefault="00C63902" w:rsidP="000E317F">
            <w:pPr>
              <w:spacing w:after="0" w:line="240" w:lineRule="auto"/>
              <w:ind w:left="113"/>
              <w:jc w:val="left"/>
              <w:rPr>
                <w:rFonts w:ascii="Arial" w:hAnsi="Arial" w:cs="Arial"/>
                <w:sz w:val="16"/>
                <w:szCs w:val="16"/>
              </w:rPr>
            </w:pPr>
            <w:r w:rsidRPr="003341AF">
              <w:rPr>
                <w:rFonts w:ascii="Arial" w:hAnsi="Arial" w:cs="Arial"/>
                <w:sz w:val="16"/>
                <w:szCs w:val="16"/>
              </w:rPr>
              <w:t>Total purchases</w:t>
            </w:r>
          </w:p>
        </w:tc>
        <w:tc>
          <w:tcPr>
            <w:tcW w:w="855" w:type="dxa"/>
            <w:tcBorders>
              <w:top w:val="nil"/>
              <w:left w:val="nil"/>
              <w:bottom w:val="nil"/>
              <w:right w:val="nil"/>
            </w:tcBorders>
            <w:shd w:val="clear" w:color="auto" w:fill="auto"/>
            <w:noWrap/>
            <w:vAlign w:val="bottom"/>
            <w:hideMark/>
          </w:tcPr>
          <w:p w14:paraId="0B9E4550" w14:textId="3D8901B4" w:rsidR="00C63902" w:rsidRPr="00BF6F80" w:rsidRDefault="00C63902" w:rsidP="000727B7">
            <w:pPr>
              <w:spacing w:after="0" w:line="240" w:lineRule="auto"/>
              <w:jc w:val="right"/>
              <w:rPr>
                <w:rFonts w:ascii="Arial" w:hAnsi="Arial" w:cs="Arial"/>
                <w:sz w:val="16"/>
                <w:szCs w:val="16"/>
              </w:rPr>
            </w:pPr>
            <w:r w:rsidRPr="00BF6F80">
              <w:rPr>
                <w:rFonts w:ascii="Arial" w:hAnsi="Arial" w:cs="Arial"/>
                <w:sz w:val="16"/>
                <w:szCs w:val="16"/>
              </w:rPr>
              <w:t>296</w:t>
            </w:r>
          </w:p>
        </w:tc>
        <w:tc>
          <w:tcPr>
            <w:tcW w:w="857" w:type="dxa"/>
            <w:tcBorders>
              <w:top w:val="nil"/>
              <w:left w:val="nil"/>
              <w:bottom w:val="nil"/>
              <w:right w:val="nil"/>
            </w:tcBorders>
            <w:shd w:val="clear" w:color="000000" w:fill="E6E6E6"/>
            <w:noWrap/>
            <w:vAlign w:val="bottom"/>
            <w:hideMark/>
          </w:tcPr>
          <w:p w14:paraId="51D5D0E6" w14:textId="4C132AC2" w:rsidR="00C63902" w:rsidRPr="00BF6F80" w:rsidRDefault="00C63902" w:rsidP="000727B7">
            <w:pPr>
              <w:spacing w:after="0" w:line="240" w:lineRule="auto"/>
              <w:jc w:val="right"/>
              <w:rPr>
                <w:rFonts w:ascii="Arial" w:hAnsi="Arial" w:cs="Arial"/>
                <w:sz w:val="16"/>
                <w:szCs w:val="16"/>
              </w:rPr>
            </w:pPr>
            <w:r w:rsidRPr="00BF6F80">
              <w:rPr>
                <w:rFonts w:ascii="Arial" w:hAnsi="Arial" w:cs="Arial"/>
                <w:sz w:val="16"/>
                <w:szCs w:val="16"/>
              </w:rPr>
              <w:t>200</w:t>
            </w:r>
          </w:p>
        </w:tc>
        <w:tc>
          <w:tcPr>
            <w:tcW w:w="857" w:type="dxa"/>
            <w:tcBorders>
              <w:top w:val="nil"/>
              <w:left w:val="nil"/>
              <w:bottom w:val="nil"/>
              <w:right w:val="nil"/>
            </w:tcBorders>
            <w:shd w:val="clear" w:color="auto" w:fill="auto"/>
            <w:noWrap/>
            <w:vAlign w:val="bottom"/>
            <w:hideMark/>
          </w:tcPr>
          <w:p w14:paraId="12BBE24C" w14:textId="165C428D" w:rsidR="00C63902" w:rsidRPr="00BF6F80" w:rsidRDefault="00C63902" w:rsidP="000727B7">
            <w:pPr>
              <w:spacing w:after="0" w:line="240" w:lineRule="auto"/>
              <w:jc w:val="right"/>
              <w:rPr>
                <w:rFonts w:ascii="Arial" w:hAnsi="Arial" w:cs="Arial"/>
                <w:sz w:val="16"/>
                <w:szCs w:val="16"/>
              </w:rPr>
            </w:pPr>
            <w:r w:rsidRPr="00BF6F80">
              <w:rPr>
                <w:rFonts w:ascii="Arial" w:hAnsi="Arial" w:cs="Arial"/>
                <w:sz w:val="16"/>
                <w:szCs w:val="16"/>
              </w:rPr>
              <w:t>300</w:t>
            </w:r>
          </w:p>
        </w:tc>
        <w:tc>
          <w:tcPr>
            <w:tcW w:w="857" w:type="dxa"/>
            <w:tcBorders>
              <w:top w:val="nil"/>
              <w:left w:val="nil"/>
              <w:bottom w:val="nil"/>
              <w:right w:val="nil"/>
            </w:tcBorders>
            <w:shd w:val="clear" w:color="auto" w:fill="auto"/>
            <w:noWrap/>
            <w:vAlign w:val="bottom"/>
            <w:hideMark/>
          </w:tcPr>
          <w:p w14:paraId="4CE52FD0" w14:textId="6C71C82D" w:rsidR="00C63902" w:rsidRPr="00480722" w:rsidRDefault="00C63902" w:rsidP="000727B7">
            <w:pPr>
              <w:spacing w:after="0" w:line="240" w:lineRule="auto"/>
              <w:jc w:val="right"/>
              <w:rPr>
                <w:rFonts w:ascii="Arial" w:hAnsi="Arial" w:cs="Arial"/>
                <w:sz w:val="16"/>
                <w:szCs w:val="16"/>
              </w:rPr>
            </w:pPr>
            <w:r w:rsidRPr="00480722">
              <w:rPr>
                <w:rFonts w:ascii="Arial" w:hAnsi="Arial" w:cs="Arial"/>
                <w:sz w:val="16"/>
                <w:szCs w:val="16"/>
              </w:rPr>
              <w:t>300</w:t>
            </w:r>
          </w:p>
        </w:tc>
        <w:tc>
          <w:tcPr>
            <w:tcW w:w="857" w:type="dxa"/>
            <w:tcBorders>
              <w:top w:val="nil"/>
              <w:left w:val="nil"/>
              <w:bottom w:val="nil"/>
              <w:right w:val="nil"/>
            </w:tcBorders>
            <w:shd w:val="clear" w:color="auto" w:fill="auto"/>
            <w:noWrap/>
            <w:vAlign w:val="bottom"/>
            <w:hideMark/>
          </w:tcPr>
          <w:p w14:paraId="0F680CDE" w14:textId="641965F3" w:rsidR="00C63902" w:rsidRPr="00480722" w:rsidRDefault="00C63902" w:rsidP="000727B7">
            <w:pPr>
              <w:spacing w:after="0" w:line="240" w:lineRule="auto"/>
              <w:jc w:val="right"/>
              <w:rPr>
                <w:rFonts w:ascii="Arial" w:hAnsi="Arial" w:cs="Arial"/>
                <w:sz w:val="16"/>
                <w:szCs w:val="16"/>
              </w:rPr>
            </w:pPr>
            <w:r w:rsidRPr="00480722">
              <w:rPr>
                <w:rFonts w:ascii="Arial" w:hAnsi="Arial" w:cs="Arial"/>
                <w:sz w:val="16"/>
                <w:szCs w:val="16"/>
              </w:rPr>
              <w:t>300</w:t>
            </w:r>
          </w:p>
        </w:tc>
      </w:tr>
      <w:tr w:rsidR="00C63902" w:rsidRPr="003341AF" w14:paraId="46C490FC" w14:textId="77777777" w:rsidTr="00A20718">
        <w:trPr>
          <w:trHeight w:val="204"/>
        </w:trPr>
        <w:tc>
          <w:tcPr>
            <w:tcW w:w="3402" w:type="dxa"/>
            <w:tcBorders>
              <w:top w:val="nil"/>
              <w:left w:val="nil"/>
              <w:bottom w:val="single" w:sz="4" w:space="0" w:color="auto"/>
              <w:right w:val="nil"/>
            </w:tcBorders>
            <w:shd w:val="clear" w:color="auto" w:fill="auto"/>
            <w:vAlign w:val="center"/>
            <w:hideMark/>
          </w:tcPr>
          <w:p w14:paraId="2A110D96" w14:textId="77777777" w:rsidR="00C63902" w:rsidRPr="003341AF" w:rsidRDefault="00C63902" w:rsidP="00C63902">
            <w:pPr>
              <w:spacing w:after="0" w:line="240" w:lineRule="auto"/>
              <w:jc w:val="left"/>
              <w:rPr>
                <w:rFonts w:ascii="Arial" w:hAnsi="Arial" w:cs="Arial"/>
                <w:b/>
                <w:bCs/>
                <w:sz w:val="16"/>
                <w:szCs w:val="16"/>
              </w:rPr>
            </w:pPr>
            <w:r w:rsidRPr="003341AF">
              <w:rPr>
                <w:rFonts w:ascii="Arial" w:hAnsi="Arial" w:cs="Arial"/>
                <w:b/>
                <w:bCs/>
                <w:sz w:val="16"/>
                <w:szCs w:val="16"/>
              </w:rPr>
              <w:t>Total cash used to acquire assets</w:t>
            </w:r>
          </w:p>
        </w:tc>
        <w:tc>
          <w:tcPr>
            <w:tcW w:w="855" w:type="dxa"/>
            <w:tcBorders>
              <w:top w:val="single" w:sz="4" w:space="0" w:color="auto"/>
              <w:left w:val="nil"/>
              <w:bottom w:val="single" w:sz="4" w:space="0" w:color="auto"/>
              <w:right w:val="nil"/>
            </w:tcBorders>
            <w:shd w:val="clear" w:color="auto" w:fill="auto"/>
            <w:noWrap/>
            <w:vAlign w:val="bottom"/>
            <w:hideMark/>
          </w:tcPr>
          <w:p w14:paraId="6B42EE62" w14:textId="3D690201" w:rsidR="00C63902" w:rsidRPr="00BF6F80" w:rsidRDefault="00C63902" w:rsidP="000727B7">
            <w:pPr>
              <w:spacing w:after="0" w:line="240" w:lineRule="auto"/>
              <w:jc w:val="right"/>
              <w:rPr>
                <w:rFonts w:ascii="Arial" w:hAnsi="Arial" w:cs="Arial"/>
                <w:b/>
                <w:bCs/>
                <w:sz w:val="16"/>
                <w:szCs w:val="16"/>
              </w:rPr>
            </w:pPr>
            <w:r w:rsidRPr="00BF6F80">
              <w:rPr>
                <w:rFonts w:ascii="Arial" w:hAnsi="Arial" w:cs="Arial"/>
                <w:b/>
                <w:bCs/>
                <w:sz w:val="16"/>
                <w:szCs w:val="16"/>
              </w:rPr>
              <w:t>296</w:t>
            </w:r>
          </w:p>
        </w:tc>
        <w:tc>
          <w:tcPr>
            <w:tcW w:w="857" w:type="dxa"/>
            <w:tcBorders>
              <w:top w:val="single" w:sz="4" w:space="0" w:color="auto"/>
              <w:left w:val="nil"/>
              <w:bottom w:val="single" w:sz="4" w:space="0" w:color="auto"/>
              <w:right w:val="nil"/>
            </w:tcBorders>
            <w:shd w:val="clear" w:color="000000" w:fill="E6E6E6"/>
            <w:noWrap/>
            <w:vAlign w:val="bottom"/>
            <w:hideMark/>
          </w:tcPr>
          <w:p w14:paraId="01C01CF7" w14:textId="007EBB55" w:rsidR="00C63902" w:rsidRPr="00BF6F80" w:rsidRDefault="00C63902" w:rsidP="000727B7">
            <w:pPr>
              <w:spacing w:after="0" w:line="240" w:lineRule="auto"/>
              <w:jc w:val="right"/>
              <w:rPr>
                <w:rFonts w:ascii="Arial" w:hAnsi="Arial" w:cs="Arial"/>
                <w:b/>
                <w:bCs/>
                <w:sz w:val="16"/>
                <w:szCs w:val="16"/>
              </w:rPr>
            </w:pPr>
            <w:r w:rsidRPr="00BF6F80">
              <w:rPr>
                <w:rFonts w:ascii="Arial" w:hAnsi="Arial" w:cs="Arial"/>
                <w:b/>
                <w:bCs/>
                <w:sz w:val="16"/>
                <w:szCs w:val="16"/>
              </w:rPr>
              <w:t>200</w:t>
            </w:r>
          </w:p>
        </w:tc>
        <w:tc>
          <w:tcPr>
            <w:tcW w:w="857" w:type="dxa"/>
            <w:tcBorders>
              <w:top w:val="single" w:sz="4" w:space="0" w:color="auto"/>
              <w:left w:val="nil"/>
              <w:bottom w:val="single" w:sz="4" w:space="0" w:color="auto"/>
              <w:right w:val="nil"/>
            </w:tcBorders>
            <w:shd w:val="clear" w:color="auto" w:fill="auto"/>
            <w:noWrap/>
            <w:vAlign w:val="bottom"/>
            <w:hideMark/>
          </w:tcPr>
          <w:p w14:paraId="4223F0D8" w14:textId="18E54CA0" w:rsidR="00C63902" w:rsidRPr="00BF6F80" w:rsidRDefault="00C63902" w:rsidP="000727B7">
            <w:pPr>
              <w:spacing w:after="0" w:line="240" w:lineRule="auto"/>
              <w:jc w:val="right"/>
              <w:rPr>
                <w:rFonts w:ascii="Arial" w:hAnsi="Arial" w:cs="Arial"/>
                <w:b/>
                <w:bCs/>
                <w:sz w:val="16"/>
                <w:szCs w:val="16"/>
              </w:rPr>
            </w:pPr>
            <w:r w:rsidRPr="00BF6F80">
              <w:rPr>
                <w:rFonts w:ascii="Arial" w:hAnsi="Arial" w:cs="Arial"/>
                <w:b/>
                <w:bCs/>
                <w:sz w:val="16"/>
                <w:szCs w:val="16"/>
              </w:rPr>
              <w:t>300</w:t>
            </w:r>
          </w:p>
        </w:tc>
        <w:tc>
          <w:tcPr>
            <w:tcW w:w="857" w:type="dxa"/>
            <w:tcBorders>
              <w:top w:val="single" w:sz="4" w:space="0" w:color="auto"/>
              <w:left w:val="nil"/>
              <w:bottom w:val="single" w:sz="4" w:space="0" w:color="auto"/>
              <w:right w:val="nil"/>
            </w:tcBorders>
            <w:shd w:val="clear" w:color="auto" w:fill="auto"/>
            <w:noWrap/>
            <w:vAlign w:val="bottom"/>
            <w:hideMark/>
          </w:tcPr>
          <w:p w14:paraId="77DB6263" w14:textId="2FB95810" w:rsidR="00C63902" w:rsidRPr="00480722" w:rsidRDefault="00C63902" w:rsidP="000727B7">
            <w:pPr>
              <w:spacing w:after="0" w:line="240" w:lineRule="auto"/>
              <w:jc w:val="right"/>
              <w:rPr>
                <w:rFonts w:ascii="Arial" w:hAnsi="Arial" w:cs="Arial"/>
                <w:b/>
                <w:bCs/>
                <w:sz w:val="16"/>
                <w:szCs w:val="16"/>
              </w:rPr>
            </w:pPr>
            <w:r w:rsidRPr="00480722">
              <w:rPr>
                <w:rFonts w:ascii="Arial" w:hAnsi="Arial" w:cs="Arial"/>
                <w:b/>
                <w:bCs/>
                <w:sz w:val="16"/>
                <w:szCs w:val="16"/>
              </w:rPr>
              <w:t>300</w:t>
            </w:r>
          </w:p>
        </w:tc>
        <w:tc>
          <w:tcPr>
            <w:tcW w:w="857" w:type="dxa"/>
            <w:tcBorders>
              <w:top w:val="single" w:sz="4" w:space="0" w:color="auto"/>
              <w:left w:val="nil"/>
              <w:bottom w:val="single" w:sz="4" w:space="0" w:color="auto"/>
              <w:right w:val="nil"/>
            </w:tcBorders>
            <w:shd w:val="clear" w:color="auto" w:fill="auto"/>
            <w:noWrap/>
            <w:vAlign w:val="bottom"/>
            <w:hideMark/>
          </w:tcPr>
          <w:p w14:paraId="365A7197" w14:textId="74743D28" w:rsidR="00C63902" w:rsidRPr="00480722" w:rsidRDefault="00C63902" w:rsidP="000727B7">
            <w:pPr>
              <w:spacing w:after="0" w:line="240" w:lineRule="auto"/>
              <w:jc w:val="right"/>
              <w:rPr>
                <w:rFonts w:ascii="Arial" w:hAnsi="Arial" w:cs="Arial"/>
                <w:b/>
                <w:bCs/>
                <w:sz w:val="16"/>
                <w:szCs w:val="16"/>
              </w:rPr>
            </w:pPr>
            <w:r w:rsidRPr="00480722">
              <w:rPr>
                <w:rFonts w:ascii="Arial" w:hAnsi="Arial" w:cs="Arial"/>
                <w:b/>
                <w:bCs/>
                <w:sz w:val="16"/>
                <w:szCs w:val="16"/>
              </w:rPr>
              <w:t>300</w:t>
            </w:r>
          </w:p>
        </w:tc>
      </w:tr>
    </w:tbl>
    <w:p w14:paraId="7EAD4E91" w14:textId="77777777" w:rsidR="00B46EF9" w:rsidRPr="00311052" w:rsidRDefault="00B46EF9" w:rsidP="00B46EF9">
      <w:pPr>
        <w:pStyle w:val="ChartandTableFootnoteAlpha"/>
        <w:numPr>
          <w:ilvl w:val="0"/>
          <w:numId w:val="0"/>
        </w:numPr>
        <w:spacing w:before="60"/>
        <w:ind w:left="397" w:hanging="397"/>
        <w:jc w:val="left"/>
        <w:rPr>
          <w:rFonts w:cs="Arial"/>
          <w:szCs w:val="16"/>
        </w:rPr>
      </w:pPr>
      <w:r w:rsidRPr="00311052">
        <w:rPr>
          <w:rFonts w:cs="Arial"/>
          <w:szCs w:val="16"/>
        </w:rPr>
        <w:t>Prepared on Australian Accounting Standards basis.</w:t>
      </w:r>
    </w:p>
    <w:p w14:paraId="7DFAF94C" w14:textId="07B3FCD5" w:rsidR="00C63902" w:rsidRDefault="00C63902" w:rsidP="00F10ACD">
      <w:pPr>
        <w:pStyle w:val="ChartandTableFootnoteAlpha"/>
        <w:numPr>
          <w:ilvl w:val="0"/>
          <w:numId w:val="25"/>
        </w:numPr>
        <w:spacing w:after="240"/>
        <w:ind w:left="284" w:hanging="284"/>
        <w:jc w:val="left"/>
        <w:rPr>
          <w:rFonts w:cs="Arial"/>
          <w:szCs w:val="16"/>
        </w:rPr>
      </w:pPr>
      <w:r w:rsidRPr="00EA5003">
        <w:rPr>
          <w:rFonts w:cs="Arial"/>
          <w:szCs w:val="16"/>
        </w:rPr>
        <w:t>Does not include annual finance lease costs. Include</w:t>
      </w:r>
      <w:r>
        <w:rPr>
          <w:rFonts w:cs="Arial"/>
          <w:szCs w:val="16"/>
        </w:rPr>
        <w:t>s</w:t>
      </w:r>
      <w:r w:rsidRPr="00EA5003">
        <w:rPr>
          <w:rFonts w:cs="Arial"/>
          <w:szCs w:val="16"/>
        </w:rPr>
        <w:t xml:space="preserve"> purchases from current and previous years' </w:t>
      </w:r>
      <w:r w:rsidR="008863D9">
        <w:rPr>
          <w:rFonts w:cs="Arial"/>
          <w:szCs w:val="16"/>
        </w:rPr>
        <w:t>Department</w:t>
      </w:r>
      <w:r w:rsidRPr="00EA5003">
        <w:rPr>
          <w:rFonts w:cs="Arial"/>
          <w:szCs w:val="16"/>
        </w:rPr>
        <w:t xml:space="preserve">al </w:t>
      </w:r>
      <w:r>
        <w:rPr>
          <w:rFonts w:cs="Arial"/>
          <w:szCs w:val="16"/>
        </w:rPr>
        <w:t>c</w:t>
      </w:r>
      <w:r w:rsidRPr="00EA5003">
        <w:rPr>
          <w:rFonts w:cs="Arial"/>
          <w:szCs w:val="16"/>
        </w:rPr>
        <w:t xml:space="preserve">apital </w:t>
      </w:r>
      <w:r>
        <w:rPr>
          <w:rFonts w:cs="Arial"/>
          <w:szCs w:val="16"/>
        </w:rPr>
        <w:t>b</w:t>
      </w:r>
      <w:r w:rsidRPr="00EA5003">
        <w:rPr>
          <w:rFonts w:cs="Arial"/>
          <w:szCs w:val="16"/>
        </w:rPr>
        <w:t>udgets (DCBs).</w:t>
      </w:r>
    </w:p>
    <w:p w14:paraId="21BF1F16" w14:textId="17CAE506" w:rsidR="00C63902" w:rsidRDefault="00C63902" w:rsidP="009A11F4">
      <w:pPr>
        <w:pStyle w:val="NoSpacing"/>
        <w:spacing w:after="240"/>
        <w:rPr>
          <w:rFonts w:ascii="Arial" w:hAnsi="Arial" w:cs="Arial"/>
          <w:sz w:val="16"/>
          <w:szCs w:val="16"/>
        </w:rPr>
      </w:pPr>
    </w:p>
    <w:p w14:paraId="1EF67CD8" w14:textId="37D6AC6A" w:rsidR="00C63902" w:rsidRDefault="00C63902" w:rsidP="00C63902">
      <w:pPr>
        <w:pStyle w:val="TableHeading"/>
      </w:pPr>
      <w:r w:rsidRPr="00D30CBA">
        <w:t>Table</w:t>
      </w:r>
      <w:r>
        <w:t xml:space="preserve"> 3.7</w:t>
      </w:r>
      <w:r w:rsidRPr="00D30CBA">
        <w:t xml:space="preserve">: </w:t>
      </w:r>
      <w:r>
        <w:t xml:space="preserve">Statement of </w:t>
      </w:r>
      <w:r w:rsidR="008863D9">
        <w:rPr>
          <w:lang w:val="en-AU"/>
        </w:rPr>
        <w:t>Department</w:t>
      </w:r>
      <w:r>
        <w:rPr>
          <w:lang w:val="en-AU"/>
        </w:rPr>
        <w:t xml:space="preserve">al </w:t>
      </w:r>
      <w:r>
        <w:t>asset movements (</w:t>
      </w:r>
      <w:r w:rsidR="00377489">
        <w:t>2021-22 Budget year</w:t>
      </w:r>
      <w:r>
        <w:t>)</w:t>
      </w:r>
    </w:p>
    <w:tbl>
      <w:tblPr>
        <w:tblW w:w="7370" w:type="dxa"/>
        <w:tblLook w:val="04A0" w:firstRow="1" w:lastRow="0" w:firstColumn="1" w:lastColumn="0" w:noHBand="0" w:noVBand="1"/>
      </w:tblPr>
      <w:tblGrid>
        <w:gridCol w:w="3969"/>
        <w:gridCol w:w="1157"/>
        <w:gridCol w:w="1252"/>
        <w:gridCol w:w="992"/>
      </w:tblGrid>
      <w:tr w:rsidR="00326B26" w:rsidRPr="00794CC9" w14:paraId="4FFA770B" w14:textId="77777777" w:rsidTr="00326B26">
        <w:trPr>
          <w:trHeight w:val="56"/>
        </w:trPr>
        <w:tc>
          <w:tcPr>
            <w:tcW w:w="3969" w:type="dxa"/>
            <w:tcBorders>
              <w:top w:val="single" w:sz="4" w:space="0" w:color="auto"/>
              <w:left w:val="nil"/>
              <w:right w:val="nil"/>
            </w:tcBorders>
            <w:shd w:val="clear" w:color="auto" w:fill="auto"/>
            <w:noWrap/>
            <w:vAlign w:val="center"/>
            <w:hideMark/>
          </w:tcPr>
          <w:p w14:paraId="71203F6F" w14:textId="77777777" w:rsidR="00326B26" w:rsidRPr="00794CC9" w:rsidRDefault="00326B26" w:rsidP="00C63902">
            <w:pPr>
              <w:spacing w:after="0" w:line="240" w:lineRule="auto"/>
              <w:jc w:val="left"/>
              <w:rPr>
                <w:rFonts w:ascii="Arial" w:hAnsi="Arial" w:cs="Arial"/>
                <w:sz w:val="16"/>
                <w:szCs w:val="16"/>
              </w:rPr>
            </w:pPr>
            <w:r w:rsidRPr="00794CC9">
              <w:rPr>
                <w:rFonts w:ascii="Arial" w:hAnsi="Arial" w:cs="Arial"/>
                <w:sz w:val="16"/>
                <w:szCs w:val="16"/>
              </w:rPr>
              <w:t> </w:t>
            </w:r>
          </w:p>
        </w:tc>
        <w:tc>
          <w:tcPr>
            <w:tcW w:w="3401" w:type="dxa"/>
            <w:gridSpan w:val="3"/>
            <w:tcBorders>
              <w:top w:val="single" w:sz="4" w:space="0" w:color="auto"/>
              <w:left w:val="nil"/>
              <w:bottom w:val="single" w:sz="4" w:space="0" w:color="auto"/>
              <w:right w:val="nil"/>
            </w:tcBorders>
            <w:shd w:val="clear" w:color="auto" w:fill="auto"/>
            <w:vAlign w:val="bottom"/>
          </w:tcPr>
          <w:p w14:paraId="6BEBCBE8" w14:textId="67077703" w:rsidR="00326B26" w:rsidRPr="00326B26" w:rsidRDefault="00326B26" w:rsidP="00326B26">
            <w:pPr>
              <w:spacing w:after="0" w:line="240" w:lineRule="auto"/>
              <w:jc w:val="center"/>
              <w:rPr>
                <w:rFonts w:ascii="Arial" w:hAnsi="Arial" w:cs="Arial"/>
                <w:b/>
                <w:sz w:val="16"/>
                <w:szCs w:val="16"/>
              </w:rPr>
            </w:pPr>
            <w:r w:rsidRPr="00326B26">
              <w:rPr>
                <w:rFonts w:ascii="Arial" w:hAnsi="Arial" w:cs="Arial"/>
                <w:b/>
                <w:sz w:val="16"/>
                <w:szCs w:val="16"/>
              </w:rPr>
              <w:t>Asset Category</w:t>
            </w:r>
          </w:p>
        </w:tc>
      </w:tr>
      <w:tr w:rsidR="00326B26" w:rsidRPr="00794CC9" w14:paraId="16174D43" w14:textId="77777777" w:rsidTr="00326B26">
        <w:trPr>
          <w:trHeight w:val="734"/>
        </w:trPr>
        <w:tc>
          <w:tcPr>
            <w:tcW w:w="3969" w:type="dxa"/>
            <w:tcBorders>
              <w:left w:val="nil"/>
              <w:right w:val="nil"/>
            </w:tcBorders>
            <w:shd w:val="clear" w:color="auto" w:fill="auto"/>
            <w:noWrap/>
            <w:vAlign w:val="center"/>
          </w:tcPr>
          <w:p w14:paraId="06AF9369" w14:textId="77777777" w:rsidR="00326B26" w:rsidRPr="00794CC9" w:rsidRDefault="00326B26" w:rsidP="00326B26">
            <w:pPr>
              <w:spacing w:after="0" w:line="240" w:lineRule="auto"/>
              <w:jc w:val="left"/>
              <w:rPr>
                <w:rFonts w:ascii="Arial" w:hAnsi="Arial" w:cs="Arial"/>
                <w:sz w:val="16"/>
                <w:szCs w:val="16"/>
              </w:rPr>
            </w:pPr>
          </w:p>
        </w:tc>
        <w:tc>
          <w:tcPr>
            <w:tcW w:w="1157" w:type="dxa"/>
            <w:tcBorders>
              <w:top w:val="single" w:sz="4" w:space="0" w:color="auto"/>
              <w:left w:val="nil"/>
              <w:bottom w:val="single" w:sz="4" w:space="0" w:color="auto"/>
              <w:right w:val="nil"/>
            </w:tcBorders>
            <w:shd w:val="clear" w:color="auto" w:fill="auto"/>
            <w:vAlign w:val="bottom"/>
          </w:tcPr>
          <w:p w14:paraId="18B6E59C" w14:textId="0FCAD91D" w:rsidR="00326B26" w:rsidRPr="00794CC9" w:rsidRDefault="00326B26" w:rsidP="00326B26">
            <w:pPr>
              <w:spacing w:after="0" w:line="240" w:lineRule="auto"/>
              <w:jc w:val="right"/>
              <w:rPr>
                <w:rFonts w:ascii="Arial" w:hAnsi="Arial" w:cs="Arial"/>
                <w:sz w:val="16"/>
                <w:szCs w:val="16"/>
              </w:rPr>
            </w:pPr>
            <w:r w:rsidRPr="00794CC9">
              <w:rPr>
                <w:rFonts w:ascii="Arial" w:hAnsi="Arial" w:cs="Arial"/>
                <w:sz w:val="16"/>
                <w:szCs w:val="16"/>
              </w:rPr>
              <w:t>Buildings</w:t>
            </w:r>
            <w:r w:rsidRPr="00794CC9">
              <w:rPr>
                <w:rFonts w:ascii="Arial" w:hAnsi="Arial" w:cs="Arial"/>
                <w:sz w:val="16"/>
                <w:szCs w:val="16"/>
              </w:rPr>
              <w:br/>
            </w:r>
            <w:r w:rsidRPr="00794CC9">
              <w:rPr>
                <w:rFonts w:ascii="Arial" w:hAnsi="Arial" w:cs="Arial"/>
                <w:sz w:val="16"/>
                <w:szCs w:val="16"/>
              </w:rPr>
              <w:br/>
            </w:r>
            <w:r w:rsidRPr="00794CC9">
              <w:rPr>
                <w:rFonts w:ascii="Arial" w:hAnsi="Arial" w:cs="Arial"/>
                <w:sz w:val="16"/>
                <w:szCs w:val="16"/>
              </w:rPr>
              <w:br/>
            </w:r>
            <w:r w:rsidRPr="00794CC9">
              <w:rPr>
                <w:rFonts w:ascii="Arial" w:hAnsi="Arial" w:cs="Arial"/>
                <w:sz w:val="16"/>
                <w:szCs w:val="16"/>
              </w:rPr>
              <w:br/>
              <w:t>$'000</w:t>
            </w:r>
          </w:p>
        </w:tc>
        <w:tc>
          <w:tcPr>
            <w:tcW w:w="1252" w:type="dxa"/>
            <w:tcBorders>
              <w:top w:val="single" w:sz="4" w:space="0" w:color="auto"/>
              <w:left w:val="nil"/>
              <w:bottom w:val="single" w:sz="4" w:space="0" w:color="auto"/>
              <w:right w:val="nil"/>
            </w:tcBorders>
            <w:shd w:val="clear" w:color="auto" w:fill="auto"/>
            <w:vAlign w:val="bottom"/>
          </w:tcPr>
          <w:p w14:paraId="3B934992" w14:textId="73F7D8FE" w:rsidR="00326B26" w:rsidRPr="00794CC9" w:rsidRDefault="00326B26" w:rsidP="00326B26">
            <w:pPr>
              <w:spacing w:after="0" w:line="240" w:lineRule="auto"/>
              <w:jc w:val="right"/>
              <w:rPr>
                <w:rFonts w:ascii="Arial" w:hAnsi="Arial" w:cs="Arial"/>
                <w:sz w:val="16"/>
                <w:szCs w:val="16"/>
              </w:rPr>
            </w:pPr>
            <w:r w:rsidRPr="00794CC9">
              <w:rPr>
                <w:rFonts w:ascii="Arial" w:hAnsi="Arial" w:cs="Arial"/>
                <w:sz w:val="16"/>
                <w:szCs w:val="16"/>
              </w:rPr>
              <w:t>Other</w:t>
            </w:r>
            <w:r w:rsidRPr="00794CC9">
              <w:rPr>
                <w:rFonts w:ascii="Arial" w:hAnsi="Arial" w:cs="Arial"/>
                <w:sz w:val="16"/>
                <w:szCs w:val="16"/>
              </w:rPr>
              <w:br/>
              <w:t>property,</w:t>
            </w:r>
            <w:r w:rsidRPr="00794CC9">
              <w:rPr>
                <w:rFonts w:ascii="Arial" w:hAnsi="Arial" w:cs="Arial"/>
                <w:sz w:val="16"/>
                <w:szCs w:val="16"/>
              </w:rPr>
              <w:br/>
              <w:t>plant and</w:t>
            </w:r>
            <w:r w:rsidRPr="00794CC9">
              <w:rPr>
                <w:rFonts w:ascii="Arial" w:hAnsi="Arial" w:cs="Arial"/>
                <w:sz w:val="16"/>
                <w:szCs w:val="16"/>
              </w:rPr>
              <w:br/>
              <w:t>equipment</w:t>
            </w:r>
            <w:r w:rsidRPr="00794CC9">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bottom"/>
          </w:tcPr>
          <w:p w14:paraId="1C7A2CD9" w14:textId="064C6F9A" w:rsidR="00326B26" w:rsidRPr="00794CC9" w:rsidRDefault="00326B26" w:rsidP="00326B26">
            <w:pPr>
              <w:spacing w:after="0" w:line="240" w:lineRule="auto"/>
              <w:jc w:val="right"/>
              <w:rPr>
                <w:rFonts w:ascii="Arial" w:hAnsi="Arial" w:cs="Arial"/>
                <w:sz w:val="16"/>
                <w:szCs w:val="16"/>
              </w:rPr>
            </w:pPr>
            <w:r w:rsidRPr="00794CC9">
              <w:rPr>
                <w:rFonts w:ascii="Arial" w:hAnsi="Arial" w:cs="Arial"/>
                <w:sz w:val="16"/>
                <w:szCs w:val="16"/>
              </w:rPr>
              <w:t>Total</w:t>
            </w:r>
            <w:r w:rsidRPr="00794CC9">
              <w:rPr>
                <w:rFonts w:ascii="Arial" w:hAnsi="Arial" w:cs="Arial"/>
                <w:sz w:val="16"/>
                <w:szCs w:val="16"/>
              </w:rPr>
              <w:br/>
            </w:r>
            <w:r w:rsidRPr="00794CC9">
              <w:rPr>
                <w:rFonts w:ascii="Arial" w:hAnsi="Arial" w:cs="Arial"/>
                <w:sz w:val="16"/>
                <w:szCs w:val="16"/>
              </w:rPr>
              <w:br/>
            </w:r>
            <w:r w:rsidRPr="00794CC9">
              <w:rPr>
                <w:rFonts w:ascii="Arial" w:hAnsi="Arial" w:cs="Arial"/>
                <w:sz w:val="16"/>
                <w:szCs w:val="16"/>
              </w:rPr>
              <w:br/>
            </w:r>
            <w:r w:rsidRPr="00794CC9">
              <w:rPr>
                <w:rFonts w:ascii="Arial" w:hAnsi="Arial" w:cs="Arial"/>
                <w:sz w:val="16"/>
                <w:szCs w:val="16"/>
              </w:rPr>
              <w:br/>
              <w:t>$'000</w:t>
            </w:r>
          </w:p>
        </w:tc>
      </w:tr>
      <w:tr w:rsidR="00326B26" w:rsidRPr="00794CC9" w14:paraId="4F7033B3" w14:textId="77777777" w:rsidTr="00326B26">
        <w:trPr>
          <w:trHeight w:val="204"/>
        </w:trPr>
        <w:tc>
          <w:tcPr>
            <w:tcW w:w="3969" w:type="dxa"/>
            <w:tcBorders>
              <w:left w:val="nil"/>
              <w:bottom w:val="nil"/>
              <w:right w:val="nil"/>
            </w:tcBorders>
            <w:shd w:val="clear" w:color="auto" w:fill="auto"/>
            <w:vAlign w:val="bottom"/>
            <w:hideMark/>
          </w:tcPr>
          <w:p w14:paraId="56B5D343" w14:textId="77777777" w:rsidR="00326B26" w:rsidRPr="00794CC9" w:rsidRDefault="00326B26" w:rsidP="00326B26">
            <w:pPr>
              <w:spacing w:after="0" w:line="240" w:lineRule="auto"/>
              <w:jc w:val="left"/>
              <w:rPr>
                <w:rFonts w:ascii="Arial" w:hAnsi="Arial" w:cs="Arial"/>
                <w:b/>
                <w:bCs/>
                <w:sz w:val="16"/>
                <w:szCs w:val="16"/>
              </w:rPr>
            </w:pPr>
            <w:r w:rsidRPr="00794CC9">
              <w:rPr>
                <w:rFonts w:ascii="Arial" w:hAnsi="Arial" w:cs="Arial"/>
                <w:b/>
                <w:bCs/>
                <w:sz w:val="16"/>
                <w:szCs w:val="16"/>
              </w:rPr>
              <w:t>As at 1 July 2021</w:t>
            </w:r>
          </w:p>
        </w:tc>
        <w:tc>
          <w:tcPr>
            <w:tcW w:w="1157" w:type="dxa"/>
            <w:tcBorders>
              <w:top w:val="nil"/>
              <w:left w:val="nil"/>
              <w:bottom w:val="nil"/>
              <w:right w:val="nil"/>
            </w:tcBorders>
            <w:shd w:val="clear" w:color="auto" w:fill="auto"/>
            <w:noWrap/>
            <w:vAlign w:val="bottom"/>
            <w:hideMark/>
          </w:tcPr>
          <w:p w14:paraId="18768B42" w14:textId="77777777" w:rsidR="00326B26" w:rsidRPr="00794CC9" w:rsidRDefault="00326B26" w:rsidP="00326B26">
            <w:pPr>
              <w:spacing w:after="0" w:line="240" w:lineRule="auto"/>
              <w:jc w:val="right"/>
              <w:rPr>
                <w:rFonts w:ascii="Arial" w:hAnsi="Arial" w:cs="Arial"/>
                <w:b/>
                <w:bCs/>
                <w:sz w:val="16"/>
                <w:szCs w:val="16"/>
              </w:rPr>
            </w:pPr>
          </w:p>
        </w:tc>
        <w:tc>
          <w:tcPr>
            <w:tcW w:w="1252" w:type="dxa"/>
            <w:tcBorders>
              <w:top w:val="nil"/>
              <w:left w:val="nil"/>
              <w:bottom w:val="nil"/>
              <w:right w:val="nil"/>
            </w:tcBorders>
            <w:shd w:val="clear" w:color="auto" w:fill="auto"/>
            <w:noWrap/>
            <w:vAlign w:val="bottom"/>
            <w:hideMark/>
          </w:tcPr>
          <w:p w14:paraId="16C91542" w14:textId="77777777" w:rsidR="00326B26" w:rsidRPr="00794CC9" w:rsidRDefault="00326B26" w:rsidP="00326B26">
            <w:pPr>
              <w:spacing w:after="0" w:line="240" w:lineRule="auto"/>
              <w:jc w:val="right"/>
              <w:rPr>
                <w:rFonts w:ascii="Times New Roman" w:hAnsi="Times New Roman"/>
              </w:rPr>
            </w:pPr>
          </w:p>
        </w:tc>
        <w:tc>
          <w:tcPr>
            <w:tcW w:w="992" w:type="dxa"/>
            <w:tcBorders>
              <w:top w:val="nil"/>
              <w:left w:val="nil"/>
              <w:bottom w:val="nil"/>
              <w:right w:val="nil"/>
            </w:tcBorders>
            <w:shd w:val="clear" w:color="auto" w:fill="auto"/>
            <w:noWrap/>
            <w:vAlign w:val="bottom"/>
            <w:hideMark/>
          </w:tcPr>
          <w:p w14:paraId="3B4133E2" w14:textId="77777777" w:rsidR="00326B26" w:rsidRPr="00794CC9" w:rsidRDefault="00326B26" w:rsidP="00326B26">
            <w:pPr>
              <w:spacing w:after="0" w:line="240" w:lineRule="auto"/>
              <w:jc w:val="right"/>
              <w:rPr>
                <w:rFonts w:ascii="Times New Roman" w:hAnsi="Times New Roman"/>
              </w:rPr>
            </w:pPr>
          </w:p>
        </w:tc>
      </w:tr>
      <w:tr w:rsidR="00326B26" w:rsidRPr="00794CC9" w14:paraId="63620226" w14:textId="77777777" w:rsidTr="009A11F4">
        <w:trPr>
          <w:trHeight w:val="204"/>
        </w:trPr>
        <w:tc>
          <w:tcPr>
            <w:tcW w:w="3969" w:type="dxa"/>
            <w:tcBorders>
              <w:top w:val="nil"/>
              <w:left w:val="nil"/>
              <w:bottom w:val="nil"/>
              <w:right w:val="nil"/>
            </w:tcBorders>
            <w:shd w:val="clear" w:color="auto" w:fill="auto"/>
            <w:vAlign w:val="bottom"/>
            <w:hideMark/>
          </w:tcPr>
          <w:p w14:paraId="1E7C48A0" w14:textId="77777777" w:rsidR="00326B26" w:rsidRPr="00794CC9" w:rsidRDefault="00326B26" w:rsidP="00326B26">
            <w:pPr>
              <w:spacing w:after="0" w:line="240" w:lineRule="auto"/>
              <w:ind w:left="113"/>
              <w:jc w:val="left"/>
              <w:rPr>
                <w:rFonts w:ascii="Arial" w:hAnsi="Arial" w:cs="Arial"/>
                <w:sz w:val="16"/>
                <w:szCs w:val="16"/>
              </w:rPr>
            </w:pPr>
            <w:r w:rsidRPr="00794CC9">
              <w:rPr>
                <w:rFonts w:ascii="Arial" w:hAnsi="Arial" w:cs="Arial"/>
                <w:sz w:val="16"/>
                <w:szCs w:val="16"/>
              </w:rPr>
              <w:t xml:space="preserve">Gross book value </w:t>
            </w:r>
          </w:p>
        </w:tc>
        <w:tc>
          <w:tcPr>
            <w:tcW w:w="1157" w:type="dxa"/>
            <w:tcBorders>
              <w:top w:val="nil"/>
              <w:left w:val="nil"/>
              <w:bottom w:val="nil"/>
              <w:right w:val="nil"/>
            </w:tcBorders>
            <w:shd w:val="clear" w:color="auto" w:fill="auto"/>
            <w:noWrap/>
            <w:vAlign w:val="bottom"/>
            <w:hideMark/>
          </w:tcPr>
          <w:p w14:paraId="20FAD980" w14:textId="79D72AA1" w:rsidR="00326B26" w:rsidRPr="00BF6F80" w:rsidRDefault="00326B26" w:rsidP="00326B26">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1252" w:type="dxa"/>
            <w:tcBorders>
              <w:top w:val="nil"/>
              <w:left w:val="nil"/>
              <w:bottom w:val="nil"/>
              <w:right w:val="nil"/>
            </w:tcBorders>
            <w:shd w:val="clear" w:color="auto" w:fill="auto"/>
            <w:noWrap/>
            <w:vAlign w:val="bottom"/>
            <w:hideMark/>
          </w:tcPr>
          <w:p w14:paraId="5276BFE4" w14:textId="1D0312E3"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2,132</w:t>
            </w:r>
          </w:p>
        </w:tc>
        <w:tc>
          <w:tcPr>
            <w:tcW w:w="992" w:type="dxa"/>
            <w:tcBorders>
              <w:top w:val="nil"/>
              <w:left w:val="nil"/>
              <w:bottom w:val="nil"/>
              <w:right w:val="nil"/>
            </w:tcBorders>
            <w:shd w:val="clear" w:color="auto" w:fill="auto"/>
            <w:noWrap/>
            <w:vAlign w:val="bottom"/>
            <w:hideMark/>
          </w:tcPr>
          <w:p w14:paraId="30AC771B" w14:textId="4110A040"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2,132</w:t>
            </w:r>
          </w:p>
        </w:tc>
      </w:tr>
      <w:tr w:rsidR="00326B26" w:rsidRPr="00794CC9" w14:paraId="2B6DB7C4" w14:textId="77777777" w:rsidTr="009A11F4">
        <w:trPr>
          <w:trHeight w:val="204"/>
        </w:trPr>
        <w:tc>
          <w:tcPr>
            <w:tcW w:w="3969" w:type="dxa"/>
            <w:tcBorders>
              <w:top w:val="nil"/>
              <w:left w:val="nil"/>
              <w:bottom w:val="nil"/>
              <w:right w:val="nil"/>
            </w:tcBorders>
            <w:shd w:val="clear" w:color="auto" w:fill="auto"/>
            <w:noWrap/>
            <w:vAlign w:val="center"/>
            <w:hideMark/>
          </w:tcPr>
          <w:p w14:paraId="41F9669D" w14:textId="77777777" w:rsidR="00326B26" w:rsidRPr="00794CC9" w:rsidRDefault="00326B26" w:rsidP="00326B26">
            <w:pPr>
              <w:spacing w:after="0" w:line="240" w:lineRule="auto"/>
              <w:ind w:left="113"/>
              <w:jc w:val="left"/>
              <w:rPr>
                <w:rFonts w:ascii="Arial" w:hAnsi="Arial" w:cs="Arial"/>
                <w:sz w:val="16"/>
                <w:szCs w:val="16"/>
              </w:rPr>
            </w:pPr>
            <w:r w:rsidRPr="00794CC9">
              <w:rPr>
                <w:rFonts w:ascii="Arial" w:hAnsi="Arial" w:cs="Arial"/>
                <w:sz w:val="16"/>
                <w:szCs w:val="16"/>
              </w:rPr>
              <w:t>Gross book value - ROU assets</w:t>
            </w:r>
          </w:p>
        </w:tc>
        <w:tc>
          <w:tcPr>
            <w:tcW w:w="1157" w:type="dxa"/>
            <w:tcBorders>
              <w:top w:val="nil"/>
              <w:left w:val="nil"/>
              <w:bottom w:val="nil"/>
              <w:right w:val="nil"/>
            </w:tcBorders>
            <w:shd w:val="clear" w:color="auto" w:fill="auto"/>
            <w:noWrap/>
            <w:vAlign w:val="bottom"/>
            <w:hideMark/>
          </w:tcPr>
          <w:p w14:paraId="17E263B6" w14:textId="6DDC6AB4"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3,763</w:t>
            </w:r>
          </w:p>
        </w:tc>
        <w:tc>
          <w:tcPr>
            <w:tcW w:w="1252" w:type="dxa"/>
            <w:tcBorders>
              <w:top w:val="nil"/>
              <w:left w:val="nil"/>
              <w:bottom w:val="nil"/>
              <w:right w:val="nil"/>
            </w:tcBorders>
            <w:shd w:val="clear" w:color="auto" w:fill="auto"/>
            <w:noWrap/>
            <w:vAlign w:val="bottom"/>
            <w:hideMark/>
          </w:tcPr>
          <w:p w14:paraId="63180C51" w14:textId="5471AC29" w:rsidR="00326B26" w:rsidRPr="00BF6F80" w:rsidRDefault="00326B26" w:rsidP="00326B26">
            <w:pPr>
              <w:spacing w:after="0" w:line="240" w:lineRule="auto"/>
              <w:jc w:val="right"/>
              <w:rPr>
                <w:rFonts w:ascii="Arial" w:hAnsi="Arial" w:cs="Arial"/>
                <w:sz w:val="16"/>
                <w:szCs w:val="16"/>
              </w:rPr>
            </w:pPr>
            <w:r>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2C9D590B" w14:textId="69A7A80F"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3,763</w:t>
            </w:r>
          </w:p>
        </w:tc>
      </w:tr>
      <w:tr w:rsidR="00326B26" w:rsidRPr="00794CC9" w14:paraId="7ECDBF7F" w14:textId="77777777" w:rsidTr="009A11F4">
        <w:trPr>
          <w:trHeight w:val="204"/>
        </w:trPr>
        <w:tc>
          <w:tcPr>
            <w:tcW w:w="3969" w:type="dxa"/>
            <w:tcBorders>
              <w:top w:val="nil"/>
              <w:left w:val="nil"/>
              <w:bottom w:val="nil"/>
              <w:right w:val="nil"/>
            </w:tcBorders>
            <w:shd w:val="clear" w:color="auto" w:fill="auto"/>
            <w:vAlign w:val="bottom"/>
            <w:hideMark/>
          </w:tcPr>
          <w:p w14:paraId="2B2F9998" w14:textId="24130B8B" w:rsidR="00326B26" w:rsidRPr="00794CC9" w:rsidRDefault="00326B26" w:rsidP="00326B26">
            <w:pPr>
              <w:spacing w:after="0" w:line="240" w:lineRule="auto"/>
              <w:ind w:left="113"/>
              <w:jc w:val="left"/>
              <w:rPr>
                <w:rFonts w:ascii="Arial" w:hAnsi="Arial" w:cs="Arial"/>
                <w:sz w:val="16"/>
                <w:szCs w:val="16"/>
              </w:rPr>
            </w:pPr>
            <w:r w:rsidRPr="00794CC9">
              <w:rPr>
                <w:rFonts w:ascii="Arial" w:hAnsi="Arial" w:cs="Arial"/>
                <w:sz w:val="16"/>
                <w:szCs w:val="16"/>
              </w:rPr>
              <w:t>Accumulated depreciation/</w:t>
            </w:r>
            <w:r>
              <w:rPr>
                <w:rFonts w:ascii="Arial" w:hAnsi="Arial" w:cs="Arial"/>
                <w:sz w:val="16"/>
                <w:szCs w:val="16"/>
              </w:rPr>
              <w:t xml:space="preserve"> </w:t>
            </w:r>
            <w:r w:rsidRPr="00794CC9">
              <w:rPr>
                <w:rFonts w:ascii="Arial" w:hAnsi="Arial" w:cs="Arial"/>
                <w:sz w:val="16"/>
                <w:szCs w:val="16"/>
              </w:rPr>
              <w:t>amortisation and impairment</w:t>
            </w:r>
          </w:p>
        </w:tc>
        <w:tc>
          <w:tcPr>
            <w:tcW w:w="1157" w:type="dxa"/>
            <w:tcBorders>
              <w:top w:val="nil"/>
              <w:left w:val="nil"/>
              <w:bottom w:val="nil"/>
              <w:right w:val="nil"/>
            </w:tcBorders>
            <w:shd w:val="clear" w:color="auto" w:fill="auto"/>
            <w:noWrap/>
            <w:vAlign w:val="bottom"/>
            <w:hideMark/>
          </w:tcPr>
          <w:p w14:paraId="5C242952" w14:textId="74AFD2E2" w:rsidR="00326B26" w:rsidRPr="00BF6F80" w:rsidRDefault="00326B26" w:rsidP="00326B26">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1252" w:type="dxa"/>
            <w:tcBorders>
              <w:top w:val="nil"/>
              <w:left w:val="nil"/>
              <w:bottom w:val="nil"/>
              <w:right w:val="nil"/>
            </w:tcBorders>
            <w:shd w:val="clear" w:color="auto" w:fill="auto"/>
            <w:noWrap/>
            <w:vAlign w:val="bottom"/>
            <w:hideMark/>
          </w:tcPr>
          <w:p w14:paraId="7252051B"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(987)</w:t>
            </w:r>
          </w:p>
        </w:tc>
        <w:tc>
          <w:tcPr>
            <w:tcW w:w="992" w:type="dxa"/>
            <w:tcBorders>
              <w:top w:val="nil"/>
              <w:left w:val="nil"/>
              <w:bottom w:val="nil"/>
              <w:right w:val="nil"/>
            </w:tcBorders>
            <w:shd w:val="clear" w:color="auto" w:fill="auto"/>
            <w:noWrap/>
            <w:vAlign w:val="bottom"/>
            <w:hideMark/>
          </w:tcPr>
          <w:p w14:paraId="4F9AC03D"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(987)</w:t>
            </w:r>
          </w:p>
        </w:tc>
      </w:tr>
      <w:tr w:rsidR="00326B26" w:rsidRPr="00794CC9" w14:paraId="2BF2B58A" w14:textId="77777777" w:rsidTr="009A11F4">
        <w:trPr>
          <w:trHeight w:val="204"/>
        </w:trPr>
        <w:tc>
          <w:tcPr>
            <w:tcW w:w="3969" w:type="dxa"/>
            <w:tcBorders>
              <w:top w:val="nil"/>
              <w:left w:val="nil"/>
              <w:bottom w:val="nil"/>
              <w:right w:val="nil"/>
            </w:tcBorders>
            <w:shd w:val="clear" w:color="auto" w:fill="auto"/>
            <w:vAlign w:val="center"/>
            <w:hideMark/>
          </w:tcPr>
          <w:p w14:paraId="36385516" w14:textId="77777777" w:rsidR="00326B26" w:rsidRPr="00794CC9" w:rsidRDefault="00326B26" w:rsidP="00326B26">
            <w:pPr>
              <w:spacing w:after="0" w:line="240" w:lineRule="auto"/>
              <w:ind w:left="113"/>
              <w:jc w:val="left"/>
              <w:rPr>
                <w:rFonts w:ascii="Arial" w:hAnsi="Arial" w:cs="Arial"/>
                <w:sz w:val="16"/>
                <w:szCs w:val="16"/>
              </w:rPr>
            </w:pPr>
            <w:r w:rsidRPr="00794CC9">
              <w:rPr>
                <w:rFonts w:ascii="Arial" w:hAnsi="Arial" w:cs="Arial"/>
                <w:sz w:val="16"/>
                <w:szCs w:val="16"/>
              </w:rPr>
              <w:t>Accumulated depreciation/amortisation and impairment - ROU assets</w:t>
            </w:r>
          </w:p>
        </w:tc>
        <w:tc>
          <w:tcPr>
            <w:tcW w:w="1157" w:type="dxa"/>
            <w:tcBorders>
              <w:top w:val="nil"/>
              <w:left w:val="nil"/>
              <w:bottom w:val="nil"/>
              <w:right w:val="nil"/>
            </w:tcBorders>
            <w:shd w:val="clear" w:color="auto" w:fill="auto"/>
            <w:noWrap/>
            <w:vAlign w:val="bottom"/>
            <w:hideMark/>
          </w:tcPr>
          <w:p w14:paraId="2A2500D7"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(852)</w:t>
            </w:r>
          </w:p>
        </w:tc>
        <w:tc>
          <w:tcPr>
            <w:tcW w:w="1252" w:type="dxa"/>
            <w:tcBorders>
              <w:top w:val="nil"/>
              <w:left w:val="nil"/>
              <w:bottom w:val="nil"/>
              <w:right w:val="nil"/>
            </w:tcBorders>
            <w:shd w:val="clear" w:color="auto" w:fill="auto"/>
            <w:noWrap/>
            <w:vAlign w:val="bottom"/>
            <w:hideMark/>
          </w:tcPr>
          <w:p w14:paraId="689DF565" w14:textId="5432F3D3" w:rsidR="00326B26" w:rsidRPr="00BF6F80" w:rsidRDefault="00326B26" w:rsidP="00326B26">
            <w:pPr>
              <w:spacing w:after="0" w:line="240" w:lineRule="auto"/>
              <w:jc w:val="right"/>
              <w:rPr>
                <w:rFonts w:ascii="Arial" w:hAnsi="Arial" w:cs="Arial"/>
                <w:sz w:val="16"/>
                <w:szCs w:val="16"/>
              </w:rPr>
            </w:pPr>
            <w:r>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0EDC13DD"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(852)</w:t>
            </w:r>
          </w:p>
        </w:tc>
      </w:tr>
      <w:tr w:rsidR="00326B26" w:rsidRPr="00794CC9" w14:paraId="3B1CF88E" w14:textId="77777777" w:rsidTr="009A11F4">
        <w:trPr>
          <w:trHeight w:val="204"/>
        </w:trPr>
        <w:tc>
          <w:tcPr>
            <w:tcW w:w="3969" w:type="dxa"/>
            <w:tcBorders>
              <w:top w:val="nil"/>
              <w:left w:val="nil"/>
              <w:bottom w:val="nil"/>
              <w:right w:val="nil"/>
            </w:tcBorders>
            <w:shd w:val="clear" w:color="auto" w:fill="auto"/>
            <w:vAlign w:val="bottom"/>
            <w:hideMark/>
          </w:tcPr>
          <w:p w14:paraId="192B4813" w14:textId="77777777" w:rsidR="00326B26" w:rsidRPr="00794CC9" w:rsidRDefault="00326B26" w:rsidP="00326B26">
            <w:pPr>
              <w:spacing w:after="0" w:line="240" w:lineRule="auto"/>
              <w:jc w:val="left"/>
              <w:rPr>
                <w:rFonts w:ascii="Arial" w:hAnsi="Arial" w:cs="Arial"/>
                <w:b/>
                <w:bCs/>
                <w:sz w:val="16"/>
                <w:szCs w:val="16"/>
              </w:rPr>
            </w:pPr>
            <w:r w:rsidRPr="00794CC9">
              <w:rPr>
                <w:rFonts w:ascii="Arial" w:hAnsi="Arial" w:cs="Arial"/>
                <w:b/>
                <w:bCs/>
                <w:sz w:val="16"/>
                <w:szCs w:val="16"/>
              </w:rPr>
              <w:t>Opening net book balance</w:t>
            </w:r>
          </w:p>
        </w:tc>
        <w:tc>
          <w:tcPr>
            <w:tcW w:w="1157" w:type="dxa"/>
            <w:tcBorders>
              <w:top w:val="single" w:sz="4" w:space="0" w:color="auto"/>
              <w:left w:val="nil"/>
              <w:bottom w:val="single" w:sz="4" w:space="0" w:color="auto"/>
              <w:right w:val="nil"/>
            </w:tcBorders>
            <w:shd w:val="clear" w:color="auto" w:fill="auto"/>
            <w:noWrap/>
            <w:vAlign w:val="bottom"/>
            <w:hideMark/>
          </w:tcPr>
          <w:p w14:paraId="2C78CBAF" w14:textId="072CEA50"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2,911</w:t>
            </w:r>
          </w:p>
        </w:tc>
        <w:tc>
          <w:tcPr>
            <w:tcW w:w="1252" w:type="dxa"/>
            <w:tcBorders>
              <w:top w:val="single" w:sz="4" w:space="0" w:color="auto"/>
              <w:left w:val="nil"/>
              <w:bottom w:val="single" w:sz="4" w:space="0" w:color="auto"/>
              <w:right w:val="nil"/>
            </w:tcBorders>
            <w:shd w:val="clear" w:color="auto" w:fill="auto"/>
            <w:noWrap/>
            <w:vAlign w:val="bottom"/>
            <w:hideMark/>
          </w:tcPr>
          <w:p w14:paraId="312AB6B1" w14:textId="5F61AA43"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1,145</w:t>
            </w:r>
          </w:p>
        </w:tc>
        <w:tc>
          <w:tcPr>
            <w:tcW w:w="992" w:type="dxa"/>
            <w:tcBorders>
              <w:top w:val="single" w:sz="4" w:space="0" w:color="auto"/>
              <w:left w:val="nil"/>
              <w:bottom w:val="single" w:sz="4" w:space="0" w:color="auto"/>
              <w:right w:val="nil"/>
            </w:tcBorders>
            <w:shd w:val="clear" w:color="auto" w:fill="auto"/>
            <w:noWrap/>
            <w:vAlign w:val="bottom"/>
            <w:hideMark/>
          </w:tcPr>
          <w:p w14:paraId="4EAF6E08" w14:textId="113302CA"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4,056</w:t>
            </w:r>
          </w:p>
        </w:tc>
      </w:tr>
      <w:tr w:rsidR="00326B26" w:rsidRPr="00794CC9" w14:paraId="4BBA388D" w14:textId="77777777" w:rsidTr="009A11F4">
        <w:trPr>
          <w:trHeight w:val="204"/>
        </w:trPr>
        <w:tc>
          <w:tcPr>
            <w:tcW w:w="3969" w:type="dxa"/>
            <w:tcBorders>
              <w:top w:val="nil"/>
              <w:left w:val="nil"/>
              <w:bottom w:val="nil"/>
              <w:right w:val="nil"/>
            </w:tcBorders>
            <w:shd w:val="clear" w:color="auto" w:fill="auto"/>
            <w:vAlign w:val="bottom"/>
            <w:hideMark/>
          </w:tcPr>
          <w:p w14:paraId="61783CA5" w14:textId="77777777" w:rsidR="00326B26" w:rsidRPr="00794CC9" w:rsidRDefault="00326B26" w:rsidP="00326B26">
            <w:pPr>
              <w:spacing w:after="0" w:line="240" w:lineRule="auto"/>
              <w:jc w:val="left"/>
              <w:rPr>
                <w:rFonts w:ascii="Arial" w:hAnsi="Arial" w:cs="Arial"/>
                <w:b/>
                <w:bCs/>
                <w:sz w:val="16"/>
                <w:szCs w:val="16"/>
              </w:rPr>
            </w:pPr>
            <w:r w:rsidRPr="00794CC9">
              <w:rPr>
                <w:rFonts w:ascii="Arial" w:hAnsi="Arial" w:cs="Arial"/>
                <w:b/>
                <w:bCs/>
                <w:sz w:val="16"/>
                <w:szCs w:val="16"/>
              </w:rPr>
              <w:t>Capital asset additions</w:t>
            </w:r>
          </w:p>
        </w:tc>
        <w:tc>
          <w:tcPr>
            <w:tcW w:w="1157" w:type="dxa"/>
            <w:tcBorders>
              <w:top w:val="nil"/>
              <w:left w:val="nil"/>
              <w:bottom w:val="nil"/>
              <w:right w:val="nil"/>
            </w:tcBorders>
            <w:shd w:val="clear" w:color="auto" w:fill="auto"/>
            <w:noWrap/>
            <w:vAlign w:val="bottom"/>
            <w:hideMark/>
          </w:tcPr>
          <w:p w14:paraId="5CBB76B5" w14:textId="77777777" w:rsidR="00326B26" w:rsidRPr="00BF6F80" w:rsidRDefault="00326B26" w:rsidP="00326B26">
            <w:pPr>
              <w:spacing w:after="0" w:line="240" w:lineRule="auto"/>
              <w:jc w:val="right"/>
              <w:rPr>
                <w:rFonts w:ascii="Arial" w:hAnsi="Arial" w:cs="Arial"/>
                <w:b/>
                <w:bCs/>
                <w:sz w:val="16"/>
                <w:szCs w:val="16"/>
              </w:rPr>
            </w:pPr>
          </w:p>
        </w:tc>
        <w:tc>
          <w:tcPr>
            <w:tcW w:w="1252" w:type="dxa"/>
            <w:tcBorders>
              <w:top w:val="nil"/>
              <w:left w:val="nil"/>
              <w:bottom w:val="nil"/>
              <w:right w:val="nil"/>
            </w:tcBorders>
            <w:shd w:val="clear" w:color="auto" w:fill="auto"/>
            <w:noWrap/>
            <w:vAlign w:val="bottom"/>
            <w:hideMark/>
          </w:tcPr>
          <w:p w14:paraId="1EC5E5C2" w14:textId="77777777" w:rsidR="00326B26" w:rsidRPr="003E0081" w:rsidRDefault="00326B26" w:rsidP="00326B26">
            <w:pPr>
              <w:spacing w:after="0" w:line="240" w:lineRule="auto"/>
              <w:jc w:val="right"/>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14:paraId="290BFB73" w14:textId="77777777" w:rsidR="00326B26" w:rsidRPr="003E0081" w:rsidRDefault="00326B26" w:rsidP="00326B26">
            <w:pPr>
              <w:spacing w:after="0" w:line="240" w:lineRule="auto"/>
              <w:jc w:val="right"/>
              <w:rPr>
                <w:rFonts w:ascii="Times New Roman" w:hAnsi="Times New Roman"/>
                <w:sz w:val="16"/>
                <w:szCs w:val="16"/>
              </w:rPr>
            </w:pPr>
          </w:p>
        </w:tc>
      </w:tr>
      <w:tr w:rsidR="00326B26" w:rsidRPr="00794CC9" w14:paraId="7C456F56" w14:textId="77777777" w:rsidTr="009A11F4">
        <w:trPr>
          <w:trHeight w:val="204"/>
        </w:trPr>
        <w:tc>
          <w:tcPr>
            <w:tcW w:w="3969" w:type="dxa"/>
            <w:tcBorders>
              <w:top w:val="nil"/>
              <w:left w:val="nil"/>
              <w:bottom w:val="nil"/>
              <w:right w:val="nil"/>
            </w:tcBorders>
            <w:shd w:val="clear" w:color="auto" w:fill="auto"/>
            <w:vAlign w:val="bottom"/>
            <w:hideMark/>
          </w:tcPr>
          <w:p w14:paraId="421867E4" w14:textId="49CA9C38" w:rsidR="00326B26" w:rsidRPr="00794CC9" w:rsidRDefault="00326B26" w:rsidP="00326B26">
            <w:pPr>
              <w:spacing w:after="0" w:line="240" w:lineRule="auto"/>
              <w:ind w:left="105" w:firstLine="8"/>
              <w:jc w:val="left"/>
              <w:rPr>
                <w:rFonts w:ascii="Arial" w:hAnsi="Arial" w:cs="Arial"/>
                <w:b/>
                <w:bCs/>
                <w:sz w:val="16"/>
                <w:szCs w:val="16"/>
              </w:rPr>
            </w:pPr>
            <w:r w:rsidRPr="00794CC9">
              <w:rPr>
                <w:rFonts w:ascii="Arial" w:hAnsi="Arial" w:cs="Arial"/>
                <w:b/>
                <w:bCs/>
                <w:sz w:val="16"/>
                <w:szCs w:val="16"/>
              </w:rPr>
              <w:t>Estimated expenditure on new</w:t>
            </w:r>
            <w:r>
              <w:rPr>
                <w:rFonts w:ascii="Arial" w:hAnsi="Arial" w:cs="Arial"/>
                <w:b/>
                <w:bCs/>
                <w:sz w:val="16"/>
                <w:szCs w:val="16"/>
              </w:rPr>
              <w:t xml:space="preserve"> </w:t>
            </w:r>
            <w:r w:rsidRPr="00794CC9">
              <w:rPr>
                <w:rFonts w:ascii="Arial" w:hAnsi="Arial" w:cs="Arial"/>
                <w:b/>
                <w:bCs/>
                <w:sz w:val="16"/>
                <w:szCs w:val="16"/>
              </w:rPr>
              <w:t>or</w:t>
            </w:r>
            <w:r>
              <w:rPr>
                <w:rFonts w:ascii="Arial" w:hAnsi="Arial" w:cs="Arial"/>
                <w:b/>
                <w:bCs/>
                <w:sz w:val="16"/>
                <w:szCs w:val="16"/>
              </w:rPr>
              <w:t xml:space="preserve"> </w:t>
            </w:r>
            <w:r w:rsidRPr="00794CC9">
              <w:rPr>
                <w:rFonts w:ascii="Arial" w:hAnsi="Arial" w:cs="Arial"/>
                <w:b/>
                <w:bCs/>
                <w:sz w:val="16"/>
                <w:szCs w:val="16"/>
              </w:rPr>
              <w:t>replacement assets</w:t>
            </w:r>
          </w:p>
        </w:tc>
        <w:tc>
          <w:tcPr>
            <w:tcW w:w="1157" w:type="dxa"/>
            <w:tcBorders>
              <w:top w:val="nil"/>
              <w:left w:val="nil"/>
              <w:bottom w:val="nil"/>
              <w:right w:val="nil"/>
            </w:tcBorders>
            <w:shd w:val="clear" w:color="auto" w:fill="auto"/>
            <w:noWrap/>
            <w:vAlign w:val="bottom"/>
            <w:hideMark/>
          </w:tcPr>
          <w:p w14:paraId="3D567A88" w14:textId="77777777" w:rsidR="00326B26" w:rsidRPr="00BF6F80" w:rsidRDefault="00326B26" w:rsidP="00326B26">
            <w:pPr>
              <w:spacing w:after="0" w:line="240" w:lineRule="auto"/>
              <w:ind w:firstLineChars="100" w:firstLine="160"/>
              <w:jc w:val="right"/>
              <w:rPr>
                <w:rFonts w:ascii="Arial" w:hAnsi="Arial" w:cs="Arial"/>
                <w:b/>
                <w:bCs/>
                <w:sz w:val="16"/>
                <w:szCs w:val="16"/>
              </w:rPr>
            </w:pPr>
          </w:p>
        </w:tc>
        <w:tc>
          <w:tcPr>
            <w:tcW w:w="1252" w:type="dxa"/>
            <w:tcBorders>
              <w:top w:val="nil"/>
              <w:left w:val="nil"/>
              <w:bottom w:val="nil"/>
              <w:right w:val="nil"/>
            </w:tcBorders>
            <w:shd w:val="clear" w:color="auto" w:fill="auto"/>
            <w:noWrap/>
            <w:vAlign w:val="bottom"/>
            <w:hideMark/>
          </w:tcPr>
          <w:p w14:paraId="39A7920B" w14:textId="77777777" w:rsidR="00326B26" w:rsidRPr="003E0081" w:rsidRDefault="00326B26" w:rsidP="00326B26">
            <w:pPr>
              <w:spacing w:after="0" w:line="240" w:lineRule="auto"/>
              <w:jc w:val="right"/>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14:paraId="6C9A7348" w14:textId="77777777" w:rsidR="00326B26" w:rsidRPr="003E0081" w:rsidRDefault="00326B26" w:rsidP="00326B26">
            <w:pPr>
              <w:spacing w:after="0" w:line="240" w:lineRule="auto"/>
              <w:jc w:val="right"/>
              <w:rPr>
                <w:rFonts w:ascii="Times New Roman" w:hAnsi="Times New Roman"/>
                <w:sz w:val="16"/>
                <w:szCs w:val="16"/>
              </w:rPr>
            </w:pPr>
          </w:p>
        </w:tc>
      </w:tr>
      <w:tr w:rsidR="00326B26" w:rsidRPr="00794CC9" w14:paraId="4D9D9739" w14:textId="77777777" w:rsidTr="009A11F4">
        <w:trPr>
          <w:trHeight w:val="204"/>
        </w:trPr>
        <w:tc>
          <w:tcPr>
            <w:tcW w:w="3969" w:type="dxa"/>
            <w:tcBorders>
              <w:top w:val="nil"/>
              <w:left w:val="nil"/>
              <w:bottom w:val="nil"/>
              <w:right w:val="nil"/>
            </w:tcBorders>
            <w:shd w:val="clear" w:color="auto" w:fill="auto"/>
            <w:vAlign w:val="bottom"/>
            <w:hideMark/>
          </w:tcPr>
          <w:p w14:paraId="0ECD42E3" w14:textId="77777777" w:rsidR="00326B26" w:rsidRPr="00794CC9" w:rsidRDefault="00326B26" w:rsidP="00326B26">
            <w:pPr>
              <w:spacing w:after="0" w:line="240" w:lineRule="auto"/>
              <w:ind w:left="227"/>
              <w:jc w:val="left"/>
              <w:rPr>
                <w:rFonts w:ascii="Arial" w:hAnsi="Arial" w:cs="Arial"/>
                <w:sz w:val="16"/>
                <w:szCs w:val="16"/>
              </w:rPr>
            </w:pPr>
            <w:r w:rsidRPr="00794CC9">
              <w:rPr>
                <w:rFonts w:ascii="Arial" w:hAnsi="Arial" w:cs="Arial"/>
                <w:sz w:val="16"/>
                <w:szCs w:val="16"/>
              </w:rPr>
              <w:t>By purchase - other</w:t>
            </w:r>
          </w:p>
        </w:tc>
        <w:tc>
          <w:tcPr>
            <w:tcW w:w="1157" w:type="dxa"/>
            <w:tcBorders>
              <w:top w:val="nil"/>
              <w:left w:val="nil"/>
              <w:bottom w:val="nil"/>
              <w:right w:val="nil"/>
            </w:tcBorders>
            <w:shd w:val="clear" w:color="auto" w:fill="auto"/>
            <w:noWrap/>
            <w:vAlign w:val="bottom"/>
            <w:hideMark/>
          </w:tcPr>
          <w:p w14:paraId="738BAFB1" w14:textId="6E3254B2" w:rsidR="00326B26" w:rsidRPr="00BF6F80" w:rsidRDefault="00326B26" w:rsidP="00326B26">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1252" w:type="dxa"/>
            <w:tcBorders>
              <w:top w:val="nil"/>
              <w:left w:val="nil"/>
              <w:bottom w:val="nil"/>
              <w:right w:val="nil"/>
            </w:tcBorders>
            <w:shd w:val="clear" w:color="auto" w:fill="auto"/>
            <w:noWrap/>
            <w:vAlign w:val="bottom"/>
            <w:hideMark/>
          </w:tcPr>
          <w:p w14:paraId="50E0001A" w14:textId="32F58E95"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200</w:t>
            </w:r>
          </w:p>
        </w:tc>
        <w:tc>
          <w:tcPr>
            <w:tcW w:w="992" w:type="dxa"/>
            <w:tcBorders>
              <w:top w:val="nil"/>
              <w:left w:val="nil"/>
              <w:bottom w:val="nil"/>
              <w:right w:val="nil"/>
            </w:tcBorders>
            <w:shd w:val="clear" w:color="auto" w:fill="auto"/>
            <w:noWrap/>
            <w:vAlign w:val="bottom"/>
            <w:hideMark/>
          </w:tcPr>
          <w:p w14:paraId="3C70C761" w14:textId="4E3681FF"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200</w:t>
            </w:r>
          </w:p>
        </w:tc>
      </w:tr>
      <w:tr w:rsidR="00326B26" w:rsidRPr="00794CC9" w14:paraId="27EF170F" w14:textId="77777777" w:rsidTr="009A11F4">
        <w:trPr>
          <w:trHeight w:val="204"/>
        </w:trPr>
        <w:tc>
          <w:tcPr>
            <w:tcW w:w="3969" w:type="dxa"/>
            <w:tcBorders>
              <w:top w:val="nil"/>
              <w:left w:val="nil"/>
              <w:bottom w:val="nil"/>
              <w:right w:val="nil"/>
            </w:tcBorders>
            <w:shd w:val="clear" w:color="auto" w:fill="auto"/>
            <w:vAlign w:val="bottom"/>
            <w:hideMark/>
          </w:tcPr>
          <w:p w14:paraId="31BF4E62" w14:textId="77777777" w:rsidR="00326B26" w:rsidRPr="00794CC9" w:rsidRDefault="00326B26" w:rsidP="00326B26">
            <w:pPr>
              <w:spacing w:after="0" w:line="240" w:lineRule="auto"/>
              <w:ind w:left="113"/>
              <w:jc w:val="left"/>
              <w:rPr>
                <w:rFonts w:ascii="Arial" w:hAnsi="Arial" w:cs="Arial"/>
                <w:b/>
                <w:bCs/>
                <w:sz w:val="16"/>
                <w:szCs w:val="16"/>
              </w:rPr>
            </w:pPr>
            <w:r w:rsidRPr="00794CC9">
              <w:rPr>
                <w:rFonts w:ascii="Arial" w:hAnsi="Arial" w:cs="Arial"/>
                <w:b/>
                <w:bCs/>
                <w:sz w:val="16"/>
                <w:szCs w:val="16"/>
              </w:rPr>
              <w:t>Total additions</w:t>
            </w:r>
          </w:p>
        </w:tc>
        <w:tc>
          <w:tcPr>
            <w:tcW w:w="1157" w:type="dxa"/>
            <w:tcBorders>
              <w:top w:val="single" w:sz="4" w:space="0" w:color="auto"/>
              <w:left w:val="nil"/>
              <w:bottom w:val="nil"/>
              <w:right w:val="nil"/>
            </w:tcBorders>
            <w:shd w:val="clear" w:color="auto" w:fill="auto"/>
            <w:noWrap/>
            <w:vAlign w:val="bottom"/>
            <w:hideMark/>
          </w:tcPr>
          <w:p w14:paraId="132ED5EE" w14:textId="5DF2F6B7" w:rsidR="00326B26" w:rsidRPr="00BF6F80" w:rsidRDefault="00326B26" w:rsidP="00326B26">
            <w:pPr>
              <w:spacing w:after="0" w:line="240" w:lineRule="auto"/>
              <w:jc w:val="right"/>
              <w:rPr>
                <w:rFonts w:ascii="Arial" w:hAnsi="Arial" w:cs="Arial"/>
                <w:b/>
                <w:bCs/>
                <w:sz w:val="16"/>
                <w:szCs w:val="16"/>
              </w:rPr>
            </w:pPr>
            <w:r>
              <w:rPr>
                <w:rFonts w:ascii="Arial" w:hAnsi="Arial" w:cs="Arial"/>
                <w:b/>
                <w:bCs/>
                <w:sz w:val="16"/>
                <w:szCs w:val="16"/>
              </w:rPr>
              <w:t>-</w:t>
            </w:r>
          </w:p>
        </w:tc>
        <w:tc>
          <w:tcPr>
            <w:tcW w:w="1252" w:type="dxa"/>
            <w:tcBorders>
              <w:top w:val="single" w:sz="4" w:space="0" w:color="auto"/>
              <w:left w:val="nil"/>
              <w:bottom w:val="nil"/>
              <w:right w:val="nil"/>
            </w:tcBorders>
            <w:shd w:val="clear" w:color="auto" w:fill="auto"/>
            <w:noWrap/>
            <w:vAlign w:val="bottom"/>
            <w:hideMark/>
          </w:tcPr>
          <w:p w14:paraId="06D1B427" w14:textId="7628F13B"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200</w:t>
            </w:r>
          </w:p>
        </w:tc>
        <w:tc>
          <w:tcPr>
            <w:tcW w:w="992" w:type="dxa"/>
            <w:tcBorders>
              <w:top w:val="single" w:sz="4" w:space="0" w:color="auto"/>
              <w:left w:val="nil"/>
              <w:bottom w:val="nil"/>
              <w:right w:val="nil"/>
            </w:tcBorders>
            <w:shd w:val="clear" w:color="auto" w:fill="auto"/>
            <w:noWrap/>
            <w:vAlign w:val="bottom"/>
            <w:hideMark/>
          </w:tcPr>
          <w:p w14:paraId="35F8E17C" w14:textId="674F7CFB"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200</w:t>
            </w:r>
          </w:p>
        </w:tc>
      </w:tr>
      <w:tr w:rsidR="00326B26" w:rsidRPr="00794CC9" w14:paraId="523FA22A" w14:textId="77777777" w:rsidTr="009A11F4">
        <w:trPr>
          <w:trHeight w:val="204"/>
        </w:trPr>
        <w:tc>
          <w:tcPr>
            <w:tcW w:w="3969" w:type="dxa"/>
            <w:tcBorders>
              <w:top w:val="nil"/>
              <w:left w:val="nil"/>
              <w:bottom w:val="nil"/>
              <w:right w:val="nil"/>
            </w:tcBorders>
            <w:shd w:val="clear" w:color="auto" w:fill="auto"/>
            <w:vAlign w:val="bottom"/>
            <w:hideMark/>
          </w:tcPr>
          <w:p w14:paraId="1A545918" w14:textId="77777777" w:rsidR="00326B26" w:rsidRPr="00794CC9" w:rsidRDefault="00326B26" w:rsidP="00326B26">
            <w:pPr>
              <w:spacing w:after="0" w:line="240" w:lineRule="auto"/>
              <w:ind w:left="113"/>
              <w:jc w:val="left"/>
              <w:rPr>
                <w:rFonts w:ascii="Arial" w:hAnsi="Arial" w:cs="Arial"/>
                <w:b/>
                <w:bCs/>
                <w:sz w:val="16"/>
                <w:szCs w:val="16"/>
              </w:rPr>
            </w:pPr>
            <w:r w:rsidRPr="00794CC9">
              <w:rPr>
                <w:rFonts w:ascii="Arial" w:hAnsi="Arial" w:cs="Arial"/>
                <w:b/>
                <w:bCs/>
                <w:sz w:val="16"/>
                <w:szCs w:val="16"/>
              </w:rPr>
              <w:t>Other movements</w:t>
            </w:r>
          </w:p>
        </w:tc>
        <w:tc>
          <w:tcPr>
            <w:tcW w:w="1157" w:type="dxa"/>
            <w:tcBorders>
              <w:top w:val="single" w:sz="4" w:space="0" w:color="auto"/>
              <w:left w:val="nil"/>
              <w:bottom w:val="nil"/>
              <w:right w:val="nil"/>
            </w:tcBorders>
            <w:shd w:val="clear" w:color="auto" w:fill="auto"/>
            <w:noWrap/>
            <w:vAlign w:val="bottom"/>
          </w:tcPr>
          <w:p w14:paraId="30EA9B80" w14:textId="32AC3ED7" w:rsidR="00326B26" w:rsidRPr="00BF6F80" w:rsidRDefault="00326B26" w:rsidP="00326B26">
            <w:pPr>
              <w:spacing w:after="0" w:line="240" w:lineRule="auto"/>
              <w:jc w:val="right"/>
              <w:rPr>
                <w:rFonts w:ascii="Arial" w:hAnsi="Arial" w:cs="Arial"/>
                <w:b/>
                <w:bCs/>
                <w:sz w:val="16"/>
                <w:szCs w:val="16"/>
              </w:rPr>
            </w:pPr>
          </w:p>
        </w:tc>
        <w:tc>
          <w:tcPr>
            <w:tcW w:w="1252" w:type="dxa"/>
            <w:tcBorders>
              <w:top w:val="single" w:sz="4" w:space="0" w:color="auto"/>
              <w:left w:val="nil"/>
              <w:bottom w:val="nil"/>
              <w:right w:val="nil"/>
            </w:tcBorders>
            <w:shd w:val="clear" w:color="auto" w:fill="auto"/>
            <w:noWrap/>
            <w:vAlign w:val="bottom"/>
          </w:tcPr>
          <w:p w14:paraId="335C56AA" w14:textId="39AED1FB" w:rsidR="00326B26" w:rsidRPr="00BF6F80" w:rsidRDefault="00326B26" w:rsidP="00326B26">
            <w:pPr>
              <w:spacing w:after="0" w:line="240" w:lineRule="auto"/>
              <w:jc w:val="right"/>
              <w:rPr>
                <w:rFonts w:ascii="Arial" w:hAnsi="Arial" w:cs="Arial"/>
                <w:b/>
                <w:bCs/>
                <w:sz w:val="16"/>
                <w:szCs w:val="16"/>
              </w:rPr>
            </w:pPr>
          </w:p>
        </w:tc>
        <w:tc>
          <w:tcPr>
            <w:tcW w:w="992" w:type="dxa"/>
            <w:tcBorders>
              <w:top w:val="single" w:sz="4" w:space="0" w:color="auto"/>
              <w:left w:val="nil"/>
              <w:bottom w:val="nil"/>
              <w:right w:val="nil"/>
            </w:tcBorders>
            <w:shd w:val="clear" w:color="auto" w:fill="auto"/>
            <w:noWrap/>
            <w:vAlign w:val="bottom"/>
          </w:tcPr>
          <w:p w14:paraId="78759770" w14:textId="23297C2A" w:rsidR="00326B26" w:rsidRPr="00BF6F80" w:rsidRDefault="00326B26" w:rsidP="00326B26">
            <w:pPr>
              <w:spacing w:after="0" w:line="240" w:lineRule="auto"/>
              <w:jc w:val="right"/>
              <w:rPr>
                <w:rFonts w:ascii="Arial" w:hAnsi="Arial" w:cs="Arial"/>
                <w:b/>
                <w:bCs/>
                <w:sz w:val="16"/>
                <w:szCs w:val="16"/>
              </w:rPr>
            </w:pPr>
          </w:p>
        </w:tc>
      </w:tr>
      <w:tr w:rsidR="00326B26" w:rsidRPr="00794CC9" w14:paraId="62F6F004" w14:textId="77777777" w:rsidTr="009A11F4">
        <w:trPr>
          <w:trHeight w:val="204"/>
        </w:trPr>
        <w:tc>
          <w:tcPr>
            <w:tcW w:w="3969" w:type="dxa"/>
            <w:tcBorders>
              <w:top w:val="nil"/>
              <w:left w:val="nil"/>
              <w:bottom w:val="nil"/>
              <w:right w:val="nil"/>
            </w:tcBorders>
            <w:shd w:val="clear" w:color="auto" w:fill="auto"/>
            <w:vAlign w:val="bottom"/>
            <w:hideMark/>
          </w:tcPr>
          <w:p w14:paraId="6E3D1679" w14:textId="77777777" w:rsidR="00326B26" w:rsidRPr="00794CC9" w:rsidRDefault="00326B26" w:rsidP="00326B26">
            <w:pPr>
              <w:spacing w:after="0" w:line="240" w:lineRule="auto"/>
              <w:ind w:left="227"/>
              <w:jc w:val="left"/>
              <w:rPr>
                <w:rFonts w:ascii="Arial" w:hAnsi="Arial" w:cs="Arial"/>
                <w:sz w:val="16"/>
                <w:szCs w:val="16"/>
              </w:rPr>
            </w:pPr>
            <w:r w:rsidRPr="00794CC9">
              <w:rPr>
                <w:rFonts w:ascii="Arial" w:hAnsi="Arial" w:cs="Arial"/>
                <w:sz w:val="16"/>
                <w:szCs w:val="16"/>
              </w:rPr>
              <w:t>Depreciation/amortisation expense</w:t>
            </w:r>
          </w:p>
        </w:tc>
        <w:tc>
          <w:tcPr>
            <w:tcW w:w="1157" w:type="dxa"/>
            <w:tcBorders>
              <w:top w:val="nil"/>
              <w:left w:val="nil"/>
              <w:bottom w:val="nil"/>
              <w:right w:val="nil"/>
            </w:tcBorders>
            <w:shd w:val="clear" w:color="auto" w:fill="auto"/>
            <w:noWrap/>
            <w:vAlign w:val="bottom"/>
            <w:hideMark/>
          </w:tcPr>
          <w:p w14:paraId="38940B68" w14:textId="416F1C29" w:rsidR="00326B26" w:rsidRPr="00BF6F80" w:rsidRDefault="00326B26" w:rsidP="00326B26">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1252" w:type="dxa"/>
            <w:tcBorders>
              <w:top w:val="nil"/>
              <w:left w:val="nil"/>
              <w:bottom w:val="nil"/>
              <w:right w:val="nil"/>
            </w:tcBorders>
            <w:shd w:val="clear" w:color="auto" w:fill="auto"/>
            <w:noWrap/>
            <w:vAlign w:val="bottom"/>
            <w:hideMark/>
          </w:tcPr>
          <w:p w14:paraId="22865A8B"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(390)</w:t>
            </w:r>
          </w:p>
        </w:tc>
        <w:tc>
          <w:tcPr>
            <w:tcW w:w="992" w:type="dxa"/>
            <w:tcBorders>
              <w:top w:val="nil"/>
              <w:left w:val="nil"/>
              <w:bottom w:val="nil"/>
              <w:right w:val="nil"/>
            </w:tcBorders>
            <w:shd w:val="clear" w:color="auto" w:fill="auto"/>
            <w:noWrap/>
            <w:vAlign w:val="bottom"/>
            <w:hideMark/>
          </w:tcPr>
          <w:p w14:paraId="174C3E18"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(390)</w:t>
            </w:r>
          </w:p>
        </w:tc>
      </w:tr>
      <w:tr w:rsidR="00326B26" w:rsidRPr="00794CC9" w14:paraId="5D315585" w14:textId="77777777" w:rsidTr="009A11F4">
        <w:trPr>
          <w:trHeight w:val="204"/>
        </w:trPr>
        <w:tc>
          <w:tcPr>
            <w:tcW w:w="3969" w:type="dxa"/>
            <w:tcBorders>
              <w:top w:val="nil"/>
              <w:left w:val="nil"/>
              <w:right w:val="nil"/>
            </w:tcBorders>
            <w:shd w:val="clear" w:color="auto" w:fill="auto"/>
            <w:vAlign w:val="center"/>
            <w:hideMark/>
          </w:tcPr>
          <w:p w14:paraId="3662A65D" w14:textId="7B26AECE" w:rsidR="00326B26" w:rsidRPr="00794CC9" w:rsidRDefault="00326B26" w:rsidP="00326B26">
            <w:pPr>
              <w:spacing w:after="0" w:line="240" w:lineRule="auto"/>
              <w:ind w:left="227"/>
              <w:jc w:val="left"/>
              <w:rPr>
                <w:rFonts w:ascii="Arial" w:hAnsi="Arial" w:cs="Arial"/>
                <w:sz w:val="16"/>
                <w:szCs w:val="16"/>
              </w:rPr>
            </w:pPr>
            <w:r w:rsidRPr="00794CC9">
              <w:rPr>
                <w:rFonts w:ascii="Arial" w:hAnsi="Arial" w:cs="Arial"/>
                <w:sz w:val="16"/>
                <w:szCs w:val="16"/>
              </w:rPr>
              <w:t>Depreciation/amortisation on ROU assets</w:t>
            </w:r>
          </w:p>
        </w:tc>
        <w:tc>
          <w:tcPr>
            <w:tcW w:w="1157" w:type="dxa"/>
            <w:tcBorders>
              <w:top w:val="nil"/>
              <w:left w:val="nil"/>
              <w:bottom w:val="nil"/>
              <w:right w:val="nil"/>
            </w:tcBorders>
            <w:shd w:val="clear" w:color="auto" w:fill="auto"/>
            <w:noWrap/>
            <w:vAlign w:val="bottom"/>
            <w:hideMark/>
          </w:tcPr>
          <w:p w14:paraId="0195209F"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(426)</w:t>
            </w:r>
          </w:p>
        </w:tc>
        <w:tc>
          <w:tcPr>
            <w:tcW w:w="1252" w:type="dxa"/>
            <w:tcBorders>
              <w:top w:val="nil"/>
              <w:left w:val="nil"/>
              <w:bottom w:val="nil"/>
              <w:right w:val="nil"/>
            </w:tcBorders>
            <w:shd w:val="clear" w:color="auto" w:fill="auto"/>
            <w:noWrap/>
            <w:vAlign w:val="bottom"/>
            <w:hideMark/>
          </w:tcPr>
          <w:p w14:paraId="51111747" w14:textId="22CEED41" w:rsidR="00326B26" w:rsidRPr="00BF6F80" w:rsidRDefault="00326B26" w:rsidP="00326B26">
            <w:pPr>
              <w:spacing w:after="0" w:line="240" w:lineRule="auto"/>
              <w:jc w:val="right"/>
              <w:rPr>
                <w:rFonts w:ascii="Arial" w:hAnsi="Arial" w:cs="Arial"/>
                <w:sz w:val="16"/>
                <w:szCs w:val="16"/>
              </w:rPr>
            </w:pPr>
            <w:r>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17B6DC62"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(426)</w:t>
            </w:r>
          </w:p>
        </w:tc>
      </w:tr>
      <w:tr w:rsidR="00326B26" w:rsidRPr="00794CC9" w14:paraId="0007547A" w14:textId="77777777" w:rsidTr="009A11F4">
        <w:trPr>
          <w:trHeight w:val="204"/>
        </w:trPr>
        <w:tc>
          <w:tcPr>
            <w:tcW w:w="3969" w:type="dxa"/>
            <w:tcBorders>
              <w:top w:val="nil"/>
              <w:left w:val="nil"/>
              <w:right w:val="nil"/>
            </w:tcBorders>
            <w:shd w:val="clear" w:color="auto" w:fill="auto"/>
            <w:vAlign w:val="bottom"/>
            <w:hideMark/>
          </w:tcPr>
          <w:p w14:paraId="48AAB8D1" w14:textId="77777777" w:rsidR="00326B26" w:rsidRPr="00794CC9" w:rsidRDefault="00326B26" w:rsidP="00326B26">
            <w:pPr>
              <w:spacing w:after="0" w:line="240" w:lineRule="auto"/>
              <w:jc w:val="left"/>
              <w:rPr>
                <w:rFonts w:ascii="Arial" w:hAnsi="Arial" w:cs="Arial"/>
                <w:b/>
                <w:bCs/>
                <w:sz w:val="16"/>
                <w:szCs w:val="16"/>
              </w:rPr>
            </w:pPr>
            <w:r w:rsidRPr="00794CC9">
              <w:rPr>
                <w:rFonts w:ascii="Arial" w:hAnsi="Arial" w:cs="Arial"/>
                <w:b/>
                <w:bCs/>
                <w:sz w:val="16"/>
                <w:szCs w:val="16"/>
              </w:rPr>
              <w:t>Total other movements</w:t>
            </w:r>
          </w:p>
        </w:tc>
        <w:tc>
          <w:tcPr>
            <w:tcW w:w="1157" w:type="dxa"/>
            <w:tcBorders>
              <w:top w:val="single" w:sz="4" w:space="0" w:color="auto"/>
              <w:left w:val="nil"/>
              <w:bottom w:val="single" w:sz="4" w:space="0" w:color="auto"/>
              <w:right w:val="nil"/>
            </w:tcBorders>
            <w:shd w:val="clear" w:color="auto" w:fill="auto"/>
            <w:noWrap/>
            <w:vAlign w:val="bottom"/>
            <w:hideMark/>
          </w:tcPr>
          <w:p w14:paraId="5880FA2C" w14:textId="77777777"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(426)</w:t>
            </w:r>
          </w:p>
        </w:tc>
        <w:tc>
          <w:tcPr>
            <w:tcW w:w="1252" w:type="dxa"/>
            <w:tcBorders>
              <w:top w:val="single" w:sz="4" w:space="0" w:color="auto"/>
              <w:left w:val="nil"/>
              <w:bottom w:val="single" w:sz="4" w:space="0" w:color="auto"/>
              <w:right w:val="nil"/>
            </w:tcBorders>
            <w:shd w:val="clear" w:color="auto" w:fill="auto"/>
            <w:noWrap/>
            <w:vAlign w:val="bottom"/>
            <w:hideMark/>
          </w:tcPr>
          <w:p w14:paraId="670A586D" w14:textId="77777777"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(390)</w:t>
            </w:r>
          </w:p>
        </w:tc>
        <w:tc>
          <w:tcPr>
            <w:tcW w:w="992" w:type="dxa"/>
            <w:tcBorders>
              <w:top w:val="single" w:sz="4" w:space="0" w:color="auto"/>
              <w:left w:val="nil"/>
              <w:bottom w:val="single" w:sz="4" w:space="0" w:color="auto"/>
              <w:right w:val="nil"/>
            </w:tcBorders>
            <w:shd w:val="clear" w:color="auto" w:fill="auto"/>
            <w:noWrap/>
            <w:vAlign w:val="bottom"/>
            <w:hideMark/>
          </w:tcPr>
          <w:p w14:paraId="12EF43C3" w14:textId="77777777"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(816)</w:t>
            </w:r>
          </w:p>
        </w:tc>
      </w:tr>
      <w:tr w:rsidR="00326B26" w:rsidRPr="00794CC9" w14:paraId="351BE4AB" w14:textId="77777777" w:rsidTr="009A11F4">
        <w:trPr>
          <w:trHeight w:val="204"/>
        </w:trPr>
        <w:tc>
          <w:tcPr>
            <w:tcW w:w="3969" w:type="dxa"/>
            <w:tcBorders>
              <w:top w:val="nil"/>
              <w:left w:val="nil"/>
              <w:bottom w:val="nil"/>
              <w:right w:val="nil"/>
            </w:tcBorders>
            <w:shd w:val="clear" w:color="auto" w:fill="auto"/>
            <w:vAlign w:val="bottom"/>
            <w:hideMark/>
          </w:tcPr>
          <w:p w14:paraId="34408E7C" w14:textId="77777777" w:rsidR="00326B26" w:rsidRPr="00794CC9" w:rsidRDefault="00326B26" w:rsidP="00326B26">
            <w:pPr>
              <w:spacing w:after="0" w:line="240" w:lineRule="auto"/>
              <w:jc w:val="left"/>
              <w:rPr>
                <w:rFonts w:ascii="Arial" w:hAnsi="Arial" w:cs="Arial"/>
                <w:b/>
                <w:bCs/>
                <w:sz w:val="16"/>
                <w:szCs w:val="16"/>
              </w:rPr>
            </w:pPr>
            <w:r w:rsidRPr="00794CC9">
              <w:rPr>
                <w:rFonts w:ascii="Arial" w:hAnsi="Arial" w:cs="Arial"/>
                <w:b/>
                <w:bCs/>
                <w:sz w:val="16"/>
                <w:szCs w:val="16"/>
              </w:rPr>
              <w:t>As at 30 June 2022</w:t>
            </w:r>
          </w:p>
        </w:tc>
        <w:tc>
          <w:tcPr>
            <w:tcW w:w="1157" w:type="dxa"/>
            <w:tcBorders>
              <w:top w:val="nil"/>
              <w:left w:val="nil"/>
              <w:bottom w:val="nil"/>
              <w:right w:val="nil"/>
            </w:tcBorders>
            <w:shd w:val="clear" w:color="auto" w:fill="auto"/>
            <w:noWrap/>
            <w:vAlign w:val="bottom"/>
            <w:hideMark/>
          </w:tcPr>
          <w:p w14:paraId="2BA6ED70" w14:textId="77777777" w:rsidR="00326B26" w:rsidRPr="00BF6F80" w:rsidRDefault="00326B26" w:rsidP="00326B26">
            <w:pPr>
              <w:spacing w:after="0" w:line="240" w:lineRule="auto"/>
              <w:jc w:val="right"/>
              <w:rPr>
                <w:rFonts w:ascii="Arial" w:hAnsi="Arial" w:cs="Arial"/>
                <w:b/>
                <w:bCs/>
                <w:sz w:val="16"/>
                <w:szCs w:val="16"/>
              </w:rPr>
            </w:pPr>
          </w:p>
        </w:tc>
        <w:tc>
          <w:tcPr>
            <w:tcW w:w="1252" w:type="dxa"/>
            <w:tcBorders>
              <w:top w:val="nil"/>
              <w:left w:val="nil"/>
              <w:bottom w:val="nil"/>
              <w:right w:val="nil"/>
            </w:tcBorders>
            <w:shd w:val="clear" w:color="auto" w:fill="auto"/>
            <w:noWrap/>
            <w:vAlign w:val="bottom"/>
            <w:hideMark/>
          </w:tcPr>
          <w:p w14:paraId="3DEFA041" w14:textId="77777777" w:rsidR="00326B26" w:rsidRPr="003E0081" w:rsidRDefault="00326B26" w:rsidP="00326B26">
            <w:pPr>
              <w:spacing w:after="0" w:line="240" w:lineRule="auto"/>
              <w:jc w:val="right"/>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14:paraId="2CE3AACA" w14:textId="77777777" w:rsidR="00326B26" w:rsidRPr="003E0081" w:rsidRDefault="00326B26" w:rsidP="00326B26">
            <w:pPr>
              <w:spacing w:after="0" w:line="240" w:lineRule="auto"/>
              <w:jc w:val="right"/>
              <w:rPr>
                <w:rFonts w:ascii="Times New Roman" w:hAnsi="Times New Roman"/>
                <w:sz w:val="16"/>
                <w:szCs w:val="16"/>
              </w:rPr>
            </w:pPr>
          </w:p>
        </w:tc>
      </w:tr>
      <w:tr w:rsidR="00326B26" w:rsidRPr="00794CC9" w14:paraId="11AF5879" w14:textId="77777777" w:rsidTr="009A11F4">
        <w:trPr>
          <w:trHeight w:val="204"/>
        </w:trPr>
        <w:tc>
          <w:tcPr>
            <w:tcW w:w="3969" w:type="dxa"/>
            <w:tcBorders>
              <w:top w:val="nil"/>
              <w:left w:val="nil"/>
              <w:bottom w:val="nil"/>
              <w:right w:val="nil"/>
            </w:tcBorders>
            <w:shd w:val="clear" w:color="auto" w:fill="auto"/>
            <w:vAlign w:val="center"/>
            <w:hideMark/>
          </w:tcPr>
          <w:p w14:paraId="0A20536F" w14:textId="77777777" w:rsidR="00326B26" w:rsidRPr="00794CC9" w:rsidRDefault="00326B26" w:rsidP="00326B26">
            <w:pPr>
              <w:spacing w:after="0" w:line="240" w:lineRule="auto"/>
              <w:ind w:left="113"/>
              <w:jc w:val="left"/>
              <w:rPr>
                <w:rFonts w:ascii="Arial" w:hAnsi="Arial" w:cs="Arial"/>
                <w:sz w:val="16"/>
                <w:szCs w:val="16"/>
              </w:rPr>
            </w:pPr>
            <w:r w:rsidRPr="00794CC9">
              <w:rPr>
                <w:rFonts w:ascii="Arial" w:hAnsi="Arial" w:cs="Arial"/>
                <w:sz w:val="16"/>
                <w:szCs w:val="16"/>
              </w:rPr>
              <w:t>Gross book value</w:t>
            </w:r>
          </w:p>
        </w:tc>
        <w:tc>
          <w:tcPr>
            <w:tcW w:w="1157" w:type="dxa"/>
            <w:tcBorders>
              <w:top w:val="nil"/>
              <w:left w:val="nil"/>
              <w:bottom w:val="nil"/>
              <w:right w:val="nil"/>
            </w:tcBorders>
            <w:shd w:val="clear" w:color="auto" w:fill="auto"/>
            <w:noWrap/>
            <w:vAlign w:val="bottom"/>
            <w:hideMark/>
          </w:tcPr>
          <w:p w14:paraId="152D7E9A" w14:textId="3F5FA9AB"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w:t>
            </w:r>
          </w:p>
        </w:tc>
        <w:tc>
          <w:tcPr>
            <w:tcW w:w="1252" w:type="dxa"/>
            <w:tcBorders>
              <w:top w:val="nil"/>
              <w:left w:val="nil"/>
              <w:bottom w:val="nil"/>
              <w:right w:val="nil"/>
            </w:tcBorders>
            <w:shd w:val="clear" w:color="auto" w:fill="auto"/>
            <w:noWrap/>
            <w:vAlign w:val="bottom"/>
            <w:hideMark/>
          </w:tcPr>
          <w:p w14:paraId="0D5E930B" w14:textId="4AAD71E5"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2,332</w:t>
            </w:r>
          </w:p>
        </w:tc>
        <w:tc>
          <w:tcPr>
            <w:tcW w:w="992" w:type="dxa"/>
            <w:tcBorders>
              <w:top w:val="nil"/>
              <w:left w:val="nil"/>
              <w:bottom w:val="nil"/>
              <w:right w:val="nil"/>
            </w:tcBorders>
            <w:shd w:val="clear" w:color="auto" w:fill="auto"/>
            <w:noWrap/>
            <w:vAlign w:val="bottom"/>
            <w:hideMark/>
          </w:tcPr>
          <w:p w14:paraId="003BD036" w14:textId="26BA713D"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2,332</w:t>
            </w:r>
          </w:p>
        </w:tc>
      </w:tr>
      <w:tr w:rsidR="00326B26" w:rsidRPr="00794CC9" w14:paraId="7856D778" w14:textId="77777777" w:rsidTr="009A11F4">
        <w:trPr>
          <w:trHeight w:val="204"/>
        </w:trPr>
        <w:tc>
          <w:tcPr>
            <w:tcW w:w="3969" w:type="dxa"/>
            <w:tcBorders>
              <w:top w:val="nil"/>
              <w:left w:val="nil"/>
              <w:bottom w:val="nil"/>
              <w:right w:val="nil"/>
            </w:tcBorders>
            <w:shd w:val="clear" w:color="auto" w:fill="auto"/>
            <w:vAlign w:val="center"/>
            <w:hideMark/>
          </w:tcPr>
          <w:p w14:paraId="0EE1DDEC" w14:textId="77777777" w:rsidR="00326B26" w:rsidRPr="00794CC9" w:rsidRDefault="00326B26" w:rsidP="00326B26">
            <w:pPr>
              <w:spacing w:after="0" w:line="240" w:lineRule="auto"/>
              <w:ind w:left="113"/>
              <w:jc w:val="left"/>
              <w:rPr>
                <w:rFonts w:ascii="Arial" w:hAnsi="Arial" w:cs="Arial"/>
                <w:sz w:val="16"/>
                <w:szCs w:val="16"/>
              </w:rPr>
            </w:pPr>
            <w:r w:rsidRPr="00794CC9">
              <w:rPr>
                <w:rFonts w:ascii="Arial" w:hAnsi="Arial" w:cs="Arial"/>
                <w:sz w:val="16"/>
                <w:szCs w:val="16"/>
              </w:rPr>
              <w:t>Gross book value - ROU assets</w:t>
            </w:r>
          </w:p>
        </w:tc>
        <w:tc>
          <w:tcPr>
            <w:tcW w:w="1157" w:type="dxa"/>
            <w:tcBorders>
              <w:top w:val="nil"/>
              <w:left w:val="nil"/>
              <w:bottom w:val="nil"/>
              <w:right w:val="nil"/>
            </w:tcBorders>
            <w:shd w:val="clear" w:color="auto" w:fill="auto"/>
            <w:noWrap/>
            <w:vAlign w:val="bottom"/>
            <w:hideMark/>
          </w:tcPr>
          <w:p w14:paraId="0A0B5EEA" w14:textId="79D3EDD5"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3,763</w:t>
            </w:r>
          </w:p>
        </w:tc>
        <w:tc>
          <w:tcPr>
            <w:tcW w:w="1252" w:type="dxa"/>
            <w:tcBorders>
              <w:top w:val="nil"/>
              <w:left w:val="nil"/>
              <w:bottom w:val="nil"/>
              <w:right w:val="nil"/>
            </w:tcBorders>
            <w:shd w:val="clear" w:color="auto" w:fill="auto"/>
            <w:noWrap/>
            <w:vAlign w:val="bottom"/>
            <w:hideMark/>
          </w:tcPr>
          <w:p w14:paraId="7144FB2C" w14:textId="7EB80AED"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7E64B3E8" w14:textId="42AF6A30"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3,763</w:t>
            </w:r>
          </w:p>
        </w:tc>
      </w:tr>
      <w:tr w:rsidR="00326B26" w:rsidRPr="00794CC9" w14:paraId="17445F68" w14:textId="77777777" w:rsidTr="009A11F4">
        <w:trPr>
          <w:trHeight w:val="204"/>
        </w:trPr>
        <w:tc>
          <w:tcPr>
            <w:tcW w:w="3969" w:type="dxa"/>
            <w:tcBorders>
              <w:top w:val="nil"/>
              <w:left w:val="nil"/>
              <w:bottom w:val="nil"/>
              <w:right w:val="nil"/>
            </w:tcBorders>
            <w:shd w:val="clear" w:color="auto" w:fill="auto"/>
            <w:vAlign w:val="center"/>
            <w:hideMark/>
          </w:tcPr>
          <w:p w14:paraId="3695111A" w14:textId="4F0DA3E8" w:rsidR="00326B26" w:rsidRPr="00794CC9" w:rsidRDefault="00326B26" w:rsidP="00326B26">
            <w:pPr>
              <w:spacing w:after="0" w:line="240" w:lineRule="auto"/>
              <w:ind w:left="113"/>
              <w:jc w:val="left"/>
              <w:rPr>
                <w:rFonts w:ascii="Arial" w:hAnsi="Arial" w:cs="Arial"/>
                <w:sz w:val="16"/>
                <w:szCs w:val="16"/>
              </w:rPr>
            </w:pPr>
            <w:r w:rsidRPr="00794CC9">
              <w:rPr>
                <w:rFonts w:ascii="Arial" w:hAnsi="Arial" w:cs="Arial"/>
                <w:sz w:val="16"/>
                <w:szCs w:val="16"/>
              </w:rPr>
              <w:t>Accumulated depreciation/amortisation and impairment</w:t>
            </w:r>
          </w:p>
        </w:tc>
        <w:tc>
          <w:tcPr>
            <w:tcW w:w="1157" w:type="dxa"/>
            <w:tcBorders>
              <w:top w:val="nil"/>
              <w:left w:val="nil"/>
              <w:bottom w:val="nil"/>
              <w:right w:val="nil"/>
            </w:tcBorders>
            <w:shd w:val="clear" w:color="auto" w:fill="auto"/>
            <w:noWrap/>
            <w:vAlign w:val="bottom"/>
            <w:hideMark/>
          </w:tcPr>
          <w:p w14:paraId="0FBDEBB0" w14:textId="7052B1A3"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w:t>
            </w:r>
          </w:p>
        </w:tc>
        <w:tc>
          <w:tcPr>
            <w:tcW w:w="1252" w:type="dxa"/>
            <w:tcBorders>
              <w:top w:val="nil"/>
              <w:left w:val="nil"/>
              <w:bottom w:val="nil"/>
              <w:right w:val="nil"/>
            </w:tcBorders>
            <w:shd w:val="clear" w:color="auto" w:fill="auto"/>
            <w:noWrap/>
            <w:vAlign w:val="bottom"/>
            <w:hideMark/>
          </w:tcPr>
          <w:p w14:paraId="04077F3B"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(1,377)</w:t>
            </w:r>
          </w:p>
        </w:tc>
        <w:tc>
          <w:tcPr>
            <w:tcW w:w="992" w:type="dxa"/>
            <w:tcBorders>
              <w:top w:val="nil"/>
              <w:left w:val="nil"/>
              <w:bottom w:val="nil"/>
              <w:right w:val="nil"/>
            </w:tcBorders>
            <w:shd w:val="clear" w:color="auto" w:fill="auto"/>
            <w:noWrap/>
            <w:vAlign w:val="bottom"/>
            <w:hideMark/>
          </w:tcPr>
          <w:p w14:paraId="2EA8A811"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(1,377)</w:t>
            </w:r>
          </w:p>
        </w:tc>
      </w:tr>
      <w:tr w:rsidR="00326B26" w:rsidRPr="00794CC9" w14:paraId="4D53C7F4" w14:textId="77777777" w:rsidTr="009A11F4">
        <w:trPr>
          <w:trHeight w:val="204"/>
        </w:trPr>
        <w:tc>
          <w:tcPr>
            <w:tcW w:w="3969" w:type="dxa"/>
            <w:tcBorders>
              <w:top w:val="nil"/>
              <w:left w:val="nil"/>
              <w:bottom w:val="nil"/>
              <w:right w:val="nil"/>
            </w:tcBorders>
            <w:shd w:val="clear" w:color="auto" w:fill="auto"/>
            <w:vAlign w:val="center"/>
            <w:hideMark/>
          </w:tcPr>
          <w:p w14:paraId="350CDA58" w14:textId="77777777" w:rsidR="00326B26" w:rsidRPr="00794CC9" w:rsidRDefault="00326B26" w:rsidP="00326B26">
            <w:pPr>
              <w:spacing w:after="0" w:line="240" w:lineRule="auto"/>
              <w:ind w:left="113"/>
              <w:jc w:val="left"/>
              <w:rPr>
                <w:rFonts w:ascii="Arial" w:hAnsi="Arial" w:cs="Arial"/>
                <w:sz w:val="16"/>
                <w:szCs w:val="16"/>
              </w:rPr>
            </w:pPr>
            <w:r w:rsidRPr="00794CC9">
              <w:rPr>
                <w:rFonts w:ascii="Arial" w:hAnsi="Arial" w:cs="Arial"/>
                <w:sz w:val="16"/>
                <w:szCs w:val="16"/>
              </w:rPr>
              <w:t>Accumulated depreciation/amortisation and impairment - ROU assets</w:t>
            </w:r>
          </w:p>
        </w:tc>
        <w:tc>
          <w:tcPr>
            <w:tcW w:w="1157" w:type="dxa"/>
            <w:tcBorders>
              <w:top w:val="nil"/>
              <w:left w:val="nil"/>
              <w:bottom w:val="nil"/>
              <w:right w:val="nil"/>
            </w:tcBorders>
            <w:shd w:val="clear" w:color="auto" w:fill="auto"/>
            <w:noWrap/>
            <w:vAlign w:val="bottom"/>
            <w:hideMark/>
          </w:tcPr>
          <w:p w14:paraId="49213956"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(1,278)</w:t>
            </w:r>
          </w:p>
        </w:tc>
        <w:tc>
          <w:tcPr>
            <w:tcW w:w="1252" w:type="dxa"/>
            <w:tcBorders>
              <w:top w:val="nil"/>
              <w:left w:val="nil"/>
              <w:bottom w:val="nil"/>
              <w:right w:val="nil"/>
            </w:tcBorders>
            <w:shd w:val="clear" w:color="auto" w:fill="auto"/>
            <w:noWrap/>
            <w:vAlign w:val="bottom"/>
            <w:hideMark/>
          </w:tcPr>
          <w:p w14:paraId="1AA16A24" w14:textId="0F828B91"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w:t>
            </w:r>
          </w:p>
        </w:tc>
        <w:tc>
          <w:tcPr>
            <w:tcW w:w="992" w:type="dxa"/>
            <w:tcBorders>
              <w:top w:val="nil"/>
              <w:left w:val="nil"/>
              <w:bottom w:val="nil"/>
              <w:right w:val="nil"/>
            </w:tcBorders>
            <w:shd w:val="clear" w:color="auto" w:fill="auto"/>
            <w:noWrap/>
            <w:vAlign w:val="bottom"/>
            <w:hideMark/>
          </w:tcPr>
          <w:p w14:paraId="3D71AF03" w14:textId="77777777" w:rsidR="00326B26" w:rsidRPr="00BF6F80" w:rsidRDefault="00326B26" w:rsidP="00326B26">
            <w:pPr>
              <w:spacing w:after="0" w:line="240" w:lineRule="auto"/>
              <w:jc w:val="right"/>
              <w:rPr>
                <w:rFonts w:ascii="Arial" w:hAnsi="Arial" w:cs="Arial"/>
                <w:sz w:val="16"/>
                <w:szCs w:val="16"/>
              </w:rPr>
            </w:pPr>
            <w:r w:rsidRPr="00BF6F80">
              <w:rPr>
                <w:rFonts w:ascii="Arial" w:hAnsi="Arial" w:cs="Arial"/>
                <w:sz w:val="16"/>
                <w:szCs w:val="16"/>
              </w:rPr>
              <w:t>(1,278)</w:t>
            </w:r>
          </w:p>
        </w:tc>
      </w:tr>
      <w:tr w:rsidR="00326B26" w:rsidRPr="00794CC9" w14:paraId="2E656A5B" w14:textId="77777777" w:rsidTr="009A11F4">
        <w:trPr>
          <w:trHeight w:val="204"/>
        </w:trPr>
        <w:tc>
          <w:tcPr>
            <w:tcW w:w="3969" w:type="dxa"/>
            <w:tcBorders>
              <w:top w:val="nil"/>
              <w:left w:val="nil"/>
              <w:bottom w:val="single" w:sz="4" w:space="0" w:color="auto"/>
              <w:right w:val="nil"/>
            </w:tcBorders>
            <w:shd w:val="clear" w:color="auto" w:fill="auto"/>
            <w:noWrap/>
            <w:vAlign w:val="bottom"/>
            <w:hideMark/>
          </w:tcPr>
          <w:p w14:paraId="222AA885" w14:textId="77777777" w:rsidR="00326B26" w:rsidRPr="00794CC9" w:rsidRDefault="00326B26" w:rsidP="00326B26">
            <w:pPr>
              <w:spacing w:after="0" w:line="240" w:lineRule="auto"/>
              <w:jc w:val="left"/>
              <w:rPr>
                <w:rFonts w:ascii="Arial" w:hAnsi="Arial" w:cs="Arial"/>
                <w:b/>
                <w:bCs/>
                <w:sz w:val="16"/>
                <w:szCs w:val="16"/>
              </w:rPr>
            </w:pPr>
            <w:r w:rsidRPr="00794CC9">
              <w:rPr>
                <w:rFonts w:ascii="Arial" w:hAnsi="Arial" w:cs="Arial"/>
                <w:b/>
                <w:bCs/>
                <w:sz w:val="16"/>
                <w:szCs w:val="16"/>
              </w:rPr>
              <w:t>Closing net book balance</w:t>
            </w:r>
          </w:p>
        </w:tc>
        <w:tc>
          <w:tcPr>
            <w:tcW w:w="1157" w:type="dxa"/>
            <w:tcBorders>
              <w:top w:val="single" w:sz="4" w:space="0" w:color="auto"/>
              <w:left w:val="nil"/>
              <w:bottom w:val="single" w:sz="4" w:space="0" w:color="auto"/>
              <w:right w:val="nil"/>
            </w:tcBorders>
            <w:shd w:val="clear" w:color="auto" w:fill="auto"/>
            <w:noWrap/>
            <w:vAlign w:val="bottom"/>
            <w:hideMark/>
          </w:tcPr>
          <w:p w14:paraId="598FB7BA" w14:textId="206C66D3"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2,485</w:t>
            </w:r>
          </w:p>
        </w:tc>
        <w:tc>
          <w:tcPr>
            <w:tcW w:w="1252" w:type="dxa"/>
            <w:tcBorders>
              <w:top w:val="single" w:sz="4" w:space="0" w:color="auto"/>
              <w:left w:val="nil"/>
              <w:bottom w:val="single" w:sz="4" w:space="0" w:color="auto"/>
              <w:right w:val="nil"/>
            </w:tcBorders>
            <w:shd w:val="clear" w:color="auto" w:fill="auto"/>
            <w:noWrap/>
            <w:vAlign w:val="bottom"/>
            <w:hideMark/>
          </w:tcPr>
          <w:p w14:paraId="79884A5C" w14:textId="3397D2C8"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955</w:t>
            </w:r>
          </w:p>
        </w:tc>
        <w:tc>
          <w:tcPr>
            <w:tcW w:w="992" w:type="dxa"/>
            <w:tcBorders>
              <w:top w:val="single" w:sz="4" w:space="0" w:color="auto"/>
              <w:left w:val="nil"/>
              <w:bottom w:val="single" w:sz="4" w:space="0" w:color="auto"/>
              <w:right w:val="nil"/>
            </w:tcBorders>
            <w:shd w:val="clear" w:color="auto" w:fill="auto"/>
            <w:noWrap/>
            <w:vAlign w:val="bottom"/>
            <w:hideMark/>
          </w:tcPr>
          <w:p w14:paraId="7C99ABEC" w14:textId="1A91AD1D" w:rsidR="00326B26" w:rsidRPr="00BF6F80" w:rsidRDefault="00326B26" w:rsidP="00326B26">
            <w:pPr>
              <w:spacing w:after="0" w:line="240" w:lineRule="auto"/>
              <w:jc w:val="right"/>
              <w:rPr>
                <w:rFonts w:ascii="Arial" w:hAnsi="Arial" w:cs="Arial"/>
                <w:b/>
                <w:bCs/>
                <w:sz w:val="16"/>
                <w:szCs w:val="16"/>
              </w:rPr>
            </w:pPr>
            <w:r w:rsidRPr="00BF6F80">
              <w:rPr>
                <w:rFonts w:ascii="Arial" w:hAnsi="Arial" w:cs="Arial"/>
                <w:b/>
                <w:bCs/>
                <w:sz w:val="16"/>
                <w:szCs w:val="16"/>
              </w:rPr>
              <w:t>3,440</w:t>
            </w:r>
          </w:p>
        </w:tc>
      </w:tr>
    </w:tbl>
    <w:p w14:paraId="7DECE3E4" w14:textId="42320EE7" w:rsidR="00C63902" w:rsidRPr="002E5D24" w:rsidRDefault="00C63902" w:rsidP="00B46EF9">
      <w:pPr>
        <w:pStyle w:val="Source"/>
        <w:spacing w:before="60"/>
        <w:jc w:val="left"/>
      </w:pPr>
      <w:r w:rsidRPr="00132F9E">
        <w:rPr>
          <w:rFonts w:cs="Arial"/>
          <w:szCs w:val="16"/>
        </w:rPr>
        <w:t>Prepared on Australian Accounting Standards basis.</w:t>
      </w:r>
    </w:p>
    <w:p w14:paraId="15FDAB47" w14:textId="77777777" w:rsidR="00914885" w:rsidRDefault="00914885" w:rsidP="00914885">
      <w:pPr>
        <w:rPr>
          <w:lang w:val="x-none"/>
        </w:rPr>
      </w:pPr>
    </w:p>
    <w:p w14:paraId="3FA08840" w14:textId="77777777" w:rsidR="00914885" w:rsidRPr="00BA015C" w:rsidRDefault="00914885" w:rsidP="00914885">
      <w:pPr>
        <w:rPr>
          <w:lang w:val="x-none"/>
        </w:rPr>
        <w:sectPr w:rsidR="00914885" w:rsidRPr="00BA015C" w:rsidSect="009A11F4">
          <w:headerReference w:type="even" r:id="rId128"/>
          <w:headerReference w:type="default" r:id="rId129"/>
          <w:footerReference w:type="even" r:id="rId130"/>
          <w:footerReference w:type="default" r:id="rId131"/>
          <w:headerReference w:type="first" r:id="rId132"/>
          <w:footerReference w:type="first" r:id="rId133"/>
          <w:type w:val="oddPage"/>
          <w:pgSz w:w="11907" w:h="16840" w:code="9"/>
          <w:pgMar w:top="2466" w:right="2098" w:bottom="2466" w:left="2098" w:header="1814" w:footer="1814" w:gutter="0"/>
          <w:cols w:space="708"/>
          <w:titlePg/>
          <w:docGrid w:linePitch="360"/>
        </w:sectPr>
      </w:pPr>
    </w:p>
    <w:p w14:paraId="2C5842EE" w14:textId="6DEF1D01" w:rsidR="00484CB3" w:rsidRDefault="00C46874" w:rsidP="00F37CD1">
      <w:pPr>
        <w:pStyle w:val="Heading1"/>
      </w:pPr>
      <w:bookmarkStart w:id="539" w:name="_Toc94198478"/>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lastRenderedPageBreak/>
        <w:t xml:space="preserve">Portfolio </w:t>
      </w:r>
      <w:r w:rsidRPr="00F37CD1">
        <w:t>glossary</w:t>
      </w:r>
      <w:bookmarkEnd w:id="539"/>
    </w:p>
    <w:p w14:paraId="510C7B4D" w14:textId="77B06753" w:rsidR="00C46874" w:rsidRDefault="00C46874" w:rsidP="00C46874">
      <w:pPr>
        <w:pStyle w:val="ExampleText"/>
      </w:pPr>
    </w:p>
    <w:tbl>
      <w:tblPr>
        <w:tblW w:w="7700" w:type="dxa"/>
        <w:tblInd w:w="108" w:type="dxa"/>
        <w:tblLook w:val="01E0" w:firstRow="1" w:lastRow="1" w:firstColumn="1" w:lastColumn="1" w:noHBand="0" w:noVBand="0"/>
      </w:tblPr>
      <w:tblGrid>
        <w:gridCol w:w="2586"/>
        <w:gridCol w:w="5114"/>
      </w:tblGrid>
      <w:tr w:rsidR="00FE1F21" w:rsidRPr="009239BA" w14:paraId="60991400" w14:textId="77777777" w:rsidTr="00FE1F21">
        <w:trPr>
          <w:tblHeader/>
        </w:trPr>
        <w:tc>
          <w:tcPr>
            <w:tcW w:w="2586" w:type="dxa"/>
          </w:tcPr>
          <w:p w14:paraId="01DFCFC5" w14:textId="77777777" w:rsidR="00FE1F21" w:rsidRPr="009239BA" w:rsidRDefault="00FE1F21" w:rsidP="00594324">
            <w:pPr>
              <w:spacing w:before="120" w:after="120" w:line="240" w:lineRule="auto"/>
              <w:jc w:val="left"/>
              <w:rPr>
                <w:rFonts w:ascii="Arial" w:hAnsi="Arial"/>
                <w:b/>
              </w:rPr>
            </w:pPr>
            <w:r w:rsidRPr="009239BA">
              <w:rPr>
                <w:rFonts w:ascii="Arial" w:hAnsi="Arial"/>
                <w:b/>
              </w:rPr>
              <w:t>Term</w:t>
            </w:r>
          </w:p>
        </w:tc>
        <w:tc>
          <w:tcPr>
            <w:tcW w:w="5114" w:type="dxa"/>
          </w:tcPr>
          <w:p w14:paraId="02325950" w14:textId="77777777" w:rsidR="00FE1F21" w:rsidRPr="009239BA" w:rsidRDefault="00FE1F21" w:rsidP="00594324">
            <w:pPr>
              <w:spacing w:before="120" w:after="120" w:line="240" w:lineRule="auto"/>
              <w:jc w:val="left"/>
              <w:rPr>
                <w:rFonts w:ascii="Arial" w:hAnsi="Arial"/>
                <w:b/>
              </w:rPr>
            </w:pPr>
            <w:r w:rsidRPr="009239BA">
              <w:rPr>
                <w:rFonts w:ascii="Arial" w:hAnsi="Arial"/>
                <w:b/>
              </w:rPr>
              <w:t>Meaning</w:t>
            </w:r>
          </w:p>
        </w:tc>
      </w:tr>
      <w:tr w:rsidR="00FE1F21" w:rsidRPr="009239BA" w14:paraId="0250AA59" w14:textId="77777777" w:rsidTr="00FE1F21">
        <w:tc>
          <w:tcPr>
            <w:tcW w:w="2586" w:type="dxa"/>
          </w:tcPr>
          <w:p w14:paraId="6BA12ED7" w14:textId="77777777" w:rsidR="00FE1F21" w:rsidRPr="009239BA" w:rsidRDefault="00FE1F21" w:rsidP="00594324">
            <w:pPr>
              <w:spacing w:before="120" w:after="120" w:line="240" w:lineRule="auto"/>
              <w:jc w:val="left"/>
              <w:rPr>
                <w:lang w:eastAsia="en-US"/>
              </w:rPr>
            </w:pPr>
            <w:r w:rsidRPr="009239BA">
              <w:rPr>
                <w:lang w:eastAsia="en-US"/>
              </w:rPr>
              <w:t>Accrual Accounting</w:t>
            </w:r>
          </w:p>
        </w:tc>
        <w:tc>
          <w:tcPr>
            <w:tcW w:w="5114" w:type="dxa"/>
          </w:tcPr>
          <w:p w14:paraId="218EE76B" w14:textId="77777777" w:rsidR="00FE1F21" w:rsidRPr="009239BA" w:rsidRDefault="00FE1F21" w:rsidP="00594324">
            <w:pPr>
              <w:spacing w:before="120" w:after="120" w:line="240" w:lineRule="auto"/>
              <w:jc w:val="left"/>
              <w:rPr>
                <w:lang w:eastAsia="en-US"/>
              </w:rPr>
            </w:pPr>
            <w:r w:rsidRPr="009239BA">
              <w:rPr>
                <w:lang w:eastAsia="en-US"/>
              </w:rPr>
              <w:t xml:space="preserve">The system of accounting where items are brought to account and included in the financial statements as they are earned or incurred, rather than as they are received or paid. </w:t>
            </w:r>
          </w:p>
        </w:tc>
      </w:tr>
      <w:tr w:rsidR="00FE1F21" w:rsidRPr="009239BA" w14:paraId="02C5A775" w14:textId="77777777" w:rsidTr="00FE1F21">
        <w:tc>
          <w:tcPr>
            <w:tcW w:w="2586" w:type="dxa"/>
          </w:tcPr>
          <w:p w14:paraId="6BA3CDD4" w14:textId="77777777" w:rsidR="00FE1F21" w:rsidRPr="009239BA" w:rsidRDefault="00FE1F21" w:rsidP="00594324">
            <w:pPr>
              <w:spacing w:before="120" w:after="120" w:line="240" w:lineRule="auto"/>
              <w:jc w:val="left"/>
              <w:rPr>
                <w:lang w:eastAsia="en-US"/>
              </w:rPr>
            </w:pPr>
            <w:r w:rsidRPr="009239BA">
              <w:rPr>
                <w:lang w:eastAsia="en-US"/>
              </w:rPr>
              <w:t>Accumulated Depreciation</w:t>
            </w:r>
          </w:p>
        </w:tc>
        <w:tc>
          <w:tcPr>
            <w:tcW w:w="5114" w:type="dxa"/>
          </w:tcPr>
          <w:p w14:paraId="061C3263" w14:textId="77777777" w:rsidR="00FE1F21" w:rsidRPr="009239BA" w:rsidRDefault="00FE1F21" w:rsidP="00594324">
            <w:pPr>
              <w:spacing w:before="120" w:after="120" w:line="240" w:lineRule="auto"/>
              <w:jc w:val="left"/>
              <w:rPr>
                <w:lang w:eastAsia="en-US"/>
              </w:rPr>
            </w:pPr>
            <w:r w:rsidRPr="009239BA">
              <w:rPr>
                <w:lang w:eastAsia="en-US"/>
              </w:rPr>
              <w:t xml:space="preserve">The aggregate depreciation recorded for a particular depreciating asset. </w:t>
            </w:r>
          </w:p>
        </w:tc>
      </w:tr>
      <w:tr w:rsidR="00FE1F21" w:rsidRPr="009239BA" w14:paraId="7AAAFB5D" w14:textId="77777777" w:rsidTr="00FE1F21">
        <w:tc>
          <w:tcPr>
            <w:tcW w:w="2586" w:type="dxa"/>
          </w:tcPr>
          <w:p w14:paraId="73B5DC69" w14:textId="77777777" w:rsidR="00FE1F21" w:rsidRPr="009239BA" w:rsidRDefault="00FE1F21" w:rsidP="00594324">
            <w:pPr>
              <w:spacing w:before="120" w:after="120" w:line="240" w:lineRule="auto"/>
              <w:jc w:val="left"/>
              <w:rPr>
                <w:lang w:eastAsia="en-US"/>
              </w:rPr>
            </w:pPr>
            <w:r w:rsidRPr="009239BA">
              <w:rPr>
                <w:lang w:eastAsia="en-US"/>
              </w:rPr>
              <w:t>Activities</w:t>
            </w:r>
          </w:p>
        </w:tc>
        <w:tc>
          <w:tcPr>
            <w:tcW w:w="5114" w:type="dxa"/>
          </w:tcPr>
          <w:p w14:paraId="22D5AF18" w14:textId="77777777" w:rsidR="00FE1F21" w:rsidRPr="009239BA" w:rsidRDefault="00FE1F21" w:rsidP="00594324">
            <w:pPr>
              <w:spacing w:before="120" w:after="120" w:line="240" w:lineRule="auto"/>
              <w:jc w:val="left"/>
              <w:rPr>
                <w:lang w:eastAsia="en-US"/>
              </w:rPr>
            </w:pPr>
            <w:r w:rsidRPr="009239BA">
              <w:rPr>
                <w:lang w:eastAsia="en-US"/>
              </w:rPr>
              <w:t>The actions/functions performed by entities to deliver government policies.</w:t>
            </w:r>
          </w:p>
        </w:tc>
      </w:tr>
      <w:tr w:rsidR="00FE1F21" w:rsidRPr="009239BA" w14:paraId="6034338E" w14:textId="77777777" w:rsidTr="00FE1F21">
        <w:tc>
          <w:tcPr>
            <w:tcW w:w="2586" w:type="dxa"/>
          </w:tcPr>
          <w:p w14:paraId="0C7A2236" w14:textId="77777777" w:rsidR="00FE1F21" w:rsidRPr="009239BA" w:rsidRDefault="00FE1F21" w:rsidP="00594324">
            <w:pPr>
              <w:spacing w:before="120" w:after="120" w:line="240" w:lineRule="auto"/>
              <w:jc w:val="left"/>
              <w:rPr>
                <w:lang w:eastAsia="en-US"/>
              </w:rPr>
            </w:pPr>
            <w:r w:rsidRPr="009239BA">
              <w:rPr>
                <w:lang w:eastAsia="en-US"/>
              </w:rPr>
              <w:t xml:space="preserve">Additional Estimates </w:t>
            </w:r>
          </w:p>
        </w:tc>
        <w:tc>
          <w:tcPr>
            <w:tcW w:w="5114" w:type="dxa"/>
          </w:tcPr>
          <w:p w14:paraId="447F3C2C" w14:textId="77777777" w:rsidR="00FE1F21" w:rsidRPr="009239BA" w:rsidRDefault="00FE1F21" w:rsidP="00594324">
            <w:pPr>
              <w:spacing w:before="120" w:after="120" w:line="240" w:lineRule="auto"/>
              <w:jc w:val="left"/>
              <w:rPr>
                <w:lang w:eastAsia="en-US"/>
              </w:rPr>
            </w:pPr>
            <w:r w:rsidRPr="009239BA">
              <w:rPr>
                <w:lang w:eastAsia="en-US"/>
              </w:rPr>
              <w:t xml:space="preserve">Where amounts appropriated at Budget time are insufficient, Parliament may appropriate more funds to portfolios through the Additional Estimates Appropriation Acts. </w:t>
            </w:r>
          </w:p>
        </w:tc>
      </w:tr>
      <w:tr w:rsidR="00FE1F21" w:rsidRPr="009239BA" w14:paraId="1C915CF2" w14:textId="77777777" w:rsidTr="00FE1F21">
        <w:tc>
          <w:tcPr>
            <w:tcW w:w="2586" w:type="dxa"/>
          </w:tcPr>
          <w:p w14:paraId="4DAACB0B" w14:textId="77777777" w:rsidR="00FE1F21" w:rsidRPr="009239BA" w:rsidRDefault="00FE1F21" w:rsidP="00594324">
            <w:pPr>
              <w:spacing w:before="120" w:after="120" w:line="240" w:lineRule="auto"/>
              <w:jc w:val="left"/>
              <w:rPr>
                <w:lang w:eastAsia="en-US"/>
              </w:rPr>
            </w:pPr>
            <w:r w:rsidRPr="009239BA">
              <w:rPr>
                <w:lang w:eastAsia="en-US"/>
              </w:rPr>
              <w:t>Administered Items</w:t>
            </w:r>
          </w:p>
        </w:tc>
        <w:tc>
          <w:tcPr>
            <w:tcW w:w="5114" w:type="dxa"/>
          </w:tcPr>
          <w:p w14:paraId="2C3C3386" w14:textId="77777777" w:rsidR="00FE1F21" w:rsidRPr="009239BA" w:rsidRDefault="00FE1F21" w:rsidP="00594324">
            <w:pPr>
              <w:spacing w:before="120" w:after="120" w:line="240" w:lineRule="auto"/>
              <w:jc w:val="left"/>
              <w:rPr>
                <w:lang w:eastAsia="en-US"/>
              </w:rPr>
            </w:pPr>
            <w:r w:rsidRPr="009239BA">
              <w:rPr>
                <w:lang w:eastAsia="en-US"/>
              </w:rPr>
              <w:t>The expenses, revenues, assets or liabilities managed by agencies on behalf of the Commonwealth. Agencies do not control administered items. Administered expenses include grants, subsidies and benefits. In many cases, administered expenses fund the delivery of third party outputs.</w:t>
            </w:r>
          </w:p>
        </w:tc>
      </w:tr>
      <w:tr w:rsidR="00FE1F21" w:rsidRPr="009239BA" w14:paraId="67ACACB0" w14:textId="77777777" w:rsidTr="00FE1F21">
        <w:tc>
          <w:tcPr>
            <w:tcW w:w="2586" w:type="dxa"/>
          </w:tcPr>
          <w:p w14:paraId="0FA76B69" w14:textId="77777777" w:rsidR="00FE1F21" w:rsidRPr="009239BA" w:rsidRDefault="00FE1F21" w:rsidP="00594324">
            <w:pPr>
              <w:spacing w:before="120" w:after="120" w:line="240" w:lineRule="auto"/>
              <w:jc w:val="left"/>
              <w:rPr>
                <w:lang w:eastAsia="en-US"/>
              </w:rPr>
            </w:pPr>
            <w:r w:rsidRPr="009239BA">
              <w:rPr>
                <w:lang w:eastAsia="en-US"/>
              </w:rPr>
              <w:t>Administrative Arrangements Order</w:t>
            </w:r>
          </w:p>
        </w:tc>
        <w:tc>
          <w:tcPr>
            <w:tcW w:w="5114" w:type="dxa"/>
          </w:tcPr>
          <w:p w14:paraId="24D0572A" w14:textId="76B06E86" w:rsidR="00FE1F21" w:rsidRPr="009239BA" w:rsidRDefault="00FE1F21" w:rsidP="00594324">
            <w:pPr>
              <w:spacing w:before="120" w:after="120" w:line="240" w:lineRule="auto"/>
              <w:jc w:val="left"/>
              <w:rPr>
                <w:lang w:eastAsia="en-US"/>
              </w:rPr>
            </w:pPr>
            <w:r w:rsidRPr="009239BA">
              <w:rPr>
                <w:lang w:eastAsia="en-US"/>
              </w:rPr>
              <w:t xml:space="preserve">The functions and activities of the government are administered in accordance with an administrative arrangement order (AAO) issued from time to time by the Government and signed by the Governor-General. An AAO establishes the principal matters or government outcomes to be dealt with by each </w:t>
            </w:r>
            <w:r w:rsidR="008863D9">
              <w:rPr>
                <w:lang w:eastAsia="en-US"/>
              </w:rPr>
              <w:t>Department</w:t>
            </w:r>
            <w:r w:rsidRPr="009239BA">
              <w:rPr>
                <w:lang w:eastAsia="en-US"/>
              </w:rPr>
              <w:t xml:space="preserve"> of state, and the Acts of Parliament to be administered by each minister.</w:t>
            </w:r>
          </w:p>
        </w:tc>
      </w:tr>
      <w:tr w:rsidR="00E576E2" w:rsidRPr="00B94E5D" w14:paraId="0F5294F2" w14:textId="77777777" w:rsidTr="00E576E2">
        <w:tc>
          <w:tcPr>
            <w:tcW w:w="2586" w:type="dxa"/>
          </w:tcPr>
          <w:p w14:paraId="3D017E63" w14:textId="77777777" w:rsidR="00E576E2" w:rsidRPr="00B94E5D" w:rsidRDefault="00E576E2" w:rsidP="00E576E2">
            <w:pPr>
              <w:jc w:val="left"/>
              <w:rPr>
                <w:lang w:eastAsia="en-US"/>
              </w:rPr>
            </w:pPr>
            <w:r w:rsidRPr="00B94E5D">
              <w:rPr>
                <w:lang w:eastAsia="en-US"/>
              </w:rPr>
              <w:t>Administered Capital Budgets</w:t>
            </w:r>
            <w:r>
              <w:rPr>
                <w:lang w:eastAsia="en-US"/>
              </w:rPr>
              <w:t xml:space="preserve"> (ACB)</w:t>
            </w:r>
          </w:p>
        </w:tc>
        <w:tc>
          <w:tcPr>
            <w:tcW w:w="5114" w:type="dxa"/>
          </w:tcPr>
          <w:p w14:paraId="7D5A6145" w14:textId="688C7031" w:rsidR="00E576E2" w:rsidRPr="00B94E5D" w:rsidRDefault="00E576E2" w:rsidP="000672C0">
            <w:pPr>
              <w:rPr>
                <w:lang w:eastAsia="en-US"/>
              </w:rPr>
            </w:pPr>
            <w:r w:rsidRPr="00B94E5D">
              <w:rPr>
                <w:lang w:eastAsia="en-US"/>
              </w:rPr>
              <w:t>Administered Capital Budgets</w:t>
            </w:r>
            <w:r w:rsidR="00B577F1">
              <w:rPr>
                <w:lang w:eastAsia="en-US"/>
              </w:rPr>
              <w:t xml:space="preserve"> (or </w:t>
            </w:r>
            <w:r w:rsidR="008863D9">
              <w:rPr>
                <w:lang w:eastAsia="en-US"/>
              </w:rPr>
              <w:t>Department</w:t>
            </w:r>
            <w:r w:rsidR="00B577F1">
              <w:rPr>
                <w:lang w:eastAsia="en-US"/>
              </w:rPr>
              <w:t xml:space="preserve">al) </w:t>
            </w:r>
            <w:r>
              <w:rPr>
                <w:lang w:eastAsia="en-US"/>
              </w:rPr>
              <w:t>(ACB</w:t>
            </w:r>
            <w:r w:rsidR="00B577F1">
              <w:rPr>
                <w:lang w:eastAsia="en-US"/>
              </w:rPr>
              <w:t>/DCB</w:t>
            </w:r>
            <w:r>
              <w:rPr>
                <w:lang w:eastAsia="en-US"/>
              </w:rPr>
              <w:t xml:space="preserve">) </w:t>
            </w:r>
            <w:r w:rsidRPr="00B94E5D">
              <w:rPr>
                <w:lang w:eastAsia="en-US"/>
              </w:rPr>
              <w:t xml:space="preserve">are provided to non-corporate entities (as an equity injection) that receive government funding to meet the costs associated with the replacement of minor assets (assets valued at $10 million or less) or maintenance costs that are eligible to be capitalised. </w:t>
            </w:r>
          </w:p>
        </w:tc>
      </w:tr>
      <w:tr w:rsidR="00FE1F21" w:rsidRPr="009239BA" w14:paraId="7D065F92" w14:textId="77777777" w:rsidTr="00FE1F21">
        <w:tc>
          <w:tcPr>
            <w:tcW w:w="2586" w:type="dxa"/>
          </w:tcPr>
          <w:p w14:paraId="6669D23F" w14:textId="77777777" w:rsidR="00FE1F21" w:rsidRPr="009239BA" w:rsidRDefault="00FE1F21" w:rsidP="00594324">
            <w:pPr>
              <w:spacing w:before="120" w:after="120" w:line="240" w:lineRule="auto"/>
              <w:jc w:val="left"/>
              <w:rPr>
                <w:lang w:eastAsia="en-US"/>
              </w:rPr>
            </w:pPr>
            <w:r w:rsidRPr="009239BA">
              <w:rPr>
                <w:lang w:eastAsia="en-US"/>
              </w:rPr>
              <w:lastRenderedPageBreak/>
              <w:t>Appropriation</w:t>
            </w:r>
          </w:p>
        </w:tc>
        <w:tc>
          <w:tcPr>
            <w:tcW w:w="5114" w:type="dxa"/>
          </w:tcPr>
          <w:p w14:paraId="04B3B3D3" w14:textId="780DE569" w:rsidR="00FE1F21" w:rsidRPr="009239BA" w:rsidRDefault="00FE1F21" w:rsidP="000672C0">
            <w:pPr>
              <w:spacing w:before="120" w:after="120" w:line="240" w:lineRule="auto"/>
              <w:jc w:val="left"/>
              <w:rPr>
                <w:lang w:eastAsia="en-US"/>
              </w:rPr>
            </w:pPr>
            <w:r w:rsidRPr="009239BA">
              <w:rPr>
                <w:lang w:eastAsia="en-US"/>
              </w:rPr>
              <w:t>An authorisation by Parliament to spend moneys from the Consolidated Revenue Fund for a particular purpose. Annual Appropriation Acts provide annual funding for government operations and programs; for investment in assets; or to reduce liabilities. Bills proposing appropriations for the forthcoming financial year are introduced into Parliament on Budget Night. The annual Appropriation Bills propose specified amounts of appropriation for expenditure by entities to carry out the government’s outcomes.</w:t>
            </w:r>
          </w:p>
        </w:tc>
      </w:tr>
      <w:tr w:rsidR="00FE1F21" w:rsidRPr="009239BA" w14:paraId="5AC4B2C2" w14:textId="77777777" w:rsidTr="00FE1F21">
        <w:tc>
          <w:tcPr>
            <w:tcW w:w="2586" w:type="dxa"/>
          </w:tcPr>
          <w:p w14:paraId="788D4D89" w14:textId="77777777" w:rsidR="00FE1F21" w:rsidRPr="009239BA" w:rsidRDefault="00FE1F21" w:rsidP="00594324">
            <w:pPr>
              <w:spacing w:before="120" w:after="120" w:line="240" w:lineRule="auto"/>
              <w:jc w:val="left"/>
              <w:rPr>
                <w:lang w:eastAsia="en-US"/>
              </w:rPr>
            </w:pPr>
            <w:r w:rsidRPr="009239BA">
              <w:rPr>
                <w:lang w:eastAsia="en-US"/>
              </w:rPr>
              <w:t>Budget Paper 1 (BP1)</w:t>
            </w:r>
          </w:p>
        </w:tc>
        <w:tc>
          <w:tcPr>
            <w:tcW w:w="5114" w:type="dxa"/>
          </w:tcPr>
          <w:p w14:paraId="5FE47761" w14:textId="77777777" w:rsidR="00FE1F21" w:rsidRPr="009239BA" w:rsidRDefault="00FE1F21" w:rsidP="00594324">
            <w:pPr>
              <w:spacing w:before="120" w:after="120" w:line="240" w:lineRule="auto"/>
              <w:jc w:val="left"/>
              <w:rPr>
                <w:lang w:eastAsia="en-US"/>
              </w:rPr>
            </w:pPr>
            <w:r w:rsidRPr="009239BA">
              <w:rPr>
                <w:lang w:eastAsia="en-US"/>
              </w:rPr>
              <w:t>The Budget Strategy and Outlook – provides an overview of the economic and fiscal outlook, summarises the Government’s fiscal strategy, and outlines key Budget priorities.</w:t>
            </w:r>
          </w:p>
        </w:tc>
      </w:tr>
      <w:tr w:rsidR="00FE1F21" w:rsidRPr="009239BA" w14:paraId="004669F5" w14:textId="77777777" w:rsidTr="00FE1F21">
        <w:tc>
          <w:tcPr>
            <w:tcW w:w="2586" w:type="dxa"/>
          </w:tcPr>
          <w:p w14:paraId="470A933E" w14:textId="77777777" w:rsidR="00FE1F21" w:rsidRPr="009239BA" w:rsidRDefault="00FE1F21" w:rsidP="00594324">
            <w:pPr>
              <w:spacing w:before="120" w:after="120" w:line="240" w:lineRule="auto"/>
              <w:jc w:val="left"/>
              <w:rPr>
                <w:lang w:eastAsia="en-US"/>
              </w:rPr>
            </w:pPr>
            <w:r w:rsidRPr="009239BA">
              <w:rPr>
                <w:lang w:eastAsia="en-US"/>
              </w:rPr>
              <w:t>Budget Paper 2 (BP2)</w:t>
            </w:r>
          </w:p>
        </w:tc>
        <w:tc>
          <w:tcPr>
            <w:tcW w:w="5114" w:type="dxa"/>
          </w:tcPr>
          <w:p w14:paraId="7BBF9866" w14:textId="77777777" w:rsidR="00FE1F21" w:rsidRPr="009239BA" w:rsidRDefault="00FE1F21" w:rsidP="00594324">
            <w:pPr>
              <w:spacing w:before="120" w:after="120" w:line="240" w:lineRule="auto"/>
              <w:jc w:val="left"/>
              <w:rPr>
                <w:lang w:eastAsia="en-US"/>
              </w:rPr>
            </w:pPr>
            <w:r w:rsidRPr="009239BA">
              <w:rPr>
                <w:lang w:eastAsia="en-US"/>
              </w:rPr>
              <w:t>The Budget Measures – provides comprehensive information on all government decisions that involve changes to its receipt and payment activities since the last Economic and Fiscal Update.</w:t>
            </w:r>
          </w:p>
        </w:tc>
      </w:tr>
      <w:tr w:rsidR="00FE1F21" w:rsidRPr="009239BA" w14:paraId="0C39F138" w14:textId="77777777" w:rsidTr="00FE1F21">
        <w:tc>
          <w:tcPr>
            <w:tcW w:w="2586" w:type="dxa"/>
          </w:tcPr>
          <w:p w14:paraId="285B9ADF" w14:textId="77777777" w:rsidR="00FE1F21" w:rsidRPr="009239BA" w:rsidRDefault="00FE1F21" w:rsidP="00594324">
            <w:pPr>
              <w:spacing w:before="120" w:after="120" w:line="240" w:lineRule="auto"/>
              <w:jc w:val="left"/>
              <w:rPr>
                <w:lang w:eastAsia="en-US"/>
              </w:rPr>
            </w:pPr>
            <w:r w:rsidRPr="009239BA">
              <w:rPr>
                <w:lang w:eastAsia="en-US"/>
              </w:rPr>
              <w:t>Budget Paper 3 (BP3)</w:t>
            </w:r>
          </w:p>
        </w:tc>
        <w:tc>
          <w:tcPr>
            <w:tcW w:w="5114" w:type="dxa"/>
          </w:tcPr>
          <w:p w14:paraId="5D511FB3" w14:textId="77777777" w:rsidR="00FE1F21" w:rsidRPr="009239BA" w:rsidRDefault="00FE1F21" w:rsidP="00594324">
            <w:pPr>
              <w:spacing w:before="120" w:after="120" w:line="240" w:lineRule="auto"/>
              <w:jc w:val="left"/>
              <w:rPr>
                <w:lang w:eastAsia="en-US"/>
              </w:rPr>
            </w:pPr>
            <w:r w:rsidRPr="009239BA">
              <w:rPr>
                <w:lang w:eastAsia="en-US"/>
              </w:rPr>
              <w:t>Federal Financial Relations – includes information on revenue provision and payments (GST and specific purpose payments), as well as an overview of fiscal developments in the states and territories.</w:t>
            </w:r>
          </w:p>
        </w:tc>
      </w:tr>
      <w:tr w:rsidR="00FE1F21" w:rsidRPr="009239BA" w14:paraId="2E0BFE96" w14:textId="77777777" w:rsidTr="00FE1F21">
        <w:tc>
          <w:tcPr>
            <w:tcW w:w="2586" w:type="dxa"/>
          </w:tcPr>
          <w:p w14:paraId="25E7A6FF" w14:textId="77777777" w:rsidR="00FE1F21" w:rsidRPr="009239BA" w:rsidRDefault="00FE1F21" w:rsidP="00594324">
            <w:pPr>
              <w:spacing w:before="120" w:after="120" w:line="240" w:lineRule="auto"/>
              <w:jc w:val="left"/>
              <w:rPr>
                <w:lang w:eastAsia="en-US"/>
              </w:rPr>
            </w:pPr>
            <w:r w:rsidRPr="009239BA">
              <w:rPr>
                <w:lang w:eastAsia="en-US"/>
              </w:rPr>
              <w:t>Budget Paper 4 (BP4)</w:t>
            </w:r>
          </w:p>
        </w:tc>
        <w:tc>
          <w:tcPr>
            <w:tcW w:w="5114" w:type="dxa"/>
          </w:tcPr>
          <w:p w14:paraId="42FE3A36" w14:textId="77777777" w:rsidR="00FE1F21" w:rsidRPr="009239BA" w:rsidRDefault="00FE1F21" w:rsidP="00594324">
            <w:pPr>
              <w:spacing w:before="120" w:after="120" w:line="240" w:lineRule="auto"/>
              <w:jc w:val="left"/>
              <w:rPr>
                <w:lang w:eastAsia="en-US"/>
              </w:rPr>
            </w:pPr>
            <w:r w:rsidRPr="009239BA">
              <w:rPr>
                <w:lang w:eastAsia="en-US"/>
              </w:rPr>
              <w:t>Agency Resourcing – shows, for each entity, estimated expenses for each special appropriation act, estimated balances and flows for all special accounts, estimated resourcing by type of appropriation, and estimated average staffing levels in the public sector.</w:t>
            </w:r>
          </w:p>
        </w:tc>
      </w:tr>
      <w:tr w:rsidR="00FE1F21" w:rsidRPr="009239BA" w14:paraId="1E2B57B5" w14:textId="77777777" w:rsidTr="00FE1F21">
        <w:tc>
          <w:tcPr>
            <w:tcW w:w="2586" w:type="dxa"/>
          </w:tcPr>
          <w:p w14:paraId="1D329996" w14:textId="77777777" w:rsidR="00FE1F21" w:rsidRPr="009239BA" w:rsidRDefault="00FE1F21" w:rsidP="00594324">
            <w:pPr>
              <w:spacing w:before="120" w:after="120" w:line="240" w:lineRule="auto"/>
              <w:jc w:val="left"/>
              <w:rPr>
                <w:lang w:eastAsia="en-US"/>
              </w:rPr>
            </w:pPr>
            <w:r w:rsidRPr="009239BA">
              <w:rPr>
                <w:lang w:eastAsia="en-US"/>
              </w:rPr>
              <w:t>Capital Expenditure</w:t>
            </w:r>
          </w:p>
        </w:tc>
        <w:tc>
          <w:tcPr>
            <w:tcW w:w="5114" w:type="dxa"/>
          </w:tcPr>
          <w:p w14:paraId="393AC1D8" w14:textId="77777777" w:rsidR="00FE1F21" w:rsidRPr="009239BA" w:rsidRDefault="00FE1F21" w:rsidP="00594324">
            <w:pPr>
              <w:spacing w:before="120" w:after="120" w:line="240" w:lineRule="auto"/>
              <w:jc w:val="left"/>
              <w:rPr>
                <w:lang w:eastAsia="en-US"/>
              </w:rPr>
            </w:pPr>
            <w:r w:rsidRPr="009239BA">
              <w:rPr>
                <w:lang w:eastAsia="en-US"/>
              </w:rPr>
              <w:t>Expenditure by an agency on capital projects, for example, purchasing a building.</w:t>
            </w:r>
          </w:p>
        </w:tc>
      </w:tr>
      <w:tr w:rsidR="00FE1F21" w:rsidRPr="009239BA" w14:paraId="3552A4B5" w14:textId="77777777" w:rsidTr="00FE1F21">
        <w:tc>
          <w:tcPr>
            <w:tcW w:w="2586" w:type="dxa"/>
          </w:tcPr>
          <w:p w14:paraId="7FD0853B" w14:textId="77777777" w:rsidR="00FE1F21" w:rsidRPr="009239BA" w:rsidRDefault="00FE1F21" w:rsidP="00594324">
            <w:pPr>
              <w:spacing w:before="120" w:after="120" w:line="240" w:lineRule="auto"/>
              <w:jc w:val="left"/>
              <w:rPr>
                <w:lang w:eastAsia="en-US"/>
              </w:rPr>
            </w:pPr>
            <w:r w:rsidRPr="009239BA">
              <w:rPr>
                <w:lang w:eastAsia="en-US"/>
              </w:rPr>
              <w:t>Consolidated Revenue Fund (CRF)</w:t>
            </w:r>
          </w:p>
        </w:tc>
        <w:tc>
          <w:tcPr>
            <w:tcW w:w="5114" w:type="dxa"/>
          </w:tcPr>
          <w:p w14:paraId="7D941766" w14:textId="77777777" w:rsidR="00FE1F21" w:rsidRPr="009239BA" w:rsidRDefault="00FE1F21" w:rsidP="00594324">
            <w:pPr>
              <w:spacing w:before="120" w:after="120" w:line="240" w:lineRule="auto"/>
              <w:jc w:val="left"/>
              <w:rPr>
                <w:lang w:eastAsia="en-US"/>
              </w:rPr>
            </w:pPr>
            <w:r w:rsidRPr="009239BA">
              <w:rPr>
                <w:lang w:eastAsia="en-US"/>
              </w:rPr>
              <w:t xml:space="preserve">Section 81 of the </w:t>
            </w:r>
            <w:r w:rsidRPr="009239BA">
              <w:rPr>
                <w:i/>
                <w:lang w:eastAsia="en-US"/>
              </w:rPr>
              <w:t>Constitution</w:t>
            </w:r>
            <w:r w:rsidRPr="009239BA">
              <w:rPr>
                <w:lang w:eastAsia="en-US"/>
              </w:rPr>
              <w:t xml:space="preserve"> stipulates that all revenue raised or money received by the Commonwealth forms the one Consolidated Revenue Fund (CRF). The CRF is not a bank account. The Official Public Account reflects most of the operations of the CRF.</w:t>
            </w:r>
          </w:p>
        </w:tc>
      </w:tr>
      <w:tr w:rsidR="00FE1F21" w:rsidRPr="009239BA" w14:paraId="6D944BFE" w14:textId="77777777" w:rsidTr="00FE1F21">
        <w:tc>
          <w:tcPr>
            <w:tcW w:w="2586" w:type="dxa"/>
          </w:tcPr>
          <w:p w14:paraId="3E8588F3" w14:textId="77777777" w:rsidR="00FE1F21" w:rsidRPr="009239BA" w:rsidRDefault="00FE1F21" w:rsidP="00594324">
            <w:pPr>
              <w:spacing w:before="120" w:after="120" w:line="240" w:lineRule="auto"/>
              <w:jc w:val="left"/>
              <w:rPr>
                <w:lang w:eastAsia="en-US"/>
              </w:rPr>
            </w:pPr>
            <w:r w:rsidRPr="009239BA">
              <w:rPr>
                <w:lang w:eastAsia="en-US"/>
              </w:rPr>
              <w:t>Corporate Commonwealth Entity</w:t>
            </w:r>
          </w:p>
        </w:tc>
        <w:tc>
          <w:tcPr>
            <w:tcW w:w="5114" w:type="dxa"/>
          </w:tcPr>
          <w:p w14:paraId="23E399E9" w14:textId="77777777" w:rsidR="00FE1F21" w:rsidRPr="009239BA" w:rsidRDefault="00FE1F21" w:rsidP="00594324">
            <w:pPr>
              <w:spacing w:before="120" w:after="120" w:line="240" w:lineRule="auto"/>
              <w:jc w:val="left"/>
              <w:rPr>
                <w:lang w:eastAsia="en-US"/>
              </w:rPr>
            </w:pPr>
            <w:r w:rsidRPr="009239BA">
              <w:rPr>
                <w:lang w:eastAsia="en-US"/>
              </w:rPr>
              <w:t>A Commonwealth entity that is a body corporate under the PGPA Act.</w:t>
            </w:r>
          </w:p>
        </w:tc>
      </w:tr>
      <w:tr w:rsidR="00FE1F21" w:rsidRPr="009239BA" w14:paraId="1F8D3658" w14:textId="77777777" w:rsidTr="00FE1F21">
        <w:tc>
          <w:tcPr>
            <w:tcW w:w="2586" w:type="dxa"/>
          </w:tcPr>
          <w:p w14:paraId="6D3452FF" w14:textId="4327CEBE" w:rsidR="00FE1F21" w:rsidRPr="009239BA" w:rsidRDefault="008863D9" w:rsidP="00594324">
            <w:pPr>
              <w:spacing w:before="120" w:after="120" w:line="240" w:lineRule="auto"/>
              <w:jc w:val="left"/>
              <w:rPr>
                <w:lang w:eastAsia="en-US"/>
              </w:rPr>
            </w:pPr>
            <w:r>
              <w:rPr>
                <w:lang w:eastAsia="en-US"/>
              </w:rPr>
              <w:lastRenderedPageBreak/>
              <w:t>Department</w:t>
            </w:r>
            <w:r w:rsidR="00FE1F21" w:rsidRPr="009239BA">
              <w:rPr>
                <w:lang w:eastAsia="en-US"/>
              </w:rPr>
              <w:t>al Capital Budget</w:t>
            </w:r>
          </w:p>
        </w:tc>
        <w:tc>
          <w:tcPr>
            <w:tcW w:w="5114" w:type="dxa"/>
          </w:tcPr>
          <w:p w14:paraId="0B60E711" w14:textId="61673DAB" w:rsidR="00FE1F21" w:rsidRPr="009239BA" w:rsidRDefault="008863D9" w:rsidP="000672C0">
            <w:pPr>
              <w:spacing w:before="120" w:after="120" w:line="240" w:lineRule="auto"/>
              <w:jc w:val="left"/>
              <w:rPr>
                <w:lang w:eastAsia="en-US"/>
              </w:rPr>
            </w:pPr>
            <w:r>
              <w:rPr>
                <w:lang w:eastAsia="en-US"/>
              </w:rPr>
              <w:t>Department</w:t>
            </w:r>
            <w:r w:rsidR="00FE1F21" w:rsidRPr="009239BA">
              <w:rPr>
                <w:lang w:eastAsia="en-US"/>
              </w:rPr>
              <w:t>al (or Administered) Capital Budgets (DCB/ACB) are provided to non-corporate Entities (as an equity injection) that receive government funding to meet the costs associated with the replacement of minor assets (assets valued at $10 million or less) or maintenance costs that are eligible to be capitalised. The funding for depreciation, amortisation and make-good expenses was replaced with a DCB in the 2010–11 Budget.</w:t>
            </w:r>
          </w:p>
        </w:tc>
      </w:tr>
      <w:tr w:rsidR="00FE1F21" w:rsidRPr="009239BA" w14:paraId="3B67687E" w14:textId="77777777" w:rsidTr="00FE1F21">
        <w:trPr>
          <w:cantSplit/>
        </w:trPr>
        <w:tc>
          <w:tcPr>
            <w:tcW w:w="2586" w:type="dxa"/>
          </w:tcPr>
          <w:p w14:paraId="076A862B" w14:textId="41CE0506" w:rsidR="00FE1F21" w:rsidRPr="009239BA" w:rsidRDefault="008863D9" w:rsidP="00594324">
            <w:pPr>
              <w:spacing w:before="120" w:after="120" w:line="240" w:lineRule="auto"/>
              <w:jc w:val="left"/>
              <w:rPr>
                <w:lang w:eastAsia="en-US"/>
              </w:rPr>
            </w:pPr>
            <w:r>
              <w:rPr>
                <w:lang w:eastAsia="en-US"/>
              </w:rPr>
              <w:t>Department</w:t>
            </w:r>
            <w:r w:rsidR="00FE1F21" w:rsidRPr="009239BA">
              <w:rPr>
                <w:lang w:eastAsia="en-US"/>
              </w:rPr>
              <w:t>al Item</w:t>
            </w:r>
          </w:p>
        </w:tc>
        <w:tc>
          <w:tcPr>
            <w:tcW w:w="5114" w:type="dxa"/>
          </w:tcPr>
          <w:p w14:paraId="1CA9DBF1" w14:textId="608529B3" w:rsidR="00FE1F21" w:rsidRPr="009239BA" w:rsidRDefault="00FE1F21" w:rsidP="00594324">
            <w:pPr>
              <w:spacing w:before="120" w:after="120" w:line="240" w:lineRule="auto"/>
              <w:jc w:val="left"/>
              <w:rPr>
                <w:lang w:eastAsia="en-US"/>
              </w:rPr>
            </w:pPr>
            <w:r w:rsidRPr="009239BA">
              <w:rPr>
                <w:lang w:eastAsia="en-US"/>
              </w:rPr>
              <w:t>Resources (assets, liabilities, revenues and expenses) th</w:t>
            </w:r>
            <w:r w:rsidR="000672C0">
              <w:rPr>
                <w:lang w:eastAsia="en-US"/>
              </w:rPr>
              <w:t>at an entity controls directly.</w:t>
            </w:r>
            <w:r w:rsidRPr="009239BA">
              <w:rPr>
                <w:lang w:eastAsia="en-US"/>
              </w:rPr>
              <w:t xml:space="preserve"> This includes outsourced activities funded</w:t>
            </w:r>
            <w:r w:rsidR="000672C0">
              <w:rPr>
                <w:lang w:eastAsia="en-US"/>
              </w:rPr>
              <w:t xml:space="preserve"> and controlled by the entity. </w:t>
            </w:r>
            <w:r w:rsidRPr="009239BA">
              <w:rPr>
                <w:lang w:eastAsia="en-US"/>
              </w:rPr>
              <w:t xml:space="preserve">Examples of </w:t>
            </w:r>
            <w:r w:rsidR="008863D9">
              <w:rPr>
                <w:lang w:eastAsia="en-US"/>
              </w:rPr>
              <w:t>Department</w:t>
            </w:r>
            <w:r w:rsidRPr="009239BA">
              <w:rPr>
                <w:lang w:eastAsia="en-US"/>
              </w:rPr>
              <w:t>al items include entity running costs, accrued employee entitlements a</w:t>
            </w:r>
            <w:r w:rsidR="000672C0">
              <w:rPr>
                <w:lang w:eastAsia="en-US"/>
              </w:rPr>
              <w:t xml:space="preserve">nd net appropriations. </w:t>
            </w:r>
            <w:r w:rsidRPr="009239BA">
              <w:rPr>
                <w:lang w:eastAsia="en-US"/>
              </w:rPr>
              <w:t xml:space="preserve">A </w:t>
            </w:r>
            <w:r w:rsidR="008863D9">
              <w:rPr>
                <w:lang w:eastAsia="en-US"/>
              </w:rPr>
              <w:t>Department</w:t>
            </w:r>
            <w:r w:rsidRPr="009239BA">
              <w:rPr>
                <w:lang w:eastAsia="en-US"/>
              </w:rPr>
              <w:t xml:space="preserve">al item is a component of a </w:t>
            </w:r>
            <w:r w:rsidR="008863D9">
              <w:rPr>
                <w:lang w:eastAsia="en-US"/>
              </w:rPr>
              <w:t>Department</w:t>
            </w:r>
            <w:r w:rsidRPr="009239BA">
              <w:rPr>
                <w:lang w:eastAsia="en-US"/>
              </w:rPr>
              <w:t xml:space="preserve">al program. </w:t>
            </w:r>
          </w:p>
        </w:tc>
      </w:tr>
      <w:tr w:rsidR="00FE1F21" w:rsidRPr="009239BA" w14:paraId="30ABFAA7" w14:textId="77777777" w:rsidTr="00FE1F21">
        <w:tc>
          <w:tcPr>
            <w:tcW w:w="2586" w:type="dxa"/>
          </w:tcPr>
          <w:p w14:paraId="09208F9B" w14:textId="77777777" w:rsidR="00FE1F21" w:rsidRPr="009239BA" w:rsidRDefault="00FE1F21" w:rsidP="00594324">
            <w:pPr>
              <w:spacing w:before="120" w:after="120" w:line="240" w:lineRule="auto"/>
              <w:jc w:val="left"/>
              <w:rPr>
                <w:lang w:eastAsia="en-US"/>
              </w:rPr>
            </w:pPr>
            <w:r w:rsidRPr="009239BA">
              <w:rPr>
                <w:lang w:eastAsia="en-US"/>
              </w:rPr>
              <w:t>Depreciation</w:t>
            </w:r>
          </w:p>
        </w:tc>
        <w:tc>
          <w:tcPr>
            <w:tcW w:w="5114" w:type="dxa"/>
          </w:tcPr>
          <w:p w14:paraId="4131DB04" w14:textId="77777777" w:rsidR="00FE1F21" w:rsidRPr="009239BA" w:rsidRDefault="00FE1F21" w:rsidP="00594324">
            <w:pPr>
              <w:spacing w:before="120" w:after="120" w:line="240" w:lineRule="auto"/>
              <w:jc w:val="left"/>
              <w:rPr>
                <w:lang w:eastAsia="en-US"/>
              </w:rPr>
            </w:pPr>
            <w:r w:rsidRPr="009239BA">
              <w:rPr>
                <w:lang w:eastAsia="en-US"/>
              </w:rPr>
              <w:t>Apportionment of an asset’s capital value as an expense over its estimated useful life to take account of normal usage, obsolescence, or the passage of time.</w:t>
            </w:r>
          </w:p>
        </w:tc>
      </w:tr>
      <w:tr w:rsidR="00FE1F21" w:rsidRPr="009239BA" w14:paraId="42BCEA62" w14:textId="77777777" w:rsidTr="00FE1F21">
        <w:tc>
          <w:tcPr>
            <w:tcW w:w="2586" w:type="dxa"/>
          </w:tcPr>
          <w:p w14:paraId="50BB961C" w14:textId="77777777" w:rsidR="00FE1F21" w:rsidRPr="009239BA" w:rsidRDefault="00FE1F21" w:rsidP="00594324">
            <w:pPr>
              <w:spacing w:before="120" w:after="120" w:line="240" w:lineRule="auto"/>
              <w:jc w:val="left"/>
              <w:rPr>
                <w:lang w:eastAsia="en-US"/>
              </w:rPr>
            </w:pPr>
            <w:r w:rsidRPr="009239BA">
              <w:rPr>
                <w:lang w:eastAsia="en-US"/>
              </w:rPr>
              <w:t>Entities</w:t>
            </w:r>
          </w:p>
        </w:tc>
        <w:tc>
          <w:tcPr>
            <w:tcW w:w="5114" w:type="dxa"/>
          </w:tcPr>
          <w:p w14:paraId="477A87EA" w14:textId="77777777" w:rsidR="00FE1F21" w:rsidRPr="009239BA" w:rsidRDefault="00FE1F21" w:rsidP="00594324">
            <w:pPr>
              <w:spacing w:before="120" w:after="120" w:line="240" w:lineRule="auto"/>
              <w:jc w:val="left"/>
              <w:rPr>
                <w:lang w:eastAsia="en-US"/>
              </w:rPr>
            </w:pPr>
            <w:r w:rsidRPr="009239BA">
              <w:rPr>
                <w:lang w:eastAsia="en-US"/>
              </w:rPr>
              <w:t xml:space="preserve">Commonwealth entities and Commonwealth companies as defined under the </w:t>
            </w:r>
            <w:r w:rsidRPr="001D2EA6">
              <w:rPr>
                <w:i/>
                <w:lang w:eastAsia="en-US"/>
              </w:rPr>
              <w:t xml:space="preserve">Public Governance, Performance and Accountability Act 2013 </w:t>
            </w:r>
            <w:r w:rsidRPr="001D2EA6">
              <w:rPr>
                <w:lang w:eastAsia="en-US"/>
              </w:rPr>
              <w:t>(PGPA Act)</w:t>
            </w:r>
            <w:r w:rsidRPr="009239BA">
              <w:rPr>
                <w:lang w:eastAsia="en-US"/>
              </w:rPr>
              <w:t xml:space="preserve"> that are within the General Government Sector (GGS).</w:t>
            </w:r>
          </w:p>
        </w:tc>
      </w:tr>
      <w:tr w:rsidR="00FE1F21" w:rsidRPr="009239BA" w14:paraId="192EA1D1" w14:textId="77777777" w:rsidTr="00FE1F21">
        <w:tc>
          <w:tcPr>
            <w:tcW w:w="2586" w:type="dxa"/>
          </w:tcPr>
          <w:p w14:paraId="64788B4A" w14:textId="77777777" w:rsidR="00FE1F21" w:rsidRPr="009239BA" w:rsidRDefault="00FE1F21" w:rsidP="00594324">
            <w:pPr>
              <w:spacing w:before="120" w:after="120" w:line="240" w:lineRule="auto"/>
              <w:jc w:val="left"/>
              <w:rPr>
                <w:lang w:eastAsia="en-US"/>
              </w:rPr>
            </w:pPr>
            <w:r w:rsidRPr="009239BA">
              <w:rPr>
                <w:lang w:eastAsia="en-US"/>
              </w:rPr>
              <w:t>Equity or Net Assets</w:t>
            </w:r>
          </w:p>
        </w:tc>
        <w:tc>
          <w:tcPr>
            <w:tcW w:w="5114" w:type="dxa"/>
          </w:tcPr>
          <w:p w14:paraId="7F847FFA" w14:textId="77777777" w:rsidR="00FE1F21" w:rsidRPr="009239BA" w:rsidRDefault="00FE1F21" w:rsidP="00594324">
            <w:pPr>
              <w:spacing w:before="120" w:after="120" w:line="240" w:lineRule="auto"/>
              <w:jc w:val="left"/>
              <w:rPr>
                <w:lang w:eastAsia="en-US"/>
              </w:rPr>
            </w:pPr>
            <w:r w:rsidRPr="009239BA">
              <w:rPr>
                <w:lang w:eastAsia="en-US"/>
              </w:rPr>
              <w:t>Residual interest in the assets of an entity after deduction of its liabilities.</w:t>
            </w:r>
          </w:p>
        </w:tc>
      </w:tr>
      <w:tr w:rsidR="00FE1F21" w:rsidRPr="009239BA" w14:paraId="3CA3ECB2" w14:textId="77777777" w:rsidTr="00FE1F21">
        <w:tc>
          <w:tcPr>
            <w:tcW w:w="2586" w:type="dxa"/>
          </w:tcPr>
          <w:p w14:paraId="2D029C7A" w14:textId="77777777" w:rsidR="00FE1F21" w:rsidRPr="009239BA" w:rsidRDefault="00FE1F21" w:rsidP="00594324">
            <w:pPr>
              <w:spacing w:before="120" w:after="120" w:line="240" w:lineRule="auto"/>
              <w:jc w:val="left"/>
              <w:rPr>
                <w:lang w:eastAsia="en-US"/>
              </w:rPr>
            </w:pPr>
            <w:r w:rsidRPr="009239BA">
              <w:rPr>
                <w:lang w:eastAsia="en-US"/>
              </w:rPr>
              <w:t>Estimated Actual</w:t>
            </w:r>
          </w:p>
        </w:tc>
        <w:tc>
          <w:tcPr>
            <w:tcW w:w="5114" w:type="dxa"/>
          </w:tcPr>
          <w:p w14:paraId="5839CE15" w14:textId="5D71CD21" w:rsidR="00FE1F21" w:rsidRPr="009239BA" w:rsidRDefault="00FE1F21" w:rsidP="00594324">
            <w:pPr>
              <w:spacing w:before="120" w:after="120" w:line="240" w:lineRule="auto"/>
              <w:jc w:val="left"/>
              <w:rPr>
                <w:lang w:eastAsia="en-US"/>
              </w:rPr>
            </w:pPr>
            <w:r w:rsidRPr="009239BA">
              <w:rPr>
                <w:lang w:eastAsia="en-US"/>
              </w:rPr>
              <w:t>Details of the estimated final figures for 2019-20 as include</w:t>
            </w:r>
            <w:r w:rsidR="000672C0">
              <w:rPr>
                <w:lang w:eastAsia="en-US"/>
              </w:rPr>
              <w:t xml:space="preserve">d in the Budget documentation. </w:t>
            </w:r>
            <w:r w:rsidRPr="009239BA">
              <w:rPr>
                <w:lang w:eastAsia="en-US"/>
              </w:rPr>
              <w:t>As the Budget is released before the 2019-20 Annual Report is tabled in Parliament, the figures for 2019-20 remain estimates.</w:t>
            </w:r>
          </w:p>
        </w:tc>
      </w:tr>
      <w:tr w:rsidR="00FE1F21" w:rsidRPr="009239BA" w14:paraId="147745E1" w14:textId="77777777" w:rsidTr="00FE1F21">
        <w:tc>
          <w:tcPr>
            <w:tcW w:w="2586" w:type="dxa"/>
          </w:tcPr>
          <w:p w14:paraId="77BC462C" w14:textId="77777777" w:rsidR="00FE1F21" w:rsidRPr="009239BA" w:rsidRDefault="00FE1F21" w:rsidP="00594324">
            <w:pPr>
              <w:spacing w:before="120" w:after="120" w:line="240" w:lineRule="auto"/>
              <w:jc w:val="left"/>
              <w:rPr>
                <w:lang w:eastAsia="en-US"/>
              </w:rPr>
            </w:pPr>
            <w:r w:rsidRPr="009239BA">
              <w:rPr>
                <w:lang w:eastAsia="en-US"/>
              </w:rPr>
              <w:t>Executive Agency</w:t>
            </w:r>
          </w:p>
        </w:tc>
        <w:tc>
          <w:tcPr>
            <w:tcW w:w="5114" w:type="dxa"/>
          </w:tcPr>
          <w:p w14:paraId="0CDCFA34" w14:textId="2767335B" w:rsidR="00FE1F21" w:rsidRPr="009239BA" w:rsidRDefault="00FE1F21" w:rsidP="00594324">
            <w:pPr>
              <w:spacing w:before="120" w:after="120" w:line="240" w:lineRule="auto"/>
              <w:jc w:val="left"/>
              <w:rPr>
                <w:lang w:eastAsia="en-US"/>
              </w:rPr>
            </w:pPr>
            <w:r w:rsidRPr="009239BA">
              <w:rPr>
                <w:lang w:eastAsia="en-US"/>
              </w:rPr>
              <w:t xml:space="preserve">An agency designated, in an executive order made by the Governor-General-in-Council, as separate from a </w:t>
            </w:r>
            <w:r w:rsidR="008863D9">
              <w:rPr>
                <w:lang w:eastAsia="en-US"/>
              </w:rPr>
              <w:t>Department</w:t>
            </w:r>
            <w:r w:rsidRPr="009239BA">
              <w:rPr>
                <w:lang w:eastAsia="en-US"/>
              </w:rPr>
              <w:t xml:space="preserve">, for staffing and accountability and reporting purposes, under the </w:t>
            </w:r>
            <w:r w:rsidRPr="001D2EA6">
              <w:rPr>
                <w:i/>
                <w:lang w:eastAsia="en-US"/>
              </w:rPr>
              <w:t>Public Service Act 1999</w:t>
            </w:r>
            <w:r w:rsidRPr="009239BA">
              <w:rPr>
                <w:lang w:eastAsia="en-US"/>
              </w:rPr>
              <w:t>.</w:t>
            </w:r>
          </w:p>
        </w:tc>
      </w:tr>
      <w:tr w:rsidR="00FE1F21" w:rsidRPr="009239BA" w14:paraId="4B09610C" w14:textId="77777777" w:rsidTr="00FE1F21">
        <w:tc>
          <w:tcPr>
            <w:tcW w:w="2586" w:type="dxa"/>
          </w:tcPr>
          <w:p w14:paraId="3EC089ED" w14:textId="77777777" w:rsidR="00FE1F21" w:rsidRPr="009239BA" w:rsidRDefault="00FE1F21" w:rsidP="00594324">
            <w:pPr>
              <w:spacing w:before="120" w:after="120" w:line="240" w:lineRule="auto"/>
              <w:jc w:val="left"/>
              <w:rPr>
                <w:lang w:eastAsia="en-US"/>
              </w:rPr>
            </w:pPr>
            <w:r w:rsidRPr="009239BA">
              <w:rPr>
                <w:lang w:eastAsia="en-US"/>
              </w:rPr>
              <w:t>Expense</w:t>
            </w:r>
          </w:p>
        </w:tc>
        <w:tc>
          <w:tcPr>
            <w:tcW w:w="5114" w:type="dxa"/>
          </w:tcPr>
          <w:p w14:paraId="7B7823FB" w14:textId="77777777" w:rsidR="00FE1F21" w:rsidRPr="009239BA" w:rsidRDefault="00FE1F21" w:rsidP="00594324">
            <w:pPr>
              <w:spacing w:before="120" w:after="120" w:line="240" w:lineRule="auto"/>
              <w:jc w:val="left"/>
              <w:rPr>
                <w:lang w:eastAsia="en-US"/>
              </w:rPr>
            </w:pPr>
            <w:r w:rsidRPr="009239BA">
              <w:rPr>
                <w:lang w:eastAsia="en-US"/>
              </w:rPr>
              <w:t xml:space="preserve">Total value of all of the resources consumed in producing goods and services or the loss of future </w:t>
            </w:r>
            <w:r w:rsidRPr="009239BA">
              <w:rPr>
                <w:lang w:eastAsia="en-US"/>
              </w:rPr>
              <w:lastRenderedPageBreak/>
              <w:t>economic benefits in the form of reductions in assets or increases in liabilities of an entity.</w:t>
            </w:r>
          </w:p>
        </w:tc>
      </w:tr>
      <w:tr w:rsidR="00FE1F21" w:rsidRPr="009239BA" w14:paraId="76432BCC" w14:textId="77777777" w:rsidTr="00FE1F21">
        <w:trPr>
          <w:cantSplit/>
        </w:trPr>
        <w:tc>
          <w:tcPr>
            <w:tcW w:w="2586" w:type="dxa"/>
          </w:tcPr>
          <w:p w14:paraId="41DCF5C8" w14:textId="77777777" w:rsidR="00FE1F21" w:rsidRPr="009239BA" w:rsidRDefault="00FE1F21" w:rsidP="00594324">
            <w:pPr>
              <w:spacing w:before="120" w:after="120" w:line="240" w:lineRule="auto"/>
              <w:jc w:val="left"/>
              <w:rPr>
                <w:lang w:eastAsia="en-US"/>
              </w:rPr>
            </w:pPr>
            <w:r w:rsidRPr="009239BA">
              <w:rPr>
                <w:lang w:eastAsia="en-US"/>
              </w:rPr>
              <w:lastRenderedPageBreak/>
              <w:t>Expenses not requiring appropriation in the Budget year</w:t>
            </w:r>
          </w:p>
        </w:tc>
        <w:tc>
          <w:tcPr>
            <w:tcW w:w="5114" w:type="dxa"/>
          </w:tcPr>
          <w:p w14:paraId="54CDCD20" w14:textId="77777777" w:rsidR="00FE1F21" w:rsidRPr="009239BA" w:rsidRDefault="00FE1F21" w:rsidP="00594324">
            <w:pPr>
              <w:spacing w:before="120" w:after="120" w:line="240" w:lineRule="auto"/>
              <w:jc w:val="left"/>
              <w:rPr>
                <w:lang w:eastAsia="en-US"/>
              </w:rPr>
            </w:pPr>
            <w:r w:rsidRPr="009239BA">
              <w:rPr>
                <w:lang w:eastAsia="en-US"/>
              </w:rPr>
              <w:t>Includes expenses where there is: a government policy not to fund those expenses within the year; where the funding has been provided in a prior year but the expense will be incurred in the current year; items which do not or will not involve a cash flow impact (such as bad debt expenses); or where the expenses reflect the usage of services or resources provided free of charge. From the 2018–19 MYEFO, movements of Administered funds that can be met from a prior year appropriation are not re-appropriated in the year required. Such expenses are reflected as ‘Expenses not requiring appropriation in the Budget year’.</w:t>
            </w:r>
          </w:p>
        </w:tc>
      </w:tr>
      <w:tr w:rsidR="00FE1F21" w:rsidRPr="009239BA" w14:paraId="106E9005" w14:textId="77777777" w:rsidTr="00FE1F21">
        <w:tc>
          <w:tcPr>
            <w:tcW w:w="2586" w:type="dxa"/>
          </w:tcPr>
          <w:p w14:paraId="09F435E3" w14:textId="77777777" w:rsidR="00FE1F21" w:rsidRPr="009239BA" w:rsidRDefault="00FE1F21" w:rsidP="00594324">
            <w:pPr>
              <w:spacing w:before="120" w:after="120" w:line="240" w:lineRule="auto"/>
              <w:jc w:val="left"/>
              <w:rPr>
                <w:lang w:eastAsia="en-US"/>
              </w:rPr>
            </w:pPr>
            <w:r w:rsidRPr="009239BA">
              <w:rPr>
                <w:lang w:eastAsia="en-US"/>
              </w:rPr>
              <w:t>Fair Value</w:t>
            </w:r>
          </w:p>
        </w:tc>
        <w:tc>
          <w:tcPr>
            <w:tcW w:w="5114" w:type="dxa"/>
          </w:tcPr>
          <w:p w14:paraId="78C3F3D8" w14:textId="77777777" w:rsidR="00FE1F21" w:rsidRPr="009239BA" w:rsidRDefault="00FE1F21" w:rsidP="00594324">
            <w:pPr>
              <w:spacing w:before="120" w:after="120" w:line="240" w:lineRule="auto"/>
              <w:jc w:val="left"/>
              <w:rPr>
                <w:lang w:eastAsia="en-US"/>
              </w:rPr>
            </w:pPr>
            <w:r w:rsidRPr="009239BA">
              <w:rPr>
                <w:lang w:eastAsia="en-US"/>
              </w:rPr>
              <w:t>Valuation methodology: The amount for which an asset could be exchanged, or a liability settled, between knowledgeable and willing parties in an arm’s length transaction. The fair value can be affected by the conditions of the sale, market conditions and the intentions of the asset holder.</w:t>
            </w:r>
          </w:p>
        </w:tc>
      </w:tr>
      <w:tr w:rsidR="00FE1F21" w:rsidRPr="009239BA" w14:paraId="59EF214A" w14:textId="77777777" w:rsidTr="00FE1F21">
        <w:tc>
          <w:tcPr>
            <w:tcW w:w="2586" w:type="dxa"/>
          </w:tcPr>
          <w:p w14:paraId="7C97CEAE" w14:textId="77777777" w:rsidR="00FE1F21" w:rsidRPr="009239BA" w:rsidRDefault="00FE1F21" w:rsidP="00594324">
            <w:pPr>
              <w:spacing w:before="120" w:after="120" w:line="240" w:lineRule="auto"/>
              <w:jc w:val="left"/>
              <w:rPr>
                <w:lang w:eastAsia="en-US"/>
              </w:rPr>
            </w:pPr>
            <w:r w:rsidRPr="009239BA">
              <w:rPr>
                <w:lang w:eastAsia="en-US"/>
              </w:rPr>
              <w:t>Fiscal Balance</w:t>
            </w:r>
          </w:p>
        </w:tc>
        <w:tc>
          <w:tcPr>
            <w:tcW w:w="5114" w:type="dxa"/>
          </w:tcPr>
          <w:p w14:paraId="66E0D242" w14:textId="77777777" w:rsidR="00FE1F21" w:rsidRPr="009239BA" w:rsidRDefault="00FE1F21" w:rsidP="00594324">
            <w:pPr>
              <w:spacing w:before="120" w:after="120" w:line="240" w:lineRule="auto"/>
              <w:jc w:val="left"/>
              <w:rPr>
                <w:lang w:eastAsia="en-US"/>
              </w:rPr>
            </w:pPr>
            <w:r w:rsidRPr="009239BA">
              <w:rPr>
                <w:lang w:eastAsia="en-US"/>
              </w:rPr>
              <w:t>An accrual measure that shows whether the government has to borrow from financial markets to cover its activities. Fiscal balance includes revenue, less operating expenses, plus revaluation adjustments, plus capital adjustments.</w:t>
            </w:r>
          </w:p>
        </w:tc>
      </w:tr>
      <w:tr w:rsidR="00FE1F21" w:rsidRPr="009239BA" w14:paraId="74912F9F" w14:textId="77777777" w:rsidTr="00FE1F21">
        <w:tc>
          <w:tcPr>
            <w:tcW w:w="2586" w:type="dxa"/>
          </w:tcPr>
          <w:p w14:paraId="45DD02A0" w14:textId="77777777" w:rsidR="00FE1F21" w:rsidRPr="009239BA" w:rsidRDefault="00FE1F21" w:rsidP="00594324">
            <w:pPr>
              <w:spacing w:before="120" w:after="120" w:line="240" w:lineRule="auto"/>
              <w:jc w:val="left"/>
              <w:rPr>
                <w:lang w:eastAsia="en-US"/>
              </w:rPr>
            </w:pPr>
            <w:r w:rsidRPr="009239BA">
              <w:rPr>
                <w:lang w:eastAsia="en-US"/>
              </w:rPr>
              <w:t>Forward Estimates Period</w:t>
            </w:r>
          </w:p>
        </w:tc>
        <w:tc>
          <w:tcPr>
            <w:tcW w:w="5114" w:type="dxa"/>
          </w:tcPr>
          <w:p w14:paraId="4ABA9FCC" w14:textId="4FBA3A69" w:rsidR="00FE1F21" w:rsidRPr="009239BA" w:rsidRDefault="00FE1F21" w:rsidP="00594324">
            <w:pPr>
              <w:spacing w:before="120" w:after="120" w:line="240" w:lineRule="auto"/>
              <w:jc w:val="left"/>
              <w:rPr>
                <w:lang w:eastAsia="en-US"/>
              </w:rPr>
            </w:pPr>
            <w:r w:rsidRPr="009239BA">
              <w:rPr>
                <w:lang w:eastAsia="en-US"/>
              </w:rPr>
              <w:t>The three ye</w:t>
            </w:r>
            <w:r w:rsidR="000672C0">
              <w:rPr>
                <w:lang w:eastAsia="en-US"/>
              </w:rPr>
              <w:t xml:space="preserve">ars following the Budget year. </w:t>
            </w:r>
            <w:r w:rsidRPr="009239BA">
              <w:rPr>
                <w:lang w:eastAsia="en-US"/>
              </w:rPr>
              <w:t>For example, for the 2020-21 Budget year, 2021-22 is forward year 1, 2022-23 is forward year 2 and 2023-24 is forward year 3.</w:t>
            </w:r>
          </w:p>
        </w:tc>
      </w:tr>
      <w:tr w:rsidR="00FE1F21" w:rsidRPr="009239BA" w14:paraId="3DABB00B" w14:textId="77777777" w:rsidTr="00FE1F21">
        <w:tc>
          <w:tcPr>
            <w:tcW w:w="2586" w:type="dxa"/>
          </w:tcPr>
          <w:p w14:paraId="00DCD0CA" w14:textId="77777777" w:rsidR="00FE1F21" w:rsidRPr="009239BA" w:rsidRDefault="00FE1F21" w:rsidP="00594324">
            <w:pPr>
              <w:spacing w:before="120" w:after="120" w:line="240" w:lineRule="auto"/>
              <w:jc w:val="left"/>
              <w:rPr>
                <w:lang w:eastAsia="en-US"/>
              </w:rPr>
            </w:pPr>
            <w:r w:rsidRPr="009239BA">
              <w:rPr>
                <w:lang w:eastAsia="en-US"/>
              </w:rPr>
              <w:t>General Government Sector (GGS)</w:t>
            </w:r>
          </w:p>
        </w:tc>
        <w:tc>
          <w:tcPr>
            <w:tcW w:w="5114" w:type="dxa"/>
          </w:tcPr>
          <w:p w14:paraId="324289C2" w14:textId="77368C40" w:rsidR="00FE1F21" w:rsidRPr="009239BA" w:rsidRDefault="00FE1F21" w:rsidP="00594324">
            <w:pPr>
              <w:spacing w:before="120" w:after="120" w:line="240" w:lineRule="auto"/>
              <w:jc w:val="left"/>
              <w:rPr>
                <w:lang w:eastAsia="en-US"/>
              </w:rPr>
            </w:pPr>
            <w:r w:rsidRPr="009239BA">
              <w:rPr>
                <w:lang w:eastAsia="en-US"/>
              </w:rPr>
              <w:t xml:space="preserve">A Government Finance Statistics (GFS) classification of all entities that are controlled and largely funded by the Australian </w:t>
            </w:r>
            <w:r w:rsidR="000672C0">
              <w:rPr>
                <w:lang w:eastAsia="en-US"/>
              </w:rPr>
              <w:t xml:space="preserve">Government. </w:t>
            </w:r>
            <w:r w:rsidRPr="009239BA">
              <w:rPr>
                <w:lang w:eastAsia="en-US"/>
              </w:rPr>
              <w:t>The GGS provides public services that are mainly non-market in nature and for the collective consumption of the community, or involve the transfe</w:t>
            </w:r>
            <w:r w:rsidR="000672C0">
              <w:rPr>
                <w:lang w:eastAsia="en-US"/>
              </w:rPr>
              <w:t xml:space="preserve">r or redistribution of income. </w:t>
            </w:r>
            <w:r w:rsidRPr="009239BA">
              <w:rPr>
                <w:lang w:eastAsia="en-US"/>
              </w:rPr>
              <w:t xml:space="preserve">These services are largely financed through taxes and other compulsory levies, user </w:t>
            </w:r>
            <w:r w:rsidR="000672C0">
              <w:rPr>
                <w:lang w:eastAsia="en-US"/>
              </w:rPr>
              <w:t xml:space="preserve">charging and external funding. </w:t>
            </w:r>
            <w:r w:rsidRPr="009239BA">
              <w:rPr>
                <w:lang w:eastAsia="en-US"/>
              </w:rPr>
              <w:t xml:space="preserve">This sector comprises all government </w:t>
            </w:r>
            <w:r w:rsidR="008863D9">
              <w:rPr>
                <w:lang w:eastAsia="en-US"/>
              </w:rPr>
              <w:t>Department</w:t>
            </w:r>
            <w:r w:rsidRPr="009239BA">
              <w:rPr>
                <w:lang w:eastAsia="en-US"/>
              </w:rPr>
              <w:t>s, offices and some other bodies.</w:t>
            </w:r>
          </w:p>
        </w:tc>
      </w:tr>
      <w:tr w:rsidR="00FE1F21" w:rsidRPr="009239BA" w14:paraId="05FA94E4" w14:textId="77777777" w:rsidTr="00FE1F21">
        <w:trPr>
          <w:cantSplit/>
        </w:trPr>
        <w:tc>
          <w:tcPr>
            <w:tcW w:w="2586" w:type="dxa"/>
          </w:tcPr>
          <w:p w14:paraId="7E8D6FCB" w14:textId="77777777" w:rsidR="00FE1F21" w:rsidRPr="009239BA" w:rsidRDefault="00FE1F21" w:rsidP="00594324">
            <w:pPr>
              <w:spacing w:before="120" w:after="120" w:line="240" w:lineRule="auto"/>
              <w:jc w:val="left"/>
              <w:rPr>
                <w:lang w:eastAsia="en-US"/>
              </w:rPr>
            </w:pPr>
            <w:r w:rsidRPr="009239BA">
              <w:rPr>
                <w:lang w:eastAsia="en-US"/>
              </w:rPr>
              <w:lastRenderedPageBreak/>
              <w:t>Government Finance Statistics (GFS)</w:t>
            </w:r>
          </w:p>
        </w:tc>
        <w:tc>
          <w:tcPr>
            <w:tcW w:w="5114" w:type="dxa"/>
          </w:tcPr>
          <w:p w14:paraId="1306C685" w14:textId="04CF156A" w:rsidR="00FE1F21" w:rsidRPr="009239BA" w:rsidRDefault="00FE1F21" w:rsidP="00594324">
            <w:pPr>
              <w:spacing w:before="120" w:after="120" w:line="240" w:lineRule="auto"/>
              <w:jc w:val="left"/>
              <w:rPr>
                <w:lang w:eastAsia="en-US"/>
              </w:rPr>
            </w:pPr>
            <w:r w:rsidRPr="009239BA">
              <w:rPr>
                <w:lang w:eastAsia="en-US"/>
              </w:rPr>
              <w:t xml:space="preserve">A reporting framework that is a specialised statistical system designed to support economic </w:t>
            </w:r>
            <w:r w:rsidR="000672C0">
              <w:rPr>
                <w:lang w:eastAsia="en-US"/>
              </w:rPr>
              <w:t xml:space="preserve">analysis of the public sector. </w:t>
            </w:r>
            <w:r w:rsidRPr="009239BA">
              <w:rPr>
                <w:lang w:eastAsia="en-US"/>
              </w:rPr>
              <w:t>It allows for comprehensive assessments of the economic impact of government and is consistent with international statistical standards of the International Monetary Fund and the System of National Accounts.</w:t>
            </w:r>
          </w:p>
        </w:tc>
      </w:tr>
      <w:tr w:rsidR="00FE1F21" w:rsidRPr="009239BA" w14:paraId="1CFEF06E" w14:textId="77777777" w:rsidTr="00FE1F21">
        <w:tc>
          <w:tcPr>
            <w:tcW w:w="2586" w:type="dxa"/>
          </w:tcPr>
          <w:p w14:paraId="792EA79F" w14:textId="77777777" w:rsidR="00FE1F21" w:rsidRPr="009239BA" w:rsidRDefault="00FE1F21" w:rsidP="00594324">
            <w:pPr>
              <w:spacing w:before="120" w:after="120" w:line="240" w:lineRule="auto"/>
              <w:jc w:val="left"/>
              <w:rPr>
                <w:lang w:eastAsia="en-US"/>
              </w:rPr>
            </w:pPr>
            <w:r w:rsidRPr="009239BA">
              <w:rPr>
                <w:lang w:eastAsia="en-US"/>
              </w:rPr>
              <w:t>Measure</w:t>
            </w:r>
          </w:p>
        </w:tc>
        <w:tc>
          <w:tcPr>
            <w:tcW w:w="5114" w:type="dxa"/>
          </w:tcPr>
          <w:p w14:paraId="0DE172D4" w14:textId="77777777" w:rsidR="00FE1F21" w:rsidRPr="009239BA" w:rsidRDefault="00FE1F21" w:rsidP="00594324">
            <w:pPr>
              <w:spacing w:before="120" w:after="120" w:line="240" w:lineRule="auto"/>
              <w:jc w:val="left"/>
              <w:rPr>
                <w:lang w:eastAsia="en-US"/>
              </w:rPr>
            </w:pPr>
            <w:r w:rsidRPr="009239BA">
              <w:rPr>
                <w:lang w:eastAsia="en-US"/>
              </w:rPr>
              <w:t xml:space="preserve">A new policy or savings decision of the Government with financial impacts on the government's underlying cash balance; fiscal balance; operating balance; headline cash balance; net debt or net worth. </w:t>
            </w:r>
          </w:p>
        </w:tc>
      </w:tr>
      <w:tr w:rsidR="00FE1F21" w:rsidRPr="009239BA" w14:paraId="03665DDB" w14:textId="77777777" w:rsidTr="00FE1F21">
        <w:tc>
          <w:tcPr>
            <w:tcW w:w="2586" w:type="dxa"/>
          </w:tcPr>
          <w:p w14:paraId="7B5A7563" w14:textId="77777777" w:rsidR="00FE1F21" w:rsidRPr="009239BA" w:rsidRDefault="00FE1F21" w:rsidP="00594324">
            <w:pPr>
              <w:spacing w:before="120" w:after="120" w:line="240" w:lineRule="auto"/>
              <w:jc w:val="left"/>
              <w:rPr>
                <w:lang w:eastAsia="en-US"/>
              </w:rPr>
            </w:pPr>
            <w:r w:rsidRPr="009239BA">
              <w:rPr>
                <w:lang w:eastAsia="en-US"/>
              </w:rPr>
              <w:t>Mid-Year Economic and Fiscal Outlook (MYEFO)</w:t>
            </w:r>
          </w:p>
        </w:tc>
        <w:tc>
          <w:tcPr>
            <w:tcW w:w="5114" w:type="dxa"/>
          </w:tcPr>
          <w:p w14:paraId="58565777" w14:textId="57003541" w:rsidR="00FE1F21" w:rsidRPr="009239BA" w:rsidRDefault="00FE1F21" w:rsidP="00594324">
            <w:pPr>
              <w:spacing w:before="120" w:after="120" w:line="240" w:lineRule="auto"/>
              <w:jc w:val="left"/>
              <w:rPr>
                <w:lang w:eastAsia="en-US"/>
              </w:rPr>
            </w:pPr>
            <w:r w:rsidRPr="009239BA">
              <w:rPr>
                <w:lang w:eastAsia="en-US"/>
              </w:rPr>
              <w:t>The MYEFO provides an update of the government's Budget estimates by examining expenses and revenues in the year to date, as well as provisions for new decisions that hav</w:t>
            </w:r>
            <w:r w:rsidR="000672C0">
              <w:rPr>
                <w:lang w:eastAsia="en-US"/>
              </w:rPr>
              <w:t xml:space="preserve">e been taken since the Budget. </w:t>
            </w:r>
            <w:r w:rsidRPr="009239BA">
              <w:rPr>
                <w:lang w:eastAsia="en-US"/>
              </w:rPr>
              <w:t>The report provides updated information to allow the assessment of the government‘s fiscal performance against the fiscal strategy set out in its current fiscal strategy statement.</w:t>
            </w:r>
          </w:p>
        </w:tc>
      </w:tr>
      <w:tr w:rsidR="00FE1F21" w:rsidRPr="009239BA" w14:paraId="1C93737C" w14:textId="77777777" w:rsidTr="00FE1F21">
        <w:tc>
          <w:tcPr>
            <w:tcW w:w="2586" w:type="dxa"/>
          </w:tcPr>
          <w:p w14:paraId="092B4413" w14:textId="77777777" w:rsidR="00FE1F21" w:rsidRPr="009239BA" w:rsidRDefault="00FE1F21" w:rsidP="00594324">
            <w:pPr>
              <w:spacing w:before="120" w:after="120" w:line="240" w:lineRule="auto"/>
              <w:jc w:val="left"/>
              <w:rPr>
                <w:lang w:eastAsia="en-US"/>
              </w:rPr>
            </w:pPr>
            <w:r w:rsidRPr="009239BA">
              <w:rPr>
                <w:lang w:eastAsia="en-US"/>
              </w:rPr>
              <w:t>National Partnership payments</w:t>
            </w:r>
          </w:p>
        </w:tc>
        <w:tc>
          <w:tcPr>
            <w:tcW w:w="5114" w:type="dxa"/>
          </w:tcPr>
          <w:p w14:paraId="5BDF3224" w14:textId="77777777" w:rsidR="00FE1F21" w:rsidRPr="009239BA" w:rsidRDefault="00FE1F21" w:rsidP="00594324">
            <w:pPr>
              <w:spacing w:before="120" w:after="120" w:line="240" w:lineRule="auto"/>
              <w:jc w:val="left"/>
              <w:rPr>
                <w:lang w:eastAsia="en-US"/>
              </w:rPr>
            </w:pPr>
            <w:r w:rsidRPr="009239BA">
              <w:rPr>
                <w:lang w:eastAsia="en-US"/>
              </w:rPr>
              <w:t xml:space="preserve">Commonwealth payments to states and territories made in accordance with Part 4 of the </w:t>
            </w:r>
            <w:r w:rsidRPr="001D2EA6">
              <w:rPr>
                <w:i/>
                <w:lang w:eastAsia="en-US"/>
              </w:rPr>
              <w:t>Federal Financial Relations Act 2009</w:t>
            </w:r>
            <w:r w:rsidRPr="009239BA">
              <w:rPr>
                <w:lang w:eastAsia="en-US"/>
              </w:rPr>
              <w:t xml:space="preserve"> (FFR Act). The Minister may determine that an amount specified in the determination is to be paid to a State specified in the determination for the purpose of making a grant of financial assistance to support the delivery by the State of specified outputs or projects; or facilitate reforms by the State; or reward the State for nationally significant reforms.</w:t>
            </w:r>
          </w:p>
        </w:tc>
      </w:tr>
      <w:tr w:rsidR="00FE1F21" w:rsidRPr="009239BA" w14:paraId="5DBF0CC7" w14:textId="77777777" w:rsidTr="00FE1F21">
        <w:tc>
          <w:tcPr>
            <w:tcW w:w="2586" w:type="dxa"/>
          </w:tcPr>
          <w:p w14:paraId="5FC21ECE" w14:textId="77777777" w:rsidR="00FE1F21" w:rsidRPr="009239BA" w:rsidRDefault="00FE1F21" w:rsidP="00594324">
            <w:pPr>
              <w:spacing w:before="120" w:after="120" w:line="240" w:lineRule="auto"/>
              <w:jc w:val="left"/>
              <w:rPr>
                <w:lang w:eastAsia="en-US"/>
              </w:rPr>
            </w:pPr>
            <w:r w:rsidRPr="009239BA">
              <w:rPr>
                <w:lang w:eastAsia="en-US"/>
              </w:rPr>
              <w:t>Non-Corporate Commonwealth Entity</w:t>
            </w:r>
          </w:p>
        </w:tc>
        <w:tc>
          <w:tcPr>
            <w:tcW w:w="5114" w:type="dxa"/>
          </w:tcPr>
          <w:p w14:paraId="3524BEF8" w14:textId="77777777" w:rsidR="00FE1F21" w:rsidRPr="009239BA" w:rsidRDefault="00FE1F21" w:rsidP="00594324">
            <w:pPr>
              <w:spacing w:before="120" w:after="120" w:line="240" w:lineRule="auto"/>
              <w:jc w:val="left"/>
              <w:rPr>
                <w:lang w:eastAsia="en-US"/>
              </w:rPr>
            </w:pPr>
            <w:r w:rsidRPr="009239BA">
              <w:rPr>
                <w:lang w:eastAsia="en-US"/>
              </w:rPr>
              <w:t>A Commonwealth entity that is not a body corporate.</w:t>
            </w:r>
          </w:p>
        </w:tc>
      </w:tr>
      <w:tr w:rsidR="00FE1F21" w:rsidRPr="009239BA" w14:paraId="4BFC0CF9" w14:textId="77777777" w:rsidTr="00FE1F21">
        <w:tc>
          <w:tcPr>
            <w:tcW w:w="2586" w:type="dxa"/>
          </w:tcPr>
          <w:p w14:paraId="055A2296" w14:textId="77777777" w:rsidR="00FE1F21" w:rsidRPr="009239BA" w:rsidRDefault="00FE1F21" w:rsidP="00594324">
            <w:pPr>
              <w:spacing w:before="120" w:after="120" w:line="240" w:lineRule="auto"/>
              <w:jc w:val="left"/>
              <w:rPr>
                <w:lang w:eastAsia="en-US"/>
              </w:rPr>
            </w:pPr>
            <w:r w:rsidRPr="009239BA">
              <w:rPr>
                <w:lang w:eastAsia="en-US"/>
              </w:rPr>
              <w:t>Official Public Account (OPA)</w:t>
            </w:r>
          </w:p>
        </w:tc>
        <w:tc>
          <w:tcPr>
            <w:tcW w:w="5114" w:type="dxa"/>
          </w:tcPr>
          <w:p w14:paraId="6DED845E" w14:textId="1159702D" w:rsidR="00FE1F21" w:rsidRPr="009239BA" w:rsidRDefault="00FE1F21" w:rsidP="00594324">
            <w:pPr>
              <w:spacing w:before="120" w:after="120" w:line="240" w:lineRule="auto"/>
              <w:jc w:val="left"/>
              <w:rPr>
                <w:lang w:eastAsia="en-US"/>
              </w:rPr>
            </w:pPr>
            <w:r w:rsidRPr="009239BA">
              <w:rPr>
                <w:lang w:eastAsia="en-US"/>
              </w:rPr>
              <w:t xml:space="preserve">The Commonwealth’s </w:t>
            </w:r>
            <w:r w:rsidR="000672C0">
              <w:rPr>
                <w:lang w:eastAsia="en-US"/>
              </w:rPr>
              <w:t xml:space="preserve">central bank account. </w:t>
            </w:r>
            <w:r w:rsidRPr="009239BA">
              <w:rPr>
                <w:lang w:eastAsia="en-US"/>
              </w:rPr>
              <w:t>The OPA is one of a group of linked bank accounts, referred to as the Official Public Account Group of Accounts. OPAs are maintained with the Reserve Bank of Australia, as required by subsection 53(3) of the PGPA Act.</w:t>
            </w:r>
          </w:p>
        </w:tc>
      </w:tr>
      <w:tr w:rsidR="00FE1F21" w:rsidRPr="009239BA" w14:paraId="4A598A3C" w14:textId="77777777" w:rsidTr="00FE1F21">
        <w:trPr>
          <w:cantSplit/>
        </w:trPr>
        <w:tc>
          <w:tcPr>
            <w:tcW w:w="2586" w:type="dxa"/>
          </w:tcPr>
          <w:p w14:paraId="1F8A8BFE" w14:textId="77777777" w:rsidR="00FE1F21" w:rsidRPr="009239BA" w:rsidRDefault="00FE1F21" w:rsidP="00594324">
            <w:pPr>
              <w:spacing w:before="120" w:after="120" w:line="240" w:lineRule="auto"/>
              <w:jc w:val="left"/>
              <w:rPr>
                <w:lang w:eastAsia="en-US"/>
              </w:rPr>
            </w:pPr>
            <w:r w:rsidRPr="009239BA">
              <w:rPr>
                <w:lang w:eastAsia="en-US"/>
              </w:rPr>
              <w:lastRenderedPageBreak/>
              <w:t>Outcomes</w:t>
            </w:r>
          </w:p>
        </w:tc>
        <w:tc>
          <w:tcPr>
            <w:tcW w:w="5114" w:type="dxa"/>
          </w:tcPr>
          <w:p w14:paraId="21295974" w14:textId="77777777" w:rsidR="00FE1F21" w:rsidRPr="009239BA" w:rsidRDefault="00FE1F21" w:rsidP="00594324">
            <w:pPr>
              <w:spacing w:before="120" w:after="120" w:line="240" w:lineRule="auto"/>
              <w:jc w:val="left"/>
              <w:rPr>
                <w:lang w:eastAsia="en-US"/>
              </w:rPr>
            </w:pPr>
            <w:r w:rsidRPr="009239BA">
              <w:rPr>
                <w:lang w:eastAsia="en-US"/>
              </w:rPr>
              <w:t>The Government's objectives in each portfolio area. Outcomes are desired results, impacts or consequences for the Australian community as influenced by the actions of the Commonwealth. Actual outcomes are assessments of the results or impacts actually achieved.</w:t>
            </w:r>
          </w:p>
        </w:tc>
      </w:tr>
      <w:tr w:rsidR="00FE1F21" w:rsidRPr="009239BA" w14:paraId="5D3DF641" w14:textId="77777777" w:rsidTr="00FE1F21">
        <w:tc>
          <w:tcPr>
            <w:tcW w:w="2586" w:type="dxa"/>
          </w:tcPr>
          <w:p w14:paraId="68190A7E" w14:textId="77777777" w:rsidR="00FE1F21" w:rsidRPr="009239BA" w:rsidRDefault="00FE1F21" w:rsidP="00594324">
            <w:pPr>
              <w:spacing w:before="120" w:after="120" w:line="240" w:lineRule="auto"/>
              <w:jc w:val="left"/>
              <w:rPr>
                <w:lang w:eastAsia="en-US"/>
              </w:rPr>
            </w:pPr>
            <w:r w:rsidRPr="009239BA">
              <w:rPr>
                <w:lang w:eastAsia="en-US"/>
              </w:rPr>
              <w:t>Parameters</w:t>
            </w:r>
          </w:p>
        </w:tc>
        <w:tc>
          <w:tcPr>
            <w:tcW w:w="5114" w:type="dxa"/>
          </w:tcPr>
          <w:p w14:paraId="23B476CA" w14:textId="77777777" w:rsidR="00FE1F21" w:rsidRPr="009239BA" w:rsidRDefault="00FE1F21" w:rsidP="00594324">
            <w:pPr>
              <w:spacing w:before="120" w:after="120" w:line="240" w:lineRule="auto"/>
              <w:jc w:val="left"/>
              <w:rPr>
                <w:lang w:eastAsia="en-US"/>
              </w:rPr>
            </w:pPr>
            <w:r w:rsidRPr="009239BA">
              <w:rPr>
                <w:rFonts w:eastAsia="Calibri"/>
                <w:lang w:val="en-US" w:eastAsia="en-US" w:bidi="en-US"/>
              </w:rPr>
              <w:t xml:space="preserve">Agency funding is routinely adjusted for changes in parameters to ensure agency funding keeps pace with forecast changes in the economy. The Treasury calculates parameter rates, which factor in various economic indicators including inflation, production levels and exchange rates. </w:t>
            </w:r>
          </w:p>
        </w:tc>
      </w:tr>
      <w:tr w:rsidR="00FE1F21" w:rsidRPr="009239BA" w14:paraId="457992DB" w14:textId="77777777" w:rsidTr="00FE1F21">
        <w:tc>
          <w:tcPr>
            <w:tcW w:w="2586" w:type="dxa"/>
          </w:tcPr>
          <w:p w14:paraId="2D1CF168" w14:textId="77777777" w:rsidR="00FE1F21" w:rsidRPr="009239BA" w:rsidRDefault="00FE1F21" w:rsidP="00594324">
            <w:pPr>
              <w:spacing w:before="120" w:after="120" w:line="240" w:lineRule="auto"/>
              <w:jc w:val="left"/>
              <w:rPr>
                <w:lang w:eastAsia="en-US"/>
              </w:rPr>
            </w:pPr>
            <w:r w:rsidRPr="009239BA">
              <w:rPr>
                <w:lang w:eastAsia="en-US"/>
              </w:rPr>
              <w:t>Portfolio Budget Statements (PB Statements)</w:t>
            </w:r>
          </w:p>
        </w:tc>
        <w:tc>
          <w:tcPr>
            <w:tcW w:w="5114" w:type="dxa"/>
          </w:tcPr>
          <w:p w14:paraId="4A65FBCC" w14:textId="77777777" w:rsidR="00FE1F21" w:rsidRPr="009239BA" w:rsidRDefault="00FE1F21" w:rsidP="00594324">
            <w:pPr>
              <w:spacing w:before="120" w:after="120" w:line="240" w:lineRule="auto"/>
              <w:jc w:val="left"/>
              <w:rPr>
                <w:lang w:eastAsia="en-US"/>
              </w:rPr>
            </w:pPr>
            <w:r w:rsidRPr="009239BA">
              <w:rPr>
                <w:lang w:eastAsia="en-US"/>
              </w:rPr>
              <w:t xml:space="preserve">Budget related paper detailing Budget initiatives and explanations of appropriations specified </w:t>
            </w:r>
            <w:r>
              <w:rPr>
                <w:lang w:eastAsia="en-US"/>
              </w:rPr>
              <w:t xml:space="preserve">by outcome and program by each </w:t>
            </w:r>
            <w:r w:rsidRPr="009239BA">
              <w:rPr>
                <w:lang w:eastAsia="en-US"/>
              </w:rPr>
              <w:t>directly appropriated entity within a portfolio.</w:t>
            </w:r>
          </w:p>
        </w:tc>
      </w:tr>
      <w:tr w:rsidR="00FE1F21" w:rsidRPr="009239BA" w14:paraId="68B24472" w14:textId="77777777" w:rsidTr="00FE1F21">
        <w:tc>
          <w:tcPr>
            <w:tcW w:w="2586" w:type="dxa"/>
          </w:tcPr>
          <w:p w14:paraId="6403BBEA" w14:textId="77777777" w:rsidR="00FE1F21" w:rsidRPr="009239BA" w:rsidRDefault="00FE1F21" w:rsidP="00594324">
            <w:pPr>
              <w:spacing w:before="120" w:after="120" w:line="240" w:lineRule="auto"/>
              <w:jc w:val="left"/>
              <w:rPr>
                <w:lang w:eastAsia="en-US"/>
              </w:rPr>
            </w:pPr>
            <w:r w:rsidRPr="009239BA">
              <w:rPr>
                <w:lang w:eastAsia="en-US"/>
              </w:rPr>
              <w:t>Program</w:t>
            </w:r>
          </w:p>
        </w:tc>
        <w:tc>
          <w:tcPr>
            <w:tcW w:w="5114" w:type="dxa"/>
          </w:tcPr>
          <w:p w14:paraId="7E4CF079" w14:textId="77777777" w:rsidR="00FE1F21" w:rsidRPr="009239BA" w:rsidRDefault="00FE1F21" w:rsidP="00594324">
            <w:pPr>
              <w:spacing w:before="120" w:after="120" w:line="240" w:lineRule="auto"/>
              <w:jc w:val="left"/>
              <w:rPr>
                <w:lang w:eastAsia="en-US"/>
              </w:rPr>
            </w:pPr>
            <w:r w:rsidRPr="009239BA">
              <w:rPr>
                <w:lang w:eastAsia="en-US"/>
              </w:rPr>
              <w:t>Activity that delivers benefits, services or transfer payments to individuals, industry and/or the community as a whole, with the aim of achieving the intended result specified in an outcome statement.</w:t>
            </w:r>
          </w:p>
        </w:tc>
      </w:tr>
      <w:tr w:rsidR="00FE1F21" w:rsidRPr="009239BA" w14:paraId="7A16894B" w14:textId="77777777" w:rsidTr="00FE1F21">
        <w:tc>
          <w:tcPr>
            <w:tcW w:w="2586" w:type="dxa"/>
          </w:tcPr>
          <w:p w14:paraId="19F8B83C" w14:textId="77777777" w:rsidR="00FE1F21" w:rsidRPr="009239BA" w:rsidRDefault="00FE1F21" w:rsidP="00594324">
            <w:pPr>
              <w:spacing w:before="120" w:after="120" w:line="240" w:lineRule="auto"/>
              <w:jc w:val="left"/>
              <w:rPr>
                <w:lang w:eastAsia="en-US"/>
              </w:rPr>
            </w:pPr>
            <w:r w:rsidRPr="009239BA">
              <w:rPr>
                <w:lang w:eastAsia="en-US"/>
              </w:rPr>
              <w:t>Program support</w:t>
            </w:r>
          </w:p>
        </w:tc>
        <w:tc>
          <w:tcPr>
            <w:tcW w:w="5114" w:type="dxa"/>
          </w:tcPr>
          <w:p w14:paraId="75C0A212" w14:textId="6B4C6AFA" w:rsidR="00FE1F21" w:rsidRPr="009239BA" w:rsidRDefault="00FE1F21" w:rsidP="00594324">
            <w:pPr>
              <w:spacing w:before="120" w:after="120" w:line="240" w:lineRule="auto"/>
              <w:jc w:val="left"/>
              <w:rPr>
                <w:lang w:eastAsia="en-US"/>
              </w:rPr>
            </w:pPr>
            <w:r w:rsidRPr="009239BA">
              <w:rPr>
                <w:lang w:eastAsia="en-US"/>
              </w:rPr>
              <w:t>The entity’s running</w:t>
            </w:r>
            <w:r w:rsidR="000672C0">
              <w:rPr>
                <w:lang w:eastAsia="en-US"/>
              </w:rPr>
              <w:t xml:space="preserve"> costs allocated to a program. </w:t>
            </w:r>
            <w:r w:rsidRPr="009239BA">
              <w:rPr>
                <w:lang w:eastAsia="en-US"/>
              </w:rPr>
              <w:t xml:space="preserve">This is funded through an entity‘s </w:t>
            </w:r>
            <w:r w:rsidR="008863D9">
              <w:rPr>
                <w:lang w:eastAsia="en-US"/>
              </w:rPr>
              <w:t>Department</w:t>
            </w:r>
            <w:r w:rsidRPr="009239BA">
              <w:rPr>
                <w:lang w:eastAsia="en-US"/>
              </w:rPr>
              <w:t xml:space="preserve">al appropriations. </w:t>
            </w:r>
            <w:r w:rsidR="008863D9">
              <w:rPr>
                <w:lang w:eastAsia="en-US"/>
              </w:rPr>
              <w:t>Department</w:t>
            </w:r>
            <w:r w:rsidRPr="009239BA">
              <w:rPr>
                <w:lang w:eastAsia="en-US"/>
              </w:rPr>
              <w:t>al appropriation splits and totals are indicative estimates and may change in the course of the budget year as government priorities change.</w:t>
            </w:r>
          </w:p>
        </w:tc>
      </w:tr>
      <w:tr w:rsidR="00FE1F21" w:rsidRPr="009239BA" w14:paraId="15BF4BC0" w14:textId="77777777" w:rsidTr="00FE1F21">
        <w:tc>
          <w:tcPr>
            <w:tcW w:w="2586" w:type="dxa"/>
          </w:tcPr>
          <w:p w14:paraId="4D9DECB8" w14:textId="77777777" w:rsidR="00FE1F21" w:rsidRPr="009239BA" w:rsidRDefault="00FE1F21" w:rsidP="00594324">
            <w:pPr>
              <w:spacing w:before="120" w:after="120" w:line="240" w:lineRule="auto"/>
              <w:jc w:val="left"/>
              <w:rPr>
                <w:lang w:eastAsia="en-US"/>
              </w:rPr>
            </w:pPr>
            <w:r w:rsidRPr="009239BA">
              <w:rPr>
                <w:lang w:eastAsia="en-US"/>
              </w:rPr>
              <w:t>Public Governance, Performance and Accountability Act 2013 (PGPA Act)</w:t>
            </w:r>
          </w:p>
        </w:tc>
        <w:tc>
          <w:tcPr>
            <w:tcW w:w="5114" w:type="dxa"/>
          </w:tcPr>
          <w:p w14:paraId="3E8F2D07" w14:textId="70D736E0" w:rsidR="00FE1F21" w:rsidRPr="009239BA" w:rsidRDefault="00FE1F21" w:rsidP="00594324">
            <w:pPr>
              <w:spacing w:before="120" w:after="120" w:line="240" w:lineRule="auto"/>
              <w:jc w:val="left"/>
              <w:rPr>
                <w:lang w:eastAsia="en-US"/>
              </w:rPr>
            </w:pPr>
            <w:r w:rsidRPr="009239BA">
              <w:rPr>
                <w:lang w:eastAsia="en-US"/>
              </w:rPr>
              <w:t>The PGPA Act is the primary piece of Commonwealth re</w:t>
            </w:r>
            <w:r w:rsidR="000672C0">
              <w:rPr>
                <w:lang w:eastAsia="en-US"/>
              </w:rPr>
              <w:t xml:space="preserve">source management legislation. </w:t>
            </w:r>
            <w:r w:rsidRPr="009239BA">
              <w:rPr>
                <w:lang w:eastAsia="en-US"/>
              </w:rPr>
              <w:t>The PGPA Act establishes a coherent system of governance and accountability for public resources, with an emphasis on planni</w:t>
            </w:r>
            <w:r w:rsidR="000672C0">
              <w:rPr>
                <w:lang w:eastAsia="en-US"/>
              </w:rPr>
              <w:t xml:space="preserve">ng, performance and reporting. </w:t>
            </w:r>
            <w:r w:rsidRPr="009239BA">
              <w:rPr>
                <w:lang w:eastAsia="en-US"/>
              </w:rPr>
              <w:t>It applies to all Commonwealth entities and Commonwealth companies.</w:t>
            </w:r>
          </w:p>
        </w:tc>
      </w:tr>
      <w:tr w:rsidR="00FE1F21" w:rsidRPr="009239BA" w14:paraId="2263B9F9" w14:textId="77777777" w:rsidTr="00FE1F21">
        <w:tc>
          <w:tcPr>
            <w:tcW w:w="2586" w:type="dxa"/>
          </w:tcPr>
          <w:p w14:paraId="66C9AEEF" w14:textId="77777777" w:rsidR="00FE1F21" w:rsidRPr="009239BA" w:rsidRDefault="00FE1F21" w:rsidP="00594324">
            <w:pPr>
              <w:spacing w:before="120" w:after="120" w:line="240" w:lineRule="auto"/>
              <w:jc w:val="left"/>
              <w:rPr>
                <w:lang w:eastAsia="en-US"/>
              </w:rPr>
            </w:pPr>
            <w:r w:rsidRPr="009239BA">
              <w:rPr>
                <w:lang w:eastAsia="en-US"/>
              </w:rPr>
              <w:t>Revenue</w:t>
            </w:r>
          </w:p>
        </w:tc>
        <w:tc>
          <w:tcPr>
            <w:tcW w:w="5114" w:type="dxa"/>
          </w:tcPr>
          <w:p w14:paraId="6248EAC7" w14:textId="77777777" w:rsidR="00FE1F21" w:rsidRPr="009239BA" w:rsidRDefault="00FE1F21" w:rsidP="00594324">
            <w:pPr>
              <w:spacing w:before="120" w:after="120" w:line="240" w:lineRule="auto"/>
              <w:jc w:val="left"/>
              <w:rPr>
                <w:lang w:eastAsia="en-US"/>
              </w:rPr>
            </w:pPr>
            <w:r w:rsidRPr="009239BA">
              <w:rPr>
                <w:lang w:eastAsia="en-US"/>
              </w:rPr>
              <w:t>Total value of resources earned or received to cover the production of goods and services.</w:t>
            </w:r>
          </w:p>
        </w:tc>
      </w:tr>
      <w:tr w:rsidR="00FE1F21" w:rsidRPr="009239BA" w14:paraId="0949B24E" w14:textId="77777777" w:rsidTr="00FE1F21">
        <w:tc>
          <w:tcPr>
            <w:tcW w:w="2586" w:type="dxa"/>
          </w:tcPr>
          <w:p w14:paraId="66E24B96" w14:textId="77777777" w:rsidR="00FE1F21" w:rsidRPr="009239BA" w:rsidRDefault="00FE1F21" w:rsidP="00594324">
            <w:pPr>
              <w:spacing w:before="120" w:after="120" w:line="240" w:lineRule="auto"/>
              <w:jc w:val="left"/>
              <w:rPr>
                <w:lang w:eastAsia="en-US"/>
              </w:rPr>
            </w:pPr>
            <w:r w:rsidRPr="009239BA">
              <w:rPr>
                <w:lang w:eastAsia="en-US"/>
              </w:rPr>
              <w:t>Right of use asset</w:t>
            </w:r>
          </w:p>
        </w:tc>
        <w:tc>
          <w:tcPr>
            <w:tcW w:w="5114" w:type="dxa"/>
          </w:tcPr>
          <w:p w14:paraId="127ABA4C" w14:textId="77777777" w:rsidR="00FE1F21" w:rsidRPr="009239BA" w:rsidRDefault="00FE1F21" w:rsidP="00594324">
            <w:pPr>
              <w:spacing w:before="120" w:after="120" w:line="240" w:lineRule="auto"/>
              <w:jc w:val="left"/>
              <w:rPr>
                <w:lang w:eastAsia="en-US"/>
              </w:rPr>
            </w:pPr>
            <w:r w:rsidRPr="009239BA">
              <w:rPr>
                <w:lang w:eastAsia="en-US"/>
              </w:rPr>
              <w:t>An asset that represents a lessee’s right to use an asset that is the subject of a lease, for the lease term.</w:t>
            </w:r>
          </w:p>
        </w:tc>
      </w:tr>
      <w:tr w:rsidR="00FE1F21" w:rsidRPr="009239BA" w14:paraId="0B8341F9" w14:textId="77777777" w:rsidTr="00FE1F21">
        <w:trPr>
          <w:cantSplit/>
        </w:trPr>
        <w:tc>
          <w:tcPr>
            <w:tcW w:w="2586" w:type="dxa"/>
          </w:tcPr>
          <w:p w14:paraId="6B4A12C1" w14:textId="77777777" w:rsidR="00FE1F21" w:rsidRPr="009239BA" w:rsidRDefault="00FE1F21" w:rsidP="00594324">
            <w:pPr>
              <w:spacing w:before="120" w:after="120" w:line="240" w:lineRule="auto"/>
              <w:jc w:val="left"/>
              <w:rPr>
                <w:lang w:eastAsia="en-US"/>
              </w:rPr>
            </w:pPr>
            <w:r w:rsidRPr="009239BA">
              <w:rPr>
                <w:lang w:eastAsia="en-US"/>
              </w:rPr>
              <w:lastRenderedPageBreak/>
              <w:t>Special Account</w:t>
            </w:r>
          </w:p>
        </w:tc>
        <w:tc>
          <w:tcPr>
            <w:tcW w:w="5114" w:type="dxa"/>
          </w:tcPr>
          <w:p w14:paraId="13BE6DB4" w14:textId="77777777" w:rsidR="00FE1F21" w:rsidRPr="009239BA" w:rsidRDefault="00FE1F21" w:rsidP="00594324">
            <w:pPr>
              <w:spacing w:before="120" w:after="120" w:line="240" w:lineRule="auto"/>
              <w:jc w:val="left"/>
              <w:rPr>
                <w:lang w:eastAsia="en-US"/>
              </w:rPr>
            </w:pPr>
            <w:r w:rsidRPr="009239BA">
              <w:rPr>
                <w:lang w:eastAsia="en-US"/>
              </w:rPr>
              <w:t>Special accounts allow money in the CRF to be acknowledged as set-aside (hypothecated) for a particular purpose. Amounts credited to a Special Account may only be spent for the purposes of the Special Account. Special Accounts can only be established by a written determination of the Finance Minister (s78 PGPA Act) or through an Act of Parliament (referred to in s80 of the PGPA Act).</w:t>
            </w:r>
          </w:p>
        </w:tc>
      </w:tr>
      <w:tr w:rsidR="00FE1F21" w:rsidRPr="009239BA" w14:paraId="79B0EBC0" w14:textId="77777777" w:rsidTr="00FE1F21">
        <w:tc>
          <w:tcPr>
            <w:tcW w:w="2586" w:type="dxa"/>
          </w:tcPr>
          <w:p w14:paraId="4586AE0C" w14:textId="77777777" w:rsidR="00FE1F21" w:rsidRPr="009239BA" w:rsidRDefault="00FE1F21" w:rsidP="00594324">
            <w:pPr>
              <w:spacing w:before="120" w:after="120" w:line="240" w:lineRule="auto"/>
              <w:jc w:val="left"/>
              <w:rPr>
                <w:lang w:eastAsia="en-US"/>
              </w:rPr>
            </w:pPr>
            <w:r w:rsidRPr="009239BA">
              <w:rPr>
                <w:lang w:eastAsia="en-US"/>
              </w:rPr>
              <w:t>Special Appropriations (including Standing Appropriations)</w:t>
            </w:r>
          </w:p>
        </w:tc>
        <w:tc>
          <w:tcPr>
            <w:tcW w:w="5114" w:type="dxa"/>
          </w:tcPr>
          <w:p w14:paraId="5ACFCBDD" w14:textId="021F6FE8" w:rsidR="00FE1F21" w:rsidRPr="009239BA" w:rsidRDefault="00FE1F21" w:rsidP="00594324">
            <w:pPr>
              <w:spacing w:before="120" w:after="120" w:line="240" w:lineRule="auto"/>
              <w:jc w:val="left"/>
              <w:rPr>
                <w:lang w:eastAsia="en-US"/>
              </w:rPr>
            </w:pPr>
            <w:r w:rsidRPr="009239BA">
              <w:rPr>
                <w:lang w:eastAsia="en-US"/>
              </w:rPr>
              <w:t>Authority within an Act (other than the annual Appropriation Acts) to spend money from t</w:t>
            </w:r>
            <w:r w:rsidR="000672C0">
              <w:rPr>
                <w:lang w:eastAsia="en-US"/>
              </w:rPr>
              <w:t>he CRF for particular purposes.</w:t>
            </w:r>
            <w:r w:rsidRPr="009239BA">
              <w:rPr>
                <w:lang w:eastAsia="en-US"/>
              </w:rPr>
              <w:t xml:space="preserve"> For special appropriations, the authority to withdraw funds from the CRF does not generally cease at the end of the financial year.</w:t>
            </w:r>
          </w:p>
          <w:p w14:paraId="70CCBE64" w14:textId="77777777" w:rsidR="00FE1F21" w:rsidRPr="009239BA" w:rsidRDefault="00FE1F21" w:rsidP="00594324">
            <w:pPr>
              <w:spacing w:before="120" w:after="120" w:line="240" w:lineRule="auto"/>
              <w:jc w:val="left"/>
              <w:rPr>
                <w:lang w:eastAsia="en-US"/>
              </w:rPr>
            </w:pPr>
            <w:r w:rsidRPr="009239BA">
              <w:rPr>
                <w:rFonts w:eastAsia="Calibri"/>
                <w:lang w:val="en-US" w:eastAsia="en-US" w:bidi="en-US"/>
              </w:rPr>
              <w:t xml:space="preserve">Standing appropriations are a sub-category consisting of ongoing special appropriations </w:t>
            </w:r>
            <w:r w:rsidRPr="009239BA">
              <w:rPr>
                <w:rFonts w:eastAsia="Calibri"/>
                <w:lang w:val="en-US" w:eastAsia="en-US" w:bidi="en-US"/>
              </w:rPr>
              <w:noBreakHyphen/>
              <w:t xml:space="preserve"> the amount appropriated will depend on circumstances specified in the legislation</w:t>
            </w:r>
            <w:r w:rsidRPr="009239BA">
              <w:rPr>
                <w:lang w:eastAsia="en-US"/>
              </w:rPr>
              <w:t>.</w:t>
            </w:r>
          </w:p>
        </w:tc>
      </w:tr>
      <w:tr w:rsidR="00FE1F21" w:rsidRPr="009239BA" w14:paraId="7A5E9460" w14:textId="77777777" w:rsidTr="00FE1F21">
        <w:tc>
          <w:tcPr>
            <w:tcW w:w="2586" w:type="dxa"/>
          </w:tcPr>
          <w:p w14:paraId="13511479" w14:textId="77777777" w:rsidR="00FE1F21" w:rsidRPr="009239BA" w:rsidRDefault="00FE1F21" w:rsidP="00594324">
            <w:pPr>
              <w:spacing w:before="120" w:after="120" w:line="240" w:lineRule="auto"/>
              <w:jc w:val="left"/>
              <w:rPr>
                <w:lang w:eastAsia="en-US"/>
              </w:rPr>
            </w:pPr>
            <w:r w:rsidRPr="009239BA">
              <w:rPr>
                <w:lang w:eastAsia="en-US"/>
              </w:rPr>
              <w:t>Statutory Authority</w:t>
            </w:r>
          </w:p>
        </w:tc>
        <w:tc>
          <w:tcPr>
            <w:tcW w:w="5114" w:type="dxa"/>
          </w:tcPr>
          <w:p w14:paraId="288B12D7" w14:textId="77777777" w:rsidR="00FE1F21" w:rsidRPr="009239BA" w:rsidRDefault="00FE1F21" w:rsidP="00594324">
            <w:pPr>
              <w:spacing w:before="120" w:after="120" w:line="240" w:lineRule="auto"/>
              <w:jc w:val="left"/>
              <w:rPr>
                <w:lang w:eastAsia="en-US"/>
              </w:rPr>
            </w:pPr>
            <w:r w:rsidRPr="009239BA">
              <w:rPr>
                <w:lang w:eastAsia="en-US"/>
              </w:rPr>
              <w:t>An Australian Government body established through legislation for a public purpose. This can include a body headed by, or comprising, an office holder, a commission or a governing board.</w:t>
            </w:r>
          </w:p>
        </w:tc>
      </w:tr>
      <w:tr w:rsidR="00FE1F21" w:rsidRPr="009239BA" w14:paraId="373892B8" w14:textId="77777777" w:rsidTr="00FE1F21">
        <w:tc>
          <w:tcPr>
            <w:tcW w:w="2586" w:type="dxa"/>
          </w:tcPr>
          <w:p w14:paraId="196F11A7" w14:textId="77777777" w:rsidR="00FE1F21" w:rsidRPr="009239BA" w:rsidRDefault="00FE1F21" w:rsidP="00594324">
            <w:pPr>
              <w:spacing w:before="120" w:after="120" w:line="240" w:lineRule="auto"/>
              <w:jc w:val="left"/>
              <w:rPr>
                <w:lang w:eastAsia="en-US"/>
              </w:rPr>
            </w:pPr>
            <w:r w:rsidRPr="009239BA">
              <w:rPr>
                <w:lang w:eastAsia="en-US"/>
              </w:rPr>
              <w:t>Underlying cash balance</w:t>
            </w:r>
          </w:p>
        </w:tc>
        <w:tc>
          <w:tcPr>
            <w:tcW w:w="5114" w:type="dxa"/>
          </w:tcPr>
          <w:p w14:paraId="5504E100" w14:textId="285FB916" w:rsidR="00FE1F21" w:rsidRPr="009239BA" w:rsidRDefault="00FE1F21" w:rsidP="00594324">
            <w:pPr>
              <w:spacing w:before="120" w:after="120" w:line="240" w:lineRule="auto"/>
              <w:jc w:val="left"/>
              <w:rPr>
                <w:lang w:eastAsia="en-US"/>
              </w:rPr>
            </w:pPr>
            <w:r w:rsidRPr="009239BA">
              <w:rPr>
                <w:lang w:eastAsia="en-US"/>
              </w:rPr>
              <w:t>A cash measure that shows whether the government has to borrow from financial ma</w:t>
            </w:r>
            <w:r w:rsidR="005C65F6">
              <w:rPr>
                <w:lang w:eastAsia="en-US"/>
              </w:rPr>
              <w:t xml:space="preserve">rkets to cover its activities. </w:t>
            </w:r>
            <w:r w:rsidRPr="009239BA">
              <w:rPr>
                <w:lang w:eastAsia="en-US"/>
              </w:rPr>
              <w:t>Underlying cash balance generally includes operating receipts, less operating payments, less investment in non-financial assets.</w:t>
            </w:r>
          </w:p>
        </w:tc>
      </w:tr>
    </w:tbl>
    <w:p w14:paraId="5C255F24" w14:textId="77777777" w:rsidR="007679DB" w:rsidRDefault="007679DB" w:rsidP="00484CB3"/>
    <w:p w14:paraId="354FE885" w14:textId="77777777" w:rsidR="007679DB" w:rsidRDefault="007679DB" w:rsidP="00484CB3"/>
    <w:p w14:paraId="20CA3E79" w14:textId="36FEF9B8" w:rsidR="007679DB" w:rsidRDefault="007679DB" w:rsidP="00484CB3">
      <w:pPr>
        <w:sectPr w:rsidR="007679DB" w:rsidSect="005A601A">
          <w:headerReference w:type="even" r:id="rId134"/>
          <w:headerReference w:type="default" r:id="rId135"/>
          <w:footerReference w:type="even" r:id="rId136"/>
          <w:footerReference w:type="default" r:id="rId137"/>
          <w:headerReference w:type="first" r:id="rId138"/>
          <w:footerReference w:type="first" r:id="rId139"/>
          <w:type w:val="oddPage"/>
          <w:pgSz w:w="11907" w:h="16840" w:code="9"/>
          <w:pgMar w:top="2835" w:right="2098" w:bottom="2466" w:left="2098" w:header="1814" w:footer="1814" w:gutter="0"/>
          <w:cols w:space="708"/>
          <w:docGrid w:linePitch="360"/>
        </w:sectPr>
      </w:pPr>
    </w:p>
    <w:p w14:paraId="09CB797C" w14:textId="7A35CFC7" w:rsidR="003553EB" w:rsidRDefault="00373CC5" w:rsidP="00F37CD1">
      <w:pPr>
        <w:pStyle w:val="Heading1"/>
      </w:pPr>
      <w:bookmarkStart w:id="540" w:name="_Toc94198479"/>
      <w:r>
        <w:lastRenderedPageBreak/>
        <w:t>Acronyms</w:t>
      </w:r>
      <w:bookmarkEnd w:id="540"/>
    </w:p>
    <w:tbl>
      <w:tblPr>
        <w:tblW w:w="7700" w:type="dxa"/>
        <w:tblInd w:w="108" w:type="dxa"/>
        <w:tblLook w:val="01E0" w:firstRow="1" w:lastRow="1" w:firstColumn="1" w:lastColumn="1" w:noHBand="0" w:noVBand="0"/>
      </w:tblPr>
      <w:tblGrid>
        <w:gridCol w:w="1877"/>
        <w:gridCol w:w="5823"/>
      </w:tblGrid>
      <w:tr w:rsidR="00304684" w:rsidRPr="00F433A0" w14:paraId="32E79C3C" w14:textId="77777777" w:rsidTr="00D17655">
        <w:trPr>
          <w:tblHeader/>
        </w:trPr>
        <w:tc>
          <w:tcPr>
            <w:tcW w:w="1877" w:type="dxa"/>
            <w:vAlign w:val="center"/>
          </w:tcPr>
          <w:p w14:paraId="2B65F4DE" w14:textId="77777777" w:rsidR="00304684" w:rsidRPr="00F433A0" w:rsidRDefault="00304684" w:rsidP="00326B26">
            <w:pPr>
              <w:pStyle w:val="TableColumnHeadingLeft"/>
              <w:spacing w:before="100" w:after="100"/>
            </w:pPr>
            <w:r w:rsidRPr="00F433A0">
              <w:t>Acronym</w:t>
            </w:r>
          </w:p>
        </w:tc>
        <w:tc>
          <w:tcPr>
            <w:tcW w:w="5823" w:type="dxa"/>
            <w:vAlign w:val="center"/>
          </w:tcPr>
          <w:p w14:paraId="016FA3B2" w14:textId="77777777" w:rsidR="00304684" w:rsidRPr="00F433A0" w:rsidRDefault="00304684" w:rsidP="00326B26">
            <w:pPr>
              <w:pStyle w:val="TableColumnHeadingLeft"/>
              <w:spacing w:before="100" w:after="100"/>
            </w:pPr>
            <w:r w:rsidRPr="00F433A0">
              <w:t>Meaning</w:t>
            </w:r>
          </w:p>
        </w:tc>
      </w:tr>
      <w:tr w:rsidR="00304684" w:rsidRPr="00F433A0" w:rsidDel="00A2744A" w14:paraId="6771D95A" w14:textId="77777777" w:rsidTr="00D17655">
        <w:tc>
          <w:tcPr>
            <w:tcW w:w="1877" w:type="dxa"/>
            <w:vAlign w:val="center"/>
          </w:tcPr>
          <w:p w14:paraId="7A6188F4" w14:textId="77777777" w:rsidR="00304684" w:rsidRPr="00F433A0" w:rsidDel="00A2744A" w:rsidRDefault="00304684" w:rsidP="00326B26">
            <w:pPr>
              <w:pStyle w:val="BookAntiqua10left2"/>
              <w:spacing w:before="100" w:after="100"/>
              <w:rPr>
                <w:lang w:val="en-US" w:bidi="en-US"/>
              </w:rPr>
            </w:pPr>
            <w:r w:rsidRPr="00F433A0">
              <w:rPr>
                <w:lang w:val="en-US" w:bidi="en-US"/>
              </w:rPr>
              <w:t>5G</w:t>
            </w:r>
          </w:p>
        </w:tc>
        <w:tc>
          <w:tcPr>
            <w:tcW w:w="5823" w:type="dxa"/>
            <w:vAlign w:val="center"/>
          </w:tcPr>
          <w:p w14:paraId="0ACFF836" w14:textId="77777777" w:rsidR="00304684" w:rsidRPr="003F4C9C" w:rsidDel="00A2744A" w:rsidRDefault="00304684" w:rsidP="00326B26">
            <w:pPr>
              <w:pStyle w:val="BookAntiqua10left2"/>
              <w:spacing w:before="100" w:after="100"/>
              <w:rPr>
                <w:lang w:bidi="en-US"/>
              </w:rPr>
            </w:pPr>
            <w:r w:rsidRPr="003F4C9C">
              <w:rPr>
                <w:lang w:bidi="en-US"/>
              </w:rPr>
              <w:t>5</w:t>
            </w:r>
            <w:r w:rsidRPr="003F4C9C">
              <w:rPr>
                <w:vertAlign w:val="superscript"/>
                <w:lang w:bidi="en-US"/>
              </w:rPr>
              <w:t>th</w:t>
            </w:r>
            <w:r w:rsidRPr="003F4C9C">
              <w:rPr>
                <w:lang w:bidi="en-US"/>
              </w:rPr>
              <w:t xml:space="preserve"> Generation wireless systems</w:t>
            </w:r>
          </w:p>
        </w:tc>
      </w:tr>
      <w:tr w:rsidR="00304684" w:rsidRPr="00F433A0" w:rsidDel="00A2744A" w14:paraId="69670161" w14:textId="77777777" w:rsidTr="00D17655">
        <w:tc>
          <w:tcPr>
            <w:tcW w:w="1877" w:type="dxa"/>
            <w:vAlign w:val="center"/>
          </w:tcPr>
          <w:p w14:paraId="37FFFF53" w14:textId="77777777" w:rsidR="00304684" w:rsidRPr="00F433A0" w:rsidRDefault="00304684" w:rsidP="00326B26">
            <w:pPr>
              <w:pStyle w:val="BookAntiqua10left2"/>
              <w:spacing w:before="100" w:after="100"/>
              <w:rPr>
                <w:lang w:val="en-US" w:bidi="en-US"/>
              </w:rPr>
            </w:pPr>
            <w:r w:rsidRPr="00F433A0">
              <w:rPr>
                <w:lang w:val="en-US" w:bidi="en-US"/>
              </w:rPr>
              <w:t>AAO</w:t>
            </w:r>
          </w:p>
        </w:tc>
        <w:tc>
          <w:tcPr>
            <w:tcW w:w="5823" w:type="dxa"/>
            <w:vAlign w:val="center"/>
          </w:tcPr>
          <w:p w14:paraId="72F2D875" w14:textId="77777777" w:rsidR="00304684" w:rsidRPr="003F4C9C" w:rsidRDefault="00304684" w:rsidP="00326B26">
            <w:pPr>
              <w:pStyle w:val="BookAntiqua10left2"/>
              <w:spacing w:before="100" w:after="100"/>
              <w:rPr>
                <w:lang w:bidi="en-US"/>
              </w:rPr>
            </w:pPr>
            <w:r w:rsidRPr="003F4C9C">
              <w:rPr>
                <w:lang w:bidi="en-US"/>
              </w:rPr>
              <w:t>Administrative Arrangements Order</w:t>
            </w:r>
          </w:p>
        </w:tc>
      </w:tr>
      <w:tr w:rsidR="00304684" w:rsidRPr="00F433A0" w:rsidDel="00A2744A" w14:paraId="0C9B78F7" w14:textId="77777777" w:rsidTr="00D17655">
        <w:tc>
          <w:tcPr>
            <w:tcW w:w="1877" w:type="dxa"/>
            <w:vAlign w:val="center"/>
          </w:tcPr>
          <w:p w14:paraId="2FACD043" w14:textId="77777777" w:rsidR="00304684" w:rsidRPr="00F433A0" w:rsidRDefault="00304684" w:rsidP="00326B26">
            <w:pPr>
              <w:pStyle w:val="BookAntiqua10left2"/>
              <w:spacing w:before="100" w:after="100"/>
              <w:rPr>
                <w:lang w:val="en-US" w:bidi="en-US"/>
              </w:rPr>
            </w:pPr>
            <w:r w:rsidRPr="00F433A0">
              <w:rPr>
                <w:lang w:val="en-US" w:bidi="en-US"/>
              </w:rPr>
              <w:t>AASB</w:t>
            </w:r>
          </w:p>
        </w:tc>
        <w:tc>
          <w:tcPr>
            <w:tcW w:w="5823" w:type="dxa"/>
            <w:vAlign w:val="center"/>
          </w:tcPr>
          <w:p w14:paraId="13BE7502" w14:textId="77777777" w:rsidR="00304684" w:rsidRPr="003F4C9C" w:rsidRDefault="00304684" w:rsidP="00326B26">
            <w:pPr>
              <w:pStyle w:val="BookAntiqua10left2"/>
              <w:spacing w:before="100" w:after="100"/>
              <w:rPr>
                <w:lang w:bidi="en-US"/>
              </w:rPr>
            </w:pPr>
            <w:r w:rsidRPr="003F4C9C">
              <w:rPr>
                <w:lang w:bidi="en-US"/>
              </w:rPr>
              <w:t>Australian Accounting Standards Board</w:t>
            </w:r>
          </w:p>
        </w:tc>
      </w:tr>
      <w:tr w:rsidR="00304684" w:rsidRPr="00F433A0" w14:paraId="1538EB50" w14:textId="77777777" w:rsidTr="00D17655">
        <w:tc>
          <w:tcPr>
            <w:tcW w:w="1877" w:type="dxa"/>
            <w:vAlign w:val="center"/>
          </w:tcPr>
          <w:p w14:paraId="437C47CA" w14:textId="77777777" w:rsidR="00304684" w:rsidRPr="00F433A0" w:rsidRDefault="00304684" w:rsidP="00326B26">
            <w:pPr>
              <w:pStyle w:val="BookAntiqua10left2"/>
              <w:spacing w:before="100" w:after="100"/>
            </w:pPr>
            <w:r w:rsidRPr="00F433A0">
              <w:rPr>
                <w:lang w:val="en-US" w:bidi="en-US"/>
              </w:rPr>
              <w:t>ABC</w:t>
            </w:r>
          </w:p>
        </w:tc>
        <w:tc>
          <w:tcPr>
            <w:tcW w:w="5823" w:type="dxa"/>
            <w:vAlign w:val="center"/>
          </w:tcPr>
          <w:p w14:paraId="11DAE2BB" w14:textId="77777777" w:rsidR="00304684" w:rsidRPr="003F4C9C" w:rsidRDefault="00304684" w:rsidP="00326B26">
            <w:pPr>
              <w:pStyle w:val="BookAntiqua10left2"/>
              <w:spacing w:before="100" w:after="100"/>
            </w:pPr>
            <w:r w:rsidRPr="003F4C9C">
              <w:rPr>
                <w:lang w:bidi="en-US"/>
              </w:rPr>
              <w:t>Australian Broadcasting Corporation</w:t>
            </w:r>
          </w:p>
        </w:tc>
      </w:tr>
      <w:tr w:rsidR="00304684" w:rsidRPr="00F433A0" w14:paraId="6D165555" w14:textId="77777777" w:rsidTr="00D17655">
        <w:tc>
          <w:tcPr>
            <w:tcW w:w="1877" w:type="dxa"/>
            <w:vAlign w:val="center"/>
          </w:tcPr>
          <w:p w14:paraId="43A82B90" w14:textId="77777777" w:rsidR="00304684" w:rsidRPr="00F433A0" w:rsidRDefault="00304684" w:rsidP="00326B26">
            <w:pPr>
              <w:pStyle w:val="BookAntiqua10left2"/>
              <w:spacing w:before="100" w:after="100"/>
              <w:rPr>
                <w:lang w:val="en-US" w:bidi="en-US"/>
              </w:rPr>
            </w:pPr>
            <w:r w:rsidRPr="00F433A0">
              <w:rPr>
                <w:lang w:val="en-US" w:bidi="en-US"/>
              </w:rPr>
              <w:t>AC</w:t>
            </w:r>
          </w:p>
        </w:tc>
        <w:tc>
          <w:tcPr>
            <w:tcW w:w="5823" w:type="dxa"/>
            <w:vAlign w:val="center"/>
          </w:tcPr>
          <w:p w14:paraId="259C0270" w14:textId="77777777" w:rsidR="00304684" w:rsidRPr="003F4C9C" w:rsidRDefault="00304684" w:rsidP="00326B26">
            <w:pPr>
              <w:pStyle w:val="BookAntiqua10left2"/>
              <w:spacing w:before="100" w:after="100"/>
              <w:rPr>
                <w:lang w:bidi="en-US"/>
              </w:rPr>
            </w:pPr>
            <w:r w:rsidRPr="003F4C9C">
              <w:rPr>
                <w:lang w:bidi="en-US"/>
              </w:rPr>
              <w:t>Companion of the Order of Australia</w:t>
            </w:r>
          </w:p>
        </w:tc>
      </w:tr>
      <w:tr w:rsidR="00304684" w:rsidRPr="00F433A0" w14:paraId="4A932E83" w14:textId="77777777" w:rsidTr="00D17655">
        <w:tc>
          <w:tcPr>
            <w:tcW w:w="1877" w:type="dxa"/>
            <w:vAlign w:val="center"/>
          </w:tcPr>
          <w:p w14:paraId="0CD48522" w14:textId="77777777" w:rsidR="00304684" w:rsidRPr="00F433A0" w:rsidRDefault="00304684" w:rsidP="00326B26">
            <w:pPr>
              <w:pStyle w:val="BookAntiqua10left2"/>
              <w:spacing w:before="100" w:after="100"/>
            </w:pPr>
            <w:r w:rsidRPr="00F433A0">
              <w:rPr>
                <w:lang w:val="en-US" w:bidi="en-US"/>
              </w:rPr>
              <w:t>ACB</w:t>
            </w:r>
          </w:p>
        </w:tc>
        <w:tc>
          <w:tcPr>
            <w:tcW w:w="5823" w:type="dxa"/>
            <w:vAlign w:val="center"/>
          </w:tcPr>
          <w:p w14:paraId="50042884" w14:textId="77777777" w:rsidR="00304684" w:rsidRPr="003F4C9C" w:rsidRDefault="00304684" w:rsidP="00326B26">
            <w:pPr>
              <w:pStyle w:val="BookAntiqua10left2"/>
              <w:spacing w:before="100" w:after="100"/>
            </w:pPr>
            <w:r w:rsidRPr="003F4C9C">
              <w:rPr>
                <w:lang w:bidi="en-US"/>
              </w:rPr>
              <w:t>Administered Capital Budget</w:t>
            </w:r>
          </w:p>
        </w:tc>
      </w:tr>
      <w:tr w:rsidR="00304684" w:rsidRPr="00F433A0" w14:paraId="4AB956CD" w14:textId="77777777" w:rsidTr="00D17655">
        <w:tc>
          <w:tcPr>
            <w:tcW w:w="1877" w:type="dxa"/>
            <w:vAlign w:val="center"/>
          </w:tcPr>
          <w:p w14:paraId="00BF1AAE" w14:textId="77777777" w:rsidR="00304684" w:rsidRPr="00A423E1" w:rsidRDefault="00304684" w:rsidP="00326B26">
            <w:pPr>
              <w:pStyle w:val="BookAntiqua10left2"/>
              <w:spacing w:before="100" w:after="100"/>
              <w:rPr>
                <w:lang w:val="en-US" w:bidi="en-US"/>
              </w:rPr>
            </w:pPr>
            <w:r w:rsidRPr="00A423E1">
              <w:rPr>
                <w:lang w:val="en-US" w:bidi="en-US"/>
              </w:rPr>
              <w:t>ACCC</w:t>
            </w:r>
          </w:p>
        </w:tc>
        <w:tc>
          <w:tcPr>
            <w:tcW w:w="5823" w:type="dxa"/>
            <w:vAlign w:val="center"/>
          </w:tcPr>
          <w:p w14:paraId="3E6F310B" w14:textId="77777777" w:rsidR="00304684" w:rsidRPr="003F4C9C" w:rsidRDefault="00304684" w:rsidP="00326B26">
            <w:pPr>
              <w:pStyle w:val="BookAntiqua10left2"/>
              <w:spacing w:before="100" w:after="100"/>
              <w:rPr>
                <w:lang w:bidi="en-US"/>
              </w:rPr>
            </w:pPr>
            <w:r w:rsidRPr="003F4C9C">
              <w:rPr>
                <w:lang w:bidi="en-US"/>
              </w:rPr>
              <w:t>Australian Competition and Consumer Commission</w:t>
            </w:r>
          </w:p>
        </w:tc>
      </w:tr>
      <w:tr w:rsidR="00304684" w:rsidRPr="00F433A0" w14:paraId="0AEFE006" w14:textId="77777777" w:rsidTr="00D17655">
        <w:tc>
          <w:tcPr>
            <w:tcW w:w="1877" w:type="dxa"/>
            <w:vAlign w:val="center"/>
          </w:tcPr>
          <w:p w14:paraId="4343D9AE" w14:textId="77777777" w:rsidR="00304684" w:rsidRPr="00A423E1" w:rsidRDefault="00304684" w:rsidP="00326B26">
            <w:pPr>
              <w:pStyle w:val="BookAntiqua10left2"/>
              <w:spacing w:before="100" w:after="100"/>
            </w:pPr>
            <w:r w:rsidRPr="00A423E1">
              <w:rPr>
                <w:lang w:val="en-US" w:bidi="en-US"/>
              </w:rPr>
              <w:t>ACMA</w:t>
            </w:r>
          </w:p>
        </w:tc>
        <w:tc>
          <w:tcPr>
            <w:tcW w:w="5823" w:type="dxa"/>
            <w:vAlign w:val="center"/>
          </w:tcPr>
          <w:p w14:paraId="1D02AE92" w14:textId="77777777" w:rsidR="00304684" w:rsidRPr="003F4C9C" w:rsidRDefault="00304684" w:rsidP="00326B26">
            <w:pPr>
              <w:pStyle w:val="BookAntiqua10left2"/>
              <w:spacing w:before="100" w:after="100"/>
            </w:pPr>
            <w:r w:rsidRPr="003F4C9C">
              <w:rPr>
                <w:lang w:bidi="en-US"/>
              </w:rPr>
              <w:t>Australian Communications and Media Authority</w:t>
            </w:r>
          </w:p>
        </w:tc>
      </w:tr>
      <w:tr w:rsidR="00304684" w:rsidRPr="00F433A0" w14:paraId="306D3A60" w14:textId="77777777" w:rsidTr="00D17655">
        <w:tc>
          <w:tcPr>
            <w:tcW w:w="1877" w:type="dxa"/>
            <w:vAlign w:val="center"/>
          </w:tcPr>
          <w:p w14:paraId="2F71F683" w14:textId="77777777" w:rsidR="00304684" w:rsidRPr="00A423E1" w:rsidRDefault="00304684" w:rsidP="00326B26">
            <w:pPr>
              <w:pStyle w:val="BookAntiqua10left2"/>
              <w:spacing w:before="100" w:after="100"/>
              <w:rPr>
                <w:lang w:val="en-US" w:bidi="en-US"/>
              </w:rPr>
            </w:pPr>
            <w:r w:rsidRPr="00A423E1">
              <w:rPr>
                <w:lang w:val="en-US" w:bidi="en-US"/>
              </w:rPr>
              <w:t>ACT</w:t>
            </w:r>
          </w:p>
        </w:tc>
        <w:tc>
          <w:tcPr>
            <w:tcW w:w="5823" w:type="dxa"/>
            <w:vAlign w:val="center"/>
          </w:tcPr>
          <w:p w14:paraId="420AB923" w14:textId="77777777" w:rsidR="00304684" w:rsidRPr="003F4C9C" w:rsidRDefault="00304684" w:rsidP="00326B26">
            <w:pPr>
              <w:pStyle w:val="BookAntiqua10left2"/>
              <w:spacing w:before="100" w:after="100"/>
              <w:rPr>
                <w:lang w:bidi="en-US"/>
              </w:rPr>
            </w:pPr>
            <w:r w:rsidRPr="003F4C9C">
              <w:rPr>
                <w:lang w:bidi="en-US"/>
              </w:rPr>
              <w:t>Australian Capital Territory</w:t>
            </w:r>
          </w:p>
        </w:tc>
      </w:tr>
      <w:tr w:rsidR="00A272B8" w:rsidRPr="00F433A0" w14:paraId="7ACCC7E3" w14:textId="77777777" w:rsidTr="00D17655">
        <w:tc>
          <w:tcPr>
            <w:tcW w:w="1877" w:type="dxa"/>
            <w:vAlign w:val="center"/>
          </w:tcPr>
          <w:p w14:paraId="743192AC" w14:textId="56C7D8A2" w:rsidR="00A272B8" w:rsidRPr="00A423E1" w:rsidRDefault="00A272B8" w:rsidP="00326B26">
            <w:pPr>
              <w:pStyle w:val="BookAntiqua10left2"/>
              <w:spacing w:before="100" w:after="100"/>
              <w:rPr>
                <w:lang w:val="en-US" w:bidi="en-US"/>
              </w:rPr>
            </w:pPr>
            <w:r>
              <w:rPr>
                <w:lang w:val="en-US" w:bidi="en-US"/>
              </w:rPr>
              <w:t>AFM</w:t>
            </w:r>
          </w:p>
        </w:tc>
        <w:tc>
          <w:tcPr>
            <w:tcW w:w="5823" w:type="dxa"/>
            <w:vAlign w:val="center"/>
          </w:tcPr>
          <w:p w14:paraId="2CD4CD17" w14:textId="5B4C7352" w:rsidR="00A272B8" w:rsidRPr="003F4C9C" w:rsidRDefault="00A272B8" w:rsidP="00326B26">
            <w:pPr>
              <w:pStyle w:val="BookAntiqua10left2"/>
              <w:spacing w:before="100" w:after="100"/>
              <w:rPr>
                <w:lang w:bidi="en-US"/>
              </w:rPr>
            </w:pPr>
            <w:r>
              <w:rPr>
                <w:lang w:bidi="en-US"/>
              </w:rPr>
              <w:t>Advance to the Finance Minister</w:t>
            </w:r>
          </w:p>
        </w:tc>
      </w:tr>
      <w:tr w:rsidR="00304684" w:rsidRPr="00F433A0" w14:paraId="74A07B76" w14:textId="77777777" w:rsidTr="00D17655">
        <w:tc>
          <w:tcPr>
            <w:tcW w:w="1877" w:type="dxa"/>
            <w:vAlign w:val="center"/>
          </w:tcPr>
          <w:p w14:paraId="6965335D" w14:textId="77777777" w:rsidR="00304684" w:rsidRPr="00A423E1" w:rsidRDefault="00304684" w:rsidP="00326B26">
            <w:pPr>
              <w:pStyle w:val="BookAntiqua10left2"/>
              <w:spacing w:before="100" w:after="100"/>
            </w:pPr>
            <w:r w:rsidRPr="00A423E1">
              <w:rPr>
                <w:lang w:val="en-US" w:bidi="en-US"/>
              </w:rPr>
              <w:t>AFTRS</w:t>
            </w:r>
          </w:p>
        </w:tc>
        <w:tc>
          <w:tcPr>
            <w:tcW w:w="5823" w:type="dxa"/>
            <w:vAlign w:val="center"/>
          </w:tcPr>
          <w:p w14:paraId="6A70635B" w14:textId="77777777" w:rsidR="00304684" w:rsidRPr="003F4C9C" w:rsidRDefault="00304684" w:rsidP="00326B26">
            <w:pPr>
              <w:pStyle w:val="BookAntiqua10left2"/>
              <w:spacing w:before="100" w:after="100"/>
            </w:pPr>
            <w:r w:rsidRPr="003F4C9C">
              <w:rPr>
                <w:lang w:bidi="en-US"/>
              </w:rPr>
              <w:t>Australian Film, Television and Radio School</w:t>
            </w:r>
          </w:p>
        </w:tc>
      </w:tr>
      <w:tr w:rsidR="00304684" w:rsidRPr="00F433A0" w14:paraId="138BB372" w14:textId="77777777" w:rsidTr="00D17655">
        <w:tc>
          <w:tcPr>
            <w:tcW w:w="1877" w:type="dxa"/>
            <w:vAlign w:val="center"/>
          </w:tcPr>
          <w:p w14:paraId="4BAD632A" w14:textId="77777777" w:rsidR="00304684" w:rsidRPr="00A423E1" w:rsidRDefault="00304684" w:rsidP="00326B26">
            <w:pPr>
              <w:pStyle w:val="BookAntiqua10left2"/>
              <w:spacing w:before="100" w:after="100"/>
              <w:rPr>
                <w:lang w:val="en-US" w:bidi="en-US"/>
              </w:rPr>
            </w:pPr>
            <w:r w:rsidRPr="00A423E1">
              <w:rPr>
                <w:lang w:val="en-US" w:bidi="en-US"/>
              </w:rPr>
              <w:t>AM</w:t>
            </w:r>
          </w:p>
        </w:tc>
        <w:tc>
          <w:tcPr>
            <w:tcW w:w="5823" w:type="dxa"/>
            <w:vAlign w:val="center"/>
          </w:tcPr>
          <w:p w14:paraId="55C2217E" w14:textId="77777777" w:rsidR="00304684" w:rsidRPr="003F4C9C" w:rsidRDefault="00304684" w:rsidP="00326B26">
            <w:pPr>
              <w:pStyle w:val="BookAntiqua10left2"/>
              <w:spacing w:before="100" w:after="100"/>
              <w:rPr>
                <w:lang w:bidi="en-US"/>
              </w:rPr>
            </w:pPr>
            <w:r w:rsidRPr="003F4C9C">
              <w:rPr>
                <w:lang w:bidi="en-US"/>
              </w:rPr>
              <w:t>Member of the Order of Australia</w:t>
            </w:r>
          </w:p>
        </w:tc>
      </w:tr>
      <w:tr w:rsidR="00304684" w:rsidRPr="00F433A0" w14:paraId="01F7E0AE" w14:textId="77777777" w:rsidTr="00D17655">
        <w:tc>
          <w:tcPr>
            <w:tcW w:w="1877" w:type="dxa"/>
            <w:vAlign w:val="center"/>
          </w:tcPr>
          <w:p w14:paraId="716FD9A1" w14:textId="77777777" w:rsidR="00304684" w:rsidRPr="00A423E1" w:rsidRDefault="00304684" w:rsidP="00326B26">
            <w:pPr>
              <w:pStyle w:val="BookAntiqua10left2"/>
              <w:spacing w:before="100" w:after="100"/>
              <w:rPr>
                <w:lang w:val="en-US" w:bidi="en-US"/>
              </w:rPr>
            </w:pPr>
            <w:r w:rsidRPr="00A423E1">
              <w:rPr>
                <w:lang w:val="en-US" w:bidi="en-US"/>
              </w:rPr>
              <w:t>AMSA</w:t>
            </w:r>
          </w:p>
        </w:tc>
        <w:tc>
          <w:tcPr>
            <w:tcW w:w="5823" w:type="dxa"/>
            <w:vAlign w:val="center"/>
          </w:tcPr>
          <w:p w14:paraId="6AFCDEAF" w14:textId="77777777" w:rsidR="00304684" w:rsidRPr="003F4C9C" w:rsidRDefault="00304684" w:rsidP="00326B26">
            <w:pPr>
              <w:pStyle w:val="BookAntiqua10left2"/>
              <w:spacing w:before="100" w:after="100"/>
              <w:rPr>
                <w:lang w:bidi="en-US"/>
              </w:rPr>
            </w:pPr>
            <w:r w:rsidRPr="003F4C9C">
              <w:rPr>
                <w:lang w:bidi="en-US"/>
              </w:rPr>
              <w:t>Australian Maritime Safety Authority</w:t>
            </w:r>
          </w:p>
        </w:tc>
      </w:tr>
      <w:tr w:rsidR="00304684" w:rsidRPr="00F433A0" w14:paraId="61B755D0" w14:textId="77777777" w:rsidTr="00D17655">
        <w:tc>
          <w:tcPr>
            <w:tcW w:w="1877" w:type="dxa"/>
            <w:vAlign w:val="center"/>
          </w:tcPr>
          <w:p w14:paraId="1D73257E" w14:textId="77777777" w:rsidR="00304684" w:rsidRPr="00A423E1" w:rsidRDefault="00304684" w:rsidP="00326B26">
            <w:pPr>
              <w:pStyle w:val="BookAntiqua10left2"/>
              <w:spacing w:before="100" w:after="100"/>
            </w:pPr>
            <w:r w:rsidRPr="00A423E1">
              <w:rPr>
                <w:lang w:val="en-US" w:bidi="en-US"/>
              </w:rPr>
              <w:t>ANMM</w:t>
            </w:r>
          </w:p>
        </w:tc>
        <w:tc>
          <w:tcPr>
            <w:tcW w:w="5823" w:type="dxa"/>
            <w:vAlign w:val="center"/>
          </w:tcPr>
          <w:p w14:paraId="657201AE" w14:textId="77777777" w:rsidR="00304684" w:rsidRPr="003F4C9C" w:rsidRDefault="00304684" w:rsidP="00326B26">
            <w:pPr>
              <w:pStyle w:val="BookAntiqua10left2"/>
              <w:spacing w:before="100" w:after="100"/>
            </w:pPr>
            <w:r w:rsidRPr="003F4C9C">
              <w:rPr>
                <w:lang w:bidi="en-US"/>
              </w:rPr>
              <w:t>Australian National Maritime Museum</w:t>
            </w:r>
          </w:p>
        </w:tc>
      </w:tr>
      <w:tr w:rsidR="00304684" w:rsidRPr="00F433A0" w14:paraId="1B2005B1" w14:textId="77777777" w:rsidTr="00D17655">
        <w:tc>
          <w:tcPr>
            <w:tcW w:w="1877" w:type="dxa"/>
            <w:vAlign w:val="center"/>
          </w:tcPr>
          <w:p w14:paraId="5163F217" w14:textId="77777777" w:rsidR="00304684" w:rsidRPr="00A423E1" w:rsidRDefault="00304684" w:rsidP="00326B26">
            <w:pPr>
              <w:pStyle w:val="BookAntiqua10left2"/>
              <w:spacing w:before="100" w:after="100"/>
              <w:rPr>
                <w:lang w:val="en-US" w:bidi="en-US"/>
              </w:rPr>
            </w:pPr>
            <w:r w:rsidRPr="00A423E1">
              <w:rPr>
                <w:lang w:val="en-US" w:bidi="en-US"/>
              </w:rPr>
              <w:t>AO</w:t>
            </w:r>
          </w:p>
        </w:tc>
        <w:tc>
          <w:tcPr>
            <w:tcW w:w="5823" w:type="dxa"/>
            <w:vAlign w:val="center"/>
          </w:tcPr>
          <w:p w14:paraId="024B3AEB" w14:textId="77777777" w:rsidR="00304684" w:rsidRPr="003F4C9C" w:rsidRDefault="00304684" w:rsidP="00326B26">
            <w:pPr>
              <w:pStyle w:val="BookAntiqua10left2"/>
              <w:spacing w:before="100" w:after="100"/>
              <w:rPr>
                <w:lang w:bidi="en-US"/>
              </w:rPr>
            </w:pPr>
            <w:r w:rsidRPr="003F4C9C">
              <w:rPr>
                <w:lang w:bidi="en-US"/>
              </w:rPr>
              <w:t>Officer of the Order of Australia</w:t>
            </w:r>
          </w:p>
        </w:tc>
      </w:tr>
      <w:tr w:rsidR="008748BA" w:rsidRPr="00F433A0" w14:paraId="2C9D1447" w14:textId="77777777" w:rsidTr="00D17655">
        <w:tc>
          <w:tcPr>
            <w:tcW w:w="1877" w:type="dxa"/>
            <w:vAlign w:val="center"/>
          </w:tcPr>
          <w:p w14:paraId="6BE6CC00" w14:textId="0E031EBB" w:rsidR="008748BA" w:rsidRPr="00A423E1" w:rsidRDefault="008748BA" w:rsidP="00326B26">
            <w:pPr>
              <w:pStyle w:val="BookAntiqua10left2"/>
              <w:spacing w:before="100" w:after="100"/>
              <w:rPr>
                <w:lang w:val="en-US" w:bidi="en-US"/>
              </w:rPr>
            </w:pPr>
            <w:r>
              <w:rPr>
                <w:lang w:val="en-US" w:bidi="en-US"/>
              </w:rPr>
              <w:t>ARTC</w:t>
            </w:r>
          </w:p>
        </w:tc>
        <w:tc>
          <w:tcPr>
            <w:tcW w:w="5823" w:type="dxa"/>
            <w:vAlign w:val="center"/>
          </w:tcPr>
          <w:p w14:paraId="102D1576" w14:textId="595DCDE9" w:rsidR="008748BA" w:rsidRPr="003F4C9C" w:rsidRDefault="008748BA" w:rsidP="00326B26">
            <w:pPr>
              <w:pStyle w:val="BookAntiqua10left2"/>
              <w:spacing w:before="100" w:after="100"/>
              <w:rPr>
                <w:lang w:bidi="en-US"/>
              </w:rPr>
            </w:pPr>
            <w:r>
              <w:rPr>
                <w:lang w:bidi="en-US"/>
              </w:rPr>
              <w:t>Australian Rail Track Corporation</w:t>
            </w:r>
          </w:p>
        </w:tc>
      </w:tr>
      <w:tr w:rsidR="00304684" w:rsidRPr="00F433A0" w14:paraId="76D1240F" w14:textId="77777777" w:rsidTr="00D17655">
        <w:tc>
          <w:tcPr>
            <w:tcW w:w="1877" w:type="dxa"/>
            <w:vAlign w:val="center"/>
          </w:tcPr>
          <w:p w14:paraId="3687133F" w14:textId="77777777" w:rsidR="00304684" w:rsidRPr="00A423E1" w:rsidRDefault="00304684" w:rsidP="00326B26">
            <w:pPr>
              <w:pStyle w:val="BookAntiqua10left2"/>
              <w:spacing w:before="100" w:after="100"/>
              <w:rPr>
                <w:lang w:val="en-US" w:bidi="en-US"/>
              </w:rPr>
            </w:pPr>
            <w:r w:rsidRPr="00A423E1">
              <w:rPr>
                <w:lang w:val="en-US" w:bidi="en-US"/>
              </w:rPr>
              <w:t>ATSB</w:t>
            </w:r>
          </w:p>
        </w:tc>
        <w:tc>
          <w:tcPr>
            <w:tcW w:w="5823" w:type="dxa"/>
            <w:vAlign w:val="center"/>
          </w:tcPr>
          <w:p w14:paraId="76FA2E5A" w14:textId="77777777" w:rsidR="00304684" w:rsidRPr="003F4C9C" w:rsidRDefault="00304684" w:rsidP="00326B26">
            <w:pPr>
              <w:pStyle w:val="BookAntiqua10left2"/>
              <w:spacing w:before="100" w:after="100"/>
              <w:rPr>
                <w:lang w:bidi="en-US"/>
              </w:rPr>
            </w:pPr>
            <w:r w:rsidRPr="003F4C9C">
              <w:rPr>
                <w:lang w:bidi="en-US"/>
              </w:rPr>
              <w:t>Australian Transport Safety Bureau</w:t>
            </w:r>
          </w:p>
        </w:tc>
      </w:tr>
      <w:tr w:rsidR="00304684" w:rsidRPr="00F433A0" w14:paraId="16145C8D" w14:textId="77777777" w:rsidTr="00D17655">
        <w:tc>
          <w:tcPr>
            <w:tcW w:w="1877" w:type="dxa"/>
            <w:vAlign w:val="center"/>
          </w:tcPr>
          <w:p w14:paraId="7D858D80" w14:textId="77777777" w:rsidR="00304684" w:rsidRPr="00A423E1" w:rsidRDefault="00304684" w:rsidP="00326B26">
            <w:pPr>
              <w:pStyle w:val="BookAntiqua10left2"/>
              <w:spacing w:before="100" w:after="100"/>
              <w:rPr>
                <w:lang w:val="en-US" w:bidi="en-US"/>
              </w:rPr>
            </w:pPr>
            <w:r w:rsidRPr="00A423E1">
              <w:rPr>
                <w:lang w:val="en-US" w:bidi="en-US"/>
              </w:rPr>
              <w:t>BP1</w:t>
            </w:r>
          </w:p>
        </w:tc>
        <w:tc>
          <w:tcPr>
            <w:tcW w:w="5823" w:type="dxa"/>
            <w:vAlign w:val="center"/>
          </w:tcPr>
          <w:p w14:paraId="07926409" w14:textId="77777777" w:rsidR="00304684" w:rsidRPr="003F4C9C" w:rsidRDefault="00304684" w:rsidP="00326B26">
            <w:pPr>
              <w:pStyle w:val="BookAntiqua10left2"/>
              <w:spacing w:before="100" w:after="100"/>
              <w:rPr>
                <w:lang w:bidi="en-US"/>
              </w:rPr>
            </w:pPr>
            <w:r w:rsidRPr="003F4C9C">
              <w:rPr>
                <w:lang w:bidi="en-US"/>
              </w:rPr>
              <w:t>Budget Paper 1 – Budget Strategy and Outlook</w:t>
            </w:r>
          </w:p>
        </w:tc>
      </w:tr>
      <w:tr w:rsidR="00304684" w:rsidRPr="00F433A0" w14:paraId="28E3CBFA" w14:textId="77777777" w:rsidTr="00D17655">
        <w:tc>
          <w:tcPr>
            <w:tcW w:w="1877" w:type="dxa"/>
            <w:vAlign w:val="center"/>
          </w:tcPr>
          <w:p w14:paraId="262F584D" w14:textId="77777777" w:rsidR="00304684" w:rsidRPr="00A423E1" w:rsidRDefault="00304684" w:rsidP="00326B26">
            <w:pPr>
              <w:pStyle w:val="BookAntiqua10left2"/>
              <w:spacing w:before="100" w:after="100"/>
              <w:rPr>
                <w:lang w:val="en-US" w:bidi="en-US"/>
              </w:rPr>
            </w:pPr>
            <w:r w:rsidRPr="00A423E1">
              <w:rPr>
                <w:lang w:val="en-US" w:bidi="en-US"/>
              </w:rPr>
              <w:t>BP2</w:t>
            </w:r>
          </w:p>
        </w:tc>
        <w:tc>
          <w:tcPr>
            <w:tcW w:w="5823" w:type="dxa"/>
            <w:vAlign w:val="center"/>
          </w:tcPr>
          <w:p w14:paraId="015B5BF7" w14:textId="77777777" w:rsidR="00304684" w:rsidRPr="003F4C9C" w:rsidRDefault="00304684" w:rsidP="00326B26">
            <w:pPr>
              <w:pStyle w:val="BookAntiqua10left2"/>
              <w:spacing w:before="100" w:after="100"/>
              <w:rPr>
                <w:lang w:bidi="en-US"/>
              </w:rPr>
            </w:pPr>
            <w:r w:rsidRPr="003F4C9C">
              <w:rPr>
                <w:lang w:bidi="en-US"/>
              </w:rPr>
              <w:t>Budget Paper 2 – Budget Measures</w:t>
            </w:r>
          </w:p>
        </w:tc>
      </w:tr>
      <w:tr w:rsidR="00304684" w:rsidRPr="00F433A0" w14:paraId="6ED5DE5B" w14:textId="77777777" w:rsidTr="00D17655">
        <w:tc>
          <w:tcPr>
            <w:tcW w:w="1877" w:type="dxa"/>
            <w:vAlign w:val="center"/>
          </w:tcPr>
          <w:p w14:paraId="461506F8" w14:textId="77777777" w:rsidR="00304684" w:rsidRPr="00A423E1" w:rsidRDefault="00304684" w:rsidP="00326B26">
            <w:pPr>
              <w:pStyle w:val="BookAntiqua10left2"/>
              <w:spacing w:before="100" w:after="100"/>
              <w:rPr>
                <w:lang w:val="en-US" w:bidi="en-US"/>
              </w:rPr>
            </w:pPr>
            <w:r w:rsidRPr="00A423E1">
              <w:rPr>
                <w:lang w:val="en-US" w:bidi="en-US"/>
              </w:rPr>
              <w:t>BP3</w:t>
            </w:r>
          </w:p>
        </w:tc>
        <w:tc>
          <w:tcPr>
            <w:tcW w:w="5823" w:type="dxa"/>
            <w:vAlign w:val="center"/>
          </w:tcPr>
          <w:p w14:paraId="2FB93292" w14:textId="77777777" w:rsidR="00304684" w:rsidRPr="003F4C9C" w:rsidRDefault="00304684" w:rsidP="00326B26">
            <w:pPr>
              <w:pStyle w:val="BookAntiqua10left2"/>
              <w:spacing w:before="100" w:after="100"/>
              <w:rPr>
                <w:lang w:bidi="en-US"/>
              </w:rPr>
            </w:pPr>
            <w:r w:rsidRPr="003F4C9C">
              <w:rPr>
                <w:lang w:bidi="en-US"/>
              </w:rPr>
              <w:t>Budget Paper 3 – Federal Financial Relations</w:t>
            </w:r>
          </w:p>
        </w:tc>
      </w:tr>
      <w:tr w:rsidR="00304684" w:rsidRPr="00F433A0" w14:paraId="2DB11A3A" w14:textId="77777777" w:rsidTr="00D17655">
        <w:tc>
          <w:tcPr>
            <w:tcW w:w="1877" w:type="dxa"/>
            <w:vAlign w:val="center"/>
          </w:tcPr>
          <w:p w14:paraId="1DC048AA" w14:textId="77777777" w:rsidR="00304684" w:rsidRPr="00A423E1" w:rsidRDefault="00304684" w:rsidP="00326B26">
            <w:pPr>
              <w:pStyle w:val="BookAntiqua10left2"/>
              <w:spacing w:before="100" w:after="100"/>
              <w:rPr>
                <w:lang w:val="en-US" w:bidi="en-US"/>
              </w:rPr>
            </w:pPr>
            <w:r w:rsidRPr="00A423E1">
              <w:rPr>
                <w:lang w:val="en-US" w:bidi="en-US"/>
              </w:rPr>
              <w:t>BP4</w:t>
            </w:r>
          </w:p>
        </w:tc>
        <w:tc>
          <w:tcPr>
            <w:tcW w:w="5823" w:type="dxa"/>
            <w:vAlign w:val="center"/>
          </w:tcPr>
          <w:p w14:paraId="74B0621E" w14:textId="77777777" w:rsidR="00304684" w:rsidRPr="003F4C9C" w:rsidRDefault="00304684" w:rsidP="00326B26">
            <w:pPr>
              <w:pStyle w:val="BookAntiqua10left2"/>
              <w:spacing w:before="100" w:after="100"/>
              <w:rPr>
                <w:lang w:bidi="en-US"/>
              </w:rPr>
            </w:pPr>
            <w:r w:rsidRPr="003F4C9C">
              <w:rPr>
                <w:lang w:bidi="en-US"/>
              </w:rPr>
              <w:t>Budget Paper 4 – Agency Resourcing</w:t>
            </w:r>
          </w:p>
        </w:tc>
      </w:tr>
      <w:tr w:rsidR="00304684" w:rsidRPr="00F433A0" w14:paraId="16E14D69" w14:textId="77777777" w:rsidTr="00D17655">
        <w:tc>
          <w:tcPr>
            <w:tcW w:w="1877" w:type="dxa"/>
            <w:vAlign w:val="center"/>
          </w:tcPr>
          <w:p w14:paraId="608C936E" w14:textId="77777777" w:rsidR="00304684" w:rsidRPr="00A423E1" w:rsidRDefault="00304684" w:rsidP="00326B26">
            <w:pPr>
              <w:pStyle w:val="BookAntiqua10left2"/>
              <w:spacing w:before="100" w:after="100"/>
              <w:rPr>
                <w:lang w:val="en-US" w:bidi="en-US"/>
              </w:rPr>
            </w:pPr>
            <w:r w:rsidRPr="00A423E1">
              <w:rPr>
                <w:lang w:val="en-US" w:bidi="en-US"/>
              </w:rPr>
              <w:t>CASA</w:t>
            </w:r>
          </w:p>
        </w:tc>
        <w:tc>
          <w:tcPr>
            <w:tcW w:w="5823" w:type="dxa"/>
            <w:vAlign w:val="center"/>
          </w:tcPr>
          <w:p w14:paraId="0C00D468" w14:textId="77777777" w:rsidR="00304684" w:rsidRPr="003F4C9C" w:rsidRDefault="00304684" w:rsidP="00326B26">
            <w:pPr>
              <w:pStyle w:val="BookAntiqua10left2"/>
              <w:spacing w:before="100" w:after="100"/>
              <w:rPr>
                <w:lang w:bidi="en-US"/>
              </w:rPr>
            </w:pPr>
            <w:r w:rsidRPr="003F4C9C">
              <w:rPr>
                <w:lang w:bidi="en-US"/>
              </w:rPr>
              <w:t>Civil Aviation Safety Authority</w:t>
            </w:r>
          </w:p>
        </w:tc>
      </w:tr>
      <w:tr w:rsidR="00304684" w:rsidRPr="00F433A0" w14:paraId="18EDEE4C" w14:textId="77777777" w:rsidTr="00D17655">
        <w:tc>
          <w:tcPr>
            <w:tcW w:w="1877" w:type="dxa"/>
            <w:vAlign w:val="center"/>
          </w:tcPr>
          <w:p w14:paraId="5C636E63" w14:textId="77777777" w:rsidR="00304684" w:rsidRPr="00A423E1" w:rsidRDefault="00304684" w:rsidP="00326B26">
            <w:pPr>
              <w:pStyle w:val="BookAntiqua10left2"/>
              <w:spacing w:before="100" w:after="100"/>
              <w:rPr>
                <w:lang w:val="en-US" w:bidi="en-US"/>
              </w:rPr>
            </w:pPr>
            <w:r w:rsidRPr="00A423E1">
              <w:rPr>
                <w:lang w:val="en-US" w:bidi="en-US"/>
              </w:rPr>
              <w:t>CCE</w:t>
            </w:r>
          </w:p>
        </w:tc>
        <w:tc>
          <w:tcPr>
            <w:tcW w:w="5823" w:type="dxa"/>
            <w:vAlign w:val="center"/>
          </w:tcPr>
          <w:p w14:paraId="6D8EC379" w14:textId="77777777" w:rsidR="00304684" w:rsidRPr="003F4C9C" w:rsidRDefault="00304684" w:rsidP="00326B26">
            <w:pPr>
              <w:pStyle w:val="BookAntiqua10left2"/>
              <w:spacing w:before="100" w:after="100"/>
              <w:rPr>
                <w:lang w:bidi="en-US"/>
              </w:rPr>
            </w:pPr>
            <w:r w:rsidRPr="003F4C9C">
              <w:rPr>
                <w:lang w:bidi="en-US"/>
              </w:rPr>
              <w:t>Corporate Commonwealth Entity</w:t>
            </w:r>
          </w:p>
        </w:tc>
      </w:tr>
      <w:tr w:rsidR="00304684" w:rsidRPr="00F433A0" w14:paraId="049987EF" w14:textId="77777777" w:rsidTr="00D17655">
        <w:tc>
          <w:tcPr>
            <w:tcW w:w="1877" w:type="dxa"/>
            <w:vAlign w:val="center"/>
          </w:tcPr>
          <w:p w14:paraId="7ADB9E77" w14:textId="77777777" w:rsidR="00304684" w:rsidRPr="00A423E1" w:rsidRDefault="00304684" w:rsidP="00326B26">
            <w:pPr>
              <w:pStyle w:val="BookAntiqua10left2"/>
              <w:spacing w:before="100" w:after="100"/>
            </w:pPr>
            <w:r w:rsidRPr="00A423E1">
              <w:rPr>
                <w:lang w:val="en-US" w:bidi="en-US"/>
              </w:rPr>
              <w:lastRenderedPageBreak/>
              <w:t>CDAB</w:t>
            </w:r>
          </w:p>
        </w:tc>
        <w:tc>
          <w:tcPr>
            <w:tcW w:w="5823" w:type="dxa"/>
            <w:vAlign w:val="center"/>
          </w:tcPr>
          <w:p w14:paraId="565B38A9" w14:textId="77777777" w:rsidR="00304684" w:rsidRPr="003F4C9C" w:rsidRDefault="00304684" w:rsidP="00326B26">
            <w:pPr>
              <w:pStyle w:val="BookAntiqua10left2"/>
              <w:spacing w:before="100" w:after="100"/>
            </w:pPr>
            <w:r w:rsidRPr="003F4C9C">
              <w:rPr>
                <w:lang w:bidi="en-US"/>
              </w:rPr>
              <w:t>Collection Development Acquisition Budget</w:t>
            </w:r>
          </w:p>
        </w:tc>
      </w:tr>
      <w:tr w:rsidR="00304684" w:rsidRPr="00F433A0" w14:paraId="7472FD12" w14:textId="77777777" w:rsidTr="00D17655">
        <w:tc>
          <w:tcPr>
            <w:tcW w:w="1877" w:type="dxa"/>
            <w:vAlign w:val="center"/>
          </w:tcPr>
          <w:p w14:paraId="11009BD1" w14:textId="77777777" w:rsidR="00304684" w:rsidRPr="00A423E1" w:rsidRDefault="00304684" w:rsidP="00326B26">
            <w:pPr>
              <w:pStyle w:val="BookAntiqua10left2"/>
              <w:spacing w:before="100" w:after="100"/>
              <w:rPr>
                <w:lang w:val="en-US" w:bidi="en-US"/>
              </w:rPr>
            </w:pPr>
            <w:r w:rsidRPr="00A423E1">
              <w:rPr>
                <w:lang w:val="en-US" w:bidi="en-US"/>
              </w:rPr>
              <w:t>CO</w:t>
            </w:r>
            <w:r w:rsidRPr="00A423E1">
              <w:rPr>
                <w:vertAlign w:val="subscript"/>
                <w:lang w:val="en-US" w:bidi="en-US"/>
              </w:rPr>
              <w:t>2</w:t>
            </w:r>
          </w:p>
        </w:tc>
        <w:tc>
          <w:tcPr>
            <w:tcW w:w="5823" w:type="dxa"/>
            <w:vAlign w:val="center"/>
          </w:tcPr>
          <w:p w14:paraId="5F66590C" w14:textId="77777777" w:rsidR="00304684" w:rsidRPr="003F4C9C" w:rsidRDefault="00304684" w:rsidP="00326B26">
            <w:pPr>
              <w:pStyle w:val="BookAntiqua10left2"/>
              <w:spacing w:before="100" w:after="100"/>
              <w:rPr>
                <w:lang w:bidi="en-US"/>
              </w:rPr>
            </w:pPr>
            <w:r w:rsidRPr="003F4C9C">
              <w:rPr>
                <w:lang w:bidi="en-US"/>
              </w:rPr>
              <w:t>Carbon dioxide</w:t>
            </w:r>
          </w:p>
        </w:tc>
      </w:tr>
      <w:tr w:rsidR="00304684" w:rsidRPr="00F433A0" w14:paraId="2B99EBA9" w14:textId="77777777" w:rsidTr="00D17655">
        <w:tc>
          <w:tcPr>
            <w:tcW w:w="1877" w:type="dxa"/>
            <w:shd w:val="clear" w:color="auto" w:fill="auto"/>
            <w:vAlign w:val="center"/>
          </w:tcPr>
          <w:p w14:paraId="51233A52" w14:textId="77777777" w:rsidR="00304684" w:rsidRPr="00A423E1" w:rsidRDefault="00304684" w:rsidP="00326B26">
            <w:pPr>
              <w:pStyle w:val="BookAntiqua10left2"/>
              <w:spacing w:before="100" w:after="100"/>
              <w:rPr>
                <w:lang w:val="en-US" w:bidi="en-US"/>
              </w:rPr>
            </w:pPr>
            <w:r w:rsidRPr="00A423E1">
              <w:rPr>
                <w:lang w:val="en-US" w:bidi="en-US"/>
              </w:rPr>
              <w:t>COVID-19</w:t>
            </w:r>
          </w:p>
        </w:tc>
        <w:tc>
          <w:tcPr>
            <w:tcW w:w="5823" w:type="dxa"/>
            <w:shd w:val="clear" w:color="auto" w:fill="auto"/>
            <w:vAlign w:val="center"/>
          </w:tcPr>
          <w:p w14:paraId="4F8139F9" w14:textId="77777777" w:rsidR="00304684" w:rsidRPr="003F4C9C" w:rsidRDefault="00304684" w:rsidP="00326B26">
            <w:pPr>
              <w:pStyle w:val="BookAntiqua10left2"/>
              <w:spacing w:before="100" w:after="100"/>
              <w:rPr>
                <w:lang w:bidi="en-US"/>
              </w:rPr>
            </w:pPr>
            <w:r w:rsidRPr="003F4C9C">
              <w:rPr>
                <w:lang w:bidi="en-US"/>
              </w:rPr>
              <w:t>Coronavirus disease 2019</w:t>
            </w:r>
          </w:p>
        </w:tc>
      </w:tr>
      <w:tr w:rsidR="00304684" w:rsidRPr="00F433A0" w14:paraId="5A237027" w14:textId="77777777" w:rsidTr="00D17655">
        <w:tc>
          <w:tcPr>
            <w:tcW w:w="1877" w:type="dxa"/>
            <w:vAlign w:val="center"/>
          </w:tcPr>
          <w:p w14:paraId="16F5FFA2" w14:textId="77777777" w:rsidR="00304684" w:rsidRPr="00A423E1" w:rsidRDefault="00304684" w:rsidP="00326B26">
            <w:pPr>
              <w:pStyle w:val="BookAntiqua10left2"/>
              <w:spacing w:before="100" w:after="100"/>
            </w:pPr>
            <w:r w:rsidRPr="00A423E1">
              <w:rPr>
                <w:lang w:val="en-US" w:bidi="en-US"/>
              </w:rPr>
              <w:t>CRF</w:t>
            </w:r>
          </w:p>
        </w:tc>
        <w:tc>
          <w:tcPr>
            <w:tcW w:w="5823" w:type="dxa"/>
            <w:vAlign w:val="center"/>
          </w:tcPr>
          <w:p w14:paraId="765C9DEC" w14:textId="77777777" w:rsidR="00304684" w:rsidRPr="003F4C9C" w:rsidRDefault="00304684" w:rsidP="00326B26">
            <w:pPr>
              <w:pStyle w:val="BookAntiqua10left2"/>
              <w:spacing w:before="100" w:after="100"/>
            </w:pPr>
            <w:r w:rsidRPr="003F4C9C">
              <w:rPr>
                <w:lang w:bidi="en-US"/>
              </w:rPr>
              <w:t>Consolidated Revenue Fund</w:t>
            </w:r>
          </w:p>
        </w:tc>
      </w:tr>
      <w:tr w:rsidR="00304684" w:rsidRPr="00F433A0" w14:paraId="4B511B02" w14:textId="77777777" w:rsidTr="00D17655">
        <w:tc>
          <w:tcPr>
            <w:tcW w:w="1877" w:type="dxa"/>
            <w:vAlign w:val="center"/>
          </w:tcPr>
          <w:p w14:paraId="1C92671B" w14:textId="77777777" w:rsidR="00304684" w:rsidRPr="00A423E1" w:rsidRDefault="00304684" w:rsidP="00326B26">
            <w:pPr>
              <w:pStyle w:val="BookAntiqua10left2"/>
              <w:spacing w:before="100" w:after="100"/>
            </w:pPr>
            <w:r w:rsidRPr="00A423E1">
              <w:rPr>
                <w:lang w:val="en-US" w:bidi="en-US"/>
              </w:rPr>
              <w:t>DCB</w:t>
            </w:r>
          </w:p>
        </w:tc>
        <w:tc>
          <w:tcPr>
            <w:tcW w:w="5823" w:type="dxa"/>
            <w:vAlign w:val="center"/>
          </w:tcPr>
          <w:p w14:paraId="378A2F9B" w14:textId="589E0177" w:rsidR="00304684" w:rsidRPr="003F4C9C" w:rsidRDefault="008863D9" w:rsidP="00326B26">
            <w:pPr>
              <w:pStyle w:val="BookAntiqua10left2"/>
              <w:spacing w:before="100" w:after="100"/>
            </w:pPr>
            <w:r>
              <w:rPr>
                <w:lang w:bidi="en-US"/>
              </w:rPr>
              <w:t>Department</w:t>
            </w:r>
            <w:r w:rsidR="00304684" w:rsidRPr="003F4C9C">
              <w:rPr>
                <w:lang w:bidi="en-US"/>
              </w:rPr>
              <w:t>al Capital Budget</w:t>
            </w:r>
          </w:p>
        </w:tc>
      </w:tr>
      <w:tr w:rsidR="00304684" w:rsidRPr="00F433A0" w14:paraId="2B5FEE7F" w14:textId="77777777" w:rsidTr="00D17655">
        <w:tc>
          <w:tcPr>
            <w:tcW w:w="1877" w:type="dxa"/>
            <w:vAlign w:val="center"/>
          </w:tcPr>
          <w:p w14:paraId="0186036E" w14:textId="7C6566EF" w:rsidR="00304684" w:rsidRPr="00A423E1" w:rsidRDefault="00826E31" w:rsidP="00326B26">
            <w:pPr>
              <w:pStyle w:val="BookAntiqua10left2"/>
              <w:spacing w:before="100" w:after="100"/>
              <w:rPr>
                <w:lang w:val="en-US" w:bidi="en-US"/>
              </w:rPr>
            </w:pPr>
            <w:r>
              <w:rPr>
                <w:lang w:val="en-US" w:bidi="en-US"/>
              </w:rPr>
              <w:t xml:space="preserve">The </w:t>
            </w:r>
            <w:r w:rsidR="008863D9">
              <w:rPr>
                <w:lang w:val="en-US" w:bidi="en-US"/>
              </w:rPr>
              <w:t>Department</w:t>
            </w:r>
          </w:p>
        </w:tc>
        <w:tc>
          <w:tcPr>
            <w:tcW w:w="5823" w:type="dxa"/>
            <w:vAlign w:val="center"/>
          </w:tcPr>
          <w:p w14:paraId="0D3E556D" w14:textId="5A483D7B" w:rsidR="00304684" w:rsidRPr="003F4C9C" w:rsidRDefault="00304684" w:rsidP="00326B26">
            <w:pPr>
              <w:pStyle w:val="BookAntiqua10left2"/>
              <w:spacing w:before="100" w:after="100"/>
              <w:rPr>
                <w:lang w:bidi="en-US"/>
              </w:rPr>
            </w:pPr>
            <w:r w:rsidRPr="003F4C9C">
              <w:rPr>
                <w:lang w:bidi="en-US"/>
              </w:rPr>
              <w:t xml:space="preserve">The </w:t>
            </w:r>
            <w:r w:rsidR="008863D9">
              <w:rPr>
                <w:lang w:bidi="en-US"/>
              </w:rPr>
              <w:t>Department</w:t>
            </w:r>
            <w:r w:rsidRPr="003F4C9C">
              <w:rPr>
                <w:lang w:bidi="en-US"/>
              </w:rPr>
              <w:t xml:space="preserve"> of Infrastructure, Transport, Regional Development and Communications</w:t>
            </w:r>
          </w:p>
        </w:tc>
      </w:tr>
      <w:tr w:rsidR="00304684" w:rsidRPr="00F433A0" w14:paraId="5D574B91" w14:textId="77777777" w:rsidTr="00D17655">
        <w:tc>
          <w:tcPr>
            <w:tcW w:w="1877" w:type="dxa"/>
            <w:vAlign w:val="center"/>
          </w:tcPr>
          <w:p w14:paraId="7603C71A" w14:textId="77777777" w:rsidR="00304684" w:rsidRPr="00A423E1" w:rsidRDefault="00304684" w:rsidP="00326B26">
            <w:pPr>
              <w:pStyle w:val="BookAntiqua10left2"/>
              <w:spacing w:before="100" w:after="100"/>
              <w:rPr>
                <w:lang w:val="en-US"/>
              </w:rPr>
            </w:pPr>
            <w:r w:rsidRPr="00A423E1">
              <w:rPr>
                <w:lang w:val="en-US"/>
              </w:rPr>
              <w:t>GDP</w:t>
            </w:r>
          </w:p>
        </w:tc>
        <w:tc>
          <w:tcPr>
            <w:tcW w:w="5823" w:type="dxa"/>
            <w:vAlign w:val="center"/>
          </w:tcPr>
          <w:p w14:paraId="09FA2B2E" w14:textId="77777777" w:rsidR="00304684" w:rsidRPr="003F4C9C" w:rsidRDefault="00304684" w:rsidP="00326B26">
            <w:pPr>
              <w:pStyle w:val="BookAntiqua10left2"/>
              <w:spacing w:before="100" w:after="100"/>
              <w:rPr>
                <w:lang w:bidi="en-US"/>
              </w:rPr>
            </w:pPr>
            <w:r w:rsidRPr="003F4C9C">
              <w:rPr>
                <w:lang w:bidi="en-US"/>
              </w:rPr>
              <w:t>Gross Domestic Product</w:t>
            </w:r>
          </w:p>
        </w:tc>
      </w:tr>
      <w:tr w:rsidR="00304684" w:rsidRPr="00F433A0" w14:paraId="09A406C5" w14:textId="77777777" w:rsidTr="00D17655">
        <w:tc>
          <w:tcPr>
            <w:tcW w:w="1877" w:type="dxa"/>
            <w:vAlign w:val="center"/>
          </w:tcPr>
          <w:p w14:paraId="78FADAEE" w14:textId="77777777" w:rsidR="00304684" w:rsidRPr="00A423E1" w:rsidRDefault="00304684" w:rsidP="00326B26">
            <w:pPr>
              <w:pStyle w:val="BookAntiqua10left2"/>
              <w:spacing w:before="100" w:after="100"/>
            </w:pPr>
            <w:r w:rsidRPr="00A423E1">
              <w:rPr>
                <w:lang w:val="en-US"/>
              </w:rPr>
              <w:t>GGS</w:t>
            </w:r>
          </w:p>
        </w:tc>
        <w:tc>
          <w:tcPr>
            <w:tcW w:w="5823" w:type="dxa"/>
            <w:vAlign w:val="center"/>
          </w:tcPr>
          <w:p w14:paraId="4AADD3D2" w14:textId="77777777" w:rsidR="00304684" w:rsidRPr="003F4C9C" w:rsidRDefault="00304684" w:rsidP="00326B26">
            <w:pPr>
              <w:pStyle w:val="BookAntiqua10left2"/>
              <w:spacing w:before="100" w:after="100"/>
            </w:pPr>
            <w:r w:rsidRPr="003F4C9C">
              <w:rPr>
                <w:lang w:bidi="en-US"/>
              </w:rPr>
              <w:t>General Government Sector</w:t>
            </w:r>
          </w:p>
        </w:tc>
      </w:tr>
      <w:tr w:rsidR="00304684" w:rsidRPr="00F433A0" w14:paraId="5B76E639" w14:textId="77777777" w:rsidTr="00D17655">
        <w:tc>
          <w:tcPr>
            <w:tcW w:w="1877" w:type="dxa"/>
            <w:vAlign w:val="center"/>
          </w:tcPr>
          <w:p w14:paraId="74A4611F" w14:textId="77777777" w:rsidR="00304684" w:rsidRPr="00A423E1" w:rsidRDefault="00304684" w:rsidP="00326B26">
            <w:pPr>
              <w:pStyle w:val="BookAntiqua10left2"/>
              <w:spacing w:before="100" w:after="100"/>
              <w:rPr>
                <w:lang w:val="en-US"/>
              </w:rPr>
            </w:pPr>
            <w:r w:rsidRPr="00A423E1">
              <w:rPr>
                <w:lang w:val="en-US"/>
              </w:rPr>
              <w:t>GHz</w:t>
            </w:r>
          </w:p>
        </w:tc>
        <w:tc>
          <w:tcPr>
            <w:tcW w:w="5823" w:type="dxa"/>
            <w:vAlign w:val="center"/>
          </w:tcPr>
          <w:p w14:paraId="612ECCE2" w14:textId="77777777" w:rsidR="00304684" w:rsidRPr="003F4C9C" w:rsidRDefault="00304684" w:rsidP="00326B26">
            <w:pPr>
              <w:pStyle w:val="BookAntiqua10left2"/>
              <w:spacing w:before="100" w:after="100"/>
              <w:rPr>
                <w:lang w:bidi="en-US"/>
              </w:rPr>
            </w:pPr>
            <w:r w:rsidRPr="003F4C9C">
              <w:rPr>
                <w:lang w:bidi="en-US"/>
              </w:rPr>
              <w:t>Gigahertz</w:t>
            </w:r>
          </w:p>
        </w:tc>
      </w:tr>
      <w:tr w:rsidR="00304684" w:rsidRPr="00F433A0" w14:paraId="21EA00C0" w14:textId="77777777" w:rsidTr="00D17655">
        <w:tc>
          <w:tcPr>
            <w:tcW w:w="1877" w:type="dxa"/>
            <w:vAlign w:val="center"/>
          </w:tcPr>
          <w:p w14:paraId="7B8D735B" w14:textId="77777777" w:rsidR="00304684" w:rsidRPr="00A423E1" w:rsidRDefault="00304684" w:rsidP="00326B26">
            <w:pPr>
              <w:pStyle w:val="BookAntiqua10left2"/>
              <w:spacing w:before="100" w:after="100"/>
            </w:pPr>
            <w:r w:rsidRPr="00A423E1">
              <w:rPr>
                <w:lang w:val="en-US" w:bidi="en-US"/>
              </w:rPr>
              <w:t>GST</w:t>
            </w:r>
          </w:p>
        </w:tc>
        <w:tc>
          <w:tcPr>
            <w:tcW w:w="5823" w:type="dxa"/>
            <w:vAlign w:val="center"/>
          </w:tcPr>
          <w:p w14:paraId="7C8F562D" w14:textId="77777777" w:rsidR="00304684" w:rsidRPr="003F4C9C" w:rsidRDefault="00304684" w:rsidP="00326B26">
            <w:pPr>
              <w:pStyle w:val="BookAntiqua10left2"/>
              <w:spacing w:before="100" w:after="100"/>
            </w:pPr>
            <w:r w:rsidRPr="003F4C9C">
              <w:rPr>
                <w:lang w:bidi="en-US"/>
              </w:rPr>
              <w:t>Goods and Services Tax</w:t>
            </w:r>
          </w:p>
        </w:tc>
      </w:tr>
      <w:tr w:rsidR="00304684" w:rsidRPr="00F433A0" w14:paraId="383C479A" w14:textId="77777777" w:rsidTr="00D17655">
        <w:tc>
          <w:tcPr>
            <w:tcW w:w="1877" w:type="dxa"/>
            <w:vAlign w:val="center"/>
          </w:tcPr>
          <w:p w14:paraId="292B77BB" w14:textId="77777777" w:rsidR="00304684" w:rsidRPr="00A423E1" w:rsidRDefault="00304684" w:rsidP="00326B26">
            <w:pPr>
              <w:pStyle w:val="BookAntiqua10left2"/>
              <w:spacing w:before="100" w:after="100"/>
              <w:rPr>
                <w:lang w:val="en-US" w:bidi="en-US"/>
              </w:rPr>
            </w:pPr>
            <w:r w:rsidRPr="00A423E1">
              <w:rPr>
                <w:lang w:val="en-US" w:bidi="en-US"/>
              </w:rPr>
              <w:t>Hon</w:t>
            </w:r>
          </w:p>
        </w:tc>
        <w:tc>
          <w:tcPr>
            <w:tcW w:w="5823" w:type="dxa"/>
            <w:vAlign w:val="center"/>
          </w:tcPr>
          <w:p w14:paraId="039CFA55" w14:textId="77777777" w:rsidR="00304684" w:rsidRPr="003F4C9C" w:rsidRDefault="00304684" w:rsidP="00326B26">
            <w:pPr>
              <w:pStyle w:val="BookAntiqua10left2"/>
              <w:spacing w:before="100" w:after="100"/>
              <w:rPr>
                <w:lang w:bidi="en-US"/>
              </w:rPr>
            </w:pPr>
            <w:r w:rsidRPr="003F4C9C">
              <w:rPr>
                <w:lang w:bidi="en-US"/>
              </w:rPr>
              <w:t>Honourable</w:t>
            </w:r>
          </w:p>
        </w:tc>
      </w:tr>
      <w:tr w:rsidR="00304684" w:rsidRPr="00F433A0" w14:paraId="5F108DA5" w14:textId="77777777" w:rsidTr="00D17655">
        <w:tc>
          <w:tcPr>
            <w:tcW w:w="1877" w:type="dxa"/>
            <w:vAlign w:val="center"/>
          </w:tcPr>
          <w:p w14:paraId="7B93A5AD" w14:textId="77777777" w:rsidR="00304684" w:rsidRPr="00A423E1" w:rsidRDefault="00304684" w:rsidP="00326B26">
            <w:pPr>
              <w:pStyle w:val="BookAntiqua10left2"/>
              <w:spacing w:before="100" w:after="100"/>
              <w:rPr>
                <w:lang w:val="en-US" w:bidi="en-US"/>
              </w:rPr>
            </w:pPr>
            <w:r w:rsidRPr="00A423E1">
              <w:rPr>
                <w:lang w:val="en-US" w:bidi="en-US"/>
              </w:rPr>
              <w:t>IA</w:t>
            </w:r>
          </w:p>
        </w:tc>
        <w:tc>
          <w:tcPr>
            <w:tcW w:w="5823" w:type="dxa"/>
            <w:vAlign w:val="center"/>
          </w:tcPr>
          <w:p w14:paraId="6A47C9AB" w14:textId="77777777" w:rsidR="00304684" w:rsidRPr="003F4C9C" w:rsidRDefault="00304684" w:rsidP="00326B26">
            <w:pPr>
              <w:pStyle w:val="BookAntiqua10left2"/>
              <w:spacing w:before="100" w:after="100"/>
              <w:rPr>
                <w:lang w:bidi="en-US"/>
              </w:rPr>
            </w:pPr>
            <w:r w:rsidRPr="003F4C9C">
              <w:rPr>
                <w:lang w:bidi="en-US"/>
              </w:rPr>
              <w:t>Infrastructure Australia</w:t>
            </w:r>
          </w:p>
        </w:tc>
      </w:tr>
      <w:tr w:rsidR="00304684" w:rsidRPr="00F433A0" w14:paraId="47DF4E26" w14:textId="77777777" w:rsidTr="00D17655">
        <w:tc>
          <w:tcPr>
            <w:tcW w:w="1877" w:type="dxa"/>
            <w:vAlign w:val="center"/>
          </w:tcPr>
          <w:p w14:paraId="1916DBB2" w14:textId="77777777" w:rsidR="00304684" w:rsidRPr="00A423E1" w:rsidRDefault="00304684" w:rsidP="00326B26">
            <w:pPr>
              <w:pStyle w:val="BookAntiqua10left2"/>
              <w:spacing w:before="100" w:after="100"/>
              <w:rPr>
                <w:lang w:val="en-US" w:bidi="en-US"/>
              </w:rPr>
            </w:pPr>
            <w:r w:rsidRPr="00A423E1">
              <w:rPr>
                <w:lang w:val="en-US" w:bidi="en-US"/>
              </w:rPr>
              <w:t>IGA</w:t>
            </w:r>
          </w:p>
        </w:tc>
        <w:tc>
          <w:tcPr>
            <w:tcW w:w="5823" w:type="dxa"/>
            <w:vAlign w:val="center"/>
          </w:tcPr>
          <w:p w14:paraId="1CF6EC98" w14:textId="77777777" w:rsidR="00304684" w:rsidRPr="003F4C9C" w:rsidRDefault="00304684" w:rsidP="00326B26">
            <w:pPr>
              <w:pStyle w:val="BookAntiqua10left2"/>
              <w:spacing w:before="100" w:after="100"/>
              <w:rPr>
                <w:lang w:bidi="en-US"/>
              </w:rPr>
            </w:pPr>
            <w:r w:rsidRPr="003F4C9C">
              <w:rPr>
                <w:lang w:bidi="en-US"/>
              </w:rPr>
              <w:t>Inter</w:t>
            </w:r>
            <w:r w:rsidRPr="003F4C9C">
              <w:rPr>
                <w:lang w:bidi="en-US"/>
              </w:rPr>
              <w:noBreakHyphen/>
              <w:t>Governmental Agreement</w:t>
            </w:r>
          </w:p>
        </w:tc>
      </w:tr>
      <w:tr w:rsidR="00304684" w:rsidRPr="00F433A0" w14:paraId="4BE8EFF9" w14:textId="77777777" w:rsidTr="00D17655">
        <w:tc>
          <w:tcPr>
            <w:tcW w:w="1877" w:type="dxa"/>
            <w:vAlign w:val="center"/>
          </w:tcPr>
          <w:p w14:paraId="1678E684" w14:textId="77777777" w:rsidR="00304684" w:rsidRPr="00A423E1" w:rsidRDefault="00304684" w:rsidP="00326B26">
            <w:pPr>
              <w:pStyle w:val="BookAntiqua10left2"/>
              <w:spacing w:before="100" w:after="100"/>
              <w:rPr>
                <w:lang w:val="en-US" w:bidi="en-US"/>
              </w:rPr>
            </w:pPr>
            <w:r w:rsidRPr="00A423E1">
              <w:rPr>
                <w:lang w:val="en-US" w:bidi="en-US"/>
              </w:rPr>
              <w:t>ITMM</w:t>
            </w:r>
          </w:p>
        </w:tc>
        <w:tc>
          <w:tcPr>
            <w:tcW w:w="5823" w:type="dxa"/>
            <w:vAlign w:val="center"/>
          </w:tcPr>
          <w:p w14:paraId="37301D83" w14:textId="77777777" w:rsidR="00304684" w:rsidRPr="003F4C9C" w:rsidRDefault="00304684" w:rsidP="00326B26">
            <w:pPr>
              <w:pStyle w:val="BookAntiqua10left2"/>
              <w:spacing w:before="100" w:after="100"/>
              <w:rPr>
                <w:lang w:bidi="en-US"/>
              </w:rPr>
            </w:pPr>
            <w:r w:rsidRPr="003F4C9C">
              <w:rPr>
                <w:lang w:bidi="en-US"/>
              </w:rPr>
              <w:t>Infrastructure and Transport Ministers’ Meeting</w:t>
            </w:r>
          </w:p>
        </w:tc>
      </w:tr>
      <w:tr w:rsidR="00304684" w:rsidRPr="00F433A0" w14:paraId="2778BA65" w14:textId="77777777" w:rsidTr="00D17655">
        <w:tc>
          <w:tcPr>
            <w:tcW w:w="1877" w:type="dxa"/>
            <w:vAlign w:val="center"/>
          </w:tcPr>
          <w:p w14:paraId="424B04F0" w14:textId="77777777" w:rsidR="00304684" w:rsidRPr="00A423E1" w:rsidRDefault="00304684" w:rsidP="00326B26">
            <w:pPr>
              <w:pStyle w:val="BookAntiqua10left2"/>
              <w:spacing w:before="100" w:after="100"/>
              <w:rPr>
                <w:lang w:val="en-US" w:bidi="en-US"/>
              </w:rPr>
            </w:pPr>
            <w:r w:rsidRPr="00A423E1">
              <w:rPr>
                <w:lang w:val="en-US" w:bidi="en-US"/>
              </w:rPr>
              <w:t>ITSOC</w:t>
            </w:r>
          </w:p>
        </w:tc>
        <w:tc>
          <w:tcPr>
            <w:tcW w:w="5823" w:type="dxa"/>
            <w:vAlign w:val="center"/>
          </w:tcPr>
          <w:p w14:paraId="53095117" w14:textId="77777777" w:rsidR="00304684" w:rsidRPr="003F4C9C" w:rsidRDefault="00304684" w:rsidP="00326B26">
            <w:pPr>
              <w:pStyle w:val="BookAntiqua10left2"/>
              <w:spacing w:before="100" w:after="100"/>
              <w:rPr>
                <w:lang w:bidi="en-US"/>
              </w:rPr>
            </w:pPr>
            <w:r w:rsidRPr="003F4C9C">
              <w:rPr>
                <w:lang w:bidi="en-US"/>
              </w:rPr>
              <w:t>Infrastructure and Transport Senior Officials’ Committee</w:t>
            </w:r>
          </w:p>
        </w:tc>
      </w:tr>
      <w:tr w:rsidR="00326B26" w:rsidRPr="00F433A0" w14:paraId="1888B0E0" w14:textId="77777777" w:rsidTr="00D17655">
        <w:tc>
          <w:tcPr>
            <w:tcW w:w="1877" w:type="dxa"/>
            <w:vAlign w:val="center"/>
          </w:tcPr>
          <w:p w14:paraId="1EE45944" w14:textId="0E990153" w:rsidR="00326B26" w:rsidRPr="00A423E1" w:rsidRDefault="00326B26" w:rsidP="00326B26">
            <w:pPr>
              <w:pStyle w:val="BookAntiqua10left2"/>
              <w:spacing w:before="100" w:after="100"/>
              <w:rPr>
                <w:lang w:val="en-US" w:bidi="en-US"/>
              </w:rPr>
            </w:pPr>
            <w:r>
              <w:rPr>
                <w:lang w:val="en-US" w:bidi="en-US"/>
              </w:rPr>
              <w:t>MHz</w:t>
            </w:r>
          </w:p>
        </w:tc>
        <w:tc>
          <w:tcPr>
            <w:tcW w:w="5823" w:type="dxa"/>
            <w:vAlign w:val="center"/>
          </w:tcPr>
          <w:p w14:paraId="3941488A" w14:textId="65C250B1" w:rsidR="00326B26" w:rsidRPr="003F4C9C" w:rsidRDefault="00326B26" w:rsidP="00326B26">
            <w:pPr>
              <w:pStyle w:val="BookAntiqua10left2"/>
              <w:spacing w:before="100" w:after="100"/>
              <w:rPr>
                <w:lang w:bidi="en-US"/>
              </w:rPr>
            </w:pPr>
            <w:r>
              <w:rPr>
                <w:lang w:bidi="en-US"/>
              </w:rPr>
              <w:t>Mega</w:t>
            </w:r>
            <w:r w:rsidRPr="003F4C9C">
              <w:rPr>
                <w:lang w:bidi="en-US"/>
              </w:rPr>
              <w:t>hertz</w:t>
            </w:r>
          </w:p>
        </w:tc>
      </w:tr>
      <w:tr w:rsidR="00304684" w:rsidRPr="00F433A0" w14:paraId="326F7058" w14:textId="77777777" w:rsidTr="00D17655">
        <w:tc>
          <w:tcPr>
            <w:tcW w:w="1877" w:type="dxa"/>
            <w:vAlign w:val="center"/>
          </w:tcPr>
          <w:p w14:paraId="63D16F71" w14:textId="77777777" w:rsidR="00304684" w:rsidRPr="00A423E1" w:rsidRDefault="00304684" w:rsidP="00326B26">
            <w:pPr>
              <w:pStyle w:val="BookAntiqua10left2"/>
              <w:spacing w:before="100" w:after="100"/>
              <w:rPr>
                <w:lang w:val="en-US" w:bidi="en-US"/>
              </w:rPr>
            </w:pPr>
            <w:r w:rsidRPr="00A423E1">
              <w:rPr>
                <w:lang w:val="en-US" w:bidi="en-US"/>
              </w:rPr>
              <w:t>MP</w:t>
            </w:r>
          </w:p>
        </w:tc>
        <w:tc>
          <w:tcPr>
            <w:tcW w:w="5823" w:type="dxa"/>
            <w:vAlign w:val="center"/>
          </w:tcPr>
          <w:p w14:paraId="74AD2B9F" w14:textId="77777777" w:rsidR="00304684" w:rsidRPr="003F4C9C" w:rsidRDefault="00304684" w:rsidP="00326B26">
            <w:pPr>
              <w:pStyle w:val="BookAntiqua10left2"/>
              <w:spacing w:before="100" w:after="100"/>
              <w:rPr>
                <w:lang w:bidi="en-US"/>
              </w:rPr>
            </w:pPr>
            <w:r w:rsidRPr="003F4C9C">
              <w:rPr>
                <w:lang w:bidi="en-US"/>
              </w:rPr>
              <w:t>Member of Parliament</w:t>
            </w:r>
          </w:p>
        </w:tc>
      </w:tr>
      <w:tr w:rsidR="00304684" w:rsidRPr="00F433A0" w14:paraId="46517B7A" w14:textId="77777777" w:rsidTr="00D17655">
        <w:tc>
          <w:tcPr>
            <w:tcW w:w="1877" w:type="dxa"/>
            <w:vAlign w:val="center"/>
          </w:tcPr>
          <w:p w14:paraId="7835A3ED" w14:textId="77777777" w:rsidR="00304684" w:rsidRPr="00A423E1" w:rsidRDefault="00304684" w:rsidP="00326B26">
            <w:pPr>
              <w:pStyle w:val="BookAntiqua10left2"/>
              <w:spacing w:before="100" w:after="100"/>
            </w:pPr>
            <w:r w:rsidRPr="00A423E1">
              <w:rPr>
                <w:lang w:val="en-US" w:bidi="en-US"/>
              </w:rPr>
              <w:t>MYEFO</w:t>
            </w:r>
          </w:p>
        </w:tc>
        <w:tc>
          <w:tcPr>
            <w:tcW w:w="5823" w:type="dxa"/>
            <w:vAlign w:val="center"/>
          </w:tcPr>
          <w:p w14:paraId="3CDEB1A2" w14:textId="77777777" w:rsidR="00304684" w:rsidRPr="003F4C9C" w:rsidRDefault="00304684" w:rsidP="00326B26">
            <w:pPr>
              <w:pStyle w:val="BookAntiqua10left2"/>
              <w:spacing w:before="100" w:after="100"/>
            </w:pPr>
            <w:r w:rsidRPr="003F4C9C">
              <w:rPr>
                <w:lang w:bidi="en-US"/>
              </w:rPr>
              <w:t>Mid-Year Economic and Fiscal Outlook</w:t>
            </w:r>
          </w:p>
        </w:tc>
      </w:tr>
      <w:tr w:rsidR="00566CC4" w:rsidRPr="00F433A0" w14:paraId="56E5EDCE" w14:textId="77777777" w:rsidTr="00D17655">
        <w:tc>
          <w:tcPr>
            <w:tcW w:w="1877" w:type="dxa"/>
            <w:vAlign w:val="center"/>
          </w:tcPr>
          <w:p w14:paraId="67A17AAD" w14:textId="640F5B15" w:rsidR="00566CC4" w:rsidRPr="00A423E1" w:rsidRDefault="00566CC4" w:rsidP="00326B26">
            <w:pPr>
              <w:pStyle w:val="BookAntiqua10left2"/>
              <w:spacing w:before="100" w:after="100"/>
              <w:rPr>
                <w:lang w:val="en-US" w:bidi="en-US"/>
              </w:rPr>
            </w:pPr>
            <w:r>
              <w:rPr>
                <w:lang w:val="en-US" w:bidi="en-US"/>
              </w:rPr>
              <w:t>NAIF</w:t>
            </w:r>
          </w:p>
        </w:tc>
        <w:tc>
          <w:tcPr>
            <w:tcW w:w="5823" w:type="dxa"/>
            <w:vAlign w:val="center"/>
          </w:tcPr>
          <w:p w14:paraId="38EC28CC" w14:textId="75EC985F" w:rsidR="00566CC4" w:rsidRPr="003F4C9C" w:rsidRDefault="00566CC4" w:rsidP="00326B26">
            <w:pPr>
              <w:pStyle w:val="BookAntiqua10left2"/>
              <w:spacing w:before="100" w:after="100"/>
              <w:rPr>
                <w:lang w:bidi="en-US"/>
              </w:rPr>
            </w:pPr>
            <w:r>
              <w:rPr>
                <w:lang w:bidi="en-US"/>
              </w:rPr>
              <w:t>Northern Australia Infrastructure Facility</w:t>
            </w:r>
          </w:p>
        </w:tc>
      </w:tr>
      <w:tr w:rsidR="00304684" w:rsidRPr="00F433A0" w14:paraId="67334D5D" w14:textId="77777777" w:rsidTr="00D17655">
        <w:tc>
          <w:tcPr>
            <w:tcW w:w="1877" w:type="dxa"/>
            <w:vAlign w:val="center"/>
          </w:tcPr>
          <w:p w14:paraId="3EFAD92D" w14:textId="77777777" w:rsidR="00304684" w:rsidRPr="00A423E1" w:rsidRDefault="00304684" w:rsidP="00326B26">
            <w:pPr>
              <w:pStyle w:val="BookAntiqua10left2"/>
              <w:spacing w:before="100" w:after="100"/>
              <w:rPr>
                <w:lang w:val="en-US" w:bidi="en-US"/>
              </w:rPr>
            </w:pPr>
            <w:r w:rsidRPr="00A423E1">
              <w:rPr>
                <w:lang w:val="en-US" w:bidi="en-US"/>
              </w:rPr>
              <w:t>NBN</w:t>
            </w:r>
          </w:p>
        </w:tc>
        <w:tc>
          <w:tcPr>
            <w:tcW w:w="5823" w:type="dxa"/>
            <w:vAlign w:val="center"/>
          </w:tcPr>
          <w:p w14:paraId="386A75BB" w14:textId="77777777" w:rsidR="00304684" w:rsidRPr="003F4C9C" w:rsidRDefault="00304684" w:rsidP="00326B26">
            <w:pPr>
              <w:pStyle w:val="BookAntiqua10left2"/>
              <w:spacing w:before="100" w:after="100"/>
              <w:rPr>
                <w:lang w:bidi="en-US"/>
              </w:rPr>
            </w:pPr>
            <w:r w:rsidRPr="003F4C9C">
              <w:rPr>
                <w:lang w:bidi="en-US"/>
              </w:rPr>
              <w:t>National Broadband Network</w:t>
            </w:r>
          </w:p>
        </w:tc>
      </w:tr>
      <w:tr w:rsidR="00304684" w:rsidRPr="00F433A0" w14:paraId="32C5AAF4" w14:textId="77777777" w:rsidTr="00D17655">
        <w:tc>
          <w:tcPr>
            <w:tcW w:w="1877" w:type="dxa"/>
            <w:vAlign w:val="center"/>
          </w:tcPr>
          <w:p w14:paraId="362BDF19" w14:textId="77777777" w:rsidR="00304684" w:rsidRPr="00A423E1" w:rsidRDefault="00304684" w:rsidP="00326B26">
            <w:pPr>
              <w:pStyle w:val="BookAntiqua10left2"/>
              <w:spacing w:before="100" w:after="100"/>
              <w:rPr>
                <w:lang w:val="en-US" w:bidi="en-US"/>
              </w:rPr>
            </w:pPr>
            <w:r w:rsidRPr="00A423E1">
              <w:rPr>
                <w:lang w:val="en-US" w:bidi="en-US"/>
              </w:rPr>
              <w:t>NBN Co</w:t>
            </w:r>
          </w:p>
        </w:tc>
        <w:tc>
          <w:tcPr>
            <w:tcW w:w="5823" w:type="dxa"/>
            <w:vAlign w:val="center"/>
          </w:tcPr>
          <w:p w14:paraId="4C1A94A7" w14:textId="77777777" w:rsidR="00304684" w:rsidRPr="003F4C9C" w:rsidRDefault="00304684" w:rsidP="00326B26">
            <w:pPr>
              <w:pStyle w:val="BookAntiqua10left2"/>
              <w:spacing w:before="100" w:after="100"/>
              <w:rPr>
                <w:lang w:bidi="en-US"/>
              </w:rPr>
            </w:pPr>
            <w:r w:rsidRPr="003F4C9C">
              <w:rPr>
                <w:lang w:bidi="en-US"/>
              </w:rPr>
              <w:t>NBN Co Limited</w:t>
            </w:r>
          </w:p>
        </w:tc>
      </w:tr>
      <w:tr w:rsidR="00304684" w:rsidRPr="00F433A0" w14:paraId="0757F395" w14:textId="77777777" w:rsidTr="00D17655">
        <w:tc>
          <w:tcPr>
            <w:tcW w:w="1877" w:type="dxa"/>
            <w:vAlign w:val="center"/>
          </w:tcPr>
          <w:p w14:paraId="643C15C6" w14:textId="77777777" w:rsidR="00304684" w:rsidRPr="00A423E1" w:rsidRDefault="00304684" w:rsidP="00326B26">
            <w:pPr>
              <w:pStyle w:val="BookAntiqua10left2"/>
              <w:spacing w:before="100" w:after="100"/>
              <w:rPr>
                <w:lang w:val="en-US" w:bidi="en-US"/>
              </w:rPr>
            </w:pPr>
            <w:r w:rsidRPr="00A423E1">
              <w:rPr>
                <w:lang w:val="en-US" w:bidi="en-US"/>
              </w:rPr>
              <w:t>NCA</w:t>
            </w:r>
          </w:p>
        </w:tc>
        <w:tc>
          <w:tcPr>
            <w:tcW w:w="5823" w:type="dxa"/>
            <w:vAlign w:val="center"/>
          </w:tcPr>
          <w:p w14:paraId="701C438A" w14:textId="77777777" w:rsidR="00304684" w:rsidRPr="003F4C9C" w:rsidRDefault="00304684" w:rsidP="00326B26">
            <w:pPr>
              <w:pStyle w:val="BookAntiqua10left2"/>
              <w:spacing w:before="100" w:after="100"/>
              <w:rPr>
                <w:lang w:bidi="en-US"/>
              </w:rPr>
            </w:pPr>
            <w:r w:rsidRPr="003F4C9C">
              <w:rPr>
                <w:lang w:bidi="en-US"/>
              </w:rPr>
              <w:t>National Capital Authority</w:t>
            </w:r>
          </w:p>
        </w:tc>
      </w:tr>
      <w:tr w:rsidR="00304684" w:rsidRPr="00F433A0" w14:paraId="7BD91A01" w14:textId="77777777" w:rsidTr="00D17655">
        <w:tc>
          <w:tcPr>
            <w:tcW w:w="1877" w:type="dxa"/>
            <w:vAlign w:val="center"/>
          </w:tcPr>
          <w:p w14:paraId="542844B7" w14:textId="77777777" w:rsidR="00304684" w:rsidRPr="00A423E1" w:rsidRDefault="00304684" w:rsidP="00326B26">
            <w:pPr>
              <w:pStyle w:val="BookAntiqua10left2"/>
              <w:spacing w:before="100" w:after="100"/>
              <w:rPr>
                <w:lang w:val="en-US" w:bidi="en-US"/>
              </w:rPr>
            </w:pPr>
            <w:proofErr w:type="spellStart"/>
            <w:r w:rsidRPr="00A423E1">
              <w:rPr>
                <w:lang w:val="en-US" w:bidi="en-US"/>
              </w:rPr>
              <w:t>nfp</w:t>
            </w:r>
            <w:proofErr w:type="spellEnd"/>
          </w:p>
        </w:tc>
        <w:tc>
          <w:tcPr>
            <w:tcW w:w="5823" w:type="dxa"/>
            <w:vAlign w:val="center"/>
          </w:tcPr>
          <w:p w14:paraId="27E0F30E" w14:textId="77777777" w:rsidR="00304684" w:rsidRPr="003F4C9C" w:rsidRDefault="00304684" w:rsidP="00326B26">
            <w:pPr>
              <w:pStyle w:val="BookAntiqua10left2"/>
              <w:spacing w:before="100" w:after="100"/>
              <w:rPr>
                <w:lang w:bidi="en-US"/>
              </w:rPr>
            </w:pPr>
            <w:r w:rsidRPr="003F4C9C">
              <w:rPr>
                <w:lang w:bidi="en-US"/>
              </w:rPr>
              <w:t>not for publication</w:t>
            </w:r>
          </w:p>
        </w:tc>
      </w:tr>
      <w:tr w:rsidR="00304684" w:rsidRPr="00F433A0" w14:paraId="54060EDA" w14:textId="77777777" w:rsidTr="00D17655">
        <w:tc>
          <w:tcPr>
            <w:tcW w:w="1877" w:type="dxa"/>
            <w:vAlign w:val="center"/>
          </w:tcPr>
          <w:p w14:paraId="52C781DD" w14:textId="77777777" w:rsidR="00304684" w:rsidRPr="00A423E1" w:rsidRDefault="00304684" w:rsidP="00326B26">
            <w:pPr>
              <w:pStyle w:val="BookAntiqua10left2"/>
              <w:spacing w:before="100" w:after="100"/>
              <w:rPr>
                <w:lang w:val="en-US" w:bidi="en-US"/>
              </w:rPr>
            </w:pPr>
            <w:r w:rsidRPr="00A423E1">
              <w:rPr>
                <w:lang w:val="en-US" w:bidi="en-US"/>
              </w:rPr>
              <w:t>NFRA</w:t>
            </w:r>
          </w:p>
        </w:tc>
        <w:tc>
          <w:tcPr>
            <w:tcW w:w="5823" w:type="dxa"/>
            <w:vAlign w:val="center"/>
          </w:tcPr>
          <w:p w14:paraId="4ACDCB88" w14:textId="77777777" w:rsidR="00304684" w:rsidRPr="003F4C9C" w:rsidRDefault="00304684" w:rsidP="00326B26">
            <w:pPr>
              <w:pStyle w:val="BookAntiqua10left2"/>
              <w:spacing w:before="100" w:after="100"/>
              <w:rPr>
                <w:lang w:bidi="en-US"/>
              </w:rPr>
            </w:pPr>
            <w:r w:rsidRPr="003F4C9C">
              <w:rPr>
                <w:lang w:bidi="en-US"/>
              </w:rPr>
              <w:t>National Faster Rail Agency</w:t>
            </w:r>
          </w:p>
        </w:tc>
      </w:tr>
      <w:tr w:rsidR="00304684" w:rsidRPr="00F433A0" w14:paraId="66B37E97" w14:textId="77777777" w:rsidTr="00D17655">
        <w:tc>
          <w:tcPr>
            <w:tcW w:w="1877" w:type="dxa"/>
            <w:vAlign w:val="center"/>
          </w:tcPr>
          <w:p w14:paraId="077490FF" w14:textId="77777777" w:rsidR="00304684" w:rsidRPr="00A423E1" w:rsidRDefault="00304684" w:rsidP="00326B26">
            <w:pPr>
              <w:pStyle w:val="BookAntiqua10left2"/>
              <w:spacing w:before="100" w:after="100"/>
            </w:pPr>
            <w:r w:rsidRPr="00A423E1">
              <w:rPr>
                <w:lang w:val="en-US" w:bidi="en-US"/>
              </w:rPr>
              <w:lastRenderedPageBreak/>
              <w:t>NFSA</w:t>
            </w:r>
          </w:p>
        </w:tc>
        <w:tc>
          <w:tcPr>
            <w:tcW w:w="5823" w:type="dxa"/>
            <w:vAlign w:val="center"/>
          </w:tcPr>
          <w:p w14:paraId="1DEB4B46" w14:textId="77777777" w:rsidR="00304684" w:rsidRPr="003F4C9C" w:rsidRDefault="00304684" w:rsidP="00326B26">
            <w:pPr>
              <w:pStyle w:val="BookAntiqua10left2"/>
              <w:spacing w:before="100" w:after="100"/>
            </w:pPr>
            <w:r w:rsidRPr="003F4C9C">
              <w:rPr>
                <w:lang w:bidi="en-US"/>
              </w:rPr>
              <w:t>National Film and Sound Archive of Australia</w:t>
            </w:r>
          </w:p>
        </w:tc>
      </w:tr>
      <w:tr w:rsidR="00304684" w:rsidRPr="00F433A0" w14:paraId="29C112E0" w14:textId="77777777" w:rsidTr="00D17655">
        <w:tc>
          <w:tcPr>
            <w:tcW w:w="1877" w:type="dxa"/>
            <w:vAlign w:val="center"/>
          </w:tcPr>
          <w:p w14:paraId="0F0C4F9C" w14:textId="77777777" w:rsidR="00304684" w:rsidRPr="00A423E1" w:rsidRDefault="00304684" w:rsidP="00326B26">
            <w:pPr>
              <w:pStyle w:val="BookAntiqua10left2"/>
              <w:spacing w:before="100" w:after="100"/>
            </w:pPr>
            <w:r w:rsidRPr="00A423E1">
              <w:rPr>
                <w:lang w:val="en-US" w:bidi="en-US"/>
              </w:rPr>
              <w:t>NGA</w:t>
            </w:r>
          </w:p>
        </w:tc>
        <w:tc>
          <w:tcPr>
            <w:tcW w:w="5823" w:type="dxa"/>
            <w:vAlign w:val="center"/>
          </w:tcPr>
          <w:p w14:paraId="6656C499" w14:textId="77777777" w:rsidR="00304684" w:rsidRPr="003F4C9C" w:rsidRDefault="00304684" w:rsidP="00326B26">
            <w:pPr>
              <w:pStyle w:val="BookAntiqua10left2"/>
              <w:spacing w:before="100" w:after="100"/>
            </w:pPr>
            <w:r w:rsidRPr="003F4C9C">
              <w:rPr>
                <w:lang w:bidi="en-US"/>
              </w:rPr>
              <w:t>National Gallery of Australia</w:t>
            </w:r>
          </w:p>
        </w:tc>
      </w:tr>
      <w:tr w:rsidR="00304684" w:rsidRPr="00F433A0" w14:paraId="3E06E68B" w14:textId="77777777" w:rsidTr="00D17655">
        <w:tc>
          <w:tcPr>
            <w:tcW w:w="1877" w:type="dxa"/>
            <w:vAlign w:val="center"/>
          </w:tcPr>
          <w:p w14:paraId="3A37181B" w14:textId="77777777" w:rsidR="00304684" w:rsidRPr="00A423E1" w:rsidRDefault="00304684" w:rsidP="00326B26">
            <w:pPr>
              <w:pStyle w:val="BookAntiqua10left2"/>
              <w:spacing w:before="100" w:after="100"/>
            </w:pPr>
            <w:r w:rsidRPr="00A423E1">
              <w:rPr>
                <w:lang w:val="en-US" w:bidi="en-US"/>
              </w:rPr>
              <w:t>NLA</w:t>
            </w:r>
          </w:p>
        </w:tc>
        <w:tc>
          <w:tcPr>
            <w:tcW w:w="5823" w:type="dxa"/>
            <w:vAlign w:val="center"/>
          </w:tcPr>
          <w:p w14:paraId="6EA4A97C" w14:textId="77777777" w:rsidR="00304684" w:rsidRPr="003F4C9C" w:rsidRDefault="00304684" w:rsidP="00326B26">
            <w:pPr>
              <w:pStyle w:val="BookAntiqua10left2"/>
              <w:spacing w:before="100" w:after="100"/>
            </w:pPr>
            <w:r w:rsidRPr="003F4C9C">
              <w:rPr>
                <w:lang w:bidi="en-US"/>
              </w:rPr>
              <w:t>National Library of Australia</w:t>
            </w:r>
          </w:p>
        </w:tc>
      </w:tr>
      <w:tr w:rsidR="00304684" w:rsidRPr="00F433A0" w14:paraId="5F2BB985" w14:textId="77777777" w:rsidTr="00D17655">
        <w:tc>
          <w:tcPr>
            <w:tcW w:w="1877" w:type="dxa"/>
            <w:vAlign w:val="center"/>
          </w:tcPr>
          <w:p w14:paraId="29C73CF0" w14:textId="77777777" w:rsidR="00304684" w:rsidRPr="00A423E1" w:rsidRDefault="00304684" w:rsidP="00326B26">
            <w:pPr>
              <w:pStyle w:val="BookAntiqua10left2"/>
              <w:spacing w:before="100" w:after="100"/>
            </w:pPr>
            <w:r w:rsidRPr="00A423E1">
              <w:rPr>
                <w:lang w:val="en-US" w:bidi="en-US"/>
              </w:rPr>
              <w:t>NMA</w:t>
            </w:r>
          </w:p>
        </w:tc>
        <w:tc>
          <w:tcPr>
            <w:tcW w:w="5823" w:type="dxa"/>
            <w:vAlign w:val="center"/>
          </w:tcPr>
          <w:p w14:paraId="5B797FE1" w14:textId="77777777" w:rsidR="00304684" w:rsidRPr="003F4C9C" w:rsidRDefault="00304684" w:rsidP="00326B26">
            <w:pPr>
              <w:pStyle w:val="BookAntiqua10left2"/>
              <w:spacing w:before="100" w:after="100"/>
            </w:pPr>
            <w:r w:rsidRPr="003F4C9C">
              <w:rPr>
                <w:lang w:bidi="en-US"/>
              </w:rPr>
              <w:t>National Museum of Australia</w:t>
            </w:r>
          </w:p>
        </w:tc>
      </w:tr>
      <w:tr w:rsidR="00304684" w:rsidRPr="00F433A0" w14:paraId="76C40FDF" w14:textId="77777777" w:rsidTr="00D17655">
        <w:tc>
          <w:tcPr>
            <w:tcW w:w="1877" w:type="dxa"/>
            <w:vAlign w:val="center"/>
          </w:tcPr>
          <w:p w14:paraId="2B791AE7" w14:textId="77777777" w:rsidR="00304684" w:rsidRPr="00A423E1" w:rsidRDefault="00304684" w:rsidP="00326B26">
            <w:pPr>
              <w:pStyle w:val="BookAntiqua10left2"/>
              <w:spacing w:before="100" w:after="100"/>
            </w:pPr>
            <w:r w:rsidRPr="00A423E1">
              <w:rPr>
                <w:lang w:val="en-US" w:bidi="en-US"/>
              </w:rPr>
              <w:t>NPGA</w:t>
            </w:r>
          </w:p>
        </w:tc>
        <w:tc>
          <w:tcPr>
            <w:tcW w:w="5823" w:type="dxa"/>
            <w:vAlign w:val="center"/>
          </w:tcPr>
          <w:p w14:paraId="6009E5DC" w14:textId="77777777" w:rsidR="00304684" w:rsidRPr="003F4C9C" w:rsidRDefault="00304684" w:rsidP="00326B26">
            <w:pPr>
              <w:pStyle w:val="BookAntiqua10left2"/>
              <w:spacing w:before="100" w:after="100"/>
            </w:pPr>
            <w:r w:rsidRPr="003F4C9C">
              <w:rPr>
                <w:lang w:bidi="en-US"/>
              </w:rPr>
              <w:t>National Portrait Gallery of Australia</w:t>
            </w:r>
          </w:p>
        </w:tc>
      </w:tr>
      <w:tr w:rsidR="00304684" w:rsidRPr="00F433A0" w14:paraId="0457CFA3" w14:textId="77777777" w:rsidTr="00D17655">
        <w:tc>
          <w:tcPr>
            <w:tcW w:w="1877" w:type="dxa"/>
            <w:vAlign w:val="center"/>
          </w:tcPr>
          <w:p w14:paraId="6B90A85C" w14:textId="77777777" w:rsidR="00304684" w:rsidRPr="00A423E1" w:rsidRDefault="00304684" w:rsidP="00326B26">
            <w:pPr>
              <w:pStyle w:val="BookAntiqua10left2"/>
              <w:spacing w:before="100" w:after="100"/>
            </w:pPr>
            <w:r w:rsidRPr="00A423E1">
              <w:rPr>
                <w:lang w:val="en-US" w:bidi="en-US"/>
              </w:rPr>
              <w:t>NRS</w:t>
            </w:r>
          </w:p>
        </w:tc>
        <w:tc>
          <w:tcPr>
            <w:tcW w:w="5823" w:type="dxa"/>
            <w:vAlign w:val="center"/>
          </w:tcPr>
          <w:p w14:paraId="2797C470" w14:textId="77777777" w:rsidR="00304684" w:rsidRPr="003F4C9C" w:rsidRDefault="00304684" w:rsidP="00326B26">
            <w:pPr>
              <w:pStyle w:val="BookAntiqua10left2"/>
              <w:spacing w:before="100" w:after="100"/>
            </w:pPr>
            <w:r w:rsidRPr="003F4C9C">
              <w:rPr>
                <w:lang w:bidi="en-US"/>
              </w:rPr>
              <w:t>National Relay Service</w:t>
            </w:r>
          </w:p>
        </w:tc>
      </w:tr>
      <w:tr w:rsidR="00304684" w:rsidRPr="00F433A0" w14:paraId="129A83AA" w14:textId="77777777" w:rsidTr="00D17655">
        <w:tc>
          <w:tcPr>
            <w:tcW w:w="1877" w:type="dxa"/>
            <w:vAlign w:val="center"/>
          </w:tcPr>
          <w:p w14:paraId="3AEE16EB" w14:textId="77777777" w:rsidR="00304684" w:rsidRPr="00A423E1" w:rsidRDefault="00304684" w:rsidP="00326B26">
            <w:pPr>
              <w:pStyle w:val="BookAntiqua10left2"/>
              <w:spacing w:before="100" w:after="100"/>
              <w:rPr>
                <w:lang w:val="en-US" w:bidi="en-US"/>
              </w:rPr>
            </w:pPr>
            <w:r w:rsidRPr="00A423E1">
              <w:rPr>
                <w:lang w:val="en-US" w:bidi="en-US"/>
              </w:rPr>
              <w:t>NTC</w:t>
            </w:r>
          </w:p>
        </w:tc>
        <w:tc>
          <w:tcPr>
            <w:tcW w:w="5823" w:type="dxa"/>
            <w:vAlign w:val="center"/>
          </w:tcPr>
          <w:p w14:paraId="5AF20AF0" w14:textId="77777777" w:rsidR="00304684" w:rsidRPr="003F4C9C" w:rsidRDefault="00304684" w:rsidP="00326B26">
            <w:pPr>
              <w:pStyle w:val="BookAntiqua10left2"/>
              <w:spacing w:before="100" w:after="100"/>
              <w:rPr>
                <w:lang w:bidi="en-US"/>
              </w:rPr>
            </w:pPr>
            <w:r w:rsidRPr="003F4C9C">
              <w:rPr>
                <w:lang w:bidi="en-US"/>
              </w:rPr>
              <w:t>National Transport Commission</w:t>
            </w:r>
          </w:p>
        </w:tc>
      </w:tr>
      <w:tr w:rsidR="00304684" w:rsidRPr="00F433A0" w14:paraId="0CFF9639" w14:textId="77777777" w:rsidTr="00D17655">
        <w:tc>
          <w:tcPr>
            <w:tcW w:w="1877" w:type="dxa"/>
            <w:vAlign w:val="center"/>
          </w:tcPr>
          <w:p w14:paraId="408ECC54" w14:textId="77777777" w:rsidR="00304684" w:rsidRPr="00A423E1" w:rsidRDefault="00304684" w:rsidP="00326B26">
            <w:pPr>
              <w:pStyle w:val="BookAntiqua10left2"/>
              <w:spacing w:before="100" w:after="100"/>
              <w:rPr>
                <w:lang w:val="en-US" w:bidi="en-US"/>
              </w:rPr>
            </w:pPr>
            <w:r w:rsidRPr="00A423E1">
              <w:rPr>
                <w:lang w:val="en-US" w:bidi="en-US"/>
              </w:rPr>
              <w:t>NQWIA</w:t>
            </w:r>
          </w:p>
        </w:tc>
        <w:tc>
          <w:tcPr>
            <w:tcW w:w="5823" w:type="dxa"/>
            <w:vAlign w:val="center"/>
          </w:tcPr>
          <w:p w14:paraId="41419BB7" w14:textId="77777777" w:rsidR="00304684" w:rsidRPr="003F4C9C" w:rsidRDefault="00304684" w:rsidP="00326B26">
            <w:pPr>
              <w:pStyle w:val="BookAntiqua10left2"/>
              <w:spacing w:before="100" w:after="100"/>
              <w:rPr>
                <w:lang w:bidi="en-US"/>
              </w:rPr>
            </w:pPr>
            <w:r w:rsidRPr="003F4C9C">
              <w:rPr>
                <w:lang w:bidi="en-US"/>
              </w:rPr>
              <w:t>North Queensland Water Infrastructure Authority</w:t>
            </w:r>
          </w:p>
        </w:tc>
      </w:tr>
      <w:tr w:rsidR="00304684" w:rsidRPr="00F433A0" w14:paraId="55FCF8A2" w14:textId="77777777" w:rsidTr="00D17655">
        <w:tc>
          <w:tcPr>
            <w:tcW w:w="1877" w:type="dxa"/>
            <w:vAlign w:val="center"/>
          </w:tcPr>
          <w:p w14:paraId="4432BAE9" w14:textId="77777777" w:rsidR="00304684" w:rsidRPr="00A423E1" w:rsidRDefault="00304684" w:rsidP="00326B26">
            <w:pPr>
              <w:pStyle w:val="BookAntiqua10left2"/>
              <w:spacing w:before="100" w:after="100"/>
              <w:rPr>
                <w:lang w:val="en-US" w:bidi="en-US"/>
              </w:rPr>
            </w:pPr>
            <w:r w:rsidRPr="00A423E1">
              <w:rPr>
                <w:lang w:val="en-US" w:bidi="en-US"/>
              </w:rPr>
              <w:t>OPA</w:t>
            </w:r>
          </w:p>
        </w:tc>
        <w:tc>
          <w:tcPr>
            <w:tcW w:w="5823" w:type="dxa"/>
            <w:vAlign w:val="center"/>
          </w:tcPr>
          <w:p w14:paraId="69394AF1" w14:textId="77777777" w:rsidR="00304684" w:rsidRPr="003F4C9C" w:rsidRDefault="00304684" w:rsidP="00326B26">
            <w:pPr>
              <w:pStyle w:val="BookAntiqua10left2"/>
              <w:spacing w:before="100" w:after="100"/>
              <w:rPr>
                <w:lang w:bidi="en-US"/>
              </w:rPr>
            </w:pPr>
            <w:r w:rsidRPr="003F4C9C">
              <w:rPr>
                <w:lang w:bidi="en-US"/>
              </w:rPr>
              <w:t>Official Public Account</w:t>
            </w:r>
          </w:p>
        </w:tc>
      </w:tr>
      <w:tr w:rsidR="00304684" w:rsidRPr="00F433A0" w14:paraId="1FE6836C" w14:textId="77777777" w:rsidTr="00D17655">
        <w:tc>
          <w:tcPr>
            <w:tcW w:w="1877" w:type="dxa"/>
            <w:vAlign w:val="center"/>
          </w:tcPr>
          <w:p w14:paraId="19B7D636" w14:textId="6FB34D15" w:rsidR="00304684" w:rsidRPr="00A423E1" w:rsidRDefault="00304684" w:rsidP="00326B26">
            <w:pPr>
              <w:pStyle w:val="BookAntiqua10left2"/>
              <w:spacing w:before="100" w:after="100"/>
            </w:pPr>
            <w:r w:rsidRPr="00A423E1">
              <w:rPr>
                <w:lang w:val="en-US" w:bidi="en-US"/>
              </w:rPr>
              <w:t>PB Statements</w:t>
            </w:r>
          </w:p>
        </w:tc>
        <w:tc>
          <w:tcPr>
            <w:tcW w:w="5823" w:type="dxa"/>
            <w:vAlign w:val="center"/>
          </w:tcPr>
          <w:p w14:paraId="3CA1A292" w14:textId="77777777" w:rsidR="00304684" w:rsidRPr="003F4C9C" w:rsidRDefault="00304684" w:rsidP="00326B26">
            <w:pPr>
              <w:pStyle w:val="BookAntiqua10left2"/>
              <w:spacing w:before="100" w:after="100"/>
            </w:pPr>
            <w:r w:rsidRPr="003F4C9C">
              <w:rPr>
                <w:lang w:bidi="en-US"/>
              </w:rPr>
              <w:t>Portfolio Budget Statements</w:t>
            </w:r>
          </w:p>
        </w:tc>
      </w:tr>
      <w:tr w:rsidR="00304684" w:rsidRPr="00F433A0" w14:paraId="5AFBECC0" w14:textId="77777777" w:rsidTr="00D17655">
        <w:tc>
          <w:tcPr>
            <w:tcW w:w="1877" w:type="dxa"/>
            <w:vAlign w:val="center"/>
          </w:tcPr>
          <w:p w14:paraId="694C8B8A" w14:textId="77777777" w:rsidR="00304684" w:rsidRPr="00A423E1" w:rsidRDefault="00304684" w:rsidP="00326B26">
            <w:pPr>
              <w:pStyle w:val="BookAntiqua10left2"/>
              <w:spacing w:before="100" w:after="100"/>
            </w:pPr>
            <w:r w:rsidRPr="00A423E1">
              <w:rPr>
                <w:lang w:val="en-US" w:bidi="en-US"/>
              </w:rPr>
              <w:t>PGPA Act</w:t>
            </w:r>
          </w:p>
        </w:tc>
        <w:tc>
          <w:tcPr>
            <w:tcW w:w="5823" w:type="dxa"/>
            <w:vAlign w:val="center"/>
          </w:tcPr>
          <w:p w14:paraId="38922E03" w14:textId="77777777" w:rsidR="00304684" w:rsidRPr="00326B26" w:rsidRDefault="00304684" w:rsidP="00326B26">
            <w:pPr>
              <w:pStyle w:val="BookAntiqua10left2"/>
              <w:spacing w:before="100" w:after="100"/>
              <w:rPr>
                <w:i/>
              </w:rPr>
            </w:pPr>
            <w:r w:rsidRPr="00326B26">
              <w:rPr>
                <w:i/>
                <w:lang w:bidi="en-US"/>
              </w:rPr>
              <w:t>Public Governance, Performance and Accountability Act 2013</w:t>
            </w:r>
          </w:p>
        </w:tc>
      </w:tr>
      <w:tr w:rsidR="00304684" w:rsidRPr="00F433A0" w14:paraId="2E7883C5" w14:textId="77777777" w:rsidTr="00D17655">
        <w:tc>
          <w:tcPr>
            <w:tcW w:w="1877" w:type="dxa"/>
            <w:vAlign w:val="center"/>
          </w:tcPr>
          <w:p w14:paraId="48076FC8" w14:textId="77777777" w:rsidR="00304684" w:rsidRPr="00A423E1" w:rsidRDefault="00304684" w:rsidP="00326B26">
            <w:pPr>
              <w:pStyle w:val="BookAntiqua10left2"/>
              <w:spacing w:before="100" w:after="100"/>
              <w:rPr>
                <w:lang w:val="en-US" w:bidi="en-US"/>
              </w:rPr>
            </w:pPr>
            <w:r w:rsidRPr="00A423E1">
              <w:rPr>
                <w:lang w:val="en-US" w:bidi="en-US"/>
              </w:rPr>
              <w:t>PSM</w:t>
            </w:r>
          </w:p>
        </w:tc>
        <w:tc>
          <w:tcPr>
            <w:tcW w:w="5823" w:type="dxa"/>
            <w:vAlign w:val="center"/>
          </w:tcPr>
          <w:p w14:paraId="60581708" w14:textId="77777777" w:rsidR="00304684" w:rsidRPr="003F4C9C" w:rsidRDefault="00304684" w:rsidP="00326B26">
            <w:pPr>
              <w:pStyle w:val="BookAntiqua10left2"/>
              <w:spacing w:before="100" w:after="100"/>
              <w:rPr>
                <w:lang w:bidi="en-US"/>
              </w:rPr>
            </w:pPr>
            <w:r w:rsidRPr="003F4C9C">
              <w:rPr>
                <w:lang w:bidi="en-US"/>
              </w:rPr>
              <w:t>Public Service Medal</w:t>
            </w:r>
          </w:p>
        </w:tc>
      </w:tr>
      <w:tr w:rsidR="00304684" w:rsidRPr="00F433A0" w14:paraId="22794509" w14:textId="77777777" w:rsidTr="00D17655">
        <w:tc>
          <w:tcPr>
            <w:tcW w:w="1877" w:type="dxa"/>
            <w:vAlign w:val="center"/>
          </w:tcPr>
          <w:p w14:paraId="77D9A275" w14:textId="77777777" w:rsidR="00304684" w:rsidRPr="00A423E1" w:rsidRDefault="00304684" w:rsidP="00326B26">
            <w:pPr>
              <w:pStyle w:val="BookAntiqua10left2"/>
              <w:spacing w:before="100" w:after="100"/>
              <w:rPr>
                <w:lang w:val="en-US" w:bidi="en-US"/>
              </w:rPr>
            </w:pPr>
            <w:r w:rsidRPr="00A423E1">
              <w:rPr>
                <w:lang w:val="en-US" w:bidi="en-US"/>
              </w:rPr>
              <w:t>RASS</w:t>
            </w:r>
          </w:p>
        </w:tc>
        <w:tc>
          <w:tcPr>
            <w:tcW w:w="5823" w:type="dxa"/>
            <w:vAlign w:val="center"/>
          </w:tcPr>
          <w:p w14:paraId="733A6673" w14:textId="77777777" w:rsidR="00304684" w:rsidRPr="003F4C9C" w:rsidRDefault="00304684" w:rsidP="00326B26">
            <w:pPr>
              <w:pStyle w:val="BookAntiqua10left2"/>
              <w:spacing w:before="100" w:after="100"/>
              <w:rPr>
                <w:lang w:bidi="en-US"/>
              </w:rPr>
            </w:pPr>
            <w:r w:rsidRPr="003F4C9C">
              <w:rPr>
                <w:lang w:bidi="en-US"/>
              </w:rPr>
              <w:t>Remote Air Services Subsidy</w:t>
            </w:r>
          </w:p>
        </w:tc>
      </w:tr>
      <w:tr w:rsidR="00304684" w:rsidRPr="00F433A0" w14:paraId="16D28203" w14:textId="77777777" w:rsidTr="00D17655">
        <w:tc>
          <w:tcPr>
            <w:tcW w:w="1877" w:type="dxa"/>
            <w:vAlign w:val="center"/>
          </w:tcPr>
          <w:p w14:paraId="215A3C78" w14:textId="77777777" w:rsidR="00304684" w:rsidRPr="00A423E1" w:rsidRDefault="00304684" w:rsidP="00326B26">
            <w:pPr>
              <w:pStyle w:val="BookAntiqua10left2"/>
              <w:spacing w:before="100" w:after="100"/>
              <w:rPr>
                <w:lang w:val="en-US" w:bidi="en-US"/>
              </w:rPr>
            </w:pPr>
            <w:r w:rsidRPr="00A423E1">
              <w:rPr>
                <w:lang w:val="en-US" w:bidi="en-US"/>
              </w:rPr>
              <w:t>ROU</w:t>
            </w:r>
          </w:p>
        </w:tc>
        <w:tc>
          <w:tcPr>
            <w:tcW w:w="5823" w:type="dxa"/>
            <w:vAlign w:val="center"/>
          </w:tcPr>
          <w:p w14:paraId="1DCE850A" w14:textId="77777777" w:rsidR="00304684" w:rsidRPr="003F4C9C" w:rsidRDefault="00304684" w:rsidP="00326B26">
            <w:pPr>
              <w:pStyle w:val="BookAntiqua10left2"/>
              <w:spacing w:before="100" w:after="100"/>
              <w:rPr>
                <w:lang w:bidi="en-US"/>
              </w:rPr>
            </w:pPr>
            <w:r w:rsidRPr="003F4C9C">
              <w:rPr>
                <w:lang w:bidi="en-US"/>
              </w:rPr>
              <w:t>Right of Use</w:t>
            </w:r>
          </w:p>
        </w:tc>
      </w:tr>
      <w:tr w:rsidR="00304684" w:rsidRPr="00F433A0" w14:paraId="6DFFAACD" w14:textId="77777777" w:rsidTr="00D17655">
        <w:tc>
          <w:tcPr>
            <w:tcW w:w="1877" w:type="dxa"/>
            <w:vAlign w:val="center"/>
          </w:tcPr>
          <w:p w14:paraId="6D41DF39" w14:textId="77777777" w:rsidR="00304684" w:rsidRPr="00A423E1" w:rsidRDefault="00304684" w:rsidP="00326B26">
            <w:pPr>
              <w:pStyle w:val="BookAntiqua10left2"/>
              <w:spacing w:before="100" w:after="100"/>
              <w:rPr>
                <w:lang w:val="en-US" w:bidi="en-US"/>
              </w:rPr>
            </w:pPr>
            <w:r w:rsidRPr="00A423E1">
              <w:rPr>
                <w:lang w:val="en-US" w:bidi="en-US"/>
              </w:rPr>
              <w:t>SBS</w:t>
            </w:r>
          </w:p>
        </w:tc>
        <w:tc>
          <w:tcPr>
            <w:tcW w:w="5823" w:type="dxa"/>
            <w:vAlign w:val="center"/>
          </w:tcPr>
          <w:p w14:paraId="131D818D" w14:textId="77777777" w:rsidR="00304684" w:rsidRPr="003F4C9C" w:rsidRDefault="00304684" w:rsidP="00326B26">
            <w:pPr>
              <w:pStyle w:val="BookAntiqua10left2"/>
              <w:spacing w:before="100" w:after="100"/>
              <w:rPr>
                <w:lang w:bidi="en-US"/>
              </w:rPr>
            </w:pPr>
            <w:r w:rsidRPr="003F4C9C">
              <w:rPr>
                <w:lang w:bidi="en-US"/>
              </w:rPr>
              <w:t>Special Broadcasting Service Corporation</w:t>
            </w:r>
          </w:p>
        </w:tc>
      </w:tr>
      <w:tr w:rsidR="00304684" w:rsidRPr="00F433A0" w14:paraId="3D59C500" w14:textId="77777777" w:rsidTr="00D17655">
        <w:tc>
          <w:tcPr>
            <w:tcW w:w="1877" w:type="dxa"/>
            <w:vAlign w:val="center"/>
          </w:tcPr>
          <w:p w14:paraId="6A02FF61" w14:textId="77777777" w:rsidR="00304684" w:rsidRPr="00A423E1" w:rsidRDefault="00304684" w:rsidP="00326B26">
            <w:pPr>
              <w:pStyle w:val="BookAntiqua10left2"/>
              <w:spacing w:before="100" w:after="100"/>
              <w:rPr>
                <w:lang w:val="en-US" w:bidi="en-US"/>
              </w:rPr>
            </w:pPr>
            <w:r w:rsidRPr="00A423E1">
              <w:rPr>
                <w:lang w:val="en-US" w:bidi="en-US"/>
              </w:rPr>
              <w:t>Treasury</w:t>
            </w:r>
          </w:p>
        </w:tc>
        <w:tc>
          <w:tcPr>
            <w:tcW w:w="5823" w:type="dxa"/>
            <w:vAlign w:val="center"/>
          </w:tcPr>
          <w:p w14:paraId="100C27A6" w14:textId="58502C6C" w:rsidR="00304684" w:rsidRPr="003F4C9C" w:rsidRDefault="00304684" w:rsidP="00326B26">
            <w:pPr>
              <w:pStyle w:val="BookAntiqua10left2"/>
              <w:spacing w:before="100" w:after="100"/>
              <w:rPr>
                <w:lang w:bidi="en-US"/>
              </w:rPr>
            </w:pPr>
            <w:r w:rsidRPr="003F4C9C">
              <w:rPr>
                <w:lang w:bidi="en-US"/>
              </w:rPr>
              <w:t xml:space="preserve">The </w:t>
            </w:r>
            <w:r w:rsidR="008863D9">
              <w:rPr>
                <w:lang w:bidi="en-US"/>
              </w:rPr>
              <w:t>Department</w:t>
            </w:r>
            <w:r w:rsidRPr="003F4C9C">
              <w:rPr>
                <w:lang w:bidi="en-US"/>
              </w:rPr>
              <w:t xml:space="preserve"> of the Treasury</w:t>
            </w:r>
          </w:p>
        </w:tc>
      </w:tr>
      <w:tr w:rsidR="00304684" w:rsidRPr="00F433A0" w14:paraId="56903656" w14:textId="77777777" w:rsidTr="00D17655">
        <w:tc>
          <w:tcPr>
            <w:tcW w:w="1877" w:type="dxa"/>
            <w:vAlign w:val="center"/>
          </w:tcPr>
          <w:p w14:paraId="37E76598" w14:textId="77777777" w:rsidR="00304684" w:rsidRPr="00A423E1" w:rsidRDefault="00304684" w:rsidP="00326B26">
            <w:pPr>
              <w:pStyle w:val="BookAntiqua10left2"/>
              <w:spacing w:before="100" w:after="100"/>
              <w:rPr>
                <w:lang w:val="en-US" w:bidi="en-US"/>
              </w:rPr>
            </w:pPr>
            <w:r w:rsidRPr="00A423E1">
              <w:rPr>
                <w:lang w:val="en-US" w:bidi="en-US"/>
              </w:rPr>
              <w:t>USO</w:t>
            </w:r>
          </w:p>
        </w:tc>
        <w:tc>
          <w:tcPr>
            <w:tcW w:w="5823" w:type="dxa"/>
            <w:vAlign w:val="center"/>
          </w:tcPr>
          <w:p w14:paraId="433154D5" w14:textId="77777777" w:rsidR="00304684" w:rsidRPr="003F4C9C" w:rsidRDefault="00304684" w:rsidP="00326B26">
            <w:pPr>
              <w:pStyle w:val="BookAntiqua10left2"/>
              <w:spacing w:before="100" w:after="100"/>
              <w:rPr>
                <w:lang w:bidi="en-US"/>
              </w:rPr>
            </w:pPr>
            <w:r w:rsidRPr="003F4C9C">
              <w:rPr>
                <w:lang w:bidi="en-US"/>
              </w:rPr>
              <w:t>Universal Service Obligation</w:t>
            </w:r>
          </w:p>
        </w:tc>
      </w:tr>
      <w:tr w:rsidR="00304684" w:rsidRPr="00F433A0" w14:paraId="7A3B76AB" w14:textId="77777777" w:rsidTr="00D17655">
        <w:tc>
          <w:tcPr>
            <w:tcW w:w="1877" w:type="dxa"/>
            <w:vAlign w:val="center"/>
          </w:tcPr>
          <w:p w14:paraId="75815B9A" w14:textId="77777777" w:rsidR="00304684" w:rsidRPr="00A423E1" w:rsidRDefault="00304684" w:rsidP="00326B26">
            <w:pPr>
              <w:pStyle w:val="BookAntiqua10left2"/>
              <w:spacing w:before="100" w:after="100"/>
              <w:rPr>
                <w:lang w:val="en-US" w:bidi="en-US"/>
              </w:rPr>
            </w:pPr>
            <w:r w:rsidRPr="00A423E1">
              <w:rPr>
                <w:lang w:val="en-US" w:bidi="en-US"/>
              </w:rPr>
              <w:t>VAST</w:t>
            </w:r>
          </w:p>
        </w:tc>
        <w:tc>
          <w:tcPr>
            <w:tcW w:w="5823" w:type="dxa"/>
            <w:vAlign w:val="center"/>
          </w:tcPr>
          <w:p w14:paraId="7EA42564" w14:textId="77777777" w:rsidR="00304684" w:rsidRPr="003F4C9C" w:rsidRDefault="00304684" w:rsidP="00326B26">
            <w:pPr>
              <w:pStyle w:val="BookAntiqua10left2"/>
              <w:spacing w:before="100" w:after="100"/>
              <w:rPr>
                <w:lang w:bidi="en-US"/>
              </w:rPr>
            </w:pPr>
            <w:r w:rsidRPr="003F4C9C">
              <w:rPr>
                <w:lang w:bidi="en-US"/>
              </w:rPr>
              <w:t>Viewer Access Satellite Television</w:t>
            </w:r>
          </w:p>
        </w:tc>
      </w:tr>
      <w:tr w:rsidR="00304684" w:rsidRPr="00F433A0" w14:paraId="432F94CE" w14:textId="77777777" w:rsidTr="00D17655">
        <w:tc>
          <w:tcPr>
            <w:tcW w:w="1877" w:type="dxa"/>
            <w:vAlign w:val="center"/>
          </w:tcPr>
          <w:p w14:paraId="4C908D3E" w14:textId="77777777" w:rsidR="00304684" w:rsidRPr="00A423E1" w:rsidRDefault="00304684" w:rsidP="00326B26">
            <w:pPr>
              <w:pStyle w:val="BookAntiqua10left2"/>
              <w:spacing w:before="100" w:after="100"/>
              <w:rPr>
                <w:lang w:val="en-US" w:bidi="en-US"/>
              </w:rPr>
            </w:pPr>
            <w:r w:rsidRPr="00A423E1">
              <w:rPr>
                <w:lang w:val="en-US" w:bidi="en-US"/>
              </w:rPr>
              <w:t>WSA Co</w:t>
            </w:r>
          </w:p>
        </w:tc>
        <w:tc>
          <w:tcPr>
            <w:tcW w:w="5823" w:type="dxa"/>
            <w:vAlign w:val="center"/>
          </w:tcPr>
          <w:p w14:paraId="6087575E" w14:textId="77777777" w:rsidR="00304684" w:rsidRPr="003F4C9C" w:rsidRDefault="00304684" w:rsidP="00326B26">
            <w:pPr>
              <w:pStyle w:val="BookAntiqua10left2"/>
              <w:spacing w:before="100" w:after="100"/>
              <w:rPr>
                <w:lang w:bidi="en-US"/>
              </w:rPr>
            </w:pPr>
            <w:r w:rsidRPr="003F4C9C">
              <w:rPr>
                <w:lang w:bidi="en-US"/>
              </w:rPr>
              <w:t>WSA Co Limited</w:t>
            </w:r>
          </w:p>
        </w:tc>
      </w:tr>
    </w:tbl>
    <w:p w14:paraId="4607E852" w14:textId="77777777" w:rsidR="00376E4F" w:rsidRPr="00C2240B" w:rsidRDefault="00376E4F" w:rsidP="00C2240B"/>
    <w:sectPr w:rsidR="00376E4F" w:rsidRPr="00C2240B" w:rsidSect="005A601A">
      <w:headerReference w:type="even" r:id="rId140"/>
      <w:headerReference w:type="default" r:id="rId141"/>
      <w:headerReference w:type="first" r:id="rId142"/>
      <w:footerReference w:type="first" r:id="rId143"/>
      <w:type w:val="oddPage"/>
      <w:pgSz w:w="11907" w:h="16840"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6AAAB" w14:textId="77777777" w:rsidR="005616C5" w:rsidRDefault="005616C5" w:rsidP="00F51DAC">
      <w:pPr>
        <w:spacing w:after="0" w:line="240" w:lineRule="auto"/>
      </w:pPr>
      <w:r>
        <w:separator/>
      </w:r>
    </w:p>
  </w:endnote>
  <w:endnote w:type="continuationSeparator" w:id="0">
    <w:p w14:paraId="7F3D1CEB" w14:textId="77777777" w:rsidR="005616C5" w:rsidRDefault="005616C5"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EC690" w14:textId="33C3DECD" w:rsidR="005616C5" w:rsidRPr="006E442F" w:rsidRDefault="005616C5" w:rsidP="004740FA">
    <w:pPr>
      <w:pStyle w:val="FooterOdd"/>
      <w:jc w:val="left"/>
      <w:rPr>
        <w:b/>
        <w:bCs/>
      </w:rPr>
    </w:pPr>
    <w:r w:rsidRPr="006E442F">
      <w:rPr>
        <w:b/>
        <w:bCs/>
        <w:lang w:val="en-AU"/>
      </w:rPr>
      <w:t xml:space="preserve">Page </w:t>
    </w:r>
    <w:r w:rsidRPr="006E442F">
      <w:rPr>
        <w:b/>
        <w:bCs/>
      </w:rPr>
      <w:fldChar w:fldCharType="begin"/>
    </w:r>
    <w:r w:rsidRPr="006E442F">
      <w:rPr>
        <w:b/>
        <w:bCs/>
      </w:rPr>
      <w:instrText xml:space="preserve"> COMMENTS  \* MERGEFORMAT </w:instrText>
    </w:r>
    <w:r w:rsidRPr="006E442F">
      <w:rPr>
        <w:b/>
        <w:bCs/>
      </w:rPr>
      <w:fldChar w:fldCharType="end"/>
    </w:r>
    <w:r w:rsidRPr="006E442F">
      <w:rPr>
        <w:rStyle w:val="PageNumber"/>
        <w:b/>
        <w:bCs/>
      </w:rPr>
      <w:fldChar w:fldCharType="begin"/>
    </w:r>
    <w:r w:rsidRPr="006E442F">
      <w:rPr>
        <w:rStyle w:val="PageNumber"/>
        <w:b/>
        <w:bCs/>
      </w:rPr>
      <w:instrText xml:space="preserve"> PAGE </w:instrText>
    </w:r>
    <w:r w:rsidRPr="006E442F">
      <w:rPr>
        <w:rStyle w:val="PageNumber"/>
        <w:b/>
        <w:bCs/>
      </w:rPr>
      <w:fldChar w:fldCharType="separate"/>
    </w:r>
    <w:r w:rsidR="003B5862">
      <w:rPr>
        <w:rStyle w:val="PageNumber"/>
        <w:b/>
        <w:bCs/>
        <w:noProof/>
      </w:rPr>
      <w:t>cci</w:t>
    </w:r>
    <w:r w:rsidRPr="006E442F">
      <w:rPr>
        <w:rStyle w:val="PageNumber"/>
        <w:b/>
        <w:bCs/>
      </w:rPr>
      <w:fldChar w:fldCharType="end"/>
    </w:r>
  </w:p>
  <w:p w14:paraId="5CF5F3F3" w14:textId="73C201DF" w:rsidR="005616C5" w:rsidRPr="004740FA" w:rsidRDefault="005616C5" w:rsidP="004740F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567CD" w14:textId="03AC3F51" w:rsidR="005616C5" w:rsidRPr="002579D6" w:rsidRDefault="005616C5" w:rsidP="002579D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10B93" w14:textId="3346E166" w:rsidR="005616C5" w:rsidRPr="00F33D2A" w:rsidRDefault="005616C5" w:rsidP="00A94569">
    <w:pPr>
      <w:pStyle w:val="FooterOdd"/>
    </w:pPr>
    <w:r>
      <w:rPr>
        <w:lang w:val="en-AU"/>
      </w:rPr>
      <w:t>Portfolio Overview</w:t>
    </w:r>
    <w:r>
      <w:rPr>
        <w:lang w:val="en-AU"/>
      </w:rPr>
      <w:fldChar w:fldCharType="begin"/>
    </w:r>
    <w:r>
      <w:rPr>
        <w:lang w:val="en-AU"/>
      </w:rPr>
      <w:instrText xml:space="preserve"> STYLEREF  "Part Heading" </w:instrTex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B5862">
      <w:rPr>
        <w:b/>
        <w:bCs/>
        <w:noProof/>
      </w:rPr>
      <w:t>13</w:t>
    </w:r>
    <w:r w:rsidRPr="00ED6CC1">
      <w:rPr>
        <w:b/>
        <w:bCs/>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31D78" w14:textId="2EC8F165" w:rsidR="005616C5" w:rsidRPr="00B766AA" w:rsidRDefault="005616C5" w:rsidP="00B100D4">
    <w:pPr>
      <w:pStyle w:val="FooterOdd"/>
      <w:tabs>
        <w:tab w:val="left" w:pos="4440"/>
        <w:tab w:val="right" w:pos="7711"/>
      </w:tabs>
    </w:pPr>
    <w:r>
      <w:rPr>
        <w:lang w:val="en-AU"/>
      </w:rPr>
      <w:t>Portfolio Overview</w:t>
    </w:r>
    <w:r>
      <w:rPr>
        <w:lang w:val="en-AU"/>
      </w:rPr>
      <w:fldChar w:fldCharType="begin"/>
    </w:r>
    <w:r>
      <w:rPr>
        <w:lang w:val="en-AU"/>
      </w:rPr>
      <w:instrText xml:space="preserve"> STYLEREF  "Part Heading" </w:instrTex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B5862">
      <w:rPr>
        <w:b/>
        <w:bCs/>
        <w:noProof/>
      </w:rPr>
      <w:t>3</w:t>
    </w:r>
    <w:r w:rsidRPr="00ED6CC1">
      <w:rPr>
        <w:b/>
        <w:bCs/>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FD799" w14:textId="7ED60ABF" w:rsidR="005616C5" w:rsidRPr="00BD2516" w:rsidRDefault="005616C5" w:rsidP="00BD2516">
    <w:pPr>
      <w:pStyle w:val="Footer"/>
      <w:jc w:val="both"/>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4728" w14:textId="540514B6" w:rsidR="005616C5" w:rsidRPr="00E56AAB" w:rsidRDefault="005616C5" w:rsidP="006E442F">
    <w:pPr>
      <w:pStyle w:val="FooterEven"/>
      <w:rPr>
        <w:sz w:val="17"/>
        <w:szCs w:val="17"/>
      </w:rPr>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3B5862">
      <w:rPr>
        <w:b/>
        <w:bCs w:val="0"/>
        <w:noProof/>
      </w:rPr>
      <w:t>74</w:t>
    </w:r>
    <w:r w:rsidRPr="006E442F">
      <w:rPr>
        <w:b/>
        <w:bCs w:val="0"/>
        <w:noProof/>
      </w:rPr>
      <w:fldChar w:fldCharType="end"/>
    </w:r>
    <w:r>
      <w:rPr>
        <w:noProof/>
      </w:rPr>
      <w:t xml:space="preserve"> | </w:t>
    </w:r>
    <w:r w:rsidRPr="00E56AAB">
      <w:rPr>
        <w:sz w:val="17"/>
        <w:szCs w:val="17"/>
      </w:rPr>
      <w:fldChar w:fldCharType="begin"/>
    </w:r>
    <w:r w:rsidRPr="00E56AAB">
      <w:rPr>
        <w:sz w:val="17"/>
        <w:szCs w:val="17"/>
      </w:rPr>
      <w:instrText xml:space="preserve"> STYLEREF  "Heading 1 - No TOC"  \* MERGEFORMAT </w:instrText>
    </w:r>
    <w:r w:rsidRPr="00E56AAB">
      <w:rPr>
        <w:sz w:val="17"/>
        <w:szCs w:val="17"/>
      </w:rPr>
      <w:fldChar w:fldCharType="separate"/>
    </w:r>
    <w:r w:rsidR="003B5862">
      <w:rPr>
        <w:noProof/>
        <w:sz w:val="17"/>
        <w:szCs w:val="17"/>
      </w:rPr>
      <w:t>Department of Infrastructure, Transport, Regional Development and Communications</w:t>
    </w:r>
    <w:r w:rsidRPr="00E56AAB">
      <w:rPr>
        <w:noProof/>
        <w:sz w:val="17"/>
        <w:szCs w:val="17"/>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6D674" w14:textId="373E763B" w:rsidR="005616C5" w:rsidRPr="00F33D2A" w:rsidRDefault="005616C5" w:rsidP="00ED6CC1">
    <w:pPr>
      <w:pStyle w:val="FooterOdd"/>
    </w:pPr>
    <w:r>
      <w:rPr>
        <w:lang w:val="en-AU"/>
      </w:rPr>
      <w:t xml:space="preserve"> </w:t>
    </w:r>
    <w:r w:rsidRPr="00F70EA7">
      <w:rPr>
        <w:sz w:val="17"/>
        <w:szCs w:val="17"/>
        <w:lang w:val="en-AU"/>
      </w:rPr>
      <w:fldChar w:fldCharType="begin"/>
    </w:r>
    <w:r w:rsidRPr="00F70EA7">
      <w:rPr>
        <w:sz w:val="17"/>
        <w:szCs w:val="17"/>
        <w:lang w:val="en-AU"/>
      </w:rPr>
      <w:instrText xml:space="preserve"> STYLEREF  "Heading 1 - No TOC"  \* MERGEFORMAT </w:instrText>
    </w:r>
    <w:r w:rsidRPr="00F70EA7">
      <w:rPr>
        <w:sz w:val="17"/>
        <w:szCs w:val="17"/>
        <w:lang w:val="en-AU"/>
      </w:rPr>
      <w:fldChar w:fldCharType="separate"/>
    </w:r>
    <w:r w:rsidR="003B5862">
      <w:rPr>
        <w:noProof/>
        <w:sz w:val="17"/>
        <w:szCs w:val="17"/>
        <w:lang w:val="en-AU"/>
      </w:rPr>
      <w:t>Department of Infrastructure, Transport, Regional Development and Communications</w:t>
    </w:r>
    <w:r w:rsidRPr="00F70EA7">
      <w:rPr>
        <w:sz w:val="17"/>
        <w:szCs w:val="17"/>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B5862">
      <w:rPr>
        <w:b/>
        <w:bCs/>
        <w:noProof/>
      </w:rPr>
      <w:t>17</w:t>
    </w:r>
    <w:r w:rsidRPr="00ED6CC1">
      <w:rPr>
        <w:b/>
        <w:bCs/>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5F95" w14:textId="571FEA3D" w:rsidR="005616C5" w:rsidRPr="00F33D2A" w:rsidRDefault="005616C5" w:rsidP="00A94569">
    <w:pPr>
      <w:pStyle w:val="FooterOdd"/>
    </w:pPr>
    <w:r w:rsidRPr="00F70EA7">
      <w:rPr>
        <w:sz w:val="17"/>
        <w:szCs w:val="17"/>
        <w:lang w:val="en-AU"/>
      </w:rPr>
      <w:fldChar w:fldCharType="begin"/>
    </w:r>
    <w:r w:rsidRPr="00F70EA7">
      <w:rPr>
        <w:sz w:val="17"/>
        <w:szCs w:val="17"/>
        <w:lang w:val="en-AU"/>
      </w:rPr>
      <w:instrText xml:space="preserve"> STYLEREF  "Heading 1 - No TOC"  \* MERGEFORMAT </w:instrText>
    </w:r>
    <w:r w:rsidRPr="00F70EA7">
      <w:rPr>
        <w:sz w:val="17"/>
        <w:szCs w:val="17"/>
        <w:lang w:val="en-AU"/>
      </w:rPr>
      <w:fldChar w:fldCharType="separate"/>
    </w:r>
    <w:r w:rsidR="003B5862">
      <w:rPr>
        <w:noProof/>
        <w:sz w:val="17"/>
        <w:szCs w:val="17"/>
        <w:lang w:val="en-AU"/>
      </w:rPr>
      <w:t>Department of Infrastructure, Transport, Regional Development and Communications</w:t>
    </w:r>
    <w:r w:rsidRPr="00F70EA7">
      <w:rPr>
        <w:sz w:val="17"/>
        <w:szCs w:val="17"/>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B5862">
      <w:rPr>
        <w:b/>
        <w:bCs/>
        <w:noProof/>
      </w:rPr>
      <w:t>75</w:t>
    </w:r>
    <w:r w:rsidRPr="00ED6CC1">
      <w:rPr>
        <w:b/>
        <w:bCs/>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FC90F" w14:textId="1B5F658A" w:rsidR="005616C5" w:rsidRPr="00F33D2A" w:rsidRDefault="005616C5" w:rsidP="00A94569">
    <w:pPr>
      <w:pStyle w:val="FooterOdd"/>
    </w:pPr>
    <w:r w:rsidRPr="00F70EA7">
      <w:rPr>
        <w:sz w:val="17"/>
        <w:szCs w:val="17"/>
        <w:lang w:val="en-AU"/>
      </w:rPr>
      <w:fldChar w:fldCharType="begin"/>
    </w:r>
    <w:r w:rsidRPr="00F70EA7">
      <w:rPr>
        <w:sz w:val="17"/>
        <w:szCs w:val="17"/>
        <w:lang w:val="en-AU"/>
      </w:rPr>
      <w:instrText xml:space="preserve"> STYLEREF  "Heading 1 - No TOC"  \* MERGEFORMAT </w:instrText>
    </w:r>
    <w:r w:rsidRPr="00F70EA7">
      <w:rPr>
        <w:sz w:val="17"/>
        <w:szCs w:val="17"/>
        <w:lang w:val="en-AU"/>
      </w:rPr>
      <w:fldChar w:fldCharType="separate"/>
    </w:r>
    <w:r w:rsidR="003B5862">
      <w:rPr>
        <w:noProof/>
        <w:sz w:val="17"/>
        <w:szCs w:val="17"/>
        <w:lang w:val="en-AU"/>
      </w:rPr>
      <w:t>Department of Infrastructure, Transport, Regional Development and Communications</w:t>
    </w:r>
    <w:r w:rsidRPr="00F70EA7">
      <w:rPr>
        <w:sz w:val="17"/>
        <w:szCs w:val="17"/>
        <w:lang w:val="en-AU"/>
      </w:rPr>
      <w:fldChar w:fldCharType="end"/>
    </w:r>
    <w:r w:rsidRPr="00F70EA7">
      <w:rPr>
        <w:sz w:val="17"/>
        <w:szCs w:val="17"/>
        <w:lang w:val="en-AU"/>
      </w:rPr>
      <w:t xml:space="preserve"> </w:t>
    </w:r>
    <w:r>
      <w:rPr>
        <w:lang w:val="en-AU"/>
      </w:rPr>
      <w:t xml:space="preserve">|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B5862">
      <w:rPr>
        <w:b/>
        <w:bCs/>
        <w:noProof/>
      </w:rPr>
      <w:t>19</w:t>
    </w:r>
    <w:r w:rsidRPr="00ED6CC1">
      <w:rPr>
        <w:b/>
        <w:bCs/>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320D" w14:textId="5F71DF5E" w:rsidR="005616C5" w:rsidRPr="00BD2516" w:rsidRDefault="005616C5" w:rsidP="00BD2516">
    <w:pPr>
      <w:pStyle w:val="Footer"/>
      <w:jc w:val="both"/>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283C7" w14:textId="168124A1" w:rsidR="005616C5" w:rsidRPr="000B6E1F" w:rsidRDefault="005616C5" w:rsidP="00192B13">
    <w:pPr>
      <w:pStyle w:val="FooterOdd"/>
      <w:rPr>
        <w:lang w:val="en-US"/>
      </w:rPr>
    </w:pPr>
    <w:r w:rsidRPr="004D18FD">
      <w:rPr>
        <w:lang w:val="en-AU"/>
      </w:rPr>
      <w:t>Australian Communications and Media Authority</w:t>
    </w:r>
    <w:r>
      <w:rPr>
        <w:lang w:val="en-AU"/>
      </w:rPr>
      <w:t xml:space="preserve"> | </w:t>
    </w:r>
    <w:r w:rsidRPr="00ED6CC1">
      <w:rPr>
        <w:b/>
        <w:bCs/>
        <w:lang w:val="en-AU"/>
      </w:rPr>
      <w:t xml:space="preserve">Page </w:t>
    </w:r>
    <w:r w:rsidRPr="006E442F">
      <w:rPr>
        <w:b/>
        <w:bCs/>
      </w:rPr>
      <w:fldChar w:fldCharType="begin"/>
    </w:r>
    <w:r w:rsidRPr="006E442F">
      <w:rPr>
        <w:b/>
      </w:rPr>
      <w:instrText xml:space="preserve"> PAGE   \* MERGEFORMAT </w:instrText>
    </w:r>
    <w:r w:rsidRPr="006E442F">
      <w:rPr>
        <w:b/>
        <w:bCs/>
      </w:rPr>
      <w:fldChar w:fldCharType="separate"/>
    </w:r>
    <w:r w:rsidR="003B5862" w:rsidRPr="003B5862">
      <w:rPr>
        <w:b/>
        <w:bCs/>
        <w:noProof/>
      </w:rPr>
      <w:t>79</w:t>
    </w:r>
    <w:r w:rsidRPr="006E442F">
      <w:rPr>
        <w:b/>
        <w:bCs/>
        <w:noProof/>
      </w:rPr>
      <w:fldChar w:fldCharType="end"/>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DCB6F" w14:textId="29FB6A71" w:rsidR="005616C5" w:rsidRPr="006E442F" w:rsidRDefault="005616C5" w:rsidP="0059350C">
    <w:pPr>
      <w:pStyle w:val="FooterOdd"/>
      <w:rPr>
        <w:b/>
        <w:bCs/>
      </w:rPr>
    </w:pPr>
    <w:r w:rsidRPr="006E442F">
      <w:rPr>
        <w:b/>
        <w:bCs/>
        <w:lang w:val="en-AU"/>
      </w:rPr>
      <w:t xml:space="preserve">Page </w:t>
    </w:r>
    <w:r w:rsidRPr="006E442F">
      <w:rPr>
        <w:b/>
        <w:bCs/>
      </w:rPr>
      <w:fldChar w:fldCharType="begin"/>
    </w:r>
    <w:r w:rsidRPr="006E442F">
      <w:rPr>
        <w:b/>
        <w:bCs/>
      </w:rPr>
      <w:instrText xml:space="preserve"> COMMENTS  \* MERGEFORMAT </w:instrText>
    </w:r>
    <w:r w:rsidRPr="006E442F">
      <w:rPr>
        <w:b/>
        <w:bCs/>
      </w:rPr>
      <w:fldChar w:fldCharType="end"/>
    </w:r>
    <w:r w:rsidRPr="006E442F">
      <w:rPr>
        <w:rStyle w:val="PageNumber"/>
        <w:b/>
        <w:bCs/>
      </w:rPr>
      <w:fldChar w:fldCharType="begin"/>
    </w:r>
    <w:r w:rsidRPr="006E442F">
      <w:rPr>
        <w:rStyle w:val="PageNumber"/>
        <w:b/>
        <w:bCs/>
      </w:rPr>
      <w:instrText xml:space="preserve"> PAGE </w:instrText>
    </w:r>
    <w:r w:rsidRPr="006E442F">
      <w:rPr>
        <w:rStyle w:val="PageNumber"/>
        <w:b/>
        <w:bCs/>
      </w:rPr>
      <w:fldChar w:fldCharType="separate"/>
    </w:r>
    <w:r w:rsidR="003B5862">
      <w:rPr>
        <w:rStyle w:val="PageNumber"/>
        <w:b/>
        <w:bCs/>
        <w:noProof/>
      </w:rPr>
      <w:t>iii</w:t>
    </w:r>
    <w:r w:rsidRPr="006E442F">
      <w:rPr>
        <w:rStyle w:val="PageNumber"/>
        <w:b/>
        <w:bCs/>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DD5D7" w14:textId="187F64EA" w:rsidR="005616C5" w:rsidRDefault="005616C5"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3B5862">
      <w:rPr>
        <w:b/>
        <w:bCs w:val="0"/>
        <w:noProof/>
      </w:rPr>
      <w:t>98</w:t>
    </w:r>
    <w:r w:rsidRPr="006E442F">
      <w:rPr>
        <w:b/>
        <w:bCs w:val="0"/>
        <w:noProof/>
      </w:rPr>
      <w:fldChar w:fldCharType="end"/>
    </w:r>
    <w:r>
      <w:rPr>
        <w:noProof/>
      </w:rPr>
      <w:t xml:space="preserve"> |</w:t>
    </w:r>
    <w:r>
      <w:t xml:space="preserve"> Australian Communications and Media Authority</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2347" w14:textId="736CB2AE" w:rsidR="005616C5" w:rsidRPr="006E442F" w:rsidRDefault="005616C5" w:rsidP="006E442F">
    <w:pPr>
      <w:pStyle w:val="FooterOdd"/>
      <w:rPr>
        <w:b/>
        <w:bCs/>
      </w:rPr>
    </w:pPr>
    <w:r>
      <w:rPr>
        <w:lang w:val="en-AU"/>
      </w:rPr>
      <w:fldChar w:fldCharType="begin"/>
    </w:r>
    <w:r>
      <w:rPr>
        <w:lang w:val="en-AU"/>
      </w:rPr>
      <w:instrText xml:space="preserve"> STYLEREF  "Heading 1 - No TOC"  \* MERGEFORMAT </w:instrText>
    </w:r>
    <w:r>
      <w:rPr>
        <w:lang w:val="en-AU"/>
      </w:rPr>
      <w:fldChar w:fldCharType="separate"/>
    </w:r>
    <w:r w:rsidR="003B5862">
      <w:rPr>
        <w:noProof/>
        <w:lang w:val="en-AU"/>
      </w:rPr>
      <w:t>Civil Aviation Safety Authority</w:t>
    </w:r>
    <w:r>
      <w:rPr>
        <w:lang w:val="en-AU"/>
      </w:rPr>
      <w:fldChar w:fldCharType="end"/>
    </w:r>
    <w:r>
      <w:rPr>
        <w:lang w:val="en-AU"/>
      </w:rPr>
      <w:t xml:space="preserve"> | </w:t>
    </w: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sidR="003B5862" w:rsidRPr="003B5862">
      <w:rPr>
        <w:b/>
        <w:bCs/>
        <w:noProof/>
        <w:lang w:val="en-US"/>
      </w:rPr>
      <w:t>113</w:t>
    </w:r>
    <w:r w:rsidRPr="006E442F">
      <w:rPr>
        <w:b/>
        <w:bCs/>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8F4DE" w14:textId="75834EF8" w:rsidR="005616C5" w:rsidRPr="000B6E1F" w:rsidRDefault="005616C5" w:rsidP="00ED6CC1">
    <w:pPr>
      <w:pStyle w:val="FooterOdd"/>
      <w:rPr>
        <w:lang w:val="en-US"/>
      </w:rPr>
    </w:pPr>
    <w:r>
      <w:rPr>
        <w:lang w:val="en-AU"/>
      </w:rPr>
      <w:t xml:space="preserve"> </w:t>
    </w:r>
    <w:r w:rsidRPr="004D18FD">
      <w:rPr>
        <w:lang w:val="en-AU"/>
      </w:rPr>
      <w:t>Australian Communications and Media Authority</w:t>
    </w:r>
    <w:r>
      <w:rPr>
        <w:lang w:val="en-AU"/>
      </w:rPr>
      <w:t xml:space="preserve"> | </w:t>
    </w:r>
    <w:r w:rsidRPr="00ED6CC1">
      <w:rPr>
        <w:b/>
        <w:bCs/>
        <w:lang w:val="en-AU"/>
      </w:rPr>
      <w:t xml:space="preserve">Page </w:t>
    </w:r>
    <w:r w:rsidRPr="006E442F">
      <w:rPr>
        <w:b/>
        <w:bCs/>
      </w:rPr>
      <w:fldChar w:fldCharType="begin"/>
    </w:r>
    <w:r w:rsidRPr="006E442F">
      <w:rPr>
        <w:b/>
      </w:rPr>
      <w:instrText xml:space="preserve"> PAGE   \* MERGEFORMAT </w:instrText>
    </w:r>
    <w:r w:rsidRPr="006E442F">
      <w:rPr>
        <w:b/>
        <w:bCs/>
      </w:rPr>
      <w:fldChar w:fldCharType="separate"/>
    </w:r>
    <w:r w:rsidR="003B5862" w:rsidRPr="003B5862">
      <w:rPr>
        <w:b/>
        <w:bCs/>
        <w:noProof/>
      </w:rPr>
      <w:t>81</w:t>
    </w:r>
    <w:r w:rsidRPr="006E442F">
      <w:rPr>
        <w:b/>
        <w:bCs/>
        <w:noProof/>
      </w:rPr>
      <w:fldChar w:fldCharType="end"/>
    </w:r>
    <w:r>
      <w:rPr>
        <w:noProof/>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116BE" w14:textId="4A2699FD" w:rsidR="005616C5" w:rsidRPr="006E442F" w:rsidRDefault="005616C5" w:rsidP="000F4BC3">
    <w:pPr>
      <w:pStyle w:val="FooterOdd"/>
      <w:jc w:val="left"/>
      <w:rPr>
        <w:b/>
        <w:bCs/>
      </w:rPr>
    </w:pP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sidR="003B5862" w:rsidRPr="003B5862">
      <w:rPr>
        <w:b/>
        <w:bCs/>
        <w:noProof/>
        <w:lang w:val="en-US"/>
      </w:rPr>
      <w:t>96</w:t>
    </w:r>
    <w:r w:rsidRPr="006E442F">
      <w:rPr>
        <w:b/>
        <w:bCs/>
        <w:noProof/>
      </w:rPr>
      <w:fldChar w:fldCharType="end"/>
    </w:r>
    <w:r>
      <w:rPr>
        <w:b/>
        <w:bCs/>
        <w:noProof/>
        <w:lang w:val="en-US"/>
      </w:rPr>
      <w:t xml:space="preserve"> </w:t>
    </w: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3B5862">
      <w:rPr>
        <w:noProof/>
        <w:lang w:val="en-AU"/>
      </w:rPr>
      <w:t>Australian Communications and Media Authority</w:t>
    </w:r>
    <w:r>
      <w:rPr>
        <w:lang w:val="en-AU"/>
      </w:rPr>
      <w:fldChar w:fldCharType="end"/>
    </w:r>
    <w:r>
      <w:rPr>
        <w:lang w:val="en-AU"/>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D1B52" w14:textId="19F30A2B" w:rsidR="005616C5" w:rsidRPr="009C4612" w:rsidRDefault="005616C5" w:rsidP="009C461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0452" w14:textId="583D8EF6" w:rsidR="005616C5" w:rsidRPr="006E442F" w:rsidRDefault="005616C5" w:rsidP="009C4612">
    <w:pPr>
      <w:pStyle w:val="FooterOdd"/>
      <w:rPr>
        <w:b/>
        <w:bCs/>
      </w:rPr>
    </w:pPr>
    <w:r>
      <w:rPr>
        <w:lang w:val="en-AU"/>
      </w:rPr>
      <w:fldChar w:fldCharType="begin"/>
    </w:r>
    <w:r>
      <w:rPr>
        <w:lang w:val="en-AU"/>
      </w:rPr>
      <w:instrText xml:space="preserve"> STYLEREF  "Heading 1 - No TOC"  \* MERGEFORMAT </w:instrText>
    </w:r>
    <w:r>
      <w:rPr>
        <w:lang w:val="en-AU"/>
      </w:rPr>
      <w:fldChar w:fldCharType="separate"/>
    </w:r>
    <w:r w:rsidR="003B5862">
      <w:rPr>
        <w:noProof/>
        <w:lang w:val="en-AU"/>
      </w:rPr>
      <w:t>Civil Aviation Safety Authority</w:t>
    </w:r>
    <w:r>
      <w:rPr>
        <w:lang w:val="en-AU"/>
      </w:rPr>
      <w:fldChar w:fldCharType="end"/>
    </w:r>
    <w:r>
      <w:rPr>
        <w:lang w:val="en-AU"/>
      </w:rPr>
      <w:t xml:space="preserve"> | </w:t>
    </w: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sidR="003B5862" w:rsidRPr="003B5862">
      <w:rPr>
        <w:b/>
        <w:bCs/>
        <w:noProof/>
        <w:lang w:val="en-US"/>
      </w:rPr>
      <w:t>103</w:t>
    </w:r>
    <w:r w:rsidRPr="006E442F">
      <w:rPr>
        <w:b/>
        <w:bCs/>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7327C" w14:textId="676BBFE2" w:rsidR="005616C5" w:rsidRDefault="005616C5"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3B5862">
      <w:rPr>
        <w:b/>
        <w:bCs w:val="0"/>
        <w:noProof/>
      </w:rPr>
      <w:t>112</w:t>
    </w:r>
    <w:r w:rsidRPr="006E442F">
      <w:rPr>
        <w:b/>
        <w:bCs w:val="0"/>
        <w:noProof/>
      </w:rPr>
      <w:fldChar w:fldCharType="end"/>
    </w:r>
    <w:r>
      <w:rPr>
        <w:noProof/>
      </w:rPr>
      <w:t xml:space="preserve"> |</w:t>
    </w:r>
    <w:r>
      <w:t xml:space="preserve"> Civil Aviation Safety Authority</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8F79F" w14:textId="035F1BDE" w:rsidR="005616C5" w:rsidRPr="003B4729" w:rsidRDefault="005616C5" w:rsidP="003B4729">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2AD8F" w14:textId="124324E1" w:rsidR="005616C5" w:rsidRPr="00F33D2A" w:rsidRDefault="005616C5" w:rsidP="00ED6CC1">
    <w:pPr>
      <w:pStyle w:val="FooterOdd"/>
    </w:pP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3B5862">
      <w:rPr>
        <w:noProof/>
        <w:lang w:val="en-AU"/>
      </w:rPr>
      <w:t>National Capital Authority</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B5862">
      <w:rPr>
        <w:b/>
        <w:bCs/>
        <w:noProof/>
      </w:rPr>
      <w:t>117</w:t>
    </w:r>
    <w:r w:rsidRPr="00ED6CC1">
      <w:rPr>
        <w:b/>
        <w:bCs/>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AB4E" w14:textId="616CF2F5" w:rsidR="005616C5" w:rsidRDefault="005616C5"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3B5862">
      <w:rPr>
        <w:b/>
        <w:bCs w:val="0"/>
        <w:noProof/>
      </w:rPr>
      <w:t>136</w:t>
    </w:r>
    <w:r w:rsidRPr="006E442F">
      <w:rPr>
        <w:b/>
        <w:bCs w:val="0"/>
        <w:noProof/>
      </w:rPr>
      <w:fldChar w:fldCharType="end"/>
    </w:r>
    <w:r>
      <w:rPr>
        <w:noProof/>
      </w:rPr>
      <w:t xml:space="preserve"> | </w:t>
    </w:r>
    <w:r>
      <w:t>National Capital Authority</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326D1" w14:textId="06FD652C" w:rsidR="005616C5" w:rsidRDefault="005616C5" w:rsidP="00CD4EF7">
    <w:pPr>
      <w:pStyle w:val="FooterOdd"/>
    </w:pPr>
    <w:r w:rsidRPr="006E442F">
      <w:rPr>
        <w:b/>
        <w:bCs/>
        <w:lang w:val="en-AU"/>
      </w:rPr>
      <w:t xml:space="preserve">Page </w:t>
    </w:r>
    <w:r w:rsidRPr="006E442F">
      <w:rPr>
        <w:b/>
        <w:bCs/>
      </w:rPr>
      <w:fldChar w:fldCharType="begin"/>
    </w:r>
    <w:r w:rsidRPr="006E442F">
      <w:rPr>
        <w:b/>
        <w:bCs/>
      </w:rPr>
      <w:instrText xml:space="preserve"> COMMENTS  \* MERGEFORMAT </w:instrText>
    </w:r>
    <w:r w:rsidRPr="006E442F">
      <w:rPr>
        <w:b/>
        <w:bCs/>
      </w:rPr>
      <w:fldChar w:fldCharType="end"/>
    </w:r>
    <w:r w:rsidRPr="006E442F">
      <w:rPr>
        <w:rStyle w:val="PageNumber"/>
        <w:b/>
        <w:bCs/>
      </w:rPr>
      <w:fldChar w:fldCharType="begin"/>
    </w:r>
    <w:r w:rsidRPr="006E442F">
      <w:rPr>
        <w:rStyle w:val="PageNumber"/>
        <w:b/>
        <w:bCs/>
      </w:rPr>
      <w:instrText xml:space="preserve"> PAGE </w:instrText>
    </w:r>
    <w:r w:rsidRPr="006E442F">
      <w:rPr>
        <w:rStyle w:val="PageNumber"/>
        <w:b/>
        <w:bCs/>
      </w:rPr>
      <w:fldChar w:fldCharType="separate"/>
    </w:r>
    <w:r w:rsidR="003B5862">
      <w:rPr>
        <w:rStyle w:val="PageNumber"/>
        <w:b/>
        <w:bCs/>
        <w:noProof/>
      </w:rPr>
      <w:t>v</w:t>
    </w:r>
    <w:r w:rsidRPr="006E442F">
      <w:rPr>
        <w:rStyle w:val="PageNumber"/>
        <w:b/>
        <w:bCs/>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AC033" w14:textId="1B96C7E8" w:rsidR="005616C5" w:rsidRPr="000D7440" w:rsidRDefault="005616C5" w:rsidP="00177B65">
    <w:pPr>
      <w:pStyle w:val="FooterOdd"/>
    </w:pPr>
    <w:r>
      <w:rPr>
        <w:lang w:val="en-AU"/>
      </w:rPr>
      <w:t xml:space="preserve">National Capital Authority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B5862">
      <w:rPr>
        <w:b/>
        <w:bCs/>
        <w:noProof/>
      </w:rPr>
      <w:t>137</w:t>
    </w:r>
    <w:r w:rsidRPr="00ED6CC1">
      <w:rPr>
        <w:b/>
        <w:bCs/>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3937A" w14:textId="591242C2" w:rsidR="005616C5" w:rsidRPr="00F33D2A" w:rsidRDefault="005616C5" w:rsidP="00ED6CC1">
    <w:pPr>
      <w:pStyle w:val="FooterOdd"/>
    </w:pPr>
    <w:r>
      <w:rPr>
        <w:lang w:val="en-AU"/>
      </w:rPr>
      <w:t xml:space="preserve">National Capital Authority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B5862">
      <w:rPr>
        <w:b/>
        <w:bCs/>
        <w:noProof/>
      </w:rPr>
      <w:t>119</w:t>
    </w:r>
    <w:r w:rsidRPr="00ED6CC1">
      <w:rPr>
        <w:b/>
        <w:bCs/>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476B" w14:textId="67A85E7F" w:rsidR="005616C5" w:rsidRPr="00F33D2A" w:rsidRDefault="005616C5" w:rsidP="00177B65">
    <w:pPr>
      <w:pStyle w:val="FooterOdd"/>
    </w:pPr>
    <w:r>
      <w:rPr>
        <w:lang w:val="en-AU"/>
      </w:rPr>
      <w:t xml:space="preserve">National Capital Authority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B5862">
      <w:rPr>
        <w:b/>
        <w:bCs/>
        <w:noProof/>
      </w:rPr>
      <w:t>133</w:t>
    </w:r>
    <w:r w:rsidRPr="00ED6CC1">
      <w:rPr>
        <w:b/>
        <w:bCs/>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AC522" w14:textId="5FB40A36" w:rsidR="005616C5" w:rsidRPr="001E2C08" w:rsidRDefault="005616C5" w:rsidP="001E2C08">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96406" w14:textId="49089423" w:rsidR="005616C5" w:rsidRPr="00F33D2A" w:rsidRDefault="005616C5" w:rsidP="00ED6CC1">
    <w:pPr>
      <w:pStyle w:val="FooterOdd"/>
    </w:pPr>
    <w:r>
      <w:rPr>
        <w:lang w:val="en-AU"/>
      </w:rPr>
      <w:t xml:space="preserve"> National Film and Sound Archive of Australia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B5862">
      <w:rPr>
        <w:b/>
        <w:bCs/>
        <w:noProof/>
      </w:rPr>
      <w:t>141</w:t>
    </w:r>
    <w:r w:rsidRPr="00ED6CC1">
      <w:rPr>
        <w:b/>
        <w:bCs/>
        <w:noProof/>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308BA" w14:textId="519314BE" w:rsidR="005616C5" w:rsidRDefault="005616C5"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3B5862">
      <w:rPr>
        <w:b/>
        <w:bCs w:val="0"/>
        <w:noProof/>
      </w:rPr>
      <w:t>154</w:t>
    </w:r>
    <w:r w:rsidRPr="006E442F">
      <w:rPr>
        <w:b/>
        <w:bCs w:val="0"/>
        <w:noProof/>
      </w:rPr>
      <w:fldChar w:fldCharType="end"/>
    </w:r>
    <w:r>
      <w:rPr>
        <w:noProof/>
      </w:rPr>
      <w:t xml:space="preserve"> | </w:t>
    </w:r>
    <w:r>
      <w:t>National Film and Sound Archive of Australia</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C3402" w14:textId="72E012A1" w:rsidR="005616C5" w:rsidRPr="00F33D2A" w:rsidRDefault="005616C5" w:rsidP="000D7440">
    <w:pPr>
      <w:pStyle w:val="FooterOdd"/>
    </w:pPr>
    <w:r>
      <w:rPr>
        <w:lang w:val="en-AU"/>
      </w:rPr>
      <w:t xml:space="preserve">National Film and Sound Archive of Australia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B5862">
      <w:rPr>
        <w:b/>
        <w:bCs/>
        <w:noProof/>
      </w:rPr>
      <w:t>147</w:t>
    </w:r>
    <w:r w:rsidRPr="00ED6CC1">
      <w:rPr>
        <w:b/>
        <w:bCs/>
        <w:noProof/>
      </w:rPr>
      <w:fldChar w:fldCharType="end"/>
    </w:r>
  </w:p>
  <w:p w14:paraId="50040E89" w14:textId="77777777" w:rsidR="005616C5" w:rsidRPr="000D7440" w:rsidRDefault="005616C5" w:rsidP="000D7440">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BE2B9" w14:textId="7E94A186" w:rsidR="005616C5" w:rsidRPr="00F33D2A" w:rsidRDefault="005616C5" w:rsidP="00ED6CC1">
    <w:pPr>
      <w:pStyle w:val="FooterOdd"/>
    </w:pP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3B5862">
      <w:rPr>
        <w:noProof/>
        <w:lang w:val="en-AU"/>
      </w:rPr>
      <w:t>National Film and Sound Archive of Australia</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B5862">
      <w:rPr>
        <w:b/>
        <w:bCs/>
        <w:noProof/>
      </w:rPr>
      <w:t>143</w:t>
    </w:r>
    <w:r w:rsidRPr="00ED6CC1">
      <w:rPr>
        <w:b/>
        <w:bCs/>
        <w:noProof/>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ED341" w14:textId="2F82E251" w:rsidR="005616C5" w:rsidRPr="007203CA" w:rsidRDefault="005616C5" w:rsidP="007203CA">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49A48" w14:textId="611CBD1F" w:rsidR="005616C5" w:rsidRDefault="005616C5"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3B5862">
      <w:rPr>
        <w:b/>
        <w:bCs w:val="0"/>
        <w:noProof/>
      </w:rPr>
      <w:t>201</w:t>
    </w:r>
    <w:r w:rsidRPr="006E442F">
      <w:rPr>
        <w:b/>
        <w:bCs w:val="0"/>
        <w:noProof/>
      </w:rPr>
      <w:fldChar w:fldCharType="end"/>
    </w:r>
    <w:r>
      <w:rPr>
        <w:noProof/>
      </w:rPr>
      <w:t xml:space="preserve"> | </w:t>
    </w:r>
    <w:fldSimple w:instr=" STYLEREF  &quot;Heading 1 - No TOC&quot;  \* MERGEFORMAT ">
      <w:r w:rsidR="003B5862">
        <w:rPr>
          <w:noProof/>
        </w:rPr>
        <w:t>National Film and Sound Archive of Australia</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CA1B9" w14:textId="7EA58EBF" w:rsidR="005616C5" w:rsidRDefault="005616C5"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3B5862">
      <w:rPr>
        <w:b/>
        <w:bCs w:val="0"/>
        <w:noProof/>
      </w:rPr>
      <w:t>12</w:t>
    </w:r>
    <w:r w:rsidRPr="006E442F">
      <w:rPr>
        <w:b/>
        <w:bCs w:val="0"/>
        <w:noProof/>
      </w:rPr>
      <w:fldChar w:fldCharType="end"/>
    </w:r>
    <w:r>
      <w:rPr>
        <w:noProof/>
      </w:rPr>
      <w:t xml:space="preserve"> </w:t>
    </w:r>
    <w:r>
      <w:t>| Portfolio Overview</w:t>
    </w:r>
    <w:r>
      <w:fldChar w:fldCharType="begin"/>
    </w:r>
    <w:r>
      <w:instrText xml:space="preserve"> STYLEREF  "Part Heading" </w:instrText>
    </w:r>
    <w: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E4ECE" w14:textId="7D75C32A" w:rsidR="005616C5" w:rsidRPr="006E442F" w:rsidRDefault="005616C5" w:rsidP="006E442F">
    <w:pPr>
      <w:pStyle w:val="FooterOdd"/>
      <w:rPr>
        <w:b/>
        <w:bCs/>
      </w:rPr>
    </w:pPr>
    <w:r>
      <w:rPr>
        <w:lang w:val="en-AU"/>
      </w:rPr>
      <w:fldChar w:fldCharType="begin"/>
    </w:r>
    <w:r>
      <w:rPr>
        <w:lang w:val="en-AU"/>
      </w:rPr>
      <w:instrText xml:space="preserve"> STYLEREF  "Heading 1 - No TOC"  \* MERGEFORMAT </w:instrText>
    </w:r>
    <w:r>
      <w:rPr>
        <w:lang w:val="en-AU"/>
      </w:rPr>
      <w:fldChar w:fldCharType="separate"/>
    </w:r>
    <w:r w:rsidR="003B5862" w:rsidRPr="003B5862">
      <w:rPr>
        <w:noProof/>
      </w:rPr>
      <w:t>National</w:t>
    </w:r>
    <w:r w:rsidR="003B5862">
      <w:rPr>
        <w:noProof/>
        <w:lang w:val="en-AU"/>
      </w:rPr>
      <w:t xml:space="preserve"> Film and Sound Archive of Australia</w:t>
    </w:r>
    <w:r>
      <w:rPr>
        <w:lang w:val="en-AU"/>
      </w:rPr>
      <w:fldChar w:fldCharType="end"/>
    </w:r>
    <w:r>
      <w:rPr>
        <w:lang w:val="en-AU"/>
      </w:rPr>
      <w:t xml:space="preserve"> | </w:t>
    </w: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sidR="003B5862">
      <w:rPr>
        <w:b/>
        <w:bCs/>
        <w:noProof/>
      </w:rPr>
      <w:t>201</w:t>
    </w:r>
    <w:r w:rsidRPr="006E442F">
      <w:rPr>
        <w:b/>
        <w:bCs/>
        <w:noProof/>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5726F" w14:textId="384E7AB1" w:rsidR="005616C5" w:rsidRPr="00F33D2A" w:rsidRDefault="005616C5" w:rsidP="00ED6CC1">
    <w:pPr>
      <w:pStyle w:val="FooterOdd"/>
    </w:pP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3B5862">
      <w:rPr>
        <w:noProof/>
        <w:lang w:val="en-AU"/>
      </w:rPr>
      <w:t>National Library of Australia</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B5862">
      <w:rPr>
        <w:b/>
        <w:bCs/>
        <w:noProof/>
      </w:rPr>
      <w:t>159</w:t>
    </w:r>
    <w:r w:rsidRPr="00ED6CC1">
      <w:rPr>
        <w:b/>
        <w:bCs/>
        <w:noProof/>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11E8D" w14:textId="1B9E1803" w:rsidR="005616C5" w:rsidRDefault="005616C5"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3B5862">
      <w:rPr>
        <w:b/>
        <w:bCs w:val="0"/>
        <w:noProof/>
      </w:rPr>
      <w:t>172</w:t>
    </w:r>
    <w:r w:rsidRPr="006E442F">
      <w:rPr>
        <w:b/>
        <w:bCs w:val="0"/>
        <w:noProof/>
      </w:rPr>
      <w:fldChar w:fldCharType="end"/>
    </w:r>
    <w:r>
      <w:rPr>
        <w:noProof/>
      </w:rPr>
      <w:t xml:space="preserve"> | </w:t>
    </w:r>
    <w:fldSimple w:instr=" STYLEREF  &quot;Heading 1 - No TOC&quot;  \* MERGEFORMAT ">
      <w:r w:rsidR="003B5862">
        <w:rPr>
          <w:noProof/>
        </w:rPr>
        <w:t>National Library of Australia</w:t>
      </w:r>
    </w:fldSimple>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DABF4" w14:textId="4C2DD0EC" w:rsidR="005616C5" w:rsidRPr="006E442F" w:rsidRDefault="005616C5" w:rsidP="006E442F">
    <w:pPr>
      <w:pStyle w:val="FooterOdd"/>
      <w:rPr>
        <w:b/>
        <w:bCs/>
      </w:rPr>
    </w:pPr>
    <w:r>
      <w:rPr>
        <w:lang w:val="en-AU"/>
      </w:rPr>
      <w:fldChar w:fldCharType="begin"/>
    </w:r>
    <w:r>
      <w:rPr>
        <w:lang w:val="en-AU"/>
      </w:rPr>
      <w:instrText xml:space="preserve"> STYLEREF  "Heading 1 - No TOC"  \* MERGEFORMAT </w:instrText>
    </w:r>
    <w:r>
      <w:rPr>
        <w:lang w:val="en-AU"/>
      </w:rPr>
      <w:fldChar w:fldCharType="separate"/>
    </w:r>
    <w:r w:rsidR="003B5862" w:rsidRPr="003B5862">
      <w:rPr>
        <w:noProof/>
      </w:rPr>
      <w:t>National</w:t>
    </w:r>
    <w:r w:rsidR="003B5862">
      <w:rPr>
        <w:noProof/>
        <w:lang w:val="en-AU"/>
      </w:rPr>
      <w:t xml:space="preserve"> Library of Australia</w:t>
    </w:r>
    <w:r>
      <w:rPr>
        <w:lang w:val="en-AU"/>
      </w:rPr>
      <w:fldChar w:fldCharType="end"/>
    </w:r>
    <w:r>
      <w:rPr>
        <w:lang w:val="en-AU"/>
      </w:rPr>
      <w:t xml:space="preserve"> | </w:t>
    </w: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sidR="003B5862">
      <w:rPr>
        <w:b/>
        <w:bCs/>
        <w:noProof/>
      </w:rPr>
      <w:t>173</w:t>
    </w:r>
    <w:r w:rsidRPr="006E442F">
      <w:rPr>
        <w:b/>
        <w:bCs/>
        <w:noProof/>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37D0" w14:textId="60EA2FCF" w:rsidR="005616C5" w:rsidRPr="00F33D2A" w:rsidRDefault="005616C5" w:rsidP="00ED6CC1">
    <w:pPr>
      <w:pStyle w:val="FooterOdd"/>
    </w:pPr>
    <w:r>
      <w:rPr>
        <w:lang w:val="en-AU"/>
      </w:rPr>
      <w:t xml:space="preserve"> </w:t>
    </w:r>
    <w:r>
      <w:rPr>
        <w:lang w:val="en-AU"/>
      </w:rPr>
      <w:fldChar w:fldCharType="begin"/>
    </w:r>
    <w:r>
      <w:rPr>
        <w:lang w:val="en-AU"/>
      </w:rPr>
      <w:instrText xml:space="preserve"> STYLEREF  "Heading 1 - No TOC"  \* MERGEFORMAT </w:instrText>
    </w:r>
    <w:r>
      <w:rPr>
        <w:lang w:val="en-AU"/>
      </w:rPr>
      <w:fldChar w:fldCharType="separate"/>
    </w:r>
    <w:r w:rsidR="003B5862">
      <w:rPr>
        <w:noProof/>
        <w:lang w:val="en-AU"/>
      </w:rPr>
      <w:t>National Library of Australia</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B5862">
      <w:rPr>
        <w:b/>
        <w:bCs/>
        <w:noProof/>
      </w:rPr>
      <w:t>161</w:t>
    </w:r>
    <w:r w:rsidRPr="00ED6CC1">
      <w:rPr>
        <w:b/>
        <w:bCs/>
        <w:noProof/>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3C57" w14:textId="77777777" w:rsidR="005616C5" w:rsidRPr="00F33D2A" w:rsidRDefault="005616C5" w:rsidP="004C04CB">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7A3B4" w14:textId="5196EB4F" w:rsidR="005616C5" w:rsidRPr="00F33D2A" w:rsidRDefault="005616C5" w:rsidP="00ED6CC1">
    <w:pPr>
      <w:pStyle w:val="FooterOdd"/>
    </w:pPr>
    <w:r>
      <w:rPr>
        <w:lang w:val="en-AU"/>
      </w:rPr>
      <w:t xml:space="preserve">National Transport Commission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B5862">
      <w:rPr>
        <w:b/>
        <w:bCs/>
        <w:noProof/>
      </w:rPr>
      <w:t>177</w:t>
    </w:r>
    <w:r w:rsidRPr="00ED6CC1">
      <w:rPr>
        <w:b/>
        <w:bCs/>
        <w:noProof/>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73A9A" w14:textId="559B60F4" w:rsidR="005616C5" w:rsidRPr="00050FE6" w:rsidRDefault="005616C5" w:rsidP="00376E4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3B5862">
      <w:rPr>
        <w:b/>
        <w:bCs w:val="0"/>
        <w:noProof/>
      </w:rPr>
      <w:t>188</w:t>
    </w:r>
    <w:r w:rsidRPr="006E442F">
      <w:rPr>
        <w:b/>
        <w:bCs w:val="0"/>
        <w:noProof/>
      </w:rPr>
      <w:fldChar w:fldCharType="end"/>
    </w:r>
    <w:r>
      <w:rPr>
        <w:noProof/>
      </w:rPr>
      <w:t xml:space="preserve"> | </w:t>
    </w:r>
    <w:r>
      <w:t>National Transport Commission</w: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ADB81" w14:textId="062263DD" w:rsidR="005616C5" w:rsidRPr="003A05DA" w:rsidRDefault="005616C5" w:rsidP="003A05DA">
    <w:pPr>
      <w:pStyle w:val="FooterOdd"/>
    </w:pPr>
    <w:r>
      <w:rPr>
        <w:lang w:val="en-AU"/>
      </w:rPr>
      <w:t xml:space="preserve">National Transport Commission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B5862">
      <w:rPr>
        <w:b/>
        <w:bCs/>
        <w:noProof/>
      </w:rPr>
      <w:t>189</w:t>
    </w:r>
    <w:r w:rsidRPr="00ED6CC1">
      <w:rPr>
        <w:b/>
        <w:bCs/>
        <w:noProof/>
      </w:rP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8D957" w14:textId="5474B760" w:rsidR="005616C5" w:rsidRPr="00F33D2A" w:rsidRDefault="005616C5" w:rsidP="00ED6CC1">
    <w:pPr>
      <w:pStyle w:val="FooterOdd"/>
    </w:pPr>
    <w:r>
      <w:rPr>
        <w:lang w:val="en-AU"/>
      </w:rPr>
      <w:t xml:space="preserve">National Transport Commission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B5862">
      <w:rPr>
        <w:b/>
        <w:bCs/>
        <w:noProof/>
      </w:rPr>
      <w:t>179</w:t>
    </w:r>
    <w:r w:rsidRPr="00ED6CC1">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D4ACD" w14:textId="14189BB7" w:rsidR="005616C5" w:rsidRDefault="005616C5">
    <w:pPr>
      <w:pStyle w:val="Footer"/>
    </w:pPr>
    <w:r>
      <w:rPr>
        <w:rStyle w:val="PageNumber"/>
      </w:rPr>
      <w:fldChar w:fldCharType="begin"/>
    </w:r>
    <w:r>
      <w:rPr>
        <w:rStyle w:val="PageNumber"/>
      </w:rPr>
      <w:instrText xml:space="preserve"> PAGE </w:instrText>
    </w:r>
    <w:r>
      <w:rPr>
        <w:rStyle w:val="PageNumber"/>
      </w:rPr>
      <w:fldChar w:fldCharType="separate"/>
    </w:r>
    <w:r w:rsidR="003B5862">
      <w:rPr>
        <w:rStyle w:val="PageNumber"/>
        <w:noProof/>
      </w:rPr>
      <w:t>cci</w:t>
    </w:r>
    <w:r>
      <w:rPr>
        <w:rStyle w:val="PageNumber"/>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32C36" w14:textId="1B013AB0" w:rsidR="005616C5" w:rsidRPr="00050FE6" w:rsidRDefault="005616C5" w:rsidP="00376E4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sidR="003B5862">
      <w:rPr>
        <w:b/>
        <w:bCs w:val="0"/>
        <w:noProof/>
      </w:rPr>
      <w:t>200</w:t>
    </w:r>
    <w:r w:rsidRPr="006E442F">
      <w:rPr>
        <w:b/>
        <w:bCs w:val="0"/>
        <w:noProof/>
      </w:rPr>
      <w:fldChar w:fldCharType="end"/>
    </w:r>
    <w:r>
      <w:rPr>
        <w:noProof/>
      </w:rPr>
      <w:t xml:space="preserve"> | </w:t>
    </w:r>
    <w:fldSimple w:instr=" STYLEREF  &quot;Heading 1&quot;  \* MERGEFORMAT ">
      <w:r w:rsidR="003B5862" w:rsidRPr="003B5862">
        <w:rPr>
          <w:bCs w:val="0"/>
          <w:noProof/>
          <w:lang w:val="en-US"/>
        </w:rPr>
        <w:t>Acronyms</w:t>
      </w:r>
    </w:fldSimple>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D01D0" w14:textId="64B40781" w:rsidR="005616C5" w:rsidRPr="003A05DA" w:rsidRDefault="005616C5" w:rsidP="003A05DA">
    <w:pPr>
      <w:pStyle w:val="FooterOdd"/>
    </w:pPr>
    <w:r>
      <w:rPr>
        <w:lang w:val="en-AU"/>
      </w:rPr>
      <w:fldChar w:fldCharType="begin"/>
    </w:r>
    <w:r w:rsidRPr="009A11F4">
      <w:rPr>
        <w:lang w:val="en-AU"/>
      </w:rPr>
      <w:instrText xml:space="preserve"> STYLEREF  "Heading 1"  \* MERGEFORMAT </w:instrText>
    </w:r>
    <w:r>
      <w:rPr>
        <w:lang w:val="en-AU"/>
      </w:rPr>
      <w:fldChar w:fldCharType="separate"/>
    </w:r>
    <w:r w:rsidR="003B5862" w:rsidRPr="003B5862">
      <w:rPr>
        <w:bCs/>
        <w:noProof/>
        <w:lang w:val="en-US"/>
      </w:rPr>
      <w:t>Acronyms</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B5862">
      <w:rPr>
        <w:b/>
        <w:bCs/>
        <w:noProof/>
      </w:rPr>
      <w:t>201</w:t>
    </w:r>
    <w:r w:rsidRPr="00ED6CC1">
      <w:rPr>
        <w:b/>
        <w:bCs/>
        <w:noProof/>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2B4C6" w14:textId="5D8B935F" w:rsidR="005616C5" w:rsidRPr="003A05DA" w:rsidRDefault="005616C5" w:rsidP="003A05DA">
    <w:pPr>
      <w:pStyle w:val="FooterOdd"/>
    </w:pPr>
    <w:r>
      <w:rPr>
        <w:lang w:val="en-AU"/>
      </w:rPr>
      <w:fldChar w:fldCharType="begin"/>
    </w:r>
    <w:r>
      <w:rPr>
        <w:lang w:val="en-AU"/>
      </w:rPr>
      <w:instrText xml:space="preserve"> STYLEREF  "Heading 1"  \* MERGEFORMAT </w:instrText>
    </w:r>
    <w:r>
      <w:rPr>
        <w:lang w:val="en-AU"/>
      </w:rPr>
      <w:fldChar w:fldCharType="separate"/>
    </w:r>
    <w:r w:rsidR="003B5862">
      <w:rPr>
        <w:noProof/>
        <w:lang w:val="en-AU"/>
      </w:rPr>
      <w:t>Portfolio glossary</w: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B5862">
      <w:rPr>
        <w:b/>
        <w:bCs/>
        <w:noProof/>
      </w:rPr>
      <w:t>201</w:t>
    </w:r>
    <w:r w:rsidRPr="00ED6CC1">
      <w:rPr>
        <w:b/>
        <w:bCs/>
        <w:noProof/>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C2F4F" w14:textId="713D1F60" w:rsidR="005616C5" w:rsidRPr="003A05DA" w:rsidRDefault="005616C5" w:rsidP="003A05DA">
    <w:pPr>
      <w:pStyle w:val="FooterOdd"/>
    </w:pPr>
    <w:r w:rsidRPr="009A11F4">
      <w:rPr>
        <w:lang w:val="en-AU"/>
      </w:rPr>
      <w:fldChar w:fldCharType="begin"/>
    </w:r>
    <w:r w:rsidRPr="009A11F4">
      <w:rPr>
        <w:lang w:val="en-AU"/>
      </w:rPr>
      <w:instrText xml:space="preserve"> STYLEREF  "Heading 1"  \* MERGEFORMAT </w:instrText>
    </w:r>
    <w:r w:rsidRPr="009A11F4">
      <w:rPr>
        <w:lang w:val="en-AU"/>
      </w:rPr>
      <w:fldChar w:fldCharType="separate"/>
    </w:r>
    <w:r w:rsidR="003B5862" w:rsidRPr="003B5862">
      <w:rPr>
        <w:bCs/>
        <w:noProof/>
        <w:lang w:val="en-US"/>
      </w:rPr>
      <w:t>Acronyms</w:t>
    </w:r>
    <w:r w:rsidRPr="009A11F4">
      <w:rPr>
        <w:lang w:val="en-AU"/>
      </w:rPr>
      <w:fldChar w:fldCharType="end"/>
    </w:r>
    <w:bookmarkStart w:id="541" w:name="_Toc449255752"/>
    <w:bookmarkStart w:id="542" w:name="_Toc460918631"/>
    <w:bookmarkStart w:id="543" w:name="_Toc490972395"/>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3B5862">
      <w:rPr>
        <w:b/>
        <w:bCs/>
        <w:noProof/>
      </w:rPr>
      <w:t>199</w:t>
    </w:r>
    <w:r w:rsidRPr="00ED6CC1">
      <w:rPr>
        <w:b/>
        <w:bCs/>
        <w:noProof/>
      </w:rPr>
      <w:fldChar w:fldCharType="end"/>
    </w:r>
    <w:bookmarkEnd w:id="541"/>
    <w:bookmarkEnd w:id="542"/>
    <w:bookmarkEnd w:id="543"/>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928C6" w14:textId="28AB950F" w:rsidR="005616C5" w:rsidRPr="00B100D4" w:rsidRDefault="005616C5" w:rsidP="000577E6">
    <w:pPr>
      <w:pStyle w:val="FooterEven"/>
      <w:rPr>
        <w:b/>
      </w:rPr>
    </w:pPr>
    <w:r w:rsidRPr="00B100D4">
      <w:rPr>
        <w:rStyle w:val="PageNumber"/>
        <w:b/>
      </w:rPr>
      <w:t xml:space="preserve">Page </w:t>
    </w:r>
    <w:r w:rsidRPr="00B100D4">
      <w:rPr>
        <w:rStyle w:val="PageNumber"/>
        <w:b/>
      </w:rPr>
      <w:fldChar w:fldCharType="begin"/>
    </w:r>
    <w:r w:rsidRPr="00B100D4">
      <w:rPr>
        <w:rStyle w:val="PageNumber"/>
        <w:b/>
      </w:rPr>
      <w:instrText xml:space="preserve"> PAGE </w:instrText>
    </w:r>
    <w:r w:rsidRPr="00B100D4">
      <w:rPr>
        <w:rStyle w:val="PageNumber"/>
        <w:b/>
      </w:rPr>
      <w:fldChar w:fldCharType="separate"/>
    </w:r>
    <w:r w:rsidR="003B5862">
      <w:rPr>
        <w:rStyle w:val="PageNumber"/>
        <w:b/>
        <w:noProof/>
      </w:rPr>
      <w:t>vi</w:t>
    </w:r>
    <w:r w:rsidRPr="00B100D4">
      <w:rPr>
        <w:rStyle w:val="PageNumber"/>
        <w:b/>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59CDB" w14:textId="72450B67" w:rsidR="005616C5" w:rsidRPr="006E442F" w:rsidRDefault="005616C5" w:rsidP="00B100D4">
    <w:pPr>
      <w:pStyle w:val="FooterOdd"/>
      <w:rPr>
        <w:b/>
        <w:bCs/>
      </w:rPr>
    </w:pP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sidR="003B5862">
      <w:rPr>
        <w:b/>
        <w:bCs/>
        <w:noProof/>
      </w:rPr>
      <w:t>xi</w:t>
    </w:r>
    <w:r w:rsidRPr="006E442F">
      <w:rPr>
        <w:b/>
        <w:bCs/>
        <w:noProof/>
      </w:rPr>
      <w:fldChar w:fldCharType="end"/>
    </w:r>
  </w:p>
  <w:p w14:paraId="34F328C1" w14:textId="36DBCB5E" w:rsidR="005616C5" w:rsidRPr="006E442F" w:rsidRDefault="005616C5" w:rsidP="00304684">
    <w:pPr>
      <w:pStyle w:val="FooterOdd"/>
      <w:tabs>
        <w:tab w:val="left" w:pos="5220"/>
        <w:tab w:val="right" w:pos="7711"/>
      </w:tabs>
      <w:jc w:val="left"/>
      <w:rPr>
        <w:b/>
        <w:bCs/>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607BF" w14:textId="77777777" w:rsidR="005616C5" w:rsidRDefault="005616C5" w:rsidP="004740FA">
    <w:pPr>
      <w:pStyle w:val="Footer"/>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A2B7" w14:textId="3F9D453D" w:rsidR="005616C5" w:rsidRPr="006E442F" w:rsidRDefault="005616C5" w:rsidP="006E442F">
    <w:pPr>
      <w:pStyle w:val="FooterOdd"/>
      <w:rPr>
        <w:b/>
        <w:bCs/>
      </w:rPr>
    </w:pPr>
    <w:r>
      <w:rPr>
        <w:lang w:val="en-AU"/>
      </w:rPr>
      <w:fldChar w:fldCharType="begin"/>
    </w:r>
    <w:r>
      <w:rPr>
        <w:lang w:val="en-AU"/>
      </w:rPr>
      <w:instrText xml:space="preserve"> STYLEREF  "Heading 1 - No TOC"  \* MERGEFORMAT </w:instrText>
    </w:r>
    <w:r>
      <w:rPr>
        <w:lang w:val="en-AU"/>
      </w:rPr>
      <w:fldChar w:fldCharType="separate"/>
    </w:r>
    <w:r w:rsidR="003B5862" w:rsidRPr="003B5862">
      <w:rPr>
        <w:noProof/>
      </w:rPr>
      <w:t>User Guide</w:t>
    </w:r>
    <w:r>
      <w:rPr>
        <w:lang w:val="en-AU"/>
      </w:rPr>
      <w:fldChar w:fldCharType="end"/>
    </w:r>
    <w:r>
      <w:rPr>
        <w:lang w:val="en-AU"/>
      </w:rPr>
      <w:t xml:space="preserve"> | </w:t>
    </w: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sidR="003B5862">
      <w:rPr>
        <w:b/>
        <w:bCs/>
        <w:noProof/>
      </w:rPr>
      <w:t>ix</w:t>
    </w:r>
    <w:r w:rsidRPr="006E442F">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9D9AE" w14:textId="77777777" w:rsidR="005616C5" w:rsidRDefault="005616C5" w:rsidP="00F51DAC">
      <w:pPr>
        <w:spacing w:after="0" w:line="240" w:lineRule="auto"/>
      </w:pPr>
      <w:r>
        <w:separator/>
      </w:r>
    </w:p>
  </w:footnote>
  <w:footnote w:type="continuationSeparator" w:id="0">
    <w:p w14:paraId="27840F9D" w14:textId="77777777" w:rsidR="005616C5" w:rsidRDefault="005616C5" w:rsidP="00F51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0E17F" w14:textId="77777777" w:rsidR="005616C5" w:rsidRDefault="005616C5">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8519F" w14:textId="185A5EA3" w:rsidR="005616C5" w:rsidRPr="00D15E0A" w:rsidRDefault="005616C5" w:rsidP="00D15E0A">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018D4330" wp14:editId="23574954">
          <wp:extent cx="989308" cy="223483"/>
          <wp:effectExtent l="0" t="0" r="190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6CF6" w14:textId="515EE745" w:rsidR="005616C5" w:rsidRPr="004F1EFA" w:rsidRDefault="005616C5" w:rsidP="004F1EF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1E98BB08" w14:textId="77777777" w:rsidTr="00A82F91">
      <w:trPr>
        <w:trHeight w:hRule="exact" w:val="340"/>
      </w:trPr>
      <w:tc>
        <w:tcPr>
          <w:tcW w:w="7797" w:type="dxa"/>
        </w:tcPr>
        <w:p w14:paraId="7B08E07B" w14:textId="3E444F05" w:rsidR="005616C5" w:rsidRDefault="005616C5" w:rsidP="00925624">
          <w:pPr>
            <w:pStyle w:val="HeaderEven"/>
            <w:ind w:left="-113"/>
          </w:pPr>
          <w:r w:rsidRPr="000635BE">
            <w:rPr>
              <w:rFonts w:ascii="Arial Bold" w:hAnsi="Arial Bold"/>
              <w:b/>
              <w:bCs/>
              <w:noProof/>
              <w:position w:val="-10"/>
            </w:rPr>
            <w:drawing>
              <wp:inline distT="0" distB="0" distL="0" distR="0" wp14:anchorId="6F5BD65B" wp14:editId="2F8D0289">
                <wp:extent cx="989308" cy="223483"/>
                <wp:effectExtent l="0" t="0" r="1905" b="571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3B5862">
              <w:rPr>
                <w:noProof/>
              </w:rPr>
              <w:t>Estimates Statements 2021–22</w:t>
            </w:r>
          </w:fldSimple>
        </w:p>
      </w:tc>
    </w:tr>
  </w:tbl>
  <w:p w14:paraId="644BEE8E" w14:textId="77777777" w:rsidR="005616C5" w:rsidRPr="00925624" w:rsidRDefault="005616C5" w:rsidP="0092562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0C721" w14:textId="71A195F8" w:rsidR="005616C5" w:rsidRDefault="005616C5" w:rsidP="00D15E0A">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708E1A60" wp14:editId="1696CA24">
          <wp:extent cx="989308" cy="223483"/>
          <wp:effectExtent l="0" t="0" r="190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p w14:paraId="4BA41388" w14:textId="77777777" w:rsidR="005616C5" w:rsidRPr="00ED5C20" w:rsidRDefault="005616C5" w:rsidP="00ED5C2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21BCB" w14:textId="77777777" w:rsidR="005616C5" w:rsidRDefault="005616C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99A83" w14:textId="77777777" w:rsidR="005616C5" w:rsidRDefault="005616C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067FA" w14:textId="14FD77E2" w:rsidR="005616C5" w:rsidRDefault="005616C5" w:rsidP="00B100D4">
    <w:pPr>
      <w:pStyle w:val="Header"/>
      <w:jc w:val="righ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499B8C22" w14:textId="77777777" w:rsidTr="00A82F91">
      <w:trPr>
        <w:trHeight w:hRule="exact" w:val="340"/>
      </w:trPr>
      <w:tc>
        <w:tcPr>
          <w:tcW w:w="7797" w:type="dxa"/>
        </w:tcPr>
        <w:p w14:paraId="351D8C49" w14:textId="5882229F" w:rsidR="005616C5" w:rsidRDefault="005616C5" w:rsidP="00925624">
          <w:pPr>
            <w:pStyle w:val="HeaderEven"/>
            <w:ind w:left="-113"/>
          </w:pPr>
          <w:r w:rsidRPr="000635BE">
            <w:rPr>
              <w:rFonts w:ascii="Arial Bold" w:hAnsi="Arial Bold"/>
              <w:b/>
              <w:bCs/>
              <w:noProof/>
              <w:position w:val="-10"/>
            </w:rPr>
            <w:drawing>
              <wp:inline distT="0" distB="0" distL="0" distR="0" wp14:anchorId="6F5BD65B" wp14:editId="2F8D0289">
                <wp:extent cx="989308" cy="223483"/>
                <wp:effectExtent l="0" t="0" r="1905" b="571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3B5862">
              <w:rPr>
                <w:noProof/>
              </w:rPr>
              <w:t>Estimates Statements 2021–22</w:t>
            </w:r>
          </w:fldSimple>
        </w:p>
      </w:tc>
    </w:tr>
  </w:tbl>
  <w:p w14:paraId="017B1DDE" w14:textId="153E7444" w:rsidR="005616C5" w:rsidRPr="00925624" w:rsidRDefault="005616C5" w:rsidP="00B100D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3944AB8E" w14:textId="77777777" w:rsidTr="006F6AC8">
      <w:trPr>
        <w:trHeight w:hRule="exact" w:val="340"/>
      </w:trPr>
      <w:tc>
        <w:tcPr>
          <w:tcW w:w="7797" w:type="dxa"/>
        </w:tcPr>
        <w:p w14:paraId="0FAEA034" w14:textId="43A8C86D" w:rsidR="005616C5" w:rsidRDefault="005616C5" w:rsidP="00BE653F">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1A763710" wp14:editId="442B176F">
                <wp:extent cx="989308" cy="223483"/>
                <wp:effectExtent l="0" t="0" r="190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7D208BE2" w14:textId="179D7C1A" w:rsidR="005616C5" w:rsidRPr="00BE653F" w:rsidRDefault="005616C5" w:rsidP="00BE653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1E5EA" w14:textId="1067BC9E" w:rsidR="005616C5" w:rsidRDefault="005616C5" w:rsidP="00D15E0A">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4EBE1567" wp14:editId="6D47F0A0">
          <wp:extent cx="989308" cy="223483"/>
          <wp:effectExtent l="0" t="0" r="190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p w14:paraId="69A9D1CE" w14:textId="32F10655" w:rsidR="005616C5" w:rsidRPr="00D15E0A" w:rsidRDefault="005616C5" w:rsidP="00D15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D05D5" w14:textId="4F40CEFA" w:rsidR="005616C5" w:rsidRDefault="005616C5">
    <w:pPr>
      <w:framePr w:wrap="around" w:vAnchor="page" w:hAnchor="margin" w:x="14460" w:y="7939" w:anchorLock="1"/>
    </w:pPr>
    <w:r>
      <w:fldChar w:fldCharType="begin"/>
    </w:r>
    <w:r>
      <w:instrText xml:space="preserve"> TITLE  \* MERGEFORMAT </w:instrText>
    </w:r>
    <w:r>
      <w:fldChar w:fldCharType="end"/>
    </w:r>
  </w:p>
  <w:p w14:paraId="37759159" w14:textId="77777777" w:rsidR="005616C5" w:rsidRDefault="005616C5">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DDE74" w14:textId="77777777" w:rsidR="005616C5" w:rsidRDefault="005616C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39659351" w14:textId="77777777" w:rsidTr="00A82F91">
      <w:trPr>
        <w:trHeight w:hRule="exact" w:val="340"/>
      </w:trPr>
      <w:tc>
        <w:tcPr>
          <w:tcW w:w="7797" w:type="dxa"/>
        </w:tcPr>
        <w:p w14:paraId="1BAC3B24" w14:textId="6B639A3F" w:rsidR="005616C5" w:rsidRDefault="005616C5" w:rsidP="007679DB">
          <w:pPr>
            <w:pStyle w:val="HeaderEven"/>
            <w:ind w:left="-113"/>
          </w:pPr>
          <w:r w:rsidRPr="000635BE">
            <w:rPr>
              <w:rFonts w:ascii="Arial Bold" w:hAnsi="Arial Bold"/>
              <w:b/>
              <w:bCs/>
              <w:noProof/>
              <w:position w:val="-10"/>
            </w:rPr>
            <w:drawing>
              <wp:inline distT="0" distB="0" distL="0" distR="0" wp14:anchorId="265ED11B" wp14:editId="1E88B07C">
                <wp:extent cx="989308" cy="223483"/>
                <wp:effectExtent l="0" t="0" r="1905" b="571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3B5862">
              <w:rPr>
                <w:noProof/>
              </w:rPr>
              <w:t>Estimates Statements 2021–22</w:t>
            </w:r>
          </w:fldSimple>
        </w:p>
      </w:tc>
    </w:tr>
  </w:tbl>
  <w:p w14:paraId="08D16FF5" w14:textId="77777777" w:rsidR="005616C5" w:rsidRPr="007679DB" w:rsidRDefault="005616C5" w:rsidP="00704FAA">
    <w:pPr>
      <w:pStyle w:val="HeaderEven"/>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6EACFDA6" w14:textId="77777777" w:rsidTr="00A82F91">
      <w:trPr>
        <w:trHeight w:hRule="exact" w:val="340"/>
      </w:trPr>
      <w:tc>
        <w:tcPr>
          <w:tcW w:w="7797" w:type="dxa"/>
        </w:tcPr>
        <w:p w14:paraId="0E019B3C" w14:textId="1397E33A" w:rsidR="005616C5" w:rsidRDefault="005616C5" w:rsidP="007679DB">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56E029A6" wp14:editId="70AABC83">
                <wp:extent cx="989308" cy="223483"/>
                <wp:effectExtent l="0" t="0" r="1905" b="571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7D8BB3A0" w14:textId="77777777" w:rsidR="005616C5" w:rsidRPr="007679DB" w:rsidRDefault="005616C5" w:rsidP="009F7308">
    <w:pPr>
      <w:pStyle w:val="HeaderOdd"/>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42DF3" w14:textId="5003E8A4" w:rsidR="005616C5" w:rsidRDefault="005616C5" w:rsidP="00D15E0A">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76537E51" wp14:editId="7C21EEB8">
          <wp:extent cx="989308" cy="223483"/>
          <wp:effectExtent l="0" t="0" r="190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p w14:paraId="7F5BE4DA" w14:textId="3FE27712" w:rsidR="005616C5" w:rsidRPr="00D15E0A" w:rsidRDefault="005616C5" w:rsidP="00D15E0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16DAC" w14:textId="20908A5A" w:rsidR="005616C5" w:rsidRDefault="005616C5" w:rsidP="00D15E0A">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48B918CE" wp14:editId="7FF96EF3">
          <wp:extent cx="989308" cy="223483"/>
          <wp:effectExtent l="0" t="0" r="190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p w14:paraId="69B718C0" w14:textId="41223A56" w:rsidR="005616C5" w:rsidRPr="00603CAD" w:rsidRDefault="005616C5" w:rsidP="000B6E1F">
    <w:pPr>
      <w:pStyle w:val="Header"/>
      <w:rPr>
        <w:i w:val="0"/>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9172A" w14:textId="77777777" w:rsidR="005616C5" w:rsidRPr="00603CAD" w:rsidRDefault="005616C5" w:rsidP="000B6E1F">
    <w:pPr>
      <w:pStyle w:val="Header"/>
      <w:rPr>
        <w:i w:val="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08C57D77" w14:textId="77777777" w:rsidTr="00A82F91">
      <w:trPr>
        <w:trHeight w:hRule="exact" w:val="340"/>
      </w:trPr>
      <w:tc>
        <w:tcPr>
          <w:tcW w:w="7797" w:type="dxa"/>
        </w:tcPr>
        <w:p w14:paraId="43C8C8A0" w14:textId="06147C5E" w:rsidR="005616C5" w:rsidRDefault="005616C5" w:rsidP="007679DB">
          <w:pPr>
            <w:pStyle w:val="HeaderEven"/>
            <w:ind w:left="-113"/>
          </w:pPr>
          <w:r w:rsidRPr="000635BE">
            <w:rPr>
              <w:rFonts w:ascii="Arial Bold" w:hAnsi="Arial Bold"/>
              <w:b/>
              <w:bCs/>
              <w:noProof/>
              <w:position w:val="-10"/>
            </w:rPr>
            <w:drawing>
              <wp:inline distT="0" distB="0" distL="0" distR="0" wp14:anchorId="41B0DA7B" wp14:editId="38BA7E6B">
                <wp:extent cx="989308" cy="223483"/>
                <wp:effectExtent l="0" t="0" r="1905" b="571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3B5862">
              <w:rPr>
                <w:noProof/>
              </w:rPr>
              <w:t>Estimates Statements 2021–22</w:t>
            </w:r>
          </w:fldSimple>
        </w:p>
      </w:tc>
    </w:tr>
  </w:tbl>
  <w:p w14:paraId="1B6B01D1" w14:textId="77777777" w:rsidR="005616C5" w:rsidRPr="007679DB" w:rsidRDefault="005616C5" w:rsidP="007679DB">
    <w:pPr>
      <w:pStyle w:val="HeaderEven"/>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523E32E9" w14:textId="77777777" w:rsidTr="00A82F91">
      <w:trPr>
        <w:trHeight w:hRule="exact" w:val="340"/>
      </w:trPr>
      <w:tc>
        <w:tcPr>
          <w:tcW w:w="7797" w:type="dxa"/>
        </w:tcPr>
        <w:p w14:paraId="2490634C" w14:textId="55D03E62" w:rsidR="005616C5" w:rsidRDefault="005616C5" w:rsidP="007679DB">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6590B1A0" wp14:editId="7AFB3065">
                <wp:extent cx="989308" cy="223483"/>
                <wp:effectExtent l="0" t="0" r="1905" b="571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3734041A" w14:textId="77777777" w:rsidR="005616C5" w:rsidRPr="007679DB" w:rsidRDefault="005616C5" w:rsidP="007679DB">
    <w:pPr>
      <w:pStyle w:val="HeaderOdd"/>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DA1FE" w14:textId="543E930A" w:rsidR="005616C5" w:rsidRDefault="005616C5" w:rsidP="000B6E1F">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6DAC6610" wp14:editId="09D45705">
          <wp:extent cx="989308" cy="223483"/>
          <wp:effectExtent l="0" t="0" r="1905" b="571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p w14:paraId="0941125E" w14:textId="77777777" w:rsidR="005616C5" w:rsidRDefault="005616C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2FEAB6DD" w14:textId="77777777" w:rsidTr="00A82F91">
      <w:trPr>
        <w:trHeight w:hRule="exact" w:val="340"/>
      </w:trPr>
      <w:tc>
        <w:tcPr>
          <w:tcW w:w="7797" w:type="dxa"/>
        </w:tcPr>
        <w:p w14:paraId="046849FA" w14:textId="36A145B8" w:rsidR="005616C5" w:rsidRDefault="005616C5" w:rsidP="007679DB">
          <w:pPr>
            <w:pStyle w:val="HeaderEven"/>
            <w:ind w:left="-113"/>
          </w:pPr>
          <w:r w:rsidRPr="000635BE">
            <w:rPr>
              <w:rFonts w:ascii="Arial Bold" w:hAnsi="Arial Bold"/>
              <w:b/>
              <w:bCs/>
              <w:noProof/>
              <w:position w:val="-10"/>
            </w:rPr>
            <w:drawing>
              <wp:inline distT="0" distB="0" distL="0" distR="0" wp14:anchorId="41B0DA7B" wp14:editId="38BA7E6B">
                <wp:extent cx="989308" cy="223483"/>
                <wp:effectExtent l="0" t="0" r="1905" b="571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3B5862">
              <w:rPr>
                <w:noProof/>
              </w:rPr>
              <w:t>Estimates Statements 2021–22</w:t>
            </w:r>
          </w:fldSimple>
        </w:p>
      </w:tc>
    </w:tr>
  </w:tbl>
  <w:p w14:paraId="5A761B38" w14:textId="77777777" w:rsidR="005616C5" w:rsidRPr="007679DB" w:rsidRDefault="005616C5" w:rsidP="007679DB">
    <w:pPr>
      <w:pStyle w:val="HeaderEven"/>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B7667" w14:textId="0818699F" w:rsidR="005616C5" w:rsidRDefault="005616C5" w:rsidP="00734D3F">
    <w:pPr>
      <w:pStyle w:val="Header"/>
      <w:jc w:val="cent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7869F816" w14:textId="77777777" w:rsidTr="00A82F91">
      <w:trPr>
        <w:trHeight w:hRule="exact" w:val="340"/>
      </w:trPr>
      <w:tc>
        <w:tcPr>
          <w:tcW w:w="7797" w:type="dxa"/>
        </w:tcPr>
        <w:p w14:paraId="7775AC90" w14:textId="2EB535C5" w:rsidR="005616C5" w:rsidRDefault="005616C5" w:rsidP="007679DB">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6590B1A0" wp14:editId="7AFB3065">
                <wp:extent cx="989308" cy="223483"/>
                <wp:effectExtent l="0" t="0" r="1905" b="571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145F53DD" w14:textId="77777777" w:rsidR="005616C5" w:rsidRPr="007679DB" w:rsidRDefault="005616C5" w:rsidP="007679DB">
    <w:pPr>
      <w:pStyle w:val="HeaderOdd"/>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CA504" w14:textId="7648F3C1" w:rsidR="005616C5" w:rsidRDefault="005616C5" w:rsidP="0056206E">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2BF38796" wp14:editId="38A54628">
          <wp:extent cx="989308" cy="223483"/>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p w14:paraId="22726F41" w14:textId="7F9E98B2" w:rsidR="005616C5" w:rsidRDefault="005616C5" w:rsidP="009C4612">
    <w:pPr>
      <w:pStyle w:val="HeaderOdd"/>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D5E2C" w14:textId="77777777" w:rsidR="005616C5" w:rsidRDefault="005616C5" w:rsidP="00F91330">
    <w:pPr>
      <w:pStyle w:val="HeaderOdd"/>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34323342" w14:textId="77777777" w:rsidTr="00177B65">
      <w:trPr>
        <w:trHeight w:hRule="exact" w:val="340"/>
      </w:trPr>
      <w:tc>
        <w:tcPr>
          <w:tcW w:w="7797" w:type="dxa"/>
        </w:tcPr>
        <w:p w14:paraId="00D63169" w14:textId="062DDC21" w:rsidR="005616C5" w:rsidRDefault="005616C5" w:rsidP="009C4612">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7E63B708" wp14:editId="5271B1DB">
                <wp:extent cx="989308" cy="223483"/>
                <wp:effectExtent l="0" t="0" r="1905" b="571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r w:rsidR="005616C5" w14:paraId="66FFF986" w14:textId="77777777" w:rsidTr="00177B65">
      <w:trPr>
        <w:trHeight w:hRule="exact" w:val="340"/>
      </w:trPr>
      <w:tc>
        <w:tcPr>
          <w:tcW w:w="7797" w:type="dxa"/>
        </w:tcPr>
        <w:p w14:paraId="04E52D1A" w14:textId="77777777" w:rsidR="005616C5" w:rsidRDefault="005616C5" w:rsidP="009C4612">
          <w:pPr>
            <w:pStyle w:val="HeaderOdd"/>
          </w:pPr>
        </w:p>
      </w:tc>
    </w:tr>
  </w:tbl>
  <w:p w14:paraId="05147F49" w14:textId="77777777" w:rsidR="005616C5" w:rsidRDefault="005616C5" w:rsidP="009C4612">
    <w:pPr>
      <w:pStyle w:val="HeaderOdd"/>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613C1A5C" w14:textId="77777777" w:rsidTr="00177B65">
      <w:trPr>
        <w:trHeight w:hRule="exact" w:val="340"/>
      </w:trPr>
      <w:tc>
        <w:tcPr>
          <w:tcW w:w="7797" w:type="dxa"/>
        </w:tcPr>
        <w:p w14:paraId="51AC7CC9" w14:textId="6A543F0D" w:rsidR="005616C5" w:rsidRDefault="005616C5" w:rsidP="009C4612">
          <w:pPr>
            <w:pStyle w:val="HeaderOdd"/>
          </w:pPr>
        </w:p>
      </w:tc>
    </w:tr>
    <w:tr w:rsidR="005616C5" w14:paraId="0A9F803B" w14:textId="77777777" w:rsidTr="00177B65">
      <w:trPr>
        <w:trHeight w:hRule="exact" w:val="340"/>
      </w:trPr>
      <w:tc>
        <w:tcPr>
          <w:tcW w:w="7797" w:type="dxa"/>
        </w:tcPr>
        <w:p w14:paraId="59CC387A" w14:textId="77777777" w:rsidR="005616C5" w:rsidRDefault="005616C5" w:rsidP="009C4612">
          <w:pPr>
            <w:pStyle w:val="HeaderOdd"/>
          </w:pPr>
        </w:p>
      </w:tc>
    </w:tr>
  </w:tbl>
  <w:p w14:paraId="24071E18" w14:textId="77777777" w:rsidR="005616C5" w:rsidRDefault="005616C5" w:rsidP="009C4612">
    <w:pPr>
      <w:pStyle w:val="HeaderOdd"/>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0E7D522B" w14:textId="77777777" w:rsidTr="00A82F91">
      <w:trPr>
        <w:trHeight w:hRule="exact" w:val="340"/>
      </w:trPr>
      <w:tc>
        <w:tcPr>
          <w:tcW w:w="7797" w:type="dxa"/>
        </w:tcPr>
        <w:p w14:paraId="650BBDCD" w14:textId="0412A02A" w:rsidR="005616C5" w:rsidRDefault="005616C5" w:rsidP="007679DB">
          <w:pPr>
            <w:pStyle w:val="HeaderEven"/>
            <w:ind w:left="-113"/>
          </w:pPr>
          <w:r w:rsidRPr="000635BE">
            <w:rPr>
              <w:rFonts w:ascii="Arial Bold" w:hAnsi="Arial Bold"/>
              <w:b/>
              <w:bCs/>
              <w:noProof/>
              <w:position w:val="-10"/>
            </w:rPr>
            <w:drawing>
              <wp:inline distT="0" distB="0" distL="0" distR="0" wp14:anchorId="2AA801EC" wp14:editId="0A5E8A0C">
                <wp:extent cx="989308" cy="223483"/>
                <wp:effectExtent l="0" t="0" r="1905" b="571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3B5862">
              <w:rPr>
                <w:noProof/>
              </w:rPr>
              <w:t>Estimates Statements 2021–22</w:t>
            </w:r>
          </w:fldSimple>
        </w:p>
      </w:tc>
    </w:tr>
  </w:tbl>
  <w:p w14:paraId="78C5F649" w14:textId="77777777" w:rsidR="005616C5" w:rsidRPr="007679DB" w:rsidRDefault="005616C5" w:rsidP="00417412">
    <w:pPr>
      <w:pStyle w:val="HeaderEven"/>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7AAFF593" w14:textId="77777777" w:rsidTr="00A82F91">
      <w:trPr>
        <w:trHeight w:hRule="exact" w:val="340"/>
      </w:trPr>
      <w:tc>
        <w:tcPr>
          <w:tcW w:w="7797" w:type="dxa"/>
        </w:tcPr>
        <w:p w14:paraId="2C880EE3" w14:textId="13F635D2" w:rsidR="005616C5" w:rsidRDefault="005616C5" w:rsidP="007679DB">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67E2A83D" wp14:editId="7D5D255A">
                <wp:extent cx="989308" cy="223483"/>
                <wp:effectExtent l="0" t="0" r="1905" b="571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4B6D03CF" w14:textId="77777777" w:rsidR="005616C5" w:rsidRPr="007679DB" w:rsidRDefault="005616C5" w:rsidP="007679DB">
    <w:pPr>
      <w:pStyle w:val="HeaderOdd"/>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D307F" w14:textId="6D33A39B" w:rsidR="005616C5" w:rsidRDefault="005616C5" w:rsidP="00CE7BBD">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29FA5280" wp14:editId="033BD497">
          <wp:extent cx="989308" cy="223483"/>
          <wp:effectExtent l="0" t="0" r="1905" b="571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331D20CD" w14:textId="77777777" w:rsidTr="00A82F91">
      <w:trPr>
        <w:trHeight w:hRule="exact" w:val="340"/>
      </w:trPr>
      <w:tc>
        <w:tcPr>
          <w:tcW w:w="7797" w:type="dxa"/>
        </w:tcPr>
        <w:p w14:paraId="026D387F" w14:textId="31A1FADB" w:rsidR="005616C5" w:rsidRDefault="005616C5" w:rsidP="007679DB">
          <w:pPr>
            <w:pStyle w:val="HeaderEven"/>
            <w:ind w:left="-113"/>
          </w:pPr>
          <w:r w:rsidRPr="000635BE">
            <w:rPr>
              <w:rFonts w:ascii="Arial Bold" w:hAnsi="Arial Bold"/>
              <w:b/>
              <w:bCs/>
              <w:noProof/>
              <w:position w:val="-10"/>
            </w:rPr>
            <w:drawing>
              <wp:inline distT="0" distB="0" distL="0" distR="0" wp14:anchorId="2AA801EC" wp14:editId="0A5E8A0C">
                <wp:extent cx="989308" cy="223483"/>
                <wp:effectExtent l="0" t="0" r="1905" b="571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3B5862">
              <w:rPr>
                <w:noProof/>
              </w:rPr>
              <w:t>Estimates Statements 2021–22</w:t>
            </w:r>
          </w:fldSimple>
        </w:p>
      </w:tc>
    </w:tr>
  </w:tbl>
  <w:p w14:paraId="7F8028F2" w14:textId="77777777" w:rsidR="005616C5" w:rsidRPr="007679DB" w:rsidRDefault="005616C5" w:rsidP="00177B65">
    <w:pPr>
      <w:pStyle w:val="HeaderEven"/>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551A8A53" w14:textId="77777777" w:rsidTr="00A82F91">
      <w:trPr>
        <w:trHeight w:hRule="exact" w:val="340"/>
      </w:trPr>
      <w:tc>
        <w:tcPr>
          <w:tcW w:w="7797" w:type="dxa"/>
        </w:tcPr>
        <w:p w14:paraId="5B61E1A6" w14:textId="37119E9B" w:rsidR="005616C5" w:rsidRDefault="005616C5" w:rsidP="007679DB">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67E2A83D" wp14:editId="7D5D255A">
                <wp:extent cx="989308" cy="223483"/>
                <wp:effectExtent l="0" t="0" r="1905" b="571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76397701" w14:textId="77777777" w:rsidR="005616C5" w:rsidRPr="007679DB" w:rsidRDefault="005616C5" w:rsidP="007679DB">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A19D" w14:textId="0A2D2F76" w:rsidR="005616C5" w:rsidRPr="00F53464" w:rsidRDefault="005616C5" w:rsidP="00F53464">
    <w:pPr>
      <w:pStyle w:val="Header"/>
      <w:jc w:val="cente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BB4DB" w14:textId="4591AB22" w:rsidR="005616C5" w:rsidRDefault="005616C5" w:rsidP="00F91330">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6145EDFA" wp14:editId="52C78768">
          <wp:extent cx="989308" cy="223483"/>
          <wp:effectExtent l="0" t="0" r="190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p w14:paraId="30EE5E88" w14:textId="77777777" w:rsidR="005616C5" w:rsidRDefault="005616C5">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7BE7C" w14:textId="4F01AAF3" w:rsidR="005616C5" w:rsidRDefault="005616C5" w:rsidP="00177B65">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724380CC" wp14:editId="22B10593">
          <wp:extent cx="989308" cy="223483"/>
          <wp:effectExtent l="0" t="0" r="1905" b="571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84A60" w14:textId="2F748C81" w:rsidR="005616C5" w:rsidRPr="001E2C08" w:rsidRDefault="005616C5" w:rsidP="001E2C08">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34D20" w14:textId="235E6FCF" w:rsidR="005616C5" w:rsidRDefault="005616C5" w:rsidP="001E2C08">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6142B444" wp14:editId="570A8744">
          <wp:extent cx="989308" cy="223483"/>
          <wp:effectExtent l="0" t="0" r="1905" b="571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p w14:paraId="783BC8CE" w14:textId="77777777" w:rsidR="005616C5" w:rsidRDefault="005616C5">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4B73D" w14:textId="00D04209" w:rsidR="005616C5" w:rsidRPr="0083641A" w:rsidRDefault="005616C5" w:rsidP="001E2C08">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08EF5371" wp14:editId="6060D5BD">
          <wp:extent cx="989308" cy="223483"/>
          <wp:effectExtent l="0" t="0" r="1905" b="571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90F81" w14:textId="64B5E00B" w:rsidR="005616C5" w:rsidRPr="007203CA" w:rsidRDefault="005616C5" w:rsidP="007203CA">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09F220F2" w14:textId="77777777" w:rsidTr="00A82F91">
      <w:trPr>
        <w:trHeight w:hRule="exact" w:val="340"/>
      </w:trPr>
      <w:tc>
        <w:tcPr>
          <w:tcW w:w="7797" w:type="dxa"/>
        </w:tcPr>
        <w:p w14:paraId="3525E5EA" w14:textId="44C8FF44" w:rsidR="005616C5" w:rsidRDefault="005616C5" w:rsidP="007679DB">
          <w:pPr>
            <w:pStyle w:val="HeaderEven"/>
            <w:ind w:left="-113"/>
          </w:pPr>
          <w:r w:rsidRPr="000635BE">
            <w:rPr>
              <w:rFonts w:ascii="Arial Bold" w:hAnsi="Arial Bold"/>
              <w:b/>
              <w:bCs/>
              <w:noProof/>
              <w:position w:val="-10"/>
            </w:rPr>
            <w:drawing>
              <wp:inline distT="0" distB="0" distL="0" distR="0" wp14:anchorId="5ECE4F93" wp14:editId="2BCF94FE">
                <wp:extent cx="989308" cy="223483"/>
                <wp:effectExtent l="0" t="0" r="1905" b="571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3B5862">
              <w:rPr>
                <w:noProof/>
              </w:rPr>
              <w:t>Estimates Statements 2021–22</w:t>
            </w:r>
          </w:fldSimple>
        </w:p>
      </w:tc>
    </w:tr>
  </w:tbl>
  <w:p w14:paraId="28E69CB6" w14:textId="77777777" w:rsidR="005616C5" w:rsidRPr="007679DB" w:rsidRDefault="005616C5" w:rsidP="007679DB">
    <w:pPr>
      <w:pStyle w:val="HeaderEven"/>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67A9B583" w14:textId="77777777" w:rsidTr="00A82F91">
      <w:trPr>
        <w:trHeight w:hRule="exact" w:val="340"/>
      </w:trPr>
      <w:tc>
        <w:tcPr>
          <w:tcW w:w="7797" w:type="dxa"/>
        </w:tcPr>
        <w:p w14:paraId="5C23E233" w14:textId="0229E08A" w:rsidR="005616C5" w:rsidRDefault="005616C5" w:rsidP="007679DB">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55939EE7" wp14:editId="1B43DA76">
                <wp:extent cx="989308" cy="223483"/>
                <wp:effectExtent l="0" t="0" r="1905" b="571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74A54D82" w14:textId="77777777" w:rsidR="005616C5" w:rsidRPr="007679DB" w:rsidRDefault="005616C5" w:rsidP="007679DB">
    <w:pPr>
      <w:pStyle w:val="HeaderOdd"/>
    </w:pP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9F69F" w14:textId="7A03BBB6" w:rsidR="005616C5" w:rsidRDefault="005616C5" w:rsidP="0083641A">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6CD0183E" wp14:editId="063EED00">
          <wp:extent cx="989308" cy="223483"/>
          <wp:effectExtent l="0" t="0" r="1905" b="571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p w14:paraId="2156F063" w14:textId="77777777" w:rsidR="005616C5" w:rsidRDefault="005616C5">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6255F847" w14:textId="77777777" w:rsidTr="00A82F91">
      <w:trPr>
        <w:trHeight w:hRule="exact" w:val="340"/>
      </w:trPr>
      <w:tc>
        <w:tcPr>
          <w:tcW w:w="7797" w:type="dxa"/>
        </w:tcPr>
        <w:p w14:paraId="0B94B0F9" w14:textId="07BBC46A" w:rsidR="005616C5" w:rsidRDefault="005616C5" w:rsidP="007679DB">
          <w:pPr>
            <w:pStyle w:val="HeaderEven"/>
            <w:ind w:left="-113"/>
          </w:pPr>
          <w:r w:rsidRPr="000635BE">
            <w:rPr>
              <w:rFonts w:ascii="Arial Bold" w:hAnsi="Arial Bold"/>
              <w:b/>
              <w:bCs/>
              <w:noProof/>
              <w:position w:val="-10"/>
            </w:rPr>
            <w:drawing>
              <wp:inline distT="0" distB="0" distL="0" distR="0" wp14:anchorId="5ECE4F93" wp14:editId="2BCF94FE">
                <wp:extent cx="989308" cy="223483"/>
                <wp:effectExtent l="0" t="0" r="1905" b="571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3B5862">
              <w:rPr>
                <w:noProof/>
              </w:rPr>
              <w:t>Estimates Statements 2021–22</w:t>
            </w:r>
          </w:fldSimple>
        </w:p>
      </w:tc>
    </w:tr>
  </w:tbl>
  <w:p w14:paraId="1722A1FF" w14:textId="77777777" w:rsidR="005616C5" w:rsidRPr="007679DB" w:rsidRDefault="005616C5" w:rsidP="007679DB">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0DCBB" w14:textId="77777777" w:rsidR="005616C5" w:rsidRPr="00F53464" w:rsidRDefault="005616C5" w:rsidP="00F53464"/>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5B766938" w14:textId="77777777" w:rsidTr="00A82F91">
      <w:trPr>
        <w:trHeight w:hRule="exact" w:val="340"/>
      </w:trPr>
      <w:tc>
        <w:tcPr>
          <w:tcW w:w="7797" w:type="dxa"/>
        </w:tcPr>
        <w:p w14:paraId="69B4E307" w14:textId="34EFA99C" w:rsidR="005616C5" w:rsidRDefault="005616C5" w:rsidP="007679DB">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55939EE7" wp14:editId="1B43DA76">
                <wp:extent cx="989308" cy="223483"/>
                <wp:effectExtent l="0" t="0" r="1905" b="571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68AF75D6" w14:textId="77777777" w:rsidR="005616C5" w:rsidRPr="007679DB" w:rsidRDefault="005616C5" w:rsidP="007679DB">
    <w:pPr>
      <w:pStyle w:val="HeaderOdd"/>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2892" w14:textId="674EB8CD" w:rsidR="005616C5" w:rsidRDefault="005616C5" w:rsidP="0083641A">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6CD0183E" wp14:editId="063EED00">
          <wp:extent cx="989308" cy="223483"/>
          <wp:effectExtent l="0" t="0" r="1905" b="571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82D4" w14:textId="77777777" w:rsidR="005616C5" w:rsidRDefault="005616C5">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2BD11E59" w14:textId="77777777" w:rsidTr="00A82F91">
      <w:trPr>
        <w:trHeight w:hRule="exact" w:val="340"/>
      </w:trPr>
      <w:tc>
        <w:tcPr>
          <w:tcW w:w="7797" w:type="dxa"/>
        </w:tcPr>
        <w:p w14:paraId="73B6185A" w14:textId="0443DBE2" w:rsidR="005616C5" w:rsidRDefault="005616C5" w:rsidP="007679DB">
          <w:pPr>
            <w:pStyle w:val="HeaderEven"/>
            <w:ind w:left="-113"/>
          </w:pPr>
          <w:r w:rsidRPr="000635BE">
            <w:rPr>
              <w:rFonts w:ascii="Arial Bold" w:hAnsi="Arial Bold"/>
              <w:b/>
              <w:bCs/>
              <w:noProof/>
              <w:position w:val="-10"/>
            </w:rPr>
            <w:drawing>
              <wp:inline distT="0" distB="0" distL="0" distR="0" wp14:anchorId="6C2DE148" wp14:editId="3728803E">
                <wp:extent cx="989308" cy="223483"/>
                <wp:effectExtent l="0" t="0" r="1905" b="571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3B5862">
              <w:rPr>
                <w:noProof/>
              </w:rPr>
              <w:t>Estimates Statements 2021–22</w:t>
            </w:r>
          </w:fldSimple>
        </w:p>
      </w:tc>
    </w:tr>
  </w:tbl>
  <w:p w14:paraId="1085F44F" w14:textId="77777777" w:rsidR="005616C5" w:rsidRPr="007679DB" w:rsidRDefault="005616C5" w:rsidP="007679DB">
    <w:pPr>
      <w:pStyle w:val="HeaderEven"/>
    </w:pP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6DA46EE2" w14:textId="77777777" w:rsidTr="00A82F91">
      <w:trPr>
        <w:trHeight w:hRule="exact" w:val="340"/>
      </w:trPr>
      <w:tc>
        <w:tcPr>
          <w:tcW w:w="7797" w:type="dxa"/>
        </w:tcPr>
        <w:p w14:paraId="7FFB7AD6" w14:textId="3AFFA5A5" w:rsidR="005616C5" w:rsidRDefault="005616C5" w:rsidP="007679DB">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27CC9262" wp14:editId="6E18747E">
                <wp:extent cx="989308" cy="223483"/>
                <wp:effectExtent l="0" t="0" r="1905" b="571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583EB9C7" w14:textId="77777777" w:rsidR="005616C5" w:rsidRPr="007679DB" w:rsidRDefault="005616C5" w:rsidP="007679DB">
    <w:pPr>
      <w:pStyle w:val="HeaderOdd"/>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930F7" w14:textId="4D6B008E" w:rsidR="005616C5" w:rsidRDefault="005616C5" w:rsidP="00C37FFB">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16383585" wp14:editId="0569F53A">
          <wp:extent cx="989308" cy="223483"/>
          <wp:effectExtent l="0" t="0" r="1905"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3405D0DF" w14:textId="77777777" w:rsidTr="00A82F91">
      <w:trPr>
        <w:trHeight w:hRule="exact" w:val="340"/>
      </w:trPr>
      <w:tc>
        <w:tcPr>
          <w:tcW w:w="7797" w:type="dxa"/>
        </w:tcPr>
        <w:p w14:paraId="7FB3E930" w14:textId="6FAEE02F" w:rsidR="005616C5" w:rsidRDefault="005616C5" w:rsidP="004E6DF0">
          <w:pPr>
            <w:pStyle w:val="HeaderEven"/>
            <w:ind w:left="-113"/>
          </w:pPr>
          <w:r w:rsidRPr="000635BE">
            <w:rPr>
              <w:rFonts w:ascii="Arial Bold" w:hAnsi="Arial Bold"/>
              <w:b/>
              <w:bCs/>
              <w:noProof/>
              <w:position w:val="-10"/>
            </w:rPr>
            <w:drawing>
              <wp:inline distT="0" distB="0" distL="0" distR="0" wp14:anchorId="5E2ACD5B" wp14:editId="2B150DCD">
                <wp:extent cx="989308" cy="223483"/>
                <wp:effectExtent l="0" t="0" r="1905" b="571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3B5862">
              <w:rPr>
                <w:noProof/>
              </w:rPr>
              <w:t>Estimates Statements 2021–22</w:t>
            </w:r>
          </w:fldSimple>
        </w:p>
      </w:tc>
    </w:tr>
  </w:tbl>
  <w:p w14:paraId="3048CEA5" w14:textId="1D7A8102" w:rsidR="005616C5" w:rsidRPr="00F93266" w:rsidRDefault="005616C5" w:rsidP="004E6DF0">
    <w:pPr>
      <w:pStyle w:val="Header"/>
      <w:rPr>
        <w:lang w:val="en-US"/>
      </w:rPr>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1E298BBE" w14:textId="77777777" w:rsidTr="00A82F91">
      <w:trPr>
        <w:trHeight w:hRule="exact" w:val="340"/>
      </w:trPr>
      <w:tc>
        <w:tcPr>
          <w:tcW w:w="7797" w:type="dxa"/>
        </w:tcPr>
        <w:p w14:paraId="37F070F0" w14:textId="6EAF81DC" w:rsidR="005616C5" w:rsidRDefault="005616C5" w:rsidP="004E6DF0">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3AE2C8B9" wp14:editId="293B2CBD">
                <wp:extent cx="989308" cy="223483"/>
                <wp:effectExtent l="0" t="0" r="1905" b="571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4A34145A" w14:textId="3D261D24" w:rsidR="005616C5" w:rsidRDefault="005616C5" w:rsidP="004E6DF0">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65902" w14:textId="11C48B64" w:rsidR="005616C5" w:rsidRDefault="005616C5" w:rsidP="00C37FFB">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75815FD7" wp14:editId="7F46AB32">
          <wp:extent cx="989308" cy="223483"/>
          <wp:effectExtent l="0" t="0" r="1905" b="571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542FABBE" w14:textId="77777777" w:rsidTr="00A82F91">
      <w:trPr>
        <w:trHeight w:hRule="exact" w:val="340"/>
      </w:trPr>
      <w:tc>
        <w:tcPr>
          <w:tcW w:w="7797" w:type="dxa"/>
        </w:tcPr>
        <w:p w14:paraId="0BEE689B" w14:textId="491C6A1A" w:rsidR="005616C5" w:rsidRDefault="005616C5" w:rsidP="004E6DF0">
          <w:pPr>
            <w:pStyle w:val="HeaderEven"/>
            <w:ind w:left="-113"/>
          </w:pPr>
          <w:r w:rsidRPr="000635BE">
            <w:rPr>
              <w:rFonts w:ascii="Arial Bold" w:hAnsi="Arial Bold"/>
              <w:b/>
              <w:bCs/>
              <w:noProof/>
              <w:position w:val="-10"/>
            </w:rPr>
            <w:drawing>
              <wp:inline distT="0" distB="0" distL="0" distR="0" wp14:anchorId="7D087A19" wp14:editId="49410106">
                <wp:extent cx="989308" cy="223483"/>
                <wp:effectExtent l="0" t="0" r="1905" b="5715"/>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3B5862">
              <w:rPr>
                <w:noProof/>
              </w:rPr>
              <w:t>Estimates Statements 2021–22</w:t>
            </w:r>
          </w:fldSimple>
        </w:p>
      </w:tc>
    </w:tr>
  </w:tbl>
  <w:p w14:paraId="43DC8305" w14:textId="77777777" w:rsidR="005616C5" w:rsidRDefault="005616C5" w:rsidP="000B1A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92672" w14:textId="77777777" w:rsidR="005616C5" w:rsidRDefault="005616C5">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46B6D6EC" w14:textId="77777777" w:rsidTr="00A82F91">
      <w:trPr>
        <w:trHeight w:hRule="exact" w:val="340"/>
      </w:trPr>
      <w:tc>
        <w:tcPr>
          <w:tcW w:w="7797" w:type="dxa"/>
        </w:tcPr>
        <w:p w14:paraId="014B743C" w14:textId="2D3FE18F" w:rsidR="005616C5" w:rsidRDefault="005616C5" w:rsidP="004E6DF0">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6536A554" wp14:editId="7C7184B8">
                <wp:extent cx="989308" cy="223483"/>
                <wp:effectExtent l="0" t="0" r="1905" b="5715"/>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6F5FF8C1" w14:textId="77777777" w:rsidR="005616C5" w:rsidRPr="004E6DF0" w:rsidRDefault="005616C5" w:rsidP="004E6DF0">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1532" w14:textId="77777777" w:rsidR="005616C5" w:rsidRPr="00484CB3" w:rsidRDefault="005616C5" w:rsidP="00484CB3">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3D5B924D" w14:textId="77777777" w:rsidTr="00A82F91">
      <w:trPr>
        <w:trHeight w:hRule="exact" w:val="340"/>
      </w:trPr>
      <w:tc>
        <w:tcPr>
          <w:tcW w:w="7797" w:type="dxa"/>
        </w:tcPr>
        <w:p w14:paraId="2C0455C8" w14:textId="2C02DCB4" w:rsidR="005616C5" w:rsidRDefault="005616C5" w:rsidP="004E6DF0">
          <w:pPr>
            <w:pStyle w:val="HeaderEven"/>
            <w:ind w:left="-113"/>
          </w:pPr>
          <w:r w:rsidRPr="000635BE">
            <w:rPr>
              <w:rFonts w:ascii="Arial Bold" w:hAnsi="Arial Bold"/>
              <w:b/>
              <w:bCs/>
              <w:noProof/>
              <w:position w:val="-10"/>
            </w:rPr>
            <w:drawing>
              <wp:inline distT="0" distB="0" distL="0" distR="0" wp14:anchorId="7D087A19" wp14:editId="49410106">
                <wp:extent cx="989308" cy="223483"/>
                <wp:effectExtent l="0" t="0" r="1905" b="571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fldSimple w:instr=" STYLEREF  &quot;TP Heading 1&quot; ">
            <w:r w:rsidR="003B5862">
              <w:rPr>
                <w:noProof/>
              </w:rPr>
              <w:t>Estimates Statements 2021–22</w:t>
            </w:r>
          </w:fldSimple>
        </w:p>
      </w:tc>
    </w:tr>
  </w:tbl>
  <w:p w14:paraId="1BE319E2" w14:textId="5BBF4BFD" w:rsidR="005616C5" w:rsidRDefault="005616C5">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616C5" w14:paraId="76639421" w14:textId="77777777" w:rsidTr="00A82F91">
      <w:trPr>
        <w:trHeight w:hRule="exact" w:val="340"/>
      </w:trPr>
      <w:tc>
        <w:tcPr>
          <w:tcW w:w="7797" w:type="dxa"/>
        </w:tcPr>
        <w:p w14:paraId="66BCDC7D" w14:textId="2681A9D6" w:rsidR="005616C5" w:rsidRDefault="005616C5" w:rsidP="004E6DF0">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6536A554" wp14:editId="7C7184B8">
                <wp:extent cx="989308" cy="223483"/>
                <wp:effectExtent l="0" t="0" r="1905" b="571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tc>
    </w:tr>
  </w:tbl>
  <w:p w14:paraId="199C75D9" w14:textId="3A906BF7" w:rsidR="005616C5" w:rsidRPr="004E6DF0" w:rsidRDefault="005616C5" w:rsidP="004E6DF0">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5F67" w14:textId="208AB654" w:rsidR="005616C5" w:rsidRDefault="005616C5" w:rsidP="000B1A75">
    <w:pPr>
      <w:pStyle w:val="HeaderOdd"/>
    </w:pPr>
    <w:fldSimple w:instr=" STYLEREF  &quot;TP Heading 1&quot; ">
      <w:r w:rsidR="003B5862">
        <w:rPr>
          <w:noProof/>
        </w:rPr>
        <w:t>Estimates Statements 2021–22</w:t>
      </w:r>
    </w:fldSimple>
    <w:r>
      <w:t xml:space="preserve">  |  </w:t>
    </w:r>
    <w:r w:rsidRPr="000635BE">
      <w:rPr>
        <w:rFonts w:ascii="Arial Bold" w:hAnsi="Arial Bold"/>
        <w:b/>
        <w:bCs/>
        <w:noProof/>
        <w:position w:val="-10"/>
      </w:rPr>
      <w:drawing>
        <wp:inline distT="0" distB="0" distL="0" distR="0" wp14:anchorId="4F01DC84" wp14:editId="15759596">
          <wp:extent cx="989308" cy="223483"/>
          <wp:effectExtent l="0" t="0" r="190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35DB4" w14:textId="77777777" w:rsidR="005616C5" w:rsidRDefault="005616C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4992" w14:textId="3A66256D" w:rsidR="005616C5" w:rsidRDefault="005616C5" w:rsidP="00B100D4">
    <w:pPr>
      <w:pStyle w:val="Header"/>
    </w:pPr>
    <w:r w:rsidRPr="000635BE">
      <w:rPr>
        <w:rFonts w:ascii="Arial Bold" w:hAnsi="Arial Bold"/>
        <w:b/>
        <w:bCs/>
        <w:noProof/>
        <w:position w:val="-10"/>
        <w:lang w:val="en-AU"/>
      </w:rPr>
      <w:drawing>
        <wp:inline distT="0" distB="0" distL="0" distR="0" wp14:anchorId="2D08359D" wp14:editId="2EFD9E21">
          <wp:extent cx="989308" cy="223483"/>
          <wp:effectExtent l="0" t="0" r="190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w:t>
    </w:r>
    <w:r>
      <w:t xml:space="preserve">|  </w:t>
    </w:r>
    <w:r w:rsidRPr="000577E6">
      <w:rPr>
        <w:rFonts w:ascii="Arial" w:hAnsi="Arial" w:cs="Arial"/>
        <w:i w:val="0"/>
        <w:sz w:val="18"/>
      </w:rPr>
      <w:fldChar w:fldCharType="begin"/>
    </w:r>
    <w:r w:rsidRPr="000577E6">
      <w:rPr>
        <w:rFonts w:ascii="Arial" w:hAnsi="Arial" w:cs="Arial"/>
        <w:i w:val="0"/>
        <w:sz w:val="18"/>
      </w:rPr>
      <w:instrText xml:space="preserve"> STYLEREF  "TP Heading 1" </w:instrText>
    </w:r>
    <w:r w:rsidRPr="000577E6">
      <w:rPr>
        <w:rFonts w:ascii="Arial" w:hAnsi="Arial" w:cs="Arial"/>
        <w:i w:val="0"/>
        <w:sz w:val="18"/>
      </w:rPr>
      <w:fldChar w:fldCharType="separate"/>
    </w:r>
    <w:r w:rsidR="003B5862">
      <w:rPr>
        <w:rFonts w:ascii="Arial" w:hAnsi="Arial" w:cs="Arial"/>
        <w:i w:val="0"/>
        <w:noProof/>
        <w:sz w:val="18"/>
      </w:rPr>
      <w:t>Estimates Statements 2021–22</w:t>
    </w:r>
    <w:r w:rsidRPr="000577E6">
      <w:rPr>
        <w:rFonts w:ascii="Arial" w:hAnsi="Arial" w:cs="Arial"/>
        <w:i w:val="0"/>
        <w:noProof/>
        <w:sz w:val="18"/>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6159E" w14:textId="5E3A1C2E" w:rsidR="005616C5" w:rsidRPr="006E442F" w:rsidRDefault="005616C5" w:rsidP="006E4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E89"/>
    <w:multiLevelType w:val="hybridMultilevel"/>
    <w:tmpl w:val="C2B644F0"/>
    <w:lvl w:ilvl="0" w:tplc="37808CD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31316E4"/>
    <w:multiLevelType w:val="hybridMultilevel"/>
    <w:tmpl w:val="DD3A8E02"/>
    <w:lvl w:ilvl="0" w:tplc="B220E552">
      <w:start w:val="1"/>
      <w:numFmt w:val="lowerLetter"/>
      <w:lvlText w:val="(%1)"/>
      <w:lvlJc w:val="left"/>
      <w:pPr>
        <w:ind w:left="502" w:hanging="360"/>
      </w:pPr>
      <w:rPr>
        <w:rFonts w:hint="default"/>
        <w:b w:val="0"/>
        <w:i w:val="0"/>
        <w:color w:val="000000"/>
        <w:sz w:val="16"/>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03493B48"/>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0D5426"/>
    <w:multiLevelType w:val="hybridMultilevel"/>
    <w:tmpl w:val="83F27DA2"/>
    <w:lvl w:ilvl="0" w:tplc="7938DF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6B4011"/>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5" w15:restartNumberingAfterBreak="0">
    <w:nsid w:val="0C735C13"/>
    <w:multiLevelType w:val="hybridMultilevel"/>
    <w:tmpl w:val="35961400"/>
    <w:lvl w:ilvl="0" w:tplc="5ED69E88">
      <w:start w:val="15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307147"/>
    <w:multiLevelType w:val="hybridMultilevel"/>
    <w:tmpl w:val="DD3A8E02"/>
    <w:lvl w:ilvl="0" w:tplc="B220E552">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355AAF"/>
    <w:multiLevelType w:val="hybridMultilevel"/>
    <w:tmpl w:val="A4106EF4"/>
    <w:lvl w:ilvl="0" w:tplc="1F72BA9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DC012B"/>
    <w:multiLevelType w:val="hybridMultilevel"/>
    <w:tmpl w:val="3376C37A"/>
    <w:lvl w:ilvl="0" w:tplc="C8AAA6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551292"/>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10" w15:restartNumberingAfterBreak="0">
    <w:nsid w:val="15C5597B"/>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164B7A43"/>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7D912DA"/>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13" w15:restartNumberingAfterBreak="0">
    <w:nsid w:val="17DD40A6"/>
    <w:multiLevelType w:val="hybridMultilevel"/>
    <w:tmpl w:val="6FDA8ABA"/>
    <w:lvl w:ilvl="0" w:tplc="62F4B752">
      <w:start w:val="1"/>
      <w:numFmt w:val="lowerLetter"/>
      <w:lvlText w:val="%1)"/>
      <w:lvlJc w:val="left"/>
      <w:pPr>
        <w:ind w:left="215" w:hanging="21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581AEA"/>
    <w:multiLevelType w:val="hybridMultilevel"/>
    <w:tmpl w:val="F84ADEE2"/>
    <w:lvl w:ilvl="0" w:tplc="C7C0B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13667D"/>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1A0179"/>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0C850E1"/>
    <w:multiLevelType w:val="hybridMultilevel"/>
    <w:tmpl w:val="B04862F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2838211D"/>
    <w:multiLevelType w:val="hybridMultilevel"/>
    <w:tmpl w:val="14DCBE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CF350F"/>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299200C8"/>
    <w:multiLevelType w:val="hybridMultilevel"/>
    <w:tmpl w:val="1C0445E6"/>
    <w:lvl w:ilvl="0" w:tplc="2194B0F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06021C7"/>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3226343"/>
    <w:multiLevelType w:val="hybridMultilevel"/>
    <w:tmpl w:val="A310244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15:restartNumberingAfterBreak="0">
    <w:nsid w:val="34573E28"/>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27" w15:restartNumberingAfterBreak="0">
    <w:nsid w:val="34F1423E"/>
    <w:multiLevelType w:val="hybridMultilevel"/>
    <w:tmpl w:val="E27C6FF8"/>
    <w:lvl w:ilvl="0" w:tplc="3F1A3C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E50717"/>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B2E19AC"/>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0" w15:restartNumberingAfterBreak="0">
    <w:nsid w:val="3FDD4D95"/>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17328A2"/>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2" w15:restartNumberingAfterBreak="0">
    <w:nsid w:val="462E14EB"/>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33" w15:restartNumberingAfterBreak="0">
    <w:nsid w:val="465D203E"/>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A7B25FA"/>
    <w:multiLevelType w:val="hybridMultilevel"/>
    <w:tmpl w:val="1F844E22"/>
    <w:lvl w:ilvl="0" w:tplc="CF72CA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B9554CE"/>
    <w:multiLevelType w:val="hybridMultilevel"/>
    <w:tmpl w:val="D5A83F7E"/>
    <w:lvl w:ilvl="0" w:tplc="3CAE27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CBE6666"/>
    <w:multiLevelType w:val="hybridMultilevel"/>
    <w:tmpl w:val="18D61CEA"/>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D690222"/>
    <w:multiLevelType w:val="hybridMultilevel"/>
    <w:tmpl w:val="67187084"/>
    <w:lvl w:ilvl="0" w:tplc="C7C0BE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1F0221B"/>
    <w:multiLevelType w:val="hybridMultilevel"/>
    <w:tmpl w:val="07AEE468"/>
    <w:lvl w:ilvl="0" w:tplc="9866E9E2">
      <w:start w:val="29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2460E82"/>
    <w:multiLevelType w:val="hybridMultilevel"/>
    <w:tmpl w:val="3376C37A"/>
    <w:lvl w:ilvl="0" w:tplc="C8AAA6B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2D20BCF"/>
    <w:multiLevelType w:val="hybridMultilevel"/>
    <w:tmpl w:val="3376C37A"/>
    <w:lvl w:ilvl="0" w:tplc="C8AAA6B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2E8539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7192E16"/>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6" w15:restartNumberingAfterBreak="0">
    <w:nsid w:val="5B83056D"/>
    <w:multiLevelType w:val="singleLevel"/>
    <w:tmpl w:val="B220E552"/>
    <w:lvl w:ilvl="0">
      <w:start w:val="1"/>
      <w:numFmt w:val="lowerLetter"/>
      <w:lvlText w:val="(%1)"/>
      <w:lvlJc w:val="left"/>
      <w:pPr>
        <w:ind w:left="720" w:hanging="360"/>
      </w:pPr>
      <w:rPr>
        <w:rFonts w:hint="default"/>
        <w:b w:val="0"/>
        <w:i w:val="0"/>
        <w:color w:val="000000"/>
        <w:sz w:val="16"/>
      </w:rPr>
    </w:lvl>
  </w:abstractNum>
  <w:abstractNum w:abstractNumId="47" w15:restartNumberingAfterBreak="0">
    <w:nsid w:val="5B92392C"/>
    <w:multiLevelType w:val="hybridMultilevel"/>
    <w:tmpl w:val="EF66C208"/>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B96631B"/>
    <w:multiLevelType w:val="hybridMultilevel"/>
    <w:tmpl w:val="117E8080"/>
    <w:lvl w:ilvl="0" w:tplc="B220E55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9" w15:restartNumberingAfterBreak="0">
    <w:nsid w:val="5CCB1058"/>
    <w:multiLevelType w:val="hybridMultilevel"/>
    <w:tmpl w:val="8174DD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0" w15:restartNumberingAfterBreak="0">
    <w:nsid w:val="5D654837"/>
    <w:multiLevelType w:val="hybridMultilevel"/>
    <w:tmpl w:val="F34C6E7E"/>
    <w:lvl w:ilvl="0" w:tplc="24B0F9C0">
      <w:numFmt w:val="bullet"/>
      <w:lvlText w:val=""/>
      <w:lvlJc w:val="left"/>
      <w:pPr>
        <w:ind w:left="750" w:hanging="375"/>
      </w:pPr>
      <w:rPr>
        <w:rFonts w:ascii="Symbol" w:eastAsiaTheme="minorHAnsi" w:hAnsi="Symbol" w:cs="Calibri" w:hint="default"/>
        <w:sz w:val="20"/>
      </w:rPr>
    </w:lvl>
    <w:lvl w:ilvl="1" w:tplc="0C090003" w:tentative="1">
      <w:start w:val="1"/>
      <w:numFmt w:val="bullet"/>
      <w:lvlText w:val="o"/>
      <w:lvlJc w:val="left"/>
      <w:pPr>
        <w:ind w:left="1455" w:hanging="360"/>
      </w:pPr>
      <w:rPr>
        <w:rFonts w:ascii="Courier New" w:hAnsi="Courier New" w:cs="Courier New" w:hint="default"/>
      </w:rPr>
    </w:lvl>
    <w:lvl w:ilvl="2" w:tplc="0C090005" w:tentative="1">
      <w:start w:val="1"/>
      <w:numFmt w:val="bullet"/>
      <w:lvlText w:val=""/>
      <w:lvlJc w:val="left"/>
      <w:pPr>
        <w:ind w:left="2175" w:hanging="360"/>
      </w:pPr>
      <w:rPr>
        <w:rFonts w:ascii="Wingdings" w:hAnsi="Wingdings" w:hint="default"/>
      </w:rPr>
    </w:lvl>
    <w:lvl w:ilvl="3" w:tplc="0C090001" w:tentative="1">
      <w:start w:val="1"/>
      <w:numFmt w:val="bullet"/>
      <w:lvlText w:val=""/>
      <w:lvlJc w:val="left"/>
      <w:pPr>
        <w:ind w:left="2895" w:hanging="360"/>
      </w:pPr>
      <w:rPr>
        <w:rFonts w:ascii="Symbol" w:hAnsi="Symbol" w:hint="default"/>
      </w:rPr>
    </w:lvl>
    <w:lvl w:ilvl="4" w:tplc="0C090003" w:tentative="1">
      <w:start w:val="1"/>
      <w:numFmt w:val="bullet"/>
      <w:lvlText w:val="o"/>
      <w:lvlJc w:val="left"/>
      <w:pPr>
        <w:ind w:left="3615" w:hanging="360"/>
      </w:pPr>
      <w:rPr>
        <w:rFonts w:ascii="Courier New" w:hAnsi="Courier New" w:cs="Courier New" w:hint="default"/>
      </w:rPr>
    </w:lvl>
    <w:lvl w:ilvl="5" w:tplc="0C090005" w:tentative="1">
      <w:start w:val="1"/>
      <w:numFmt w:val="bullet"/>
      <w:lvlText w:val=""/>
      <w:lvlJc w:val="left"/>
      <w:pPr>
        <w:ind w:left="4335" w:hanging="360"/>
      </w:pPr>
      <w:rPr>
        <w:rFonts w:ascii="Wingdings" w:hAnsi="Wingdings" w:hint="default"/>
      </w:rPr>
    </w:lvl>
    <w:lvl w:ilvl="6" w:tplc="0C090001" w:tentative="1">
      <w:start w:val="1"/>
      <w:numFmt w:val="bullet"/>
      <w:lvlText w:val=""/>
      <w:lvlJc w:val="left"/>
      <w:pPr>
        <w:ind w:left="5055" w:hanging="360"/>
      </w:pPr>
      <w:rPr>
        <w:rFonts w:ascii="Symbol" w:hAnsi="Symbol" w:hint="default"/>
      </w:rPr>
    </w:lvl>
    <w:lvl w:ilvl="7" w:tplc="0C090003" w:tentative="1">
      <w:start w:val="1"/>
      <w:numFmt w:val="bullet"/>
      <w:lvlText w:val="o"/>
      <w:lvlJc w:val="left"/>
      <w:pPr>
        <w:ind w:left="5775" w:hanging="360"/>
      </w:pPr>
      <w:rPr>
        <w:rFonts w:ascii="Courier New" w:hAnsi="Courier New" w:cs="Courier New" w:hint="default"/>
      </w:rPr>
    </w:lvl>
    <w:lvl w:ilvl="8" w:tplc="0C090005" w:tentative="1">
      <w:start w:val="1"/>
      <w:numFmt w:val="bullet"/>
      <w:lvlText w:val=""/>
      <w:lvlJc w:val="left"/>
      <w:pPr>
        <w:ind w:left="6495" w:hanging="360"/>
      </w:pPr>
      <w:rPr>
        <w:rFonts w:ascii="Wingdings" w:hAnsi="Wingdings" w:hint="default"/>
      </w:rPr>
    </w:lvl>
  </w:abstractNum>
  <w:abstractNum w:abstractNumId="51" w15:restartNumberingAfterBreak="0">
    <w:nsid w:val="66977EA1"/>
    <w:multiLevelType w:val="hybridMultilevel"/>
    <w:tmpl w:val="B28C1314"/>
    <w:lvl w:ilvl="0" w:tplc="D5F4A84A">
      <w:start w:val="1"/>
      <w:numFmt w:val="lowerLetter"/>
      <w:pStyle w:val="ChartandTableFootnoteAlpha"/>
      <w:lvlText w:val="(%1)"/>
      <w:lvlJc w:val="left"/>
      <w:pPr>
        <w:tabs>
          <w:tab w:val="num" w:pos="1559"/>
        </w:tabs>
        <w:ind w:left="1559" w:hanging="397"/>
      </w:pPr>
      <w:rPr>
        <w:rFonts w:ascii="Arial" w:hAnsi="Arial" w:hint="default"/>
        <w:b w:val="0"/>
        <w:i w:val="0"/>
        <w:sz w:val="16"/>
        <w:szCs w:val="16"/>
      </w:rPr>
    </w:lvl>
    <w:lvl w:ilvl="1" w:tplc="0C090019">
      <w:start w:val="1"/>
      <w:numFmt w:val="lowerLetter"/>
      <w:lvlText w:val="%2."/>
      <w:lvlJc w:val="left"/>
      <w:pPr>
        <w:ind w:left="2602" w:hanging="360"/>
      </w:pPr>
    </w:lvl>
    <w:lvl w:ilvl="2" w:tplc="0C09001B" w:tentative="1">
      <w:start w:val="1"/>
      <w:numFmt w:val="lowerRoman"/>
      <w:lvlText w:val="%3."/>
      <w:lvlJc w:val="right"/>
      <w:pPr>
        <w:ind w:left="3322" w:hanging="180"/>
      </w:pPr>
    </w:lvl>
    <w:lvl w:ilvl="3" w:tplc="0C09000F" w:tentative="1">
      <w:start w:val="1"/>
      <w:numFmt w:val="decimal"/>
      <w:lvlText w:val="%4."/>
      <w:lvlJc w:val="left"/>
      <w:pPr>
        <w:ind w:left="4042" w:hanging="360"/>
      </w:pPr>
    </w:lvl>
    <w:lvl w:ilvl="4" w:tplc="0C090019" w:tentative="1">
      <w:start w:val="1"/>
      <w:numFmt w:val="lowerLetter"/>
      <w:lvlText w:val="%5."/>
      <w:lvlJc w:val="left"/>
      <w:pPr>
        <w:ind w:left="4762" w:hanging="360"/>
      </w:pPr>
    </w:lvl>
    <w:lvl w:ilvl="5" w:tplc="0C09001B" w:tentative="1">
      <w:start w:val="1"/>
      <w:numFmt w:val="lowerRoman"/>
      <w:lvlText w:val="%6."/>
      <w:lvlJc w:val="right"/>
      <w:pPr>
        <w:ind w:left="5482" w:hanging="180"/>
      </w:pPr>
    </w:lvl>
    <w:lvl w:ilvl="6" w:tplc="0C09000F" w:tentative="1">
      <w:start w:val="1"/>
      <w:numFmt w:val="decimal"/>
      <w:lvlText w:val="%7."/>
      <w:lvlJc w:val="left"/>
      <w:pPr>
        <w:ind w:left="6202" w:hanging="360"/>
      </w:pPr>
    </w:lvl>
    <w:lvl w:ilvl="7" w:tplc="0C090019" w:tentative="1">
      <w:start w:val="1"/>
      <w:numFmt w:val="lowerLetter"/>
      <w:lvlText w:val="%8."/>
      <w:lvlJc w:val="left"/>
      <w:pPr>
        <w:ind w:left="6922" w:hanging="360"/>
      </w:pPr>
    </w:lvl>
    <w:lvl w:ilvl="8" w:tplc="0C09001B" w:tentative="1">
      <w:start w:val="1"/>
      <w:numFmt w:val="lowerRoman"/>
      <w:lvlText w:val="%9."/>
      <w:lvlJc w:val="right"/>
      <w:pPr>
        <w:ind w:left="7642" w:hanging="180"/>
      </w:pPr>
    </w:lvl>
  </w:abstractNum>
  <w:abstractNum w:abstractNumId="52" w15:restartNumberingAfterBreak="0">
    <w:nsid w:val="68512C08"/>
    <w:multiLevelType w:val="hybridMultilevel"/>
    <w:tmpl w:val="F9A82CEA"/>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C8A2C14"/>
    <w:multiLevelType w:val="hybridMultilevel"/>
    <w:tmpl w:val="627CAA28"/>
    <w:lvl w:ilvl="0" w:tplc="0C090001">
      <w:start w:val="1"/>
      <w:numFmt w:val="bullet"/>
      <w:lvlText w:val=""/>
      <w:lvlJc w:val="left"/>
      <w:pPr>
        <w:ind w:left="360" w:hanging="360"/>
      </w:pPr>
      <w:rPr>
        <w:rFonts w:ascii="Symbol" w:hAnsi="Symbol" w:hint="default"/>
        <w:sz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DB177B4"/>
    <w:multiLevelType w:val="hybridMultilevel"/>
    <w:tmpl w:val="22102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DEC4C90"/>
    <w:multiLevelType w:val="hybridMultilevel"/>
    <w:tmpl w:val="B8A4DD38"/>
    <w:lvl w:ilvl="0" w:tplc="53BA8D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E3255A6"/>
    <w:multiLevelType w:val="hybridMultilevel"/>
    <w:tmpl w:val="10F6F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0890F8F"/>
    <w:multiLevelType w:val="hybridMultilevel"/>
    <w:tmpl w:val="68089A26"/>
    <w:lvl w:ilvl="0" w:tplc="1222FC52">
      <w:start w:val="22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2AE3B3C"/>
    <w:multiLevelType w:val="hybridMultilevel"/>
    <w:tmpl w:val="D08E6F98"/>
    <w:lvl w:ilvl="0" w:tplc="0C090017">
      <w:start w:val="1"/>
      <w:numFmt w:val="lowerLetter"/>
      <w:lvlText w:val="%1)"/>
      <w:lvlJc w:val="left"/>
      <w:pPr>
        <w:ind w:left="215" w:hanging="21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781A51F2"/>
    <w:multiLevelType w:val="hybridMultilevel"/>
    <w:tmpl w:val="20A00052"/>
    <w:lvl w:ilvl="0" w:tplc="2A74FB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EB126DE"/>
    <w:multiLevelType w:val="hybridMultilevel"/>
    <w:tmpl w:val="117E8080"/>
    <w:lvl w:ilvl="0" w:tplc="B220E55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2" w15:restartNumberingAfterBreak="0">
    <w:nsid w:val="7F9E341B"/>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4"/>
  </w:num>
  <w:num w:numId="2">
    <w:abstractNumId w:val="61"/>
  </w:num>
  <w:num w:numId="3">
    <w:abstractNumId w:val="51"/>
  </w:num>
  <w:num w:numId="4">
    <w:abstractNumId w:val="51"/>
    <w:lvlOverride w:ilvl="0">
      <w:startOverride w:val="1"/>
    </w:lvlOverride>
  </w:num>
  <w:num w:numId="5">
    <w:abstractNumId w:val="51"/>
    <w:lvlOverride w:ilvl="0">
      <w:startOverride w:val="1"/>
    </w:lvlOverride>
  </w:num>
  <w:num w:numId="6">
    <w:abstractNumId w:val="35"/>
  </w:num>
  <w:num w:numId="7">
    <w:abstractNumId w:val="54"/>
  </w:num>
  <w:num w:numId="8">
    <w:abstractNumId w:val="56"/>
  </w:num>
  <w:num w:numId="9">
    <w:abstractNumId w:val="2"/>
  </w:num>
  <w:num w:numId="10">
    <w:abstractNumId w:val="49"/>
  </w:num>
  <w:num w:numId="11">
    <w:abstractNumId w:val="28"/>
  </w:num>
  <w:num w:numId="12">
    <w:abstractNumId w:val="45"/>
  </w:num>
  <w:num w:numId="13">
    <w:abstractNumId w:val="29"/>
    <w:lvlOverride w:ilvl="0">
      <w:startOverride w:val="1"/>
    </w:lvlOverride>
  </w:num>
  <w:num w:numId="14">
    <w:abstractNumId w:val="48"/>
  </w:num>
  <w:num w:numId="15">
    <w:abstractNumId w:val="46"/>
  </w:num>
  <w:num w:numId="16">
    <w:abstractNumId w:val="19"/>
  </w:num>
  <w:num w:numId="17">
    <w:abstractNumId w:val="39"/>
  </w:num>
  <w:num w:numId="18">
    <w:abstractNumId w:val="50"/>
  </w:num>
  <w:num w:numId="19">
    <w:abstractNumId w:val="16"/>
  </w:num>
  <w:num w:numId="20">
    <w:abstractNumId w:val="58"/>
  </w:num>
  <w:num w:numId="21">
    <w:abstractNumId w:val="33"/>
  </w:num>
  <w:num w:numId="22">
    <w:abstractNumId w:val="18"/>
  </w:num>
  <w:num w:numId="23">
    <w:abstractNumId w:val="37"/>
  </w:num>
  <w:num w:numId="24">
    <w:abstractNumId w:val="6"/>
  </w:num>
  <w:num w:numId="25">
    <w:abstractNumId w:val="1"/>
  </w:num>
  <w:num w:numId="26">
    <w:abstractNumId w:val="53"/>
  </w:num>
  <w:num w:numId="27">
    <w:abstractNumId w:val="13"/>
  </w:num>
  <w:num w:numId="28">
    <w:abstractNumId w:val="59"/>
  </w:num>
  <w:num w:numId="29">
    <w:abstractNumId w:val="21"/>
  </w:num>
  <w:num w:numId="30">
    <w:abstractNumId w:val="25"/>
  </w:num>
  <w:num w:numId="31">
    <w:abstractNumId w:val="10"/>
  </w:num>
  <w:num w:numId="32">
    <w:abstractNumId w:val="15"/>
  </w:num>
  <w:num w:numId="33">
    <w:abstractNumId w:val="51"/>
    <w:lvlOverride w:ilvl="0">
      <w:startOverride w:val="1"/>
    </w:lvlOverride>
  </w:num>
  <w:num w:numId="34">
    <w:abstractNumId w:val="9"/>
  </w:num>
  <w:num w:numId="35">
    <w:abstractNumId w:val="26"/>
  </w:num>
  <w:num w:numId="36">
    <w:abstractNumId w:val="12"/>
  </w:num>
  <w:num w:numId="37">
    <w:abstractNumId w:val="32"/>
  </w:num>
  <w:num w:numId="38">
    <w:abstractNumId w:val="4"/>
  </w:num>
  <w:num w:numId="39">
    <w:abstractNumId w:val="27"/>
  </w:num>
  <w:num w:numId="40">
    <w:abstractNumId w:val="22"/>
  </w:num>
  <w:num w:numId="41">
    <w:abstractNumId w:val="7"/>
  </w:num>
  <w:num w:numId="42">
    <w:abstractNumId w:val="36"/>
  </w:num>
  <w:num w:numId="43">
    <w:abstractNumId w:val="8"/>
  </w:num>
  <w:num w:numId="44">
    <w:abstractNumId w:val="60"/>
  </w:num>
  <w:num w:numId="45">
    <w:abstractNumId w:val="62"/>
  </w:num>
  <w:num w:numId="46">
    <w:abstractNumId w:val="11"/>
  </w:num>
  <w:num w:numId="47">
    <w:abstractNumId w:val="51"/>
    <w:lvlOverride w:ilvl="0">
      <w:startOverride w:val="1"/>
    </w:lvlOverride>
  </w:num>
  <w:num w:numId="48">
    <w:abstractNumId w:val="47"/>
  </w:num>
  <w:num w:numId="49">
    <w:abstractNumId w:val="31"/>
  </w:num>
  <w:num w:numId="50">
    <w:abstractNumId w:val="3"/>
  </w:num>
  <w:num w:numId="51">
    <w:abstractNumId w:val="30"/>
  </w:num>
  <w:num w:numId="52">
    <w:abstractNumId w:val="43"/>
  </w:num>
  <w:num w:numId="53">
    <w:abstractNumId w:val="44"/>
  </w:num>
  <w:num w:numId="54">
    <w:abstractNumId w:val="17"/>
  </w:num>
  <w:num w:numId="55">
    <w:abstractNumId w:val="0"/>
  </w:num>
  <w:num w:numId="56">
    <w:abstractNumId w:val="51"/>
    <w:lvlOverride w:ilvl="0">
      <w:startOverride w:val="1"/>
    </w:lvlOverride>
  </w:num>
  <w:num w:numId="57">
    <w:abstractNumId w:val="20"/>
  </w:num>
  <w:num w:numId="58">
    <w:abstractNumId w:val="51"/>
    <w:lvlOverride w:ilvl="0">
      <w:startOverride w:val="1"/>
    </w:lvlOverride>
  </w:num>
  <w:num w:numId="59">
    <w:abstractNumId w:val="52"/>
  </w:num>
  <w:num w:numId="60">
    <w:abstractNumId w:val="51"/>
    <w:lvlOverride w:ilvl="0">
      <w:startOverride w:val="1"/>
    </w:lvlOverride>
  </w:num>
  <w:num w:numId="61">
    <w:abstractNumId w:val="23"/>
  </w:num>
  <w:num w:numId="62">
    <w:abstractNumId w:val="55"/>
  </w:num>
  <w:num w:numId="63">
    <w:abstractNumId w:val="34"/>
  </w:num>
  <w:num w:numId="64">
    <w:abstractNumId w:val="38"/>
  </w:num>
  <w:num w:numId="65">
    <w:abstractNumId w:val="14"/>
  </w:num>
  <w:num w:numId="66">
    <w:abstractNumId w:val="51"/>
    <w:lvlOverride w:ilvl="0">
      <w:startOverride w:val="1"/>
    </w:lvlOverride>
  </w:num>
  <w:num w:numId="67">
    <w:abstractNumId w:val="51"/>
    <w:lvlOverride w:ilvl="0">
      <w:startOverride w:val="1"/>
    </w:lvlOverride>
  </w:num>
  <w:num w:numId="68">
    <w:abstractNumId w:val="40"/>
  </w:num>
  <w:num w:numId="69">
    <w:abstractNumId w:val="42"/>
  </w:num>
  <w:num w:numId="70">
    <w:abstractNumId w:val="41"/>
  </w:num>
  <w:num w:numId="71">
    <w:abstractNumId w:val="5"/>
  </w:num>
  <w:num w:numId="72">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hideSpellingErrors/>
  <w:hideGrammaticalErrors/>
  <w:proofState w:spelling="clean" w:grammar="clean"/>
  <w:attachedTemplate r:id="rId1"/>
  <w:defaultTabStop w:val="720"/>
  <w:evenAndOddHeaders/>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AC"/>
    <w:rsid w:val="00000153"/>
    <w:rsid w:val="000025D5"/>
    <w:rsid w:val="00004333"/>
    <w:rsid w:val="00004CE4"/>
    <w:rsid w:val="00005E29"/>
    <w:rsid w:val="00005F50"/>
    <w:rsid w:val="00007854"/>
    <w:rsid w:val="00007B03"/>
    <w:rsid w:val="00010496"/>
    <w:rsid w:val="000120C5"/>
    <w:rsid w:val="00012F6D"/>
    <w:rsid w:val="000140D3"/>
    <w:rsid w:val="00014421"/>
    <w:rsid w:val="000161DE"/>
    <w:rsid w:val="0001701D"/>
    <w:rsid w:val="000209D0"/>
    <w:rsid w:val="000228E7"/>
    <w:rsid w:val="00022CF4"/>
    <w:rsid w:val="00024FB3"/>
    <w:rsid w:val="0002571F"/>
    <w:rsid w:val="000267FC"/>
    <w:rsid w:val="00027A32"/>
    <w:rsid w:val="000312A0"/>
    <w:rsid w:val="000322C2"/>
    <w:rsid w:val="0003239E"/>
    <w:rsid w:val="000325FB"/>
    <w:rsid w:val="00034F19"/>
    <w:rsid w:val="00035159"/>
    <w:rsid w:val="000366AC"/>
    <w:rsid w:val="00037677"/>
    <w:rsid w:val="00037B8C"/>
    <w:rsid w:val="0004015F"/>
    <w:rsid w:val="0004022C"/>
    <w:rsid w:val="00040AAA"/>
    <w:rsid w:val="0004258C"/>
    <w:rsid w:val="00043ABD"/>
    <w:rsid w:val="00043CA2"/>
    <w:rsid w:val="00050FE6"/>
    <w:rsid w:val="00051531"/>
    <w:rsid w:val="00052762"/>
    <w:rsid w:val="00052CB7"/>
    <w:rsid w:val="000541F6"/>
    <w:rsid w:val="000547F7"/>
    <w:rsid w:val="000561C5"/>
    <w:rsid w:val="000577E6"/>
    <w:rsid w:val="00061093"/>
    <w:rsid w:val="00062FA6"/>
    <w:rsid w:val="00064764"/>
    <w:rsid w:val="00065897"/>
    <w:rsid w:val="00065B37"/>
    <w:rsid w:val="000662DC"/>
    <w:rsid w:val="000663E4"/>
    <w:rsid w:val="000666E9"/>
    <w:rsid w:val="00066C8B"/>
    <w:rsid w:val="000672C0"/>
    <w:rsid w:val="000708D5"/>
    <w:rsid w:val="00070E92"/>
    <w:rsid w:val="00070E9E"/>
    <w:rsid w:val="000727B7"/>
    <w:rsid w:val="00074EAB"/>
    <w:rsid w:val="00075298"/>
    <w:rsid w:val="00075C2E"/>
    <w:rsid w:val="0007721A"/>
    <w:rsid w:val="00077413"/>
    <w:rsid w:val="00080AC5"/>
    <w:rsid w:val="00081844"/>
    <w:rsid w:val="00081A0B"/>
    <w:rsid w:val="00081C86"/>
    <w:rsid w:val="00081E07"/>
    <w:rsid w:val="0008347E"/>
    <w:rsid w:val="00084EF4"/>
    <w:rsid w:val="00086CB4"/>
    <w:rsid w:val="0009010F"/>
    <w:rsid w:val="00090A8A"/>
    <w:rsid w:val="00090B3F"/>
    <w:rsid w:val="00091B76"/>
    <w:rsid w:val="00093395"/>
    <w:rsid w:val="00094820"/>
    <w:rsid w:val="00094B08"/>
    <w:rsid w:val="00097F41"/>
    <w:rsid w:val="000A1D32"/>
    <w:rsid w:val="000A3249"/>
    <w:rsid w:val="000A3DD8"/>
    <w:rsid w:val="000A428A"/>
    <w:rsid w:val="000A4AAB"/>
    <w:rsid w:val="000A4F0D"/>
    <w:rsid w:val="000B042E"/>
    <w:rsid w:val="000B1A75"/>
    <w:rsid w:val="000B3475"/>
    <w:rsid w:val="000B407A"/>
    <w:rsid w:val="000B4F23"/>
    <w:rsid w:val="000B502F"/>
    <w:rsid w:val="000B5080"/>
    <w:rsid w:val="000B5844"/>
    <w:rsid w:val="000B6397"/>
    <w:rsid w:val="000B6E1F"/>
    <w:rsid w:val="000B70F2"/>
    <w:rsid w:val="000B7D3B"/>
    <w:rsid w:val="000C0433"/>
    <w:rsid w:val="000C1C23"/>
    <w:rsid w:val="000C3374"/>
    <w:rsid w:val="000C3730"/>
    <w:rsid w:val="000C3C37"/>
    <w:rsid w:val="000C54A7"/>
    <w:rsid w:val="000C5806"/>
    <w:rsid w:val="000C6C70"/>
    <w:rsid w:val="000D06B5"/>
    <w:rsid w:val="000D1594"/>
    <w:rsid w:val="000D1B8A"/>
    <w:rsid w:val="000D289E"/>
    <w:rsid w:val="000D6A21"/>
    <w:rsid w:val="000D6DEF"/>
    <w:rsid w:val="000D7280"/>
    <w:rsid w:val="000D7440"/>
    <w:rsid w:val="000D7CE5"/>
    <w:rsid w:val="000E0B41"/>
    <w:rsid w:val="000E0D47"/>
    <w:rsid w:val="000E317F"/>
    <w:rsid w:val="000E3219"/>
    <w:rsid w:val="000E33CD"/>
    <w:rsid w:val="000E53DA"/>
    <w:rsid w:val="000E555F"/>
    <w:rsid w:val="000E73A8"/>
    <w:rsid w:val="000F1857"/>
    <w:rsid w:val="000F1F7C"/>
    <w:rsid w:val="000F2220"/>
    <w:rsid w:val="000F2C2A"/>
    <w:rsid w:val="000F37E6"/>
    <w:rsid w:val="000F4BC3"/>
    <w:rsid w:val="000F670D"/>
    <w:rsid w:val="000F6716"/>
    <w:rsid w:val="000F723F"/>
    <w:rsid w:val="000F7804"/>
    <w:rsid w:val="001000AA"/>
    <w:rsid w:val="0010221E"/>
    <w:rsid w:val="00102378"/>
    <w:rsid w:val="001025D1"/>
    <w:rsid w:val="0010271A"/>
    <w:rsid w:val="00102E40"/>
    <w:rsid w:val="00103979"/>
    <w:rsid w:val="00103A84"/>
    <w:rsid w:val="0010438C"/>
    <w:rsid w:val="00105E99"/>
    <w:rsid w:val="00106558"/>
    <w:rsid w:val="0010655E"/>
    <w:rsid w:val="00107F3E"/>
    <w:rsid w:val="001107EF"/>
    <w:rsid w:val="001130AC"/>
    <w:rsid w:val="00113929"/>
    <w:rsid w:val="00114E90"/>
    <w:rsid w:val="00114F84"/>
    <w:rsid w:val="001163CD"/>
    <w:rsid w:val="00117108"/>
    <w:rsid w:val="0012003F"/>
    <w:rsid w:val="00120788"/>
    <w:rsid w:val="00121ECE"/>
    <w:rsid w:val="0012207D"/>
    <w:rsid w:val="001234EA"/>
    <w:rsid w:val="00123792"/>
    <w:rsid w:val="00123BFB"/>
    <w:rsid w:val="00126251"/>
    <w:rsid w:val="001262AB"/>
    <w:rsid w:val="001268F7"/>
    <w:rsid w:val="001312A0"/>
    <w:rsid w:val="00132649"/>
    <w:rsid w:val="001346D5"/>
    <w:rsid w:val="00134C11"/>
    <w:rsid w:val="00135C33"/>
    <w:rsid w:val="00136507"/>
    <w:rsid w:val="00136E15"/>
    <w:rsid w:val="0013756B"/>
    <w:rsid w:val="00137600"/>
    <w:rsid w:val="00137E95"/>
    <w:rsid w:val="00140D20"/>
    <w:rsid w:val="00140F6E"/>
    <w:rsid w:val="00141374"/>
    <w:rsid w:val="00141D77"/>
    <w:rsid w:val="00141F01"/>
    <w:rsid w:val="001436E5"/>
    <w:rsid w:val="001447A0"/>
    <w:rsid w:val="0014555F"/>
    <w:rsid w:val="00146E73"/>
    <w:rsid w:val="0014702B"/>
    <w:rsid w:val="00147274"/>
    <w:rsid w:val="00147B13"/>
    <w:rsid w:val="00147F69"/>
    <w:rsid w:val="00150DB4"/>
    <w:rsid w:val="00152419"/>
    <w:rsid w:val="001546BB"/>
    <w:rsid w:val="00155BE2"/>
    <w:rsid w:val="00157D6F"/>
    <w:rsid w:val="00161932"/>
    <w:rsid w:val="00164235"/>
    <w:rsid w:val="0016555F"/>
    <w:rsid w:val="0016597F"/>
    <w:rsid w:val="00165ACB"/>
    <w:rsid w:val="00165D31"/>
    <w:rsid w:val="00166AB8"/>
    <w:rsid w:val="001670C2"/>
    <w:rsid w:val="0017039B"/>
    <w:rsid w:val="001715E1"/>
    <w:rsid w:val="001732D6"/>
    <w:rsid w:val="00173391"/>
    <w:rsid w:val="00173824"/>
    <w:rsid w:val="00173DF0"/>
    <w:rsid w:val="001744B6"/>
    <w:rsid w:val="00175180"/>
    <w:rsid w:val="00175FBF"/>
    <w:rsid w:val="00176054"/>
    <w:rsid w:val="001779AF"/>
    <w:rsid w:val="00177B65"/>
    <w:rsid w:val="00180B60"/>
    <w:rsid w:val="00180E14"/>
    <w:rsid w:val="00182595"/>
    <w:rsid w:val="001825D7"/>
    <w:rsid w:val="00182E9A"/>
    <w:rsid w:val="00183126"/>
    <w:rsid w:val="0018446C"/>
    <w:rsid w:val="00186F6C"/>
    <w:rsid w:val="0018719D"/>
    <w:rsid w:val="00192802"/>
    <w:rsid w:val="00192B13"/>
    <w:rsid w:val="0019340E"/>
    <w:rsid w:val="00194506"/>
    <w:rsid w:val="00195563"/>
    <w:rsid w:val="001A02A4"/>
    <w:rsid w:val="001A186D"/>
    <w:rsid w:val="001A1C55"/>
    <w:rsid w:val="001A594B"/>
    <w:rsid w:val="001A6D37"/>
    <w:rsid w:val="001A6E60"/>
    <w:rsid w:val="001A7230"/>
    <w:rsid w:val="001A7C64"/>
    <w:rsid w:val="001B18CE"/>
    <w:rsid w:val="001B1E37"/>
    <w:rsid w:val="001B1FDF"/>
    <w:rsid w:val="001B57C7"/>
    <w:rsid w:val="001B5CE7"/>
    <w:rsid w:val="001B658B"/>
    <w:rsid w:val="001C0AB1"/>
    <w:rsid w:val="001C0AD0"/>
    <w:rsid w:val="001C2722"/>
    <w:rsid w:val="001C27BF"/>
    <w:rsid w:val="001C344B"/>
    <w:rsid w:val="001C4FAC"/>
    <w:rsid w:val="001C5388"/>
    <w:rsid w:val="001C53F2"/>
    <w:rsid w:val="001C6AD7"/>
    <w:rsid w:val="001C7715"/>
    <w:rsid w:val="001C7BA9"/>
    <w:rsid w:val="001D1BCB"/>
    <w:rsid w:val="001D1D26"/>
    <w:rsid w:val="001D24AA"/>
    <w:rsid w:val="001D26AC"/>
    <w:rsid w:val="001D2EA6"/>
    <w:rsid w:val="001D4553"/>
    <w:rsid w:val="001D4623"/>
    <w:rsid w:val="001D4659"/>
    <w:rsid w:val="001D491D"/>
    <w:rsid w:val="001D4F78"/>
    <w:rsid w:val="001D65DB"/>
    <w:rsid w:val="001D77B3"/>
    <w:rsid w:val="001D77BC"/>
    <w:rsid w:val="001E0962"/>
    <w:rsid w:val="001E1244"/>
    <w:rsid w:val="001E1BB6"/>
    <w:rsid w:val="001E2260"/>
    <w:rsid w:val="001E2C08"/>
    <w:rsid w:val="001E2FB7"/>
    <w:rsid w:val="001E408F"/>
    <w:rsid w:val="001E4A2D"/>
    <w:rsid w:val="001E5518"/>
    <w:rsid w:val="001E5CE1"/>
    <w:rsid w:val="001E7047"/>
    <w:rsid w:val="001F0092"/>
    <w:rsid w:val="001F2A80"/>
    <w:rsid w:val="001F2D0F"/>
    <w:rsid w:val="001F46A6"/>
    <w:rsid w:val="001F766E"/>
    <w:rsid w:val="00200B41"/>
    <w:rsid w:val="002029BA"/>
    <w:rsid w:val="00202CDF"/>
    <w:rsid w:val="00202F2A"/>
    <w:rsid w:val="002048D9"/>
    <w:rsid w:val="0020754F"/>
    <w:rsid w:val="002126C6"/>
    <w:rsid w:val="00213141"/>
    <w:rsid w:val="00213A28"/>
    <w:rsid w:val="00213A91"/>
    <w:rsid w:val="00213E85"/>
    <w:rsid w:val="00214346"/>
    <w:rsid w:val="00216824"/>
    <w:rsid w:val="00216C12"/>
    <w:rsid w:val="00217425"/>
    <w:rsid w:val="0021753F"/>
    <w:rsid w:val="00221A4B"/>
    <w:rsid w:val="00221A5A"/>
    <w:rsid w:val="00221E2A"/>
    <w:rsid w:val="00223058"/>
    <w:rsid w:val="0022327D"/>
    <w:rsid w:val="00224F64"/>
    <w:rsid w:val="00227136"/>
    <w:rsid w:val="00227433"/>
    <w:rsid w:val="002277A7"/>
    <w:rsid w:val="00230083"/>
    <w:rsid w:val="002307F1"/>
    <w:rsid w:val="002322E9"/>
    <w:rsid w:val="00232F8A"/>
    <w:rsid w:val="00233AE8"/>
    <w:rsid w:val="002354AC"/>
    <w:rsid w:val="002359B6"/>
    <w:rsid w:val="002367A2"/>
    <w:rsid w:val="00237039"/>
    <w:rsid w:val="00237790"/>
    <w:rsid w:val="00237B70"/>
    <w:rsid w:val="002406AD"/>
    <w:rsid w:val="0024247A"/>
    <w:rsid w:val="00242560"/>
    <w:rsid w:val="00243A1A"/>
    <w:rsid w:val="00244C4F"/>
    <w:rsid w:val="00244E40"/>
    <w:rsid w:val="00245999"/>
    <w:rsid w:val="00245ECB"/>
    <w:rsid w:val="00246884"/>
    <w:rsid w:val="0025084F"/>
    <w:rsid w:val="00250F15"/>
    <w:rsid w:val="00251908"/>
    <w:rsid w:val="00251C4D"/>
    <w:rsid w:val="00252B31"/>
    <w:rsid w:val="00252DC2"/>
    <w:rsid w:val="002570EE"/>
    <w:rsid w:val="00257363"/>
    <w:rsid w:val="002579D6"/>
    <w:rsid w:val="0026051F"/>
    <w:rsid w:val="00264B4E"/>
    <w:rsid w:val="00267C90"/>
    <w:rsid w:val="00270269"/>
    <w:rsid w:val="00270ED1"/>
    <w:rsid w:val="00271DEB"/>
    <w:rsid w:val="00272B20"/>
    <w:rsid w:val="002738A9"/>
    <w:rsid w:val="00273E70"/>
    <w:rsid w:val="00274EB3"/>
    <w:rsid w:val="00280953"/>
    <w:rsid w:val="00282203"/>
    <w:rsid w:val="0028230B"/>
    <w:rsid w:val="00282413"/>
    <w:rsid w:val="0028272C"/>
    <w:rsid w:val="002844F7"/>
    <w:rsid w:val="00284FE1"/>
    <w:rsid w:val="00286697"/>
    <w:rsid w:val="0029134F"/>
    <w:rsid w:val="002947CF"/>
    <w:rsid w:val="00294BCA"/>
    <w:rsid w:val="00294FA6"/>
    <w:rsid w:val="00296907"/>
    <w:rsid w:val="0029767A"/>
    <w:rsid w:val="002A0915"/>
    <w:rsid w:val="002A0E65"/>
    <w:rsid w:val="002A14ED"/>
    <w:rsid w:val="002A26E2"/>
    <w:rsid w:val="002A29AF"/>
    <w:rsid w:val="002A2A2C"/>
    <w:rsid w:val="002A2B41"/>
    <w:rsid w:val="002A4871"/>
    <w:rsid w:val="002A4EF6"/>
    <w:rsid w:val="002A6027"/>
    <w:rsid w:val="002A70ED"/>
    <w:rsid w:val="002B02CC"/>
    <w:rsid w:val="002B0BA1"/>
    <w:rsid w:val="002B1003"/>
    <w:rsid w:val="002B21EA"/>
    <w:rsid w:val="002B26FC"/>
    <w:rsid w:val="002B3FEF"/>
    <w:rsid w:val="002B4132"/>
    <w:rsid w:val="002B54C3"/>
    <w:rsid w:val="002C2651"/>
    <w:rsid w:val="002C2E23"/>
    <w:rsid w:val="002C3E0F"/>
    <w:rsid w:val="002C3F6D"/>
    <w:rsid w:val="002C48C5"/>
    <w:rsid w:val="002C4A32"/>
    <w:rsid w:val="002C505F"/>
    <w:rsid w:val="002C6C05"/>
    <w:rsid w:val="002C781F"/>
    <w:rsid w:val="002D0488"/>
    <w:rsid w:val="002D08C3"/>
    <w:rsid w:val="002D1B14"/>
    <w:rsid w:val="002D235E"/>
    <w:rsid w:val="002D38FF"/>
    <w:rsid w:val="002D394D"/>
    <w:rsid w:val="002D5545"/>
    <w:rsid w:val="002D68E9"/>
    <w:rsid w:val="002D69C3"/>
    <w:rsid w:val="002D78B8"/>
    <w:rsid w:val="002D7AAB"/>
    <w:rsid w:val="002E474B"/>
    <w:rsid w:val="002E565D"/>
    <w:rsid w:val="002E5E71"/>
    <w:rsid w:val="002E692E"/>
    <w:rsid w:val="002F0A95"/>
    <w:rsid w:val="002F265C"/>
    <w:rsid w:val="002F36D9"/>
    <w:rsid w:val="002F4441"/>
    <w:rsid w:val="002F4513"/>
    <w:rsid w:val="002F471E"/>
    <w:rsid w:val="002F5BD7"/>
    <w:rsid w:val="002F7042"/>
    <w:rsid w:val="002F7B38"/>
    <w:rsid w:val="0030114B"/>
    <w:rsid w:val="00302C92"/>
    <w:rsid w:val="003037A2"/>
    <w:rsid w:val="00304684"/>
    <w:rsid w:val="00304E76"/>
    <w:rsid w:val="00306FF4"/>
    <w:rsid w:val="00307A5C"/>
    <w:rsid w:val="00307BC3"/>
    <w:rsid w:val="003101EC"/>
    <w:rsid w:val="0031264E"/>
    <w:rsid w:val="00312781"/>
    <w:rsid w:val="0031356C"/>
    <w:rsid w:val="003136F4"/>
    <w:rsid w:val="00313889"/>
    <w:rsid w:val="00313EAC"/>
    <w:rsid w:val="00314333"/>
    <w:rsid w:val="003154C7"/>
    <w:rsid w:val="003158AC"/>
    <w:rsid w:val="00316913"/>
    <w:rsid w:val="003203F2"/>
    <w:rsid w:val="00323672"/>
    <w:rsid w:val="00323ACC"/>
    <w:rsid w:val="003243A3"/>
    <w:rsid w:val="00325A5A"/>
    <w:rsid w:val="00326B26"/>
    <w:rsid w:val="00327424"/>
    <w:rsid w:val="00327DD2"/>
    <w:rsid w:val="0033098C"/>
    <w:rsid w:val="003316C0"/>
    <w:rsid w:val="003321AA"/>
    <w:rsid w:val="003336A6"/>
    <w:rsid w:val="00333EF1"/>
    <w:rsid w:val="003351E2"/>
    <w:rsid w:val="00335800"/>
    <w:rsid w:val="00335D19"/>
    <w:rsid w:val="00336EAC"/>
    <w:rsid w:val="00337167"/>
    <w:rsid w:val="003374C0"/>
    <w:rsid w:val="003375FA"/>
    <w:rsid w:val="0033788B"/>
    <w:rsid w:val="00337BD9"/>
    <w:rsid w:val="00340215"/>
    <w:rsid w:val="003402D0"/>
    <w:rsid w:val="00341AC1"/>
    <w:rsid w:val="0034347C"/>
    <w:rsid w:val="00343876"/>
    <w:rsid w:val="0035086F"/>
    <w:rsid w:val="00350FB7"/>
    <w:rsid w:val="00351674"/>
    <w:rsid w:val="003553EB"/>
    <w:rsid w:val="00355DD1"/>
    <w:rsid w:val="00356D02"/>
    <w:rsid w:val="00360023"/>
    <w:rsid w:val="00360D95"/>
    <w:rsid w:val="00360F76"/>
    <w:rsid w:val="003612DF"/>
    <w:rsid w:val="0036285B"/>
    <w:rsid w:val="003629AB"/>
    <w:rsid w:val="00362E40"/>
    <w:rsid w:val="003630A8"/>
    <w:rsid w:val="003633C4"/>
    <w:rsid w:val="003643AE"/>
    <w:rsid w:val="00364472"/>
    <w:rsid w:val="00365900"/>
    <w:rsid w:val="0036637F"/>
    <w:rsid w:val="0036693C"/>
    <w:rsid w:val="00370629"/>
    <w:rsid w:val="003709E5"/>
    <w:rsid w:val="00371CA0"/>
    <w:rsid w:val="00371CA8"/>
    <w:rsid w:val="00373054"/>
    <w:rsid w:val="00373CC5"/>
    <w:rsid w:val="003741E7"/>
    <w:rsid w:val="0037476F"/>
    <w:rsid w:val="00374AD3"/>
    <w:rsid w:val="00375338"/>
    <w:rsid w:val="003756BD"/>
    <w:rsid w:val="00376473"/>
    <w:rsid w:val="00376E4F"/>
    <w:rsid w:val="00377489"/>
    <w:rsid w:val="00377EA9"/>
    <w:rsid w:val="003815D1"/>
    <w:rsid w:val="003816CB"/>
    <w:rsid w:val="003829CC"/>
    <w:rsid w:val="0038328A"/>
    <w:rsid w:val="00390354"/>
    <w:rsid w:val="003914AF"/>
    <w:rsid w:val="0039195F"/>
    <w:rsid w:val="00391CDB"/>
    <w:rsid w:val="00392344"/>
    <w:rsid w:val="0039259E"/>
    <w:rsid w:val="0039304A"/>
    <w:rsid w:val="00393289"/>
    <w:rsid w:val="003944D9"/>
    <w:rsid w:val="00394808"/>
    <w:rsid w:val="00395781"/>
    <w:rsid w:val="00395E20"/>
    <w:rsid w:val="003962BF"/>
    <w:rsid w:val="00396322"/>
    <w:rsid w:val="00396EDD"/>
    <w:rsid w:val="00397680"/>
    <w:rsid w:val="003976E5"/>
    <w:rsid w:val="00397AD9"/>
    <w:rsid w:val="003A05DA"/>
    <w:rsid w:val="003A0D24"/>
    <w:rsid w:val="003A1C3B"/>
    <w:rsid w:val="003A482C"/>
    <w:rsid w:val="003B0C5C"/>
    <w:rsid w:val="003B2FC7"/>
    <w:rsid w:val="003B3179"/>
    <w:rsid w:val="003B4729"/>
    <w:rsid w:val="003B5862"/>
    <w:rsid w:val="003B5F49"/>
    <w:rsid w:val="003B6112"/>
    <w:rsid w:val="003B6296"/>
    <w:rsid w:val="003B6DAE"/>
    <w:rsid w:val="003B710F"/>
    <w:rsid w:val="003B7884"/>
    <w:rsid w:val="003B7DE0"/>
    <w:rsid w:val="003C0999"/>
    <w:rsid w:val="003C0E26"/>
    <w:rsid w:val="003C1698"/>
    <w:rsid w:val="003C3292"/>
    <w:rsid w:val="003C4535"/>
    <w:rsid w:val="003C498E"/>
    <w:rsid w:val="003C4C14"/>
    <w:rsid w:val="003C50CE"/>
    <w:rsid w:val="003C5C6A"/>
    <w:rsid w:val="003C7628"/>
    <w:rsid w:val="003C7BC1"/>
    <w:rsid w:val="003C7C87"/>
    <w:rsid w:val="003C7D75"/>
    <w:rsid w:val="003D2497"/>
    <w:rsid w:val="003D5C8F"/>
    <w:rsid w:val="003D71F2"/>
    <w:rsid w:val="003D788E"/>
    <w:rsid w:val="003E0081"/>
    <w:rsid w:val="003E041F"/>
    <w:rsid w:val="003E078A"/>
    <w:rsid w:val="003E23E8"/>
    <w:rsid w:val="003E2528"/>
    <w:rsid w:val="003E364D"/>
    <w:rsid w:val="003E4BAB"/>
    <w:rsid w:val="003E4FC7"/>
    <w:rsid w:val="003E5422"/>
    <w:rsid w:val="003E6345"/>
    <w:rsid w:val="003E6876"/>
    <w:rsid w:val="003F00E0"/>
    <w:rsid w:val="003F22B1"/>
    <w:rsid w:val="003F36B4"/>
    <w:rsid w:val="003F5E6A"/>
    <w:rsid w:val="003F72F9"/>
    <w:rsid w:val="00401412"/>
    <w:rsid w:val="00401D29"/>
    <w:rsid w:val="0040247E"/>
    <w:rsid w:val="004033E0"/>
    <w:rsid w:val="00403D56"/>
    <w:rsid w:val="0040418E"/>
    <w:rsid w:val="00404A54"/>
    <w:rsid w:val="0040581C"/>
    <w:rsid w:val="00406092"/>
    <w:rsid w:val="004118C9"/>
    <w:rsid w:val="00411D6F"/>
    <w:rsid w:val="00413361"/>
    <w:rsid w:val="00413897"/>
    <w:rsid w:val="004153A4"/>
    <w:rsid w:val="0041643B"/>
    <w:rsid w:val="00416D7A"/>
    <w:rsid w:val="00417412"/>
    <w:rsid w:val="00417601"/>
    <w:rsid w:val="00417671"/>
    <w:rsid w:val="00417EBD"/>
    <w:rsid w:val="00417F08"/>
    <w:rsid w:val="00420013"/>
    <w:rsid w:val="00421B72"/>
    <w:rsid w:val="00422025"/>
    <w:rsid w:val="004223BD"/>
    <w:rsid w:val="00422502"/>
    <w:rsid w:val="00422E0D"/>
    <w:rsid w:val="00423498"/>
    <w:rsid w:val="0042389B"/>
    <w:rsid w:val="004249BD"/>
    <w:rsid w:val="00426B43"/>
    <w:rsid w:val="00426B92"/>
    <w:rsid w:val="00426D9F"/>
    <w:rsid w:val="00427036"/>
    <w:rsid w:val="0042737D"/>
    <w:rsid w:val="00427B5C"/>
    <w:rsid w:val="00430179"/>
    <w:rsid w:val="00431813"/>
    <w:rsid w:val="004339FE"/>
    <w:rsid w:val="004345E7"/>
    <w:rsid w:val="004349E0"/>
    <w:rsid w:val="0043551C"/>
    <w:rsid w:val="00437767"/>
    <w:rsid w:val="0044264F"/>
    <w:rsid w:val="00444328"/>
    <w:rsid w:val="004465BA"/>
    <w:rsid w:val="00447FEF"/>
    <w:rsid w:val="004503FA"/>
    <w:rsid w:val="00451D78"/>
    <w:rsid w:val="00452EF1"/>
    <w:rsid w:val="00455021"/>
    <w:rsid w:val="00455218"/>
    <w:rsid w:val="00455E59"/>
    <w:rsid w:val="00456064"/>
    <w:rsid w:val="00456A63"/>
    <w:rsid w:val="00457241"/>
    <w:rsid w:val="00457670"/>
    <w:rsid w:val="004600AE"/>
    <w:rsid w:val="00462239"/>
    <w:rsid w:val="0046278A"/>
    <w:rsid w:val="004643F6"/>
    <w:rsid w:val="0046488F"/>
    <w:rsid w:val="004656EB"/>
    <w:rsid w:val="00466231"/>
    <w:rsid w:val="004665E9"/>
    <w:rsid w:val="004670AC"/>
    <w:rsid w:val="00470D18"/>
    <w:rsid w:val="004712B7"/>
    <w:rsid w:val="004718BE"/>
    <w:rsid w:val="004726ED"/>
    <w:rsid w:val="004740FA"/>
    <w:rsid w:val="0047566D"/>
    <w:rsid w:val="004759A6"/>
    <w:rsid w:val="0047633F"/>
    <w:rsid w:val="004775B2"/>
    <w:rsid w:val="004806FA"/>
    <w:rsid w:val="00480722"/>
    <w:rsid w:val="004825D1"/>
    <w:rsid w:val="00482BA5"/>
    <w:rsid w:val="00482F12"/>
    <w:rsid w:val="0048347B"/>
    <w:rsid w:val="004842C6"/>
    <w:rsid w:val="00484590"/>
    <w:rsid w:val="00484CB3"/>
    <w:rsid w:val="00485B7E"/>
    <w:rsid w:val="0048620D"/>
    <w:rsid w:val="00491587"/>
    <w:rsid w:val="004927A7"/>
    <w:rsid w:val="004930BB"/>
    <w:rsid w:val="00495674"/>
    <w:rsid w:val="004958CA"/>
    <w:rsid w:val="004A1608"/>
    <w:rsid w:val="004A2942"/>
    <w:rsid w:val="004A3188"/>
    <w:rsid w:val="004A32F4"/>
    <w:rsid w:val="004A541E"/>
    <w:rsid w:val="004A5D4C"/>
    <w:rsid w:val="004A6255"/>
    <w:rsid w:val="004B043E"/>
    <w:rsid w:val="004B0D13"/>
    <w:rsid w:val="004B202A"/>
    <w:rsid w:val="004B2864"/>
    <w:rsid w:val="004B31C5"/>
    <w:rsid w:val="004B4149"/>
    <w:rsid w:val="004B487D"/>
    <w:rsid w:val="004B54F0"/>
    <w:rsid w:val="004B6527"/>
    <w:rsid w:val="004B6F83"/>
    <w:rsid w:val="004B76B5"/>
    <w:rsid w:val="004C031B"/>
    <w:rsid w:val="004C04CB"/>
    <w:rsid w:val="004C0BB1"/>
    <w:rsid w:val="004C0BD7"/>
    <w:rsid w:val="004C136D"/>
    <w:rsid w:val="004C3AF0"/>
    <w:rsid w:val="004C3C22"/>
    <w:rsid w:val="004C3C58"/>
    <w:rsid w:val="004C4F3E"/>
    <w:rsid w:val="004C62B3"/>
    <w:rsid w:val="004C6D93"/>
    <w:rsid w:val="004C7038"/>
    <w:rsid w:val="004C7540"/>
    <w:rsid w:val="004D18FD"/>
    <w:rsid w:val="004D1B95"/>
    <w:rsid w:val="004D26B5"/>
    <w:rsid w:val="004D30E6"/>
    <w:rsid w:val="004D3886"/>
    <w:rsid w:val="004D3E2B"/>
    <w:rsid w:val="004D4091"/>
    <w:rsid w:val="004D418D"/>
    <w:rsid w:val="004D4671"/>
    <w:rsid w:val="004D46D7"/>
    <w:rsid w:val="004D6C1D"/>
    <w:rsid w:val="004D7093"/>
    <w:rsid w:val="004D70FE"/>
    <w:rsid w:val="004E017C"/>
    <w:rsid w:val="004E1872"/>
    <w:rsid w:val="004E224F"/>
    <w:rsid w:val="004E26DE"/>
    <w:rsid w:val="004E3104"/>
    <w:rsid w:val="004E4187"/>
    <w:rsid w:val="004E613D"/>
    <w:rsid w:val="004E6158"/>
    <w:rsid w:val="004E6999"/>
    <w:rsid w:val="004E6DF0"/>
    <w:rsid w:val="004E70A1"/>
    <w:rsid w:val="004E751E"/>
    <w:rsid w:val="004F14E4"/>
    <w:rsid w:val="004F16E2"/>
    <w:rsid w:val="004F1EFA"/>
    <w:rsid w:val="004F2351"/>
    <w:rsid w:val="004F2A62"/>
    <w:rsid w:val="004F2D15"/>
    <w:rsid w:val="004F33FD"/>
    <w:rsid w:val="004F5BBE"/>
    <w:rsid w:val="0050026A"/>
    <w:rsid w:val="00500554"/>
    <w:rsid w:val="00500A9D"/>
    <w:rsid w:val="005013B5"/>
    <w:rsid w:val="00501B04"/>
    <w:rsid w:val="00502B76"/>
    <w:rsid w:val="00503E42"/>
    <w:rsid w:val="005042A4"/>
    <w:rsid w:val="00504E31"/>
    <w:rsid w:val="005050FF"/>
    <w:rsid w:val="0050631D"/>
    <w:rsid w:val="00507C35"/>
    <w:rsid w:val="005106C0"/>
    <w:rsid w:val="00510D48"/>
    <w:rsid w:val="00512831"/>
    <w:rsid w:val="00512929"/>
    <w:rsid w:val="00512F94"/>
    <w:rsid w:val="005131E7"/>
    <w:rsid w:val="0051350D"/>
    <w:rsid w:val="00513EDD"/>
    <w:rsid w:val="0051474C"/>
    <w:rsid w:val="005151B0"/>
    <w:rsid w:val="00515D2E"/>
    <w:rsid w:val="0051627E"/>
    <w:rsid w:val="00520ECC"/>
    <w:rsid w:val="00521634"/>
    <w:rsid w:val="0052227C"/>
    <w:rsid w:val="005233C2"/>
    <w:rsid w:val="00523531"/>
    <w:rsid w:val="00523B0D"/>
    <w:rsid w:val="00524C94"/>
    <w:rsid w:val="00525041"/>
    <w:rsid w:val="00525877"/>
    <w:rsid w:val="005265C1"/>
    <w:rsid w:val="005269F0"/>
    <w:rsid w:val="00530072"/>
    <w:rsid w:val="005304CC"/>
    <w:rsid w:val="00532A05"/>
    <w:rsid w:val="00533B16"/>
    <w:rsid w:val="005345FF"/>
    <w:rsid w:val="00541613"/>
    <w:rsid w:val="00541BE0"/>
    <w:rsid w:val="005433AF"/>
    <w:rsid w:val="00543489"/>
    <w:rsid w:val="00543672"/>
    <w:rsid w:val="00544CC4"/>
    <w:rsid w:val="00545927"/>
    <w:rsid w:val="0054689D"/>
    <w:rsid w:val="00546B48"/>
    <w:rsid w:val="00547016"/>
    <w:rsid w:val="00547069"/>
    <w:rsid w:val="00547480"/>
    <w:rsid w:val="005479CB"/>
    <w:rsid w:val="00550253"/>
    <w:rsid w:val="00551219"/>
    <w:rsid w:val="00552630"/>
    <w:rsid w:val="00552885"/>
    <w:rsid w:val="00553851"/>
    <w:rsid w:val="00553D12"/>
    <w:rsid w:val="005554F9"/>
    <w:rsid w:val="00557137"/>
    <w:rsid w:val="0055799D"/>
    <w:rsid w:val="00557A1B"/>
    <w:rsid w:val="0056024E"/>
    <w:rsid w:val="005615BC"/>
    <w:rsid w:val="005616C5"/>
    <w:rsid w:val="0056206E"/>
    <w:rsid w:val="0056239E"/>
    <w:rsid w:val="0056474A"/>
    <w:rsid w:val="00564C0F"/>
    <w:rsid w:val="00565B14"/>
    <w:rsid w:val="00566428"/>
    <w:rsid w:val="00566CC4"/>
    <w:rsid w:val="00567FAC"/>
    <w:rsid w:val="0057089F"/>
    <w:rsid w:val="005714D6"/>
    <w:rsid w:val="005718F0"/>
    <w:rsid w:val="005724F4"/>
    <w:rsid w:val="00573AA6"/>
    <w:rsid w:val="00574131"/>
    <w:rsid w:val="00574D0D"/>
    <w:rsid w:val="00575269"/>
    <w:rsid w:val="005762FE"/>
    <w:rsid w:val="00580886"/>
    <w:rsid w:val="005827E3"/>
    <w:rsid w:val="005829F4"/>
    <w:rsid w:val="005839AB"/>
    <w:rsid w:val="00583E0A"/>
    <w:rsid w:val="005848C5"/>
    <w:rsid w:val="00584960"/>
    <w:rsid w:val="00584EEB"/>
    <w:rsid w:val="00584EF4"/>
    <w:rsid w:val="005852E3"/>
    <w:rsid w:val="00585DD6"/>
    <w:rsid w:val="005866EE"/>
    <w:rsid w:val="00587E84"/>
    <w:rsid w:val="00590D44"/>
    <w:rsid w:val="005928B9"/>
    <w:rsid w:val="0059341C"/>
    <w:rsid w:val="0059350C"/>
    <w:rsid w:val="00593B0B"/>
    <w:rsid w:val="005941AC"/>
    <w:rsid w:val="00594324"/>
    <w:rsid w:val="005966D0"/>
    <w:rsid w:val="00596C82"/>
    <w:rsid w:val="005A1CD1"/>
    <w:rsid w:val="005A3FE8"/>
    <w:rsid w:val="005A4A29"/>
    <w:rsid w:val="005A601A"/>
    <w:rsid w:val="005A698A"/>
    <w:rsid w:val="005A6A00"/>
    <w:rsid w:val="005A6F51"/>
    <w:rsid w:val="005B0A7C"/>
    <w:rsid w:val="005B12B9"/>
    <w:rsid w:val="005B1BC8"/>
    <w:rsid w:val="005B1D23"/>
    <w:rsid w:val="005B1F84"/>
    <w:rsid w:val="005B2F54"/>
    <w:rsid w:val="005B2FBA"/>
    <w:rsid w:val="005B3016"/>
    <w:rsid w:val="005B3509"/>
    <w:rsid w:val="005B398B"/>
    <w:rsid w:val="005B3EA0"/>
    <w:rsid w:val="005B3F12"/>
    <w:rsid w:val="005B4B40"/>
    <w:rsid w:val="005B50CF"/>
    <w:rsid w:val="005B5124"/>
    <w:rsid w:val="005B55ED"/>
    <w:rsid w:val="005B574A"/>
    <w:rsid w:val="005B5820"/>
    <w:rsid w:val="005B5BD0"/>
    <w:rsid w:val="005B772E"/>
    <w:rsid w:val="005C00E8"/>
    <w:rsid w:val="005C22B1"/>
    <w:rsid w:val="005C34CA"/>
    <w:rsid w:val="005C472A"/>
    <w:rsid w:val="005C5EC7"/>
    <w:rsid w:val="005C65F6"/>
    <w:rsid w:val="005D1C4E"/>
    <w:rsid w:val="005D44CA"/>
    <w:rsid w:val="005D48A6"/>
    <w:rsid w:val="005D5CAF"/>
    <w:rsid w:val="005D62EC"/>
    <w:rsid w:val="005D73BF"/>
    <w:rsid w:val="005D78DB"/>
    <w:rsid w:val="005E00DE"/>
    <w:rsid w:val="005E5C4A"/>
    <w:rsid w:val="005E6027"/>
    <w:rsid w:val="005E64E2"/>
    <w:rsid w:val="005F2824"/>
    <w:rsid w:val="005F375D"/>
    <w:rsid w:val="005F384B"/>
    <w:rsid w:val="005F3DC1"/>
    <w:rsid w:val="005F4BD2"/>
    <w:rsid w:val="005F6659"/>
    <w:rsid w:val="005F6D5F"/>
    <w:rsid w:val="005F6D89"/>
    <w:rsid w:val="005F71AF"/>
    <w:rsid w:val="00601A87"/>
    <w:rsid w:val="006030AA"/>
    <w:rsid w:val="00603A22"/>
    <w:rsid w:val="00603CAD"/>
    <w:rsid w:val="00604771"/>
    <w:rsid w:val="00607528"/>
    <w:rsid w:val="00610A79"/>
    <w:rsid w:val="006123C1"/>
    <w:rsid w:val="0061251A"/>
    <w:rsid w:val="00612DE6"/>
    <w:rsid w:val="00615AD5"/>
    <w:rsid w:val="00615D54"/>
    <w:rsid w:val="00617C2B"/>
    <w:rsid w:val="00617E66"/>
    <w:rsid w:val="006206B7"/>
    <w:rsid w:val="00620E56"/>
    <w:rsid w:val="00621956"/>
    <w:rsid w:val="006223A7"/>
    <w:rsid w:val="00622A38"/>
    <w:rsid w:val="00622B48"/>
    <w:rsid w:val="00622F24"/>
    <w:rsid w:val="00623714"/>
    <w:rsid w:val="00623DD1"/>
    <w:rsid w:val="00625914"/>
    <w:rsid w:val="00626AFD"/>
    <w:rsid w:val="006312DE"/>
    <w:rsid w:val="006317FB"/>
    <w:rsid w:val="00631EF1"/>
    <w:rsid w:val="00632091"/>
    <w:rsid w:val="0063381D"/>
    <w:rsid w:val="00633D2B"/>
    <w:rsid w:val="00633DE9"/>
    <w:rsid w:val="00634BCB"/>
    <w:rsid w:val="00634BFE"/>
    <w:rsid w:val="00634F1A"/>
    <w:rsid w:val="0063528A"/>
    <w:rsid w:val="006368C3"/>
    <w:rsid w:val="00637168"/>
    <w:rsid w:val="0064123B"/>
    <w:rsid w:val="00641257"/>
    <w:rsid w:val="00642EC1"/>
    <w:rsid w:val="0064350A"/>
    <w:rsid w:val="00643B7D"/>
    <w:rsid w:val="006447EE"/>
    <w:rsid w:val="00645E3F"/>
    <w:rsid w:val="006465A9"/>
    <w:rsid w:val="00650545"/>
    <w:rsid w:val="00650FD3"/>
    <w:rsid w:val="0065133E"/>
    <w:rsid w:val="00651C8E"/>
    <w:rsid w:val="00654324"/>
    <w:rsid w:val="00654B5B"/>
    <w:rsid w:val="00654F33"/>
    <w:rsid w:val="00657431"/>
    <w:rsid w:val="006579E5"/>
    <w:rsid w:val="00657DAD"/>
    <w:rsid w:val="0066009B"/>
    <w:rsid w:val="0066225A"/>
    <w:rsid w:val="006629E5"/>
    <w:rsid w:val="00662D9C"/>
    <w:rsid w:val="006641EE"/>
    <w:rsid w:val="006665FC"/>
    <w:rsid w:val="00670159"/>
    <w:rsid w:val="0067052F"/>
    <w:rsid w:val="00674914"/>
    <w:rsid w:val="00674FF1"/>
    <w:rsid w:val="00680E59"/>
    <w:rsid w:val="00682704"/>
    <w:rsid w:val="00682961"/>
    <w:rsid w:val="00683276"/>
    <w:rsid w:val="0068431E"/>
    <w:rsid w:val="006855A4"/>
    <w:rsid w:val="0068602E"/>
    <w:rsid w:val="00686F5C"/>
    <w:rsid w:val="0068707D"/>
    <w:rsid w:val="006916F5"/>
    <w:rsid w:val="0069179B"/>
    <w:rsid w:val="006930EB"/>
    <w:rsid w:val="00693269"/>
    <w:rsid w:val="00693A56"/>
    <w:rsid w:val="006948CE"/>
    <w:rsid w:val="00695495"/>
    <w:rsid w:val="006962A6"/>
    <w:rsid w:val="006A053E"/>
    <w:rsid w:val="006A2FB6"/>
    <w:rsid w:val="006A362E"/>
    <w:rsid w:val="006A4182"/>
    <w:rsid w:val="006A4B40"/>
    <w:rsid w:val="006A5D5B"/>
    <w:rsid w:val="006A5D92"/>
    <w:rsid w:val="006A6147"/>
    <w:rsid w:val="006A64E8"/>
    <w:rsid w:val="006A6808"/>
    <w:rsid w:val="006A7C53"/>
    <w:rsid w:val="006B3603"/>
    <w:rsid w:val="006B3C79"/>
    <w:rsid w:val="006B5C2F"/>
    <w:rsid w:val="006B7AA3"/>
    <w:rsid w:val="006C0481"/>
    <w:rsid w:val="006C04A2"/>
    <w:rsid w:val="006C14DE"/>
    <w:rsid w:val="006C3C97"/>
    <w:rsid w:val="006C3E83"/>
    <w:rsid w:val="006C442A"/>
    <w:rsid w:val="006C4D86"/>
    <w:rsid w:val="006D048A"/>
    <w:rsid w:val="006D0D0F"/>
    <w:rsid w:val="006D28FE"/>
    <w:rsid w:val="006D29D0"/>
    <w:rsid w:val="006D5166"/>
    <w:rsid w:val="006D595C"/>
    <w:rsid w:val="006D6148"/>
    <w:rsid w:val="006D6366"/>
    <w:rsid w:val="006E1112"/>
    <w:rsid w:val="006E16D5"/>
    <w:rsid w:val="006E2555"/>
    <w:rsid w:val="006E26A4"/>
    <w:rsid w:val="006E2A19"/>
    <w:rsid w:val="006E3451"/>
    <w:rsid w:val="006E40A8"/>
    <w:rsid w:val="006E442F"/>
    <w:rsid w:val="006E44FE"/>
    <w:rsid w:val="006E4CE9"/>
    <w:rsid w:val="006E592F"/>
    <w:rsid w:val="006E595F"/>
    <w:rsid w:val="006E7183"/>
    <w:rsid w:val="006E7940"/>
    <w:rsid w:val="006E7CCA"/>
    <w:rsid w:val="006F04AF"/>
    <w:rsid w:val="006F19D3"/>
    <w:rsid w:val="006F23BE"/>
    <w:rsid w:val="006F34A4"/>
    <w:rsid w:val="006F462C"/>
    <w:rsid w:val="006F4FF8"/>
    <w:rsid w:val="006F5877"/>
    <w:rsid w:val="006F6140"/>
    <w:rsid w:val="006F6AC8"/>
    <w:rsid w:val="006F6CE8"/>
    <w:rsid w:val="006F7895"/>
    <w:rsid w:val="007008EC"/>
    <w:rsid w:val="00700CBE"/>
    <w:rsid w:val="00701B3C"/>
    <w:rsid w:val="00701D76"/>
    <w:rsid w:val="00704FAA"/>
    <w:rsid w:val="00705DF7"/>
    <w:rsid w:val="00706A98"/>
    <w:rsid w:val="00706C4D"/>
    <w:rsid w:val="00706E56"/>
    <w:rsid w:val="00710147"/>
    <w:rsid w:val="0071086F"/>
    <w:rsid w:val="00710B72"/>
    <w:rsid w:val="00710D39"/>
    <w:rsid w:val="007118DF"/>
    <w:rsid w:val="00713A9F"/>
    <w:rsid w:val="00713BBA"/>
    <w:rsid w:val="0071608B"/>
    <w:rsid w:val="007201ED"/>
    <w:rsid w:val="007201FC"/>
    <w:rsid w:val="007203CA"/>
    <w:rsid w:val="00720F4E"/>
    <w:rsid w:val="007227D5"/>
    <w:rsid w:val="00723BBB"/>
    <w:rsid w:val="00724410"/>
    <w:rsid w:val="00724C2D"/>
    <w:rsid w:val="00725558"/>
    <w:rsid w:val="00725CEE"/>
    <w:rsid w:val="00726A60"/>
    <w:rsid w:val="0072718A"/>
    <w:rsid w:val="00727C37"/>
    <w:rsid w:val="0073185F"/>
    <w:rsid w:val="007321B7"/>
    <w:rsid w:val="00733403"/>
    <w:rsid w:val="00734D3F"/>
    <w:rsid w:val="007356B6"/>
    <w:rsid w:val="00736B08"/>
    <w:rsid w:val="00737002"/>
    <w:rsid w:val="0073762B"/>
    <w:rsid w:val="00741A8F"/>
    <w:rsid w:val="00742CB6"/>
    <w:rsid w:val="007434AE"/>
    <w:rsid w:val="0074668F"/>
    <w:rsid w:val="007469EF"/>
    <w:rsid w:val="00752BAD"/>
    <w:rsid w:val="0075306B"/>
    <w:rsid w:val="00753125"/>
    <w:rsid w:val="00753A31"/>
    <w:rsid w:val="007541CE"/>
    <w:rsid w:val="007543F0"/>
    <w:rsid w:val="00754E60"/>
    <w:rsid w:val="0075500F"/>
    <w:rsid w:val="00755EB5"/>
    <w:rsid w:val="00756262"/>
    <w:rsid w:val="00762B0F"/>
    <w:rsid w:val="0076328E"/>
    <w:rsid w:val="00763614"/>
    <w:rsid w:val="007644BB"/>
    <w:rsid w:val="0076466B"/>
    <w:rsid w:val="00764D45"/>
    <w:rsid w:val="007651FA"/>
    <w:rsid w:val="007660BE"/>
    <w:rsid w:val="00766815"/>
    <w:rsid w:val="0076711B"/>
    <w:rsid w:val="007679DB"/>
    <w:rsid w:val="007701AC"/>
    <w:rsid w:val="00770E1F"/>
    <w:rsid w:val="00771AA9"/>
    <w:rsid w:val="007722D1"/>
    <w:rsid w:val="0077308A"/>
    <w:rsid w:val="007731E2"/>
    <w:rsid w:val="0077441F"/>
    <w:rsid w:val="00775E78"/>
    <w:rsid w:val="00776A74"/>
    <w:rsid w:val="00776C93"/>
    <w:rsid w:val="00776CAC"/>
    <w:rsid w:val="00782AFD"/>
    <w:rsid w:val="00782B93"/>
    <w:rsid w:val="00783B95"/>
    <w:rsid w:val="00783F9E"/>
    <w:rsid w:val="0078466D"/>
    <w:rsid w:val="00784E50"/>
    <w:rsid w:val="00785D3F"/>
    <w:rsid w:val="0078658D"/>
    <w:rsid w:val="00790E04"/>
    <w:rsid w:val="00792451"/>
    <w:rsid w:val="007949D6"/>
    <w:rsid w:val="00795F2C"/>
    <w:rsid w:val="007963D7"/>
    <w:rsid w:val="00796877"/>
    <w:rsid w:val="00797BBD"/>
    <w:rsid w:val="00797E8B"/>
    <w:rsid w:val="007A180C"/>
    <w:rsid w:val="007A29F8"/>
    <w:rsid w:val="007A359F"/>
    <w:rsid w:val="007A369D"/>
    <w:rsid w:val="007A3931"/>
    <w:rsid w:val="007A46ED"/>
    <w:rsid w:val="007A7998"/>
    <w:rsid w:val="007B103F"/>
    <w:rsid w:val="007B1343"/>
    <w:rsid w:val="007B3B97"/>
    <w:rsid w:val="007B3DA1"/>
    <w:rsid w:val="007B4B32"/>
    <w:rsid w:val="007B4EA6"/>
    <w:rsid w:val="007B536D"/>
    <w:rsid w:val="007B59FB"/>
    <w:rsid w:val="007B6D90"/>
    <w:rsid w:val="007C0692"/>
    <w:rsid w:val="007C23BC"/>
    <w:rsid w:val="007C2B7E"/>
    <w:rsid w:val="007C37A5"/>
    <w:rsid w:val="007C4ECF"/>
    <w:rsid w:val="007C521E"/>
    <w:rsid w:val="007C61C1"/>
    <w:rsid w:val="007C6F16"/>
    <w:rsid w:val="007D036F"/>
    <w:rsid w:val="007D18F8"/>
    <w:rsid w:val="007D25AD"/>
    <w:rsid w:val="007D3096"/>
    <w:rsid w:val="007D378F"/>
    <w:rsid w:val="007D49E4"/>
    <w:rsid w:val="007D5358"/>
    <w:rsid w:val="007D5711"/>
    <w:rsid w:val="007D6181"/>
    <w:rsid w:val="007D6A67"/>
    <w:rsid w:val="007D6F09"/>
    <w:rsid w:val="007D74C9"/>
    <w:rsid w:val="007E02F0"/>
    <w:rsid w:val="007E1EA3"/>
    <w:rsid w:val="007E3A67"/>
    <w:rsid w:val="007E57DC"/>
    <w:rsid w:val="007E7827"/>
    <w:rsid w:val="007F19BF"/>
    <w:rsid w:val="007F1B6A"/>
    <w:rsid w:val="007F2AA3"/>
    <w:rsid w:val="007F2F9D"/>
    <w:rsid w:val="007F37F4"/>
    <w:rsid w:val="007F3B78"/>
    <w:rsid w:val="007F4710"/>
    <w:rsid w:val="007F4DD1"/>
    <w:rsid w:val="007F4EF5"/>
    <w:rsid w:val="007F7756"/>
    <w:rsid w:val="00800904"/>
    <w:rsid w:val="00801007"/>
    <w:rsid w:val="00801D0C"/>
    <w:rsid w:val="0080403E"/>
    <w:rsid w:val="008041B6"/>
    <w:rsid w:val="00805D3A"/>
    <w:rsid w:val="008065EC"/>
    <w:rsid w:val="00807A56"/>
    <w:rsid w:val="00807D8E"/>
    <w:rsid w:val="00810DB8"/>
    <w:rsid w:val="00811680"/>
    <w:rsid w:val="00811E3C"/>
    <w:rsid w:val="00812A48"/>
    <w:rsid w:val="00813025"/>
    <w:rsid w:val="008132A9"/>
    <w:rsid w:val="0081460B"/>
    <w:rsid w:val="00814ED2"/>
    <w:rsid w:val="00815915"/>
    <w:rsid w:val="008176BB"/>
    <w:rsid w:val="008220D2"/>
    <w:rsid w:val="0082225F"/>
    <w:rsid w:val="008238C8"/>
    <w:rsid w:val="00824F5A"/>
    <w:rsid w:val="008251FF"/>
    <w:rsid w:val="008252CB"/>
    <w:rsid w:val="0082625D"/>
    <w:rsid w:val="00826E31"/>
    <w:rsid w:val="0082788A"/>
    <w:rsid w:val="0083015C"/>
    <w:rsid w:val="00830B11"/>
    <w:rsid w:val="0083291B"/>
    <w:rsid w:val="00834876"/>
    <w:rsid w:val="00834C3D"/>
    <w:rsid w:val="00835DDC"/>
    <w:rsid w:val="0083641A"/>
    <w:rsid w:val="008379E7"/>
    <w:rsid w:val="00840967"/>
    <w:rsid w:val="0084116E"/>
    <w:rsid w:val="00842C17"/>
    <w:rsid w:val="00845E3E"/>
    <w:rsid w:val="0084653B"/>
    <w:rsid w:val="00846CFA"/>
    <w:rsid w:val="0085031C"/>
    <w:rsid w:val="0085098A"/>
    <w:rsid w:val="00852545"/>
    <w:rsid w:val="00852752"/>
    <w:rsid w:val="00852DD7"/>
    <w:rsid w:val="00852F42"/>
    <w:rsid w:val="008534F9"/>
    <w:rsid w:val="00856095"/>
    <w:rsid w:val="00856817"/>
    <w:rsid w:val="00856B64"/>
    <w:rsid w:val="00857702"/>
    <w:rsid w:val="00857FA3"/>
    <w:rsid w:val="00860508"/>
    <w:rsid w:val="00861611"/>
    <w:rsid w:val="00862687"/>
    <w:rsid w:val="00862A26"/>
    <w:rsid w:val="00863373"/>
    <w:rsid w:val="008637A5"/>
    <w:rsid w:val="0086382B"/>
    <w:rsid w:val="00870182"/>
    <w:rsid w:val="008712FF"/>
    <w:rsid w:val="00871ABA"/>
    <w:rsid w:val="00871C50"/>
    <w:rsid w:val="00873A49"/>
    <w:rsid w:val="00873E3E"/>
    <w:rsid w:val="008745EC"/>
    <w:rsid w:val="008748BA"/>
    <w:rsid w:val="00875F80"/>
    <w:rsid w:val="00876162"/>
    <w:rsid w:val="00881E71"/>
    <w:rsid w:val="008828CE"/>
    <w:rsid w:val="008846DB"/>
    <w:rsid w:val="00885A0A"/>
    <w:rsid w:val="008863D9"/>
    <w:rsid w:val="00886877"/>
    <w:rsid w:val="00887AE8"/>
    <w:rsid w:val="00891ACC"/>
    <w:rsid w:val="00891FFF"/>
    <w:rsid w:val="00892C68"/>
    <w:rsid w:val="00892DA5"/>
    <w:rsid w:val="008966F3"/>
    <w:rsid w:val="00896C2F"/>
    <w:rsid w:val="00897F19"/>
    <w:rsid w:val="008A0393"/>
    <w:rsid w:val="008A0517"/>
    <w:rsid w:val="008A06A4"/>
    <w:rsid w:val="008A06CA"/>
    <w:rsid w:val="008A3361"/>
    <w:rsid w:val="008A37AB"/>
    <w:rsid w:val="008A38A8"/>
    <w:rsid w:val="008A43F2"/>
    <w:rsid w:val="008A53A1"/>
    <w:rsid w:val="008A5F47"/>
    <w:rsid w:val="008A6240"/>
    <w:rsid w:val="008A6813"/>
    <w:rsid w:val="008A753F"/>
    <w:rsid w:val="008B1AFA"/>
    <w:rsid w:val="008B3B86"/>
    <w:rsid w:val="008B5B66"/>
    <w:rsid w:val="008B659A"/>
    <w:rsid w:val="008B6787"/>
    <w:rsid w:val="008B743D"/>
    <w:rsid w:val="008B7A1A"/>
    <w:rsid w:val="008B7C04"/>
    <w:rsid w:val="008C1727"/>
    <w:rsid w:val="008C18A5"/>
    <w:rsid w:val="008C49BA"/>
    <w:rsid w:val="008C521E"/>
    <w:rsid w:val="008C60EB"/>
    <w:rsid w:val="008C7833"/>
    <w:rsid w:val="008D0FEF"/>
    <w:rsid w:val="008D30B9"/>
    <w:rsid w:val="008D3959"/>
    <w:rsid w:val="008D398F"/>
    <w:rsid w:val="008D4221"/>
    <w:rsid w:val="008D4F63"/>
    <w:rsid w:val="008D4F88"/>
    <w:rsid w:val="008D6A75"/>
    <w:rsid w:val="008D7E8F"/>
    <w:rsid w:val="008E15E2"/>
    <w:rsid w:val="008E1967"/>
    <w:rsid w:val="008E21C1"/>
    <w:rsid w:val="008E235E"/>
    <w:rsid w:val="008E25FD"/>
    <w:rsid w:val="008E3678"/>
    <w:rsid w:val="008E5218"/>
    <w:rsid w:val="008E52F8"/>
    <w:rsid w:val="008E728F"/>
    <w:rsid w:val="008F00FF"/>
    <w:rsid w:val="008F1DD5"/>
    <w:rsid w:val="008F1F4D"/>
    <w:rsid w:val="008F2DBE"/>
    <w:rsid w:val="008F4215"/>
    <w:rsid w:val="008F48B7"/>
    <w:rsid w:val="008F4BAD"/>
    <w:rsid w:val="008F6E0F"/>
    <w:rsid w:val="008F6E4B"/>
    <w:rsid w:val="008F754F"/>
    <w:rsid w:val="008F7CDB"/>
    <w:rsid w:val="0090206F"/>
    <w:rsid w:val="009039A2"/>
    <w:rsid w:val="009111C4"/>
    <w:rsid w:val="0091271A"/>
    <w:rsid w:val="009138A0"/>
    <w:rsid w:val="00913A7A"/>
    <w:rsid w:val="00914885"/>
    <w:rsid w:val="00914A3E"/>
    <w:rsid w:val="009155F0"/>
    <w:rsid w:val="009157A4"/>
    <w:rsid w:val="00915B6E"/>
    <w:rsid w:val="0091673C"/>
    <w:rsid w:val="00916763"/>
    <w:rsid w:val="00917B90"/>
    <w:rsid w:val="009221CF"/>
    <w:rsid w:val="009223F8"/>
    <w:rsid w:val="00922ECB"/>
    <w:rsid w:val="00923609"/>
    <w:rsid w:val="00924840"/>
    <w:rsid w:val="00924D4F"/>
    <w:rsid w:val="0092501F"/>
    <w:rsid w:val="0092537D"/>
    <w:rsid w:val="00925624"/>
    <w:rsid w:val="0092657C"/>
    <w:rsid w:val="00931DE0"/>
    <w:rsid w:val="00931F45"/>
    <w:rsid w:val="00932F90"/>
    <w:rsid w:val="00933282"/>
    <w:rsid w:val="009335FC"/>
    <w:rsid w:val="00933704"/>
    <w:rsid w:val="00936ADC"/>
    <w:rsid w:val="00936B35"/>
    <w:rsid w:val="00937C33"/>
    <w:rsid w:val="009404FD"/>
    <w:rsid w:val="00940ACB"/>
    <w:rsid w:val="00941438"/>
    <w:rsid w:val="00941A17"/>
    <w:rsid w:val="00945357"/>
    <w:rsid w:val="00945FEB"/>
    <w:rsid w:val="0095018C"/>
    <w:rsid w:val="00950536"/>
    <w:rsid w:val="009505A6"/>
    <w:rsid w:val="0095283F"/>
    <w:rsid w:val="00954B7B"/>
    <w:rsid w:val="00955579"/>
    <w:rsid w:val="009563E3"/>
    <w:rsid w:val="009569E3"/>
    <w:rsid w:val="00956AA0"/>
    <w:rsid w:val="00960353"/>
    <w:rsid w:val="009608C3"/>
    <w:rsid w:val="009610AF"/>
    <w:rsid w:val="00962EB3"/>
    <w:rsid w:val="0096313B"/>
    <w:rsid w:val="00966AA9"/>
    <w:rsid w:val="0096700B"/>
    <w:rsid w:val="0096764F"/>
    <w:rsid w:val="0097005A"/>
    <w:rsid w:val="009739F7"/>
    <w:rsid w:val="009758F8"/>
    <w:rsid w:val="00975D1E"/>
    <w:rsid w:val="0097614B"/>
    <w:rsid w:val="00976C31"/>
    <w:rsid w:val="009770D4"/>
    <w:rsid w:val="00977138"/>
    <w:rsid w:val="00977DD5"/>
    <w:rsid w:val="00980150"/>
    <w:rsid w:val="00980B2C"/>
    <w:rsid w:val="00980F8F"/>
    <w:rsid w:val="00982760"/>
    <w:rsid w:val="0098313C"/>
    <w:rsid w:val="0098343F"/>
    <w:rsid w:val="009836BC"/>
    <w:rsid w:val="00983E22"/>
    <w:rsid w:val="00984236"/>
    <w:rsid w:val="009843C3"/>
    <w:rsid w:val="009844AA"/>
    <w:rsid w:val="00984C33"/>
    <w:rsid w:val="0099051B"/>
    <w:rsid w:val="00990528"/>
    <w:rsid w:val="00990E54"/>
    <w:rsid w:val="009932F5"/>
    <w:rsid w:val="0099484B"/>
    <w:rsid w:val="00994D30"/>
    <w:rsid w:val="00995A6E"/>
    <w:rsid w:val="009A0EDB"/>
    <w:rsid w:val="009A112F"/>
    <w:rsid w:val="009A11F4"/>
    <w:rsid w:val="009A3BF5"/>
    <w:rsid w:val="009A49F9"/>
    <w:rsid w:val="009A4D07"/>
    <w:rsid w:val="009A4D8C"/>
    <w:rsid w:val="009A6E95"/>
    <w:rsid w:val="009A79C1"/>
    <w:rsid w:val="009B006E"/>
    <w:rsid w:val="009B0C30"/>
    <w:rsid w:val="009B4248"/>
    <w:rsid w:val="009B4B2B"/>
    <w:rsid w:val="009B4F32"/>
    <w:rsid w:val="009B51A2"/>
    <w:rsid w:val="009B54D8"/>
    <w:rsid w:val="009B5A66"/>
    <w:rsid w:val="009B5F07"/>
    <w:rsid w:val="009B6570"/>
    <w:rsid w:val="009C010D"/>
    <w:rsid w:val="009C0F2F"/>
    <w:rsid w:val="009C3395"/>
    <w:rsid w:val="009C33E9"/>
    <w:rsid w:val="009C398A"/>
    <w:rsid w:val="009C4612"/>
    <w:rsid w:val="009C5015"/>
    <w:rsid w:val="009C62A9"/>
    <w:rsid w:val="009C74D0"/>
    <w:rsid w:val="009D2566"/>
    <w:rsid w:val="009D3766"/>
    <w:rsid w:val="009D4599"/>
    <w:rsid w:val="009D4B20"/>
    <w:rsid w:val="009D54F9"/>
    <w:rsid w:val="009D5FE2"/>
    <w:rsid w:val="009D6155"/>
    <w:rsid w:val="009D63B8"/>
    <w:rsid w:val="009D76DE"/>
    <w:rsid w:val="009D7D47"/>
    <w:rsid w:val="009E0B82"/>
    <w:rsid w:val="009E25FA"/>
    <w:rsid w:val="009E3C2F"/>
    <w:rsid w:val="009E4A14"/>
    <w:rsid w:val="009E4E81"/>
    <w:rsid w:val="009E512C"/>
    <w:rsid w:val="009E5300"/>
    <w:rsid w:val="009E5C83"/>
    <w:rsid w:val="009E6C51"/>
    <w:rsid w:val="009E7049"/>
    <w:rsid w:val="009E7326"/>
    <w:rsid w:val="009E77AC"/>
    <w:rsid w:val="009F015F"/>
    <w:rsid w:val="009F1705"/>
    <w:rsid w:val="009F1A0F"/>
    <w:rsid w:val="009F2459"/>
    <w:rsid w:val="009F363C"/>
    <w:rsid w:val="009F58FE"/>
    <w:rsid w:val="009F5CC1"/>
    <w:rsid w:val="009F6B24"/>
    <w:rsid w:val="009F7308"/>
    <w:rsid w:val="009F73A8"/>
    <w:rsid w:val="00A00D08"/>
    <w:rsid w:val="00A0524E"/>
    <w:rsid w:val="00A073FD"/>
    <w:rsid w:val="00A102BB"/>
    <w:rsid w:val="00A10F6A"/>
    <w:rsid w:val="00A110CB"/>
    <w:rsid w:val="00A1234B"/>
    <w:rsid w:val="00A13F58"/>
    <w:rsid w:val="00A15384"/>
    <w:rsid w:val="00A156A3"/>
    <w:rsid w:val="00A1669D"/>
    <w:rsid w:val="00A16945"/>
    <w:rsid w:val="00A175D8"/>
    <w:rsid w:val="00A20718"/>
    <w:rsid w:val="00A245CE"/>
    <w:rsid w:val="00A24674"/>
    <w:rsid w:val="00A246F1"/>
    <w:rsid w:val="00A254E2"/>
    <w:rsid w:val="00A25E14"/>
    <w:rsid w:val="00A25E7B"/>
    <w:rsid w:val="00A272B8"/>
    <w:rsid w:val="00A27EC7"/>
    <w:rsid w:val="00A3004C"/>
    <w:rsid w:val="00A3097B"/>
    <w:rsid w:val="00A309AA"/>
    <w:rsid w:val="00A30FBA"/>
    <w:rsid w:val="00A32C0D"/>
    <w:rsid w:val="00A357EB"/>
    <w:rsid w:val="00A36BDF"/>
    <w:rsid w:val="00A40EBD"/>
    <w:rsid w:val="00A411EE"/>
    <w:rsid w:val="00A51372"/>
    <w:rsid w:val="00A52A5D"/>
    <w:rsid w:val="00A533E5"/>
    <w:rsid w:val="00A537A2"/>
    <w:rsid w:val="00A55850"/>
    <w:rsid w:val="00A55F1D"/>
    <w:rsid w:val="00A577E7"/>
    <w:rsid w:val="00A618A0"/>
    <w:rsid w:val="00A61DFC"/>
    <w:rsid w:val="00A62C0C"/>
    <w:rsid w:val="00A64635"/>
    <w:rsid w:val="00A64841"/>
    <w:rsid w:val="00A6574F"/>
    <w:rsid w:val="00A657FF"/>
    <w:rsid w:val="00A6684A"/>
    <w:rsid w:val="00A66C67"/>
    <w:rsid w:val="00A7055A"/>
    <w:rsid w:val="00A71499"/>
    <w:rsid w:val="00A71B28"/>
    <w:rsid w:val="00A73170"/>
    <w:rsid w:val="00A73688"/>
    <w:rsid w:val="00A742DC"/>
    <w:rsid w:val="00A804ED"/>
    <w:rsid w:val="00A81706"/>
    <w:rsid w:val="00A81944"/>
    <w:rsid w:val="00A81E21"/>
    <w:rsid w:val="00A82F91"/>
    <w:rsid w:val="00A84050"/>
    <w:rsid w:val="00A856D1"/>
    <w:rsid w:val="00A85C71"/>
    <w:rsid w:val="00A87546"/>
    <w:rsid w:val="00A91D6C"/>
    <w:rsid w:val="00A92065"/>
    <w:rsid w:val="00A920F2"/>
    <w:rsid w:val="00A9394D"/>
    <w:rsid w:val="00A93C8E"/>
    <w:rsid w:val="00A93E64"/>
    <w:rsid w:val="00A941C3"/>
    <w:rsid w:val="00A9455B"/>
    <w:rsid w:val="00A94569"/>
    <w:rsid w:val="00A94F3F"/>
    <w:rsid w:val="00A95140"/>
    <w:rsid w:val="00A9622F"/>
    <w:rsid w:val="00AA1477"/>
    <w:rsid w:val="00AA5656"/>
    <w:rsid w:val="00AA7A4A"/>
    <w:rsid w:val="00AA7B71"/>
    <w:rsid w:val="00AB2DC2"/>
    <w:rsid w:val="00AB2F5F"/>
    <w:rsid w:val="00AB3C32"/>
    <w:rsid w:val="00AB6075"/>
    <w:rsid w:val="00AB78E6"/>
    <w:rsid w:val="00AC2F7F"/>
    <w:rsid w:val="00AC32A4"/>
    <w:rsid w:val="00AC331E"/>
    <w:rsid w:val="00AC43A2"/>
    <w:rsid w:val="00AC4FDE"/>
    <w:rsid w:val="00AC530C"/>
    <w:rsid w:val="00AC5DF5"/>
    <w:rsid w:val="00AD097A"/>
    <w:rsid w:val="00AD1826"/>
    <w:rsid w:val="00AD2260"/>
    <w:rsid w:val="00AD3087"/>
    <w:rsid w:val="00AD3B76"/>
    <w:rsid w:val="00AD5F79"/>
    <w:rsid w:val="00AD78E6"/>
    <w:rsid w:val="00AE07CC"/>
    <w:rsid w:val="00AE1240"/>
    <w:rsid w:val="00AE195F"/>
    <w:rsid w:val="00AE22AB"/>
    <w:rsid w:val="00AE25B4"/>
    <w:rsid w:val="00AE29BE"/>
    <w:rsid w:val="00AE32BC"/>
    <w:rsid w:val="00AE3CA4"/>
    <w:rsid w:val="00AE58A7"/>
    <w:rsid w:val="00AE6133"/>
    <w:rsid w:val="00AE6789"/>
    <w:rsid w:val="00AE67D5"/>
    <w:rsid w:val="00AE7172"/>
    <w:rsid w:val="00AF18AD"/>
    <w:rsid w:val="00AF1AC3"/>
    <w:rsid w:val="00AF2DC9"/>
    <w:rsid w:val="00AF309F"/>
    <w:rsid w:val="00AF431D"/>
    <w:rsid w:val="00AF489C"/>
    <w:rsid w:val="00AF5680"/>
    <w:rsid w:val="00AF6837"/>
    <w:rsid w:val="00AF69FA"/>
    <w:rsid w:val="00AF6D61"/>
    <w:rsid w:val="00B02F25"/>
    <w:rsid w:val="00B048FF"/>
    <w:rsid w:val="00B07921"/>
    <w:rsid w:val="00B100D4"/>
    <w:rsid w:val="00B10722"/>
    <w:rsid w:val="00B11134"/>
    <w:rsid w:val="00B1162E"/>
    <w:rsid w:val="00B124EF"/>
    <w:rsid w:val="00B12ED5"/>
    <w:rsid w:val="00B133E0"/>
    <w:rsid w:val="00B13D65"/>
    <w:rsid w:val="00B14202"/>
    <w:rsid w:val="00B15017"/>
    <w:rsid w:val="00B1501D"/>
    <w:rsid w:val="00B208BE"/>
    <w:rsid w:val="00B21274"/>
    <w:rsid w:val="00B22435"/>
    <w:rsid w:val="00B22A82"/>
    <w:rsid w:val="00B22D58"/>
    <w:rsid w:val="00B23D94"/>
    <w:rsid w:val="00B26F01"/>
    <w:rsid w:val="00B27FCF"/>
    <w:rsid w:val="00B31299"/>
    <w:rsid w:val="00B319E4"/>
    <w:rsid w:val="00B321FA"/>
    <w:rsid w:val="00B331C6"/>
    <w:rsid w:val="00B34EAA"/>
    <w:rsid w:val="00B3505B"/>
    <w:rsid w:val="00B3743E"/>
    <w:rsid w:val="00B40A5F"/>
    <w:rsid w:val="00B40DFE"/>
    <w:rsid w:val="00B42489"/>
    <w:rsid w:val="00B42C2B"/>
    <w:rsid w:val="00B43532"/>
    <w:rsid w:val="00B4522C"/>
    <w:rsid w:val="00B45396"/>
    <w:rsid w:val="00B46EF9"/>
    <w:rsid w:val="00B50972"/>
    <w:rsid w:val="00B55D66"/>
    <w:rsid w:val="00B55E61"/>
    <w:rsid w:val="00B567F0"/>
    <w:rsid w:val="00B577F1"/>
    <w:rsid w:val="00B57EC6"/>
    <w:rsid w:val="00B57FA0"/>
    <w:rsid w:val="00B60748"/>
    <w:rsid w:val="00B6110C"/>
    <w:rsid w:val="00B62847"/>
    <w:rsid w:val="00B634FB"/>
    <w:rsid w:val="00B63D82"/>
    <w:rsid w:val="00B64E47"/>
    <w:rsid w:val="00B70077"/>
    <w:rsid w:val="00B706AA"/>
    <w:rsid w:val="00B70A09"/>
    <w:rsid w:val="00B71DFA"/>
    <w:rsid w:val="00B72636"/>
    <w:rsid w:val="00B728E5"/>
    <w:rsid w:val="00B72F95"/>
    <w:rsid w:val="00B735D7"/>
    <w:rsid w:val="00B7363C"/>
    <w:rsid w:val="00B74157"/>
    <w:rsid w:val="00B749FB"/>
    <w:rsid w:val="00B7550E"/>
    <w:rsid w:val="00B76022"/>
    <w:rsid w:val="00B773E7"/>
    <w:rsid w:val="00B77D40"/>
    <w:rsid w:val="00B808E9"/>
    <w:rsid w:val="00B80993"/>
    <w:rsid w:val="00B811BE"/>
    <w:rsid w:val="00B81BD1"/>
    <w:rsid w:val="00B81CD9"/>
    <w:rsid w:val="00B82E6F"/>
    <w:rsid w:val="00B83A79"/>
    <w:rsid w:val="00B83C78"/>
    <w:rsid w:val="00B86AF5"/>
    <w:rsid w:val="00B86D56"/>
    <w:rsid w:val="00B87CAB"/>
    <w:rsid w:val="00B87DAB"/>
    <w:rsid w:val="00B908BF"/>
    <w:rsid w:val="00B91273"/>
    <w:rsid w:val="00B9139E"/>
    <w:rsid w:val="00B91CB9"/>
    <w:rsid w:val="00B9249C"/>
    <w:rsid w:val="00B94BE6"/>
    <w:rsid w:val="00B94EF9"/>
    <w:rsid w:val="00B9799F"/>
    <w:rsid w:val="00B97F56"/>
    <w:rsid w:val="00BA015C"/>
    <w:rsid w:val="00BA06CF"/>
    <w:rsid w:val="00BA0C30"/>
    <w:rsid w:val="00BA0FF8"/>
    <w:rsid w:val="00BA1B7B"/>
    <w:rsid w:val="00BA3FE1"/>
    <w:rsid w:val="00BA60CC"/>
    <w:rsid w:val="00BA6250"/>
    <w:rsid w:val="00BA6A1F"/>
    <w:rsid w:val="00BA72DB"/>
    <w:rsid w:val="00BA764F"/>
    <w:rsid w:val="00BA7716"/>
    <w:rsid w:val="00BA7825"/>
    <w:rsid w:val="00BB21C5"/>
    <w:rsid w:val="00BB248E"/>
    <w:rsid w:val="00BB4951"/>
    <w:rsid w:val="00BB60DD"/>
    <w:rsid w:val="00BB697D"/>
    <w:rsid w:val="00BC1334"/>
    <w:rsid w:val="00BC2D84"/>
    <w:rsid w:val="00BC3921"/>
    <w:rsid w:val="00BC44A7"/>
    <w:rsid w:val="00BC5BD2"/>
    <w:rsid w:val="00BD193B"/>
    <w:rsid w:val="00BD2516"/>
    <w:rsid w:val="00BD2F69"/>
    <w:rsid w:val="00BD3FDE"/>
    <w:rsid w:val="00BD4400"/>
    <w:rsid w:val="00BD4433"/>
    <w:rsid w:val="00BD48EE"/>
    <w:rsid w:val="00BD4C77"/>
    <w:rsid w:val="00BD4DA7"/>
    <w:rsid w:val="00BD507F"/>
    <w:rsid w:val="00BD66B9"/>
    <w:rsid w:val="00BD66D4"/>
    <w:rsid w:val="00BD6A8C"/>
    <w:rsid w:val="00BD72A9"/>
    <w:rsid w:val="00BE0F28"/>
    <w:rsid w:val="00BE1A2C"/>
    <w:rsid w:val="00BE1DA8"/>
    <w:rsid w:val="00BE2136"/>
    <w:rsid w:val="00BE272C"/>
    <w:rsid w:val="00BE3024"/>
    <w:rsid w:val="00BE31AF"/>
    <w:rsid w:val="00BE3B80"/>
    <w:rsid w:val="00BE4BBD"/>
    <w:rsid w:val="00BE551D"/>
    <w:rsid w:val="00BE5611"/>
    <w:rsid w:val="00BE5B2C"/>
    <w:rsid w:val="00BE653F"/>
    <w:rsid w:val="00BF1483"/>
    <w:rsid w:val="00BF478F"/>
    <w:rsid w:val="00BF5E8A"/>
    <w:rsid w:val="00BF696F"/>
    <w:rsid w:val="00BF6CA0"/>
    <w:rsid w:val="00BF6F80"/>
    <w:rsid w:val="00C01C8D"/>
    <w:rsid w:val="00C02E56"/>
    <w:rsid w:val="00C04A9A"/>
    <w:rsid w:val="00C05D7E"/>
    <w:rsid w:val="00C072EA"/>
    <w:rsid w:val="00C10DE5"/>
    <w:rsid w:val="00C11261"/>
    <w:rsid w:val="00C11FBD"/>
    <w:rsid w:val="00C12315"/>
    <w:rsid w:val="00C12363"/>
    <w:rsid w:val="00C12CE2"/>
    <w:rsid w:val="00C143C9"/>
    <w:rsid w:val="00C144AB"/>
    <w:rsid w:val="00C17040"/>
    <w:rsid w:val="00C17389"/>
    <w:rsid w:val="00C20167"/>
    <w:rsid w:val="00C211FF"/>
    <w:rsid w:val="00C2199C"/>
    <w:rsid w:val="00C21F25"/>
    <w:rsid w:val="00C2240B"/>
    <w:rsid w:val="00C22EF2"/>
    <w:rsid w:val="00C247A2"/>
    <w:rsid w:val="00C24F1D"/>
    <w:rsid w:val="00C25A16"/>
    <w:rsid w:val="00C264AC"/>
    <w:rsid w:val="00C26B09"/>
    <w:rsid w:val="00C27432"/>
    <w:rsid w:val="00C3104B"/>
    <w:rsid w:val="00C32529"/>
    <w:rsid w:val="00C32C57"/>
    <w:rsid w:val="00C33583"/>
    <w:rsid w:val="00C33871"/>
    <w:rsid w:val="00C33B7C"/>
    <w:rsid w:val="00C3412F"/>
    <w:rsid w:val="00C36772"/>
    <w:rsid w:val="00C37153"/>
    <w:rsid w:val="00C3755A"/>
    <w:rsid w:val="00C37FFB"/>
    <w:rsid w:val="00C42434"/>
    <w:rsid w:val="00C4540A"/>
    <w:rsid w:val="00C4608A"/>
    <w:rsid w:val="00C46874"/>
    <w:rsid w:val="00C471CA"/>
    <w:rsid w:val="00C47491"/>
    <w:rsid w:val="00C47C8B"/>
    <w:rsid w:val="00C50FF7"/>
    <w:rsid w:val="00C51F73"/>
    <w:rsid w:val="00C52588"/>
    <w:rsid w:val="00C5339C"/>
    <w:rsid w:val="00C5442C"/>
    <w:rsid w:val="00C55547"/>
    <w:rsid w:val="00C56B2D"/>
    <w:rsid w:val="00C57688"/>
    <w:rsid w:val="00C61C0C"/>
    <w:rsid w:val="00C61E74"/>
    <w:rsid w:val="00C61E8F"/>
    <w:rsid w:val="00C62E5C"/>
    <w:rsid w:val="00C635F7"/>
    <w:rsid w:val="00C63902"/>
    <w:rsid w:val="00C63B13"/>
    <w:rsid w:val="00C66148"/>
    <w:rsid w:val="00C672C8"/>
    <w:rsid w:val="00C7148E"/>
    <w:rsid w:val="00C71726"/>
    <w:rsid w:val="00C733B1"/>
    <w:rsid w:val="00C73746"/>
    <w:rsid w:val="00C73766"/>
    <w:rsid w:val="00C76C91"/>
    <w:rsid w:val="00C76E53"/>
    <w:rsid w:val="00C76E9F"/>
    <w:rsid w:val="00C77197"/>
    <w:rsid w:val="00C77909"/>
    <w:rsid w:val="00C810C0"/>
    <w:rsid w:val="00C81AD1"/>
    <w:rsid w:val="00C8459D"/>
    <w:rsid w:val="00C86F53"/>
    <w:rsid w:val="00C87B38"/>
    <w:rsid w:val="00C90396"/>
    <w:rsid w:val="00C90EB1"/>
    <w:rsid w:val="00C95230"/>
    <w:rsid w:val="00C959B5"/>
    <w:rsid w:val="00C95D2B"/>
    <w:rsid w:val="00C970B9"/>
    <w:rsid w:val="00C97848"/>
    <w:rsid w:val="00C97E51"/>
    <w:rsid w:val="00CA153A"/>
    <w:rsid w:val="00CA2D6A"/>
    <w:rsid w:val="00CA3527"/>
    <w:rsid w:val="00CA3B06"/>
    <w:rsid w:val="00CA3D58"/>
    <w:rsid w:val="00CA45F9"/>
    <w:rsid w:val="00CA4ACB"/>
    <w:rsid w:val="00CA4DBE"/>
    <w:rsid w:val="00CA5993"/>
    <w:rsid w:val="00CA6362"/>
    <w:rsid w:val="00CB0109"/>
    <w:rsid w:val="00CB0B94"/>
    <w:rsid w:val="00CB0C07"/>
    <w:rsid w:val="00CB174F"/>
    <w:rsid w:val="00CB1A8A"/>
    <w:rsid w:val="00CB212E"/>
    <w:rsid w:val="00CB3F14"/>
    <w:rsid w:val="00CB518B"/>
    <w:rsid w:val="00CB5427"/>
    <w:rsid w:val="00CB59AD"/>
    <w:rsid w:val="00CB6C26"/>
    <w:rsid w:val="00CC0DB9"/>
    <w:rsid w:val="00CC1331"/>
    <w:rsid w:val="00CC4A2B"/>
    <w:rsid w:val="00CC4B06"/>
    <w:rsid w:val="00CC5BB6"/>
    <w:rsid w:val="00CC7DB5"/>
    <w:rsid w:val="00CC7FF7"/>
    <w:rsid w:val="00CD0A0E"/>
    <w:rsid w:val="00CD1288"/>
    <w:rsid w:val="00CD1D46"/>
    <w:rsid w:val="00CD2237"/>
    <w:rsid w:val="00CD4EF7"/>
    <w:rsid w:val="00CD516C"/>
    <w:rsid w:val="00CD61FC"/>
    <w:rsid w:val="00CD6F49"/>
    <w:rsid w:val="00CD6FA0"/>
    <w:rsid w:val="00CE1D0E"/>
    <w:rsid w:val="00CE1F4A"/>
    <w:rsid w:val="00CE7428"/>
    <w:rsid w:val="00CE74D1"/>
    <w:rsid w:val="00CE7BBD"/>
    <w:rsid w:val="00CF087B"/>
    <w:rsid w:val="00CF4272"/>
    <w:rsid w:val="00CF4B58"/>
    <w:rsid w:val="00CF56FC"/>
    <w:rsid w:val="00CF5BD0"/>
    <w:rsid w:val="00CF68FA"/>
    <w:rsid w:val="00CF6CF6"/>
    <w:rsid w:val="00CF751C"/>
    <w:rsid w:val="00D01AA1"/>
    <w:rsid w:val="00D0549D"/>
    <w:rsid w:val="00D07110"/>
    <w:rsid w:val="00D10A40"/>
    <w:rsid w:val="00D11057"/>
    <w:rsid w:val="00D1191E"/>
    <w:rsid w:val="00D1226C"/>
    <w:rsid w:val="00D129D0"/>
    <w:rsid w:val="00D129EE"/>
    <w:rsid w:val="00D12B65"/>
    <w:rsid w:val="00D1390F"/>
    <w:rsid w:val="00D14058"/>
    <w:rsid w:val="00D1451B"/>
    <w:rsid w:val="00D148F2"/>
    <w:rsid w:val="00D15E0A"/>
    <w:rsid w:val="00D16DED"/>
    <w:rsid w:val="00D17655"/>
    <w:rsid w:val="00D17C34"/>
    <w:rsid w:val="00D20070"/>
    <w:rsid w:val="00D20281"/>
    <w:rsid w:val="00D209CC"/>
    <w:rsid w:val="00D2230D"/>
    <w:rsid w:val="00D23CE2"/>
    <w:rsid w:val="00D26876"/>
    <w:rsid w:val="00D26BDD"/>
    <w:rsid w:val="00D27037"/>
    <w:rsid w:val="00D31BE6"/>
    <w:rsid w:val="00D32476"/>
    <w:rsid w:val="00D32752"/>
    <w:rsid w:val="00D32D05"/>
    <w:rsid w:val="00D33068"/>
    <w:rsid w:val="00D333D3"/>
    <w:rsid w:val="00D334D0"/>
    <w:rsid w:val="00D33553"/>
    <w:rsid w:val="00D343B0"/>
    <w:rsid w:val="00D3478A"/>
    <w:rsid w:val="00D35407"/>
    <w:rsid w:val="00D35707"/>
    <w:rsid w:val="00D35F57"/>
    <w:rsid w:val="00D36722"/>
    <w:rsid w:val="00D37DFC"/>
    <w:rsid w:val="00D37E8A"/>
    <w:rsid w:val="00D40125"/>
    <w:rsid w:val="00D403DE"/>
    <w:rsid w:val="00D4130C"/>
    <w:rsid w:val="00D413BA"/>
    <w:rsid w:val="00D41614"/>
    <w:rsid w:val="00D416DE"/>
    <w:rsid w:val="00D4176A"/>
    <w:rsid w:val="00D444E8"/>
    <w:rsid w:val="00D47D34"/>
    <w:rsid w:val="00D47F7B"/>
    <w:rsid w:val="00D50B67"/>
    <w:rsid w:val="00D50B85"/>
    <w:rsid w:val="00D51CA4"/>
    <w:rsid w:val="00D52F41"/>
    <w:rsid w:val="00D52F83"/>
    <w:rsid w:val="00D5303D"/>
    <w:rsid w:val="00D53118"/>
    <w:rsid w:val="00D538B1"/>
    <w:rsid w:val="00D53CC4"/>
    <w:rsid w:val="00D54858"/>
    <w:rsid w:val="00D54D63"/>
    <w:rsid w:val="00D55B53"/>
    <w:rsid w:val="00D56652"/>
    <w:rsid w:val="00D57315"/>
    <w:rsid w:val="00D5737A"/>
    <w:rsid w:val="00D57F9F"/>
    <w:rsid w:val="00D60197"/>
    <w:rsid w:val="00D61A8C"/>
    <w:rsid w:val="00D61CA7"/>
    <w:rsid w:val="00D62BC6"/>
    <w:rsid w:val="00D63685"/>
    <w:rsid w:val="00D63885"/>
    <w:rsid w:val="00D71136"/>
    <w:rsid w:val="00D71269"/>
    <w:rsid w:val="00D71AEE"/>
    <w:rsid w:val="00D72565"/>
    <w:rsid w:val="00D73975"/>
    <w:rsid w:val="00D7785C"/>
    <w:rsid w:val="00D802CA"/>
    <w:rsid w:val="00D812C6"/>
    <w:rsid w:val="00D82D30"/>
    <w:rsid w:val="00D83F1F"/>
    <w:rsid w:val="00D84E18"/>
    <w:rsid w:val="00D850B9"/>
    <w:rsid w:val="00D864D6"/>
    <w:rsid w:val="00D86853"/>
    <w:rsid w:val="00D9401B"/>
    <w:rsid w:val="00D9425F"/>
    <w:rsid w:val="00D9443E"/>
    <w:rsid w:val="00D944F1"/>
    <w:rsid w:val="00D948BC"/>
    <w:rsid w:val="00D94F71"/>
    <w:rsid w:val="00D95604"/>
    <w:rsid w:val="00D95DB5"/>
    <w:rsid w:val="00D95DEB"/>
    <w:rsid w:val="00DA2F24"/>
    <w:rsid w:val="00DA3E12"/>
    <w:rsid w:val="00DA46FD"/>
    <w:rsid w:val="00DA54CA"/>
    <w:rsid w:val="00DA5593"/>
    <w:rsid w:val="00DA7C3C"/>
    <w:rsid w:val="00DA7FB6"/>
    <w:rsid w:val="00DB0575"/>
    <w:rsid w:val="00DB0DF9"/>
    <w:rsid w:val="00DB1C41"/>
    <w:rsid w:val="00DB1E4C"/>
    <w:rsid w:val="00DB202A"/>
    <w:rsid w:val="00DB2C89"/>
    <w:rsid w:val="00DB2EAA"/>
    <w:rsid w:val="00DB37A1"/>
    <w:rsid w:val="00DB3B0D"/>
    <w:rsid w:val="00DB4FE0"/>
    <w:rsid w:val="00DB60BB"/>
    <w:rsid w:val="00DB60C0"/>
    <w:rsid w:val="00DC05FF"/>
    <w:rsid w:val="00DC15CD"/>
    <w:rsid w:val="00DC32E8"/>
    <w:rsid w:val="00DC46F5"/>
    <w:rsid w:val="00DC4DAE"/>
    <w:rsid w:val="00DC67C3"/>
    <w:rsid w:val="00DC6C39"/>
    <w:rsid w:val="00DC6ED7"/>
    <w:rsid w:val="00DD0374"/>
    <w:rsid w:val="00DD1D6A"/>
    <w:rsid w:val="00DD3FDE"/>
    <w:rsid w:val="00DD41B5"/>
    <w:rsid w:val="00DD5B0C"/>
    <w:rsid w:val="00DD620A"/>
    <w:rsid w:val="00DD667D"/>
    <w:rsid w:val="00DD69D9"/>
    <w:rsid w:val="00DE0C3B"/>
    <w:rsid w:val="00DE17C7"/>
    <w:rsid w:val="00DE2037"/>
    <w:rsid w:val="00DE30DD"/>
    <w:rsid w:val="00DE4BDD"/>
    <w:rsid w:val="00DE5930"/>
    <w:rsid w:val="00DE7FD7"/>
    <w:rsid w:val="00DF012B"/>
    <w:rsid w:val="00DF1494"/>
    <w:rsid w:val="00DF37B3"/>
    <w:rsid w:val="00DF686C"/>
    <w:rsid w:val="00DF7D6A"/>
    <w:rsid w:val="00E00050"/>
    <w:rsid w:val="00E03E7D"/>
    <w:rsid w:val="00E040C1"/>
    <w:rsid w:val="00E05D3C"/>
    <w:rsid w:val="00E06B24"/>
    <w:rsid w:val="00E07355"/>
    <w:rsid w:val="00E14944"/>
    <w:rsid w:val="00E14F54"/>
    <w:rsid w:val="00E158E5"/>
    <w:rsid w:val="00E15CF3"/>
    <w:rsid w:val="00E1674B"/>
    <w:rsid w:val="00E17940"/>
    <w:rsid w:val="00E2105B"/>
    <w:rsid w:val="00E21891"/>
    <w:rsid w:val="00E25360"/>
    <w:rsid w:val="00E25909"/>
    <w:rsid w:val="00E25F61"/>
    <w:rsid w:val="00E26332"/>
    <w:rsid w:val="00E26676"/>
    <w:rsid w:val="00E27AAF"/>
    <w:rsid w:val="00E30800"/>
    <w:rsid w:val="00E31B7C"/>
    <w:rsid w:val="00E3426B"/>
    <w:rsid w:val="00E34CEC"/>
    <w:rsid w:val="00E370A1"/>
    <w:rsid w:val="00E4014C"/>
    <w:rsid w:val="00E4047B"/>
    <w:rsid w:val="00E40CA3"/>
    <w:rsid w:val="00E40CD0"/>
    <w:rsid w:val="00E41681"/>
    <w:rsid w:val="00E41895"/>
    <w:rsid w:val="00E42073"/>
    <w:rsid w:val="00E45597"/>
    <w:rsid w:val="00E47FA0"/>
    <w:rsid w:val="00E51B11"/>
    <w:rsid w:val="00E53168"/>
    <w:rsid w:val="00E53E7C"/>
    <w:rsid w:val="00E54430"/>
    <w:rsid w:val="00E559BC"/>
    <w:rsid w:val="00E56573"/>
    <w:rsid w:val="00E56AAB"/>
    <w:rsid w:val="00E56DA5"/>
    <w:rsid w:val="00E576E2"/>
    <w:rsid w:val="00E6008A"/>
    <w:rsid w:val="00E6010C"/>
    <w:rsid w:val="00E61D06"/>
    <w:rsid w:val="00E62385"/>
    <w:rsid w:val="00E62925"/>
    <w:rsid w:val="00E62F55"/>
    <w:rsid w:val="00E63FC5"/>
    <w:rsid w:val="00E64728"/>
    <w:rsid w:val="00E65AAB"/>
    <w:rsid w:val="00E66028"/>
    <w:rsid w:val="00E702E6"/>
    <w:rsid w:val="00E73750"/>
    <w:rsid w:val="00E73A27"/>
    <w:rsid w:val="00E75F2E"/>
    <w:rsid w:val="00E81CE6"/>
    <w:rsid w:val="00E81D8C"/>
    <w:rsid w:val="00E83AB7"/>
    <w:rsid w:val="00E84832"/>
    <w:rsid w:val="00E863EB"/>
    <w:rsid w:val="00E87485"/>
    <w:rsid w:val="00E903AC"/>
    <w:rsid w:val="00E9083B"/>
    <w:rsid w:val="00E91CFA"/>
    <w:rsid w:val="00E93CB9"/>
    <w:rsid w:val="00E95167"/>
    <w:rsid w:val="00E95C8A"/>
    <w:rsid w:val="00E95DE7"/>
    <w:rsid w:val="00E97015"/>
    <w:rsid w:val="00E971F3"/>
    <w:rsid w:val="00EA28AF"/>
    <w:rsid w:val="00EA2FF2"/>
    <w:rsid w:val="00EA3FDB"/>
    <w:rsid w:val="00EA5CD6"/>
    <w:rsid w:val="00EA64B7"/>
    <w:rsid w:val="00EA6DF8"/>
    <w:rsid w:val="00EA6FF0"/>
    <w:rsid w:val="00EB0E0A"/>
    <w:rsid w:val="00EB11E7"/>
    <w:rsid w:val="00EB1C78"/>
    <w:rsid w:val="00EB3776"/>
    <w:rsid w:val="00EB37C8"/>
    <w:rsid w:val="00EB3946"/>
    <w:rsid w:val="00EB3F6D"/>
    <w:rsid w:val="00EB6B95"/>
    <w:rsid w:val="00EB6F18"/>
    <w:rsid w:val="00EC07A6"/>
    <w:rsid w:val="00EC0B94"/>
    <w:rsid w:val="00EC14B6"/>
    <w:rsid w:val="00EC28BF"/>
    <w:rsid w:val="00EC3D3F"/>
    <w:rsid w:val="00EC4790"/>
    <w:rsid w:val="00EC4BFC"/>
    <w:rsid w:val="00EC71F3"/>
    <w:rsid w:val="00EC73D1"/>
    <w:rsid w:val="00ED0235"/>
    <w:rsid w:val="00ED0991"/>
    <w:rsid w:val="00ED0E5C"/>
    <w:rsid w:val="00ED4E29"/>
    <w:rsid w:val="00ED5C20"/>
    <w:rsid w:val="00ED5D74"/>
    <w:rsid w:val="00ED5D96"/>
    <w:rsid w:val="00ED6CC1"/>
    <w:rsid w:val="00ED705F"/>
    <w:rsid w:val="00EE1B63"/>
    <w:rsid w:val="00EE2C73"/>
    <w:rsid w:val="00EE3280"/>
    <w:rsid w:val="00EE330C"/>
    <w:rsid w:val="00EE340D"/>
    <w:rsid w:val="00EE366A"/>
    <w:rsid w:val="00EE3B9D"/>
    <w:rsid w:val="00EE4E08"/>
    <w:rsid w:val="00EE771B"/>
    <w:rsid w:val="00EF0627"/>
    <w:rsid w:val="00EF379E"/>
    <w:rsid w:val="00EF3858"/>
    <w:rsid w:val="00EF48BF"/>
    <w:rsid w:val="00EF5AA2"/>
    <w:rsid w:val="00EF65C9"/>
    <w:rsid w:val="00F0022A"/>
    <w:rsid w:val="00F02A01"/>
    <w:rsid w:val="00F036D1"/>
    <w:rsid w:val="00F045E6"/>
    <w:rsid w:val="00F058F8"/>
    <w:rsid w:val="00F05CAE"/>
    <w:rsid w:val="00F0600C"/>
    <w:rsid w:val="00F06690"/>
    <w:rsid w:val="00F0682F"/>
    <w:rsid w:val="00F06C95"/>
    <w:rsid w:val="00F10ACD"/>
    <w:rsid w:val="00F11EF2"/>
    <w:rsid w:val="00F1244F"/>
    <w:rsid w:val="00F125CB"/>
    <w:rsid w:val="00F14437"/>
    <w:rsid w:val="00F16B1B"/>
    <w:rsid w:val="00F20D6E"/>
    <w:rsid w:val="00F20F94"/>
    <w:rsid w:val="00F21045"/>
    <w:rsid w:val="00F21614"/>
    <w:rsid w:val="00F21894"/>
    <w:rsid w:val="00F24C07"/>
    <w:rsid w:val="00F2747E"/>
    <w:rsid w:val="00F2780B"/>
    <w:rsid w:val="00F31135"/>
    <w:rsid w:val="00F31515"/>
    <w:rsid w:val="00F351E9"/>
    <w:rsid w:val="00F3575C"/>
    <w:rsid w:val="00F3679E"/>
    <w:rsid w:val="00F36897"/>
    <w:rsid w:val="00F37CD1"/>
    <w:rsid w:val="00F40534"/>
    <w:rsid w:val="00F40B12"/>
    <w:rsid w:val="00F41F43"/>
    <w:rsid w:val="00F42A61"/>
    <w:rsid w:val="00F44D32"/>
    <w:rsid w:val="00F47461"/>
    <w:rsid w:val="00F50B89"/>
    <w:rsid w:val="00F50FF6"/>
    <w:rsid w:val="00F51330"/>
    <w:rsid w:val="00F51DAC"/>
    <w:rsid w:val="00F527BC"/>
    <w:rsid w:val="00F53464"/>
    <w:rsid w:val="00F54D50"/>
    <w:rsid w:val="00F55261"/>
    <w:rsid w:val="00F561A3"/>
    <w:rsid w:val="00F56DB4"/>
    <w:rsid w:val="00F61A3B"/>
    <w:rsid w:val="00F62270"/>
    <w:rsid w:val="00F6350D"/>
    <w:rsid w:val="00F65BC3"/>
    <w:rsid w:val="00F666B5"/>
    <w:rsid w:val="00F70163"/>
    <w:rsid w:val="00F70591"/>
    <w:rsid w:val="00F70EA7"/>
    <w:rsid w:val="00F710E0"/>
    <w:rsid w:val="00F73F89"/>
    <w:rsid w:val="00F74359"/>
    <w:rsid w:val="00F74562"/>
    <w:rsid w:val="00F76AB0"/>
    <w:rsid w:val="00F76F50"/>
    <w:rsid w:val="00F82020"/>
    <w:rsid w:val="00F821B8"/>
    <w:rsid w:val="00F82D79"/>
    <w:rsid w:val="00F82DB9"/>
    <w:rsid w:val="00F82F1F"/>
    <w:rsid w:val="00F84592"/>
    <w:rsid w:val="00F84A3C"/>
    <w:rsid w:val="00F8568F"/>
    <w:rsid w:val="00F86201"/>
    <w:rsid w:val="00F862B3"/>
    <w:rsid w:val="00F8636B"/>
    <w:rsid w:val="00F865FA"/>
    <w:rsid w:val="00F87278"/>
    <w:rsid w:val="00F906D1"/>
    <w:rsid w:val="00F91330"/>
    <w:rsid w:val="00F93266"/>
    <w:rsid w:val="00F94108"/>
    <w:rsid w:val="00F94843"/>
    <w:rsid w:val="00F94AF4"/>
    <w:rsid w:val="00F95E91"/>
    <w:rsid w:val="00F95F5E"/>
    <w:rsid w:val="00F963C2"/>
    <w:rsid w:val="00F97243"/>
    <w:rsid w:val="00F97634"/>
    <w:rsid w:val="00FA0DB1"/>
    <w:rsid w:val="00FA13E0"/>
    <w:rsid w:val="00FA1B18"/>
    <w:rsid w:val="00FA4915"/>
    <w:rsid w:val="00FB04A7"/>
    <w:rsid w:val="00FB0C99"/>
    <w:rsid w:val="00FB18CA"/>
    <w:rsid w:val="00FB1F01"/>
    <w:rsid w:val="00FB203F"/>
    <w:rsid w:val="00FB22F8"/>
    <w:rsid w:val="00FB2AE1"/>
    <w:rsid w:val="00FB3A2C"/>
    <w:rsid w:val="00FB47DF"/>
    <w:rsid w:val="00FB4B1E"/>
    <w:rsid w:val="00FB6A01"/>
    <w:rsid w:val="00FB6D56"/>
    <w:rsid w:val="00FC1058"/>
    <w:rsid w:val="00FC21D2"/>
    <w:rsid w:val="00FC323A"/>
    <w:rsid w:val="00FC3D02"/>
    <w:rsid w:val="00FC430E"/>
    <w:rsid w:val="00FC503C"/>
    <w:rsid w:val="00FC5CDE"/>
    <w:rsid w:val="00FD1569"/>
    <w:rsid w:val="00FD2564"/>
    <w:rsid w:val="00FD351B"/>
    <w:rsid w:val="00FD4B78"/>
    <w:rsid w:val="00FD51CD"/>
    <w:rsid w:val="00FD538D"/>
    <w:rsid w:val="00FD7FF6"/>
    <w:rsid w:val="00FE19E5"/>
    <w:rsid w:val="00FE1F21"/>
    <w:rsid w:val="00FE3BA3"/>
    <w:rsid w:val="00FE494F"/>
    <w:rsid w:val="00FE4A38"/>
    <w:rsid w:val="00FE540F"/>
    <w:rsid w:val="00FE5ED2"/>
    <w:rsid w:val="00FE64B6"/>
    <w:rsid w:val="00FF1729"/>
    <w:rsid w:val="00FF2776"/>
    <w:rsid w:val="00FF2EAA"/>
    <w:rsid w:val="00FF32DA"/>
    <w:rsid w:val="00FF4D50"/>
    <w:rsid w:val="00FF507B"/>
    <w:rsid w:val="00FF6224"/>
    <w:rsid w:val="00FF6B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53B41D97"/>
  <w15:chartTrackingRefBased/>
  <w15:docId w15:val="{D5D99E66-DC50-4050-BA0E-C23BC8F9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655"/>
    <w:pPr>
      <w:spacing w:after="240" w:line="260" w:lineRule="exact"/>
      <w:jc w:val="both"/>
    </w:pPr>
    <w:rPr>
      <w:rFonts w:ascii="Book Antiqua" w:hAnsi="Book Antiqua"/>
    </w:rPr>
  </w:style>
  <w:style w:type="paragraph" w:styleId="Heading1">
    <w:name w:val="heading 1"/>
    <w:basedOn w:val="Normal"/>
    <w:next w:val="Normal"/>
    <w:link w:val="Heading1Char"/>
    <w:qFormat/>
    <w:rsid w:val="00355DD1"/>
    <w:pPr>
      <w:keepNext/>
      <w:spacing w:line="240" w:lineRule="auto"/>
      <w:jc w:val="center"/>
      <w:outlineLvl w:val="0"/>
    </w:pPr>
    <w:rPr>
      <w:rFonts w:ascii="Arial Bold" w:hAnsi="Arial Bold"/>
      <w:b/>
      <w:kern w:val="28"/>
      <w:sz w:val="36"/>
      <w:lang w:val="x-none"/>
    </w:rPr>
  </w:style>
  <w:style w:type="paragraph" w:styleId="Heading2">
    <w:name w:val="heading 2"/>
    <w:basedOn w:val="Normal"/>
    <w:next w:val="Normal"/>
    <w:link w:val="Heading2Char"/>
    <w:qFormat/>
    <w:rsid w:val="00355DD1"/>
    <w:pPr>
      <w:keepNext/>
      <w:spacing w:before="240" w:line="240" w:lineRule="auto"/>
      <w:jc w:val="left"/>
      <w:outlineLvl w:val="1"/>
    </w:pPr>
    <w:rPr>
      <w:rFonts w:ascii="Arial" w:hAnsi="Arial"/>
      <w:b/>
      <w:sz w:val="26"/>
      <w:lang w:val="x-none"/>
    </w:rPr>
  </w:style>
  <w:style w:type="paragraph" w:styleId="Heading3">
    <w:name w:val="heading 3"/>
    <w:basedOn w:val="Normal"/>
    <w:next w:val="Normal"/>
    <w:link w:val="Heading3Char"/>
    <w:qFormat/>
    <w:rsid w:val="005E5C4A"/>
    <w:pPr>
      <w:keepNext/>
      <w:tabs>
        <w:tab w:val="left" w:pos="709"/>
      </w:tabs>
      <w:spacing w:before="120" w:after="120" w:line="240" w:lineRule="auto"/>
      <w:jc w:val="left"/>
      <w:outlineLvl w:val="2"/>
    </w:pPr>
    <w:rPr>
      <w:rFonts w:ascii="Arial Bold" w:hAnsi="Arial Bold"/>
      <w:b/>
      <w:sz w:val="22"/>
      <w:lang w:val="x-none"/>
    </w:rPr>
  </w:style>
  <w:style w:type="paragraph" w:styleId="Heading4">
    <w:name w:val="heading 4"/>
    <w:basedOn w:val="Normal"/>
    <w:next w:val="Normal"/>
    <w:link w:val="Heading4Char"/>
    <w:qFormat/>
    <w:rsid w:val="005E5C4A"/>
    <w:pPr>
      <w:keepNext/>
      <w:tabs>
        <w:tab w:val="left" w:pos="709"/>
      </w:tabs>
      <w:spacing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5A601A"/>
    <w:pPr>
      <w:numPr>
        <w:numId w:val="3"/>
      </w:numPr>
      <w:tabs>
        <w:tab w:val="left" w:pos="397"/>
      </w:tabs>
      <w:spacing w:after="2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355DD1"/>
    <w:rPr>
      <w:rFonts w:ascii="Arial Bold" w:hAnsi="Arial Bold"/>
      <w:b/>
      <w:kern w:val="28"/>
      <w:sz w:val="36"/>
      <w:lang w:val="x-none"/>
    </w:rPr>
  </w:style>
  <w:style w:type="character" w:customStyle="1" w:styleId="Heading2Char">
    <w:name w:val="Heading 2 Char"/>
    <w:link w:val="Heading2"/>
    <w:rsid w:val="00355DD1"/>
    <w:rPr>
      <w:rFonts w:ascii="Arial" w:hAnsi="Arial"/>
      <w:b/>
      <w:sz w:val="26"/>
      <w:lang w:val="x-none"/>
    </w:rPr>
  </w:style>
  <w:style w:type="character" w:customStyle="1" w:styleId="Heading3Char">
    <w:name w:val="Heading 3 Char"/>
    <w:link w:val="Heading3"/>
    <w:rsid w:val="005E5C4A"/>
    <w:rPr>
      <w:rFonts w:ascii="Arial Bold" w:hAnsi="Arial Bold"/>
      <w:b/>
      <w:sz w:val="22"/>
      <w:lang w:val="x-none"/>
    </w:rPr>
  </w:style>
  <w:style w:type="character" w:customStyle="1" w:styleId="Heading4Char">
    <w:name w:val="Heading 4 Char"/>
    <w:link w:val="Heading4"/>
    <w:rsid w:val="005E5C4A"/>
    <w:rPr>
      <w:rFonts w:ascii="Arial" w:hAnsi="Arial"/>
      <w:b/>
      <w:lang w:val="x-none"/>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rsid w:val="0059350C"/>
    <w:pPr>
      <w:tabs>
        <w:tab w:val="center" w:pos="4153"/>
        <w:tab w:val="right" w:pos="8306"/>
      </w:tabs>
      <w:spacing w:after="0" w:line="240" w:lineRule="auto"/>
      <w:jc w:val="center"/>
    </w:pPr>
    <w:rPr>
      <w:rFonts w:ascii="Arial" w:hAnsi="Arial"/>
      <w:sz w:val="18"/>
      <w:lang w:val="x-none"/>
    </w:rPr>
  </w:style>
  <w:style w:type="character" w:customStyle="1" w:styleId="FooterChar">
    <w:name w:val="Footer Char"/>
    <w:link w:val="Footer"/>
    <w:rsid w:val="0059350C"/>
    <w:rPr>
      <w:rFonts w:ascii="Arial" w:hAnsi="Arial"/>
      <w:sz w:val="18"/>
      <w:lang w:val="x-none"/>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5E5C4A"/>
    <w:pPr>
      <w:keepNext/>
      <w:spacing w:after="360" w:line="240" w:lineRule="auto"/>
      <w:jc w:val="center"/>
    </w:pPr>
    <w:rPr>
      <w:rFonts w:ascii="Arial Bold" w:hAnsi="Arial Bold"/>
      <w:b/>
      <w:sz w:val="36"/>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925624"/>
    <w:pPr>
      <w:spacing w:after="0" w:line="240" w:lineRule="auto"/>
      <w:jc w:val="left"/>
    </w:pPr>
    <w:rPr>
      <w:rFonts w:ascii="Arial" w:hAnsi="Arial"/>
      <w:sz w:val="18"/>
    </w:rPr>
  </w:style>
  <w:style w:type="paragraph" w:customStyle="1" w:styleId="HeaderOdd">
    <w:name w:val="Header Odd"/>
    <w:basedOn w:val="Normal"/>
    <w:rsid w:val="007679DB"/>
    <w:pPr>
      <w:spacing w:after="0" w:line="240" w:lineRule="auto"/>
      <w:jc w:val="right"/>
    </w:pPr>
    <w:rPr>
      <w:rFonts w:ascii="Arial" w:hAnsi="Arial"/>
      <w:sz w:val="18"/>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5E5C4A"/>
    <w:pPr>
      <w:spacing w:before="240" w:line="240" w:lineRule="auto"/>
      <w:jc w:val="center"/>
    </w:pPr>
    <w:rPr>
      <w:rFonts w:ascii="Arial Bold" w:hAnsi="Arial Bold" w:cs="Arial"/>
      <w:b/>
      <w:sz w:val="52"/>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9C33E9"/>
    <w:pPr>
      <w:tabs>
        <w:tab w:val="left" w:pos="454"/>
      </w:tabs>
      <w:spacing w:after="0" w:line="240" w:lineRule="auto"/>
      <w:ind w:left="454" w:hanging="45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1B18CE"/>
    <w:pPr>
      <w:keepNext/>
      <w:spacing w:after="0" w:line="240" w:lineRule="auto"/>
      <w:ind w:left="1134" w:right="1134"/>
      <w:jc w:val="center"/>
    </w:pPr>
    <w:rPr>
      <w:rFonts w:asciiTheme="majorHAnsi" w:hAnsiTheme="majorHAnsi" w:cstheme="majorHAnsi"/>
      <w:sz w:val="32"/>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1B18CE"/>
    <w:rPr>
      <w:bCs/>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F045E6"/>
    <w:rPr>
      <w:b w:val="0"/>
      <w:color w:val="auto"/>
      <w:u w:val="non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qFormat/>
    <w:rsid w:val="00A64635"/>
    <w:pPr>
      <w:numPr>
        <w:numId w:val="1"/>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qFormat/>
    <w:rsid w:val="00A64635"/>
    <w:pPr>
      <w:numPr>
        <w:ilvl w:val="1"/>
        <w:numId w:val="1"/>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unhideWhenUsed/>
    <w:qFormat/>
    <w:rsid w:val="001A186D"/>
    <w:rPr>
      <w:lang w:val="x-none" w:eastAsia="x-none"/>
    </w:rPr>
  </w:style>
  <w:style w:type="character" w:customStyle="1" w:styleId="CommentTextChar">
    <w:name w:val="Comment Text Char"/>
    <w:link w:val="CommentText"/>
    <w:uiPriority w:val="99"/>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9C33E9"/>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rsid w:val="00DF686C"/>
    <w:pPr>
      <w:spacing w:before="240" w:after="240"/>
    </w:pPr>
    <w:rPr>
      <w:rFonts w:ascii="Arial" w:hAnsi="Arial"/>
      <w:b/>
      <w:sz w:val="26"/>
    </w:rPr>
  </w:style>
  <w:style w:type="paragraph" w:customStyle="1" w:styleId="PartHeading-NoTOC">
    <w:name w:val="Part Heading - No TOC"/>
    <w:basedOn w:val="PartHeading"/>
    <w:rsid w:val="00D17655"/>
  </w:style>
  <w:style w:type="paragraph" w:customStyle="1" w:styleId="Heading1-LVL2">
    <w:name w:val="Heading 1 - LVL2"/>
    <w:basedOn w:val="Heading1"/>
    <w:rsid w:val="00E95DE7"/>
  </w:style>
  <w:style w:type="paragraph" w:customStyle="1" w:styleId="Heading2-TOC">
    <w:name w:val="Heading 2 - TOC"/>
    <w:rsid w:val="004C0BD7"/>
    <w:pPr>
      <w:spacing w:before="360" w:after="360"/>
      <w:outlineLvl w:val="1"/>
    </w:pPr>
    <w:rPr>
      <w:rFonts w:ascii="Arial" w:hAnsi="Arial"/>
      <w:b/>
      <w:sz w:val="30"/>
    </w:rPr>
  </w:style>
  <w:style w:type="paragraph" w:styleId="Revision">
    <w:name w:val="Revision"/>
    <w:hidden/>
    <w:uiPriority w:val="99"/>
    <w:semiHidden/>
    <w:rsid w:val="007E57DC"/>
    <w:rPr>
      <w:rFonts w:ascii="Book Antiqua" w:hAnsi="Book Antiqua"/>
    </w:rPr>
  </w:style>
  <w:style w:type="paragraph" w:customStyle="1" w:styleId="FooterOdd">
    <w:name w:val="Footer Odd"/>
    <w:basedOn w:val="Footer"/>
    <w:qFormat/>
    <w:rsid w:val="0059350C"/>
    <w:pPr>
      <w:pBdr>
        <w:top w:val="single" w:sz="4" w:space="10" w:color="auto"/>
      </w:pBdr>
      <w:jc w:val="right"/>
    </w:pPr>
  </w:style>
  <w:style w:type="paragraph" w:customStyle="1" w:styleId="FooterEven">
    <w:name w:val="Footer Even"/>
    <w:basedOn w:val="Footer"/>
    <w:qFormat/>
    <w:rsid w:val="006E442F"/>
    <w:pPr>
      <w:pBdr>
        <w:top w:val="single" w:sz="4" w:space="10" w:color="auto"/>
      </w:pBdr>
      <w:jc w:val="left"/>
    </w:pPr>
    <w:rPr>
      <w:bCs/>
      <w:lang w:val="en-AU"/>
    </w:rPr>
  </w:style>
  <w:style w:type="table" w:styleId="TableGrid">
    <w:name w:val="Table Grid"/>
    <w:basedOn w:val="TableNormal"/>
    <w:rsid w:val="00925624"/>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FE1F21"/>
    <w:pPr>
      <w:spacing w:after="200" w:line="276" w:lineRule="auto"/>
      <w:ind w:left="720"/>
      <w:contextualSpacing/>
      <w:jc w:val="left"/>
    </w:pPr>
    <w:rPr>
      <w:rFonts w:ascii="Calibri" w:eastAsia="Calibri" w:hAnsi="Calibri"/>
      <w:sz w:val="22"/>
      <w:szCs w:val="22"/>
      <w:lang w:val="en-US" w:eastAsia="en-US"/>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FE1F21"/>
    <w:rPr>
      <w:rFonts w:eastAsia="Calibri"/>
      <w:sz w:val="22"/>
      <w:szCs w:val="22"/>
      <w:lang w:val="en-US" w:eastAsia="en-US"/>
    </w:rPr>
  </w:style>
  <w:style w:type="table" w:customStyle="1" w:styleId="TableGrid1">
    <w:name w:val="Table Grid1"/>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D0991"/>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Base">
    <w:name w:val="Header Base"/>
    <w:rsid w:val="003136F4"/>
    <w:rPr>
      <w:rFonts w:ascii="Book Antiqua" w:hAnsi="Book Antiqua"/>
      <w:i/>
    </w:rPr>
  </w:style>
  <w:style w:type="paragraph" w:customStyle="1" w:styleId="TableHeadingNoTable">
    <w:name w:val="Table Heading No Table"/>
    <w:basedOn w:val="TableHeading"/>
    <w:next w:val="Normal"/>
    <w:rsid w:val="0016597F"/>
    <w:pPr>
      <w:spacing w:before="0" w:after="240"/>
    </w:pPr>
    <w:rPr>
      <w:color w:val="000000"/>
      <w:lang w:eastAsia="x-none"/>
    </w:rPr>
  </w:style>
  <w:style w:type="paragraph" w:customStyle="1" w:styleId="PBSHeading-FiguresandTables">
    <w:name w:val="PBS Heading - Figures and Tables"/>
    <w:basedOn w:val="Caption"/>
    <w:qFormat/>
    <w:rsid w:val="00121ECE"/>
    <w:pPr>
      <w:spacing w:after="120"/>
      <w:jc w:val="left"/>
    </w:pPr>
    <w:rPr>
      <w:rFonts w:ascii="Arial Bold" w:hAnsi="Arial Bold"/>
      <w:b/>
      <w:i w:val="0"/>
      <w:iCs w:val="0"/>
      <w:color w:val="auto"/>
      <w:sz w:val="22"/>
      <w:szCs w:val="22"/>
    </w:rPr>
  </w:style>
  <w:style w:type="paragraph" w:customStyle="1" w:styleId="PBSHeading-Outcomestrategy">
    <w:name w:val="PBS Heading - Outcome strategy"/>
    <w:basedOn w:val="Normal"/>
    <w:qFormat/>
    <w:rsid w:val="00121ECE"/>
    <w:pPr>
      <w:spacing w:before="120" w:after="120" w:line="240" w:lineRule="auto"/>
      <w:jc w:val="left"/>
    </w:pPr>
    <w:rPr>
      <w:rFonts w:ascii="Arial" w:hAnsi="Arial" w:cs="Arial"/>
      <w:b/>
      <w:sz w:val="22"/>
    </w:rPr>
  </w:style>
  <w:style w:type="paragraph" w:styleId="Caption">
    <w:name w:val="caption"/>
    <w:basedOn w:val="Normal"/>
    <w:next w:val="Normal"/>
    <w:uiPriority w:val="35"/>
    <w:semiHidden/>
    <w:unhideWhenUsed/>
    <w:qFormat/>
    <w:rsid w:val="00121ECE"/>
    <w:pPr>
      <w:spacing w:after="200" w:line="240" w:lineRule="auto"/>
    </w:pPr>
    <w:rPr>
      <w:i/>
      <w:iCs/>
      <w:color w:val="44546A" w:themeColor="text2"/>
      <w:sz w:val="18"/>
      <w:szCs w:val="18"/>
    </w:rPr>
  </w:style>
  <w:style w:type="paragraph" w:customStyle="1" w:styleId="bulletlevel1">
    <w:name w:val="bullet level 1"/>
    <w:basedOn w:val="Normal"/>
    <w:qFormat/>
    <w:rsid w:val="0048347B"/>
    <w:pPr>
      <w:spacing w:before="120" w:after="120" w:line="240" w:lineRule="auto"/>
      <w:jc w:val="left"/>
    </w:pPr>
    <w:rPr>
      <w:iCs/>
      <w:color w:val="000000" w:themeColor="text1"/>
    </w:rPr>
  </w:style>
  <w:style w:type="paragraph" w:customStyle="1" w:styleId="TableHeadingcontinued0">
    <w:name w:val="Table Heading continued"/>
    <w:basedOn w:val="Normal"/>
    <w:next w:val="TableGraphic"/>
    <w:rsid w:val="00FE5ED2"/>
    <w:pPr>
      <w:keepNext/>
      <w:spacing w:after="20" w:line="240" w:lineRule="auto"/>
      <w:jc w:val="left"/>
    </w:pPr>
    <w:rPr>
      <w:rFonts w:ascii="Arial Bold" w:hAnsi="Arial Bold"/>
      <w:b/>
    </w:rPr>
  </w:style>
  <w:style w:type="paragraph" w:customStyle="1" w:styleId="BoxBullet">
    <w:name w:val="Box Bullet"/>
    <w:basedOn w:val="Normal"/>
    <w:rsid w:val="004B202A"/>
    <w:pPr>
      <w:numPr>
        <w:numId w:val="12"/>
      </w:numPr>
      <w:spacing w:after="120" w:line="240" w:lineRule="auto"/>
    </w:pPr>
    <w:rPr>
      <w:color w:val="000000"/>
    </w:rPr>
  </w:style>
  <w:style w:type="paragraph" w:customStyle="1" w:styleId="BoxDash">
    <w:name w:val="Box Dash"/>
    <w:basedOn w:val="Normal"/>
    <w:rsid w:val="004B202A"/>
    <w:pPr>
      <w:numPr>
        <w:ilvl w:val="1"/>
        <w:numId w:val="12"/>
      </w:numPr>
    </w:pPr>
    <w:rPr>
      <w:color w:val="000000"/>
    </w:rPr>
  </w:style>
  <w:style w:type="paragraph" w:customStyle="1" w:styleId="BoxDoubleDot">
    <w:name w:val="Box Double Dot"/>
    <w:basedOn w:val="Normal"/>
    <w:rsid w:val="004B202A"/>
    <w:pPr>
      <w:numPr>
        <w:ilvl w:val="2"/>
        <w:numId w:val="12"/>
      </w:numPr>
      <w:spacing w:after="120"/>
    </w:pPr>
    <w:rPr>
      <w:color w:val="000000"/>
    </w:rPr>
  </w:style>
  <w:style w:type="paragraph" w:customStyle="1" w:styleId="ChartandTableFootnoteAlpha-Bullet">
    <w:name w:val="Chart and Table Footnote Alpha - Bullet"/>
    <w:basedOn w:val="ChartandTableFootnoteAlpha"/>
    <w:rsid w:val="00984C33"/>
    <w:pPr>
      <w:numPr>
        <w:numId w:val="16"/>
      </w:numPr>
      <w:tabs>
        <w:tab w:val="left" w:pos="454"/>
      </w:tabs>
      <w:spacing w:after="0"/>
      <w:ind w:left="454" w:hanging="170"/>
    </w:pPr>
    <w:rPr>
      <w:rFonts w:cs="Arial"/>
      <w:szCs w:val="16"/>
    </w:rPr>
  </w:style>
  <w:style w:type="character" w:customStyle="1" w:styleId="normaltextrun">
    <w:name w:val="normaltextrun"/>
    <w:basedOn w:val="DefaultParagraphFont"/>
    <w:rsid w:val="00FA13E0"/>
  </w:style>
  <w:style w:type="paragraph" w:customStyle="1" w:styleId="paragraph">
    <w:name w:val="paragraph"/>
    <w:basedOn w:val="Normal"/>
    <w:rsid w:val="00FA13E0"/>
    <w:pPr>
      <w:spacing w:before="100" w:beforeAutospacing="1" w:after="100" w:afterAutospacing="1" w:line="240" w:lineRule="auto"/>
      <w:jc w:val="left"/>
    </w:pPr>
    <w:rPr>
      <w:rFonts w:ascii="Calibri" w:eastAsiaTheme="minorHAnsi" w:hAnsi="Calibri" w:cs="Calibri"/>
      <w:sz w:val="22"/>
      <w:szCs w:val="22"/>
    </w:rPr>
  </w:style>
  <w:style w:type="paragraph" w:customStyle="1" w:styleId="PBSHeading-FiguresandTableswithindent">
    <w:name w:val="PBS Heading - Figures and Tables (with indent)"/>
    <w:basedOn w:val="PBSHeading-FiguresandTables"/>
    <w:qFormat/>
    <w:rsid w:val="006D6366"/>
    <w:pPr>
      <w:ind w:left="1134" w:hanging="1134"/>
    </w:pPr>
  </w:style>
  <w:style w:type="paragraph" w:styleId="FootnoteText">
    <w:name w:val="footnote text"/>
    <w:basedOn w:val="Normal"/>
    <w:link w:val="FootnoteTextChar"/>
    <w:uiPriority w:val="99"/>
    <w:semiHidden/>
    <w:unhideWhenUsed/>
    <w:rsid w:val="00A36BDF"/>
    <w:pPr>
      <w:spacing w:after="0" w:line="240" w:lineRule="auto"/>
    </w:pPr>
  </w:style>
  <w:style w:type="character" w:customStyle="1" w:styleId="FootnoteTextChar">
    <w:name w:val="Footnote Text Char"/>
    <w:basedOn w:val="DefaultParagraphFont"/>
    <w:link w:val="FootnoteText"/>
    <w:uiPriority w:val="99"/>
    <w:semiHidden/>
    <w:rsid w:val="00A36BDF"/>
    <w:rPr>
      <w:rFonts w:ascii="Book Antiqua" w:hAnsi="Book Antiqua"/>
    </w:rPr>
  </w:style>
  <w:style w:type="character" w:styleId="FootnoteReference">
    <w:name w:val="footnote reference"/>
    <w:basedOn w:val="DefaultParagraphFont"/>
    <w:uiPriority w:val="99"/>
    <w:semiHidden/>
    <w:unhideWhenUsed/>
    <w:rsid w:val="00A36BDF"/>
    <w:rPr>
      <w:vertAlign w:val="superscript"/>
    </w:rPr>
  </w:style>
  <w:style w:type="paragraph" w:customStyle="1" w:styleId="BookAntiqua10left2">
    <w:name w:val="_Book Antiqua 10 left2"/>
    <w:basedOn w:val="Normal"/>
    <w:qFormat/>
    <w:rsid w:val="00304684"/>
    <w:pPr>
      <w:spacing w:after="120" w:line="240" w:lineRule="auto"/>
      <w:jc w:val="left"/>
    </w:pPr>
    <w:rPr>
      <w:lang w:eastAsia="en-US"/>
    </w:rPr>
  </w:style>
  <w:style w:type="paragraph" w:customStyle="1" w:styleId="Heading2-TOCNTC">
    <w:name w:val="Heading 2 - TOC NTC"/>
    <w:basedOn w:val="Heading2-TOC"/>
    <w:qFormat/>
    <w:rsid w:val="00252B31"/>
  </w:style>
  <w:style w:type="paragraph" w:customStyle="1" w:styleId="Heading3NTC">
    <w:name w:val="Heading 3 NTC"/>
    <w:basedOn w:val="Heading3"/>
    <w:qFormat/>
    <w:rsid w:val="00252B31"/>
    <w:rPr>
      <w:lang w:val="en-AU"/>
    </w:rPr>
  </w:style>
  <w:style w:type="paragraph" w:customStyle="1" w:styleId="Heading2-TOCACMA">
    <w:name w:val="Heading 2 - TOC ACMA"/>
    <w:basedOn w:val="Heading2-TOC"/>
    <w:qFormat/>
    <w:rsid w:val="00337BD9"/>
  </w:style>
  <w:style w:type="paragraph" w:customStyle="1" w:styleId="Heading3ACMA">
    <w:name w:val="Heading 3 ACMA"/>
    <w:basedOn w:val="Heading3"/>
    <w:qFormat/>
    <w:rsid w:val="00337BD9"/>
    <w:rPr>
      <w:lang w:val="en-AU"/>
    </w:rPr>
  </w:style>
  <w:style w:type="paragraph" w:customStyle="1" w:styleId="Heading2-TOCNCA">
    <w:name w:val="Heading 2 - TOC NCA"/>
    <w:basedOn w:val="Heading2-TOC"/>
    <w:qFormat/>
    <w:rsid w:val="00FB6A01"/>
  </w:style>
  <w:style w:type="paragraph" w:customStyle="1" w:styleId="Heading3NCA">
    <w:name w:val="Heading 3 NCA"/>
    <w:basedOn w:val="Heading3"/>
    <w:qFormat/>
    <w:rsid w:val="00FB6A01"/>
  </w:style>
  <w:style w:type="paragraph" w:customStyle="1" w:styleId="Heading2-TOCNFSA">
    <w:name w:val="Heading 2 - TOC NFSA"/>
    <w:basedOn w:val="Heading2-TOC"/>
    <w:qFormat/>
    <w:rsid w:val="008176BB"/>
  </w:style>
  <w:style w:type="paragraph" w:customStyle="1" w:styleId="Heading3NFSA">
    <w:name w:val="Heading 3 NFSA"/>
    <w:basedOn w:val="Heading3"/>
    <w:qFormat/>
    <w:rsid w:val="008176BB"/>
  </w:style>
  <w:style w:type="paragraph" w:customStyle="1" w:styleId="Heading2-TOCNLA">
    <w:name w:val="Heading 2 - TOC NLA"/>
    <w:basedOn w:val="Heading2-TOC"/>
    <w:qFormat/>
    <w:rsid w:val="0030114B"/>
  </w:style>
  <w:style w:type="paragraph" w:customStyle="1" w:styleId="Heading3NLA">
    <w:name w:val="Heading 3 NLA"/>
    <w:basedOn w:val="Heading3"/>
    <w:qFormat/>
    <w:rsid w:val="0030114B"/>
    <w:rPr>
      <w:lang w:val="en-AU"/>
    </w:rPr>
  </w:style>
  <w:style w:type="paragraph" w:customStyle="1" w:styleId="Heading2-TOCDITRDC">
    <w:name w:val="Heading 2 - TOC DITRDC"/>
    <w:basedOn w:val="Heading2-TOC"/>
    <w:qFormat/>
    <w:rsid w:val="00B87CAB"/>
  </w:style>
  <w:style w:type="paragraph" w:customStyle="1" w:styleId="Heading3DITRDC">
    <w:name w:val="Heading 3 DITRDC"/>
    <w:basedOn w:val="Heading3"/>
    <w:qFormat/>
    <w:rsid w:val="00B87CAB"/>
  </w:style>
  <w:style w:type="paragraph" w:styleId="Subtitle">
    <w:name w:val="Subtitle"/>
    <w:basedOn w:val="Normal"/>
    <w:next w:val="Normal"/>
    <w:link w:val="SubtitleChar"/>
    <w:uiPriority w:val="11"/>
    <w:qFormat/>
    <w:rsid w:val="00157D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57D6F"/>
    <w:rPr>
      <w:rFonts w:asciiTheme="minorHAnsi" w:eastAsiaTheme="minorEastAsia" w:hAnsiTheme="minorHAnsi" w:cstheme="minorBidi"/>
      <w:color w:val="5A5A5A" w:themeColor="text1" w:themeTint="A5"/>
      <w:spacing w:val="15"/>
      <w:sz w:val="22"/>
      <w:szCs w:val="22"/>
    </w:rPr>
  </w:style>
  <w:style w:type="paragraph" w:customStyle="1" w:styleId="Heading2-TOCCASA">
    <w:name w:val="Heading 2 - TOC CASA"/>
    <w:basedOn w:val="Heading2-TOC"/>
    <w:qFormat/>
    <w:rsid w:val="00C17040"/>
  </w:style>
  <w:style w:type="paragraph" w:customStyle="1" w:styleId="Heading3CASA">
    <w:name w:val="Heading 3 CASA"/>
    <w:basedOn w:val="Heading3"/>
    <w:qFormat/>
    <w:rsid w:val="00886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375">
      <w:bodyDiv w:val="1"/>
      <w:marLeft w:val="0"/>
      <w:marRight w:val="0"/>
      <w:marTop w:val="0"/>
      <w:marBottom w:val="0"/>
      <w:divBdr>
        <w:top w:val="none" w:sz="0" w:space="0" w:color="auto"/>
        <w:left w:val="none" w:sz="0" w:space="0" w:color="auto"/>
        <w:bottom w:val="none" w:sz="0" w:space="0" w:color="auto"/>
        <w:right w:val="none" w:sz="0" w:space="0" w:color="auto"/>
      </w:divBdr>
    </w:div>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9375894">
      <w:bodyDiv w:val="1"/>
      <w:marLeft w:val="0"/>
      <w:marRight w:val="0"/>
      <w:marTop w:val="0"/>
      <w:marBottom w:val="0"/>
      <w:divBdr>
        <w:top w:val="none" w:sz="0" w:space="0" w:color="auto"/>
        <w:left w:val="none" w:sz="0" w:space="0" w:color="auto"/>
        <w:bottom w:val="none" w:sz="0" w:space="0" w:color="auto"/>
        <w:right w:val="none" w:sz="0" w:space="0" w:color="auto"/>
      </w:divBdr>
    </w:div>
    <w:div w:id="14156327">
      <w:bodyDiv w:val="1"/>
      <w:marLeft w:val="0"/>
      <w:marRight w:val="0"/>
      <w:marTop w:val="0"/>
      <w:marBottom w:val="0"/>
      <w:divBdr>
        <w:top w:val="none" w:sz="0" w:space="0" w:color="auto"/>
        <w:left w:val="none" w:sz="0" w:space="0" w:color="auto"/>
        <w:bottom w:val="none" w:sz="0" w:space="0" w:color="auto"/>
        <w:right w:val="none" w:sz="0" w:space="0" w:color="auto"/>
      </w:divBdr>
    </w:div>
    <w:div w:id="20129748">
      <w:bodyDiv w:val="1"/>
      <w:marLeft w:val="0"/>
      <w:marRight w:val="0"/>
      <w:marTop w:val="0"/>
      <w:marBottom w:val="0"/>
      <w:divBdr>
        <w:top w:val="none" w:sz="0" w:space="0" w:color="auto"/>
        <w:left w:val="none" w:sz="0" w:space="0" w:color="auto"/>
        <w:bottom w:val="none" w:sz="0" w:space="0" w:color="auto"/>
        <w:right w:val="none" w:sz="0" w:space="0" w:color="auto"/>
      </w:divBdr>
    </w:div>
    <w:div w:id="30762096">
      <w:bodyDiv w:val="1"/>
      <w:marLeft w:val="0"/>
      <w:marRight w:val="0"/>
      <w:marTop w:val="0"/>
      <w:marBottom w:val="0"/>
      <w:divBdr>
        <w:top w:val="none" w:sz="0" w:space="0" w:color="auto"/>
        <w:left w:val="none" w:sz="0" w:space="0" w:color="auto"/>
        <w:bottom w:val="none" w:sz="0" w:space="0" w:color="auto"/>
        <w:right w:val="none" w:sz="0" w:space="0" w:color="auto"/>
      </w:divBdr>
    </w:div>
    <w:div w:id="55708298">
      <w:bodyDiv w:val="1"/>
      <w:marLeft w:val="0"/>
      <w:marRight w:val="0"/>
      <w:marTop w:val="0"/>
      <w:marBottom w:val="0"/>
      <w:divBdr>
        <w:top w:val="none" w:sz="0" w:space="0" w:color="auto"/>
        <w:left w:val="none" w:sz="0" w:space="0" w:color="auto"/>
        <w:bottom w:val="none" w:sz="0" w:space="0" w:color="auto"/>
        <w:right w:val="none" w:sz="0" w:space="0" w:color="auto"/>
      </w:divBdr>
    </w:div>
    <w:div w:id="80639269">
      <w:bodyDiv w:val="1"/>
      <w:marLeft w:val="0"/>
      <w:marRight w:val="0"/>
      <w:marTop w:val="0"/>
      <w:marBottom w:val="0"/>
      <w:divBdr>
        <w:top w:val="none" w:sz="0" w:space="0" w:color="auto"/>
        <w:left w:val="none" w:sz="0" w:space="0" w:color="auto"/>
        <w:bottom w:val="none" w:sz="0" w:space="0" w:color="auto"/>
        <w:right w:val="none" w:sz="0" w:space="0" w:color="auto"/>
      </w:divBdr>
    </w:div>
    <w:div w:id="84688786">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17379387">
      <w:bodyDiv w:val="1"/>
      <w:marLeft w:val="0"/>
      <w:marRight w:val="0"/>
      <w:marTop w:val="0"/>
      <w:marBottom w:val="0"/>
      <w:divBdr>
        <w:top w:val="none" w:sz="0" w:space="0" w:color="auto"/>
        <w:left w:val="none" w:sz="0" w:space="0" w:color="auto"/>
        <w:bottom w:val="none" w:sz="0" w:space="0" w:color="auto"/>
        <w:right w:val="none" w:sz="0" w:space="0" w:color="auto"/>
      </w:divBdr>
    </w:div>
    <w:div w:id="125587993">
      <w:bodyDiv w:val="1"/>
      <w:marLeft w:val="0"/>
      <w:marRight w:val="0"/>
      <w:marTop w:val="0"/>
      <w:marBottom w:val="0"/>
      <w:divBdr>
        <w:top w:val="none" w:sz="0" w:space="0" w:color="auto"/>
        <w:left w:val="none" w:sz="0" w:space="0" w:color="auto"/>
        <w:bottom w:val="none" w:sz="0" w:space="0" w:color="auto"/>
        <w:right w:val="none" w:sz="0" w:space="0" w:color="auto"/>
      </w:divBdr>
    </w:div>
    <w:div w:id="126053779">
      <w:bodyDiv w:val="1"/>
      <w:marLeft w:val="0"/>
      <w:marRight w:val="0"/>
      <w:marTop w:val="0"/>
      <w:marBottom w:val="0"/>
      <w:divBdr>
        <w:top w:val="none" w:sz="0" w:space="0" w:color="auto"/>
        <w:left w:val="none" w:sz="0" w:space="0" w:color="auto"/>
        <w:bottom w:val="none" w:sz="0" w:space="0" w:color="auto"/>
        <w:right w:val="none" w:sz="0" w:space="0" w:color="auto"/>
      </w:divBdr>
    </w:div>
    <w:div w:id="151414429">
      <w:bodyDiv w:val="1"/>
      <w:marLeft w:val="0"/>
      <w:marRight w:val="0"/>
      <w:marTop w:val="0"/>
      <w:marBottom w:val="0"/>
      <w:divBdr>
        <w:top w:val="none" w:sz="0" w:space="0" w:color="auto"/>
        <w:left w:val="none" w:sz="0" w:space="0" w:color="auto"/>
        <w:bottom w:val="none" w:sz="0" w:space="0" w:color="auto"/>
        <w:right w:val="none" w:sz="0" w:space="0" w:color="auto"/>
      </w:divBdr>
    </w:div>
    <w:div w:id="158545895">
      <w:bodyDiv w:val="1"/>
      <w:marLeft w:val="0"/>
      <w:marRight w:val="0"/>
      <w:marTop w:val="0"/>
      <w:marBottom w:val="0"/>
      <w:divBdr>
        <w:top w:val="none" w:sz="0" w:space="0" w:color="auto"/>
        <w:left w:val="none" w:sz="0" w:space="0" w:color="auto"/>
        <w:bottom w:val="none" w:sz="0" w:space="0" w:color="auto"/>
        <w:right w:val="none" w:sz="0" w:space="0" w:color="auto"/>
      </w:divBdr>
    </w:div>
    <w:div w:id="161511911">
      <w:bodyDiv w:val="1"/>
      <w:marLeft w:val="0"/>
      <w:marRight w:val="0"/>
      <w:marTop w:val="0"/>
      <w:marBottom w:val="0"/>
      <w:divBdr>
        <w:top w:val="none" w:sz="0" w:space="0" w:color="auto"/>
        <w:left w:val="none" w:sz="0" w:space="0" w:color="auto"/>
        <w:bottom w:val="none" w:sz="0" w:space="0" w:color="auto"/>
        <w:right w:val="none" w:sz="0" w:space="0" w:color="auto"/>
      </w:divBdr>
    </w:div>
    <w:div w:id="168913926">
      <w:bodyDiv w:val="1"/>
      <w:marLeft w:val="0"/>
      <w:marRight w:val="0"/>
      <w:marTop w:val="0"/>
      <w:marBottom w:val="0"/>
      <w:divBdr>
        <w:top w:val="none" w:sz="0" w:space="0" w:color="auto"/>
        <w:left w:val="none" w:sz="0" w:space="0" w:color="auto"/>
        <w:bottom w:val="none" w:sz="0" w:space="0" w:color="auto"/>
        <w:right w:val="none" w:sz="0" w:space="0" w:color="auto"/>
      </w:divBdr>
    </w:div>
    <w:div w:id="175461093">
      <w:bodyDiv w:val="1"/>
      <w:marLeft w:val="0"/>
      <w:marRight w:val="0"/>
      <w:marTop w:val="0"/>
      <w:marBottom w:val="0"/>
      <w:divBdr>
        <w:top w:val="none" w:sz="0" w:space="0" w:color="auto"/>
        <w:left w:val="none" w:sz="0" w:space="0" w:color="auto"/>
        <w:bottom w:val="none" w:sz="0" w:space="0" w:color="auto"/>
        <w:right w:val="none" w:sz="0" w:space="0" w:color="auto"/>
      </w:divBdr>
    </w:div>
    <w:div w:id="175772711">
      <w:bodyDiv w:val="1"/>
      <w:marLeft w:val="0"/>
      <w:marRight w:val="0"/>
      <w:marTop w:val="0"/>
      <w:marBottom w:val="0"/>
      <w:divBdr>
        <w:top w:val="none" w:sz="0" w:space="0" w:color="auto"/>
        <w:left w:val="none" w:sz="0" w:space="0" w:color="auto"/>
        <w:bottom w:val="none" w:sz="0" w:space="0" w:color="auto"/>
        <w:right w:val="none" w:sz="0" w:space="0" w:color="auto"/>
      </w:divBdr>
    </w:div>
    <w:div w:id="178738610">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185683257">
      <w:bodyDiv w:val="1"/>
      <w:marLeft w:val="0"/>
      <w:marRight w:val="0"/>
      <w:marTop w:val="0"/>
      <w:marBottom w:val="0"/>
      <w:divBdr>
        <w:top w:val="none" w:sz="0" w:space="0" w:color="auto"/>
        <w:left w:val="none" w:sz="0" w:space="0" w:color="auto"/>
        <w:bottom w:val="none" w:sz="0" w:space="0" w:color="auto"/>
        <w:right w:val="none" w:sz="0" w:space="0" w:color="auto"/>
      </w:divBdr>
    </w:div>
    <w:div w:id="195971227">
      <w:bodyDiv w:val="1"/>
      <w:marLeft w:val="0"/>
      <w:marRight w:val="0"/>
      <w:marTop w:val="0"/>
      <w:marBottom w:val="0"/>
      <w:divBdr>
        <w:top w:val="none" w:sz="0" w:space="0" w:color="auto"/>
        <w:left w:val="none" w:sz="0" w:space="0" w:color="auto"/>
        <w:bottom w:val="none" w:sz="0" w:space="0" w:color="auto"/>
        <w:right w:val="none" w:sz="0" w:space="0" w:color="auto"/>
      </w:divBdr>
    </w:div>
    <w:div w:id="219559286">
      <w:bodyDiv w:val="1"/>
      <w:marLeft w:val="0"/>
      <w:marRight w:val="0"/>
      <w:marTop w:val="0"/>
      <w:marBottom w:val="0"/>
      <w:divBdr>
        <w:top w:val="none" w:sz="0" w:space="0" w:color="auto"/>
        <w:left w:val="none" w:sz="0" w:space="0" w:color="auto"/>
        <w:bottom w:val="none" w:sz="0" w:space="0" w:color="auto"/>
        <w:right w:val="none" w:sz="0" w:space="0" w:color="auto"/>
      </w:divBdr>
    </w:div>
    <w:div w:id="232282957">
      <w:bodyDiv w:val="1"/>
      <w:marLeft w:val="0"/>
      <w:marRight w:val="0"/>
      <w:marTop w:val="0"/>
      <w:marBottom w:val="0"/>
      <w:divBdr>
        <w:top w:val="none" w:sz="0" w:space="0" w:color="auto"/>
        <w:left w:val="none" w:sz="0" w:space="0" w:color="auto"/>
        <w:bottom w:val="none" w:sz="0" w:space="0" w:color="auto"/>
        <w:right w:val="none" w:sz="0" w:space="0" w:color="auto"/>
      </w:divBdr>
    </w:div>
    <w:div w:id="249898830">
      <w:bodyDiv w:val="1"/>
      <w:marLeft w:val="0"/>
      <w:marRight w:val="0"/>
      <w:marTop w:val="0"/>
      <w:marBottom w:val="0"/>
      <w:divBdr>
        <w:top w:val="none" w:sz="0" w:space="0" w:color="auto"/>
        <w:left w:val="none" w:sz="0" w:space="0" w:color="auto"/>
        <w:bottom w:val="none" w:sz="0" w:space="0" w:color="auto"/>
        <w:right w:val="none" w:sz="0" w:space="0" w:color="auto"/>
      </w:divBdr>
    </w:div>
    <w:div w:id="255283796">
      <w:bodyDiv w:val="1"/>
      <w:marLeft w:val="0"/>
      <w:marRight w:val="0"/>
      <w:marTop w:val="0"/>
      <w:marBottom w:val="0"/>
      <w:divBdr>
        <w:top w:val="none" w:sz="0" w:space="0" w:color="auto"/>
        <w:left w:val="none" w:sz="0" w:space="0" w:color="auto"/>
        <w:bottom w:val="none" w:sz="0" w:space="0" w:color="auto"/>
        <w:right w:val="none" w:sz="0" w:space="0" w:color="auto"/>
      </w:divBdr>
    </w:div>
    <w:div w:id="262500446">
      <w:bodyDiv w:val="1"/>
      <w:marLeft w:val="0"/>
      <w:marRight w:val="0"/>
      <w:marTop w:val="0"/>
      <w:marBottom w:val="0"/>
      <w:divBdr>
        <w:top w:val="none" w:sz="0" w:space="0" w:color="auto"/>
        <w:left w:val="none" w:sz="0" w:space="0" w:color="auto"/>
        <w:bottom w:val="none" w:sz="0" w:space="0" w:color="auto"/>
        <w:right w:val="none" w:sz="0" w:space="0" w:color="auto"/>
      </w:divBdr>
    </w:div>
    <w:div w:id="267279429">
      <w:bodyDiv w:val="1"/>
      <w:marLeft w:val="0"/>
      <w:marRight w:val="0"/>
      <w:marTop w:val="0"/>
      <w:marBottom w:val="0"/>
      <w:divBdr>
        <w:top w:val="none" w:sz="0" w:space="0" w:color="auto"/>
        <w:left w:val="none" w:sz="0" w:space="0" w:color="auto"/>
        <w:bottom w:val="none" w:sz="0" w:space="0" w:color="auto"/>
        <w:right w:val="none" w:sz="0" w:space="0" w:color="auto"/>
      </w:divBdr>
    </w:div>
    <w:div w:id="268397886">
      <w:bodyDiv w:val="1"/>
      <w:marLeft w:val="0"/>
      <w:marRight w:val="0"/>
      <w:marTop w:val="0"/>
      <w:marBottom w:val="0"/>
      <w:divBdr>
        <w:top w:val="none" w:sz="0" w:space="0" w:color="auto"/>
        <w:left w:val="none" w:sz="0" w:space="0" w:color="auto"/>
        <w:bottom w:val="none" w:sz="0" w:space="0" w:color="auto"/>
        <w:right w:val="none" w:sz="0" w:space="0" w:color="auto"/>
      </w:divBdr>
    </w:div>
    <w:div w:id="271743181">
      <w:bodyDiv w:val="1"/>
      <w:marLeft w:val="0"/>
      <w:marRight w:val="0"/>
      <w:marTop w:val="0"/>
      <w:marBottom w:val="0"/>
      <w:divBdr>
        <w:top w:val="none" w:sz="0" w:space="0" w:color="auto"/>
        <w:left w:val="none" w:sz="0" w:space="0" w:color="auto"/>
        <w:bottom w:val="none" w:sz="0" w:space="0" w:color="auto"/>
        <w:right w:val="none" w:sz="0" w:space="0" w:color="auto"/>
      </w:divBdr>
    </w:div>
    <w:div w:id="275453272">
      <w:bodyDiv w:val="1"/>
      <w:marLeft w:val="0"/>
      <w:marRight w:val="0"/>
      <w:marTop w:val="0"/>
      <w:marBottom w:val="0"/>
      <w:divBdr>
        <w:top w:val="none" w:sz="0" w:space="0" w:color="auto"/>
        <w:left w:val="none" w:sz="0" w:space="0" w:color="auto"/>
        <w:bottom w:val="none" w:sz="0" w:space="0" w:color="auto"/>
        <w:right w:val="none" w:sz="0" w:space="0" w:color="auto"/>
      </w:divBdr>
    </w:div>
    <w:div w:id="275597142">
      <w:bodyDiv w:val="1"/>
      <w:marLeft w:val="0"/>
      <w:marRight w:val="0"/>
      <w:marTop w:val="0"/>
      <w:marBottom w:val="0"/>
      <w:divBdr>
        <w:top w:val="none" w:sz="0" w:space="0" w:color="auto"/>
        <w:left w:val="none" w:sz="0" w:space="0" w:color="auto"/>
        <w:bottom w:val="none" w:sz="0" w:space="0" w:color="auto"/>
        <w:right w:val="none" w:sz="0" w:space="0" w:color="auto"/>
      </w:divBdr>
    </w:div>
    <w:div w:id="278489806">
      <w:bodyDiv w:val="1"/>
      <w:marLeft w:val="0"/>
      <w:marRight w:val="0"/>
      <w:marTop w:val="0"/>
      <w:marBottom w:val="0"/>
      <w:divBdr>
        <w:top w:val="none" w:sz="0" w:space="0" w:color="auto"/>
        <w:left w:val="none" w:sz="0" w:space="0" w:color="auto"/>
        <w:bottom w:val="none" w:sz="0" w:space="0" w:color="auto"/>
        <w:right w:val="none" w:sz="0" w:space="0" w:color="auto"/>
      </w:divBdr>
    </w:div>
    <w:div w:id="283390926">
      <w:bodyDiv w:val="1"/>
      <w:marLeft w:val="0"/>
      <w:marRight w:val="0"/>
      <w:marTop w:val="0"/>
      <w:marBottom w:val="0"/>
      <w:divBdr>
        <w:top w:val="none" w:sz="0" w:space="0" w:color="auto"/>
        <w:left w:val="none" w:sz="0" w:space="0" w:color="auto"/>
        <w:bottom w:val="none" w:sz="0" w:space="0" w:color="auto"/>
        <w:right w:val="none" w:sz="0" w:space="0" w:color="auto"/>
      </w:divBdr>
    </w:div>
    <w:div w:id="324403645">
      <w:bodyDiv w:val="1"/>
      <w:marLeft w:val="0"/>
      <w:marRight w:val="0"/>
      <w:marTop w:val="0"/>
      <w:marBottom w:val="0"/>
      <w:divBdr>
        <w:top w:val="none" w:sz="0" w:space="0" w:color="auto"/>
        <w:left w:val="none" w:sz="0" w:space="0" w:color="auto"/>
        <w:bottom w:val="none" w:sz="0" w:space="0" w:color="auto"/>
        <w:right w:val="none" w:sz="0" w:space="0" w:color="auto"/>
      </w:divBdr>
    </w:div>
    <w:div w:id="331641005">
      <w:bodyDiv w:val="1"/>
      <w:marLeft w:val="0"/>
      <w:marRight w:val="0"/>
      <w:marTop w:val="0"/>
      <w:marBottom w:val="0"/>
      <w:divBdr>
        <w:top w:val="none" w:sz="0" w:space="0" w:color="auto"/>
        <w:left w:val="none" w:sz="0" w:space="0" w:color="auto"/>
        <w:bottom w:val="none" w:sz="0" w:space="0" w:color="auto"/>
        <w:right w:val="none" w:sz="0" w:space="0" w:color="auto"/>
      </w:divBdr>
    </w:div>
    <w:div w:id="335499163">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59749288">
      <w:bodyDiv w:val="1"/>
      <w:marLeft w:val="0"/>
      <w:marRight w:val="0"/>
      <w:marTop w:val="0"/>
      <w:marBottom w:val="0"/>
      <w:divBdr>
        <w:top w:val="none" w:sz="0" w:space="0" w:color="auto"/>
        <w:left w:val="none" w:sz="0" w:space="0" w:color="auto"/>
        <w:bottom w:val="none" w:sz="0" w:space="0" w:color="auto"/>
        <w:right w:val="none" w:sz="0" w:space="0" w:color="auto"/>
      </w:divBdr>
    </w:div>
    <w:div w:id="372854354">
      <w:bodyDiv w:val="1"/>
      <w:marLeft w:val="0"/>
      <w:marRight w:val="0"/>
      <w:marTop w:val="0"/>
      <w:marBottom w:val="0"/>
      <w:divBdr>
        <w:top w:val="none" w:sz="0" w:space="0" w:color="auto"/>
        <w:left w:val="none" w:sz="0" w:space="0" w:color="auto"/>
        <w:bottom w:val="none" w:sz="0" w:space="0" w:color="auto"/>
        <w:right w:val="none" w:sz="0" w:space="0" w:color="auto"/>
      </w:divBdr>
    </w:div>
    <w:div w:id="372928347">
      <w:bodyDiv w:val="1"/>
      <w:marLeft w:val="0"/>
      <w:marRight w:val="0"/>
      <w:marTop w:val="0"/>
      <w:marBottom w:val="0"/>
      <w:divBdr>
        <w:top w:val="none" w:sz="0" w:space="0" w:color="auto"/>
        <w:left w:val="none" w:sz="0" w:space="0" w:color="auto"/>
        <w:bottom w:val="none" w:sz="0" w:space="0" w:color="auto"/>
        <w:right w:val="none" w:sz="0" w:space="0" w:color="auto"/>
      </w:divBdr>
    </w:div>
    <w:div w:id="376855933">
      <w:bodyDiv w:val="1"/>
      <w:marLeft w:val="0"/>
      <w:marRight w:val="0"/>
      <w:marTop w:val="0"/>
      <w:marBottom w:val="0"/>
      <w:divBdr>
        <w:top w:val="none" w:sz="0" w:space="0" w:color="auto"/>
        <w:left w:val="none" w:sz="0" w:space="0" w:color="auto"/>
        <w:bottom w:val="none" w:sz="0" w:space="0" w:color="auto"/>
        <w:right w:val="none" w:sz="0" w:space="0" w:color="auto"/>
      </w:divBdr>
    </w:div>
    <w:div w:id="377970117">
      <w:bodyDiv w:val="1"/>
      <w:marLeft w:val="0"/>
      <w:marRight w:val="0"/>
      <w:marTop w:val="0"/>
      <w:marBottom w:val="0"/>
      <w:divBdr>
        <w:top w:val="none" w:sz="0" w:space="0" w:color="auto"/>
        <w:left w:val="none" w:sz="0" w:space="0" w:color="auto"/>
        <w:bottom w:val="none" w:sz="0" w:space="0" w:color="auto"/>
        <w:right w:val="none" w:sz="0" w:space="0" w:color="auto"/>
      </w:divBdr>
    </w:div>
    <w:div w:id="392512391">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397017956">
      <w:bodyDiv w:val="1"/>
      <w:marLeft w:val="0"/>
      <w:marRight w:val="0"/>
      <w:marTop w:val="0"/>
      <w:marBottom w:val="0"/>
      <w:divBdr>
        <w:top w:val="none" w:sz="0" w:space="0" w:color="auto"/>
        <w:left w:val="none" w:sz="0" w:space="0" w:color="auto"/>
        <w:bottom w:val="none" w:sz="0" w:space="0" w:color="auto"/>
        <w:right w:val="none" w:sz="0" w:space="0" w:color="auto"/>
      </w:divBdr>
    </w:div>
    <w:div w:id="400715770">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06078507">
      <w:bodyDiv w:val="1"/>
      <w:marLeft w:val="0"/>
      <w:marRight w:val="0"/>
      <w:marTop w:val="0"/>
      <w:marBottom w:val="0"/>
      <w:divBdr>
        <w:top w:val="none" w:sz="0" w:space="0" w:color="auto"/>
        <w:left w:val="none" w:sz="0" w:space="0" w:color="auto"/>
        <w:bottom w:val="none" w:sz="0" w:space="0" w:color="auto"/>
        <w:right w:val="none" w:sz="0" w:space="0" w:color="auto"/>
      </w:divBdr>
    </w:div>
    <w:div w:id="415244460">
      <w:bodyDiv w:val="1"/>
      <w:marLeft w:val="0"/>
      <w:marRight w:val="0"/>
      <w:marTop w:val="0"/>
      <w:marBottom w:val="0"/>
      <w:divBdr>
        <w:top w:val="none" w:sz="0" w:space="0" w:color="auto"/>
        <w:left w:val="none" w:sz="0" w:space="0" w:color="auto"/>
        <w:bottom w:val="none" w:sz="0" w:space="0" w:color="auto"/>
        <w:right w:val="none" w:sz="0" w:space="0" w:color="auto"/>
      </w:divBdr>
    </w:div>
    <w:div w:id="419837115">
      <w:bodyDiv w:val="1"/>
      <w:marLeft w:val="0"/>
      <w:marRight w:val="0"/>
      <w:marTop w:val="0"/>
      <w:marBottom w:val="0"/>
      <w:divBdr>
        <w:top w:val="none" w:sz="0" w:space="0" w:color="auto"/>
        <w:left w:val="none" w:sz="0" w:space="0" w:color="auto"/>
        <w:bottom w:val="none" w:sz="0" w:space="0" w:color="auto"/>
        <w:right w:val="none" w:sz="0" w:space="0" w:color="auto"/>
      </w:divBdr>
    </w:div>
    <w:div w:id="423039726">
      <w:bodyDiv w:val="1"/>
      <w:marLeft w:val="0"/>
      <w:marRight w:val="0"/>
      <w:marTop w:val="0"/>
      <w:marBottom w:val="0"/>
      <w:divBdr>
        <w:top w:val="none" w:sz="0" w:space="0" w:color="auto"/>
        <w:left w:val="none" w:sz="0" w:space="0" w:color="auto"/>
        <w:bottom w:val="none" w:sz="0" w:space="0" w:color="auto"/>
        <w:right w:val="none" w:sz="0" w:space="0" w:color="auto"/>
      </w:divBdr>
    </w:div>
    <w:div w:id="426772517">
      <w:bodyDiv w:val="1"/>
      <w:marLeft w:val="0"/>
      <w:marRight w:val="0"/>
      <w:marTop w:val="0"/>
      <w:marBottom w:val="0"/>
      <w:divBdr>
        <w:top w:val="none" w:sz="0" w:space="0" w:color="auto"/>
        <w:left w:val="none" w:sz="0" w:space="0" w:color="auto"/>
        <w:bottom w:val="none" w:sz="0" w:space="0" w:color="auto"/>
        <w:right w:val="none" w:sz="0" w:space="0" w:color="auto"/>
      </w:divBdr>
    </w:div>
    <w:div w:id="427770046">
      <w:bodyDiv w:val="1"/>
      <w:marLeft w:val="0"/>
      <w:marRight w:val="0"/>
      <w:marTop w:val="0"/>
      <w:marBottom w:val="0"/>
      <w:divBdr>
        <w:top w:val="none" w:sz="0" w:space="0" w:color="auto"/>
        <w:left w:val="none" w:sz="0" w:space="0" w:color="auto"/>
        <w:bottom w:val="none" w:sz="0" w:space="0" w:color="auto"/>
        <w:right w:val="none" w:sz="0" w:space="0" w:color="auto"/>
      </w:divBdr>
    </w:div>
    <w:div w:id="436026863">
      <w:bodyDiv w:val="1"/>
      <w:marLeft w:val="0"/>
      <w:marRight w:val="0"/>
      <w:marTop w:val="0"/>
      <w:marBottom w:val="0"/>
      <w:divBdr>
        <w:top w:val="none" w:sz="0" w:space="0" w:color="auto"/>
        <w:left w:val="none" w:sz="0" w:space="0" w:color="auto"/>
        <w:bottom w:val="none" w:sz="0" w:space="0" w:color="auto"/>
        <w:right w:val="none" w:sz="0" w:space="0" w:color="auto"/>
      </w:divBdr>
    </w:div>
    <w:div w:id="453402057">
      <w:bodyDiv w:val="1"/>
      <w:marLeft w:val="0"/>
      <w:marRight w:val="0"/>
      <w:marTop w:val="0"/>
      <w:marBottom w:val="0"/>
      <w:divBdr>
        <w:top w:val="none" w:sz="0" w:space="0" w:color="auto"/>
        <w:left w:val="none" w:sz="0" w:space="0" w:color="auto"/>
        <w:bottom w:val="none" w:sz="0" w:space="0" w:color="auto"/>
        <w:right w:val="none" w:sz="0" w:space="0" w:color="auto"/>
      </w:divBdr>
    </w:div>
    <w:div w:id="453908959">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479343077">
      <w:bodyDiv w:val="1"/>
      <w:marLeft w:val="0"/>
      <w:marRight w:val="0"/>
      <w:marTop w:val="0"/>
      <w:marBottom w:val="0"/>
      <w:divBdr>
        <w:top w:val="none" w:sz="0" w:space="0" w:color="auto"/>
        <w:left w:val="none" w:sz="0" w:space="0" w:color="auto"/>
        <w:bottom w:val="none" w:sz="0" w:space="0" w:color="auto"/>
        <w:right w:val="none" w:sz="0" w:space="0" w:color="auto"/>
      </w:divBdr>
    </w:div>
    <w:div w:id="484781988">
      <w:bodyDiv w:val="1"/>
      <w:marLeft w:val="0"/>
      <w:marRight w:val="0"/>
      <w:marTop w:val="0"/>
      <w:marBottom w:val="0"/>
      <w:divBdr>
        <w:top w:val="none" w:sz="0" w:space="0" w:color="auto"/>
        <w:left w:val="none" w:sz="0" w:space="0" w:color="auto"/>
        <w:bottom w:val="none" w:sz="0" w:space="0" w:color="auto"/>
        <w:right w:val="none" w:sz="0" w:space="0" w:color="auto"/>
      </w:divBdr>
    </w:div>
    <w:div w:id="489634487">
      <w:bodyDiv w:val="1"/>
      <w:marLeft w:val="0"/>
      <w:marRight w:val="0"/>
      <w:marTop w:val="0"/>
      <w:marBottom w:val="0"/>
      <w:divBdr>
        <w:top w:val="none" w:sz="0" w:space="0" w:color="auto"/>
        <w:left w:val="none" w:sz="0" w:space="0" w:color="auto"/>
        <w:bottom w:val="none" w:sz="0" w:space="0" w:color="auto"/>
        <w:right w:val="none" w:sz="0" w:space="0" w:color="auto"/>
      </w:divBdr>
    </w:div>
    <w:div w:id="496961210">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13884307">
      <w:bodyDiv w:val="1"/>
      <w:marLeft w:val="0"/>
      <w:marRight w:val="0"/>
      <w:marTop w:val="0"/>
      <w:marBottom w:val="0"/>
      <w:divBdr>
        <w:top w:val="none" w:sz="0" w:space="0" w:color="auto"/>
        <w:left w:val="none" w:sz="0" w:space="0" w:color="auto"/>
        <w:bottom w:val="none" w:sz="0" w:space="0" w:color="auto"/>
        <w:right w:val="none" w:sz="0" w:space="0" w:color="auto"/>
      </w:divBdr>
    </w:div>
    <w:div w:id="515653495">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48077663">
      <w:bodyDiv w:val="1"/>
      <w:marLeft w:val="0"/>
      <w:marRight w:val="0"/>
      <w:marTop w:val="0"/>
      <w:marBottom w:val="0"/>
      <w:divBdr>
        <w:top w:val="none" w:sz="0" w:space="0" w:color="auto"/>
        <w:left w:val="none" w:sz="0" w:space="0" w:color="auto"/>
        <w:bottom w:val="none" w:sz="0" w:space="0" w:color="auto"/>
        <w:right w:val="none" w:sz="0" w:space="0" w:color="auto"/>
      </w:divBdr>
    </w:div>
    <w:div w:id="550113072">
      <w:bodyDiv w:val="1"/>
      <w:marLeft w:val="0"/>
      <w:marRight w:val="0"/>
      <w:marTop w:val="0"/>
      <w:marBottom w:val="0"/>
      <w:divBdr>
        <w:top w:val="none" w:sz="0" w:space="0" w:color="auto"/>
        <w:left w:val="none" w:sz="0" w:space="0" w:color="auto"/>
        <w:bottom w:val="none" w:sz="0" w:space="0" w:color="auto"/>
        <w:right w:val="none" w:sz="0" w:space="0" w:color="auto"/>
      </w:divBdr>
    </w:div>
    <w:div w:id="550267016">
      <w:bodyDiv w:val="1"/>
      <w:marLeft w:val="0"/>
      <w:marRight w:val="0"/>
      <w:marTop w:val="0"/>
      <w:marBottom w:val="0"/>
      <w:divBdr>
        <w:top w:val="none" w:sz="0" w:space="0" w:color="auto"/>
        <w:left w:val="none" w:sz="0" w:space="0" w:color="auto"/>
        <w:bottom w:val="none" w:sz="0" w:space="0" w:color="auto"/>
        <w:right w:val="none" w:sz="0" w:space="0" w:color="auto"/>
      </w:divBdr>
    </w:div>
    <w:div w:id="554238173">
      <w:bodyDiv w:val="1"/>
      <w:marLeft w:val="0"/>
      <w:marRight w:val="0"/>
      <w:marTop w:val="0"/>
      <w:marBottom w:val="0"/>
      <w:divBdr>
        <w:top w:val="none" w:sz="0" w:space="0" w:color="auto"/>
        <w:left w:val="none" w:sz="0" w:space="0" w:color="auto"/>
        <w:bottom w:val="none" w:sz="0" w:space="0" w:color="auto"/>
        <w:right w:val="none" w:sz="0" w:space="0" w:color="auto"/>
      </w:divBdr>
    </w:div>
    <w:div w:id="555433385">
      <w:bodyDiv w:val="1"/>
      <w:marLeft w:val="0"/>
      <w:marRight w:val="0"/>
      <w:marTop w:val="0"/>
      <w:marBottom w:val="0"/>
      <w:divBdr>
        <w:top w:val="none" w:sz="0" w:space="0" w:color="auto"/>
        <w:left w:val="none" w:sz="0" w:space="0" w:color="auto"/>
        <w:bottom w:val="none" w:sz="0" w:space="0" w:color="auto"/>
        <w:right w:val="none" w:sz="0" w:space="0" w:color="auto"/>
      </w:divBdr>
    </w:div>
    <w:div w:id="569341355">
      <w:bodyDiv w:val="1"/>
      <w:marLeft w:val="0"/>
      <w:marRight w:val="0"/>
      <w:marTop w:val="0"/>
      <w:marBottom w:val="0"/>
      <w:divBdr>
        <w:top w:val="none" w:sz="0" w:space="0" w:color="auto"/>
        <w:left w:val="none" w:sz="0" w:space="0" w:color="auto"/>
        <w:bottom w:val="none" w:sz="0" w:space="0" w:color="auto"/>
        <w:right w:val="none" w:sz="0" w:space="0" w:color="auto"/>
      </w:divBdr>
    </w:div>
    <w:div w:id="571086666">
      <w:bodyDiv w:val="1"/>
      <w:marLeft w:val="0"/>
      <w:marRight w:val="0"/>
      <w:marTop w:val="0"/>
      <w:marBottom w:val="0"/>
      <w:divBdr>
        <w:top w:val="none" w:sz="0" w:space="0" w:color="auto"/>
        <w:left w:val="none" w:sz="0" w:space="0" w:color="auto"/>
        <w:bottom w:val="none" w:sz="0" w:space="0" w:color="auto"/>
        <w:right w:val="none" w:sz="0" w:space="0" w:color="auto"/>
      </w:divBdr>
    </w:div>
    <w:div w:id="594285271">
      <w:bodyDiv w:val="1"/>
      <w:marLeft w:val="0"/>
      <w:marRight w:val="0"/>
      <w:marTop w:val="0"/>
      <w:marBottom w:val="0"/>
      <w:divBdr>
        <w:top w:val="none" w:sz="0" w:space="0" w:color="auto"/>
        <w:left w:val="none" w:sz="0" w:space="0" w:color="auto"/>
        <w:bottom w:val="none" w:sz="0" w:space="0" w:color="auto"/>
        <w:right w:val="none" w:sz="0" w:space="0" w:color="auto"/>
      </w:divBdr>
    </w:div>
    <w:div w:id="596519481">
      <w:bodyDiv w:val="1"/>
      <w:marLeft w:val="0"/>
      <w:marRight w:val="0"/>
      <w:marTop w:val="0"/>
      <w:marBottom w:val="0"/>
      <w:divBdr>
        <w:top w:val="none" w:sz="0" w:space="0" w:color="auto"/>
        <w:left w:val="none" w:sz="0" w:space="0" w:color="auto"/>
        <w:bottom w:val="none" w:sz="0" w:space="0" w:color="auto"/>
        <w:right w:val="none" w:sz="0" w:space="0" w:color="auto"/>
      </w:divBdr>
    </w:div>
    <w:div w:id="602028951">
      <w:bodyDiv w:val="1"/>
      <w:marLeft w:val="0"/>
      <w:marRight w:val="0"/>
      <w:marTop w:val="0"/>
      <w:marBottom w:val="0"/>
      <w:divBdr>
        <w:top w:val="none" w:sz="0" w:space="0" w:color="auto"/>
        <w:left w:val="none" w:sz="0" w:space="0" w:color="auto"/>
        <w:bottom w:val="none" w:sz="0" w:space="0" w:color="auto"/>
        <w:right w:val="none" w:sz="0" w:space="0" w:color="auto"/>
      </w:divBdr>
    </w:div>
    <w:div w:id="604192784">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22075085">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42583123">
      <w:bodyDiv w:val="1"/>
      <w:marLeft w:val="0"/>
      <w:marRight w:val="0"/>
      <w:marTop w:val="0"/>
      <w:marBottom w:val="0"/>
      <w:divBdr>
        <w:top w:val="none" w:sz="0" w:space="0" w:color="auto"/>
        <w:left w:val="none" w:sz="0" w:space="0" w:color="auto"/>
        <w:bottom w:val="none" w:sz="0" w:space="0" w:color="auto"/>
        <w:right w:val="none" w:sz="0" w:space="0" w:color="auto"/>
      </w:divBdr>
    </w:div>
    <w:div w:id="650603498">
      <w:bodyDiv w:val="1"/>
      <w:marLeft w:val="0"/>
      <w:marRight w:val="0"/>
      <w:marTop w:val="0"/>
      <w:marBottom w:val="0"/>
      <w:divBdr>
        <w:top w:val="none" w:sz="0" w:space="0" w:color="auto"/>
        <w:left w:val="none" w:sz="0" w:space="0" w:color="auto"/>
        <w:bottom w:val="none" w:sz="0" w:space="0" w:color="auto"/>
        <w:right w:val="none" w:sz="0" w:space="0" w:color="auto"/>
      </w:divBdr>
    </w:div>
    <w:div w:id="651373980">
      <w:bodyDiv w:val="1"/>
      <w:marLeft w:val="0"/>
      <w:marRight w:val="0"/>
      <w:marTop w:val="0"/>
      <w:marBottom w:val="0"/>
      <w:divBdr>
        <w:top w:val="none" w:sz="0" w:space="0" w:color="auto"/>
        <w:left w:val="none" w:sz="0" w:space="0" w:color="auto"/>
        <w:bottom w:val="none" w:sz="0" w:space="0" w:color="auto"/>
        <w:right w:val="none" w:sz="0" w:space="0" w:color="auto"/>
      </w:divBdr>
    </w:div>
    <w:div w:id="657004513">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65322155">
      <w:bodyDiv w:val="1"/>
      <w:marLeft w:val="0"/>
      <w:marRight w:val="0"/>
      <w:marTop w:val="0"/>
      <w:marBottom w:val="0"/>
      <w:divBdr>
        <w:top w:val="none" w:sz="0" w:space="0" w:color="auto"/>
        <w:left w:val="none" w:sz="0" w:space="0" w:color="auto"/>
        <w:bottom w:val="none" w:sz="0" w:space="0" w:color="auto"/>
        <w:right w:val="none" w:sz="0" w:space="0" w:color="auto"/>
      </w:divBdr>
    </w:div>
    <w:div w:id="679312082">
      <w:bodyDiv w:val="1"/>
      <w:marLeft w:val="0"/>
      <w:marRight w:val="0"/>
      <w:marTop w:val="0"/>
      <w:marBottom w:val="0"/>
      <w:divBdr>
        <w:top w:val="none" w:sz="0" w:space="0" w:color="auto"/>
        <w:left w:val="none" w:sz="0" w:space="0" w:color="auto"/>
        <w:bottom w:val="none" w:sz="0" w:space="0" w:color="auto"/>
        <w:right w:val="none" w:sz="0" w:space="0" w:color="auto"/>
      </w:divBdr>
    </w:div>
    <w:div w:id="682633720">
      <w:bodyDiv w:val="1"/>
      <w:marLeft w:val="0"/>
      <w:marRight w:val="0"/>
      <w:marTop w:val="0"/>
      <w:marBottom w:val="0"/>
      <w:divBdr>
        <w:top w:val="none" w:sz="0" w:space="0" w:color="auto"/>
        <w:left w:val="none" w:sz="0" w:space="0" w:color="auto"/>
        <w:bottom w:val="none" w:sz="0" w:space="0" w:color="auto"/>
        <w:right w:val="none" w:sz="0" w:space="0" w:color="auto"/>
      </w:divBdr>
    </w:div>
    <w:div w:id="684329377">
      <w:bodyDiv w:val="1"/>
      <w:marLeft w:val="0"/>
      <w:marRight w:val="0"/>
      <w:marTop w:val="0"/>
      <w:marBottom w:val="0"/>
      <w:divBdr>
        <w:top w:val="none" w:sz="0" w:space="0" w:color="auto"/>
        <w:left w:val="none" w:sz="0" w:space="0" w:color="auto"/>
        <w:bottom w:val="none" w:sz="0" w:space="0" w:color="auto"/>
        <w:right w:val="none" w:sz="0" w:space="0" w:color="auto"/>
      </w:divBdr>
    </w:div>
    <w:div w:id="685667795">
      <w:bodyDiv w:val="1"/>
      <w:marLeft w:val="0"/>
      <w:marRight w:val="0"/>
      <w:marTop w:val="0"/>
      <w:marBottom w:val="0"/>
      <w:divBdr>
        <w:top w:val="none" w:sz="0" w:space="0" w:color="auto"/>
        <w:left w:val="none" w:sz="0" w:space="0" w:color="auto"/>
        <w:bottom w:val="none" w:sz="0" w:space="0" w:color="auto"/>
        <w:right w:val="none" w:sz="0" w:space="0" w:color="auto"/>
      </w:divBdr>
    </w:div>
    <w:div w:id="699211044">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07222850">
      <w:bodyDiv w:val="1"/>
      <w:marLeft w:val="0"/>
      <w:marRight w:val="0"/>
      <w:marTop w:val="0"/>
      <w:marBottom w:val="0"/>
      <w:divBdr>
        <w:top w:val="none" w:sz="0" w:space="0" w:color="auto"/>
        <w:left w:val="none" w:sz="0" w:space="0" w:color="auto"/>
        <w:bottom w:val="none" w:sz="0" w:space="0" w:color="auto"/>
        <w:right w:val="none" w:sz="0" w:space="0" w:color="auto"/>
      </w:divBdr>
    </w:div>
    <w:div w:id="732503526">
      <w:bodyDiv w:val="1"/>
      <w:marLeft w:val="0"/>
      <w:marRight w:val="0"/>
      <w:marTop w:val="0"/>
      <w:marBottom w:val="0"/>
      <w:divBdr>
        <w:top w:val="none" w:sz="0" w:space="0" w:color="auto"/>
        <w:left w:val="none" w:sz="0" w:space="0" w:color="auto"/>
        <w:bottom w:val="none" w:sz="0" w:space="0" w:color="auto"/>
        <w:right w:val="none" w:sz="0" w:space="0" w:color="auto"/>
      </w:divBdr>
    </w:div>
    <w:div w:id="734401452">
      <w:bodyDiv w:val="1"/>
      <w:marLeft w:val="0"/>
      <w:marRight w:val="0"/>
      <w:marTop w:val="0"/>
      <w:marBottom w:val="0"/>
      <w:divBdr>
        <w:top w:val="none" w:sz="0" w:space="0" w:color="auto"/>
        <w:left w:val="none" w:sz="0" w:space="0" w:color="auto"/>
        <w:bottom w:val="none" w:sz="0" w:space="0" w:color="auto"/>
        <w:right w:val="none" w:sz="0" w:space="0" w:color="auto"/>
      </w:divBdr>
    </w:div>
    <w:div w:id="745148066">
      <w:bodyDiv w:val="1"/>
      <w:marLeft w:val="0"/>
      <w:marRight w:val="0"/>
      <w:marTop w:val="0"/>
      <w:marBottom w:val="0"/>
      <w:divBdr>
        <w:top w:val="none" w:sz="0" w:space="0" w:color="auto"/>
        <w:left w:val="none" w:sz="0" w:space="0" w:color="auto"/>
        <w:bottom w:val="none" w:sz="0" w:space="0" w:color="auto"/>
        <w:right w:val="none" w:sz="0" w:space="0" w:color="auto"/>
      </w:divBdr>
    </w:div>
    <w:div w:id="753431281">
      <w:bodyDiv w:val="1"/>
      <w:marLeft w:val="0"/>
      <w:marRight w:val="0"/>
      <w:marTop w:val="0"/>
      <w:marBottom w:val="0"/>
      <w:divBdr>
        <w:top w:val="none" w:sz="0" w:space="0" w:color="auto"/>
        <w:left w:val="none" w:sz="0" w:space="0" w:color="auto"/>
        <w:bottom w:val="none" w:sz="0" w:space="0" w:color="auto"/>
        <w:right w:val="none" w:sz="0" w:space="0" w:color="auto"/>
      </w:divBdr>
    </w:div>
    <w:div w:id="765613697">
      <w:bodyDiv w:val="1"/>
      <w:marLeft w:val="0"/>
      <w:marRight w:val="0"/>
      <w:marTop w:val="0"/>
      <w:marBottom w:val="0"/>
      <w:divBdr>
        <w:top w:val="none" w:sz="0" w:space="0" w:color="auto"/>
        <w:left w:val="none" w:sz="0" w:space="0" w:color="auto"/>
        <w:bottom w:val="none" w:sz="0" w:space="0" w:color="auto"/>
        <w:right w:val="none" w:sz="0" w:space="0" w:color="auto"/>
      </w:divBdr>
    </w:div>
    <w:div w:id="770782434">
      <w:bodyDiv w:val="1"/>
      <w:marLeft w:val="0"/>
      <w:marRight w:val="0"/>
      <w:marTop w:val="0"/>
      <w:marBottom w:val="0"/>
      <w:divBdr>
        <w:top w:val="none" w:sz="0" w:space="0" w:color="auto"/>
        <w:left w:val="none" w:sz="0" w:space="0" w:color="auto"/>
        <w:bottom w:val="none" w:sz="0" w:space="0" w:color="auto"/>
        <w:right w:val="none" w:sz="0" w:space="0" w:color="auto"/>
      </w:divBdr>
    </w:div>
    <w:div w:id="776874161">
      <w:bodyDiv w:val="1"/>
      <w:marLeft w:val="0"/>
      <w:marRight w:val="0"/>
      <w:marTop w:val="0"/>
      <w:marBottom w:val="0"/>
      <w:divBdr>
        <w:top w:val="none" w:sz="0" w:space="0" w:color="auto"/>
        <w:left w:val="none" w:sz="0" w:space="0" w:color="auto"/>
        <w:bottom w:val="none" w:sz="0" w:space="0" w:color="auto"/>
        <w:right w:val="none" w:sz="0" w:space="0" w:color="auto"/>
      </w:divBdr>
    </w:div>
    <w:div w:id="786241095">
      <w:bodyDiv w:val="1"/>
      <w:marLeft w:val="0"/>
      <w:marRight w:val="0"/>
      <w:marTop w:val="0"/>
      <w:marBottom w:val="0"/>
      <w:divBdr>
        <w:top w:val="none" w:sz="0" w:space="0" w:color="auto"/>
        <w:left w:val="none" w:sz="0" w:space="0" w:color="auto"/>
        <w:bottom w:val="none" w:sz="0" w:space="0" w:color="auto"/>
        <w:right w:val="none" w:sz="0" w:space="0" w:color="auto"/>
      </w:divBdr>
    </w:div>
    <w:div w:id="789013263">
      <w:bodyDiv w:val="1"/>
      <w:marLeft w:val="0"/>
      <w:marRight w:val="0"/>
      <w:marTop w:val="0"/>
      <w:marBottom w:val="0"/>
      <w:divBdr>
        <w:top w:val="none" w:sz="0" w:space="0" w:color="auto"/>
        <w:left w:val="none" w:sz="0" w:space="0" w:color="auto"/>
        <w:bottom w:val="none" w:sz="0" w:space="0" w:color="auto"/>
        <w:right w:val="none" w:sz="0" w:space="0" w:color="auto"/>
      </w:divBdr>
    </w:div>
    <w:div w:id="800420580">
      <w:bodyDiv w:val="1"/>
      <w:marLeft w:val="0"/>
      <w:marRight w:val="0"/>
      <w:marTop w:val="0"/>
      <w:marBottom w:val="0"/>
      <w:divBdr>
        <w:top w:val="none" w:sz="0" w:space="0" w:color="auto"/>
        <w:left w:val="none" w:sz="0" w:space="0" w:color="auto"/>
        <w:bottom w:val="none" w:sz="0" w:space="0" w:color="auto"/>
        <w:right w:val="none" w:sz="0" w:space="0" w:color="auto"/>
      </w:divBdr>
    </w:div>
    <w:div w:id="812792866">
      <w:bodyDiv w:val="1"/>
      <w:marLeft w:val="0"/>
      <w:marRight w:val="0"/>
      <w:marTop w:val="0"/>
      <w:marBottom w:val="0"/>
      <w:divBdr>
        <w:top w:val="none" w:sz="0" w:space="0" w:color="auto"/>
        <w:left w:val="none" w:sz="0" w:space="0" w:color="auto"/>
        <w:bottom w:val="none" w:sz="0" w:space="0" w:color="auto"/>
        <w:right w:val="none" w:sz="0" w:space="0" w:color="auto"/>
      </w:divBdr>
    </w:div>
    <w:div w:id="816726844">
      <w:bodyDiv w:val="1"/>
      <w:marLeft w:val="0"/>
      <w:marRight w:val="0"/>
      <w:marTop w:val="0"/>
      <w:marBottom w:val="0"/>
      <w:divBdr>
        <w:top w:val="none" w:sz="0" w:space="0" w:color="auto"/>
        <w:left w:val="none" w:sz="0" w:space="0" w:color="auto"/>
        <w:bottom w:val="none" w:sz="0" w:space="0" w:color="auto"/>
        <w:right w:val="none" w:sz="0" w:space="0" w:color="auto"/>
      </w:divBdr>
    </w:div>
    <w:div w:id="842358395">
      <w:bodyDiv w:val="1"/>
      <w:marLeft w:val="0"/>
      <w:marRight w:val="0"/>
      <w:marTop w:val="0"/>
      <w:marBottom w:val="0"/>
      <w:divBdr>
        <w:top w:val="none" w:sz="0" w:space="0" w:color="auto"/>
        <w:left w:val="none" w:sz="0" w:space="0" w:color="auto"/>
        <w:bottom w:val="none" w:sz="0" w:space="0" w:color="auto"/>
        <w:right w:val="none" w:sz="0" w:space="0" w:color="auto"/>
      </w:divBdr>
    </w:div>
    <w:div w:id="844519186">
      <w:bodyDiv w:val="1"/>
      <w:marLeft w:val="0"/>
      <w:marRight w:val="0"/>
      <w:marTop w:val="0"/>
      <w:marBottom w:val="0"/>
      <w:divBdr>
        <w:top w:val="none" w:sz="0" w:space="0" w:color="auto"/>
        <w:left w:val="none" w:sz="0" w:space="0" w:color="auto"/>
        <w:bottom w:val="none" w:sz="0" w:space="0" w:color="auto"/>
        <w:right w:val="none" w:sz="0" w:space="0" w:color="auto"/>
      </w:divBdr>
    </w:div>
    <w:div w:id="847985805">
      <w:bodyDiv w:val="1"/>
      <w:marLeft w:val="0"/>
      <w:marRight w:val="0"/>
      <w:marTop w:val="0"/>
      <w:marBottom w:val="0"/>
      <w:divBdr>
        <w:top w:val="none" w:sz="0" w:space="0" w:color="auto"/>
        <w:left w:val="none" w:sz="0" w:space="0" w:color="auto"/>
        <w:bottom w:val="none" w:sz="0" w:space="0" w:color="auto"/>
        <w:right w:val="none" w:sz="0" w:space="0" w:color="auto"/>
      </w:divBdr>
    </w:div>
    <w:div w:id="852837134">
      <w:bodyDiv w:val="1"/>
      <w:marLeft w:val="0"/>
      <w:marRight w:val="0"/>
      <w:marTop w:val="0"/>
      <w:marBottom w:val="0"/>
      <w:divBdr>
        <w:top w:val="none" w:sz="0" w:space="0" w:color="auto"/>
        <w:left w:val="none" w:sz="0" w:space="0" w:color="auto"/>
        <w:bottom w:val="none" w:sz="0" w:space="0" w:color="auto"/>
        <w:right w:val="none" w:sz="0" w:space="0" w:color="auto"/>
      </w:divBdr>
    </w:div>
    <w:div w:id="859902169">
      <w:bodyDiv w:val="1"/>
      <w:marLeft w:val="0"/>
      <w:marRight w:val="0"/>
      <w:marTop w:val="0"/>
      <w:marBottom w:val="0"/>
      <w:divBdr>
        <w:top w:val="none" w:sz="0" w:space="0" w:color="auto"/>
        <w:left w:val="none" w:sz="0" w:space="0" w:color="auto"/>
        <w:bottom w:val="none" w:sz="0" w:space="0" w:color="auto"/>
        <w:right w:val="none" w:sz="0" w:space="0" w:color="auto"/>
      </w:divBdr>
    </w:div>
    <w:div w:id="869026929">
      <w:bodyDiv w:val="1"/>
      <w:marLeft w:val="0"/>
      <w:marRight w:val="0"/>
      <w:marTop w:val="0"/>
      <w:marBottom w:val="0"/>
      <w:divBdr>
        <w:top w:val="none" w:sz="0" w:space="0" w:color="auto"/>
        <w:left w:val="none" w:sz="0" w:space="0" w:color="auto"/>
        <w:bottom w:val="none" w:sz="0" w:space="0" w:color="auto"/>
        <w:right w:val="none" w:sz="0" w:space="0" w:color="auto"/>
      </w:divBdr>
    </w:div>
    <w:div w:id="885988701">
      <w:bodyDiv w:val="1"/>
      <w:marLeft w:val="0"/>
      <w:marRight w:val="0"/>
      <w:marTop w:val="0"/>
      <w:marBottom w:val="0"/>
      <w:divBdr>
        <w:top w:val="none" w:sz="0" w:space="0" w:color="auto"/>
        <w:left w:val="none" w:sz="0" w:space="0" w:color="auto"/>
        <w:bottom w:val="none" w:sz="0" w:space="0" w:color="auto"/>
        <w:right w:val="none" w:sz="0" w:space="0" w:color="auto"/>
      </w:divBdr>
    </w:div>
    <w:div w:id="886380844">
      <w:bodyDiv w:val="1"/>
      <w:marLeft w:val="0"/>
      <w:marRight w:val="0"/>
      <w:marTop w:val="0"/>
      <w:marBottom w:val="0"/>
      <w:divBdr>
        <w:top w:val="none" w:sz="0" w:space="0" w:color="auto"/>
        <w:left w:val="none" w:sz="0" w:space="0" w:color="auto"/>
        <w:bottom w:val="none" w:sz="0" w:space="0" w:color="auto"/>
        <w:right w:val="none" w:sz="0" w:space="0" w:color="auto"/>
      </w:divBdr>
    </w:div>
    <w:div w:id="894505564">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896475857">
      <w:bodyDiv w:val="1"/>
      <w:marLeft w:val="0"/>
      <w:marRight w:val="0"/>
      <w:marTop w:val="0"/>
      <w:marBottom w:val="0"/>
      <w:divBdr>
        <w:top w:val="none" w:sz="0" w:space="0" w:color="auto"/>
        <w:left w:val="none" w:sz="0" w:space="0" w:color="auto"/>
        <w:bottom w:val="none" w:sz="0" w:space="0" w:color="auto"/>
        <w:right w:val="none" w:sz="0" w:space="0" w:color="auto"/>
      </w:divBdr>
    </w:div>
    <w:div w:id="898593076">
      <w:bodyDiv w:val="1"/>
      <w:marLeft w:val="0"/>
      <w:marRight w:val="0"/>
      <w:marTop w:val="0"/>
      <w:marBottom w:val="0"/>
      <w:divBdr>
        <w:top w:val="none" w:sz="0" w:space="0" w:color="auto"/>
        <w:left w:val="none" w:sz="0" w:space="0" w:color="auto"/>
        <w:bottom w:val="none" w:sz="0" w:space="0" w:color="auto"/>
        <w:right w:val="none" w:sz="0" w:space="0" w:color="auto"/>
      </w:divBdr>
    </w:div>
    <w:div w:id="907038635">
      <w:bodyDiv w:val="1"/>
      <w:marLeft w:val="0"/>
      <w:marRight w:val="0"/>
      <w:marTop w:val="0"/>
      <w:marBottom w:val="0"/>
      <w:divBdr>
        <w:top w:val="none" w:sz="0" w:space="0" w:color="auto"/>
        <w:left w:val="none" w:sz="0" w:space="0" w:color="auto"/>
        <w:bottom w:val="none" w:sz="0" w:space="0" w:color="auto"/>
        <w:right w:val="none" w:sz="0" w:space="0" w:color="auto"/>
      </w:divBdr>
    </w:div>
    <w:div w:id="923302177">
      <w:bodyDiv w:val="1"/>
      <w:marLeft w:val="0"/>
      <w:marRight w:val="0"/>
      <w:marTop w:val="0"/>
      <w:marBottom w:val="0"/>
      <w:divBdr>
        <w:top w:val="none" w:sz="0" w:space="0" w:color="auto"/>
        <w:left w:val="none" w:sz="0" w:space="0" w:color="auto"/>
        <w:bottom w:val="none" w:sz="0" w:space="0" w:color="auto"/>
        <w:right w:val="none" w:sz="0" w:space="0" w:color="auto"/>
      </w:divBdr>
    </w:div>
    <w:div w:id="930819089">
      <w:bodyDiv w:val="1"/>
      <w:marLeft w:val="0"/>
      <w:marRight w:val="0"/>
      <w:marTop w:val="0"/>
      <w:marBottom w:val="0"/>
      <w:divBdr>
        <w:top w:val="none" w:sz="0" w:space="0" w:color="auto"/>
        <w:left w:val="none" w:sz="0" w:space="0" w:color="auto"/>
        <w:bottom w:val="none" w:sz="0" w:space="0" w:color="auto"/>
        <w:right w:val="none" w:sz="0" w:space="0" w:color="auto"/>
      </w:divBdr>
    </w:div>
    <w:div w:id="943994086">
      <w:bodyDiv w:val="1"/>
      <w:marLeft w:val="0"/>
      <w:marRight w:val="0"/>
      <w:marTop w:val="0"/>
      <w:marBottom w:val="0"/>
      <w:divBdr>
        <w:top w:val="none" w:sz="0" w:space="0" w:color="auto"/>
        <w:left w:val="none" w:sz="0" w:space="0" w:color="auto"/>
        <w:bottom w:val="none" w:sz="0" w:space="0" w:color="auto"/>
        <w:right w:val="none" w:sz="0" w:space="0" w:color="auto"/>
      </w:divBdr>
    </w:div>
    <w:div w:id="952173822">
      <w:bodyDiv w:val="1"/>
      <w:marLeft w:val="0"/>
      <w:marRight w:val="0"/>
      <w:marTop w:val="0"/>
      <w:marBottom w:val="0"/>
      <w:divBdr>
        <w:top w:val="none" w:sz="0" w:space="0" w:color="auto"/>
        <w:left w:val="none" w:sz="0" w:space="0" w:color="auto"/>
        <w:bottom w:val="none" w:sz="0" w:space="0" w:color="auto"/>
        <w:right w:val="none" w:sz="0" w:space="0" w:color="auto"/>
      </w:divBdr>
    </w:div>
    <w:div w:id="952594731">
      <w:bodyDiv w:val="1"/>
      <w:marLeft w:val="0"/>
      <w:marRight w:val="0"/>
      <w:marTop w:val="0"/>
      <w:marBottom w:val="0"/>
      <w:divBdr>
        <w:top w:val="none" w:sz="0" w:space="0" w:color="auto"/>
        <w:left w:val="none" w:sz="0" w:space="0" w:color="auto"/>
        <w:bottom w:val="none" w:sz="0" w:space="0" w:color="auto"/>
        <w:right w:val="none" w:sz="0" w:space="0" w:color="auto"/>
      </w:divBdr>
    </w:div>
    <w:div w:id="952639391">
      <w:bodyDiv w:val="1"/>
      <w:marLeft w:val="0"/>
      <w:marRight w:val="0"/>
      <w:marTop w:val="0"/>
      <w:marBottom w:val="0"/>
      <w:divBdr>
        <w:top w:val="none" w:sz="0" w:space="0" w:color="auto"/>
        <w:left w:val="none" w:sz="0" w:space="0" w:color="auto"/>
        <w:bottom w:val="none" w:sz="0" w:space="0" w:color="auto"/>
        <w:right w:val="none" w:sz="0" w:space="0" w:color="auto"/>
      </w:divBdr>
    </w:div>
    <w:div w:id="959455827">
      <w:bodyDiv w:val="1"/>
      <w:marLeft w:val="0"/>
      <w:marRight w:val="0"/>
      <w:marTop w:val="0"/>
      <w:marBottom w:val="0"/>
      <w:divBdr>
        <w:top w:val="none" w:sz="0" w:space="0" w:color="auto"/>
        <w:left w:val="none" w:sz="0" w:space="0" w:color="auto"/>
        <w:bottom w:val="none" w:sz="0" w:space="0" w:color="auto"/>
        <w:right w:val="none" w:sz="0" w:space="0" w:color="auto"/>
      </w:divBdr>
    </w:div>
    <w:div w:id="968706287">
      <w:bodyDiv w:val="1"/>
      <w:marLeft w:val="0"/>
      <w:marRight w:val="0"/>
      <w:marTop w:val="0"/>
      <w:marBottom w:val="0"/>
      <w:divBdr>
        <w:top w:val="none" w:sz="0" w:space="0" w:color="auto"/>
        <w:left w:val="none" w:sz="0" w:space="0" w:color="auto"/>
        <w:bottom w:val="none" w:sz="0" w:space="0" w:color="auto"/>
        <w:right w:val="none" w:sz="0" w:space="0" w:color="auto"/>
      </w:divBdr>
    </w:div>
    <w:div w:id="971637677">
      <w:bodyDiv w:val="1"/>
      <w:marLeft w:val="0"/>
      <w:marRight w:val="0"/>
      <w:marTop w:val="0"/>
      <w:marBottom w:val="0"/>
      <w:divBdr>
        <w:top w:val="none" w:sz="0" w:space="0" w:color="auto"/>
        <w:left w:val="none" w:sz="0" w:space="0" w:color="auto"/>
        <w:bottom w:val="none" w:sz="0" w:space="0" w:color="auto"/>
        <w:right w:val="none" w:sz="0" w:space="0" w:color="auto"/>
      </w:divBdr>
    </w:div>
    <w:div w:id="1000161121">
      <w:bodyDiv w:val="1"/>
      <w:marLeft w:val="0"/>
      <w:marRight w:val="0"/>
      <w:marTop w:val="0"/>
      <w:marBottom w:val="0"/>
      <w:divBdr>
        <w:top w:val="none" w:sz="0" w:space="0" w:color="auto"/>
        <w:left w:val="none" w:sz="0" w:space="0" w:color="auto"/>
        <w:bottom w:val="none" w:sz="0" w:space="0" w:color="auto"/>
        <w:right w:val="none" w:sz="0" w:space="0" w:color="auto"/>
      </w:divBdr>
    </w:div>
    <w:div w:id="1024402043">
      <w:bodyDiv w:val="1"/>
      <w:marLeft w:val="0"/>
      <w:marRight w:val="0"/>
      <w:marTop w:val="0"/>
      <w:marBottom w:val="0"/>
      <w:divBdr>
        <w:top w:val="none" w:sz="0" w:space="0" w:color="auto"/>
        <w:left w:val="none" w:sz="0" w:space="0" w:color="auto"/>
        <w:bottom w:val="none" w:sz="0" w:space="0" w:color="auto"/>
        <w:right w:val="none" w:sz="0" w:space="0" w:color="auto"/>
      </w:divBdr>
    </w:div>
    <w:div w:id="1024668120">
      <w:bodyDiv w:val="1"/>
      <w:marLeft w:val="0"/>
      <w:marRight w:val="0"/>
      <w:marTop w:val="0"/>
      <w:marBottom w:val="0"/>
      <w:divBdr>
        <w:top w:val="none" w:sz="0" w:space="0" w:color="auto"/>
        <w:left w:val="none" w:sz="0" w:space="0" w:color="auto"/>
        <w:bottom w:val="none" w:sz="0" w:space="0" w:color="auto"/>
        <w:right w:val="none" w:sz="0" w:space="0" w:color="auto"/>
      </w:divBdr>
    </w:div>
    <w:div w:id="1037268391">
      <w:bodyDiv w:val="1"/>
      <w:marLeft w:val="0"/>
      <w:marRight w:val="0"/>
      <w:marTop w:val="0"/>
      <w:marBottom w:val="0"/>
      <w:divBdr>
        <w:top w:val="none" w:sz="0" w:space="0" w:color="auto"/>
        <w:left w:val="none" w:sz="0" w:space="0" w:color="auto"/>
        <w:bottom w:val="none" w:sz="0" w:space="0" w:color="auto"/>
        <w:right w:val="none" w:sz="0" w:space="0" w:color="auto"/>
      </w:divBdr>
    </w:div>
    <w:div w:id="1038890179">
      <w:bodyDiv w:val="1"/>
      <w:marLeft w:val="0"/>
      <w:marRight w:val="0"/>
      <w:marTop w:val="0"/>
      <w:marBottom w:val="0"/>
      <w:divBdr>
        <w:top w:val="none" w:sz="0" w:space="0" w:color="auto"/>
        <w:left w:val="none" w:sz="0" w:space="0" w:color="auto"/>
        <w:bottom w:val="none" w:sz="0" w:space="0" w:color="auto"/>
        <w:right w:val="none" w:sz="0" w:space="0" w:color="auto"/>
      </w:divBdr>
    </w:div>
    <w:div w:id="1042051127">
      <w:bodyDiv w:val="1"/>
      <w:marLeft w:val="0"/>
      <w:marRight w:val="0"/>
      <w:marTop w:val="0"/>
      <w:marBottom w:val="0"/>
      <w:divBdr>
        <w:top w:val="none" w:sz="0" w:space="0" w:color="auto"/>
        <w:left w:val="none" w:sz="0" w:space="0" w:color="auto"/>
        <w:bottom w:val="none" w:sz="0" w:space="0" w:color="auto"/>
        <w:right w:val="none" w:sz="0" w:space="0" w:color="auto"/>
      </w:divBdr>
    </w:div>
    <w:div w:id="1042755606">
      <w:bodyDiv w:val="1"/>
      <w:marLeft w:val="0"/>
      <w:marRight w:val="0"/>
      <w:marTop w:val="0"/>
      <w:marBottom w:val="0"/>
      <w:divBdr>
        <w:top w:val="none" w:sz="0" w:space="0" w:color="auto"/>
        <w:left w:val="none" w:sz="0" w:space="0" w:color="auto"/>
        <w:bottom w:val="none" w:sz="0" w:space="0" w:color="auto"/>
        <w:right w:val="none" w:sz="0" w:space="0" w:color="auto"/>
      </w:divBdr>
    </w:div>
    <w:div w:id="1063406814">
      <w:bodyDiv w:val="1"/>
      <w:marLeft w:val="0"/>
      <w:marRight w:val="0"/>
      <w:marTop w:val="0"/>
      <w:marBottom w:val="0"/>
      <w:divBdr>
        <w:top w:val="none" w:sz="0" w:space="0" w:color="auto"/>
        <w:left w:val="none" w:sz="0" w:space="0" w:color="auto"/>
        <w:bottom w:val="none" w:sz="0" w:space="0" w:color="auto"/>
        <w:right w:val="none" w:sz="0" w:space="0" w:color="auto"/>
      </w:divBdr>
    </w:div>
    <w:div w:id="1065445230">
      <w:bodyDiv w:val="1"/>
      <w:marLeft w:val="0"/>
      <w:marRight w:val="0"/>
      <w:marTop w:val="0"/>
      <w:marBottom w:val="0"/>
      <w:divBdr>
        <w:top w:val="none" w:sz="0" w:space="0" w:color="auto"/>
        <w:left w:val="none" w:sz="0" w:space="0" w:color="auto"/>
        <w:bottom w:val="none" w:sz="0" w:space="0" w:color="auto"/>
        <w:right w:val="none" w:sz="0" w:space="0" w:color="auto"/>
      </w:divBdr>
    </w:div>
    <w:div w:id="1067457432">
      <w:bodyDiv w:val="1"/>
      <w:marLeft w:val="0"/>
      <w:marRight w:val="0"/>
      <w:marTop w:val="0"/>
      <w:marBottom w:val="0"/>
      <w:divBdr>
        <w:top w:val="none" w:sz="0" w:space="0" w:color="auto"/>
        <w:left w:val="none" w:sz="0" w:space="0" w:color="auto"/>
        <w:bottom w:val="none" w:sz="0" w:space="0" w:color="auto"/>
        <w:right w:val="none" w:sz="0" w:space="0" w:color="auto"/>
      </w:divBdr>
    </w:div>
    <w:div w:id="1074200668">
      <w:bodyDiv w:val="1"/>
      <w:marLeft w:val="0"/>
      <w:marRight w:val="0"/>
      <w:marTop w:val="0"/>
      <w:marBottom w:val="0"/>
      <w:divBdr>
        <w:top w:val="none" w:sz="0" w:space="0" w:color="auto"/>
        <w:left w:val="none" w:sz="0" w:space="0" w:color="auto"/>
        <w:bottom w:val="none" w:sz="0" w:space="0" w:color="auto"/>
        <w:right w:val="none" w:sz="0" w:space="0" w:color="auto"/>
      </w:divBdr>
    </w:div>
    <w:div w:id="1083994276">
      <w:bodyDiv w:val="1"/>
      <w:marLeft w:val="0"/>
      <w:marRight w:val="0"/>
      <w:marTop w:val="0"/>
      <w:marBottom w:val="0"/>
      <w:divBdr>
        <w:top w:val="none" w:sz="0" w:space="0" w:color="auto"/>
        <w:left w:val="none" w:sz="0" w:space="0" w:color="auto"/>
        <w:bottom w:val="none" w:sz="0" w:space="0" w:color="auto"/>
        <w:right w:val="none" w:sz="0" w:space="0" w:color="auto"/>
      </w:divBdr>
    </w:div>
    <w:div w:id="1085955866">
      <w:bodyDiv w:val="1"/>
      <w:marLeft w:val="0"/>
      <w:marRight w:val="0"/>
      <w:marTop w:val="0"/>
      <w:marBottom w:val="0"/>
      <w:divBdr>
        <w:top w:val="none" w:sz="0" w:space="0" w:color="auto"/>
        <w:left w:val="none" w:sz="0" w:space="0" w:color="auto"/>
        <w:bottom w:val="none" w:sz="0" w:space="0" w:color="auto"/>
        <w:right w:val="none" w:sz="0" w:space="0" w:color="auto"/>
      </w:divBdr>
    </w:div>
    <w:div w:id="1086077767">
      <w:bodyDiv w:val="1"/>
      <w:marLeft w:val="0"/>
      <w:marRight w:val="0"/>
      <w:marTop w:val="0"/>
      <w:marBottom w:val="0"/>
      <w:divBdr>
        <w:top w:val="none" w:sz="0" w:space="0" w:color="auto"/>
        <w:left w:val="none" w:sz="0" w:space="0" w:color="auto"/>
        <w:bottom w:val="none" w:sz="0" w:space="0" w:color="auto"/>
        <w:right w:val="none" w:sz="0" w:space="0" w:color="auto"/>
      </w:divBdr>
    </w:div>
    <w:div w:id="1104613354">
      <w:bodyDiv w:val="1"/>
      <w:marLeft w:val="0"/>
      <w:marRight w:val="0"/>
      <w:marTop w:val="0"/>
      <w:marBottom w:val="0"/>
      <w:divBdr>
        <w:top w:val="none" w:sz="0" w:space="0" w:color="auto"/>
        <w:left w:val="none" w:sz="0" w:space="0" w:color="auto"/>
        <w:bottom w:val="none" w:sz="0" w:space="0" w:color="auto"/>
        <w:right w:val="none" w:sz="0" w:space="0" w:color="auto"/>
      </w:divBdr>
    </w:div>
    <w:div w:id="1106999052">
      <w:bodyDiv w:val="1"/>
      <w:marLeft w:val="0"/>
      <w:marRight w:val="0"/>
      <w:marTop w:val="0"/>
      <w:marBottom w:val="0"/>
      <w:divBdr>
        <w:top w:val="none" w:sz="0" w:space="0" w:color="auto"/>
        <w:left w:val="none" w:sz="0" w:space="0" w:color="auto"/>
        <w:bottom w:val="none" w:sz="0" w:space="0" w:color="auto"/>
        <w:right w:val="none" w:sz="0" w:space="0" w:color="auto"/>
      </w:divBdr>
    </w:div>
    <w:div w:id="1110777184">
      <w:bodyDiv w:val="1"/>
      <w:marLeft w:val="0"/>
      <w:marRight w:val="0"/>
      <w:marTop w:val="0"/>
      <w:marBottom w:val="0"/>
      <w:divBdr>
        <w:top w:val="none" w:sz="0" w:space="0" w:color="auto"/>
        <w:left w:val="none" w:sz="0" w:space="0" w:color="auto"/>
        <w:bottom w:val="none" w:sz="0" w:space="0" w:color="auto"/>
        <w:right w:val="none" w:sz="0" w:space="0" w:color="auto"/>
      </w:divBdr>
    </w:div>
    <w:div w:id="1121533219">
      <w:bodyDiv w:val="1"/>
      <w:marLeft w:val="0"/>
      <w:marRight w:val="0"/>
      <w:marTop w:val="0"/>
      <w:marBottom w:val="0"/>
      <w:divBdr>
        <w:top w:val="none" w:sz="0" w:space="0" w:color="auto"/>
        <w:left w:val="none" w:sz="0" w:space="0" w:color="auto"/>
        <w:bottom w:val="none" w:sz="0" w:space="0" w:color="auto"/>
        <w:right w:val="none" w:sz="0" w:space="0" w:color="auto"/>
      </w:divBdr>
    </w:div>
    <w:div w:id="1127814309">
      <w:bodyDiv w:val="1"/>
      <w:marLeft w:val="0"/>
      <w:marRight w:val="0"/>
      <w:marTop w:val="0"/>
      <w:marBottom w:val="0"/>
      <w:divBdr>
        <w:top w:val="none" w:sz="0" w:space="0" w:color="auto"/>
        <w:left w:val="none" w:sz="0" w:space="0" w:color="auto"/>
        <w:bottom w:val="none" w:sz="0" w:space="0" w:color="auto"/>
        <w:right w:val="none" w:sz="0" w:space="0" w:color="auto"/>
      </w:divBdr>
    </w:div>
    <w:div w:id="1143154525">
      <w:bodyDiv w:val="1"/>
      <w:marLeft w:val="0"/>
      <w:marRight w:val="0"/>
      <w:marTop w:val="0"/>
      <w:marBottom w:val="0"/>
      <w:divBdr>
        <w:top w:val="none" w:sz="0" w:space="0" w:color="auto"/>
        <w:left w:val="none" w:sz="0" w:space="0" w:color="auto"/>
        <w:bottom w:val="none" w:sz="0" w:space="0" w:color="auto"/>
        <w:right w:val="none" w:sz="0" w:space="0" w:color="auto"/>
      </w:divBdr>
    </w:div>
    <w:div w:id="1145780297">
      <w:bodyDiv w:val="1"/>
      <w:marLeft w:val="0"/>
      <w:marRight w:val="0"/>
      <w:marTop w:val="0"/>
      <w:marBottom w:val="0"/>
      <w:divBdr>
        <w:top w:val="none" w:sz="0" w:space="0" w:color="auto"/>
        <w:left w:val="none" w:sz="0" w:space="0" w:color="auto"/>
        <w:bottom w:val="none" w:sz="0" w:space="0" w:color="auto"/>
        <w:right w:val="none" w:sz="0" w:space="0" w:color="auto"/>
      </w:divBdr>
    </w:div>
    <w:div w:id="1147278580">
      <w:bodyDiv w:val="1"/>
      <w:marLeft w:val="0"/>
      <w:marRight w:val="0"/>
      <w:marTop w:val="0"/>
      <w:marBottom w:val="0"/>
      <w:divBdr>
        <w:top w:val="none" w:sz="0" w:space="0" w:color="auto"/>
        <w:left w:val="none" w:sz="0" w:space="0" w:color="auto"/>
        <w:bottom w:val="none" w:sz="0" w:space="0" w:color="auto"/>
        <w:right w:val="none" w:sz="0" w:space="0" w:color="auto"/>
      </w:divBdr>
    </w:div>
    <w:div w:id="1149400666">
      <w:bodyDiv w:val="1"/>
      <w:marLeft w:val="0"/>
      <w:marRight w:val="0"/>
      <w:marTop w:val="0"/>
      <w:marBottom w:val="0"/>
      <w:divBdr>
        <w:top w:val="none" w:sz="0" w:space="0" w:color="auto"/>
        <w:left w:val="none" w:sz="0" w:space="0" w:color="auto"/>
        <w:bottom w:val="none" w:sz="0" w:space="0" w:color="auto"/>
        <w:right w:val="none" w:sz="0" w:space="0" w:color="auto"/>
      </w:divBdr>
    </w:div>
    <w:div w:id="1149786897">
      <w:bodyDiv w:val="1"/>
      <w:marLeft w:val="0"/>
      <w:marRight w:val="0"/>
      <w:marTop w:val="0"/>
      <w:marBottom w:val="0"/>
      <w:divBdr>
        <w:top w:val="none" w:sz="0" w:space="0" w:color="auto"/>
        <w:left w:val="none" w:sz="0" w:space="0" w:color="auto"/>
        <w:bottom w:val="none" w:sz="0" w:space="0" w:color="auto"/>
        <w:right w:val="none" w:sz="0" w:space="0" w:color="auto"/>
      </w:divBdr>
    </w:div>
    <w:div w:id="1150289484">
      <w:bodyDiv w:val="1"/>
      <w:marLeft w:val="0"/>
      <w:marRight w:val="0"/>
      <w:marTop w:val="0"/>
      <w:marBottom w:val="0"/>
      <w:divBdr>
        <w:top w:val="none" w:sz="0" w:space="0" w:color="auto"/>
        <w:left w:val="none" w:sz="0" w:space="0" w:color="auto"/>
        <w:bottom w:val="none" w:sz="0" w:space="0" w:color="auto"/>
        <w:right w:val="none" w:sz="0" w:space="0" w:color="auto"/>
      </w:divBdr>
    </w:div>
    <w:div w:id="1155292309">
      <w:bodyDiv w:val="1"/>
      <w:marLeft w:val="0"/>
      <w:marRight w:val="0"/>
      <w:marTop w:val="0"/>
      <w:marBottom w:val="0"/>
      <w:divBdr>
        <w:top w:val="none" w:sz="0" w:space="0" w:color="auto"/>
        <w:left w:val="none" w:sz="0" w:space="0" w:color="auto"/>
        <w:bottom w:val="none" w:sz="0" w:space="0" w:color="auto"/>
        <w:right w:val="none" w:sz="0" w:space="0" w:color="auto"/>
      </w:divBdr>
    </w:div>
    <w:div w:id="1155995846">
      <w:bodyDiv w:val="1"/>
      <w:marLeft w:val="0"/>
      <w:marRight w:val="0"/>
      <w:marTop w:val="0"/>
      <w:marBottom w:val="0"/>
      <w:divBdr>
        <w:top w:val="none" w:sz="0" w:space="0" w:color="auto"/>
        <w:left w:val="none" w:sz="0" w:space="0" w:color="auto"/>
        <w:bottom w:val="none" w:sz="0" w:space="0" w:color="auto"/>
        <w:right w:val="none" w:sz="0" w:space="0" w:color="auto"/>
      </w:divBdr>
    </w:div>
    <w:div w:id="1160536222">
      <w:bodyDiv w:val="1"/>
      <w:marLeft w:val="0"/>
      <w:marRight w:val="0"/>
      <w:marTop w:val="0"/>
      <w:marBottom w:val="0"/>
      <w:divBdr>
        <w:top w:val="none" w:sz="0" w:space="0" w:color="auto"/>
        <w:left w:val="none" w:sz="0" w:space="0" w:color="auto"/>
        <w:bottom w:val="none" w:sz="0" w:space="0" w:color="auto"/>
        <w:right w:val="none" w:sz="0" w:space="0" w:color="auto"/>
      </w:divBdr>
    </w:div>
    <w:div w:id="1197355139">
      <w:bodyDiv w:val="1"/>
      <w:marLeft w:val="0"/>
      <w:marRight w:val="0"/>
      <w:marTop w:val="0"/>
      <w:marBottom w:val="0"/>
      <w:divBdr>
        <w:top w:val="none" w:sz="0" w:space="0" w:color="auto"/>
        <w:left w:val="none" w:sz="0" w:space="0" w:color="auto"/>
        <w:bottom w:val="none" w:sz="0" w:space="0" w:color="auto"/>
        <w:right w:val="none" w:sz="0" w:space="0" w:color="auto"/>
      </w:divBdr>
    </w:div>
    <w:div w:id="1207990724">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13543403">
      <w:bodyDiv w:val="1"/>
      <w:marLeft w:val="0"/>
      <w:marRight w:val="0"/>
      <w:marTop w:val="0"/>
      <w:marBottom w:val="0"/>
      <w:divBdr>
        <w:top w:val="none" w:sz="0" w:space="0" w:color="auto"/>
        <w:left w:val="none" w:sz="0" w:space="0" w:color="auto"/>
        <w:bottom w:val="none" w:sz="0" w:space="0" w:color="auto"/>
        <w:right w:val="none" w:sz="0" w:space="0" w:color="auto"/>
      </w:divBdr>
    </w:div>
    <w:div w:id="1218203648">
      <w:bodyDiv w:val="1"/>
      <w:marLeft w:val="0"/>
      <w:marRight w:val="0"/>
      <w:marTop w:val="0"/>
      <w:marBottom w:val="0"/>
      <w:divBdr>
        <w:top w:val="none" w:sz="0" w:space="0" w:color="auto"/>
        <w:left w:val="none" w:sz="0" w:space="0" w:color="auto"/>
        <w:bottom w:val="none" w:sz="0" w:space="0" w:color="auto"/>
        <w:right w:val="none" w:sz="0" w:space="0" w:color="auto"/>
      </w:divBdr>
    </w:div>
    <w:div w:id="1221401595">
      <w:bodyDiv w:val="1"/>
      <w:marLeft w:val="0"/>
      <w:marRight w:val="0"/>
      <w:marTop w:val="0"/>
      <w:marBottom w:val="0"/>
      <w:divBdr>
        <w:top w:val="none" w:sz="0" w:space="0" w:color="auto"/>
        <w:left w:val="none" w:sz="0" w:space="0" w:color="auto"/>
        <w:bottom w:val="none" w:sz="0" w:space="0" w:color="auto"/>
        <w:right w:val="none" w:sz="0" w:space="0" w:color="auto"/>
      </w:divBdr>
    </w:div>
    <w:div w:id="1222599439">
      <w:bodyDiv w:val="1"/>
      <w:marLeft w:val="0"/>
      <w:marRight w:val="0"/>
      <w:marTop w:val="0"/>
      <w:marBottom w:val="0"/>
      <w:divBdr>
        <w:top w:val="none" w:sz="0" w:space="0" w:color="auto"/>
        <w:left w:val="none" w:sz="0" w:space="0" w:color="auto"/>
        <w:bottom w:val="none" w:sz="0" w:space="0" w:color="auto"/>
        <w:right w:val="none" w:sz="0" w:space="0" w:color="auto"/>
      </w:divBdr>
    </w:div>
    <w:div w:id="1248274126">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54359617">
      <w:bodyDiv w:val="1"/>
      <w:marLeft w:val="0"/>
      <w:marRight w:val="0"/>
      <w:marTop w:val="0"/>
      <w:marBottom w:val="0"/>
      <w:divBdr>
        <w:top w:val="none" w:sz="0" w:space="0" w:color="auto"/>
        <w:left w:val="none" w:sz="0" w:space="0" w:color="auto"/>
        <w:bottom w:val="none" w:sz="0" w:space="0" w:color="auto"/>
        <w:right w:val="none" w:sz="0" w:space="0" w:color="auto"/>
      </w:divBdr>
    </w:div>
    <w:div w:id="1256792219">
      <w:bodyDiv w:val="1"/>
      <w:marLeft w:val="0"/>
      <w:marRight w:val="0"/>
      <w:marTop w:val="0"/>
      <w:marBottom w:val="0"/>
      <w:divBdr>
        <w:top w:val="none" w:sz="0" w:space="0" w:color="auto"/>
        <w:left w:val="none" w:sz="0" w:space="0" w:color="auto"/>
        <w:bottom w:val="none" w:sz="0" w:space="0" w:color="auto"/>
        <w:right w:val="none" w:sz="0" w:space="0" w:color="auto"/>
      </w:divBdr>
    </w:div>
    <w:div w:id="1258900217">
      <w:bodyDiv w:val="1"/>
      <w:marLeft w:val="0"/>
      <w:marRight w:val="0"/>
      <w:marTop w:val="0"/>
      <w:marBottom w:val="0"/>
      <w:divBdr>
        <w:top w:val="none" w:sz="0" w:space="0" w:color="auto"/>
        <w:left w:val="none" w:sz="0" w:space="0" w:color="auto"/>
        <w:bottom w:val="none" w:sz="0" w:space="0" w:color="auto"/>
        <w:right w:val="none" w:sz="0" w:space="0" w:color="auto"/>
      </w:divBdr>
    </w:div>
    <w:div w:id="1261985987">
      <w:bodyDiv w:val="1"/>
      <w:marLeft w:val="0"/>
      <w:marRight w:val="0"/>
      <w:marTop w:val="0"/>
      <w:marBottom w:val="0"/>
      <w:divBdr>
        <w:top w:val="none" w:sz="0" w:space="0" w:color="auto"/>
        <w:left w:val="none" w:sz="0" w:space="0" w:color="auto"/>
        <w:bottom w:val="none" w:sz="0" w:space="0" w:color="auto"/>
        <w:right w:val="none" w:sz="0" w:space="0" w:color="auto"/>
      </w:divBdr>
    </w:div>
    <w:div w:id="1269460991">
      <w:bodyDiv w:val="1"/>
      <w:marLeft w:val="0"/>
      <w:marRight w:val="0"/>
      <w:marTop w:val="0"/>
      <w:marBottom w:val="0"/>
      <w:divBdr>
        <w:top w:val="none" w:sz="0" w:space="0" w:color="auto"/>
        <w:left w:val="none" w:sz="0" w:space="0" w:color="auto"/>
        <w:bottom w:val="none" w:sz="0" w:space="0" w:color="auto"/>
        <w:right w:val="none" w:sz="0" w:space="0" w:color="auto"/>
      </w:divBdr>
    </w:div>
    <w:div w:id="1278946063">
      <w:bodyDiv w:val="1"/>
      <w:marLeft w:val="0"/>
      <w:marRight w:val="0"/>
      <w:marTop w:val="0"/>
      <w:marBottom w:val="0"/>
      <w:divBdr>
        <w:top w:val="none" w:sz="0" w:space="0" w:color="auto"/>
        <w:left w:val="none" w:sz="0" w:space="0" w:color="auto"/>
        <w:bottom w:val="none" w:sz="0" w:space="0" w:color="auto"/>
        <w:right w:val="none" w:sz="0" w:space="0" w:color="auto"/>
      </w:divBdr>
    </w:div>
    <w:div w:id="1283996078">
      <w:bodyDiv w:val="1"/>
      <w:marLeft w:val="0"/>
      <w:marRight w:val="0"/>
      <w:marTop w:val="0"/>
      <w:marBottom w:val="0"/>
      <w:divBdr>
        <w:top w:val="none" w:sz="0" w:space="0" w:color="auto"/>
        <w:left w:val="none" w:sz="0" w:space="0" w:color="auto"/>
        <w:bottom w:val="none" w:sz="0" w:space="0" w:color="auto"/>
        <w:right w:val="none" w:sz="0" w:space="0" w:color="auto"/>
      </w:divBdr>
    </w:div>
    <w:div w:id="1287617279">
      <w:bodyDiv w:val="1"/>
      <w:marLeft w:val="0"/>
      <w:marRight w:val="0"/>
      <w:marTop w:val="0"/>
      <w:marBottom w:val="0"/>
      <w:divBdr>
        <w:top w:val="none" w:sz="0" w:space="0" w:color="auto"/>
        <w:left w:val="none" w:sz="0" w:space="0" w:color="auto"/>
        <w:bottom w:val="none" w:sz="0" w:space="0" w:color="auto"/>
        <w:right w:val="none" w:sz="0" w:space="0" w:color="auto"/>
      </w:divBdr>
    </w:div>
    <w:div w:id="1289505704">
      <w:bodyDiv w:val="1"/>
      <w:marLeft w:val="0"/>
      <w:marRight w:val="0"/>
      <w:marTop w:val="0"/>
      <w:marBottom w:val="0"/>
      <w:divBdr>
        <w:top w:val="none" w:sz="0" w:space="0" w:color="auto"/>
        <w:left w:val="none" w:sz="0" w:space="0" w:color="auto"/>
        <w:bottom w:val="none" w:sz="0" w:space="0" w:color="auto"/>
        <w:right w:val="none" w:sz="0" w:space="0" w:color="auto"/>
      </w:divBdr>
    </w:div>
    <w:div w:id="1303851421">
      <w:bodyDiv w:val="1"/>
      <w:marLeft w:val="0"/>
      <w:marRight w:val="0"/>
      <w:marTop w:val="0"/>
      <w:marBottom w:val="0"/>
      <w:divBdr>
        <w:top w:val="none" w:sz="0" w:space="0" w:color="auto"/>
        <w:left w:val="none" w:sz="0" w:space="0" w:color="auto"/>
        <w:bottom w:val="none" w:sz="0" w:space="0" w:color="auto"/>
        <w:right w:val="none" w:sz="0" w:space="0" w:color="auto"/>
      </w:divBdr>
    </w:div>
    <w:div w:id="1309166600">
      <w:bodyDiv w:val="1"/>
      <w:marLeft w:val="0"/>
      <w:marRight w:val="0"/>
      <w:marTop w:val="0"/>
      <w:marBottom w:val="0"/>
      <w:divBdr>
        <w:top w:val="none" w:sz="0" w:space="0" w:color="auto"/>
        <w:left w:val="none" w:sz="0" w:space="0" w:color="auto"/>
        <w:bottom w:val="none" w:sz="0" w:space="0" w:color="auto"/>
        <w:right w:val="none" w:sz="0" w:space="0" w:color="auto"/>
      </w:divBdr>
    </w:div>
    <w:div w:id="1333489557">
      <w:bodyDiv w:val="1"/>
      <w:marLeft w:val="0"/>
      <w:marRight w:val="0"/>
      <w:marTop w:val="0"/>
      <w:marBottom w:val="0"/>
      <w:divBdr>
        <w:top w:val="none" w:sz="0" w:space="0" w:color="auto"/>
        <w:left w:val="none" w:sz="0" w:space="0" w:color="auto"/>
        <w:bottom w:val="none" w:sz="0" w:space="0" w:color="auto"/>
        <w:right w:val="none" w:sz="0" w:space="0" w:color="auto"/>
      </w:divBdr>
    </w:div>
    <w:div w:id="1337148748">
      <w:bodyDiv w:val="1"/>
      <w:marLeft w:val="0"/>
      <w:marRight w:val="0"/>
      <w:marTop w:val="0"/>
      <w:marBottom w:val="0"/>
      <w:divBdr>
        <w:top w:val="none" w:sz="0" w:space="0" w:color="auto"/>
        <w:left w:val="none" w:sz="0" w:space="0" w:color="auto"/>
        <w:bottom w:val="none" w:sz="0" w:space="0" w:color="auto"/>
        <w:right w:val="none" w:sz="0" w:space="0" w:color="auto"/>
      </w:divBdr>
    </w:div>
    <w:div w:id="1351225603">
      <w:bodyDiv w:val="1"/>
      <w:marLeft w:val="0"/>
      <w:marRight w:val="0"/>
      <w:marTop w:val="0"/>
      <w:marBottom w:val="0"/>
      <w:divBdr>
        <w:top w:val="none" w:sz="0" w:space="0" w:color="auto"/>
        <w:left w:val="none" w:sz="0" w:space="0" w:color="auto"/>
        <w:bottom w:val="none" w:sz="0" w:space="0" w:color="auto"/>
        <w:right w:val="none" w:sz="0" w:space="0" w:color="auto"/>
      </w:divBdr>
    </w:div>
    <w:div w:id="1354064844">
      <w:bodyDiv w:val="1"/>
      <w:marLeft w:val="0"/>
      <w:marRight w:val="0"/>
      <w:marTop w:val="0"/>
      <w:marBottom w:val="0"/>
      <w:divBdr>
        <w:top w:val="none" w:sz="0" w:space="0" w:color="auto"/>
        <w:left w:val="none" w:sz="0" w:space="0" w:color="auto"/>
        <w:bottom w:val="none" w:sz="0" w:space="0" w:color="auto"/>
        <w:right w:val="none" w:sz="0" w:space="0" w:color="auto"/>
      </w:divBdr>
    </w:div>
    <w:div w:id="1356151368">
      <w:bodyDiv w:val="1"/>
      <w:marLeft w:val="0"/>
      <w:marRight w:val="0"/>
      <w:marTop w:val="0"/>
      <w:marBottom w:val="0"/>
      <w:divBdr>
        <w:top w:val="none" w:sz="0" w:space="0" w:color="auto"/>
        <w:left w:val="none" w:sz="0" w:space="0" w:color="auto"/>
        <w:bottom w:val="none" w:sz="0" w:space="0" w:color="auto"/>
        <w:right w:val="none" w:sz="0" w:space="0" w:color="auto"/>
      </w:divBdr>
    </w:div>
    <w:div w:id="1357148221">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378971686">
      <w:bodyDiv w:val="1"/>
      <w:marLeft w:val="0"/>
      <w:marRight w:val="0"/>
      <w:marTop w:val="0"/>
      <w:marBottom w:val="0"/>
      <w:divBdr>
        <w:top w:val="none" w:sz="0" w:space="0" w:color="auto"/>
        <w:left w:val="none" w:sz="0" w:space="0" w:color="auto"/>
        <w:bottom w:val="none" w:sz="0" w:space="0" w:color="auto"/>
        <w:right w:val="none" w:sz="0" w:space="0" w:color="auto"/>
      </w:divBdr>
    </w:div>
    <w:div w:id="1382901053">
      <w:bodyDiv w:val="1"/>
      <w:marLeft w:val="0"/>
      <w:marRight w:val="0"/>
      <w:marTop w:val="0"/>
      <w:marBottom w:val="0"/>
      <w:divBdr>
        <w:top w:val="none" w:sz="0" w:space="0" w:color="auto"/>
        <w:left w:val="none" w:sz="0" w:space="0" w:color="auto"/>
        <w:bottom w:val="none" w:sz="0" w:space="0" w:color="auto"/>
        <w:right w:val="none" w:sz="0" w:space="0" w:color="auto"/>
      </w:divBdr>
    </w:div>
    <w:div w:id="1384787351">
      <w:bodyDiv w:val="1"/>
      <w:marLeft w:val="0"/>
      <w:marRight w:val="0"/>
      <w:marTop w:val="0"/>
      <w:marBottom w:val="0"/>
      <w:divBdr>
        <w:top w:val="none" w:sz="0" w:space="0" w:color="auto"/>
        <w:left w:val="none" w:sz="0" w:space="0" w:color="auto"/>
        <w:bottom w:val="none" w:sz="0" w:space="0" w:color="auto"/>
        <w:right w:val="none" w:sz="0" w:space="0" w:color="auto"/>
      </w:divBdr>
    </w:div>
    <w:div w:id="1423449597">
      <w:bodyDiv w:val="1"/>
      <w:marLeft w:val="0"/>
      <w:marRight w:val="0"/>
      <w:marTop w:val="0"/>
      <w:marBottom w:val="0"/>
      <w:divBdr>
        <w:top w:val="none" w:sz="0" w:space="0" w:color="auto"/>
        <w:left w:val="none" w:sz="0" w:space="0" w:color="auto"/>
        <w:bottom w:val="none" w:sz="0" w:space="0" w:color="auto"/>
        <w:right w:val="none" w:sz="0" w:space="0" w:color="auto"/>
      </w:divBdr>
    </w:div>
    <w:div w:id="1424372184">
      <w:bodyDiv w:val="1"/>
      <w:marLeft w:val="0"/>
      <w:marRight w:val="0"/>
      <w:marTop w:val="0"/>
      <w:marBottom w:val="0"/>
      <w:divBdr>
        <w:top w:val="none" w:sz="0" w:space="0" w:color="auto"/>
        <w:left w:val="none" w:sz="0" w:space="0" w:color="auto"/>
        <w:bottom w:val="none" w:sz="0" w:space="0" w:color="auto"/>
        <w:right w:val="none" w:sz="0" w:space="0" w:color="auto"/>
      </w:divBdr>
    </w:div>
    <w:div w:id="1424759762">
      <w:bodyDiv w:val="1"/>
      <w:marLeft w:val="0"/>
      <w:marRight w:val="0"/>
      <w:marTop w:val="0"/>
      <w:marBottom w:val="0"/>
      <w:divBdr>
        <w:top w:val="none" w:sz="0" w:space="0" w:color="auto"/>
        <w:left w:val="none" w:sz="0" w:space="0" w:color="auto"/>
        <w:bottom w:val="none" w:sz="0" w:space="0" w:color="auto"/>
        <w:right w:val="none" w:sz="0" w:space="0" w:color="auto"/>
      </w:divBdr>
    </w:div>
    <w:div w:id="1429890380">
      <w:bodyDiv w:val="1"/>
      <w:marLeft w:val="0"/>
      <w:marRight w:val="0"/>
      <w:marTop w:val="0"/>
      <w:marBottom w:val="0"/>
      <w:divBdr>
        <w:top w:val="none" w:sz="0" w:space="0" w:color="auto"/>
        <w:left w:val="none" w:sz="0" w:space="0" w:color="auto"/>
        <w:bottom w:val="none" w:sz="0" w:space="0" w:color="auto"/>
        <w:right w:val="none" w:sz="0" w:space="0" w:color="auto"/>
      </w:divBdr>
    </w:div>
    <w:div w:id="1441335545">
      <w:bodyDiv w:val="1"/>
      <w:marLeft w:val="0"/>
      <w:marRight w:val="0"/>
      <w:marTop w:val="0"/>
      <w:marBottom w:val="0"/>
      <w:divBdr>
        <w:top w:val="none" w:sz="0" w:space="0" w:color="auto"/>
        <w:left w:val="none" w:sz="0" w:space="0" w:color="auto"/>
        <w:bottom w:val="none" w:sz="0" w:space="0" w:color="auto"/>
        <w:right w:val="none" w:sz="0" w:space="0" w:color="auto"/>
      </w:divBdr>
    </w:div>
    <w:div w:id="1446122164">
      <w:bodyDiv w:val="1"/>
      <w:marLeft w:val="0"/>
      <w:marRight w:val="0"/>
      <w:marTop w:val="0"/>
      <w:marBottom w:val="0"/>
      <w:divBdr>
        <w:top w:val="none" w:sz="0" w:space="0" w:color="auto"/>
        <w:left w:val="none" w:sz="0" w:space="0" w:color="auto"/>
        <w:bottom w:val="none" w:sz="0" w:space="0" w:color="auto"/>
        <w:right w:val="none" w:sz="0" w:space="0" w:color="auto"/>
      </w:divBdr>
    </w:div>
    <w:div w:id="1461217850">
      <w:bodyDiv w:val="1"/>
      <w:marLeft w:val="0"/>
      <w:marRight w:val="0"/>
      <w:marTop w:val="0"/>
      <w:marBottom w:val="0"/>
      <w:divBdr>
        <w:top w:val="none" w:sz="0" w:space="0" w:color="auto"/>
        <w:left w:val="none" w:sz="0" w:space="0" w:color="auto"/>
        <w:bottom w:val="none" w:sz="0" w:space="0" w:color="auto"/>
        <w:right w:val="none" w:sz="0" w:space="0" w:color="auto"/>
      </w:divBdr>
    </w:div>
    <w:div w:id="1485047855">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504125775">
      <w:bodyDiv w:val="1"/>
      <w:marLeft w:val="0"/>
      <w:marRight w:val="0"/>
      <w:marTop w:val="0"/>
      <w:marBottom w:val="0"/>
      <w:divBdr>
        <w:top w:val="none" w:sz="0" w:space="0" w:color="auto"/>
        <w:left w:val="none" w:sz="0" w:space="0" w:color="auto"/>
        <w:bottom w:val="none" w:sz="0" w:space="0" w:color="auto"/>
        <w:right w:val="none" w:sz="0" w:space="0" w:color="auto"/>
      </w:divBdr>
    </w:div>
    <w:div w:id="1520048470">
      <w:bodyDiv w:val="1"/>
      <w:marLeft w:val="0"/>
      <w:marRight w:val="0"/>
      <w:marTop w:val="0"/>
      <w:marBottom w:val="0"/>
      <w:divBdr>
        <w:top w:val="none" w:sz="0" w:space="0" w:color="auto"/>
        <w:left w:val="none" w:sz="0" w:space="0" w:color="auto"/>
        <w:bottom w:val="none" w:sz="0" w:space="0" w:color="auto"/>
        <w:right w:val="none" w:sz="0" w:space="0" w:color="auto"/>
      </w:divBdr>
    </w:div>
    <w:div w:id="1520467089">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30140856">
      <w:bodyDiv w:val="1"/>
      <w:marLeft w:val="0"/>
      <w:marRight w:val="0"/>
      <w:marTop w:val="0"/>
      <w:marBottom w:val="0"/>
      <w:divBdr>
        <w:top w:val="none" w:sz="0" w:space="0" w:color="auto"/>
        <w:left w:val="none" w:sz="0" w:space="0" w:color="auto"/>
        <w:bottom w:val="none" w:sz="0" w:space="0" w:color="auto"/>
        <w:right w:val="none" w:sz="0" w:space="0" w:color="auto"/>
      </w:divBdr>
    </w:div>
    <w:div w:id="1532842763">
      <w:bodyDiv w:val="1"/>
      <w:marLeft w:val="0"/>
      <w:marRight w:val="0"/>
      <w:marTop w:val="0"/>
      <w:marBottom w:val="0"/>
      <w:divBdr>
        <w:top w:val="none" w:sz="0" w:space="0" w:color="auto"/>
        <w:left w:val="none" w:sz="0" w:space="0" w:color="auto"/>
        <w:bottom w:val="none" w:sz="0" w:space="0" w:color="auto"/>
        <w:right w:val="none" w:sz="0" w:space="0" w:color="auto"/>
      </w:divBdr>
    </w:div>
    <w:div w:id="1534884673">
      <w:bodyDiv w:val="1"/>
      <w:marLeft w:val="0"/>
      <w:marRight w:val="0"/>
      <w:marTop w:val="0"/>
      <w:marBottom w:val="0"/>
      <w:divBdr>
        <w:top w:val="none" w:sz="0" w:space="0" w:color="auto"/>
        <w:left w:val="none" w:sz="0" w:space="0" w:color="auto"/>
        <w:bottom w:val="none" w:sz="0" w:space="0" w:color="auto"/>
        <w:right w:val="none" w:sz="0" w:space="0" w:color="auto"/>
      </w:divBdr>
    </w:div>
    <w:div w:id="1542400504">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553423644">
      <w:bodyDiv w:val="1"/>
      <w:marLeft w:val="0"/>
      <w:marRight w:val="0"/>
      <w:marTop w:val="0"/>
      <w:marBottom w:val="0"/>
      <w:divBdr>
        <w:top w:val="none" w:sz="0" w:space="0" w:color="auto"/>
        <w:left w:val="none" w:sz="0" w:space="0" w:color="auto"/>
        <w:bottom w:val="none" w:sz="0" w:space="0" w:color="auto"/>
        <w:right w:val="none" w:sz="0" w:space="0" w:color="auto"/>
      </w:divBdr>
    </w:div>
    <w:div w:id="1553691369">
      <w:bodyDiv w:val="1"/>
      <w:marLeft w:val="0"/>
      <w:marRight w:val="0"/>
      <w:marTop w:val="0"/>
      <w:marBottom w:val="0"/>
      <w:divBdr>
        <w:top w:val="none" w:sz="0" w:space="0" w:color="auto"/>
        <w:left w:val="none" w:sz="0" w:space="0" w:color="auto"/>
        <w:bottom w:val="none" w:sz="0" w:space="0" w:color="auto"/>
        <w:right w:val="none" w:sz="0" w:space="0" w:color="auto"/>
      </w:divBdr>
    </w:div>
    <w:div w:id="1556354439">
      <w:bodyDiv w:val="1"/>
      <w:marLeft w:val="0"/>
      <w:marRight w:val="0"/>
      <w:marTop w:val="0"/>
      <w:marBottom w:val="0"/>
      <w:divBdr>
        <w:top w:val="none" w:sz="0" w:space="0" w:color="auto"/>
        <w:left w:val="none" w:sz="0" w:space="0" w:color="auto"/>
        <w:bottom w:val="none" w:sz="0" w:space="0" w:color="auto"/>
        <w:right w:val="none" w:sz="0" w:space="0" w:color="auto"/>
      </w:divBdr>
    </w:div>
    <w:div w:id="1556548974">
      <w:bodyDiv w:val="1"/>
      <w:marLeft w:val="0"/>
      <w:marRight w:val="0"/>
      <w:marTop w:val="0"/>
      <w:marBottom w:val="0"/>
      <w:divBdr>
        <w:top w:val="none" w:sz="0" w:space="0" w:color="auto"/>
        <w:left w:val="none" w:sz="0" w:space="0" w:color="auto"/>
        <w:bottom w:val="none" w:sz="0" w:space="0" w:color="auto"/>
        <w:right w:val="none" w:sz="0" w:space="0" w:color="auto"/>
      </w:divBdr>
    </w:div>
    <w:div w:id="1567451971">
      <w:bodyDiv w:val="1"/>
      <w:marLeft w:val="0"/>
      <w:marRight w:val="0"/>
      <w:marTop w:val="0"/>
      <w:marBottom w:val="0"/>
      <w:divBdr>
        <w:top w:val="none" w:sz="0" w:space="0" w:color="auto"/>
        <w:left w:val="none" w:sz="0" w:space="0" w:color="auto"/>
        <w:bottom w:val="none" w:sz="0" w:space="0" w:color="auto"/>
        <w:right w:val="none" w:sz="0" w:space="0" w:color="auto"/>
      </w:divBdr>
    </w:div>
    <w:div w:id="1569069597">
      <w:bodyDiv w:val="1"/>
      <w:marLeft w:val="0"/>
      <w:marRight w:val="0"/>
      <w:marTop w:val="0"/>
      <w:marBottom w:val="0"/>
      <w:divBdr>
        <w:top w:val="none" w:sz="0" w:space="0" w:color="auto"/>
        <w:left w:val="none" w:sz="0" w:space="0" w:color="auto"/>
        <w:bottom w:val="none" w:sz="0" w:space="0" w:color="auto"/>
        <w:right w:val="none" w:sz="0" w:space="0" w:color="auto"/>
      </w:divBdr>
    </w:div>
    <w:div w:id="1587380113">
      <w:bodyDiv w:val="1"/>
      <w:marLeft w:val="0"/>
      <w:marRight w:val="0"/>
      <w:marTop w:val="0"/>
      <w:marBottom w:val="0"/>
      <w:divBdr>
        <w:top w:val="none" w:sz="0" w:space="0" w:color="auto"/>
        <w:left w:val="none" w:sz="0" w:space="0" w:color="auto"/>
        <w:bottom w:val="none" w:sz="0" w:space="0" w:color="auto"/>
        <w:right w:val="none" w:sz="0" w:space="0" w:color="auto"/>
      </w:divBdr>
    </w:div>
    <w:div w:id="1608075663">
      <w:bodyDiv w:val="1"/>
      <w:marLeft w:val="0"/>
      <w:marRight w:val="0"/>
      <w:marTop w:val="0"/>
      <w:marBottom w:val="0"/>
      <w:divBdr>
        <w:top w:val="none" w:sz="0" w:space="0" w:color="auto"/>
        <w:left w:val="none" w:sz="0" w:space="0" w:color="auto"/>
        <w:bottom w:val="none" w:sz="0" w:space="0" w:color="auto"/>
        <w:right w:val="none" w:sz="0" w:space="0" w:color="auto"/>
      </w:divBdr>
    </w:div>
    <w:div w:id="1614051998">
      <w:bodyDiv w:val="1"/>
      <w:marLeft w:val="0"/>
      <w:marRight w:val="0"/>
      <w:marTop w:val="0"/>
      <w:marBottom w:val="0"/>
      <w:divBdr>
        <w:top w:val="none" w:sz="0" w:space="0" w:color="auto"/>
        <w:left w:val="none" w:sz="0" w:space="0" w:color="auto"/>
        <w:bottom w:val="none" w:sz="0" w:space="0" w:color="auto"/>
        <w:right w:val="none" w:sz="0" w:space="0" w:color="auto"/>
      </w:divBdr>
    </w:div>
    <w:div w:id="1622955412">
      <w:bodyDiv w:val="1"/>
      <w:marLeft w:val="0"/>
      <w:marRight w:val="0"/>
      <w:marTop w:val="0"/>
      <w:marBottom w:val="0"/>
      <w:divBdr>
        <w:top w:val="none" w:sz="0" w:space="0" w:color="auto"/>
        <w:left w:val="none" w:sz="0" w:space="0" w:color="auto"/>
        <w:bottom w:val="none" w:sz="0" w:space="0" w:color="auto"/>
        <w:right w:val="none" w:sz="0" w:space="0" w:color="auto"/>
      </w:divBdr>
    </w:div>
    <w:div w:id="1623925720">
      <w:bodyDiv w:val="1"/>
      <w:marLeft w:val="0"/>
      <w:marRight w:val="0"/>
      <w:marTop w:val="0"/>
      <w:marBottom w:val="0"/>
      <w:divBdr>
        <w:top w:val="none" w:sz="0" w:space="0" w:color="auto"/>
        <w:left w:val="none" w:sz="0" w:space="0" w:color="auto"/>
        <w:bottom w:val="none" w:sz="0" w:space="0" w:color="auto"/>
        <w:right w:val="none" w:sz="0" w:space="0" w:color="auto"/>
      </w:divBdr>
    </w:div>
    <w:div w:id="1641494241">
      <w:bodyDiv w:val="1"/>
      <w:marLeft w:val="0"/>
      <w:marRight w:val="0"/>
      <w:marTop w:val="0"/>
      <w:marBottom w:val="0"/>
      <w:divBdr>
        <w:top w:val="none" w:sz="0" w:space="0" w:color="auto"/>
        <w:left w:val="none" w:sz="0" w:space="0" w:color="auto"/>
        <w:bottom w:val="none" w:sz="0" w:space="0" w:color="auto"/>
        <w:right w:val="none" w:sz="0" w:space="0" w:color="auto"/>
      </w:divBdr>
    </w:div>
    <w:div w:id="1647976363">
      <w:bodyDiv w:val="1"/>
      <w:marLeft w:val="0"/>
      <w:marRight w:val="0"/>
      <w:marTop w:val="0"/>
      <w:marBottom w:val="0"/>
      <w:divBdr>
        <w:top w:val="none" w:sz="0" w:space="0" w:color="auto"/>
        <w:left w:val="none" w:sz="0" w:space="0" w:color="auto"/>
        <w:bottom w:val="none" w:sz="0" w:space="0" w:color="auto"/>
        <w:right w:val="none" w:sz="0" w:space="0" w:color="auto"/>
      </w:divBdr>
    </w:div>
    <w:div w:id="1658461227">
      <w:bodyDiv w:val="1"/>
      <w:marLeft w:val="0"/>
      <w:marRight w:val="0"/>
      <w:marTop w:val="0"/>
      <w:marBottom w:val="0"/>
      <w:divBdr>
        <w:top w:val="none" w:sz="0" w:space="0" w:color="auto"/>
        <w:left w:val="none" w:sz="0" w:space="0" w:color="auto"/>
        <w:bottom w:val="none" w:sz="0" w:space="0" w:color="auto"/>
        <w:right w:val="none" w:sz="0" w:space="0" w:color="auto"/>
      </w:divBdr>
    </w:div>
    <w:div w:id="1660692575">
      <w:bodyDiv w:val="1"/>
      <w:marLeft w:val="0"/>
      <w:marRight w:val="0"/>
      <w:marTop w:val="0"/>
      <w:marBottom w:val="0"/>
      <w:divBdr>
        <w:top w:val="none" w:sz="0" w:space="0" w:color="auto"/>
        <w:left w:val="none" w:sz="0" w:space="0" w:color="auto"/>
        <w:bottom w:val="none" w:sz="0" w:space="0" w:color="auto"/>
        <w:right w:val="none" w:sz="0" w:space="0" w:color="auto"/>
      </w:divBdr>
    </w:div>
    <w:div w:id="1671718136">
      <w:bodyDiv w:val="1"/>
      <w:marLeft w:val="0"/>
      <w:marRight w:val="0"/>
      <w:marTop w:val="0"/>
      <w:marBottom w:val="0"/>
      <w:divBdr>
        <w:top w:val="none" w:sz="0" w:space="0" w:color="auto"/>
        <w:left w:val="none" w:sz="0" w:space="0" w:color="auto"/>
        <w:bottom w:val="none" w:sz="0" w:space="0" w:color="auto"/>
        <w:right w:val="none" w:sz="0" w:space="0" w:color="auto"/>
      </w:divBdr>
    </w:div>
    <w:div w:id="1672293437">
      <w:bodyDiv w:val="1"/>
      <w:marLeft w:val="0"/>
      <w:marRight w:val="0"/>
      <w:marTop w:val="0"/>
      <w:marBottom w:val="0"/>
      <w:divBdr>
        <w:top w:val="none" w:sz="0" w:space="0" w:color="auto"/>
        <w:left w:val="none" w:sz="0" w:space="0" w:color="auto"/>
        <w:bottom w:val="none" w:sz="0" w:space="0" w:color="auto"/>
        <w:right w:val="none" w:sz="0" w:space="0" w:color="auto"/>
      </w:divBdr>
    </w:div>
    <w:div w:id="1679888320">
      <w:bodyDiv w:val="1"/>
      <w:marLeft w:val="0"/>
      <w:marRight w:val="0"/>
      <w:marTop w:val="0"/>
      <w:marBottom w:val="0"/>
      <w:divBdr>
        <w:top w:val="none" w:sz="0" w:space="0" w:color="auto"/>
        <w:left w:val="none" w:sz="0" w:space="0" w:color="auto"/>
        <w:bottom w:val="none" w:sz="0" w:space="0" w:color="auto"/>
        <w:right w:val="none" w:sz="0" w:space="0" w:color="auto"/>
      </w:divBdr>
    </w:div>
    <w:div w:id="1683125588">
      <w:bodyDiv w:val="1"/>
      <w:marLeft w:val="0"/>
      <w:marRight w:val="0"/>
      <w:marTop w:val="0"/>
      <w:marBottom w:val="0"/>
      <w:divBdr>
        <w:top w:val="none" w:sz="0" w:space="0" w:color="auto"/>
        <w:left w:val="none" w:sz="0" w:space="0" w:color="auto"/>
        <w:bottom w:val="none" w:sz="0" w:space="0" w:color="auto"/>
        <w:right w:val="none" w:sz="0" w:space="0" w:color="auto"/>
      </w:divBdr>
    </w:div>
    <w:div w:id="1685596283">
      <w:bodyDiv w:val="1"/>
      <w:marLeft w:val="0"/>
      <w:marRight w:val="0"/>
      <w:marTop w:val="0"/>
      <w:marBottom w:val="0"/>
      <w:divBdr>
        <w:top w:val="none" w:sz="0" w:space="0" w:color="auto"/>
        <w:left w:val="none" w:sz="0" w:space="0" w:color="auto"/>
        <w:bottom w:val="none" w:sz="0" w:space="0" w:color="auto"/>
        <w:right w:val="none" w:sz="0" w:space="0" w:color="auto"/>
      </w:divBdr>
    </w:div>
    <w:div w:id="1693679154">
      <w:bodyDiv w:val="1"/>
      <w:marLeft w:val="0"/>
      <w:marRight w:val="0"/>
      <w:marTop w:val="0"/>
      <w:marBottom w:val="0"/>
      <w:divBdr>
        <w:top w:val="none" w:sz="0" w:space="0" w:color="auto"/>
        <w:left w:val="none" w:sz="0" w:space="0" w:color="auto"/>
        <w:bottom w:val="none" w:sz="0" w:space="0" w:color="auto"/>
        <w:right w:val="none" w:sz="0" w:space="0" w:color="auto"/>
      </w:divBdr>
    </w:div>
    <w:div w:id="1695886182">
      <w:bodyDiv w:val="1"/>
      <w:marLeft w:val="0"/>
      <w:marRight w:val="0"/>
      <w:marTop w:val="0"/>
      <w:marBottom w:val="0"/>
      <w:divBdr>
        <w:top w:val="none" w:sz="0" w:space="0" w:color="auto"/>
        <w:left w:val="none" w:sz="0" w:space="0" w:color="auto"/>
        <w:bottom w:val="none" w:sz="0" w:space="0" w:color="auto"/>
        <w:right w:val="none" w:sz="0" w:space="0" w:color="auto"/>
      </w:divBdr>
    </w:div>
    <w:div w:id="1696886236">
      <w:bodyDiv w:val="1"/>
      <w:marLeft w:val="0"/>
      <w:marRight w:val="0"/>
      <w:marTop w:val="0"/>
      <w:marBottom w:val="0"/>
      <w:divBdr>
        <w:top w:val="none" w:sz="0" w:space="0" w:color="auto"/>
        <w:left w:val="none" w:sz="0" w:space="0" w:color="auto"/>
        <w:bottom w:val="none" w:sz="0" w:space="0" w:color="auto"/>
        <w:right w:val="none" w:sz="0" w:space="0" w:color="auto"/>
      </w:divBdr>
    </w:div>
    <w:div w:id="1707875587">
      <w:bodyDiv w:val="1"/>
      <w:marLeft w:val="0"/>
      <w:marRight w:val="0"/>
      <w:marTop w:val="0"/>
      <w:marBottom w:val="0"/>
      <w:divBdr>
        <w:top w:val="none" w:sz="0" w:space="0" w:color="auto"/>
        <w:left w:val="none" w:sz="0" w:space="0" w:color="auto"/>
        <w:bottom w:val="none" w:sz="0" w:space="0" w:color="auto"/>
        <w:right w:val="none" w:sz="0" w:space="0" w:color="auto"/>
      </w:divBdr>
    </w:div>
    <w:div w:id="1710109027">
      <w:bodyDiv w:val="1"/>
      <w:marLeft w:val="0"/>
      <w:marRight w:val="0"/>
      <w:marTop w:val="0"/>
      <w:marBottom w:val="0"/>
      <w:divBdr>
        <w:top w:val="none" w:sz="0" w:space="0" w:color="auto"/>
        <w:left w:val="none" w:sz="0" w:space="0" w:color="auto"/>
        <w:bottom w:val="none" w:sz="0" w:space="0" w:color="auto"/>
        <w:right w:val="none" w:sz="0" w:space="0" w:color="auto"/>
      </w:divBdr>
    </w:div>
    <w:div w:id="1710454816">
      <w:bodyDiv w:val="1"/>
      <w:marLeft w:val="0"/>
      <w:marRight w:val="0"/>
      <w:marTop w:val="0"/>
      <w:marBottom w:val="0"/>
      <w:divBdr>
        <w:top w:val="none" w:sz="0" w:space="0" w:color="auto"/>
        <w:left w:val="none" w:sz="0" w:space="0" w:color="auto"/>
        <w:bottom w:val="none" w:sz="0" w:space="0" w:color="auto"/>
        <w:right w:val="none" w:sz="0" w:space="0" w:color="auto"/>
      </w:divBdr>
    </w:div>
    <w:div w:id="1712458979">
      <w:bodyDiv w:val="1"/>
      <w:marLeft w:val="0"/>
      <w:marRight w:val="0"/>
      <w:marTop w:val="0"/>
      <w:marBottom w:val="0"/>
      <w:divBdr>
        <w:top w:val="none" w:sz="0" w:space="0" w:color="auto"/>
        <w:left w:val="none" w:sz="0" w:space="0" w:color="auto"/>
        <w:bottom w:val="none" w:sz="0" w:space="0" w:color="auto"/>
        <w:right w:val="none" w:sz="0" w:space="0" w:color="auto"/>
      </w:divBdr>
    </w:div>
    <w:div w:id="1722317429">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46217673">
      <w:bodyDiv w:val="1"/>
      <w:marLeft w:val="0"/>
      <w:marRight w:val="0"/>
      <w:marTop w:val="0"/>
      <w:marBottom w:val="0"/>
      <w:divBdr>
        <w:top w:val="none" w:sz="0" w:space="0" w:color="auto"/>
        <w:left w:val="none" w:sz="0" w:space="0" w:color="auto"/>
        <w:bottom w:val="none" w:sz="0" w:space="0" w:color="auto"/>
        <w:right w:val="none" w:sz="0" w:space="0" w:color="auto"/>
      </w:divBdr>
    </w:div>
    <w:div w:id="1761945114">
      <w:bodyDiv w:val="1"/>
      <w:marLeft w:val="0"/>
      <w:marRight w:val="0"/>
      <w:marTop w:val="0"/>
      <w:marBottom w:val="0"/>
      <w:divBdr>
        <w:top w:val="none" w:sz="0" w:space="0" w:color="auto"/>
        <w:left w:val="none" w:sz="0" w:space="0" w:color="auto"/>
        <w:bottom w:val="none" w:sz="0" w:space="0" w:color="auto"/>
        <w:right w:val="none" w:sz="0" w:space="0" w:color="auto"/>
      </w:divBdr>
    </w:div>
    <w:div w:id="1762799980">
      <w:bodyDiv w:val="1"/>
      <w:marLeft w:val="0"/>
      <w:marRight w:val="0"/>
      <w:marTop w:val="0"/>
      <w:marBottom w:val="0"/>
      <w:divBdr>
        <w:top w:val="none" w:sz="0" w:space="0" w:color="auto"/>
        <w:left w:val="none" w:sz="0" w:space="0" w:color="auto"/>
        <w:bottom w:val="none" w:sz="0" w:space="0" w:color="auto"/>
        <w:right w:val="none" w:sz="0" w:space="0" w:color="auto"/>
      </w:divBdr>
    </w:div>
    <w:div w:id="1765495082">
      <w:bodyDiv w:val="1"/>
      <w:marLeft w:val="0"/>
      <w:marRight w:val="0"/>
      <w:marTop w:val="0"/>
      <w:marBottom w:val="0"/>
      <w:divBdr>
        <w:top w:val="none" w:sz="0" w:space="0" w:color="auto"/>
        <w:left w:val="none" w:sz="0" w:space="0" w:color="auto"/>
        <w:bottom w:val="none" w:sz="0" w:space="0" w:color="auto"/>
        <w:right w:val="none" w:sz="0" w:space="0" w:color="auto"/>
      </w:divBdr>
    </w:div>
    <w:div w:id="1770618382">
      <w:bodyDiv w:val="1"/>
      <w:marLeft w:val="0"/>
      <w:marRight w:val="0"/>
      <w:marTop w:val="0"/>
      <w:marBottom w:val="0"/>
      <w:divBdr>
        <w:top w:val="none" w:sz="0" w:space="0" w:color="auto"/>
        <w:left w:val="none" w:sz="0" w:space="0" w:color="auto"/>
        <w:bottom w:val="none" w:sz="0" w:space="0" w:color="auto"/>
        <w:right w:val="none" w:sz="0" w:space="0" w:color="auto"/>
      </w:divBdr>
    </w:div>
    <w:div w:id="1784302201">
      <w:bodyDiv w:val="1"/>
      <w:marLeft w:val="0"/>
      <w:marRight w:val="0"/>
      <w:marTop w:val="0"/>
      <w:marBottom w:val="0"/>
      <w:divBdr>
        <w:top w:val="none" w:sz="0" w:space="0" w:color="auto"/>
        <w:left w:val="none" w:sz="0" w:space="0" w:color="auto"/>
        <w:bottom w:val="none" w:sz="0" w:space="0" w:color="auto"/>
        <w:right w:val="none" w:sz="0" w:space="0" w:color="auto"/>
      </w:divBdr>
    </w:div>
    <w:div w:id="1790002050">
      <w:bodyDiv w:val="1"/>
      <w:marLeft w:val="0"/>
      <w:marRight w:val="0"/>
      <w:marTop w:val="0"/>
      <w:marBottom w:val="0"/>
      <w:divBdr>
        <w:top w:val="none" w:sz="0" w:space="0" w:color="auto"/>
        <w:left w:val="none" w:sz="0" w:space="0" w:color="auto"/>
        <w:bottom w:val="none" w:sz="0" w:space="0" w:color="auto"/>
        <w:right w:val="none" w:sz="0" w:space="0" w:color="auto"/>
      </w:divBdr>
    </w:div>
    <w:div w:id="1797605793">
      <w:bodyDiv w:val="1"/>
      <w:marLeft w:val="0"/>
      <w:marRight w:val="0"/>
      <w:marTop w:val="0"/>
      <w:marBottom w:val="0"/>
      <w:divBdr>
        <w:top w:val="none" w:sz="0" w:space="0" w:color="auto"/>
        <w:left w:val="none" w:sz="0" w:space="0" w:color="auto"/>
        <w:bottom w:val="none" w:sz="0" w:space="0" w:color="auto"/>
        <w:right w:val="none" w:sz="0" w:space="0" w:color="auto"/>
      </w:divBdr>
    </w:div>
    <w:div w:id="1797747501">
      <w:bodyDiv w:val="1"/>
      <w:marLeft w:val="0"/>
      <w:marRight w:val="0"/>
      <w:marTop w:val="0"/>
      <w:marBottom w:val="0"/>
      <w:divBdr>
        <w:top w:val="none" w:sz="0" w:space="0" w:color="auto"/>
        <w:left w:val="none" w:sz="0" w:space="0" w:color="auto"/>
        <w:bottom w:val="none" w:sz="0" w:space="0" w:color="auto"/>
        <w:right w:val="none" w:sz="0" w:space="0" w:color="auto"/>
      </w:divBdr>
    </w:div>
    <w:div w:id="1808082812">
      <w:bodyDiv w:val="1"/>
      <w:marLeft w:val="0"/>
      <w:marRight w:val="0"/>
      <w:marTop w:val="0"/>
      <w:marBottom w:val="0"/>
      <w:divBdr>
        <w:top w:val="none" w:sz="0" w:space="0" w:color="auto"/>
        <w:left w:val="none" w:sz="0" w:space="0" w:color="auto"/>
        <w:bottom w:val="none" w:sz="0" w:space="0" w:color="auto"/>
        <w:right w:val="none" w:sz="0" w:space="0" w:color="auto"/>
      </w:divBdr>
    </w:div>
    <w:div w:id="1809472174">
      <w:bodyDiv w:val="1"/>
      <w:marLeft w:val="0"/>
      <w:marRight w:val="0"/>
      <w:marTop w:val="0"/>
      <w:marBottom w:val="0"/>
      <w:divBdr>
        <w:top w:val="none" w:sz="0" w:space="0" w:color="auto"/>
        <w:left w:val="none" w:sz="0" w:space="0" w:color="auto"/>
        <w:bottom w:val="none" w:sz="0" w:space="0" w:color="auto"/>
        <w:right w:val="none" w:sz="0" w:space="0" w:color="auto"/>
      </w:divBdr>
    </w:div>
    <w:div w:id="1838111789">
      <w:bodyDiv w:val="1"/>
      <w:marLeft w:val="0"/>
      <w:marRight w:val="0"/>
      <w:marTop w:val="0"/>
      <w:marBottom w:val="0"/>
      <w:divBdr>
        <w:top w:val="none" w:sz="0" w:space="0" w:color="auto"/>
        <w:left w:val="none" w:sz="0" w:space="0" w:color="auto"/>
        <w:bottom w:val="none" w:sz="0" w:space="0" w:color="auto"/>
        <w:right w:val="none" w:sz="0" w:space="0" w:color="auto"/>
      </w:divBdr>
    </w:div>
    <w:div w:id="1842503301">
      <w:bodyDiv w:val="1"/>
      <w:marLeft w:val="0"/>
      <w:marRight w:val="0"/>
      <w:marTop w:val="0"/>
      <w:marBottom w:val="0"/>
      <w:divBdr>
        <w:top w:val="none" w:sz="0" w:space="0" w:color="auto"/>
        <w:left w:val="none" w:sz="0" w:space="0" w:color="auto"/>
        <w:bottom w:val="none" w:sz="0" w:space="0" w:color="auto"/>
        <w:right w:val="none" w:sz="0" w:space="0" w:color="auto"/>
      </w:divBdr>
    </w:div>
    <w:div w:id="1846941346">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66096729">
      <w:bodyDiv w:val="1"/>
      <w:marLeft w:val="0"/>
      <w:marRight w:val="0"/>
      <w:marTop w:val="0"/>
      <w:marBottom w:val="0"/>
      <w:divBdr>
        <w:top w:val="none" w:sz="0" w:space="0" w:color="auto"/>
        <w:left w:val="none" w:sz="0" w:space="0" w:color="auto"/>
        <w:bottom w:val="none" w:sz="0" w:space="0" w:color="auto"/>
        <w:right w:val="none" w:sz="0" w:space="0" w:color="auto"/>
      </w:divBdr>
    </w:div>
    <w:div w:id="1879396219">
      <w:bodyDiv w:val="1"/>
      <w:marLeft w:val="0"/>
      <w:marRight w:val="0"/>
      <w:marTop w:val="0"/>
      <w:marBottom w:val="0"/>
      <w:divBdr>
        <w:top w:val="none" w:sz="0" w:space="0" w:color="auto"/>
        <w:left w:val="none" w:sz="0" w:space="0" w:color="auto"/>
        <w:bottom w:val="none" w:sz="0" w:space="0" w:color="auto"/>
        <w:right w:val="none" w:sz="0" w:space="0" w:color="auto"/>
      </w:divBdr>
    </w:div>
    <w:div w:id="1880312540">
      <w:bodyDiv w:val="1"/>
      <w:marLeft w:val="0"/>
      <w:marRight w:val="0"/>
      <w:marTop w:val="0"/>
      <w:marBottom w:val="0"/>
      <w:divBdr>
        <w:top w:val="none" w:sz="0" w:space="0" w:color="auto"/>
        <w:left w:val="none" w:sz="0" w:space="0" w:color="auto"/>
        <w:bottom w:val="none" w:sz="0" w:space="0" w:color="auto"/>
        <w:right w:val="none" w:sz="0" w:space="0" w:color="auto"/>
      </w:divBdr>
    </w:div>
    <w:div w:id="1886748250">
      <w:bodyDiv w:val="1"/>
      <w:marLeft w:val="0"/>
      <w:marRight w:val="0"/>
      <w:marTop w:val="0"/>
      <w:marBottom w:val="0"/>
      <w:divBdr>
        <w:top w:val="none" w:sz="0" w:space="0" w:color="auto"/>
        <w:left w:val="none" w:sz="0" w:space="0" w:color="auto"/>
        <w:bottom w:val="none" w:sz="0" w:space="0" w:color="auto"/>
        <w:right w:val="none" w:sz="0" w:space="0" w:color="auto"/>
      </w:divBdr>
    </w:div>
    <w:div w:id="1918007389">
      <w:bodyDiv w:val="1"/>
      <w:marLeft w:val="0"/>
      <w:marRight w:val="0"/>
      <w:marTop w:val="0"/>
      <w:marBottom w:val="0"/>
      <w:divBdr>
        <w:top w:val="none" w:sz="0" w:space="0" w:color="auto"/>
        <w:left w:val="none" w:sz="0" w:space="0" w:color="auto"/>
        <w:bottom w:val="none" w:sz="0" w:space="0" w:color="auto"/>
        <w:right w:val="none" w:sz="0" w:space="0" w:color="auto"/>
      </w:divBdr>
    </w:div>
    <w:div w:id="1919090933">
      <w:bodyDiv w:val="1"/>
      <w:marLeft w:val="0"/>
      <w:marRight w:val="0"/>
      <w:marTop w:val="0"/>
      <w:marBottom w:val="0"/>
      <w:divBdr>
        <w:top w:val="none" w:sz="0" w:space="0" w:color="auto"/>
        <w:left w:val="none" w:sz="0" w:space="0" w:color="auto"/>
        <w:bottom w:val="none" w:sz="0" w:space="0" w:color="auto"/>
        <w:right w:val="none" w:sz="0" w:space="0" w:color="auto"/>
      </w:divBdr>
    </w:div>
    <w:div w:id="1923485337">
      <w:bodyDiv w:val="1"/>
      <w:marLeft w:val="0"/>
      <w:marRight w:val="0"/>
      <w:marTop w:val="0"/>
      <w:marBottom w:val="0"/>
      <w:divBdr>
        <w:top w:val="none" w:sz="0" w:space="0" w:color="auto"/>
        <w:left w:val="none" w:sz="0" w:space="0" w:color="auto"/>
        <w:bottom w:val="none" w:sz="0" w:space="0" w:color="auto"/>
        <w:right w:val="none" w:sz="0" w:space="0" w:color="auto"/>
      </w:divBdr>
    </w:div>
    <w:div w:id="1926069108">
      <w:bodyDiv w:val="1"/>
      <w:marLeft w:val="0"/>
      <w:marRight w:val="0"/>
      <w:marTop w:val="0"/>
      <w:marBottom w:val="0"/>
      <w:divBdr>
        <w:top w:val="none" w:sz="0" w:space="0" w:color="auto"/>
        <w:left w:val="none" w:sz="0" w:space="0" w:color="auto"/>
        <w:bottom w:val="none" w:sz="0" w:space="0" w:color="auto"/>
        <w:right w:val="none" w:sz="0" w:space="0" w:color="auto"/>
      </w:divBdr>
    </w:div>
    <w:div w:id="1926188468">
      <w:bodyDiv w:val="1"/>
      <w:marLeft w:val="0"/>
      <w:marRight w:val="0"/>
      <w:marTop w:val="0"/>
      <w:marBottom w:val="0"/>
      <w:divBdr>
        <w:top w:val="none" w:sz="0" w:space="0" w:color="auto"/>
        <w:left w:val="none" w:sz="0" w:space="0" w:color="auto"/>
        <w:bottom w:val="none" w:sz="0" w:space="0" w:color="auto"/>
        <w:right w:val="none" w:sz="0" w:space="0" w:color="auto"/>
      </w:divBdr>
    </w:div>
    <w:div w:id="1942760698">
      <w:bodyDiv w:val="1"/>
      <w:marLeft w:val="0"/>
      <w:marRight w:val="0"/>
      <w:marTop w:val="0"/>
      <w:marBottom w:val="0"/>
      <w:divBdr>
        <w:top w:val="none" w:sz="0" w:space="0" w:color="auto"/>
        <w:left w:val="none" w:sz="0" w:space="0" w:color="auto"/>
        <w:bottom w:val="none" w:sz="0" w:space="0" w:color="auto"/>
        <w:right w:val="none" w:sz="0" w:space="0" w:color="auto"/>
      </w:divBdr>
    </w:div>
    <w:div w:id="1956138061">
      <w:bodyDiv w:val="1"/>
      <w:marLeft w:val="0"/>
      <w:marRight w:val="0"/>
      <w:marTop w:val="0"/>
      <w:marBottom w:val="0"/>
      <w:divBdr>
        <w:top w:val="none" w:sz="0" w:space="0" w:color="auto"/>
        <w:left w:val="none" w:sz="0" w:space="0" w:color="auto"/>
        <w:bottom w:val="none" w:sz="0" w:space="0" w:color="auto"/>
        <w:right w:val="none" w:sz="0" w:space="0" w:color="auto"/>
      </w:divBdr>
    </w:div>
    <w:div w:id="1968706854">
      <w:bodyDiv w:val="1"/>
      <w:marLeft w:val="0"/>
      <w:marRight w:val="0"/>
      <w:marTop w:val="0"/>
      <w:marBottom w:val="0"/>
      <w:divBdr>
        <w:top w:val="none" w:sz="0" w:space="0" w:color="auto"/>
        <w:left w:val="none" w:sz="0" w:space="0" w:color="auto"/>
        <w:bottom w:val="none" w:sz="0" w:space="0" w:color="auto"/>
        <w:right w:val="none" w:sz="0" w:space="0" w:color="auto"/>
      </w:divBdr>
    </w:div>
    <w:div w:id="1981029407">
      <w:bodyDiv w:val="1"/>
      <w:marLeft w:val="0"/>
      <w:marRight w:val="0"/>
      <w:marTop w:val="0"/>
      <w:marBottom w:val="0"/>
      <w:divBdr>
        <w:top w:val="none" w:sz="0" w:space="0" w:color="auto"/>
        <w:left w:val="none" w:sz="0" w:space="0" w:color="auto"/>
        <w:bottom w:val="none" w:sz="0" w:space="0" w:color="auto"/>
        <w:right w:val="none" w:sz="0" w:space="0" w:color="auto"/>
      </w:divBdr>
    </w:div>
    <w:div w:id="1992370508">
      <w:bodyDiv w:val="1"/>
      <w:marLeft w:val="0"/>
      <w:marRight w:val="0"/>
      <w:marTop w:val="0"/>
      <w:marBottom w:val="0"/>
      <w:divBdr>
        <w:top w:val="none" w:sz="0" w:space="0" w:color="auto"/>
        <w:left w:val="none" w:sz="0" w:space="0" w:color="auto"/>
        <w:bottom w:val="none" w:sz="0" w:space="0" w:color="auto"/>
        <w:right w:val="none" w:sz="0" w:space="0" w:color="auto"/>
      </w:divBdr>
    </w:div>
    <w:div w:id="1995379063">
      <w:bodyDiv w:val="1"/>
      <w:marLeft w:val="0"/>
      <w:marRight w:val="0"/>
      <w:marTop w:val="0"/>
      <w:marBottom w:val="0"/>
      <w:divBdr>
        <w:top w:val="none" w:sz="0" w:space="0" w:color="auto"/>
        <w:left w:val="none" w:sz="0" w:space="0" w:color="auto"/>
        <w:bottom w:val="none" w:sz="0" w:space="0" w:color="auto"/>
        <w:right w:val="none" w:sz="0" w:space="0" w:color="auto"/>
      </w:divBdr>
    </w:div>
    <w:div w:id="2000841434">
      <w:bodyDiv w:val="1"/>
      <w:marLeft w:val="0"/>
      <w:marRight w:val="0"/>
      <w:marTop w:val="0"/>
      <w:marBottom w:val="0"/>
      <w:divBdr>
        <w:top w:val="none" w:sz="0" w:space="0" w:color="auto"/>
        <w:left w:val="none" w:sz="0" w:space="0" w:color="auto"/>
        <w:bottom w:val="none" w:sz="0" w:space="0" w:color="auto"/>
        <w:right w:val="none" w:sz="0" w:space="0" w:color="auto"/>
      </w:divBdr>
    </w:div>
    <w:div w:id="2008941822">
      <w:bodyDiv w:val="1"/>
      <w:marLeft w:val="0"/>
      <w:marRight w:val="0"/>
      <w:marTop w:val="0"/>
      <w:marBottom w:val="0"/>
      <w:divBdr>
        <w:top w:val="none" w:sz="0" w:space="0" w:color="auto"/>
        <w:left w:val="none" w:sz="0" w:space="0" w:color="auto"/>
        <w:bottom w:val="none" w:sz="0" w:space="0" w:color="auto"/>
        <w:right w:val="none" w:sz="0" w:space="0" w:color="auto"/>
      </w:divBdr>
    </w:div>
    <w:div w:id="2009362355">
      <w:bodyDiv w:val="1"/>
      <w:marLeft w:val="0"/>
      <w:marRight w:val="0"/>
      <w:marTop w:val="0"/>
      <w:marBottom w:val="0"/>
      <w:divBdr>
        <w:top w:val="none" w:sz="0" w:space="0" w:color="auto"/>
        <w:left w:val="none" w:sz="0" w:space="0" w:color="auto"/>
        <w:bottom w:val="none" w:sz="0" w:space="0" w:color="auto"/>
        <w:right w:val="none" w:sz="0" w:space="0" w:color="auto"/>
      </w:divBdr>
    </w:div>
    <w:div w:id="2013601194">
      <w:bodyDiv w:val="1"/>
      <w:marLeft w:val="0"/>
      <w:marRight w:val="0"/>
      <w:marTop w:val="0"/>
      <w:marBottom w:val="0"/>
      <w:divBdr>
        <w:top w:val="none" w:sz="0" w:space="0" w:color="auto"/>
        <w:left w:val="none" w:sz="0" w:space="0" w:color="auto"/>
        <w:bottom w:val="none" w:sz="0" w:space="0" w:color="auto"/>
        <w:right w:val="none" w:sz="0" w:space="0" w:color="auto"/>
      </w:divBdr>
    </w:div>
    <w:div w:id="2013675571">
      <w:bodyDiv w:val="1"/>
      <w:marLeft w:val="0"/>
      <w:marRight w:val="0"/>
      <w:marTop w:val="0"/>
      <w:marBottom w:val="0"/>
      <w:divBdr>
        <w:top w:val="none" w:sz="0" w:space="0" w:color="auto"/>
        <w:left w:val="none" w:sz="0" w:space="0" w:color="auto"/>
        <w:bottom w:val="none" w:sz="0" w:space="0" w:color="auto"/>
        <w:right w:val="none" w:sz="0" w:space="0" w:color="auto"/>
      </w:divBdr>
    </w:div>
    <w:div w:id="2017271158">
      <w:bodyDiv w:val="1"/>
      <w:marLeft w:val="0"/>
      <w:marRight w:val="0"/>
      <w:marTop w:val="0"/>
      <w:marBottom w:val="0"/>
      <w:divBdr>
        <w:top w:val="none" w:sz="0" w:space="0" w:color="auto"/>
        <w:left w:val="none" w:sz="0" w:space="0" w:color="auto"/>
        <w:bottom w:val="none" w:sz="0" w:space="0" w:color="auto"/>
        <w:right w:val="none" w:sz="0" w:space="0" w:color="auto"/>
      </w:divBdr>
    </w:div>
    <w:div w:id="2026976911">
      <w:bodyDiv w:val="1"/>
      <w:marLeft w:val="0"/>
      <w:marRight w:val="0"/>
      <w:marTop w:val="0"/>
      <w:marBottom w:val="0"/>
      <w:divBdr>
        <w:top w:val="none" w:sz="0" w:space="0" w:color="auto"/>
        <w:left w:val="none" w:sz="0" w:space="0" w:color="auto"/>
        <w:bottom w:val="none" w:sz="0" w:space="0" w:color="auto"/>
        <w:right w:val="none" w:sz="0" w:space="0" w:color="auto"/>
      </w:divBdr>
    </w:div>
    <w:div w:id="2037273912">
      <w:bodyDiv w:val="1"/>
      <w:marLeft w:val="0"/>
      <w:marRight w:val="0"/>
      <w:marTop w:val="0"/>
      <w:marBottom w:val="0"/>
      <w:divBdr>
        <w:top w:val="none" w:sz="0" w:space="0" w:color="auto"/>
        <w:left w:val="none" w:sz="0" w:space="0" w:color="auto"/>
        <w:bottom w:val="none" w:sz="0" w:space="0" w:color="auto"/>
        <w:right w:val="none" w:sz="0" w:space="0" w:color="auto"/>
      </w:divBdr>
    </w:div>
    <w:div w:id="2045473499">
      <w:bodyDiv w:val="1"/>
      <w:marLeft w:val="0"/>
      <w:marRight w:val="0"/>
      <w:marTop w:val="0"/>
      <w:marBottom w:val="0"/>
      <w:divBdr>
        <w:top w:val="none" w:sz="0" w:space="0" w:color="auto"/>
        <w:left w:val="none" w:sz="0" w:space="0" w:color="auto"/>
        <w:bottom w:val="none" w:sz="0" w:space="0" w:color="auto"/>
        <w:right w:val="none" w:sz="0" w:space="0" w:color="auto"/>
      </w:divBdr>
    </w:div>
    <w:div w:id="2050184534">
      <w:bodyDiv w:val="1"/>
      <w:marLeft w:val="0"/>
      <w:marRight w:val="0"/>
      <w:marTop w:val="0"/>
      <w:marBottom w:val="0"/>
      <w:divBdr>
        <w:top w:val="none" w:sz="0" w:space="0" w:color="auto"/>
        <w:left w:val="none" w:sz="0" w:space="0" w:color="auto"/>
        <w:bottom w:val="none" w:sz="0" w:space="0" w:color="auto"/>
        <w:right w:val="none" w:sz="0" w:space="0" w:color="auto"/>
      </w:divBdr>
    </w:div>
    <w:div w:id="2060275762">
      <w:bodyDiv w:val="1"/>
      <w:marLeft w:val="0"/>
      <w:marRight w:val="0"/>
      <w:marTop w:val="0"/>
      <w:marBottom w:val="0"/>
      <w:divBdr>
        <w:top w:val="none" w:sz="0" w:space="0" w:color="auto"/>
        <w:left w:val="none" w:sz="0" w:space="0" w:color="auto"/>
        <w:bottom w:val="none" w:sz="0" w:space="0" w:color="auto"/>
        <w:right w:val="none" w:sz="0" w:space="0" w:color="auto"/>
      </w:divBdr>
    </w:div>
    <w:div w:id="2060350572">
      <w:bodyDiv w:val="1"/>
      <w:marLeft w:val="0"/>
      <w:marRight w:val="0"/>
      <w:marTop w:val="0"/>
      <w:marBottom w:val="0"/>
      <w:divBdr>
        <w:top w:val="none" w:sz="0" w:space="0" w:color="auto"/>
        <w:left w:val="none" w:sz="0" w:space="0" w:color="auto"/>
        <w:bottom w:val="none" w:sz="0" w:space="0" w:color="auto"/>
        <w:right w:val="none" w:sz="0" w:space="0" w:color="auto"/>
      </w:divBdr>
    </w:div>
    <w:div w:id="2061587997">
      <w:bodyDiv w:val="1"/>
      <w:marLeft w:val="0"/>
      <w:marRight w:val="0"/>
      <w:marTop w:val="0"/>
      <w:marBottom w:val="0"/>
      <w:divBdr>
        <w:top w:val="none" w:sz="0" w:space="0" w:color="auto"/>
        <w:left w:val="none" w:sz="0" w:space="0" w:color="auto"/>
        <w:bottom w:val="none" w:sz="0" w:space="0" w:color="auto"/>
        <w:right w:val="none" w:sz="0" w:space="0" w:color="auto"/>
      </w:divBdr>
    </w:div>
    <w:div w:id="2085490067">
      <w:bodyDiv w:val="1"/>
      <w:marLeft w:val="0"/>
      <w:marRight w:val="0"/>
      <w:marTop w:val="0"/>
      <w:marBottom w:val="0"/>
      <w:divBdr>
        <w:top w:val="none" w:sz="0" w:space="0" w:color="auto"/>
        <w:left w:val="none" w:sz="0" w:space="0" w:color="auto"/>
        <w:bottom w:val="none" w:sz="0" w:space="0" w:color="auto"/>
        <w:right w:val="none" w:sz="0" w:space="0" w:color="auto"/>
      </w:divBdr>
    </w:div>
    <w:div w:id="2095666287">
      <w:bodyDiv w:val="1"/>
      <w:marLeft w:val="0"/>
      <w:marRight w:val="0"/>
      <w:marTop w:val="0"/>
      <w:marBottom w:val="0"/>
      <w:divBdr>
        <w:top w:val="none" w:sz="0" w:space="0" w:color="auto"/>
        <w:left w:val="none" w:sz="0" w:space="0" w:color="auto"/>
        <w:bottom w:val="none" w:sz="0" w:space="0" w:color="auto"/>
        <w:right w:val="none" w:sz="0" w:space="0" w:color="auto"/>
      </w:divBdr>
    </w:div>
    <w:div w:id="2116633678">
      <w:bodyDiv w:val="1"/>
      <w:marLeft w:val="0"/>
      <w:marRight w:val="0"/>
      <w:marTop w:val="0"/>
      <w:marBottom w:val="0"/>
      <w:divBdr>
        <w:top w:val="none" w:sz="0" w:space="0" w:color="auto"/>
        <w:left w:val="none" w:sz="0" w:space="0" w:color="auto"/>
        <w:bottom w:val="none" w:sz="0" w:space="0" w:color="auto"/>
        <w:right w:val="none" w:sz="0" w:space="0" w:color="auto"/>
      </w:divBdr>
    </w:div>
    <w:div w:id="2117478015">
      <w:bodyDiv w:val="1"/>
      <w:marLeft w:val="0"/>
      <w:marRight w:val="0"/>
      <w:marTop w:val="0"/>
      <w:marBottom w:val="0"/>
      <w:divBdr>
        <w:top w:val="none" w:sz="0" w:space="0" w:color="auto"/>
        <w:left w:val="none" w:sz="0" w:space="0" w:color="auto"/>
        <w:bottom w:val="none" w:sz="0" w:space="0" w:color="auto"/>
        <w:right w:val="none" w:sz="0" w:space="0" w:color="auto"/>
      </w:divBdr>
    </w:div>
    <w:div w:id="2119904114">
      <w:bodyDiv w:val="1"/>
      <w:marLeft w:val="0"/>
      <w:marRight w:val="0"/>
      <w:marTop w:val="0"/>
      <w:marBottom w:val="0"/>
      <w:divBdr>
        <w:top w:val="none" w:sz="0" w:space="0" w:color="auto"/>
        <w:left w:val="none" w:sz="0" w:space="0" w:color="auto"/>
        <w:bottom w:val="none" w:sz="0" w:space="0" w:color="auto"/>
        <w:right w:val="none" w:sz="0" w:space="0" w:color="auto"/>
      </w:divBdr>
    </w:div>
    <w:div w:id="21248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header" Target="header50.xml"/><Relationship Id="rId21" Type="http://schemas.openxmlformats.org/officeDocument/2006/relationships/hyperlink" Target="http://creativecommons.org/licenses/by/3.0/au/deed.en" TargetMode="External"/><Relationship Id="rId42" Type="http://schemas.openxmlformats.org/officeDocument/2006/relationships/header" Target="header12.xml"/><Relationship Id="rId47" Type="http://schemas.openxmlformats.org/officeDocument/2006/relationships/header" Target="header16.xml"/><Relationship Id="rId63" Type="http://schemas.openxmlformats.org/officeDocument/2006/relationships/header" Target="header24.xml"/><Relationship Id="rId68" Type="http://schemas.openxmlformats.org/officeDocument/2006/relationships/header" Target="header27.xml"/><Relationship Id="rId84" Type="http://schemas.openxmlformats.org/officeDocument/2006/relationships/footer" Target="footer26.xml"/><Relationship Id="rId89" Type="http://schemas.openxmlformats.org/officeDocument/2006/relationships/header" Target="header37.xml"/><Relationship Id="rId112" Type="http://schemas.openxmlformats.org/officeDocument/2006/relationships/footer" Target="footer39.xml"/><Relationship Id="rId133" Type="http://schemas.openxmlformats.org/officeDocument/2006/relationships/footer" Target="footer49.xml"/><Relationship Id="rId138" Type="http://schemas.openxmlformats.org/officeDocument/2006/relationships/header" Target="header61.xml"/><Relationship Id="rId16" Type="http://schemas.openxmlformats.org/officeDocument/2006/relationships/footer" Target="footer1.xml"/><Relationship Id="rId107" Type="http://schemas.openxmlformats.org/officeDocument/2006/relationships/footer" Target="footer37.xml"/><Relationship Id="rId11" Type="http://schemas.openxmlformats.org/officeDocument/2006/relationships/webSettings" Target="webSettings.xml"/><Relationship Id="rId32" Type="http://schemas.openxmlformats.org/officeDocument/2006/relationships/header" Target="header7.xml"/><Relationship Id="rId37" Type="http://schemas.openxmlformats.org/officeDocument/2006/relationships/header" Target="header9.xml"/><Relationship Id="rId53" Type="http://schemas.openxmlformats.org/officeDocument/2006/relationships/footer" Target="footer12.xml"/><Relationship Id="rId58" Type="http://schemas.openxmlformats.org/officeDocument/2006/relationships/footer" Target="footer14.xml"/><Relationship Id="rId74" Type="http://schemas.openxmlformats.org/officeDocument/2006/relationships/footer" Target="footer21.xml"/><Relationship Id="rId79" Type="http://schemas.openxmlformats.org/officeDocument/2006/relationships/footer" Target="footer24.xml"/><Relationship Id="rId102" Type="http://schemas.openxmlformats.org/officeDocument/2006/relationships/footer" Target="footer34.xml"/><Relationship Id="rId123" Type="http://schemas.openxmlformats.org/officeDocument/2006/relationships/footer" Target="footer45.xml"/><Relationship Id="rId128" Type="http://schemas.openxmlformats.org/officeDocument/2006/relationships/header" Target="header56.xml"/><Relationship Id="rId144"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footer" Target="footer28.xml"/><Relationship Id="rId95" Type="http://schemas.openxmlformats.org/officeDocument/2006/relationships/header" Target="header40.xml"/><Relationship Id="rId22" Type="http://schemas.openxmlformats.org/officeDocument/2006/relationships/hyperlink" Target="http://www.pmc.gov.au/government/commonwealth-coat-arms" TargetMode="External"/><Relationship Id="rId27" Type="http://schemas.openxmlformats.org/officeDocument/2006/relationships/footer" Target="footer3.xml"/><Relationship Id="rId43" Type="http://schemas.openxmlformats.org/officeDocument/2006/relationships/header" Target="header13.xml"/><Relationship Id="rId48" Type="http://schemas.openxmlformats.org/officeDocument/2006/relationships/footer" Target="footer10.xml"/><Relationship Id="rId64" Type="http://schemas.openxmlformats.org/officeDocument/2006/relationships/footer" Target="footer17.xml"/><Relationship Id="rId69" Type="http://schemas.openxmlformats.org/officeDocument/2006/relationships/header" Target="header28.xml"/><Relationship Id="rId113" Type="http://schemas.openxmlformats.org/officeDocument/2006/relationships/footer" Target="footer40.xml"/><Relationship Id="rId118" Type="http://schemas.openxmlformats.org/officeDocument/2006/relationships/footer" Target="footer42.xml"/><Relationship Id="rId134" Type="http://schemas.openxmlformats.org/officeDocument/2006/relationships/header" Target="header59.xml"/><Relationship Id="rId139" Type="http://schemas.openxmlformats.org/officeDocument/2006/relationships/footer" Target="footer52.xml"/><Relationship Id="rId80" Type="http://schemas.openxmlformats.org/officeDocument/2006/relationships/header" Target="header33.xml"/><Relationship Id="rId85" Type="http://schemas.openxmlformats.org/officeDocument/2006/relationships/header" Target="header34.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33" Type="http://schemas.openxmlformats.org/officeDocument/2006/relationships/footer" Target="footer4.xml"/><Relationship Id="rId38" Type="http://schemas.openxmlformats.org/officeDocument/2006/relationships/header" Target="header10.xml"/><Relationship Id="rId46" Type="http://schemas.openxmlformats.org/officeDocument/2006/relationships/header" Target="header15.xml"/><Relationship Id="rId59" Type="http://schemas.openxmlformats.org/officeDocument/2006/relationships/header" Target="header23.xml"/><Relationship Id="rId67" Type="http://schemas.openxmlformats.org/officeDocument/2006/relationships/header" Target="header26.xml"/><Relationship Id="rId103" Type="http://schemas.openxmlformats.org/officeDocument/2006/relationships/hyperlink" Target="http://www.nfsa.gov.au/about/corporate-information/publications/annual-reports" TargetMode="External"/><Relationship Id="rId108" Type="http://schemas.openxmlformats.org/officeDocument/2006/relationships/header" Target="header45.xml"/><Relationship Id="rId116" Type="http://schemas.openxmlformats.org/officeDocument/2006/relationships/header" Target="header49.xml"/><Relationship Id="rId124" Type="http://schemas.openxmlformats.org/officeDocument/2006/relationships/header" Target="header53.xml"/><Relationship Id="rId129" Type="http://schemas.openxmlformats.org/officeDocument/2006/relationships/header" Target="header57.xml"/><Relationship Id="rId137" Type="http://schemas.openxmlformats.org/officeDocument/2006/relationships/footer" Target="footer51.xml"/><Relationship Id="rId20" Type="http://schemas.openxmlformats.org/officeDocument/2006/relationships/image" Target="media/image1.wmf"/><Relationship Id="rId41" Type="http://schemas.openxmlformats.org/officeDocument/2006/relationships/footer" Target="footer8.xml"/><Relationship Id="rId54" Type="http://schemas.openxmlformats.org/officeDocument/2006/relationships/header" Target="header20.xml"/><Relationship Id="rId62" Type="http://schemas.openxmlformats.org/officeDocument/2006/relationships/footer" Target="footer16.xml"/><Relationship Id="rId70" Type="http://schemas.openxmlformats.org/officeDocument/2006/relationships/footer" Target="footer19.xml"/><Relationship Id="rId75" Type="http://schemas.openxmlformats.org/officeDocument/2006/relationships/header" Target="header31.xml"/><Relationship Id="rId83" Type="http://schemas.openxmlformats.org/officeDocument/2006/relationships/hyperlink" Target="https://www.casa.gov.au/content-search/annual-reports/annual-report-2020-21" TargetMode="External"/><Relationship Id="rId88" Type="http://schemas.openxmlformats.org/officeDocument/2006/relationships/header" Target="header36.xml"/><Relationship Id="rId91" Type="http://schemas.openxmlformats.org/officeDocument/2006/relationships/header" Target="header38.xml"/><Relationship Id="rId96" Type="http://schemas.openxmlformats.org/officeDocument/2006/relationships/footer" Target="footer31.xml"/><Relationship Id="rId111" Type="http://schemas.openxmlformats.org/officeDocument/2006/relationships/header" Target="header47.xml"/><Relationship Id="rId132" Type="http://schemas.openxmlformats.org/officeDocument/2006/relationships/header" Target="header58.xml"/><Relationship Id="rId140" Type="http://schemas.openxmlformats.org/officeDocument/2006/relationships/header" Target="header62.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mailto:helpbudgets@infrastructure.gov.au" TargetMode="External"/><Relationship Id="rId28" Type="http://schemas.openxmlformats.org/officeDocument/2006/relationships/image" Target="media/image2.jpeg"/><Relationship Id="rId36" Type="http://schemas.openxmlformats.org/officeDocument/2006/relationships/footer" Target="footer6.xml"/><Relationship Id="rId49" Type="http://schemas.openxmlformats.org/officeDocument/2006/relationships/header" Target="header17.xml"/><Relationship Id="rId57" Type="http://schemas.openxmlformats.org/officeDocument/2006/relationships/header" Target="header22.xml"/><Relationship Id="rId106" Type="http://schemas.openxmlformats.org/officeDocument/2006/relationships/header" Target="header44.xml"/><Relationship Id="rId114" Type="http://schemas.openxmlformats.org/officeDocument/2006/relationships/header" Target="header48.xml"/><Relationship Id="rId119" Type="http://schemas.openxmlformats.org/officeDocument/2006/relationships/footer" Target="footer43.xml"/><Relationship Id="rId127" Type="http://schemas.openxmlformats.org/officeDocument/2006/relationships/footer" Target="footer46.xml"/><Relationship Id="rId10" Type="http://schemas.openxmlformats.org/officeDocument/2006/relationships/settings" Target="settings.xml"/><Relationship Id="rId31" Type="http://schemas.openxmlformats.org/officeDocument/2006/relationships/header" Target="header6.xml"/><Relationship Id="rId44" Type="http://schemas.openxmlformats.org/officeDocument/2006/relationships/footer" Target="footer9.xml"/><Relationship Id="rId52" Type="http://schemas.openxmlformats.org/officeDocument/2006/relationships/header" Target="header19.xml"/><Relationship Id="rId60" Type="http://schemas.openxmlformats.org/officeDocument/2006/relationships/footer" Target="footer15.xml"/><Relationship Id="rId65" Type="http://schemas.openxmlformats.org/officeDocument/2006/relationships/header" Target="header25.xml"/><Relationship Id="rId73" Type="http://schemas.openxmlformats.org/officeDocument/2006/relationships/footer" Target="footer20.xml"/><Relationship Id="rId78" Type="http://schemas.openxmlformats.org/officeDocument/2006/relationships/header" Target="header32.xml"/><Relationship Id="rId81" Type="http://schemas.openxmlformats.org/officeDocument/2006/relationships/footer" Target="footer25.xml"/><Relationship Id="rId86" Type="http://schemas.openxmlformats.org/officeDocument/2006/relationships/footer" Target="footer27.xml"/><Relationship Id="rId94" Type="http://schemas.openxmlformats.org/officeDocument/2006/relationships/footer" Target="footer30.xml"/><Relationship Id="rId99" Type="http://schemas.openxmlformats.org/officeDocument/2006/relationships/header" Target="header42.xml"/><Relationship Id="rId101" Type="http://schemas.openxmlformats.org/officeDocument/2006/relationships/header" Target="header43.xml"/><Relationship Id="rId122" Type="http://schemas.openxmlformats.org/officeDocument/2006/relationships/header" Target="header52.xml"/><Relationship Id="rId130" Type="http://schemas.openxmlformats.org/officeDocument/2006/relationships/footer" Target="footer47.xml"/><Relationship Id="rId135" Type="http://schemas.openxmlformats.org/officeDocument/2006/relationships/header" Target="header60.xml"/><Relationship Id="rId143" Type="http://schemas.openxmlformats.org/officeDocument/2006/relationships/footer" Target="footer53.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creativecommons.org/licenses/by/3.0/au/deed.en" TargetMode="External"/><Relationship Id="rId39" Type="http://schemas.openxmlformats.org/officeDocument/2006/relationships/footer" Target="footer7.xml"/><Relationship Id="rId109" Type="http://schemas.openxmlformats.org/officeDocument/2006/relationships/footer" Target="footer38.xml"/><Relationship Id="rId34" Type="http://schemas.openxmlformats.org/officeDocument/2006/relationships/footer" Target="footer5.xml"/><Relationship Id="rId50" Type="http://schemas.openxmlformats.org/officeDocument/2006/relationships/header" Target="header18.xml"/><Relationship Id="rId55" Type="http://schemas.openxmlformats.org/officeDocument/2006/relationships/footer" Target="footer13.xml"/><Relationship Id="rId76" Type="http://schemas.openxmlformats.org/officeDocument/2006/relationships/footer" Target="footer22.xml"/><Relationship Id="rId97" Type="http://schemas.openxmlformats.org/officeDocument/2006/relationships/header" Target="header41.xml"/><Relationship Id="rId104" Type="http://schemas.openxmlformats.org/officeDocument/2006/relationships/footer" Target="footer35.xml"/><Relationship Id="rId120" Type="http://schemas.openxmlformats.org/officeDocument/2006/relationships/header" Target="header51.xml"/><Relationship Id="rId125" Type="http://schemas.openxmlformats.org/officeDocument/2006/relationships/header" Target="header54.xml"/><Relationship Id="rId141" Type="http://schemas.openxmlformats.org/officeDocument/2006/relationships/header" Target="header63.xml"/><Relationship Id="rId7" Type="http://schemas.openxmlformats.org/officeDocument/2006/relationships/customXml" Target="../customXml/item7.xml"/><Relationship Id="rId71" Type="http://schemas.openxmlformats.org/officeDocument/2006/relationships/header" Target="header29.xml"/><Relationship Id="rId92" Type="http://schemas.openxmlformats.org/officeDocument/2006/relationships/header" Target="header39.xml"/><Relationship Id="rId2" Type="http://schemas.openxmlformats.org/officeDocument/2006/relationships/customXml" Target="../customXml/item2.xml"/><Relationship Id="rId29" Type="http://schemas.openxmlformats.org/officeDocument/2006/relationships/image" Target="media/image3.png"/><Relationship Id="rId24" Type="http://schemas.openxmlformats.org/officeDocument/2006/relationships/header" Target="header3.xml"/><Relationship Id="rId40" Type="http://schemas.openxmlformats.org/officeDocument/2006/relationships/header" Target="header11.xml"/><Relationship Id="rId45" Type="http://schemas.openxmlformats.org/officeDocument/2006/relationships/header" Target="header14.xml"/><Relationship Id="rId66" Type="http://schemas.openxmlformats.org/officeDocument/2006/relationships/footer" Target="footer18.xml"/><Relationship Id="rId87" Type="http://schemas.openxmlformats.org/officeDocument/2006/relationships/header" Target="header35.xml"/><Relationship Id="rId110" Type="http://schemas.openxmlformats.org/officeDocument/2006/relationships/header" Target="header46.xml"/><Relationship Id="rId115" Type="http://schemas.openxmlformats.org/officeDocument/2006/relationships/footer" Target="footer41.xml"/><Relationship Id="rId131" Type="http://schemas.openxmlformats.org/officeDocument/2006/relationships/footer" Target="footer48.xml"/><Relationship Id="rId136" Type="http://schemas.openxmlformats.org/officeDocument/2006/relationships/footer" Target="footer50.xml"/><Relationship Id="rId61" Type="http://schemas.openxmlformats.org/officeDocument/2006/relationships/hyperlink" Target="http://www.infrastructure.gov.au/department/about/corporate-plan" TargetMode="External"/><Relationship Id="rId82" Type="http://schemas.openxmlformats.org/officeDocument/2006/relationships/hyperlink" Target="https://www.casa.gov.au/corporate-plan-2021-22" TargetMode="External"/><Relationship Id="rId19" Type="http://schemas.openxmlformats.org/officeDocument/2006/relationships/hyperlink" Target="http://creativecommons.org/licenses/by/3.0/au/legalcode" TargetMode="External"/><Relationship Id="rId14" Type="http://schemas.openxmlformats.org/officeDocument/2006/relationships/header" Target="header1.xml"/><Relationship Id="rId30" Type="http://schemas.openxmlformats.org/officeDocument/2006/relationships/hyperlink" Target="file://mercury.network/dfs/groups/FMG/FRACM/Reporting%20and%20Resourcing/BRF/Reporting/BdgPap/2.%20PAES/3.5%20PAES%202019-20/www.budget.gov.au" TargetMode="External"/><Relationship Id="rId35" Type="http://schemas.openxmlformats.org/officeDocument/2006/relationships/header" Target="header8.xml"/><Relationship Id="rId56" Type="http://schemas.openxmlformats.org/officeDocument/2006/relationships/header" Target="header21.xml"/><Relationship Id="rId77" Type="http://schemas.openxmlformats.org/officeDocument/2006/relationships/footer" Target="footer23.xml"/><Relationship Id="rId100" Type="http://schemas.openxmlformats.org/officeDocument/2006/relationships/footer" Target="footer33.xml"/><Relationship Id="rId105" Type="http://schemas.openxmlformats.org/officeDocument/2006/relationships/footer" Target="footer36.xml"/><Relationship Id="rId126" Type="http://schemas.openxmlformats.org/officeDocument/2006/relationships/header" Target="header55.xml"/><Relationship Id="rId8" Type="http://schemas.openxmlformats.org/officeDocument/2006/relationships/numbering" Target="numbering.xml"/><Relationship Id="rId51" Type="http://schemas.openxmlformats.org/officeDocument/2006/relationships/footer" Target="footer11.xml"/><Relationship Id="rId72" Type="http://schemas.openxmlformats.org/officeDocument/2006/relationships/header" Target="header30.xml"/><Relationship Id="rId93" Type="http://schemas.openxmlformats.org/officeDocument/2006/relationships/footer" Target="footer29.xml"/><Relationship Id="rId98" Type="http://schemas.openxmlformats.org/officeDocument/2006/relationships/footer" Target="footer32.xml"/><Relationship Id="rId121" Type="http://schemas.openxmlformats.org/officeDocument/2006/relationships/footer" Target="footer44.xml"/><Relationship Id="rId142" Type="http://schemas.openxmlformats.org/officeDocument/2006/relationships/header" Target="header64.xml"/></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4.png"/></Relationships>
</file>

<file path=word/_rels/header17.xml.rels><?xml version="1.0" encoding="UTF-8" standalone="yes"?>
<Relationships xmlns="http://schemas.openxmlformats.org/package/2006/relationships"><Relationship Id="rId1" Type="http://schemas.openxmlformats.org/officeDocument/2006/relationships/image" Target="media/image4.png"/></Relationships>
</file>

<file path=word/_rels/header18.xml.rels><?xml version="1.0" encoding="UTF-8" standalone="yes"?>
<Relationships xmlns="http://schemas.openxmlformats.org/package/2006/relationships"><Relationship Id="rId1" Type="http://schemas.openxmlformats.org/officeDocument/2006/relationships/image" Target="media/image4.png"/></Relationships>
</file>

<file path=word/_rels/header19.xml.rels><?xml version="1.0" encoding="UTF-8" standalone="yes"?>
<Relationships xmlns="http://schemas.openxmlformats.org/package/2006/relationships"><Relationship Id="rId1" Type="http://schemas.openxmlformats.org/officeDocument/2006/relationships/image" Target="media/image4.png"/></Relationships>
</file>

<file path=word/_rels/header21.xml.rels><?xml version="1.0" encoding="UTF-8" standalone="yes"?>
<Relationships xmlns="http://schemas.openxmlformats.org/package/2006/relationships"><Relationship Id="rId1" Type="http://schemas.openxmlformats.org/officeDocument/2006/relationships/image" Target="media/image4.png"/></Relationships>
</file>

<file path=word/_rels/header22.xml.rels><?xml version="1.0" encoding="UTF-8" standalone="yes"?>
<Relationships xmlns="http://schemas.openxmlformats.org/package/2006/relationships"><Relationship Id="rId1" Type="http://schemas.openxmlformats.org/officeDocument/2006/relationships/image" Target="media/image4.png"/></Relationships>
</file>

<file path=word/_rels/header23.xml.rels><?xml version="1.0" encoding="UTF-8" standalone="yes"?>
<Relationships xmlns="http://schemas.openxmlformats.org/package/2006/relationships"><Relationship Id="rId1" Type="http://schemas.openxmlformats.org/officeDocument/2006/relationships/image" Target="media/image4.png"/></Relationships>
</file>

<file path=word/_rels/header24.xml.rels><?xml version="1.0" encoding="UTF-8" standalone="yes"?>
<Relationships xmlns="http://schemas.openxmlformats.org/package/2006/relationships"><Relationship Id="rId1" Type="http://schemas.openxmlformats.org/officeDocument/2006/relationships/image" Target="media/image4.png"/></Relationships>
</file>

<file path=word/_rels/header26.xml.rels><?xml version="1.0" encoding="UTF-8" standalone="yes"?>
<Relationships xmlns="http://schemas.openxmlformats.org/package/2006/relationships"><Relationship Id="rId1" Type="http://schemas.openxmlformats.org/officeDocument/2006/relationships/image" Target="media/image4.png"/></Relationships>
</file>

<file path=word/_rels/header27.xml.rels><?xml version="1.0" encoding="UTF-8" standalone="yes"?>
<Relationships xmlns="http://schemas.openxmlformats.org/package/2006/relationships"><Relationship Id="rId1" Type="http://schemas.openxmlformats.org/officeDocument/2006/relationships/image" Target="media/image4.png"/></Relationships>
</file>

<file path=word/_rels/header28.xml.rels><?xml version="1.0" encoding="UTF-8" standalone="yes"?>
<Relationships xmlns="http://schemas.openxmlformats.org/package/2006/relationships"><Relationship Id="rId1" Type="http://schemas.openxmlformats.org/officeDocument/2006/relationships/image" Target="media/image4.png"/></Relationships>
</file>

<file path=word/_rels/header29.xml.rels><?xml version="1.0" encoding="UTF-8" standalone="yes"?>
<Relationships xmlns="http://schemas.openxmlformats.org/package/2006/relationships"><Relationship Id="rId1" Type="http://schemas.openxmlformats.org/officeDocument/2006/relationships/image" Target="media/image4.png"/></Relationships>
</file>

<file path=word/_rels/header30.xml.rels><?xml version="1.0" encoding="UTF-8" standalone="yes"?>
<Relationships xmlns="http://schemas.openxmlformats.org/package/2006/relationships"><Relationship Id="rId1" Type="http://schemas.openxmlformats.org/officeDocument/2006/relationships/image" Target="media/image4.png"/></Relationships>
</file>

<file path=word/_rels/header31.xml.rels><?xml version="1.0" encoding="UTF-8" standalone="yes"?>
<Relationships xmlns="http://schemas.openxmlformats.org/package/2006/relationships"><Relationship Id="rId1" Type="http://schemas.openxmlformats.org/officeDocument/2006/relationships/image" Target="media/image4.png"/></Relationships>
</file>

<file path=word/_rels/header33.xml.rels><?xml version="1.0" encoding="UTF-8" standalone="yes"?>
<Relationships xmlns="http://schemas.openxmlformats.org/package/2006/relationships"><Relationship Id="rId1" Type="http://schemas.openxmlformats.org/officeDocument/2006/relationships/image" Target="media/image4.png"/></Relationships>
</file>

<file path=word/_rels/header35.xml.rels><?xml version="1.0" encoding="UTF-8" standalone="yes"?>
<Relationships xmlns="http://schemas.openxmlformats.org/package/2006/relationships"><Relationship Id="rId1" Type="http://schemas.openxmlformats.org/officeDocument/2006/relationships/image" Target="media/image4.png"/></Relationships>
</file>

<file path=word/_rels/header36.xml.rels><?xml version="1.0" encoding="UTF-8" standalone="yes"?>
<Relationships xmlns="http://schemas.openxmlformats.org/package/2006/relationships"><Relationship Id="rId1" Type="http://schemas.openxmlformats.org/officeDocument/2006/relationships/image" Target="media/image4.png"/></Relationships>
</file>

<file path=word/_rels/header37.xml.rels><?xml version="1.0" encoding="UTF-8" standalone="yes"?>
<Relationships xmlns="http://schemas.openxmlformats.org/package/2006/relationships"><Relationship Id="rId1" Type="http://schemas.openxmlformats.org/officeDocument/2006/relationships/image" Target="media/image4.png"/></Relationships>
</file>

<file path=word/_rels/header38.xml.rels><?xml version="1.0" encoding="UTF-8" standalone="yes"?>
<Relationships xmlns="http://schemas.openxmlformats.org/package/2006/relationships"><Relationship Id="rId1" Type="http://schemas.openxmlformats.org/officeDocument/2006/relationships/image" Target="media/image4.png"/></Relationships>
</file>

<file path=word/_rels/header39.xml.rels><?xml version="1.0" encoding="UTF-8" standalone="yes"?>
<Relationships xmlns="http://schemas.openxmlformats.org/package/2006/relationships"><Relationship Id="rId1" Type="http://schemas.openxmlformats.org/officeDocument/2006/relationships/image" Target="media/image4.png"/></Relationships>
</file>

<file path=word/_rels/header40.xml.rels><?xml version="1.0" encoding="UTF-8" standalone="yes"?>
<Relationships xmlns="http://schemas.openxmlformats.org/package/2006/relationships"><Relationship Id="rId1" Type="http://schemas.openxmlformats.org/officeDocument/2006/relationships/image" Target="media/image4.png"/></Relationships>
</file>

<file path=word/_rels/header41.xml.rels><?xml version="1.0" encoding="UTF-8" standalone="yes"?>
<Relationships xmlns="http://schemas.openxmlformats.org/package/2006/relationships"><Relationship Id="rId1" Type="http://schemas.openxmlformats.org/officeDocument/2006/relationships/image" Target="media/image4.png"/></Relationships>
</file>

<file path=word/_rels/header43.xml.rels><?xml version="1.0" encoding="UTF-8" standalone="yes"?>
<Relationships xmlns="http://schemas.openxmlformats.org/package/2006/relationships"><Relationship Id="rId1" Type="http://schemas.openxmlformats.org/officeDocument/2006/relationships/image" Target="media/image4.png"/></Relationships>
</file>

<file path=word/_rels/header44.xml.rels><?xml version="1.0" encoding="UTF-8" standalone="yes"?>
<Relationships xmlns="http://schemas.openxmlformats.org/package/2006/relationships"><Relationship Id="rId1" Type="http://schemas.openxmlformats.org/officeDocument/2006/relationships/image" Target="media/image4.png"/></Relationships>
</file>

<file path=word/_rels/header46.xml.rels><?xml version="1.0" encoding="UTF-8" standalone="yes"?>
<Relationships xmlns="http://schemas.openxmlformats.org/package/2006/relationships"><Relationship Id="rId1" Type="http://schemas.openxmlformats.org/officeDocument/2006/relationships/image" Target="media/image4.png"/></Relationships>
</file>

<file path=word/_rels/header47.xml.rels><?xml version="1.0" encoding="UTF-8" standalone="yes"?>
<Relationships xmlns="http://schemas.openxmlformats.org/package/2006/relationships"><Relationship Id="rId1" Type="http://schemas.openxmlformats.org/officeDocument/2006/relationships/image" Target="media/image4.png"/></Relationships>
</file>

<file path=word/_rels/header48.xml.rels><?xml version="1.0" encoding="UTF-8" standalone="yes"?>
<Relationships xmlns="http://schemas.openxmlformats.org/package/2006/relationships"><Relationship Id="rId1" Type="http://schemas.openxmlformats.org/officeDocument/2006/relationships/image" Target="media/image4.png"/></Relationships>
</file>

<file path=word/_rels/header49.xml.rels><?xml version="1.0" encoding="UTF-8" standalone="yes"?>
<Relationships xmlns="http://schemas.openxmlformats.org/package/2006/relationships"><Relationship Id="rId1" Type="http://schemas.openxmlformats.org/officeDocument/2006/relationships/image" Target="media/image4.png"/></Relationships>
</file>

<file path=word/_rels/header50.xml.rels><?xml version="1.0" encoding="UTF-8" standalone="yes"?>
<Relationships xmlns="http://schemas.openxmlformats.org/package/2006/relationships"><Relationship Id="rId1" Type="http://schemas.openxmlformats.org/officeDocument/2006/relationships/image" Target="media/image4.png"/></Relationships>
</file>

<file path=word/_rels/header51.xml.rels><?xml version="1.0" encoding="UTF-8" standalone="yes"?>
<Relationships xmlns="http://schemas.openxmlformats.org/package/2006/relationships"><Relationship Id="rId1" Type="http://schemas.openxmlformats.org/officeDocument/2006/relationships/image" Target="media/image4.png"/></Relationships>
</file>

<file path=word/_rels/header53.xml.rels><?xml version="1.0" encoding="UTF-8" standalone="yes"?>
<Relationships xmlns="http://schemas.openxmlformats.org/package/2006/relationships"><Relationship Id="rId1" Type="http://schemas.openxmlformats.org/officeDocument/2006/relationships/image" Target="media/image4.png"/></Relationships>
</file>

<file path=word/_rels/header54.xml.rels><?xml version="1.0" encoding="UTF-8" standalone="yes"?>
<Relationships xmlns="http://schemas.openxmlformats.org/package/2006/relationships"><Relationship Id="rId1" Type="http://schemas.openxmlformats.org/officeDocument/2006/relationships/image" Target="media/image4.png"/></Relationships>
</file>

<file path=word/_rels/header55.xml.rels><?xml version="1.0" encoding="UTF-8" standalone="yes"?>
<Relationships xmlns="http://schemas.openxmlformats.org/package/2006/relationships"><Relationship Id="rId1" Type="http://schemas.openxmlformats.org/officeDocument/2006/relationships/image" Target="media/image4.png"/></Relationships>
</file>

<file path=word/_rels/header56.xml.rels><?xml version="1.0" encoding="UTF-8" standalone="yes"?>
<Relationships xmlns="http://schemas.openxmlformats.org/package/2006/relationships"><Relationship Id="rId1" Type="http://schemas.openxmlformats.org/officeDocument/2006/relationships/image" Target="media/image4.png"/></Relationships>
</file>

<file path=word/_rels/header57.xml.rels><?xml version="1.0" encoding="UTF-8" standalone="yes"?>
<Relationships xmlns="http://schemas.openxmlformats.org/package/2006/relationships"><Relationship Id="rId1" Type="http://schemas.openxmlformats.org/officeDocument/2006/relationships/image" Target="media/image4.png"/></Relationships>
</file>

<file path=word/_rels/header58.xml.rels><?xml version="1.0" encoding="UTF-8" standalone="yes"?>
<Relationships xmlns="http://schemas.openxmlformats.org/package/2006/relationships"><Relationship Id="rId1" Type="http://schemas.openxmlformats.org/officeDocument/2006/relationships/image" Target="media/image4.png"/></Relationships>
</file>

<file path=word/_rels/header59.xml.rels><?xml version="1.0" encoding="UTF-8" standalone="yes"?>
<Relationships xmlns="http://schemas.openxmlformats.org/package/2006/relationships"><Relationship Id="rId1" Type="http://schemas.openxmlformats.org/officeDocument/2006/relationships/image" Target="media/image4.png"/></Relationships>
</file>

<file path=word/_rels/header60.xml.rels><?xml version="1.0" encoding="UTF-8" standalone="yes"?>
<Relationships xmlns="http://schemas.openxmlformats.org/package/2006/relationships"><Relationship Id="rId1" Type="http://schemas.openxmlformats.org/officeDocument/2006/relationships/image" Target="media/image4.png"/></Relationships>
</file>

<file path=word/_rels/header62.xml.rels><?xml version="1.0" encoding="UTF-8" standalone="yes"?>
<Relationships xmlns="http://schemas.openxmlformats.org/package/2006/relationships"><Relationship Id="rId1" Type="http://schemas.openxmlformats.org/officeDocument/2006/relationships/image" Target="media/image4.png"/></Relationships>
</file>

<file path=word/_rels/header63.xml.rels><?xml version="1.0" encoding="UTF-8" standalone="yes"?>
<Relationships xmlns="http://schemas.openxmlformats.org/package/2006/relationships"><Relationship Id="rId1" Type="http://schemas.openxmlformats.org/officeDocument/2006/relationships/image" Target="media/image4.png"/></Relationships>
</file>

<file path=word/_rels/header64.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PA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2ff9d9b-d3fc-4aad-bc42-9949ee83b815"/>
    <LMName xmlns="82ff9d9b-d3fc-4aad-bc42-9949ee83b815" xsi:nil="true"/>
    <LastModDate xmlns="82ff9d9b-d3fc-4aad-bc42-9949ee83b815" xsi:nil="true"/>
    <SecClass xmlns="82ff9d9b-d3fc-4aad-bc42-9949ee83b815">OFFICIAL</SecClass>
    <_dlc_DocId xmlns="ff022cd0-6843-4ff4-ad72-b30c3a526f0e">3ZCJYKYSACN2-71197128-490</_dlc_DocId>
    <_dlc_DocIdUrl xmlns="ff022cd0-6843-4ff4-ad72-b30c3a526f0e">
      <Url>https://f1.prdmgd.finance.gov.au/sites/sbwsbudgetwiki/_layouts/15/DocIdRedir.aspx?ID=3ZCJYKYSACN2-71197128-490</Url>
      <Description>3ZCJYKYSACN2-71197128-490</Description>
    </_dlc_DocIdUrl>
    <Current xmlns="82ff9d9b-d3fc-4aad-bc42-9949ee83b815">Yes</Current>
    <g30b6d601f624994bd5004651b59f186 xmlns="82ff9d9b-d3fc-4aad-bc42-9949ee83b815">
      <Terms xmlns="http://schemas.microsoft.com/office/infopath/2007/PartnerControls"/>
    </g30b6d601f624994bd5004651b59f186>
    <DocumentAudience xmlns="82ff9d9b-d3fc-4aad-bc42-9949ee83b815">
      <UserInfo>
        <DisplayName/>
        <AccountId xsi:nil="true"/>
        <AccountType/>
      </UserInfo>
    </DocumentAudience>
    <CalendarYear xmlns="82ff9d9b-d3fc-4aad-bc42-9949ee83b815">2020</CalendarYear>
    <c8b9a6c9b8f74ea891e60fc766ad2751 xmlns="82ff9d9b-d3fc-4aad-bc42-9949ee83b815">
      <Terms xmlns="http://schemas.microsoft.com/office/infopath/2007/PartnerControls"/>
    </c8b9a6c9b8f74ea891e60fc766ad2751>
    <FinYear xmlns="82ff9d9b-d3fc-4aad-bc42-9949ee83b815" xsi:nil="true"/>
    <DateIssued xmlns="82ff9d9b-d3fc-4aad-bc42-9949ee83b815" xsi:nil="true"/>
    <DocumentPriority xmlns="82ff9d9b-d3fc-4aad-bc42-9949ee83b815">2 Medium High</DocumentPriority>
    <DocRefNo xmlns="82ff9d9b-d3fc-4aad-bc42-9949ee83b815" xsi:nil="true"/>
    <DocumentTheme xmlns="82ff9d9b-d3fc-4aad-bc42-9949ee83b815" xsi:nil="true"/>
    <ReviewDate xmlns="82ff9d9b-d3fc-4aad-bc42-9949ee83b815" xsi:nil="true"/>
    <KeyAuthor xmlns="82ff9d9b-d3fc-4aad-bc42-9949ee83b815">
      <UserInfo>
        <DisplayName/>
        <AccountId xsi:nil="true"/>
        <AccountType/>
      </UserInfo>
    </KeyAuthor>
    <cb3cc2f9508f4c57abf7cd0f9327fc93 xmlns="82ff9d9b-d3fc-4aad-bc42-9949ee83b815">
      <Terms xmlns="http://schemas.microsoft.com/office/infopath/2007/PartnerControls"/>
    </cb3cc2f9508f4c57abf7cd0f9327fc93>
    <DocRefType xmlns="82ff9d9b-d3fc-4aad-bc42-9949ee83b815" xsi:nil="true"/>
    <EconomicRound xmlns="82ff9d9b-d3fc-4aad-bc42-9949ee83b815">2020-21 Budget</EconomicRoun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5fb5116-7131-45fb-9d92-926478776364" ContentTypeId="0x010100B321FEA60C5BA343A52BC94EC00ABC9E0B" PreviousValue="false"/>
</file>

<file path=customXml/item6.xml><?xml version="1.0" encoding="utf-8"?>
<ct:contentTypeSchema xmlns:ct="http://schemas.microsoft.com/office/2006/metadata/contentType" xmlns:ma="http://schemas.microsoft.com/office/2006/metadata/properties/metaAttributes" ct:_="" ma:_="" ma:contentTypeName="Budget Resource Document" ma:contentTypeID="0x010100B321FEA60C5BA343A52BC94EC00ABC9E0B004A1153DD6053D746A10DFAA278596B5D" ma:contentTypeVersion="116" ma:contentTypeDescription="" ma:contentTypeScope="" ma:versionID="6a71befd40a5f09dc4a0dc2670932cfc">
  <xsd:schema xmlns:xsd="http://www.w3.org/2001/XMLSchema" xmlns:xs="http://www.w3.org/2001/XMLSchema" xmlns:p="http://schemas.microsoft.com/office/2006/metadata/properties" xmlns:ns2="82ff9d9b-d3fc-4aad-bc42-9949ee83b815" xmlns:ns4="ff022cd0-6843-4ff4-ad72-b30c3a526f0e" targetNamespace="http://schemas.microsoft.com/office/2006/metadata/properties" ma:root="true" ma:fieldsID="f0c13da69a5defd6762e28a53799f1fc" ns2:_="" ns4:_="">
    <xsd:import namespace="82ff9d9b-d3fc-4aad-bc42-9949ee83b815"/>
    <xsd:import namespace="ff022cd0-6843-4ff4-ad72-b30c3a526f0e"/>
    <xsd:element name="properties">
      <xsd:complexType>
        <xsd:sequence>
          <xsd:element name="documentManagement">
            <xsd:complexType>
              <xsd:all>
                <xsd:element ref="ns2:DocRefNo" minOccurs="0"/>
                <xsd:element ref="ns2:DocRefType" minOccurs="0"/>
                <xsd:element ref="ns2:DocumentTheme" minOccurs="0"/>
                <xsd:element ref="ns2:DateIssued" minOccurs="0"/>
                <xsd:element ref="ns2:DocumentPriority" minOccurs="0"/>
                <xsd:element ref="ns2:ReviewDate" minOccurs="0"/>
                <xsd:element ref="ns2:KeyAuthor" minOccurs="0"/>
                <xsd:element ref="ns2:CalendarYear" minOccurs="0"/>
                <xsd:element ref="ns2:FinYear" minOccurs="0"/>
                <xsd:element ref="ns2:EconomicRound" minOccurs="0"/>
                <xsd:element ref="ns2:Current" minOccurs="0"/>
                <xsd:element ref="ns2:DocumentAudience" minOccurs="0"/>
                <xsd:element ref="ns2:SecClass" minOccurs="0"/>
                <xsd:element ref="ns2:LMName" minOccurs="0"/>
                <xsd:element ref="ns2:LastModDate" minOccurs="0"/>
                <xsd:element ref="ns2:cb3cc2f9508f4c57abf7cd0f9327fc93" minOccurs="0"/>
                <xsd:element ref="ns2:g30b6d601f624994bd5004651b59f186" minOccurs="0"/>
                <xsd:element ref="ns2:c8b9a6c9b8f74ea891e60fc766ad2751" minOccurs="0"/>
                <xsd:element ref="ns2:TaxCatchAll" minOccurs="0"/>
                <xsd:element ref="ns2:TaxCatchAllLabe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DocRefNo" ma:index="1" nillable="true" ma:displayName="Doc Ref No" ma:internalName="DocRefNo">
      <xsd:simpleType>
        <xsd:restriction base="dms:Text">
          <xsd:maxLength value="20"/>
        </xsd:restriction>
      </xsd:simpleType>
    </xsd:element>
    <xsd:element name="DocRefType" ma:index="2" nillable="true" ma:displayName="Doc Ref Type" ma:format="Dropdown" ma:internalName="DocRefType">
      <xsd:simpleType>
        <xsd:restriction base="dms:Choice">
          <xsd:enumeration value="EM"/>
          <xsd:enumeration value="EM Attachment"/>
          <xsd:enumeration value="Guide"/>
          <xsd:enumeration value="Q and D"/>
          <xsd:enumeration value="Budget Glossary"/>
          <xsd:enumeration value="SBWS Glossary"/>
        </xsd:restriction>
      </xsd:simpleType>
    </xsd:element>
    <xsd:element name="DocumentTheme" ma:index="3" nillable="true" ma:displayName="Document Theme" ma:format="Dropdown" ma:internalName="DocumentTheme" ma:readOnly="false">
      <xsd:simpleType>
        <xsd:union memberTypes="dms:Text">
          <xsd:simpleType>
            <xsd:restriction base="dms:Choice">
              <xsd:enumeration value="Appropriation Bills"/>
              <xsd:enumeration value="ASL"/>
              <xsd:enumeration value="BPORs"/>
              <xsd:enumeration value="Budget Estimates"/>
            </xsd:restriction>
          </xsd:simpleType>
        </xsd:union>
      </xsd:simpleType>
    </xsd:element>
    <xsd:element name="DateIssued" ma:index="5" nillable="true" ma:displayName="Date Issued" ma:format="DateOnly" ma:internalName="DateIssued">
      <xsd:simpleType>
        <xsd:restriction base="dms:DateTime"/>
      </xsd:simpleType>
    </xsd:element>
    <xsd:element name="DocumentPriority" ma:index="7" nillable="true" ma:displayName="Document Priority" ma:default="2 Medium High" ma:format="Dropdown" ma:internalName="DocumentPriority" ma:readOnly="false">
      <xsd:simpleType>
        <xsd:restriction base="dms:Choice">
          <xsd:enumeration value="1 High"/>
          <xsd:enumeration value="2 Medium High"/>
          <xsd:enumeration value="3 Medium"/>
          <xsd:enumeration value="4 Medium Low"/>
          <xsd:enumeration value="5 Low"/>
        </xsd:restriction>
      </xsd:simpleType>
    </xsd:element>
    <xsd:element name="ReviewDate" ma:index="9" nillable="true" ma:displayName="Review Date" ma:format="DateOnly" ma:internalName="ReviewDate">
      <xsd:simpleType>
        <xsd:restriction base="dms:DateTime"/>
      </xsd:simpleType>
    </xsd:element>
    <xsd:element name="KeyAuthor" ma:index="10" nillable="true" ma:displayName="Key Author" ma:list="UserInfo" ma:SharePointGroup="0" ma:internalName="KeyAuth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lendarYear" ma:index="12" nillable="true" ma:displayName="Calendar Year" ma:default="2020" ma:format="Dropdown" ma:internalName="CalendarYear">
      <xsd:simpleType>
        <xsd:restriction base="dms:Choice">
          <xsd:enumeration value="2021"/>
          <xsd:enumeration value="2020"/>
          <xsd:enumeration value="2019"/>
          <xsd:enumeration value="2018"/>
          <xsd:enumeration value="2017"/>
          <xsd:enumeration value="2016"/>
          <xsd:enumeration value="2015"/>
        </xsd:restriction>
      </xsd:simpleType>
    </xsd:element>
    <xsd:element name="FinYear" ma:index="13" nillable="true" ma:displayName="Financial Year" ma:description="" ma:format="Dropdown" ma:internalName="FinYear">
      <xsd:simpleType>
        <xsd:restriction base="dms:Choice">
          <xsd:enumeration value="2016-17"/>
          <xsd:enumeration value="2017-18"/>
          <xsd:enumeration value="2018-19"/>
          <xsd:enumeration value="2019-20"/>
          <xsd:enumeration value="2020-21"/>
          <xsd:enumeration value="2021-22"/>
          <xsd:enumeration value="2022-23"/>
        </xsd:restriction>
      </xsd:simpleType>
    </xsd:element>
    <xsd:element name="EconomicRound" ma:index="14" nillable="true" ma:displayName="Economic Round" ma:default="2020-21 Budget" ma:description="" ma:format="Dropdown" ma:internalName="EconomicRound">
      <xsd:simpleType>
        <xsd:restriction base="dms:Choice">
          <xsd:enumeration value="2020-21 Budget"/>
          <xsd:enumeration value="2020-21 MYEFO"/>
          <xsd:enumeration value="2021-22 Budget"/>
          <xsd:enumeration value="2021-22 MYEFO"/>
          <xsd:enumeration value="2022-23 Budget"/>
          <xsd:enumeration value="2022-23 MYEFO"/>
          <xsd:enumeration value="2019-20 Budget"/>
          <xsd:enumeration value="2019-20 MYEFO"/>
        </xsd:restriction>
      </xsd:simpleType>
    </xsd:element>
    <xsd:element name="Current" ma:index="15" nillable="true" ma:displayName="Current" ma:default="Yes" ma:description="Used to hide old versions" ma:format="Dropdown" ma:internalName="Current">
      <xsd:simpleType>
        <xsd:restriction base="dms:Choice">
          <xsd:enumeration value="Yes"/>
          <xsd:enumeration value="Ongoing"/>
          <xsd:enumeration value="No"/>
          <xsd:enumeration value="Archived"/>
          <xsd:enumeration value="Draft"/>
        </xsd:restriction>
      </xsd:simpleType>
    </xsd:element>
    <xsd:element name="DocumentAudience" ma:index="16" nillable="true" ma:displayName="Document Audience" ma:list="UserInfo" ma:SearchPeopleOnly="false" ma:SharePointGroup="0" ma:internalName="DocumentAudienc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Class" ma:index="18"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19" nillable="true" ma:displayName="Last Modified by Name" ma:description="For archiving purposes" ma:internalName="LMName">
      <xsd:simpleType>
        <xsd:restriction base="dms:Text"/>
      </xsd:simpleType>
    </xsd:element>
    <xsd:element name="LastModDate" ma:index="20" nillable="true" ma:displayName="Last User Modified Date" ma:description="Date/time when document was last time modified by a user (as opposed to system updtates)" ma:format="DateTime" ma:internalName="LastModDate">
      <xsd:simpleType>
        <xsd:restriction base="dms:DateTime"/>
      </xsd:simpleType>
    </xsd:element>
    <xsd:element name="cb3cc2f9508f4c57abf7cd0f9327fc93" ma:index="22" nillable="true" ma:taxonomy="true" ma:internalName="cb3cc2f9508f4c57abf7cd0f9327fc93" ma:taxonomyFieldName="KnowledgeTopics" ma:displayName="Knowledge Topics" ma:readOnly="false" ma:default="" ma:fieldId="{cb3cc2f9-508f-4c57-abf7-cd0f9327fc93}" ma:taxonomyMulti="true" ma:sspId="c5fb5116-7131-45fb-9d92-926478776364" ma:termSetId="45481217-3032-4585-bcd0-bbcfe146a278" ma:anchorId="00000000-0000-0000-0000-000000000000" ma:open="true" ma:isKeyword="false">
      <xsd:complexType>
        <xsd:sequence>
          <xsd:element ref="pc:Terms" minOccurs="0" maxOccurs="1"/>
        </xsd:sequence>
      </xsd:complexType>
    </xsd:element>
    <xsd:element name="g30b6d601f624994bd5004651b59f186" ma:index="25" nillable="true" ma:taxonomy="true" ma:internalName="g30b6d601f624994bd5004651b59f186" ma:taxonomyFieldName="DocumentType" ma:displayName="Document Type" ma:default="" ma:fieldId="{030b6d60-1f62-4994-bd50-04651b59f186}" ma:sspId="c5fb5116-7131-45fb-9d92-926478776364" ma:termSetId="9a3bb107-ad1e-4f6a-ae1c-92c6b0fa0238" ma:anchorId="00000000-0000-0000-0000-000000000000" ma:open="false" ma:isKeyword="false">
      <xsd:complexType>
        <xsd:sequence>
          <xsd:element ref="pc:Terms" minOccurs="0" maxOccurs="1"/>
        </xsd:sequence>
      </xsd:complexType>
    </xsd:element>
    <xsd:element name="c8b9a6c9b8f74ea891e60fc766ad2751" ma:index="28" nillable="true" ma:taxonomy="true" ma:internalName="c8b9a6c9b8f74ea891e60fc766ad2751" ma:taxonomyFieldName="ResponsibleArea" ma:displayName="Responsible Area" ma:default="" ma:fieldId="{c8b9a6c9-b8f7-4ea8-91e6-0fc766ad2751}" ma:taxonomyMulti="true"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b14d4c7-5d00-46ef-b130-f6a09658f2e6}" ma:internalName="TaxCatchAll" ma:showField="CatchAllData" ma:web="ff022cd0-6843-4ff4-ad72-b30c3a526f0e">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6b14d4c7-5d00-46ef-b130-f6a09658f2e6}" ma:internalName="TaxCatchAllLabel" ma:readOnly="true" ma:showField="CatchAllDataLabel" ma:web="ff022cd0-6843-4ff4-ad72-b30c3a526f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022cd0-6843-4ff4-ad72-b30c3a526f0e" elementFormDefault="qualified">
    <xsd:import namespace="http://schemas.microsoft.com/office/2006/documentManagement/types"/>
    <xsd:import namespace="http://schemas.microsoft.com/office/infopath/2007/PartnerControls"/>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2.xml><?xml version="1.0" encoding="utf-8"?>
<ds:datastoreItem xmlns:ds="http://schemas.openxmlformats.org/officeDocument/2006/customXml" ds:itemID="{62D3BDC0-36EB-42D2-9686-F6C6E998D50F}">
  <ds:schemaRefs>
    <ds:schemaRef ds:uri="http://purl.org/dc/elements/1.1/"/>
    <ds:schemaRef ds:uri="http://schemas.microsoft.com/office/2006/metadata/properties"/>
    <ds:schemaRef ds:uri="82ff9d9b-d3fc-4aad-bc42-9949ee83b815"/>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ff022cd0-6843-4ff4-ad72-b30c3a526f0e"/>
    <ds:schemaRef ds:uri="http://purl.org/dc/dcmitype/"/>
  </ds:schemaRefs>
</ds:datastoreItem>
</file>

<file path=customXml/itemProps3.xml><?xml version="1.0" encoding="utf-8"?>
<ds:datastoreItem xmlns:ds="http://schemas.openxmlformats.org/officeDocument/2006/customXml" ds:itemID="{D050BEFC-14B6-4E01-AE53-734F3A3D3743}">
  <ds:schemaRefs>
    <ds:schemaRef ds:uri="http://schemas.microsoft.com/sharepoint/v3/contenttype/forms"/>
  </ds:schemaRefs>
</ds:datastoreItem>
</file>

<file path=customXml/itemProps4.xml><?xml version="1.0" encoding="utf-8"?>
<ds:datastoreItem xmlns:ds="http://schemas.openxmlformats.org/officeDocument/2006/customXml" ds:itemID="{B2883C3F-CCB3-4E7C-860A-ADDF434D5F69}">
  <ds:schemaRefs>
    <ds:schemaRef ds:uri="http://schemas.microsoft.com/sharepoint/events"/>
  </ds:schemaRefs>
</ds:datastoreItem>
</file>

<file path=customXml/itemProps5.xml><?xml version="1.0" encoding="utf-8"?>
<ds:datastoreItem xmlns:ds="http://schemas.openxmlformats.org/officeDocument/2006/customXml" ds:itemID="{C96613B2-8979-4645-886F-67D3BAD692C3}">
  <ds:schemaRefs>
    <ds:schemaRef ds:uri="Microsoft.SharePoint.Taxonomy.ContentTypeSync"/>
  </ds:schemaRefs>
</ds:datastoreItem>
</file>

<file path=customXml/itemProps6.xml><?xml version="1.0" encoding="utf-8"?>
<ds:datastoreItem xmlns:ds="http://schemas.openxmlformats.org/officeDocument/2006/customXml" ds:itemID="{044178C2-7F69-43C3-A103-F59320087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f9d9b-d3fc-4aad-bc42-9949ee83b815"/>
    <ds:schemaRef ds:uri="ff022cd0-6843-4ff4-ad72-b30c3a526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2A9969E-8DBA-4DDC-881E-9A41425A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PAES Template.dotx</Template>
  <TotalTime>65</TotalTime>
  <Pages>213</Pages>
  <Words>45163</Words>
  <Characters>257435</Characters>
  <Application>Microsoft Office Word</Application>
  <DocSecurity>0</DocSecurity>
  <Lines>2145</Lines>
  <Paragraphs>603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Pan</dc:creator>
  <cp:keywords/>
  <dc:description/>
  <cp:lastModifiedBy>KEEN Julie</cp:lastModifiedBy>
  <cp:revision>12</cp:revision>
  <cp:lastPrinted>2022-02-03T23:05:00Z</cp:lastPrinted>
  <dcterms:created xsi:type="dcterms:W3CDTF">2022-02-03T03:03:00Z</dcterms:created>
  <dcterms:modified xsi:type="dcterms:W3CDTF">2022-02-03T23:19:00Z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0x010100B321FEA60C5BA343A52BC94EC00ABC9E0B004A1153DD6053D746A10DFAA278596B5D</vt:lpwstr>
  </property>
  <property fmtid="{D5CDD505-2E9C-101B-9397-08002B2CF9AE}" pid="3" name="_NewReviewCycle">
    <vt:lpwstr/>
  </property>
  <property fmtid="{D5CDD505-2E9C-101B-9397-08002B2CF9AE}" pid="4" name="TSYRecordClass">
    <vt:lpwstr>75;#AE-20337-Destroy 7 years after action completed|668ae28e-5138-4c7c-82db-1c8c6afc81a6</vt:lpwstr>
  </property>
  <property fmtid="{D5CDD505-2E9C-101B-9397-08002B2CF9AE}" pid="5" name="_dlc_DocId">
    <vt:lpwstr>2018CSSG-528562461-1774</vt:lpwstr>
  </property>
  <property fmtid="{D5CDD505-2E9C-101B-9397-08002B2CF9AE}" pid="6" name="_dlc_DocIdItemGuid">
    <vt:lpwstr>4b9d3099-54ba-4229-aad4-115b082527b7</vt:lpwstr>
  </property>
  <property fmtid="{D5CDD505-2E9C-101B-9397-08002B2CF9AE}" pid="7" name="_dlc_DocIdUrl">
    <vt:lpwstr>http://tweb/sites/cssg/ped/pu/pt/_layouts/15/DocIdRedir.aspx?ID=2018CSSG-528562461-1774, 2018CSSG-528562461-1774</vt:lpwstr>
  </property>
  <property fmtid="{D5CDD505-2E9C-101B-9397-08002B2CF9AE}" pid="8" name="RecordPoint_WorkflowType">
    <vt:lpwstr>ActiveSubmitStub</vt:lpwstr>
  </property>
  <property fmtid="{D5CDD505-2E9C-101B-9397-08002B2CF9AE}" pid="9" name="RecordPoint_ActiveItemUniqueId">
    <vt:lpwstr>{cb2ef77c-cc91-41ed-91b9-d4cad959b8b6}</vt:lpwstr>
  </property>
  <property fmtid="{D5CDD505-2E9C-101B-9397-08002B2CF9AE}" pid="10" name="RecordPoint_SubmissionCompleted">
    <vt:lpwstr>2018-11-26T13:32:40.3725850+11:00</vt:lpwstr>
  </property>
  <property fmtid="{D5CDD505-2E9C-101B-9397-08002B2CF9AE}" pid="11" name="RecordPoint_ActiveItemSiteId">
    <vt:lpwstr>{de902461-0703-410e-906b-a2e3a4f5dd57}</vt:lpwstr>
  </property>
  <property fmtid="{D5CDD505-2E9C-101B-9397-08002B2CF9AE}" pid="12" name="RecordPoint_ActiveItemListId">
    <vt:lpwstr>{1a5197ea-2690-47fd-a085-19629528b6d0}</vt:lpwstr>
  </property>
  <property fmtid="{D5CDD505-2E9C-101B-9397-08002B2CF9AE}" pid="13" name="RecordPoint_ActiveItemWebId">
    <vt:lpwstr>{e237d495-0881-4849-ae62-ddc8a8132df5}</vt:lpwstr>
  </property>
  <property fmtid="{D5CDD505-2E9C-101B-9397-08002B2CF9AE}" pid="14" name="IconOverlay">
    <vt:lpwstr/>
  </property>
  <property fmtid="{D5CDD505-2E9C-101B-9397-08002B2CF9AE}" pid="15" name="RecordPoint_RecordNumberSubmitted">
    <vt:lpwstr>R0001935766</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TaxKeyword">
    <vt:lpwstr/>
  </property>
  <property fmtid="{D5CDD505-2E9C-101B-9397-08002B2CF9AE}" pid="20" name="AbtEntity">
    <vt:lpwstr>2;#Department of Finance|fd660e8f-8f31-49bd-92a3-d31d4da31afe</vt:lpwstr>
  </property>
  <property fmtid="{D5CDD505-2E9C-101B-9397-08002B2CF9AE}" pid="21" name="OrgUnit">
    <vt:lpwstr>1;#Agency Accounting and Budget Framework|17de058c-12f7-44f2-8e7d-03ff49305e52</vt:lpwstr>
  </property>
  <property fmtid="{D5CDD505-2E9C-101B-9397-08002B2CF9AE}" pid="22" name="InitiatingEntity">
    <vt:lpwstr>2;#Department of Finance|fd660e8f-8f31-49bd-92a3-d31d4da31afe</vt:lpwstr>
  </property>
  <property fmtid="{D5CDD505-2E9C-101B-9397-08002B2CF9AE}" pid="23" name="Function and Activity">
    <vt:lpwstr/>
  </property>
  <property fmtid="{D5CDD505-2E9C-101B-9397-08002B2CF9AE}" pid="24" name="KnowledgeTopics">
    <vt:lpwstr/>
  </property>
  <property fmtid="{D5CDD505-2E9C-101B-9397-08002B2CF9AE}" pid="25" name="DocumentType">
    <vt:lpwstr/>
  </property>
  <property fmtid="{D5CDD505-2E9C-101B-9397-08002B2CF9AE}" pid="26" name="ResponsibleArea">
    <vt:lpwstr/>
  </property>
  <property fmtid="{D5CDD505-2E9C-101B-9397-08002B2CF9AE}" pid="27" name="_DocHome">
    <vt:i4>-1486510395</vt:i4>
  </property>
</Properties>
</file>